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E280E" w14:textId="77777777" w:rsidR="00A720EB" w:rsidRDefault="00A720EB">
      <w:pPr>
        <w:pStyle w:val="a3"/>
        <w:rPr>
          <w:rFonts w:ascii="Times New Roman"/>
          <w:sz w:val="20"/>
        </w:rPr>
      </w:pPr>
    </w:p>
    <w:p w14:paraId="4AC34F51" w14:textId="77777777" w:rsidR="00A720EB" w:rsidRDefault="00A720EB">
      <w:pPr>
        <w:pStyle w:val="a3"/>
        <w:rPr>
          <w:rFonts w:ascii="Times New Roman"/>
          <w:sz w:val="20"/>
        </w:rPr>
      </w:pPr>
    </w:p>
    <w:p w14:paraId="41C6B30A" w14:textId="77777777" w:rsidR="00A720EB" w:rsidRDefault="00A720EB">
      <w:pPr>
        <w:pStyle w:val="a3"/>
        <w:rPr>
          <w:rFonts w:ascii="Times New Roman"/>
          <w:sz w:val="20"/>
        </w:rPr>
      </w:pPr>
    </w:p>
    <w:p w14:paraId="7ECF4D96" w14:textId="77777777" w:rsidR="00A720EB" w:rsidRDefault="00A720EB">
      <w:pPr>
        <w:pStyle w:val="a3"/>
        <w:rPr>
          <w:rFonts w:ascii="Times New Roman"/>
          <w:sz w:val="20"/>
        </w:rPr>
      </w:pPr>
    </w:p>
    <w:p w14:paraId="71E07437" w14:textId="77777777" w:rsidR="00A720EB" w:rsidRDefault="00A720EB">
      <w:pPr>
        <w:pStyle w:val="a3"/>
        <w:rPr>
          <w:rFonts w:ascii="Times New Roman"/>
          <w:sz w:val="20"/>
        </w:rPr>
      </w:pPr>
    </w:p>
    <w:p w14:paraId="4AD76495" w14:textId="77777777" w:rsidR="00A720EB" w:rsidRDefault="00A720EB">
      <w:pPr>
        <w:pStyle w:val="a3"/>
        <w:rPr>
          <w:rFonts w:ascii="Times New Roman"/>
          <w:sz w:val="20"/>
        </w:rPr>
      </w:pPr>
    </w:p>
    <w:p w14:paraId="443A72AF" w14:textId="77777777" w:rsidR="00A720EB" w:rsidRDefault="00A720EB">
      <w:pPr>
        <w:pStyle w:val="a3"/>
        <w:rPr>
          <w:rFonts w:ascii="Times New Roman"/>
          <w:sz w:val="20"/>
        </w:rPr>
      </w:pPr>
    </w:p>
    <w:p w14:paraId="114E7327" w14:textId="77777777" w:rsidR="00A720EB" w:rsidRDefault="00A720EB">
      <w:pPr>
        <w:pStyle w:val="a3"/>
        <w:rPr>
          <w:rFonts w:ascii="Times New Roman"/>
          <w:sz w:val="20"/>
        </w:rPr>
      </w:pPr>
    </w:p>
    <w:p w14:paraId="09A44EE7" w14:textId="77777777" w:rsidR="00A720EB" w:rsidRDefault="00A720EB">
      <w:pPr>
        <w:pStyle w:val="a3"/>
        <w:rPr>
          <w:rFonts w:ascii="Times New Roman"/>
          <w:sz w:val="20"/>
        </w:rPr>
      </w:pPr>
    </w:p>
    <w:p w14:paraId="7F739C13" w14:textId="77777777" w:rsidR="00A720EB" w:rsidRDefault="00A720EB">
      <w:pPr>
        <w:pStyle w:val="a3"/>
        <w:rPr>
          <w:rFonts w:ascii="Times New Roman"/>
          <w:sz w:val="20"/>
        </w:rPr>
      </w:pPr>
    </w:p>
    <w:p w14:paraId="113792E5" w14:textId="77777777" w:rsidR="00A720EB" w:rsidRDefault="00A720EB">
      <w:pPr>
        <w:pStyle w:val="a3"/>
        <w:rPr>
          <w:rFonts w:ascii="Times New Roman"/>
          <w:sz w:val="20"/>
        </w:rPr>
      </w:pPr>
    </w:p>
    <w:p w14:paraId="1C0B16C3" w14:textId="77777777" w:rsidR="00A720EB" w:rsidRDefault="00A720EB">
      <w:pPr>
        <w:pStyle w:val="a3"/>
        <w:rPr>
          <w:rFonts w:ascii="Times New Roman"/>
          <w:sz w:val="20"/>
        </w:rPr>
      </w:pPr>
    </w:p>
    <w:p w14:paraId="7074F9D3" w14:textId="77777777" w:rsidR="00A720EB" w:rsidRDefault="00A720EB">
      <w:pPr>
        <w:pStyle w:val="a3"/>
        <w:rPr>
          <w:rFonts w:ascii="Times New Roman"/>
          <w:sz w:val="20"/>
        </w:rPr>
      </w:pPr>
    </w:p>
    <w:p w14:paraId="52A0FC54" w14:textId="77777777" w:rsidR="00A720EB" w:rsidRDefault="00A720EB">
      <w:pPr>
        <w:pStyle w:val="a3"/>
        <w:rPr>
          <w:rFonts w:ascii="Times New Roman"/>
          <w:sz w:val="20"/>
        </w:rPr>
      </w:pPr>
    </w:p>
    <w:p w14:paraId="04FCF2EB" w14:textId="77777777" w:rsidR="00A720EB" w:rsidRDefault="00A720EB">
      <w:pPr>
        <w:pStyle w:val="a3"/>
        <w:rPr>
          <w:rFonts w:ascii="Times New Roman"/>
          <w:sz w:val="20"/>
        </w:rPr>
      </w:pPr>
    </w:p>
    <w:p w14:paraId="76FFD106" w14:textId="77777777" w:rsidR="00A720EB" w:rsidRDefault="00A720EB">
      <w:pPr>
        <w:pStyle w:val="a3"/>
        <w:rPr>
          <w:rFonts w:ascii="Times New Roman"/>
          <w:sz w:val="20"/>
        </w:rPr>
      </w:pPr>
    </w:p>
    <w:p w14:paraId="4F02C119" w14:textId="77777777" w:rsidR="00A720EB" w:rsidRDefault="00A720EB">
      <w:pPr>
        <w:pStyle w:val="a3"/>
        <w:rPr>
          <w:rFonts w:ascii="Times New Roman"/>
          <w:sz w:val="20"/>
        </w:rPr>
      </w:pPr>
    </w:p>
    <w:p w14:paraId="37B6C7E8" w14:textId="77777777" w:rsidR="00A720EB" w:rsidRDefault="00A720EB">
      <w:pPr>
        <w:pStyle w:val="a3"/>
        <w:rPr>
          <w:rFonts w:ascii="Times New Roman"/>
          <w:sz w:val="20"/>
        </w:rPr>
      </w:pPr>
    </w:p>
    <w:p w14:paraId="7A1FD15D" w14:textId="77777777" w:rsidR="00A720EB" w:rsidRDefault="00A720EB">
      <w:pPr>
        <w:pStyle w:val="a3"/>
        <w:rPr>
          <w:rFonts w:ascii="Times New Roman"/>
          <w:sz w:val="20"/>
        </w:rPr>
      </w:pPr>
    </w:p>
    <w:p w14:paraId="31AFE4EE" w14:textId="77777777" w:rsidR="00A720EB" w:rsidRDefault="00A720EB">
      <w:pPr>
        <w:pStyle w:val="a3"/>
        <w:rPr>
          <w:rFonts w:ascii="Times New Roman"/>
          <w:sz w:val="20"/>
        </w:rPr>
      </w:pPr>
    </w:p>
    <w:p w14:paraId="43EE59F3" w14:textId="77777777" w:rsidR="00A720EB" w:rsidRDefault="00A720EB">
      <w:pPr>
        <w:pStyle w:val="a3"/>
        <w:rPr>
          <w:rFonts w:ascii="Times New Roman"/>
          <w:sz w:val="20"/>
        </w:rPr>
      </w:pPr>
    </w:p>
    <w:p w14:paraId="29FD90CD" w14:textId="77777777" w:rsidR="00A720EB" w:rsidRDefault="00A720EB">
      <w:pPr>
        <w:pStyle w:val="a3"/>
        <w:rPr>
          <w:rFonts w:ascii="Times New Roman"/>
          <w:sz w:val="20"/>
        </w:rPr>
      </w:pPr>
    </w:p>
    <w:p w14:paraId="7FA8D3EC" w14:textId="77777777" w:rsidR="00A720EB" w:rsidRDefault="00A720EB">
      <w:pPr>
        <w:pStyle w:val="a3"/>
        <w:rPr>
          <w:rFonts w:ascii="Times New Roman"/>
          <w:sz w:val="20"/>
        </w:rPr>
      </w:pPr>
    </w:p>
    <w:p w14:paraId="0AD70192" w14:textId="77777777" w:rsidR="00A720EB" w:rsidRDefault="00A720EB">
      <w:pPr>
        <w:pStyle w:val="a3"/>
        <w:rPr>
          <w:rFonts w:ascii="Times New Roman"/>
          <w:sz w:val="20"/>
        </w:rPr>
      </w:pPr>
    </w:p>
    <w:p w14:paraId="7563E2D3" w14:textId="77777777" w:rsidR="00A720EB" w:rsidRDefault="00A720EB">
      <w:pPr>
        <w:pStyle w:val="a3"/>
        <w:rPr>
          <w:rFonts w:ascii="Times New Roman"/>
          <w:sz w:val="20"/>
        </w:rPr>
      </w:pPr>
    </w:p>
    <w:p w14:paraId="1401BFFA" w14:textId="77777777" w:rsidR="00A720EB" w:rsidRDefault="00A720EB">
      <w:pPr>
        <w:pStyle w:val="a3"/>
        <w:rPr>
          <w:rFonts w:ascii="Times New Roman"/>
          <w:sz w:val="20"/>
        </w:rPr>
      </w:pPr>
    </w:p>
    <w:p w14:paraId="222E8F19" w14:textId="77777777" w:rsidR="00A720EB" w:rsidRDefault="00A720EB">
      <w:pPr>
        <w:pStyle w:val="a3"/>
        <w:rPr>
          <w:rFonts w:ascii="Times New Roman"/>
          <w:sz w:val="20"/>
        </w:rPr>
      </w:pPr>
    </w:p>
    <w:p w14:paraId="51C64E78" w14:textId="77777777" w:rsidR="00A720EB" w:rsidRDefault="00A720EB">
      <w:pPr>
        <w:pStyle w:val="a3"/>
        <w:rPr>
          <w:rFonts w:ascii="Times New Roman"/>
          <w:sz w:val="20"/>
        </w:rPr>
      </w:pPr>
    </w:p>
    <w:p w14:paraId="3FBD4402" w14:textId="77777777" w:rsidR="00A720EB" w:rsidRDefault="00A720EB">
      <w:pPr>
        <w:pStyle w:val="a3"/>
        <w:spacing w:before="4"/>
        <w:rPr>
          <w:rFonts w:ascii="Times New Roman"/>
          <w:sz w:val="17"/>
        </w:rPr>
      </w:pPr>
    </w:p>
    <w:p w14:paraId="5AE6E893" w14:textId="77777777" w:rsidR="00A720EB" w:rsidRDefault="0030286B">
      <w:pPr>
        <w:pStyle w:val="a5"/>
      </w:pPr>
      <w:bookmarkStart w:id="0" w:name="Spring_Boot_Reference_Documentation"/>
      <w:bookmarkEnd w:id="0"/>
      <w:r>
        <w:rPr>
          <w:color w:val="999999"/>
          <w:w w:val="110"/>
        </w:rPr>
        <w:t>Spring Boot Reference</w:t>
      </w:r>
      <w:r>
        <w:rPr>
          <w:color w:val="999999"/>
          <w:spacing w:val="65"/>
          <w:w w:val="110"/>
        </w:rPr>
        <w:t xml:space="preserve"> </w:t>
      </w:r>
      <w:r>
        <w:rPr>
          <w:color w:val="999999"/>
          <w:w w:val="110"/>
        </w:rPr>
        <w:t>Documentation</w:t>
      </w:r>
    </w:p>
    <w:p w14:paraId="67754629" w14:textId="77777777" w:rsidR="00A720EB" w:rsidRDefault="0030286B">
      <w:pPr>
        <w:spacing w:before="322" w:line="307" w:lineRule="auto"/>
        <w:ind w:left="992" w:right="130" w:firstLine="452"/>
        <w:jc w:val="both"/>
        <w:rPr>
          <w:sz w:val="26"/>
        </w:rPr>
      </w:pPr>
      <w:r>
        <w:rPr>
          <w:color w:val="171717"/>
          <w:w w:val="115"/>
          <w:sz w:val="26"/>
        </w:rPr>
        <w:t>Phillip</w:t>
      </w:r>
      <w:r>
        <w:rPr>
          <w:color w:val="171717"/>
          <w:spacing w:val="-21"/>
          <w:w w:val="115"/>
          <w:sz w:val="26"/>
        </w:rPr>
        <w:t xml:space="preserve"> </w:t>
      </w:r>
      <w:r>
        <w:rPr>
          <w:color w:val="171717"/>
          <w:spacing w:val="-4"/>
          <w:w w:val="115"/>
          <w:sz w:val="26"/>
        </w:rPr>
        <w:t>Webb,</w:t>
      </w:r>
      <w:r>
        <w:rPr>
          <w:color w:val="171717"/>
          <w:spacing w:val="-20"/>
          <w:w w:val="115"/>
          <w:sz w:val="26"/>
        </w:rPr>
        <w:t xml:space="preserve"> </w:t>
      </w:r>
      <w:r>
        <w:rPr>
          <w:color w:val="171717"/>
          <w:w w:val="115"/>
          <w:sz w:val="26"/>
        </w:rPr>
        <w:t>Dave</w:t>
      </w:r>
      <w:r>
        <w:rPr>
          <w:color w:val="171717"/>
          <w:spacing w:val="-20"/>
          <w:w w:val="115"/>
          <w:sz w:val="26"/>
        </w:rPr>
        <w:t xml:space="preserve"> </w:t>
      </w:r>
      <w:r>
        <w:rPr>
          <w:color w:val="171717"/>
          <w:w w:val="115"/>
          <w:sz w:val="26"/>
        </w:rPr>
        <w:t>Syer,</w:t>
      </w:r>
      <w:r>
        <w:rPr>
          <w:color w:val="171717"/>
          <w:spacing w:val="-21"/>
          <w:w w:val="115"/>
          <w:sz w:val="26"/>
        </w:rPr>
        <w:t xml:space="preserve"> </w:t>
      </w:r>
      <w:r>
        <w:rPr>
          <w:color w:val="171717"/>
          <w:w w:val="115"/>
          <w:sz w:val="26"/>
        </w:rPr>
        <w:t>Josh</w:t>
      </w:r>
      <w:r>
        <w:rPr>
          <w:color w:val="171717"/>
          <w:spacing w:val="-21"/>
          <w:w w:val="115"/>
          <w:sz w:val="26"/>
        </w:rPr>
        <w:t xml:space="preserve"> </w:t>
      </w:r>
      <w:r>
        <w:rPr>
          <w:color w:val="171717"/>
          <w:w w:val="115"/>
          <w:sz w:val="26"/>
        </w:rPr>
        <w:t>Long,</w:t>
      </w:r>
      <w:r>
        <w:rPr>
          <w:color w:val="171717"/>
          <w:spacing w:val="-21"/>
          <w:w w:val="115"/>
          <w:sz w:val="26"/>
        </w:rPr>
        <w:t xml:space="preserve"> </w:t>
      </w:r>
      <w:r>
        <w:rPr>
          <w:color w:val="171717"/>
          <w:w w:val="115"/>
          <w:sz w:val="26"/>
        </w:rPr>
        <w:t>Stéphane</w:t>
      </w:r>
      <w:r>
        <w:rPr>
          <w:color w:val="171717"/>
          <w:spacing w:val="-21"/>
          <w:w w:val="115"/>
          <w:sz w:val="26"/>
        </w:rPr>
        <w:t xml:space="preserve"> </w:t>
      </w:r>
      <w:r>
        <w:rPr>
          <w:color w:val="171717"/>
          <w:w w:val="115"/>
          <w:sz w:val="26"/>
        </w:rPr>
        <w:t>Nicoll,</w:t>
      </w:r>
      <w:r>
        <w:rPr>
          <w:color w:val="171717"/>
          <w:spacing w:val="-21"/>
          <w:w w:val="115"/>
          <w:sz w:val="26"/>
        </w:rPr>
        <w:t xml:space="preserve"> </w:t>
      </w:r>
      <w:r>
        <w:rPr>
          <w:color w:val="171717"/>
          <w:w w:val="115"/>
          <w:sz w:val="26"/>
        </w:rPr>
        <w:t>Rob</w:t>
      </w:r>
      <w:r>
        <w:rPr>
          <w:color w:val="171717"/>
          <w:spacing w:val="-21"/>
          <w:w w:val="115"/>
          <w:sz w:val="26"/>
        </w:rPr>
        <w:t xml:space="preserve"> </w:t>
      </w:r>
      <w:r>
        <w:rPr>
          <w:color w:val="171717"/>
          <w:w w:val="115"/>
          <w:sz w:val="26"/>
        </w:rPr>
        <w:t>Winch,</w:t>
      </w:r>
      <w:r>
        <w:rPr>
          <w:color w:val="171717"/>
          <w:spacing w:val="-21"/>
          <w:w w:val="115"/>
          <w:sz w:val="26"/>
        </w:rPr>
        <w:t xml:space="preserve"> </w:t>
      </w:r>
      <w:r>
        <w:rPr>
          <w:color w:val="171717"/>
          <w:w w:val="115"/>
          <w:sz w:val="26"/>
        </w:rPr>
        <w:t>Andy Wilkinson,</w:t>
      </w:r>
      <w:r>
        <w:rPr>
          <w:color w:val="171717"/>
          <w:spacing w:val="-32"/>
          <w:w w:val="115"/>
          <w:sz w:val="26"/>
        </w:rPr>
        <w:t xml:space="preserve"> </w:t>
      </w:r>
      <w:r>
        <w:rPr>
          <w:color w:val="171717"/>
          <w:w w:val="115"/>
          <w:sz w:val="26"/>
        </w:rPr>
        <w:t>Marcel</w:t>
      </w:r>
      <w:r>
        <w:rPr>
          <w:color w:val="171717"/>
          <w:spacing w:val="-31"/>
          <w:w w:val="115"/>
          <w:sz w:val="26"/>
        </w:rPr>
        <w:t xml:space="preserve"> </w:t>
      </w:r>
      <w:r>
        <w:rPr>
          <w:color w:val="171717"/>
          <w:w w:val="115"/>
          <w:sz w:val="26"/>
        </w:rPr>
        <w:t>Overdijk,</w:t>
      </w:r>
      <w:r>
        <w:rPr>
          <w:color w:val="171717"/>
          <w:spacing w:val="-31"/>
          <w:w w:val="115"/>
          <w:sz w:val="26"/>
        </w:rPr>
        <w:t xml:space="preserve"> </w:t>
      </w:r>
      <w:r>
        <w:rPr>
          <w:color w:val="171717"/>
          <w:w w:val="115"/>
          <w:sz w:val="26"/>
        </w:rPr>
        <w:t>Christian</w:t>
      </w:r>
      <w:r>
        <w:rPr>
          <w:color w:val="171717"/>
          <w:spacing w:val="-31"/>
          <w:w w:val="115"/>
          <w:sz w:val="26"/>
        </w:rPr>
        <w:t xml:space="preserve"> </w:t>
      </w:r>
      <w:r>
        <w:rPr>
          <w:color w:val="171717"/>
          <w:w w:val="115"/>
          <w:sz w:val="26"/>
        </w:rPr>
        <w:t>Dupuis,</w:t>
      </w:r>
      <w:r>
        <w:rPr>
          <w:color w:val="171717"/>
          <w:spacing w:val="-30"/>
          <w:w w:val="115"/>
          <w:sz w:val="26"/>
        </w:rPr>
        <w:t xml:space="preserve"> </w:t>
      </w:r>
      <w:r>
        <w:rPr>
          <w:color w:val="171717"/>
          <w:w w:val="115"/>
          <w:sz w:val="26"/>
        </w:rPr>
        <w:t>Sébastien</w:t>
      </w:r>
      <w:r>
        <w:rPr>
          <w:color w:val="171717"/>
          <w:spacing w:val="-31"/>
          <w:w w:val="115"/>
          <w:sz w:val="26"/>
        </w:rPr>
        <w:t xml:space="preserve"> </w:t>
      </w:r>
      <w:r>
        <w:rPr>
          <w:color w:val="171717"/>
          <w:w w:val="115"/>
          <w:sz w:val="26"/>
        </w:rPr>
        <w:t>Deleuze,</w:t>
      </w:r>
      <w:r>
        <w:rPr>
          <w:color w:val="171717"/>
          <w:spacing w:val="-31"/>
          <w:w w:val="115"/>
          <w:sz w:val="26"/>
        </w:rPr>
        <w:t xml:space="preserve"> </w:t>
      </w:r>
      <w:r>
        <w:rPr>
          <w:color w:val="171717"/>
          <w:w w:val="115"/>
          <w:sz w:val="26"/>
        </w:rPr>
        <w:t>Michael Simons,</w:t>
      </w:r>
      <w:r>
        <w:rPr>
          <w:color w:val="171717"/>
          <w:spacing w:val="-19"/>
          <w:w w:val="115"/>
          <w:sz w:val="26"/>
        </w:rPr>
        <w:t xml:space="preserve"> </w:t>
      </w:r>
      <w:r>
        <w:rPr>
          <w:color w:val="171717"/>
          <w:spacing w:val="-5"/>
          <w:w w:val="115"/>
          <w:sz w:val="26"/>
        </w:rPr>
        <w:t>Vedran</w:t>
      </w:r>
      <w:r>
        <w:rPr>
          <w:color w:val="171717"/>
          <w:spacing w:val="-19"/>
          <w:w w:val="115"/>
          <w:sz w:val="26"/>
        </w:rPr>
        <w:t xml:space="preserve"> </w:t>
      </w:r>
      <w:r>
        <w:rPr>
          <w:color w:val="171717"/>
          <w:w w:val="115"/>
          <w:sz w:val="26"/>
        </w:rPr>
        <w:t>Pavić,</w:t>
      </w:r>
      <w:r>
        <w:rPr>
          <w:color w:val="171717"/>
          <w:spacing w:val="-19"/>
          <w:w w:val="115"/>
          <w:sz w:val="26"/>
        </w:rPr>
        <w:t xml:space="preserve"> </w:t>
      </w:r>
      <w:r>
        <w:rPr>
          <w:color w:val="171717"/>
          <w:spacing w:val="-3"/>
          <w:w w:val="115"/>
          <w:sz w:val="26"/>
        </w:rPr>
        <w:t>Jay</w:t>
      </w:r>
      <w:r>
        <w:rPr>
          <w:color w:val="171717"/>
          <w:spacing w:val="-19"/>
          <w:w w:val="115"/>
          <w:sz w:val="26"/>
        </w:rPr>
        <w:t xml:space="preserve"> </w:t>
      </w:r>
      <w:r>
        <w:rPr>
          <w:color w:val="171717"/>
          <w:w w:val="115"/>
          <w:sz w:val="26"/>
        </w:rPr>
        <w:t>Bryant,</w:t>
      </w:r>
      <w:r>
        <w:rPr>
          <w:color w:val="171717"/>
          <w:spacing w:val="-19"/>
          <w:w w:val="115"/>
          <w:sz w:val="26"/>
        </w:rPr>
        <w:t xml:space="preserve"> </w:t>
      </w:r>
      <w:r>
        <w:rPr>
          <w:color w:val="171717"/>
          <w:w w:val="115"/>
          <w:sz w:val="26"/>
        </w:rPr>
        <w:t>Madhura</w:t>
      </w:r>
      <w:r>
        <w:rPr>
          <w:color w:val="171717"/>
          <w:spacing w:val="-19"/>
          <w:w w:val="115"/>
          <w:sz w:val="26"/>
        </w:rPr>
        <w:t xml:space="preserve"> </w:t>
      </w:r>
      <w:r>
        <w:rPr>
          <w:color w:val="171717"/>
          <w:w w:val="115"/>
          <w:sz w:val="26"/>
        </w:rPr>
        <w:t>Bhave,</w:t>
      </w:r>
      <w:r>
        <w:rPr>
          <w:color w:val="171717"/>
          <w:spacing w:val="-19"/>
          <w:w w:val="115"/>
          <w:sz w:val="26"/>
        </w:rPr>
        <w:t xml:space="preserve"> </w:t>
      </w:r>
      <w:r>
        <w:rPr>
          <w:color w:val="171717"/>
          <w:w w:val="115"/>
          <w:sz w:val="26"/>
        </w:rPr>
        <w:t>Eddú</w:t>
      </w:r>
      <w:r>
        <w:rPr>
          <w:color w:val="171717"/>
          <w:spacing w:val="-18"/>
          <w:w w:val="115"/>
          <w:sz w:val="26"/>
        </w:rPr>
        <w:t xml:space="preserve"> </w:t>
      </w:r>
      <w:r>
        <w:rPr>
          <w:color w:val="171717"/>
          <w:w w:val="115"/>
          <w:sz w:val="26"/>
        </w:rPr>
        <w:t>Meléndez,</w:t>
      </w:r>
      <w:r>
        <w:rPr>
          <w:color w:val="171717"/>
          <w:spacing w:val="-19"/>
          <w:w w:val="115"/>
          <w:sz w:val="26"/>
        </w:rPr>
        <w:t xml:space="preserve"> </w:t>
      </w:r>
      <w:r>
        <w:rPr>
          <w:color w:val="171717"/>
          <w:w w:val="115"/>
          <w:sz w:val="26"/>
        </w:rPr>
        <w:t>Scott</w:t>
      </w:r>
    </w:p>
    <w:p w14:paraId="19118F47" w14:textId="053483A2" w:rsidR="00A720EB" w:rsidRDefault="0030286B">
      <w:pPr>
        <w:spacing w:before="2"/>
        <w:ind w:right="123"/>
        <w:jc w:val="right"/>
        <w:rPr>
          <w:color w:val="171717"/>
          <w:w w:val="110"/>
          <w:sz w:val="26"/>
        </w:rPr>
      </w:pPr>
      <w:r>
        <w:rPr>
          <w:color w:val="171717"/>
          <w:w w:val="110"/>
          <w:sz w:val="26"/>
        </w:rPr>
        <w:t>Frederick</w:t>
      </w:r>
    </w:p>
    <w:p w14:paraId="4AAA92AD" w14:textId="3E9115DF" w:rsidR="0013421A" w:rsidRPr="0013421A" w:rsidRDefault="0013421A" w:rsidP="0013421A">
      <w:pPr>
        <w:pStyle w:val="a5"/>
        <w:jc w:val="right"/>
        <w:rPr>
          <w:color w:val="E36C0A" w:themeColor="accent6" w:themeShade="BF"/>
          <w:w w:val="110"/>
        </w:rPr>
      </w:pPr>
      <w:r w:rsidRPr="0013421A">
        <w:rPr>
          <w:color w:val="E36C0A" w:themeColor="accent6" w:themeShade="BF"/>
          <w:w w:val="110"/>
        </w:rPr>
        <w:t>Spring Boot</w:t>
      </w:r>
      <w:r w:rsidRPr="0013421A">
        <w:rPr>
          <w:rFonts w:ascii="宋体" w:eastAsia="宋体" w:hAnsi="宋体" w:cs="宋体" w:hint="eastAsia"/>
          <w:color w:val="E36C0A" w:themeColor="accent6" w:themeShade="BF"/>
          <w:w w:val="110"/>
        </w:rPr>
        <w:t>参考文档</w:t>
      </w:r>
    </w:p>
    <w:p w14:paraId="1A45DD10" w14:textId="77777777" w:rsidR="0013421A" w:rsidRPr="0013421A" w:rsidRDefault="0013421A" w:rsidP="0013421A">
      <w:pPr>
        <w:widowControl/>
        <w:autoSpaceDE/>
        <w:autoSpaceDN/>
        <w:spacing w:before="72" w:after="72"/>
        <w:jc w:val="right"/>
        <w:rPr>
          <w:rFonts w:ascii="Helvetica" w:eastAsia="宋体" w:hAnsi="Helvetica" w:cs="Helvetica"/>
          <w:color w:val="E36C0A" w:themeColor="accent6" w:themeShade="BF"/>
          <w:sz w:val="21"/>
          <w:szCs w:val="21"/>
          <w:lang w:eastAsia="zh-CN"/>
        </w:rPr>
      </w:pPr>
      <w:r w:rsidRPr="0013421A">
        <w:rPr>
          <w:rFonts w:ascii="宋体" w:eastAsia="宋体" w:hAnsi="宋体" w:cs="宋体"/>
          <w:color w:val="E36C0A" w:themeColor="accent6" w:themeShade="BF"/>
          <w:sz w:val="21"/>
          <w:szCs w:val="21"/>
          <w:lang w:eastAsia="zh-CN"/>
        </w:rPr>
        <w:t>菲利普</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韦伯（</w:t>
      </w:r>
      <w:r w:rsidRPr="0013421A">
        <w:rPr>
          <w:rFonts w:ascii="Helvetica" w:eastAsia="宋体" w:hAnsi="Helvetica" w:cs="Helvetica"/>
          <w:color w:val="E36C0A" w:themeColor="accent6" w:themeShade="BF"/>
          <w:sz w:val="21"/>
          <w:szCs w:val="21"/>
          <w:lang w:eastAsia="zh-CN"/>
        </w:rPr>
        <w:t>Phillip Webb</w:t>
      </w:r>
      <w:r w:rsidRPr="0013421A">
        <w:rPr>
          <w:rFonts w:ascii="宋体" w:eastAsia="宋体" w:hAnsi="宋体" w:cs="宋体"/>
          <w:color w:val="E36C0A" w:themeColor="accent6" w:themeShade="BF"/>
          <w:sz w:val="21"/>
          <w:szCs w:val="21"/>
          <w:lang w:eastAsia="zh-CN"/>
        </w:rPr>
        <w:t>），戴夫</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赛尔（</w:t>
      </w:r>
      <w:r w:rsidRPr="0013421A">
        <w:rPr>
          <w:rFonts w:ascii="Helvetica" w:eastAsia="宋体" w:hAnsi="Helvetica" w:cs="Helvetica"/>
          <w:color w:val="E36C0A" w:themeColor="accent6" w:themeShade="BF"/>
          <w:sz w:val="21"/>
          <w:szCs w:val="21"/>
          <w:lang w:eastAsia="zh-CN"/>
        </w:rPr>
        <w:t>Dave Syer</w:t>
      </w:r>
      <w:r w:rsidRPr="0013421A">
        <w:rPr>
          <w:rFonts w:ascii="宋体" w:eastAsia="宋体" w:hAnsi="宋体" w:cs="宋体"/>
          <w:color w:val="E36C0A" w:themeColor="accent6" w:themeShade="BF"/>
          <w:sz w:val="21"/>
          <w:szCs w:val="21"/>
          <w:lang w:eastAsia="zh-CN"/>
        </w:rPr>
        <w:t>），乔什</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朗（</w:t>
      </w:r>
      <w:r w:rsidRPr="0013421A">
        <w:rPr>
          <w:rFonts w:ascii="Helvetica" w:eastAsia="宋体" w:hAnsi="Helvetica" w:cs="Helvetica"/>
          <w:color w:val="E36C0A" w:themeColor="accent6" w:themeShade="BF"/>
          <w:sz w:val="21"/>
          <w:szCs w:val="21"/>
          <w:lang w:eastAsia="zh-CN"/>
        </w:rPr>
        <w:t>Josh Long</w:t>
      </w:r>
      <w:r w:rsidRPr="0013421A">
        <w:rPr>
          <w:rFonts w:ascii="宋体" w:eastAsia="宋体" w:hAnsi="宋体" w:cs="宋体"/>
          <w:color w:val="E36C0A" w:themeColor="accent6" w:themeShade="BF"/>
          <w:sz w:val="21"/>
          <w:szCs w:val="21"/>
          <w:lang w:eastAsia="zh-CN"/>
        </w:rPr>
        <w:t>），斯特凡</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尼科尔（</w:t>
      </w:r>
      <w:r w:rsidRPr="0013421A">
        <w:rPr>
          <w:rFonts w:ascii="Helvetica" w:eastAsia="宋体" w:hAnsi="Helvetica" w:cs="Helvetica"/>
          <w:color w:val="E36C0A" w:themeColor="accent6" w:themeShade="BF"/>
          <w:sz w:val="21"/>
          <w:szCs w:val="21"/>
          <w:lang w:eastAsia="zh-CN"/>
        </w:rPr>
        <w:t>StéphaneNic​​oll</w:t>
      </w:r>
      <w:r w:rsidRPr="0013421A">
        <w:rPr>
          <w:rFonts w:ascii="宋体" w:eastAsia="宋体" w:hAnsi="宋体" w:cs="宋体"/>
          <w:color w:val="E36C0A" w:themeColor="accent6" w:themeShade="BF"/>
          <w:sz w:val="21"/>
          <w:szCs w:val="21"/>
          <w:lang w:eastAsia="zh-CN"/>
        </w:rPr>
        <w:t>），罗伯</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温奇（</w:t>
      </w:r>
      <w:r w:rsidRPr="0013421A">
        <w:rPr>
          <w:rFonts w:ascii="Helvetica" w:eastAsia="宋体" w:hAnsi="Helvetica" w:cs="Helvetica"/>
          <w:color w:val="E36C0A" w:themeColor="accent6" w:themeShade="BF"/>
          <w:sz w:val="21"/>
          <w:szCs w:val="21"/>
          <w:lang w:eastAsia="zh-CN"/>
        </w:rPr>
        <w:t>Rob Winch</w:t>
      </w:r>
      <w:r w:rsidRPr="0013421A">
        <w:rPr>
          <w:rFonts w:ascii="宋体" w:eastAsia="宋体" w:hAnsi="宋体" w:cs="宋体"/>
          <w:color w:val="E36C0A" w:themeColor="accent6" w:themeShade="BF"/>
          <w:sz w:val="21"/>
          <w:szCs w:val="21"/>
          <w:lang w:eastAsia="zh-CN"/>
        </w:rPr>
        <w:t>），安迪</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威尔金森（</w:t>
      </w:r>
      <w:r w:rsidRPr="0013421A">
        <w:rPr>
          <w:rFonts w:ascii="Helvetica" w:eastAsia="宋体" w:hAnsi="Helvetica" w:cs="Helvetica"/>
          <w:color w:val="E36C0A" w:themeColor="accent6" w:themeShade="BF"/>
          <w:sz w:val="21"/>
          <w:szCs w:val="21"/>
          <w:lang w:eastAsia="zh-CN"/>
        </w:rPr>
        <w:t>Andy Wilkinson</w:t>
      </w:r>
      <w:r w:rsidRPr="0013421A">
        <w:rPr>
          <w:rFonts w:ascii="宋体" w:eastAsia="宋体" w:hAnsi="宋体" w:cs="宋体"/>
          <w:color w:val="E36C0A" w:themeColor="accent6" w:themeShade="BF"/>
          <w:sz w:val="21"/>
          <w:szCs w:val="21"/>
          <w:lang w:eastAsia="zh-CN"/>
        </w:rPr>
        <w:t>），马塞尔</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奥弗迪杰克（</w:t>
      </w:r>
      <w:r w:rsidRPr="0013421A">
        <w:rPr>
          <w:rFonts w:ascii="Helvetica" w:eastAsia="宋体" w:hAnsi="Helvetica" w:cs="Helvetica"/>
          <w:color w:val="E36C0A" w:themeColor="accent6" w:themeShade="BF"/>
          <w:sz w:val="21"/>
          <w:szCs w:val="21"/>
          <w:lang w:eastAsia="zh-CN"/>
        </w:rPr>
        <w:t>Marcel Overdijk</w:t>
      </w:r>
      <w:r w:rsidRPr="0013421A">
        <w:rPr>
          <w:rFonts w:ascii="宋体" w:eastAsia="宋体" w:hAnsi="宋体" w:cs="宋体"/>
          <w:color w:val="E36C0A" w:themeColor="accent6" w:themeShade="BF"/>
          <w:sz w:val="21"/>
          <w:szCs w:val="21"/>
          <w:lang w:eastAsia="zh-CN"/>
        </w:rPr>
        <w:t>），克里斯蒂安</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杜普依斯（</w:t>
      </w:r>
      <w:r w:rsidRPr="0013421A">
        <w:rPr>
          <w:rFonts w:ascii="Helvetica" w:eastAsia="宋体" w:hAnsi="Helvetica" w:cs="Helvetica"/>
          <w:color w:val="E36C0A" w:themeColor="accent6" w:themeShade="BF"/>
          <w:sz w:val="21"/>
          <w:szCs w:val="21"/>
          <w:lang w:eastAsia="zh-CN"/>
        </w:rPr>
        <w:t>Christian Dupuis</w:t>
      </w:r>
      <w:r w:rsidRPr="0013421A">
        <w:rPr>
          <w:rFonts w:ascii="宋体" w:eastAsia="宋体" w:hAnsi="宋体" w:cs="宋体"/>
          <w:color w:val="E36C0A" w:themeColor="accent6" w:themeShade="BF"/>
          <w:sz w:val="21"/>
          <w:szCs w:val="21"/>
          <w:lang w:eastAsia="zh-CN"/>
        </w:rPr>
        <w:t>），塞巴斯蒂安</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德勒兹（</w:t>
      </w:r>
      <w:r w:rsidRPr="0013421A">
        <w:rPr>
          <w:rFonts w:ascii="Helvetica" w:eastAsia="宋体" w:hAnsi="Helvetica" w:cs="Helvetica"/>
          <w:color w:val="E36C0A" w:themeColor="accent6" w:themeShade="BF"/>
          <w:sz w:val="21"/>
          <w:szCs w:val="21"/>
          <w:lang w:eastAsia="zh-CN"/>
        </w:rPr>
        <w:t>SébastienDeleuze</w:t>
      </w:r>
      <w:r w:rsidRPr="0013421A">
        <w:rPr>
          <w:rFonts w:ascii="宋体" w:eastAsia="宋体" w:hAnsi="宋体" w:cs="宋体"/>
          <w:color w:val="E36C0A" w:themeColor="accent6" w:themeShade="BF"/>
          <w:sz w:val="21"/>
          <w:szCs w:val="21"/>
          <w:lang w:eastAsia="zh-CN"/>
        </w:rPr>
        <w:t>），迈克尔</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西蒙斯（</w:t>
      </w:r>
      <w:r w:rsidRPr="0013421A">
        <w:rPr>
          <w:rFonts w:ascii="Helvetica" w:eastAsia="宋体" w:hAnsi="Helvetica" w:cs="Helvetica"/>
          <w:color w:val="E36C0A" w:themeColor="accent6" w:themeShade="BF"/>
          <w:sz w:val="21"/>
          <w:szCs w:val="21"/>
          <w:lang w:eastAsia="zh-CN"/>
        </w:rPr>
        <w:t>Michael Simons</w:t>
      </w:r>
      <w:r w:rsidRPr="0013421A">
        <w:rPr>
          <w:rFonts w:ascii="宋体" w:eastAsia="宋体" w:hAnsi="宋体" w:cs="宋体"/>
          <w:color w:val="E36C0A" w:themeColor="accent6" w:themeShade="BF"/>
          <w:sz w:val="21"/>
          <w:szCs w:val="21"/>
          <w:lang w:eastAsia="zh-CN"/>
        </w:rPr>
        <w:t>），韦德兰</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帕维奇（</w:t>
      </w:r>
      <w:r w:rsidRPr="0013421A">
        <w:rPr>
          <w:rFonts w:ascii="Helvetica" w:eastAsia="宋体" w:hAnsi="Helvetica" w:cs="Helvetica"/>
          <w:color w:val="E36C0A" w:themeColor="accent6" w:themeShade="BF"/>
          <w:sz w:val="21"/>
          <w:szCs w:val="21"/>
          <w:lang w:eastAsia="zh-CN"/>
        </w:rPr>
        <w:t>VedranPavić</w:t>
      </w:r>
      <w:r w:rsidRPr="0013421A">
        <w:rPr>
          <w:rFonts w:ascii="宋体" w:eastAsia="宋体" w:hAnsi="宋体" w:cs="宋体"/>
          <w:color w:val="E36C0A" w:themeColor="accent6" w:themeShade="BF"/>
          <w:sz w:val="21"/>
          <w:szCs w:val="21"/>
          <w:lang w:eastAsia="zh-CN"/>
        </w:rPr>
        <w:t>），杰伊</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布莱恩特（</w:t>
      </w:r>
      <w:r w:rsidRPr="0013421A">
        <w:rPr>
          <w:rFonts w:ascii="Helvetica" w:eastAsia="宋体" w:hAnsi="Helvetica" w:cs="Helvetica"/>
          <w:color w:val="E36C0A" w:themeColor="accent6" w:themeShade="BF"/>
          <w:sz w:val="21"/>
          <w:szCs w:val="21"/>
          <w:lang w:eastAsia="zh-CN"/>
        </w:rPr>
        <w:t>Madhura Bhave</w:t>
      </w:r>
      <w:r w:rsidRPr="0013421A">
        <w:rPr>
          <w:rFonts w:ascii="宋体" w:eastAsia="宋体" w:hAnsi="宋体" w:cs="宋体"/>
          <w:color w:val="E36C0A" w:themeColor="accent6" w:themeShade="BF"/>
          <w:sz w:val="21"/>
          <w:szCs w:val="21"/>
          <w:lang w:eastAsia="zh-CN"/>
        </w:rPr>
        <w:t>），埃德杜</w:t>
      </w:r>
      <w:r w:rsidRPr="0013421A">
        <w:rPr>
          <w:rFonts w:ascii="Helvetica" w:eastAsia="宋体" w:hAnsi="Helvetica" w:cs="Helvetica"/>
          <w:color w:val="E36C0A" w:themeColor="accent6" w:themeShade="BF"/>
          <w:sz w:val="21"/>
          <w:szCs w:val="21"/>
          <w:lang w:eastAsia="zh-CN"/>
        </w:rPr>
        <w:t>·</w:t>
      </w:r>
      <w:r w:rsidRPr="0013421A">
        <w:rPr>
          <w:rFonts w:ascii="宋体" w:eastAsia="宋体" w:hAnsi="宋体" w:cs="宋体"/>
          <w:color w:val="E36C0A" w:themeColor="accent6" w:themeShade="BF"/>
          <w:sz w:val="21"/>
          <w:szCs w:val="21"/>
          <w:lang w:eastAsia="zh-CN"/>
        </w:rPr>
        <w:t>梅隆德斯（</w:t>
      </w:r>
      <w:r w:rsidRPr="0013421A">
        <w:rPr>
          <w:rFonts w:ascii="Helvetica" w:eastAsia="宋体" w:hAnsi="Helvetica" w:cs="Helvetica"/>
          <w:color w:val="E36C0A" w:themeColor="accent6" w:themeShade="BF"/>
          <w:sz w:val="21"/>
          <w:szCs w:val="21"/>
          <w:lang w:eastAsia="zh-CN"/>
        </w:rPr>
        <w:t>EddMeléndez</w:t>
      </w:r>
      <w:r w:rsidRPr="0013421A">
        <w:rPr>
          <w:rFonts w:ascii="宋体" w:eastAsia="宋体" w:hAnsi="宋体" w:cs="宋体"/>
          <w:color w:val="E36C0A" w:themeColor="accent6" w:themeShade="BF"/>
          <w:sz w:val="21"/>
          <w:szCs w:val="21"/>
          <w:lang w:eastAsia="zh-CN"/>
        </w:rPr>
        <w:t>），斯科特（</w:t>
      </w:r>
      <w:r w:rsidRPr="0013421A">
        <w:rPr>
          <w:rFonts w:ascii="Helvetica" w:eastAsia="宋体" w:hAnsi="Helvetica" w:cs="Helvetica"/>
          <w:color w:val="E36C0A" w:themeColor="accent6" w:themeShade="BF"/>
          <w:sz w:val="21"/>
          <w:szCs w:val="21"/>
          <w:lang w:eastAsia="zh-CN"/>
        </w:rPr>
        <w:t>Scott</w:t>
      </w:r>
      <w:r w:rsidRPr="0013421A">
        <w:rPr>
          <w:rFonts w:ascii="Helvetica" w:eastAsia="宋体" w:hAnsi="Helvetica" w:cs="Helvetica"/>
          <w:color w:val="E36C0A" w:themeColor="accent6" w:themeShade="BF"/>
          <w:sz w:val="21"/>
          <w:szCs w:val="21"/>
          <w:lang w:eastAsia="zh-CN"/>
        </w:rPr>
        <w:t>）</w:t>
      </w:r>
    </w:p>
    <w:p w14:paraId="053E764C" w14:textId="77777777" w:rsidR="0013421A" w:rsidRPr="0013421A" w:rsidRDefault="0013421A" w:rsidP="0013421A">
      <w:pPr>
        <w:widowControl/>
        <w:autoSpaceDE/>
        <w:autoSpaceDN/>
        <w:spacing w:before="72" w:after="72"/>
        <w:jc w:val="right"/>
        <w:rPr>
          <w:rFonts w:ascii="Helvetica" w:eastAsia="宋体" w:hAnsi="Helvetica" w:cs="Helvetica"/>
          <w:color w:val="E36C0A" w:themeColor="accent6" w:themeShade="BF"/>
          <w:sz w:val="21"/>
          <w:szCs w:val="21"/>
          <w:lang w:eastAsia="zh-CN"/>
        </w:rPr>
      </w:pPr>
      <w:proofErr w:type="gramStart"/>
      <w:r w:rsidRPr="0013421A">
        <w:rPr>
          <w:rFonts w:ascii="Helvetica" w:eastAsia="宋体" w:hAnsi="Helvetica" w:cs="Helvetica"/>
          <w:color w:val="E36C0A" w:themeColor="accent6" w:themeShade="BF"/>
          <w:sz w:val="21"/>
          <w:szCs w:val="21"/>
          <w:lang w:eastAsia="zh-CN"/>
        </w:rPr>
        <w:t>弗</w:t>
      </w:r>
      <w:proofErr w:type="gramEnd"/>
      <w:r w:rsidRPr="0013421A">
        <w:rPr>
          <w:rFonts w:ascii="Helvetica" w:eastAsia="宋体" w:hAnsi="Helvetica" w:cs="Helvetica"/>
          <w:color w:val="E36C0A" w:themeColor="accent6" w:themeShade="BF"/>
          <w:sz w:val="21"/>
          <w:szCs w:val="21"/>
          <w:lang w:eastAsia="zh-CN"/>
        </w:rPr>
        <w:t>雷德里克</w:t>
      </w:r>
    </w:p>
    <w:p w14:paraId="51B25E59" w14:textId="77777777" w:rsidR="00A720EB" w:rsidRDefault="00A720EB">
      <w:pPr>
        <w:jc w:val="right"/>
        <w:rPr>
          <w:sz w:val="26"/>
        </w:rPr>
        <w:sectPr w:rsidR="00A720EB">
          <w:footerReference w:type="even" r:id="rId8"/>
          <w:type w:val="continuous"/>
          <w:pgSz w:w="11910" w:h="16840"/>
          <w:pgMar w:top="1580" w:right="840" w:bottom="280" w:left="840" w:header="720" w:footer="0" w:gutter="0"/>
          <w:pgNumType w:start="18"/>
          <w:cols w:space="720"/>
        </w:sectPr>
      </w:pPr>
    </w:p>
    <w:p w14:paraId="52025BD5" w14:textId="77777777" w:rsidR="00A720EB" w:rsidRDefault="0030286B" w:rsidP="00424A0E">
      <w:pPr>
        <w:spacing w:before="90"/>
        <w:ind w:left="124"/>
        <w:rPr>
          <w:rFonts w:ascii="宋体" w:eastAsia="宋体" w:hAnsi="宋体" w:cs="宋体"/>
          <w:color w:val="E36C0A" w:themeColor="accent6" w:themeShade="BF"/>
          <w:sz w:val="44"/>
          <w:lang w:eastAsia="zh-CN"/>
        </w:rPr>
      </w:pPr>
      <w:bookmarkStart w:id="1" w:name="Table_of_Contents"/>
      <w:bookmarkEnd w:id="1"/>
      <w:r>
        <w:rPr>
          <w:rFonts w:ascii="Palatino Linotype"/>
          <w:b/>
          <w:color w:val="333333"/>
          <w:w w:val="110"/>
          <w:sz w:val="44"/>
        </w:rPr>
        <w:lastRenderedPageBreak/>
        <w:t>Table of Contents</w:t>
      </w:r>
      <w:r w:rsidR="00424A0E">
        <w:rPr>
          <w:rFonts w:ascii="Palatino Linotype"/>
          <w:b/>
          <w:color w:val="333333"/>
          <w:w w:val="110"/>
          <w:sz w:val="44"/>
        </w:rPr>
        <w:t xml:space="preserve"> </w:t>
      </w:r>
      <w:r w:rsidR="00424A0E" w:rsidRPr="00424A0E">
        <w:rPr>
          <w:rFonts w:ascii="宋体" w:eastAsia="宋体" w:hAnsi="宋体" w:cs="宋体" w:hint="eastAsia"/>
          <w:color w:val="E36C0A" w:themeColor="accent6" w:themeShade="BF"/>
          <w:sz w:val="44"/>
          <w:lang w:eastAsia="zh-CN"/>
        </w:rPr>
        <w:t>目录</w:t>
      </w:r>
    </w:p>
    <w:p w14:paraId="4FD7A8BF" w14:textId="14610528" w:rsidR="00E10349" w:rsidRPr="00424A0E" w:rsidRDefault="00E10349" w:rsidP="00E10349">
      <w:pPr>
        <w:spacing w:before="90"/>
        <w:rPr>
          <w:rFonts w:ascii="Palatino Linotype" w:hint="eastAsia"/>
          <w:b/>
          <w:sz w:val="44"/>
        </w:rPr>
        <w:sectPr w:rsidR="00E10349" w:rsidRPr="00424A0E">
          <w:pgSz w:w="11910" w:h="16840"/>
          <w:pgMar w:top="620" w:right="840" w:bottom="1042" w:left="840" w:header="0" w:footer="0" w:gutter="0"/>
          <w:cols w:space="720"/>
        </w:sectPr>
      </w:pPr>
    </w:p>
    <w:sdt>
      <w:sdtPr>
        <w:rPr>
          <w:lang w:val="zh-CN"/>
        </w:rPr>
        <w:id w:val="2097824738"/>
        <w:docPartObj>
          <w:docPartGallery w:val="Table of Contents"/>
          <w:docPartUnique/>
        </w:docPartObj>
      </w:sdtPr>
      <w:sdtEndPr>
        <w:rPr>
          <w:rFonts w:ascii="Cambria" w:eastAsia="Cambria" w:hAnsi="Cambria" w:cs="Cambria"/>
          <w:b/>
          <w:bCs/>
          <w:color w:val="auto"/>
          <w:sz w:val="22"/>
          <w:szCs w:val="22"/>
          <w:lang w:eastAsia="en-US"/>
        </w:rPr>
      </w:sdtEndPr>
      <w:sdtContent>
        <w:p w14:paraId="0B26F4E9" w14:textId="436FF141" w:rsidR="00E10349" w:rsidRPr="00E10349" w:rsidRDefault="00E10349" w:rsidP="00E10349">
          <w:pPr>
            <w:pStyle w:val="TOC"/>
            <w:ind w:firstLine="123"/>
            <w:rPr>
              <w:rFonts w:ascii="Cambria" w:eastAsia="Cambria" w:hAnsi="Cambria" w:cs="Cambria"/>
              <w:noProof/>
              <w:color w:val="auto"/>
              <w:sz w:val="21"/>
              <w:szCs w:val="21"/>
              <w:lang w:eastAsia="en-US"/>
            </w:rPr>
          </w:pPr>
          <w:r>
            <w:fldChar w:fldCharType="begin"/>
          </w:r>
          <w:r>
            <w:instrText xml:space="preserve"> TOC \o "1-3" \h \z \u </w:instrText>
          </w:r>
          <w:r>
            <w:fldChar w:fldCharType="separate"/>
          </w:r>
          <w:hyperlink w:anchor="_Toc54423655" w:history="1">
            <w:r w:rsidRPr="00E10349">
              <w:rPr>
                <w:rFonts w:ascii="Cambria" w:eastAsia="Cambria" w:hAnsi="Cambria" w:cs="Cambria"/>
                <w:color w:val="auto"/>
                <w:sz w:val="21"/>
                <w:szCs w:val="21"/>
                <w:lang w:eastAsia="en-US"/>
              </w:rPr>
              <w:t>Legal</w:t>
            </w:r>
            <w:r w:rsidRPr="00E10349">
              <w:rPr>
                <w:rFonts w:ascii="Cambria" w:eastAsia="Cambria" w:hAnsi="Cambria" w:cs="Cambria"/>
                <w:noProof/>
                <w:webHidden/>
                <w:color w:val="auto"/>
                <w:sz w:val="21"/>
                <w:szCs w:val="21"/>
                <w:lang w:eastAsia="en-US"/>
              </w:rPr>
              <w:tab/>
            </w:r>
            <w:r w:rsidRPr="00E10349">
              <w:rPr>
                <w:rFonts w:ascii="Cambria" w:eastAsia="Cambria" w:hAnsi="Cambria" w:cs="Cambria"/>
                <w:noProof/>
                <w:webHidden/>
                <w:color w:val="auto"/>
                <w:sz w:val="21"/>
                <w:szCs w:val="21"/>
                <w:lang w:eastAsia="en-US"/>
              </w:rPr>
              <w:fldChar w:fldCharType="begin"/>
            </w:r>
            <w:r w:rsidRPr="00E10349">
              <w:rPr>
                <w:rFonts w:ascii="Cambria" w:eastAsia="Cambria" w:hAnsi="Cambria" w:cs="Cambria"/>
                <w:noProof/>
                <w:webHidden/>
                <w:color w:val="auto"/>
                <w:sz w:val="21"/>
                <w:szCs w:val="21"/>
                <w:lang w:eastAsia="en-US"/>
              </w:rPr>
              <w:instrText xml:space="preserve"> PAGEREF _Toc54423655 \h </w:instrText>
            </w:r>
            <w:r w:rsidRPr="00E10349">
              <w:rPr>
                <w:rFonts w:ascii="Cambria" w:eastAsia="Cambria" w:hAnsi="Cambria" w:cs="Cambria"/>
                <w:noProof/>
                <w:webHidden/>
                <w:color w:val="auto"/>
                <w:sz w:val="21"/>
                <w:szCs w:val="21"/>
                <w:lang w:eastAsia="en-US"/>
              </w:rPr>
            </w:r>
            <w:r w:rsidRPr="00E10349">
              <w:rPr>
                <w:rFonts w:ascii="Cambria" w:eastAsia="Cambria" w:hAnsi="Cambria" w:cs="Cambria"/>
                <w:noProof/>
                <w:webHidden/>
                <w:color w:val="auto"/>
                <w:sz w:val="21"/>
                <w:szCs w:val="21"/>
                <w:lang w:eastAsia="en-US"/>
              </w:rPr>
              <w:fldChar w:fldCharType="separate"/>
            </w:r>
            <w:r w:rsidRPr="00E10349">
              <w:rPr>
                <w:rFonts w:ascii="Cambria" w:eastAsia="Cambria" w:hAnsi="Cambria" w:cs="Cambria"/>
                <w:noProof/>
                <w:webHidden/>
                <w:color w:val="auto"/>
                <w:sz w:val="21"/>
                <w:szCs w:val="21"/>
                <w:lang w:eastAsia="en-US"/>
              </w:rPr>
              <w:t>1</w:t>
            </w:r>
            <w:r w:rsidRPr="00E10349">
              <w:rPr>
                <w:rFonts w:ascii="Cambria" w:eastAsia="Cambria" w:hAnsi="Cambria" w:cs="Cambria"/>
                <w:noProof/>
                <w:webHidden/>
                <w:color w:val="auto"/>
                <w:sz w:val="21"/>
                <w:szCs w:val="21"/>
                <w:lang w:eastAsia="en-US"/>
              </w:rPr>
              <w:fldChar w:fldCharType="end"/>
            </w:r>
          </w:hyperlink>
        </w:p>
        <w:p w14:paraId="708E4E68" w14:textId="32877E69" w:rsidR="00E10349" w:rsidRDefault="00E10349">
          <w:pPr>
            <w:pStyle w:val="TOC1"/>
            <w:tabs>
              <w:tab w:val="right" w:leader="dot" w:pos="10220"/>
            </w:tabs>
            <w:rPr>
              <w:rFonts w:asciiTheme="minorHAnsi" w:eastAsiaTheme="minorEastAsia" w:hAnsiTheme="minorHAnsi" w:cstheme="minorBidi"/>
              <w:noProof/>
              <w:kern w:val="2"/>
              <w:szCs w:val="22"/>
              <w:lang w:eastAsia="zh-CN"/>
            </w:rPr>
          </w:pPr>
          <w:hyperlink w:anchor="_Toc54423656" w:history="1">
            <w:r w:rsidRPr="00265A01">
              <w:rPr>
                <w:rStyle w:val="a9"/>
                <w:rFonts w:ascii="宋体" w:eastAsia="宋体" w:hAnsi="宋体" w:cs="宋体"/>
                <w:noProof/>
                <w:w w:val="110"/>
                <w:lang w:eastAsia="zh-CN"/>
              </w:rPr>
              <w:t>法律声明</w:t>
            </w:r>
            <w:r>
              <w:rPr>
                <w:noProof/>
                <w:webHidden/>
              </w:rPr>
              <w:tab/>
            </w:r>
            <w:r>
              <w:rPr>
                <w:noProof/>
                <w:webHidden/>
              </w:rPr>
              <w:fldChar w:fldCharType="begin"/>
            </w:r>
            <w:r>
              <w:rPr>
                <w:noProof/>
                <w:webHidden/>
              </w:rPr>
              <w:instrText xml:space="preserve"> PAGEREF _Toc54423656 \h </w:instrText>
            </w:r>
            <w:r>
              <w:rPr>
                <w:noProof/>
                <w:webHidden/>
              </w:rPr>
            </w:r>
            <w:r>
              <w:rPr>
                <w:noProof/>
                <w:webHidden/>
              </w:rPr>
              <w:fldChar w:fldCharType="separate"/>
            </w:r>
            <w:r>
              <w:rPr>
                <w:noProof/>
                <w:webHidden/>
              </w:rPr>
              <w:t>1</w:t>
            </w:r>
            <w:r>
              <w:rPr>
                <w:noProof/>
                <w:webHidden/>
              </w:rPr>
              <w:fldChar w:fldCharType="end"/>
            </w:r>
          </w:hyperlink>
        </w:p>
        <w:p w14:paraId="1E62DBBA" w14:textId="43590C94"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57" w:history="1">
            <w:r w:rsidRPr="00265A01">
              <w:rPr>
                <w:rStyle w:val="a9"/>
                <w:noProof/>
                <w:spacing w:val="-1"/>
                <w:w w:val="113"/>
              </w:rPr>
              <w:t>1.1.</w:t>
            </w:r>
            <w:r>
              <w:rPr>
                <w:rFonts w:asciiTheme="minorHAnsi" w:eastAsiaTheme="minorEastAsia" w:hAnsiTheme="minorHAnsi" w:cstheme="minorBidi"/>
                <w:noProof/>
                <w:kern w:val="2"/>
                <w:szCs w:val="22"/>
                <w:lang w:eastAsia="zh-CN"/>
              </w:rPr>
              <w:tab/>
            </w:r>
            <w:r w:rsidRPr="00265A01">
              <w:rPr>
                <w:rStyle w:val="a9"/>
                <w:rFonts w:ascii="宋体" w:eastAsia="宋体" w:hAnsi="宋体" w:cs="宋体"/>
                <w:noProof/>
                <w:w w:val="110"/>
                <w:lang w:eastAsia="zh-CN"/>
              </w:rPr>
              <w:t>About the Documentation 有关文献</w:t>
            </w:r>
            <w:r>
              <w:rPr>
                <w:noProof/>
                <w:webHidden/>
              </w:rPr>
              <w:tab/>
            </w:r>
            <w:r>
              <w:rPr>
                <w:noProof/>
                <w:webHidden/>
              </w:rPr>
              <w:fldChar w:fldCharType="begin"/>
            </w:r>
            <w:r>
              <w:rPr>
                <w:noProof/>
                <w:webHidden/>
              </w:rPr>
              <w:instrText xml:space="preserve"> PAGEREF _Toc54423657 \h </w:instrText>
            </w:r>
            <w:r>
              <w:rPr>
                <w:noProof/>
                <w:webHidden/>
              </w:rPr>
            </w:r>
            <w:r>
              <w:rPr>
                <w:noProof/>
                <w:webHidden/>
              </w:rPr>
              <w:fldChar w:fldCharType="separate"/>
            </w:r>
            <w:r>
              <w:rPr>
                <w:noProof/>
                <w:webHidden/>
              </w:rPr>
              <w:t>2</w:t>
            </w:r>
            <w:r>
              <w:rPr>
                <w:noProof/>
                <w:webHidden/>
              </w:rPr>
              <w:fldChar w:fldCharType="end"/>
            </w:r>
          </w:hyperlink>
        </w:p>
        <w:p w14:paraId="5194306E" w14:textId="4E0300B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58" w:history="1">
            <w:r w:rsidRPr="00265A01">
              <w:rPr>
                <w:rStyle w:val="a9"/>
                <w:noProof/>
                <w:spacing w:val="-1"/>
                <w:w w:val="113"/>
              </w:rPr>
              <w:t>1.2.</w:t>
            </w:r>
            <w:r>
              <w:rPr>
                <w:rFonts w:asciiTheme="minorHAnsi" w:eastAsiaTheme="minorEastAsia" w:hAnsiTheme="minorHAnsi" w:cstheme="minorBidi"/>
                <w:noProof/>
                <w:kern w:val="2"/>
                <w:szCs w:val="22"/>
                <w:lang w:eastAsia="zh-CN"/>
              </w:rPr>
              <w:tab/>
            </w:r>
            <w:r w:rsidRPr="00265A01">
              <w:rPr>
                <w:rStyle w:val="a9"/>
                <w:noProof/>
                <w:w w:val="105"/>
              </w:rPr>
              <w:t>Getting</w:t>
            </w:r>
            <w:r w:rsidRPr="00265A01">
              <w:rPr>
                <w:rStyle w:val="a9"/>
                <w:noProof/>
                <w:spacing w:val="-2"/>
                <w:w w:val="105"/>
              </w:rPr>
              <w:t xml:space="preserve"> </w:t>
            </w:r>
            <w:r w:rsidRPr="00265A01">
              <w:rPr>
                <w:rStyle w:val="a9"/>
                <w:noProof/>
                <w:w w:val="105"/>
              </w:rPr>
              <w:t xml:space="preserve">Help </w:t>
            </w:r>
            <w:r w:rsidRPr="00265A01">
              <w:rPr>
                <w:rStyle w:val="a9"/>
                <w:rFonts w:ascii="宋体" w:eastAsia="宋体" w:hAnsi="宋体" w:cs="宋体"/>
                <w:noProof/>
                <w:w w:val="105"/>
              </w:rPr>
              <w:t>获得帮助</w:t>
            </w:r>
            <w:r>
              <w:rPr>
                <w:noProof/>
                <w:webHidden/>
              </w:rPr>
              <w:tab/>
            </w:r>
            <w:r>
              <w:rPr>
                <w:noProof/>
                <w:webHidden/>
              </w:rPr>
              <w:fldChar w:fldCharType="begin"/>
            </w:r>
            <w:r>
              <w:rPr>
                <w:noProof/>
                <w:webHidden/>
              </w:rPr>
              <w:instrText xml:space="preserve"> PAGEREF _Toc54423658 \h </w:instrText>
            </w:r>
            <w:r>
              <w:rPr>
                <w:noProof/>
                <w:webHidden/>
              </w:rPr>
            </w:r>
            <w:r>
              <w:rPr>
                <w:noProof/>
                <w:webHidden/>
              </w:rPr>
              <w:fldChar w:fldCharType="separate"/>
            </w:r>
            <w:r>
              <w:rPr>
                <w:noProof/>
                <w:webHidden/>
              </w:rPr>
              <w:t>2</w:t>
            </w:r>
            <w:r>
              <w:rPr>
                <w:noProof/>
                <w:webHidden/>
              </w:rPr>
              <w:fldChar w:fldCharType="end"/>
            </w:r>
          </w:hyperlink>
        </w:p>
        <w:p w14:paraId="3D12DF33" w14:textId="3C112E6D"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59" w:history="1">
            <w:r w:rsidRPr="00265A01">
              <w:rPr>
                <w:rStyle w:val="a9"/>
                <w:noProof/>
                <w:spacing w:val="-1"/>
                <w:w w:val="113"/>
              </w:rPr>
              <w:t>1.3.</w:t>
            </w:r>
            <w:r>
              <w:rPr>
                <w:rFonts w:asciiTheme="minorHAnsi" w:eastAsiaTheme="minorEastAsia" w:hAnsiTheme="minorHAnsi" w:cstheme="minorBidi"/>
                <w:noProof/>
                <w:kern w:val="2"/>
                <w:szCs w:val="22"/>
                <w:lang w:eastAsia="zh-CN"/>
              </w:rPr>
              <w:tab/>
            </w:r>
            <w:r w:rsidRPr="00265A01">
              <w:rPr>
                <w:rStyle w:val="a9"/>
                <w:noProof/>
                <w:w w:val="110"/>
              </w:rPr>
              <w:t>First</w:t>
            </w:r>
            <w:r w:rsidRPr="00265A01">
              <w:rPr>
                <w:rStyle w:val="a9"/>
                <w:noProof/>
                <w:spacing w:val="-6"/>
                <w:w w:val="110"/>
              </w:rPr>
              <w:t xml:space="preserve"> </w:t>
            </w:r>
            <w:r w:rsidRPr="00265A01">
              <w:rPr>
                <w:rStyle w:val="a9"/>
                <w:noProof/>
                <w:w w:val="110"/>
              </w:rPr>
              <w:t xml:space="preserve">Steps </w:t>
            </w:r>
            <w:r w:rsidRPr="00265A01">
              <w:rPr>
                <w:rStyle w:val="a9"/>
                <w:rFonts w:ascii="宋体" w:eastAsia="宋体" w:hAnsi="宋体" w:cs="宋体"/>
                <w:noProof/>
                <w:w w:val="110"/>
              </w:rPr>
              <w:t>第一步</w:t>
            </w:r>
            <w:r>
              <w:rPr>
                <w:noProof/>
                <w:webHidden/>
              </w:rPr>
              <w:tab/>
            </w:r>
            <w:r>
              <w:rPr>
                <w:noProof/>
                <w:webHidden/>
              </w:rPr>
              <w:fldChar w:fldCharType="begin"/>
            </w:r>
            <w:r>
              <w:rPr>
                <w:noProof/>
                <w:webHidden/>
              </w:rPr>
              <w:instrText xml:space="preserve"> PAGEREF _Toc54423659 \h </w:instrText>
            </w:r>
            <w:r>
              <w:rPr>
                <w:noProof/>
                <w:webHidden/>
              </w:rPr>
            </w:r>
            <w:r>
              <w:rPr>
                <w:noProof/>
                <w:webHidden/>
              </w:rPr>
              <w:fldChar w:fldCharType="separate"/>
            </w:r>
            <w:r>
              <w:rPr>
                <w:noProof/>
                <w:webHidden/>
              </w:rPr>
              <w:t>3</w:t>
            </w:r>
            <w:r>
              <w:rPr>
                <w:noProof/>
                <w:webHidden/>
              </w:rPr>
              <w:fldChar w:fldCharType="end"/>
            </w:r>
          </w:hyperlink>
        </w:p>
        <w:p w14:paraId="18098F4E" w14:textId="16CD498B"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60" w:history="1">
            <w:r w:rsidRPr="00265A01">
              <w:rPr>
                <w:rStyle w:val="a9"/>
                <w:noProof/>
                <w:spacing w:val="-1"/>
                <w:w w:val="113"/>
              </w:rPr>
              <w:t>1.4.</w:t>
            </w:r>
            <w:r>
              <w:rPr>
                <w:rFonts w:asciiTheme="minorHAnsi" w:eastAsiaTheme="minorEastAsia" w:hAnsiTheme="minorHAnsi" w:cstheme="minorBidi"/>
                <w:noProof/>
                <w:kern w:val="2"/>
                <w:szCs w:val="22"/>
                <w:lang w:eastAsia="zh-CN"/>
              </w:rPr>
              <w:tab/>
            </w:r>
            <w:r w:rsidRPr="00265A01">
              <w:rPr>
                <w:rStyle w:val="a9"/>
                <w:noProof/>
                <w:spacing w:val="-4"/>
                <w:w w:val="110"/>
              </w:rPr>
              <w:t xml:space="preserve">Working </w:t>
            </w:r>
            <w:r w:rsidRPr="00265A01">
              <w:rPr>
                <w:rStyle w:val="a9"/>
                <w:noProof/>
                <w:w w:val="110"/>
              </w:rPr>
              <w:t>with Spring</w:t>
            </w:r>
            <w:r w:rsidRPr="00265A01">
              <w:rPr>
                <w:rStyle w:val="a9"/>
                <w:noProof/>
                <w:spacing w:val="-22"/>
                <w:w w:val="110"/>
              </w:rPr>
              <w:t xml:space="preserve"> </w:t>
            </w:r>
            <w:r w:rsidRPr="00265A01">
              <w:rPr>
                <w:rStyle w:val="a9"/>
                <w:noProof/>
                <w:w w:val="110"/>
              </w:rPr>
              <w:t xml:space="preserve">Boot </w:t>
            </w:r>
            <w:r w:rsidRPr="00265A01">
              <w:rPr>
                <w:rStyle w:val="a9"/>
                <w:rFonts w:ascii="宋体" w:eastAsia="宋体" w:hAnsi="宋体" w:cs="宋体"/>
                <w:noProof/>
                <w:w w:val="110"/>
              </w:rPr>
              <w:t>使用</w:t>
            </w:r>
            <w:r w:rsidRPr="00265A01">
              <w:rPr>
                <w:rStyle w:val="a9"/>
                <w:noProof/>
                <w:w w:val="110"/>
              </w:rPr>
              <w:t xml:space="preserve"> Spring Boot</w:t>
            </w:r>
            <w:r>
              <w:rPr>
                <w:noProof/>
                <w:webHidden/>
              </w:rPr>
              <w:tab/>
            </w:r>
            <w:r>
              <w:rPr>
                <w:noProof/>
                <w:webHidden/>
              </w:rPr>
              <w:fldChar w:fldCharType="begin"/>
            </w:r>
            <w:r>
              <w:rPr>
                <w:noProof/>
                <w:webHidden/>
              </w:rPr>
              <w:instrText xml:space="preserve"> PAGEREF _Toc54423660 \h </w:instrText>
            </w:r>
            <w:r>
              <w:rPr>
                <w:noProof/>
                <w:webHidden/>
              </w:rPr>
            </w:r>
            <w:r>
              <w:rPr>
                <w:noProof/>
                <w:webHidden/>
              </w:rPr>
              <w:fldChar w:fldCharType="separate"/>
            </w:r>
            <w:r>
              <w:rPr>
                <w:noProof/>
                <w:webHidden/>
              </w:rPr>
              <w:t>3</w:t>
            </w:r>
            <w:r>
              <w:rPr>
                <w:noProof/>
                <w:webHidden/>
              </w:rPr>
              <w:fldChar w:fldCharType="end"/>
            </w:r>
          </w:hyperlink>
        </w:p>
        <w:p w14:paraId="41CB6CC4" w14:textId="4B399F66"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61" w:history="1">
            <w:r w:rsidRPr="00265A01">
              <w:rPr>
                <w:rStyle w:val="a9"/>
                <w:noProof/>
                <w:spacing w:val="-1"/>
                <w:w w:val="113"/>
              </w:rPr>
              <w:t>1.5.</w:t>
            </w:r>
            <w:r>
              <w:rPr>
                <w:rFonts w:asciiTheme="minorHAnsi" w:eastAsiaTheme="minorEastAsia" w:hAnsiTheme="minorHAnsi" w:cstheme="minorBidi"/>
                <w:noProof/>
                <w:kern w:val="2"/>
                <w:szCs w:val="22"/>
                <w:lang w:eastAsia="zh-CN"/>
              </w:rPr>
              <w:tab/>
            </w:r>
            <w:r w:rsidRPr="00265A01">
              <w:rPr>
                <w:rStyle w:val="a9"/>
                <w:noProof/>
                <w:w w:val="110"/>
              </w:rPr>
              <w:t>Learning about Spring Boot</w:t>
            </w:r>
            <w:r w:rsidRPr="00265A01">
              <w:rPr>
                <w:rStyle w:val="a9"/>
                <w:noProof/>
                <w:spacing w:val="-18"/>
                <w:w w:val="110"/>
              </w:rPr>
              <w:t xml:space="preserve"> </w:t>
            </w:r>
            <w:r w:rsidRPr="00265A01">
              <w:rPr>
                <w:rStyle w:val="a9"/>
                <w:noProof/>
                <w:spacing w:val="-3"/>
                <w:w w:val="110"/>
              </w:rPr>
              <w:t xml:space="preserve">Features </w:t>
            </w:r>
            <w:r w:rsidRPr="00265A01">
              <w:rPr>
                <w:rStyle w:val="a9"/>
                <w:rFonts w:ascii="宋体" w:eastAsia="宋体" w:hAnsi="宋体" w:cs="宋体"/>
                <w:noProof/>
                <w:spacing w:val="-3"/>
                <w:w w:val="110"/>
              </w:rPr>
              <w:t>学习</w:t>
            </w:r>
            <w:r w:rsidRPr="00265A01">
              <w:rPr>
                <w:rStyle w:val="a9"/>
                <w:noProof/>
                <w:spacing w:val="-3"/>
                <w:w w:val="110"/>
              </w:rPr>
              <w:t xml:space="preserve"> Spring Boot </w:t>
            </w:r>
            <w:r w:rsidRPr="00265A01">
              <w:rPr>
                <w:rStyle w:val="a9"/>
                <w:rFonts w:ascii="宋体" w:eastAsia="宋体" w:hAnsi="宋体" w:cs="宋体"/>
                <w:noProof/>
                <w:spacing w:val="-3"/>
                <w:w w:val="110"/>
              </w:rPr>
              <w:t>的特性</w:t>
            </w:r>
            <w:r>
              <w:rPr>
                <w:noProof/>
                <w:webHidden/>
              </w:rPr>
              <w:tab/>
            </w:r>
            <w:r>
              <w:rPr>
                <w:noProof/>
                <w:webHidden/>
              </w:rPr>
              <w:fldChar w:fldCharType="begin"/>
            </w:r>
            <w:r>
              <w:rPr>
                <w:noProof/>
                <w:webHidden/>
              </w:rPr>
              <w:instrText xml:space="preserve"> PAGEREF _Toc54423661 \h </w:instrText>
            </w:r>
            <w:r>
              <w:rPr>
                <w:noProof/>
                <w:webHidden/>
              </w:rPr>
            </w:r>
            <w:r>
              <w:rPr>
                <w:noProof/>
                <w:webHidden/>
              </w:rPr>
              <w:fldChar w:fldCharType="separate"/>
            </w:r>
            <w:r>
              <w:rPr>
                <w:noProof/>
                <w:webHidden/>
              </w:rPr>
              <w:t>3</w:t>
            </w:r>
            <w:r>
              <w:rPr>
                <w:noProof/>
                <w:webHidden/>
              </w:rPr>
              <w:fldChar w:fldCharType="end"/>
            </w:r>
          </w:hyperlink>
        </w:p>
        <w:p w14:paraId="34187558" w14:textId="7431B966"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62" w:history="1">
            <w:r w:rsidRPr="00265A01">
              <w:rPr>
                <w:rStyle w:val="a9"/>
                <w:noProof/>
                <w:spacing w:val="-1"/>
                <w:w w:val="113"/>
              </w:rPr>
              <w:t>1.6.</w:t>
            </w:r>
            <w:r>
              <w:rPr>
                <w:rFonts w:asciiTheme="minorHAnsi" w:eastAsiaTheme="minorEastAsia" w:hAnsiTheme="minorHAnsi" w:cstheme="minorBidi"/>
                <w:noProof/>
                <w:kern w:val="2"/>
                <w:szCs w:val="22"/>
                <w:lang w:eastAsia="zh-CN"/>
              </w:rPr>
              <w:tab/>
            </w:r>
            <w:r w:rsidRPr="00265A01">
              <w:rPr>
                <w:rStyle w:val="a9"/>
                <w:noProof/>
                <w:w w:val="110"/>
              </w:rPr>
              <w:t>Moving to</w:t>
            </w:r>
            <w:r w:rsidRPr="00265A01">
              <w:rPr>
                <w:rStyle w:val="a9"/>
                <w:noProof/>
                <w:spacing w:val="-15"/>
                <w:w w:val="110"/>
              </w:rPr>
              <w:t xml:space="preserve"> </w:t>
            </w:r>
            <w:r w:rsidRPr="00265A01">
              <w:rPr>
                <w:rStyle w:val="a9"/>
                <w:noProof/>
                <w:w w:val="110"/>
              </w:rPr>
              <w:t xml:space="preserve">Production </w:t>
            </w:r>
            <w:r w:rsidRPr="00265A01">
              <w:rPr>
                <w:rStyle w:val="a9"/>
                <w:rFonts w:ascii="宋体" w:eastAsia="宋体" w:hAnsi="宋体" w:cs="宋体"/>
                <w:noProof/>
                <w:w w:val="110"/>
              </w:rPr>
              <w:t>进入生产阶段</w:t>
            </w:r>
            <w:r>
              <w:rPr>
                <w:noProof/>
                <w:webHidden/>
              </w:rPr>
              <w:tab/>
            </w:r>
            <w:r>
              <w:rPr>
                <w:noProof/>
                <w:webHidden/>
              </w:rPr>
              <w:fldChar w:fldCharType="begin"/>
            </w:r>
            <w:r>
              <w:rPr>
                <w:noProof/>
                <w:webHidden/>
              </w:rPr>
              <w:instrText xml:space="preserve"> PAGEREF _Toc54423662 \h </w:instrText>
            </w:r>
            <w:r>
              <w:rPr>
                <w:noProof/>
                <w:webHidden/>
              </w:rPr>
            </w:r>
            <w:r>
              <w:rPr>
                <w:noProof/>
                <w:webHidden/>
              </w:rPr>
              <w:fldChar w:fldCharType="separate"/>
            </w:r>
            <w:r>
              <w:rPr>
                <w:noProof/>
                <w:webHidden/>
              </w:rPr>
              <w:t>4</w:t>
            </w:r>
            <w:r>
              <w:rPr>
                <w:noProof/>
                <w:webHidden/>
              </w:rPr>
              <w:fldChar w:fldCharType="end"/>
            </w:r>
          </w:hyperlink>
        </w:p>
        <w:p w14:paraId="295A7827" w14:textId="50407125"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63" w:history="1">
            <w:r w:rsidRPr="00265A01">
              <w:rPr>
                <w:rStyle w:val="a9"/>
                <w:noProof/>
                <w:spacing w:val="-1"/>
                <w:w w:val="113"/>
              </w:rPr>
              <w:t>1.7.</w:t>
            </w:r>
            <w:r>
              <w:rPr>
                <w:rFonts w:asciiTheme="minorHAnsi" w:eastAsiaTheme="minorEastAsia" w:hAnsiTheme="minorHAnsi" w:cstheme="minorBidi"/>
                <w:noProof/>
                <w:kern w:val="2"/>
                <w:szCs w:val="22"/>
                <w:lang w:eastAsia="zh-CN"/>
              </w:rPr>
              <w:tab/>
            </w:r>
            <w:r w:rsidRPr="00265A01">
              <w:rPr>
                <w:rStyle w:val="a9"/>
                <w:noProof/>
                <w:w w:val="110"/>
              </w:rPr>
              <w:t>Advanced</w:t>
            </w:r>
            <w:r w:rsidRPr="00265A01">
              <w:rPr>
                <w:rStyle w:val="a9"/>
                <w:noProof/>
                <w:spacing w:val="-8"/>
                <w:w w:val="110"/>
              </w:rPr>
              <w:t xml:space="preserve"> </w:t>
            </w:r>
            <w:r w:rsidRPr="00265A01">
              <w:rPr>
                <w:rStyle w:val="a9"/>
                <w:noProof/>
                <w:spacing w:val="-3"/>
                <w:w w:val="110"/>
              </w:rPr>
              <w:t xml:space="preserve">Topics </w:t>
            </w:r>
            <w:r w:rsidRPr="00265A01">
              <w:rPr>
                <w:rStyle w:val="a9"/>
                <w:rFonts w:ascii="宋体" w:eastAsia="宋体" w:hAnsi="宋体" w:cs="宋体"/>
                <w:noProof/>
                <w:spacing w:val="-3"/>
                <w:w w:val="110"/>
              </w:rPr>
              <w:t>进阶主题</w:t>
            </w:r>
            <w:r>
              <w:rPr>
                <w:noProof/>
                <w:webHidden/>
              </w:rPr>
              <w:tab/>
            </w:r>
            <w:r>
              <w:rPr>
                <w:noProof/>
                <w:webHidden/>
              </w:rPr>
              <w:fldChar w:fldCharType="begin"/>
            </w:r>
            <w:r>
              <w:rPr>
                <w:noProof/>
                <w:webHidden/>
              </w:rPr>
              <w:instrText xml:space="preserve"> PAGEREF _Toc54423663 \h </w:instrText>
            </w:r>
            <w:r>
              <w:rPr>
                <w:noProof/>
                <w:webHidden/>
              </w:rPr>
            </w:r>
            <w:r>
              <w:rPr>
                <w:noProof/>
                <w:webHidden/>
              </w:rPr>
              <w:fldChar w:fldCharType="separate"/>
            </w:r>
            <w:r>
              <w:rPr>
                <w:noProof/>
                <w:webHidden/>
              </w:rPr>
              <w:t>4</w:t>
            </w:r>
            <w:r>
              <w:rPr>
                <w:noProof/>
                <w:webHidden/>
              </w:rPr>
              <w:fldChar w:fldCharType="end"/>
            </w:r>
          </w:hyperlink>
        </w:p>
        <w:p w14:paraId="0EC03914" w14:textId="018C985D"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64" w:history="1">
            <w:r w:rsidRPr="00265A01">
              <w:rPr>
                <w:rStyle w:val="a9"/>
                <w:noProof/>
                <w:spacing w:val="-1"/>
                <w:w w:val="113"/>
              </w:rPr>
              <w:t>2.1.</w:t>
            </w:r>
            <w:r>
              <w:rPr>
                <w:rFonts w:asciiTheme="minorHAnsi" w:eastAsiaTheme="minorEastAsia" w:hAnsiTheme="minorHAnsi" w:cstheme="minorBidi"/>
                <w:noProof/>
                <w:kern w:val="2"/>
                <w:szCs w:val="22"/>
                <w:lang w:eastAsia="zh-CN"/>
              </w:rPr>
              <w:tab/>
            </w:r>
            <w:r w:rsidRPr="00265A01">
              <w:rPr>
                <w:rStyle w:val="a9"/>
                <w:noProof/>
                <w:w w:val="110"/>
              </w:rPr>
              <w:t>Introducing Spring</w:t>
            </w:r>
            <w:r w:rsidRPr="00265A01">
              <w:rPr>
                <w:rStyle w:val="a9"/>
                <w:noProof/>
                <w:spacing w:val="-16"/>
                <w:w w:val="110"/>
              </w:rPr>
              <w:t xml:space="preserve"> </w:t>
            </w:r>
            <w:r w:rsidRPr="00265A01">
              <w:rPr>
                <w:rStyle w:val="a9"/>
                <w:noProof/>
                <w:w w:val="110"/>
              </w:rPr>
              <w:t>Boot Spring</w:t>
            </w:r>
            <w:r w:rsidRPr="00265A01">
              <w:rPr>
                <w:rStyle w:val="a9"/>
                <w:noProof/>
                <w:spacing w:val="-16"/>
                <w:w w:val="110"/>
              </w:rPr>
              <w:t xml:space="preserve"> </w:t>
            </w:r>
            <w:r w:rsidRPr="00265A01">
              <w:rPr>
                <w:rStyle w:val="a9"/>
                <w:noProof/>
                <w:w w:val="110"/>
              </w:rPr>
              <w:t xml:space="preserve">Boot </w:t>
            </w:r>
            <w:r w:rsidRPr="00265A01">
              <w:rPr>
                <w:rStyle w:val="a9"/>
                <w:rFonts w:ascii="宋体" w:eastAsia="宋体" w:hAnsi="宋体" w:cs="宋体"/>
                <w:noProof/>
                <w:w w:val="110"/>
                <w:lang w:eastAsia="zh-CN"/>
              </w:rPr>
              <w:t>简介</w:t>
            </w:r>
            <w:r>
              <w:rPr>
                <w:noProof/>
                <w:webHidden/>
              </w:rPr>
              <w:tab/>
            </w:r>
            <w:r>
              <w:rPr>
                <w:noProof/>
                <w:webHidden/>
              </w:rPr>
              <w:fldChar w:fldCharType="begin"/>
            </w:r>
            <w:r>
              <w:rPr>
                <w:noProof/>
                <w:webHidden/>
              </w:rPr>
              <w:instrText xml:space="preserve"> PAGEREF _Toc54423664 \h </w:instrText>
            </w:r>
            <w:r>
              <w:rPr>
                <w:noProof/>
                <w:webHidden/>
              </w:rPr>
            </w:r>
            <w:r>
              <w:rPr>
                <w:noProof/>
                <w:webHidden/>
              </w:rPr>
              <w:fldChar w:fldCharType="separate"/>
            </w:r>
            <w:r>
              <w:rPr>
                <w:noProof/>
                <w:webHidden/>
              </w:rPr>
              <w:t>5</w:t>
            </w:r>
            <w:r>
              <w:rPr>
                <w:noProof/>
                <w:webHidden/>
              </w:rPr>
              <w:fldChar w:fldCharType="end"/>
            </w:r>
          </w:hyperlink>
        </w:p>
        <w:p w14:paraId="7F5A5D9F" w14:textId="57FF3EE5"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65" w:history="1">
            <w:r w:rsidRPr="00265A01">
              <w:rPr>
                <w:rStyle w:val="a9"/>
                <w:noProof/>
                <w:spacing w:val="-1"/>
                <w:w w:val="113"/>
              </w:rPr>
              <w:t>2.2.</w:t>
            </w:r>
            <w:r>
              <w:rPr>
                <w:rFonts w:asciiTheme="minorHAnsi" w:eastAsiaTheme="minorEastAsia" w:hAnsiTheme="minorHAnsi" w:cstheme="minorBidi"/>
                <w:noProof/>
                <w:kern w:val="2"/>
                <w:szCs w:val="22"/>
                <w:lang w:eastAsia="zh-CN"/>
              </w:rPr>
              <w:tab/>
            </w:r>
            <w:r w:rsidRPr="00265A01">
              <w:rPr>
                <w:rStyle w:val="a9"/>
                <w:noProof/>
                <w:spacing w:val="-2"/>
                <w:w w:val="110"/>
              </w:rPr>
              <w:t>System</w:t>
            </w:r>
            <w:r w:rsidRPr="00265A01">
              <w:rPr>
                <w:rStyle w:val="a9"/>
                <w:noProof/>
                <w:spacing w:val="-7"/>
                <w:w w:val="110"/>
              </w:rPr>
              <w:t xml:space="preserve"> </w:t>
            </w:r>
            <w:r w:rsidRPr="00265A01">
              <w:rPr>
                <w:rStyle w:val="a9"/>
                <w:noProof/>
                <w:w w:val="110"/>
              </w:rPr>
              <w:t xml:space="preserve">Requirements </w:t>
            </w:r>
            <w:r w:rsidRPr="00265A01">
              <w:rPr>
                <w:rStyle w:val="a9"/>
                <w:rFonts w:ascii="宋体" w:eastAsia="宋体" w:hAnsi="宋体" w:cs="宋体"/>
                <w:noProof/>
                <w:w w:val="110"/>
                <w:lang w:eastAsia="zh-CN"/>
              </w:rPr>
              <w:t>系统需求</w:t>
            </w:r>
            <w:r>
              <w:rPr>
                <w:noProof/>
                <w:webHidden/>
              </w:rPr>
              <w:tab/>
            </w:r>
            <w:r>
              <w:rPr>
                <w:noProof/>
                <w:webHidden/>
              </w:rPr>
              <w:fldChar w:fldCharType="begin"/>
            </w:r>
            <w:r>
              <w:rPr>
                <w:noProof/>
                <w:webHidden/>
              </w:rPr>
              <w:instrText xml:space="preserve"> PAGEREF _Toc54423665 \h </w:instrText>
            </w:r>
            <w:r>
              <w:rPr>
                <w:noProof/>
                <w:webHidden/>
              </w:rPr>
            </w:r>
            <w:r>
              <w:rPr>
                <w:noProof/>
                <w:webHidden/>
              </w:rPr>
              <w:fldChar w:fldCharType="separate"/>
            </w:r>
            <w:r>
              <w:rPr>
                <w:noProof/>
                <w:webHidden/>
              </w:rPr>
              <w:t>5</w:t>
            </w:r>
            <w:r>
              <w:rPr>
                <w:noProof/>
                <w:webHidden/>
              </w:rPr>
              <w:fldChar w:fldCharType="end"/>
            </w:r>
          </w:hyperlink>
        </w:p>
        <w:p w14:paraId="48C6A727" w14:textId="78C58512" w:rsidR="00E10349" w:rsidRDefault="00E10349">
          <w:pPr>
            <w:pStyle w:val="TOC3"/>
            <w:tabs>
              <w:tab w:val="right" w:leader="dot" w:pos="10220"/>
            </w:tabs>
            <w:rPr>
              <w:rFonts w:asciiTheme="minorHAnsi" w:eastAsiaTheme="minorEastAsia" w:hAnsiTheme="minorHAnsi" w:cstheme="minorBidi"/>
              <w:noProof/>
              <w:kern w:val="2"/>
              <w:szCs w:val="22"/>
              <w:lang w:eastAsia="zh-CN"/>
            </w:rPr>
          </w:pPr>
          <w:hyperlink w:anchor="_Toc54423666" w:history="1">
            <w:r w:rsidRPr="00265A01">
              <w:rPr>
                <w:rStyle w:val="a9"/>
                <w:noProof/>
                <w:w w:val="110"/>
              </w:rPr>
              <w:t xml:space="preserve">2.2.1. Servlet Containers </w:t>
            </w:r>
            <w:r w:rsidRPr="00265A01">
              <w:rPr>
                <w:rStyle w:val="a9"/>
                <w:rFonts w:asciiTheme="minorEastAsia" w:hAnsiTheme="minorEastAsia"/>
                <w:noProof/>
                <w:w w:val="110"/>
                <w:lang w:eastAsia="zh-CN"/>
              </w:rPr>
              <w:t>Servlet</w:t>
            </w:r>
            <w:r w:rsidRPr="00265A01">
              <w:rPr>
                <w:rStyle w:val="a9"/>
                <w:rFonts w:ascii="宋体" w:eastAsia="宋体" w:hAnsi="宋体" w:cs="宋体"/>
                <w:noProof/>
                <w:w w:val="110"/>
                <w:lang w:eastAsia="zh-CN"/>
              </w:rPr>
              <w:t>容器</w:t>
            </w:r>
            <w:r>
              <w:rPr>
                <w:noProof/>
                <w:webHidden/>
              </w:rPr>
              <w:tab/>
            </w:r>
            <w:r>
              <w:rPr>
                <w:noProof/>
                <w:webHidden/>
              </w:rPr>
              <w:fldChar w:fldCharType="begin"/>
            </w:r>
            <w:r>
              <w:rPr>
                <w:noProof/>
                <w:webHidden/>
              </w:rPr>
              <w:instrText xml:space="preserve"> PAGEREF _Toc54423666 \h </w:instrText>
            </w:r>
            <w:r>
              <w:rPr>
                <w:noProof/>
                <w:webHidden/>
              </w:rPr>
            </w:r>
            <w:r>
              <w:rPr>
                <w:noProof/>
                <w:webHidden/>
              </w:rPr>
              <w:fldChar w:fldCharType="separate"/>
            </w:r>
            <w:r>
              <w:rPr>
                <w:noProof/>
                <w:webHidden/>
              </w:rPr>
              <w:t>6</w:t>
            </w:r>
            <w:r>
              <w:rPr>
                <w:noProof/>
                <w:webHidden/>
              </w:rPr>
              <w:fldChar w:fldCharType="end"/>
            </w:r>
          </w:hyperlink>
        </w:p>
        <w:p w14:paraId="08076FE5" w14:textId="2EAA939E"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67" w:history="1">
            <w:r w:rsidRPr="00265A01">
              <w:rPr>
                <w:rStyle w:val="a9"/>
                <w:noProof/>
                <w:spacing w:val="-1"/>
                <w:w w:val="113"/>
              </w:rPr>
              <w:t>2.3.</w:t>
            </w:r>
            <w:r>
              <w:rPr>
                <w:rFonts w:asciiTheme="minorHAnsi" w:eastAsiaTheme="minorEastAsia" w:hAnsiTheme="minorHAnsi" w:cstheme="minorBidi"/>
                <w:noProof/>
                <w:kern w:val="2"/>
                <w:szCs w:val="22"/>
                <w:lang w:eastAsia="zh-CN"/>
              </w:rPr>
              <w:tab/>
            </w:r>
            <w:r w:rsidRPr="00265A01">
              <w:rPr>
                <w:rStyle w:val="a9"/>
                <w:noProof/>
                <w:w w:val="110"/>
              </w:rPr>
              <w:t>Installing Spring</w:t>
            </w:r>
            <w:r w:rsidRPr="00265A01">
              <w:rPr>
                <w:rStyle w:val="a9"/>
                <w:noProof/>
                <w:spacing w:val="-17"/>
                <w:w w:val="110"/>
              </w:rPr>
              <w:t xml:space="preserve"> </w:t>
            </w:r>
            <w:r w:rsidRPr="00265A01">
              <w:rPr>
                <w:rStyle w:val="a9"/>
                <w:noProof/>
                <w:w w:val="110"/>
              </w:rPr>
              <w:t>Boot Spring</w:t>
            </w:r>
            <w:r w:rsidRPr="00265A01">
              <w:rPr>
                <w:rStyle w:val="a9"/>
                <w:noProof/>
                <w:spacing w:val="-17"/>
                <w:w w:val="110"/>
              </w:rPr>
              <w:t xml:space="preserve"> </w:t>
            </w:r>
            <w:r w:rsidRPr="00265A01">
              <w:rPr>
                <w:rStyle w:val="a9"/>
                <w:noProof/>
                <w:w w:val="110"/>
              </w:rPr>
              <w:t>Boot</w:t>
            </w:r>
            <w:r w:rsidRPr="00265A01">
              <w:rPr>
                <w:rStyle w:val="a9"/>
                <w:rFonts w:ascii="宋体" w:eastAsia="宋体" w:hAnsi="宋体" w:cs="宋体"/>
                <w:noProof/>
                <w:w w:val="110"/>
                <w:lang w:eastAsia="zh-CN"/>
              </w:rPr>
              <w:t>安装</w:t>
            </w:r>
            <w:r>
              <w:rPr>
                <w:noProof/>
                <w:webHidden/>
              </w:rPr>
              <w:tab/>
            </w:r>
            <w:r>
              <w:rPr>
                <w:noProof/>
                <w:webHidden/>
              </w:rPr>
              <w:fldChar w:fldCharType="begin"/>
            </w:r>
            <w:r>
              <w:rPr>
                <w:noProof/>
                <w:webHidden/>
              </w:rPr>
              <w:instrText xml:space="preserve"> PAGEREF _Toc54423667 \h </w:instrText>
            </w:r>
            <w:r>
              <w:rPr>
                <w:noProof/>
                <w:webHidden/>
              </w:rPr>
            </w:r>
            <w:r>
              <w:rPr>
                <w:noProof/>
                <w:webHidden/>
              </w:rPr>
              <w:fldChar w:fldCharType="separate"/>
            </w:r>
            <w:r>
              <w:rPr>
                <w:noProof/>
                <w:webHidden/>
              </w:rPr>
              <w:t>6</w:t>
            </w:r>
            <w:r>
              <w:rPr>
                <w:noProof/>
                <w:webHidden/>
              </w:rPr>
              <w:fldChar w:fldCharType="end"/>
            </w:r>
          </w:hyperlink>
        </w:p>
        <w:p w14:paraId="205C46CF" w14:textId="22ECD2A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68" w:history="1">
            <w:r w:rsidRPr="00265A01">
              <w:rPr>
                <w:rStyle w:val="a9"/>
                <w:noProof/>
                <w:spacing w:val="-1"/>
                <w:w w:val="113"/>
              </w:rPr>
              <w:t>2.3.1.</w:t>
            </w:r>
            <w:r>
              <w:rPr>
                <w:rFonts w:asciiTheme="minorHAnsi" w:eastAsiaTheme="minorEastAsia" w:hAnsiTheme="minorHAnsi" w:cstheme="minorBidi"/>
                <w:noProof/>
                <w:kern w:val="2"/>
                <w:szCs w:val="22"/>
                <w:lang w:eastAsia="zh-CN"/>
              </w:rPr>
              <w:tab/>
            </w:r>
            <w:r w:rsidRPr="00265A01">
              <w:rPr>
                <w:rStyle w:val="a9"/>
                <w:noProof/>
                <w:w w:val="110"/>
              </w:rPr>
              <w:t>Installation Instructions for the Java</w:t>
            </w:r>
            <w:r w:rsidRPr="00265A01">
              <w:rPr>
                <w:rStyle w:val="a9"/>
                <w:noProof/>
                <w:spacing w:val="-20"/>
                <w:w w:val="110"/>
              </w:rPr>
              <w:t xml:space="preserve"> </w:t>
            </w:r>
            <w:r w:rsidRPr="00265A01">
              <w:rPr>
                <w:rStyle w:val="a9"/>
                <w:noProof/>
                <w:w w:val="110"/>
              </w:rPr>
              <w:t>Developer</w:t>
            </w:r>
            <w:r>
              <w:rPr>
                <w:noProof/>
                <w:webHidden/>
              </w:rPr>
              <w:tab/>
            </w:r>
            <w:r>
              <w:rPr>
                <w:noProof/>
                <w:webHidden/>
              </w:rPr>
              <w:fldChar w:fldCharType="begin"/>
            </w:r>
            <w:r>
              <w:rPr>
                <w:noProof/>
                <w:webHidden/>
              </w:rPr>
              <w:instrText xml:space="preserve"> PAGEREF _Toc54423668 \h </w:instrText>
            </w:r>
            <w:r>
              <w:rPr>
                <w:noProof/>
                <w:webHidden/>
              </w:rPr>
            </w:r>
            <w:r>
              <w:rPr>
                <w:noProof/>
                <w:webHidden/>
              </w:rPr>
              <w:fldChar w:fldCharType="separate"/>
            </w:r>
            <w:r>
              <w:rPr>
                <w:noProof/>
                <w:webHidden/>
              </w:rPr>
              <w:t>6</w:t>
            </w:r>
            <w:r>
              <w:rPr>
                <w:noProof/>
                <w:webHidden/>
              </w:rPr>
              <w:fldChar w:fldCharType="end"/>
            </w:r>
          </w:hyperlink>
        </w:p>
        <w:p w14:paraId="0F1549E5" w14:textId="508BEF12"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69" w:history="1">
            <w:r w:rsidRPr="00265A01">
              <w:rPr>
                <w:rStyle w:val="a9"/>
                <w:noProof/>
                <w:spacing w:val="-1"/>
                <w:w w:val="113"/>
              </w:rPr>
              <w:t>2.3.2.</w:t>
            </w:r>
            <w:r>
              <w:rPr>
                <w:rFonts w:asciiTheme="minorHAnsi" w:eastAsiaTheme="minorEastAsia" w:hAnsiTheme="minorHAnsi" w:cstheme="minorBidi"/>
                <w:noProof/>
                <w:kern w:val="2"/>
                <w:szCs w:val="22"/>
                <w:lang w:eastAsia="zh-CN"/>
              </w:rPr>
              <w:tab/>
            </w:r>
            <w:r w:rsidRPr="00265A01">
              <w:rPr>
                <w:rStyle w:val="a9"/>
                <w:noProof/>
                <w:w w:val="110"/>
              </w:rPr>
              <w:t>Installing the Spring Boot</w:t>
            </w:r>
            <w:r w:rsidRPr="00265A01">
              <w:rPr>
                <w:rStyle w:val="a9"/>
                <w:noProof/>
                <w:spacing w:val="-27"/>
                <w:w w:val="110"/>
              </w:rPr>
              <w:t xml:space="preserve"> </w:t>
            </w:r>
            <w:r w:rsidRPr="00265A01">
              <w:rPr>
                <w:rStyle w:val="a9"/>
                <w:noProof/>
                <w:w w:val="110"/>
              </w:rPr>
              <w:t xml:space="preserve">CLI </w:t>
            </w:r>
            <w:r w:rsidRPr="00265A01">
              <w:rPr>
                <w:rStyle w:val="a9"/>
                <w:rFonts w:ascii="宋体" w:eastAsia="宋体" w:hAnsi="宋体" w:cs="宋体"/>
                <w:noProof/>
              </w:rPr>
              <w:t>安装</w:t>
            </w:r>
            <w:r w:rsidRPr="00265A01">
              <w:rPr>
                <w:rStyle w:val="a9"/>
                <w:noProof/>
              </w:rPr>
              <w:t>Spring Boot CLI</w:t>
            </w:r>
            <w:r>
              <w:rPr>
                <w:noProof/>
                <w:webHidden/>
              </w:rPr>
              <w:tab/>
            </w:r>
            <w:r>
              <w:rPr>
                <w:noProof/>
                <w:webHidden/>
              </w:rPr>
              <w:fldChar w:fldCharType="begin"/>
            </w:r>
            <w:r>
              <w:rPr>
                <w:noProof/>
                <w:webHidden/>
              </w:rPr>
              <w:instrText xml:space="preserve"> PAGEREF _Toc54423669 \h </w:instrText>
            </w:r>
            <w:r>
              <w:rPr>
                <w:noProof/>
                <w:webHidden/>
              </w:rPr>
            </w:r>
            <w:r>
              <w:rPr>
                <w:noProof/>
                <w:webHidden/>
              </w:rPr>
              <w:fldChar w:fldCharType="separate"/>
            </w:r>
            <w:r>
              <w:rPr>
                <w:noProof/>
                <w:webHidden/>
              </w:rPr>
              <w:t>8</w:t>
            </w:r>
            <w:r>
              <w:rPr>
                <w:noProof/>
                <w:webHidden/>
              </w:rPr>
              <w:fldChar w:fldCharType="end"/>
            </w:r>
          </w:hyperlink>
        </w:p>
        <w:p w14:paraId="3EC08FBD" w14:textId="0CA44DA1"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70" w:history="1">
            <w:r w:rsidRPr="00265A01">
              <w:rPr>
                <w:rStyle w:val="a9"/>
                <w:noProof/>
                <w:spacing w:val="-1"/>
                <w:w w:val="113"/>
              </w:rPr>
              <w:t>2.3.3.</w:t>
            </w:r>
            <w:r>
              <w:rPr>
                <w:rFonts w:asciiTheme="minorHAnsi" w:eastAsiaTheme="minorEastAsia" w:hAnsiTheme="minorHAnsi" w:cstheme="minorBidi"/>
                <w:noProof/>
                <w:kern w:val="2"/>
                <w:szCs w:val="22"/>
                <w:lang w:eastAsia="zh-CN"/>
              </w:rPr>
              <w:tab/>
            </w:r>
            <w:r w:rsidRPr="00265A01">
              <w:rPr>
                <w:rStyle w:val="a9"/>
                <w:noProof/>
                <w:w w:val="110"/>
              </w:rPr>
              <w:t xml:space="preserve">Upgrading from an Earlier </w:t>
            </w:r>
            <w:r w:rsidRPr="00265A01">
              <w:rPr>
                <w:rStyle w:val="a9"/>
                <w:noProof/>
                <w:spacing w:val="-3"/>
                <w:w w:val="110"/>
              </w:rPr>
              <w:t xml:space="preserve">Version </w:t>
            </w:r>
            <w:r w:rsidRPr="00265A01">
              <w:rPr>
                <w:rStyle w:val="a9"/>
                <w:noProof/>
                <w:w w:val="110"/>
              </w:rPr>
              <w:t>of Spring</w:t>
            </w:r>
            <w:r w:rsidRPr="00265A01">
              <w:rPr>
                <w:rStyle w:val="a9"/>
                <w:noProof/>
                <w:spacing w:val="-37"/>
                <w:w w:val="110"/>
              </w:rPr>
              <w:t xml:space="preserve"> </w:t>
            </w:r>
            <w:r w:rsidRPr="00265A01">
              <w:rPr>
                <w:rStyle w:val="a9"/>
                <w:noProof/>
                <w:w w:val="110"/>
              </w:rPr>
              <w:t xml:space="preserve">Boot </w:t>
            </w:r>
            <w:r w:rsidRPr="00265A01">
              <w:rPr>
                <w:rStyle w:val="a9"/>
                <w:rFonts w:ascii="宋体" w:eastAsia="宋体" w:hAnsi="宋体" w:cs="宋体"/>
                <w:noProof/>
                <w:w w:val="110"/>
              </w:rPr>
              <w:t>从</w:t>
            </w:r>
            <w:r w:rsidRPr="00265A01">
              <w:rPr>
                <w:rStyle w:val="a9"/>
                <w:noProof/>
                <w:w w:val="110"/>
              </w:rPr>
              <w:t>Spring Boot</w:t>
            </w:r>
            <w:r w:rsidRPr="00265A01">
              <w:rPr>
                <w:rStyle w:val="a9"/>
                <w:rFonts w:ascii="宋体" w:eastAsia="宋体" w:hAnsi="宋体" w:cs="宋体"/>
                <w:noProof/>
                <w:w w:val="110"/>
              </w:rPr>
              <w:t>的早期版本升级</w:t>
            </w:r>
            <w:r>
              <w:rPr>
                <w:noProof/>
                <w:webHidden/>
              </w:rPr>
              <w:tab/>
            </w:r>
            <w:r>
              <w:rPr>
                <w:noProof/>
                <w:webHidden/>
              </w:rPr>
              <w:fldChar w:fldCharType="begin"/>
            </w:r>
            <w:r>
              <w:rPr>
                <w:noProof/>
                <w:webHidden/>
              </w:rPr>
              <w:instrText xml:space="preserve"> PAGEREF _Toc54423670 \h </w:instrText>
            </w:r>
            <w:r>
              <w:rPr>
                <w:noProof/>
                <w:webHidden/>
              </w:rPr>
            </w:r>
            <w:r>
              <w:rPr>
                <w:noProof/>
                <w:webHidden/>
              </w:rPr>
              <w:fldChar w:fldCharType="separate"/>
            </w:r>
            <w:r>
              <w:rPr>
                <w:noProof/>
                <w:webHidden/>
              </w:rPr>
              <w:t>11</w:t>
            </w:r>
            <w:r>
              <w:rPr>
                <w:noProof/>
                <w:webHidden/>
              </w:rPr>
              <w:fldChar w:fldCharType="end"/>
            </w:r>
          </w:hyperlink>
        </w:p>
        <w:p w14:paraId="7C570C50" w14:textId="6564F167"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71" w:history="1">
            <w:r w:rsidRPr="00265A01">
              <w:rPr>
                <w:rStyle w:val="a9"/>
                <w:noProof/>
                <w:spacing w:val="-1"/>
                <w:w w:val="113"/>
              </w:rPr>
              <w:t>2.4.</w:t>
            </w:r>
            <w:r>
              <w:rPr>
                <w:rFonts w:asciiTheme="minorHAnsi" w:eastAsiaTheme="minorEastAsia" w:hAnsiTheme="minorHAnsi" w:cstheme="minorBidi"/>
                <w:noProof/>
                <w:kern w:val="2"/>
                <w:szCs w:val="22"/>
                <w:lang w:eastAsia="zh-CN"/>
              </w:rPr>
              <w:tab/>
            </w:r>
            <w:r w:rsidRPr="00265A01">
              <w:rPr>
                <w:rStyle w:val="a9"/>
                <w:noProof/>
                <w:w w:val="110"/>
              </w:rPr>
              <w:t xml:space="preserve">Developing </w:t>
            </w:r>
            <w:r w:rsidRPr="00265A01">
              <w:rPr>
                <w:rStyle w:val="a9"/>
                <w:noProof/>
                <w:spacing w:val="-7"/>
                <w:w w:val="110"/>
              </w:rPr>
              <w:t xml:space="preserve">Your </w:t>
            </w:r>
            <w:r w:rsidRPr="00265A01">
              <w:rPr>
                <w:rStyle w:val="a9"/>
                <w:noProof/>
                <w:w w:val="110"/>
              </w:rPr>
              <w:t>First Spring Boot</w:t>
            </w:r>
            <w:r w:rsidRPr="00265A01">
              <w:rPr>
                <w:rStyle w:val="a9"/>
                <w:noProof/>
                <w:spacing w:val="-61"/>
                <w:w w:val="110"/>
              </w:rPr>
              <w:t xml:space="preserve"> </w:t>
            </w:r>
            <w:r w:rsidRPr="00265A01">
              <w:rPr>
                <w:rStyle w:val="a9"/>
                <w:noProof/>
                <w:w w:val="110"/>
              </w:rPr>
              <w:t xml:space="preserve">Application </w:t>
            </w:r>
            <w:r w:rsidRPr="00265A01">
              <w:rPr>
                <w:rStyle w:val="a9"/>
                <w:rFonts w:ascii="宋体" w:eastAsia="宋体" w:hAnsi="宋体" w:cs="宋体"/>
                <w:noProof/>
                <w:w w:val="110"/>
              </w:rPr>
              <w:t>开发您的第一个</w:t>
            </w:r>
            <w:r w:rsidRPr="00265A01">
              <w:rPr>
                <w:rStyle w:val="a9"/>
                <w:noProof/>
                <w:w w:val="110"/>
              </w:rPr>
              <w:t>Spring Boot</w:t>
            </w:r>
            <w:r w:rsidRPr="00265A01">
              <w:rPr>
                <w:rStyle w:val="a9"/>
                <w:rFonts w:ascii="宋体" w:eastAsia="宋体" w:hAnsi="宋体" w:cs="宋体"/>
                <w:noProof/>
                <w:w w:val="110"/>
              </w:rPr>
              <w:t>应用程序</w:t>
            </w:r>
            <w:r>
              <w:rPr>
                <w:noProof/>
                <w:webHidden/>
              </w:rPr>
              <w:tab/>
            </w:r>
            <w:r>
              <w:rPr>
                <w:noProof/>
                <w:webHidden/>
              </w:rPr>
              <w:fldChar w:fldCharType="begin"/>
            </w:r>
            <w:r>
              <w:rPr>
                <w:noProof/>
                <w:webHidden/>
              </w:rPr>
              <w:instrText xml:space="preserve"> PAGEREF _Toc54423671 \h </w:instrText>
            </w:r>
            <w:r>
              <w:rPr>
                <w:noProof/>
                <w:webHidden/>
              </w:rPr>
            </w:r>
            <w:r>
              <w:rPr>
                <w:noProof/>
                <w:webHidden/>
              </w:rPr>
              <w:fldChar w:fldCharType="separate"/>
            </w:r>
            <w:r>
              <w:rPr>
                <w:noProof/>
                <w:webHidden/>
              </w:rPr>
              <w:t>12</w:t>
            </w:r>
            <w:r>
              <w:rPr>
                <w:noProof/>
                <w:webHidden/>
              </w:rPr>
              <w:fldChar w:fldCharType="end"/>
            </w:r>
          </w:hyperlink>
        </w:p>
        <w:p w14:paraId="32806448" w14:textId="0BDCF27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72" w:history="1">
            <w:r w:rsidRPr="00265A01">
              <w:rPr>
                <w:rStyle w:val="a9"/>
                <w:noProof/>
                <w:spacing w:val="-1"/>
                <w:w w:val="113"/>
              </w:rPr>
              <w:t>2.4.1.</w:t>
            </w:r>
            <w:r>
              <w:rPr>
                <w:rFonts w:asciiTheme="minorHAnsi" w:eastAsiaTheme="minorEastAsia" w:hAnsiTheme="minorHAnsi" w:cstheme="minorBidi"/>
                <w:noProof/>
                <w:kern w:val="2"/>
                <w:szCs w:val="22"/>
                <w:lang w:eastAsia="zh-CN"/>
              </w:rPr>
              <w:tab/>
            </w:r>
            <w:r w:rsidRPr="00265A01">
              <w:rPr>
                <w:rStyle w:val="a9"/>
                <w:noProof/>
                <w:w w:val="110"/>
              </w:rPr>
              <w:t>Creating the</w:t>
            </w:r>
            <w:r w:rsidRPr="00265A01">
              <w:rPr>
                <w:rStyle w:val="a9"/>
                <w:noProof/>
                <w:spacing w:val="-13"/>
                <w:w w:val="110"/>
              </w:rPr>
              <w:t xml:space="preserve"> </w:t>
            </w:r>
            <w:r w:rsidRPr="00265A01">
              <w:rPr>
                <w:rStyle w:val="a9"/>
                <w:noProof/>
                <w:w w:val="110"/>
              </w:rPr>
              <w:t xml:space="preserve">POM </w:t>
            </w:r>
            <w:r w:rsidRPr="00265A01">
              <w:rPr>
                <w:rStyle w:val="a9"/>
                <w:rFonts w:ascii="宋体" w:eastAsia="宋体" w:hAnsi="宋体" w:cs="宋体"/>
                <w:noProof/>
                <w:w w:val="110"/>
              </w:rPr>
              <w:t>创建</w:t>
            </w:r>
            <w:r w:rsidRPr="00265A01">
              <w:rPr>
                <w:rStyle w:val="a9"/>
                <w:noProof/>
                <w:w w:val="110"/>
              </w:rPr>
              <w:t>POM</w:t>
            </w:r>
            <w:r>
              <w:rPr>
                <w:noProof/>
                <w:webHidden/>
              </w:rPr>
              <w:tab/>
            </w:r>
            <w:r>
              <w:rPr>
                <w:noProof/>
                <w:webHidden/>
              </w:rPr>
              <w:fldChar w:fldCharType="begin"/>
            </w:r>
            <w:r>
              <w:rPr>
                <w:noProof/>
                <w:webHidden/>
              </w:rPr>
              <w:instrText xml:space="preserve"> PAGEREF _Toc54423672 \h </w:instrText>
            </w:r>
            <w:r>
              <w:rPr>
                <w:noProof/>
                <w:webHidden/>
              </w:rPr>
            </w:r>
            <w:r>
              <w:rPr>
                <w:noProof/>
                <w:webHidden/>
              </w:rPr>
              <w:fldChar w:fldCharType="separate"/>
            </w:r>
            <w:r>
              <w:rPr>
                <w:noProof/>
                <w:webHidden/>
              </w:rPr>
              <w:t>13</w:t>
            </w:r>
            <w:r>
              <w:rPr>
                <w:noProof/>
                <w:webHidden/>
              </w:rPr>
              <w:fldChar w:fldCharType="end"/>
            </w:r>
          </w:hyperlink>
        </w:p>
        <w:p w14:paraId="0293E485" w14:textId="79FE256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73" w:history="1">
            <w:r w:rsidRPr="00265A01">
              <w:rPr>
                <w:rStyle w:val="a9"/>
                <w:noProof/>
                <w:spacing w:val="-1"/>
                <w:w w:val="113"/>
              </w:rPr>
              <w:t>2.4.2.</w:t>
            </w:r>
            <w:r>
              <w:rPr>
                <w:rFonts w:asciiTheme="minorHAnsi" w:eastAsiaTheme="minorEastAsia" w:hAnsiTheme="minorHAnsi" w:cstheme="minorBidi"/>
                <w:noProof/>
                <w:kern w:val="2"/>
                <w:szCs w:val="22"/>
                <w:lang w:eastAsia="zh-CN"/>
              </w:rPr>
              <w:tab/>
            </w:r>
            <w:r w:rsidRPr="00265A01">
              <w:rPr>
                <w:rStyle w:val="a9"/>
                <w:noProof/>
                <w:w w:val="105"/>
              </w:rPr>
              <w:t>Adding Classpath</w:t>
            </w:r>
            <w:r w:rsidRPr="00265A01">
              <w:rPr>
                <w:rStyle w:val="a9"/>
                <w:noProof/>
                <w:spacing w:val="-3"/>
                <w:w w:val="105"/>
              </w:rPr>
              <w:t xml:space="preserve"> </w:t>
            </w:r>
            <w:r w:rsidRPr="00265A01">
              <w:rPr>
                <w:rStyle w:val="a9"/>
                <w:noProof/>
                <w:w w:val="105"/>
              </w:rPr>
              <w:t xml:space="preserve">Dependencies </w:t>
            </w:r>
            <w:r w:rsidRPr="00265A01">
              <w:rPr>
                <w:rStyle w:val="a9"/>
                <w:rFonts w:ascii="Helvetica" w:hAnsi="Helvetica" w:cs="Helvetica"/>
                <w:noProof/>
              </w:rPr>
              <w:t> </w:t>
            </w:r>
            <w:r w:rsidRPr="00265A01">
              <w:rPr>
                <w:rStyle w:val="a9"/>
                <w:rFonts w:ascii="宋体" w:eastAsia="宋体" w:hAnsi="宋体" w:cs="宋体"/>
                <w:noProof/>
                <w:w w:val="105"/>
              </w:rPr>
              <w:t>添加</w:t>
            </w:r>
            <w:r w:rsidRPr="00265A01">
              <w:rPr>
                <w:rStyle w:val="a9"/>
                <w:rFonts w:ascii="宋体" w:eastAsia="宋体" w:hAnsi="宋体" w:cs="宋体"/>
                <w:noProof/>
                <w:w w:val="105"/>
                <w:lang w:eastAsia="zh-CN"/>
              </w:rPr>
              <w:t>环境变量</w:t>
            </w:r>
            <w:r w:rsidRPr="00265A01">
              <w:rPr>
                <w:rStyle w:val="a9"/>
                <w:rFonts w:ascii="宋体" w:eastAsia="宋体" w:hAnsi="宋体" w:cs="宋体"/>
                <w:noProof/>
                <w:w w:val="105"/>
              </w:rPr>
              <w:t>依赖</w:t>
            </w:r>
            <w:r>
              <w:rPr>
                <w:noProof/>
                <w:webHidden/>
              </w:rPr>
              <w:tab/>
            </w:r>
            <w:r>
              <w:rPr>
                <w:noProof/>
                <w:webHidden/>
              </w:rPr>
              <w:fldChar w:fldCharType="begin"/>
            </w:r>
            <w:r>
              <w:rPr>
                <w:noProof/>
                <w:webHidden/>
              </w:rPr>
              <w:instrText xml:space="preserve"> PAGEREF _Toc54423673 \h </w:instrText>
            </w:r>
            <w:r>
              <w:rPr>
                <w:noProof/>
                <w:webHidden/>
              </w:rPr>
            </w:r>
            <w:r>
              <w:rPr>
                <w:noProof/>
                <w:webHidden/>
              </w:rPr>
              <w:fldChar w:fldCharType="separate"/>
            </w:r>
            <w:r>
              <w:rPr>
                <w:noProof/>
                <w:webHidden/>
              </w:rPr>
              <w:t>14</w:t>
            </w:r>
            <w:r>
              <w:rPr>
                <w:noProof/>
                <w:webHidden/>
              </w:rPr>
              <w:fldChar w:fldCharType="end"/>
            </w:r>
          </w:hyperlink>
        </w:p>
        <w:p w14:paraId="7EB264EE" w14:textId="696F95E6"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74" w:history="1">
            <w:r w:rsidRPr="00265A01">
              <w:rPr>
                <w:rStyle w:val="a9"/>
                <w:noProof/>
                <w:spacing w:val="-1"/>
                <w:w w:val="113"/>
              </w:rPr>
              <w:t>2.4.3.</w:t>
            </w:r>
            <w:r>
              <w:rPr>
                <w:rFonts w:asciiTheme="minorHAnsi" w:eastAsiaTheme="minorEastAsia" w:hAnsiTheme="minorHAnsi" w:cstheme="minorBidi"/>
                <w:noProof/>
                <w:kern w:val="2"/>
                <w:szCs w:val="22"/>
                <w:lang w:eastAsia="zh-CN"/>
              </w:rPr>
              <w:tab/>
            </w:r>
            <w:r w:rsidRPr="00265A01">
              <w:rPr>
                <w:rStyle w:val="a9"/>
                <w:noProof/>
                <w:w w:val="110"/>
              </w:rPr>
              <w:t>Writing the</w:t>
            </w:r>
            <w:r w:rsidRPr="00265A01">
              <w:rPr>
                <w:rStyle w:val="a9"/>
                <w:noProof/>
                <w:spacing w:val="-12"/>
                <w:w w:val="110"/>
              </w:rPr>
              <w:t xml:space="preserve"> </w:t>
            </w:r>
            <w:r w:rsidRPr="00265A01">
              <w:rPr>
                <w:rStyle w:val="a9"/>
                <w:noProof/>
                <w:w w:val="110"/>
              </w:rPr>
              <w:t xml:space="preserve">Code </w:t>
            </w:r>
            <w:r w:rsidRPr="00265A01">
              <w:rPr>
                <w:rStyle w:val="a9"/>
                <w:rFonts w:ascii="宋体" w:eastAsia="宋体" w:hAnsi="宋体" w:cs="宋体"/>
                <w:noProof/>
                <w:w w:val="110"/>
              </w:rPr>
              <w:t>编写代码</w:t>
            </w:r>
            <w:r>
              <w:rPr>
                <w:noProof/>
                <w:webHidden/>
              </w:rPr>
              <w:tab/>
            </w:r>
            <w:r>
              <w:rPr>
                <w:noProof/>
                <w:webHidden/>
              </w:rPr>
              <w:fldChar w:fldCharType="begin"/>
            </w:r>
            <w:r>
              <w:rPr>
                <w:noProof/>
                <w:webHidden/>
              </w:rPr>
              <w:instrText xml:space="preserve"> PAGEREF _Toc54423674 \h </w:instrText>
            </w:r>
            <w:r>
              <w:rPr>
                <w:noProof/>
                <w:webHidden/>
              </w:rPr>
            </w:r>
            <w:r>
              <w:rPr>
                <w:noProof/>
                <w:webHidden/>
              </w:rPr>
              <w:fldChar w:fldCharType="separate"/>
            </w:r>
            <w:r>
              <w:rPr>
                <w:noProof/>
                <w:webHidden/>
              </w:rPr>
              <w:t>15</w:t>
            </w:r>
            <w:r>
              <w:rPr>
                <w:noProof/>
                <w:webHidden/>
              </w:rPr>
              <w:fldChar w:fldCharType="end"/>
            </w:r>
          </w:hyperlink>
        </w:p>
        <w:p w14:paraId="1CD6FB85" w14:textId="354A06ED"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75" w:history="1">
            <w:r w:rsidRPr="00265A01">
              <w:rPr>
                <w:rStyle w:val="a9"/>
                <w:noProof/>
                <w:spacing w:val="-1"/>
                <w:w w:val="113"/>
              </w:rPr>
              <w:t>2.4.4.</w:t>
            </w:r>
            <w:r>
              <w:rPr>
                <w:rFonts w:asciiTheme="minorHAnsi" w:eastAsiaTheme="minorEastAsia" w:hAnsiTheme="minorHAnsi" w:cstheme="minorBidi"/>
                <w:noProof/>
                <w:kern w:val="2"/>
                <w:szCs w:val="22"/>
                <w:lang w:eastAsia="zh-CN"/>
              </w:rPr>
              <w:tab/>
            </w:r>
            <w:r w:rsidRPr="00265A01">
              <w:rPr>
                <w:rStyle w:val="a9"/>
                <w:noProof/>
                <w:w w:val="110"/>
              </w:rPr>
              <w:t>Running the</w:t>
            </w:r>
            <w:r w:rsidRPr="00265A01">
              <w:rPr>
                <w:rStyle w:val="a9"/>
                <w:noProof/>
                <w:spacing w:val="-11"/>
                <w:w w:val="110"/>
              </w:rPr>
              <w:t xml:space="preserve"> </w:t>
            </w:r>
            <w:r w:rsidRPr="00265A01">
              <w:rPr>
                <w:rStyle w:val="a9"/>
                <w:noProof/>
                <w:w w:val="110"/>
              </w:rPr>
              <w:t>Example</w:t>
            </w:r>
            <w:r>
              <w:rPr>
                <w:noProof/>
                <w:webHidden/>
              </w:rPr>
              <w:tab/>
            </w:r>
            <w:r>
              <w:rPr>
                <w:noProof/>
                <w:webHidden/>
              </w:rPr>
              <w:fldChar w:fldCharType="begin"/>
            </w:r>
            <w:r>
              <w:rPr>
                <w:noProof/>
                <w:webHidden/>
              </w:rPr>
              <w:instrText xml:space="preserve"> PAGEREF _Toc54423675 \h </w:instrText>
            </w:r>
            <w:r>
              <w:rPr>
                <w:noProof/>
                <w:webHidden/>
              </w:rPr>
            </w:r>
            <w:r>
              <w:rPr>
                <w:noProof/>
                <w:webHidden/>
              </w:rPr>
              <w:fldChar w:fldCharType="separate"/>
            </w:r>
            <w:r>
              <w:rPr>
                <w:noProof/>
                <w:webHidden/>
              </w:rPr>
              <w:t>17</w:t>
            </w:r>
            <w:r>
              <w:rPr>
                <w:noProof/>
                <w:webHidden/>
              </w:rPr>
              <w:fldChar w:fldCharType="end"/>
            </w:r>
          </w:hyperlink>
        </w:p>
        <w:p w14:paraId="7E7BEDDC" w14:textId="3820FCB1"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76" w:history="1">
            <w:r w:rsidRPr="00265A01">
              <w:rPr>
                <w:rStyle w:val="a9"/>
                <w:noProof/>
                <w:spacing w:val="-1"/>
                <w:w w:val="113"/>
              </w:rPr>
              <w:t>2.4.5.</w:t>
            </w:r>
            <w:r>
              <w:rPr>
                <w:rFonts w:asciiTheme="minorHAnsi" w:eastAsiaTheme="minorEastAsia" w:hAnsiTheme="minorHAnsi" w:cstheme="minorBidi"/>
                <w:noProof/>
                <w:kern w:val="2"/>
                <w:szCs w:val="22"/>
                <w:lang w:eastAsia="zh-CN"/>
              </w:rPr>
              <w:tab/>
            </w:r>
            <w:r w:rsidRPr="00265A01">
              <w:rPr>
                <w:rStyle w:val="a9"/>
                <w:noProof/>
                <w:w w:val="115"/>
              </w:rPr>
              <w:t>Creating an Executable</w:t>
            </w:r>
            <w:r w:rsidRPr="00265A01">
              <w:rPr>
                <w:rStyle w:val="a9"/>
                <w:noProof/>
                <w:spacing w:val="-28"/>
                <w:w w:val="115"/>
              </w:rPr>
              <w:t xml:space="preserve"> </w:t>
            </w:r>
            <w:r w:rsidRPr="00265A01">
              <w:rPr>
                <w:rStyle w:val="a9"/>
                <w:noProof/>
                <w:w w:val="115"/>
              </w:rPr>
              <w:t>Jar</w:t>
            </w:r>
            <w:r>
              <w:rPr>
                <w:noProof/>
                <w:webHidden/>
              </w:rPr>
              <w:tab/>
            </w:r>
            <w:r>
              <w:rPr>
                <w:noProof/>
                <w:webHidden/>
              </w:rPr>
              <w:fldChar w:fldCharType="begin"/>
            </w:r>
            <w:r>
              <w:rPr>
                <w:noProof/>
                <w:webHidden/>
              </w:rPr>
              <w:instrText xml:space="preserve"> PAGEREF _Toc54423676 \h </w:instrText>
            </w:r>
            <w:r>
              <w:rPr>
                <w:noProof/>
                <w:webHidden/>
              </w:rPr>
            </w:r>
            <w:r>
              <w:rPr>
                <w:noProof/>
                <w:webHidden/>
              </w:rPr>
              <w:fldChar w:fldCharType="separate"/>
            </w:r>
            <w:r>
              <w:rPr>
                <w:noProof/>
                <w:webHidden/>
              </w:rPr>
              <w:t>17</w:t>
            </w:r>
            <w:r>
              <w:rPr>
                <w:noProof/>
                <w:webHidden/>
              </w:rPr>
              <w:fldChar w:fldCharType="end"/>
            </w:r>
          </w:hyperlink>
        </w:p>
        <w:p w14:paraId="73611B3D" w14:textId="5867A78A"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77" w:history="1">
            <w:r w:rsidRPr="00265A01">
              <w:rPr>
                <w:rStyle w:val="a9"/>
                <w:noProof/>
                <w:spacing w:val="-1"/>
                <w:w w:val="113"/>
              </w:rPr>
              <w:t>2.5.</w:t>
            </w:r>
            <w:r>
              <w:rPr>
                <w:rFonts w:asciiTheme="minorHAnsi" w:eastAsiaTheme="minorEastAsia" w:hAnsiTheme="minorHAnsi" w:cstheme="minorBidi"/>
                <w:noProof/>
                <w:kern w:val="2"/>
                <w:szCs w:val="22"/>
                <w:lang w:eastAsia="zh-CN"/>
              </w:rPr>
              <w:tab/>
            </w:r>
            <w:r w:rsidRPr="00265A01">
              <w:rPr>
                <w:rStyle w:val="a9"/>
                <w:noProof/>
                <w:w w:val="110"/>
              </w:rPr>
              <w:t>What to Read</w:t>
            </w:r>
            <w:r w:rsidRPr="00265A01">
              <w:rPr>
                <w:rStyle w:val="a9"/>
                <w:noProof/>
                <w:spacing w:val="-20"/>
                <w:w w:val="110"/>
              </w:rPr>
              <w:t xml:space="preserve"> </w:t>
            </w:r>
            <w:r w:rsidRPr="00265A01">
              <w:rPr>
                <w:rStyle w:val="a9"/>
                <w:noProof/>
                <w:w w:val="110"/>
              </w:rPr>
              <w:t>Next</w:t>
            </w:r>
            <w:r>
              <w:rPr>
                <w:noProof/>
                <w:webHidden/>
              </w:rPr>
              <w:tab/>
            </w:r>
            <w:r>
              <w:rPr>
                <w:noProof/>
                <w:webHidden/>
              </w:rPr>
              <w:fldChar w:fldCharType="begin"/>
            </w:r>
            <w:r>
              <w:rPr>
                <w:noProof/>
                <w:webHidden/>
              </w:rPr>
              <w:instrText xml:space="preserve"> PAGEREF _Toc54423677 \h </w:instrText>
            </w:r>
            <w:r>
              <w:rPr>
                <w:noProof/>
                <w:webHidden/>
              </w:rPr>
            </w:r>
            <w:r>
              <w:rPr>
                <w:noProof/>
                <w:webHidden/>
              </w:rPr>
              <w:fldChar w:fldCharType="separate"/>
            </w:r>
            <w:r>
              <w:rPr>
                <w:noProof/>
                <w:webHidden/>
              </w:rPr>
              <w:t>20</w:t>
            </w:r>
            <w:r>
              <w:rPr>
                <w:noProof/>
                <w:webHidden/>
              </w:rPr>
              <w:fldChar w:fldCharType="end"/>
            </w:r>
          </w:hyperlink>
        </w:p>
        <w:p w14:paraId="6F5ED8FC" w14:textId="11F85D10"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78" w:history="1">
            <w:r w:rsidRPr="00265A01">
              <w:rPr>
                <w:rStyle w:val="a9"/>
                <w:noProof/>
                <w:spacing w:val="-1"/>
                <w:w w:val="113"/>
              </w:rPr>
              <w:t>3.1.</w:t>
            </w:r>
            <w:r>
              <w:rPr>
                <w:rFonts w:asciiTheme="minorHAnsi" w:eastAsiaTheme="minorEastAsia" w:hAnsiTheme="minorHAnsi" w:cstheme="minorBidi"/>
                <w:noProof/>
                <w:kern w:val="2"/>
                <w:szCs w:val="22"/>
                <w:lang w:eastAsia="zh-CN"/>
              </w:rPr>
              <w:tab/>
            </w:r>
            <w:r w:rsidRPr="00265A01">
              <w:rPr>
                <w:rStyle w:val="a9"/>
                <w:noProof/>
                <w:w w:val="105"/>
              </w:rPr>
              <w:t>Build</w:t>
            </w:r>
            <w:r w:rsidRPr="00265A01">
              <w:rPr>
                <w:rStyle w:val="a9"/>
                <w:noProof/>
                <w:spacing w:val="-3"/>
                <w:w w:val="105"/>
              </w:rPr>
              <w:t xml:space="preserve"> </w:t>
            </w:r>
            <w:r w:rsidRPr="00265A01">
              <w:rPr>
                <w:rStyle w:val="a9"/>
                <w:noProof/>
                <w:w w:val="105"/>
              </w:rPr>
              <w:t>Systems</w:t>
            </w:r>
            <w:r>
              <w:rPr>
                <w:noProof/>
                <w:webHidden/>
              </w:rPr>
              <w:tab/>
            </w:r>
            <w:r>
              <w:rPr>
                <w:noProof/>
                <w:webHidden/>
              </w:rPr>
              <w:fldChar w:fldCharType="begin"/>
            </w:r>
            <w:r>
              <w:rPr>
                <w:noProof/>
                <w:webHidden/>
              </w:rPr>
              <w:instrText xml:space="preserve"> PAGEREF _Toc54423678 \h </w:instrText>
            </w:r>
            <w:r>
              <w:rPr>
                <w:noProof/>
                <w:webHidden/>
              </w:rPr>
            </w:r>
            <w:r>
              <w:rPr>
                <w:noProof/>
                <w:webHidden/>
              </w:rPr>
              <w:fldChar w:fldCharType="separate"/>
            </w:r>
            <w:r>
              <w:rPr>
                <w:noProof/>
                <w:webHidden/>
              </w:rPr>
              <w:t>22</w:t>
            </w:r>
            <w:r>
              <w:rPr>
                <w:noProof/>
                <w:webHidden/>
              </w:rPr>
              <w:fldChar w:fldCharType="end"/>
            </w:r>
          </w:hyperlink>
        </w:p>
        <w:p w14:paraId="24B7360E" w14:textId="371CF1D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79" w:history="1">
            <w:r w:rsidRPr="00265A01">
              <w:rPr>
                <w:rStyle w:val="a9"/>
                <w:noProof/>
                <w:spacing w:val="-1"/>
                <w:w w:val="113"/>
              </w:rPr>
              <w:t>3.1.1.</w:t>
            </w:r>
            <w:r>
              <w:rPr>
                <w:rFonts w:asciiTheme="minorHAnsi" w:eastAsiaTheme="minorEastAsia" w:hAnsiTheme="minorHAnsi" w:cstheme="minorBidi"/>
                <w:noProof/>
                <w:kern w:val="2"/>
                <w:szCs w:val="22"/>
                <w:lang w:eastAsia="zh-CN"/>
              </w:rPr>
              <w:tab/>
            </w:r>
            <w:r w:rsidRPr="00265A01">
              <w:rPr>
                <w:rStyle w:val="a9"/>
                <w:noProof/>
                <w:w w:val="110"/>
              </w:rPr>
              <w:t>Dependency</w:t>
            </w:r>
            <w:r w:rsidRPr="00265A01">
              <w:rPr>
                <w:rStyle w:val="a9"/>
                <w:noProof/>
                <w:spacing w:val="-6"/>
                <w:w w:val="110"/>
              </w:rPr>
              <w:t xml:space="preserve"> </w:t>
            </w:r>
            <w:r w:rsidRPr="00265A01">
              <w:rPr>
                <w:rStyle w:val="a9"/>
                <w:noProof/>
                <w:w w:val="110"/>
              </w:rPr>
              <w:t>Management</w:t>
            </w:r>
            <w:r>
              <w:rPr>
                <w:noProof/>
                <w:webHidden/>
              </w:rPr>
              <w:tab/>
            </w:r>
            <w:r>
              <w:rPr>
                <w:noProof/>
                <w:webHidden/>
              </w:rPr>
              <w:fldChar w:fldCharType="begin"/>
            </w:r>
            <w:r>
              <w:rPr>
                <w:noProof/>
                <w:webHidden/>
              </w:rPr>
              <w:instrText xml:space="preserve"> PAGEREF _Toc54423679 \h </w:instrText>
            </w:r>
            <w:r>
              <w:rPr>
                <w:noProof/>
                <w:webHidden/>
              </w:rPr>
            </w:r>
            <w:r>
              <w:rPr>
                <w:noProof/>
                <w:webHidden/>
              </w:rPr>
              <w:fldChar w:fldCharType="separate"/>
            </w:r>
            <w:r>
              <w:rPr>
                <w:noProof/>
                <w:webHidden/>
              </w:rPr>
              <w:t>22</w:t>
            </w:r>
            <w:r>
              <w:rPr>
                <w:noProof/>
                <w:webHidden/>
              </w:rPr>
              <w:fldChar w:fldCharType="end"/>
            </w:r>
          </w:hyperlink>
        </w:p>
        <w:p w14:paraId="23A19054" w14:textId="493DF82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80" w:history="1">
            <w:r w:rsidRPr="00265A01">
              <w:rPr>
                <w:rStyle w:val="a9"/>
                <w:noProof/>
                <w:spacing w:val="-1"/>
                <w:w w:val="113"/>
              </w:rPr>
              <w:t>3.1.2.</w:t>
            </w:r>
            <w:r>
              <w:rPr>
                <w:rFonts w:asciiTheme="minorHAnsi" w:eastAsiaTheme="minorEastAsia" w:hAnsiTheme="minorHAnsi" w:cstheme="minorBidi"/>
                <w:noProof/>
                <w:kern w:val="2"/>
                <w:szCs w:val="22"/>
                <w:lang w:eastAsia="zh-CN"/>
              </w:rPr>
              <w:tab/>
            </w:r>
            <w:r w:rsidRPr="00265A01">
              <w:rPr>
                <w:rStyle w:val="a9"/>
                <w:noProof/>
                <w:w w:val="105"/>
              </w:rPr>
              <w:t>Maven</w:t>
            </w:r>
            <w:r>
              <w:rPr>
                <w:noProof/>
                <w:webHidden/>
              </w:rPr>
              <w:tab/>
            </w:r>
            <w:r>
              <w:rPr>
                <w:noProof/>
                <w:webHidden/>
              </w:rPr>
              <w:fldChar w:fldCharType="begin"/>
            </w:r>
            <w:r>
              <w:rPr>
                <w:noProof/>
                <w:webHidden/>
              </w:rPr>
              <w:instrText xml:space="preserve"> PAGEREF _Toc54423680 \h </w:instrText>
            </w:r>
            <w:r>
              <w:rPr>
                <w:noProof/>
                <w:webHidden/>
              </w:rPr>
            </w:r>
            <w:r>
              <w:rPr>
                <w:noProof/>
                <w:webHidden/>
              </w:rPr>
              <w:fldChar w:fldCharType="separate"/>
            </w:r>
            <w:r>
              <w:rPr>
                <w:noProof/>
                <w:webHidden/>
              </w:rPr>
              <w:t>22</w:t>
            </w:r>
            <w:r>
              <w:rPr>
                <w:noProof/>
                <w:webHidden/>
              </w:rPr>
              <w:fldChar w:fldCharType="end"/>
            </w:r>
          </w:hyperlink>
        </w:p>
        <w:p w14:paraId="082AA6CF" w14:textId="0B63C96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81" w:history="1">
            <w:r w:rsidRPr="00265A01">
              <w:rPr>
                <w:rStyle w:val="a9"/>
                <w:noProof/>
                <w:spacing w:val="-1"/>
                <w:w w:val="113"/>
              </w:rPr>
              <w:t>3.1.3.</w:t>
            </w:r>
            <w:r>
              <w:rPr>
                <w:rFonts w:asciiTheme="minorHAnsi" w:eastAsiaTheme="minorEastAsia" w:hAnsiTheme="minorHAnsi" w:cstheme="minorBidi"/>
                <w:noProof/>
                <w:kern w:val="2"/>
                <w:szCs w:val="22"/>
                <w:lang w:eastAsia="zh-CN"/>
              </w:rPr>
              <w:tab/>
            </w:r>
            <w:r w:rsidRPr="00265A01">
              <w:rPr>
                <w:rStyle w:val="a9"/>
                <w:noProof/>
                <w:w w:val="110"/>
              </w:rPr>
              <w:t>Gradle</w:t>
            </w:r>
            <w:r>
              <w:rPr>
                <w:noProof/>
                <w:webHidden/>
              </w:rPr>
              <w:tab/>
            </w:r>
            <w:r>
              <w:rPr>
                <w:noProof/>
                <w:webHidden/>
              </w:rPr>
              <w:fldChar w:fldCharType="begin"/>
            </w:r>
            <w:r>
              <w:rPr>
                <w:noProof/>
                <w:webHidden/>
              </w:rPr>
              <w:instrText xml:space="preserve"> PAGEREF _Toc54423681 \h </w:instrText>
            </w:r>
            <w:r>
              <w:rPr>
                <w:noProof/>
                <w:webHidden/>
              </w:rPr>
            </w:r>
            <w:r>
              <w:rPr>
                <w:noProof/>
                <w:webHidden/>
              </w:rPr>
              <w:fldChar w:fldCharType="separate"/>
            </w:r>
            <w:r>
              <w:rPr>
                <w:noProof/>
                <w:webHidden/>
              </w:rPr>
              <w:t>22</w:t>
            </w:r>
            <w:r>
              <w:rPr>
                <w:noProof/>
                <w:webHidden/>
              </w:rPr>
              <w:fldChar w:fldCharType="end"/>
            </w:r>
          </w:hyperlink>
        </w:p>
        <w:p w14:paraId="674E00D4" w14:textId="166CA93A"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82" w:history="1">
            <w:r w:rsidRPr="00265A01">
              <w:rPr>
                <w:rStyle w:val="a9"/>
                <w:noProof/>
                <w:spacing w:val="-1"/>
                <w:w w:val="113"/>
              </w:rPr>
              <w:t>3.1.4.</w:t>
            </w:r>
            <w:r>
              <w:rPr>
                <w:rFonts w:asciiTheme="minorHAnsi" w:eastAsiaTheme="minorEastAsia" w:hAnsiTheme="minorHAnsi" w:cstheme="minorBidi"/>
                <w:noProof/>
                <w:kern w:val="2"/>
                <w:szCs w:val="22"/>
                <w:lang w:eastAsia="zh-CN"/>
              </w:rPr>
              <w:tab/>
            </w:r>
            <w:r w:rsidRPr="00265A01">
              <w:rPr>
                <w:rStyle w:val="a9"/>
                <w:noProof/>
                <w:w w:val="105"/>
              </w:rPr>
              <w:t>Ant</w:t>
            </w:r>
            <w:r>
              <w:rPr>
                <w:noProof/>
                <w:webHidden/>
              </w:rPr>
              <w:tab/>
            </w:r>
            <w:r>
              <w:rPr>
                <w:noProof/>
                <w:webHidden/>
              </w:rPr>
              <w:fldChar w:fldCharType="begin"/>
            </w:r>
            <w:r>
              <w:rPr>
                <w:noProof/>
                <w:webHidden/>
              </w:rPr>
              <w:instrText xml:space="preserve"> PAGEREF _Toc54423682 \h </w:instrText>
            </w:r>
            <w:r>
              <w:rPr>
                <w:noProof/>
                <w:webHidden/>
              </w:rPr>
            </w:r>
            <w:r>
              <w:rPr>
                <w:noProof/>
                <w:webHidden/>
              </w:rPr>
              <w:fldChar w:fldCharType="separate"/>
            </w:r>
            <w:r>
              <w:rPr>
                <w:noProof/>
                <w:webHidden/>
              </w:rPr>
              <w:t>23</w:t>
            </w:r>
            <w:r>
              <w:rPr>
                <w:noProof/>
                <w:webHidden/>
              </w:rPr>
              <w:fldChar w:fldCharType="end"/>
            </w:r>
          </w:hyperlink>
        </w:p>
        <w:p w14:paraId="3682B69C" w14:textId="2400D48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83" w:history="1">
            <w:r w:rsidRPr="00265A01">
              <w:rPr>
                <w:rStyle w:val="a9"/>
                <w:noProof/>
                <w:spacing w:val="-1"/>
                <w:w w:val="113"/>
              </w:rPr>
              <w:t>3.1.5.</w:t>
            </w:r>
            <w:r>
              <w:rPr>
                <w:rFonts w:asciiTheme="minorHAnsi" w:eastAsiaTheme="minorEastAsia" w:hAnsiTheme="minorHAnsi" w:cstheme="minorBidi"/>
                <w:noProof/>
                <w:kern w:val="2"/>
                <w:szCs w:val="22"/>
                <w:lang w:eastAsia="zh-CN"/>
              </w:rPr>
              <w:tab/>
            </w:r>
            <w:r w:rsidRPr="00265A01">
              <w:rPr>
                <w:rStyle w:val="a9"/>
                <w:noProof/>
                <w:w w:val="115"/>
              </w:rPr>
              <w:t>Starters</w:t>
            </w:r>
            <w:r>
              <w:rPr>
                <w:noProof/>
                <w:webHidden/>
              </w:rPr>
              <w:tab/>
            </w:r>
            <w:r>
              <w:rPr>
                <w:noProof/>
                <w:webHidden/>
              </w:rPr>
              <w:fldChar w:fldCharType="begin"/>
            </w:r>
            <w:r>
              <w:rPr>
                <w:noProof/>
                <w:webHidden/>
              </w:rPr>
              <w:instrText xml:space="preserve"> PAGEREF _Toc54423683 \h </w:instrText>
            </w:r>
            <w:r>
              <w:rPr>
                <w:noProof/>
                <w:webHidden/>
              </w:rPr>
            </w:r>
            <w:r>
              <w:rPr>
                <w:noProof/>
                <w:webHidden/>
              </w:rPr>
              <w:fldChar w:fldCharType="separate"/>
            </w:r>
            <w:r>
              <w:rPr>
                <w:noProof/>
                <w:webHidden/>
              </w:rPr>
              <w:t>24</w:t>
            </w:r>
            <w:r>
              <w:rPr>
                <w:noProof/>
                <w:webHidden/>
              </w:rPr>
              <w:fldChar w:fldCharType="end"/>
            </w:r>
          </w:hyperlink>
        </w:p>
        <w:p w14:paraId="4FA4403C" w14:textId="78847F19"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84" w:history="1">
            <w:r w:rsidRPr="00265A01">
              <w:rPr>
                <w:rStyle w:val="a9"/>
                <w:noProof/>
                <w:spacing w:val="-1"/>
                <w:w w:val="113"/>
              </w:rPr>
              <w:t>3.2.</w:t>
            </w:r>
            <w:r>
              <w:rPr>
                <w:rFonts w:asciiTheme="minorHAnsi" w:eastAsiaTheme="minorEastAsia" w:hAnsiTheme="minorHAnsi" w:cstheme="minorBidi"/>
                <w:noProof/>
                <w:kern w:val="2"/>
                <w:szCs w:val="22"/>
                <w:lang w:eastAsia="zh-CN"/>
              </w:rPr>
              <w:tab/>
            </w:r>
            <w:r w:rsidRPr="00265A01">
              <w:rPr>
                <w:rStyle w:val="a9"/>
                <w:noProof/>
                <w:w w:val="110"/>
              </w:rPr>
              <w:t xml:space="preserve">Structuring </w:t>
            </w:r>
            <w:r w:rsidRPr="00265A01">
              <w:rPr>
                <w:rStyle w:val="a9"/>
                <w:noProof/>
                <w:spacing w:val="-7"/>
                <w:w w:val="110"/>
              </w:rPr>
              <w:t>Your</w:t>
            </w:r>
            <w:r w:rsidRPr="00265A01">
              <w:rPr>
                <w:rStyle w:val="a9"/>
                <w:noProof/>
                <w:spacing w:val="-14"/>
                <w:w w:val="110"/>
              </w:rPr>
              <w:t xml:space="preserve"> </w:t>
            </w:r>
            <w:r w:rsidRPr="00265A01">
              <w:rPr>
                <w:rStyle w:val="a9"/>
                <w:noProof/>
                <w:w w:val="110"/>
              </w:rPr>
              <w:t>Code</w:t>
            </w:r>
            <w:r>
              <w:rPr>
                <w:noProof/>
                <w:webHidden/>
              </w:rPr>
              <w:tab/>
            </w:r>
            <w:r>
              <w:rPr>
                <w:noProof/>
                <w:webHidden/>
              </w:rPr>
              <w:fldChar w:fldCharType="begin"/>
            </w:r>
            <w:r>
              <w:rPr>
                <w:noProof/>
                <w:webHidden/>
              </w:rPr>
              <w:instrText xml:space="preserve"> PAGEREF _Toc54423684 \h </w:instrText>
            </w:r>
            <w:r>
              <w:rPr>
                <w:noProof/>
                <w:webHidden/>
              </w:rPr>
            </w:r>
            <w:r>
              <w:rPr>
                <w:noProof/>
                <w:webHidden/>
              </w:rPr>
              <w:fldChar w:fldCharType="separate"/>
            </w:r>
            <w:r>
              <w:rPr>
                <w:noProof/>
                <w:webHidden/>
              </w:rPr>
              <w:t>28</w:t>
            </w:r>
            <w:r>
              <w:rPr>
                <w:noProof/>
                <w:webHidden/>
              </w:rPr>
              <w:fldChar w:fldCharType="end"/>
            </w:r>
          </w:hyperlink>
        </w:p>
        <w:p w14:paraId="6B411529" w14:textId="41A1587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85" w:history="1">
            <w:r w:rsidRPr="00265A01">
              <w:rPr>
                <w:rStyle w:val="a9"/>
                <w:noProof/>
                <w:spacing w:val="-1"/>
                <w:w w:val="113"/>
              </w:rPr>
              <w:t>3.2.1.</w:t>
            </w:r>
            <w:r>
              <w:rPr>
                <w:rFonts w:asciiTheme="minorHAnsi" w:eastAsiaTheme="minorEastAsia" w:hAnsiTheme="minorHAnsi" w:cstheme="minorBidi"/>
                <w:noProof/>
                <w:kern w:val="2"/>
                <w:szCs w:val="22"/>
                <w:lang w:eastAsia="zh-CN"/>
              </w:rPr>
              <w:tab/>
            </w:r>
            <w:r w:rsidRPr="00265A01">
              <w:rPr>
                <w:rStyle w:val="a9"/>
                <w:noProof/>
                <w:w w:val="110"/>
              </w:rPr>
              <w:t>Using the “default”</w:t>
            </w:r>
            <w:r w:rsidRPr="00265A01">
              <w:rPr>
                <w:rStyle w:val="a9"/>
                <w:noProof/>
                <w:spacing w:val="-18"/>
                <w:w w:val="110"/>
              </w:rPr>
              <w:t xml:space="preserve"> </w:t>
            </w:r>
            <w:r w:rsidRPr="00265A01">
              <w:rPr>
                <w:rStyle w:val="a9"/>
                <w:noProof/>
                <w:w w:val="110"/>
              </w:rPr>
              <w:t>Package</w:t>
            </w:r>
            <w:r>
              <w:rPr>
                <w:noProof/>
                <w:webHidden/>
              </w:rPr>
              <w:tab/>
            </w:r>
            <w:r>
              <w:rPr>
                <w:noProof/>
                <w:webHidden/>
              </w:rPr>
              <w:fldChar w:fldCharType="begin"/>
            </w:r>
            <w:r>
              <w:rPr>
                <w:noProof/>
                <w:webHidden/>
              </w:rPr>
              <w:instrText xml:space="preserve"> PAGEREF _Toc54423685 \h </w:instrText>
            </w:r>
            <w:r>
              <w:rPr>
                <w:noProof/>
                <w:webHidden/>
              </w:rPr>
            </w:r>
            <w:r>
              <w:rPr>
                <w:noProof/>
                <w:webHidden/>
              </w:rPr>
              <w:fldChar w:fldCharType="separate"/>
            </w:r>
            <w:r>
              <w:rPr>
                <w:noProof/>
                <w:webHidden/>
              </w:rPr>
              <w:t>28</w:t>
            </w:r>
            <w:r>
              <w:rPr>
                <w:noProof/>
                <w:webHidden/>
              </w:rPr>
              <w:fldChar w:fldCharType="end"/>
            </w:r>
          </w:hyperlink>
        </w:p>
        <w:p w14:paraId="3AD5BE28" w14:textId="4DCAE619"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86" w:history="1">
            <w:r w:rsidRPr="00265A01">
              <w:rPr>
                <w:rStyle w:val="a9"/>
                <w:noProof/>
                <w:spacing w:val="-1"/>
                <w:w w:val="113"/>
              </w:rPr>
              <w:t>3.2.2.</w:t>
            </w:r>
            <w:r>
              <w:rPr>
                <w:rFonts w:asciiTheme="minorHAnsi" w:eastAsiaTheme="minorEastAsia" w:hAnsiTheme="minorHAnsi" w:cstheme="minorBidi"/>
                <w:noProof/>
                <w:kern w:val="2"/>
                <w:szCs w:val="22"/>
                <w:lang w:eastAsia="zh-CN"/>
              </w:rPr>
              <w:tab/>
            </w:r>
            <w:r w:rsidRPr="00265A01">
              <w:rPr>
                <w:rStyle w:val="a9"/>
                <w:noProof/>
                <w:w w:val="110"/>
              </w:rPr>
              <w:t>Locating the Main Application</w:t>
            </w:r>
            <w:r w:rsidRPr="00265A01">
              <w:rPr>
                <w:rStyle w:val="a9"/>
                <w:noProof/>
                <w:spacing w:val="-26"/>
                <w:w w:val="110"/>
              </w:rPr>
              <w:t xml:space="preserve"> </w:t>
            </w:r>
            <w:r w:rsidRPr="00265A01">
              <w:rPr>
                <w:rStyle w:val="a9"/>
                <w:noProof/>
                <w:w w:val="110"/>
              </w:rPr>
              <w:t>Class</w:t>
            </w:r>
            <w:r>
              <w:rPr>
                <w:noProof/>
                <w:webHidden/>
              </w:rPr>
              <w:tab/>
            </w:r>
            <w:r>
              <w:rPr>
                <w:noProof/>
                <w:webHidden/>
              </w:rPr>
              <w:fldChar w:fldCharType="begin"/>
            </w:r>
            <w:r>
              <w:rPr>
                <w:noProof/>
                <w:webHidden/>
              </w:rPr>
              <w:instrText xml:space="preserve"> PAGEREF _Toc54423686 \h </w:instrText>
            </w:r>
            <w:r>
              <w:rPr>
                <w:noProof/>
                <w:webHidden/>
              </w:rPr>
            </w:r>
            <w:r>
              <w:rPr>
                <w:noProof/>
                <w:webHidden/>
              </w:rPr>
              <w:fldChar w:fldCharType="separate"/>
            </w:r>
            <w:r>
              <w:rPr>
                <w:noProof/>
                <w:webHidden/>
              </w:rPr>
              <w:t>28</w:t>
            </w:r>
            <w:r>
              <w:rPr>
                <w:noProof/>
                <w:webHidden/>
              </w:rPr>
              <w:fldChar w:fldCharType="end"/>
            </w:r>
          </w:hyperlink>
        </w:p>
        <w:p w14:paraId="34ECCC8A" w14:textId="17B1D000"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87" w:history="1">
            <w:r w:rsidRPr="00265A01">
              <w:rPr>
                <w:rStyle w:val="a9"/>
                <w:noProof/>
                <w:spacing w:val="-1"/>
                <w:w w:val="113"/>
              </w:rPr>
              <w:t>3.3.</w:t>
            </w:r>
            <w:r>
              <w:rPr>
                <w:rFonts w:asciiTheme="minorHAnsi" w:eastAsiaTheme="minorEastAsia" w:hAnsiTheme="minorHAnsi" w:cstheme="minorBidi"/>
                <w:noProof/>
                <w:kern w:val="2"/>
                <w:szCs w:val="22"/>
                <w:lang w:eastAsia="zh-CN"/>
              </w:rPr>
              <w:tab/>
            </w:r>
            <w:r w:rsidRPr="00265A01">
              <w:rPr>
                <w:rStyle w:val="a9"/>
                <w:noProof/>
                <w:w w:val="110"/>
              </w:rPr>
              <w:t>Configuration</w:t>
            </w:r>
            <w:r w:rsidRPr="00265A01">
              <w:rPr>
                <w:rStyle w:val="a9"/>
                <w:noProof/>
                <w:spacing w:val="-8"/>
                <w:w w:val="110"/>
              </w:rPr>
              <w:t xml:space="preserve"> </w:t>
            </w:r>
            <w:r w:rsidRPr="00265A01">
              <w:rPr>
                <w:rStyle w:val="a9"/>
                <w:noProof/>
                <w:w w:val="110"/>
              </w:rPr>
              <w:t>Classes</w:t>
            </w:r>
            <w:r>
              <w:rPr>
                <w:noProof/>
                <w:webHidden/>
              </w:rPr>
              <w:tab/>
            </w:r>
            <w:r>
              <w:rPr>
                <w:noProof/>
                <w:webHidden/>
              </w:rPr>
              <w:fldChar w:fldCharType="begin"/>
            </w:r>
            <w:r>
              <w:rPr>
                <w:noProof/>
                <w:webHidden/>
              </w:rPr>
              <w:instrText xml:space="preserve"> PAGEREF _Toc54423687 \h </w:instrText>
            </w:r>
            <w:r>
              <w:rPr>
                <w:noProof/>
                <w:webHidden/>
              </w:rPr>
            </w:r>
            <w:r>
              <w:rPr>
                <w:noProof/>
                <w:webHidden/>
              </w:rPr>
              <w:fldChar w:fldCharType="separate"/>
            </w:r>
            <w:r>
              <w:rPr>
                <w:noProof/>
                <w:webHidden/>
              </w:rPr>
              <w:t>29</w:t>
            </w:r>
            <w:r>
              <w:rPr>
                <w:noProof/>
                <w:webHidden/>
              </w:rPr>
              <w:fldChar w:fldCharType="end"/>
            </w:r>
          </w:hyperlink>
        </w:p>
        <w:p w14:paraId="7B6F92F6" w14:textId="078D3642"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88" w:history="1">
            <w:r w:rsidRPr="00265A01">
              <w:rPr>
                <w:rStyle w:val="a9"/>
                <w:noProof/>
                <w:spacing w:val="-1"/>
                <w:w w:val="113"/>
              </w:rPr>
              <w:t>3.3.1.</w:t>
            </w:r>
            <w:r>
              <w:rPr>
                <w:rFonts w:asciiTheme="minorHAnsi" w:eastAsiaTheme="minorEastAsia" w:hAnsiTheme="minorHAnsi" w:cstheme="minorBidi"/>
                <w:noProof/>
                <w:kern w:val="2"/>
                <w:szCs w:val="22"/>
                <w:lang w:eastAsia="zh-CN"/>
              </w:rPr>
              <w:tab/>
            </w:r>
            <w:r w:rsidRPr="00265A01">
              <w:rPr>
                <w:rStyle w:val="a9"/>
                <w:noProof/>
                <w:w w:val="110"/>
              </w:rPr>
              <w:t>Importing Additional Configuration</w:t>
            </w:r>
            <w:r w:rsidRPr="00265A01">
              <w:rPr>
                <w:rStyle w:val="a9"/>
                <w:noProof/>
                <w:spacing w:val="-21"/>
                <w:w w:val="110"/>
              </w:rPr>
              <w:t xml:space="preserve"> </w:t>
            </w:r>
            <w:r w:rsidRPr="00265A01">
              <w:rPr>
                <w:rStyle w:val="a9"/>
                <w:noProof/>
                <w:w w:val="110"/>
              </w:rPr>
              <w:t>Classes</w:t>
            </w:r>
            <w:r>
              <w:rPr>
                <w:noProof/>
                <w:webHidden/>
              </w:rPr>
              <w:tab/>
            </w:r>
            <w:r>
              <w:rPr>
                <w:noProof/>
                <w:webHidden/>
              </w:rPr>
              <w:fldChar w:fldCharType="begin"/>
            </w:r>
            <w:r>
              <w:rPr>
                <w:noProof/>
                <w:webHidden/>
              </w:rPr>
              <w:instrText xml:space="preserve"> PAGEREF _Toc54423688 \h </w:instrText>
            </w:r>
            <w:r>
              <w:rPr>
                <w:noProof/>
                <w:webHidden/>
              </w:rPr>
            </w:r>
            <w:r>
              <w:rPr>
                <w:noProof/>
                <w:webHidden/>
              </w:rPr>
              <w:fldChar w:fldCharType="separate"/>
            </w:r>
            <w:r>
              <w:rPr>
                <w:noProof/>
                <w:webHidden/>
              </w:rPr>
              <w:t>30</w:t>
            </w:r>
            <w:r>
              <w:rPr>
                <w:noProof/>
                <w:webHidden/>
              </w:rPr>
              <w:fldChar w:fldCharType="end"/>
            </w:r>
          </w:hyperlink>
        </w:p>
        <w:p w14:paraId="0265D67D" w14:textId="0C3F813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89" w:history="1">
            <w:r w:rsidRPr="00265A01">
              <w:rPr>
                <w:rStyle w:val="a9"/>
                <w:noProof/>
                <w:spacing w:val="-1"/>
                <w:w w:val="113"/>
              </w:rPr>
              <w:t>3.3.2.</w:t>
            </w:r>
            <w:r>
              <w:rPr>
                <w:rFonts w:asciiTheme="minorHAnsi" w:eastAsiaTheme="minorEastAsia" w:hAnsiTheme="minorHAnsi" w:cstheme="minorBidi"/>
                <w:noProof/>
                <w:kern w:val="2"/>
                <w:szCs w:val="22"/>
                <w:lang w:eastAsia="zh-CN"/>
              </w:rPr>
              <w:tab/>
            </w:r>
            <w:r w:rsidRPr="00265A01">
              <w:rPr>
                <w:rStyle w:val="a9"/>
                <w:noProof/>
                <w:w w:val="110"/>
              </w:rPr>
              <w:t>Importing XML</w:t>
            </w:r>
            <w:r w:rsidRPr="00265A01">
              <w:rPr>
                <w:rStyle w:val="a9"/>
                <w:noProof/>
                <w:spacing w:val="-13"/>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_Toc54423689 \h </w:instrText>
            </w:r>
            <w:r>
              <w:rPr>
                <w:noProof/>
                <w:webHidden/>
              </w:rPr>
            </w:r>
            <w:r>
              <w:rPr>
                <w:noProof/>
                <w:webHidden/>
              </w:rPr>
              <w:fldChar w:fldCharType="separate"/>
            </w:r>
            <w:r>
              <w:rPr>
                <w:noProof/>
                <w:webHidden/>
              </w:rPr>
              <w:t>30</w:t>
            </w:r>
            <w:r>
              <w:rPr>
                <w:noProof/>
                <w:webHidden/>
              </w:rPr>
              <w:fldChar w:fldCharType="end"/>
            </w:r>
          </w:hyperlink>
        </w:p>
        <w:p w14:paraId="17E23B46" w14:textId="6242398D"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90" w:history="1">
            <w:r w:rsidRPr="00265A01">
              <w:rPr>
                <w:rStyle w:val="a9"/>
                <w:noProof/>
                <w:spacing w:val="-1"/>
                <w:w w:val="113"/>
              </w:rPr>
              <w:t>3.4.</w:t>
            </w:r>
            <w:r>
              <w:rPr>
                <w:rFonts w:asciiTheme="minorHAnsi" w:eastAsiaTheme="minorEastAsia" w:hAnsiTheme="minorHAnsi" w:cstheme="minorBidi"/>
                <w:noProof/>
                <w:kern w:val="2"/>
                <w:szCs w:val="22"/>
                <w:lang w:eastAsia="zh-CN"/>
              </w:rPr>
              <w:tab/>
            </w:r>
            <w:r w:rsidRPr="00265A01">
              <w:rPr>
                <w:rStyle w:val="a9"/>
                <w:noProof/>
                <w:w w:val="110"/>
              </w:rPr>
              <w:t>Auto-configuration</w:t>
            </w:r>
            <w:r>
              <w:rPr>
                <w:noProof/>
                <w:webHidden/>
              </w:rPr>
              <w:tab/>
            </w:r>
            <w:r>
              <w:rPr>
                <w:noProof/>
                <w:webHidden/>
              </w:rPr>
              <w:fldChar w:fldCharType="begin"/>
            </w:r>
            <w:r>
              <w:rPr>
                <w:noProof/>
                <w:webHidden/>
              </w:rPr>
              <w:instrText xml:space="preserve"> PAGEREF _Toc54423690 \h </w:instrText>
            </w:r>
            <w:r>
              <w:rPr>
                <w:noProof/>
                <w:webHidden/>
              </w:rPr>
            </w:r>
            <w:r>
              <w:rPr>
                <w:noProof/>
                <w:webHidden/>
              </w:rPr>
              <w:fldChar w:fldCharType="separate"/>
            </w:r>
            <w:r>
              <w:rPr>
                <w:noProof/>
                <w:webHidden/>
              </w:rPr>
              <w:t>30</w:t>
            </w:r>
            <w:r>
              <w:rPr>
                <w:noProof/>
                <w:webHidden/>
              </w:rPr>
              <w:fldChar w:fldCharType="end"/>
            </w:r>
          </w:hyperlink>
        </w:p>
        <w:p w14:paraId="5D08B94F" w14:textId="6B7B2FB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91" w:history="1">
            <w:r w:rsidRPr="00265A01">
              <w:rPr>
                <w:rStyle w:val="a9"/>
                <w:noProof/>
                <w:spacing w:val="-1"/>
                <w:w w:val="113"/>
              </w:rPr>
              <w:t>3.4.1.</w:t>
            </w:r>
            <w:r>
              <w:rPr>
                <w:rFonts w:asciiTheme="minorHAnsi" w:eastAsiaTheme="minorEastAsia" w:hAnsiTheme="minorHAnsi" w:cstheme="minorBidi"/>
                <w:noProof/>
                <w:kern w:val="2"/>
                <w:szCs w:val="22"/>
                <w:lang w:eastAsia="zh-CN"/>
              </w:rPr>
              <w:tab/>
            </w:r>
            <w:r w:rsidRPr="00265A01">
              <w:rPr>
                <w:rStyle w:val="a9"/>
                <w:noProof/>
                <w:w w:val="110"/>
              </w:rPr>
              <w:t>Gradually Replacing</w:t>
            </w:r>
            <w:r w:rsidRPr="00265A01">
              <w:rPr>
                <w:rStyle w:val="a9"/>
                <w:noProof/>
                <w:spacing w:val="-12"/>
                <w:w w:val="110"/>
              </w:rPr>
              <w:t xml:space="preserve"> </w:t>
            </w:r>
            <w:r w:rsidRPr="00265A01">
              <w:rPr>
                <w:rStyle w:val="a9"/>
                <w:noProof/>
                <w:w w:val="110"/>
              </w:rPr>
              <w:t>Auto-configuration</w:t>
            </w:r>
            <w:r>
              <w:rPr>
                <w:noProof/>
                <w:webHidden/>
              </w:rPr>
              <w:tab/>
            </w:r>
            <w:r>
              <w:rPr>
                <w:noProof/>
                <w:webHidden/>
              </w:rPr>
              <w:fldChar w:fldCharType="begin"/>
            </w:r>
            <w:r>
              <w:rPr>
                <w:noProof/>
                <w:webHidden/>
              </w:rPr>
              <w:instrText xml:space="preserve"> PAGEREF _Toc54423691 \h </w:instrText>
            </w:r>
            <w:r>
              <w:rPr>
                <w:noProof/>
                <w:webHidden/>
              </w:rPr>
            </w:r>
            <w:r>
              <w:rPr>
                <w:noProof/>
                <w:webHidden/>
              </w:rPr>
              <w:fldChar w:fldCharType="separate"/>
            </w:r>
            <w:r>
              <w:rPr>
                <w:noProof/>
                <w:webHidden/>
              </w:rPr>
              <w:t>30</w:t>
            </w:r>
            <w:r>
              <w:rPr>
                <w:noProof/>
                <w:webHidden/>
              </w:rPr>
              <w:fldChar w:fldCharType="end"/>
            </w:r>
          </w:hyperlink>
        </w:p>
        <w:p w14:paraId="32B9E41E" w14:textId="77CB639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92" w:history="1">
            <w:r w:rsidRPr="00265A01">
              <w:rPr>
                <w:rStyle w:val="a9"/>
                <w:noProof/>
                <w:spacing w:val="-1"/>
                <w:w w:val="113"/>
              </w:rPr>
              <w:t>3.4.2.</w:t>
            </w:r>
            <w:r>
              <w:rPr>
                <w:rFonts w:asciiTheme="minorHAnsi" w:eastAsiaTheme="minorEastAsia" w:hAnsiTheme="minorHAnsi" w:cstheme="minorBidi"/>
                <w:noProof/>
                <w:kern w:val="2"/>
                <w:szCs w:val="22"/>
                <w:lang w:eastAsia="zh-CN"/>
              </w:rPr>
              <w:tab/>
            </w:r>
            <w:r w:rsidRPr="00265A01">
              <w:rPr>
                <w:rStyle w:val="a9"/>
                <w:noProof/>
                <w:w w:val="110"/>
              </w:rPr>
              <w:t>Disabling Specific Auto-configuration</w:t>
            </w:r>
            <w:r w:rsidRPr="00265A01">
              <w:rPr>
                <w:rStyle w:val="a9"/>
                <w:noProof/>
                <w:spacing w:val="-23"/>
                <w:w w:val="110"/>
              </w:rPr>
              <w:t xml:space="preserve"> </w:t>
            </w:r>
            <w:r w:rsidRPr="00265A01">
              <w:rPr>
                <w:rStyle w:val="a9"/>
                <w:noProof/>
                <w:w w:val="110"/>
              </w:rPr>
              <w:t>Classes</w:t>
            </w:r>
            <w:r>
              <w:rPr>
                <w:noProof/>
                <w:webHidden/>
              </w:rPr>
              <w:tab/>
            </w:r>
            <w:r>
              <w:rPr>
                <w:noProof/>
                <w:webHidden/>
              </w:rPr>
              <w:fldChar w:fldCharType="begin"/>
            </w:r>
            <w:r>
              <w:rPr>
                <w:noProof/>
                <w:webHidden/>
              </w:rPr>
              <w:instrText xml:space="preserve"> PAGEREF _Toc54423692 \h </w:instrText>
            </w:r>
            <w:r>
              <w:rPr>
                <w:noProof/>
                <w:webHidden/>
              </w:rPr>
            </w:r>
            <w:r>
              <w:rPr>
                <w:noProof/>
                <w:webHidden/>
              </w:rPr>
              <w:fldChar w:fldCharType="separate"/>
            </w:r>
            <w:r>
              <w:rPr>
                <w:noProof/>
                <w:webHidden/>
              </w:rPr>
              <w:t>30</w:t>
            </w:r>
            <w:r>
              <w:rPr>
                <w:noProof/>
                <w:webHidden/>
              </w:rPr>
              <w:fldChar w:fldCharType="end"/>
            </w:r>
          </w:hyperlink>
        </w:p>
        <w:p w14:paraId="20711344" w14:textId="2A328DBE"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93" w:history="1">
            <w:r w:rsidRPr="00265A01">
              <w:rPr>
                <w:rStyle w:val="a9"/>
                <w:noProof/>
                <w:spacing w:val="-1"/>
                <w:w w:val="113"/>
              </w:rPr>
              <w:t>3.5.</w:t>
            </w:r>
            <w:r>
              <w:rPr>
                <w:rFonts w:asciiTheme="minorHAnsi" w:eastAsiaTheme="minorEastAsia" w:hAnsiTheme="minorHAnsi" w:cstheme="minorBidi"/>
                <w:noProof/>
                <w:kern w:val="2"/>
                <w:szCs w:val="22"/>
                <w:lang w:eastAsia="zh-CN"/>
              </w:rPr>
              <w:tab/>
            </w:r>
            <w:r w:rsidRPr="00265A01">
              <w:rPr>
                <w:rStyle w:val="a9"/>
                <w:noProof/>
                <w:w w:val="110"/>
              </w:rPr>
              <w:t>Spring Beans and Dependency</w:t>
            </w:r>
            <w:r w:rsidRPr="00265A01">
              <w:rPr>
                <w:rStyle w:val="a9"/>
                <w:noProof/>
                <w:spacing w:val="-39"/>
                <w:w w:val="110"/>
              </w:rPr>
              <w:t xml:space="preserve"> </w:t>
            </w:r>
            <w:r w:rsidRPr="00265A01">
              <w:rPr>
                <w:rStyle w:val="a9"/>
                <w:noProof/>
                <w:w w:val="110"/>
              </w:rPr>
              <w:t>Injection</w:t>
            </w:r>
            <w:r>
              <w:rPr>
                <w:noProof/>
                <w:webHidden/>
              </w:rPr>
              <w:tab/>
            </w:r>
            <w:r>
              <w:rPr>
                <w:noProof/>
                <w:webHidden/>
              </w:rPr>
              <w:fldChar w:fldCharType="begin"/>
            </w:r>
            <w:r>
              <w:rPr>
                <w:noProof/>
                <w:webHidden/>
              </w:rPr>
              <w:instrText xml:space="preserve"> PAGEREF _Toc54423693 \h </w:instrText>
            </w:r>
            <w:r>
              <w:rPr>
                <w:noProof/>
                <w:webHidden/>
              </w:rPr>
            </w:r>
            <w:r>
              <w:rPr>
                <w:noProof/>
                <w:webHidden/>
              </w:rPr>
              <w:fldChar w:fldCharType="separate"/>
            </w:r>
            <w:r>
              <w:rPr>
                <w:noProof/>
                <w:webHidden/>
              </w:rPr>
              <w:t>31</w:t>
            </w:r>
            <w:r>
              <w:rPr>
                <w:noProof/>
                <w:webHidden/>
              </w:rPr>
              <w:fldChar w:fldCharType="end"/>
            </w:r>
          </w:hyperlink>
        </w:p>
        <w:p w14:paraId="2CFCCC4E" w14:textId="2D050B37"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94" w:history="1">
            <w:r w:rsidRPr="00265A01">
              <w:rPr>
                <w:rStyle w:val="a9"/>
                <w:noProof/>
                <w:spacing w:val="-1"/>
                <w:w w:val="113"/>
              </w:rPr>
              <w:t>3.6.</w:t>
            </w:r>
            <w:r>
              <w:rPr>
                <w:rFonts w:asciiTheme="minorHAnsi" w:eastAsiaTheme="minorEastAsia" w:hAnsiTheme="minorHAnsi" w:cstheme="minorBidi"/>
                <w:noProof/>
                <w:kern w:val="2"/>
                <w:szCs w:val="22"/>
                <w:lang w:eastAsia="zh-CN"/>
              </w:rPr>
              <w:tab/>
            </w:r>
            <w:r w:rsidRPr="00265A01">
              <w:rPr>
                <w:rStyle w:val="a9"/>
                <w:noProof/>
                <w:w w:val="110"/>
              </w:rPr>
              <w:t>Using the @SpringBootApplication</w:t>
            </w:r>
            <w:r w:rsidRPr="00265A01">
              <w:rPr>
                <w:rStyle w:val="a9"/>
                <w:noProof/>
                <w:spacing w:val="-41"/>
                <w:w w:val="110"/>
              </w:rPr>
              <w:t xml:space="preserve"> </w:t>
            </w:r>
            <w:r w:rsidRPr="00265A01">
              <w:rPr>
                <w:rStyle w:val="a9"/>
                <w:noProof/>
                <w:w w:val="110"/>
              </w:rPr>
              <w:t>Annotation</w:t>
            </w:r>
            <w:r>
              <w:rPr>
                <w:noProof/>
                <w:webHidden/>
              </w:rPr>
              <w:tab/>
            </w:r>
            <w:r>
              <w:rPr>
                <w:noProof/>
                <w:webHidden/>
              </w:rPr>
              <w:fldChar w:fldCharType="begin"/>
            </w:r>
            <w:r>
              <w:rPr>
                <w:noProof/>
                <w:webHidden/>
              </w:rPr>
              <w:instrText xml:space="preserve"> PAGEREF _Toc54423694 \h </w:instrText>
            </w:r>
            <w:r>
              <w:rPr>
                <w:noProof/>
                <w:webHidden/>
              </w:rPr>
            </w:r>
            <w:r>
              <w:rPr>
                <w:noProof/>
                <w:webHidden/>
              </w:rPr>
              <w:fldChar w:fldCharType="separate"/>
            </w:r>
            <w:r>
              <w:rPr>
                <w:noProof/>
                <w:webHidden/>
              </w:rPr>
              <w:t>32</w:t>
            </w:r>
            <w:r>
              <w:rPr>
                <w:noProof/>
                <w:webHidden/>
              </w:rPr>
              <w:fldChar w:fldCharType="end"/>
            </w:r>
          </w:hyperlink>
        </w:p>
        <w:p w14:paraId="79369371" w14:textId="65444408"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695" w:history="1">
            <w:r w:rsidRPr="00265A01">
              <w:rPr>
                <w:rStyle w:val="a9"/>
                <w:noProof/>
                <w:spacing w:val="-1"/>
                <w:w w:val="113"/>
              </w:rPr>
              <w:t>3.7.</w:t>
            </w:r>
            <w:r>
              <w:rPr>
                <w:rFonts w:asciiTheme="minorHAnsi" w:eastAsiaTheme="minorEastAsia" w:hAnsiTheme="minorHAnsi" w:cstheme="minorBidi"/>
                <w:noProof/>
                <w:kern w:val="2"/>
                <w:szCs w:val="22"/>
                <w:lang w:eastAsia="zh-CN"/>
              </w:rPr>
              <w:tab/>
            </w:r>
            <w:r w:rsidRPr="00265A01">
              <w:rPr>
                <w:rStyle w:val="a9"/>
                <w:noProof/>
                <w:w w:val="110"/>
              </w:rPr>
              <w:t xml:space="preserve">Running </w:t>
            </w:r>
            <w:r w:rsidRPr="00265A01">
              <w:rPr>
                <w:rStyle w:val="a9"/>
                <w:noProof/>
                <w:spacing w:val="-7"/>
                <w:w w:val="110"/>
              </w:rPr>
              <w:t>Your</w:t>
            </w:r>
            <w:r w:rsidRPr="00265A01">
              <w:rPr>
                <w:rStyle w:val="a9"/>
                <w:noProof/>
                <w:spacing w:val="-17"/>
                <w:w w:val="110"/>
              </w:rPr>
              <w:t xml:space="preserve"> </w:t>
            </w:r>
            <w:r w:rsidRPr="00265A01">
              <w:rPr>
                <w:rStyle w:val="a9"/>
                <w:noProof/>
                <w:w w:val="110"/>
              </w:rPr>
              <w:t>Application</w:t>
            </w:r>
            <w:r>
              <w:rPr>
                <w:noProof/>
                <w:webHidden/>
              </w:rPr>
              <w:tab/>
            </w:r>
            <w:r>
              <w:rPr>
                <w:noProof/>
                <w:webHidden/>
              </w:rPr>
              <w:fldChar w:fldCharType="begin"/>
            </w:r>
            <w:r>
              <w:rPr>
                <w:noProof/>
                <w:webHidden/>
              </w:rPr>
              <w:instrText xml:space="preserve"> PAGEREF _Toc54423695 \h </w:instrText>
            </w:r>
            <w:r>
              <w:rPr>
                <w:noProof/>
                <w:webHidden/>
              </w:rPr>
            </w:r>
            <w:r>
              <w:rPr>
                <w:noProof/>
                <w:webHidden/>
              </w:rPr>
              <w:fldChar w:fldCharType="separate"/>
            </w:r>
            <w:r>
              <w:rPr>
                <w:noProof/>
                <w:webHidden/>
              </w:rPr>
              <w:t>34</w:t>
            </w:r>
            <w:r>
              <w:rPr>
                <w:noProof/>
                <w:webHidden/>
              </w:rPr>
              <w:fldChar w:fldCharType="end"/>
            </w:r>
          </w:hyperlink>
        </w:p>
        <w:p w14:paraId="3DC33E5A" w14:textId="0CE80A2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96" w:history="1">
            <w:r w:rsidRPr="00265A01">
              <w:rPr>
                <w:rStyle w:val="a9"/>
                <w:noProof/>
                <w:spacing w:val="-1"/>
                <w:w w:val="113"/>
              </w:rPr>
              <w:t>3.7.1.</w:t>
            </w:r>
            <w:r>
              <w:rPr>
                <w:rFonts w:asciiTheme="minorHAnsi" w:eastAsiaTheme="minorEastAsia" w:hAnsiTheme="minorHAnsi" w:cstheme="minorBidi"/>
                <w:noProof/>
                <w:kern w:val="2"/>
                <w:szCs w:val="22"/>
                <w:lang w:eastAsia="zh-CN"/>
              </w:rPr>
              <w:tab/>
            </w:r>
            <w:r w:rsidRPr="00265A01">
              <w:rPr>
                <w:rStyle w:val="a9"/>
                <w:noProof/>
                <w:w w:val="110"/>
              </w:rPr>
              <w:t>Running from an</w:t>
            </w:r>
            <w:r w:rsidRPr="00265A01">
              <w:rPr>
                <w:rStyle w:val="a9"/>
                <w:noProof/>
                <w:spacing w:val="-16"/>
                <w:w w:val="110"/>
              </w:rPr>
              <w:t xml:space="preserve"> </w:t>
            </w:r>
            <w:r w:rsidRPr="00265A01">
              <w:rPr>
                <w:rStyle w:val="a9"/>
                <w:noProof/>
                <w:w w:val="110"/>
              </w:rPr>
              <w:t>IDE</w:t>
            </w:r>
            <w:r>
              <w:rPr>
                <w:noProof/>
                <w:webHidden/>
              </w:rPr>
              <w:tab/>
            </w:r>
            <w:r>
              <w:rPr>
                <w:noProof/>
                <w:webHidden/>
              </w:rPr>
              <w:fldChar w:fldCharType="begin"/>
            </w:r>
            <w:r>
              <w:rPr>
                <w:noProof/>
                <w:webHidden/>
              </w:rPr>
              <w:instrText xml:space="preserve"> PAGEREF _Toc54423696 \h </w:instrText>
            </w:r>
            <w:r>
              <w:rPr>
                <w:noProof/>
                <w:webHidden/>
              </w:rPr>
            </w:r>
            <w:r>
              <w:rPr>
                <w:noProof/>
                <w:webHidden/>
              </w:rPr>
              <w:fldChar w:fldCharType="separate"/>
            </w:r>
            <w:r>
              <w:rPr>
                <w:noProof/>
                <w:webHidden/>
              </w:rPr>
              <w:t>34</w:t>
            </w:r>
            <w:r>
              <w:rPr>
                <w:noProof/>
                <w:webHidden/>
              </w:rPr>
              <w:fldChar w:fldCharType="end"/>
            </w:r>
          </w:hyperlink>
        </w:p>
        <w:p w14:paraId="063BD68B" w14:textId="6304172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97" w:history="1">
            <w:r w:rsidRPr="00265A01">
              <w:rPr>
                <w:rStyle w:val="a9"/>
                <w:noProof/>
                <w:spacing w:val="-1"/>
                <w:w w:val="113"/>
              </w:rPr>
              <w:t>3.7.2.</w:t>
            </w:r>
            <w:r>
              <w:rPr>
                <w:rFonts w:asciiTheme="minorHAnsi" w:eastAsiaTheme="minorEastAsia" w:hAnsiTheme="minorHAnsi" w:cstheme="minorBidi"/>
                <w:noProof/>
                <w:kern w:val="2"/>
                <w:szCs w:val="22"/>
                <w:lang w:eastAsia="zh-CN"/>
              </w:rPr>
              <w:tab/>
            </w:r>
            <w:r w:rsidRPr="00265A01">
              <w:rPr>
                <w:rStyle w:val="a9"/>
                <w:noProof/>
                <w:w w:val="110"/>
              </w:rPr>
              <w:t>Running as a Packaged</w:t>
            </w:r>
            <w:r w:rsidRPr="00265A01">
              <w:rPr>
                <w:rStyle w:val="a9"/>
                <w:noProof/>
                <w:spacing w:val="-22"/>
                <w:w w:val="110"/>
              </w:rPr>
              <w:t xml:space="preserve"> </w:t>
            </w:r>
            <w:r w:rsidRPr="00265A01">
              <w:rPr>
                <w:rStyle w:val="a9"/>
                <w:noProof/>
                <w:w w:val="110"/>
              </w:rPr>
              <w:t>Application</w:t>
            </w:r>
            <w:r>
              <w:rPr>
                <w:noProof/>
                <w:webHidden/>
              </w:rPr>
              <w:tab/>
            </w:r>
            <w:r>
              <w:rPr>
                <w:noProof/>
                <w:webHidden/>
              </w:rPr>
              <w:fldChar w:fldCharType="begin"/>
            </w:r>
            <w:r>
              <w:rPr>
                <w:noProof/>
                <w:webHidden/>
              </w:rPr>
              <w:instrText xml:space="preserve"> PAGEREF _Toc54423697 \h </w:instrText>
            </w:r>
            <w:r>
              <w:rPr>
                <w:noProof/>
                <w:webHidden/>
              </w:rPr>
            </w:r>
            <w:r>
              <w:rPr>
                <w:noProof/>
                <w:webHidden/>
              </w:rPr>
              <w:fldChar w:fldCharType="separate"/>
            </w:r>
            <w:r>
              <w:rPr>
                <w:noProof/>
                <w:webHidden/>
              </w:rPr>
              <w:t>34</w:t>
            </w:r>
            <w:r>
              <w:rPr>
                <w:noProof/>
                <w:webHidden/>
              </w:rPr>
              <w:fldChar w:fldCharType="end"/>
            </w:r>
          </w:hyperlink>
        </w:p>
        <w:p w14:paraId="40A24FCA" w14:textId="2431B30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98" w:history="1">
            <w:r w:rsidRPr="00265A01">
              <w:rPr>
                <w:rStyle w:val="a9"/>
                <w:noProof/>
                <w:spacing w:val="-1"/>
                <w:w w:val="113"/>
              </w:rPr>
              <w:t>3.7.3.</w:t>
            </w:r>
            <w:r>
              <w:rPr>
                <w:rFonts w:asciiTheme="minorHAnsi" w:eastAsiaTheme="minorEastAsia" w:hAnsiTheme="minorHAnsi" w:cstheme="minorBidi"/>
                <w:noProof/>
                <w:kern w:val="2"/>
                <w:szCs w:val="22"/>
                <w:lang w:eastAsia="zh-CN"/>
              </w:rPr>
              <w:tab/>
            </w:r>
            <w:r w:rsidRPr="00265A01">
              <w:rPr>
                <w:rStyle w:val="a9"/>
                <w:noProof/>
                <w:w w:val="105"/>
              </w:rPr>
              <w:t>Using the Maven</w:t>
            </w:r>
            <w:r w:rsidRPr="00265A01">
              <w:rPr>
                <w:rStyle w:val="a9"/>
                <w:noProof/>
                <w:spacing w:val="-4"/>
                <w:w w:val="105"/>
              </w:rPr>
              <w:t xml:space="preserve"> </w:t>
            </w:r>
            <w:r w:rsidRPr="00265A01">
              <w:rPr>
                <w:rStyle w:val="a9"/>
                <w:noProof/>
                <w:w w:val="105"/>
              </w:rPr>
              <w:t>Plugin</w:t>
            </w:r>
            <w:r>
              <w:rPr>
                <w:noProof/>
                <w:webHidden/>
              </w:rPr>
              <w:tab/>
            </w:r>
            <w:r>
              <w:rPr>
                <w:noProof/>
                <w:webHidden/>
              </w:rPr>
              <w:fldChar w:fldCharType="begin"/>
            </w:r>
            <w:r>
              <w:rPr>
                <w:noProof/>
                <w:webHidden/>
              </w:rPr>
              <w:instrText xml:space="preserve"> PAGEREF _Toc54423698 \h </w:instrText>
            </w:r>
            <w:r>
              <w:rPr>
                <w:noProof/>
                <w:webHidden/>
              </w:rPr>
            </w:r>
            <w:r>
              <w:rPr>
                <w:noProof/>
                <w:webHidden/>
              </w:rPr>
              <w:fldChar w:fldCharType="separate"/>
            </w:r>
            <w:r>
              <w:rPr>
                <w:noProof/>
                <w:webHidden/>
              </w:rPr>
              <w:t>34</w:t>
            </w:r>
            <w:r>
              <w:rPr>
                <w:noProof/>
                <w:webHidden/>
              </w:rPr>
              <w:fldChar w:fldCharType="end"/>
            </w:r>
          </w:hyperlink>
        </w:p>
        <w:p w14:paraId="2DDBC230" w14:textId="5FD559E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699" w:history="1">
            <w:r w:rsidRPr="00265A01">
              <w:rPr>
                <w:rStyle w:val="a9"/>
                <w:noProof/>
                <w:spacing w:val="-1"/>
                <w:w w:val="113"/>
              </w:rPr>
              <w:t>3.7.4.</w:t>
            </w:r>
            <w:r>
              <w:rPr>
                <w:rFonts w:asciiTheme="minorHAnsi" w:eastAsiaTheme="minorEastAsia" w:hAnsiTheme="minorHAnsi" w:cstheme="minorBidi"/>
                <w:noProof/>
                <w:kern w:val="2"/>
                <w:szCs w:val="22"/>
                <w:lang w:eastAsia="zh-CN"/>
              </w:rPr>
              <w:tab/>
            </w:r>
            <w:r w:rsidRPr="00265A01">
              <w:rPr>
                <w:rStyle w:val="a9"/>
                <w:noProof/>
                <w:w w:val="110"/>
              </w:rPr>
              <w:t>Using the Gradle</w:t>
            </w:r>
            <w:r w:rsidRPr="00265A01">
              <w:rPr>
                <w:rStyle w:val="a9"/>
                <w:noProof/>
                <w:spacing w:val="-18"/>
                <w:w w:val="110"/>
              </w:rPr>
              <w:t xml:space="preserve"> </w:t>
            </w:r>
            <w:r w:rsidRPr="00265A01">
              <w:rPr>
                <w:rStyle w:val="a9"/>
                <w:noProof/>
                <w:w w:val="110"/>
              </w:rPr>
              <w:t>Plugin</w:t>
            </w:r>
            <w:r>
              <w:rPr>
                <w:noProof/>
                <w:webHidden/>
              </w:rPr>
              <w:tab/>
            </w:r>
            <w:r>
              <w:rPr>
                <w:noProof/>
                <w:webHidden/>
              </w:rPr>
              <w:fldChar w:fldCharType="begin"/>
            </w:r>
            <w:r>
              <w:rPr>
                <w:noProof/>
                <w:webHidden/>
              </w:rPr>
              <w:instrText xml:space="preserve"> PAGEREF _Toc54423699 \h </w:instrText>
            </w:r>
            <w:r>
              <w:rPr>
                <w:noProof/>
                <w:webHidden/>
              </w:rPr>
            </w:r>
            <w:r>
              <w:rPr>
                <w:noProof/>
                <w:webHidden/>
              </w:rPr>
              <w:fldChar w:fldCharType="separate"/>
            </w:r>
            <w:r>
              <w:rPr>
                <w:noProof/>
                <w:webHidden/>
              </w:rPr>
              <w:t>35</w:t>
            </w:r>
            <w:r>
              <w:rPr>
                <w:noProof/>
                <w:webHidden/>
              </w:rPr>
              <w:fldChar w:fldCharType="end"/>
            </w:r>
          </w:hyperlink>
        </w:p>
        <w:p w14:paraId="62B5820E" w14:textId="2DEAF16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00" w:history="1">
            <w:r w:rsidRPr="00265A01">
              <w:rPr>
                <w:rStyle w:val="a9"/>
                <w:noProof/>
                <w:spacing w:val="-1"/>
                <w:w w:val="113"/>
              </w:rPr>
              <w:t>3.7.5.</w:t>
            </w:r>
            <w:r>
              <w:rPr>
                <w:rFonts w:asciiTheme="minorHAnsi" w:eastAsiaTheme="minorEastAsia" w:hAnsiTheme="minorHAnsi" w:cstheme="minorBidi"/>
                <w:noProof/>
                <w:kern w:val="2"/>
                <w:szCs w:val="22"/>
                <w:lang w:eastAsia="zh-CN"/>
              </w:rPr>
              <w:tab/>
            </w:r>
            <w:r w:rsidRPr="00265A01">
              <w:rPr>
                <w:rStyle w:val="a9"/>
                <w:noProof/>
                <w:w w:val="105"/>
              </w:rPr>
              <w:t>Hot</w:t>
            </w:r>
            <w:r w:rsidRPr="00265A01">
              <w:rPr>
                <w:rStyle w:val="a9"/>
                <w:noProof/>
                <w:spacing w:val="-3"/>
                <w:w w:val="105"/>
              </w:rPr>
              <w:t xml:space="preserve"> </w:t>
            </w:r>
            <w:r w:rsidRPr="00265A01">
              <w:rPr>
                <w:rStyle w:val="a9"/>
                <w:noProof/>
                <w:w w:val="105"/>
              </w:rPr>
              <w:t>Swapping</w:t>
            </w:r>
            <w:r>
              <w:rPr>
                <w:noProof/>
                <w:webHidden/>
              </w:rPr>
              <w:tab/>
            </w:r>
            <w:r>
              <w:rPr>
                <w:noProof/>
                <w:webHidden/>
              </w:rPr>
              <w:fldChar w:fldCharType="begin"/>
            </w:r>
            <w:r>
              <w:rPr>
                <w:noProof/>
                <w:webHidden/>
              </w:rPr>
              <w:instrText xml:space="preserve"> PAGEREF _Toc54423700 \h </w:instrText>
            </w:r>
            <w:r>
              <w:rPr>
                <w:noProof/>
                <w:webHidden/>
              </w:rPr>
            </w:r>
            <w:r>
              <w:rPr>
                <w:noProof/>
                <w:webHidden/>
              </w:rPr>
              <w:fldChar w:fldCharType="separate"/>
            </w:r>
            <w:r>
              <w:rPr>
                <w:noProof/>
                <w:webHidden/>
              </w:rPr>
              <w:t>35</w:t>
            </w:r>
            <w:r>
              <w:rPr>
                <w:noProof/>
                <w:webHidden/>
              </w:rPr>
              <w:fldChar w:fldCharType="end"/>
            </w:r>
          </w:hyperlink>
        </w:p>
        <w:p w14:paraId="684B2C06" w14:textId="0BA00A82"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01" w:history="1">
            <w:r w:rsidRPr="00265A01">
              <w:rPr>
                <w:rStyle w:val="a9"/>
                <w:noProof/>
                <w:spacing w:val="-1"/>
                <w:w w:val="113"/>
              </w:rPr>
              <w:t>3.8.</w:t>
            </w:r>
            <w:r>
              <w:rPr>
                <w:rFonts w:asciiTheme="minorHAnsi" w:eastAsiaTheme="minorEastAsia" w:hAnsiTheme="minorHAnsi" w:cstheme="minorBidi"/>
                <w:noProof/>
                <w:kern w:val="2"/>
                <w:szCs w:val="22"/>
                <w:lang w:eastAsia="zh-CN"/>
              </w:rPr>
              <w:tab/>
            </w:r>
            <w:r w:rsidRPr="00265A01">
              <w:rPr>
                <w:rStyle w:val="a9"/>
                <w:noProof/>
                <w:w w:val="110"/>
              </w:rPr>
              <w:t>Developer</w:t>
            </w:r>
            <w:r w:rsidRPr="00265A01">
              <w:rPr>
                <w:rStyle w:val="a9"/>
                <w:noProof/>
                <w:spacing w:val="-7"/>
                <w:w w:val="110"/>
              </w:rPr>
              <w:t xml:space="preserve"> </w:t>
            </w:r>
            <w:r w:rsidRPr="00265A01">
              <w:rPr>
                <w:rStyle w:val="a9"/>
                <w:noProof/>
                <w:spacing w:val="-4"/>
                <w:w w:val="110"/>
              </w:rPr>
              <w:t>Tools</w:t>
            </w:r>
            <w:r>
              <w:rPr>
                <w:noProof/>
                <w:webHidden/>
              </w:rPr>
              <w:tab/>
            </w:r>
            <w:r>
              <w:rPr>
                <w:noProof/>
                <w:webHidden/>
              </w:rPr>
              <w:fldChar w:fldCharType="begin"/>
            </w:r>
            <w:r>
              <w:rPr>
                <w:noProof/>
                <w:webHidden/>
              </w:rPr>
              <w:instrText xml:space="preserve"> PAGEREF _Toc54423701 \h </w:instrText>
            </w:r>
            <w:r>
              <w:rPr>
                <w:noProof/>
                <w:webHidden/>
              </w:rPr>
            </w:r>
            <w:r>
              <w:rPr>
                <w:noProof/>
                <w:webHidden/>
              </w:rPr>
              <w:fldChar w:fldCharType="separate"/>
            </w:r>
            <w:r>
              <w:rPr>
                <w:noProof/>
                <w:webHidden/>
              </w:rPr>
              <w:t>35</w:t>
            </w:r>
            <w:r>
              <w:rPr>
                <w:noProof/>
                <w:webHidden/>
              </w:rPr>
              <w:fldChar w:fldCharType="end"/>
            </w:r>
          </w:hyperlink>
        </w:p>
        <w:p w14:paraId="26E4D353" w14:textId="1DF1A01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02" w:history="1">
            <w:r w:rsidRPr="00265A01">
              <w:rPr>
                <w:rStyle w:val="a9"/>
                <w:noProof/>
                <w:spacing w:val="-1"/>
                <w:w w:val="113"/>
              </w:rPr>
              <w:t>3.8.1.</w:t>
            </w:r>
            <w:r>
              <w:rPr>
                <w:rFonts w:asciiTheme="minorHAnsi" w:eastAsiaTheme="minorEastAsia" w:hAnsiTheme="minorHAnsi" w:cstheme="minorBidi"/>
                <w:noProof/>
                <w:kern w:val="2"/>
                <w:szCs w:val="22"/>
                <w:lang w:eastAsia="zh-CN"/>
              </w:rPr>
              <w:tab/>
            </w:r>
            <w:r w:rsidRPr="00265A01">
              <w:rPr>
                <w:rStyle w:val="a9"/>
                <w:noProof/>
                <w:w w:val="110"/>
              </w:rPr>
              <w:t>Property</w:t>
            </w:r>
            <w:r w:rsidRPr="00265A01">
              <w:rPr>
                <w:rStyle w:val="a9"/>
                <w:noProof/>
                <w:spacing w:val="-5"/>
                <w:w w:val="110"/>
              </w:rPr>
              <w:t xml:space="preserve"> </w:t>
            </w:r>
            <w:r w:rsidRPr="00265A01">
              <w:rPr>
                <w:rStyle w:val="a9"/>
                <w:noProof/>
                <w:w w:val="110"/>
              </w:rPr>
              <w:t>Defaults</w:t>
            </w:r>
            <w:r>
              <w:rPr>
                <w:noProof/>
                <w:webHidden/>
              </w:rPr>
              <w:tab/>
            </w:r>
            <w:r>
              <w:rPr>
                <w:noProof/>
                <w:webHidden/>
              </w:rPr>
              <w:fldChar w:fldCharType="begin"/>
            </w:r>
            <w:r>
              <w:rPr>
                <w:noProof/>
                <w:webHidden/>
              </w:rPr>
              <w:instrText xml:space="preserve"> PAGEREF _Toc54423702 \h </w:instrText>
            </w:r>
            <w:r>
              <w:rPr>
                <w:noProof/>
                <w:webHidden/>
              </w:rPr>
            </w:r>
            <w:r>
              <w:rPr>
                <w:noProof/>
                <w:webHidden/>
              </w:rPr>
              <w:fldChar w:fldCharType="separate"/>
            </w:r>
            <w:r>
              <w:rPr>
                <w:noProof/>
                <w:webHidden/>
              </w:rPr>
              <w:t>36</w:t>
            </w:r>
            <w:r>
              <w:rPr>
                <w:noProof/>
                <w:webHidden/>
              </w:rPr>
              <w:fldChar w:fldCharType="end"/>
            </w:r>
          </w:hyperlink>
        </w:p>
        <w:p w14:paraId="338BD545" w14:textId="70EBDF9C"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03" w:history="1">
            <w:r w:rsidRPr="00265A01">
              <w:rPr>
                <w:rStyle w:val="a9"/>
                <w:noProof/>
                <w:spacing w:val="-1"/>
                <w:w w:val="113"/>
              </w:rPr>
              <w:t>3.8.2.</w:t>
            </w:r>
            <w:r>
              <w:rPr>
                <w:rFonts w:asciiTheme="minorHAnsi" w:eastAsiaTheme="minorEastAsia" w:hAnsiTheme="minorHAnsi" w:cstheme="minorBidi"/>
                <w:noProof/>
                <w:kern w:val="2"/>
                <w:szCs w:val="22"/>
                <w:lang w:eastAsia="zh-CN"/>
              </w:rPr>
              <w:tab/>
            </w:r>
            <w:r w:rsidRPr="00265A01">
              <w:rPr>
                <w:rStyle w:val="a9"/>
                <w:noProof/>
                <w:w w:val="115"/>
              </w:rPr>
              <w:t>Automatic</w:t>
            </w:r>
            <w:r w:rsidRPr="00265A01">
              <w:rPr>
                <w:rStyle w:val="a9"/>
                <w:noProof/>
                <w:spacing w:val="-10"/>
                <w:w w:val="115"/>
              </w:rPr>
              <w:t xml:space="preserve"> </w:t>
            </w:r>
            <w:r w:rsidRPr="00265A01">
              <w:rPr>
                <w:rStyle w:val="a9"/>
                <w:noProof/>
                <w:w w:val="115"/>
              </w:rPr>
              <w:t>Restart</w:t>
            </w:r>
            <w:r>
              <w:rPr>
                <w:noProof/>
                <w:webHidden/>
              </w:rPr>
              <w:tab/>
            </w:r>
            <w:r>
              <w:rPr>
                <w:noProof/>
                <w:webHidden/>
              </w:rPr>
              <w:fldChar w:fldCharType="begin"/>
            </w:r>
            <w:r>
              <w:rPr>
                <w:noProof/>
                <w:webHidden/>
              </w:rPr>
              <w:instrText xml:space="preserve"> PAGEREF _Toc54423703 \h </w:instrText>
            </w:r>
            <w:r>
              <w:rPr>
                <w:noProof/>
                <w:webHidden/>
              </w:rPr>
            </w:r>
            <w:r>
              <w:rPr>
                <w:noProof/>
                <w:webHidden/>
              </w:rPr>
              <w:fldChar w:fldCharType="separate"/>
            </w:r>
            <w:r>
              <w:rPr>
                <w:noProof/>
                <w:webHidden/>
              </w:rPr>
              <w:t>37</w:t>
            </w:r>
            <w:r>
              <w:rPr>
                <w:noProof/>
                <w:webHidden/>
              </w:rPr>
              <w:fldChar w:fldCharType="end"/>
            </w:r>
          </w:hyperlink>
        </w:p>
        <w:p w14:paraId="168181CC" w14:textId="565CF68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04" w:history="1">
            <w:r w:rsidRPr="00265A01">
              <w:rPr>
                <w:rStyle w:val="a9"/>
                <w:noProof/>
                <w:spacing w:val="-1"/>
                <w:w w:val="113"/>
              </w:rPr>
              <w:t>3.8.3.</w:t>
            </w:r>
            <w:r>
              <w:rPr>
                <w:rFonts w:asciiTheme="minorHAnsi" w:eastAsiaTheme="minorEastAsia" w:hAnsiTheme="minorHAnsi" w:cstheme="minorBidi"/>
                <w:noProof/>
                <w:kern w:val="2"/>
                <w:szCs w:val="22"/>
                <w:lang w:eastAsia="zh-CN"/>
              </w:rPr>
              <w:tab/>
            </w:r>
            <w:r w:rsidRPr="00265A01">
              <w:rPr>
                <w:rStyle w:val="a9"/>
                <w:noProof/>
                <w:w w:val="110"/>
              </w:rPr>
              <w:t>LiveReload</w:t>
            </w:r>
            <w:r>
              <w:rPr>
                <w:noProof/>
                <w:webHidden/>
              </w:rPr>
              <w:tab/>
            </w:r>
            <w:r>
              <w:rPr>
                <w:noProof/>
                <w:webHidden/>
              </w:rPr>
              <w:fldChar w:fldCharType="begin"/>
            </w:r>
            <w:r>
              <w:rPr>
                <w:noProof/>
                <w:webHidden/>
              </w:rPr>
              <w:instrText xml:space="preserve"> PAGEREF _Toc54423704 \h </w:instrText>
            </w:r>
            <w:r>
              <w:rPr>
                <w:noProof/>
                <w:webHidden/>
              </w:rPr>
            </w:r>
            <w:r>
              <w:rPr>
                <w:noProof/>
                <w:webHidden/>
              </w:rPr>
              <w:fldChar w:fldCharType="separate"/>
            </w:r>
            <w:r>
              <w:rPr>
                <w:noProof/>
                <w:webHidden/>
              </w:rPr>
              <w:t>40</w:t>
            </w:r>
            <w:r>
              <w:rPr>
                <w:noProof/>
                <w:webHidden/>
              </w:rPr>
              <w:fldChar w:fldCharType="end"/>
            </w:r>
          </w:hyperlink>
        </w:p>
        <w:p w14:paraId="015D3EC3" w14:textId="6B294FF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05" w:history="1">
            <w:r w:rsidRPr="00265A01">
              <w:rPr>
                <w:rStyle w:val="a9"/>
                <w:noProof/>
                <w:spacing w:val="-1"/>
                <w:w w:val="113"/>
              </w:rPr>
              <w:t>3.8.4.</w:t>
            </w:r>
            <w:r>
              <w:rPr>
                <w:rFonts w:asciiTheme="minorHAnsi" w:eastAsiaTheme="minorEastAsia" w:hAnsiTheme="minorHAnsi" w:cstheme="minorBidi"/>
                <w:noProof/>
                <w:kern w:val="2"/>
                <w:szCs w:val="22"/>
                <w:lang w:eastAsia="zh-CN"/>
              </w:rPr>
              <w:tab/>
            </w:r>
            <w:r w:rsidRPr="00265A01">
              <w:rPr>
                <w:rStyle w:val="a9"/>
                <w:noProof/>
                <w:w w:val="105"/>
              </w:rPr>
              <w:t>Global</w:t>
            </w:r>
            <w:r w:rsidRPr="00265A01">
              <w:rPr>
                <w:rStyle w:val="a9"/>
                <w:noProof/>
                <w:spacing w:val="-2"/>
                <w:w w:val="105"/>
              </w:rPr>
              <w:t xml:space="preserve"> </w:t>
            </w:r>
            <w:r w:rsidRPr="00265A01">
              <w:rPr>
                <w:rStyle w:val="a9"/>
                <w:noProof/>
                <w:w w:val="105"/>
              </w:rPr>
              <w:t>Settings</w:t>
            </w:r>
            <w:r>
              <w:rPr>
                <w:noProof/>
                <w:webHidden/>
              </w:rPr>
              <w:tab/>
            </w:r>
            <w:r>
              <w:rPr>
                <w:noProof/>
                <w:webHidden/>
              </w:rPr>
              <w:fldChar w:fldCharType="begin"/>
            </w:r>
            <w:r>
              <w:rPr>
                <w:noProof/>
                <w:webHidden/>
              </w:rPr>
              <w:instrText xml:space="preserve"> PAGEREF _Toc54423705 \h </w:instrText>
            </w:r>
            <w:r>
              <w:rPr>
                <w:noProof/>
                <w:webHidden/>
              </w:rPr>
            </w:r>
            <w:r>
              <w:rPr>
                <w:noProof/>
                <w:webHidden/>
              </w:rPr>
              <w:fldChar w:fldCharType="separate"/>
            </w:r>
            <w:r>
              <w:rPr>
                <w:noProof/>
                <w:webHidden/>
              </w:rPr>
              <w:t>41</w:t>
            </w:r>
            <w:r>
              <w:rPr>
                <w:noProof/>
                <w:webHidden/>
              </w:rPr>
              <w:fldChar w:fldCharType="end"/>
            </w:r>
          </w:hyperlink>
        </w:p>
        <w:p w14:paraId="713D7589" w14:textId="113EBA3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06" w:history="1">
            <w:r w:rsidRPr="00265A01">
              <w:rPr>
                <w:rStyle w:val="a9"/>
                <w:noProof/>
                <w:spacing w:val="-1"/>
                <w:w w:val="113"/>
              </w:rPr>
              <w:t>3.8.5.</w:t>
            </w:r>
            <w:r>
              <w:rPr>
                <w:rFonts w:asciiTheme="minorHAnsi" w:eastAsiaTheme="minorEastAsia" w:hAnsiTheme="minorHAnsi" w:cstheme="minorBidi"/>
                <w:noProof/>
                <w:kern w:val="2"/>
                <w:szCs w:val="22"/>
                <w:lang w:eastAsia="zh-CN"/>
              </w:rPr>
              <w:tab/>
            </w:r>
            <w:r w:rsidRPr="00265A01">
              <w:rPr>
                <w:rStyle w:val="a9"/>
                <w:noProof/>
                <w:w w:val="110"/>
              </w:rPr>
              <w:t>Remote</w:t>
            </w:r>
            <w:r w:rsidRPr="00265A01">
              <w:rPr>
                <w:rStyle w:val="a9"/>
                <w:noProof/>
                <w:spacing w:val="-5"/>
                <w:w w:val="110"/>
              </w:rPr>
              <w:t xml:space="preserve"> </w:t>
            </w:r>
            <w:r w:rsidRPr="00265A01">
              <w:rPr>
                <w:rStyle w:val="a9"/>
                <w:noProof/>
                <w:w w:val="110"/>
              </w:rPr>
              <w:t>Applications</w:t>
            </w:r>
            <w:r>
              <w:rPr>
                <w:noProof/>
                <w:webHidden/>
              </w:rPr>
              <w:tab/>
            </w:r>
            <w:r>
              <w:rPr>
                <w:noProof/>
                <w:webHidden/>
              </w:rPr>
              <w:fldChar w:fldCharType="begin"/>
            </w:r>
            <w:r>
              <w:rPr>
                <w:noProof/>
                <w:webHidden/>
              </w:rPr>
              <w:instrText xml:space="preserve"> PAGEREF _Toc54423706 \h </w:instrText>
            </w:r>
            <w:r>
              <w:rPr>
                <w:noProof/>
                <w:webHidden/>
              </w:rPr>
            </w:r>
            <w:r>
              <w:rPr>
                <w:noProof/>
                <w:webHidden/>
              </w:rPr>
              <w:fldChar w:fldCharType="separate"/>
            </w:r>
            <w:r>
              <w:rPr>
                <w:noProof/>
                <w:webHidden/>
              </w:rPr>
              <w:t>42</w:t>
            </w:r>
            <w:r>
              <w:rPr>
                <w:noProof/>
                <w:webHidden/>
              </w:rPr>
              <w:fldChar w:fldCharType="end"/>
            </w:r>
          </w:hyperlink>
        </w:p>
        <w:p w14:paraId="5DD2F989" w14:textId="0A106E05"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07" w:history="1">
            <w:r w:rsidRPr="00265A01">
              <w:rPr>
                <w:rStyle w:val="a9"/>
                <w:noProof/>
                <w:spacing w:val="-1"/>
                <w:w w:val="113"/>
              </w:rPr>
              <w:t>3.9.</w:t>
            </w:r>
            <w:r>
              <w:rPr>
                <w:rFonts w:asciiTheme="minorHAnsi" w:eastAsiaTheme="minorEastAsia" w:hAnsiTheme="minorHAnsi" w:cstheme="minorBidi"/>
                <w:noProof/>
                <w:kern w:val="2"/>
                <w:szCs w:val="22"/>
                <w:lang w:eastAsia="zh-CN"/>
              </w:rPr>
              <w:tab/>
            </w:r>
            <w:r w:rsidRPr="00265A01">
              <w:rPr>
                <w:rStyle w:val="a9"/>
                <w:noProof/>
                <w:w w:val="110"/>
              </w:rPr>
              <w:t xml:space="preserve">Packaging </w:t>
            </w:r>
            <w:r w:rsidRPr="00265A01">
              <w:rPr>
                <w:rStyle w:val="a9"/>
                <w:noProof/>
                <w:spacing w:val="-7"/>
                <w:w w:val="110"/>
              </w:rPr>
              <w:t xml:space="preserve">Your </w:t>
            </w:r>
            <w:r w:rsidRPr="00265A01">
              <w:rPr>
                <w:rStyle w:val="a9"/>
                <w:noProof/>
                <w:w w:val="110"/>
              </w:rPr>
              <w:t>Application for</w:t>
            </w:r>
            <w:r w:rsidRPr="00265A01">
              <w:rPr>
                <w:rStyle w:val="a9"/>
                <w:noProof/>
                <w:spacing w:val="-19"/>
                <w:w w:val="110"/>
              </w:rPr>
              <w:t xml:space="preserve"> </w:t>
            </w:r>
            <w:r w:rsidRPr="00265A01">
              <w:rPr>
                <w:rStyle w:val="a9"/>
                <w:noProof/>
                <w:w w:val="110"/>
              </w:rPr>
              <w:t>Production</w:t>
            </w:r>
            <w:r>
              <w:rPr>
                <w:noProof/>
                <w:webHidden/>
              </w:rPr>
              <w:tab/>
            </w:r>
            <w:r>
              <w:rPr>
                <w:noProof/>
                <w:webHidden/>
              </w:rPr>
              <w:fldChar w:fldCharType="begin"/>
            </w:r>
            <w:r>
              <w:rPr>
                <w:noProof/>
                <w:webHidden/>
              </w:rPr>
              <w:instrText xml:space="preserve"> PAGEREF _Toc54423707 \h </w:instrText>
            </w:r>
            <w:r>
              <w:rPr>
                <w:noProof/>
                <w:webHidden/>
              </w:rPr>
            </w:r>
            <w:r>
              <w:rPr>
                <w:noProof/>
                <w:webHidden/>
              </w:rPr>
              <w:fldChar w:fldCharType="separate"/>
            </w:r>
            <w:r>
              <w:rPr>
                <w:noProof/>
                <w:webHidden/>
              </w:rPr>
              <w:t>44</w:t>
            </w:r>
            <w:r>
              <w:rPr>
                <w:noProof/>
                <w:webHidden/>
              </w:rPr>
              <w:fldChar w:fldCharType="end"/>
            </w:r>
          </w:hyperlink>
        </w:p>
        <w:p w14:paraId="01BBF063" w14:textId="265B49CB"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08" w:history="1">
            <w:r w:rsidRPr="00265A01">
              <w:rPr>
                <w:rStyle w:val="a9"/>
                <w:noProof/>
                <w:spacing w:val="-1"/>
                <w:w w:val="113"/>
              </w:rPr>
              <w:t>3.10.</w:t>
            </w:r>
            <w:r>
              <w:rPr>
                <w:rFonts w:asciiTheme="minorHAnsi" w:eastAsiaTheme="minorEastAsia" w:hAnsiTheme="minorHAnsi" w:cstheme="minorBidi"/>
                <w:noProof/>
                <w:kern w:val="2"/>
                <w:szCs w:val="22"/>
                <w:lang w:eastAsia="zh-CN"/>
              </w:rPr>
              <w:tab/>
            </w:r>
            <w:r w:rsidRPr="00265A01">
              <w:rPr>
                <w:rStyle w:val="a9"/>
                <w:noProof/>
                <w:w w:val="110"/>
              </w:rPr>
              <w:t>What to Read</w:t>
            </w:r>
            <w:r w:rsidRPr="00265A01">
              <w:rPr>
                <w:rStyle w:val="a9"/>
                <w:noProof/>
                <w:spacing w:val="-20"/>
                <w:w w:val="110"/>
              </w:rPr>
              <w:t xml:space="preserve"> </w:t>
            </w:r>
            <w:r w:rsidRPr="00265A01">
              <w:rPr>
                <w:rStyle w:val="a9"/>
                <w:noProof/>
                <w:w w:val="110"/>
              </w:rPr>
              <w:t>Next</w:t>
            </w:r>
            <w:r>
              <w:rPr>
                <w:noProof/>
                <w:webHidden/>
              </w:rPr>
              <w:tab/>
            </w:r>
            <w:r>
              <w:rPr>
                <w:noProof/>
                <w:webHidden/>
              </w:rPr>
              <w:fldChar w:fldCharType="begin"/>
            </w:r>
            <w:r>
              <w:rPr>
                <w:noProof/>
                <w:webHidden/>
              </w:rPr>
              <w:instrText xml:space="preserve"> PAGEREF _Toc54423708 \h </w:instrText>
            </w:r>
            <w:r>
              <w:rPr>
                <w:noProof/>
                <w:webHidden/>
              </w:rPr>
            </w:r>
            <w:r>
              <w:rPr>
                <w:noProof/>
                <w:webHidden/>
              </w:rPr>
              <w:fldChar w:fldCharType="separate"/>
            </w:r>
            <w:r>
              <w:rPr>
                <w:noProof/>
                <w:webHidden/>
              </w:rPr>
              <w:t>44</w:t>
            </w:r>
            <w:r>
              <w:rPr>
                <w:noProof/>
                <w:webHidden/>
              </w:rPr>
              <w:fldChar w:fldCharType="end"/>
            </w:r>
          </w:hyperlink>
        </w:p>
        <w:p w14:paraId="2201C3DC" w14:textId="52CEB6A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09" w:history="1">
            <w:r w:rsidRPr="00265A01">
              <w:rPr>
                <w:rStyle w:val="a9"/>
                <w:noProof/>
                <w:spacing w:val="-1"/>
                <w:w w:val="113"/>
              </w:rPr>
              <w:t>4.1.</w:t>
            </w:r>
            <w:r>
              <w:rPr>
                <w:rFonts w:asciiTheme="minorHAnsi" w:eastAsiaTheme="minorEastAsia" w:hAnsiTheme="minorHAnsi" w:cstheme="minorBidi"/>
                <w:noProof/>
                <w:kern w:val="2"/>
                <w:szCs w:val="22"/>
                <w:lang w:eastAsia="zh-CN"/>
              </w:rPr>
              <w:tab/>
            </w:r>
            <w:r w:rsidRPr="00265A01">
              <w:rPr>
                <w:rStyle w:val="a9"/>
                <w:noProof/>
                <w:w w:val="110"/>
              </w:rPr>
              <w:t>SpringApplication</w:t>
            </w:r>
            <w:r>
              <w:rPr>
                <w:noProof/>
                <w:webHidden/>
              </w:rPr>
              <w:tab/>
            </w:r>
            <w:r>
              <w:rPr>
                <w:noProof/>
                <w:webHidden/>
              </w:rPr>
              <w:fldChar w:fldCharType="begin"/>
            </w:r>
            <w:r>
              <w:rPr>
                <w:noProof/>
                <w:webHidden/>
              </w:rPr>
              <w:instrText xml:space="preserve"> PAGEREF _Toc54423709 \h </w:instrText>
            </w:r>
            <w:r>
              <w:rPr>
                <w:noProof/>
                <w:webHidden/>
              </w:rPr>
            </w:r>
            <w:r>
              <w:rPr>
                <w:noProof/>
                <w:webHidden/>
              </w:rPr>
              <w:fldChar w:fldCharType="separate"/>
            </w:r>
            <w:r>
              <w:rPr>
                <w:noProof/>
                <w:webHidden/>
              </w:rPr>
              <w:t>45</w:t>
            </w:r>
            <w:r>
              <w:rPr>
                <w:noProof/>
                <w:webHidden/>
              </w:rPr>
              <w:fldChar w:fldCharType="end"/>
            </w:r>
          </w:hyperlink>
        </w:p>
        <w:p w14:paraId="38C383C0" w14:textId="4972538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0" w:history="1">
            <w:r w:rsidRPr="00265A01">
              <w:rPr>
                <w:rStyle w:val="a9"/>
                <w:noProof/>
                <w:spacing w:val="-1"/>
                <w:w w:val="113"/>
              </w:rPr>
              <w:t>4.1.1.</w:t>
            </w:r>
            <w:r>
              <w:rPr>
                <w:rFonts w:asciiTheme="minorHAnsi" w:eastAsiaTheme="minorEastAsia" w:hAnsiTheme="minorHAnsi" w:cstheme="minorBidi"/>
                <w:noProof/>
                <w:kern w:val="2"/>
                <w:szCs w:val="22"/>
                <w:lang w:eastAsia="zh-CN"/>
              </w:rPr>
              <w:tab/>
            </w:r>
            <w:r w:rsidRPr="00265A01">
              <w:rPr>
                <w:rStyle w:val="a9"/>
                <w:noProof/>
                <w:w w:val="115"/>
              </w:rPr>
              <w:t>Startup</w:t>
            </w:r>
            <w:r w:rsidRPr="00265A01">
              <w:rPr>
                <w:rStyle w:val="a9"/>
                <w:noProof/>
                <w:spacing w:val="-9"/>
                <w:w w:val="115"/>
              </w:rPr>
              <w:t xml:space="preserve"> </w:t>
            </w:r>
            <w:r w:rsidRPr="00265A01">
              <w:rPr>
                <w:rStyle w:val="a9"/>
                <w:noProof/>
                <w:spacing w:val="-3"/>
                <w:w w:val="115"/>
              </w:rPr>
              <w:t>Failure</w:t>
            </w:r>
            <w:r>
              <w:rPr>
                <w:noProof/>
                <w:webHidden/>
              </w:rPr>
              <w:tab/>
            </w:r>
            <w:r>
              <w:rPr>
                <w:noProof/>
                <w:webHidden/>
              </w:rPr>
              <w:fldChar w:fldCharType="begin"/>
            </w:r>
            <w:r>
              <w:rPr>
                <w:noProof/>
                <w:webHidden/>
              </w:rPr>
              <w:instrText xml:space="preserve"> PAGEREF _Toc54423710 \h </w:instrText>
            </w:r>
            <w:r>
              <w:rPr>
                <w:noProof/>
                <w:webHidden/>
              </w:rPr>
            </w:r>
            <w:r>
              <w:rPr>
                <w:noProof/>
                <w:webHidden/>
              </w:rPr>
              <w:fldChar w:fldCharType="separate"/>
            </w:r>
            <w:r>
              <w:rPr>
                <w:noProof/>
                <w:webHidden/>
              </w:rPr>
              <w:t>46</w:t>
            </w:r>
            <w:r>
              <w:rPr>
                <w:noProof/>
                <w:webHidden/>
              </w:rPr>
              <w:fldChar w:fldCharType="end"/>
            </w:r>
          </w:hyperlink>
        </w:p>
        <w:p w14:paraId="3FA22967" w14:textId="3248501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1" w:history="1">
            <w:r w:rsidRPr="00265A01">
              <w:rPr>
                <w:rStyle w:val="a9"/>
                <w:noProof/>
                <w:spacing w:val="-1"/>
                <w:w w:val="113"/>
              </w:rPr>
              <w:t>4.1.2.</w:t>
            </w:r>
            <w:r>
              <w:rPr>
                <w:rFonts w:asciiTheme="minorHAnsi" w:eastAsiaTheme="minorEastAsia" w:hAnsiTheme="minorHAnsi" w:cstheme="minorBidi"/>
                <w:noProof/>
                <w:kern w:val="2"/>
                <w:szCs w:val="22"/>
                <w:lang w:eastAsia="zh-CN"/>
              </w:rPr>
              <w:tab/>
            </w:r>
            <w:r w:rsidRPr="00265A01">
              <w:rPr>
                <w:rStyle w:val="a9"/>
                <w:noProof/>
                <w:w w:val="110"/>
              </w:rPr>
              <w:t>Lazy</w:t>
            </w:r>
            <w:r w:rsidRPr="00265A01">
              <w:rPr>
                <w:rStyle w:val="a9"/>
                <w:noProof/>
                <w:spacing w:val="-6"/>
                <w:w w:val="110"/>
              </w:rPr>
              <w:t xml:space="preserve"> </w:t>
            </w:r>
            <w:r w:rsidRPr="00265A01">
              <w:rPr>
                <w:rStyle w:val="a9"/>
                <w:noProof/>
                <w:w w:val="110"/>
              </w:rPr>
              <w:t>Initialization</w:t>
            </w:r>
            <w:r>
              <w:rPr>
                <w:noProof/>
                <w:webHidden/>
              </w:rPr>
              <w:tab/>
            </w:r>
            <w:r>
              <w:rPr>
                <w:noProof/>
                <w:webHidden/>
              </w:rPr>
              <w:fldChar w:fldCharType="begin"/>
            </w:r>
            <w:r>
              <w:rPr>
                <w:noProof/>
                <w:webHidden/>
              </w:rPr>
              <w:instrText xml:space="preserve"> PAGEREF _Toc54423711 \h </w:instrText>
            </w:r>
            <w:r>
              <w:rPr>
                <w:noProof/>
                <w:webHidden/>
              </w:rPr>
            </w:r>
            <w:r>
              <w:rPr>
                <w:noProof/>
                <w:webHidden/>
              </w:rPr>
              <w:fldChar w:fldCharType="separate"/>
            </w:r>
            <w:r>
              <w:rPr>
                <w:noProof/>
                <w:webHidden/>
              </w:rPr>
              <w:t>46</w:t>
            </w:r>
            <w:r>
              <w:rPr>
                <w:noProof/>
                <w:webHidden/>
              </w:rPr>
              <w:fldChar w:fldCharType="end"/>
            </w:r>
          </w:hyperlink>
        </w:p>
        <w:p w14:paraId="4B1B274A" w14:textId="1507596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2" w:history="1">
            <w:r w:rsidRPr="00265A01">
              <w:rPr>
                <w:rStyle w:val="a9"/>
                <w:noProof/>
                <w:spacing w:val="-1"/>
                <w:w w:val="113"/>
              </w:rPr>
              <w:t>4.1.3.</w:t>
            </w:r>
            <w:r>
              <w:rPr>
                <w:rFonts w:asciiTheme="minorHAnsi" w:eastAsiaTheme="minorEastAsia" w:hAnsiTheme="minorHAnsi" w:cstheme="minorBidi"/>
                <w:noProof/>
                <w:kern w:val="2"/>
                <w:szCs w:val="22"/>
                <w:lang w:eastAsia="zh-CN"/>
              </w:rPr>
              <w:tab/>
            </w:r>
            <w:r w:rsidRPr="00265A01">
              <w:rPr>
                <w:rStyle w:val="a9"/>
                <w:noProof/>
                <w:w w:val="110"/>
              </w:rPr>
              <w:t>Customizing the</w:t>
            </w:r>
            <w:r w:rsidRPr="00265A01">
              <w:rPr>
                <w:rStyle w:val="a9"/>
                <w:noProof/>
                <w:spacing w:val="-12"/>
                <w:w w:val="110"/>
              </w:rPr>
              <w:t xml:space="preserve"> </w:t>
            </w:r>
            <w:r w:rsidRPr="00265A01">
              <w:rPr>
                <w:rStyle w:val="a9"/>
                <w:noProof/>
                <w:w w:val="110"/>
              </w:rPr>
              <w:t>Banner</w:t>
            </w:r>
            <w:r>
              <w:rPr>
                <w:noProof/>
                <w:webHidden/>
              </w:rPr>
              <w:tab/>
            </w:r>
            <w:r>
              <w:rPr>
                <w:noProof/>
                <w:webHidden/>
              </w:rPr>
              <w:fldChar w:fldCharType="begin"/>
            </w:r>
            <w:r>
              <w:rPr>
                <w:noProof/>
                <w:webHidden/>
              </w:rPr>
              <w:instrText xml:space="preserve"> PAGEREF _Toc54423712 \h </w:instrText>
            </w:r>
            <w:r>
              <w:rPr>
                <w:noProof/>
                <w:webHidden/>
              </w:rPr>
            </w:r>
            <w:r>
              <w:rPr>
                <w:noProof/>
                <w:webHidden/>
              </w:rPr>
              <w:fldChar w:fldCharType="separate"/>
            </w:r>
            <w:r>
              <w:rPr>
                <w:noProof/>
                <w:webHidden/>
              </w:rPr>
              <w:t>47</w:t>
            </w:r>
            <w:r>
              <w:rPr>
                <w:noProof/>
                <w:webHidden/>
              </w:rPr>
              <w:fldChar w:fldCharType="end"/>
            </w:r>
          </w:hyperlink>
        </w:p>
        <w:p w14:paraId="6BBF17AC" w14:textId="2DAC7A9A"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3" w:history="1">
            <w:r w:rsidRPr="00265A01">
              <w:rPr>
                <w:rStyle w:val="a9"/>
                <w:noProof/>
                <w:spacing w:val="-1"/>
                <w:w w:val="113"/>
              </w:rPr>
              <w:t>4.1.4.</w:t>
            </w:r>
            <w:r>
              <w:rPr>
                <w:rFonts w:asciiTheme="minorHAnsi" w:eastAsiaTheme="minorEastAsia" w:hAnsiTheme="minorHAnsi" w:cstheme="minorBidi"/>
                <w:noProof/>
                <w:kern w:val="2"/>
                <w:szCs w:val="22"/>
                <w:lang w:eastAsia="zh-CN"/>
              </w:rPr>
              <w:tab/>
            </w:r>
            <w:r w:rsidRPr="00265A01">
              <w:rPr>
                <w:rStyle w:val="a9"/>
                <w:noProof/>
                <w:w w:val="105"/>
              </w:rPr>
              <w:t>Customizing</w:t>
            </w:r>
            <w:r w:rsidRPr="00265A01">
              <w:rPr>
                <w:rStyle w:val="a9"/>
                <w:noProof/>
                <w:spacing w:val="-2"/>
                <w:w w:val="105"/>
              </w:rPr>
              <w:t xml:space="preserve"> </w:t>
            </w:r>
            <w:r w:rsidRPr="00265A01">
              <w:rPr>
                <w:rStyle w:val="a9"/>
                <w:noProof/>
                <w:w w:val="105"/>
              </w:rPr>
              <w:t>SpringApplication</w:t>
            </w:r>
            <w:r>
              <w:rPr>
                <w:noProof/>
                <w:webHidden/>
              </w:rPr>
              <w:tab/>
            </w:r>
            <w:r>
              <w:rPr>
                <w:noProof/>
                <w:webHidden/>
              </w:rPr>
              <w:fldChar w:fldCharType="begin"/>
            </w:r>
            <w:r>
              <w:rPr>
                <w:noProof/>
                <w:webHidden/>
              </w:rPr>
              <w:instrText xml:space="preserve"> PAGEREF _Toc54423713 \h </w:instrText>
            </w:r>
            <w:r>
              <w:rPr>
                <w:noProof/>
                <w:webHidden/>
              </w:rPr>
            </w:r>
            <w:r>
              <w:rPr>
                <w:noProof/>
                <w:webHidden/>
              </w:rPr>
              <w:fldChar w:fldCharType="separate"/>
            </w:r>
            <w:r>
              <w:rPr>
                <w:noProof/>
                <w:webHidden/>
              </w:rPr>
              <w:t>48</w:t>
            </w:r>
            <w:r>
              <w:rPr>
                <w:noProof/>
                <w:webHidden/>
              </w:rPr>
              <w:fldChar w:fldCharType="end"/>
            </w:r>
          </w:hyperlink>
        </w:p>
        <w:p w14:paraId="1CFC20DD" w14:textId="7564981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4" w:history="1">
            <w:r w:rsidRPr="00265A01">
              <w:rPr>
                <w:rStyle w:val="a9"/>
                <w:noProof/>
                <w:spacing w:val="-1"/>
                <w:w w:val="113"/>
              </w:rPr>
              <w:t>4.1.5.</w:t>
            </w:r>
            <w:r>
              <w:rPr>
                <w:rFonts w:asciiTheme="minorHAnsi" w:eastAsiaTheme="minorEastAsia" w:hAnsiTheme="minorHAnsi" w:cstheme="minorBidi"/>
                <w:noProof/>
                <w:kern w:val="2"/>
                <w:szCs w:val="22"/>
                <w:lang w:eastAsia="zh-CN"/>
              </w:rPr>
              <w:tab/>
            </w:r>
            <w:r w:rsidRPr="00265A01">
              <w:rPr>
                <w:rStyle w:val="a9"/>
                <w:noProof/>
                <w:w w:val="110"/>
              </w:rPr>
              <w:t>Fluent Builder</w:t>
            </w:r>
            <w:r w:rsidRPr="00265A01">
              <w:rPr>
                <w:rStyle w:val="a9"/>
                <w:noProof/>
                <w:spacing w:val="-11"/>
                <w:w w:val="110"/>
              </w:rPr>
              <w:t xml:space="preserve"> </w:t>
            </w:r>
            <w:r w:rsidRPr="00265A01">
              <w:rPr>
                <w:rStyle w:val="a9"/>
                <w:noProof/>
                <w:w w:val="110"/>
              </w:rPr>
              <w:t>API</w:t>
            </w:r>
            <w:r>
              <w:rPr>
                <w:noProof/>
                <w:webHidden/>
              </w:rPr>
              <w:tab/>
            </w:r>
            <w:r>
              <w:rPr>
                <w:noProof/>
                <w:webHidden/>
              </w:rPr>
              <w:fldChar w:fldCharType="begin"/>
            </w:r>
            <w:r>
              <w:rPr>
                <w:noProof/>
                <w:webHidden/>
              </w:rPr>
              <w:instrText xml:space="preserve"> PAGEREF _Toc54423714 \h </w:instrText>
            </w:r>
            <w:r>
              <w:rPr>
                <w:noProof/>
                <w:webHidden/>
              </w:rPr>
            </w:r>
            <w:r>
              <w:rPr>
                <w:noProof/>
                <w:webHidden/>
              </w:rPr>
              <w:fldChar w:fldCharType="separate"/>
            </w:r>
            <w:r>
              <w:rPr>
                <w:noProof/>
                <w:webHidden/>
              </w:rPr>
              <w:t>48</w:t>
            </w:r>
            <w:r>
              <w:rPr>
                <w:noProof/>
                <w:webHidden/>
              </w:rPr>
              <w:fldChar w:fldCharType="end"/>
            </w:r>
          </w:hyperlink>
        </w:p>
        <w:p w14:paraId="0F859009" w14:textId="1F9AC74A"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5" w:history="1">
            <w:r w:rsidRPr="00265A01">
              <w:rPr>
                <w:rStyle w:val="a9"/>
                <w:noProof/>
                <w:spacing w:val="-1"/>
                <w:w w:val="113"/>
              </w:rPr>
              <w:t>4.1.6.</w:t>
            </w:r>
            <w:r>
              <w:rPr>
                <w:rFonts w:asciiTheme="minorHAnsi" w:eastAsiaTheme="minorEastAsia" w:hAnsiTheme="minorHAnsi" w:cstheme="minorBidi"/>
                <w:noProof/>
                <w:kern w:val="2"/>
                <w:szCs w:val="22"/>
                <w:lang w:eastAsia="zh-CN"/>
              </w:rPr>
              <w:tab/>
            </w:r>
            <w:r w:rsidRPr="00265A01">
              <w:rPr>
                <w:rStyle w:val="a9"/>
                <w:noProof/>
                <w:w w:val="110"/>
              </w:rPr>
              <w:t>Application</w:t>
            </w:r>
            <w:r w:rsidRPr="00265A01">
              <w:rPr>
                <w:rStyle w:val="a9"/>
                <w:noProof/>
                <w:spacing w:val="-6"/>
                <w:w w:val="110"/>
              </w:rPr>
              <w:t xml:space="preserve"> </w:t>
            </w:r>
            <w:r w:rsidRPr="00265A01">
              <w:rPr>
                <w:rStyle w:val="a9"/>
                <w:noProof/>
                <w:spacing w:val="-3"/>
                <w:w w:val="110"/>
              </w:rPr>
              <w:t>Availability</w:t>
            </w:r>
            <w:r>
              <w:rPr>
                <w:noProof/>
                <w:webHidden/>
              </w:rPr>
              <w:tab/>
            </w:r>
            <w:r>
              <w:rPr>
                <w:noProof/>
                <w:webHidden/>
              </w:rPr>
              <w:fldChar w:fldCharType="begin"/>
            </w:r>
            <w:r>
              <w:rPr>
                <w:noProof/>
                <w:webHidden/>
              </w:rPr>
              <w:instrText xml:space="preserve"> PAGEREF _Toc54423715 \h </w:instrText>
            </w:r>
            <w:r>
              <w:rPr>
                <w:noProof/>
                <w:webHidden/>
              </w:rPr>
            </w:r>
            <w:r>
              <w:rPr>
                <w:noProof/>
                <w:webHidden/>
              </w:rPr>
              <w:fldChar w:fldCharType="separate"/>
            </w:r>
            <w:r>
              <w:rPr>
                <w:noProof/>
                <w:webHidden/>
              </w:rPr>
              <w:t>49</w:t>
            </w:r>
            <w:r>
              <w:rPr>
                <w:noProof/>
                <w:webHidden/>
              </w:rPr>
              <w:fldChar w:fldCharType="end"/>
            </w:r>
          </w:hyperlink>
        </w:p>
        <w:p w14:paraId="11F36344" w14:textId="021CC08D"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6" w:history="1">
            <w:r w:rsidRPr="00265A01">
              <w:rPr>
                <w:rStyle w:val="a9"/>
                <w:noProof/>
                <w:spacing w:val="-1"/>
                <w:w w:val="113"/>
              </w:rPr>
              <w:t>4.1.7.</w:t>
            </w:r>
            <w:r>
              <w:rPr>
                <w:rFonts w:asciiTheme="minorHAnsi" w:eastAsiaTheme="minorEastAsia" w:hAnsiTheme="minorHAnsi" w:cstheme="minorBidi"/>
                <w:noProof/>
                <w:kern w:val="2"/>
                <w:szCs w:val="22"/>
                <w:lang w:eastAsia="zh-CN"/>
              </w:rPr>
              <w:tab/>
            </w:r>
            <w:r w:rsidRPr="00265A01">
              <w:rPr>
                <w:rStyle w:val="a9"/>
                <w:noProof/>
                <w:w w:val="110"/>
              </w:rPr>
              <w:t>Application Events and</w:t>
            </w:r>
            <w:r w:rsidRPr="00265A01">
              <w:rPr>
                <w:rStyle w:val="a9"/>
                <w:noProof/>
                <w:spacing w:val="-16"/>
                <w:w w:val="110"/>
              </w:rPr>
              <w:t xml:space="preserve"> </w:t>
            </w:r>
            <w:r w:rsidRPr="00265A01">
              <w:rPr>
                <w:rStyle w:val="a9"/>
                <w:noProof/>
                <w:w w:val="110"/>
              </w:rPr>
              <w:t>Listeners</w:t>
            </w:r>
            <w:r>
              <w:rPr>
                <w:noProof/>
                <w:webHidden/>
              </w:rPr>
              <w:tab/>
            </w:r>
            <w:r>
              <w:rPr>
                <w:noProof/>
                <w:webHidden/>
              </w:rPr>
              <w:fldChar w:fldCharType="begin"/>
            </w:r>
            <w:r>
              <w:rPr>
                <w:noProof/>
                <w:webHidden/>
              </w:rPr>
              <w:instrText xml:space="preserve"> PAGEREF _Toc54423716 \h </w:instrText>
            </w:r>
            <w:r>
              <w:rPr>
                <w:noProof/>
                <w:webHidden/>
              </w:rPr>
            </w:r>
            <w:r>
              <w:rPr>
                <w:noProof/>
                <w:webHidden/>
              </w:rPr>
              <w:fldChar w:fldCharType="separate"/>
            </w:r>
            <w:r>
              <w:rPr>
                <w:noProof/>
                <w:webHidden/>
              </w:rPr>
              <w:t>51</w:t>
            </w:r>
            <w:r>
              <w:rPr>
                <w:noProof/>
                <w:webHidden/>
              </w:rPr>
              <w:fldChar w:fldCharType="end"/>
            </w:r>
          </w:hyperlink>
        </w:p>
        <w:p w14:paraId="4133F1CF" w14:textId="393CA11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7" w:history="1">
            <w:r w:rsidRPr="00265A01">
              <w:rPr>
                <w:rStyle w:val="a9"/>
                <w:noProof/>
                <w:spacing w:val="-1"/>
                <w:w w:val="113"/>
              </w:rPr>
              <w:t>4.1.8.</w:t>
            </w:r>
            <w:r>
              <w:rPr>
                <w:rFonts w:asciiTheme="minorHAnsi" w:eastAsiaTheme="minorEastAsia" w:hAnsiTheme="minorHAnsi" w:cstheme="minorBidi"/>
                <w:noProof/>
                <w:kern w:val="2"/>
                <w:szCs w:val="22"/>
                <w:lang w:eastAsia="zh-CN"/>
              </w:rPr>
              <w:tab/>
            </w:r>
            <w:r w:rsidRPr="00265A01">
              <w:rPr>
                <w:rStyle w:val="a9"/>
                <w:noProof/>
                <w:spacing w:val="-6"/>
                <w:w w:val="110"/>
              </w:rPr>
              <w:t xml:space="preserve">Web </w:t>
            </w:r>
            <w:r w:rsidRPr="00265A01">
              <w:rPr>
                <w:rStyle w:val="a9"/>
                <w:noProof/>
                <w:w w:val="110"/>
              </w:rPr>
              <w:t>Environment</w:t>
            </w:r>
            <w:r>
              <w:rPr>
                <w:noProof/>
                <w:webHidden/>
              </w:rPr>
              <w:tab/>
            </w:r>
            <w:r>
              <w:rPr>
                <w:noProof/>
                <w:webHidden/>
              </w:rPr>
              <w:fldChar w:fldCharType="begin"/>
            </w:r>
            <w:r>
              <w:rPr>
                <w:noProof/>
                <w:webHidden/>
              </w:rPr>
              <w:instrText xml:space="preserve"> PAGEREF _Toc54423717 \h </w:instrText>
            </w:r>
            <w:r>
              <w:rPr>
                <w:noProof/>
                <w:webHidden/>
              </w:rPr>
            </w:r>
            <w:r>
              <w:rPr>
                <w:noProof/>
                <w:webHidden/>
              </w:rPr>
              <w:fldChar w:fldCharType="separate"/>
            </w:r>
            <w:r>
              <w:rPr>
                <w:noProof/>
                <w:webHidden/>
              </w:rPr>
              <w:t>53</w:t>
            </w:r>
            <w:r>
              <w:rPr>
                <w:noProof/>
                <w:webHidden/>
              </w:rPr>
              <w:fldChar w:fldCharType="end"/>
            </w:r>
          </w:hyperlink>
        </w:p>
        <w:p w14:paraId="00D05E55" w14:textId="71138D9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18" w:history="1">
            <w:r w:rsidRPr="00265A01">
              <w:rPr>
                <w:rStyle w:val="a9"/>
                <w:noProof/>
                <w:spacing w:val="-1"/>
                <w:w w:val="113"/>
              </w:rPr>
              <w:t>4.1.9.</w:t>
            </w:r>
            <w:r>
              <w:rPr>
                <w:rFonts w:asciiTheme="minorHAnsi" w:eastAsiaTheme="minorEastAsia" w:hAnsiTheme="minorHAnsi" w:cstheme="minorBidi"/>
                <w:noProof/>
                <w:kern w:val="2"/>
                <w:szCs w:val="22"/>
                <w:lang w:eastAsia="zh-CN"/>
              </w:rPr>
              <w:tab/>
            </w:r>
            <w:r w:rsidRPr="00265A01">
              <w:rPr>
                <w:rStyle w:val="a9"/>
                <w:noProof/>
                <w:w w:val="110"/>
              </w:rPr>
              <w:t>Accessing Application</w:t>
            </w:r>
            <w:r w:rsidRPr="00265A01">
              <w:rPr>
                <w:rStyle w:val="a9"/>
                <w:noProof/>
                <w:spacing w:val="-13"/>
                <w:w w:val="110"/>
              </w:rPr>
              <w:t xml:space="preserve"> </w:t>
            </w:r>
            <w:r w:rsidRPr="00265A01">
              <w:rPr>
                <w:rStyle w:val="a9"/>
                <w:noProof/>
                <w:w w:val="110"/>
              </w:rPr>
              <w:t>Arguments</w:t>
            </w:r>
            <w:r>
              <w:rPr>
                <w:noProof/>
                <w:webHidden/>
              </w:rPr>
              <w:tab/>
            </w:r>
            <w:r>
              <w:rPr>
                <w:noProof/>
                <w:webHidden/>
              </w:rPr>
              <w:fldChar w:fldCharType="begin"/>
            </w:r>
            <w:r>
              <w:rPr>
                <w:noProof/>
                <w:webHidden/>
              </w:rPr>
              <w:instrText xml:space="preserve"> PAGEREF _Toc54423718 \h </w:instrText>
            </w:r>
            <w:r>
              <w:rPr>
                <w:noProof/>
                <w:webHidden/>
              </w:rPr>
            </w:r>
            <w:r>
              <w:rPr>
                <w:noProof/>
                <w:webHidden/>
              </w:rPr>
              <w:fldChar w:fldCharType="separate"/>
            </w:r>
            <w:r>
              <w:rPr>
                <w:noProof/>
                <w:webHidden/>
              </w:rPr>
              <w:t>53</w:t>
            </w:r>
            <w:r>
              <w:rPr>
                <w:noProof/>
                <w:webHidden/>
              </w:rPr>
              <w:fldChar w:fldCharType="end"/>
            </w:r>
          </w:hyperlink>
        </w:p>
        <w:p w14:paraId="54BF84F8" w14:textId="436502F5"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19" w:history="1">
            <w:r w:rsidRPr="00265A01">
              <w:rPr>
                <w:rStyle w:val="a9"/>
                <w:noProof/>
                <w:spacing w:val="-1"/>
                <w:w w:val="113"/>
              </w:rPr>
              <w:t>4.1.10.</w:t>
            </w:r>
            <w:r>
              <w:rPr>
                <w:rFonts w:asciiTheme="minorHAnsi" w:eastAsiaTheme="minorEastAsia" w:hAnsiTheme="minorHAnsi" w:cstheme="minorBidi"/>
                <w:noProof/>
                <w:kern w:val="2"/>
                <w:szCs w:val="22"/>
                <w:lang w:eastAsia="zh-CN"/>
              </w:rPr>
              <w:tab/>
            </w:r>
            <w:r w:rsidRPr="00265A01">
              <w:rPr>
                <w:rStyle w:val="a9"/>
                <w:noProof/>
                <w:w w:val="110"/>
              </w:rPr>
              <w:t>Using the ApplicationRunner or</w:t>
            </w:r>
            <w:r w:rsidRPr="00265A01">
              <w:rPr>
                <w:rStyle w:val="a9"/>
                <w:noProof/>
                <w:spacing w:val="-31"/>
                <w:w w:val="110"/>
              </w:rPr>
              <w:t xml:space="preserve"> </w:t>
            </w:r>
            <w:r w:rsidRPr="00265A01">
              <w:rPr>
                <w:rStyle w:val="a9"/>
                <w:noProof/>
                <w:w w:val="110"/>
              </w:rPr>
              <w:t>CommandLineRunner</w:t>
            </w:r>
            <w:r>
              <w:rPr>
                <w:noProof/>
                <w:webHidden/>
              </w:rPr>
              <w:tab/>
            </w:r>
            <w:r>
              <w:rPr>
                <w:noProof/>
                <w:webHidden/>
              </w:rPr>
              <w:fldChar w:fldCharType="begin"/>
            </w:r>
            <w:r>
              <w:rPr>
                <w:noProof/>
                <w:webHidden/>
              </w:rPr>
              <w:instrText xml:space="preserve"> PAGEREF _Toc54423719 \h </w:instrText>
            </w:r>
            <w:r>
              <w:rPr>
                <w:noProof/>
                <w:webHidden/>
              </w:rPr>
            </w:r>
            <w:r>
              <w:rPr>
                <w:noProof/>
                <w:webHidden/>
              </w:rPr>
              <w:fldChar w:fldCharType="separate"/>
            </w:r>
            <w:r>
              <w:rPr>
                <w:noProof/>
                <w:webHidden/>
              </w:rPr>
              <w:t>54</w:t>
            </w:r>
            <w:r>
              <w:rPr>
                <w:noProof/>
                <w:webHidden/>
              </w:rPr>
              <w:fldChar w:fldCharType="end"/>
            </w:r>
          </w:hyperlink>
        </w:p>
        <w:p w14:paraId="525D10BC" w14:textId="4FC7757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20" w:history="1">
            <w:r w:rsidRPr="00265A01">
              <w:rPr>
                <w:rStyle w:val="a9"/>
                <w:noProof/>
                <w:spacing w:val="-1"/>
                <w:w w:val="113"/>
              </w:rPr>
              <w:t>4.1.11.</w:t>
            </w:r>
            <w:r>
              <w:rPr>
                <w:rFonts w:asciiTheme="minorHAnsi" w:eastAsiaTheme="minorEastAsia" w:hAnsiTheme="minorHAnsi" w:cstheme="minorBidi"/>
                <w:noProof/>
                <w:kern w:val="2"/>
                <w:szCs w:val="22"/>
                <w:lang w:eastAsia="zh-CN"/>
              </w:rPr>
              <w:tab/>
            </w:r>
            <w:r w:rsidRPr="00265A01">
              <w:rPr>
                <w:rStyle w:val="a9"/>
                <w:noProof/>
                <w:w w:val="110"/>
              </w:rPr>
              <w:t>Application</w:t>
            </w:r>
            <w:r w:rsidRPr="00265A01">
              <w:rPr>
                <w:rStyle w:val="a9"/>
                <w:noProof/>
                <w:spacing w:val="-6"/>
                <w:w w:val="110"/>
              </w:rPr>
              <w:t xml:space="preserve"> </w:t>
            </w:r>
            <w:r w:rsidRPr="00265A01">
              <w:rPr>
                <w:rStyle w:val="a9"/>
                <w:noProof/>
                <w:w w:val="110"/>
              </w:rPr>
              <w:t>Exit</w:t>
            </w:r>
            <w:r>
              <w:rPr>
                <w:noProof/>
                <w:webHidden/>
              </w:rPr>
              <w:tab/>
            </w:r>
            <w:r>
              <w:rPr>
                <w:noProof/>
                <w:webHidden/>
              </w:rPr>
              <w:fldChar w:fldCharType="begin"/>
            </w:r>
            <w:r>
              <w:rPr>
                <w:noProof/>
                <w:webHidden/>
              </w:rPr>
              <w:instrText xml:space="preserve"> PAGEREF _Toc54423720 \h </w:instrText>
            </w:r>
            <w:r>
              <w:rPr>
                <w:noProof/>
                <w:webHidden/>
              </w:rPr>
            </w:r>
            <w:r>
              <w:rPr>
                <w:noProof/>
                <w:webHidden/>
              </w:rPr>
              <w:fldChar w:fldCharType="separate"/>
            </w:r>
            <w:r>
              <w:rPr>
                <w:noProof/>
                <w:webHidden/>
              </w:rPr>
              <w:t>54</w:t>
            </w:r>
            <w:r>
              <w:rPr>
                <w:noProof/>
                <w:webHidden/>
              </w:rPr>
              <w:fldChar w:fldCharType="end"/>
            </w:r>
          </w:hyperlink>
        </w:p>
        <w:p w14:paraId="5757DE27" w14:textId="4B8CDD7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21" w:history="1">
            <w:r w:rsidRPr="00265A01">
              <w:rPr>
                <w:rStyle w:val="a9"/>
                <w:noProof/>
                <w:spacing w:val="-1"/>
                <w:w w:val="113"/>
              </w:rPr>
              <w:t>4.1.12.</w:t>
            </w:r>
            <w:r>
              <w:rPr>
                <w:rFonts w:asciiTheme="minorHAnsi" w:eastAsiaTheme="minorEastAsia" w:hAnsiTheme="minorHAnsi" w:cstheme="minorBidi"/>
                <w:noProof/>
                <w:kern w:val="2"/>
                <w:szCs w:val="22"/>
                <w:lang w:eastAsia="zh-CN"/>
              </w:rPr>
              <w:tab/>
            </w:r>
            <w:r w:rsidRPr="00265A01">
              <w:rPr>
                <w:rStyle w:val="a9"/>
                <w:noProof/>
                <w:w w:val="115"/>
              </w:rPr>
              <w:t>Admin</w:t>
            </w:r>
            <w:r w:rsidRPr="00265A01">
              <w:rPr>
                <w:rStyle w:val="a9"/>
                <w:noProof/>
                <w:spacing w:val="-10"/>
                <w:w w:val="115"/>
              </w:rPr>
              <w:t xml:space="preserve"> </w:t>
            </w:r>
            <w:r w:rsidRPr="00265A01">
              <w:rPr>
                <w:rStyle w:val="a9"/>
                <w:noProof/>
                <w:spacing w:val="-3"/>
                <w:w w:val="115"/>
              </w:rPr>
              <w:t>Features</w:t>
            </w:r>
            <w:r>
              <w:rPr>
                <w:noProof/>
                <w:webHidden/>
              </w:rPr>
              <w:tab/>
            </w:r>
            <w:r>
              <w:rPr>
                <w:noProof/>
                <w:webHidden/>
              </w:rPr>
              <w:fldChar w:fldCharType="begin"/>
            </w:r>
            <w:r>
              <w:rPr>
                <w:noProof/>
                <w:webHidden/>
              </w:rPr>
              <w:instrText xml:space="preserve"> PAGEREF _Toc54423721 \h </w:instrText>
            </w:r>
            <w:r>
              <w:rPr>
                <w:noProof/>
                <w:webHidden/>
              </w:rPr>
            </w:r>
            <w:r>
              <w:rPr>
                <w:noProof/>
                <w:webHidden/>
              </w:rPr>
              <w:fldChar w:fldCharType="separate"/>
            </w:r>
            <w:r>
              <w:rPr>
                <w:noProof/>
                <w:webHidden/>
              </w:rPr>
              <w:t>55</w:t>
            </w:r>
            <w:r>
              <w:rPr>
                <w:noProof/>
                <w:webHidden/>
              </w:rPr>
              <w:fldChar w:fldCharType="end"/>
            </w:r>
          </w:hyperlink>
        </w:p>
        <w:p w14:paraId="60F2608C" w14:textId="74DB91D8"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22" w:history="1">
            <w:r w:rsidRPr="00265A01">
              <w:rPr>
                <w:rStyle w:val="a9"/>
                <w:noProof/>
                <w:spacing w:val="-1"/>
                <w:w w:val="113"/>
              </w:rPr>
              <w:t>4.2.</w:t>
            </w:r>
            <w:r>
              <w:rPr>
                <w:rFonts w:asciiTheme="minorHAnsi" w:eastAsiaTheme="minorEastAsia" w:hAnsiTheme="minorHAnsi" w:cstheme="minorBidi"/>
                <w:noProof/>
                <w:kern w:val="2"/>
                <w:szCs w:val="22"/>
                <w:lang w:eastAsia="zh-CN"/>
              </w:rPr>
              <w:tab/>
            </w:r>
            <w:r w:rsidRPr="00265A01">
              <w:rPr>
                <w:rStyle w:val="a9"/>
                <w:noProof/>
                <w:w w:val="110"/>
              </w:rPr>
              <w:t>Externalized</w:t>
            </w:r>
            <w:r w:rsidRPr="00265A01">
              <w:rPr>
                <w:rStyle w:val="a9"/>
                <w:noProof/>
                <w:spacing w:val="-7"/>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_Toc54423722 \h </w:instrText>
            </w:r>
            <w:r>
              <w:rPr>
                <w:noProof/>
                <w:webHidden/>
              </w:rPr>
            </w:r>
            <w:r>
              <w:rPr>
                <w:noProof/>
                <w:webHidden/>
              </w:rPr>
              <w:fldChar w:fldCharType="separate"/>
            </w:r>
            <w:r>
              <w:rPr>
                <w:noProof/>
                <w:webHidden/>
              </w:rPr>
              <w:t>55</w:t>
            </w:r>
            <w:r>
              <w:rPr>
                <w:noProof/>
                <w:webHidden/>
              </w:rPr>
              <w:fldChar w:fldCharType="end"/>
            </w:r>
          </w:hyperlink>
        </w:p>
        <w:p w14:paraId="4D6EC7A8" w14:textId="708D6C3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23" w:history="1">
            <w:r w:rsidRPr="00265A01">
              <w:rPr>
                <w:rStyle w:val="a9"/>
                <w:noProof/>
                <w:spacing w:val="-1"/>
                <w:w w:val="113"/>
              </w:rPr>
              <w:t>4.2.1.</w:t>
            </w:r>
            <w:r>
              <w:rPr>
                <w:rFonts w:asciiTheme="minorHAnsi" w:eastAsiaTheme="minorEastAsia" w:hAnsiTheme="minorHAnsi" w:cstheme="minorBidi"/>
                <w:noProof/>
                <w:kern w:val="2"/>
                <w:szCs w:val="22"/>
                <w:lang w:eastAsia="zh-CN"/>
              </w:rPr>
              <w:tab/>
            </w:r>
            <w:r w:rsidRPr="00265A01">
              <w:rPr>
                <w:rStyle w:val="a9"/>
                <w:noProof/>
                <w:w w:val="110"/>
              </w:rPr>
              <w:t>Configuring Random</w:t>
            </w:r>
            <w:r w:rsidRPr="00265A01">
              <w:rPr>
                <w:rStyle w:val="a9"/>
                <w:noProof/>
                <w:spacing w:val="-13"/>
                <w:w w:val="110"/>
              </w:rPr>
              <w:t xml:space="preserve"> </w:t>
            </w:r>
            <w:r w:rsidRPr="00265A01">
              <w:rPr>
                <w:rStyle w:val="a9"/>
                <w:noProof/>
                <w:spacing w:val="-4"/>
                <w:w w:val="110"/>
              </w:rPr>
              <w:t>Values</w:t>
            </w:r>
            <w:r>
              <w:rPr>
                <w:noProof/>
                <w:webHidden/>
              </w:rPr>
              <w:tab/>
            </w:r>
            <w:r>
              <w:rPr>
                <w:noProof/>
                <w:webHidden/>
              </w:rPr>
              <w:fldChar w:fldCharType="begin"/>
            </w:r>
            <w:r>
              <w:rPr>
                <w:noProof/>
                <w:webHidden/>
              </w:rPr>
              <w:instrText xml:space="preserve"> PAGEREF _Toc54423723 \h </w:instrText>
            </w:r>
            <w:r>
              <w:rPr>
                <w:noProof/>
                <w:webHidden/>
              </w:rPr>
            </w:r>
            <w:r>
              <w:rPr>
                <w:noProof/>
                <w:webHidden/>
              </w:rPr>
              <w:fldChar w:fldCharType="separate"/>
            </w:r>
            <w:r>
              <w:rPr>
                <w:noProof/>
                <w:webHidden/>
              </w:rPr>
              <w:t>58</w:t>
            </w:r>
            <w:r>
              <w:rPr>
                <w:noProof/>
                <w:webHidden/>
              </w:rPr>
              <w:fldChar w:fldCharType="end"/>
            </w:r>
          </w:hyperlink>
        </w:p>
        <w:p w14:paraId="2DEE47FB" w14:textId="01A9FD4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24" w:history="1">
            <w:r w:rsidRPr="00265A01">
              <w:rPr>
                <w:rStyle w:val="a9"/>
                <w:noProof/>
                <w:spacing w:val="-1"/>
                <w:w w:val="113"/>
              </w:rPr>
              <w:t>4.2.2.</w:t>
            </w:r>
            <w:r>
              <w:rPr>
                <w:rFonts w:asciiTheme="minorHAnsi" w:eastAsiaTheme="minorEastAsia" w:hAnsiTheme="minorHAnsi" w:cstheme="minorBidi"/>
                <w:noProof/>
                <w:kern w:val="2"/>
                <w:szCs w:val="22"/>
                <w:lang w:eastAsia="zh-CN"/>
              </w:rPr>
              <w:tab/>
            </w:r>
            <w:r w:rsidRPr="00265A01">
              <w:rPr>
                <w:rStyle w:val="a9"/>
                <w:noProof/>
                <w:w w:val="110"/>
              </w:rPr>
              <w:t>Accessing Command Line</w:t>
            </w:r>
            <w:r w:rsidRPr="00265A01">
              <w:rPr>
                <w:rStyle w:val="a9"/>
                <w:noProof/>
                <w:spacing w:val="-18"/>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_Toc54423724 \h </w:instrText>
            </w:r>
            <w:r>
              <w:rPr>
                <w:noProof/>
                <w:webHidden/>
              </w:rPr>
            </w:r>
            <w:r>
              <w:rPr>
                <w:noProof/>
                <w:webHidden/>
              </w:rPr>
              <w:fldChar w:fldCharType="separate"/>
            </w:r>
            <w:r>
              <w:rPr>
                <w:noProof/>
                <w:webHidden/>
              </w:rPr>
              <w:t>58</w:t>
            </w:r>
            <w:r>
              <w:rPr>
                <w:noProof/>
                <w:webHidden/>
              </w:rPr>
              <w:fldChar w:fldCharType="end"/>
            </w:r>
          </w:hyperlink>
        </w:p>
        <w:p w14:paraId="294C3AC2" w14:textId="16DF980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25" w:history="1">
            <w:r w:rsidRPr="00265A01">
              <w:rPr>
                <w:rStyle w:val="a9"/>
                <w:noProof/>
                <w:spacing w:val="-1"/>
                <w:w w:val="113"/>
              </w:rPr>
              <w:t>4.2.3.</w:t>
            </w:r>
            <w:r>
              <w:rPr>
                <w:rFonts w:asciiTheme="minorHAnsi" w:eastAsiaTheme="minorEastAsia" w:hAnsiTheme="minorHAnsi" w:cstheme="minorBidi"/>
                <w:noProof/>
                <w:kern w:val="2"/>
                <w:szCs w:val="22"/>
                <w:lang w:eastAsia="zh-CN"/>
              </w:rPr>
              <w:tab/>
            </w:r>
            <w:r w:rsidRPr="00265A01">
              <w:rPr>
                <w:rStyle w:val="a9"/>
                <w:noProof/>
                <w:w w:val="110"/>
              </w:rPr>
              <w:t>Application Property</w:t>
            </w:r>
            <w:r w:rsidRPr="00265A01">
              <w:rPr>
                <w:rStyle w:val="a9"/>
                <w:noProof/>
                <w:spacing w:val="-11"/>
                <w:w w:val="110"/>
              </w:rPr>
              <w:t xml:space="preserve"> </w:t>
            </w:r>
            <w:r w:rsidRPr="00265A01">
              <w:rPr>
                <w:rStyle w:val="a9"/>
                <w:noProof/>
                <w:w w:val="110"/>
              </w:rPr>
              <w:t>Files</w:t>
            </w:r>
            <w:r>
              <w:rPr>
                <w:noProof/>
                <w:webHidden/>
              </w:rPr>
              <w:tab/>
            </w:r>
            <w:r>
              <w:rPr>
                <w:noProof/>
                <w:webHidden/>
              </w:rPr>
              <w:fldChar w:fldCharType="begin"/>
            </w:r>
            <w:r>
              <w:rPr>
                <w:noProof/>
                <w:webHidden/>
              </w:rPr>
              <w:instrText xml:space="preserve"> PAGEREF _Toc54423725 \h </w:instrText>
            </w:r>
            <w:r>
              <w:rPr>
                <w:noProof/>
                <w:webHidden/>
              </w:rPr>
            </w:r>
            <w:r>
              <w:rPr>
                <w:noProof/>
                <w:webHidden/>
              </w:rPr>
              <w:fldChar w:fldCharType="separate"/>
            </w:r>
            <w:r>
              <w:rPr>
                <w:noProof/>
                <w:webHidden/>
              </w:rPr>
              <w:t>58</w:t>
            </w:r>
            <w:r>
              <w:rPr>
                <w:noProof/>
                <w:webHidden/>
              </w:rPr>
              <w:fldChar w:fldCharType="end"/>
            </w:r>
          </w:hyperlink>
        </w:p>
        <w:p w14:paraId="6C76DE65" w14:textId="0736E09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26" w:history="1">
            <w:r w:rsidRPr="00265A01">
              <w:rPr>
                <w:rStyle w:val="a9"/>
                <w:noProof/>
                <w:spacing w:val="-1"/>
                <w:w w:val="113"/>
              </w:rPr>
              <w:t>4.2.4.</w:t>
            </w:r>
            <w:r>
              <w:rPr>
                <w:rFonts w:asciiTheme="minorHAnsi" w:eastAsiaTheme="minorEastAsia" w:hAnsiTheme="minorHAnsi" w:cstheme="minorBidi"/>
                <w:noProof/>
                <w:kern w:val="2"/>
                <w:szCs w:val="22"/>
                <w:lang w:eastAsia="zh-CN"/>
              </w:rPr>
              <w:tab/>
            </w:r>
            <w:r w:rsidRPr="00265A01">
              <w:rPr>
                <w:rStyle w:val="a9"/>
                <w:noProof/>
                <w:w w:val="110"/>
              </w:rPr>
              <w:t>Profile-specific</w:t>
            </w:r>
            <w:r w:rsidRPr="00265A01">
              <w:rPr>
                <w:rStyle w:val="a9"/>
                <w:noProof/>
                <w:spacing w:val="-5"/>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_Toc54423726 \h </w:instrText>
            </w:r>
            <w:r>
              <w:rPr>
                <w:noProof/>
                <w:webHidden/>
              </w:rPr>
            </w:r>
            <w:r>
              <w:rPr>
                <w:noProof/>
                <w:webHidden/>
              </w:rPr>
              <w:fldChar w:fldCharType="separate"/>
            </w:r>
            <w:r>
              <w:rPr>
                <w:noProof/>
                <w:webHidden/>
              </w:rPr>
              <w:t>60</w:t>
            </w:r>
            <w:r>
              <w:rPr>
                <w:noProof/>
                <w:webHidden/>
              </w:rPr>
              <w:fldChar w:fldCharType="end"/>
            </w:r>
          </w:hyperlink>
        </w:p>
        <w:p w14:paraId="273EB231" w14:textId="4F77077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27" w:history="1">
            <w:r w:rsidRPr="00265A01">
              <w:rPr>
                <w:rStyle w:val="a9"/>
                <w:noProof/>
                <w:spacing w:val="-1"/>
                <w:w w:val="113"/>
              </w:rPr>
              <w:t>4.2.5.</w:t>
            </w:r>
            <w:r>
              <w:rPr>
                <w:rFonts w:asciiTheme="minorHAnsi" w:eastAsiaTheme="minorEastAsia" w:hAnsiTheme="minorHAnsi" w:cstheme="minorBidi"/>
                <w:noProof/>
                <w:kern w:val="2"/>
                <w:szCs w:val="22"/>
                <w:lang w:eastAsia="zh-CN"/>
              </w:rPr>
              <w:tab/>
            </w:r>
            <w:r w:rsidRPr="00265A01">
              <w:rPr>
                <w:rStyle w:val="a9"/>
                <w:noProof/>
                <w:w w:val="110"/>
              </w:rPr>
              <w:t>Placeholders in</w:t>
            </w:r>
            <w:r w:rsidRPr="00265A01">
              <w:rPr>
                <w:rStyle w:val="a9"/>
                <w:noProof/>
                <w:spacing w:val="-8"/>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_Toc54423727 \h </w:instrText>
            </w:r>
            <w:r>
              <w:rPr>
                <w:noProof/>
                <w:webHidden/>
              </w:rPr>
            </w:r>
            <w:r>
              <w:rPr>
                <w:noProof/>
                <w:webHidden/>
              </w:rPr>
              <w:fldChar w:fldCharType="separate"/>
            </w:r>
            <w:r>
              <w:rPr>
                <w:noProof/>
                <w:webHidden/>
              </w:rPr>
              <w:t>60</w:t>
            </w:r>
            <w:r>
              <w:rPr>
                <w:noProof/>
                <w:webHidden/>
              </w:rPr>
              <w:fldChar w:fldCharType="end"/>
            </w:r>
          </w:hyperlink>
        </w:p>
        <w:p w14:paraId="2B46D20D" w14:textId="1461A966"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28" w:history="1">
            <w:r w:rsidRPr="00265A01">
              <w:rPr>
                <w:rStyle w:val="a9"/>
                <w:noProof/>
                <w:spacing w:val="-1"/>
                <w:w w:val="113"/>
              </w:rPr>
              <w:t>4.2.6.</w:t>
            </w:r>
            <w:r>
              <w:rPr>
                <w:rFonts w:asciiTheme="minorHAnsi" w:eastAsiaTheme="minorEastAsia" w:hAnsiTheme="minorHAnsi" w:cstheme="minorBidi"/>
                <w:noProof/>
                <w:kern w:val="2"/>
                <w:szCs w:val="22"/>
                <w:lang w:eastAsia="zh-CN"/>
              </w:rPr>
              <w:tab/>
            </w:r>
            <w:r w:rsidRPr="00265A01">
              <w:rPr>
                <w:rStyle w:val="a9"/>
                <w:noProof/>
                <w:w w:val="110"/>
              </w:rPr>
              <w:t>Encrypting</w:t>
            </w:r>
            <w:r w:rsidRPr="00265A01">
              <w:rPr>
                <w:rStyle w:val="a9"/>
                <w:noProof/>
                <w:spacing w:val="-6"/>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_Toc54423728 \h </w:instrText>
            </w:r>
            <w:r>
              <w:rPr>
                <w:noProof/>
                <w:webHidden/>
              </w:rPr>
            </w:r>
            <w:r>
              <w:rPr>
                <w:noProof/>
                <w:webHidden/>
              </w:rPr>
              <w:fldChar w:fldCharType="separate"/>
            </w:r>
            <w:r>
              <w:rPr>
                <w:noProof/>
                <w:webHidden/>
              </w:rPr>
              <w:t>61</w:t>
            </w:r>
            <w:r>
              <w:rPr>
                <w:noProof/>
                <w:webHidden/>
              </w:rPr>
              <w:fldChar w:fldCharType="end"/>
            </w:r>
          </w:hyperlink>
        </w:p>
        <w:p w14:paraId="56F504CD" w14:textId="1B529131"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29" w:history="1">
            <w:r w:rsidRPr="00265A01">
              <w:rPr>
                <w:rStyle w:val="a9"/>
                <w:noProof/>
                <w:spacing w:val="-1"/>
                <w:w w:val="113"/>
              </w:rPr>
              <w:t>4.2.7.</w:t>
            </w:r>
            <w:r>
              <w:rPr>
                <w:rFonts w:asciiTheme="minorHAnsi" w:eastAsiaTheme="minorEastAsia" w:hAnsiTheme="minorHAnsi" w:cstheme="minorBidi"/>
                <w:noProof/>
                <w:kern w:val="2"/>
                <w:szCs w:val="22"/>
                <w:lang w:eastAsia="zh-CN"/>
              </w:rPr>
              <w:tab/>
            </w:r>
            <w:r w:rsidRPr="00265A01">
              <w:rPr>
                <w:rStyle w:val="a9"/>
                <w:noProof/>
                <w:w w:val="110"/>
              </w:rPr>
              <w:t xml:space="preserve">Using </w:t>
            </w:r>
            <w:r w:rsidRPr="00265A01">
              <w:rPr>
                <w:rStyle w:val="a9"/>
                <w:noProof/>
                <w:spacing w:val="-6"/>
                <w:w w:val="110"/>
              </w:rPr>
              <w:t xml:space="preserve">YAML </w:t>
            </w:r>
            <w:r w:rsidRPr="00265A01">
              <w:rPr>
                <w:rStyle w:val="a9"/>
                <w:noProof/>
                <w:w w:val="110"/>
              </w:rPr>
              <w:t>Instead of</w:t>
            </w:r>
            <w:r w:rsidRPr="00265A01">
              <w:rPr>
                <w:rStyle w:val="a9"/>
                <w:noProof/>
                <w:spacing w:val="-20"/>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_Toc54423729 \h </w:instrText>
            </w:r>
            <w:r>
              <w:rPr>
                <w:noProof/>
                <w:webHidden/>
              </w:rPr>
            </w:r>
            <w:r>
              <w:rPr>
                <w:noProof/>
                <w:webHidden/>
              </w:rPr>
              <w:fldChar w:fldCharType="separate"/>
            </w:r>
            <w:r>
              <w:rPr>
                <w:noProof/>
                <w:webHidden/>
              </w:rPr>
              <w:t>61</w:t>
            </w:r>
            <w:r>
              <w:rPr>
                <w:noProof/>
                <w:webHidden/>
              </w:rPr>
              <w:fldChar w:fldCharType="end"/>
            </w:r>
          </w:hyperlink>
        </w:p>
        <w:p w14:paraId="10C622A3" w14:textId="4C11811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30" w:history="1">
            <w:r w:rsidRPr="00265A01">
              <w:rPr>
                <w:rStyle w:val="a9"/>
                <w:noProof/>
                <w:spacing w:val="-1"/>
                <w:w w:val="113"/>
              </w:rPr>
              <w:t>4.2.8.</w:t>
            </w:r>
            <w:r>
              <w:rPr>
                <w:rFonts w:asciiTheme="minorHAnsi" w:eastAsiaTheme="minorEastAsia" w:hAnsiTheme="minorHAnsi" w:cstheme="minorBidi"/>
                <w:noProof/>
                <w:kern w:val="2"/>
                <w:szCs w:val="22"/>
                <w:lang w:eastAsia="zh-CN"/>
              </w:rPr>
              <w:tab/>
            </w:r>
            <w:r w:rsidRPr="00265A01">
              <w:rPr>
                <w:rStyle w:val="a9"/>
                <w:noProof/>
                <w:w w:val="110"/>
              </w:rPr>
              <w:t>Type-safe Configuration</w:t>
            </w:r>
            <w:r w:rsidRPr="00265A01">
              <w:rPr>
                <w:rStyle w:val="a9"/>
                <w:noProof/>
                <w:spacing w:val="-11"/>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_Toc54423730 \h </w:instrText>
            </w:r>
            <w:r>
              <w:rPr>
                <w:noProof/>
                <w:webHidden/>
              </w:rPr>
            </w:r>
            <w:r>
              <w:rPr>
                <w:noProof/>
                <w:webHidden/>
              </w:rPr>
              <w:fldChar w:fldCharType="separate"/>
            </w:r>
            <w:r>
              <w:rPr>
                <w:noProof/>
                <w:webHidden/>
              </w:rPr>
              <w:t>64</w:t>
            </w:r>
            <w:r>
              <w:rPr>
                <w:noProof/>
                <w:webHidden/>
              </w:rPr>
              <w:fldChar w:fldCharType="end"/>
            </w:r>
          </w:hyperlink>
        </w:p>
        <w:p w14:paraId="1C2B8BDA" w14:textId="4898F810"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31" w:history="1">
            <w:r w:rsidRPr="00265A01">
              <w:rPr>
                <w:rStyle w:val="a9"/>
                <w:noProof/>
                <w:spacing w:val="-1"/>
                <w:w w:val="113"/>
              </w:rPr>
              <w:t>4.3.</w:t>
            </w:r>
            <w:r>
              <w:rPr>
                <w:rFonts w:asciiTheme="minorHAnsi" w:eastAsiaTheme="minorEastAsia" w:hAnsiTheme="minorHAnsi" w:cstheme="minorBidi"/>
                <w:noProof/>
                <w:kern w:val="2"/>
                <w:szCs w:val="22"/>
                <w:lang w:eastAsia="zh-CN"/>
              </w:rPr>
              <w:tab/>
            </w:r>
            <w:r w:rsidRPr="00265A01">
              <w:rPr>
                <w:rStyle w:val="a9"/>
                <w:noProof/>
                <w:w w:val="110"/>
              </w:rPr>
              <w:t>Profiles</w:t>
            </w:r>
            <w:r>
              <w:rPr>
                <w:noProof/>
                <w:webHidden/>
              </w:rPr>
              <w:tab/>
            </w:r>
            <w:r>
              <w:rPr>
                <w:noProof/>
                <w:webHidden/>
              </w:rPr>
              <w:fldChar w:fldCharType="begin"/>
            </w:r>
            <w:r>
              <w:rPr>
                <w:noProof/>
                <w:webHidden/>
              </w:rPr>
              <w:instrText xml:space="preserve"> PAGEREF _Toc54423731 \h </w:instrText>
            </w:r>
            <w:r>
              <w:rPr>
                <w:noProof/>
                <w:webHidden/>
              </w:rPr>
            </w:r>
            <w:r>
              <w:rPr>
                <w:noProof/>
                <w:webHidden/>
              </w:rPr>
              <w:fldChar w:fldCharType="separate"/>
            </w:r>
            <w:r>
              <w:rPr>
                <w:noProof/>
                <w:webHidden/>
              </w:rPr>
              <w:t>81</w:t>
            </w:r>
            <w:r>
              <w:rPr>
                <w:noProof/>
                <w:webHidden/>
              </w:rPr>
              <w:fldChar w:fldCharType="end"/>
            </w:r>
          </w:hyperlink>
        </w:p>
        <w:p w14:paraId="4DA0EC5B" w14:textId="73051C1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32" w:history="1">
            <w:r w:rsidRPr="00265A01">
              <w:rPr>
                <w:rStyle w:val="a9"/>
                <w:noProof/>
                <w:spacing w:val="-1"/>
                <w:w w:val="113"/>
              </w:rPr>
              <w:t>4.3.1.</w:t>
            </w:r>
            <w:r>
              <w:rPr>
                <w:rFonts w:asciiTheme="minorHAnsi" w:eastAsiaTheme="minorEastAsia" w:hAnsiTheme="minorHAnsi" w:cstheme="minorBidi"/>
                <w:noProof/>
                <w:kern w:val="2"/>
                <w:szCs w:val="22"/>
                <w:lang w:eastAsia="zh-CN"/>
              </w:rPr>
              <w:tab/>
            </w:r>
            <w:r w:rsidRPr="00265A01">
              <w:rPr>
                <w:rStyle w:val="a9"/>
                <w:noProof/>
                <w:w w:val="110"/>
              </w:rPr>
              <w:t>Adding Active</w:t>
            </w:r>
            <w:r w:rsidRPr="00265A01">
              <w:rPr>
                <w:rStyle w:val="a9"/>
                <w:noProof/>
                <w:spacing w:val="-13"/>
                <w:w w:val="110"/>
              </w:rPr>
              <w:t xml:space="preserve"> </w:t>
            </w:r>
            <w:r w:rsidRPr="00265A01">
              <w:rPr>
                <w:rStyle w:val="a9"/>
                <w:noProof/>
                <w:w w:val="110"/>
              </w:rPr>
              <w:t>Profiles</w:t>
            </w:r>
            <w:r>
              <w:rPr>
                <w:noProof/>
                <w:webHidden/>
              </w:rPr>
              <w:tab/>
            </w:r>
            <w:r>
              <w:rPr>
                <w:noProof/>
                <w:webHidden/>
              </w:rPr>
              <w:fldChar w:fldCharType="begin"/>
            </w:r>
            <w:r>
              <w:rPr>
                <w:noProof/>
                <w:webHidden/>
              </w:rPr>
              <w:instrText xml:space="preserve"> PAGEREF _Toc54423732 \h </w:instrText>
            </w:r>
            <w:r>
              <w:rPr>
                <w:noProof/>
                <w:webHidden/>
              </w:rPr>
            </w:r>
            <w:r>
              <w:rPr>
                <w:noProof/>
                <w:webHidden/>
              </w:rPr>
              <w:fldChar w:fldCharType="separate"/>
            </w:r>
            <w:r>
              <w:rPr>
                <w:noProof/>
                <w:webHidden/>
              </w:rPr>
              <w:t>82</w:t>
            </w:r>
            <w:r>
              <w:rPr>
                <w:noProof/>
                <w:webHidden/>
              </w:rPr>
              <w:fldChar w:fldCharType="end"/>
            </w:r>
          </w:hyperlink>
        </w:p>
        <w:p w14:paraId="319847CF" w14:textId="7459ED4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33" w:history="1">
            <w:r w:rsidRPr="00265A01">
              <w:rPr>
                <w:rStyle w:val="a9"/>
                <w:noProof/>
                <w:spacing w:val="-1"/>
                <w:w w:val="113"/>
              </w:rPr>
              <w:t>4.3.2.</w:t>
            </w:r>
            <w:r>
              <w:rPr>
                <w:rFonts w:asciiTheme="minorHAnsi" w:eastAsiaTheme="minorEastAsia" w:hAnsiTheme="minorHAnsi" w:cstheme="minorBidi"/>
                <w:noProof/>
                <w:kern w:val="2"/>
                <w:szCs w:val="22"/>
                <w:lang w:eastAsia="zh-CN"/>
              </w:rPr>
              <w:tab/>
            </w:r>
            <w:r w:rsidRPr="00265A01">
              <w:rPr>
                <w:rStyle w:val="a9"/>
                <w:noProof/>
                <w:w w:val="110"/>
              </w:rPr>
              <w:t>Programmatically Setting</w:t>
            </w:r>
            <w:r w:rsidRPr="00265A01">
              <w:rPr>
                <w:rStyle w:val="a9"/>
                <w:noProof/>
                <w:spacing w:val="-10"/>
                <w:w w:val="110"/>
              </w:rPr>
              <w:t xml:space="preserve"> </w:t>
            </w:r>
            <w:r w:rsidRPr="00265A01">
              <w:rPr>
                <w:rStyle w:val="a9"/>
                <w:noProof/>
                <w:w w:val="110"/>
              </w:rPr>
              <w:t>Profiles</w:t>
            </w:r>
            <w:r>
              <w:rPr>
                <w:noProof/>
                <w:webHidden/>
              </w:rPr>
              <w:tab/>
            </w:r>
            <w:r>
              <w:rPr>
                <w:noProof/>
                <w:webHidden/>
              </w:rPr>
              <w:fldChar w:fldCharType="begin"/>
            </w:r>
            <w:r>
              <w:rPr>
                <w:noProof/>
                <w:webHidden/>
              </w:rPr>
              <w:instrText xml:space="preserve"> PAGEREF _Toc54423733 \h </w:instrText>
            </w:r>
            <w:r>
              <w:rPr>
                <w:noProof/>
                <w:webHidden/>
              </w:rPr>
            </w:r>
            <w:r>
              <w:rPr>
                <w:noProof/>
                <w:webHidden/>
              </w:rPr>
              <w:fldChar w:fldCharType="separate"/>
            </w:r>
            <w:r>
              <w:rPr>
                <w:noProof/>
                <w:webHidden/>
              </w:rPr>
              <w:t>82</w:t>
            </w:r>
            <w:r>
              <w:rPr>
                <w:noProof/>
                <w:webHidden/>
              </w:rPr>
              <w:fldChar w:fldCharType="end"/>
            </w:r>
          </w:hyperlink>
        </w:p>
        <w:p w14:paraId="3A07A77E" w14:textId="781967A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34" w:history="1">
            <w:r w:rsidRPr="00265A01">
              <w:rPr>
                <w:rStyle w:val="a9"/>
                <w:noProof/>
                <w:spacing w:val="-1"/>
                <w:w w:val="113"/>
              </w:rPr>
              <w:t>4.3.3.</w:t>
            </w:r>
            <w:r>
              <w:rPr>
                <w:rFonts w:asciiTheme="minorHAnsi" w:eastAsiaTheme="minorEastAsia" w:hAnsiTheme="minorHAnsi" w:cstheme="minorBidi"/>
                <w:noProof/>
                <w:kern w:val="2"/>
                <w:szCs w:val="22"/>
                <w:lang w:eastAsia="zh-CN"/>
              </w:rPr>
              <w:tab/>
            </w:r>
            <w:r w:rsidRPr="00265A01">
              <w:rPr>
                <w:rStyle w:val="a9"/>
                <w:noProof/>
                <w:w w:val="110"/>
              </w:rPr>
              <w:t>Profile-specific Configuration</w:t>
            </w:r>
            <w:r w:rsidRPr="00265A01">
              <w:rPr>
                <w:rStyle w:val="a9"/>
                <w:noProof/>
                <w:spacing w:val="-11"/>
                <w:w w:val="110"/>
              </w:rPr>
              <w:t xml:space="preserve"> </w:t>
            </w:r>
            <w:r w:rsidRPr="00265A01">
              <w:rPr>
                <w:rStyle w:val="a9"/>
                <w:noProof/>
                <w:w w:val="110"/>
              </w:rPr>
              <w:t>Files</w:t>
            </w:r>
            <w:r>
              <w:rPr>
                <w:noProof/>
                <w:webHidden/>
              </w:rPr>
              <w:tab/>
            </w:r>
            <w:r>
              <w:rPr>
                <w:noProof/>
                <w:webHidden/>
              </w:rPr>
              <w:fldChar w:fldCharType="begin"/>
            </w:r>
            <w:r>
              <w:rPr>
                <w:noProof/>
                <w:webHidden/>
              </w:rPr>
              <w:instrText xml:space="preserve"> PAGEREF _Toc54423734 \h </w:instrText>
            </w:r>
            <w:r>
              <w:rPr>
                <w:noProof/>
                <w:webHidden/>
              </w:rPr>
            </w:r>
            <w:r>
              <w:rPr>
                <w:noProof/>
                <w:webHidden/>
              </w:rPr>
              <w:fldChar w:fldCharType="separate"/>
            </w:r>
            <w:r>
              <w:rPr>
                <w:noProof/>
                <w:webHidden/>
              </w:rPr>
              <w:t>82</w:t>
            </w:r>
            <w:r>
              <w:rPr>
                <w:noProof/>
                <w:webHidden/>
              </w:rPr>
              <w:fldChar w:fldCharType="end"/>
            </w:r>
          </w:hyperlink>
        </w:p>
        <w:p w14:paraId="52B157B3" w14:textId="3728034F"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35" w:history="1">
            <w:r w:rsidRPr="00265A01">
              <w:rPr>
                <w:rStyle w:val="a9"/>
                <w:noProof/>
                <w:spacing w:val="-1"/>
                <w:w w:val="113"/>
              </w:rPr>
              <w:t>4.4.</w:t>
            </w:r>
            <w:r>
              <w:rPr>
                <w:rFonts w:asciiTheme="minorHAnsi" w:eastAsiaTheme="minorEastAsia" w:hAnsiTheme="minorHAnsi" w:cstheme="minorBidi"/>
                <w:noProof/>
                <w:kern w:val="2"/>
                <w:szCs w:val="22"/>
                <w:lang w:eastAsia="zh-CN"/>
              </w:rPr>
              <w:tab/>
            </w:r>
            <w:r w:rsidRPr="00265A01">
              <w:rPr>
                <w:rStyle w:val="a9"/>
                <w:noProof/>
                <w:w w:val="105"/>
              </w:rPr>
              <w:t>Logging</w:t>
            </w:r>
            <w:r>
              <w:rPr>
                <w:noProof/>
                <w:webHidden/>
              </w:rPr>
              <w:tab/>
            </w:r>
            <w:r>
              <w:rPr>
                <w:noProof/>
                <w:webHidden/>
              </w:rPr>
              <w:fldChar w:fldCharType="begin"/>
            </w:r>
            <w:r>
              <w:rPr>
                <w:noProof/>
                <w:webHidden/>
              </w:rPr>
              <w:instrText xml:space="preserve"> PAGEREF _Toc54423735 \h </w:instrText>
            </w:r>
            <w:r>
              <w:rPr>
                <w:noProof/>
                <w:webHidden/>
              </w:rPr>
            </w:r>
            <w:r>
              <w:rPr>
                <w:noProof/>
                <w:webHidden/>
              </w:rPr>
              <w:fldChar w:fldCharType="separate"/>
            </w:r>
            <w:r>
              <w:rPr>
                <w:noProof/>
                <w:webHidden/>
              </w:rPr>
              <w:t>82</w:t>
            </w:r>
            <w:r>
              <w:rPr>
                <w:noProof/>
                <w:webHidden/>
              </w:rPr>
              <w:fldChar w:fldCharType="end"/>
            </w:r>
          </w:hyperlink>
        </w:p>
        <w:p w14:paraId="787E6071" w14:textId="6D537FC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36" w:history="1">
            <w:r w:rsidRPr="00265A01">
              <w:rPr>
                <w:rStyle w:val="a9"/>
                <w:noProof/>
                <w:spacing w:val="-1"/>
                <w:w w:val="113"/>
              </w:rPr>
              <w:t>4.4.1.</w:t>
            </w:r>
            <w:r>
              <w:rPr>
                <w:rFonts w:asciiTheme="minorHAnsi" w:eastAsiaTheme="minorEastAsia" w:hAnsiTheme="minorHAnsi" w:cstheme="minorBidi"/>
                <w:noProof/>
                <w:kern w:val="2"/>
                <w:szCs w:val="22"/>
                <w:lang w:eastAsia="zh-CN"/>
              </w:rPr>
              <w:tab/>
            </w:r>
            <w:r w:rsidRPr="00265A01">
              <w:rPr>
                <w:rStyle w:val="a9"/>
                <w:noProof/>
                <w:w w:val="115"/>
              </w:rPr>
              <w:t>Log</w:t>
            </w:r>
            <w:r w:rsidRPr="00265A01">
              <w:rPr>
                <w:rStyle w:val="a9"/>
                <w:noProof/>
                <w:spacing w:val="-9"/>
                <w:w w:val="115"/>
              </w:rPr>
              <w:t xml:space="preserve"> </w:t>
            </w:r>
            <w:r w:rsidRPr="00265A01">
              <w:rPr>
                <w:rStyle w:val="a9"/>
                <w:noProof/>
                <w:spacing w:val="-3"/>
                <w:w w:val="115"/>
              </w:rPr>
              <w:t>Format</w:t>
            </w:r>
            <w:r>
              <w:rPr>
                <w:noProof/>
                <w:webHidden/>
              </w:rPr>
              <w:tab/>
            </w:r>
            <w:r>
              <w:rPr>
                <w:noProof/>
                <w:webHidden/>
              </w:rPr>
              <w:fldChar w:fldCharType="begin"/>
            </w:r>
            <w:r>
              <w:rPr>
                <w:noProof/>
                <w:webHidden/>
              </w:rPr>
              <w:instrText xml:space="preserve"> PAGEREF _Toc54423736 \h </w:instrText>
            </w:r>
            <w:r>
              <w:rPr>
                <w:noProof/>
                <w:webHidden/>
              </w:rPr>
            </w:r>
            <w:r>
              <w:rPr>
                <w:noProof/>
                <w:webHidden/>
              </w:rPr>
              <w:fldChar w:fldCharType="separate"/>
            </w:r>
            <w:r>
              <w:rPr>
                <w:noProof/>
                <w:webHidden/>
              </w:rPr>
              <w:t>83</w:t>
            </w:r>
            <w:r>
              <w:rPr>
                <w:noProof/>
                <w:webHidden/>
              </w:rPr>
              <w:fldChar w:fldCharType="end"/>
            </w:r>
          </w:hyperlink>
        </w:p>
        <w:p w14:paraId="2346B6E7" w14:textId="24B4011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37" w:history="1">
            <w:r w:rsidRPr="00265A01">
              <w:rPr>
                <w:rStyle w:val="a9"/>
                <w:noProof/>
                <w:spacing w:val="-1"/>
                <w:w w:val="113"/>
              </w:rPr>
              <w:t>4.4.2.</w:t>
            </w:r>
            <w:r>
              <w:rPr>
                <w:rFonts w:asciiTheme="minorHAnsi" w:eastAsiaTheme="minorEastAsia" w:hAnsiTheme="minorHAnsi" w:cstheme="minorBidi"/>
                <w:noProof/>
                <w:kern w:val="2"/>
                <w:szCs w:val="22"/>
                <w:lang w:eastAsia="zh-CN"/>
              </w:rPr>
              <w:tab/>
            </w:r>
            <w:r w:rsidRPr="00265A01">
              <w:rPr>
                <w:rStyle w:val="a9"/>
                <w:noProof/>
                <w:w w:val="105"/>
              </w:rPr>
              <w:t>Console</w:t>
            </w:r>
            <w:r w:rsidRPr="00265A01">
              <w:rPr>
                <w:rStyle w:val="a9"/>
                <w:noProof/>
                <w:spacing w:val="-3"/>
                <w:w w:val="105"/>
              </w:rPr>
              <w:t xml:space="preserve"> </w:t>
            </w:r>
            <w:r w:rsidRPr="00265A01">
              <w:rPr>
                <w:rStyle w:val="a9"/>
                <w:noProof/>
                <w:w w:val="105"/>
              </w:rPr>
              <w:t>Output</w:t>
            </w:r>
            <w:r>
              <w:rPr>
                <w:noProof/>
                <w:webHidden/>
              </w:rPr>
              <w:tab/>
            </w:r>
            <w:r>
              <w:rPr>
                <w:noProof/>
                <w:webHidden/>
              </w:rPr>
              <w:fldChar w:fldCharType="begin"/>
            </w:r>
            <w:r>
              <w:rPr>
                <w:noProof/>
                <w:webHidden/>
              </w:rPr>
              <w:instrText xml:space="preserve"> PAGEREF _Toc54423737 \h </w:instrText>
            </w:r>
            <w:r>
              <w:rPr>
                <w:noProof/>
                <w:webHidden/>
              </w:rPr>
            </w:r>
            <w:r>
              <w:rPr>
                <w:noProof/>
                <w:webHidden/>
              </w:rPr>
              <w:fldChar w:fldCharType="separate"/>
            </w:r>
            <w:r>
              <w:rPr>
                <w:noProof/>
                <w:webHidden/>
              </w:rPr>
              <w:t>84</w:t>
            </w:r>
            <w:r>
              <w:rPr>
                <w:noProof/>
                <w:webHidden/>
              </w:rPr>
              <w:fldChar w:fldCharType="end"/>
            </w:r>
          </w:hyperlink>
        </w:p>
        <w:p w14:paraId="6AE38C77" w14:textId="7052813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38" w:history="1">
            <w:r w:rsidRPr="00265A01">
              <w:rPr>
                <w:rStyle w:val="a9"/>
                <w:noProof/>
                <w:spacing w:val="-1"/>
                <w:w w:val="113"/>
              </w:rPr>
              <w:t>4.4.3.</w:t>
            </w:r>
            <w:r>
              <w:rPr>
                <w:rFonts w:asciiTheme="minorHAnsi" w:eastAsiaTheme="minorEastAsia" w:hAnsiTheme="minorHAnsi" w:cstheme="minorBidi"/>
                <w:noProof/>
                <w:kern w:val="2"/>
                <w:szCs w:val="22"/>
                <w:lang w:eastAsia="zh-CN"/>
              </w:rPr>
              <w:tab/>
            </w:r>
            <w:r w:rsidRPr="00265A01">
              <w:rPr>
                <w:rStyle w:val="a9"/>
                <w:noProof/>
                <w:w w:val="110"/>
              </w:rPr>
              <w:t>File</w:t>
            </w:r>
            <w:r w:rsidRPr="00265A01">
              <w:rPr>
                <w:rStyle w:val="a9"/>
                <w:noProof/>
                <w:spacing w:val="-5"/>
                <w:w w:val="110"/>
              </w:rPr>
              <w:t xml:space="preserve"> </w:t>
            </w:r>
            <w:r w:rsidRPr="00265A01">
              <w:rPr>
                <w:rStyle w:val="a9"/>
                <w:noProof/>
                <w:w w:val="110"/>
              </w:rPr>
              <w:t>Output</w:t>
            </w:r>
            <w:r>
              <w:rPr>
                <w:noProof/>
                <w:webHidden/>
              </w:rPr>
              <w:tab/>
            </w:r>
            <w:r>
              <w:rPr>
                <w:noProof/>
                <w:webHidden/>
              </w:rPr>
              <w:fldChar w:fldCharType="begin"/>
            </w:r>
            <w:r>
              <w:rPr>
                <w:noProof/>
                <w:webHidden/>
              </w:rPr>
              <w:instrText xml:space="preserve"> PAGEREF _Toc54423738 \h </w:instrText>
            </w:r>
            <w:r>
              <w:rPr>
                <w:noProof/>
                <w:webHidden/>
              </w:rPr>
            </w:r>
            <w:r>
              <w:rPr>
                <w:noProof/>
                <w:webHidden/>
              </w:rPr>
              <w:fldChar w:fldCharType="separate"/>
            </w:r>
            <w:r>
              <w:rPr>
                <w:noProof/>
                <w:webHidden/>
              </w:rPr>
              <w:t>85</w:t>
            </w:r>
            <w:r>
              <w:rPr>
                <w:noProof/>
                <w:webHidden/>
              </w:rPr>
              <w:fldChar w:fldCharType="end"/>
            </w:r>
          </w:hyperlink>
        </w:p>
        <w:p w14:paraId="36909530" w14:textId="3B5DC85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39" w:history="1">
            <w:r w:rsidRPr="00265A01">
              <w:rPr>
                <w:rStyle w:val="a9"/>
                <w:noProof/>
                <w:spacing w:val="-1"/>
                <w:w w:val="113"/>
              </w:rPr>
              <w:t>4.4.4.</w:t>
            </w:r>
            <w:r>
              <w:rPr>
                <w:rFonts w:asciiTheme="minorHAnsi" w:eastAsiaTheme="minorEastAsia" w:hAnsiTheme="minorHAnsi" w:cstheme="minorBidi"/>
                <w:noProof/>
                <w:kern w:val="2"/>
                <w:szCs w:val="22"/>
                <w:lang w:eastAsia="zh-CN"/>
              </w:rPr>
              <w:tab/>
            </w:r>
            <w:r w:rsidRPr="00265A01">
              <w:rPr>
                <w:rStyle w:val="a9"/>
                <w:noProof/>
                <w:w w:val="110"/>
              </w:rPr>
              <w:t>Log</w:t>
            </w:r>
            <w:r w:rsidRPr="00265A01">
              <w:rPr>
                <w:rStyle w:val="a9"/>
                <w:noProof/>
                <w:spacing w:val="-6"/>
                <w:w w:val="110"/>
              </w:rPr>
              <w:t xml:space="preserve"> </w:t>
            </w:r>
            <w:r w:rsidRPr="00265A01">
              <w:rPr>
                <w:rStyle w:val="a9"/>
                <w:noProof/>
                <w:w w:val="110"/>
              </w:rPr>
              <w:t>Levels</w:t>
            </w:r>
            <w:r>
              <w:rPr>
                <w:noProof/>
                <w:webHidden/>
              </w:rPr>
              <w:tab/>
            </w:r>
            <w:r>
              <w:rPr>
                <w:noProof/>
                <w:webHidden/>
              </w:rPr>
              <w:fldChar w:fldCharType="begin"/>
            </w:r>
            <w:r>
              <w:rPr>
                <w:noProof/>
                <w:webHidden/>
              </w:rPr>
              <w:instrText xml:space="preserve"> PAGEREF _Toc54423739 \h </w:instrText>
            </w:r>
            <w:r>
              <w:rPr>
                <w:noProof/>
                <w:webHidden/>
              </w:rPr>
            </w:r>
            <w:r>
              <w:rPr>
                <w:noProof/>
                <w:webHidden/>
              </w:rPr>
              <w:fldChar w:fldCharType="separate"/>
            </w:r>
            <w:r>
              <w:rPr>
                <w:noProof/>
                <w:webHidden/>
              </w:rPr>
              <w:t>85</w:t>
            </w:r>
            <w:r>
              <w:rPr>
                <w:noProof/>
                <w:webHidden/>
              </w:rPr>
              <w:fldChar w:fldCharType="end"/>
            </w:r>
          </w:hyperlink>
        </w:p>
        <w:p w14:paraId="63B811E6" w14:textId="20CB1D7D"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40" w:history="1">
            <w:r w:rsidRPr="00265A01">
              <w:rPr>
                <w:rStyle w:val="a9"/>
                <w:noProof/>
                <w:spacing w:val="-1"/>
                <w:w w:val="113"/>
              </w:rPr>
              <w:t>4.4.5.</w:t>
            </w:r>
            <w:r>
              <w:rPr>
                <w:rFonts w:asciiTheme="minorHAnsi" w:eastAsiaTheme="minorEastAsia" w:hAnsiTheme="minorHAnsi" w:cstheme="minorBidi"/>
                <w:noProof/>
                <w:kern w:val="2"/>
                <w:szCs w:val="22"/>
                <w:lang w:eastAsia="zh-CN"/>
              </w:rPr>
              <w:tab/>
            </w:r>
            <w:r w:rsidRPr="00265A01">
              <w:rPr>
                <w:rStyle w:val="a9"/>
                <w:noProof/>
                <w:w w:val="105"/>
              </w:rPr>
              <w:t>Log</w:t>
            </w:r>
            <w:r w:rsidRPr="00265A01">
              <w:rPr>
                <w:rStyle w:val="a9"/>
                <w:noProof/>
                <w:spacing w:val="-3"/>
                <w:w w:val="105"/>
              </w:rPr>
              <w:t xml:space="preserve"> </w:t>
            </w:r>
            <w:r w:rsidRPr="00265A01">
              <w:rPr>
                <w:rStyle w:val="a9"/>
                <w:noProof/>
                <w:w w:val="105"/>
              </w:rPr>
              <w:t>Groups</w:t>
            </w:r>
            <w:r>
              <w:rPr>
                <w:noProof/>
                <w:webHidden/>
              </w:rPr>
              <w:tab/>
            </w:r>
            <w:r>
              <w:rPr>
                <w:noProof/>
                <w:webHidden/>
              </w:rPr>
              <w:fldChar w:fldCharType="begin"/>
            </w:r>
            <w:r>
              <w:rPr>
                <w:noProof/>
                <w:webHidden/>
              </w:rPr>
              <w:instrText xml:space="preserve"> PAGEREF _Toc54423740 \h </w:instrText>
            </w:r>
            <w:r>
              <w:rPr>
                <w:noProof/>
                <w:webHidden/>
              </w:rPr>
            </w:r>
            <w:r>
              <w:rPr>
                <w:noProof/>
                <w:webHidden/>
              </w:rPr>
              <w:fldChar w:fldCharType="separate"/>
            </w:r>
            <w:r>
              <w:rPr>
                <w:noProof/>
                <w:webHidden/>
              </w:rPr>
              <w:t>86</w:t>
            </w:r>
            <w:r>
              <w:rPr>
                <w:noProof/>
                <w:webHidden/>
              </w:rPr>
              <w:fldChar w:fldCharType="end"/>
            </w:r>
          </w:hyperlink>
        </w:p>
        <w:p w14:paraId="27939EFD" w14:textId="4B22B6C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41" w:history="1">
            <w:r w:rsidRPr="00265A01">
              <w:rPr>
                <w:rStyle w:val="a9"/>
                <w:noProof/>
                <w:spacing w:val="-1"/>
                <w:w w:val="113"/>
              </w:rPr>
              <w:t>4.4.6.</w:t>
            </w:r>
            <w:r>
              <w:rPr>
                <w:rFonts w:asciiTheme="minorHAnsi" w:eastAsiaTheme="minorEastAsia" w:hAnsiTheme="minorHAnsi" w:cstheme="minorBidi"/>
                <w:noProof/>
                <w:kern w:val="2"/>
                <w:szCs w:val="22"/>
                <w:lang w:eastAsia="zh-CN"/>
              </w:rPr>
              <w:tab/>
            </w:r>
            <w:r w:rsidRPr="00265A01">
              <w:rPr>
                <w:rStyle w:val="a9"/>
                <w:noProof/>
                <w:w w:val="110"/>
              </w:rPr>
              <w:t>Custom Log</w:t>
            </w:r>
            <w:r w:rsidRPr="00265A01">
              <w:rPr>
                <w:rStyle w:val="a9"/>
                <w:noProof/>
                <w:spacing w:val="-13"/>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_Toc54423741 \h </w:instrText>
            </w:r>
            <w:r>
              <w:rPr>
                <w:noProof/>
                <w:webHidden/>
              </w:rPr>
            </w:r>
            <w:r>
              <w:rPr>
                <w:noProof/>
                <w:webHidden/>
              </w:rPr>
              <w:fldChar w:fldCharType="separate"/>
            </w:r>
            <w:r>
              <w:rPr>
                <w:noProof/>
                <w:webHidden/>
              </w:rPr>
              <w:t>86</w:t>
            </w:r>
            <w:r>
              <w:rPr>
                <w:noProof/>
                <w:webHidden/>
              </w:rPr>
              <w:fldChar w:fldCharType="end"/>
            </w:r>
          </w:hyperlink>
        </w:p>
        <w:p w14:paraId="6547221B" w14:textId="258C927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42" w:history="1">
            <w:r w:rsidRPr="00265A01">
              <w:rPr>
                <w:rStyle w:val="a9"/>
                <w:noProof/>
                <w:spacing w:val="-1"/>
                <w:w w:val="113"/>
              </w:rPr>
              <w:t>4.4.7.</w:t>
            </w:r>
            <w:r>
              <w:rPr>
                <w:rFonts w:asciiTheme="minorHAnsi" w:eastAsiaTheme="minorEastAsia" w:hAnsiTheme="minorHAnsi" w:cstheme="minorBidi"/>
                <w:noProof/>
                <w:kern w:val="2"/>
                <w:szCs w:val="22"/>
                <w:lang w:eastAsia="zh-CN"/>
              </w:rPr>
              <w:tab/>
            </w:r>
            <w:r w:rsidRPr="00265A01">
              <w:rPr>
                <w:rStyle w:val="a9"/>
                <w:noProof/>
                <w:w w:val="110"/>
              </w:rPr>
              <w:t>Logback</w:t>
            </w:r>
            <w:r w:rsidRPr="00265A01">
              <w:rPr>
                <w:rStyle w:val="a9"/>
                <w:noProof/>
                <w:spacing w:val="-6"/>
                <w:w w:val="110"/>
              </w:rPr>
              <w:t xml:space="preserve"> </w:t>
            </w:r>
            <w:r w:rsidRPr="00265A01">
              <w:rPr>
                <w:rStyle w:val="a9"/>
                <w:noProof/>
                <w:w w:val="110"/>
              </w:rPr>
              <w:t>Extensions</w:t>
            </w:r>
            <w:r>
              <w:rPr>
                <w:noProof/>
                <w:webHidden/>
              </w:rPr>
              <w:tab/>
            </w:r>
            <w:r>
              <w:rPr>
                <w:noProof/>
                <w:webHidden/>
              </w:rPr>
              <w:fldChar w:fldCharType="begin"/>
            </w:r>
            <w:r>
              <w:rPr>
                <w:noProof/>
                <w:webHidden/>
              </w:rPr>
              <w:instrText xml:space="preserve"> PAGEREF _Toc54423742 \h </w:instrText>
            </w:r>
            <w:r>
              <w:rPr>
                <w:noProof/>
                <w:webHidden/>
              </w:rPr>
            </w:r>
            <w:r>
              <w:rPr>
                <w:noProof/>
                <w:webHidden/>
              </w:rPr>
              <w:fldChar w:fldCharType="separate"/>
            </w:r>
            <w:r>
              <w:rPr>
                <w:noProof/>
                <w:webHidden/>
              </w:rPr>
              <w:t>89</w:t>
            </w:r>
            <w:r>
              <w:rPr>
                <w:noProof/>
                <w:webHidden/>
              </w:rPr>
              <w:fldChar w:fldCharType="end"/>
            </w:r>
          </w:hyperlink>
        </w:p>
        <w:p w14:paraId="74F4499C" w14:textId="209E4F4F"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43" w:history="1">
            <w:r w:rsidRPr="00265A01">
              <w:rPr>
                <w:rStyle w:val="a9"/>
                <w:noProof/>
                <w:spacing w:val="-1"/>
                <w:w w:val="113"/>
              </w:rPr>
              <w:t>4.5.</w:t>
            </w:r>
            <w:r>
              <w:rPr>
                <w:rFonts w:asciiTheme="minorHAnsi" w:eastAsiaTheme="minorEastAsia" w:hAnsiTheme="minorHAnsi" w:cstheme="minorBidi"/>
                <w:noProof/>
                <w:kern w:val="2"/>
                <w:szCs w:val="22"/>
                <w:lang w:eastAsia="zh-CN"/>
              </w:rPr>
              <w:tab/>
            </w:r>
            <w:r w:rsidRPr="00265A01">
              <w:rPr>
                <w:rStyle w:val="a9"/>
                <w:noProof/>
                <w:w w:val="115"/>
              </w:rPr>
              <w:t>Internationalization</w:t>
            </w:r>
            <w:r>
              <w:rPr>
                <w:noProof/>
                <w:webHidden/>
              </w:rPr>
              <w:tab/>
            </w:r>
            <w:r>
              <w:rPr>
                <w:noProof/>
                <w:webHidden/>
              </w:rPr>
              <w:fldChar w:fldCharType="begin"/>
            </w:r>
            <w:r>
              <w:rPr>
                <w:noProof/>
                <w:webHidden/>
              </w:rPr>
              <w:instrText xml:space="preserve"> PAGEREF _Toc54423743 \h </w:instrText>
            </w:r>
            <w:r>
              <w:rPr>
                <w:noProof/>
                <w:webHidden/>
              </w:rPr>
            </w:r>
            <w:r>
              <w:rPr>
                <w:noProof/>
                <w:webHidden/>
              </w:rPr>
              <w:fldChar w:fldCharType="separate"/>
            </w:r>
            <w:r>
              <w:rPr>
                <w:noProof/>
                <w:webHidden/>
              </w:rPr>
              <w:t>90</w:t>
            </w:r>
            <w:r>
              <w:rPr>
                <w:noProof/>
                <w:webHidden/>
              </w:rPr>
              <w:fldChar w:fldCharType="end"/>
            </w:r>
          </w:hyperlink>
        </w:p>
        <w:p w14:paraId="5AB8E3C6" w14:textId="610FCB3E"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44" w:history="1">
            <w:r w:rsidRPr="00265A01">
              <w:rPr>
                <w:rStyle w:val="a9"/>
                <w:noProof/>
                <w:spacing w:val="-1"/>
                <w:w w:val="113"/>
              </w:rPr>
              <w:t>4.6.</w:t>
            </w:r>
            <w:r>
              <w:rPr>
                <w:rFonts w:asciiTheme="minorHAnsi" w:eastAsiaTheme="minorEastAsia" w:hAnsiTheme="minorHAnsi" w:cstheme="minorBidi"/>
                <w:noProof/>
                <w:kern w:val="2"/>
                <w:szCs w:val="22"/>
                <w:lang w:eastAsia="zh-CN"/>
              </w:rPr>
              <w:tab/>
            </w:r>
            <w:r w:rsidRPr="00265A01">
              <w:rPr>
                <w:rStyle w:val="a9"/>
                <w:noProof/>
              </w:rPr>
              <w:t>JSON</w:t>
            </w:r>
            <w:r>
              <w:rPr>
                <w:noProof/>
                <w:webHidden/>
              </w:rPr>
              <w:tab/>
            </w:r>
            <w:r>
              <w:rPr>
                <w:noProof/>
                <w:webHidden/>
              </w:rPr>
              <w:fldChar w:fldCharType="begin"/>
            </w:r>
            <w:r>
              <w:rPr>
                <w:noProof/>
                <w:webHidden/>
              </w:rPr>
              <w:instrText xml:space="preserve"> PAGEREF _Toc54423744 \h </w:instrText>
            </w:r>
            <w:r>
              <w:rPr>
                <w:noProof/>
                <w:webHidden/>
              </w:rPr>
            </w:r>
            <w:r>
              <w:rPr>
                <w:noProof/>
                <w:webHidden/>
              </w:rPr>
              <w:fldChar w:fldCharType="separate"/>
            </w:r>
            <w:r>
              <w:rPr>
                <w:noProof/>
                <w:webHidden/>
              </w:rPr>
              <w:t>91</w:t>
            </w:r>
            <w:r>
              <w:rPr>
                <w:noProof/>
                <w:webHidden/>
              </w:rPr>
              <w:fldChar w:fldCharType="end"/>
            </w:r>
          </w:hyperlink>
        </w:p>
        <w:p w14:paraId="020717BF" w14:textId="6B9B595D"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45" w:history="1">
            <w:r w:rsidRPr="00265A01">
              <w:rPr>
                <w:rStyle w:val="a9"/>
                <w:noProof/>
                <w:spacing w:val="-1"/>
                <w:w w:val="113"/>
              </w:rPr>
              <w:t>4.6.1.</w:t>
            </w:r>
            <w:r>
              <w:rPr>
                <w:rFonts w:asciiTheme="minorHAnsi" w:eastAsiaTheme="minorEastAsia" w:hAnsiTheme="minorHAnsi" w:cstheme="minorBidi"/>
                <w:noProof/>
                <w:kern w:val="2"/>
                <w:szCs w:val="22"/>
                <w:lang w:eastAsia="zh-CN"/>
              </w:rPr>
              <w:tab/>
            </w:r>
            <w:r w:rsidRPr="00265A01">
              <w:rPr>
                <w:rStyle w:val="a9"/>
                <w:noProof/>
                <w:w w:val="110"/>
              </w:rPr>
              <w:t>Jackson</w:t>
            </w:r>
            <w:r>
              <w:rPr>
                <w:noProof/>
                <w:webHidden/>
              </w:rPr>
              <w:tab/>
            </w:r>
            <w:r>
              <w:rPr>
                <w:noProof/>
                <w:webHidden/>
              </w:rPr>
              <w:fldChar w:fldCharType="begin"/>
            </w:r>
            <w:r>
              <w:rPr>
                <w:noProof/>
                <w:webHidden/>
              </w:rPr>
              <w:instrText xml:space="preserve"> PAGEREF _Toc54423745 \h </w:instrText>
            </w:r>
            <w:r>
              <w:rPr>
                <w:noProof/>
                <w:webHidden/>
              </w:rPr>
            </w:r>
            <w:r>
              <w:rPr>
                <w:noProof/>
                <w:webHidden/>
              </w:rPr>
              <w:fldChar w:fldCharType="separate"/>
            </w:r>
            <w:r>
              <w:rPr>
                <w:noProof/>
                <w:webHidden/>
              </w:rPr>
              <w:t>91</w:t>
            </w:r>
            <w:r>
              <w:rPr>
                <w:noProof/>
                <w:webHidden/>
              </w:rPr>
              <w:fldChar w:fldCharType="end"/>
            </w:r>
          </w:hyperlink>
        </w:p>
        <w:p w14:paraId="6526B4AE" w14:textId="6A01EE2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46" w:history="1">
            <w:r w:rsidRPr="00265A01">
              <w:rPr>
                <w:rStyle w:val="a9"/>
                <w:noProof/>
                <w:spacing w:val="-1"/>
                <w:w w:val="113"/>
              </w:rPr>
              <w:t>4.6.2.</w:t>
            </w:r>
            <w:r>
              <w:rPr>
                <w:rFonts w:asciiTheme="minorHAnsi" w:eastAsiaTheme="minorEastAsia" w:hAnsiTheme="minorHAnsi" w:cstheme="minorBidi"/>
                <w:noProof/>
                <w:kern w:val="2"/>
                <w:szCs w:val="22"/>
                <w:lang w:eastAsia="zh-CN"/>
              </w:rPr>
              <w:tab/>
            </w:r>
            <w:r w:rsidRPr="00265A01">
              <w:rPr>
                <w:rStyle w:val="a9"/>
                <w:noProof/>
                <w:w w:val="105"/>
              </w:rPr>
              <w:t>Gson</w:t>
            </w:r>
            <w:r>
              <w:rPr>
                <w:noProof/>
                <w:webHidden/>
              </w:rPr>
              <w:tab/>
            </w:r>
            <w:r>
              <w:rPr>
                <w:noProof/>
                <w:webHidden/>
              </w:rPr>
              <w:fldChar w:fldCharType="begin"/>
            </w:r>
            <w:r>
              <w:rPr>
                <w:noProof/>
                <w:webHidden/>
              </w:rPr>
              <w:instrText xml:space="preserve"> PAGEREF _Toc54423746 \h </w:instrText>
            </w:r>
            <w:r>
              <w:rPr>
                <w:noProof/>
                <w:webHidden/>
              </w:rPr>
            </w:r>
            <w:r>
              <w:rPr>
                <w:noProof/>
                <w:webHidden/>
              </w:rPr>
              <w:fldChar w:fldCharType="separate"/>
            </w:r>
            <w:r>
              <w:rPr>
                <w:noProof/>
                <w:webHidden/>
              </w:rPr>
              <w:t>91</w:t>
            </w:r>
            <w:r>
              <w:rPr>
                <w:noProof/>
                <w:webHidden/>
              </w:rPr>
              <w:fldChar w:fldCharType="end"/>
            </w:r>
          </w:hyperlink>
        </w:p>
        <w:p w14:paraId="18EE5D32" w14:textId="25EE894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47" w:history="1">
            <w:r w:rsidRPr="00265A01">
              <w:rPr>
                <w:rStyle w:val="a9"/>
                <w:noProof/>
                <w:spacing w:val="-1"/>
                <w:w w:val="113"/>
              </w:rPr>
              <w:t>4.6.3.</w:t>
            </w:r>
            <w:r>
              <w:rPr>
                <w:rFonts w:asciiTheme="minorHAnsi" w:eastAsiaTheme="minorEastAsia" w:hAnsiTheme="minorHAnsi" w:cstheme="minorBidi"/>
                <w:noProof/>
                <w:kern w:val="2"/>
                <w:szCs w:val="22"/>
                <w:lang w:eastAsia="zh-CN"/>
              </w:rPr>
              <w:tab/>
            </w:r>
            <w:r w:rsidRPr="00265A01">
              <w:rPr>
                <w:rStyle w:val="a9"/>
                <w:noProof/>
              </w:rPr>
              <w:t>JSON-B</w:t>
            </w:r>
            <w:r>
              <w:rPr>
                <w:noProof/>
                <w:webHidden/>
              </w:rPr>
              <w:tab/>
            </w:r>
            <w:r>
              <w:rPr>
                <w:noProof/>
                <w:webHidden/>
              </w:rPr>
              <w:fldChar w:fldCharType="begin"/>
            </w:r>
            <w:r>
              <w:rPr>
                <w:noProof/>
                <w:webHidden/>
              </w:rPr>
              <w:instrText xml:space="preserve"> PAGEREF _Toc54423747 \h </w:instrText>
            </w:r>
            <w:r>
              <w:rPr>
                <w:noProof/>
                <w:webHidden/>
              </w:rPr>
            </w:r>
            <w:r>
              <w:rPr>
                <w:noProof/>
                <w:webHidden/>
              </w:rPr>
              <w:fldChar w:fldCharType="separate"/>
            </w:r>
            <w:r>
              <w:rPr>
                <w:noProof/>
                <w:webHidden/>
              </w:rPr>
              <w:t>91</w:t>
            </w:r>
            <w:r>
              <w:rPr>
                <w:noProof/>
                <w:webHidden/>
              </w:rPr>
              <w:fldChar w:fldCharType="end"/>
            </w:r>
          </w:hyperlink>
        </w:p>
        <w:p w14:paraId="0B79F373" w14:textId="2AB3CB25"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48" w:history="1">
            <w:r w:rsidRPr="00265A01">
              <w:rPr>
                <w:rStyle w:val="a9"/>
                <w:noProof/>
                <w:spacing w:val="-1"/>
                <w:w w:val="113"/>
              </w:rPr>
              <w:t>4.7.</w:t>
            </w:r>
            <w:r>
              <w:rPr>
                <w:rFonts w:asciiTheme="minorHAnsi" w:eastAsiaTheme="minorEastAsia" w:hAnsiTheme="minorHAnsi" w:cstheme="minorBidi"/>
                <w:noProof/>
                <w:kern w:val="2"/>
                <w:szCs w:val="22"/>
                <w:lang w:eastAsia="zh-CN"/>
              </w:rPr>
              <w:tab/>
            </w:r>
            <w:r w:rsidRPr="00265A01">
              <w:rPr>
                <w:rStyle w:val="a9"/>
                <w:noProof/>
                <w:w w:val="110"/>
              </w:rPr>
              <w:t xml:space="preserve">Developing </w:t>
            </w:r>
            <w:r w:rsidRPr="00265A01">
              <w:rPr>
                <w:rStyle w:val="a9"/>
                <w:noProof/>
                <w:spacing w:val="-8"/>
                <w:w w:val="110"/>
              </w:rPr>
              <w:t>Web</w:t>
            </w:r>
            <w:r w:rsidRPr="00265A01">
              <w:rPr>
                <w:rStyle w:val="a9"/>
                <w:noProof/>
                <w:spacing w:val="-20"/>
                <w:w w:val="110"/>
              </w:rPr>
              <w:t xml:space="preserve"> </w:t>
            </w:r>
            <w:r w:rsidRPr="00265A01">
              <w:rPr>
                <w:rStyle w:val="a9"/>
                <w:noProof/>
                <w:w w:val="110"/>
              </w:rPr>
              <w:t>Applications</w:t>
            </w:r>
            <w:r>
              <w:rPr>
                <w:noProof/>
                <w:webHidden/>
              </w:rPr>
              <w:tab/>
            </w:r>
            <w:r>
              <w:rPr>
                <w:noProof/>
                <w:webHidden/>
              </w:rPr>
              <w:fldChar w:fldCharType="begin"/>
            </w:r>
            <w:r>
              <w:rPr>
                <w:noProof/>
                <w:webHidden/>
              </w:rPr>
              <w:instrText xml:space="preserve"> PAGEREF _Toc54423748 \h </w:instrText>
            </w:r>
            <w:r>
              <w:rPr>
                <w:noProof/>
                <w:webHidden/>
              </w:rPr>
            </w:r>
            <w:r>
              <w:rPr>
                <w:noProof/>
                <w:webHidden/>
              </w:rPr>
              <w:fldChar w:fldCharType="separate"/>
            </w:r>
            <w:r>
              <w:rPr>
                <w:noProof/>
                <w:webHidden/>
              </w:rPr>
              <w:t>91</w:t>
            </w:r>
            <w:r>
              <w:rPr>
                <w:noProof/>
                <w:webHidden/>
              </w:rPr>
              <w:fldChar w:fldCharType="end"/>
            </w:r>
          </w:hyperlink>
        </w:p>
        <w:p w14:paraId="607D43AA" w14:textId="3ACE52AA"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49" w:history="1">
            <w:r w:rsidRPr="00265A01">
              <w:rPr>
                <w:rStyle w:val="a9"/>
                <w:noProof/>
                <w:spacing w:val="-1"/>
                <w:w w:val="113"/>
              </w:rPr>
              <w:t>4.7.1.</w:t>
            </w:r>
            <w:r>
              <w:rPr>
                <w:rFonts w:asciiTheme="minorHAnsi" w:eastAsiaTheme="minorEastAsia" w:hAnsiTheme="minorHAnsi" w:cstheme="minorBidi"/>
                <w:noProof/>
                <w:kern w:val="2"/>
                <w:szCs w:val="22"/>
                <w:lang w:eastAsia="zh-CN"/>
              </w:rPr>
              <w:tab/>
            </w:r>
            <w:r w:rsidRPr="00265A01">
              <w:rPr>
                <w:rStyle w:val="a9"/>
                <w:noProof/>
                <w:w w:val="105"/>
              </w:rPr>
              <w:t xml:space="preserve">The “Spring </w:t>
            </w:r>
            <w:r w:rsidRPr="00265A01">
              <w:rPr>
                <w:rStyle w:val="a9"/>
                <w:noProof/>
                <w:spacing w:val="-6"/>
                <w:w w:val="105"/>
              </w:rPr>
              <w:t xml:space="preserve">Web </w:t>
            </w:r>
            <w:r w:rsidRPr="00265A01">
              <w:rPr>
                <w:rStyle w:val="a9"/>
                <w:noProof/>
                <w:spacing w:val="-3"/>
                <w:w w:val="105"/>
              </w:rPr>
              <w:t>MVC</w:t>
            </w:r>
            <w:r w:rsidRPr="00265A01">
              <w:rPr>
                <w:rStyle w:val="a9"/>
                <w:noProof/>
                <w:spacing w:val="-2"/>
                <w:w w:val="105"/>
              </w:rPr>
              <w:t xml:space="preserve"> </w:t>
            </w:r>
            <w:r w:rsidRPr="00265A01">
              <w:rPr>
                <w:rStyle w:val="a9"/>
                <w:noProof/>
                <w:w w:val="105"/>
              </w:rPr>
              <w:t>Framework”</w:t>
            </w:r>
            <w:r>
              <w:rPr>
                <w:noProof/>
                <w:webHidden/>
              </w:rPr>
              <w:tab/>
            </w:r>
            <w:r>
              <w:rPr>
                <w:noProof/>
                <w:webHidden/>
              </w:rPr>
              <w:fldChar w:fldCharType="begin"/>
            </w:r>
            <w:r>
              <w:rPr>
                <w:noProof/>
                <w:webHidden/>
              </w:rPr>
              <w:instrText xml:space="preserve"> PAGEREF _Toc54423749 \h </w:instrText>
            </w:r>
            <w:r>
              <w:rPr>
                <w:noProof/>
                <w:webHidden/>
              </w:rPr>
            </w:r>
            <w:r>
              <w:rPr>
                <w:noProof/>
                <w:webHidden/>
              </w:rPr>
              <w:fldChar w:fldCharType="separate"/>
            </w:r>
            <w:r>
              <w:rPr>
                <w:noProof/>
                <w:webHidden/>
              </w:rPr>
              <w:t>92</w:t>
            </w:r>
            <w:r>
              <w:rPr>
                <w:noProof/>
                <w:webHidden/>
              </w:rPr>
              <w:fldChar w:fldCharType="end"/>
            </w:r>
          </w:hyperlink>
        </w:p>
        <w:p w14:paraId="4099B623" w14:textId="76DAF7A6"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50" w:history="1">
            <w:r w:rsidRPr="00265A01">
              <w:rPr>
                <w:rStyle w:val="a9"/>
                <w:noProof/>
                <w:spacing w:val="-1"/>
                <w:w w:val="113"/>
              </w:rPr>
              <w:t>4.7.2.</w:t>
            </w:r>
            <w:r>
              <w:rPr>
                <w:rFonts w:asciiTheme="minorHAnsi" w:eastAsiaTheme="minorEastAsia" w:hAnsiTheme="minorHAnsi" w:cstheme="minorBidi"/>
                <w:noProof/>
                <w:kern w:val="2"/>
                <w:szCs w:val="22"/>
                <w:lang w:eastAsia="zh-CN"/>
              </w:rPr>
              <w:tab/>
            </w:r>
            <w:r w:rsidRPr="00265A01">
              <w:rPr>
                <w:rStyle w:val="a9"/>
                <w:noProof/>
                <w:w w:val="110"/>
              </w:rPr>
              <w:t xml:space="preserve">The “Spring </w:t>
            </w:r>
            <w:r w:rsidRPr="00265A01">
              <w:rPr>
                <w:rStyle w:val="a9"/>
                <w:noProof/>
                <w:spacing w:val="-3"/>
                <w:w w:val="110"/>
              </w:rPr>
              <w:t>WebFlux</w:t>
            </w:r>
            <w:r w:rsidRPr="00265A01">
              <w:rPr>
                <w:rStyle w:val="a9"/>
                <w:noProof/>
                <w:spacing w:val="-18"/>
                <w:w w:val="110"/>
              </w:rPr>
              <w:t xml:space="preserve"> </w:t>
            </w:r>
            <w:r w:rsidRPr="00265A01">
              <w:rPr>
                <w:rStyle w:val="a9"/>
                <w:noProof/>
                <w:w w:val="110"/>
              </w:rPr>
              <w:t>Framework”</w:t>
            </w:r>
            <w:r>
              <w:rPr>
                <w:noProof/>
                <w:webHidden/>
              </w:rPr>
              <w:tab/>
            </w:r>
            <w:r>
              <w:rPr>
                <w:noProof/>
                <w:webHidden/>
              </w:rPr>
              <w:fldChar w:fldCharType="begin"/>
            </w:r>
            <w:r>
              <w:rPr>
                <w:noProof/>
                <w:webHidden/>
              </w:rPr>
              <w:instrText xml:space="preserve"> PAGEREF _Toc54423750 \h </w:instrText>
            </w:r>
            <w:r>
              <w:rPr>
                <w:noProof/>
                <w:webHidden/>
              </w:rPr>
            </w:r>
            <w:r>
              <w:rPr>
                <w:noProof/>
                <w:webHidden/>
              </w:rPr>
              <w:fldChar w:fldCharType="separate"/>
            </w:r>
            <w:r>
              <w:rPr>
                <w:noProof/>
                <w:webHidden/>
              </w:rPr>
              <w:t>102</w:t>
            </w:r>
            <w:r>
              <w:rPr>
                <w:noProof/>
                <w:webHidden/>
              </w:rPr>
              <w:fldChar w:fldCharType="end"/>
            </w:r>
          </w:hyperlink>
        </w:p>
        <w:p w14:paraId="63ED2D56" w14:textId="5F19F4E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51" w:history="1">
            <w:r w:rsidRPr="00265A01">
              <w:rPr>
                <w:rStyle w:val="a9"/>
                <w:noProof/>
                <w:spacing w:val="-1"/>
                <w:w w:val="113"/>
              </w:rPr>
              <w:t>4.7.3.</w:t>
            </w:r>
            <w:r>
              <w:rPr>
                <w:rFonts w:asciiTheme="minorHAnsi" w:eastAsiaTheme="minorEastAsia" w:hAnsiTheme="minorHAnsi" w:cstheme="minorBidi"/>
                <w:noProof/>
                <w:kern w:val="2"/>
                <w:szCs w:val="22"/>
                <w:lang w:eastAsia="zh-CN"/>
              </w:rPr>
              <w:tab/>
            </w:r>
            <w:r w:rsidRPr="00265A01">
              <w:rPr>
                <w:rStyle w:val="a9"/>
                <w:noProof/>
                <w:w w:val="105"/>
              </w:rPr>
              <w:t>JAX-RS and</w:t>
            </w:r>
            <w:r w:rsidRPr="00265A01">
              <w:rPr>
                <w:rStyle w:val="a9"/>
                <w:noProof/>
                <w:spacing w:val="-3"/>
                <w:w w:val="105"/>
              </w:rPr>
              <w:t xml:space="preserve"> </w:t>
            </w:r>
            <w:r w:rsidRPr="00265A01">
              <w:rPr>
                <w:rStyle w:val="a9"/>
                <w:noProof/>
                <w:w w:val="105"/>
              </w:rPr>
              <w:t>Jersey</w:t>
            </w:r>
            <w:r>
              <w:rPr>
                <w:noProof/>
                <w:webHidden/>
              </w:rPr>
              <w:tab/>
            </w:r>
            <w:r>
              <w:rPr>
                <w:noProof/>
                <w:webHidden/>
              </w:rPr>
              <w:fldChar w:fldCharType="begin"/>
            </w:r>
            <w:r>
              <w:rPr>
                <w:noProof/>
                <w:webHidden/>
              </w:rPr>
              <w:instrText xml:space="preserve"> PAGEREF _Toc54423751 \h </w:instrText>
            </w:r>
            <w:r>
              <w:rPr>
                <w:noProof/>
                <w:webHidden/>
              </w:rPr>
            </w:r>
            <w:r>
              <w:rPr>
                <w:noProof/>
                <w:webHidden/>
              </w:rPr>
              <w:fldChar w:fldCharType="separate"/>
            </w:r>
            <w:r>
              <w:rPr>
                <w:noProof/>
                <w:webHidden/>
              </w:rPr>
              <w:t>108</w:t>
            </w:r>
            <w:r>
              <w:rPr>
                <w:noProof/>
                <w:webHidden/>
              </w:rPr>
              <w:fldChar w:fldCharType="end"/>
            </w:r>
          </w:hyperlink>
        </w:p>
        <w:p w14:paraId="1CF1272B" w14:textId="5397355C"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52" w:history="1">
            <w:r w:rsidRPr="00265A01">
              <w:rPr>
                <w:rStyle w:val="a9"/>
                <w:noProof/>
                <w:spacing w:val="-1"/>
                <w:w w:val="113"/>
              </w:rPr>
              <w:t>4.7.4.</w:t>
            </w:r>
            <w:r>
              <w:rPr>
                <w:rFonts w:asciiTheme="minorHAnsi" w:eastAsiaTheme="minorEastAsia" w:hAnsiTheme="minorHAnsi" w:cstheme="minorBidi"/>
                <w:noProof/>
                <w:kern w:val="2"/>
                <w:szCs w:val="22"/>
                <w:lang w:eastAsia="zh-CN"/>
              </w:rPr>
              <w:tab/>
            </w:r>
            <w:r w:rsidRPr="00265A01">
              <w:rPr>
                <w:rStyle w:val="a9"/>
                <w:noProof/>
                <w:w w:val="110"/>
              </w:rPr>
              <w:t>Embedded Servlet Container</w:t>
            </w:r>
            <w:r w:rsidRPr="00265A01">
              <w:rPr>
                <w:rStyle w:val="a9"/>
                <w:noProof/>
                <w:spacing w:val="-18"/>
                <w:w w:val="110"/>
              </w:rPr>
              <w:t xml:space="preserve"> </w:t>
            </w:r>
            <w:r w:rsidRPr="00265A01">
              <w:rPr>
                <w:rStyle w:val="a9"/>
                <w:noProof/>
                <w:w w:val="110"/>
              </w:rPr>
              <w:t>Support</w:t>
            </w:r>
            <w:r>
              <w:rPr>
                <w:noProof/>
                <w:webHidden/>
              </w:rPr>
              <w:tab/>
            </w:r>
            <w:r>
              <w:rPr>
                <w:noProof/>
                <w:webHidden/>
              </w:rPr>
              <w:fldChar w:fldCharType="begin"/>
            </w:r>
            <w:r>
              <w:rPr>
                <w:noProof/>
                <w:webHidden/>
              </w:rPr>
              <w:instrText xml:space="preserve"> PAGEREF _Toc54423752 \h </w:instrText>
            </w:r>
            <w:r>
              <w:rPr>
                <w:noProof/>
                <w:webHidden/>
              </w:rPr>
            </w:r>
            <w:r>
              <w:rPr>
                <w:noProof/>
                <w:webHidden/>
              </w:rPr>
              <w:fldChar w:fldCharType="separate"/>
            </w:r>
            <w:r>
              <w:rPr>
                <w:noProof/>
                <w:webHidden/>
              </w:rPr>
              <w:t>110</w:t>
            </w:r>
            <w:r>
              <w:rPr>
                <w:noProof/>
                <w:webHidden/>
              </w:rPr>
              <w:fldChar w:fldCharType="end"/>
            </w:r>
          </w:hyperlink>
        </w:p>
        <w:p w14:paraId="6A7857D0" w14:textId="6F3E66F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53" w:history="1">
            <w:r w:rsidRPr="00265A01">
              <w:rPr>
                <w:rStyle w:val="a9"/>
                <w:noProof/>
                <w:spacing w:val="-1"/>
                <w:w w:val="113"/>
              </w:rPr>
              <w:t>4.7.5.</w:t>
            </w:r>
            <w:r>
              <w:rPr>
                <w:rFonts w:asciiTheme="minorHAnsi" w:eastAsiaTheme="minorEastAsia" w:hAnsiTheme="minorHAnsi" w:cstheme="minorBidi"/>
                <w:noProof/>
                <w:kern w:val="2"/>
                <w:szCs w:val="22"/>
                <w:lang w:eastAsia="zh-CN"/>
              </w:rPr>
              <w:tab/>
            </w:r>
            <w:r w:rsidRPr="00265A01">
              <w:rPr>
                <w:rStyle w:val="a9"/>
                <w:noProof/>
                <w:w w:val="110"/>
              </w:rPr>
              <w:t>Embedded Reactive Server</w:t>
            </w:r>
            <w:r w:rsidRPr="00265A01">
              <w:rPr>
                <w:rStyle w:val="a9"/>
                <w:noProof/>
                <w:spacing w:val="-16"/>
                <w:w w:val="110"/>
              </w:rPr>
              <w:t xml:space="preserve"> </w:t>
            </w:r>
            <w:r w:rsidRPr="00265A01">
              <w:rPr>
                <w:rStyle w:val="a9"/>
                <w:noProof/>
                <w:w w:val="110"/>
              </w:rPr>
              <w:t>Support</w:t>
            </w:r>
            <w:r>
              <w:rPr>
                <w:noProof/>
                <w:webHidden/>
              </w:rPr>
              <w:tab/>
            </w:r>
            <w:r>
              <w:rPr>
                <w:noProof/>
                <w:webHidden/>
              </w:rPr>
              <w:fldChar w:fldCharType="begin"/>
            </w:r>
            <w:r>
              <w:rPr>
                <w:noProof/>
                <w:webHidden/>
              </w:rPr>
              <w:instrText xml:space="preserve"> PAGEREF _Toc54423753 \h </w:instrText>
            </w:r>
            <w:r>
              <w:rPr>
                <w:noProof/>
                <w:webHidden/>
              </w:rPr>
            </w:r>
            <w:r>
              <w:rPr>
                <w:noProof/>
                <w:webHidden/>
              </w:rPr>
              <w:fldChar w:fldCharType="separate"/>
            </w:r>
            <w:r>
              <w:rPr>
                <w:noProof/>
                <w:webHidden/>
              </w:rPr>
              <w:t>113</w:t>
            </w:r>
            <w:r>
              <w:rPr>
                <w:noProof/>
                <w:webHidden/>
              </w:rPr>
              <w:fldChar w:fldCharType="end"/>
            </w:r>
          </w:hyperlink>
        </w:p>
        <w:p w14:paraId="25CDB36F" w14:textId="6510AA6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54" w:history="1">
            <w:r w:rsidRPr="00265A01">
              <w:rPr>
                <w:rStyle w:val="a9"/>
                <w:noProof/>
                <w:spacing w:val="-1"/>
                <w:w w:val="113"/>
              </w:rPr>
              <w:t>4.7.6.</w:t>
            </w:r>
            <w:r>
              <w:rPr>
                <w:rFonts w:asciiTheme="minorHAnsi" w:eastAsiaTheme="minorEastAsia" w:hAnsiTheme="minorHAnsi" w:cstheme="minorBidi"/>
                <w:noProof/>
                <w:kern w:val="2"/>
                <w:szCs w:val="22"/>
                <w:lang w:eastAsia="zh-CN"/>
              </w:rPr>
              <w:tab/>
            </w:r>
            <w:r w:rsidRPr="00265A01">
              <w:rPr>
                <w:rStyle w:val="a9"/>
                <w:noProof/>
                <w:w w:val="110"/>
              </w:rPr>
              <w:t>Reactive Server Resources</w:t>
            </w:r>
            <w:r w:rsidRPr="00265A01">
              <w:rPr>
                <w:rStyle w:val="a9"/>
                <w:noProof/>
                <w:spacing w:val="-14"/>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_Toc54423754 \h </w:instrText>
            </w:r>
            <w:r>
              <w:rPr>
                <w:noProof/>
                <w:webHidden/>
              </w:rPr>
            </w:r>
            <w:r>
              <w:rPr>
                <w:noProof/>
                <w:webHidden/>
              </w:rPr>
              <w:fldChar w:fldCharType="separate"/>
            </w:r>
            <w:r>
              <w:rPr>
                <w:noProof/>
                <w:webHidden/>
              </w:rPr>
              <w:t>113</w:t>
            </w:r>
            <w:r>
              <w:rPr>
                <w:noProof/>
                <w:webHidden/>
              </w:rPr>
              <w:fldChar w:fldCharType="end"/>
            </w:r>
          </w:hyperlink>
        </w:p>
        <w:p w14:paraId="5F69803D" w14:textId="643E514D"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55" w:history="1">
            <w:r w:rsidRPr="00265A01">
              <w:rPr>
                <w:rStyle w:val="a9"/>
                <w:noProof/>
                <w:spacing w:val="-1"/>
                <w:w w:val="113"/>
              </w:rPr>
              <w:t>4.8.</w:t>
            </w:r>
            <w:r>
              <w:rPr>
                <w:rFonts w:asciiTheme="minorHAnsi" w:eastAsiaTheme="minorEastAsia" w:hAnsiTheme="minorHAnsi" w:cstheme="minorBidi"/>
                <w:noProof/>
                <w:kern w:val="2"/>
                <w:szCs w:val="22"/>
                <w:lang w:eastAsia="zh-CN"/>
              </w:rPr>
              <w:tab/>
            </w:r>
            <w:r w:rsidRPr="00265A01">
              <w:rPr>
                <w:rStyle w:val="a9"/>
                <w:noProof/>
                <w:w w:val="110"/>
              </w:rPr>
              <w:t>Graceful</w:t>
            </w:r>
            <w:r w:rsidRPr="00265A01">
              <w:rPr>
                <w:rStyle w:val="a9"/>
                <w:noProof/>
                <w:spacing w:val="-7"/>
                <w:w w:val="110"/>
              </w:rPr>
              <w:t xml:space="preserve"> </w:t>
            </w:r>
            <w:r w:rsidRPr="00265A01">
              <w:rPr>
                <w:rStyle w:val="a9"/>
                <w:noProof/>
                <w:w w:val="110"/>
              </w:rPr>
              <w:t>shutdown</w:t>
            </w:r>
            <w:r>
              <w:rPr>
                <w:noProof/>
                <w:webHidden/>
              </w:rPr>
              <w:tab/>
            </w:r>
            <w:r>
              <w:rPr>
                <w:noProof/>
                <w:webHidden/>
              </w:rPr>
              <w:fldChar w:fldCharType="begin"/>
            </w:r>
            <w:r>
              <w:rPr>
                <w:noProof/>
                <w:webHidden/>
              </w:rPr>
              <w:instrText xml:space="preserve"> PAGEREF _Toc54423755 \h </w:instrText>
            </w:r>
            <w:r>
              <w:rPr>
                <w:noProof/>
                <w:webHidden/>
              </w:rPr>
            </w:r>
            <w:r>
              <w:rPr>
                <w:noProof/>
                <w:webHidden/>
              </w:rPr>
              <w:fldChar w:fldCharType="separate"/>
            </w:r>
            <w:r>
              <w:rPr>
                <w:noProof/>
                <w:webHidden/>
              </w:rPr>
              <w:t>113</w:t>
            </w:r>
            <w:r>
              <w:rPr>
                <w:noProof/>
                <w:webHidden/>
              </w:rPr>
              <w:fldChar w:fldCharType="end"/>
            </w:r>
          </w:hyperlink>
        </w:p>
        <w:p w14:paraId="6D6998F9" w14:textId="16E77980"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56" w:history="1">
            <w:r w:rsidRPr="00265A01">
              <w:rPr>
                <w:rStyle w:val="a9"/>
                <w:noProof/>
                <w:spacing w:val="-1"/>
                <w:w w:val="113"/>
              </w:rPr>
              <w:t>4.9.</w:t>
            </w:r>
            <w:r>
              <w:rPr>
                <w:rFonts w:asciiTheme="minorHAnsi" w:eastAsiaTheme="minorEastAsia" w:hAnsiTheme="minorHAnsi" w:cstheme="minorBidi"/>
                <w:noProof/>
                <w:kern w:val="2"/>
                <w:szCs w:val="22"/>
                <w:lang w:eastAsia="zh-CN"/>
              </w:rPr>
              <w:tab/>
            </w:r>
            <w:r w:rsidRPr="00265A01">
              <w:rPr>
                <w:rStyle w:val="a9"/>
                <w:noProof/>
                <w:w w:val="110"/>
              </w:rPr>
              <w:t>RSocket</w:t>
            </w:r>
            <w:r>
              <w:rPr>
                <w:noProof/>
                <w:webHidden/>
              </w:rPr>
              <w:tab/>
            </w:r>
            <w:r>
              <w:rPr>
                <w:noProof/>
                <w:webHidden/>
              </w:rPr>
              <w:fldChar w:fldCharType="begin"/>
            </w:r>
            <w:r>
              <w:rPr>
                <w:noProof/>
                <w:webHidden/>
              </w:rPr>
              <w:instrText xml:space="preserve"> PAGEREF _Toc54423756 \h </w:instrText>
            </w:r>
            <w:r>
              <w:rPr>
                <w:noProof/>
                <w:webHidden/>
              </w:rPr>
            </w:r>
            <w:r>
              <w:rPr>
                <w:noProof/>
                <w:webHidden/>
              </w:rPr>
              <w:fldChar w:fldCharType="separate"/>
            </w:r>
            <w:r>
              <w:rPr>
                <w:noProof/>
                <w:webHidden/>
              </w:rPr>
              <w:t>114</w:t>
            </w:r>
            <w:r>
              <w:rPr>
                <w:noProof/>
                <w:webHidden/>
              </w:rPr>
              <w:fldChar w:fldCharType="end"/>
            </w:r>
          </w:hyperlink>
        </w:p>
        <w:p w14:paraId="071E691E" w14:textId="030A121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57" w:history="1">
            <w:r w:rsidRPr="00265A01">
              <w:rPr>
                <w:rStyle w:val="a9"/>
                <w:noProof/>
                <w:spacing w:val="-1"/>
                <w:w w:val="113"/>
              </w:rPr>
              <w:t>4.9.1.</w:t>
            </w:r>
            <w:r>
              <w:rPr>
                <w:rFonts w:asciiTheme="minorHAnsi" w:eastAsiaTheme="minorEastAsia" w:hAnsiTheme="minorHAnsi" w:cstheme="minorBidi"/>
                <w:noProof/>
                <w:kern w:val="2"/>
                <w:szCs w:val="22"/>
                <w:lang w:eastAsia="zh-CN"/>
              </w:rPr>
              <w:tab/>
            </w:r>
            <w:r w:rsidRPr="00265A01">
              <w:rPr>
                <w:rStyle w:val="a9"/>
                <w:noProof/>
                <w:w w:val="110"/>
              </w:rPr>
              <w:t>RSocket Strategies</w:t>
            </w:r>
            <w:r w:rsidRPr="00265A01">
              <w:rPr>
                <w:rStyle w:val="a9"/>
                <w:noProof/>
                <w:spacing w:val="-12"/>
                <w:w w:val="110"/>
              </w:rPr>
              <w:t xml:space="preserve"> </w:t>
            </w:r>
            <w:r w:rsidRPr="00265A01">
              <w:rPr>
                <w:rStyle w:val="a9"/>
                <w:noProof/>
                <w:w w:val="110"/>
              </w:rPr>
              <w:t>Auto-configuration</w:t>
            </w:r>
            <w:r>
              <w:rPr>
                <w:noProof/>
                <w:webHidden/>
              </w:rPr>
              <w:tab/>
            </w:r>
            <w:r>
              <w:rPr>
                <w:noProof/>
                <w:webHidden/>
              </w:rPr>
              <w:fldChar w:fldCharType="begin"/>
            </w:r>
            <w:r>
              <w:rPr>
                <w:noProof/>
                <w:webHidden/>
              </w:rPr>
              <w:instrText xml:space="preserve"> PAGEREF _Toc54423757 \h </w:instrText>
            </w:r>
            <w:r>
              <w:rPr>
                <w:noProof/>
                <w:webHidden/>
              </w:rPr>
            </w:r>
            <w:r>
              <w:rPr>
                <w:noProof/>
                <w:webHidden/>
              </w:rPr>
              <w:fldChar w:fldCharType="separate"/>
            </w:r>
            <w:r>
              <w:rPr>
                <w:noProof/>
                <w:webHidden/>
              </w:rPr>
              <w:t>114</w:t>
            </w:r>
            <w:r>
              <w:rPr>
                <w:noProof/>
                <w:webHidden/>
              </w:rPr>
              <w:fldChar w:fldCharType="end"/>
            </w:r>
          </w:hyperlink>
        </w:p>
        <w:p w14:paraId="34B363AA" w14:textId="48F365F9"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58" w:history="1">
            <w:r w:rsidRPr="00265A01">
              <w:rPr>
                <w:rStyle w:val="a9"/>
                <w:noProof/>
                <w:spacing w:val="-1"/>
                <w:w w:val="113"/>
              </w:rPr>
              <w:t>4.9.2.</w:t>
            </w:r>
            <w:r>
              <w:rPr>
                <w:rFonts w:asciiTheme="minorHAnsi" w:eastAsiaTheme="minorEastAsia" w:hAnsiTheme="minorHAnsi" w:cstheme="minorBidi"/>
                <w:noProof/>
                <w:kern w:val="2"/>
                <w:szCs w:val="22"/>
                <w:lang w:eastAsia="zh-CN"/>
              </w:rPr>
              <w:tab/>
            </w:r>
            <w:r w:rsidRPr="00265A01">
              <w:rPr>
                <w:rStyle w:val="a9"/>
                <w:noProof/>
                <w:w w:val="110"/>
              </w:rPr>
              <w:t>RSocket server</w:t>
            </w:r>
            <w:r w:rsidRPr="00265A01">
              <w:rPr>
                <w:rStyle w:val="a9"/>
                <w:noProof/>
                <w:spacing w:val="-12"/>
                <w:w w:val="110"/>
              </w:rPr>
              <w:t xml:space="preserve"> </w:t>
            </w:r>
            <w:r w:rsidRPr="00265A01">
              <w:rPr>
                <w:rStyle w:val="a9"/>
                <w:noProof/>
                <w:w w:val="110"/>
              </w:rPr>
              <w:t>Auto-configuration</w:t>
            </w:r>
            <w:r>
              <w:rPr>
                <w:noProof/>
                <w:webHidden/>
              </w:rPr>
              <w:tab/>
            </w:r>
            <w:r>
              <w:rPr>
                <w:noProof/>
                <w:webHidden/>
              </w:rPr>
              <w:fldChar w:fldCharType="begin"/>
            </w:r>
            <w:r>
              <w:rPr>
                <w:noProof/>
                <w:webHidden/>
              </w:rPr>
              <w:instrText xml:space="preserve"> PAGEREF _Toc54423758 \h </w:instrText>
            </w:r>
            <w:r>
              <w:rPr>
                <w:noProof/>
                <w:webHidden/>
              </w:rPr>
            </w:r>
            <w:r>
              <w:rPr>
                <w:noProof/>
                <w:webHidden/>
              </w:rPr>
              <w:fldChar w:fldCharType="separate"/>
            </w:r>
            <w:r>
              <w:rPr>
                <w:noProof/>
                <w:webHidden/>
              </w:rPr>
              <w:t>114</w:t>
            </w:r>
            <w:r>
              <w:rPr>
                <w:noProof/>
                <w:webHidden/>
              </w:rPr>
              <w:fldChar w:fldCharType="end"/>
            </w:r>
          </w:hyperlink>
        </w:p>
        <w:p w14:paraId="61033A56" w14:textId="7CEB858C"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59" w:history="1">
            <w:r w:rsidRPr="00265A01">
              <w:rPr>
                <w:rStyle w:val="a9"/>
                <w:noProof/>
                <w:spacing w:val="-1"/>
                <w:w w:val="113"/>
              </w:rPr>
              <w:t>4.9.3.</w:t>
            </w:r>
            <w:r>
              <w:rPr>
                <w:rFonts w:asciiTheme="minorHAnsi" w:eastAsiaTheme="minorEastAsia" w:hAnsiTheme="minorHAnsi" w:cstheme="minorBidi"/>
                <w:noProof/>
                <w:kern w:val="2"/>
                <w:szCs w:val="22"/>
                <w:lang w:eastAsia="zh-CN"/>
              </w:rPr>
              <w:tab/>
            </w:r>
            <w:r w:rsidRPr="00265A01">
              <w:rPr>
                <w:rStyle w:val="a9"/>
                <w:noProof/>
                <w:w w:val="110"/>
              </w:rPr>
              <w:t>Spring Messaging RSocket</w:t>
            </w:r>
            <w:r w:rsidRPr="00265A01">
              <w:rPr>
                <w:rStyle w:val="a9"/>
                <w:noProof/>
                <w:spacing w:val="-20"/>
                <w:w w:val="110"/>
              </w:rPr>
              <w:t xml:space="preserve"> </w:t>
            </w:r>
            <w:r w:rsidRPr="00265A01">
              <w:rPr>
                <w:rStyle w:val="a9"/>
                <w:noProof/>
                <w:w w:val="110"/>
              </w:rPr>
              <w:t>support</w:t>
            </w:r>
            <w:r>
              <w:rPr>
                <w:noProof/>
                <w:webHidden/>
              </w:rPr>
              <w:tab/>
            </w:r>
            <w:r>
              <w:rPr>
                <w:noProof/>
                <w:webHidden/>
              </w:rPr>
              <w:fldChar w:fldCharType="begin"/>
            </w:r>
            <w:r>
              <w:rPr>
                <w:noProof/>
                <w:webHidden/>
              </w:rPr>
              <w:instrText xml:space="preserve"> PAGEREF _Toc54423759 \h </w:instrText>
            </w:r>
            <w:r>
              <w:rPr>
                <w:noProof/>
                <w:webHidden/>
              </w:rPr>
            </w:r>
            <w:r>
              <w:rPr>
                <w:noProof/>
                <w:webHidden/>
              </w:rPr>
              <w:fldChar w:fldCharType="separate"/>
            </w:r>
            <w:r>
              <w:rPr>
                <w:noProof/>
                <w:webHidden/>
              </w:rPr>
              <w:t>115</w:t>
            </w:r>
            <w:r>
              <w:rPr>
                <w:noProof/>
                <w:webHidden/>
              </w:rPr>
              <w:fldChar w:fldCharType="end"/>
            </w:r>
          </w:hyperlink>
        </w:p>
        <w:p w14:paraId="53E1DD51" w14:textId="5D2F753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760" w:history="1">
            <w:r w:rsidRPr="00265A01">
              <w:rPr>
                <w:rStyle w:val="a9"/>
                <w:noProof/>
                <w:spacing w:val="-1"/>
                <w:w w:val="113"/>
              </w:rPr>
              <w:t>4.9.4.</w:t>
            </w:r>
            <w:r>
              <w:rPr>
                <w:rFonts w:asciiTheme="minorHAnsi" w:eastAsiaTheme="minorEastAsia" w:hAnsiTheme="minorHAnsi" w:cstheme="minorBidi"/>
                <w:noProof/>
                <w:kern w:val="2"/>
                <w:szCs w:val="22"/>
                <w:lang w:eastAsia="zh-CN"/>
              </w:rPr>
              <w:tab/>
            </w:r>
            <w:r w:rsidRPr="00265A01">
              <w:rPr>
                <w:rStyle w:val="a9"/>
                <w:noProof/>
                <w:w w:val="110"/>
              </w:rPr>
              <w:t>Calling RSocket Services with</w:t>
            </w:r>
            <w:r w:rsidRPr="00265A01">
              <w:rPr>
                <w:rStyle w:val="a9"/>
                <w:noProof/>
                <w:spacing w:val="-31"/>
                <w:w w:val="110"/>
              </w:rPr>
              <w:t xml:space="preserve"> </w:t>
            </w:r>
            <w:r w:rsidRPr="00265A01">
              <w:rPr>
                <w:rStyle w:val="a9"/>
                <w:noProof/>
                <w:w w:val="110"/>
              </w:rPr>
              <w:t>RSocketRequester</w:t>
            </w:r>
            <w:r>
              <w:rPr>
                <w:noProof/>
                <w:webHidden/>
              </w:rPr>
              <w:tab/>
            </w:r>
            <w:r>
              <w:rPr>
                <w:noProof/>
                <w:webHidden/>
              </w:rPr>
              <w:fldChar w:fldCharType="begin"/>
            </w:r>
            <w:r>
              <w:rPr>
                <w:noProof/>
                <w:webHidden/>
              </w:rPr>
              <w:instrText xml:space="preserve"> PAGEREF _Toc54423760 \h </w:instrText>
            </w:r>
            <w:r>
              <w:rPr>
                <w:noProof/>
                <w:webHidden/>
              </w:rPr>
            </w:r>
            <w:r>
              <w:rPr>
                <w:noProof/>
                <w:webHidden/>
              </w:rPr>
              <w:fldChar w:fldCharType="separate"/>
            </w:r>
            <w:r>
              <w:rPr>
                <w:noProof/>
                <w:webHidden/>
              </w:rPr>
              <w:t>115</w:t>
            </w:r>
            <w:r>
              <w:rPr>
                <w:noProof/>
                <w:webHidden/>
              </w:rPr>
              <w:fldChar w:fldCharType="end"/>
            </w:r>
          </w:hyperlink>
        </w:p>
        <w:p w14:paraId="1AF451BB" w14:textId="11627CA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61" w:history="1">
            <w:r w:rsidRPr="00265A01">
              <w:rPr>
                <w:rStyle w:val="a9"/>
                <w:noProof/>
                <w:spacing w:val="-1"/>
                <w:w w:val="113"/>
              </w:rPr>
              <w:t>4.10.</w:t>
            </w:r>
            <w:r>
              <w:rPr>
                <w:rFonts w:asciiTheme="minorHAnsi" w:eastAsiaTheme="minorEastAsia" w:hAnsiTheme="minorHAnsi" w:cstheme="minorBidi"/>
                <w:noProof/>
                <w:kern w:val="2"/>
                <w:szCs w:val="22"/>
                <w:lang w:eastAsia="zh-CN"/>
              </w:rPr>
              <w:tab/>
            </w:r>
            <w:r w:rsidRPr="00265A01">
              <w:rPr>
                <w:rStyle w:val="a9"/>
                <w:noProof/>
                <w:w w:val="110"/>
              </w:rPr>
              <w:t>Security</w:t>
            </w:r>
            <w:r>
              <w:rPr>
                <w:noProof/>
                <w:webHidden/>
              </w:rPr>
              <w:tab/>
            </w:r>
            <w:r>
              <w:rPr>
                <w:noProof/>
                <w:webHidden/>
              </w:rPr>
              <w:fldChar w:fldCharType="begin"/>
            </w:r>
            <w:r>
              <w:rPr>
                <w:noProof/>
                <w:webHidden/>
              </w:rPr>
              <w:instrText xml:space="preserve"> PAGEREF _Toc54423761 \h </w:instrText>
            </w:r>
            <w:r>
              <w:rPr>
                <w:noProof/>
                <w:webHidden/>
              </w:rPr>
            </w:r>
            <w:r>
              <w:rPr>
                <w:noProof/>
                <w:webHidden/>
              </w:rPr>
              <w:fldChar w:fldCharType="separate"/>
            </w:r>
            <w:r>
              <w:rPr>
                <w:noProof/>
                <w:webHidden/>
              </w:rPr>
              <w:t>116</w:t>
            </w:r>
            <w:r>
              <w:rPr>
                <w:noProof/>
                <w:webHidden/>
              </w:rPr>
              <w:fldChar w:fldCharType="end"/>
            </w:r>
          </w:hyperlink>
        </w:p>
        <w:p w14:paraId="29F03C97" w14:textId="5AF329A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62" w:history="1">
            <w:r w:rsidRPr="00265A01">
              <w:rPr>
                <w:rStyle w:val="a9"/>
                <w:noProof/>
                <w:spacing w:val="-1"/>
                <w:w w:val="113"/>
              </w:rPr>
              <w:t>4.10.1.</w:t>
            </w:r>
            <w:r>
              <w:rPr>
                <w:rFonts w:asciiTheme="minorHAnsi" w:eastAsiaTheme="minorEastAsia" w:hAnsiTheme="minorHAnsi" w:cstheme="minorBidi"/>
                <w:noProof/>
                <w:kern w:val="2"/>
                <w:szCs w:val="22"/>
                <w:lang w:eastAsia="zh-CN"/>
              </w:rPr>
              <w:tab/>
            </w:r>
            <w:r w:rsidRPr="00265A01">
              <w:rPr>
                <w:rStyle w:val="a9"/>
                <w:noProof/>
                <w:spacing w:val="-3"/>
                <w:w w:val="105"/>
              </w:rPr>
              <w:t xml:space="preserve">MVC </w:t>
            </w:r>
            <w:r w:rsidRPr="00265A01">
              <w:rPr>
                <w:rStyle w:val="a9"/>
                <w:noProof/>
                <w:w w:val="105"/>
              </w:rPr>
              <w:t>Security</w:t>
            </w:r>
            <w:r>
              <w:rPr>
                <w:noProof/>
                <w:webHidden/>
              </w:rPr>
              <w:tab/>
            </w:r>
            <w:r>
              <w:rPr>
                <w:noProof/>
                <w:webHidden/>
              </w:rPr>
              <w:fldChar w:fldCharType="begin"/>
            </w:r>
            <w:r>
              <w:rPr>
                <w:noProof/>
                <w:webHidden/>
              </w:rPr>
              <w:instrText xml:space="preserve"> PAGEREF _Toc54423762 \h </w:instrText>
            </w:r>
            <w:r>
              <w:rPr>
                <w:noProof/>
                <w:webHidden/>
              </w:rPr>
            </w:r>
            <w:r>
              <w:rPr>
                <w:noProof/>
                <w:webHidden/>
              </w:rPr>
              <w:fldChar w:fldCharType="separate"/>
            </w:r>
            <w:r>
              <w:rPr>
                <w:noProof/>
                <w:webHidden/>
              </w:rPr>
              <w:t>117</w:t>
            </w:r>
            <w:r>
              <w:rPr>
                <w:noProof/>
                <w:webHidden/>
              </w:rPr>
              <w:fldChar w:fldCharType="end"/>
            </w:r>
          </w:hyperlink>
        </w:p>
        <w:p w14:paraId="0051358A" w14:textId="62BDA80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63" w:history="1">
            <w:r w:rsidRPr="00265A01">
              <w:rPr>
                <w:rStyle w:val="a9"/>
                <w:noProof/>
                <w:spacing w:val="-1"/>
                <w:w w:val="113"/>
              </w:rPr>
              <w:t>4.10.2.</w:t>
            </w:r>
            <w:r>
              <w:rPr>
                <w:rFonts w:asciiTheme="minorHAnsi" w:eastAsiaTheme="minorEastAsia" w:hAnsiTheme="minorHAnsi" w:cstheme="minorBidi"/>
                <w:noProof/>
                <w:kern w:val="2"/>
                <w:szCs w:val="22"/>
                <w:lang w:eastAsia="zh-CN"/>
              </w:rPr>
              <w:tab/>
            </w:r>
            <w:r w:rsidRPr="00265A01">
              <w:rPr>
                <w:rStyle w:val="a9"/>
                <w:noProof/>
                <w:spacing w:val="-3"/>
                <w:w w:val="110"/>
              </w:rPr>
              <w:t>WebFlux</w:t>
            </w:r>
            <w:r w:rsidRPr="00265A01">
              <w:rPr>
                <w:rStyle w:val="a9"/>
                <w:noProof/>
                <w:spacing w:val="-6"/>
                <w:w w:val="110"/>
              </w:rPr>
              <w:t xml:space="preserve"> </w:t>
            </w:r>
            <w:r w:rsidRPr="00265A01">
              <w:rPr>
                <w:rStyle w:val="a9"/>
                <w:noProof/>
                <w:w w:val="110"/>
              </w:rPr>
              <w:t>Security</w:t>
            </w:r>
            <w:r>
              <w:rPr>
                <w:noProof/>
                <w:webHidden/>
              </w:rPr>
              <w:tab/>
            </w:r>
            <w:r>
              <w:rPr>
                <w:noProof/>
                <w:webHidden/>
              </w:rPr>
              <w:fldChar w:fldCharType="begin"/>
            </w:r>
            <w:r>
              <w:rPr>
                <w:noProof/>
                <w:webHidden/>
              </w:rPr>
              <w:instrText xml:space="preserve"> PAGEREF _Toc54423763 \h </w:instrText>
            </w:r>
            <w:r>
              <w:rPr>
                <w:noProof/>
                <w:webHidden/>
              </w:rPr>
            </w:r>
            <w:r>
              <w:rPr>
                <w:noProof/>
                <w:webHidden/>
              </w:rPr>
              <w:fldChar w:fldCharType="separate"/>
            </w:r>
            <w:r>
              <w:rPr>
                <w:noProof/>
                <w:webHidden/>
              </w:rPr>
              <w:t>117</w:t>
            </w:r>
            <w:r>
              <w:rPr>
                <w:noProof/>
                <w:webHidden/>
              </w:rPr>
              <w:fldChar w:fldCharType="end"/>
            </w:r>
          </w:hyperlink>
        </w:p>
        <w:p w14:paraId="467FA9F4" w14:textId="3F2EA616"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64" w:history="1">
            <w:r w:rsidRPr="00265A01">
              <w:rPr>
                <w:rStyle w:val="a9"/>
                <w:noProof/>
                <w:spacing w:val="-1"/>
                <w:w w:val="113"/>
              </w:rPr>
              <w:t>4.10.3.</w:t>
            </w:r>
            <w:r>
              <w:rPr>
                <w:rFonts w:asciiTheme="minorHAnsi" w:eastAsiaTheme="minorEastAsia" w:hAnsiTheme="minorHAnsi" w:cstheme="minorBidi"/>
                <w:noProof/>
                <w:kern w:val="2"/>
                <w:szCs w:val="22"/>
                <w:lang w:eastAsia="zh-CN"/>
              </w:rPr>
              <w:tab/>
            </w:r>
            <w:r w:rsidRPr="00265A01">
              <w:rPr>
                <w:rStyle w:val="a9"/>
                <w:noProof/>
                <w:spacing w:val="-3"/>
                <w:w w:val="105"/>
              </w:rPr>
              <w:t>OAuth2</w:t>
            </w:r>
            <w:r>
              <w:rPr>
                <w:noProof/>
                <w:webHidden/>
              </w:rPr>
              <w:tab/>
            </w:r>
            <w:r>
              <w:rPr>
                <w:noProof/>
                <w:webHidden/>
              </w:rPr>
              <w:fldChar w:fldCharType="begin"/>
            </w:r>
            <w:r>
              <w:rPr>
                <w:noProof/>
                <w:webHidden/>
              </w:rPr>
              <w:instrText xml:space="preserve"> PAGEREF _Toc54423764 \h </w:instrText>
            </w:r>
            <w:r>
              <w:rPr>
                <w:noProof/>
                <w:webHidden/>
              </w:rPr>
            </w:r>
            <w:r>
              <w:rPr>
                <w:noProof/>
                <w:webHidden/>
              </w:rPr>
              <w:fldChar w:fldCharType="separate"/>
            </w:r>
            <w:r>
              <w:rPr>
                <w:noProof/>
                <w:webHidden/>
              </w:rPr>
              <w:t>118</w:t>
            </w:r>
            <w:r>
              <w:rPr>
                <w:noProof/>
                <w:webHidden/>
              </w:rPr>
              <w:fldChar w:fldCharType="end"/>
            </w:r>
          </w:hyperlink>
        </w:p>
        <w:p w14:paraId="2AA7BFAC" w14:textId="61FADBD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65" w:history="1">
            <w:r w:rsidRPr="00265A01">
              <w:rPr>
                <w:rStyle w:val="a9"/>
                <w:noProof/>
                <w:spacing w:val="-1"/>
                <w:w w:val="113"/>
              </w:rPr>
              <w:t>4.10.4.</w:t>
            </w:r>
            <w:r>
              <w:rPr>
                <w:rFonts w:asciiTheme="minorHAnsi" w:eastAsiaTheme="minorEastAsia" w:hAnsiTheme="minorHAnsi" w:cstheme="minorBidi"/>
                <w:noProof/>
                <w:kern w:val="2"/>
                <w:szCs w:val="22"/>
                <w:lang w:eastAsia="zh-CN"/>
              </w:rPr>
              <w:tab/>
            </w:r>
            <w:r w:rsidRPr="00265A01">
              <w:rPr>
                <w:rStyle w:val="a9"/>
                <w:noProof/>
                <w:w w:val="105"/>
              </w:rPr>
              <w:t>SAML</w:t>
            </w:r>
            <w:r w:rsidRPr="00265A01">
              <w:rPr>
                <w:rStyle w:val="a9"/>
                <w:noProof/>
                <w:spacing w:val="-3"/>
                <w:w w:val="105"/>
              </w:rPr>
              <w:t xml:space="preserve"> </w:t>
            </w:r>
            <w:r w:rsidRPr="00265A01">
              <w:rPr>
                <w:rStyle w:val="a9"/>
                <w:noProof/>
                <w:w w:val="105"/>
              </w:rPr>
              <w:t>2.0</w:t>
            </w:r>
            <w:r>
              <w:rPr>
                <w:noProof/>
                <w:webHidden/>
              </w:rPr>
              <w:tab/>
            </w:r>
            <w:r>
              <w:rPr>
                <w:noProof/>
                <w:webHidden/>
              </w:rPr>
              <w:fldChar w:fldCharType="begin"/>
            </w:r>
            <w:r>
              <w:rPr>
                <w:noProof/>
                <w:webHidden/>
              </w:rPr>
              <w:instrText xml:space="preserve"> PAGEREF _Toc54423765 \h </w:instrText>
            </w:r>
            <w:r>
              <w:rPr>
                <w:noProof/>
                <w:webHidden/>
              </w:rPr>
            </w:r>
            <w:r>
              <w:rPr>
                <w:noProof/>
                <w:webHidden/>
              </w:rPr>
              <w:fldChar w:fldCharType="separate"/>
            </w:r>
            <w:r>
              <w:rPr>
                <w:noProof/>
                <w:webHidden/>
              </w:rPr>
              <w:t>121</w:t>
            </w:r>
            <w:r>
              <w:rPr>
                <w:noProof/>
                <w:webHidden/>
              </w:rPr>
              <w:fldChar w:fldCharType="end"/>
            </w:r>
          </w:hyperlink>
        </w:p>
        <w:p w14:paraId="0070FD09" w14:textId="34A3E4E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66" w:history="1">
            <w:r w:rsidRPr="00265A01">
              <w:rPr>
                <w:rStyle w:val="a9"/>
                <w:noProof/>
                <w:spacing w:val="-1"/>
                <w:w w:val="113"/>
              </w:rPr>
              <w:t>4.10.5.</w:t>
            </w:r>
            <w:r>
              <w:rPr>
                <w:rFonts w:asciiTheme="minorHAnsi" w:eastAsiaTheme="minorEastAsia" w:hAnsiTheme="minorHAnsi" w:cstheme="minorBidi"/>
                <w:noProof/>
                <w:kern w:val="2"/>
                <w:szCs w:val="22"/>
                <w:lang w:eastAsia="zh-CN"/>
              </w:rPr>
              <w:tab/>
            </w:r>
            <w:r w:rsidRPr="00265A01">
              <w:rPr>
                <w:rStyle w:val="a9"/>
                <w:noProof/>
                <w:w w:val="115"/>
              </w:rPr>
              <w:t>Actuator</w:t>
            </w:r>
            <w:r w:rsidRPr="00265A01">
              <w:rPr>
                <w:rStyle w:val="a9"/>
                <w:noProof/>
                <w:spacing w:val="-10"/>
                <w:w w:val="115"/>
              </w:rPr>
              <w:t xml:space="preserve"> </w:t>
            </w:r>
            <w:r w:rsidRPr="00265A01">
              <w:rPr>
                <w:rStyle w:val="a9"/>
                <w:noProof/>
                <w:w w:val="115"/>
              </w:rPr>
              <w:t>Security</w:t>
            </w:r>
            <w:r>
              <w:rPr>
                <w:noProof/>
                <w:webHidden/>
              </w:rPr>
              <w:tab/>
            </w:r>
            <w:r>
              <w:rPr>
                <w:noProof/>
                <w:webHidden/>
              </w:rPr>
              <w:fldChar w:fldCharType="begin"/>
            </w:r>
            <w:r>
              <w:rPr>
                <w:noProof/>
                <w:webHidden/>
              </w:rPr>
              <w:instrText xml:space="preserve"> PAGEREF _Toc54423766 \h </w:instrText>
            </w:r>
            <w:r>
              <w:rPr>
                <w:noProof/>
                <w:webHidden/>
              </w:rPr>
            </w:r>
            <w:r>
              <w:rPr>
                <w:noProof/>
                <w:webHidden/>
              </w:rPr>
              <w:fldChar w:fldCharType="separate"/>
            </w:r>
            <w:r>
              <w:rPr>
                <w:noProof/>
                <w:webHidden/>
              </w:rPr>
              <w:t>122</w:t>
            </w:r>
            <w:r>
              <w:rPr>
                <w:noProof/>
                <w:webHidden/>
              </w:rPr>
              <w:fldChar w:fldCharType="end"/>
            </w:r>
          </w:hyperlink>
        </w:p>
        <w:p w14:paraId="09A7E3B1" w14:textId="32F5B078"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67" w:history="1">
            <w:r w:rsidRPr="00265A01">
              <w:rPr>
                <w:rStyle w:val="a9"/>
                <w:noProof/>
                <w:spacing w:val="-1"/>
                <w:w w:val="113"/>
              </w:rPr>
              <w:t>4.11.</w:t>
            </w:r>
            <w:r>
              <w:rPr>
                <w:rFonts w:asciiTheme="minorHAnsi" w:eastAsiaTheme="minorEastAsia" w:hAnsiTheme="minorHAnsi" w:cstheme="minorBidi"/>
                <w:noProof/>
                <w:kern w:val="2"/>
                <w:szCs w:val="22"/>
                <w:lang w:eastAsia="zh-CN"/>
              </w:rPr>
              <w:tab/>
            </w:r>
            <w:r w:rsidRPr="00265A01">
              <w:rPr>
                <w:rStyle w:val="a9"/>
                <w:noProof/>
                <w:spacing w:val="-4"/>
                <w:w w:val="110"/>
              </w:rPr>
              <w:t xml:space="preserve">Working </w:t>
            </w:r>
            <w:r w:rsidRPr="00265A01">
              <w:rPr>
                <w:rStyle w:val="a9"/>
                <w:noProof/>
                <w:w w:val="110"/>
              </w:rPr>
              <w:t>with SQL</w:t>
            </w:r>
            <w:r w:rsidRPr="00265A01">
              <w:rPr>
                <w:rStyle w:val="a9"/>
                <w:noProof/>
                <w:spacing w:val="-25"/>
                <w:w w:val="110"/>
              </w:rPr>
              <w:t xml:space="preserve"> </w:t>
            </w:r>
            <w:r w:rsidRPr="00265A01">
              <w:rPr>
                <w:rStyle w:val="a9"/>
                <w:noProof/>
                <w:w w:val="110"/>
              </w:rPr>
              <w:t>Databases</w:t>
            </w:r>
            <w:r>
              <w:rPr>
                <w:noProof/>
                <w:webHidden/>
              </w:rPr>
              <w:tab/>
            </w:r>
            <w:r>
              <w:rPr>
                <w:noProof/>
                <w:webHidden/>
              </w:rPr>
              <w:fldChar w:fldCharType="begin"/>
            </w:r>
            <w:r>
              <w:rPr>
                <w:noProof/>
                <w:webHidden/>
              </w:rPr>
              <w:instrText xml:space="preserve"> PAGEREF _Toc54423767 \h </w:instrText>
            </w:r>
            <w:r>
              <w:rPr>
                <w:noProof/>
                <w:webHidden/>
              </w:rPr>
            </w:r>
            <w:r>
              <w:rPr>
                <w:noProof/>
                <w:webHidden/>
              </w:rPr>
              <w:fldChar w:fldCharType="separate"/>
            </w:r>
            <w:r>
              <w:rPr>
                <w:noProof/>
                <w:webHidden/>
              </w:rPr>
              <w:t>123</w:t>
            </w:r>
            <w:r>
              <w:rPr>
                <w:noProof/>
                <w:webHidden/>
              </w:rPr>
              <w:fldChar w:fldCharType="end"/>
            </w:r>
          </w:hyperlink>
        </w:p>
        <w:p w14:paraId="08D6B13B" w14:textId="0F7CC0E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68" w:history="1">
            <w:r w:rsidRPr="00265A01">
              <w:rPr>
                <w:rStyle w:val="a9"/>
                <w:noProof/>
                <w:spacing w:val="-1"/>
                <w:w w:val="113"/>
              </w:rPr>
              <w:t>4.11.1.</w:t>
            </w:r>
            <w:r>
              <w:rPr>
                <w:rFonts w:asciiTheme="minorHAnsi" w:eastAsiaTheme="minorEastAsia" w:hAnsiTheme="minorHAnsi" w:cstheme="minorBidi"/>
                <w:noProof/>
                <w:kern w:val="2"/>
                <w:szCs w:val="22"/>
                <w:lang w:eastAsia="zh-CN"/>
              </w:rPr>
              <w:tab/>
            </w:r>
            <w:r w:rsidRPr="00265A01">
              <w:rPr>
                <w:rStyle w:val="a9"/>
                <w:noProof/>
                <w:w w:val="110"/>
              </w:rPr>
              <w:t>Configure a</w:t>
            </w:r>
            <w:r w:rsidRPr="00265A01">
              <w:rPr>
                <w:rStyle w:val="a9"/>
                <w:noProof/>
                <w:spacing w:val="-11"/>
                <w:w w:val="110"/>
              </w:rPr>
              <w:t xml:space="preserve"> </w:t>
            </w:r>
            <w:r w:rsidRPr="00265A01">
              <w:rPr>
                <w:rStyle w:val="a9"/>
                <w:noProof/>
                <w:w w:val="110"/>
              </w:rPr>
              <w:t>DataSource</w:t>
            </w:r>
            <w:r>
              <w:rPr>
                <w:noProof/>
                <w:webHidden/>
              </w:rPr>
              <w:tab/>
            </w:r>
            <w:r>
              <w:rPr>
                <w:noProof/>
                <w:webHidden/>
              </w:rPr>
              <w:fldChar w:fldCharType="begin"/>
            </w:r>
            <w:r>
              <w:rPr>
                <w:noProof/>
                <w:webHidden/>
              </w:rPr>
              <w:instrText xml:space="preserve"> PAGEREF _Toc54423768 \h </w:instrText>
            </w:r>
            <w:r>
              <w:rPr>
                <w:noProof/>
                <w:webHidden/>
              </w:rPr>
            </w:r>
            <w:r>
              <w:rPr>
                <w:noProof/>
                <w:webHidden/>
              </w:rPr>
              <w:fldChar w:fldCharType="separate"/>
            </w:r>
            <w:r>
              <w:rPr>
                <w:noProof/>
                <w:webHidden/>
              </w:rPr>
              <w:t>123</w:t>
            </w:r>
            <w:r>
              <w:rPr>
                <w:noProof/>
                <w:webHidden/>
              </w:rPr>
              <w:fldChar w:fldCharType="end"/>
            </w:r>
          </w:hyperlink>
        </w:p>
        <w:p w14:paraId="2F59DEB1" w14:textId="4494843C"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69" w:history="1">
            <w:r w:rsidRPr="00265A01">
              <w:rPr>
                <w:rStyle w:val="a9"/>
                <w:noProof/>
                <w:spacing w:val="-1"/>
                <w:w w:val="113"/>
              </w:rPr>
              <w:t>4.11.2.</w:t>
            </w:r>
            <w:r>
              <w:rPr>
                <w:rFonts w:asciiTheme="minorHAnsi" w:eastAsiaTheme="minorEastAsia" w:hAnsiTheme="minorHAnsi" w:cstheme="minorBidi"/>
                <w:noProof/>
                <w:kern w:val="2"/>
                <w:szCs w:val="22"/>
                <w:lang w:eastAsia="zh-CN"/>
              </w:rPr>
              <w:tab/>
            </w:r>
            <w:r w:rsidRPr="00265A01">
              <w:rPr>
                <w:rStyle w:val="a9"/>
                <w:noProof/>
                <w:w w:val="105"/>
              </w:rPr>
              <w:t>Using</w:t>
            </w:r>
            <w:r w:rsidRPr="00265A01">
              <w:rPr>
                <w:rStyle w:val="a9"/>
                <w:noProof/>
                <w:spacing w:val="-1"/>
                <w:w w:val="105"/>
              </w:rPr>
              <w:t xml:space="preserve"> </w:t>
            </w:r>
            <w:r w:rsidRPr="00265A01">
              <w:rPr>
                <w:rStyle w:val="a9"/>
                <w:noProof/>
                <w:w w:val="105"/>
              </w:rPr>
              <w:t>JdbcTemplate</w:t>
            </w:r>
            <w:r>
              <w:rPr>
                <w:noProof/>
                <w:webHidden/>
              </w:rPr>
              <w:tab/>
            </w:r>
            <w:r>
              <w:rPr>
                <w:noProof/>
                <w:webHidden/>
              </w:rPr>
              <w:fldChar w:fldCharType="begin"/>
            </w:r>
            <w:r>
              <w:rPr>
                <w:noProof/>
                <w:webHidden/>
              </w:rPr>
              <w:instrText xml:space="preserve"> PAGEREF _Toc54423769 \h </w:instrText>
            </w:r>
            <w:r>
              <w:rPr>
                <w:noProof/>
                <w:webHidden/>
              </w:rPr>
            </w:r>
            <w:r>
              <w:rPr>
                <w:noProof/>
                <w:webHidden/>
              </w:rPr>
              <w:fldChar w:fldCharType="separate"/>
            </w:r>
            <w:r>
              <w:rPr>
                <w:noProof/>
                <w:webHidden/>
              </w:rPr>
              <w:t>125</w:t>
            </w:r>
            <w:r>
              <w:rPr>
                <w:noProof/>
                <w:webHidden/>
              </w:rPr>
              <w:fldChar w:fldCharType="end"/>
            </w:r>
          </w:hyperlink>
        </w:p>
        <w:p w14:paraId="25C0FB9D" w14:textId="4ABA03DC"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0" w:history="1">
            <w:r w:rsidRPr="00265A01">
              <w:rPr>
                <w:rStyle w:val="a9"/>
                <w:noProof/>
                <w:spacing w:val="-1"/>
                <w:w w:val="113"/>
              </w:rPr>
              <w:t>4.11.3.</w:t>
            </w:r>
            <w:r>
              <w:rPr>
                <w:rFonts w:asciiTheme="minorHAnsi" w:eastAsiaTheme="minorEastAsia" w:hAnsiTheme="minorHAnsi" w:cstheme="minorBidi"/>
                <w:noProof/>
                <w:kern w:val="2"/>
                <w:szCs w:val="22"/>
                <w:lang w:eastAsia="zh-CN"/>
              </w:rPr>
              <w:tab/>
            </w:r>
            <w:r w:rsidRPr="00265A01">
              <w:rPr>
                <w:rStyle w:val="a9"/>
                <w:noProof/>
                <w:spacing w:val="-5"/>
                <w:w w:val="105"/>
              </w:rPr>
              <w:t xml:space="preserve">JPA </w:t>
            </w:r>
            <w:r w:rsidRPr="00265A01">
              <w:rPr>
                <w:rStyle w:val="a9"/>
                <w:noProof/>
                <w:w w:val="105"/>
              </w:rPr>
              <w:t>and Spring Data</w:t>
            </w:r>
            <w:r w:rsidRPr="00265A01">
              <w:rPr>
                <w:rStyle w:val="a9"/>
                <w:noProof/>
                <w:spacing w:val="-2"/>
                <w:w w:val="105"/>
              </w:rPr>
              <w:t xml:space="preserve"> </w:t>
            </w:r>
            <w:r w:rsidRPr="00265A01">
              <w:rPr>
                <w:rStyle w:val="a9"/>
                <w:noProof/>
                <w:spacing w:val="-5"/>
                <w:w w:val="105"/>
              </w:rPr>
              <w:t>JPA</w:t>
            </w:r>
            <w:r>
              <w:rPr>
                <w:noProof/>
                <w:webHidden/>
              </w:rPr>
              <w:tab/>
            </w:r>
            <w:r>
              <w:rPr>
                <w:noProof/>
                <w:webHidden/>
              </w:rPr>
              <w:fldChar w:fldCharType="begin"/>
            </w:r>
            <w:r>
              <w:rPr>
                <w:noProof/>
                <w:webHidden/>
              </w:rPr>
              <w:instrText xml:space="preserve"> PAGEREF _Toc54423770 \h </w:instrText>
            </w:r>
            <w:r>
              <w:rPr>
                <w:noProof/>
                <w:webHidden/>
              </w:rPr>
            </w:r>
            <w:r>
              <w:rPr>
                <w:noProof/>
                <w:webHidden/>
              </w:rPr>
              <w:fldChar w:fldCharType="separate"/>
            </w:r>
            <w:r>
              <w:rPr>
                <w:noProof/>
                <w:webHidden/>
              </w:rPr>
              <w:t>126</w:t>
            </w:r>
            <w:r>
              <w:rPr>
                <w:noProof/>
                <w:webHidden/>
              </w:rPr>
              <w:fldChar w:fldCharType="end"/>
            </w:r>
          </w:hyperlink>
        </w:p>
        <w:p w14:paraId="778186EB" w14:textId="6665E28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1" w:history="1">
            <w:r w:rsidRPr="00265A01">
              <w:rPr>
                <w:rStyle w:val="a9"/>
                <w:noProof/>
                <w:spacing w:val="-1"/>
                <w:w w:val="113"/>
              </w:rPr>
              <w:t>4.11.4.</w:t>
            </w:r>
            <w:r>
              <w:rPr>
                <w:rFonts w:asciiTheme="minorHAnsi" w:eastAsiaTheme="minorEastAsia" w:hAnsiTheme="minorHAnsi" w:cstheme="minorBidi"/>
                <w:noProof/>
                <w:kern w:val="2"/>
                <w:szCs w:val="22"/>
                <w:lang w:eastAsia="zh-CN"/>
              </w:rPr>
              <w:tab/>
            </w:r>
            <w:r w:rsidRPr="00265A01">
              <w:rPr>
                <w:rStyle w:val="a9"/>
                <w:noProof/>
                <w:w w:val="105"/>
              </w:rPr>
              <w:t>Spring Data</w:t>
            </w:r>
            <w:r w:rsidRPr="00265A01">
              <w:rPr>
                <w:rStyle w:val="a9"/>
                <w:noProof/>
                <w:spacing w:val="-5"/>
                <w:w w:val="105"/>
              </w:rPr>
              <w:t xml:space="preserve"> </w:t>
            </w:r>
            <w:r w:rsidRPr="00265A01">
              <w:rPr>
                <w:rStyle w:val="a9"/>
                <w:noProof/>
                <w:w w:val="105"/>
              </w:rPr>
              <w:t>JDBC</w:t>
            </w:r>
            <w:r>
              <w:rPr>
                <w:noProof/>
                <w:webHidden/>
              </w:rPr>
              <w:tab/>
            </w:r>
            <w:r>
              <w:rPr>
                <w:noProof/>
                <w:webHidden/>
              </w:rPr>
              <w:fldChar w:fldCharType="begin"/>
            </w:r>
            <w:r>
              <w:rPr>
                <w:noProof/>
                <w:webHidden/>
              </w:rPr>
              <w:instrText xml:space="preserve"> PAGEREF _Toc54423771 \h </w:instrText>
            </w:r>
            <w:r>
              <w:rPr>
                <w:noProof/>
                <w:webHidden/>
              </w:rPr>
            </w:r>
            <w:r>
              <w:rPr>
                <w:noProof/>
                <w:webHidden/>
              </w:rPr>
              <w:fldChar w:fldCharType="separate"/>
            </w:r>
            <w:r>
              <w:rPr>
                <w:noProof/>
                <w:webHidden/>
              </w:rPr>
              <w:t>129</w:t>
            </w:r>
            <w:r>
              <w:rPr>
                <w:noProof/>
                <w:webHidden/>
              </w:rPr>
              <w:fldChar w:fldCharType="end"/>
            </w:r>
          </w:hyperlink>
        </w:p>
        <w:p w14:paraId="3F21D580" w14:textId="41BEB86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2" w:history="1">
            <w:r w:rsidRPr="00265A01">
              <w:rPr>
                <w:rStyle w:val="a9"/>
                <w:noProof/>
                <w:spacing w:val="-1"/>
                <w:w w:val="113"/>
              </w:rPr>
              <w:t>4.11.5.</w:t>
            </w:r>
            <w:r>
              <w:rPr>
                <w:rFonts w:asciiTheme="minorHAnsi" w:eastAsiaTheme="minorEastAsia" w:hAnsiTheme="minorHAnsi" w:cstheme="minorBidi"/>
                <w:noProof/>
                <w:kern w:val="2"/>
                <w:szCs w:val="22"/>
                <w:lang w:eastAsia="zh-CN"/>
              </w:rPr>
              <w:tab/>
            </w:r>
            <w:r w:rsidRPr="00265A01">
              <w:rPr>
                <w:rStyle w:val="a9"/>
                <w:noProof/>
                <w:w w:val="105"/>
              </w:rPr>
              <w:t xml:space="preserve">Using H2’s </w:t>
            </w:r>
            <w:r w:rsidRPr="00265A01">
              <w:rPr>
                <w:rStyle w:val="a9"/>
                <w:noProof/>
                <w:spacing w:val="-6"/>
                <w:w w:val="105"/>
              </w:rPr>
              <w:t xml:space="preserve">Web </w:t>
            </w:r>
            <w:r w:rsidRPr="00265A01">
              <w:rPr>
                <w:rStyle w:val="a9"/>
                <w:noProof/>
                <w:w w:val="105"/>
              </w:rPr>
              <w:t>Console</w:t>
            </w:r>
            <w:r>
              <w:rPr>
                <w:noProof/>
                <w:webHidden/>
              </w:rPr>
              <w:tab/>
            </w:r>
            <w:r>
              <w:rPr>
                <w:noProof/>
                <w:webHidden/>
              </w:rPr>
              <w:fldChar w:fldCharType="begin"/>
            </w:r>
            <w:r>
              <w:rPr>
                <w:noProof/>
                <w:webHidden/>
              </w:rPr>
              <w:instrText xml:space="preserve"> PAGEREF _Toc54423772 \h </w:instrText>
            </w:r>
            <w:r>
              <w:rPr>
                <w:noProof/>
                <w:webHidden/>
              </w:rPr>
            </w:r>
            <w:r>
              <w:rPr>
                <w:noProof/>
                <w:webHidden/>
              </w:rPr>
              <w:fldChar w:fldCharType="separate"/>
            </w:r>
            <w:r>
              <w:rPr>
                <w:noProof/>
                <w:webHidden/>
              </w:rPr>
              <w:t>129</w:t>
            </w:r>
            <w:r>
              <w:rPr>
                <w:noProof/>
                <w:webHidden/>
              </w:rPr>
              <w:fldChar w:fldCharType="end"/>
            </w:r>
          </w:hyperlink>
        </w:p>
        <w:p w14:paraId="100875EE" w14:textId="535D4E4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3" w:history="1">
            <w:r w:rsidRPr="00265A01">
              <w:rPr>
                <w:rStyle w:val="a9"/>
                <w:noProof/>
                <w:spacing w:val="-1"/>
                <w:w w:val="113"/>
              </w:rPr>
              <w:t>4.11.6.</w:t>
            </w:r>
            <w:r>
              <w:rPr>
                <w:rFonts w:asciiTheme="minorHAnsi" w:eastAsiaTheme="minorEastAsia" w:hAnsiTheme="minorHAnsi" w:cstheme="minorBidi"/>
                <w:noProof/>
                <w:kern w:val="2"/>
                <w:szCs w:val="22"/>
                <w:lang w:eastAsia="zh-CN"/>
              </w:rPr>
              <w:tab/>
            </w:r>
            <w:r w:rsidRPr="00265A01">
              <w:rPr>
                <w:rStyle w:val="a9"/>
                <w:noProof/>
              </w:rPr>
              <w:t>Using</w:t>
            </w:r>
            <w:r w:rsidRPr="00265A01">
              <w:rPr>
                <w:rStyle w:val="a9"/>
                <w:noProof/>
                <w:spacing w:val="1"/>
              </w:rPr>
              <w:t xml:space="preserve"> </w:t>
            </w:r>
            <w:r w:rsidRPr="00265A01">
              <w:rPr>
                <w:rStyle w:val="a9"/>
                <w:noProof/>
              </w:rPr>
              <w:t>jOOQ</w:t>
            </w:r>
            <w:r>
              <w:rPr>
                <w:noProof/>
                <w:webHidden/>
              </w:rPr>
              <w:tab/>
            </w:r>
            <w:r>
              <w:rPr>
                <w:noProof/>
                <w:webHidden/>
              </w:rPr>
              <w:fldChar w:fldCharType="begin"/>
            </w:r>
            <w:r>
              <w:rPr>
                <w:noProof/>
                <w:webHidden/>
              </w:rPr>
              <w:instrText xml:space="preserve"> PAGEREF _Toc54423773 \h </w:instrText>
            </w:r>
            <w:r>
              <w:rPr>
                <w:noProof/>
                <w:webHidden/>
              </w:rPr>
            </w:r>
            <w:r>
              <w:rPr>
                <w:noProof/>
                <w:webHidden/>
              </w:rPr>
              <w:fldChar w:fldCharType="separate"/>
            </w:r>
            <w:r>
              <w:rPr>
                <w:noProof/>
                <w:webHidden/>
              </w:rPr>
              <w:t>130</w:t>
            </w:r>
            <w:r>
              <w:rPr>
                <w:noProof/>
                <w:webHidden/>
              </w:rPr>
              <w:fldChar w:fldCharType="end"/>
            </w:r>
          </w:hyperlink>
        </w:p>
        <w:p w14:paraId="2FA0EA8D" w14:textId="0C2E9A8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4" w:history="1">
            <w:r w:rsidRPr="00265A01">
              <w:rPr>
                <w:rStyle w:val="a9"/>
                <w:noProof/>
                <w:spacing w:val="-1"/>
                <w:w w:val="113"/>
              </w:rPr>
              <w:t>4.11.7.</w:t>
            </w:r>
            <w:r>
              <w:rPr>
                <w:rFonts w:asciiTheme="minorHAnsi" w:eastAsiaTheme="minorEastAsia" w:hAnsiTheme="minorHAnsi" w:cstheme="minorBidi"/>
                <w:noProof/>
                <w:kern w:val="2"/>
                <w:szCs w:val="22"/>
                <w:lang w:eastAsia="zh-CN"/>
              </w:rPr>
              <w:tab/>
            </w:r>
            <w:r w:rsidRPr="00265A01">
              <w:rPr>
                <w:rStyle w:val="a9"/>
                <w:noProof/>
              </w:rPr>
              <w:t>Using</w:t>
            </w:r>
            <w:r w:rsidRPr="00265A01">
              <w:rPr>
                <w:rStyle w:val="a9"/>
                <w:noProof/>
                <w:spacing w:val="2"/>
              </w:rPr>
              <w:t xml:space="preserve"> </w:t>
            </w:r>
            <w:r w:rsidRPr="00265A01">
              <w:rPr>
                <w:rStyle w:val="a9"/>
                <w:noProof/>
              </w:rPr>
              <w:t>R2DBC</w:t>
            </w:r>
            <w:r>
              <w:rPr>
                <w:noProof/>
                <w:webHidden/>
              </w:rPr>
              <w:tab/>
            </w:r>
            <w:r>
              <w:rPr>
                <w:noProof/>
                <w:webHidden/>
              </w:rPr>
              <w:fldChar w:fldCharType="begin"/>
            </w:r>
            <w:r>
              <w:rPr>
                <w:noProof/>
                <w:webHidden/>
              </w:rPr>
              <w:instrText xml:space="preserve"> PAGEREF _Toc54423774 \h </w:instrText>
            </w:r>
            <w:r>
              <w:rPr>
                <w:noProof/>
                <w:webHidden/>
              </w:rPr>
            </w:r>
            <w:r>
              <w:rPr>
                <w:noProof/>
                <w:webHidden/>
              </w:rPr>
              <w:fldChar w:fldCharType="separate"/>
            </w:r>
            <w:r>
              <w:rPr>
                <w:noProof/>
                <w:webHidden/>
              </w:rPr>
              <w:t>132</w:t>
            </w:r>
            <w:r>
              <w:rPr>
                <w:noProof/>
                <w:webHidden/>
              </w:rPr>
              <w:fldChar w:fldCharType="end"/>
            </w:r>
          </w:hyperlink>
        </w:p>
        <w:p w14:paraId="4B52FAD0" w14:textId="061C7FF3"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75" w:history="1">
            <w:r w:rsidRPr="00265A01">
              <w:rPr>
                <w:rStyle w:val="a9"/>
                <w:noProof/>
                <w:spacing w:val="-1"/>
                <w:w w:val="113"/>
              </w:rPr>
              <w:t>4.12.</w:t>
            </w:r>
            <w:r>
              <w:rPr>
                <w:rFonts w:asciiTheme="minorHAnsi" w:eastAsiaTheme="minorEastAsia" w:hAnsiTheme="minorHAnsi" w:cstheme="minorBidi"/>
                <w:noProof/>
                <w:kern w:val="2"/>
                <w:szCs w:val="22"/>
                <w:lang w:eastAsia="zh-CN"/>
              </w:rPr>
              <w:tab/>
            </w:r>
            <w:r w:rsidRPr="00265A01">
              <w:rPr>
                <w:rStyle w:val="a9"/>
                <w:noProof/>
                <w:spacing w:val="-4"/>
                <w:w w:val="110"/>
              </w:rPr>
              <w:t xml:space="preserve">Working </w:t>
            </w:r>
            <w:r w:rsidRPr="00265A01">
              <w:rPr>
                <w:rStyle w:val="a9"/>
                <w:noProof/>
                <w:w w:val="110"/>
              </w:rPr>
              <w:t>with NoSQL</w:t>
            </w:r>
            <w:r w:rsidRPr="00265A01">
              <w:rPr>
                <w:rStyle w:val="a9"/>
                <w:noProof/>
                <w:spacing w:val="-35"/>
                <w:w w:val="110"/>
              </w:rPr>
              <w:t xml:space="preserve"> </w:t>
            </w:r>
            <w:r w:rsidRPr="00265A01">
              <w:rPr>
                <w:rStyle w:val="a9"/>
                <w:noProof/>
                <w:w w:val="110"/>
              </w:rPr>
              <w:t>Technologies</w:t>
            </w:r>
            <w:r>
              <w:rPr>
                <w:noProof/>
                <w:webHidden/>
              </w:rPr>
              <w:tab/>
            </w:r>
            <w:r>
              <w:rPr>
                <w:noProof/>
                <w:webHidden/>
              </w:rPr>
              <w:fldChar w:fldCharType="begin"/>
            </w:r>
            <w:r>
              <w:rPr>
                <w:noProof/>
                <w:webHidden/>
              </w:rPr>
              <w:instrText xml:space="preserve"> PAGEREF _Toc54423775 \h </w:instrText>
            </w:r>
            <w:r>
              <w:rPr>
                <w:noProof/>
                <w:webHidden/>
              </w:rPr>
            </w:r>
            <w:r>
              <w:rPr>
                <w:noProof/>
                <w:webHidden/>
              </w:rPr>
              <w:fldChar w:fldCharType="separate"/>
            </w:r>
            <w:r>
              <w:rPr>
                <w:noProof/>
                <w:webHidden/>
              </w:rPr>
              <w:t>135</w:t>
            </w:r>
            <w:r>
              <w:rPr>
                <w:noProof/>
                <w:webHidden/>
              </w:rPr>
              <w:fldChar w:fldCharType="end"/>
            </w:r>
          </w:hyperlink>
        </w:p>
        <w:p w14:paraId="496CE45D" w14:textId="312CA2A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6" w:history="1">
            <w:r w:rsidRPr="00265A01">
              <w:rPr>
                <w:rStyle w:val="a9"/>
                <w:noProof/>
                <w:spacing w:val="-1"/>
                <w:w w:val="113"/>
              </w:rPr>
              <w:t>4.12.1.</w:t>
            </w:r>
            <w:r>
              <w:rPr>
                <w:rFonts w:asciiTheme="minorHAnsi" w:eastAsiaTheme="minorEastAsia" w:hAnsiTheme="minorHAnsi" w:cstheme="minorBidi"/>
                <w:noProof/>
                <w:kern w:val="2"/>
                <w:szCs w:val="22"/>
                <w:lang w:eastAsia="zh-CN"/>
              </w:rPr>
              <w:tab/>
            </w:r>
            <w:r w:rsidRPr="00265A01">
              <w:rPr>
                <w:rStyle w:val="a9"/>
                <w:noProof/>
                <w:w w:val="105"/>
              </w:rPr>
              <w:t>Redis</w:t>
            </w:r>
            <w:r>
              <w:rPr>
                <w:noProof/>
                <w:webHidden/>
              </w:rPr>
              <w:tab/>
            </w:r>
            <w:r>
              <w:rPr>
                <w:noProof/>
                <w:webHidden/>
              </w:rPr>
              <w:fldChar w:fldCharType="begin"/>
            </w:r>
            <w:r>
              <w:rPr>
                <w:noProof/>
                <w:webHidden/>
              </w:rPr>
              <w:instrText xml:space="preserve"> PAGEREF _Toc54423776 \h </w:instrText>
            </w:r>
            <w:r>
              <w:rPr>
                <w:noProof/>
                <w:webHidden/>
              </w:rPr>
            </w:r>
            <w:r>
              <w:rPr>
                <w:noProof/>
                <w:webHidden/>
              </w:rPr>
              <w:fldChar w:fldCharType="separate"/>
            </w:r>
            <w:r>
              <w:rPr>
                <w:noProof/>
                <w:webHidden/>
              </w:rPr>
              <w:t>135</w:t>
            </w:r>
            <w:r>
              <w:rPr>
                <w:noProof/>
                <w:webHidden/>
              </w:rPr>
              <w:fldChar w:fldCharType="end"/>
            </w:r>
          </w:hyperlink>
        </w:p>
        <w:p w14:paraId="7181A5B7" w14:textId="1C88B176"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7" w:history="1">
            <w:r w:rsidRPr="00265A01">
              <w:rPr>
                <w:rStyle w:val="a9"/>
                <w:noProof/>
                <w:spacing w:val="-1"/>
                <w:w w:val="113"/>
              </w:rPr>
              <w:t>4.12.2.</w:t>
            </w:r>
            <w:r>
              <w:rPr>
                <w:rFonts w:asciiTheme="minorHAnsi" w:eastAsiaTheme="minorEastAsia" w:hAnsiTheme="minorHAnsi" w:cstheme="minorBidi"/>
                <w:noProof/>
                <w:kern w:val="2"/>
                <w:szCs w:val="22"/>
                <w:lang w:eastAsia="zh-CN"/>
              </w:rPr>
              <w:tab/>
            </w:r>
            <w:r w:rsidRPr="00265A01">
              <w:rPr>
                <w:rStyle w:val="a9"/>
                <w:noProof/>
              </w:rPr>
              <w:t>MongoDB</w:t>
            </w:r>
            <w:r>
              <w:rPr>
                <w:noProof/>
                <w:webHidden/>
              </w:rPr>
              <w:tab/>
            </w:r>
            <w:r>
              <w:rPr>
                <w:noProof/>
                <w:webHidden/>
              </w:rPr>
              <w:fldChar w:fldCharType="begin"/>
            </w:r>
            <w:r>
              <w:rPr>
                <w:noProof/>
                <w:webHidden/>
              </w:rPr>
              <w:instrText xml:space="preserve"> PAGEREF _Toc54423777 \h </w:instrText>
            </w:r>
            <w:r>
              <w:rPr>
                <w:noProof/>
                <w:webHidden/>
              </w:rPr>
            </w:r>
            <w:r>
              <w:rPr>
                <w:noProof/>
                <w:webHidden/>
              </w:rPr>
              <w:fldChar w:fldCharType="separate"/>
            </w:r>
            <w:r>
              <w:rPr>
                <w:noProof/>
                <w:webHidden/>
              </w:rPr>
              <w:t>136</w:t>
            </w:r>
            <w:r>
              <w:rPr>
                <w:noProof/>
                <w:webHidden/>
              </w:rPr>
              <w:fldChar w:fldCharType="end"/>
            </w:r>
          </w:hyperlink>
        </w:p>
        <w:p w14:paraId="15BF46D5" w14:textId="5FDB531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8" w:history="1">
            <w:r w:rsidRPr="00265A01">
              <w:rPr>
                <w:rStyle w:val="a9"/>
                <w:noProof/>
                <w:spacing w:val="-1"/>
                <w:w w:val="113"/>
              </w:rPr>
              <w:t>4.12.3.</w:t>
            </w:r>
            <w:r>
              <w:rPr>
                <w:rFonts w:asciiTheme="minorHAnsi" w:eastAsiaTheme="minorEastAsia" w:hAnsiTheme="minorHAnsi" w:cstheme="minorBidi"/>
                <w:noProof/>
                <w:kern w:val="2"/>
                <w:szCs w:val="22"/>
                <w:lang w:eastAsia="zh-CN"/>
              </w:rPr>
              <w:tab/>
            </w:r>
            <w:r w:rsidRPr="00265A01">
              <w:rPr>
                <w:rStyle w:val="a9"/>
                <w:noProof/>
                <w:w w:val="105"/>
              </w:rPr>
              <w:t>Neo4j</w:t>
            </w:r>
            <w:r>
              <w:rPr>
                <w:noProof/>
                <w:webHidden/>
              </w:rPr>
              <w:tab/>
            </w:r>
            <w:r>
              <w:rPr>
                <w:noProof/>
                <w:webHidden/>
              </w:rPr>
              <w:fldChar w:fldCharType="begin"/>
            </w:r>
            <w:r>
              <w:rPr>
                <w:noProof/>
                <w:webHidden/>
              </w:rPr>
              <w:instrText xml:space="preserve"> PAGEREF _Toc54423778 \h </w:instrText>
            </w:r>
            <w:r>
              <w:rPr>
                <w:noProof/>
                <w:webHidden/>
              </w:rPr>
            </w:r>
            <w:r>
              <w:rPr>
                <w:noProof/>
                <w:webHidden/>
              </w:rPr>
              <w:fldChar w:fldCharType="separate"/>
            </w:r>
            <w:r>
              <w:rPr>
                <w:noProof/>
                <w:webHidden/>
              </w:rPr>
              <w:t>139</w:t>
            </w:r>
            <w:r>
              <w:rPr>
                <w:noProof/>
                <w:webHidden/>
              </w:rPr>
              <w:fldChar w:fldCharType="end"/>
            </w:r>
          </w:hyperlink>
        </w:p>
        <w:p w14:paraId="660D1BD7" w14:textId="7C5CFA1C"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79" w:history="1">
            <w:r w:rsidRPr="00265A01">
              <w:rPr>
                <w:rStyle w:val="a9"/>
                <w:noProof/>
                <w:spacing w:val="-1"/>
                <w:w w:val="113"/>
              </w:rPr>
              <w:t>4.12.4.</w:t>
            </w:r>
            <w:r>
              <w:rPr>
                <w:rFonts w:asciiTheme="minorHAnsi" w:eastAsiaTheme="minorEastAsia" w:hAnsiTheme="minorHAnsi" w:cstheme="minorBidi"/>
                <w:noProof/>
                <w:kern w:val="2"/>
                <w:szCs w:val="22"/>
                <w:lang w:eastAsia="zh-CN"/>
              </w:rPr>
              <w:tab/>
            </w:r>
            <w:r w:rsidRPr="00265A01">
              <w:rPr>
                <w:rStyle w:val="a9"/>
                <w:noProof/>
                <w:w w:val="110"/>
              </w:rPr>
              <w:t>Solr</w:t>
            </w:r>
            <w:r>
              <w:rPr>
                <w:noProof/>
                <w:webHidden/>
              </w:rPr>
              <w:tab/>
            </w:r>
            <w:r>
              <w:rPr>
                <w:noProof/>
                <w:webHidden/>
              </w:rPr>
              <w:fldChar w:fldCharType="begin"/>
            </w:r>
            <w:r>
              <w:rPr>
                <w:noProof/>
                <w:webHidden/>
              </w:rPr>
              <w:instrText xml:space="preserve"> PAGEREF _Toc54423779 \h </w:instrText>
            </w:r>
            <w:r>
              <w:rPr>
                <w:noProof/>
                <w:webHidden/>
              </w:rPr>
            </w:r>
            <w:r>
              <w:rPr>
                <w:noProof/>
                <w:webHidden/>
              </w:rPr>
              <w:fldChar w:fldCharType="separate"/>
            </w:r>
            <w:r>
              <w:rPr>
                <w:noProof/>
                <w:webHidden/>
              </w:rPr>
              <w:t>142</w:t>
            </w:r>
            <w:r>
              <w:rPr>
                <w:noProof/>
                <w:webHidden/>
              </w:rPr>
              <w:fldChar w:fldCharType="end"/>
            </w:r>
          </w:hyperlink>
        </w:p>
        <w:p w14:paraId="1FF1E55E" w14:textId="2AF24FA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80" w:history="1">
            <w:r w:rsidRPr="00265A01">
              <w:rPr>
                <w:rStyle w:val="a9"/>
                <w:noProof/>
                <w:spacing w:val="-1"/>
                <w:w w:val="113"/>
              </w:rPr>
              <w:t>4.12.5.</w:t>
            </w:r>
            <w:r>
              <w:rPr>
                <w:rFonts w:asciiTheme="minorHAnsi" w:eastAsiaTheme="minorEastAsia" w:hAnsiTheme="minorHAnsi" w:cstheme="minorBidi"/>
                <w:noProof/>
                <w:kern w:val="2"/>
                <w:szCs w:val="22"/>
                <w:lang w:eastAsia="zh-CN"/>
              </w:rPr>
              <w:tab/>
            </w:r>
            <w:r w:rsidRPr="00265A01">
              <w:rPr>
                <w:rStyle w:val="a9"/>
                <w:noProof/>
                <w:w w:val="115"/>
              </w:rPr>
              <w:t>Elasticsearch</w:t>
            </w:r>
            <w:r>
              <w:rPr>
                <w:noProof/>
                <w:webHidden/>
              </w:rPr>
              <w:tab/>
            </w:r>
            <w:r>
              <w:rPr>
                <w:noProof/>
                <w:webHidden/>
              </w:rPr>
              <w:fldChar w:fldCharType="begin"/>
            </w:r>
            <w:r>
              <w:rPr>
                <w:noProof/>
                <w:webHidden/>
              </w:rPr>
              <w:instrText xml:space="preserve"> PAGEREF _Toc54423780 \h </w:instrText>
            </w:r>
            <w:r>
              <w:rPr>
                <w:noProof/>
                <w:webHidden/>
              </w:rPr>
            </w:r>
            <w:r>
              <w:rPr>
                <w:noProof/>
                <w:webHidden/>
              </w:rPr>
              <w:fldChar w:fldCharType="separate"/>
            </w:r>
            <w:r>
              <w:rPr>
                <w:noProof/>
                <w:webHidden/>
              </w:rPr>
              <w:t>142</w:t>
            </w:r>
            <w:r>
              <w:rPr>
                <w:noProof/>
                <w:webHidden/>
              </w:rPr>
              <w:fldChar w:fldCharType="end"/>
            </w:r>
          </w:hyperlink>
        </w:p>
        <w:p w14:paraId="1DF90DF5" w14:textId="4AA56ECA"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81" w:history="1">
            <w:r w:rsidRPr="00265A01">
              <w:rPr>
                <w:rStyle w:val="a9"/>
                <w:noProof/>
                <w:spacing w:val="-1"/>
                <w:w w:val="113"/>
              </w:rPr>
              <w:t>4.12.6.</w:t>
            </w:r>
            <w:r>
              <w:rPr>
                <w:rFonts w:asciiTheme="minorHAnsi" w:eastAsiaTheme="minorEastAsia" w:hAnsiTheme="minorHAnsi" w:cstheme="minorBidi"/>
                <w:noProof/>
                <w:kern w:val="2"/>
                <w:szCs w:val="22"/>
                <w:lang w:eastAsia="zh-CN"/>
              </w:rPr>
              <w:tab/>
            </w:r>
            <w:r w:rsidRPr="00265A01">
              <w:rPr>
                <w:rStyle w:val="a9"/>
                <w:noProof/>
                <w:w w:val="110"/>
              </w:rPr>
              <w:t>Cassandra</w:t>
            </w:r>
            <w:r>
              <w:rPr>
                <w:noProof/>
                <w:webHidden/>
              </w:rPr>
              <w:tab/>
            </w:r>
            <w:r>
              <w:rPr>
                <w:noProof/>
                <w:webHidden/>
              </w:rPr>
              <w:fldChar w:fldCharType="begin"/>
            </w:r>
            <w:r>
              <w:rPr>
                <w:noProof/>
                <w:webHidden/>
              </w:rPr>
              <w:instrText xml:space="preserve"> PAGEREF _Toc54423781 \h </w:instrText>
            </w:r>
            <w:r>
              <w:rPr>
                <w:noProof/>
                <w:webHidden/>
              </w:rPr>
            </w:r>
            <w:r>
              <w:rPr>
                <w:noProof/>
                <w:webHidden/>
              </w:rPr>
              <w:fldChar w:fldCharType="separate"/>
            </w:r>
            <w:r>
              <w:rPr>
                <w:noProof/>
                <w:webHidden/>
              </w:rPr>
              <w:t>145</w:t>
            </w:r>
            <w:r>
              <w:rPr>
                <w:noProof/>
                <w:webHidden/>
              </w:rPr>
              <w:fldChar w:fldCharType="end"/>
            </w:r>
          </w:hyperlink>
        </w:p>
        <w:p w14:paraId="76993C6E" w14:textId="09A09676"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82" w:history="1">
            <w:r w:rsidRPr="00265A01">
              <w:rPr>
                <w:rStyle w:val="a9"/>
                <w:noProof/>
                <w:spacing w:val="-1"/>
                <w:w w:val="113"/>
              </w:rPr>
              <w:t>4.12.7.</w:t>
            </w:r>
            <w:r>
              <w:rPr>
                <w:rFonts w:asciiTheme="minorHAnsi" w:eastAsiaTheme="minorEastAsia" w:hAnsiTheme="minorHAnsi" w:cstheme="minorBidi"/>
                <w:noProof/>
                <w:kern w:val="2"/>
                <w:szCs w:val="22"/>
                <w:lang w:eastAsia="zh-CN"/>
              </w:rPr>
              <w:tab/>
            </w:r>
            <w:r w:rsidRPr="00265A01">
              <w:rPr>
                <w:rStyle w:val="a9"/>
                <w:noProof/>
                <w:w w:val="110"/>
              </w:rPr>
              <w:t>Couchbase</w:t>
            </w:r>
            <w:r>
              <w:rPr>
                <w:noProof/>
                <w:webHidden/>
              </w:rPr>
              <w:tab/>
            </w:r>
            <w:r>
              <w:rPr>
                <w:noProof/>
                <w:webHidden/>
              </w:rPr>
              <w:fldChar w:fldCharType="begin"/>
            </w:r>
            <w:r>
              <w:rPr>
                <w:noProof/>
                <w:webHidden/>
              </w:rPr>
              <w:instrText xml:space="preserve"> PAGEREF _Toc54423782 \h </w:instrText>
            </w:r>
            <w:r>
              <w:rPr>
                <w:noProof/>
                <w:webHidden/>
              </w:rPr>
            </w:r>
            <w:r>
              <w:rPr>
                <w:noProof/>
                <w:webHidden/>
              </w:rPr>
              <w:fldChar w:fldCharType="separate"/>
            </w:r>
            <w:r>
              <w:rPr>
                <w:noProof/>
                <w:webHidden/>
              </w:rPr>
              <w:t>146</w:t>
            </w:r>
            <w:r>
              <w:rPr>
                <w:noProof/>
                <w:webHidden/>
              </w:rPr>
              <w:fldChar w:fldCharType="end"/>
            </w:r>
          </w:hyperlink>
        </w:p>
        <w:p w14:paraId="6FB02C4A" w14:textId="599B3FF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83" w:history="1">
            <w:r w:rsidRPr="00265A01">
              <w:rPr>
                <w:rStyle w:val="a9"/>
                <w:noProof/>
                <w:spacing w:val="-1"/>
                <w:w w:val="113"/>
              </w:rPr>
              <w:t>4.12.8.</w:t>
            </w:r>
            <w:r>
              <w:rPr>
                <w:rFonts w:asciiTheme="minorHAnsi" w:eastAsiaTheme="minorEastAsia" w:hAnsiTheme="minorHAnsi" w:cstheme="minorBidi"/>
                <w:noProof/>
                <w:kern w:val="2"/>
                <w:szCs w:val="22"/>
                <w:lang w:eastAsia="zh-CN"/>
              </w:rPr>
              <w:tab/>
            </w:r>
            <w:r w:rsidRPr="00265A01">
              <w:rPr>
                <w:rStyle w:val="a9"/>
                <w:noProof/>
                <w:spacing w:val="-3"/>
              </w:rPr>
              <w:t>LDAP</w:t>
            </w:r>
            <w:r>
              <w:rPr>
                <w:noProof/>
                <w:webHidden/>
              </w:rPr>
              <w:tab/>
            </w:r>
            <w:r>
              <w:rPr>
                <w:noProof/>
                <w:webHidden/>
              </w:rPr>
              <w:fldChar w:fldCharType="begin"/>
            </w:r>
            <w:r>
              <w:rPr>
                <w:noProof/>
                <w:webHidden/>
              </w:rPr>
              <w:instrText xml:space="preserve"> PAGEREF _Toc54423783 \h </w:instrText>
            </w:r>
            <w:r>
              <w:rPr>
                <w:noProof/>
                <w:webHidden/>
              </w:rPr>
            </w:r>
            <w:r>
              <w:rPr>
                <w:noProof/>
                <w:webHidden/>
              </w:rPr>
              <w:fldChar w:fldCharType="separate"/>
            </w:r>
            <w:r>
              <w:rPr>
                <w:noProof/>
                <w:webHidden/>
              </w:rPr>
              <w:t>148</w:t>
            </w:r>
            <w:r>
              <w:rPr>
                <w:noProof/>
                <w:webHidden/>
              </w:rPr>
              <w:fldChar w:fldCharType="end"/>
            </w:r>
          </w:hyperlink>
        </w:p>
        <w:p w14:paraId="549FF51D" w14:textId="768C439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84" w:history="1">
            <w:r w:rsidRPr="00265A01">
              <w:rPr>
                <w:rStyle w:val="a9"/>
                <w:noProof/>
                <w:spacing w:val="-1"/>
                <w:w w:val="113"/>
              </w:rPr>
              <w:t>4.12.9.</w:t>
            </w:r>
            <w:r>
              <w:rPr>
                <w:rFonts w:asciiTheme="minorHAnsi" w:eastAsiaTheme="minorEastAsia" w:hAnsiTheme="minorHAnsi" w:cstheme="minorBidi"/>
                <w:noProof/>
                <w:kern w:val="2"/>
                <w:szCs w:val="22"/>
                <w:lang w:eastAsia="zh-CN"/>
              </w:rPr>
              <w:tab/>
            </w:r>
            <w:r w:rsidRPr="00265A01">
              <w:rPr>
                <w:rStyle w:val="a9"/>
                <w:noProof/>
                <w:w w:val="105"/>
              </w:rPr>
              <w:t>InfluxDB</w:t>
            </w:r>
            <w:r>
              <w:rPr>
                <w:noProof/>
                <w:webHidden/>
              </w:rPr>
              <w:tab/>
            </w:r>
            <w:r>
              <w:rPr>
                <w:noProof/>
                <w:webHidden/>
              </w:rPr>
              <w:fldChar w:fldCharType="begin"/>
            </w:r>
            <w:r>
              <w:rPr>
                <w:noProof/>
                <w:webHidden/>
              </w:rPr>
              <w:instrText xml:space="preserve"> PAGEREF _Toc54423784 \h </w:instrText>
            </w:r>
            <w:r>
              <w:rPr>
                <w:noProof/>
                <w:webHidden/>
              </w:rPr>
            </w:r>
            <w:r>
              <w:rPr>
                <w:noProof/>
                <w:webHidden/>
              </w:rPr>
              <w:fldChar w:fldCharType="separate"/>
            </w:r>
            <w:r>
              <w:rPr>
                <w:noProof/>
                <w:webHidden/>
              </w:rPr>
              <w:t>150</w:t>
            </w:r>
            <w:r>
              <w:rPr>
                <w:noProof/>
                <w:webHidden/>
              </w:rPr>
              <w:fldChar w:fldCharType="end"/>
            </w:r>
          </w:hyperlink>
        </w:p>
        <w:p w14:paraId="178B3879" w14:textId="10F1EB21"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85" w:history="1">
            <w:r w:rsidRPr="00265A01">
              <w:rPr>
                <w:rStyle w:val="a9"/>
                <w:noProof/>
                <w:spacing w:val="-1"/>
                <w:w w:val="113"/>
              </w:rPr>
              <w:t>4.13.</w:t>
            </w:r>
            <w:r>
              <w:rPr>
                <w:rFonts w:asciiTheme="minorHAnsi" w:eastAsiaTheme="minorEastAsia" w:hAnsiTheme="minorHAnsi" w:cstheme="minorBidi"/>
                <w:noProof/>
                <w:kern w:val="2"/>
                <w:szCs w:val="22"/>
                <w:lang w:eastAsia="zh-CN"/>
              </w:rPr>
              <w:tab/>
            </w:r>
            <w:r w:rsidRPr="00265A01">
              <w:rPr>
                <w:rStyle w:val="a9"/>
                <w:noProof/>
                <w:w w:val="105"/>
              </w:rPr>
              <w:t>Caching</w:t>
            </w:r>
            <w:r>
              <w:rPr>
                <w:noProof/>
                <w:webHidden/>
              </w:rPr>
              <w:tab/>
            </w:r>
            <w:r>
              <w:rPr>
                <w:noProof/>
                <w:webHidden/>
              </w:rPr>
              <w:fldChar w:fldCharType="begin"/>
            </w:r>
            <w:r>
              <w:rPr>
                <w:noProof/>
                <w:webHidden/>
              </w:rPr>
              <w:instrText xml:space="preserve"> PAGEREF _Toc54423785 \h </w:instrText>
            </w:r>
            <w:r>
              <w:rPr>
                <w:noProof/>
                <w:webHidden/>
              </w:rPr>
            </w:r>
            <w:r>
              <w:rPr>
                <w:noProof/>
                <w:webHidden/>
              </w:rPr>
              <w:fldChar w:fldCharType="separate"/>
            </w:r>
            <w:r>
              <w:rPr>
                <w:noProof/>
                <w:webHidden/>
              </w:rPr>
              <w:t>150</w:t>
            </w:r>
            <w:r>
              <w:rPr>
                <w:noProof/>
                <w:webHidden/>
              </w:rPr>
              <w:fldChar w:fldCharType="end"/>
            </w:r>
          </w:hyperlink>
        </w:p>
        <w:p w14:paraId="530232C0" w14:textId="18ED3E4C"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86" w:history="1">
            <w:r w:rsidRPr="00265A01">
              <w:rPr>
                <w:rStyle w:val="a9"/>
                <w:noProof/>
                <w:spacing w:val="-1"/>
                <w:w w:val="113"/>
              </w:rPr>
              <w:t>4.13.1.</w:t>
            </w:r>
            <w:r>
              <w:rPr>
                <w:rFonts w:asciiTheme="minorHAnsi" w:eastAsiaTheme="minorEastAsia" w:hAnsiTheme="minorHAnsi" w:cstheme="minorBidi"/>
                <w:noProof/>
                <w:kern w:val="2"/>
                <w:szCs w:val="22"/>
                <w:lang w:eastAsia="zh-CN"/>
              </w:rPr>
              <w:tab/>
            </w:r>
            <w:r w:rsidRPr="00265A01">
              <w:rPr>
                <w:rStyle w:val="a9"/>
                <w:noProof/>
                <w:w w:val="110"/>
              </w:rPr>
              <w:t>Supported Cache</w:t>
            </w:r>
            <w:r w:rsidRPr="00265A01">
              <w:rPr>
                <w:rStyle w:val="a9"/>
                <w:noProof/>
                <w:spacing w:val="-11"/>
                <w:w w:val="110"/>
              </w:rPr>
              <w:t xml:space="preserve"> </w:t>
            </w:r>
            <w:r w:rsidRPr="00265A01">
              <w:rPr>
                <w:rStyle w:val="a9"/>
                <w:noProof/>
                <w:w w:val="110"/>
              </w:rPr>
              <w:t>Providers</w:t>
            </w:r>
            <w:r>
              <w:rPr>
                <w:noProof/>
                <w:webHidden/>
              </w:rPr>
              <w:tab/>
            </w:r>
            <w:r>
              <w:rPr>
                <w:noProof/>
                <w:webHidden/>
              </w:rPr>
              <w:fldChar w:fldCharType="begin"/>
            </w:r>
            <w:r>
              <w:rPr>
                <w:noProof/>
                <w:webHidden/>
              </w:rPr>
              <w:instrText xml:space="preserve"> PAGEREF _Toc54423786 \h </w:instrText>
            </w:r>
            <w:r>
              <w:rPr>
                <w:noProof/>
                <w:webHidden/>
              </w:rPr>
            </w:r>
            <w:r>
              <w:rPr>
                <w:noProof/>
                <w:webHidden/>
              </w:rPr>
              <w:fldChar w:fldCharType="separate"/>
            </w:r>
            <w:r>
              <w:rPr>
                <w:noProof/>
                <w:webHidden/>
              </w:rPr>
              <w:t>151</w:t>
            </w:r>
            <w:r>
              <w:rPr>
                <w:noProof/>
                <w:webHidden/>
              </w:rPr>
              <w:fldChar w:fldCharType="end"/>
            </w:r>
          </w:hyperlink>
        </w:p>
        <w:p w14:paraId="1661E3D1" w14:textId="52629B53"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87" w:history="1">
            <w:r w:rsidRPr="00265A01">
              <w:rPr>
                <w:rStyle w:val="a9"/>
                <w:noProof/>
                <w:spacing w:val="-1"/>
                <w:w w:val="113"/>
              </w:rPr>
              <w:t>4.14.</w:t>
            </w:r>
            <w:r>
              <w:rPr>
                <w:rFonts w:asciiTheme="minorHAnsi" w:eastAsiaTheme="minorEastAsia" w:hAnsiTheme="minorHAnsi" w:cstheme="minorBidi"/>
                <w:noProof/>
                <w:kern w:val="2"/>
                <w:szCs w:val="22"/>
                <w:lang w:eastAsia="zh-CN"/>
              </w:rPr>
              <w:tab/>
            </w:r>
            <w:r w:rsidRPr="00265A01">
              <w:rPr>
                <w:rStyle w:val="a9"/>
                <w:noProof/>
                <w:w w:val="105"/>
              </w:rPr>
              <w:t>Messaging</w:t>
            </w:r>
            <w:r>
              <w:rPr>
                <w:noProof/>
                <w:webHidden/>
              </w:rPr>
              <w:tab/>
            </w:r>
            <w:r>
              <w:rPr>
                <w:noProof/>
                <w:webHidden/>
              </w:rPr>
              <w:fldChar w:fldCharType="begin"/>
            </w:r>
            <w:r>
              <w:rPr>
                <w:noProof/>
                <w:webHidden/>
              </w:rPr>
              <w:instrText xml:space="preserve"> PAGEREF _Toc54423787 \h </w:instrText>
            </w:r>
            <w:r>
              <w:rPr>
                <w:noProof/>
                <w:webHidden/>
              </w:rPr>
            </w:r>
            <w:r>
              <w:rPr>
                <w:noProof/>
                <w:webHidden/>
              </w:rPr>
              <w:fldChar w:fldCharType="separate"/>
            </w:r>
            <w:r>
              <w:rPr>
                <w:noProof/>
                <w:webHidden/>
              </w:rPr>
              <w:t>156</w:t>
            </w:r>
            <w:r>
              <w:rPr>
                <w:noProof/>
                <w:webHidden/>
              </w:rPr>
              <w:fldChar w:fldCharType="end"/>
            </w:r>
          </w:hyperlink>
        </w:p>
        <w:p w14:paraId="446D8A43" w14:textId="50E80F5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88" w:history="1">
            <w:r w:rsidRPr="00265A01">
              <w:rPr>
                <w:rStyle w:val="a9"/>
                <w:noProof/>
                <w:spacing w:val="-1"/>
                <w:w w:val="113"/>
              </w:rPr>
              <w:t>4.14.1.</w:t>
            </w:r>
            <w:r>
              <w:rPr>
                <w:rFonts w:asciiTheme="minorHAnsi" w:eastAsiaTheme="minorEastAsia" w:hAnsiTheme="minorHAnsi" w:cstheme="minorBidi"/>
                <w:noProof/>
                <w:kern w:val="2"/>
                <w:szCs w:val="22"/>
                <w:lang w:eastAsia="zh-CN"/>
              </w:rPr>
              <w:tab/>
            </w:r>
            <w:r w:rsidRPr="00265A01">
              <w:rPr>
                <w:rStyle w:val="a9"/>
                <w:noProof/>
              </w:rPr>
              <w:t>JMS</w:t>
            </w:r>
            <w:r>
              <w:rPr>
                <w:noProof/>
                <w:webHidden/>
              </w:rPr>
              <w:tab/>
            </w:r>
            <w:r>
              <w:rPr>
                <w:noProof/>
                <w:webHidden/>
              </w:rPr>
              <w:fldChar w:fldCharType="begin"/>
            </w:r>
            <w:r>
              <w:rPr>
                <w:noProof/>
                <w:webHidden/>
              </w:rPr>
              <w:instrText xml:space="preserve"> PAGEREF _Toc54423788 \h </w:instrText>
            </w:r>
            <w:r>
              <w:rPr>
                <w:noProof/>
                <w:webHidden/>
              </w:rPr>
            </w:r>
            <w:r>
              <w:rPr>
                <w:noProof/>
                <w:webHidden/>
              </w:rPr>
              <w:fldChar w:fldCharType="separate"/>
            </w:r>
            <w:r>
              <w:rPr>
                <w:noProof/>
                <w:webHidden/>
              </w:rPr>
              <w:t>156</w:t>
            </w:r>
            <w:r>
              <w:rPr>
                <w:noProof/>
                <w:webHidden/>
              </w:rPr>
              <w:fldChar w:fldCharType="end"/>
            </w:r>
          </w:hyperlink>
        </w:p>
        <w:p w14:paraId="395E152A" w14:textId="5A8A46FC"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89" w:history="1">
            <w:r w:rsidRPr="00265A01">
              <w:rPr>
                <w:rStyle w:val="a9"/>
                <w:noProof/>
                <w:spacing w:val="-1"/>
                <w:w w:val="113"/>
              </w:rPr>
              <w:t>4.14.2.</w:t>
            </w:r>
            <w:r>
              <w:rPr>
                <w:rFonts w:asciiTheme="minorHAnsi" w:eastAsiaTheme="minorEastAsia" w:hAnsiTheme="minorHAnsi" w:cstheme="minorBidi"/>
                <w:noProof/>
                <w:kern w:val="2"/>
                <w:szCs w:val="22"/>
                <w:lang w:eastAsia="zh-CN"/>
              </w:rPr>
              <w:tab/>
            </w:r>
            <w:r w:rsidRPr="00265A01">
              <w:rPr>
                <w:rStyle w:val="a9"/>
                <w:noProof/>
              </w:rPr>
              <w:t>AMQP</w:t>
            </w:r>
            <w:r>
              <w:rPr>
                <w:noProof/>
                <w:webHidden/>
              </w:rPr>
              <w:tab/>
            </w:r>
            <w:r>
              <w:rPr>
                <w:noProof/>
                <w:webHidden/>
              </w:rPr>
              <w:fldChar w:fldCharType="begin"/>
            </w:r>
            <w:r>
              <w:rPr>
                <w:noProof/>
                <w:webHidden/>
              </w:rPr>
              <w:instrText xml:space="preserve"> PAGEREF _Toc54423789 \h </w:instrText>
            </w:r>
            <w:r>
              <w:rPr>
                <w:noProof/>
                <w:webHidden/>
              </w:rPr>
            </w:r>
            <w:r>
              <w:rPr>
                <w:noProof/>
                <w:webHidden/>
              </w:rPr>
              <w:fldChar w:fldCharType="separate"/>
            </w:r>
            <w:r>
              <w:rPr>
                <w:noProof/>
                <w:webHidden/>
              </w:rPr>
              <w:t>161</w:t>
            </w:r>
            <w:r>
              <w:rPr>
                <w:noProof/>
                <w:webHidden/>
              </w:rPr>
              <w:fldChar w:fldCharType="end"/>
            </w:r>
          </w:hyperlink>
        </w:p>
        <w:p w14:paraId="695ECA84" w14:textId="0B4002D5"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90" w:history="1">
            <w:r w:rsidRPr="00265A01">
              <w:rPr>
                <w:rStyle w:val="a9"/>
                <w:noProof/>
                <w:spacing w:val="-1"/>
                <w:w w:val="113"/>
              </w:rPr>
              <w:t>4.14.3.</w:t>
            </w:r>
            <w:r>
              <w:rPr>
                <w:rFonts w:asciiTheme="minorHAnsi" w:eastAsiaTheme="minorEastAsia" w:hAnsiTheme="minorHAnsi" w:cstheme="minorBidi"/>
                <w:noProof/>
                <w:kern w:val="2"/>
                <w:szCs w:val="22"/>
                <w:lang w:eastAsia="zh-CN"/>
              </w:rPr>
              <w:tab/>
            </w:r>
            <w:r w:rsidRPr="00265A01">
              <w:rPr>
                <w:rStyle w:val="a9"/>
                <w:noProof/>
                <w:w w:val="110"/>
              </w:rPr>
              <w:t>Apache Kafka</w:t>
            </w:r>
            <w:r w:rsidRPr="00265A01">
              <w:rPr>
                <w:rStyle w:val="a9"/>
                <w:noProof/>
                <w:spacing w:val="-12"/>
                <w:w w:val="110"/>
              </w:rPr>
              <w:t xml:space="preserve"> </w:t>
            </w:r>
            <w:r w:rsidRPr="00265A01">
              <w:rPr>
                <w:rStyle w:val="a9"/>
                <w:noProof/>
                <w:w w:val="110"/>
              </w:rPr>
              <w:t>Support</w:t>
            </w:r>
            <w:r>
              <w:rPr>
                <w:noProof/>
                <w:webHidden/>
              </w:rPr>
              <w:tab/>
            </w:r>
            <w:r>
              <w:rPr>
                <w:noProof/>
                <w:webHidden/>
              </w:rPr>
              <w:fldChar w:fldCharType="begin"/>
            </w:r>
            <w:r>
              <w:rPr>
                <w:noProof/>
                <w:webHidden/>
              </w:rPr>
              <w:instrText xml:space="preserve"> PAGEREF _Toc54423790 \h </w:instrText>
            </w:r>
            <w:r>
              <w:rPr>
                <w:noProof/>
                <w:webHidden/>
              </w:rPr>
            </w:r>
            <w:r>
              <w:rPr>
                <w:noProof/>
                <w:webHidden/>
              </w:rPr>
              <w:fldChar w:fldCharType="separate"/>
            </w:r>
            <w:r>
              <w:rPr>
                <w:noProof/>
                <w:webHidden/>
              </w:rPr>
              <w:t>164</w:t>
            </w:r>
            <w:r>
              <w:rPr>
                <w:noProof/>
                <w:webHidden/>
              </w:rPr>
              <w:fldChar w:fldCharType="end"/>
            </w:r>
          </w:hyperlink>
        </w:p>
        <w:p w14:paraId="748C171F" w14:textId="5E092419"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91" w:history="1">
            <w:r w:rsidRPr="00265A01">
              <w:rPr>
                <w:rStyle w:val="a9"/>
                <w:noProof/>
                <w:spacing w:val="-1"/>
                <w:w w:val="113"/>
              </w:rPr>
              <w:t>4.15.</w:t>
            </w:r>
            <w:r>
              <w:rPr>
                <w:rFonts w:asciiTheme="minorHAnsi" w:eastAsiaTheme="minorEastAsia" w:hAnsiTheme="minorHAnsi" w:cstheme="minorBidi"/>
                <w:noProof/>
                <w:kern w:val="2"/>
                <w:szCs w:val="22"/>
                <w:lang w:eastAsia="zh-CN"/>
              </w:rPr>
              <w:tab/>
            </w:r>
            <w:r w:rsidRPr="00265A01">
              <w:rPr>
                <w:rStyle w:val="a9"/>
                <w:noProof/>
                <w:w w:val="110"/>
              </w:rPr>
              <w:t xml:space="preserve">Calling </w:t>
            </w:r>
            <w:r w:rsidRPr="00265A01">
              <w:rPr>
                <w:rStyle w:val="a9"/>
                <w:noProof/>
                <w:spacing w:val="-3"/>
                <w:w w:val="110"/>
              </w:rPr>
              <w:t xml:space="preserve">REST </w:t>
            </w:r>
            <w:r w:rsidRPr="00265A01">
              <w:rPr>
                <w:rStyle w:val="a9"/>
                <w:noProof/>
                <w:w w:val="110"/>
              </w:rPr>
              <w:t>Services with</w:t>
            </w:r>
            <w:r w:rsidRPr="00265A01">
              <w:rPr>
                <w:rStyle w:val="a9"/>
                <w:noProof/>
                <w:spacing w:val="-56"/>
                <w:w w:val="110"/>
              </w:rPr>
              <w:t xml:space="preserve"> </w:t>
            </w:r>
            <w:r w:rsidRPr="00265A01">
              <w:rPr>
                <w:rStyle w:val="a9"/>
                <w:noProof/>
                <w:w w:val="110"/>
              </w:rPr>
              <w:t>RestTemplate</w:t>
            </w:r>
            <w:r>
              <w:rPr>
                <w:noProof/>
                <w:webHidden/>
              </w:rPr>
              <w:tab/>
            </w:r>
            <w:r>
              <w:rPr>
                <w:noProof/>
                <w:webHidden/>
              </w:rPr>
              <w:fldChar w:fldCharType="begin"/>
            </w:r>
            <w:r>
              <w:rPr>
                <w:noProof/>
                <w:webHidden/>
              </w:rPr>
              <w:instrText xml:space="preserve"> PAGEREF _Toc54423791 \h </w:instrText>
            </w:r>
            <w:r>
              <w:rPr>
                <w:noProof/>
                <w:webHidden/>
              </w:rPr>
            </w:r>
            <w:r>
              <w:rPr>
                <w:noProof/>
                <w:webHidden/>
              </w:rPr>
              <w:fldChar w:fldCharType="separate"/>
            </w:r>
            <w:r>
              <w:rPr>
                <w:noProof/>
                <w:webHidden/>
              </w:rPr>
              <w:t>168</w:t>
            </w:r>
            <w:r>
              <w:rPr>
                <w:noProof/>
                <w:webHidden/>
              </w:rPr>
              <w:fldChar w:fldCharType="end"/>
            </w:r>
          </w:hyperlink>
        </w:p>
        <w:p w14:paraId="3D5FF30D" w14:textId="3A3B0DE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92" w:history="1">
            <w:r w:rsidRPr="00265A01">
              <w:rPr>
                <w:rStyle w:val="a9"/>
                <w:noProof/>
                <w:spacing w:val="-1"/>
                <w:w w:val="113"/>
              </w:rPr>
              <w:t>4.15.1.</w:t>
            </w:r>
            <w:r>
              <w:rPr>
                <w:rFonts w:asciiTheme="minorHAnsi" w:eastAsiaTheme="minorEastAsia" w:hAnsiTheme="minorHAnsi" w:cstheme="minorBidi"/>
                <w:noProof/>
                <w:kern w:val="2"/>
                <w:szCs w:val="22"/>
                <w:lang w:eastAsia="zh-CN"/>
              </w:rPr>
              <w:tab/>
            </w:r>
            <w:r w:rsidRPr="00265A01">
              <w:rPr>
                <w:rStyle w:val="a9"/>
                <w:noProof/>
                <w:w w:val="110"/>
              </w:rPr>
              <w:t>RestTemplate</w:t>
            </w:r>
            <w:r w:rsidRPr="00265A01">
              <w:rPr>
                <w:rStyle w:val="a9"/>
                <w:noProof/>
                <w:spacing w:val="-6"/>
                <w:w w:val="110"/>
              </w:rPr>
              <w:t xml:space="preserve"> </w:t>
            </w:r>
            <w:r w:rsidRPr="00265A01">
              <w:rPr>
                <w:rStyle w:val="a9"/>
                <w:noProof/>
                <w:w w:val="110"/>
              </w:rPr>
              <w:t>Customization</w:t>
            </w:r>
            <w:r>
              <w:rPr>
                <w:noProof/>
                <w:webHidden/>
              </w:rPr>
              <w:tab/>
            </w:r>
            <w:r>
              <w:rPr>
                <w:noProof/>
                <w:webHidden/>
              </w:rPr>
              <w:fldChar w:fldCharType="begin"/>
            </w:r>
            <w:r>
              <w:rPr>
                <w:noProof/>
                <w:webHidden/>
              </w:rPr>
              <w:instrText xml:space="preserve"> PAGEREF _Toc54423792 \h </w:instrText>
            </w:r>
            <w:r>
              <w:rPr>
                <w:noProof/>
                <w:webHidden/>
              </w:rPr>
            </w:r>
            <w:r>
              <w:rPr>
                <w:noProof/>
                <w:webHidden/>
              </w:rPr>
              <w:fldChar w:fldCharType="separate"/>
            </w:r>
            <w:r>
              <w:rPr>
                <w:noProof/>
                <w:webHidden/>
              </w:rPr>
              <w:t>169</w:t>
            </w:r>
            <w:r>
              <w:rPr>
                <w:noProof/>
                <w:webHidden/>
              </w:rPr>
              <w:fldChar w:fldCharType="end"/>
            </w:r>
          </w:hyperlink>
        </w:p>
        <w:p w14:paraId="24FC1E0E" w14:textId="47F5DF0B"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93" w:history="1">
            <w:r w:rsidRPr="00265A01">
              <w:rPr>
                <w:rStyle w:val="a9"/>
                <w:noProof/>
                <w:spacing w:val="-1"/>
                <w:w w:val="113"/>
              </w:rPr>
              <w:t>4.16.</w:t>
            </w:r>
            <w:r>
              <w:rPr>
                <w:rFonts w:asciiTheme="minorHAnsi" w:eastAsiaTheme="minorEastAsia" w:hAnsiTheme="minorHAnsi" w:cstheme="minorBidi"/>
                <w:noProof/>
                <w:kern w:val="2"/>
                <w:szCs w:val="22"/>
                <w:lang w:eastAsia="zh-CN"/>
              </w:rPr>
              <w:tab/>
            </w:r>
            <w:r w:rsidRPr="00265A01">
              <w:rPr>
                <w:rStyle w:val="a9"/>
                <w:noProof/>
                <w:w w:val="105"/>
              </w:rPr>
              <w:t xml:space="preserve">Calling </w:t>
            </w:r>
            <w:r w:rsidRPr="00265A01">
              <w:rPr>
                <w:rStyle w:val="a9"/>
                <w:noProof/>
                <w:spacing w:val="-3"/>
                <w:w w:val="105"/>
              </w:rPr>
              <w:t xml:space="preserve">REST </w:t>
            </w:r>
            <w:r w:rsidRPr="00265A01">
              <w:rPr>
                <w:rStyle w:val="a9"/>
                <w:noProof/>
                <w:w w:val="105"/>
              </w:rPr>
              <w:t>Services with</w:t>
            </w:r>
            <w:r w:rsidRPr="00265A01">
              <w:rPr>
                <w:rStyle w:val="a9"/>
                <w:noProof/>
                <w:spacing w:val="6"/>
                <w:w w:val="105"/>
              </w:rPr>
              <w:t xml:space="preserve"> </w:t>
            </w:r>
            <w:r w:rsidRPr="00265A01">
              <w:rPr>
                <w:rStyle w:val="a9"/>
                <w:noProof/>
                <w:spacing w:val="-4"/>
                <w:w w:val="105"/>
              </w:rPr>
              <w:t>WebClient</w:t>
            </w:r>
            <w:r>
              <w:rPr>
                <w:noProof/>
                <w:webHidden/>
              </w:rPr>
              <w:tab/>
            </w:r>
            <w:r>
              <w:rPr>
                <w:noProof/>
                <w:webHidden/>
              </w:rPr>
              <w:fldChar w:fldCharType="begin"/>
            </w:r>
            <w:r>
              <w:rPr>
                <w:noProof/>
                <w:webHidden/>
              </w:rPr>
              <w:instrText xml:space="preserve"> PAGEREF _Toc54423793 \h </w:instrText>
            </w:r>
            <w:r>
              <w:rPr>
                <w:noProof/>
                <w:webHidden/>
              </w:rPr>
            </w:r>
            <w:r>
              <w:rPr>
                <w:noProof/>
                <w:webHidden/>
              </w:rPr>
              <w:fldChar w:fldCharType="separate"/>
            </w:r>
            <w:r>
              <w:rPr>
                <w:noProof/>
                <w:webHidden/>
              </w:rPr>
              <w:t>169</w:t>
            </w:r>
            <w:r>
              <w:rPr>
                <w:noProof/>
                <w:webHidden/>
              </w:rPr>
              <w:fldChar w:fldCharType="end"/>
            </w:r>
          </w:hyperlink>
        </w:p>
        <w:p w14:paraId="7719BAE0" w14:textId="31AE18D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94" w:history="1">
            <w:r w:rsidRPr="00265A01">
              <w:rPr>
                <w:rStyle w:val="a9"/>
                <w:noProof/>
                <w:spacing w:val="-1"/>
                <w:w w:val="113"/>
              </w:rPr>
              <w:t>4.16.1.</w:t>
            </w:r>
            <w:r>
              <w:rPr>
                <w:rFonts w:asciiTheme="minorHAnsi" w:eastAsiaTheme="minorEastAsia" w:hAnsiTheme="minorHAnsi" w:cstheme="minorBidi"/>
                <w:noProof/>
                <w:kern w:val="2"/>
                <w:szCs w:val="22"/>
                <w:lang w:eastAsia="zh-CN"/>
              </w:rPr>
              <w:tab/>
            </w:r>
            <w:r w:rsidRPr="00265A01">
              <w:rPr>
                <w:rStyle w:val="a9"/>
                <w:noProof/>
                <w:spacing w:val="-3"/>
                <w:w w:val="110"/>
              </w:rPr>
              <w:t>WebClient</w:t>
            </w:r>
            <w:r w:rsidRPr="00265A01">
              <w:rPr>
                <w:rStyle w:val="a9"/>
                <w:noProof/>
                <w:spacing w:val="-47"/>
                <w:w w:val="110"/>
              </w:rPr>
              <w:t xml:space="preserve"> </w:t>
            </w:r>
            <w:r w:rsidRPr="00265A01">
              <w:rPr>
                <w:rStyle w:val="a9"/>
                <w:noProof/>
                <w:w w:val="110"/>
              </w:rPr>
              <w:t>Runtime</w:t>
            </w:r>
            <w:r>
              <w:rPr>
                <w:noProof/>
                <w:webHidden/>
              </w:rPr>
              <w:tab/>
            </w:r>
            <w:r>
              <w:rPr>
                <w:noProof/>
                <w:webHidden/>
              </w:rPr>
              <w:fldChar w:fldCharType="begin"/>
            </w:r>
            <w:r>
              <w:rPr>
                <w:noProof/>
                <w:webHidden/>
              </w:rPr>
              <w:instrText xml:space="preserve"> PAGEREF _Toc54423794 \h </w:instrText>
            </w:r>
            <w:r>
              <w:rPr>
                <w:noProof/>
                <w:webHidden/>
              </w:rPr>
            </w:r>
            <w:r>
              <w:rPr>
                <w:noProof/>
                <w:webHidden/>
              </w:rPr>
              <w:fldChar w:fldCharType="separate"/>
            </w:r>
            <w:r>
              <w:rPr>
                <w:noProof/>
                <w:webHidden/>
              </w:rPr>
              <w:t>170</w:t>
            </w:r>
            <w:r>
              <w:rPr>
                <w:noProof/>
                <w:webHidden/>
              </w:rPr>
              <w:fldChar w:fldCharType="end"/>
            </w:r>
          </w:hyperlink>
        </w:p>
        <w:p w14:paraId="312321A1" w14:textId="2BE4ED36"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95" w:history="1">
            <w:r w:rsidRPr="00265A01">
              <w:rPr>
                <w:rStyle w:val="a9"/>
                <w:noProof/>
                <w:spacing w:val="-1"/>
                <w:w w:val="113"/>
              </w:rPr>
              <w:t>4.16.2.</w:t>
            </w:r>
            <w:r>
              <w:rPr>
                <w:rFonts w:asciiTheme="minorHAnsi" w:eastAsiaTheme="minorEastAsia" w:hAnsiTheme="minorHAnsi" w:cstheme="minorBidi"/>
                <w:noProof/>
                <w:kern w:val="2"/>
                <w:szCs w:val="22"/>
                <w:lang w:eastAsia="zh-CN"/>
              </w:rPr>
              <w:tab/>
            </w:r>
            <w:r w:rsidRPr="00265A01">
              <w:rPr>
                <w:rStyle w:val="a9"/>
                <w:noProof/>
                <w:spacing w:val="-3"/>
                <w:w w:val="110"/>
              </w:rPr>
              <w:t>WebClient</w:t>
            </w:r>
            <w:r w:rsidRPr="00265A01">
              <w:rPr>
                <w:rStyle w:val="a9"/>
                <w:noProof/>
                <w:spacing w:val="-7"/>
                <w:w w:val="110"/>
              </w:rPr>
              <w:t xml:space="preserve"> </w:t>
            </w:r>
            <w:r w:rsidRPr="00265A01">
              <w:rPr>
                <w:rStyle w:val="a9"/>
                <w:noProof/>
                <w:w w:val="110"/>
              </w:rPr>
              <w:t>Customization</w:t>
            </w:r>
            <w:r>
              <w:rPr>
                <w:noProof/>
                <w:webHidden/>
              </w:rPr>
              <w:tab/>
            </w:r>
            <w:r>
              <w:rPr>
                <w:noProof/>
                <w:webHidden/>
              </w:rPr>
              <w:fldChar w:fldCharType="begin"/>
            </w:r>
            <w:r>
              <w:rPr>
                <w:noProof/>
                <w:webHidden/>
              </w:rPr>
              <w:instrText xml:space="preserve"> PAGEREF _Toc54423795 \h </w:instrText>
            </w:r>
            <w:r>
              <w:rPr>
                <w:noProof/>
                <w:webHidden/>
              </w:rPr>
            </w:r>
            <w:r>
              <w:rPr>
                <w:noProof/>
                <w:webHidden/>
              </w:rPr>
              <w:fldChar w:fldCharType="separate"/>
            </w:r>
            <w:r>
              <w:rPr>
                <w:noProof/>
                <w:webHidden/>
              </w:rPr>
              <w:t>171</w:t>
            </w:r>
            <w:r>
              <w:rPr>
                <w:noProof/>
                <w:webHidden/>
              </w:rPr>
              <w:fldChar w:fldCharType="end"/>
            </w:r>
          </w:hyperlink>
        </w:p>
        <w:p w14:paraId="2BCDF9E0" w14:textId="28D4FEA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96" w:history="1">
            <w:r w:rsidRPr="00265A01">
              <w:rPr>
                <w:rStyle w:val="a9"/>
                <w:noProof/>
                <w:spacing w:val="-1"/>
                <w:w w:val="113"/>
              </w:rPr>
              <w:t>4.17.</w:t>
            </w:r>
            <w:r>
              <w:rPr>
                <w:rFonts w:asciiTheme="minorHAnsi" w:eastAsiaTheme="minorEastAsia" w:hAnsiTheme="minorHAnsi" w:cstheme="minorBidi"/>
                <w:noProof/>
                <w:kern w:val="2"/>
                <w:szCs w:val="22"/>
                <w:lang w:eastAsia="zh-CN"/>
              </w:rPr>
              <w:tab/>
            </w:r>
            <w:r w:rsidRPr="00265A01">
              <w:rPr>
                <w:rStyle w:val="a9"/>
                <w:noProof/>
                <w:spacing w:val="-4"/>
                <w:w w:val="110"/>
              </w:rPr>
              <w:t>Validation</w:t>
            </w:r>
            <w:r>
              <w:rPr>
                <w:noProof/>
                <w:webHidden/>
              </w:rPr>
              <w:tab/>
            </w:r>
            <w:r>
              <w:rPr>
                <w:noProof/>
                <w:webHidden/>
              </w:rPr>
              <w:fldChar w:fldCharType="begin"/>
            </w:r>
            <w:r>
              <w:rPr>
                <w:noProof/>
                <w:webHidden/>
              </w:rPr>
              <w:instrText xml:space="preserve"> PAGEREF _Toc54423796 \h </w:instrText>
            </w:r>
            <w:r>
              <w:rPr>
                <w:noProof/>
                <w:webHidden/>
              </w:rPr>
            </w:r>
            <w:r>
              <w:rPr>
                <w:noProof/>
                <w:webHidden/>
              </w:rPr>
              <w:fldChar w:fldCharType="separate"/>
            </w:r>
            <w:r>
              <w:rPr>
                <w:noProof/>
                <w:webHidden/>
              </w:rPr>
              <w:t>171</w:t>
            </w:r>
            <w:r>
              <w:rPr>
                <w:noProof/>
                <w:webHidden/>
              </w:rPr>
              <w:fldChar w:fldCharType="end"/>
            </w:r>
          </w:hyperlink>
        </w:p>
        <w:p w14:paraId="17F7DECB" w14:textId="79DB1CF0"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97" w:history="1">
            <w:r w:rsidRPr="00265A01">
              <w:rPr>
                <w:rStyle w:val="a9"/>
                <w:noProof/>
                <w:spacing w:val="-1"/>
                <w:w w:val="113"/>
              </w:rPr>
              <w:t>4.18.</w:t>
            </w:r>
            <w:r>
              <w:rPr>
                <w:rFonts w:asciiTheme="minorHAnsi" w:eastAsiaTheme="minorEastAsia" w:hAnsiTheme="minorHAnsi" w:cstheme="minorBidi"/>
                <w:noProof/>
                <w:kern w:val="2"/>
                <w:szCs w:val="22"/>
                <w:lang w:eastAsia="zh-CN"/>
              </w:rPr>
              <w:tab/>
            </w:r>
            <w:r w:rsidRPr="00265A01">
              <w:rPr>
                <w:rStyle w:val="a9"/>
                <w:noProof/>
                <w:w w:val="110"/>
              </w:rPr>
              <w:t>Sending</w:t>
            </w:r>
            <w:r w:rsidRPr="00265A01">
              <w:rPr>
                <w:rStyle w:val="a9"/>
                <w:noProof/>
                <w:spacing w:val="-8"/>
                <w:w w:val="110"/>
              </w:rPr>
              <w:t xml:space="preserve"> </w:t>
            </w:r>
            <w:r w:rsidRPr="00265A01">
              <w:rPr>
                <w:rStyle w:val="a9"/>
                <w:noProof/>
                <w:w w:val="110"/>
              </w:rPr>
              <w:t>Email</w:t>
            </w:r>
            <w:r>
              <w:rPr>
                <w:noProof/>
                <w:webHidden/>
              </w:rPr>
              <w:tab/>
            </w:r>
            <w:r>
              <w:rPr>
                <w:noProof/>
                <w:webHidden/>
              </w:rPr>
              <w:fldChar w:fldCharType="begin"/>
            </w:r>
            <w:r>
              <w:rPr>
                <w:noProof/>
                <w:webHidden/>
              </w:rPr>
              <w:instrText xml:space="preserve"> PAGEREF _Toc54423797 \h </w:instrText>
            </w:r>
            <w:r>
              <w:rPr>
                <w:noProof/>
                <w:webHidden/>
              </w:rPr>
            </w:r>
            <w:r>
              <w:rPr>
                <w:noProof/>
                <w:webHidden/>
              </w:rPr>
              <w:fldChar w:fldCharType="separate"/>
            </w:r>
            <w:r>
              <w:rPr>
                <w:noProof/>
                <w:webHidden/>
              </w:rPr>
              <w:t>171</w:t>
            </w:r>
            <w:r>
              <w:rPr>
                <w:noProof/>
                <w:webHidden/>
              </w:rPr>
              <w:fldChar w:fldCharType="end"/>
            </w:r>
          </w:hyperlink>
        </w:p>
        <w:p w14:paraId="1B2AD21D" w14:textId="7061005A"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798" w:history="1">
            <w:r w:rsidRPr="00265A01">
              <w:rPr>
                <w:rStyle w:val="a9"/>
                <w:noProof/>
                <w:spacing w:val="-1"/>
                <w:w w:val="113"/>
              </w:rPr>
              <w:t>4.19.</w:t>
            </w:r>
            <w:r>
              <w:rPr>
                <w:rFonts w:asciiTheme="minorHAnsi" w:eastAsiaTheme="minorEastAsia" w:hAnsiTheme="minorHAnsi" w:cstheme="minorBidi"/>
                <w:noProof/>
                <w:kern w:val="2"/>
                <w:szCs w:val="22"/>
                <w:lang w:eastAsia="zh-CN"/>
              </w:rPr>
              <w:tab/>
            </w:r>
            <w:r w:rsidRPr="00265A01">
              <w:rPr>
                <w:rStyle w:val="a9"/>
                <w:noProof/>
                <w:w w:val="110"/>
              </w:rPr>
              <w:t>Distributed Transactions with</w:t>
            </w:r>
            <w:r w:rsidRPr="00265A01">
              <w:rPr>
                <w:rStyle w:val="a9"/>
                <w:noProof/>
                <w:spacing w:val="-27"/>
                <w:w w:val="110"/>
              </w:rPr>
              <w:t xml:space="preserve"> </w:t>
            </w:r>
            <w:r w:rsidRPr="00265A01">
              <w:rPr>
                <w:rStyle w:val="a9"/>
                <w:noProof/>
                <w:spacing w:val="-8"/>
                <w:w w:val="110"/>
              </w:rPr>
              <w:t>JTA</w:t>
            </w:r>
            <w:r>
              <w:rPr>
                <w:noProof/>
                <w:webHidden/>
              </w:rPr>
              <w:tab/>
            </w:r>
            <w:r>
              <w:rPr>
                <w:noProof/>
                <w:webHidden/>
              </w:rPr>
              <w:fldChar w:fldCharType="begin"/>
            </w:r>
            <w:r>
              <w:rPr>
                <w:noProof/>
                <w:webHidden/>
              </w:rPr>
              <w:instrText xml:space="preserve"> PAGEREF _Toc54423798 \h </w:instrText>
            </w:r>
            <w:r>
              <w:rPr>
                <w:noProof/>
                <w:webHidden/>
              </w:rPr>
            </w:r>
            <w:r>
              <w:rPr>
                <w:noProof/>
                <w:webHidden/>
              </w:rPr>
              <w:fldChar w:fldCharType="separate"/>
            </w:r>
            <w:r>
              <w:rPr>
                <w:noProof/>
                <w:webHidden/>
              </w:rPr>
              <w:t>172</w:t>
            </w:r>
            <w:r>
              <w:rPr>
                <w:noProof/>
                <w:webHidden/>
              </w:rPr>
              <w:fldChar w:fldCharType="end"/>
            </w:r>
          </w:hyperlink>
        </w:p>
        <w:p w14:paraId="54CB5722" w14:textId="61ACA9C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799" w:history="1">
            <w:r w:rsidRPr="00265A01">
              <w:rPr>
                <w:rStyle w:val="a9"/>
                <w:noProof/>
                <w:spacing w:val="-1"/>
                <w:w w:val="113"/>
              </w:rPr>
              <w:t>4.19.1.</w:t>
            </w:r>
            <w:r>
              <w:rPr>
                <w:rFonts w:asciiTheme="minorHAnsi" w:eastAsiaTheme="minorEastAsia" w:hAnsiTheme="minorHAnsi" w:cstheme="minorBidi"/>
                <w:noProof/>
                <w:kern w:val="2"/>
                <w:szCs w:val="22"/>
                <w:lang w:eastAsia="zh-CN"/>
              </w:rPr>
              <w:tab/>
            </w:r>
            <w:r w:rsidRPr="00265A01">
              <w:rPr>
                <w:rStyle w:val="a9"/>
                <w:noProof/>
                <w:w w:val="110"/>
              </w:rPr>
              <w:t>Using an Atomikos Transaction</w:t>
            </w:r>
            <w:r w:rsidRPr="00265A01">
              <w:rPr>
                <w:rStyle w:val="a9"/>
                <w:noProof/>
                <w:spacing w:val="-23"/>
                <w:w w:val="110"/>
              </w:rPr>
              <w:t xml:space="preserve"> </w:t>
            </w:r>
            <w:r w:rsidRPr="00265A01">
              <w:rPr>
                <w:rStyle w:val="a9"/>
                <w:noProof/>
                <w:w w:val="110"/>
              </w:rPr>
              <w:t>Manager</w:t>
            </w:r>
            <w:r>
              <w:rPr>
                <w:noProof/>
                <w:webHidden/>
              </w:rPr>
              <w:tab/>
            </w:r>
            <w:r>
              <w:rPr>
                <w:noProof/>
                <w:webHidden/>
              </w:rPr>
              <w:fldChar w:fldCharType="begin"/>
            </w:r>
            <w:r>
              <w:rPr>
                <w:noProof/>
                <w:webHidden/>
              </w:rPr>
              <w:instrText xml:space="preserve"> PAGEREF _Toc54423799 \h </w:instrText>
            </w:r>
            <w:r>
              <w:rPr>
                <w:noProof/>
                <w:webHidden/>
              </w:rPr>
            </w:r>
            <w:r>
              <w:rPr>
                <w:noProof/>
                <w:webHidden/>
              </w:rPr>
              <w:fldChar w:fldCharType="separate"/>
            </w:r>
            <w:r>
              <w:rPr>
                <w:noProof/>
                <w:webHidden/>
              </w:rPr>
              <w:t>172</w:t>
            </w:r>
            <w:r>
              <w:rPr>
                <w:noProof/>
                <w:webHidden/>
              </w:rPr>
              <w:fldChar w:fldCharType="end"/>
            </w:r>
          </w:hyperlink>
        </w:p>
        <w:p w14:paraId="17DAA0D3" w14:textId="1DA3B75F"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00" w:history="1">
            <w:r w:rsidRPr="00265A01">
              <w:rPr>
                <w:rStyle w:val="a9"/>
                <w:noProof/>
                <w:spacing w:val="-1"/>
                <w:w w:val="113"/>
              </w:rPr>
              <w:t>4.19.2.</w:t>
            </w:r>
            <w:r>
              <w:rPr>
                <w:rFonts w:asciiTheme="minorHAnsi" w:eastAsiaTheme="minorEastAsia" w:hAnsiTheme="minorHAnsi" w:cstheme="minorBidi"/>
                <w:noProof/>
                <w:kern w:val="2"/>
                <w:szCs w:val="22"/>
                <w:lang w:eastAsia="zh-CN"/>
              </w:rPr>
              <w:tab/>
            </w:r>
            <w:r w:rsidRPr="00265A01">
              <w:rPr>
                <w:rStyle w:val="a9"/>
                <w:noProof/>
                <w:w w:val="115"/>
              </w:rPr>
              <w:t>Using a Bitronix Transaction</w:t>
            </w:r>
            <w:r w:rsidRPr="00265A01">
              <w:rPr>
                <w:rStyle w:val="a9"/>
                <w:noProof/>
                <w:spacing w:val="-44"/>
                <w:w w:val="115"/>
              </w:rPr>
              <w:t xml:space="preserve"> </w:t>
            </w:r>
            <w:r w:rsidRPr="00265A01">
              <w:rPr>
                <w:rStyle w:val="a9"/>
                <w:noProof/>
                <w:w w:val="115"/>
              </w:rPr>
              <w:t>Manager</w:t>
            </w:r>
            <w:r>
              <w:rPr>
                <w:noProof/>
                <w:webHidden/>
              </w:rPr>
              <w:tab/>
            </w:r>
            <w:r>
              <w:rPr>
                <w:noProof/>
                <w:webHidden/>
              </w:rPr>
              <w:fldChar w:fldCharType="begin"/>
            </w:r>
            <w:r>
              <w:rPr>
                <w:noProof/>
                <w:webHidden/>
              </w:rPr>
              <w:instrText xml:space="preserve"> PAGEREF _Toc54423800 \h </w:instrText>
            </w:r>
            <w:r>
              <w:rPr>
                <w:noProof/>
                <w:webHidden/>
              </w:rPr>
            </w:r>
            <w:r>
              <w:rPr>
                <w:noProof/>
                <w:webHidden/>
              </w:rPr>
              <w:fldChar w:fldCharType="separate"/>
            </w:r>
            <w:r>
              <w:rPr>
                <w:noProof/>
                <w:webHidden/>
              </w:rPr>
              <w:t>173</w:t>
            </w:r>
            <w:r>
              <w:rPr>
                <w:noProof/>
                <w:webHidden/>
              </w:rPr>
              <w:fldChar w:fldCharType="end"/>
            </w:r>
          </w:hyperlink>
        </w:p>
        <w:p w14:paraId="39588097" w14:textId="29511D7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01" w:history="1">
            <w:r w:rsidRPr="00265A01">
              <w:rPr>
                <w:rStyle w:val="a9"/>
                <w:noProof/>
                <w:spacing w:val="-1"/>
                <w:w w:val="113"/>
              </w:rPr>
              <w:t>4.19.3.</w:t>
            </w:r>
            <w:r>
              <w:rPr>
                <w:rFonts w:asciiTheme="minorHAnsi" w:eastAsiaTheme="minorEastAsia" w:hAnsiTheme="minorHAnsi" w:cstheme="minorBidi"/>
                <w:noProof/>
                <w:kern w:val="2"/>
                <w:szCs w:val="22"/>
                <w:lang w:eastAsia="zh-CN"/>
              </w:rPr>
              <w:tab/>
            </w:r>
            <w:r w:rsidRPr="00265A01">
              <w:rPr>
                <w:rStyle w:val="a9"/>
                <w:noProof/>
                <w:w w:val="110"/>
              </w:rPr>
              <w:t>Using a Java EE Managed Transaction</w:t>
            </w:r>
            <w:r w:rsidRPr="00265A01">
              <w:rPr>
                <w:rStyle w:val="a9"/>
                <w:noProof/>
                <w:spacing w:val="-34"/>
                <w:w w:val="110"/>
              </w:rPr>
              <w:t xml:space="preserve"> </w:t>
            </w:r>
            <w:r w:rsidRPr="00265A01">
              <w:rPr>
                <w:rStyle w:val="a9"/>
                <w:noProof/>
                <w:w w:val="110"/>
              </w:rPr>
              <w:t>Manager</w:t>
            </w:r>
            <w:r>
              <w:rPr>
                <w:noProof/>
                <w:webHidden/>
              </w:rPr>
              <w:tab/>
            </w:r>
            <w:r>
              <w:rPr>
                <w:noProof/>
                <w:webHidden/>
              </w:rPr>
              <w:fldChar w:fldCharType="begin"/>
            </w:r>
            <w:r>
              <w:rPr>
                <w:noProof/>
                <w:webHidden/>
              </w:rPr>
              <w:instrText xml:space="preserve"> PAGEREF _Toc54423801 \h </w:instrText>
            </w:r>
            <w:r>
              <w:rPr>
                <w:noProof/>
                <w:webHidden/>
              </w:rPr>
            </w:r>
            <w:r>
              <w:rPr>
                <w:noProof/>
                <w:webHidden/>
              </w:rPr>
              <w:fldChar w:fldCharType="separate"/>
            </w:r>
            <w:r>
              <w:rPr>
                <w:noProof/>
                <w:webHidden/>
              </w:rPr>
              <w:t>173</w:t>
            </w:r>
            <w:r>
              <w:rPr>
                <w:noProof/>
                <w:webHidden/>
              </w:rPr>
              <w:fldChar w:fldCharType="end"/>
            </w:r>
          </w:hyperlink>
        </w:p>
        <w:p w14:paraId="1349F4B4" w14:textId="5974341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02" w:history="1">
            <w:r w:rsidRPr="00265A01">
              <w:rPr>
                <w:rStyle w:val="a9"/>
                <w:noProof/>
                <w:spacing w:val="-1"/>
                <w:w w:val="113"/>
              </w:rPr>
              <w:t>4.19.4.</w:t>
            </w:r>
            <w:r>
              <w:rPr>
                <w:rFonts w:asciiTheme="minorHAnsi" w:eastAsiaTheme="minorEastAsia" w:hAnsiTheme="minorHAnsi" w:cstheme="minorBidi"/>
                <w:noProof/>
                <w:kern w:val="2"/>
                <w:szCs w:val="22"/>
                <w:lang w:eastAsia="zh-CN"/>
              </w:rPr>
              <w:tab/>
            </w:r>
            <w:r w:rsidRPr="00265A01">
              <w:rPr>
                <w:rStyle w:val="a9"/>
                <w:noProof/>
                <w:w w:val="105"/>
              </w:rPr>
              <w:t>Mixing XA and Non-XA JMS</w:t>
            </w:r>
            <w:r w:rsidRPr="00265A01">
              <w:rPr>
                <w:rStyle w:val="a9"/>
                <w:noProof/>
                <w:spacing w:val="-9"/>
                <w:w w:val="105"/>
              </w:rPr>
              <w:t xml:space="preserve"> </w:t>
            </w:r>
            <w:r w:rsidRPr="00265A01">
              <w:rPr>
                <w:rStyle w:val="a9"/>
                <w:noProof/>
                <w:w w:val="105"/>
              </w:rPr>
              <w:t>Connections</w:t>
            </w:r>
            <w:r>
              <w:rPr>
                <w:noProof/>
                <w:webHidden/>
              </w:rPr>
              <w:tab/>
            </w:r>
            <w:r>
              <w:rPr>
                <w:noProof/>
                <w:webHidden/>
              </w:rPr>
              <w:fldChar w:fldCharType="begin"/>
            </w:r>
            <w:r>
              <w:rPr>
                <w:noProof/>
                <w:webHidden/>
              </w:rPr>
              <w:instrText xml:space="preserve"> PAGEREF _Toc54423802 \h </w:instrText>
            </w:r>
            <w:r>
              <w:rPr>
                <w:noProof/>
                <w:webHidden/>
              </w:rPr>
            </w:r>
            <w:r>
              <w:rPr>
                <w:noProof/>
                <w:webHidden/>
              </w:rPr>
              <w:fldChar w:fldCharType="separate"/>
            </w:r>
            <w:r>
              <w:rPr>
                <w:noProof/>
                <w:webHidden/>
              </w:rPr>
              <w:t>173</w:t>
            </w:r>
            <w:r>
              <w:rPr>
                <w:noProof/>
                <w:webHidden/>
              </w:rPr>
              <w:fldChar w:fldCharType="end"/>
            </w:r>
          </w:hyperlink>
        </w:p>
        <w:p w14:paraId="173D5AAF" w14:textId="7635A85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03" w:history="1">
            <w:r w:rsidRPr="00265A01">
              <w:rPr>
                <w:rStyle w:val="a9"/>
                <w:noProof/>
                <w:spacing w:val="-1"/>
                <w:w w:val="113"/>
              </w:rPr>
              <w:t>4.19.5.</w:t>
            </w:r>
            <w:r>
              <w:rPr>
                <w:rFonts w:asciiTheme="minorHAnsi" w:eastAsiaTheme="minorEastAsia" w:hAnsiTheme="minorHAnsi" w:cstheme="minorBidi"/>
                <w:noProof/>
                <w:kern w:val="2"/>
                <w:szCs w:val="22"/>
                <w:lang w:eastAsia="zh-CN"/>
              </w:rPr>
              <w:tab/>
            </w:r>
            <w:r w:rsidRPr="00265A01">
              <w:rPr>
                <w:rStyle w:val="a9"/>
                <w:noProof/>
                <w:w w:val="110"/>
              </w:rPr>
              <w:t>Supporting an Alternative Embedded Transaction</w:t>
            </w:r>
            <w:r w:rsidRPr="00265A01">
              <w:rPr>
                <w:rStyle w:val="a9"/>
                <w:noProof/>
                <w:spacing w:val="-25"/>
                <w:w w:val="110"/>
              </w:rPr>
              <w:t xml:space="preserve"> </w:t>
            </w:r>
            <w:r w:rsidRPr="00265A01">
              <w:rPr>
                <w:rStyle w:val="a9"/>
                <w:noProof/>
                <w:w w:val="110"/>
              </w:rPr>
              <w:t>Manager</w:t>
            </w:r>
            <w:r>
              <w:rPr>
                <w:noProof/>
                <w:webHidden/>
              </w:rPr>
              <w:tab/>
            </w:r>
            <w:r>
              <w:rPr>
                <w:noProof/>
                <w:webHidden/>
              </w:rPr>
              <w:fldChar w:fldCharType="begin"/>
            </w:r>
            <w:r>
              <w:rPr>
                <w:noProof/>
                <w:webHidden/>
              </w:rPr>
              <w:instrText xml:space="preserve"> PAGEREF _Toc54423803 \h </w:instrText>
            </w:r>
            <w:r>
              <w:rPr>
                <w:noProof/>
                <w:webHidden/>
              </w:rPr>
            </w:r>
            <w:r>
              <w:rPr>
                <w:noProof/>
                <w:webHidden/>
              </w:rPr>
              <w:fldChar w:fldCharType="separate"/>
            </w:r>
            <w:r>
              <w:rPr>
                <w:noProof/>
                <w:webHidden/>
              </w:rPr>
              <w:t>174</w:t>
            </w:r>
            <w:r>
              <w:rPr>
                <w:noProof/>
                <w:webHidden/>
              </w:rPr>
              <w:fldChar w:fldCharType="end"/>
            </w:r>
          </w:hyperlink>
        </w:p>
        <w:p w14:paraId="27CCB561" w14:textId="5DD08AC1"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04" w:history="1">
            <w:r w:rsidRPr="00265A01">
              <w:rPr>
                <w:rStyle w:val="a9"/>
                <w:noProof/>
                <w:spacing w:val="-1"/>
                <w:w w:val="113"/>
              </w:rPr>
              <w:t>4.20.</w:t>
            </w:r>
            <w:r>
              <w:rPr>
                <w:rFonts w:asciiTheme="minorHAnsi" w:eastAsiaTheme="minorEastAsia" w:hAnsiTheme="minorHAnsi" w:cstheme="minorBidi"/>
                <w:noProof/>
                <w:kern w:val="2"/>
                <w:szCs w:val="22"/>
                <w:lang w:eastAsia="zh-CN"/>
              </w:rPr>
              <w:tab/>
            </w:r>
            <w:r w:rsidRPr="00265A01">
              <w:rPr>
                <w:rStyle w:val="a9"/>
                <w:noProof/>
                <w:w w:val="110"/>
              </w:rPr>
              <w:t>Hazelcast</w:t>
            </w:r>
            <w:r>
              <w:rPr>
                <w:noProof/>
                <w:webHidden/>
              </w:rPr>
              <w:tab/>
            </w:r>
            <w:r>
              <w:rPr>
                <w:noProof/>
                <w:webHidden/>
              </w:rPr>
              <w:fldChar w:fldCharType="begin"/>
            </w:r>
            <w:r>
              <w:rPr>
                <w:noProof/>
                <w:webHidden/>
              </w:rPr>
              <w:instrText xml:space="preserve"> PAGEREF _Toc54423804 \h </w:instrText>
            </w:r>
            <w:r>
              <w:rPr>
                <w:noProof/>
                <w:webHidden/>
              </w:rPr>
            </w:r>
            <w:r>
              <w:rPr>
                <w:noProof/>
                <w:webHidden/>
              </w:rPr>
              <w:fldChar w:fldCharType="separate"/>
            </w:r>
            <w:r>
              <w:rPr>
                <w:noProof/>
                <w:webHidden/>
              </w:rPr>
              <w:t>174</w:t>
            </w:r>
            <w:r>
              <w:rPr>
                <w:noProof/>
                <w:webHidden/>
              </w:rPr>
              <w:fldChar w:fldCharType="end"/>
            </w:r>
          </w:hyperlink>
        </w:p>
        <w:p w14:paraId="735720DA" w14:textId="71AA1A2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05" w:history="1">
            <w:r w:rsidRPr="00265A01">
              <w:rPr>
                <w:rStyle w:val="a9"/>
                <w:noProof/>
                <w:spacing w:val="-1"/>
                <w:w w:val="113"/>
              </w:rPr>
              <w:t>4.21.</w:t>
            </w:r>
            <w:r>
              <w:rPr>
                <w:rFonts w:asciiTheme="minorHAnsi" w:eastAsiaTheme="minorEastAsia" w:hAnsiTheme="minorHAnsi" w:cstheme="minorBidi"/>
                <w:noProof/>
                <w:kern w:val="2"/>
                <w:szCs w:val="22"/>
                <w:lang w:eastAsia="zh-CN"/>
              </w:rPr>
              <w:tab/>
            </w:r>
            <w:r w:rsidRPr="00265A01">
              <w:rPr>
                <w:rStyle w:val="a9"/>
                <w:noProof/>
                <w:w w:val="110"/>
              </w:rPr>
              <w:t>Quartz</w:t>
            </w:r>
            <w:r w:rsidRPr="00265A01">
              <w:rPr>
                <w:rStyle w:val="a9"/>
                <w:noProof/>
                <w:spacing w:val="-6"/>
                <w:w w:val="110"/>
              </w:rPr>
              <w:t xml:space="preserve"> </w:t>
            </w:r>
            <w:r w:rsidRPr="00265A01">
              <w:rPr>
                <w:rStyle w:val="a9"/>
                <w:noProof/>
                <w:w w:val="110"/>
              </w:rPr>
              <w:t>Scheduler</w:t>
            </w:r>
            <w:r>
              <w:rPr>
                <w:noProof/>
                <w:webHidden/>
              </w:rPr>
              <w:tab/>
            </w:r>
            <w:r>
              <w:rPr>
                <w:noProof/>
                <w:webHidden/>
              </w:rPr>
              <w:fldChar w:fldCharType="begin"/>
            </w:r>
            <w:r>
              <w:rPr>
                <w:noProof/>
                <w:webHidden/>
              </w:rPr>
              <w:instrText xml:space="preserve"> PAGEREF _Toc54423805 \h </w:instrText>
            </w:r>
            <w:r>
              <w:rPr>
                <w:noProof/>
                <w:webHidden/>
              </w:rPr>
            </w:r>
            <w:r>
              <w:rPr>
                <w:noProof/>
                <w:webHidden/>
              </w:rPr>
              <w:fldChar w:fldCharType="separate"/>
            </w:r>
            <w:r>
              <w:rPr>
                <w:noProof/>
                <w:webHidden/>
              </w:rPr>
              <w:t>175</w:t>
            </w:r>
            <w:r>
              <w:rPr>
                <w:noProof/>
                <w:webHidden/>
              </w:rPr>
              <w:fldChar w:fldCharType="end"/>
            </w:r>
          </w:hyperlink>
        </w:p>
        <w:p w14:paraId="70944A7F" w14:textId="0DC87BAE"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06" w:history="1">
            <w:r w:rsidRPr="00265A01">
              <w:rPr>
                <w:rStyle w:val="a9"/>
                <w:noProof/>
                <w:spacing w:val="-1"/>
                <w:w w:val="113"/>
              </w:rPr>
              <w:t>4.22.</w:t>
            </w:r>
            <w:r>
              <w:rPr>
                <w:rFonts w:asciiTheme="minorHAnsi" w:eastAsiaTheme="minorEastAsia" w:hAnsiTheme="minorHAnsi" w:cstheme="minorBidi"/>
                <w:noProof/>
                <w:kern w:val="2"/>
                <w:szCs w:val="22"/>
                <w:lang w:eastAsia="zh-CN"/>
              </w:rPr>
              <w:tab/>
            </w:r>
            <w:r w:rsidRPr="00265A01">
              <w:rPr>
                <w:rStyle w:val="a9"/>
                <w:noProof/>
                <w:spacing w:val="-4"/>
                <w:w w:val="110"/>
              </w:rPr>
              <w:t xml:space="preserve">Task </w:t>
            </w:r>
            <w:r w:rsidRPr="00265A01">
              <w:rPr>
                <w:rStyle w:val="a9"/>
                <w:noProof/>
                <w:w w:val="110"/>
              </w:rPr>
              <w:t>Execution and</w:t>
            </w:r>
            <w:r w:rsidRPr="00265A01">
              <w:rPr>
                <w:rStyle w:val="a9"/>
                <w:noProof/>
                <w:spacing w:val="-18"/>
                <w:w w:val="110"/>
              </w:rPr>
              <w:t xml:space="preserve"> </w:t>
            </w:r>
            <w:r w:rsidRPr="00265A01">
              <w:rPr>
                <w:rStyle w:val="a9"/>
                <w:noProof/>
                <w:w w:val="110"/>
              </w:rPr>
              <w:t>Scheduling</w:t>
            </w:r>
            <w:r>
              <w:rPr>
                <w:noProof/>
                <w:webHidden/>
              </w:rPr>
              <w:tab/>
            </w:r>
            <w:r>
              <w:rPr>
                <w:noProof/>
                <w:webHidden/>
              </w:rPr>
              <w:fldChar w:fldCharType="begin"/>
            </w:r>
            <w:r>
              <w:rPr>
                <w:noProof/>
                <w:webHidden/>
              </w:rPr>
              <w:instrText xml:space="preserve"> PAGEREF _Toc54423806 \h </w:instrText>
            </w:r>
            <w:r>
              <w:rPr>
                <w:noProof/>
                <w:webHidden/>
              </w:rPr>
            </w:r>
            <w:r>
              <w:rPr>
                <w:noProof/>
                <w:webHidden/>
              </w:rPr>
              <w:fldChar w:fldCharType="separate"/>
            </w:r>
            <w:r>
              <w:rPr>
                <w:noProof/>
                <w:webHidden/>
              </w:rPr>
              <w:t>176</w:t>
            </w:r>
            <w:r>
              <w:rPr>
                <w:noProof/>
                <w:webHidden/>
              </w:rPr>
              <w:fldChar w:fldCharType="end"/>
            </w:r>
          </w:hyperlink>
        </w:p>
        <w:p w14:paraId="03FADB5B" w14:textId="4621BE78"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07" w:history="1">
            <w:r w:rsidRPr="00265A01">
              <w:rPr>
                <w:rStyle w:val="a9"/>
                <w:noProof/>
                <w:spacing w:val="-1"/>
                <w:w w:val="113"/>
              </w:rPr>
              <w:t>4.23.</w:t>
            </w:r>
            <w:r>
              <w:rPr>
                <w:rFonts w:asciiTheme="minorHAnsi" w:eastAsiaTheme="minorEastAsia" w:hAnsiTheme="minorHAnsi" w:cstheme="minorBidi"/>
                <w:noProof/>
                <w:kern w:val="2"/>
                <w:szCs w:val="22"/>
                <w:lang w:eastAsia="zh-CN"/>
              </w:rPr>
              <w:tab/>
            </w:r>
            <w:r w:rsidRPr="00265A01">
              <w:rPr>
                <w:rStyle w:val="a9"/>
                <w:noProof/>
                <w:w w:val="110"/>
              </w:rPr>
              <w:t>Spring</w:t>
            </w:r>
            <w:r w:rsidRPr="00265A01">
              <w:rPr>
                <w:rStyle w:val="a9"/>
                <w:noProof/>
                <w:spacing w:val="-8"/>
                <w:w w:val="110"/>
              </w:rPr>
              <w:t xml:space="preserve"> </w:t>
            </w:r>
            <w:r w:rsidRPr="00265A01">
              <w:rPr>
                <w:rStyle w:val="a9"/>
                <w:noProof/>
                <w:w w:val="110"/>
              </w:rPr>
              <w:t>Integration</w:t>
            </w:r>
            <w:r>
              <w:rPr>
                <w:noProof/>
                <w:webHidden/>
              </w:rPr>
              <w:tab/>
            </w:r>
            <w:r>
              <w:rPr>
                <w:noProof/>
                <w:webHidden/>
              </w:rPr>
              <w:fldChar w:fldCharType="begin"/>
            </w:r>
            <w:r>
              <w:rPr>
                <w:noProof/>
                <w:webHidden/>
              </w:rPr>
              <w:instrText xml:space="preserve"> PAGEREF _Toc54423807 \h </w:instrText>
            </w:r>
            <w:r>
              <w:rPr>
                <w:noProof/>
                <w:webHidden/>
              </w:rPr>
            </w:r>
            <w:r>
              <w:rPr>
                <w:noProof/>
                <w:webHidden/>
              </w:rPr>
              <w:fldChar w:fldCharType="separate"/>
            </w:r>
            <w:r>
              <w:rPr>
                <w:noProof/>
                <w:webHidden/>
              </w:rPr>
              <w:t>177</w:t>
            </w:r>
            <w:r>
              <w:rPr>
                <w:noProof/>
                <w:webHidden/>
              </w:rPr>
              <w:fldChar w:fldCharType="end"/>
            </w:r>
          </w:hyperlink>
        </w:p>
        <w:p w14:paraId="49BDF738" w14:textId="36CDBAD6"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08" w:history="1">
            <w:r w:rsidRPr="00265A01">
              <w:rPr>
                <w:rStyle w:val="a9"/>
                <w:noProof/>
                <w:spacing w:val="-1"/>
                <w:w w:val="113"/>
              </w:rPr>
              <w:t>4.24.</w:t>
            </w:r>
            <w:r>
              <w:rPr>
                <w:rFonts w:asciiTheme="minorHAnsi" w:eastAsiaTheme="minorEastAsia" w:hAnsiTheme="minorHAnsi" w:cstheme="minorBidi"/>
                <w:noProof/>
                <w:kern w:val="2"/>
                <w:szCs w:val="22"/>
                <w:lang w:eastAsia="zh-CN"/>
              </w:rPr>
              <w:tab/>
            </w:r>
            <w:r w:rsidRPr="00265A01">
              <w:rPr>
                <w:rStyle w:val="a9"/>
                <w:noProof/>
                <w:w w:val="105"/>
              </w:rPr>
              <w:t>Spring</w:t>
            </w:r>
            <w:r w:rsidRPr="00265A01">
              <w:rPr>
                <w:rStyle w:val="a9"/>
                <w:noProof/>
                <w:spacing w:val="-2"/>
                <w:w w:val="105"/>
              </w:rPr>
              <w:t xml:space="preserve"> </w:t>
            </w:r>
            <w:r w:rsidRPr="00265A01">
              <w:rPr>
                <w:rStyle w:val="a9"/>
                <w:noProof/>
                <w:w w:val="105"/>
              </w:rPr>
              <w:t>Session</w:t>
            </w:r>
            <w:r>
              <w:rPr>
                <w:noProof/>
                <w:webHidden/>
              </w:rPr>
              <w:tab/>
            </w:r>
            <w:r>
              <w:rPr>
                <w:noProof/>
                <w:webHidden/>
              </w:rPr>
              <w:fldChar w:fldCharType="begin"/>
            </w:r>
            <w:r>
              <w:rPr>
                <w:noProof/>
                <w:webHidden/>
              </w:rPr>
              <w:instrText xml:space="preserve"> PAGEREF _Toc54423808 \h </w:instrText>
            </w:r>
            <w:r>
              <w:rPr>
                <w:noProof/>
                <w:webHidden/>
              </w:rPr>
            </w:r>
            <w:r>
              <w:rPr>
                <w:noProof/>
                <w:webHidden/>
              </w:rPr>
              <w:fldChar w:fldCharType="separate"/>
            </w:r>
            <w:r>
              <w:rPr>
                <w:noProof/>
                <w:webHidden/>
              </w:rPr>
              <w:t>178</w:t>
            </w:r>
            <w:r>
              <w:rPr>
                <w:noProof/>
                <w:webHidden/>
              </w:rPr>
              <w:fldChar w:fldCharType="end"/>
            </w:r>
          </w:hyperlink>
        </w:p>
        <w:p w14:paraId="17C1EBEC" w14:textId="5041FFF1"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09" w:history="1">
            <w:r w:rsidRPr="00265A01">
              <w:rPr>
                <w:rStyle w:val="a9"/>
                <w:noProof/>
                <w:spacing w:val="-1"/>
                <w:w w:val="113"/>
              </w:rPr>
              <w:t>4.25.</w:t>
            </w:r>
            <w:r>
              <w:rPr>
                <w:rFonts w:asciiTheme="minorHAnsi" w:eastAsiaTheme="minorEastAsia" w:hAnsiTheme="minorHAnsi" w:cstheme="minorBidi"/>
                <w:noProof/>
                <w:kern w:val="2"/>
                <w:szCs w:val="22"/>
                <w:lang w:eastAsia="zh-CN"/>
              </w:rPr>
              <w:tab/>
            </w:r>
            <w:r w:rsidRPr="00265A01">
              <w:rPr>
                <w:rStyle w:val="a9"/>
                <w:noProof/>
                <w:w w:val="110"/>
              </w:rPr>
              <w:t>Monitoring and Management over</w:t>
            </w:r>
            <w:r w:rsidRPr="00265A01">
              <w:rPr>
                <w:rStyle w:val="a9"/>
                <w:noProof/>
                <w:spacing w:val="-40"/>
                <w:w w:val="110"/>
              </w:rPr>
              <w:t xml:space="preserve"> </w:t>
            </w:r>
            <w:r w:rsidRPr="00265A01">
              <w:rPr>
                <w:rStyle w:val="a9"/>
                <w:noProof/>
                <w:w w:val="110"/>
              </w:rPr>
              <w:t>JMX</w:t>
            </w:r>
            <w:r>
              <w:rPr>
                <w:noProof/>
                <w:webHidden/>
              </w:rPr>
              <w:tab/>
            </w:r>
            <w:r>
              <w:rPr>
                <w:noProof/>
                <w:webHidden/>
              </w:rPr>
              <w:fldChar w:fldCharType="begin"/>
            </w:r>
            <w:r>
              <w:rPr>
                <w:noProof/>
                <w:webHidden/>
              </w:rPr>
              <w:instrText xml:space="preserve"> PAGEREF _Toc54423809 \h </w:instrText>
            </w:r>
            <w:r>
              <w:rPr>
                <w:noProof/>
                <w:webHidden/>
              </w:rPr>
            </w:r>
            <w:r>
              <w:rPr>
                <w:noProof/>
                <w:webHidden/>
              </w:rPr>
              <w:fldChar w:fldCharType="separate"/>
            </w:r>
            <w:r>
              <w:rPr>
                <w:noProof/>
                <w:webHidden/>
              </w:rPr>
              <w:t>179</w:t>
            </w:r>
            <w:r>
              <w:rPr>
                <w:noProof/>
                <w:webHidden/>
              </w:rPr>
              <w:fldChar w:fldCharType="end"/>
            </w:r>
          </w:hyperlink>
        </w:p>
        <w:p w14:paraId="058488A4" w14:textId="378A5605"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10" w:history="1">
            <w:r w:rsidRPr="00265A01">
              <w:rPr>
                <w:rStyle w:val="a9"/>
                <w:noProof/>
                <w:spacing w:val="-1"/>
                <w:w w:val="113"/>
              </w:rPr>
              <w:t>4.26.</w:t>
            </w:r>
            <w:r>
              <w:rPr>
                <w:rFonts w:asciiTheme="minorHAnsi" w:eastAsiaTheme="minorEastAsia" w:hAnsiTheme="minorHAnsi" w:cstheme="minorBidi"/>
                <w:noProof/>
                <w:kern w:val="2"/>
                <w:szCs w:val="22"/>
                <w:lang w:eastAsia="zh-CN"/>
              </w:rPr>
              <w:tab/>
            </w:r>
            <w:r w:rsidRPr="00265A01">
              <w:rPr>
                <w:rStyle w:val="a9"/>
                <w:noProof/>
                <w:spacing w:val="-3"/>
                <w:w w:val="110"/>
              </w:rPr>
              <w:t>Testing</w:t>
            </w:r>
            <w:r>
              <w:rPr>
                <w:noProof/>
                <w:webHidden/>
              </w:rPr>
              <w:tab/>
            </w:r>
            <w:r>
              <w:rPr>
                <w:noProof/>
                <w:webHidden/>
              </w:rPr>
              <w:fldChar w:fldCharType="begin"/>
            </w:r>
            <w:r>
              <w:rPr>
                <w:noProof/>
                <w:webHidden/>
              </w:rPr>
              <w:instrText xml:space="preserve"> PAGEREF _Toc54423810 \h </w:instrText>
            </w:r>
            <w:r>
              <w:rPr>
                <w:noProof/>
                <w:webHidden/>
              </w:rPr>
            </w:r>
            <w:r>
              <w:rPr>
                <w:noProof/>
                <w:webHidden/>
              </w:rPr>
              <w:fldChar w:fldCharType="separate"/>
            </w:r>
            <w:r>
              <w:rPr>
                <w:noProof/>
                <w:webHidden/>
              </w:rPr>
              <w:t>179</w:t>
            </w:r>
            <w:r>
              <w:rPr>
                <w:noProof/>
                <w:webHidden/>
              </w:rPr>
              <w:fldChar w:fldCharType="end"/>
            </w:r>
          </w:hyperlink>
        </w:p>
        <w:p w14:paraId="487AAF21" w14:textId="65CA1B7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11" w:history="1">
            <w:r w:rsidRPr="00265A01">
              <w:rPr>
                <w:rStyle w:val="a9"/>
                <w:noProof/>
                <w:spacing w:val="-1"/>
                <w:w w:val="113"/>
              </w:rPr>
              <w:t>4.26.1.</w:t>
            </w:r>
            <w:r>
              <w:rPr>
                <w:rFonts w:asciiTheme="minorHAnsi" w:eastAsiaTheme="minorEastAsia" w:hAnsiTheme="minorHAnsi" w:cstheme="minorBidi"/>
                <w:noProof/>
                <w:kern w:val="2"/>
                <w:szCs w:val="22"/>
                <w:lang w:eastAsia="zh-CN"/>
              </w:rPr>
              <w:tab/>
            </w:r>
            <w:r w:rsidRPr="00265A01">
              <w:rPr>
                <w:rStyle w:val="a9"/>
                <w:noProof/>
                <w:spacing w:val="-3"/>
                <w:w w:val="110"/>
              </w:rPr>
              <w:t xml:space="preserve">Test </w:t>
            </w:r>
            <w:r w:rsidRPr="00265A01">
              <w:rPr>
                <w:rStyle w:val="a9"/>
                <w:noProof/>
                <w:w w:val="110"/>
              </w:rPr>
              <w:t>Scope</w:t>
            </w:r>
            <w:r w:rsidRPr="00265A01">
              <w:rPr>
                <w:rStyle w:val="a9"/>
                <w:noProof/>
                <w:spacing w:val="-10"/>
                <w:w w:val="110"/>
              </w:rPr>
              <w:t xml:space="preserve"> </w:t>
            </w:r>
            <w:r w:rsidRPr="00265A01">
              <w:rPr>
                <w:rStyle w:val="a9"/>
                <w:noProof/>
                <w:w w:val="110"/>
              </w:rPr>
              <w:t>Dependencies</w:t>
            </w:r>
            <w:r>
              <w:rPr>
                <w:noProof/>
                <w:webHidden/>
              </w:rPr>
              <w:tab/>
            </w:r>
            <w:r>
              <w:rPr>
                <w:noProof/>
                <w:webHidden/>
              </w:rPr>
              <w:fldChar w:fldCharType="begin"/>
            </w:r>
            <w:r>
              <w:rPr>
                <w:noProof/>
                <w:webHidden/>
              </w:rPr>
              <w:instrText xml:space="preserve"> PAGEREF _Toc54423811 \h </w:instrText>
            </w:r>
            <w:r>
              <w:rPr>
                <w:noProof/>
                <w:webHidden/>
              </w:rPr>
            </w:r>
            <w:r>
              <w:rPr>
                <w:noProof/>
                <w:webHidden/>
              </w:rPr>
              <w:fldChar w:fldCharType="separate"/>
            </w:r>
            <w:r>
              <w:rPr>
                <w:noProof/>
                <w:webHidden/>
              </w:rPr>
              <w:t>179</w:t>
            </w:r>
            <w:r>
              <w:rPr>
                <w:noProof/>
                <w:webHidden/>
              </w:rPr>
              <w:fldChar w:fldCharType="end"/>
            </w:r>
          </w:hyperlink>
        </w:p>
        <w:p w14:paraId="259D5DA1" w14:textId="6AAD798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12" w:history="1">
            <w:r w:rsidRPr="00265A01">
              <w:rPr>
                <w:rStyle w:val="a9"/>
                <w:noProof/>
                <w:spacing w:val="-1"/>
                <w:w w:val="113"/>
              </w:rPr>
              <w:t>4.26.2.</w:t>
            </w:r>
            <w:r>
              <w:rPr>
                <w:rFonts w:asciiTheme="minorHAnsi" w:eastAsiaTheme="minorEastAsia" w:hAnsiTheme="minorHAnsi" w:cstheme="minorBidi"/>
                <w:noProof/>
                <w:kern w:val="2"/>
                <w:szCs w:val="22"/>
                <w:lang w:eastAsia="zh-CN"/>
              </w:rPr>
              <w:tab/>
            </w:r>
            <w:r w:rsidRPr="00265A01">
              <w:rPr>
                <w:rStyle w:val="a9"/>
                <w:noProof/>
                <w:w w:val="110"/>
              </w:rPr>
              <w:t>Testing Spring</w:t>
            </w:r>
            <w:r w:rsidRPr="00265A01">
              <w:rPr>
                <w:rStyle w:val="a9"/>
                <w:noProof/>
                <w:spacing w:val="-14"/>
                <w:w w:val="110"/>
              </w:rPr>
              <w:t xml:space="preserve"> </w:t>
            </w:r>
            <w:r w:rsidRPr="00265A01">
              <w:rPr>
                <w:rStyle w:val="a9"/>
                <w:noProof/>
                <w:w w:val="110"/>
              </w:rPr>
              <w:t>Applications</w:t>
            </w:r>
            <w:r>
              <w:rPr>
                <w:noProof/>
                <w:webHidden/>
              </w:rPr>
              <w:tab/>
            </w:r>
            <w:r>
              <w:rPr>
                <w:noProof/>
                <w:webHidden/>
              </w:rPr>
              <w:fldChar w:fldCharType="begin"/>
            </w:r>
            <w:r>
              <w:rPr>
                <w:noProof/>
                <w:webHidden/>
              </w:rPr>
              <w:instrText xml:space="preserve"> PAGEREF _Toc54423812 \h </w:instrText>
            </w:r>
            <w:r>
              <w:rPr>
                <w:noProof/>
                <w:webHidden/>
              </w:rPr>
            </w:r>
            <w:r>
              <w:rPr>
                <w:noProof/>
                <w:webHidden/>
              </w:rPr>
              <w:fldChar w:fldCharType="separate"/>
            </w:r>
            <w:r>
              <w:rPr>
                <w:noProof/>
                <w:webHidden/>
              </w:rPr>
              <w:t>180</w:t>
            </w:r>
            <w:r>
              <w:rPr>
                <w:noProof/>
                <w:webHidden/>
              </w:rPr>
              <w:fldChar w:fldCharType="end"/>
            </w:r>
          </w:hyperlink>
        </w:p>
        <w:p w14:paraId="211DBEC2" w14:textId="5AAFC03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13" w:history="1">
            <w:r w:rsidRPr="00265A01">
              <w:rPr>
                <w:rStyle w:val="a9"/>
                <w:noProof/>
                <w:spacing w:val="-1"/>
                <w:w w:val="113"/>
              </w:rPr>
              <w:t>4.26.3.</w:t>
            </w:r>
            <w:r>
              <w:rPr>
                <w:rFonts w:asciiTheme="minorHAnsi" w:eastAsiaTheme="minorEastAsia" w:hAnsiTheme="minorHAnsi" w:cstheme="minorBidi"/>
                <w:noProof/>
                <w:kern w:val="2"/>
                <w:szCs w:val="22"/>
                <w:lang w:eastAsia="zh-CN"/>
              </w:rPr>
              <w:tab/>
            </w:r>
            <w:r w:rsidRPr="00265A01">
              <w:rPr>
                <w:rStyle w:val="a9"/>
                <w:noProof/>
                <w:w w:val="110"/>
              </w:rPr>
              <w:t>Testing Spring Boot</w:t>
            </w:r>
            <w:r w:rsidRPr="00265A01">
              <w:rPr>
                <w:rStyle w:val="a9"/>
                <w:noProof/>
                <w:spacing w:val="-21"/>
                <w:w w:val="110"/>
              </w:rPr>
              <w:t xml:space="preserve"> </w:t>
            </w:r>
            <w:r w:rsidRPr="00265A01">
              <w:rPr>
                <w:rStyle w:val="a9"/>
                <w:noProof/>
                <w:w w:val="110"/>
              </w:rPr>
              <w:t>Applications</w:t>
            </w:r>
            <w:r>
              <w:rPr>
                <w:noProof/>
                <w:webHidden/>
              </w:rPr>
              <w:tab/>
            </w:r>
            <w:r>
              <w:rPr>
                <w:noProof/>
                <w:webHidden/>
              </w:rPr>
              <w:fldChar w:fldCharType="begin"/>
            </w:r>
            <w:r>
              <w:rPr>
                <w:noProof/>
                <w:webHidden/>
              </w:rPr>
              <w:instrText xml:space="preserve"> PAGEREF _Toc54423813 \h </w:instrText>
            </w:r>
            <w:r>
              <w:rPr>
                <w:noProof/>
                <w:webHidden/>
              </w:rPr>
            </w:r>
            <w:r>
              <w:rPr>
                <w:noProof/>
                <w:webHidden/>
              </w:rPr>
              <w:fldChar w:fldCharType="separate"/>
            </w:r>
            <w:r>
              <w:rPr>
                <w:noProof/>
                <w:webHidden/>
              </w:rPr>
              <w:t>180</w:t>
            </w:r>
            <w:r>
              <w:rPr>
                <w:noProof/>
                <w:webHidden/>
              </w:rPr>
              <w:fldChar w:fldCharType="end"/>
            </w:r>
          </w:hyperlink>
        </w:p>
        <w:p w14:paraId="0D2BE714" w14:textId="0CA627AC"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14" w:history="1">
            <w:r w:rsidRPr="00265A01">
              <w:rPr>
                <w:rStyle w:val="a9"/>
                <w:noProof/>
                <w:spacing w:val="-1"/>
                <w:w w:val="113"/>
              </w:rPr>
              <w:t>4.26.4.</w:t>
            </w:r>
            <w:r>
              <w:rPr>
                <w:rFonts w:asciiTheme="minorHAnsi" w:eastAsiaTheme="minorEastAsia" w:hAnsiTheme="minorHAnsi" w:cstheme="minorBidi"/>
                <w:noProof/>
                <w:kern w:val="2"/>
                <w:szCs w:val="22"/>
                <w:lang w:eastAsia="zh-CN"/>
              </w:rPr>
              <w:tab/>
            </w:r>
            <w:r w:rsidRPr="00265A01">
              <w:rPr>
                <w:rStyle w:val="a9"/>
                <w:noProof/>
                <w:spacing w:val="-3"/>
                <w:w w:val="110"/>
              </w:rPr>
              <w:t>Test</w:t>
            </w:r>
            <w:r w:rsidRPr="00265A01">
              <w:rPr>
                <w:rStyle w:val="a9"/>
                <w:noProof/>
                <w:spacing w:val="-6"/>
                <w:w w:val="110"/>
              </w:rPr>
              <w:t xml:space="preserve"> </w:t>
            </w:r>
            <w:r w:rsidRPr="00265A01">
              <w:rPr>
                <w:rStyle w:val="a9"/>
                <w:noProof/>
                <w:w w:val="110"/>
              </w:rPr>
              <w:t>Utilities</w:t>
            </w:r>
            <w:r>
              <w:rPr>
                <w:noProof/>
                <w:webHidden/>
              </w:rPr>
              <w:tab/>
            </w:r>
            <w:r>
              <w:rPr>
                <w:noProof/>
                <w:webHidden/>
              </w:rPr>
              <w:fldChar w:fldCharType="begin"/>
            </w:r>
            <w:r>
              <w:rPr>
                <w:noProof/>
                <w:webHidden/>
              </w:rPr>
              <w:instrText xml:space="preserve"> PAGEREF _Toc54423814 \h </w:instrText>
            </w:r>
            <w:r>
              <w:rPr>
                <w:noProof/>
                <w:webHidden/>
              </w:rPr>
            </w:r>
            <w:r>
              <w:rPr>
                <w:noProof/>
                <w:webHidden/>
              </w:rPr>
              <w:fldChar w:fldCharType="separate"/>
            </w:r>
            <w:r>
              <w:rPr>
                <w:noProof/>
                <w:webHidden/>
              </w:rPr>
              <w:t>209</w:t>
            </w:r>
            <w:r>
              <w:rPr>
                <w:noProof/>
                <w:webHidden/>
              </w:rPr>
              <w:fldChar w:fldCharType="end"/>
            </w:r>
          </w:hyperlink>
        </w:p>
        <w:p w14:paraId="684CB27F" w14:textId="66FA1E69"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15" w:history="1">
            <w:r w:rsidRPr="00265A01">
              <w:rPr>
                <w:rStyle w:val="a9"/>
                <w:noProof/>
                <w:spacing w:val="-1"/>
                <w:w w:val="113"/>
              </w:rPr>
              <w:t>4.27.</w:t>
            </w:r>
            <w:r>
              <w:rPr>
                <w:rFonts w:asciiTheme="minorHAnsi" w:eastAsiaTheme="minorEastAsia" w:hAnsiTheme="minorHAnsi" w:cstheme="minorBidi"/>
                <w:noProof/>
                <w:kern w:val="2"/>
                <w:szCs w:val="22"/>
                <w:lang w:eastAsia="zh-CN"/>
              </w:rPr>
              <w:tab/>
            </w:r>
            <w:r w:rsidRPr="00265A01">
              <w:rPr>
                <w:rStyle w:val="a9"/>
                <w:noProof/>
                <w:spacing w:val="-4"/>
                <w:w w:val="110"/>
              </w:rPr>
              <w:t>WebSockets</w:t>
            </w:r>
            <w:r>
              <w:rPr>
                <w:noProof/>
                <w:webHidden/>
              </w:rPr>
              <w:tab/>
            </w:r>
            <w:r>
              <w:rPr>
                <w:noProof/>
                <w:webHidden/>
              </w:rPr>
              <w:fldChar w:fldCharType="begin"/>
            </w:r>
            <w:r>
              <w:rPr>
                <w:noProof/>
                <w:webHidden/>
              </w:rPr>
              <w:instrText xml:space="preserve"> PAGEREF _Toc54423815 \h </w:instrText>
            </w:r>
            <w:r>
              <w:rPr>
                <w:noProof/>
                <w:webHidden/>
              </w:rPr>
            </w:r>
            <w:r>
              <w:rPr>
                <w:noProof/>
                <w:webHidden/>
              </w:rPr>
              <w:fldChar w:fldCharType="separate"/>
            </w:r>
            <w:r>
              <w:rPr>
                <w:noProof/>
                <w:webHidden/>
              </w:rPr>
              <w:t>211</w:t>
            </w:r>
            <w:r>
              <w:rPr>
                <w:noProof/>
                <w:webHidden/>
              </w:rPr>
              <w:fldChar w:fldCharType="end"/>
            </w:r>
          </w:hyperlink>
        </w:p>
        <w:p w14:paraId="61688FDF" w14:textId="02CA7646"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16" w:history="1">
            <w:r w:rsidRPr="00265A01">
              <w:rPr>
                <w:rStyle w:val="a9"/>
                <w:noProof/>
                <w:spacing w:val="-1"/>
                <w:w w:val="113"/>
              </w:rPr>
              <w:t>4.28.</w:t>
            </w:r>
            <w:r>
              <w:rPr>
                <w:rFonts w:asciiTheme="minorHAnsi" w:eastAsiaTheme="minorEastAsia" w:hAnsiTheme="minorHAnsi" w:cstheme="minorBidi"/>
                <w:noProof/>
                <w:kern w:val="2"/>
                <w:szCs w:val="22"/>
                <w:lang w:eastAsia="zh-CN"/>
              </w:rPr>
              <w:tab/>
            </w:r>
            <w:r w:rsidRPr="00265A01">
              <w:rPr>
                <w:rStyle w:val="a9"/>
                <w:noProof/>
                <w:spacing w:val="-8"/>
                <w:w w:val="110"/>
              </w:rPr>
              <w:t>Web</w:t>
            </w:r>
            <w:r w:rsidRPr="00265A01">
              <w:rPr>
                <w:rStyle w:val="a9"/>
                <w:noProof/>
                <w:spacing w:val="-7"/>
                <w:w w:val="110"/>
              </w:rPr>
              <w:t xml:space="preserve"> </w:t>
            </w:r>
            <w:r w:rsidRPr="00265A01">
              <w:rPr>
                <w:rStyle w:val="a9"/>
                <w:noProof/>
                <w:w w:val="110"/>
              </w:rPr>
              <w:t>Services</w:t>
            </w:r>
            <w:r>
              <w:rPr>
                <w:noProof/>
                <w:webHidden/>
              </w:rPr>
              <w:tab/>
            </w:r>
            <w:r>
              <w:rPr>
                <w:noProof/>
                <w:webHidden/>
              </w:rPr>
              <w:fldChar w:fldCharType="begin"/>
            </w:r>
            <w:r>
              <w:rPr>
                <w:noProof/>
                <w:webHidden/>
              </w:rPr>
              <w:instrText xml:space="preserve"> PAGEREF _Toc54423816 \h </w:instrText>
            </w:r>
            <w:r>
              <w:rPr>
                <w:noProof/>
                <w:webHidden/>
              </w:rPr>
            </w:r>
            <w:r>
              <w:rPr>
                <w:noProof/>
                <w:webHidden/>
              </w:rPr>
              <w:fldChar w:fldCharType="separate"/>
            </w:r>
            <w:r>
              <w:rPr>
                <w:noProof/>
                <w:webHidden/>
              </w:rPr>
              <w:t>212</w:t>
            </w:r>
            <w:r>
              <w:rPr>
                <w:noProof/>
                <w:webHidden/>
              </w:rPr>
              <w:fldChar w:fldCharType="end"/>
            </w:r>
          </w:hyperlink>
        </w:p>
        <w:p w14:paraId="036440C5" w14:textId="5FFFA96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17" w:history="1">
            <w:r w:rsidRPr="00265A01">
              <w:rPr>
                <w:rStyle w:val="a9"/>
                <w:noProof/>
                <w:spacing w:val="-1"/>
                <w:w w:val="113"/>
              </w:rPr>
              <w:t>4.28.1.</w:t>
            </w:r>
            <w:r>
              <w:rPr>
                <w:rFonts w:asciiTheme="minorHAnsi" w:eastAsiaTheme="minorEastAsia" w:hAnsiTheme="minorHAnsi" w:cstheme="minorBidi"/>
                <w:noProof/>
                <w:kern w:val="2"/>
                <w:szCs w:val="22"/>
                <w:lang w:eastAsia="zh-CN"/>
              </w:rPr>
              <w:tab/>
            </w:r>
            <w:r w:rsidRPr="00265A01">
              <w:rPr>
                <w:rStyle w:val="a9"/>
                <w:noProof/>
                <w:w w:val="110"/>
              </w:rPr>
              <w:t xml:space="preserve">Calling </w:t>
            </w:r>
            <w:r w:rsidRPr="00265A01">
              <w:rPr>
                <w:rStyle w:val="a9"/>
                <w:noProof/>
                <w:spacing w:val="-6"/>
                <w:w w:val="110"/>
              </w:rPr>
              <w:t xml:space="preserve">Web </w:t>
            </w:r>
            <w:r w:rsidRPr="00265A01">
              <w:rPr>
                <w:rStyle w:val="a9"/>
                <w:noProof/>
                <w:w w:val="110"/>
              </w:rPr>
              <w:t>Services with</w:t>
            </w:r>
            <w:r w:rsidRPr="00265A01">
              <w:rPr>
                <w:rStyle w:val="a9"/>
                <w:noProof/>
                <w:spacing w:val="-19"/>
                <w:w w:val="110"/>
              </w:rPr>
              <w:t xml:space="preserve"> </w:t>
            </w:r>
            <w:r w:rsidRPr="00265A01">
              <w:rPr>
                <w:rStyle w:val="a9"/>
                <w:noProof/>
                <w:spacing w:val="-3"/>
                <w:w w:val="110"/>
              </w:rPr>
              <w:t>WebServiceTemplate</w:t>
            </w:r>
            <w:r>
              <w:rPr>
                <w:noProof/>
                <w:webHidden/>
              </w:rPr>
              <w:tab/>
            </w:r>
            <w:r>
              <w:rPr>
                <w:noProof/>
                <w:webHidden/>
              </w:rPr>
              <w:fldChar w:fldCharType="begin"/>
            </w:r>
            <w:r>
              <w:rPr>
                <w:noProof/>
                <w:webHidden/>
              </w:rPr>
              <w:instrText xml:space="preserve"> PAGEREF _Toc54423817 \h </w:instrText>
            </w:r>
            <w:r>
              <w:rPr>
                <w:noProof/>
                <w:webHidden/>
              </w:rPr>
            </w:r>
            <w:r>
              <w:rPr>
                <w:noProof/>
                <w:webHidden/>
              </w:rPr>
              <w:fldChar w:fldCharType="separate"/>
            </w:r>
            <w:r>
              <w:rPr>
                <w:noProof/>
                <w:webHidden/>
              </w:rPr>
              <w:t>212</w:t>
            </w:r>
            <w:r>
              <w:rPr>
                <w:noProof/>
                <w:webHidden/>
              </w:rPr>
              <w:fldChar w:fldCharType="end"/>
            </w:r>
          </w:hyperlink>
        </w:p>
        <w:p w14:paraId="3815887A" w14:textId="58A8B6E4"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18" w:history="1">
            <w:r w:rsidRPr="00265A01">
              <w:rPr>
                <w:rStyle w:val="a9"/>
                <w:noProof/>
                <w:spacing w:val="-1"/>
                <w:w w:val="113"/>
              </w:rPr>
              <w:t>4.29.</w:t>
            </w:r>
            <w:r>
              <w:rPr>
                <w:rFonts w:asciiTheme="minorHAnsi" w:eastAsiaTheme="minorEastAsia" w:hAnsiTheme="minorHAnsi" w:cstheme="minorBidi"/>
                <w:noProof/>
                <w:kern w:val="2"/>
                <w:szCs w:val="22"/>
                <w:lang w:eastAsia="zh-CN"/>
              </w:rPr>
              <w:tab/>
            </w:r>
            <w:r w:rsidRPr="00265A01">
              <w:rPr>
                <w:rStyle w:val="a9"/>
                <w:noProof/>
                <w:w w:val="110"/>
              </w:rPr>
              <w:t xml:space="preserve">Creating </w:t>
            </w:r>
            <w:r w:rsidRPr="00265A01">
              <w:rPr>
                <w:rStyle w:val="a9"/>
                <w:noProof/>
                <w:spacing w:val="-7"/>
                <w:w w:val="110"/>
              </w:rPr>
              <w:t xml:space="preserve">Your </w:t>
            </w:r>
            <w:r w:rsidRPr="00265A01">
              <w:rPr>
                <w:rStyle w:val="a9"/>
                <w:noProof/>
                <w:w w:val="110"/>
              </w:rPr>
              <w:t>Own</w:t>
            </w:r>
            <w:r w:rsidRPr="00265A01">
              <w:rPr>
                <w:rStyle w:val="a9"/>
                <w:noProof/>
                <w:spacing w:val="-24"/>
                <w:w w:val="110"/>
              </w:rPr>
              <w:t xml:space="preserve"> </w:t>
            </w:r>
            <w:r w:rsidRPr="00265A01">
              <w:rPr>
                <w:rStyle w:val="a9"/>
                <w:noProof/>
                <w:w w:val="110"/>
              </w:rPr>
              <w:t>Auto-configuration</w:t>
            </w:r>
            <w:r>
              <w:rPr>
                <w:noProof/>
                <w:webHidden/>
              </w:rPr>
              <w:tab/>
            </w:r>
            <w:r>
              <w:rPr>
                <w:noProof/>
                <w:webHidden/>
              </w:rPr>
              <w:fldChar w:fldCharType="begin"/>
            </w:r>
            <w:r>
              <w:rPr>
                <w:noProof/>
                <w:webHidden/>
              </w:rPr>
              <w:instrText xml:space="preserve"> PAGEREF _Toc54423818 \h </w:instrText>
            </w:r>
            <w:r>
              <w:rPr>
                <w:noProof/>
                <w:webHidden/>
              </w:rPr>
            </w:r>
            <w:r>
              <w:rPr>
                <w:noProof/>
                <w:webHidden/>
              </w:rPr>
              <w:fldChar w:fldCharType="separate"/>
            </w:r>
            <w:r>
              <w:rPr>
                <w:noProof/>
                <w:webHidden/>
              </w:rPr>
              <w:t>213</w:t>
            </w:r>
            <w:r>
              <w:rPr>
                <w:noProof/>
                <w:webHidden/>
              </w:rPr>
              <w:fldChar w:fldCharType="end"/>
            </w:r>
          </w:hyperlink>
        </w:p>
        <w:p w14:paraId="2D219207" w14:textId="7E749E25"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19" w:history="1">
            <w:r w:rsidRPr="00265A01">
              <w:rPr>
                <w:rStyle w:val="a9"/>
                <w:noProof/>
                <w:spacing w:val="-1"/>
                <w:w w:val="113"/>
              </w:rPr>
              <w:t>4.29.1.</w:t>
            </w:r>
            <w:r>
              <w:rPr>
                <w:rFonts w:asciiTheme="minorHAnsi" w:eastAsiaTheme="minorEastAsia" w:hAnsiTheme="minorHAnsi" w:cstheme="minorBidi"/>
                <w:noProof/>
                <w:kern w:val="2"/>
                <w:szCs w:val="22"/>
                <w:lang w:eastAsia="zh-CN"/>
              </w:rPr>
              <w:tab/>
            </w:r>
            <w:r w:rsidRPr="00265A01">
              <w:rPr>
                <w:rStyle w:val="a9"/>
                <w:noProof/>
                <w:w w:val="110"/>
              </w:rPr>
              <w:t>Understanding Auto-configured</w:t>
            </w:r>
            <w:r w:rsidRPr="00265A01">
              <w:rPr>
                <w:rStyle w:val="a9"/>
                <w:noProof/>
                <w:spacing w:val="-12"/>
                <w:w w:val="110"/>
              </w:rPr>
              <w:t xml:space="preserve"> </w:t>
            </w:r>
            <w:r w:rsidRPr="00265A01">
              <w:rPr>
                <w:rStyle w:val="a9"/>
                <w:noProof/>
                <w:w w:val="110"/>
              </w:rPr>
              <w:t>Beans</w:t>
            </w:r>
            <w:r>
              <w:rPr>
                <w:noProof/>
                <w:webHidden/>
              </w:rPr>
              <w:tab/>
            </w:r>
            <w:r>
              <w:rPr>
                <w:noProof/>
                <w:webHidden/>
              </w:rPr>
              <w:fldChar w:fldCharType="begin"/>
            </w:r>
            <w:r>
              <w:rPr>
                <w:noProof/>
                <w:webHidden/>
              </w:rPr>
              <w:instrText xml:space="preserve"> PAGEREF _Toc54423819 \h </w:instrText>
            </w:r>
            <w:r>
              <w:rPr>
                <w:noProof/>
                <w:webHidden/>
              </w:rPr>
            </w:r>
            <w:r>
              <w:rPr>
                <w:noProof/>
                <w:webHidden/>
              </w:rPr>
              <w:fldChar w:fldCharType="separate"/>
            </w:r>
            <w:r>
              <w:rPr>
                <w:noProof/>
                <w:webHidden/>
              </w:rPr>
              <w:t>213</w:t>
            </w:r>
            <w:r>
              <w:rPr>
                <w:noProof/>
                <w:webHidden/>
              </w:rPr>
              <w:fldChar w:fldCharType="end"/>
            </w:r>
          </w:hyperlink>
        </w:p>
        <w:p w14:paraId="7BEBEAFC" w14:textId="6E03D87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0" w:history="1">
            <w:r w:rsidRPr="00265A01">
              <w:rPr>
                <w:rStyle w:val="a9"/>
                <w:noProof/>
                <w:spacing w:val="-1"/>
                <w:w w:val="113"/>
              </w:rPr>
              <w:t>4.29.2.</w:t>
            </w:r>
            <w:r>
              <w:rPr>
                <w:rFonts w:asciiTheme="minorHAnsi" w:eastAsiaTheme="minorEastAsia" w:hAnsiTheme="minorHAnsi" w:cstheme="minorBidi"/>
                <w:noProof/>
                <w:kern w:val="2"/>
                <w:szCs w:val="22"/>
                <w:lang w:eastAsia="zh-CN"/>
              </w:rPr>
              <w:tab/>
            </w:r>
            <w:r w:rsidRPr="00265A01">
              <w:rPr>
                <w:rStyle w:val="a9"/>
                <w:noProof/>
                <w:w w:val="110"/>
              </w:rPr>
              <w:t>Locating Auto-configuration</w:t>
            </w:r>
            <w:r w:rsidRPr="00265A01">
              <w:rPr>
                <w:rStyle w:val="a9"/>
                <w:noProof/>
                <w:spacing w:val="-12"/>
                <w:w w:val="110"/>
              </w:rPr>
              <w:t xml:space="preserve"> </w:t>
            </w:r>
            <w:r w:rsidRPr="00265A01">
              <w:rPr>
                <w:rStyle w:val="a9"/>
                <w:noProof/>
                <w:w w:val="110"/>
              </w:rPr>
              <w:t>Candidates</w:t>
            </w:r>
            <w:r>
              <w:rPr>
                <w:noProof/>
                <w:webHidden/>
              </w:rPr>
              <w:tab/>
            </w:r>
            <w:r>
              <w:rPr>
                <w:noProof/>
                <w:webHidden/>
              </w:rPr>
              <w:fldChar w:fldCharType="begin"/>
            </w:r>
            <w:r>
              <w:rPr>
                <w:noProof/>
                <w:webHidden/>
              </w:rPr>
              <w:instrText xml:space="preserve"> PAGEREF _Toc54423820 \h </w:instrText>
            </w:r>
            <w:r>
              <w:rPr>
                <w:noProof/>
                <w:webHidden/>
              </w:rPr>
            </w:r>
            <w:r>
              <w:rPr>
                <w:noProof/>
                <w:webHidden/>
              </w:rPr>
              <w:fldChar w:fldCharType="separate"/>
            </w:r>
            <w:r>
              <w:rPr>
                <w:noProof/>
                <w:webHidden/>
              </w:rPr>
              <w:t>213</w:t>
            </w:r>
            <w:r>
              <w:rPr>
                <w:noProof/>
                <w:webHidden/>
              </w:rPr>
              <w:fldChar w:fldCharType="end"/>
            </w:r>
          </w:hyperlink>
        </w:p>
        <w:p w14:paraId="24A2BA96" w14:textId="76F3D52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1" w:history="1">
            <w:r w:rsidRPr="00265A01">
              <w:rPr>
                <w:rStyle w:val="a9"/>
                <w:noProof/>
                <w:spacing w:val="-1"/>
                <w:w w:val="113"/>
              </w:rPr>
              <w:t>4.29.3.</w:t>
            </w:r>
            <w:r>
              <w:rPr>
                <w:rFonts w:asciiTheme="minorHAnsi" w:eastAsiaTheme="minorEastAsia" w:hAnsiTheme="minorHAnsi" w:cstheme="minorBidi"/>
                <w:noProof/>
                <w:kern w:val="2"/>
                <w:szCs w:val="22"/>
                <w:lang w:eastAsia="zh-CN"/>
              </w:rPr>
              <w:tab/>
            </w:r>
            <w:r w:rsidRPr="00265A01">
              <w:rPr>
                <w:rStyle w:val="a9"/>
                <w:noProof/>
                <w:w w:val="110"/>
              </w:rPr>
              <w:t>Condition</w:t>
            </w:r>
            <w:r w:rsidRPr="00265A01">
              <w:rPr>
                <w:rStyle w:val="a9"/>
                <w:noProof/>
                <w:spacing w:val="-7"/>
                <w:w w:val="110"/>
              </w:rPr>
              <w:t xml:space="preserve"> </w:t>
            </w:r>
            <w:r w:rsidRPr="00265A01">
              <w:rPr>
                <w:rStyle w:val="a9"/>
                <w:noProof/>
                <w:w w:val="110"/>
              </w:rPr>
              <w:t>Annotations</w:t>
            </w:r>
            <w:r>
              <w:rPr>
                <w:noProof/>
                <w:webHidden/>
              </w:rPr>
              <w:tab/>
            </w:r>
            <w:r>
              <w:rPr>
                <w:noProof/>
                <w:webHidden/>
              </w:rPr>
              <w:fldChar w:fldCharType="begin"/>
            </w:r>
            <w:r>
              <w:rPr>
                <w:noProof/>
                <w:webHidden/>
              </w:rPr>
              <w:instrText xml:space="preserve"> PAGEREF _Toc54423821 \h </w:instrText>
            </w:r>
            <w:r>
              <w:rPr>
                <w:noProof/>
                <w:webHidden/>
              </w:rPr>
            </w:r>
            <w:r>
              <w:rPr>
                <w:noProof/>
                <w:webHidden/>
              </w:rPr>
              <w:fldChar w:fldCharType="separate"/>
            </w:r>
            <w:r>
              <w:rPr>
                <w:noProof/>
                <w:webHidden/>
              </w:rPr>
              <w:t>214</w:t>
            </w:r>
            <w:r>
              <w:rPr>
                <w:noProof/>
                <w:webHidden/>
              </w:rPr>
              <w:fldChar w:fldCharType="end"/>
            </w:r>
          </w:hyperlink>
        </w:p>
        <w:p w14:paraId="11DCDBD8" w14:textId="1B1C5CB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2" w:history="1">
            <w:r w:rsidRPr="00265A01">
              <w:rPr>
                <w:rStyle w:val="a9"/>
                <w:noProof/>
                <w:spacing w:val="-1"/>
                <w:w w:val="113"/>
              </w:rPr>
              <w:t>4.29.4.</w:t>
            </w:r>
            <w:r>
              <w:rPr>
                <w:rFonts w:asciiTheme="minorHAnsi" w:eastAsiaTheme="minorEastAsia" w:hAnsiTheme="minorHAnsi" w:cstheme="minorBidi"/>
                <w:noProof/>
                <w:kern w:val="2"/>
                <w:szCs w:val="22"/>
                <w:lang w:eastAsia="zh-CN"/>
              </w:rPr>
              <w:tab/>
            </w:r>
            <w:r w:rsidRPr="00265A01">
              <w:rPr>
                <w:rStyle w:val="a9"/>
                <w:noProof/>
                <w:w w:val="110"/>
              </w:rPr>
              <w:t>Testing your</w:t>
            </w:r>
            <w:r w:rsidRPr="00265A01">
              <w:rPr>
                <w:rStyle w:val="a9"/>
                <w:noProof/>
                <w:spacing w:val="-12"/>
                <w:w w:val="110"/>
              </w:rPr>
              <w:t xml:space="preserve"> </w:t>
            </w:r>
            <w:r w:rsidRPr="00265A01">
              <w:rPr>
                <w:rStyle w:val="a9"/>
                <w:noProof/>
                <w:w w:val="110"/>
              </w:rPr>
              <w:t>Auto-configuration</w:t>
            </w:r>
            <w:r>
              <w:rPr>
                <w:noProof/>
                <w:webHidden/>
              </w:rPr>
              <w:tab/>
            </w:r>
            <w:r>
              <w:rPr>
                <w:noProof/>
                <w:webHidden/>
              </w:rPr>
              <w:fldChar w:fldCharType="begin"/>
            </w:r>
            <w:r>
              <w:rPr>
                <w:noProof/>
                <w:webHidden/>
              </w:rPr>
              <w:instrText xml:space="preserve"> PAGEREF _Toc54423822 \h </w:instrText>
            </w:r>
            <w:r>
              <w:rPr>
                <w:noProof/>
                <w:webHidden/>
              </w:rPr>
            </w:r>
            <w:r>
              <w:rPr>
                <w:noProof/>
                <w:webHidden/>
              </w:rPr>
              <w:fldChar w:fldCharType="separate"/>
            </w:r>
            <w:r>
              <w:rPr>
                <w:noProof/>
                <w:webHidden/>
              </w:rPr>
              <w:t>216</w:t>
            </w:r>
            <w:r>
              <w:rPr>
                <w:noProof/>
                <w:webHidden/>
              </w:rPr>
              <w:fldChar w:fldCharType="end"/>
            </w:r>
          </w:hyperlink>
        </w:p>
        <w:p w14:paraId="60EAAEA8" w14:textId="06586CD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3" w:history="1">
            <w:r w:rsidRPr="00265A01">
              <w:rPr>
                <w:rStyle w:val="a9"/>
                <w:noProof/>
                <w:spacing w:val="-1"/>
                <w:w w:val="113"/>
              </w:rPr>
              <w:t>4.29.5.</w:t>
            </w:r>
            <w:r>
              <w:rPr>
                <w:rFonts w:asciiTheme="minorHAnsi" w:eastAsiaTheme="minorEastAsia" w:hAnsiTheme="minorHAnsi" w:cstheme="minorBidi"/>
                <w:noProof/>
                <w:kern w:val="2"/>
                <w:szCs w:val="22"/>
                <w:lang w:eastAsia="zh-CN"/>
              </w:rPr>
              <w:tab/>
            </w:r>
            <w:r w:rsidRPr="00265A01">
              <w:rPr>
                <w:rStyle w:val="a9"/>
                <w:noProof/>
                <w:w w:val="110"/>
              </w:rPr>
              <w:t xml:space="preserve">Creating </w:t>
            </w:r>
            <w:r w:rsidRPr="00265A01">
              <w:rPr>
                <w:rStyle w:val="a9"/>
                <w:noProof/>
                <w:spacing w:val="-6"/>
                <w:w w:val="110"/>
              </w:rPr>
              <w:t xml:space="preserve">Your </w:t>
            </w:r>
            <w:r w:rsidRPr="00265A01">
              <w:rPr>
                <w:rStyle w:val="a9"/>
                <w:noProof/>
                <w:w w:val="110"/>
              </w:rPr>
              <w:t>Own</w:t>
            </w:r>
            <w:r w:rsidRPr="00265A01">
              <w:rPr>
                <w:rStyle w:val="a9"/>
                <w:noProof/>
                <w:spacing w:val="-9"/>
                <w:w w:val="110"/>
              </w:rPr>
              <w:t xml:space="preserve"> </w:t>
            </w:r>
            <w:r w:rsidRPr="00265A01">
              <w:rPr>
                <w:rStyle w:val="a9"/>
                <w:noProof/>
                <w:w w:val="110"/>
              </w:rPr>
              <w:t>Starter</w:t>
            </w:r>
            <w:r>
              <w:rPr>
                <w:noProof/>
                <w:webHidden/>
              </w:rPr>
              <w:tab/>
            </w:r>
            <w:r>
              <w:rPr>
                <w:noProof/>
                <w:webHidden/>
              </w:rPr>
              <w:fldChar w:fldCharType="begin"/>
            </w:r>
            <w:r>
              <w:rPr>
                <w:noProof/>
                <w:webHidden/>
              </w:rPr>
              <w:instrText xml:space="preserve"> PAGEREF _Toc54423823 \h </w:instrText>
            </w:r>
            <w:r>
              <w:rPr>
                <w:noProof/>
                <w:webHidden/>
              </w:rPr>
            </w:r>
            <w:r>
              <w:rPr>
                <w:noProof/>
                <w:webHidden/>
              </w:rPr>
              <w:fldChar w:fldCharType="separate"/>
            </w:r>
            <w:r>
              <w:rPr>
                <w:noProof/>
                <w:webHidden/>
              </w:rPr>
              <w:t>218</w:t>
            </w:r>
            <w:r>
              <w:rPr>
                <w:noProof/>
                <w:webHidden/>
              </w:rPr>
              <w:fldChar w:fldCharType="end"/>
            </w:r>
          </w:hyperlink>
        </w:p>
        <w:p w14:paraId="263B3DEC" w14:textId="629AFE6B"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24" w:history="1">
            <w:r w:rsidRPr="00265A01">
              <w:rPr>
                <w:rStyle w:val="a9"/>
                <w:noProof/>
                <w:spacing w:val="-1"/>
                <w:w w:val="113"/>
              </w:rPr>
              <w:t>4.30.</w:t>
            </w:r>
            <w:r>
              <w:rPr>
                <w:rFonts w:asciiTheme="minorHAnsi" w:eastAsiaTheme="minorEastAsia" w:hAnsiTheme="minorHAnsi" w:cstheme="minorBidi"/>
                <w:noProof/>
                <w:kern w:val="2"/>
                <w:szCs w:val="22"/>
                <w:lang w:eastAsia="zh-CN"/>
              </w:rPr>
              <w:tab/>
            </w:r>
            <w:r w:rsidRPr="00265A01">
              <w:rPr>
                <w:rStyle w:val="a9"/>
                <w:noProof/>
                <w:spacing w:val="-2"/>
                <w:w w:val="110"/>
              </w:rPr>
              <w:t>Kotlin</w:t>
            </w:r>
            <w:r w:rsidRPr="00265A01">
              <w:rPr>
                <w:rStyle w:val="a9"/>
                <w:noProof/>
                <w:spacing w:val="-8"/>
                <w:w w:val="110"/>
              </w:rPr>
              <w:t xml:space="preserve"> </w:t>
            </w:r>
            <w:r w:rsidRPr="00265A01">
              <w:rPr>
                <w:rStyle w:val="a9"/>
                <w:noProof/>
                <w:w w:val="110"/>
              </w:rPr>
              <w:t>support</w:t>
            </w:r>
            <w:r>
              <w:rPr>
                <w:noProof/>
                <w:webHidden/>
              </w:rPr>
              <w:tab/>
            </w:r>
            <w:r>
              <w:rPr>
                <w:noProof/>
                <w:webHidden/>
              </w:rPr>
              <w:fldChar w:fldCharType="begin"/>
            </w:r>
            <w:r>
              <w:rPr>
                <w:noProof/>
                <w:webHidden/>
              </w:rPr>
              <w:instrText xml:space="preserve"> PAGEREF _Toc54423824 \h </w:instrText>
            </w:r>
            <w:r>
              <w:rPr>
                <w:noProof/>
                <w:webHidden/>
              </w:rPr>
            </w:r>
            <w:r>
              <w:rPr>
                <w:noProof/>
                <w:webHidden/>
              </w:rPr>
              <w:fldChar w:fldCharType="separate"/>
            </w:r>
            <w:r>
              <w:rPr>
                <w:noProof/>
                <w:webHidden/>
              </w:rPr>
              <w:t>222</w:t>
            </w:r>
            <w:r>
              <w:rPr>
                <w:noProof/>
                <w:webHidden/>
              </w:rPr>
              <w:fldChar w:fldCharType="end"/>
            </w:r>
          </w:hyperlink>
        </w:p>
        <w:p w14:paraId="49C346DF" w14:textId="07BCA1B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5" w:history="1">
            <w:r w:rsidRPr="00265A01">
              <w:rPr>
                <w:rStyle w:val="a9"/>
                <w:noProof/>
                <w:spacing w:val="-1"/>
                <w:w w:val="113"/>
              </w:rPr>
              <w:t>4.30.1.</w:t>
            </w:r>
            <w:r>
              <w:rPr>
                <w:rFonts w:asciiTheme="minorHAnsi" w:eastAsiaTheme="minorEastAsia" w:hAnsiTheme="minorHAnsi" w:cstheme="minorBidi"/>
                <w:noProof/>
                <w:kern w:val="2"/>
                <w:szCs w:val="22"/>
                <w:lang w:eastAsia="zh-CN"/>
              </w:rPr>
              <w:tab/>
            </w:r>
            <w:r w:rsidRPr="00265A01">
              <w:rPr>
                <w:rStyle w:val="a9"/>
                <w:noProof/>
                <w:w w:val="110"/>
              </w:rPr>
              <w:t>Requirements</w:t>
            </w:r>
            <w:r>
              <w:rPr>
                <w:noProof/>
                <w:webHidden/>
              </w:rPr>
              <w:tab/>
            </w:r>
            <w:r>
              <w:rPr>
                <w:noProof/>
                <w:webHidden/>
              </w:rPr>
              <w:fldChar w:fldCharType="begin"/>
            </w:r>
            <w:r>
              <w:rPr>
                <w:noProof/>
                <w:webHidden/>
              </w:rPr>
              <w:instrText xml:space="preserve"> PAGEREF _Toc54423825 \h </w:instrText>
            </w:r>
            <w:r>
              <w:rPr>
                <w:noProof/>
                <w:webHidden/>
              </w:rPr>
            </w:r>
            <w:r>
              <w:rPr>
                <w:noProof/>
                <w:webHidden/>
              </w:rPr>
              <w:fldChar w:fldCharType="separate"/>
            </w:r>
            <w:r>
              <w:rPr>
                <w:noProof/>
                <w:webHidden/>
              </w:rPr>
              <w:t>222</w:t>
            </w:r>
            <w:r>
              <w:rPr>
                <w:noProof/>
                <w:webHidden/>
              </w:rPr>
              <w:fldChar w:fldCharType="end"/>
            </w:r>
          </w:hyperlink>
        </w:p>
        <w:p w14:paraId="6382C56E" w14:textId="394D6F1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6" w:history="1">
            <w:r w:rsidRPr="00265A01">
              <w:rPr>
                <w:rStyle w:val="a9"/>
                <w:noProof/>
                <w:spacing w:val="-1"/>
                <w:w w:val="113"/>
              </w:rPr>
              <w:t>4.30.2.</w:t>
            </w:r>
            <w:r>
              <w:rPr>
                <w:rFonts w:asciiTheme="minorHAnsi" w:eastAsiaTheme="minorEastAsia" w:hAnsiTheme="minorHAnsi" w:cstheme="minorBidi"/>
                <w:noProof/>
                <w:kern w:val="2"/>
                <w:szCs w:val="22"/>
                <w:lang w:eastAsia="zh-CN"/>
              </w:rPr>
              <w:tab/>
            </w:r>
            <w:r w:rsidRPr="00265A01">
              <w:rPr>
                <w:rStyle w:val="a9"/>
                <w:noProof/>
                <w:w w:val="105"/>
              </w:rPr>
              <w:t>Null-safety</w:t>
            </w:r>
            <w:r>
              <w:rPr>
                <w:noProof/>
                <w:webHidden/>
              </w:rPr>
              <w:tab/>
            </w:r>
            <w:r>
              <w:rPr>
                <w:noProof/>
                <w:webHidden/>
              </w:rPr>
              <w:fldChar w:fldCharType="begin"/>
            </w:r>
            <w:r>
              <w:rPr>
                <w:noProof/>
                <w:webHidden/>
              </w:rPr>
              <w:instrText xml:space="preserve"> PAGEREF _Toc54423826 \h </w:instrText>
            </w:r>
            <w:r>
              <w:rPr>
                <w:noProof/>
                <w:webHidden/>
              </w:rPr>
            </w:r>
            <w:r>
              <w:rPr>
                <w:noProof/>
                <w:webHidden/>
              </w:rPr>
              <w:fldChar w:fldCharType="separate"/>
            </w:r>
            <w:r>
              <w:rPr>
                <w:noProof/>
                <w:webHidden/>
              </w:rPr>
              <w:t>222</w:t>
            </w:r>
            <w:r>
              <w:rPr>
                <w:noProof/>
                <w:webHidden/>
              </w:rPr>
              <w:fldChar w:fldCharType="end"/>
            </w:r>
          </w:hyperlink>
        </w:p>
        <w:p w14:paraId="2ADD06CC" w14:textId="71A5275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7" w:history="1">
            <w:r w:rsidRPr="00265A01">
              <w:rPr>
                <w:rStyle w:val="a9"/>
                <w:noProof/>
                <w:spacing w:val="-1"/>
                <w:w w:val="113"/>
              </w:rPr>
              <w:t>4.30.3.</w:t>
            </w:r>
            <w:r>
              <w:rPr>
                <w:rFonts w:asciiTheme="minorHAnsi" w:eastAsiaTheme="minorEastAsia" w:hAnsiTheme="minorHAnsi" w:cstheme="minorBidi"/>
                <w:noProof/>
                <w:kern w:val="2"/>
                <w:szCs w:val="22"/>
                <w:lang w:eastAsia="zh-CN"/>
              </w:rPr>
              <w:tab/>
            </w:r>
            <w:r w:rsidRPr="00265A01">
              <w:rPr>
                <w:rStyle w:val="a9"/>
                <w:noProof/>
                <w:w w:val="105"/>
              </w:rPr>
              <w:t>Kotlin</w:t>
            </w:r>
            <w:r w:rsidRPr="00265A01">
              <w:rPr>
                <w:rStyle w:val="a9"/>
                <w:noProof/>
                <w:spacing w:val="-3"/>
                <w:w w:val="105"/>
              </w:rPr>
              <w:t xml:space="preserve"> </w:t>
            </w:r>
            <w:r w:rsidRPr="00265A01">
              <w:rPr>
                <w:rStyle w:val="a9"/>
                <w:noProof/>
                <w:w w:val="105"/>
              </w:rPr>
              <w:t>API</w:t>
            </w:r>
            <w:r>
              <w:rPr>
                <w:noProof/>
                <w:webHidden/>
              </w:rPr>
              <w:tab/>
            </w:r>
            <w:r>
              <w:rPr>
                <w:noProof/>
                <w:webHidden/>
              </w:rPr>
              <w:fldChar w:fldCharType="begin"/>
            </w:r>
            <w:r>
              <w:rPr>
                <w:noProof/>
                <w:webHidden/>
              </w:rPr>
              <w:instrText xml:space="preserve"> PAGEREF _Toc54423827 \h </w:instrText>
            </w:r>
            <w:r>
              <w:rPr>
                <w:noProof/>
                <w:webHidden/>
              </w:rPr>
            </w:r>
            <w:r>
              <w:rPr>
                <w:noProof/>
                <w:webHidden/>
              </w:rPr>
              <w:fldChar w:fldCharType="separate"/>
            </w:r>
            <w:r>
              <w:rPr>
                <w:noProof/>
                <w:webHidden/>
              </w:rPr>
              <w:t>223</w:t>
            </w:r>
            <w:r>
              <w:rPr>
                <w:noProof/>
                <w:webHidden/>
              </w:rPr>
              <w:fldChar w:fldCharType="end"/>
            </w:r>
          </w:hyperlink>
        </w:p>
        <w:p w14:paraId="7C5A80EB" w14:textId="68F0FEC5"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8" w:history="1">
            <w:r w:rsidRPr="00265A01">
              <w:rPr>
                <w:rStyle w:val="a9"/>
                <w:noProof/>
                <w:spacing w:val="-1"/>
                <w:w w:val="113"/>
              </w:rPr>
              <w:t>4.30.4.</w:t>
            </w:r>
            <w:r>
              <w:rPr>
                <w:rFonts w:asciiTheme="minorHAnsi" w:eastAsiaTheme="minorEastAsia" w:hAnsiTheme="minorHAnsi" w:cstheme="minorBidi"/>
                <w:noProof/>
                <w:kern w:val="2"/>
                <w:szCs w:val="22"/>
                <w:lang w:eastAsia="zh-CN"/>
              </w:rPr>
              <w:tab/>
            </w:r>
            <w:r w:rsidRPr="00265A01">
              <w:rPr>
                <w:rStyle w:val="a9"/>
                <w:noProof/>
                <w:w w:val="110"/>
              </w:rPr>
              <w:t>Dependency</w:t>
            </w:r>
            <w:r w:rsidRPr="00265A01">
              <w:rPr>
                <w:rStyle w:val="a9"/>
                <w:noProof/>
                <w:spacing w:val="-5"/>
                <w:w w:val="110"/>
              </w:rPr>
              <w:t xml:space="preserve"> </w:t>
            </w:r>
            <w:r w:rsidRPr="00265A01">
              <w:rPr>
                <w:rStyle w:val="a9"/>
                <w:noProof/>
                <w:w w:val="110"/>
              </w:rPr>
              <w:t>management</w:t>
            </w:r>
            <w:r>
              <w:rPr>
                <w:noProof/>
                <w:webHidden/>
              </w:rPr>
              <w:tab/>
            </w:r>
            <w:r>
              <w:rPr>
                <w:noProof/>
                <w:webHidden/>
              </w:rPr>
              <w:fldChar w:fldCharType="begin"/>
            </w:r>
            <w:r>
              <w:rPr>
                <w:noProof/>
                <w:webHidden/>
              </w:rPr>
              <w:instrText xml:space="preserve"> PAGEREF _Toc54423828 \h </w:instrText>
            </w:r>
            <w:r>
              <w:rPr>
                <w:noProof/>
                <w:webHidden/>
              </w:rPr>
            </w:r>
            <w:r>
              <w:rPr>
                <w:noProof/>
                <w:webHidden/>
              </w:rPr>
              <w:fldChar w:fldCharType="separate"/>
            </w:r>
            <w:r>
              <w:rPr>
                <w:noProof/>
                <w:webHidden/>
              </w:rPr>
              <w:t>223</w:t>
            </w:r>
            <w:r>
              <w:rPr>
                <w:noProof/>
                <w:webHidden/>
              </w:rPr>
              <w:fldChar w:fldCharType="end"/>
            </w:r>
          </w:hyperlink>
        </w:p>
        <w:p w14:paraId="3710BC25" w14:textId="5D1D08E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29" w:history="1">
            <w:r w:rsidRPr="00265A01">
              <w:rPr>
                <w:rStyle w:val="a9"/>
                <w:noProof/>
                <w:spacing w:val="-1"/>
                <w:w w:val="113"/>
              </w:rPr>
              <w:t>4.30.5.</w:t>
            </w:r>
            <w:r>
              <w:rPr>
                <w:rFonts w:asciiTheme="minorHAnsi" w:eastAsiaTheme="minorEastAsia" w:hAnsiTheme="minorHAnsi" w:cstheme="minorBidi"/>
                <w:noProof/>
                <w:kern w:val="2"/>
                <w:szCs w:val="22"/>
                <w:lang w:eastAsia="zh-CN"/>
              </w:rPr>
              <w:tab/>
            </w:r>
            <w:r w:rsidRPr="00265A01">
              <w:rPr>
                <w:rStyle w:val="a9"/>
                <w:noProof/>
                <w:w w:val="115"/>
              </w:rPr>
              <w:t>@ConfigurationProperties</w:t>
            </w:r>
            <w:r>
              <w:rPr>
                <w:noProof/>
                <w:webHidden/>
              </w:rPr>
              <w:tab/>
            </w:r>
            <w:r>
              <w:rPr>
                <w:noProof/>
                <w:webHidden/>
              </w:rPr>
              <w:fldChar w:fldCharType="begin"/>
            </w:r>
            <w:r>
              <w:rPr>
                <w:noProof/>
                <w:webHidden/>
              </w:rPr>
              <w:instrText xml:space="preserve"> PAGEREF _Toc54423829 \h </w:instrText>
            </w:r>
            <w:r>
              <w:rPr>
                <w:noProof/>
                <w:webHidden/>
              </w:rPr>
            </w:r>
            <w:r>
              <w:rPr>
                <w:noProof/>
                <w:webHidden/>
              </w:rPr>
              <w:fldChar w:fldCharType="separate"/>
            </w:r>
            <w:r>
              <w:rPr>
                <w:noProof/>
                <w:webHidden/>
              </w:rPr>
              <w:t>224</w:t>
            </w:r>
            <w:r>
              <w:rPr>
                <w:noProof/>
                <w:webHidden/>
              </w:rPr>
              <w:fldChar w:fldCharType="end"/>
            </w:r>
          </w:hyperlink>
        </w:p>
        <w:p w14:paraId="180EAC30" w14:textId="17445A1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30" w:history="1">
            <w:r w:rsidRPr="00265A01">
              <w:rPr>
                <w:rStyle w:val="a9"/>
                <w:noProof/>
                <w:spacing w:val="-1"/>
                <w:w w:val="113"/>
              </w:rPr>
              <w:t>4.30.6.</w:t>
            </w:r>
            <w:r>
              <w:rPr>
                <w:rFonts w:asciiTheme="minorHAnsi" w:eastAsiaTheme="minorEastAsia" w:hAnsiTheme="minorHAnsi" w:cstheme="minorBidi"/>
                <w:noProof/>
                <w:kern w:val="2"/>
                <w:szCs w:val="22"/>
                <w:lang w:eastAsia="zh-CN"/>
              </w:rPr>
              <w:tab/>
            </w:r>
            <w:r w:rsidRPr="00265A01">
              <w:rPr>
                <w:rStyle w:val="a9"/>
                <w:noProof/>
                <w:w w:val="110"/>
              </w:rPr>
              <w:t>Testing</w:t>
            </w:r>
            <w:r>
              <w:rPr>
                <w:noProof/>
                <w:webHidden/>
              </w:rPr>
              <w:tab/>
            </w:r>
            <w:r>
              <w:rPr>
                <w:noProof/>
                <w:webHidden/>
              </w:rPr>
              <w:fldChar w:fldCharType="begin"/>
            </w:r>
            <w:r>
              <w:rPr>
                <w:noProof/>
                <w:webHidden/>
              </w:rPr>
              <w:instrText xml:space="preserve"> PAGEREF _Toc54423830 \h </w:instrText>
            </w:r>
            <w:r>
              <w:rPr>
                <w:noProof/>
                <w:webHidden/>
              </w:rPr>
            </w:r>
            <w:r>
              <w:rPr>
                <w:noProof/>
                <w:webHidden/>
              </w:rPr>
              <w:fldChar w:fldCharType="separate"/>
            </w:r>
            <w:r>
              <w:rPr>
                <w:noProof/>
                <w:webHidden/>
              </w:rPr>
              <w:t>224</w:t>
            </w:r>
            <w:r>
              <w:rPr>
                <w:noProof/>
                <w:webHidden/>
              </w:rPr>
              <w:fldChar w:fldCharType="end"/>
            </w:r>
          </w:hyperlink>
        </w:p>
        <w:p w14:paraId="05F071A0" w14:textId="4BCF4789"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31" w:history="1">
            <w:r w:rsidRPr="00265A01">
              <w:rPr>
                <w:rStyle w:val="a9"/>
                <w:noProof/>
                <w:spacing w:val="-1"/>
                <w:w w:val="113"/>
              </w:rPr>
              <w:t>4.30.7.</w:t>
            </w:r>
            <w:r>
              <w:rPr>
                <w:rFonts w:asciiTheme="minorHAnsi" w:eastAsiaTheme="minorEastAsia" w:hAnsiTheme="minorHAnsi" w:cstheme="minorBidi"/>
                <w:noProof/>
                <w:kern w:val="2"/>
                <w:szCs w:val="22"/>
                <w:lang w:eastAsia="zh-CN"/>
              </w:rPr>
              <w:tab/>
            </w:r>
            <w:r w:rsidRPr="00265A01">
              <w:rPr>
                <w:rStyle w:val="a9"/>
                <w:noProof/>
                <w:w w:val="110"/>
              </w:rPr>
              <w:t>Resources</w:t>
            </w:r>
            <w:r>
              <w:rPr>
                <w:noProof/>
                <w:webHidden/>
              </w:rPr>
              <w:tab/>
            </w:r>
            <w:r>
              <w:rPr>
                <w:noProof/>
                <w:webHidden/>
              </w:rPr>
              <w:fldChar w:fldCharType="begin"/>
            </w:r>
            <w:r>
              <w:rPr>
                <w:noProof/>
                <w:webHidden/>
              </w:rPr>
              <w:instrText xml:space="preserve"> PAGEREF _Toc54423831 \h </w:instrText>
            </w:r>
            <w:r>
              <w:rPr>
                <w:noProof/>
                <w:webHidden/>
              </w:rPr>
            </w:r>
            <w:r>
              <w:rPr>
                <w:noProof/>
                <w:webHidden/>
              </w:rPr>
              <w:fldChar w:fldCharType="separate"/>
            </w:r>
            <w:r>
              <w:rPr>
                <w:noProof/>
                <w:webHidden/>
              </w:rPr>
              <w:t>225</w:t>
            </w:r>
            <w:r>
              <w:rPr>
                <w:noProof/>
                <w:webHidden/>
              </w:rPr>
              <w:fldChar w:fldCharType="end"/>
            </w:r>
          </w:hyperlink>
        </w:p>
        <w:p w14:paraId="7443C5D6" w14:textId="6BF1C359"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32" w:history="1">
            <w:r w:rsidRPr="00265A01">
              <w:rPr>
                <w:rStyle w:val="a9"/>
                <w:noProof/>
                <w:spacing w:val="-1"/>
                <w:w w:val="113"/>
              </w:rPr>
              <w:t>4.31.</w:t>
            </w:r>
            <w:r>
              <w:rPr>
                <w:rFonts w:asciiTheme="minorHAnsi" w:eastAsiaTheme="minorEastAsia" w:hAnsiTheme="minorHAnsi" w:cstheme="minorBidi"/>
                <w:noProof/>
                <w:kern w:val="2"/>
                <w:szCs w:val="22"/>
                <w:lang w:eastAsia="zh-CN"/>
              </w:rPr>
              <w:tab/>
            </w:r>
            <w:r w:rsidRPr="00265A01">
              <w:rPr>
                <w:rStyle w:val="a9"/>
                <w:noProof/>
                <w:w w:val="110"/>
              </w:rPr>
              <w:t>Building Container</w:t>
            </w:r>
            <w:r w:rsidRPr="00265A01">
              <w:rPr>
                <w:rStyle w:val="a9"/>
                <w:noProof/>
                <w:spacing w:val="-17"/>
                <w:w w:val="110"/>
              </w:rPr>
              <w:t xml:space="preserve"> </w:t>
            </w:r>
            <w:r w:rsidRPr="00265A01">
              <w:rPr>
                <w:rStyle w:val="a9"/>
                <w:noProof/>
                <w:w w:val="110"/>
              </w:rPr>
              <w:t>Images</w:t>
            </w:r>
            <w:r>
              <w:rPr>
                <w:noProof/>
                <w:webHidden/>
              </w:rPr>
              <w:tab/>
            </w:r>
            <w:r>
              <w:rPr>
                <w:noProof/>
                <w:webHidden/>
              </w:rPr>
              <w:fldChar w:fldCharType="begin"/>
            </w:r>
            <w:r>
              <w:rPr>
                <w:noProof/>
                <w:webHidden/>
              </w:rPr>
              <w:instrText xml:space="preserve"> PAGEREF _Toc54423832 \h </w:instrText>
            </w:r>
            <w:r>
              <w:rPr>
                <w:noProof/>
                <w:webHidden/>
              </w:rPr>
            </w:r>
            <w:r>
              <w:rPr>
                <w:noProof/>
                <w:webHidden/>
              </w:rPr>
              <w:fldChar w:fldCharType="separate"/>
            </w:r>
            <w:r>
              <w:rPr>
                <w:noProof/>
                <w:webHidden/>
              </w:rPr>
              <w:t>225</w:t>
            </w:r>
            <w:r>
              <w:rPr>
                <w:noProof/>
                <w:webHidden/>
              </w:rPr>
              <w:fldChar w:fldCharType="end"/>
            </w:r>
          </w:hyperlink>
        </w:p>
        <w:p w14:paraId="6709A437" w14:textId="1A01FB3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33" w:history="1">
            <w:r w:rsidRPr="00265A01">
              <w:rPr>
                <w:rStyle w:val="a9"/>
                <w:noProof/>
                <w:spacing w:val="-1"/>
                <w:w w:val="113"/>
              </w:rPr>
              <w:t>4.31.1.</w:t>
            </w:r>
            <w:r>
              <w:rPr>
                <w:rFonts w:asciiTheme="minorHAnsi" w:eastAsiaTheme="minorEastAsia" w:hAnsiTheme="minorHAnsi" w:cstheme="minorBidi"/>
                <w:noProof/>
                <w:kern w:val="2"/>
                <w:szCs w:val="22"/>
                <w:lang w:eastAsia="zh-CN"/>
              </w:rPr>
              <w:tab/>
            </w:r>
            <w:r w:rsidRPr="00265A01">
              <w:rPr>
                <w:rStyle w:val="a9"/>
                <w:noProof/>
                <w:w w:val="110"/>
              </w:rPr>
              <w:t>Building Docker</w:t>
            </w:r>
            <w:r w:rsidRPr="00265A01">
              <w:rPr>
                <w:rStyle w:val="a9"/>
                <w:noProof/>
                <w:spacing w:val="-13"/>
                <w:w w:val="110"/>
              </w:rPr>
              <w:t xml:space="preserve"> </w:t>
            </w:r>
            <w:r w:rsidRPr="00265A01">
              <w:rPr>
                <w:rStyle w:val="a9"/>
                <w:noProof/>
                <w:w w:val="110"/>
              </w:rPr>
              <w:t>images</w:t>
            </w:r>
            <w:r>
              <w:rPr>
                <w:noProof/>
                <w:webHidden/>
              </w:rPr>
              <w:tab/>
            </w:r>
            <w:r>
              <w:rPr>
                <w:noProof/>
                <w:webHidden/>
              </w:rPr>
              <w:fldChar w:fldCharType="begin"/>
            </w:r>
            <w:r>
              <w:rPr>
                <w:noProof/>
                <w:webHidden/>
              </w:rPr>
              <w:instrText xml:space="preserve"> PAGEREF _Toc54423833 \h </w:instrText>
            </w:r>
            <w:r>
              <w:rPr>
                <w:noProof/>
                <w:webHidden/>
              </w:rPr>
            </w:r>
            <w:r>
              <w:rPr>
                <w:noProof/>
                <w:webHidden/>
              </w:rPr>
              <w:fldChar w:fldCharType="separate"/>
            </w:r>
            <w:r>
              <w:rPr>
                <w:noProof/>
                <w:webHidden/>
              </w:rPr>
              <w:t>225</w:t>
            </w:r>
            <w:r>
              <w:rPr>
                <w:noProof/>
                <w:webHidden/>
              </w:rPr>
              <w:fldChar w:fldCharType="end"/>
            </w:r>
          </w:hyperlink>
        </w:p>
        <w:p w14:paraId="77EDCD62" w14:textId="508BBE2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34" w:history="1">
            <w:r w:rsidRPr="00265A01">
              <w:rPr>
                <w:rStyle w:val="a9"/>
                <w:noProof/>
                <w:spacing w:val="-1"/>
                <w:w w:val="113"/>
              </w:rPr>
              <w:t>4.31.2.</w:t>
            </w:r>
            <w:r>
              <w:rPr>
                <w:rFonts w:asciiTheme="minorHAnsi" w:eastAsiaTheme="minorEastAsia" w:hAnsiTheme="minorHAnsi" w:cstheme="minorBidi"/>
                <w:noProof/>
                <w:kern w:val="2"/>
                <w:szCs w:val="22"/>
                <w:lang w:eastAsia="zh-CN"/>
              </w:rPr>
              <w:tab/>
            </w:r>
            <w:r w:rsidRPr="00265A01">
              <w:rPr>
                <w:rStyle w:val="a9"/>
                <w:noProof/>
                <w:w w:val="110"/>
              </w:rPr>
              <w:t>Buildpacks</w:t>
            </w:r>
            <w:r>
              <w:rPr>
                <w:noProof/>
                <w:webHidden/>
              </w:rPr>
              <w:tab/>
            </w:r>
            <w:r>
              <w:rPr>
                <w:noProof/>
                <w:webHidden/>
              </w:rPr>
              <w:fldChar w:fldCharType="begin"/>
            </w:r>
            <w:r>
              <w:rPr>
                <w:noProof/>
                <w:webHidden/>
              </w:rPr>
              <w:instrText xml:space="preserve"> PAGEREF _Toc54423834 \h </w:instrText>
            </w:r>
            <w:r>
              <w:rPr>
                <w:noProof/>
                <w:webHidden/>
              </w:rPr>
            </w:r>
            <w:r>
              <w:rPr>
                <w:noProof/>
                <w:webHidden/>
              </w:rPr>
              <w:fldChar w:fldCharType="separate"/>
            </w:r>
            <w:r>
              <w:rPr>
                <w:noProof/>
                <w:webHidden/>
              </w:rPr>
              <w:t>228</w:t>
            </w:r>
            <w:r>
              <w:rPr>
                <w:noProof/>
                <w:webHidden/>
              </w:rPr>
              <w:fldChar w:fldCharType="end"/>
            </w:r>
          </w:hyperlink>
        </w:p>
        <w:p w14:paraId="78ED2F05" w14:textId="271A9876"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35" w:history="1">
            <w:r w:rsidRPr="00265A01">
              <w:rPr>
                <w:rStyle w:val="a9"/>
                <w:noProof/>
                <w:spacing w:val="-1"/>
                <w:w w:val="113"/>
              </w:rPr>
              <w:t>4.32.</w:t>
            </w:r>
            <w:r>
              <w:rPr>
                <w:rFonts w:asciiTheme="minorHAnsi" w:eastAsiaTheme="minorEastAsia" w:hAnsiTheme="minorHAnsi" w:cstheme="minorBidi"/>
                <w:noProof/>
                <w:kern w:val="2"/>
                <w:szCs w:val="22"/>
                <w:lang w:eastAsia="zh-CN"/>
              </w:rPr>
              <w:tab/>
            </w:r>
            <w:r w:rsidRPr="00265A01">
              <w:rPr>
                <w:rStyle w:val="a9"/>
                <w:noProof/>
                <w:w w:val="110"/>
              </w:rPr>
              <w:t>What to Read</w:t>
            </w:r>
            <w:r w:rsidRPr="00265A01">
              <w:rPr>
                <w:rStyle w:val="a9"/>
                <w:noProof/>
                <w:spacing w:val="-20"/>
                <w:w w:val="110"/>
              </w:rPr>
              <w:t xml:space="preserve"> </w:t>
            </w:r>
            <w:r w:rsidRPr="00265A01">
              <w:rPr>
                <w:rStyle w:val="a9"/>
                <w:noProof/>
                <w:w w:val="110"/>
              </w:rPr>
              <w:t>Next</w:t>
            </w:r>
            <w:r>
              <w:rPr>
                <w:noProof/>
                <w:webHidden/>
              </w:rPr>
              <w:tab/>
            </w:r>
            <w:r>
              <w:rPr>
                <w:noProof/>
                <w:webHidden/>
              </w:rPr>
              <w:fldChar w:fldCharType="begin"/>
            </w:r>
            <w:r>
              <w:rPr>
                <w:noProof/>
                <w:webHidden/>
              </w:rPr>
              <w:instrText xml:space="preserve"> PAGEREF _Toc54423835 \h </w:instrText>
            </w:r>
            <w:r>
              <w:rPr>
                <w:noProof/>
                <w:webHidden/>
              </w:rPr>
            </w:r>
            <w:r>
              <w:rPr>
                <w:noProof/>
                <w:webHidden/>
              </w:rPr>
              <w:fldChar w:fldCharType="separate"/>
            </w:r>
            <w:r>
              <w:rPr>
                <w:noProof/>
                <w:webHidden/>
              </w:rPr>
              <w:t>228</w:t>
            </w:r>
            <w:r>
              <w:rPr>
                <w:noProof/>
                <w:webHidden/>
              </w:rPr>
              <w:fldChar w:fldCharType="end"/>
            </w:r>
          </w:hyperlink>
        </w:p>
        <w:p w14:paraId="3E31CDED" w14:textId="3975D631"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36" w:history="1">
            <w:r w:rsidRPr="00265A01">
              <w:rPr>
                <w:rStyle w:val="a9"/>
                <w:noProof/>
                <w:spacing w:val="-1"/>
                <w:w w:val="113"/>
              </w:rPr>
              <w:t>5.1.</w:t>
            </w:r>
            <w:r>
              <w:rPr>
                <w:rFonts w:asciiTheme="minorHAnsi" w:eastAsiaTheme="minorEastAsia" w:hAnsiTheme="minorHAnsi" w:cstheme="minorBidi"/>
                <w:noProof/>
                <w:kern w:val="2"/>
                <w:szCs w:val="22"/>
                <w:lang w:eastAsia="zh-CN"/>
              </w:rPr>
              <w:tab/>
            </w:r>
            <w:r w:rsidRPr="00265A01">
              <w:rPr>
                <w:rStyle w:val="a9"/>
                <w:noProof/>
                <w:w w:val="110"/>
              </w:rPr>
              <w:t>Enabling Production-ready</w:t>
            </w:r>
            <w:r w:rsidRPr="00265A01">
              <w:rPr>
                <w:rStyle w:val="a9"/>
                <w:noProof/>
                <w:spacing w:val="-8"/>
                <w:w w:val="110"/>
              </w:rPr>
              <w:t xml:space="preserve"> </w:t>
            </w:r>
            <w:r w:rsidRPr="00265A01">
              <w:rPr>
                <w:rStyle w:val="a9"/>
                <w:noProof/>
                <w:spacing w:val="-3"/>
                <w:w w:val="110"/>
              </w:rPr>
              <w:t>Features</w:t>
            </w:r>
            <w:r>
              <w:rPr>
                <w:noProof/>
                <w:webHidden/>
              </w:rPr>
              <w:tab/>
            </w:r>
            <w:r>
              <w:rPr>
                <w:noProof/>
                <w:webHidden/>
              </w:rPr>
              <w:fldChar w:fldCharType="begin"/>
            </w:r>
            <w:r>
              <w:rPr>
                <w:noProof/>
                <w:webHidden/>
              </w:rPr>
              <w:instrText xml:space="preserve"> PAGEREF _Toc54423836 \h </w:instrText>
            </w:r>
            <w:r>
              <w:rPr>
                <w:noProof/>
                <w:webHidden/>
              </w:rPr>
            </w:r>
            <w:r>
              <w:rPr>
                <w:noProof/>
                <w:webHidden/>
              </w:rPr>
              <w:fldChar w:fldCharType="separate"/>
            </w:r>
            <w:r>
              <w:rPr>
                <w:noProof/>
                <w:webHidden/>
              </w:rPr>
              <w:t>229</w:t>
            </w:r>
            <w:r>
              <w:rPr>
                <w:noProof/>
                <w:webHidden/>
              </w:rPr>
              <w:fldChar w:fldCharType="end"/>
            </w:r>
          </w:hyperlink>
        </w:p>
        <w:p w14:paraId="17B5C15C" w14:textId="25095DF7"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37" w:history="1">
            <w:r w:rsidRPr="00265A01">
              <w:rPr>
                <w:rStyle w:val="a9"/>
                <w:noProof/>
                <w:spacing w:val="-1"/>
                <w:w w:val="113"/>
              </w:rPr>
              <w:t>5.2.</w:t>
            </w:r>
            <w:r>
              <w:rPr>
                <w:rFonts w:asciiTheme="minorHAnsi" w:eastAsiaTheme="minorEastAsia" w:hAnsiTheme="minorHAnsi" w:cstheme="minorBidi"/>
                <w:noProof/>
                <w:kern w:val="2"/>
                <w:szCs w:val="22"/>
                <w:lang w:eastAsia="zh-CN"/>
              </w:rPr>
              <w:tab/>
            </w:r>
            <w:r w:rsidRPr="00265A01">
              <w:rPr>
                <w:rStyle w:val="a9"/>
                <w:noProof/>
                <w:w w:val="110"/>
              </w:rPr>
              <w:t>Endpoints</w:t>
            </w:r>
            <w:r>
              <w:rPr>
                <w:noProof/>
                <w:webHidden/>
              </w:rPr>
              <w:tab/>
            </w:r>
            <w:r>
              <w:rPr>
                <w:noProof/>
                <w:webHidden/>
              </w:rPr>
              <w:fldChar w:fldCharType="begin"/>
            </w:r>
            <w:r>
              <w:rPr>
                <w:noProof/>
                <w:webHidden/>
              </w:rPr>
              <w:instrText xml:space="preserve"> PAGEREF _Toc54423837 \h </w:instrText>
            </w:r>
            <w:r>
              <w:rPr>
                <w:noProof/>
                <w:webHidden/>
              </w:rPr>
            </w:r>
            <w:r>
              <w:rPr>
                <w:noProof/>
                <w:webHidden/>
              </w:rPr>
              <w:fldChar w:fldCharType="separate"/>
            </w:r>
            <w:r>
              <w:rPr>
                <w:noProof/>
                <w:webHidden/>
              </w:rPr>
              <w:t>229</w:t>
            </w:r>
            <w:r>
              <w:rPr>
                <w:noProof/>
                <w:webHidden/>
              </w:rPr>
              <w:fldChar w:fldCharType="end"/>
            </w:r>
          </w:hyperlink>
        </w:p>
        <w:p w14:paraId="32C7AC1B" w14:textId="772B456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38" w:history="1">
            <w:r w:rsidRPr="00265A01">
              <w:rPr>
                <w:rStyle w:val="a9"/>
                <w:noProof/>
                <w:spacing w:val="-1"/>
                <w:w w:val="113"/>
              </w:rPr>
              <w:t>5.2.1.</w:t>
            </w:r>
            <w:r>
              <w:rPr>
                <w:rFonts w:asciiTheme="minorHAnsi" w:eastAsiaTheme="minorEastAsia" w:hAnsiTheme="minorHAnsi" w:cstheme="minorBidi"/>
                <w:noProof/>
                <w:kern w:val="2"/>
                <w:szCs w:val="22"/>
                <w:lang w:eastAsia="zh-CN"/>
              </w:rPr>
              <w:tab/>
            </w:r>
            <w:r w:rsidRPr="00265A01">
              <w:rPr>
                <w:rStyle w:val="a9"/>
                <w:noProof/>
                <w:w w:val="110"/>
              </w:rPr>
              <w:t>Enabling</w:t>
            </w:r>
            <w:r w:rsidRPr="00265A01">
              <w:rPr>
                <w:rStyle w:val="a9"/>
                <w:noProof/>
                <w:spacing w:val="-6"/>
                <w:w w:val="110"/>
              </w:rPr>
              <w:t xml:space="preserve"> </w:t>
            </w:r>
            <w:r w:rsidRPr="00265A01">
              <w:rPr>
                <w:rStyle w:val="a9"/>
                <w:noProof/>
                <w:w w:val="110"/>
              </w:rPr>
              <w:t>Endpoints</w:t>
            </w:r>
            <w:r>
              <w:rPr>
                <w:noProof/>
                <w:webHidden/>
              </w:rPr>
              <w:tab/>
            </w:r>
            <w:r>
              <w:rPr>
                <w:noProof/>
                <w:webHidden/>
              </w:rPr>
              <w:fldChar w:fldCharType="begin"/>
            </w:r>
            <w:r>
              <w:rPr>
                <w:noProof/>
                <w:webHidden/>
              </w:rPr>
              <w:instrText xml:space="preserve"> PAGEREF _Toc54423838 \h </w:instrText>
            </w:r>
            <w:r>
              <w:rPr>
                <w:noProof/>
                <w:webHidden/>
              </w:rPr>
            </w:r>
            <w:r>
              <w:rPr>
                <w:noProof/>
                <w:webHidden/>
              </w:rPr>
              <w:fldChar w:fldCharType="separate"/>
            </w:r>
            <w:r>
              <w:rPr>
                <w:noProof/>
                <w:webHidden/>
              </w:rPr>
              <w:t>231</w:t>
            </w:r>
            <w:r>
              <w:rPr>
                <w:noProof/>
                <w:webHidden/>
              </w:rPr>
              <w:fldChar w:fldCharType="end"/>
            </w:r>
          </w:hyperlink>
        </w:p>
        <w:p w14:paraId="31225ECD" w14:textId="6B31792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39" w:history="1">
            <w:r w:rsidRPr="00265A01">
              <w:rPr>
                <w:rStyle w:val="a9"/>
                <w:noProof/>
                <w:spacing w:val="-1"/>
                <w:w w:val="113"/>
              </w:rPr>
              <w:t>5.2.2.</w:t>
            </w:r>
            <w:r>
              <w:rPr>
                <w:rFonts w:asciiTheme="minorHAnsi" w:eastAsiaTheme="minorEastAsia" w:hAnsiTheme="minorHAnsi" w:cstheme="minorBidi"/>
                <w:noProof/>
                <w:kern w:val="2"/>
                <w:szCs w:val="22"/>
                <w:lang w:eastAsia="zh-CN"/>
              </w:rPr>
              <w:tab/>
            </w:r>
            <w:r w:rsidRPr="00265A01">
              <w:rPr>
                <w:rStyle w:val="a9"/>
                <w:noProof/>
                <w:w w:val="110"/>
              </w:rPr>
              <w:t>Exposing</w:t>
            </w:r>
            <w:r w:rsidRPr="00265A01">
              <w:rPr>
                <w:rStyle w:val="a9"/>
                <w:noProof/>
                <w:spacing w:val="-6"/>
                <w:w w:val="110"/>
              </w:rPr>
              <w:t xml:space="preserve"> </w:t>
            </w:r>
            <w:r w:rsidRPr="00265A01">
              <w:rPr>
                <w:rStyle w:val="a9"/>
                <w:noProof/>
                <w:w w:val="110"/>
              </w:rPr>
              <w:t>Endpoints</w:t>
            </w:r>
            <w:r>
              <w:rPr>
                <w:noProof/>
                <w:webHidden/>
              </w:rPr>
              <w:tab/>
            </w:r>
            <w:r>
              <w:rPr>
                <w:noProof/>
                <w:webHidden/>
              </w:rPr>
              <w:fldChar w:fldCharType="begin"/>
            </w:r>
            <w:r>
              <w:rPr>
                <w:noProof/>
                <w:webHidden/>
              </w:rPr>
              <w:instrText xml:space="preserve"> PAGEREF _Toc54423839 \h </w:instrText>
            </w:r>
            <w:r>
              <w:rPr>
                <w:noProof/>
                <w:webHidden/>
              </w:rPr>
            </w:r>
            <w:r>
              <w:rPr>
                <w:noProof/>
                <w:webHidden/>
              </w:rPr>
              <w:fldChar w:fldCharType="separate"/>
            </w:r>
            <w:r>
              <w:rPr>
                <w:noProof/>
                <w:webHidden/>
              </w:rPr>
              <w:t>231</w:t>
            </w:r>
            <w:r>
              <w:rPr>
                <w:noProof/>
                <w:webHidden/>
              </w:rPr>
              <w:fldChar w:fldCharType="end"/>
            </w:r>
          </w:hyperlink>
        </w:p>
        <w:p w14:paraId="0E9BB3E5" w14:textId="4DABB5A9"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40" w:history="1">
            <w:r w:rsidRPr="00265A01">
              <w:rPr>
                <w:rStyle w:val="a9"/>
                <w:noProof/>
                <w:spacing w:val="-1"/>
                <w:w w:val="113"/>
              </w:rPr>
              <w:t>5.2.3.</w:t>
            </w:r>
            <w:r>
              <w:rPr>
                <w:rFonts w:asciiTheme="minorHAnsi" w:eastAsiaTheme="minorEastAsia" w:hAnsiTheme="minorHAnsi" w:cstheme="minorBidi"/>
                <w:noProof/>
                <w:kern w:val="2"/>
                <w:szCs w:val="22"/>
                <w:lang w:eastAsia="zh-CN"/>
              </w:rPr>
              <w:tab/>
            </w:r>
            <w:r w:rsidRPr="00265A01">
              <w:rPr>
                <w:rStyle w:val="a9"/>
                <w:noProof/>
                <w:w w:val="110"/>
              </w:rPr>
              <w:t>Securing HTTP</w:t>
            </w:r>
            <w:r w:rsidRPr="00265A01">
              <w:rPr>
                <w:rStyle w:val="a9"/>
                <w:noProof/>
                <w:spacing w:val="-14"/>
                <w:w w:val="110"/>
              </w:rPr>
              <w:t xml:space="preserve"> </w:t>
            </w:r>
            <w:r w:rsidRPr="00265A01">
              <w:rPr>
                <w:rStyle w:val="a9"/>
                <w:noProof/>
                <w:w w:val="110"/>
              </w:rPr>
              <w:t>Endpoints</w:t>
            </w:r>
            <w:r>
              <w:rPr>
                <w:noProof/>
                <w:webHidden/>
              </w:rPr>
              <w:tab/>
            </w:r>
            <w:r>
              <w:rPr>
                <w:noProof/>
                <w:webHidden/>
              </w:rPr>
              <w:fldChar w:fldCharType="begin"/>
            </w:r>
            <w:r>
              <w:rPr>
                <w:noProof/>
                <w:webHidden/>
              </w:rPr>
              <w:instrText xml:space="preserve"> PAGEREF _Toc54423840 \h </w:instrText>
            </w:r>
            <w:r>
              <w:rPr>
                <w:noProof/>
                <w:webHidden/>
              </w:rPr>
            </w:r>
            <w:r>
              <w:rPr>
                <w:noProof/>
                <w:webHidden/>
              </w:rPr>
              <w:fldChar w:fldCharType="separate"/>
            </w:r>
            <w:r>
              <w:rPr>
                <w:noProof/>
                <w:webHidden/>
              </w:rPr>
              <w:t>233</w:t>
            </w:r>
            <w:r>
              <w:rPr>
                <w:noProof/>
                <w:webHidden/>
              </w:rPr>
              <w:fldChar w:fldCharType="end"/>
            </w:r>
          </w:hyperlink>
        </w:p>
        <w:p w14:paraId="06510E5E" w14:textId="66C1F1F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41" w:history="1">
            <w:r w:rsidRPr="00265A01">
              <w:rPr>
                <w:rStyle w:val="a9"/>
                <w:noProof/>
                <w:spacing w:val="-1"/>
                <w:w w:val="113"/>
              </w:rPr>
              <w:t>5.2.4.</w:t>
            </w:r>
            <w:r>
              <w:rPr>
                <w:rFonts w:asciiTheme="minorHAnsi" w:eastAsiaTheme="minorEastAsia" w:hAnsiTheme="minorHAnsi" w:cstheme="minorBidi"/>
                <w:noProof/>
                <w:kern w:val="2"/>
                <w:szCs w:val="22"/>
                <w:lang w:eastAsia="zh-CN"/>
              </w:rPr>
              <w:tab/>
            </w:r>
            <w:r w:rsidRPr="00265A01">
              <w:rPr>
                <w:rStyle w:val="a9"/>
                <w:noProof/>
                <w:w w:val="110"/>
              </w:rPr>
              <w:t>Configuring</w:t>
            </w:r>
            <w:r w:rsidRPr="00265A01">
              <w:rPr>
                <w:rStyle w:val="a9"/>
                <w:noProof/>
                <w:spacing w:val="-7"/>
                <w:w w:val="110"/>
              </w:rPr>
              <w:t xml:space="preserve"> </w:t>
            </w:r>
            <w:r w:rsidRPr="00265A01">
              <w:rPr>
                <w:rStyle w:val="a9"/>
                <w:noProof/>
                <w:w w:val="110"/>
              </w:rPr>
              <w:t>Endpoints</w:t>
            </w:r>
            <w:r>
              <w:rPr>
                <w:noProof/>
                <w:webHidden/>
              </w:rPr>
              <w:tab/>
            </w:r>
            <w:r>
              <w:rPr>
                <w:noProof/>
                <w:webHidden/>
              </w:rPr>
              <w:fldChar w:fldCharType="begin"/>
            </w:r>
            <w:r>
              <w:rPr>
                <w:noProof/>
                <w:webHidden/>
              </w:rPr>
              <w:instrText xml:space="preserve"> PAGEREF _Toc54423841 \h </w:instrText>
            </w:r>
            <w:r>
              <w:rPr>
                <w:noProof/>
                <w:webHidden/>
              </w:rPr>
            </w:r>
            <w:r>
              <w:rPr>
                <w:noProof/>
                <w:webHidden/>
              </w:rPr>
              <w:fldChar w:fldCharType="separate"/>
            </w:r>
            <w:r>
              <w:rPr>
                <w:noProof/>
                <w:webHidden/>
              </w:rPr>
              <w:t>234</w:t>
            </w:r>
            <w:r>
              <w:rPr>
                <w:noProof/>
                <w:webHidden/>
              </w:rPr>
              <w:fldChar w:fldCharType="end"/>
            </w:r>
          </w:hyperlink>
        </w:p>
        <w:p w14:paraId="6EA0EC22" w14:textId="7C3043C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42" w:history="1">
            <w:r w:rsidRPr="00265A01">
              <w:rPr>
                <w:rStyle w:val="a9"/>
                <w:noProof/>
                <w:spacing w:val="-1"/>
                <w:w w:val="113"/>
              </w:rPr>
              <w:t>5.2.5.</w:t>
            </w:r>
            <w:r>
              <w:rPr>
                <w:rFonts w:asciiTheme="minorHAnsi" w:eastAsiaTheme="minorEastAsia" w:hAnsiTheme="minorHAnsi" w:cstheme="minorBidi"/>
                <w:noProof/>
                <w:kern w:val="2"/>
                <w:szCs w:val="22"/>
                <w:lang w:eastAsia="zh-CN"/>
              </w:rPr>
              <w:tab/>
            </w:r>
            <w:r w:rsidRPr="00265A01">
              <w:rPr>
                <w:rStyle w:val="a9"/>
                <w:noProof/>
                <w:w w:val="110"/>
              </w:rPr>
              <w:t xml:space="preserve">Hypermedia for Actuator </w:t>
            </w:r>
            <w:r w:rsidRPr="00265A01">
              <w:rPr>
                <w:rStyle w:val="a9"/>
                <w:noProof/>
                <w:spacing w:val="-6"/>
                <w:w w:val="110"/>
              </w:rPr>
              <w:t>Web</w:t>
            </w:r>
            <w:r w:rsidRPr="00265A01">
              <w:rPr>
                <w:rStyle w:val="a9"/>
                <w:noProof/>
                <w:spacing w:val="-21"/>
                <w:w w:val="110"/>
              </w:rPr>
              <w:t xml:space="preserve"> </w:t>
            </w:r>
            <w:r w:rsidRPr="00265A01">
              <w:rPr>
                <w:rStyle w:val="a9"/>
                <w:noProof/>
                <w:w w:val="110"/>
              </w:rPr>
              <w:t>Endpoints</w:t>
            </w:r>
            <w:r>
              <w:rPr>
                <w:noProof/>
                <w:webHidden/>
              </w:rPr>
              <w:tab/>
            </w:r>
            <w:r>
              <w:rPr>
                <w:noProof/>
                <w:webHidden/>
              </w:rPr>
              <w:fldChar w:fldCharType="begin"/>
            </w:r>
            <w:r>
              <w:rPr>
                <w:noProof/>
                <w:webHidden/>
              </w:rPr>
              <w:instrText xml:space="preserve"> PAGEREF _Toc54423842 \h </w:instrText>
            </w:r>
            <w:r>
              <w:rPr>
                <w:noProof/>
                <w:webHidden/>
              </w:rPr>
            </w:r>
            <w:r>
              <w:rPr>
                <w:noProof/>
                <w:webHidden/>
              </w:rPr>
              <w:fldChar w:fldCharType="separate"/>
            </w:r>
            <w:r>
              <w:rPr>
                <w:noProof/>
                <w:webHidden/>
              </w:rPr>
              <w:t>234</w:t>
            </w:r>
            <w:r>
              <w:rPr>
                <w:noProof/>
                <w:webHidden/>
              </w:rPr>
              <w:fldChar w:fldCharType="end"/>
            </w:r>
          </w:hyperlink>
        </w:p>
        <w:p w14:paraId="2E8FD933" w14:textId="49EB2F7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43" w:history="1">
            <w:r w:rsidRPr="00265A01">
              <w:rPr>
                <w:rStyle w:val="a9"/>
                <w:noProof/>
                <w:spacing w:val="-1"/>
                <w:w w:val="113"/>
              </w:rPr>
              <w:t>5.2.6.</w:t>
            </w:r>
            <w:r>
              <w:rPr>
                <w:rFonts w:asciiTheme="minorHAnsi" w:eastAsiaTheme="minorEastAsia" w:hAnsiTheme="minorHAnsi" w:cstheme="minorBidi"/>
                <w:noProof/>
                <w:kern w:val="2"/>
                <w:szCs w:val="22"/>
                <w:lang w:eastAsia="zh-CN"/>
              </w:rPr>
              <w:tab/>
            </w:r>
            <w:r w:rsidRPr="00265A01">
              <w:rPr>
                <w:rStyle w:val="a9"/>
                <w:noProof/>
                <w:w w:val="105"/>
              </w:rPr>
              <w:t>CORS</w:t>
            </w:r>
            <w:r w:rsidRPr="00265A01">
              <w:rPr>
                <w:rStyle w:val="a9"/>
                <w:noProof/>
                <w:spacing w:val="-3"/>
                <w:w w:val="105"/>
              </w:rPr>
              <w:t xml:space="preserve"> </w:t>
            </w:r>
            <w:r w:rsidRPr="00265A01">
              <w:rPr>
                <w:rStyle w:val="a9"/>
                <w:noProof/>
                <w:w w:val="105"/>
              </w:rPr>
              <w:t>Support</w:t>
            </w:r>
            <w:r>
              <w:rPr>
                <w:noProof/>
                <w:webHidden/>
              </w:rPr>
              <w:tab/>
            </w:r>
            <w:r>
              <w:rPr>
                <w:noProof/>
                <w:webHidden/>
              </w:rPr>
              <w:fldChar w:fldCharType="begin"/>
            </w:r>
            <w:r>
              <w:rPr>
                <w:noProof/>
                <w:webHidden/>
              </w:rPr>
              <w:instrText xml:space="preserve"> PAGEREF _Toc54423843 \h </w:instrText>
            </w:r>
            <w:r>
              <w:rPr>
                <w:noProof/>
                <w:webHidden/>
              </w:rPr>
            </w:r>
            <w:r>
              <w:rPr>
                <w:noProof/>
                <w:webHidden/>
              </w:rPr>
              <w:fldChar w:fldCharType="separate"/>
            </w:r>
            <w:r>
              <w:rPr>
                <w:noProof/>
                <w:webHidden/>
              </w:rPr>
              <w:t>235</w:t>
            </w:r>
            <w:r>
              <w:rPr>
                <w:noProof/>
                <w:webHidden/>
              </w:rPr>
              <w:fldChar w:fldCharType="end"/>
            </w:r>
          </w:hyperlink>
        </w:p>
        <w:p w14:paraId="5F8C5550" w14:textId="3A86F42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44" w:history="1">
            <w:r w:rsidRPr="00265A01">
              <w:rPr>
                <w:rStyle w:val="a9"/>
                <w:noProof/>
                <w:spacing w:val="-1"/>
                <w:w w:val="113"/>
              </w:rPr>
              <w:t>5.2.7.</w:t>
            </w:r>
            <w:r>
              <w:rPr>
                <w:rFonts w:asciiTheme="minorHAnsi" w:eastAsiaTheme="minorEastAsia" w:hAnsiTheme="minorHAnsi" w:cstheme="minorBidi"/>
                <w:noProof/>
                <w:kern w:val="2"/>
                <w:szCs w:val="22"/>
                <w:lang w:eastAsia="zh-CN"/>
              </w:rPr>
              <w:tab/>
            </w:r>
            <w:r w:rsidRPr="00265A01">
              <w:rPr>
                <w:rStyle w:val="a9"/>
                <w:noProof/>
                <w:w w:val="110"/>
              </w:rPr>
              <w:t>Implementing Custom</w:t>
            </w:r>
            <w:r w:rsidRPr="00265A01">
              <w:rPr>
                <w:rStyle w:val="a9"/>
                <w:noProof/>
                <w:spacing w:val="-13"/>
                <w:w w:val="110"/>
              </w:rPr>
              <w:t xml:space="preserve"> </w:t>
            </w:r>
            <w:r w:rsidRPr="00265A01">
              <w:rPr>
                <w:rStyle w:val="a9"/>
                <w:noProof/>
                <w:w w:val="110"/>
              </w:rPr>
              <w:t>Endpoints</w:t>
            </w:r>
            <w:r>
              <w:rPr>
                <w:noProof/>
                <w:webHidden/>
              </w:rPr>
              <w:tab/>
            </w:r>
            <w:r>
              <w:rPr>
                <w:noProof/>
                <w:webHidden/>
              </w:rPr>
              <w:fldChar w:fldCharType="begin"/>
            </w:r>
            <w:r>
              <w:rPr>
                <w:noProof/>
                <w:webHidden/>
              </w:rPr>
              <w:instrText xml:space="preserve"> PAGEREF _Toc54423844 \h </w:instrText>
            </w:r>
            <w:r>
              <w:rPr>
                <w:noProof/>
                <w:webHidden/>
              </w:rPr>
            </w:r>
            <w:r>
              <w:rPr>
                <w:noProof/>
                <w:webHidden/>
              </w:rPr>
              <w:fldChar w:fldCharType="separate"/>
            </w:r>
            <w:r>
              <w:rPr>
                <w:noProof/>
                <w:webHidden/>
              </w:rPr>
              <w:t>235</w:t>
            </w:r>
            <w:r>
              <w:rPr>
                <w:noProof/>
                <w:webHidden/>
              </w:rPr>
              <w:fldChar w:fldCharType="end"/>
            </w:r>
          </w:hyperlink>
        </w:p>
        <w:p w14:paraId="25B1CB76" w14:textId="04F7AB6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45" w:history="1">
            <w:r w:rsidRPr="00265A01">
              <w:rPr>
                <w:rStyle w:val="a9"/>
                <w:noProof/>
                <w:spacing w:val="-1"/>
                <w:w w:val="113"/>
              </w:rPr>
              <w:t>5.2.8.</w:t>
            </w:r>
            <w:r>
              <w:rPr>
                <w:rFonts w:asciiTheme="minorHAnsi" w:eastAsiaTheme="minorEastAsia" w:hAnsiTheme="minorHAnsi" w:cstheme="minorBidi"/>
                <w:noProof/>
                <w:kern w:val="2"/>
                <w:szCs w:val="22"/>
                <w:lang w:eastAsia="zh-CN"/>
              </w:rPr>
              <w:tab/>
            </w:r>
            <w:r w:rsidRPr="00265A01">
              <w:rPr>
                <w:rStyle w:val="a9"/>
                <w:noProof/>
                <w:w w:val="110"/>
              </w:rPr>
              <w:t>Health</w:t>
            </w:r>
            <w:r w:rsidRPr="00265A01">
              <w:rPr>
                <w:rStyle w:val="a9"/>
                <w:noProof/>
                <w:spacing w:val="-6"/>
                <w:w w:val="110"/>
              </w:rPr>
              <w:t xml:space="preserve"> </w:t>
            </w:r>
            <w:r w:rsidRPr="00265A01">
              <w:rPr>
                <w:rStyle w:val="a9"/>
                <w:noProof/>
                <w:w w:val="110"/>
              </w:rPr>
              <w:t>Information</w:t>
            </w:r>
            <w:r>
              <w:rPr>
                <w:noProof/>
                <w:webHidden/>
              </w:rPr>
              <w:tab/>
            </w:r>
            <w:r>
              <w:rPr>
                <w:noProof/>
                <w:webHidden/>
              </w:rPr>
              <w:fldChar w:fldCharType="begin"/>
            </w:r>
            <w:r>
              <w:rPr>
                <w:noProof/>
                <w:webHidden/>
              </w:rPr>
              <w:instrText xml:space="preserve"> PAGEREF _Toc54423845 \h </w:instrText>
            </w:r>
            <w:r>
              <w:rPr>
                <w:noProof/>
                <w:webHidden/>
              </w:rPr>
            </w:r>
            <w:r>
              <w:rPr>
                <w:noProof/>
                <w:webHidden/>
              </w:rPr>
              <w:fldChar w:fldCharType="separate"/>
            </w:r>
            <w:r>
              <w:rPr>
                <w:noProof/>
                <w:webHidden/>
              </w:rPr>
              <w:t>238</w:t>
            </w:r>
            <w:r>
              <w:rPr>
                <w:noProof/>
                <w:webHidden/>
              </w:rPr>
              <w:fldChar w:fldCharType="end"/>
            </w:r>
          </w:hyperlink>
        </w:p>
        <w:p w14:paraId="30D728D6" w14:textId="3393229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46" w:history="1">
            <w:r w:rsidRPr="00265A01">
              <w:rPr>
                <w:rStyle w:val="a9"/>
                <w:noProof/>
                <w:spacing w:val="-1"/>
                <w:w w:val="113"/>
              </w:rPr>
              <w:t>5.2.9.</w:t>
            </w:r>
            <w:r>
              <w:rPr>
                <w:rFonts w:asciiTheme="minorHAnsi" w:eastAsiaTheme="minorEastAsia" w:hAnsiTheme="minorHAnsi" w:cstheme="minorBidi"/>
                <w:noProof/>
                <w:kern w:val="2"/>
                <w:szCs w:val="22"/>
                <w:lang w:eastAsia="zh-CN"/>
              </w:rPr>
              <w:tab/>
            </w:r>
            <w:r w:rsidRPr="00265A01">
              <w:rPr>
                <w:rStyle w:val="a9"/>
                <w:noProof/>
                <w:w w:val="110"/>
              </w:rPr>
              <w:t>Kubernetes</w:t>
            </w:r>
            <w:r w:rsidRPr="00265A01">
              <w:rPr>
                <w:rStyle w:val="a9"/>
                <w:noProof/>
                <w:spacing w:val="-6"/>
                <w:w w:val="110"/>
              </w:rPr>
              <w:t xml:space="preserve"> </w:t>
            </w:r>
            <w:r w:rsidRPr="00265A01">
              <w:rPr>
                <w:rStyle w:val="a9"/>
                <w:noProof/>
                <w:w w:val="110"/>
              </w:rPr>
              <w:t>Probes</w:t>
            </w:r>
            <w:r>
              <w:rPr>
                <w:noProof/>
                <w:webHidden/>
              </w:rPr>
              <w:tab/>
            </w:r>
            <w:r>
              <w:rPr>
                <w:noProof/>
                <w:webHidden/>
              </w:rPr>
              <w:fldChar w:fldCharType="begin"/>
            </w:r>
            <w:r>
              <w:rPr>
                <w:noProof/>
                <w:webHidden/>
              </w:rPr>
              <w:instrText xml:space="preserve"> PAGEREF _Toc54423846 \h </w:instrText>
            </w:r>
            <w:r>
              <w:rPr>
                <w:noProof/>
                <w:webHidden/>
              </w:rPr>
            </w:r>
            <w:r>
              <w:rPr>
                <w:noProof/>
                <w:webHidden/>
              </w:rPr>
              <w:fldChar w:fldCharType="separate"/>
            </w:r>
            <w:r>
              <w:rPr>
                <w:noProof/>
                <w:webHidden/>
              </w:rPr>
              <w:t>244</w:t>
            </w:r>
            <w:r>
              <w:rPr>
                <w:noProof/>
                <w:webHidden/>
              </w:rPr>
              <w:fldChar w:fldCharType="end"/>
            </w:r>
          </w:hyperlink>
        </w:p>
        <w:p w14:paraId="494671B5" w14:textId="3817B20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47" w:history="1">
            <w:r w:rsidRPr="00265A01">
              <w:rPr>
                <w:rStyle w:val="a9"/>
                <w:noProof/>
                <w:spacing w:val="-1"/>
                <w:w w:val="113"/>
              </w:rPr>
              <w:t>5.2.10.</w:t>
            </w:r>
            <w:r>
              <w:rPr>
                <w:rFonts w:asciiTheme="minorHAnsi" w:eastAsiaTheme="minorEastAsia" w:hAnsiTheme="minorHAnsi" w:cstheme="minorBidi"/>
                <w:noProof/>
                <w:kern w:val="2"/>
                <w:szCs w:val="22"/>
                <w:lang w:eastAsia="zh-CN"/>
              </w:rPr>
              <w:tab/>
            </w:r>
            <w:r w:rsidRPr="00265A01">
              <w:rPr>
                <w:rStyle w:val="a9"/>
                <w:noProof/>
                <w:w w:val="110"/>
              </w:rPr>
              <w:t>Application</w:t>
            </w:r>
            <w:r w:rsidRPr="00265A01">
              <w:rPr>
                <w:rStyle w:val="a9"/>
                <w:noProof/>
                <w:spacing w:val="-6"/>
                <w:w w:val="110"/>
              </w:rPr>
              <w:t xml:space="preserve"> </w:t>
            </w:r>
            <w:r w:rsidRPr="00265A01">
              <w:rPr>
                <w:rStyle w:val="a9"/>
                <w:noProof/>
                <w:w w:val="110"/>
              </w:rPr>
              <w:t>Information</w:t>
            </w:r>
            <w:r>
              <w:rPr>
                <w:noProof/>
                <w:webHidden/>
              </w:rPr>
              <w:tab/>
            </w:r>
            <w:r>
              <w:rPr>
                <w:noProof/>
                <w:webHidden/>
              </w:rPr>
              <w:fldChar w:fldCharType="begin"/>
            </w:r>
            <w:r>
              <w:rPr>
                <w:noProof/>
                <w:webHidden/>
              </w:rPr>
              <w:instrText xml:space="preserve"> PAGEREF _Toc54423847 \h </w:instrText>
            </w:r>
            <w:r>
              <w:rPr>
                <w:noProof/>
                <w:webHidden/>
              </w:rPr>
            </w:r>
            <w:r>
              <w:rPr>
                <w:noProof/>
                <w:webHidden/>
              </w:rPr>
              <w:fldChar w:fldCharType="separate"/>
            </w:r>
            <w:r>
              <w:rPr>
                <w:noProof/>
                <w:webHidden/>
              </w:rPr>
              <w:t>246</w:t>
            </w:r>
            <w:r>
              <w:rPr>
                <w:noProof/>
                <w:webHidden/>
              </w:rPr>
              <w:fldChar w:fldCharType="end"/>
            </w:r>
          </w:hyperlink>
        </w:p>
        <w:p w14:paraId="2E851009" w14:textId="6F0F075F"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48" w:history="1">
            <w:r w:rsidRPr="00265A01">
              <w:rPr>
                <w:rStyle w:val="a9"/>
                <w:noProof/>
                <w:spacing w:val="-1"/>
                <w:w w:val="113"/>
              </w:rPr>
              <w:t>5.3.</w:t>
            </w:r>
            <w:r>
              <w:rPr>
                <w:rFonts w:asciiTheme="minorHAnsi" w:eastAsiaTheme="minorEastAsia" w:hAnsiTheme="minorHAnsi" w:cstheme="minorBidi"/>
                <w:noProof/>
                <w:kern w:val="2"/>
                <w:szCs w:val="22"/>
                <w:lang w:eastAsia="zh-CN"/>
              </w:rPr>
              <w:tab/>
            </w:r>
            <w:r w:rsidRPr="00265A01">
              <w:rPr>
                <w:rStyle w:val="a9"/>
                <w:noProof/>
                <w:w w:val="110"/>
              </w:rPr>
              <w:t>Monitoring and Management over</w:t>
            </w:r>
            <w:r w:rsidRPr="00265A01">
              <w:rPr>
                <w:rStyle w:val="a9"/>
                <w:noProof/>
                <w:spacing w:val="-45"/>
                <w:w w:val="110"/>
              </w:rPr>
              <w:t xml:space="preserve"> </w:t>
            </w:r>
            <w:r w:rsidRPr="00265A01">
              <w:rPr>
                <w:rStyle w:val="a9"/>
                <w:noProof/>
                <w:w w:val="110"/>
              </w:rPr>
              <w:t>HTTP</w:t>
            </w:r>
            <w:r>
              <w:rPr>
                <w:noProof/>
                <w:webHidden/>
              </w:rPr>
              <w:tab/>
            </w:r>
            <w:r>
              <w:rPr>
                <w:noProof/>
                <w:webHidden/>
              </w:rPr>
              <w:fldChar w:fldCharType="begin"/>
            </w:r>
            <w:r>
              <w:rPr>
                <w:noProof/>
                <w:webHidden/>
              </w:rPr>
              <w:instrText xml:space="preserve"> PAGEREF _Toc54423848 \h </w:instrText>
            </w:r>
            <w:r>
              <w:rPr>
                <w:noProof/>
                <w:webHidden/>
              </w:rPr>
            </w:r>
            <w:r>
              <w:rPr>
                <w:noProof/>
                <w:webHidden/>
              </w:rPr>
              <w:fldChar w:fldCharType="separate"/>
            </w:r>
            <w:r>
              <w:rPr>
                <w:noProof/>
                <w:webHidden/>
              </w:rPr>
              <w:t>248</w:t>
            </w:r>
            <w:r>
              <w:rPr>
                <w:noProof/>
                <w:webHidden/>
              </w:rPr>
              <w:fldChar w:fldCharType="end"/>
            </w:r>
          </w:hyperlink>
        </w:p>
        <w:p w14:paraId="41C4F699" w14:textId="471FBC4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49" w:history="1">
            <w:r w:rsidRPr="00265A01">
              <w:rPr>
                <w:rStyle w:val="a9"/>
                <w:noProof/>
                <w:spacing w:val="-1"/>
                <w:w w:val="113"/>
              </w:rPr>
              <w:t>5.3.1.</w:t>
            </w:r>
            <w:r>
              <w:rPr>
                <w:rFonts w:asciiTheme="minorHAnsi" w:eastAsiaTheme="minorEastAsia" w:hAnsiTheme="minorHAnsi" w:cstheme="minorBidi"/>
                <w:noProof/>
                <w:kern w:val="2"/>
                <w:szCs w:val="22"/>
                <w:lang w:eastAsia="zh-CN"/>
              </w:rPr>
              <w:tab/>
            </w:r>
            <w:r w:rsidRPr="00265A01">
              <w:rPr>
                <w:rStyle w:val="a9"/>
                <w:noProof/>
                <w:w w:val="110"/>
              </w:rPr>
              <w:t>Customizing the Management Endpoint</w:t>
            </w:r>
            <w:r w:rsidRPr="00265A01">
              <w:rPr>
                <w:rStyle w:val="a9"/>
                <w:noProof/>
                <w:spacing w:val="-27"/>
                <w:w w:val="110"/>
              </w:rPr>
              <w:t xml:space="preserve"> </w:t>
            </w:r>
            <w:r w:rsidRPr="00265A01">
              <w:rPr>
                <w:rStyle w:val="a9"/>
                <w:noProof/>
                <w:w w:val="110"/>
              </w:rPr>
              <w:t>Paths</w:t>
            </w:r>
            <w:r>
              <w:rPr>
                <w:noProof/>
                <w:webHidden/>
              </w:rPr>
              <w:tab/>
            </w:r>
            <w:r>
              <w:rPr>
                <w:noProof/>
                <w:webHidden/>
              </w:rPr>
              <w:fldChar w:fldCharType="begin"/>
            </w:r>
            <w:r>
              <w:rPr>
                <w:noProof/>
                <w:webHidden/>
              </w:rPr>
              <w:instrText xml:space="preserve"> PAGEREF _Toc54423849 \h </w:instrText>
            </w:r>
            <w:r>
              <w:rPr>
                <w:noProof/>
                <w:webHidden/>
              </w:rPr>
            </w:r>
            <w:r>
              <w:rPr>
                <w:noProof/>
                <w:webHidden/>
              </w:rPr>
              <w:fldChar w:fldCharType="separate"/>
            </w:r>
            <w:r>
              <w:rPr>
                <w:noProof/>
                <w:webHidden/>
              </w:rPr>
              <w:t>248</w:t>
            </w:r>
            <w:r>
              <w:rPr>
                <w:noProof/>
                <w:webHidden/>
              </w:rPr>
              <w:fldChar w:fldCharType="end"/>
            </w:r>
          </w:hyperlink>
        </w:p>
        <w:p w14:paraId="3C351071" w14:textId="56402901"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50" w:history="1">
            <w:r w:rsidRPr="00265A01">
              <w:rPr>
                <w:rStyle w:val="a9"/>
                <w:noProof/>
                <w:spacing w:val="-1"/>
                <w:w w:val="113"/>
              </w:rPr>
              <w:t>5.3.2.</w:t>
            </w:r>
            <w:r>
              <w:rPr>
                <w:rFonts w:asciiTheme="minorHAnsi" w:eastAsiaTheme="minorEastAsia" w:hAnsiTheme="minorHAnsi" w:cstheme="minorBidi"/>
                <w:noProof/>
                <w:kern w:val="2"/>
                <w:szCs w:val="22"/>
                <w:lang w:eastAsia="zh-CN"/>
              </w:rPr>
              <w:tab/>
            </w:r>
            <w:r w:rsidRPr="00265A01">
              <w:rPr>
                <w:rStyle w:val="a9"/>
                <w:noProof/>
                <w:w w:val="110"/>
              </w:rPr>
              <w:t>Customizing the Management Server</w:t>
            </w:r>
            <w:r w:rsidRPr="00265A01">
              <w:rPr>
                <w:rStyle w:val="a9"/>
                <w:noProof/>
                <w:spacing w:val="-22"/>
                <w:w w:val="110"/>
              </w:rPr>
              <w:t xml:space="preserve"> </w:t>
            </w:r>
            <w:r w:rsidRPr="00265A01">
              <w:rPr>
                <w:rStyle w:val="a9"/>
                <w:noProof/>
                <w:w w:val="110"/>
              </w:rPr>
              <w:t>Port</w:t>
            </w:r>
            <w:r>
              <w:rPr>
                <w:noProof/>
                <w:webHidden/>
              </w:rPr>
              <w:tab/>
            </w:r>
            <w:r>
              <w:rPr>
                <w:noProof/>
                <w:webHidden/>
              </w:rPr>
              <w:fldChar w:fldCharType="begin"/>
            </w:r>
            <w:r>
              <w:rPr>
                <w:noProof/>
                <w:webHidden/>
              </w:rPr>
              <w:instrText xml:space="preserve"> PAGEREF _Toc54423850 \h </w:instrText>
            </w:r>
            <w:r>
              <w:rPr>
                <w:noProof/>
                <w:webHidden/>
              </w:rPr>
            </w:r>
            <w:r>
              <w:rPr>
                <w:noProof/>
                <w:webHidden/>
              </w:rPr>
              <w:fldChar w:fldCharType="separate"/>
            </w:r>
            <w:r>
              <w:rPr>
                <w:noProof/>
                <w:webHidden/>
              </w:rPr>
              <w:t>249</w:t>
            </w:r>
            <w:r>
              <w:rPr>
                <w:noProof/>
                <w:webHidden/>
              </w:rPr>
              <w:fldChar w:fldCharType="end"/>
            </w:r>
          </w:hyperlink>
        </w:p>
        <w:p w14:paraId="5AC4961E" w14:textId="44AB7FC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51" w:history="1">
            <w:r w:rsidRPr="00265A01">
              <w:rPr>
                <w:rStyle w:val="a9"/>
                <w:noProof/>
                <w:spacing w:val="-1"/>
                <w:w w:val="113"/>
              </w:rPr>
              <w:t>5.3.3.</w:t>
            </w:r>
            <w:r>
              <w:rPr>
                <w:rFonts w:asciiTheme="minorHAnsi" w:eastAsiaTheme="minorEastAsia" w:hAnsiTheme="minorHAnsi" w:cstheme="minorBidi"/>
                <w:noProof/>
                <w:kern w:val="2"/>
                <w:szCs w:val="22"/>
                <w:lang w:eastAsia="zh-CN"/>
              </w:rPr>
              <w:tab/>
            </w:r>
            <w:r w:rsidRPr="00265A01">
              <w:rPr>
                <w:rStyle w:val="a9"/>
                <w:noProof/>
                <w:w w:val="105"/>
              </w:rPr>
              <w:t>Configuring Management-specific</w:t>
            </w:r>
            <w:r w:rsidRPr="00265A01">
              <w:rPr>
                <w:rStyle w:val="a9"/>
                <w:noProof/>
                <w:spacing w:val="-2"/>
                <w:w w:val="105"/>
              </w:rPr>
              <w:t xml:space="preserve"> </w:t>
            </w:r>
            <w:r w:rsidRPr="00265A01">
              <w:rPr>
                <w:rStyle w:val="a9"/>
                <w:noProof/>
                <w:w w:val="105"/>
              </w:rPr>
              <w:t>SSL</w:t>
            </w:r>
            <w:r>
              <w:rPr>
                <w:noProof/>
                <w:webHidden/>
              </w:rPr>
              <w:tab/>
            </w:r>
            <w:r>
              <w:rPr>
                <w:noProof/>
                <w:webHidden/>
              </w:rPr>
              <w:fldChar w:fldCharType="begin"/>
            </w:r>
            <w:r>
              <w:rPr>
                <w:noProof/>
                <w:webHidden/>
              </w:rPr>
              <w:instrText xml:space="preserve"> PAGEREF _Toc54423851 \h </w:instrText>
            </w:r>
            <w:r>
              <w:rPr>
                <w:noProof/>
                <w:webHidden/>
              </w:rPr>
            </w:r>
            <w:r>
              <w:rPr>
                <w:noProof/>
                <w:webHidden/>
              </w:rPr>
              <w:fldChar w:fldCharType="separate"/>
            </w:r>
            <w:r>
              <w:rPr>
                <w:noProof/>
                <w:webHidden/>
              </w:rPr>
              <w:t>249</w:t>
            </w:r>
            <w:r>
              <w:rPr>
                <w:noProof/>
                <w:webHidden/>
              </w:rPr>
              <w:fldChar w:fldCharType="end"/>
            </w:r>
          </w:hyperlink>
        </w:p>
        <w:p w14:paraId="42BFD949" w14:textId="53F3171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52" w:history="1">
            <w:r w:rsidRPr="00265A01">
              <w:rPr>
                <w:rStyle w:val="a9"/>
                <w:noProof/>
                <w:spacing w:val="-1"/>
                <w:w w:val="113"/>
              </w:rPr>
              <w:t>5.3.4.</w:t>
            </w:r>
            <w:r>
              <w:rPr>
                <w:rFonts w:asciiTheme="minorHAnsi" w:eastAsiaTheme="minorEastAsia" w:hAnsiTheme="minorHAnsi" w:cstheme="minorBidi"/>
                <w:noProof/>
                <w:kern w:val="2"/>
                <w:szCs w:val="22"/>
                <w:lang w:eastAsia="zh-CN"/>
              </w:rPr>
              <w:tab/>
            </w:r>
            <w:r w:rsidRPr="00265A01">
              <w:rPr>
                <w:rStyle w:val="a9"/>
                <w:noProof/>
                <w:w w:val="110"/>
              </w:rPr>
              <w:t>Customizing the Management Server</w:t>
            </w:r>
            <w:r w:rsidRPr="00265A01">
              <w:rPr>
                <w:rStyle w:val="a9"/>
                <w:noProof/>
                <w:spacing w:val="-25"/>
                <w:w w:val="110"/>
              </w:rPr>
              <w:t xml:space="preserve"> </w:t>
            </w:r>
            <w:r w:rsidRPr="00265A01">
              <w:rPr>
                <w:rStyle w:val="a9"/>
                <w:noProof/>
                <w:w w:val="110"/>
              </w:rPr>
              <w:t>Address</w:t>
            </w:r>
            <w:r>
              <w:rPr>
                <w:noProof/>
                <w:webHidden/>
              </w:rPr>
              <w:tab/>
            </w:r>
            <w:r>
              <w:rPr>
                <w:noProof/>
                <w:webHidden/>
              </w:rPr>
              <w:fldChar w:fldCharType="begin"/>
            </w:r>
            <w:r>
              <w:rPr>
                <w:noProof/>
                <w:webHidden/>
              </w:rPr>
              <w:instrText xml:space="preserve"> PAGEREF _Toc54423852 \h </w:instrText>
            </w:r>
            <w:r>
              <w:rPr>
                <w:noProof/>
                <w:webHidden/>
              </w:rPr>
            </w:r>
            <w:r>
              <w:rPr>
                <w:noProof/>
                <w:webHidden/>
              </w:rPr>
              <w:fldChar w:fldCharType="separate"/>
            </w:r>
            <w:r>
              <w:rPr>
                <w:noProof/>
                <w:webHidden/>
              </w:rPr>
              <w:t>250</w:t>
            </w:r>
            <w:r>
              <w:rPr>
                <w:noProof/>
                <w:webHidden/>
              </w:rPr>
              <w:fldChar w:fldCharType="end"/>
            </w:r>
          </w:hyperlink>
        </w:p>
        <w:p w14:paraId="54FF9DEF" w14:textId="59EFF6D2"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53" w:history="1">
            <w:r w:rsidRPr="00265A01">
              <w:rPr>
                <w:rStyle w:val="a9"/>
                <w:noProof/>
                <w:spacing w:val="-1"/>
                <w:w w:val="113"/>
              </w:rPr>
              <w:t>5.3.5.</w:t>
            </w:r>
            <w:r>
              <w:rPr>
                <w:rFonts w:asciiTheme="minorHAnsi" w:eastAsiaTheme="minorEastAsia" w:hAnsiTheme="minorHAnsi" w:cstheme="minorBidi"/>
                <w:noProof/>
                <w:kern w:val="2"/>
                <w:szCs w:val="22"/>
                <w:lang w:eastAsia="zh-CN"/>
              </w:rPr>
              <w:tab/>
            </w:r>
            <w:r w:rsidRPr="00265A01">
              <w:rPr>
                <w:rStyle w:val="a9"/>
                <w:noProof/>
                <w:w w:val="105"/>
              </w:rPr>
              <w:t>Disabling HTTP</w:t>
            </w:r>
            <w:r w:rsidRPr="00265A01">
              <w:rPr>
                <w:rStyle w:val="a9"/>
                <w:noProof/>
                <w:spacing w:val="-4"/>
                <w:w w:val="105"/>
              </w:rPr>
              <w:t xml:space="preserve"> </w:t>
            </w:r>
            <w:r w:rsidRPr="00265A01">
              <w:rPr>
                <w:rStyle w:val="a9"/>
                <w:noProof/>
                <w:w w:val="105"/>
              </w:rPr>
              <w:t>Endpoints</w:t>
            </w:r>
            <w:r>
              <w:rPr>
                <w:noProof/>
                <w:webHidden/>
              </w:rPr>
              <w:tab/>
            </w:r>
            <w:r>
              <w:rPr>
                <w:noProof/>
                <w:webHidden/>
              </w:rPr>
              <w:fldChar w:fldCharType="begin"/>
            </w:r>
            <w:r>
              <w:rPr>
                <w:noProof/>
                <w:webHidden/>
              </w:rPr>
              <w:instrText xml:space="preserve"> PAGEREF _Toc54423853 \h </w:instrText>
            </w:r>
            <w:r>
              <w:rPr>
                <w:noProof/>
                <w:webHidden/>
              </w:rPr>
            </w:r>
            <w:r>
              <w:rPr>
                <w:noProof/>
                <w:webHidden/>
              </w:rPr>
              <w:fldChar w:fldCharType="separate"/>
            </w:r>
            <w:r>
              <w:rPr>
                <w:noProof/>
                <w:webHidden/>
              </w:rPr>
              <w:t>250</w:t>
            </w:r>
            <w:r>
              <w:rPr>
                <w:noProof/>
                <w:webHidden/>
              </w:rPr>
              <w:fldChar w:fldCharType="end"/>
            </w:r>
          </w:hyperlink>
        </w:p>
        <w:p w14:paraId="6D5AC08C" w14:textId="5AC31C54"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54" w:history="1">
            <w:r w:rsidRPr="00265A01">
              <w:rPr>
                <w:rStyle w:val="a9"/>
                <w:noProof/>
                <w:spacing w:val="-1"/>
                <w:w w:val="113"/>
              </w:rPr>
              <w:t>5.4.</w:t>
            </w:r>
            <w:r>
              <w:rPr>
                <w:rFonts w:asciiTheme="minorHAnsi" w:eastAsiaTheme="minorEastAsia" w:hAnsiTheme="minorHAnsi" w:cstheme="minorBidi"/>
                <w:noProof/>
                <w:kern w:val="2"/>
                <w:szCs w:val="22"/>
                <w:lang w:eastAsia="zh-CN"/>
              </w:rPr>
              <w:tab/>
            </w:r>
            <w:r w:rsidRPr="00265A01">
              <w:rPr>
                <w:rStyle w:val="a9"/>
                <w:noProof/>
                <w:w w:val="110"/>
              </w:rPr>
              <w:t>Monitoring and Management over</w:t>
            </w:r>
            <w:r w:rsidRPr="00265A01">
              <w:rPr>
                <w:rStyle w:val="a9"/>
                <w:noProof/>
                <w:spacing w:val="-39"/>
                <w:w w:val="110"/>
              </w:rPr>
              <w:t xml:space="preserve"> </w:t>
            </w:r>
            <w:r w:rsidRPr="00265A01">
              <w:rPr>
                <w:rStyle w:val="a9"/>
                <w:noProof/>
                <w:w w:val="110"/>
              </w:rPr>
              <w:t>JMX</w:t>
            </w:r>
            <w:r>
              <w:rPr>
                <w:noProof/>
                <w:webHidden/>
              </w:rPr>
              <w:tab/>
            </w:r>
            <w:r>
              <w:rPr>
                <w:noProof/>
                <w:webHidden/>
              </w:rPr>
              <w:fldChar w:fldCharType="begin"/>
            </w:r>
            <w:r>
              <w:rPr>
                <w:noProof/>
                <w:webHidden/>
              </w:rPr>
              <w:instrText xml:space="preserve"> PAGEREF _Toc54423854 \h </w:instrText>
            </w:r>
            <w:r>
              <w:rPr>
                <w:noProof/>
                <w:webHidden/>
              </w:rPr>
            </w:r>
            <w:r>
              <w:rPr>
                <w:noProof/>
                <w:webHidden/>
              </w:rPr>
              <w:fldChar w:fldCharType="separate"/>
            </w:r>
            <w:r>
              <w:rPr>
                <w:noProof/>
                <w:webHidden/>
              </w:rPr>
              <w:t>251</w:t>
            </w:r>
            <w:r>
              <w:rPr>
                <w:noProof/>
                <w:webHidden/>
              </w:rPr>
              <w:fldChar w:fldCharType="end"/>
            </w:r>
          </w:hyperlink>
        </w:p>
        <w:p w14:paraId="4D99BC2F" w14:textId="0EC6266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55" w:history="1">
            <w:r w:rsidRPr="00265A01">
              <w:rPr>
                <w:rStyle w:val="a9"/>
                <w:noProof/>
                <w:spacing w:val="-1"/>
                <w:w w:val="113"/>
              </w:rPr>
              <w:t>5.4.1.</w:t>
            </w:r>
            <w:r>
              <w:rPr>
                <w:rFonts w:asciiTheme="minorHAnsi" w:eastAsiaTheme="minorEastAsia" w:hAnsiTheme="minorHAnsi" w:cstheme="minorBidi"/>
                <w:noProof/>
                <w:kern w:val="2"/>
                <w:szCs w:val="22"/>
                <w:lang w:eastAsia="zh-CN"/>
              </w:rPr>
              <w:tab/>
            </w:r>
            <w:r w:rsidRPr="00265A01">
              <w:rPr>
                <w:rStyle w:val="a9"/>
                <w:noProof/>
                <w:w w:val="105"/>
              </w:rPr>
              <w:t>Customizing MBean</w:t>
            </w:r>
            <w:r w:rsidRPr="00265A01">
              <w:rPr>
                <w:rStyle w:val="a9"/>
                <w:noProof/>
                <w:spacing w:val="-3"/>
                <w:w w:val="105"/>
              </w:rPr>
              <w:t xml:space="preserve"> </w:t>
            </w:r>
            <w:r w:rsidRPr="00265A01">
              <w:rPr>
                <w:rStyle w:val="a9"/>
                <w:noProof/>
                <w:w w:val="105"/>
              </w:rPr>
              <w:t>Names</w:t>
            </w:r>
            <w:r>
              <w:rPr>
                <w:noProof/>
                <w:webHidden/>
              </w:rPr>
              <w:tab/>
            </w:r>
            <w:r>
              <w:rPr>
                <w:noProof/>
                <w:webHidden/>
              </w:rPr>
              <w:fldChar w:fldCharType="begin"/>
            </w:r>
            <w:r>
              <w:rPr>
                <w:noProof/>
                <w:webHidden/>
              </w:rPr>
              <w:instrText xml:space="preserve"> PAGEREF _Toc54423855 \h </w:instrText>
            </w:r>
            <w:r>
              <w:rPr>
                <w:noProof/>
                <w:webHidden/>
              </w:rPr>
            </w:r>
            <w:r>
              <w:rPr>
                <w:noProof/>
                <w:webHidden/>
              </w:rPr>
              <w:fldChar w:fldCharType="separate"/>
            </w:r>
            <w:r>
              <w:rPr>
                <w:noProof/>
                <w:webHidden/>
              </w:rPr>
              <w:t>251</w:t>
            </w:r>
            <w:r>
              <w:rPr>
                <w:noProof/>
                <w:webHidden/>
              </w:rPr>
              <w:fldChar w:fldCharType="end"/>
            </w:r>
          </w:hyperlink>
        </w:p>
        <w:p w14:paraId="1DD544B2" w14:textId="148961D2"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56" w:history="1">
            <w:r w:rsidRPr="00265A01">
              <w:rPr>
                <w:rStyle w:val="a9"/>
                <w:noProof/>
                <w:spacing w:val="-1"/>
                <w:w w:val="113"/>
              </w:rPr>
              <w:t>5.4.2.</w:t>
            </w:r>
            <w:r>
              <w:rPr>
                <w:rFonts w:asciiTheme="minorHAnsi" w:eastAsiaTheme="minorEastAsia" w:hAnsiTheme="minorHAnsi" w:cstheme="minorBidi"/>
                <w:noProof/>
                <w:kern w:val="2"/>
                <w:szCs w:val="22"/>
                <w:lang w:eastAsia="zh-CN"/>
              </w:rPr>
              <w:tab/>
            </w:r>
            <w:r w:rsidRPr="00265A01">
              <w:rPr>
                <w:rStyle w:val="a9"/>
                <w:noProof/>
                <w:w w:val="105"/>
              </w:rPr>
              <w:t>Disabling JMX</w:t>
            </w:r>
            <w:r w:rsidRPr="00265A01">
              <w:rPr>
                <w:rStyle w:val="a9"/>
                <w:noProof/>
                <w:spacing w:val="-3"/>
                <w:w w:val="105"/>
              </w:rPr>
              <w:t xml:space="preserve"> </w:t>
            </w:r>
            <w:r w:rsidRPr="00265A01">
              <w:rPr>
                <w:rStyle w:val="a9"/>
                <w:noProof/>
                <w:w w:val="105"/>
              </w:rPr>
              <w:t>Endpoints</w:t>
            </w:r>
            <w:r>
              <w:rPr>
                <w:noProof/>
                <w:webHidden/>
              </w:rPr>
              <w:tab/>
            </w:r>
            <w:r>
              <w:rPr>
                <w:noProof/>
                <w:webHidden/>
              </w:rPr>
              <w:fldChar w:fldCharType="begin"/>
            </w:r>
            <w:r>
              <w:rPr>
                <w:noProof/>
                <w:webHidden/>
              </w:rPr>
              <w:instrText xml:space="preserve"> PAGEREF _Toc54423856 \h </w:instrText>
            </w:r>
            <w:r>
              <w:rPr>
                <w:noProof/>
                <w:webHidden/>
              </w:rPr>
            </w:r>
            <w:r>
              <w:rPr>
                <w:noProof/>
                <w:webHidden/>
              </w:rPr>
              <w:fldChar w:fldCharType="separate"/>
            </w:r>
            <w:r>
              <w:rPr>
                <w:noProof/>
                <w:webHidden/>
              </w:rPr>
              <w:t>251</w:t>
            </w:r>
            <w:r>
              <w:rPr>
                <w:noProof/>
                <w:webHidden/>
              </w:rPr>
              <w:fldChar w:fldCharType="end"/>
            </w:r>
          </w:hyperlink>
        </w:p>
        <w:p w14:paraId="19B9308A" w14:textId="3A8DC91C"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57" w:history="1">
            <w:r w:rsidRPr="00265A01">
              <w:rPr>
                <w:rStyle w:val="a9"/>
                <w:noProof/>
                <w:spacing w:val="-1"/>
                <w:w w:val="113"/>
              </w:rPr>
              <w:t>5.4.3.</w:t>
            </w:r>
            <w:r>
              <w:rPr>
                <w:rFonts w:asciiTheme="minorHAnsi" w:eastAsiaTheme="minorEastAsia" w:hAnsiTheme="minorHAnsi" w:cstheme="minorBidi"/>
                <w:noProof/>
                <w:kern w:val="2"/>
                <w:szCs w:val="22"/>
                <w:lang w:eastAsia="zh-CN"/>
              </w:rPr>
              <w:tab/>
            </w:r>
            <w:r w:rsidRPr="00265A01">
              <w:rPr>
                <w:rStyle w:val="a9"/>
                <w:noProof/>
                <w:w w:val="105"/>
              </w:rPr>
              <w:t>Using Jolokia for JMX over</w:t>
            </w:r>
            <w:r w:rsidRPr="00265A01">
              <w:rPr>
                <w:rStyle w:val="a9"/>
                <w:noProof/>
                <w:spacing w:val="-7"/>
                <w:w w:val="105"/>
              </w:rPr>
              <w:t xml:space="preserve"> </w:t>
            </w:r>
            <w:r w:rsidRPr="00265A01">
              <w:rPr>
                <w:rStyle w:val="a9"/>
                <w:noProof/>
                <w:w w:val="105"/>
              </w:rPr>
              <w:t>HTTP</w:t>
            </w:r>
            <w:r>
              <w:rPr>
                <w:noProof/>
                <w:webHidden/>
              </w:rPr>
              <w:tab/>
            </w:r>
            <w:r>
              <w:rPr>
                <w:noProof/>
                <w:webHidden/>
              </w:rPr>
              <w:fldChar w:fldCharType="begin"/>
            </w:r>
            <w:r>
              <w:rPr>
                <w:noProof/>
                <w:webHidden/>
              </w:rPr>
              <w:instrText xml:space="preserve"> PAGEREF _Toc54423857 \h </w:instrText>
            </w:r>
            <w:r>
              <w:rPr>
                <w:noProof/>
                <w:webHidden/>
              </w:rPr>
            </w:r>
            <w:r>
              <w:rPr>
                <w:noProof/>
                <w:webHidden/>
              </w:rPr>
              <w:fldChar w:fldCharType="separate"/>
            </w:r>
            <w:r>
              <w:rPr>
                <w:noProof/>
                <w:webHidden/>
              </w:rPr>
              <w:t>251</w:t>
            </w:r>
            <w:r>
              <w:rPr>
                <w:noProof/>
                <w:webHidden/>
              </w:rPr>
              <w:fldChar w:fldCharType="end"/>
            </w:r>
          </w:hyperlink>
        </w:p>
        <w:p w14:paraId="7087E9BC" w14:textId="75E936C8"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58" w:history="1">
            <w:r w:rsidRPr="00265A01">
              <w:rPr>
                <w:rStyle w:val="a9"/>
                <w:noProof/>
                <w:spacing w:val="-1"/>
                <w:w w:val="113"/>
              </w:rPr>
              <w:t>5.5.</w:t>
            </w:r>
            <w:r>
              <w:rPr>
                <w:rFonts w:asciiTheme="minorHAnsi" w:eastAsiaTheme="minorEastAsia" w:hAnsiTheme="minorHAnsi" w:cstheme="minorBidi"/>
                <w:noProof/>
                <w:kern w:val="2"/>
                <w:szCs w:val="22"/>
                <w:lang w:eastAsia="zh-CN"/>
              </w:rPr>
              <w:tab/>
            </w:r>
            <w:r w:rsidRPr="00265A01">
              <w:rPr>
                <w:rStyle w:val="a9"/>
                <w:noProof/>
                <w:w w:val="110"/>
              </w:rPr>
              <w:t>Loggers</w:t>
            </w:r>
            <w:r>
              <w:rPr>
                <w:noProof/>
                <w:webHidden/>
              </w:rPr>
              <w:tab/>
            </w:r>
            <w:r>
              <w:rPr>
                <w:noProof/>
                <w:webHidden/>
              </w:rPr>
              <w:fldChar w:fldCharType="begin"/>
            </w:r>
            <w:r>
              <w:rPr>
                <w:noProof/>
                <w:webHidden/>
              </w:rPr>
              <w:instrText xml:space="preserve"> PAGEREF _Toc54423858 \h </w:instrText>
            </w:r>
            <w:r>
              <w:rPr>
                <w:noProof/>
                <w:webHidden/>
              </w:rPr>
            </w:r>
            <w:r>
              <w:rPr>
                <w:noProof/>
                <w:webHidden/>
              </w:rPr>
              <w:fldChar w:fldCharType="separate"/>
            </w:r>
            <w:r>
              <w:rPr>
                <w:noProof/>
                <w:webHidden/>
              </w:rPr>
              <w:t>252</w:t>
            </w:r>
            <w:r>
              <w:rPr>
                <w:noProof/>
                <w:webHidden/>
              </w:rPr>
              <w:fldChar w:fldCharType="end"/>
            </w:r>
          </w:hyperlink>
        </w:p>
        <w:p w14:paraId="291EB5B4" w14:textId="7179E3A1"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59" w:history="1">
            <w:r w:rsidRPr="00265A01">
              <w:rPr>
                <w:rStyle w:val="a9"/>
                <w:noProof/>
                <w:spacing w:val="-1"/>
                <w:w w:val="113"/>
              </w:rPr>
              <w:t>5.5.1.</w:t>
            </w:r>
            <w:r>
              <w:rPr>
                <w:rFonts w:asciiTheme="minorHAnsi" w:eastAsiaTheme="minorEastAsia" w:hAnsiTheme="minorHAnsi" w:cstheme="minorBidi"/>
                <w:noProof/>
                <w:kern w:val="2"/>
                <w:szCs w:val="22"/>
                <w:lang w:eastAsia="zh-CN"/>
              </w:rPr>
              <w:tab/>
            </w:r>
            <w:r w:rsidRPr="00265A01">
              <w:rPr>
                <w:rStyle w:val="a9"/>
                <w:noProof/>
                <w:w w:val="110"/>
              </w:rPr>
              <w:t>Configure a</w:t>
            </w:r>
            <w:r w:rsidRPr="00265A01">
              <w:rPr>
                <w:rStyle w:val="a9"/>
                <w:noProof/>
                <w:spacing w:val="-11"/>
                <w:w w:val="110"/>
              </w:rPr>
              <w:t xml:space="preserve"> </w:t>
            </w:r>
            <w:r w:rsidRPr="00265A01">
              <w:rPr>
                <w:rStyle w:val="a9"/>
                <w:noProof/>
                <w:w w:val="110"/>
              </w:rPr>
              <w:t>Logger</w:t>
            </w:r>
            <w:r>
              <w:rPr>
                <w:noProof/>
                <w:webHidden/>
              </w:rPr>
              <w:tab/>
            </w:r>
            <w:r>
              <w:rPr>
                <w:noProof/>
                <w:webHidden/>
              </w:rPr>
              <w:fldChar w:fldCharType="begin"/>
            </w:r>
            <w:r>
              <w:rPr>
                <w:noProof/>
                <w:webHidden/>
              </w:rPr>
              <w:instrText xml:space="preserve"> PAGEREF _Toc54423859 \h </w:instrText>
            </w:r>
            <w:r>
              <w:rPr>
                <w:noProof/>
                <w:webHidden/>
              </w:rPr>
            </w:r>
            <w:r>
              <w:rPr>
                <w:noProof/>
                <w:webHidden/>
              </w:rPr>
              <w:fldChar w:fldCharType="separate"/>
            </w:r>
            <w:r>
              <w:rPr>
                <w:noProof/>
                <w:webHidden/>
              </w:rPr>
              <w:t>252</w:t>
            </w:r>
            <w:r>
              <w:rPr>
                <w:noProof/>
                <w:webHidden/>
              </w:rPr>
              <w:fldChar w:fldCharType="end"/>
            </w:r>
          </w:hyperlink>
        </w:p>
        <w:p w14:paraId="1A2D7D28" w14:textId="036A5069"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60" w:history="1">
            <w:r w:rsidRPr="00265A01">
              <w:rPr>
                <w:rStyle w:val="a9"/>
                <w:noProof/>
                <w:spacing w:val="-1"/>
                <w:w w:val="113"/>
              </w:rPr>
              <w:t>5.6.</w:t>
            </w:r>
            <w:r>
              <w:rPr>
                <w:rFonts w:asciiTheme="minorHAnsi" w:eastAsiaTheme="minorEastAsia" w:hAnsiTheme="minorHAnsi" w:cstheme="minorBidi"/>
                <w:noProof/>
                <w:kern w:val="2"/>
                <w:szCs w:val="22"/>
                <w:lang w:eastAsia="zh-CN"/>
              </w:rPr>
              <w:tab/>
            </w:r>
            <w:r w:rsidRPr="00265A01">
              <w:rPr>
                <w:rStyle w:val="a9"/>
                <w:noProof/>
                <w:w w:val="110"/>
              </w:rPr>
              <w:t>Metrics</w:t>
            </w:r>
            <w:r>
              <w:rPr>
                <w:noProof/>
                <w:webHidden/>
              </w:rPr>
              <w:tab/>
            </w:r>
            <w:r>
              <w:rPr>
                <w:noProof/>
                <w:webHidden/>
              </w:rPr>
              <w:fldChar w:fldCharType="begin"/>
            </w:r>
            <w:r>
              <w:rPr>
                <w:noProof/>
                <w:webHidden/>
              </w:rPr>
              <w:instrText xml:space="preserve"> PAGEREF _Toc54423860 \h </w:instrText>
            </w:r>
            <w:r>
              <w:rPr>
                <w:noProof/>
                <w:webHidden/>
              </w:rPr>
            </w:r>
            <w:r>
              <w:rPr>
                <w:noProof/>
                <w:webHidden/>
              </w:rPr>
              <w:fldChar w:fldCharType="separate"/>
            </w:r>
            <w:r>
              <w:rPr>
                <w:noProof/>
                <w:webHidden/>
              </w:rPr>
              <w:t>253</w:t>
            </w:r>
            <w:r>
              <w:rPr>
                <w:noProof/>
                <w:webHidden/>
              </w:rPr>
              <w:fldChar w:fldCharType="end"/>
            </w:r>
          </w:hyperlink>
        </w:p>
        <w:p w14:paraId="5E2714F0" w14:textId="19A3DDF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61" w:history="1">
            <w:r w:rsidRPr="00265A01">
              <w:rPr>
                <w:rStyle w:val="a9"/>
                <w:noProof/>
                <w:spacing w:val="-1"/>
                <w:w w:val="113"/>
              </w:rPr>
              <w:t>5.6.1.</w:t>
            </w:r>
            <w:r>
              <w:rPr>
                <w:rFonts w:asciiTheme="minorHAnsi" w:eastAsiaTheme="minorEastAsia" w:hAnsiTheme="minorHAnsi" w:cstheme="minorBidi"/>
                <w:noProof/>
                <w:kern w:val="2"/>
                <w:szCs w:val="22"/>
                <w:lang w:eastAsia="zh-CN"/>
              </w:rPr>
              <w:tab/>
            </w:r>
            <w:r w:rsidRPr="00265A01">
              <w:rPr>
                <w:rStyle w:val="a9"/>
                <w:noProof/>
                <w:w w:val="115"/>
              </w:rPr>
              <w:t>Getting</w:t>
            </w:r>
            <w:r w:rsidRPr="00265A01">
              <w:rPr>
                <w:rStyle w:val="a9"/>
                <w:noProof/>
                <w:spacing w:val="-9"/>
                <w:w w:val="115"/>
              </w:rPr>
              <w:t xml:space="preserve"> </w:t>
            </w:r>
            <w:r w:rsidRPr="00265A01">
              <w:rPr>
                <w:rStyle w:val="a9"/>
                <w:noProof/>
                <w:w w:val="115"/>
              </w:rPr>
              <w:t>started</w:t>
            </w:r>
            <w:r>
              <w:rPr>
                <w:noProof/>
                <w:webHidden/>
              </w:rPr>
              <w:tab/>
            </w:r>
            <w:r>
              <w:rPr>
                <w:noProof/>
                <w:webHidden/>
              </w:rPr>
              <w:fldChar w:fldCharType="begin"/>
            </w:r>
            <w:r>
              <w:rPr>
                <w:noProof/>
                <w:webHidden/>
              </w:rPr>
              <w:instrText xml:space="preserve"> PAGEREF _Toc54423861 \h </w:instrText>
            </w:r>
            <w:r>
              <w:rPr>
                <w:noProof/>
                <w:webHidden/>
              </w:rPr>
            </w:r>
            <w:r>
              <w:rPr>
                <w:noProof/>
                <w:webHidden/>
              </w:rPr>
              <w:fldChar w:fldCharType="separate"/>
            </w:r>
            <w:r>
              <w:rPr>
                <w:noProof/>
                <w:webHidden/>
              </w:rPr>
              <w:t>253</w:t>
            </w:r>
            <w:r>
              <w:rPr>
                <w:noProof/>
                <w:webHidden/>
              </w:rPr>
              <w:fldChar w:fldCharType="end"/>
            </w:r>
          </w:hyperlink>
        </w:p>
        <w:p w14:paraId="1C5B17E0" w14:textId="44B5E526"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62" w:history="1">
            <w:r w:rsidRPr="00265A01">
              <w:rPr>
                <w:rStyle w:val="a9"/>
                <w:noProof/>
                <w:spacing w:val="-1"/>
                <w:w w:val="113"/>
              </w:rPr>
              <w:t>5.6.2.</w:t>
            </w:r>
            <w:r>
              <w:rPr>
                <w:rFonts w:asciiTheme="minorHAnsi" w:eastAsiaTheme="minorEastAsia" w:hAnsiTheme="minorHAnsi" w:cstheme="minorBidi"/>
                <w:noProof/>
                <w:kern w:val="2"/>
                <w:szCs w:val="22"/>
                <w:lang w:eastAsia="zh-CN"/>
              </w:rPr>
              <w:tab/>
            </w:r>
            <w:r w:rsidRPr="00265A01">
              <w:rPr>
                <w:rStyle w:val="a9"/>
                <w:noProof/>
                <w:w w:val="110"/>
              </w:rPr>
              <w:t>Supported monitoring</w:t>
            </w:r>
            <w:r w:rsidRPr="00265A01">
              <w:rPr>
                <w:rStyle w:val="a9"/>
                <w:noProof/>
                <w:spacing w:val="-12"/>
                <w:w w:val="110"/>
              </w:rPr>
              <w:t xml:space="preserve"> </w:t>
            </w:r>
            <w:r w:rsidRPr="00265A01">
              <w:rPr>
                <w:rStyle w:val="a9"/>
                <w:noProof/>
                <w:w w:val="110"/>
              </w:rPr>
              <w:t>systems</w:t>
            </w:r>
            <w:r>
              <w:rPr>
                <w:noProof/>
                <w:webHidden/>
              </w:rPr>
              <w:tab/>
            </w:r>
            <w:r>
              <w:rPr>
                <w:noProof/>
                <w:webHidden/>
              </w:rPr>
              <w:fldChar w:fldCharType="begin"/>
            </w:r>
            <w:r>
              <w:rPr>
                <w:noProof/>
                <w:webHidden/>
              </w:rPr>
              <w:instrText xml:space="preserve"> PAGEREF _Toc54423862 \h </w:instrText>
            </w:r>
            <w:r>
              <w:rPr>
                <w:noProof/>
                <w:webHidden/>
              </w:rPr>
            </w:r>
            <w:r>
              <w:rPr>
                <w:noProof/>
                <w:webHidden/>
              </w:rPr>
              <w:fldChar w:fldCharType="separate"/>
            </w:r>
            <w:r>
              <w:rPr>
                <w:noProof/>
                <w:webHidden/>
              </w:rPr>
              <w:t>254</w:t>
            </w:r>
            <w:r>
              <w:rPr>
                <w:noProof/>
                <w:webHidden/>
              </w:rPr>
              <w:fldChar w:fldCharType="end"/>
            </w:r>
          </w:hyperlink>
        </w:p>
        <w:p w14:paraId="6DAFBA4C" w14:textId="30662A4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63" w:history="1">
            <w:r w:rsidRPr="00265A01">
              <w:rPr>
                <w:rStyle w:val="a9"/>
                <w:noProof/>
                <w:spacing w:val="-1"/>
                <w:w w:val="113"/>
              </w:rPr>
              <w:t>5.6.3.</w:t>
            </w:r>
            <w:r>
              <w:rPr>
                <w:rFonts w:asciiTheme="minorHAnsi" w:eastAsiaTheme="minorEastAsia" w:hAnsiTheme="minorHAnsi" w:cstheme="minorBidi"/>
                <w:noProof/>
                <w:kern w:val="2"/>
                <w:szCs w:val="22"/>
                <w:lang w:eastAsia="zh-CN"/>
              </w:rPr>
              <w:tab/>
            </w:r>
            <w:r w:rsidRPr="00265A01">
              <w:rPr>
                <w:rStyle w:val="a9"/>
                <w:noProof/>
                <w:w w:val="110"/>
              </w:rPr>
              <w:t>Supported</w:t>
            </w:r>
            <w:r w:rsidRPr="00265A01">
              <w:rPr>
                <w:rStyle w:val="a9"/>
                <w:noProof/>
                <w:spacing w:val="-6"/>
                <w:w w:val="110"/>
              </w:rPr>
              <w:t xml:space="preserve"> </w:t>
            </w:r>
            <w:r w:rsidRPr="00265A01">
              <w:rPr>
                <w:rStyle w:val="a9"/>
                <w:noProof/>
                <w:w w:val="110"/>
              </w:rPr>
              <w:t>Metrics</w:t>
            </w:r>
            <w:r>
              <w:rPr>
                <w:noProof/>
                <w:webHidden/>
              </w:rPr>
              <w:tab/>
            </w:r>
            <w:r>
              <w:rPr>
                <w:noProof/>
                <w:webHidden/>
              </w:rPr>
              <w:fldChar w:fldCharType="begin"/>
            </w:r>
            <w:r>
              <w:rPr>
                <w:noProof/>
                <w:webHidden/>
              </w:rPr>
              <w:instrText xml:space="preserve"> PAGEREF _Toc54423863 \h </w:instrText>
            </w:r>
            <w:r>
              <w:rPr>
                <w:noProof/>
                <w:webHidden/>
              </w:rPr>
            </w:r>
            <w:r>
              <w:rPr>
                <w:noProof/>
                <w:webHidden/>
              </w:rPr>
              <w:fldChar w:fldCharType="separate"/>
            </w:r>
            <w:r>
              <w:rPr>
                <w:noProof/>
                <w:webHidden/>
              </w:rPr>
              <w:t>260</w:t>
            </w:r>
            <w:r>
              <w:rPr>
                <w:noProof/>
                <w:webHidden/>
              </w:rPr>
              <w:fldChar w:fldCharType="end"/>
            </w:r>
          </w:hyperlink>
        </w:p>
        <w:p w14:paraId="098AF238" w14:textId="6EA430D9"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64" w:history="1">
            <w:r w:rsidRPr="00265A01">
              <w:rPr>
                <w:rStyle w:val="a9"/>
                <w:noProof/>
                <w:spacing w:val="-1"/>
                <w:w w:val="113"/>
              </w:rPr>
              <w:t>5.6.4.</w:t>
            </w:r>
            <w:r>
              <w:rPr>
                <w:rFonts w:asciiTheme="minorHAnsi" w:eastAsiaTheme="minorEastAsia" w:hAnsiTheme="minorHAnsi" w:cstheme="minorBidi"/>
                <w:noProof/>
                <w:kern w:val="2"/>
                <w:szCs w:val="22"/>
                <w:lang w:eastAsia="zh-CN"/>
              </w:rPr>
              <w:tab/>
            </w:r>
            <w:r w:rsidRPr="00265A01">
              <w:rPr>
                <w:rStyle w:val="a9"/>
                <w:noProof/>
                <w:w w:val="110"/>
              </w:rPr>
              <w:t>Registering custom</w:t>
            </w:r>
            <w:r w:rsidRPr="00265A01">
              <w:rPr>
                <w:rStyle w:val="a9"/>
                <w:noProof/>
                <w:spacing w:val="-10"/>
                <w:w w:val="110"/>
              </w:rPr>
              <w:t xml:space="preserve"> </w:t>
            </w:r>
            <w:r w:rsidRPr="00265A01">
              <w:rPr>
                <w:rStyle w:val="a9"/>
                <w:noProof/>
                <w:w w:val="110"/>
              </w:rPr>
              <w:t>metrics</w:t>
            </w:r>
            <w:r>
              <w:rPr>
                <w:noProof/>
                <w:webHidden/>
              </w:rPr>
              <w:tab/>
            </w:r>
            <w:r>
              <w:rPr>
                <w:noProof/>
                <w:webHidden/>
              </w:rPr>
              <w:fldChar w:fldCharType="begin"/>
            </w:r>
            <w:r>
              <w:rPr>
                <w:noProof/>
                <w:webHidden/>
              </w:rPr>
              <w:instrText xml:space="preserve"> PAGEREF _Toc54423864 \h </w:instrText>
            </w:r>
            <w:r>
              <w:rPr>
                <w:noProof/>
                <w:webHidden/>
              </w:rPr>
            </w:r>
            <w:r>
              <w:rPr>
                <w:noProof/>
                <w:webHidden/>
              </w:rPr>
              <w:fldChar w:fldCharType="separate"/>
            </w:r>
            <w:r>
              <w:rPr>
                <w:noProof/>
                <w:webHidden/>
              </w:rPr>
              <w:t>265</w:t>
            </w:r>
            <w:r>
              <w:rPr>
                <w:noProof/>
                <w:webHidden/>
              </w:rPr>
              <w:fldChar w:fldCharType="end"/>
            </w:r>
          </w:hyperlink>
        </w:p>
        <w:p w14:paraId="327B0485" w14:textId="493D6132"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65" w:history="1">
            <w:r w:rsidRPr="00265A01">
              <w:rPr>
                <w:rStyle w:val="a9"/>
                <w:noProof/>
                <w:spacing w:val="-1"/>
                <w:w w:val="113"/>
              </w:rPr>
              <w:t>5.6.5.</w:t>
            </w:r>
            <w:r>
              <w:rPr>
                <w:rFonts w:asciiTheme="minorHAnsi" w:eastAsiaTheme="minorEastAsia" w:hAnsiTheme="minorHAnsi" w:cstheme="minorBidi"/>
                <w:noProof/>
                <w:kern w:val="2"/>
                <w:szCs w:val="22"/>
                <w:lang w:eastAsia="zh-CN"/>
              </w:rPr>
              <w:tab/>
            </w:r>
            <w:r w:rsidRPr="00265A01">
              <w:rPr>
                <w:rStyle w:val="a9"/>
                <w:noProof/>
                <w:w w:val="110"/>
              </w:rPr>
              <w:t>Customizing individual</w:t>
            </w:r>
            <w:r w:rsidRPr="00265A01">
              <w:rPr>
                <w:rStyle w:val="a9"/>
                <w:noProof/>
                <w:spacing w:val="-12"/>
                <w:w w:val="110"/>
              </w:rPr>
              <w:t xml:space="preserve"> </w:t>
            </w:r>
            <w:r w:rsidRPr="00265A01">
              <w:rPr>
                <w:rStyle w:val="a9"/>
                <w:noProof/>
                <w:w w:val="110"/>
              </w:rPr>
              <w:t>metrics</w:t>
            </w:r>
            <w:r>
              <w:rPr>
                <w:noProof/>
                <w:webHidden/>
              </w:rPr>
              <w:tab/>
            </w:r>
            <w:r>
              <w:rPr>
                <w:noProof/>
                <w:webHidden/>
              </w:rPr>
              <w:fldChar w:fldCharType="begin"/>
            </w:r>
            <w:r>
              <w:rPr>
                <w:noProof/>
                <w:webHidden/>
              </w:rPr>
              <w:instrText xml:space="preserve"> PAGEREF _Toc54423865 \h </w:instrText>
            </w:r>
            <w:r>
              <w:rPr>
                <w:noProof/>
                <w:webHidden/>
              </w:rPr>
            </w:r>
            <w:r>
              <w:rPr>
                <w:noProof/>
                <w:webHidden/>
              </w:rPr>
              <w:fldChar w:fldCharType="separate"/>
            </w:r>
            <w:r>
              <w:rPr>
                <w:noProof/>
                <w:webHidden/>
              </w:rPr>
              <w:t>266</w:t>
            </w:r>
            <w:r>
              <w:rPr>
                <w:noProof/>
                <w:webHidden/>
              </w:rPr>
              <w:fldChar w:fldCharType="end"/>
            </w:r>
          </w:hyperlink>
        </w:p>
        <w:p w14:paraId="3469224E" w14:textId="087EE1D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66" w:history="1">
            <w:r w:rsidRPr="00265A01">
              <w:rPr>
                <w:rStyle w:val="a9"/>
                <w:noProof/>
                <w:spacing w:val="-1"/>
                <w:w w:val="113"/>
              </w:rPr>
              <w:t>5.6.6.</w:t>
            </w:r>
            <w:r>
              <w:rPr>
                <w:rFonts w:asciiTheme="minorHAnsi" w:eastAsiaTheme="minorEastAsia" w:hAnsiTheme="minorHAnsi" w:cstheme="minorBidi"/>
                <w:noProof/>
                <w:kern w:val="2"/>
                <w:szCs w:val="22"/>
                <w:lang w:eastAsia="zh-CN"/>
              </w:rPr>
              <w:tab/>
            </w:r>
            <w:r w:rsidRPr="00265A01">
              <w:rPr>
                <w:rStyle w:val="a9"/>
                <w:noProof/>
                <w:w w:val="110"/>
              </w:rPr>
              <w:t>Metrics</w:t>
            </w:r>
            <w:r w:rsidRPr="00265A01">
              <w:rPr>
                <w:rStyle w:val="a9"/>
                <w:noProof/>
                <w:spacing w:val="-5"/>
                <w:w w:val="110"/>
              </w:rPr>
              <w:t xml:space="preserve"> </w:t>
            </w:r>
            <w:r w:rsidRPr="00265A01">
              <w:rPr>
                <w:rStyle w:val="a9"/>
                <w:noProof/>
                <w:w w:val="110"/>
              </w:rPr>
              <w:t>endpoint</w:t>
            </w:r>
            <w:r>
              <w:rPr>
                <w:noProof/>
                <w:webHidden/>
              </w:rPr>
              <w:tab/>
            </w:r>
            <w:r>
              <w:rPr>
                <w:noProof/>
                <w:webHidden/>
              </w:rPr>
              <w:fldChar w:fldCharType="begin"/>
            </w:r>
            <w:r>
              <w:rPr>
                <w:noProof/>
                <w:webHidden/>
              </w:rPr>
              <w:instrText xml:space="preserve"> PAGEREF _Toc54423866 \h </w:instrText>
            </w:r>
            <w:r>
              <w:rPr>
                <w:noProof/>
                <w:webHidden/>
              </w:rPr>
            </w:r>
            <w:r>
              <w:rPr>
                <w:noProof/>
                <w:webHidden/>
              </w:rPr>
              <w:fldChar w:fldCharType="separate"/>
            </w:r>
            <w:r>
              <w:rPr>
                <w:noProof/>
                <w:webHidden/>
              </w:rPr>
              <w:t>267</w:t>
            </w:r>
            <w:r>
              <w:rPr>
                <w:noProof/>
                <w:webHidden/>
              </w:rPr>
              <w:fldChar w:fldCharType="end"/>
            </w:r>
          </w:hyperlink>
        </w:p>
        <w:p w14:paraId="4055E8D2" w14:textId="2103659E"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67" w:history="1">
            <w:r w:rsidRPr="00265A01">
              <w:rPr>
                <w:rStyle w:val="a9"/>
                <w:noProof/>
                <w:spacing w:val="-1"/>
                <w:w w:val="113"/>
              </w:rPr>
              <w:t>5.7.</w:t>
            </w:r>
            <w:r>
              <w:rPr>
                <w:rFonts w:asciiTheme="minorHAnsi" w:eastAsiaTheme="minorEastAsia" w:hAnsiTheme="minorHAnsi" w:cstheme="minorBidi"/>
                <w:noProof/>
                <w:kern w:val="2"/>
                <w:szCs w:val="22"/>
                <w:lang w:eastAsia="zh-CN"/>
              </w:rPr>
              <w:tab/>
            </w:r>
            <w:r w:rsidRPr="00265A01">
              <w:rPr>
                <w:rStyle w:val="a9"/>
                <w:noProof/>
                <w:w w:val="105"/>
              </w:rPr>
              <w:t>Auditing</w:t>
            </w:r>
            <w:r>
              <w:rPr>
                <w:noProof/>
                <w:webHidden/>
              </w:rPr>
              <w:tab/>
            </w:r>
            <w:r>
              <w:rPr>
                <w:noProof/>
                <w:webHidden/>
              </w:rPr>
              <w:fldChar w:fldCharType="begin"/>
            </w:r>
            <w:r>
              <w:rPr>
                <w:noProof/>
                <w:webHidden/>
              </w:rPr>
              <w:instrText xml:space="preserve"> PAGEREF _Toc54423867 \h </w:instrText>
            </w:r>
            <w:r>
              <w:rPr>
                <w:noProof/>
                <w:webHidden/>
              </w:rPr>
            </w:r>
            <w:r>
              <w:rPr>
                <w:noProof/>
                <w:webHidden/>
              </w:rPr>
              <w:fldChar w:fldCharType="separate"/>
            </w:r>
            <w:r>
              <w:rPr>
                <w:noProof/>
                <w:webHidden/>
              </w:rPr>
              <w:t>268</w:t>
            </w:r>
            <w:r>
              <w:rPr>
                <w:noProof/>
                <w:webHidden/>
              </w:rPr>
              <w:fldChar w:fldCharType="end"/>
            </w:r>
          </w:hyperlink>
        </w:p>
        <w:p w14:paraId="3AD19C00" w14:textId="3A2875BC"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68" w:history="1">
            <w:r w:rsidRPr="00265A01">
              <w:rPr>
                <w:rStyle w:val="a9"/>
                <w:noProof/>
                <w:spacing w:val="-1"/>
                <w:w w:val="113"/>
              </w:rPr>
              <w:t>5.7.1.</w:t>
            </w:r>
            <w:r>
              <w:rPr>
                <w:rFonts w:asciiTheme="minorHAnsi" w:eastAsiaTheme="minorEastAsia" w:hAnsiTheme="minorHAnsi" w:cstheme="minorBidi"/>
                <w:noProof/>
                <w:kern w:val="2"/>
                <w:szCs w:val="22"/>
                <w:lang w:eastAsia="zh-CN"/>
              </w:rPr>
              <w:tab/>
            </w:r>
            <w:r w:rsidRPr="00265A01">
              <w:rPr>
                <w:rStyle w:val="a9"/>
                <w:noProof/>
                <w:w w:val="105"/>
              </w:rPr>
              <w:t>Custom</w:t>
            </w:r>
            <w:r w:rsidRPr="00265A01">
              <w:rPr>
                <w:rStyle w:val="a9"/>
                <w:noProof/>
                <w:spacing w:val="12"/>
                <w:w w:val="105"/>
              </w:rPr>
              <w:t xml:space="preserve"> </w:t>
            </w:r>
            <w:r w:rsidRPr="00265A01">
              <w:rPr>
                <w:rStyle w:val="a9"/>
                <w:noProof/>
                <w:w w:val="105"/>
              </w:rPr>
              <w:t>Auditing</w:t>
            </w:r>
            <w:r>
              <w:rPr>
                <w:noProof/>
                <w:webHidden/>
              </w:rPr>
              <w:tab/>
            </w:r>
            <w:r>
              <w:rPr>
                <w:noProof/>
                <w:webHidden/>
              </w:rPr>
              <w:fldChar w:fldCharType="begin"/>
            </w:r>
            <w:r>
              <w:rPr>
                <w:noProof/>
                <w:webHidden/>
              </w:rPr>
              <w:instrText xml:space="preserve"> PAGEREF _Toc54423868 \h </w:instrText>
            </w:r>
            <w:r>
              <w:rPr>
                <w:noProof/>
                <w:webHidden/>
              </w:rPr>
            </w:r>
            <w:r>
              <w:rPr>
                <w:noProof/>
                <w:webHidden/>
              </w:rPr>
              <w:fldChar w:fldCharType="separate"/>
            </w:r>
            <w:r>
              <w:rPr>
                <w:noProof/>
                <w:webHidden/>
              </w:rPr>
              <w:t>268</w:t>
            </w:r>
            <w:r>
              <w:rPr>
                <w:noProof/>
                <w:webHidden/>
              </w:rPr>
              <w:fldChar w:fldCharType="end"/>
            </w:r>
          </w:hyperlink>
        </w:p>
        <w:p w14:paraId="165A926E" w14:textId="251BCA7B"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69" w:history="1">
            <w:r w:rsidRPr="00265A01">
              <w:rPr>
                <w:rStyle w:val="a9"/>
                <w:noProof/>
                <w:spacing w:val="-1"/>
                <w:w w:val="113"/>
              </w:rPr>
              <w:t>5.8.</w:t>
            </w:r>
            <w:r>
              <w:rPr>
                <w:rFonts w:asciiTheme="minorHAnsi" w:eastAsiaTheme="minorEastAsia" w:hAnsiTheme="minorHAnsi" w:cstheme="minorBidi"/>
                <w:noProof/>
                <w:kern w:val="2"/>
                <w:szCs w:val="22"/>
                <w:lang w:eastAsia="zh-CN"/>
              </w:rPr>
              <w:tab/>
            </w:r>
            <w:r w:rsidRPr="00265A01">
              <w:rPr>
                <w:rStyle w:val="a9"/>
                <w:noProof/>
                <w:w w:val="110"/>
              </w:rPr>
              <w:t>HTTP</w:t>
            </w:r>
            <w:r w:rsidRPr="00265A01">
              <w:rPr>
                <w:rStyle w:val="a9"/>
                <w:noProof/>
                <w:spacing w:val="-9"/>
                <w:w w:val="110"/>
              </w:rPr>
              <w:t xml:space="preserve"> </w:t>
            </w:r>
            <w:r w:rsidRPr="00265A01">
              <w:rPr>
                <w:rStyle w:val="a9"/>
                <w:noProof/>
                <w:w w:val="110"/>
              </w:rPr>
              <w:t>Tracing</w:t>
            </w:r>
            <w:r>
              <w:rPr>
                <w:noProof/>
                <w:webHidden/>
              </w:rPr>
              <w:tab/>
            </w:r>
            <w:r>
              <w:rPr>
                <w:noProof/>
                <w:webHidden/>
              </w:rPr>
              <w:fldChar w:fldCharType="begin"/>
            </w:r>
            <w:r>
              <w:rPr>
                <w:noProof/>
                <w:webHidden/>
              </w:rPr>
              <w:instrText xml:space="preserve"> PAGEREF _Toc54423869 \h </w:instrText>
            </w:r>
            <w:r>
              <w:rPr>
                <w:noProof/>
                <w:webHidden/>
              </w:rPr>
            </w:r>
            <w:r>
              <w:rPr>
                <w:noProof/>
                <w:webHidden/>
              </w:rPr>
              <w:fldChar w:fldCharType="separate"/>
            </w:r>
            <w:r>
              <w:rPr>
                <w:noProof/>
                <w:webHidden/>
              </w:rPr>
              <w:t>268</w:t>
            </w:r>
            <w:r>
              <w:rPr>
                <w:noProof/>
                <w:webHidden/>
              </w:rPr>
              <w:fldChar w:fldCharType="end"/>
            </w:r>
          </w:hyperlink>
        </w:p>
        <w:p w14:paraId="2BB0450D" w14:textId="675C41B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70" w:history="1">
            <w:r w:rsidRPr="00265A01">
              <w:rPr>
                <w:rStyle w:val="a9"/>
                <w:noProof/>
                <w:spacing w:val="-1"/>
                <w:w w:val="113"/>
              </w:rPr>
              <w:t>5.8.1.</w:t>
            </w:r>
            <w:r>
              <w:rPr>
                <w:rFonts w:asciiTheme="minorHAnsi" w:eastAsiaTheme="minorEastAsia" w:hAnsiTheme="minorHAnsi" w:cstheme="minorBidi"/>
                <w:noProof/>
                <w:kern w:val="2"/>
                <w:szCs w:val="22"/>
                <w:lang w:eastAsia="zh-CN"/>
              </w:rPr>
              <w:tab/>
            </w:r>
            <w:r w:rsidRPr="00265A01">
              <w:rPr>
                <w:rStyle w:val="a9"/>
                <w:noProof/>
                <w:w w:val="110"/>
              </w:rPr>
              <w:t>Custom HTTP</w:t>
            </w:r>
            <w:r w:rsidRPr="00265A01">
              <w:rPr>
                <w:rStyle w:val="a9"/>
                <w:noProof/>
                <w:spacing w:val="-13"/>
                <w:w w:val="110"/>
              </w:rPr>
              <w:t xml:space="preserve"> </w:t>
            </w:r>
            <w:r w:rsidRPr="00265A01">
              <w:rPr>
                <w:rStyle w:val="a9"/>
                <w:noProof/>
                <w:w w:val="110"/>
              </w:rPr>
              <w:t>tracing</w:t>
            </w:r>
            <w:r>
              <w:rPr>
                <w:noProof/>
                <w:webHidden/>
              </w:rPr>
              <w:tab/>
            </w:r>
            <w:r>
              <w:rPr>
                <w:noProof/>
                <w:webHidden/>
              </w:rPr>
              <w:fldChar w:fldCharType="begin"/>
            </w:r>
            <w:r>
              <w:rPr>
                <w:noProof/>
                <w:webHidden/>
              </w:rPr>
              <w:instrText xml:space="preserve"> PAGEREF _Toc54423870 \h </w:instrText>
            </w:r>
            <w:r>
              <w:rPr>
                <w:noProof/>
                <w:webHidden/>
              </w:rPr>
            </w:r>
            <w:r>
              <w:rPr>
                <w:noProof/>
                <w:webHidden/>
              </w:rPr>
              <w:fldChar w:fldCharType="separate"/>
            </w:r>
            <w:r>
              <w:rPr>
                <w:noProof/>
                <w:webHidden/>
              </w:rPr>
              <w:t>268</w:t>
            </w:r>
            <w:r>
              <w:rPr>
                <w:noProof/>
                <w:webHidden/>
              </w:rPr>
              <w:fldChar w:fldCharType="end"/>
            </w:r>
          </w:hyperlink>
        </w:p>
        <w:p w14:paraId="2455DB51" w14:textId="6862E3F5"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71" w:history="1">
            <w:r w:rsidRPr="00265A01">
              <w:rPr>
                <w:rStyle w:val="a9"/>
                <w:noProof/>
                <w:spacing w:val="-1"/>
                <w:w w:val="113"/>
              </w:rPr>
              <w:t>5.9.</w:t>
            </w:r>
            <w:r>
              <w:rPr>
                <w:rFonts w:asciiTheme="minorHAnsi" w:eastAsiaTheme="minorEastAsia" w:hAnsiTheme="minorHAnsi" w:cstheme="minorBidi"/>
                <w:noProof/>
                <w:kern w:val="2"/>
                <w:szCs w:val="22"/>
                <w:lang w:eastAsia="zh-CN"/>
              </w:rPr>
              <w:tab/>
            </w:r>
            <w:r w:rsidRPr="00265A01">
              <w:rPr>
                <w:rStyle w:val="a9"/>
                <w:noProof/>
                <w:w w:val="110"/>
              </w:rPr>
              <w:t>Process</w:t>
            </w:r>
            <w:r w:rsidRPr="00265A01">
              <w:rPr>
                <w:rStyle w:val="a9"/>
                <w:noProof/>
                <w:spacing w:val="-7"/>
                <w:w w:val="110"/>
              </w:rPr>
              <w:t xml:space="preserve"> </w:t>
            </w:r>
            <w:r w:rsidRPr="00265A01">
              <w:rPr>
                <w:rStyle w:val="a9"/>
                <w:noProof/>
                <w:w w:val="110"/>
              </w:rPr>
              <w:t>Monitoring</w:t>
            </w:r>
            <w:r>
              <w:rPr>
                <w:noProof/>
                <w:webHidden/>
              </w:rPr>
              <w:tab/>
            </w:r>
            <w:r>
              <w:rPr>
                <w:noProof/>
                <w:webHidden/>
              </w:rPr>
              <w:fldChar w:fldCharType="begin"/>
            </w:r>
            <w:r>
              <w:rPr>
                <w:noProof/>
                <w:webHidden/>
              </w:rPr>
              <w:instrText xml:space="preserve"> PAGEREF _Toc54423871 \h </w:instrText>
            </w:r>
            <w:r>
              <w:rPr>
                <w:noProof/>
                <w:webHidden/>
              </w:rPr>
            </w:r>
            <w:r>
              <w:rPr>
                <w:noProof/>
                <w:webHidden/>
              </w:rPr>
              <w:fldChar w:fldCharType="separate"/>
            </w:r>
            <w:r>
              <w:rPr>
                <w:noProof/>
                <w:webHidden/>
              </w:rPr>
              <w:t>269</w:t>
            </w:r>
            <w:r>
              <w:rPr>
                <w:noProof/>
                <w:webHidden/>
              </w:rPr>
              <w:fldChar w:fldCharType="end"/>
            </w:r>
          </w:hyperlink>
        </w:p>
        <w:p w14:paraId="0CCB72DE" w14:textId="4BBA206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72" w:history="1">
            <w:r w:rsidRPr="00265A01">
              <w:rPr>
                <w:rStyle w:val="a9"/>
                <w:noProof/>
                <w:spacing w:val="-1"/>
                <w:w w:val="113"/>
              </w:rPr>
              <w:t>5.9.1.</w:t>
            </w:r>
            <w:r>
              <w:rPr>
                <w:rFonts w:asciiTheme="minorHAnsi" w:eastAsiaTheme="minorEastAsia" w:hAnsiTheme="minorHAnsi" w:cstheme="minorBidi"/>
                <w:noProof/>
                <w:kern w:val="2"/>
                <w:szCs w:val="22"/>
                <w:lang w:eastAsia="zh-CN"/>
              </w:rPr>
              <w:tab/>
            </w:r>
            <w:r w:rsidRPr="00265A01">
              <w:rPr>
                <w:rStyle w:val="a9"/>
                <w:noProof/>
                <w:w w:val="110"/>
              </w:rPr>
              <w:t>Extending</w:t>
            </w:r>
            <w:r w:rsidRPr="00265A01">
              <w:rPr>
                <w:rStyle w:val="a9"/>
                <w:noProof/>
                <w:spacing w:val="-6"/>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_Toc54423872 \h </w:instrText>
            </w:r>
            <w:r>
              <w:rPr>
                <w:noProof/>
                <w:webHidden/>
              </w:rPr>
            </w:r>
            <w:r>
              <w:rPr>
                <w:noProof/>
                <w:webHidden/>
              </w:rPr>
              <w:fldChar w:fldCharType="separate"/>
            </w:r>
            <w:r>
              <w:rPr>
                <w:noProof/>
                <w:webHidden/>
              </w:rPr>
              <w:t>269</w:t>
            </w:r>
            <w:r>
              <w:rPr>
                <w:noProof/>
                <w:webHidden/>
              </w:rPr>
              <w:fldChar w:fldCharType="end"/>
            </w:r>
          </w:hyperlink>
        </w:p>
        <w:p w14:paraId="74026A37" w14:textId="34A02D6D"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73" w:history="1">
            <w:r w:rsidRPr="00265A01">
              <w:rPr>
                <w:rStyle w:val="a9"/>
                <w:noProof/>
                <w:spacing w:val="-1"/>
                <w:w w:val="113"/>
              </w:rPr>
              <w:t>5.9.2.</w:t>
            </w:r>
            <w:r>
              <w:rPr>
                <w:rFonts w:asciiTheme="minorHAnsi" w:eastAsiaTheme="minorEastAsia" w:hAnsiTheme="minorHAnsi" w:cstheme="minorBidi"/>
                <w:noProof/>
                <w:kern w:val="2"/>
                <w:szCs w:val="22"/>
                <w:lang w:eastAsia="zh-CN"/>
              </w:rPr>
              <w:tab/>
            </w:r>
            <w:r w:rsidRPr="00265A01">
              <w:rPr>
                <w:rStyle w:val="a9"/>
                <w:noProof/>
                <w:w w:val="115"/>
              </w:rPr>
              <w:t>Programmatically</w:t>
            </w:r>
            <w:r>
              <w:rPr>
                <w:noProof/>
                <w:webHidden/>
              </w:rPr>
              <w:tab/>
            </w:r>
            <w:r>
              <w:rPr>
                <w:noProof/>
                <w:webHidden/>
              </w:rPr>
              <w:fldChar w:fldCharType="begin"/>
            </w:r>
            <w:r>
              <w:rPr>
                <w:noProof/>
                <w:webHidden/>
              </w:rPr>
              <w:instrText xml:space="preserve"> PAGEREF _Toc54423873 \h </w:instrText>
            </w:r>
            <w:r>
              <w:rPr>
                <w:noProof/>
                <w:webHidden/>
              </w:rPr>
            </w:r>
            <w:r>
              <w:rPr>
                <w:noProof/>
                <w:webHidden/>
              </w:rPr>
              <w:fldChar w:fldCharType="separate"/>
            </w:r>
            <w:r>
              <w:rPr>
                <w:noProof/>
                <w:webHidden/>
              </w:rPr>
              <w:t>269</w:t>
            </w:r>
            <w:r>
              <w:rPr>
                <w:noProof/>
                <w:webHidden/>
              </w:rPr>
              <w:fldChar w:fldCharType="end"/>
            </w:r>
          </w:hyperlink>
        </w:p>
        <w:p w14:paraId="1BB1A955" w14:textId="2BD96D51"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74" w:history="1">
            <w:r w:rsidRPr="00265A01">
              <w:rPr>
                <w:rStyle w:val="a9"/>
                <w:noProof/>
                <w:spacing w:val="-1"/>
                <w:w w:val="113"/>
              </w:rPr>
              <w:t>5.10.</w:t>
            </w:r>
            <w:r>
              <w:rPr>
                <w:rFonts w:asciiTheme="minorHAnsi" w:eastAsiaTheme="minorEastAsia" w:hAnsiTheme="minorHAnsi" w:cstheme="minorBidi"/>
                <w:noProof/>
                <w:kern w:val="2"/>
                <w:szCs w:val="22"/>
                <w:lang w:eastAsia="zh-CN"/>
              </w:rPr>
              <w:tab/>
            </w:r>
            <w:r w:rsidRPr="00265A01">
              <w:rPr>
                <w:rStyle w:val="a9"/>
                <w:noProof/>
                <w:w w:val="110"/>
              </w:rPr>
              <w:t xml:space="preserve">Cloud </w:t>
            </w:r>
            <w:r w:rsidRPr="00265A01">
              <w:rPr>
                <w:rStyle w:val="a9"/>
                <w:noProof/>
                <w:spacing w:val="-3"/>
                <w:w w:val="110"/>
              </w:rPr>
              <w:t>Foundry</w:t>
            </w:r>
            <w:r w:rsidRPr="00265A01">
              <w:rPr>
                <w:rStyle w:val="a9"/>
                <w:noProof/>
                <w:spacing w:val="-17"/>
                <w:w w:val="110"/>
              </w:rPr>
              <w:t xml:space="preserve"> </w:t>
            </w:r>
            <w:r w:rsidRPr="00265A01">
              <w:rPr>
                <w:rStyle w:val="a9"/>
                <w:noProof/>
                <w:w w:val="110"/>
              </w:rPr>
              <w:t>Support</w:t>
            </w:r>
            <w:r>
              <w:rPr>
                <w:noProof/>
                <w:webHidden/>
              </w:rPr>
              <w:tab/>
            </w:r>
            <w:r>
              <w:rPr>
                <w:noProof/>
                <w:webHidden/>
              </w:rPr>
              <w:fldChar w:fldCharType="begin"/>
            </w:r>
            <w:r>
              <w:rPr>
                <w:noProof/>
                <w:webHidden/>
              </w:rPr>
              <w:instrText xml:space="preserve"> PAGEREF _Toc54423874 \h </w:instrText>
            </w:r>
            <w:r>
              <w:rPr>
                <w:noProof/>
                <w:webHidden/>
              </w:rPr>
            </w:r>
            <w:r>
              <w:rPr>
                <w:noProof/>
                <w:webHidden/>
              </w:rPr>
              <w:fldChar w:fldCharType="separate"/>
            </w:r>
            <w:r>
              <w:rPr>
                <w:noProof/>
                <w:webHidden/>
              </w:rPr>
              <w:t>269</w:t>
            </w:r>
            <w:r>
              <w:rPr>
                <w:noProof/>
                <w:webHidden/>
              </w:rPr>
              <w:fldChar w:fldCharType="end"/>
            </w:r>
          </w:hyperlink>
        </w:p>
        <w:p w14:paraId="09B9E458" w14:textId="70ACD22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75" w:history="1">
            <w:r w:rsidRPr="00265A01">
              <w:rPr>
                <w:rStyle w:val="a9"/>
                <w:noProof/>
                <w:spacing w:val="-1"/>
                <w:w w:val="113"/>
              </w:rPr>
              <w:t>5.10.1.</w:t>
            </w:r>
            <w:r>
              <w:rPr>
                <w:rFonts w:asciiTheme="minorHAnsi" w:eastAsiaTheme="minorEastAsia" w:hAnsiTheme="minorHAnsi" w:cstheme="minorBidi"/>
                <w:noProof/>
                <w:kern w:val="2"/>
                <w:szCs w:val="22"/>
                <w:lang w:eastAsia="zh-CN"/>
              </w:rPr>
              <w:tab/>
            </w:r>
            <w:r w:rsidRPr="00265A01">
              <w:rPr>
                <w:rStyle w:val="a9"/>
                <w:noProof/>
                <w:w w:val="110"/>
              </w:rPr>
              <w:t xml:space="preserve">Disabling Extended Cloud </w:t>
            </w:r>
            <w:r w:rsidRPr="00265A01">
              <w:rPr>
                <w:rStyle w:val="a9"/>
                <w:noProof/>
                <w:spacing w:val="-3"/>
                <w:w w:val="110"/>
              </w:rPr>
              <w:t xml:space="preserve">Foundry </w:t>
            </w:r>
            <w:r w:rsidRPr="00265A01">
              <w:rPr>
                <w:rStyle w:val="a9"/>
                <w:noProof/>
                <w:w w:val="110"/>
              </w:rPr>
              <w:t>Actuator</w:t>
            </w:r>
            <w:r w:rsidRPr="00265A01">
              <w:rPr>
                <w:rStyle w:val="a9"/>
                <w:noProof/>
                <w:spacing w:val="-31"/>
                <w:w w:val="110"/>
              </w:rPr>
              <w:t xml:space="preserve"> </w:t>
            </w:r>
            <w:r w:rsidRPr="00265A01">
              <w:rPr>
                <w:rStyle w:val="a9"/>
                <w:noProof/>
                <w:w w:val="110"/>
              </w:rPr>
              <w:t>Support</w:t>
            </w:r>
            <w:r>
              <w:rPr>
                <w:noProof/>
                <w:webHidden/>
              </w:rPr>
              <w:tab/>
            </w:r>
            <w:r>
              <w:rPr>
                <w:noProof/>
                <w:webHidden/>
              </w:rPr>
              <w:fldChar w:fldCharType="begin"/>
            </w:r>
            <w:r>
              <w:rPr>
                <w:noProof/>
                <w:webHidden/>
              </w:rPr>
              <w:instrText xml:space="preserve"> PAGEREF _Toc54423875 \h </w:instrText>
            </w:r>
            <w:r>
              <w:rPr>
                <w:noProof/>
                <w:webHidden/>
              </w:rPr>
            </w:r>
            <w:r>
              <w:rPr>
                <w:noProof/>
                <w:webHidden/>
              </w:rPr>
              <w:fldChar w:fldCharType="separate"/>
            </w:r>
            <w:r>
              <w:rPr>
                <w:noProof/>
                <w:webHidden/>
              </w:rPr>
              <w:t>269</w:t>
            </w:r>
            <w:r>
              <w:rPr>
                <w:noProof/>
                <w:webHidden/>
              </w:rPr>
              <w:fldChar w:fldCharType="end"/>
            </w:r>
          </w:hyperlink>
        </w:p>
        <w:p w14:paraId="3B79BBDE" w14:textId="6AA6A87F"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76" w:history="1">
            <w:r w:rsidRPr="00265A01">
              <w:rPr>
                <w:rStyle w:val="a9"/>
                <w:noProof/>
                <w:spacing w:val="-1"/>
                <w:w w:val="113"/>
              </w:rPr>
              <w:t>5.10.2.</w:t>
            </w:r>
            <w:r>
              <w:rPr>
                <w:rFonts w:asciiTheme="minorHAnsi" w:eastAsiaTheme="minorEastAsia" w:hAnsiTheme="minorHAnsi" w:cstheme="minorBidi"/>
                <w:noProof/>
                <w:kern w:val="2"/>
                <w:szCs w:val="22"/>
                <w:lang w:eastAsia="zh-CN"/>
              </w:rPr>
              <w:tab/>
            </w:r>
            <w:r w:rsidRPr="00265A01">
              <w:rPr>
                <w:rStyle w:val="a9"/>
                <w:noProof/>
                <w:w w:val="110"/>
              </w:rPr>
              <w:t xml:space="preserve">Cloud </w:t>
            </w:r>
            <w:r w:rsidRPr="00265A01">
              <w:rPr>
                <w:rStyle w:val="a9"/>
                <w:noProof/>
                <w:spacing w:val="-3"/>
                <w:w w:val="110"/>
              </w:rPr>
              <w:t xml:space="preserve">Foundry </w:t>
            </w:r>
            <w:r w:rsidRPr="00265A01">
              <w:rPr>
                <w:rStyle w:val="a9"/>
                <w:noProof/>
                <w:w w:val="110"/>
              </w:rPr>
              <w:t>Self-signed</w:t>
            </w:r>
            <w:r w:rsidRPr="00265A01">
              <w:rPr>
                <w:rStyle w:val="a9"/>
                <w:noProof/>
                <w:spacing w:val="-18"/>
                <w:w w:val="110"/>
              </w:rPr>
              <w:t xml:space="preserve"> </w:t>
            </w:r>
            <w:r w:rsidRPr="00265A01">
              <w:rPr>
                <w:rStyle w:val="a9"/>
                <w:noProof/>
                <w:w w:val="110"/>
              </w:rPr>
              <w:t>Certificates</w:t>
            </w:r>
            <w:r>
              <w:rPr>
                <w:noProof/>
                <w:webHidden/>
              </w:rPr>
              <w:tab/>
            </w:r>
            <w:r>
              <w:rPr>
                <w:noProof/>
                <w:webHidden/>
              </w:rPr>
              <w:fldChar w:fldCharType="begin"/>
            </w:r>
            <w:r>
              <w:rPr>
                <w:noProof/>
                <w:webHidden/>
              </w:rPr>
              <w:instrText xml:space="preserve"> PAGEREF _Toc54423876 \h </w:instrText>
            </w:r>
            <w:r>
              <w:rPr>
                <w:noProof/>
                <w:webHidden/>
              </w:rPr>
            </w:r>
            <w:r>
              <w:rPr>
                <w:noProof/>
                <w:webHidden/>
              </w:rPr>
              <w:fldChar w:fldCharType="separate"/>
            </w:r>
            <w:r>
              <w:rPr>
                <w:noProof/>
                <w:webHidden/>
              </w:rPr>
              <w:t>269</w:t>
            </w:r>
            <w:r>
              <w:rPr>
                <w:noProof/>
                <w:webHidden/>
              </w:rPr>
              <w:fldChar w:fldCharType="end"/>
            </w:r>
          </w:hyperlink>
        </w:p>
        <w:p w14:paraId="4828FA75" w14:textId="59AD4C7F"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877" w:history="1">
            <w:r w:rsidRPr="00265A01">
              <w:rPr>
                <w:rStyle w:val="a9"/>
                <w:noProof/>
                <w:spacing w:val="-1"/>
                <w:w w:val="113"/>
              </w:rPr>
              <w:t>5.10.3.</w:t>
            </w:r>
            <w:r>
              <w:rPr>
                <w:rFonts w:asciiTheme="minorHAnsi" w:eastAsiaTheme="minorEastAsia" w:hAnsiTheme="minorHAnsi" w:cstheme="minorBidi"/>
                <w:noProof/>
                <w:kern w:val="2"/>
                <w:szCs w:val="22"/>
                <w:lang w:eastAsia="zh-CN"/>
              </w:rPr>
              <w:tab/>
            </w:r>
            <w:r w:rsidRPr="00265A01">
              <w:rPr>
                <w:rStyle w:val="a9"/>
                <w:noProof/>
                <w:w w:val="115"/>
              </w:rPr>
              <w:t>Custom context</w:t>
            </w:r>
            <w:r w:rsidRPr="00265A01">
              <w:rPr>
                <w:rStyle w:val="a9"/>
                <w:noProof/>
                <w:spacing w:val="-19"/>
                <w:w w:val="115"/>
              </w:rPr>
              <w:t xml:space="preserve"> </w:t>
            </w:r>
            <w:r w:rsidRPr="00265A01">
              <w:rPr>
                <w:rStyle w:val="a9"/>
                <w:noProof/>
                <w:w w:val="115"/>
              </w:rPr>
              <w:t>path</w:t>
            </w:r>
            <w:r>
              <w:rPr>
                <w:noProof/>
                <w:webHidden/>
              </w:rPr>
              <w:tab/>
            </w:r>
            <w:r>
              <w:rPr>
                <w:noProof/>
                <w:webHidden/>
              </w:rPr>
              <w:fldChar w:fldCharType="begin"/>
            </w:r>
            <w:r>
              <w:rPr>
                <w:noProof/>
                <w:webHidden/>
              </w:rPr>
              <w:instrText xml:space="preserve"> PAGEREF _Toc54423877 \h </w:instrText>
            </w:r>
            <w:r>
              <w:rPr>
                <w:noProof/>
                <w:webHidden/>
              </w:rPr>
            </w:r>
            <w:r>
              <w:rPr>
                <w:noProof/>
                <w:webHidden/>
              </w:rPr>
              <w:fldChar w:fldCharType="separate"/>
            </w:r>
            <w:r>
              <w:rPr>
                <w:noProof/>
                <w:webHidden/>
              </w:rPr>
              <w:t>269</w:t>
            </w:r>
            <w:r>
              <w:rPr>
                <w:noProof/>
                <w:webHidden/>
              </w:rPr>
              <w:fldChar w:fldCharType="end"/>
            </w:r>
          </w:hyperlink>
        </w:p>
        <w:p w14:paraId="671D26EE" w14:textId="6B80A25E"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78" w:history="1">
            <w:r w:rsidRPr="00265A01">
              <w:rPr>
                <w:rStyle w:val="a9"/>
                <w:noProof/>
                <w:spacing w:val="-1"/>
                <w:w w:val="113"/>
              </w:rPr>
              <w:t>5.11.</w:t>
            </w:r>
            <w:r>
              <w:rPr>
                <w:rFonts w:asciiTheme="minorHAnsi" w:eastAsiaTheme="minorEastAsia" w:hAnsiTheme="minorHAnsi" w:cstheme="minorBidi"/>
                <w:noProof/>
                <w:kern w:val="2"/>
                <w:szCs w:val="22"/>
                <w:lang w:eastAsia="zh-CN"/>
              </w:rPr>
              <w:tab/>
            </w:r>
            <w:r w:rsidRPr="00265A01">
              <w:rPr>
                <w:rStyle w:val="a9"/>
                <w:noProof/>
                <w:w w:val="110"/>
              </w:rPr>
              <w:t>What to Read</w:t>
            </w:r>
            <w:r w:rsidRPr="00265A01">
              <w:rPr>
                <w:rStyle w:val="a9"/>
                <w:noProof/>
                <w:spacing w:val="-20"/>
                <w:w w:val="110"/>
              </w:rPr>
              <w:t xml:space="preserve"> </w:t>
            </w:r>
            <w:r w:rsidRPr="00265A01">
              <w:rPr>
                <w:rStyle w:val="a9"/>
                <w:noProof/>
                <w:w w:val="110"/>
              </w:rPr>
              <w:t>Next</w:t>
            </w:r>
            <w:r>
              <w:rPr>
                <w:noProof/>
                <w:webHidden/>
              </w:rPr>
              <w:tab/>
            </w:r>
            <w:r>
              <w:rPr>
                <w:noProof/>
                <w:webHidden/>
              </w:rPr>
              <w:fldChar w:fldCharType="begin"/>
            </w:r>
            <w:r>
              <w:rPr>
                <w:noProof/>
                <w:webHidden/>
              </w:rPr>
              <w:instrText xml:space="preserve"> PAGEREF _Toc54423878 \h </w:instrText>
            </w:r>
            <w:r>
              <w:rPr>
                <w:noProof/>
                <w:webHidden/>
              </w:rPr>
            </w:r>
            <w:r>
              <w:rPr>
                <w:noProof/>
                <w:webHidden/>
              </w:rPr>
              <w:fldChar w:fldCharType="separate"/>
            </w:r>
            <w:r>
              <w:rPr>
                <w:noProof/>
                <w:webHidden/>
              </w:rPr>
              <w:t>269</w:t>
            </w:r>
            <w:r>
              <w:rPr>
                <w:noProof/>
                <w:webHidden/>
              </w:rPr>
              <w:fldChar w:fldCharType="end"/>
            </w:r>
          </w:hyperlink>
        </w:p>
        <w:p w14:paraId="646B5CCA" w14:textId="2586E86F"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79" w:history="1">
            <w:r w:rsidRPr="00265A01">
              <w:rPr>
                <w:rStyle w:val="a9"/>
                <w:noProof/>
                <w:spacing w:val="-1"/>
                <w:w w:val="113"/>
              </w:rPr>
              <w:t>6.1.</w:t>
            </w:r>
            <w:r>
              <w:rPr>
                <w:rFonts w:asciiTheme="minorHAnsi" w:eastAsiaTheme="minorEastAsia" w:hAnsiTheme="minorHAnsi" w:cstheme="minorBidi"/>
                <w:noProof/>
                <w:kern w:val="2"/>
                <w:szCs w:val="22"/>
                <w:lang w:eastAsia="zh-CN"/>
              </w:rPr>
              <w:tab/>
            </w:r>
            <w:r w:rsidRPr="00265A01">
              <w:rPr>
                <w:rStyle w:val="a9"/>
                <w:noProof/>
                <w:w w:val="110"/>
              </w:rPr>
              <w:t>Deploying to</w:t>
            </w:r>
            <w:r w:rsidRPr="00265A01">
              <w:rPr>
                <w:rStyle w:val="a9"/>
                <w:noProof/>
                <w:spacing w:val="-17"/>
                <w:w w:val="110"/>
              </w:rPr>
              <w:t xml:space="preserve"> </w:t>
            </w:r>
            <w:r w:rsidRPr="00265A01">
              <w:rPr>
                <w:rStyle w:val="a9"/>
                <w:noProof/>
                <w:w w:val="110"/>
              </w:rPr>
              <w:t>Containers</w:t>
            </w:r>
            <w:r>
              <w:rPr>
                <w:noProof/>
                <w:webHidden/>
              </w:rPr>
              <w:tab/>
            </w:r>
            <w:r>
              <w:rPr>
                <w:noProof/>
                <w:webHidden/>
              </w:rPr>
              <w:fldChar w:fldCharType="begin"/>
            </w:r>
            <w:r>
              <w:rPr>
                <w:noProof/>
                <w:webHidden/>
              </w:rPr>
              <w:instrText xml:space="preserve"> PAGEREF _Toc54423879 \h </w:instrText>
            </w:r>
            <w:r>
              <w:rPr>
                <w:noProof/>
                <w:webHidden/>
              </w:rPr>
            </w:r>
            <w:r>
              <w:rPr>
                <w:noProof/>
                <w:webHidden/>
              </w:rPr>
              <w:fldChar w:fldCharType="separate"/>
            </w:r>
            <w:r>
              <w:rPr>
                <w:noProof/>
                <w:webHidden/>
              </w:rPr>
              <w:t>269</w:t>
            </w:r>
            <w:r>
              <w:rPr>
                <w:noProof/>
                <w:webHidden/>
              </w:rPr>
              <w:fldChar w:fldCharType="end"/>
            </w:r>
          </w:hyperlink>
        </w:p>
        <w:p w14:paraId="05D3938B" w14:textId="6F887EEB"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80" w:history="1">
            <w:r w:rsidRPr="00265A01">
              <w:rPr>
                <w:rStyle w:val="a9"/>
                <w:noProof/>
                <w:spacing w:val="-1"/>
                <w:w w:val="113"/>
              </w:rPr>
              <w:t>6.2.</w:t>
            </w:r>
            <w:r>
              <w:rPr>
                <w:rFonts w:asciiTheme="minorHAnsi" w:eastAsiaTheme="minorEastAsia" w:hAnsiTheme="minorHAnsi" w:cstheme="minorBidi"/>
                <w:noProof/>
                <w:kern w:val="2"/>
                <w:szCs w:val="22"/>
                <w:lang w:eastAsia="zh-CN"/>
              </w:rPr>
              <w:tab/>
            </w:r>
            <w:r w:rsidRPr="00265A01">
              <w:rPr>
                <w:rStyle w:val="a9"/>
                <w:noProof/>
                <w:w w:val="105"/>
              </w:rPr>
              <w:t>Deploying to the</w:t>
            </w:r>
            <w:r w:rsidRPr="00265A01">
              <w:rPr>
                <w:rStyle w:val="a9"/>
                <w:noProof/>
                <w:spacing w:val="-5"/>
                <w:w w:val="105"/>
              </w:rPr>
              <w:t xml:space="preserve"> </w:t>
            </w:r>
            <w:r w:rsidRPr="00265A01">
              <w:rPr>
                <w:rStyle w:val="a9"/>
                <w:noProof/>
                <w:w w:val="105"/>
              </w:rPr>
              <w:t>Cloud</w:t>
            </w:r>
            <w:r>
              <w:rPr>
                <w:noProof/>
                <w:webHidden/>
              </w:rPr>
              <w:tab/>
            </w:r>
            <w:r>
              <w:rPr>
                <w:noProof/>
                <w:webHidden/>
              </w:rPr>
              <w:fldChar w:fldCharType="begin"/>
            </w:r>
            <w:r>
              <w:rPr>
                <w:noProof/>
                <w:webHidden/>
              </w:rPr>
              <w:instrText xml:space="preserve"> PAGEREF _Toc54423880 \h </w:instrText>
            </w:r>
            <w:r>
              <w:rPr>
                <w:noProof/>
                <w:webHidden/>
              </w:rPr>
            </w:r>
            <w:r>
              <w:rPr>
                <w:noProof/>
                <w:webHidden/>
              </w:rPr>
              <w:fldChar w:fldCharType="separate"/>
            </w:r>
            <w:r>
              <w:rPr>
                <w:noProof/>
                <w:webHidden/>
              </w:rPr>
              <w:t>269</w:t>
            </w:r>
            <w:r>
              <w:rPr>
                <w:noProof/>
                <w:webHidden/>
              </w:rPr>
              <w:fldChar w:fldCharType="end"/>
            </w:r>
          </w:hyperlink>
        </w:p>
        <w:p w14:paraId="20CFED07" w14:textId="024331A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81" w:history="1">
            <w:r w:rsidRPr="00265A01">
              <w:rPr>
                <w:rStyle w:val="a9"/>
                <w:noProof/>
                <w:spacing w:val="-1"/>
                <w:w w:val="113"/>
              </w:rPr>
              <w:t>6.2.1.</w:t>
            </w:r>
            <w:r>
              <w:rPr>
                <w:rFonts w:asciiTheme="minorHAnsi" w:eastAsiaTheme="minorEastAsia" w:hAnsiTheme="minorHAnsi" w:cstheme="minorBidi"/>
                <w:noProof/>
                <w:kern w:val="2"/>
                <w:szCs w:val="22"/>
                <w:lang w:eastAsia="zh-CN"/>
              </w:rPr>
              <w:tab/>
            </w:r>
            <w:r w:rsidRPr="00265A01">
              <w:rPr>
                <w:rStyle w:val="a9"/>
                <w:noProof/>
                <w:w w:val="110"/>
              </w:rPr>
              <w:t>Cloud</w:t>
            </w:r>
            <w:r w:rsidRPr="00265A01">
              <w:rPr>
                <w:rStyle w:val="a9"/>
                <w:noProof/>
                <w:spacing w:val="-6"/>
                <w:w w:val="110"/>
              </w:rPr>
              <w:t xml:space="preserve"> </w:t>
            </w:r>
            <w:r w:rsidRPr="00265A01">
              <w:rPr>
                <w:rStyle w:val="a9"/>
                <w:noProof/>
                <w:spacing w:val="-3"/>
                <w:w w:val="110"/>
              </w:rPr>
              <w:t>Foundry</w:t>
            </w:r>
            <w:r>
              <w:rPr>
                <w:noProof/>
                <w:webHidden/>
              </w:rPr>
              <w:tab/>
            </w:r>
            <w:r>
              <w:rPr>
                <w:noProof/>
                <w:webHidden/>
              </w:rPr>
              <w:fldChar w:fldCharType="begin"/>
            </w:r>
            <w:r>
              <w:rPr>
                <w:noProof/>
                <w:webHidden/>
              </w:rPr>
              <w:instrText xml:space="preserve"> PAGEREF _Toc54423881 \h </w:instrText>
            </w:r>
            <w:r>
              <w:rPr>
                <w:noProof/>
                <w:webHidden/>
              </w:rPr>
            </w:r>
            <w:r>
              <w:rPr>
                <w:noProof/>
                <w:webHidden/>
              </w:rPr>
              <w:fldChar w:fldCharType="separate"/>
            </w:r>
            <w:r>
              <w:rPr>
                <w:noProof/>
                <w:webHidden/>
              </w:rPr>
              <w:t>269</w:t>
            </w:r>
            <w:r>
              <w:rPr>
                <w:noProof/>
                <w:webHidden/>
              </w:rPr>
              <w:fldChar w:fldCharType="end"/>
            </w:r>
          </w:hyperlink>
        </w:p>
        <w:p w14:paraId="63C4DB7D" w14:textId="066D071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82" w:history="1">
            <w:r w:rsidRPr="00265A01">
              <w:rPr>
                <w:rStyle w:val="a9"/>
                <w:noProof/>
                <w:spacing w:val="-1"/>
                <w:w w:val="113"/>
              </w:rPr>
              <w:t>6.2.2.</w:t>
            </w:r>
            <w:r>
              <w:rPr>
                <w:rFonts w:asciiTheme="minorHAnsi" w:eastAsiaTheme="minorEastAsia" w:hAnsiTheme="minorHAnsi" w:cstheme="minorBidi"/>
                <w:noProof/>
                <w:kern w:val="2"/>
                <w:szCs w:val="22"/>
                <w:lang w:eastAsia="zh-CN"/>
              </w:rPr>
              <w:tab/>
            </w:r>
            <w:r w:rsidRPr="00265A01">
              <w:rPr>
                <w:rStyle w:val="a9"/>
                <w:noProof/>
                <w:w w:val="110"/>
              </w:rPr>
              <w:t>Kubernetes</w:t>
            </w:r>
            <w:r>
              <w:rPr>
                <w:noProof/>
                <w:webHidden/>
              </w:rPr>
              <w:tab/>
            </w:r>
            <w:r>
              <w:rPr>
                <w:noProof/>
                <w:webHidden/>
              </w:rPr>
              <w:fldChar w:fldCharType="begin"/>
            </w:r>
            <w:r>
              <w:rPr>
                <w:noProof/>
                <w:webHidden/>
              </w:rPr>
              <w:instrText xml:space="preserve"> PAGEREF _Toc54423882 \h </w:instrText>
            </w:r>
            <w:r>
              <w:rPr>
                <w:noProof/>
                <w:webHidden/>
              </w:rPr>
            </w:r>
            <w:r>
              <w:rPr>
                <w:noProof/>
                <w:webHidden/>
              </w:rPr>
              <w:fldChar w:fldCharType="separate"/>
            </w:r>
            <w:r>
              <w:rPr>
                <w:noProof/>
                <w:webHidden/>
              </w:rPr>
              <w:t>269</w:t>
            </w:r>
            <w:r>
              <w:rPr>
                <w:noProof/>
                <w:webHidden/>
              </w:rPr>
              <w:fldChar w:fldCharType="end"/>
            </w:r>
          </w:hyperlink>
        </w:p>
        <w:p w14:paraId="12254239" w14:textId="6A1F3DDC"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83" w:history="1">
            <w:r w:rsidRPr="00265A01">
              <w:rPr>
                <w:rStyle w:val="a9"/>
                <w:noProof/>
                <w:spacing w:val="-1"/>
                <w:w w:val="113"/>
              </w:rPr>
              <w:t>6.2.3.</w:t>
            </w:r>
            <w:r>
              <w:rPr>
                <w:rFonts w:asciiTheme="minorHAnsi" w:eastAsiaTheme="minorEastAsia" w:hAnsiTheme="minorHAnsi" w:cstheme="minorBidi"/>
                <w:noProof/>
                <w:kern w:val="2"/>
                <w:szCs w:val="22"/>
                <w:lang w:eastAsia="zh-CN"/>
              </w:rPr>
              <w:tab/>
            </w:r>
            <w:r w:rsidRPr="00265A01">
              <w:rPr>
                <w:rStyle w:val="a9"/>
                <w:noProof/>
                <w:w w:val="110"/>
              </w:rPr>
              <w:t>Heroku</w:t>
            </w:r>
            <w:r>
              <w:rPr>
                <w:noProof/>
                <w:webHidden/>
              </w:rPr>
              <w:tab/>
            </w:r>
            <w:r>
              <w:rPr>
                <w:noProof/>
                <w:webHidden/>
              </w:rPr>
              <w:fldChar w:fldCharType="begin"/>
            </w:r>
            <w:r>
              <w:rPr>
                <w:noProof/>
                <w:webHidden/>
              </w:rPr>
              <w:instrText xml:space="preserve"> PAGEREF _Toc54423883 \h </w:instrText>
            </w:r>
            <w:r>
              <w:rPr>
                <w:noProof/>
                <w:webHidden/>
              </w:rPr>
            </w:r>
            <w:r>
              <w:rPr>
                <w:noProof/>
                <w:webHidden/>
              </w:rPr>
              <w:fldChar w:fldCharType="separate"/>
            </w:r>
            <w:r>
              <w:rPr>
                <w:noProof/>
                <w:webHidden/>
              </w:rPr>
              <w:t>269</w:t>
            </w:r>
            <w:r>
              <w:rPr>
                <w:noProof/>
                <w:webHidden/>
              </w:rPr>
              <w:fldChar w:fldCharType="end"/>
            </w:r>
          </w:hyperlink>
        </w:p>
        <w:p w14:paraId="3A6A4931" w14:textId="55DCC27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84" w:history="1">
            <w:r w:rsidRPr="00265A01">
              <w:rPr>
                <w:rStyle w:val="a9"/>
                <w:noProof/>
                <w:spacing w:val="-1"/>
                <w:w w:val="113"/>
              </w:rPr>
              <w:t>6.2.4.</w:t>
            </w:r>
            <w:r>
              <w:rPr>
                <w:rFonts w:asciiTheme="minorHAnsi" w:eastAsiaTheme="minorEastAsia" w:hAnsiTheme="minorHAnsi" w:cstheme="minorBidi"/>
                <w:noProof/>
                <w:kern w:val="2"/>
                <w:szCs w:val="22"/>
                <w:lang w:eastAsia="zh-CN"/>
              </w:rPr>
              <w:tab/>
            </w:r>
            <w:r w:rsidRPr="00265A01">
              <w:rPr>
                <w:rStyle w:val="a9"/>
                <w:noProof/>
                <w:w w:val="105"/>
              </w:rPr>
              <w:t>OpenShift</w:t>
            </w:r>
            <w:r>
              <w:rPr>
                <w:noProof/>
                <w:webHidden/>
              </w:rPr>
              <w:tab/>
            </w:r>
            <w:r>
              <w:rPr>
                <w:noProof/>
                <w:webHidden/>
              </w:rPr>
              <w:fldChar w:fldCharType="begin"/>
            </w:r>
            <w:r>
              <w:rPr>
                <w:noProof/>
                <w:webHidden/>
              </w:rPr>
              <w:instrText xml:space="preserve"> PAGEREF _Toc54423884 \h </w:instrText>
            </w:r>
            <w:r>
              <w:rPr>
                <w:noProof/>
                <w:webHidden/>
              </w:rPr>
            </w:r>
            <w:r>
              <w:rPr>
                <w:noProof/>
                <w:webHidden/>
              </w:rPr>
              <w:fldChar w:fldCharType="separate"/>
            </w:r>
            <w:r>
              <w:rPr>
                <w:noProof/>
                <w:webHidden/>
              </w:rPr>
              <w:t>269</w:t>
            </w:r>
            <w:r>
              <w:rPr>
                <w:noProof/>
                <w:webHidden/>
              </w:rPr>
              <w:fldChar w:fldCharType="end"/>
            </w:r>
          </w:hyperlink>
        </w:p>
        <w:p w14:paraId="1A86B764" w14:textId="55B78DB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85" w:history="1">
            <w:r w:rsidRPr="00265A01">
              <w:rPr>
                <w:rStyle w:val="a9"/>
                <w:noProof/>
                <w:spacing w:val="-1"/>
                <w:w w:val="113"/>
              </w:rPr>
              <w:t>6.2.5.</w:t>
            </w:r>
            <w:r>
              <w:rPr>
                <w:rFonts w:asciiTheme="minorHAnsi" w:eastAsiaTheme="minorEastAsia" w:hAnsiTheme="minorHAnsi" w:cstheme="minorBidi"/>
                <w:noProof/>
                <w:kern w:val="2"/>
                <w:szCs w:val="22"/>
                <w:lang w:eastAsia="zh-CN"/>
              </w:rPr>
              <w:tab/>
            </w:r>
            <w:r w:rsidRPr="00265A01">
              <w:rPr>
                <w:rStyle w:val="a9"/>
                <w:noProof/>
                <w:w w:val="110"/>
              </w:rPr>
              <w:t xml:space="preserve">Amazon </w:t>
            </w:r>
            <w:r w:rsidRPr="00265A01">
              <w:rPr>
                <w:rStyle w:val="a9"/>
                <w:noProof/>
                <w:spacing w:val="-6"/>
                <w:w w:val="110"/>
              </w:rPr>
              <w:t xml:space="preserve">Web </w:t>
            </w:r>
            <w:r w:rsidRPr="00265A01">
              <w:rPr>
                <w:rStyle w:val="a9"/>
                <w:noProof/>
                <w:w w:val="110"/>
              </w:rPr>
              <w:t>Services</w:t>
            </w:r>
            <w:r w:rsidRPr="00265A01">
              <w:rPr>
                <w:rStyle w:val="a9"/>
                <w:noProof/>
                <w:spacing w:val="-13"/>
                <w:w w:val="110"/>
              </w:rPr>
              <w:t xml:space="preserve"> </w:t>
            </w:r>
            <w:r w:rsidRPr="00265A01">
              <w:rPr>
                <w:rStyle w:val="a9"/>
                <w:noProof/>
                <w:spacing w:val="-5"/>
                <w:w w:val="110"/>
              </w:rPr>
              <w:t>(AWS)</w:t>
            </w:r>
            <w:r>
              <w:rPr>
                <w:noProof/>
                <w:webHidden/>
              </w:rPr>
              <w:tab/>
            </w:r>
            <w:r>
              <w:rPr>
                <w:noProof/>
                <w:webHidden/>
              </w:rPr>
              <w:fldChar w:fldCharType="begin"/>
            </w:r>
            <w:r>
              <w:rPr>
                <w:noProof/>
                <w:webHidden/>
              </w:rPr>
              <w:instrText xml:space="preserve"> PAGEREF _Toc54423885 \h </w:instrText>
            </w:r>
            <w:r>
              <w:rPr>
                <w:noProof/>
                <w:webHidden/>
              </w:rPr>
            </w:r>
            <w:r>
              <w:rPr>
                <w:noProof/>
                <w:webHidden/>
              </w:rPr>
              <w:fldChar w:fldCharType="separate"/>
            </w:r>
            <w:r>
              <w:rPr>
                <w:noProof/>
                <w:webHidden/>
              </w:rPr>
              <w:t>269</w:t>
            </w:r>
            <w:r>
              <w:rPr>
                <w:noProof/>
                <w:webHidden/>
              </w:rPr>
              <w:fldChar w:fldCharType="end"/>
            </w:r>
          </w:hyperlink>
        </w:p>
        <w:p w14:paraId="3D3641F5" w14:textId="7F302621"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86" w:history="1">
            <w:r w:rsidRPr="00265A01">
              <w:rPr>
                <w:rStyle w:val="a9"/>
                <w:noProof/>
                <w:spacing w:val="-1"/>
                <w:w w:val="113"/>
              </w:rPr>
              <w:t>6.2.6.</w:t>
            </w:r>
            <w:r>
              <w:rPr>
                <w:rFonts w:asciiTheme="minorHAnsi" w:eastAsiaTheme="minorEastAsia" w:hAnsiTheme="minorHAnsi" w:cstheme="minorBidi"/>
                <w:noProof/>
                <w:kern w:val="2"/>
                <w:szCs w:val="22"/>
                <w:lang w:eastAsia="zh-CN"/>
              </w:rPr>
              <w:tab/>
            </w:r>
            <w:r w:rsidRPr="00265A01">
              <w:rPr>
                <w:rStyle w:val="a9"/>
                <w:noProof/>
                <w:w w:val="110"/>
              </w:rPr>
              <w:t xml:space="preserve">Boxfuse and Amazon </w:t>
            </w:r>
            <w:r w:rsidRPr="00265A01">
              <w:rPr>
                <w:rStyle w:val="a9"/>
                <w:noProof/>
                <w:spacing w:val="-6"/>
                <w:w w:val="110"/>
              </w:rPr>
              <w:t>Web</w:t>
            </w:r>
            <w:r w:rsidRPr="00265A01">
              <w:rPr>
                <w:rStyle w:val="a9"/>
                <w:noProof/>
                <w:spacing w:val="-22"/>
                <w:w w:val="110"/>
              </w:rPr>
              <w:t xml:space="preserve"> </w:t>
            </w:r>
            <w:r w:rsidRPr="00265A01">
              <w:rPr>
                <w:rStyle w:val="a9"/>
                <w:noProof/>
                <w:w w:val="110"/>
              </w:rPr>
              <w:t>Services</w:t>
            </w:r>
            <w:r>
              <w:rPr>
                <w:noProof/>
                <w:webHidden/>
              </w:rPr>
              <w:tab/>
            </w:r>
            <w:r>
              <w:rPr>
                <w:noProof/>
                <w:webHidden/>
              </w:rPr>
              <w:fldChar w:fldCharType="begin"/>
            </w:r>
            <w:r>
              <w:rPr>
                <w:noProof/>
                <w:webHidden/>
              </w:rPr>
              <w:instrText xml:space="preserve"> PAGEREF _Toc54423886 \h </w:instrText>
            </w:r>
            <w:r>
              <w:rPr>
                <w:noProof/>
                <w:webHidden/>
              </w:rPr>
            </w:r>
            <w:r>
              <w:rPr>
                <w:noProof/>
                <w:webHidden/>
              </w:rPr>
              <w:fldChar w:fldCharType="separate"/>
            </w:r>
            <w:r>
              <w:rPr>
                <w:noProof/>
                <w:webHidden/>
              </w:rPr>
              <w:t>269</w:t>
            </w:r>
            <w:r>
              <w:rPr>
                <w:noProof/>
                <w:webHidden/>
              </w:rPr>
              <w:fldChar w:fldCharType="end"/>
            </w:r>
          </w:hyperlink>
        </w:p>
        <w:p w14:paraId="658D2A8B" w14:textId="70329C6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87" w:history="1">
            <w:r w:rsidRPr="00265A01">
              <w:rPr>
                <w:rStyle w:val="a9"/>
                <w:noProof/>
                <w:spacing w:val="-1"/>
                <w:w w:val="113"/>
              </w:rPr>
              <w:t>6.2.7.</w:t>
            </w:r>
            <w:r>
              <w:rPr>
                <w:rFonts w:asciiTheme="minorHAnsi" w:eastAsiaTheme="minorEastAsia" w:hAnsiTheme="minorHAnsi" w:cstheme="minorBidi"/>
                <w:noProof/>
                <w:kern w:val="2"/>
                <w:szCs w:val="22"/>
                <w:lang w:eastAsia="zh-CN"/>
              </w:rPr>
              <w:tab/>
            </w:r>
            <w:r w:rsidRPr="00265A01">
              <w:rPr>
                <w:rStyle w:val="a9"/>
                <w:noProof/>
                <w:w w:val="105"/>
              </w:rPr>
              <w:t>Google</w:t>
            </w:r>
            <w:r w:rsidRPr="00265A01">
              <w:rPr>
                <w:rStyle w:val="a9"/>
                <w:noProof/>
                <w:spacing w:val="-2"/>
                <w:w w:val="105"/>
              </w:rPr>
              <w:t xml:space="preserve"> </w:t>
            </w:r>
            <w:r w:rsidRPr="00265A01">
              <w:rPr>
                <w:rStyle w:val="a9"/>
                <w:noProof/>
                <w:w w:val="105"/>
              </w:rPr>
              <w:t>Cloud</w:t>
            </w:r>
            <w:r>
              <w:rPr>
                <w:noProof/>
                <w:webHidden/>
              </w:rPr>
              <w:tab/>
            </w:r>
            <w:r>
              <w:rPr>
                <w:noProof/>
                <w:webHidden/>
              </w:rPr>
              <w:fldChar w:fldCharType="begin"/>
            </w:r>
            <w:r>
              <w:rPr>
                <w:noProof/>
                <w:webHidden/>
              </w:rPr>
              <w:instrText xml:space="preserve"> PAGEREF _Toc54423887 \h </w:instrText>
            </w:r>
            <w:r>
              <w:rPr>
                <w:noProof/>
                <w:webHidden/>
              </w:rPr>
            </w:r>
            <w:r>
              <w:rPr>
                <w:noProof/>
                <w:webHidden/>
              </w:rPr>
              <w:fldChar w:fldCharType="separate"/>
            </w:r>
            <w:r>
              <w:rPr>
                <w:noProof/>
                <w:webHidden/>
              </w:rPr>
              <w:t>269</w:t>
            </w:r>
            <w:r>
              <w:rPr>
                <w:noProof/>
                <w:webHidden/>
              </w:rPr>
              <w:fldChar w:fldCharType="end"/>
            </w:r>
          </w:hyperlink>
        </w:p>
        <w:p w14:paraId="73A60ED4" w14:textId="4B7AFB83"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88" w:history="1">
            <w:r w:rsidRPr="00265A01">
              <w:rPr>
                <w:rStyle w:val="a9"/>
                <w:noProof/>
                <w:spacing w:val="-1"/>
                <w:w w:val="113"/>
              </w:rPr>
              <w:t>6.3.</w:t>
            </w:r>
            <w:r>
              <w:rPr>
                <w:rFonts w:asciiTheme="minorHAnsi" w:eastAsiaTheme="minorEastAsia" w:hAnsiTheme="minorHAnsi" w:cstheme="minorBidi"/>
                <w:noProof/>
                <w:kern w:val="2"/>
                <w:szCs w:val="22"/>
                <w:lang w:eastAsia="zh-CN"/>
              </w:rPr>
              <w:tab/>
            </w:r>
            <w:r w:rsidRPr="00265A01">
              <w:rPr>
                <w:rStyle w:val="a9"/>
                <w:noProof/>
                <w:w w:val="110"/>
              </w:rPr>
              <w:t>Installing Spring Boot</w:t>
            </w:r>
            <w:r w:rsidRPr="00265A01">
              <w:rPr>
                <w:rStyle w:val="a9"/>
                <w:noProof/>
                <w:spacing w:val="-31"/>
                <w:w w:val="110"/>
              </w:rPr>
              <w:t xml:space="preserve"> </w:t>
            </w:r>
            <w:r w:rsidRPr="00265A01">
              <w:rPr>
                <w:rStyle w:val="a9"/>
                <w:noProof/>
                <w:w w:val="110"/>
              </w:rPr>
              <w:t>Applications</w:t>
            </w:r>
            <w:r>
              <w:rPr>
                <w:noProof/>
                <w:webHidden/>
              </w:rPr>
              <w:tab/>
            </w:r>
            <w:r>
              <w:rPr>
                <w:noProof/>
                <w:webHidden/>
              </w:rPr>
              <w:fldChar w:fldCharType="begin"/>
            </w:r>
            <w:r>
              <w:rPr>
                <w:noProof/>
                <w:webHidden/>
              </w:rPr>
              <w:instrText xml:space="preserve"> PAGEREF _Toc54423888 \h </w:instrText>
            </w:r>
            <w:r>
              <w:rPr>
                <w:noProof/>
                <w:webHidden/>
              </w:rPr>
            </w:r>
            <w:r>
              <w:rPr>
                <w:noProof/>
                <w:webHidden/>
              </w:rPr>
              <w:fldChar w:fldCharType="separate"/>
            </w:r>
            <w:r>
              <w:rPr>
                <w:noProof/>
                <w:webHidden/>
              </w:rPr>
              <w:t>269</w:t>
            </w:r>
            <w:r>
              <w:rPr>
                <w:noProof/>
                <w:webHidden/>
              </w:rPr>
              <w:fldChar w:fldCharType="end"/>
            </w:r>
          </w:hyperlink>
        </w:p>
        <w:p w14:paraId="4493D047" w14:textId="2943369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89" w:history="1">
            <w:r w:rsidRPr="00265A01">
              <w:rPr>
                <w:rStyle w:val="a9"/>
                <w:noProof/>
                <w:spacing w:val="-1"/>
                <w:w w:val="113"/>
              </w:rPr>
              <w:t>6.3.1.</w:t>
            </w:r>
            <w:r>
              <w:rPr>
                <w:rFonts w:asciiTheme="minorHAnsi" w:eastAsiaTheme="minorEastAsia" w:hAnsiTheme="minorHAnsi" w:cstheme="minorBidi"/>
                <w:noProof/>
                <w:kern w:val="2"/>
                <w:szCs w:val="22"/>
                <w:lang w:eastAsia="zh-CN"/>
              </w:rPr>
              <w:tab/>
            </w:r>
            <w:r w:rsidRPr="00265A01">
              <w:rPr>
                <w:rStyle w:val="a9"/>
                <w:noProof/>
                <w:w w:val="110"/>
              </w:rPr>
              <w:t>Supported Operating</w:t>
            </w:r>
            <w:r w:rsidRPr="00265A01">
              <w:rPr>
                <w:rStyle w:val="a9"/>
                <w:noProof/>
                <w:spacing w:val="-12"/>
                <w:w w:val="110"/>
              </w:rPr>
              <w:t xml:space="preserve"> </w:t>
            </w:r>
            <w:r w:rsidRPr="00265A01">
              <w:rPr>
                <w:rStyle w:val="a9"/>
                <w:noProof/>
                <w:w w:val="110"/>
              </w:rPr>
              <w:t>Systems</w:t>
            </w:r>
            <w:r>
              <w:rPr>
                <w:noProof/>
                <w:webHidden/>
              </w:rPr>
              <w:tab/>
            </w:r>
            <w:r>
              <w:rPr>
                <w:noProof/>
                <w:webHidden/>
              </w:rPr>
              <w:fldChar w:fldCharType="begin"/>
            </w:r>
            <w:r>
              <w:rPr>
                <w:noProof/>
                <w:webHidden/>
              </w:rPr>
              <w:instrText xml:space="preserve"> PAGEREF _Toc54423889 \h </w:instrText>
            </w:r>
            <w:r>
              <w:rPr>
                <w:noProof/>
                <w:webHidden/>
              </w:rPr>
            </w:r>
            <w:r>
              <w:rPr>
                <w:noProof/>
                <w:webHidden/>
              </w:rPr>
              <w:fldChar w:fldCharType="separate"/>
            </w:r>
            <w:r>
              <w:rPr>
                <w:noProof/>
                <w:webHidden/>
              </w:rPr>
              <w:t>269</w:t>
            </w:r>
            <w:r>
              <w:rPr>
                <w:noProof/>
                <w:webHidden/>
              </w:rPr>
              <w:fldChar w:fldCharType="end"/>
            </w:r>
          </w:hyperlink>
        </w:p>
        <w:p w14:paraId="75AA17F8" w14:textId="63136ED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90" w:history="1">
            <w:r w:rsidRPr="00265A01">
              <w:rPr>
                <w:rStyle w:val="a9"/>
                <w:noProof/>
                <w:spacing w:val="-1"/>
                <w:w w:val="113"/>
              </w:rPr>
              <w:t>6.3.2.</w:t>
            </w:r>
            <w:r>
              <w:rPr>
                <w:rFonts w:asciiTheme="minorHAnsi" w:eastAsiaTheme="minorEastAsia" w:hAnsiTheme="minorHAnsi" w:cstheme="minorBidi"/>
                <w:noProof/>
                <w:kern w:val="2"/>
                <w:szCs w:val="22"/>
                <w:lang w:eastAsia="zh-CN"/>
              </w:rPr>
              <w:tab/>
            </w:r>
            <w:r w:rsidRPr="00265A01">
              <w:rPr>
                <w:rStyle w:val="a9"/>
                <w:noProof/>
                <w:w w:val="110"/>
              </w:rPr>
              <w:t>Unix/Linux</w:t>
            </w:r>
            <w:r w:rsidRPr="00265A01">
              <w:rPr>
                <w:rStyle w:val="a9"/>
                <w:noProof/>
                <w:spacing w:val="-5"/>
                <w:w w:val="110"/>
              </w:rPr>
              <w:t xml:space="preserve"> </w:t>
            </w:r>
            <w:r w:rsidRPr="00265A01">
              <w:rPr>
                <w:rStyle w:val="a9"/>
                <w:noProof/>
                <w:w w:val="110"/>
              </w:rPr>
              <w:t>Services</w:t>
            </w:r>
            <w:r>
              <w:rPr>
                <w:noProof/>
                <w:webHidden/>
              </w:rPr>
              <w:tab/>
            </w:r>
            <w:r>
              <w:rPr>
                <w:noProof/>
                <w:webHidden/>
              </w:rPr>
              <w:fldChar w:fldCharType="begin"/>
            </w:r>
            <w:r>
              <w:rPr>
                <w:noProof/>
                <w:webHidden/>
              </w:rPr>
              <w:instrText xml:space="preserve"> PAGEREF _Toc54423890 \h </w:instrText>
            </w:r>
            <w:r>
              <w:rPr>
                <w:noProof/>
                <w:webHidden/>
              </w:rPr>
            </w:r>
            <w:r>
              <w:rPr>
                <w:noProof/>
                <w:webHidden/>
              </w:rPr>
              <w:fldChar w:fldCharType="separate"/>
            </w:r>
            <w:r>
              <w:rPr>
                <w:noProof/>
                <w:webHidden/>
              </w:rPr>
              <w:t>269</w:t>
            </w:r>
            <w:r>
              <w:rPr>
                <w:noProof/>
                <w:webHidden/>
              </w:rPr>
              <w:fldChar w:fldCharType="end"/>
            </w:r>
          </w:hyperlink>
        </w:p>
        <w:p w14:paraId="19667FAE" w14:textId="0F76D36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91" w:history="1">
            <w:r w:rsidRPr="00265A01">
              <w:rPr>
                <w:rStyle w:val="a9"/>
                <w:noProof/>
                <w:spacing w:val="-1"/>
                <w:w w:val="113"/>
              </w:rPr>
              <w:t>6.3.3.</w:t>
            </w:r>
            <w:r>
              <w:rPr>
                <w:rFonts w:asciiTheme="minorHAnsi" w:eastAsiaTheme="minorEastAsia" w:hAnsiTheme="minorHAnsi" w:cstheme="minorBidi"/>
                <w:noProof/>
                <w:kern w:val="2"/>
                <w:szCs w:val="22"/>
                <w:lang w:eastAsia="zh-CN"/>
              </w:rPr>
              <w:tab/>
            </w:r>
            <w:r w:rsidRPr="00265A01">
              <w:rPr>
                <w:rStyle w:val="a9"/>
                <w:noProof/>
                <w:w w:val="110"/>
              </w:rPr>
              <w:t>Microsoft Windows</w:t>
            </w:r>
            <w:r w:rsidRPr="00265A01">
              <w:rPr>
                <w:rStyle w:val="a9"/>
                <w:noProof/>
                <w:spacing w:val="-11"/>
                <w:w w:val="110"/>
              </w:rPr>
              <w:t xml:space="preserve"> </w:t>
            </w:r>
            <w:r w:rsidRPr="00265A01">
              <w:rPr>
                <w:rStyle w:val="a9"/>
                <w:noProof/>
                <w:w w:val="110"/>
              </w:rPr>
              <w:t>Services</w:t>
            </w:r>
            <w:r>
              <w:rPr>
                <w:noProof/>
                <w:webHidden/>
              </w:rPr>
              <w:tab/>
            </w:r>
            <w:r>
              <w:rPr>
                <w:noProof/>
                <w:webHidden/>
              </w:rPr>
              <w:fldChar w:fldCharType="begin"/>
            </w:r>
            <w:r>
              <w:rPr>
                <w:noProof/>
                <w:webHidden/>
              </w:rPr>
              <w:instrText xml:space="preserve"> PAGEREF _Toc54423891 \h </w:instrText>
            </w:r>
            <w:r>
              <w:rPr>
                <w:noProof/>
                <w:webHidden/>
              </w:rPr>
            </w:r>
            <w:r>
              <w:rPr>
                <w:noProof/>
                <w:webHidden/>
              </w:rPr>
              <w:fldChar w:fldCharType="separate"/>
            </w:r>
            <w:r>
              <w:rPr>
                <w:noProof/>
                <w:webHidden/>
              </w:rPr>
              <w:t>269</w:t>
            </w:r>
            <w:r>
              <w:rPr>
                <w:noProof/>
                <w:webHidden/>
              </w:rPr>
              <w:fldChar w:fldCharType="end"/>
            </w:r>
          </w:hyperlink>
        </w:p>
        <w:p w14:paraId="0C3CEFFC" w14:textId="7F73109A"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92" w:history="1">
            <w:r w:rsidRPr="00265A01">
              <w:rPr>
                <w:rStyle w:val="a9"/>
                <w:noProof/>
                <w:spacing w:val="-1"/>
                <w:w w:val="113"/>
              </w:rPr>
              <w:t>6.4.</w:t>
            </w:r>
            <w:r>
              <w:rPr>
                <w:rFonts w:asciiTheme="minorHAnsi" w:eastAsiaTheme="minorEastAsia" w:hAnsiTheme="minorHAnsi" w:cstheme="minorBidi"/>
                <w:noProof/>
                <w:kern w:val="2"/>
                <w:szCs w:val="22"/>
                <w:lang w:eastAsia="zh-CN"/>
              </w:rPr>
              <w:tab/>
            </w:r>
            <w:r w:rsidRPr="00265A01">
              <w:rPr>
                <w:rStyle w:val="a9"/>
                <w:noProof/>
                <w:w w:val="110"/>
              </w:rPr>
              <w:t>What to Read</w:t>
            </w:r>
            <w:r w:rsidRPr="00265A01">
              <w:rPr>
                <w:rStyle w:val="a9"/>
                <w:noProof/>
                <w:spacing w:val="-20"/>
                <w:w w:val="110"/>
              </w:rPr>
              <w:t xml:space="preserve"> </w:t>
            </w:r>
            <w:r w:rsidRPr="00265A01">
              <w:rPr>
                <w:rStyle w:val="a9"/>
                <w:noProof/>
                <w:w w:val="110"/>
              </w:rPr>
              <w:t>Next</w:t>
            </w:r>
            <w:r>
              <w:rPr>
                <w:noProof/>
                <w:webHidden/>
              </w:rPr>
              <w:tab/>
            </w:r>
            <w:r>
              <w:rPr>
                <w:noProof/>
                <w:webHidden/>
              </w:rPr>
              <w:fldChar w:fldCharType="begin"/>
            </w:r>
            <w:r>
              <w:rPr>
                <w:noProof/>
                <w:webHidden/>
              </w:rPr>
              <w:instrText xml:space="preserve"> PAGEREF _Toc54423892 \h </w:instrText>
            </w:r>
            <w:r>
              <w:rPr>
                <w:noProof/>
                <w:webHidden/>
              </w:rPr>
            </w:r>
            <w:r>
              <w:rPr>
                <w:noProof/>
                <w:webHidden/>
              </w:rPr>
              <w:fldChar w:fldCharType="separate"/>
            </w:r>
            <w:r>
              <w:rPr>
                <w:noProof/>
                <w:webHidden/>
              </w:rPr>
              <w:t>269</w:t>
            </w:r>
            <w:r>
              <w:rPr>
                <w:noProof/>
                <w:webHidden/>
              </w:rPr>
              <w:fldChar w:fldCharType="end"/>
            </w:r>
          </w:hyperlink>
        </w:p>
        <w:p w14:paraId="18CF4BC0" w14:textId="429AFF03"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93" w:history="1">
            <w:r w:rsidRPr="00265A01">
              <w:rPr>
                <w:rStyle w:val="a9"/>
                <w:noProof/>
                <w:spacing w:val="-1"/>
                <w:w w:val="113"/>
              </w:rPr>
              <w:t>7.1.</w:t>
            </w:r>
            <w:r>
              <w:rPr>
                <w:rFonts w:asciiTheme="minorHAnsi" w:eastAsiaTheme="minorEastAsia" w:hAnsiTheme="minorHAnsi" w:cstheme="minorBidi"/>
                <w:noProof/>
                <w:kern w:val="2"/>
                <w:szCs w:val="22"/>
                <w:lang w:eastAsia="zh-CN"/>
              </w:rPr>
              <w:tab/>
            </w:r>
            <w:r w:rsidRPr="00265A01">
              <w:rPr>
                <w:rStyle w:val="a9"/>
                <w:noProof/>
                <w:w w:val="110"/>
              </w:rPr>
              <w:t>Installing the</w:t>
            </w:r>
            <w:r w:rsidRPr="00265A01">
              <w:rPr>
                <w:rStyle w:val="a9"/>
                <w:noProof/>
                <w:spacing w:val="-16"/>
                <w:w w:val="110"/>
              </w:rPr>
              <w:t xml:space="preserve"> </w:t>
            </w:r>
            <w:r w:rsidRPr="00265A01">
              <w:rPr>
                <w:rStyle w:val="a9"/>
                <w:noProof/>
                <w:w w:val="110"/>
              </w:rPr>
              <w:t>CLI</w:t>
            </w:r>
            <w:r>
              <w:rPr>
                <w:noProof/>
                <w:webHidden/>
              </w:rPr>
              <w:tab/>
            </w:r>
            <w:r>
              <w:rPr>
                <w:noProof/>
                <w:webHidden/>
              </w:rPr>
              <w:fldChar w:fldCharType="begin"/>
            </w:r>
            <w:r>
              <w:rPr>
                <w:noProof/>
                <w:webHidden/>
              </w:rPr>
              <w:instrText xml:space="preserve"> PAGEREF _Toc54423893 \h </w:instrText>
            </w:r>
            <w:r>
              <w:rPr>
                <w:noProof/>
                <w:webHidden/>
              </w:rPr>
            </w:r>
            <w:r>
              <w:rPr>
                <w:noProof/>
                <w:webHidden/>
              </w:rPr>
              <w:fldChar w:fldCharType="separate"/>
            </w:r>
            <w:r>
              <w:rPr>
                <w:noProof/>
                <w:webHidden/>
              </w:rPr>
              <w:t>269</w:t>
            </w:r>
            <w:r>
              <w:rPr>
                <w:noProof/>
                <w:webHidden/>
              </w:rPr>
              <w:fldChar w:fldCharType="end"/>
            </w:r>
          </w:hyperlink>
        </w:p>
        <w:p w14:paraId="6399B6E0" w14:textId="6D0A36E0"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894" w:history="1">
            <w:r w:rsidRPr="00265A01">
              <w:rPr>
                <w:rStyle w:val="a9"/>
                <w:noProof/>
                <w:spacing w:val="-1"/>
                <w:w w:val="113"/>
              </w:rPr>
              <w:t>7.2.</w:t>
            </w:r>
            <w:r>
              <w:rPr>
                <w:rFonts w:asciiTheme="minorHAnsi" w:eastAsiaTheme="minorEastAsia" w:hAnsiTheme="minorHAnsi" w:cstheme="minorBidi"/>
                <w:noProof/>
                <w:kern w:val="2"/>
                <w:szCs w:val="22"/>
                <w:lang w:eastAsia="zh-CN"/>
              </w:rPr>
              <w:tab/>
            </w:r>
            <w:r w:rsidRPr="00265A01">
              <w:rPr>
                <w:rStyle w:val="a9"/>
                <w:noProof/>
                <w:w w:val="105"/>
              </w:rPr>
              <w:t>Using the</w:t>
            </w:r>
            <w:r w:rsidRPr="00265A01">
              <w:rPr>
                <w:rStyle w:val="a9"/>
                <w:noProof/>
                <w:spacing w:val="-5"/>
                <w:w w:val="105"/>
              </w:rPr>
              <w:t xml:space="preserve"> </w:t>
            </w:r>
            <w:r w:rsidRPr="00265A01">
              <w:rPr>
                <w:rStyle w:val="a9"/>
                <w:noProof/>
                <w:w w:val="105"/>
              </w:rPr>
              <w:t>CLI</w:t>
            </w:r>
            <w:r>
              <w:rPr>
                <w:noProof/>
                <w:webHidden/>
              </w:rPr>
              <w:tab/>
            </w:r>
            <w:r>
              <w:rPr>
                <w:noProof/>
                <w:webHidden/>
              </w:rPr>
              <w:fldChar w:fldCharType="begin"/>
            </w:r>
            <w:r>
              <w:rPr>
                <w:noProof/>
                <w:webHidden/>
              </w:rPr>
              <w:instrText xml:space="preserve"> PAGEREF _Toc54423894 \h </w:instrText>
            </w:r>
            <w:r>
              <w:rPr>
                <w:noProof/>
                <w:webHidden/>
              </w:rPr>
            </w:r>
            <w:r>
              <w:rPr>
                <w:noProof/>
                <w:webHidden/>
              </w:rPr>
              <w:fldChar w:fldCharType="separate"/>
            </w:r>
            <w:r>
              <w:rPr>
                <w:noProof/>
                <w:webHidden/>
              </w:rPr>
              <w:t>269</w:t>
            </w:r>
            <w:r>
              <w:rPr>
                <w:noProof/>
                <w:webHidden/>
              </w:rPr>
              <w:fldChar w:fldCharType="end"/>
            </w:r>
          </w:hyperlink>
        </w:p>
        <w:p w14:paraId="1B099D13" w14:textId="78145909"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95" w:history="1">
            <w:r w:rsidRPr="00265A01">
              <w:rPr>
                <w:rStyle w:val="a9"/>
                <w:noProof/>
                <w:spacing w:val="-1"/>
                <w:w w:val="113"/>
              </w:rPr>
              <w:t>7.2.1.</w:t>
            </w:r>
            <w:r>
              <w:rPr>
                <w:rFonts w:asciiTheme="minorHAnsi" w:eastAsiaTheme="minorEastAsia" w:hAnsiTheme="minorHAnsi" w:cstheme="minorBidi"/>
                <w:noProof/>
                <w:kern w:val="2"/>
                <w:szCs w:val="22"/>
                <w:lang w:eastAsia="zh-CN"/>
              </w:rPr>
              <w:tab/>
            </w:r>
            <w:r w:rsidRPr="00265A01">
              <w:rPr>
                <w:rStyle w:val="a9"/>
                <w:noProof/>
                <w:w w:val="110"/>
              </w:rPr>
              <w:t>Running Applications with the</w:t>
            </w:r>
            <w:r w:rsidRPr="00265A01">
              <w:rPr>
                <w:rStyle w:val="a9"/>
                <w:noProof/>
                <w:spacing w:val="-28"/>
                <w:w w:val="110"/>
              </w:rPr>
              <w:t xml:space="preserve"> </w:t>
            </w:r>
            <w:r w:rsidRPr="00265A01">
              <w:rPr>
                <w:rStyle w:val="a9"/>
                <w:noProof/>
                <w:w w:val="110"/>
              </w:rPr>
              <w:t>CLI</w:t>
            </w:r>
            <w:r>
              <w:rPr>
                <w:noProof/>
                <w:webHidden/>
              </w:rPr>
              <w:tab/>
            </w:r>
            <w:r>
              <w:rPr>
                <w:noProof/>
                <w:webHidden/>
              </w:rPr>
              <w:fldChar w:fldCharType="begin"/>
            </w:r>
            <w:r>
              <w:rPr>
                <w:noProof/>
                <w:webHidden/>
              </w:rPr>
              <w:instrText xml:space="preserve"> PAGEREF _Toc54423895 \h </w:instrText>
            </w:r>
            <w:r>
              <w:rPr>
                <w:noProof/>
                <w:webHidden/>
              </w:rPr>
            </w:r>
            <w:r>
              <w:rPr>
                <w:noProof/>
                <w:webHidden/>
              </w:rPr>
              <w:fldChar w:fldCharType="separate"/>
            </w:r>
            <w:r>
              <w:rPr>
                <w:noProof/>
                <w:webHidden/>
              </w:rPr>
              <w:t>269</w:t>
            </w:r>
            <w:r>
              <w:rPr>
                <w:noProof/>
                <w:webHidden/>
              </w:rPr>
              <w:fldChar w:fldCharType="end"/>
            </w:r>
          </w:hyperlink>
        </w:p>
        <w:p w14:paraId="5ADB9261" w14:textId="43A66136"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96" w:history="1">
            <w:r w:rsidRPr="00265A01">
              <w:rPr>
                <w:rStyle w:val="a9"/>
                <w:noProof/>
                <w:spacing w:val="-1"/>
                <w:w w:val="113"/>
              </w:rPr>
              <w:t>7.2.2.</w:t>
            </w:r>
            <w:r>
              <w:rPr>
                <w:rFonts w:asciiTheme="minorHAnsi" w:eastAsiaTheme="minorEastAsia" w:hAnsiTheme="minorHAnsi" w:cstheme="minorBidi"/>
                <w:noProof/>
                <w:kern w:val="2"/>
                <w:szCs w:val="22"/>
                <w:lang w:eastAsia="zh-CN"/>
              </w:rPr>
              <w:tab/>
            </w:r>
            <w:r w:rsidRPr="00265A01">
              <w:rPr>
                <w:rStyle w:val="a9"/>
                <w:noProof/>
                <w:w w:val="110"/>
              </w:rPr>
              <w:t>Applications with Multiple Source</w:t>
            </w:r>
            <w:r w:rsidRPr="00265A01">
              <w:rPr>
                <w:rStyle w:val="a9"/>
                <w:noProof/>
                <w:spacing w:val="-27"/>
                <w:w w:val="110"/>
              </w:rPr>
              <w:t xml:space="preserve"> </w:t>
            </w:r>
            <w:r w:rsidRPr="00265A01">
              <w:rPr>
                <w:rStyle w:val="a9"/>
                <w:noProof/>
                <w:w w:val="110"/>
              </w:rPr>
              <w:t>Files</w:t>
            </w:r>
            <w:r>
              <w:rPr>
                <w:noProof/>
                <w:webHidden/>
              </w:rPr>
              <w:tab/>
            </w:r>
            <w:r>
              <w:rPr>
                <w:noProof/>
                <w:webHidden/>
              </w:rPr>
              <w:fldChar w:fldCharType="begin"/>
            </w:r>
            <w:r>
              <w:rPr>
                <w:noProof/>
                <w:webHidden/>
              </w:rPr>
              <w:instrText xml:space="preserve"> PAGEREF _Toc54423896 \h </w:instrText>
            </w:r>
            <w:r>
              <w:rPr>
                <w:noProof/>
                <w:webHidden/>
              </w:rPr>
            </w:r>
            <w:r>
              <w:rPr>
                <w:noProof/>
                <w:webHidden/>
              </w:rPr>
              <w:fldChar w:fldCharType="separate"/>
            </w:r>
            <w:r>
              <w:rPr>
                <w:noProof/>
                <w:webHidden/>
              </w:rPr>
              <w:t>269</w:t>
            </w:r>
            <w:r>
              <w:rPr>
                <w:noProof/>
                <w:webHidden/>
              </w:rPr>
              <w:fldChar w:fldCharType="end"/>
            </w:r>
          </w:hyperlink>
        </w:p>
        <w:p w14:paraId="348B8116" w14:textId="3EF411A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97" w:history="1">
            <w:r w:rsidRPr="00265A01">
              <w:rPr>
                <w:rStyle w:val="a9"/>
                <w:noProof/>
                <w:spacing w:val="-1"/>
                <w:w w:val="113"/>
              </w:rPr>
              <w:t>7.2.3.</w:t>
            </w:r>
            <w:r>
              <w:rPr>
                <w:rFonts w:asciiTheme="minorHAnsi" w:eastAsiaTheme="minorEastAsia" w:hAnsiTheme="minorHAnsi" w:cstheme="minorBidi"/>
                <w:noProof/>
                <w:kern w:val="2"/>
                <w:szCs w:val="22"/>
                <w:lang w:eastAsia="zh-CN"/>
              </w:rPr>
              <w:tab/>
            </w:r>
            <w:r w:rsidRPr="00265A01">
              <w:rPr>
                <w:rStyle w:val="a9"/>
                <w:noProof/>
                <w:w w:val="110"/>
              </w:rPr>
              <w:t xml:space="preserve">Packaging </w:t>
            </w:r>
            <w:r w:rsidRPr="00265A01">
              <w:rPr>
                <w:rStyle w:val="a9"/>
                <w:noProof/>
                <w:spacing w:val="-6"/>
                <w:w w:val="110"/>
              </w:rPr>
              <w:t>Your</w:t>
            </w:r>
            <w:r w:rsidRPr="00265A01">
              <w:rPr>
                <w:rStyle w:val="a9"/>
                <w:noProof/>
                <w:spacing w:val="-11"/>
                <w:w w:val="110"/>
              </w:rPr>
              <w:t xml:space="preserve"> </w:t>
            </w:r>
            <w:r w:rsidRPr="00265A01">
              <w:rPr>
                <w:rStyle w:val="a9"/>
                <w:noProof/>
                <w:w w:val="110"/>
              </w:rPr>
              <w:t>Application</w:t>
            </w:r>
            <w:r>
              <w:rPr>
                <w:noProof/>
                <w:webHidden/>
              </w:rPr>
              <w:tab/>
            </w:r>
            <w:r>
              <w:rPr>
                <w:noProof/>
                <w:webHidden/>
              </w:rPr>
              <w:fldChar w:fldCharType="begin"/>
            </w:r>
            <w:r>
              <w:rPr>
                <w:noProof/>
                <w:webHidden/>
              </w:rPr>
              <w:instrText xml:space="preserve"> PAGEREF _Toc54423897 \h </w:instrText>
            </w:r>
            <w:r>
              <w:rPr>
                <w:noProof/>
                <w:webHidden/>
              </w:rPr>
            </w:r>
            <w:r>
              <w:rPr>
                <w:noProof/>
                <w:webHidden/>
              </w:rPr>
              <w:fldChar w:fldCharType="separate"/>
            </w:r>
            <w:r>
              <w:rPr>
                <w:noProof/>
                <w:webHidden/>
              </w:rPr>
              <w:t>269</w:t>
            </w:r>
            <w:r>
              <w:rPr>
                <w:noProof/>
                <w:webHidden/>
              </w:rPr>
              <w:fldChar w:fldCharType="end"/>
            </w:r>
          </w:hyperlink>
        </w:p>
        <w:p w14:paraId="66E3E768" w14:textId="3B61100A"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98" w:history="1">
            <w:r w:rsidRPr="00265A01">
              <w:rPr>
                <w:rStyle w:val="a9"/>
                <w:noProof/>
                <w:spacing w:val="-1"/>
                <w:w w:val="113"/>
              </w:rPr>
              <w:t>7.2.4.</w:t>
            </w:r>
            <w:r>
              <w:rPr>
                <w:rFonts w:asciiTheme="minorHAnsi" w:eastAsiaTheme="minorEastAsia" w:hAnsiTheme="minorHAnsi" w:cstheme="minorBidi"/>
                <w:noProof/>
                <w:kern w:val="2"/>
                <w:szCs w:val="22"/>
                <w:lang w:eastAsia="zh-CN"/>
              </w:rPr>
              <w:tab/>
            </w:r>
            <w:r w:rsidRPr="00265A01">
              <w:rPr>
                <w:rStyle w:val="a9"/>
                <w:noProof/>
                <w:w w:val="110"/>
              </w:rPr>
              <w:t>Initialize a New</w:t>
            </w:r>
            <w:r w:rsidRPr="00265A01">
              <w:rPr>
                <w:rStyle w:val="a9"/>
                <w:noProof/>
                <w:spacing w:val="-15"/>
                <w:w w:val="110"/>
              </w:rPr>
              <w:t xml:space="preserve"> </w:t>
            </w:r>
            <w:r w:rsidRPr="00265A01">
              <w:rPr>
                <w:rStyle w:val="a9"/>
                <w:noProof/>
                <w:w w:val="110"/>
              </w:rPr>
              <w:t>Project</w:t>
            </w:r>
            <w:r>
              <w:rPr>
                <w:noProof/>
                <w:webHidden/>
              </w:rPr>
              <w:tab/>
            </w:r>
            <w:r>
              <w:rPr>
                <w:noProof/>
                <w:webHidden/>
              </w:rPr>
              <w:fldChar w:fldCharType="begin"/>
            </w:r>
            <w:r>
              <w:rPr>
                <w:noProof/>
                <w:webHidden/>
              </w:rPr>
              <w:instrText xml:space="preserve"> PAGEREF _Toc54423898 \h </w:instrText>
            </w:r>
            <w:r>
              <w:rPr>
                <w:noProof/>
                <w:webHidden/>
              </w:rPr>
            </w:r>
            <w:r>
              <w:rPr>
                <w:noProof/>
                <w:webHidden/>
              </w:rPr>
              <w:fldChar w:fldCharType="separate"/>
            </w:r>
            <w:r>
              <w:rPr>
                <w:noProof/>
                <w:webHidden/>
              </w:rPr>
              <w:t>269</w:t>
            </w:r>
            <w:r>
              <w:rPr>
                <w:noProof/>
                <w:webHidden/>
              </w:rPr>
              <w:fldChar w:fldCharType="end"/>
            </w:r>
          </w:hyperlink>
        </w:p>
        <w:p w14:paraId="50316662" w14:textId="717A230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899" w:history="1">
            <w:r w:rsidRPr="00265A01">
              <w:rPr>
                <w:rStyle w:val="a9"/>
                <w:noProof/>
                <w:spacing w:val="-1"/>
                <w:w w:val="113"/>
              </w:rPr>
              <w:t>7.2.5.</w:t>
            </w:r>
            <w:r>
              <w:rPr>
                <w:rFonts w:asciiTheme="minorHAnsi" w:eastAsiaTheme="minorEastAsia" w:hAnsiTheme="minorHAnsi" w:cstheme="minorBidi"/>
                <w:noProof/>
                <w:kern w:val="2"/>
                <w:szCs w:val="22"/>
                <w:lang w:eastAsia="zh-CN"/>
              </w:rPr>
              <w:tab/>
            </w:r>
            <w:r w:rsidRPr="00265A01">
              <w:rPr>
                <w:rStyle w:val="a9"/>
                <w:noProof/>
                <w:w w:val="110"/>
              </w:rPr>
              <w:t>Using the Embedded</w:t>
            </w:r>
            <w:r w:rsidRPr="00265A01">
              <w:rPr>
                <w:rStyle w:val="a9"/>
                <w:noProof/>
                <w:spacing w:val="-19"/>
                <w:w w:val="110"/>
              </w:rPr>
              <w:t xml:space="preserve"> </w:t>
            </w:r>
            <w:r w:rsidRPr="00265A01">
              <w:rPr>
                <w:rStyle w:val="a9"/>
                <w:noProof/>
                <w:w w:val="110"/>
              </w:rPr>
              <w:t>Shell</w:t>
            </w:r>
            <w:r>
              <w:rPr>
                <w:noProof/>
                <w:webHidden/>
              </w:rPr>
              <w:tab/>
            </w:r>
            <w:r>
              <w:rPr>
                <w:noProof/>
                <w:webHidden/>
              </w:rPr>
              <w:fldChar w:fldCharType="begin"/>
            </w:r>
            <w:r>
              <w:rPr>
                <w:noProof/>
                <w:webHidden/>
              </w:rPr>
              <w:instrText xml:space="preserve"> PAGEREF _Toc54423899 \h </w:instrText>
            </w:r>
            <w:r>
              <w:rPr>
                <w:noProof/>
                <w:webHidden/>
              </w:rPr>
            </w:r>
            <w:r>
              <w:rPr>
                <w:noProof/>
                <w:webHidden/>
              </w:rPr>
              <w:fldChar w:fldCharType="separate"/>
            </w:r>
            <w:r>
              <w:rPr>
                <w:noProof/>
                <w:webHidden/>
              </w:rPr>
              <w:t>269</w:t>
            </w:r>
            <w:r>
              <w:rPr>
                <w:noProof/>
                <w:webHidden/>
              </w:rPr>
              <w:fldChar w:fldCharType="end"/>
            </w:r>
          </w:hyperlink>
        </w:p>
        <w:p w14:paraId="1231A322" w14:textId="19C539E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00" w:history="1">
            <w:r w:rsidRPr="00265A01">
              <w:rPr>
                <w:rStyle w:val="a9"/>
                <w:noProof/>
                <w:spacing w:val="-1"/>
                <w:w w:val="113"/>
              </w:rPr>
              <w:t>7.2.6.</w:t>
            </w:r>
            <w:r>
              <w:rPr>
                <w:rFonts w:asciiTheme="minorHAnsi" w:eastAsiaTheme="minorEastAsia" w:hAnsiTheme="minorHAnsi" w:cstheme="minorBidi"/>
                <w:noProof/>
                <w:kern w:val="2"/>
                <w:szCs w:val="22"/>
                <w:lang w:eastAsia="zh-CN"/>
              </w:rPr>
              <w:tab/>
            </w:r>
            <w:r w:rsidRPr="00265A01">
              <w:rPr>
                <w:rStyle w:val="a9"/>
                <w:noProof/>
                <w:w w:val="110"/>
              </w:rPr>
              <w:t>Adding Extensions to the</w:t>
            </w:r>
            <w:r w:rsidRPr="00265A01">
              <w:rPr>
                <w:rStyle w:val="a9"/>
                <w:noProof/>
                <w:spacing w:val="-26"/>
                <w:w w:val="110"/>
              </w:rPr>
              <w:t xml:space="preserve"> </w:t>
            </w:r>
            <w:r w:rsidRPr="00265A01">
              <w:rPr>
                <w:rStyle w:val="a9"/>
                <w:noProof/>
                <w:w w:val="110"/>
              </w:rPr>
              <w:t>CLI</w:t>
            </w:r>
            <w:r>
              <w:rPr>
                <w:noProof/>
                <w:webHidden/>
              </w:rPr>
              <w:tab/>
            </w:r>
            <w:r>
              <w:rPr>
                <w:noProof/>
                <w:webHidden/>
              </w:rPr>
              <w:fldChar w:fldCharType="begin"/>
            </w:r>
            <w:r>
              <w:rPr>
                <w:noProof/>
                <w:webHidden/>
              </w:rPr>
              <w:instrText xml:space="preserve"> PAGEREF _Toc54423900 \h </w:instrText>
            </w:r>
            <w:r>
              <w:rPr>
                <w:noProof/>
                <w:webHidden/>
              </w:rPr>
            </w:r>
            <w:r>
              <w:rPr>
                <w:noProof/>
                <w:webHidden/>
              </w:rPr>
              <w:fldChar w:fldCharType="separate"/>
            </w:r>
            <w:r>
              <w:rPr>
                <w:noProof/>
                <w:webHidden/>
              </w:rPr>
              <w:t>269</w:t>
            </w:r>
            <w:r>
              <w:rPr>
                <w:noProof/>
                <w:webHidden/>
              </w:rPr>
              <w:fldChar w:fldCharType="end"/>
            </w:r>
          </w:hyperlink>
        </w:p>
        <w:p w14:paraId="154C078D" w14:textId="4ABDF2FF"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01" w:history="1">
            <w:r w:rsidRPr="00265A01">
              <w:rPr>
                <w:rStyle w:val="a9"/>
                <w:noProof/>
                <w:spacing w:val="-1"/>
                <w:w w:val="113"/>
              </w:rPr>
              <w:t>7.3.</w:t>
            </w:r>
            <w:r>
              <w:rPr>
                <w:rFonts w:asciiTheme="minorHAnsi" w:eastAsiaTheme="minorEastAsia" w:hAnsiTheme="minorHAnsi" w:cstheme="minorBidi"/>
                <w:noProof/>
                <w:kern w:val="2"/>
                <w:szCs w:val="22"/>
                <w:lang w:eastAsia="zh-CN"/>
              </w:rPr>
              <w:tab/>
            </w:r>
            <w:r w:rsidRPr="00265A01">
              <w:rPr>
                <w:rStyle w:val="a9"/>
                <w:noProof/>
                <w:w w:val="110"/>
              </w:rPr>
              <w:t>Developing</w:t>
            </w:r>
            <w:r w:rsidRPr="00265A01">
              <w:rPr>
                <w:rStyle w:val="a9"/>
                <w:noProof/>
                <w:spacing w:val="-38"/>
                <w:w w:val="110"/>
              </w:rPr>
              <w:t xml:space="preserve"> </w:t>
            </w:r>
            <w:r w:rsidRPr="00265A01">
              <w:rPr>
                <w:rStyle w:val="a9"/>
                <w:noProof/>
                <w:w w:val="110"/>
              </w:rPr>
              <w:t>Applications</w:t>
            </w:r>
            <w:r w:rsidRPr="00265A01">
              <w:rPr>
                <w:rStyle w:val="a9"/>
                <w:noProof/>
                <w:spacing w:val="-38"/>
                <w:w w:val="110"/>
              </w:rPr>
              <w:t xml:space="preserve"> </w:t>
            </w:r>
            <w:r w:rsidRPr="00265A01">
              <w:rPr>
                <w:rStyle w:val="a9"/>
                <w:noProof/>
                <w:w w:val="110"/>
              </w:rPr>
              <w:t>with</w:t>
            </w:r>
            <w:r w:rsidRPr="00265A01">
              <w:rPr>
                <w:rStyle w:val="a9"/>
                <w:noProof/>
                <w:spacing w:val="-38"/>
                <w:w w:val="110"/>
              </w:rPr>
              <w:t xml:space="preserve"> </w:t>
            </w:r>
            <w:r w:rsidRPr="00265A01">
              <w:rPr>
                <w:rStyle w:val="a9"/>
                <w:noProof/>
                <w:w w:val="110"/>
              </w:rPr>
              <w:t>the</w:t>
            </w:r>
            <w:r w:rsidRPr="00265A01">
              <w:rPr>
                <w:rStyle w:val="a9"/>
                <w:noProof/>
                <w:spacing w:val="-38"/>
                <w:w w:val="110"/>
              </w:rPr>
              <w:t xml:space="preserve"> </w:t>
            </w:r>
            <w:r w:rsidRPr="00265A01">
              <w:rPr>
                <w:rStyle w:val="a9"/>
                <w:noProof/>
                <w:w w:val="110"/>
              </w:rPr>
              <w:t>Groovy</w:t>
            </w:r>
            <w:r w:rsidRPr="00265A01">
              <w:rPr>
                <w:rStyle w:val="a9"/>
                <w:noProof/>
                <w:spacing w:val="-37"/>
                <w:w w:val="110"/>
              </w:rPr>
              <w:t xml:space="preserve"> </w:t>
            </w:r>
            <w:r w:rsidRPr="00265A01">
              <w:rPr>
                <w:rStyle w:val="a9"/>
                <w:noProof/>
                <w:w w:val="110"/>
              </w:rPr>
              <w:t>Beans DSL</w:t>
            </w:r>
            <w:r>
              <w:rPr>
                <w:noProof/>
                <w:webHidden/>
              </w:rPr>
              <w:tab/>
            </w:r>
            <w:r>
              <w:rPr>
                <w:noProof/>
                <w:webHidden/>
              </w:rPr>
              <w:fldChar w:fldCharType="begin"/>
            </w:r>
            <w:r>
              <w:rPr>
                <w:noProof/>
                <w:webHidden/>
              </w:rPr>
              <w:instrText xml:space="preserve"> PAGEREF _Toc54423901 \h </w:instrText>
            </w:r>
            <w:r>
              <w:rPr>
                <w:noProof/>
                <w:webHidden/>
              </w:rPr>
            </w:r>
            <w:r>
              <w:rPr>
                <w:noProof/>
                <w:webHidden/>
              </w:rPr>
              <w:fldChar w:fldCharType="separate"/>
            </w:r>
            <w:r>
              <w:rPr>
                <w:noProof/>
                <w:webHidden/>
              </w:rPr>
              <w:t>269</w:t>
            </w:r>
            <w:r>
              <w:rPr>
                <w:noProof/>
                <w:webHidden/>
              </w:rPr>
              <w:fldChar w:fldCharType="end"/>
            </w:r>
          </w:hyperlink>
        </w:p>
        <w:p w14:paraId="20CA688B" w14:textId="050DEE6D"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02" w:history="1">
            <w:r w:rsidRPr="00265A01">
              <w:rPr>
                <w:rStyle w:val="a9"/>
                <w:noProof/>
                <w:spacing w:val="-1"/>
                <w:w w:val="113"/>
              </w:rPr>
              <w:t>7.4.</w:t>
            </w:r>
            <w:r>
              <w:rPr>
                <w:rFonts w:asciiTheme="minorHAnsi" w:eastAsiaTheme="minorEastAsia" w:hAnsiTheme="minorHAnsi" w:cstheme="minorBidi"/>
                <w:noProof/>
                <w:kern w:val="2"/>
                <w:szCs w:val="22"/>
                <w:lang w:eastAsia="zh-CN"/>
              </w:rPr>
              <w:tab/>
            </w:r>
            <w:r w:rsidRPr="00265A01">
              <w:rPr>
                <w:rStyle w:val="a9"/>
                <w:noProof/>
                <w:w w:val="110"/>
              </w:rPr>
              <w:t>Configuring the CLI with</w:t>
            </w:r>
            <w:r w:rsidRPr="00265A01">
              <w:rPr>
                <w:rStyle w:val="a9"/>
                <w:noProof/>
                <w:spacing w:val="-42"/>
                <w:w w:val="110"/>
              </w:rPr>
              <w:t xml:space="preserve"> </w:t>
            </w:r>
            <w:r w:rsidRPr="00265A01">
              <w:rPr>
                <w:rStyle w:val="a9"/>
                <w:noProof/>
                <w:w w:val="110"/>
              </w:rPr>
              <w:t>settings.xml</w:t>
            </w:r>
            <w:r>
              <w:rPr>
                <w:noProof/>
                <w:webHidden/>
              </w:rPr>
              <w:tab/>
            </w:r>
            <w:r>
              <w:rPr>
                <w:noProof/>
                <w:webHidden/>
              </w:rPr>
              <w:fldChar w:fldCharType="begin"/>
            </w:r>
            <w:r>
              <w:rPr>
                <w:noProof/>
                <w:webHidden/>
              </w:rPr>
              <w:instrText xml:space="preserve"> PAGEREF _Toc54423902 \h </w:instrText>
            </w:r>
            <w:r>
              <w:rPr>
                <w:noProof/>
                <w:webHidden/>
              </w:rPr>
            </w:r>
            <w:r>
              <w:rPr>
                <w:noProof/>
                <w:webHidden/>
              </w:rPr>
              <w:fldChar w:fldCharType="separate"/>
            </w:r>
            <w:r>
              <w:rPr>
                <w:noProof/>
                <w:webHidden/>
              </w:rPr>
              <w:t>269</w:t>
            </w:r>
            <w:r>
              <w:rPr>
                <w:noProof/>
                <w:webHidden/>
              </w:rPr>
              <w:fldChar w:fldCharType="end"/>
            </w:r>
          </w:hyperlink>
        </w:p>
        <w:p w14:paraId="10195871" w14:textId="2B30E947"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03" w:history="1">
            <w:r w:rsidRPr="00265A01">
              <w:rPr>
                <w:rStyle w:val="a9"/>
                <w:noProof/>
                <w:spacing w:val="-1"/>
                <w:w w:val="113"/>
              </w:rPr>
              <w:t>7.5.</w:t>
            </w:r>
            <w:r>
              <w:rPr>
                <w:rFonts w:asciiTheme="minorHAnsi" w:eastAsiaTheme="minorEastAsia" w:hAnsiTheme="minorHAnsi" w:cstheme="minorBidi"/>
                <w:noProof/>
                <w:kern w:val="2"/>
                <w:szCs w:val="22"/>
                <w:lang w:eastAsia="zh-CN"/>
              </w:rPr>
              <w:tab/>
            </w:r>
            <w:r w:rsidRPr="00265A01">
              <w:rPr>
                <w:rStyle w:val="a9"/>
                <w:noProof/>
                <w:w w:val="110"/>
              </w:rPr>
              <w:t>What to Read</w:t>
            </w:r>
            <w:r w:rsidRPr="00265A01">
              <w:rPr>
                <w:rStyle w:val="a9"/>
                <w:noProof/>
                <w:spacing w:val="-20"/>
                <w:w w:val="110"/>
              </w:rPr>
              <w:t xml:space="preserve"> </w:t>
            </w:r>
            <w:r w:rsidRPr="00265A01">
              <w:rPr>
                <w:rStyle w:val="a9"/>
                <w:noProof/>
                <w:w w:val="110"/>
              </w:rPr>
              <w:t>Next</w:t>
            </w:r>
            <w:r>
              <w:rPr>
                <w:noProof/>
                <w:webHidden/>
              </w:rPr>
              <w:tab/>
            </w:r>
            <w:r>
              <w:rPr>
                <w:noProof/>
                <w:webHidden/>
              </w:rPr>
              <w:fldChar w:fldCharType="begin"/>
            </w:r>
            <w:r>
              <w:rPr>
                <w:noProof/>
                <w:webHidden/>
              </w:rPr>
              <w:instrText xml:space="preserve"> PAGEREF _Toc54423903 \h </w:instrText>
            </w:r>
            <w:r>
              <w:rPr>
                <w:noProof/>
                <w:webHidden/>
              </w:rPr>
            </w:r>
            <w:r>
              <w:rPr>
                <w:noProof/>
                <w:webHidden/>
              </w:rPr>
              <w:fldChar w:fldCharType="separate"/>
            </w:r>
            <w:r>
              <w:rPr>
                <w:noProof/>
                <w:webHidden/>
              </w:rPr>
              <w:t>269</w:t>
            </w:r>
            <w:r>
              <w:rPr>
                <w:noProof/>
                <w:webHidden/>
              </w:rPr>
              <w:fldChar w:fldCharType="end"/>
            </w:r>
          </w:hyperlink>
        </w:p>
        <w:p w14:paraId="3762A684" w14:textId="3CC1179E"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04" w:history="1">
            <w:r w:rsidRPr="00265A01">
              <w:rPr>
                <w:rStyle w:val="a9"/>
                <w:noProof/>
                <w:spacing w:val="-1"/>
                <w:w w:val="113"/>
              </w:rPr>
              <w:t>8.1.</w:t>
            </w:r>
            <w:r>
              <w:rPr>
                <w:rFonts w:asciiTheme="minorHAnsi" w:eastAsiaTheme="minorEastAsia" w:hAnsiTheme="minorHAnsi" w:cstheme="minorBidi"/>
                <w:noProof/>
                <w:kern w:val="2"/>
                <w:szCs w:val="22"/>
                <w:lang w:eastAsia="zh-CN"/>
              </w:rPr>
              <w:tab/>
            </w:r>
            <w:r w:rsidRPr="00265A01">
              <w:rPr>
                <w:rStyle w:val="a9"/>
                <w:noProof/>
                <w:w w:val="105"/>
              </w:rPr>
              <w:t>Spring Boot Maven</w:t>
            </w:r>
            <w:r w:rsidRPr="00265A01">
              <w:rPr>
                <w:rStyle w:val="a9"/>
                <w:noProof/>
                <w:spacing w:val="-3"/>
                <w:w w:val="105"/>
              </w:rPr>
              <w:t xml:space="preserve"> </w:t>
            </w:r>
            <w:r w:rsidRPr="00265A01">
              <w:rPr>
                <w:rStyle w:val="a9"/>
                <w:noProof/>
                <w:w w:val="105"/>
              </w:rPr>
              <w:t>Plugin</w:t>
            </w:r>
            <w:r>
              <w:rPr>
                <w:noProof/>
                <w:webHidden/>
              </w:rPr>
              <w:tab/>
            </w:r>
            <w:r>
              <w:rPr>
                <w:noProof/>
                <w:webHidden/>
              </w:rPr>
              <w:fldChar w:fldCharType="begin"/>
            </w:r>
            <w:r>
              <w:rPr>
                <w:noProof/>
                <w:webHidden/>
              </w:rPr>
              <w:instrText xml:space="preserve"> PAGEREF _Toc54423904 \h </w:instrText>
            </w:r>
            <w:r>
              <w:rPr>
                <w:noProof/>
                <w:webHidden/>
              </w:rPr>
            </w:r>
            <w:r>
              <w:rPr>
                <w:noProof/>
                <w:webHidden/>
              </w:rPr>
              <w:fldChar w:fldCharType="separate"/>
            </w:r>
            <w:r>
              <w:rPr>
                <w:noProof/>
                <w:webHidden/>
              </w:rPr>
              <w:t>269</w:t>
            </w:r>
            <w:r>
              <w:rPr>
                <w:noProof/>
                <w:webHidden/>
              </w:rPr>
              <w:fldChar w:fldCharType="end"/>
            </w:r>
          </w:hyperlink>
        </w:p>
        <w:p w14:paraId="5E9AEA05" w14:textId="2F5E37D5"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05" w:history="1">
            <w:r w:rsidRPr="00265A01">
              <w:rPr>
                <w:rStyle w:val="a9"/>
                <w:noProof/>
                <w:spacing w:val="-1"/>
                <w:w w:val="113"/>
              </w:rPr>
              <w:t>8.2.</w:t>
            </w:r>
            <w:r>
              <w:rPr>
                <w:rFonts w:asciiTheme="minorHAnsi" w:eastAsiaTheme="minorEastAsia" w:hAnsiTheme="minorHAnsi" w:cstheme="minorBidi"/>
                <w:noProof/>
                <w:kern w:val="2"/>
                <w:szCs w:val="22"/>
                <w:lang w:eastAsia="zh-CN"/>
              </w:rPr>
              <w:tab/>
            </w:r>
            <w:r w:rsidRPr="00265A01">
              <w:rPr>
                <w:rStyle w:val="a9"/>
                <w:noProof/>
                <w:w w:val="110"/>
              </w:rPr>
              <w:t xml:space="preserve">Spring Boot </w:t>
            </w:r>
            <w:r w:rsidRPr="00265A01">
              <w:rPr>
                <w:rStyle w:val="a9"/>
                <w:noProof/>
                <w:spacing w:val="-2"/>
                <w:w w:val="110"/>
              </w:rPr>
              <w:t>Gradle</w:t>
            </w:r>
            <w:r w:rsidRPr="00265A01">
              <w:rPr>
                <w:rStyle w:val="a9"/>
                <w:noProof/>
                <w:spacing w:val="-26"/>
                <w:w w:val="110"/>
              </w:rPr>
              <w:t xml:space="preserve"> </w:t>
            </w:r>
            <w:r w:rsidRPr="00265A01">
              <w:rPr>
                <w:rStyle w:val="a9"/>
                <w:noProof/>
                <w:w w:val="110"/>
              </w:rPr>
              <w:t>Plugin</w:t>
            </w:r>
            <w:r>
              <w:rPr>
                <w:noProof/>
                <w:webHidden/>
              </w:rPr>
              <w:tab/>
            </w:r>
            <w:r>
              <w:rPr>
                <w:noProof/>
                <w:webHidden/>
              </w:rPr>
              <w:fldChar w:fldCharType="begin"/>
            </w:r>
            <w:r>
              <w:rPr>
                <w:noProof/>
                <w:webHidden/>
              </w:rPr>
              <w:instrText xml:space="preserve"> PAGEREF _Toc54423905 \h </w:instrText>
            </w:r>
            <w:r>
              <w:rPr>
                <w:noProof/>
                <w:webHidden/>
              </w:rPr>
            </w:r>
            <w:r>
              <w:rPr>
                <w:noProof/>
                <w:webHidden/>
              </w:rPr>
              <w:fldChar w:fldCharType="separate"/>
            </w:r>
            <w:r>
              <w:rPr>
                <w:noProof/>
                <w:webHidden/>
              </w:rPr>
              <w:t>269</w:t>
            </w:r>
            <w:r>
              <w:rPr>
                <w:noProof/>
                <w:webHidden/>
              </w:rPr>
              <w:fldChar w:fldCharType="end"/>
            </w:r>
          </w:hyperlink>
        </w:p>
        <w:p w14:paraId="7810BA5F" w14:textId="60E66973"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06" w:history="1">
            <w:r w:rsidRPr="00265A01">
              <w:rPr>
                <w:rStyle w:val="a9"/>
                <w:noProof/>
                <w:spacing w:val="-1"/>
                <w:w w:val="113"/>
              </w:rPr>
              <w:t>8.3.</w:t>
            </w:r>
            <w:r>
              <w:rPr>
                <w:rFonts w:asciiTheme="minorHAnsi" w:eastAsiaTheme="minorEastAsia" w:hAnsiTheme="minorHAnsi" w:cstheme="minorBidi"/>
                <w:noProof/>
                <w:kern w:val="2"/>
                <w:szCs w:val="22"/>
                <w:lang w:eastAsia="zh-CN"/>
              </w:rPr>
              <w:tab/>
            </w:r>
            <w:r w:rsidRPr="00265A01">
              <w:rPr>
                <w:rStyle w:val="a9"/>
                <w:noProof/>
                <w:w w:val="105"/>
              </w:rPr>
              <w:t>Spring Boot AntLib</w:t>
            </w:r>
            <w:r w:rsidRPr="00265A01">
              <w:rPr>
                <w:rStyle w:val="a9"/>
                <w:noProof/>
                <w:spacing w:val="-5"/>
                <w:w w:val="105"/>
              </w:rPr>
              <w:t xml:space="preserve"> </w:t>
            </w:r>
            <w:r w:rsidRPr="00265A01">
              <w:rPr>
                <w:rStyle w:val="a9"/>
                <w:noProof/>
                <w:w w:val="105"/>
              </w:rPr>
              <w:t>Module</w:t>
            </w:r>
            <w:r>
              <w:rPr>
                <w:noProof/>
                <w:webHidden/>
              </w:rPr>
              <w:tab/>
            </w:r>
            <w:r>
              <w:rPr>
                <w:noProof/>
                <w:webHidden/>
              </w:rPr>
              <w:fldChar w:fldCharType="begin"/>
            </w:r>
            <w:r>
              <w:rPr>
                <w:noProof/>
                <w:webHidden/>
              </w:rPr>
              <w:instrText xml:space="preserve"> PAGEREF _Toc54423906 \h </w:instrText>
            </w:r>
            <w:r>
              <w:rPr>
                <w:noProof/>
                <w:webHidden/>
              </w:rPr>
            </w:r>
            <w:r>
              <w:rPr>
                <w:noProof/>
                <w:webHidden/>
              </w:rPr>
              <w:fldChar w:fldCharType="separate"/>
            </w:r>
            <w:r>
              <w:rPr>
                <w:noProof/>
                <w:webHidden/>
              </w:rPr>
              <w:t>269</w:t>
            </w:r>
            <w:r>
              <w:rPr>
                <w:noProof/>
                <w:webHidden/>
              </w:rPr>
              <w:fldChar w:fldCharType="end"/>
            </w:r>
          </w:hyperlink>
        </w:p>
        <w:p w14:paraId="34CAD8AE" w14:textId="3F7C9DAD"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07" w:history="1">
            <w:r w:rsidRPr="00265A01">
              <w:rPr>
                <w:rStyle w:val="a9"/>
                <w:noProof/>
                <w:spacing w:val="-1"/>
                <w:w w:val="113"/>
              </w:rPr>
              <w:t>8.3.1.</w:t>
            </w:r>
            <w:r>
              <w:rPr>
                <w:rFonts w:asciiTheme="minorHAnsi" w:eastAsiaTheme="minorEastAsia" w:hAnsiTheme="minorHAnsi" w:cstheme="minorBidi"/>
                <w:noProof/>
                <w:kern w:val="2"/>
                <w:szCs w:val="22"/>
                <w:lang w:eastAsia="zh-CN"/>
              </w:rPr>
              <w:tab/>
            </w:r>
            <w:r w:rsidRPr="00265A01">
              <w:rPr>
                <w:rStyle w:val="a9"/>
                <w:noProof/>
                <w:w w:val="110"/>
              </w:rPr>
              <w:t>Spring Boot Ant</w:t>
            </w:r>
            <w:r w:rsidRPr="00265A01">
              <w:rPr>
                <w:rStyle w:val="a9"/>
                <w:noProof/>
                <w:spacing w:val="-19"/>
                <w:w w:val="110"/>
              </w:rPr>
              <w:t xml:space="preserve"> </w:t>
            </w:r>
            <w:r w:rsidRPr="00265A01">
              <w:rPr>
                <w:rStyle w:val="a9"/>
                <w:noProof/>
                <w:spacing w:val="-3"/>
                <w:w w:val="110"/>
              </w:rPr>
              <w:t>Tasks</w:t>
            </w:r>
            <w:r>
              <w:rPr>
                <w:noProof/>
                <w:webHidden/>
              </w:rPr>
              <w:tab/>
            </w:r>
            <w:r>
              <w:rPr>
                <w:noProof/>
                <w:webHidden/>
              </w:rPr>
              <w:fldChar w:fldCharType="begin"/>
            </w:r>
            <w:r>
              <w:rPr>
                <w:noProof/>
                <w:webHidden/>
              </w:rPr>
              <w:instrText xml:space="preserve"> PAGEREF _Toc54423907 \h </w:instrText>
            </w:r>
            <w:r>
              <w:rPr>
                <w:noProof/>
                <w:webHidden/>
              </w:rPr>
            </w:r>
            <w:r>
              <w:rPr>
                <w:noProof/>
                <w:webHidden/>
              </w:rPr>
              <w:fldChar w:fldCharType="separate"/>
            </w:r>
            <w:r>
              <w:rPr>
                <w:noProof/>
                <w:webHidden/>
              </w:rPr>
              <w:t>269</w:t>
            </w:r>
            <w:r>
              <w:rPr>
                <w:noProof/>
                <w:webHidden/>
              </w:rPr>
              <w:fldChar w:fldCharType="end"/>
            </w:r>
          </w:hyperlink>
        </w:p>
        <w:p w14:paraId="64E762F3" w14:textId="67932FF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08" w:history="1">
            <w:r w:rsidRPr="00265A01">
              <w:rPr>
                <w:rStyle w:val="a9"/>
                <w:noProof/>
                <w:spacing w:val="-1"/>
                <w:w w:val="113"/>
              </w:rPr>
              <w:t>8.3.2.</w:t>
            </w:r>
            <w:r>
              <w:rPr>
                <w:rFonts w:asciiTheme="minorHAnsi" w:eastAsiaTheme="minorEastAsia" w:hAnsiTheme="minorHAnsi" w:cstheme="minorBidi"/>
                <w:noProof/>
                <w:kern w:val="2"/>
                <w:szCs w:val="22"/>
                <w:lang w:eastAsia="zh-CN"/>
              </w:rPr>
              <w:tab/>
            </w:r>
            <w:r w:rsidRPr="00265A01">
              <w:rPr>
                <w:rStyle w:val="a9"/>
                <w:noProof/>
                <w:w w:val="110"/>
              </w:rPr>
              <w:t>Using the “findmainclass”</w:t>
            </w:r>
            <w:r w:rsidRPr="00265A01">
              <w:rPr>
                <w:rStyle w:val="a9"/>
                <w:noProof/>
                <w:spacing w:val="-19"/>
                <w:w w:val="110"/>
              </w:rPr>
              <w:t xml:space="preserve"> </w:t>
            </w:r>
            <w:r w:rsidRPr="00265A01">
              <w:rPr>
                <w:rStyle w:val="a9"/>
                <w:noProof/>
                <w:spacing w:val="-3"/>
                <w:w w:val="110"/>
              </w:rPr>
              <w:t>Task</w:t>
            </w:r>
            <w:r>
              <w:rPr>
                <w:noProof/>
                <w:webHidden/>
              </w:rPr>
              <w:tab/>
            </w:r>
            <w:r>
              <w:rPr>
                <w:noProof/>
                <w:webHidden/>
              </w:rPr>
              <w:fldChar w:fldCharType="begin"/>
            </w:r>
            <w:r>
              <w:rPr>
                <w:noProof/>
                <w:webHidden/>
              </w:rPr>
              <w:instrText xml:space="preserve"> PAGEREF _Toc54423908 \h </w:instrText>
            </w:r>
            <w:r>
              <w:rPr>
                <w:noProof/>
                <w:webHidden/>
              </w:rPr>
            </w:r>
            <w:r>
              <w:rPr>
                <w:noProof/>
                <w:webHidden/>
              </w:rPr>
              <w:fldChar w:fldCharType="separate"/>
            </w:r>
            <w:r>
              <w:rPr>
                <w:noProof/>
                <w:webHidden/>
              </w:rPr>
              <w:t>269</w:t>
            </w:r>
            <w:r>
              <w:rPr>
                <w:noProof/>
                <w:webHidden/>
              </w:rPr>
              <w:fldChar w:fldCharType="end"/>
            </w:r>
          </w:hyperlink>
        </w:p>
        <w:p w14:paraId="1BCBF905" w14:textId="79CB73F9"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09" w:history="1">
            <w:r w:rsidRPr="00265A01">
              <w:rPr>
                <w:rStyle w:val="a9"/>
                <w:noProof/>
                <w:spacing w:val="-1"/>
                <w:w w:val="113"/>
              </w:rPr>
              <w:t>8.4.</w:t>
            </w:r>
            <w:r>
              <w:rPr>
                <w:rFonts w:asciiTheme="minorHAnsi" w:eastAsiaTheme="minorEastAsia" w:hAnsiTheme="minorHAnsi" w:cstheme="minorBidi"/>
                <w:noProof/>
                <w:kern w:val="2"/>
                <w:szCs w:val="22"/>
                <w:lang w:eastAsia="zh-CN"/>
              </w:rPr>
              <w:tab/>
            </w:r>
            <w:r w:rsidRPr="00265A01">
              <w:rPr>
                <w:rStyle w:val="a9"/>
                <w:noProof/>
                <w:w w:val="110"/>
              </w:rPr>
              <w:t>Supporting Other Build</w:t>
            </w:r>
            <w:r w:rsidRPr="00265A01">
              <w:rPr>
                <w:rStyle w:val="a9"/>
                <w:noProof/>
                <w:spacing w:val="-28"/>
                <w:w w:val="110"/>
              </w:rPr>
              <w:t xml:space="preserve"> </w:t>
            </w:r>
            <w:r w:rsidRPr="00265A01">
              <w:rPr>
                <w:rStyle w:val="a9"/>
                <w:noProof/>
                <w:w w:val="110"/>
              </w:rPr>
              <w:t>Systems</w:t>
            </w:r>
            <w:r>
              <w:rPr>
                <w:noProof/>
                <w:webHidden/>
              </w:rPr>
              <w:tab/>
            </w:r>
            <w:r>
              <w:rPr>
                <w:noProof/>
                <w:webHidden/>
              </w:rPr>
              <w:fldChar w:fldCharType="begin"/>
            </w:r>
            <w:r>
              <w:rPr>
                <w:noProof/>
                <w:webHidden/>
              </w:rPr>
              <w:instrText xml:space="preserve"> PAGEREF _Toc54423909 \h </w:instrText>
            </w:r>
            <w:r>
              <w:rPr>
                <w:noProof/>
                <w:webHidden/>
              </w:rPr>
            </w:r>
            <w:r>
              <w:rPr>
                <w:noProof/>
                <w:webHidden/>
              </w:rPr>
              <w:fldChar w:fldCharType="separate"/>
            </w:r>
            <w:r>
              <w:rPr>
                <w:noProof/>
                <w:webHidden/>
              </w:rPr>
              <w:t>269</w:t>
            </w:r>
            <w:r>
              <w:rPr>
                <w:noProof/>
                <w:webHidden/>
              </w:rPr>
              <w:fldChar w:fldCharType="end"/>
            </w:r>
          </w:hyperlink>
        </w:p>
        <w:p w14:paraId="7B1CE824" w14:textId="20404F1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10" w:history="1">
            <w:r w:rsidRPr="00265A01">
              <w:rPr>
                <w:rStyle w:val="a9"/>
                <w:noProof/>
                <w:spacing w:val="-1"/>
                <w:w w:val="113"/>
              </w:rPr>
              <w:t>8.4.1.</w:t>
            </w:r>
            <w:r>
              <w:rPr>
                <w:rFonts w:asciiTheme="minorHAnsi" w:eastAsiaTheme="minorEastAsia" w:hAnsiTheme="minorHAnsi" w:cstheme="minorBidi"/>
                <w:noProof/>
                <w:kern w:val="2"/>
                <w:szCs w:val="22"/>
                <w:lang w:eastAsia="zh-CN"/>
              </w:rPr>
              <w:tab/>
            </w:r>
            <w:r w:rsidRPr="00265A01">
              <w:rPr>
                <w:rStyle w:val="a9"/>
                <w:noProof/>
                <w:w w:val="110"/>
              </w:rPr>
              <w:t>Repackaging</w:t>
            </w:r>
            <w:r w:rsidRPr="00265A01">
              <w:rPr>
                <w:rStyle w:val="a9"/>
                <w:noProof/>
                <w:spacing w:val="-43"/>
                <w:w w:val="110"/>
              </w:rPr>
              <w:t xml:space="preserve"> </w:t>
            </w:r>
            <w:r w:rsidRPr="00265A01">
              <w:rPr>
                <w:rStyle w:val="a9"/>
                <w:noProof/>
                <w:w w:val="110"/>
              </w:rPr>
              <w:t>Archives</w:t>
            </w:r>
            <w:r>
              <w:rPr>
                <w:noProof/>
                <w:webHidden/>
              </w:rPr>
              <w:tab/>
            </w:r>
            <w:r>
              <w:rPr>
                <w:noProof/>
                <w:webHidden/>
              </w:rPr>
              <w:fldChar w:fldCharType="begin"/>
            </w:r>
            <w:r>
              <w:rPr>
                <w:noProof/>
                <w:webHidden/>
              </w:rPr>
              <w:instrText xml:space="preserve"> PAGEREF _Toc54423910 \h </w:instrText>
            </w:r>
            <w:r>
              <w:rPr>
                <w:noProof/>
                <w:webHidden/>
              </w:rPr>
            </w:r>
            <w:r>
              <w:rPr>
                <w:noProof/>
                <w:webHidden/>
              </w:rPr>
              <w:fldChar w:fldCharType="separate"/>
            </w:r>
            <w:r>
              <w:rPr>
                <w:noProof/>
                <w:webHidden/>
              </w:rPr>
              <w:t>269</w:t>
            </w:r>
            <w:r>
              <w:rPr>
                <w:noProof/>
                <w:webHidden/>
              </w:rPr>
              <w:fldChar w:fldCharType="end"/>
            </w:r>
          </w:hyperlink>
        </w:p>
        <w:p w14:paraId="1F02972E" w14:textId="337B39D9"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11" w:history="1">
            <w:r w:rsidRPr="00265A01">
              <w:rPr>
                <w:rStyle w:val="a9"/>
                <w:noProof/>
                <w:spacing w:val="-1"/>
                <w:w w:val="113"/>
              </w:rPr>
              <w:t>8.4.2.</w:t>
            </w:r>
            <w:r>
              <w:rPr>
                <w:rFonts w:asciiTheme="minorHAnsi" w:eastAsiaTheme="minorEastAsia" w:hAnsiTheme="minorHAnsi" w:cstheme="minorBidi"/>
                <w:noProof/>
                <w:kern w:val="2"/>
                <w:szCs w:val="22"/>
                <w:lang w:eastAsia="zh-CN"/>
              </w:rPr>
              <w:tab/>
            </w:r>
            <w:r w:rsidRPr="00265A01">
              <w:rPr>
                <w:rStyle w:val="a9"/>
                <w:noProof/>
                <w:w w:val="110"/>
              </w:rPr>
              <w:t>Nested</w:t>
            </w:r>
            <w:r w:rsidRPr="00265A01">
              <w:rPr>
                <w:rStyle w:val="a9"/>
                <w:noProof/>
                <w:spacing w:val="-5"/>
                <w:w w:val="110"/>
              </w:rPr>
              <w:t xml:space="preserve"> </w:t>
            </w:r>
            <w:r w:rsidRPr="00265A01">
              <w:rPr>
                <w:rStyle w:val="a9"/>
                <w:noProof/>
                <w:w w:val="110"/>
              </w:rPr>
              <w:t>Libraries</w:t>
            </w:r>
            <w:r>
              <w:rPr>
                <w:noProof/>
                <w:webHidden/>
              </w:rPr>
              <w:tab/>
            </w:r>
            <w:r>
              <w:rPr>
                <w:noProof/>
                <w:webHidden/>
              </w:rPr>
              <w:fldChar w:fldCharType="begin"/>
            </w:r>
            <w:r>
              <w:rPr>
                <w:noProof/>
                <w:webHidden/>
              </w:rPr>
              <w:instrText xml:space="preserve"> PAGEREF _Toc54423911 \h </w:instrText>
            </w:r>
            <w:r>
              <w:rPr>
                <w:noProof/>
                <w:webHidden/>
              </w:rPr>
            </w:r>
            <w:r>
              <w:rPr>
                <w:noProof/>
                <w:webHidden/>
              </w:rPr>
              <w:fldChar w:fldCharType="separate"/>
            </w:r>
            <w:r>
              <w:rPr>
                <w:noProof/>
                <w:webHidden/>
              </w:rPr>
              <w:t>269</w:t>
            </w:r>
            <w:r>
              <w:rPr>
                <w:noProof/>
                <w:webHidden/>
              </w:rPr>
              <w:fldChar w:fldCharType="end"/>
            </w:r>
          </w:hyperlink>
        </w:p>
        <w:p w14:paraId="416E7AFB" w14:textId="1A6D5C4A"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12" w:history="1">
            <w:r w:rsidRPr="00265A01">
              <w:rPr>
                <w:rStyle w:val="a9"/>
                <w:noProof/>
                <w:spacing w:val="-1"/>
                <w:w w:val="113"/>
              </w:rPr>
              <w:t>8.4.3.</w:t>
            </w:r>
            <w:r>
              <w:rPr>
                <w:rFonts w:asciiTheme="minorHAnsi" w:eastAsiaTheme="minorEastAsia" w:hAnsiTheme="minorHAnsi" w:cstheme="minorBidi"/>
                <w:noProof/>
                <w:kern w:val="2"/>
                <w:szCs w:val="22"/>
                <w:lang w:eastAsia="zh-CN"/>
              </w:rPr>
              <w:tab/>
            </w:r>
            <w:r w:rsidRPr="00265A01">
              <w:rPr>
                <w:rStyle w:val="a9"/>
                <w:noProof/>
                <w:w w:val="110"/>
              </w:rPr>
              <w:t>Finding a Main</w:t>
            </w:r>
            <w:r w:rsidRPr="00265A01">
              <w:rPr>
                <w:rStyle w:val="a9"/>
                <w:noProof/>
                <w:spacing w:val="-16"/>
                <w:w w:val="110"/>
              </w:rPr>
              <w:t xml:space="preserve"> </w:t>
            </w:r>
            <w:r w:rsidRPr="00265A01">
              <w:rPr>
                <w:rStyle w:val="a9"/>
                <w:noProof/>
                <w:w w:val="110"/>
              </w:rPr>
              <w:t>Class</w:t>
            </w:r>
            <w:r>
              <w:rPr>
                <w:noProof/>
                <w:webHidden/>
              </w:rPr>
              <w:tab/>
            </w:r>
            <w:r>
              <w:rPr>
                <w:noProof/>
                <w:webHidden/>
              </w:rPr>
              <w:fldChar w:fldCharType="begin"/>
            </w:r>
            <w:r>
              <w:rPr>
                <w:noProof/>
                <w:webHidden/>
              </w:rPr>
              <w:instrText xml:space="preserve"> PAGEREF _Toc54423912 \h </w:instrText>
            </w:r>
            <w:r>
              <w:rPr>
                <w:noProof/>
                <w:webHidden/>
              </w:rPr>
            </w:r>
            <w:r>
              <w:rPr>
                <w:noProof/>
                <w:webHidden/>
              </w:rPr>
              <w:fldChar w:fldCharType="separate"/>
            </w:r>
            <w:r>
              <w:rPr>
                <w:noProof/>
                <w:webHidden/>
              </w:rPr>
              <w:t>269</w:t>
            </w:r>
            <w:r>
              <w:rPr>
                <w:noProof/>
                <w:webHidden/>
              </w:rPr>
              <w:fldChar w:fldCharType="end"/>
            </w:r>
          </w:hyperlink>
        </w:p>
        <w:p w14:paraId="4670BCA9" w14:textId="2EDCC97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13" w:history="1">
            <w:r w:rsidRPr="00265A01">
              <w:rPr>
                <w:rStyle w:val="a9"/>
                <w:noProof/>
                <w:spacing w:val="-1"/>
                <w:w w:val="113"/>
              </w:rPr>
              <w:t>8.4.4.</w:t>
            </w:r>
            <w:r>
              <w:rPr>
                <w:rFonts w:asciiTheme="minorHAnsi" w:eastAsiaTheme="minorEastAsia" w:hAnsiTheme="minorHAnsi" w:cstheme="minorBidi"/>
                <w:noProof/>
                <w:kern w:val="2"/>
                <w:szCs w:val="22"/>
                <w:lang w:eastAsia="zh-CN"/>
              </w:rPr>
              <w:tab/>
            </w:r>
            <w:r w:rsidRPr="00265A01">
              <w:rPr>
                <w:rStyle w:val="a9"/>
                <w:noProof/>
                <w:w w:val="110"/>
              </w:rPr>
              <w:t>Example Repackage</w:t>
            </w:r>
            <w:r w:rsidRPr="00265A01">
              <w:rPr>
                <w:rStyle w:val="a9"/>
                <w:noProof/>
                <w:spacing w:val="-10"/>
                <w:w w:val="110"/>
              </w:rPr>
              <w:t xml:space="preserve"> </w:t>
            </w:r>
            <w:r w:rsidRPr="00265A01">
              <w:rPr>
                <w:rStyle w:val="a9"/>
                <w:noProof/>
                <w:w w:val="110"/>
              </w:rPr>
              <w:t>Implementation</w:t>
            </w:r>
            <w:r>
              <w:rPr>
                <w:noProof/>
                <w:webHidden/>
              </w:rPr>
              <w:tab/>
            </w:r>
            <w:r>
              <w:rPr>
                <w:noProof/>
                <w:webHidden/>
              </w:rPr>
              <w:fldChar w:fldCharType="begin"/>
            </w:r>
            <w:r>
              <w:rPr>
                <w:noProof/>
                <w:webHidden/>
              </w:rPr>
              <w:instrText xml:space="preserve"> PAGEREF _Toc54423913 \h </w:instrText>
            </w:r>
            <w:r>
              <w:rPr>
                <w:noProof/>
                <w:webHidden/>
              </w:rPr>
            </w:r>
            <w:r>
              <w:rPr>
                <w:noProof/>
                <w:webHidden/>
              </w:rPr>
              <w:fldChar w:fldCharType="separate"/>
            </w:r>
            <w:r>
              <w:rPr>
                <w:noProof/>
                <w:webHidden/>
              </w:rPr>
              <w:t>269</w:t>
            </w:r>
            <w:r>
              <w:rPr>
                <w:noProof/>
                <w:webHidden/>
              </w:rPr>
              <w:fldChar w:fldCharType="end"/>
            </w:r>
          </w:hyperlink>
        </w:p>
        <w:p w14:paraId="6E027230" w14:textId="3817DC17"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14" w:history="1">
            <w:r w:rsidRPr="00265A01">
              <w:rPr>
                <w:rStyle w:val="a9"/>
                <w:noProof/>
                <w:spacing w:val="-1"/>
                <w:w w:val="113"/>
              </w:rPr>
              <w:t>8.5.</w:t>
            </w:r>
            <w:r>
              <w:rPr>
                <w:rFonts w:asciiTheme="minorHAnsi" w:eastAsiaTheme="minorEastAsia" w:hAnsiTheme="minorHAnsi" w:cstheme="minorBidi"/>
                <w:noProof/>
                <w:kern w:val="2"/>
                <w:szCs w:val="22"/>
                <w:lang w:eastAsia="zh-CN"/>
              </w:rPr>
              <w:tab/>
            </w:r>
            <w:r w:rsidRPr="00265A01">
              <w:rPr>
                <w:rStyle w:val="a9"/>
                <w:noProof/>
                <w:w w:val="110"/>
              </w:rPr>
              <w:t>What to Read</w:t>
            </w:r>
            <w:r w:rsidRPr="00265A01">
              <w:rPr>
                <w:rStyle w:val="a9"/>
                <w:noProof/>
                <w:spacing w:val="-20"/>
                <w:w w:val="110"/>
              </w:rPr>
              <w:t xml:space="preserve"> </w:t>
            </w:r>
            <w:r w:rsidRPr="00265A01">
              <w:rPr>
                <w:rStyle w:val="a9"/>
                <w:noProof/>
                <w:w w:val="110"/>
              </w:rPr>
              <w:t>Next</w:t>
            </w:r>
            <w:r>
              <w:rPr>
                <w:noProof/>
                <w:webHidden/>
              </w:rPr>
              <w:tab/>
            </w:r>
            <w:r>
              <w:rPr>
                <w:noProof/>
                <w:webHidden/>
              </w:rPr>
              <w:fldChar w:fldCharType="begin"/>
            </w:r>
            <w:r>
              <w:rPr>
                <w:noProof/>
                <w:webHidden/>
              </w:rPr>
              <w:instrText xml:space="preserve"> PAGEREF _Toc54423914 \h </w:instrText>
            </w:r>
            <w:r>
              <w:rPr>
                <w:noProof/>
                <w:webHidden/>
              </w:rPr>
            </w:r>
            <w:r>
              <w:rPr>
                <w:noProof/>
                <w:webHidden/>
              </w:rPr>
              <w:fldChar w:fldCharType="separate"/>
            </w:r>
            <w:r>
              <w:rPr>
                <w:noProof/>
                <w:webHidden/>
              </w:rPr>
              <w:t>269</w:t>
            </w:r>
            <w:r>
              <w:rPr>
                <w:noProof/>
                <w:webHidden/>
              </w:rPr>
              <w:fldChar w:fldCharType="end"/>
            </w:r>
          </w:hyperlink>
        </w:p>
        <w:p w14:paraId="6EE3909F" w14:textId="0DA07A24"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15" w:history="1">
            <w:r w:rsidRPr="00265A01">
              <w:rPr>
                <w:rStyle w:val="a9"/>
                <w:noProof/>
                <w:spacing w:val="-1"/>
                <w:w w:val="113"/>
              </w:rPr>
              <w:t>9.1.</w:t>
            </w:r>
            <w:r>
              <w:rPr>
                <w:rFonts w:asciiTheme="minorHAnsi" w:eastAsiaTheme="minorEastAsia" w:hAnsiTheme="minorHAnsi" w:cstheme="minorBidi"/>
                <w:noProof/>
                <w:kern w:val="2"/>
                <w:szCs w:val="22"/>
                <w:lang w:eastAsia="zh-CN"/>
              </w:rPr>
              <w:tab/>
            </w:r>
            <w:r w:rsidRPr="00265A01">
              <w:rPr>
                <w:rStyle w:val="a9"/>
                <w:noProof/>
                <w:w w:val="110"/>
              </w:rPr>
              <w:t>Spring Boot</w:t>
            </w:r>
            <w:r w:rsidRPr="00265A01">
              <w:rPr>
                <w:rStyle w:val="a9"/>
                <w:noProof/>
                <w:spacing w:val="-17"/>
                <w:w w:val="110"/>
              </w:rPr>
              <w:t xml:space="preserve"> </w:t>
            </w:r>
            <w:r w:rsidRPr="00265A01">
              <w:rPr>
                <w:rStyle w:val="a9"/>
                <w:noProof/>
                <w:w w:val="110"/>
              </w:rPr>
              <w:t>Application</w:t>
            </w:r>
            <w:r>
              <w:rPr>
                <w:noProof/>
                <w:webHidden/>
              </w:rPr>
              <w:tab/>
            </w:r>
            <w:r>
              <w:rPr>
                <w:noProof/>
                <w:webHidden/>
              </w:rPr>
              <w:fldChar w:fldCharType="begin"/>
            </w:r>
            <w:r>
              <w:rPr>
                <w:noProof/>
                <w:webHidden/>
              </w:rPr>
              <w:instrText xml:space="preserve"> PAGEREF _Toc54423915 \h </w:instrText>
            </w:r>
            <w:r>
              <w:rPr>
                <w:noProof/>
                <w:webHidden/>
              </w:rPr>
            </w:r>
            <w:r>
              <w:rPr>
                <w:noProof/>
                <w:webHidden/>
              </w:rPr>
              <w:fldChar w:fldCharType="separate"/>
            </w:r>
            <w:r>
              <w:rPr>
                <w:noProof/>
                <w:webHidden/>
              </w:rPr>
              <w:t>269</w:t>
            </w:r>
            <w:r>
              <w:rPr>
                <w:noProof/>
                <w:webHidden/>
              </w:rPr>
              <w:fldChar w:fldCharType="end"/>
            </w:r>
          </w:hyperlink>
        </w:p>
        <w:p w14:paraId="2B302743" w14:textId="1A687B96"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16" w:history="1">
            <w:r w:rsidRPr="00265A01">
              <w:rPr>
                <w:rStyle w:val="a9"/>
                <w:noProof/>
                <w:spacing w:val="-1"/>
                <w:w w:val="113"/>
              </w:rPr>
              <w:t>9.1.1.</w:t>
            </w:r>
            <w:r>
              <w:rPr>
                <w:rFonts w:asciiTheme="minorHAnsi" w:eastAsiaTheme="minorEastAsia" w:hAnsiTheme="minorHAnsi" w:cstheme="minorBidi"/>
                <w:noProof/>
                <w:kern w:val="2"/>
                <w:szCs w:val="22"/>
                <w:lang w:eastAsia="zh-CN"/>
              </w:rPr>
              <w:tab/>
            </w:r>
            <w:r w:rsidRPr="00265A01">
              <w:rPr>
                <w:rStyle w:val="a9"/>
                <w:noProof/>
                <w:w w:val="110"/>
              </w:rPr>
              <w:t xml:space="preserve">Create </w:t>
            </w:r>
            <w:r w:rsidRPr="00265A01">
              <w:rPr>
                <w:rStyle w:val="a9"/>
                <w:noProof/>
                <w:spacing w:val="-6"/>
                <w:w w:val="110"/>
              </w:rPr>
              <w:t xml:space="preserve">Your </w:t>
            </w:r>
            <w:r w:rsidRPr="00265A01">
              <w:rPr>
                <w:rStyle w:val="a9"/>
                <w:noProof/>
                <w:w w:val="110"/>
              </w:rPr>
              <w:t>Own</w:t>
            </w:r>
            <w:r w:rsidRPr="00265A01">
              <w:rPr>
                <w:rStyle w:val="a9"/>
                <w:noProof/>
                <w:spacing w:val="-10"/>
                <w:w w:val="110"/>
              </w:rPr>
              <w:t xml:space="preserve"> </w:t>
            </w:r>
            <w:r w:rsidRPr="00265A01">
              <w:rPr>
                <w:rStyle w:val="a9"/>
                <w:noProof/>
                <w:w w:val="110"/>
              </w:rPr>
              <w:t>FailureAnalyzer</w:t>
            </w:r>
            <w:r>
              <w:rPr>
                <w:noProof/>
                <w:webHidden/>
              </w:rPr>
              <w:tab/>
            </w:r>
            <w:r>
              <w:rPr>
                <w:noProof/>
                <w:webHidden/>
              </w:rPr>
              <w:fldChar w:fldCharType="begin"/>
            </w:r>
            <w:r>
              <w:rPr>
                <w:noProof/>
                <w:webHidden/>
              </w:rPr>
              <w:instrText xml:space="preserve"> PAGEREF _Toc54423916 \h </w:instrText>
            </w:r>
            <w:r>
              <w:rPr>
                <w:noProof/>
                <w:webHidden/>
              </w:rPr>
            </w:r>
            <w:r>
              <w:rPr>
                <w:noProof/>
                <w:webHidden/>
              </w:rPr>
              <w:fldChar w:fldCharType="separate"/>
            </w:r>
            <w:r>
              <w:rPr>
                <w:noProof/>
                <w:webHidden/>
              </w:rPr>
              <w:t>269</w:t>
            </w:r>
            <w:r>
              <w:rPr>
                <w:noProof/>
                <w:webHidden/>
              </w:rPr>
              <w:fldChar w:fldCharType="end"/>
            </w:r>
          </w:hyperlink>
        </w:p>
        <w:p w14:paraId="715F06C9" w14:textId="662F6CB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17" w:history="1">
            <w:r w:rsidRPr="00265A01">
              <w:rPr>
                <w:rStyle w:val="a9"/>
                <w:noProof/>
                <w:spacing w:val="-1"/>
                <w:w w:val="113"/>
              </w:rPr>
              <w:t>9.1.2.</w:t>
            </w:r>
            <w:r>
              <w:rPr>
                <w:rFonts w:asciiTheme="minorHAnsi" w:eastAsiaTheme="minorEastAsia" w:hAnsiTheme="minorHAnsi" w:cstheme="minorBidi"/>
                <w:noProof/>
                <w:kern w:val="2"/>
                <w:szCs w:val="22"/>
                <w:lang w:eastAsia="zh-CN"/>
              </w:rPr>
              <w:tab/>
            </w:r>
            <w:r w:rsidRPr="00265A01">
              <w:rPr>
                <w:rStyle w:val="a9"/>
                <w:noProof/>
                <w:w w:val="110"/>
              </w:rPr>
              <w:t>Troubleshoot</w:t>
            </w:r>
            <w:r w:rsidRPr="00265A01">
              <w:rPr>
                <w:rStyle w:val="a9"/>
                <w:noProof/>
                <w:spacing w:val="-6"/>
                <w:w w:val="110"/>
              </w:rPr>
              <w:t xml:space="preserve"> </w:t>
            </w:r>
            <w:r w:rsidRPr="00265A01">
              <w:rPr>
                <w:rStyle w:val="a9"/>
                <w:noProof/>
                <w:w w:val="110"/>
              </w:rPr>
              <w:t>Auto-configuration</w:t>
            </w:r>
            <w:r>
              <w:rPr>
                <w:noProof/>
                <w:webHidden/>
              </w:rPr>
              <w:tab/>
            </w:r>
            <w:r>
              <w:rPr>
                <w:noProof/>
                <w:webHidden/>
              </w:rPr>
              <w:fldChar w:fldCharType="begin"/>
            </w:r>
            <w:r>
              <w:rPr>
                <w:noProof/>
                <w:webHidden/>
              </w:rPr>
              <w:instrText xml:space="preserve"> PAGEREF _Toc54423917 \h </w:instrText>
            </w:r>
            <w:r>
              <w:rPr>
                <w:noProof/>
                <w:webHidden/>
              </w:rPr>
            </w:r>
            <w:r>
              <w:rPr>
                <w:noProof/>
                <w:webHidden/>
              </w:rPr>
              <w:fldChar w:fldCharType="separate"/>
            </w:r>
            <w:r>
              <w:rPr>
                <w:noProof/>
                <w:webHidden/>
              </w:rPr>
              <w:t>269</w:t>
            </w:r>
            <w:r>
              <w:rPr>
                <w:noProof/>
                <w:webHidden/>
              </w:rPr>
              <w:fldChar w:fldCharType="end"/>
            </w:r>
          </w:hyperlink>
        </w:p>
        <w:p w14:paraId="659437DE" w14:textId="05EC8A01"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18" w:history="1">
            <w:r w:rsidRPr="00265A01">
              <w:rPr>
                <w:rStyle w:val="a9"/>
                <w:noProof/>
                <w:spacing w:val="-1"/>
                <w:w w:val="113"/>
              </w:rPr>
              <w:t>9.1.3.</w:t>
            </w:r>
            <w:r>
              <w:rPr>
                <w:rFonts w:asciiTheme="minorHAnsi" w:eastAsiaTheme="minorEastAsia" w:hAnsiTheme="minorHAnsi" w:cstheme="minorBidi"/>
                <w:noProof/>
                <w:kern w:val="2"/>
                <w:szCs w:val="22"/>
                <w:lang w:eastAsia="zh-CN"/>
              </w:rPr>
              <w:tab/>
            </w:r>
            <w:r w:rsidRPr="00265A01">
              <w:rPr>
                <w:rStyle w:val="a9"/>
                <w:noProof/>
                <w:w w:val="110"/>
              </w:rPr>
              <w:t>Customize the Environment or ApplicationContext Before It</w:t>
            </w:r>
            <w:r w:rsidRPr="00265A01">
              <w:rPr>
                <w:rStyle w:val="a9"/>
                <w:noProof/>
                <w:spacing w:val="-21"/>
                <w:w w:val="110"/>
              </w:rPr>
              <w:t xml:space="preserve"> </w:t>
            </w:r>
            <w:r w:rsidRPr="00265A01">
              <w:rPr>
                <w:rStyle w:val="a9"/>
                <w:noProof/>
                <w:w w:val="110"/>
              </w:rPr>
              <w:t>Starts</w:t>
            </w:r>
            <w:r>
              <w:rPr>
                <w:noProof/>
                <w:webHidden/>
              </w:rPr>
              <w:tab/>
            </w:r>
            <w:r>
              <w:rPr>
                <w:noProof/>
                <w:webHidden/>
              </w:rPr>
              <w:fldChar w:fldCharType="begin"/>
            </w:r>
            <w:r>
              <w:rPr>
                <w:noProof/>
                <w:webHidden/>
              </w:rPr>
              <w:instrText xml:space="preserve"> PAGEREF _Toc54423918 \h </w:instrText>
            </w:r>
            <w:r>
              <w:rPr>
                <w:noProof/>
                <w:webHidden/>
              </w:rPr>
            </w:r>
            <w:r>
              <w:rPr>
                <w:noProof/>
                <w:webHidden/>
              </w:rPr>
              <w:fldChar w:fldCharType="separate"/>
            </w:r>
            <w:r>
              <w:rPr>
                <w:noProof/>
                <w:webHidden/>
              </w:rPr>
              <w:t>269</w:t>
            </w:r>
            <w:r>
              <w:rPr>
                <w:noProof/>
                <w:webHidden/>
              </w:rPr>
              <w:fldChar w:fldCharType="end"/>
            </w:r>
          </w:hyperlink>
        </w:p>
        <w:p w14:paraId="02301A64" w14:textId="52E0727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19" w:history="1">
            <w:r w:rsidRPr="00265A01">
              <w:rPr>
                <w:rStyle w:val="a9"/>
                <w:noProof/>
                <w:spacing w:val="-1"/>
                <w:w w:val="113"/>
              </w:rPr>
              <w:t>9.1.4.</w:t>
            </w:r>
            <w:r>
              <w:rPr>
                <w:rFonts w:asciiTheme="minorHAnsi" w:eastAsiaTheme="minorEastAsia" w:hAnsiTheme="minorHAnsi" w:cstheme="minorBidi"/>
                <w:noProof/>
                <w:kern w:val="2"/>
                <w:szCs w:val="22"/>
                <w:lang w:eastAsia="zh-CN"/>
              </w:rPr>
              <w:tab/>
            </w:r>
            <w:r w:rsidRPr="00265A01">
              <w:rPr>
                <w:rStyle w:val="a9"/>
                <w:noProof/>
                <w:w w:val="110"/>
              </w:rPr>
              <w:t xml:space="preserve">Build an ApplicationContext </w:t>
            </w:r>
            <w:r w:rsidRPr="00265A01">
              <w:rPr>
                <w:rStyle w:val="a9"/>
                <w:noProof/>
                <w:spacing w:val="-2"/>
                <w:w w:val="110"/>
              </w:rPr>
              <w:t xml:space="preserve">Hierarchy </w:t>
            </w:r>
            <w:r w:rsidRPr="00265A01">
              <w:rPr>
                <w:rStyle w:val="a9"/>
                <w:noProof/>
                <w:w w:val="110"/>
              </w:rPr>
              <w:t>(Adding a Parent or</w:t>
            </w:r>
            <w:r w:rsidRPr="00265A01">
              <w:rPr>
                <w:rStyle w:val="a9"/>
                <w:noProof/>
                <w:spacing w:val="-37"/>
                <w:w w:val="110"/>
              </w:rPr>
              <w:t xml:space="preserve"> </w:t>
            </w:r>
            <w:r w:rsidRPr="00265A01">
              <w:rPr>
                <w:rStyle w:val="a9"/>
                <w:noProof/>
                <w:w w:val="110"/>
              </w:rPr>
              <w:t>Root Context)</w:t>
            </w:r>
            <w:r>
              <w:rPr>
                <w:noProof/>
                <w:webHidden/>
              </w:rPr>
              <w:tab/>
            </w:r>
            <w:r>
              <w:rPr>
                <w:noProof/>
                <w:webHidden/>
              </w:rPr>
              <w:fldChar w:fldCharType="begin"/>
            </w:r>
            <w:r>
              <w:rPr>
                <w:noProof/>
                <w:webHidden/>
              </w:rPr>
              <w:instrText xml:space="preserve"> PAGEREF _Toc54423919 \h </w:instrText>
            </w:r>
            <w:r>
              <w:rPr>
                <w:noProof/>
                <w:webHidden/>
              </w:rPr>
            </w:r>
            <w:r>
              <w:rPr>
                <w:noProof/>
                <w:webHidden/>
              </w:rPr>
              <w:fldChar w:fldCharType="separate"/>
            </w:r>
            <w:r>
              <w:rPr>
                <w:noProof/>
                <w:webHidden/>
              </w:rPr>
              <w:t>269</w:t>
            </w:r>
            <w:r>
              <w:rPr>
                <w:noProof/>
                <w:webHidden/>
              </w:rPr>
              <w:fldChar w:fldCharType="end"/>
            </w:r>
          </w:hyperlink>
        </w:p>
        <w:p w14:paraId="0A712089" w14:textId="06B2EC8C"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0" w:history="1">
            <w:r w:rsidRPr="00265A01">
              <w:rPr>
                <w:rStyle w:val="a9"/>
                <w:noProof/>
                <w:spacing w:val="-1"/>
                <w:w w:val="113"/>
              </w:rPr>
              <w:t>9.1.5.</w:t>
            </w:r>
            <w:r>
              <w:rPr>
                <w:rFonts w:asciiTheme="minorHAnsi" w:eastAsiaTheme="minorEastAsia" w:hAnsiTheme="minorHAnsi" w:cstheme="minorBidi"/>
                <w:noProof/>
                <w:kern w:val="2"/>
                <w:szCs w:val="22"/>
                <w:lang w:eastAsia="zh-CN"/>
              </w:rPr>
              <w:tab/>
            </w:r>
            <w:r w:rsidRPr="00265A01">
              <w:rPr>
                <w:rStyle w:val="a9"/>
                <w:noProof/>
                <w:w w:val="110"/>
              </w:rPr>
              <w:t>Create a Non-web</w:t>
            </w:r>
            <w:r w:rsidRPr="00265A01">
              <w:rPr>
                <w:rStyle w:val="a9"/>
                <w:noProof/>
                <w:spacing w:val="-17"/>
                <w:w w:val="110"/>
              </w:rPr>
              <w:t xml:space="preserve"> </w:t>
            </w:r>
            <w:r w:rsidRPr="00265A01">
              <w:rPr>
                <w:rStyle w:val="a9"/>
                <w:noProof/>
                <w:w w:val="110"/>
              </w:rPr>
              <w:t>Application</w:t>
            </w:r>
            <w:r>
              <w:rPr>
                <w:noProof/>
                <w:webHidden/>
              </w:rPr>
              <w:tab/>
            </w:r>
            <w:r>
              <w:rPr>
                <w:noProof/>
                <w:webHidden/>
              </w:rPr>
              <w:fldChar w:fldCharType="begin"/>
            </w:r>
            <w:r>
              <w:rPr>
                <w:noProof/>
                <w:webHidden/>
              </w:rPr>
              <w:instrText xml:space="preserve"> PAGEREF _Toc54423920 \h </w:instrText>
            </w:r>
            <w:r>
              <w:rPr>
                <w:noProof/>
                <w:webHidden/>
              </w:rPr>
            </w:r>
            <w:r>
              <w:rPr>
                <w:noProof/>
                <w:webHidden/>
              </w:rPr>
              <w:fldChar w:fldCharType="separate"/>
            </w:r>
            <w:r>
              <w:rPr>
                <w:noProof/>
                <w:webHidden/>
              </w:rPr>
              <w:t>269</w:t>
            </w:r>
            <w:r>
              <w:rPr>
                <w:noProof/>
                <w:webHidden/>
              </w:rPr>
              <w:fldChar w:fldCharType="end"/>
            </w:r>
          </w:hyperlink>
        </w:p>
        <w:p w14:paraId="30F9CFB6" w14:textId="6F5D6B5F"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21" w:history="1">
            <w:r w:rsidRPr="00265A01">
              <w:rPr>
                <w:rStyle w:val="a9"/>
                <w:noProof/>
                <w:spacing w:val="-1"/>
                <w:w w:val="113"/>
              </w:rPr>
              <w:t>9.2.</w:t>
            </w:r>
            <w:r>
              <w:rPr>
                <w:rFonts w:asciiTheme="minorHAnsi" w:eastAsiaTheme="minorEastAsia" w:hAnsiTheme="minorHAnsi" w:cstheme="minorBidi"/>
                <w:noProof/>
                <w:kern w:val="2"/>
                <w:szCs w:val="22"/>
                <w:lang w:eastAsia="zh-CN"/>
              </w:rPr>
              <w:tab/>
            </w:r>
            <w:r w:rsidRPr="00265A01">
              <w:rPr>
                <w:rStyle w:val="a9"/>
                <w:noProof/>
                <w:w w:val="110"/>
              </w:rPr>
              <w:t>Properties and</w:t>
            </w:r>
            <w:r w:rsidRPr="00265A01">
              <w:rPr>
                <w:rStyle w:val="a9"/>
                <w:noProof/>
                <w:spacing w:val="14"/>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_Toc54423921 \h </w:instrText>
            </w:r>
            <w:r>
              <w:rPr>
                <w:noProof/>
                <w:webHidden/>
              </w:rPr>
            </w:r>
            <w:r>
              <w:rPr>
                <w:noProof/>
                <w:webHidden/>
              </w:rPr>
              <w:fldChar w:fldCharType="separate"/>
            </w:r>
            <w:r>
              <w:rPr>
                <w:noProof/>
                <w:webHidden/>
              </w:rPr>
              <w:t>269</w:t>
            </w:r>
            <w:r>
              <w:rPr>
                <w:noProof/>
                <w:webHidden/>
              </w:rPr>
              <w:fldChar w:fldCharType="end"/>
            </w:r>
          </w:hyperlink>
        </w:p>
        <w:p w14:paraId="7AA23C77" w14:textId="7E6D7FC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2" w:history="1">
            <w:r w:rsidRPr="00265A01">
              <w:rPr>
                <w:rStyle w:val="a9"/>
                <w:noProof/>
                <w:spacing w:val="-1"/>
                <w:w w:val="113"/>
              </w:rPr>
              <w:t>9.2.1.</w:t>
            </w:r>
            <w:r>
              <w:rPr>
                <w:rFonts w:asciiTheme="minorHAnsi" w:eastAsiaTheme="minorEastAsia" w:hAnsiTheme="minorHAnsi" w:cstheme="minorBidi"/>
                <w:noProof/>
                <w:kern w:val="2"/>
                <w:szCs w:val="22"/>
                <w:lang w:eastAsia="zh-CN"/>
              </w:rPr>
              <w:tab/>
            </w:r>
            <w:r w:rsidRPr="00265A01">
              <w:rPr>
                <w:rStyle w:val="a9"/>
                <w:noProof/>
                <w:w w:val="110"/>
              </w:rPr>
              <w:t>Automatically Expand Properties at Build</w:t>
            </w:r>
            <w:r w:rsidRPr="00265A01">
              <w:rPr>
                <w:rStyle w:val="a9"/>
                <w:noProof/>
                <w:spacing w:val="-24"/>
                <w:w w:val="110"/>
              </w:rPr>
              <w:t xml:space="preserve"> </w:t>
            </w:r>
            <w:r w:rsidRPr="00265A01">
              <w:rPr>
                <w:rStyle w:val="a9"/>
                <w:noProof/>
                <w:w w:val="110"/>
              </w:rPr>
              <w:t>Time</w:t>
            </w:r>
            <w:r>
              <w:rPr>
                <w:noProof/>
                <w:webHidden/>
              </w:rPr>
              <w:tab/>
            </w:r>
            <w:r>
              <w:rPr>
                <w:noProof/>
                <w:webHidden/>
              </w:rPr>
              <w:fldChar w:fldCharType="begin"/>
            </w:r>
            <w:r>
              <w:rPr>
                <w:noProof/>
                <w:webHidden/>
              </w:rPr>
              <w:instrText xml:space="preserve"> PAGEREF _Toc54423922 \h </w:instrText>
            </w:r>
            <w:r>
              <w:rPr>
                <w:noProof/>
                <w:webHidden/>
              </w:rPr>
            </w:r>
            <w:r>
              <w:rPr>
                <w:noProof/>
                <w:webHidden/>
              </w:rPr>
              <w:fldChar w:fldCharType="separate"/>
            </w:r>
            <w:r>
              <w:rPr>
                <w:noProof/>
                <w:webHidden/>
              </w:rPr>
              <w:t>269</w:t>
            </w:r>
            <w:r>
              <w:rPr>
                <w:noProof/>
                <w:webHidden/>
              </w:rPr>
              <w:fldChar w:fldCharType="end"/>
            </w:r>
          </w:hyperlink>
        </w:p>
        <w:p w14:paraId="3CF69D80" w14:textId="045019C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3" w:history="1">
            <w:r w:rsidRPr="00265A01">
              <w:rPr>
                <w:rStyle w:val="a9"/>
                <w:noProof/>
                <w:spacing w:val="-1"/>
                <w:w w:val="113"/>
              </w:rPr>
              <w:t>9.2.2.</w:t>
            </w:r>
            <w:r>
              <w:rPr>
                <w:rFonts w:asciiTheme="minorHAnsi" w:eastAsiaTheme="minorEastAsia" w:hAnsiTheme="minorHAnsi" w:cstheme="minorBidi"/>
                <w:noProof/>
                <w:kern w:val="2"/>
                <w:szCs w:val="22"/>
                <w:lang w:eastAsia="zh-CN"/>
              </w:rPr>
              <w:tab/>
            </w:r>
            <w:r w:rsidRPr="00265A01">
              <w:rPr>
                <w:rStyle w:val="a9"/>
                <w:noProof/>
                <w:w w:val="110"/>
              </w:rPr>
              <w:t>Externalize the Configuration of</w:t>
            </w:r>
            <w:r w:rsidRPr="00265A01">
              <w:rPr>
                <w:rStyle w:val="a9"/>
                <w:noProof/>
                <w:spacing w:val="-24"/>
                <w:w w:val="110"/>
              </w:rPr>
              <w:t xml:space="preserve"> </w:t>
            </w:r>
            <w:r w:rsidRPr="00265A01">
              <w:rPr>
                <w:rStyle w:val="a9"/>
                <w:noProof/>
                <w:w w:val="110"/>
              </w:rPr>
              <w:t>SpringApplication</w:t>
            </w:r>
            <w:r>
              <w:rPr>
                <w:noProof/>
                <w:webHidden/>
              </w:rPr>
              <w:tab/>
            </w:r>
            <w:r>
              <w:rPr>
                <w:noProof/>
                <w:webHidden/>
              </w:rPr>
              <w:fldChar w:fldCharType="begin"/>
            </w:r>
            <w:r>
              <w:rPr>
                <w:noProof/>
                <w:webHidden/>
              </w:rPr>
              <w:instrText xml:space="preserve"> PAGEREF _Toc54423923 \h </w:instrText>
            </w:r>
            <w:r>
              <w:rPr>
                <w:noProof/>
                <w:webHidden/>
              </w:rPr>
            </w:r>
            <w:r>
              <w:rPr>
                <w:noProof/>
                <w:webHidden/>
              </w:rPr>
              <w:fldChar w:fldCharType="separate"/>
            </w:r>
            <w:r>
              <w:rPr>
                <w:noProof/>
                <w:webHidden/>
              </w:rPr>
              <w:t>269</w:t>
            </w:r>
            <w:r>
              <w:rPr>
                <w:noProof/>
                <w:webHidden/>
              </w:rPr>
              <w:fldChar w:fldCharType="end"/>
            </w:r>
          </w:hyperlink>
        </w:p>
        <w:p w14:paraId="5C0507E6" w14:textId="2DA0E8AD"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4" w:history="1">
            <w:r w:rsidRPr="00265A01">
              <w:rPr>
                <w:rStyle w:val="a9"/>
                <w:noProof/>
                <w:spacing w:val="-1"/>
                <w:w w:val="113"/>
              </w:rPr>
              <w:t>9.2.3.</w:t>
            </w:r>
            <w:r>
              <w:rPr>
                <w:rFonts w:asciiTheme="minorHAnsi" w:eastAsiaTheme="minorEastAsia" w:hAnsiTheme="minorHAnsi" w:cstheme="minorBidi"/>
                <w:noProof/>
                <w:kern w:val="2"/>
                <w:szCs w:val="22"/>
                <w:lang w:eastAsia="zh-CN"/>
              </w:rPr>
              <w:tab/>
            </w:r>
            <w:r w:rsidRPr="00265A01">
              <w:rPr>
                <w:rStyle w:val="a9"/>
                <w:noProof/>
                <w:w w:val="110"/>
              </w:rPr>
              <w:t>Change the Location of External Properties of an</w:t>
            </w:r>
            <w:r w:rsidRPr="00265A01">
              <w:rPr>
                <w:rStyle w:val="a9"/>
                <w:noProof/>
                <w:spacing w:val="-24"/>
                <w:w w:val="110"/>
              </w:rPr>
              <w:t xml:space="preserve"> </w:t>
            </w:r>
            <w:r w:rsidRPr="00265A01">
              <w:rPr>
                <w:rStyle w:val="a9"/>
                <w:noProof/>
                <w:w w:val="110"/>
              </w:rPr>
              <w:t>Application</w:t>
            </w:r>
            <w:r>
              <w:rPr>
                <w:noProof/>
                <w:webHidden/>
              </w:rPr>
              <w:tab/>
            </w:r>
            <w:r>
              <w:rPr>
                <w:noProof/>
                <w:webHidden/>
              </w:rPr>
              <w:fldChar w:fldCharType="begin"/>
            </w:r>
            <w:r>
              <w:rPr>
                <w:noProof/>
                <w:webHidden/>
              </w:rPr>
              <w:instrText xml:space="preserve"> PAGEREF _Toc54423924 \h </w:instrText>
            </w:r>
            <w:r>
              <w:rPr>
                <w:noProof/>
                <w:webHidden/>
              </w:rPr>
            </w:r>
            <w:r>
              <w:rPr>
                <w:noProof/>
                <w:webHidden/>
              </w:rPr>
              <w:fldChar w:fldCharType="separate"/>
            </w:r>
            <w:r>
              <w:rPr>
                <w:noProof/>
                <w:webHidden/>
              </w:rPr>
              <w:t>269</w:t>
            </w:r>
            <w:r>
              <w:rPr>
                <w:noProof/>
                <w:webHidden/>
              </w:rPr>
              <w:fldChar w:fldCharType="end"/>
            </w:r>
          </w:hyperlink>
        </w:p>
        <w:p w14:paraId="480CD892" w14:textId="3F26A27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5" w:history="1">
            <w:r w:rsidRPr="00265A01">
              <w:rPr>
                <w:rStyle w:val="a9"/>
                <w:noProof/>
                <w:spacing w:val="-1"/>
                <w:w w:val="113"/>
              </w:rPr>
              <w:t>9.2.4.</w:t>
            </w:r>
            <w:r>
              <w:rPr>
                <w:rFonts w:asciiTheme="minorHAnsi" w:eastAsiaTheme="minorEastAsia" w:hAnsiTheme="minorHAnsi" w:cstheme="minorBidi"/>
                <w:noProof/>
                <w:kern w:val="2"/>
                <w:szCs w:val="22"/>
                <w:lang w:eastAsia="zh-CN"/>
              </w:rPr>
              <w:tab/>
            </w:r>
            <w:r w:rsidRPr="00265A01">
              <w:rPr>
                <w:rStyle w:val="a9"/>
                <w:noProof/>
                <w:w w:val="110"/>
              </w:rPr>
              <w:t>Use ‘Short’ Command Line</w:t>
            </w:r>
            <w:r w:rsidRPr="00265A01">
              <w:rPr>
                <w:rStyle w:val="a9"/>
                <w:noProof/>
                <w:spacing w:val="-26"/>
                <w:w w:val="110"/>
              </w:rPr>
              <w:t xml:space="preserve"> </w:t>
            </w:r>
            <w:r w:rsidRPr="00265A01">
              <w:rPr>
                <w:rStyle w:val="a9"/>
                <w:noProof/>
                <w:w w:val="110"/>
              </w:rPr>
              <w:t>Arguments</w:t>
            </w:r>
            <w:r>
              <w:rPr>
                <w:noProof/>
                <w:webHidden/>
              </w:rPr>
              <w:tab/>
            </w:r>
            <w:r>
              <w:rPr>
                <w:noProof/>
                <w:webHidden/>
              </w:rPr>
              <w:fldChar w:fldCharType="begin"/>
            </w:r>
            <w:r>
              <w:rPr>
                <w:noProof/>
                <w:webHidden/>
              </w:rPr>
              <w:instrText xml:space="preserve"> PAGEREF _Toc54423925 \h </w:instrText>
            </w:r>
            <w:r>
              <w:rPr>
                <w:noProof/>
                <w:webHidden/>
              </w:rPr>
            </w:r>
            <w:r>
              <w:rPr>
                <w:noProof/>
                <w:webHidden/>
              </w:rPr>
              <w:fldChar w:fldCharType="separate"/>
            </w:r>
            <w:r>
              <w:rPr>
                <w:noProof/>
                <w:webHidden/>
              </w:rPr>
              <w:t>269</w:t>
            </w:r>
            <w:r>
              <w:rPr>
                <w:noProof/>
                <w:webHidden/>
              </w:rPr>
              <w:fldChar w:fldCharType="end"/>
            </w:r>
          </w:hyperlink>
        </w:p>
        <w:p w14:paraId="2FDD46F6" w14:textId="5260660A"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6" w:history="1">
            <w:r w:rsidRPr="00265A01">
              <w:rPr>
                <w:rStyle w:val="a9"/>
                <w:noProof/>
                <w:spacing w:val="-1"/>
                <w:w w:val="113"/>
              </w:rPr>
              <w:t>9.2.5.</w:t>
            </w:r>
            <w:r>
              <w:rPr>
                <w:rFonts w:asciiTheme="minorHAnsi" w:eastAsiaTheme="minorEastAsia" w:hAnsiTheme="minorHAnsi" w:cstheme="minorBidi"/>
                <w:noProof/>
                <w:kern w:val="2"/>
                <w:szCs w:val="22"/>
                <w:lang w:eastAsia="zh-CN"/>
              </w:rPr>
              <w:tab/>
            </w:r>
            <w:r w:rsidRPr="00265A01">
              <w:rPr>
                <w:rStyle w:val="a9"/>
                <w:noProof/>
                <w:w w:val="110"/>
              </w:rPr>
              <w:t xml:space="preserve">Use </w:t>
            </w:r>
            <w:r w:rsidRPr="00265A01">
              <w:rPr>
                <w:rStyle w:val="a9"/>
                <w:noProof/>
                <w:spacing w:val="-6"/>
                <w:w w:val="110"/>
              </w:rPr>
              <w:t xml:space="preserve">YAML </w:t>
            </w:r>
            <w:r w:rsidRPr="00265A01">
              <w:rPr>
                <w:rStyle w:val="a9"/>
                <w:noProof/>
                <w:w w:val="110"/>
              </w:rPr>
              <w:t>for External</w:t>
            </w:r>
            <w:r w:rsidRPr="00265A01">
              <w:rPr>
                <w:rStyle w:val="a9"/>
                <w:noProof/>
                <w:spacing w:val="-13"/>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_Toc54423926 \h </w:instrText>
            </w:r>
            <w:r>
              <w:rPr>
                <w:noProof/>
                <w:webHidden/>
              </w:rPr>
            </w:r>
            <w:r>
              <w:rPr>
                <w:noProof/>
                <w:webHidden/>
              </w:rPr>
              <w:fldChar w:fldCharType="separate"/>
            </w:r>
            <w:r>
              <w:rPr>
                <w:noProof/>
                <w:webHidden/>
              </w:rPr>
              <w:t>269</w:t>
            </w:r>
            <w:r>
              <w:rPr>
                <w:noProof/>
                <w:webHidden/>
              </w:rPr>
              <w:fldChar w:fldCharType="end"/>
            </w:r>
          </w:hyperlink>
        </w:p>
        <w:p w14:paraId="56F810C0" w14:textId="3724C8F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7" w:history="1">
            <w:r w:rsidRPr="00265A01">
              <w:rPr>
                <w:rStyle w:val="a9"/>
                <w:noProof/>
                <w:spacing w:val="-1"/>
                <w:w w:val="113"/>
              </w:rPr>
              <w:t>9.2.6.</w:t>
            </w:r>
            <w:r>
              <w:rPr>
                <w:rFonts w:asciiTheme="minorHAnsi" w:eastAsiaTheme="minorEastAsia" w:hAnsiTheme="minorHAnsi" w:cstheme="minorBidi"/>
                <w:noProof/>
                <w:kern w:val="2"/>
                <w:szCs w:val="22"/>
                <w:lang w:eastAsia="zh-CN"/>
              </w:rPr>
              <w:tab/>
            </w:r>
            <w:r w:rsidRPr="00265A01">
              <w:rPr>
                <w:rStyle w:val="a9"/>
                <w:noProof/>
                <w:w w:val="110"/>
              </w:rPr>
              <w:t>Set the Active Spring</w:t>
            </w:r>
            <w:r w:rsidRPr="00265A01">
              <w:rPr>
                <w:rStyle w:val="a9"/>
                <w:noProof/>
                <w:spacing w:val="-24"/>
                <w:w w:val="110"/>
              </w:rPr>
              <w:t xml:space="preserve"> </w:t>
            </w:r>
            <w:r w:rsidRPr="00265A01">
              <w:rPr>
                <w:rStyle w:val="a9"/>
                <w:noProof/>
                <w:w w:val="110"/>
              </w:rPr>
              <w:t>Profiles</w:t>
            </w:r>
            <w:r>
              <w:rPr>
                <w:noProof/>
                <w:webHidden/>
              </w:rPr>
              <w:tab/>
            </w:r>
            <w:r>
              <w:rPr>
                <w:noProof/>
                <w:webHidden/>
              </w:rPr>
              <w:fldChar w:fldCharType="begin"/>
            </w:r>
            <w:r>
              <w:rPr>
                <w:noProof/>
                <w:webHidden/>
              </w:rPr>
              <w:instrText xml:space="preserve"> PAGEREF _Toc54423927 \h </w:instrText>
            </w:r>
            <w:r>
              <w:rPr>
                <w:noProof/>
                <w:webHidden/>
              </w:rPr>
            </w:r>
            <w:r>
              <w:rPr>
                <w:noProof/>
                <w:webHidden/>
              </w:rPr>
              <w:fldChar w:fldCharType="separate"/>
            </w:r>
            <w:r>
              <w:rPr>
                <w:noProof/>
                <w:webHidden/>
              </w:rPr>
              <w:t>269</w:t>
            </w:r>
            <w:r>
              <w:rPr>
                <w:noProof/>
                <w:webHidden/>
              </w:rPr>
              <w:fldChar w:fldCharType="end"/>
            </w:r>
          </w:hyperlink>
        </w:p>
        <w:p w14:paraId="05A7773C" w14:textId="32EE6BC2"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8" w:history="1">
            <w:r w:rsidRPr="00265A01">
              <w:rPr>
                <w:rStyle w:val="a9"/>
                <w:noProof/>
                <w:spacing w:val="-1"/>
                <w:w w:val="113"/>
              </w:rPr>
              <w:t>9.2.7.</w:t>
            </w:r>
            <w:r>
              <w:rPr>
                <w:rFonts w:asciiTheme="minorHAnsi" w:eastAsiaTheme="minorEastAsia" w:hAnsiTheme="minorHAnsi" w:cstheme="minorBidi"/>
                <w:noProof/>
                <w:kern w:val="2"/>
                <w:szCs w:val="22"/>
                <w:lang w:eastAsia="zh-CN"/>
              </w:rPr>
              <w:tab/>
            </w:r>
            <w:r w:rsidRPr="00265A01">
              <w:rPr>
                <w:rStyle w:val="a9"/>
                <w:noProof/>
                <w:w w:val="110"/>
              </w:rPr>
              <w:t>Change Configuration Depending on the</w:t>
            </w:r>
            <w:r w:rsidRPr="00265A01">
              <w:rPr>
                <w:rStyle w:val="a9"/>
                <w:noProof/>
                <w:spacing w:val="-39"/>
                <w:w w:val="110"/>
              </w:rPr>
              <w:t xml:space="preserve"> </w:t>
            </w:r>
            <w:r w:rsidRPr="00265A01">
              <w:rPr>
                <w:rStyle w:val="a9"/>
                <w:noProof/>
                <w:w w:val="110"/>
              </w:rPr>
              <w:t>Environment</w:t>
            </w:r>
            <w:r>
              <w:rPr>
                <w:noProof/>
                <w:webHidden/>
              </w:rPr>
              <w:tab/>
            </w:r>
            <w:r>
              <w:rPr>
                <w:noProof/>
                <w:webHidden/>
              </w:rPr>
              <w:fldChar w:fldCharType="begin"/>
            </w:r>
            <w:r>
              <w:rPr>
                <w:noProof/>
                <w:webHidden/>
              </w:rPr>
              <w:instrText xml:space="preserve"> PAGEREF _Toc54423928 \h </w:instrText>
            </w:r>
            <w:r>
              <w:rPr>
                <w:noProof/>
                <w:webHidden/>
              </w:rPr>
            </w:r>
            <w:r>
              <w:rPr>
                <w:noProof/>
                <w:webHidden/>
              </w:rPr>
              <w:fldChar w:fldCharType="separate"/>
            </w:r>
            <w:r>
              <w:rPr>
                <w:noProof/>
                <w:webHidden/>
              </w:rPr>
              <w:t>269</w:t>
            </w:r>
            <w:r>
              <w:rPr>
                <w:noProof/>
                <w:webHidden/>
              </w:rPr>
              <w:fldChar w:fldCharType="end"/>
            </w:r>
          </w:hyperlink>
        </w:p>
        <w:p w14:paraId="0495F857" w14:textId="7F23718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29" w:history="1">
            <w:r w:rsidRPr="00265A01">
              <w:rPr>
                <w:rStyle w:val="a9"/>
                <w:noProof/>
                <w:spacing w:val="-1"/>
                <w:w w:val="113"/>
              </w:rPr>
              <w:t>9.2.8.</w:t>
            </w:r>
            <w:r>
              <w:rPr>
                <w:rFonts w:asciiTheme="minorHAnsi" w:eastAsiaTheme="minorEastAsia" w:hAnsiTheme="minorHAnsi" w:cstheme="minorBidi"/>
                <w:noProof/>
                <w:kern w:val="2"/>
                <w:szCs w:val="22"/>
                <w:lang w:eastAsia="zh-CN"/>
              </w:rPr>
              <w:tab/>
            </w:r>
            <w:r w:rsidRPr="00265A01">
              <w:rPr>
                <w:rStyle w:val="a9"/>
                <w:noProof/>
                <w:w w:val="115"/>
              </w:rPr>
              <w:t>Discover</w:t>
            </w:r>
            <w:r w:rsidRPr="00265A01">
              <w:rPr>
                <w:rStyle w:val="a9"/>
                <w:noProof/>
                <w:spacing w:val="-13"/>
                <w:w w:val="115"/>
              </w:rPr>
              <w:t xml:space="preserve"> </w:t>
            </w:r>
            <w:r w:rsidRPr="00265A01">
              <w:rPr>
                <w:rStyle w:val="a9"/>
                <w:noProof/>
                <w:w w:val="115"/>
              </w:rPr>
              <w:t>Built-in</w:t>
            </w:r>
            <w:r w:rsidRPr="00265A01">
              <w:rPr>
                <w:rStyle w:val="a9"/>
                <w:noProof/>
                <w:spacing w:val="-14"/>
                <w:w w:val="115"/>
              </w:rPr>
              <w:t xml:space="preserve"> </w:t>
            </w:r>
            <w:r w:rsidRPr="00265A01">
              <w:rPr>
                <w:rStyle w:val="a9"/>
                <w:noProof/>
                <w:w w:val="115"/>
              </w:rPr>
              <w:t>Options</w:t>
            </w:r>
            <w:r w:rsidRPr="00265A01">
              <w:rPr>
                <w:rStyle w:val="a9"/>
                <w:noProof/>
                <w:spacing w:val="-13"/>
                <w:w w:val="115"/>
              </w:rPr>
              <w:t xml:space="preserve"> </w:t>
            </w:r>
            <w:r w:rsidRPr="00265A01">
              <w:rPr>
                <w:rStyle w:val="a9"/>
                <w:noProof/>
                <w:w w:val="115"/>
              </w:rPr>
              <w:t>for</w:t>
            </w:r>
            <w:r w:rsidRPr="00265A01">
              <w:rPr>
                <w:rStyle w:val="a9"/>
                <w:noProof/>
                <w:spacing w:val="-12"/>
                <w:w w:val="115"/>
              </w:rPr>
              <w:t xml:space="preserve"> </w:t>
            </w:r>
            <w:r w:rsidRPr="00265A01">
              <w:rPr>
                <w:rStyle w:val="a9"/>
                <w:noProof/>
                <w:w w:val="115"/>
              </w:rPr>
              <w:t>External</w:t>
            </w:r>
            <w:r w:rsidRPr="00265A01">
              <w:rPr>
                <w:rStyle w:val="a9"/>
                <w:noProof/>
                <w:spacing w:val="-14"/>
                <w:w w:val="115"/>
              </w:rPr>
              <w:t xml:space="preserve"> </w:t>
            </w:r>
            <w:r w:rsidRPr="00265A01">
              <w:rPr>
                <w:rStyle w:val="a9"/>
                <w:noProof/>
                <w:w w:val="115"/>
              </w:rPr>
              <w:t>Properties</w:t>
            </w:r>
            <w:r>
              <w:rPr>
                <w:noProof/>
                <w:webHidden/>
              </w:rPr>
              <w:tab/>
            </w:r>
            <w:r>
              <w:rPr>
                <w:noProof/>
                <w:webHidden/>
              </w:rPr>
              <w:fldChar w:fldCharType="begin"/>
            </w:r>
            <w:r>
              <w:rPr>
                <w:noProof/>
                <w:webHidden/>
              </w:rPr>
              <w:instrText xml:space="preserve"> PAGEREF _Toc54423929 \h </w:instrText>
            </w:r>
            <w:r>
              <w:rPr>
                <w:noProof/>
                <w:webHidden/>
              </w:rPr>
            </w:r>
            <w:r>
              <w:rPr>
                <w:noProof/>
                <w:webHidden/>
              </w:rPr>
              <w:fldChar w:fldCharType="separate"/>
            </w:r>
            <w:r>
              <w:rPr>
                <w:noProof/>
                <w:webHidden/>
              </w:rPr>
              <w:t>269</w:t>
            </w:r>
            <w:r>
              <w:rPr>
                <w:noProof/>
                <w:webHidden/>
              </w:rPr>
              <w:fldChar w:fldCharType="end"/>
            </w:r>
          </w:hyperlink>
        </w:p>
        <w:p w14:paraId="0864D649" w14:textId="337A70F4"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30" w:history="1">
            <w:r w:rsidRPr="00265A01">
              <w:rPr>
                <w:rStyle w:val="a9"/>
                <w:noProof/>
                <w:spacing w:val="-1"/>
                <w:w w:val="113"/>
              </w:rPr>
              <w:t>9.3.</w:t>
            </w:r>
            <w:r>
              <w:rPr>
                <w:rFonts w:asciiTheme="minorHAnsi" w:eastAsiaTheme="minorEastAsia" w:hAnsiTheme="minorHAnsi" w:cstheme="minorBidi"/>
                <w:noProof/>
                <w:kern w:val="2"/>
                <w:szCs w:val="22"/>
                <w:lang w:eastAsia="zh-CN"/>
              </w:rPr>
              <w:tab/>
            </w:r>
            <w:r w:rsidRPr="00265A01">
              <w:rPr>
                <w:rStyle w:val="a9"/>
                <w:noProof/>
                <w:w w:val="110"/>
              </w:rPr>
              <w:t xml:space="preserve">Embedded </w:t>
            </w:r>
            <w:r w:rsidRPr="00265A01">
              <w:rPr>
                <w:rStyle w:val="a9"/>
                <w:noProof/>
                <w:spacing w:val="-8"/>
                <w:w w:val="110"/>
              </w:rPr>
              <w:t>Web</w:t>
            </w:r>
            <w:r w:rsidRPr="00265A01">
              <w:rPr>
                <w:rStyle w:val="a9"/>
                <w:noProof/>
                <w:spacing w:val="-14"/>
                <w:w w:val="110"/>
              </w:rPr>
              <w:t xml:space="preserve"> </w:t>
            </w:r>
            <w:r w:rsidRPr="00265A01">
              <w:rPr>
                <w:rStyle w:val="a9"/>
                <w:noProof/>
                <w:w w:val="110"/>
              </w:rPr>
              <w:t>Servers</w:t>
            </w:r>
            <w:r>
              <w:rPr>
                <w:noProof/>
                <w:webHidden/>
              </w:rPr>
              <w:tab/>
            </w:r>
            <w:r>
              <w:rPr>
                <w:noProof/>
                <w:webHidden/>
              </w:rPr>
              <w:fldChar w:fldCharType="begin"/>
            </w:r>
            <w:r>
              <w:rPr>
                <w:noProof/>
                <w:webHidden/>
              </w:rPr>
              <w:instrText xml:space="preserve"> PAGEREF _Toc54423930 \h </w:instrText>
            </w:r>
            <w:r>
              <w:rPr>
                <w:noProof/>
                <w:webHidden/>
              </w:rPr>
            </w:r>
            <w:r>
              <w:rPr>
                <w:noProof/>
                <w:webHidden/>
              </w:rPr>
              <w:fldChar w:fldCharType="separate"/>
            </w:r>
            <w:r>
              <w:rPr>
                <w:noProof/>
                <w:webHidden/>
              </w:rPr>
              <w:t>269</w:t>
            </w:r>
            <w:r>
              <w:rPr>
                <w:noProof/>
                <w:webHidden/>
              </w:rPr>
              <w:fldChar w:fldCharType="end"/>
            </w:r>
          </w:hyperlink>
        </w:p>
        <w:p w14:paraId="1F7D563C" w14:textId="31F91C0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1" w:history="1">
            <w:r w:rsidRPr="00265A01">
              <w:rPr>
                <w:rStyle w:val="a9"/>
                <w:noProof/>
                <w:spacing w:val="-1"/>
                <w:w w:val="113"/>
              </w:rPr>
              <w:t>9.3.1.</w:t>
            </w:r>
            <w:r>
              <w:rPr>
                <w:rFonts w:asciiTheme="minorHAnsi" w:eastAsiaTheme="minorEastAsia" w:hAnsiTheme="minorHAnsi" w:cstheme="minorBidi"/>
                <w:noProof/>
                <w:kern w:val="2"/>
                <w:szCs w:val="22"/>
                <w:lang w:eastAsia="zh-CN"/>
              </w:rPr>
              <w:tab/>
            </w:r>
            <w:r w:rsidRPr="00265A01">
              <w:rPr>
                <w:rStyle w:val="a9"/>
                <w:noProof/>
                <w:w w:val="110"/>
              </w:rPr>
              <w:t xml:space="preserve">Use Another </w:t>
            </w:r>
            <w:r w:rsidRPr="00265A01">
              <w:rPr>
                <w:rStyle w:val="a9"/>
                <w:noProof/>
                <w:spacing w:val="-6"/>
                <w:w w:val="110"/>
              </w:rPr>
              <w:t>Web</w:t>
            </w:r>
            <w:r w:rsidRPr="00265A01">
              <w:rPr>
                <w:rStyle w:val="a9"/>
                <w:noProof/>
                <w:spacing w:val="-16"/>
                <w:w w:val="110"/>
              </w:rPr>
              <w:t xml:space="preserve"> </w:t>
            </w:r>
            <w:r w:rsidRPr="00265A01">
              <w:rPr>
                <w:rStyle w:val="a9"/>
                <w:noProof/>
                <w:w w:val="110"/>
              </w:rPr>
              <w:t>Server</w:t>
            </w:r>
            <w:r>
              <w:rPr>
                <w:noProof/>
                <w:webHidden/>
              </w:rPr>
              <w:tab/>
            </w:r>
            <w:r>
              <w:rPr>
                <w:noProof/>
                <w:webHidden/>
              </w:rPr>
              <w:fldChar w:fldCharType="begin"/>
            </w:r>
            <w:r>
              <w:rPr>
                <w:noProof/>
                <w:webHidden/>
              </w:rPr>
              <w:instrText xml:space="preserve"> PAGEREF _Toc54423931 \h </w:instrText>
            </w:r>
            <w:r>
              <w:rPr>
                <w:noProof/>
                <w:webHidden/>
              </w:rPr>
            </w:r>
            <w:r>
              <w:rPr>
                <w:noProof/>
                <w:webHidden/>
              </w:rPr>
              <w:fldChar w:fldCharType="separate"/>
            </w:r>
            <w:r>
              <w:rPr>
                <w:noProof/>
                <w:webHidden/>
              </w:rPr>
              <w:t>269</w:t>
            </w:r>
            <w:r>
              <w:rPr>
                <w:noProof/>
                <w:webHidden/>
              </w:rPr>
              <w:fldChar w:fldCharType="end"/>
            </w:r>
          </w:hyperlink>
        </w:p>
        <w:p w14:paraId="2661F99D" w14:textId="2B0D1F0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2" w:history="1">
            <w:r w:rsidRPr="00265A01">
              <w:rPr>
                <w:rStyle w:val="a9"/>
                <w:noProof/>
                <w:spacing w:val="-1"/>
                <w:w w:val="113"/>
              </w:rPr>
              <w:t>9.3.2.</w:t>
            </w:r>
            <w:r>
              <w:rPr>
                <w:rFonts w:asciiTheme="minorHAnsi" w:eastAsiaTheme="minorEastAsia" w:hAnsiTheme="minorHAnsi" w:cstheme="minorBidi"/>
                <w:noProof/>
                <w:kern w:val="2"/>
                <w:szCs w:val="22"/>
                <w:lang w:eastAsia="zh-CN"/>
              </w:rPr>
              <w:tab/>
            </w:r>
            <w:r w:rsidRPr="00265A01">
              <w:rPr>
                <w:rStyle w:val="a9"/>
                <w:noProof/>
                <w:w w:val="110"/>
              </w:rPr>
              <w:t xml:space="preserve">Disabling the </w:t>
            </w:r>
            <w:r w:rsidRPr="00265A01">
              <w:rPr>
                <w:rStyle w:val="a9"/>
                <w:noProof/>
                <w:spacing w:val="-6"/>
                <w:w w:val="110"/>
              </w:rPr>
              <w:t>Web</w:t>
            </w:r>
            <w:r w:rsidRPr="00265A01">
              <w:rPr>
                <w:rStyle w:val="a9"/>
                <w:noProof/>
                <w:spacing w:val="-17"/>
                <w:w w:val="110"/>
              </w:rPr>
              <w:t xml:space="preserve"> </w:t>
            </w:r>
            <w:r w:rsidRPr="00265A01">
              <w:rPr>
                <w:rStyle w:val="a9"/>
                <w:noProof/>
                <w:w w:val="110"/>
              </w:rPr>
              <w:t>Server</w:t>
            </w:r>
            <w:r>
              <w:rPr>
                <w:noProof/>
                <w:webHidden/>
              </w:rPr>
              <w:tab/>
            </w:r>
            <w:r>
              <w:rPr>
                <w:noProof/>
                <w:webHidden/>
              </w:rPr>
              <w:fldChar w:fldCharType="begin"/>
            </w:r>
            <w:r>
              <w:rPr>
                <w:noProof/>
                <w:webHidden/>
              </w:rPr>
              <w:instrText xml:space="preserve"> PAGEREF _Toc54423932 \h </w:instrText>
            </w:r>
            <w:r>
              <w:rPr>
                <w:noProof/>
                <w:webHidden/>
              </w:rPr>
            </w:r>
            <w:r>
              <w:rPr>
                <w:noProof/>
                <w:webHidden/>
              </w:rPr>
              <w:fldChar w:fldCharType="separate"/>
            </w:r>
            <w:r>
              <w:rPr>
                <w:noProof/>
                <w:webHidden/>
              </w:rPr>
              <w:t>269</w:t>
            </w:r>
            <w:r>
              <w:rPr>
                <w:noProof/>
                <w:webHidden/>
              </w:rPr>
              <w:fldChar w:fldCharType="end"/>
            </w:r>
          </w:hyperlink>
        </w:p>
        <w:p w14:paraId="17B1D042" w14:textId="3FFF6C9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3" w:history="1">
            <w:r w:rsidRPr="00265A01">
              <w:rPr>
                <w:rStyle w:val="a9"/>
                <w:noProof/>
                <w:spacing w:val="-1"/>
                <w:w w:val="113"/>
              </w:rPr>
              <w:t>9.3.3.</w:t>
            </w:r>
            <w:r>
              <w:rPr>
                <w:rFonts w:asciiTheme="minorHAnsi" w:eastAsiaTheme="minorEastAsia" w:hAnsiTheme="minorHAnsi" w:cstheme="minorBidi"/>
                <w:noProof/>
                <w:kern w:val="2"/>
                <w:szCs w:val="22"/>
                <w:lang w:eastAsia="zh-CN"/>
              </w:rPr>
              <w:tab/>
            </w:r>
            <w:r w:rsidRPr="00265A01">
              <w:rPr>
                <w:rStyle w:val="a9"/>
                <w:noProof/>
                <w:w w:val="110"/>
              </w:rPr>
              <w:t>Change the HTTP</w:t>
            </w:r>
            <w:r w:rsidRPr="00265A01">
              <w:rPr>
                <w:rStyle w:val="a9"/>
                <w:noProof/>
                <w:spacing w:val="-19"/>
                <w:w w:val="110"/>
              </w:rPr>
              <w:t xml:space="preserve"> </w:t>
            </w:r>
            <w:r w:rsidRPr="00265A01">
              <w:rPr>
                <w:rStyle w:val="a9"/>
                <w:noProof/>
                <w:w w:val="110"/>
              </w:rPr>
              <w:t>Port</w:t>
            </w:r>
            <w:r>
              <w:rPr>
                <w:noProof/>
                <w:webHidden/>
              </w:rPr>
              <w:tab/>
            </w:r>
            <w:r>
              <w:rPr>
                <w:noProof/>
                <w:webHidden/>
              </w:rPr>
              <w:fldChar w:fldCharType="begin"/>
            </w:r>
            <w:r>
              <w:rPr>
                <w:noProof/>
                <w:webHidden/>
              </w:rPr>
              <w:instrText xml:space="preserve"> PAGEREF _Toc54423933 \h </w:instrText>
            </w:r>
            <w:r>
              <w:rPr>
                <w:noProof/>
                <w:webHidden/>
              </w:rPr>
            </w:r>
            <w:r>
              <w:rPr>
                <w:noProof/>
                <w:webHidden/>
              </w:rPr>
              <w:fldChar w:fldCharType="separate"/>
            </w:r>
            <w:r>
              <w:rPr>
                <w:noProof/>
                <w:webHidden/>
              </w:rPr>
              <w:t>269</w:t>
            </w:r>
            <w:r>
              <w:rPr>
                <w:noProof/>
                <w:webHidden/>
              </w:rPr>
              <w:fldChar w:fldCharType="end"/>
            </w:r>
          </w:hyperlink>
        </w:p>
        <w:p w14:paraId="1B8F2DC0" w14:textId="28DDE1BA"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4" w:history="1">
            <w:r w:rsidRPr="00265A01">
              <w:rPr>
                <w:rStyle w:val="a9"/>
                <w:noProof/>
                <w:spacing w:val="-1"/>
                <w:w w:val="113"/>
              </w:rPr>
              <w:t>9.3.4.</w:t>
            </w:r>
            <w:r>
              <w:rPr>
                <w:rFonts w:asciiTheme="minorHAnsi" w:eastAsiaTheme="minorEastAsia" w:hAnsiTheme="minorHAnsi" w:cstheme="minorBidi"/>
                <w:noProof/>
                <w:kern w:val="2"/>
                <w:szCs w:val="22"/>
                <w:lang w:eastAsia="zh-CN"/>
              </w:rPr>
              <w:tab/>
            </w:r>
            <w:r w:rsidRPr="00265A01">
              <w:rPr>
                <w:rStyle w:val="a9"/>
                <w:noProof/>
                <w:w w:val="110"/>
              </w:rPr>
              <w:t>Use a Random Unassigned HTTP</w:t>
            </w:r>
            <w:r w:rsidRPr="00265A01">
              <w:rPr>
                <w:rStyle w:val="a9"/>
                <w:noProof/>
                <w:spacing w:val="-33"/>
                <w:w w:val="110"/>
              </w:rPr>
              <w:t xml:space="preserve"> </w:t>
            </w:r>
            <w:r w:rsidRPr="00265A01">
              <w:rPr>
                <w:rStyle w:val="a9"/>
                <w:noProof/>
                <w:w w:val="110"/>
              </w:rPr>
              <w:t>Port</w:t>
            </w:r>
            <w:r>
              <w:rPr>
                <w:noProof/>
                <w:webHidden/>
              </w:rPr>
              <w:tab/>
            </w:r>
            <w:r>
              <w:rPr>
                <w:noProof/>
                <w:webHidden/>
              </w:rPr>
              <w:fldChar w:fldCharType="begin"/>
            </w:r>
            <w:r>
              <w:rPr>
                <w:noProof/>
                <w:webHidden/>
              </w:rPr>
              <w:instrText xml:space="preserve"> PAGEREF _Toc54423934 \h </w:instrText>
            </w:r>
            <w:r>
              <w:rPr>
                <w:noProof/>
                <w:webHidden/>
              </w:rPr>
            </w:r>
            <w:r>
              <w:rPr>
                <w:noProof/>
                <w:webHidden/>
              </w:rPr>
              <w:fldChar w:fldCharType="separate"/>
            </w:r>
            <w:r>
              <w:rPr>
                <w:noProof/>
                <w:webHidden/>
              </w:rPr>
              <w:t>269</w:t>
            </w:r>
            <w:r>
              <w:rPr>
                <w:noProof/>
                <w:webHidden/>
              </w:rPr>
              <w:fldChar w:fldCharType="end"/>
            </w:r>
          </w:hyperlink>
        </w:p>
        <w:p w14:paraId="5EDAD3F3" w14:textId="15CBD63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5" w:history="1">
            <w:r w:rsidRPr="00265A01">
              <w:rPr>
                <w:rStyle w:val="a9"/>
                <w:noProof/>
                <w:spacing w:val="-1"/>
                <w:w w:val="113"/>
              </w:rPr>
              <w:t>9.3.5.</w:t>
            </w:r>
            <w:r>
              <w:rPr>
                <w:rFonts w:asciiTheme="minorHAnsi" w:eastAsiaTheme="minorEastAsia" w:hAnsiTheme="minorHAnsi" w:cstheme="minorBidi"/>
                <w:noProof/>
                <w:kern w:val="2"/>
                <w:szCs w:val="22"/>
                <w:lang w:eastAsia="zh-CN"/>
              </w:rPr>
              <w:tab/>
            </w:r>
            <w:r w:rsidRPr="00265A01">
              <w:rPr>
                <w:rStyle w:val="a9"/>
                <w:noProof/>
                <w:w w:val="110"/>
              </w:rPr>
              <w:t>Discover the HTTP Port at</w:t>
            </w:r>
            <w:r w:rsidRPr="00265A01">
              <w:rPr>
                <w:rStyle w:val="a9"/>
                <w:noProof/>
                <w:spacing w:val="-28"/>
                <w:w w:val="110"/>
              </w:rPr>
              <w:t xml:space="preserve"> </w:t>
            </w:r>
            <w:r w:rsidRPr="00265A01">
              <w:rPr>
                <w:rStyle w:val="a9"/>
                <w:noProof/>
                <w:w w:val="110"/>
              </w:rPr>
              <w:t>Runtime</w:t>
            </w:r>
            <w:r>
              <w:rPr>
                <w:noProof/>
                <w:webHidden/>
              </w:rPr>
              <w:tab/>
            </w:r>
            <w:r>
              <w:rPr>
                <w:noProof/>
                <w:webHidden/>
              </w:rPr>
              <w:fldChar w:fldCharType="begin"/>
            </w:r>
            <w:r>
              <w:rPr>
                <w:noProof/>
                <w:webHidden/>
              </w:rPr>
              <w:instrText xml:space="preserve"> PAGEREF _Toc54423935 \h </w:instrText>
            </w:r>
            <w:r>
              <w:rPr>
                <w:noProof/>
                <w:webHidden/>
              </w:rPr>
            </w:r>
            <w:r>
              <w:rPr>
                <w:noProof/>
                <w:webHidden/>
              </w:rPr>
              <w:fldChar w:fldCharType="separate"/>
            </w:r>
            <w:r>
              <w:rPr>
                <w:noProof/>
                <w:webHidden/>
              </w:rPr>
              <w:t>269</w:t>
            </w:r>
            <w:r>
              <w:rPr>
                <w:noProof/>
                <w:webHidden/>
              </w:rPr>
              <w:fldChar w:fldCharType="end"/>
            </w:r>
          </w:hyperlink>
        </w:p>
        <w:p w14:paraId="0C01E9C5" w14:textId="5231FB29"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6" w:history="1">
            <w:r w:rsidRPr="00265A01">
              <w:rPr>
                <w:rStyle w:val="a9"/>
                <w:noProof/>
                <w:spacing w:val="-1"/>
                <w:w w:val="113"/>
              </w:rPr>
              <w:t>9.3.6.</w:t>
            </w:r>
            <w:r>
              <w:rPr>
                <w:rFonts w:asciiTheme="minorHAnsi" w:eastAsiaTheme="minorEastAsia" w:hAnsiTheme="minorHAnsi" w:cstheme="minorBidi"/>
                <w:noProof/>
                <w:kern w:val="2"/>
                <w:szCs w:val="22"/>
                <w:lang w:eastAsia="zh-CN"/>
              </w:rPr>
              <w:tab/>
            </w:r>
            <w:r w:rsidRPr="00265A01">
              <w:rPr>
                <w:rStyle w:val="a9"/>
                <w:noProof/>
                <w:w w:val="110"/>
              </w:rPr>
              <w:t>Enable HTTP Response</w:t>
            </w:r>
            <w:r w:rsidRPr="00265A01">
              <w:rPr>
                <w:rStyle w:val="a9"/>
                <w:noProof/>
                <w:spacing w:val="-21"/>
                <w:w w:val="110"/>
              </w:rPr>
              <w:t xml:space="preserve"> </w:t>
            </w:r>
            <w:r w:rsidRPr="00265A01">
              <w:rPr>
                <w:rStyle w:val="a9"/>
                <w:noProof/>
                <w:w w:val="110"/>
              </w:rPr>
              <w:t>Compression</w:t>
            </w:r>
            <w:r>
              <w:rPr>
                <w:noProof/>
                <w:webHidden/>
              </w:rPr>
              <w:tab/>
            </w:r>
            <w:r>
              <w:rPr>
                <w:noProof/>
                <w:webHidden/>
              </w:rPr>
              <w:fldChar w:fldCharType="begin"/>
            </w:r>
            <w:r>
              <w:rPr>
                <w:noProof/>
                <w:webHidden/>
              </w:rPr>
              <w:instrText xml:space="preserve"> PAGEREF _Toc54423936 \h </w:instrText>
            </w:r>
            <w:r>
              <w:rPr>
                <w:noProof/>
                <w:webHidden/>
              </w:rPr>
            </w:r>
            <w:r>
              <w:rPr>
                <w:noProof/>
                <w:webHidden/>
              </w:rPr>
              <w:fldChar w:fldCharType="separate"/>
            </w:r>
            <w:r>
              <w:rPr>
                <w:noProof/>
                <w:webHidden/>
              </w:rPr>
              <w:t>269</w:t>
            </w:r>
            <w:r>
              <w:rPr>
                <w:noProof/>
                <w:webHidden/>
              </w:rPr>
              <w:fldChar w:fldCharType="end"/>
            </w:r>
          </w:hyperlink>
        </w:p>
        <w:p w14:paraId="4071F1E6" w14:textId="40678F7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7" w:history="1">
            <w:r w:rsidRPr="00265A01">
              <w:rPr>
                <w:rStyle w:val="a9"/>
                <w:noProof/>
                <w:spacing w:val="-1"/>
                <w:w w:val="113"/>
              </w:rPr>
              <w:t>9.3.7.</w:t>
            </w:r>
            <w:r>
              <w:rPr>
                <w:rFonts w:asciiTheme="minorHAnsi" w:eastAsiaTheme="minorEastAsia" w:hAnsiTheme="minorHAnsi" w:cstheme="minorBidi"/>
                <w:noProof/>
                <w:kern w:val="2"/>
                <w:szCs w:val="22"/>
                <w:lang w:eastAsia="zh-CN"/>
              </w:rPr>
              <w:tab/>
            </w:r>
            <w:r w:rsidRPr="00265A01">
              <w:rPr>
                <w:rStyle w:val="a9"/>
                <w:noProof/>
                <w:w w:val="105"/>
              </w:rPr>
              <w:t>Configure</w:t>
            </w:r>
            <w:r w:rsidRPr="00265A01">
              <w:rPr>
                <w:rStyle w:val="a9"/>
                <w:noProof/>
                <w:spacing w:val="-3"/>
                <w:w w:val="105"/>
              </w:rPr>
              <w:t xml:space="preserve"> </w:t>
            </w:r>
            <w:r w:rsidRPr="00265A01">
              <w:rPr>
                <w:rStyle w:val="a9"/>
                <w:noProof/>
                <w:w w:val="105"/>
              </w:rPr>
              <w:t>SSL</w:t>
            </w:r>
            <w:r>
              <w:rPr>
                <w:noProof/>
                <w:webHidden/>
              </w:rPr>
              <w:tab/>
            </w:r>
            <w:r>
              <w:rPr>
                <w:noProof/>
                <w:webHidden/>
              </w:rPr>
              <w:fldChar w:fldCharType="begin"/>
            </w:r>
            <w:r>
              <w:rPr>
                <w:noProof/>
                <w:webHidden/>
              </w:rPr>
              <w:instrText xml:space="preserve"> PAGEREF _Toc54423937 \h </w:instrText>
            </w:r>
            <w:r>
              <w:rPr>
                <w:noProof/>
                <w:webHidden/>
              </w:rPr>
            </w:r>
            <w:r>
              <w:rPr>
                <w:noProof/>
                <w:webHidden/>
              </w:rPr>
              <w:fldChar w:fldCharType="separate"/>
            </w:r>
            <w:r>
              <w:rPr>
                <w:noProof/>
                <w:webHidden/>
              </w:rPr>
              <w:t>269</w:t>
            </w:r>
            <w:r>
              <w:rPr>
                <w:noProof/>
                <w:webHidden/>
              </w:rPr>
              <w:fldChar w:fldCharType="end"/>
            </w:r>
          </w:hyperlink>
        </w:p>
        <w:p w14:paraId="6E59DB65" w14:textId="3CBA296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8" w:history="1">
            <w:r w:rsidRPr="00265A01">
              <w:rPr>
                <w:rStyle w:val="a9"/>
                <w:noProof/>
                <w:spacing w:val="-1"/>
                <w:w w:val="113"/>
              </w:rPr>
              <w:t>9.3.8.</w:t>
            </w:r>
            <w:r>
              <w:rPr>
                <w:rFonts w:asciiTheme="minorHAnsi" w:eastAsiaTheme="minorEastAsia" w:hAnsiTheme="minorHAnsi" w:cstheme="minorBidi"/>
                <w:noProof/>
                <w:kern w:val="2"/>
                <w:szCs w:val="22"/>
                <w:lang w:eastAsia="zh-CN"/>
              </w:rPr>
              <w:tab/>
            </w:r>
            <w:r w:rsidRPr="00265A01">
              <w:rPr>
                <w:rStyle w:val="a9"/>
                <w:noProof/>
                <w:w w:val="105"/>
              </w:rPr>
              <w:t>Configure</w:t>
            </w:r>
            <w:r w:rsidRPr="00265A01">
              <w:rPr>
                <w:rStyle w:val="a9"/>
                <w:noProof/>
                <w:spacing w:val="-3"/>
                <w:w w:val="105"/>
              </w:rPr>
              <w:t xml:space="preserve"> </w:t>
            </w:r>
            <w:r w:rsidRPr="00265A01">
              <w:rPr>
                <w:rStyle w:val="a9"/>
                <w:noProof/>
                <w:w w:val="105"/>
              </w:rPr>
              <w:t>HTTP/2</w:t>
            </w:r>
            <w:r>
              <w:rPr>
                <w:noProof/>
                <w:webHidden/>
              </w:rPr>
              <w:tab/>
            </w:r>
            <w:r>
              <w:rPr>
                <w:noProof/>
                <w:webHidden/>
              </w:rPr>
              <w:fldChar w:fldCharType="begin"/>
            </w:r>
            <w:r>
              <w:rPr>
                <w:noProof/>
                <w:webHidden/>
              </w:rPr>
              <w:instrText xml:space="preserve"> PAGEREF _Toc54423938 \h </w:instrText>
            </w:r>
            <w:r>
              <w:rPr>
                <w:noProof/>
                <w:webHidden/>
              </w:rPr>
            </w:r>
            <w:r>
              <w:rPr>
                <w:noProof/>
                <w:webHidden/>
              </w:rPr>
              <w:fldChar w:fldCharType="separate"/>
            </w:r>
            <w:r>
              <w:rPr>
                <w:noProof/>
                <w:webHidden/>
              </w:rPr>
              <w:t>269</w:t>
            </w:r>
            <w:r>
              <w:rPr>
                <w:noProof/>
                <w:webHidden/>
              </w:rPr>
              <w:fldChar w:fldCharType="end"/>
            </w:r>
          </w:hyperlink>
        </w:p>
        <w:p w14:paraId="08429F8A" w14:textId="568ED89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39" w:history="1">
            <w:r w:rsidRPr="00265A01">
              <w:rPr>
                <w:rStyle w:val="a9"/>
                <w:noProof/>
                <w:spacing w:val="-1"/>
                <w:w w:val="113"/>
              </w:rPr>
              <w:t>9.3.9.</w:t>
            </w:r>
            <w:r>
              <w:rPr>
                <w:rFonts w:asciiTheme="minorHAnsi" w:eastAsiaTheme="minorEastAsia" w:hAnsiTheme="minorHAnsi" w:cstheme="minorBidi"/>
                <w:noProof/>
                <w:kern w:val="2"/>
                <w:szCs w:val="22"/>
                <w:lang w:eastAsia="zh-CN"/>
              </w:rPr>
              <w:tab/>
            </w:r>
            <w:r w:rsidRPr="00265A01">
              <w:rPr>
                <w:rStyle w:val="a9"/>
                <w:noProof/>
                <w:w w:val="110"/>
              </w:rPr>
              <w:t xml:space="preserve">Configure the </w:t>
            </w:r>
            <w:r w:rsidRPr="00265A01">
              <w:rPr>
                <w:rStyle w:val="a9"/>
                <w:noProof/>
                <w:spacing w:val="-6"/>
                <w:w w:val="110"/>
              </w:rPr>
              <w:t>Web</w:t>
            </w:r>
            <w:r w:rsidRPr="00265A01">
              <w:rPr>
                <w:rStyle w:val="a9"/>
                <w:noProof/>
                <w:spacing w:val="-17"/>
                <w:w w:val="110"/>
              </w:rPr>
              <w:t xml:space="preserve"> </w:t>
            </w:r>
            <w:r w:rsidRPr="00265A01">
              <w:rPr>
                <w:rStyle w:val="a9"/>
                <w:noProof/>
                <w:w w:val="110"/>
              </w:rPr>
              <w:t>Server</w:t>
            </w:r>
            <w:r>
              <w:rPr>
                <w:noProof/>
                <w:webHidden/>
              </w:rPr>
              <w:tab/>
            </w:r>
            <w:r>
              <w:rPr>
                <w:noProof/>
                <w:webHidden/>
              </w:rPr>
              <w:fldChar w:fldCharType="begin"/>
            </w:r>
            <w:r>
              <w:rPr>
                <w:noProof/>
                <w:webHidden/>
              </w:rPr>
              <w:instrText xml:space="preserve"> PAGEREF _Toc54423939 \h </w:instrText>
            </w:r>
            <w:r>
              <w:rPr>
                <w:noProof/>
                <w:webHidden/>
              </w:rPr>
            </w:r>
            <w:r>
              <w:rPr>
                <w:noProof/>
                <w:webHidden/>
              </w:rPr>
              <w:fldChar w:fldCharType="separate"/>
            </w:r>
            <w:r>
              <w:rPr>
                <w:noProof/>
                <w:webHidden/>
              </w:rPr>
              <w:t>269</w:t>
            </w:r>
            <w:r>
              <w:rPr>
                <w:noProof/>
                <w:webHidden/>
              </w:rPr>
              <w:fldChar w:fldCharType="end"/>
            </w:r>
          </w:hyperlink>
        </w:p>
        <w:p w14:paraId="7EEF2FB2" w14:textId="3B488EE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40" w:history="1">
            <w:r w:rsidRPr="00265A01">
              <w:rPr>
                <w:rStyle w:val="a9"/>
                <w:noProof/>
                <w:spacing w:val="-1"/>
                <w:w w:val="113"/>
              </w:rPr>
              <w:t>9.3.10.</w:t>
            </w:r>
            <w:r>
              <w:rPr>
                <w:rFonts w:asciiTheme="minorHAnsi" w:eastAsiaTheme="minorEastAsia" w:hAnsiTheme="minorHAnsi" w:cstheme="minorBidi"/>
                <w:noProof/>
                <w:kern w:val="2"/>
                <w:szCs w:val="22"/>
                <w:lang w:eastAsia="zh-CN"/>
              </w:rPr>
              <w:tab/>
            </w:r>
            <w:r w:rsidRPr="00265A01">
              <w:rPr>
                <w:rStyle w:val="a9"/>
                <w:noProof/>
                <w:spacing w:val="-3"/>
                <w:w w:val="115"/>
              </w:rPr>
              <w:t>Add</w:t>
            </w:r>
            <w:r w:rsidRPr="00265A01">
              <w:rPr>
                <w:rStyle w:val="a9"/>
                <w:noProof/>
                <w:spacing w:val="-13"/>
                <w:w w:val="115"/>
              </w:rPr>
              <w:t xml:space="preserve"> </w:t>
            </w:r>
            <w:r w:rsidRPr="00265A01">
              <w:rPr>
                <w:rStyle w:val="a9"/>
                <w:noProof/>
                <w:w w:val="115"/>
              </w:rPr>
              <w:t>a</w:t>
            </w:r>
            <w:r w:rsidRPr="00265A01">
              <w:rPr>
                <w:rStyle w:val="a9"/>
                <w:noProof/>
                <w:spacing w:val="-12"/>
                <w:w w:val="115"/>
              </w:rPr>
              <w:t xml:space="preserve"> </w:t>
            </w:r>
            <w:r w:rsidRPr="00265A01">
              <w:rPr>
                <w:rStyle w:val="a9"/>
                <w:noProof/>
                <w:w w:val="115"/>
              </w:rPr>
              <w:t>Servlet,</w:t>
            </w:r>
            <w:r w:rsidRPr="00265A01">
              <w:rPr>
                <w:rStyle w:val="a9"/>
                <w:noProof/>
                <w:spacing w:val="-13"/>
                <w:w w:val="115"/>
              </w:rPr>
              <w:t xml:space="preserve"> </w:t>
            </w:r>
            <w:r w:rsidRPr="00265A01">
              <w:rPr>
                <w:rStyle w:val="a9"/>
                <w:noProof/>
                <w:w w:val="115"/>
              </w:rPr>
              <w:t>Filter,</w:t>
            </w:r>
            <w:r w:rsidRPr="00265A01">
              <w:rPr>
                <w:rStyle w:val="a9"/>
                <w:noProof/>
                <w:spacing w:val="-12"/>
                <w:w w:val="115"/>
              </w:rPr>
              <w:t xml:space="preserve"> </w:t>
            </w:r>
            <w:r w:rsidRPr="00265A01">
              <w:rPr>
                <w:rStyle w:val="a9"/>
                <w:noProof/>
                <w:w w:val="115"/>
              </w:rPr>
              <w:t>or</w:t>
            </w:r>
            <w:r w:rsidRPr="00265A01">
              <w:rPr>
                <w:rStyle w:val="a9"/>
                <w:noProof/>
                <w:spacing w:val="-13"/>
                <w:w w:val="115"/>
              </w:rPr>
              <w:t xml:space="preserve"> </w:t>
            </w:r>
            <w:r w:rsidRPr="00265A01">
              <w:rPr>
                <w:rStyle w:val="a9"/>
                <w:noProof/>
                <w:w w:val="115"/>
              </w:rPr>
              <w:t>Listener</w:t>
            </w:r>
            <w:r w:rsidRPr="00265A01">
              <w:rPr>
                <w:rStyle w:val="a9"/>
                <w:noProof/>
                <w:spacing w:val="-13"/>
                <w:w w:val="115"/>
              </w:rPr>
              <w:t xml:space="preserve"> </w:t>
            </w:r>
            <w:r w:rsidRPr="00265A01">
              <w:rPr>
                <w:rStyle w:val="a9"/>
                <w:noProof/>
                <w:w w:val="115"/>
              </w:rPr>
              <w:t>to</w:t>
            </w:r>
            <w:r w:rsidRPr="00265A01">
              <w:rPr>
                <w:rStyle w:val="a9"/>
                <w:noProof/>
                <w:spacing w:val="-13"/>
                <w:w w:val="115"/>
              </w:rPr>
              <w:t xml:space="preserve"> </w:t>
            </w:r>
            <w:r w:rsidRPr="00265A01">
              <w:rPr>
                <w:rStyle w:val="a9"/>
                <w:noProof/>
                <w:w w:val="115"/>
              </w:rPr>
              <w:t>an</w:t>
            </w:r>
            <w:r w:rsidRPr="00265A01">
              <w:rPr>
                <w:rStyle w:val="a9"/>
                <w:noProof/>
                <w:spacing w:val="-12"/>
                <w:w w:val="115"/>
              </w:rPr>
              <w:t xml:space="preserve"> </w:t>
            </w:r>
            <w:r w:rsidRPr="00265A01">
              <w:rPr>
                <w:rStyle w:val="a9"/>
                <w:noProof/>
                <w:w w:val="115"/>
              </w:rPr>
              <w:t>Application</w:t>
            </w:r>
            <w:r>
              <w:rPr>
                <w:noProof/>
                <w:webHidden/>
              </w:rPr>
              <w:tab/>
            </w:r>
            <w:r>
              <w:rPr>
                <w:noProof/>
                <w:webHidden/>
              </w:rPr>
              <w:fldChar w:fldCharType="begin"/>
            </w:r>
            <w:r>
              <w:rPr>
                <w:noProof/>
                <w:webHidden/>
              </w:rPr>
              <w:instrText xml:space="preserve"> PAGEREF _Toc54423940 \h </w:instrText>
            </w:r>
            <w:r>
              <w:rPr>
                <w:noProof/>
                <w:webHidden/>
              </w:rPr>
            </w:r>
            <w:r>
              <w:rPr>
                <w:noProof/>
                <w:webHidden/>
              </w:rPr>
              <w:fldChar w:fldCharType="separate"/>
            </w:r>
            <w:r>
              <w:rPr>
                <w:noProof/>
                <w:webHidden/>
              </w:rPr>
              <w:t>269</w:t>
            </w:r>
            <w:r>
              <w:rPr>
                <w:noProof/>
                <w:webHidden/>
              </w:rPr>
              <w:fldChar w:fldCharType="end"/>
            </w:r>
          </w:hyperlink>
        </w:p>
        <w:p w14:paraId="3905B334" w14:textId="7B8EFAAC"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41" w:history="1">
            <w:r w:rsidRPr="00265A01">
              <w:rPr>
                <w:rStyle w:val="a9"/>
                <w:noProof/>
                <w:spacing w:val="-1"/>
                <w:w w:val="113"/>
              </w:rPr>
              <w:t>9.3.11.</w:t>
            </w:r>
            <w:r>
              <w:rPr>
                <w:rFonts w:asciiTheme="minorHAnsi" w:eastAsiaTheme="minorEastAsia" w:hAnsiTheme="minorHAnsi" w:cstheme="minorBidi"/>
                <w:noProof/>
                <w:kern w:val="2"/>
                <w:szCs w:val="22"/>
                <w:lang w:eastAsia="zh-CN"/>
              </w:rPr>
              <w:tab/>
            </w:r>
            <w:r w:rsidRPr="00265A01">
              <w:rPr>
                <w:rStyle w:val="a9"/>
                <w:noProof/>
                <w:w w:val="110"/>
              </w:rPr>
              <w:t>Configure Access</w:t>
            </w:r>
            <w:r w:rsidRPr="00265A01">
              <w:rPr>
                <w:rStyle w:val="a9"/>
                <w:noProof/>
                <w:spacing w:val="-14"/>
                <w:w w:val="110"/>
              </w:rPr>
              <w:t xml:space="preserve"> </w:t>
            </w:r>
            <w:r w:rsidRPr="00265A01">
              <w:rPr>
                <w:rStyle w:val="a9"/>
                <w:noProof/>
                <w:w w:val="110"/>
              </w:rPr>
              <w:t>Logging</w:t>
            </w:r>
            <w:r>
              <w:rPr>
                <w:noProof/>
                <w:webHidden/>
              </w:rPr>
              <w:tab/>
            </w:r>
            <w:r>
              <w:rPr>
                <w:noProof/>
                <w:webHidden/>
              </w:rPr>
              <w:fldChar w:fldCharType="begin"/>
            </w:r>
            <w:r>
              <w:rPr>
                <w:noProof/>
                <w:webHidden/>
              </w:rPr>
              <w:instrText xml:space="preserve"> PAGEREF _Toc54423941 \h </w:instrText>
            </w:r>
            <w:r>
              <w:rPr>
                <w:noProof/>
                <w:webHidden/>
              </w:rPr>
            </w:r>
            <w:r>
              <w:rPr>
                <w:noProof/>
                <w:webHidden/>
              </w:rPr>
              <w:fldChar w:fldCharType="separate"/>
            </w:r>
            <w:r>
              <w:rPr>
                <w:noProof/>
                <w:webHidden/>
              </w:rPr>
              <w:t>269</w:t>
            </w:r>
            <w:r>
              <w:rPr>
                <w:noProof/>
                <w:webHidden/>
              </w:rPr>
              <w:fldChar w:fldCharType="end"/>
            </w:r>
          </w:hyperlink>
        </w:p>
        <w:p w14:paraId="2AB8AF54" w14:textId="535C947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42" w:history="1">
            <w:r w:rsidRPr="00265A01">
              <w:rPr>
                <w:rStyle w:val="a9"/>
                <w:noProof/>
                <w:spacing w:val="-1"/>
                <w:w w:val="113"/>
              </w:rPr>
              <w:t>9.3.12.</w:t>
            </w:r>
            <w:r>
              <w:rPr>
                <w:rFonts w:asciiTheme="minorHAnsi" w:eastAsiaTheme="minorEastAsia" w:hAnsiTheme="minorHAnsi" w:cstheme="minorBidi"/>
                <w:noProof/>
                <w:kern w:val="2"/>
                <w:szCs w:val="22"/>
                <w:lang w:eastAsia="zh-CN"/>
              </w:rPr>
              <w:tab/>
            </w:r>
            <w:r w:rsidRPr="00265A01">
              <w:rPr>
                <w:rStyle w:val="a9"/>
                <w:noProof/>
                <w:w w:val="110"/>
              </w:rPr>
              <w:t>Running Behind a Front-end Proxy</w:t>
            </w:r>
            <w:r w:rsidRPr="00265A01">
              <w:rPr>
                <w:rStyle w:val="a9"/>
                <w:noProof/>
                <w:spacing w:val="-23"/>
                <w:w w:val="110"/>
              </w:rPr>
              <w:t xml:space="preserve"> </w:t>
            </w:r>
            <w:r w:rsidRPr="00265A01">
              <w:rPr>
                <w:rStyle w:val="a9"/>
                <w:noProof/>
                <w:w w:val="110"/>
              </w:rPr>
              <w:t>Server</w:t>
            </w:r>
            <w:r>
              <w:rPr>
                <w:noProof/>
                <w:webHidden/>
              </w:rPr>
              <w:tab/>
            </w:r>
            <w:r>
              <w:rPr>
                <w:noProof/>
                <w:webHidden/>
              </w:rPr>
              <w:fldChar w:fldCharType="begin"/>
            </w:r>
            <w:r>
              <w:rPr>
                <w:noProof/>
                <w:webHidden/>
              </w:rPr>
              <w:instrText xml:space="preserve"> PAGEREF _Toc54423942 \h </w:instrText>
            </w:r>
            <w:r>
              <w:rPr>
                <w:noProof/>
                <w:webHidden/>
              </w:rPr>
            </w:r>
            <w:r>
              <w:rPr>
                <w:noProof/>
                <w:webHidden/>
              </w:rPr>
              <w:fldChar w:fldCharType="separate"/>
            </w:r>
            <w:r>
              <w:rPr>
                <w:noProof/>
                <w:webHidden/>
              </w:rPr>
              <w:t>269</w:t>
            </w:r>
            <w:r>
              <w:rPr>
                <w:noProof/>
                <w:webHidden/>
              </w:rPr>
              <w:fldChar w:fldCharType="end"/>
            </w:r>
          </w:hyperlink>
        </w:p>
        <w:p w14:paraId="0A2AF067" w14:textId="194364B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43" w:history="1">
            <w:r w:rsidRPr="00265A01">
              <w:rPr>
                <w:rStyle w:val="a9"/>
                <w:noProof/>
                <w:spacing w:val="-1"/>
                <w:w w:val="113"/>
              </w:rPr>
              <w:t>9.3.13.</w:t>
            </w:r>
            <w:r>
              <w:rPr>
                <w:rFonts w:asciiTheme="minorHAnsi" w:eastAsiaTheme="minorEastAsia" w:hAnsiTheme="minorHAnsi" w:cstheme="minorBidi"/>
                <w:noProof/>
                <w:kern w:val="2"/>
                <w:szCs w:val="22"/>
                <w:lang w:eastAsia="zh-CN"/>
              </w:rPr>
              <w:tab/>
            </w:r>
            <w:r w:rsidRPr="00265A01">
              <w:rPr>
                <w:rStyle w:val="a9"/>
                <w:noProof/>
                <w:w w:val="110"/>
              </w:rPr>
              <w:t>Enable Multiple Connectors with</w:t>
            </w:r>
            <w:r w:rsidRPr="00265A01">
              <w:rPr>
                <w:rStyle w:val="a9"/>
                <w:noProof/>
                <w:spacing w:val="-24"/>
                <w:w w:val="110"/>
              </w:rPr>
              <w:t xml:space="preserve"> </w:t>
            </w:r>
            <w:r w:rsidRPr="00265A01">
              <w:rPr>
                <w:rStyle w:val="a9"/>
                <w:noProof/>
                <w:spacing w:val="-3"/>
                <w:w w:val="110"/>
              </w:rPr>
              <w:t>Tomcat</w:t>
            </w:r>
            <w:r>
              <w:rPr>
                <w:noProof/>
                <w:webHidden/>
              </w:rPr>
              <w:tab/>
            </w:r>
            <w:r>
              <w:rPr>
                <w:noProof/>
                <w:webHidden/>
              </w:rPr>
              <w:fldChar w:fldCharType="begin"/>
            </w:r>
            <w:r>
              <w:rPr>
                <w:noProof/>
                <w:webHidden/>
              </w:rPr>
              <w:instrText xml:space="preserve"> PAGEREF _Toc54423943 \h </w:instrText>
            </w:r>
            <w:r>
              <w:rPr>
                <w:noProof/>
                <w:webHidden/>
              </w:rPr>
            </w:r>
            <w:r>
              <w:rPr>
                <w:noProof/>
                <w:webHidden/>
              </w:rPr>
              <w:fldChar w:fldCharType="separate"/>
            </w:r>
            <w:r>
              <w:rPr>
                <w:noProof/>
                <w:webHidden/>
              </w:rPr>
              <w:t>269</w:t>
            </w:r>
            <w:r>
              <w:rPr>
                <w:noProof/>
                <w:webHidden/>
              </w:rPr>
              <w:fldChar w:fldCharType="end"/>
            </w:r>
          </w:hyperlink>
        </w:p>
        <w:p w14:paraId="2C554C74" w14:textId="77CA5CC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44" w:history="1">
            <w:r w:rsidRPr="00265A01">
              <w:rPr>
                <w:rStyle w:val="a9"/>
                <w:noProof/>
                <w:spacing w:val="-1"/>
                <w:w w:val="113"/>
              </w:rPr>
              <w:t>9.3.14.</w:t>
            </w:r>
            <w:r>
              <w:rPr>
                <w:rFonts w:asciiTheme="minorHAnsi" w:eastAsiaTheme="minorEastAsia" w:hAnsiTheme="minorHAnsi" w:cstheme="minorBidi"/>
                <w:noProof/>
                <w:kern w:val="2"/>
                <w:szCs w:val="22"/>
                <w:lang w:eastAsia="zh-CN"/>
              </w:rPr>
              <w:tab/>
            </w:r>
            <w:r w:rsidRPr="00265A01">
              <w:rPr>
                <w:rStyle w:val="a9"/>
                <w:noProof/>
                <w:w w:val="110"/>
              </w:rPr>
              <w:t>Use Tomcat’s</w:t>
            </w:r>
            <w:r w:rsidRPr="00265A01">
              <w:rPr>
                <w:rStyle w:val="a9"/>
                <w:noProof/>
                <w:spacing w:val="-11"/>
                <w:w w:val="110"/>
              </w:rPr>
              <w:t xml:space="preserve"> </w:t>
            </w:r>
            <w:r w:rsidRPr="00265A01">
              <w:rPr>
                <w:rStyle w:val="a9"/>
                <w:noProof/>
                <w:w w:val="110"/>
              </w:rPr>
              <w:t>LegacyCookieProcessor</w:t>
            </w:r>
            <w:r>
              <w:rPr>
                <w:noProof/>
                <w:webHidden/>
              </w:rPr>
              <w:tab/>
            </w:r>
            <w:r>
              <w:rPr>
                <w:noProof/>
                <w:webHidden/>
              </w:rPr>
              <w:fldChar w:fldCharType="begin"/>
            </w:r>
            <w:r>
              <w:rPr>
                <w:noProof/>
                <w:webHidden/>
              </w:rPr>
              <w:instrText xml:space="preserve"> PAGEREF _Toc54423944 \h </w:instrText>
            </w:r>
            <w:r>
              <w:rPr>
                <w:noProof/>
                <w:webHidden/>
              </w:rPr>
            </w:r>
            <w:r>
              <w:rPr>
                <w:noProof/>
                <w:webHidden/>
              </w:rPr>
              <w:fldChar w:fldCharType="separate"/>
            </w:r>
            <w:r>
              <w:rPr>
                <w:noProof/>
                <w:webHidden/>
              </w:rPr>
              <w:t>269</w:t>
            </w:r>
            <w:r>
              <w:rPr>
                <w:noProof/>
                <w:webHidden/>
              </w:rPr>
              <w:fldChar w:fldCharType="end"/>
            </w:r>
          </w:hyperlink>
        </w:p>
        <w:p w14:paraId="5F62B7FC" w14:textId="3944127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45" w:history="1">
            <w:r w:rsidRPr="00265A01">
              <w:rPr>
                <w:rStyle w:val="a9"/>
                <w:noProof/>
                <w:spacing w:val="-1"/>
                <w:w w:val="113"/>
              </w:rPr>
              <w:t>9.3.15.</w:t>
            </w:r>
            <w:r>
              <w:rPr>
                <w:rFonts w:asciiTheme="minorHAnsi" w:eastAsiaTheme="minorEastAsia" w:hAnsiTheme="minorHAnsi" w:cstheme="minorBidi"/>
                <w:noProof/>
                <w:kern w:val="2"/>
                <w:szCs w:val="22"/>
                <w:lang w:eastAsia="zh-CN"/>
              </w:rPr>
              <w:tab/>
            </w:r>
            <w:r w:rsidRPr="00265A01">
              <w:rPr>
                <w:rStyle w:val="a9"/>
                <w:noProof/>
                <w:w w:val="110"/>
              </w:rPr>
              <w:t>Enable Tomcat’s MBean</w:t>
            </w:r>
            <w:r w:rsidRPr="00265A01">
              <w:rPr>
                <w:rStyle w:val="a9"/>
                <w:noProof/>
                <w:spacing w:val="-18"/>
                <w:w w:val="110"/>
              </w:rPr>
              <w:t xml:space="preserve"> </w:t>
            </w:r>
            <w:r w:rsidRPr="00265A01">
              <w:rPr>
                <w:rStyle w:val="a9"/>
                <w:noProof/>
                <w:w w:val="110"/>
              </w:rPr>
              <w:t>Registry</w:t>
            </w:r>
            <w:r>
              <w:rPr>
                <w:noProof/>
                <w:webHidden/>
              </w:rPr>
              <w:tab/>
            </w:r>
            <w:r>
              <w:rPr>
                <w:noProof/>
                <w:webHidden/>
              </w:rPr>
              <w:fldChar w:fldCharType="begin"/>
            </w:r>
            <w:r>
              <w:rPr>
                <w:noProof/>
                <w:webHidden/>
              </w:rPr>
              <w:instrText xml:space="preserve"> PAGEREF _Toc54423945 \h </w:instrText>
            </w:r>
            <w:r>
              <w:rPr>
                <w:noProof/>
                <w:webHidden/>
              </w:rPr>
            </w:r>
            <w:r>
              <w:rPr>
                <w:noProof/>
                <w:webHidden/>
              </w:rPr>
              <w:fldChar w:fldCharType="separate"/>
            </w:r>
            <w:r>
              <w:rPr>
                <w:noProof/>
                <w:webHidden/>
              </w:rPr>
              <w:t>269</w:t>
            </w:r>
            <w:r>
              <w:rPr>
                <w:noProof/>
                <w:webHidden/>
              </w:rPr>
              <w:fldChar w:fldCharType="end"/>
            </w:r>
          </w:hyperlink>
        </w:p>
        <w:p w14:paraId="69392113" w14:textId="01B8150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46" w:history="1">
            <w:r w:rsidRPr="00265A01">
              <w:rPr>
                <w:rStyle w:val="a9"/>
                <w:noProof/>
                <w:spacing w:val="-1"/>
                <w:w w:val="113"/>
              </w:rPr>
              <w:t>9.3.16.</w:t>
            </w:r>
            <w:r>
              <w:rPr>
                <w:rFonts w:asciiTheme="minorHAnsi" w:eastAsiaTheme="minorEastAsia" w:hAnsiTheme="minorHAnsi" w:cstheme="minorBidi"/>
                <w:noProof/>
                <w:kern w:val="2"/>
                <w:szCs w:val="22"/>
                <w:lang w:eastAsia="zh-CN"/>
              </w:rPr>
              <w:tab/>
            </w:r>
            <w:r w:rsidRPr="00265A01">
              <w:rPr>
                <w:rStyle w:val="a9"/>
                <w:noProof/>
                <w:w w:val="110"/>
              </w:rPr>
              <w:t>Enable Multiple Listeners with</w:t>
            </w:r>
            <w:r w:rsidRPr="00265A01">
              <w:rPr>
                <w:rStyle w:val="a9"/>
                <w:noProof/>
                <w:spacing w:val="-25"/>
                <w:w w:val="110"/>
              </w:rPr>
              <w:t xml:space="preserve"> </w:t>
            </w:r>
            <w:r w:rsidRPr="00265A01">
              <w:rPr>
                <w:rStyle w:val="a9"/>
                <w:noProof/>
                <w:w w:val="110"/>
              </w:rPr>
              <w:t>Undertow</w:t>
            </w:r>
            <w:r>
              <w:rPr>
                <w:noProof/>
                <w:webHidden/>
              </w:rPr>
              <w:tab/>
            </w:r>
            <w:r>
              <w:rPr>
                <w:noProof/>
                <w:webHidden/>
              </w:rPr>
              <w:fldChar w:fldCharType="begin"/>
            </w:r>
            <w:r>
              <w:rPr>
                <w:noProof/>
                <w:webHidden/>
              </w:rPr>
              <w:instrText xml:space="preserve"> PAGEREF _Toc54423946 \h </w:instrText>
            </w:r>
            <w:r>
              <w:rPr>
                <w:noProof/>
                <w:webHidden/>
              </w:rPr>
            </w:r>
            <w:r>
              <w:rPr>
                <w:noProof/>
                <w:webHidden/>
              </w:rPr>
              <w:fldChar w:fldCharType="separate"/>
            </w:r>
            <w:r>
              <w:rPr>
                <w:noProof/>
                <w:webHidden/>
              </w:rPr>
              <w:t>269</w:t>
            </w:r>
            <w:r>
              <w:rPr>
                <w:noProof/>
                <w:webHidden/>
              </w:rPr>
              <w:fldChar w:fldCharType="end"/>
            </w:r>
          </w:hyperlink>
        </w:p>
        <w:p w14:paraId="4FB6D0A2" w14:textId="6C6BB9E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47" w:history="1">
            <w:r w:rsidRPr="00265A01">
              <w:rPr>
                <w:rStyle w:val="a9"/>
                <w:noProof/>
                <w:spacing w:val="-1"/>
                <w:w w:val="113"/>
              </w:rPr>
              <w:t>9.3.17.</w:t>
            </w:r>
            <w:r>
              <w:rPr>
                <w:rFonts w:asciiTheme="minorHAnsi" w:eastAsiaTheme="minorEastAsia" w:hAnsiTheme="minorHAnsi" w:cstheme="minorBidi"/>
                <w:noProof/>
                <w:kern w:val="2"/>
                <w:szCs w:val="22"/>
                <w:lang w:eastAsia="zh-CN"/>
              </w:rPr>
              <w:tab/>
            </w:r>
            <w:r w:rsidRPr="00265A01">
              <w:rPr>
                <w:rStyle w:val="a9"/>
                <w:noProof/>
                <w:w w:val="110"/>
              </w:rPr>
              <w:t xml:space="preserve">Create </w:t>
            </w:r>
            <w:r w:rsidRPr="00265A01">
              <w:rPr>
                <w:rStyle w:val="a9"/>
                <w:noProof/>
                <w:spacing w:val="-4"/>
                <w:w w:val="110"/>
              </w:rPr>
              <w:t xml:space="preserve">WebSocket </w:t>
            </w:r>
            <w:r w:rsidRPr="00265A01">
              <w:rPr>
                <w:rStyle w:val="a9"/>
                <w:noProof/>
                <w:w w:val="110"/>
              </w:rPr>
              <w:t>Endpoints Using</w:t>
            </w:r>
            <w:r w:rsidRPr="00265A01">
              <w:rPr>
                <w:rStyle w:val="a9"/>
                <w:noProof/>
                <w:spacing w:val="-18"/>
                <w:w w:val="110"/>
              </w:rPr>
              <w:t xml:space="preserve"> </w:t>
            </w:r>
            <w:r w:rsidRPr="00265A01">
              <w:rPr>
                <w:rStyle w:val="a9"/>
                <w:noProof/>
                <w:w w:val="110"/>
              </w:rPr>
              <w:t>@ServerEndpoint</w:t>
            </w:r>
            <w:r>
              <w:rPr>
                <w:noProof/>
                <w:webHidden/>
              </w:rPr>
              <w:tab/>
            </w:r>
            <w:r>
              <w:rPr>
                <w:noProof/>
                <w:webHidden/>
              </w:rPr>
              <w:fldChar w:fldCharType="begin"/>
            </w:r>
            <w:r>
              <w:rPr>
                <w:noProof/>
                <w:webHidden/>
              </w:rPr>
              <w:instrText xml:space="preserve"> PAGEREF _Toc54423947 \h </w:instrText>
            </w:r>
            <w:r>
              <w:rPr>
                <w:noProof/>
                <w:webHidden/>
              </w:rPr>
            </w:r>
            <w:r>
              <w:rPr>
                <w:noProof/>
                <w:webHidden/>
              </w:rPr>
              <w:fldChar w:fldCharType="separate"/>
            </w:r>
            <w:r>
              <w:rPr>
                <w:noProof/>
                <w:webHidden/>
              </w:rPr>
              <w:t>269</w:t>
            </w:r>
            <w:r>
              <w:rPr>
                <w:noProof/>
                <w:webHidden/>
              </w:rPr>
              <w:fldChar w:fldCharType="end"/>
            </w:r>
          </w:hyperlink>
        </w:p>
        <w:p w14:paraId="336EC4EC" w14:textId="57627939"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48" w:history="1">
            <w:r w:rsidRPr="00265A01">
              <w:rPr>
                <w:rStyle w:val="a9"/>
                <w:noProof/>
                <w:spacing w:val="-1"/>
                <w:w w:val="113"/>
              </w:rPr>
              <w:t>9.4.</w:t>
            </w:r>
            <w:r>
              <w:rPr>
                <w:rFonts w:asciiTheme="minorHAnsi" w:eastAsiaTheme="minorEastAsia" w:hAnsiTheme="minorHAnsi" w:cstheme="minorBidi"/>
                <w:noProof/>
                <w:kern w:val="2"/>
                <w:szCs w:val="22"/>
                <w:lang w:eastAsia="zh-CN"/>
              </w:rPr>
              <w:tab/>
            </w:r>
            <w:r w:rsidRPr="00265A01">
              <w:rPr>
                <w:rStyle w:val="a9"/>
                <w:noProof/>
                <w:w w:val="105"/>
              </w:rPr>
              <w:t>Spring</w:t>
            </w:r>
            <w:r w:rsidRPr="00265A01">
              <w:rPr>
                <w:rStyle w:val="a9"/>
                <w:noProof/>
                <w:spacing w:val="-4"/>
                <w:w w:val="105"/>
              </w:rPr>
              <w:t xml:space="preserve"> </w:t>
            </w:r>
            <w:r w:rsidRPr="00265A01">
              <w:rPr>
                <w:rStyle w:val="a9"/>
                <w:noProof/>
                <w:spacing w:val="-3"/>
                <w:w w:val="105"/>
              </w:rPr>
              <w:t>MVC</w:t>
            </w:r>
            <w:r>
              <w:rPr>
                <w:noProof/>
                <w:webHidden/>
              </w:rPr>
              <w:tab/>
            </w:r>
            <w:r>
              <w:rPr>
                <w:noProof/>
                <w:webHidden/>
              </w:rPr>
              <w:fldChar w:fldCharType="begin"/>
            </w:r>
            <w:r>
              <w:rPr>
                <w:noProof/>
                <w:webHidden/>
              </w:rPr>
              <w:instrText xml:space="preserve"> PAGEREF _Toc54423948 \h </w:instrText>
            </w:r>
            <w:r>
              <w:rPr>
                <w:noProof/>
                <w:webHidden/>
              </w:rPr>
            </w:r>
            <w:r>
              <w:rPr>
                <w:noProof/>
                <w:webHidden/>
              </w:rPr>
              <w:fldChar w:fldCharType="separate"/>
            </w:r>
            <w:r>
              <w:rPr>
                <w:noProof/>
                <w:webHidden/>
              </w:rPr>
              <w:t>269</w:t>
            </w:r>
            <w:r>
              <w:rPr>
                <w:noProof/>
                <w:webHidden/>
              </w:rPr>
              <w:fldChar w:fldCharType="end"/>
            </w:r>
          </w:hyperlink>
        </w:p>
        <w:p w14:paraId="3B85650E" w14:textId="1A280300"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49" w:history="1">
            <w:r w:rsidRPr="00265A01">
              <w:rPr>
                <w:rStyle w:val="a9"/>
                <w:noProof/>
                <w:spacing w:val="-1"/>
                <w:w w:val="113"/>
              </w:rPr>
              <w:t>9.4.1.</w:t>
            </w:r>
            <w:r>
              <w:rPr>
                <w:rFonts w:asciiTheme="minorHAnsi" w:eastAsiaTheme="minorEastAsia" w:hAnsiTheme="minorHAnsi" w:cstheme="minorBidi"/>
                <w:noProof/>
                <w:kern w:val="2"/>
                <w:szCs w:val="22"/>
                <w:lang w:eastAsia="zh-CN"/>
              </w:rPr>
              <w:tab/>
            </w:r>
            <w:r w:rsidRPr="00265A01">
              <w:rPr>
                <w:rStyle w:val="a9"/>
                <w:noProof/>
                <w:w w:val="105"/>
              </w:rPr>
              <w:t>Write a JSON REST</w:t>
            </w:r>
            <w:r w:rsidRPr="00265A01">
              <w:rPr>
                <w:rStyle w:val="a9"/>
                <w:noProof/>
                <w:spacing w:val="-7"/>
                <w:w w:val="105"/>
              </w:rPr>
              <w:t xml:space="preserve"> </w:t>
            </w:r>
            <w:r w:rsidRPr="00265A01">
              <w:rPr>
                <w:rStyle w:val="a9"/>
                <w:noProof/>
                <w:w w:val="105"/>
              </w:rPr>
              <w:t>Service</w:t>
            </w:r>
            <w:r>
              <w:rPr>
                <w:noProof/>
                <w:webHidden/>
              </w:rPr>
              <w:tab/>
            </w:r>
            <w:r>
              <w:rPr>
                <w:noProof/>
                <w:webHidden/>
              </w:rPr>
              <w:fldChar w:fldCharType="begin"/>
            </w:r>
            <w:r>
              <w:rPr>
                <w:noProof/>
                <w:webHidden/>
              </w:rPr>
              <w:instrText xml:space="preserve"> PAGEREF _Toc54423949 \h </w:instrText>
            </w:r>
            <w:r>
              <w:rPr>
                <w:noProof/>
                <w:webHidden/>
              </w:rPr>
            </w:r>
            <w:r>
              <w:rPr>
                <w:noProof/>
                <w:webHidden/>
              </w:rPr>
              <w:fldChar w:fldCharType="separate"/>
            </w:r>
            <w:r>
              <w:rPr>
                <w:noProof/>
                <w:webHidden/>
              </w:rPr>
              <w:t>269</w:t>
            </w:r>
            <w:r>
              <w:rPr>
                <w:noProof/>
                <w:webHidden/>
              </w:rPr>
              <w:fldChar w:fldCharType="end"/>
            </w:r>
          </w:hyperlink>
        </w:p>
        <w:p w14:paraId="0782A354" w14:textId="1D0A287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50" w:history="1">
            <w:r w:rsidRPr="00265A01">
              <w:rPr>
                <w:rStyle w:val="a9"/>
                <w:noProof/>
                <w:spacing w:val="-1"/>
                <w:w w:val="113"/>
              </w:rPr>
              <w:t>9.4.2.</w:t>
            </w:r>
            <w:r>
              <w:rPr>
                <w:rFonts w:asciiTheme="minorHAnsi" w:eastAsiaTheme="minorEastAsia" w:hAnsiTheme="minorHAnsi" w:cstheme="minorBidi"/>
                <w:noProof/>
                <w:kern w:val="2"/>
                <w:szCs w:val="22"/>
                <w:lang w:eastAsia="zh-CN"/>
              </w:rPr>
              <w:tab/>
            </w:r>
            <w:r w:rsidRPr="00265A01">
              <w:rPr>
                <w:rStyle w:val="a9"/>
                <w:noProof/>
                <w:w w:val="110"/>
              </w:rPr>
              <w:t>Write an XML REST</w:t>
            </w:r>
            <w:r w:rsidRPr="00265A01">
              <w:rPr>
                <w:rStyle w:val="a9"/>
                <w:noProof/>
                <w:spacing w:val="-25"/>
                <w:w w:val="110"/>
              </w:rPr>
              <w:t xml:space="preserve"> </w:t>
            </w:r>
            <w:r w:rsidRPr="00265A01">
              <w:rPr>
                <w:rStyle w:val="a9"/>
                <w:noProof/>
                <w:w w:val="110"/>
              </w:rPr>
              <w:t>Service</w:t>
            </w:r>
            <w:r>
              <w:rPr>
                <w:noProof/>
                <w:webHidden/>
              </w:rPr>
              <w:tab/>
            </w:r>
            <w:r>
              <w:rPr>
                <w:noProof/>
                <w:webHidden/>
              </w:rPr>
              <w:fldChar w:fldCharType="begin"/>
            </w:r>
            <w:r>
              <w:rPr>
                <w:noProof/>
                <w:webHidden/>
              </w:rPr>
              <w:instrText xml:space="preserve"> PAGEREF _Toc54423950 \h </w:instrText>
            </w:r>
            <w:r>
              <w:rPr>
                <w:noProof/>
                <w:webHidden/>
              </w:rPr>
            </w:r>
            <w:r>
              <w:rPr>
                <w:noProof/>
                <w:webHidden/>
              </w:rPr>
              <w:fldChar w:fldCharType="separate"/>
            </w:r>
            <w:r>
              <w:rPr>
                <w:noProof/>
                <w:webHidden/>
              </w:rPr>
              <w:t>269</w:t>
            </w:r>
            <w:r>
              <w:rPr>
                <w:noProof/>
                <w:webHidden/>
              </w:rPr>
              <w:fldChar w:fldCharType="end"/>
            </w:r>
          </w:hyperlink>
        </w:p>
        <w:p w14:paraId="39C08DCE" w14:textId="6A99022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51" w:history="1">
            <w:r w:rsidRPr="00265A01">
              <w:rPr>
                <w:rStyle w:val="a9"/>
                <w:noProof/>
                <w:spacing w:val="-1"/>
                <w:w w:val="113"/>
              </w:rPr>
              <w:t>9.4.3.</w:t>
            </w:r>
            <w:r>
              <w:rPr>
                <w:rFonts w:asciiTheme="minorHAnsi" w:eastAsiaTheme="minorEastAsia" w:hAnsiTheme="minorHAnsi" w:cstheme="minorBidi"/>
                <w:noProof/>
                <w:kern w:val="2"/>
                <w:szCs w:val="22"/>
                <w:lang w:eastAsia="zh-CN"/>
              </w:rPr>
              <w:tab/>
            </w:r>
            <w:r w:rsidRPr="00265A01">
              <w:rPr>
                <w:rStyle w:val="a9"/>
                <w:noProof/>
                <w:w w:val="110"/>
              </w:rPr>
              <w:t>Customize the Jackson</w:t>
            </w:r>
            <w:r w:rsidRPr="00265A01">
              <w:rPr>
                <w:rStyle w:val="a9"/>
                <w:noProof/>
                <w:spacing w:val="-19"/>
                <w:w w:val="110"/>
              </w:rPr>
              <w:t xml:space="preserve"> </w:t>
            </w:r>
            <w:r w:rsidRPr="00265A01">
              <w:rPr>
                <w:rStyle w:val="a9"/>
                <w:noProof/>
                <w:w w:val="110"/>
              </w:rPr>
              <w:t>ObjectMapper</w:t>
            </w:r>
            <w:r>
              <w:rPr>
                <w:noProof/>
                <w:webHidden/>
              </w:rPr>
              <w:tab/>
            </w:r>
            <w:r>
              <w:rPr>
                <w:noProof/>
                <w:webHidden/>
              </w:rPr>
              <w:fldChar w:fldCharType="begin"/>
            </w:r>
            <w:r>
              <w:rPr>
                <w:noProof/>
                <w:webHidden/>
              </w:rPr>
              <w:instrText xml:space="preserve"> PAGEREF _Toc54423951 \h </w:instrText>
            </w:r>
            <w:r>
              <w:rPr>
                <w:noProof/>
                <w:webHidden/>
              </w:rPr>
            </w:r>
            <w:r>
              <w:rPr>
                <w:noProof/>
                <w:webHidden/>
              </w:rPr>
              <w:fldChar w:fldCharType="separate"/>
            </w:r>
            <w:r>
              <w:rPr>
                <w:noProof/>
                <w:webHidden/>
              </w:rPr>
              <w:t>269</w:t>
            </w:r>
            <w:r>
              <w:rPr>
                <w:noProof/>
                <w:webHidden/>
              </w:rPr>
              <w:fldChar w:fldCharType="end"/>
            </w:r>
          </w:hyperlink>
        </w:p>
        <w:p w14:paraId="2B0CEBD5" w14:textId="0A103E1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52" w:history="1">
            <w:r w:rsidRPr="00265A01">
              <w:rPr>
                <w:rStyle w:val="a9"/>
                <w:noProof/>
                <w:spacing w:val="-1"/>
                <w:w w:val="113"/>
              </w:rPr>
              <w:t>9.4.4.</w:t>
            </w:r>
            <w:r>
              <w:rPr>
                <w:rFonts w:asciiTheme="minorHAnsi" w:eastAsiaTheme="minorEastAsia" w:hAnsiTheme="minorHAnsi" w:cstheme="minorBidi"/>
                <w:noProof/>
                <w:kern w:val="2"/>
                <w:szCs w:val="22"/>
                <w:lang w:eastAsia="zh-CN"/>
              </w:rPr>
              <w:tab/>
            </w:r>
            <w:r w:rsidRPr="00265A01">
              <w:rPr>
                <w:rStyle w:val="a9"/>
                <w:noProof/>
                <w:w w:val="110"/>
              </w:rPr>
              <w:t>Customize the @ResponseBody</w:t>
            </w:r>
            <w:r w:rsidRPr="00265A01">
              <w:rPr>
                <w:rStyle w:val="a9"/>
                <w:noProof/>
                <w:spacing w:val="-19"/>
                <w:w w:val="110"/>
              </w:rPr>
              <w:t xml:space="preserve"> </w:t>
            </w:r>
            <w:r w:rsidRPr="00265A01">
              <w:rPr>
                <w:rStyle w:val="a9"/>
                <w:noProof/>
                <w:w w:val="110"/>
              </w:rPr>
              <w:t>Rendering</w:t>
            </w:r>
            <w:r>
              <w:rPr>
                <w:noProof/>
                <w:webHidden/>
              </w:rPr>
              <w:tab/>
            </w:r>
            <w:r>
              <w:rPr>
                <w:noProof/>
                <w:webHidden/>
              </w:rPr>
              <w:fldChar w:fldCharType="begin"/>
            </w:r>
            <w:r>
              <w:rPr>
                <w:noProof/>
                <w:webHidden/>
              </w:rPr>
              <w:instrText xml:space="preserve"> PAGEREF _Toc54423952 \h </w:instrText>
            </w:r>
            <w:r>
              <w:rPr>
                <w:noProof/>
                <w:webHidden/>
              </w:rPr>
            </w:r>
            <w:r>
              <w:rPr>
                <w:noProof/>
                <w:webHidden/>
              </w:rPr>
              <w:fldChar w:fldCharType="separate"/>
            </w:r>
            <w:r>
              <w:rPr>
                <w:noProof/>
                <w:webHidden/>
              </w:rPr>
              <w:t>269</w:t>
            </w:r>
            <w:r>
              <w:rPr>
                <w:noProof/>
                <w:webHidden/>
              </w:rPr>
              <w:fldChar w:fldCharType="end"/>
            </w:r>
          </w:hyperlink>
        </w:p>
        <w:p w14:paraId="29C0159C" w14:textId="42CFA2E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53" w:history="1">
            <w:r w:rsidRPr="00265A01">
              <w:rPr>
                <w:rStyle w:val="a9"/>
                <w:noProof/>
                <w:spacing w:val="-1"/>
                <w:w w:val="113"/>
              </w:rPr>
              <w:t>9.4.5.</w:t>
            </w:r>
            <w:r>
              <w:rPr>
                <w:rFonts w:asciiTheme="minorHAnsi" w:eastAsiaTheme="minorEastAsia" w:hAnsiTheme="minorHAnsi" w:cstheme="minorBidi"/>
                <w:noProof/>
                <w:kern w:val="2"/>
                <w:szCs w:val="22"/>
                <w:lang w:eastAsia="zh-CN"/>
              </w:rPr>
              <w:tab/>
            </w:r>
            <w:r w:rsidRPr="00265A01">
              <w:rPr>
                <w:rStyle w:val="a9"/>
                <w:noProof/>
                <w:w w:val="110"/>
              </w:rPr>
              <w:t>Handling Multipart File</w:t>
            </w:r>
            <w:r w:rsidRPr="00265A01">
              <w:rPr>
                <w:rStyle w:val="a9"/>
                <w:noProof/>
                <w:spacing w:val="-19"/>
                <w:w w:val="110"/>
              </w:rPr>
              <w:t xml:space="preserve"> </w:t>
            </w:r>
            <w:r w:rsidRPr="00265A01">
              <w:rPr>
                <w:rStyle w:val="a9"/>
                <w:noProof/>
                <w:w w:val="110"/>
              </w:rPr>
              <w:t>Uploads</w:t>
            </w:r>
            <w:r>
              <w:rPr>
                <w:noProof/>
                <w:webHidden/>
              </w:rPr>
              <w:tab/>
            </w:r>
            <w:r>
              <w:rPr>
                <w:noProof/>
                <w:webHidden/>
              </w:rPr>
              <w:fldChar w:fldCharType="begin"/>
            </w:r>
            <w:r>
              <w:rPr>
                <w:noProof/>
                <w:webHidden/>
              </w:rPr>
              <w:instrText xml:space="preserve"> PAGEREF _Toc54423953 \h </w:instrText>
            </w:r>
            <w:r>
              <w:rPr>
                <w:noProof/>
                <w:webHidden/>
              </w:rPr>
            </w:r>
            <w:r>
              <w:rPr>
                <w:noProof/>
                <w:webHidden/>
              </w:rPr>
              <w:fldChar w:fldCharType="separate"/>
            </w:r>
            <w:r>
              <w:rPr>
                <w:noProof/>
                <w:webHidden/>
              </w:rPr>
              <w:t>269</w:t>
            </w:r>
            <w:r>
              <w:rPr>
                <w:noProof/>
                <w:webHidden/>
              </w:rPr>
              <w:fldChar w:fldCharType="end"/>
            </w:r>
          </w:hyperlink>
        </w:p>
        <w:p w14:paraId="4909C33C" w14:textId="7A9604B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54" w:history="1">
            <w:r w:rsidRPr="00265A01">
              <w:rPr>
                <w:rStyle w:val="a9"/>
                <w:noProof/>
                <w:spacing w:val="-1"/>
                <w:w w:val="113"/>
              </w:rPr>
              <w:t>9.4.6.</w:t>
            </w:r>
            <w:r>
              <w:rPr>
                <w:rFonts w:asciiTheme="minorHAnsi" w:eastAsiaTheme="minorEastAsia" w:hAnsiTheme="minorHAnsi" w:cstheme="minorBidi"/>
                <w:noProof/>
                <w:kern w:val="2"/>
                <w:szCs w:val="22"/>
                <w:lang w:eastAsia="zh-CN"/>
              </w:rPr>
              <w:tab/>
            </w:r>
            <w:r w:rsidRPr="00265A01">
              <w:rPr>
                <w:rStyle w:val="a9"/>
                <w:noProof/>
                <w:w w:val="105"/>
              </w:rPr>
              <w:t xml:space="preserve">Switch Off the Spring </w:t>
            </w:r>
            <w:r w:rsidRPr="00265A01">
              <w:rPr>
                <w:rStyle w:val="a9"/>
                <w:noProof/>
                <w:spacing w:val="-3"/>
                <w:w w:val="105"/>
              </w:rPr>
              <w:t>MVC</w:t>
            </w:r>
            <w:r w:rsidRPr="00265A01">
              <w:rPr>
                <w:rStyle w:val="a9"/>
                <w:noProof/>
                <w:spacing w:val="-5"/>
                <w:w w:val="105"/>
              </w:rPr>
              <w:t xml:space="preserve"> </w:t>
            </w:r>
            <w:r w:rsidRPr="00265A01">
              <w:rPr>
                <w:rStyle w:val="a9"/>
                <w:noProof/>
                <w:w w:val="105"/>
              </w:rPr>
              <w:t>DispatcherServlet</w:t>
            </w:r>
            <w:r>
              <w:rPr>
                <w:noProof/>
                <w:webHidden/>
              </w:rPr>
              <w:tab/>
            </w:r>
            <w:r>
              <w:rPr>
                <w:noProof/>
                <w:webHidden/>
              </w:rPr>
              <w:fldChar w:fldCharType="begin"/>
            </w:r>
            <w:r>
              <w:rPr>
                <w:noProof/>
                <w:webHidden/>
              </w:rPr>
              <w:instrText xml:space="preserve"> PAGEREF _Toc54423954 \h </w:instrText>
            </w:r>
            <w:r>
              <w:rPr>
                <w:noProof/>
                <w:webHidden/>
              </w:rPr>
            </w:r>
            <w:r>
              <w:rPr>
                <w:noProof/>
                <w:webHidden/>
              </w:rPr>
              <w:fldChar w:fldCharType="separate"/>
            </w:r>
            <w:r>
              <w:rPr>
                <w:noProof/>
                <w:webHidden/>
              </w:rPr>
              <w:t>269</w:t>
            </w:r>
            <w:r>
              <w:rPr>
                <w:noProof/>
                <w:webHidden/>
              </w:rPr>
              <w:fldChar w:fldCharType="end"/>
            </w:r>
          </w:hyperlink>
        </w:p>
        <w:p w14:paraId="1693AC2B" w14:textId="631AAD02"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55" w:history="1">
            <w:r w:rsidRPr="00265A01">
              <w:rPr>
                <w:rStyle w:val="a9"/>
                <w:noProof/>
                <w:spacing w:val="-1"/>
                <w:w w:val="113"/>
              </w:rPr>
              <w:t>9.4.7.</w:t>
            </w:r>
            <w:r>
              <w:rPr>
                <w:rFonts w:asciiTheme="minorHAnsi" w:eastAsiaTheme="minorEastAsia" w:hAnsiTheme="minorHAnsi" w:cstheme="minorBidi"/>
                <w:noProof/>
                <w:kern w:val="2"/>
                <w:szCs w:val="22"/>
                <w:lang w:eastAsia="zh-CN"/>
              </w:rPr>
              <w:tab/>
            </w:r>
            <w:r w:rsidRPr="00265A01">
              <w:rPr>
                <w:rStyle w:val="a9"/>
                <w:noProof/>
                <w:w w:val="110"/>
              </w:rPr>
              <w:t xml:space="preserve">Switch off the Default </w:t>
            </w:r>
            <w:r w:rsidRPr="00265A01">
              <w:rPr>
                <w:rStyle w:val="a9"/>
                <w:noProof/>
                <w:spacing w:val="-3"/>
                <w:w w:val="110"/>
              </w:rPr>
              <w:t>MVC</w:t>
            </w:r>
            <w:r w:rsidRPr="00265A01">
              <w:rPr>
                <w:rStyle w:val="a9"/>
                <w:noProof/>
                <w:spacing w:val="-42"/>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_Toc54423955 \h </w:instrText>
            </w:r>
            <w:r>
              <w:rPr>
                <w:noProof/>
                <w:webHidden/>
              </w:rPr>
            </w:r>
            <w:r>
              <w:rPr>
                <w:noProof/>
                <w:webHidden/>
              </w:rPr>
              <w:fldChar w:fldCharType="separate"/>
            </w:r>
            <w:r>
              <w:rPr>
                <w:noProof/>
                <w:webHidden/>
              </w:rPr>
              <w:t>269</w:t>
            </w:r>
            <w:r>
              <w:rPr>
                <w:noProof/>
                <w:webHidden/>
              </w:rPr>
              <w:fldChar w:fldCharType="end"/>
            </w:r>
          </w:hyperlink>
        </w:p>
        <w:p w14:paraId="3A409928" w14:textId="22741A78"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56" w:history="1">
            <w:r w:rsidRPr="00265A01">
              <w:rPr>
                <w:rStyle w:val="a9"/>
                <w:noProof/>
                <w:spacing w:val="-1"/>
                <w:w w:val="113"/>
              </w:rPr>
              <w:t>9.4.8.</w:t>
            </w:r>
            <w:r>
              <w:rPr>
                <w:rFonts w:asciiTheme="minorHAnsi" w:eastAsiaTheme="minorEastAsia" w:hAnsiTheme="minorHAnsi" w:cstheme="minorBidi"/>
                <w:noProof/>
                <w:kern w:val="2"/>
                <w:szCs w:val="22"/>
                <w:lang w:eastAsia="zh-CN"/>
              </w:rPr>
              <w:tab/>
            </w:r>
            <w:r w:rsidRPr="00265A01">
              <w:rPr>
                <w:rStyle w:val="a9"/>
                <w:noProof/>
                <w:w w:val="110"/>
              </w:rPr>
              <w:t>Customize</w:t>
            </w:r>
            <w:r w:rsidRPr="00265A01">
              <w:rPr>
                <w:rStyle w:val="a9"/>
                <w:noProof/>
                <w:spacing w:val="-7"/>
                <w:w w:val="110"/>
              </w:rPr>
              <w:t xml:space="preserve"> </w:t>
            </w:r>
            <w:r w:rsidRPr="00265A01">
              <w:rPr>
                <w:rStyle w:val="a9"/>
                <w:noProof/>
                <w:w w:val="110"/>
              </w:rPr>
              <w:t>ViewResolvers</w:t>
            </w:r>
            <w:r>
              <w:rPr>
                <w:noProof/>
                <w:webHidden/>
              </w:rPr>
              <w:tab/>
            </w:r>
            <w:r>
              <w:rPr>
                <w:noProof/>
                <w:webHidden/>
              </w:rPr>
              <w:fldChar w:fldCharType="begin"/>
            </w:r>
            <w:r>
              <w:rPr>
                <w:noProof/>
                <w:webHidden/>
              </w:rPr>
              <w:instrText xml:space="preserve"> PAGEREF _Toc54423956 \h </w:instrText>
            </w:r>
            <w:r>
              <w:rPr>
                <w:noProof/>
                <w:webHidden/>
              </w:rPr>
            </w:r>
            <w:r>
              <w:rPr>
                <w:noProof/>
                <w:webHidden/>
              </w:rPr>
              <w:fldChar w:fldCharType="separate"/>
            </w:r>
            <w:r>
              <w:rPr>
                <w:noProof/>
                <w:webHidden/>
              </w:rPr>
              <w:t>269</w:t>
            </w:r>
            <w:r>
              <w:rPr>
                <w:noProof/>
                <w:webHidden/>
              </w:rPr>
              <w:fldChar w:fldCharType="end"/>
            </w:r>
          </w:hyperlink>
        </w:p>
        <w:p w14:paraId="5B405B76" w14:textId="44510BC1"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57" w:history="1">
            <w:r w:rsidRPr="00265A01">
              <w:rPr>
                <w:rStyle w:val="a9"/>
                <w:noProof/>
                <w:spacing w:val="-1"/>
                <w:w w:val="113"/>
              </w:rPr>
              <w:t>9.5.</w:t>
            </w:r>
            <w:r>
              <w:rPr>
                <w:rFonts w:asciiTheme="minorHAnsi" w:eastAsiaTheme="minorEastAsia" w:hAnsiTheme="minorHAnsi" w:cstheme="minorBidi"/>
                <w:noProof/>
                <w:kern w:val="2"/>
                <w:szCs w:val="22"/>
                <w:lang w:eastAsia="zh-CN"/>
              </w:rPr>
              <w:tab/>
            </w:r>
            <w:r w:rsidRPr="00265A01">
              <w:rPr>
                <w:rStyle w:val="a9"/>
                <w:noProof/>
                <w:spacing w:val="-3"/>
                <w:w w:val="110"/>
              </w:rPr>
              <w:t xml:space="preserve">Testing </w:t>
            </w:r>
            <w:r w:rsidRPr="00265A01">
              <w:rPr>
                <w:rStyle w:val="a9"/>
                <w:noProof/>
                <w:w w:val="110"/>
              </w:rPr>
              <w:t>With Spring</w:t>
            </w:r>
            <w:r w:rsidRPr="00265A01">
              <w:rPr>
                <w:rStyle w:val="a9"/>
                <w:noProof/>
                <w:spacing w:val="-22"/>
                <w:w w:val="110"/>
              </w:rPr>
              <w:t xml:space="preserve"> </w:t>
            </w:r>
            <w:r w:rsidRPr="00265A01">
              <w:rPr>
                <w:rStyle w:val="a9"/>
                <w:noProof/>
                <w:w w:val="110"/>
              </w:rPr>
              <w:t>Security</w:t>
            </w:r>
            <w:r>
              <w:rPr>
                <w:noProof/>
                <w:webHidden/>
              </w:rPr>
              <w:tab/>
            </w:r>
            <w:r>
              <w:rPr>
                <w:noProof/>
                <w:webHidden/>
              </w:rPr>
              <w:fldChar w:fldCharType="begin"/>
            </w:r>
            <w:r>
              <w:rPr>
                <w:noProof/>
                <w:webHidden/>
              </w:rPr>
              <w:instrText xml:space="preserve"> PAGEREF _Toc54423957 \h </w:instrText>
            </w:r>
            <w:r>
              <w:rPr>
                <w:noProof/>
                <w:webHidden/>
              </w:rPr>
            </w:r>
            <w:r>
              <w:rPr>
                <w:noProof/>
                <w:webHidden/>
              </w:rPr>
              <w:fldChar w:fldCharType="separate"/>
            </w:r>
            <w:r>
              <w:rPr>
                <w:noProof/>
                <w:webHidden/>
              </w:rPr>
              <w:t>269</w:t>
            </w:r>
            <w:r>
              <w:rPr>
                <w:noProof/>
                <w:webHidden/>
              </w:rPr>
              <w:fldChar w:fldCharType="end"/>
            </w:r>
          </w:hyperlink>
        </w:p>
        <w:p w14:paraId="4F01A618" w14:textId="0B8DED9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58" w:history="1">
            <w:r w:rsidRPr="00265A01">
              <w:rPr>
                <w:rStyle w:val="a9"/>
                <w:noProof/>
                <w:spacing w:val="-1"/>
                <w:w w:val="113"/>
              </w:rPr>
              <w:t>9.6.</w:t>
            </w:r>
            <w:r>
              <w:rPr>
                <w:rFonts w:asciiTheme="minorHAnsi" w:eastAsiaTheme="minorEastAsia" w:hAnsiTheme="minorHAnsi" w:cstheme="minorBidi"/>
                <w:noProof/>
                <w:kern w:val="2"/>
                <w:szCs w:val="22"/>
                <w:lang w:eastAsia="zh-CN"/>
              </w:rPr>
              <w:tab/>
            </w:r>
            <w:r w:rsidRPr="00265A01">
              <w:rPr>
                <w:rStyle w:val="a9"/>
                <w:noProof/>
                <w:w w:val="110"/>
              </w:rPr>
              <w:t>Jersey</w:t>
            </w:r>
            <w:r>
              <w:rPr>
                <w:noProof/>
                <w:webHidden/>
              </w:rPr>
              <w:tab/>
            </w:r>
            <w:r>
              <w:rPr>
                <w:noProof/>
                <w:webHidden/>
              </w:rPr>
              <w:fldChar w:fldCharType="begin"/>
            </w:r>
            <w:r>
              <w:rPr>
                <w:noProof/>
                <w:webHidden/>
              </w:rPr>
              <w:instrText xml:space="preserve"> PAGEREF _Toc54423958 \h </w:instrText>
            </w:r>
            <w:r>
              <w:rPr>
                <w:noProof/>
                <w:webHidden/>
              </w:rPr>
            </w:r>
            <w:r>
              <w:rPr>
                <w:noProof/>
                <w:webHidden/>
              </w:rPr>
              <w:fldChar w:fldCharType="separate"/>
            </w:r>
            <w:r>
              <w:rPr>
                <w:noProof/>
                <w:webHidden/>
              </w:rPr>
              <w:t>269</w:t>
            </w:r>
            <w:r>
              <w:rPr>
                <w:noProof/>
                <w:webHidden/>
              </w:rPr>
              <w:fldChar w:fldCharType="end"/>
            </w:r>
          </w:hyperlink>
        </w:p>
        <w:p w14:paraId="0D4DB399" w14:textId="71341F1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59" w:history="1">
            <w:r w:rsidRPr="00265A01">
              <w:rPr>
                <w:rStyle w:val="a9"/>
                <w:noProof/>
                <w:spacing w:val="-1"/>
                <w:w w:val="113"/>
              </w:rPr>
              <w:t>9.6.1.</w:t>
            </w:r>
            <w:r>
              <w:rPr>
                <w:rFonts w:asciiTheme="minorHAnsi" w:eastAsiaTheme="minorEastAsia" w:hAnsiTheme="minorHAnsi" w:cstheme="minorBidi"/>
                <w:noProof/>
                <w:kern w:val="2"/>
                <w:szCs w:val="22"/>
                <w:lang w:eastAsia="zh-CN"/>
              </w:rPr>
              <w:tab/>
            </w:r>
            <w:r w:rsidRPr="00265A01">
              <w:rPr>
                <w:rStyle w:val="a9"/>
                <w:noProof/>
                <w:w w:val="110"/>
              </w:rPr>
              <w:t>Secure Jersey endpoints with Spring</w:t>
            </w:r>
            <w:r w:rsidRPr="00265A01">
              <w:rPr>
                <w:rStyle w:val="a9"/>
                <w:noProof/>
                <w:spacing w:val="-29"/>
                <w:w w:val="110"/>
              </w:rPr>
              <w:t xml:space="preserve"> </w:t>
            </w:r>
            <w:r w:rsidRPr="00265A01">
              <w:rPr>
                <w:rStyle w:val="a9"/>
                <w:noProof/>
                <w:w w:val="110"/>
              </w:rPr>
              <w:t>Security</w:t>
            </w:r>
            <w:r>
              <w:rPr>
                <w:noProof/>
                <w:webHidden/>
              </w:rPr>
              <w:tab/>
            </w:r>
            <w:r>
              <w:rPr>
                <w:noProof/>
                <w:webHidden/>
              </w:rPr>
              <w:fldChar w:fldCharType="begin"/>
            </w:r>
            <w:r>
              <w:rPr>
                <w:noProof/>
                <w:webHidden/>
              </w:rPr>
              <w:instrText xml:space="preserve"> PAGEREF _Toc54423959 \h </w:instrText>
            </w:r>
            <w:r>
              <w:rPr>
                <w:noProof/>
                <w:webHidden/>
              </w:rPr>
            </w:r>
            <w:r>
              <w:rPr>
                <w:noProof/>
                <w:webHidden/>
              </w:rPr>
              <w:fldChar w:fldCharType="separate"/>
            </w:r>
            <w:r>
              <w:rPr>
                <w:noProof/>
                <w:webHidden/>
              </w:rPr>
              <w:t>269</w:t>
            </w:r>
            <w:r>
              <w:rPr>
                <w:noProof/>
                <w:webHidden/>
              </w:rPr>
              <w:fldChar w:fldCharType="end"/>
            </w:r>
          </w:hyperlink>
        </w:p>
        <w:p w14:paraId="78EFB5FE" w14:textId="03CB098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60" w:history="1">
            <w:r w:rsidRPr="00265A01">
              <w:rPr>
                <w:rStyle w:val="a9"/>
                <w:noProof/>
                <w:spacing w:val="-1"/>
                <w:w w:val="113"/>
              </w:rPr>
              <w:t>9.6.2.</w:t>
            </w:r>
            <w:r>
              <w:rPr>
                <w:rFonts w:asciiTheme="minorHAnsi" w:eastAsiaTheme="minorEastAsia" w:hAnsiTheme="minorHAnsi" w:cstheme="minorBidi"/>
                <w:noProof/>
                <w:kern w:val="2"/>
                <w:szCs w:val="22"/>
                <w:lang w:eastAsia="zh-CN"/>
              </w:rPr>
              <w:tab/>
            </w:r>
            <w:r w:rsidRPr="00265A01">
              <w:rPr>
                <w:rStyle w:val="a9"/>
                <w:noProof/>
                <w:w w:val="110"/>
              </w:rPr>
              <w:t xml:space="preserve">Use Jersey Alongside Another </w:t>
            </w:r>
            <w:r w:rsidRPr="00265A01">
              <w:rPr>
                <w:rStyle w:val="a9"/>
                <w:noProof/>
                <w:spacing w:val="-6"/>
                <w:w w:val="110"/>
              </w:rPr>
              <w:t>Web</w:t>
            </w:r>
            <w:r w:rsidRPr="00265A01">
              <w:rPr>
                <w:rStyle w:val="a9"/>
                <w:noProof/>
                <w:spacing w:val="-30"/>
                <w:w w:val="110"/>
              </w:rPr>
              <w:t xml:space="preserve"> </w:t>
            </w:r>
            <w:r w:rsidRPr="00265A01">
              <w:rPr>
                <w:rStyle w:val="a9"/>
                <w:noProof/>
                <w:w w:val="110"/>
              </w:rPr>
              <w:t>Framework</w:t>
            </w:r>
            <w:r>
              <w:rPr>
                <w:noProof/>
                <w:webHidden/>
              </w:rPr>
              <w:tab/>
            </w:r>
            <w:r>
              <w:rPr>
                <w:noProof/>
                <w:webHidden/>
              </w:rPr>
              <w:fldChar w:fldCharType="begin"/>
            </w:r>
            <w:r>
              <w:rPr>
                <w:noProof/>
                <w:webHidden/>
              </w:rPr>
              <w:instrText xml:space="preserve"> PAGEREF _Toc54423960 \h </w:instrText>
            </w:r>
            <w:r>
              <w:rPr>
                <w:noProof/>
                <w:webHidden/>
              </w:rPr>
            </w:r>
            <w:r>
              <w:rPr>
                <w:noProof/>
                <w:webHidden/>
              </w:rPr>
              <w:fldChar w:fldCharType="separate"/>
            </w:r>
            <w:r>
              <w:rPr>
                <w:noProof/>
                <w:webHidden/>
              </w:rPr>
              <w:t>269</w:t>
            </w:r>
            <w:r>
              <w:rPr>
                <w:noProof/>
                <w:webHidden/>
              </w:rPr>
              <w:fldChar w:fldCharType="end"/>
            </w:r>
          </w:hyperlink>
        </w:p>
        <w:p w14:paraId="1F25C112" w14:textId="3F861648"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61" w:history="1">
            <w:r w:rsidRPr="00265A01">
              <w:rPr>
                <w:rStyle w:val="a9"/>
                <w:noProof/>
                <w:spacing w:val="-1"/>
                <w:w w:val="113"/>
              </w:rPr>
              <w:t>9.7.</w:t>
            </w:r>
            <w:r>
              <w:rPr>
                <w:rFonts w:asciiTheme="minorHAnsi" w:eastAsiaTheme="minorEastAsia" w:hAnsiTheme="minorHAnsi" w:cstheme="minorBidi"/>
                <w:noProof/>
                <w:kern w:val="2"/>
                <w:szCs w:val="22"/>
                <w:lang w:eastAsia="zh-CN"/>
              </w:rPr>
              <w:tab/>
            </w:r>
            <w:r w:rsidRPr="00265A01">
              <w:rPr>
                <w:rStyle w:val="a9"/>
                <w:noProof/>
                <w:w w:val="105"/>
              </w:rPr>
              <w:t>HTTP</w:t>
            </w:r>
            <w:r w:rsidRPr="00265A01">
              <w:rPr>
                <w:rStyle w:val="a9"/>
                <w:noProof/>
                <w:spacing w:val="-4"/>
                <w:w w:val="105"/>
              </w:rPr>
              <w:t xml:space="preserve"> </w:t>
            </w:r>
            <w:r w:rsidRPr="00265A01">
              <w:rPr>
                <w:rStyle w:val="a9"/>
                <w:noProof/>
                <w:w w:val="105"/>
              </w:rPr>
              <w:t>Clients</w:t>
            </w:r>
            <w:r>
              <w:rPr>
                <w:noProof/>
                <w:webHidden/>
              </w:rPr>
              <w:tab/>
            </w:r>
            <w:r>
              <w:rPr>
                <w:noProof/>
                <w:webHidden/>
              </w:rPr>
              <w:fldChar w:fldCharType="begin"/>
            </w:r>
            <w:r>
              <w:rPr>
                <w:noProof/>
                <w:webHidden/>
              </w:rPr>
              <w:instrText xml:space="preserve"> PAGEREF _Toc54423961 \h </w:instrText>
            </w:r>
            <w:r>
              <w:rPr>
                <w:noProof/>
                <w:webHidden/>
              </w:rPr>
            </w:r>
            <w:r>
              <w:rPr>
                <w:noProof/>
                <w:webHidden/>
              </w:rPr>
              <w:fldChar w:fldCharType="separate"/>
            </w:r>
            <w:r>
              <w:rPr>
                <w:noProof/>
                <w:webHidden/>
              </w:rPr>
              <w:t>269</w:t>
            </w:r>
            <w:r>
              <w:rPr>
                <w:noProof/>
                <w:webHidden/>
              </w:rPr>
              <w:fldChar w:fldCharType="end"/>
            </w:r>
          </w:hyperlink>
        </w:p>
        <w:p w14:paraId="066C8351" w14:textId="27E1F4C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62" w:history="1">
            <w:r w:rsidRPr="00265A01">
              <w:rPr>
                <w:rStyle w:val="a9"/>
                <w:noProof/>
                <w:spacing w:val="-1"/>
                <w:w w:val="113"/>
              </w:rPr>
              <w:t>9.7.1.</w:t>
            </w:r>
            <w:r>
              <w:rPr>
                <w:rFonts w:asciiTheme="minorHAnsi" w:eastAsiaTheme="minorEastAsia" w:hAnsiTheme="minorHAnsi" w:cstheme="minorBidi"/>
                <w:noProof/>
                <w:kern w:val="2"/>
                <w:szCs w:val="22"/>
                <w:lang w:eastAsia="zh-CN"/>
              </w:rPr>
              <w:tab/>
            </w:r>
            <w:r w:rsidRPr="00265A01">
              <w:rPr>
                <w:rStyle w:val="a9"/>
                <w:noProof/>
                <w:w w:val="110"/>
              </w:rPr>
              <w:t>Configure RestTemplate to Use a</w:t>
            </w:r>
            <w:r w:rsidRPr="00265A01">
              <w:rPr>
                <w:rStyle w:val="a9"/>
                <w:noProof/>
                <w:spacing w:val="-28"/>
                <w:w w:val="110"/>
              </w:rPr>
              <w:t xml:space="preserve"> </w:t>
            </w:r>
            <w:r w:rsidRPr="00265A01">
              <w:rPr>
                <w:rStyle w:val="a9"/>
                <w:noProof/>
                <w:w w:val="110"/>
              </w:rPr>
              <w:t>Proxy</w:t>
            </w:r>
            <w:r>
              <w:rPr>
                <w:noProof/>
                <w:webHidden/>
              </w:rPr>
              <w:tab/>
            </w:r>
            <w:r>
              <w:rPr>
                <w:noProof/>
                <w:webHidden/>
              </w:rPr>
              <w:fldChar w:fldCharType="begin"/>
            </w:r>
            <w:r>
              <w:rPr>
                <w:noProof/>
                <w:webHidden/>
              </w:rPr>
              <w:instrText xml:space="preserve"> PAGEREF _Toc54423962 \h </w:instrText>
            </w:r>
            <w:r>
              <w:rPr>
                <w:noProof/>
                <w:webHidden/>
              </w:rPr>
            </w:r>
            <w:r>
              <w:rPr>
                <w:noProof/>
                <w:webHidden/>
              </w:rPr>
              <w:fldChar w:fldCharType="separate"/>
            </w:r>
            <w:r>
              <w:rPr>
                <w:noProof/>
                <w:webHidden/>
              </w:rPr>
              <w:t>269</w:t>
            </w:r>
            <w:r>
              <w:rPr>
                <w:noProof/>
                <w:webHidden/>
              </w:rPr>
              <w:fldChar w:fldCharType="end"/>
            </w:r>
          </w:hyperlink>
        </w:p>
        <w:p w14:paraId="0BF6819C" w14:textId="6F19CDA9"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63" w:history="1">
            <w:r w:rsidRPr="00265A01">
              <w:rPr>
                <w:rStyle w:val="a9"/>
                <w:noProof/>
                <w:spacing w:val="-1"/>
                <w:w w:val="113"/>
              </w:rPr>
              <w:t>9.7.2.</w:t>
            </w:r>
            <w:r>
              <w:rPr>
                <w:rFonts w:asciiTheme="minorHAnsi" w:eastAsiaTheme="minorEastAsia" w:hAnsiTheme="minorHAnsi" w:cstheme="minorBidi"/>
                <w:noProof/>
                <w:kern w:val="2"/>
                <w:szCs w:val="22"/>
                <w:lang w:eastAsia="zh-CN"/>
              </w:rPr>
              <w:tab/>
            </w:r>
            <w:r w:rsidRPr="00265A01">
              <w:rPr>
                <w:rStyle w:val="a9"/>
                <w:noProof/>
                <w:w w:val="110"/>
              </w:rPr>
              <w:t>Configure</w:t>
            </w:r>
            <w:r w:rsidRPr="00265A01">
              <w:rPr>
                <w:rStyle w:val="a9"/>
                <w:noProof/>
                <w:spacing w:val="-12"/>
                <w:w w:val="110"/>
              </w:rPr>
              <w:t xml:space="preserve"> </w:t>
            </w:r>
            <w:r w:rsidRPr="00265A01">
              <w:rPr>
                <w:rStyle w:val="a9"/>
                <w:noProof/>
                <w:w w:val="110"/>
              </w:rPr>
              <w:t>the</w:t>
            </w:r>
            <w:r w:rsidRPr="00265A01">
              <w:rPr>
                <w:rStyle w:val="a9"/>
                <w:noProof/>
                <w:spacing w:val="-11"/>
                <w:w w:val="110"/>
              </w:rPr>
              <w:t xml:space="preserve"> </w:t>
            </w:r>
            <w:r w:rsidRPr="00265A01">
              <w:rPr>
                <w:rStyle w:val="a9"/>
                <w:noProof/>
                <w:w w:val="110"/>
              </w:rPr>
              <w:t>TcpClient</w:t>
            </w:r>
            <w:r w:rsidRPr="00265A01">
              <w:rPr>
                <w:rStyle w:val="a9"/>
                <w:noProof/>
                <w:spacing w:val="-11"/>
                <w:w w:val="110"/>
              </w:rPr>
              <w:t xml:space="preserve"> </w:t>
            </w:r>
            <w:r w:rsidRPr="00265A01">
              <w:rPr>
                <w:rStyle w:val="a9"/>
                <w:noProof/>
                <w:w w:val="110"/>
              </w:rPr>
              <w:t>used</w:t>
            </w:r>
            <w:r w:rsidRPr="00265A01">
              <w:rPr>
                <w:rStyle w:val="a9"/>
                <w:noProof/>
                <w:spacing w:val="-11"/>
                <w:w w:val="110"/>
              </w:rPr>
              <w:t xml:space="preserve"> </w:t>
            </w:r>
            <w:r w:rsidRPr="00265A01">
              <w:rPr>
                <w:rStyle w:val="a9"/>
                <w:noProof/>
                <w:spacing w:val="-3"/>
                <w:w w:val="110"/>
              </w:rPr>
              <w:t>by</w:t>
            </w:r>
            <w:r w:rsidRPr="00265A01">
              <w:rPr>
                <w:rStyle w:val="a9"/>
                <w:noProof/>
                <w:spacing w:val="-10"/>
                <w:w w:val="110"/>
              </w:rPr>
              <w:t xml:space="preserve"> </w:t>
            </w:r>
            <w:r w:rsidRPr="00265A01">
              <w:rPr>
                <w:rStyle w:val="a9"/>
                <w:noProof/>
                <w:w w:val="110"/>
              </w:rPr>
              <w:t>a</w:t>
            </w:r>
            <w:r w:rsidRPr="00265A01">
              <w:rPr>
                <w:rStyle w:val="a9"/>
                <w:noProof/>
                <w:spacing w:val="-11"/>
                <w:w w:val="110"/>
              </w:rPr>
              <w:t xml:space="preserve"> </w:t>
            </w:r>
            <w:r w:rsidRPr="00265A01">
              <w:rPr>
                <w:rStyle w:val="a9"/>
                <w:noProof/>
                <w:w w:val="110"/>
              </w:rPr>
              <w:t>Reactor</w:t>
            </w:r>
            <w:r w:rsidRPr="00265A01">
              <w:rPr>
                <w:rStyle w:val="a9"/>
                <w:noProof/>
                <w:spacing w:val="-10"/>
                <w:w w:val="110"/>
              </w:rPr>
              <w:t xml:space="preserve"> </w:t>
            </w:r>
            <w:r w:rsidRPr="00265A01">
              <w:rPr>
                <w:rStyle w:val="a9"/>
                <w:noProof/>
                <w:w w:val="110"/>
              </w:rPr>
              <w:t>Netty-based</w:t>
            </w:r>
            <w:r w:rsidRPr="00265A01">
              <w:rPr>
                <w:rStyle w:val="a9"/>
                <w:noProof/>
                <w:spacing w:val="-10"/>
                <w:w w:val="110"/>
              </w:rPr>
              <w:t xml:space="preserve"> </w:t>
            </w:r>
            <w:r w:rsidRPr="00265A01">
              <w:rPr>
                <w:rStyle w:val="a9"/>
                <w:noProof/>
                <w:spacing w:val="-3"/>
                <w:w w:val="110"/>
              </w:rPr>
              <w:t>WebClient</w:t>
            </w:r>
            <w:r>
              <w:rPr>
                <w:noProof/>
                <w:webHidden/>
              </w:rPr>
              <w:tab/>
            </w:r>
            <w:r>
              <w:rPr>
                <w:noProof/>
                <w:webHidden/>
              </w:rPr>
              <w:fldChar w:fldCharType="begin"/>
            </w:r>
            <w:r>
              <w:rPr>
                <w:noProof/>
                <w:webHidden/>
              </w:rPr>
              <w:instrText xml:space="preserve"> PAGEREF _Toc54423963 \h </w:instrText>
            </w:r>
            <w:r>
              <w:rPr>
                <w:noProof/>
                <w:webHidden/>
              </w:rPr>
            </w:r>
            <w:r>
              <w:rPr>
                <w:noProof/>
                <w:webHidden/>
              </w:rPr>
              <w:fldChar w:fldCharType="separate"/>
            </w:r>
            <w:r>
              <w:rPr>
                <w:noProof/>
                <w:webHidden/>
              </w:rPr>
              <w:t>269</w:t>
            </w:r>
            <w:r>
              <w:rPr>
                <w:noProof/>
                <w:webHidden/>
              </w:rPr>
              <w:fldChar w:fldCharType="end"/>
            </w:r>
          </w:hyperlink>
        </w:p>
        <w:p w14:paraId="0AD70695" w14:textId="7C6B7B5D"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64" w:history="1">
            <w:r w:rsidRPr="00265A01">
              <w:rPr>
                <w:rStyle w:val="a9"/>
                <w:noProof/>
                <w:spacing w:val="-1"/>
                <w:w w:val="113"/>
              </w:rPr>
              <w:t>9.8.</w:t>
            </w:r>
            <w:r>
              <w:rPr>
                <w:rFonts w:asciiTheme="minorHAnsi" w:eastAsiaTheme="minorEastAsia" w:hAnsiTheme="minorHAnsi" w:cstheme="minorBidi"/>
                <w:noProof/>
                <w:kern w:val="2"/>
                <w:szCs w:val="22"/>
                <w:lang w:eastAsia="zh-CN"/>
              </w:rPr>
              <w:tab/>
            </w:r>
            <w:r w:rsidRPr="00265A01">
              <w:rPr>
                <w:rStyle w:val="a9"/>
                <w:noProof/>
                <w:w w:val="105"/>
              </w:rPr>
              <w:t>Logging</w:t>
            </w:r>
            <w:r>
              <w:rPr>
                <w:noProof/>
                <w:webHidden/>
              </w:rPr>
              <w:tab/>
            </w:r>
            <w:r>
              <w:rPr>
                <w:noProof/>
                <w:webHidden/>
              </w:rPr>
              <w:fldChar w:fldCharType="begin"/>
            </w:r>
            <w:r>
              <w:rPr>
                <w:noProof/>
                <w:webHidden/>
              </w:rPr>
              <w:instrText xml:space="preserve"> PAGEREF _Toc54423964 \h </w:instrText>
            </w:r>
            <w:r>
              <w:rPr>
                <w:noProof/>
                <w:webHidden/>
              </w:rPr>
            </w:r>
            <w:r>
              <w:rPr>
                <w:noProof/>
                <w:webHidden/>
              </w:rPr>
              <w:fldChar w:fldCharType="separate"/>
            </w:r>
            <w:r>
              <w:rPr>
                <w:noProof/>
                <w:webHidden/>
              </w:rPr>
              <w:t>269</w:t>
            </w:r>
            <w:r>
              <w:rPr>
                <w:noProof/>
                <w:webHidden/>
              </w:rPr>
              <w:fldChar w:fldCharType="end"/>
            </w:r>
          </w:hyperlink>
        </w:p>
        <w:p w14:paraId="76242B7D" w14:textId="2A9341A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65" w:history="1">
            <w:r w:rsidRPr="00265A01">
              <w:rPr>
                <w:rStyle w:val="a9"/>
                <w:noProof/>
                <w:spacing w:val="-1"/>
                <w:w w:val="113"/>
              </w:rPr>
              <w:t>9.8.1.</w:t>
            </w:r>
            <w:r>
              <w:rPr>
                <w:rFonts w:asciiTheme="minorHAnsi" w:eastAsiaTheme="minorEastAsia" w:hAnsiTheme="minorHAnsi" w:cstheme="minorBidi"/>
                <w:noProof/>
                <w:kern w:val="2"/>
                <w:szCs w:val="22"/>
                <w:lang w:eastAsia="zh-CN"/>
              </w:rPr>
              <w:tab/>
            </w:r>
            <w:r w:rsidRPr="00265A01">
              <w:rPr>
                <w:rStyle w:val="a9"/>
                <w:noProof/>
                <w:w w:val="110"/>
              </w:rPr>
              <w:t>Configure Logback for</w:t>
            </w:r>
            <w:r w:rsidRPr="00265A01">
              <w:rPr>
                <w:rStyle w:val="a9"/>
                <w:noProof/>
                <w:spacing w:val="-19"/>
                <w:w w:val="110"/>
              </w:rPr>
              <w:t xml:space="preserve"> </w:t>
            </w:r>
            <w:r w:rsidRPr="00265A01">
              <w:rPr>
                <w:rStyle w:val="a9"/>
                <w:noProof/>
                <w:w w:val="110"/>
              </w:rPr>
              <w:t>Logging</w:t>
            </w:r>
            <w:r>
              <w:rPr>
                <w:noProof/>
                <w:webHidden/>
              </w:rPr>
              <w:tab/>
            </w:r>
            <w:r>
              <w:rPr>
                <w:noProof/>
                <w:webHidden/>
              </w:rPr>
              <w:fldChar w:fldCharType="begin"/>
            </w:r>
            <w:r>
              <w:rPr>
                <w:noProof/>
                <w:webHidden/>
              </w:rPr>
              <w:instrText xml:space="preserve"> PAGEREF _Toc54423965 \h </w:instrText>
            </w:r>
            <w:r>
              <w:rPr>
                <w:noProof/>
                <w:webHidden/>
              </w:rPr>
            </w:r>
            <w:r>
              <w:rPr>
                <w:noProof/>
                <w:webHidden/>
              </w:rPr>
              <w:fldChar w:fldCharType="separate"/>
            </w:r>
            <w:r>
              <w:rPr>
                <w:noProof/>
                <w:webHidden/>
              </w:rPr>
              <w:t>269</w:t>
            </w:r>
            <w:r>
              <w:rPr>
                <w:noProof/>
                <w:webHidden/>
              </w:rPr>
              <w:fldChar w:fldCharType="end"/>
            </w:r>
          </w:hyperlink>
        </w:p>
        <w:p w14:paraId="64A53E70" w14:textId="445F973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66" w:history="1">
            <w:r w:rsidRPr="00265A01">
              <w:rPr>
                <w:rStyle w:val="a9"/>
                <w:noProof/>
                <w:spacing w:val="-1"/>
                <w:w w:val="113"/>
              </w:rPr>
              <w:t>9.8.2.</w:t>
            </w:r>
            <w:r>
              <w:rPr>
                <w:rFonts w:asciiTheme="minorHAnsi" w:eastAsiaTheme="minorEastAsia" w:hAnsiTheme="minorHAnsi" w:cstheme="minorBidi"/>
                <w:noProof/>
                <w:kern w:val="2"/>
                <w:szCs w:val="22"/>
                <w:lang w:eastAsia="zh-CN"/>
              </w:rPr>
              <w:tab/>
            </w:r>
            <w:r w:rsidRPr="00265A01">
              <w:rPr>
                <w:rStyle w:val="a9"/>
                <w:noProof/>
                <w:w w:val="110"/>
              </w:rPr>
              <w:t>Configure Log4j for</w:t>
            </w:r>
            <w:r w:rsidRPr="00265A01">
              <w:rPr>
                <w:rStyle w:val="a9"/>
                <w:noProof/>
                <w:spacing w:val="-19"/>
                <w:w w:val="110"/>
              </w:rPr>
              <w:t xml:space="preserve"> </w:t>
            </w:r>
            <w:r w:rsidRPr="00265A01">
              <w:rPr>
                <w:rStyle w:val="a9"/>
                <w:noProof/>
                <w:w w:val="110"/>
              </w:rPr>
              <w:t>Logging</w:t>
            </w:r>
            <w:r>
              <w:rPr>
                <w:noProof/>
                <w:webHidden/>
              </w:rPr>
              <w:tab/>
            </w:r>
            <w:r>
              <w:rPr>
                <w:noProof/>
                <w:webHidden/>
              </w:rPr>
              <w:fldChar w:fldCharType="begin"/>
            </w:r>
            <w:r>
              <w:rPr>
                <w:noProof/>
                <w:webHidden/>
              </w:rPr>
              <w:instrText xml:space="preserve"> PAGEREF _Toc54423966 \h </w:instrText>
            </w:r>
            <w:r>
              <w:rPr>
                <w:noProof/>
                <w:webHidden/>
              </w:rPr>
            </w:r>
            <w:r>
              <w:rPr>
                <w:noProof/>
                <w:webHidden/>
              </w:rPr>
              <w:fldChar w:fldCharType="separate"/>
            </w:r>
            <w:r>
              <w:rPr>
                <w:noProof/>
                <w:webHidden/>
              </w:rPr>
              <w:t>269</w:t>
            </w:r>
            <w:r>
              <w:rPr>
                <w:noProof/>
                <w:webHidden/>
              </w:rPr>
              <w:fldChar w:fldCharType="end"/>
            </w:r>
          </w:hyperlink>
        </w:p>
        <w:p w14:paraId="32593B69" w14:textId="108D63E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67" w:history="1">
            <w:r w:rsidRPr="00265A01">
              <w:rPr>
                <w:rStyle w:val="a9"/>
                <w:noProof/>
                <w:spacing w:val="-1"/>
                <w:w w:val="113"/>
              </w:rPr>
              <w:t>9.9.</w:t>
            </w:r>
            <w:r>
              <w:rPr>
                <w:rFonts w:asciiTheme="minorHAnsi" w:eastAsiaTheme="minorEastAsia" w:hAnsiTheme="minorHAnsi" w:cstheme="minorBidi"/>
                <w:noProof/>
                <w:kern w:val="2"/>
                <w:szCs w:val="22"/>
                <w:lang w:eastAsia="zh-CN"/>
              </w:rPr>
              <w:tab/>
            </w:r>
            <w:r w:rsidRPr="00265A01">
              <w:rPr>
                <w:rStyle w:val="a9"/>
                <w:noProof/>
                <w:w w:val="110"/>
              </w:rPr>
              <w:t>Data</w:t>
            </w:r>
            <w:r w:rsidRPr="00265A01">
              <w:rPr>
                <w:rStyle w:val="a9"/>
                <w:noProof/>
                <w:spacing w:val="-7"/>
                <w:w w:val="110"/>
              </w:rPr>
              <w:t xml:space="preserve"> </w:t>
            </w:r>
            <w:r w:rsidRPr="00265A01">
              <w:rPr>
                <w:rStyle w:val="a9"/>
                <w:noProof/>
                <w:spacing w:val="-3"/>
                <w:w w:val="110"/>
              </w:rPr>
              <w:t>Access</w:t>
            </w:r>
            <w:r>
              <w:rPr>
                <w:noProof/>
                <w:webHidden/>
              </w:rPr>
              <w:tab/>
            </w:r>
            <w:r>
              <w:rPr>
                <w:noProof/>
                <w:webHidden/>
              </w:rPr>
              <w:fldChar w:fldCharType="begin"/>
            </w:r>
            <w:r>
              <w:rPr>
                <w:noProof/>
                <w:webHidden/>
              </w:rPr>
              <w:instrText xml:space="preserve"> PAGEREF _Toc54423967 \h </w:instrText>
            </w:r>
            <w:r>
              <w:rPr>
                <w:noProof/>
                <w:webHidden/>
              </w:rPr>
            </w:r>
            <w:r>
              <w:rPr>
                <w:noProof/>
                <w:webHidden/>
              </w:rPr>
              <w:fldChar w:fldCharType="separate"/>
            </w:r>
            <w:r>
              <w:rPr>
                <w:noProof/>
                <w:webHidden/>
              </w:rPr>
              <w:t>269</w:t>
            </w:r>
            <w:r>
              <w:rPr>
                <w:noProof/>
                <w:webHidden/>
              </w:rPr>
              <w:fldChar w:fldCharType="end"/>
            </w:r>
          </w:hyperlink>
        </w:p>
        <w:p w14:paraId="2448F420" w14:textId="33B0F9D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68" w:history="1">
            <w:r w:rsidRPr="00265A01">
              <w:rPr>
                <w:rStyle w:val="a9"/>
                <w:noProof/>
                <w:spacing w:val="-1"/>
                <w:w w:val="113"/>
              </w:rPr>
              <w:t>9.9.1.</w:t>
            </w:r>
            <w:r>
              <w:rPr>
                <w:rFonts w:asciiTheme="minorHAnsi" w:eastAsiaTheme="minorEastAsia" w:hAnsiTheme="minorHAnsi" w:cstheme="minorBidi"/>
                <w:noProof/>
                <w:kern w:val="2"/>
                <w:szCs w:val="22"/>
                <w:lang w:eastAsia="zh-CN"/>
              </w:rPr>
              <w:tab/>
            </w:r>
            <w:r w:rsidRPr="00265A01">
              <w:rPr>
                <w:rStyle w:val="a9"/>
                <w:noProof/>
                <w:w w:val="110"/>
              </w:rPr>
              <w:t>Configure a Custom</w:t>
            </w:r>
            <w:r w:rsidRPr="00265A01">
              <w:rPr>
                <w:rStyle w:val="a9"/>
                <w:noProof/>
                <w:spacing w:val="-18"/>
                <w:w w:val="110"/>
              </w:rPr>
              <w:t xml:space="preserve"> </w:t>
            </w:r>
            <w:r w:rsidRPr="00265A01">
              <w:rPr>
                <w:rStyle w:val="a9"/>
                <w:noProof/>
                <w:w w:val="110"/>
              </w:rPr>
              <w:t>DataSource</w:t>
            </w:r>
            <w:r>
              <w:rPr>
                <w:noProof/>
                <w:webHidden/>
              </w:rPr>
              <w:tab/>
            </w:r>
            <w:r>
              <w:rPr>
                <w:noProof/>
                <w:webHidden/>
              </w:rPr>
              <w:fldChar w:fldCharType="begin"/>
            </w:r>
            <w:r>
              <w:rPr>
                <w:noProof/>
                <w:webHidden/>
              </w:rPr>
              <w:instrText xml:space="preserve"> PAGEREF _Toc54423968 \h </w:instrText>
            </w:r>
            <w:r>
              <w:rPr>
                <w:noProof/>
                <w:webHidden/>
              </w:rPr>
            </w:r>
            <w:r>
              <w:rPr>
                <w:noProof/>
                <w:webHidden/>
              </w:rPr>
              <w:fldChar w:fldCharType="separate"/>
            </w:r>
            <w:r>
              <w:rPr>
                <w:noProof/>
                <w:webHidden/>
              </w:rPr>
              <w:t>269</w:t>
            </w:r>
            <w:r>
              <w:rPr>
                <w:noProof/>
                <w:webHidden/>
              </w:rPr>
              <w:fldChar w:fldCharType="end"/>
            </w:r>
          </w:hyperlink>
        </w:p>
        <w:p w14:paraId="1DCA4652" w14:textId="25595D4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69" w:history="1">
            <w:r w:rsidRPr="00265A01">
              <w:rPr>
                <w:rStyle w:val="a9"/>
                <w:noProof/>
                <w:spacing w:val="-1"/>
                <w:w w:val="113"/>
              </w:rPr>
              <w:t>9.9.2.</w:t>
            </w:r>
            <w:r>
              <w:rPr>
                <w:rFonts w:asciiTheme="minorHAnsi" w:eastAsiaTheme="minorEastAsia" w:hAnsiTheme="minorHAnsi" w:cstheme="minorBidi"/>
                <w:noProof/>
                <w:kern w:val="2"/>
                <w:szCs w:val="22"/>
                <w:lang w:eastAsia="zh-CN"/>
              </w:rPr>
              <w:tab/>
            </w:r>
            <w:r w:rsidRPr="00265A01">
              <w:rPr>
                <w:rStyle w:val="a9"/>
                <w:noProof/>
                <w:w w:val="110"/>
              </w:rPr>
              <w:t>Configure Two</w:t>
            </w:r>
            <w:r w:rsidRPr="00265A01">
              <w:rPr>
                <w:rStyle w:val="a9"/>
                <w:noProof/>
                <w:spacing w:val="-13"/>
                <w:w w:val="110"/>
              </w:rPr>
              <w:t xml:space="preserve"> </w:t>
            </w:r>
            <w:r w:rsidRPr="00265A01">
              <w:rPr>
                <w:rStyle w:val="a9"/>
                <w:noProof/>
                <w:w w:val="110"/>
              </w:rPr>
              <w:t>DataSources</w:t>
            </w:r>
            <w:r>
              <w:rPr>
                <w:noProof/>
                <w:webHidden/>
              </w:rPr>
              <w:tab/>
            </w:r>
            <w:r>
              <w:rPr>
                <w:noProof/>
                <w:webHidden/>
              </w:rPr>
              <w:fldChar w:fldCharType="begin"/>
            </w:r>
            <w:r>
              <w:rPr>
                <w:noProof/>
                <w:webHidden/>
              </w:rPr>
              <w:instrText xml:space="preserve"> PAGEREF _Toc54423969 \h </w:instrText>
            </w:r>
            <w:r>
              <w:rPr>
                <w:noProof/>
                <w:webHidden/>
              </w:rPr>
            </w:r>
            <w:r>
              <w:rPr>
                <w:noProof/>
                <w:webHidden/>
              </w:rPr>
              <w:fldChar w:fldCharType="separate"/>
            </w:r>
            <w:r>
              <w:rPr>
                <w:noProof/>
                <w:webHidden/>
              </w:rPr>
              <w:t>269</w:t>
            </w:r>
            <w:r>
              <w:rPr>
                <w:noProof/>
                <w:webHidden/>
              </w:rPr>
              <w:fldChar w:fldCharType="end"/>
            </w:r>
          </w:hyperlink>
        </w:p>
        <w:p w14:paraId="73F87155" w14:textId="0BEC72BE"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70" w:history="1">
            <w:r w:rsidRPr="00265A01">
              <w:rPr>
                <w:rStyle w:val="a9"/>
                <w:noProof/>
                <w:spacing w:val="-1"/>
                <w:w w:val="113"/>
              </w:rPr>
              <w:t>9.9.3.</w:t>
            </w:r>
            <w:r>
              <w:rPr>
                <w:rFonts w:asciiTheme="minorHAnsi" w:eastAsiaTheme="minorEastAsia" w:hAnsiTheme="minorHAnsi" w:cstheme="minorBidi"/>
                <w:noProof/>
                <w:kern w:val="2"/>
                <w:szCs w:val="22"/>
                <w:lang w:eastAsia="zh-CN"/>
              </w:rPr>
              <w:tab/>
            </w:r>
            <w:r w:rsidRPr="00265A01">
              <w:rPr>
                <w:rStyle w:val="a9"/>
                <w:noProof/>
                <w:w w:val="110"/>
              </w:rPr>
              <w:t>Use Spring Data</w:t>
            </w:r>
            <w:r w:rsidRPr="00265A01">
              <w:rPr>
                <w:rStyle w:val="a9"/>
                <w:noProof/>
                <w:spacing w:val="-17"/>
                <w:w w:val="110"/>
              </w:rPr>
              <w:t xml:space="preserve"> </w:t>
            </w:r>
            <w:r w:rsidRPr="00265A01">
              <w:rPr>
                <w:rStyle w:val="a9"/>
                <w:noProof/>
                <w:w w:val="110"/>
              </w:rPr>
              <w:t>Repositories</w:t>
            </w:r>
            <w:r>
              <w:rPr>
                <w:noProof/>
                <w:webHidden/>
              </w:rPr>
              <w:tab/>
            </w:r>
            <w:r>
              <w:rPr>
                <w:noProof/>
                <w:webHidden/>
              </w:rPr>
              <w:fldChar w:fldCharType="begin"/>
            </w:r>
            <w:r>
              <w:rPr>
                <w:noProof/>
                <w:webHidden/>
              </w:rPr>
              <w:instrText xml:space="preserve"> PAGEREF _Toc54423970 \h </w:instrText>
            </w:r>
            <w:r>
              <w:rPr>
                <w:noProof/>
                <w:webHidden/>
              </w:rPr>
            </w:r>
            <w:r>
              <w:rPr>
                <w:noProof/>
                <w:webHidden/>
              </w:rPr>
              <w:fldChar w:fldCharType="separate"/>
            </w:r>
            <w:r>
              <w:rPr>
                <w:noProof/>
                <w:webHidden/>
              </w:rPr>
              <w:t>269</w:t>
            </w:r>
            <w:r>
              <w:rPr>
                <w:noProof/>
                <w:webHidden/>
              </w:rPr>
              <w:fldChar w:fldCharType="end"/>
            </w:r>
          </w:hyperlink>
        </w:p>
        <w:p w14:paraId="1D20B6E7" w14:textId="3990E987"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71" w:history="1">
            <w:r w:rsidRPr="00265A01">
              <w:rPr>
                <w:rStyle w:val="a9"/>
                <w:noProof/>
                <w:spacing w:val="-1"/>
                <w:w w:val="113"/>
              </w:rPr>
              <w:t>9.9.4.</w:t>
            </w:r>
            <w:r>
              <w:rPr>
                <w:rFonts w:asciiTheme="minorHAnsi" w:eastAsiaTheme="minorEastAsia" w:hAnsiTheme="minorHAnsi" w:cstheme="minorBidi"/>
                <w:noProof/>
                <w:kern w:val="2"/>
                <w:szCs w:val="22"/>
                <w:lang w:eastAsia="zh-CN"/>
              </w:rPr>
              <w:tab/>
            </w:r>
            <w:r w:rsidRPr="00265A01">
              <w:rPr>
                <w:rStyle w:val="a9"/>
                <w:noProof/>
                <w:w w:val="110"/>
              </w:rPr>
              <w:t>Separate @Entity Definitions from Spring</w:t>
            </w:r>
            <w:r w:rsidRPr="00265A01">
              <w:rPr>
                <w:rStyle w:val="a9"/>
                <w:noProof/>
                <w:spacing w:val="-29"/>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_Toc54423971 \h </w:instrText>
            </w:r>
            <w:r>
              <w:rPr>
                <w:noProof/>
                <w:webHidden/>
              </w:rPr>
            </w:r>
            <w:r>
              <w:rPr>
                <w:noProof/>
                <w:webHidden/>
              </w:rPr>
              <w:fldChar w:fldCharType="separate"/>
            </w:r>
            <w:r>
              <w:rPr>
                <w:noProof/>
                <w:webHidden/>
              </w:rPr>
              <w:t>269</w:t>
            </w:r>
            <w:r>
              <w:rPr>
                <w:noProof/>
                <w:webHidden/>
              </w:rPr>
              <w:fldChar w:fldCharType="end"/>
            </w:r>
          </w:hyperlink>
        </w:p>
        <w:p w14:paraId="0B157A7D" w14:textId="6BD1D19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72" w:history="1">
            <w:r w:rsidRPr="00265A01">
              <w:rPr>
                <w:rStyle w:val="a9"/>
                <w:noProof/>
                <w:spacing w:val="-1"/>
                <w:w w:val="113"/>
              </w:rPr>
              <w:t>9.9.5.</w:t>
            </w:r>
            <w:r>
              <w:rPr>
                <w:rFonts w:asciiTheme="minorHAnsi" w:eastAsiaTheme="minorEastAsia" w:hAnsiTheme="minorHAnsi" w:cstheme="minorBidi"/>
                <w:noProof/>
                <w:kern w:val="2"/>
                <w:szCs w:val="22"/>
                <w:lang w:eastAsia="zh-CN"/>
              </w:rPr>
              <w:tab/>
            </w:r>
            <w:r w:rsidRPr="00265A01">
              <w:rPr>
                <w:rStyle w:val="a9"/>
                <w:noProof/>
                <w:w w:val="105"/>
              </w:rPr>
              <w:t xml:space="preserve">Configure </w:t>
            </w:r>
            <w:r w:rsidRPr="00265A01">
              <w:rPr>
                <w:rStyle w:val="a9"/>
                <w:noProof/>
                <w:spacing w:val="-5"/>
                <w:w w:val="105"/>
              </w:rPr>
              <w:t>JPA</w:t>
            </w:r>
            <w:r w:rsidRPr="00265A01">
              <w:rPr>
                <w:rStyle w:val="a9"/>
                <w:noProof/>
                <w:spacing w:val="-3"/>
                <w:w w:val="105"/>
              </w:rPr>
              <w:t xml:space="preserve"> </w:t>
            </w:r>
            <w:r w:rsidRPr="00265A01">
              <w:rPr>
                <w:rStyle w:val="a9"/>
                <w:noProof/>
                <w:w w:val="105"/>
              </w:rPr>
              <w:t>Properties</w:t>
            </w:r>
            <w:r>
              <w:rPr>
                <w:noProof/>
                <w:webHidden/>
              </w:rPr>
              <w:tab/>
            </w:r>
            <w:r>
              <w:rPr>
                <w:noProof/>
                <w:webHidden/>
              </w:rPr>
              <w:fldChar w:fldCharType="begin"/>
            </w:r>
            <w:r>
              <w:rPr>
                <w:noProof/>
                <w:webHidden/>
              </w:rPr>
              <w:instrText xml:space="preserve"> PAGEREF _Toc54423972 \h </w:instrText>
            </w:r>
            <w:r>
              <w:rPr>
                <w:noProof/>
                <w:webHidden/>
              </w:rPr>
            </w:r>
            <w:r>
              <w:rPr>
                <w:noProof/>
                <w:webHidden/>
              </w:rPr>
              <w:fldChar w:fldCharType="separate"/>
            </w:r>
            <w:r>
              <w:rPr>
                <w:noProof/>
                <w:webHidden/>
              </w:rPr>
              <w:t>269</w:t>
            </w:r>
            <w:r>
              <w:rPr>
                <w:noProof/>
                <w:webHidden/>
              </w:rPr>
              <w:fldChar w:fldCharType="end"/>
            </w:r>
          </w:hyperlink>
        </w:p>
        <w:p w14:paraId="5208B439" w14:textId="36874BD5"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73" w:history="1">
            <w:r w:rsidRPr="00265A01">
              <w:rPr>
                <w:rStyle w:val="a9"/>
                <w:noProof/>
                <w:spacing w:val="-1"/>
                <w:w w:val="113"/>
              </w:rPr>
              <w:t>9.9.6.</w:t>
            </w:r>
            <w:r>
              <w:rPr>
                <w:rFonts w:asciiTheme="minorHAnsi" w:eastAsiaTheme="minorEastAsia" w:hAnsiTheme="minorHAnsi" w:cstheme="minorBidi"/>
                <w:noProof/>
                <w:kern w:val="2"/>
                <w:szCs w:val="22"/>
                <w:lang w:eastAsia="zh-CN"/>
              </w:rPr>
              <w:tab/>
            </w:r>
            <w:r w:rsidRPr="00265A01">
              <w:rPr>
                <w:rStyle w:val="a9"/>
                <w:noProof/>
                <w:w w:val="110"/>
              </w:rPr>
              <w:t>Configure Hibernate Naming</w:t>
            </w:r>
            <w:r w:rsidRPr="00265A01">
              <w:rPr>
                <w:rStyle w:val="a9"/>
                <w:noProof/>
                <w:spacing w:val="-18"/>
                <w:w w:val="110"/>
              </w:rPr>
              <w:t xml:space="preserve"> </w:t>
            </w:r>
            <w:r w:rsidRPr="00265A01">
              <w:rPr>
                <w:rStyle w:val="a9"/>
                <w:noProof/>
                <w:w w:val="110"/>
              </w:rPr>
              <w:t>Strategy</w:t>
            </w:r>
            <w:r>
              <w:rPr>
                <w:noProof/>
                <w:webHidden/>
              </w:rPr>
              <w:tab/>
            </w:r>
            <w:r>
              <w:rPr>
                <w:noProof/>
                <w:webHidden/>
              </w:rPr>
              <w:fldChar w:fldCharType="begin"/>
            </w:r>
            <w:r>
              <w:rPr>
                <w:noProof/>
                <w:webHidden/>
              </w:rPr>
              <w:instrText xml:space="preserve"> PAGEREF _Toc54423973 \h </w:instrText>
            </w:r>
            <w:r>
              <w:rPr>
                <w:noProof/>
                <w:webHidden/>
              </w:rPr>
            </w:r>
            <w:r>
              <w:rPr>
                <w:noProof/>
                <w:webHidden/>
              </w:rPr>
              <w:fldChar w:fldCharType="separate"/>
            </w:r>
            <w:r>
              <w:rPr>
                <w:noProof/>
                <w:webHidden/>
              </w:rPr>
              <w:t>269</w:t>
            </w:r>
            <w:r>
              <w:rPr>
                <w:noProof/>
                <w:webHidden/>
              </w:rPr>
              <w:fldChar w:fldCharType="end"/>
            </w:r>
          </w:hyperlink>
        </w:p>
        <w:p w14:paraId="32F6CBFE" w14:textId="2CD8408B"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74" w:history="1">
            <w:r w:rsidRPr="00265A01">
              <w:rPr>
                <w:rStyle w:val="a9"/>
                <w:noProof/>
                <w:spacing w:val="-1"/>
                <w:w w:val="113"/>
              </w:rPr>
              <w:t>9.9.7.</w:t>
            </w:r>
            <w:r>
              <w:rPr>
                <w:rFonts w:asciiTheme="minorHAnsi" w:eastAsiaTheme="minorEastAsia" w:hAnsiTheme="minorHAnsi" w:cstheme="minorBidi"/>
                <w:noProof/>
                <w:kern w:val="2"/>
                <w:szCs w:val="22"/>
                <w:lang w:eastAsia="zh-CN"/>
              </w:rPr>
              <w:tab/>
            </w:r>
            <w:r w:rsidRPr="00265A01">
              <w:rPr>
                <w:rStyle w:val="a9"/>
                <w:noProof/>
                <w:w w:val="110"/>
              </w:rPr>
              <w:t>Configure Hibernate Second-Level</w:t>
            </w:r>
            <w:r w:rsidRPr="00265A01">
              <w:rPr>
                <w:rStyle w:val="a9"/>
                <w:noProof/>
                <w:spacing w:val="-22"/>
                <w:w w:val="110"/>
              </w:rPr>
              <w:t xml:space="preserve"> </w:t>
            </w:r>
            <w:r w:rsidRPr="00265A01">
              <w:rPr>
                <w:rStyle w:val="a9"/>
                <w:noProof/>
                <w:w w:val="110"/>
              </w:rPr>
              <w:t>Caching</w:t>
            </w:r>
            <w:r>
              <w:rPr>
                <w:noProof/>
                <w:webHidden/>
              </w:rPr>
              <w:tab/>
            </w:r>
            <w:r>
              <w:rPr>
                <w:noProof/>
                <w:webHidden/>
              </w:rPr>
              <w:fldChar w:fldCharType="begin"/>
            </w:r>
            <w:r>
              <w:rPr>
                <w:noProof/>
                <w:webHidden/>
              </w:rPr>
              <w:instrText xml:space="preserve"> PAGEREF _Toc54423974 \h </w:instrText>
            </w:r>
            <w:r>
              <w:rPr>
                <w:noProof/>
                <w:webHidden/>
              </w:rPr>
            </w:r>
            <w:r>
              <w:rPr>
                <w:noProof/>
                <w:webHidden/>
              </w:rPr>
              <w:fldChar w:fldCharType="separate"/>
            </w:r>
            <w:r>
              <w:rPr>
                <w:noProof/>
                <w:webHidden/>
              </w:rPr>
              <w:t>269</w:t>
            </w:r>
            <w:r>
              <w:rPr>
                <w:noProof/>
                <w:webHidden/>
              </w:rPr>
              <w:fldChar w:fldCharType="end"/>
            </w:r>
          </w:hyperlink>
        </w:p>
        <w:p w14:paraId="40FCAE95" w14:textId="18404C02"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75" w:history="1">
            <w:r w:rsidRPr="00265A01">
              <w:rPr>
                <w:rStyle w:val="a9"/>
                <w:noProof/>
                <w:spacing w:val="-1"/>
                <w:w w:val="113"/>
              </w:rPr>
              <w:t>9.9.8.</w:t>
            </w:r>
            <w:r>
              <w:rPr>
                <w:rFonts w:asciiTheme="minorHAnsi" w:eastAsiaTheme="minorEastAsia" w:hAnsiTheme="minorHAnsi" w:cstheme="minorBidi"/>
                <w:noProof/>
                <w:kern w:val="2"/>
                <w:szCs w:val="22"/>
                <w:lang w:eastAsia="zh-CN"/>
              </w:rPr>
              <w:tab/>
            </w:r>
            <w:r w:rsidRPr="00265A01">
              <w:rPr>
                <w:rStyle w:val="a9"/>
                <w:noProof/>
                <w:w w:val="110"/>
              </w:rPr>
              <w:t>Use Dependency Injection in Hibernate</w:t>
            </w:r>
            <w:r w:rsidRPr="00265A01">
              <w:rPr>
                <w:rStyle w:val="a9"/>
                <w:noProof/>
                <w:spacing w:val="-36"/>
                <w:w w:val="110"/>
              </w:rPr>
              <w:t xml:space="preserve"> </w:t>
            </w:r>
            <w:r w:rsidRPr="00265A01">
              <w:rPr>
                <w:rStyle w:val="a9"/>
                <w:noProof/>
                <w:w w:val="110"/>
              </w:rPr>
              <w:t>Components</w:t>
            </w:r>
            <w:r>
              <w:rPr>
                <w:noProof/>
                <w:webHidden/>
              </w:rPr>
              <w:tab/>
            </w:r>
            <w:r>
              <w:rPr>
                <w:noProof/>
                <w:webHidden/>
              </w:rPr>
              <w:fldChar w:fldCharType="begin"/>
            </w:r>
            <w:r>
              <w:rPr>
                <w:noProof/>
                <w:webHidden/>
              </w:rPr>
              <w:instrText xml:space="preserve"> PAGEREF _Toc54423975 \h </w:instrText>
            </w:r>
            <w:r>
              <w:rPr>
                <w:noProof/>
                <w:webHidden/>
              </w:rPr>
            </w:r>
            <w:r>
              <w:rPr>
                <w:noProof/>
                <w:webHidden/>
              </w:rPr>
              <w:fldChar w:fldCharType="separate"/>
            </w:r>
            <w:r>
              <w:rPr>
                <w:noProof/>
                <w:webHidden/>
              </w:rPr>
              <w:t>269</w:t>
            </w:r>
            <w:r>
              <w:rPr>
                <w:noProof/>
                <w:webHidden/>
              </w:rPr>
              <w:fldChar w:fldCharType="end"/>
            </w:r>
          </w:hyperlink>
        </w:p>
        <w:p w14:paraId="38C265C4" w14:textId="1DC5615F"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3976" w:history="1">
            <w:r w:rsidRPr="00265A01">
              <w:rPr>
                <w:rStyle w:val="a9"/>
                <w:noProof/>
                <w:spacing w:val="-1"/>
                <w:w w:val="113"/>
              </w:rPr>
              <w:t>9.9.9.</w:t>
            </w:r>
            <w:r>
              <w:rPr>
                <w:rFonts w:asciiTheme="minorHAnsi" w:eastAsiaTheme="minorEastAsia" w:hAnsiTheme="minorHAnsi" w:cstheme="minorBidi"/>
                <w:noProof/>
                <w:kern w:val="2"/>
                <w:szCs w:val="22"/>
                <w:lang w:eastAsia="zh-CN"/>
              </w:rPr>
              <w:tab/>
            </w:r>
            <w:r w:rsidRPr="00265A01">
              <w:rPr>
                <w:rStyle w:val="a9"/>
                <w:noProof/>
                <w:w w:val="110"/>
              </w:rPr>
              <w:t>Use a Custom</w:t>
            </w:r>
            <w:r w:rsidRPr="00265A01">
              <w:rPr>
                <w:rStyle w:val="a9"/>
                <w:noProof/>
                <w:spacing w:val="-16"/>
                <w:w w:val="110"/>
              </w:rPr>
              <w:t xml:space="preserve"> </w:t>
            </w:r>
            <w:r w:rsidRPr="00265A01">
              <w:rPr>
                <w:rStyle w:val="a9"/>
                <w:noProof/>
                <w:w w:val="110"/>
              </w:rPr>
              <w:t>EntityManagerFactory</w:t>
            </w:r>
            <w:r>
              <w:rPr>
                <w:noProof/>
                <w:webHidden/>
              </w:rPr>
              <w:tab/>
            </w:r>
            <w:r>
              <w:rPr>
                <w:noProof/>
                <w:webHidden/>
              </w:rPr>
              <w:fldChar w:fldCharType="begin"/>
            </w:r>
            <w:r>
              <w:rPr>
                <w:noProof/>
                <w:webHidden/>
              </w:rPr>
              <w:instrText xml:space="preserve"> PAGEREF _Toc54423976 \h </w:instrText>
            </w:r>
            <w:r>
              <w:rPr>
                <w:noProof/>
                <w:webHidden/>
              </w:rPr>
            </w:r>
            <w:r>
              <w:rPr>
                <w:noProof/>
                <w:webHidden/>
              </w:rPr>
              <w:fldChar w:fldCharType="separate"/>
            </w:r>
            <w:r>
              <w:rPr>
                <w:noProof/>
                <w:webHidden/>
              </w:rPr>
              <w:t>269</w:t>
            </w:r>
            <w:r>
              <w:rPr>
                <w:noProof/>
                <w:webHidden/>
              </w:rPr>
              <w:fldChar w:fldCharType="end"/>
            </w:r>
          </w:hyperlink>
        </w:p>
        <w:p w14:paraId="14C6EFAA" w14:textId="643C111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77" w:history="1">
            <w:r w:rsidRPr="00265A01">
              <w:rPr>
                <w:rStyle w:val="a9"/>
                <w:noProof/>
                <w:spacing w:val="-1"/>
                <w:w w:val="113"/>
              </w:rPr>
              <w:t>9.9.10.</w:t>
            </w:r>
            <w:r>
              <w:rPr>
                <w:rFonts w:asciiTheme="minorHAnsi" w:eastAsiaTheme="minorEastAsia" w:hAnsiTheme="minorHAnsi" w:cstheme="minorBidi"/>
                <w:noProof/>
                <w:kern w:val="2"/>
                <w:szCs w:val="22"/>
                <w:lang w:eastAsia="zh-CN"/>
              </w:rPr>
              <w:tab/>
            </w:r>
            <w:r w:rsidRPr="00265A01">
              <w:rPr>
                <w:rStyle w:val="a9"/>
                <w:noProof/>
                <w:w w:val="105"/>
              </w:rPr>
              <w:t>Use Two</w:t>
            </w:r>
            <w:r w:rsidRPr="00265A01">
              <w:rPr>
                <w:rStyle w:val="a9"/>
                <w:noProof/>
                <w:spacing w:val="-2"/>
                <w:w w:val="105"/>
              </w:rPr>
              <w:t xml:space="preserve"> </w:t>
            </w:r>
            <w:r w:rsidRPr="00265A01">
              <w:rPr>
                <w:rStyle w:val="a9"/>
                <w:noProof/>
                <w:w w:val="105"/>
              </w:rPr>
              <w:t>EntityManagers</w:t>
            </w:r>
            <w:r>
              <w:rPr>
                <w:noProof/>
                <w:webHidden/>
              </w:rPr>
              <w:tab/>
            </w:r>
            <w:r>
              <w:rPr>
                <w:noProof/>
                <w:webHidden/>
              </w:rPr>
              <w:fldChar w:fldCharType="begin"/>
            </w:r>
            <w:r>
              <w:rPr>
                <w:noProof/>
                <w:webHidden/>
              </w:rPr>
              <w:instrText xml:space="preserve"> PAGEREF _Toc54423977 \h </w:instrText>
            </w:r>
            <w:r>
              <w:rPr>
                <w:noProof/>
                <w:webHidden/>
              </w:rPr>
            </w:r>
            <w:r>
              <w:rPr>
                <w:noProof/>
                <w:webHidden/>
              </w:rPr>
              <w:fldChar w:fldCharType="separate"/>
            </w:r>
            <w:r>
              <w:rPr>
                <w:noProof/>
                <w:webHidden/>
              </w:rPr>
              <w:t>269</w:t>
            </w:r>
            <w:r>
              <w:rPr>
                <w:noProof/>
                <w:webHidden/>
              </w:rPr>
              <w:fldChar w:fldCharType="end"/>
            </w:r>
          </w:hyperlink>
        </w:p>
        <w:p w14:paraId="2EE50FF8" w14:textId="7EE68AE9"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78" w:history="1">
            <w:r w:rsidRPr="00265A01">
              <w:rPr>
                <w:rStyle w:val="a9"/>
                <w:noProof/>
                <w:spacing w:val="-1"/>
                <w:w w:val="113"/>
              </w:rPr>
              <w:t>9.9.11.</w:t>
            </w:r>
            <w:r>
              <w:rPr>
                <w:rFonts w:asciiTheme="minorHAnsi" w:eastAsiaTheme="minorEastAsia" w:hAnsiTheme="minorHAnsi" w:cstheme="minorBidi"/>
                <w:noProof/>
                <w:kern w:val="2"/>
                <w:szCs w:val="22"/>
                <w:lang w:eastAsia="zh-CN"/>
              </w:rPr>
              <w:tab/>
            </w:r>
            <w:r w:rsidRPr="00265A01">
              <w:rPr>
                <w:rStyle w:val="a9"/>
                <w:noProof/>
                <w:w w:val="115"/>
              </w:rPr>
              <w:t>Use a Traditional persistence.xml</w:t>
            </w:r>
            <w:r w:rsidRPr="00265A01">
              <w:rPr>
                <w:rStyle w:val="a9"/>
                <w:noProof/>
                <w:spacing w:val="-41"/>
                <w:w w:val="115"/>
              </w:rPr>
              <w:t xml:space="preserve"> </w:t>
            </w:r>
            <w:r w:rsidRPr="00265A01">
              <w:rPr>
                <w:rStyle w:val="a9"/>
                <w:noProof/>
                <w:w w:val="115"/>
              </w:rPr>
              <w:t>File</w:t>
            </w:r>
            <w:r>
              <w:rPr>
                <w:noProof/>
                <w:webHidden/>
              </w:rPr>
              <w:tab/>
            </w:r>
            <w:r>
              <w:rPr>
                <w:noProof/>
                <w:webHidden/>
              </w:rPr>
              <w:fldChar w:fldCharType="begin"/>
            </w:r>
            <w:r>
              <w:rPr>
                <w:noProof/>
                <w:webHidden/>
              </w:rPr>
              <w:instrText xml:space="preserve"> PAGEREF _Toc54423978 \h </w:instrText>
            </w:r>
            <w:r>
              <w:rPr>
                <w:noProof/>
                <w:webHidden/>
              </w:rPr>
            </w:r>
            <w:r>
              <w:rPr>
                <w:noProof/>
                <w:webHidden/>
              </w:rPr>
              <w:fldChar w:fldCharType="separate"/>
            </w:r>
            <w:r>
              <w:rPr>
                <w:noProof/>
                <w:webHidden/>
              </w:rPr>
              <w:t>269</w:t>
            </w:r>
            <w:r>
              <w:rPr>
                <w:noProof/>
                <w:webHidden/>
              </w:rPr>
              <w:fldChar w:fldCharType="end"/>
            </w:r>
          </w:hyperlink>
        </w:p>
        <w:p w14:paraId="24A27450" w14:textId="1AF16E8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79" w:history="1">
            <w:r w:rsidRPr="00265A01">
              <w:rPr>
                <w:rStyle w:val="a9"/>
                <w:noProof/>
                <w:spacing w:val="-1"/>
                <w:w w:val="113"/>
              </w:rPr>
              <w:t>9.9.12.</w:t>
            </w:r>
            <w:r>
              <w:rPr>
                <w:rFonts w:asciiTheme="minorHAnsi" w:eastAsiaTheme="minorEastAsia" w:hAnsiTheme="minorHAnsi" w:cstheme="minorBidi"/>
                <w:noProof/>
                <w:kern w:val="2"/>
                <w:szCs w:val="22"/>
                <w:lang w:eastAsia="zh-CN"/>
              </w:rPr>
              <w:tab/>
            </w:r>
            <w:r w:rsidRPr="00265A01">
              <w:rPr>
                <w:rStyle w:val="a9"/>
                <w:noProof/>
                <w:w w:val="110"/>
              </w:rPr>
              <w:t xml:space="preserve">Use Spring Data </w:t>
            </w:r>
            <w:r w:rsidRPr="00265A01">
              <w:rPr>
                <w:rStyle w:val="a9"/>
                <w:noProof/>
                <w:spacing w:val="-5"/>
                <w:w w:val="110"/>
              </w:rPr>
              <w:t xml:space="preserve">JPA </w:t>
            </w:r>
            <w:r w:rsidRPr="00265A01">
              <w:rPr>
                <w:rStyle w:val="a9"/>
                <w:noProof/>
                <w:w w:val="110"/>
              </w:rPr>
              <w:t>and Mongo</w:t>
            </w:r>
            <w:r w:rsidRPr="00265A01">
              <w:rPr>
                <w:rStyle w:val="a9"/>
                <w:noProof/>
                <w:spacing w:val="-40"/>
                <w:w w:val="110"/>
              </w:rPr>
              <w:t xml:space="preserve"> </w:t>
            </w:r>
            <w:r w:rsidRPr="00265A01">
              <w:rPr>
                <w:rStyle w:val="a9"/>
                <w:noProof/>
                <w:w w:val="110"/>
              </w:rPr>
              <w:t>Repositories</w:t>
            </w:r>
            <w:r>
              <w:rPr>
                <w:noProof/>
                <w:webHidden/>
              </w:rPr>
              <w:tab/>
            </w:r>
            <w:r>
              <w:rPr>
                <w:noProof/>
                <w:webHidden/>
              </w:rPr>
              <w:fldChar w:fldCharType="begin"/>
            </w:r>
            <w:r>
              <w:rPr>
                <w:noProof/>
                <w:webHidden/>
              </w:rPr>
              <w:instrText xml:space="preserve"> PAGEREF _Toc54423979 \h </w:instrText>
            </w:r>
            <w:r>
              <w:rPr>
                <w:noProof/>
                <w:webHidden/>
              </w:rPr>
            </w:r>
            <w:r>
              <w:rPr>
                <w:noProof/>
                <w:webHidden/>
              </w:rPr>
              <w:fldChar w:fldCharType="separate"/>
            </w:r>
            <w:r>
              <w:rPr>
                <w:noProof/>
                <w:webHidden/>
              </w:rPr>
              <w:t>269</w:t>
            </w:r>
            <w:r>
              <w:rPr>
                <w:noProof/>
                <w:webHidden/>
              </w:rPr>
              <w:fldChar w:fldCharType="end"/>
            </w:r>
          </w:hyperlink>
        </w:p>
        <w:p w14:paraId="0754E507" w14:textId="1ED4E5B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0" w:history="1">
            <w:r w:rsidRPr="00265A01">
              <w:rPr>
                <w:rStyle w:val="a9"/>
                <w:noProof/>
                <w:spacing w:val="-1"/>
                <w:w w:val="113"/>
              </w:rPr>
              <w:t>9.9.13.</w:t>
            </w:r>
            <w:r>
              <w:rPr>
                <w:rFonts w:asciiTheme="minorHAnsi" w:eastAsiaTheme="minorEastAsia" w:hAnsiTheme="minorHAnsi" w:cstheme="minorBidi"/>
                <w:noProof/>
                <w:kern w:val="2"/>
                <w:szCs w:val="22"/>
                <w:lang w:eastAsia="zh-CN"/>
              </w:rPr>
              <w:tab/>
            </w:r>
            <w:r w:rsidRPr="00265A01">
              <w:rPr>
                <w:rStyle w:val="a9"/>
                <w:noProof/>
                <w:w w:val="110"/>
              </w:rPr>
              <w:t xml:space="preserve">Customize Spring Data’s </w:t>
            </w:r>
            <w:r w:rsidRPr="00265A01">
              <w:rPr>
                <w:rStyle w:val="a9"/>
                <w:noProof/>
                <w:spacing w:val="-6"/>
                <w:w w:val="110"/>
              </w:rPr>
              <w:t>Web</w:t>
            </w:r>
            <w:r w:rsidRPr="00265A01">
              <w:rPr>
                <w:rStyle w:val="a9"/>
                <w:noProof/>
                <w:spacing w:val="-27"/>
                <w:w w:val="110"/>
              </w:rPr>
              <w:t xml:space="preserve"> </w:t>
            </w:r>
            <w:r w:rsidRPr="00265A01">
              <w:rPr>
                <w:rStyle w:val="a9"/>
                <w:noProof/>
                <w:w w:val="110"/>
              </w:rPr>
              <w:t>Support</w:t>
            </w:r>
            <w:r>
              <w:rPr>
                <w:noProof/>
                <w:webHidden/>
              </w:rPr>
              <w:tab/>
            </w:r>
            <w:r>
              <w:rPr>
                <w:noProof/>
                <w:webHidden/>
              </w:rPr>
              <w:fldChar w:fldCharType="begin"/>
            </w:r>
            <w:r>
              <w:rPr>
                <w:noProof/>
                <w:webHidden/>
              </w:rPr>
              <w:instrText xml:space="preserve"> PAGEREF _Toc54423980 \h </w:instrText>
            </w:r>
            <w:r>
              <w:rPr>
                <w:noProof/>
                <w:webHidden/>
              </w:rPr>
            </w:r>
            <w:r>
              <w:rPr>
                <w:noProof/>
                <w:webHidden/>
              </w:rPr>
              <w:fldChar w:fldCharType="separate"/>
            </w:r>
            <w:r>
              <w:rPr>
                <w:noProof/>
                <w:webHidden/>
              </w:rPr>
              <w:t>269</w:t>
            </w:r>
            <w:r>
              <w:rPr>
                <w:noProof/>
                <w:webHidden/>
              </w:rPr>
              <w:fldChar w:fldCharType="end"/>
            </w:r>
          </w:hyperlink>
        </w:p>
        <w:p w14:paraId="5EE2E75A" w14:textId="42867556"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1" w:history="1">
            <w:r w:rsidRPr="00265A01">
              <w:rPr>
                <w:rStyle w:val="a9"/>
                <w:noProof/>
                <w:spacing w:val="-1"/>
                <w:w w:val="113"/>
              </w:rPr>
              <w:t>9.9.14.</w:t>
            </w:r>
            <w:r>
              <w:rPr>
                <w:rFonts w:asciiTheme="minorHAnsi" w:eastAsiaTheme="minorEastAsia" w:hAnsiTheme="minorHAnsi" w:cstheme="minorBidi"/>
                <w:noProof/>
                <w:kern w:val="2"/>
                <w:szCs w:val="22"/>
                <w:lang w:eastAsia="zh-CN"/>
              </w:rPr>
              <w:tab/>
            </w:r>
            <w:r w:rsidRPr="00265A01">
              <w:rPr>
                <w:rStyle w:val="a9"/>
                <w:noProof/>
                <w:w w:val="110"/>
              </w:rPr>
              <w:t>Expose Spring Data Repositories as REST</w:t>
            </w:r>
            <w:r w:rsidRPr="00265A01">
              <w:rPr>
                <w:rStyle w:val="a9"/>
                <w:noProof/>
                <w:spacing w:val="-44"/>
                <w:w w:val="110"/>
              </w:rPr>
              <w:t xml:space="preserve"> </w:t>
            </w:r>
            <w:r w:rsidRPr="00265A01">
              <w:rPr>
                <w:rStyle w:val="a9"/>
                <w:noProof/>
                <w:w w:val="110"/>
              </w:rPr>
              <w:t>Endpoint</w:t>
            </w:r>
            <w:r>
              <w:rPr>
                <w:noProof/>
                <w:webHidden/>
              </w:rPr>
              <w:tab/>
            </w:r>
            <w:r>
              <w:rPr>
                <w:noProof/>
                <w:webHidden/>
              </w:rPr>
              <w:fldChar w:fldCharType="begin"/>
            </w:r>
            <w:r>
              <w:rPr>
                <w:noProof/>
                <w:webHidden/>
              </w:rPr>
              <w:instrText xml:space="preserve"> PAGEREF _Toc54423981 \h </w:instrText>
            </w:r>
            <w:r>
              <w:rPr>
                <w:noProof/>
                <w:webHidden/>
              </w:rPr>
            </w:r>
            <w:r>
              <w:rPr>
                <w:noProof/>
                <w:webHidden/>
              </w:rPr>
              <w:fldChar w:fldCharType="separate"/>
            </w:r>
            <w:r>
              <w:rPr>
                <w:noProof/>
                <w:webHidden/>
              </w:rPr>
              <w:t>269</w:t>
            </w:r>
            <w:r>
              <w:rPr>
                <w:noProof/>
                <w:webHidden/>
              </w:rPr>
              <w:fldChar w:fldCharType="end"/>
            </w:r>
          </w:hyperlink>
        </w:p>
        <w:p w14:paraId="41D24F2C" w14:textId="34B72C89"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2" w:history="1">
            <w:r w:rsidRPr="00265A01">
              <w:rPr>
                <w:rStyle w:val="a9"/>
                <w:noProof/>
                <w:spacing w:val="-1"/>
                <w:w w:val="113"/>
              </w:rPr>
              <w:t>9.9.15.</w:t>
            </w:r>
            <w:r>
              <w:rPr>
                <w:rFonts w:asciiTheme="minorHAnsi" w:eastAsiaTheme="minorEastAsia" w:hAnsiTheme="minorHAnsi" w:cstheme="minorBidi"/>
                <w:noProof/>
                <w:kern w:val="2"/>
                <w:szCs w:val="22"/>
                <w:lang w:eastAsia="zh-CN"/>
              </w:rPr>
              <w:tab/>
            </w:r>
            <w:r w:rsidRPr="00265A01">
              <w:rPr>
                <w:rStyle w:val="a9"/>
                <w:noProof/>
                <w:w w:val="110"/>
              </w:rPr>
              <w:t xml:space="preserve">Configure a Component that is Used </w:t>
            </w:r>
            <w:r w:rsidRPr="00265A01">
              <w:rPr>
                <w:rStyle w:val="a9"/>
                <w:noProof/>
                <w:spacing w:val="-3"/>
                <w:w w:val="110"/>
              </w:rPr>
              <w:t>by</w:t>
            </w:r>
            <w:r w:rsidRPr="00265A01">
              <w:rPr>
                <w:rStyle w:val="a9"/>
                <w:noProof/>
                <w:spacing w:val="-49"/>
                <w:w w:val="110"/>
              </w:rPr>
              <w:t xml:space="preserve"> </w:t>
            </w:r>
            <w:r w:rsidRPr="00265A01">
              <w:rPr>
                <w:rStyle w:val="a9"/>
                <w:noProof/>
                <w:spacing w:val="-5"/>
                <w:w w:val="110"/>
              </w:rPr>
              <w:t>JPA</w:t>
            </w:r>
            <w:r>
              <w:rPr>
                <w:noProof/>
                <w:webHidden/>
              </w:rPr>
              <w:tab/>
            </w:r>
            <w:r>
              <w:rPr>
                <w:noProof/>
                <w:webHidden/>
              </w:rPr>
              <w:fldChar w:fldCharType="begin"/>
            </w:r>
            <w:r>
              <w:rPr>
                <w:noProof/>
                <w:webHidden/>
              </w:rPr>
              <w:instrText xml:space="preserve"> PAGEREF _Toc54423982 \h </w:instrText>
            </w:r>
            <w:r>
              <w:rPr>
                <w:noProof/>
                <w:webHidden/>
              </w:rPr>
            </w:r>
            <w:r>
              <w:rPr>
                <w:noProof/>
                <w:webHidden/>
              </w:rPr>
              <w:fldChar w:fldCharType="separate"/>
            </w:r>
            <w:r>
              <w:rPr>
                <w:noProof/>
                <w:webHidden/>
              </w:rPr>
              <w:t>269</w:t>
            </w:r>
            <w:r>
              <w:rPr>
                <w:noProof/>
                <w:webHidden/>
              </w:rPr>
              <w:fldChar w:fldCharType="end"/>
            </w:r>
          </w:hyperlink>
        </w:p>
        <w:p w14:paraId="3C341EE8" w14:textId="25814A5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3" w:history="1">
            <w:r w:rsidRPr="00265A01">
              <w:rPr>
                <w:rStyle w:val="a9"/>
                <w:noProof/>
                <w:spacing w:val="-1"/>
                <w:w w:val="113"/>
              </w:rPr>
              <w:t>9.9.16.</w:t>
            </w:r>
            <w:r>
              <w:rPr>
                <w:rFonts w:asciiTheme="minorHAnsi" w:eastAsiaTheme="minorEastAsia" w:hAnsiTheme="minorHAnsi" w:cstheme="minorBidi"/>
                <w:noProof/>
                <w:kern w:val="2"/>
                <w:szCs w:val="22"/>
                <w:lang w:eastAsia="zh-CN"/>
              </w:rPr>
              <w:tab/>
            </w:r>
            <w:r w:rsidRPr="00265A01">
              <w:rPr>
                <w:rStyle w:val="a9"/>
                <w:noProof/>
                <w:w w:val="110"/>
              </w:rPr>
              <w:t>Configure jOOQ with Two</w:t>
            </w:r>
            <w:r w:rsidRPr="00265A01">
              <w:rPr>
                <w:rStyle w:val="a9"/>
                <w:noProof/>
                <w:spacing w:val="-33"/>
                <w:w w:val="110"/>
              </w:rPr>
              <w:t xml:space="preserve"> </w:t>
            </w:r>
            <w:r w:rsidRPr="00265A01">
              <w:rPr>
                <w:rStyle w:val="a9"/>
                <w:noProof/>
                <w:w w:val="110"/>
              </w:rPr>
              <w:t>DataSources</w:t>
            </w:r>
            <w:r>
              <w:rPr>
                <w:noProof/>
                <w:webHidden/>
              </w:rPr>
              <w:tab/>
            </w:r>
            <w:r>
              <w:rPr>
                <w:noProof/>
                <w:webHidden/>
              </w:rPr>
              <w:fldChar w:fldCharType="begin"/>
            </w:r>
            <w:r>
              <w:rPr>
                <w:noProof/>
                <w:webHidden/>
              </w:rPr>
              <w:instrText xml:space="preserve"> PAGEREF _Toc54423983 \h </w:instrText>
            </w:r>
            <w:r>
              <w:rPr>
                <w:noProof/>
                <w:webHidden/>
              </w:rPr>
            </w:r>
            <w:r>
              <w:rPr>
                <w:noProof/>
                <w:webHidden/>
              </w:rPr>
              <w:fldChar w:fldCharType="separate"/>
            </w:r>
            <w:r>
              <w:rPr>
                <w:noProof/>
                <w:webHidden/>
              </w:rPr>
              <w:t>269</w:t>
            </w:r>
            <w:r>
              <w:rPr>
                <w:noProof/>
                <w:webHidden/>
              </w:rPr>
              <w:fldChar w:fldCharType="end"/>
            </w:r>
          </w:hyperlink>
        </w:p>
        <w:p w14:paraId="36926E8B" w14:textId="30D023E6"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84" w:history="1">
            <w:r w:rsidRPr="00265A01">
              <w:rPr>
                <w:rStyle w:val="a9"/>
                <w:noProof/>
                <w:spacing w:val="-1"/>
                <w:w w:val="113"/>
              </w:rPr>
              <w:t>9.10.</w:t>
            </w:r>
            <w:r>
              <w:rPr>
                <w:rFonts w:asciiTheme="minorHAnsi" w:eastAsiaTheme="minorEastAsia" w:hAnsiTheme="minorHAnsi" w:cstheme="minorBidi"/>
                <w:noProof/>
                <w:kern w:val="2"/>
                <w:szCs w:val="22"/>
                <w:lang w:eastAsia="zh-CN"/>
              </w:rPr>
              <w:tab/>
            </w:r>
            <w:r w:rsidRPr="00265A01">
              <w:rPr>
                <w:rStyle w:val="a9"/>
                <w:noProof/>
                <w:w w:val="110"/>
              </w:rPr>
              <w:t>Database</w:t>
            </w:r>
            <w:r w:rsidRPr="00265A01">
              <w:rPr>
                <w:rStyle w:val="a9"/>
                <w:noProof/>
                <w:spacing w:val="-6"/>
                <w:w w:val="110"/>
              </w:rPr>
              <w:t xml:space="preserve"> </w:t>
            </w:r>
            <w:r w:rsidRPr="00265A01">
              <w:rPr>
                <w:rStyle w:val="a9"/>
                <w:noProof/>
                <w:w w:val="110"/>
              </w:rPr>
              <w:t>Initialization</w:t>
            </w:r>
            <w:r>
              <w:rPr>
                <w:noProof/>
                <w:webHidden/>
              </w:rPr>
              <w:tab/>
            </w:r>
            <w:r>
              <w:rPr>
                <w:noProof/>
                <w:webHidden/>
              </w:rPr>
              <w:fldChar w:fldCharType="begin"/>
            </w:r>
            <w:r>
              <w:rPr>
                <w:noProof/>
                <w:webHidden/>
              </w:rPr>
              <w:instrText xml:space="preserve"> PAGEREF _Toc54423984 \h </w:instrText>
            </w:r>
            <w:r>
              <w:rPr>
                <w:noProof/>
                <w:webHidden/>
              </w:rPr>
            </w:r>
            <w:r>
              <w:rPr>
                <w:noProof/>
                <w:webHidden/>
              </w:rPr>
              <w:fldChar w:fldCharType="separate"/>
            </w:r>
            <w:r>
              <w:rPr>
                <w:noProof/>
                <w:webHidden/>
              </w:rPr>
              <w:t>269</w:t>
            </w:r>
            <w:r>
              <w:rPr>
                <w:noProof/>
                <w:webHidden/>
              </w:rPr>
              <w:fldChar w:fldCharType="end"/>
            </w:r>
          </w:hyperlink>
        </w:p>
        <w:p w14:paraId="2AA7902E" w14:textId="02A8F8C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5" w:history="1">
            <w:r w:rsidRPr="00265A01">
              <w:rPr>
                <w:rStyle w:val="a9"/>
                <w:noProof/>
                <w:spacing w:val="-1"/>
                <w:w w:val="113"/>
              </w:rPr>
              <w:t>9.10.1.</w:t>
            </w:r>
            <w:r>
              <w:rPr>
                <w:rFonts w:asciiTheme="minorHAnsi" w:eastAsiaTheme="minorEastAsia" w:hAnsiTheme="minorHAnsi" w:cstheme="minorBidi"/>
                <w:noProof/>
                <w:kern w:val="2"/>
                <w:szCs w:val="22"/>
                <w:lang w:eastAsia="zh-CN"/>
              </w:rPr>
              <w:tab/>
            </w:r>
            <w:r w:rsidRPr="00265A01">
              <w:rPr>
                <w:rStyle w:val="a9"/>
                <w:noProof/>
                <w:w w:val="110"/>
              </w:rPr>
              <w:t>Initialize a Database Using</w:t>
            </w:r>
            <w:r w:rsidRPr="00265A01">
              <w:rPr>
                <w:rStyle w:val="a9"/>
                <w:noProof/>
                <w:spacing w:val="-24"/>
                <w:w w:val="110"/>
              </w:rPr>
              <w:t xml:space="preserve"> </w:t>
            </w:r>
            <w:r w:rsidRPr="00265A01">
              <w:rPr>
                <w:rStyle w:val="a9"/>
                <w:noProof/>
                <w:spacing w:val="-5"/>
                <w:w w:val="110"/>
              </w:rPr>
              <w:t>JPA</w:t>
            </w:r>
            <w:r>
              <w:rPr>
                <w:noProof/>
                <w:webHidden/>
              </w:rPr>
              <w:tab/>
            </w:r>
            <w:r>
              <w:rPr>
                <w:noProof/>
                <w:webHidden/>
              </w:rPr>
              <w:fldChar w:fldCharType="begin"/>
            </w:r>
            <w:r>
              <w:rPr>
                <w:noProof/>
                <w:webHidden/>
              </w:rPr>
              <w:instrText xml:space="preserve"> PAGEREF _Toc54423985 \h </w:instrText>
            </w:r>
            <w:r>
              <w:rPr>
                <w:noProof/>
                <w:webHidden/>
              </w:rPr>
            </w:r>
            <w:r>
              <w:rPr>
                <w:noProof/>
                <w:webHidden/>
              </w:rPr>
              <w:fldChar w:fldCharType="separate"/>
            </w:r>
            <w:r>
              <w:rPr>
                <w:noProof/>
                <w:webHidden/>
              </w:rPr>
              <w:t>269</w:t>
            </w:r>
            <w:r>
              <w:rPr>
                <w:noProof/>
                <w:webHidden/>
              </w:rPr>
              <w:fldChar w:fldCharType="end"/>
            </w:r>
          </w:hyperlink>
        </w:p>
        <w:p w14:paraId="79530BB3" w14:textId="648068EA"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6" w:history="1">
            <w:r w:rsidRPr="00265A01">
              <w:rPr>
                <w:rStyle w:val="a9"/>
                <w:noProof/>
                <w:spacing w:val="-1"/>
                <w:w w:val="113"/>
              </w:rPr>
              <w:t>9.10.2.</w:t>
            </w:r>
            <w:r>
              <w:rPr>
                <w:rFonts w:asciiTheme="minorHAnsi" w:eastAsiaTheme="minorEastAsia" w:hAnsiTheme="minorHAnsi" w:cstheme="minorBidi"/>
                <w:noProof/>
                <w:kern w:val="2"/>
                <w:szCs w:val="22"/>
                <w:lang w:eastAsia="zh-CN"/>
              </w:rPr>
              <w:tab/>
            </w:r>
            <w:r w:rsidRPr="00265A01">
              <w:rPr>
                <w:rStyle w:val="a9"/>
                <w:noProof/>
                <w:w w:val="110"/>
              </w:rPr>
              <w:t>Initialize a Database Using</w:t>
            </w:r>
            <w:r w:rsidRPr="00265A01">
              <w:rPr>
                <w:rStyle w:val="a9"/>
                <w:noProof/>
                <w:spacing w:val="-21"/>
                <w:w w:val="110"/>
              </w:rPr>
              <w:t xml:space="preserve"> </w:t>
            </w:r>
            <w:r w:rsidRPr="00265A01">
              <w:rPr>
                <w:rStyle w:val="a9"/>
                <w:noProof/>
                <w:w w:val="110"/>
              </w:rPr>
              <w:t>Hibernate</w:t>
            </w:r>
            <w:r>
              <w:rPr>
                <w:noProof/>
                <w:webHidden/>
              </w:rPr>
              <w:tab/>
            </w:r>
            <w:r>
              <w:rPr>
                <w:noProof/>
                <w:webHidden/>
              </w:rPr>
              <w:fldChar w:fldCharType="begin"/>
            </w:r>
            <w:r>
              <w:rPr>
                <w:noProof/>
                <w:webHidden/>
              </w:rPr>
              <w:instrText xml:space="preserve"> PAGEREF _Toc54423986 \h </w:instrText>
            </w:r>
            <w:r>
              <w:rPr>
                <w:noProof/>
                <w:webHidden/>
              </w:rPr>
            </w:r>
            <w:r>
              <w:rPr>
                <w:noProof/>
                <w:webHidden/>
              </w:rPr>
              <w:fldChar w:fldCharType="separate"/>
            </w:r>
            <w:r>
              <w:rPr>
                <w:noProof/>
                <w:webHidden/>
              </w:rPr>
              <w:t>269</w:t>
            </w:r>
            <w:r>
              <w:rPr>
                <w:noProof/>
                <w:webHidden/>
              </w:rPr>
              <w:fldChar w:fldCharType="end"/>
            </w:r>
          </w:hyperlink>
        </w:p>
        <w:p w14:paraId="01F4CDD0" w14:textId="307A35B5"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7" w:history="1">
            <w:r w:rsidRPr="00265A01">
              <w:rPr>
                <w:rStyle w:val="a9"/>
                <w:noProof/>
                <w:spacing w:val="-1"/>
                <w:w w:val="113"/>
              </w:rPr>
              <w:t>9.10.3.</w:t>
            </w:r>
            <w:r>
              <w:rPr>
                <w:rFonts w:asciiTheme="minorHAnsi" w:eastAsiaTheme="minorEastAsia" w:hAnsiTheme="minorHAnsi" w:cstheme="minorBidi"/>
                <w:noProof/>
                <w:kern w:val="2"/>
                <w:szCs w:val="22"/>
                <w:lang w:eastAsia="zh-CN"/>
              </w:rPr>
              <w:tab/>
            </w:r>
            <w:r w:rsidRPr="00265A01">
              <w:rPr>
                <w:rStyle w:val="a9"/>
                <w:noProof/>
                <w:w w:val="110"/>
              </w:rPr>
              <w:t>Initialize a Database using basic SQL</w:t>
            </w:r>
            <w:r w:rsidRPr="00265A01">
              <w:rPr>
                <w:rStyle w:val="a9"/>
                <w:noProof/>
                <w:spacing w:val="-36"/>
                <w:w w:val="110"/>
              </w:rPr>
              <w:t xml:space="preserve"> </w:t>
            </w:r>
            <w:r w:rsidRPr="00265A01">
              <w:rPr>
                <w:rStyle w:val="a9"/>
                <w:noProof/>
                <w:w w:val="110"/>
              </w:rPr>
              <w:t>scripts</w:t>
            </w:r>
            <w:r>
              <w:rPr>
                <w:noProof/>
                <w:webHidden/>
              </w:rPr>
              <w:tab/>
            </w:r>
            <w:r>
              <w:rPr>
                <w:noProof/>
                <w:webHidden/>
              </w:rPr>
              <w:fldChar w:fldCharType="begin"/>
            </w:r>
            <w:r>
              <w:rPr>
                <w:noProof/>
                <w:webHidden/>
              </w:rPr>
              <w:instrText xml:space="preserve"> PAGEREF _Toc54423987 \h </w:instrText>
            </w:r>
            <w:r>
              <w:rPr>
                <w:noProof/>
                <w:webHidden/>
              </w:rPr>
            </w:r>
            <w:r>
              <w:rPr>
                <w:noProof/>
                <w:webHidden/>
              </w:rPr>
              <w:fldChar w:fldCharType="separate"/>
            </w:r>
            <w:r>
              <w:rPr>
                <w:noProof/>
                <w:webHidden/>
              </w:rPr>
              <w:t>269</w:t>
            </w:r>
            <w:r>
              <w:rPr>
                <w:noProof/>
                <w:webHidden/>
              </w:rPr>
              <w:fldChar w:fldCharType="end"/>
            </w:r>
          </w:hyperlink>
        </w:p>
        <w:p w14:paraId="27885ABD" w14:textId="5763384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8" w:history="1">
            <w:r w:rsidRPr="00265A01">
              <w:rPr>
                <w:rStyle w:val="a9"/>
                <w:noProof/>
                <w:spacing w:val="-1"/>
                <w:w w:val="113"/>
              </w:rPr>
              <w:t>9.10.4.</w:t>
            </w:r>
            <w:r>
              <w:rPr>
                <w:rFonts w:asciiTheme="minorHAnsi" w:eastAsiaTheme="minorEastAsia" w:hAnsiTheme="minorHAnsi" w:cstheme="minorBidi"/>
                <w:noProof/>
                <w:kern w:val="2"/>
                <w:szCs w:val="22"/>
                <w:lang w:eastAsia="zh-CN"/>
              </w:rPr>
              <w:tab/>
            </w:r>
            <w:r w:rsidRPr="00265A01">
              <w:rPr>
                <w:rStyle w:val="a9"/>
                <w:noProof/>
                <w:w w:val="110"/>
              </w:rPr>
              <w:t>Initialize a Database Using</w:t>
            </w:r>
            <w:r w:rsidRPr="00265A01">
              <w:rPr>
                <w:rStyle w:val="a9"/>
                <w:noProof/>
                <w:spacing w:val="-27"/>
                <w:w w:val="110"/>
              </w:rPr>
              <w:t xml:space="preserve"> </w:t>
            </w:r>
            <w:r w:rsidRPr="00265A01">
              <w:rPr>
                <w:rStyle w:val="a9"/>
                <w:noProof/>
                <w:w w:val="110"/>
              </w:rPr>
              <w:t>R2DBC</w:t>
            </w:r>
            <w:r>
              <w:rPr>
                <w:noProof/>
                <w:webHidden/>
              </w:rPr>
              <w:tab/>
            </w:r>
            <w:r>
              <w:rPr>
                <w:noProof/>
                <w:webHidden/>
              </w:rPr>
              <w:fldChar w:fldCharType="begin"/>
            </w:r>
            <w:r>
              <w:rPr>
                <w:noProof/>
                <w:webHidden/>
              </w:rPr>
              <w:instrText xml:space="preserve"> PAGEREF _Toc54423988 \h </w:instrText>
            </w:r>
            <w:r>
              <w:rPr>
                <w:noProof/>
                <w:webHidden/>
              </w:rPr>
            </w:r>
            <w:r>
              <w:rPr>
                <w:noProof/>
                <w:webHidden/>
              </w:rPr>
              <w:fldChar w:fldCharType="separate"/>
            </w:r>
            <w:r>
              <w:rPr>
                <w:noProof/>
                <w:webHidden/>
              </w:rPr>
              <w:t>269</w:t>
            </w:r>
            <w:r>
              <w:rPr>
                <w:noProof/>
                <w:webHidden/>
              </w:rPr>
              <w:fldChar w:fldCharType="end"/>
            </w:r>
          </w:hyperlink>
        </w:p>
        <w:p w14:paraId="350DC4A7" w14:textId="30E3A205"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89" w:history="1">
            <w:r w:rsidRPr="00265A01">
              <w:rPr>
                <w:rStyle w:val="a9"/>
                <w:noProof/>
                <w:spacing w:val="-1"/>
                <w:w w:val="113"/>
              </w:rPr>
              <w:t>9.10.5.</w:t>
            </w:r>
            <w:r>
              <w:rPr>
                <w:rFonts w:asciiTheme="minorHAnsi" w:eastAsiaTheme="minorEastAsia" w:hAnsiTheme="minorHAnsi" w:cstheme="minorBidi"/>
                <w:noProof/>
                <w:kern w:val="2"/>
                <w:szCs w:val="22"/>
                <w:lang w:eastAsia="zh-CN"/>
              </w:rPr>
              <w:tab/>
            </w:r>
            <w:r w:rsidRPr="00265A01">
              <w:rPr>
                <w:rStyle w:val="a9"/>
                <w:noProof/>
                <w:w w:val="110"/>
              </w:rPr>
              <w:t>Initialize a Spring Batch</w:t>
            </w:r>
            <w:r w:rsidRPr="00265A01">
              <w:rPr>
                <w:rStyle w:val="a9"/>
                <w:noProof/>
                <w:spacing w:val="-22"/>
                <w:w w:val="110"/>
              </w:rPr>
              <w:t xml:space="preserve"> </w:t>
            </w:r>
            <w:r w:rsidRPr="00265A01">
              <w:rPr>
                <w:rStyle w:val="a9"/>
                <w:noProof/>
                <w:w w:val="110"/>
              </w:rPr>
              <w:t>Database</w:t>
            </w:r>
            <w:r>
              <w:rPr>
                <w:noProof/>
                <w:webHidden/>
              </w:rPr>
              <w:tab/>
            </w:r>
            <w:r>
              <w:rPr>
                <w:noProof/>
                <w:webHidden/>
              </w:rPr>
              <w:fldChar w:fldCharType="begin"/>
            </w:r>
            <w:r>
              <w:rPr>
                <w:noProof/>
                <w:webHidden/>
              </w:rPr>
              <w:instrText xml:space="preserve"> PAGEREF _Toc54423989 \h </w:instrText>
            </w:r>
            <w:r>
              <w:rPr>
                <w:noProof/>
                <w:webHidden/>
              </w:rPr>
            </w:r>
            <w:r>
              <w:rPr>
                <w:noProof/>
                <w:webHidden/>
              </w:rPr>
              <w:fldChar w:fldCharType="separate"/>
            </w:r>
            <w:r>
              <w:rPr>
                <w:noProof/>
                <w:webHidden/>
              </w:rPr>
              <w:t>269</w:t>
            </w:r>
            <w:r>
              <w:rPr>
                <w:noProof/>
                <w:webHidden/>
              </w:rPr>
              <w:fldChar w:fldCharType="end"/>
            </w:r>
          </w:hyperlink>
        </w:p>
        <w:p w14:paraId="6C3E09CA" w14:textId="2D6A9BA5"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90" w:history="1">
            <w:r w:rsidRPr="00265A01">
              <w:rPr>
                <w:rStyle w:val="a9"/>
                <w:noProof/>
                <w:spacing w:val="-1"/>
                <w:w w:val="113"/>
              </w:rPr>
              <w:t>9.10.6.</w:t>
            </w:r>
            <w:r>
              <w:rPr>
                <w:rFonts w:asciiTheme="minorHAnsi" w:eastAsiaTheme="minorEastAsia" w:hAnsiTheme="minorHAnsi" w:cstheme="minorBidi"/>
                <w:noProof/>
                <w:kern w:val="2"/>
                <w:szCs w:val="22"/>
                <w:lang w:eastAsia="zh-CN"/>
              </w:rPr>
              <w:tab/>
            </w:r>
            <w:r w:rsidRPr="00265A01">
              <w:rPr>
                <w:rStyle w:val="a9"/>
                <w:noProof/>
                <w:w w:val="110"/>
              </w:rPr>
              <w:t>Use a Higher-level Database Migration</w:t>
            </w:r>
            <w:r w:rsidRPr="00265A01">
              <w:rPr>
                <w:rStyle w:val="a9"/>
                <w:noProof/>
                <w:spacing w:val="-32"/>
                <w:w w:val="110"/>
              </w:rPr>
              <w:t xml:space="preserve"> </w:t>
            </w:r>
            <w:r w:rsidRPr="00265A01">
              <w:rPr>
                <w:rStyle w:val="a9"/>
                <w:noProof/>
                <w:spacing w:val="-3"/>
                <w:w w:val="110"/>
              </w:rPr>
              <w:t>Tool</w:t>
            </w:r>
            <w:r>
              <w:rPr>
                <w:noProof/>
                <w:webHidden/>
              </w:rPr>
              <w:tab/>
            </w:r>
            <w:r>
              <w:rPr>
                <w:noProof/>
                <w:webHidden/>
              </w:rPr>
              <w:fldChar w:fldCharType="begin"/>
            </w:r>
            <w:r>
              <w:rPr>
                <w:noProof/>
                <w:webHidden/>
              </w:rPr>
              <w:instrText xml:space="preserve"> PAGEREF _Toc54423990 \h </w:instrText>
            </w:r>
            <w:r>
              <w:rPr>
                <w:noProof/>
                <w:webHidden/>
              </w:rPr>
            </w:r>
            <w:r>
              <w:rPr>
                <w:noProof/>
                <w:webHidden/>
              </w:rPr>
              <w:fldChar w:fldCharType="separate"/>
            </w:r>
            <w:r>
              <w:rPr>
                <w:noProof/>
                <w:webHidden/>
              </w:rPr>
              <w:t>269</w:t>
            </w:r>
            <w:r>
              <w:rPr>
                <w:noProof/>
                <w:webHidden/>
              </w:rPr>
              <w:fldChar w:fldCharType="end"/>
            </w:r>
          </w:hyperlink>
        </w:p>
        <w:p w14:paraId="230A8365" w14:textId="5A5A14CF"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91" w:history="1">
            <w:r w:rsidRPr="00265A01">
              <w:rPr>
                <w:rStyle w:val="a9"/>
                <w:noProof/>
                <w:spacing w:val="-1"/>
                <w:w w:val="113"/>
              </w:rPr>
              <w:t>9.11.</w:t>
            </w:r>
            <w:r>
              <w:rPr>
                <w:rFonts w:asciiTheme="minorHAnsi" w:eastAsiaTheme="minorEastAsia" w:hAnsiTheme="minorHAnsi" w:cstheme="minorBidi"/>
                <w:noProof/>
                <w:kern w:val="2"/>
                <w:szCs w:val="22"/>
                <w:lang w:eastAsia="zh-CN"/>
              </w:rPr>
              <w:tab/>
            </w:r>
            <w:r w:rsidRPr="00265A01">
              <w:rPr>
                <w:rStyle w:val="a9"/>
                <w:noProof/>
                <w:w w:val="105"/>
              </w:rPr>
              <w:t>Messaging</w:t>
            </w:r>
            <w:r>
              <w:rPr>
                <w:noProof/>
                <w:webHidden/>
              </w:rPr>
              <w:tab/>
            </w:r>
            <w:r>
              <w:rPr>
                <w:noProof/>
                <w:webHidden/>
              </w:rPr>
              <w:fldChar w:fldCharType="begin"/>
            </w:r>
            <w:r>
              <w:rPr>
                <w:noProof/>
                <w:webHidden/>
              </w:rPr>
              <w:instrText xml:space="preserve"> PAGEREF _Toc54423991 \h </w:instrText>
            </w:r>
            <w:r>
              <w:rPr>
                <w:noProof/>
                <w:webHidden/>
              </w:rPr>
            </w:r>
            <w:r>
              <w:rPr>
                <w:noProof/>
                <w:webHidden/>
              </w:rPr>
              <w:fldChar w:fldCharType="separate"/>
            </w:r>
            <w:r>
              <w:rPr>
                <w:noProof/>
                <w:webHidden/>
              </w:rPr>
              <w:t>269</w:t>
            </w:r>
            <w:r>
              <w:rPr>
                <w:noProof/>
                <w:webHidden/>
              </w:rPr>
              <w:fldChar w:fldCharType="end"/>
            </w:r>
          </w:hyperlink>
        </w:p>
        <w:p w14:paraId="655F7AA7" w14:textId="1146B40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92" w:history="1">
            <w:r w:rsidRPr="00265A01">
              <w:rPr>
                <w:rStyle w:val="a9"/>
                <w:noProof/>
                <w:spacing w:val="-1"/>
                <w:w w:val="113"/>
              </w:rPr>
              <w:t>9.11.1.</w:t>
            </w:r>
            <w:r>
              <w:rPr>
                <w:rFonts w:asciiTheme="minorHAnsi" w:eastAsiaTheme="minorEastAsia" w:hAnsiTheme="minorHAnsi" w:cstheme="minorBidi"/>
                <w:noProof/>
                <w:kern w:val="2"/>
                <w:szCs w:val="22"/>
                <w:lang w:eastAsia="zh-CN"/>
              </w:rPr>
              <w:tab/>
            </w:r>
            <w:r w:rsidRPr="00265A01">
              <w:rPr>
                <w:rStyle w:val="a9"/>
                <w:noProof/>
                <w:w w:val="105"/>
              </w:rPr>
              <w:t>Disable Transacted JMS</w:t>
            </w:r>
            <w:r w:rsidRPr="00265A01">
              <w:rPr>
                <w:rStyle w:val="a9"/>
                <w:noProof/>
                <w:spacing w:val="-2"/>
                <w:w w:val="105"/>
              </w:rPr>
              <w:t xml:space="preserve"> </w:t>
            </w:r>
            <w:r w:rsidRPr="00265A01">
              <w:rPr>
                <w:rStyle w:val="a9"/>
                <w:noProof/>
                <w:w w:val="105"/>
              </w:rPr>
              <w:t>Session</w:t>
            </w:r>
            <w:r>
              <w:rPr>
                <w:noProof/>
                <w:webHidden/>
              </w:rPr>
              <w:tab/>
            </w:r>
            <w:r>
              <w:rPr>
                <w:noProof/>
                <w:webHidden/>
              </w:rPr>
              <w:fldChar w:fldCharType="begin"/>
            </w:r>
            <w:r>
              <w:rPr>
                <w:noProof/>
                <w:webHidden/>
              </w:rPr>
              <w:instrText xml:space="preserve"> PAGEREF _Toc54423992 \h </w:instrText>
            </w:r>
            <w:r>
              <w:rPr>
                <w:noProof/>
                <w:webHidden/>
              </w:rPr>
            </w:r>
            <w:r>
              <w:rPr>
                <w:noProof/>
                <w:webHidden/>
              </w:rPr>
              <w:fldChar w:fldCharType="separate"/>
            </w:r>
            <w:r>
              <w:rPr>
                <w:noProof/>
                <w:webHidden/>
              </w:rPr>
              <w:t>269</w:t>
            </w:r>
            <w:r>
              <w:rPr>
                <w:noProof/>
                <w:webHidden/>
              </w:rPr>
              <w:fldChar w:fldCharType="end"/>
            </w:r>
          </w:hyperlink>
        </w:p>
        <w:p w14:paraId="1AF14504" w14:textId="7187040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93" w:history="1">
            <w:r w:rsidRPr="00265A01">
              <w:rPr>
                <w:rStyle w:val="a9"/>
                <w:noProof/>
                <w:spacing w:val="-1"/>
                <w:w w:val="113"/>
              </w:rPr>
              <w:t>9.12.</w:t>
            </w:r>
            <w:r>
              <w:rPr>
                <w:rFonts w:asciiTheme="minorHAnsi" w:eastAsiaTheme="minorEastAsia" w:hAnsiTheme="minorHAnsi" w:cstheme="minorBidi"/>
                <w:noProof/>
                <w:kern w:val="2"/>
                <w:szCs w:val="22"/>
                <w:lang w:eastAsia="zh-CN"/>
              </w:rPr>
              <w:tab/>
            </w:r>
            <w:r w:rsidRPr="00265A01">
              <w:rPr>
                <w:rStyle w:val="a9"/>
                <w:noProof/>
                <w:w w:val="110"/>
              </w:rPr>
              <w:t>Batch</w:t>
            </w:r>
            <w:r w:rsidRPr="00265A01">
              <w:rPr>
                <w:rStyle w:val="a9"/>
                <w:noProof/>
                <w:spacing w:val="-8"/>
                <w:w w:val="110"/>
              </w:rPr>
              <w:t xml:space="preserve"> </w:t>
            </w:r>
            <w:r w:rsidRPr="00265A01">
              <w:rPr>
                <w:rStyle w:val="a9"/>
                <w:noProof/>
                <w:w w:val="110"/>
              </w:rPr>
              <w:t>Applications</w:t>
            </w:r>
            <w:r>
              <w:rPr>
                <w:noProof/>
                <w:webHidden/>
              </w:rPr>
              <w:tab/>
            </w:r>
            <w:r>
              <w:rPr>
                <w:noProof/>
                <w:webHidden/>
              </w:rPr>
              <w:fldChar w:fldCharType="begin"/>
            </w:r>
            <w:r>
              <w:rPr>
                <w:noProof/>
                <w:webHidden/>
              </w:rPr>
              <w:instrText xml:space="preserve"> PAGEREF _Toc54423993 \h </w:instrText>
            </w:r>
            <w:r>
              <w:rPr>
                <w:noProof/>
                <w:webHidden/>
              </w:rPr>
            </w:r>
            <w:r>
              <w:rPr>
                <w:noProof/>
                <w:webHidden/>
              </w:rPr>
              <w:fldChar w:fldCharType="separate"/>
            </w:r>
            <w:r>
              <w:rPr>
                <w:noProof/>
                <w:webHidden/>
              </w:rPr>
              <w:t>269</w:t>
            </w:r>
            <w:r>
              <w:rPr>
                <w:noProof/>
                <w:webHidden/>
              </w:rPr>
              <w:fldChar w:fldCharType="end"/>
            </w:r>
          </w:hyperlink>
        </w:p>
        <w:p w14:paraId="34F176F5" w14:textId="5F8F4C2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94" w:history="1">
            <w:r w:rsidRPr="00265A01">
              <w:rPr>
                <w:rStyle w:val="a9"/>
                <w:noProof/>
                <w:spacing w:val="-1"/>
                <w:w w:val="113"/>
              </w:rPr>
              <w:t>9.12.1.</w:t>
            </w:r>
            <w:r>
              <w:rPr>
                <w:rFonts w:asciiTheme="minorHAnsi" w:eastAsiaTheme="minorEastAsia" w:hAnsiTheme="minorHAnsi" w:cstheme="minorBidi"/>
                <w:noProof/>
                <w:kern w:val="2"/>
                <w:szCs w:val="22"/>
                <w:lang w:eastAsia="zh-CN"/>
              </w:rPr>
              <w:tab/>
            </w:r>
            <w:r w:rsidRPr="00265A01">
              <w:rPr>
                <w:rStyle w:val="a9"/>
                <w:noProof/>
                <w:w w:val="110"/>
              </w:rPr>
              <w:t>Specifying a Batch Data</w:t>
            </w:r>
            <w:r w:rsidRPr="00265A01">
              <w:rPr>
                <w:rStyle w:val="a9"/>
                <w:noProof/>
                <w:spacing w:val="-22"/>
                <w:w w:val="110"/>
              </w:rPr>
              <w:t xml:space="preserve"> </w:t>
            </w:r>
            <w:r w:rsidRPr="00265A01">
              <w:rPr>
                <w:rStyle w:val="a9"/>
                <w:noProof/>
                <w:w w:val="110"/>
              </w:rPr>
              <w:t>Source</w:t>
            </w:r>
            <w:r>
              <w:rPr>
                <w:noProof/>
                <w:webHidden/>
              </w:rPr>
              <w:tab/>
            </w:r>
            <w:r>
              <w:rPr>
                <w:noProof/>
                <w:webHidden/>
              </w:rPr>
              <w:fldChar w:fldCharType="begin"/>
            </w:r>
            <w:r>
              <w:rPr>
                <w:noProof/>
                <w:webHidden/>
              </w:rPr>
              <w:instrText xml:space="preserve"> PAGEREF _Toc54423994 \h </w:instrText>
            </w:r>
            <w:r>
              <w:rPr>
                <w:noProof/>
                <w:webHidden/>
              </w:rPr>
            </w:r>
            <w:r>
              <w:rPr>
                <w:noProof/>
                <w:webHidden/>
              </w:rPr>
              <w:fldChar w:fldCharType="separate"/>
            </w:r>
            <w:r>
              <w:rPr>
                <w:noProof/>
                <w:webHidden/>
              </w:rPr>
              <w:t>269</w:t>
            </w:r>
            <w:r>
              <w:rPr>
                <w:noProof/>
                <w:webHidden/>
              </w:rPr>
              <w:fldChar w:fldCharType="end"/>
            </w:r>
          </w:hyperlink>
        </w:p>
        <w:p w14:paraId="2E6D59F0" w14:textId="3396AF0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95" w:history="1">
            <w:r w:rsidRPr="00265A01">
              <w:rPr>
                <w:rStyle w:val="a9"/>
                <w:noProof/>
                <w:spacing w:val="-1"/>
                <w:w w:val="113"/>
              </w:rPr>
              <w:t>9.12.2.</w:t>
            </w:r>
            <w:r>
              <w:rPr>
                <w:rFonts w:asciiTheme="minorHAnsi" w:eastAsiaTheme="minorEastAsia" w:hAnsiTheme="minorHAnsi" w:cstheme="minorBidi"/>
                <w:noProof/>
                <w:kern w:val="2"/>
                <w:szCs w:val="22"/>
                <w:lang w:eastAsia="zh-CN"/>
              </w:rPr>
              <w:tab/>
            </w:r>
            <w:r w:rsidRPr="00265A01">
              <w:rPr>
                <w:rStyle w:val="a9"/>
                <w:noProof/>
                <w:w w:val="110"/>
              </w:rPr>
              <w:t>Running</w:t>
            </w:r>
            <w:r w:rsidRPr="00265A01">
              <w:rPr>
                <w:rStyle w:val="a9"/>
                <w:noProof/>
                <w:spacing w:val="-19"/>
                <w:w w:val="110"/>
              </w:rPr>
              <w:t xml:space="preserve"> </w:t>
            </w:r>
            <w:r w:rsidRPr="00265A01">
              <w:rPr>
                <w:rStyle w:val="a9"/>
                <w:noProof/>
                <w:w w:val="110"/>
              </w:rPr>
              <w:t>Spring</w:t>
            </w:r>
            <w:r w:rsidRPr="00265A01">
              <w:rPr>
                <w:rStyle w:val="a9"/>
                <w:noProof/>
                <w:spacing w:val="-19"/>
                <w:w w:val="110"/>
              </w:rPr>
              <w:t xml:space="preserve"> </w:t>
            </w:r>
            <w:r w:rsidRPr="00265A01">
              <w:rPr>
                <w:rStyle w:val="a9"/>
                <w:noProof/>
                <w:w w:val="110"/>
              </w:rPr>
              <w:t>Batch</w:t>
            </w:r>
            <w:r w:rsidRPr="00265A01">
              <w:rPr>
                <w:rStyle w:val="a9"/>
                <w:noProof/>
                <w:spacing w:val="-20"/>
                <w:w w:val="110"/>
              </w:rPr>
              <w:t xml:space="preserve"> </w:t>
            </w:r>
            <w:r w:rsidRPr="00265A01">
              <w:rPr>
                <w:rStyle w:val="a9"/>
                <w:noProof/>
                <w:w w:val="110"/>
              </w:rPr>
              <w:t>Jobs</w:t>
            </w:r>
            <w:r w:rsidRPr="00265A01">
              <w:rPr>
                <w:rStyle w:val="a9"/>
                <w:noProof/>
                <w:spacing w:val="-18"/>
                <w:w w:val="110"/>
              </w:rPr>
              <w:t xml:space="preserve"> </w:t>
            </w:r>
            <w:r w:rsidRPr="00265A01">
              <w:rPr>
                <w:rStyle w:val="a9"/>
                <w:noProof/>
                <w:w w:val="110"/>
              </w:rPr>
              <w:t>on</w:t>
            </w:r>
            <w:r w:rsidRPr="00265A01">
              <w:rPr>
                <w:rStyle w:val="a9"/>
                <w:noProof/>
                <w:spacing w:val="-20"/>
                <w:w w:val="110"/>
              </w:rPr>
              <w:t xml:space="preserve"> </w:t>
            </w:r>
            <w:r w:rsidRPr="00265A01">
              <w:rPr>
                <w:rStyle w:val="a9"/>
                <w:noProof/>
                <w:w w:val="110"/>
              </w:rPr>
              <w:t>Startup</w:t>
            </w:r>
            <w:r>
              <w:rPr>
                <w:noProof/>
                <w:webHidden/>
              </w:rPr>
              <w:tab/>
            </w:r>
            <w:r>
              <w:rPr>
                <w:noProof/>
                <w:webHidden/>
              </w:rPr>
              <w:fldChar w:fldCharType="begin"/>
            </w:r>
            <w:r>
              <w:rPr>
                <w:noProof/>
                <w:webHidden/>
              </w:rPr>
              <w:instrText xml:space="preserve"> PAGEREF _Toc54423995 \h </w:instrText>
            </w:r>
            <w:r>
              <w:rPr>
                <w:noProof/>
                <w:webHidden/>
              </w:rPr>
            </w:r>
            <w:r>
              <w:rPr>
                <w:noProof/>
                <w:webHidden/>
              </w:rPr>
              <w:fldChar w:fldCharType="separate"/>
            </w:r>
            <w:r>
              <w:rPr>
                <w:noProof/>
                <w:webHidden/>
              </w:rPr>
              <w:t>269</w:t>
            </w:r>
            <w:r>
              <w:rPr>
                <w:noProof/>
                <w:webHidden/>
              </w:rPr>
              <w:fldChar w:fldCharType="end"/>
            </w:r>
          </w:hyperlink>
        </w:p>
        <w:p w14:paraId="34202A39" w14:textId="5D426E1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96" w:history="1">
            <w:r w:rsidRPr="00265A01">
              <w:rPr>
                <w:rStyle w:val="a9"/>
                <w:noProof/>
                <w:spacing w:val="-1"/>
                <w:w w:val="113"/>
              </w:rPr>
              <w:t>9.12.3.</w:t>
            </w:r>
            <w:r>
              <w:rPr>
                <w:rFonts w:asciiTheme="minorHAnsi" w:eastAsiaTheme="minorEastAsia" w:hAnsiTheme="minorHAnsi" w:cstheme="minorBidi"/>
                <w:noProof/>
                <w:kern w:val="2"/>
                <w:szCs w:val="22"/>
                <w:lang w:eastAsia="zh-CN"/>
              </w:rPr>
              <w:tab/>
            </w:r>
            <w:r w:rsidRPr="00265A01">
              <w:rPr>
                <w:rStyle w:val="a9"/>
                <w:noProof/>
                <w:w w:val="110"/>
              </w:rPr>
              <w:t>Running from the Command</w:t>
            </w:r>
            <w:r w:rsidRPr="00265A01">
              <w:rPr>
                <w:rStyle w:val="a9"/>
                <w:noProof/>
                <w:spacing w:val="-23"/>
                <w:w w:val="110"/>
              </w:rPr>
              <w:t xml:space="preserve"> </w:t>
            </w:r>
            <w:r w:rsidRPr="00265A01">
              <w:rPr>
                <w:rStyle w:val="a9"/>
                <w:noProof/>
                <w:w w:val="110"/>
              </w:rPr>
              <w:t>Line</w:t>
            </w:r>
            <w:r>
              <w:rPr>
                <w:noProof/>
                <w:webHidden/>
              </w:rPr>
              <w:tab/>
            </w:r>
            <w:r>
              <w:rPr>
                <w:noProof/>
                <w:webHidden/>
              </w:rPr>
              <w:fldChar w:fldCharType="begin"/>
            </w:r>
            <w:r>
              <w:rPr>
                <w:noProof/>
                <w:webHidden/>
              </w:rPr>
              <w:instrText xml:space="preserve"> PAGEREF _Toc54423996 \h </w:instrText>
            </w:r>
            <w:r>
              <w:rPr>
                <w:noProof/>
                <w:webHidden/>
              </w:rPr>
            </w:r>
            <w:r>
              <w:rPr>
                <w:noProof/>
                <w:webHidden/>
              </w:rPr>
              <w:fldChar w:fldCharType="separate"/>
            </w:r>
            <w:r>
              <w:rPr>
                <w:noProof/>
                <w:webHidden/>
              </w:rPr>
              <w:t>269</w:t>
            </w:r>
            <w:r>
              <w:rPr>
                <w:noProof/>
                <w:webHidden/>
              </w:rPr>
              <w:fldChar w:fldCharType="end"/>
            </w:r>
          </w:hyperlink>
        </w:p>
        <w:p w14:paraId="5100A4F9" w14:textId="612777A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97" w:history="1">
            <w:r w:rsidRPr="00265A01">
              <w:rPr>
                <w:rStyle w:val="a9"/>
                <w:noProof/>
                <w:spacing w:val="-1"/>
                <w:w w:val="113"/>
              </w:rPr>
              <w:t>9.12.4.</w:t>
            </w:r>
            <w:r>
              <w:rPr>
                <w:rFonts w:asciiTheme="minorHAnsi" w:eastAsiaTheme="minorEastAsia" w:hAnsiTheme="minorHAnsi" w:cstheme="minorBidi"/>
                <w:noProof/>
                <w:kern w:val="2"/>
                <w:szCs w:val="22"/>
                <w:lang w:eastAsia="zh-CN"/>
              </w:rPr>
              <w:tab/>
            </w:r>
            <w:r w:rsidRPr="00265A01">
              <w:rPr>
                <w:rStyle w:val="a9"/>
                <w:noProof/>
                <w:w w:val="110"/>
              </w:rPr>
              <w:t>Storing the Job</w:t>
            </w:r>
            <w:r w:rsidRPr="00265A01">
              <w:rPr>
                <w:rStyle w:val="a9"/>
                <w:noProof/>
                <w:spacing w:val="-17"/>
                <w:w w:val="110"/>
              </w:rPr>
              <w:t xml:space="preserve"> </w:t>
            </w:r>
            <w:r w:rsidRPr="00265A01">
              <w:rPr>
                <w:rStyle w:val="a9"/>
                <w:noProof/>
                <w:w w:val="110"/>
              </w:rPr>
              <w:t>Repository</w:t>
            </w:r>
            <w:r>
              <w:rPr>
                <w:noProof/>
                <w:webHidden/>
              </w:rPr>
              <w:tab/>
            </w:r>
            <w:r>
              <w:rPr>
                <w:noProof/>
                <w:webHidden/>
              </w:rPr>
              <w:fldChar w:fldCharType="begin"/>
            </w:r>
            <w:r>
              <w:rPr>
                <w:noProof/>
                <w:webHidden/>
              </w:rPr>
              <w:instrText xml:space="preserve"> PAGEREF _Toc54423997 \h </w:instrText>
            </w:r>
            <w:r>
              <w:rPr>
                <w:noProof/>
                <w:webHidden/>
              </w:rPr>
            </w:r>
            <w:r>
              <w:rPr>
                <w:noProof/>
                <w:webHidden/>
              </w:rPr>
              <w:fldChar w:fldCharType="separate"/>
            </w:r>
            <w:r>
              <w:rPr>
                <w:noProof/>
                <w:webHidden/>
              </w:rPr>
              <w:t>269</w:t>
            </w:r>
            <w:r>
              <w:rPr>
                <w:noProof/>
                <w:webHidden/>
              </w:rPr>
              <w:fldChar w:fldCharType="end"/>
            </w:r>
          </w:hyperlink>
        </w:p>
        <w:p w14:paraId="20C5BD40" w14:textId="22078DDC"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3998" w:history="1">
            <w:r w:rsidRPr="00265A01">
              <w:rPr>
                <w:rStyle w:val="a9"/>
                <w:noProof/>
                <w:spacing w:val="-1"/>
                <w:w w:val="113"/>
              </w:rPr>
              <w:t>9.13.</w:t>
            </w:r>
            <w:r>
              <w:rPr>
                <w:rFonts w:asciiTheme="minorHAnsi" w:eastAsiaTheme="minorEastAsia" w:hAnsiTheme="minorHAnsi" w:cstheme="minorBidi"/>
                <w:noProof/>
                <w:kern w:val="2"/>
                <w:szCs w:val="22"/>
                <w:lang w:eastAsia="zh-CN"/>
              </w:rPr>
              <w:tab/>
            </w:r>
            <w:r w:rsidRPr="00265A01">
              <w:rPr>
                <w:rStyle w:val="a9"/>
                <w:noProof/>
                <w:w w:val="115"/>
              </w:rPr>
              <w:t>Actuator</w:t>
            </w:r>
            <w:r>
              <w:rPr>
                <w:noProof/>
                <w:webHidden/>
              </w:rPr>
              <w:tab/>
            </w:r>
            <w:r>
              <w:rPr>
                <w:noProof/>
                <w:webHidden/>
              </w:rPr>
              <w:fldChar w:fldCharType="begin"/>
            </w:r>
            <w:r>
              <w:rPr>
                <w:noProof/>
                <w:webHidden/>
              </w:rPr>
              <w:instrText xml:space="preserve"> PAGEREF _Toc54423998 \h </w:instrText>
            </w:r>
            <w:r>
              <w:rPr>
                <w:noProof/>
                <w:webHidden/>
              </w:rPr>
            </w:r>
            <w:r>
              <w:rPr>
                <w:noProof/>
                <w:webHidden/>
              </w:rPr>
              <w:fldChar w:fldCharType="separate"/>
            </w:r>
            <w:r>
              <w:rPr>
                <w:noProof/>
                <w:webHidden/>
              </w:rPr>
              <w:t>269</w:t>
            </w:r>
            <w:r>
              <w:rPr>
                <w:noProof/>
                <w:webHidden/>
              </w:rPr>
              <w:fldChar w:fldCharType="end"/>
            </w:r>
          </w:hyperlink>
        </w:p>
        <w:p w14:paraId="5CF9FD17" w14:textId="1D27C7C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3999" w:history="1">
            <w:r w:rsidRPr="00265A01">
              <w:rPr>
                <w:rStyle w:val="a9"/>
                <w:noProof/>
                <w:spacing w:val="-1"/>
                <w:w w:val="113"/>
              </w:rPr>
              <w:t>9.13.1.</w:t>
            </w:r>
            <w:r>
              <w:rPr>
                <w:rFonts w:asciiTheme="minorHAnsi" w:eastAsiaTheme="minorEastAsia" w:hAnsiTheme="minorHAnsi" w:cstheme="minorBidi"/>
                <w:noProof/>
                <w:kern w:val="2"/>
                <w:szCs w:val="22"/>
                <w:lang w:eastAsia="zh-CN"/>
              </w:rPr>
              <w:tab/>
            </w:r>
            <w:r w:rsidRPr="00265A01">
              <w:rPr>
                <w:rStyle w:val="a9"/>
                <w:noProof/>
                <w:w w:val="110"/>
              </w:rPr>
              <w:t>Change</w:t>
            </w:r>
            <w:r w:rsidRPr="00265A01">
              <w:rPr>
                <w:rStyle w:val="a9"/>
                <w:noProof/>
                <w:spacing w:val="-8"/>
                <w:w w:val="110"/>
              </w:rPr>
              <w:t xml:space="preserve"> </w:t>
            </w:r>
            <w:r w:rsidRPr="00265A01">
              <w:rPr>
                <w:rStyle w:val="a9"/>
                <w:noProof/>
                <w:w w:val="110"/>
              </w:rPr>
              <w:t>the</w:t>
            </w:r>
            <w:r w:rsidRPr="00265A01">
              <w:rPr>
                <w:rStyle w:val="a9"/>
                <w:noProof/>
                <w:spacing w:val="-8"/>
                <w:w w:val="110"/>
              </w:rPr>
              <w:t xml:space="preserve"> </w:t>
            </w:r>
            <w:r w:rsidRPr="00265A01">
              <w:rPr>
                <w:rStyle w:val="a9"/>
                <w:noProof/>
                <w:w w:val="110"/>
              </w:rPr>
              <w:t>HTTP</w:t>
            </w:r>
            <w:r w:rsidRPr="00265A01">
              <w:rPr>
                <w:rStyle w:val="a9"/>
                <w:noProof/>
                <w:spacing w:val="-7"/>
                <w:w w:val="110"/>
              </w:rPr>
              <w:t xml:space="preserve"> </w:t>
            </w:r>
            <w:r w:rsidRPr="00265A01">
              <w:rPr>
                <w:rStyle w:val="a9"/>
                <w:noProof/>
                <w:w w:val="110"/>
              </w:rPr>
              <w:t>Port</w:t>
            </w:r>
            <w:r w:rsidRPr="00265A01">
              <w:rPr>
                <w:rStyle w:val="a9"/>
                <w:noProof/>
                <w:spacing w:val="-7"/>
                <w:w w:val="110"/>
              </w:rPr>
              <w:t xml:space="preserve"> </w:t>
            </w:r>
            <w:r w:rsidRPr="00265A01">
              <w:rPr>
                <w:rStyle w:val="a9"/>
                <w:noProof/>
                <w:w w:val="110"/>
              </w:rPr>
              <w:t>or</w:t>
            </w:r>
            <w:r w:rsidRPr="00265A01">
              <w:rPr>
                <w:rStyle w:val="a9"/>
                <w:noProof/>
                <w:spacing w:val="-7"/>
                <w:w w:val="110"/>
              </w:rPr>
              <w:t xml:space="preserve"> </w:t>
            </w:r>
            <w:r w:rsidRPr="00265A01">
              <w:rPr>
                <w:rStyle w:val="a9"/>
                <w:noProof/>
                <w:w w:val="110"/>
              </w:rPr>
              <w:t>Address</w:t>
            </w:r>
            <w:r w:rsidRPr="00265A01">
              <w:rPr>
                <w:rStyle w:val="a9"/>
                <w:noProof/>
                <w:spacing w:val="-8"/>
                <w:w w:val="110"/>
              </w:rPr>
              <w:t xml:space="preserve"> </w:t>
            </w:r>
            <w:r w:rsidRPr="00265A01">
              <w:rPr>
                <w:rStyle w:val="a9"/>
                <w:noProof/>
                <w:w w:val="110"/>
              </w:rPr>
              <w:t>of</w:t>
            </w:r>
            <w:r w:rsidRPr="00265A01">
              <w:rPr>
                <w:rStyle w:val="a9"/>
                <w:noProof/>
                <w:spacing w:val="-7"/>
                <w:w w:val="110"/>
              </w:rPr>
              <w:t xml:space="preserve"> </w:t>
            </w:r>
            <w:r w:rsidRPr="00265A01">
              <w:rPr>
                <w:rStyle w:val="a9"/>
                <w:noProof/>
                <w:w w:val="110"/>
              </w:rPr>
              <w:t>the</w:t>
            </w:r>
            <w:r w:rsidRPr="00265A01">
              <w:rPr>
                <w:rStyle w:val="a9"/>
                <w:noProof/>
                <w:spacing w:val="-8"/>
                <w:w w:val="110"/>
              </w:rPr>
              <w:t xml:space="preserve"> </w:t>
            </w:r>
            <w:r w:rsidRPr="00265A01">
              <w:rPr>
                <w:rStyle w:val="a9"/>
                <w:noProof/>
                <w:w w:val="110"/>
              </w:rPr>
              <w:t>Actuator</w:t>
            </w:r>
            <w:r w:rsidRPr="00265A01">
              <w:rPr>
                <w:rStyle w:val="a9"/>
                <w:noProof/>
                <w:spacing w:val="-7"/>
                <w:w w:val="110"/>
              </w:rPr>
              <w:t xml:space="preserve"> </w:t>
            </w:r>
            <w:r w:rsidRPr="00265A01">
              <w:rPr>
                <w:rStyle w:val="a9"/>
                <w:noProof/>
                <w:w w:val="110"/>
              </w:rPr>
              <w:t>Endpoints</w:t>
            </w:r>
            <w:r>
              <w:rPr>
                <w:noProof/>
                <w:webHidden/>
              </w:rPr>
              <w:tab/>
            </w:r>
            <w:r>
              <w:rPr>
                <w:noProof/>
                <w:webHidden/>
              </w:rPr>
              <w:fldChar w:fldCharType="begin"/>
            </w:r>
            <w:r>
              <w:rPr>
                <w:noProof/>
                <w:webHidden/>
              </w:rPr>
              <w:instrText xml:space="preserve"> PAGEREF _Toc54423999 \h </w:instrText>
            </w:r>
            <w:r>
              <w:rPr>
                <w:noProof/>
                <w:webHidden/>
              </w:rPr>
            </w:r>
            <w:r>
              <w:rPr>
                <w:noProof/>
                <w:webHidden/>
              </w:rPr>
              <w:fldChar w:fldCharType="separate"/>
            </w:r>
            <w:r>
              <w:rPr>
                <w:noProof/>
                <w:webHidden/>
              </w:rPr>
              <w:t>269</w:t>
            </w:r>
            <w:r>
              <w:rPr>
                <w:noProof/>
                <w:webHidden/>
              </w:rPr>
              <w:fldChar w:fldCharType="end"/>
            </w:r>
          </w:hyperlink>
        </w:p>
        <w:p w14:paraId="7D6F4813" w14:textId="088A7299"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00" w:history="1">
            <w:r w:rsidRPr="00265A01">
              <w:rPr>
                <w:rStyle w:val="a9"/>
                <w:noProof/>
                <w:spacing w:val="-1"/>
                <w:w w:val="113"/>
              </w:rPr>
              <w:t>9.13.2.</w:t>
            </w:r>
            <w:r>
              <w:rPr>
                <w:rFonts w:asciiTheme="minorHAnsi" w:eastAsiaTheme="minorEastAsia" w:hAnsiTheme="minorHAnsi" w:cstheme="minorBidi"/>
                <w:noProof/>
                <w:kern w:val="2"/>
                <w:szCs w:val="22"/>
                <w:lang w:eastAsia="zh-CN"/>
              </w:rPr>
              <w:tab/>
            </w:r>
            <w:r w:rsidRPr="00265A01">
              <w:rPr>
                <w:rStyle w:val="a9"/>
                <w:noProof/>
                <w:w w:val="110"/>
              </w:rPr>
              <w:t>Customize the ‘whitelabel’ Error</w:t>
            </w:r>
            <w:r w:rsidRPr="00265A01">
              <w:rPr>
                <w:rStyle w:val="a9"/>
                <w:noProof/>
                <w:spacing w:val="-22"/>
                <w:w w:val="110"/>
              </w:rPr>
              <w:t xml:space="preserve"> </w:t>
            </w:r>
            <w:r w:rsidRPr="00265A01">
              <w:rPr>
                <w:rStyle w:val="a9"/>
                <w:noProof/>
                <w:w w:val="110"/>
              </w:rPr>
              <w:t>Page</w:t>
            </w:r>
            <w:r>
              <w:rPr>
                <w:noProof/>
                <w:webHidden/>
              </w:rPr>
              <w:tab/>
            </w:r>
            <w:r>
              <w:rPr>
                <w:noProof/>
                <w:webHidden/>
              </w:rPr>
              <w:fldChar w:fldCharType="begin"/>
            </w:r>
            <w:r>
              <w:rPr>
                <w:noProof/>
                <w:webHidden/>
              </w:rPr>
              <w:instrText xml:space="preserve"> PAGEREF _Toc54424000 \h </w:instrText>
            </w:r>
            <w:r>
              <w:rPr>
                <w:noProof/>
                <w:webHidden/>
              </w:rPr>
            </w:r>
            <w:r>
              <w:rPr>
                <w:noProof/>
                <w:webHidden/>
              </w:rPr>
              <w:fldChar w:fldCharType="separate"/>
            </w:r>
            <w:r>
              <w:rPr>
                <w:noProof/>
                <w:webHidden/>
              </w:rPr>
              <w:t>269</w:t>
            </w:r>
            <w:r>
              <w:rPr>
                <w:noProof/>
                <w:webHidden/>
              </w:rPr>
              <w:fldChar w:fldCharType="end"/>
            </w:r>
          </w:hyperlink>
        </w:p>
        <w:p w14:paraId="312CF03F" w14:textId="3EBDBD29"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01" w:history="1">
            <w:r w:rsidRPr="00265A01">
              <w:rPr>
                <w:rStyle w:val="a9"/>
                <w:noProof/>
                <w:spacing w:val="-1"/>
                <w:w w:val="113"/>
              </w:rPr>
              <w:t>9.13.3.</w:t>
            </w:r>
            <w:r>
              <w:rPr>
                <w:rFonts w:asciiTheme="minorHAnsi" w:eastAsiaTheme="minorEastAsia" w:hAnsiTheme="minorHAnsi" w:cstheme="minorBidi"/>
                <w:noProof/>
                <w:kern w:val="2"/>
                <w:szCs w:val="22"/>
                <w:lang w:eastAsia="zh-CN"/>
              </w:rPr>
              <w:tab/>
            </w:r>
            <w:r w:rsidRPr="00265A01">
              <w:rPr>
                <w:rStyle w:val="a9"/>
                <w:noProof/>
                <w:w w:val="110"/>
              </w:rPr>
              <w:t>Sanitize Sensitive</w:t>
            </w:r>
            <w:r w:rsidRPr="00265A01">
              <w:rPr>
                <w:rStyle w:val="a9"/>
                <w:noProof/>
                <w:spacing w:val="-13"/>
                <w:w w:val="110"/>
              </w:rPr>
              <w:t xml:space="preserve"> </w:t>
            </w:r>
            <w:r w:rsidRPr="00265A01">
              <w:rPr>
                <w:rStyle w:val="a9"/>
                <w:noProof/>
                <w:spacing w:val="-4"/>
                <w:w w:val="110"/>
              </w:rPr>
              <w:t>Values</w:t>
            </w:r>
            <w:r>
              <w:rPr>
                <w:noProof/>
                <w:webHidden/>
              </w:rPr>
              <w:tab/>
            </w:r>
            <w:r>
              <w:rPr>
                <w:noProof/>
                <w:webHidden/>
              </w:rPr>
              <w:fldChar w:fldCharType="begin"/>
            </w:r>
            <w:r>
              <w:rPr>
                <w:noProof/>
                <w:webHidden/>
              </w:rPr>
              <w:instrText xml:space="preserve"> PAGEREF _Toc54424001 \h </w:instrText>
            </w:r>
            <w:r>
              <w:rPr>
                <w:noProof/>
                <w:webHidden/>
              </w:rPr>
            </w:r>
            <w:r>
              <w:rPr>
                <w:noProof/>
                <w:webHidden/>
              </w:rPr>
              <w:fldChar w:fldCharType="separate"/>
            </w:r>
            <w:r>
              <w:rPr>
                <w:noProof/>
                <w:webHidden/>
              </w:rPr>
              <w:t>269</w:t>
            </w:r>
            <w:r>
              <w:rPr>
                <w:noProof/>
                <w:webHidden/>
              </w:rPr>
              <w:fldChar w:fldCharType="end"/>
            </w:r>
          </w:hyperlink>
        </w:p>
        <w:p w14:paraId="240977BB" w14:textId="47BDCAC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02" w:history="1">
            <w:r w:rsidRPr="00265A01">
              <w:rPr>
                <w:rStyle w:val="a9"/>
                <w:noProof/>
                <w:spacing w:val="-1"/>
                <w:w w:val="113"/>
              </w:rPr>
              <w:t>9.13.4.</w:t>
            </w:r>
            <w:r>
              <w:rPr>
                <w:rFonts w:asciiTheme="minorHAnsi" w:eastAsiaTheme="minorEastAsia" w:hAnsiTheme="minorHAnsi" w:cstheme="minorBidi"/>
                <w:noProof/>
                <w:kern w:val="2"/>
                <w:szCs w:val="22"/>
                <w:lang w:eastAsia="zh-CN"/>
              </w:rPr>
              <w:tab/>
            </w:r>
            <w:r w:rsidRPr="00265A01">
              <w:rPr>
                <w:rStyle w:val="a9"/>
                <w:noProof/>
                <w:w w:val="110"/>
              </w:rPr>
              <w:t>Map Health Indicators to Micrometer</w:t>
            </w:r>
            <w:r w:rsidRPr="00265A01">
              <w:rPr>
                <w:rStyle w:val="a9"/>
                <w:noProof/>
                <w:spacing w:val="-23"/>
                <w:w w:val="110"/>
              </w:rPr>
              <w:t xml:space="preserve"> </w:t>
            </w:r>
            <w:r w:rsidRPr="00265A01">
              <w:rPr>
                <w:rStyle w:val="a9"/>
                <w:noProof/>
                <w:w w:val="110"/>
              </w:rPr>
              <w:t>Metrics</w:t>
            </w:r>
            <w:r>
              <w:rPr>
                <w:noProof/>
                <w:webHidden/>
              </w:rPr>
              <w:tab/>
            </w:r>
            <w:r>
              <w:rPr>
                <w:noProof/>
                <w:webHidden/>
              </w:rPr>
              <w:fldChar w:fldCharType="begin"/>
            </w:r>
            <w:r>
              <w:rPr>
                <w:noProof/>
                <w:webHidden/>
              </w:rPr>
              <w:instrText xml:space="preserve"> PAGEREF _Toc54424002 \h </w:instrText>
            </w:r>
            <w:r>
              <w:rPr>
                <w:noProof/>
                <w:webHidden/>
              </w:rPr>
            </w:r>
            <w:r>
              <w:rPr>
                <w:noProof/>
                <w:webHidden/>
              </w:rPr>
              <w:fldChar w:fldCharType="separate"/>
            </w:r>
            <w:r>
              <w:rPr>
                <w:noProof/>
                <w:webHidden/>
              </w:rPr>
              <w:t>269</w:t>
            </w:r>
            <w:r>
              <w:rPr>
                <w:noProof/>
                <w:webHidden/>
              </w:rPr>
              <w:fldChar w:fldCharType="end"/>
            </w:r>
          </w:hyperlink>
        </w:p>
        <w:p w14:paraId="1A43086B" w14:textId="5D287404"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4003" w:history="1">
            <w:r w:rsidRPr="00265A01">
              <w:rPr>
                <w:rStyle w:val="a9"/>
                <w:noProof/>
                <w:spacing w:val="-1"/>
                <w:w w:val="113"/>
              </w:rPr>
              <w:t>9.14.</w:t>
            </w:r>
            <w:r>
              <w:rPr>
                <w:rFonts w:asciiTheme="minorHAnsi" w:eastAsiaTheme="minorEastAsia" w:hAnsiTheme="minorHAnsi" w:cstheme="minorBidi"/>
                <w:noProof/>
                <w:kern w:val="2"/>
                <w:szCs w:val="22"/>
                <w:lang w:eastAsia="zh-CN"/>
              </w:rPr>
              <w:tab/>
            </w:r>
            <w:r w:rsidRPr="00265A01">
              <w:rPr>
                <w:rStyle w:val="a9"/>
                <w:noProof/>
                <w:w w:val="110"/>
              </w:rPr>
              <w:t>Security</w:t>
            </w:r>
            <w:r>
              <w:rPr>
                <w:noProof/>
                <w:webHidden/>
              </w:rPr>
              <w:tab/>
            </w:r>
            <w:r>
              <w:rPr>
                <w:noProof/>
                <w:webHidden/>
              </w:rPr>
              <w:fldChar w:fldCharType="begin"/>
            </w:r>
            <w:r>
              <w:rPr>
                <w:noProof/>
                <w:webHidden/>
              </w:rPr>
              <w:instrText xml:space="preserve"> PAGEREF _Toc54424003 \h </w:instrText>
            </w:r>
            <w:r>
              <w:rPr>
                <w:noProof/>
                <w:webHidden/>
              </w:rPr>
            </w:r>
            <w:r>
              <w:rPr>
                <w:noProof/>
                <w:webHidden/>
              </w:rPr>
              <w:fldChar w:fldCharType="separate"/>
            </w:r>
            <w:r>
              <w:rPr>
                <w:noProof/>
                <w:webHidden/>
              </w:rPr>
              <w:t>269</w:t>
            </w:r>
            <w:r>
              <w:rPr>
                <w:noProof/>
                <w:webHidden/>
              </w:rPr>
              <w:fldChar w:fldCharType="end"/>
            </w:r>
          </w:hyperlink>
        </w:p>
        <w:p w14:paraId="18A6AF4A" w14:textId="3ABAECF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04" w:history="1">
            <w:r w:rsidRPr="00265A01">
              <w:rPr>
                <w:rStyle w:val="a9"/>
                <w:noProof/>
                <w:spacing w:val="-1"/>
                <w:w w:val="113"/>
              </w:rPr>
              <w:t>9.14.1.</w:t>
            </w:r>
            <w:r>
              <w:rPr>
                <w:rFonts w:asciiTheme="minorHAnsi" w:eastAsiaTheme="minorEastAsia" w:hAnsiTheme="minorHAnsi" w:cstheme="minorBidi"/>
                <w:noProof/>
                <w:kern w:val="2"/>
                <w:szCs w:val="22"/>
                <w:lang w:eastAsia="zh-CN"/>
              </w:rPr>
              <w:tab/>
            </w:r>
            <w:r w:rsidRPr="00265A01">
              <w:rPr>
                <w:rStyle w:val="a9"/>
                <w:noProof/>
                <w:w w:val="110"/>
              </w:rPr>
              <w:t>Switch off the Spring Boot Security</w:t>
            </w:r>
            <w:r w:rsidRPr="00265A01">
              <w:rPr>
                <w:rStyle w:val="a9"/>
                <w:noProof/>
                <w:spacing w:val="-45"/>
                <w:w w:val="110"/>
              </w:rPr>
              <w:t xml:space="preserve"> </w:t>
            </w:r>
            <w:r w:rsidRPr="00265A01">
              <w:rPr>
                <w:rStyle w:val="a9"/>
                <w:noProof/>
                <w:w w:val="110"/>
              </w:rPr>
              <w:t>Configuration</w:t>
            </w:r>
            <w:r>
              <w:rPr>
                <w:noProof/>
                <w:webHidden/>
              </w:rPr>
              <w:tab/>
            </w:r>
            <w:r>
              <w:rPr>
                <w:noProof/>
                <w:webHidden/>
              </w:rPr>
              <w:fldChar w:fldCharType="begin"/>
            </w:r>
            <w:r>
              <w:rPr>
                <w:noProof/>
                <w:webHidden/>
              </w:rPr>
              <w:instrText xml:space="preserve"> PAGEREF _Toc54424004 \h </w:instrText>
            </w:r>
            <w:r>
              <w:rPr>
                <w:noProof/>
                <w:webHidden/>
              </w:rPr>
            </w:r>
            <w:r>
              <w:rPr>
                <w:noProof/>
                <w:webHidden/>
              </w:rPr>
              <w:fldChar w:fldCharType="separate"/>
            </w:r>
            <w:r>
              <w:rPr>
                <w:noProof/>
                <w:webHidden/>
              </w:rPr>
              <w:t>269</w:t>
            </w:r>
            <w:r>
              <w:rPr>
                <w:noProof/>
                <w:webHidden/>
              </w:rPr>
              <w:fldChar w:fldCharType="end"/>
            </w:r>
          </w:hyperlink>
        </w:p>
        <w:p w14:paraId="4D9F691F" w14:textId="2B4BED7A"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05" w:history="1">
            <w:r w:rsidRPr="00265A01">
              <w:rPr>
                <w:rStyle w:val="a9"/>
                <w:noProof/>
                <w:spacing w:val="-1"/>
                <w:w w:val="113"/>
              </w:rPr>
              <w:t>9.14.2.</w:t>
            </w:r>
            <w:r>
              <w:rPr>
                <w:rFonts w:asciiTheme="minorHAnsi" w:eastAsiaTheme="minorEastAsia" w:hAnsiTheme="minorHAnsi" w:cstheme="minorBidi"/>
                <w:noProof/>
                <w:kern w:val="2"/>
                <w:szCs w:val="22"/>
                <w:lang w:eastAsia="zh-CN"/>
              </w:rPr>
              <w:tab/>
            </w:r>
            <w:r w:rsidRPr="00265A01">
              <w:rPr>
                <w:rStyle w:val="a9"/>
                <w:noProof/>
                <w:w w:val="110"/>
              </w:rPr>
              <w:t xml:space="preserve">Change the UserDetailsService and </w:t>
            </w:r>
            <w:r w:rsidRPr="00265A01">
              <w:rPr>
                <w:rStyle w:val="a9"/>
                <w:noProof/>
                <w:spacing w:val="-3"/>
                <w:w w:val="110"/>
              </w:rPr>
              <w:t xml:space="preserve">Add </w:t>
            </w:r>
            <w:r w:rsidRPr="00265A01">
              <w:rPr>
                <w:rStyle w:val="a9"/>
                <w:noProof/>
                <w:w w:val="110"/>
              </w:rPr>
              <w:t>User</w:t>
            </w:r>
            <w:r w:rsidRPr="00265A01">
              <w:rPr>
                <w:rStyle w:val="a9"/>
                <w:noProof/>
                <w:spacing w:val="-41"/>
                <w:w w:val="110"/>
              </w:rPr>
              <w:t xml:space="preserve"> </w:t>
            </w:r>
            <w:r w:rsidRPr="00265A01">
              <w:rPr>
                <w:rStyle w:val="a9"/>
                <w:noProof/>
                <w:w w:val="110"/>
              </w:rPr>
              <w:t>Accounts</w:t>
            </w:r>
            <w:r>
              <w:rPr>
                <w:noProof/>
                <w:webHidden/>
              </w:rPr>
              <w:tab/>
            </w:r>
            <w:r>
              <w:rPr>
                <w:noProof/>
                <w:webHidden/>
              </w:rPr>
              <w:fldChar w:fldCharType="begin"/>
            </w:r>
            <w:r>
              <w:rPr>
                <w:noProof/>
                <w:webHidden/>
              </w:rPr>
              <w:instrText xml:space="preserve"> PAGEREF _Toc54424005 \h </w:instrText>
            </w:r>
            <w:r>
              <w:rPr>
                <w:noProof/>
                <w:webHidden/>
              </w:rPr>
            </w:r>
            <w:r>
              <w:rPr>
                <w:noProof/>
                <w:webHidden/>
              </w:rPr>
              <w:fldChar w:fldCharType="separate"/>
            </w:r>
            <w:r>
              <w:rPr>
                <w:noProof/>
                <w:webHidden/>
              </w:rPr>
              <w:t>269</w:t>
            </w:r>
            <w:r>
              <w:rPr>
                <w:noProof/>
                <w:webHidden/>
              </w:rPr>
              <w:fldChar w:fldCharType="end"/>
            </w:r>
          </w:hyperlink>
        </w:p>
        <w:p w14:paraId="7790AFC9" w14:textId="6FC28F55"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06" w:history="1">
            <w:r w:rsidRPr="00265A01">
              <w:rPr>
                <w:rStyle w:val="a9"/>
                <w:noProof/>
                <w:spacing w:val="-1"/>
                <w:w w:val="113"/>
              </w:rPr>
              <w:t>9.14.3.</w:t>
            </w:r>
            <w:r>
              <w:rPr>
                <w:rFonts w:asciiTheme="minorHAnsi" w:eastAsiaTheme="minorEastAsia" w:hAnsiTheme="minorHAnsi" w:cstheme="minorBidi"/>
                <w:noProof/>
                <w:kern w:val="2"/>
                <w:szCs w:val="22"/>
                <w:lang w:eastAsia="zh-CN"/>
              </w:rPr>
              <w:tab/>
            </w:r>
            <w:r w:rsidRPr="00265A01">
              <w:rPr>
                <w:rStyle w:val="a9"/>
                <w:noProof/>
                <w:w w:val="110"/>
              </w:rPr>
              <w:t>Enable</w:t>
            </w:r>
            <w:r w:rsidRPr="00265A01">
              <w:rPr>
                <w:rStyle w:val="a9"/>
                <w:noProof/>
                <w:spacing w:val="-8"/>
                <w:w w:val="110"/>
              </w:rPr>
              <w:t xml:space="preserve"> </w:t>
            </w:r>
            <w:r w:rsidRPr="00265A01">
              <w:rPr>
                <w:rStyle w:val="a9"/>
                <w:noProof/>
                <w:w w:val="110"/>
              </w:rPr>
              <w:t>HTTPS</w:t>
            </w:r>
            <w:r w:rsidRPr="00265A01">
              <w:rPr>
                <w:rStyle w:val="a9"/>
                <w:noProof/>
                <w:spacing w:val="-8"/>
                <w:w w:val="110"/>
              </w:rPr>
              <w:t xml:space="preserve"> </w:t>
            </w:r>
            <w:r w:rsidRPr="00265A01">
              <w:rPr>
                <w:rStyle w:val="a9"/>
                <w:noProof/>
                <w:w w:val="110"/>
              </w:rPr>
              <w:t>When</w:t>
            </w:r>
            <w:r w:rsidRPr="00265A01">
              <w:rPr>
                <w:rStyle w:val="a9"/>
                <w:noProof/>
                <w:spacing w:val="-8"/>
                <w:w w:val="110"/>
              </w:rPr>
              <w:t xml:space="preserve"> </w:t>
            </w:r>
            <w:r w:rsidRPr="00265A01">
              <w:rPr>
                <w:rStyle w:val="a9"/>
                <w:noProof/>
                <w:w w:val="110"/>
              </w:rPr>
              <w:t>Running</w:t>
            </w:r>
            <w:r w:rsidRPr="00265A01">
              <w:rPr>
                <w:rStyle w:val="a9"/>
                <w:noProof/>
                <w:spacing w:val="-7"/>
                <w:w w:val="110"/>
              </w:rPr>
              <w:t xml:space="preserve"> </w:t>
            </w:r>
            <w:r w:rsidRPr="00265A01">
              <w:rPr>
                <w:rStyle w:val="a9"/>
                <w:noProof/>
                <w:w w:val="110"/>
              </w:rPr>
              <w:t>behind</w:t>
            </w:r>
            <w:r w:rsidRPr="00265A01">
              <w:rPr>
                <w:rStyle w:val="a9"/>
                <w:noProof/>
                <w:spacing w:val="-8"/>
                <w:w w:val="110"/>
              </w:rPr>
              <w:t xml:space="preserve"> </w:t>
            </w:r>
            <w:r w:rsidRPr="00265A01">
              <w:rPr>
                <w:rStyle w:val="a9"/>
                <w:noProof/>
                <w:w w:val="110"/>
              </w:rPr>
              <w:t>a</w:t>
            </w:r>
            <w:r w:rsidRPr="00265A01">
              <w:rPr>
                <w:rStyle w:val="a9"/>
                <w:noProof/>
                <w:spacing w:val="-7"/>
                <w:w w:val="110"/>
              </w:rPr>
              <w:t xml:space="preserve"> </w:t>
            </w:r>
            <w:r w:rsidRPr="00265A01">
              <w:rPr>
                <w:rStyle w:val="a9"/>
                <w:noProof/>
                <w:w w:val="110"/>
              </w:rPr>
              <w:t>Proxy</w:t>
            </w:r>
            <w:r w:rsidRPr="00265A01">
              <w:rPr>
                <w:rStyle w:val="a9"/>
                <w:noProof/>
                <w:spacing w:val="-7"/>
                <w:w w:val="110"/>
              </w:rPr>
              <w:t xml:space="preserve"> </w:t>
            </w:r>
            <w:r w:rsidRPr="00265A01">
              <w:rPr>
                <w:rStyle w:val="a9"/>
                <w:noProof/>
                <w:w w:val="110"/>
              </w:rPr>
              <w:t>Server</w:t>
            </w:r>
            <w:r>
              <w:rPr>
                <w:noProof/>
                <w:webHidden/>
              </w:rPr>
              <w:tab/>
            </w:r>
            <w:r>
              <w:rPr>
                <w:noProof/>
                <w:webHidden/>
              </w:rPr>
              <w:fldChar w:fldCharType="begin"/>
            </w:r>
            <w:r>
              <w:rPr>
                <w:noProof/>
                <w:webHidden/>
              </w:rPr>
              <w:instrText xml:space="preserve"> PAGEREF _Toc54424006 \h </w:instrText>
            </w:r>
            <w:r>
              <w:rPr>
                <w:noProof/>
                <w:webHidden/>
              </w:rPr>
            </w:r>
            <w:r>
              <w:rPr>
                <w:noProof/>
                <w:webHidden/>
              </w:rPr>
              <w:fldChar w:fldCharType="separate"/>
            </w:r>
            <w:r>
              <w:rPr>
                <w:noProof/>
                <w:webHidden/>
              </w:rPr>
              <w:t>269</w:t>
            </w:r>
            <w:r>
              <w:rPr>
                <w:noProof/>
                <w:webHidden/>
              </w:rPr>
              <w:fldChar w:fldCharType="end"/>
            </w:r>
          </w:hyperlink>
        </w:p>
        <w:p w14:paraId="04B4B6F2" w14:textId="73FBB1A6"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4007" w:history="1">
            <w:r w:rsidRPr="00265A01">
              <w:rPr>
                <w:rStyle w:val="a9"/>
                <w:noProof/>
                <w:spacing w:val="-1"/>
                <w:w w:val="113"/>
              </w:rPr>
              <w:t>9.15.</w:t>
            </w:r>
            <w:r>
              <w:rPr>
                <w:rFonts w:asciiTheme="minorHAnsi" w:eastAsiaTheme="minorEastAsia" w:hAnsiTheme="minorHAnsi" w:cstheme="minorBidi"/>
                <w:noProof/>
                <w:kern w:val="2"/>
                <w:szCs w:val="22"/>
                <w:lang w:eastAsia="zh-CN"/>
              </w:rPr>
              <w:tab/>
            </w:r>
            <w:r w:rsidRPr="00265A01">
              <w:rPr>
                <w:rStyle w:val="a9"/>
                <w:noProof/>
                <w:w w:val="105"/>
              </w:rPr>
              <w:t>Hot</w:t>
            </w:r>
            <w:r w:rsidRPr="00265A01">
              <w:rPr>
                <w:rStyle w:val="a9"/>
                <w:noProof/>
                <w:spacing w:val="-3"/>
                <w:w w:val="105"/>
              </w:rPr>
              <w:t xml:space="preserve"> </w:t>
            </w:r>
            <w:r w:rsidRPr="00265A01">
              <w:rPr>
                <w:rStyle w:val="a9"/>
                <w:noProof/>
                <w:w w:val="105"/>
              </w:rPr>
              <w:t>Swapping</w:t>
            </w:r>
            <w:r>
              <w:rPr>
                <w:noProof/>
                <w:webHidden/>
              </w:rPr>
              <w:tab/>
            </w:r>
            <w:r>
              <w:rPr>
                <w:noProof/>
                <w:webHidden/>
              </w:rPr>
              <w:fldChar w:fldCharType="begin"/>
            </w:r>
            <w:r>
              <w:rPr>
                <w:noProof/>
                <w:webHidden/>
              </w:rPr>
              <w:instrText xml:space="preserve"> PAGEREF _Toc54424007 \h </w:instrText>
            </w:r>
            <w:r>
              <w:rPr>
                <w:noProof/>
                <w:webHidden/>
              </w:rPr>
            </w:r>
            <w:r>
              <w:rPr>
                <w:noProof/>
                <w:webHidden/>
              </w:rPr>
              <w:fldChar w:fldCharType="separate"/>
            </w:r>
            <w:r>
              <w:rPr>
                <w:noProof/>
                <w:webHidden/>
              </w:rPr>
              <w:t>269</w:t>
            </w:r>
            <w:r>
              <w:rPr>
                <w:noProof/>
                <w:webHidden/>
              </w:rPr>
              <w:fldChar w:fldCharType="end"/>
            </w:r>
          </w:hyperlink>
        </w:p>
        <w:p w14:paraId="23DB1E62" w14:textId="2EC3797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08" w:history="1">
            <w:r w:rsidRPr="00265A01">
              <w:rPr>
                <w:rStyle w:val="a9"/>
                <w:noProof/>
                <w:spacing w:val="-1"/>
                <w:w w:val="113"/>
              </w:rPr>
              <w:t>9.15.1.</w:t>
            </w:r>
            <w:r>
              <w:rPr>
                <w:rFonts w:asciiTheme="minorHAnsi" w:eastAsiaTheme="minorEastAsia" w:hAnsiTheme="minorHAnsi" w:cstheme="minorBidi"/>
                <w:noProof/>
                <w:kern w:val="2"/>
                <w:szCs w:val="22"/>
                <w:lang w:eastAsia="zh-CN"/>
              </w:rPr>
              <w:tab/>
            </w:r>
            <w:r w:rsidRPr="00265A01">
              <w:rPr>
                <w:rStyle w:val="a9"/>
                <w:noProof/>
                <w:w w:val="110"/>
              </w:rPr>
              <w:t>Reload Static</w:t>
            </w:r>
            <w:r w:rsidRPr="00265A01">
              <w:rPr>
                <w:rStyle w:val="a9"/>
                <w:noProof/>
                <w:spacing w:val="-11"/>
                <w:w w:val="110"/>
              </w:rPr>
              <w:t xml:space="preserve"> </w:t>
            </w:r>
            <w:r w:rsidRPr="00265A01">
              <w:rPr>
                <w:rStyle w:val="a9"/>
                <w:noProof/>
                <w:w w:val="110"/>
              </w:rPr>
              <w:t>Content</w:t>
            </w:r>
            <w:r>
              <w:rPr>
                <w:noProof/>
                <w:webHidden/>
              </w:rPr>
              <w:tab/>
            </w:r>
            <w:r>
              <w:rPr>
                <w:noProof/>
                <w:webHidden/>
              </w:rPr>
              <w:fldChar w:fldCharType="begin"/>
            </w:r>
            <w:r>
              <w:rPr>
                <w:noProof/>
                <w:webHidden/>
              </w:rPr>
              <w:instrText xml:space="preserve"> PAGEREF _Toc54424008 \h </w:instrText>
            </w:r>
            <w:r>
              <w:rPr>
                <w:noProof/>
                <w:webHidden/>
              </w:rPr>
            </w:r>
            <w:r>
              <w:rPr>
                <w:noProof/>
                <w:webHidden/>
              </w:rPr>
              <w:fldChar w:fldCharType="separate"/>
            </w:r>
            <w:r>
              <w:rPr>
                <w:noProof/>
                <w:webHidden/>
              </w:rPr>
              <w:t>269</w:t>
            </w:r>
            <w:r>
              <w:rPr>
                <w:noProof/>
                <w:webHidden/>
              </w:rPr>
              <w:fldChar w:fldCharType="end"/>
            </w:r>
          </w:hyperlink>
        </w:p>
        <w:p w14:paraId="28295F7C" w14:textId="4E6D5AA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09" w:history="1">
            <w:r w:rsidRPr="00265A01">
              <w:rPr>
                <w:rStyle w:val="a9"/>
                <w:noProof/>
                <w:spacing w:val="-1"/>
                <w:w w:val="113"/>
              </w:rPr>
              <w:t>9.15.2.</w:t>
            </w:r>
            <w:r>
              <w:rPr>
                <w:rFonts w:asciiTheme="minorHAnsi" w:eastAsiaTheme="minorEastAsia" w:hAnsiTheme="minorHAnsi" w:cstheme="minorBidi"/>
                <w:noProof/>
                <w:kern w:val="2"/>
                <w:szCs w:val="22"/>
                <w:lang w:eastAsia="zh-CN"/>
              </w:rPr>
              <w:tab/>
            </w:r>
            <w:r w:rsidRPr="00265A01">
              <w:rPr>
                <w:rStyle w:val="a9"/>
                <w:noProof/>
                <w:w w:val="110"/>
              </w:rPr>
              <w:t>Reload Templates without Restarting the</w:t>
            </w:r>
            <w:r w:rsidRPr="00265A01">
              <w:rPr>
                <w:rStyle w:val="a9"/>
                <w:noProof/>
                <w:spacing w:val="-26"/>
                <w:w w:val="110"/>
              </w:rPr>
              <w:t xml:space="preserve"> </w:t>
            </w:r>
            <w:r w:rsidRPr="00265A01">
              <w:rPr>
                <w:rStyle w:val="a9"/>
                <w:noProof/>
                <w:w w:val="110"/>
              </w:rPr>
              <w:t>Container</w:t>
            </w:r>
            <w:r>
              <w:rPr>
                <w:noProof/>
                <w:webHidden/>
              </w:rPr>
              <w:tab/>
            </w:r>
            <w:r>
              <w:rPr>
                <w:noProof/>
                <w:webHidden/>
              </w:rPr>
              <w:fldChar w:fldCharType="begin"/>
            </w:r>
            <w:r>
              <w:rPr>
                <w:noProof/>
                <w:webHidden/>
              </w:rPr>
              <w:instrText xml:space="preserve"> PAGEREF _Toc54424009 \h </w:instrText>
            </w:r>
            <w:r>
              <w:rPr>
                <w:noProof/>
                <w:webHidden/>
              </w:rPr>
            </w:r>
            <w:r>
              <w:rPr>
                <w:noProof/>
                <w:webHidden/>
              </w:rPr>
              <w:fldChar w:fldCharType="separate"/>
            </w:r>
            <w:r>
              <w:rPr>
                <w:noProof/>
                <w:webHidden/>
              </w:rPr>
              <w:t>269</w:t>
            </w:r>
            <w:r>
              <w:rPr>
                <w:noProof/>
                <w:webHidden/>
              </w:rPr>
              <w:fldChar w:fldCharType="end"/>
            </w:r>
          </w:hyperlink>
        </w:p>
        <w:p w14:paraId="5640CF45" w14:textId="19E04F7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0" w:history="1">
            <w:r w:rsidRPr="00265A01">
              <w:rPr>
                <w:rStyle w:val="a9"/>
                <w:noProof/>
                <w:spacing w:val="-1"/>
                <w:w w:val="113"/>
              </w:rPr>
              <w:t>9.15.3.</w:t>
            </w:r>
            <w:r>
              <w:rPr>
                <w:rFonts w:asciiTheme="minorHAnsi" w:eastAsiaTheme="minorEastAsia" w:hAnsiTheme="minorHAnsi" w:cstheme="minorBidi"/>
                <w:noProof/>
                <w:kern w:val="2"/>
                <w:szCs w:val="22"/>
                <w:lang w:eastAsia="zh-CN"/>
              </w:rPr>
              <w:tab/>
            </w:r>
            <w:r w:rsidRPr="00265A01">
              <w:rPr>
                <w:rStyle w:val="a9"/>
                <w:noProof/>
                <w:spacing w:val="-4"/>
                <w:w w:val="110"/>
              </w:rPr>
              <w:t xml:space="preserve">Fast </w:t>
            </w:r>
            <w:r w:rsidRPr="00265A01">
              <w:rPr>
                <w:rStyle w:val="a9"/>
                <w:noProof/>
                <w:w w:val="110"/>
              </w:rPr>
              <w:t>Application</w:t>
            </w:r>
            <w:r w:rsidRPr="00265A01">
              <w:rPr>
                <w:rStyle w:val="a9"/>
                <w:noProof/>
                <w:spacing w:val="-6"/>
                <w:w w:val="110"/>
              </w:rPr>
              <w:t xml:space="preserve"> </w:t>
            </w:r>
            <w:r w:rsidRPr="00265A01">
              <w:rPr>
                <w:rStyle w:val="a9"/>
                <w:noProof/>
                <w:w w:val="110"/>
              </w:rPr>
              <w:t>Restarts</w:t>
            </w:r>
            <w:r>
              <w:rPr>
                <w:noProof/>
                <w:webHidden/>
              </w:rPr>
              <w:tab/>
            </w:r>
            <w:r>
              <w:rPr>
                <w:noProof/>
                <w:webHidden/>
              </w:rPr>
              <w:fldChar w:fldCharType="begin"/>
            </w:r>
            <w:r>
              <w:rPr>
                <w:noProof/>
                <w:webHidden/>
              </w:rPr>
              <w:instrText xml:space="preserve"> PAGEREF _Toc54424010 \h </w:instrText>
            </w:r>
            <w:r>
              <w:rPr>
                <w:noProof/>
                <w:webHidden/>
              </w:rPr>
            </w:r>
            <w:r>
              <w:rPr>
                <w:noProof/>
                <w:webHidden/>
              </w:rPr>
              <w:fldChar w:fldCharType="separate"/>
            </w:r>
            <w:r>
              <w:rPr>
                <w:noProof/>
                <w:webHidden/>
              </w:rPr>
              <w:t>269</w:t>
            </w:r>
            <w:r>
              <w:rPr>
                <w:noProof/>
                <w:webHidden/>
              </w:rPr>
              <w:fldChar w:fldCharType="end"/>
            </w:r>
          </w:hyperlink>
        </w:p>
        <w:p w14:paraId="0F5C5EE3" w14:textId="10B7B27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1" w:history="1">
            <w:r w:rsidRPr="00265A01">
              <w:rPr>
                <w:rStyle w:val="a9"/>
                <w:noProof/>
                <w:spacing w:val="-1"/>
                <w:w w:val="113"/>
              </w:rPr>
              <w:t>9.15.4.</w:t>
            </w:r>
            <w:r>
              <w:rPr>
                <w:rFonts w:asciiTheme="minorHAnsi" w:eastAsiaTheme="minorEastAsia" w:hAnsiTheme="minorHAnsi" w:cstheme="minorBidi"/>
                <w:noProof/>
                <w:kern w:val="2"/>
                <w:szCs w:val="22"/>
                <w:lang w:eastAsia="zh-CN"/>
              </w:rPr>
              <w:tab/>
            </w:r>
            <w:r w:rsidRPr="00265A01">
              <w:rPr>
                <w:rStyle w:val="a9"/>
                <w:noProof/>
                <w:w w:val="110"/>
              </w:rPr>
              <w:t>Reload Java Classes without Restarting the</w:t>
            </w:r>
            <w:r w:rsidRPr="00265A01">
              <w:rPr>
                <w:rStyle w:val="a9"/>
                <w:noProof/>
                <w:spacing w:val="-32"/>
                <w:w w:val="110"/>
              </w:rPr>
              <w:t xml:space="preserve"> </w:t>
            </w:r>
            <w:r w:rsidRPr="00265A01">
              <w:rPr>
                <w:rStyle w:val="a9"/>
                <w:noProof/>
                <w:w w:val="110"/>
              </w:rPr>
              <w:t>Container</w:t>
            </w:r>
            <w:r>
              <w:rPr>
                <w:noProof/>
                <w:webHidden/>
              </w:rPr>
              <w:tab/>
            </w:r>
            <w:r>
              <w:rPr>
                <w:noProof/>
                <w:webHidden/>
              </w:rPr>
              <w:fldChar w:fldCharType="begin"/>
            </w:r>
            <w:r>
              <w:rPr>
                <w:noProof/>
                <w:webHidden/>
              </w:rPr>
              <w:instrText xml:space="preserve"> PAGEREF _Toc54424011 \h </w:instrText>
            </w:r>
            <w:r>
              <w:rPr>
                <w:noProof/>
                <w:webHidden/>
              </w:rPr>
            </w:r>
            <w:r>
              <w:rPr>
                <w:noProof/>
                <w:webHidden/>
              </w:rPr>
              <w:fldChar w:fldCharType="separate"/>
            </w:r>
            <w:r>
              <w:rPr>
                <w:noProof/>
                <w:webHidden/>
              </w:rPr>
              <w:t>269</w:t>
            </w:r>
            <w:r>
              <w:rPr>
                <w:noProof/>
                <w:webHidden/>
              </w:rPr>
              <w:fldChar w:fldCharType="end"/>
            </w:r>
          </w:hyperlink>
        </w:p>
        <w:p w14:paraId="65B0F59E" w14:textId="27133873"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4012" w:history="1">
            <w:r w:rsidRPr="00265A01">
              <w:rPr>
                <w:rStyle w:val="a9"/>
                <w:noProof/>
                <w:spacing w:val="-1"/>
                <w:w w:val="113"/>
              </w:rPr>
              <w:t>9.16.</w:t>
            </w:r>
            <w:r>
              <w:rPr>
                <w:rFonts w:asciiTheme="minorHAnsi" w:eastAsiaTheme="minorEastAsia" w:hAnsiTheme="minorHAnsi" w:cstheme="minorBidi"/>
                <w:noProof/>
                <w:kern w:val="2"/>
                <w:szCs w:val="22"/>
                <w:lang w:eastAsia="zh-CN"/>
              </w:rPr>
              <w:tab/>
            </w:r>
            <w:r w:rsidRPr="00265A01">
              <w:rPr>
                <w:rStyle w:val="a9"/>
                <w:noProof/>
                <w:w w:val="105"/>
              </w:rPr>
              <w:t>Build</w:t>
            </w:r>
            <w:r>
              <w:rPr>
                <w:noProof/>
                <w:webHidden/>
              </w:rPr>
              <w:tab/>
            </w:r>
            <w:r>
              <w:rPr>
                <w:noProof/>
                <w:webHidden/>
              </w:rPr>
              <w:fldChar w:fldCharType="begin"/>
            </w:r>
            <w:r>
              <w:rPr>
                <w:noProof/>
                <w:webHidden/>
              </w:rPr>
              <w:instrText xml:space="preserve"> PAGEREF _Toc54424012 \h </w:instrText>
            </w:r>
            <w:r>
              <w:rPr>
                <w:noProof/>
                <w:webHidden/>
              </w:rPr>
            </w:r>
            <w:r>
              <w:rPr>
                <w:noProof/>
                <w:webHidden/>
              </w:rPr>
              <w:fldChar w:fldCharType="separate"/>
            </w:r>
            <w:r>
              <w:rPr>
                <w:noProof/>
                <w:webHidden/>
              </w:rPr>
              <w:t>269</w:t>
            </w:r>
            <w:r>
              <w:rPr>
                <w:noProof/>
                <w:webHidden/>
              </w:rPr>
              <w:fldChar w:fldCharType="end"/>
            </w:r>
          </w:hyperlink>
        </w:p>
        <w:p w14:paraId="50CB8F5B" w14:textId="4F75D75A"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3" w:history="1">
            <w:r w:rsidRPr="00265A01">
              <w:rPr>
                <w:rStyle w:val="a9"/>
                <w:noProof/>
                <w:spacing w:val="-1"/>
                <w:w w:val="113"/>
              </w:rPr>
              <w:t>9.16.1.</w:t>
            </w:r>
            <w:r>
              <w:rPr>
                <w:rFonts w:asciiTheme="minorHAnsi" w:eastAsiaTheme="minorEastAsia" w:hAnsiTheme="minorHAnsi" w:cstheme="minorBidi"/>
                <w:noProof/>
                <w:kern w:val="2"/>
                <w:szCs w:val="22"/>
                <w:lang w:eastAsia="zh-CN"/>
              </w:rPr>
              <w:tab/>
            </w:r>
            <w:r w:rsidRPr="00265A01">
              <w:rPr>
                <w:rStyle w:val="a9"/>
                <w:noProof/>
                <w:w w:val="110"/>
              </w:rPr>
              <w:t>Generate Build</w:t>
            </w:r>
            <w:r w:rsidRPr="00265A01">
              <w:rPr>
                <w:rStyle w:val="a9"/>
                <w:noProof/>
                <w:spacing w:val="-11"/>
                <w:w w:val="110"/>
              </w:rPr>
              <w:t xml:space="preserve"> </w:t>
            </w:r>
            <w:r w:rsidRPr="00265A01">
              <w:rPr>
                <w:rStyle w:val="a9"/>
                <w:noProof/>
                <w:w w:val="110"/>
              </w:rPr>
              <w:t>Information</w:t>
            </w:r>
            <w:r>
              <w:rPr>
                <w:noProof/>
                <w:webHidden/>
              </w:rPr>
              <w:tab/>
            </w:r>
            <w:r>
              <w:rPr>
                <w:noProof/>
                <w:webHidden/>
              </w:rPr>
              <w:fldChar w:fldCharType="begin"/>
            </w:r>
            <w:r>
              <w:rPr>
                <w:noProof/>
                <w:webHidden/>
              </w:rPr>
              <w:instrText xml:space="preserve"> PAGEREF _Toc54424013 \h </w:instrText>
            </w:r>
            <w:r>
              <w:rPr>
                <w:noProof/>
                <w:webHidden/>
              </w:rPr>
            </w:r>
            <w:r>
              <w:rPr>
                <w:noProof/>
                <w:webHidden/>
              </w:rPr>
              <w:fldChar w:fldCharType="separate"/>
            </w:r>
            <w:r>
              <w:rPr>
                <w:noProof/>
                <w:webHidden/>
              </w:rPr>
              <w:t>269</w:t>
            </w:r>
            <w:r>
              <w:rPr>
                <w:noProof/>
                <w:webHidden/>
              </w:rPr>
              <w:fldChar w:fldCharType="end"/>
            </w:r>
          </w:hyperlink>
        </w:p>
        <w:p w14:paraId="2C47718C" w14:textId="29487A7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4" w:history="1">
            <w:r w:rsidRPr="00265A01">
              <w:rPr>
                <w:rStyle w:val="a9"/>
                <w:noProof/>
                <w:spacing w:val="-1"/>
                <w:w w:val="113"/>
              </w:rPr>
              <w:t>9.16.2.</w:t>
            </w:r>
            <w:r>
              <w:rPr>
                <w:rFonts w:asciiTheme="minorHAnsi" w:eastAsiaTheme="minorEastAsia" w:hAnsiTheme="minorHAnsi" w:cstheme="minorBidi"/>
                <w:noProof/>
                <w:kern w:val="2"/>
                <w:szCs w:val="22"/>
                <w:lang w:eastAsia="zh-CN"/>
              </w:rPr>
              <w:tab/>
            </w:r>
            <w:r w:rsidRPr="00265A01">
              <w:rPr>
                <w:rStyle w:val="a9"/>
                <w:noProof/>
                <w:w w:val="110"/>
              </w:rPr>
              <w:t>Generate Git</w:t>
            </w:r>
            <w:r w:rsidRPr="00265A01">
              <w:rPr>
                <w:rStyle w:val="a9"/>
                <w:noProof/>
                <w:spacing w:val="-10"/>
                <w:w w:val="110"/>
              </w:rPr>
              <w:t xml:space="preserve"> </w:t>
            </w:r>
            <w:r w:rsidRPr="00265A01">
              <w:rPr>
                <w:rStyle w:val="a9"/>
                <w:noProof/>
                <w:w w:val="110"/>
              </w:rPr>
              <w:t>Information</w:t>
            </w:r>
            <w:r>
              <w:rPr>
                <w:noProof/>
                <w:webHidden/>
              </w:rPr>
              <w:tab/>
            </w:r>
            <w:r>
              <w:rPr>
                <w:noProof/>
                <w:webHidden/>
              </w:rPr>
              <w:fldChar w:fldCharType="begin"/>
            </w:r>
            <w:r>
              <w:rPr>
                <w:noProof/>
                <w:webHidden/>
              </w:rPr>
              <w:instrText xml:space="preserve"> PAGEREF _Toc54424014 \h </w:instrText>
            </w:r>
            <w:r>
              <w:rPr>
                <w:noProof/>
                <w:webHidden/>
              </w:rPr>
            </w:r>
            <w:r>
              <w:rPr>
                <w:noProof/>
                <w:webHidden/>
              </w:rPr>
              <w:fldChar w:fldCharType="separate"/>
            </w:r>
            <w:r>
              <w:rPr>
                <w:noProof/>
                <w:webHidden/>
              </w:rPr>
              <w:t>269</w:t>
            </w:r>
            <w:r>
              <w:rPr>
                <w:noProof/>
                <w:webHidden/>
              </w:rPr>
              <w:fldChar w:fldCharType="end"/>
            </w:r>
          </w:hyperlink>
        </w:p>
        <w:p w14:paraId="4BDBD962" w14:textId="5E40A1D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5" w:history="1">
            <w:r w:rsidRPr="00265A01">
              <w:rPr>
                <w:rStyle w:val="a9"/>
                <w:noProof/>
                <w:spacing w:val="-1"/>
                <w:w w:val="113"/>
              </w:rPr>
              <w:t>9.16.3.</w:t>
            </w:r>
            <w:r>
              <w:rPr>
                <w:rFonts w:asciiTheme="minorHAnsi" w:eastAsiaTheme="minorEastAsia" w:hAnsiTheme="minorHAnsi" w:cstheme="minorBidi"/>
                <w:noProof/>
                <w:kern w:val="2"/>
                <w:szCs w:val="22"/>
                <w:lang w:eastAsia="zh-CN"/>
              </w:rPr>
              <w:tab/>
            </w:r>
            <w:r w:rsidRPr="00265A01">
              <w:rPr>
                <w:rStyle w:val="a9"/>
                <w:noProof/>
                <w:w w:val="110"/>
              </w:rPr>
              <w:t>Customize Dependency</w:t>
            </w:r>
            <w:r w:rsidRPr="00265A01">
              <w:rPr>
                <w:rStyle w:val="a9"/>
                <w:noProof/>
                <w:spacing w:val="-13"/>
                <w:w w:val="110"/>
              </w:rPr>
              <w:t xml:space="preserve"> </w:t>
            </w:r>
            <w:r w:rsidRPr="00265A01">
              <w:rPr>
                <w:rStyle w:val="a9"/>
                <w:noProof/>
                <w:spacing w:val="-3"/>
                <w:w w:val="110"/>
              </w:rPr>
              <w:t>Versions</w:t>
            </w:r>
            <w:r>
              <w:rPr>
                <w:noProof/>
                <w:webHidden/>
              </w:rPr>
              <w:tab/>
            </w:r>
            <w:r>
              <w:rPr>
                <w:noProof/>
                <w:webHidden/>
              </w:rPr>
              <w:fldChar w:fldCharType="begin"/>
            </w:r>
            <w:r>
              <w:rPr>
                <w:noProof/>
                <w:webHidden/>
              </w:rPr>
              <w:instrText xml:space="preserve"> PAGEREF _Toc54424015 \h </w:instrText>
            </w:r>
            <w:r>
              <w:rPr>
                <w:noProof/>
                <w:webHidden/>
              </w:rPr>
            </w:r>
            <w:r>
              <w:rPr>
                <w:noProof/>
                <w:webHidden/>
              </w:rPr>
              <w:fldChar w:fldCharType="separate"/>
            </w:r>
            <w:r>
              <w:rPr>
                <w:noProof/>
                <w:webHidden/>
              </w:rPr>
              <w:t>269</w:t>
            </w:r>
            <w:r>
              <w:rPr>
                <w:noProof/>
                <w:webHidden/>
              </w:rPr>
              <w:fldChar w:fldCharType="end"/>
            </w:r>
          </w:hyperlink>
        </w:p>
        <w:p w14:paraId="4C2F500E" w14:textId="303D6E7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6" w:history="1">
            <w:r w:rsidRPr="00265A01">
              <w:rPr>
                <w:rStyle w:val="a9"/>
                <w:noProof/>
                <w:spacing w:val="-1"/>
                <w:w w:val="113"/>
              </w:rPr>
              <w:t>9.16.4.</w:t>
            </w:r>
            <w:r>
              <w:rPr>
                <w:rFonts w:asciiTheme="minorHAnsi" w:eastAsiaTheme="minorEastAsia" w:hAnsiTheme="minorHAnsi" w:cstheme="minorBidi"/>
                <w:noProof/>
                <w:kern w:val="2"/>
                <w:szCs w:val="22"/>
                <w:lang w:eastAsia="zh-CN"/>
              </w:rPr>
              <w:tab/>
            </w:r>
            <w:r w:rsidRPr="00265A01">
              <w:rPr>
                <w:rStyle w:val="a9"/>
                <w:noProof/>
                <w:w w:val="110"/>
              </w:rPr>
              <w:t>Create an Executable JAR with</w:t>
            </w:r>
            <w:r w:rsidRPr="00265A01">
              <w:rPr>
                <w:rStyle w:val="a9"/>
                <w:noProof/>
                <w:spacing w:val="-28"/>
                <w:w w:val="110"/>
              </w:rPr>
              <w:t xml:space="preserve"> </w:t>
            </w:r>
            <w:r w:rsidRPr="00265A01">
              <w:rPr>
                <w:rStyle w:val="a9"/>
                <w:noProof/>
                <w:w w:val="110"/>
              </w:rPr>
              <w:t>Maven</w:t>
            </w:r>
            <w:r>
              <w:rPr>
                <w:noProof/>
                <w:webHidden/>
              </w:rPr>
              <w:tab/>
            </w:r>
            <w:r>
              <w:rPr>
                <w:noProof/>
                <w:webHidden/>
              </w:rPr>
              <w:fldChar w:fldCharType="begin"/>
            </w:r>
            <w:r>
              <w:rPr>
                <w:noProof/>
                <w:webHidden/>
              </w:rPr>
              <w:instrText xml:space="preserve"> PAGEREF _Toc54424016 \h </w:instrText>
            </w:r>
            <w:r>
              <w:rPr>
                <w:noProof/>
                <w:webHidden/>
              </w:rPr>
            </w:r>
            <w:r>
              <w:rPr>
                <w:noProof/>
                <w:webHidden/>
              </w:rPr>
              <w:fldChar w:fldCharType="separate"/>
            </w:r>
            <w:r>
              <w:rPr>
                <w:noProof/>
                <w:webHidden/>
              </w:rPr>
              <w:t>269</w:t>
            </w:r>
            <w:r>
              <w:rPr>
                <w:noProof/>
                <w:webHidden/>
              </w:rPr>
              <w:fldChar w:fldCharType="end"/>
            </w:r>
          </w:hyperlink>
        </w:p>
        <w:p w14:paraId="4E1EFF8D" w14:textId="68B3D5AA"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7" w:history="1">
            <w:r w:rsidRPr="00265A01">
              <w:rPr>
                <w:rStyle w:val="a9"/>
                <w:noProof/>
                <w:spacing w:val="-1"/>
                <w:w w:val="113"/>
              </w:rPr>
              <w:t>9.16.5.</w:t>
            </w:r>
            <w:r>
              <w:rPr>
                <w:rFonts w:asciiTheme="minorHAnsi" w:eastAsiaTheme="minorEastAsia" w:hAnsiTheme="minorHAnsi" w:cstheme="minorBidi"/>
                <w:noProof/>
                <w:kern w:val="2"/>
                <w:szCs w:val="22"/>
                <w:lang w:eastAsia="zh-CN"/>
              </w:rPr>
              <w:tab/>
            </w:r>
            <w:r w:rsidRPr="00265A01">
              <w:rPr>
                <w:rStyle w:val="a9"/>
                <w:noProof/>
                <w:w w:val="110"/>
              </w:rPr>
              <w:t>Use a Spring Boot Application as a</w:t>
            </w:r>
            <w:r w:rsidRPr="00265A01">
              <w:rPr>
                <w:rStyle w:val="a9"/>
                <w:noProof/>
                <w:spacing w:val="-48"/>
                <w:w w:val="110"/>
              </w:rPr>
              <w:t xml:space="preserve"> </w:t>
            </w:r>
            <w:r w:rsidRPr="00265A01">
              <w:rPr>
                <w:rStyle w:val="a9"/>
                <w:noProof/>
                <w:w w:val="110"/>
              </w:rPr>
              <w:t>Dependency</w:t>
            </w:r>
            <w:r>
              <w:rPr>
                <w:noProof/>
                <w:webHidden/>
              </w:rPr>
              <w:tab/>
            </w:r>
            <w:r>
              <w:rPr>
                <w:noProof/>
                <w:webHidden/>
              </w:rPr>
              <w:fldChar w:fldCharType="begin"/>
            </w:r>
            <w:r>
              <w:rPr>
                <w:noProof/>
                <w:webHidden/>
              </w:rPr>
              <w:instrText xml:space="preserve"> PAGEREF _Toc54424017 \h </w:instrText>
            </w:r>
            <w:r>
              <w:rPr>
                <w:noProof/>
                <w:webHidden/>
              </w:rPr>
            </w:r>
            <w:r>
              <w:rPr>
                <w:noProof/>
                <w:webHidden/>
              </w:rPr>
              <w:fldChar w:fldCharType="separate"/>
            </w:r>
            <w:r>
              <w:rPr>
                <w:noProof/>
                <w:webHidden/>
              </w:rPr>
              <w:t>269</w:t>
            </w:r>
            <w:r>
              <w:rPr>
                <w:noProof/>
                <w:webHidden/>
              </w:rPr>
              <w:fldChar w:fldCharType="end"/>
            </w:r>
          </w:hyperlink>
        </w:p>
        <w:p w14:paraId="163EB598" w14:textId="75784B5B"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8" w:history="1">
            <w:r w:rsidRPr="00265A01">
              <w:rPr>
                <w:rStyle w:val="a9"/>
                <w:noProof/>
                <w:spacing w:val="-1"/>
                <w:w w:val="113"/>
              </w:rPr>
              <w:t>9.16.6.</w:t>
            </w:r>
            <w:r>
              <w:rPr>
                <w:rFonts w:asciiTheme="minorHAnsi" w:eastAsiaTheme="minorEastAsia" w:hAnsiTheme="minorHAnsi" w:cstheme="minorBidi"/>
                <w:noProof/>
                <w:kern w:val="2"/>
                <w:szCs w:val="22"/>
                <w:lang w:eastAsia="zh-CN"/>
              </w:rPr>
              <w:tab/>
            </w:r>
            <w:r w:rsidRPr="00265A01">
              <w:rPr>
                <w:rStyle w:val="a9"/>
                <w:noProof/>
                <w:w w:val="115"/>
              </w:rPr>
              <w:t>Extract</w:t>
            </w:r>
            <w:r w:rsidRPr="00265A01">
              <w:rPr>
                <w:rStyle w:val="a9"/>
                <w:noProof/>
                <w:spacing w:val="-13"/>
                <w:w w:val="115"/>
              </w:rPr>
              <w:t xml:space="preserve"> </w:t>
            </w:r>
            <w:r w:rsidRPr="00265A01">
              <w:rPr>
                <w:rStyle w:val="a9"/>
                <w:noProof/>
                <w:w w:val="115"/>
              </w:rPr>
              <w:t>Specific</w:t>
            </w:r>
            <w:r w:rsidRPr="00265A01">
              <w:rPr>
                <w:rStyle w:val="a9"/>
                <w:noProof/>
                <w:spacing w:val="-13"/>
                <w:w w:val="115"/>
              </w:rPr>
              <w:t xml:space="preserve"> </w:t>
            </w:r>
            <w:r w:rsidRPr="00265A01">
              <w:rPr>
                <w:rStyle w:val="a9"/>
                <w:noProof/>
                <w:w w:val="115"/>
              </w:rPr>
              <w:t>Libraries</w:t>
            </w:r>
            <w:r w:rsidRPr="00265A01">
              <w:rPr>
                <w:rStyle w:val="a9"/>
                <w:noProof/>
                <w:spacing w:val="-13"/>
                <w:w w:val="115"/>
              </w:rPr>
              <w:t xml:space="preserve"> </w:t>
            </w:r>
            <w:r w:rsidRPr="00265A01">
              <w:rPr>
                <w:rStyle w:val="a9"/>
                <w:noProof/>
                <w:w w:val="115"/>
              </w:rPr>
              <w:t>When</w:t>
            </w:r>
            <w:r w:rsidRPr="00265A01">
              <w:rPr>
                <w:rStyle w:val="a9"/>
                <w:noProof/>
                <w:spacing w:val="-13"/>
                <w:w w:val="115"/>
              </w:rPr>
              <w:t xml:space="preserve"> </w:t>
            </w:r>
            <w:r w:rsidRPr="00265A01">
              <w:rPr>
                <w:rStyle w:val="a9"/>
                <w:noProof/>
                <w:w w:val="115"/>
              </w:rPr>
              <w:t>an</w:t>
            </w:r>
            <w:r w:rsidRPr="00265A01">
              <w:rPr>
                <w:rStyle w:val="a9"/>
                <w:noProof/>
                <w:spacing w:val="-12"/>
                <w:w w:val="115"/>
              </w:rPr>
              <w:t xml:space="preserve"> </w:t>
            </w:r>
            <w:r w:rsidRPr="00265A01">
              <w:rPr>
                <w:rStyle w:val="a9"/>
                <w:noProof/>
                <w:w w:val="115"/>
              </w:rPr>
              <w:t>Executable</w:t>
            </w:r>
            <w:r w:rsidRPr="00265A01">
              <w:rPr>
                <w:rStyle w:val="a9"/>
                <w:noProof/>
                <w:spacing w:val="-14"/>
                <w:w w:val="115"/>
              </w:rPr>
              <w:t xml:space="preserve"> </w:t>
            </w:r>
            <w:r w:rsidRPr="00265A01">
              <w:rPr>
                <w:rStyle w:val="a9"/>
                <w:noProof/>
                <w:w w:val="115"/>
              </w:rPr>
              <w:t>Jar</w:t>
            </w:r>
            <w:r w:rsidRPr="00265A01">
              <w:rPr>
                <w:rStyle w:val="a9"/>
                <w:noProof/>
                <w:spacing w:val="-12"/>
                <w:w w:val="115"/>
              </w:rPr>
              <w:t xml:space="preserve"> </w:t>
            </w:r>
            <w:r w:rsidRPr="00265A01">
              <w:rPr>
                <w:rStyle w:val="a9"/>
                <w:noProof/>
                <w:w w:val="115"/>
              </w:rPr>
              <w:t>Runs</w:t>
            </w:r>
            <w:r>
              <w:rPr>
                <w:noProof/>
                <w:webHidden/>
              </w:rPr>
              <w:tab/>
            </w:r>
            <w:r>
              <w:rPr>
                <w:noProof/>
                <w:webHidden/>
              </w:rPr>
              <w:fldChar w:fldCharType="begin"/>
            </w:r>
            <w:r>
              <w:rPr>
                <w:noProof/>
                <w:webHidden/>
              </w:rPr>
              <w:instrText xml:space="preserve"> PAGEREF _Toc54424018 \h </w:instrText>
            </w:r>
            <w:r>
              <w:rPr>
                <w:noProof/>
                <w:webHidden/>
              </w:rPr>
            </w:r>
            <w:r>
              <w:rPr>
                <w:noProof/>
                <w:webHidden/>
              </w:rPr>
              <w:fldChar w:fldCharType="separate"/>
            </w:r>
            <w:r>
              <w:rPr>
                <w:noProof/>
                <w:webHidden/>
              </w:rPr>
              <w:t>269</w:t>
            </w:r>
            <w:r>
              <w:rPr>
                <w:noProof/>
                <w:webHidden/>
              </w:rPr>
              <w:fldChar w:fldCharType="end"/>
            </w:r>
          </w:hyperlink>
        </w:p>
        <w:p w14:paraId="7EC934DF" w14:textId="1E616D1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19" w:history="1">
            <w:r w:rsidRPr="00265A01">
              <w:rPr>
                <w:rStyle w:val="a9"/>
                <w:noProof/>
                <w:spacing w:val="-1"/>
                <w:w w:val="113"/>
              </w:rPr>
              <w:t>9.16.7.</w:t>
            </w:r>
            <w:r>
              <w:rPr>
                <w:rFonts w:asciiTheme="minorHAnsi" w:eastAsiaTheme="minorEastAsia" w:hAnsiTheme="minorHAnsi" w:cstheme="minorBidi"/>
                <w:noProof/>
                <w:kern w:val="2"/>
                <w:szCs w:val="22"/>
                <w:lang w:eastAsia="zh-CN"/>
              </w:rPr>
              <w:tab/>
            </w:r>
            <w:r w:rsidRPr="00265A01">
              <w:rPr>
                <w:rStyle w:val="a9"/>
                <w:noProof/>
                <w:w w:val="110"/>
              </w:rPr>
              <w:t>Create a Non-executable JAR with</w:t>
            </w:r>
            <w:r w:rsidRPr="00265A01">
              <w:rPr>
                <w:rStyle w:val="a9"/>
                <w:noProof/>
                <w:spacing w:val="-28"/>
                <w:w w:val="110"/>
              </w:rPr>
              <w:t xml:space="preserve"> </w:t>
            </w:r>
            <w:r w:rsidRPr="00265A01">
              <w:rPr>
                <w:rStyle w:val="a9"/>
                <w:noProof/>
                <w:w w:val="110"/>
              </w:rPr>
              <w:t>Exclusions</w:t>
            </w:r>
            <w:r>
              <w:rPr>
                <w:noProof/>
                <w:webHidden/>
              </w:rPr>
              <w:tab/>
            </w:r>
            <w:r>
              <w:rPr>
                <w:noProof/>
                <w:webHidden/>
              </w:rPr>
              <w:fldChar w:fldCharType="begin"/>
            </w:r>
            <w:r>
              <w:rPr>
                <w:noProof/>
                <w:webHidden/>
              </w:rPr>
              <w:instrText xml:space="preserve"> PAGEREF _Toc54424019 \h </w:instrText>
            </w:r>
            <w:r>
              <w:rPr>
                <w:noProof/>
                <w:webHidden/>
              </w:rPr>
            </w:r>
            <w:r>
              <w:rPr>
                <w:noProof/>
                <w:webHidden/>
              </w:rPr>
              <w:fldChar w:fldCharType="separate"/>
            </w:r>
            <w:r>
              <w:rPr>
                <w:noProof/>
                <w:webHidden/>
              </w:rPr>
              <w:t>269</w:t>
            </w:r>
            <w:r>
              <w:rPr>
                <w:noProof/>
                <w:webHidden/>
              </w:rPr>
              <w:fldChar w:fldCharType="end"/>
            </w:r>
          </w:hyperlink>
        </w:p>
        <w:p w14:paraId="07FE591C" w14:textId="7039380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20" w:history="1">
            <w:r w:rsidRPr="00265A01">
              <w:rPr>
                <w:rStyle w:val="a9"/>
                <w:noProof/>
                <w:spacing w:val="-1"/>
                <w:w w:val="113"/>
              </w:rPr>
              <w:t>9.16.8.</w:t>
            </w:r>
            <w:r>
              <w:rPr>
                <w:rFonts w:asciiTheme="minorHAnsi" w:eastAsiaTheme="minorEastAsia" w:hAnsiTheme="minorHAnsi" w:cstheme="minorBidi"/>
                <w:noProof/>
                <w:kern w:val="2"/>
                <w:szCs w:val="22"/>
                <w:lang w:eastAsia="zh-CN"/>
              </w:rPr>
              <w:tab/>
            </w:r>
            <w:r w:rsidRPr="00265A01">
              <w:rPr>
                <w:rStyle w:val="a9"/>
                <w:noProof/>
                <w:w w:val="110"/>
              </w:rPr>
              <w:t>Remote</w:t>
            </w:r>
            <w:r w:rsidRPr="00265A01">
              <w:rPr>
                <w:rStyle w:val="a9"/>
                <w:noProof/>
                <w:spacing w:val="-10"/>
                <w:w w:val="110"/>
              </w:rPr>
              <w:t xml:space="preserve"> </w:t>
            </w:r>
            <w:r w:rsidRPr="00265A01">
              <w:rPr>
                <w:rStyle w:val="a9"/>
                <w:noProof/>
                <w:w w:val="110"/>
              </w:rPr>
              <w:t>Debug</w:t>
            </w:r>
            <w:r w:rsidRPr="00265A01">
              <w:rPr>
                <w:rStyle w:val="a9"/>
                <w:noProof/>
                <w:spacing w:val="-9"/>
                <w:w w:val="110"/>
              </w:rPr>
              <w:t xml:space="preserve"> </w:t>
            </w:r>
            <w:r w:rsidRPr="00265A01">
              <w:rPr>
                <w:rStyle w:val="a9"/>
                <w:noProof/>
                <w:w w:val="110"/>
              </w:rPr>
              <w:t>a</w:t>
            </w:r>
            <w:r w:rsidRPr="00265A01">
              <w:rPr>
                <w:rStyle w:val="a9"/>
                <w:noProof/>
                <w:spacing w:val="-9"/>
                <w:w w:val="110"/>
              </w:rPr>
              <w:t xml:space="preserve"> </w:t>
            </w:r>
            <w:r w:rsidRPr="00265A01">
              <w:rPr>
                <w:rStyle w:val="a9"/>
                <w:noProof/>
                <w:w w:val="110"/>
              </w:rPr>
              <w:t>Spring</w:t>
            </w:r>
            <w:r w:rsidRPr="00265A01">
              <w:rPr>
                <w:rStyle w:val="a9"/>
                <w:noProof/>
                <w:spacing w:val="-10"/>
                <w:w w:val="110"/>
              </w:rPr>
              <w:t xml:space="preserve"> </w:t>
            </w:r>
            <w:r w:rsidRPr="00265A01">
              <w:rPr>
                <w:rStyle w:val="a9"/>
                <w:noProof/>
                <w:w w:val="110"/>
              </w:rPr>
              <w:t>Boot</w:t>
            </w:r>
            <w:r w:rsidRPr="00265A01">
              <w:rPr>
                <w:rStyle w:val="a9"/>
                <w:noProof/>
                <w:spacing w:val="-10"/>
                <w:w w:val="110"/>
              </w:rPr>
              <w:t xml:space="preserve"> </w:t>
            </w:r>
            <w:r w:rsidRPr="00265A01">
              <w:rPr>
                <w:rStyle w:val="a9"/>
                <w:noProof/>
                <w:w w:val="110"/>
              </w:rPr>
              <w:t>Application</w:t>
            </w:r>
            <w:r w:rsidRPr="00265A01">
              <w:rPr>
                <w:rStyle w:val="a9"/>
                <w:noProof/>
                <w:spacing w:val="-10"/>
                <w:w w:val="110"/>
              </w:rPr>
              <w:t xml:space="preserve"> </w:t>
            </w:r>
            <w:r w:rsidRPr="00265A01">
              <w:rPr>
                <w:rStyle w:val="a9"/>
                <w:noProof/>
                <w:w w:val="110"/>
              </w:rPr>
              <w:t>Started</w:t>
            </w:r>
            <w:r w:rsidRPr="00265A01">
              <w:rPr>
                <w:rStyle w:val="a9"/>
                <w:noProof/>
                <w:spacing w:val="-10"/>
                <w:w w:val="110"/>
              </w:rPr>
              <w:t xml:space="preserve"> </w:t>
            </w:r>
            <w:r w:rsidRPr="00265A01">
              <w:rPr>
                <w:rStyle w:val="a9"/>
                <w:noProof/>
                <w:w w:val="110"/>
              </w:rPr>
              <w:t>with</w:t>
            </w:r>
            <w:r w:rsidRPr="00265A01">
              <w:rPr>
                <w:rStyle w:val="a9"/>
                <w:noProof/>
                <w:spacing w:val="-10"/>
                <w:w w:val="110"/>
              </w:rPr>
              <w:t xml:space="preserve"> </w:t>
            </w:r>
            <w:r w:rsidRPr="00265A01">
              <w:rPr>
                <w:rStyle w:val="a9"/>
                <w:noProof/>
                <w:w w:val="110"/>
              </w:rPr>
              <w:t>Maven</w:t>
            </w:r>
            <w:r>
              <w:rPr>
                <w:noProof/>
                <w:webHidden/>
              </w:rPr>
              <w:tab/>
            </w:r>
            <w:r>
              <w:rPr>
                <w:noProof/>
                <w:webHidden/>
              </w:rPr>
              <w:fldChar w:fldCharType="begin"/>
            </w:r>
            <w:r>
              <w:rPr>
                <w:noProof/>
                <w:webHidden/>
              </w:rPr>
              <w:instrText xml:space="preserve"> PAGEREF _Toc54424020 \h </w:instrText>
            </w:r>
            <w:r>
              <w:rPr>
                <w:noProof/>
                <w:webHidden/>
              </w:rPr>
            </w:r>
            <w:r>
              <w:rPr>
                <w:noProof/>
                <w:webHidden/>
              </w:rPr>
              <w:fldChar w:fldCharType="separate"/>
            </w:r>
            <w:r>
              <w:rPr>
                <w:noProof/>
                <w:webHidden/>
              </w:rPr>
              <w:t>269</w:t>
            </w:r>
            <w:r>
              <w:rPr>
                <w:noProof/>
                <w:webHidden/>
              </w:rPr>
              <w:fldChar w:fldCharType="end"/>
            </w:r>
          </w:hyperlink>
        </w:p>
        <w:p w14:paraId="43AD31A8" w14:textId="779DE75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21" w:history="1">
            <w:r w:rsidRPr="00265A01">
              <w:rPr>
                <w:rStyle w:val="a9"/>
                <w:noProof/>
                <w:spacing w:val="-1"/>
                <w:w w:val="113"/>
              </w:rPr>
              <w:t>9.16.9.</w:t>
            </w:r>
            <w:r>
              <w:rPr>
                <w:rFonts w:asciiTheme="minorHAnsi" w:eastAsiaTheme="minorEastAsia" w:hAnsiTheme="minorHAnsi" w:cstheme="minorBidi"/>
                <w:noProof/>
                <w:kern w:val="2"/>
                <w:szCs w:val="22"/>
                <w:lang w:eastAsia="zh-CN"/>
              </w:rPr>
              <w:tab/>
            </w:r>
            <w:r w:rsidRPr="00265A01">
              <w:rPr>
                <w:rStyle w:val="a9"/>
                <w:noProof/>
                <w:w w:val="110"/>
              </w:rPr>
              <w:t>Build</w:t>
            </w:r>
            <w:r w:rsidRPr="00265A01">
              <w:rPr>
                <w:rStyle w:val="a9"/>
                <w:noProof/>
                <w:spacing w:val="-14"/>
                <w:w w:val="110"/>
              </w:rPr>
              <w:t xml:space="preserve"> </w:t>
            </w:r>
            <w:r w:rsidRPr="00265A01">
              <w:rPr>
                <w:rStyle w:val="a9"/>
                <w:noProof/>
                <w:w w:val="110"/>
              </w:rPr>
              <w:t>an</w:t>
            </w:r>
            <w:r w:rsidRPr="00265A01">
              <w:rPr>
                <w:rStyle w:val="a9"/>
                <w:noProof/>
                <w:spacing w:val="-13"/>
                <w:w w:val="110"/>
              </w:rPr>
              <w:t xml:space="preserve"> </w:t>
            </w:r>
            <w:r w:rsidRPr="00265A01">
              <w:rPr>
                <w:rStyle w:val="a9"/>
                <w:noProof/>
                <w:w w:val="110"/>
              </w:rPr>
              <w:t>Executable</w:t>
            </w:r>
            <w:r w:rsidRPr="00265A01">
              <w:rPr>
                <w:rStyle w:val="a9"/>
                <w:noProof/>
                <w:spacing w:val="-14"/>
                <w:w w:val="110"/>
              </w:rPr>
              <w:t xml:space="preserve"> </w:t>
            </w:r>
            <w:r w:rsidRPr="00265A01">
              <w:rPr>
                <w:rStyle w:val="a9"/>
                <w:noProof/>
                <w:w w:val="110"/>
              </w:rPr>
              <w:t>Archive</w:t>
            </w:r>
            <w:r w:rsidRPr="00265A01">
              <w:rPr>
                <w:rStyle w:val="a9"/>
                <w:noProof/>
                <w:spacing w:val="-14"/>
                <w:w w:val="110"/>
              </w:rPr>
              <w:t xml:space="preserve"> </w:t>
            </w:r>
            <w:r w:rsidRPr="00265A01">
              <w:rPr>
                <w:rStyle w:val="a9"/>
                <w:noProof/>
                <w:w w:val="110"/>
              </w:rPr>
              <w:t>from</w:t>
            </w:r>
            <w:r w:rsidRPr="00265A01">
              <w:rPr>
                <w:rStyle w:val="a9"/>
                <w:noProof/>
                <w:spacing w:val="-13"/>
                <w:w w:val="110"/>
              </w:rPr>
              <w:t xml:space="preserve"> </w:t>
            </w:r>
            <w:r w:rsidRPr="00265A01">
              <w:rPr>
                <w:rStyle w:val="a9"/>
                <w:noProof/>
                <w:w w:val="110"/>
              </w:rPr>
              <w:t>Ant</w:t>
            </w:r>
            <w:r w:rsidRPr="00265A01">
              <w:rPr>
                <w:rStyle w:val="a9"/>
                <w:noProof/>
                <w:spacing w:val="-14"/>
                <w:w w:val="110"/>
              </w:rPr>
              <w:t xml:space="preserve"> </w:t>
            </w:r>
            <w:r w:rsidRPr="00265A01">
              <w:rPr>
                <w:rStyle w:val="a9"/>
                <w:noProof/>
                <w:w w:val="110"/>
              </w:rPr>
              <w:t>without</w:t>
            </w:r>
            <w:r w:rsidRPr="00265A01">
              <w:rPr>
                <w:rStyle w:val="a9"/>
                <w:noProof/>
                <w:spacing w:val="-14"/>
                <w:w w:val="110"/>
              </w:rPr>
              <w:t xml:space="preserve"> </w:t>
            </w:r>
            <w:r w:rsidRPr="00265A01">
              <w:rPr>
                <w:rStyle w:val="a9"/>
                <w:noProof/>
                <w:w w:val="110"/>
              </w:rPr>
              <w:t>Using</w:t>
            </w:r>
            <w:r w:rsidRPr="00265A01">
              <w:rPr>
                <w:rStyle w:val="a9"/>
                <w:noProof/>
                <w:spacing w:val="-13"/>
                <w:w w:val="110"/>
              </w:rPr>
              <w:t xml:space="preserve"> </w:t>
            </w:r>
            <w:r w:rsidRPr="00265A01">
              <w:rPr>
                <w:rStyle w:val="a9"/>
                <w:noProof/>
                <w:w w:val="110"/>
              </w:rPr>
              <w:t>spring-boot- antlib</w:t>
            </w:r>
            <w:r>
              <w:rPr>
                <w:noProof/>
                <w:webHidden/>
              </w:rPr>
              <w:tab/>
            </w:r>
            <w:r>
              <w:rPr>
                <w:noProof/>
                <w:webHidden/>
              </w:rPr>
              <w:fldChar w:fldCharType="begin"/>
            </w:r>
            <w:r>
              <w:rPr>
                <w:noProof/>
                <w:webHidden/>
              </w:rPr>
              <w:instrText xml:space="preserve"> PAGEREF _Toc54424021 \h </w:instrText>
            </w:r>
            <w:r>
              <w:rPr>
                <w:noProof/>
                <w:webHidden/>
              </w:rPr>
            </w:r>
            <w:r>
              <w:rPr>
                <w:noProof/>
                <w:webHidden/>
              </w:rPr>
              <w:fldChar w:fldCharType="separate"/>
            </w:r>
            <w:r>
              <w:rPr>
                <w:noProof/>
                <w:webHidden/>
              </w:rPr>
              <w:t>269</w:t>
            </w:r>
            <w:r>
              <w:rPr>
                <w:noProof/>
                <w:webHidden/>
              </w:rPr>
              <w:fldChar w:fldCharType="end"/>
            </w:r>
          </w:hyperlink>
        </w:p>
        <w:p w14:paraId="6656D37E" w14:textId="4D070439" w:rsidR="00E10349" w:rsidRDefault="00E10349">
          <w:pPr>
            <w:pStyle w:val="TOC2"/>
            <w:tabs>
              <w:tab w:val="left" w:pos="1168"/>
              <w:tab w:val="right" w:leader="dot" w:pos="10220"/>
            </w:tabs>
            <w:rPr>
              <w:rFonts w:asciiTheme="minorHAnsi" w:eastAsiaTheme="minorEastAsia" w:hAnsiTheme="minorHAnsi" w:cstheme="minorBidi"/>
              <w:noProof/>
              <w:kern w:val="2"/>
              <w:szCs w:val="22"/>
              <w:lang w:eastAsia="zh-CN"/>
            </w:rPr>
          </w:pPr>
          <w:hyperlink w:anchor="_Toc54424022" w:history="1">
            <w:r w:rsidRPr="00265A01">
              <w:rPr>
                <w:rStyle w:val="a9"/>
                <w:noProof/>
                <w:spacing w:val="-1"/>
                <w:w w:val="113"/>
              </w:rPr>
              <w:t>9.17.</w:t>
            </w:r>
            <w:r>
              <w:rPr>
                <w:rFonts w:asciiTheme="minorHAnsi" w:eastAsiaTheme="minorEastAsia" w:hAnsiTheme="minorHAnsi" w:cstheme="minorBidi"/>
                <w:noProof/>
                <w:kern w:val="2"/>
                <w:szCs w:val="22"/>
                <w:lang w:eastAsia="zh-CN"/>
              </w:rPr>
              <w:tab/>
            </w:r>
            <w:r w:rsidRPr="00265A01">
              <w:rPr>
                <w:rStyle w:val="a9"/>
                <w:noProof/>
                <w:w w:val="110"/>
              </w:rPr>
              <w:t>Traditional</w:t>
            </w:r>
            <w:r w:rsidRPr="00265A01">
              <w:rPr>
                <w:rStyle w:val="a9"/>
                <w:noProof/>
                <w:spacing w:val="-8"/>
                <w:w w:val="110"/>
              </w:rPr>
              <w:t xml:space="preserve"> </w:t>
            </w:r>
            <w:r w:rsidRPr="00265A01">
              <w:rPr>
                <w:rStyle w:val="a9"/>
                <w:noProof/>
                <w:w w:val="110"/>
              </w:rPr>
              <w:t>Deployment</w:t>
            </w:r>
            <w:r>
              <w:rPr>
                <w:noProof/>
                <w:webHidden/>
              </w:rPr>
              <w:tab/>
            </w:r>
            <w:r>
              <w:rPr>
                <w:noProof/>
                <w:webHidden/>
              </w:rPr>
              <w:fldChar w:fldCharType="begin"/>
            </w:r>
            <w:r>
              <w:rPr>
                <w:noProof/>
                <w:webHidden/>
              </w:rPr>
              <w:instrText xml:space="preserve"> PAGEREF _Toc54424022 \h </w:instrText>
            </w:r>
            <w:r>
              <w:rPr>
                <w:noProof/>
                <w:webHidden/>
              </w:rPr>
            </w:r>
            <w:r>
              <w:rPr>
                <w:noProof/>
                <w:webHidden/>
              </w:rPr>
              <w:fldChar w:fldCharType="separate"/>
            </w:r>
            <w:r>
              <w:rPr>
                <w:noProof/>
                <w:webHidden/>
              </w:rPr>
              <w:t>269</w:t>
            </w:r>
            <w:r>
              <w:rPr>
                <w:noProof/>
                <w:webHidden/>
              </w:rPr>
              <w:fldChar w:fldCharType="end"/>
            </w:r>
          </w:hyperlink>
        </w:p>
        <w:p w14:paraId="2BFC8455" w14:textId="6B9E491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23" w:history="1">
            <w:r w:rsidRPr="00265A01">
              <w:rPr>
                <w:rStyle w:val="a9"/>
                <w:noProof/>
                <w:spacing w:val="-1"/>
                <w:w w:val="113"/>
              </w:rPr>
              <w:t>9.17.1.</w:t>
            </w:r>
            <w:r>
              <w:rPr>
                <w:rFonts w:asciiTheme="minorHAnsi" w:eastAsiaTheme="minorEastAsia" w:hAnsiTheme="minorHAnsi" w:cstheme="minorBidi"/>
                <w:noProof/>
                <w:kern w:val="2"/>
                <w:szCs w:val="22"/>
                <w:lang w:eastAsia="zh-CN"/>
              </w:rPr>
              <w:tab/>
            </w:r>
            <w:r w:rsidRPr="00265A01">
              <w:rPr>
                <w:rStyle w:val="a9"/>
                <w:noProof/>
                <w:w w:val="110"/>
              </w:rPr>
              <w:t xml:space="preserve">Create a Deployable </w:t>
            </w:r>
            <w:r w:rsidRPr="00265A01">
              <w:rPr>
                <w:rStyle w:val="a9"/>
                <w:noProof/>
                <w:spacing w:val="-5"/>
                <w:w w:val="110"/>
              </w:rPr>
              <w:t>War</w:t>
            </w:r>
            <w:r w:rsidRPr="00265A01">
              <w:rPr>
                <w:rStyle w:val="a9"/>
                <w:noProof/>
                <w:spacing w:val="-19"/>
                <w:w w:val="110"/>
              </w:rPr>
              <w:t xml:space="preserve"> </w:t>
            </w:r>
            <w:r w:rsidRPr="00265A01">
              <w:rPr>
                <w:rStyle w:val="a9"/>
                <w:noProof/>
                <w:w w:val="110"/>
              </w:rPr>
              <w:t>File</w:t>
            </w:r>
            <w:r>
              <w:rPr>
                <w:noProof/>
                <w:webHidden/>
              </w:rPr>
              <w:tab/>
            </w:r>
            <w:r>
              <w:rPr>
                <w:noProof/>
                <w:webHidden/>
              </w:rPr>
              <w:fldChar w:fldCharType="begin"/>
            </w:r>
            <w:r>
              <w:rPr>
                <w:noProof/>
                <w:webHidden/>
              </w:rPr>
              <w:instrText xml:space="preserve"> PAGEREF _Toc54424023 \h </w:instrText>
            </w:r>
            <w:r>
              <w:rPr>
                <w:noProof/>
                <w:webHidden/>
              </w:rPr>
            </w:r>
            <w:r>
              <w:rPr>
                <w:noProof/>
                <w:webHidden/>
              </w:rPr>
              <w:fldChar w:fldCharType="separate"/>
            </w:r>
            <w:r>
              <w:rPr>
                <w:noProof/>
                <w:webHidden/>
              </w:rPr>
              <w:t>269</w:t>
            </w:r>
            <w:r>
              <w:rPr>
                <w:noProof/>
                <w:webHidden/>
              </w:rPr>
              <w:fldChar w:fldCharType="end"/>
            </w:r>
          </w:hyperlink>
        </w:p>
        <w:p w14:paraId="116D7883" w14:textId="2753C546"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24" w:history="1">
            <w:r w:rsidRPr="00265A01">
              <w:rPr>
                <w:rStyle w:val="a9"/>
                <w:noProof/>
                <w:spacing w:val="-1"/>
                <w:w w:val="113"/>
              </w:rPr>
              <w:t>9.17.2.</w:t>
            </w:r>
            <w:r>
              <w:rPr>
                <w:rFonts w:asciiTheme="minorHAnsi" w:eastAsiaTheme="minorEastAsia" w:hAnsiTheme="minorHAnsi" w:cstheme="minorBidi"/>
                <w:noProof/>
                <w:kern w:val="2"/>
                <w:szCs w:val="22"/>
                <w:lang w:eastAsia="zh-CN"/>
              </w:rPr>
              <w:tab/>
            </w:r>
            <w:r w:rsidRPr="00265A01">
              <w:rPr>
                <w:rStyle w:val="a9"/>
                <w:noProof/>
                <w:w w:val="110"/>
              </w:rPr>
              <w:t>Convert an Existing Application to Spring</w:t>
            </w:r>
            <w:r w:rsidRPr="00265A01">
              <w:rPr>
                <w:rStyle w:val="a9"/>
                <w:noProof/>
                <w:spacing w:val="-38"/>
                <w:w w:val="110"/>
              </w:rPr>
              <w:t xml:space="preserve"> </w:t>
            </w:r>
            <w:r w:rsidRPr="00265A01">
              <w:rPr>
                <w:rStyle w:val="a9"/>
                <w:noProof/>
                <w:w w:val="110"/>
              </w:rPr>
              <w:t>Boot</w:t>
            </w:r>
            <w:r>
              <w:rPr>
                <w:noProof/>
                <w:webHidden/>
              </w:rPr>
              <w:tab/>
            </w:r>
            <w:r>
              <w:rPr>
                <w:noProof/>
                <w:webHidden/>
              </w:rPr>
              <w:fldChar w:fldCharType="begin"/>
            </w:r>
            <w:r>
              <w:rPr>
                <w:noProof/>
                <w:webHidden/>
              </w:rPr>
              <w:instrText xml:space="preserve"> PAGEREF _Toc54424024 \h </w:instrText>
            </w:r>
            <w:r>
              <w:rPr>
                <w:noProof/>
                <w:webHidden/>
              </w:rPr>
            </w:r>
            <w:r>
              <w:rPr>
                <w:noProof/>
                <w:webHidden/>
              </w:rPr>
              <w:fldChar w:fldCharType="separate"/>
            </w:r>
            <w:r>
              <w:rPr>
                <w:noProof/>
                <w:webHidden/>
              </w:rPr>
              <w:t>269</w:t>
            </w:r>
            <w:r>
              <w:rPr>
                <w:noProof/>
                <w:webHidden/>
              </w:rPr>
              <w:fldChar w:fldCharType="end"/>
            </w:r>
          </w:hyperlink>
        </w:p>
        <w:p w14:paraId="2FB505F1" w14:textId="19D8F1DC"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25" w:history="1">
            <w:r w:rsidRPr="00265A01">
              <w:rPr>
                <w:rStyle w:val="a9"/>
                <w:noProof/>
                <w:spacing w:val="-1"/>
                <w:w w:val="113"/>
              </w:rPr>
              <w:t>9.17.3.</w:t>
            </w:r>
            <w:r>
              <w:rPr>
                <w:rFonts w:asciiTheme="minorHAnsi" w:eastAsiaTheme="minorEastAsia" w:hAnsiTheme="minorHAnsi" w:cstheme="minorBidi"/>
                <w:noProof/>
                <w:kern w:val="2"/>
                <w:szCs w:val="22"/>
                <w:lang w:eastAsia="zh-CN"/>
              </w:rPr>
              <w:tab/>
            </w:r>
            <w:r w:rsidRPr="00265A01">
              <w:rPr>
                <w:rStyle w:val="a9"/>
                <w:noProof/>
                <w:w w:val="110"/>
              </w:rPr>
              <w:t xml:space="preserve">Deploying a </w:t>
            </w:r>
            <w:r w:rsidRPr="00265A01">
              <w:rPr>
                <w:rStyle w:val="a9"/>
                <w:noProof/>
                <w:spacing w:val="-6"/>
                <w:w w:val="110"/>
              </w:rPr>
              <w:t xml:space="preserve">WAR </w:t>
            </w:r>
            <w:r w:rsidRPr="00265A01">
              <w:rPr>
                <w:rStyle w:val="a9"/>
                <w:noProof/>
                <w:w w:val="110"/>
              </w:rPr>
              <w:t>to</w:t>
            </w:r>
            <w:r w:rsidRPr="00265A01">
              <w:rPr>
                <w:rStyle w:val="a9"/>
                <w:noProof/>
                <w:spacing w:val="-21"/>
                <w:w w:val="110"/>
              </w:rPr>
              <w:t xml:space="preserve"> </w:t>
            </w:r>
            <w:r w:rsidRPr="00265A01">
              <w:rPr>
                <w:rStyle w:val="a9"/>
                <w:noProof/>
                <w:spacing w:val="-3"/>
                <w:w w:val="110"/>
              </w:rPr>
              <w:t>WebLogic</w:t>
            </w:r>
            <w:r>
              <w:rPr>
                <w:noProof/>
                <w:webHidden/>
              </w:rPr>
              <w:tab/>
            </w:r>
            <w:r>
              <w:rPr>
                <w:noProof/>
                <w:webHidden/>
              </w:rPr>
              <w:fldChar w:fldCharType="begin"/>
            </w:r>
            <w:r>
              <w:rPr>
                <w:noProof/>
                <w:webHidden/>
              </w:rPr>
              <w:instrText xml:space="preserve"> PAGEREF _Toc54424025 \h </w:instrText>
            </w:r>
            <w:r>
              <w:rPr>
                <w:noProof/>
                <w:webHidden/>
              </w:rPr>
            </w:r>
            <w:r>
              <w:rPr>
                <w:noProof/>
                <w:webHidden/>
              </w:rPr>
              <w:fldChar w:fldCharType="separate"/>
            </w:r>
            <w:r>
              <w:rPr>
                <w:noProof/>
                <w:webHidden/>
              </w:rPr>
              <w:t>269</w:t>
            </w:r>
            <w:r>
              <w:rPr>
                <w:noProof/>
                <w:webHidden/>
              </w:rPr>
              <w:fldChar w:fldCharType="end"/>
            </w:r>
          </w:hyperlink>
        </w:p>
        <w:p w14:paraId="4EB1CBE9" w14:textId="5D63E5D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26" w:history="1">
            <w:r w:rsidRPr="00265A01">
              <w:rPr>
                <w:rStyle w:val="a9"/>
                <w:noProof/>
                <w:spacing w:val="-1"/>
                <w:w w:val="113"/>
              </w:rPr>
              <w:t>9.17.4.</w:t>
            </w:r>
            <w:r>
              <w:rPr>
                <w:rFonts w:asciiTheme="minorHAnsi" w:eastAsiaTheme="minorEastAsia" w:hAnsiTheme="minorHAnsi" w:cstheme="minorBidi"/>
                <w:noProof/>
                <w:kern w:val="2"/>
                <w:szCs w:val="22"/>
                <w:lang w:eastAsia="zh-CN"/>
              </w:rPr>
              <w:tab/>
            </w:r>
            <w:r w:rsidRPr="00265A01">
              <w:rPr>
                <w:rStyle w:val="a9"/>
                <w:noProof/>
                <w:w w:val="110"/>
              </w:rPr>
              <w:t>Use Jedis Instead of</w:t>
            </w:r>
            <w:r w:rsidRPr="00265A01">
              <w:rPr>
                <w:rStyle w:val="a9"/>
                <w:noProof/>
                <w:spacing w:val="-21"/>
                <w:w w:val="110"/>
              </w:rPr>
              <w:t xml:space="preserve"> </w:t>
            </w:r>
            <w:r w:rsidRPr="00265A01">
              <w:rPr>
                <w:rStyle w:val="a9"/>
                <w:noProof/>
                <w:w w:val="110"/>
              </w:rPr>
              <w:t>Lettuce</w:t>
            </w:r>
            <w:r>
              <w:rPr>
                <w:noProof/>
                <w:webHidden/>
              </w:rPr>
              <w:tab/>
            </w:r>
            <w:r>
              <w:rPr>
                <w:noProof/>
                <w:webHidden/>
              </w:rPr>
              <w:fldChar w:fldCharType="begin"/>
            </w:r>
            <w:r>
              <w:rPr>
                <w:noProof/>
                <w:webHidden/>
              </w:rPr>
              <w:instrText xml:space="preserve"> PAGEREF _Toc54424026 \h </w:instrText>
            </w:r>
            <w:r>
              <w:rPr>
                <w:noProof/>
                <w:webHidden/>
              </w:rPr>
            </w:r>
            <w:r>
              <w:rPr>
                <w:noProof/>
                <w:webHidden/>
              </w:rPr>
              <w:fldChar w:fldCharType="separate"/>
            </w:r>
            <w:r>
              <w:rPr>
                <w:noProof/>
                <w:webHidden/>
              </w:rPr>
              <w:t>269</w:t>
            </w:r>
            <w:r>
              <w:rPr>
                <w:noProof/>
                <w:webHidden/>
              </w:rPr>
              <w:fldChar w:fldCharType="end"/>
            </w:r>
          </w:hyperlink>
        </w:p>
        <w:p w14:paraId="15E88FED" w14:textId="119BAEF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27" w:history="1">
            <w:r w:rsidRPr="00265A01">
              <w:rPr>
                <w:rStyle w:val="a9"/>
                <w:noProof/>
                <w:spacing w:val="-1"/>
                <w:w w:val="113"/>
              </w:rPr>
              <w:t>9.17.5.</w:t>
            </w:r>
            <w:r>
              <w:rPr>
                <w:rFonts w:asciiTheme="minorHAnsi" w:eastAsiaTheme="minorEastAsia" w:hAnsiTheme="minorHAnsi" w:cstheme="minorBidi"/>
                <w:noProof/>
                <w:kern w:val="2"/>
                <w:szCs w:val="22"/>
                <w:lang w:eastAsia="zh-CN"/>
              </w:rPr>
              <w:tab/>
            </w:r>
            <w:r w:rsidRPr="00265A01">
              <w:rPr>
                <w:rStyle w:val="a9"/>
                <w:noProof/>
                <w:w w:val="110"/>
              </w:rPr>
              <w:t>Use Testcontainers for integration</w:t>
            </w:r>
            <w:r w:rsidRPr="00265A01">
              <w:rPr>
                <w:rStyle w:val="a9"/>
                <w:noProof/>
                <w:spacing w:val="-16"/>
                <w:w w:val="110"/>
              </w:rPr>
              <w:t xml:space="preserve"> </w:t>
            </w:r>
            <w:r w:rsidRPr="00265A01">
              <w:rPr>
                <w:rStyle w:val="a9"/>
                <w:noProof/>
                <w:w w:val="110"/>
              </w:rPr>
              <w:t>testing</w:t>
            </w:r>
            <w:r>
              <w:rPr>
                <w:noProof/>
                <w:webHidden/>
              </w:rPr>
              <w:tab/>
            </w:r>
            <w:r>
              <w:rPr>
                <w:noProof/>
                <w:webHidden/>
              </w:rPr>
              <w:fldChar w:fldCharType="begin"/>
            </w:r>
            <w:r>
              <w:rPr>
                <w:noProof/>
                <w:webHidden/>
              </w:rPr>
              <w:instrText xml:space="preserve"> PAGEREF _Toc54424027 \h </w:instrText>
            </w:r>
            <w:r>
              <w:rPr>
                <w:noProof/>
                <w:webHidden/>
              </w:rPr>
            </w:r>
            <w:r>
              <w:rPr>
                <w:noProof/>
                <w:webHidden/>
              </w:rPr>
              <w:fldChar w:fldCharType="separate"/>
            </w:r>
            <w:r>
              <w:rPr>
                <w:noProof/>
                <w:webHidden/>
              </w:rPr>
              <w:t>269</w:t>
            </w:r>
            <w:r>
              <w:rPr>
                <w:noProof/>
                <w:webHidden/>
              </w:rPr>
              <w:fldChar w:fldCharType="end"/>
            </w:r>
          </w:hyperlink>
        </w:p>
        <w:p w14:paraId="15E62841" w14:textId="4339AD9B" w:rsidR="00E10349" w:rsidRDefault="00E10349">
          <w:pPr>
            <w:pStyle w:val="TOC2"/>
            <w:tabs>
              <w:tab w:val="right" w:leader="dot" w:pos="10220"/>
            </w:tabs>
            <w:rPr>
              <w:rFonts w:asciiTheme="minorHAnsi" w:eastAsiaTheme="minorEastAsia" w:hAnsiTheme="minorHAnsi" w:cstheme="minorBidi"/>
              <w:noProof/>
              <w:kern w:val="2"/>
              <w:szCs w:val="22"/>
              <w:lang w:eastAsia="zh-CN"/>
            </w:rPr>
          </w:pPr>
          <w:hyperlink w:anchor="_Toc54424028" w:history="1">
            <w:r w:rsidRPr="00265A01">
              <w:rPr>
                <w:rStyle w:val="a9"/>
                <w:noProof/>
                <w:w w:val="110"/>
              </w:rPr>
              <w:t>Appendix A: Common Application properties</w:t>
            </w:r>
            <w:r>
              <w:rPr>
                <w:noProof/>
                <w:webHidden/>
              </w:rPr>
              <w:tab/>
            </w:r>
            <w:r>
              <w:rPr>
                <w:noProof/>
                <w:webHidden/>
              </w:rPr>
              <w:fldChar w:fldCharType="begin"/>
            </w:r>
            <w:r>
              <w:rPr>
                <w:noProof/>
                <w:webHidden/>
              </w:rPr>
              <w:instrText xml:space="preserve"> PAGEREF _Toc54424028 \h </w:instrText>
            </w:r>
            <w:r>
              <w:rPr>
                <w:noProof/>
                <w:webHidden/>
              </w:rPr>
            </w:r>
            <w:r>
              <w:rPr>
                <w:noProof/>
                <w:webHidden/>
              </w:rPr>
              <w:fldChar w:fldCharType="separate"/>
            </w:r>
            <w:r>
              <w:rPr>
                <w:noProof/>
                <w:webHidden/>
              </w:rPr>
              <w:t>269</w:t>
            </w:r>
            <w:r>
              <w:rPr>
                <w:noProof/>
                <w:webHidden/>
              </w:rPr>
              <w:fldChar w:fldCharType="end"/>
            </w:r>
          </w:hyperlink>
        </w:p>
        <w:p w14:paraId="39A2FF16" w14:textId="07DEADA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29" w:history="1">
            <w:r w:rsidRPr="00265A01">
              <w:rPr>
                <w:rStyle w:val="a9"/>
                <w:noProof/>
                <w:spacing w:val="-1"/>
                <w:w w:val="109"/>
              </w:rPr>
              <w:t>10.A.1.</w:t>
            </w:r>
            <w:r>
              <w:rPr>
                <w:rFonts w:asciiTheme="minorHAnsi" w:eastAsiaTheme="minorEastAsia" w:hAnsiTheme="minorHAnsi" w:cstheme="minorBidi"/>
                <w:noProof/>
                <w:kern w:val="2"/>
                <w:szCs w:val="22"/>
                <w:lang w:eastAsia="zh-CN"/>
              </w:rPr>
              <w:tab/>
            </w:r>
            <w:r w:rsidRPr="00265A01">
              <w:rPr>
                <w:rStyle w:val="a9"/>
                <w:noProof/>
                <w:w w:val="110"/>
              </w:rPr>
              <w:t>Core</w:t>
            </w:r>
            <w:r w:rsidRPr="00265A01">
              <w:rPr>
                <w:rStyle w:val="a9"/>
                <w:noProof/>
                <w:spacing w:val="-6"/>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_Toc54424029 \h </w:instrText>
            </w:r>
            <w:r>
              <w:rPr>
                <w:noProof/>
                <w:webHidden/>
              </w:rPr>
            </w:r>
            <w:r>
              <w:rPr>
                <w:noProof/>
                <w:webHidden/>
              </w:rPr>
              <w:fldChar w:fldCharType="separate"/>
            </w:r>
            <w:r>
              <w:rPr>
                <w:noProof/>
                <w:webHidden/>
              </w:rPr>
              <w:t>269</w:t>
            </w:r>
            <w:r>
              <w:rPr>
                <w:noProof/>
                <w:webHidden/>
              </w:rPr>
              <w:fldChar w:fldCharType="end"/>
            </w:r>
          </w:hyperlink>
        </w:p>
        <w:p w14:paraId="3D20AEAF" w14:textId="1CC3030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0" w:history="1">
            <w:r w:rsidRPr="00265A01">
              <w:rPr>
                <w:rStyle w:val="a9"/>
                <w:noProof/>
                <w:spacing w:val="-1"/>
                <w:w w:val="109"/>
              </w:rPr>
              <w:t>10.A.2.</w:t>
            </w:r>
            <w:r>
              <w:rPr>
                <w:rFonts w:asciiTheme="minorHAnsi" w:eastAsiaTheme="minorEastAsia" w:hAnsiTheme="minorHAnsi" w:cstheme="minorBidi"/>
                <w:noProof/>
                <w:kern w:val="2"/>
                <w:szCs w:val="22"/>
                <w:lang w:eastAsia="zh-CN"/>
              </w:rPr>
              <w:tab/>
            </w:r>
            <w:r w:rsidRPr="00265A01">
              <w:rPr>
                <w:rStyle w:val="a9"/>
                <w:noProof/>
                <w:w w:val="110"/>
              </w:rPr>
              <w:t>Cache</w:t>
            </w:r>
            <w:r w:rsidRPr="00265A01">
              <w:rPr>
                <w:rStyle w:val="a9"/>
                <w:noProof/>
                <w:spacing w:val="-6"/>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_Toc54424030 \h </w:instrText>
            </w:r>
            <w:r>
              <w:rPr>
                <w:noProof/>
                <w:webHidden/>
              </w:rPr>
            </w:r>
            <w:r>
              <w:rPr>
                <w:noProof/>
                <w:webHidden/>
              </w:rPr>
              <w:fldChar w:fldCharType="separate"/>
            </w:r>
            <w:r>
              <w:rPr>
                <w:noProof/>
                <w:webHidden/>
              </w:rPr>
              <w:t>269</w:t>
            </w:r>
            <w:r>
              <w:rPr>
                <w:noProof/>
                <w:webHidden/>
              </w:rPr>
              <w:fldChar w:fldCharType="end"/>
            </w:r>
          </w:hyperlink>
        </w:p>
        <w:p w14:paraId="29DA3230" w14:textId="57F75AE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1" w:history="1">
            <w:r w:rsidRPr="00265A01">
              <w:rPr>
                <w:rStyle w:val="a9"/>
                <w:noProof/>
                <w:spacing w:val="-1"/>
                <w:w w:val="109"/>
              </w:rPr>
              <w:t>10.A.3.</w:t>
            </w:r>
            <w:r>
              <w:rPr>
                <w:rFonts w:asciiTheme="minorHAnsi" w:eastAsiaTheme="minorEastAsia" w:hAnsiTheme="minorHAnsi" w:cstheme="minorBidi"/>
                <w:noProof/>
                <w:kern w:val="2"/>
                <w:szCs w:val="22"/>
                <w:lang w:eastAsia="zh-CN"/>
              </w:rPr>
              <w:tab/>
            </w:r>
            <w:r w:rsidRPr="00265A01">
              <w:rPr>
                <w:rStyle w:val="a9"/>
                <w:noProof/>
                <w:w w:val="110"/>
              </w:rPr>
              <w:t>Mail</w:t>
            </w:r>
            <w:r w:rsidRPr="00265A01">
              <w:rPr>
                <w:rStyle w:val="a9"/>
                <w:noProof/>
                <w:spacing w:val="-5"/>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_Toc54424031 \h </w:instrText>
            </w:r>
            <w:r>
              <w:rPr>
                <w:noProof/>
                <w:webHidden/>
              </w:rPr>
            </w:r>
            <w:r>
              <w:rPr>
                <w:noProof/>
                <w:webHidden/>
              </w:rPr>
              <w:fldChar w:fldCharType="separate"/>
            </w:r>
            <w:r>
              <w:rPr>
                <w:noProof/>
                <w:webHidden/>
              </w:rPr>
              <w:t>269</w:t>
            </w:r>
            <w:r>
              <w:rPr>
                <w:noProof/>
                <w:webHidden/>
              </w:rPr>
              <w:fldChar w:fldCharType="end"/>
            </w:r>
          </w:hyperlink>
        </w:p>
        <w:p w14:paraId="32C42146" w14:textId="1D7D2A2F"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2" w:history="1">
            <w:r w:rsidRPr="00265A01">
              <w:rPr>
                <w:rStyle w:val="a9"/>
                <w:noProof/>
                <w:spacing w:val="-1"/>
                <w:w w:val="109"/>
              </w:rPr>
              <w:t>10.A.4.</w:t>
            </w:r>
            <w:r>
              <w:rPr>
                <w:rFonts w:asciiTheme="minorHAnsi" w:eastAsiaTheme="minorEastAsia" w:hAnsiTheme="minorHAnsi" w:cstheme="minorBidi"/>
                <w:noProof/>
                <w:kern w:val="2"/>
                <w:szCs w:val="22"/>
                <w:lang w:eastAsia="zh-CN"/>
              </w:rPr>
              <w:tab/>
            </w:r>
            <w:r w:rsidRPr="00265A01">
              <w:rPr>
                <w:rStyle w:val="a9"/>
                <w:noProof/>
                <w:w w:val="105"/>
              </w:rPr>
              <w:t>JSON</w:t>
            </w:r>
            <w:r w:rsidRPr="00265A01">
              <w:rPr>
                <w:rStyle w:val="a9"/>
                <w:noProof/>
                <w:spacing w:val="-1"/>
                <w:w w:val="105"/>
              </w:rPr>
              <w:t xml:space="preserve"> </w:t>
            </w:r>
            <w:r w:rsidRPr="00265A01">
              <w:rPr>
                <w:rStyle w:val="a9"/>
                <w:noProof/>
                <w:w w:val="105"/>
              </w:rPr>
              <w:t>properties</w:t>
            </w:r>
            <w:r>
              <w:rPr>
                <w:noProof/>
                <w:webHidden/>
              </w:rPr>
              <w:tab/>
            </w:r>
            <w:r>
              <w:rPr>
                <w:noProof/>
                <w:webHidden/>
              </w:rPr>
              <w:fldChar w:fldCharType="begin"/>
            </w:r>
            <w:r>
              <w:rPr>
                <w:noProof/>
                <w:webHidden/>
              </w:rPr>
              <w:instrText xml:space="preserve"> PAGEREF _Toc54424032 \h </w:instrText>
            </w:r>
            <w:r>
              <w:rPr>
                <w:noProof/>
                <w:webHidden/>
              </w:rPr>
            </w:r>
            <w:r>
              <w:rPr>
                <w:noProof/>
                <w:webHidden/>
              </w:rPr>
              <w:fldChar w:fldCharType="separate"/>
            </w:r>
            <w:r>
              <w:rPr>
                <w:noProof/>
                <w:webHidden/>
              </w:rPr>
              <w:t>269</w:t>
            </w:r>
            <w:r>
              <w:rPr>
                <w:noProof/>
                <w:webHidden/>
              </w:rPr>
              <w:fldChar w:fldCharType="end"/>
            </w:r>
          </w:hyperlink>
        </w:p>
        <w:p w14:paraId="293D38FF" w14:textId="06A04CB3"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3" w:history="1">
            <w:r w:rsidRPr="00265A01">
              <w:rPr>
                <w:rStyle w:val="a9"/>
                <w:noProof/>
                <w:spacing w:val="-1"/>
                <w:w w:val="109"/>
              </w:rPr>
              <w:t>10.A.5.</w:t>
            </w:r>
            <w:r>
              <w:rPr>
                <w:rFonts w:asciiTheme="minorHAnsi" w:eastAsiaTheme="minorEastAsia" w:hAnsiTheme="minorHAnsi" w:cstheme="minorBidi"/>
                <w:noProof/>
                <w:kern w:val="2"/>
                <w:szCs w:val="22"/>
                <w:lang w:eastAsia="zh-CN"/>
              </w:rPr>
              <w:tab/>
            </w:r>
            <w:r w:rsidRPr="00265A01">
              <w:rPr>
                <w:rStyle w:val="a9"/>
                <w:noProof/>
                <w:w w:val="110"/>
              </w:rPr>
              <w:t>Data</w:t>
            </w:r>
            <w:r w:rsidRPr="00265A01">
              <w:rPr>
                <w:rStyle w:val="a9"/>
                <w:noProof/>
                <w:spacing w:val="-5"/>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_Toc54424033 \h </w:instrText>
            </w:r>
            <w:r>
              <w:rPr>
                <w:noProof/>
                <w:webHidden/>
              </w:rPr>
            </w:r>
            <w:r>
              <w:rPr>
                <w:noProof/>
                <w:webHidden/>
              </w:rPr>
              <w:fldChar w:fldCharType="separate"/>
            </w:r>
            <w:r>
              <w:rPr>
                <w:noProof/>
                <w:webHidden/>
              </w:rPr>
              <w:t>269</w:t>
            </w:r>
            <w:r>
              <w:rPr>
                <w:noProof/>
                <w:webHidden/>
              </w:rPr>
              <w:fldChar w:fldCharType="end"/>
            </w:r>
          </w:hyperlink>
        </w:p>
        <w:p w14:paraId="2CC05BD0" w14:textId="12941BF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4" w:history="1">
            <w:r w:rsidRPr="00265A01">
              <w:rPr>
                <w:rStyle w:val="a9"/>
                <w:noProof/>
                <w:spacing w:val="-1"/>
                <w:w w:val="109"/>
              </w:rPr>
              <w:t>10.A.6.</w:t>
            </w:r>
            <w:r>
              <w:rPr>
                <w:rFonts w:asciiTheme="minorHAnsi" w:eastAsiaTheme="minorEastAsia" w:hAnsiTheme="minorHAnsi" w:cstheme="minorBidi"/>
                <w:noProof/>
                <w:kern w:val="2"/>
                <w:szCs w:val="22"/>
                <w:lang w:eastAsia="zh-CN"/>
              </w:rPr>
              <w:tab/>
            </w:r>
            <w:r w:rsidRPr="00265A01">
              <w:rPr>
                <w:rStyle w:val="a9"/>
                <w:noProof/>
                <w:w w:val="115"/>
              </w:rPr>
              <w:t>Transaction</w:t>
            </w:r>
            <w:r w:rsidRPr="00265A01">
              <w:rPr>
                <w:rStyle w:val="a9"/>
                <w:noProof/>
                <w:spacing w:val="-9"/>
                <w:w w:val="115"/>
              </w:rPr>
              <w:t xml:space="preserve"> </w:t>
            </w:r>
            <w:r w:rsidRPr="00265A01">
              <w:rPr>
                <w:rStyle w:val="a9"/>
                <w:noProof/>
                <w:w w:val="115"/>
              </w:rPr>
              <w:t>properties</w:t>
            </w:r>
            <w:r>
              <w:rPr>
                <w:noProof/>
                <w:webHidden/>
              </w:rPr>
              <w:tab/>
            </w:r>
            <w:r>
              <w:rPr>
                <w:noProof/>
                <w:webHidden/>
              </w:rPr>
              <w:fldChar w:fldCharType="begin"/>
            </w:r>
            <w:r>
              <w:rPr>
                <w:noProof/>
                <w:webHidden/>
              </w:rPr>
              <w:instrText xml:space="preserve"> PAGEREF _Toc54424034 \h </w:instrText>
            </w:r>
            <w:r>
              <w:rPr>
                <w:noProof/>
                <w:webHidden/>
              </w:rPr>
            </w:r>
            <w:r>
              <w:rPr>
                <w:noProof/>
                <w:webHidden/>
              </w:rPr>
              <w:fldChar w:fldCharType="separate"/>
            </w:r>
            <w:r>
              <w:rPr>
                <w:noProof/>
                <w:webHidden/>
              </w:rPr>
              <w:t>269</w:t>
            </w:r>
            <w:r>
              <w:rPr>
                <w:noProof/>
                <w:webHidden/>
              </w:rPr>
              <w:fldChar w:fldCharType="end"/>
            </w:r>
          </w:hyperlink>
        </w:p>
        <w:p w14:paraId="6A8F17D9" w14:textId="6854297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5" w:history="1">
            <w:r w:rsidRPr="00265A01">
              <w:rPr>
                <w:rStyle w:val="a9"/>
                <w:noProof/>
                <w:spacing w:val="-1"/>
                <w:w w:val="109"/>
              </w:rPr>
              <w:t>10.A.7.</w:t>
            </w:r>
            <w:r>
              <w:rPr>
                <w:rFonts w:asciiTheme="minorHAnsi" w:eastAsiaTheme="minorEastAsia" w:hAnsiTheme="minorHAnsi" w:cstheme="minorBidi"/>
                <w:noProof/>
                <w:kern w:val="2"/>
                <w:szCs w:val="22"/>
                <w:lang w:eastAsia="zh-CN"/>
              </w:rPr>
              <w:tab/>
            </w:r>
            <w:r w:rsidRPr="00265A01">
              <w:rPr>
                <w:rStyle w:val="a9"/>
                <w:noProof/>
                <w:w w:val="110"/>
              </w:rPr>
              <w:t>Data migration</w:t>
            </w:r>
            <w:r w:rsidRPr="00265A01">
              <w:rPr>
                <w:rStyle w:val="a9"/>
                <w:noProof/>
                <w:spacing w:val="-8"/>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_Toc54424035 \h </w:instrText>
            </w:r>
            <w:r>
              <w:rPr>
                <w:noProof/>
                <w:webHidden/>
              </w:rPr>
            </w:r>
            <w:r>
              <w:rPr>
                <w:noProof/>
                <w:webHidden/>
              </w:rPr>
              <w:fldChar w:fldCharType="separate"/>
            </w:r>
            <w:r>
              <w:rPr>
                <w:noProof/>
                <w:webHidden/>
              </w:rPr>
              <w:t>269</w:t>
            </w:r>
            <w:r>
              <w:rPr>
                <w:noProof/>
                <w:webHidden/>
              </w:rPr>
              <w:fldChar w:fldCharType="end"/>
            </w:r>
          </w:hyperlink>
        </w:p>
        <w:p w14:paraId="0E92BF25" w14:textId="056D0F5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6" w:history="1">
            <w:r w:rsidRPr="00265A01">
              <w:rPr>
                <w:rStyle w:val="a9"/>
                <w:noProof/>
                <w:spacing w:val="-1"/>
                <w:w w:val="109"/>
              </w:rPr>
              <w:t>10.A.8.</w:t>
            </w:r>
            <w:r>
              <w:rPr>
                <w:rFonts w:asciiTheme="minorHAnsi" w:eastAsiaTheme="minorEastAsia" w:hAnsiTheme="minorHAnsi" w:cstheme="minorBidi"/>
                <w:noProof/>
                <w:kern w:val="2"/>
                <w:szCs w:val="22"/>
                <w:lang w:eastAsia="zh-CN"/>
              </w:rPr>
              <w:tab/>
            </w:r>
            <w:r w:rsidRPr="00265A01">
              <w:rPr>
                <w:rStyle w:val="a9"/>
                <w:noProof/>
                <w:w w:val="115"/>
              </w:rPr>
              <w:t>Integration</w:t>
            </w:r>
            <w:r w:rsidRPr="00265A01">
              <w:rPr>
                <w:rStyle w:val="a9"/>
                <w:noProof/>
                <w:spacing w:val="-9"/>
                <w:w w:val="115"/>
              </w:rPr>
              <w:t xml:space="preserve"> </w:t>
            </w:r>
            <w:r w:rsidRPr="00265A01">
              <w:rPr>
                <w:rStyle w:val="a9"/>
                <w:noProof/>
                <w:w w:val="115"/>
              </w:rPr>
              <w:t>properties</w:t>
            </w:r>
            <w:r>
              <w:rPr>
                <w:noProof/>
                <w:webHidden/>
              </w:rPr>
              <w:tab/>
            </w:r>
            <w:r>
              <w:rPr>
                <w:noProof/>
                <w:webHidden/>
              </w:rPr>
              <w:fldChar w:fldCharType="begin"/>
            </w:r>
            <w:r>
              <w:rPr>
                <w:noProof/>
                <w:webHidden/>
              </w:rPr>
              <w:instrText xml:space="preserve"> PAGEREF _Toc54424036 \h </w:instrText>
            </w:r>
            <w:r>
              <w:rPr>
                <w:noProof/>
                <w:webHidden/>
              </w:rPr>
            </w:r>
            <w:r>
              <w:rPr>
                <w:noProof/>
                <w:webHidden/>
              </w:rPr>
              <w:fldChar w:fldCharType="separate"/>
            </w:r>
            <w:r>
              <w:rPr>
                <w:noProof/>
                <w:webHidden/>
              </w:rPr>
              <w:t>269</w:t>
            </w:r>
            <w:r>
              <w:rPr>
                <w:noProof/>
                <w:webHidden/>
              </w:rPr>
              <w:fldChar w:fldCharType="end"/>
            </w:r>
          </w:hyperlink>
        </w:p>
        <w:p w14:paraId="2EBBA3B8" w14:textId="48E46C2A"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7" w:history="1">
            <w:r w:rsidRPr="00265A01">
              <w:rPr>
                <w:rStyle w:val="a9"/>
                <w:noProof/>
                <w:spacing w:val="-1"/>
                <w:w w:val="109"/>
              </w:rPr>
              <w:t>10.A.9.</w:t>
            </w:r>
            <w:r>
              <w:rPr>
                <w:rFonts w:asciiTheme="minorHAnsi" w:eastAsiaTheme="minorEastAsia" w:hAnsiTheme="minorHAnsi" w:cstheme="minorBidi"/>
                <w:noProof/>
                <w:kern w:val="2"/>
                <w:szCs w:val="22"/>
                <w:lang w:eastAsia="zh-CN"/>
              </w:rPr>
              <w:tab/>
            </w:r>
            <w:r w:rsidRPr="00265A01">
              <w:rPr>
                <w:rStyle w:val="a9"/>
                <w:noProof/>
                <w:spacing w:val="-6"/>
                <w:w w:val="110"/>
              </w:rPr>
              <w:t xml:space="preserve">Web </w:t>
            </w:r>
            <w:r w:rsidRPr="00265A01">
              <w:rPr>
                <w:rStyle w:val="a9"/>
                <w:noProof/>
                <w:w w:val="110"/>
              </w:rPr>
              <w:t>properties</w:t>
            </w:r>
            <w:r>
              <w:rPr>
                <w:noProof/>
                <w:webHidden/>
              </w:rPr>
              <w:tab/>
            </w:r>
            <w:r>
              <w:rPr>
                <w:noProof/>
                <w:webHidden/>
              </w:rPr>
              <w:fldChar w:fldCharType="begin"/>
            </w:r>
            <w:r>
              <w:rPr>
                <w:noProof/>
                <w:webHidden/>
              </w:rPr>
              <w:instrText xml:space="preserve"> PAGEREF _Toc54424037 \h </w:instrText>
            </w:r>
            <w:r>
              <w:rPr>
                <w:noProof/>
                <w:webHidden/>
              </w:rPr>
            </w:r>
            <w:r>
              <w:rPr>
                <w:noProof/>
                <w:webHidden/>
              </w:rPr>
              <w:fldChar w:fldCharType="separate"/>
            </w:r>
            <w:r>
              <w:rPr>
                <w:noProof/>
                <w:webHidden/>
              </w:rPr>
              <w:t>269</w:t>
            </w:r>
            <w:r>
              <w:rPr>
                <w:noProof/>
                <w:webHidden/>
              </w:rPr>
              <w:fldChar w:fldCharType="end"/>
            </w:r>
          </w:hyperlink>
        </w:p>
        <w:p w14:paraId="6F8482F0" w14:textId="25AABB0B"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8" w:history="1">
            <w:r w:rsidRPr="00265A01">
              <w:rPr>
                <w:rStyle w:val="a9"/>
                <w:noProof/>
                <w:spacing w:val="-1"/>
                <w:w w:val="109"/>
              </w:rPr>
              <w:t>10.A.10.</w:t>
            </w:r>
            <w:r>
              <w:rPr>
                <w:rFonts w:asciiTheme="minorHAnsi" w:eastAsiaTheme="minorEastAsia" w:hAnsiTheme="minorHAnsi" w:cstheme="minorBidi"/>
                <w:noProof/>
                <w:kern w:val="2"/>
                <w:szCs w:val="22"/>
                <w:lang w:eastAsia="zh-CN"/>
              </w:rPr>
              <w:tab/>
            </w:r>
            <w:r w:rsidRPr="00265A01">
              <w:rPr>
                <w:rStyle w:val="a9"/>
                <w:noProof/>
                <w:w w:val="110"/>
              </w:rPr>
              <w:t>Templating</w:t>
            </w:r>
            <w:r w:rsidRPr="00265A01">
              <w:rPr>
                <w:rStyle w:val="a9"/>
                <w:noProof/>
                <w:spacing w:val="-6"/>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_Toc54424038 \h </w:instrText>
            </w:r>
            <w:r>
              <w:rPr>
                <w:noProof/>
                <w:webHidden/>
              </w:rPr>
            </w:r>
            <w:r>
              <w:rPr>
                <w:noProof/>
                <w:webHidden/>
              </w:rPr>
              <w:fldChar w:fldCharType="separate"/>
            </w:r>
            <w:r>
              <w:rPr>
                <w:noProof/>
                <w:webHidden/>
              </w:rPr>
              <w:t>269</w:t>
            </w:r>
            <w:r>
              <w:rPr>
                <w:noProof/>
                <w:webHidden/>
              </w:rPr>
              <w:fldChar w:fldCharType="end"/>
            </w:r>
          </w:hyperlink>
        </w:p>
        <w:p w14:paraId="49A01AC3" w14:textId="20A487B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39" w:history="1">
            <w:r w:rsidRPr="00265A01">
              <w:rPr>
                <w:rStyle w:val="a9"/>
                <w:noProof/>
                <w:spacing w:val="-1"/>
                <w:w w:val="109"/>
              </w:rPr>
              <w:t>10.A.11.</w:t>
            </w:r>
            <w:r>
              <w:rPr>
                <w:rFonts w:asciiTheme="minorHAnsi" w:eastAsiaTheme="minorEastAsia" w:hAnsiTheme="minorHAnsi" w:cstheme="minorBidi"/>
                <w:noProof/>
                <w:kern w:val="2"/>
                <w:szCs w:val="22"/>
                <w:lang w:eastAsia="zh-CN"/>
              </w:rPr>
              <w:tab/>
            </w:r>
            <w:r w:rsidRPr="00265A01">
              <w:rPr>
                <w:rStyle w:val="a9"/>
                <w:noProof/>
                <w:w w:val="115"/>
              </w:rPr>
              <w:t>Server</w:t>
            </w:r>
            <w:r w:rsidRPr="00265A01">
              <w:rPr>
                <w:rStyle w:val="a9"/>
                <w:noProof/>
                <w:spacing w:val="-9"/>
                <w:w w:val="115"/>
              </w:rPr>
              <w:t xml:space="preserve"> </w:t>
            </w:r>
            <w:r w:rsidRPr="00265A01">
              <w:rPr>
                <w:rStyle w:val="a9"/>
                <w:noProof/>
                <w:w w:val="115"/>
              </w:rPr>
              <w:t>properties</w:t>
            </w:r>
            <w:r>
              <w:rPr>
                <w:noProof/>
                <w:webHidden/>
              </w:rPr>
              <w:tab/>
            </w:r>
            <w:r>
              <w:rPr>
                <w:noProof/>
                <w:webHidden/>
              </w:rPr>
              <w:fldChar w:fldCharType="begin"/>
            </w:r>
            <w:r>
              <w:rPr>
                <w:noProof/>
                <w:webHidden/>
              </w:rPr>
              <w:instrText xml:space="preserve"> PAGEREF _Toc54424039 \h </w:instrText>
            </w:r>
            <w:r>
              <w:rPr>
                <w:noProof/>
                <w:webHidden/>
              </w:rPr>
            </w:r>
            <w:r>
              <w:rPr>
                <w:noProof/>
                <w:webHidden/>
              </w:rPr>
              <w:fldChar w:fldCharType="separate"/>
            </w:r>
            <w:r>
              <w:rPr>
                <w:noProof/>
                <w:webHidden/>
              </w:rPr>
              <w:t>269</w:t>
            </w:r>
            <w:r>
              <w:rPr>
                <w:noProof/>
                <w:webHidden/>
              </w:rPr>
              <w:fldChar w:fldCharType="end"/>
            </w:r>
          </w:hyperlink>
        </w:p>
        <w:p w14:paraId="1E2F8222" w14:textId="2CCCFF5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40" w:history="1">
            <w:r w:rsidRPr="00265A01">
              <w:rPr>
                <w:rStyle w:val="a9"/>
                <w:noProof/>
                <w:spacing w:val="-1"/>
                <w:w w:val="109"/>
              </w:rPr>
              <w:t>10.A.12.</w:t>
            </w:r>
            <w:r>
              <w:rPr>
                <w:rFonts w:asciiTheme="minorHAnsi" w:eastAsiaTheme="minorEastAsia" w:hAnsiTheme="minorHAnsi" w:cstheme="minorBidi"/>
                <w:noProof/>
                <w:kern w:val="2"/>
                <w:szCs w:val="22"/>
                <w:lang w:eastAsia="zh-CN"/>
              </w:rPr>
              <w:tab/>
            </w:r>
            <w:r w:rsidRPr="00265A01">
              <w:rPr>
                <w:rStyle w:val="a9"/>
                <w:noProof/>
                <w:w w:val="115"/>
              </w:rPr>
              <w:t>Security</w:t>
            </w:r>
            <w:r w:rsidRPr="00265A01">
              <w:rPr>
                <w:rStyle w:val="a9"/>
                <w:noProof/>
                <w:spacing w:val="-10"/>
                <w:w w:val="115"/>
              </w:rPr>
              <w:t xml:space="preserve"> </w:t>
            </w:r>
            <w:r w:rsidRPr="00265A01">
              <w:rPr>
                <w:rStyle w:val="a9"/>
                <w:noProof/>
                <w:w w:val="115"/>
              </w:rPr>
              <w:t>properties</w:t>
            </w:r>
            <w:r>
              <w:rPr>
                <w:noProof/>
                <w:webHidden/>
              </w:rPr>
              <w:tab/>
            </w:r>
            <w:r>
              <w:rPr>
                <w:noProof/>
                <w:webHidden/>
              </w:rPr>
              <w:fldChar w:fldCharType="begin"/>
            </w:r>
            <w:r>
              <w:rPr>
                <w:noProof/>
                <w:webHidden/>
              </w:rPr>
              <w:instrText xml:space="preserve"> PAGEREF _Toc54424040 \h </w:instrText>
            </w:r>
            <w:r>
              <w:rPr>
                <w:noProof/>
                <w:webHidden/>
              </w:rPr>
            </w:r>
            <w:r>
              <w:rPr>
                <w:noProof/>
                <w:webHidden/>
              </w:rPr>
              <w:fldChar w:fldCharType="separate"/>
            </w:r>
            <w:r>
              <w:rPr>
                <w:noProof/>
                <w:webHidden/>
              </w:rPr>
              <w:t>269</w:t>
            </w:r>
            <w:r>
              <w:rPr>
                <w:noProof/>
                <w:webHidden/>
              </w:rPr>
              <w:fldChar w:fldCharType="end"/>
            </w:r>
          </w:hyperlink>
        </w:p>
        <w:p w14:paraId="1FA01D48" w14:textId="2D27B6A4"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41" w:history="1">
            <w:r w:rsidRPr="00265A01">
              <w:rPr>
                <w:rStyle w:val="a9"/>
                <w:noProof/>
                <w:spacing w:val="-1"/>
                <w:w w:val="109"/>
              </w:rPr>
              <w:t>10.A.13.</w:t>
            </w:r>
            <w:r>
              <w:rPr>
                <w:rFonts w:asciiTheme="minorHAnsi" w:eastAsiaTheme="minorEastAsia" w:hAnsiTheme="minorHAnsi" w:cstheme="minorBidi"/>
                <w:noProof/>
                <w:kern w:val="2"/>
                <w:szCs w:val="22"/>
                <w:lang w:eastAsia="zh-CN"/>
              </w:rPr>
              <w:tab/>
            </w:r>
            <w:r w:rsidRPr="00265A01">
              <w:rPr>
                <w:rStyle w:val="a9"/>
                <w:noProof/>
                <w:w w:val="110"/>
              </w:rPr>
              <w:t>RSocket</w:t>
            </w:r>
            <w:r w:rsidRPr="00265A01">
              <w:rPr>
                <w:rStyle w:val="a9"/>
                <w:noProof/>
                <w:spacing w:val="-6"/>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_Toc54424041 \h </w:instrText>
            </w:r>
            <w:r>
              <w:rPr>
                <w:noProof/>
                <w:webHidden/>
              </w:rPr>
            </w:r>
            <w:r>
              <w:rPr>
                <w:noProof/>
                <w:webHidden/>
              </w:rPr>
              <w:fldChar w:fldCharType="separate"/>
            </w:r>
            <w:r>
              <w:rPr>
                <w:noProof/>
                <w:webHidden/>
              </w:rPr>
              <w:t>269</w:t>
            </w:r>
            <w:r>
              <w:rPr>
                <w:noProof/>
                <w:webHidden/>
              </w:rPr>
              <w:fldChar w:fldCharType="end"/>
            </w:r>
          </w:hyperlink>
        </w:p>
        <w:p w14:paraId="5C901F35" w14:textId="6C42934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42" w:history="1">
            <w:r w:rsidRPr="00265A01">
              <w:rPr>
                <w:rStyle w:val="a9"/>
                <w:noProof/>
                <w:spacing w:val="-1"/>
                <w:w w:val="109"/>
              </w:rPr>
              <w:t>10.A.14.</w:t>
            </w:r>
            <w:r>
              <w:rPr>
                <w:rFonts w:asciiTheme="minorHAnsi" w:eastAsiaTheme="minorEastAsia" w:hAnsiTheme="minorHAnsi" w:cstheme="minorBidi"/>
                <w:noProof/>
                <w:kern w:val="2"/>
                <w:szCs w:val="22"/>
                <w:lang w:eastAsia="zh-CN"/>
              </w:rPr>
              <w:tab/>
            </w:r>
            <w:r w:rsidRPr="00265A01">
              <w:rPr>
                <w:rStyle w:val="a9"/>
                <w:noProof/>
                <w:w w:val="115"/>
              </w:rPr>
              <w:t>Actuator</w:t>
            </w:r>
            <w:r w:rsidRPr="00265A01">
              <w:rPr>
                <w:rStyle w:val="a9"/>
                <w:noProof/>
                <w:spacing w:val="-10"/>
                <w:w w:val="115"/>
              </w:rPr>
              <w:t xml:space="preserve"> </w:t>
            </w:r>
            <w:r w:rsidRPr="00265A01">
              <w:rPr>
                <w:rStyle w:val="a9"/>
                <w:noProof/>
                <w:w w:val="115"/>
              </w:rPr>
              <w:t>properties</w:t>
            </w:r>
            <w:r>
              <w:rPr>
                <w:noProof/>
                <w:webHidden/>
              </w:rPr>
              <w:tab/>
            </w:r>
            <w:r>
              <w:rPr>
                <w:noProof/>
                <w:webHidden/>
              </w:rPr>
              <w:fldChar w:fldCharType="begin"/>
            </w:r>
            <w:r>
              <w:rPr>
                <w:noProof/>
                <w:webHidden/>
              </w:rPr>
              <w:instrText xml:space="preserve"> PAGEREF _Toc54424042 \h </w:instrText>
            </w:r>
            <w:r>
              <w:rPr>
                <w:noProof/>
                <w:webHidden/>
              </w:rPr>
            </w:r>
            <w:r>
              <w:rPr>
                <w:noProof/>
                <w:webHidden/>
              </w:rPr>
              <w:fldChar w:fldCharType="separate"/>
            </w:r>
            <w:r>
              <w:rPr>
                <w:noProof/>
                <w:webHidden/>
              </w:rPr>
              <w:t>269</w:t>
            </w:r>
            <w:r>
              <w:rPr>
                <w:noProof/>
                <w:webHidden/>
              </w:rPr>
              <w:fldChar w:fldCharType="end"/>
            </w:r>
          </w:hyperlink>
        </w:p>
        <w:p w14:paraId="200A1C1B" w14:textId="7344C60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43" w:history="1">
            <w:r w:rsidRPr="00265A01">
              <w:rPr>
                <w:rStyle w:val="a9"/>
                <w:noProof/>
                <w:spacing w:val="-1"/>
                <w:w w:val="109"/>
              </w:rPr>
              <w:t>10.A.15.</w:t>
            </w:r>
            <w:r>
              <w:rPr>
                <w:rFonts w:asciiTheme="minorHAnsi" w:eastAsiaTheme="minorEastAsia" w:hAnsiTheme="minorHAnsi" w:cstheme="minorBidi"/>
                <w:noProof/>
                <w:kern w:val="2"/>
                <w:szCs w:val="22"/>
                <w:lang w:eastAsia="zh-CN"/>
              </w:rPr>
              <w:tab/>
            </w:r>
            <w:r w:rsidRPr="00265A01">
              <w:rPr>
                <w:rStyle w:val="a9"/>
                <w:noProof/>
                <w:w w:val="110"/>
              </w:rPr>
              <w:t>Devtools</w:t>
            </w:r>
            <w:r w:rsidRPr="00265A01">
              <w:rPr>
                <w:rStyle w:val="a9"/>
                <w:noProof/>
                <w:spacing w:val="-5"/>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_Toc54424043 \h </w:instrText>
            </w:r>
            <w:r>
              <w:rPr>
                <w:noProof/>
                <w:webHidden/>
              </w:rPr>
            </w:r>
            <w:r>
              <w:rPr>
                <w:noProof/>
                <w:webHidden/>
              </w:rPr>
              <w:fldChar w:fldCharType="separate"/>
            </w:r>
            <w:r>
              <w:rPr>
                <w:noProof/>
                <w:webHidden/>
              </w:rPr>
              <w:t>269</w:t>
            </w:r>
            <w:r>
              <w:rPr>
                <w:noProof/>
                <w:webHidden/>
              </w:rPr>
              <w:fldChar w:fldCharType="end"/>
            </w:r>
          </w:hyperlink>
        </w:p>
        <w:p w14:paraId="3EE50835" w14:textId="65B4886E"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44" w:history="1">
            <w:r w:rsidRPr="00265A01">
              <w:rPr>
                <w:rStyle w:val="a9"/>
                <w:noProof/>
                <w:spacing w:val="-1"/>
                <w:w w:val="109"/>
              </w:rPr>
              <w:t>10.A.16.</w:t>
            </w:r>
            <w:r>
              <w:rPr>
                <w:rFonts w:asciiTheme="minorHAnsi" w:eastAsiaTheme="minorEastAsia" w:hAnsiTheme="minorHAnsi" w:cstheme="minorBidi"/>
                <w:noProof/>
                <w:kern w:val="2"/>
                <w:szCs w:val="22"/>
                <w:lang w:eastAsia="zh-CN"/>
              </w:rPr>
              <w:tab/>
            </w:r>
            <w:r w:rsidRPr="00265A01">
              <w:rPr>
                <w:rStyle w:val="a9"/>
                <w:noProof/>
                <w:w w:val="110"/>
              </w:rPr>
              <w:t>Testing</w:t>
            </w:r>
            <w:r w:rsidRPr="00265A01">
              <w:rPr>
                <w:rStyle w:val="a9"/>
                <w:noProof/>
                <w:spacing w:val="-6"/>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_Toc54424044 \h </w:instrText>
            </w:r>
            <w:r>
              <w:rPr>
                <w:noProof/>
                <w:webHidden/>
              </w:rPr>
            </w:r>
            <w:r>
              <w:rPr>
                <w:noProof/>
                <w:webHidden/>
              </w:rPr>
              <w:fldChar w:fldCharType="separate"/>
            </w:r>
            <w:r>
              <w:rPr>
                <w:noProof/>
                <w:webHidden/>
              </w:rPr>
              <w:t>269</w:t>
            </w:r>
            <w:r>
              <w:rPr>
                <w:noProof/>
                <w:webHidden/>
              </w:rPr>
              <w:fldChar w:fldCharType="end"/>
            </w:r>
          </w:hyperlink>
        </w:p>
        <w:p w14:paraId="7378AF45" w14:textId="0A54B3AF" w:rsidR="00E10349" w:rsidRDefault="00E10349">
          <w:pPr>
            <w:pStyle w:val="TOC2"/>
            <w:tabs>
              <w:tab w:val="right" w:leader="dot" w:pos="10220"/>
            </w:tabs>
            <w:rPr>
              <w:rFonts w:asciiTheme="minorHAnsi" w:eastAsiaTheme="minorEastAsia" w:hAnsiTheme="minorHAnsi" w:cstheme="minorBidi"/>
              <w:noProof/>
              <w:kern w:val="2"/>
              <w:szCs w:val="22"/>
              <w:lang w:eastAsia="zh-CN"/>
            </w:rPr>
          </w:pPr>
          <w:hyperlink w:anchor="_Toc54424045" w:history="1">
            <w:r w:rsidRPr="00265A01">
              <w:rPr>
                <w:rStyle w:val="a9"/>
                <w:noProof/>
                <w:w w:val="110"/>
              </w:rPr>
              <w:t>Appendix B: Configuration Metadata</w:t>
            </w:r>
            <w:r>
              <w:rPr>
                <w:noProof/>
                <w:webHidden/>
              </w:rPr>
              <w:tab/>
            </w:r>
            <w:r>
              <w:rPr>
                <w:noProof/>
                <w:webHidden/>
              </w:rPr>
              <w:fldChar w:fldCharType="begin"/>
            </w:r>
            <w:r>
              <w:rPr>
                <w:noProof/>
                <w:webHidden/>
              </w:rPr>
              <w:instrText xml:space="preserve"> PAGEREF _Toc54424045 \h </w:instrText>
            </w:r>
            <w:r>
              <w:rPr>
                <w:noProof/>
                <w:webHidden/>
              </w:rPr>
            </w:r>
            <w:r>
              <w:rPr>
                <w:noProof/>
                <w:webHidden/>
              </w:rPr>
              <w:fldChar w:fldCharType="separate"/>
            </w:r>
            <w:r>
              <w:rPr>
                <w:noProof/>
                <w:webHidden/>
              </w:rPr>
              <w:t>269</w:t>
            </w:r>
            <w:r>
              <w:rPr>
                <w:noProof/>
                <w:webHidden/>
              </w:rPr>
              <w:fldChar w:fldCharType="end"/>
            </w:r>
          </w:hyperlink>
        </w:p>
        <w:p w14:paraId="77E8D7FC" w14:textId="01EC6318"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46" w:history="1">
            <w:r w:rsidRPr="00265A01">
              <w:rPr>
                <w:rStyle w:val="a9"/>
                <w:noProof/>
                <w:spacing w:val="-1"/>
                <w:w w:val="111"/>
              </w:rPr>
              <w:t>10.B.1.</w:t>
            </w:r>
            <w:r>
              <w:rPr>
                <w:rFonts w:asciiTheme="minorHAnsi" w:eastAsiaTheme="minorEastAsia" w:hAnsiTheme="minorHAnsi" w:cstheme="minorBidi"/>
                <w:noProof/>
                <w:kern w:val="2"/>
                <w:szCs w:val="22"/>
                <w:lang w:eastAsia="zh-CN"/>
              </w:rPr>
              <w:tab/>
            </w:r>
            <w:r w:rsidRPr="00265A01">
              <w:rPr>
                <w:rStyle w:val="a9"/>
                <w:noProof/>
                <w:w w:val="115"/>
              </w:rPr>
              <w:t>Metadata</w:t>
            </w:r>
            <w:r w:rsidRPr="00265A01">
              <w:rPr>
                <w:rStyle w:val="a9"/>
                <w:noProof/>
                <w:spacing w:val="-9"/>
                <w:w w:val="115"/>
              </w:rPr>
              <w:t xml:space="preserve"> </w:t>
            </w:r>
            <w:r w:rsidRPr="00265A01">
              <w:rPr>
                <w:rStyle w:val="a9"/>
                <w:noProof/>
                <w:spacing w:val="-3"/>
                <w:w w:val="115"/>
              </w:rPr>
              <w:t>Format</w:t>
            </w:r>
            <w:r>
              <w:rPr>
                <w:noProof/>
                <w:webHidden/>
              </w:rPr>
              <w:tab/>
            </w:r>
            <w:r>
              <w:rPr>
                <w:noProof/>
                <w:webHidden/>
              </w:rPr>
              <w:fldChar w:fldCharType="begin"/>
            </w:r>
            <w:r>
              <w:rPr>
                <w:noProof/>
                <w:webHidden/>
              </w:rPr>
              <w:instrText xml:space="preserve"> PAGEREF _Toc54424046 \h </w:instrText>
            </w:r>
            <w:r>
              <w:rPr>
                <w:noProof/>
                <w:webHidden/>
              </w:rPr>
            </w:r>
            <w:r>
              <w:rPr>
                <w:noProof/>
                <w:webHidden/>
              </w:rPr>
              <w:fldChar w:fldCharType="separate"/>
            </w:r>
            <w:r>
              <w:rPr>
                <w:noProof/>
                <w:webHidden/>
              </w:rPr>
              <w:t>269</w:t>
            </w:r>
            <w:r>
              <w:rPr>
                <w:noProof/>
                <w:webHidden/>
              </w:rPr>
              <w:fldChar w:fldCharType="end"/>
            </w:r>
          </w:hyperlink>
        </w:p>
        <w:p w14:paraId="3AB2CA5F" w14:textId="3F9BB5A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47" w:history="1">
            <w:r w:rsidRPr="00265A01">
              <w:rPr>
                <w:rStyle w:val="a9"/>
                <w:noProof/>
                <w:spacing w:val="-1"/>
                <w:w w:val="111"/>
              </w:rPr>
              <w:t>10.B.2.</w:t>
            </w:r>
            <w:r>
              <w:rPr>
                <w:rFonts w:asciiTheme="minorHAnsi" w:eastAsiaTheme="minorEastAsia" w:hAnsiTheme="minorHAnsi" w:cstheme="minorBidi"/>
                <w:noProof/>
                <w:kern w:val="2"/>
                <w:szCs w:val="22"/>
                <w:lang w:eastAsia="zh-CN"/>
              </w:rPr>
              <w:tab/>
            </w:r>
            <w:r w:rsidRPr="00265A01">
              <w:rPr>
                <w:rStyle w:val="a9"/>
                <w:noProof/>
                <w:w w:val="110"/>
              </w:rPr>
              <w:t>Providing Manual</w:t>
            </w:r>
            <w:r w:rsidRPr="00265A01">
              <w:rPr>
                <w:rStyle w:val="a9"/>
                <w:noProof/>
                <w:spacing w:val="-11"/>
                <w:w w:val="110"/>
              </w:rPr>
              <w:t xml:space="preserve"> </w:t>
            </w:r>
            <w:r w:rsidRPr="00265A01">
              <w:rPr>
                <w:rStyle w:val="a9"/>
                <w:noProof/>
                <w:w w:val="110"/>
              </w:rPr>
              <w:t>Hints</w:t>
            </w:r>
            <w:r>
              <w:rPr>
                <w:noProof/>
                <w:webHidden/>
              </w:rPr>
              <w:tab/>
            </w:r>
            <w:r>
              <w:rPr>
                <w:noProof/>
                <w:webHidden/>
              </w:rPr>
              <w:fldChar w:fldCharType="begin"/>
            </w:r>
            <w:r>
              <w:rPr>
                <w:noProof/>
                <w:webHidden/>
              </w:rPr>
              <w:instrText xml:space="preserve"> PAGEREF _Toc54424047 \h </w:instrText>
            </w:r>
            <w:r>
              <w:rPr>
                <w:noProof/>
                <w:webHidden/>
              </w:rPr>
            </w:r>
            <w:r>
              <w:rPr>
                <w:noProof/>
                <w:webHidden/>
              </w:rPr>
              <w:fldChar w:fldCharType="separate"/>
            </w:r>
            <w:r>
              <w:rPr>
                <w:noProof/>
                <w:webHidden/>
              </w:rPr>
              <w:t>269</w:t>
            </w:r>
            <w:r>
              <w:rPr>
                <w:noProof/>
                <w:webHidden/>
              </w:rPr>
              <w:fldChar w:fldCharType="end"/>
            </w:r>
          </w:hyperlink>
        </w:p>
        <w:p w14:paraId="780A60AC" w14:textId="5F4C6E3D"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48" w:history="1">
            <w:r w:rsidRPr="00265A01">
              <w:rPr>
                <w:rStyle w:val="a9"/>
                <w:noProof/>
                <w:spacing w:val="-1"/>
                <w:w w:val="111"/>
              </w:rPr>
              <w:t>10.B.3.</w:t>
            </w:r>
            <w:r>
              <w:rPr>
                <w:rFonts w:asciiTheme="minorHAnsi" w:eastAsiaTheme="minorEastAsia" w:hAnsiTheme="minorHAnsi" w:cstheme="minorBidi"/>
                <w:noProof/>
                <w:kern w:val="2"/>
                <w:szCs w:val="22"/>
                <w:lang w:eastAsia="zh-CN"/>
              </w:rPr>
              <w:tab/>
            </w:r>
            <w:r w:rsidRPr="00265A01">
              <w:rPr>
                <w:rStyle w:val="a9"/>
                <w:noProof/>
                <w:w w:val="110"/>
              </w:rPr>
              <w:t>Generating</w:t>
            </w:r>
            <w:r w:rsidRPr="00265A01">
              <w:rPr>
                <w:rStyle w:val="a9"/>
                <w:noProof/>
                <w:spacing w:val="-8"/>
                <w:w w:val="110"/>
              </w:rPr>
              <w:t xml:space="preserve"> </w:t>
            </w:r>
            <w:r w:rsidRPr="00265A01">
              <w:rPr>
                <w:rStyle w:val="a9"/>
                <w:noProof/>
                <w:spacing w:val="-6"/>
                <w:w w:val="110"/>
              </w:rPr>
              <w:t>Your</w:t>
            </w:r>
            <w:r w:rsidRPr="00265A01">
              <w:rPr>
                <w:rStyle w:val="a9"/>
                <w:noProof/>
                <w:spacing w:val="-9"/>
                <w:w w:val="110"/>
              </w:rPr>
              <w:t xml:space="preserve"> </w:t>
            </w:r>
            <w:r w:rsidRPr="00265A01">
              <w:rPr>
                <w:rStyle w:val="a9"/>
                <w:noProof/>
                <w:w w:val="110"/>
              </w:rPr>
              <w:t>Own</w:t>
            </w:r>
            <w:r w:rsidRPr="00265A01">
              <w:rPr>
                <w:rStyle w:val="a9"/>
                <w:noProof/>
                <w:spacing w:val="-8"/>
                <w:w w:val="110"/>
              </w:rPr>
              <w:t xml:space="preserve"> </w:t>
            </w:r>
            <w:r w:rsidRPr="00265A01">
              <w:rPr>
                <w:rStyle w:val="a9"/>
                <w:noProof/>
                <w:w w:val="110"/>
              </w:rPr>
              <w:t>Metadata</w:t>
            </w:r>
            <w:r w:rsidRPr="00265A01">
              <w:rPr>
                <w:rStyle w:val="a9"/>
                <w:noProof/>
                <w:spacing w:val="-8"/>
                <w:w w:val="110"/>
              </w:rPr>
              <w:t xml:space="preserve"> </w:t>
            </w:r>
            <w:r w:rsidRPr="00265A01">
              <w:rPr>
                <w:rStyle w:val="a9"/>
                <w:noProof/>
                <w:spacing w:val="-3"/>
                <w:w w:val="110"/>
              </w:rPr>
              <w:t>by</w:t>
            </w:r>
            <w:r w:rsidRPr="00265A01">
              <w:rPr>
                <w:rStyle w:val="a9"/>
                <w:noProof/>
                <w:spacing w:val="-8"/>
                <w:w w:val="110"/>
              </w:rPr>
              <w:t xml:space="preserve"> </w:t>
            </w:r>
            <w:r w:rsidRPr="00265A01">
              <w:rPr>
                <w:rStyle w:val="a9"/>
                <w:noProof/>
                <w:w w:val="110"/>
              </w:rPr>
              <w:t>Using</w:t>
            </w:r>
            <w:r w:rsidRPr="00265A01">
              <w:rPr>
                <w:rStyle w:val="a9"/>
                <w:noProof/>
                <w:spacing w:val="-8"/>
                <w:w w:val="110"/>
              </w:rPr>
              <w:t xml:space="preserve"> </w:t>
            </w:r>
            <w:r w:rsidRPr="00265A01">
              <w:rPr>
                <w:rStyle w:val="a9"/>
                <w:noProof/>
                <w:w w:val="110"/>
              </w:rPr>
              <w:t>the</w:t>
            </w:r>
            <w:r w:rsidRPr="00265A01">
              <w:rPr>
                <w:rStyle w:val="a9"/>
                <w:noProof/>
                <w:spacing w:val="-9"/>
                <w:w w:val="110"/>
              </w:rPr>
              <w:t xml:space="preserve"> </w:t>
            </w:r>
            <w:r w:rsidRPr="00265A01">
              <w:rPr>
                <w:rStyle w:val="a9"/>
                <w:noProof/>
                <w:w w:val="110"/>
              </w:rPr>
              <w:t>Annotation</w:t>
            </w:r>
            <w:r w:rsidRPr="00265A01">
              <w:rPr>
                <w:rStyle w:val="a9"/>
                <w:noProof/>
                <w:spacing w:val="-9"/>
                <w:w w:val="110"/>
              </w:rPr>
              <w:t xml:space="preserve"> </w:t>
            </w:r>
            <w:r w:rsidRPr="00265A01">
              <w:rPr>
                <w:rStyle w:val="a9"/>
                <w:noProof/>
                <w:w w:val="110"/>
              </w:rPr>
              <w:t>Processor</w:t>
            </w:r>
            <w:r>
              <w:rPr>
                <w:noProof/>
                <w:webHidden/>
              </w:rPr>
              <w:tab/>
            </w:r>
            <w:r>
              <w:rPr>
                <w:noProof/>
                <w:webHidden/>
              </w:rPr>
              <w:fldChar w:fldCharType="begin"/>
            </w:r>
            <w:r>
              <w:rPr>
                <w:noProof/>
                <w:webHidden/>
              </w:rPr>
              <w:instrText xml:space="preserve"> PAGEREF _Toc54424048 \h </w:instrText>
            </w:r>
            <w:r>
              <w:rPr>
                <w:noProof/>
                <w:webHidden/>
              </w:rPr>
            </w:r>
            <w:r>
              <w:rPr>
                <w:noProof/>
                <w:webHidden/>
              </w:rPr>
              <w:fldChar w:fldCharType="separate"/>
            </w:r>
            <w:r>
              <w:rPr>
                <w:noProof/>
                <w:webHidden/>
              </w:rPr>
              <w:t>269</w:t>
            </w:r>
            <w:r>
              <w:rPr>
                <w:noProof/>
                <w:webHidden/>
              </w:rPr>
              <w:fldChar w:fldCharType="end"/>
            </w:r>
          </w:hyperlink>
        </w:p>
        <w:p w14:paraId="412B8F3C" w14:textId="164CAC91" w:rsidR="00E10349" w:rsidRDefault="00E10349">
          <w:pPr>
            <w:pStyle w:val="TOC2"/>
            <w:tabs>
              <w:tab w:val="right" w:leader="dot" w:pos="10220"/>
            </w:tabs>
            <w:rPr>
              <w:rFonts w:asciiTheme="minorHAnsi" w:eastAsiaTheme="minorEastAsia" w:hAnsiTheme="minorHAnsi" w:cstheme="minorBidi"/>
              <w:noProof/>
              <w:kern w:val="2"/>
              <w:szCs w:val="22"/>
              <w:lang w:eastAsia="zh-CN"/>
            </w:rPr>
          </w:pPr>
          <w:hyperlink w:anchor="_Toc54424049" w:history="1">
            <w:r w:rsidRPr="00265A01">
              <w:rPr>
                <w:rStyle w:val="a9"/>
                <w:noProof/>
                <w:w w:val="110"/>
              </w:rPr>
              <w:t>Appendix C: Auto-configuration Classes</w:t>
            </w:r>
            <w:r>
              <w:rPr>
                <w:noProof/>
                <w:webHidden/>
              </w:rPr>
              <w:tab/>
            </w:r>
            <w:r>
              <w:rPr>
                <w:noProof/>
                <w:webHidden/>
              </w:rPr>
              <w:fldChar w:fldCharType="begin"/>
            </w:r>
            <w:r>
              <w:rPr>
                <w:noProof/>
                <w:webHidden/>
              </w:rPr>
              <w:instrText xml:space="preserve"> PAGEREF _Toc54424049 \h </w:instrText>
            </w:r>
            <w:r>
              <w:rPr>
                <w:noProof/>
                <w:webHidden/>
              </w:rPr>
            </w:r>
            <w:r>
              <w:rPr>
                <w:noProof/>
                <w:webHidden/>
              </w:rPr>
              <w:fldChar w:fldCharType="separate"/>
            </w:r>
            <w:r>
              <w:rPr>
                <w:noProof/>
                <w:webHidden/>
              </w:rPr>
              <w:t>269</w:t>
            </w:r>
            <w:r>
              <w:rPr>
                <w:noProof/>
                <w:webHidden/>
              </w:rPr>
              <w:fldChar w:fldCharType="end"/>
            </w:r>
          </w:hyperlink>
        </w:p>
        <w:p w14:paraId="3F22C83D" w14:textId="4F0745F4"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4050" w:history="1">
            <w:r w:rsidRPr="00265A01">
              <w:rPr>
                <w:rStyle w:val="a9"/>
                <w:noProof/>
                <w:spacing w:val="-1"/>
                <w:w w:val="108"/>
              </w:rPr>
              <w:t>10.C.1.</w:t>
            </w:r>
            <w:r>
              <w:rPr>
                <w:rFonts w:asciiTheme="minorHAnsi" w:eastAsiaTheme="minorEastAsia" w:hAnsiTheme="minorHAnsi" w:cstheme="minorBidi"/>
                <w:noProof/>
                <w:kern w:val="2"/>
                <w:szCs w:val="22"/>
                <w:lang w:eastAsia="zh-CN"/>
              </w:rPr>
              <w:tab/>
            </w:r>
            <w:r w:rsidRPr="00265A01">
              <w:rPr>
                <w:rStyle w:val="a9"/>
                <w:noProof/>
                <w:w w:val="110"/>
              </w:rPr>
              <w:t>spring-boot-autoconfigure</w:t>
            </w:r>
            <w:r>
              <w:rPr>
                <w:noProof/>
                <w:webHidden/>
              </w:rPr>
              <w:tab/>
            </w:r>
            <w:r>
              <w:rPr>
                <w:noProof/>
                <w:webHidden/>
              </w:rPr>
              <w:fldChar w:fldCharType="begin"/>
            </w:r>
            <w:r>
              <w:rPr>
                <w:noProof/>
                <w:webHidden/>
              </w:rPr>
              <w:instrText xml:space="preserve"> PAGEREF _Toc54424050 \h </w:instrText>
            </w:r>
            <w:r>
              <w:rPr>
                <w:noProof/>
                <w:webHidden/>
              </w:rPr>
            </w:r>
            <w:r>
              <w:rPr>
                <w:noProof/>
                <w:webHidden/>
              </w:rPr>
              <w:fldChar w:fldCharType="separate"/>
            </w:r>
            <w:r>
              <w:rPr>
                <w:noProof/>
                <w:webHidden/>
              </w:rPr>
              <w:t>269</w:t>
            </w:r>
            <w:r>
              <w:rPr>
                <w:noProof/>
                <w:webHidden/>
              </w:rPr>
              <w:fldChar w:fldCharType="end"/>
            </w:r>
          </w:hyperlink>
        </w:p>
        <w:p w14:paraId="3468A507" w14:textId="78F63A63" w:rsidR="00E10349" w:rsidRDefault="00E10349">
          <w:pPr>
            <w:pStyle w:val="TOC3"/>
            <w:tabs>
              <w:tab w:val="left" w:pos="1470"/>
              <w:tab w:val="right" w:leader="dot" w:pos="10220"/>
            </w:tabs>
            <w:rPr>
              <w:rFonts w:asciiTheme="minorHAnsi" w:eastAsiaTheme="minorEastAsia" w:hAnsiTheme="minorHAnsi" w:cstheme="minorBidi"/>
              <w:noProof/>
              <w:kern w:val="2"/>
              <w:szCs w:val="22"/>
              <w:lang w:eastAsia="zh-CN"/>
            </w:rPr>
          </w:pPr>
          <w:hyperlink w:anchor="_Toc54424051" w:history="1">
            <w:r w:rsidRPr="00265A01">
              <w:rPr>
                <w:rStyle w:val="a9"/>
                <w:noProof/>
                <w:spacing w:val="-1"/>
                <w:w w:val="108"/>
              </w:rPr>
              <w:t>10.C.2.</w:t>
            </w:r>
            <w:r>
              <w:rPr>
                <w:rFonts w:asciiTheme="minorHAnsi" w:eastAsiaTheme="minorEastAsia" w:hAnsiTheme="minorHAnsi" w:cstheme="minorBidi"/>
                <w:noProof/>
                <w:kern w:val="2"/>
                <w:szCs w:val="22"/>
                <w:lang w:eastAsia="zh-CN"/>
              </w:rPr>
              <w:tab/>
            </w:r>
            <w:r w:rsidRPr="00265A01">
              <w:rPr>
                <w:rStyle w:val="a9"/>
                <w:noProof/>
                <w:w w:val="110"/>
              </w:rPr>
              <w:t>spring-boot-actuator-autoconfigure</w:t>
            </w:r>
            <w:r>
              <w:rPr>
                <w:noProof/>
                <w:webHidden/>
              </w:rPr>
              <w:tab/>
            </w:r>
            <w:r>
              <w:rPr>
                <w:noProof/>
                <w:webHidden/>
              </w:rPr>
              <w:fldChar w:fldCharType="begin"/>
            </w:r>
            <w:r>
              <w:rPr>
                <w:noProof/>
                <w:webHidden/>
              </w:rPr>
              <w:instrText xml:space="preserve"> PAGEREF _Toc54424051 \h </w:instrText>
            </w:r>
            <w:r>
              <w:rPr>
                <w:noProof/>
                <w:webHidden/>
              </w:rPr>
            </w:r>
            <w:r>
              <w:rPr>
                <w:noProof/>
                <w:webHidden/>
              </w:rPr>
              <w:fldChar w:fldCharType="separate"/>
            </w:r>
            <w:r>
              <w:rPr>
                <w:noProof/>
                <w:webHidden/>
              </w:rPr>
              <w:t>269</w:t>
            </w:r>
            <w:r>
              <w:rPr>
                <w:noProof/>
                <w:webHidden/>
              </w:rPr>
              <w:fldChar w:fldCharType="end"/>
            </w:r>
          </w:hyperlink>
        </w:p>
        <w:p w14:paraId="2D8FC15B" w14:textId="013B3921" w:rsidR="00E10349" w:rsidRDefault="00E10349">
          <w:pPr>
            <w:pStyle w:val="TOC2"/>
            <w:tabs>
              <w:tab w:val="right" w:leader="dot" w:pos="10220"/>
            </w:tabs>
            <w:rPr>
              <w:rFonts w:asciiTheme="minorHAnsi" w:eastAsiaTheme="minorEastAsia" w:hAnsiTheme="minorHAnsi" w:cstheme="minorBidi"/>
              <w:noProof/>
              <w:kern w:val="2"/>
              <w:szCs w:val="22"/>
              <w:lang w:eastAsia="zh-CN"/>
            </w:rPr>
          </w:pPr>
          <w:hyperlink w:anchor="_Toc54424052" w:history="1">
            <w:r w:rsidRPr="00265A01">
              <w:rPr>
                <w:rStyle w:val="a9"/>
                <w:noProof/>
                <w:w w:val="110"/>
              </w:rPr>
              <w:t xml:space="preserve">Appendix D: </w:t>
            </w:r>
            <w:r w:rsidRPr="00265A01">
              <w:rPr>
                <w:rStyle w:val="a9"/>
                <w:noProof/>
                <w:spacing w:val="-4"/>
                <w:w w:val="110"/>
              </w:rPr>
              <w:t xml:space="preserve">Test </w:t>
            </w:r>
            <w:r w:rsidRPr="00265A01">
              <w:rPr>
                <w:rStyle w:val="a9"/>
                <w:noProof/>
                <w:w w:val="110"/>
              </w:rPr>
              <w:t>Auto-configuration</w:t>
            </w:r>
            <w:r w:rsidRPr="00265A01">
              <w:rPr>
                <w:rStyle w:val="a9"/>
                <w:noProof/>
                <w:spacing w:val="-56"/>
                <w:w w:val="110"/>
              </w:rPr>
              <w:t xml:space="preserve"> </w:t>
            </w:r>
            <w:r w:rsidRPr="00265A01">
              <w:rPr>
                <w:rStyle w:val="a9"/>
                <w:noProof/>
                <w:w w:val="110"/>
              </w:rPr>
              <w:t>Annotations</w:t>
            </w:r>
            <w:r>
              <w:rPr>
                <w:noProof/>
                <w:webHidden/>
              </w:rPr>
              <w:tab/>
            </w:r>
            <w:r>
              <w:rPr>
                <w:noProof/>
                <w:webHidden/>
              </w:rPr>
              <w:fldChar w:fldCharType="begin"/>
            </w:r>
            <w:r>
              <w:rPr>
                <w:noProof/>
                <w:webHidden/>
              </w:rPr>
              <w:instrText xml:space="preserve"> PAGEREF _Toc54424052 \h </w:instrText>
            </w:r>
            <w:r>
              <w:rPr>
                <w:noProof/>
                <w:webHidden/>
              </w:rPr>
            </w:r>
            <w:r>
              <w:rPr>
                <w:noProof/>
                <w:webHidden/>
              </w:rPr>
              <w:fldChar w:fldCharType="separate"/>
            </w:r>
            <w:r>
              <w:rPr>
                <w:noProof/>
                <w:webHidden/>
              </w:rPr>
              <w:t>269</w:t>
            </w:r>
            <w:r>
              <w:rPr>
                <w:noProof/>
                <w:webHidden/>
              </w:rPr>
              <w:fldChar w:fldCharType="end"/>
            </w:r>
          </w:hyperlink>
        </w:p>
        <w:p w14:paraId="7EF9824B" w14:textId="1EE0432E" w:rsidR="00E10349" w:rsidRDefault="00E10349">
          <w:pPr>
            <w:pStyle w:val="TOC3"/>
            <w:tabs>
              <w:tab w:val="right" w:leader="dot" w:pos="10220"/>
            </w:tabs>
            <w:rPr>
              <w:rFonts w:asciiTheme="minorHAnsi" w:eastAsiaTheme="minorEastAsia" w:hAnsiTheme="minorHAnsi" w:cstheme="minorBidi"/>
              <w:noProof/>
              <w:kern w:val="2"/>
              <w:szCs w:val="22"/>
              <w:lang w:eastAsia="zh-CN"/>
            </w:rPr>
          </w:pPr>
          <w:hyperlink w:anchor="_Toc54424053" w:history="1">
            <w:r w:rsidRPr="00265A01">
              <w:rPr>
                <w:rStyle w:val="a9"/>
                <w:noProof/>
                <w:w w:val="110"/>
              </w:rPr>
              <w:t>10.D.1. Test Slices</w:t>
            </w:r>
            <w:r>
              <w:rPr>
                <w:noProof/>
                <w:webHidden/>
              </w:rPr>
              <w:tab/>
            </w:r>
            <w:r>
              <w:rPr>
                <w:noProof/>
                <w:webHidden/>
              </w:rPr>
              <w:fldChar w:fldCharType="begin"/>
            </w:r>
            <w:r>
              <w:rPr>
                <w:noProof/>
                <w:webHidden/>
              </w:rPr>
              <w:instrText xml:space="preserve"> PAGEREF _Toc54424053 \h </w:instrText>
            </w:r>
            <w:r>
              <w:rPr>
                <w:noProof/>
                <w:webHidden/>
              </w:rPr>
            </w:r>
            <w:r>
              <w:rPr>
                <w:noProof/>
                <w:webHidden/>
              </w:rPr>
              <w:fldChar w:fldCharType="separate"/>
            </w:r>
            <w:r>
              <w:rPr>
                <w:noProof/>
                <w:webHidden/>
              </w:rPr>
              <w:t>269</w:t>
            </w:r>
            <w:r>
              <w:rPr>
                <w:noProof/>
                <w:webHidden/>
              </w:rPr>
              <w:fldChar w:fldCharType="end"/>
            </w:r>
          </w:hyperlink>
        </w:p>
        <w:p w14:paraId="450866F7" w14:textId="59FEEE58" w:rsidR="00E10349" w:rsidRDefault="00E10349">
          <w:pPr>
            <w:pStyle w:val="TOC2"/>
            <w:tabs>
              <w:tab w:val="right" w:leader="dot" w:pos="10220"/>
            </w:tabs>
            <w:rPr>
              <w:rFonts w:asciiTheme="minorHAnsi" w:eastAsiaTheme="minorEastAsia" w:hAnsiTheme="minorHAnsi" w:cstheme="minorBidi"/>
              <w:noProof/>
              <w:kern w:val="2"/>
              <w:szCs w:val="22"/>
              <w:lang w:eastAsia="zh-CN"/>
            </w:rPr>
          </w:pPr>
          <w:hyperlink w:anchor="_Toc54424054" w:history="1">
            <w:r w:rsidRPr="00265A01">
              <w:rPr>
                <w:rStyle w:val="a9"/>
                <w:noProof/>
                <w:w w:val="115"/>
              </w:rPr>
              <w:t>Appendix E: The Executable Jar Format</w:t>
            </w:r>
            <w:r>
              <w:rPr>
                <w:noProof/>
                <w:webHidden/>
              </w:rPr>
              <w:tab/>
            </w:r>
            <w:r>
              <w:rPr>
                <w:noProof/>
                <w:webHidden/>
              </w:rPr>
              <w:fldChar w:fldCharType="begin"/>
            </w:r>
            <w:r>
              <w:rPr>
                <w:noProof/>
                <w:webHidden/>
              </w:rPr>
              <w:instrText xml:space="preserve"> PAGEREF _Toc54424054 \h </w:instrText>
            </w:r>
            <w:r>
              <w:rPr>
                <w:noProof/>
                <w:webHidden/>
              </w:rPr>
            </w:r>
            <w:r>
              <w:rPr>
                <w:noProof/>
                <w:webHidden/>
              </w:rPr>
              <w:fldChar w:fldCharType="separate"/>
            </w:r>
            <w:r>
              <w:rPr>
                <w:noProof/>
                <w:webHidden/>
              </w:rPr>
              <w:t>269</w:t>
            </w:r>
            <w:r>
              <w:rPr>
                <w:noProof/>
                <w:webHidden/>
              </w:rPr>
              <w:fldChar w:fldCharType="end"/>
            </w:r>
          </w:hyperlink>
        </w:p>
        <w:p w14:paraId="6E62E4F9" w14:textId="589C30C0"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55" w:history="1">
            <w:r w:rsidRPr="00265A01">
              <w:rPr>
                <w:rStyle w:val="a9"/>
                <w:noProof/>
                <w:spacing w:val="-1"/>
                <w:w w:val="112"/>
              </w:rPr>
              <w:t>10.E.1.</w:t>
            </w:r>
            <w:r>
              <w:rPr>
                <w:rFonts w:asciiTheme="minorHAnsi" w:eastAsiaTheme="minorEastAsia" w:hAnsiTheme="minorHAnsi" w:cstheme="minorBidi"/>
                <w:noProof/>
                <w:kern w:val="2"/>
                <w:szCs w:val="22"/>
                <w:lang w:eastAsia="zh-CN"/>
              </w:rPr>
              <w:tab/>
            </w:r>
            <w:r w:rsidRPr="00265A01">
              <w:rPr>
                <w:rStyle w:val="a9"/>
                <w:noProof/>
                <w:w w:val="105"/>
              </w:rPr>
              <w:t>Nested</w:t>
            </w:r>
            <w:r w:rsidRPr="00265A01">
              <w:rPr>
                <w:rStyle w:val="a9"/>
                <w:noProof/>
                <w:spacing w:val="-2"/>
                <w:w w:val="105"/>
              </w:rPr>
              <w:t xml:space="preserve"> </w:t>
            </w:r>
            <w:r w:rsidRPr="00265A01">
              <w:rPr>
                <w:rStyle w:val="a9"/>
                <w:noProof/>
                <w:w w:val="105"/>
              </w:rPr>
              <w:t>JARs</w:t>
            </w:r>
            <w:r>
              <w:rPr>
                <w:noProof/>
                <w:webHidden/>
              </w:rPr>
              <w:tab/>
            </w:r>
            <w:r>
              <w:rPr>
                <w:noProof/>
                <w:webHidden/>
              </w:rPr>
              <w:fldChar w:fldCharType="begin"/>
            </w:r>
            <w:r>
              <w:rPr>
                <w:noProof/>
                <w:webHidden/>
              </w:rPr>
              <w:instrText xml:space="preserve"> PAGEREF _Toc54424055 \h </w:instrText>
            </w:r>
            <w:r>
              <w:rPr>
                <w:noProof/>
                <w:webHidden/>
              </w:rPr>
            </w:r>
            <w:r>
              <w:rPr>
                <w:noProof/>
                <w:webHidden/>
              </w:rPr>
              <w:fldChar w:fldCharType="separate"/>
            </w:r>
            <w:r>
              <w:rPr>
                <w:noProof/>
                <w:webHidden/>
              </w:rPr>
              <w:t>269</w:t>
            </w:r>
            <w:r>
              <w:rPr>
                <w:noProof/>
                <w:webHidden/>
              </w:rPr>
              <w:fldChar w:fldCharType="end"/>
            </w:r>
          </w:hyperlink>
        </w:p>
        <w:p w14:paraId="62F71D17" w14:textId="6786F07F"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56" w:history="1">
            <w:r w:rsidRPr="00265A01">
              <w:rPr>
                <w:rStyle w:val="a9"/>
                <w:noProof/>
                <w:spacing w:val="-1"/>
                <w:w w:val="112"/>
              </w:rPr>
              <w:t>10.E.2.</w:t>
            </w:r>
            <w:r>
              <w:rPr>
                <w:rFonts w:asciiTheme="minorHAnsi" w:eastAsiaTheme="minorEastAsia" w:hAnsiTheme="minorHAnsi" w:cstheme="minorBidi"/>
                <w:noProof/>
                <w:kern w:val="2"/>
                <w:szCs w:val="22"/>
                <w:lang w:eastAsia="zh-CN"/>
              </w:rPr>
              <w:tab/>
            </w:r>
            <w:r w:rsidRPr="00265A01">
              <w:rPr>
                <w:rStyle w:val="a9"/>
                <w:noProof/>
                <w:w w:val="110"/>
              </w:rPr>
              <w:t>Spring Boot’s “JarFile”</w:t>
            </w:r>
            <w:r w:rsidRPr="00265A01">
              <w:rPr>
                <w:rStyle w:val="a9"/>
                <w:noProof/>
                <w:spacing w:val="-20"/>
                <w:w w:val="110"/>
              </w:rPr>
              <w:t xml:space="preserve"> </w:t>
            </w:r>
            <w:r w:rsidRPr="00265A01">
              <w:rPr>
                <w:rStyle w:val="a9"/>
                <w:noProof/>
                <w:w w:val="110"/>
              </w:rPr>
              <w:t>Class</w:t>
            </w:r>
            <w:r>
              <w:rPr>
                <w:noProof/>
                <w:webHidden/>
              </w:rPr>
              <w:tab/>
            </w:r>
            <w:r>
              <w:rPr>
                <w:noProof/>
                <w:webHidden/>
              </w:rPr>
              <w:fldChar w:fldCharType="begin"/>
            </w:r>
            <w:r>
              <w:rPr>
                <w:noProof/>
                <w:webHidden/>
              </w:rPr>
              <w:instrText xml:space="preserve"> PAGEREF _Toc54424056 \h </w:instrText>
            </w:r>
            <w:r>
              <w:rPr>
                <w:noProof/>
                <w:webHidden/>
              </w:rPr>
            </w:r>
            <w:r>
              <w:rPr>
                <w:noProof/>
                <w:webHidden/>
              </w:rPr>
              <w:fldChar w:fldCharType="separate"/>
            </w:r>
            <w:r>
              <w:rPr>
                <w:noProof/>
                <w:webHidden/>
              </w:rPr>
              <w:t>269</w:t>
            </w:r>
            <w:r>
              <w:rPr>
                <w:noProof/>
                <w:webHidden/>
              </w:rPr>
              <w:fldChar w:fldCharType="end"/>
            </w:r>
          </w:hyperlink>
        </w:p>
        <w:p w14:paraId="3D23E647" w14:textId="2E83460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57" w:history="1">
            <w:r w:rsidRPr="00265A01">
              <w:rPr>
                <w:rStyle w:val="a9"/>
                <w:noProof/>
                <w:spacing w:val="-1"/>
                <w:w w:val="112"/>
              </w:rPr>
              <w:t>10.E.3.</w:t>
            </w:r>
            <w:r>
              <w:rPr>
                <w:rFonts w:asciiTheme="minorHAnsi" w:eastAsiaTheme="minorEastAsia" w:hAnsiTheme="minorHAnsi" w:cstheme="minorBidi"/>
                <w:noProof/>
                <w:kern w:val="2"/>
                <w:szCs w:val="22"/>
                <w:lang w:eastAsia="zh-CN"/>
              </w:rPr>
              <w:tab/>
            </w:r>
            <w:r w:rsidRPr="00265A01">
              <w:rPr>
                <w:rStyle w:val="a9"/>
                <w:noProof/>
                <w:w w:val="115"/>
              </w:rPr>
              <w:t>Launching Executable</w:t>
            </w:r>
            <w:r w:rsidRPr="00265A01">
              <w:rPr>
                <w:rStyle w:val="a9"/>
                <w:noProof/>
                <w:spacing w:val="-20"/>
                <w:w w:val="115"/>
              </w:rPr>
              <w:t xml:space="preserve"> </w:t>
            </w:r>
            <w:r w:rsidRPr="00265A01">
              <w:rPr>
                <w:rStyle w:val="a9"/>
                <w:noProof/>
                <w:w w:val="115"/>
              </w:rPr>
              <w:t>Jars</w:t>
            </w:r>
            <w:r>
              <w:rPr>
                <w:noProof/>
                <w:webHidden/>
              </w:rPr>
              <w:tab/>
            </w:r>
            <w:r>
              <w:rPr>
                <w:noProof/>
                <w:webHidden/>
              </w:rPr>
              <w:fldChar w:fldCharType="begin"/>
            </w:r>
            <w:r>
              <w:rPr>
                <w:noProof/>
                <w:webHidden/>
              </w:rPr>
              <w:instrText xml:space="preserve"> PAGEREF _Toc54424057 \h </w:instrText>
            </w:r>
            <w:r>
              <w:rPr>
                <w:noProof/>
                <w:webHidden/>
              </w:rPr>
            </w:r>
            <w:r>
              <w:rPr>
                <w:noProof/>
                <w:webHidden/>
              </w:rPr>
              <w:fldChar w:fldCharType="separate"/>
            </w:r>
            <w:r>
              <w:rPr>
                <w:noProof/>
                <w:webHidden/>
              </w:rPr>
              <w:t>269</w:t>
            </w:r>
            <w:r>
              <w:rPr>
                <w:noProof/>
                <w:webHidden/>
              </w:rPr>
              <w:fldChar w:fldCharType="end"/>
            </w:r>
          </w:hyperlink>
        </w:p>
        <w:p w14:paraId="2546135A" w14:textId="2FC2B727"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58" w:history="1">
            <w:r w:rsidRPr="00265A01">
              <w:rPr>
                <w:rStyle w:val="a9"/>
                <w:noProof/>
                <w:spacing w:val="-1"/>
                <w:w w:val="112"/>
              </w:rPr>
              <w:t>10.E.4.</w:t>
            </w:r>
            <w:r>
              <w:rPr>
                <w:rFonts w:asciiTheme="minorHAnsi" w:eastAsiaTheme="minorEastAsia" w:hAnsiTheme="minorHAnsi" w:cstheme="minorBidi"/>
                <w:noProof/>
                <w:kern w:val="2"/>
                <w:szCs w:val="22"/>
                <w:lang w:eastAsia="zh-CN"/>
              </w:rPr>
              <w:tab/>
            </w:r>
            <w:r w:rsidRPr="00265A01">
              <w:rPr>
                <w:rStyle w:val="a9"/>
                <w:noProof/>
                <w:w w:val="115"/>
              </w:rPr>
              <w:t>PropertiesLauncher</w:t>
            </w:r>
            <w:r w:rsidRPr="00265A01">
              <w:rPr>
                <w:rStyle w:val="a9"/>
                <w:noProof/>
                <w:spacing w:val="-9"/>
                <w:w w:val="115"/>
              </w:rPr>
              <w:t xml:space="preserve"> </w:t>
            </w:r>
            <w:r w:rsidRPr="00265A01">
              <w:rPr>
                <w:rStyle w:val="a9"/>
                <w:noProof/>
                <w:spacing w:val="-3"/>
                <w:w w:val="115"/>
              </w:rPr>
              <w:t>Features</w:t>
            </w:r>
            <w:r>
              <w:rPr>
                <w:noProof/>
                <w:webHidden/>
              </w:rPr>
              <w:tab/>
            </w:r>
            <w:r>
              <w:rPr>
                <w:noProof/>
                <w:webHidden/>
              </w:rPr>
              <w:fldChar w:fldCharType="begin"/>
            </w:r>
            <w:r>
              <w:rPr>
                <w:noProof/>
                <w:webHidden/>
              </w:rPr>
              <w:instrText xml:space="preserve"> PAGEREF _Toc54424058 \h </w:instrText>
            </w:r>
            <w:r>
              <w:rPr>
                <w:noProof/>
                <w:webHidden/>
              </w:rPr>
            </w:r>
            <w:r>
              <w:rPr>
                <w:noProof/>
                <w:webHidden/>
              </w:rPr>
              <w:fldChar w:fldCharType="separate"/>
            </w:r>
            <w:r>
              <w:rPr>
                <w:noProof/>
                <w:webHidden/>
              </w:rPr>
              <w:t>269</w:t>
            </w:r>
            <w:r>
              <w:rPr>
                <w:noProof/>
                <w:webHidden/>
              </w:rPr>
              <w:fldChar w:fldCharType="end"/>
            </w:r>
          </w:hyperlink>
        </w:p>
        <w:p w14:paraId="0C612A35" w14:textId="6884A24F"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59" w:history="1">
            <w:r w:rsidRPr="00265A01">
              <w:rPr>
                <w:rStyle w:val="a9"/>
                <w:noProof/>
                <w:spacing w:val="-1"/>
                <w:w w:val="112"/>
              </w:rPr>
              <w:t>10.E.5.</w:t>
            </w:r>
            <w:r>
              <w:rPr>
                <w:rFonts w:asciiTheme="minorHAnsi" w:eastAsiaTheme="minorEastAsia" w:hAnsiTheme="minorHAnsi" w:cstheme="minorBidi"/>
                <w:noProof/>
                <w:kern w:val="2"/>
                <w:szCs w:val="22"/>
                <w:lang w:eastAsia="zh-CN"/>
              </w:rPr>
              <w:tab/>
            </w:r>
            <w:r w:rsidRPr="00265A01">
              <w:rPr>
                <w:rStyle w:val="a9"/>
                <w:noProof/>
                <w:w w:val="115"/>
              </w:rPr>
              <w:t>Executable Jar</w:t>
            </w:r>
            <w:r w:rsidRPr="00265A01">
              <w:rPr>
                <w:rStyle w:val="a9"/>
                <w:noProof/>
                <w:spacing w:val="-18"/>
                <w:w w:val="115"/>
              </w:rPr>
              <w:t xml:space="preserve"> </w:t>
            </w:r>
            <w:r w:rsidRPr="00265A01">
              <w:rPr>
                <w:rStyle w:val="a9"/>
                <w:noProof/>
                <w:w w:val="115"/>
              </w:rPr>
              <w:t>Restrictions</w:t>
            </w:r>
            <w:r>
              <w:rPr>
                <w:noProof/>
                <w:webHidden/>
              </w:rPr>
              <w:tab/>
            </w:r>
            <w:r>
              <w:rPr>
                <w:noProof/>
                <w:webHidden/>
              </w:rPr>
              <w:fldChar w:fldCharType="begin"/>
            </w:r>
            <w:r>
              <w:rPr>
                <w:noProof/>
                <w:webHidden/>
              </w:rPr>
              <w:instrText xml:space="preserve"> PAGEREF _Toc54424059 \h </w:instrText>
            </w:r>
            <w:r>
              <w:rPr>
                <w:noProof/>
                <w:webHidden/>
              </w:rPr>
            </w:r>
            <w:r>
              <w:rPr>
                <w:noProof/>
                <w:webHidden/>
              </w:rPr>
              <w:fldChar w:fldCharType="separate"/>
            </w:r>
            <w:r>
              <w:rPr>
                <w:noProof/>
                <w:webHidden/>
              </w:rPr>
              <w:t>269</w:t>
            </w:r>
            <w:r>
              <w:rPr>
                <w:noProof/>
                <w:webHidden/>
              </w:rPr>
              <w:fldChar w:fldCharType="end"/>
            </w:r>
          </w:hyperlink>
        </w:p>
        <w:p w14:paraId="069CE3D0" w14:textId="565E8EEA"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60" w:history="1">
            <w:r w:rsidRPr="00265A01">
              <w:rPr>
                <w:rStyle w:val="a9"/>
                <w:noProof/>
                <w:spacing w:val="-1"/>
                <w:w w:val="112"/>
              </w:rPr>
              <w:t>10.E.6.</w:t>
            </w:r>
            <w:r>
              <w:rPr>
                <w:rFonts w:asciiTheme="minorHAnsi" w:eastAsiaTheme="minorEastAsia" w:hAnsiTheme="minorHAnsi" w:cstheme="minorBidi"/>
                <w:noProof/>
                <w:kern w:val="2"/>
                <w:szCs w:val="22"/>
                <w:lang w:eastAsia="zh-CN"/>
              </w:rPr>
              <w:tab/>
            </w:r>
            <w:r w:rsidRPr="00265A01">
              <w:rPr>
                <w:rStyle w:val="a9"/>
                <w:noProof/>
                <w:w w:val="110"/>
              </w:rPr>
              <w:t>Alternative Single Jar</w:t>
            </w:r>
            <w:r w:rsidRPr="00265A01">
              <w:rPr>
                <w:rStyle w:val="a9"/>
                <w:noProof/>
                <w:spacing w:val="-17"/>
                <w:w w:val="110"/>
              </w:rPr>
              <w:t xml:space="preserve"> </w:t>
            </w:r>
            <w:r w:rsidRPr="00265A01">
              <w:rPr>
                <w:rStyle w:val="a9"/>
                <w:noProof/>
                <w:w w:val="110"/>
              </w:rPr>
              <w:t>Solutions</w:t>
            </w:r>
            <w:r>
              <w:rPr>
                <w:noProof/>
                <w:webHidden/>
              </w:rPr>
              <w:tab/>
            </w:r>
            <w:r>
              <w:rPr>
                <w:noProof/>
                <w:webHidden/>
              </w:rPr>
              <w:fldChar w:fldCharType="begin"/>
            </w:r>
            <w:r>
              <w:rPr>
                <w:noProof/>
                <w:webHidden/>
              </w:rPr>
              <w:instrText xml:space="preserve"> PAGEREF _Toc54424060 \h </w:instrText>
            </w:r>
            <w:r>
              <w:rPr>
                <w:noProof/>
                <w:webHidden/>
              </w:rPr>
            </w:r>
            <w:r>
              <w:rPr>
                <w:noProof/>
                <w:webHidden/>
              </w:rPr>
              <w:fldChar w:fldCharType="separate"/>
            </w:r>
            <w:r>
              <w:rPr>
                <w:noProof/>
                <w:webHidden/>
              </w:rPr>
              <w:t>269</w:t>
            </w:r>
            <w:r>
              <w:rPr>
                <w:noProof/>
                <w:webHidden/>
              </w:rPr>
              <w:fldChar w:fldCharType="end"/>
            </w:r>
          </w:hyperlink>
        </w:p>
        <w:p w14:paraId="4BDC4AA6" w14:textId="2781D6D7" w:rsidR="00E10349" w:rsidRDefault="00E10349">
          <w:pPr>
            <w:pStyle w:val="TOC2"/>
            <w:tabs>
              <w:tab w:val="right" w:leader="dot" w:pos="10220"/>
            </w:tabs>
            <w:rPr>
              <w:rFonts w:asciiTheme="minorHAnsi" w:eastAsiaTheme="minorEastAsia" w:hAnsiTheme="minorHAnsi" w:cstheme="minorBidi"/>
              <w:noProof/>
              <w:kern w:val="2"/>
              <w:szCs w:val="22"/>
              <w:lang w:eastAsia="zh-CN"/>
            </w:rPr>
          </w:pPr>
          <w:hyperlink w:anchor="_Toc54424061" w:history="1">
            <w:r w:rsidRPr="00265A01">
              <w:rPr>
                <w:rStyle w:val="a9"/>
                <w:noProof/>
                <w:w w:val="110"/>
              </w:rPr>
              <w:t>Appendix F: Dependency versions</w:t>
            </w:r>
            <w:r>
              <w:rPr>
                <w:noProof/>
                <w:webHidden/>
              </w:rPr>
              <w:tab/>
            </w:r>
            <w:r>
              <w:rPr>
                <w:noProof/>
                <w:webHidden/>
              </w:rPr>
              <w:fldChar w:fldCharType="begin"/>
            </w:r>
            <w:r>
              <w:rPr>
                <w:noProof/>
                <w:webHidden/>
              </w:rPr>
              <w:instrText xml:space="preserve"> PAGEREF _Toc54424061 \h </w:instrText>
            </w:r>
            <w:r>
              <w:rPr>
                <w:noProof/>
                <w:webHidden/>
              </w:rPr>
            </w:r>
            <w:r>
              <w:rPr>
                <w:noProof/>
                <w:webHidden/>
              </w:rPr>
              <w:fldChar w:fldCharType="separate"/>
            </w:r>
            <w:r>
              <w:rPr>
                <w:noProof/>
                <w:webHidden/>
              </w:rPr>
              <w:t>269</w:t>
            </w:r>
            <w:r>
              <w:rPr>
                <w:noProof/>
                <w:webHidden/>
              </w:rPr>
              <w:fldChar w:fldCharType="end"/>
            </w:r>
          </w:hyperlink>
        </w:p>
        <w:p w14:paraId="5D28A2F6" w14:textId="1DF9BC92"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62" w:history="1">
            <w:r w:rsidRPr="00265A01">
              <w:rPr>
                <w:rStyle w:val="a9"/>
                <w:noProof/>
                <w:spacing w:val="-1"/>
                <w:w w:val="113"/>
              </w:rPr>
              <w:t>10.F.1.</w:t>
            </w:r>
            <w:r>
              <w:rPr>
                <w:rFonts w:asciiTheme="minorHAnsi" w:eastAsiaTheme="minorEastAsia" w:hAnsiTheme="minorHAnsi" w:cstheme="minorBidi"/>
                <w:noProof/>
                <w:kern w:val="2"/>
                <w:szCs w:val="22"/>
                <w:lang w:eastAsia="zh-CN"/>
              </w:rPr>
              <w:tab/>
            </w:r>
            <w:r w:rsidRPr="00265A01">
              <w:rPr>
                <w:rStyle w:val="a9"/>
                <w:noProof/>
                <w:w w:val="110"/>
              </w:rPr>
              <w:t>Managed Dependency</w:t>
            </w:r>
            <w:r w:rsidRPr="00265A01">
              <w:rPr>
                <w:rStyle w:val="a9"/>
                <w:noProof/>
                <w:spacing w:val="-12"/>
                <w:w w:val="110"/>
              </w:rPr>
              <w:t xml:space="preserve"> </w:t>
            </w:r>
            <w:r w:rsidRPr="00265A01">
              <w:rPr>
                <w:rStyle w:val="a9"/>
                <w:noProof/>
                <w:w w:val="110"/>
              </w:rPr>
              <w:t>Coordinates</w:t>
            </w:r>
            <w:r>
              <w:rPr>
                <w:noProof/>
                <w:webHidden/>
              </w:rPr>
              <w:tab/>
            </w:r>
            <w:r>
              <w:rPr>
                <w:noProof/>
                <w:webHidden/>
              </w:rPr>
              <w:fldChar w:fldCharType="begin"/>
            </w:r>
            <w:r>
              <w:rPr>
                <w:noProof/>
                <w:webHidden/>
              </w:rPr>
              <w:instrText xml:space="preserve"> PAGEREF _Toc54424062 \h </w:instrText>
            </w:r>
            <w:r>
              <w:rPr>
                <w:noProof/>
                <w:webHidden/>
              </w:rPr>
            </w:r>
            <w:r>
              <w:rPr>
                <w:noProof/>
                <w:webHidden/>
              </w:rPr>
              <w:fldChar w:fldCharType="separate"/>
            </w:r>
            <w:r>
              <w:rPr>
                <w:noProof/>
                <w:webHidden/>
              </w:rPr>
              <w:t>269</w:t>
            </w:r>
            <w:r>
              <w:rPr>
                <w:noProof/>
                <w:webHidden/>
              </w:rPr>
              <w:fldChar w:fldCharType="end"/>
            </w:r>
          </w:hyperlink>
        </w:p>
        <w:p w14:paraId="7B009D57" w14:textId="1DEE9251" w:rsidR="00E10349" w:rsidRDefault="00E10349">
          <w:pPr>
            <w:pStyle w:val="TOC3"/>
            <w:tabs>
              <w:tab w:val="left" w:pos="1680"/>
              <w:tab w:val="right" w:leader="dot" w:pos="10220"/>
            </w:tabs>
            <w:rPr>
              <w:rFonts w:asciiTheme="minorHAnsi" w:eastAsiaTheme="minorEastAsia" w:hAnsiTheme="minorHAnsi" w:cstheme="minorBidi"/>
              <w:noProof/>
              <w:kern w:val="2"/>
              <w:szCs w:val="22"/>
              <w:lang w:eastAsia="zh-CN"/>
            </w:rPr>
          </w:pPr>
          <w:hyperlink w:anchor="_Toc54424063" w:history="1">
            <w:r w:rsidRPr="00265A01">
              <w:rPr>
                <w:rStyle w:val="a9"/>
                <w:noProof/>
                <w:spacing w:val="-1"/>
                <w:w w:val="113"/>
              </w:rPr>
              <w:t>10.F.2.</w:t>
            </w:r>
            <w:r>
              <w:rPr>
                <w:rFonts w:asciiTheme="minorHAnsi" w:eastAsiaTheme="minorEastAsia" w:hAnsiTheme="minorHAnsi" w:cstheme="minorBidi"/>
                <w:noProof/>
                <w:kern w:val="2"/>
                <w:szCs w:val="22"/>
                <w:lang w:eastAsia="zh-CN"/>
              </w:rPr>
              <w:tab/>
            </w:r>
            <w:r w:rsidRPr="00265A01">
              <w:rPr>
                <w:rStyle w:val="a9"/>
                <w:noProof/>
                <w:spacing w:val="-3"/>
                <w:w w:val="110"/>
              </w:rPr>
              <w:t>Version</w:t>
            </w:r>
            <w:r w:rsidRPr="00265A01">
              <w:rPr>
                <w:rStyle w:val="a9"/>
                <w:noProof/>
                <w:spacing w:val="-6"/>
                <w:w w:val="110"/>
              </w:rPr>
              <w:t xml:space="preserve"> </w:t>
            </w:r>
            <w:r w:rsidRPr="00265A01">
              <w:rPr>
                <w:rStyle w:val="a9"/>
                <w:noProof/>
                <w:w w:val="110"/>
              </w:rPr>
              <w:t>Properties</w:t>
            </w:r>
            <w:r>
              <w:rPr>
                <w:noProof/>
                <w:webHidden/>
              </w:rPr>
              <w:tab/>
            </w:r>
            <w:r>
              <w:rPr>
                <w:noProof/>
                <w:webHidden/>
              </w:rPr>
              <w:fldChar w:fldCharType="begin"/>
            </w:r>
            <w:r>
              <w:rPr>
                <w:noProof/>
                <w:webHidden/>
              </w:rPr>
              <w:instrText xml:space="preserve"> PAGEREF _Toc54424063 \h </w:instrText>
            </w:r>
            <w:r>
              <w:rPr>
                <w:noProof/>
                <w:webHidden/>
              </w:rPr>
            </w:r>
            <w:r>
              <w:rPr>
                <w:noProof/>
                <w:webHidden/>
              </w:rPr>
              <w:fldChar w:fldCharType="separate"/>
            </w:r>
            <w:r>
              <w:rPr>
                <w:noProof/>
                <w:webHidden/>
              </w:rPr>
              <w:t>269</w:t>
            </w:r>
            <w:r>
              <w:rPr>
                <w:noProof/>
                <w:webHidden/>
              </w:rPr>
              <w:fldChar w:fldCharType="end"/>
            </w:r>
          </w:hyperlink>
        </w:p>
        <w:p w14:paraId="286A0644" w14:textId="646FF91A" w:rsidR="00E10349" w:rsidRDefault="00E10349">
          <w:r>
            <w:rPr>
              <w:b/>
              <w:bCs/>
              <w:lang w:val="zh-CN"/>
            </w:rPr>
            <w:fldChar w:fldCharType="end"/>
          </w:r>
        </w:p>
      </w:sdtContent>
    </w:sdt>
    <w:p w14:paraId="6FE265BF" w14:textId="77777777" w:rsidR="00A720EB" w:rsidRDefault="00A720EB">
      <w:pPr>
        <w:sectPr w:rsidR="00A720EB">
          <w:type w:val="continuous"/>
          <w:pgSz w:w="11910" w:h="16840"/>
          <w:pgMar w:top="639" w:right="840" w:bottom="1042" w:left="840" w:header="720" w:footer="720" w:gutter="0"/>
          <w:cols w:space="720"/>
        </w:sectPr>
      </w:pPr>
    </w:p>
    <w:p w14:paraId="5B663756" w14:textId="77777777" w:rsidR="00A720EB" w:rsidRDefault="0030286B">
      <w:pPr>
        <w:pStyle w:val="1"/>
        <w:jc w:val="left"/>
      </w:pPr>
      <w:bookmarkStart w:id="2" w:name="Legal"/>
      <w:bookmarkStart w:id="3" w:name="_Toc54423655"/>
      <w:bookmarkEnd w:id="2"/>
      <w:r>
        <w:rPr>
          <w:color w:val="333333"/>
          <w:w w:val="110"/>
        </w:rPr>
        <w:lastRenderedPageBreak/>
        <w:t>Legal</w:t>
      </w:r>
      <w:bookmarkEnd w:id="3"/>
    </w:p>
    <w:p w14:paraId="7B65CE42" w14:textId="77777777" w:rsidR="00A720EB" w:rsidRDefault="0030286B">
      <w:pPr>
        <w:pStyle w:val="a3"/>
        <w:spacing w:before="252"/>
        <w:ind w:left="124"/>
      </w:pPr>
      <w:r>
        <w:rPr>
          <w:color w:val="333333"/>
          <w:w w:val="110"/>
        </w:rPr>
        <w:t>2.3.</w:t>
      </w:r>
      <w:proofErr w:type="gramStart"/>
      <w:r>
        <w:rPr>
          <w:color w:val="333333"/>
          <w:w w:val="110"/>
        </w:rPr>
        <w:t>4.RELEASE</w:t>
      </w:r>
      <w:proofErr w:type="gramEnd"/>
    </w:p>
    <w:p w14:paraId="0BA6A906" w14:textId="77777777" w:rsidR="00A720EB" w:rsidRDefault="00A720EB">
      <w:pPr>
        <w:pStyle w:val="a3"/>
        <w:spacing w:before="5"/>
        <w:rPr>
          <w:sz w:val="26"/>
        </w:rPr>
      </w:pPr>
    </w:p>
    <w:p w14:paraId="13AF0627" w14:textId="77777777" w:rsidR="00A720EB" w:rsidRDefault="0030286B">
      <w:pPr>
        <w:pStyle w:val="a3"/>
        <w:ind w:left="124"/>
        <w:jc w:val="both"/>
      </w:pPr>
      <w:r>
        <w:rPr>
          <w:color w:val="333333"/>
          <w:w w:val="105"/>
        </w:rPr>
        <w:t>Copyright © 2012-2020</w:t>
      </w:r>
    </w:p>
    <w:p w14:paraId="3C8BB7C5" w14:textId="77777777" w:rsidR="00A720EB" w:rsidRDefault="00A720EB">
      <w:pPr>
        <w:pStyle w:val="a3"/>
        <w:spacing w:before="4"/>
        <w:rPr>
          <w:sz w:val="26"/>
        </w:rPr>
      </w:pPr>
    </w:p>
    <w:p w14:paraId="5715E3D8" w14:textId="77777777" w:rsidR="00A720EB" w:rsidRDefault="0030286B">
      <w:pPr>
        <w:pStyle w:val="a3"/>
        <w:spacing w:before="1" w:line="307" w:lineRule="auto"/>
        <w:ind w:left="124" w:right="126"/>
        <w:jc w:val="both"/>
      </w:pPr>
      <w:r>
        <w:rPr>
          <w:color w:val="333333"/>
          <w:w w:val="110"/>
        </w:rPr>
        <w:t xml:space="preserve">Copies of this document may be made for your own use and for distribution to others, provided   </w:t>
      </w:r>
      <w:r>
        <w:rPr>
          <w:color w:val="333333"/>
          <w:spacing w:val="50"/>
          <w:w w:val="110"/>
        </w:rPr>
        <w:t xml:space="preserve"> </w:t>
      </w:r>
      <w:r>
        <w:rPr>
          <w:color w:val="333333"/>
          <w:w w:val="110"/>
        </w:rPr>
        <w:t>that you do not charge any fee for such copies and further provided that each copy contains this Copyright Notice, whether distributed in print or</w:t>
      </w:r>
      <w:r>
        <w:rPr>
          <w:color w:val="333333"/>
          <w:spacing w:val="23"/>
          <w:w w:val="110"/>
        </w:rPr>
        <w:t xml:space="preserve"> </w:t>
      </w:r>
      <w:r>
        <w:rPr>
          <w:color w:val="333333"/>
          <w:spacing w:val="-3"/>
          <w:w w:val="110"/>
        </w:rPr>
        <w:t>electronically.</w:t>
      </w:r>
    </w:p>
    <w:p w14:paraId="4FFADFF4" w14:textId="77777777" w:rsidR="00A720EB" w:rsidRDefault="00A720EB">
      <w:pPr>
        <w:spacing w:line="307" w:lineRule="auto"/>
        <w:jc w:val="both"/>
      </w:pPr>
    </w:p>
    <w:p w14:paraId="26464F19" w14:textId="71B939A7" w:rsidR="00424A0E" w:rsidRPr="00424A0E" w:rsidRDefault="00424A0E" w:rsidP="00424A0E">
      <w:pPr>
        <w:pStyle w:val="1"/>
        <w:jc w:val="left"/>
        <w:rPr>
          <w:color w:val="E36C0A" w:themeColor="accent6" w:themeShade="BF"/>
          <w:w w:val="110"/>
          <w:lang w:eastAsia="zh-CN"/>
        </w:rPr>
      </w:pPr>
      <w:bookmarkStart w:id="4" w:name="_Toc54423656"/>
      <w:r w:rsidRPr="00424A0E">
        <w:rPr>
          <w:rFonts w:ascii="宋体" w:eastAsia="宋体" w:hAnsi="宋体" w:cs="宋体" w:hint="eastAsia"/>
          <w:color w:val="E36C0A" w:themeColor="accent6" w:themeShade="BF"/>
          <w:w w:val="110"/>
          <w:lang w:eastAsia="zh-CN"/>
        </w:rPr>
        <w:t>法律声明</w:t>
      </w:r>
      <w:bookmarkEnd w:id="4"/>
    </w:p>
    <w:p w14:paraId="69E5BBDE" w14:textId="77777777" w:rsidR="00424A0E" w:rsidRPr="00424A0E" w:rsidRDefault="00424A0E" w:rsidP="00424A0E">
      <w:pPr>
        <w:widowControl/>
        <w:autoSpaceDE/>
        <w:autoSpaceDN/>
        <w:spacing w:before="72" w:after="72"/>
        <w:rPr>
          <w:rFonts w:ascii="Helvetica" w:eastAsia="宋体" w:hAnsi="Helvetica" w:cs="Helvetica"/>
          <w:color w:val="E36C0A" w:themeColor="accent6" w:themeShade="BF"/>
          <w:sz w:val="21"/>
          <w:szCs w:val="21"/>
          <w:lang w:eastAsia="zh-CN"/>
        </w:rPr>
      </w:pPr>
    </w:p>
    <w:p w14:paraId="725532D1" w14:textId="4328D3EE" w:rsidR="00424A0E" w:rsidRPr="00424A0E" w:rsidRDefault="00424A0E" w:rsidP="00424A0E">
      <w:pPr>
        <w:widowControl/>
        <w:autoSpaceDE/>
        <w:autoSpaceDN/>
        <w:spacing w:before="72" w:after="72"/>
        <w:rPr>
          <w:rFonts w:ascii="Helvetica" w:eastAsia="宋体" w:hAnsi="Helvetica" w:cs="Helvetica"/>
          <w:color w:val="E36C0A" w:themeColor="accent6" w:themeShade="BF"/>
          <w:sz w:val="21"/>
          <w:szCs w:val="21"/>
          <w:lang w:eastAsia="zh-CN"/>
        </w:rPr>
      </w:pPr>
      <w:r w:rsidRPr="00424A0E">
        <w:rPr>
          <w:rFonts w:ascii="Helvetica" w:eastAsia="宋体" w:hAnsi="Helvetica" w:cs="Helvetica"/>
          <w:color w:val="E36C0A" w:themeColor="accent6" w:themeShade="BF"/>
          <w:sz w:val="21"/>
          <w:szCs w:val="21"/>
          <w:lang w:eastAsia="zh-CN"/>
        </w:rPr>
        <w:t>2.3.4</w:t>
      </w:r>
      <w:r w:rsidRPr="00424A0E">
        <w:rPr>
          <w:rFonts w:ascii="Helvetica" w:eastAsia="宋体" w:hAnsi="Helvetica" w:cs="Helvetica" w:hint="eastAsia"/>
          <w:color w:val="E36C0A" w:themeColor="accent6" w:themeShade="BF"/>
          <w:sz w:val="21"/>
          <w:szCs w:val="21"/>
          <w:lang w:eastAsia="zh-CN"/>
        </w:rPr>
        <w:t>.</w:t>
      </w:r>
      <w:r w:rsidRPr="00424A0E">
        <w:rPr>
          <w:rFonts w:ascii="Helvetica" w:eastAsia="宋体" w:hAnsi="Helvetica" w:cs="Helvetica"/>
          <w:color w:val="E36C0A" w:themeColor="accent6" w:themeShade="BF"/>
          <w:sz w:val="21"/>
          <w:szCs w:val="21"/>
          <w:lang w:eastAsia="zh-CN"/>
        </w:rPr>
        <w:t xml:space="preserve"> </w:t>
      </w:r>
      <w:r w:rsidRPr="00424A0E">
        <w:rPr>
          <w:rFonts w:ascii="Helvetica" w:eastAsia="宋体" w:hAnsi="Helvetica" w:cs="Helvetica"/>
          <w:color w:val="E36C0A" w:themeColor="accent6" w:themeShade="BF"/>
          <w:sz w:val="21"/>
          <w:szCs w:val="21"/>
          <w:lang w:eastAsia="zh-CN"/>
        </w:rPr>
        <w:t>发布</w:t>
      </w:r>
      <w:r w:rsidRPr="00424A0E">
        <w:rPr>
          <w:rFonts w:ascii="Helvetica" w:eastAsia="宋体" w:hAnsi="Helvetica" w:cs="Helvetica" w:hint="eastAsia"/>
          <w:color w:val="E36C0A" w:themeColor="accent6" w:themeShade="BF"/>
          <w:sz w:val="21"/>
          <w:szCs w:val="21"/>
          <w:lang w:eastAsia="zh-CN"/>
        </w:rPr>
        <w:t>版本</w:t>
      </w:r>
    </w:p>
    <w:p w14:paraId="498B79BB" w14:textId="77777777" w:rsidR="00424A0E" w:rsidRPr="00424A0E" w:rsidRDefault="00424A0E" w:rsidP="00424A0E">
      <w:pPr>
        <w:widowControl/>
        <w:autoSpaceDE/>
        <w:autoSpaceDN/>
        <w:spacing w:before="72" w:after="72"/>
        <w:rPr>
          <w:rFonts w:ascii="Helvetica" w:eastAsia="宋体" w:hAnsi="Helvetica" w:cs="Helvetica"/>
          <w:color w:val="E36C0A" w:themeColor="accent6" w:themeShade="BF"/>
          <w:sz w:val="21"/>
          <w:szCs w:val="21"/>
          <w:lang w:eastAsia="zh-CN"/>
        </w:rPr>
      </w:pPr>
      <w:r w:rsidRPr="00424A0E">
        <w:rPr>
          <w:rFonts w:ascii="Helvetica" w:eastAsia="宋体" w:hAnsi="Helvetica" w:cs="Helvetica"/>
          <w:color w:val="E36C0A" w:themeColor="accent6" w:themeShade="BF"/>
          <w:sz w:val="21"/>
          <w:szCs w:val="21"/>
          <w:lang w:eastAsia="zh-CN"/>
        </w:rPr>
        <w:t>版权所有</w:t>
      </w:r>
      <w:r w:rsidRPr="00424A0E">
        <w:rPr>
          <w:rFonts w:ascii="Helvetica" w:eastAsia="宋体" w:hAnsi="Helvetica" w:cs="Helvetica"/>
          <w:color w:val="E36C0A" w:themeColor="accent6" w:themeShade="BF"/>
          <w:sz w:val="21"/>
          <w:szCs w:val="21"/>
          <w:lang w:eastAsia="zh-CN"/>
        </w:rPr>
        <w:t>©2012-2020</w:t>
      </w:r>
    </w:p>
    <w:p w14:paraId="06C9D3E1" w14:textId="77777777" w:rsidR="00424A0E" w:rsidRPr="00424A0E" w:rsidRDefault="00424A0E" w:rsidP="00424A0E">
      <w:pPr>
        <w:widowControl/>
        <w:autoSpaceDE/>
        <w:autoSpaceDN/>
        <w:spacing w:before="72" w:after="72"/>
        <w:rPr>
          <w:rFonts w:ascii="Helvetica" w:eastAsia="宋体" w:hAnsi="Helvetica" w:cs="Helvetica"/>
          <w:color w:val="E36C0A" w:themeColor="accent6" w:themeShade="BF"/>
          <w:sz w:val="21"/>
          <w:szCs w:val="21"/>
          <w:lang w:eastAsia="zh-CN"/>
        </w:rPr>
      </w:pPr>
      <w:r w:rsidRPr="00424A0E">
        <w:rPr>
          <w:rFonts w:ascii="Helvetica" w:eastAsia="宋体" w:hAnsi="Helvetica" w:cs="Helvetica"/>
          <w:color w:val="E36C0A" w:themeColor="accent6" w:themeShade="BF"/>
          <w:sz w:val="21"/>
          <w:szCs w:val="21"/>
          <w:lang w:eastAsia="zh-CN"/>
        </w:rPr>
        <w:t>本文档的副本可以供您自己使用，也可以分发给他人，但前提是您</w:t>
      </w:r>
      <w:proofErr w:type="gramStart"/>
      <w:r w:rsidRPr="00424A0E">
        <w:rPr>
          <w:rFonts w:ascii="Helvetica" w:eastAsia="宋体" w:hAnsi="Helvetica" w:cs="Helvetica"/>
          <w:color w:val="E36C0A" w:themeColor="accent6" w:themeShade="BF"/>
          <w:sz w:val="21"/>
          <w:szCs w:val="21"/>
          <w:lang w:eastAsia="zh-CN"/>
        </w:rPr>
        <w:t>不</w:t>
      </w:r>
      <w:proofErr w:type="gramEnd"/>
      <w:r w:rsidRPr="00424A0E">
        <w:rPr>
          <w:rFonts w:ascii="Helvetica" w:eastAsia="宋体" w:hAnsi="Helvetica" w:cs="Helvetica"/>
          <w:color w:val="E36C0A" w:themeColor="accent6" w:themeShade="BF"/>
          <w:sz w:val="21"/>
          <w:szCs w:val="21"/>
          <w:lang w:eastAsia="zh-CN"/>
        </w:rPr>
        <w:t>对此类副本收取任何费用，并且还应确保每份副本均包含本版权声明（无论是印刷版本还是电子版本）。</w:t>
      </w:r>
    </w:p>
    <w:p w14:paraId="7DD2C928" w14:textId="55AC59B9" w:rsidR="00424A0E" w:rsidRDefault="00424A0E">
      <w:pPr>
        <w:spacing w:line="307" w:lineRule="auto"/>
        <w:jc w:val="both"/>
        <w:rPr>
          <w:lang w:eastAsia="zh-CN"/>
        </w:rPr>
        <w:sectPr w:rsidR="00424A0E">
          <w:footerReference w:type="even" r:id="rId9"/>
          <w:footerReference w:type="default" r:id="rId10"/>
          <w:pgSz w:w="11910" w:h="16840"/>
          <w:pgMar w:top="620" w:right="840" w:bottom="520" w:left="840" w:header="0" w:footer="323" w:gutter="0"/>
          <w:pgNumType w:start="1"/>
          <w:cols w:space="720"/>
        </w:sectPr>
      </w:pPr>
    </w:p>
    <w:p w14:paraId="1A7BEEC2" w14:textId="4D066F94" w:rsidR="00A720EB" w:rsidRPr="00711A16" w:rsidRDefault="0030286B" w:rsidP="00711A16">
      <w:pPr>
        <w:pStyle w:val="a6"/>
        <w:numPr>
          <w:ilvl w:val="0"/>
          <w:numId w:val="89"/>
        </w:numPr>
        <w:spacing w:before="90"/>
        <w:jc w:val="both"/>
        <w:rPr>
          <w:rFonts w:ascii="Palatino Linotype"/>
          <w:b/>
          <w:sz w:val="40"/>
          <w:szCs w:val="21"/>
        </w:rPr>
      </w:pPr>
      <w:bookmarkStart w:id="5" w:name="Chapter_1._Spring_Boot_Documentation"/>
      <w:bookmarkEnd w:id="5"/>
      <w:r w:rsidRPr="00711A16">
        <w:rPr>
          <w:rFonts w:ascii="Palatino Linotype"/>
          <w:b/>
          <w:color w:val="333333"/>
          <w:w w:val="110"/>
          <w:sz w:val="40"/>
          <w:szCs w:val="21"/>
        </w:rPr>
        <w:lastRenderedPageBreak/>
        <w:t xml:space="preserve">Spring Boot </w:t>
      </w:r>
      <w:r w:rsidR="003F130B" w:rsidRPr="00711A16">
        <w:rPr>
          <w:rFonts w:ascii="Palatino Linotype"/>
          <w:b/>
          <w:color w:val="333333"/>
          <w:w w:val="110"/>
          <w:sz w:val="40"/>
          <w:szCs w:val="21"/>
        </w:rPr>
        <w:t xml:space="preserve">Documentation </w:t>
      </w:r>
      <w:r w:rsidR="003F130B" w:rsidRPr="00711A16">
        <w:rPr>
          <w:rFonts w:ascii="Palatino Linotype"/>
          <w:b/>
          <w:color w:val="E36C0A" w:themeColor="accent6" w:themeShade="BF"/>
          <w:w w:val="110"/>
          <w:sz w:val="40"/>
          <w:szCs w:val="21"/>
        </w:rPr>
        <w:t xml:space="preserve">Spring Boot </w:t>
      </w:r>
      <w:r w:rsidR="003F130B" w:rsidRPr="00711A16">
        <w:rPr>
          <w:rFonts w:ascii="宋体" w:eastAsia="宋体" w:hAnsi="宋体" w:cs="宋体" w:hint="eastAsia"/>
          <w:b/>
          <w:color w:val="E36C0A" w:themeColor="accent6" w:themeShade="BF"/>
          <w:w w:val="110"/>
          <w:sz w:val="40"/>
          <w:szCs w:val="21"/>
          <w:lang w:eastAsia="zh-CN"/>
        </w:rPr>
        <w:t>文献</w:t>
      </w:r>
    </w:p>
    <w:p w14:paraId="010C40EC" w14:textId="08863EB4" w:rsidR="00CE34D9" w:rsidRDefault="00CE34D9" w:rsidP="00CE34D9">
      <w:pPr>
        <w:pStyle w:val="a3"/>
        <w:spacing w:before="253"/>
        <w:ind w:left="124"/>
        <w:rPr>
          <w:color w:val="333333"/>
          <w:w w:val="110"/>
        </w:rPr>
      </w:pPr>
      <w:commentRangeStart w:id="6"/>
      <w:r w:rsidRPr="00CE34D9">
        <w:rPr>
          <w:color w:val="333333"/>
          <w:w w:val="110"/>
        </w:rPr>
        <w:t>This section provides a brief overview of Spring Boot reference documentation. It serves as a map</w:t>
      </w:r>
      <w:r>
        <w:rPr>
          <w:rFonts w:hint="eastAsia"/>
          <w:color w:val="333333"/>
          <w:w w:val="110"/>
        </w:rPr>
        <w:t xml:space="preserve"> </w:t>
      </w:r>
      <w:r w:rsidRPr="00CE34D9">
        <w:rPr>
          <w:color w:val="333333"/>
          <w:w w:val="110"/>
        </w:rPr>
        <w:t>for the rest of the document.</w:t>
      </w:r>
      <w:commentRangeEnd w:id="6"/>
      <w:r w:rsidR="00DC565C">
        <w:rPr>
          <w:rStyle w:val="aa"/>
        </w:rPr>
        <w:commentReference w:id="6"/>
      </w:r>
    </w:p>
    <w:p w14:paraId="540B5FA6" w14:textId="5D6A4D55" w:rsidR="007B7F5E" w:rsidRDefault="007B7F5E" w:rsidP="00CE34D9">
      <w:pPr>
        <w:pStyle w:val="a3"/>
        <w:spacing w:before="253" w:line="307" w:lineRule="auto"/>
        <w:ind w:left="124" w:right="123"/>
        <w:jc w:val="both"/>
        <w:rPr>
          <w:rFonts w:ascii="宋体" w:eastAsia="宋体" w:hAnsi="宋体" w:cs="宋体"/>
          <w:color w:val="E36C0A" w:themeColor="accent6" w:themeShade="BF"/>
          <w:w w:val="110"/>
          <w:sz w:val="18"/>
          <w:szCs w:val="18"/>
          <w:lang w:eastAsia="zh-CN"/>
        </w:rPr>
      </w:pPr>
      <w:r w:rsidRPr="00CE34D9">
        <w:rPr>
          <w:rFonts w:ascii="宋体" w:eastAsia="宋体" w:hAnsi="宋体" w:cs="宋体"/>
          <w:color w:val="E36C0A" w:themeColor="accent6" w:themeShade="BF"/>
          <w:w w:val="110"/>
          <w:sz w:val="18"/>
          <w:szCs w:val="18"/>
          <w:lang w:eastAsia="zh-CN"/>
        </w:rPr>
        <w:t>本节简要概述了springboot参考文档。它作为文档其余部分的映射。</w:t>
      </w:r>
    </w:p>
    <w:p w14:paraId="7446DF63" w14:textId="70660E50" w:rsidR="00A720EB" w:rsidRDefault="003F130B">
      <w:pPr>
        <w:pStyle w:val="2"/>
        <w:numPr>
          <w:ilvl w:val="1"/>
          <w:numId w:val="79"/>
        </w:numPr>
        <w:tabs>
          <w:tab w:val="left" w:pos="832"/>
        </w:tabs>
      </w:pPr>
      <w:bookmarkStart w:id="7" w:name="1.1._About_the_Documentation"/>
      <w:bookmarkStart w:id="8" w:name="_Toc54423657"/>
      <w:bookmarkEnd w:id="7"/>
      <w:r w:rsidRPr="003F130B">
        <w:rPr>
          <w:rFonts w:ascii="宋体" w:eastAsia="宋体" w:hAnsi="宋体" w:cs="宋体"/>
          <w:color w:val="333333"/>
          <w:w w:val="110"/>
          <w:lang w:eastAsia="zh-CN"/>
        </w:rPr>
        <w:t>About the Documentation</w:t>
      </w:r>
      <w:r>
        <w:rPr>
          <w:rFonts w:ascii="宋体" w:eastAsia="宋体" w:hAnsi="宋体" w:cs="宋体"/>
          <w:color w:val="333333"/>
          <w:w w:val="110"/>
          <w:lang w:eastAsia="zh-CN"/>
        </w:rPr>
        <w:t xml:space="preserve"> </w:t>
      </w:r>
      <w:r w:rsidR="007B7F5E" w:rsidRPr="003F130B">
        <w:rPr>
          <w:rFonts w:ascii="宋体" w:eastAsia="宋体" w:hAnsi="宋体" w:cs="宋体" w:hint="eastAsia"/>
          <w:color w:val="E36C0A" w:themeColor="accent6" w:themeShade="BF"/>
          <w:w w:val="110"/>
          <w:lang w:eastAsia="zh-CN"/>
        </w:rPr>
        <w:t>有关文献</w:t>
      </w:r>
      <w:bookmarkEnd w:id="8"/>
    </w:p>
    <w:p w14:paraId="5DF4C011" w14:textId="77777777" w:rsidR="00A720EB" w:rsidRDefault="0030286B">
      <w:pPr>
        <w:pStyle w:val="a3"/>
        <w:spacing w:before="253"/>
        <w:ind w:left="124"/>
      </w:pPr>
      <w:r>
        <w:rPr>
          <w:color w:val="333333"/>
          <w:w w:val="110"/>
        </w:rPr>
        <w:t>The Spring Boot reference guide is available as:</w:t>
      </w:r>
    </w:p>
    <w:p w14:paraId="1179239F" w14:textId="234765E9" w:rsidR="00A720EB" w:rsidRPr="008400B3" w:rsidRDefault="008400B3" w:rsidP="008400B3">
      <w:pPr>
        <w:pStyle w:val="a3"/>
        <w:spacing w:before="253" w:line="307" w:lineRule="auto"/>
        <w:ind w:left="124" w:right="123"/>
        <w:jc w:val="both"/>
        <w:rPr>
          <w:rFonts w:ascii="宋体" w:eastAsia="宋体" w:hAnsi="宋体" w:cs="宋体"/>
          <w:color w:val="E36C0A" w:themeColor="accent6" w:themeShade="BF"/>
          <w:w w:val="110"/>
          <w:sz w:val="18"/>
          <w:szCs w:val="18"/>
          <w:lang w:eastAsia="zh-CN"/>
        </w:rPr>
      </w:pPr>
      <w:r w:rsidRPr="008400B3">
        <w:rPr>
          <w:rFonts w:ascii="宋体" w:eastAsia="宋体" w:hAnsi="宋体" w:cs="宋体"/>
          <w:color w:val="E36C0A" w:themeColor="accent6" w:themeShade="BF"/>
          <w:w w:val="110"/>
          <w:sz w:val="18"/>
          <w:szCs w:val="18"/>
          <w:lang w:eastAsia="zh-CN"/>
        </w:rPr>
        <w:t>Spring Boot</w:t>
      </w:r>
      <w:r w:rsidRPr="008400B3">
        <w:rPr>
          <w:rFonts w:ascii="宋体" w:eastAsia="宋体" w:hAnsi="宋体" w:cs="宋体" w:hint="eastAsia"/>
          <w:color w:val="E36C0A" w:themeColor="accent6" w:themeShade="BF"/>
          <w:w w:val="110"/>
          <w:sz w:val="18"/>
          <w:szCs w:val="18"/>
          <w:lang w:eastAsia="zh-CN"/>
        </w:rPr>
        <w:t>参考指南可通过以下方式获得：</w:t>
      </w:r>
    </w:p>
    <w:p w14:paraId="6F583D43" w14:textId="081358C0" w:rsidR="00A720EB" w:rsidRDefault="00E10349">
      <w:pPr>
        <w:pStyle w:val="a6"/>
        <w:numPr>
          <w:ilvl w:val="2"/>
          <w:numId w:val="79"/>
        </w:numPr>
        <w:tabs>
          <w:tab w:val="left" w:pos="485"/>
        </w:tabs>
        <w:rPr>
          <w:sz w:val="21"/>
        </w:rPr>
      </w:pPr>
      <w:hyperlink r:id="rId15">
        <w:r w:rsidR="0030286B">
          <w:rPr>
            <w:color w:val="418BCA"/>
            <w:w w:val="110"/>
            <w:sz w:val="21"/>
          </w:rPr>
          <w:t>Multi-page</w:t>
        </w:r>
        <w:r w:rsidR="0030286B">
          <w:rPr>
            <w:color w:val="418BCA"/>
            <w:spacing w:val="2"/>
            <w:w w:val="110"/>
            <w:sz w:val="21"/>
          </w:rPr>
          <w:t xml:space="preserve"> </w:t>
        </w:r>
        <w:r w:rsidR="0030286B">
          <w:rPr>
            <w:color w:val="418BCA"/>
            <w:w w:val="110"/>
            <w:sz w:val="21"/>
          </w:rPr>
          <w:t>HTML</w:t>
        </w:r>
      </w:hyperlink>
      <w:r w:rsidR="008400B3">
        <w:rPr>
          <w:color w:val="418BCA"/>
          <w:w w:val="110"/>
          <w:sz w:val="21"/>
        </w:rPr>
        <w:t xml:space="preserve"> </w:t>
      </w:r>
      <w:r w:rsidR="008400B3">
        <w:rPr>
          <w:rFonts w:ascii="宋体" w:eastAsia="宋体" w:hAnsi="宋体" w:cs="宋体" w:hint="eastAsia"/>
          <w:color w:val="418BCA"/>
          <w:w w:val="110"/>
          <w:sz w:val="21"/>
          <w:lang w:eastAsia="zh-CN"/>
        </w:rPr>
        <w:t>多页HTML</w:t>
      </w:r>
    </w:p>
    <w:p w14:paraId="27331D84" w14:textId="395C31AC" w:rsidR="00A720EB" w:rsidRDefault="00E10349">
      <w:pPr>
        <w:pStyle w:val="a6"/>
        <w:numPr>
          <w:ilvl w:val="2"/>
          <w:numId w:val="79"/>
        </w:numPr>
        <w:tabs>
          <w:tab w:val="left" w:pos="485"/>
        </w:tabs>
        <w:spacing w:before="189"/>
        <w:rPr>
          <w:sz w:val="21"/>
        </w:rPr>
      </w:pPr>
      <w:hyperlink r:id="rId16">
        <w:r w:rsidR="0030286B">
          <w:rPr>
            <w:color w:val="418BCA"/>
            <w:w w:val="110"/>
            <w:sz w:val="21"/>
          </w:rPr>
          <w:t>Single page</w:t>
        </w:r>
        <w:r w:rsidR="0030286B">
          <w:rPr>
            <w:color w:val="418BCA"/>
            <w:spacing w:val="4"/>
            <w:w w:val="110"/>
            <w:sz w:val="21"/>
          </w:rPr>
          <w:t xml:space="preserve"> </w:t>
        </w:r>
        <w:r w:rsidR="0030286B">
          <w:rPr>
            <w:color w:val="418BCA"/>
            <w:w w:val="110"/>
            <w:sz w:val="21"/>
          </w:rPr>
          <w:t>HTML</w:t>
        </w:r>
      </w:hyperlink>
      <w:r w:rsidR="008400B3">
        <w:rPr>
          <w:color w:val="418BCA"/>
          <w:w w:val="110"/>
          <w:sz w:val="21"/>
        </w:rPr>
        <w:t xml:space="preserve"> </w:t>
      </w:r>
      <w:r w:rsidR="008400B3">
        <w:rPr>
          <w:rFonts w:ascii="宋体" w:eastAsia="宋体" w:hAnsi="宋体" w:cs="宋体" w:hint="eastAsia"/>
          <w:color w:val="418BCA"/>
          <w:w w:val="110"/>
          <w:sz w:val="21"/>
          <w:lang w:eastAsia="zh-CN"/>
        </w:rPr>
        <w:t>单页HTML</w:t>
      </w:r>
    </w:p>
    <w:p w14:paraId="6F001343" w14:textId="77777777" w:rsidR="00A720EB" w:rsidRDefault="00E10349">
      <w:pPr>
        <w:pStyle w:val="a6"/>
        <w:numPr>
          <w:ilvl w:val="2"/>
          <w:numId w:val="79"/>
        </w:numPr>
        <w:tabs>
          <w:tab w:val="left" w:pos="485"/>
        </w:tabs>
        <w:spacing w:before="190"/>
        <w:rPr>
          <w:sz w:val="21"/>
        </w:rPr>
      </w:pPr>
      <w:hyperlink r:id="rId17">
        <w:r w:rsidR="0030286B">
          <w:rPr>
            <w:color w:val="418BCA"/>
            <w:w w:val="110"/>
            <w:sz w:val="21"/>
          </w:rPr>
          <w:t>PDF</w:t>
        </w:r>
      </w:hyperlink>
    </w:p>
    <w:p w14:paraId="70EFE806" w14:textId="77777777" w:rsidR="00A720EB" w:rsidRDefault="00A720EB">
      <w:pPr>
        <w:pStyle w:val="a3"/>
        <w:spacing w:before="4"/>
        <w:rPr>
          <w:sz w:val="26"/>
        </w:rPr>
      </w:pPr>
    </w:p>
    <w:p w14:paraId="3EA52398" w14:textId="15E1BA54" w:rsidR="00A720EB" w:rsidRDefault="0030286B">
      <w:pPr>
        <w:pStyle w:val="a3"/>
        <w:ind w:left="124"/>
        <w:rPr>
          <w:color w:val="333333"/>
          <w:w w:val="110"/>
        </w:rPr>
      </w:pPr>
      <w:r>
        <w:rPr>
          <w:color w:val="333333"/>
          <w:w w:val="110"/>
        </w:rPr>
        <w:t xml:space="preserve">The latest copy is available at </w:t>
      </w:r>
      <w:hyperlink r:id="rId18">
        <w:r>
          <w:rPr>
            <w:color w:val="418BCA"/>
            <w:w w:val="110"/>
          </w:rPr>
          <w:t>docs.spring.io/spring-boot/docs/current/reference/</w:t>
        </w:r>
      </w:hyperlink>
      <w:r>
        <w:rPr>
          <w:color w:val="333333"/>
          <w:w w:val="110"/>
        </w:rPr>
        <w:t>.</w:t>
      </w:r>
    </w:p>
    <w:p w14:paraId="0FB5DD1E" w14:textId="4EC79042" w:rsidR="008400B3" w:rsidRPr="008400B3" w:rsidRDefault="008400B3" w:rsidP="008400B3">
      <w:pPr>
        <w:pStyle w:val="a3"/>
        <w:spacing w:before="253" w:line="307" w:lineRule="auto"/>
        <w:ind w:left="124" w:right="123"/>
        <w:jc w:val="both"/>
        <w:rPr>
          <w:rFonts w:ascii="宋体" w:eastAsia="宋体" w:hAnsi="宋体" w:cs="宋体"/>
          <w:color w:val="E36C0A" w:themeColor="accent6" w:themeShade="BF"/>
          <w:w w:val="110"/>
          <w:sz w:val="18"/>
          <w:szCs w:val="18"/>
          <w:lang w:eastAsia="zh-CN"/>
        </w:rPr>
      </w:pPr>
      <w:r w:rsidRPr="008400B3">
        <w:rPr>
          <w:rFonts w:ascii="宋体" w:eastAsia="宋体" w:hAnsi="宋体" w:cs="宋体" w:hint="eastAsia"/>
          <w:color w:val="E36C0A" w:themeColor="accent6" w:themeShade="BF"/>
          <w:w w:val="110"/>
          <w:sz w:val="18"/>
          <w:szCs w:val="18"/>
          <w:lang w:eastAsia="zh-CN"/>
        </w:rPr>
        <w:t>最新的版本可以在</w:t>
      </w:r>
      <w:r w:rsidRPr="008400B3">
        <w:rPr>
          <w:rFonts w:ascii="宋体" w:eastAsia="宋体" w:hAnsi="宋体" w:cs="宋体"/>
          <w:color w:val="E36C0A" w:themeColor="accent6" w:themeShade="BF"/>
          <w:w w:val="110"/>
          <w:sz w:val="18"/>
          <w:szCs w:val="18"/>
          <w:lang w:eastAsia="zh-CN"/>
        </w:rPr>
        <w:t xml:space="preserve"> docs.spring.io/spring-boot/docs/current/reference/</w:t>
      </w:r>
      <w:r w:rsidRPr="008400B3">
        <w:rPr>
          <w:rFonts w:ascii="宋体" w:eastAsia="宋体" w:hAnsi="宋体" w:cs="宋体" w:hint="eastAsia"/>
          <w:color w:val="E36C0A" w:themeColor="accent6" w:themeShade="BF"/>
          <w:w w:val="110"/>
          <w:sz w:val="18"/>
          <w:szCs w:val="18"/>
          <w:lang w:eastAsia="zh-CN"/>
        </w:rPr>
        <w:t>网站上找到。</w:t>
      </w:r>
    </w:p>
    <w:p w14:paraId="605349F8" w14:textId="77777777" w:rsidR="00A720EB" w:rsidRDefault="00A720EB">
      <w:pPr>
        <w:pStyle w:val="a3"/>
        <w:spacing w:before="5"/>
        <w:rPr>
          <w:sz w:val="26"/>
        </w:rPr>
      </w:pPr>
    </w:p>
    <w:p w14:paraId="7649A16E" w14:textId="65D479E8" w:rsidR="00A720EB" w:rsidRDefault="0030286B">
      <w:pPr>
        <w:pStyle w:val="a3"/>
        <w:spacing w:line="307" w:lineRule="auto"/>
        <w:ind w:left="124" w:right="126"/>
        <w:jc w:val="both"/>
        <w:rPr>
          <w:color w:val="333333"/>
          <w:spacing w:val="-3"/>
          <w:w w:val="110"/>
        </w:rPr>
      </w:pPr>
      <w:r>
        <w:rPr>
          <w:color w:val="333333"/>
          <w:w w:val="110"/>
        </w:rPr>
        <w:t xml:space="preserve">Copies of this document may be made for your own use and for distribution to others, provided   </w:t>
      </w:r>
      <w:r>
        <w:rPr>
          <w:color w:val="333333"/>
          <w:spacing w:val="50"/>
          <w:w w:val="110"/>
        </w:rPr>
        <w:t xml:space="preserve"> </w:t>
      </w:r>
      <w:r>
        <w:rPr>
          <w:color w:val="333333"/>
          <w:w w:val="110"/>
        </w:rPr>
        <w:t>that you do not charge any fee for such copies and further provided that each copy contains this Copyright Notice, whether distributed in print or</w:t>
      </w:r>
      <w:r>
        <w:rPr>
          <w:color w:val="333333"/>
          <w:spacing w:val="23"/>
          <w:w w:val="110"/>
        </w:rPr>
        <w:t xml:space="preserve"> </w:t>
      </w:r>
      <w:r>
        <w:rPr>
          <w:color w:val="333333"/>
          <w:spacing w:val="-3"/>
          <w:w w:val="110"/>
        </w:rPr>
        <w:t>electronically.</w:t>
      </w:r>
    </w:p>
    <w:p w14:paraId="23559871" w14:textId="6C93F83D" w:rsidR="008400B3" w:rsidRPr="008400B3" w:rsidRDefault="008400B3" w:rsidP="008400B3">
      <w:pPr>
        <w:pStyle w:val="a3"/>
        <w:spacing w:before="253" w:line="307" w:lineRule="auto"/>
        <w:ind w:left="124" w:right="123"/>
        <w:jc w:val="both"/>
        <w:rPr>
          <w:rFonts w:ascii="宋体" w:eastAsia="宋体" w:hAnsi="宋体" w:cs="宋体"/>
          <w:color w:val="E36C0A" w:themeColor="accent6" w:themeShade="BF"/>
          <w:w w:val="110"/>
          <w:sz w:val="18"/>
          <w:szCs w:val="18"/>
          <w:lang w:eastAsia="zh-CN"/>
        </w:rPr>
      </w:pPr>
      <w:r w:rsidRPr="008400B3">
        <w:rPr>
          <w:rFonts w:ascii="宋体" w:eastAsia="宋体" w:hAnsi="宋体" w:cs="宋体" w:hint="eastAsia"/>
          <w:color w:val="E36C0A" w:themeColor="accent6" w:themeShade="BF"/>
          <w:w w:val="110"/>
          <w:sz w:val="18"/>
          <w:szCs w:val="18"/>
          <w:lang w:eastAsia="zh-CN"/>
        </w:rPr>
        <w:t>本文档的副本可以供您自己使用，也可以分发给他人，但前提是您</w:t>
      </w:r>
      <w:proofErr w:type="gramStart"/>
      <w:r w:rsidRPr="008400B3">
        <w:rPr>
          <w:rFonts w:ascii="宋体" w:eastAsia="宋体" w:hAnsi="宋体" w:cs="宋体" w:hint="eastAsia"/>
          <w:color w:val="E36C0A" w:themeColor="accent6" w:themeShade="BF"/>
          <w:w w:val="110"/>
          <w:sz w:val="18"/>
          <w:szCs w:val="18"/>
          <w:lang w:eastAsia="zh-CN"/>
        </w:rPr>
        <w:t>不</w:t>
      </w:r>
      <w:proofErr w:type="gramEnd"/>
      <w:r w:rsidRPr="008400B3">
        <w:rPr>
          <w:rFonts w:ascii="宋体" w:eastAsia="宋体" w:hAnsi="宋体" w:cs="宋体" w:hint="eastAsia"/>
          <w:color w:val="E36C0A" w:themeColor="accent6" w:themeShade="BF"/>
          <w:w w:val="110"/>
          <w:sz w:val="18"/>
          <w:szCs w:val="18"/>
          <w:lang w:eastAsia="zh-CN"/>
        </w:rPr>
        <w:t>对此类副本收取任何费用，并且还应确保每份副本均包含本版权声明（无论是印刷版本还是电子版本）。</w:t>
      </w:r>
    </w:p>
    <w:p w14:paraId="01C30036" w14:textId="77777777" w:rsidR="00A720EB" w:rsidRDefault="00A720EB">
      <w:pPr>
        <w:pStyle w:val="a3"/>
        <w:spacing w:before="11"/>
        <w:rPr>
          <w:sz w:val="25"/>
          <w:lang w:eastAsia="zh-CN"/>
        </w:rPr>
      </w:pPr>
    </w:p>
    <w:p w14:paraId="30EBC5D9" w14:textId="5AA1EFE6" w:rsidR="00A720EB" w:rsidRPr="008400B3" w:rsidRDefault="0030286B">
      <w:pPr>
        <w:pStyle w:val="2"/>
        <w:numPr>
          <w:ilvl w:val="1"/>
          <w:numId w:val="79"/>
        </w:numPr>
        <w:tabs>
          <w:tab w:val="left" w:pos="832"/>
        </w:tabs>
        <w:rPr>
          <w:color w:val="E36C0A" w:themeColor="accent6" w:themeShade="BF"/>
          <w:w w:val="105"/>
        </w:rPr>
      </w:pPr>
      <w:bookmarkStart w:id="9" w:name="1.2._Getting_Help"/>
      <w:bookmarkStart w:id="10" w:name="_Toc54423658"/>
      <w:bookmarkEnd w:id="9"/>
      <w:r>
        <w:rPr>
          <w:color w:val="333333"/>
          <w:w w:val="105"/>
        </w:rPr>
        <w:t>Getting</w:t>
      </w:r>
      <w:r>
        <w:rPr>
          <w:color w:val="333333"/>
          <w:spacing w:val="-2"/>
          <w:w w:val="105"/>
        </w:rPr>
        <w:t xml:space="preserve"> </w:t>
      </w:r>
      <w:r>
        <w:rPr>
          <w:color w:val="333333"/>
          <w:w w:val="105"/>
        </w:rPr>
        <w:t>Help</w:t>
      </w:r>
      <w:r w:rsidR="008400B3">
        <w:rPr>
          <w:color w:val="333333"/>
          <w:w w:val="105"/>
        </w:rPr>
        <w:t xml:space="preserve"> </w:t>
      </w:r>
      <w:r w:rsidR="008400B3" w:rsidRPr="008400B3">
        <w:rPr>
          <w:rFonts w:ascii="宋体" w:eastAsia="宋体" w:hAnsi="宋体" w:cs="宋体" w:hint="eastAsia"/>
          <w:color w:val="E36C0A" w:themeColor="accent6" w:themeShade="BF"/>
          <w:w w:val="105"/>
        </w:rPr>
        <w:t>获得帮助</w:t>
      </w:r>
      <w:bookmarkEnd w:id="10"/>
    </w:p>
    <w:p w14:paraId="6011F272" w14:textId="664CD8C7" w:rsidR="00A720EB" w:rsidRDefault="0030286B">
      <w:pPr>
        <w:pStyle w:val="a3"/>
        <w:spacing w:before="253"/>
        <w:ind w:left="124"/>
        <w:rPr>
          <w:color w:val="333333"/>
          <w:w w:val="110"/>
        </w:rPr>
      </w:pPr>
      <w:r>
        <w:rPr>
          <w:color w:val="333333"/>
          <w:w w:val="110"/>
        </w:rPr>
        <w:t>If you have trouble with Spring Boot, we would like to help.</w:t>
      </w:r>
    </w:p>
    <w:p w14:paraId="2D25396A" w14:textId="2A7E5B6F" w:rsidR="008400B3" w:rsidRPr="008400B3" w:rsidRDefault="008400B3" w:rsidP="008400B3">
      <w:pPr>
        <w:pStyle w:val="a3"/>
        <w:spacing w:before="253" w:line="307" w:lineRule="auto"/>
        <w:ind w:left="124" w:right="123"/>
        <w:jc w:val="both"/>
        <w:rPr>
          <w:rFonts w:ascii="宋体" w:eastAsia="宋体" w:hAnsi="宋体" w:cs="宋体"/>
          <w:color w:val="E36C0A" w:themeColor="accent6" w:themeShade="BF"/>
          <w:w w:val="110"/>
          <w:sz w:val="18"/>
          <w:szCs w:val="18"/>
          <w:lang w:eastAsia="zh-CN"/>
        </w:rPr>
      </w:pPr>
      <w:r w:rsidRPr="008400B3">
        <w:rPr>
          <w:rFonts w:ascii="宋体" w:eastAsia="宋体" w:hAnsi="宋体" w:cs="宋体" w:hint="eastAsia"/>
          <w:color w:val="E36C0A" w:themeColor="accent6" w:themeShade="BF"/>
          <w:w w:val="110"/>
          <w:sz w:val="18"/>
          <w:szCs w:val="18"/>
          <w:lang w:eastAsia="zh-CN"/>
        </w:rPr>
        <w:t>如果您在使用</w:t>
      </w:r>
      <w:r w:rsidRPr="008400B3">
        <w:rPr>
          <w:rFonts w:ascii="宋体" w:eastAsia="宋体" w:hAnsi="宋体" w:cs="宋体"/>
          <w:color w:val="E36C0A" w:themeColor="accent6" w:themeShade="BF"/>
          <w:w w:val="110"/>
          <w:sz w:val="18"/>
          <w:szCs w:val="18"/>
          <w:lang w:eastAsia="zh-CN"/>
        </w:rPr>
        <w:t>Spring Boot</w:t>
      </w:r>
      <w:r w:rsidRPr="008400B3">
        <w:rPr>
          <w:rFonts w:ascii="宋体" w:eastAsia="宋体" w:hAnsi="宋体" w:cs="宋体" w:hint="eastAsia"/>
          <w:color w:val="E36C0A" w:themeColor="accent6" w:themeShade="BF"/>
          <w:w w:val="110"/>
          <w:sz w:val="18"/>
          <w:szCs w:val="18"/>
          <w:lang w:eastAsia="zh-CN"/>
        </w:rPr>
        <w:t>时遇到问题，我们将为您提供帮助。</w:t>
      </w:r>
    </w:p>
    <w:p w14:paraId="2B8EDD60" w14:textId="77777777" w:rsidR="00A720EB" w:rsidRDefault="00A720EB">
      <w:pPr>
        <w:pStyle w:val="a3"/>
        <w:spacing w:before="4"/>
        <w:rPr>
          <w:sz w:val="26"/>
        </w:rPr>
      </w:pPr>
    </w:p>
    <w:p w14:paraId="22CF7D2D" w14:textId="2D577FBD" w:rsidR="00A720EB" w:rsidRPr="008400B3" w:rsidRDefault="0030286B">
      <w:pPr>
        <w:pStyle w:val="a6"/>
        <w:numPr>
          <w:ilvl w:val="2"/>
          <w:numId w:val="79"/>
        </w:numPr>
        <w:tabs>
          <w:tab w:val="left" w:pos="485"/>
        </w:tabs>
        <w:spacing w:before="1"/>
        <w:jc w:val="both"/>
        <w:rPr>
          <w:sz w:val="21"/>
        </w:rPr>
      </w:pPr>
      <w:r>
        <w:rPr>
          <w:color w:val="333333"/>
          <w:w w:val="110"/>
          <w:sz w:val="21"/>
        </w:rPr>
        <w:t xml:space="preserve">Try the </w:t>
      </w:r>
      <w:hyperlink w:anchor="_bookmark525" w:history="1">
        <w:r>
          <w:rPr>
            <w:color w:val="418BCA"/>
            <w:w w:val="110"/>
            <w:sz w:val="21"/>
          </w:rPr>
          <w:t xml:space="preserve">How-to </w:t>
        </w:r>
        <w:r>
          <w:rPr>
            <w:color w:val="418BCA"/>
            <w:w w:val="110"/>
            <w:sz w:val="21"/>
          </w:rPr>
          <w:t>d</w:t>
        </w:r>
        <w:r>
          <w:rPr>
            <w:color w:val="418BCA"/>
            <w:w w:val="110"/>
            <w:sz w:val="21"/>
          </w:rPr>
          <w:t>o</w:t>
        </w:r>
        <w:r>
          <w:rPr>
            <w:color w:val="418BCA"/>
            <w:w w:val="110"/>
            <w:sz w:val="21"/>
          </w:rPr>
          <w:t>c</w:t>
        </w:r>
        <w:r>
          <w:rPr>
            <w:color w:val="418BCA"/>
            <w:w w:val="110"/>
            <w:sz w:val="21"/>
          </w:rPr>
          <w:t>uments</w:t>
        </w:r>
      </w:hyperlink>
      <w:r>
        <w:rPr>
          <w:color w:val="333333"/>
          <w:w w:val="110"/>
          <w:sz w:val="21"/>
        </w:rPr>
        <w:t>. They provide solutions to the most common</w:t>
      </w:r>
      <w:r>
        <w:rPr>
          <w:color w:val="333333"/>
          <w:spacing w:val="27"/>
          <w:w w:val="110"/>
          <w:sz w:val="21"/>
        </w:rPr>
        <w:t xml:space="preserve"> </w:t>
      </w:r>
      <w:r>
        <w:rPr>
          <w:color w:val="333333"/>
          <w:w w:val="110"/>
          <w:sz w:val="21"/>
        </w:rPr>
        <w:t>questions.</w:t>
      </w:r>
    </w:p>
    <w:p w14:paraId="10CC4C48" w14:textId="7162851A" w:rsidR="008400B3" w:rsidRPr="008400B3" w:rsidRDefault="008400B3" w:rsidP="008400B3">
      <w:pPr>
        <w:pStyle w:val="a3"/>
        <w:numPr>
          <w:ilvl w:val="2"/>
          <w:numId w:val="79"/>
        </w:numPr>
        <w:spacing w:before="253" w:line="307" w:lineRule="auto"/>
        <w:ind w:right="123"/>
        <w:jc w:val="both"/>
        <w:rPr>
          <w:rFonts w:ascii="宋体" w:eastAsia="宋体" w:hAnsi="宋体" w:cs="宋体"/>
          <w:color w:val="E36C0A" w:themeColor="accent6" w:themeShade="BF"/>
          <w:w w:val="110"/>
          <w:sz w:val="18"/>
          <w:szCs w:val="18"/>
          <w:lang w:eastAsia="zh-CN"/>
        </w:rPr>
      </w:pPr>
      <w:r w:rsidRPr="008400B3">
        <w:rPr>
          <w:rFonts w:ascii="宋体" w:eastAsia="宋体" w:hAnsi="宋体" w:cs="宋体" w:hint="eastAsia"/>
          <w:color w:val="E36C0A" w:themeColor="accent6" w:themeShade="BF"/>
          <w:w w:val="110"/>
          <w:sz w:val="18"/>
          <w:szCs w:val="18"/>
          <w:lang w:eastAsia="zh-CN"/>
        </w:rPr>
        <w:t>尝试使用操作文档。它们为最常见的问题提供了解决方案。</w:t>
      </w:r>
    </w:p>
    <w:p w14:paraId="0D01DDE6" w14:textId="714F022B" w:rsidR="00A720EB" w:rsidRPr="008400B3" w:rsidRDefault="0030286B">
      <w:pPr>
        <w:pStyle w:val="a6"/>
        <w:numPr>
          <w:ilvl w:val="2"/>
          <w:numId w:val="79"/>
        </w:numPr>
        <w:tabs>
          <w:tab w:val="left" w:pos="485"/>
        </w:tabs>
        <w:spacing w:before="189" w:line="307" w:lineRule="auto"/>
        <w:ind w:right="122"/>
        <w:jc w:val="both"/>
        <w:rPr>
          <w:sz w:val="21"/>
        </w:rPr>
      </w:pPr>
      <w:r>
        <w:rPr>
          <w:color w:val="333333"/>
          <w:w w:val="110"/>
          <w:sz w:val="21"/>
        </w:rPr>
        <w:t xml:space="preserve">Learn the Spring basics. Spring Boot builds on many other Spring projects. Check the </w:t>
      </w:r>
      <w:hyperlink r:id="rId19">
        <w:r>
          <w:rPr>
            <w:color w:val="418BCA"/>
            <w:w w:val="110"/>
            <w:sz w:val="21"/>
          </w:rPr>
          <w:t>spring.io</w:t>
        </w:r>
      </w:hyperlink>
      <w:r>
        <w:rPr>
          <w:color w:val="418BCA"/>
          <w:w w:val="110"/>
          <w:sz w:val="21"/>
        </w:rPr>
        <w:t xml:space="preserve"> </w:t>
      </w:r>
      <w:r>
        <w:rPr>
          <w:color w:val="333333"/>
          <w:w w:val="110"/>
          <w:sz w:val="21"/>
        </w:rPr>
        <w:t>web-site for a wealth of reference documentation. If you are starting out with Spring, try one of the</w:t>
      </w:r>
      <w:r>
        <w:rPr>
          <w:color w:val="333333"/>
          <w:spacing w:val="2"/>
          <w:w w:val="110"/>
          <w:sz w:val="21"/>
        </w:rPr>
        <w:t xml:space="preserve"> </w:t>
      </w:r>
      <w:hyperlink r:id="rId20">
        <w:r>
          <w:rPr>
            <w:color w:val="418BCA"/>
            <w:w w:val="110"/>
            <w:sz w:val="21"/>
          </w:rPr>
          <w:t>guides</w:t>
        </w:r>
      </w:hyperlink>
      <w:r>
        <w:rPr>
          <w:color w:val="333333"/>
          <w:w w:val="110"/>
          <w:sz w:val="21"/>
        </w:rPr>
        <w:t>.</w:t>
      </w:r>
    </w:p>
    <w:p w14:paraId="7F132F6B" w14:textId="73D7E18A" w:rsidR="008400B3" w:rsidRPr="008400B3" w:rsidRDefault="008400B3" w:rsidP="008400B3">
      <w:pPr>
        <w:pStyle w:val="a3"/>
        <w:numPr>
          <w:ilvl w:val="2"/>
          <w:numId w:val="79"/>
        </w:numPr>
        <w:spacing w:before="253" w:line="307" w:lineRule="auto"/>
        <w:ind w:right="123"/>
        <w:jc w:val="both"/>
        <w:rPr>
          <w:rFonts w:ascii="宋体" w:eastAsia="宋体" w:hAnsi="宋体" w:cs="宋体"/>
          <w:color w:val="E36C0A" w:themeColor="accent6" w:themeShade="BF"/>
          <w:w w:val="110"/>
          <w:sz w:val="18"/>
          <w:szCs w:val="18"/>
          <w:lang w:eastAsia="zh-CN"/>
        </w:rPr>
      </w:pPr>
      <w:r w:rsidRPr="008400B3">
        <w:rPr>
          <w:rFonts w:ascii="宋体" w:eastAsia="宋体" w:hAnsi="宋体" w:cs="宋体" w:hint="eastAsia"/>
          <w:color w:val="E36C0A" w:themeColor="accent6" w:themeShade="BF"/>
          <w:w w:val="110"/>
          <w:sz w:val="18"/>
          <w:szCs w:val="18"/>
          <w:lang w:eastAsia="zh-CN"/>
        </w:rPr>
        <w:t>学习</w:t>
      </w:r>
      <w:r w:rsidRPr="008400B3">
        <w:rPr>
          <w:rFonts w:ascii="宋体" w:eastAsia="宋体" w:hAnsi="宋体" w:cs="宋体"/>
          <w:color w:val="E36C0A" w:themeColor="accent6" w:themeShade="BF"/>
          <w:w w:val="110"/>
          <w:sz w:val="18"/>
          <w:szCs w:val="18"/>
          <w:lang w:eastAsia="zh-CN"/>
        </w:rPr>
        <w:t xml:space="preserve"> Spring </w:t>
      </w:r>
      <w:r w:rsidRPr="008400B3">
        <w:rPr>
          <w:rFonts w:ascii="宋体" w:eastAsia="宋体" w:hAnsi="宋体" w:cs="宋体" w:hint="eastAsia"/>
          <w:color w:val="E36C0A" w:themeColor="accent6" w:themeShade="BF"/>
          <w:w w:val="110"/>
          <w:sz w:val="18"/>
          <w:szCs w:val="18"/>
          <w:lang w:eastAsia="zh-CN"/>
        </w:rPr>
        <w:t>的基础知识。</w:t>
      </w:r>
      <w:r w:rsidRPr="008400B3">
        <w:rPr>
          <w:rFonts w:ascii="宋体" w:eastAsia="宋体" w:hAnsi="宋体" w:cs="宋体"/>
          <w:color w:val="E36C0A" w:themeColor="accent6" w:themeShade="BF"/>
          <w:w w:val="110"/>
          <w:sz w:val="18"/>
          <w:szCs w:val="18"/>
          <w:lang w:eastAsia="zh-CN"/>
        </w:rPr>
        <w:t xml:space="preserve">Spring Boot </w:t>
      </w:r>
      <w:r w:rsidRPr="008400B3">
        <w:rPr>
          <w:rFonts w:ascii="宋体" w:eastAsia="宋体" w:hAnsi="宋体" w:cs="宋体" w:hint="eastAsia"/>
          <w:color w:val="E36C0A" w:themeColor="accent6" w:themeShade="BF"/>
          <w:w w:val="110"/>
          <w:sz w:val="18"/>
          <w:szCs w:val="18"/>
          <w:lang w:eastAsia="zh-CN"/>
        </w:rPr>
        <w:t>基于许多其他</w:t>
      </w:r>
      <w:r w:rsidRPr="008400B3">
        <w:rPr>
          <w:rFonts w:ascii="宋体" w:eastAsia="宋体" w:hAnsi="宋体" w:cs="宋体"/>
          <w:color w:val="E36C0A" w:themeColor="accent6" w:themeShade="BF"/>
          <w:w w:val="110"/>
          <w:sz w:val="18"/>
          <w:szCs w:val="18"/>
          <w:lang w:eastAsia="zh-CN"/>
        </w:rPr>
        <w:t xml:space="preserve"> Spring </w:t>
      </w:r>
      <w:r w:rsidRPr="008400B3">
        <w:rPr>
          <w:rFonts w:ascii="宋体" w:eastAsia="宋体" w:hAnsi="宋体" w:cs="宋体" w:hint="eastAsia"/>
          <w:color w:val="E36C0A" w:themeColor="accent6" w:themeShade="BF"/>
          <w:w w:val="110"/>
          <w:sz w:val="18"/>
          <w:szCs w:val="18"/>
          <w:lang w:eastAsia="zh-CN"/>
        </w:rPr>
        <w:t>项目。在</w:t>
      </w:r>
      <w:r w:rsidRPr="008400B3">
        <w:rPr>
          <w:rFonts w:ascii="宋体" w:eastAsia="宋体" w:hAnsi="宋体" w:cs="宋体"/>
          <w:color w:val="E36C0A" w:themeColor="accent6" w:themeShade="BF"/>
          <w:w w:val="110"/>
          <w:sz w:val="18"/>
          <w:szCs w:val="18"/>
          <w:lang w:eastAsia="zh-CN"/>
        </w:rPr>
        <w:t xml:space="preserve"> spring.io </w:t>
      </w:r>
      <w:r w:rsidRPr="008400B3">
        <w:rPr>
          <w:rFonts w:ascii="宋体" w:eastAsia="宋体" w:hAnsi="宋体" w:cs="宋体" w:hint="eastAsia"/>
          <w:color w:val="E36C0A" w:themeColor="accent6" w:themeShade="BF"/>
          <w:w w:val="110"/>
          <w:sz w:val="18"/>
          <w:szCs w:val="18"/>
          <w:lang w:eastAsia="zh-CN"/>
        </w:rPr>
        <w:t>网站上查找大量的参考文档。如果你是从</w:t>
      </w:r>
      <w:r w:rsidRPr="008400B3">
        <w:rPr>
          <w:rFonts w:ascii="宋体" w:eastAsia="宋体" w:hAnsi="宋体" w:cs="宋体"/>
          <w:color w:val="E36C0A" w:themeColor="accent6" w:themeShade="BF"/>
          <w:w w:val="110"/>
          <w:sz w:val="18"/>
          <w:szCs w:val="18"/>
          <w:lang w:eastAsia="zh-CN"/>
        </w:rPr>
        <w:t xml:space="preserve"> Spring </w:t>
      </w:r>
      <w:r w:rsidRPr="008400B3">
        <w:rPr>
          <w:rFonts w:ascii="宋体" w:eastAsia="宋体" w:hAnsi="宋体" w:cs="宋体" w:hint="eastAsia"/>
          <w:color w:val="E36C0A" w:themeColor="accent6" w:themeShade="BF"/>
          <w:w w:val="110"/>
          <w:sz w:val="18"/>
          <w:szCs w:val="18"/>
          <w:lang w:eastAsia="zh-CN"/>
        </w:rPr>
        <w:t>开始的，试试其中一个指南。</w:t>
      </w:r>
    </w:p>
    <w:p w14:paraId="1BAA7D06" w14:textId="5CACA709" w:rsidR="00A720EB" w:rsidRPr="008400B3" w:rsidRDefault="0030286B">
      <w:pPr>
        <w:pStyle w:val="a6"/>
        <w:numPr>
          <w:ilvl w:val="2"/>
          <w:numId w:val="79"/>
        </w:numPr>
        <w:tabs>
          <w:tab w:val="left" w:pos="485"/>
        </w:tabs>
        <w:spacing w:before="111"/>
        <w:jc w:val="both"/>
        <w:rPr>
          <w:sz w:val="21"/>
        </w:rPr>
      </w:pPr>
      <w:r>
        <w:rPr>
          <w:color w:val="333333"/>
          <w:w w:val="110"/>
          <w:sz w:val="21"/>
        </w:rPr>
        <w:t xml:space="preserve">Ask a question. </w:t>
      </w:r>
      <w:r>
        <w:rPr>
          <w:color w:val="333333"/>
          <w:spacing w:val="-7"/>
          <w:w w:val="110"/>
          <w:sz w:val="21"/>
        </w:rPr>
        <w:t xml:space="preserve">We </w:t>
      </w:r>
      <w:r>
        <w:rPr>
          <w:color w:val="333333"/>
          <w:w w:val="110"/>
          <w:sz w:val="21"/>
        </w:rPr>
        <w:t xml:space="preserve">monitor </w:t>
      </w:r>
      <w:hyperlink r:id="rId21">
        <w:r>
          <w:rPr>
            <w:color w:val="418BCA"/>
            <w:w w:val="110"/>
            <w:sz w:val="21"/>
          </w:rPr>
          <w:t xml:space="preserve">stackoverflow.com </w:t>
        </w:r>
      </w:hyperlink>
      <w:r>
        <w:rPr>
          <w:color w:val="333333"/>
          <w:w w:val="110"/>
          <w:sz w:val="21"/>
        </w:rPr>
        <w:t>for questions tagged with</w:t>
      </w:r>
      <w:r>
        <w:rPr>
          <w:color w:val="333333"/>
          <w:spacing w:val="15"/>
          <w:w w:val="110"/>
          <w:sz w:val="21"/>
        </w:rPr>
        <w:t xml:space="preserve"> </w:t>
      </w:r>
      <w:hyperlink r:id="rId22">
        <w:r>
          <w:rPr>
            <w:rFonts w:ascii="MS Gothic" w:hAnsi="MS Gothic"/>
            <w:color w:val="B02045"/>
            <w:w w:val="110"/>
            <w:sz w:val="21"/>
          </w:rPr>
          <w:t>spring-boot</w:t>
        </w:r>
      </w:hyperlink>
      <w:r>
        <w:rPr>
          <w:color w:val="333333"/>
          <w:w w:val="110"/>
          <w:sz w:val="21"/>
        </w:rPr>
        <w:t>.</w:t>
      </w:r>
    </w:p>
    <w:p w14:paraId="6690F6D5" w14:textId="41BB2BF3" w:rsidR="008400B3" w:rsidRPr="008400B3" w:rsidRDefault="008400B3" w:rsidP="008400B3">
      <w:pPr>
        <w:pStyle w:val="a3"/>
        <w:numPr>
          <w:ilvl w:val="2"/>
          <w:numId w:val="79"/>
        </w:numPr>
        <w:spacing w:before="253" w:line="307" w:lineRule="auto"/>
        <w:ind w:right="123"/>
        <w:jc w:val="both"/>
        <w:rPr>
          <w:rFonts w:ascii="宋体" w:eastAsia="宋体" w:hAnsi="宋体" w:cs="宋体"/>
          <w:color w:val="E36C0A" w:themeColor="accent6" w:themeShade="BF"/>
          <w:w w:val="110"/>
          <w:sz w:val="18"/>
          <w:szCs w:val="18"/>
          <w:lang w:eastAsia="zh-CN"/>
        </w:rPr>
      </w:pPr>
      <w:r w:rsidRPr="008400B3">
        <w:rPr>
          <w:rFonts w:ascii="宋体" w:eastAsia="宋体" w:hAnsi="宋体" w:cs="宋体" w:hint="eastAsia"/>
          <w:color w:val="E36C0A" w:themeColor="accent6" w:themeShade="BF"/>
          <w:w w:val="110"/>
          <w:sz w:val="18"/>
          <w:szCs w:val="18"/>
          <w:lang w:eastAsia="zh-CN"/>
        </w:rPr>
        <w:t>问一个问题。</w:t>
      </w:r>
      <w:r w:rsidRPr="008400B3">
        <w:rPr>
          <w:rFonts w:ascii="宋体" w:eastAsia="宋体" w:hAnsi="宋体" w:cs="宋体"/>
          <w:color w:val="E36C0A" w:themeColor="accent6" w:themeShade="BF"/>
          <w:w w:val="110"/>
          <w:sz w:val="18"/>
          <w:szCs w:val="18"/>
          <w:lang w:eastAsia="zh-CN"/>
        </w:rPr>
        <w:t xml:space="preserve"> </w:t>
      </w:r>
      <w:r w:rsidRPr="008400B3">
        <w:rPr>
          <w:rFonts w:ascii="宋体" w:eastAsia="宋体" w:hAnsi="宋体" w:cs="宋体" w:hint="eastAsia"/>
          <w:color w:val="E36C0A" w:themeColor="accent6" w:themeShade="BF"/>
          <w:w w:val="110"/>
          <w:sz w:val="18"/>
          <w:szCs w:val="18"/>
          <w:lang w:eastAsia="zh-CN"/>
        </w:rPr>
        <w:t>我们会监视</w:t>
      </w:r>
      <w:r w:rsidRPr="008400B3">
        <w:rPr>
          <w:rFonts w:ascii="宋体" w:eastAsia="宋体" w:hAnsi="宋体" w:cs="宋体"/>
          <w:color w:val="E36C0A" w:themeColor="accent6" w:themeShade="BF"/>
          <w:w w:val="110"/>
          <w:sz w:val="18"/>
          <w:szCs w:val="18"/>
          <w:lang w:eastAsia="zh-CN"/>
        </w:rPr>
        <w:t>stackoverflow.com</w:t>
      </w:r>
      <w:r w:rsidRPr="008400B3">
        <w:rPr>
          <w:rFonts w:ascii="宋体" w:eastAsia="宋体" w:hAnsi="宋体" w:cs="宋体" w:hint="eastAsia"/>
          <w:color w:val="E36C0A" w:themeColor="accent6" w:themeShade="BF"/>
          <w:w w:val="110"/>
          <w:sz w:val="18"/>
          <w:szCs w:val="18"/>
          <w:lang w:eastAsia="zh-CN"/>
        </w:rPr>
        <w:t>，以查看带有</w:t>
      </w:r>
      <w:r w:rsidRPr="008400B3">
        <w:rPr>
          <w:rFonts w:ascii="宋体" w:eastAsia="宋体" w:hAnsi="宋体" w:cs="宋体"/>
          <w:color w:val="E36C0A" w:themeColor="accent6" w:themeShade="BF"/>
          <w:w w:val="110"/>
          <w:sz w:val="18"/>
          <w:szCs w:val="18"/>
          <w:lang w:eastAsia="zh-CN"/>
        </w:rPr>
        <w:t>spring-boot</w:t>
      </w:r>
      <w:r w:rsidRPr="008400B3">
        <w:rPr>
          <w:rFonts w:ascii="宋体" w:eastAsia="宋体" w:hAnsi="宋体" w:cs="宋体" w:hint="eastAsia"/>
          <w:color w:val="E36C0A" w:themeColor="accent6" w:themeShade="BF"/>
          <w:w w:val="110"/>
          <w:sz w:val="18"/>
          <w:szCs w:val="18"/>
          <w:lang w:eastAsia="zh-CN"/>
        </w:rPr>
        <w:t>标签的问题。</w:t>
      </w:r>
    </w:p>
    <w:p w14:paraId="768B190E" w14:textId="521A9418" w:rsidR="00A720EB" w:rsidRPr="008400B3" w:rsidRDefault="0030286B">
      <w:pPr>
        <w:pStyle w:val="a6"/>
        <w:numPr>
          <w:ilvl w:val="2"/>
          <w:numId w:val="79"/>
        </w:numPr>
        <w:tabs>
          <w:tab w:val="left" w:pos="485"/>
        </w:tabs>
        <w:spacing w:before="177"/>
        <w:jc w:val="both"/>
        <w:rPr>
          <w:sz w:val="21"/>
        </w:rPr>
      </w:pPr>
      <w:r>
        <w:rPr>
          <w:color w:val="333333"/>
          <w:w w:val="110"/>
          <w:sz w:val="21"/>
        </w:rPr>
        <w:t>Report bugs with Spring Boot at</w:t>
      </w:r>
      <w:r>
        <w:rPr>
          <w:color w:val="333333"/>
          <w:spacing w:val="-10"/>
          <w:w w:val="110"/>
          <w:sz w:val="21"/>
        </w:rPr>
        <w:t xml:space="preserve"> </w:t>
      </w:r>
      <w:hyperlink r:id="rId23">
        <w:r>
          <w:rPr>
            <w:color w:val="418BCA"/>
            <w:w w:val="110"/>
            <w:sz w:val="21"/>
          </w:rPr>
          <w:t>github.com/spring-projects/spring-boot/issues</w:t>
        </w:r>
      </w:hyperlink>
      <w:r>
        <w:rPr>
          <w:color w:val="333333"/>
          <w:w w:val="110"/>
          <w:sz w:val="21"/>
        </w:rPr>
        <w:t>.</w:t>
      </w:r>
    </w:p>
    <w:p w14:paraId="60B04DC9" w14:textId="6913F876" w:rsidR="008400B3" w:rsidRPr="008400B3" w:rsidRDefault="008400B3" w:rsidP="008400B3">
      <w:pPr>
        <w:pStyle w:val="a3"/>
        <w:numPr>
          <w:ilvl w:val="2"/>
          <w:numId w:val="79"/>
        </w:numPr>
        <w:spacing w:before="253" w:line="307" w:lineRule="auto"/>
        <w:ind w:right="123"/>
        <w:jc w:val="both"/>
        <w:rPr>
          <w:rFonts w:ascii="宋体" w:eastAsia="宋体" w:hAnsi="宋体" w:cs="宋体"/>
          <w:color w:val="E36C0A" w:themeColor="accent6" w:themeShade="BF"/>
          <w:w w:val="110"/>
          <w:sz w:val="18"/>
          <w:szCs w:val="18"/>
          <w:lang w:eastAsia="zh-CN"/>
        </w:rPr>
      </w:pPr>
      <w:r w:rsidRPr="008400B3">
        <w:rPr>
          <w:rFonts w:ascii="宋体" w:eastAsia="宋体" w:hAnsi="宋体" w:cs="宋体" w:hint="eastAsia"/>
          <w:color w:val="E36C0A" w:themeColor="accent6" w:themeShade="BF"/>
          <w:w w:val="110"/>
          <w:sz w:val="18"/>
          <w:szCs w:val="18"/>
          <w:lang w:eastAsia="zh-CN"/>
        </w:rPr>
        <w:t>通过</w:t>
      </w:r>
      <w:r w:rsidRPr="008400B3">
        <w:rPr>
          <w:rFonts w:ascii="宋体" w:eastAsia="宋体" w:hAnsi="宋体" w:cs="宋体"/>
          <w:color w:val="E36C0A" w:themeColor="accent6" w:themeShade="BF"/>
          <w:w w:val="110"/>
          <w:sz w:val="18"/>
          <w:szCs w:val="18"/>
          <w:lang w:eastAsia="zh-CN"/>
        </w:rPr>
        <w:t>github.com/spring-projects/spring-boot/issues</w:t>
      </w:r>
      <w:r w:rsidRPr="008400B3">
        <w:rPr>
          <w:rFonts w:ascii="宋体" w:eastAsia="宋体" w:hAnsi="宋体" w:cs="宋体" w:hint="eastAsia"/>
          <w:color w:val="E36C0A" w:themeColor="accent6" w:themeShade="BF"/>
          <w:w w:val="110"/>
          <w:sz w:val="18"/>
          <w:szCs w:val="18"/>
          <w:lang w:eastAsia="zh-CN"/>
        </w:rPr>
        <w:t>报告</w:t>
      </w:r>
      <w:r w:rsidRPr="008400B3">
        <w:rPr>
          <w:rFonts w:ascii="宋体" w:eastAsia="宋体" w:hAnsi="宋体" w:cs="宋体"/>
          <w:color w:val="E36C0A" w:themeColor="accent6" w:themeShade="BF"/>
          <w:w w:val="110"/>
          <w:sz w:val="18"/>
          <w:szCs w:val="18"/>
          <w:lang w:eastAsia="zh-CN"/>
        </w:rPr>
        <w:t>Spring Boot</w:t>
      </w:r>
      <w:r w:rsidRPr="008400B3">
        <w:rPr>
          <w:rFonts w:ascii="宋体" w:eastAsia="宋体" w:hAnsi="宋体" w:cs="宋体" w:hint="eastAsia"/>
          <w:color w:val="E36C0A" w:themeColor="accent6" w:themeShade="BF"/>
          <w:w w:val="110"/>
          <w:sz w:val="18"/>
          <w:szCs w:val="18"/>
          <w:lang w:eastAsia="zh-CN"/>
        </w:rPr>
        <w:t>的</w:t>
      </w:r>
      <w:r w:rsidR="00DC565C">
        <w:rPr>
          <w:rFonts w:ascii="宋体" w:eastAsia="宋体" w:hAnsi="宋体" w:cs="宋体" w:hint="eastAsia"/>
          <w:color w:val="E36C0A" w:themeColor="accent6" w:themeShade="BF"/>
          <w:w w:val="110"/>
          <w:sz w:val="18"/>
          <w:szCs w:val="18"/>
          <w:lang w:eastAsia="zh-CN"/>
        </w:rPr>
        <w:t>bug</w:t>
      </w:r>
      <w:r w:rsidRPr="008400B3">
        <w:rPr>
          <w:rFonts w:ascii="宋体" w:eastAsia="宋体" w:hAnsi="宋体" w:cs="宋体" w:hint="eastAsia"/>
          <w:color w:val="E36C0A" w:themeColor="accent6" w:themeShade="BF"/>
          <w:w w:val="110"/>
          <w:sz w:val="18"/>
          <w:szCs w:val="18"/>
          <w:lang w:eastAsia="zh-CN"/>
        </w:rPr>
        <w:t>。</w:t>
      </w:r>
    </w:p>
    <w:p w14:paraId="514D3209" w14:textId="77777777" w:rsidR="00A720EB" w:rsidRDefault="00A720EB">
      <w:pPr>
        <w:pStyle w:val="a3"/>
        <w:spacing w:before="2"/>
        <w:rPr>
          <w:sz w:val="33"/>
        </w:rPr>
      </w:pPr>
    </w:p>
    <w:p w14:paraId="1985582A" w14:textId="465ADF78" w:rsidR="00A720EB" w:rsidRDefault="00E10349">
      <w:pPr>
        <w:pStyle w:val="a3"/>
        <w:spacing w:line="307" w:lineRule="auto"/>
        <w:ind w:left="1564" w:right="462"/>
        <w:rPr>
          <w:color w:val="333333"/>
          <w:w w:val="110"/>
        </w:rPr>
      </w:pPr>
      <w:r>
        <w:pict w14:anchorId="137CE62B">
          <v:line id="_x0000_s5012" style="position:absolute;left:0;text-align:left;z-index:15728640;mso-position-horizontal-relative:page" from="108.25pt,-6pt" to="108.25pt,33.55pt" strokecolor="#ededed" strokeweight=".5pt">
            <w10:wrap anchorx="page"/>
          </v:line>
        </w:pict>
      </w:r>
      <w:r w:rsidR="0030286B">
        <w:rPr>
          <w:noProof/>
        </w:rPr>
        <w:drawing>
          <wp:anchor distT="0" distB="0" distL="0" distR="0" simplePos="0" relativeHeight="15729152" behindDoc="0" locked="0" layoutInCell="1" allowOverlap="1" wp14:anchorId="3996B6EB" wp14:editId="65F43128">
            <wp:simplePos x="0" y="0"/>
            <wp:positionH relativeFrom="page">
              <wp:posOffset>844422</wp:posOffset>
            </wp:positionH>
            <wp:positionV relativeFrom="paragraph">
              <wp:posOffset>25946</wp:posOffset>
            </wp:positionV>
            <wp:extent cx="298450" cy="2984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All of Spring Boot is open source, including the documentation. If you  find  problems with the docs or if you want to improve them, please</w:t>
      </w:r>
      <w:r w:rsidR="0030286B">
        <w:rPr>
          <w:color w:val="333333"/>
          <w:spacing w:val="14"/>
          <w:w w:val="110"/>
        </w:rPr>
        <w:t xml:space="preserve"> </w:t>
      </w:r>
      <w:hyperlink r:id="rId25">
        <w:r w:rsidR="0030286B">
          <w:rPr>
            <w:color w:val="418BCA"/>
            <w:w w:val="110"/>
          </w:rPr>
          <w:t>get involved</w:t>
        </w:r>
      </w:hyperlink>
      <w:r w:rsidR="0030286B">
        <w:rPr>
          <w:color w:val="333333"/>
          <w:w w:val="110"/>
        </w:rPr>
        <w:t>.</w:t>
      </w:r>
    </w:p>
    <w:p w14:paraId="273BCC12" w14:textId="31D0819A" w:rsidR="00AC0560" w:rsidRPr="00AC0560" w:rsidRDefault="00AC0560" w:rsidP="00AC0560">
      <w:pPr>
        <w:pStyle w:val="a3"/>
        <w:spacing w:before="253" w:line="307" w:lineRule="auto"/>
        <w:ind w:left="484" w:right="123"/>
        <w:jc w:val="both"/>
        <w:rPr>
          <w:rFonts w:ascii="宋体" w:eastAsia="宋体" w:hAnsi="宋体" w:cs="宋体"/>
          <w:color w:val="E36C0A" w:themeColor="accent6" w:themeShade="BF"/>
          <w:w w:val="110"/>
          <w:sz w:val="18"/>
          <w:szCs w:val="18"/>
          <w:lang w:eastAsia="zh-CN"/>
        </w:rPr>
      </w:pPr>
      <w:r w:rsidRPr="00AC0560">
        <w:rPr>
          <w:rFonts w:ascii="宋体" w:eastAsia="宋体" w:hAnsi="宋体" w:cs="宋体"/>
          <w:color w:val="E36C0A" w:themeColor="accent6" w:themeShade="BF"/>
          <w:w w:val="110"/>
          <w:sz w:val="18"/>
          <w:szCs w:val="18"/>
          <w:lang w:eastAsia="zh-CN"/>
        </w:rPr>
        <w:t xml:space="preserve">Spring Boot </w:t>
      </w:r>
      <w:r w:rsidRPr="00AC0560">
        <w:rPr>
          <w:rFonts w:ascii="宋体" w:eastAsia="宋体" w:hAnsi="宋体" w:cs="宋体" w:hint="eastAsia"/>
          <w:color w:val="E36C0A" w:themeColor="accent6" w:themeShade="BF"/>
          <w:w w:val="110"/>
          <w:sz w:val="18"/>
          <w:szCs w:val="18"/>
          <w:lang w:eastAsia="zh-CN"/>
        </w:rPr>
        <w:t>的所有内容都是开源的，包括文档。如果你发现文档有问题或者你想改进它们，请参与进来。</w:t>
      </w:r>
    </w:p>
    <w:p w14:paraId="2B941561" w14:textId="77777777" w:rsidR="00A720EB" w:rsidRDefault="00A720EB">
      <w:pPr>
        <w:pStyle w:val="a3"/>
        <w:spacing w:before="9"/>
        <w:rPr>
          <w:sz w:val="32"/>
          <w:lang w:eastAsia="zh-CN"/>
        </w:rPr>
      </w:pPr>
    </w:p>
    <w:p w14:paraId="6B050712" w14:textId="0AECE97A" w:rsidR="00A720EB" w:rsidRPr="00AC0560" w:rsidRDefault="0030286B">
      <w:pPr>
        <w:pStyle w:val="2"/>
        <w:numPr>
          <w:ilvl w:val="1"/>
          <w:numId w:val="79"/>
        </w:numPr>
        <w:tabs>
          <w:tab w:val="left" w:pos="832"/>
        </w:tabs>
        <w:rPr>
          <w:color w:val="E36C0A" w:themeColor="accent6" w:themeShade="BF"/>
        </w:rPr>
      </w:pPr>
      <w:bookmarkStart w:id="11" w:name="1.3._First_Steps"/>
      <w:bookmarkStart w:id="12" w:name="_Toc54423659"/>
      <w:bookmarkEnd w:id="11"/>
      <w:r>
        <w:rPr>
          <w:color w:val="333333"/>
          <w:w w:val="110"/>
        </w:rPr>
        <w:t>First</w:t>
      </w:r>
      <w:r>
        <w:rPr>
          <w:color w:val="333333"/>
          <w:spacing w:val="-6"/>
          <w:w w:val="110"/>
        </w:rPr>
        <w:t xml:space="preserve"> </w:t>
      </w:r>
      <w:r>
        <w:rPr>
          <w:color w:val="333333"/>
          <w:w w:val="110"/>
        </w:rPr>
        <w:t>Steps</w:t>
      </w:r>
      <w:r w:rsidR="00AC0560">
        <w:rPr>
          <w:color w:val="333333"/>
          <w:w w:val="110"/>
        </w:rPr>
        <w:t xml:space="preserve"> </w:t>
      </w:r>
      <w:r w:rsidR="00AC0560" w:rsidRPr="00AC0560">
        <w:rPr>
          <w:rFonts w:ascii="宋体" w:eastAsia="宋体" w:hAnsi="宋体" w:cs="宋体" w:hint="eastAsia"/>
          <w:color w:val="E36C0A" w:themeColor="accent6" w:themeShade="BF"/>
          <w:w w:val="110"/>
        </w:rPr>
        <w:t>第一步</w:t>
      </w:r>
      <w:bookmarkEnd w:id="12"/>
    </w:p>
    <w:p w14:paraId="3AED3FC4" w14:textId="688FFC54" w:rsidR="00A720EB" w:rsidRDefault="0030286B">
      <w:pPr>
        <w:pStyle w:val="a3"/>
        <w:spacing w:before="253"/>
        <w:ind w:left="124"/>
        <w:rPr>
          <w:color w:val="333333"/>
          <w:w w:val="110"/>
        </w:rPr>
      </w:pPr>
      <w:r>
        <w:rPr>
          <w:color w:val="333333"/>
          <w:w w:val="110"/>
        </w:rPr>
        <w:t xml:space="preserve">If you are getting started with Spring Boot or 'Spring' in general, start with </w:t>
      </w:r>
      <w:hyperlink w:anchor="_bookmark9" w:history="1">
        <w:r>
          <w:rPr>
            <w:color w:val="418BCA"/>
            <w:w w:val="110"/>
          </w:rPr>
          <w:t>the following topics</w:t>
        </w:r>
      </w:hyperlink>
      <w:r>
        <w:rPr>
          <w:color w:val="333333"/>
          <w:w w:val="110"/>
        </w:rPr>
        <w:t>:</w:t>
      </w:r>
    </w:p>
    <w:p w14:paraId="76D0232A" w14:textId="6E706D23" w:rsidR="00F722CD" w:rsidRDefault="00F722CD" w:rsidP="00F722CD">
      <w:pPr>
        <w:pStyle w:val="a3"/>
        <w:spacing w:before="253" w:line="307" w:lineRule="auto"/>
        <w:ind w:left="484" w:right="123"/>
        <w:jc w:val="both"/>
      </w:pPr>
      <w:r w:rsidRPr="00F722CD">
        <w:rPr>
          <w:rFonts w:ascii="宋体" w:eastAsia="宋体" w:hAnsi="宋体" w:cs="宋体" w:hint="eastAsia"/>
          <w:color w:val="E36C0A" w:themeColor="accent6" w:themeShade="BF"/>
          <w:w w:val="110"/>
          <w:sz w:val="18"/>
          <w:szCs w:val="18"/>
          <w:lang w:eastAsia="zh-CN"/>
        </w:rPr>
        <w:t>如果你刚开始使用</w:t>
      </w:r>
      <w:r w:rsidRPr="00F722CD">
        <w:rPr>
          <w:rFonts w:ascii="宋体" w:eastAsia="宋体" w:hAnsi="宋体" w:cs="宋体"/>
          <w:color w:val="E36C0A" w:themeColor="accent6" w:themeShade="BF"/>
          <w:w w:val="110"/>
          <w:sz w:val="18"/>
          <w:szCs w:val="18"/>
          <w:lang w:eastAsia="zh-CN"/>
        </w:rPr>
        <w:t xml:space="preserve"> Spring Boot </w:t>
      </w:r>
      <w:r w:rsidRPr="00F722CD">
        <w:rPr>
          <w:rFonts w:ascii="宋体" w:eastAsia="宋体" w:hAnsi="宋体" w:cs="宋体" w:hint="eastAsia"/>
          <w:color w:val="E36C0A" w:themeColor="accent6" w:themeShade="BF"/>
          <w:w w:val="110"/>
          <w:sz w:val="18"/>
          <w:szCs w:val="18"/>
          <w:lang w:eastAsia="zh-CN"/>
        </w:rPr>
        <w:t>或者</w:t>
      </w:r>
      <w:r w:rsidRPr="00F722CD">
        <w:rPr>
          <w:rFonts w:ascii="宋体" w:eastAsia="宋体" w:hAnsi="宋体" w:cs="宋体"/>
          <w:color w:val="E36C0A" w:themeColor="accent6" w:themeShade="BF"/>
          <w:w w:val="110"/>
          <w:sz w:val="18"/>
          <w:szCs w:val="18"/>
          <w:lang w:eastAsia="zh-CN"/>
        </w:rPr>
        <w:t xml:space="preserve">‘ Spring’ </w:t>
      </w:r>
      <w:r w:rsidRPr="00F722CD">
        <w:rPr>
          <w:rFonts w:ascii="宋体" w:eastAsia="宋体" w:hAnsi="宋体" w:cs="宋体" w:hint="eastAsia"/>
          <w:color w:val="E36C0A" w:themeColor="accent6" w:themeShade="BF"/>
          <w:w w:val="110"/>
          <w:sz w:val="18"/>
          <w:szCs w:val="18"/>
          <w:lang w:eastAsia="zh-CN"/>
        </w:rPr>
        <w:t>，可以从以下主题开始</w:t>
      </w:r>
      <w:r w:rsidRPr="00F722CD">
        <w:rPr>
          <w:rFonts w:ascii="宋体" w:eastAsia="宋体" w:hAnsi="宋体" w:cs="宋体"/>
          <w:color w:val="E36C0A" w:themeColor="accent6" w:themeShade="BF"/>
          <w:w w:val="110"/>
          <w:sz w:val="18"/>
          <w:szCs w:val="18"/>
          <w:lang w:eastAsia="zh-CN"/>
        </w:rPr>
        <w:t>:</w:t>
      </w:r>
    </w:p>
    <w:p w14:paraId="3AB4105B" w14:textId="77777777" w:rsidR="00A720EB" w:rsidRDefault="00A720EB">
      <w:pPr>
        <w:pStyle w:val="a3"/>
        <w:spacing w:before="7"/>
        <w:rPr>
          <w:sz w:val="24"/>
        </w:rPr>
      </w:pPr>
    </w:p>
    <w:p w14:paraId="28E437D8" w14:textId="43B20841" w:rsidR="00A720EB" w:rsidRPr="00F722CD" w:rsidRDefault="0030286B">
      <w:pPr>
        <w:pStyle w:val="a6"/>
        <w:numPr>
          <w:ilvl w:val="2"/>
          <w:numId w:val="79"/>
        </w:numPr>
        <w:tabs>
          <w:tab w:val="left" w:pos="485"/>
        </w:tabs>
        <w:jc w:val="both"/>
        <w:rPr>
          <w:sz w:val="21"/>
        </w:rPr>
      </w:pPr>
      <w:r>
        <w:rPr>
          <w:rFonts w:ascii="Palatino Linotype" w:hAnsi="Palatino Linotype"/>
          <w:b/>
          <w:color w:val="333333"/>
          <w:w w:val="120"/>
          <w:sz w:val="21"/>
        </w:rPr>
        <w:t>From</w:t>
      </w:r>
      <w:r>
        <w:rPr>
          <w:rFonts w:ascii="Palatino Linotype" w:hAnsi="Palatino Linotype"/>
          <w:b/>
          <w:color w:val="333333"/>
          <w:spacing w:val="-13"/>
          <w:w w:val="120"/>
          <w:sz w:val="21"/>
        </w:rPr>
        <w:t xml:space="preserve"> </w:t>
      </w:r>
      <w:r>
        <w:rPr>
          <w:rFonts w:ascii="Palatino Linotype" w:hAnsi="Palatino Linotype"/>
          <w:b/>
          <w:color w:val="333333"/>
          <w:w w:val="120"/>
          <w:sz w:val="21"/>
        </w:rPr>
        <w:t>scratch:</w:t>
      </w:r>
      <w:r>
        <w:rPr>
          <w:rFonts w:ascii="Palatino Linotype" w:hAnsi="Palatino Linotype"/>
          <w:b/>
          <w:color w:val="333333"/>
          <w:spacing w:val="-14"/>
          <w:w w:val="120"/>
          <w:sz w:val="21"/>
        </w:rPr>
        <w:t xml:space="preserve"> </w:t>
      </w:r>
      <w:hyperlink w:anchor="_bookmark10" w:history="1">
        <w:r>
          <w:rPr>
            <w:color w:val="418BCA"/>
            <w:w w:val="120"/>
            <w:sz w:val="21"/>
          </w:rPr>
          <w:t>Overview</w:t>
        </w:r>
        <w:r>
          <w:rPr>
            <w:color w:val="418BCA"/>
            <w:spacing w:val="-6"/>
            <w:w w:val="120"/>
            <w:sz w:val="21"/>
          </w:rPr>
          <w:t xml:space="preserve"> </w:t>
        </w:r>
      </w:hyperlink>
      <w:r>
        <w:rPr>
          <w:color w:val="333333"/>
          <w:w w:val="145"/>
          <w:sz w:val="21"/>
        </w:rPr>
        <w:t>|</w:t>
      </w:r>
      <w:r>
        <w:rPr>
          <w:color w:val="333333"/>
          <w:spacing w:val="-17"/>
          <w:w w:val="145"/>
          <w:sz w:val="21"/>
        </w:rPr>
        <w:t xml:space="preserve"> </w:t>
      </w:r>
      <w:hyperlink w:anchor="_bookmark11" w:history="1">
        <w:r>
          <w:rPr>
            <w:color w:val="418BCA"/>
            <w:w w:val="120"/>
            <w:sz w:val="21"/>
          </w:rPr>
          <w:t>Requirements</w:t>
        </w:r>
        <w:r>
          <w:rPr>
            <w:color w:val="418BCA"/>
            <w:spacing w:val="-4"/>
            <w:w w:val="120"/>
            <w:sz w:val="21"/>
          </w:rPr>
          <w:t xml:space="preserve"> </w:t>
        </w:r>
      </w:hyperlink>
      <w:r>
        <w:rPr>
          <w:color w:val="333333"/>
          <w:w w:val="145"/>
          <w:sz w:val="21"/>
        </w:rPr>
        <w:t>|</w:t>
      </w:r>
      <w:r>
        <w:rPr>
          <w:color w:val="333333"/>
          <w:spacing w:val="-17"/>
          <w:w w:val="145"/>
          <w:sz w:val="21"/>
        </w:rPr>
        <w:t xml:space="preserve"> </w:t>
      </w:r>
      <w:hyperlink w:anchor="_bookmark13" w:history="1">
        <w:r>
          <w:rPr>
            <w:color w:val="418BCA"/>
            <w:w w:val="120"/>
            <w:sz w:val="21"/>
          </w:rPr>
          <w:t>Installation</w:t>
        </w:r>
      </w:hyperlink>
    </w:p>
    <w:p w14:paraId="1FF37C28" w14:textId="21DBB3C8" w:rsidR="00F722CD" w:rsidRPr="00F722CD" w:rsidRDefault="00F722CD" w:rsidP="00F722CD">
      <w:pPr>
        <w:pStyle w:val="a3"/>
        <w:numPr>
          <w:ilvl w:val="2"/>
          <w:numId w:val="79"/>
        </w:numPr>
        <w:spacing w:before="253" w:line="307" w:lineRule="auto"/>
        <w:ind w:right="123"/>
        <w:jc w:val="both"/>
        <w:rPr>
          <w:rFonts w:ascii="宋体" w:eastAsia="宋体" w:hAnsi="宋体" w:cs="宋体"/>
          <w:color w:val="E36C0A" w:themeColor="accent6" w:themeShade="BF"/>
          <w:w w:val="110"/>
          <w:sz w:val="18"/>
          <w:szCs w:val="18"/>
          <w:lang w:eastAsia="zh-CN"/>
        </w:rPr>
      </w:pPr>
      <w:r w:rsidRPr="00F722CD">
        <w:rPr>
          <w:rFonts w:ascii="宋体" w:eastAsia="宋体" w:hAnsi="宋体" w:cs="宋体" w:hint="eastAsia"/>
          <w:color w:val="E36C0A" w:themeColor="accent6" w:themeShade="BF"/>
          <w:w w:val="110"/>
          <w:sz w:val="18"/>
          <w:szCs w:val="18"/>
          <w:lang w:eastAsia="zh-CN"/>
        </w:rPr>
        <w:t>从头开始</w:t>
      </w:r>
      <w:r w:rsidRPr="00F722CD">
        <w:rPr>
          <w:rFonts w:ascii="宋体" w:eastAsia="宋体" w:hAnsi="宋体" w:cs="宋体"/>
          <w:color w:val="E36C0A" w:themeColor="accent6" w:themeShade="BF"/>
          <w:w w:val="110"/>
          <w:sz w:val="18"/>
          <w:szCs w:val="18"/>
          <w:lang w:eastAsia="zh-CN"/>
        </w:rPr>
        <w:t xml:space="preserve">: </w:t>
      </w:r>
      <w:r w:rsidRPr="00F722CD">
        <w:rPr>
          <w:rFonts w:ascii="宋体" w:eastAsia="宋体" w:hAnsi="宋体" w:cs="宋体" w:hint="eastAsia"/>
          <w:color w:val="E36C0A" w:themeColor="accent6" w:themeShade="BF"/>
          <w:w w:val="110"/>
          <w:sz w:val="18"/>
          <w:szCs w:val="18"/>
          <w:lang w:eastAsia="zh-CN"/>
        </w:rPr>
        <w:t>概述</w:t>
      </w:r>
      <w:r w:rsidRPr="00F722CD">
        <w:rPr>
          <w:rFonts w:ascii="宋体" w:eastAsia="宋体" w:hAnsi="宋体" w:cs="宋体"/>
          <w:color w:val="E36C0A" w:themeColor="accent6" w:themeShade="BF"/>
          <w:w w:val="110"/>
          <w:sz w:val="18"/>
          <w:szCs w:val="18"/>
          <w:lang w:eastAsia="zh-CN"/>
        </w:rPr>
        <w:t xml:space="preserve"> | </w:t>
      </w:r>
      <w:r w:rsidRPr="00F722CD">
        <w:rPr>
          <w:rFonts w:ascii="宋体" w:eastAsia="宋体" w:hAnsi="宋体" w:cs="宋体" w:hint="eastAsia"/>
          <w:color w:val="E36C0A" w:themeColor="accent6" w:themeShade="BF"/>
          <w:w w:val="110"/>
          <w:sz w:val="18"/>
          <w:szCs w:val="18"/>
          <w:lang w:eastAsia="zh-CN"/>
        </w:rPr>
        <w:t>需求</w:t>
      </w:r>
      <w:r w:rsidRPr="00F722CD">
        <w:rPr>
          <w:rFonts w:ascii="宋体" w:eastAsia="宋体" w:hAnsi="宋体" w:cs="宋体"/>
          <w:color w:val="E36C0A" w:themeColor="accent6" w:themeShade="BF"/>
          <w:w w:val="110"/>
          <w:sz w:val="18"/>
          <w:szCs w:val="18"/>
          <w:lang w:eastAsia="zh-CN"/>
        </w:rPr>
        <w:t xml:space="preserve"> | </w:t>
      </w:r>
      <w:r w:rsidRPr="00F722CD">
        <w:rPr>
          <w:rFonts w:ascii="宋体" w:eastAsia="宋体" w:hAnsi="宋体" w:cs="宋体" w:hint="eastAsia"/>
          <w:color w:val="E36C0A" w:themeColor="accent6" w:themeShade="BF"/>
          <w:w w:val="110"/>
          <w:sz w:val="18"/>
          <w:szCs w:val="18"/>
          <w:lang w:eastAsia="zh-CN"/>
        </w:rPr>
        <w:t>安装</w:t>
      </w:r>
    </w:p>
    <w:p w14:paraId="563F2991" w14:textId="58BDA128" w:rsidR="00A720EB" w:rsidRPr="00F722CD" w:rsidRDefault="0030286B">
      <w:pPr>
        <w:pStyle w:val="a6"/>
        <w:numPr>
          <w:ilvl w:val="2"/>
          <w:numId w:val="79"/>
        </w:numPr>
        <w:tabs>
          <w:tab w:val="left" w:pos="485"/>
        </w:tabs>
        <w:spacing w:before="153"/>
        <w:jc w:val="both"/>
        <w:rPr>
          <w:sz w:val="21"/>
        </w:rPr>
      </w:pPr>
      <w:r>
        <w:rPr>
          <w:rFonts w:ascii="Palatino Linotype" w:hAnsi="Palatino Linotype"/>
          <w:b/>
          <w:color w:val="333333"/>
          <w:w w:val="120"/>
          <w:sz w:val="21"/>
        </w:rPr>
        <w:t xml:space="preserve">Tutorial: </w:t>
      </w:r>
      <w:hyperlink w:anchor="_bookmark26" w:history="1">
        <w:r>
          <w:rPr>
            <w:color w:val="418BCA"/>
            <w:w w:val="120"/>
            <w:sz w:val="21"/>
          </w:rPr>
          <w:t xml:space="preserve">Part 1 </w:t>
        </w:r>
      </w:hyperlink>
      <w:r>
        <w:rPr>
          <w:color w:val="333333"/>
          <w:w w:val="145"/>
          <w:sz w:val="21"/>
        </w:rPr>
        <w:t xml:space="preserve">| </w:t>
      </w:r>
      <w:hyperlink w:anchor="_bookmark29" w:history="1">
        <w:r>
          <w:rPr>
            <w:color w:val="418BCA"/>
            <w:w w:val="120"/>
            <w:sz w:val="21"/>
          </w:rPr>
          <w:t>Part</w:t>
        </w:r>
        <w:r>
          <w:rPr>
            <w:color w:val="418BCA"/>
            <w:spacing w:val="-33"/>
            <w:w w:val="120"/>
            <w:sz w:val="21"/>
          </w:rPr>
          <w:t xml:space="preserve"> </w:t>
        </w:r>
        <w:r>
          <w:rPr>
            <w:color w:val="418BCA"/>
            <w:w w:val="120"/>
            <w:sz w:val="21"/>
          </w:rPr>
          <w:t>2</w:t>
        </w:r>
      </w:hyperlink>
    </w:p>
    <w:p w14:paraId="7DDC57C4" w14:textId="79E94233" w:rsidR="00F722CD" w:rsidRPr="00F722CD" w:rsidRDefault="00F722CD" w:rsidP="00F722CD">
      <w:pPr>
        <w:pStyle w:val="a3"/>
        <w:numPr>
          <w:ilvl w:val="2"/>
          <w:numId w:val="79"/>
        </w:numPr>
        <w:spacing w:before="253" w:line="307" w:lineRule="auto"/>
        <w:ind w:right="123"/>
        <w:jc w:val="both"/>
        <w:rPr>
          <w:rFonts w:ascii="宋体" w:eastAsia="宋体" w:hAnsi="宋体" w:cs="宋体"/>
          <w:color w:val="E36C0A" w:themeColor="accent6" w:themeShade="BF"/>
          <w:w w:val="110"/>
          <w:sz w:val="18"/>
          <w:szCs w:val="18"/>
          <w:lang w:eastAsia="zh-CN"/>
        </w:rPr>
      </w:pPr>
      <w:r w:rsidRPr="00F722CD">
        <w:rPr>
          <w:rFonts w:ascii="宋体" w:eastAsia="宋体" w:hAnsi="宋体" w:cs="宋体" w:hint="eastAsia"/>
          <w:color w:val="E36C0A" w:themeColor="accent6" w:themeShade="BF"/>
          <w:w w:val="110"/>
          <w:sz w:val="18"/>
          <w:szCs w:val="18"/>
          <w:lang w:eastAsia="zh-CN"/>
        </w:rPr>
        <w:t>教程</w:t>
      </w:r>
      <w:r w:rsidRPr="00F722CD">
        <w:rPr>
          <w:rFonts w:ascii="宋体" w:eastAsia="宋体" w:hAnsi="宋体" w:cs="宋体"/>
          <w:color w:val="E36C0A" w:themeColor="accent6" w:themeShade="BF"/>
          <w:w w:val="110"/>
          <w:sz w:val="18"/>
          <w:szCs w:val="18"/>
          <w:lang w:eastAsia="zh-CN"/>
        </w:rPr>
        <w:t xml:space="preserve">: </w:t>
      </w:r>
      <w:r w:rsidRPr="00F722CD">
        <w:rPr>
          <w:rFonts w:ascii="宋体" w:eastAsia="宋体" w:hAnsi="宋体" w:cs="宋体" w:hint="eastAsia"/>
          <w:color w:val="E36C0A" w:themeColor="accent6" w:themeShade="BF"/>
          <w:w w:val="110"/>
          <w:sz w:val="18"/>
          <w:szCs w:val="18"/>
          <w:lang w:eastAsia="zh-CN"/>
        </w:rPr>
        <w:t>第一部分</w:t>
      </w:r>
      <w:r w:rsidRPr="00F722CD">
        <w:rPr>
          <w:rFonts w:ascii="宋体" w:eastAsia="宋体" w:hAnsi="宋体" w:cs="宋体"/>
          <w:color w:val="E36C0A" w:themeColor="accent6" w:themeShade="BF"/>
          <w:w w:val="110"/>
          <w:sz w:val="18"/>
          <w:szCs w:val="18"/>
          <w:lang w:eastAsia="zh-CN"/>
        </w:rPr>
        <w:t xml:space="preserve"> | </w:t>
      </w:r>
      <w:r w:rsidRPr="00F722CD">
        <w:rPr>
          <w:rFonts w:ascii="宋体" w:eastAsia="宋体" w:hAnsi="宋体" w:cs="宋体" w:hint="eastAsia"/>
          <w:color w:val="E36C0A" w:themeColor="accent6" w:themeShade="BF"/>
          <w:w w:val="110"/>
          <w:sz w:val="18"/>
          <w:szCs w:val="18"/>
          <w:lang w:eastAsia="zh-CN"/>
        </w:rPr>
        <w:t>第二部分</w:t>
      </w:r>
    </w:p>
    <w:p w14:paraId="502A802F" w14:textId="6563AA97" w:rsidR="00A720EB" w:rsidRPr="00F722CD" w:rsidRDefault="0030286B">
      <w:pPr>
        <w:pStyle w:val="a6"/>
        <w:numPr>
          <w:ilvl w:val="2"/>
          <w:numId w:val="79"/>
        </w:numPr>
        <w:tabs>
          <w:tab w:val="left" w:pos="485"/>
        </w:tabs>
        <w:spacing w:before="152"/>
        <w:jc w:val="both"/>
        <w:rPr>
          <w:sz w:val="21"/>
        </w:rPr>
      </w:pPr>
      <w:r>
        <w:rPr>
          <w:rFonts w:ascii="Palatino Linotype" w:hAnsi="Palatino Linotype"/>
          <w:b/>
          <w:color w:val="333333"/>
          <w:w w:val="115"/>
          <w:sz w:val="21"/>
        </w:rPr>
        <w:t xml:space="preserve">Running your example: </w:t>
      </w:r>
      <w:hyperlink w:anchor="_bookmark33" w:history="1">
        <w:r>
          <w:rPr>
            <w:color w:val="418BCA"/>
            <w:w w:val="115"/>
            <w:sz w:val="21"/>
          </w:rPr>
          <w:t xml:space="preserve">Part 1 </w:t>
        </w:r>
      </w:hyperlink>
      <w:r>
        <w:rPr>
          <w:color w:val="333333"/>
          <w:w w:val="150"/>
          <w:sz w:val="21"/>
        </w:rPr>
        <w:t>|</w:t>
      </w:r>
      <w:r>
        <w:rPr>
          <w:color w:val="333333"/>
          <w:spacing w:val="-44"/>
          <w:w w:val="150"/>
          <w:sz w:val="21"/>
        </w:rPr>
        <w:t xml:space="preserve"> </w:t>
      </w:r>
      <w:hyperlink w:anchor="_bookmark34" w:history="1">
        <w:r>
          <w:rPr>
            <w:color w:val="418BCA"/>
            <w:w w:val="115"/>
            <w:sz w:val="21"/>
          </w:rPr>
          <w:t>Part 2</w:t>
        </w:r>
      </w:hyperlink>
    </w:p>
    <w:p w14:paraId="3B943F18" w14:textId="4E154CB9" w:rsidR="00F722CD" w:rsidRPr="00F722CD" w:rsidRDefault="00F722CD" w:rsidP="00F722CD">
      <w:pPr>
        <w:pStyle w:val="a3"/>
        <w:numPr>
          <w:ilvl w:val="2"/>
          <w:numId w:val="79"/>
        </w:numPr>
        <w:spacing w:before="253" w:line="307" w:lineRule="auto"/>
        <w:ind w:right="123"/>
        <w:jc w:val="both"/>
        <w:rPr>
          <w:rFonts w:ascii="宋体" w:eastAsia="宋体" w:hAnsi="宋体" w:cs="宋体"/>
          <w:color w:val="E36C0A" w:themeColor="accent6" w:themeShade="BF"/>
          <w:w w:val="110"/>
          <w:sz w:val="18"/>
          <w:szCs w:val="18"/>
          <w:lang w:eastAsia="zh-CN"/>
        </w:rPr>
      </w:pPr>
      <w:r w:rsidRPr="00F722CD">
        <w:rPr>
          <w:rFonts w:ascii="宋体" w:eastAsia="宋体" w:hAnsi="宋体" w:cs="宋体" w:hint="eastAsia"/>
          <w:color w:val="E36C0A" w:themeColor="accent6" w:themeShade="BF"/>
          <w:w w:val="110"/>
          <w:sz w:val="18"/>
          <w:szCs w:val="18"/>
          <w:lang w:eastAsia="zh-CN"/>
        </w:rPr>
        <w:t>运行示例</w:t>
      </w:r>
      <w:r w:rsidRPr="00F722CD">
        <w:rPr>
          <w:rFonts w:ascii="宋体" w:eastAsia="宋体" w:hAnsi="宋体" w:cs="宋体"/>
          <w:color w:val="E36C0A" w:themeColor="accent6" w:themeShade="BF"/>
          <w:w w:val="110"/>
          <w:sz w:val="18"/>
          <w:szCs w:val="18"/>
          <w:lang w:eastAsia="zh-CN"/>
        </w:rPr>
        <w:t xml:space="preserve">: </w:t>
      </w:r>
      <w:r w:rsidRPr="00F722CD">
        <w:rPr>
          <w:rFonts w:ascii="宋体" w:eastAsia="宋体" w:hAnsi="宋体" w:cs="宋体" w:hint="eastAsia"/>
          <w:color w:val="E36C0A" w:themeColor="accent6" w:themeShade="BF"/>
          <w:w w:val="110"/>
          <w:sz w:val="18"/>
          <w:szCs w:val="18"/>
          <w:lang w:eastAsia="zh-CN"/>
        </w:rPr>
        <w:t>第一部分</w:t>
      </w:r>
      <w:r w:rsidRPr="00F722CD">
        <w:rPr>
          <w:rFonts w:ascii="宋体" w:eastAsia="宋体" w:hAnsi="宋体" w:cs="宋体"/>
          <w:color w:val="E36C0A" w:themeColor="accent6" w:themeShade="BF"/>
          <w:w w:val="110"/>
          <w:sz w:val="18"/>
          <w:szCs w:val="18"/>
          <w:lang w:eastAsia="zh-CN"/>
        </w:rPr>
        <w:t xml:space="preserve"> | </w:t>
      </w:r>
      <w:r w:rsidRPr="00F722CD">
        <w:rPr>
          <w:rFonts w:ascii="宋体" w:eastAsia="宋体" w:hAnsi="宋体" w:cs="宋体" w:hint="eastAsia"/>
          <w:color w:val="E36C0A" w:themeColor="accent6" w:themeShade="BF"/>
          <w:w w:val="110"/>
          <w:sz w:val="18"/>
          <w:szCs w:val="18"/>
          <w:lang w:eastAsia="zh-CN"/>
        </w:rPr>
        <w:t>第二部分</w:t>
      </w:r>
    </w:p>
    <w:p w14:paraId="0984631E" w14:textId="77777777" w:rsidR="00A720EB" w:rsidRDefault="00A720EB">
      <w:pPr>
        <w:pStyle w:val="a3"/>
        <w:spacing w:before="4"/>
        <w:rPr>
          <w:sz w:val="30"/>
          <w:lang w:eastAsia="zh-CN"/>
        </w:rPr>
      </w:pPr>
    </w:p>
    <w:p w14:paraId="36DB39C9" w14:textId="652E77D7" w:rsidR="00A720EB" w:rsidRPr="00723CB4" w:rsidRDefault="0030286B">
      <w:pPr>
        <w:pStyle w:val="2"/>
        <w:numPr>
          <w:ilvl w:val="1"/>
          <w:numId w:val="79"/>
        </w:numPr>
        <w:tabs>
          <w:tab w:val="left" w:pos="832"/>
        </w:tabs>
        <w:rPr>
          <w:color w:val="E36C0A" w:themeColor="accent6" w:themeShade="BF"/>
          <w:w w:val="110"/>
        </w:rPr>
      </w:pPr>
      <w:bookmarkStart w:id="13" w:name="1.4._Working_with_Spring_Boot"/>
      <w:bookmarkStart w:id="14" w:name="_Toc54423660"/>
      <w:bookmarkEnd w:id="13"/>
      <w:r>
        <w:rPr>
          <w:color w:val="333333"/>
          <w:spacing w:val="-4"/>
          <w:w w:val="110"/>
        </w:rPr>
        <w:t xml:space="preserve">Working </w:t>
      </w:r>
      <w:r>
        <w:rPr>
          <w:color w:val="333333"/>
          <w:w w:val="110"/>
        </w:rPr>
        <w:t>with Spring</w:t>
      </w:r>
      <w:r>
        <w:rPr>
          <w:color w:val="333333"/>
          <w:spacing w:val="-22"/>
          <w:w w:val="110"/>
        </w:rPr>
        <w:t xml:space="preserve"> </w:t>
      </w:r>
      <w:r>
        <w:rPr>
          <w:color w:val="333333"/>
          <w:w w:val="110"/>
        </w:rPr>
        <w:t>Boot</w:t>
      </w:r>
      <w:r w:rsidR="00723CB4">
        <w:rPr>
          <w:color w:val="333333"/>
          <w:w w:val="110"/>
        </w:rPr>
        <w:t xml:space="preserve"> </w:t>
      </w:r>
      <w:r w:rsidR="00723CB4" w:rsidRPr="00723CB4">
        <w:rPr>
          <w:rFonts w:ascii="宋体" w:eastAsia="宋体" w:hAnsi="宋体" w:cs="宋体" w:hint="eastAsia"/>
          <w:color w:val="E36C0A" w:themeColor="accent6" w:themeShade="BF"/>
          <w:w w:val="110"/>
        </w:rPr>
        <w:t>使用</w:t>
      </w:r>
      <w:r w:rsidR="00723CB4" w:rsidRPr="00723CB4">
        <w:rPr>
          <w:rFonts w:hint="eastAsia"/>
          <w:color w:val="E36C0A" w:themeColor="accent6" w:themeShade="BF"/>
          <w:w w:val="110"/>
        </w:rPr>
        <w:t xml:space="preserve"> </w:t>
      </w:r>
      <w:r w:rsidR="00723CB4" w:rsidRPr="00723CB4">
        <w:rPr>
          <w:color w:val="E36C0A" w:themeColor="accent6" w:themeShade="BF"/>
          <w:w w:val="110"/>
        </w:rPr>
        <w:t>Spring Boot</w:t>
      </w:r>
      <w:bookmarkEnd w:id="14"/>
    </w:p>
    <w:p w14:paraId="6BF740D9" w14:textId="6222D862" w:rsidR="00A720EB" w:rsidRDefault="0030286B" w:rsidP="0046773D">
      <w:pPr>
        <w:pStyle w:val="a3"/>
        <w:spacing w:before="253"/>
        <w:ind w:left="124"/>
      </w:pPr>
      <w:r>
        <w:rPr>
          <w:color w:val="333333"/>
          <w:w w:val="110"/>
        </w:rPr>
        <w:t xml:space="preserve">Ready to actually start using Spring Boot? </w:t>
      </w:r>
      <w:hyperlink w:anchor="_bookmark36" w:history="1">
        <w:r>
          <w:rPr>
            <w:color w:val="418BCA"/>
            <w:w w:val="110"/>
          </w:rPr>
          <w:t>We have you covered</w:t>
        </w:r>
      </w:hyperlink>
      <w:r>
        <w:rPr>
          <w:color w:val="333333"/>
          <w:w w:val="110"/>
        </w:rPr>
        <w:t>:</w:t>
      </w:r>
    </w:p>
    <w:p w14:paraId="45E9FDC5" w14:textId="77777777" w:rsidR="00DC565C" w:rsidRDefault="0046773D" w:rsidP="003849F7">
      <w:pPr>
        <w:pStyle w:val="a3"/>
        <w:spacing w:before="253" w:line="307" w:lineRule="auto"/>
        <w:ind w:right="123" w:firstLine="124"/>
        <w:rPr>
          <w:rFonts w:ascii="宋体" w:eastAsia="宋体" w:hAnsi="宋体" w:cs="宋体"/>
          <w:color w:val="E36C0A" w:themeColor="accent6" w:themeShade="BF"/>
          <w:w w:val="110"/>
          <w:sz w:val="18"/>
          <w:szCs w:val="18"/>
          <w:lang w:eastAsia="zh-CN"/>
        </w:rPr>
      </w:pPr>
      <w:r w:rsidRPr="0046773D">
        <w:rPr>
          <w:rFonts w:ascii="宋体" w:eastAsia="宋体" w:hAnsi="宋体" w:cs="宋体" w:hint="eastAsia"/>
          <w:color w:val="E36C0A" w:themeColor="accent6" w:themeShade="BF"/>
          <w:w w:val="110"/>
          <w:sz w:val="18"/>
          <w:szCs w:val="18"/>
          <w:lang w:eastAsia="zh-CN"/>
        </w:rPr>
        <w:t>准备好真正开始使用</w:t>
      </w:r>
      <w:r w:rsidRPr="0046773D">
        <w:rPr>
          <w:rFonts w:ascii="宋体" w:eastAsia="宋体" w:hAnsi="宋体" w:cs="宋体"/>
          <w:color w:val="E36C0A" w:themeColor="accent6" w:themeShade="BF"/>
          <w:w w:val="110"/>
          <w:sz w:val="18"/>
          <w:szCs w:val="18"/>
          <w:lang w:eastAsia="zh-CN"/>
        </w:rPr>
        <w:t xml:space="preserve"> Spring Boot </w:t>
      </w:r>
      <w:r w:rsidRPr="0046773D">
        <w:rPr>
          <w:rFonts w:ascii="宋体" w:eastAsia="宋体" w:hAnsi="宋体" w:cs="宋体" w:hint="eastAsia"/>
          <w:color w:val="E36C0A" w:themeColor="accent6" w:themeShade="BF"/>
          <w:w w:val="110"/>
          <w:sz w:val="18"/>
          <w:szCs w:val="18"/>
          <w:lang w:eastAsia="zh-CN"/>
        </w:rPr>
        <w:t>了吗</w:t>
      </w:r>
      <w:r>
        <w:rPr>
          <w:rFonts w:ascii="宋体" w:eastAsia="宋体" w:hAnsi="宋体" w:cs="宋体"/>
          <w:color w:val="E36C0A" w:themeColor="accent6" w:themeShade="BF"/>
          <w:w w:val="110"/>
          <w:sz w:val="18"/>
          <w:szCs w:val="18"/>
          <w:lang w:eastAsia="zh-CN"/>
        </w:rPr>
        <w:t>?</w:t>
      </w:r>
      <w:r w:rsidRPr="0046773D">
        <w:rPr>
          <w:rFonts w:ascii="宋体" w:eastAsia="宋体" w:hAnsi="宋体" w:cs="宋体" w:hint="eastAsia"/>
          <w:color w:val="E36C0A" w:themeColor="accent6" w:themeShade="BF"/>
          <w:w w:val="110"/>
          <w:sz w:val="18"/>
          <w:szCs w:val="18"/>
          <w:lang w:eastAsia="zh-CN"/>
        </w:rPr>
        <w:t>我们为您提供：</w:t>
      </w:r>
    </w:p>
    <w:p w14:paraId="0D30A6E2" w14:textId="3E2FAC19" w:rsidR="00A720EB" w:rsidRPr="001A5553" w:rsidRDefault="0030286B" w:rsidP="00DC565C">
      <w:pPr>
        <w:pStyle w:val="a6"/>
        <w:numPr>
          <w:ilvl w:val="2"/>
          <w:numId w:val="79"/>
        </w:numPr>
        <w:tabs>
          <w:tab w:val="left" w:pos="485"/>
        </w:tabs>
        <w:spacing w:before="152" w:line="285" w:lineRule="auto"/>
        <w:ind w:right="124"/>
      </w:pPr>
      <w:r>
        <w:rPr>
          <w:rFonts w:ascii="Palatino Linotype" w:hAnsi="Palatino Linotype"/>
          <w:b/>
          <w:color w:val="333333"/>
          <w:w w:val="120"/>
        </w:rPr>
        <w:t>Build</w:t>
      </w:r>
      <w:r>
        <w:rPr>
          <w:rFonts w:ascii="Palatino Linotype" w:hAnsi="Palatino Linotype"/>
          <w:b/>
          <w:color w:val="333333"/>
          <w:spacing w:val="-13"/>
          <w:w w:val="120"/>
        </w:rPr>
        <w:t xml:space="preserve"> </w:t>
      </w:r>
      <w:r>
        <w:rPr>
          <w:rFonts w:ascii="Palatino Linotype" w:hAnsi="Palatino Linotype"/>
          <w:b/>
          <w:color w:val="333333"/>
          <w:w w:val="120"/>
        </w:rPr>
        <w:t>systems:</w:t>
      </w:r>
      <w:r>
        <w:rPr>
          <w:rFonts w:ascii="Palatino Linotype" w:hAnsi="Palatino Linotype"/>
          <w:b/>
          <w:color w:val="333333"/>
          <w:spacing w:val="-10"/>
          <w:w w:val="120"/>
        </w:rPr>
        <w:t xml:space="preserve"> </w:t>
      </w:r>
      <w:hyperlink w:anchor="_bookmark39" w:history="1">
        <w:r>
          <w:rPr>
            <w:color w:val="418BCA"/>
            <w:w w:val="120"/>
          </w:rPr>
          <w:t>Maven</w:t>
        </w:r>
        <w:r>
          <w:rPr>
            <w:color w:val="418BCA"/>
            <w:spacing w:val="-5"/>
            <w:w w:val="120"/>
          </w:rPr>
          <w:t xml:space="preserve"> </w:t>
        </w:r>
      </w:hyperlink>
      <w:r>
        <w:rPr>
          <w:color w:val="333333"/>
          <w:w w:val="150"/>
        </w:rPr>
        <w:t>|</w:t>
      </w:r>
      <w:r>
        <w:rPr>
          <w:color w:val="333333"/>
          <w:spacing w:val="-18"/>
          <w:w w:val="150"/>
        </w:rPr>
        <w:t xml:space="preserve"> </w:t>
      </w:r>
      <w:hyperlink w:anchor="_bookmark40" w:history="1">
        <w:r>
          <w:rPr>
            <w:color w:val="418BCA"/>
            <w:w w:val="120"/>
          </w:rPr>
          <w:t>Gradle</w:t>
        </w:r>
        <w:r>
          <w:rPr>
            <w:color w:val="418BCA"/>
            <w:spacing w:val="-4"/>
            <w:w w:val="120"/>
          </w:rPr>
          <w:t xml:space="preserve"> </w:t>
        </w:r>
      </w:hyperlink>
      <w:r>
        <w:rPr>
          <w:color w:val="333333"/>
          <w:w w:val="150"/>
        </w:rPr>
        <w:t>|</w:t>
      </w:r>
      <w:r>
        <w:rPr>
          <w:color w:val="333333"/>
          <w:spacing w:val="-18"/>
          <w:w w:val="150"/>
        </w:rPr>
        <w:t xml:space="preserve"> </w:t>
      </w:r>
      <w:hyperlink w:anchor="_bookmark41" w:history="1">
        <w:r>
          <w:rPr>
            <w:color w:val="418BCA"/>
            <w:w w:val="120"/>
          </w:rPr>
          <w:t>Ant</w:t>
        </w:r>
        <w:r>
          <w:rPr>
            <w:color w:val="418BCA"/>
            <w:spacing w:val="-4"/>
            <w:w w:val="120"/>
          </w:rPr>
          <w:t xml:space="preserve"> </w:t>
        </w:r>
      </w:hyperlink>
      <w:r>
        <w:rPr>
          <w:color w:val="333333"/>
          <w:w w:val="150"/>
        </w:rPr>
        <w:t>|</w:t>
      </w:r>
      <w:r>
        <w:rPr>
          <w:color w:val="333333"/>
          <w:spacing w:val="-18"/>
          <w:w w:val="150"/>
        </w:rPr>
        <w:t xml:space="preserve"> </w:t>
      </w:r>
      <w:hyperlink w:anchor="_bookmark42" w:history="1">
        <w:r>
          <w:rPr>
            <w:color w:val="418BCA"/>
            <w:w w:val="120"/>
          </w:rPr>
          <w:t>Starters</w:t>
        </w:r>
      </w:hyperlink>
    </w:p>
    <w:p w14:paraId="44DA6A55" w14:textId="4F0AD245" w:rsidR="001A5553" w:rsidRPr="001A5553" w:rsidRDefault="001A5553">
      <w:pPr>
        <w:pStyle w:val="a6"/>
        <w:numPr>
          <w:ilvl w:val="2"/>
          <w:numId w:val="79"/>
        </w:numPr>
        <w:tabs>
          <w:tab w:val="left" w:pos="485"/>
        </w:tabs>
        <w:spacing w:before="81"/>
        <w:rPr>
          <w:rFonts w:ascii="宋体" w:eastAsia="宋体" w:hAnsi="宋体" w:cs="宋体"/>
          <w:color w:val="E36C0A" w:themeColor="accent6" w:themeShade="BF"/>
          <w:w w:val="110"/>
          <w:sz w:val="18"/>
          <w:szCs w:val="18"/>
          <w:lang w:eastAsia="zh-CN"/>
        </w:rPr>
      </w:pPr>
      <w:r w:rsidRPr="001A5553">
        <w:rPr>
          <w:rFonts w:ascii="宋体" w:eastAsia="宋体" w:hAnsi="宋体" w:cs="宋体" w:hint="eastAsia"/>
          <w:color w:val="E36C0A" w:themeColor="accent6" w:themeShade="BF"/>
          <w:w w:val="110"/>
          <w:sz w:val="18"/>
          <w:szCs w:val="18"/>
          <w:lang w:eastAsia="zh-CN"/>
        </w:rPr>
        <w:t>构建系统：</w:t>
      </w:r>
      <w:hyperlink w:anchor="_bookmark39" w:history="1">
        <w:r w:rsidRPr="001A5553">
          <w:rPr>
            <w:rFonts w:ascii="宋体" w:eastAsia="宋体" w:hAnsi="宋体" w:cs="宋体"/>
            <w:color w:val="E36C0A" w:themeColor="accent6" w:themeShade="BF"/>
            <w:w w:val="110"/>
            <w:sz w:val="18"/>
            <w:szCs w:val="18"/>
            <w:lang w:eastAsia="zh-CN"/>
          </w:rPr>
          <w:t xml:space="preserve">Maven </w:t>
        </w:r>
      </w:hyperlink>
      <w:r w:rsidRPr="001A5553">
        <w:rPr>
          <w:rFonts w:ascii="宋体" w:eastAsia="宋体" w:hAnsi="宋体" w:cs="宋体"/>
          <w:color w:val="E36C0A" w:themeColor="accent6" w:themeShade="BF"/>
          <w:w w:val="110"/>
          <w:sz w:val="18"/>
          <w:szCs w:val="18"/>
          <w:lang w:eastAsia="zh-CN"/>
        </w:rPr>
        <w:t xml:space="preserve">| </w:t>
      </w:r>
      <w:hyperlink w:anchor="_bookmark40" w:history="1">
        <w:r w:rsidRPr="001A5553">
          <w:rPr>
            <w:rFonts w:ascii="宋体" w:eastAsia="宋体" w:hAnsi="宋体" w:cs="宋体"/>
            <w:color w:val="E36C0A" w:themeColor="accent6" w:themeShade="BF"/>
            <w:w w:val="110"/>
            <w:sz w:val="18"/>
            <w:szCs w:val="18"/>
            <w:lang w:eastAsia="zh-CN"/>
          </w:rPr>
          <w:t xml:space="preserve">Gradle </w:t>
        </w:r>
      </w:hyperlink>
      <w:r w:rsidRPr="001A5553">
        <w:rPr>
          <w:rFonts w:ascii="宋体" w:eastAsia="宋体" w:hAnsi="宋体" w:cs="宋体"/>
          <w:color w:val="E36C0A" w:themeColor="accent6" w:themeShade="BF"/>
          <w:w w:val="110"/>
          <w:sz w:val="18"/>
          <w:szCs w:val="18"/>
          <w:lang w:eastAsia="zh-CN"/>
        </w:rPr>
        <w:t xml:space="preserve">| </w:t>
      </w:r>
      <w:hyperlink w:anchor="_bookmark41" w:history="1">
        <w:r w:rsidRPr="001A5553">
          <w:rPr>
            <w:rFonts w:ascii="宋体" w:eastAsia="宋体" w:hAnsi="宋体" w:cs="宋体"/>
            <w:color w:val="E36C0A" w:themeColor="accent6" w:themeShade="BF"/>
            <w:w w:val="110"/>
            <w:sz w:val="18"/>
            <w:szCs w:val="18"/>
            <w:lang w:eastAsia="zh-CN"/>
          </w:rPr>
          <w:t xml:space="preserve">Ant </w:t>
        </w:r>
      </w:hyperlink>
      <w:r w:rsidRPr="001A5553">
        <w:rPr>
          <w:rFonts w:ascii="宋体" w:eastAsia="宋体" w:hAnsi="宋体" w:cs="宋体"/>
          <w:color w:val="E36C0A" w:themeColor="accent6" w:themeShade="BF"/>
          <w:w w:val="110"/>
          <w:sz w:val="18"/>
          <w:szCs w:val="18"/>
          <w:lang w:eastAsia="zh-CN"/>
        </w:rPr>
        <w:t xml:space="preserve">| </w:t>
      </w:r>
      <w:hyperlink w:anchor="_bookmark42" w:history="1">
        <w:r w:rsidRPr="001A5553">
          <w:rPr>
            <w:rFonts w:ascii="宋体" w:eastAsia="宋体" w:hAnsi="宋体" w:cs="宋体"/>
            <w:color w:val="E36C0A" w:themeColor="accent6" w:themeShade="BF"/>
            <w:w w:val="110"/>
            <w:sz w:val="18"/>
            <w:szCs w:val="18"/>
            <w:lang w:eastAsia="zh-CN"/>
          </w:rPr>
          <w:t>Starters</w:t>
        </w:r>
      </w:hyperlink>
    </w:p>
    <w:p w14:paraId="1E7EF3E3" w14:textId="6D317895" w:rsidR="00A720EB" w:rsidRPr="001A5553" w:rsidRDefault="0030286B">
      <w:pPr>
        <w:pStyle w:val="a6"/>
        <w:numPr>
          <w:ilvl w:val="2"/>
          <w:numId w:val="79"/>
        </w:numPr>
        <w:tabs>
          <w:tab w:val="left" w:pos="485"/>
        </w:tabs>
        <w:spacing w:before="152" w:line="285" w:lineRule="auto"/>
        <w:ind w:right="124"/>
        <w:rPr>
          <w:sz w:val="21"/>
        </w:rPr>
      </w:pPr>
      <w:r>
        <w:rPr>
          <w:rFonts w:ascii="Palatino Linotype" w:hAnsi="Palatino Linotype"/>
          <w:b/>
          <w:color w:val="333333"/>
          <w:w w:val="120"/>
          <w:sz w:val="21"/>
        </w:rPr>
        <w:t>Best</w:t>
      </w:r>
      <w:r>
        <w:rPr>
          <w:rFonts w:ascii="Palatino Linotype" w:hAnsi="Palatino Linotype"/>
          <w:b/>
          <w:color w:val="333333"/>
          <w:spacing w:val="-12"/>
          <w:w w:val="120"/>
          <w:sz w:val="21"/>
        </w:rPr>
        <w:t xml:space="preserve"> </w:t>
      </w:r>
      <w:r>
        <w:rPr>
          <w:rFonts w:ascii="Palatino Linotype" w:hAnsi="Palatino Linotype"/>
          <w:b/>
          <w:color w:val="333333"/>
          <w:w w:val="120"/>
          <w:sz w:val="21"/>
        </w:rPr>
        <w:t>practices:</w:t>
      </w:r>
      <w:r>
        <w:rPr>
          <w:rFonts w:ascii="Palatino Linotype" w:hAnsi="Palatino Linotype"/>
          <w:b/>
          <w:color w:val="333333"/>
          <w:spacing w:val="-11"/>
          <w:w w:val="120"/>
          <w:sz w:val="21"/>
        </w:rPr>
        <w:t xml:space="preserve"> </w:t>
      </w:r>
      <w:hyperlink w:anchor="_bookmark48" w:history="1">
        <w:r>
          <w:rPr>
            <w:color w:val="418BCA"/>
            <w:w w:val="120"/>
            <w:sz w:val="21"/>
          </w:rPr>
          <w:t>Code</w:t>
        </w:r>
        <w:r>
          <w:rPr>
            <w:color w:val="418BCA"/>
            <w:spacing w:val="-4"/>
            <w:w w:val="120"/>
            <w:sz w:val="21"/>
          </w:rPr>
          <w:t xml:space="preserve"> </w:t>
        </w:r>
        <w:r>
          <w:rPr>
            <w:color w:val="418BCA"/>
            <w:w w:val="120"/>
            <w:sz w:val="21"/>
          </w:rPr>
          <w:t>Structure</w:t>
        </w:r>
      </w:hyperlink>
      <w:r>
        <w:rPr>
          <w:color w:val="418BCA"/>
          <w:spacing w:val="-3"/>
          <w:w w:val="120"/>
          <w:sz w:val="21"/>
        </w:rPr>
        <w:t xml:space="preserve"> </w:t>
      </w:r>
      <w:r>
        <w:rPr>
          <w:color w:val="333333"/>
          <w:w w:val="120"/>
          <w:sz w:val="21"/>
        </w:rPr>
        <w:t>|</w:t>
      </w:r>
      <w:r>
        <w:rPr>
          <w:color w:val="333333"/>
          <w:spacing w:val="-4"/>
          <w:w w:val="120"/>
          <w:sz w:val="21"/>
        </w:rPr>
        <w:t xml:space="preserve"> </w:t>
      </w:r>
      <w:hyperlink w:anchor="_bookmark51" w:history="1">
        <w:r>
          <w:rPr>
            <w:color w:val="418BCA"/>
            <w:w w:val="120"/>
            <w:sz w:val="21"/>
          </w:rPr>
          <w:t>@Configuration</w:t>
        </w:r>
      </w:hyperlink>
      <w:r>
        <w:rPr>
          <w:color w:val="418BCA"/>
          <w:spacing w:val="-3"/>
          <w:w w:val="120"/>
          <w:sz w:val="21"/>
        </w:rPr>
        <w:t xml:space="preserve"> </w:t>
      </w:r>
      <w:r>
        <w:rPr>
          <w:color w:val="333333"/>
          <w:w w:val="120"/>
          <w:sz w:val="21"/>
        </w:rPr>
        <w:t>|</w:t>
      </w:r>
      <w:r>
        <w:rPr>
          <w:color w:val="333333"/>
          <w:spacing w:val="-4"/>
          <w:w w:val="120"/>
          <w:sz w:val="21"/>
        </w:rPr>
        <w:t xml:space="preserve"> </w:t>
      </w:r>
      <w:hyperlink w:anchor="_bookmark54" w:history="1">
        <w:r>
          <w:rPr>
            <w:color w:val="418BCA"/>
            <w:w w:val="120"/>
            <w:sz w:val="21"/>
          </w:rPr>
          <w:t>@EnableAutoConfiguration</w:t>
        </w:r>
      </w:hyperlink>
      <w:r>
        <w:rPr>
          <w:color w:val="418BCA"/>
          <w:spacing w:val="-2"/>
          <w:w w:val="120"/>
          <w:sz w:val="21"/>
        </w:rPr>
        <w:t xml:space="preserve"> </w:t>
      </w:r>
      <w:r>
        <w:rPr>
          <w:color w:val="333333"/>
          <w:w w:val="120"/>
          <w:sz w:val="21"/>
        </w:rPr>
        <w:t>|</w:t>
      </w:r>
      <w:r>
        <w:rPr>
          <w:color w:val="333333"/>
          <w:spacing w:val="-4"/>
          <w:w w:val="120"/>
          <w:sz w:val="21"/>
        </w:rPr>
        <w:t xml:space="preserve"> </w:t>
      </w:r>
      <w:hyperlink w:anchor="_bookmark57" w:history="1">
        <w:r>
          <w:rPr>
            <w:color w:val="418BCA"/>
            <w:w w:val="120"/>
            <w:sz w:val="21"/>
          </w:rPr>
          <w:t>Beans</w:t>
        </w:r>
        <w:r>
          <w:rPr>
            <w:color w:val="418BCA"/>
            <w:spacing w:val="-4"/>
            <w:w w:val="120"/>
            <w:sz w:val="21"/>
          </w:rPr>
          <w:t xml:space="preserve"> </w:t>
        </w:r>
        <w:r>
          <w:rPr>
            <w:color w:val="418BCA"/>
            <w:w w:val="120"/>
            <w:sz w:val="21"/>
          </w:rPr>
          <w:t>and</w:t>
        </w:r>
      </w:hyperlink>
      <w:r>
        <w:rPr>
          <w:color w:val="418BCA"/>
          <w:w w:val="120"/>
          <w:sz w:val="21"/>
        </w:rPr>
        <w:t xml:space="preserve"> </w:t>
      </w:r>
      <w:hyperlink w:anchor="_bookmark57" w:history="1">
        <w:r>
          <w:rPr>
            <w:color w:val="418BCA"/>
            <w:w w:val="125"/>
            <w:sz w:val="21"/>
          </w:rPr>
          <w:t>Dependency</w:t>
        </w:r>
        <w:r>
          <w:rPr>
            <w:color w:val="418BCA"/>
            <w:spacing w:val="-6"/>
            <w:w w:val="125"/>
            <w:sz w:val="21"/>
          </w:rPr>
          <w:t xml:space="preserve"> </w:t>
        </w:r>
        <w:r>
          <w:rPr>
            <w:color w:val="418BCA"/>
            <w:w w:val="125"/>
            <w:sz w:val="21"/>
          </w:rPr>
          <w:t>Injection</w:t>
        </w:r>
      </w:hyperlink>
    </w:p>
    <w:p w14:paraId="1DEBCBF7" w14:textId="09BFAD05" w:rsidR="001A5553" w:rsidRPr="001A5553" w:rsidRDefault="001A5553">
      <w:pPr>
        <w:pStyle w:val="a6"/>
        <w:numPr>
          <w:ilvl w:val="2"/>
          <w:numId w:val="79"/>
        </w:numPr>
        <w:tabs>
          <w:tab w:val="left" w:pos="485"/>
        </w:tabs>
        <w:spacing w:before="152" w:line="285" w:lineRule="auto"/>
        <w:ind w:right="124"/>
        <w:rPr>
          <w:rFonts w:ascii="宋体" w:eastAsia="宋体" w:hAnsi="宋体" w:cs="宋体"/>
          <w:color w:val="E36C0A" w:themeColor="accent6" w:themeShade="BF"/>
          <w:w w:val="110"/>
          <w:sz w:val="18"/>
          <w:szCs w:val="18"/>
          <w:lang w:eastAsia="zh-CN"/>
        </w:rPr>
      </w:pPr>
      <w:r w:rsidRPr="001A5553">
        <w:rPr>
          <w:rFonts w:ascii="宋体" w:eastAsia="宋体" w:hAnsi="宋体" w:cs="宋体" w:hint="eastAsia"/>
          <w:color w:val="E36C0A" w:themeColor="accent6" w:themeShade="BF"/>
          <w:w w:val="110"/>
          <w:sz w:val="18"/>
          <w:szCs w:val="18"/>
          <w:lang w:eastAsia="zh-CN"/>
        </w:rPr>
        <w:t>最佳实践：</w:t>
      </w:r>
      <w:hyperlink w:anchor="_bookmark48" w:history="1">
        <w:r w:rsidRPr="001A5553">
          <w:rPr>
            <w:rFonts w:ascii="宋体" w:eastAsia="宋体" w:hAnsi="宋体" w:cs="宋体"/>
            <w:color w:val="E36C0A" w:themeColor="accent6" w:themeShade="BF"/>
            <w:w w:val="110"/>
            <w:sz w:val="18"/>
            <w:szCs w:val="18"/>
            <w:lang w:eastAsia="zh-CN"/>
          </w:rPr>
          <w:t>Code Structure</w:t>
        </w:r>
      </w:hyperlink>
      <w:r w:rsidRPr="001A5553">
        <w:rPr>
          <w:rFonts w:ascii="宋体" w:eastAsia="宋体" w:hAnsi="宋体" w:cs="宋体"/>
          <w:color w:val="E36C0A" w:themeColor="accent6" w:themeShade="BF"/>
          <w:w w:val="110"/>
          <w:sz w:val="18"/>
          <w:szCs w:val="18"/>
          <w:lang w:eastAsia="zh-CN"/>
        </w:rPr>
        <w:t xml:space="preserve"> | </w:t>
      </w:r>
      <w:hyperlink w:anchor="_bookmark51" w:history="1">
        <w:r w:rsidRPr="001A5553">
          <w:rPr>
            <w:rFonts w:ascii="宋体" w:eastAsia="宋体" w:hAnsi="宋体" w:cs="宋体"/>
            <w:color w:val="E36C0A" w:themeColor="accent6" w:themeShade="BF"/>
            <w:w w:val="110"/>
            <w:sz w:val="18"/>
            <w:szCs w:val="18"/>
            <w:lang w:eastAsia="zh-CN"/>
          </w:rPr>
          <w:t>@Configuration</w:t>
        </w:r>
      </w:hyperlink>
      <w:r w:rsidRPr="001A5553">
        <w:rPr>
          <w:rFonts w:ascii="宋体" w:eastAsia="宋体" w:hAnsi="宋体" w:cs="宋体"/>
          <w:color w:val="E36C0A" w:themeColor="accent6" w:themeShade="BF"/>
          <w:w w:val="110"/>
          <w:sz w:val="18"/>
          <w:szCs w:val="18"/>
          <w:lang w:eastAsia="zh-CN"/>
        </w:rPr>
        <w:t xml:space="preserve"> | </w:t>
      </w:r>
      <w:hyperlink w:anchor="_bookmark54" w:history="1">
        <w:r w:rsidRPr="001A5553">
          <w:rPr>
            <w:rFonts w:ascii="宋体" w:eastAsia="宋体" w:hAnsi="宋体" w:cs="宋体"/>
            <w:color w:val="E36C0A" w:themeColor="accent6" w:themeShade="BF"/>
            <w:w w:val="110"/>
            <w:sz w:val="18"/>
            <w:szCs w:val="18"/>
            <w:lang w:eastAsia="zh-CN"/>
          </w:rPr>
          <w:t>@EnableAutoConfiguration</w:t>
        </w:r>
      </w:hyperlink>
      <w:r w:rsidRPr="001A5553">
        <w:rPr>
          <w:rFonts w:ascii="宋体" w:eastAsia="宋体" w:hAnsi="宋体" w:cs="宋体"/>
          <w:color w:val="E36C0A" w:themeColor="accent6" w:themeShade="BF"/>
          <w:w w:val="110"/>
          <w:sz w:val="18"/>
          <w:szCs w:val="18"/>
          <w:lang w:eastAsia="zh-CN"/>
        </w:rPr>
        <w:t xml:space="preserve"> | </w:t>
      </w:r>
      <w:hyperlink w:anchor="_bookmark57" w:history="1">
        <w:r w:rsidRPr="001A5553">
          <w:rPr>
            <w:rFonts w:ascii="宋体" w:eastAsia="宋体" w:hAnsi="宋体" w:cs="宋体"/>
            <w:color w:val="E36C0A" w:themeColor="accent6" w:themeShade="BF"/>
            <w:w w:val="110"/>
            <w:sz w:val="18"/>
            <w:szCs w:val="18"/>
            <w:lang w:eastAsia="zh-CN"/>
          </w:rPr>
          <w:t>Beans and</w:t>
        </w:r>
      </w:hyperlink>
      <w:r w:rsidRPr="001A5553">
        <w:rPr>
          <w:rFonts w:ascii="宋体" w:eastAsia="宋体" w:hAnsi="宋体" w:cs="宋体"/>
          <w:color w:val="E36C0A" w:themeColor="accent6" w:themeShade="BF"/>
          <w:w w:val="110"/>
          <w:sz w:val="18"/>
          <w:szCs w:val="18"/>
          <w:lang w:eastAsia="zh-CN"/>
        </w:rPr>
        <w:t xml:space="preserve"> </w:t>
      </w:r>
      <w:hyperlink w:anchor="_bookmark57" w:history="1">
        <w:r w:rsidRPr="001A5553">
          <w:rPr>
            <w:rFonts w:ascii="宋体" w:eastAsia="宋体" w:hAnsi="宋体" w:cs="宋体"/>
            <w:color w:val="E36C0A" w:themeColor="accent6" w:themeShade="BF"/>
            <w:w w:val="110"/>
            <w:sz w:val="18"/>
            <w:szCs w:val="18"/>
            <w:lang w:eastAsia="zh-CN"/>
          </w:rPr>
          <w:t>Dependency Injection</w:t>
        </w:r>
      </w:hyperlink>
    </w:p>
    <w:p w14:paraId="075EFF65" w14:textId="024F6656" w:rsidR="00A720EB" w:rsidRPr="001A5553" w:rsidRDefault="0030286B">
      <w:pPr>
        <w:pStyle w:val="a6"/>
        <w:numPr>
          <w:ilvl w:val="2"/>
          <w:numId w:val="79"/>
        </w:numPr>
        <w:tabs>
          <w:tab w:val="left" w:pos="485"/>
        </w:tabs>
        <w:spacing w:before="121"/>
        <w:rPr>
          <w:sz w:val="21"/>
        </w:rPr>
      </w:pPr>
      <w:r>
        <w:rPr>
          <w:rFonts w:ascii="Palatino Linotype" w:hAnsi="Palatino Linotype"/>
          <w:b/>
          <w:color w:val="333333"/>
          <w:w w:val="120"/>
          <w:sz w:val="21"/>
        </w:rPr>
        <w:t>Running</w:t>
      </w:r>
      <w:r>
        <w:rPr>
          <w:rFonts w:ascii="Palatino Linotype" w:hAnsi="Palatino Linotype"/>
          <w:b/>
          <w:color w:val="333333"/>
          <w:spacing w:val="-14"/>
          <w:w w:val="120"/>
          <w:sz w:val="21"/>
        </w:rPr>
        <w:t xml:space="preserve"> </w:t>
      </w:r>
      <w:r>
        <w:rPr>
          <w:rFonts w:ascii="Palatino Linotype" w:hAnsi="Palatino Linotype"/>
          <w:b/>
          <w:color w:val="333333"/>
          <w:w w:val="120"/>
          <w:sz w:val="21"/>
        </w:rPr>
        <w:t>your</w:t>
      </w:r>
      <w:r>
        <w:rPr>
          <w:rFonts w:ascii="Palatino Linotype" w:hAnsi="Palatino Linotype"/>
          <w:b/>
          <w:color w:val="333333"/>
          <w:spacing w:val="-13"/>
          <w:w w:val="120"/>
          <w:sz w:val="21"/>
        </w:rPr>
        <w:t xml:space="preserve"> </w:t>
      </w:r>
      <w:r>
        <w:rPr>
          <w:rFonts w:ascii="Palatino Linotype" w:hAnsi="Palatino Linotype"/>
          <w:b/>
          <w:color w:val="333333"/>
          <w:w w:val="120"/>
          <w:sz w:val="21"/>
        </w:rPr>
        <w:t>code:</w:t>
      </w:r>
      <w:r>
        <w:rPr>
          <w:rFonts w:ascii="Palatino Linotype" w:hAnsi="Palatino Linotype"/>
          <w:b/>
          <w:color w:val="333333"/>
          <w:spacing w:val="-14"/>
          <w:w w:val="120"/>
          <w:sz w:val="21"/>
        </w:rPr>
        <w:t xml:space="preserve"> </w:t>
      </w:r>
      <w:hyperlink w:anchor="_bookmark60" w:history="1">
        <w:r>
          <w:rPr>
            <w:color w:val="418BCA"/>
            <w:w w:val="120"/>
            <w:sz w:val="21"/>
          </w:rPr>
          <w:t>IDE</w:t>
        </w:r>
        <w:r>
          <w:rPr>
            <w:color w:val="418BCA"/>
            <w:spacing w:val="-6"/>
            <w:w w:val="120"/>
            <w:sz w:val="21"/>
          </w:rPr>
          <w:t xml:space="preserve"> </w:t>
        </w:r>
      </w:hyperlink>
      <w:r>
        <w:rPr>
          <w:color w:val="333333"/>
          <w:w w:val="150"/>
          <w:sz w:val="21"/>
        </w:rPr>
        <w:t>|</w:t>
      </w:r>
      <w:r>
        <w:rPr>
          <w:color w:val="333333"/>
          <w:spacing w:val="-19"/>
          <w:w w:val="150"/>
          <w:sz w:val="21"/>
        </w:rPr>
        <w:t xml:space="preserve"> </w:t>
      </w:r>
      <w:hyperlink w:anchor="_bookmark61" w:history="1">
        <w:r>
          <w:rPr>
            <w:color w:val="418BCA"/>
            <w:w w:val="120"/>
            <w:sz w:val="21"/>
          </w:rPr>
          <w:t>Packaged</w:t>
        </w:r>
        <w:r>
          <w:rPr>
            <w:color w:val="418BCA"/>
            <w:spacing w:val="-6"/>
            <w:w w:val="120"/>
            <w:sz w:val="21"/>
          </w:rPr>
          <w:t xml:space="preserve"> </w:t>
        </w:r>
      </w:hyperlink>
      <w:r>
        <w:rPr>
          <w:color w:val="333333"/>
          <w:w w:val="150"/>
          <w:sz w:val="21"/>
        </w:rPr>
        <w:t>|</w:t>
      </w:r>
      <w:r>
        <w:rPr>
          <w:color w:val="333333"/>
          <w:spacing w:val="-19"/>
          <w:w w:val="150"/>
          <w:sz w:val="21"/>
        </w:rPr>
        <w:t xml:space="preserve"> </w:t>
      </w:r>
      <w:hyperlink w:anchor="_bookmark62" w:history="1">
        <w:r>
          <w:rPr>
            <w:color w:val="418BCA"/>
            <w:w w:val="120"/>
            <w:sz w:val="21"/>
          </w:rPr>
          <w:t>Maven</w:t>
        </w:r>
        <w:r>
          <w:rPr>
            <w:color w:val="418BCA"/>
            <w:spacing w:val="-5"/>
            <w:w w:val="120"/>
            <w:sz w:val="21"/>
          </w:rPr>
          <w:t xml:space="preserve"> </w:t>
        </w:r>
      </w:hyperlink>
      <w:r>
        <w:rPr>
          <w:color w:val="333333"/>
          <w:w w:val="150"/>
          <w:sz w:val="21"/>
        </w:rPr>
        <w:t>|</w:t>
      </w:r>
      <w:r>
        <w:rPr>
          <w:color w:val="333333"/>
          <w:spacing w:val="-19"/>
          <w:w w:val="150"/>
          <w:sz w:val="21"/>
        </w:rPr>
        <w:t xml:space="preserve"> </w:t>
      </w:r>
      <w:hyperlink w:anchor="_bookmark63" w:history="1">
        <w:r>
          <w:rPr>
            <w:color w:val="418BCA"/>
            <w:w w:val="120"/>
            <w:sz w:val="21"/>
          </w:rPr>
          <w:t>Gradle</w:t>
        </w:r>
      </w:hyperlink>
    </w:p>
    <w:p w14:paraId="3B159176" w14:textId="68C47102" w:rsidR="001A5553" w:rsidRPr="001A5553" w:rsidRDefault="001A5553">
      <w:pPr>
        <w:pStyle w:val="a6"/>
        <w:numPr>
          <w:ilvl w:val="2"/>
          <w:numId w:val="79"/>
        </w:numPr>
        <w:tabs>
          <w:tab w:val="left" w:pos="485"/>
        </w:tabs>
        <w:spacing w:before="121"/>
        <w:rPr>
          <w:rFonts w:ascii="宋体" w:eastAsia="宋体" w:hAnsi="宋体" w:cs="宋体"/>
          <w:color w:val="E36C0A" w:themeColor="accent6" w:themeShade="BF"/>
          <w:w w:val="110"/>
          <w:sz w:val="18"/>
          <w:szCs w:val="18"/>
          <w:lang w:eastAsia="zh-CN"/>
        </w:rPr>
      </w:pPr>
      <w:r w:rsidRPr="001A5553">
        <w:rPr>
          <w:rFonts w:ascii="宋体" w:eastAsia="宋体" w:hAnsi="宋体" w:cs="宋体" w:hint="eastAsia"/>
          <w:color w:val="E36C0A" w:themeColor="accent6" w:themeShade="BF"/>
          <w:w w:val="110"/>
          <w:sz w:val="18"/>
          <w:szCs w:val="18"/>
          <w:lang w:eastAsia="zh-CN"/>
        </w:rPr>
        <w:t>代码运行：</w:t>
      </w:r>
      <w:hyperlink w:anchor="_bookmark60" w:history="1">
        <w:r w:rsidRPr="001A5553">
          <w:rPr>
            <w:rFonts w:ascii="宋体" w:eastAsia="宋体" w:hAnsi="宋体" w:cs="宋体"/>
            <w:color w:val="E36C0A" w:themeColor="accent6" w:themeShade="BF"/>
            <w:w w:val="110"/>
            <w:sz w:val="18"/>
            <w:szCs w:val="18"/>
            <w:lang w:eastAsia="zh-CN"/>
          </w:rPr>
          <w:t xml:space="preserve">IDE </w:t>
        </w:r>
      </w:hyperlink>
      <w:r w:rsidRPr="001A5553">
        <w:rPr>
          <w:rFonts w:ascii="宋体" w:eastAsia="宋体" w:hAnsi="宋体" w:cs="宋体"/>
          <w:color w:val="E36C0A" w:themeColor="accent6" w:themeShade="BF"/>
          <w:w w:val="110"/>
          <w:sz w:val="18"/>
          <w:szCs w:val="18"/>
          <w:lang w:eastAsia="zh-CN"/>
        </w:rPr>
        <w:t xml:space="preserve">| </w:t>
      </w:r>
      <w:hyperlink w:anchor="_bookmark61" w:history="1">
        <w:r w:rsidRPr="001A5553">
          <w:rPr>
            <w:rFonts w:ascii="宋体" w:eastAsia="宋体" w:hAnsi="宋体" w:cs="宋体"/>
            <w:color w:val="E36C0A" w:themeColor="accent6" w:themeShade="BF"/>
            <w:w w:val="110"/>
            <w:sz w:val="18"/>
            <w:szCs w:val="18"/>
            <w:lang w:eastAsia="zh-CN"/>
          </w:rPr>
          <w:t xml:space="preserve">Packaged </w:t>
        </w:r>
      </w:hyperlink>
      <w:r w:rsidRPr="001A5553">
        <w:rPr>
          <w:rFonts w:ascii="宋体" w:eastAsia="宋体" w:hAnsi="宋体" w:cs="宋体"/>
          <w:color w:val="E36C0A" w:themeColor="accent6" w:themeShade="BF"/>
          <w:w w:val="110"/>
          <w:sz w:val="18"/>
          <w:szCs w:val="18"/>
          <w:lang w:eastAsia="zh-CN"/>
        </w:rPr>
        <w:t xml:space="preserve">| </w:t>
      </w:r>
      <w:hyperlink w:anchor="_bookmark62" w:history="1">
        <w:r w:rsidRPr="001A5553">
          <w:rPr>
            <w:rFonts w:ascii="宋体" w:eastAsia="宋体" w:hAnsi="宋体" w:cs="宋体"/>
            <w:color w:val="E36C0A" w:themeColor="accent6" w:themeShade="BF"/>
            <w:w w:val="110"/>
            <w:sz w:val="18"/>
            <w:szCs w:val="18"/>
            <w:lang w:eastAsia="zh-CN"/>
          </w:rPr>
          <w:t xml:space="preserve">Maven </w:t>
        </w:r>
      </w:hyperlink>
      <w:r w:rsidRPr="001A5553">
        <w:rPr>
          <w:rFonts w:ascii="宋体" w:eastAsia="宋体" w:hAnsi="宋体" w:cs="宋体"/>
          <w:color w:val="E36C0A" w:themeColor="accent6" w:themeShade="BF"/>
          <w:w w:val="110"/>
          <w:sz w:val="18"/>
          <w:szCs w:val="18"/>
          <w:lang w:eastAsia="zh-CN"/>
        </w:rPr>
        <w:t xml:space="preserve">| </w:t>
      </w:r>
      <w:hyperlink w:anchor="_bookmark63" w:history="1">
        <w:r w:rsidRPr="001A5553">
          <w:rPr>
            <w:rFonts w:ascii="宋体" w:eastAsia="宋体" w:hAnsi="宋体" w:cs="宋体"/>
            <w:color w:val="E36C0A" w:themeColor="accent6" w:themeShade="BF"/>
            <w:w w:val="110"/>
            <w:sz w:val="18"/>
            <w:szCs w:val="18"/>
            <w:lang w:eastAsia="zh-CN"/>
          </w:rPr>
          <w:t>Gradle</w:t>
        </w:r>
      </w:hyperlink>
    </w:p>
    <w:p w14:paraId="62787472" w14:textId="69D87643" w:rsidR="00A720EB" w:rsidRPr="001A5553" w:rsidRDefault="0030286B">
      <w:pPr>
        <w:pStyle w:val="a6"/>
        <w:numPr>
          <w:ilvl w:val="2"/>
          <w:numId w:val="79"/>
        </w:numPr>
        <w:tabs>
          <w:tab w:val="left" w:pos="485"/>
        </w:tabs>
        <w:spacing w:before="152"/>
        <w:rPr>
          <w:sz w:val="21"/>
        </w:rPr>
      </w:pPr>
      <w:r>
        <w:rPr>
          <w:rFonts w:ascii="Palatino Linotype" w:hAnsi="Palatino Linotype"/>
          <w:b/>
          <w:color w:val="333333"/>
          <w:w w:val="110"/>
          <w:sz w:val="21"/>
        </w:rPr>
        <w:t xml:space="preserve">Packaging your app: </w:t>
      </w:r>
      <w:hyperlink w:anchor="_bookmark82" w:history="1">
        <w:r>
          <w:rPr>
            <w:color w:val="418BCA"/>
            <w:w w:val="110"/>
            <w:sz w:val="21"/>
          </w:rPr>
          <w:t>Production</w:t>
        </w:r>
        <w:r>
          <w:rPr>
            <w:color w:val="418BCA"/>
            <w:spacing w:val="-10"/>
            <w:w w:val="110"/>
            <w:sz w:val="21"/>
          </w:rPr>
          <w:t xml:space="preserve"> </w:t>
        </w:r>
        <w:r>
          <w:rPr>
            <w:color w:val="418BCA"/>
            <w:w w:val="110"/>
            <w:sz w:val="21"/>
          </w:rPr>
          <w:t>jars</w:t>
        </w:r>
      </w:hyperlink>
    </w:p>
    <w:p w14:paraId="303DE360" w14:textId="6ADEEBA6" w:rsidR="001A5553" w:rsidRPr="001A5553" w:rsidRDefault="00DC565C">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Pr>
          <w:rFonts w:ascii="宋体" w:eastAsia="宋体" w:hAnsi="宋体" w:cs="宋体" w:hint="eastAsia"/>
          <w:color w:val="E36C0A" w:themeColor="accent6" w:themeShade="BF"/>
          <w:w w:val="110"/>
          <w:sz w:val="18"/>
          <w:szCs w:val="18"/>
          <w:lang w:eastAsia="zh-CN"/>
        </w:rPr>
        <w:t>应用程序打包</w:t>
      </w:r>
      <w:r w:rsidR="001A5553" w:rsidRPr="001A5553">
        <w:rPr>
          <w:rFonts w:ascii="宋体" w:eastAsia="宋体" w:hAnsi="宋体" w:cs="宋体" w:hint="eastAsia"/>
          <w:color w:val="E36C0A" w:themeColor="accent6" w:themeShade="BF"/>
          <w:w w:val="110"/>
          <w:sz w:val="18"/>
          <w:szCs w:val="18"/>
          <w:lang w:eastAsia="zh-CN"/>
        </w:rPr>
        <w:t>：</w:t>
      </w:r>
      <w:hyperlink w:anchor="_bookmark82" w:history="1">
        <w:r w:rsidR="001A5553" w:rsidRPr="001A5553">
          <w:rPr>
            <w:rFonts w:ascii="宋体" w:eastAsia="宋体" w:hAnsi="宋体" w:cs="宋体"/>
            <w:color w:val="E36C0A" w:themeColor="accent6" w:themeShade="BF"/>
            <w:w w:val="110"/>
            <w:sz w:val="18"/>
            <w:szCs w:val="18"/>
            <w:lang w:eastAsia="zh-CN"/>
          </w:rPr>
          <w:t>Production jars</w:t>
        </w:r>
      </w:hyperlink>
    </w:p>
    <w:p w14:paraId="42182071" w14:textId="294C7DA1" w:rsidR="00A720EB" w:rsidRPr="001A5553" w:rsidRDefault="0030286B">
      <w:pPr>
        <w:pStyle w:val="a6"/>
        <w:numPr>
          <w:ilvl w:val="2"/>
          <w:numId w:val="79"/>
        </w:numPr>
        <w:tabs>
          <w:tab w:val="left" w:pos="485"/>
        </w:tabs>
        <w:spacing w:before="153"/>
        <w:rPr>
          <w:sz w:val="21"/>
        </w:rPr>
      </w:pPr>
      <w:r>
        <w:rPr>
          <w:rFonts w:ascii="Palatino Linotype" w:hAnsi="Palatino Linotype"/>
          <w:b/>
          <w:color w:val="333333"/>
          <w:w w:val="110"/>
          <w:sz w:val="21"/>
        </w:rPr>
        <w:t xml:space="preserve">Spring Boot CLI: </w:t>
      </w:r>
      <w:hyperlink w:anchor="_bookmark493" w:history="1">
        <w:r>
          <w:rPr>
            <w:color w:val="418BCA"/>
            <w:w w:val="110"/>
            <w:sz w:val="21"/>
          </w:rPr>
          <w:t>Using the</w:t>
        </w:r>
        <w:r>
          <w:rPr>
            <w:color w:val="418BCA"/>
            <w:spacing w:val="-7"/>
            <w:w w:val="110"/>
            <w:sz w:val="21"/>
          </w:rPr>
          <w:t xml:space="preserve"> </w:t>
        </w:r>
        <w:r>
          <w:rPr>
            <w:color w:val="418BCA"/>
            <w:w w:val="110"/>
            <w:sz w:val="21"/>
          </w:rPr>
          <w:t>CLI</w:t>
        </w:r>
      </w:hyperlink>
    </w:p>
    <w:p w14:paraId="767C571C" w14:textId="4E68B392" w:rsidR="001A5553" w:rsidRPr="001A5553" w:rsidRDefault="001A5553" w:rsidP="001A5553">
      <w:pPr>
        <w:pStyle w:val="a6"/>
        <w:numPr>
          <w:ilvl w:val="2"/>
          <w:numId w:val="79"/>
        </w:numPr>
        <w:tabs>
          <w:tab w:val="left" w:pos="485"/>
        </w:tabs>
        <w:spacing w:before="153"/>
        <w:rPr>
          <w:rFonts w:ascii="宋体" w:eastAsia="宋体" w:hAnsi="宋体" w:cs="宋体"/>
          <w:color w:val="E36C0A" w:themeColor="accent6" w:themeShade="BF"/>
          <w:w w:val="110"/>
          <w:sz w:val="18"/>
          <w:szCs w:val="18"/>
          <w:lang w:eastAsia="zh-CN"/>
        </w:rPr>
      </w:pPr>
      <w:r w:rsidRPr="001A5553">
        <w:rPr>
          <w:rFonts w:ascii="宋体" w:eastAsia="宋体" w:hAnsi="宋体" w:cs="宋体"/>
          <w:color w:val="E36C0A" w:themeColor="accent6" w:themeShade="BF"/>
          <w:w w:val="110"/>
          <w:sz w:val="18"/>
          <w:szCs w:val="18"/>
          <w:lang w:eastAsia="zh-CN"/>
        </w:rPr>
        <w:t xml:space="preserve">Spring Boot CLI: </w:t>
      </w:r>
      <w:hyperlink w:anchor="_bookmark493" w:history="1">
        <w:r w:rsidRPr="001A5553">
          <w:rPr>
            <w:rFonts w:ascii="宋体" w:eastAsia="宋体" w:hAnsi="宋体" w:cs="宋体"/>
            <w:color w:val="E36C0A" w:themeColor="accent6" w:themeShade="BF"/>
            <w:w w:val="110"/>
            <w:sz w:val="18"/>
            <w:szCs w:val="18"/>
            <w:lang w:eastAsia="zh-CN"/>
          </w:rPr>
          <w:t>Using the CLI</w:t>
        </w:r>
      </w:hyperlink>
    </w:p>
    <w:p w14:paraId="32A15F86" w14:textId="77777777" w:rsidR="00A720EB" w:rsidRDefault="00A720EB">
      <w:pPr>
        <w:pStyle w:val="a3"/>
        <w:spacing w:before="4"/>
        <w:rPr>
          <w:sz w:val="30"/>
        </w:rPr>
      </w:pPr>
    </w:p>
    <w:p w14:paraId="73DA74AA" w14:textId="74DC12DD" w:rsidR="00A720EB" w:rsidRDefault="0030286B">
      <w:pPr>
        <w:pStyle w:val="2"/>
        <w:numPr>
          <w:ilvl w:val="1"/>
          <w:numId w:val="79"/>
        </w:numPr>
        <w:tabs>
          <w:tab w:val="left" w:pos="832"/>
        </w:tabs>
      </w:pPr>
      <w:bookmarkStart w:id="15" w:name="1.5._Learning_about_Spring_Boot_Features"/>
      <w:bookmarkStart w:id="16" w:name="_Toc54423661"/>
      <w:bookmarkEnd w:id="15"/>
      <w:r>
        <w:rPr>
          <w:color w:val="333333"/>
          <w:w w:val="110"/>
        </w:rPr>
        <w:t>Learning about Spring Boot</w:t>
      </w:r>
      <w:r>
        <w:rPr>
          <w:color w:val="333333"/>
          <w:spacing w:val="-18"/>
          <w:w w:val="110"/>
        </w:rPr>
        <w:t xml:space="preserve"> </w:t>
      </w:r>
      <w:r>
        <w:rPr>
          <w:color w:val="333333"/>
          <w:spacing w:val="-3"/>
          <w:w w:val="110"/>
        </w:rPr>
        <w:t>Features</w:t>
      </w:r>
      <w:r w:rsidR="001A5553">
        <w:rPr>
          <w:color w:val="333333"/>
          <w:spacing w:val="-3"/>
          <w:w w:val="110"/>
        </w:rPr>
        <w:t xml:space="preserve"> </w:t>
      </w:r>
      <w:r w:rsidR="001A5553" w:rsidRPr="00B86611">
        <w:rPr>
          <w:rFonts w:ascii="宋体" w:eastAsia="宋体" w:hAnsi="宋体" w:cs="宋体" w:hint="eastAsia"/>
          <w:color w:val="E36C0A" w:themeColor="accent6" w:themeShade="BF"/>
          <w:spacing w:val="-3"/>
          <w:w w:val="110"/>
        </w:rPr>
        <w:t>学习</w:t>
      </w:r>
      <w:r w:rsidR="001A5553" w:rsidRPr="00B86611">
        <w:rPr>
          <w:color w:val="E36C0A" w:themeColor="accent6" w:themeShade="BF"/>
          <w:spacing w:val="-3"/>
          <w:w w:val="110"/>
        </w:rPr>
        <w:t xml:space="preserve"> Spring Boot </w:t>
      </w:r>
      <w:r w:rsidR="001A5553" w:rsidRPr="00B86611">
        <w:rPr>
          <w:rFonts w:ascii="宋体" w:eastAsia="宋体" w:hAnsi="宋体" w:cs="宋体" w:hint="eastAsia"/>
          <w:color w:val="E36C0A" w:themeColor="accent6" w:themeShade="BF"/>
          <w:spacing w:val="-3"/>
          <w:w w:val="110"/>
        </w:rPr>
        <w:t>的特性</w:t>
      </w:r>
      <w:bookmarkEnd w:id="16"/>
    </w:p>
    <w:p w14:paraId="1EBA878F" w14:textId="5DE1A0F2" w:rsidR="00A720EB" w:rsidRDefault="0030286B">
      <w:pPr>
        <w:pStyle w:val="a3"/>
        <w:spacing w:before="253"/>
        <w:ind w:left="124"/>
        <w:rPr>
          <w:color w:val="333333"/>
          <w:w w:val="110"/>
        </w:rPr>
      </w:pPr>
      <w:r>
        <w:rPr>
          <w:color w:val="333333"/>
          <w:w w:val="110"/>
        </w:rPr>
        <w:t xml:space="preserve">Need more details about Spring Boot’s core features? </w:t>
      </w:r>
      <w:hyperlink w:anchor="_bookmark84" w:history="1">
        <w:r>
          <w:rPr>
            <w:color w:val="418BCA"/>
            <w:w w:val="110"/>
          </w:rPr>
          <w:t>The following content is for you</w:t>
        </w:r>
      </w:hyperlink>
      <w:r>
        <w:rPr>
          <w:color w:val="333333"/>
          <w:w w:val="110"/>
        </w:rPr>
        <w:t>:</w:t>
      </w:r>
    </w:p>
    <w:p w14:paraId="33E8525C" w14:textId="18E11B21" w:rsidR="00B86611" w:rsidRPr="002C0BDA" w:rsidRDefault="00B86611">
      <w:pPr>
        <w:pStyle w:val="a3"/>
        <w:spacing w:before="253"/>
        <w:ind w:left="124"/>
        <w:rPr>
          <w:rFonts w:ascii="宋体" w:eastAsia="宋体" w:hAnsi="宋体" w:cs="宋体"/>
          <w:color w:val="E36C0A" w:themeColor="accent6" w:themeShade="BF"/>
          <w:w w:val="110"/>
          <w:sz w:val="18"/>
          <w:szCs w:val="18"/>
          <w:lang w:eastAsia="zh-CN"/>
        </w:rPr>
      </w:pPr>
      <w:r w:rsidRPr="002C0BDA">
        <w:rPr>
          <w:rFonts w:ascii="宋体" w:eastAsia="宋体" w:hAnsi="宋体" w:cs="宋体" w:hint="eastAsia"/>
          <w:color w:val="E36C0A" w:themeColor="accent6" w:themeShade="BF"/>
          <w:w w:val="110"/>
          <w:sz w:val="18"/>
          <w:szCs w:val="18"/>
          <w:lang w:eastAsia="zh-CN"/>
        </w:rPr>
        <w:t>需要更多关于</w:t>
      </w:r>
      <w:r w:rsidRPr="002C0BDA">
        <w:rPr>
          <w:rFonts w:ascii="宋体" w:eastAsia="宋体" w:hAnsi="宋体" w:cs="宋体"/>
          <w:color w:val="E36C0A" w:themeColor="accent6" w:themeShade="BF"/>
          <w:w w:val="110"/>
          <w:sz w:val="18"/>
          <w:szCs w:val="18"/>
          <w:lang w:eastAsia="zh-CN"/>
        </w:rPr>
        <w:t>Spring Boot</w:t>
      </w:r>
      <w:r w:rsidRPr="002C0BDA">
        <w:rPr>
          <w:rFonts w:ascii="宋体" w:eastAsia="宋体" w:hAnsi="宋体" w:cs="宋体" w:hint="eastAsia"/>
          <w:color w:val="E36C0A" w:themeColor="accent6" w:themeShade="BF"/>
          <w:w w:val="110"/>
          <w:sz w:val="18"/>
          <w:szCs w:val="18"/>
          <w:lang w:eastAsia="zh-CN"/>
        </w:rPr>
        <w:t>核心特性的详细信息吗？以下内容为您提供</w:t>
      </w:r>
      <w:r w:rsidRPr="002C0BDA">
        <w:rPr>
          <w:rFonts w:ascii="宋体" w:eastAsia="宋体" w:hAnsi="宋体" w:cs="宋体"/>
          <w:color w:val="E36C0A" w:themeColor="accent6" w:themeShade="BF"/>
          <w:w w:val="110"/>
          <w:sz w:val="18"/>
          <w:szCs w:val="18"/>
          <w:lang w:eastAsia="zh-CN"/>
        </w:rPr>
        <w:t>:</w:t>
      </w:r>
    </w:p>
    <w:p w14:paraId="74EF3EB4" w14:textId="77777777" w:rsidR="00A720EB" w:rsidRDefault="00A720EB">
      <w:pPr>
        <w:pStyle w:val="a3"/>
        <w:spacing w:before="7"/>
        <w:rPr>
          <w:sz w:val="24"/>
        </w:rPr>
      </w:pPr>
    </w:p>
    <w:p w14:paraId="194583B7" w14:textId="5609F42E" w:rsidR="00A720EB" w:rsidRPr="00B86611" w:rsidRDefault="0030286B">
      <w:pPr>
        <w:pStyle w:val="a6"/>
        <w:numPr>
          <w:ilvl w:val="2"/>
          <w:numId w:val="79"/>
        </w:numPr>
        <w:tabs>
          <w:tab w:val="left" w:pos="485"/>
        </w:tabs>
        <w:rPr>
          <w:sz w:val="21"/>
        </w:rPr>
      </w:pPr>
      <w:r>
        <w:rPr>
          <w:rFonts w:ascii="Palatino Linotype" w:hAnsi="Palatino Linotype"/>
          <w:b/>
          <w:color w:val="333333"/>
          <w:w w:val="125"/>
          <w:sz w:val="21"/>
        </w:rPr>
        <w:t>Core</w:t>
      </w:r>
      <w:r>
        <w:rPr>
          <w:rFonts w:ascii="Palatino Linotype" w:hAnsi="Palatino Linotype"/>
          <w:b/>
          <w:color w:val="333333"/>
          <w:spacing w:val="-31"/>
          <w:w w:val="125"/>
          <w:sz w:val="21"/>
        </w:rPr>
        <w:t xml:space="preserve"> </w:t>
      </w:r>
      <w:r>
        <w:rPr>
          <w:rFonts w:ascii="Palatino Linotype" w:hAnsi="Palatino Linotype"/>
          <w:b/>
          <w:color w:val="333333"/>
          <w:w w:val="125"/>
          <w:sz w:val="21"/>
        </w:rPr>
        <w:t>Features:</w:t>
      </w:r>
      <w:r>
        <w:rPr>
          <w:rFonts w:ascii="Palatino Linotype" w:hAnsi="Palatino Linotype"/>
          <w:b/>
          <w:color w:val="333333"/>
          <w:spacing w:val="-29"/>
          <w:w w:val="125"/>
          <w:sz w:val="21"/>
        </w:rPr>
        <w:t xml:space="preserve"> </w:t>
      </w:r>
      <w:hyperlink w:anchor="_bookmark85" w:history="1">
        <w:r>
          <w:rPr>
            <w:color w:val="418BCA"/>
            <w:w w:val="125"/>
            <w:sz w:val="21"/>
          </w:rPr>
          <w:t>SpringApplication</w:t>
        </w:r>
        <w:r>
          <w:rPr>
            <w:color w:val="418BCA"/>
            <w:spacing w:val="-21"/>
            <w:w w:val="125"/>
            <w:sz w:val="21"/>
          </w:rPr>
          <w:t xml:space="preserve"> </w:t>
        </w:r>
      </w:hyperlink>
      <w:r>
        <w:rPr>
          <w:color w:val="333333"/>
          <w:w w:val="145"/>
          <w:sz w:val="21"/>
        </w:rPr>
        <w:t>|</w:t>
      </w:r>
      <w:r>
        <w:rPr>
          <w:color w:val="333333"/>
          <w:spacing w:val="-32"/>
          <w:w w:val="145"/>
          <w:sz w:val="21"/>
        </w:rPr>
        <w:t xml:space="preserve"> </w:t>
      </w:r>
      <w:hyperlink w:anchor="_bookmark101" w:history="1">
        <w:r>
          <w:rPr>
            <w:color w:val="418BCA"/>
            <w:w w:val="125"/>
            <w:sz w:val="21"/>
          </w:rPr>
          <w:t>External</w:t>
        </w:r>
        <w:r>
          <w:rPr>
            <w:color w:val="418BCA"/>
            <w:spacing w:val="-21"/>
            <w:w w:val="125"/>
            <w:sz w:val="21"/>
          </w:rPr>
          <w:t xml:space="preserve"> </w:t>
        </w:r>
        <w:r>
          <w:rPr>
            <w:color w:val="418BCA"/>
            <w:w w:val="125"/>
            <w:sz w:val="21"/>
          </w:rPr>
          <w:t>Configuration</w:t>
        </w:r>
        <w:r>
          <w:rPr>
            <w:color w:val="418BCA"/>
            <w:spacing w:val="-22"/>
            <w:w w:val="125"/>
            <w:sz w:val="21"/>
          </w:rPr>
          <w:t xml:space="preserve"> </w:t>
        </w:r>
      </w:hyperlink>
      <w:r>
        <w:rPr>
          <w:color w:val="333333"/>
          <w:w w:val="145"/>
          <w:sz w:val="21"/>
        </w:rPr>
        <w:t>|</w:t>
      </w:r>
      <w:r>
        <w:rPr>
          <w:color w:val="333333"/>
          <w:spacing w:val="-31"/>
          <w:w w:val="145"/>
          <w:sz w:val="21"/>
        </w:rPr>
        <w:t xml:space="preserve"> </w:t>
      </w:r>
      <w:hyperlink w:anchor="_bookmark126" w:history="1">
        <w:r>
          <w:rPr>
            <w:color w:val="418BCA"/>
            <w:w w:val="125"/>
            <w:sz w:val="21"/>
          </w:rPr>
          <w:t>Profiles</w:t>
        </w:r>
        <w:r>
          <w:rPr>
            <w:color w:val="418BCA"/>
            <w:spacing w:val="-22"/>
            <w:w w:val="125"/>
            <w:sz w:val="21"/>
          </w:rPr>
          <w:t xml:space="preserve"> </w:t>
        </w:r>
      </w:hyperlink>
      <w:r>
        <w:rPr>
          <w:color w:val="333333"/>
          <w:w w:val="145"/>
          <w:sz w:val="21"/>
        </w:rPr>
        <w:t>|</w:t>
      </w:r>
      <w:r>
        <w:rPr>
          <w:color w:val="333333"/>
          <w:spacing w:val="-32"/>
          <w:w w:val="145"/>
          <w:sz w:val="21"/>
        </w:rPr>
        <w:t xml:space="preserve"> </w:t>
      </w:r>
      <w:hyperlink w:anchor="_bookmark130" w:history="1">
        <w:r>
          <w:rPr>
            <w:color w:val="418BCA"/>
            <w:w w:val="125"/>
            <w:sz w:val="21"/>
          </w:rPr>
          <w:t>Logging</w:t>
        </w:r>
      </w:hyperlink>
    </w:p>
    <w:p w14:paraId="56E977C1" w14:textId="054EA871" w:rsidR="00B86611" w:rsidRPr="002C0BDA" w:rsidRDefault="00B86611">
      <w:pPr>
        <w:pStyle w:val="a6"/>
        <w:numPr>
          <w:ilvl w:val="2"/>
          <w:numId w:val="79"/>
        </w:numPr>
        <w:tabs>
          <w:tab w:val="left" w:pos="485"/>
        </w:tabs>
        <w:rPr>
          <w:rFonts w:ascii="宋体" w:eastAsia="宋体" w:hAnsi="宋体" w:cs="宋体"/>
          <w:color w:val="E36C0A" w:themeColor="accent6" w:themeShade="BF"/>
          <w:w w:val="110"/>
          <w:sz w:val="18"/>
          <w:szCs w:val="18"/>
          <w:lang w:eastAsia="zh-CN"/>
        </w:rPr>
      </w:pPr>
      <w:r w:rsidRPr="002C0BDA">
        <w:rPr>
          <w:rFonts w:ascii="宋体" w:eastAsia="宋体" w:hAnsi="宋体" w:cs="宋体" w:hint="eastAsia"/>
          <w:color w:val="E36C0A" w:themeColor="accent6" w:themeShade="BF"/>
          <w:w w:val="110"/>
          <w:sz w:val="18"/>
          <w:szCs w:val="18"/>
          <w:lang w:eastAsia="zh-CN"/>
        </w:rPr>
        <w:t>核心功能：</w:t>
      </w:r>
      <w:hyperlink w:anchor="_bookmark85" w:history="1">
        <w:r w:rsidRPr="002C0BDA">
          <w:rPr>
            <w:rFonts w:ascii="宋体" w:eastAsia="宋体" w:hAnsi="宋体" w:cs="宋体"/>
            <w:color w:val="E36C0A" w:themeColor="accent6" w:themeShade="BF"/>
            <w:w w:val="110"/>
            <w:sz w:val="18"/>
            <w:szCs w:val="18"/>
            <w:lang w:eastAsia="zh-CN"/>
          </w:rPr>
          <w:t xml:space="preserve">SpringApplication </w:t>
        </w:r>
      </w:hyperlink>
      <w:r w:rsidRPr="002C0BDA">
        <w:rPr>
          <w:rFonts w:ascii="宋体" w:eastAsia="宋体" w:hAnsi="宋体" w:cs="宋体"/>
          <w:color w:val="E36C0A" w:themeColor="accent6" w:themeShade="BF"/>
          <w:w w:val="110"/>
          <w:sz w:val="18"/>
          <w:szCs w:val="18"/>
          <w:lang w:eastAsia="zh-CN"/>
        </w:rPr>
        <w:t> |</w:t>
      </w:r>
      <w:r w:rsidRPr="002C0BDA">
        <w:rPr>
          <w:rFonts w:ascii="宋体" w:eastAsia="宋体" w:hAnsi="宋体" w:cs="宋体" w:hint="eastAsia"/>
          <w:color w:val="E36C0A" w:themeColor="accent6" w:themeShade="BF"/>
          <w:w w:val="110"/>
          <w:sz w:val="18"/>
          <w:szCs w:val="18"/>
          <w:lang w:eastAsia="zh-CN"/>
        </w:rPr>
        <w:t>外部配置</w:t>
      </w:r>
      <w:r w:rsidRPr="002C0BDA">
        <w:rPr>
          <w:rFonts w:ascii="宋体" w:eastAsia="宋体" w:hAnsi="宋体" w:cs="宋体"/>
          <w:color w:val="E36C0A" w:themeColor="accent6" w:themeShade="BF"/>
          <w:w w:val="110"/>
          <w:sz w:val="18"/>
          <w:szCs w:val="18"/>
          <w:lang w:eastAsia="zh-CN"/>
        </w:rPr>
        <w:t>|</w:t>
      </w:r>
      <w:r w:rsidRPr="002C0BDA">
        <w:rPr>
          <w:rFonts w:ascii="宋体" w:eastAsia="宋体" w:hAnsi="宋体" w:cs="宋体" w:hint="eastAsia"/>
          <w:color w:val="E36C0A" w:themeColor="accent6" w:themeShade="BF"/>
          <w:w w:val="110"/>
          <w:sz w:val="18"/>
          <w:szCs w:val="18"/>
          <w:lang w:eastAsia="zh-CN"/>
        </w:rPr>
        <w:t>配置文件</w:t>
      </w:r>
      <w:r w:rsidRPr="002C0BDA">
        <w:rPr>
          <w:rFonts w:ascii="宋体" w:eastAsia="宋体" w:hAnsi="宋体" w:cs="宋体"/>
          <w:color w:val="E36C0A" w:themeColor="accent6" w:themeShade="BF"/>
          <w:w w:val="110"/>
          <w:sz w:val="18"/>
          <w:szCs w:val="18"/>
          <w:lang w:eastAsia="zh-CN"/>
        </w:rPr>
        <w:t>|</w:t>
      </w:r>
      <w:r w:rsidRPr="002C0BDA">
        <w:rPr>
          <w:rFonts w:ascii="宋体" w:eastAsia="宋体" w:hAnsi="宋体" w:cs="宋体" w:hint="eastAsia"/>
          <w:color w:val="E36C0A" w:themeColor="accent6" w:themeShade="BF"/>
          <w:w w:val="110"/>
          <w:sz w:val="18"/>
          <w:szCs w:val="18"/>
          <w:lang w:eastAsia="zh-CN"/>
        </w:rPr>
        <w:t>日志记录</w:t>
      </w:r>
    </w:p>
    <w:p w14:paraId="1ADAD4EE" w14:textId="35A0BD1C" w:rsidR="00A720EB" w:rsidRPr="00B86611" w:rsidRDefault="0030286B">
      <w:pPr>
        <w:pStyle w:val="a6"/>
        <w:numPr>
          <w:ilvl w:val="2"/>
          <w:numId w:val="79"/>
        </w:numPr>
        <w:tabs>
          <w:tab w:val="left" w:pos="485"/>
        </w:tabs>
        <w:spacing w:before="152"/>
        <w:rPr>
          <w:sz w:val="21"/>
        </w:rPr>
      </w:pPr>
      <w:r>
        <w:rPr>
          <w:rFonts w:ascii="Palatino Linotype" w:hAnsi="Palatino Linotype"/>
          <w:b/>
          <w:color w:val="333333"/>
          <w:spacing w:val="-5"/>
          <w:w w:val="120"/>
          <w:sz w:val="21"/>
        </w:rPr>
        <w:t xml:space="preserve">Web </w:t>
      </w:r>
      <w:r>
        <w:rPr>
          <w:rFonts w:ascii="Palatino Linotype" w:hAnsi="Palatino Linotype"/>
          <w:b/>
          <w:color w:val="333333"/>
          <w:w w:val="120"/>
          <w:sz w:val="21"/>
        </w:rPr>
        <w:t xml:space="preserve">Applications: </w:t>
      </w:r>
      <w:hyperlink w:anchor="_bookmark147" w:history="1">
        <w:r>
          <w:rPr>
            <w:color w:val="418BCA"/>
            <w:w w:val="120"/>
            <w:sz w:val="21"/>
          </w:rPr>
          <w:t xml:space="preserve">MVC </w:t>
        </w:r>
      </w:hyperlink>
      <w:r>
        <w:rPr>
          <w:color w:val="333333"/>
          <w:w w:val="145"/>
          <w:sz w:val="21"/>
        </w:rPr>
        <w:t>|</w:t>
      </w:r>
      <w:r>
        <w:rPr>
          <w:color w:val="333333"/>
          <w:spacing w:val="-49"/>
          <w:w w:val="145"/>
          <w:sz w:val="21"/>
        </w:rPr>
        <w:t xml:space="preserve"> </w:t>
      </w:r>
      <w:hyperlink w:anchor="_bookmark172" w:history="1">
        <w:r>
          <w:rPr>
            <w:color w:val="418BCA"/>
            <w:w w:val="120"/>
            <w:sz w:val="21"/>
          </w:rPr>
          <w:t>Embedded Containers</w:t>
        </w:r>
      </w:hyperlink>
    </w:p>
    <w:p w14:paraId="7283AEA4" w14:textId="3C4BCC18" w:rsidR="00B86611" w:rsidRPr="002C0BDA" w:rsidRDefault="00B86611">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2C0BDA">
        <w:rPr>
          <w:rFonts w:ascii="宋体" w:eastAsia="宋体" w:hAnsi="宋体" w:cs="宋体"/>
          <w:color w:val="E36C0A" w:themeColor="accent6" w:themeShade="BF"/>
          <w:w w:val="110"/>
          <w:sz w:val="18"/>
          <w:szCs w:val="18"/>
          <w:lang w:eastAsia="zh-CN"/>
        </w:rPr>
        <w:t>Web</w:t>
      </w:r>
      <w:r w:rsidRPr="002C0BDA">
        <w:rPr>
          <w:rFonts w:ascii="宋体" w:eastAsia="宋体" w:hAnsi="宋体" w:cs="宋体" w:hint="eastAsia"/>
          <w:color w:val="E36C0A" w:themeColor="accent6" w:themeShade="BF"/>
          <w:w w:val="110"/>
          <w:sz w:val="18"/>
          <w:szCs w:val="18"/>
          <w:lang w:eastAsia="zh-CN"/>
        </w:rPr>
        <w:t>应用程序：</w:t>
      </w:r>
      <w:r w:rsidRPr="002C0BDA">
        <w:rPr>
          <w:rFonts w:ascii="宋体" w:eastAsia="宋体" w:hAnsi="宋体" w:cs="宋体"/>
          <w:color w:val="E36C0A" w:themeColor="accent6" w:themeShade="BF"/>
          <w:w w:val="110"/>
          <w:sz w:val="18"/>
          <w:szCs w:val="18"/>
          <w:lang w:eastAsia="zh-CN"/>
        </w:rPr>
        <w:t>MVC |</w:t>
      </w:r>
      <w:r w:rsidRPr="002C0BDA">
        <w:rPr>
          <w:rFonts w:ascii="宋体" w:eastAsia="宋体" w:hAnsi="宋体" w:cs="宋体" w:hint="eastAsia"/>
          <w:color w:val="E36C0A" w:themeColor="accent6" w:themeShade="BF"/>
          <w:w w:val="110"/>
          <w:sz w:val="18"/>
          <w:szCs w:val="18"/>
          <w:lang w:eastAsia="zh-CN"/>
        </w:rPr>
        <w:t>嵌入式容器</w:t>
      </w:r>
    </w:p>
    <w:p w14:paraId="582772F2" w14:textId="0C92BA59" w:rsidR="00A720EB" w:rsidRPr="00B86611" w:rsidRDefault="0030286B">
      <w:pPr>
        <w:pStyle w:val="a6"/>
        <w:numPr>
          <w:ilvl w:val="2"/>
          <w:numId w:val="79"/>
        </w:numPr>
        <w:tabs>
          <w:tab w:val="left" w:pos="485"/>
        </w:tabs>
        <w:spacing w:before="153"/>
        <w:rPr>
          <w:sz w:val="21"/>
        </w:rPr>
      </w:pPr>
      <w:r>
        <w:rPr>
          <w:rFonts w:ascii="Palatino Linotype" w:hAnsi="Palatino Linotype"/>
          <w:b/>
          <w:color w:val="333333"/>
          <w:spacing w:val="-3"/>
          <w:w w:val="120"/>
          <w:sz w:val="21"/>
        </w:rPr>
        <w:t xml:space="preserve">Working </w:t>
      </w:r>
      <w:r>
        <w:rPr>
          <w:rFonts w:ascii="Palatino Linotype" w:hAnsi="Palatino Linotype"/>
          <w:b/>
          <w:color w:val="333333"/>
          <w:w w:val="120"/>
          <w:sz w:val="21"/>
        </w:rPr>
        <w:t xml:space="preserve">with data: </w:t>
      </w:r>
      <w:hyperlink w:anchor="_bookmark198" w:history="1">
        <w:r>
          <w:rPr>
            <w:color w:val="418BCA"/>
            <w:w w:val="120"/>
            <w:sz w:val="21"/>
          </w:rPr>
          <w:t xml:space="preserve">SQL </w:t>
        </w:r>
      </w:hyperlink>
      <w:r>
        <w:rPr>
          <w:color w:val="333333"/>
          <w:w w:val="150"/>
          <w:sz w:val="21"/>
        </w:rPr>
        <w:t>|</w:t>
      </w:r>
      <w:r>
        <w:rPr>
          <w:color w:val="333333"/>
          <w:spacing w:val="-50"/>
          <w:w w:val="150"/>
          <w:sz w:val="21"/>
        </w:rPr>
        <w:t xml:space="preserve"> </w:t>
      </w:r>
      <w:hyperlink w:anchor="_bookmark221" w:history="1">
        <w:r>
          <w:rPr>
            <w:color w:val="418BCA"/>
            <w:w w:val="120"/>
            <w:sz w:val="21"/>
          </w:rPr>
          <w:t>NO-SQL</w:t>
        </w:r>
      </w:hyperlink>
    </w:p>
    <w:p w14:paraId="7403924A" w14:textId="15705023" w:rsidR="00B86611" w:rsidRPr="002C0BDA" w:rsidRDefault="00B86611">
      <w:pPr>
        <w:pStyle w:val="a6"/>
        <w:numPr>
          <w:ilvl w:val="2"/>
          <w:numId w:val="79"/>
        </w:numPr>
        <w:tabs>
          <w:tab w:val="left" w:pos="485"/>
        </w:tabs>
        <w:spacing w:before="153"/>
        <w:rPr>
          <w:rFonts w:ascii="宋体" w:eastAsia="宋体" w:hAnsi="宋体" w:cs="宋体"/>
          <w:color w:val="E36C0A" w:themeColor="accent6" w:themeShade="BF"/>
          <w:w w:val="110"/>
          <w:sz w:val="18"/>
          <w:szCs w:val="18"/>
          <w:lang w:eastAsia="zh-CN"/>
        </w:rPr>
      </w:pPr>
      <w:r w:rsidRPr="002C0BDA">
        <w:rPr>
          <w:rFonts w:ascii="宋体" w:eastAsia="宋体" w:hAnsi="宋体" w:cs="宋体" w:hint="eastAsia"/>
          <w:color w:val="E36C0A" w:themeColor="accent6" w:themeShade="BF"/>
          <w:w w:val="110"/>
          <w:sz w:val="18"/>
          <w:szCs w:val="18"/>
          <w:lang w:eastAsia="zh-CN"/>
        </w:rPr>
        <w:t>处理数据：</w:t>
      </w:r>
      <w:r w:rsidRPr="002C0BDA">
        <w:rPr>
          <w:rFonts w:ascii="宋体" w:eastAsia="宋体" w:hAnsi="宋体" w:cs="宋体"/>
          <w:color w:val="E36C0A" w:themeColor="accent6" w:themeShade="BF"/>
          <w:w w:val="110"/>
          <w:sz w:val="18"/>
          <w:szCs w:val="18"/>
          <w:lang w:eastAsia="zh-CN"/>
        </w:rPr>
        <w:t>SQL | NO-SQL</w:t>
      </w:r>
    </w:p>
    <w:p w14:paraId="7C718880" w14:textId="375E0C03" w:rsidR="00A720EB" w:rsidRPr="00F07C88" w:rsidRDefault="0030286B">
      <w:pPr>
        <w:pStyle w:val="a6"/>
        <w:numPr>
          <w:ilvl w:val="2"/>
          <w:numId w:val="79"/>
        </w:numPr>
        <w:tabs>
          <w:tab w:val="left" w:pos="485"/>
        </w:tabs>
        <w:spacing w:before="152"/>
        <w:rPr>
          <w:sz w:val="21"/>
        </w:rPr>
      </w:pPr>
      <w:r>
        <w:rPr>
          <w:rFonts w:ascii="Palatino Linotype" w:hAnsi="Palatino Linotype"/>
          <w:b/>
          <w:color w:val="333333"/>
          <w:w w:val="120"/>
          <w:sz w:val="21"/>
        </w:rPr>
        <w:t xml:space="preserve">Messaging: </w:t>
      </w:r>
      <w:hyperlink w:anchor="_bookmark267" w:history="1">
        <w:r>
          <w:rPr>
            <w:color w:val="418BCA"/>
            <w:w w:val="120"/>
            <w:sz w:val="21"/>
          </w:rPr>
          <w:t xml:space="preserve">Overview </w:t>
        </w:r>
      </w:hyperlink>
      <w:r>
        <w:rPr>
          <w:color w:val="333333"/>
          <w:w w:val="145"/>
          <w:sz w:val="21"/>
        </w:rPr>
        <w:t>|</w:t>
      </w:r>
      <w:r>
        <w:rPr>
          <w:color w:val="333333"/>
          <w:spacing w:val="-30"/>
          <w:w w:val="145"/>
          <w:sz w:val="21"/>
        </w:rPr>
        <w:t xml:space="preserve"> </w:t>
      </w:r>
      <w:hyperlink w:anchor="_bookmark268" w:history="1">
        <w:r>
          <w:rPr>
            <w:color w:val="418BCA"/>
            <w:w w:val="120"/>
            <w:sz w:val="21"/>
          </w:rPr>
          <w:t>JMS</w:t>
        </w:r>
      </w:hyperlink>
    </w:p>
    <w:p w14:paraId="2DFFA63C" w14:textId="7FC6E1ED" w:rsidR="00F07C88" w:rsidRPr="002C0BDA" w:rsidRDefault="00F07C88">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2C0BDA">
        <w:rPr>
          <w:rFonts w:ascii="宋体" w:eastAsia="宋体" w:hAnsi="宋体" w:cs="宋体" w:hint="eastAsia"/>
          <w:color w:val="E36C0A" w:themeColor="accent6" w:themeShade="BF"/>
          <w:w w:val="110"/>
          <w:sz w:val="18"/>
          <w:szCs w:val="18"/>
          <w:lang w:eastAsia="zh-CN"/>
        </w:rPr>
        <w:t>消息传递</w:t>
      </w:r>
      <w:r w:rsidRPr="002C0BDA">
        <w:rPr>
          <w:rFonts w:ascii="宋体" w:eastAsia="宋体" w:hAnsi="宋体" w:cs="宋体"/>
          <w:color w:val="E36C0A" w:themeColor="accent6" w:themeShade="BF"/>
          <w:w w:val="110"/>
          <w:sz w:val="18"/>
          <w:szCs w:val="18"/>
          <w:lang w:eastAsia="zh-CN"/>
        </w:rPr>
        <w:t xml:space="preserve">: </w:t>
      </w:r>
      <w:r w:rsidRPr="002C0BDA">
        <w:rPr>
          <w:rFonts w:ascii="宋体" w:eastAsia="宋体" w:hAnsi="宋体" w:cs="宋体" w:hint="eastAsia"/>
          <w:color w:val="E36C0A" w:themeColor="accent6" w:themeShade="BF"/>
          <w:w w:val="110"/>
          <w:sz w:val="18"/>
          <w:szCs w:val="18"/>
          <w:lang w:eastAsia="zh-CN"/>
        </w:rPr>
        <w:t>概述</w:t>
      </w:r>
      <w:r w:rsidRPr="002C0BDA">
        <w:rPr>
          <w:rFonts w:ascii="宋体" w:eastAsia="宋体" w:hAnsi="宋体" w:cs="宋体"/>
          <w:color w:val="E36C0A" w:themeColor="accent6" w:themeShade="BF"/>
          <w:w w:val="110"/>
          <w:sz w:val="18"/>
          <w:szCs w:val="18"/>
          <w:lang w:eastAsia="zh-CN"/>
        </w:rPr>
        <w:t xml:space="preserve"> | JMS</w:t>
      </w:r>
    </w:p>
    <w:p w14:paraId="2A8E877E" w14:textId="402A88EA" w:rsidR="00A720EB" w:rsidRPr="00F07C88" w:rsidRDefault="0030286B">
      <w:pPr>
        <w:pStyle w:val="a6"/>
        <w:numPr>
          <w:ilvl w:val="2"/>
          <w:numId w:val="79"/>
        </w:numPr>
        <w:tabs>
          <w:tab w:val="left" w:pos="485"/>
        </w:tabs>
        <w:spacing w:before="152"/>
        <w:rPr>
          <w:sz w:val="21"/>
        </w:rPr>
      </w:pPr>
      <w:r>
        <w:rPr>
          <w:rFonts w:ascii="Palatino Linotype" w:hAnsi="Palatino Linotype"/>
          <w:b/>
          <w:color w:val="333333"/>
          <w:w w:val="125"/>
          <w:sz w:val="21"/>
        </w:rPr>
        <w:t>Testing:</w:t>
      </w:r>
      <w:r>
        <w:rPr>
          <w:rFonts w:ascii="Palatino Linotype" w:hAnsi="Palatino Linotype"/>
          <w:b/>
          <w:color w:val="333333"/>
          <w:spacing w:val="-17"/>
          <w:w w:val="125"/>
          <w:sz w:val="21"/>
        </w:rPr>
        <w:t xml:space="preserve"> </w:t>
      </w:r>
      <w:hyperlink w:anchor="_bookmark303" w:history="1">
        <w:r>
          <w:rPr>
            <w:color w:val="418BCA"/>
            <w:w w:val="125"/>
            <w:sz w:val="21"/>
          </w:rPr>
          <w:t>Overview</w:t>
        </w:r>
        <w:r>
          <w:rPr>
            <w:color w:val="418BCA"/>
            <w:spacing w:val="-9"/>
            <w:w w:val="125"/>
            <w:sz w:val="21"/>
          </w:rPr>
          <w:t xml:space="preserve"> </w:t>
        </w:r>
      </w:hyperlink>
      <w:r>
        <w:rPr>
          <w:color w:val="333333"/>
          <w:w w:val="145"/>
          <w:sz w:val="21"/>
        </w:rPr>
        <w:t>|</w:t>
      </w:r>
      <w:r>
        <w:rPr>
          <w:color w:val="333333"/>
          <w:spacing w:val="-18"/>
          <w:w w:val="145"/>
          <w:sz w:val="21"/>
        </w:rPr>
        <w:t xml:space="preserve"> </w:t>
      </w:r>
      <w:hyperlink w:anchor="_bookmark306" w:history="1">
        <w:r>
          <w:rPr>
            <w:color w:val="418BCA"/>
            <w:w w:val="125"/>
            <w:sz w:val="21"/>
          </w:rPr>
          <w:t>Boot</w:t>
        </w:r>
        <w:r>
          <w:rPr>
            <w:color w:val="418BCA"/>
            <w:spacing w:val="-10"/>
            <w:w w:val="125"/>
            <w:sz w:val="21"/>
          </w:rPr>
          <w:t xml:space="preserve"> </w:t>
        </w:r>
        <w:r>
          <w:rPr>
            <w:color w:val="418BCA"/>
            <w:w w:val="125"/>
            <w:sz w:val="21"/>
          </w:rPr>
          <w:t>Applications</w:t>
        </w:r>
        <w:r>
          <w:rPr>
            <w:color w:val="418BCA"/>
            <w:spacing w:val="-8"/>
            <w:w w:val="125"/>
            <w:sz w:val="21"/>
          </w:rPr>
          <w:t xml:space="preserve"> </w:t>
        </w:r>
      </w:hyperlink>
      <w:r>
        <w:rPr>
          <w:color w:val="333333"/>
          <w:w w:val="145"/>
          <w:sz w:val="21"/>
        </w:rPr>
        <w:t>|</w:t>
      </w:r>
      <w:r>
        <w:rPr>
          <w:color w:val="333333"/>
          <w:spacing w:val="-18"/>
          <w:w w:val="145"/>
          <w:sz w:val="21"/>
        </w:rPr>
        <w:t xml:space="preserve"> </w:t>
      </w:r>
      <w:hyperlink w:anchor="_bookmark334" w:history="1">
        <w:r>
          <w:rPr>
            <w:color w:val="418BCA"/>
            <w:w w:val="125"/>
            <w:sz w:val="21"/>
          </w:rPr>
          <w:t>Utils</w:t>
        </w:r>
      </w:hyperlink>
    </w:p>
    <w:p w14:paraId="3AD35326" w14:textId="3D95A3E6" w:rsidR="00F07C88" w:rsidRPr="002C0BDA" w:rsidRDefault="00F07C88">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2C0BDA">
        <w:rPr>
          <w:rFonts w:ascii="宋体" w:eastAsia="宋体" w:hAnsi="宋体" w:cs="宋体" w:hint="eastAsia"/>
          <w:color w:val="E36C0A" w:themeColor="accent6" w:themeShade="BF"/>
          <w:w w:val="110"/>
          <w:sz w:val="18"/>
          <w:szCs w:val="18"/>
          <w:lang w:eastAsia="zh-CN"/>
        </w:rPr>
        <w:t>测试：概述</w:t>
      </w:r>
      <w:r w:rsidRPr="002C0BDA">
        <w:rPr>
          <w:rFonts w:ascii="宋体" w:eastAsia="宋体" w:hAnsi="宋体" w:cs="宋体"/>
          <w:color w:val="E36C0A" w:themeColor="accent6" w:themeShade="BF"/>
          <w:w w:val="110"/>
          <w:sz w:val="18"/>
          <w:szCs w:val="18"/>
          <w:lang w:eastAsia="zh-CN"/>
        </w:rPr>
        <w:t xml:space="preserve">| </w:t>
      </w:r>
      <w:r w:rsidRPr="002C0BDA">
        <w:rPr>
          <w:rFonts w:ascii="宋体" w:eastAsia="宋体" w:hAnsi="宋体" w:cs="宋体" w:hint="eastAsia"/>
          <w:color w:val="E36C0A" w:themeColor="accent6" w:themeShade="BF"/>
          <w:w w:val="110"/>
          <w:sz w:val="18"/>
          <w:szCs w:val="18"/>
          <w:lang w:eastAsia="zh-CN"/>
        </w:rPr>
        <w:t>引导应用程序</w:t>
      </w:r>
      <w:r w:rsidRPr="002C0BDA">
        <w:rPr>
          <w:rFonts w:ascii="宋体" w:eastAsia="宋体" w:hAnsi="宋体" w:cs="宋体"/>
          <w:color w:val="E36C0A" w:themeColor="accent6" w:themeShade="BF"/>
          <w:w w:val="110"/>
          <w:sz w:val="18"/>
          <w:szCs w:val="18"/>
          <w:lang w:eastAsia="zh-CN"/>
        </w:rPr>
        <w:t xml:space="preserve">| </w:t>
      </w:r>
      <w:r w:rsidRPr="002C0BDA">
        <w:rPr>
          <w:rFonts w:ascii="宋体" w:eastAsia="宋体" w:hAnsi="宋体" w:cs="宋体" w:hint="eastAsia"/>
          <w:color w:val="E36C0A" w:themeColor="accent6" w:themeShade="BF"/>
          <w:w w:val="110"/>
          <w:sz w:val="18"/>
          <w:szCs w:val="18"/>
          <w:lang w:eastAsia="zh-CN"/>
        </w:rPr>
        <w:t>实用程序</w:t>
      </w:r>
    </w:p>
    <w:p w14:paraId="38F0C351" w14:textId="2DD009DF" w:rsidR="00A720EB" w:rsidRPr="002C0BDA" w:rsidRDefault="0030286B">
      <w:pPr>
        <w:pStyle w:val="a6"/>
        <w:numPr>
          <w:ilvl w:val="2"/>
          <w:numId w:val="79"/>
        </w:numPr>
        <w:tabs>
          <w:tab w:val="left" w:pos="485"/>
        </w:tabs>
        <w:spacing w:before="153"/>
        <w:rPr>
          <w:sz w:val="21"/>
        </w:rPr>
      </w:pPr>
      <w:r>
        <w:rPr>
          <w:rFonts w:ascii="Palatino Linotype" w:hAnsi="Palatino Linotype"/>
          <w:b/>
          <w:color w:val="333333"/>
          <w:w w:val="125"/>
          <w:sz w:val="21"/>
        </w:rPr>
        <w:t xml:space="preserve">Extending: </w:t>
      </w:r>
      <w:hyperlink w:anchor="_bookmark342" w:history="1">
        <w:r>
          <w:rPr>
            <w:color w:val="418BCA"/>
            <w:w w:val="125"/>
            <w:sz w:val="21"/>
          </w:rPr>
          <w:t xml:space="preserve">Auto-configuration </w:t>
        </w:r>
      </w:hyperlink>
      <w:r>
        <w:rPr>
          <w:color w:val="333333"/>
          <w:w w:val="145"/>
          <w:sz w:val="21"/>
        </w:rPr>
        <w:t>|</w:t>
      </w:r>
      <w:r>
        <w:rPr>
          <w:color w:val="333333"/>
          <w:spacing w:val="-44"/>
          <w:w w:val="145"/>
          <w:sz w:val="21"/>
        </w:rPr>
        <w:t xml:space="preserve"> </w:t>
      </w:r>
      <w:hyperlink w:anchor="_bookmark345" w:history="1">
        <w:r>
          <w:rPr>
            <w:color w:val="418BCA"/>
            <w:w w:val="125"/>
            <w:sz w:val="21"/>
          </w:rPr>
          <w:t>@Conditions</w:t>
        </w:r>
      </w:hyperlink>
    </w:p>
    <w:p w14:paraId="211787D4" w14:textId="40C19C5E" w:rsidR="002C0BDA" w:rsidRPr="002C0BDA" w:rsidRDefault="002C0BDA" w:rsidP="002C0BDA">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2C0BDA">
        <w:rPr>
          <w:rFonts w:ascii="宋体" w:eastAsia="宋体" w:hAnsi="宋体" w:cs="宋体" w:hint="eastAsia"/>
          <w:color w:val="E36C0A" w:themeColor="accent6" w:themeShade="BF"/>
          <w:w w:val="110"/>
          <w:sz w:val="18"/>
          <w:szCs w:val="18"/>
          <w:lang w:eastAsia="zh-CN"/>
        </w:rPr>
        <w:t>扩展</w:t>
      </w:r>
      <w:r w:rsidRPr="002C0BDA">
        <w:rPr>
          <w:rFonts w:ascii="宋体" w:eastAsia="宋体" w:hAnsi="宋体" w:cs="宋体"/>
          <w:color w:val="E36C0A" w:themeColor="accent6" w:themeShade="BF"/>
          <w:w w:val="110"/>
          <w:sz w:val="18"/>
          <w:szCs w:val="18"/>
          <w:lang w:eastAsia="zh-CN"/>
        </w:rPr>
        <w:t>:</w:t>
      </w:r>
      <w:r w:rsidRPr="002C0BDA">
        <w:rPr>
          <w:rFonts w:ascii="宋体" w:eastAsia="宋体" w:hAnsi="宋体" w:cs="宋体" w:hint="eastAsia"/>
          <w:color w:val="E36C0A" w:themeColor="accent6" w:themeShade="BF"/>
          <w:w w:val="110"/>
          <w:sz w:val="18"/>
          <w:szCs w:val="18"/>
          <w:lang w:eastAsia="zh-CN"/>
        </w:rPr>
        <w:t>自动配置</w:t>
      </w:r>
      <w:r w:rsidRPr="002C0BDA">
        <w:rPr>
          <w:rFonts w:ascii="宋体" w:eastAsia="宋体" w:hAnsi="宋体" w:cs="宋体"/>
          <w:color w:val="E36C0A" w:themeColor="accent6" w:themeShade="BF"/>
          <w:w w:val="110"/>
          <w:sz w:val="18"/>
          <w:szCs w:val="18"/>
          <w:lang w:eastAsia="zh-CN"/>
        </w:rPr>
        <w:t>| @Conditions</w:t>
      </w:r>
    </w:p>
    <w:p w14:paraId="0781CC67" w14:textId="77777777" w:rsidR="00A720EB" w:rsidRDefault="00A720EB">
      <w:pPr>
        <w:pStyle w:val="a3"/>
        <w:spacing w:before="4"/>
        <w:rPr>
          <w:sz w:val="30"/>
          <w:lang w:eastAsia="zh-CN"/>
        </w:rPr>
      </w:pPr>
    </w:p>
    <w:p w14:paraId="198B33F5" w14:textId="140CFEA0" w:rsidR="00A720EB" w:rsidRDefault="0030286B">
      <w:pPr>
        <w:pStyle w:val="2"/>
        <w:numPr>
          <w:ilvl w:val="1"/>
          <w:numId w:val="79"/>
        </w:numPr>
        <w:tabs>
          <w:tab w:val="left" w:pos="832"/>
        </w:tabs>
      </w:pPr>
      <w:bookmarkStart w:id="17" w:name="1.6._Moving_to_Production"/>
      <w:bookmarkStart w:id="18" w:name="_Toc54423662"/>
      <w:bookmarkEnd w:id="17"/>
      <w:r>
        <w:rPr>
          <w:color w:val="333333"/>
          <w:w w:val="110"/>
        </w:rPr>
        <w:t>Moving to</w:t>
      </w:r>
      <w:r>
        <w:rPr>
          <w:color w:val="333333"/>
          <w:spacing w:val="-15"/>
          <w:w w:val="110"/>
        </w:rPr>
        <w:t xml:space="preserve"> </w:t>
      </w:r>
      <w:r>
        <w:rPr>
          <w:color w:val="333333"/>
          <w:w w:val="110"/>
        </w:rPr>
        <w:t>Production</w:t>
      </w:r>
      <w:r w:rsidR="002C0BDA">
        <w:rPr>
          <w:color w:val="333333"/>
          <w:w w:val="110"/>
        </w:rPr>
        <w:t xml:space="preserve"> </w:t>
      </w:r>
      <w:r w:rsidR="002C0BDA" w:rsidRPr="002C0BDA">
        <w:rPr>
          <w:rFonts w:ascii="宋体" w:eastAsia="宋体" w:hAnsi="宋体" w:cs="宋体" w:hint="eastAsia"/>
          <w:color w:val="E36C0A" w:themeColor="accent6" w:themeShade="BF"/>
          <w:w w:val="110"/>
        </w:rPr>
        <w:t>进入生产阶段</w:t>
      </w:r>
      <w:bookmarkEnd w:id="18"/>
    </w:p>
    <w:p w14:paraId="0C54FBC0" w14:textId="15512EFA" w:rsidR="00A720EB" w:rsidRDefault="0030286B">
      <w:pPr>
        <w:pStyle w:val="a3"/>
        <w:spacing w:before="253" w:line="307" w:lineRule="auto"/>
        <w:ind w:left="124" w:right="462"/>
        <w:rPr>
          <w:color w:val="333333"/>
          <w:w w:val="110"/>
        </w:rPr>
      </w:pPr>
      <w:r>
        <w:rPr>
          <w:color w:val="333333"/>
          <w:w w:val="110"/>
        </w:rPr>
        <w:t xml:space="preserve">When you are ready to push your Spring Boot application to production, we have </w:t>
      </w:r>
      <w:hyperlink w:anchor="_bookmark378" w:history="1">
        <w:r>
          <w:rPr>
            <w:color w:val="418BCA"/>
            <w:w w:val="110"/>
          </w:rPr>
          <w:t xml:space="preserve">some tricks </w:t>
        </w:r>
      </w:hyperlink>
      <w:r>
        <w:rPr>
          <w:color w:val="333333"/>
          <w:w w:val="110"/>
        </w:rPr>
        <w:t>that you might</w:t>
      </w:r>
      <w:r>
        <w:rPr>
          <w:color w:val="333333"/>
          <w:spacing w:val="4"/>
          <w:w w:val="110"/>
        </w:rPr>
        <w:t xml:space="preserve"> </w:t>
      </w:r>
      <w:r>
        <w:rPr>
          <w:color w:val="333333"/>
          <w:w w:val="110"/>
        </w:rPr>
        <w:t>like:</w:t>
      </w:r>
    </w:p>
    <w:p w14:paraId="0A41618A" w14:textId="073CFEBB" w:rsidR="001C6941" w:rsidRPr="001C6941" w:rsidRDefault="001C6941" w:rsidP="001C6941">
      <w:pPr>
        <w:pStyle w:val="a3"/>
        <w:spacing w:before="253"/>
        <w:ind w:left="124"/>
        <w:rPr>
          <w:rFonts w:ascii="宋体" w:eastAsia="宋体" w:hAnsi="宋体" w:cs="宋体"/>
          <w:color w:val="E36C0A" w:themeColor="accent6" w:themeShade="BF"/>
          <w:w w:val="110"/>
          <w:sz w:val="18"/>
          <w:szCs w:val="18"/>
          <w:lang w:eastAsia="zh-CN"/>
        </w:rPr>
      </w:pPr>
      <w:r w:rsidRPr="001C6941">
        <w:rPr>
          <w:rFonts w:ascii="宋体" w:eastAsia="宋体" w:hAnsi="宋体" w:cs="宋体" w:hint="eastAsia"/>
          <w:color w:val="E36C0A" w:themeColor="accent6" w:themeShade="BF"/>
          <w:w w:val="110"/>
          <w:sz w:val="18"/>
          <w:szCs w:val="18"/>
          <w:lang w:eastAsia="zh-CN"/>
        </w:rPr>
        <w:t>当您准备将您的</w:t>
      </w:r>
      <w:r w:rsidRPr="001C6941">
        <w:rPr>
          <w:rFonts w:ascii="宋体" w:eastAsia="宋体" w:hAnsi="宋体" w:cs="宋体"/>
          <w:color w:val="E36C0A" w:themeColor="accent6" w:themeShade="BF"/>
          <w:w w:val="110"/>
          <w:sz w:val="18"/>
          <w:szCs w:val="18"/>
          <w:lang w:eastAsia="zh-CN"/>
        </w:rPr>
        <w:t xml:space="preserve"> Spring Boot </w:t>
      </w:r>
      <w:r w:rsidRPr="001C6941">
        <w:rPr>
          <w:rFonts w:ascii="宋体" w:eastAsia="宋体" w:hAnsi="宋体" w:cs="宋体" w:hint="eastAsia"/>
          <w:color w:val="E36C0A" w:themeColor="accent6" w:themeShade="BF"/>
          <w:w w:val="110"/>
          <w:sz w:val="18"/>
          <w:szCs w:val="18"/>
          <w:lang w:eastAsia="zh-CN"/>
        </w:rPr>
        <w:t>应用程序投入生产时，我们有一些您可能会喜欢的技巧</w:t>
      </w:r>
      <w:r w:rsidRPr="001C6941">
        <w:rPr>
          <w:rFonts w:ascii="宋体" w:eastAsia="宋体" w:hAnsi="宋体" w:cs="宋体"/>
          <w:color w:val="E36C0A" w:themeColor="accent6" w:themeShade="BF"/>
          <w:w w:val="110"/>
          <w:sz w:val="18"/>
          <w:szCs w:val="18"/>
          <w:lang w:eastAsia="zh-CN"/>
        </w:rPr>
        <w:t>:</w:t>
      </w:r>
    </w:p>
    <w:p w14:paraId="334A9BA4" w14:textId="4E08D109" w:rsidR="00A720EB" w:rsidRPr="001C6941" w:rsidRDefault="0030286B">
      <w:pPr>
        <w:pStyle w:val="a6"/>
        <w:numPr>
          <w:ilvl w:val="2"/>
          <w:numId w:val="79"/>
        </w:numPr>
        <w:tabs>
          <w:tab w:val="left" w:pos="485"/>
        </w:tabs>
        <w:spacing w:before="220"/>
        <w:rPr>
          <w:sz w:val="21"/>
        </w:rPr>
      </w:pPr>
      <w:r>
        <w:rPr>
          <w:rFonts w:ascii="Palatino Linotype" w:hAnsi="Palatino Linotype"/>
          <w:b/>
          <w:color w:val="333333"/>
          <w:w w:val="110"/>
          <w:sz w:val="21"/>
        </w:rPr>
        <w:t>Management endpoints:</w:t>
      </w:r>
      <w:r>
        <w:rPr>
          <w:rFonts w:ascii="Palatino Linotype" w:hAnsi="Palatino Linotype"/>
          <w:b/>
          <w:color w:val="333333"/>
          <w:spacing w:val="-9"/>
          <w:w w:val="110"/>
          <w:sz w:val="21"/>
        </w:rPr>
        <w:t xml:space="preserve"> </w:t>
      </w:r>
      <w:hyperlink w:anchor="_bookmark380" w:history="1">
        <w:r>
          <w:rPr>
            <w:color w:val="418BCA"/>
            <w:w w:val="110"/>
            <w:sz w:val="21"/>
          </w:rPr>
          <w:t>Overview</w:t>
        </w:r>
      </w:hyperlink>
    </w:p>
    <w:p w14:paraId="434820A2" w14:textId="2258961B" w:rsidR="001C6941" w:rsidRPr="00644352" w:rsidRDefault="001C6941" w:rsidP="00644352">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644352">
        <w:rPr>
          <w:rFonts w:ascii="宋体" w:eastAsia="宋体" w:hAnsi="宋体" w:cs="宋体" w:hint="eastAsia"/>
          <w:color w:val="E36C0A" w:themeColor="accent6" w:themeShade="BF"/>
          <w:w w:val="110"/>
          <w:sz w:val="18"/>
          <w:szCs w:val="18"/>
          <w:lang w:eastAsia="zh-CN"/>
        </w:rPr>
        <w:t>管理端点：概述</w:t>
      </w:r>
    </w:p>
    <w:p w14:paraId="5041A078" w14:textId="579C1CFD" w:rsidR="00A720EB" w:rsidRPr="001C6941" w:rsidRDefault="0030286B">
      <w:pPr>
        <w:pStyle w:val="a6"/>
        <w:numPr>
          <w:ilvl w:val="2"/>
          <w:numId w:val="79"/>
        </w:numPr>
        <w:tabs>
          <w:tab w:val="left" w:pos="485"/>
        </w:tabs>
        <w:spacing w:before="152"/>
        <w:rPr>
          <w:sz w:val="21"/>
        </w:rPr>
      </w:pPr>
      <w:r>
        <w:rPr>
          <w:rFonts w:ascii="Palatino Linotype" w:hAnsi="Palatino Linotype"/>
          <w:b/>
          <w:color w:val="333333"/>
          <w:w w:val="120"/>
          <w:sz w:val="21"/>
        </w:rPr>
        <w:t xml:space="preserve">Connection options: </w:t>
      </w:r>
      <w:hyperlink w:anchor="_bookmark407" w:history="1">
        <w:r>
          <w:rPr>
            <w:color w:val="418BCA"/>
            <w:w w:val="120"/>
            <w:sz w:val="21"/>
          </w:rPr>
          <w:t xml:space="preserve">HTTP </w:t>
        </w:r>
      </w:hyperlink>
      <w:r>
        <w:rPr>
          <w:color w:val="333333"/>
          <w:w w:val="145"/>
          <w:sz w:val="21"/>
        </w:rPr>
        <w:t>|</w:t>
      </w:r>
      <w:r>
        <w:rPr>
          <w:color w:val="333333"/>
          <w:spacing w:val="-40"/>
          <w:w w:val="145"/>
          <w:sz w:val="21"/>
        </w:rPr>
        <w:t xml:space="preserve"> </w:t>
      </w:r>
      <w:hyperlink w:anchor="_bookmark413" w:history="1">
        <w:r>
          <w:rPr>
            <w:color w:val="418BCA"/>
            <w:w w:val="120"/>
            <w:sz w:val="21"/>
          </w:rPr>
          <w:t>JMX</w:t>
        </w:r>
      </w:hyperlink>
    </w:p>
    <w:p w14:paraId="1B10E842" w14:textId="20D16337" w:rsidR="001C6941" w:rsidRPr="00644352" w:rsidRDefault="001C6941">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644352">
        <w:rPr>
          <w:rFonts w:ascii="宋体" w:eastAsia="宋体" w:hAnsi="宋体" w:cs="宋体" w:hint="eastAsia"/>
          <w:color w:val="E36C0A" w:themeColor="accent6" w:themeShade="BF"/>
          <w:w w:val="110"/>
          <w:sz w:val="18"/>
          <w:szCs w:val="18"/>
          <w:lang w:eastAsia="zh-CN"/>
        </w:rPr>
        <w:t>连接选项</w:t>
      </w:r>
      <w:r w:rsidRPr="00644352">
        <w:rPr>
          <w:rFonts w:ascii="宋体" w:eastAsia="宋体" w:hAnsi="宋体" w:cs="宋体"/>
          <w:color w:val="E36C0A" w:themeColor="accent6" w:themeShade="BF"/>
          <w:w w:val="110"/>
          <w:sz w:val="18"/>
          <w:szCs w:val="18"/>
          <w:lang w:eastAsia="zh-CN"/>
        </w:rPr>
        <w:t>: HTTP | JMX</w:t>
      </w:r>
    </w:p>
    <w:p w14:paraId="00B5F6C9" w14:textId="6CE7A192" w:rsidR="00A720EB" w:rsidRPr="00644352" w:rsidRDefault="0030286B">
      <w:pPr>
        <w:pStyle w:val="a6"/>
        <w:numPr>
          <w:ilvl w:val="2"/>
          <w:numId w:val="79"/>
        </w:numPr>
        <w:tabs>
          <w:tab w:val="left" w:pos="485"/>
        </w:tabs>
        <w:spacing w:before="153"/>
        <w:rPr>
          <w:sz w:val="21"/>
        </w:rPr>
      </w:pPr>
      <w:r>
        <w:rPr>
          <w:rFonts w:ascii="Palatino Linotype" w:hAnsi="Palatino Linotype"/>
          <w:b/>
          <w:color w:val="333333"/>
          <w:w w:val="120"/>
          <w:sz w:val="21"/>
        </w:rPr>
        <w:t>Monitoring:</w:t>
      </w:r>
      <w:r>
        <w:rPr>
          <w:rFonts w:ascii="Palatino Linotype" w:hAnsi="Palatino Linotype"/>
          <w:b/>
          <w:color w:val="333333"/>
          <w:spacing w:val="-16"/>
          <w:w w:val="120"/>
          <w:sz w:val="21"/>
        </w:rPr>
        <w:t xml:space="preserve"> </w:t>
      </w:r>
      <w:hyperlink w:anchor="_bookmark421" w:history="1">
        <w:r>
          <w:rPr>
            <w:color w:val="418BCA"/>
            <w:w w:val="120"/>
            <w:sz w:val="21"/>
          </w:rPr>
          <w:t>Metrics</w:t>
        </w:r>
        <w:r>
          <w:rPr>
            <w:color w:val="418BCA"/>
            <w:spacing w:val="-6"/>
            <w:w w:val="120"/>
            <w:sz w:val="21"/>
          </w:rPr>
          <w:t xml:space="preserve"> </w:t>
        </w:r>
      </w:hyperlink>
      <w:r>
        <w:rPr>
          <w:color w:val="333333"/>
          <w:w w:val="145"/>
          <w:sz w:val="21"/>
        </w:rPr>
        <w:t>|</w:t>
      </w:r>
      <w:r>
        <w:rPr>
          <w:color w:val="333333"/>
          <w:spacing w:val="-18"/>
          <w:w w:val="145"/>
          <w:sz w:val="21"/>
        </w:rPr>
        <w:t xml:space="preserve"> </w:t>
      </w:r>
      <w:hyperlink w:anchor="_bookmark457" w:history="1">
        <w:r>
          <w:rPr>
            <w:color w:val="418BCA"/>
            <w:w w:val="120"/>
            <w:sz w:val="21"/>
          </w:rPr>
          <w:t>Auditing</w:t>
        </w:r>
        <w:r>
          <w:rPr>
            <w:color w:val="418BCA"/>
            <w:spacing w:val="-7"/>
            <w:w w:val="120"/>
            <w:sz w:val="21"/>
          </w:rPr>
          <w:t xml:space="preserve"> </w:t>
        </w:r>
      </w:hyperlink>
      <w:r>
        <w:rPr>
          <w:color w:val="333333"/>
          <w:w w:val="145"/>
          <w:sz w:val="21"/>
        </w:rPr>
        <w:t>|</w:t>
      </w:r>
      <w:r>
        <w:rPr>
          <w:color w:val="333333"/>
          <w:spacing w:val="-18"/>
          <w:w w:val="145"/>
          <w:sz w:val="21"/>
        </w:rPr>
        <w:t xml:space="preserve"> </w:t>
      </w:r>
      <w:hyperlink w:anchor="_bookmark459" w:history="1">
        <w:r>
          <w:rPr>
            <w:color w:val="418BCA"/>
            <w:w w:val="120"/>
            <w:sz w:val="21"/>
          </w:rPr>
          <w:t>HTTP</w:t>
        </w:r>
        <w:r>
          <w:rPr>
            <w:color w:val="418BCA"/>
            <w:spacing w:val="-7"/>
            <w:w w:val="120"/>
            <w:sz w:val="21"/>
          </w:rPr>
          <w:t xml:space="preserve"> </w:t>
        </w:r>
        <w:r>
          <w:rPr>
            <w:color w:val="418BCA"/>
            <w:w w:val="120"/>
            <w:sz w:val="21"/>
          </w:rPr>
          <w:t>Tracing</w:t>
        </w:r>
        <w:r>
          <w:rPr>
            <w:color w:val="418BCA"/>
            <w:spacing w:val="-6"/>
            <w:w w:val="120"/>
            <w:sz w:val="21"/>
          </w:rPr>
          <w:t xml:space="preserve"> </w:t>
        </w:r>
      </w:hyperlink>
      <w:r>
        <w:rPr>
          <w:color w:val="333333"/>
          <w:w w:val="145"/>
          <w:sz w:val="21"/>
        </w:rPr>
        <w:t>|</w:t>
      </w:r>
      <w:r>
        <w:rPr>
          <w:color w:val="333333"/>
          <w:spacing w:val="-18"/>
          <w:w w:val="145"/>
          <w:sz w:val="21"/>
        </w:rPr>
        <w:t xml:space="preserve"> </w:t>
      </w:r>
      <w:hyperlink w:anchor="_bookmark461" w:history="1">
        <w:r>
          <w:rPr>
            <w:color w:val="418BCA"/>
            <w:w w:val="120"/>
            <w:sz w:val="21"/>
          </w:rPr>
          <w:t>Process</w:t>
        </w:r>
      </w:hyperlink>
    </w:p>
    <w:p w14:paraId="0D2E45BE" w14:textId="1567BF6C" w:rsidR="00644352" w:rsidRPr="00644352" w:rsidRDefault="00644352" w:rsidP="00644352">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644352">
        <w:rPr>
          <w:rFonts w:ascii="宋体" w:eastAsia="宋体" w:hAnsi="宋体" w:cs="宋体" w:hint="eastAsia"/>
          <w:color w:val="E36C0A" w:themeColor="accent6" w:themeShade="BF"/>
          <w:w w:val="110"/>
          <w:sz w:val="18"/>
          <w:szCs w:val="18"/>
          <w:lang w:eastAsia="zh-CN"/>
        </w:rPr>
        <w:t>监控</w:t>
      </w:r>
      <w:r w:rsidRPr="00644352">
        <w:rPr>
          <w:rFonts w:ascii="宋体" w:eastAsia="宋体" w:hAnsi="宋体" w:cs="宋体"/>
          <w:color w:val="E36C0A" w:themeColor="accent6" w:themeShade="BF"/>
          <w:w w:val="110"/>
          <w:sz w:val="18"/>
          <w:szCs w:val="18"/>
          <w:lang w:eastAsia="zh-CN"/>
        </w:rPr>
        <w:t xml:space="preserve">: </w:t>
      </w:r>
      <w:r w:rsidRPr="00644352">
        <w:rPr>
          <w:rFonts w:ascii="宋体" w:eastAsia="宋体" w:hAnsi="宋体" w:cs="宋体" w:hint="eastAsia"/>
          <w:color w:val="E36C0A" w:themeColor="accent6" w:themeShade="BF"/>
          <w:w w:val="110"/>
          <w:sz w:val="18"/>
          <w:szCs w:val="18"/>
          <w:lang w:eastAsia="zh-CN"/>
        </w:rPr>
        <w:t>度量</w:t>
      </w:r>
      <w:r w:rsidRPr="00644352">
        <w:rPr>
          <w:rFonts w:ascii="宋体" w:eastAsia="宋体" w:hAnsi="宋体" w:cs="宋体"/>
          <w:color w:val="E36C0A" w:themeColor="accent6" w:themeShade="BF"/>
          <w:w w:val="110"/>
          <w:sz w:val="18"/>
          <w:szCs w:val="18"/>
          <w:lang w:eastAsia="zh-CN"/>
        </w:rPr>
        <w:t xml:space="preserve"> | </w:t>
      </w:r>
      <w:r w:rsidRPr="00644352">
        <w:rPr>
          <w:rFonts w:ascii="宋体" w:eastAsia="宋体" w:hAnsi="宋体" w:cs="宋体" w:hint="eastAsia"/>
          <w:color w:val="E36C0A" w:themeColor="accent6" w:themeShade="BF"/>
          <w:w w:val="110"/>
          <w:sz w:val="18"/>
          <w:szCs w:val="18"/>
          <w:lang w:eastAsia="zh-CN"/>
        </w:rPr>
        <w:t>审计</w:t>
      </w:r>
      <w:r w:rsidRPr="00644352">
        <w:rPr>
          <w:rFonts w:ascii="宋体" w:eastAsia="宋体" w:hAnsi="宋体" w:cs="宋体"/>
          <w:color w:val="E36C0A" w:themeColor="accent6" w:themeShade="BF"/>
          <w:w w:val="110"/>
          <w:sz w:val="18"/>
          <w:szCs w:val="18"/>
          <w:lang w:eastAsia="zh-CN"/>
        </w:rPr>
        <w:t xml:space="preserve"> | HTTP </w:t>
      </w:r>
      <w:r w:rsidRPr="00644352">
        <w:rPr>
          <w:rFonts w:ascii="宋体" w:eastAsia="宋体" w:hAnsi="宋体" w:cs="宋体" w:hint="eastAsia"/>
          <w:color w:val="E36C0A" w:themeColor="accent6" w:themeShade="BF"/>
          <w:w w:val="110"/>
          <w:sz w:val="18"/>
          <w:szCs w:val="18"/>
          <w:lang w:eastAsia="zh-CN"/>
        </w:rPr>
        <w:t>跟踪</w:t>
      </w:r>
      <w:r w:rsidRPr="00644352">
        <w:rPr>
          <w:rFonts w:ascii="宋体" w:eastAsia="宋体" w:hAnsi="宋体" w:cs="宋体"/>
          <w:color w:val="E36C0A" w:themeColor="accent6" w:themeShade="BF"/>
          <w:w w:val="110"/>
          <w:sz w:val="18"/>
          <w:szCs w:val="18"/>
          <w:lang w:eastAsia="zh-CN"/>
        </w:rPr>
        <w:t xml:space="preserve"> | </w:t>
      </w:r>
      <w:r w:rsidRPr="00644352">
        <w:rPr>
          <w:rFonts w:ascii="宋体" w:eastAsia="宋体" w:hAnsi="宋体" w:cs="宋体" w:hint="eastAsia"/>
          <w:color w:val="E36C0A" w:themeColor="accent6" w:themeShade="BF"/>
          <w:w w:val="110"/>
          <w:sz w:val="18"/>
          <w:szCs w:val="18"/>
          <w:lang w:eastAsia="zh-CN"/>
        </w:rPr>
        <w:t>流程</w:t>
      </w:r>
    </w:p>
    <w:p w14:paraId="5FC932AB" w14:textId="77777777" w:rsidR="00A720EB" w:rsidRDefault="00A720EB">
      <w:pPr>
        <w:pStyle w:val="a3"/>
        <w:spacing w:before="4"/>
        <w:rPr>
          <w:sz w:val="30"/>
          <w:lang w:eastAsia="zh-CN"/>
        </w:rPr>
      </w:pPr>
    </w:p>
    <w:p w14:paraId="44A9A60F" w14:textId="07673079" w:rsidR="00A720EB" w:rsidRDefault="0030286B">
      <w:pPr>
        <w:pStyle w:val="2"/>
        <w:numPr>
          <w:ilvl w:val="1"/>
          <w:numId w:val="79"/>
        </w:numPr>
        <w:tabs>
          <w:tab w:val="left" w:pos="832"/>
        </w:tabs>
      </w:pPr>
      <w:bookmarkStart w:id="19" w:name="1.7._Advanced_Topics"/>
      <w:bookmarkStart w:id="20" w:name="_Toc54423663"/>
      <w:bookmarkEnd w:id="19"/>
      <w:r>
        <w:rPr>
          <w:color w:val="333333"/>
          <w:w w:val="110"/>
        </w:rPr>
        <w:t>Advanced</w:t>
      </w:r>
      <w:r>
        <w:rPr>
          <w:color w:val="333333"/>
          <w:spacing w:val="-8"/>
          <w:w w:val="110"/>
        </w:rPr>
        <w:t xml:space="preserve"> </w:t>
      </w:r>
      <w:r>
        <w:rPr>
          <w:color w:val="333333"/>
          <w:spacing w:val="-3"/>
          <w:w w:val="110"/>
        </w:rPr>
        <w:t>Topics</w:t>
      </w:r>
      <w:r w:rsidR="00644352">
        <w:rPr>
          <w:color w:val="333333"/>
          <w:spacing w:val="-3"/>
          <w:w w:val="110"/>
        </w:rPr>
        <w:t xml:space="preserve"> </w:t>
      </w:r>
      <w:r w:rsidR="00644352" w:rsidRPr="00644352">
        <w:rPr>
          <w:rFonts w:ascii="宋体" w:eastAsia="宋体" w:hAnsi="宋体" w:cs="宋体" w:hint="eastAsia"/>
          <w:color w:val="E36C0A" w:themeColor="accent6" w:themeShade="BF"/>
          <w:spacing w:val="-3"/>
          <w:w w:val="110"/>
        </w:rPr>
        <w:t>进阶主题</w:t>
      </w:r>
      <w:bookmarkEnd w:id="20"/>
    </w:p>
    <w:p w14:paraId="3B546DE2" w14:textId="6FE9BBD6" w:rsidR="00A720EB" w:rsidRDefault="0030286B">
      <w:pPr>
        <w:pStyle w:val="a3"/>
        <w:spacing w:before="253"/>
        <w:ind w:left="124"/>
        <w:rPr>
          <w:color w:val="333333"/>
          <w:w w:val="110"/>
        </w:rPr>
      </w:pPr>
      <w:r>
        <w:rPr>
          <w:color w:val="333333"/>
          <w:w w:val="110"/>
        </w:rPr>
        <w:t>Finally, we have a few topics for more advanced users:</w:t>
      </w:r>
    </w:p>
    <w:p w14:paraId="74D7FED8" w14:textId="7C5585A5" w:rsidR="00D26666" w:rsidRPr="00EB2BC6" w:rsidRDefault="00EB2BC6" w:rsidP="00EB2BC6">
      <w:pPr>
        <w:tabs>
          <w:tab w:val="left" w:pos="91"/>
        </w:tabs>
        <w:spacing w:before="152"/>
        <w:rPr>
          <w:rFonts w:ascii="宋体" w:eastAsia="宋体" w:hAnsi="宋体" w:cs="宋体"/>
          <w:color w:val="E36C0A" w:themeColor="accent6" w:themeShade="BF"/>
          <w:w w:val="110"/>
          <w:sz w:val="18"/>
          <w:szCs w:val="18"/>
          <w:lang w:eastAsia="zh-CN"/>
        </w:rPr>
      </w:pPr>
      <w:r>
        <w:rPr>
          <w:rFonts w:ascii="宋体" w:eastAsia="宋体" w:hAnsi="宋体" w:cs="宋体"/>
          <w:color w:val="E36C0A" w:themeColor="accent6" w:themeShade="BF"/>
          <w:w w:val="110"/>
          <w:sz w:val="18"/>
          <w:szCs w:val="18"/>
          <w:lang w:eastAsia="zh-CN"/>
        </w:rPr>
        <w:tab/>
      </w:r>
      <w:r w:rsidR="00D26666" w:rsidRPr="00EB2BC6">
        <w:rPr>
          <w:rFonts w:ascii="宋体" w:eastAsia="宋体" w:hAnsi="宋体" w:cs="宋体" w:hint="eastAsia"/>
          <w:color w:val="E36C0A" w:themeColor="accent6" w:themeShade="BF"/>
          <w:w w:val="110"/>
          <w:sz w:val="18"/>
          <w:szCs w:val="18"/>
          <w:lang w:eastAsia="zh-CN"/>
        </w:rPr>
        <w:t>最后，我们为</w:t>
      </w:r>
      <w:r w:rsidR="00DC565C">
        <w:rPr>
          <w:rFonts w:ascii="宋体" w:eastAsia="宋体" w:hAnsi="宋体" w:cs="宋体" w:hint="eastAsia"/>
          <w:color w:val="E36C0A" w:themeColor="accent6" w:themeShade="BF"/>
          <w:w w:val="110"/>
          <w:sz w:val="18"/>
          <w:szCs w:val="18"/>
          <w:lang w:eastAsia="zh-CN"/>
        </w:rPr>
        <w:t>进</w:t>
      </w:r>
      <w:proofErr w:type="gramStart"/>
      <w:r w:rsidR="00DC565C">
        <w:rPr>
          <w:rFonts w:ascii="宋体" w:eastAsia="宋体" w:hAnsi="宋体" w:cs="宋体" w:hint="eastAsia"/>
          <w:color w:val="E36C0A" w:themeColor="accent6" w:themeShade="BF"/>
          <w:w w:val="110"/>
          <w:sz w:val="18"/>
          <w:szCs w:val="18"/>
          <w:lang w:eastAsia="zh-CN"/>
        </w:rPr>
        <w:t>阶</w:t>
      </w:r>
      <w:r w:rsidR="00D26666" w:rsidRPr="00EB2BC6">
        <w:rPr>
          <w:rFonts w:ascii="宋体" w:eastAsia="宋体" w:hAnsi="宋体" w:cs="宋体" w:hint="eastAsia"/>
          <w:color w:val="E36C0A" w:themeColor="accent6" w:themeShade="BF"/>
          <w:w w:val="110"/>
          <w:sz w:val="18"/>
          <w:szCs w:val="18"/>
          <w:lang w:eastAsia="zh-CN"/>
        </w:rPr>
        <w:t>用户</w:t>
      </w:r>
      <w:proofErr w:type="gramEnd"/>
      <w:r w:rsidR="00D26666" w:rsidRPr="00EB2BC6">
        <w:rPr>
          <w:rFonts w:ascii="宋体" w:eastAsia="宋体" w:hAnsi="宋体" w:cs="宋体" w:hint="eastAsia"/>
          <w:color w:val="E36C0A" w:themeColor="accent6" w:themeShade="BF"/>
          <w:w w:val="110"/>
          <w:sz w:val="18"/>
          <w:szCs w:val="18"/>
          <w:lang w:eastAsia="zh-CN"/>
        </w:rPr>
        <w:t>准备了一些主题</w:t>
      </w:r>
      <w:r w:rsidR="00D26666" w:rsidRPr="00EB2BC6">
        <w:rPr>
          <w:rFonts w:ascii="宋体" w:eastAsia="宋体" w:hAnsi="宋体" w:cs="宋体"/>
          <w:color w:val="E36C0A" w:themeColor="accent6" w:themeShade="BF"/>
          <w:w w:val="110"/>
          <w:sz w:val="18"/>
          <w:szCs w:val="18"/>
          <w:lang w:eastAsia="zh-CN"/>
        </w:rPr>
        <w:t>:</w:t>
      </w:r>
    </w:p>
    <w:p w14:paraId="3108482D" w14:textId="77777777" w:rsidR="00A720EB" w:rsidRDefault="00A720EB">
      <w:pPr>
        <w:pStyle w:val="a3"/>
        <w:spacing w:before="7"/>
        <w:rPr>
          <w:sz w:val="24"/>
          <w:lang w:eastAsia="zh-CN"/>
        </w:rPr>
      </w:pPr>
    </w:p>
    <w:p w14:paraId="25C5AE5B" w14:textId="01BA37BD" w:rsidR="00A720EB" w:rsidRPr="00674C8D" w:rsidRDefault="0030286B">
      <w:pPr>
        <w:pStyle w:val="a6"/>
        <w:numPr>
          <w:ilvl w:val="2"/>
          <w:numId w:val="79"/>
        </w:numPr>
        <w:tabs>
          <w:tab w:val="left" w:pos="485"/>
        </w:tabs>
        <w:rPr>
          <w:sz w:val="21"/>
        </w:rPr>
      </w:pPr>
      <w:r>
        <w:rPr>
          <w:rFonts w:ascii="Palatino Linotype" w:hAnsi="Palatino Linotype"/>
          <w:b/>
          <w:color w:val="333333"/>
          <w:w w:val="115"/>
          <w:sz w:val="21"/>
        </w:rPr>
        <w:t>Spring</w:t>
      </w:r>
      <w:r>
        <w:rPr>
          <w:rFonts w:ascii="Palatino Linotype" w:hAnsi="Palatino Linotype"/>
          <w:b/>
          <w:color w:val="333333"/>
          <w:spacing w:val="-14"/>
          <w:w w:val="115"/>
          <w:sz w:val="21"/>
        </w:rPr>
        <w:t xml:space="preserve"> </w:t>
      </w:r>
      <w:r>
        <w:rPr>
          <w:rFonts w:ascii="Palatino Linotype" w:hAnsi="Palatino Linotype"/>
          <w:b/>
          <w:color w:val="333333"/>
          <w:w w:val="115"/>
          <w:sz w:val="21"/>
        </w:rPr>
        <w:t>Boot</w:t>
      </w:r>
      <w:r>
        <w:rPr>
          <w:rFonts w:ascii="Palatino Linotype" w:hAnsi="Palatino Linotype"/>
          <w:b/>
          <w:color w:val="333333"/>
          <w:spacing w:val="-13"/>
          <w:w w:val="115"/>
          <w:sz w:val="21"/>
        </w:rPr>
        <w:t xml:space="preserve"> </w:t>
      </w:r>
      <w:r>
        <w:rPr>
          <w:rFonts w:ascii="Palatino Linotype" w:hAnsi="Palatino Linotype"/>
          <w:b/>
          <w:color w:val="333333"/>
          <w:w w:val="115"/>
          <w:sz w:val="21"/>
        </w:rPr>
        <w:t>Applications</w:t>
      </w:r>
      <w:r>
        <w:rPr>
          <w:rFonts w:ascii="Palatino Linotype" w:hAnsi="Palatino Linotype"/>
          <w:b/>
          <w:color w:val="333333"/>
          <w:spacing w:val="-14"/>
          <w:w w:val="115"/>
          <w:sz w:val="21"/>
        </w:rPr>
        <w:t xml:space="preserve"> </w:t>
      </w:r>
      <w:r>
        <w:rPr>
          <w:rFonts w:ascii="Palatino Linotype" w:hAnsi="Palatino Linotype"/>
          <w:b/>
          <w:color w:val="333333"/>
          <w:w w:val="115"/>
          <w:sz w:val="21"/>
        </w:rPr>
        <w:t>Deployment:</w:t>
      </w:r>
      <w:r>
        <w:rPr>
          <w:rFonts w:ascii="Palatino Linotype" w:hAnsi="Palatino Linotype"/>
          <w:b/>
          <w:color w:val="333333"/>
          <w:spacing w:val="-8"/>
          <w:w w:val="115"/>
          <w:sz w:val="21"/>
        </w:rPr>
        <w:t xml:space="preserve"> </w:t>
      </w:r>
      <w:hyperlink w:anchor="_bookmark471" w:history="1">
        <w:r>
          <w:rPr>
            <w:color w:val="418BCA"/>
            <w:w w:val="115"/>
            <w:sz w:val="21"/>
          </w:rPr>
          <w:t>Cloud</w:t>
        </w:r>
        <w:r>
          <w:rPr>
            <w:color w:val="418BCA"/>
            <w:spacing w:val="-6"/>
            <w:w w:val="115"/>
            <w:sz w:val="21"/>
          </w:rPr>
          <w:t xml:space="preserve"> </w:t>
        </w:r>
        <w:r>
          <w:rPr>
            <w:color w:val="418BCA"/>
            <w:w w:val="115"/>
            <w:sz w:val="21"/>
          </w:rPr>
          <w:t>Deployment</w:t>
        </w:r>
        <w:r>
          <w:rPr>
            <w:color w:val="418BCA"/>
            <w:spacing w:val="-5"/>
            <w:w w:val="115"/>
            <w:sz w:val="21"/>
          </w:rPr>
          <w:t xml:space="preserve"> </w:t>
        </w:r>
      </w:hyperlink>
      <w:r>
        <w:rPr>
          <w:color w:val="333333"/>
          <w:w w:val="145"/>
          <w:sz w:val="21"/>
        </w:rPr>
        <w:t>|</w:t>
      </w:r>
      <w:r>
        <w:rPr>
          <w:color w:val="333333"/>
          <w:spacing w:val="-19"/>
          <w:w w:val="145"/>
          <w:sz w:val="21"/>
        </w:rPr>
        <w:t xml:space="preserve"> </w:t>
      </w:r>
      <w:hyperlink w:anchor="_bookmark485" w:history="1">
        <w:r>
          <w:rPr>
            <w:color w:val="418BCA"/>
            <w:w w:val="115"/>
            <w:sz w:val="21"/>
          </w:rPr>
          <w:t>OS</w:t>
        </w:r>
        <w:r>
          <w:rPr>
            <w:color w:val="418BCA"/>
            <w:spacing w:val="-6"/>
            <w:w w:val="115"/>
            <w:sz w:val="21"/>
          </w:rPr>
          <w:t xml:space="preserve"> </w:t>
        </w:r>
        <w:r>
          <w:rPr>
            <w:color w:val="418BCA"/>
            <w:w w:val="115"/>
            <w:sz w:val="21"/>
          </w:rPr>
          <w:t>Service</w:t>
        </w:r>
      </w:hyperlink>
    </w:p>
    <w:p w14:paraId="5FF8F991" w14:textId="3E3E5B8C" w:rsidR="00674C8D" w:rsidRPr="00EB2BC6" w:rsidRDefault="00674C8D" w:rsidP="00EB2BC6">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EB2BC6">
        <w:rPr>
          <w:rFonts w:ascii="宋体" w:eastAsia="宋体" w:hAnsi="宋体" w:cs="宋体"/>
          <w:color w:val="E36C0A" w:themeColor="accent6" w:themeShade="BF"/>
          <w:w w:val="110"/>
          <w:sz w:val="18"/>
          <w:szCs w:val="18"/>
          <w:lang w:eastAsia="zh-CN"/>
        </w:rPr>
        <w:t>Spring Boot</w:t>
      </w:r>
      <w:r w:rsidRPr="00EB2BC6">
        <w:rPr>
          <w:rFonts w:ascii="宋体" w:eastAsia="宋体" w:hAnsi="宋体" w:cs="宋体" w:hint="eastAsia"/>
          <w:color w:val="E36C0A" w:themeColor="accent6" w:themeShade="BF"/>
          <w:w w:val="110"/>
          <w:sz w:val="18"/>
          <w:szCs w:val="18"/>
          <w:lang w:eastAsia="zh-CN"/>
        </w:rPr>
        <w:t>应用程序部署：</w:t>
      </w:r>
      <w:proofErr w:type="gramStart"/>
      <w:r w:rsidRPr="00EB2BC6">
        <w:rPr>
          <w:rFonts w:ascii="宋体" w:eastAsia="宋体" w:hAnsi="宋体" w:cs="宋体" w:hint="eastAsia"/>
          <w:color w:val="E36C0A" w:themeColor="accent6" w:themeShade="BF"/>
          <w:w w:val="110"/>
          <w:sz w:val="18"/>
          <w:szCs w:val="18"/>
          <w:lang w:eastAsia="zh-CN"/>
        </w:rPr>
        <w:t>云部署</w:t>
      </w:r>
      <w:proofErr w:type="gramEnd"/>
      <w:r w:rsidRPr="00EB2BC6">
        <w:rPr>
          <w:rFonts w:ascii="宋体" w:eastAsia="宋体" w:hAnsi="宋体" w:cs="宋体"/>
          <w:color w:val="E36C0A" w:themeColor="accent6" w:themeShade="BF"/>
          <w:w w:val="110"/>
          <w:sz w:val="18"/>
          <w:szCs w:val="18"/>
          <w:lang w:eastAsia="zh-CN"/>
        </w:rPr>
        <w:t xml:space="preserve">| </w:t>
      </w:r>
      <w:r w:rsidRPr="00EB2BC6">
        <w:rPr>
          <w:rFonts w:ascii="宋体" w:eastAsia="宋体" w:hAnsi="宋体" w:cs="宋体" w:hint="eastAsia"/>
          <w:color w:val="E36C0A" w:themeColor="accent6" w:themeShade="BF"/>
          <w:w w:val="110"/>
          <w:sz w:val="18"/>
          <w:szCs w:val="18"/>
          <w:lang w:eastAsia="zh-CN"/>
        </w:rPr>
        <w:t>操作系统服务</w:t>
      </w:r>
    </w:p>
    <w:p w14:paraId="2BBEA1E4" w14:textId="1891CDD9" w:rsidR="00A720EB" w:rsidRPr="00EB2BC6" w:rsidRDefault="0030286B">
      <w:pPr>
        <w:pStyle w:val="a6"/>
        <w:numPr>
          <w:ilvl w:val="2"/>
          <w:numId w:val="79"/>
        </w:numPr>
        <w:tabs>
          <w:tab w:val="left" w:pos="485"/>
        </w:tabs>
        <w:spacing w:before="152"/>
        <w:rPr>
          <w:sz w:val="21"/>
        </w:rPr>
      </w:pPr>
      <w:r>
        <w:rPr>
          <w:rFonts w:ascii="Palatino Linotype" w:hAnsi="Palatino Linotype"/>
          <w:b/>
          <w:color w:val="333333"/>
          <w:w w:val="120"/>
          <w:sz w:val="21"/>
        </w:rPr>
        <w:t>Build</w:t>
      </w:r>
      <w:r>
        <w:rPr>
          <w:rFonts w:ascii="Palatino Linotype" w:hAnsi="Palatino Linotype"/>
          <w:b/>
          <w:color w:val="333333"/>
          <w:spacing w:val="-12"/>
          <w:w w:val="120"/>
          <w:sz w:val="21"/>
        </w:rPr>
        <w:t xml:space="preserve"> </w:t>
      </w:r>
      <w:r>
        <w:rPr>
          <w:rFonts w:ascii="Palatino Linotype" w:hAnsi="Palatino Linotype"/>
          <w:b/>
          <w:color w:val="333333"/>
          <w:w w:val="120"/>
          <w:sz w:val="21"/>
        </w:rPr>
        <w:t>tool</w:t>
      </w:r>
      <w:r>
        <w:rPr>
          <w:rFonts w:ascii="Palatino Linotype" w:hAnsi="Palatino Linotype"/>
          <w:b/>
          <w:color w:val="333333"/>
          <w:spacing w:val="-12"/>
          <w:w w:val="120"/>
          <w:sz w:val="21"/>
        </w:rPr>
        <w:t xml:space="preserve"> </w:t>
      </w:r>
      <w:r>
        <w:rPr>
          <w:rFonts w:ascii="Palatino Linotype" w:hAnsi="Palatino Linotype"/>
          <w:b/>
          <w:color w:val="333333"/>
          <w:w w:val="120"/>
          <w:sz w:val="21"/>
        </w:rPr>
        <w:t>plugins:</w:t>
      </w:r>
      <w:r>
        <w:rPr>
          <w:rFonts w:ascii="Palatino Linotype" w:hAnsi="Palatino Linotype"/>
          <w:b/>
          <w:color w:val="333333"/>
          <w:spacing w:val="-10"/>
          <w:w w:val="120"/>
          <w:sz w:val="21"/>
        </w:rPr>
        <w:t xml:space="preserve"> </w:t>
      </w:r>
      <w:hyperlink w:anchor="_bookmark511" w:history="1">
        <w:r>
          <w:rPr>
            <w:color w:val="418BCA"/>
            <w:w w:val="120"/>
            <w:sz w:val="21"/>
          </w:rPr>
          <w:t>Maven</w:t>
        </w:r>
        <w:r>
          <w:rPr>
            <w:color w:val="418BCA"/>
            <w:spacing w:val="-4"/>
            <w:w w:val="120"/>
            <w:sz w:val="21"/>
          </w:rPr>
          <w:t xml:space="preserve"> </w:t>
        </w:r>
      </w:hyperlink>
      <w:r>
        <w:rPr>
          <w:color w:val="333333"/>
          <w:w w:val="150"/>
          <w:sz w:val="21"/>
        </w:rPr>
        <w:t>|</w:t>
      </w:r>
      <w:r>
        <w:rPr>
          <w:color w:val="333333"/>
          <w:spacing w:val="-17"/>
          <w:w w:val="150"/>
          <w:sz w:val="21"/>
        </w:rPr>
        <w:t xml:space="preserve"> </w:t>
      </w:r>
      <w:hyperlink w:anchor="_bookmark512" w:history="1">
        <w:r>
          <w:rPr>
            <w:color w:val="418BCA"/>
            <w:w w:val="120"/>
            <w:sz w:val="21"/>
          </w:rPr>
          <w:t>Gradle</w:t>
        </w:r>
      </w:hyperlink>
    </w:p>
    <w:p w14:paraId="2C92B5F4" w14:textId="31426503" w:rsidR="00EB2BC6" w:rsidRPr="00EB2BC6" w:rsidRDefault="00EB2BC6">
      <w:pPr>
        <w:pStyle w:val="a6"/>
        <w:numPr>
          <w:ilvl w:val="2"/>
          <w:numId w:val="79"/>
        </w:numPr>
        <w:tabs>
          <w:tab w:val="left" w:pos="485"/>
        </w:tabs>
        <w:spacing w:before="152"/>
        <w:rPr>
          <w:rFonts w:ascii="宋体" w:eastAsia="宋体" w:hAnsi="宋体" w:cs="宋体"/>
          <w:color w:val="E36C0A" w:themeColor="accent6" w:themeShade="BF"/>
          <w:w w:val="110"/>
          <w:sz w:val="18"/>
          <w:szCs w:val="18"/>
          <w:lang w:eastAsia="zh-CN"/>
        </w:rPr>
      </w:pPr>
      <w:r w:rsidRPr="00EB2BC6">
        <w:rPr>
          <w:rFonts w:ascii="宋体" w:eastAsia="宋体" w:hAnsi="宋体" w:cs="宋体" w:hint="eastAsia"/>
          <w:color w:val="E36C0A" w:themeColor="accent6" w:themeShade="BF"/>
          <w:w w:val="110"/>
          <w:sz w:val="18"/>
          <w:szCs w:val="18"/>
          <w:lang w:eastAsia="zh-CN"/>
        </w:rPr>
        <w:t>构建工具插件：</w:t>
      </w:r>
      <w:r w:rsidRPr="00EB2BC6">
        <w:rPr>
          <w:rFonts w:ascii="宋体" w:eastAsia="宋体" w:hAnsi="宋体" w:cs="宋体"/>
          <w:color w:val="E36C0A" w:themeColor="accent6" w:themeShade="BF"/>
          <w:w w:val="110"/>
          <w:sz w:val="18"/>
          <w:szCs w:val="18"/>
          <w:lang w:eastAsia="zh-CN"/>
        </w:rPr>
        <w:t>Maven|Gradle</w:t>
      </w:r>
      <w:r w:rsidRPr="00EB2BC6">
        <w:rPr>
          <w:rFonts w:ascii="宋体" w:eastAsia="宋体" w:hAnsi="宋体" w:cs="宋体" w:hint="eastAsia"/>
          <w:color w:val="E36C0A" w:themeColor="accent6" w:themeShade="BF"/>
          <w:w w:val="110"/>
          <w:sz w:val="18"/>
          <w:szCs w:val="18"/>
          <w:lang w:eastAsia="zh-CN"/>
        </w:rPr>
        <w:t>。</w:t>
      </w:r>
    </w:p>
    <w:p w14:paraId="646E5298" w14:textId="2345823B" w:rsidR="00A720EB" w:rsidRPr="00EB2BC6" w:rsidRDefault="0030286B" w:rsidP="00EB2BC6">
      <w:pPr>
        <w:pStyle w:val="a6"/>
        <w:numPr>
          <w:ilvl w:val="2"/>
          <w:numId w:val="79"/>
        </w:numPr>
        <w:tabs>
          <w:tab w:val="left" w:pos="485"/>
        </w:tabs>
        <w:spacing w:before="153" w:line="285" w:lineRule="auto"/>
        <w:ind w:right="122"/>
        <w:rPr>
          <w:sz w:val="21"/>
        </w:rPr>
      </w:pPr>
      <w:r>
        <w:rPr>
          <w:rFonts w:ascii="Palatino Linotype" w:hAnsi="Palatino Linotype"/>
          <w:b/>
          <w:color w:val="333333"/>
          <w:w w:val="115"/>
          <w:sz w:val="21"/>
        </w:rPr>
        <w:t>Appendix:</w:t>
      </w:r>
      <w:r>
        <w:rPr>
          <w:rFonts w:ascii="Palatino Linotype" w:hAnsi="Palatino Linotype"/>
          <w:b/>
          <w:color w:val="333333"/>
          <w:spacing w:val="-23"/>
          <w:w w:val="115"/>
          <w:sz w:val="21"/>
        </w:rPr>
        <w:t xml:space="preserve"> </w:t>
      </w:r>
      <w:hyperlink w:anchor="_bookmark656" w:history="1">
        <w:r>
          <w:rPr>
            <w:color w:val="418BCA"/>
            <w:w w:val="115"/>
            <w:sz w:val="21"/>
          </w:rPr>
          <w:t>Application</w:t>
        </w:r>
        <w:r>
          <w:rPr>
            <w:color w:val="418BCA"/>
            <w:spacing w:val="-15"/>
            <w:w w:val="115"/>
            <w:sz w:val="21"/>
          </w:rPr>
          <w:t xml:space="preserve"> </w:t>
        </w:r>
        <w:r>
          <w:rPr>
            <w:color w:val="418BCA"/>
            <w:w w:val="115"/>
            <w:sz w:val="21"/>
          </w:rPr>
          <w:t>Properties</w:t>
        </w:r>
        <w:r>
          <w:rPr>
            <w:color w:val="418BCA"/>
            <w:spacing w:val="-16"/>
            <w:w w:val="115"/>
            <w:sz w:val="21"/>
          </w:rPr>
          <w:t xml:space="preserve"> </w:t>
        </w:r>
      </w:hyperlink>
      <w:r>
        <w:rPr>
          <w:color w:val="333333"/>
          <w:w w:val="115"/>
          <w:sz w:val="21"/>
        </w:rPr>
        <w:t>|</w:t>
      </w:r>
      <w:r>
        <w:rPr>
          <w:color w:val="333333"/>
          <w:spacing w:val="-15"/>
          <w:w w:val="115"/>
          <w:sz w:val="21"/>
        </w:rPr>
        <w:t xml:space="preserve"> </w:t>
      </w:r>
      <w:hyperlink w:anchor="_bookmark673" w:history="1">
        <w:r>
          <w:rPr>
            <w:color w:val="418BCA"/>
            <w:w w:val="115"/>
            <w:sz w:val="21"/>
          </w:rPr>
          <w:t>Configuration</w:t>
        </w:r>
        <w:r>
          <w:rPr>
            <w:color w:val="418BCA"/>
            <w:spacing w:val="-15"/>
            <w:w w:val="115"/>
            <w:sz w:val="21"/>
          </w:rPr>
          <w:t xml:space="preserve"> </w:t>
        </w:r>
        <w:r>
          <w:rPr>
            <w:color w:val="418BCA"/>
            <w:w w:val="115"/>
            <w:sz w:val="21"/>
          </w:rPr>
          <w:t>Metadata</w:t>
        </w:r>
        <w:r>
          <w:rPr>
            <w:color w:val="418BCA"/>
            <w:spacing w:val="-13"/>
            <w:w w:val="115"/>
            <w:sz w:val="21"/>
          </w:rPr>
          <w:t xml:space="preserve"> </w:t>
        </w:r>
      </w:hyperlink>
      <w:r>
        <w:rPr>
          <w:color w:val="333333"/>
          <w:w w:val="115"/>
          <w:sz w:val="21"/>
        </w:rPr>
        <w:t>|</w:t>
      </w:r>
      <w:r>
        <w:rPr>
          <w:color w:val="333333"/>
          <w:spacing w:val="-15"/>
          <w:w w:val="115"/>
          <w:sz w:val="21"/>
        </w:rPr>
        <w:t xml:space="preserve"> </w:t>
      </w:r>
      <w:hyperlink w:anchor="_bookmark686" w:history="1">
        <w:r>
          <w:rPr>
            <w:color w:val="418BCA"/>
            <w:w w:val="115"/>
            <w:sz w:val="21"/>
          </w:rPr>
          <w:t>Auto-configuration</w:t>
        </w:r>
        <w:r>
          <w:rPr>
            <w:color w:val="418BCA"/>
            <w:spacing w:val="-16"/>
            <w:w w:val="115"/>
            <w:sz w:val="21"/>
          </w:rPr>
          <w:t xml:space="preserve"> </w:t>
        </w:r>
        <w:r>
          <w:rPr>
            <w:color w:val="418BCA"/>
            <w:w w:val="115"/>
            <w:sz w:val="21"/>
          </w:rPr>
          <w:t>Classes</w:t>
        </w:r>
        <w:r>
          <w:rPr>
            <w:color w:val="418BCA"/>
            <w:spacing w:val="-12"/>
            <w:w w:val="115"/>
            <w:sz w:val="21"/>
          </w:rPr>
          <w:t xml:space="preserve"> </w:t>
        </w:r>
      </w:hyperlink>
      <w:r>
        <w:rPr>
          <w:color w:val="333333"/>
          <w:w w:val="115"/>
          <w:sz w:val="21"/>
        </w:rPr>
        <w:t>|</w:t>
      </w:r>
      <w:r>
        <w:rPr>
          <w:color w:val="333333"/>
          <w:spacing w:val="-15"/>
          <w:w w:val="115"/>
          <w:sz w:val="21"/>
        </w:rPr>
        <w:t xml:space="preserve"> </w:t>
      </w:r>
      <w:hyperlink w:anchor="_bookmark689" w:history="1">
        <w:r>
          <w:rPr>
            <w:color w:val="418BCA"/>
            <w:spacing w:val="-3"/>
            <w:w w:val="115"/>
            <w:sz w:val="21"/>
          </w:rPr>
          <w:t>Test</w:t>
        </w:r>
      </w:hyperlink>
      <w:r>
        <w:rPr>
          <w:color w:val="418BCA"/>
          <w:spacing w:val="-3"/>
          <w:w w:val="115"/>
          <w:sz w:val="21"/>
        </w:rPr>
        <w:t xml:space="preserve"> </w:t>
      </w:r>
      <w:hyperlink w:anchor="_bookmark689" w:history="1">
        <w:r>
          <w:rPr>
            <w:color w:val="418BCA"/>
            <w:w w:val="125"/>
            <w:sz w:val="21"/>
          </w:rPr>
          <w:t>Auto-configuration</w:t>
        </w:r>
        <w:r>
          <w:rPr>
            <w:color w:val="418BCA"/>
            <w:spacing w:val="-21"/>
            <w:w w:val="125"/>
            <w:sz w:val="21"/>
          </w:rPr>
          <w:t xml:space="preserve"> </w:t>
        </w:r>
        <w:r>
          <w:rPr>
            <w:color w:val="418BCA"/>
            <w:w w:val="125"/>
            <w:sz w:val="21"/>
          </w:rPr>
          <w:t>Annotations</w:t>
        </w:r>
        <w:r>
          <w:rPr>
            <w:color w:val="418BCA"/>
            <w:spacing w:val="-18"/>
            <w:w w:val="125"/>
            <w:sz w:val="21"/>
          </w:rPr>
          <w:t xml:space="preserve"> </w:t>
        </w:r>
      </w:hyperlink>
      <w:r>
        <w:rPr>
          <w:color w:val="333333"/>
          <w:w w:val="145"/>
          <w:sz w:val="21"/>
        </w:rPr>
        <w:t>|</w:t>
      </w:r>
      <w:r>
        <w:rPr>
          <w:color w:val="333333"/>
          <w:spacing w:val="-29"/>
          <w:w w:val="145"/>
          <w:sz w:val="21"/>
        </w:rPr>
        <w:t xml:space="preserve"> </w:t>
      </w:r>
      <w:hyperlink w:anchor="_bookmark691" w:history="1">
        <w:r>
          <w:rPr>
            <w:color w:val="418BCA"/>
            <w:w w:val="125"/>
            <w:sz w:val="21"/>
          </w:rPr>
          <w:t>Executable</w:t>
        </w:r>
        <w:r>
          <w:rPr>
            <w:color w:val="418BCA"/>
            <w:spacing w:val="-20"/>
            <w:w w:val="125"/>
            <w:sz w:val="21"/>
          </w:rPr>
          <w:t xml:space="preserve"> </w:t>
        </w:r>
        <w:r>
          <w:rPr>
            <w:color w:val="418BCA"/>
            <w:w w:val="125"/>
            <w:sz w:val="21"/>
          </w:rPr>
          <w:t>Jars</w:t>
        </w:r>
        <w:r>
          <w:rPr>
            <w:color w:val="418BCA"/>
            <w:spacing w:val="-21"/>
            <w:w w:val="125"/>
            <w:sz w:val="21"/>
          </w:rPr>
          <w:t xml:space="preserve"> </w:t>
        </w:r>
      </w:hyperlink>
      <w:r>
        <w:rPr>
          <w:color w:val="333333"/>
          <w:w w:val="145"/>
          <w:sz w:val="21"/>
        </w:rPr>
        <w:t>|</w:t>
      </w:r>
      <w:r>
        <w:rPr>
          <w:color w:val="333333"/>
          <w:spacing w:val="-29"/>
          <w:w w:val="145"/>
          <w:sz w:val="21"/>
        </w:rPr>
        <w:t xml:space="preserve"> </w:t>
      </w:r>
      <w:hyperlink w:anchor="_bookmark705" w:history="1">
        <w:r>
          <w:rPr>
            <w:color w:val="418BCA"/>
            <w:w w:val="125"/>
            <w:sz w:val="21"/>
          </w:rPr>
          <w:t>Dependency</w:t>
        </w:r>
        <w:r>
          <w:rPr>
            <w:color w:val="418BCA"/>
            <w:spacing w:val="-20"/>
            <w:w w:val="125"/>
            <w:sz w:val="21"/>
          </w:rPr>
          <w:t xml:space="preserve"> </w:t>
        </w:r>
        <w:r>
          <w:rPr>
            <w:color w:val="418BCA"/>
            <w:spacing w:val="-3"/>
            <w:w w:val="125"/>
            <w:sz w:val="21"/>
          </w:rPr>
          <w:t>Versions</w:t>
        </w:r>
      </w:hyperlink>
    </w:p>
    <w:p w14:paraId="27CCEC48" w14:textId="39DBC3ED" w:rsidR="00EB2BC6" w:rsidRDefault="00EB2BC6" w:rsidP="00EB2BC6">
      <w:pPr>
        <w:pStyle w:val="a6"/>
        <w:numPr>
          <w:ilvl w:val="2"/>
          <w:numId w:val="79"/>
        </w:numPr>
        <w:tabs>
          <w:tab w:val="left" w:pos="485"/>
        </w:tabs>
        <w:spacing w:before="152"/>
        <w:rPr>
          <w:sz w:val="21"/>
          <w:lang w:eastAsia="zh-CN"/>
        </w:rPr>
        <w:sectPr w:rsidR="00EB2BC6">
          <w:pgSz w:w="11910" w:h="16840"/>
          <w:pgMar w:top="640" w:right="840" w:bottom="520" w:left="840" w:header="0" w:footer="323" w:gutter="0"/>
          <w:cols w:space="720"/>
        </w:sectPr>
      </w:pPr>
      <w:r w:rsidRPr="00EB2BC6">
        <w:rPr>
          <w:rFonts w:ascii="宋体" w:eastAsia="宋体" w:hAnsi="宋体" w:cs="宋体" w:hint="eastAsia"/>
          <w:color w:val="E36C0A" w:themeColor="accent6" w:themeShade="BF"/>
          <w:w w:val="110"/>
          <w:sz w:val="18"/>
          <w:szCs w:val="18"/>
          <w:lang w:eastAsia="zh-CN"/>
        </w:rPr>
        <w:t>附录</w:t>
      </w:r>
      <w:r w:rsidRPr="00EB2BC6">
        <w:rPr>
          <w:rFonts w:ascii="宋体" w:eastAsia="宋体" w:hAnsi="宋体" w:cs="宋体"/>
          <w:color w:val="E36C0A" w:themeColor="accent6" w:themeShade="BF"/>
          <w:w w:val="110"/>
          <w:sz w:val="18"/>
          <w:szCs w:val="18"/>
          <w:lang w:eastAsia="zh-CN"/>
        </w:rPr>
        <w:t xml:space="preserve">: </w:t>
      </w:r>
      <w:r w:rsidRPr="00EB2BC6">
        <w:rPr>
          <w:rFonts w:ascii="宋体" w:eastAsia="宋体" w:hAnsi="宋体" w:cs="宋体" w:hint="eastAsia"/>
          <w:color w:val="E36C0A" w:themeColor="accent6" w:themeShade="BF"/>
          <w:w w:val="110"/>
          <w:sz w:val="18"/>
          <w:szCs w:val="18"/>
          <w:lang w:eastAsia="zh-CN"/>
        </w:rPr>
        <w:t>应用程序属性</w:t>
      </w:r>
      <w:r w:rsidRPr="00EB2BC6">
        <w:rPr>
          <w:rFonts w:ascii="宋体" w:eastAsia="宋体" w:hAnsi="宋体" w:cs="宋体"/>
          <w:color w:val="E36C0A" w:themeColor="accent6" w:themeShade="BF"/>
          <w:w w:val="110"/>
          <w:sz w:val="18"/>
          <w:szCs w:val="18"/>
          <w:lang w:eastAsia="zh-CN"/>
        </w:rPr>
        <w:t xml:space="preserve"> | </w:t>
      </w:r>
      <w:r w:rsidRPr="00EB2BC6">
        <w:rPr>
          <w:rFonts w:ascii="宋体" w:eastAsia="宋体" w:hAnsi="宋体" w:cs="宋体" w:hint="eastAsia"/>
          <w:color w:val="E36C0A" w:themeColor="accent6" w:themeShade="BF"/>
          <w:w w:val="110"/>
          <w:sz w:val="18"/>
          <w:szCs w:val="18"/>
          <w:lang w:eastAsia="zh-CN"/>
        </w:rPr>
        <w:t>配置元数据</w:t>
      </w:r>
      <w:r w:rsidRPr="00EB2BC6">
        <w:rPr>
          <w:rFonts w:ascii="宋体" w:eastAsia="宋体" w:hAnsi="宋体" w:cs="宋体"/>
          <w:color w:val="E36C0A" w:themeColor="accent6" w:themeShade="BF"/>
          <w:w w:val="110"/>
          <w:sz w:val="18"/>
          <w:szCs w:val="18"/>
          <w:lang w:eastAsia="zh-CN"/>
        </w:rPr>
        <w:t xml:space="preserve"> | </w:t>
      </w:r>
      <w:r w:rsidRPr="00EB2BC6">
        <w:rPr>
          <w:rFonts w:ascii="宋体" w:eastAsia="宋体" w:hAnsi="宋体" w:cs="宋体" w:hint="eastAsia"/>
          <w:color w:val="E36C0A" w:themeColor="accent6" w:themeShade="BF"/>
          <w:w w:val="110"/>
          <w:sz w:val="18"/>
          <w:szCs w:val="18"/>
          <w:lang w:eastAsia="zh-CN"/>
        </w:rPr>
        <w:t>自动配置类</w:t>
      </w:r>
      <w:r w:rsidRPr="00EB2BC6">
        <w:rPr>
          <w:rFonts w:ascii="宋体" w:eastAsia="宋体" w:hAnsi="宋体" w:cs="宋体"/>
          <w:color w:val="E36C0A" w:themeColor="accent6" w:themeShade="BF"/>
          <w:w w:val="110"/>
          <w:sz w:val="18"/>
          <w:szCs w:val="18"/>
          <w:lang w:eastAsia="zh-CN"/>
        </w:rPr>
        <w:t xml:space="preserve"> | </w:t>
      </w:r>
      <w:r w:rsidRPr="00EB2BC6">
        <w:rPr>
          <w:rFonts w:ascii="宋体" w:eastAsia="宋体" w:hAnsi="宋体" w:cs="宋体" w:hint="eastAsia"/>
          <w:color w:val="E36C0A" w:themeColor="accent6" w:themeShade="BF"/>
          <w:w w:val="110"/>
          <w:sz w:val="18"/>
          <w:szCs w:val="18"/>
          <w:lang w:eastAsia="zh-CN"/>
        </w:rPr>
        <w:t>测试自动配置注释</w:t>
      </w:r>
      <w:r w:rsidRPr="00EB2BC6">
        <w:rPr>
          <w:rFonts w:ascii="宋体" w:eastAsia="宋体" w:hAnsi="宋体" w:cs="宋体"/>
          <w:color w:val="E36C0A" w:themeColor="accent6" w:themeShade="BF"/>
          <w:w w:val="110"/>
          <w:sz w:val="18"/>
          <w:szCs w:val="18"/>
          <w:lang w:eastAsia="zh-CN"/>
        </w:rPr>
        <w:t xml:space="preserve"> | </w:t>
      </w:r>
      <w:r w:rsidRPr="00EB2BC6">
        <w:rPr>
          <w:rFonts w:ascii="宋体" w:eastAsia="宋体" w:hAnsi="宋体" w:cs="宋体" w:hint="eastAsia"/>
          <w:color w:val="E36C0A" w:themeColor="accent6" w:themeShade="BF"/>
          <w:w w:val="110"/>
          <w:sz w:val="18"/>
          <w:szCs w:val="18"/>
          <w:lang w:eastAsia="zh-CN"/>
        </w:rPr>
        <w:t>可执行</w:t>
      </w:r>
      <w:r w:rsidRPr="00EB2BC6">
        <w:rPr>
          <w:rFonts w:ascii="宋体" w:eastAsia="宋体" w:hAnsi="宋体" w:cs="宋体"/>
          <w:color w:val="E36C0A" w:themeColor="accent6" w:themeShade="BF"/>
          <w:w w:val="110"/>
          <w:sz w:val="18"/>
          <w:szCs w:val="18"/>
          <w:lang w:eastAsia="zh-CN"/>
        </w:rPr>
        <w:t xml:space="preserve"> jar | </w:t>
      </w:r>
      <w:r w:rsidRPr="00EB2BC6">
        <w:rPr>
          <w:rFonts w:ascii="宋体" w:eastAsia="宋体" w:hAnsi="宋体" w:cs="宋体" w:hint="eastAsia"/>
          <w:color w:val="E36C0A" w:themeColor="accent6" w:themeShade="BF"/>
          <w:w w:val="110"/>
          <w:sz w:val="18"/>
          <w:szCs w:val="18"/>
          <w:lang w:eastAsia="zh-CN"/>
        </w:rPr>
        <w:t>依赖性版本</w:t>
      </w:r>
    </w:p>
    <w:p w14:paraId="7B914C10" w14:textId="487B4368" w:rsidR="00A720EB" w:rsidRPr="00711A16" w:rsidRDefault="0030286B" w:rsidP="00711A16">
      <w:pPr>
        <w:pStyle w:val="a6"/>
        <w:numPr>
          <w:ilvl w:val="0"/>
          <w:numId w:val="89"/>
        </w:numPr>
        <w:spacing w:before="90"/>
        <w:jc w:val="both"/>
        <w:rPr>
          <w:rFonts w:ascii="Palatino Linotype"/>
          <w:b/>
          <w:sz w:val="44"/>
        </w:rPr>
      </w:pPr>
      <w:bookmarkStart w:id="21" w:name="Chapter_2._Getting_Started"/>
      <w:bookmarkEnd w:id="21"/>
      <w:r w:rsidRPr="00711A16">
        <w:rPr>
          <w:rFonts w:ascii="Palatino Linotype"/>
          <w:b/>
          <w:color w:val="333333"/>
          <w:w w:val="110"/>
          <w:sz w:val="44"/>
        </w:rPr>
        <w:lastRenderedPageBreak/>
        <w:t>Getting Started</w:t>
      </w:r>
      <w:r w:rsidR="00F12BA8" w:rsidRPr="00711A16">
        <w:rPr>
          <w:rFonts w:ascii="Palatino Linotype"/>
          <w:b/>
          <w:color w:val="333333"/>
          <w:w w:val="110"/>
          <w:sz w:val="44"/>
        </w:rPr>
        <w:t xml:space="preserve"> </w:t>
      </w:r>
      <w:r w:rsidR="00296E9F" w:rsidRPr="00711A16">
        <w:rPr>
          <w:rFonts w:ascii="宋体" w:eastAsia="宋体" w:hAnsi="宋体" w:cs="宋体" w:hint="eastAsia"/>
          <w:b/>
          <w:color w:val="E36C0A" w:themeColor="accent6" w:themeShade="BF"/>
          <w:w w:val="110"/>
          <w:sz w:val="44"/>
        </w:rPr>
        <w:t>入门</w:t>
      </w:r>
    </w:p>
    <w:p w14:paraId="33EF282C" w14:textId="10EF41E5" w:rsidR="00A720EB" w:rsidRPr="003C2149" w:rsidRDefault="0030286B" w:rsidP="003C2149">
      <w:pPr>
        <w:pStyle w:val="a3"/>
        <w:spacing w:before="252" w:line="307" w:lineRule="auto"/>
        <w:ind w:left="124" w:right="130"/>
        <w:jc w:val="both"/>
      </w:pPr>
      <w:r>
        <w:rPr>
          <w:color w:val="333333"/>
          <w:w w:val="110"/>
        </w:rPr>
        <w:t xml:space="preserve">If you are getting started with Spring Boot, or “Spring” in general, start </w:t>
      </w:r>
      <w:r>
        <w:rPr>
          <w:color w:val="333333"/>
          <w:spacing w:val="-3"/>
          <w:w w:val="110"/>
        </w:rPr>
        <w:t xml:space="preserve">by </w:t>
      </w:r>
      <w:r>
        <w:rPr>
          <w:color w:val="333333"/>
          <w:w w:val="110"/>
        </w:rPr>
        <w:t xml:space="preserve">reading this section. It answers the basic “what?”, “how?” and “why?” questions. </w:t>
      </w:r>
      <w:proofErr w:type="gramStart"/>
      <w:r>
        <w:rPr>
          <w:color w:val="333333"/>
          <w:w w:val="110"/>
        </w:rPr>
        <w:t>It  includes</w:t>
      </w:r>
      <w:proofErr w:type="gramEnd"/>
      <w:r>
        <w:rPr>
          <w:color w:val="333333"/>
          <w:w w:val="110"/>
        </w:rPr>
        <w:t xml:space="preserve">  an  introduction  to  Spring Boot, along with installation instructions. </w:t>
      </w:r>
      <w:r>
        <w:rPr>
          <w:color w:val="333333"/>
          <w:spacing w:val="-7"/>
          <w:w w:val="110"/>
        </w:rPr>
        <w:t xml:space="preserve">We </w:t>
      </w:r>
      <w:r>
        <w:rPr>
          <w:color w:val="333333"/>
          <w:w w:val="110"/>
        </w:rPr>
        <w:t>then walk you through building your first Spring Boot application, discussing some core principles as we</w:t>
      </w:r>
      <w:r>
        <w:rPr>
          <w:color w:val="333333"/>
          <w:spacing w:val="19"/>
          <w:w w:val="110"/>
        </w:rPr>
        <w:t xml:space="preserve"> </w:t>
      </w:r>
      <w:r>
        <w:rPr>
          <w:color w:val="333333"/>
          <w:w w:val="110"/>
        </w:rPr>
        <w:t>go.</w:t>
      </w:r>
    </w:p>
    <w:p w14:paraId="52EFF3CA" w14:textId="4124CA67" w:rsidR="003C2149" w:rsidRPr="00F951AF" w:rsidRDefault="003C2149" w:rsidP="003C2149">
      <w:pPr>
        <w:pStyle w:val="a3"/>
        <w:spacing w:before="252" w:line="307" w:lineRule="auto"/>
        <w:ind w:left="124" w:right="130"/>
        <w:jc w:val="both"/>
        <w:rPr>
          <w:color w:val="E36C0A" w:themeColor="accent6" w:themeShade="BF"/>
          <w:w w:val="110"/>
          <w:sz w:val="18"/>
          <w:szCs w:val="18"/>
        </w:rPr>
      </w:pPr>
      <w:r w:rsidRPr="00F951AF">
        <w:rPr>
          <w:rFonts w:ascii="宋体" w:eastAsia="宋体" w:hAnsi="宋体" w:cs="宋体" w:hint="eastAsia"/>
          <w:color w:val="E36C0A" w:themeColor="accent6" w:themeShade="BF"/>
          <w:w w:val="110"/>
          <w:sz w:val="18"/>
          <w:szCs w:val="18"/>
        </w:rPr>
        <w:t>如果您是从</w:t>
      </w:r>
      <w:r w:rsidRPr="00F951AF">
        <w:rPr>
          <w:color w:val="E36C0A" w:themeColor="accent6" w:themeShade="BF"/>
          <w:w w:val="110"/>
          <w:sz w:val="18"/>
          <w:szCs w:val="18"/>
        </w:rPr>
        <w:t>Spring Boot</w:t>
      </w:r>
      <w:proofErr w:type="gramStart"/>
      <w:r w:rsidRPr="00F951AF">
        <w:rPr>
          <w:rFonts w:ascii="宋体" w:eastAsia="宋体" w:hAnsi="宋体" w:cs="宋体" w:hint="eastAsia"/>
          <w:color w:val="E36C0A" w:themeColor="accent6" w:themeShade="BF"/>
          <w:w w:val="110"/>
          <w:sz w:val="18"/>
          <w:szCs w:val="18"/>
        </w:rPr>
        <w:t>或</w:t>
      </w:r>
      <w:r w:rsidRPr="00F951AF">
        <w:rPr>
          <w:color w:val="E36C0A" w:themeColor="accent6" w:themeShade="BF"/>
          <w:w w:val="110"/>
          <w:sz w:val="18"/>
          <w:szCs w:val="18"/>
        </w:rPr>
        <w:t>“ Spring</w:t>
      </w:r>
      <w:proofErr w:type="gramEnd"/>
      <w:r w:rsidRPr="00F951AF">
        <w:rPr>
          <w:color w:val="E36C0A" w:themeColor="accent6" w:themeShade="BF"/>
          <w:w w:val="110"/>
          <w:sz w:val="18"/>
          <w:szCs w:val="18"/>
        </w:rPr>
        <w:t>”</w:t>
      </w:r>
      <w:r w:rsidRPr="00F951AF">
        <w:rPr>
          <w:rFonts w:ascii="宋体" w:eastAsia="宋体" w:hAnsi="宋体" w:cs="宋体" w:hint="eastAsia"/>
          <w:color w:val="E36C0A" w:themeColor="accent6" w:themeShade="BF"/>
          <w:w w:val="110"/>
          <w:sz w:val="18"/>
          <w:szCs w:val="18"/>
        </w:rPr>
        <w:t>开始的，请先阅读本节。</w:t>
      </w:r>
      <w:r w:rsidRPr="00F951AF">
        <w:rPr>
          <w:color w:val="E36C0A" w:themeColor="accent6" w:themeShade="BF"/>
          <w:w w:val="110"/>
          <w:sz w:val="18"/>
          <w:szCs w:val="18"/>
        </w:rPr>
        <w:t xml:space="preserve"> </w:t>
      </w:r>
      <w:r w:rsidRPr="00F951AF">
        <w:rPr>
          <w:rFonts w:ascii="宋体" w:eastAsia="宋体" w:hAnsi="宋体" w:cs="宋体" w:hint="eastAsia"/>
          <w:color w:val="E36C0A" w:themeColor="accent6" w:themeShade="BF"/>
          <w:w w:val="110"/>
          <w:sz w:val="18"/>
          <w:szCs w:val="18"/>
        </w:rPr>
        <w:t>它</w:t>
      </w:r>
      <w:r w:rsidR="00711A16">
        <w:rPr>
          <w:rFonts w:ascii="宋体" w:eastAsia="宋体" w:hAnsi="宋体" w:cs="宋体" w:hint="eastAsia"/>
          <w:color w:val="E36C0A" w:themeColor="accent6" w:themeShade="BF"/>
          <w:w w:val="110"/>
          <w:sz w:val="18"/>
          <w:szCs w:val="18"/>
          <w:lang w:eastAsia="zh-CN"/>
        </w:rPr>
        <w:t>针对</w:t>
      </w:r>
      <w:r w:rsidRPr="00F951AF">
        <w:rPr>
          <w:rFonts w:ascii="宋体" w:eastAsia="宋体" w:hAnsi="宋体" w:cs="宋体" w:hint="eastAsia"/>
          <w:color w:val="E36C0A" w:themeColor="accent6" w:themeShade="BF"/>
          <w:w w:val="110"/>
          <w:sz w:val="18"/>
          <w:szCs w:val="18"/>
        </w:rPr>
        <w:t>基本的</w:t>
      </w:r>
      <w:r w:rsidRPr="00F951AF">
        <w:rPr>
          <w:color w:val="E36C0A" w:themeColor="accent6" w:themeShade="BF"/>
          <w:w w:val="110"/>
          <w:sz w:val="18"/>
          <w:szCs w:val="18"/>
        </w:rPr>
        <w:t>“</w:t>
      </w:r>
      <w:r w:rsidRPr="00F951AF">
        <w:rPr>
          <w:rFonts w:ascii="宋体" w:eastAsia="宋体" w:hAnsi="宋体" w:cs="宋体" w:hint="eastAsia"/>
          <w:color w:val="E36C0A" w:themeColor="accent6" w:themeShade="BF"/>
          <w:w w:val="110"/>
          <w:sz w:val="18"/>
          <w:szCs w:val="18"/>
        </w:rPr>
        <w:t>什么？</w:t>
      </w:r>
      <w:r w:rsidRPr="00F951AF">
        <w:rPr>
          <w:color w:val="E36C0A" w:themeColor="accent6" w:themeShade="BF"/>
          <w:w w:val="110"/>
          <w:sz w:val="18"/>
          <w:szCs w:val="18"/>
        </w:rPr>
        <w:t>”</w:t>
      </w:r>
      <w:r w:rsidRPr="00F951AF">
        <w:rPr>
          <w:rFonts w:ascii="宋体" w:eastAsia="宋体" w:hAnsi="宋体" w:cs="宋体" w:hint="eastAsia"/>
          <w:color w:val="E36C0A" w:themeColor="accent6" w:themeShade="BF"/>
          <w:w w:val="110"/>
          <w:sz w:val="18"/>
          <w:szCs w:val="18"/>
        </w:rPr>
        <w:t>，</w:t>
      </w:r>
      <w:r w:rsidRPr="00F951AF">
        <w:rPr>
          <w:color w:val="E36C0A" w:themeColor="accent6" w:themeShade="BF"/>
          <w:w w:val="110"/>
          <w:sz w:val="18"/>
          <w:szCs w:val="18"/>
        </w:rPr>
        <w:t>“</w:t>
      </w:r>
      <w:r w:rsidRPr="00F951AF">
        <w:rPr>
          <w:rFonts w:ascii="宋体" w:eastAsia="宋体" w:hAnsi="宋体" w:cs="宋体" w:hint="eastAsia"/>
          <w:color w:val="E36C0A" w:themeColor="accent6" w:themeShade="BF"/>
          <w:w w:val="110"/>
          <w:sz w:val="18"/>
          <w:szCs w:val="18"/>
        </w:rPr>
        <w:t>如何？</w:t>
      </w:r>
      <w:r w:rsidRPr="00F951AF">
        <w:rPr>
          <w:color w:val="E36C0A" w:themeColor="accent6" w:themeShade="BF"/>
          <w:w w:val="110"/>
          <w:sz w:val="18"/>
          <w:szCs w:val="18"/>
        </w:rPr>
        <w:t xml:space="preserve">” </w:t>
      </w:r>
      <w:r w:rsidRPr="00F951AF">
        <w:rPr>
          <w:rFonts w:ascii="宋体" w:eastAsia="宋体" w:hAnsi="宋体" w:cs="宋体" w:hint="eastAsia"/>
          <w:color w:val="E36C0A" w:themeColor="accent6" w:themeShade="BF"/>
          <w:w w:val="110"/>
          <w:sz w:val="18"/>
          <w:szCs w:val="18"/>
        </w:rPr>
        <w:t>和</w:t>
      </w:r>
      <w:r w:rsidRPr="00F951AF">
        <w:rPr>
          <w:color w:val="E36C0A" w:themeColor="accent6" w:themeShade="BF"/>
          <w:w w:val="110"/>
          <w:sz w:val="18"/>
          <w:szCs w:val="18"/>
        </w:rPr>
        <w:t>“</w:t>
      </w:r>
      <w:r w:rsidRPr="00F951AF">
        <w:rPr>
          <w:rFonts w:ascii="宋体" w:eastAsia="宋体" w:hAnsi="宋体" w:cs="宋体" w:hint="eastAsia"/>
          <w:color w:val="E36C0A" w:themeColor="accent6" w:themeShade="BF"/>
          <w:w w:val="110"/>
          <w:sz w:val="18"/>
          <w:szCs w:val="18"/>
        </w:rPr>
        <w:t>为什么？</w:t>
      </w:r>
      <w:r w:rsidRPr="00F951AF">
        <w:rPr>
          <w:color w:val="E36C0A" w:themeColor="accent6" w:themeShade="BF"/>
          <w:w w:val="110"/>
          <w:sz w:val="18"/>
          <w:szCs w:val="18"/>
        </w:rPr>
        <w:t xml:space="preserve">” </w:t>
      </w:r>
      <w:r w:rsidRPr="00F951AF">
        <w:rPr>
          <w:rFonts w:ascii="宋体" w:eastAsia="宋体" w:hAnsi="宋体" w:cs="宋体" w:hint="eastAsia"/>
          <w:color w:val="E36C0A" w:themeColor="accent6" w:themeShade="BF"/>
          <w:w w:val="110"/>
          <w:sz w:val="18"/>
          <w:szCs w:val="18"/>
        </w:rPr>
        <w:t>问题</w:t>
      </w:r>
      <w:r w:rsidR="00711A16">
        <w:rPr>
          <w:rFonts w:ascii="宋体" w:eastAsia="宋体" w:hAnsi="宋体" w:cs="宋体" w:hint="eastAsia"/>
          <w:color w:val="E36C0A" w:themeColor="accent6" w:themeShade="BF"/>
          <w:w w:val="110"/>
          <w:sz w:val="18"/>
          <w:szCs w:val="18"/>
          <w:lang w:eastAsia="zh-CN"/>
        </w:rPr>
        <w:t>提出答惑</w:t>
      </w:r>
      <w:r w:rsidRPr="00F951AF">
        <w:rPr>
          <w:rFonts w:ascii="宋体" w:eastAsia="宋体" w:hAnsi="宋体" w:cs="宋体" w:hint="eastAsia"/>
          <w:color w:val="E36C0A" w:themeColor="accent6" w:themeShade="BF"/>
          <w:w w:val="110"/>
          <w:sz w:val="18"/>
          <w:szCs w:val="18"/>
        </w:rPr>
        <w:t>。</w:t>
      </w:r>
      <w:r w:rsidRPr="00F951AF">
        <w:rPr>
          <w:color w:val="E36C0A" w:themeColor="accent6" w:themeShade="BF"/>
          <w:w w:val="110"/>
          <w:sz w:val="18"/>
          <w:szCs w:val="18"/>
        </w:rPr>
        <w:t xml:space="preserve"> </w:t>
      </w:r>
      <w:r w:rsidRPr="00F951AF">
        <w:rPr>
          <w:rFonts w:ascii="宋体" w:eastAsia="宋体" w:hAnsi="宋体" w:cs="宋体" w:hint="eastAsia"/>
          <w:color w:val="E36C0A" w:themeColor="accent6" w:themeShade="BF"/>
          <w:w w:val="110"/>
          <w:sz w:val="18"/>
          <w:szCs w:val="18"/>
        </w:rPr>
        <w:t>包括对</w:t>
      </w:r>
      <w:r w:rsidRPr="00F951AF">
        <w:rPr>
          <w:color w:val="E36C0A" w:themeColor="accent6" w:themeShade="BF"/>
          <w:w w:val="110"/>
          <w:sz w:val="18"/>
          <w:szCs w:val="18"/>
        </w:rPr>
        <w:t>Spring Boot</w:t>
      </w:r>
      <w:r w:rsidRPr="00F951AF">
        <w:rPr>
          <w:rFonts w:ascii="宋体" w:eastAsia="宋体" w:hAnsi="宋体" w:cs="宋体" w:hint="eastAsia"/>
          <w:color w:val="E36C0A" w:themeColor="accent6" w:themeShade="BF"/>
          <w:w w:val="110"/>
          <w:sz w:val="18"/>
          <w:szCs w:val="18"/>
        </w:rPr>
        <w:t>的介绍以及安装说明。</w:t>
      </w:r>
      <w:r w:rsidRPr="00F951AF">
        <w:rPr>
          <w:color w:val="E36C0A" w:themeColor="accent6" w:themeShade="BF"/>
          <w:w w:val="110"/>
          <w:sz w:val="18"/>
          <w:szCs w:val="18"/>
        </w:rPr>
        <w:t xml:space="preserve"> </w:t>
      </w:r>
      <w:r w:rsidRPr="00F951AF">
        <w:rPr>
          <w:rFonts w:ascii="宋体" w:eastAsia="宋体" w:hAnsi="宋体" w:cs="宋体" w:hint="eastAsia"/>
          <w:color w:val="E36C0A" w:themeColor="accent6" w:themeShade="BF"/>
          <w:w w:val="110"/>
          <w:sz w:val="18"/>
          <w:szCs w:val="18"/>
        </w:rPr>
        <w:t>然后，我们将引导您构建第一个</w:t>
      </w:r>
      <w:r w:rsidRPr="00F951AF">
        <w:rPr>
          <w:color w:val="E36C0A" w:themeColor="accent6" w:themeShade="BF"/>
          <w:w w:val="110"/>
          <w:sz w:val="18"/>
          <w:szCs w:val="18"/>
        </w:rPr>
        <w:t>Spring Boot</w:t>
      </w:r>
      <w:r w:rsidRPr="00F951AF">
        <w:rPr>
          <w:rFonts w:ascii="宋体" w:eastAsia="宋体" w:hAnsi="宋体" w:cs="宋体" w:hint="eastAsia"/>
          <w:color w:val="E36C0A" w:themeColor="accent6" w:themeShade="BF"/>
          <w:w w:val="110"/>
          <w:sz w:val="18"/>
          <w:szCs w:val="18"/>
        </w:rPr>
        <w:t>应用程序，并讨论一些核心原理。</w:t>
      </w:r>
    </w:p>
    <w:p w14:paraId="709C9C18" w14:textId="77777777" w:rsidR="003C2149" w:rsidRDefault="003C2149">
      <w:pPr>
        <w:pStyle w:val="a3"/>
        <w:rPr>
          <w:sz w:val="26"/>
        </w:rPr>
      </w:pPr>
    </w:p>
    <w:p w14:paraId="78E4FDA4" w14:textId="2838FF17" w:rsidR="00A720EB" w:rsidRDefault="0030286B">
      <w:pPr>
        <w:pStyle w:val="2"/>
        <w:numPr>
          <w:ilvl w:val="1"/>
          <w:numId w:val="78"/>
        </w:numPr>
        <w:tabs>
          <w:tab w:val="left" w:pos="832"/>
        </w:tabs>
      </w:pPr>
      <w:bookmarkStart w:id="22" w:name="2.1._Introducing_Spring_Boot"/>
      <w:bookmarkStart w:id="23" w:name="_Toc54423664"/>
      <w:bookmarkEnd w:id="22"/>
      <w:r>
        <w:rPr>
          <w:color w:val="333333"/>
          <w:w w:val="110"/>
        </w:rPr>
        <w:t>Introducing Spring</w:t>
      </w:r>
      <w:r>
        <w:rPr>
          <w:color w:val="333333"/>
          <w:spacing w:val="-16"/>
          <w:w w:val="110"/>
        </w:rPr>
        <w:t xml:space="preserve"> </w:t>
      </w:r>
      <w:r>
        <w:rPr>
          <w:color w:val="333333"/>
          <w:w w:val="110"/>
        </w:rPr>
        <w:t>Boot</w:t>
      </w:r>
      <w:r w:rsidR="00296E9F">
        <w:rPr>
          <w:color w:val="333333"/>
          <w:w w:val="110"/>
        </w:rPr>
        <w:t xml:space="preserve"> </w:t>
      </w:r>
      <w:r w:rsidR="00296E9F" w:rsidRPr="00296E9F">
        <w:rPr>
          <w:color w:val="E36C0A" w:themeColor="accent6" w:themeShade="BF"/>
          <w:w w:val="110"/>
        </w:rPr>
        <w:t>Spring</w:t>
      </w:r>
      <w:r w:rsidR="00296E9F" w:rsidRPr="00296E9F">
        <w:rPr>
          <w:color w:val="E36C0A" w:themeColor="accent6" w:themeShade="BF"/>
          <w:spacing w:val="-16"/>
          <w:w w:val="110"/>
        </w:rPr>
        <w:t xml:space="preserve"> </w:t>
      </w:r>
      <w:r w:rsidR="00296E9F" w:rsidRPr="00296E9F">
        <w:rPr>
          <w:color w:val="E36C0A" w:themeColor="accent6" w:themeShade="BF"/>
          <w:w w:val="110"/>
        </w:rPr>
        <w:t xml:space="preserve">Boot </w:t>
      </w:r>
      <w:r w:rsidR="00296E9F" w:rsidRPr="00296E9F">
        <w:rPr>
          <w:rFonts w:ascii="宋体" w:eastAsia="宋体" w:hAnsi="宋体" w:cs="宋体" w:hint="eastAsia"/>
          <w:color w:val="E36C0A" w:themeColor="accent6" w:themeShade="BF"/>
          <w:w w:val="110"/>
          <w:lang w:eastAsia="zh-CN"/>
        </w:rPr>
        <w:t>简介</w:t>
      </w:r>
      <w:bookmarkEnd w:id="23"/>
    </w:p>
    <w:p w14:paraId="03E37EBC" w14:textId="1EA0CB08" w:rsidR="00A720EB" w:rsidRDefault="0030286B">
      <w:pPr>
        <w:pStyle w:val="a3"/>
        <w:spacing w:before="253" w:line="307" w:lineRule="auto"/>
        <w:ind w:left="124" w:right="127"/>
        <w:jc w:val="both"/>
        <w:rPr>
          <w:color w:val="333333"/>
          <w:w w:val="110"/>
        </w:rPr>
      </w:pPr>
      <w:r>
        <w:rPr>
          <w:color w:val="333333"/>
          <w:w w:val="110"/>
        </w:rPr>
        <w:t xml:space="preserve">Spring Boot helps you to create stand-alone, production-grade Spring-based Applications that you can run. </w:t>
      </w:r>
      <w:r>
        <w:rPr>
          <w:color w:val="333333"/>
          <w:spacing w:val="-7"/>
          <w:w w:val="110"/>
        </w:rPr>
        <w:t xml:space="preserve">We </w:t>
      </w:r>
      <w:r>
        <w:rPr>
          <w:color w:val="333333"/>
          <w:w w:val="110"/>
        </w:rPr>
        <w:t xml:space="preserve">take an opinionated view of the Spring platform and third-party libraries, so that </w:t>
      </w:r>
      <w:proofErr w:type="gramStart"/>
      <w:r>
        <w:rPr>
          <w:color w:val="333333"/>
          <w:w w:val="110"/>
        </w:rPr>
        <w:t>you  can</w:t>
      </w:r>
      <w:proofErr w:type="gramEnd"/>
      <w:r>
        <w:rPr>
          <w:color w:val="333333"/>
          <w:w w:val="110"/>
        </w:rPr>
        <w:t xml:space="preserve"> get started with minimum fuss. Most Spring Boot applications need very little Spring configuration.</w:t>
      </w:r>
    </w:p>
    <w:p w14:paraId="1999C60E" w14:textId="4CBFF71C" w:rsidR="003C2149" w:rsidRPr="00F951AF" w:rsidRDefault="003C2149" w:rsidP="00F951AF">
      <w:pPr>
        <w:pStyle w:val="a3"/>
        <w:spacing w:before="252" w:line="307" w:lineRule="auto"/>
        <w:ind w:left="124" w:right="130"/>
        <w:jc w:val="both"/>
        <w:rPr>
          <w:rFonts w:ascii="宋体" w:eastAsia="宋体" w:hAnsi="宋体" w:cs="宋体"/>
          <w:color w:val="E36C0A" w:themeColor="accent6" w:themeShade="BF"/>
          <w:w w:val="110"/>
          <w:sz w:val="18"/>
          <w:szCs w:val="18"/>
        </w:rPr>
      </w:pPr>
      <w:r w:rsidRPr="00F951AF">
        <w:rPr>
          <w:rFonts w:ascii="宋体" w:eastAsia="宋体" w:hAnsi="宋体" w:cs="宋体"/>
          <w:color w:val="E36C0A" w:themeColor="accent6" w:themeShade="BF"/>
          <w:w w:val="110"/>
          <w:sz w:val="18"/>
          <w:szCs w:val="18"/>
        </w:rPr>
        <w:t>Spring Boot</w:t>
      </w:r>
      <w:r w:rsidRPr="00F951AF">
        <w:rPr>
          <w:rFonts w:ascii="宋体" w:eastAsia="宋体" w:hAnsi="宋体" w:cs="宋体" w:hint="eastAsia"/>
          <w:color w:val="E36C0A" w:themeColor="accent6" w:themeShade="BF"/>
          <w:w w:val="110"/>
          <w:sz w:val="18"/>
          <w:szCs w:val="18"/>
        </w:rPr>
        <w:t>帮助您创建可以</w:t>
      </w:r>
      <w:r w:rsidR="00711A16" w:rsidRPr="00F951AF">
        <w:rPr>
          <w:rFonts w:ascii="宋体" w:eastAsia="宋体" w:hAnsi="宋体" w:cs="宋体" w:hint="eastAsia"/>
          <w:color w:val="E36C0A" w:themeColor="accent6" w:themeShade="BF"/>
          <w:w w:val="110"/>
          <w:sz w:val="18"/>
          <w:szCs w:val="18"/>
        </w:rPr>
        <w:t>独立的</w:t>
      </w:r>
      <w:r w:rsidRPr="00F951AF">
        <w:rPr>
          <w:rFonts w:ascii="宋体" w:eastAsia="宋体" w:hAnsi="宋体" w:cs="宋体" w:hint="eastAsia"/>
          <w:color w:val="E36C0A" w:themeColor="accent6" w:themeShade="BF"/>
          <w:w w:val="110"/>
          <w:sz w:val="18"/>
          <w:szCs w:val="18"/>
        </w:rPr>
        <w:t>运行的、生产级的基于</w:t>
      </w:r>
      <w:r w:rsidRPr="00F951AF">
        <w:rPr>
          <w:rFonts w:ascii="宋体" w:eastAsia="宋体" w:hAnsi="宋体" w:cs="宋体"/>
          <w:color w:val="E36C0A" w:themeColor="accent6" w:themeShade="BF"/>
          <w:w w:val="110"/>
          <w:sz w:val="18"/>
          <w:szCs w:val="18"/>
        </w:rPr>
        <w:t>Spring</w:t>
      </w:r>
      <w:r w:rsidRPr="00F951AF">
        <w:rPr>
          <w:rFonts w:ascii="宋体" w:eastAsia="宋体" w:hAnsi="宋体" w:cs="宋体" w:hint="eastAsia"/>
          <w:color w:val="E36C0A" w:themeColor="accent6" w:themeShade="BF"/>
          <w:w w:val="110"/>
          <w:sz w:val="18"/>
          <w:szCs w:val="18"/>
        </w:rPr>
        <w:t>的应用程序。我们对</w:t>
      </w:r>
      <w:r w:rsidRPr="00F951AF">
        <w:rPr>
          <w:rFonts w:ascii="宋体" w:eastAsia="宋体" w:hAnsi="宋体" w:cs="宋体"/>
          <w:color w:val="E36C0A" w:themeColor="accent6" w:themeShade="BF"/>
          <w:w w:val="110"/>
          <w:sz w:val="18"/>
          <w:szCs w:val="18"/>
        </w:rPr>
        <w:t>Spring</w:t>
      </w:r>
      <w:r w:rsidRPr="00F951AF">
        <w:rPr>
          <w:rFonts w:ascii="宋体" w:eastAsia="宋体" w:hAnsi="宋体" w:cs="宋体" w:hint="eastAsia"/>
          <w:color w:val="E36C0A" w:themeColor="accent6" w:themeShade="BF"/>
          <w:w w:val="110"/>
          <w:sz w:val="18"/>
          <w:szCs w:val="18"/>
        </w:rPr>
        <w:t>平台和第三方库有自己的看法，这样您就可以从零开始。大多数</w:t>
      </w:r>
      <w:r w:rsidRPr="00F951AF">
        <w:rPr>
          <w:rFonts w:ascii="宋体" w:eastAsia="宋体" w:hAnsi="宋体" w:cs="宋体"/>
          <w:color w:val="E36C0A" w:themeColor="accent6" w:themeShade="BF"/>
          <w:w w:val="110"/>
          <w:sz w:val="18"/>
          <w:szCs w:val="18"/>
        </w:rPr>
        <w:t>Spring</w:t>
      </w:r>
      <w:r w:rsidRPr="00F951AF">
        <w:rPr>
          <w:rFonts w:ascii="宋体" w:eastAsia="宋体" w:hAnsi="宋体" w:cs="宋体" w:hint="eastAsia"/>
          <w:color w:val="E36C0A" w:themeColor="accent6" w:themeShade="BF"/>
          <w:w w:val="110"/>
          <w:sz w:val="18"/>
          <w:szCs w:val="18"/>
        </w:rPr>
        <w:t>引导应用程序只需要很少的</w:t>
      </w:r>
      <w:r w:rsidRPr="00F951AF">
        <w:rPr>
          <w:rFonts w:ascii="宋体" w:eastAsia="宋体" w:hAnsi="宋体" w:cs="宋体"/>
          <w:color w:val="E36C0A" w:themeColor="accent6" w:themeShade="BF"/>
          <w:w w:val="110"/>
          <w:sz w:val="18"/>
          <w:szCs w:val="18"/>
        </w:rPr>
        <w:t>Spring</w:t>
      </w:r>
      <w:r w:rsidRPr="00F951AF">
        <w:rPr>
          <w:rFonts w:ascii="宋体" w:eastAsia="宋体" w:hAnsi="宋体" w:cs="宋体" w:hint="eastAsia"/>
          <w:color w:val="E36C0A" w:themeColor="accent6" w:themeShade="BF"/>
          <w:w w:val="110"/>
          <w:sz w:val="18"/>
          <w:szCs w:val="18"/>
        </w:rPr>
        <w:t>配置。</w:t>
      </w:r>
    </w:p>
    <w:p w14:paraId="4981930A" w14:textId="25751229" w:rsidR="00A720EB" w:rsidRDefault="0030286B">
      <w:pPr>
        <w:pStyle w:val="a3"/>
        <w:spacing w:before="232" w:line="290" w:lineRule="auto"/>
        <w:ind w:left="124" w:right="123"/>
        <w:jc w:val="both"/>
        <w:rPr>
          <w:color w:val="333333"/>
          <w:w w:val="110"/>
        </w:rPr>
      </w:pPr>
      <w:r>
        <w:rPr>
          <w:color w:val="333333"/>
          <w:w w:val="110"/>
        </w:rPr>
        <w:t xml:space="preserve">You can use Spring Boot to create Java applications that can be started by using </w:t>
      </w:r>
      <w:r>
        <w:rPr>
          <w:rFonts w:ascii="MS Gothic" w:hAnsi="MS Gothic"/>
          <w:color w:val="B02045"/>
          <w:w w:val="110"/>
        </w:rPr>
        <w:t xml:space="preserve">java -jar </w:t>
      </w:r>
      <w:r>
        <w:rPr>
          <w:color w:val="333333"/>
          <w:w w:val="110"/>
        </w:rPr>
        <w:t>or more traditional war deployments. We also provide a command line tool that runs “spring scripts”.</w:t>
      </w:r>
    </w:p>
    <w:p w14:paraId="17467EFF" w14:textId="5FAAEEB2" w:rsidR="003C2149" w:rsidRPr="00F951AF" w:rsidRDefault="003C2149">
      <w:pPr>
        <w:pStyle w:val="a3"/>
        <w:spacing w:before="232" w:line="290" w:lineRule="auto"/>
        <w:ind w:left="124" w:right="123"/>
        <w:jc w:val="both"/>
        <w:rPr>
          <w:rFonts w:ascii="宋体" w:eastAsia="宋体" w:hAnsi="宋体" w:cs="宋体"/>
          <w:color w:val="E36C0A" w:themeColor="accent6" w:themeShade="BF"/>
          <w:w w:val="110"/>
          <w:sz w:val="18"/>
          <w:szCs w:val="18"/>
        </w:rPr>
      </w:pPr>
      <w:r w:rsidRPr="00F951AF">
        <w:rPr>
          <w:rFonts w:ascii="宋体" w:eastAsia="宋体" w:hAnsi="宋体" w:cs="宋体" w:hint="eastAsia"/>
          <w:color w:val="E36C0A" w:themeColor="accent6" w:themeShade="BF"/>
          <w:w w:val="110"/>
          <w:sz w:val="18"/>
          <w:szCs w:val="18"/>
        </w:rPr>
        <w:t>您可以使用</w:t>
      </w:r>
      <w:r w:rsidRPr="00F951AF">
        <w:rPr>
          <w:rFonts w:ascii="宋体" w:eastAsia="宋体" w:hAnsi="宋体" w:cs="宋体"/>
          <w:color w:val="E36C0A" w:themeColor="accent6" w:themeShade="BF"/>
          <w:w w:val="110"/>
          <w:sz w:val="18"/>
          <w:szCs w:val="18"/>
        </w:rPr>
        <w:t>Spring Boot</w:t>
      </w:r>
      <w:r w:rsidRPr="00F951AF">
        <w:rPr>
          <w:rFonts w:ascii="宋体" w:eastAsia="宋体" w:hAnsi="宋体" w:cs="宋体" w:hint="eastAsia"/>
          <w:color w:val="E36C0A" w:themeColor="accent6" w:themeShade="BF"/>
          <w:w w:val="110"/>
          <w:sz w:val="18"/>
          <w:szCs w:val="18"/>
        </w:rPr>
        <w:t>创建可以通过使用</w:t>
      </w:r>
      <w:r w:rsidRPr="00F951AF">
        <w:rPr>
          <w:rFonts w:ascii="宋体" w:eastAsia="宋体" w:hAnsi="宋体" w:cs="宋体"/>
          <w:color w:val="E36C0A" w:themeColor="accent6" w:themeShade="BF"/>
          <w:w w:val="110"/>
          <w:sz w:val="18"/>
          <w:szCs w:val="18"/>
        </w:rPr>
        <w:t>Java -jar</w:t>
      </w:r>
      <w:r w:rsidRPr="00F951AF">
        <w:rPr>
          <w:rFonts w:ascii="宋体" w:eastAsia="宋体" w:hAnsi="宋体" w:cs="宋体" w:hint="eastAsia"/>
          <w:color w:val="E36C0A" w:themeColor="accent6" w:themeShade="BF"/>
          <w:w w:val="110"/>
          <w:sz w:val="18"/>
          <w:szCs w:val="18"/>
        </w:rPr>
        <w:t>或更传统的</w:t>
      </w:r>
      <w:r w:rsidRPr="00F951AF">
        <w:rPr>
          <w:rFonts w:ascii="宋体" w:eastAsia="宋体" w:hAnsi="宋体" w:cs="宋体"/>
          <w:color w:val="E36C0A" w:themeColor="accent6" w:themeShade="BF"/>
          <w:w w:val="110"/>
          <w:sz w:val="18"/>
          <w:szCs w:val="18"/>
        </w:rPr>
        <w:t>war</w:t>
      </w:r>
      <w:r w:rsidRPr="00F951AF">
        <w:rPr>
          <w:rFonts w:ascii="宋体" w:eastAsia="宋体" w:hAnsi="宋体" w:cs="宋体" w:hint="eastAsia"/>
          <w:color w:val="E36C0A" w:themeColor="accent6" w:themeShade="BF"/>
          <w:w w:val="110"/>
          <w:sz w:val="18"/>
          <w:szCs w:val="18"/>
        </w:rPr>
        <w:t>部署启动的</w:t>
      </w:r>
      <w:r w:rsidRPr="00F951AF">
        <w:rPr>
          <w:rFonts w:ascii="宋体" w:eastAsia="宋体" w:hAnsi="宋体" w:cs="宋体"/>
          <w:color w:val="E36C0A" w:themeColor="accent6" w:themeShade="BF"/>
          <w:w w:val="110"/>
          <w:sz w:val="18"/>
          <w:szCs w:val="18"/>
        </w:rPr>
        <w:t>Java</w:t>
      </w:r>
      <w:r w:rsidRPr="00F951AF">
        <w:rPr>
          <w:rFonts w:ascii="宋体" w:eastAsia="宋体" w:hAnsi="宋体" w:cs="宋体" w:hint="eastAsia"/>
          <w:color w:val="E36C0A" w:themeColor="accent6" w:themeShade="BF"/>
          <w:w w:val="110"/>
          <w:sz w:val="18"/>
          <w:szCs w:val="18"/>
        </w:rPr>
        <w:t>应用程序。我们还提供了一个运行</w:t>
      </w:r>
      <w:r w:rsidRPr="00F951AF">
        <w:rPr>
          <w:rFonts w:ascii="宋体" w:eastAsia="宋体" w:hAnsi="宋体" w:cs="宋体"/>
          <w:color w:val="E36C0A" w:themeColor="accent6" w:themeShade="BF"/>
          <w:w w:val="110"/>
          <w:sz w:val="18"/>
          <w:szCs w:val="18"/>
        </w:rPr>
        <w:t>“spring</w:t>
      </w:r>
      <w:proofErr w:type="gramStart"/>
      <w:r w:rsidRPr="00F951AF">
        <w:rPr>
          <w:rFonts w:ascii="宋体" w:eastAsia="宋体" w:hAnsi="宋体" w:cs="宋体" w:hint="eastAsia"/>
          <w:color w:val="E36C0A" w:themeColor="accent6" w:themeShade="BF"/>
          <w:w w:val="110"/>
          <w:sz w:val="18"/>
          <w:szCs w:val="18"/>
        </w:rPr>
        <w:t>脚本</w:t>
      </w:r>
      <w:r w:rsidRPr="00F951AF">
        <w:rPr>
          <w:rFonts w:ascii="宋体" w:eastAsia="宋体" w:hAnsi="宋体" w:cs="宋体"/>
          <w:color w:val="E36C0A" w:themeColor="accent6" w:themeShade="BF"/>
          <w:w w:val="110"/>
          <w:sz w:val="18"/>
          <w:szCs w:val="18"/>
        </w:rPr>
        <w:t>”</w:t>
      </w:r>
      <w:r w:rsidRPr="00F951AF">
        <w:rPr>
          <w:rFonts w:ascii="宋体" w:eastAsia="宋体" w:hAnsi="宋体" w:cs="宋体" w:hint="eastAsia"/>
          <w:color w:val="E36C0A" w:themeColor="accent6" w:themeShade="BF"/>
          <w:w w:val="110"/>
          <w:sz w:val="18"/>
          <w:szCs w:val="18"/>
        </w:rPr>
        <w:t>的命令行工具</w:t>
      </w:r>
      <w:proofErr w:type="gramEnd"/>
      <w:r w:rsidRPr="00F951AF">
        <w:rPr>
          <w:rFonts w:ascii="宋体" w:eastAsia="宋体" w:hAnsi="宋体" w:cs="宋体" w:hint="eastAsia"/>
          <w:color w:val="E36C0A" w:themeColor="accent6" w:themeShade="BF"/>
          <w:w w:val="110"/>
          <w:sz w:val="18"/>
          <w:szCs w:val="18"/>
        </w:rPr>
        <w:t>。</w:t>
      </w:r>
    </w:p>
    <w:p w14:paraId="0AF2CEF0" w14:textId="77777777" w:rsidR="00A720EB" w:rsidRDefault="00A720EB">
      <w:pPr>
        <w:pStyle w:val="a3"/>
        <w:rPr>
          <w:sz w:val="22"/>
        </w:rPr>
      </w:pPr>
    </w:p>
    <w:p w14:paraId="1FF97AAC" w14:textId="6859AFD9" w:rsidR="00A720EB" w:rsidRDefault="0030286B">
      <w:pPr>
        <w:pStyle w:val="a3"/>
        <w:ind w:left="124"/>
        <w:rPr>
          <w:color w:val="333333"/>
          <w:w w:val="110"/>
        </w:rPr>
      </w:pPr>
      <w:r>
        <w:rPr>
          <w:color w:val="333333"/>
          <w:w w:val="110"/>
        </w:rPr>
        <w:t>Our primary goals are:</w:t>
      </w:r>
    </w:p>
    <w:p w14:paraId="40E3D5C7" w14:textId="77777777" w:rsidR="00A720EB" w:rsidRDefault="00A720EB">
      <w:pPr>
        <w:pStyle w:val="a3"/>
        <w:spacing w:before="4"/>
        <w:rPr>
          <w:sz w:val="26"/>
        </w:rPr>
      </w:pPr>
    </w:p>
    <w:p w14:paraId="7F8CFD18" w14:textId="77777777" w:rsidR="00A720EB" w:rsidRDefault="0030286B">
      <w:pPr>
        <w:pStyle w:val="a6"/>
        <w:numPr>
          <w:ilvl w:val="2"/>
          <w:numId w:val="78"/>
        </w:numPr>
        <w:tabs>
          <w:tab w:val="left" w:pos="485"/>
        </w:tabs>
        <w:spacing w:before="1" w:line="307" w:lineRule="auto"/>
        <w:ind w:right="131"/>
        <w:rPr>
          <w:sz w:val="21"/>
        </w:rPr>
      </w:pPr>
      <w:r>
        <w:rPr>
          <w:color w:val="333333"/>
          <w:w w:val="110"/>
          <w:sz w:val="21"/>
        </w:rPr>
        <w:t>Provide a radically faster and widely accessible getting-started experience for all Spring development.</w:t>
      </w:r>
    </w:p>
    <w:p w14:paraId="5ED67EB3" w14:textId="77777777" w:rsidR="00A720EB" w:rsidRDefault="0030286B">
      <w:pPr>
        <w:pStyle w:val="a6"/>
        <w:numPr>
          <w:ilvl w:val="2"/>
          <w:numId w:val="78"/>
        </w:numPr>
        <w:tabs>
          <w:tab w:val="left" w:pos="485"/>
        </w:tabs>
        <w:spacing w:before="121" w:line="307" w:lineRule="auto"/>
        <w:ind w:right="127"/>
        <w:rPr>
          <w:sz w:val="21"/>
        </w:rPr>
      </w:pPr>
      <w:r>
        <w:rPr>
          <w:color w:val="333333"/>
          <w:w w:val="110"/>
          <w:sz w:val="21"/>
        </w:rPr>
        <w:t>Be opinionated out of the box but get out of the way quickly as requirements start to diverge</w:t>
      </w:r>
      <w:r>
        <w:rPr>
          <w:color w:val="333333"/>
          <w:spacing w:val="50"/>
          <w:w w:val="110"/>
          <w:sz w:val="21"/>
        </w:rPr>
        <w:t xml:space="preserve"> </w:t>
      </w:r>
      <w:r>
        <w:rPr>
          <w:color w:val="333333"/>
          <w:w w:val="110"/>
          <w:sz w:val="21"/>
        </w:rPr>
        <w:t>from the</w:t>
      </w:r>
      <w:r>
        <w:rPr>
          <w:color w:val="333333"/>
          <w:spacing w:val="7"/>
          <w:w w:val="110"/>
          <w:sz w:val="21"/>
        </w:rPr>
        <w:t xml:space="preserve"> </w:t>
      </w:r>
      <w:r>
        <w:rPr>
          <w:color w:val="333333"/>
          <w:w w:val="110"/>
          <w:sz w:val="21"/>
        </w:rPr>
        <w:t>defaults.</w:t>
      </w:r>
    </w:p>
    <w:p w14:paraId="65C771F7" w14:textId="77777777" w:rsidR="00A720EB" w:rsidRDefault="0030286B">
      <w:pPr>
        <w:pStyle w:val="a6"/>
        <w:numPr>
          <w:ilvl w:val="2"/>
          <w:numId w:val="78"/>
        </w:numPr>
        <w:tabs>
          <w:tab w:val="left" w:pos="485"/>
        </w:tabs>
        <w:spacing w:before="121" w:line="307" w:lineRule="auto"/>
        <w:ind w:right="126"/>
        <w:rPr>
          <w:sz w:val="21"/>
        </w:rPr>
      </w:pPr>
      <w:r>
        <w:rPr>
          <w:color w:val="333333"/>
          <w:w w:val="110"/>
          <w:sz w:val="21"/>
        </w:rPr>
        <w:t xml:space="preserve">Provide a range of non-functional features that are common to large classes of projects (such as embedded servers, </w:t>
      </w:r>
      <w:r>
        <w:rPr>
          <w:color w:val="333333"/>
          <w:spacing w:val="-3"/>
          <w:w w:val="110"/>
          <w:sz w:val="21"/>
        </w:rPr>
        <w:t xml:space="preserve">security, </w:t>
      </w:r>
      <w:r>
        <w:rPr>
          <w:color w:val="333333"/>
          <w:w w:val="110"/>
          <w:sz w:val="21"/>
        </w:rPr>
        <w:t>metrics, health checks, and externalized</w:t>
      </w:r>
      <w:r>
        <w:rPr>
          <w:color w:val="333333"/>
          <w:spacing w:val="43"/>
          <w:w w:val="110"/>
          <w:sz w:val="21"/>
        </w:rPr>
        <w:t xml:space="preserve"> </w:t>
      </w:r>
      <w:r>
        <w:rPr>
          <w:color w:val="333333"/>
          <w:w w:val="110"/>
          <w:sz w:val="21"/>
        </w:rPr>
        <w:t>configuration).</w:t>
      </w:r>
    </w:p>
    <w:p w14:paraId="2F6C01E0" w14:textId="77777777" w:rsidR="00A720EB" w:rsidRDefault="0030286B">
      <w:pPr>
        <w:pStyle w:val="a6"/>
        <w:numPr>
          <w:ilvl w:val="2"/>
          <w:numId w:val="78"/>
        </w:numPr>
        <w:tabs>
          <w:tab w:val="left" w:pos="485"/>
        </w:tabs>
        <w:spacing w:before="120"/>
        <w:rPr>
          <w:sz w:val="21"/>
        </w:rPr>
      </w:pPr>
      <w:r>
        <w:rPr>
          <w:color w:val="333333"/>
          <w:w w:val="115"/>
          <w:sz w:val="21"/>
        </w:rPr>
        <w:t>Absolutely no code generation and no requirement for XML</w:t>
      </w:r>
      <w:r>
        <w:rPr>
          <w:color w:val="333333"/>
          <w:spacing w:val="-31"/>
          <w:w w:val="115"/>
          <w:sz w:val="21"/>
        </w:rPr>
        <w:t xml:space="preserve"> </w:t>
      </w:r>
      <w:r>
        <w:rPr>
          <w:color w:val="333333"/>
          <w:w w:val="115"/>
          <w:sz w:val="21"/>
        </w:rPr>
        <w:t>configuration.</w:t>
      </w:r>
    </w:p>
    <w:p w14:paraId="678B9AB3" w14:textId="77777777" w:rsidR="00B17E77" w:rsidRDefault="00B17E77" w:rsidP="00B17E77">
      <w:pPr>
        <w:pStyle w:val="a3"/>
        <w:rPr>
          <w:rFonts w:ascii="宋体" w:eastAsia="宋体" w:hAnsi="宋体" w:cs="宋体"/>
        </w:rPr>
      </w:pPr>
    </w:p>
    <w:p w14:paraId="5D90AC7D" w14:textId="60A9ACB1" w:rsidR="00A720EB" w:rsidRPr="00F951AF" w:rsidRDefault="00B17E77" w:rsidP="0027674C">
      <w:pPr>
        <w:pStyle w:val="a3"/>
        <w:rPr>
          <w:rFonts w:ascii="宋体" w:eastAsia="宋体" w:hAnsi="宋体" w:cs="宋体"/>
          <w:color w:val="E36C0A" w:themeColor="accent6" w:themeShade="BF"/>
          <w:w w:val="110"/>
          <w:sz w:val="18"/>
          <w:szCs w:val="18"/>
          <w:lang w:eastAsia="zh-CN"/>
        </w:rPr>
      </w:pPr>
      <w:r w:rsidRPr="00F951AF">
        <w:rPr>
          <w:rFonts w:ascii="宋体" w:eastAsia="宋体" w:hAnsi="宋体" w:cs="宋体" w:hint="eastAsia"/>
          <w:color w:val="E36C0A" w:themeColor="accent6" w:themeShade="BF"/>
          <w:w w:val="110"/>
          <w:sz w:val="18"/>
          <w:szCs w:val="18"/>
          <w:lang w:eastAsia="zh-CN"/>
        </w:rPr>
        <w:t>我们的主要目标是：</w:t>
      </w:r>
    </w:p>
    <w:p w14:paraId="46D3BD1C" w14:textId="77777777" w:rsidR="00B17E77" w:rsidRPr="00F951AF" w:rsidRDefault="00B17E77" w:rsidP="00B17E77">
      <w:pPr>
        <w:pStyle w:val="a3"/>
        <w:spacing w:before="232" w:line="290" w:lineRule="auto"/>
        <w:ind w:left="124" w:right="123"/>
        <w:jc w:val="both"/>
        <w:rPr>
          <w:rFonts w:ascii="宋体" w:eastAsia="宋体" w:hAnsi="宋体" w:cs="宋体"/>
          <w:color w:val="E36C0A" w:themeColor="accent6" w:themeShade="BF"/>
          <w:w w:val="110"/>
          <w:sz w:val="18"/>
          <w:szCs w:val="18"/>
          <w:lang w:eastAsia="zh-CN"/>
        </w:rPr>
      </w:pPr>
      <w:r w:rsidRPr="00F951AF">
        <w:rPr>
          <w:rFonts w:ascii="宋体" w:eastAsia="宋体" w:hAnsi="宋体" w:cs="宋体"/>
          <w:color w:val="E36C0A" w:themeColor="accent6" w:themeShade="BF"/>
          <w:w w:val="110"/>
          <w:sz w:val="18"/>
          <w:szCs w:val="18"/>
          <w:lang w:eastAsia="zh-CN"/>
        </w:rPr>
        <w:t>•</w:t>
      </w:r>
      <w:r w:rsidRPr="00F951AF">
        <w:rPr>
          <w:rFonts w:ascii="宋体" w:eastAsia="宋体" w:hAnsi="宋体" w:cs="宋体" w:hint="eastAsia"/>
          <w:color w:val="E36C0A" w:themeColor="accent6" w:themeShade="BF"/>
          <w:w w:val="110"/>
          <w:sz w:val="18"/>
          <w:szCs w:val="18"/>
          <w:lang w:eastAsia="zh-CN"/>
        </w:rPr>
        <w:t>为所有</w:t>
      </w:r>
      <w:r w:rsidRPr="00F951AF">
        <w:rPr>
          <w:rFonts w:ascii="宋体" w:eastAsia="宋体" w:hAnsi="宋体" w:cs="宋体"/>
          <w:color w:val="E36C0A" w:themeColor="accent6" w:themeShade="BF"/>
          <w:w w:val="110"/>
          <w:sz w:val="18"/>
          <w:szCs w:val="18"/>
          <w:lang w:eastAsia="zh-CN"/>
        </w:rPr>
        <w:t>Spring</w:t>
      </w:r>
      <w:r w:rsidRPr="00F951AF">
        <w:rPr>
          <w:rFonts w:ascii="宋体" w:eastAsia="宋体" w:hAnsi="宋体" w:cs="宋体" w:hint="eastAsia"/>
          <w:color w:val="E36C0A" w:themeColor="accent6" w:themeShade="BF"/>
          <w:w w:val="110"/>
          <w:sz w:val="18"/>
          <w:szCs w:val="18"/>
          <w:lang w:eastAsia="zh-CN"/>
        </w:rPr>
        <w:t>开发提供彻底更快、可广泛访问的入门体验。</w:t>
      </w:r>
    </w:p>
    <w:p w14:paraId="440AA6ED" w14:textId="77777777" w:rsidR="00B17E77" w:rsidRPr="00F951AF" w:rsidRDefault="00B17E77" w:rsidP="00B17E77">
      <w:pPr>
        <w:pStyle w:val="a3"/>
        <w:spacing w:before="232" w:line="290" w:lineRule="auto"/>
        <w:ind w:left="124" w:right="123"/>
        <w:jc w:val="both"/>
        <w:rPr>
          <w:rFonts w:ascii="宋体" w:eastAsia="宋体" w:hAnsi="宋体" w:cs="宋体"/>
          <w:color w:val="E36C0A" w:themeColor="accent6" w:themeShade="BF"/>
          <w:w w:val="110"/>
          <w:sz w:val="18"/>
          <w:szCs w:val="18"/>
          <w:lang w:eastAsia="zh-CN"/>
        </w:rPr>
      </w:pPr>
      <w:r w:rsidRPr="00F951AF">
        <w:rPr>
          <w:rFonts w:ascii="宋体" w:eastAsia="宋体" w:hAnsi="宋体" w:cs="宋体"/>
          <w:color w:val="E36C0A" w:themeColor="accent6" w:themeShade="BF"/>
          <w:w w:val="110"/>
          <w:sz w:val="18"/>
          <w:szCs w:val="18"/>
          <w:lang w:eastAsia="zh-CN"/>
        </w:rPr>
        <w:t>•</w:t>
      </w:r>
      <w:r w:rsidRPr="00F951AF">
        <w:rPr>
          <w:rFonts w:ascii="宋体" w:eastAsia="宋体" w:hAnsi="宋体" w:cs="宋体" w:hint="eastAsia"/>
          <w:color w:val="E36C0A" w:themeColor="accent6" w:themeShade="BF"/>
          <w:w w:val="110"/>
          <w:sz w:val="18"/>
          <w:szCs w:val="18"/>
          <w:lang w:eastAsia="zh-CN"/>
        </w:rPr>
        <w:t>跳出框框固执己见，但当需求开始偏离默认值时，要迅速闪开。</w:t>
      </w:r>
    </w:p>
    <w:p w14:paraId="67B29E13" w14:textId="77777777" w:rsidR="00B17E77" w:rsidRPr="00F951AF" w:rsidRDefault="00B17E77" w:rsidP="00B17E77">
      <w:pPr>
        <w:pStyle w:val="a3"/>
        <w:spacing w:before="232" w:line="290" w:lineRule="auto"/>
        <w:ind w:left="124" w:right="123"/>
        <w:jc w:val="both"/>
        <w:rPr>
          <w:rFonts w:ascii="宋体" w:eastAsia="宋体" w:hAnsi="宋体" w:cs="宋体"/>
          <w:color w:val="E36C0A" w:themeColor="accent6" w:themeShade="BF"/>
          <w:w w:val="110"/>
          <w:sz w:val="18"/>
          <w:szCs w:val="18"/>
          <w:lang w:eastAsia="zh-CN"/>
        </w:rPr>
      </w:pPr>
      <w:r w:rsidRPr="00F951AF">
        <w:rPr>
          <w:rFonts w:ascii="宋体" w:eastAsia="宋体" w:hAnsi="宋体" w:cs="宋体"/>
          <w:color w:val="E36C0A" w:themeColor="accent6" w:themeShade="BF"/>
          <w:w w:val="110"/>
          <w:sz w:val="18"/>
          <w:szCs w:val="18"/>
          <w:lang w:eastAsia="zh-CN"/>
        </w:rPr>
        <w:t>•</w:t>
      </w:r>
      <w:r w:rsidRPr="00F951AF">
        <w:rPr>
          <w:rFonts w:ascii="宋体" w:eastAsia="宋体" w:hAnsi="宋体" w:cs="宋体" w:hint="eastAsia"/>
          <w:color w:val="E36C0A" w:themeColor="accent6" w:themeShade="BF"/>
          <w:w w:val="110"/>
          <w:sz w:val="18"/>
          <w:szCs w:val="18"/>
          <w:lang w:eastAsia="zh-CN"/>
        </w:rPr>
        <w:t>提供一系列对大型项目常见的非功能特性</w:t>
      </w:r>
      <w:r w:rsidRPr="00F951AF">
        <w:rPr>
          <w:rFonts w:ascii="宋体" w:eastAsia="宋体" w:hAnsi="宋体" w:cs="宋体"/>
          <w:color w:val="E36C0A" w:themeColor="accent6" w:themeShade="BF"/>
          <w:w w:val="110"/>
          <w:sz w:val="18"/>
          <w:szCs w:val="18"/>
          <w:lang w:eastAsia="zh-CN"/>
        </w:rPr>
        <w:t>(</w:t>
      </w:r>
      <w:r w:rsidRPr="00F951AF">
        <w:rPr>
          <w:rFonts w:ascii="宋体" w:eastAsia="宋体" w:hAnsi="宋体" w:cs="宋体" w:hint="eastAsia"/>
          <w:color w:val="E36C0A" w:themeColor="accent6" w:themeShade="BF"/>
          <w:w w:val="110"/>
          <w:sz w:val="18"/>
          <w:szCs w:val="18"/>
          <w:lang w:eastAsia="zh-CN"/>
        </w:rPr>
        <w:t>如嵌入式服务器、安全性、度量、运行状况检查和外部化配置</w:t>
      </w:r>
      <w:r w:rsidRPr="00F951AF">
        <w:rPr>
          <w:rFonts w:ascii="宋体" w:eastAsia="宋体" w:hAnsi="宋体" w:cs="宋体"/>
          <w:color w:val="E36C0A" w:themeColor="accent6" w:themeShade="BF"/>
          <w:w w:val="110"/>
          <w:sz w:val="18"/>
          <w:szCs w:val="18"/>
          <w:lang w:eastAsia="zh-CN"/>
        </w:rPr>
        <w:t>)</w:t>
      </w:r>
      <w:r w:rsidRPr="00F951AF">
        <w:rPr>
          <w:rFonts w:ascii="宋体" w:eastAsia="宋体" w:hAnsi="宋体" w:cs="宋体" w:hint="eastAsia"/>
          <w:color w:val="E36C0A" w:themeColor="accent6" w:themeShade="BF"/>
          <w:w w:val="110"/>
          <w:sz w:val="18"/>
          <w:szCs w:val="18"/>
          <w:lang w:eastAsia="zh-CN"/>
        </w:rPr>
        <w:t>。</w:t>
      </w:r>
    </w:p>
    <w:p w14:paraId="0F4CCA83" w14:textId="4A671FC9" w:rsidR="00B17E77" w:rsidRPr="00F951AF" w:rsidRDefault="00B17E77" w:rsidP="00B17E77">
      <w:pPr>
        <w:pStyle w:val="a3"/>
        <w:spacing w:before="232" w:line="290" w:lineRule="auto"/>
        <w:ind w:left="124" w:right="123"/>
        <w:jc w:val="both"/>
        <w:rPr>
          <w:rFonts w:ascii="宋体" w:eastAsia="宋体" w:hAnsi="宋体" w:cs="宋体"/>
          <w:color w:val="E36C0A" w:themeColor="accent6" w:themeShade="BF"/>
          <w:w w:val="110"/>
          <w:sz w:val="18"/>
          <w:szCs w:val="18"/>
          <w:lang w:eastAsia="zh-CN"/>
        </w:rPr>
      </w:pPr>
      <w:r w:rsidRPr="00F951AF">
        <w:rPr>
          <w:rFonts w:ascii="宋体" w:eastAsia="宋体" w:hAnsi="宋体" w:cs="宋体"/>
          <w:color w:val="E36C0A" w:themeColor="accent6" w:themeShade="BF"/>
          <w:w w:val="110"/>
          <w:sz w:val="18"/>
          <w:szCs w:val="18"/>
          <w:lang w:eastAsia="zh-CN"/>
        </w:rPr>
        <w:t>•</w:t>
      </w:r>
      <w:r w:rsidRPr="00F951AF">
        <w:rPr>
          <w:rFonts w:ascii="宋体" w:eastAsia="宋体" w:hAnsi="宋体" w:cs="宋体" w:hint="eastAsia"/>
          <w:color w:val="E36C0A" w:themeColor="accent6" w:themeShade="BF"/>
          <w:w w:val="110"/>
          <w:sz w:val="18"/>
          <w:szCs w:val="18"/>
          <w:lang w:eastAsia="zh-CN"/>
        </w:rPr>
        <w:t>绝对不需要代码生成，也不需要</w:t>
      </w:r>
      <w:r w:rsidRPr="00F951AF">
        <w:rPr>
          <w:rFonts w:ascii="宋体" w:eastAsia="宋体" w:hAnsi="宋体" w:cs="宋体"/>
          <w:color w:val="E36C0A" w:themeColor="accent6" w:themeShade="BF"/>
          <w:w w:val="110"/>
          <w:sz w:val="18"/>
          <w:szCs w:val="18"/>
          <w:lang w:eastAsia="zh-CN"/>
        </w:rPr>
        <w:t>XML</w:t>
      </w:r>
      <w:r w:rsidRPr="00F951AF">
        <w:rPr>
          <w:rFonts w:ascii="宋体" w:eastAsia="宋体" w:hAnsi="宋体" w:cs="宋体" w:hint="eastAsia"/>
          <w:color w:val="E36C0A" w:themeColor="accent6" w:themeShade="BF"/>
          <w:w w:val="110"/>
          <w:sz w:val="18"/>
          <w:szCs w:val="18"/>
          <w:lang w:eastAsia="zh-CN"/>
        </w:rPr>
        <w:t>配置。</w:t>
      </w:r>
    </w:p>
    <w:p w14:paraId="2CCD595E" w14:textId="77777777" w:rsidR="00B17E77" w:rsidRPr="00A304BC" w:rsidRDefault="00B17E77">
      <w:pPr>
        <w:pStyle w:val="a3"/>
        <w:spacing w:before="9"/>
        <w:rPr>
          <w:rFonts w:eastAsiaTheme="minorEastAsia"/>
          <w:sz w:val="26"/>
          <w:szCs w:val="26"/>
          <w:lang w:eastAsia="zh-CN"/>
        </w:rPr>
      </w:pPr>
    </w:p>
    <w:p w14:paraId="12362782" w14:textId="37905B26" w:rsidR="00A720EB" w:rsidRDefault="0030286B">
      <w:pPr>
        <w:pStyle w:val="2"/>
        <w:numPr>
          <w:ilvl w:val="1"/>
          <w:numId w:val="78"/>
        </w:numPr>
        <w:tabs>
          <w:tab w:val="left" w:pos="832"/>
        </w:tabs>
      </w:pPr>
      <w:bookmarkStart w:id="24" w:name="2.2._System_Requirements"/>
      <w:bookmarkStart w:id="25" w:name="_Toc54423665"/>
      <w:bookmarkEnd w:id="24"/>
      <w:r>
        <w:rPr>
          <w:color w:val="333333"/>
          <w:spacing w:val="-2"/>
          <w:w w:val="110"/>
        </w:rPr>
        <w:t>System</w:t>
      </w:r>
      <w:r>
        <w:rPr>
          <w:color w:val="333333"/>
          <w:spacing w:val="-7"/>
          <w:w w:val="110"/>
        </w:rPr>
        <w:t xml:space="preserve"> </w:t>
      </w:r>
      <w:r>
        <w:rPr>
          <w:color w:val="333333"/>
          <w:w w:val="110"/>
        </w:rPr>
        <w:t>Requirements</w:t>
      </w:r>
      <w:r w:rsidR="00AA68CA">
        <w:rPr>
          <w:color w:val="333333"/>
          <w:w w:val="110"/>
        </w:rPr>
        <w:t xml:space="preserve"> </w:t>
      </w:r>
      <w:r w:rsidR="00AA68CA" w:rsidRPr="00AA68CA">
        <w:rPr>
          <w:rFonts w:ascii="宋体" w:eastAsia="宋体" w:hAnsi="宋体" w:cs="宋体" w:hint="eastAsia"/>
          <w:color w:val="E36C0A" w:themeColor="accent6" w:themeShade="BF"/>
          <w:w w:val="110"/>
          <w:lang w:eastAsia="zh-CN"/>
        </w:rPr>
        <w:t>系统需求</w:t>
      </w:r>
      <w:bookmarkEnd w:id="25"/>
    </w:p>
    <w:p w14:paraId="42964F83" w14:textId="67D79CE5" w:rsidR="00A720EB" w:rsidRDefault="0030286B">
      <w:pPr>
        <w:pStyle w:val="a3"/>
        <w:spacing w:before="253" w:line="307" w:lineRule="auto"/>
        <w:ind w:left="124" w:right="123"/>
        <w:jc w:val="both"/>
        <w:rPr>
          <w:color w:val="333333"/>
          <w:w w:val="110"/>
        </w:rPr>
      </w:pPr>
      <w:r>
        <w:rPr>
          <w:color w:val="333333"/>
          <w:w w:val="110"/>
        </w:rPr>
        <w:t>Spring Boot 2.3.</w:t>
      </w:r>
      <w:proofErr w:type="gramStart"/>
      <w:r>
        <w:rPr>
          <w:color w:val="333333"/>
          <w:w w:val="110"/>
        </w:rPr>
        <w:t>4.RELEASE</w:t>
      </w:r>
      <w:proofErr w:type="gramEnd"/>
      <w:r>
        <w:rPr>
          <w:color w:val="333333"/>
          <w:w w:val="110"/>
        </w:rPr>
        <w:t xml:space="preserve"> requires </w:t>
      </w:r>
      <w:hyperlink r:id="rId26">
        <w:r>
          <w:rPr>
            <w:color w:val="418BCA"/>
            <w:w w:val="110"/>
          </w:rPr>
          <w:t>Java 8</w:t>
        </w:r>
      </w:hyperlink>
      <w:r>
        <w:rPr>
          <w:color w:val="418BCA"/>
          <w:w w:val="110"/>
        </w:rPr>
        <w:t xml:space="preserve"> </w:t>
      </w:r>
      <w:r>
        <w:rPr>
          <w:color w:val="333333"/>
          <w:w w:val="110"/>
        </w:rPr>
        <w:t xml:space="preserve">and is compatible up to Java 14 (included). </w:t>
      </w:r>
      <w:hyperlink r:id="rId27">
        <w:r>
          <w:rPr>
            <w:color w:val="418BCA"/>
            <w:w w:val="110"/>
          </w:rPr>
          <w:t>Spring</w:t>
        </w:r>
      </w:hyperlink>
      <w:r>
        <w:rPr>
          <w:color w:val="418BCA"/>
          <w:w w:val="110"/>
        </w:rPr>
        <w:t xml:space="preserve"> </w:t>
      </w:r>
      <w:hyperlink r:id="rId28">
        <w:r>
          <w:rPr>
            <w:color w:val="418BCA"/>
            <w:w w:val="110"/>
          </w:rPr>
          <w:t xml:space="preserve">Framework 5.2.9.RELEASE </w:t>
        </w:r>
      </w:hyperlink>
      <w:r>
        <w:rPr>
          <w:color w:val="333333"/>
          <w:w w:val="110"/>
        </w:rPr>
        <w:t>or above is also required.</w:t>
      </w:r>
    </w:p>
    <w:p w14:paraId="79F73FAB" w14:textId="430DCA80" w:rsidR="00E35E96" w:rsidRPr="00F951AF" w:rsidRDefault="00E35E96">
      <w:pPr>
        <w:pStyle w:val="a3"/>
        <w:spacing w:before="253" w:line="307" w:lineRule="auto"/>
        <w:ind w:left="124" w:right="123"/>
        <w:jc w:val="both"/>
        <w:rPr>
          <w:rFonts w:ascii="宋体" w:eastAsia="宋体" w:hAnsi="宋体" w:cs="宋体"/>
          <w:color w:val="E36C0A" w:themeColor="accent6" w:themeShade="BF"/>
          <w:w w:val="110"/>
          <w:sz w:val="18"/>
          <w:szCs w:val="18"/>
        </w:rPr>
      </w:pPr>
      <w:r w:rsidRPr="00F951AF">
        <w:rPr>
          <w:rFonts w:ascii="宋体" w:eastAsia="宋体" w:hAnsi="宋体" w:cs="宋体"/>
          <w:color w:val="E36C0A" w:themeColor="accent6" w:themeShade="BF"/>
          <w:w w:val="110"/>
          <w:sz w:val="18"/>
          <w:szCs w:val="18"/>
        </w:rPr>
        <w:lastRenderedPageBreak/>
        <w:t>Spring Boot 2.3.4.RELEASE</w:t>
      </w:r>
      <w:r w:rsidRPr="00F951AF">
        <w:rPr>
          <w:rFonts w:ascii="宋体" w:eastAsia="宋体" w:hAnsi="宋体" w:cs="宋体" w:hint="eastAsia"/>
          <w:color w:val="E36C0A" w:themeColor="accent6" w:themeShade="BF"/>
          <w:w w:val="110"/>
          <w:sz w:val="18"/>
          <w:szCs w:val="18"/>
        </w:rPr>
        <w:t>需要</w:t>
      </w:r>
      <w:r w:rsidRPr="00F951AF">
        <w:rPr>
          <w:rFonts w:ascii="宋体" w:eastAsia="宋体" w:hAnsi="宋体" w:cs="宋体"/>
          <w:color w:val="E36C0A" w:themeColor="accent6" w:themeShade="BF"/>
          <w:w w:val="110"/>
          <w:sz w:val="18"/>
          <w:szCs w:val="18"/>
        </w:rPr>
        <w:t>Java 8</w:t>
      </w:r>
      <w:r w:rsidR="00B90707">
        <w:rPr>
          <w:rFonts w:ascii="宋体" w:eastAsia="宋体" w:hAnsi="宋体" w:cs="宋体" w:hint="eastAsia"/>
          <w:color w:val="E36C0A" w:themeColor="accent6" w:themeShade="BF"/>
          <w:w w:val="110"/>
          <w:sz w:val="18"/>
          <w:szCs w:val="18"/>
          <w:lang w:eastAsia="zh-CN"/>
        </w:rPr>
        <w:t>支持</w:t>
      </w:r>
      <w:r w:rsidRPr="00F951AF">
        <w:rPr>
          <w:rFonts w:ascii="宋体" w:eastAsia="宋体" w:hAnsi="宋体" w:cs="宋体" w:hint="eastAsia"/>
          <w:color w:val="E36C0A" w:themeColor="accent6" w:themeShade="BF"/>
          <w:w w:val="110"/>
          <w:sz w:val="18"/>
          <w:szCs w:val="18"/>
        </w:rPr>
        <w:t>，并且与</w:t>
      </w:r>
      <w:r w:rsidRPr="00F951AF">
        <w:rPr>
          <w:rFonts w:ascii="宋体" w:eastAsia="宋体" w:hAnsi="宋体" w:cs="宋体"/>
          <w:color w:val="E36C0A" w:themeColor="accent6" w:themeShade="BF"/>
          <w:w w:val="110"/>
          <w:sz w:val="18"/>
          <w:szCs w:val="18"/>
        </w:rPr>
        <w:t>Java 14</w:t>
      </w:r>
      <w:r w:rsidRPr="00F951AF">
        <w:rPr>
          <w:rFonts w:ascii="宋体" w:eastAsia="宋体" w:hAnsi="宋体" w:cs="宋体" w:hint="eastAsia"/>
          <w:color w:val="E36C0A" w:themeColor="accent6" w:themeShade="BF"/>
          <w:w w:val="110"/>
          <w:sz w:val="18"/>
          <w:szCs w:val="18"/>
        </w:rPr>
        <w:t>（包括）兼容。</w:t>
      </w:r>
      <w:r w:rsidRPr="00F951AF">
        <w:rPr>
          <w:rFonts w:ascii="宋体" w:eastAsia="宋体" w:hAnsi="宋体" w:cs="宋体"/>
          <w:color w:val="E36C0A" w:themeColor="accent6" w:themeShade="BF"/>
          <w:w w:val="110"/>
          <w:sz w:val="18"/>
          <w:szCs w:val="18"/>
        </w:rPr>
        <w:t xml:space="preserve"> </w:t>
      </w:r>
      <w:r w:rsidRPr="00F951AF">
        <w:rPr>
          <w:rFonts w:ascii="宋体" w:eastAsia="宋体" w:hAnsi="宋体" w:cs="宋体" w:hint="eastAsia"/>
          <w:color w:val="E36C0A" w:themeColor="accent6" w:themeShade="BF"/>
          <w:w w:val="110"/>
          <w:sz w:val="18"/>
          <w:szCs w:val="18"/>
        </w:rPr>
        <w:t>还需要</w:t>
      </w:r>
      <w:r w:rsidRPr="00F951AF">
        <w:rPr>
          <w:rFonts w:ascii="宋体" w:eastAsia="宋体" w:hAnsi="宋体" w:cs="宋体"/>
          <w:color w:val="E36C0A" w:themeColor="accent6" w:themeShade="BF"/>
          <w:w w:val="110"/>
          <w:sz w:val="18"/>
          <w:szCs w:val="18"/>
        </w:rPr>
        <w:t>Spring Framework 5.2.</w:t>
      </w:r>
      <w:proofErr w:type="gramStart"/>
      <w:r w:rsidRPr="00F951AF">
        <w:rPr>
          <w:rFonts w:ascii="宋体" w:eastAsia="宋体" w:hAnsi="宋体" w:cs="宋体"/>
          <w:color w:val="E36C0A" w:themeColor="accent6" w:themeShade="BF"/>
          <w:w w:val="110"/>
          <w:sz w:val="18"/>
          <w:szCs w:val="18"/>
        </w:rPr>
        <w:t>9.RELEASE</w:t>
      </w:r>
      <w:proofErr w:type="gramEnd"/>
      <w:r w:rsidRPr="00F951AF">
        <w:rPr>
          <w:rFonts w:ascii="宋体" w:eastAsia="宋体" w:hAnsi="宋体" w:cs="宋体" w:hint="eastAsia"/>
          <w:color w:val="E36C0A" w:themeColor="accent6" w:themeShade="BF"/>
          <w:w w:val="110"/>
          <w:sz w:val="18"/>
          <w:szCs w:val="18"/>
        </w:rPr>
        <w:t>或更高版本。</w:t>
      </w:r>
    </w:p>
    <w:p w14:paraId="1B7531A7" w14:textId="6E1E621D" w:rsidR="00A720EB" w:rsidRDefault="0030286B">
      <w:pPr>
        <w:pStyle w:val="a3"/>
        <w:spacing w:before="241"/>
        <w:ind w:left="124"/>
        <w:rPr>
          <w:color w:val="333333"/>
          <w:w w:val="110"/>
        </w:rPr>
      </w:pPr>
      <w:r>
        <w:rPr>
          <w:color w:val="333333"/>
          <w:w w:val="110"/>
        </w:rPr>
        <w:t>Explicit build support is provided for the following build tools:</w:t>
      </w:r>
    </w:p>
    <w:p w14:paraId="79FE9E12" w14:textId="13166470" w:rsidR="00A720EB" w:rsidRPr="00A304BC" w:rsidRDefault="00E35E96" w:rsidP="00A304BC">
      <w:pPr>
        <w:pStyle w:val="a3"/>
        <w:spacing w:before="241"/>
        <w:ind w:left="124"/>
        <w:rPr>
          <w:rFonts w:ascii="宋体" w:eastAsia="宋体" w:hAnsi="宋体" w:cs="宋体"/>
          <w:color w:val="E36C0A" w:themeColor="accent6" w:themeShade="BF"/>
          <w:w w:val="110"/>
          <w:sz w:val="18"/>
          <w:szCs w:val="18"/>
        </w:rPr>
      </w:pPr>
      <w:r w:rsidRPr="00F951AF">
        <w:rPr>
          <w:rFonts w:ascii="宋体" w:eastAsia="宋体" w:hAnsi="宋体" w:cs="宋体" w:hint="eastAsia"/>
          <w:color w:val="E36C0A" w:themeColor="accent6" w:themeShade="BF"/>
          <w:w w:val="110"/>
          <w:sz w:val="18"/>
          <w:szCs w:val="18"/>
        </w:rPr>
        <w:t>为以下构建工具提供了明确的构建支持：</w:t>
      </w: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2271A55F" w14:textId="77777777">
        <w:trPr>
          <w:trHeight w:val="415"/>
        </w:trPr>
        <w:tc>
          <w:tcPr>
            <w:tcW w:w="4988" w:type="dxa"/>
            <w:tcBorders>
              <w:bottom w:val="single" w:sz="12" w:space="0" w:color="DDDDDD"/>
            </w:tcBorders>
          </w:tcPr>
          <w:p w14:paraId="3803008A" w14:textId="77777777" w:rsidR="00A720EB" w:rsidRDefault="0030286B">
            <w:pPr>
              <w:pStyle w:val="TableParagraph"/>
              <w:spacing w:before="74"/>
              <w:rPr>
                <w:rFonts w:ascii="Palatino Linotype"/>
                <w:b/>
                <w:sz w:val="21"/>
              </w:rPr>
            </w:pPr>
            <w:r>
              <w:rPr>
                <w:rFonts w:ascii="Palatino Linotype"/>
                <w:b/>
                <w:color w:val="333333"/>
                <w:w w:val="105"/>
                <w:sz w:val="21"/>
              </w:rPr>
              <w:t>Build Tool</w:t>
            </w:r>
          </w:p>
        </w:tc>
        <w:tc>
          <w:tcPr>
            <w:tcW w:w="4988" w:type="dxa"/>
            <w:tcBorders>
              <w:bottom w:val="single" w:sz="12" w:space="0" w:color="DDDDDD"/>
            </w:tcBorders>
          </w:tcPr>
          <w:p w14:paraId="66388C77" w14:textId="77777777" w:rsidR="00A720EB" w:rsidRDefault="0030286B">
            <w:pPr>
              <w:pStyle w:val="TableParagraph"/>
              <w:spacing w:before="74"/>
              <w:rPr>
                <w:rFonts w:ascii="Palatino Linotype"/>
                <w:b/>
                <w:sz w:val="21"/>
              </w:rPr>
            </w:pPr>
            <w:r>
              <w:rPr>
                <w:rFonts w:ascii="Palatino Linotype"/>
                <w:b/>
                <w:color w:val="333333"/>
                <w:w w:val="110"/>
                <w:sz w:val="21"/>
              </w:rPr>
              <w:t>Version</w:t>
            </w:r>
          </w:p>
        </w:tc>
      </w:tr>
      <w:tr w:rsidR="00A720EB" w14:paraId="3482FA20" w14:textId="77777777">
        <w:trPr>
          <w:trHeight w:val="415"/>
        </w:trPr>
        <w:tc>
          <w:tcPr>
            <w:tcW w:w="4988" w:type="dxa"/>
            <w:tcBorders>
              <w:top w:val="single" w:sz="12" w:space="0" w:color="DDDDDD"/>
            </w:tcBorders>
          </w:tcPr>
          <w:p w14:paraId="7CE1F5D0" w14:textId="77777777" w:rsidR="00A720EB" w:rsidRDefault="0030286B">
            <w:pPr>
              <w:pStyle w:val="TableParagraph"/>
              <w:spacing w:before="84"/>
              <w:rPr>
                <w:rFonts w:ascii="Cambria"/>
                <w:sz w:val="21"/>
              </w:rPr>
            </w:pPr>
            <w:r>
              <w:rPr>
                <w:rFonts w:ascii="Cambria"/>
                <w:color w:val="333333"/>
                <w:w w:val="115"/>
                <w:sz w:val="21"/>
              </w:rPr>
              <w:t>Maven</w:t>
            </w:r>
          </w:p>
        </w:tc>
        <w:tc>
          <w:tcPr>
            <w:tcW w:w="4988" w:type="dxa"/>
            <w:tcBorders>
              <w:top w:val="single" w:sz="12" w:space="0" w:color="DDDDDD"/>
            </w:tcBorders>
          </w:tcPr>
          <w:p w14:paraId="03A037A2" w14:textId="77777777" w:rsidR="00A720EB" w:rsidRDefault="0030286B">
            <w:pPr>
              <w:pStyle w:val="TableParagraph"/>
              <w:spacing w:before="84"/>
              <w:rPr>
                <w:rFonts w:ascii="Cambria"/>
                <w:sz w:val="21"/>
              </w:rPr>
            </w:pPr>
            <w:r>
              <w:rPr>
                <w:rFonts w:ascii="Cambria"/>
                <w:color w:val="333333"/>
                <w:w w:val="105"/>
                <w:sz w:val="21"/>
              </w:rPr>
              <w:t>3.3+</w:t>
            </w:r>
          </w:p>
        </w:tc>
      </w:tr>
      <w:tr w:rsidR="00A720EB" w14:paraId="23B5B338" w14:textId="77777777">
        <w:trPr>
          <w:trHeight w:val="741"/>
        </w:trPr>
        <w:tc>
          <w:tcPr>
            <w:tcW w:w="4988" w:type="dxa"/>
          </w:tcPr>
          <w:p w14:paraId="1FC260EA" w14:textId="77777777" w:rsidR="00A720EB" w:rsidRDefault="0030286B">
            <w:pPr>
              <w:pStyle w:val="TableParagraph"/>
              <w:spacing w:before="94"/>
              <w:rPr>
                <w:rFonts w:ascii="Cambria"/>
                <w:sz w:val="21"/>
              </w:rPr>
            </w:pPr>
            <w:r>
              <w:rPr>
                <w:rFonts w:ascii="Cambria"/>
                <w:color w:val="333333"/>
                <w:w w:val="115"/>
                <w:sz w:val="21"/>
              </w:rPr>
              <w:t>Gradle</w:t>
            </w:r>
          </w:p>
        </w:tc>
        <w:tc>
          <w:tcPr>
            <w:tcW w:w="4988" w:type="dxa"/>
          </w:tcPr>
          <w:p w14:paraId="2C7922B1" w14:textId="77777777" w:rsidR="00A720EB" w:rsidRDefault="0030286B">
            <w:pPr>
              <w:pStyle w:val="TableParagraph"/>
              <w:spacing w:before="31" w:line="310" w:lineRule="atLeast"/>
              <w:ind w:right="372"/>
              <w:rPr>
                <w:rFonts w:ascii="Cambria"/>
                <w:color w:val="333333"/>
                <w:w w:val="110"/>
                <w:sz w:val="21"/>
              </w:rPr>
            </w:pPr>
            <w:r>
              <w:rPr>
                <w:rFonts w:ascii="Cambria"/>
                <w:color w:val="333333"/>
                <w:w w:val="110"/>
                <w:sz w:val="21"/>
              </w:rPr>
              <w:t>6 (6.3 or later). 5.6.x is also supported but in a deprecated form</w:t>
            </w:r>
          </w:p>
          <w:p w14:paraId="7F0CA8D3" w14:textId="72BD9011" w:rsidR="00E35E96" w:rsidRDefault="00E35E96">
            <w:pPr>
              <w:pStyle w:val="TableParagraph"/>
              <w:spacing w:before="31" w:line="310" w:lineRule="atLeast"/>
              <w:ind w:right="372"/>
              <w:rPr>
                <w:rFonts w:ascii="Cambria"/>
                <w:sz w:val="21"/>
                <w:lang w:eastAsia="zh-CN"/>
              </w:rPr>
            </w:pPr>
            <w:r w:rsidRPr="00F951AF">
              <w:rPr>
                <w:rFonts w:ascii="宋体" w:eastAsia="宋体" w:hAnsi="宋体" w:cs="宋体"/>
                <w:color w:val="E36C0A" w:themeColor="accent6" w:themeShade="BF"/>
                <w:w w:val="110"/>
                <w:sz w:val="18"/>
                <w:szCs w:val="18"/>
                <w:lang w:eastAsia="zh-CN"/>
              </w:rPr>
              <w:t>6(6.3或更高版本) . 5.6. x 也支持，但不推荐使用</w:t>
            </w:r>
            <w:r w:rsidR="00BC16E2">
              <w:rPr>
                <w:rFonts w:ascii="宋体" w:eastAsia="宋体" w:hAnsi="宋体" w:cs="宋体" w:hint="eastAsia"/>
                <w:color w:val="E36C0A" w:themeColor="accent6" w:themeShade="BF"/>
                <w:w w:val="110"/>
                <w:sz w:val="18"/>
                <w:szCs w:val="18"/>
                <w:lang w:eastAsia="zh-CN"/>
              </w:rPr>
              <w:t>这个版本</w:t>
            </w:r>
          </w:p>
        </w:tc>
      </w:tr>
    </w:tbl>
    <w:p w14:paraId="0CA93BE5" w14:textId="77777777" w:rsidR="00A720EB" w:rsidRPr="00A304BC" w:rsidRDefault="00A720EB">
      <w:pPr>
        <w:pStyle w:val="a3"/>
        <w:spacing w:before="7"/>
        <w:rPr>
          <w:rFonts w:eastAsiaTheme="minorEastAsia"/>
          <w:sz w:val="28"/>
          <w:lang w:eastAsia="zh-CN"/>
        </w:rPr>
      </w:pPr>
    </w:p>
    <w:p w14:paraId="536B7DC8" w14:textId="3D32189B" w:rsidR="00A720EB" w:rsidRDefault="0030286B">
      <w:pPr>
        <w:pStyle w:val="3"/>
        <w:ind w:left="124" w:firstLine="0"/>
      </w:pPr>
      <w:bookmarkStart w:id="26" w:name="2.2.1._Servlet_Containers"/>
      <w:bookmarkStart w:id="27" w:name="_Toc54423666"/>
      <w:bookmarkEnd w:id="26"/>
      <w:r>
        <w:rPr>
          <w:color w:val="333333"/>
          <w:w w:val="110"/>
        </w:rPr>
        <w:t>2.2.1. Servlet Containers</w:t>
      </w:r>
      <w:r w:rsidR="00AA68CA">
        <w:rPr>
          <w:color w:val="333333"/>
          <w:w w:val="110"/>
        </w:rPr>
        <w:t xml:space="preserve"> </w:t>
      </w:r>
      <w:r w:rsidR="00AA68CA" w:rsidRPr="00AA68CA">
        <w:rPr>
          <w:rFonts w:asciiTheme="minorEastAsia" w:eastAsiaTheme="minorEastAsia" w:hAnsiTheme="minorEastAsia" w:hint="eastAsia"/>
          <w:color w:val="E36C0A" w:themeColor="accent6" w:themeShade="BF"/>
          <w:w w:val="110"/>
          <w:lang w:eastAsia="zh-CN"/>
        </w:rPr>
        <w:t>Servlet</w:t>
      </w:r>
      <w:r w:rsidR="00AA68CA" w:rsidRPr="00AA68CA">
        <w:rPr>
          <w:rFonts w:ascii="宋体" w:eastAsia="宋体" w:hAnsi="宋体" w:cs="宋体" w:hint="eastAsia"/>
          <w:color w:val="E36C0A" w:themeColor="accent6" w:themeShade="BF"/>
          <w:w w:val="110"/>
          <w:lang w:eastAsia="zh-CN"/>
        </w:rPr>
        <w:t>容器</w:t>
      </w:r>
      <w:bookmarkEnd w:id="27"/>
    </w:p>
    <w:p w14:paraId="5DC54755" w14:textId="0AB698EB" w:rsidR="00A720EB" w:rsidRDefault="0030286B">
      <w:pPr>
        <w:pStyle w:val="a3"/>
        <w:spacing w:before="254"/>
        <w:ind w:left="124"/>
        <w:rPr>
          <w:color w:val="333333"/>
          <w:w w:val="110"/>
        </w:rPr>
      </w:pPr>
      <w:r>
        <w:rPr>
          <w:color w:val="333333"/>
          <w:w w:val="110"/>
        </w:rPr>
        <w:t>Spring Boot supports the following embedded servlet containers:</w:t>
      </w:r>
    </w:p>
    <w:p w14:paraId="744E745F" w14:textId="65ED77F6" w:rsidR="00A720EB" w:rsidRPr="00F2104C" w:rsidRDefault="00A304BC" w:rsidP="00F2104C">
      <w:pPr>
        <w:pStyle w:val="a3"/>
        <w:spacing w:before="254"/>
        <w:ind w:left="124"/>
      </w:pPr>
      <w:r w:rsidRPr="00A304BC">
        <w:rPr>
          <w:rFonts w:ascii="宋体" w:eastAsia="宋体" w:hAnsi="宋体" w:cs="宋体"/>
          <w:color w:val="E36C0A" w:themeColor="accent6" w:themeShade="BF"/>
          <w:w w:val="110"/>
          <w:sz w:val="18"/>
          <w:szCs w:val="18"/>
        </w:rPr>
        <w:t>Spring Boot</w:t>
      </w:r>
      <w:r w:rsidRPr="00A304BC">
        <w:rPr>
          <w:rFonts w:ascii="宋体" w:eastAsia="宋体" w:hAnsi="宋体" w:cs="宋体" w:hint="eastAsia"/>
          <w:color w:val="E36C0A" w:themeColor="accent6" w:themeShade="BF"/>
          <w:w w:val="110"/>
          <w:sz w:val="18"/>
          <w:szCs w:val="18"/>
        </w:rPr>
        <w:t>支持以下嵌入式</w:t>
      </w:r>
      <w:r w:rsidRPr="00A304BC">
        <w:rPr>
          <w:rFonts w:ascii="宋体" w:eastAsia="宋体" w:hAnsi="宋体" w:cs="宋体"/>
          <w:color w:val="E36C0A" w:themeColor="accent6" w:themeShade="BF"/>
          <w:w w:val="110"/>
          <w:sz w:val="18"/>
          <w:szCs w:val="18"/>
        </w:rPr>
        <w:t>servlet</w:t>
      </w:r>
      <w:r w:rsidRPr="00A304BC">
        <w:rPr>
          <w:rFonts w:ascii="宋体" w:eastAsia="宋体" w:hAnsi="宋体" w:cs="宋体" w:hint="eastAsia"/>
          <w:color w:val="E36C0A" w:themeColor="accent6" w:themeShade="BF"/>
          <w:w w:val="110"/>
          <w:sz w:val="18"/>
          <w:szCs w:val="18"/>
        </w:rPr>
        <w:t>容器：</w:t>
      </w: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37F1C68E" w14:textId="77777777">
        <w:trPr>
          <w:trHeight w:val="415"/>
        </w:trPr>
        <w:tc>
          <w:tcPr>
            <w:tcW w:w="4988" w:type="dxa"/>
            <w:tcBorders>
              <w:bottom w:val="single" w:sz="12" w:space="0" w:color="DDDDDD"/>
            </w:tcBorders>
          </w:tcPr>
          <w:p w14:paraId="00D36151"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4988" w:type="dxa"/>
            <w:tcBorders>
              <w:bottom w:val="single" w:sz="12" w:space="0" w:color="DDDDDD"/>
            </w:tcBorders>
          </w:tcPr>
          <w:p w14:paraId="48491D31" w14:textId="77777777" w:rsidR="00A720EB" w:rsidRDefault="0030286B">
            <w:pPr>
              <w:pStyle w:val="TableParagraph"/>
              <w:spacing w:before="74"/>
              <w:rPr>
                <w:rFonts w:ascii="Palatino Linotype"/>
                <w:b/>
                <w:sz w:val="21"/>
              </w:rPr>
            </w:pPr>
            <w:r>
              <w:rPr>
                <w:rFonts w:ascii="Palatino Linotype"/>
                <w:b/>
                <w:color w:val="333333"/>
                <w:w w:val="110"/>
                <w:sz w:val="21"/>
              </w:rPr>
              <w:t>Servlet Version</w:t>
            </w:r>
          </w:p>
        </w:tc>
      </w:tr>
      <w:tr w:rsidR="00A720EB" w14:paraId="415D1A51" w14:textId="77777777">
        <w:trPr>
          <w:trHeight w:val="415"/>
        </w:trPr>
        <w:tc>
          <w:tcPr>
            <w:tcW w:w="4988" w:type="dxa"/>
            <w:tcBorders>
              <w:top w:val="single" w:sz="12" w:space="0" w:color="DDDDDD"/>
            </w:tcBorders>
          </w:tcPr>
          <w:p w14:paraId="515B0E27" w14:textId="77777777" w:rsidR="00A720EB" w:rsidRDefault="0030286B">
            <w:pPr>
              <w:pStyle w:val="TableParagraph"/>
              <w:spacing w:before="84"/>
              <w:rPr>
                <w:rFonts w:ascii="Cambria"/>
                <w:sz w:val="21"/>
              </w:rPr>
            </w:pPr>
            <w:r>
              <w:rPr>
                <w:rFonts w:ascii="Cambria"/>
                <w:color w:val="333333"/>
                <w:w w:val="105"/>
                <w:sz w:val="21"/>
              </w:rPr>
              <w:t>Tomcat 9.0</w:t>
            </w:r>
          </w:p>
        </w:tc>
        <w:tc>
          <w:tcPr>
            <w:tcW w:w="4988" w:type="dxa"/>
            <w:tcBorders>
              <w:top w:val="single" w:sz="12" w:space="0" w:color="DDDDDD"/>
            </w:tcBorders>
          </w:tcPr>
          <w:p w14:paraId="2D3ABC78" w14:textId="77777777" w:rsidR="00A720EB" w:rsidRDefault="0030286B">
            <w:pPr>
              <w:pStyle w:val="TableParagraph"/>
              <w:spacing w:before="84"/>
              <w:rPr>
                <w:rFonts w:ascii="Cambria"/>
                <w:sz w:val="21"/>
              </w:rPr>
            </w:pPr>
            <w:r>
              <w:rPr>
                <w:rFonts w:ascii="Cambria"/>
                <w:color w:val="333333"/>
                <w:w w:val="105"/>
                <w:sz w:val="21"/>
              </w:rPr>
              <w:t>4.0</w:t>
            </w:r>
          </w:p>
        </w:tc>
      </w:tr>
      <w:tr w:rsidR="00F2104C" w14:paraId="6CB0CF8D" w14:textId="77777777">
        <w:trPr>
          <w:trHeight w:val="415"/>
        </w:trPr>
        <w:tc>
          <w:tcPr>
            <w:tcW w:w="4988" w:type="dxa"/>
            <w:tcBorders>
              <w:top w:val="single" w:sz="12" w:space="0" w:color="DDDDDD"/>
            </w:tcBorders>
          </w:tcPr>
          <w:p w14:paraId="19C00E76" w14:textId="4B15CB11" w:rsidR="00F2104C" w:rsidRDefault="00F2104C">
            <w:pPr>
              <w:pStyle w:val="TableParagraph"/>
              <w:spacing w:before="84"/>
              <w:rPr>
                <w:rFonts w:ascii="Cambria"/>
                <w:color w:val="333333"/>
                <w:w w:val="105"/>
                <w:sz w:val="21"/>
              </w:rPr>
            </w:pPr>
            <w:r>
              <w:rPr>
                <w:rFonts w:ascii="Cambria"/>
                <w:color w:val="333333"/>
                <w:w w:val="105"/>
                <w:sz w:val="21"/>
              </w:rPr>
              <w:t>Jetty 9.4</w:t>
            </w:r>
          </w:p>
        </w:tc>
        <w:tc>
          <w:tcPr>
            <w:tcW w:w="4988" w:type="dxa"/>
            <w:tcBorders>
              <w:top w:val="single" w:sz="12" w:space="0" w:color="DDDDDD"/>
            </w:tcBorders>
          </w:tcPr>
          <w:p w14:paraId="77F77E2F" w14:textId="1F3D64E2" w:rsidR="00F2104C" w:rsidRDefault="00F2104C">
            <w:pPr>
              <w:pStyle w:val="TableParagraph"/>
              <w:spacing w:before="84"/>
              <w:rPr>
                <w:rFonts w:ascii="Cambria"/>
                <w:color w:val="333333"/>
                <w:w w:val="105"/>
                <w:sz w:val="21"/>
              </w:rPr>
            </w:pPr>
            <w:r>
              <w:rPr>
                <w:rFonts w:ascii="Cambria"/>
                <w:color w:val="333333"/>
                <w:w w:val="105"/>
                <w:sz w:val="21"/>
              </w:rPr>
              <w:t>3.1</w:t>
            </w:r>
          </w:p>
        </w:tc>
      </w:tr>
      <w:tr w:rsidR="00F2104C" w14:paraId="217FF991" w14:textId="77777777">
        <w:trPr>
          <w:trHeight w:val="415"/>
        </w:trPr>
        <w:tc>
          <w:tcPr>
            <w:tcW w:w="4988" w:type="dxa"/>
            <w:tcBorders>
              <w:top w:val="single" w:sz="12" w:space="0" w:color="DDDDDD"/>
            </w:tcBorders>
          </w:tcPr>
          <w:p w14:paraId="1E254149" w14:textId="3DFD306A" w:rsidR="00F2104C" w:rsidRDefault="00F2104C">
            <w:pPr>
              <w:pStyle w:val="TableParagraph"/>
              <w:spacing w:before="84"/>
              <w:rPr>
                <w:rFonts w:ascii="Cambria"/>
                <w:color w:val="333333"/>
                <w:w w:val="105"/>
                <w:sz w:val="21"/>
              </w:rPr>
            </w:pPr>
            <w:r>
              <w:rPr>
                <w:rFonts w:ascii="Cambria"/>
                <w:color w:val="333333"/>
                <w:w w:val="110"/>
                <w:sz w:val="21"/>
              </w:rPr>
              <w:t>Undertow 2.0</w:t>
            </w:r>
          </w:p>
        </w:tc>
        <w:tc>
          <w:tcPr>
            <w:tcW w:w="4988" w:type="dxa"/>
            <w:tcBorders>
              <w:top w:val="single" w:sz="12" w:space="0" w:color="DDDDDD"/>
            </w:tcBorders>
          </w:tcPr>
          <w:p w14:paraId="1646498A" w14:textId="0E198763" w:rsidR="00F2104C" w:rsidRDefault="00F2104C">
            <w:pPr>
              <w:pStyle w:val="TableParagraph"/>
              <w:spacing w:before="84"/>
              <w:rPr>
                <w:rFonts w:ascii="Cambria"/>
                <w:color w:val="333333"/>
                <w:w w:val="105"/>
                <w:sz w:val="21"/>
              </w:rPr>
            </w:pPr>
            <w:r>
              <w:rPr>
                <w:rFonts w:ascii="Cambria"/>
                <w:color w:val="333333"/>
                <w:w w:val="105"/>
                <w:sz w:val="21"/>
              </w:rPr>
              <w:t>4.0</w:t>
            </w:r>
          </w:p>
        </w:tc>
      </w:tr>
    </w:tbl>
    <w:p w14:paraId="0C4A0842" w14:textId="77777777" w:rsidR="00A720EB" w:rsidRDefault="00A720EB" w:rsidP="00F2104C">
      <w:pPr>
        <w:pStyle w:val="a3"/>
        <w:spacing w:before="6"/>
        <w:rPr>
          <w:sz w:val="12"/>
        </w:rPr>
      </w:pPr>
    </w:p>
    <w:p w14:paraId="0F2B780A" w14:textId="77777777" w:rsidR="00A720EB" w:rsidRDefault="0030286B" w:rsidP="00F2104C">
      <w:pPr>
        <w:pStyle w:val="a3"/>
        <w:spacing w:before="125"/>
        <w:ind w:left="124"/>
        <w:jc w:val="both"/>
      </w:pPr>
      <w:r>
        <w:rPr>
          <w:color w:val="333333"/>
          <w:w w:val="110"/>
        </w:rPr>
        <w:t>You can also deploy Spring Boot applications to any Servlet 3.1+ compatible container.</w:t>
      </w:r>
    </w:p>
    <w:p w14:paraId="11A8C39E" w14:textId="495C232E" w:rsidR="00A720EB" w:rsidRPr="00005BE8" w:rsidRDefault="00005BE8" w:rsidP="00005BE8">
      <w:pPr>
        <w:pStyle w:val="a3"/>
        <w:spacing w:before="254"/>
        <w:ind w:left="124"/>
        <w:rPr>
          <w:rFonts w:ascii="宋体" w:eastAsia="宋体" w:hAnsi="宋体" w:cs="宋体"/>
          <w:color w:val="E36C0A" w:themeColor="accent6" w:themeShade="BF"/>
          <w:w w:val="110"/>
          <w:sz w:val="18"/>
          <w:szCs w:val="18"/>
        </w:rPr>
      </w:pPr>
      <w:r w:rsidRPr="00005BE8">
        <w:rPr>
          <w:rFonts w:ascii="宋体" w:eastAsia="宋体" w:hAnsi="宋体" w:cs="宋体" w:hint="eastAsia"/>
          <w:color w:val="E36C0A" w:themeColor="accent6" w:themeShade="BF"/>
          <w:w w:val="110"/>
          <w:sz w:val="18"/>
          <w:szCs w:val="18"/>
        </w:rPr>
        <w:t>您还可以将</w:t>
      </w:r>
      <w:r w:rsidRPr="00005BE8">
        <w:rPr>
          <w:rFonts w:ascii="宋体" w:eastAsia="宋体" w:hAnsi="宋体" w:cs="宋体"/>
          <w:color w:val="E36C0A" w:themeColor="accent6" w:themeShade="BF"/>
          <w:w w:val="110"/>
          <w:sz w:val="18"/>
          <w:szCs w:val="18"/>
        </w:rPr>
        <w:t>Spring Boot</w:t>
      </w:r>
      <w:r w:rsidRPr="00005BE8">
        <w:rPr>
          <w:rFonts w:ascii="宋体" w:eastAsia="宋体" w:hAnsi="宋体" w:cs="宋体" w:hint="eastAsia"/>
          <w:color w:val="E36C0A" w:themeColor="accent6" w:themeShade="BF"/>
          <w:w w:val="110"/>
          <w:sz w:val="18"/>
          <w:szCs w:val="18"/>
        </w:rPr>
        <w:t>应用程序部署到任何</w:t>
      </w:r>
      <w:r w:rsidRPr="00005BE8">
        <w:rPr>
          <w:rFonts w:ascii="宋体" w:eastAsia="宋体" w:hAnsi="宋体" w:cs="宋体"/>
          <w:color w:val="E36C0A" w:themeColor="accent6" w:themeShade="BF"/>
          <w:w w:val="110"/>
          <w:sz w:val="18"/>
          <w:szCs w:val="18"/>
        </w:rPr>
        <w:t>Servlet 3.1+</w:t>
      </w:r>
      <w:r w:rsidRPr="00005BE8">
        <w:rPr>
          <w:rFonts w:ascii="宋体" w:eastAsia="宋体" w:hAnsi="宋体" w:cs="宋体" w:hint="eastAsia"/>
          <w:color w:val="E36C0A" w:themeColor="accent6" w:themeShade="BF"/>
          <w:w w:val="110"/>
          <w:sz w:val="18"/>
          <w:szCs w:val="18"/>
        </w:rPr>
        <w:t>兼容容器中。</w:t>
      </w:r>
    </w:p>
    <w:p w14:paraId="12654FC8" w14:textId="087E7A75" w:rsidR="00A720EB" w:rsidRDefault="0030286B">
      <w:pPr>
        <w:pStyle w:val="2"/>
        <w:numPr>
          <w:ilvl w:val="1"/>
          <w:numId w:val="78"/>
        </w:numPr>
        <w:tabs>
          <w:tab w:val="left" w:pos="832"/>
        </w:tabs>
      </w:pPr>
      <w:bookmarkStart w:id="28" w:name="2.3._Installing_Spring_Boot"/>
      <w:bookmarkStart w:id="29" w:name="_Toc54423667"/>
      <w:bookmarkEnd w:id="28"/>
      <w:r>
        <w:rPr>
          <w:color w:val="333333"/>
          <w:w w:val="110"/>
        </w:rPr>
        <w:t>Installing Spring</w:t>
      </w:r>
      <w:r>
        <w:rPr>
          <w:color w:val="333333"/>
          <w:spacing w:val="-17"/>
          <w:w w:val="110"/>
        </w:rPr>
        <w:t xml:space="preserve"> </w:t>
      </w:r>
      <w:r>
        <w:rPr>
          <w:color w:val="333333"/>
          <w:w w:val="110"/>
        </w:rPr>
        <w:t>Boot</w:t>
      </w:r>
      <w:r w:rsidR="00AA68CA">
        <w:rPr>
          <w:color w:val="333333"/>
          <w:w w:val="110"/>
        </w:rPr>
        <w:t xml:space="preserve"> </w:t>
      </w:r>
      <w:r w:rsidR="00AA68CA" w:rsidRPr="00AA68CA">
        <w:rPr>
          <w:color w:val="E36C0A" w:themeColor="accent6" w:themeShade="BF"/>
          <w:w w:val="110"/>
        </w:rPr>
        <w:t>Spring</w:t>
      </w:r>
      <w:r w:rsidR="00AA68CA" w:rsidRPr="00AA68CA">
        <w:rPr>
          <w:color w:val="E36C0A" w:themeColor="accent6" w:themeShade="BF"/>
          <w:spacing w:val="-17"/>
          <w:w w:val="110"/>
        </w:rPr>
        <w:t xml:space="preserve"> </w:t>
      </w:r>
      <w:r w:rsidR="00AA68CA" w:rsidRPr="00AA68CA">
        <w:rPr>
          <w:color w:val="E36C0A" w:themeColor="accent6" w:themeShade="BF"/>
          <w:w w:val="110"/>
        </w:rPr>
        <w:t>Boot</w:t>
      </w:r>
      <w:r w:rsidR="00AA68CA" w:rsidRPr="00AA68CA">
        <w:rPr>
          <w:rFonts w:ascii="宋体" w:eastAsia="宋体" w:hAnsi="宋体" w:cs="宋体" w:hint="eastAsia"/>
          <w:color w:val="E36C0A" w:themeColor="accent6" w:themeShade="BF"/>
          <w:w w:val="110"/>
          <w:lang w:eastAsia="zh-CN"/>
        </w:rPr>
        <w:t>安装</w:t>
      </w:r>
      <w:bookmarkEnd w:id="29"/>
    </w:p>
    <w:p w14:paraId="53B254CA" w14:textId="501510B4" w:rsidR="00A720EB" w:rsidRDefault="0030286B">
      <w:pPr>
        <w:pStyle w:val="a3"/>
        <w:spacing w:before="253" w:line="307" w:lineRule="auto"/>
        <w:ind w:left="124" w:right="130"/>
        <w:jc w:val="both"/>
        <w:rPr>
          <w:color w:val="333333"/>
          <w:w w:val="110"/>
        </w:rPr>
      </w:pPr>
      <w:r>
        <w:rPr>
          <w:color w:val="333333"/>
          <w:w w:val="110"/>
        </w:rPr>
        <w:t xml:space="preserve">Spring Boot can be used with “classic” Java development tools or installed as a command line tool. Either way, you need </w:t>
      </w:r>
      <w:hyperlink r:id="rId29">
        <w:r>
          <w:rPr>
            <w:color w:val="418BCA"/>
            <w:w w:val="110"/>
          </w:rPr>
          <w:t xml:space="preserve">Java SDK v1.8 </w:t>
        </w:r>
      </w:hyperlink>
      <w:r>
        <w:rPr>
          <w:color w:val="333333"/>
          <w:w w:val="110"/>
        </w:rPr>
        <w:t>or higher. Before you begin, you should check your current Java installation by using the following command:</w:t>
      </w:r>
    </w:p>
    <w:p w14:paraId="532E98AA" w14:textId="354E0DFD" w:rsidR="004D6DFC" w:rsidRPr="004D6DFC" w:rsidRDefault="004D6DFC" w:rsidP="004D6DFC">
      <w:pPr>
        <w:pStyle w:val="a3"/>
        <w:spacing w:before="254"/>
        <w:ind w:left="124"/>
        <w:rPr>
          <w:rFonts w:ascii="宋体" w:eastAsia="宋体" w:hAnsi="宋体" w:cs="宋体"/>
          <w:color w:val="E36C0A" w:themeColor="accent6" w:themeShade="BF"/>
          <w:w w:val="110"/>
          <w:sz w:val="18"/>
          <w:szCs w:val="18"/>
          <w:lang w:eastAsia="zh-CN"/>
        </w:rPr>
      </w:pPr>
      <w:r w:rsidRPr="004D6DFC">
        <w:rPr>
          <w:rFonts w:ascii="宋体" w:eastAsia="宋体" w:hAnsi="宋体" w:cs="宋体"/>
          <w:color w:val="E36C0A" w:themeColor="accent6" w:themeShade="BF"/>
          <w:w w:val="110"/>
          <w:sz w:val="18"/>
          <w:szCs w:val="18"/>
          <w:lang w:eastAsia="zh-CN"/>
        </w:rPr>
        <w:t xml:space="preserve">Springboot </w:t>
      </w:r>
      <w:r w:rsidRPr="004D6DFC">
        <w:rPr>
          <w:rFonts w:ascii="宋体" w:eastAsia="宋体" w:hAnsi="宋体" w:cs="宋体" w:hint="eastAsia"/>
          <w:color w:val="E36C0A" w:themeColor="accent6" w:themeShade="BF"/>
          <w:w w:val="110"/>
          <w:sz w:val="18"/>
          <w:szCs w:val="18"/>
          <w:lang w:eastAsia="zh-CN"/>
        </w:rPr>
        <w:t>可以与</w:t>
      </w:r>
      <w:r w:rsidRPr="004D6DFC">
        <w:rPr>
          <w:rFonts w:ascii="宋体" w:eastAsia="宋体" w:hAnsi="宋体" w:cs="宋体"/>
          <w:color w:val="E36C0A" w:themeColor="accent6" w:themeShade="BF"/>
          <w:w w:val="110"/>
          <w:sz w:val="18"/>
          <w:szCs w:val="18"/>
          <w:lang w:eastAsia="zh-CN"/>
        </w:rPr>
        <w:t>“</w:t>
      </w:r>
      <w:r w:rsidRPr="004D6DFC">
        <w:rPr>
          <w:rFonts w:ascii="宋体" w:eastAsia="宋体" w:hAnsi="宋体" w:cs="宋体" w:hint="eastAsia"/>
          <w:color w:val="E36C0A" w:themeColor="accent6" w:themeShade="BF"/>
          <w:w w:val="110"/>
          <w:sz w:val="18"/>
          <w:szCs w:val="18"/>
          <w:lang w:eastAsia="zh-CN"/>
        </w:rPr>
        <w:t>经典</w:t>
      </w:r>
      <w:r w:rsidRPr="004D6DFC">
        <w:rPr>
          <w:rFonts w:ascii="宋体" w:eastAsia="宋体" w:hAnsi="宋体" w:cs="宋体"/>
          <w:color w:val="E36C0A" w:themeColor="accent6" w:themeShade="BF"/>
          <w:w w:val="110"/>
          <w:sz w:val="18"/>
          <w:szCs w:val="18"/>
          <w:lang w:eastAsia="zh-CN"/>
        </w:rPr>
        <w:t xml:space="preserve">” Java </w:t>
      </w:r>
      <w:r w:rsidRPr="004D6DFC">
        <w:rPr>
          <w:rFonts w:ascii="宋体" w:eastAsia="宋体" w:hAnsi="宋体" w:cs="宋体" w:hint="eastAsia"/>
          <w:color w:val="E36C0A" w:themeColor="accent6" w:themeShade="BF"/>
          <w:w w:val="110"/>
          <w:sz w:val="18"/>
          <w:szCs w:val="18"/>
          <w:lang w:eastAsia="zh-CN"/>
        </w:rPr>
        <w:t>开发工具一起使用，也可以</w:t>
      </w:r>
      <w:r w:rsidR="00BC16E2">
        <w:rPr>
          <w:rFonts w:ascii="宋体" w:eastAsia="宋体" w:hAnsi="宋体" w:cs="宋体" w:hint="eastAsia"/>
          <w:color w:val="E36C0A" w:themeColor="accent6" w:themeShade="BF"/>
          <w:w w:val="110"/>
          <w:sz w:val="18"/>
          <w:szCs w:val="18"/>
          <w:lang w:eastAsia="zh-CN"/>
        </w:rPr>
        <w:t>使用</w:t>
      </w:r>
      <w:r w:rsidRPr="004D6DFC">
        <w:rPr>
          <w:rFonts w:ascii="宋体" w:eastAsia="宋体" w:hAnsi="宋体" w:cs="宋体" w:hint="eastAsia"/>
          <w:color w:val="E36C0A" w:themeColor="accent6" w:themeShade="BF"/>
          <w:w w:val="110"/>
          <w:sz w:val="18"/>
          <w:szCs w:val="18"/>
          <w:lang w:eastAsia="zh-CN"/>
        </w:rPr>
        <w:t>命令行工具安装。无论哪种方式，您都需要</w:t>
      </w:r>
      <w:r w:rsidRPr="004D6DFC">
        <w:rPr>
          <w:rFonts w:ascii="宋体" w:eastAsia="宋体" w:hAnsi="宋体" w:cs="宋体"/>
          <w:color w:val="E36C0A" w:themeColor="accent6" w:themeShade="BF"/>
          <w:w w:val="110"/>
          <w:sz w:val="18"/>
          <w:szCs w:val="18"/>
          <w:lang w:eastAsia="zh-CN"/>
        </w:rPr>
        <w:t xml:space="preserve"> Java SDK v1.8</w:t>
      </w:r>
      <w:r w:rsidRPr="004D6DFC">
        <w:rPr>
          <w:rFonts w:ascii="宋体" w:eastAsia="宋体" w:hAnsi="宋体" w:cs="宋体" w:hint="eastAsia"/>
          <w:color w:val="E36C0A" w:themeColor="accent6" w:themeShade="BF"/>
          <w:w w:val="110"/>
          <w:sz w:val="18"/>
          <w:szCs w:val="18"/>
          <w:lang w:eastAsia="zh-CN"/>
        </w:rPr>
        <w:t>或更高版本。在开始之前，你应该使用以下命令检查你当前的</w:t>
      </w:r>
      <w:r w:rsidRPr="004D6DFC">
        <w:rPr>
          <w:rFonts w:ascii="宋体" w:eastAsia="宋体" w:hAnsi="宋体" w:cs="宋体"/>
          <w:color w:val="E36C0A" w:themeColor="accent6" w:themeShade="BF"/>
          <w:w w:val="110"/>
          <w:sz w:val="18"/>
          <w:szCs w:val="18"/>
          <w:lang w:eastAsia="zh-CN"/>
        </w:rPr>
        <w:t xml:space="preserve"> Java </w:t>
      </w:r>
      <w:r w:rsidRPr="004D6DFC">
        <w:rPr>
          <w:rFonts w:ascii="宋体" w:eastAsia="宋体" w:hAnsi="宋体" w:cs="宋体" w:hint="eastAsia"/>
          <w:color w:val="E36C0A" w:themeColor="accent6" w:themeShade="BF"/>
          <w:w w:val="110"/>
          <w:sz w:val="18"/>
          <w:szCs w:val="18"/>
          <w:lang w:eastAsia="zh-CN"/>
        </w:rPr>
        <w:t>安装</w:t>
      </w:r>
      <w:r w:rsidRPr="004D6DFC">
        <w:rPr>
          <w:rFonts w:ascii="宋体" w:eastAsia="宋体" w:hAnsi="宋体" w:cs="宋体"/>
          <w:color w:val="E36C0A" w:themeColor="accent6" w:themeShade="BF"/>
          <w:w w:val="110"/>
          <w:sz w:val="18"/>
          <w:szCs w:val="18"/>
          <w:lang w:eastAsia="zh-CN"/>
        </w:rPr>
        <w:t>:</w:t>
      </w:r>
    </w:p>
    <w:p w14:paraId="7B6BBEDE" w14:textId="77777777" w:rsidR="00A720EB" w:rsidRDefault="00E10349">
      <w:pPr>
        <w:pStyle w:val="a3"/>
        <w:spacing w:before="2"/>
        <w:rPr>
          <w:sz w:val="13"/>
          <w:lang w:eastAsia="zh-CN"/>
        </w:rPr>
      </w:pPr>
      <w:r>
        <w:pict w14:anchorId="640EB8ED">
          <v:group id="_x0000_s5008" style="position:absolute;margin-left:47.85pt;margin-top:9.7pt;width:499.55pt;height:37.5pt;z-index:-15727616;mso-wrap-distance-left:0;mso-wrap-distance-right:0;mso-position-horizontal-relative:page" coordorigin="957,194" coordsize="9991,750">
            <v:shape id="_x0000_s5011"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5010"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type id="_x0000_t202" coordsize="21600,21600" o:spt="202" path="m,l,21600r21600,l21600,xe">
              <v:stroke joinstyle="miter"/>
              <v:path gradientshapeok="t" o:connecttype="rect"/>
            </v:shapetype>
            <v:shape id="_x0000_s5009" type="#_x0000_t202" style="position:absolute;left:984;top:217;width:9938;height:704" filled="f" stroked="f">
              <v:textbox inset="0,0,0,0">
                <w:txbxContent>
                  <w:p w14:paraId="7D1EE5AB" w14:textId="77777777" w:rsidR="00711A16" w:rsidRDefault="00711A16">
                    <w:pPr>
                      <w:spacing w:before="221"/>
                      <w:ind w:left="200"/>
                      <w:rPr>
                        <w:rFonts w:ascii="MS Gothic"/>
                      </w:rPr>
                    </w:pPr>
                    <w:r>
                      <w:rPr>
                        <w:rFonts w:ascii="MS Gothic"/>
                        <w:color w:val="333333"/>
                      </w:rPr>
                      <w:t>$ java -version</w:t>
                    </w:r>
                  </w:p>
                </w:txbxContent>
              </v:textbox>
            </v:shape>
            <w10:wrap type="topAndBottom" anchorx="page"/>
          </v:group>
        </w:pict>
      </w:r>
    </w:p>
    <w:p w14:paraId="6F8643A8" w14:textId="77777777" w:rsidR="00A720EB" w:rsidRDefault="00A720EB">
      <w:pPr>
        <w:pStyle w:val="a3"/>
        <w:rPr>
          <w:sz w:val="10"/>
          <w:lang w:eastAsia="zh-CN"/>
        </w:rPr>
      </w:pPr>
    </w:p>
    <w:p w14:paraId="0CDE6B5C" w14:textId="077BC16E" w:rsidR="00A720EB" w:rsidRDefault="0030286B">
      <w:pPr>
        <w:pStyle w:val="a3"/>
        <w:spacing w:before="125" w:line="307" w:lineRule="auto"/>
        <w:ind w:left="124" w:right="122"/>
        <w:jc w:val="both"/>
        <w:rPr>
          <w:color w:val="333333"/>
          <w:w w:val="110"/>
        </w:rPr>
      </w:pPr>
      <w:r>
        <w:rPr>
          <w:color w:val="333333"/>
          <w:w w:val="110"/>
        </w:rPr>
        <w:t xml:space="preserve">If you are new to Java development or if you want to experiment with Spring Boot, you might want   to try the </w:t>
      </w:r>
      <w:hyperlink w:anchor="_bookmark17" w:history="1">
        <w:r>
          <w:rPr>
            <w:color w:val="418BCA"/>
            <w:w w:val="110"/>
          </w:rPr>
          <w:t>Spring Boot CLI</w:t>
        </w:r>
      </w:hyperlink>
      <w:r>
        <w:rPr>
          <w:color w:val="418BCA"/>
          <w:w w:val="110"/>
        </w:rPr>
        <w:t xml:space="preserve"> </w:t>
      </w:r>
      <w:r>
        <w:rPr>
          <w:color w:val="333333"/>
          <w:w w:val="110"/>
        </w:rPr>
        <w:t>(Command Line Interface) first. Otherwise, read on for “</w:t>
      </w:r>
      <w:proofErr w:type="gramStart"/>
      <w:r>
        <w:rPr>
          <w:color w:val="333333"/>
          <w:w w:val="110"/>
        </w:rPr>
        <w:t>classic”  installation</w:t>
      </w:r>
      <w:proofErr w:type="gramEnd"/>
      <w:r>
        <w:rPr>
          <w:color w:val="333333"/>
          <w:spacing w:val="2"/>
          <w:w w:val="110"/>
        </w:rPr>
        <w:t xml:space="preserve"> </w:t>
      </w:r>
      <w:r>
        <w:rPr>
          <w:color w:val="333333"/>
          <w:w w:val="110"/>
        </w:rPr>
        <w:t>instructions.</w:t>
      </w:r>
    </w:p>
    <w:p w14:paraId="31B850EF" w14:textId="00081241" w:rsidR="006D16D8" w:rsidRPr="006D16D8" w:rsidRDefault="006D16D8" w:rsidP="006D16D8">
      <w:pPr>
        <w:pStyle w:val="a3"/>
        <w:spacing w:before="254"/>
        <w:ind w:left="124"/>
        <w:rPr>
          <w:rFonts w:ascii="宋体" w:eastAsia="宋体" w:hAnsi="宋体" w:cs="宋体"/>
          <w:color w:val="E36C0A" w:themeColor="accent6" w:themeShade="BF"/>
          <w:w w:val="110"/>
          <w:sz w:val="18"/>
          <w:szCs w:val="18"/>
        </w:rPr>
      </w:pPr>
      <w:r w:rsidRPr="006D16D8">
        <w:rPr>
          <w:rFonts w:ascii="宋体" w:eastAsia="宋体" w:hAnsi="宋体" w:cs="宋体" w:hint="eastAsia"/>
          <w:color w:val="E36C0A" w:themeColor="accent6" w:themeShade="BF"/>
          <w:w w:val="110"/>
          <w:sz w:val="18"/>
          <w:szCs w:val="18"/>
        </w:rPr>
        <w:t>如果您不熟悉</w:t>
      </w:r>
      <w:r w:rsidRPr="006D16D8">
        <w:rPr>
          <w:rFonts w:ascii="宋体" w:eastAsia="宋体" w:hAnsi="宋体" w:cs="宋体"/>
          <w:color w:val="E36C0A" w:themeColor="accent6" w:themeShade="BF"/>
          <w:w w:val="110"/>
          <w:sz w:val="18"/>
          <w:szCs w:val="18"/>
        </w:rPr>
        <w:t>Java</w:t>
      </w:r>
      <w:r w:rsidRPr="006D16D8">
        <w:rPr>
          <w:rFonts w:ascii="宋体" w:eastAsia="宋体" w:hAnsi="宋体" w:cs="宋体" w:hint="eastAsia"/>
          <w:color w:val="E36C0A" w:themeColor="accent6" w:themeShade="BF"/>
          <w:w w:val="110"/>
          <w:sz w:val="18"/>
          <w:szCs w:val="18"/>
        </w:rPr>
        <w:t>开发，或者想尝试使用</w:t>
      </w:r>
      <w:r w:rsidRPr="006D16D8">
        <w:rPr>
          <w:rFonts w:ascii="宋体" w:eastAsia="宋体" w:hAnsi="宋体" w:cs="宋体"/>
          <w:color w:val="E36C0A" w:themeColor="accent6" w:themeShade="BF"/>
          <w:w w:val="110"/>
          <w:sz w:val="18"/>
          <w:szCs w:val="18"/>
        </w:rPr>
        <w:t>Spring Boot</w:t>
      </w:r>
      <w:r w:rsidRPr="006D16D8">
        <w:rPr>
          <w:rFonts w:ascii="宋体" w:eastAsia="宋体" w:hAnsi="宋体" w:cs="宋体" w:hint="eastAsia"/>
          <w:color w:val="E36C0A" w:themeColor="accent6" w:themeShade="BF"/>
          <w:w w:val="110"/>
          <w:sz w:val="18"/>
          <w:szCs w:val="18"/>
        </w:rPr>
        <w:t>，则可能要先尝试使用</w:t>
      </w:r>
      <w:r w:rsidRPr="006D16D8">
        <w:rPr>
          <w:rFonts w:ascii="宋体" w:eastAsia="宋体" w:hAnsi="宋体" w:cs="宋体"/>
          <w:color w:val="E36C0A" w:themeColor="accent6" w:themeShade="BF"/>
          <w:w w:val="110"/>
          <w:sz w:val="18"/>
          <w:szCs w:val="18"/>
        </w:rPr>
        <w:t>Spring Boot CLI</w:t>
      </w:r>
      <w:r w:rsidRPr="006D16D8">
        <w:rPr>
          <w:rFonts w:ascii="宋体" w:eastAsia="宋体" w:hAnsi="宋体" w:cs="宋体" w:hint="eastAsia"/>
          <w:color w:val="E36C0A" w:themeColor="accent6" w:themeShade="BF"/>
          <w:w w:val="110"/>
          <w:sz w:val="18"/>
          <w:szCs w:val="18"/>
        </w:rPr>
        <w:t>（命令行界面）。</w:t>
      </w:r>
      <w:r w:rsidRPr="006D16D8">
        <w:rPr>
          <w:rFonts w:ascii="宋体" w:eastAsia="宋体" w:hAnsi="宋体" w:cs="宋体"/>
          <w:color w:val="E36C0A" w:themeColor="accent6" w:themeShade="BF"/>
          <w:w w:val="110"/>
          <w:sz w:val="18"/>
          <w:szCs w:val="18"/>
        </w:rPr>
        <w:t xml:space="preserve"> </w:t>
      </w:r>
      <w:r w:rsidRPr="006D16D8">
        <w:rPr>
          <w:rFonts w:ascii="宋体" w:eastAsia="宋体" w:hAnsi="宋体" w:cs="宋体" w:hint="eastAsia"/>
          <w:color w:val="E36C0A" w:themeColor="accent6" w:themeShade="BF"/>
          <w:w w:val="110"/>
          <w:sz w:val="18"/>
          <w:szCs w:val="18"/>
        </w:rPr>
        <w:t>否则，</w:t>
      </w:r>
      <w:proofErr w:type="gramStart"/>
      <w:r w:rsidRPr="006D16D8">
        <w:rPr>
          <w:rFonts w:ascii="宋体" w:eastAsia="宋体" w:hAnsi="宋体" w:cs="宋体" w:hint="eastAsia"/>
          <w:color w:val="E36C0A" w:themeColor="accent6" w:themeShade="BF"/>
          <w:w w:val="110"/>
          <w:sz w:val="18"/>
          <w:szCs w:val="18"/>
        </w:rPr>
        <w:t>请继续阅读</w:t>
      </w:r>
      <w:r w:rsidRPr="006D16D8">
        <w:rPr>
          <w:rFonts w:ascii="宋体" w:eastAsia="宋体" w:hAnsi="宋体" w:cs="宋体"/>
          <w:color w:val="E36C0A" w:themeColor="accent6" w:themeShade="BF"/>
          <w:w w:val="110"/>
          <w:sz w:val="18"/>
          <w:szCs w:val="18"/>
        </w:rPr>
        <w:t>“</w:t>
      </w:r>
      <w:proofErr w:type="gramEnd"/>
      <w:r w:rsidRPr="006D16D8">
        <w:rPr>
          <w:rFonts w:ascii="宋体" w:eastAsia="宋体" w:hAnsi="宋体" w:cs="宋体" w:hint="eastAsia"/>
          <w:color w:val="E36C0A" w:themeColor="accent6" w:themeShade="BF"/>
          <w:w w:val="110"/>
          <w:sz w:val="18"/>
          <w:szCs w:val="18"/>
        </w:rPr>
        <w:t>经典</w:t>
      </w:r>
      <w:r w:rsidRPr="006D16D8">
        <w:rPr>
          <w:rFonts w:ascii="宋体" w:eastAsia="宋体" w:hAnsi="宋体" w:cs="宋体"/>
          <w:color w:val="E36C0A" w:themeColor="accent6" w:themeShade="BF"/>
          <w:w w:val="110"/>
          <w:sz w:val="18"/>
          <w:szCs w:val="18"/>
        </w:rPr>
        <w:t>”</w:t>
      </w:r>
      <w:r w:rsidRPr="006D16D8">
        <w:rPr>
          <w:rFonts w:ascii="宋体" w:eastAsia="宋体" w:hAnsi="宋体" w:cs="宋体" w:hint="eastAsia"/>
          <w:color w:val="E36C0A" w:themeColor="accent6" w:themeShade="BF"/>
          <w:w w:val="110"/>
          <w:sz w:val="18"/>
          <w:szCs w:val="18"/>
        </w:rPr>
        <w:t>安装说明。</w:t>
      </w:r>
    </w:p>
    <w:p w14:paraId="4BC96E7B" w14:textId="77777777" w:rsidR="00A720EB" w:rsidRDefault="00A720EB">
      <w:pPr>
        <w:pStyle w:val="a3"/>
        <w:spacing w:before="9"/>
        <w:rPr>
          <w:sz w:val="25"/>
        </w:rPr>
      </w:pPr>
    </w:p>
    <w:p w14:paraId="09A03828" w14:textId="7C336D4D" w:rsidR="00A720EB" w:rsidRDefault="0030286B">
      <w:pPr>
        <w:pStyle w:val="3"/>
        <w:numPr>
          <w:ilvl w:val="2"/>
          <w:numId w:val="77"/>
        </w:numPr>
        <w:tabs>
          <w:tab w:val="left" w:pos="858"/>
        </w:tabs>
        <w:spacing w:before="1"/>
        <w:ind w:hanging="734"/>
      </w:pPr>
      <w:bookmarkStart w:id="30" w:name="2.3.1._Installation_Instructions_for_the"/>
      <w:bookmarkStart w:id="31" w:name="_Toc54423668"/>
      <w:bookmarkEnd w:id="30"/>
      <w:r>
        <w:rPr>
          <w:color w:val="333333"/>
          <w:w w:val="110"/>
        </w:rPr>
        <w:t>Installation Instructions for the Java</w:t>
      </w:r>
      <w:r>
        <w:rPr>
          <w:color w:val="333333"/>
          <w:spacing w:val="-20"/>
          <w:w w:val="110"/>
        </w:rPr>
        <w:t xml:space="preserve"> </w:t>
      </w:r>
      <w:r>
        <w:rPr>
          <w:color w:val="333333"/>
          <w:w w:val="110"/>
        </w:rPr>
        <w:t>Developer</w:t>
      </w:r>
      <w:bookmarkEnd w:id="31"/>
      <w:r w:rsidR="00BC16E2">
        <w:rPr>
          <w:color w:val="333333"/>
          <w:w w:val="110"/>
        </w:rPr>
        <w:t xml:space="preserve"> </w:t>
      </w:r>
      <w:r w:rsidR="00BC16E2" w:rsidRPr="00BC16E2">
        <w:rPr>
          <w:rFonts w:ascii="宋体" w:eastAsia="宋体" w:hAnsi="宋体" w:cs="宋体" w:hint="eastAsia"/>
          <w:color w:val="E36C0A" w:themeColor="accent6" w:themeShade="BF"/>
          <w:w w:val="110"/>
        </w:rPr>
        <w:t>面向</w:t>
      </w:r>
      <w:r w:rsidR="00BC16E2" w:rsidRPr="00BC16E2">
        <w:rPr>
          <w:color w:val="E36C0A" w:themeColor="accent6" w:themeShade="BF"/>
          <w:w w:val="110"/>
        </w:rPr>
        <w:t>Java</w:t>
      </w:r>
      <w:r w:rsidR="00BC16E2" w:rsidRPr="00BC16E2">
        <w:rPr>
          <w:rFonts w:ascii="宋体" w:eastAsia="宋体" w:hAnsi="宋体" w:cs="宋体" w:hint="eastAsia"/>
          <w:color w:val="E36C0A" w:themeColor="accent6" w:themeShade="BF"/>
          <w:w w:val="110"/>
        </w:rPr>
        <w:t>开发人员的安装说明</w:t>
      </w:r>
    </w:p>
    <w:p w14:paraId="62971758" w14:textId="44406C0F" w:rsidR="00A720EB" w:rsidRDefault="0030286B">
      <w:pPr>
        <w:pStyle w:val="a3"/>
        <w:spacing w:before="253" w:line="300" w:lineRule="auto"/>
        <w:ind w:left="124" w:right="127"/>
        <w:jc w:val="both"/>
        <w:rPr>
          <w:color w:val="333333"/>
          <w:w w:val="110"/>
        </w:rPr>
      </w:pPr>
      <w:r>
        <w:rPr>
          <w:color w:val="333333"/>
          <w:w w:val="110"/>
        </w:rPr>
        <w:t xml:space="preserve">You can use Spring Boot in the same way as any standard Java library. To do so, include the appropriate </w:t>
      </w:r>
      <w:r>
        <w:rPr>
          <w:rFonts w:ascii="MS Gothic"/>
          <w:color w:val="B02045"/>
          <w:w w:val="110"/>
        </w:rPr>
        <w:t xml:space="preserve">spring-boot-*.jar </w:t>
      </w:r>
      <w:r>
        <w:rPr>
          <w:color w:val="333333"/>
          <w:w w:val="110"/>
        </w:rPr>
        <w:t xml:space="preserve">files on your classpath. Spring Boot does not require any special tools integration, so you can use any IDE or text editor. Also, there is nothing special about a Spring </w:t>
      </w:r>
      <w:r>
        <w:rPr>
          <w:color w:val="333333"/>
          <w:w w:val="110"/>
        </w:rPr>
        <w:lastRenderedPageBreak/>
        <w:t xml:space="preserve">Boot application, so you can run and debug a Spring Boot application as you would any other </w:t>
      </w:r>
      <w:proofErr w:type="gramStart"/>
      <w:r>
        <w:rPr>
          <w:color w:val="333333"/>
          <w:w w:val="110"/>
        </w:rPr>
        <w:t>Java  program</w:t>
      </w:r>
      <w:proofErr w:type="gramEnd"/>
      <w:r>
        <w:rPr>
          <w:color w:val="333333"/>
          <w:w w:val="110"/>
        </w:rPr>
        <w:t>.</w:t>
      </w:r>
    </w:p>
    <w:p w14:paraId="767E6698" w14:textId="6AB35E5E" w:rsidR="0032366C" w:rsidRPr="0032366C" w:rsidRDefault="0032366C" w:rsidP="0032366C">
      <w:pPr>
        <w:pStyle w:val="a3"/>
        <w:spacing w:before="254"/>
        <w:ind w:left="124"/>
        <w:rPr>
          <w:rFonts w:ascii="宋体" w:eastAsia="宋体" w:hAnsi="宋体" w:cs="宋体"/>
          <w:color w:val="E36C0A" w:themeColor="accent6" w:themeShade="BF"/>
          <w:w w:val="110"/>
          <w:sz w:val="18"/>
          <w:szCs w:val="18"/>
        </w:rPr>
      </w:pPr>
      <w:r w:rsidRPr="0032366C">
        <w:rPr>
          <w:rFonts w:ascii="宋体" w:eastAsia="宋体" w:hAnsi="宋体" w:cs="宋体" w:hint="eastAsia"/>
          <w:color w:val="E36C0A" w:themeColor="accent6" w:themeShade="BF"/>
          <w:w w:val="110"/>
          <w:sz w:val="18"/>
          <w:szCs w:val="18"/>
        </w:rPr>
        <w:t>您可以像使用任何标准</w:t>
      </w:r>
      <w:r w:rsidRPr="0032366C">
        <w:rPr>
          <w:rFonts w:ascii="宋体" w:eastAsia="宋体" w:hAnsi="宋体" w:cs="宋体"/>
          <w:color w:val="E36C0A" w:themeColor="accent6" w:themeShade="BF"/>
          <w:w w:val="110"/>
          <w:sz w:val="18"/>
          <w:szCs w:val="18"/>
        </w:rPr>
        <w:t xml:space="preserve"> Java </w:t>
      </w:r>
      <w:r w:rsidRPr="0032366C">
        <w:rPr>
          <w:rFonts w:ascii="宋体" w:eastAsia="宋体" w:hAnsi="宋体" w:cs="宋体" w:hint="eastAsia"/>
          <w:color w:val="E36C0A" w:themeColor="accent6" w:themeShade="BF"/>
          <w:w w:val="110"/>
          <w:sz w:val="18"/>
          <w:szCs w:val="18"/>
        </w:rPr>
        <w:t>库一样使用</w:t>
      </w:r>
      <w:r w:rsidRPr="0032366C">
        <w:rPr>
          <w:rFonts w:ascii="宋体" w:eastAsia="宋体" w:hAnsi="宋体" w:cs="宋体"/>
          <w:color w:val="E36C0A" w:themeColor="accent6" w:themeShade="BF"/>
          <w:w w:val="110"/>
          <w:sz w:val="18"/>
          <w:szCs w:val="18"/>
        </w:rPr>
        <w:t xml:space="preserve"> Spring Boot</w:t>
      </w:r>
      <w:r w:rsidRPr="0032366C">
        <w:rPr>
          <w:rFonts w:ascii="宋体" w:eastAsia="宋体" w:hAnsi="宋体" w:cs="宋体" w:hint="eastAsia"/>
          <w:color w:val="E36C0A" w:themeColor="accent6" w:themeShade="BF"/>
          <w:w w:val="110"/>
          <w:sz w:val="18"/>
          <w:szCs w:val="18"/>
        </w:rPr>
        <w:t>。为此，请</w:t>
      </w:r>
      <w:r>
        <w:rPr>
          <w:rFonts w:ascii="宋体" w:eastAsia="宋体" w:hAnsi="宋体" w:cs="宋体" w:hint="eastAsia"/>
          <w:color w:val="E36C0A" w:themeColor="accent6" w:themeShade="BF"/>
          <w:w w:val="110"/>
          <w:sz w:val="18"/>
          <w:szCs w:val="18"/>
          <w:lang w:eastAsia="zh-CN"/>
        </w:rPr>
        <w:t>在您的c</w:t>
      </w:r>
      <w:r>
        <w:rPr>
          <w:rFonts w:ascii="宋体" w:eastAsia="宋体" w:hAnsi="宋体" w:cs="宋体"/>
          <w:color w:val="E36C0A" w:themeColor="accent6" w:themeShade="BF"/>
          <w:w w:val="110"/>
          <w:sz w:val="18"/>
          <w:szCs w:val="18"/>
          <w:lang w:eastAsia="zh-CN"/>
        </w:rPr>
        <w:t>lasspath</w:t>
      </w:r>
      <w:r>
        <w:rPr>
          <w:rFonts w:ascii="宋体" w:eastAsia="宋体" w:hAnsi="宋体" w:cs="宋体" w:hint="eastAsia"/>
          <w:color w:val="E36C0A" w:themeColor="accent6" w:themeShade="BF"/>
          <w:w w:val="110"/>
          <w:sz w:val="18"/>
          <w:szCs w:val="18"/>
          <w:lang w:eastAsia="zh-CN"/>
        </w:rPr>
        <w:t>里引入相应</w:t>
      </w:r>
      <w:r w:rsidRPr="0032366C">
        <w:rPr>
          <w:rFonts w:ascii="宋体" w:eastAsia="宋体" w:hAnsi="宋体" w:cs="宋体" w:hint="eastAsia"/>
          <w:color w:val="E36C0A" w:themeColor="accent6" w:themeShade="BF"/>
          <w:w w:val="110"/>
          <w:sz w:val="18"/>
          <w:szCs w:val="18"/>
        </w:rPr>
        <w:t>的</w:t>
      </w:r>
      <w:r w:rsidRPr="0032366C">
        <w:rPr>
          <w:rFonts w:ascii="宋体" w:eastAsia="宋体" w:hAnsi="宋体" w:cs="宋体"/>
          <w:color w:val="E36C0A" w:themeColor="accent6" w:themeShade="BF"/>
          <w:w w:val="110"/>
          <w:sz w:val="18"/>
          <w:szCs w:val="18"/>
        </w:rPr>
        <w:t xml:space="preserve"> </w:t>
      </w:r>
      <w:r w:rsidR="00BC16E2">
        <w:rPr>
          <w:rFonts w:ascii="MS Gothic"/>
          <w:color w:val="B02045"/>
          <w:w w:val="110"/>
        </w:rPr>
        <w:t>spring-boot-*.jar</w:t>
      </w:r>
      <w:r w:rsidRPr="0032366C">
        <w:rPr>
          <w:rFonts w:ascii="宋体" w:eastAsia="宋体" w:hAnsi="宋体" w:cs="宋体"/>
          <w:color w:val="E36C0A" w:themeColor="accent6" w:themeShade="BF"/>
          <w:w w:val="110"/>
          <w:sz w:val="18"/>
          <w:szCs w:val="18"/>
        </w:rPr>
        <w:t xml:space="preserve"> </w:t>
      </w:r>
      <w:r>
        <w:rPr>
          <w:rFonts w:ascii="宋体" w:eastAsia="宋体" w:hAnsi="宋体" w:cs="宋体" w:hint="eastAsia"/>
          <w:color w:val="E36C0A" w:themeColor="accent6" w:themeShade="BF"/>
          <w:w w:val="110"/>
          <w:sz w:val="18"/>
          <w:szCs w:val="18"/>
          <w:lang w:eastAsia="zh-CN"/>
        </w:rPr>
        <w:t>文件</w:t>
      </w:r>
      <w:r w:rsidRPr="0032366C">
        <w:rPr>
          <w:rFonts w:ascii="宋体" w:eastAsia="宋体" w:hAnsi="宋体" w:cs="宋体" w:hint="eastAsia"/>
          <w:color w:val="E36C0A" w:themeColor="accent6" w:themeShade="BF"/>
          <w:w w:val="110"/>
          <w:sz w:val="18"/>
          <w:szCs w:val="18"/>
        </w:rPr>
        <w:t>。</w:t>
      </w:r>
      <w:r w:rsidRPr="0032366C">
        <w:rPr>
          <w:rFonts w:ascii="宋体" w:eastAsia="宋体" w:hAnsi="宋体" w:cs="宋体"/>
          <w:color w:val="E36C0A" w:themeColor="accent6" w:themeShade="BF"/>
          <w:w w:val="110"/>
          <w:sz w:val="18"/>
          <w:szCs w:val="18"/>
        </w:rPr>
        <w:t xml:space="preserve">Spring Boot </w:t>
      </w:r>
      <w:r w:rsidRPr="0032366C">
        <w:rPr>
          <w:rFonts w:ascii="宋体" w:eastAsia="宋体" w:hAnsi="宋体" w:cs="宋体" w:hint="eastAsia"/>
          <w:color w:val="E36C0A" w:themeColor="accent6" w:themeShade="BF"/>
          <w:w w:val="110"/>
          <w:sz w:val="18"/>
          <w:szCs w:val="18"/>
        </w:rPr>
        <w:t>不需要任何特殊的工具集成，因此您可以使用任何</w:t>
      </w:r>
      <w:r w:rsidRPr="0032366C">
        <w:rPr>
          <w:rFonts w:ascii="宋体" w:eastAsia="宋体" w:hAnsi="宋体" w:cs="宋体"/>
          <w:color w:val="E36C0A" w:themeColor="accent6" w:themeShade="BF"/>
          <w:w w:val="110"/>
          <w:sz w:val="18"/>
          <w:szCs w:val="18"/>
        </w:rPr>
        <w:t xml:space="preserve"> IDE </w:t>
      </w:r>
      <w:r w:rsidRPr="0032366C">
        <w:rPr>
          <w:rFonts w:ascii="宋体" w:eastAsia="宋体" w:hAnsi="宋体" w:cs="宋体" w:hint="eastAsia"/>
          <w:color w:val="E36C0A" w:themeColor="accent6" w:themeShade="BF"/>
          <w:w w:val="110"/>
          <w:sz w:val="18"/>
          <w:szCs w:val="18"/>
        </w:rPr>
        <w:t>或文本编辑器。此外，</w:t>
      </w:r>
      <w:r w:rsidRPr="0032366C">
        <w:rPr>
          <w:rFonts w:ascii="宋体" w:eastAsia="宋体" w:hAnsi="宋体" w:cs="宋体"/>
          <w:color w:val="E36C0A" w:themeColor="accent6" w:themeShade="BF"/>
          <w:w w:val="110"/>
          <w:sz w:val="18"/>
          <w:szCs w:val="18"/>
        </w:rPr>
        <w:t xml:space="preserve">Spring Boot </w:t>
      </w:r>
      <w:r w:rsidRPr="0032366C">
        <w:rPr>
          <w:rFonts w:ascii="宋体" w:eastAsia="宋体" w:hAnsi="宋体" w:cs="宋体" w:hint="eastAsia"/>
          <w:color w:val="E36C0A" w:themeColor="accent6" w:themeShade="BF"/>
          <w:w w:val="110"/>
          <w:sz w:val="18"/>
          <w:szCs w:val="18"/>
        </w:rPr>
        <w:t>应用程序没有什么特别之处，因此您可以像运行其他</w:t>
      </w:r>
      <w:r w:rsidRPr="0032366C">
        <w:rPr>
          <w:rFonts w:ascii="宋体" w:eastAsia="宋体" w:hAnsi="宋体" w:cs="宋体"/>
          <w:color w:val="E36C0A" w:themeColor="accent6" w:themeShade="BF"/>
          <w:w w:val="110"/>
          <w:sz w:val="18"/>
          <w:szCs w:val="18"/>
        </w:rPr>
        <w:t xml:space="preserve"> Java </w:t>
      </w:r>
      <w:r w:rsidRPr="0032366C">
        <w:rPr>
          <w:rFonts w:ascii="宋体" w:eastAsia="宋体" w:hAnsi="宋体" w:cs="宋体" w:hint="eastAsia"/>
          <w:color w:val="E36C0A" w:themeColor="accent6" w:themeShade="BF"/>
          <w:w w:val="110"/>
          <w:sz w:val="18"/>
          <w:szCs w:val="18"/>
        </w:rPr>
        <w:t>程序一样运行和调试</w:t>
      </w:r>
      <w:r w:rsidRPr="0032366C">
        <w:rPr>
          <w:rFonts w:ascii="宋体" w:eastAsia="宋体" w:hAnsi="宋体" w:cs="宋体"/>
          <w:color w:val="E36C0A" w:themeColor="accent6" w:themeShade="BF"/>
          <w:w w:val="110"/>
          <w:sz w:val="18"/>
          <w:szCs w:val="18"/>
        </w:rPr>
        <w:t xml:space="preserve"> Spring Boot </w:t>
      </w:r>
      <w:r w:rsidRPr="0032366C">
        <w:rPr>
          <w:rFonts w:ascii="宋体" w:eastAsia="宋体" w:hAnsi="宋体" w:cs="宋体" w:hint="eastAsia"/>
          <w:color w:val="E36C0A" w:themeColor="accent6" w:themeShade="BF"/>
          <w:w w:val="110"/>
          <w:sz w:val="18"/>
          <w:szCs w:val="18"/>
        </w:rPr>
        <w:t>应用程序。</w:t>
      </w:r>
    </w:p>
    <w:p w14:paraId="59676961" w14:textId="703732DE" w:rsidR="00A720EB" w:rsidRDefault="0030286B">
      <w:pPr>
        <w:pStyle w:val="a3"/>
        <w:spacing w:before="230" w:line="285" w:lineRule="auto"/>
        <w:ind w:left="124" w:right="130"/>
        <w:jc w:val="both"/>
        <w:rPr>
          <w:color w:val="333333"/>
          <w:w w:val="110"/>
        </w:rPr>
      </w:pPr>
      <w:r>
        <w:rPr>
          <w:color w:val="333333"/>
          <w:w w:val="110"/>
        </w:rPr>
        <w:t xml:space="preserve">Although you </w:t>
      </w:r>
      <w:r>
        <w:rPr>
          <w:rFonts w:ascii="Palatino Linotype"/>
          <w:i/>
          <w:color w:val="333333"/>
          <w:w w:val="110"/>
        </w:rPr>
        <w:t xml:space="preserve">could </w:t>
      </w:r>
      <w:r>
        <w:rPr>
          <w:color w:val="333333"/>
          <w:w w:val="110"/>
        </w:rPr>
        <w:t>copy Spring Boot jars, we generally recommend that you use a build tool that supports dependency management (such as Maven or Gradle).</w:t>
      </w:r>
    </w:p>
    <w:p w14:paraId="3C595E3A" w14:textId="4F6C6680" w:rsidR="004D069C" w:rsidRPr="004D069C" w:rsidRDefault="004D069C" w:rsidP="004D069C">
      <w:pPr>
        <w:pStyle w:val="a3"/>
        <w:spacing w:before="254"/>
        <w:ind w:left="124"/>
        <w:rPr>
          <w:rFonts w:ascii="宋体" w:eastAsia="宋体" w:hAnsi="宋体" w:cs="宋体"/>
          <w:color w:val="E36C0A" w:themeColor="accent6" w:themeShade="BF"/>
          <w:w w:val="110"/>
          <w:sz w:val="18"/>
          <w:szCs w:val="18"/>
        </w:rPr>
      </w:pPr>
      <w:r w:rsidRPr="004D069C">
        <w:rPr>
          <w:rFonts w:ascii="宋体" w:eastAsia="宋体" w:hAnsi="宋体" w:cs="宋体" w:hint="eastAsia"/>
          <w:color w:val="E36C0A" w:themeColor="accent6" w:themeShade="BF"/>
          <w:w w:val="110"/>
          <w:sz w:val="18"/>
          <w:szCs w:val="18"/>
        </w:rPr>
        <w:t>尽管您可以复制</w:t>
      </w:r>
      <w:r w:rsidRPr="004D069C">
        <w:rPr>
          <w:rFonts w:ascii="宋体" w:eastAsia="宋体" w:hAnsi="宋体" w:cs="宋体"/>
          <w:color w:val="E36C0A" w:themeColor="accent6" w:themeShade="BF"/>
          <w:w w:val="110"/>
          <w:sz w:val="18"/>
          <w:szCs w:val="18"/>
        </w:rPr>
        <w:t>Spring Boot jar</w:t>
      </w:r>
      <w:r>
        <w:rPr>
          <w:rFonts w:ascii="宋体" w:eastAsia="宋体" w:hAnsi="宋体" w:cs="宋体" w:hint="eastAsia"/>
          <w:color w:val="E36C0A" w:themeColor="accent6" w:themeShade="BF"/>
          <w:w w:val="110"/>
          <w:sz w:val="18"/>
          <w:szCs w:val="18"/>
          <w:lang w:eastAsia="zh-CN"/>
        </w:rPr>
        <w:t>包</w:t>
      </w:r>
      <w:r w:rsidRPr="004D069C">
        <w:rPr>
          <w:rFonts w:ascii="宋体" w:eastAsia="宋体" w:hAnsi="宋体" w:cs="宋体" w:hint="eastAsia"/>
          <w:color w:val="E36C0A" w:themeColor="accent6" w:themeShade="BF"/>
          <w:w w:val="110"/>
          <w:sz w:val="18"/>
          <w:szCs w:val="18"/>
        </w:rPr>
        <w:t>，但是我们通常建议您使用支持依赖关系管理的构建工具（例如</w:t>
      </w:r>
      <w:r w:rsidRPr="004D069C">
        <w:rPr>
          <w:rFonts w:ascii="宋体" w:eastAsia="宋体" w:hAnsi="宋体" w:cs="宋体"/>
          <w:color w:val="E36C0A" w:themeColor="accent6" w:themeShade="BF"/>
          <w:w w:val="110"/>
          <w:sz w:val="18"/>
          <w:szCs w:val="18"/>
        </w:rPr>
        <w:t>Maven</w:t>
      </w:r>
      <w:r w:rsidRPr="004D069C">
        <w:rPr>
          <w:rFonts w:ascii="宋体" w:eastAsia="宋体" w:hAnsi="宋体" w:cs="宋体" w:hint="eastAsia"/>
          <w:color w:val="E36C0A" w:themeColor="accent6" w:themeShade="BF"/>
          <w:w w:val="110"/>
          <w:sz w:val="18"/>
          <w:szCs w:val="18"/>
        </w:rPr>
        <w:t>或</w:t>
      </w:r>
      <w:r w:rsidRPr="004D069C">
        <w:rPr>
          <w:rFonts w:ascii="宋体" w:eastAsia="宋体" w:hAnsi="宋体" w:cs="宋体"/>
          <w:color w:val="E36C0A" w:themeColor="accent6" w:themeShade="BF"/>
          <w:w w:val="110"/>
          <w:sz w:val="18"/>
          <w:szCs w:val="18"/>
        </w:rPr>
        <w:t>Gradle</w:t>
      </w:r>
      <w:r w:rsidRPr="004D069C">
        <w:rPr>
          <w:rFonts w:ascii="宋体" w:eastAsia="宋体" w:hAnsi="宋体" w:cs="宋体" w:hint="eastAsia"/>
          <w:color w:val="E36C0A" w:themeColor="accent6" w:themeShade="BF"/>
          <w:w w:val="110"/>
          <w:sz w:val="18"/>
          <w:szCs w:val="18"/>
        </w:rPr>
        <w:t>）</w:t>
      </w:r>
      <w:r>
        <w:rPr>
          <w:rFonts w:ascii="宋体" w:eastAsia="宋体" w:hAnsi="宋体" w:cs="宋体" w:hint="eastAsia"/>
          <w:color w:val="E36C0A" w:themeColor="accent6" w:themeShade="BF"/>
          <w:w w:val="110"/>
          <w:sz w:val="18"/>
          <w:szCs w:val="18"/>
          <w:lang w:eastAsia="zh-CN"/>
        </w:rPr>
        <w:t>。就是尽管可以使用jar包来引入，但是通常还是建议用Maven或Gradle。</w:t>
      </w:r>
    </w:p>
    <w:p w14:paraId="6F4282FB" w14:textId="77777777" w:rsidR="00A720EB" w:rsidRDefault="00A720EB">
      <w:pPr>
        <w:pStyle w:val="a3"/>
        <w:spacing w:before="5"/>
        <w:rPr>
          <w:sz w:val="27"/>
        </w:rPr>
      </w:pPr>
    </w:p>
    <w:p w14:paraId="65A7C1BB" w14:textId="3D7BBA15" w:rsidR="00A720EB" w:rsidRDefault="0030286B">
      <w:pPr>
        <w:pStyle w:val="4"/>
        <w:spacing w:before="1"/>
      </w:pPr>
      <w:bookmarkStart w:id="32" w:name="Maven_Installation"/>
      <w:bookmarkEnd w:id="32"/>
      <w:r>
        <w:rPr>
          <w:color w:val="333333"/>
          <w:w w:val="110"/>
        </w:rPr>
        <w:t>Maven Installation</w:t>
      </w:r>
      <w:r w:rsidR="009A10FD" w:rsidRPr="009A10FD">
        <w:rPr>
          <w:color w:val="E36C0A" w:themeColor="accent6" w:themeShade="BF"/>
          <w:w w:val="110"/>
        </w:rPr>
        <w:t xml:space="preserve"> </w:t>
      </w:r>
      <w:r w:rsidR="009A10FD" w:rsidRPr="009A10FD">
        <w:rPr>
          <w:rFonts w:asciiTheme="minorEastAsia" w:eastAsiaTheme="minorEastAsia" w:hAnsiTheme="minorEastAsia" w:hint="eastAsia"/>
          <w:color w:val="E36C0A" w:themeColor="accent6" w:themeShade="BF"/>
          <w:w w:val="110"/>
          <w:lang w:eastAsia="zh-CN"/>
        </w:rPr>
        <w:t>Maven</w:t>
      </w:r>
      <w:r w:rsidR="009A10FD" w:rsidRPr="009A10FD">
        <w:rPr>
          <w:color w:val="E36C0A" w:themeColor="accent6" w:themeShade="BF"/>
          <w:w w:val="110"/>
        </w:rPr>
        <w:t xml:space="preserve"> </w:t>
      </w:r>
      <w:r w:rsidR="009A10FD" w:rsidRPr="009A10FD">
        <w:rPr>
          <w:rFonts w:ascii="宋体" w:eastAsia="宋体" w:hAnsi="宋体" w:cs="宋体" w:hint="eastAsia"/>
          <w:color w:val="E36C0A" w:themeColor="accent6" w:themeShade="BF"/>
          <w:w w:val="110"/>
          <w:lang w:eastAsia="zh-CN"/>
        </w:rPr>
        <w:t>安装</w:t>
      </w:r>
    </w:p>
    <w:p w14:paraId="6FC00829" w14:textId="77777777" w:rsidR="00A720EB" w:rsidRDefault="00A720EB">
      <w:pPr>
        <w:pStyle w:val="a3"/>
        <w:spacing w:before="11"/>
        <w:rPr>
          <w:rFonts w:ascii="Palatino Linotype"/>
          <w:b/>
          <w:sz w:val="18"/>
        </w:rPr>
      </w:pPr>
    </w:p>
    <w:p w14:paraId="3505F5F2" w14:textId="276B4879" w:rsidR="00A720EB" w:rsidRDefault="0030286B">
      <w:pPr>
        <w:pStyle w:val="a3"/>
        <w:spacing w:line="307" w:lineRule="auto"/>
        <w:ind w:left="124" w:right="134"/>
        <w:jc w:val="both"/>
        <w:rPr>
          <w:color w:val="333333"/>
          <w:w w:val="115"/>
        </w:rPr>
      </w:pPr>
      <w:r>
        <w:rPr>
          <w:color w:val="333333"/>
          <w:w w:val="115"/>
        </w:rPr>
        <w:t xml:space="preserve">Spring Boot is compatible with Apache Maven 3.3 or above. If you do not already have Maven installed, you can follow the instructions at </w:t>
      </w:r>
      <w:hyperlink r:id="rId30">
        <w:r>
          <w:rPr>
            <w:color w:val="418BCA"/>
            <w:w w:val="115"/>
          </w:rPr>
          <w:t>maven.apache.org</w:t>
        </w:r>
      </w:hyperlink>
      <w:r>
        <w:rPr>
          <w:color w:val="333333"/>
          <w:w w:val="115"/>
        </w:rPr>
        <w:t>.</w:t>
      </w:r>
    </w:p>
    <w:p w14:paraId="59C81FC0" w14:textId="08924032" w:rsidR="009A10FD" w:rsidRPr="009A10FD" w:rsidRDefault="009A10FD" w:rsidP="009A10FD">
      <w:pPr>
        <w:pStyle w:val="a3"/>
        <w:spacing w:before="254"/>
        <w:ind w:left="124"/>
        <w:rPr>
          <w:rFonts w:ascii="宋体" w:eastAsia="宋体" w:hAnsi="宋体" w:cs="宋体"/>
          <w:color w:val="E36C0A" w:themeColor="accent6" w:themeShade="BF"/>
          <w:w w:val="110"/>
          <w:sz w:val="18"/>
          <w:szCs w:val="18"/>
        </w:rPr>
      </w:pPr>
      <w:r w:rsidRPr="009A10FD">
        <w:rPr>
          <w:rFonts w:ascii="宋体" w:eastAsia="宋体" w:hAnsi="宋体" w:cs="宋体"/>
          <w:color w:val="E36C0A" w:themeColor="accent6" w:themeShade="BF"/>
          <w:w w:val="110"/>
          <w:sz w:val="18"/>
          <w:szCs w:val="18"/>
        </w:rPr>
        <w:t>Spring Boot</w:t>
      </w:r>
      <w:r w:rsidRPr="009A10FD">
        <w:rPr>
          <w:rFonts w:ascii="宋体" w:eastAsia="宋体" w:hAnsi="宋体" w:cs="宋体" w:hint="eastAsia"/>
          <w:color w:val="E36C0A" w:themeColor="accent6" w:themeShade="BF"/>
          <w:w w:val="110"/>
          <w:sz w:val="18"/>
          <w:szCs w:val="18"/>
        </w:rPr>
        <w:t>兼容</w:t>
      </w:r>
      <w:r w:rsidRPr="009A10FD">
        <w:rPr>
          <w:rFonts w:ascii="宋体" w:eastAsia="宋体" w:hAnsi="宋体" w:cs="宋体"/>
          <w:color w:val="E36C0A" w:themeColor="accent6" w:themeShade="BF"/>
          <w:w w:val="110"/>
          <w:sz w:val="18"/>
          <w:szCs w:val="18"/>
        </w:rPr>
        <w:t>Apache Maven3.3</w:t>
      </w:r>
      <w:r w:rsidRPr="009A10FD">
        <w:rPr>
          <w:rFonts w:ascii="宋体" w:eastAsia="宋体" w:hAnsi="宋体" w:cs="宋体" w:hint="eastAsia"/>
          <w:color w:val="E36C0A" w:themeColor="accent6" w:themeShade="BF"/>
          <w:w w:val="110"/>
          <w:sz w:val="18"/>
          <w:szCs w:val="18"/>
        </w:rPr>
        <w:t>或更高版本。</w:t>
      </w:r>
      <w:r w:rsidRPr="009A10FD">
        <w:rPr>
          <w:rFonts w:ascii="宋体" w:eastAsia="宋体" w:hAnsi="宋体" w:cs="宋体"/>
          <w:color w:val="E36C0A" w:themeColor="accent6" w:themeShade="BF"/>
          <w:w w:val="110"/>
          <w:sz w:val="18"/>
          <w:szCs w:val="18"/>
        </w:rPr>
        <w:t xml:space="preserve"> </w:t>
      </w:r>
      <w:r w:rsidRPr="009A10FD">
        <w:rPr>
          <w:rFonts w:ascii="宋体" w:eastAsia="宋体" w:hAnsi="宋体" w:cs="宋体" w:hint="eastAsia"/>
          <w:color w:val="E36C0A" w:themeColor="accent6" w:themeShade="BF"/>
          <w:w w:val="110"/>
          <w:sz w:val="18"/>
          <w:szCs w:val="18"/>
        </w:rPr>
        <w:t>如果您尚未安装</w:t>
      </w:r>
      <w:r w:rsidRPr="009A10FD">
        <w:rPr>
          <w:rFonts w:ascii="宋体" w:eastAsia="宋体" w:hAnsi="宋体" w:cs="宋体"/>
          <w:color w:val="E36C0A" w:themeColor="accent6" w:themeShade="BF"/>
          <w:w w:val="110"/>
          <w:sz w:val="18"/>
          <w:szCs w:val="18"/>
        </w:rPr>
        <w:t>Maven</w:t>
      </w:r>
      <w:r w:rsidRPr="009A10FD">
        <w:rPr>
          <w:rFonts w:ascii="宋体" w:eastAsia="宋体" w:hAnsi="宋体" w:cs="宋体" w:hint="eastAsia"/>
          <w:color w:val="E36C0A" w:themeColor="accent6" w:themeShade="BF"/>
          <w:w w:val="110"/>
          <w:sz w:val="18"/>
          <w:szCs w:val="18"/>
        </w:rPr>
        <w:t>，可以按照</w:t>
      </w:r>
      <w:r w:rsidRPr="009A10FD">
        <w:rPr>
          <w:rFonts w:ascii="宋体" w:eastAsia="宋体" w:hAnsi="宋体" w:cs="宋体"/>
          <w:color w:val="E36C0A" w:themeColor="accent6" w:themeShade="BF"/>
          <w:w w:val="110"/>
          <w:sz w:val="18"/>
          <w:szCs w:val="18"/>
        </w:rPr>
        <w:t>maven.apache.org</w:t>
      </w:r>
      <w:r w:rsidRPr="009A10FD">
        <w:rPr>
          <w:rFonts w:ascii="宋体" w:eastAsia="宋体" w:hAnsi="宋体" w:cs="宋体" w:hint="eastAsia"/>
          <w:color w:val="E36C0A" w:themeColor="accent6" w:themeShade="BF"/>
          <w:w w:val="110"/>
          <w:sz w:val="18"/>
          <w:szCs w:val="18"/>
        </w:rPr>
        <w:t>上的说明进行操作。</w:t>
      </w:r>
    </w:p>
    <w:p w14:paraId="40B911DE" w14:textId="77777777" w:rsidR="00A720EB" w:rsidRDefault="00A720EB">
      <w:pPr>
        <w:pStyle w:val="a3"/>
        <w:spacing w:before="8"/>
        <w:rPr>
          <w:sz w:val="16"/>
        </w:rPr>
      </w:pPr>
    </w:p>
    <w:p w14:paraId="16EF3A08" w14:textId="41981195" w:rsidR="00A720EB" w:rsidRDefault="00E10349">
      <w:pPr>
        <w:pStyle w:val="a3"/>
        <w:spacing w:before="125" w:line="290" w:lineRule="auto"/>
        <w:ind w:left="1564" w:right="362"/>
        <w:jc w:val="both"/>
        <w:rPr>
          <w:color w:val="333333"/>
          <w:w w:val="110"/>
        </w:rPr>
      </w:pPr>
      <w:r>
        <w:pict w14:anchorId="23D93D6E">
          <v:line id="_x0000_s5007" style="position:absolute;left:0;text-align:left;z-index:15730176;mso-position-horizontal-relative:page" from="108.25pt,.25pt" to="108.25pt,71.4pt" strokecolor="#ededed" strokeweight=".5pt">
            <w10:wrap anchorx="page"/>
          </v:line>
        </w:pict>
      </w:r>
      <w:r w:rsidR="0030286B">
        <w:rPr>
          <w:noProof/>
        </w:rPr>
        <w:drawing>
          <wp:anchor distT="0" distB="0" distL="0" distR="0" simplePos="0" relativeHeight="15730688" behindDoc="0" locked="0" layoutInCell="1" allowOverlap="1" wp14:anchorId="60167CED" wp14:editId="59C37360">
            <wp:simplePos x="0" y="0"/>
            <wp:positionH relativeFrom="page">
              <wp:posOffset>888949</wp:posOffset>
            </wp:positionH>
            <wp:positionV relativeFrom="paragraph">
              <wp:posOffset>302552</wp:posOffset>
            </wp:positionV>
            <wp:extent cx="209550" cy="3048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On many operating systems, Maven can be installed with a package manager. If  </w:t>
      </w:r>
      <w:r w:rsidR="0030286B">
        <w:rPr>
          <w:color w:val="333333"/>
          <w:spacing w:val="50"/>
          <w:w w:val="110"/>
        </w:rPr>
        <w:t xml:space="preserve"> </w:t>
      </w:r>
      <w:r w:rsidR="0030286B">
        <w:rPr>
          <w:color w:val="333333"/>
          <w:w w:val="110"/>
        </w:rPr>
        <w:t xml:space="preserve">you use OSX </w:t>
      </w:r>
      <w:r w:rsidR="0030286B">
        <w:rPr>
          <w:color w:val="333333"/>
          <w:spacing w:val="-3"/>
          <w:w w:val="110"/>
        </w:rPr>
        <w:t xml:space="preserve">Homebrew, </w:t>
      </w:r>
      <w:r w:rsidR="0030286B">
        <w:rPr>
          <w:color w:val="333333"/>
          <w:w w:val="110"/>
        </w:rPr>
        <w:t xml:space="preserve">try </w:t>
      </w:r>
      <w:r w:rsidR="0030286B">
        <w:rPr>
          <w:rFonts w:ascii="MS Gothic"/>
          <w:color w:val="B02045"/>
          <w:w w:val="110"/>
        </w:rPr>
        <w:t>brew install maven</w:t>
      </w:r>
      <w:r w:rsidR="0030286B">
        <w:rPr>
          <w:color w:val="333333"/>
          <w:w w:val="110"/>
        </w:rPr>
        <w:t xml:space="preserve">. Ubuntu users can run </w:t>
      </w:r>
      <w:r w:rsidR="0030286B">
        <w:rPr>
          <w:rFonts w:ascii="MS Gothic"/>
          <w:color w:val="B02045"/>
          <w:w w:val="110"/>
        </w:rPr>
        <w:t>sudo apt- get install maven</w:t>
      </w:r>
      <w:r w:rsidR="0030286B">
        <w:rPr>
          <w:color w:val="333333"/>
          <w:w w:val="110"/>
        </w:rPr>
        <w:t xml:space="preserve">. Windows users with </w:t>
      </w:r>
      <w:hyperlink r:id="rId32">
        <w:r w:rsidR="0030286B">
          <w:rPr>
            <w:color w:val="418BCA"/>
            <w:w w:val="110"/>
          </w:rPr>
          <w:t>Chocolatey</w:t>
        </w:r>
      </w:hyperlink>
      <w:r w:rsidR="0030286B">
        <w:rPr>
          <w:color w:val="418BCA"/>
          <w:w w:val="110"/>
        </w:rPr>
        <w:t xml:space="preserve"> </w:t>
      </w:r>
      <w:r w:rsidR="0030286B">
        <w:rPr>
          <w:color w:val="333333"/>
          <w:w w:val="110"/>
        </w:rPr>
        <w:t xml:space="preserve">can run </w:t>
      </w:r>
      <w:r w:rsidR="0030286B">
        <w:rPr>
          <w:rFonts w:ascii="MS Gothic"/>
          <w:color w:val="B02045"/>
          <w:w w:val="110"/>
        </w:rPr>
        <w:t xml:space="preserve">choco install maven </w:t>
      </w:r>
      <w:r w:rsidR="0030286B">
        <w:rPr>
          <w:color w:val="333333"/>
          <w:w w:val="110"/>
        </w:rPr>
        <w:t>from an elevated (administrator)</w:t>
      </w:r>
      <w:r w:rsidR="0030286B">
        <w:rPr>
          <w:color w:val="333333"/>
          <w:spacing w:val="11"/>
          <w:w w:val="110"/>
        </w:rPr>
        <w:t xml:space="preserve"> </w:t>
      </w:r>
      <w:r w:rsidR="0030286B">
        <w:rPr>
          <w:color w:val="333333"/>
          <w:w w:val="110"/>
        </w:rPr>
        <w:t>prompt.</w:t>
      </w:r>
    </w:p>
    <w:p w14:paraId="01E760AB" w14:textId="7D493BEA" w:rsidR="009A10FD" w:rsidRPr="009A10FD" w:rsidRDefault="009A10FD" w:rsidP="009A10FD">
      <w:pPr>
        <w:pStyle w:val="a3"/>
        <w:spacing w:before="254"/>
        <w:ind w:left="124"/>
        <w:rPr>
          <w:rFonts w:ascii="宋体" w:eastAsia="宋体" w:hAnsi="宋体" w:cs="宋体"/>
          <w:color w:val="E36C0A" w:themeColor="accent6" w:themeShade="BF"/>
          <w:w w:val="110"/>
          <w:sz w:val="18"/>
          <w:szCs w:val="18"/>
        </w:rPr>
      </w:pPr>
      <w:r w:rsidRPr="009A10FD">
        <w:rPr>
          <w:rFonts w:ascii="宋体" w:eastAsia="宋体" w:hAnsi="宋体" w:cs="宋体" w:hint="eastAsia"/>
          <w:color w:val="E36C0A" w:themeColor="accent6" w:themeShade="BF"/>
          <w:w w:val="110"/>
          <w:sz w:val="18"/>
          <w:szCs w:val="18"/>
          <w:lang w:eastAsia="zh-CN"/>
        </w:rPr>
        <w:t>在许多操作系统中，</w:t>
      </w:r>
      <w:r w:rsidRPr="009A10FD">
        <w:rPr>
          <w:rFonts w:ascii="宋体" w:eastAsia="宋体" w:hAnsi="宋体" w:cs="宋体"/>
          <w:color w:val="E36C0A" w:themeColor="accent6" w:themeShade="BF"/>
          <w:w w:val="110"/>
          <w:sz w:val="18"/>
          <w:szCs w:val="18"/>
          <w:lang w:eastAsia="zh-CN"/>
        </w:rPr>
        <w:t>Maven</w:t>
      </w:r>
      <w:r w:rsidRPr="009A10FD">
        <w:rPr>
          <w:rFonts w:ascii="宋体" w:eastAsia="宋体" w:hAnsi="宋体" w:cs="宋体" w:hint="eastAsia"/>
          <w:color w:val="E36C0A" w:themeColor="accent6" w:themeShade="BF"/>
          <w:w w:val="110"/>
          <w:sz w:val="18"/>
          <w:szCs w:val="18"/>
          <w:lang w:eastAsia="zh-CN"/>
        </w:rPr>
        <w:t>可以与包管理器一起安装。</w:t>
      </w:r>
      <w:r w:rsidRPr="009A10FD">
        <w:rPr>
          <w:rFonts w:ascii="宋体" w:eastAsia="宋体" w:hAnsi="宋体" w:cs="宋体"/>
          <w:color w:val="E36C0A" w:themeColor="accent6" w:themeShade="BF"/>
          <w:w w:val="110"/>
          <w:sz w:val="18"/>
          <w:szCs w:val="18"/>
          <w:lang w:eastAsia="zh-CN"/>
        </w:rPr>
        <w:t xml:space="preserve"> </w:t>
      </w:r>
      <w:r w:rsidRPr="009A10FD">
        <w:rPr>
          <w:rFonts w:ascii="宋体" w:eastAsia="宋体" w:hAnsi="宋体" w:cs="宋体" w:hint="eastAsia"/>
          <w:color w:val="E36C0A" w:themeColor="accent6" w:themeShade="BF"/>
          <w:w w:val="110"/>
          <w:sz w:val="18"/>
          <w:szCs w:val="18"/>
        </w:rPr>
        <w:t>如果您使用</w:t>
      </w:r>
      <w:r w:rsidRPr="009A10FD">
        <w:rPr>
          <w:rFonts w:ascii="宋体" w:eastAsia="宋体" w:hAnsi="宋体" w:cs="宋体"/>
          <w:color w:val="E36C0A" w:themeColor="accent6" w:themeShade="BF"/>
          <w:w w:val="110"/>
          <w:sz w:val="18"/>
          <w:szCs w:val="18"/>
        </w:rPr>
        <w:t>OSX Homebrew</w:t>
      </w:r>
      <w:r w:rsidRPr="009A10FD">
        <w:rPr>
          <w:rFonts w:ascii="宋体" w:eastAsia="宋体" w:hAnsi="宋体" w:cs="宋体" w:hint="eastAsia"/>
          <w:color w:val="E36C0A" w:themeColor="accent6" w:themeShade="BF"/>
          <w:w w:val="110"/>
          <w:sz w:val="18"/>
          <w:szCs w:val="18"/>
        </w:rPr>
        <w:t>，请尝试</w:t>
      </w:r>
      <w:r w:rsidRPr="009A10FD">
        <w:rPr>
          <w:rFonts w:ascii="宋体" w:eastAsia="宋体" w:hAnsi="宋体" w:cs="宋体"/>
          <w:color w:val="E36C0A" w:themeColor="accent6" w:themeShade="BF"/>
          <w:w w:val="110"/>
          <w:sz w:val="18"/>
          <w:szCs w:val="18"/>
        </w:rPr>
        <w:t>BREW Install Maven</w:t>
      </w:r>
      <w:r w:rsidRPr="009A10FD">
        <w:rPr>
          <w:rFonts w:ascii="宋体" w:eastAsia="宋体" w:hAnsi="宋体" w:cs="宋体" w:hint="eastAsia"/>
          <w:color w:val="E36C0A" w:themeColor="accent6" w:themeShade="BF"/>
          <w:w w:val="110"/>
          <w:sz w:val="18"/>
          <w:szCs w:val="18"/>
        </w:rPr>
        <w:t>。</w:t>
      </w:r>
      <w:r w:rsidRPr="009A10FD">
        <w:rPr>
          <w:rFonts w:ascii="宋体" w:eastAsia="宋体" w:hAnsi="宋体" w:cs="宋体"/>
          <w:color w:val="E36C0A" w:themeColor="accent6" w:themeShade="BF"/>
          <w:w w:val="110"/>
          <w:sz w:val="18"/>
          <w:szCs w:val="18"/>
        </w:rPr>
        <w:t xml:space="preserve"> Ubuntu</w:t>
      </w:r>
      <w:r w:rsidRPr="009A10FD">
        <w:rPr>
          <w:rFonts w:ascii="宋体" w:eastAsia="宋体" w:hAnsi="宋体" w:cs="宋体" w:hint="eastAsia"/>
          <w:color w:val="E36C0A" w:themeColor="accent6" w:themeShade="BF"/>
          <w:w w:val="110"/>
          <w:sz w:val="18"/>
          <w:szCs w:val="18"/>
        </w:rPr>
        <w:t>用户可以运行</w:t>
      </w:r>
      <w:r w:rsidRPr="009A10FD">
        <w:rPr>
          <w:rFonts w:ascii="宋体" w:eastAsia="宋体" w:hAnsi="宋体" w:cs="宋体"/>
          <w:color w:val="E36C0A" w:themeColor="accent6" w:themeShade="BF"/>
          <w:w w:val="110"/>
          <w:sz w:val="18"/>
          <w:szCs w:val="18"/>
        </w:rPr>
        <w:t>sudo apt-get install maven</w:t>
      </w:r>
      <w:r w:rsidRPr="009A10FD">
        <w:rPr>
          <w:rFonts w:ascii="宋体" w:eastAsia="宋体" w:hAnsi="宋体" w:cs="宋体" w:hint="eastAsia"/>
          <w:color w:val="E36C0A" w:themeColor="accent6" w:themeShade="BF"/>
          <w:w w:val="110"/>
          <w:sz w:val="18"/>
          <w:szCs w:val="18"/>
        </w:rPr>
        <w:t>。</w:t>
      </w:r>
      <w:r w:rsidRPr="009A10FD">
        <w:rPr>
          <w:rFonts w:ascii="宋体" w:eastAsia="宋体" w:hAnsi="宋体" w:cs="宋体"/>
          <w:color w:val="E36C0A" w:themeColor="accent6" w:themeShade="BF"/>
          <w:w w:val="110"/>
          <w:sz w:val="18"/>
          <w:szCs w:val="18"/>
        </w:rPr>
        <w:t xml:space="preserve"> </w:t>
      </w:r>
      <w:r w:rsidRPr="009A10FD">
        <w:rPr>
          <w:rFonts w:ascii="宋体" w:eastAsia="宋体" w:hAnsi="宋体" w:cs="宋体" w:hint="eastAsia"/>
          <w:color w:val="E36C0A" w:themeColor="accent6" w:themeShade="BF"/>
          <w:w w:val="110"/>
          <w:sz w:val="18"/>
          <w:szCs w:val="18"/>
        </w:rPr>
        <w:t>使用</w:t>
      </w:r>
      <w:r w:rsidRPr="009A10FD">
        <w:rPr>
          <w:rFonts w:ascii="宋体" w:eastAsia="宋体" w:hAnsi="宋体" w:cs="宋体"/>
          <w:color w:val="E36C0A" w:themeColor="accent6" w:themeShade="BF"/>
          <w:w w:val="110"/>
          <w:sz w:val="18"/>
          <w:szCs w:val="18"/>
        </w:rPr>
        <w:t>chocolatey</w:t>
      </w:r>
      <w:r w:rsidRPr="009A10FD">
        <w:rPr>
          <w:rFonts w:ascii="宋体" w:eastAsia="宋体" w:hAnsi="宋体" w:cs="宋体" w:hint="eastAsia"/>
          <w:color w:val="E36C0A" w:themeColor="accent6" w:themeShade="BF"/>
          <w:w w:val="110"/>
          <w:sz w:val="18"/>
          <w:szCs w:val="18"/>
        </w:rPr>
        <w:t>的</w:t>
      </w:r>
      <w:r w:rsidRPr="009A10FD">
        <w:rPr>
          <w:rFonts w:ascii="宋体" w:eastAsia="宋体" w:hAnsi="宋体" w:cs="宋体"/>
          <w:color w:val="E36C0A" w:themeColor="accent6" w:themeShade="BF"/>
          <w:w w:val="110"/>
          <w:sz w:val="18"/>
          <w:szCs w:val="18"/>
        </w:rPr>
        <w:t>Windows</w:t>
      </w:r>
      <w:r w:rsidRPr="009A10FD">
        <w:rPr>
          <w:rFonts w:ascii="宋体" w:eastAsia="宋体" w:hAnsi="宋体" w:cs="宋体" w:hint="eastAsia"/>
          <w:color w:val="E36C0A" w:themeColor="accent6" w:themeShade="BF"/>
          <w:w w:val="110"/>
          <w:sz w:val="18"/>
          <w:szCs w:val="18"/>
        </w:rPr>
        <w:t>用户可以从</w:t>
      </w:r>
      <w:r w:rsidR="00C323C1">
        <w:rPr>
          <w:rFonts w:ascii="宋体" w:eastAsia="宋体" w:hAnsi="宋体" w:cs="宋体" w:hint="eastAsia"/>
          <w:color w:val="E36C0A" w:themeColor="accent6" w:themeShade="BF"/>
          <w:w w:val="110"/>
          <w:sz w:val="18"/>
          <w:szCs w:val="18"/>
          <w:lang w:eastAsia="zh-CN"/>
        </w:rPr>
        <w:t>有管理员权限的</w:t>
      </w:r>
      <w:r w:rsidR="00C323C1" w:rsidRPr="009A10FD">
        <w:rPr>
          <w:rFonts w:ascii="宋体" w:eastAsia="宋体" w:hAnsi="宋体" w:cs="宋体"/>
          <w:color w:val="E36C0A" w:themeColor="accent6" w:themeShade="BF"/>
          <w:w w:val="110"/>
          <w:sz w:val="18"/>
          <w:szCs w:val="18"/>
        </w:rPr>
        <w:t xml:space="preserve"> </w:t>
      </w:r>
      <w:r w:rsidRPr="009A10FD">
        <w:rPr>
          <w:rFonts w:ascii="宋体" w:eastAsia="宋体" w:hAnsi="宋体" w:cs="宋体"/>
          <w:color w:val="E36C0A" w:themeColor="accent6" w:themeShade="BF"/>
          <w:w w:val="110"/>
          <w:sz w:val="18"/>
          <w:szCs w:val="18"/>
        </w:rPr>
        <w:t xml:space="preserve">chocolatey </w:t>
      </w:r>
      <w:r w:rsidR="00C323C1">
        <w:rPr>
          <w:rFonts w:ascii="宋体" w:eastAsia="宋体" w:hAnsi="宋体" w:cs="宋体" w:hint="eastAsia"/>
          <w:color w:val="E36C0A" w:themeColor="accent6" w:themeShade="BF"/>
          <w:w w:val="110"/>
          <w:sz w:val="18"/>
          <w:szCs w:val="18"/>
          <w:lang w:eastAsia="zh-CN"/>
        </w:rPr>
        <w:t xml:space="preserve">来运行以下命令 </w:t>
      </w:r>
      <w:r w:rsidRPr="009A10FD">
        <w:rPr>
          <w:rFonts w:ascii="宋体" w:eastAsia="宋体" w:hAnsi="宋体" w:cs="宋体"/>
          <w:color w:val="E36C0A" w:themeColor="accent6" w:themeShade="BF"/>
          <w:w w:val="110"/>
          <w:sz w:val="18"/>
          <w:szCs w:val="18"/>
        </w:rPr>
        <w:t>install maven</w:t>
      </w:r>
      <w:r w:rsidRPr="009A10FD">
        <w:rPr>
          <w:rFonts w:ascii="宋体" w:eastAsia="宋体" w:hAnsi="宋体" w:cs="宋体" w:hint="eastAsia"/>
          <w:color w:val="E36C0A" w:themeColor="accent6" w:themeShade="BF"/>
          <w:w w:val="110"/>
          <w:sz w:val="18"/>
          <w:szCs w:val="18"/>
        </w:rPr>
        <w:t>。</w:t>
      </w:r>
    </w:p>
    <w:p w14:paraId="72920A36" w14:textId="77777777" w:rsidR="00A720EB" w:rsidRDefault="00A720EB">
      <w:pPr>
        <w:pStyle w:val="a3"/>
        <w:spacing w:before="10"/>
        <w:rPr>
          <w:sz w:val="17"/>
        </w:rPr>
      </w:pPr>
    </w:p>
    <w:p w14:paraId="679EBA7E" w14:textId="03F6E32B" w:rsidR="00A720EB" w:rsidRDefault="0030286B">
      <w:pPr>
        <w:pStyle w:val="a3"/>
        <w:spacing w:before="116" w:line="285" w:lineRule="auto"/>
        <w:ind w:left="124" w:right="125"/>
        <w:jc w:val="both"/>
        <w:rPr>
          <w:color w:val="333333"/>
          <w:w w:val="110"/>
        </w:rPr>
      </w:pPr>
      <w:r>
        <w:rPr>
          <w:color w:val="333333"/>
          <w:w w:val="110"/>
        </w:rPr>
        <w:t>Spring</w:t>
      </w:r>
      <w:r>
        <w:rPr>
          <w:color w:val="333333"/>
          <w:spacing w:val="-17"/>
          <w:w w:val="110"/>
        </w:rPr>
        <w:t xml:space="preserve"> </w:t>
      </w:r>
      <w:r>
        <w:rPr>
          <w:color w:val="333333"/>
          <w:w w:val="110"/>
        </w:rPr>
        <w:t>Boot</w:t>
      </w:r>
      <w:r>
        <w:rPr>
          <w:color w:val="333333"/>
          <w:spacing w:val="-17"/>
          <w:w w:val="110"/>
        </w:rPr>
        <w:t xml:space="preserve"> </w:t>
      </w:r>
      <w:r>
        <w:rPr>
          <w:color w:val="333333"/>
          <w:w w:val="110"/>
        </w:rPr>
        <w:t>dependencies</w:t>
      </w:r>
      <w:r>
        <w:rPr>
          <w:color w:val="333333"/>
          <w:spacing w:val="-17"/>
          <w:w w:val="110"/>
        </w:rPr>
        <w:t xml:space="preserve"> </w:t>
      </w:r>
      <w:r>
        <w:rPr>
          <w:color w:val="333333"/>
          <w:w w:val="110"/>
        </w:rPr>
        <w:t>use</w:t>
      </w:r>
      <w:r>
        <w:rPr>
          <w:color w:val="333333"/>
          <w:spacing w:val="-16"/>
          <w:w w:val="110"/>
        </w:rPr>
        <w:t xml:space="preserve"> </w:t>
      </w:r>
      <w:r>
        <w:rPr>
          <w:color w:val="333333"/>
          <w:w w:val="110"/>
        </w:rPr>
        <w:t>the</w:t>
      </w:r>
      <w:r>
        <w:rPr>
          <w:color w:val="333333"/>
          <w:spacing w:val="-13"/>
          <w:w w:val="110"/>
        </w:rPr>
        <w:t xml:space="preserve"> </w:t>
      </w:r>
      <w:proofErr w:type="gramStart"/>
      <w:r>
        <w:rPr>
          <w:rFonts w:ascii="MS Gothic" w:hAnsi="MS Gothic"/>
          <w:color w:val="B02045"/>
          <w:w w:val="110"/>
        </w:rPr>
        <w:t>org.springframework</w:t>
      </w:r>
      <w:proofErr w:type="gramEnd"/>
      <w:r>
        <w:rPr>
          <w:rFonts w:ascii="MS Gothic" w:hAnsi="MS Gothic"/>
          <w:color w:val="B02045"/>
          <w:w w:val="110"/>
        </w:rPr>
        <w:t>.boot</w:t>
      </w:r>
      <w:r>
        <w:rPr>
          <w:rFonts w:ascii="MS Gothic" w:hAnsi="MS Gothic"/>
          <w:color w:val="B02045"/>
          <w:spacing w:val="-82"/>
          <w:w w:val="110"/>
        </w:rPr>
        <w:t xml:space="preserve"> </w:t>
      </w:r>
      <w:r>
        <w:rPr>
          <w:rFonts w:ascii="MS Gothic" w:hAnsi="MS Gothic"/>
          <w:color w:val="B02045"/>
          <w:w w:val="110"/>
        </w:rPr>
        <w:t>groupId</w:t>
      </w:r>
      <w:r>
        <w:rPr>
          <w:color w:val="333333"/>
          <w:w w:val="110"/>
        </w:rPr>
        <w:t>.</w:t>
      </w:r>
      <w:r>
        <w:rPr>
          <w:color w:val="333333"/>
          <w:spacing w:val="-16"/>
          <w:w w:val="110"/>
        </w:rPr>
        <w:t xml:space="preserve"> </w:t>
      </w:r>
      <w:r>
        <w:rPr>
          <w:color w:val="333333"/>
          <w:spacing w:val="-3"/>
          <w:w w:val="110"/>
        </w:rPr>
        <w:t>Typically,</w:t>
      </w:r>
      <w:r>
        <w:rPr>
          <w:color w:val="333333"/>
          <w:spacing w:val="-17"/>
          <w:w w:val="110"/>
        </w:rPr>
        <w:t xml:space="preserve"> </w:t>
      </w:r>
      <w:r>
        <w:rPr>
          <w:color w:val="333333"/>
          <w:w w:val="110"/>
        </w:rPr>
        <w:t>your</w:t>
      </w:r>
      <w:r>
        <w:rPr>
          <w:color w:val="333333"/>
          <w:spacing w:val="-17"/>
          <w:w w:val="110"/>
        </w:rPr>
        <w:t xml:space="preserve"> </w:t>
      </w:r>
      <w:r>
        <w:rPr>
          <w:color w:val="333333"/>
          <w:w w:val="110"/>
        </w:rPr>
        <w:t>Maven</w:t>
      </w:r>
      <w:r>
        <w:rPr>
          <w:color w:val="333333"/>
          <w:spacing w:val="-17"/>
          <w:w w:val="110"/>
        </w:rPr>
        <w:t xml:space="preserve"> </w:t>
      </w:r>
      <w:r>
        <w:rPr>
          <w:color w:val="333333"/>
          <w:w w:val="110"/>
        </w:rPr>
        <w:t>POM</w:t>
      </w:r>
      <w:r>
        <w:rPr>
          <w:color w:val="333333"/>
          <w:spacing w:val="-16"/>
          <w:w w:val="110"/>
        </w:rPr>
        <w:t xml:space="preserve"> </w:t>
      </w:r>
      <w:r>
        <w:rPr>
          <w:color w:val="333333"/>
          <w:w w:val="110"/>
        </w:rPr>
        <w:t xml:space="preserve">file inherits from the </w:t>
      </w:r>
      <w:r>
        <w:rPr>
          <w:rFonts w:ascii="MS Gothic" w:hAnsi="MS Gothic"/>
          <w:color w:val="B02045"/>
          <w:w w:val="110"/>
        </w:rPr>
        <w:t xml:space="preserve">spring-boot-starter-parent </w:t>
      </w:r>
      <w:r>
        <w:rPr>
          <w:color w:val="333333"/>
          <w:w w:val="110"/>
        </w:rPr>
        <w:t xml:space="preserve">project and declares dependencies to one or more </w:t>
      </w:r>
      <w:hyperlink w:anchor="_bookmark42" w:history="1">
        <w:r>
          <w:rPr>
            <w:color w:val="418BCA"/>
            <w:w w:val="110"/>
          </w:rPr>
          <w:t>“</w:t>
        </w:r>
        <w:bookmarkStart w:id="33" w:name="_Hlk54426763"/>
        <w:r>
          <w:rPr>
            <w:color w:val="418BCA"/>
            <w:w w:val="110"/>
          </w:rPr>
          <w:t>Starters</w:t>
        </w:r>
        <w:bookmarkEnd w:id="33"/>
        <w:r>
          <w:rPr>
            <w:color w:val="418BCA"/>
            <w:w w:val="110"/>
          </w:rPr>
          <w:t>”</w:t>
        </w:r>
      </w:hyperlink>
      <w:r>
        <w:rPr>
          <w:color w:val="333333"/>
          <w:w w:val="110"/>
        </w:rPr>
        <w:t xml:space="preserve">. Spring Boot also provides an optional </w:t>
      </w:r>
      <w:hyperlink w:anchor="_bookmark511" w:history="1">
        <w:r>
          <w:rPr>
            <w:color w:val="418BCA"/>
            <w:w w:val="110"/>
          </w:rPr>
          <w:t>Maven plugin</w:t>
        </w:r>
        <w:r>
          <w:rPr>
            <w:color w:val="418BCA"/>
            <w:spacing w:val="12"/>
            <w:w w:val="110"/>
          </w:rPr>
          <w:t xml:space="preserve"> </w:t>
        </w:r>
      </w:hyperlink>
      <w:r>
        <w:rPr>
          <w:color w:val="333333"/>
          <w:w w:val="110"/>
        </w:rPr>
        <w:t>to create executable jars.</w:t>
      </w:r>
    </w:p>
    <w:p w14:paraId="4F655DCC" w14:textId="013C6F65" w:rsidR="00A720EB" w:rsidRPr="00EF0B6C" w:rsidRDefault="00EF0B6C" w:rsidP="00EF0B6C">
      <w:pPr>
        <w:pStyle w:val="a3"/>
        <w:spacing w:before="116" w:line="285" w:lineRule="auto"/>
        <w:ind w:left="124" w:right="125"/>
        <w:jc w:val="both"/>
        <w:rPr>
          <w:rFonts w:ascii="宋体" w:eastAsia="宋体" w:hAnsi="宋体" w:cs="宋体"/>
          <w:color w:val="E36C0A" w:themeColor="accent6" w:themeShade="BF"/>
          <w:w w:val="110"/>
          <w:sz w:val="18"/>
          <w:szCs w:val="18"/>
        </w:rPr>
      </w:pPr>
      <w:r w:rsidRPr="00EF0B6C">
        <w:rPr>
          <w:rFonts w:ascii="宋体" w:eastAsia="宋体" w:hAnsi="宋体" w:cs="宋体"/>
          <w:color w:val="E36C0A" w:themeColor="accent6" w:themeShade="BF"/>
          <w:w w:val="110"/>
          <w:sz w:val="18"/>
          <w:szCs w:val="18"/>
        </w:rPr>
        <w:t xml:space="preserve">Spring </w:t>
      </w:r>
      <w:proofErr w:type="gramStart"/>
      <w:r w:rsidRPr="00EF0B6C">
        <w:rPr>
          <w:rFonts w:ascii="宋体" w:eastAsia="宋体" w:hAnsi="宋体" w:cs="宋体"/>
          <w:color w:val="E36C0A" w:themeColor="accent6" w:themeShade="BF"/>
          <w:w w:val="110"/>
          <w:sz w:val="18"/>
          <w:szCs w:val="18"/>
        </w:rPr>
        <w:t>Boot</w:t>
      </w:r>
      <w:r w:rsidRPr="00EF0B6C">
        <w:rPr>
          <w:rFonts w:ascii="宋体" w:eastAsia="宋体" w:hAnsi="宋体" w:cs="宋体" w:hint="eastAsia"/>
          <w:color w:val="E36C0A" w:themeColor="accent6" w:themeShade="BF"/>
          <w:w w:val="110"/>
          <w:sz w:val="18"/>
          <w:szCs w:val="18"/>
        </w:rPr>
        <w:t>依赖项使用</w:t>
      </w:r>
      <w:r w:rsidR="00C323C1" w:rsidRPr="00C323C1">
        <w:rPr>
          <w:rFonts w:ascii="MS Gothic" w:hAnsi="MS Gothic"/>
          <w:color w:val="B02045"/>
          <w:w w:val="110"/>
          <w:sz w:val="18"/>
          <w:szCs w:val="18"/>
        </w:rPr>
        <w:t>org.springframework.boot</w:t>
      </w:r>
      <w:proofErr w:type="gramEnd"/>
      <w:r w:rsidR="00C323C1" w:rsidRPr="00C323C1">
        <w:rPr>
          <w:rFonts w:ascii="MS Gothic" w:hAnsi="MS Gothic"/>
          <w:color w:val="B02045"/>
          <w:spacing w:val="-82"/>
          <w:w w:val="110"/>
          <w:sz w:val="18"/>
          <w:szCs w:val="18"/>
        </w:rPr>
        <w:t xml:space="preserve"> </w:t>
      </w:r>
      <w:r w:rsidR="00C323C1" w:rsidRPr="00C323C1">
        <w:rPr>
          <w:rFonts w:ascii="MS Gothic" w:hAnsi="MS Gothic"/>
          <w:color w:val="B02045"/>
          <w:w w:val="110"/>
          <w:sz w:val="18"/>
          <w:szCs w:val="18"/>
        </w:rPr>
        <w:t>groupId</w:t>
      </w:r>
      <w:r w:rsidRPr="00EF0B6C">
        <w:rPr>
          <w:rFonts w:ascii="宋体" w:eastAsia="宋体" w:hAnsi="宋体" w:cs="宋体" w:hint="eastAsia"/>
          <w:color w:val="E36C0A" w:themeColor="accent6" w:themeShade="BF"/>
          <w:w w:val="110"/>
          <w:sz w:val="18"/>
          <w:szCs w:val="18"/>
        </w:rPr>
        <w:t>。</w:t>
      </w:r>
      <w:r w:rsidRPr="00EF0B6C">
        <w:rPr>
          <w:rFonts w:ascii="宋体" w:eastAsia="宋体" w:hAnsi="宋体" w:cs="宋体"/>
          <w:color w:val="E36C0A" w:themeColor="accent6" w:themeShade="BF"/>
          <w:w w:val="110"/>
          <w:sz w:val="18"/>
          <w:szCs w:val="18"/>
        </w:rPr>
        <w:t xml:space="preserve"> </w:t>
      </w:r>
      <w:r w:rsidRPr="00EF0B6C">
        <w:rPr>
          <w:rFonts w:ascii="宋体" w:eastAsia="宋体" w:hAnsi="宋体" w:cs="宋体" w:hint="eastAsia"/>
          <w:color w:val="E36C0A" w:themeColor="accent6" w:themeShade="BF"/>
          <w:w w:val="110"/>
          <w:sz w:val="18"/>
          <w:szCs w:val="18"/>
        </w:rPr>
        <w:t>通常，您的</w:t>
      </w:r>
      <w:r w:rsidRPr="00EF0B6C">
        <w:rPr>
          <w:rFonts w:ascii="宋体" w:eastAsia="宋体" w:hAnsi="宋体" w:cs="宋体"/>
          <w:color w:val="E36C0A" w:themeColor="accent6" w:themeShade="BF"/>
          <w:w w:val="110"/>
          <w:sz w:val="18"/>
          <w:szCs w:val="18"/>
        </w:rPr>
        <w:t>Maven POM</w:t>
      </w:r>
      <w:r w:rsidRPr="00EF0B6C">
        <w:rPr>
          <w:rFonts w:ascii="宋体" w:eastAsia="宋体" w:hAnsi="宋体" w:cs="宋体" w:hint="eastAsia"/>
          <w:color w:val="E36C0A" w:themeColor="accent6" w:themeShade="BF"/>
          <w:w w:val="110"/>
          <w:sz w:val="18"/>
          <w:szCs w:val="18"/>
        </w:rPr>
        <w:t>文件继承自</w:t>
      </w:r>
      <w:r w:rsidR="00C323C1" w:rsidRPr="00C323C1">
        <w:rPr>
          <w:rFonts w:ascii="MS Gothic" w:hAnsi="MS Gothic"/>
          <w:color w:val="B02045"/>
          <w:w w:val="110"/>
          <w:sz w:val="20"/>
          <w:szCs w:val="20"/>
        </w:rPr>
        <w:t>spring-boot-starter-parent</w:t>
      </w:r>
      <w:r w:rsidRPr="00EF0B6C">
        <w:rPr>
          <w:rFonts w:ascii="宋体" w:eastAsia="宋体" w:hAnsi="宋体" w:cs="宋体" w:hint="eastAsia"/>
          <w:color w:val="E36C0A" w:themeColor="accent6" w:themeShade="BF"/>
          <w:w w:val="110"/>
          <w:sz w:val="18"/>
          <w:szCs w:val="18"/>
        </w:rPr>
        <w:t>项目，</w:t>
      </w:r>
      <w:proofErr w:type="gramStart"/>
      <w:r w:rsidRPr="00EF0B6C">
        <w:rPr>
          <w:rFonts w:ascii="宋体" w:eastAsia="宋体" w:hAnsi="宋体" w:cs="宋体" w:hint="eastAsia"/>
          <w:color w:val="E36C0A" w:themeColor="accent6" w:themeShade="BF"/>
          <w:w w:val="110"/>
          <w:sz w:val="18"/>
          <w:szCs w:val="18"/>
        </w:rPr>
        <w:t>并声明对一个或多个</w:t>
      </w:r>
      <w:r w:rsidRPr="00EF0B6C">
        <w:rPr>
          <w:rFonts w:ascii="宋体" w:eastAsia="宋体" w:hAnsi="宋体" w:cs="宋体"/>
          <w:color w:val="E36C0A" w:themeColor="accent6" w:themeShade="BF"/>
          <w:w w:val="110"/>
          <w:sz w:val="18"/>
          <w:szCs w:val="18"/>
        </w:rPr>
        <w:t>“</w:t>
      </w:r>
      <w:proofErr w:type="gramEnd"/>
      <w:r w:rsidR="00C323C1" w:rsidRPr="00C323C1">
        <w:rPr>
          <w:rFonts w:ascii="宋体" w:eastAsia="宋体" w:hAnsi="宋体" w:cs="宋体"/>
          <w:color w:val="E36C0A" w:themeColor="accent6" w:themeShade="BF"/>
          <w:w w:val="110"/>
          <w:sz w:val="18"/>
          <w:szCs w:val="18"/>
        </w:rPr>
        <w:t>Starters</w:t>
      </w:r>
      <w:r w:rsidRPr="00EF0B6C">
        <w:rPr>
          <w:rFonts w:ascii="宋体" w:eastAsia="宋体" w:hAnsi="宋体" w:cs="宋体"/>
          <w:color w:val="E36C0A" w:themeColor="accent6" w:themeShade="BF"/>
          <w:w w:val="110"/>
          <w:sz w:val="18"/>
          <w:szCs w:val="18"/>
        </w:rPr>
        <w:t>”</w:t>
      </w:r>
      <w:r w:rsidRPr="00EF0B6C">
        <w:rPr>
          <w:rFonts w:ascii="宋体" w:eastAsia="宋体" w:hAnsi="宋体" w:cs="宋体" w:hint="eastAsia"/>
          <w:color w:val="E36C0A" w:themeColor="accent6" w:themeShade="BF"/>
          <w:w w:val="110"/>
          <w:sz w:val="18"/>
          <w:szCs w:val="18"/>
        </w:rPr>
        <w:t>的依赖关系。</w:t>
      </w:r>
      <w:r w:rsidRPr="00EF0B6C">
        <w:rPr>
          <w:rFonts w:ascii="宋体" w:eastAsia="宋体" w:hAnsi="宋体" w:cs="宋体"/>
          <w:color w:val="E36C0A" w:themeColor="accent6" w:themeShade="BF"/>
          <w:w w:val="110"/>
          <w:sz w:val="18"/>
          <w:szCs w:val="18"/>
        </w:rPr>
        <w:t xml:space="preserve"> Spring Boot</w:t>
      </w:r>
      <w:r w:rsidRPr="00EF0B6C">
        <w:rPr>
          <w:rFonts w:ascii="宋体" w:eastAsia="宋体" w:hAnsi="宋体" w:cs="宋体" w:hint="eastAsia"/>
          <w:color w:val="E36C0A" w:themeColor="accent6" w:themeShade="BF"/>
          <w:w w:val="110"/>
          <w:sz w:val="18"/>
          <w:szCs w:val="18"/>
        </w:rPr>
        <w:t>还提供了一个可选的</w:t>
      </w:r>
      <w:r w:rsidRPr="00EF0B6C">
        <w:rPr>
          <w:rFonts w:ascii="宋体" w:eastAsia="宋体" w:hAnsi="宋体" w:cs="宋体"/>
          <w:color w:val="E36C0A" w:themeColor="accent6" w:themeShade="BF"/>
          <w:w w:val="110"/>
          <w:sz w:val="18"/>
          <w:szCs w:val="18"/>
        </w:rPr>
        <w:t>Maven</w:t>
      </w:r>
      <w:r w:rsidRPr="00EF0B6C">
        <w:rPr>
          <w:rFonts w:ascii="宋体" w:eastAsia="宋体" w:hAnsi="宋体" w:cs="宋体" w:hint="eastAsia"/>
          <w:color w:val="E36C0A" w:themeColor="accent6" w:themeShade="BF"/>
          <w:w w:val="110"/>
          <w:sz w:val="18"/>
          <w:szCs w:val="18"/>
        </w:rPr>
        <w:t>插件来创建可执行</w:t>
      </w:r>
      <w:r w:rsidRPr="00EF0B6C">
        <w:rPr>
          <w:rFonts w:ascii="宋体" w:eastAsia="宋体" w:hAnsi="宋体" w:cs="宋体"/>
          <w:color w:val="E36C0A" w:themeColor="accent6" w:themeShade="BF"/>
          <w:w w:val="110"/>
          <w:sz w:val="18"/>
          <w:szCs w:val="18"/>
        </w:rPr>
        <w:t>JAR</w:t>
      </w:r>
      <w:r w:rsidRPr="00EF0B6C">
        <w:rPr>
          <w:rFonts w:ascii="宋体" w:eastAsia="宋体" w:hAnsi="宋体" w:cs="宋体" w:hint="eastAsia"/>
          <w:color w:val="E36C0A" w:themeColor="accent6" w:themeShade="BF"/>
          <w:w w:val="110"/>
          <w:sz w:val="18"/>
          <w:szCs w:val="18"/>
        </w:rPr>
        <w:t>。</w:t>
      </w:r>
    </w:p>
    <w:p w14:paraId="4556304C" w14:textId="33DD50E4" w:rsidR="00A720EB" w:rsidRPr="003849F7" w:rsidRDefault="0030286B" w:rsidP="003849F7">
      <w:pPr>
        <w:pStyle w:val="a3"/>
        <w:spacing w:line="307" w:lineRule="auto"/>
        <w:ind w:left="124" w:right="125"/>
        <w:jc w:val="both"/>
      </w:pPr>
      <w:r>
        <w:rPr>
          <w:color w:val="333333"/>
          <w:w w:val="110"/>
        </w:rPr>
        <w:t xml:space="preserve">More details on getting started with Spring Boot and Maven can be found in the </w:t>
      </w:r>
      <w:hyperlink r:id="rId33" w:anchor="getting-started">
        <w:r>
          <w:rPr>
            <w:color w:val="418BCA"/>
            <w:w w:val="110"/>
          </w:rPr>
          <w:t>Getting Started</w:t>
        </w:r>
      </w:hyperlink>
      <w:r>
        <w:rPr>
          <w:color w:val="418BCA"/>
          <w:w w:val="110"/>
        </w:rPr>
        <w:t xml:space="preserve"> </w:t>
      </w:r>
      <w:hyperlink r:id="rId34" w:anchor="getting-started">
        <w:r>
          <w:rPr>
            <w:color w:val="418BCA"/>
            <w:w w:val="110"/>
          </w:rPr>
          <w:t xml:space="preserve">section </w:t>
        </w:r>
      </w:hyperlink>
      <w:r>
        <w:rPr>
          <w:color w:val="333333"/>
          <w:w w:val="110"/>
        </w:rPr>
        <w:t>of the Maven plugin’s reference guide.</w:t>
      </w:r>
    </w:p>
    <w:p w14:paraId="2A3D1639" w14:textId="048A4481" w:rsidR="003849F7" w:rsidRDefault="00F60DFC" w:rsidP="003849F7">
      <w:pPr>
        <w:pStyle w:val="a3"/>
        <w:spacing w:before="116" w:line="285" w:lineRule="auto"/>
        <w:ind w:left="124" w:right="125"/>
        <w:jc w:val="both"/>
        <w:rPr>
          <w:color w:val="333333"/>
          <w:w w:val="110"/>
        </w:rPr>
      </w:pPr>
      <w:r w:rsidRPr="00F60DFC">
        <w:rPr>
          <w:rFonts w:ascii="宋体" w:eastAsia="宋体" w:hAnsi="宋体" w:cs="宋体" w:hint="eastAsia"/>
          <w:color w:val="E36C0A" w:themeColor="accent6" w:themeShade="BF"/>
          <w:w w:val="110"/>
          <w:sz w:val="18"/>
          <w:szCs w:val="18"/>
        </w:rPr>
        <w:t>有关使用</w:t>
      </w:r>
      <w:r w:rsidRPr="00F60DFC">
        <w:rPr>
          <w:rFonts w:ascii="宋体" w:eastAsia="宋体" w:hAnsi="宋体" w:cs="宋体"/>
          <w:color w:val="E36C0A" w:themeColor="accent6" w:themeShade="BF"/>
          <w:w w:val="110"/>
          <w:sz w:val="18"/>
          <w:szCs w:val="18"/>
        </w:rPr>
        <w:t>Spring Boot</w:t>
      </w:r>
      <w:r w:rsidRPr="00F60DFC">
        <w:rPr>
          <w:rFonts w:ascii="宋体" w:eastAsia="宋体" w:hAnsi="宋体" w:cs="宋体" w:hint="eastAsia"/>
          <w:color w:val="E36C0A" w:themeColor="accent6" w:themeShade="BF"/>
          <w:w w:val="110"/>
          <w:sz w:val="18"/>
          <w:szCs w:val="18"/>
        </w:rPr>
        <w:t>和</w:t>
      </w:r>
      <w:r w:rsidRPr="00F60DFC">
        <w:rPr>
          <w:rFonts w:ascii="宋体" w:eastAsia="宋体" w:hAnsi="宋体" w:cs="宋体"/>
          <w:color w:val="E36C0A" w:themeColor="accent6" w:themeShade="BF"/>
          <w:w w:val="110"/>
          <w:sz w:val="18"/>
          <w:szCs w:val="18"/>
        </w:rPr>
        <w:t>Maven</w:t>
      </w:r>
      <w:r w:rsidRPr="00F60DFC">
        <w:rPr>
          <w:rFonts w:ascii="宋体" w:eastAsia="宋体" w:hAnsi="宋体" w:cs="宋体" w:hint="eastAsia"/>
          <w:color w:val="E36C0A" w:themeColor="accent6" w:themeShade="BF"/>
          <w:w w:val="110"/>
          <w:sz w:val="18"/>
          <w:szCs w:val="18"/>
        </w:rPr>
        <w:t>入门的更多详细信息，请参见</w:t>
      </w:r>
      <w:r w:rsidRPr="00F60DFC">
        <w:rPr>
          <w:rFonts w:ascii="宋体" w:eastAsia="宋体" w:hAnsi="宋体" w:cs="宋体"/>
          <w:color w:val="E36C0A" w:themeColor="accent6" w:themeShade="BF"/>
          <w:w w:val="110"/>
          <w:sz w:val="18"/>
          <w:szCs w:val="18"/>
        </w:rPr>
        <w:t>Maven</w:t>
      </w:r>
      <w:proofErr w:type="gramStart"/>
      <w:r w:rsidRPr="00F60DFC">
        <w:rPr>
          <w:rFonts w:ascii="宋体" w:eastAsia="宋体" w:hAnsi="宋体" w:cs="宋体" w:hint="eastAsia"/>
          <w:color w:val="E36C0A" w:themeColor="accent6" w:themeShade="BF"/>
          <w:w w:val="110"/>
          <w:sz w:val="18"/>
          <w:szCs w:val="18"/>
        </w:rPr>
        <w:t>插件参考指南的</w:t>
      </w:r>
      <w:r w:rsidRPr="00F60DFC">
        <w:rPr>
          <w:rFonts w:ascii="宋体" w:eastAsia="宋体" w:hAnsi="宋体" w:cs="宋体"/>
          <w:color w:val="E36C0A" w:themeColor="accent6" w:themeShade="BF"/>
          <w:w w:val="110"/>
          <w:sz w:val="18"/>
          <w:szCs w:val="18"/>
        </w:rPr>
        <w:t>“</w:t>
      </w:r>
      <w:proofErr w:type="gramEnd"/>
      <w:r w:rsidRPr="00F60DFC">
        <w:rPr>
          <w:rFonts w:ascii="宋体" w:eastAsia="宋体" w:hAnsi="宋体" w:cs="宋体" w:hint="eastAsia"/>
          <w:color w:val="E36C0A" w:themeColor="accent6" w:themeShade="BF"/>
          <w:w w:val="110"/>
          <w:sz w:val="18"/>
          <w:szCs w:val="18"/>
        </w:rPr>
        <w:t>入门</w:t>
      </w:r>
      <w:r w:rsidRPr="00F60DFC">
        <w:rPr>
          <w:rFonts w:ascii="宋体" w:eastAsia="宋体" w:hAnsi="宋体" w:cs="宋体"/>
          <w:color w:val="E36C0A" w:themeColor="accent6" w:themeShade="BF"/>
          <w:w w:val="110"/>
          <w:sz w:val="18"/>
          <w:szCs w:val="18"/>
        </w:rPr>
        <w:t>”</w:t>
      </w:r>
      <w:r w:rsidRPr="00F60DFC">
        <w:rPr>
          <w:rFonts w:ascii="宋体" w:eastAsia="宋体" w:hAnsi="宋体" w:cs="宋体" w:hint="eastAsia"/>
          <w:color w:val="E36C0A" w:themeColor="accent6" w:themeShade="BF"/>
          <w:w w:val="110"/>
          <w:sz w:val="18"/>
          <w:szCs w:val="18"/>
        </w:rPr>
        <w:t>部分。</w:t>
      </w:r>
      <w:bookmarkStart w:id="34" w:name="Gradle_Installation"/>
      <w:bookmarkEnd w:id="34"/>
    </w:p>
    <w:p w14:paraId="2495138B" w14:textId="69959334" w:rsidR="00A720EB" w:rsidRDefault="0030286B">
      <w:pPr>
        <w:pStyle w:val="4"/>
        <w:spacing w:before="86"/>
      </w:pPr>
      <w:r>
        <w:rPr>
          <w:color w:val="333333"/>
          <w:w w:val="110"/>
        </w:rPr>
        <w:t>Gradle Installation</w:t>
      </w:r>
      <w:r w:rsidR="0027674C">
        <w:rPr>
          <w:color w:val="333333"/>
          <w:w w:val="110"/>
        </w:rPr>
        <w:t xml:space="preserve"> </w:t>
      </w:r>
      <w:r w:rsidR="0027674C" w:rsidRPr="0027674C">
        <w:rPr>
          <w:rStyle w:val="a8"/>
        </w:rPr>
        <w:t xml:space="preserve">Gradle </w:t>
      </w:r>
      <w:r w:rsidR="0027674C" w:rsidRPr="0027674C">
        <w:rPr>
          <w:rStyle w:val="a8"/>
          <w:rFonts w:ascii="宋体" w:eastAsia="宋体" w:hAnsi="宋体" w:cs="宋体" w:hint="eastAsia"/>
          <w:lang w:eastAsia="zh-CN"/>
        </w:rPr>
        <w:t>安装</w:t>
      </w:r>
    </w:p>
    <w:p w14:paraId="061B6E87" w14:textId="77777777" w:rsidR="00A720EB" w:rsidRDefault="00A720EB">
      <w:pPr>
        <w:pStyle w:val="a3"/>
        <w:spacing w:before="11"/>
        <w:rPr>
          <w:rFonts w:ascii="Palatino Linotype"/>
          <w:b/>
          <w:sz w:val="18"/>
        </w:rPr>
      </w:pPr>
    </w:p>
    <w:p w14:paraId="5195FF8E" w14:textId="465EFE54" w:rsidR="0027674C" w:rsidRDefault="0030286B" w:rsidP="0027674C">
      <w:pPr>
        <w:pStyle w:val="a3"/>
        <w:spacing w:line="307" w:lineRule="auto"/>
        <w:ind w:left="124" w:right="131"/>
        <w:jc w:val="both"/>
        <w:rPr>
          <w:rFonts w:ascii="宋体" w:eastAsia="宋体" w:hAnsi="宋体" w:cs="宋体"/>
          <w:color w:val="333333"/>
          <w:w w:val="110"/>
          <w:lang w:eastAsia="zh-CN"/>
        </w:rPr>
      </w:pPr>
      <w:r>
        <w:rPr>
          <w:color w:val="333333"/>
          <w:w w:val="110"/>
        </w:rPr>
        <w:t xml:space="preserve">Spring Boot is compatible with Gradle 6 (6.3 or later). Gradle 5.6.x is also supported but this support is deprecated and will be removed in a future release. If you do not already have Gradle </w:t>
      </w:r>
      <w:proofErr w:type="gramStart"/>
      <w:r>
        <w:rPr>
          <w:color w:val="333333"/>
          <w:w w:val="110"/>
        </w:rPr>
        <w:t>installed,  you</w:t>
      </w:r>
      <w:proofErr w:type="gramEnd"/>
      <w:r>
        <w:rPr>
          <w:color w:val="333333"/>
          <w:w w:val="110"/>
        </w:rPr>
        <w:t xml:space="preserve"> can follow the instructions at</w:t>
      </w:r>
      <w:r>
        <w:rPr>
          <w:color w:val="333333"/>
          <w:spacing w:val="23"/>
          <w:w w:val="110"/>
        </w:rPr>
        <w:t xml:space="preserve"> </w:t>
      </w:r>
      <w:hyperlink r:id="rId35">
        <w:r>
          <w:rPr>
            <w:color w:val="418BCA"/>
            <w:w w:val="110"/>
          </w:rPr>
          <w:t>gradle.org</w:t>
        </w:r>
      </w:hyperlink>
      <w:r>
        <w:rPr>
          <w:color w:val="333333"/>
          <w:w w:val="110"/>
        </w:rPr>
        <w:t>.</w:t>
      </w:r>
    </w:p>
    <w:p w14:paraId="318BB758" w14:textId="5EA08586" w:rsidR="0027674C" w:rsidRPr="0027674C" w:rsidRDefault="0027674C" w:rsidP="0027674C">
      <w:pPr>
        <w:pStyle w:val="a3"/>
        <w:spacing w:before="254"/>
        <w:ind w:left="124"/>
        <w:rPr>
          <w:rFonts w:ascii="宋体" w:eastAsia="宋体" w:hAnsi="宋体" w:cs="宋体"/>
          <w:color w:val="E36C0A" w:themeColor="accent6" w:themeShade="BF"/>
          <w:w w:val="110"/>
          <w:sz w:val="18"/>
          <w:szCs w:val="18"/>
          <w:lang w:eastAsia="zh-CN"/>
        </w:rPr>
      </w:pPr>
      <w:r w:rsidRPr="0027674C">
        <w:rPr>
          <w:rFonts w:ascii="宋体" w:eastAsia="宋体" w:hAnsi="宋体" w:cs="宋体"/>
          <w:color w:val="E36C0A" w:themeColor="accent6" w:themeShade="BF"/>
          <w:w w:val="110"/>
          <w:sz w:val="18"/>
          <w:szCs w:val="18"/>
          <w:lang w:eastAsia="zh-CN"/>
        </w:rPr>
        <w:t>Spring Boot与Gradle 6（6.3或更高版本）兼容。 还支持Gradle 5.6.x，但不建议使用</w:t>
      </w:r>
      <w:r w:rsidR="00BB1F4A">
        <w:rPr>
          <w:rFonts w:ascii="宋体" w:eastAsia="宋体" w:hAnsi="宋体" w:cs="宋体" w:hint="eastAsia"/>
          <w:color w:val="E36C0A" w:themeColor="accent6" w:themeShade="BF"/>
          <w:w w:val="110"/>
          <w:sz w:val="18"/>
          <w:szCs w:val="18"/>
          <w:lang w:eastAsia="zh-CN"/>
        </w:rPr>
        <w:t>这个版本</w:t>
      </w:r>
      <w:r w:rsidRPr="0027674C">
        <w:rPr>
          <w:rFonts w:ascii="宋体" w:eastAsia="宋体" w:hAnsi="宋体" w:cs="宋体"/>
          <w:color w:val="E36C0A" w:themeColor="accent6" w:themeShade="BF"/>
          <w:w w:val="110"/>
          <w:sz w:val="18"/>
          <w:szCs w:val="18"/>
          <w:lang w:eastAsia="zh-CN"/>
        </w:rPr>
        <w:t>，</w:t>
      </w:r>
      <w:r w:rsidR="00BB1F4A">
        <w:rPr>
          <w:rFonts w:ascii="宋体" w:eastAsia="宋体" w:hAnsi="宋体" w:cs="宋体" w:hint="eastAsia"/>
          <w:color w:val="E36C0A" w:themeColor="accent6" w:themeShade="BF"/>
          <w:w w:val="110"/>
          <w:sz w:val="18"/>
          <w:szCs w:val="18"/>
          <w:lang w:eastAsia="zh-CN"/>
        </w:rPr>
        <w:t>Spring</w:t>
      </w:r>
      <w:r w:rsidR="00BB1F4A">
        <w:rPr>
          <w:rFonts w:ascii="宋体" w:eastAsia="宋体" w:hAnsi="宋体" w:cs="宋体"/>
          <w:color w:val="E36C0A" w:themeColor="accent6" w:themeShade="BF"/>
          <w:w w:val="110"/>
          <w:sz w:val="18"/>
          <w:szCs w:val="18"/>
          <w:lang w:eastAsia="zh-CN"/>
        </w:rPr>
        <w:t xml:space="preserve"> </w:t>
      </w:r>
      <w:r w:rsidR="00BB1F4A">
        <w:rPr>
          <w:rFonts w:ascii="宋体" w:eastAsia="宋体" w:hAnsi="宋体" w:cs="宋体" w:hint="eastAsia"/>
          <w:color w:val="E36C0A" w:themeColor="accent6" w:themeShade="BF"/>
          <w:w w:val="110"/>
          <w:sz w:val="18"/>
          <w:szCs w:val="18"/>
          <w:lang w:eastAsia="zh-CN"/>
        </w:rPr>
        <w:t>Boot</w:t>
      </w:r>
      <w:r w:rsidRPr="0027674C">
        <w:rPr>
          <w:rFonts w:ascii="宋体" w:eastAsia="宋体" w:hAnsi="宋体" w:cs="宋体"/>
          <w:color w:val="E36C0A" w:themeColor="accent6" w:themeShade="BF"/>
          <w:w w:val="110"/>
          <w:sz w:val="18"/>
          <w:szCs w:val="18"/>
          <w:lang w:eastAsia="zh-CN"/>
        </w:rPr>
        <w:t>在将来的版本中将删除该</w:t>
      </w:r>
      <w:r w:rsidR="00BB1F4A">
        <w:rPr>
          <w:rFonts w:ascii="宋体" w:eastAsia="宋体" w:hAnsi="宋体" w:cs="宋体" w:hint="eastAsia"/>
          <w:color w:val="E36C0A" w:themeColor="accent6" w:themeShade="BF"/>
          <w:w w:val="110"/>
          <w:sz w:val="18"/>
          <w:szCs w:val="18"/>
          <w:lang w:eastAsia="zh-CN"/>
        </w:rPr>
        <w:t>版本支持</w:t>
      </w:r>
      <w:r w:rsidRPr="0027674C">
        <w:rPr>
          <w:rFonts w:ascii="宋体" w:eastAsia="宋体" w:hAnsi="宋体" w:cs="宋体"/>
          <w:color w:val="E36C0A" w:themeColor="accent6" w:themeShade="BF"/>
          <w:w w:val="110"/>
          <w:sz w:val="18"/>
          <w:szCs w:val="18"/>
          <w:lang w:eastAsia="zh-CN"/>
        </w:rPr>
        <w:t>。 如果尚未安装Gradle，则可以按照gradle.org上的说明进行操作。</w:t>
      </w:r>
    </w:p>
    <w:p w14:paraId="454FB528" w14:textId="77777777" w:rsidR="0027674C" w:rsidRPr="0027674C" w:rsidRDefault="0027674C" w:rsidP="0027674C">
      <w:pPr>
        <w:pStyle w:val="a3"/>
        <w:spacing w:line="307" w:lineRule="auto"/>
        <w:ind w:left="124" w:right="131"/>
        <w:jc w:val="both"/>
        <w:rPr>
          <w:rFonts w:ascii="宋体" w:eastAsia="宋体" w:hAnsi="宋体" w:cs="宋体"/>
          <w:color w:val="333333"/>
          <w:w w:val="110"/>
          <w:lang w:eastAsia="zh-CN"/>
        </w:rPr>
      </w:pPr>
    </w:p>
    <w:p w14:paraId="756D0808" w14:textId="2EE9EE3E" w:rsidR="00A720EB" w:rsidRDefault="0030286B">
      <w:pPr>
        <w:pStyle w:val="a3"/>
        <w:spacing w:before="231" w:line="300" w:lineRule="auto"/>
        <w:ind w:left="124" w:right="123"/>
        <w:jc w:val="both"/>
        <w:rPr>
          <w:color w:val="333333"/>
          <w:w w:val="110"/>
        </w:rPr>
      </w:pPr>
      <w:r>
        <w:rPr>
          <w:color w:val="333333"/>
          <w:w w:val="110"/>
        </w:rPr>
        <w:t xml:space="preserve">Spring Boot dependencies can be declared by using the </w:t>
      </w:r>
      <w:proofErr w:type="gramStart"/>
      <w:r>
        <w:rPr>
          <w:rFonts w:ascii="MS Gothic" w:hAnsi="MS Gothic"/>
          <w:color w:val="B02045"/>
          <w:w w:val="110"/>
        </w:rPr>
        <w:t>org.springframework</w:t>
      </w:r>
      <w:proofErr w:type="gramEnd"/>
      <w:r>
        <w:rPr>
          <w:rFonts w:ascii="MS Gothic" w:hAnsi="MS Gothic"/>
          <w:color w:val="B02045"/>
          <w:w w:val="110"/>
        </w:rPr>
        <w:t>.boot group</w:t>
      </w:r>
      <w:r>
        <w:rPr>
          <w:color w:val="333333"/>
          <w:w w:val="110"/>
        </w:rPr>
        <w:t xml:space="preserve">. Typically, your project declares dependencies to one or more </w:t>
      </w:r>
      <w:hyperlink w:anchor="_bookmark42" w:history="1">
        <w:r>
          <w:rPr>
            <w:color w:val="418BCA"/>
            <w:w w:val="110"/>
          </w:rPr>
          <w:t>“Starters”</w:t>
        </w:r>
      </w:hyperlink>
      <w:r>
        <w:rPr>
          <w:color w:val="333333"/>
          <w:w w:val="110"/>
        </w:rPr>
        <w:t xml:space="preserve">. Spring Boot provides a useful </w:t>
      </w:r>
      <w:hyperlink w:anchor="_bookmark512" w:history="1">
        <w:r>
          <w:rPr>
            <w:color w:val="418BCA"/>
            <w:w w:val="110"/>
          </w:rPr>
          <w:t>Gradle</w:t>
        </w:r>
      </w:hyperlink>
      <w:r>
        <w:rPr>
          <w:color w:val="418BCA"/>
          <w:w w:val="110"/>
        </w:rPr>
        <w:t xml:space="preserve"> </w:t>
      </w:r>
      <w:hyperlink w:anchor="_bookmark512" w:history="1">
        <w:r>
          <w:rPr>
            <w:color w:val="418BCA"/>
            <w:w w:val="110"/>
          </w:rPr>
          <w:t xml:space="preserve">plugin </w:t>
        </w:r>
      </w:hyperlink>
      <w:r>
        <w:rPr>
          <w:color w:val="333333"/>
          <w:w w:val="110"/>
        </w:rPr>
        <w:t>that can be used to simplify dependency declarations and to create executable jars.</w:t>
      </w:r>
    </w:p>
    <w:p w14:paraId="6B8D50DA" w14:textId="4513D5C0" w:rsidR="0027674C" w:rsidRPr="0027674C" w:rsidRDefault="0027674C" w:rsidP="0027674C">
      <w:pPr>
        <w:pStyle w:val="10"/>
      </w:pPr>
      <w:r w:rsidRPr="0027674C">
        <w:t>可以使用</w:t>
      </w:r>
      <w:r w:rsidR="00BB1F4A" w:rsidRPr="00BB1F4A">
        <w:rPr>
          <w:rFonts w:ascii="MS Gothic" w:hAnsi="MS Gothic"/>
          <w:color w:val="B02045"/>
          <w:sz w:val="16"/>
          <w:szCs w:val="16"/>
        </w:rPr>
        <w:t>org.springframework.boot group</w:t>
      </w:r>
      <w:r w:rsidRPr="0027674C">
        <w:t>声明Spring Boot依赖项。 通常，您的项目声明对一个或多个“</w:t>
      </w:r>
      <w:r w:rsidR="00BB1F4A" w:rsidRPr="00BB1F4A">
        <w:t>Starters</w:t>
      </w:r>
      <w:r w:rsidRPr="0027674C">
        <w:t>”</w:t>
      </w:r>
      <w:r w:rsidRPr="0027674C">
        <w:lastRenderedPageBreak/>
        <w:t>的依赖。 Spring Boot提供了一个有用的Gradle插件，可用于简化依赖项声明和创建可执行</w:t>
      </w:r>
      <w:r w:rsidRPr="0027674C">
        <w:rPr>
          <w:rFonts w:hint="eastAsia"/>
        </w:rPr>
        <w:t>的</w:t>
      </w:r>
      <w:r w:rsidRPr="0027674C">
        <w:t>jar。</w:t>
      </w:r>
    </w:p>
    <w:p w14:paraId="5F657DD0" w14:textId="77777777" w:rsidR="0027674C" w:rsidRDefault="0027674C">
      <w:pPr>
        <w:pStyle w:val="a3"/>
        <w:spacing w:before="231" w:line="300" w:lineRule="auto"/>
        <w:ind w:left="124" w:right="123"/>
        <w:jc w:val="both"/>
      </w:pPr>
    </w:p>
    <w:p w14:paraId="72DA0D3E" w14:textId="77777777" w:rsidR="00A720EB" w:rsidRDefault="00E10349">
      <w:pPr>
        <w:pStyle w:val="a3"/>
        <w:spacing w:before="9"/>
        <w:rPr>
          <w:sz w:val="13"/>
        </w:rPr>
      </w:pPr>
      <w:r>
        <w:pict w14:anchorId="3A2E1D91">
          <v:group id="_x0000_s5003" style="position:absolute;margin-left:48pt;margin-top:10.05pt;width:505.1pt;height:167.3pt;z-index:-15726080;mso-wrap-distance-left:0;mso-wrap-distance-right:0;mso-position-horizontal-relative:page" coordorigin="960,201" coordsize="9986,2007">
            <v:shape id="_x0000_s5006" style="position:absolute;left:964;top:206;width:9976;height:1997" coordorigin="965,206" coordsize="9976,1997" path="m10861,206r-9816,l1014,212r-26,17l971,255r-6,31l965,2122r6,32l988,2179r26,17l1045,2202r9816,l10892,2196r25,-17l10935,2154r6,-32l10941,286r-6,-31l10917,229r-25,-17l10861,206xe" fillcolor="#ededed" stroked="f">
              <v:path arrowok="t"/>
            </v:shape>
            <v:shape id="_x0000_s5005" style="position:absolute;left:964;top:206;width:9976;height:1997" coordorigin="965,206" coordsize="9976,1997" path="m1045,206r9816,l10892,212r25,17l10935,255r6,31l10941,2122r-6,32l10917,2179r-25,17l10861,2202r-9816,l1014,2196r-26,-17l971,2154r-6,-32l965,286r6,-31l988,229r26,-17l1045,206xe" filled="f" strokecolor="#e1e1e1" strokeweight=".5pt">
              <v:path arrowok="t"/>
            </v:shape>
            <v:shape id="_x0000_s5004" type="#_x0000_t202" style="position:absolute;left:972;top:211;width:9960;height:1986" filled="f" stroked="f">
              <v:textbox inset="0,0,0,0">
                <w:txbxContent>
                  <w:p w14:paraId="19CCDF24" w14:textId="77777777" w:rsidR="00711A16" w:rsidRDefault="00711A16">
                    <w:pPr>
                      <w:spacing w:before="239"/>
                      <w:ind w:left="300" w:right="300"/>
                      <w:jc w:val="center"/>
                      <w:rPr>
                        <w:rFonts w:ascii="Palatino Linotype"/>
                        <w:b/>
                        <w:sz w:val="26"/>
                      </w:rPr>
                    </w:pPr>
                    <w:r>
                      <w:rPr>
                        <w:rFonts w:ascii="Palatino Linotype"/>
                        <w:b/>
                        <w:color w:val="333333"/>
                        <w:w w:val="110"/>
                        <w:sz w:val="26"/>
                      </w:rPr>
                      <w:t>Gradle Wrapper</w:t>
                    </w:r>
                  </w:p>
                  <w:p w14:paraId="3D2666E7" w14:textId="77777777" w:rsidR="00711A16" w:rsidRDefault="00711A16" w:rsidP="0027674C">
                    <w:pPr>
                      <w:pStyle w:val="machinetrans-lang-zh-cn"/>
                      <w:spacing w:before="72" w:beforeAutospacing="0" w:after="72" w:afterAutospacing="0"/>
                      <w:rPr>
                        <w:rFonts w:ascii="Helvetica" w:hAnsi="Helvetica" w:cs="Helvetica"/>
                        <w:color w:val="DDDDDD"/>
                        <w:sz w:val="21"/>
                        <w:szCs w:val="21"/>
                      </w:rPr>
                    </w:pPr>
                    <w:r>
                      <w:rPr>
                        <w:color w:val="333333"/>
                        <w:w w:val="110"/>
                        <w:sz w:val="21"/>
                      </w:rPr>
                      <w:t xml:space="preserve">The Gradle Wrapper provides a nice way of “obtaining” Gradle when you need to build a project. It is a small script and library that you commit alongside your code to bootstrap </w:t>
                    </w:r>
                    <w:proofErr w:type="gramStart"/>
                    <w:r>
                      <w:rPr>
                        <w:color w:val="333333"/>
                        <w:w w:val="110"/>
                        <w:sz w:val="21"/>
                      </w:rPr>
                      <w:t>the  build</w:t>
                    </w:r>
                    <w:proofErr w:type="gramEnd"/>
                    <w:r>
                      <w:rPr>
                        <w:color w:val="333333"/>
                        <w:w w:val="110"/>
                        <w:sz w:val="21"/>
                      </w:rPr>
                      <w:t xml:space="preserve"> process. See </w:t>
                    </w:r>
                    <w:hyperlink r:id="rId36">
                      <w:r>
                        <w:rPr>
                          <w:color w:val="418BCA"/>
                          <w:w w:val="110"/>
                          <w:sz w:val="21"/>
                        </w:rPr>
                        <w:t xml:space="preserve">docs.gradle.org/current/userguide/gradle_wrapper.html </w:t>
                      </w:r>
                    </w:hyperlink>
                    <w:r>
                      <w:rPr>
                        <w:color w:val="333333"/>
                        <w:w w:val="110"/>
                        <w:sz w:val="21"/>
                      </w:rPr>
                      <w:t>for details.</w:t>
                    </w:r>
                    <w:r w:rsidRPr="0027674C">
                      <w:rPr>
                        <w:rFonts w:ascii="Helvetica" w:hAnsi="Helvetica" w:cs="Helvetica"/>
                        <w:color w:val="DDDDDD"/>
                        <w:sz w:val="21"/>
                        <w:szCs w:val="21"/>
                      </w:rPr>
                      <w:t xml:space="preserve"> </w:t>
                    </w:r>
                  </w:p>
                  <w:p w14:paraId="6A80E006" w14:textId="1FB9FCDD" w:rsidR="00711A16" w:rsidRPr="0027674C" w:rsidRDefault="00711A16" w:rsidP="0027674C">
                    <w:pPr>
                      <w:spacing w:before="239"/>
                      <w:ind w:left="300" w:right="300"/>
                      <w:jc w:val="center"/>
                      <w:rPr>
                        <w:rFonts w:ascii="Palatino Linotype"/>
                        <w:b/>
                        <w:color w:val="E36C0A" w:themeColor="accent6" w:themeShade="BF"/>
                        <w:w w:val="110"/>
                        <w:sz w:val="26"/>
                      </w:rPr>
                    </w:pPr>
                    <w:r w:rsidRPr="0027674C">
                      <w:rPr>
                        <w:rFonts w:ascii="Palatino Linotype"/>
                        <w:b/>
                        <w:color w:val="E36C0A" w:themeColor="accent6" w:themeShade="BF"/>
                        <w:w w:val="110"/>
                        <w:sz w:val="26"/>
                      </w:rPr>
                      <w:t>Gradle Wrapper</w:t>
                    </w:r>
                  </w:p>
                  <w:p w14:paraId="63993973" w14:textId="7119587D" w:rsidR="00711A16" w:rsidRPr="0027674C" w:rsidRDefault="00711A16" w:rsidP="0027674C">
                    <w:pPr>
                      <w:pStyle w:val="machinetrans-lang-zh-cn"/>
                      <w:spacing w:before="72" w:beforeAutospacing="0" w:after="72" w:afterAutospacing="0"/>
                      <w:rPr>
                        <w:color w:val="E36C0A" w:themeColor="accent6" w:themeShade="BF"/>
                        <w:w w:val="110"/>
                        <w:sz w:val="21"/>
                      </w:rPr>
                    </w:pPr>
                    <w:r w:rsidRPr="0027674C">
                      <w:rPr>
                        <w:color w:val="E36C0A" w:themeColor="accent6" w:themeShade="BF"/>
                        <w:w w:val="110"/>
                        <w:sz w:val="21"/>
                      </w:rPr>
                      <w:t>Gradle Wrapper 在您需要构建项目时提供了一种很好的“获取” Gradle 的方法。它是一个很小的脚本和库，您可以在代码旁边提交它来引导构建过程。详情请参阅 docs.gradle.org/current/userguide/gradle_wrapper.html。</w:t>
                    </w:r>
                  </w:p>
                  <w:p w14:paraId="4F2978F0" w14:textId="05117DA3" w:rsidR="00711A16" w:rsidRDefault="00711A16">
                    <w:pPr>
                      <w:spacing w:before="254" w:line="307" w:lineRule="auto"/>
                      <w:ind w:left="291" w:right="299"/>
                      <w:jc w:val="both"/>
                      <w:rPr>
                        <w:color w:val="333333"/>
                        <w:w w:val="110"/>
                        <w:sz w:val="21"/>
                        <w:lang w:eastAsia="zh-CN"/>
                      </w:rPr>
                    </w:pPr>
                  </w:p>
                  <w:p w14:paraId="0B0D7FA7" w14:textId="77777777" w:rsidR="00711A16" w:rsidRDefault="00711A16">
                    <w:pPr>
                      <w:spacing w:before="254" w:line="307" w:lineRule="auto"/>
                      <w:ind w:left="291" w:right="299"/>
                      <w:jc w:val="both"/>
                      <w:rPr>
                        <w:color w:val="333333"/>
                        <w:w w:val="110"/>
                        <w:sz w:val="21"/>
                        <w:lang w:eastAsia="zh-CN"/>
                      </w:rPr>
                    </w:pPr>
                  </w:p>
                  <w:p w14:paraId="69B266F8" w14:textId="77777777" w:rsidR="00711A16" w:rsidRDefault="00711A16" w:rsidP="0027674C">
                    <w:pPr>
                      <w:pStyle w:val="machinetrans-lang-zh-cn"/>
                      <w:spacing w:before="72" w:beforeAutospacing="0" w:after="72" w:afterAutospacing="0"/>
                      <w:rPr>
                        <w:rFonts w:ascii="Helvetica" w:hAnsi="Helvetica" w:cs="Helvetica"/>
                        <w:color w:val="DDDDDD"/>
                        <w:sz w:val="21"/>
                        <w:szCs w:val="21"/>
                      </w:rPr>
                    </w:pPr>
                    <w:r>
                      <w:rPr>
                        <w:rFonts w:ascii="Helvetica" w:hAnsi="Helvetica" w:cs="Helvetica"/>
                        <w:color w:val="DDDDDD"/>
                        <w:sz w:val="21"/>
                        <w:szCs w:val="21"/>
                      </w:rPr>
                      <w:t>Gradle Wrapper</w:t>
                    </w:r>
                  </w:p>
                  <w:p w14:paraId="7C252ABB" w14:textId="77777777" w:rsidR="00711A16" w:rsidRDefault="00711A16" w:rsidP="0027674C">
                    <w:pPr>
                      <w:pStyle w:val="machinetrans-lang-zh-cn"/>
                      <w:spacing w:before="72" w:beforeAutospacing="0" w:after="72" w:afterAutospacing="0"/>
                      <w:rPr>
                        <w:rFonts w:ascii="Helvetica" w:hAnsi="Helvetica" w:cs="Helvetica"/>
                        <w:color w:val="DDDDDD"/>
                        <w:sz w:val="21"/>
                        <w:szCs w:val="21"/>
                      </w:rPr>
                    </w:pPr>
                    <w:r>
                      <w:rPr>
                        <w:rFonts w:ascii="Helvetica" w:hAnsi="Helvetica" w:cs="Helvetica"/>
                        <w:color w:val="DDDDDD"/>
                        <w:sz w:val="21"/>
                        <w:szCs w:val="21"/>
                      </w:rPr>
                      <w:t xml:space="preserve">Gradle Wrapper </w:t>
                    </w:r>
                    <w:r>
                      <w:rPr>
                        <w:rFonts w:ascii="Helvetica" w:hAnsi="Helvetica" w:cs="Helvetica"/>
                        <w:color w:val="DDDDDD"/>
                        <w:sz w:val="21"/>
                        <w:szCs w:val="21"/>
                      </w:rPr>
                      <w:t>在您需要构建项目时提供了一种很好的</w:t>
                    </w:r>
                    <w:r>
                      <w:rPr>
                        <w:rFonts w:ascii="Helvetica" w:hAnsi="Helvetica" w:cs="Helvetica"/>
                        <w:color w:val="DDDDDD"/>
                        <w:sz w:val="21"/>
                        <w:szCs w:val="21"/>
                      </w:rPr>
                      <w:t>“</w:t>
                    </w:r>
                    <w:r>
                      <w:rPr>
                        <w:rFonts w:ascii="Helvetica" w:hAnsi="Helvetica" w:cs="Helvetica"/>
                        <w:color w:val="DDDDDD"/>
                        <w:sz w:val="21"/>
                        <w:szCs w:val="21"/>
                      </w:rPr>
                      <w:t>获取</w:t>
                    </w:r>
                    <w:r>
                      <w:rPr>
                        <w:rFonts w:ascii="Helvetica" w:hAnsi="Helvetica" w:cs="Helvetica"/>
                        <w:color w:val="DDDDDD"/>
                        <w:sz w:val="21"/>
                        <w:szCs w:val="21"/>
                      </w:rPr>
                      <w:t xml:space="preserve">” Gradle </w:t>
                    </w:r>
                    <w:r>
                      <w:rPr>
                        <w:rFonts w:ascii="Helvetica" w:hAnsi="Helvetica" w:cs="Helvetica"/>
                        <w:color w:val="DDDDDD"/>
                        <w:sz w:val="21"/>
                        <w:szCs w:val="21"/>
                      </w:rPr>
                      <w:t>的方法。它是一个很小的脚本和库，您可以在代码旁边提交它来引导构建过程。详情请参阅</w:t>
                    </w:r>
                    <w:r>
                      <w:rPr>
                        <w:rFonts w:ascii="Helvetica" w:hAnsi="Helvetica" w:cs="Helvetica"/>
                        <w:color w:val="DDDDDD"/>
                        <w:sz w:val="21"/>
                        <w:szCs w:val="21"/>
                      </w:rPr>
                      <w:t xml:space="preserve"> docs.gradle.org/current/userguide/gradle_wrapper.html</w:t>
                    </w:r>
                    <w:r>
                      <w:rPr>
                        <w:rFonts w:ascii="Helvetica" w:hAnsi="Helvetica" w:cs="Helvetica"/>
                        <w:color w:val="DDDDDD"/>
                        <w:sz w:val="21"/>
                        <w:szCs w:val="21"/>
                      </w:rPr>
                      <w:t>。</w:t>
                    </w:r>
                  </w:p>
                  <w:p w14:paraId="018B75A1" w14:textId="77777777" w:rsidR="00711A16" w:rsidRDefault="00711A16">
                    <w:pPr>
                      <w:spacing w:before="254" w:line="307" w:lineRule="auto"/>
                      <w:ind w:left="291" w:right="299"/>
                      <w:jc w:val="both"/>
                      <w:rPr>
                        <w:sz w:val="21"/>
                      </w:rPr>
                    </w:pPr>
                  </w:p>
                </w:txbxContent>
              </v:textbox>
            </v:shape>
            <w10:wrap type="topAndBottom" anchorx="page"/>
          </v:group>
        </w:pict>
      </w:r>
    </w:p>
    <w:p w14:paraId="323B0AEC" w14:textId="77777777" w:rsidR="00A720EB" w:rsidRDefault="00A720EB">
      <w:pPr>
        <w:pStyle w:val="a3"/>
        <w:spacing w:before="3"/>
        <w:rPr>
          <w:sz w:val="10"/>
        </w:rPr>
      </w:pPr>
    </w:p>
    <w:p w14:paraId="1E1EBBE7" w14:textId="559EE78A" w:rsidR="00A720EB" w:rsidRDefault="0030286B">
      <w:pPr>
        <w:pStyle w:val="a3"/>
        <w:spacing w:before="125" w:line="307" w:lineRule="auto"/>
        <w:ind w:left="124" w:right="125"/>
        <w:jc w:val="both"/>
        <w:rPr>
          <w:color w:val="333333"/>
          <w:w w:val="110"/>
        </w:rPr>
      </w:pPr>
      <w:r>
        <w:rPr>
          <w:color w:val="333333"/>
          <w:w w:val="110"/>
        </w:rPr>
        <w:t xml:space="preserve">More details on getting started with Spring Boot and Gradle can be found in the </w:t>
      </w:r>
      <w:hyperlink r:id="rId37" w:anchor="getting-started">
        <w:r>
          <w:rPr>
            <w:color w:val="418BCA"/>
            <w:w w:val="110"/>
          </w:rPr>
          <w:t>Getting Started</w:t>
        </w:r>
      </w:hyperlink>
      <w:r>
        <w:rPr>
          <w:color w:val="418BCA"/>
          <w:w w:val="110"/>
        </w:rPr>
        <w:t xml:space="preserve"> </w:t>
      </w:r>
      <w:hyperlink r:id="rId38" w:anchor="getting-started">
        <w:r>
          <w:rPr>
            <w:color w:val="418BCA"/>
            <w:w w:val="110"/>
          </w:rPr>
          <w:t xml:space="preserve">section </w:t>
        </w:r>
      </w:hyperlink>
      <w:r>
        <w:rPr>
          <w:color w:val="333333"/>
          <w:w w:val="110"/>
        </w:rPr>
        <w:t>of the Gradle plugin’s reference guide.</w:t>
      </w:r>
    </w:p>
    <w:p w14:paraId="4C258AA6" w14:textId="1DDFC35F" w:rsidR="0027674C" w:rsidRDefault="0027674C" w:rsidP="0027674C">
      <w:pPr>
        <w:pStyle w:val="10"/>
      </w:pPr>
      <w:r>
        <w:rPr>
          <w:rFonts w:hint="eastAsia"/>
        </w:rPr>
        <w:t>更多关于</w:t>
      </w:r>
      <w:r>
        <w:rPr>
          <w:rFonts w:ascii="Helvetica" w:hAnsi="Helvetica" w:cs="Helvetica"/>
        </w:rPr>
        <w:t>Spring Boot</w:t>
      </w:r>
      <w:r>
        <w:rPr>
          <w:rFonts w:hint="eastAsia"/>
        </w:rPr>
        <w:t>和</w:t>
      </w:r>
      <w:r>
        <w:rPr>
          <w:rFonts w:ascii="Helvetica" w:hAnsi="Helvetica" w:cs="Helvetica"/>
        </w:rPr>
        <w:t>Gradle</w:t>
      </w:r>
      <w:r>
        <w:rPr>
          <w:rFonts w:hint="eastAsia"/>
        </w:rPr>
        <w:t>入门的细节可以在</w:t>
      </w:r>
      <w:r>
        <w:rPr>
          <w:rFonts w:ascii="Helvetica" w:hAnsi="Helvetica" w:cs="Helvetica"/>
        </w:rPr>
        <w:t>Gradle</w:t>
      </w:r>
      <w:r>
        <w:rPr>
          <w:rFonts w:hint="eastAsia"/>
        </w:rPr>
        <w:t>插件的入门指南中找到。</w:t>
      </w:r>
    </w:p>
    <w:p w14:paraId="1C1B614A" w14:textId="77777777" w:rsidR="00A720EB" w:rsidRDefault="00A720EB">
      <w:pPr>
        <w:pStyle w:val="a3"/>
        <w:spacing w:before="9"/>
        <w:rPr>
          <w:sz w:val="25"/>
        </w:rPr>
      </w:pPr>
    </w:p>
    <w:p w14:paraId="61701B96" w14:textId="5EDB2F58" w:rsidR="00A720EB" w:rsidRPr="0027674C" w:rsidRDefault="0030286B">
      <w:pPr>
        <w:pStyle w:val="3"/>
        <w:numPr>
          <w:ilvl w:val="2"/>
          <w:numId w:val="77"/>
        </w:numPr>
        <w:tabs>
          <w:tab w:val="left" w:pos="858"/>
        </w:tabs>
        <w:ind w:hanging="734"/>
        <w:rPr>
          <w:color w:val="E36C0A" w:themeColor="accent6" w:themeShade="BF"/>
          <w:w w:val="110"/>
        </w:rPr>
      </w:pPr>
      <w:bookmarkStart w:id="35" w:name="2.3.2._Installing_the_Spring_Boot_CLI"/>
      <w:bookmarkStart w:id="36" w:name="_Toc54423669"/>
      <w:bookmarkEnd w:id="35"/>
      <w:r>
        <w:rPr>
          <w:color w:val="333333"/>
          <w:w w:val="110"/>
        </w:rPr>
        <w:t>Installing the Spring Boot</w:t>
      </w:r>
      <w:r>
        <w:rPr>
          <w:color w:val="333333"/>
          <w:spacing w:val="-27"/>
          <w:w w:val="110"/>
        </w:rPr>
        <w:t xml:space="preserve"> </w:t>
      </w:r>
      <w:r>
        <w:rPr>
          <w:color w:val="333333"/>
          <w:w w:val="110"/>
        </w:rPr>
        <w:t>CLI</w:t>
      </w:r>
      <w:r w:rsidR="0027674C">
        <w:rPr>
          <w:color w:val="333333"/>
          <w:w w:val="110"/>
        </w:rPr>
        <w:t xml:space="preserve"> </w:t>
      </w:r>
      <w:r w:rsidR="0027674C" w:rsidRPr="0027674C">
        <w:rPr>
          <w:rFonts w:ascii="宋体" w:eastAsia="宋体" w:hAnsi="宋体" w:cs="宋体" w:hint="eastAsia"/>
          <w:b w:val="0"/>
          <w:bCs w:val="0"/>
          <w:color w:val="E36C0A" w:themeColor="accent6" w:themeShade="BF"/>
        </w:rPr>
        <w:t>安装</w:t>
      </w:r>
      <w:r w:rsidR="0027674C" w:rsidRPr="0027674C">
        <w:rPr>
          <w:b w:val="0"/>
          <w:bCs w:val="0"/>
          <w:color w:val="E36C0A" w:themeColor="accent6" w:themeShade="BF"/>
        </w:rPr>
        <w:t>Spring Boot CLI</w:t>
      </w:r>
      <w:bookmarkEnd w:id="36"/>
    </w:p>
    <w:p w14:paraId="24DF432D" w14:textId="2EF7DD6B" w:rsidR="00A720EB" w:rsidRDefault="0030286B">
      <w:pPr>
        <w:pStyle w:val="a3"/>
        <w:spacing w:before="254" w:line="307" w:lineRule="auto"/>
        <w:ind w:left="124" w:right="126"/>
        <w:jc w:val="both"/>
        <w:rPr>
          <w:color w:val="333333"/>
          <w:w w:val="110"/>
        </w:rPr>
      </w:pPr>
      <w:r>
        <w:rPr>
          <w:color w:val="333333"/>
          <w:w w:val="110"/>
        </w:rPr>
        <w:t xml:space="preserve">The Spring Boot CLI (Command Line Interface) is a command line tool that you can use to quickly prototype with Spring. It lets you run </w:t>
      </w:r>
      <w:hyperlink r:id="rId39">
        <w:r>
          <w:rPr>
            <w:color w:val="418BCA"/>
            <w:w w:val="110"/>
          </w:rPr>
          <w:t>Groovy</w:t>
        </w:r>
      </w:hyperlink>
      <w:r>
        <w:rPr>
          <w:color w:val="418BCA"/>
          <w:w w:val="110"/>
        </w:rPr>
        <w:t xml:space="preserve"> </w:t>
      </w:r>
      <w:r>
        <w:rPr>
          <w:color w:val="333333"/>
          <w:w w:val="110"/>
        </w:rPr>
        <w:t xml:space="preserve">scripts, which means </w:t>
      </w:r>
      <w:proofErr w:type="gramStart"/>
      <w:r>
        <w:rPr>
          <w:color w:val="333333"/>
          <w:w w:val="110"/>
        </w:rPr>
        <w:t>that  you</w:t>
      </w:r>
      <w:proofErr w:type="gramEnd"/>
      <w:r>
        <w:rPr>
          <w:color w:val="333333"/>
          <w:w w:val="110"/>
        </w:rPr>
        <w:t xml:space="preserve"> have a familiar  Java-  like syntax without so much boilerplate</w:t>
      </w:r>
      <w:r>
        <w:rPr>
          <w:color w:val="333333"/>
          <w:spacing w:val="18"/>
          <w:w w:val="110"/>
        </w:rPr>
        <w:t xml:space="preserve"> </w:t>
      </w:r>
      <w:r>
        <w:rPr>
          <w:color w:val="333333"/>
          <w:w w:val="110"/>
        </w:rPr>
        <w:t>code.</w:t>
      </w:r>
    </w:p>
    <w:p w14:paraId="75F60CFD" w14:textId="55FFBDE5" w:rsidR="00E47563" w:rsidRDefault="00E47563" w:rsidP="00E47563">
      <w:pPr>
        <w:pStyle w:val="10"/>
      </w:pPr>
      <w:r>
        <w:rPr>
          <w:rFonts w:ascii="Helvetica" w:hAnsi="Helvetica" w:cs="Helvetica"/>
        </w:rPr>
        <w:t>Spring Boot CLI</w:t>
      </w:r>
      <w:r>
        <w:rPr>
          <w:rFonts w:hint="eastAsia"/>
        </w:rPr>
        <w:t>（命令行界面）是一个命令行工具，可用于快速使用</w:t>
      </w:r>
      <w:r>
        <w:rPr>
          <w:rFonts w:ascii="Helvetica" w:hAnsi="Helvetica" w:cs="Helvetica"/>
        </w:rPr>
        <w:t>Spring</w:t>
      </w:r>
      <w:r>
        <w:rPr>
          <w:rFonts w:hint="eastAsia"/>
        </w:rPr>
        <w:t>进行原型设计。</w:t>
      </w:r>
      <w:r>
        <w:rPr>
          <w:rFonts w:ascii="Helvetica" w:hAnsi="Helvetica" w:cs="Helvetica"/>
        </w:rPr>
        <w:t xml:space="preserve"> </w:t>
      </w:r>
      <w:r>
        <w:rPr>
          <w:rFonts w:hint="eastAsia"/>
        </w:rPr>
        <w:t>它使您可以运行</w:t>
      </w:r>
      <w:r>
        <w:rPr>
          <w:rFonts w:ascii="Helvetica" w:hAnsi="Helvetica" w:cs="Helvetica"/>
        </w:rPr>
        <w:t>Groovy</w:t>
      </w:r>
      <w:r>
        <w:rPr>
          <w:rFonts w:hint="eastAsia"/>
        </w:rPr>
        <w:t>脚本，这意味着</w:t>
      </w:r>
      <w:proofErr w:type="gramStart"/>
      <w:r>
        <w:rPr>
          <w:rFonts w:hint="eastAsia"/>
        </w:rPr>
        <w:t>您具有</w:t>
      </w:r>
      <w:proofErr w:type="gramEnd"/>
      <w:r>
        <w:rPr>
          <w:rFonts w:hint="eastAsia"/>
        </w:rPr>
        <w:t>类似</w:t>
      </w:r>
      <w:r>
        <w:rPr>
          <w:rFonts w:ascii="Helvetica" w:hAnsi="Helvetica" w:cs="Helvetica"/>
        </w:rPr>
        <w:t>Java</w:t>
      </w:r>
      <w:r>
        <w:rPr>
          <w:rFonts w:hint="eastAsia"/>
        </w:rPr>
        <w:t>的熟悉语法，而没有太多样板代码。</w:t>
      </w:r>
    </w:p>
    <w:p w14:paraId="2420EE97" w14:textId="34A07060" w:rsidR="00A720EB" w:rsidRDefault="0030286B">
      <w:pPr>
        <w:pStyle w:val="a3"/>
        <w:spacing w:before="241" w:line="307" w:lineRule="auto"/>
        <w:ind w:left="124" w:right="133"/>
        <w:jc w:val="both"/>
        <w:rPr>
          <w:color w:val="333333"/>
          <w:w w:val="110"/>
        </w:rPr>
      </w:pPr>
      <w:r>
        <w:rPr>
          <w:color w:val="333333"/>
          <w:w w:val="110"/>
        </w:rPr>
        <w:t>You do not need to use the CLI to work with Spring Boot, but it is definitely the quickest way to get a Spring application off the ground.</w:t>
      </w:r>
    </w:p>
    <w:p w14:paraId="0A03DABC" w14:textId="4228B10C" w:rsidR="00E47563" w:rsidRDefault="00E47563" w:rsidP="00E47563">
      <w:pPr>
        <w:pStyle w:val="10"/>
      </w:pPr>
      <w:r>
        <w:rPr>
          <w:rFonts w:hint="eastAsia"/>
        </w:rPr>
        <w:t>您无需使用</w:t>
      </w:r>
      <w:r>
        <w:rPr>
          <w:rFonts w:ascii="Helvetica" w:hAnsi="Helvetica" w:cs="Helvetica"/>
        </w:rPr>
        <w:t>CLI</w:t>
      </w:r>
      <w:r>
        <w:rPr>
          <w:rFonts w:hint="eastAsia"/>
        </w:rPr>
        <w:t>即可与</w:t>
      </w:r>
      <w:r>
        <w:rPr>
          <w:rFonts w:ascii="Helvetica" w:hAnsi="Helvetica" w:cs="Helvetica"/>
        </w:rPr>
        <w:t>Spring Boot</w:t>
      </w:r>
      <w:r>
        <w:rPr>
          <w:rFonts w:hint="eastAsia"/>
        </w:rPr>
        <w:t>一起使用，但这绝对是使</w:t>
      </w:r>
      <w:r>
        <w:rPr>
          <w:rFonts w:ascii="Helvetica" w:hAnsi="Helvetica" w:cs="Helvetica"/>
        </w:rPr>
        <w:t>Spring</w:t>
      </w:r>
      <w:r>
        <w:rPr>
          <w:rFonts w:hint="eastAsia"/>
        </w:rPr>
        <w:t>应用程序启动的最快方法。</w:t>
      </w:r>
    </w:p>
    <w:p w14:paraId="1E6DD725" w14:textId="77777777" w:rsidR="00A720EB" w:rsidRDefault="00A720EB">
      <w:pPr>
        <w:pStyle w:val="a3"/>
        <w:spacing w:before="8"/>
        <w:rPr>
          <w:sz w:val="25"/>
        </w:rPr>
      </w:pPr>
    </w:p>
    <w:p w14:paraId="76E37A6F" w14:textId="16466FC2" w:rsidR="00A720EB" w:rsidRPr="00E47563" w:rsidRDefault="0030286B">
      <w:pPr>
        <w:pStyle w:val="4"/>
        <w:rPr>
          <w:color w:val="E36C0A" w:themeColor="accent6" w:themeShade="BF"/>
          <w:w w:val="110"/>
        </w:rPr>
      </w:pPr>
      <w:bookmarkStart w:id="37" w:name="Manual_Installation"/>
      <w:bookmarkEnd w:id="37"/>
      <w:r>
        <w:rPr>
          <w:color w:val="333333"/>
          <w:w w:val="110"/>
        </w:rPr>
        <w:t xml:space="preserve">Manual </w:t>
      </w:r>
      <w:proofErr w:type="gramStart"/>
      <w:r>
        <w:rPr>
          <w:color w:val="333333"/>
          <w:w w:val="110"/>
        </w:rPr>
        <w:t>Installation</w:t>
      </w:r>
      <w:r w:rsidR="00E47563">
        <w:rPr>
          <w:color w:val="333333"/>
          <w:w w:val="110"/>
        </w:rPr>
        <w:t xml:space="preserve">  </w:t>
      </w:r>
      <w:r w:rsidR="00E47563" w:rsidRPr="00E47563">
        <w:rPr>
          <w:rFonts w:ascii="宋体" w:eastAsia="宋体" w:hAnsi="宋体" w:cs="宋体" w:hint="eastAsia"/>
          <w:color w:val="E36C0A" w:themeColor="accent6" w:themeShade="BF"/>
          <w:w w:val="110"/>
        </w:rPr>
        <w:t>手动安装</w:t>
      </w:r>
      <w:proofErr w:type="gramEnd"/>
    </w:p>
    <w:p w14:paraId="0FDCE5EB" w14:textId="77777777" w:rsidR="00A720EB" w:rsidRDefault="00A720EB">
      <w:pPr>
        <w:pStyle w:val="a3"/>
        <w:spacing w:before="11"/>
        <w:rPr>
          <w:rFonts w:ascii="Palatino Linotype"/>
          <w:b/>
          <w:sz w:val="18"/>
        </w:rPr>
      </w:pPr>
    </w:p>
    <w:p w14:paraId="286D29EF" w14:textId="637A4AAD" w:rsidR="00A720EB" w:rsidRDefault="0030286B">
      <w:pPr>
        <w:pStyle w:val="a3"/>
        <w:spacing w:before="1"/>
        <w:ind w:left="124"/>
        <w:jc w:val="both"/>
        <w:rPr>
          <w:color w:val="333333"/>
          <w:w w:val="110"/>
        </w:rPr>
      </w:pPr>
      <w:r>
        <w:rPr>
          <w:color w:val="333333"/>
          <w:w w:val="110"/>
        </w:rPr>
        <w:t>You can download the Spring CLI distribution from the Spring software repository:</w:t>
      </w:r>
    </w:p>
    <w:p w14:paraId="658FBC2B" w14:textId="346CA998" w:rsidR="00E47563" w:rsidRDefault="00E47563" w:rsidP="00E47563">
      <w:pPr>
        <w:pStyle w:val="10"/>
      </w:pPr>
      <w:r>
        <w:rPr>
          <w:rFonts w:hint="eastAsia"/>
        </w:rPr>
        <w:t>你可以从</w:t>
      </w:r>
      <w:r>
        <w:t xml:space="preserve"> Spring </w:t>
      </w:r>
      <w:r>
        <w:rPr>
          <w:rFonts w:hint="eastAsia"/>
        </w:rPr>
        <w:t>软件资源库下载</w:t>
      </w:r>
      <w:r>
        <w:t xml:space="preserve"> Spring CLI </w:t>
      </w:r>
      <w:r>
        <w:rPr>
          <w:rFonts w:hint="eastAsia"/>
        </w:rPr>
        <w:t>发行版</w:t>
      </w:r>
      <w:r>
        <w:t>:</w:t>
      </w:r>
    </w:p>
    <w:p w14:paraId="7EEE8D30" w14:textId="77777777" w:rsidR="00A720EB" w:rsidRDefault="00A720EB">
      <w:pPr>
        <w:pStyle w:val="a3"/>
        <w:spacing w:before="4"/>
        <w:rPr>
          <w:sz w:val="26"/>
        </w:rPr>
      </w:pPr>
    </w:p>
    <w:p w14:paraId="20AB62B3" w14:textId="77777777" w:rsidR="00A720EB" w:rsidRDefault="00E10349">
      <w:pPr>
        <w:pStyle w:val="a6"/>
        <w:numPr>
          <w:ilvl w:val="3"/>
          <w:numId w:val="77"/>
        </w:numPr>
        <w:tabs>
          <w:tab w:val="left" w:pos="485"/>
        </w:tabs>
        <w:rPr>
          <w:sz w:val="21"/>
        </w:rPr>
      </w:pPr>
      <w:hyperlink r:id="rId40">
        <w:r w:rsidR="0030286B">
          <w:rPr>
            <w:color w:val="418BCA"/>
            <w:w w:val="110"/>
            <w:sz w:val="21"/>
          </w:rPr>
          <w:t>spring-boot-cli-2.3.4.RELEASE-bin.zip</w:t>
        </w:r>
      </w:hyperlink>
    </w:p>
    <w:p w14:paraId="69F63508" w14:textId="77777777" w:rsidR="00A720EB" w:rsidRDefault="00E10349">
      <w:pPr>
        <w:pStyle w:val="a6"/>
        <w:numPr>
          <w:ilvl w:val="3"/>
          <w:numId w:val="77"/>
        </w:numPr>
        <w:tabs>
          <w:tab w:val="left" w:pos="485"/>
        </w:tabs>
        <w:spacing w:before="190"/>
        <w:rPr>
          <w:sz w:val="21"/>
        </w:rPr>
      </w:pPr>
      <w:hyperlink r:id="rId41">
        <w:r w:rsidR="0030286B">
          <w:rPr>
            <w:color w:val="418BCA"/>
            <w:w w:val="110"/>
            <w:sz w:val="21"/>
          </w:rPr>
          <w:t>spring-boot-cli-2.3.4.RELEASE-bin.tar.gz</w:t>
        </w:r>
      </w:hyperlink>
    </w:p>
    <w:p w14:paraId="255D631A" w14:textId="77777777" w:rsidR="00A720EB" w:rsidRDefault="00A720EB">
      <w:pPr>
        <w:pStyle w:val="a3"/>
        <w:spacing w:before="4"/>
        <w:rPr>
          <w:sz w:val="26"/>
        </w:rPr>
      </w:pPr>
    </w:p>
    <w:p w14:paraId="0AAFA534" w14:textId="0DC092BD" w:rsidR="00A720EB" w:rsidRDefault="0030286B">
      <w:pPr>
        <w:pStyle w:val="a3"/>
        <w:ind w:left="124"/>
        <w:jc w:val="both"/>
        <w:rPr>
          <w:color w:val="333333"/>
          <w:w w:val="110"/>
        </w:rPr>
      </w:pPr>
      <w:r>
        <w:rPr>
          <w:color w:val="333333"/>
          <w:w w:val="110"/>
        </w:rPr>
        <w:t xml:space="preserve">Cutting edge </w:t>
      </w:r>
      <w:hyperlink r:id="rId42">
        <w:r>
          <w:rPr>
            <w:color w:val="418BCA"/>
            <w:w w:val="110"/>
          </w:rPr>
          <w:t xml:space="preserve">snapshot distributions </w:t>
        </w:r>
      </w:hyperlink>
      <w:r>
        <w:rPr>
          <w:color w:val="333333"/>
          <w:w w:val="110"/>
        </w:rPr>
        <w:t>are also available.</w:t>
      </w:r>
    </w:p>
    <w:p w14:paraId="2FCA0F50" w14:textId="06942A1D" w:rsidR="00E47563" w:rsidRDefault="00E47563" w:rsidP="00E47563">
      <w:pPr>
        <w:pStyle w:val="10"/>
      </w:pPr>
      <w:r>
        <w:rPr>
          <w:rFonts w:hint="eastAsia"/>
        </w:rPr>
        <w:t>也可以使用最先进的快照发行版。</w:t>
      </w:r>
    </w:p>
    <w:p w14:paraId="0F617DAE" w14:textId="77777777" w:rsidR="00A720EB" w:rsidRDefault="00A720EB">
      <w:pPr>
        <w:pStyle w:val="a3"/>
        <w:spacing w:before="5"/>
        <w:rPr>
          <w:sz w:val="26"/>
          <w:lang w:eastAsia="zh-CN"/>
        </w:rPr>
      </w:pPr>
    </w:p>
    <w:p w14:paraId="2A1F421F" w14:textId="235A3225" w:rsidR="00A720EB" w:rsidRDefault="0030286B">
      <w:pPr>
        <w:pStyle w:val="a3"/>
        <w:spacing w:line="290" w:lineRule="auto"/>
        <w:ind w:left="124" w:right="122"/>
        <w:jc w:val="both"/>
        <w:rPr>
          <w:color w:val="333333"/>
          <w:w w:val="110"/>
        </w:rPr>
      </w:pPr>
      <w:r>
        <w:rPr>
          <w:color w:val="333333"/>
          <w:w w:val="110"/>
        </w:rPr>
        <w:t xml:space="preserve">Once downloaded, follow the </w:t>
      </w:r>
      <w:hyperlink r:id="rId43">
        <w:r>
          <w:rPr>
            <w:color w:val="418BCA"/>
            <w:spacing w:val="-3"/>
            <w:w w:val="110"/>
          </w:rPr>
          <w:t>INSTALL.txt</w:t>
        </w:r>
      </w:hyperlink>
      <w:r>
        <w:rPr>
          <w:color w:val="418BCA"/>
          <w:spacing w:val="-3"/>
          <w:w w:val="110"/>
        </w:rPr>
        <w:t xml:space="preserve"> </w:t>
      </w:r>
      <w:r>
        <w:rPr>
          <w:color w:val="333333"/>
          <w:w w:val="110"/>
        </w:rPr>
        <w:t xml:space="preserve">instructions from the unpacked  archive.  </w:t>
      </w:r>
      <w:proofErr w:type="gramStart"/>
      <w:r>
        <w:rPr>
          <w:color w:val="333333"/>
          <w:w w:val="110"/>
        </w:rPr>
        <w:t xml:space="preserve">In  </w:t>
      </w:r>
      <w:r>
        <w:rPr>
          <w:color w:val="333333"/>
          <w:spacing w:val="-4"/>
          <w:w w:val="110"/>
        </w:rPr>
        <w:t>summary</w:t>
      </w:r>
      <w:proofErr w:type="gramEnd"/>
      <w:r>
        <w:rPr>
          <w:color w:val="333333"/>
          <w:spacing w:val="-4"/>
          <w:w w:val="110"/>
        </w:rPr>
        <w:t xml:space="preserve">, </w:t>
      </w:r>
      <w:r>
        <w:rPr>
          <w:color w:val="333333"/>
          <w:w w:val="110"/>
        </w:rPr>
        <w:t xml:space="preserve">there is a </w:t>
      </w:r>
      <w:r>
        <w:rPr>
          <w:rFonts w:ascii="MS Gothic"/>
          <w:color w:val="B02045"/>
          <w:w w:val="110"/>
        </w:rPr>
        <w:t xml:space="preserve">spring </w:t>
      </w:r>
      <w:r>
        <w:rPr>
          <w:color w:val="333333"/>
          <w:w w:val="110"/>
        </w:rPr>
        <w:t>script (</w:t>
      </w:r>
      <w:r>
        <w:rPr>
          <w:rFonts w:ascii="MS Gothic"/>
          <w:color w:val="B02045"/>
          <w:w w:val="110"/>
        </w:rPr>
        <w:t xml:space="preserve">spring.bat </w:t>
      </w:r>
      <w:r>
        <w:rPr>
          <w:color w:val="333333"/>
          <w:w w:val="110"/>
        </w:rPr>
        <w:t xml:space="preserve">for Windows) in a </w:t>
      </w:r>
      <w:r>
        <w:rPr>
          <w:rFonts w:ascii="MS Gothic"/>
          <w:color w:val="B02045"/>
          <w:w w:val="110"/>
        </w:rPr>
        <w:t xml:space="preserve">bin/ </w:t>
      </w:r>
      <w:r>
        <w:rPr>
          <w:color w:val="333333"/>
          <w:w w:val="110"/>
        </w:rPr>
        <w:t xml:space="preserve">directory in the </w:t>
      </w:r>
      <w:r>
        <w:rPr>
          <w:rFonts w:ascii="MS Gothic"/>
          <w:color w:val="B02045"/>
          <w:w w:val="110"/>
        </w:rPr>
        <w:t>.zip</w:t>
      </w:r>
      <w:r>
        <w:rPr>
          <w:rFonts w:ascii="MS Gothic"/>
          <w:color w:val="B02045"/>
          <w:spacing w:val="-59"/>
          <w:w w:val="110"/>
        </w:rPr>
        <w:t xml:space="preserve"> </w:t>
      </w:r>
      <w:r>
        <w:rPr>
          <w:color w:val="333333"/>
          <w:w w:val="110"/>
        </w:rPr>
        <w:t xml:space="preserve">file. </w:t>
      </w:r>
      <w:r>
        <w:rPr>
          <w:color w:val="333333"/>
          <w:spacing w:val="-3"/>
          <w:w w:val="110"/>
        </w:rPr>
        <w:t xml:space="preserve">Alternatively, </w:t>
      </w:r>
      <w:r>
        <w:rPr>
          <w:color w:val="333333"/>
          <w:w w:val="110"/>
        </w:rPr>
        <w:t xml:space="preserve">you can use </w:t>
      </w:r>
      <w:r>
        <w:rPr>
          <w:rFonts w:ascii="MS Gothic"/>
          <w:color w:val="B02045"/>
          <w:w w:val="110"/>
        </w:rPr>
        <w:t xml:space="preserve">java -jar </w:t>
      </w:r>
      <w:r>
        <w:rPr>
          <w:color w:val="333333"/>
          <w:w w:val="110"/>
        </w:rPr>
        <w:t xml:space="preserve">with the </w:t>
      </w:r>
      <w:r>
        <w:rPr>
          <w:rFonts w:ascii="MS Gothic"/>
          <w:color w:val="B02045"/>
          <w:w w:val="110"/>
        </w:rPr>
        <w:t xml:space="preserve">.jar </w:t>
      </w:r>
      <w:r>
        <w:rPr>
          <w:color w:val="333333"/>
          <w:w w:val="110"/>
        </w:rPr>
        <w:t>file (the script helps you to be sure that the classpath is set correctly).</w:t>
      </w:r>
    </w:p>
    <w:p w14:paraId="56427C06" w14:textId="3BE6AF07" w:rsidR="00E47563" w:rsidRPr="003849F7" w:rsidRDefault="00E47563" w:rsidP="003849F7">
      <w:pPr>
        <w:pStyle w:val="10"/>
      </w:pPr>
      <w:r>
        <w:t>下载完成后，请按照解压缩后的存档中的INSTALL.txt说明进行操作。 总而言之，.zip文件的bin /目录中有一个spring脚本（对于Windows是spring.bat）。 或者，您可以将Java -jar与.jar文件一起使用（脚本可帮助</w:t>
      </w:r>
      <w:proofErr w:type="gramStart"/>
      <w:r>
        <w:t>您确保</w:t>
      </w:r>
      <w:proofErr w:type="gramEnd"/>
      <w:r>
        <w:t>正</w:t>
      </w:r>
      <w:r>
        <w:lastRenderedPageBreak/>
        <w:t>确设置了类路径）。</w:t>
      </w:r>
    </w:p>
    <w:p w14:paraId="0C3864CC" w14:textId="77777777" w:rsidR="00A720EB" w:rsidRDefault="00A720EB">
      <w:pPr>
        <w:pStyle w:val="a3"/>
        <w:spacing w:before="10"/>
        <w:rPr>
          <w:sz w:val="26"/>
          <w:lang w:eastAsia="zh-CN"/>
        </w:rPr>
      </w:pPr>
    </w:p>
    <w:p w14:paraId="6A7FAF2A" w14:textId="7D63F6A3" w:rsidR="00A720EB" w:rsidRPr="00E47563" w:rsidRDefault="0030286B">
      <w:pPr>
        <w:pStyle w:val="4"/>
        <w:rPr>
          <w:color w:val="333333"/>
          <w:w w:val="110"/>
        </w:rPr>
      </w:pPr>
      <w:bookmarkStart w:id="38" w:name="Installation_with_SDKMAN!"/>
      <w:bookmarkEnd w:id="38"/>
      <w:r>
        <w:rPr>
          <w:color w:val="333333"/>
          <w:w w:val="110"/>
        </w:rPr>
        <w:t>Installation with SDKMAN!</w:t>
      </w:r>
      <w:r w:rsidR="00E47563">
        <w:rPr>
          <w:color w:val="333333"/>
          <w:w w:val="110"/>
        </w:rPr>
        <w:t xml:space="preserve"> </w:t>
      </w:r>
      <w:r w:rsidR="00E47563" w:rsidRPr="00E47563">
        <w:rPr>
          <w:rFonts w:ascii="宋体" w:eastAsia="宋体" w:hAnsi="宋体" w:cs="宋体" w:hint="eastAsia"/>
          <w:color w:val="E36C0A" w:themeColor="accent6" w:themeShade="BF"/>
          <w:w w:val="110"/>
        </w:rPr>
        <w:t>使用</w:t>
      </w:r>
      <w:r w:rsidR="00E47563" w:rsidRPr="00E47563">
        <w:rPr>
          <w:color w:val="E36C0A" w:themeColor="accent6" w:themeShade="BF"/>
          <w:w w:val="110"/>
        </w:rPr>
        <w:t>SDKMAN</w:t>
      </w:r>
      <w:r w:rsidR="00E47563" w:rsidRPr="00E47563">
        <w:rPr>
          <w:rFonts w:ascii="宋体" w:eastAsia="宋体" w:hAnsi="宋体" w:cs="宋体" w:hint="eastAsia"/>
          <w:color w:val="E36C0A" w:themeColor="accent6" w:themeShade="BF"/>
          <w:w w:val="110"/>
        </w:rPr>
        <w:t>安装！</w:t>
      </w:r>
    </w:p>
    <w:p w14:paraId="3F6FBBEB" w14:textId="77777777" w:rsidR="00A720EB" w:rsidRDefault="00A720EB">
      <w:pPr>
        <w:pStyle w:val="a3"/>
        <w:spacing w:before="12"/>
        <w:rPr>
          <w:rFonts w:ascii="Palatino Linotype"/>
          <w:b/>
          <w:sz w:val="18"/>
        </w:rPr>
      </w:pPr>
    </w:p>
    <w:p w14:paraId="1711DDE8" w14:textId="0C5A27AB" w:rsidR="00A720EB" w:rsidRDefault="0030286B" w:rsidP="00E47563">
      <w:pPr>
        <w:pStyle w:val="a3"/>
        <w:spacing w:line="307" w:lineRule="auto"/>
        <w:ind w:left="124" w:right="123"/>
        <w:jc w:val="both"/>
      </w:pPr>
      <w:r>
        <w:rPr>
          <w:color w:val="333333"/>
          <w:w w:val="110"/>
        </w:rPr>
        <w:t xml:space="preserve">SDKMAN! (The Software Development Kit Manager) can be used for managing multiple versions of various binary SDKs, including Groovy and the Spring Boot CLI. Get SDKMAN! from </w:t>
      </w:r>
      <w:hyperlink r:id="rId44">
        <w:r>
          <w:rPr>
            <w:color w:val="418BCA"/>
            <w:w w:val="110"/>
          </w:rPr>
          <w:t xml:space="preserve">sdkman.io </w:t>
        </w:r>
      </w:hyperlink>
      <w:r>
        <w:rPr>
          <w:color w:val="333333"/>
          <w:w w:val="110"/>
        </w:rPr>
        <w:t>and install Spring Boot by using the following commands:</w:t>
      </w:r>
    </w:p>
    <w:p w14:paraId="6BFE566D" w14:textId="682EC224" w:rsidR="00A720EB" w:rsidRDefault="00E47563" w:rsidP="003849F7">
      <w:pPr>
        <w:pStyle w:val="10"/>
        <w:rPr>
          <w:sz w:val="20"/>
        </w:rPr>
      </w:pPr>
      <w:r>
        <w:t>SDKMAN</w:t>
      </w:r>
      <w:r>
        <w:rPr>
          <w:rFonts w:hint="eastAsia"/>
        </w:rPr>
        <w:t>！</w:t>
      </w:r>
      <w:r>
        <w:t xml:space="preserve"> </w:t>
      </w:r>
      <w:r>
        <w:rPr>
          <w:rFonts w:hint="eastAsia"/>
        </w:rPr>
        <w:t>（软件开发工具包管理器）可用于管理各种二进制</w:t>
      </w:r>
      <w:r>
        <w:t>SDK</w:t>
      </w:r>
      <w:r>
        <w:rPr>
          <w:rFonts w:hint="eastAsia"/>
        </w:rPr>
        <w:t>的多个版本，包括</w:t>
      </w:r>
      <w:r>
        <w:t>Groovy</w:t>
      </w:r>
      <w:r>
        <w:rPr>
          <w:rFonts w:hint="eastAsia"/>
        </w:rPr>
        <w:t>和</w:t>
      </w:r>
      <w:r>
        <w:t>Spring Boot CLI</w:t>
      </w:r>
      <w:r>
        <w:rPr>
          <w:rFonts w:hint="eastAsia"/>
        </w:rPr>
        <w:t>。</w:t>
      </w:r>
      <w:r>
        <w:t xml:space="preserve"> </w:t>
      </w:r>
      <w:r w:rsidR="007F1B99">
        <w:rPr>
          <w:rFonts w:hint="eastAsia"/>
        </w:rPr>
        <w:t>从</w:t>
      </w:r>
      <w:r w:rsidR="007F1B99">
        <w:t>sdkman.io</w:t>
      </w:r>
      <w:r>
        <w:rPr>
          <w:rFonts w:hint="eastAsia"/>
        </w:rPr>
        <w:t>获取</w:t>
      </w:r>
      <w:r>
        <w:t>SDKMAN</w:t>
      </w:r>
      <w:r>
        <w:rPr>
          <w:rFonts w:hint="eastAsia"/>
        </w:rPr>
        <w:t>！并使用以下命令安装</w:t>
      </w:r>
      <w:r>
        <w:t>Spring Boot</w:t>
      </w:r>
      <w:r>
        <w:rPr>
          <w:rFonts w:hint="eastAsia"/>
        </w:rPr>
        <w:t>：</w:t>
      </w:r>
      <w:r w:rsidR="003849F7">
        <w:rPr>
          <w:rFonts w:hint="eastAsia"/>
        </w:rPr>
        <w:t xml:space="preserve"> </w:t>
      </w:r>
      <w:r w:rsidR="003849F7">
        <w:t xml:space="preserve">              </w:t>
      </w:r>
      <w:r w:rsidR="00E10349">
        <w:rPr>
          <w:sz w:val="20"/>
        </w:rPr>
      </w:r>
      <w:r w:rsidR="00E10349">
        <w:rPr>
          <w:sz w:val="20"/>
        </w:rPr>
        <w:pict w14:anchorId="722146D5">
          <v:group id="_x0000_s4999" style="width:499.55pt;height:67pt;mso-position-horizontal-relative:char;mso-position-vertical-relative:line" coordsize="9991,1340">
            <v:shape id="_x0000_s5002" style="position:absolute;left:7;top:7;width:9976;height:1325" coordorigin="8,8" coordsize="9976,1325" path="m9904,8l88,8,56,14,31,31,14,56,8,88r,1164l14,1283r17,25l56,1326r32,6l9904,1332r31,-6l9960,1308r17,-25l9984,1252r,-1164l9977,56,9960,31,9935,14,9904,8xe" fillcolor="#f5f5f5" stroked="f">
              <v:path arrowok="t"/>
            </v:shape>
            <v:shape id="_x0000_s5001" style="position:absolute;left:7;top:7;width:9976;height:1325" coordorigin="8,8" coordsize="9976,1325" path="m88,8r9816,l9935,14r25,17l9977,56r7,32l9984,1252r-7,31l9960,1308r-25,18l9904,1332r-9816,l56,1326,31,1308,14,1283,8,1252,8,88,14,56,31,31,56,14,88,8xe" filled="f" strokecolor="#ccc">
              <v:path arrowok="t"/>
            </v:shape>
            <v:shape id="_x0000_s5000" type="#_x0000_t202" style="position:absolute;left:26;top:22;width:9938;height:1294" filled="f" stroked="f">
              <v:textbox inset="0,0,0,0">
                <w:txbxContent>
                  <w:p w14:paraId="47140FBE" w14:textId="77777777" w:rsidR="00711A16" w:rsidRDefault="00711A16">
                    <w:pPr>
                      <w:spacing w:before="221"/>
                      <w:ind w:left="200"/>
                      <w:rPr>
                        <w:rFonts w:ascii="MS Gothic"/>
                      </w:rPr>
                    </w:pPr>
                    <w:r>
                      <w:rPr>
                        <w:rFonts w:ascii="MS Gothic"/>
                        <w:color w:val="333333"/>
                      </w:rPr>
                      <w:t>$ sdk install springboot</w:t>
                    </w:r>
                  </w:p>
                  <w:p w14:paraId="67ACB646" w14:textId="77777777" w:rsidR="00711A16" w:rsidRDefault="00711A16">
                    <w:pPr>
                      <w:spacing w:before="13"/>
                      <w:ind w:left="200"/>
                      <w:rPr>
                        <w:rFonts w:ascii="MS Gothic"/>
                      </w:rPr>
                    </w:pPr>
                    <w:r>
                      <w:rPr>
                        <w:rFonts w:ascii="MS Gothic"/>
                        <w:color w:val="333333"/>
                      </w:rPr>
                      <w:t>$ spring --version</w:t>
                    </w:r>
                  </w:p>
                  <w:p w14:paraId="67D99BDB" w14:textId="77777777" w:rsidR="00711A16" w:rsidRDefault="00711A16">
                    <w:pPr>
                      <w:spacing w:before="13"/>
                      <w:ind w:left="200"/>
                      <w:rPr>
                        <w:rFonts w:ascii="MS Gothic"/>
                      </w:rPr>
                    </w:pPr>
                    <w:r>
                      <w:rPr>
                        <w:rFonts w:ascii="MS Gothic"/>
                        <w:color w:val="333333"/>
                      </w:rPr>
                      <w:t>Spring Boot v2.3.</w:t>
                    </w:r>
                    <w:proofErr w:type="gramStart"/>
                    <w:r>
                      <w:rPr>
                        <w:rFonts w:ascii="MS Gothic"/>
                        <w:color w:val="333333"/>
                      </w:rPr>
                      <w:t>4.RELEASE</w:t>
                    </w:r>
                    <w:proofErr w:type="gramEnd"/>
                  </w:p>
                </w:txbxContent>
              </v:textbox>
            </v:shape>
            <w10:anchorlock/>
          </v:group>
        </w:pict>
      </w:r>
    </w:p>
    <w:p w14:paraId="17469201" w14:textId="77777777" w:rsidR="00A720EB" w:rsidRDefault="00A720EB">
      <w:pPr>
        <w:pStyle w:val="a3"/>
        <w:spacing w:before="5"/>
        <w:rPr>
          <w:sz w:val="9"/>
        </w:rPr>
      </w:pPr>
    </w:p>
    <w:p w14:paraId="095BF454" w14:textId="4746DC59" w:rsidR="00A720EB" w:rsidRDefault="0030286B">
      <w:pPr>
        <w:pStyle w:val="a3"/>
        <w:spacing w:before="126" w:line="307" w:lineRule="auto"/>
        <w:ind w:left="124"/>
        <w:rPr>
          <w:color w:val="333333"/>
          <w:w w:val="110"/>
        </w:rPr>
      </w:pPr>
      <w:r>
        <w:rPr>
          <w:color w:val="333333"/>
          <w:w w:val="110"/>
        </w:rPr>
        <w:t>If you develop features for the CLI and want access to the version you built, use the following commands:</w:t>
      </w:r>
    </w:p>
    <w:p w14:paraId="04802AC9" w14:textId="26E3E6AA" w:rsidR="00E47563" w:rsidRDefault="00E47563" w:rsidP="00E47563">
      <w:pPr>
        <w:pStyle w:val="10"/>
      </w:pPr>
      <w:r>
        <w:rPr>
          <w:rFonts w:hint="eastAsia"/>
        </w:rPr>
        <w:t>如果您为</w:t>
      </w:r>
      <w:r>
        <w:rPr>
          <w:rFonts w:ascii="Helvetica" w:hAnsi="Helvetica" w:cs="Helvetica"/>
        </w:rPr>
        <w:t>CLI</w:t>
      </w:r>
      <w:r>
        <w:rPr>
          <w:rFonts w:hint="eastAsia"/>
        </w:rPr>
        <w:t>开发功能并希望访问所构建的版本，请使用以下命令：</w:t>
      </w:r>
    </w:p>
    <w:p w14:paraId="27B8E454" w14:textId="77777777" w:rsidR="00A720EB" w:rsidRDefault="00E10349">
      <w:pPr>
        <w:pStyle w:val="a3"/>
        <w:spacing w:before="1"/>
        <w:rPr>
          <w:sz w:val="13"/>
          <w:lang w:eastAsia="zh-CN"/>
        </w:rPr>
      </w:pPr>
      <w:r>
        <w:pict w14:anchorId="01A75C22">
          <v:group id="_x0000_s4995" style="position:absolute;margin-left:47.85pt;margin-top:9.7pt;width:499.55pt;height:96.45pt;z-index:-15725056;mso-wrap-distance-left:0;mso-wrap-distance-right:0;mso-position-horizontal-relative:page" coordorigin="957,194" coordsize="9991,1929">
            <v:shape id="_x0000_s4998" style="position:absolute;left:964;top:201;width:9976;height:1914" coordorigin="965,201" coordsize="9976,1914" path="m10861,201r-9816,l1014,207r-26,17l971,250r-6,31l965,2035r6,31l988,2092r26,17l1045,2115r9816,l10892,2109r25,-17l10935,2066r6,-31l10941,281r-6,-31l10917,224r-25,-17l10861,201xe" fillcolor="#f5f5f5" stroked="f">
              <v:path arrowok="t"/>
            </v:shape>
            <v:shape id="_x0000_s4997" style="position:absolute;left:964;top:201;width:9976;height:1914" coordorigin="965,201" coordsize="9976,1914" path="m1045,201r9816,l10892,207r25,17l10935,250r6,31l10941,2035r-6,31l10917,2092r-25,17l10861,2115r-9816,l1014,2109r-26,-17l971,2066r-6,-31l965,281r6,-31l988,224r26,-17l1045,201xe" filled="f" strokecolor="#ccc">
              <v:path arrowok="t"/>
            </v:shape>
            <v:shape id="_x0000_s4996" type="#_x0000_t202" style="position:absolute;left:984;top:216;width:9938;height:1884" filled="f" stroked="f">
              <v:textbox inset="0,0,0,0">
                <w:txbxContent>
                  <w:p w14:paraId="1A4796BE" w14:textId="77777777" w:rsidR="00711A16" w:rsidRDefault="00711A16">
                    <w:pPr>
                      <w:spacing w:before="221" w:line="252" w:lineRule="auto"/>
                      <w:ind w:left="200" w:right="384"/>
                      <w:rPr>
                        <w:rFonts w:ascii="MS Gothic"/>
                      </w:rPr>
                    </w:pPr>
                    <w:r>
                      <w:rPr>
                        <w:rFonts w:ascii="MS Gothic"/>
                        <w:color w:val="333333"/>
                      </w:rPr>
                      <w:t>$ sdk install springboot dev /path/to/spring-boot/spring-boot-cli/target/spring-boot- cli-2.3.4.RELEASE-bin/spring-2.3.4.RELEASE/</w:t>
                    </w:r>
                  </w:p>
                  <w:p w14:paraId="476EC65F" w14:textId="77777777" w:rsidR="00711A16" w:rsidRDefault="00711A16">
                    <w:pPr>
                      <w:spacing w:line="280" w:lineRule="exact"/>
                      <w:ind w:left="200"/>
                      <w:rPr>
                        <w:rFonts w:ascii="MS Gothic"/>
                      </w:rPr>
                    </w:pPr>
                    <w:r>
                      <w:rPr>
                        <w:rFonts w:ascii="MS Gothic"/>
                        <w:color w:val="333333"/>
                      </w:rPr>
                      <w:t>$ sdk default springboot dev</w:t>
                    </w:r>
                  </w:p>
                  <w:p w14:paraId="7FBD120F" w14:textId="77777777" w:rsidR="00711A16" w:rsidRDefault="00711A16">
                    <w:pPr>
                      <w:spacing w:before="13"/>
                      <w:ind w:left="200"/>
                      <w:rPr>
                        <w:rFonts w:ascii="MS Gothic"/>
                      </w:rPr>
                    </w:pPr>
                    <w:r>
                      <w:rPr>
                        <w:rFonts w:ascii="MS Gothic"/>
                        <w:color w:val="333333"/>
                      </w:rPr>
                      <w:t>$ spring --version</w:t>
                    </w:r>
                  </w:p>
                  <w:p w14:paraId="136ACAB4" w14:textId="77777777" w:rsidR="00711A16" w:rsidRDefault="00711A16">
                    <w:pPr>
                      <w:spacing w:before="13"/>
                      <w:ind w:left="200"/>
                      <w:rPr>
                        <w:rFonts w:ascii="MS Gothic"/>
                      </w:rPr>
                    </w:pPr>
                    <w:r>
                      <w:rPr>
                        <w:rFonts w:ascii="MS Gothic"/>
                        <w:color w:val="333333"/>
                      </w:rPr>
                      <w:t>Spring CLI v2.3.</w:t>
                    </w:r>
                    <w:proofErr w:type="gramStart"/>
                    <w:r>
                      <w:rPr>
                        <w:rFonts w:ascii="MS Gothic"/>
                        <w:color w:val="333333"/>
                      </w:rPr>
                      <w:t>4.RELEASE</w:t>
                    </w:r>
                    <w:proofErr w:type="gramEnd"/>
                  </w:p>
                </w:txbxContent>
              </v:textbox>
            </v:shape>
            <w10:wrap type="topAndBottom" anchorx="page"/>
          </v:group>
        </w:pict>
      </w:r>
    </w:p>
    <w:p w14:paraId="7B1C2BA0" w14:textId="77777777" w:rsidR="00A720EB" w:rsidRDefault="00A720EB">
      <w:pPr>
        <w:pStyle w:val="a3"/>
        <w:spacing w:before="11"/>
        <w:rPr>
          <w:sz w:val="9"/>
          <w:lang w:eastAsia="zh-CN"/>
        </w:rPr>
      </w:pPr>
    </w:p>
    <w:p w14:paraId="02C29369" w14:textId="01B11A95" w:rsidR="00A720EB" w:rsidRDefault="0030286B">
      <w:pPr>
        <w:pStyle w:val="a3"/>
        <w:spacing w:before="115" w:line="280" w:lineRule="auto"/>
        <w:ind w:left="124"/>
        <w:rPr>
          <w:color w:val="333333"/>
          <w:w w:val="110"/>
        </w:rPr>
      </w:pPr>
      <w:r>
        <w:rPr>
          <w:color w:val="333333"/>
          <w:w w:val="110"/>
        </w:rPr>
        <w:t xml:space="preserve">The preceding instructions install a local instance of </w:t>
      </w:r>
      <w:r>
        <w:rPr>
          <w:rFonts w:ascii="MS Gothic"/>
          <w:color w:val="B02045"/>
          <w:w w:val="110"/>
        </w:rPr>
        <w:t xml:space="preserve">spring </w:t>
      </w:r>
      <w:r>
        <w:rPr>
          <w:color w:val="333333"/>
          <w:w w:val="110"/>
        </w:rPr>
        <w:t xml:space="preserve">called the </w:t>
      </w:r>
      <w:r>
        <w:rPr>
          <w:rFonts w:ascii="MS Gothic"/>
          <w:color w:val="B02045"/>
          <w:w w:val="110"/>
        </w:rPr>
        <w:t xml:space="preserve">dev </w:t>
      </w:r>
      <w:r>
        <w:rPr>
          <w:color w:val="333333"/>
          <w:w w:val="110"/>
        </w:rPr>
        <w:t xml:space="preserve">instance. It points at your target build location, so every time you rebuild Spring Boot, </w:t>
      </w:r>
      <w:r>
        <w:rPr>
          <w:rFonts w:ascii="MS Gothic"/>
          <w:color w:val="B02045"/>
          <w:w w:val="110"/>
        </w:rPr>
        <w:t xml:space="preserve">spring </w:t>
      </w:r>
      <w:r>
        <w:rPr>
          <w:color w:val="333333"/>
          <w:w w:val="110"/>
        </w:rPr>
        <w:t>is up-to-date.</w:t>
      </w:r>
    </w:p>
    <w:p w14:paraId="02557257" w14:textId="1974C00D" w:rsidR="00E47563" w:rsidRDefault="00E47563" w:rsidP="00E47563">
      <w:pPr>
        <w:pStyle w:val="10"/>
      </w:pPr>
      <w:r>
        <w:t>前面的说明安装了一个名为dev实例的Spring本地实例。 它指向您的目标构建位置，因此每次您重新构建Spring Boot时，Spring都是最新的。</w:t>
      </w:r>
    </w:p>
    <w:p w14:paraId="7D9DE767" w14:textId="77777777" w:rsidR="00A720EB" w:rsidRDefault="00A720EB">
      <w:pPr>
        <w:pStyle w:val="a3"/>
        <w:spacing w:before="6"/>
      </w:pPr>
    </w:p>
    <w:p w14:paraId="0A7E31E8" w14:textId="6440E52B" w:rsidR="00E47563" w:rsidRPr="00E47563" w:rsidRDefault="0030286B" w:rsidP="00E47563">
      <w:pPr>
        <w:pStyle w:val="a3"/>
        <w:ind w:left="124"/>
      </w:pPr>
      <w:r>
        <w:rPr>
          <w:color w:val="333333"/>
          <w:w w:val="110"/>
        </w:rPr>
        <w:t>You can see it by running the following command:</w:t>
      </w:r>
    </w:p>
    <w:p w14:paraId="30556896" w14:textId="77777777" w:rsidR="00E47563" w:rsidRDefault="00E47563" w:rsidP="00E47563">
      <w:pPr>
        <w:pStyle w:val="10"/>
      </w:pPr>
      <w:r>
        <w:t>你可以通过运行以下命令来查看它:</w:t>
      </w:r>
    </w:p>
    <w:p w14:paraId="3773314D" w14:textId="0B139D17" w:rsidR="00A720EB" w:rsidRDefault="00E10349">
      <w:pPr>
        <w:pStyle w:val="a3"/>
        <w:rPr>
          <w:sz w:val="19"/>
          <w:lang w:eastAsia="zh-CN"/>
        </w:rPr>
      </w:pPr>
      <w:r>
        <w:pict w14:anchorId="0C86367B">
          <v:group id="_x0000_s4991" style="position:absolute;margin-left:47.85pt;margin-top:13.15pt;width:499.55pt;height:214.4pt;z-index:-15724544;mso-wrap-distance-left:0;mso-wrap-distance-right:0;mso-position-horizontal-relative:page" coordorigin="957,263" coordsize="9991,4288">
            <v:shape id="_x0000_s4994" style="position:absolute;left:964;top:270;width:9976;height:4273" coordorigin="965,270" coordsize="9976,4273" path="m10861,270r-9816,l1014,277r-26,17l971,319r-6,31l965,4463r6,31l988,4519r26,17l1045,4543r9816,l10892,4536r25,-17l10935,4494r6,-31l10941,350r-6,-31l10917,294r-25,-17l10861,270xe" fillcolor="#f5f5f5" stroked="f">
              <v:path arrowok="t"/>
            </v:shape>
            <v:shape id="_x0000_s4993" style="position:absolute;left:964;top:270;width:9976;height:4273" coordorigin="965,270" coordsize="9976,4273" path="m1045,270r9816,l10892,277r25,17l10935,319r6,31l10941,4463r-6,31l10917,4519r-25,17l10861,4543r-9816,l1014,4536r-26,-17l971,4494r-6,-31l965,350r6,-31l988,294r26,-17l1045,270xe" filled="f" strokecolor="#ccc">
              <v:path arrowok="t"/>
            </v:shape>
            <v:shape id="_x0000_s4992" type="#_x0000_t202" style="position:absolute;left:984;top:285;width:9938;height:4242" filled="f" stroked="f">
              <v:textbox inset="0,0,0,0">
                <w:txbxContent>
                  <w:p w14:paraId="2A02D656" w14:textId="77777777" w:rsidR="00711A16" w:rsidRDefault="00711A16">
                    <w:pPr>
                      <w:spacing w:before="221"/>
                      <w:ind w:left="200"/>
                      <w:rPr>
                        <w:rFonts w:ascii="MS Gothic"/>
                      </w:rPr>
                    </w:pPr>
                    <w:r>
                      <w:rPr>
                        <w:rFonts w:ascii="MS Gothic"/>
                        <w:color w:val="333333"/>
                      </w:rPr>
                      <w:t>$ sdk ls springboot</w:t>
                    </w:r>
                  </w:p>
                  <w:p w14:paraId="49E57098" w14:textId="77777777" w:rsidR="00711A16" w:rsidRDefault="00711A16">
                    <w:pPr>
                      <w:rPr>
                        <w:rFonts w:ascii="MS Gothic"/>
                        <w:sz w:val="24"/>
                      </w:rPr>
                    </w:pPr>
                  </w:p>
                  <w:p w14:paraId="021D4F6A" w14:textId="77777777" w:rsidR="00711A16" w:rsidRDefault="00711A16">
                    <w:pPr>
                      <w:ind w:left="200"/>
                      <w:rPr>
                        <w:rFonts w:ascii="MS Gothic"/>
                      </w:rPr>
                    </w:pPr>
                    <w:r>
                      <w:rPr>
                        <w:rFonts w:ascii="MS Gothic"/>
                        <w:color w:val="333333"/>
                      </w:rPr>
                      <w:t>================================================================================</w:t>
                    </w:r>
                  </w:p>
                  <w:p w14:paraId="397C40F8" w14:textId="77777777" w:rsidR="00711A16" w:rsidRDefault="00711A16">
                    <w:pPr>
                      <w:spacing w:before="13"/>
                      <w:ind w:left="200"/>
                      <w:rPr>
                        <w:rFonts w:ascii="MS Gothic"/>
                      </w:rPr>
                    </w:pPr>
                    <w:r>
                      <w:rPr>
                        <w:rFonts w:ascii="MS Gothic"/>
                        <w:color w:val="333333"/>
                      </w:rPr>
                      <w:t>Available Springboot Versions</w:t>
                    </w:r>
                  </w:p>
                  <w:p w14:paraId="6ED52B0E" w14:textId="77777777" w:rsidR="00711A16" w:rsidRDefault="00711A16">
                    <w:pPr>
                      <w:spacing w:before="13"/>
                      <w:ind w:left="200"/>
                      <w:rPr>
                        <w:rFonts w:ascii="MS Gothic"/>
                      </w:rPr>
                    </w:pPr>
                    <w:r>
                      <w:rPr>
                        <w:rFonts w:ascii="MS Gothic"/>
                        <w:color w:val="333333"/>
                      </w:rPr>
                      <w:t>================================================================================</w:t>
                    </w:r>
                  </w:p>
                  <w:p w14:paraId="02E1BB70" w14:textId="77777777" w:rsidR="00711A16" w:rsidRDefault="00711A16">
                    <w:pPr>
                      <w:spacing w:before="13"/>
                      <w:ind w:left="200"/>
                      <w:rPr>
                        <w:rFonts w:ascii="MS Gothic"/>
                      </w:rPr>
                    </w:pPr>
                    <w:r>
                      <w:rPr>
                        <w:rFonts w:ascii="MS Gothic"/>
                        <w:color w:val="333333"/>
                      </w:rPr>
                      <w:t>&gt; + dev</w:t>
                    </w:r>
                  </w:p>
                  <w:p w14:paraId="28E07B33" w14:textId="77777777" w:rsidR="00711A16" w:rsidRDefault="00711A16">
                    <w:pPr>
                      <w:numPr>
                        <w:ilvl w:val="0"/>
                        <w:numId w:val="76"/>
                      </w:numPr>
                      <w:tabs>
                        <w:tab w:val="left" w:pos="421"/>
                      </w:tabs>
                      <w:spacing w:before="13"/>
                      <w:ind w:hanging="221"/>
                      <w:rPr>
                        <w:rFonts w:ascii="MS Gothic"/>
                      </w:rPr>
                    </w:pPr>
                    <w:r>
                      <w:rPr>
                        <w:rFonts w:ascii="MS Gothic"/>
                        <w:color w:val="333333"/>
                      </w:rPr>
                      <w:t>2.3.</w:t>
                    </w:r>
                    <w:proofErr w:type="gramStart"/>
                    <w:r>
                      <w:rPr>
                        <w:rFonts w:ascii="MS Gothic"/>
                        <w:color w:val="333333"/>
                      </w:rPr>
                      <w:t>4.RELEASE</w:t>
                    </w:r>
                    <w:proofErr w:type="gramEnd"/>
                  </w:p>
                  <w:p w14:paraId="46E32042" w14:textId="77777777" w:rsidR="00711A16" w:rsidRDefault="00711A16">
                    <w:pPr>
                      <w:rPr>
                        <w:rFonts w:ascii="MS Gothic"/>
                        <w:sz w:val="24"/>
                      </w:rPr>
                    </w:pPr>
                  </w:p>
                  <w:p w14:paraId="12594E75" w14:textId="77777777" w:rsidR="00711A16" w:rsidRDefault="00711A16">
                    <w:pPr>
                      <w:ind w:left="200"/>
                      <w:rPr>
                        <w:rFonts w:ascii="MS Gothic"/>
                      </w:rPr>
                    </w:pPr>
                    <w:r>
                      <w:rPr>
                        <w:rFonts w:ascii="MS Gothic"/>
                        <w:color w:val="333333"/>
                      </w:rPr>
                      <w:t>================================================================================</w:t>
                    </w:r>
                  </w:p>
                  <w:p w14:paraId="0723A71D" w14:textId="77777777" w:rsidR="00711A16" w:rsidRDefault="00711A16">
                    <w:pPr>
                      <w:spacing w:before="13"/>
                      <w:ind w:left="200"/>
                      <w:rPr>
                        <w:rFonts w:ascii="MS Gothic"/>
                      </w:rPr>
                    </w:pPr>
                    <w:r>
                      <w:rPr>
                        <w:rFonts w:ascii="MS Gothic"/>
                        <w:color w:val="333333"/>
                      </w:rPr>
                      <w:t>+ - local version</w:t>
                    </w:r>
                  </w:p>
                  <w:p w14:paraId="7DCEB762" w14:textId="77777777" w:rsidR="00711A16" w:rsidRDefault="00711A16">
                    <w:pPr>
                      <w:numPr>
                        <w:ilvl w:val="0"/>
                        <w:numId w:val="76"/>
                      </w:numPr>
                      <w:tabs>
                        <w:tab w:val="left" w:pos="421"/>
                      </w:tabs>
                      <w:spacing w:before="13"/>
                      <w:ind w:hanging="221"/>
                      <w:rPr>
                        <w:rFonts w:ascii="MS Gothic"/>
                      </w:rPr>
                    </w:pPr>
                    <w:r>
                      <w:rPr>
                        <w:rFonts w:ascii="MS Gothic"/>
                        <w:color w:val="333333"/>
                      </w:rPr>
                      <w:t>- installed</w:t>
                    </w:r>
                  </w:p>
                  <w:p w14:paraId="7E5E1F1D" w14:textId="77777777" w:rsidR="00711A16" w:rsidRDefault="00711A16">
                    <w:pPr>
                      <w:numPr>
                        <w:ilvl w:val="0"/>
                        <w:numId w:val="75"/>
                      </w:numPr>
                      <w:tabs>
                        <w:tab w:val="left" w:pos="421"/>
                      </w:tabs>
                      <w:spacing w:before="13"/>
                      <w:ind w:hanging="221"/>
                      <w:rPr>
                        <w:rFonts w:ascii="MS Gothic"/>
                      </w:rPr>
                    </w:pPr>
                    <w:r>
                      <w:rPr>
                        <w:rFonts w:ascii="MS Gothic"/>
                        <w:color w:val="333333"/>
                      </w:rPr>
                      <w:t>- currently in use</w:t>
                    </w:r>
                  </w:p>
                  <w:p w14:paraId="7BDC86C1"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59372A4B" w14:textId="77777777" w:rsidR="00A720EB" w:rsidRDefault="00A720EB">
      <w:pPr>
        <w:pStyle w:val="a3"/>
        <w:spacing w:before="11"/>
        <w:rPr>
          <w:sz w:val="16"/>
          <w:lang w:eastAsia="zh-CN"/>
        </w:rPr>
      </w:pPr>
    </w:p>
    <w:p w14:paraId="345E587D" w14:textId="77E6C5B4" w:rsidR="00A720EB" w:rsidRPr="00E47563" w:rsidRDefault="0030286B">
      <w:pPr>
        <w:pStyle w:val="4"/>
        <w:spacing w:before="104"/>
        <w:jc w:val="left"/>
        <w:rPr>
          <w:color w:val="333333"/>
          <w:w w:val="110"/>
        </w:rPr>
      </w:pPr>
      <w:bookmarkStart w:id="39" w:name="OSX_Homebrew_Installation"/>
      <w:bookmarkEnd w:id="39"/>
      <w:r>
        <w:rPr>
          <w:color w:val="333333"/>
          <w:w w:val="110"/>
        </w:rPr>
        <w:t>OSX Homebrew Installation</w:t>
      </w:r>
      <w:r w:rsidR="00E47563">
        <w:rPr>
          <w:color w:val="333333"/>
          <w:w w:val="110"/>
        </w:rPr>
        <w:t xml:space="preserve"> </w:t>
      </w:r>
      <w:r w:rsidR="00E47563" w:rsidRPr="00E47563">
        <w:rPr>
          <w:color w:val="E36C0A" w:themeColor="accent6" w:themeShade="BF"/>
          <w:w w:val="110"/>
        </w:rPr>
        <w:t>OSX Homebrew</w:t>
      </w:r>
      <w:r w:rsidR="00E47563" w:rsidRPr="00E47563">
        <w:rPr>
          <w:rFonts w:ascii="宋体" w:eastAsia="宋体" w:hAnsi="宋体" w:cs="宋体" w:hint="eastAsia"/>
          <w:color w:val="E36C0A" w:themeColor="accent6" w:themeShade="BF"/>
          <w:w w:val="110"/>
        </w:rPr>
        <w:t>安装</w:t>
      </w:r>
    </w:p>
    <w:p w14:paraId="227573B3" w14:textId="77777777" w:rsidR="00A720EB" w:rsidRDefault="00A720EB">
      <w:pPr>
        <w:pStyle w:val="a3"/>
        <w:spacing w:before="11"/>
        <w:rPr>
          <w:rFonts w:ascii="Palatino Linotype"/>
          <w:b/>
          <w:sz w:val="18"/>
        </w:rPr>
      </w:pPr>
    </w:p>
    <w:p w14:paraId="0EE46E06" w14:textId="1195DE23" w:rsidR="00A720EB" w:rsidRDefault="0030286B">
      <w:pPr>
        <w:pStyle w:val="a3"/>
        <w:spacing w:line="307" w:lineRule="auto"/>
        <w:ind w:left="124"/>
        <w:rPr>
          <w:color w:val="333333"/>
          <w:w w:val="110"/>
        </w:rPr>
      </w:pPr>
      <w:r>
        <w:rPr>
          <w:color w:val="333333"/>
          <w:w w:val="110"/>
        </w:rPr>
        <w:lastRenderedPageBreak/>
        <w:t xml:space="preserve">If you are on a Mac and use </w:t>
      </w:r>
      <w:hyperlink r:id="rId45">
        <w:r>
          <w:rPr>
            <w:color w:val="418BCA"/>
            <w:w w:val="110"/>
          </w:rPr>
          <w:t>Homebrew</w:t>
        </w:r>
      </w:hyperlink>
      <w:r>
        <w:rPr>
          <w:color w:val="333333"/>
          <w:w w:val="110"/>
        </w:rPr>
        <w:t>, you can install the Spring Boot CLI by using the following commands:</w:t>
      </w:r>
    </w:p>
    <w:p w14:paraId="3D77A348" w14:textId="1D9CCC0B" w:rsidR="00E47563" w:rsidRDefault="00E47563" w:rsidP="00E47563">
      <w:pPr>
        <w:pStyle w:val="10"/>
      </w:pPr>
      <w:r>
        <w:rPr>
          <w:rFonts w:hint="eastAsia"/>
        </w:rPr>
        <w:t>如果您在</w:t>
      </w:r>
      <w:r>
        <w:t>Mac</w:t>
      </w:r>
      <w:r>
        <w:rPr>
          <w:rFonts w:hint="eastAsia"/>
        </w:rPr>
        <w:t>上并且使用</w:t>
      </w:r>
      <w:r>
        <w:t>Homebrew</w:t>
      </w:r>
      <w:r>
        <w:rPr>
          <w:rFonts w:hint="eastAsia"/>
        </w:rPr>
        <w:t>，则可以使用以下命令来安装</w:t>
      </w:r>
      <w:r>
        <w:t>Spring Boot CLI</w:t>
      </w:r>
      <w:r>
        <w:rPr>
          <w:rFonts w:hint="eastAsia"/>
        </w:rPr>
        <w:t>：</w:t>
      </w:r>
    </w:p>
    <w:p w14:paraId="6C5DA768" w14:textId="77777777" w:rsidR="00A720EB" w:rsidRDefault="00E10349">
      <w:pPr>
        <w:pStyle w:val="a3"/>
        <w:spacing w:before="2"/>
        <w:rPr>
          <w:sz w:val="13"/>
        </w:rPr>
      </w:pPr>
      <w:r>
        <w:pict w14:anchorId="13E4D405">
          <v:group id="_x0000_s4987" style="position:absolute;margin-left:47.85pt;margin-top:9.7pt;width:499.55pt;height:52.25pt;z-index:-15724032;mso-wrap-distance-left:0;mso-wrap-distance-right:0;mso-position-horizontal-relative:page" coordorigin="957,194" coordsize="9991,1045">
            <v:shape id="_x0000_s4990" style="position:absolute;left:964;top:201;width:9976;height:1030" coordorigin="965,202" coordsize="9976,1030" path="m10861,202r-9816,l1014,208r-26,17l971,251r-6,31l965,1151r6,32l988,1208r26,17l1045,1231r9816,l10892,1225r25,-17l10935,1183r6,-32l10941,282r-6,-31l10917,225r-25,-17l10861,202xe" fillcolor="#f5f5f5" stroked="f">
              <v:path arrowok="t"/>
            </v:shape>
            <v:shape id="_x0000_s4989" style="position:absolute;left:964;top:201;width:9976;height:1030" coordorigin="965,202" coordsize="9976,1030" path="m1045,202r9816,l10892,208r25,17l10935,251r6,31l10941,1151r-6,32l10917,1208r-25,17l10861,1231r-9816,l1014,1225r-26,-17l971,1183r-6,-32l965,282r6,-31l988,225r26,-17l1045,202xe" filled="f" strokecolor="#ccc">
              <v:path arrowok="t"/>
            </v:shape>
            <v:shape id="_x0000_s4988" type="#_x0000_t202" style="position:absolute;left:984;top:217;width:9938;height:999" filled="f" stroked="f">
              <v:textbox inset="0,0,0,0">
                <w:txbxContent>
                  <w:p w14:paraId="3B076BD4" w14:textId="77777777" w:rsidR="00711A16" w:rsidRDefault="00711A16">
                    <w:pPr>
                      <w:spacing w:before="221"/>
                      <w:ind w:left="200"/>
                      <w:rPr>
                        <w:rFonts w:ascii="MS Gothic"/>
                      </w:rPr>
                    </w:pPr>
                    <w:r>
                      <w:rPr>
                        <w:rFonts w:ascii="MS Gothic"/>
                        <w:color w:val="333333"/>
                      </w:rPr>
                      <w:t>$ brew tap pivotal/tap</w:t>
                    </w:r>
                  </w:p>
                  <w:p w14:paraId="26C07F48" w14:textId="77777777" w:rsidR="00711A16" w:rsidRDefault="00711A16">
                    <w:pPr>
                      <w:spacing w:before="13"/>
                      <w:ind w:left="200"/>
                      <w:rPr>
                        <w:rFonts w:ascii="MS Gothic"/>
                      </w:rPr>
                    </w:pPr>
                    <w:r>
                      <w:rPr>
                        <w:rFonts w:ascii="MS Gothic"/>
                        <w:color w:val="333333"/>
                      </w:rPr>
                      <w:t>$ brew install springboot</w:t>
                    </w:r>
                  </w:p>
                </w:txbxContent>
              </v:textbox>
            </v:shape>
            <w10:wrap type="topAndBottom" anchorx="page"/>
          </v:group>
        </w:pict>
      </w:r>
    </w:p>
    <w:p w14:paraId="5FEC28B5" w14:textId="77777777" w:rsidR="00A720EB" w:rsidRDefault="00A720EB">
      <w:pPr>
        <w:pStyle w:val="a3"/>
        <w:spacing w:before="11"/>
        <w:rPr>
          <w:sz w:val="9"/>
        </w:rPr>
      </w:pPr>
    </w:p>
    <w:p w14:paraId="01E27F33" w14:textId="25C28EE3" w:rsidR="00A720EB" w:rsidRDefault="0030286B">
      <w:pPr>
        <w:pStyle w:val="a3"/>
        <w:spacing w:before="115"/>
        <w:ind w:left="124"/>
        <w:rPr>
          <w:color w:val="333333"/>
          <w:w w:val="105"/>
        </w:rPr>
      </w:pPr>
      <w:r>
        <w:rPr>
          <w:color w:val="333333"/>
          <w:w w:val="105"/>
        </w:rPr>
        <w:t xml:space="preserve">Homebrew installs </w:t>
      </w:r>
      <w:r>
        <w:rPr>
          <w:rFonts w:ascii="MS Gothic"/>
          <w:color w:val="B02045"/>
          <w:w w:val="105"/>
        </w:rPr>
        <w:t xml:space="preserve">spring </w:t>
      </w:r>
      <w:r>
        <w:rPr>
          <w:color w:val="333333"/>
          <w:w w:val="105"/>
        </w:rPr>
        <w:t xml:space="preserve">to </w:t>
      </w:r>
      <w:r>
        <w:rPr>
          <w:rFonts w:ascii="MS Gothic"/>
          <w:color w:val="B02045"/>
          <w:w w:val="105"/>
        </w:rPr>
        <w:t>/usr/local/bin</w:t>
      </w:r>
      <w:r>
        <w:rPr>
          <w:color w:val="333333"/>
          <w:w w:val="105"/>
        </w:rPr>
        <w:t>.</w:t>
      </w:r>
    </w:p>
    <w:p w14:paraId="33F07461" w14:textId="2C688405" w:rsidR="00DF3D55" w:rsidRDefault="00DF3D55" w:rsidP="00DF3D55">
      <w:pPr>
        <w:pStyle w:val="10"/>
      </w:pPr>
      <w:r>
        <w:t>Homebrew</w:t>
      </w:r>
      <w:r>
        <w:rPr>
          <w:rFonts w:hint="eastAsia"/>
        </w:rPr>
        <w:t>将</w:t>
      </w:r>
      <w:r>
        <w:t>Spring</w:t>
      </w:r>
      <w:r>
        <w:rPr>
          <w:rFonts w:hint="eastAsia"/>
        </w:rPr>
        <w:t>安装到</w:t>
      </w:r>
      <w:r>
        <w:t>/usr/local/bin</w:t>
      </w:r>
      <w:r>
        <w:rPr>
          <w:rFonts w:hint="eastAsia"/>
        </w:rPr>
        <w:t>。</w:t>
      </w:r>
    </w:p>
    <w:p w14:paraId="69367A07" w14:textId="77777777" w:rsidR="00A720EB" w:rsidRDefault="00A720EB">
      <w:pPr>
        <w:pStyle w:val="a3"/>
        <w:spacing w:before="2"/>
        <w:rPr>
          <w:sz w:val="32"/>
        </w:rPr>
      </w:pPr>
    </w:p>
    <w:p w14:paraId="4EF251C4" w14:textId="3AAB1506" w:rsidR="00A720EB" w:rsidRDefault="00E10349" w:rsidP="00D72310">
      <w:pPr>
        <w:pStyle w:val="a3"/>
        <w:spacing w:line="297" w:lineRule="auto"/>
        <w:ind w:left="1564" w:right="638"/>
      </w:pPr>
      <w:r>
        <w:pict w14:anchorId="4CA67FCC">
          <v:line id="_x0000_s4986" style="position:absolute;left:0;text-align:left;z-index:15733760;mso-position-horizontal-relative:page" from="108.25pt,-6pt" to="108.25pt,33.55pt" strokecolor="#ededed" strokeweight=".5pt">
            <w10:wrap anchorx="page"/>
          </v:line>
        </w:pict>
      </w:r>
      <w:r w:rsidR="0030286B">
        <w:rPr>
          <w:noProof/>
        </w:rPr>
        <w:drawing>
          <wp:anchor distT="0" distB="0" distL="0" distR="0" simplePos="0" relativeHeight="15734272" behindDoc="0" locked="0" layoutInCell="1" allowOverlap="1" wp14:anchorId="2A818B3E" wp14:editId="46C78850">
            <wp:simplePos x="0" y="0"/>
            <wp:positionH relativeFrom="page">
              <wp:posOffset>844422</wp:posOffset>
            </wp:positionH>
            <wp:positionV relativeFrom="paragraph">
              <wp:posOffset>25946</wp:posOffset>
            </wp:positionV>
            <wp:extent cx="298450" cy="29845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do not see the formula, your installation of brew might be out-of-date. In  </w:t>
      </w:r>
      <w:r w:rsidR="0030286B">
        <w:rPr>
          <w:color w:val="333333"/>
          <w:spacing w:val="50"/>
          <w:w w:val="110"/>
        </w:rPr>
        <w:t xml:space="preserve"> </w:t>
      </w:r>
      <w:r w:rsidR="0030286B">
        <w:rPr>
          <w:color w:val="333333"/>
          <w:w w:val="110"/>
        </w:rPr>
        <w:t xml:space="preserve">that case, run </w:t>
      </w:r>
      <w:r w:rsidR="0030286B">
        <w:rPr>
          <w:rFonts w:ascii="MS Gothic"/>
          <w:color w:val="B02045"/>
          <w:w w:val="110"/>
        </w:rPr>
        <w:t>brew update</w:t>
      </w:r>
      <w:r w:rsidR="0030286B">
        <w:rPr>
          <w:rFonts w:ascii="MS Gothic"/>
          <w:color w:val="B02045"/>
          <w:spacing w:val="-63"/>
          <w:w w:val="110"/>
        </w:rPr>
        <w:t xml:space="preserve"> </w:t>
      </w:r>
      <w:r w:rsidR="0030286B">
        <w:rPr>
          <w:color w:val="333333"/>
          <w:w w:val="110"/>
        </w:rPr>
        <w:t>and try again.</w:t>
      </w:r>
    </w:p>
    <w:p w14:paraId="31575417" w14:textId="634C2708" w:rsidR="003849F7" w:rsidRDefault="00D72310" w:rsidP="003849F7">
      <w:pPr>
        <w:pStyle w:val="10"/>
        <w:rPr>
          <w:color w:val="333333"/>
        </w:rPr>
      </w:pPr>
      <w:r>
        <w:rPr>
          <w:rFonts w:hint="eastAsia"/>
        </w:rPr>
        <w:t>如果看不到该公式，则说明</w:t>
      </w:r>
      <w:r>
        <w:rPr>
          <w:rFonts w:ascii="Helvetica" w:hAnsi="Helvetica" w:cs="Helvetica"/>
        </w:rPr>
        <w:t>brew</w:t>
      </w:r>
      <w:r w:rsidRPr="00D72310">
        <w:rPr>
          <w:rStyle w:val="11"/>
        </w:rPr>
        <w:t>的</w:t>
      </w:r>
      <w:r>
        <w:rPr>
          <w:rFonts w:hint="eastAsia"/>
        </w:rPr>
        <w:t>安装可能已过期。</w:t>
      </w:r>
      <w:r>
        <w:rPr>
          <w:rFonts w:ascii="Helvetica" w:hAnsi="Helvetica" w:cs="Helvetica"/>
        </w:rPr>
        <w:t xml:space="preserve"> </w:t>
      </w:r>
      <w:r>
        <w:rPr>
          <w:rFonts w:hint="eastAsia"/>
        </w:rPr>
        <w:t>在这种情况下，请运行</w:t>
      </w:r>
      <w:r w:rsidR="00016FAE" w:rsidRPr="00016FAE">
        <w:rPr>
          <w:rFonts w:ascii="Helvetica" w:hAnsi="Helvetica" w:cs="Helvetica"/>
        </w:rPr>
        <w:t>brew update</w:t>
      </w:r>
      <w:r>
        <w:rPr>
          <w:rFonts w:hint="eastAsia"/>
        </w:rPr>
        <w:t>，然后重试。</w:t>
      </w:r>
      <w:bookmarkStart w:id="40" w:name="MacPorts_Installation"/>
      <w:bookmarkEnd w:id="40"/>
    </w:p>
    <w:p w14:paraId="3ABBD048" w14:textId="7FFD3E98" w:rsidR="00A720EB" w:rsidRPr="00D72310" w:rsidRDefault="0030286B">
      <w:pPr>
        <w:pStyle w:val="4"/>
        <w:spacing w:before="86"/>
        <w:jc w:val="left"/>
        <w:rPr>
          <w:color w:val="E36C0A" w:themeColor="accent6" w:themeShade="BF"/>
          <w:w w:val="110"/>
        </w:rPr>
      </w:pPr>
      <w:r>
        <w:rPr>
          <w:color w:val="333333"/>
          <w:w w:val="110"/>
        </w:rPr>
        <w:t>MacPorts Installation</w:t>
      </w:r>
      <w:r w:rsidR="00D72310">
        <w:rPr>
          <w:color w:val="333333"/>
          <w:w w:val="110"/>
        </w:rPr>
        <w:t xml:space="preserve"> </w:t>
      </w:r>
      <w:r w:rsidR="00D72310" w:rsidRPr="00D72310">
        <w:rPr>
          <w:color w:val="E36C0A" w:themeColor="accent6" w:themeShade="BF"/>
          <w:w w:val="110"/>
        </w:rPr>
        <w:t>MacPorts</w:t>
      </w:r>
      <w:r w:rsidR="00D72310" w:rsidRPr="00D72310">
        <w:rPr>
          <w:rFonts w:ascii="宋体" w:eastAsia="宋体" w:hAnsi="宋体" w:cs="宋体" w:hint="eastAsia"/>
          <w:color w:val="E36C0A" w:themeColor="accent6" w:themeShade="BF"/>
          <w:w w:val="110"/>
        </w:rPr>
        <w:t>安装</w:t>
      </w:r>
    </w:p>
    <w:p w14:paraId="52322E26" w14:textId="77777777" w:rsidR="00A720EB" w:rsidRDefault="00A720EB">
      <w:pPr>
        <w:pStyle w:val="a3"/>
        <w:spacing w:before="11"/>
        <w:rPr>
          <w:rFonts w:ascii="Palatino Linotype"/>
          <w:b/>
          <w:sz w:val="18"/>
        </w:rPr>
      </w:pPr>
    </w:p>
    <w:p w14:paraId="6A215965" w14:textId="499CDE69" w:rsidR="00A720EB" w:rsidRDefault="0030286B">
      <w:pPr>
        <w:pStyle w:val="a3"/>
        <w:spacing w:line="307" w:lineRule="auto"/>
        <w:ind w:left="124"/>
        <w:rPr>
          <w:color w:val="333333"/>
          <w:w w:val="110"/>
        </w:rPr>
      </w:pPr>
      <w:r>
        <w:rPr>
          <w:color w:val="333333"/>
          <w:w w:val="110"/>
        </w:rPr>
        <w:t xml:space="preserve">If you are on a Mac and use </w:t>
      </w:r>
      <w:hyperlink r:id="rId46">
        <w:r>
          <w:rPr>
            <w:color w:val="418BCA"/>
            <w:w w:val="110"/>
          </w:rPr>
          <w:t>MacPorts</w:t>
        </w:r>
      </w:hyperlink>
      <w:r>
        <w:rPr>
          <w:color w:val="333333"/>
          <w:w w:val="110"/>
        </w:rPr>
        <w:t>, you can install the Spring Boot CLI by using the following command:</w:t>
      </w:r>
    </w:p>
    <w:p w14:paraId="220D4401" w14:textId="2B78B420" w:rsidR="00D72310" w:rsidRDefault="00D72310" w:rsidP="00D72310">
      <w:pPr>
        <w:pStyle w:val="10"/>
      </w:pPr>
      <w:r>
        <w:rPr>
          <w:rFonts w:hint="eastAsia"/>
        </w:rPr>
        <w:t>如果您在</w:t>
      </w:r>
      <w:r>
        <w:t>Mac</w:t>
      </w:r>
      <w:r>
        <w:rPr>
          <w:rFonts w:hint="eastAsia"/>
        </w:rPr>
        <w:t>上并且使用</w:t>
      </w:r>
      <w:r>
        <w:t>MacPorts</w:t>
      </w:r>
      <w:r>
        <w:rPr>
          <w:rFonts w:hint="eastAsia"/>
        </w:rPr>
        <w:t>，则可以使用以下命令来安装</w:t>
      </w:r>
      <w:r>
        <w:t>Spring Boot CLI</w:t>
      </w:r>
      <w:r>
        <w:rPr>
          <w:rFonts w:hint="eastAsia"/>
        </w:rPr>
        <w:t>：</w:t>
      </w:r>
    </w:p>
    <w:p w14:paraId="1C6F5F9F" w14:textId="77777777" w:rsidR="00A720EB" w:rsidRDefault="00E10349">
      <w:pPr>
        <w:pStyle w:val="a3"/>
        <w:spacing w:before="2"/>
        <w:rPr>
          <w:sz w:val="13"/>
        </w:rPr>
      </w:pPr>
      <w:r>
        <w:pict w14:anchorId="6FC54724">
          <v:group id="_x0000_s4982" style="position:absolute;margin-left:47.85pt;margin-top:9.7pt;width:499.55pt;height:37.5pt;z-index:-15722496;mso-wrap-distance-left:0;mso-wrap-distance-right:0;mso-position-horizontal-relative:page" coordorigin="957,194" coordsize="9991,750">
            <v:shape id="_x0000_s4985" style="position:absolute;left:964;top:201;width:9976;height:735" coordorigin="965,202" coordsize="9976,735" path="m10861,202r-9816,l1014,208r-26,17l971,250r-6,32l965,856r6,32l988,913r26,17l1045,936r9816,l10892,930r25,-17l10935,888r6,-32l10941,282r-6,-32l10917,225r-25,-17l10861,202xe" fillcolor="#f5f5f5" stroked="f">
              <v:path arrowok="t"/>
            </v:shape>
            <v:shape id="_x0000_s4984" style="position:absolute;left:964;top:201;width:9976;height:735" coordorigin="965,202" coordsize="9976,735" path="m1045,202r9816,l10892,208r25,17l10935,250r6,32l10941,856r-6,32l10917,913r-25,17l10861,936r-9816,l1014,930,988,913,971,888r-6,-32l965,282r6,-32l988,225r26,-17l1045,202xe" filled="f" strokecolor="#ccc">
              <v:path arrowok="t"/>
            </v:shape>
            <v:shape id="_x0000_s4983" type="#_x0000_t202" style="position:absolute;left:984;top:217;width:9938;height:704" filled="f" stroked="f">
              <v:textbox inset="0,0,0,0">
                <w:txbxContent>
                  <w:p w14:paraId="3C80E8BF" w14:textId="77777777" w:rsidR="00711A16" w:rsidRDefault="00711A16">
                    <w:pPr>
                      <w:spacing w:before="221"/>
                      <w:ind w:left="200"/>
                      <w:rPr>
                        <w:rFonts w:ascii="MS Gothic"/>
                      </w:rPr>
                    </w:pPr>
                    <w:r>
                      <w:rPr>
                        <w:rFonts w:ascii="MS Gothic"/>
                        <w:color w:val="333333"/>
                      </w:rPr>
                      <w:t>$ sudo port install spring-boot-cli</w:t>
                    </w:r>
                  </w:p>
                </w:txbxContent>
              </v:textbox>
            </v:shape>
            <w10:wrap type="topAndBottom" anchorx="page"/>
          </v:group>
        </w:pict>
      </w:r>
    </w:p>
    <w:p w14:paraId="77B407C3" w14:textId="77777777" w:rsidR="00A720EB" w:rsidRDefault="00A720EB">
      <w:pPr>
        <w:pStyle w:val="a3"/>
        <w:spacing w:before="11"/>
        <w:rPr>
          <w:sz w:val="16"/>
        </w:rPr>
      </w:pPr>
    </w:p>
    <w:p w14:paraId="509ABC19" w14:textId="6F69622E" w:rsidR="00A720EB" w:rsidRPr="00D72310" w:rsidRDefault="0030286B">
      <w:pPr>
        <w:pStyle w:val="4"/>
        <w:spacing w:before="104"/>
        <w:rPr>
          <w:color w:val="333333"/>
          <w:w w:val="110"/>
        </w:rPr>
      </w:pPr>
      <w:bookmarkStart w:id="41" w:name="Command-line_Completion"/>
      <w:bookmarkEnd w:id="41"/>
      <w:r>
        <w:rPr>
          <w:color w:val="333333"/>
          <w:w w:val="110"/>
        </w:rPr>
        <w:t>Command-line Completion</w:t>
      </w:r>
      <w:r w:rsidR="00D72310">
        <w:rPr>
          <w:color w:val="333333"/>
          <w:w w:val="110"/>
        </w:rPr>
        <w:t xml:space="preserve"> </w:t>
      </w:r>
      <w:r w:rsidR="00D72310" w:rsidRPr="00D72310">
        <w:rPr>
          <w:rStyle w:val="a8"/>
          <w:rFonts w:ascii="宋体" w:eastAsia="宋体" w:hAnsi="宋体" w:cs="宋体" w:hint="eastAsia"/>
        </w:rPr>
        <w:t>命令行完成</w:t>
      </w:r>
    </w:p>
    <w:p w14:paraId="5B2EF973" w14:textId="77777777" w:rsidR="00A720EB" w:rsidRDefault="00A720EB">
      <w:pPr>
        <w:pStyle w:val="a3"/>
        <w:spacing w:before="11"/>
        <w:rPr>
          <w:rFonts w:ascii="Palatino Linotype"/>
          <w:b/>
          <w:sz w:val="18"/>
        </w:rPr>
      </w:pPr>
    </w:p>
    <w:p w14:paraId="34249FF9" w14:textId="14FD4F0D" w:rsidR="00A720EB" w:rsidRDefault="0030286B">
      <w:pPr>
        <w:pStyle w:val="a3"/>
        <w:spacing w:line="288" w:lineRule="auto"/>
        <w:ind w:left="124" w:right="122"/>
        <w:jc w:val="both"/>
        <w:rPr>
          <w:color w:val="333333"/>
          <w:w w:val="110"/>
        </w:rPr>
      </w:pPr>
      <w:r>
        <w:rPr>
          <w:color w:val="333333"/>
          <w:w w:val="110"/>
        </w:rPr>
        <w:t xml:space="preserve">The Spring Boot CLI includes scripts that provide command completion for the </w:t>
      </w:r>
      <w:hyperlink r:id="rId47">
        <w:r>
          <w:rPr>
            <w:color w:val="418BCA"/>
            <w:w w:val="110"/>
          </w:rPr>
          <w:t xml:space="preserve">BASH </w:t>
        </w:r>
      </w:hyperlink>
      <w:r>
        <w:rPr>
          <w:color w:val="333333"/>
          <w:w w:val="110"/>
        </w:rPr>
        <w:t xml:space="preserve">and </w:t>
      </w:r>
      <w:hyperlink r:id="rId48">
        <w:r>
          <w:rPr>
            <w:color w:val="418BCA"/>
            <w:w w:val="110"/>
          </w:rPr>
          <w:t xml:space="preserve">zsh </w:t>
        </w:r>
      </w:hyperlink>
      <w:r>
        <w:rPr>
          <w:color w:val="333333"/>
          <w:w w:val="110"/>
        </w:rPr>
        <w:t xml:space="preserve">shells. You can </w:t>
      </w:r>
      <w:r>
        <w:rPr>
          <w:rFonts w:ascii="MS Gothic"/>
          <w:color w:val="B02045"/>
          <w:w w:val="110"/>
        </w:rPr>
        <w:t xml:space="preserve">source </w:t>
      </w:r>
      <w:r>
        <w:rPr>
          <w:color w:val="333333"/>
          <w:w w:val="110"/>
        </w:rPr>
        <w:t xml:space="preserve">the script (also named </w:t>
      </w:r>
      <w:r>
        <w:rPr>
          <w:rFonts w:ascii="MS Gothic"/>
          <w:color w:val="B02045"/>
          <w:w w:val="110"/>
        </w:rPr>
        <w:t>spring</w:t>
      </w:r>
      <w:r>
        <w:rPr>
          <w:color w:val="333333"/>
          <w:w w:val="110"/>
        </w:rPr>
        <w:t xml:space="preserve">) in any shell or put it in your personal or system-wide bash completion initialization. On a Debian system, the system-wide scripts are in </w:t>
      </w:r>
      <w:r>
        <w:rPr>
          <w:rFonts w:ascii="MS Gothic"/>
          <w:color w:val="B02045"/>
          <w:w w:val="110"/>
        </w:rPr>
        <w:t xml:space="preserve">/shell- completion/bash </w:t>
      </w:r>
      <w:r>
        <w:rPr>
          <w:color w:val="333333"/>
          <w:w w:val="110"/>
        </w:rPr>
        <w:t xml:space="preserve">and all scripts in that directory are executed when a new shell starts. For example, to run the script manually if you have installed by using </w:t>
      </w:r>
      <w:proofErr w:type="gramStart"/>
      <w:r>
        <w:rPr>
          <w:color w:val="333333"/>
          <w:w w:val="110"/>
        </w:rPr>
        <w:t>SDKMAN!,</w:t>
      </w:r>
      <w:proofErr w:type="gramEnd"/>
      <w:r>
        <w:rPr>
          <w:color w:val="333333"/>
          <w:w w:val="110"/>
        </w:rPr>
        <w:t xml:space="preserve"> use the following commands:</w:t>
      </w:r>
    </w:p>
    <w:p w14:paraId="54CE69FB" w14:textId="4A1D30B2" w:rsidR="00D72310" w:rsidRDefault="00D72310" w:rsidP="00D72310">
      <w:pPr>
        <w:pStyle w:val="10"/>
      </w:pPr>
      <w:r>
        <w:rPr>
          <w:rFonts w:ascii="Helvetica" w:hAnsi="Helvetica" w:cs="Helvetica"/>
        </w:rPr>
        <w:t xml:space="preserve">Spring Boot CLI </w:t>
      </w:r>
      <w:r>
        <w:rPr>
          <w:rFonts w:hint="eastAsia"/>
        </w:rPr>
        <w:t>包括为</w:t>
      </w:r>
      <w:r>
        <w:rPr>
          <w:rFonts w:ascii="Helvetica" w:hAnsi="Helvetica" w:cs="Helvetica"/>
        </w:rPr>
        <w:t xml:space="preserve"> BASH </w:t>
      </w:r>
      <w:r>
        <w:rPr>
          <w:rFonts w:hint="eastAsia"/>
        </w:rPr>
        <w:t>和</w:t>
      </w:r>
      <w:r>
        <w:rPr>
          <w:rFonts w:ascii="Helvetica" w:hAnsi="Helvetica" w:cs="Helvetica"/>
        </w:rPr>
        <w:t xml:space="preserve"> zsh shell </w:t>
      </w:r>
      <w:r>
        <w:rPr>
          <w:rFonts w:hint="eastAsia"/>
        </w:rPr>
        <w:t>提供命令完成的脚本。可以在任何</w:t>
      </w:r>
      <w:r>
        <w:rPr>
          <w:rFonts w:ascii="Helvetica" w:hAnsi="Helvetica" w:cs="Helvetica"/>
        </w:rPr>
        <w:t xml:space="preserve"> shell </w:t>
      </w:r>
      <w:r>
        <w:rPr>
          <w:rFonts w:hint="eastAsia"/>
        </w:rPr>
        <w:t>中源代码脚本</w:t>
      </w:r>
      <w:r>
        <w:rPr>
          <w:rFonts w:ascii="Helvetica" w:hAnsi="Helvetica" w:cs="Helvetica"/>
        </w:rPr>
        <w:t>(</w:t>
      </w:r>
      <w:r>
        <w:rPr>
          <w:rFonts w:hint="eastAsia"/>
        </w:rPr>
        <w:t>也称为</w:t>
      </w:r>
      <w:r>
        <w:rPr>
          <w:rFonts w:ascii="Helvetica" w:hAnsi="Helvetica" w:cs="Helvetica"/>
        </w:rPr>
        <w:t xml:space="preserve"> spring) </w:t>
      </w:r>
      <w:r>
        <w:rPr>
          <w:rFonts w:hint="eastAsia"/>
        </w:rPr>
        <w:t>，或者将其放入个人或系统范围的</w:t>
      </w:r>
      <w:r>
        <w:rPr>
          <w:rFonts w:ascii="Helvetica" w:hAnsi="Helvetica" w:cs="Helvetica"/>
        </w:rPr>
        <w:t xml:space="preserve"> bash </w:t>
      </w:r>
      <w:r>
        <w:rPr>
          <w:rFonts w:hint="eastAsia"/>
        </w:rPr>
        <w:t>完成初始化中。在</w:t>
      </w:r>
      <w:r>
        <w:rPr>
          <w:rFonts w:ascii="Helvetica" w:hAnsi="Helvetica" w:cs="Helvetica"/>
        </w:rPr>
        <w:t xml:space="preserve"> Debian </w:t>
      </w:r>
      <w:r>
        <w:rPr>
          <w:rFonts w:hint="eastAsia"/>
        </w:rPr>
        <w:t>系统上，系统范围的脚本在</w:t>
      </w:r>
      <w:r>
        <w:rPr>
          <w:rFonts w:ascii="Helvetica" w:hAnsi="Helvetica" w:cs="Helvetica"/>
        </w:rPr>
        <w:t xml:space="preserve">/shell-completion/bash </w:t>
      </w:r>
      <w:r>
        <w:rPr>
          <w:rFonts w:hint="eastAsia"/>
        </w:rPr>
        <w:t>中，当新的</w:t>
      </w:r>
      <w:r>
        <w:rPr>
          <w:rFonts w:ascii="Helvetica" w:hAnsi="Helvetica" w:cs="Helvetica"/>
        </w:rPr>
        <w:t xml:space="preserve"> shell </w:t>
      </w:r>
      <w:r>
        <w:rPr>
          <w:rFonts w:hint="eastAsia"/>
        </w:rPr>
        <w:t>启动时，该目录中的所有脚本都将执行。例如，如果您已经使用</w:t>
      </w:r>
      <w:r>
        <w:rPr>
          <w:rFonts w:ascii="Helvetica" w:hAnsi="Helvetica" w:cs="Helvetica"/>
        </w:rPr>
        <w:t xml:space="preserve"> SDKMAN </w:t>
      </w:r>
      <w:r>
        <w:rPr>
          <w:rFonts w:hint="eastAsia"/>
        </w:rPr>
        <w:t>安装了脚本，那么可以手动运行该脚本！，使用以下命令</w:t>
      </w:r>
      <w:r>
        <w:rPr>
          <w:rFonts w:ascii="Helvetica" w:hAnsi="Helvetica" w:cs="Helvetica"/>
        </w:rPr>
        <w:t>:</w:t>
      </w:r>
    </w:p>
    <w:p w14:paraId="7C19DC36" w14:textId="77777777" w:rsidR="00A720EB" w:rsidRDefault="00E10349">
      <w:pPr>
        <w:pStyle w:val="a3"/>
        <w:spacing w:before="8"/>
        <w:rPr>
          <w:sz w:val="14"/>
          <w:lang w:eastAsia="zh-CN"/>
        </w:rPr>
      </w:pPr>
      <w:r>
        <w:pict w14:anchorId="7E47275C">
          <v:group id="_x0000_s4978" style="position:absolute;margin-left:47.85pt;margin-top:10.6pt;width:499.55pt;height:67pt;z-index:-15721984;mso-wrap-distance-left:0;mso-wrap-distance-right:0;mso-position-horizontal-relative:page" coordorigin="957,212" coordsize="9991,1340">
            <v:shape id="_x0000_s4981" style="position:absolute;left:964;top:219;width:9976;height:1325" coordorigin="965,219" coordsize="9976,1325" path="m10861,219r-9816,l1014,226r-26,17l971,268r-6,31l965,1464r6,31l988,1520r26,17l1045,1544r9816,l10892,1537r25,-17l10935,1495r6,-31l10941,299r-6,-31l10917,243r-25,-17l10861,219xe" fillcolor="#f5f5f5" stroked="f">
              <v:path arrowok="t"/>
            </v:shape>
            <v:shape id="_x0000_s4980" style="position:absolute;left:964;top:219;width:9976;height:1325" coordorigin="965,219" coordsize="9976,1325" path="m1045,219r9816,l10892,226r25,17l10935,268r6,31l10941,1464r-6,31l10917,1520r-25,17l10861,1544r-9816,l1014,1537r-26,-17l971,1495r-6,-31l965,299r6,-31l988,243r26,-17l1045,219xe" filled="f" strokecolor="#ccc">
              <v:path arrowok="t"/>
            </v:shape>
            <v:shape id="_x0000_s4979" type="#_x0000_t202" style="position:absolute;left:984;top:234;width:9938;height:1294" filled="f" stroked="f">
              <v:textbox inset="0,0,0,0">
                <w:txbxContent>
                  <w:p w14:paraId="64EE2780" w14:textId="77777777" w:rsidR="00711A16" w:rsidRDefault="00711A16">
                    <w:pPr>
                      <w:spacing w:before="221"/>
                      <w:ind w:left="200"/>
                      <w:rPr>
                        <w:rFonts w:ascii="MS Gothic"/>
                      </w:rPr>
                    </w:pPr>
                    <w:r>
                      <w:rPr>
                        <w:rFonts w:ascii="MS Gothic"/>
                        <w:color w:val="333333"/>
                      </w:rPr>
                      <w:t>$ . ~</w:t>
                    </w:r>
                    <w:proofErr w:type="gramStart"/>
                    <w:r>
                      <w:rPr>
                        <w:rFonts w:ascii="MS Gothic"/>
                        <w:color w:val="333333"/>
                      </w:rPr>
                      <w:t>/.sdkman</w:t>
                    </w:r>
                    <w:proofErr w:type="gramEnd"/>
                    <w:r>
                      <w:rPr>
                        <w:rFonts w:ascii="MS Gothic"/>
                        <w:color w:val="333333"/>
                      </w:rPr>
                      <w:t>/candidates/springboot/current/shell-completion/bash/spring</w:t>
                    </w:r>
                  </w:p>
                  <w:p w14:paraId="1F6E43FA" w14:textId="77777777" w:rsidR="00711A16" w:rsidRDefault="00711A16">
                    <w:pPr>
                      <w:spacing w:before="13"/>
                      <w:ind w:left="200"/>
                      <w:rPr>
                        <w:rFonts w:ascii="MS Gothic"/>
                      </w:rPr>
                    </w:pPr>
                    <w:r>
                      <w:rPr>
                        <w:rFonts w:ascii="MS Gothic"/>
                        <w:color w:val="333333"/>
                      </w:rPr>
                      <w:t>$ spring &lt;HIT TAB HERE&gt;</w:t>
                    </w:r>
                  </w:p>
                  <w:p w14:paraId="64328591" w14:textId="77777777" w:rsidR="00711A16" w:rsidRDefault="00711A16">
                    <w:pPr>
                      <w:tabs>
                        <w:tab w:val="left" w:pos="1080"/>
                        <w:tab w:val="left" w:pos="1740"/>
                        <w:tab w:val="left" w:pos="2290"/>
                        <w:tab w:val="left" w:pos="2840"/>
                        <w:tab w:val="left" w:pos="3500"/>
                      </w:tabs>
                      <w:spacing w:before="13"/>
                      <w:ind w:left="420"/>
                      <w:rPr>
                        <w:rFonts w:ascii="MS Gothic"/>
                      </w:rPr>
                    </w:pPr>
                    <w:r>
                      <w:rPr>
                        <w:rFonts w:ascii="MS Gothic"/>
                        <w:color w:val="333333"/>
                      </w:rPr>
                      <w:t>grab</w:t>
                    </w:r>
                    <w:r>
                      <w:rPr>
                        <w:rFonts w:ascii="MS Gothic"/>
                        <w:color w:val="333333"/>
                      </w:rPr>
                      <w:tab/>
                      <w:t>help</w:t>
                    </w:r>
                    <w:r>
                      <w:rPr>
                        <w:rFonts w:ascii="MS Gothic"/>
                        <w:color w:val="333333"/>
                      </w:rPr>
                      <w:tab/>
                      <w:t>jar</w:t>
                    </w:r>
                    <w:r>
                      <w:rPr>
                        <w:rFonts w:ascii="MS Gothic"/>
                        <w:color w:val="333333"/>
                      </w:rPr>
                      <w:tab/>
                      <w:t>run</w:t>
                    </w:r>
                    <w:r>
                      <w:rPr>
                        <w:rFonts w:ascii="MS Gothic"/>
                        <w:color w:val="333333"/>
                      </w:rPr>
                      <w:tab/>
                      <w:t>test</w:t>
                    </w:r>
                    <w:r>
                      <w:rPr>
                        <w:rFonts w:ascii="MS Gothic"/>
                        <w:color w:val="333333"/>
                      </w:rPr>
                      <w:tab/>
                      <w:t>version</w:t>
                    </w:r>
                  </w:p>
                </w:txbxContent>
              </v:textbox>
            </v:shape>
            <w10:wrap type="topAndBottom" anchorx="page"/>
          </v:group>
        </w:pict>
      </w:r>
    </w:p>
    <w:p w14:paraId="0721EBC5" w14:textId="77777777" w:rsidR="00A720EB" w:rsidRDefault="00A720EB">
      <w:pPr>
        <w:pStyle w:val="a3"/>
        <w:spacing w:before="10"/>
        <w:rPr>
          <w:sz w:val="16"/>
          <w:lang w:eastAsia="zh-CN"/>
        </w:rPr>
      </w:pPr>
    </w:p>
    <w:p w14:paraId="3B5EAAA0" w14:textId="40C337F2" w:rsidR="00A720EB" w:rsidRDefault="00E10349">
      <w:pPr>
        <w:pStyle w:val="a3"/>
        <w:spacing w:before="125" w:line="307" w:lineRule="auto"/>
        <w:ind w:left="1564" w:right="462"/>
        <w:rPr>
          <w:color w:val="333333"/>
          <w:w w:val="110"/>
        </w:rPr>
      </w:pPr>
      <w:r>
        <w:pict w14:anchorId="0ABDFB39">
          <v:line id="_x0000_s4977" style="position:absolute;left:0;text-align:left;z-index:15736320;mso-position-horizontal-relative:page" from="108.25pt,.25pt" to="108.25pt,39.8pt" strokecolor="#ededed" strokeweight=".5pt">
            <w10:wrap anchorx="page"/>
          </v:line>
        </w:pict>
      </w:r>
      <w:r w:rsidR="0030286B">
        <w:rPr>
          <w:noProof/>
        </w:rPr>
        <w:drawing>
          <wp:anchor distT="0" distB="0" distL="0" distR="0" simplePos="0" relativeHeight="251656704" behindDoc="0" locked="0" layoutInCell="1" allowOverlap="1" wp14:anchorId="355B647E" wp14:editId="0E2B04C0">
            <wp:simplePos x="0" y="0"/>
            <wp:positionH relativeFrom="page">
              <wp:posOffset>844422</wp:posOffset>
            </wp:positionH>
            <wp:positionV relativeFrom="paragraph">
              <wp:posOffset>105321</wp:posOffset>
            </wp:positionV>
            <wp:extent cx="298450" cy="29845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 you install the Spring Boot CLI by using Homebrew or MacPorts, the command- line completion scripts are automatically registered with your shell.</w:t>
      </w:r>
    </w:p>
    <w:p w14:paraId="1C460F3D" w14:textId="057B8FED" w:rsidR="00D72310" w:rsidRDefault="00D72310" w:rsidP="00D72310">
      <w:pPr>
        <w:pStyle w:val="10"/>
      </w:pPr>
      <w:r>
        <w:rPr>
          <w:rFonts w:hint="eastAsia"/>
        </w:rPr>
        <w:t>如果您使用</w:t>
      </w:r>
      <w:r w:rsidR="00065B77">
        <w:rPr>
          <w:rFonts w:hint="eastAsia"/>
        </w:rPr>
        <w:t xml:space="preserve"> </w:t>
      </w:r>
      <w:r w:rsidR="00065B77" w:rsidRPr="00065B77">
        <w:t>Homebrew</w:t>
      </w:r>
      <w:r w:rsidR="00065B77">
        <w:t xml:space="preserve"> </w:t>
      </w:r>
      <w:r>
        <w:rPr>
          <w:rFonts w:hint="eastAsia"/>
        </w:rPr>
        <w:t>或</w:t>
      </w:r>
      <w:r>
        <w:t xml:space="preserve"> MacPorts </w:t>
      </w:r>
      <w:r>
        <w:rPr>
          <w:rFonts w:hint="eastAsia"/>
        </w:rPr>
        <w:t>安装</w:t>
      </w:r>
      <w:r>
        <w:t xml:space="preserve"> Spring Boot CLI</w:t>
      </w:r>
      <w:r>
        <w:rPr>
          <w:rFonts w:hint="eastAsia"/>
        </w:rPr>
        <w:t>，命令行完成脚本将自动注册到您的</w:t>
      </w:r>
      <w:r>
        <w:t xml:space="preserve"> shell </w:t>
      </w:r>
      <w:r>
        <w:rPr>
          <w:rFonts w:hint="eastAsia"/>
        </w:rPr>
        <w:t>中。</w:t>
      </w:r>
    </w:p>
    <w:p w14:paraId="39C48F99" w14:textId="77777777" w:rsidR="00A720EB" w:rsidRDefault="00A720EB">
      <w:pPr>
        <w:pStyle w:val="a3"/>
        <w:spacing w:before="7"/>
        <w:rPr>
          <w:sz w:val="23"/>
        </w:rPr>
      </w:pPr>
    </w:p>
    <w:p w14:paraId="44C5A165" w14:textId="53B9DF12" w:rsidR="00A720EB" w:rsidRDefault="0030286B">
      <w:pPr>
        <w:pStyle w:val="4"/>
        <w:spacing w:before="104"/>
        <w:jc w:val="left"/>
      </w:pPr>
      <w:bookmarkStart w:id="42" w:name="Windows_Scoop_Installation"/>
      <w:bookmarkEnd w:id="42"/>
      <w:r>
        <w:rPr>
          <w:color w:val="333333"/>
          <w:w w:val="110"/>
        </w:rPr>
        <w:t>Windows Scoop Installation</w:t>
      </w:r>
      <w:r w:rsidR="00D72310">
        <w:rPr>
          <w:color w:val="333333"/>
          <w:w w:val="110"/>
        </w:rPr>
        <w:t xml:space="preserve"> </w:t>
      </w:r>
      <w:r w:rsidR="00D72310" w:rsidRPr="00D72310">
        <w:rPr>
          <w:rStyle w:val="a8"/>
        </w:rPr>
        <w:t>Windows Scoop</w:t>
      </w:r>
      <w:r w:rsidR="00D72310" w:rsidRPr="00D72310">
        <w:rPr>
          <w:rStyle w:val="a8"/>
          <w:rFonts w:ascii="宋体" w:eastAsia="宋体" w:hAnsi="宋体" w:cs="宋体" w:hint="eastAsia"/>
        </w:rPr>
        <w:t>安装</w:t>
      </w:r>
    </w:p>
    <w:p w14:paraId="6CCD7E19" w14:textId="77777777" w:rsidR="00A720EB" w:rsidRDefault="00A720EB">
      <w:pPr>
        <w:pStyle w:val="a3"/>
        <w:spacing w:before="11"/>
        <w:rPr>
          <w:rFonts w:ascii="Palatino Linotype"/>
          <w:b/>
          <w:sz w:val="18"/>
        </w:rPr>
      </w:pPr>
    </w:p>
    <w:p w14:paraId="226B8031" w14:textId="33D4DEAC" w:rsidR="00A720EB" w:rsidRDefault="0030286B">
      <w:pPr>
        <w:pStyle w:val="a3"/>
        <w:spacing w:before="1" w:line="307" w:lineRule="auto"/>
        <w:ind w:left="124"/>
        <w:rPr>
          <w:color w:val="333333"/>
          <w:w w:val="110"/>
        </w:rPr>
      </w:pPr>
      <w:r>
        <w:rPr>
          <w:color w:val="333333"/>
          <w:w w:val="110"/>
        </w:rPr>
        <w:t xml:space="preserve">If you are on a Windows and use </w:t>
      </w:r>
      <w:hyperlink r:id="rId49">
        <w:r>
          <w:rPr>
            <w:color w:val="418BCA"/>
            <w:w w:val="110"/>
          </w:rPr>
          <w:t>Scoop</w:t>
        </w:r>
      </w:hyperlink>
      <w:r>
        <w:rPr>
          <w:color w:val="333333"/>
          <w:w w:val="110"/>
        </w:rPr>
        <w:t>, you can install the Spring Boot CLI by using the following commands:</w:t>
      </w:r>
    </w:p>
    <w:p w14:paraId="086F4A26" w14:textId="1A1B5DF9" w:rsidR="00D72310" w:rsidRDefault="00D72310" w:rsidP="00D72310">
      <w:pPr>
        <w:pStyle w:val="10"/>
      </w:pPr>
      <w:r>
        <w:rPr>
          <w:rFonts w:hint="eastAsia"/>
        </w:rPr>
        <w:lastRenderedPageBreak/>
        <w:t>如果你使用的是</w:t>
      </w:r>
      <w:r>
        <w:t xml:space="preserve"> Windows </w:t>
      </w:r>
      <w:r>
        <w:rPr>
          <w:rFonts w:hint="eastAsia"/>
        </w:rPr>
        <w:t>系统并且使用了</w:t>
      </w:r>
      <w:r>
        <w:t xml:space="preserve"> Scoop</w:t>
      </w:r>
      <w:r>
        <w:rPr>
          <w:rFonts w:hint="eastAsia"/>
        </w:rPr>
        <w:t>，你可以使用以下命令安装</w:t>
      </w:r>
      <w:r>
        <w:t xml:space="preserve"> Spring Boot CLI:</w:t>
      </w:r>
    </w:p>
    <w:p w14:paraId="11219C10" w14:textId="77777777" w:rsidR="00A720EB" w:rsidRDefault="00E10349">
      <w:pPr>
        <w:pStyle w:val="a3"/>
        <w:spacing w:before="1"/>
        <w:rPr>
          <w:sz w:val="13"/>
        </w:rPr>
      </w:pPr>
      <w:r>
        <w:pict w14:anchorId="2361FE76">
          <v:group id="_x0000_s4973" style="position:absolute;margin-left:47.85pt;margin-top:9.7pt;width:499.55pt;height:52.25pt;z-index:-15721472;mso-wrap-distance-left:0;mso-wrap-distance-right:0;mso-position-horizontal-relative:page" coordorigin="957,194" coordsize="9991,1045">
            <v:shape id="_x0000_s4976" style="position:absolute;left:964;top:201;width:9976;height:1030" coordorigin="965,201" coordsize="9976,1030" path="m10861,201r-9816,l1014,207r-26,18l971,250r-6,31l965,1151r6,31l988,1207r26,17l1045,1231r9816,l10892,1224r25,-17l10935,1182r6,-31l10941,281r-6,-31l10917,225r-25,-18l10861,201xe" fillcolor="#f5f5f5" stroked="f">
              <v:path arrowok="t"/>
            </v:shape>
            <v:shape id="_x0000_s4975" style="position:absolute;left:964;top:201;width:9976;height:1030" coordorigin="965,201" coordsize="9976,1030" path="m1045,201r9816,l10892,207r25,18l10935,250r6,31l10941,1151r-6,31l10917,1207r-25,17l10861,1231r-9816,l1014,1224r-26,-17l971,1182r-6,-31l965,281r6,-31l988,225r26,-18l1045,201xe" filled="f" strokecolor="#ccc">
              <v:path arrowok="t"/>
            </v:shape>
            <v:shape id="_x0000_s4974" type="#_x0000_t202" style="position:absolute;left:984;top:216;width:9938;height:999" filled="f" stroked="f">
              <v:textbox inset="0,0,0,0">
                <w:txbxContent>
                  <w:p w14:paraId="4C52C150" w14:textId="77777777" w:rsidR="00711A16" w:rsidRDefault="00711A16">
                    <w:pPr>
                      <w:numPr>
                        <w:ilvl w:val="0"/>
                        <w:numId w:val="74"/>
                      </w:numPr>
                      <w:tabs>
                        <w:tab w:val="left" w:pos="421"/>
                      </w:tabs>
                      <w:spacing w:before="221"/>
                      <w:ind w:hanging="221"/>
                      <w:rPr>
                        <w:rFonts w:ascii="MS Gothic"/>
                      </w:rPr>
                    </w:pPr>
                    <w:r>
                      <w:rPr>
                        <w:rFonts w:ascii="MS Gothic"/>
                        <w:color w:val="333333"/>
                      </w:rPr>
                      <w:t xml:space="preserve">scoop bucket </w:t>
                    </w:r>
                    <w:proofErr w:type="gramStart"/>
                    <w:r>
                      <w:rPr>
                        <w:rFonts w:ascii="MS Gothic"/>
                        <w:color w:val="333333"/>
                      </w:rPr>
                      <w:t>add</w:t>
                    </w:r>
                    <w:proofErr w:type="gramEnd"/>
                    <w:r>
                      <w:rPr>
                        <w:rFonts w:ascii="MS Gothic"/>
                        <w:color w:val="333333"/>
                      </w:rPr>
                      <w:t xml:space="preserve"> extras</w:t>
                    </w:r>
                  </w:p>
                  <w:p w14:paraId="1DCEFDA5" w14:textId="77777777" w:rsidR="00711A16" w:rsidRDefault="00711A16">
                    <w:pPr>
                      <w:numPr>
                        <w:ilvl w:val="0"/>
                        <w:numId w:val="74"/>
                      </w:numPr>
                      <w:tabs>
                        <w:tab w:val="left" w:pos="421"/>
                      </w:tabs>
                      <w:spacing w:before="13"/>
                      <w:ind w:hanging="221"/>
                      <w:rPr>
                        <w:rFonts w:ascii="MS Gothic"/>
                      </w:rPr>
                    </w:pPr>
                    <w:r>
                      <w:rPr>
                        <w:rFonts w:ascii="MS Gothic"/>
                        <w:color w:val="333333"/>
                      </w:rPr>
                      <w:t>scoop install springboot</w:t>
                    </w:r>
                  </w:p>
                </w:txbxContent>
              </v:textbox>
            </v:shape>
            <w10:wrap type="topAndBottom" anchorx="page"/>
          </v:group>
        </w:pict>
      </w:r>
    </w:p>
    <w:p w14:paraId="516CD77F" w14:textId="77777777" w:rsidR="00A720EB" w:rsidRDefault="00A720EB">
      <w:pPr>
        <w:pStyle w:val="a3"/>
        <w:spacing w:before="11"/>
        <w:rPr>
          <w:sz w:val="9"/>
        </w:rPr>
      </w:pPr>
    </w:p>
    <w:p w14:paraId="5793FA21" w14:textId="73667838" w:rsidR="00A720EB" w:rsidRDefault="0030286B">
      <w:pPr>
        <w:pStyle w:val="a3"/>
        <w:spacing w:before="115"/>
        <w:ind w:left="124"/>
        <w:rPr>
          <w:color w:val="333333"/>
          <w:w w:val="105"/>
        </w:rPr>
      </w:pPr>
      <w:r>
        <w:rPr>
          <w:color w:val="333333"/>
          <w:w w:val="105"/>
        </w:rPr>
        <w:t xml:space="preserve">Scoop installs </w:t>
      </w:r>
      <w:r>
        <w:rPr>
          <w:rFonts w:ascii="MS Gothic"/>
          <w:color w:val="B02045"/>
          <w:w w:val="105"/>
        </w:rPr>
        <w:t xml:space="preserve">spring </w:t>
      </w:r>
      <w:r>
        <w:rPr>
          <w:color w:val="333333"/>
          <w:w w:val="105"/>
        </w:rPr>
        <w:t xml:space="preserve">to </w:t>
      </w:r>
      <w:r>
        <w:rPr>
          <w:rFonts w:ascii="MS Gothic"/>
          <w:color w:val="B02045"/>
          <w:w w:val="105"/>
        </w:rPr>
        <w:t>~/scoop/apps/springboot/current/bin</w:t>
      </w:r>
      <w:r>
        <w:rPr>
          <w:color w:val="333333"/>
          <w:w w:val="105"/>
        </w:rPr>
        <w:t>.</w:t>
      </w:r>
    </w:p>
    <w:p w14:paraId="3D1EFC06" w14:textId="383630D6" w:rsidR="00D72310" w:rsidRDefault="00D72310" w:rsidP="00D72310">
      <w:pPr>
        <w:pStyle w:val="10"/>
      </w:pPr>
      <w:r>
        <w:t>Scoop</w:t>
      </w:r>
      <w:r>
        <w:rPr>
          <w:rFonts w:hint="eastAsia"/>
        </w:rPr>
        <w:t>将</w:t>
      </w:r>
      <w:r>
        <w:t>spring</w:t>
      </w:r>
      <w:r>
        <w:rPr>
          <w:rFonts w:hint="eastAsia"/>
        </w:rPr>
        <w:t>安装到</w:t>
      </w:r>
      <w:r>
        <w:rPr>
          <w:rFonts w:ascii="微软雅黑" w:eastAsia="微软雅黑" w:hAnsi="微软雅黑" w:cs="微软雅黑" w:hint="eastAsia"/>
        </w:rPr>
        <w:t>〜</w:t>
      </w:r>
      <w:r>
        <w:t>/ scoop / apps / springboot / current / bin</w:t>
      </w:r>
      <w:r>
        <w:rPr>
          <w:rFonts w:hint="eastAsia"/>
        </w:rPr>
        <w:t>中。</w:t>
      </w:r>
    </w:p>
    <w:p w14:paraId="62EF9968" w14:textId="77777777" w:rsidR="00A720EB" w:rsidRDefault="00A720EB">
      <w:pPr>
        <w:pStyle w:val="a3"/>
        <w:spacing w:before="2"/>
        <w:rPr>
          <w:sz w:val="32"/>
        </w:rPr>
      </w:pPr>
    </w:p>
    <w:p w14:paraId="1CDD0752" w14:textId="1675AD1B" w:rsidR="00A720EB" w:rsidRDefault="00E10349">
      <w:pPr>
        <w:pStyle w:val="a3"/>
        <w:spacing w:line="297" w:lineRule="auto"/>
        <w:ind w:left="1564" w:right="462"/>
        <w:rPr>
          <w:color w:val="333333"/>
          <w:w w:val="110"/>
        </w:rPr>
      </w:pPr>
      <w:r>
        <w:pict w14:anchorId="016BBE00">
          <v:line id="_x0000_s4972" style="position:absolute;left:0;text-align:left;z-index:15737344;mso-position-horizontal-relative:page" from="108.25pt,-6pt" to="108.25pt,33.55pt" strokecolor="#ededed" strokeweight=".5pt">
            <w10:wrap anchorx="page"/>
          </v:line>
        </w:pict>
      </w:r>
      <w:r w:rsidR="0030286B">
        <w:rPr>
          <w:noProof/>
        </w:rPr>
        <w:drawing>
          <wp:anchor distT="0" distB="0" distL="0" distR="0" simplePos="0" relativeHeight="251657728" behindDoc="0" locked="0" layoutInCell="1" allowOverlap="1" wp14:anchorId="1D64C445" wp14:editId="3DCA3C5F">
            <wp:simplePos x="0" y="0"/>
            <wp:positionH relativeFrom="page">
              <wp:posOffset>844422</wp:posOffset>
            </wp:positionH>
            <wp:positionV relativeFrom="paragraph">
              <wp:posOffset>25946</wp:posOffset>
            </wp:positionV>
            <wp:extent cx="298450" cy="29845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do not see the app manifest, your installation of scoop might be out-of-date.  In that case, run </w:t>
      </w:r>
      <w:r w:rsidR="0030286B">
        <w:rPr>
          <w:rFonts w:ascii="MS Gothic"/>
          <w:color w:val="B02045"/>
          <w:w w:val="110"/>
        </w:rPr>
        <w:t>scoop update</w:t>
      </w:r>
      <w:r w:rsidR="0030286B">
        <w:rPr>
          <w:rFonts w:ascii="MS Gothic"/>
          <w:color w:val="B02045"/>
          <w:spacing w:val="-61"/>
          <w:w w:val="110"/>
        </w:rPr>
        <w:t xml:space="preserve"> </w:t>
      </w:r>
      <w:r w:rsidR="0030286B">
        <w:rPr>
          <w:color w:val="333333"/>
          <w:w w:val="110"/>
        </w:rPr>
        <w:t>and try again.</w:t>
      </w:r>
    </w:p>
    <w:p w14:paraId="3B7E9E34" w14:textId="65299759" w:rsidR="00D72310" w:rsidRDefault="00D72310" w:rsidP="00D72310">
      <w:pPr>
        <w:pStyle w:val="10"/>
      </w:pPr>
      <w:r>
        <w:rPr>
          <w:rFonts w:hint="eastAsia"/>
        </w:rPr>
        <w:t>如果您没有看到应用清单，则可能是因为您安装的</w:t>
      </w:r>
      <w:r>
        <w:rPr>
          <w:rFonts w:ascii="Helvetica" w:hAnsi="Helvetica" w:cs="Helvetica"/>
        </w:rPr>
        <w:t>Scoop</w:t>
      </w:r>
      <w:r>
        <w:rPr>
          <w:rFonts w:hint="eastAsia"/>
        </w:rPr>
        <w:t>已过期。</w:t>
      </w:r>
      <w:r>
        <w:rPr>
          <w:rFonts w:ascii="Helvetica" w:hAnsi="Helvetica" w:cs="Helvetica"/>
        </w:rPr>
        <w:t xml:space="preserve"> </w:t>
      </w:r>
      <w:r>
        <w:rPr>
          <w:rFonts w:hint="eastAsia"/>
        </w:rPr>
        <w:t>在这种情况下，请运行</w:t>
      </w:r>
      <w:r>
        <w:rPr>
          <w:rFonts w:ascii="MS Gothic"/>
          <w:color w:val="B02045"/>
        </w:rPr>
        <w:t>scoop update</w:t>
      </w:r>
      <w:r>
        <w:rPr>
          <w:rFonts w:hint="eastAsia"/>
        </w:rPr>
        <w:t>，然后重试。</w:t>
      </w:r>
    </w:p>
    <w:p w14:paraId="666E94C7" w14:textId="77777777" w:rsidR="00A720EB" w:rsidRDefault="00A720EB">
      <w:pPr>
        <w:pStyle w:val="a3"/>
        <w:spacing w:before="9"/>
        <w:rPr>
          <w:sz w:val="31"/>
          <w:lang w:eastAsia="zh-CN"/>
        </w:rPr>
      </w:pPr>
    </w:p>
    <w:p w14:paraId="3B4E74C7" w14:textId="4B2E0405" w:rsidR="00A720EB" w:rsidRPr="00D72310" w:rsidRDefault="0030286B">
      <w:pPr>
        <w:pStyle w:val="4"/>
        <w:jc w:val="left"/>
        <w:rPr>
          <w:color w:val="E36C0A" w:themeColor="accent6" w:themeShade="BF"/>
          <w:w w:val="110"/>
        </w:rPr>
      </w:pPr>
      <w:bookmarkStart w:id="43" w:name="Quick-start_Spring_CLI_Example"/>
      <w:bookmarkEnd w:id="43"/>
      <w:r>
        <w:rPr>
          <w:color w:val="333333"/>
          <w:w w:val="110"/>
        </w:rPr>
        <w:t>Quick-start Spring CLI Example</w:t>
      </w:r>
      <w:r w:rsidR="00D72310">
        <w:rPr>
          <w:color w:val="333333"/>
          <w:w w:val="110"/>
        </w:rPr>
        <w:t xml:space="preserve"> </w:t>
      </w:r>
      <w:r w:rsidR="00D72310" w:rsidRPr="00D72310">
        <w:rPr>
          <w:rFonts w:ascii="宋体" w:eastAsia="宋体" w:hAnsi="宋体" w:cs="宋体" w:hint="eastAsia"/>
          <w:color w:val="E36C0A" w:themeColor="accent6" w:themeShade="BF"/>
          <w:w w:val="110"/>
        </w:rPr>
        <w:t>快速入门</w:t>
      </w:r>
      <w:r w:rsidR="00D72310" w:rsidRPr="00D72310">
        <w:rPr>
          <w:color w:val="E36C0A" w:themeColor="accent6" w:themeShade="BF"/>
          <w:w w:val="110"/>
        </w:rPr>
        <w:t>Spring CLI</w:t>
      </w:r>
      <w:r w:rsidR="00D72310" w:rsidRPr="00D72310">
        <w:rPr>
          <w:rFonts w:ascii="宋体" w:eastAsia="宋体" w:hAnsi="宋体" w:cs="宋体" w:hint="eastAsia"/>
          <w:color w:val="E36C0A" w:themeColor="accent6" w:themeShade="BF"/>
          <w:w w:val="110"/>
        </w:rPr>
        <w:t>示例</w:t>
      </w:r>
    </w:p>
    <w:p w14:paraId="4BE2D201" w14:textId="77777777" w:rsidR="00A720EB" w:rsidRDefault="00A720EB">
      <w:pPr>
        <w:pStyle w:val="a3"/>
        <w:spacing w:before="11"/>
        <w:rPr>
          <w:rFonts w:ascii="Palatino Linotype"/>
          <w:b/>
          <w:sz w:val="18"/>
        </w:rPr>
      </w:pPr>
    </w:p>
    <w:p w14:paraId="579F56CA" w14:textId="77777777" w:rsidR="00A720EB" w:rsidRDefault="0030286B">
      <w:pPr>
        <w:pStyle w:val="a3"/>
        <w:spacing w:before="1"/>
        <w:ind w:left="124"/>
      </w:pPr>
      <w:r>
        <w:rPr>
          <w:color w:val="333333"/>
          <w:w w:val="110"/>
        </w:rPr>
        <w:t>You can use the following web application to test your installation. To start, create a file called</w:t>
      </w:r>
    </w:p>
    <w:p w14:paraId="22E0F9C1" w14:textId="02DC3515" w:rsidR="00A720EB" w:rsidRDefault="0030286B" w:rsidP="00D72310">
      <w:pPr>
        <w:pStyle w:val="a3"/>
        <w:spacing w:before="59"/>
        <w:ind w:left="124"/>
      </w:pPr>
      <w:proofErr w:type="gramStart"/>
      <w:r>
        <w:rPr>
          <w:rFonts w:ascii="MS Gothic"/>
          <w:color w:val="B02045"/>
          <w:w w:val="105"/>
        </w:rPr>
        <w:t>app.groovy</w:t>
      </w:r>
      <w:proofErr w:type="gramEnd"/>
      <w:r>
        <w:rPr>
          <w:color w:val="333333"/>
          <w:w w:val="105"/>
        </w:rPr>
        <w:t>, as follows:</w:t>
      </w:r>
    </w:p>
    <w:p w14:paraId="12215358" w14:textId="25EFDC6B" w:rsidR="00D72310" w:rsidRPr="00D72310" w:rsidRDefault="00D72310" w:rsidP="00D72310">
      <w:pPr>
        <w:pStyle w:val="10"/>
      </w:pPr>
      <w:r w:rsidRPr="00D72310">
        <w:t>您可以使用以下Web应用程序来测试安装。 首先，创建一个名为app.groovy</w:t>
      </w:r>
      <w:r>
        <w:rPr>
          <w:rFonts w:hint="eastAsia"/>
        </w:rPr>
        <w:t>的文件</w:t>
      </w:r>
      <w:r w:rsidRPr="00D72310">
        <w:t>，如下所示：</w:t>
      </w:r>
    </w:p>
    <w:p w14:paraId="4132F0AE" w14:textId="77777777" w:rsidR="00A720EB" w:rsidRDefault="00E10349">
      <w:pPr>
        <w:pStyle w:val="a3"/>
        <w:ind w:left="116"/>
        <w:rPr>
          <w:sz w:val="20"/>
        </w:rPr>
      </w:pPr>
      <w:r>
        <w:rPr>
          <w:sz w:val="20"/>
        </w:rPr>
      </w:r>
      <w:r>
        <w:rPr>
          <w:sz w:val="20"/>
        </w:rPr>
        <w:pict w14:anchorId="0E40845F">
          <v:group id="_x0000_s4968" style="width:499.55pt;height:155.45pt;mso-position-horizontal-relative:char;mso-position-vertical-relative:line" coordsize="9991,3109">
            <v:shape id="_x0000_s4971" style="position:absolute;left:7;top:7;width:9976;height:3094" coordorigin="8,8" coordsize="9976,3094" path="m9904,8l88,8,56,14,31,31,14,56,8,88r,2933l14,3052r17,25l56,3094r32,7l9904,3101r31,-7l9960,3077r17,-25l9984,3021r,-2933l9977,56,9960,31,9935,14,9904,8xe" fillcolor="#f5f5f5" stroked="f">
              <v:path arrowok="t"/>
            </v:shape>
            <v:shape id="_x0000_s4970" style="position:absolute;left:7;top:7;width:9976;height:3094" coordorigin="8,8" coordsize="9976,3094" path="m88,8r9816,l9935,14r25,17l9977,56r7,32l9984,3021r-7,31l9960,3077r-25,17l9904,3101r-9816,l56,3094,31,3077,14,3052,8,3021,8,88,14,56,31,31,56,14,88,8xe" filled="f" strokecolor="#ccc">
              <v:path arrowok="t"/>
            </v:shape>
            <v:shape id="_x0000_s4969" type="#_x0000_t202" style="position:absolute;left:26;top:22;width:9938;height:3063" filled="f" stroked="f">
              <v:textbox inset="0,0,0,0">
                <w:txbxContent>
                  <w:p w14:paraId="05362A40" w14:textId="77777777" w:rsidR="00711A16" w:rsidRDefault="00711A16">
                    <w:pPr>
                      <w:spacing w:before="221"/>
                      <w:ind w:left="200"/>
                      <w:rPr>
                        <w:rFonts w:ascii="MS Gothic"/>
                      </w:rPr>
                    </w:pPr>
                    <w:r>
                      <w:rPr>
                        <w:rFonts w:ascii="MS Gothic"/>
                        <w:color w:val="333333"/>
                      </w:rPr>
                      <w:t>@RestController</w:t>
                    </w:r>
                  </w:p>
                  <w:p w14:paraId="09FF7ABF" w14:textId="77777777" w:rsidR="00711A16" w:rsidRDefault="00711A16">
                    <w:pPr>
                      <w:spacing w:before="13"/>
                      <w:ind w:left="200"/>
                      <w:rPr>
                        <w:rFonts w:ascii="MS Gothic"/>
                      </w:rPr>
                    </w:pPr>
                    <w:r>
                      <w:rPr>
                        <w:rFonts w:ascii="MS Gothic"/>
                        <w:color w:val="333333"/>
                      </w:rPr>
                      <w:t>class ThisWillActuallyRun {</w:t>
                    </w:r>
                  </w:p>
                  <w:p w14:paraId="2914AC48" w14:textId="77777777" w:rsidR="00711A16" w:rsidRDefault="00711A16">
                    <w:pPr>
                      <w:rPr>
                        <w:rFonts w:ascii="MS Gothic"/>
                        <w:sz w:val="24"/>
                      </w:rPr>
                    </w:pPr>
                  </w:p>
                  <w:p w14:paraId="19221728" w14:textId="77777777" w:rsidR="00711A16" w:rsidRDefault="00711A16">
                    <w:pPr>
                      <w:spacing w:line="252" w:lineRule="auto"/>
                      <w:ind w:left="640" w:right="7078"/>
                      <w:rPr>
                        <w:rFonts w:ascii="MS Gothic"/>
                      </w:rPr>
                    </w:pPr>
                    <w:r>
                      <w:rPr>
                        <w:rFonts w:ascii="MS Gothic"/>
                        <w:color w:val="333333"/>
                      </w:rPr>
                      <w:t>@</w:t>
                    </w:r>
                    <w:proofErr w:type="gramStart"/>
                    <w:r>
                      <w:rPr>
                        <w:rFonts w:ascii="MS Gothic"/>
                        <w:color w:val="333333"/>
                      </w:rPr>
                      <w:t>RequestMapping(</w:t>
                    </w:r>
                    <w:proofErr w:type="gramEnd"/>
                    <w:r>
                      <w:rPr>
                        <w:rFonts w:ascii="MS Gothic"/>
                        <w:color w:val="333333"/>
                      </w:rPr>
                      <w:t>"/") String home() {</w:t>
                    </w:r>
                  </w:p>
                  <w:p w14:paraId="4BDF1A92" w14:textId="77777777" w:rsidR="00711A16" w:rsidRDefault="00711A16">
                    <w:pPr>
                      <w:spacing w:line="280" w:lineRule="exact"/>
                      <w:ind w:left="1080"/>
                      <w:rPr>
                        <w:rFonts w:ascii="MS Gothic"/>
                      </w:rPr>
                    </w:pPr>
                    <w:r>
                      <w:rPr>
                        <w:rFonts w:ascii="MS Gothic"/>
                        <w:color w:val="333333"/>
                      </w:rPr>
                      <w:t>"Hello World!"</w:t>
                    </w:r>
                  </w:p>
                  <w:p w14:paraId="490B1FFD" w14:textId="77777777" w:rsidR="00711A16" w:rsidRDefault="00711A16">
                    <w:pPr>
                      <w:spacing w:before="13"/>
                      <w:ind w:left="640"/>
                      <w:rPr>
                        <w:rFonts w:ascii="MS Gothic"/>
                      </w:rPr>
                    </w:pPr>
                    <w:r>
                      <w:rPr>
                        <w:rFonts w:ascii="MS Gothic"/>
                        <w:color w:val="333333"/>
                      </w:rPr>
                      <w:t>}</w:t>
                    </w:r>
                  </w:p>
                  <w:p w14:paraId="4AD71BA7" w14:textId="77777777" w:rsidR="00711A16" w:rsidRDefault="00711A16">
                    <w:pPr>
                      <w:rPr>
                        <w:rFonts w:ascii="MS Gothic"/>
                        <w:sz w:val="24"/>
                      </w:rPr>
                    </w:pPr>
                  </w:p>
                  <w:p w14:paraId="394CC157" w14:textId="77777777" w:rsidR="00711A16" w:rsidRDefault="00711A16">
                    <w:pPr>
                      <w:ind w:left="200"/>
                      <w:rPr>
                        <w:rFonts w:ascii="MS Gothic"/>
                      </w:rPr>
                    </w:pPr>
                    <w:r>
                      <w:rPr>
                        <w:rFonts w:ascii="MS Gothic"/>
                        <w:color w:val="333333"/>
                      </w:rPr>
                      <w:t>}</w:t>
                    </w:r>
                  </w:p>
                </w:txbxContent>
              </v:textbox>
            </v:shape>
            <w10:anchorlock/>
          </v:group>
        </w:pict>
      </w:r>
    </w:p>
    <w:p w14:paraId="5A482524" w14:textId="77777777" w:rsidR="00A720EB" w:rsidRDefault="00A720EB">
      <w:pPr>
        <w:pStyle w:val="a3"/>
        <w:spacing w:before="4"/>
        <w:rPr>
          <w:sz w:val="9"/>
        </w:rPr>
      </w:pPr>
    </w:p>
    <w:p w14:paraId="1CC5BF6E" w14:textId="3D17FA26" w:rsidR="00A720EB" w:rsidRDefault="0030286B">
      <w:pPr>
        <w:pStyle w:val="a3"/>
        <w:spacing w:before="125"/>
        <w:ind w:left="124"/>
        <w:rPr>
          <w:color w:val="333333"/>
          <w:w w:val="110"/>
        </w:rPr>
      </w:pPr>
      <w:r>
        <w:rPr>
          <w:color w:val="333333"/>
          <w:w w:val="110"/>
        </w:rPr>
        <w:t>Then run it from a shell, as follows:</w:t>
      </w:r>
    </w:p>
    <w:p w14:paraId="5BE45759" w14:textId="4ED20DE1" w:rsidR="00D72310" w:rsidRDefault="00D72310" w:rsidP="00D72310">
      <w:pPr>
        <w:pStyle w:val="10"/>
      </w:pPr>
      <w:r>
        <w:rPr>
          <w:rFonts w:hint="eastAsia"/>
        </w:rPr>
        <w:t>然后在一个</w:t>
      </w:r>
      <w:r>
        <w:rPr>
          <w:rFonts w:ascii="Helvetica" w:hAnsi="Helvetica" w:cs="Helvetica"/>
        </w:rPr>
        <w:t xml:space="preserve"> shell </w:t>
      </w:r>
      <w:r>
        <w:rPr>
          <w:rFonts w:hint="eastAsia"/>
        </w:rPr>
        <w:t>里运行它，如下所示</w:t>
      </w:r>
      <w:r>
        <w:rPr>
          <w:rFonts w:ascii="Helvetica" w:hAnsi="Helvetica" w:cs="Helvetica"/>
        </w:rPr>
        <w:t>:</w:t>
      </w:r>
    </w:p>
    <w:p w14:paraId="694DA145" w14:textId="77777777" w:rsidR="00A720EB" w:rsidRDefault="00E10349">
      <w:pPr>
        <w:pStyle w:val="a3"/>
        <w:rPr>
          <w:sz w:val="19"/>
        </w:rPr>
      </w:pPr>
      <w:r>
        <w:pict w14:anchorId="5C22E496">
          <v:group id="_x0000_s4964" style="position:absolute;margin-left:47.85pt;margin-top:13.15pt;width:499.55pt;height:37.5pt;z-index:-15718400;mso-wrap-distance-left:0;mso-wrap-distance-right:0;mso-position-horizontal-relative:page" coordorigin="957,263" coordsize="9991,750">
            <v:shape id="_x0000_s4967" style="position:absolute;left:964;top:270;width:9976;height:735" coordorigin="965,270" coordsize="9976,735" path="m10861,270r-9816,l1014,277r-26,17l971,319r-6,31l965,925r6,31l988,982r26,17l1045,1005r9816,l10892,999r25,-17l10935,956r6,-31l10941,350r-6,-31l10917,294r-25,-17l10861,270xe" fillcolor="#f5f5f5" stroked="f">
              <v:path arrowok="t"/>
            </v:shape>
            <v:shape id="_x0000_s4966" style="position:absolute;left:964;top:270;width:9976;height:735" coordorigin="965,270" coordsize="9976,735" path="m1045,270r9816,l10892,277r25,17l10935,319r6,31l10941,925r-6,31l10917,982r-25,17l10861,1005r-9816,l1014,999,988,982,971,956r-6,-31l965,350r6,-31l988,294r26,-17l1045,270xe" filled="f" strokecolor="#ccc">
              <v:path arrowok="t"/>
            </v:shape>
            <v:shape id="_x0000_s4965" type="#_x0000_t202" style="position:absolute;left:984;top:285;width:9938;height:704" filled="f" stroked="f">
              <v:textbox inset="0,0,0,0">
                <w:txbxContent>
                  <w:p w14:paraId="7211C5EB" w14:textId="77777777" w:rsidR="00711A16" w:rsidRDefault="00711A16">
                    <w:pPr>
                      <w:spacing w:before="221"/>
                      <w:ind w:left="200"/>
                      <w:rPr>
                        <w:rFonts w:ascii="MS Gothic"/>
                      </w:rPr>
                    </w:pPr>
                    <w:r>
                      <w:rPr>
                        <w:rFonts w:ascii="MS Gothic"/>
                        <w:color w:val="333333"/>
                      </w:rPr>
                      <w:t xml:space="preserve">$ spring run </w:t>
                    </w:r>
                    <w:proofErr w:type="gramStart"/>
                    <w:r>
                      <w:rPr>
                        <w:rFonts w:ascii="MS Gothic"/>
                        <w:color w:val="333333"/>
                      </w:rPr>
                      <w:t>app.groovy</w:t>
                    </w:r>
                    <w:proofErr w:type="gramEnd"/>
                  </w:p>
                </w:txbxContent>
              </v:textbox>
            </v:shape>
            <w10:wrap type="topAndBottom" anchorx="page"/>
          </v:group>
        </w:pict>
      </w:r>
    </w:p>
    <w:p w14:paraId="6230CAC0" w14:textId="77777777" w:rsidR="00A720EB" w:rsidRDefault="00A720EB">
      <w:pPr>
        <w:pStyle w:val="a3"/>
        <w:spacing w:before="10"/>
        <w:rPr>
          <w:sz w:val="16"/>
        </w:rPr>
      </w:pPr>
    </w:p>
    <w:p w14:paraId="04DF1D2B" w14:textId="77777777" w:rsidR="00A720EB" w:rsidRDefault="00E10349">
      <w:pPr>
        <w:pStyle w:val="a3"/>
        <w:spacing w:before="125" w:line="307" w:lineRule="auto"/>
        <w:ind w:left="1564" w:right="462"/>
      </w:pPr>
      <w:r>
        <w:pict w14:anchorId="41A8318C">
          <v:line id="_x0000_s4963" style="position:absolute;left:0;text-align:left;z-index:15740416;mso-position-horizontal-relative:page" from="108.25pt,.25pt" to="108.25pt,39.8pt" strokecolor="#ededed" strokeweight=".5pt">
            <w10:wrap anchorx="page"/>
          </v:line>
        </w:pict>
      </w:r>
      <w:r w:rsidR="0030286B">
        <w:rPr>
          <w:noProof/>
        </w:rPr>
        <w:drawing>
          <wp:anchor distT="0" distB="0" distL="0" distR="0" simplePos="0" relativeHeight="15740928" behindDoc="0" locked="0" layoutInCell="1" allowOverlap="1" wp14:anchorId="6C81A6A4" wp14:editId="44E2D92A">
            <wp:simplePos x="0" y="0"/>
            <wp:positionH relativeFrom="page">
              <wp:posOffset>844422</wp:posOffset>
            </wp:positionH>
            <wp:positionV relativeFrom="paragraph">
              <wp:posOffset>105321</wp:posOffset>
            </wp:positionV>
            <wp:extent cx="298450" cy="29845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The first run of your application is slow, as dependencies are downloaded. Subsequent runs are much quicker.</w:t>
      </w:r>
    </w:p>
    <w:p w14:paraId="7E6E9FEF" w14:textId="1A843612" w:rsidR="00A720EB" w:rsidRDefault="00D72310" w:rsidP="00D72310">
      <w:pPr>
        <w:pStyle w:val="10"/>
        <w:rPr>
          <w:sz w:val="16"/>
        </w:rPr>
      </w:pPr>
      <w:r>
        <w:rPr>
          <w:rFonts w:hint="eastAsia"/>
        </w:rPr>
        <w:t>应用程序的第一次运行速度很慢，因为要下载依赖项，后续的运行速度要快得多。</w:t>
      </w:r>
    </w:p>
    <w:p w14:paraId="74FA7F32" w14:textId="28FF7489" w:rsidR="00A720EB" w:rsidRDefault="0030286B">
      <w:pPr>
        <w:pStyle w:val="a3"/>
        <w:spacing w:before="116"/>
        <w:ind w:left="124"/>
        <w:rPr>
          <w:color w:val="333333"/>
          <w:w w:val="110"/>
        </w:rPr>
      </w:pPr>
      <w:r>
        <w:rPr>
          <w:color w:val="333333"/>
          <w:w w:val="110"/>
        </w:rPr>
        <w:t xml:space="preserve">Open </w:t>
      </w:r>
      <w:r>
        <w:rPr>
          <w:rFonts w:ascii="MS Gothic"/>
          <w:color w:val="418BCA"/>
          <w:w w:val="110"/>
        </w:rPr>
        <w:t>localhost:8080</w:t>
      </w:r>
      <w:r>
        <w:rPr>
          <w:rFonts w:ascii="MS Gothic"/>
          <w:color w:val="418BCA"/>
          <w:spacing w:val="-54"/>
          <w:w w:val="110"/>
        </w:rPr>
        <w:t xml:space="preserve"> </w:t>
      </w:r>
      <w:r>
        <w:rPr>
          <w:color w:val="333333"/>
          <w:w w:val="110"/>
        </w:rPr>
        <w:t xml:space="preserve">in your favorite web browser. </w:t>
      </w:r>
      <w:r>
        <w:rPr>
          <w:color w:val="333333"/>
          <w:spacing w:val="-6"/>
          <w:w w:val="110"/>
        </w:rPr>
        <w:t xml:space="preserve">You </w:t>
      </w:r>
      <w:r>
        <w:rPr>
          <w:color w:val="333333"/>
          <w:w w:val="110"/>
        </w:rPr>
        <w:t>should see the following output:</w:t>
      </w:r>
    </w:p>
    <w:p w14:paraId="6B266E87" w14:textId="7E0B074B" w:rsidR="00D72310" w:rsidRDefault="00D72310" w:rsidP="00D72310">
      <w:pPr>
        <w:pStyle w:val="10"/>
      </w:pPr>
      <w:r>
        <w:rPr>
          <w:rFonts w:hint="eastAsia"/>
        </w:rPr>
        <w:t>在您最喜欢的</w:t>
      </w:r>
      <w:r>
        <w:rPr>
          <w:rFonts w:ascii="Helvetica" w:hAnsi="Helvetica" w:cs="Helvetica"/>
        </w:rPr>
        <w:t>Web</w:t>
      </w:r>
      <w:r>
        <w:rPr>
          <w:rFonts w:hint="eastAsia"/>
        </w:rPr>
        <w:t>浏览器中打开</w:t>
      </w:r>
      <w:r>
        <w:rPr>
          <w:rFonts w:ascii="Helvetica" w:hAnsi="Helvetica" w:cs="Helvetica"/>
        </w:rPr>
        <w:t>localhost</w:t>
      </w:r>
      <w:r>
        <w:rPr>
          <w:rFonts w:hint="eastAsia"/>
        </w:rPr>
        <w:t>：</w:t>
      </w:r>
      <w:r>
        <w:rPr>
          <w:rFonts w:ascii="Helvetica" w:hAnsi="Helvetica" w:cs="Helvetica"/>
        </w:rPr>
        <w:t>8080</w:t>
      </w:r>
      <w:r>
        <w:rPr>
          <w:rFonts w:hint="eastAsia"/>
        </w:rPr>
        <w:t>。</w:t>
      </w:r>
      <w:r>
        <w:rPr>
          <w:rFonts w:ascii="Helvetica" w:hAnsi="Helvetica" w:cs="Helvetica"/>
        </w:rPr>
        <w:t xml:space="preserve"> </w:t>
      </w:r>
      <w:r>
        <w:rPr>
          <w:rFonts w:hint="eastAsia"/>
        </w:rPr>
        <w:t>您应该会看到以下输出：</w:t>
      </w:r>
    </w:p>
    <w:p w14:paraId="48EE863E" w14:textId="77777777" w:rsidR="00A720EB" w:rsidRDefault="00E10349">
      <w:pPr>
        <w:pStyle w:val="a3"/>
        <w:spacing w:before="11"/>
        <w:rPr>
          <w:sz w:val="17"/>
          <w:lang w:eastAsia="zh-CN"/>
        </w:rPr>
      </w:pPr>
      <w:r>
        <w:pict w14:anchorId="4DB1F633">
          <v:group id="_x0000_s4959" style="position:absolute;margin-left:47.85pt;margin-top:12.5pt;width:499.55pt;height:37.5pt;z-index:-15717888;mso-wrap-distance-left:0;mso-wrap-distance-right:0;mso-position-horizontal-relative:page" coordorigin="957,250" coordsize="9991,750">
            <v:shape id="_x0000_s4962" style="position:absolute;left:964;top:257;width:9976;height:735" coordorigin="965,257" coordsize="9976,735" path="m10861,257r-9816,l1014,264r-26,17l971,306r-6,31l965,912r6,31l988,969r26,17l1045,992r9816,l10892,986r25,-17l10935,943r6,-31l10941,337r-6,-31l10917,281r-25,-17l10861,257xe" fillcolor="#f5f5f5" stroked="f">
              <v:path arrowok="t"/>
            </v:shape>
            <v:shape id="_x0000_s4961" style="position:absolute;left:964;top:257;width:9976;height:735" coordorigin="965,257" coordsize="9976,735" path="m1045,257r9816,l10892,264r25,17l10935,306r6,31l10941,912r-6,31l10917,969r-25,17l10861,992r-9816,l1014,986,988,969,971,943r-6,-31l965,337r6,-31l988,281r26,-17l1045,257xe" filled="f" strokecolor="#ccc">
              <v:path arrowok="t"/>
            </v:shape>
            <v:shape id="_x0000_s4960" type="#_x0000_t202" style="position:absolute;left:984;top:272;width:9938;height:704" filled="f" stroked="f">
              <v:textbox inset="0,0,0,0">
                <w:txbxContent>
                  <w:p w14:paraId="4D551FCD" w14:textId="77777777" w:rsidR="00711A16" w:rsidRDefault="00711A16">
                    <w:pPr>
                      <w:spacing w:before="221"/>
                      <w:ind w:left="200"/>
                      <w:rPr>
                        <w:rFonts w:ascii="MS Gothic"/>
                      </w:rPr>
                    </w:pPr>
                    <w:r>
                      <w:rPr>
                        <w:rFonts w:ascii="MS Gothic"/>
                        <w:color w:val="333333"/>
                      </w:rPr>
                      <w:t>Hello World!</w:t>
                    </w:r>
                  </w:p>
                </w:txbxContent>
              </v:textbox>
            </v:shape>
            <w10:wrap type="topAndBottom" anchorx="page"/>
          </v:group>
        </w:pict>
      </w:r>
    </w:p>
    <w:p w14:paraId="01A0D3B7" w14:textId="77777777" w:rsidR="00A720EB" w:rsidRDefault="00A720EB">
      <w:pPr>
        <w:pStyle w:val="a3"/>
        <w:spacing w:before="11"/>
        <w:rPr>
          <w:sz w:val="16"/>
          <w:lang w:eastAsia="zh-CN"/>
        </w:rPr>
      </w:pPr>
    </w:p>
    <w:p w14:paraId="11E6C922" w14:textId="3B9E3965" w:rsidR="00A720EB" w:rsidRPr="00D72310" w:rsidRDefault="0030286B">
      <w:pPr>
        <w:pStyle w:val="3"/>
        <w:numPr>
          <w:ilvl w:val="2"/>
          <w:numId w:val="77"/>
        </w:numPr>
        <w:tabs>
          <w:tab w:val="left" w:pos="858"/>
        </w:tabs>
        <w:spacing w:before="105"/>
        <w:ind w:hanging="734"/>
        <w:rPr>
          <w:color w:val="E36C0A" w:themeColor="accent6" w:themeShade="BF"/>
        </w:rPr>
      </w:pPr>
      <w:bookmarkStart w:id="44" w:name="2.3.3._Upgrading_from_an_Earlier_Version"/>
      <w:bookmarkStart w:id="45" w:name="_Toc54423670"/>
      <w:bookmarkEnd w:id="44"/>
      <w:r>
        <w:rPr>
          <w:color w:val="333333"/>
          <w:w w:val="110"/>
        </w:rPr>
        <w:t xml:space="preserve">Upgrading from an Earlier </w:t>
      </w:r>
      <w:r>
        <w:rPr>
          <w:color w:val="333333"/>
          <w:spacing w:val="-3"/>
          <w:w w:val="110"/>
        </w:rPr>
        <w:t xml:space="preserve">Version </w:t>
      </w:r>
      <w:r>
        <w:rPr>
          <w:color w:val="333333"/>
          <w:w w:val="110"/>
        </w:rPr>
        <w:t>of Spring</w:t>
      </w:r>
      <w:r>
        <w:rPr>
          <w:color w:val="333333"/>
          <w:spacing w:val="-37"/>
          <w:w w:val="110"/>
        </w:rPr>
        <w:t xml:space="preserve"> </w:t>
      </w:r>
      <w:r>
        <w:rPr>
          <w:color w:val="333333"/>
          <w:w w:val="110"/>
        </w:rPr>
        <w:t>Boot</w:t>
      </w:r>
      <w:r w:rsidR="00D72310">
        <w:rPr>
          <w:color w:val="333333"/>
          <w:w w:val="110"/>
        </w:rPr>
        <w:t xml:space="preserve"> </w:t>
      </w:r>
      <w:r w:rsidR="00D72310" w:rsidRPr="00D72310">
        <w:rPr>
          <w:rFonts w:ascii="宋体" w:eastAsia="宋体" w:hAnsi="宋体" w:cs="宋体" w:hint="eastAsia"/>
          <w:color w:val="E36C0A" w:themeColor="accent6" w:themeShade="BF"/>
          <w:w w:val="110"/>
        </w:rPr>
        <w:t>从</w:t>
      </w:r>
      <w:r w:rsidR="00D72310" w:rsidRPr="00D72310">
        <w:rPr>
          <w:color w:val="E36C0A" w:themeColor="accent6" w:themeShade="BF"/>
          <w:w w:val="110"/>
        </w:rPr>
        <w:t>Spring Boot</w:t>
      </w:r>
      <w:r w:rsidR="00D72310" w:rsidRPr="00D72310">
        <w:rPr>
          <w:rFonts w:ascii="宋体" w:eastAsia="宋体" w:hAnsi="宋体" w:cs="宋体" w:hint="eastAsia"/>
          <w:color w:val="E36C0A" w:themeColor="accent6" w:themeShade="BF"/>
          <w:w w:val="110"/>
        </w:rPr>
        <w:t>的早期版本升级</w:t>
      </w:r>
      <w:bookmarkEnd w:id="45"/>
    </w:p>
    <w:p w14:paraId="5DBED2ED" w14:textId="3572246C" w:rsidR="00A720EB" w:rsidRDefault="0030286B">
      <w:pPr>
        <w:pStyle w:val="a3"/>
        <w:spacing w:before="243" w:line="300" w:lineRule="auto"/>
        <w:ind w:left="124" w:right="122"/>
        <w:jc w:val="both"/>
        <w:rPr>
          <w:color w:val="333333"/>
          <w:w w:val="110"/>
        </w:rPr>
      </w:pPr>
      <w:r>
        <w:rPr>
          <w:color w:val="333333"/>
          <w:w w:val="110"/>
        </w:rPr>
        <w:lastRenderedPageBreak/>
        <w:t xml:space="preserve">If you are upgrading from the </w:t>
      </w:r>
      <w:r>
        <w:rPr>
          <w:rFonts w:ascii="MS Gothic" w:hAnsi="MS Gothic"/>
          <w:color w:val="B02045"/>
          <w:w w:val="110"/>
        </w:rPr>
        <w:t xml:space="preserve">1.x </w:t>
      </w:r>
      <w:r>
        <w:rPr>
          <w:color w:val="333333"/>
          <w:w w:val="110"/>
        </w:rPr>
        <w:t xml:space="preserve">release of Spring Boot, check the </w:t>
      </w:r>
      <w:hyperlink r:id="rId50">
        <w:r>
          <w:rPr>
            <w:color w:val="418BCA"/>
            <w:w w:val="110"/>
          </w:rPr>
          <w:t>“migration guide” on the project</w:t>
        </w:r>
      </w:hyperlink>
      <w:r>
        <w:rPr>
          <w:color w:val="418BCA"/>
          <w:w w:val="110"/>
        </w:rPr>
        <w:t xml:space="preserve"> </w:t>
      </w:r>
      <w:hyperlink r:id="rId51">
        <w:r>
          <w:rPr>
            <w:color w:val="418BCA"/>
            <w:w w:val="110"/>
          </w:rPr>
          <w:t>wiki</w:t>
        </w:r>
      </w:hyperlink>
      <w:r>
        <w:rPr>
          <w:color w:val="418BCA"/>
          <w:w w:val="110"/>
        </w:rPr>
        <w:t xml:space="preserve"> </w:t>
      </w:r>
      <w:r>
        <w:rPr>
          <w:color w:val="333333"/>
          <w:w w:val="110"/>
        </w:rPr>
        <w:t xml:space="preserve">that provides detailed upgrade instructions. Check also the  </w:t>
      </w:r>
      <w:hyperlink r:id="rId52">
        <w:r>
          <w:rPr>
            <w:color w:val="418BCA"/>
            <w:w w:val="110"/>
          </w:rPr>
          <w:t>“release notes”</w:t>
        </w:r>
      </w:hyperlink>
      <w:r>
        <w:rPr>
          <w:color w:val="418BCA"/>
          <w:w w:val="110"/>
        </w:rPr>
        <w:t xml:space="preserve"> </w:t>
      </w:r>
      <w:r>
        <w:rPr>
          <w:color w:val="333333"/>
          <w:w w:val="110"/>
        </w:rPr>
        <w:t>for a list of “new   and noteworthy” features for each</w:t>
      </w:r>
      <w:r>
        <w:rPr>
          <w:color w:val="333333"/>
          <w:spacing w:val="16"/>
          <w:w w:val="110"/>
        </w:rPr>
        <w:t xml:space="preserve"> </w:t>
      </w:r>
      <w:r>
        <w:rPr>
          <w:color w:val="333333"/>
          <w:w w:val="110"/>
        </w:rPr>
        <w:t>release.</w:t>
      </w:r>
    </w:p>
    <w:p w14:paraId="76EC1E45" w14:textId="7A7AD43D" w:rsidR="00D72310" w:rsidRDefault="00D72310" w:rsidP="00D72310">
      <w:pPr>
        <w:pStyle w:val="10"/>
      </w:pPr>
      <w:r>
        <w:rPr>
          <w:rFonts w:hint="eastAsia"/>
        </w:rPr>
        <w:t>如果您正在从</w:t>
      </w:r>
      <w:r>
        <w:rPr>
          <w:rFonts w:ascii="Helvetica" w:hAnsi="Helvetica" w:cs="Helvetica"/>
        </w:rPr>
        <w:t xml:space="preserve"> Spring Boot </w:t>
      </w:r>
      <w:r>
        <w:rPr>
          <w:rFonts w:hint="eastAsia"/>
        </w:rPr>
        <w:t>的</w:t>
      </w:r>
      <w:r>
        <w:rPr>
          <w:rFonts w:ascii="Helvetica" w:hAnsi="Helvetica" w:cs="Helvetica"/>
        </w:rPr>
        <w:t xml:space="preserve">1.x </w:t>
      </w:r>
      <w:r>
        <w:rPr>
          <w:rFonts w:hint="eastAsia"/>
        </w:rPr>
        <w:t>版本升级，请查看项目</w:t>
      </w:r>
      <w:r>
        <w:rPr>
          <w:rFonts w:ascii="Helvetica" w:hAnsi="Helvetica" w:cs="Helvetica"/>
        </w:rPr>
        <w:t xml:space="preserve"> wiki </w:t>
      </w:r>
      <w:r>
        <w:rPr>
          <w:rFonts w:hint="eastAsia"/>
        </w:rPr>
        <w:t>上的</w:t>
      </w:r>
      <w:r>
        <w:rPr>
          <w:rFonts w:ascii="Helvetica" w:hAnsi="Helvetica" w:cs="Helvetica"/>
        </w:rPr>
        <w:t>“</w:t>
      </w:r>
      <w:r>
        <w:rPr>
          <w:rFonts w:hint="eastAsia"/>
        </w:rPr>
        <w:t>迁移指南</w:t>
      </w:r>
      <w:r>
        <w:rPr>
          <w:rFonts w:ascii="Helvetica" w:hAnsi="Helvetica" w:cs="Helvetica"/>
        </w:rPr>
        <w:t xml:space="preserve">” </w:t>
      </w:r>
      <w:r>
        <w:rPr>
          <w:rFonts w:hint="eastAsia"/>
        </w:rPr>
        <w:t>，该指南提供了详细的升级说明。还要检查</w:t>
      </w:r>
      <w:r>
        <w:rPr>
          <w:rFonts w:ascii="Helvetica" w:hAnsi="Helvetica" w:cs="Helvetica"/>
        </w:rPr>
        <w:t>“</w:t>
      </w:r>
      <w:r>
        <w:rPr>
          <w:rFonts w:hint="eastAsia"/>
        </w:rPr>
        <w:t>发行说明</w:t>
      </w:r>
      <w:r>
        <w:rPr>
          <w:rFonts w:ascii="Helvetica" w:hAnsi="Helvetica" w:cs="Helvetica"/>
        </w:rPr>
        <w:t xml:space="preserve">” </w:t>
      </w:r>
      <w:r>
        <w:rPr>
          <w:rFonts w:hint="eastAsia"/>
        </w:rPr>
        <w:t>，以获得每个发行版的</w:t>
      </w:r>
      <w:r>
        <w:rPr>
          <w:rFonts w:ascii="Helvetica" w:hAnsi="Helvetica" w:cs="Helvetica"/>
        </w:rPr>
        <w:t>“</w:t>
      </w:r>
      <w:r>
        <w:rPr>
          <w:rFonts w:hint="eastAsia"/>
        </w:rPr>
        <w:t>新的和值得注意的</w:t>
      </w:r>
      <w:r>
        <w:rPr>
          <w:rFonts w:ascii="Helvetica" w:hAnsi="Helvetica" w:cs="Helvetica"/>
        </w:rPr>
        <w:t>”</w:t>
      </w:r>
      <w:r>
        <w:rPr>
          <w:rFonts w:hint="eastAsia"/>
        </w:rPr>
        <w:t>特性列表。</w:t>
      </w:r>
    </w:p>
    <w:p w14:paraId="7CAEAE90" w14:textId="0391F55C" w:rsidR="00A720EB" w:rsidRDefault="0030286B">
      <w:pPr>
        <w:pStyle w:val="a3"/>
        <w:spacing w:before="246" w:line="307" w:lineRule="auto"/>
        <w:ind w:left="124" w:right="130"/>
        <w:jc w:val="both"/>
        <w:rPr>
          <w:color w:val="333333"/>
          <w:w w:val="110"/>
        </w:rPr>
      </w:pPr>
      <w:r>
        <w:rPr>
          <w:color w:val="333333"/>
          <w:w w:val="110"/>
        </w:rPr>
        <w:t>When upgrading to a new feature release, some properties may have been renamed or removed. Spring Boot provides a way to analyze your application’s environment and print diagnostics at startup, but also temporarily migrate properties at runtime for you. To enable that feature, add the following dependency to your project:</w:t>
      </w:r>
    </w:p>
    <w:p w14:paraId="117E76B5" w14:textId="33FB03DD" w:rsidR="00D72310" w:rsidRPr="00D72310" w:rsidRDefault="00D72310" w:rsidP="00D72310">
      <w:pPr>
        <w:pStyle w:val="10"/>
      </w:pPr>
      <w:r w:rsidRPr="00D72310">
        <w:t>当升级到新的特性版本时，一些属性可能已被重命名或删除。Spring Boot 提供了一种在启动时分析应用程序环境和打印诊断信息的方法，而且还可以在运行时为您临时迁移属性。要启用该特性，请在项目中添加以下依赖项:</w:t>
      </w:r>
    </w:p>
    <w:p w14:paraId="546BD860" w14:textId="77777777" w:rsidR="00A720EB" w:rsidRDefault="00E10349">
      <w:pPr>
        <w:pStyle w:val="a3"/>
        <w:spacing w:before="2"/>
        <w:rPr>
          <w:sz w:val="13"/>
          <w:lang w:eastAsia="zh-CN"/>
        </w:rPr>
      </w:pPr>
      <w:r>
        <w:pict w14:anchorId="3F3EE97B">
          <v:group id="_x0000_s4955" style="position:absolute;margin-left:47.85pt;margin-top:9.75pt;width:499.55pt;height:96.45pt;z-index:-15717376;mso-wrap-distance-left:0;mso-wrap-distance-right:0;mso-position-horizontal-relative:page" coordorigin="957,195" coordsize="9991,1929">
            <v:shape id="_x0000_s4958" style="position:absolute;left:964;top:202;width:9976;height:1914" coordorigin="965,202" coordsize="9976,1914" path="m10861,202r-9816,l1014,208r-26,18l971,251r-6,31l965,2036r6,31l988,2093r26,17l1045,2116r9816,l10892,2110r25,-17l10935,2067r6,-31l10941,282r-6,-31l10917,226r-25,-18l10861,202xe" fillcolor="#f5f5f5" stroked="f">
              <v:path arrowok="t"/>
            </v:shape>
            <v:shape id="_x0000_s4957" style="position:absolute;left:964;top:202;width:9976;height:1914" coordorigin="965,202" coordsize="9976,1914" path="m1045,202r9816,l10892,208r25,18l10935,251r6,31l10941,2036r-6,31l10917,2093r-25,17l10861,2116r-9816,l1014,2110r-26,-17l971,2067r-6,-31l965,282r6,-31l988,226r26,-18l1045,202xe" filled="f" strokecolor="#ccc">
              <v:path arrowok="t"/>
            </v:shape>
            <v:shape id="_x0000_s4956" type="#_x0000_t202" style="position:absolute;left:984;top:217;width:9938;height:1884" filled="f" stroked="f">
              <v:textbox inset="0,0,0,0">
                <w:txbxContent>
                  <w:p w14:paraId="234B447C" w14:textId="77777777" w:rsidR="00711A16" w:rsidRDefault="00711A16">
                    <w:pPr>
                      <w:spacing w:before="221"/>
                      <w:ind w:left="200"/>
                      <w:rPr>
                        <w:rFonts w:ascii="MS Gothic"/>
                      </w:rPr>
                    </w:pPr>
                    <w:r>
                      <w:rPr>
                        <w:rFonts w:ascii="MS Gothic"/>
                        <w:color w:val="333333"/>
                      </w:rPr>
                      <w:t>&lt;dependency&gt;</w:t>
                    </w:r>
                  </w:p>
                  <w:p w14:paraId="198F152D"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212C27CE" w14:textId="77777777" w:rsidR="00711A16" w:rsidRDefault="00711A16">
                    <w:pPr>
                      <w:spacing w:before="13"/>
                      <w:ind w:left="640"/>
                      <w:rPr>
                        <w:rFonts w:ascii="MS Gothic"/>
                      </w:rPr>
                    </w:pPr>
                    <w:r>
                      <w:rPr>
                        <w:rFonts w:ascii="MS Gothic"/>
                        <w:color w:val="333333"/>
                      </w:rPr>
                      <w:t>&lt;artifactId&gt;spring-boot-properties-migrator&lt;/artifactId&gt;</w:t>
                    </w:r>
                  </w:p>
                  <w:p w14:paraId="35FFD61D" w14:textId="77777777" w:rsidR="00711A16" w:rsidRDefault="00711A16">
                    <w:pPr>
                      <w:spacing w:before="13"/>
                      <w:ind w:left="640"/>
                      <w:rPr>
                        <w:rFonts w:ascii="MS Gothic"/>
                      </w:rPr>
                    </w:pPr>
                    <w:r>
                      <w:rPr>
                        <w:rFonts w:ascii="MS Gothic"/>
                        <w:color w:val="333333"/>
                      </w:rPr>
                      <w:t>&lt;scope&gt;runtime&lt;/scope&gt;</w:t>
                    </w:r>
                  </w:p>
                  <w:p w14:paraId="32C5ECEE" w14:textId="77777777" w:rsidR="00711A16" w:rsidRDefault="00711A16">
                    <w:pPr>
                      <w:spacing w:before="12"/>
                      <w:ind w:left="200"/>
                      <w:rPr>
                        <w:rFonts w:ascii="MS Gothic"/>
                      </w:rPr>
                    </w:pPr>
                    <w:r>
                      <w:rPr>
                        <w:rFonts w:ascii="MS Gothic"/>
                        <w:color w:val="333333"/>
                      </w:rPr>
                      <w:t>&lt;/dependency&gt;</w:t>
                    </w:r>
                  </w:p>
                </w:txbxContent>
              </v:textbox>
            </v:shape>
            <w10:wrap type="topAndBottom" anchorx="page"/>
          </v:group>
        </w:pict>
      </w:r>
    </w:p>
    <w:p w14:paraId="4858C3B3" w14:textId="77777777" w:rsidR="00A720EB" w:rsidRDefault="00A720EB">
      <w:pPr>
        <w:pStyle w:val="a3"/>
        <w:spacing w:before="10"/>
        <w:rPr>
          <w:sz w:val="16"/>
          <w:lang w:eastAsia="zh-CN"/>
        </w:rPr>
      </w:pPr>
    </w:p>
    <w:p w14:paraId="1058884A" w14:textId="77777777" w:rsidR="00A720EB" w:rsidRDefault="00E10349">
      <w:pPr>
        <w:pStyle w:val="a3"/>
        <w:spacing w:before="125"/>
        <w:ind w:left="1564"/>
        <w:rPr>
          <w:lang w:eastAsia="zh-CN"/>
        </w:rPr>
      </w:pPr>
      <w:r>
        <w:pict w14:anchorId="6B8FDD30">
          <v:line id="_x0000_s4954" style="position:absolute;left:0;text-align:left;z-index:15741440;mso-position-horizontal-relative:page" from="108.25pt,.25pt" to="108.25pt,39.8pt" strokecolor="#ededed" strokeweight=".5pt">
            <w10:wrap anchorx="page"/>
          </v:line>
        </w:pict>
      </w:r>
      <w:r w:rsidR="0030286B">
        <w:rPr>
          <w:noProof/>
        </w:rPr>
        <w:drawing>
          <wp:anchor distT="0" distB="0" distL="0" distR="0" simplePos="0" relativeHeight="15741952" behindDoc="0" locked="0" layoutInCell="1" allowOverlap="1" wp14:anchorId="09255B8C" wp14:editId="7935CCEB">
            <wp:simplePos x="0" y="0"/>
            <wp:positionH relativeFrom="page">
              <wp:posOffset>815847</wp:posOffset>
            </wp:positionH>
            <wp:positionV relativeFrom="paragraph">
              <wp:posOffset>102146</wp:posOffset>
            </wp:positionV>
            <wp:extent cx="355600" cy="304800"/>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lang w:eastAsia="zh-CN"/>
        </w:rPr>
        <w:t>Properties that are added late to the environment, such as when using</w:t>
      </w:r>
    </w:p>
    <w:p w14:paraId="2F7145B1" w14:textId="6A0810C7" w:rsidR="00A720EB" w:rsidRDefault="0030286B">
      <w:pPr>
        <w:pStyle w:val="a3"/>
        <w:spacing w:before="59"/>
        <w:ind w:left="1564"/>
        <w:rPr>
          <w:color w:val="333333"/>
          <w:w w:val="110"/>
        </w:rPr>
      </w:pPr>
      <w:r>
        <w:rPr>
          <w:rFonts w:ascii="MS Gothic"/>
          <w:color w:val="B02045"/>
          <w:w w:val="110"/>
        </w:rPr>
        <w:t>@PropertySource</w:t>
      </w:r>
      <w:r>
        <w:rPr>
          <w:color w:val="333333"/>
          <w:w w:val="110"/>
        </w:rPr>
        <w:t>, will not be taken into account.</w:t>
      </w:r>
    </w:p>
    <w:p w14:paraId="278B63BB" w14:textId="7E1543D1" w:rsidR="00A720EB" w:rsidRPr="00D72310" w:rsidRDefault="00D72310" w:rsidP="00D72310">
      <w:pPr>
        <w:pStyle w:val="10"/>
        <w:rPr>
          <w:rFonts w:eastAsiaTheme="minorEastAsia"/>
        </w:rPr>
      </w:pPr>
      <w:r w:rsidRPr="00D72310">
        <w:rPr>
          <w:rFonts w:hint="eastAsia"/>
        </w:rPr>
        <w:t>后期添加到环境中的属性，例如在使用</w:t>
      </w:r>
      <w:r w:rsidRPr="00D72310">
        <w:rPr>
          <w:rFonts w:ascii="Cambria" w:eastAsia="Cambria" w:hAnsi="Cambria" w:cs="Cambria"/>
        </w:rPr>
        <w:t>@PropertySource</w:t>
      </w:r>
      <w:r w:rsidRPr="00D72310">
        <w:rPr>
          <w:rFonts w:hint="eastAsia"/>
        </w:rPr>
        <w:t>，则不会考虑。</w:t>
      </w:r>
    </w:p>
    <w:p w14:paraId="7F5384D5" w14:textId="086EDA90" w:rsidR="00A720EB" w:rsidRDefault="00E10349" w:rsidP="00B25882">
      <w:pPr>
        <w:pStyle w:val="a3"/>
        <w:spacing w:line="307" w:lineRule="auto"/>
        <w:ind w:left="1564" w:right="462"/>
      </w:pPr>
      <w:r>
        <w:pict w14:anchorId="20034304">
          <v:line id="_x0000_s4953" style="position:absolute;left:0;text-align:left;z-index:15742464;mso-position-horizontal-relative:page" from="108.25pt,-6pt" to="108.25pt,33.55pt" strokecolor="#ededed" strokeweight=".5pt">
            <w10:wrap anchorx="page"/>
          </v:line>
        </w:pict>
      </w:r>
      <w:r w:rsidR="0030286B">
        <w:rPr>
          <w:noProof/>
        </w:rPr>
        <w:drawing>
          <wp:anchor distT="0" distB="0" distL="0" distR="0" simplePos="0" relativeHeight="15742976" behindDoc="0" locked="0" layoutInCell="1" allowOverlap="1" wp14:anchorId="382EBCCE" wp14:editId="740E0832">
            <wp:simplePos x="0" y="0"/>
            <wp:positionH relativeFrom="page">
              <wp:posOffset>844422</wp:posOffset>
            </wp:positionH>
            <wp:positionV relativeFrom="paragraph">
              <wp:posOffset>25946</wp:posOffset>
            </wp:positionV>
            <wp:extent cx="298450" cy="29845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Once you’re done with the migration, please make sure to </w:t>
      </w:r>
      <w:proofErr w:type="gramStart"/>
      <w:r w:rsidR="0030286B">
        <w:rPr>
          <w:color w:val="333333"/>
          <w:w w:val="110"/>
        </w:rPr>
        <w:t>remove  this</w:t>
      </w:r>
      <w:proofErr w:type="gramEnd"/>
      <w:r w:rsidR="0030286B">
        <w:rPr>
          <w:color w:val="333333"/>
          <w:w w:val="110"/>
        </w:rPr>
        <w:t xml:space="preserve">  module from your project’s</w:t>
      </w:r>
      <w:r w:rsidR="0030286B">
        <w:rPr>
          <w:color w:val="333333"/>
          <w:spacing w:val="8"/>
          <w:w w:val="110"/>
        </w:rPr>
        <w:t xml:space="preserve"> </w:t>
      </w:r>
      <w:r w:rsidR="0030286B">
        <w:rPr>
          <w:color w:val="333333"/>
          <w:w w:val="110"/>
        </w:rPr>
        <w:t>dependencies.</w:t>
      </w:r>
    </w:p>
    <w:p w14:paraId="5BEC1BF2" w14:textId="0BF90841" w:rsidR="00BD3847" w:rsidRDefault="00B25882" w:rsidP="00BD3847">
      <w:pPr>
        <w:pStyle w:val="10"/>
        <w:rPr>
          <w:color w:val="333333"/>
          <w:spacing w:val="-4"/>
        </w:rPr>
      </w:pPr>
      <w:r>
        <w:rPr>
          <w:rFonts w:hint="eastAsia"/>
        </w:rPr>
        <w:t>迁移完成后，</w:t>
      </w:r>
      <w:proofErr w:type="gramStart"/>
      <w:r>
        <w:rPr>
          <w:rFonts w:hint="eastAsia"/>
        </w:rPr>
        <w:t>请确保</w:t>
      </w:r>
      <w:proofErr w:type="gramEnd"/>
      <w:r>
        <w:rPr>
          <w:rFonts w:hint="eastAsia"/>
        </w:rPr>
        <w:t>从项目的依赖项中</w:t>
      </w:r>
      <w:proofErr w:type="gramStart"/>
      <w:r>
        <w:rPr>
          <w:rFonts w:hint="eastAsia"/>
        </w:rPr>
        <w:t>删除此</w:t>
      </w:r>
      <w:proofErr w:type="gramEnd"/>
      <w:r>
        <w:rPr>
          <w:rFonts w:hint="eastAsia"/>
        </w:rPr>
        <w:t>模块。</w:t>
      </w:r>
    </w:p>
    <w:p w14:paraId="2E9A7D02" w14:textId="0E728F32" w:rsidR="00A720EB" w:rsidRDefault="0030286B">
      <w:pPr>
        <w:pStyle w:val="a3"/>
        <w:spacing w:before="107" w:line="290" w:lineRule="auto"/>
        <w:ind w:left="124" w:right="122"/>
        <w:jc w:val="both"/>
        <w:rPr>
          <w:color w:val="333333"/>
          <w:w w:val="110"/>
        </w:rPr>
      </w:pPr>
      <w:r>
        <w:rPr>
          <w:color w:val="333333"/>
          <w:spacing w:val="-4"/>
          <w:w w:val="110"/>
        </w:rPr>
        <w:t xml:space="preserve">To </w:t>
      </w:r>
      <w:r>
        <w:rPr>
          <w:color w:val="333333"/>
          <w:w w:val="110"/>
        </w:rPr>
        <w:t>upgrade an existing CLI installation, use the appropriate package manager command (</w:t>
      </w:r>
      <w:proofErr w:type="gramStart"/>
      <w:r>
        <w:rPr>
          <w:color w:val="333333"/>
          <w:w w:val="110"/>
        </w:rPr>
        <w:t>for  example</w:t>
      </w:r>
      <w:proofErr w:type="gramEnd"/>
      <w:r>
        <w:rPr>
          <w:color w:val="333333"/>
          <w:w w:val="110"/>
        </w:rPr>
        <w:t xml:space="preserve">, </w:t>
      </w:r>
      <w:r>
        <w:rPr>
          <w:rFonts w:ascii="MS Gothic"/>
          <w:color w:val="B02045"/>
          <w:w w:val="110"/>
        </w:rPr>
        <w:t>brew upgrade</w:t>
      </w:r>
      <w:r>
        <w:rPr>
          <w:color w:val="333333"/>
          <w:w w:val="110"/>
        </w:rPr>
        <w:t xml:space="preserve">). If you manually installed the CLI, follow the </w:t>
      </w:r>
      <w:hyperlink w:anchor="_bookmark18" w:history="1">
        <w:r>
          <w:rPr>
            <w:color w:val="418BCA"/>
            <w:w w:val="110"/>
          </w:rPr>
          <w:t>standard instructions</w:t>
        </w:r>
      </w:hyperlink>
      <w:r>
        <w:rPr>
          <w:color w:val="333333"/>
          <w:w w:val="110"/>
        </w:rPr>
        <w:t xml:space="preserve">, remembering to update your </w:t>
      </w:r>
      <w:r>
        <w:rPr>
          <w:rFonts w:ascii="MS Gothic"/>
          <w:color w:val="B02045"/>
          <w:w w:val="110"/>
        </w:rPr>
        <w:t xml:space="preserve">PATH </w:t>
      </w:r>
      <w:r>
        <w:rPr>
          <w:color w:val="333333"/>
          <w:w w:val="110"/>
        </w:rPr>
        <w:t>environment variable to remove any older</w:t>
      </w:r>
      <w:r>
        <w:rPr>
          <w:color w:val="333333"/>
          <w:spacing w:val="-14"/>
          <w:w w:val="110"/>
        </w:rPr>
        <w:t xml:space="preserve"> </w:t>
      </w:r>
      <w:r>
        <w:rPr>
          <w:color w:val="333333"/>
          <w:w w:val="110"/>
        </w:rPr>
        <w:t>references.</w:t>
      </w:r>
    </w:p>
    <w:p w14:paraId="77BA9209" w14:textId="24E549C2" w:rsidR="00A720EB" w:rsidRPr="00B25882" w:rsidRDefault="00B25882" w:rsidP="00B25882">
      <w:pPr>
        <w:pStyle w:val="10"/>
      </w:pPr>
      <w:r w:rsidRPr="00B25882">
        <w:t>要升级现有CLI安装，请使用相应的软件包管理器命令(例如，BREW升级)。 如果手动安装了CLI，请按照标准说明操作，记住要更新PATH环境变量以删除任何较旧的引用。</w:t>
      </w:r>
    </w:p>
    <w:p w14:paraId="4B815B14" w14:textId="4934BB1F" w:rsidR="00A720EB" w:rsidRPr="00B25882" w:rsidRDefault="0030286B">
      <w:pPr>
        <w:pStyle w:val="2"/>
        <w:numPr>
          <w:ilvl w:val="1"/>
          <w:numId w:val="78"/>
        </w:numPr>
        <w:tabs>
          <w:tab w:val="left" w:pos="832"/>
        </w:tabs>
        <w:rPr>
          <w:color w:val="E36C0A" w:themeColor="accent6" w:themeShade="BF"/>
        </w:rPr>
      </w:pPr>
      <w:bookmarkStart w:id="46" w:name="2.4._Developing_Your_First_Spring_Boot_A"/>
      <w:bookmarkStart w:id="47" w:name="_Toc54423671"/>
      <w:bookmarkEnd w:id="46"/>
      <w:r>
        <w:rPr>
          <w:color w:val="333333"/>
          <w:w w:val="110"/>
        </w:rPr>
        <w:t xml:space="preserve">Developing </w:t>
      </w:r>
      <w:r>
        <w:rPr>
          <w:color w:val="333333"/>
          <w:spacing w:val="-7"/>
          <w:w w:val="110"/>
        </w:rPr>
        <w:t xml:space="preserve">Your </w:t>
      </w:r>
      <w:r>
        <w:rPr>
          <w:color w:val="333333"/>
          <w:w w:val="110"/>
        </w:rPr>
        <w:t>First Spring Boot</w:t>
      </w:r>
      <w:r>
        <w:rPr>
          <w:color w:val="333333"/>
          <w:spacing w:val="-61"/>
          <w:w w:val="110"/>
        </w:rPr>
        <w:t xml:space="preserve"> </w:t>
      </w:r>
      <w:r>
        <w:rPr>
          <w:color w:val="333333"/>
          <w:w w:val="110"/>
        </w:rPr>
        <w:t>Application</w:t>
      </w:r>
      <w:r w:rsidR="00B25882">
        <w:rPr>
          <w:color w:val="333333"/>
          <w:w w:val="110"/>
        </w:rPr>
        <w:t xml:space="preserve"> </w:t>
      </w:r>
      <w:r w:rsidR="00B25882" w:rsidRPr="00B25882">
        <w:rPr>
          <w:rFonts w:ascii="宋体" w:eastAsia="宋体" w:hAnsi="宋体" w:cs="宋体" w:hint="eastAsia"/>
          <w:color w:val="E36C0A" w:themeColor="accent6" w:themeShade="BF"/>
          <w:w w:val="110"/>
        </w:rPr>
        <w:t>开发您的第一个</w:t>
      </w:r>
      <w:r w:rsidR="00B25882" w:rsidRPr="00B25882">
        <w:rPr>
          <w:color w:val="E36C0A" w:themeColor="accent6" w:themeShade="BF"/>
          <w:w w:val="110"/>
        </w:rPr>
        <w:t>Spring Boot</w:t>
      </w:r>
      <w:r w:rsidR="00B25882" w:rsidRPr="00B25882">
        <w:rPr>
          <w:rFonts w:ascii="宋体" w:eastAsia="宋体" w:hAnsi="宋体" w:cs="宋体" w:hint="eastAsia"/>
          <w:color w:val="E36C0A" w:themeColor="accent6" w:themeShade="BF"/>
          <w:w w:val="110"/>
        </w:rPr>
        <w:t>应用程序</w:t>
      </w:r>
      <w:bookmarkEnd w:id="47"/>
    </w:p>
    <w:p w14:paraId="3C8FF930" w14:textId="192E30DC" w:rsidR="00A720EB" w:rsidRDefault="0030286B">
      <w:pPr>
        <w:pStyle w:val="a3"/>
        <w:spacing w:before="253" w:line="307" w:lineRule="auto"/>
        <w:ind w:left="124" w:right="134"/>
        <w:jc w:val="both"/>
        <w:rPr>
          <w:color w:val="333333"/>
          <w:w w:val="110"/>
        </w:rPr>
      </w:pPr>
      <w:r>
        <w:rPr>
          <w:color w:val="333333"/>
          <w:w w:val="110"/>
        </w:rPr>
        <w:t xml:space="preserve">This section describes how to develop a small “Hello </w:t>
      </w:r>
      <w:r>
        <w:rPr>
          <w:color w:val="333333"/>
          <w:spacing w:val="-3"/>
          <w:w w:val="110"/>
        </w:rPr>
        <w:t xml:space="preserve">World!”  </w:t>
      </w:r>
      <w:r>
        <w:rPr>
          <w:color w:val="333333"/>
          <w:w w:val="110"/>
        </w:rPr>
        <w:t xml:space="preserve">web application that highlights some   of Spring Boot’s key features. </w:t>
      </w:r>
      <w:r>
        <w:rPr>
          <w:color w:val="333333"/>
          <w:spacing w:val="-7"/>
          <w:w w:val="110"/>
        </w:rPr>
        <w:t>We</w:t>
      </w:r>
      <w:r>
        <w:rPr>
          <w:color w:val="333333"/>
          <w:spacing w:val="8"/>
          <w:w w:val="110"/>
        </w:rPr>
        <w:t xml:space="preserve"> </w:t>
      </w:r>
      <w:r>
        <w:rPr>
          <w:color w:val="333333"/>
          <w:w w:val="110"/>
        </w:rPr>
        <w:t>use Maven to build this project, since most IDEs support it.</w:t>
      </w:r>
    </w:p>
    <w:p w14:paraId="1C15158E" w14:textId="171D595D" w:rsidR="00350798" w:rsidRDefault="00350798" w:rsidP="00350798">
      <w:pPr>
        <w:pStyle w:val="10"/>
      </w:pPr>
      <w:r>
        <w:rPr>
          <w:rFonts w:hint="eastAsia"/>
        </w:rPr>
        <w:t>本节描述如何开发一个小型</w:t>
      </w:r>
      <w:r>
        <w:rPr>
          <w:rFonts w:ascii="Helvetica" w:hAnsi="Helvetica" w:cs="Helvetica"/>
        </w:rPr>
        <w:t>“Hello World!”</w:t>
      </w:r>
      <w:r>
        <w:rPr>
          <w:rFonts w:hint="eastAsia"/>
        </w:rPr>
        <w:t>这个</w:t>
      </w:r>
      <w:r>
        <w:rPr>
          <w:rFonts w:ascii="Helvetica" w:hAnsi="Helvetica" w:cs="Helvetica"/>
        </w:rPr>
        <w:t>web</w:t>
      </w:r>
      <w:r>
        <w:rPr>
          <w:rFonts w:hint="eastAsia"/>
        </w:rPr>
        <w:t>应用程序突出了</w:t>
      </w:r>
      <w:r>
        <w:rPr>
          <w:rFonts w:ascii="Helvetica" w:hAnsi="Helvetica" w:cs="Helvetica"/>
        </w:rPr>
        <w:t>Spring Boot</w:t>
      </w:r>
      <w:r>
        <w:rPr>
          <w:rFonts w:hint="eastAsia"/>
        </w:rPr>
        <w:t>的一些关键特性。我们使用</w:t>
      </w:r>
      <w:r>
        <w:rPr>
          <w:rFonts w:ascii="Helvetica" w:hAnsi="Helvetica" w:cs="Helvetica"/>
        </w:rPr>
        <w:t>Maven</w:t>
      </w:r>
      <w:r>
        <w:rPr>
          <w:rFonts w:hint="eastAsia"/>
        </w:rPr>
        <w:t>来构建这个项目，因为大多数</w:t>
      </w:r>
      <w:r>
        <w:rPr>
          <w:rFonts w:ascii="Helvetica" w:hAnsi="Helvetica" w:cs="Helvetica"/>
        </w:rPr>
        <w:t>ide</w:t>
      </w:r>
      <w:r>
        <w:rPr>
          <w:rFonts w:hint="eastAsia"/>
        </w:rPr>
        <w:t>都支持它。</w:t>
      </w:r>
    </w:p>
    <w:p w14:paraId="7A5787FE" w14:textId="25601A86" w:rsidR="00A720EB" w:rsidRDefault="00E10349">
      <w:pPr>
        <w:pStyle w:val="a3"/>
        <w:spacing w:before="8"/>
        <w:rPr>
          <w:sz w:val="16"/>
          <w:lang w:eastAsia="zh-CN"/>
        </w:rPr>
      </w:pPr>
      <w:r>
        <w:pict w14:anchorId="595D4C71">
          <v:line id="_x0000_s4952" style="position:absolute;flip:x;z-index:15744512;mso-position-horizontal-relative:page" from="107.2pt,10.05pt" to="108.25pt,195.25pt" strokecolor="#ededed" strokeweight=".5pt">
            <w10:wrap anchorx="page"/>
          </v:line>
        </w:pict>
      </w:r>
    </w:p>
    <w:p w14:paraId="0B090826" w14:textId="0B646414" w:rsidR="00A720EB" w:rsidRDefault="0030286B">
      <w:pPr>
        <w:pStyle w:val="a3"/>
        <w:spacing w:before="126" w:line="307" w:lineRule="auto"/>
        <w:ind w:left="1564" w:right="365"/>
        <w:jc w:val="both"/>
        <w:rPr>
          <w:color w:val="333333"/>
          <w:w w:val="110"/>
        </w:rPr>
      </w:pPr>
      <w:r>
        <w:rPr>
          <w:color w:val="333333"/>
          <w:w w:val="110"/>
        </w:rPr>
        <w:t xml:space="preserve">The </w:t>
      </w:r>
      <w:hyperlink r:id="rId54">
        <w:r>
          <w:rPr>
            <w:color w:val="418BCA"/>
            <w:w w:val="110"/>
          </w:rPr>
          <w:t xml:space="preserve">spring.io </w:t>
        </w:r>
      </w:hyperlink>
      <w:r>
        <w:rPr>
          <w:color w:val="333333"/>
          <w:w w:val="110"/>
        </w:rPr>
        <w:t xml:space="preserve">web site contains many “Getting Started” </w:t>
      </w:r>
      <w:hyperlink r:id="rId55">
        <w:r>
          <w:rPr>
            <w:color w:val="418BCA"/>
            <w:w w:val="110"/>
          </w:rPr>
          <w:t xml:space="preserve">guides </w:t>
        </w:r>
      </w:hyperlink>
      <w:r>
        <w:rPr>
          <w:color w:val="333333"/>
          <w:w w:val="110"/>
        </w:rPr>
        <w:t>that use Spring Boot. If you need to solve a specific problem, check there first.</w:t>
      </w:r>
    </w:p>
    <w:p w14:paraId="036FC3C4" w14:textId="4CEA2838" w:rsidR="00350798" w:rsidRDefault="00350798" w:rsidP="00350798">
      <w:pPr>
        <w:pStyle w:val="10"/>
        <w:ind w:left="968" w:firstLine="596"/>
      </w:pPr>
      <w:r>
        <w:rPr>
          <w:rFonts w:ascii="Helvetica" w:hAnsi="Helvetica" w:cs="Helvetica"/>
        </w:rPr>
        <w:t>spring.io</w:t>
      </w:r>
      <w:r>
        <w:rPr>
          <w:rFonts w:hint="eastAsia"/>
        </w:rPr>
        <w:t>网站包含许多使用</w:t>
      </w:r>
      <w:r>
        <w:rPr>
          <w:rFonts w:ascii="Helvetica" w:hAnsi="Helvetica" w:cs="Helvetica"/>
        </w:rPr>
        <w:t>Spring Boot</w:t>
      </w:r>
      <w:r>
        <w:rPr>
          <w:rFonts w:hint="eastAsia"/>
        </w:rPr>
        <w:t>的</w:t>
      </w:r>
      <w:r>
        <w:rPr>
          <w:rFonts w:ascii="Helvetica" w:hAnsi="Helvetica" w:cs="Helvetica"/>
        </w:rPr>
        <w:t>“</w:t>
      </w:r>
      <w:r>
        <w:rPr>
          <w:rFonts w:hint="eastAsia"/>
        </w:rPr>
        <w:t>入门</w:t>
      </w:r>
      <w:r>
        <w:rPr>
          <w:rFonts w:ascii="Helvetica" w:hAnsi="Helvetica" w:cs="Helvetica"/>
        </w:rPr>
        <w:t>”</w:t>
      </w:r>
      <w:r>
        <w:rPr>
          <w:rFonts w:hint="eastAsia"/>
        </w:rPr>
        <w:t>指南。</w:t>
      </w:r>
      <w:r>
        <w:rPr>
          <w:rFonts w:ascii="Helvetica" w:hAnsi="Helvetica" w:cs="Helvetica"/>
        </w:rPr>
        <w:t xml:space="preserve"> </w:t>
      </w:r>
      <w:r>
        <w:rPr>
          <w:rFonts w:hint="eastAsia"/>
        </w:rPr>
        <w:t>如果您需要解决特定问题，请首先检查。</w:t>
      </w:r>
    </w:p>
    <w:p w14:paraId="748A4A6E" w14:textId="5E4EAF41" w:rsidR="00A720EB" w:rsidRDefault="0030286B">
      <w:pPr>
        <w:pStyle w:val="a3"/>
        <w:spacing w:before="241" w:line="307" w:lineRule="auto"/>
        <w:ind w:left="1564" w:right="363"/>
        <w:jc w:val="both"/>
        <w:rPr>
          <w:color w:val="333333"/>
          <w:w w:val="110"/>
        </w:rPr>
      </w:pPr>
      <w:r>
        <w:rPr>
          <w:noProof/>
        </w:rPr>
        <w:drawing>
          <wp:anchor distT="0" distB="0" distL="0" distR="0" simplePos="0" relativeHeight="251652608" behindDoc="0" locked="0" layoutInCell="1" allowOverlap="1" wp14:anchorId="6B4A62A4" wp14:editId="037D8911">
            <wp:simplePos x="0" y="0"/>
            <wp:positionH relativeFrom="page">
              <wp:posOffset>883285</wp:posOffset>
            </wp:positionH>
            <wp:positionV relativeFrom="paragraph">
              <wp:posOffset>363220</wp:posOffset>
            </wp:positionV>
            <wp:extent cx="209550" cy="304800"/>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31" cstate="print"/>
                    <a:stretch>
                      <a:fillRect/>
                    </a:stretch>
                  </pic:blipFill>
                  <pic:spPr>
                    <a:xfrm>
                      <a:off x="0" y="0"/>
                      <a:ext cx="209550" cy="304800"/>
                    </a:xfrm>
                    <a:prstGeom prst="rect">
                      <a:avLst/>
                    </a:prstGeom>
                  </pic:spPr>
                </pic:pic>
              </a:graphicData>
            </a:graphic>
          </wp:anchor>
        </w:drawing>
      </w:r>
      <w:r>
        <w:rPr>
          <w:color w:val="333333"/>
          <w:spacing w:val="-6"/>
          <w:w w:val="110"/>
        </w:rPr>
        <w:t xml:space="preserve">You </w:t>
      </w:r>
      <w:r>
        <w:rPr>
          <w:color w:val="333333"/>
          <w:w w:val="110"/>
        </w:rPr>
        <w:t xml:space="preserve">can shortcut the steps below </w:t>
      </w:r>
      <w:r>
        <w:rPr>
          <w:color w:val="333333"/>
          <w:spacing w:val="-3"/>
          <w:w w:val="110"/>
        </w:rPr>
        <w:t xml:space="preserve">by </w:t>
      </w:r>
      <w:r>
        <w:rPr>
          <w:color w:val="333333"/>
          <w:w w:val="110"/>
        </w:rPr>
        <w:t xml:space="preserve">going to </w:t>
      </w:r>
      <w:hyperlink r:id="rId56">
        <w:r>
          <w:rPr>
            <w:color w:val="418BCA"/>
            <w:w w:val="110"/>
          </w:rPr>
          <w:t xml:space="preserve">start.spring.io </w:t>
        </w:r>
      </w:hyperlink>
      <w:r>
        <w:rPr>
          <w:color w:val="333333"/>
          <w:w w:val="110"/>
        </w:rPr>
        <w:t xml:space="preserve">and choosing the </w:t>
      </w:r>
      <w:r>
        <w:rPr>
          <w:color w:val="333333"/>
          <w:spacing w:val="-4"/>
          <w:w w:val="110"/>
        </w:rPr>
        <w:t xml:space="preserve">"Web" </w:t>
      </w:r>
      <w:r>
        <w:rPr>
          <w:color w:val="333333"/>
          <w:w w:val="110"/>
        </w:rPr>
        <w:t xml:space="preserve">starter from the </w:t>
      </w:r>
      <w:proofErr w:type="gramStart"/>
      <w:r>
        <w:rPr>
          <w:color w:val="333333"/>
          <w:w w:val="110"/>
        </w:rPr>
        <w:t>dependencies</w:t>
      </w:r>
      <w:proofErr w:type="gramEnd"/>
      <w:r>
        <w:rPr>
          <w:color w:val="333333"/>
          <w:w w:val="110"/>
        </w:rPr>
        <w:t xml:space="preserve"> searcher. Doing so generates </w:t>
      </w:r>
      <w:proofErr w:type="gramStart"/>
      <w:r>
        <w:rPr>
          <w:color w:val="333333"/>
          <w:w w:val="110"/>
        </w:rPr>
        <w:t>a  new</w:t>
      </w:r>
      <w:proofErr w:type="gramEnd"/>
      <w:r>
        <w:rPr>
          <w:color w:val="333333"/>
          <w:w w:val="110"/>
        </w:rPr>
        <w:t xml:space="preserve">  project structure so that you can </w:t>
      </w:r>
      <w:hyperlink w:anchor="_bookmark29" w:history="1">
        <w:r>
          <w:rPr>
            <w:color w:val="418BCA"/>
            <w:w w:val="110"/>
          </w:rPr>
          <w:t>start coding right away</w:t>
        </w:r>
      </w:hyperlink>
      <w:r>
        <w:rPr>
          <w:color w:val="333333"/>
          <w:w w:val="110"/>
        </w:rPr>
        <w:t xml:space="preserve">. Check the </w:t>
      </w:r>
      <w:hyperlink r:id="rId57" w:anchor="user-guide">
        <w:r>
          <w:rPr>
            <w:color w:val="418BCA"/>
            <w:w w:val="110"/>
          </w:rPr>
          <w:t>Spring Initializr</w:t>
        </w:r>
      </w:hyperlink>
      <w:r>
        <w:rPr>
          <w:color w:val="418BCA"/>
          <w:w w:val="110"/>
        </w:rPr>
        <w:t xml:space="preserve"> </w:t>
      </w:r>
      <w:hyperlink r:id="rId58" w:anchor="user-guide">
        <w:r>
          <w:rPr>
            <w:color w:val="418BCA"/>
            <w:w w:val="110"/>
          </w:rPr>
          <w:t xml:space="preserve">documentation </w:t>
        </w:r>
      </w:hyperlink>
      <w:r>
        <w:rPr>
          <w:color w:val="333333"/>
          <w:w w:val="110"/>
        </w:rPr>
        <w:t>for more</w:t>
      </w:r>
      <w:r>
        <w:rPr>
          <w:color w:val="333333"/>
          <w:spacing w:val="10"/>
          <w:w w:val="110"/>
        </w:rPr>
        <w:t xml:space="preserve"> </w:t>
      </w:r>
      <w:r>
        <w:rPr>
          <w:color w:val="333333"/>
          <w:w w:val="110"/>
        </w:rPr>
        <w:t>details.</w:t>
      </w:r>
    </w:p>
    <w:p w14:paraId="0BA63A1E" w14:textId="2959DCC3" w:rsidR="00350798" w:rsidRDefault="00350798" w:rsidP="00350798">
      <w:pPr>
        <w:pStyle w:val="10"/>
        <w:ind w:left="1440" w:firstLine="124"/>
      </w:pPr>
      <w:r>
        <w:rPr>
          <w:rFonts w:hint="eastAsia"/>
        </w:rPr>
        <w:t>您可以通过访问</w:t>
      </w:r>
      <w:r>
        <w:rPr>
          <w:rFonts w:ascii="Helvetica" w:hAnsi="Helvetica" w:cs="Helvetica"/>
        </w:rPr>
        <w:t xml:space="preserve"> start.spring.io </w:t>
      </w:r>
      <w:r>
        <w:rPr>
          <w:rFonts w:hint="eastAsia"/>
        </w:rPr>
        <w:t>并从依赖项</w:t>
      </w:r>
      <w:r>
        <w:rPr>
          <w:rFonts w:ascii="Helvetica" w:hAnsi="Helvetica" w:cs="Helvetica"/>
        </w:rPr>
        <w:t xml:space="preserve">/searcher </w:t>
      </w:r>
      <w:r>
        <w:rPr>
          <w:rFonts w:hint="eastAsia"/>
        </w:rPr>
        <w:t>中选择</w:t>
      </w:r>
      <w:r>
        <w:rPr>
          <w:rFonts w:ascii="Helvetica" w:hAnsi="Helvetica" w:cs="Helvetica"/>
        </w:rPr>
        <w:t xml:space="preserve">“ Web” starter </w:t>
      </w:r>
      <w:r>
        <w:rPr>
          <w:rFonts w:hint="eastAsia"/>
        </w:rPr>
        <w:t>来快捷完成下面的步骤。这样做会生成一个新的项目结构，以便您可以立即开始编码。有关更多详细信息，请查看</w:t>
      </w:r>
      <w:r>
        <w:rPr>
          <w:rFonts w:ascii="Helvetica" w:hAnsi="Helvetica" w:cs="Helvetica"/>
        </w:rPr>
        <w:t>Spring Initializr</w:t>
      </w:r>
      <w:r>
        <w:rPr>
          <w:rFonts w:hint="eastAsia"/>
        </w:rPr>
        <w:t>文档。</w:t>
      </w:r>
    </w:p>
    <w:p w14:paraId="785659BD" w14:textId="77777777" w:rsidR="00A720EB" w:rsidRDefault="00A720EB">
      <w:pPr>
        <w:pStyle w:val="a3"/>
        <w:spacing w:before="9"/>
        <w:rPr>
          <w:sz w:val="16"/>
          <w:lang w:eastAsia="zh-CN"/>
        </w:rPr>
      </w:pPr>
    </w:p>
    <w:p w14:paraId="23BDAA90" w14:textId="3ADE507E" w:rsidR="00A720EB" w:rsidRDefault="0030286B">
      <w:pPr>
        <w:pStyle w:val="a3"/>
        <w:spacing w:before="125" w:line="307" w:lineRule="auto"/>
        <w:ind w:left="124"/>
        <w:rPr>
          <w:color w:val="333333"/>
          <w:w w:val="110"/>
          <w:lang w:eastAsia="zh-CN"/>
        </w:rPr>
      </w:pPr>
      <w:r>
        <w:rPr>
          <w:color w:val="333333"/>
          <w:w w:val="110"/>
          <w:lang w:eastAsia="zh-CN"/>
        </w:rPr>
        <w:t>Before we begin, open a terminal and run the following commands to ensure that you have valid versions of Java and Maven installed:</w:t>
      </w:r>
    </w:p>
    <w:p w14:paraId="7DC2C16B" w14:textId="0EEB76D5" w:rsidR="00350798" w:rsidRPr="00350798" w:rsidRDefault="00350798" w:rsidP="00350798">
      <w:pPr>
        <w:pStyle w:val="10"/>
      </w:pPr>
      <w:r w:rsidRPr="00350798">
        <w:t>在我们开始之前，打开一个终端并运行以下命令，以确保你已经安装了 Java 和 Maven 的有效版本:</w:t>
      </w:r>
    </w:p>
    <w:p w14:paraId="3E451660" w14:textId="77777777" w:rsidR="00A720EB" w:rsidRDefault="00E10349">
      <w:pPr>
        <w:pStyle w:val="a3"/>
        <w:spacing w:before="1"/>
        <w:rPr>
          <w:sz w:val="13"/>
          <w:lang w:eastAsia="zh-CN"/>
        </w:rPr>
      </w:pPr>
      <w:r>
        <w:pict w14:anchorId="4D95AF2B">
          <v:group id="_x0000_s4948" style="position:absolute;margin-left:47.85pt;margin-top:9.7pt;width:499.55pt;height:81.75pt;z-index:-15713792;mso-wrap-distance-left:0;mso-wrap-distance-right:0;mso-position-horizontal-relative:page" coordorigin="957,194" coordsize="9991,1635">
            <v:shape id="_x0000_s4951" style="position:absolute;left:964;top:201;width:9976;height:1620" coordorigin="965,201" coordsize="9976,1620" path="m10861,201r-9816,l1014,208r-26,17l971,250r-6,31l965,1741r6,31l988,1797r26,17l1045,1821r9816,l10892,1814r25,-17l10935,1772r6,-31l10941,281r-6,-31l10917,225r-25,-17l10861,201xe" fillcolor="#f5f5f5" stroked="f">
              <v:path arrowok="t"/>
            </v:shape>
            <v:shape id="_x0000_s4950" style="position:absolute;left:964;top:201;width:9976;height:1620" coordorigin="965,201" coordsize="9976,1620" path="m1045,201r9816,l10892,208r25,17l10935,250r6,31l10941,1741r-6,31l10917,1797r-25,17l10861,1821r-9816,l1014,1814r-26,-17l971,1772r-6,-31l965,281r6,-31l988,225r26,-17l1045,201xe" filled="f" strokecolor="#ccc">
              <v:path arrowok="t"/>
            </v:shape>
            <v:shape id="_x0000_s4949" type="#_x0000_t202" style="position:absolute;left:984;top:216;width:9938;height:1589" filled="f" stroked="f">
              <v:textbox inset="0,0,0,0">
                <w:txbxContent>
                  <w:p w14:paraId="3CAE2147" w14:textId="77777777" w:rsidR="00711A16" w:rsidRDefault="00711A16">
                    <w:pPr>
                      <w:spacing w:before="221"/>
                      <w:ind w:left="200"/>
                      <w:rPr>
                        <w:rFonts w:ascii="MS Gothic"/>
                      </w:rPr>
                    </w:pPr>
                    <w:r>
                      <w:rPr>
                        <w:rFonts w:ascii="MS Gothic"/>
                        <w:color w:val="333333"/>
                      </w:rPr>
                      <w:t>$ java -version</w:t>
                    </w:r>
                  </w:p>
                  <w:p w14:paraId="7F3F8438" w14:textId="77777777" w:rsidR="00711A16" w:rsidRDefault="00711A16">
                    <w:pPr>
                      <w:spacing w:before="13"/>
                      <w:ind w:left="200"/>
                      <w:rPr>
                        <w:rFonts w:ascii="MS Gothic"/>
                      </w:rPr>
                    </w:pPr>
                    <w:r>
                      <w:rPr>
                        <w:rFonts w:ascii="MS Gothic"/>
                        <w:color w:val="333333"/>
                      </w:rPr>
                      <w:t>java version "1.8.0_102"</w:t>
                    </w:r>
                  </w:p>
                  <w:p w14:paraId="42C059F8" w14:textId="77777777" w:rsidR="00711A16" w:rsidRDefault="00711A16">
                    <w:pPr>
                      <w:spacing w:before="13"/>
                      <w:ind w:left="200"/>
                      <w:rPr>
                        <w:rFonts w:ascii="MS Gothic"/>
                      </w:rPr>
                    </w:pPr>
                    <w:proofErr w:type="gramStart"/>
                    <w:r>
                      <w:rPr>
                        <w:rFonts w:ascii="MS Gothic"/>
                        <w:color w:val="333333"/>
                      </w:rPr>
                      <w:t>Java(</w:t>
                    </w:r>
                    <w:proofErr w:type="gramEnd"/>
                    <w:r>
                      <w:rPr>
                        <w:rFonts w:ascii="MS Gothic"/>
                        <w:color w:val="333333"/>
                      </w:rPr>
                      <w:t>TM) SE Runtime Environment (build 1.8.0_102-b14)</w:t>
                    </w:r>
                  </w:p>
                  <w:p w14:paraId="68486239" w14:textId="77777777" w:rsidR="00711A16" w:rsidRDefault="00711A16">
                    <w:pPr>
                      <w:spacing w:before="13"/>
                      <w:ind w:left="200"/>
                      <w:rPr>
                        <w:rFonts w:ascii="MS Gothic"/>
                      </w:rPr>
                    </w:pPr>
                    <w:r>
                      <w:rPr>
                        <w:rFonts w:ascii="MS Gothic"/>
                        <w:color w:val="333333"/>
                      </w:rPr>
                      <w:t xml:space="preserve">Java </w:t>
                    </w:r>
                    <w:proofErr w:type="gramStart"/>
                    <w:r>
                      <w:rPr>
                        <w:rFonts w:ascii="MS Gothic"/>
                        <w:color w:val="333333"/>
                      </w:rPr>
                      <w:t>HotSpot(</w:t>
                    </w:r>
                    <w:proofErr w:type="gramEnd"/>
                    <w:r>
                      <w:rPr>
                        <w:rFonts w:ascii="MS Gothic"/>
                        <w:color w:val="333333"/>
                      </w:rPr>
                      <w:t>TM) 64-Bit Server VM (build 25.102-b14, mixed mode)</w:t>
                    </w:r>
                  </w:p>
                </w:txbxContent>
              </v:textbox>
            </v:shape>
            <w10:wrap type="topAndBottom" anchorx="page"/>
          </v:group>
        </w:pict>
      </w:r>
      <w:r>
        <w:pict w14:anchorId="026DEDF9">
          <v:group id="_x0000_s4944" style="position:absolute;margin-left:47.85pt;margin-top:102.65pt;width:499.55pt;height:96.45pt;z-index:-15713280;mso-wrap-distance-left:0;mso-wrap-distance-right:0;mso-position-horizontal-relative:page" coordorigin="957,2053" coordsize="9991,1929">
            <v:shape id="_x0000_s4947" style="position:absolute;left:964;top:2060;width:9976;height:1914" coordorigin="965,2061" coordsize="9976,1914" path="m10861,2061r-9816,l1014,2067r-26,17l971,2109r-6,32l965,3895r6,31l988,3951r26,17l1045,3975r9816,l10892,3968r25,-17l10935,3926r6,-31l10941,2141r-6,-32l10917,2084r-25,-17l10861,2061xe" fillcolor="#f5f5f5" stroked="f">
              <v:path arrowok="t"/>
            </v:shape>
            <v:shape id="_x0000_s4946" style="position:absolute;left:964;top:2060;width:9976;height:1914" coordorigin="965,2061" coordsize="9976,1914" path="m1045,2061r9816,l10892,2067r25,17l10935,2109r6,32l10941,3895r-6,31l10917,3951r-25,17l10861,3975r-9816,l1014,3968r-26,-17l971,3926r-6,-31l965,2141r6,-32l988,2084r26,-17l1045,2061xe" filled="f" strokecolor="#ccc">
              <v:path arrowok="t"/>
            </v:shape>
            <v:shape id="_x0000_s4945" type="#_x0000_t202" style="position:absolute;left:984;top:2076;width:9938;height:1884" filled="f" stroked="f">
              <v:textbox inset="0,0,0,0">
                <w:txbxContent>
                  <w:p w14:paraId="0FB71DF9" w14:textId="77777777" w:rsidR="00711A16" w:rsidRDefault="00711A16">
                    <w:pPr>
                      <w:spacing w:before="221"/>
                      <w:ind w:left="200"/>
                      <w:rPr>
                        <w:rFonts w:ascii="MS Gothic"/>
                      </w:rPr>
                    </w:pPr>
                    <w:r>
                      <w:rPr>
                        <w:rFonts w:ascii="MS Gothic"/>
                        <w:color w:val="333333"/>
                      </w:rPr>
                      <w:t>$ mvn -v</w:t>
                    </w:r>
                  </w:p>
                  <w:p w14:paraId="7F058968" w14:textId="77777777" w:rsidR="00711A16" w:rsidRDefault="00711A16">
                    <w:pPr>
                      <w:spacing w:before="13" w:line="252" w:lineRule="auto"/>
                      <w:ind w:left="200" w:right="698"/>
                      <w:rPr>
                        <w:rFonts w:ascii="MS Gothic"/>
                      </w:rPr>
                    </w:pPr>
                    <w:r>
                      <w:rPr>
                        <w:rFonts w:ascii="MS Gothic"/>
                        <w:color w:val="333333"/>
                      </w:rPr>
                      <w:t>Apache Maven 3.5.4 (1edded0938998edf8bf061f1ceb3cfdeccf443fe; 2018-06-17T14:33:14- 04:00)</w:t>
                    </w:r>
                  </w:p>
                  <w:p w14:paraId="12756494" w14:textId="77777777" w:rsidR="00711A16" w:rsidRDefault="00711A16">
                    <w:pPr>
                      <w:spacing w:line="252" w:lineRule="auto"/>
                      <w:ind w:left="200" w:right="4108"/>
                      <w:rPr>
                        <w:rFonts w:ascii="MS Gothic"/>
                      </w:rPr>
                    </w:pPr>
                    <w:r>
                      <w:rPr>
                        <w:rFonts w:ascii="MS Gothic"/>
                        <w:color w:val="333333"/>
                      </w:rPr>
                      <w:t>Maven home: /usr/local/Cellar/maven/3.3.9/libexec Java version: 1.8.0_102, vendor: Oracle Corporation</w:t>
                    </w:r>
                  </w:p>
                </w:txbxContent>
              </v:textbox>
            </v:shape>
            <w10:wrap type="topAndBottom" anchorx="page"/>
          </v:group>
        </w:pict>
      </w:r>
    </w:p>
    <w:p w14:paraId="7B784653" w14:textId="77777777" w:rsidR="00A720EB" w:rsidRDefault="00A720EB">
      <w:pPr>
        <w:pStyle w:val="a3"/>
        <w:spacing w:before="3"/>
        <w:rPr>
          <w:sz w:val="13"/>
          <w:lang w:eastAsia="zh-CN"/>
        </w:rPr>
      </w:pPr>
    </w:p>
    <w:p w14:paraId="502EDC1B" w14:textId="77777777" w:rsidR="00A720EB" w:rsidRDefault="00A720EB">
      <w:pPr>
        <w:pStyle w:val="a3"/>
        <w:spacing w:before="10"/>
        <w:rPr>
          <w:sz w:val="16"/>
          <w:lang w:eastAsia="zh-CN"/>
        </w:rPr>
      </w:pPr>
    </w:p>
    <w:p w14:paraId="30BEDEB0" w14:textId="32A65A48" w:rsidR="00A720EB" w:rsidRDefault="00E10349">
      <w:pPr>
        <w:pStyle w:val="a3"/>
        <w:spacing w:before="125" w:line="307" w:lineRule="auto"/>
        <w:ind w:left="1564" w:right="370"/>
        <w:jc w:val="both"/>
        <w:rPr>
          <w:color w:val="333333"/>
          <w:w w:val="110"/>
        </w:rPr>
      </w:pPr>
      <w:r>
        <w:pict w14:anchorId="4E4F2BC5">
          <v:line id="_x0000_s4943" style="position:absolute;left:0;text-align:left;z-index:15745536;mso-position-horizontal-relative:page" from="108.25pt,.25pt" to="108.25pt,55.6pt" strokecolor="#ededed" strokeweight=".5pt">
            <w10:wrap anchorx="page"/>
          </v:line>
        </w:pict>
      </w:r>
      <w:r w:rsidR="0030286B">
        <w:rPr>
          <w:noProof/>
        </w:rPr>
        <w:drawing>
          <wp:anchor distT="0" distB="0" distL="0" distR="0" simplePos="0" relativeHeight="251653632" behindDoc="0" locked="0" layoutInCell="1" allowOverlap="1" wp14:anchorId="4E4EF4E4" wp14:editId="4615B4E1">
            <wp:simplePos x="0" y="0"/>
            <wp:positionH relativeFrom="page">
              <wp:posOffset>844422</wp:posOffset>
            </wp:positionH>
            <wp:positionV relativeFrom="paragraph">
              <wp:posOffset>205524</wp:posOffset>
            </wp:positionV>
            <wp:extent cx="298450" cy="298450"/>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This sample needs to be created in its own directory. Subsequent instructions assume that you have created a suitable directory and that it is your current directory.</w:t>
      </w:r>
    </w:p>
    <w:p w14:paraId="2571C87A" w14:textId="1B3856CD" w:rsidR="00A720EB" w:rsidRPr="00350798" w:rsidRDefault="00350798" w:rsidP="00350798">
      <w:pPr>
        <w:pStyle w:val="10"/>
      </w:pPr>
      <w:r>
        <w:rPr>
          <w:rFonts w:hint="eastAsia"/>
        </w:rPr>
        <w:t>他的示例需要在自己的目录中创建。接下来的说明假设您已经创建了一个合适的目录，并且这个目录就是你的工作目录</w:t>
      </w:r>
      <w:r>
        <w:rPr>
          <w:rFonts w:ascii="Helvetica" w:hAnsi="Helvetica" w:cs="Helvetica"/>
        </w:rPr>
        <w:t>/</w:t>
      </w:r>
      <w:r>
        <w:rPr>
          <w:rFonts w:hint="eastAsia"/>
        </w:rPr>
        <w:t>目录。</w:t>
      </w:r>
    </w:p>
    <w:p w14:paraId="1924AF30" w14:textId="21DDA11F" w:rsidR="00A720EB" w:rsidRDefault="0030286B">
      <w:pPr>
        <w:pStyle w:val="3"/>
        <w:numPr>
          <w:ilvl w:val="2"/>
          <w:numId w:val="73"/>
        </w:numPr>
        <w:tabs>
          <w:tab w:val="left" w:pos="858"/>
        </w:tabs>
        <w:spacing w:before="106"/>
        <w:ind w:hanging="734"/>
      </w:pPr>
      <w:bookmarkStart w:id="48" w:name="2.4.1._Creating_the_POM"/>
      <w:bookmarkStart w:id="49" w:name="_Toc54423672"/>
      <w:bookmarkEnd w:id="48"/>
      <w:r>
        <w:rPr>
          <w:color w:val="333333"/>
          <w:w w:val="110"/>
        </w:rPr>
        <w:t>Creating the</w:t>
      </w:r>
      <w:r>
        <w:rPr>
          <w:color w:val="333333"/>
          <w:spacing w:val="-13"/>
          <w:w w:val="110"/>
        </w:rPr>
        <w:t xml:space="preserve"> </w:t>
      </w:r>
      <w:r>
        <w:rPr>
          <w:color w:val="333333"/>
          <w:w w:val="110"/>
        </w:rPr>
        <w:t>POM</w:t>
      </w:r>
      <w:r w:rsidR="00350798">
        <w:rPr>
          <w:color w:val="333333"/>
          <w:w w:val="110"/>
        </w:rPr>
        <w:t xml:space="preserve"> </w:t>
      </w:r>
      <w:r w:rsidR="00350798" w:rsidRPr="00350798">
        <w:rPr>
          <w:rFonts w:ascii="宋体" w:eastAsia="宋体" w:hAnsi="宋体" w:cs="宋体" w:hint="eastAsia"/>
          <w:color w:val="E36C0A" w:themeColor="accent6" w:themeShade="BF"/>
          <w:w w:val="110"/>
        </w:rPr>
        <w:t>创建</w:t>
      </w:r>
      <w:r w:rsidR="00350798" w:rsidRPr="00350798">
        <w:rPr>
          <w:color w:val="E36C0A" w:themeColor="accent6" w:themeShade="BF"/>
          <w:w w:val="110"/>
        </w:rPr>
        <w:t>POM</w:t>
      </w:r>
      <w:bookmarkEnd w:id="49"/>
    </w:p>
    <w:p w14:paraId="424F5E17" w14:textId="0B72E32A" w:rsidR="00A720EB" w:rsidRDefault="0030286B" w:rsidP="00350798">
      <w:pPr>
        <w:pStyle w:val="a3"/>
        <w:spacing w:before="243" w:line="290" w:lineRule="auto"/>
        <w:ind w:left="124"/>
      </w:pPr>
      <w:r>
        <w:rPr>
          <w:color w:val="333333"/>
          <w:spacing w:val="-7"/>
          <w:w w:val="110"/>
        </w:rPr>
        <w:t xml:space="preserve">We </w:t>
      </w:r>
      <w:r>
        <w:rPr>
          <w:color w:val="333333"/>
          <w:w w:val="110"/>
        </w:rPr>
        <w:t xml:space="preserve">need to start </w:t>
      </w:r>
      <w:r>
        <w:rPr>
          <w:color w:val="333333"/>
          <w:spacing w:val="-3"/>
          <w:w w:val="110"/>
        </w:rPr>
        <w:t xml:space="preserve">by </w:t>
      </w:r>
      <w:r>
        <w:rPr>
          <w:color w:val="333333"/>
          <w:w w:val="110"/>
        </w:rPr>
        <w:t xml:space="preserve">creating a Maven </w:t>
      </w:r>
      <w:r>
        <w:rPr>
          <w:rFonts w:ascii="MS Gothic"/>
          <w:color w:val="B02045"/>
          <w:w w:val="110"/>
        </w:rPr>
        <w:t>pom.xml</w:t>
      </w:r>
      <w:r>
        <w:rPr>
          <w:rFonts w:ascii="MS Gothic"/>
          <w:color w:val="B02045"/>
          <w:spacing w:val="-65"/>
          <w:w w:val="110"/>
        </w:rPr>
        <w:t xml:space="preserve"> </w:t>
      </w:r>
      <w:r>
        <w:rPr>
          <w:color w:val="333333"/>
          <w:w w:val="110"/>
        </w:rPr>
        <w:t xml:space="preserve">file. The </w:t>
      </w:r>
      <w:r>
        <w:rPr>
          <w:rFonts w:ascii="MS Gothic"/>
          <w:color w:val="B02045"/>
          <w:w w:val="110"/>
        </w:rPr>
        <w:t>pom.xml</w:t>
      </w:r>
      <w:r>
        <w:rPr>
          <w:rFonts w:ascii="MS Gothic"/>
          <w:color w:val="B02045"/>
          <w:spacing w:val="-65"/>
          <w:w w:val="110"/>
        </w:rPr>
        <w:t xml:space="preserve"> </w:t>
      </w:r>
      <w:r>
        <w:rPr>
          <w:color w:val="333333"/>
          <w:w w:val="110"/>
        </w:rPr>
        <w:t>is the recipe that is used to build your project. Open your favorite text editor and add the following:</w:t>
      </w:r>
    </w:p>
    <w:p w14:paraId="7A4F6D67" w14:textId="6BBE6A52" w:rsidR="00A720EB" w:rsidRDefault="00350798" w:rsidP="00BD3847">
      <w:pPr>
        <w:pStyle w:val="10"/>
        <w:rPr>
          <w:sz w:val="20"/>
        </w:rPr>
      </w:pPr>
      <w:r>
        <w:rPr>
          <w:rFonts w:hint="eastAsia"/>
        </w:rPr>
        <w:t>我们需要先创建一个</w:t>
      </w:r>
      <w:r>
        <w:rPr>
          <w:rFonts w:ascii="Helvetica" w:hAnsi="Helvetica" w:cs="Helvetica"/>
        </w:rPr>
        <w:t>Maven pom.xml</w:t>
      </w:r>
      <w:r>
        <w:rPr>
          <w:rFonts w:hint="eastAsia"/>
        </w:rPr>
        <w:t>文件。</w:t>
      </w:r>
      <w:r>
        <w:rPr>
          <w:rFonts w:ascii="Helvetica" w:hAnsi="Helvetica" w:cs="Helvetica"/>
        </w:rPr>
        <w:t xml:space="preserve"> pom.xml</w:t>
      </w:r>
      <w:r>
        <w:rPr>
          <w:rFonts w:hint="eastAsia"/>
        </w:rPr>
        <w:t>是用于构建项目的配方。</w:t>
      </w:r>
      <w:r>
        <w:rPr>
          <w:rFonts w:ascii="Helvetica" w:hAnsi="Helvetica" w:cs="Helvetica"/>
        </w:rPr>
        <w:t xml:space="preserve"> </w:t>
      </w:r>
      <w:r>
        <w:rPr>
          <w:rFonts w:hint="eastAsia"/>
        </w:rPr>
        <w:t>打开您喜欢的文本编辑器并添加以下内容：</w:t>
      </w:r>
      <w:r w:rsidR="00E10349">
        <w:rPr>
          <w:sz w:val="20"/>
        </w:rPr>
      </w:r>
      <w:r w:rsidR="00E10349">
        <w:rPr>
          <w:sz w:val="20"/>
        </w:rPr>
        <w:pict w14:anchorId="3FC6A650">
          <v:group id="_x0000_s4939" style="width:499.55pt;height:494.45pt;mso-position-horizontal-relative:char;mso-position-vertical-relative:line" coordsize="9991,9889">
            <v:shape id="_x0000_s4942" style="position:absolute;left:7;top:7;width:9976;height:9874" coordorigin="8,8" coordsize="9976,9874" path="m9904,8l88,8,56,14,31,31,14,56,8,88r,9713l14,9832r17,26l56,9875r32,6l9904,9881r31,-6l9960,9858r17,-26l9984,9801r,-9713l9977,56,9960,31,9935,14,9904,8xe" fillcolor="#f5f5f5" stroked="f">
              <v:path arrowok="t"/>
            </v:shape>
            <v:shape id="_x0000_s4941" style="position:absolute;left:7;top:7;width:9976;height:9874" coordorigin="8,8" coordsize="9976,9874" path="m88,8r9816,l9935,14r25,17l9977,56r7,32l9984,9801r-7,31l9960,9858r-25,17l9904,9881r-9816,l56,9875,31,9858,14,9832,8,9801,8,88,14,56,31,31,56,14,88,8xe" filled="f" strokecolor="#ccc">
              <v:path arrowok="t"/>
            </v:shape>
            <v:shape id="_x0000_s4940" type="#_x0000_t202" style="position:absolute;left:26;top:22;width:9938;height:9843" filled="f" stroked="f">
              <v:textbox inset="0,0,0,0">
                <w:txbxContent>
                  <w:p w14:paraId="6960DA9B" w14:textId="77777777" w:rsidR="00711A16" w:rsidRDefault="00711A16">
                    <w:pPr>
                      <w:spacing w:before="221"/>
                      <w:ind w:left="200"/>
                      <w:rPr>
                        <w:rFonts w:ascii="MS Gothic"/>
                      </w:rPr>
                    </w:pPr>
                    <w:r>
                      <w:rPr>
                        <w:rFonts w:ascii="MS Gothic"/>
                        <w:color w:val="333333"/>
                      </w:rPr>
                      <w:t>&lt;?xml version="1.0" encoding="UTF-8"?&gt;</w:t>
                    </w:r>
                  </w:p>
                  <w:p w14:paraId="43AF665E" w14:textId="77777777" w:rsidR="00711A16" w:rsidRDefault="00711A16">
                    <w:pPr>
                      <w:spacing w:before="13" w:line="252" w:lineRule="auto"/>
                      <w:ind w:left="200" w:right="3904"/>
                      <w:rPr>
                        <w:rFonts w:ascii="MS Gothic"/>
                      </w:rPr>
                    </w:pPr>
                    <w:r>
                      <w:rPr>
                        <w:rFonts w:ascii="MS Gothic"/>
                        <w:color w:val="333333"/>
                      </w:rPr>
                      <w:t xml:space="preserve">&lt;project </w:t>
                    </w:r>
                    <w:hyperlink r:id="rId59">
                      <w:r>
                        <w:rPr>
                          <w:rFonts w:ascii="MS Gothic"/>
                          <w:color w:val="333333"/>
                        </w:rPr>
                        <w:t>xmlns="http://maven.apache.org/POM/4.0.0"</w:t>
                      </w:r>
                    </w:hyperlink>
                    <w:r>
                      <w:rPr>
                        <w:rFonts w:ascii="MS Gothic"/>
                        <w:color w:val="333333"/>
                      </w:rPr>
                      <w:t xml:space="preserve"> </w:t>
                    </w:r>
                    <w:hyperlink r:id="rId60">
                      <w:r>
                        <w:rPr>
                          <w:rFonts w:ascii="MS Gothic"/>
                          <w:color w:val="333333"/>
                        </w:rPr>
                        <w:t>xmlns:xsi="http://www.w3.org/2001/XMLSchema-instance"</w:t>
                      </w:r>
                    </w:hyperlink>
                  </w:p>
                  <w:p w14:paraId="3AF6F9DE" w14:textId="77777777" w:rsidR="00711A16" w:rsidRDefault="00711A16">
                    <w:pPr>
                      <w:spacing w:line="252" w:lineRule="auto"/>
                      <w:ind w:left="200" w:right="3464" w:firstLine="440"/>
                      <w:rPr>
                        <w:rFonts w:ascii="MS Gothic"/>
                      </w:rPr>
                    </w:pPr>
                    <w:hyperlink r:id="rId61">
                      <w:r>
                        <w:rPr>
                          <w:rFonts w:ascii="MS Gothic"/>
                          <w:color w:val="333333"/>
                        </w:rPr>
                        <w:t>xsi:schemaLocation="http://maven.apache.org/POM/4.0.0</w:t>
                      </w:r>
                    </w:hyperlink>
                    <w:r>
                      <w:rPr>
                        <w:rFonts w:ascii="MS Gothic"/>
                        <w:color w:val="333333"/>
                      </w:rPr>
                      <w:t xml:space="preserve"> https://maven.apache.org/xsd/maven-4.0.0.xsd"&gt;</w:t>
                    </w:r>
                  </w:p>
                  <w:p w14:paraId="2FDC8BB2" w14:textId="77777777" w:rsidR="00711A16" w:rsidRDefault="00711A16">
                    <w:pPr>
                      <w:spacing w:line="280" w:lineRule="exact"/>
                      <w:ind w:left="640"/>
                      <w:rPr>
                        <w:rFonts w:ascii="MS Gothic"/>
                      </w:rPr>
                    </w:pPr>
                    <w:r>
                      <w:rPr>
                        <w:rFonts w:ascii="MS Gothic"/>
                        <w:color w:val="333333"/>
                      </w:rPr>
                      <w:t>&lt;modelVersion&gt;4.0.0&lt;/modelVersion&gt;</w:t>
                    </w:r>
                  </w:p>
                  <w:p w14:paraId="3AE80188" w14:textId="77777777" w:rsidR="00711A16" w:rsidRDefault="00711A16">
                    <w:pPr>
                      <w:spacing w:before="10"/>
                      <w:rPr>
                        <w:rFonts w:ascii="MS Gothic"/>
                        <w:sz w:val="23"/>
                      </w:rPr>
                    </w:pPr>
                  </w:p>
                  <w:p w14:paraId="718F9E63" w14:textId="77777777" w:rsidR="00711A16" w:rsidRDefault="00711A16">
                    <w:pPr>
                      <w:ind w:left="640"/>
                      <w:rPr>
                        <w:rFonts w:ascii="MS Gothic"/>
                      </w:rPr>
                    </w:pPr>
                    <w:r>
                      <w:rPr>
                        <w:rFonts w:ascii="MS Gothic"/>
                        <w:color w:val="333333"/>
                      </w:rPr>
                      <w:t>&lt;groupId&gt;com.example&lt;/groupId&gt;</w:t>
                    </w:r>
                  </w:p>
                  <w:p w14:paraId="2DBC2FF5" w14:textId="77777777" w:rsidR="00711A16" w:rsidRDefault="00711A16">
                    <w:pPr>
                      <w:spacing w:before="13"/>
                      <w:ind w:left="640"/>
                      <w:rPr>
                        <w:rFonts w:ascii="MS Gothic"/>
                      </w:rPr>
                    </w:pPr>
                    <w:r>
                      <w:rPr>
                        <w:rFonts w:ascii="MS Gothic"/>
                        <w:color w:val="333333"/>
                      </w:rPr>
                      <w:t>&lt;artifactId&gt;myproject&lt;/artifactId&gt;</w:t>
                    </w:r>
                  </w:p>
                  <w:p w14:paraId="27888460" w14:textId="77777777" w:rsidR="00711A16" w:rsidRDefault="00711A16">
                    <w:pPr>
                      <w:spacing w:before="13"/>
                      <w:ind w:left="640"/>
                      <w:rPr>
                        <w:rFonts w:ascii="MS Gothic"/>
                      </w:rPr>
                    </w:pPr>
                    <w:r>
                      <w:rPr>
                        <w:rFonts w:ascii="MS Gothic"/>
                        <w:color w:val="333333"/>
                      </w:rPr>
                      <w:t>&lt;version&gt;0.0.1-SNAPSHOT&lt;/version&gt;</w:t>
                    </w:r>
                  </w:p>
                  <w:p w14:paraId="3B4B1D75" w14:textId="77777777" w:rsidR="00711A16" w:rsidRDefault="00711A16">
                    <w:pPr>
                      <w:rPr>
                        <w:rFonts w:ascii="MS Gothic"/>
                        <w:sz w:val="24"/>
                      </w:rPr>
                    </w:pPr>
                  </w:p>
                  <w:p w14:paraId="4BB5EF63" w14:textId="77777777" w:rsidR="00711A16" w:rsidRDefault="00711A16">
                    <w:pPr>
                      <w:ind w:left="640"/>
                      <w:rPr>
                        <w:rFonts w:ascii="MS Gothic"/>
                      </w:rPr>
                    </w:pPr>
                    <w:r>
                      <w:rPr>
                        <w:rFonts w:ascii="MS Gothic"/>
                        <w:color w:val="333333"/>
                      </w:rPr>
                      <w:t>&lt;parent&gt;</w:t>
                    </w:r>
                  </w:p>
                  <w:p w14:paraId="1DAD99A9" w14:textId="77777777" w:rsidR="00711A16" w:rsidRDefault="00711A16">
                    <w:pPr>
                      <w:spacing w:before="13"/>
                      <w:ind w:left="1080"/>
                      <w:rPr>
                        <w:rFonts w:ascii="MS Gothic"/>
                      </w:rPr>
                    </w:pPr>
                    <w:proofErr w:type="gramStart"/>
                    <w:r>
                      <w:rPr>
                        <w:rFonts w:ascii="MS Gothic"/>
                        <w:color w:val="333333"/>
                      </w:rPr>
                      <w:t>&lt;groupId&gt;org.springframework.boot</w:t>
                    </w:r>
                    <w:proofErr w:type="gramEnd"/>
                    <w:r>
                      <w:rPr>
                        <w:rFonts w:ascii="MS Gothic"/>
                        <w:color w:val="333333"/>
                      </w:rPr>
                      <w:t>&lt;/groupId&gt;</w:t>
                    </w:r>
                  </w:p>
                  <w:p w14:paraId="27ECA311" w14:textId="77777777" w:rsidR="00711A16" w:rsidRDefault="00711A16">
                    <w:pPr>
                      <w:spacing w:before="13"/>
                      <w:ind w:left="1080"/>
                      <w:rPr>
                        <w:rFonts w:ascii="MS Gothic"/>
                      </w:rPr>
                    </w:pPr>
                    <w:r>
                      <w:rPr>
                        <w:rFonts w:ascii="MS Gothic"/>
                        <w:color w:val="333333"/>
                      </w:rPr>
                      <w:t>&lt;artifactId&gt;spring-boot-starter-parent&lt;/artifactId&gt;</w:t>
                    </w:r>
                  </w:p>
                  <w:p w14:paraId="3C387F45" w14:textId="77777777" w:rsidR="00711A16" w:rsidRDefault="00711A16">
                    <w:pPr>
                      <w:spacing w:before="13"/>
                      <w:ind w:left="1080"/>
                      <w:rPr>
                        <w:rFonts w:ascii="MS Gothic"/>
                      </w:rPr>
                    </w:pPr>
                    <w:r>
                      <w:rPr>
                        <w:rFonts w:ascii="MS Gothic"/>
                        <w:color w:val="333333"/>
                      </w:rPr>
                      <w:t>&lt;version&gt;2.3.</w:t>
                    </w:r>
                    <w:proofErr w:type="gramStart"/>
                    <w:r>
                      <w:rPr>
                        <w:rFonts w:ascii="MS Gothic"/>
                        <w:color w:val="333333"/>
                      </w:rPr>
                      <w:t>4.RELEASE</w:t>
                    </w:r>
                    <w:proofErr w:type="gramEnd"/>
                    <w:r>
                      <w:rPr>
                        <w:rFonts w:ascii="MS Gothic"/>
                        <w:color w:val="333333"/>
                      </w:rPr>
                      <w:t>&lt;/version&gt;</w:t>
                    </w:r>
                  </w:p>
                  <w:p w14:paraId="5E774777" w14:textId="77777777" w:rsidR="00711A16" w:rsidRDefault="00711A16">
                    <w:pPr>
                      <w:spacing w:before="13"/>
                      <w:ind w:left="640"/>
                      <w:rPr>
                        <w:rFonts w:ascii="MS Gothic"/>
                      </w:rPr>
                    </w:pPr>
                    <w:r>
                      <w:rPr>
                        <w:rFonts w:ascii="MS Gothic"/>
                        <w:color w:val="333333"/>
                      </w:rPr>
                      <w:t>&lt;/parent&gt;</w:t>
                    </w:r>
                  </w:p>
                  <w:p w14:paraId="20FD926C" w14:textId="77777777" w:rsidR="00711A16" w:rsidRDefault="00711A16">
                    <w:pPr>
                      <w:rPr>
                        <w:rFonts w:ascii="MS Gothic"/>
                        <w:sz w:val="24"/>
                      </w:rPr>
                    </w:pPr>
                  </w:p>
                  <w:p w14:paraId="3AE70C2E" w14:textId="77777777" w:rsidR="00711A16" w:rsidRDefault="00711A16">
                    <w:pPr>
                      <w:ind w:left="640"/>
                      <w:rPr>
                        <w:rFonts w:ascii="MS Gothic"/>
                      </w:rPr>
                    </w:pPr>
                    <w:r>
                      <w:rPr>
                        <w:rFonts w:ascii="MS Gothic"/>
                        <w:color w:val="333333"/>
                      </w:rPr>
                      <w:t>&lt;description/&gt;</w:t>
                    </w:r>
                  </w:p>
                  <w:p w14:paraId="4CCB1D79" w14:textId="77777777" w:rsidR="00711A16" w:rsidRDefault="00711A16">
                    <w:pPr>
                      <w:spacing w:before="13"/>
                      <w:ind w:left="640"/>
                      <w:rPr>
                        <w:rFonts w:ascii="MS Gothic"/>
                      </w:rPr>
                    </w:pPr>
                    <w:r>
                      <w:rPr>
                        <w:rFonts w:ascii="MS Gothic"/>
                        <w:color w:val="333333"/>
                      </w:rPr>
                      <w:t>&lt;developers&gt;</w:t>
                    </w:r>
                  </w:p>
                  <w:p w14:paraId="27367FDA" w14:textId="77777777" w:rsidR="00711A16" w:rsidRDefault="00711A16">
                    <w:pPr>
                      <w:spacing w:before="13"/>
                      <w:ind w:left="1080"/>
                      <w:rPr>
                        <w:rFonts w:ascii="MS Gothic"/>
                      </w:rPr>
                    </w:pPr>
                    <w:r>
                      <w:rPr>
                        <w:rFonts w:ascii="MS Gothic"/>
                        <w:color w:val="333333"/>
                      </w:rPr>
                      <w:t>&lt;developer/&gt;</w:t>
                    </w:r>
                  </w:p>
                  <w:p w14:paraId="70D3A050" w14:textId="77777777" w:rsidR="00711A16" w:rsidRDefault="00711A16">
                    <w:pPr>
                      <w:spacing w:before="13"/>
                      <w:ind w:left="640"/>
                      <w:rPr>
                        <w:rFonts w:ascii="MS Gothic"/>
                      </w:rPr>
                    </w:pPr>
                    <w:r>
                      <w:rPr>
                        <w:rFonts w:ascii="MS Gothic"/>
                        <w:color w:val="333333"/>
                      </w:rPr>
                      <w:t>&lt;/developers&gt;</w:t>
                    </w:r>
                  </w:p>
                  <w:p w14:paraId="01BA2044" w14:textId="77777777" w:rsidR="00711A16" w:rsidRDefault="00711A16">
                    <w:pPr>
                      <w:spacing w:before="13"/>
                      <w:ind w:left="640"/>
                      <w:rPr>
                        <w:rFonts w:ascii="MS Gothic"/>
                      </w:rPr>
                    </w:pPr>
                    <w:r>
                      <w:rPr>
                        <w:rFonts w:ascii="MS Gothic"/>
                        <w:color w:val="333333"/>
                      </w:rPr>
                      <w:t>&lt;licenses&gt;</w:t>
                    </w:r>
                  </w:p>
                  <w:p w14:paraId="5C748647" w14:textId="77777777" w:rsidR="00711A16" w:rsidRDefault="00711A16">
                    <w:pPr>
                      <w:spacing w:before="13"/>
                      <w:ind w:left="1080"/>
                      <w:rPr>
                        <w:rFonts w:ascii="MS Gothic"/>
                      </w:rPr>
                    </w:pPr>
                    <w:r>
                      <w:rPr>
                        <w:rFonts w:ascii="MS Gothic"/>
                        <w:color w:val="333333"/>
                      </w:rPr>
                      <w:t>&lt;license/&gt;</w:t>
                    </w:r>
                  </w:p>
                  <w:p w14:paraId="7D5026C3" w14:textId="77777777" w:rsidR="00711A16" w:rsidRDefault="00711A16">
                    <w:pPr>
                      <w:spacing w:before="13"/>
                      <w:ind w:left="640"/>
                      <w:rPr>
                        <w:rFonts w:ascii="MS Gothic"/>
                      </w:rPr>
                    </w:pPr>
                    <w:r>
                      <w:rPr>
                        <w:rFonts w:ascii="MS Gothic"/>
                        <w:color w:val="333333"/>
                      </w:rPr>
                      <w:t>&lt;/licenses&gt;</w:t>
                    </w:r>
                  </w:p>
                  <w:p w14:paraId="06EBF6F0" w14:textId="77777777" w:rsidR="00711A16" w:rsidRDefault="00711A16">
                    <w:pPr>
                      <w:spacing w:before="13"/>
                      <w:ind w:left="640"/>
                      <w:rPr>
                        <w:rFonts w:ascii="MS Gothic"/>
                      </w:rPr>
                    </w:pPr>
                    <w:r>
                      <w:rPr>
                        <w:rFonts w:ascii="MS Gothic"/>
                        <w:color w:val="333333"/>
                      </w:rPr>
                      <w:t>&lt;scm&gt;</w:t>
                    </w:r>
                  </w:p>
                  <w:p w14:paraId="256CFE7A" w14:textId="77777777" w:rsidR="00711A16" w:rsidRDefault="00711A16">
                    <w:pPr>
                      <w:spacing w:before="13"/>
                      <w:ind w:left="1080"/>
                      <w:rPr>
                        <w:rFonts w:ascii="MS Gothic"/>
                      </w:rPr>
                    </w:pPr>
                    <w:r>
                      <w:rPr>
                        <w:rFonts w:ascii="MS Gothic"/>
                        <w:color w:val="333333"/>
                      </w:rPr>
                      <w:t>&lt;url/&gt;</w:t>
                    </w:r>
                  </w:p>
                  <w:p w14:paraId="616B4504" w14:textId="77777777" w:rsidR="00711A16" w:rsidRDefault="00711A16">
                    <w:pPr>
                      <w:spacing w:before="13"/>
                      <w:ind w:left="640"/>
                      <w:rPr>
                        <w:rFonts w:ascii="MS Gothic"/>
                      </w:rPr>
                    </w:pPr>
                    <w:r>
                      <w:rPr>
                        <w:rFonts w:ascii="MS Gothic"/>
                        <w:color w:val="333333"/>
                      </w:rPr>
                      <w:t>&lt;/scm&gt;</w:t>
                    </w:r>
                  </w:p>
                  <w:p w14:paraId="6B439B38" w14:textId="77777777" w:rsidR="00711A16" w:rsidRDefault="00711A16">
                    <w:pPr>
                      <w:spacing w:before="13"/>
                      <w:ind w:left="640"/>
                      <w:rPr>
                        <w:rFonts w:ascii="MS Gothic"/>
                      </w:rPr>
                    </w:pPr>
                    <w:r>
                      <w:rPr>
                        <w:rFonts w:ascii="MS Gothic"/>
                        <w:color w:val="333333"/>
                      </w:rPr>
                      <w:t>&lt;url/&gt;</w:t>
                    </w:r>
                  </w:p>
                  <w:p w14:paraId="1BA69B59" w14:textId="77777777" w:rsidR="00711A16" w:rsidRDefault="00711A16">
                    <w:pPr>
                      <w:rPr>
                        <w:rFonts w:ascii="MS Gothic"/>
                        <w:sz w:val="24"/>
                      </w:rPr>
                    </w:pPr>
                  </w:p>
                  <w:p w14:paraId="61A25D4D" w14:textId="77777777" w:rsidR="00711A16" w:rsidRDefault="00711A16">
                    <w:pPr>
                      <w:ind w:left="640"/>
                      <w:rPr>
                        <w:rFonts w:ascii="MS Gothic"/>
                      </w:rPr>
                    </w:pPr>
                    <w:proofErr w:type="gramStart"/>
                    <w:r>
                      <w:rPr>
                        <w:rFonts w:ascii="MS Gothic"/>
                        <w:color w:val="333333"/>
                      </w:rPr>
                      <w:t>&lt;!--</w:t>
                    </w:r>
                    <w:proofErr w:type="gramEnd"/>
                    <w:r>
                      <w:rPr>
                        <w:rFonts w:ascii="MS Gothic"/>
                        <w:color w:val="333333"/>
                      </w:rPr>
                      <w:t xml:space="preserve"> Additional lines to be added here... --&gt;</w:t>
                    </w:r>
                  </w:p>
                  <w:p w14:paraId="2CE2471D" w14:textId="77777777" w:rsidR="00711A16" w:rsidRDefault="00711A16">
                    <w:pPr>
                      <w:rPr>
                        <w:rFonts w:ascii="MS Gothic"/>
                        <w:sz w:val="24"/>
                      </w:rPr>
                    </w:pPr>
                  </w:p>
                  <w:p w14:paraId="7FCEEBD6" w14:textId="77777777" w:rsidR="00711A16" w:rsidRDefault="00711A16">
                    <w:pPr>
                      <w:ind w:left="200"/>
                      <w:rPr>
                        <w:rFonts w:ascii="MS Gothic"/>
                      </w:rPr>
                    </w:pPr>
                    <w:r>
                      <w:rPr>
                        <w:rFonts w:ascii="MS Gothic"/>
                        <w:color w:val="333333"/>
                      </w:rPr>
                      <w:t>&lt;/project&gt;</w:t>
                    </w:r>
                  </w:p>
                </w:txbxContent>
              </v:textbox>
            </v:shape>
            <w10:anchorlock/>
          </v:group>
        </w:pict>
      </w:r>
    </w:p>
    <w:p w14:paraId="5424FC55" w14:textId="77777777" w:rsidR="00A720EB" w:rsidRDefault="00A720EB">
      <w:pPr>
        <w:pStyle w:val="a3"/>
        <w:spacing w:before="3"/>
        <w:rPr>
          <w:sz w:val="9"/>
          <w:lang w:eastAsia="zh-CN"/>
        </w:rPr>
      </w:pPr>
    </w:p>
    <w:p w14:paraId="29F122B8" w14:textId="0CB99D37" w:rsidR="00A720EB" w:rsidRDefault="0030286B">
      <w:pPr>
        <w:pStyle w:val="a3"/>
        <w:spacing w:before="116" w:line="290" w:lineRule="auto"/>
        <w:ind w:left="124" w:right="45"/>
        <w:rPr>
          <w:color w:val="333333"/>
          <w:w w:val="115"/>
        </w:rPr>
      </w:pPr>
      <w:r>
        <w:rPr>
          <w:color w:val="333333"/>
          <w:w w:val="115"/>
        </w:rPr>
        <w:t xml:space="preserve">The preceding listing should give you a working build. </w:t>
      </w:r>
      <w:r>
        <w:rPr>
          <w:color w:val="333333"/>
          <w:spacing w:val="-6"/>
          <w:w w:val="115"/>
        </w:rPr>
        <w:t xml:space="preserve">You </w:t>
      </w:r>
      <w:r>
        <w:rPr>
          <w:color w:val="333333"/>
          <w:w w:val="115"/>
        </w:rPr>
        <w:t xml:space="preserve">can test it </w:t>
      </w:r>
      <w:r>
        <w:rPr>
          <w:color w:val="333333"/>
          <w:spacing w:val="-3"/>
          <w:w w:val="115"/>
        </w:rPr>
        <w:t xml:space="preserve">by </w:t>
      </w:r>
      <w:r>
        <w:rPr>
          <w:color w:val="333333"/>
          <w:w w:val="115"/>
        </w:rPr>
        <w:t xml:space="preserve">running </w:t>
      </w:r>
      <w:r>
        <w:rPr>
          <w:rFonts w:ascii="MS Gothic" w:hAnsi="MS Gothic"/>
          <w:color w:val="B02045"/>
          <w:w w:val="115"/>
        </w:rPr>
        <w:t>mvn package</w:t>
      </w:r>
      <w:r>
        <w:rPr>
          <w:rFonts w:ascii="MS Gothic" w:hAnsi="MS Gothic"/>
          <w:color w:val="B02045"/>
          <w:spacing w:val="-72"/>
          <w:w w:val="115"/>
        </w:rPr>
        <w:t xml:space="preserve"> </w:t>
      </w:r>
      <w:r>
        <w:rPr>
          <w:color w:val="333333"/>
          <w:w w:val="115"/>
        </w:rPr>
        <w:t xml:space="preserve">(for </w:t>
      </w:r>
      <w:r>
        <w:rPr>
          <w:color w:val="333333"/>
          <w:spacing w:val="-4"/>
          <w:w w:val="115"/>
        </w:rPr>
        <w:t xml:space="preserve">now, </w:t>
      </w:r>
      <w:r>
        <w:rPr>
          <w:color w:val="333333"/>
          <w:w w:val="115"/>
        </w:rPr>
        <w:t>you can ignore the “jar will be empty - no content was marked for inclusion!” warning).</w:t>
      </w:r>
    </w:p>
    <w:p w14:paraId="22CDBE85" w14:textId="7542C779" w:rsidR="00A720EB" w:rsidRPr="00350798" w:rsidRDefault="00350798" w:rsidP="00350798">
      <w:pPr>
        <w:pStyle w:val="10"/>
      </w:pPr>
      <w:r>
        <w:rPr>
          <w:rFonts w:hint="eastAsia"/>
        </w:rPr>
        <w:t>前面的清单应该会为您提供一个有效的构建。</w:t>
      </w:r>
      <w:r>
        <w:rPr>
          <w:rFonts w:ascii="Helvetica" w:hAnsi="Helvetica" w:cs="Helvetica"/>
        </w:rPr>
        <w:t xml:space="preserve"> </w:t>
      </w:r>
      <w:r>
        <w:rPr>
          <w:rFonts w:hint="eastAsia"/>
        </w:rPr>
        <w:t>您可以通过运行</w:t>
      </w:r>
      <w:r>
        <w:rPr>
          <w:rFonts w:ascii="Helvetica" w:hAnsi="Helvetica" w:cs="Helvetica"/>
        </w:rPr>
        <w:t>MVN</w:t>
      </w:r>
      <w:r>
        <w:rPr>
          <w:rFonts w:hint="eastAsia"/>
        </w:rPr>
        <w:t>包来测试它</w:t>
      </w:r>
      <w:r>
        <w:rPr>
          <w:rFonts w:ascii="Helvetica" w:hAnsi="Helvetica" w:cs="Helvetica"/>
        </w:rPr>
        <w:t>(</w:t>
      </w:r>
      <w:r>
        <w:rPr>
          <w:rFonts w:hint="eastAsia"/>
        </w:rPr>
        <w:t>目前，您可以忽略</w:t>
      </w:r>
      <w:r>
        <w:rPr>
          <w:rFonts w:ascii="Helvetica" w:hAnsi="Helvetica" w:cs="Helvetica"/>
        </w:rPr>
        <w:t>“JAR</w:t>
      </w:r>
      <w:r>
        <w:rPr>
          <w:rFonts w:hint="eastAsia"/>
        </w:rPr>
        <w:t>将为空</w:t>
      </w:r>
      <w:r>
        <w:rPr>
          <w:rFonts w:ascii="Helvetica" w:hAnsi="Helvetica" w:cs="Helvetica"/>
        </w:rPr>
        <w:t>-</w:t>
      </w:r>
      <w:r>
        <w:rPr>
          <w:rFonts w:hint="eastAsia"/>
        </w:rPr>
        <w:t>没有内容被标记为包含！</w:t>
      </w:r>
      <w:r>
        <w:rPr>
          <w:rFonts w:ascii="Helvetica" w:hAnsi="Helvetica" w:cs="Helvetica"/>
        </w:rPr>
        <w:t xml:space="preserve">” </w:t>
      </w:r>
      <w:r>
        <w:rPr>
          <w:rFonts w:hint="eastAsia"/>
        </w:rPr>
        <w:t>警告</w:t>
      </w:r>
      <w:r>
        <w:rPr>
          <w:rFonts w:ascii="Helvetica" w:hAnsi="Helvetica" w:cs="Helvetica"/>
        </w:rPr>
        <w:t>)</w:t>
      </w:r>
      <w:r>
        <w:rPr>
          <w:rFonts w:hint="eastAsia"/>
        </w:rPr>
        <w:t>。</w:t>
      </w:r>
    </w:p>
    <w:p w14:paraId="4A12A758" w14:textId="4E1ECFA8" w:rsidR="00A720EB" w:rsidRDefault="00E10349">
      <w:pPr>
        <w:pStyle w:val="a3"/>
        <w:spacing w:before="125" w:line="307" w:lineRule="auto"/>
        <w:ind w:left="1564" w:right="370"/>
        <w:jc w:val="both"/>
        <w:rPr>
          <w:color w:val="333333"/>
          <w:w w:val="110"/>
        </w:rPr>
      </w:pPr>
      <w:r>
        <w:pict w14:anchorId="42E72FFE">
          <v:line id="_x0000_s4938" style="position:absolute;left:0;text-align:left;z-index:15747072;mso-position-horizontal-relative:page" from="108.25pt,.25pt" to="108.25pt,55.6pt" strokecolor="#ededed" strokeweight=".5pt">
            <w10:wrap anchorx="page"/>
          </v:line>
        </w:pict>
      </w:r>
      <w:r w:rsidR="0030286B">
        <w:rPr>
          <w:noProof/>
        </w:rPr>
        <w:drawing>
          <wp:anchor distT="0" distB="0" distL="0" distR="0" simplePos="0" relativeHeight="251654656" behindDoc="0" locked="0" layoutInCell="1" allowOverlap="1" wp14:anchorId="3A28F073" wp14:editId="4F9D4910">
            <wp:simplePos x="0" y="0"/>
            <wp:positionH relativeFrom="page">
              <wp:posOffset>844422</wp:posOffset>
            </wp:positionH>
            <wp:positionV relativeFrom="paragraph">
              <wp:posOffset>205524</wp:posOffset>
            </wp:positionV>
            <wp:extent cx="298450" cy="29845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At this point, you could import the project into an IDE (most modern Java IDEs include built-in support for Maven). For simplicity, we continue to use a plain text editor for this example.</w:t>
      </w:r>
    </w:p>
    <w:p w14:paraId="0F113561" w14:textId="5DC785BE" w:rsidR="00350798" w:rsidRDefault="00350798" w:rsidP="00350798">
      <w:pPr>
        <w:pStyle w:val="10"/>
      </w:pPr>
      <w:r>
        <w:rPr>
          <w:rFonts w:hint="eastAsia"/>
        </w:rPr>
        <w:t>至此，您可以将项目导入</w:t>
      </w:r>
      <w:r>
        <w:rPr>
          <w:rFonts w:ascii="Helvetica" w:hAnsi="Helvetica" w:cs="Helvetica"/>
        </w:rPr>
        <w:t xml:space="preserve"> IDE (</w:t>
      </w:r>
      <w:r>
        <w:rPr>
          <w:rFonts w:hint="eastAsia"/>
        </w:rPr>
        <w:t>大多数现代</w:t>
      </w:r>
      <w:r>
        <w:rPr>
          <w:rFonts w:ascii="Helvetica" w:hAnsi="Helvetica" w:cs="Helvetica"/>
        </w:rPr>
        <w:t xml:space="preserve"> javaide </w:t>
      </w:r>
      <w:r>
        <w:rPr>
          <w:rFonts w:hint="eastAsia"/>
        </w:rPr>
        <w:t>都包含对</w:t>
      </w:r>
      <w:r>
        <w:rPr>
          <w:rFonts w:ascii="Helvetica" w:hAnsi="Helvetica" w:cs="Helvetica"/>
        </w:rPr>
        <w:t xml:space="preserve"> Maven </w:t>
      </w:r>
      <w:r>
        <w:rPr>
          <w:rFonts w:hint="eastAsia"/>
        </w:rPr>
        <w:t>的内置支持</w:t>
      </w:r>
      <w:r>
        <w:rPr>
          <w:rFonts w:ascii="Helvetica" w:hAnsi="Helvetica" w:cs="Helvetica"/>
        </w:rPr>
        <w:t>)</w:t>
      </w:r>
      <w:r>
        <w:rPr>
          <w:rFonts w:hint="eastAsia"/>
        </w:rPr>
        <w:t>。为了简单起见，我们继续对本</w:t>
      </w:r>
      <w:proofErr w:type="gramStart"/>
      <w:r>
        <w:rPr>
          <w:rFonts w:hint="eastAsia"/>
        </w:rPr>
        <w:t>例使用</w:t>
      </w:r>
      <w:proofErr w:type="gramEnd"/>
      <w:r>
        <w:rPr>
          <w:rFonts w:hint="eastAsia"/>
        </w:rPr>
        <w:t>纯文本编辑器。</w:t>
      </w:r>
    </w:p>
    <w:p w14:paraId="48AAA932" w14:textId="77777777" w:rsidR="00A720EB" w:rsidRDefault="00A720EB">
      <w:pPr>
        <w:pStyle w:val="a3"/>
        <w:spacing w:before="8"/>
        <w:rPr>
          <w:sz w:val="23"/>
          <w:lang w:eastAsia="zh-CN"/>
        </w:rPr>
      </w:pPr>
    </w:p>
    <w:p w14:paraId="5629AEEA" w14:textId="605F45A3" w:rsidR="00A720EB" w:rsidRPr="00350798" w:rsidRDefault="0030286B">
      <w:pPr>
        <w:pStyle w:val="3"/>
        <w:numPr>
          <w:ilvl w:val="2"/>
          <w:numId w:val="73"/>
        </w:numPr>
        <w:tabs>
          <w:tab w:val="left" w:pos="858"/>
        </w:tabs>
        <w:spacing w:before="105"/>
        <w:ind w:hanging="734"/>
        <w:rPr>
          <w:color w:val="E36C0A" w:themeColor="accent6" w:themeShade="BF"/>
          <w:w w:val="105"/>
        </w:rPr>
      </w:pPr>
      <w:bookmarkStart w:id="50" w:name="2.4.2._Adding_Classpath_Dependencies"/>
      <w:bookmarkStart w:id="51" w:name="_Toc54423673"/>
      <w:bookmarkEnd w:id="50"/>
      <w:r>
        <w:rPr>
          <w:color w:val="333333"/>
          <w:w w:val="105"/>
        </w:rPr>
        <w:t>Adding Classpath</w:t>
      </w:r>
      <w:r>
        <w:rPr>
          <w:color w:val="333333"/>
          <w:spacing w:val="-3"/>
          <w:w w:val="105"/>
        </w:rPr>
        <w:t xml:space="preserve"> </w:t>
      </w:r>
      <w:r>
        <w:rPr>
          <w:color w:val="333333"/>
          <w:w w:val="105"/>
        </w:rPr>
        <w:t>Dependencies</w:t>
      </w:r>
      <w:r w:rsidR="00350798">
        <w:rPr>
          <w:color w:val="333333"/>
          <w:w w:val="105"/>
        </w:rPr>
        <w:t xml:space="preserve"> </w:t>
      </w:r>
      <w:r w:rsidR="00350798">
        <w:rPr>
          <w:rFonts w:ascii="Helvetica" w:hAnsi="Helvetica" w:cs="Helvetica"/>
          <w:color w:val="DDDDDD"/>
          <w:sz w:val="21"/>
          <w:szCs w:val="21"/>
        </w:rPr>
        <w:t> </w:t>
      </w:r>
      <w:r w:rsidR="00350798" w:rsidRPr="00350798">
        <w:rPr>
          <w:rFonts w:ascii="宋体" w:eastAsia="宋体" w:hAnsi="宋体" w:cs="宋体" w:hint="eastAsia"/>
          <w:color w:val="E36C0A" w:themeColor="accent6" w:themeShade="BF"/>
          <w:w w:val="105"/>
        </w:rPr>
        <w:t>添加</w:t>
      </w:r>
      <w:r w:rsidR="00350798">
        <w:rPr>
          <w:rFonts w:ascii="宋体" w:eastAsia="宋体" w:hAnsi="宋体" w:cs="宋体" w:hint="eastAsia"/>
          <w:color w:val="E36C0A" w:themeColor="accent6" w:themeShade="BF"/>
          <w:w w:val="105"/>
          <w:lang w:eastAsia="zh-CN"/>
        </w:rPr>
        <w:t>环境变量</w:t>
      </w:r>
      <w:r w:rsidR="00350798" w:rsidRPr="00350798">
        <w:rPr>
          <w:rFonts w:ascii="宋体" w:eastAsia="宋体" w:hAnsi="宋体" w:cs="宋体" w:hint="eastAsia"/>
          <w:color w:val="E36C0A" w:themeColor="accent6" w:themeShade="BF"/>
          <w:w w:val="105"/>
        </w:rPr>
        <w:t>依赖</w:t>
      </w:r>
      <w:bookmarkEnd w:id="51"/>
    </w:p>
    <w:p w14:paraId="1828395A" w14:textId="05A92E86" w:rsidR="00A720EB" w:rsidRDefault="0030286B">
      <w:pPr>
        <w:pStyle w:val="a3"/>
        <w:spacing w:before="254" w:line="288" w:lineRule="auto"/>
        <w:ind w:left="124" w:right="122"/>
        <w:jc w:val="both"/>
        <w:rPr>
          <w:color w:val="333333"/>
          <w:w w:val="110"/>
        </w:rPr>
      </w:pPr>
      <w:r>
        <w:rPr>
          <w:color w:val="333333"/>
          <w:w w:val="110"/>
        </w:rPr>
        <w:t xml:space="preserve">Spring Boot provides a number of “Starters” that let you add jars </w:t>
      </w:r>
      <w:proofErr w:type="gramStart"/>
      <w:r>
        <w:rPr>
          <w:color w:val="333333"/>
          <w:w w:val="110"/>
        </w:rPr>
        <w:t>to  your</w:t>
      </w:r>
      <w:proofErr w:type="gramEnd"/>
      <w:r>
        <w:rPr>
          <w:color w:val="333333"/>
          <w:w w:val="110"/>
        </w:rPr>
        <w:t xml:space="preserve">  classpath.  Our</w:t>
      </w:r>
      <w:r>
        <w:rPr>
          <w:color w:val="333333"/>
          <w:spacing w:val="50"/>
          <w:w w:val="110"/>
        </w:rPr>
        <w:t xml:space="preserve"> </w:t>
      </w:r>
      <w:r>
        <w:rPr>
          <w:color w:val="333333"/>
          <w:w w:val="110"/>
        </w:rPr>
        <w:t xml:space="preserve">applications for smoke tests use the </w:t>
      </w:r>
      <w:r>
        <w:rPr>
          <w:rFonts w:ascii="MS Gothic" w:hAnsi="MS Gothic"/>
          <w:color w:val="B02045"/>
          <w:w w:val="110"/>
        </w:rPr>
        <w:t xml:space="preserve">spring-boot-starter-parent </w:t>
      </w:r>
      <w:r>
        <w:rPr>
          <w:color w:val="333333"/>
          <w:w w:val="110"/>
        </w:rPr>
        <w:t xml:space="preserve">in the </w:t>
      </w:r>
      <w:r>
        <w:rPr>
          <w:rFonts w:ascii="MS Gothic" w:hAnsi="MS Gothic"/>
          <w:color w:val="B02045"/>
          <w:w w:val="110"/>
        </w:rPr>
        <w:t>parent</w:t>
      </w:r>
      <w:r>
        <w:rPr>
          <w:rFonts w:ascii="MS Gothic" w:hAnsi="MS Gothic"/>
          <w:color w:val="B02045"/>
          <w:spacing w:val="-48"/>
          <w:w w:val="110"/>
        </w:rPr>
        <w:t xml:space="preserve"> </w:t>
      </w:r>
      <w:r>
        <w:rPr>
          <w:color w:val="333333"/>
          <w:w w:val="110"/>
        </w:rPr>
        <w:t xml:space="preserve">section of the POM. The </w:t>
      </w:r>
      <w:r>
        <w:rPr>
          <w:rFonts w:ascii="MS Gothic" w:hAnsi="MS Gothic"/>
          <w:color w:val="B02045"/>
          <w:w w:val="110"/>
        </w:rPr>
        <w:t xml:space="preserve">spring-boot-starter-parent </w:t>
      </w:r>
      <w:r>
        <w:rPr>
          <w:color w:val="333333"/>
          <w:w w:val="110"/>
        </w:rPr>
        <w:t xml:space="preserve">is a special starter that provides useful Maven defaults. It </w:t>
      </w:r>
      <w:proofErr w:type="gramStart"/>
      <w:r>
        <w:rPr>
          <w:color w:val="333333"/>
          <w:w w:val="110"/>
        </w:rPr>
        <w:t>also  provides</w:t>
      </w:r>
      <w:proofErr w:type="gramEnd"/>
      <w:r>
        <w:rPr>
          <w:color w:val="333333"/>
          <w:w w:val="110"/>
        </w:rPr>
        <w:t xml:space="preserve"> a </w:t>
      </w:r>
      <w:hyperlink w:anchor="_bookmark38" w:history="1">
        <w:r>
          <w:rPr>
            <w:rFonts w:ascii="MS Gothic" w:hAnsi="MS Gothic"/>
            <w:color w:val="B02045"/>
            <w:w w:val="110"/>
          </w:rPr>
          <w:t>dependency-management</w:t>
        </w:r>
      </w:hyperlink>
      <w:r>
        <w:rPr>
          <w:rFonts w:ascii="MS Gothic" w:hAnsi="MS Gothic"/>
          <w:color w:val="B02045"/>
          <w:w w:val="110"/>
        </w:rPr>
        <w:t xml:space="preserve"> </w:t>
      </w:r>
      <w:r>
        <w:rPr>
          <w:color w:val="333333"/>
          <w:w w:val="110"/>
        </w:rPr>
        <w:t xml:space="preserve">section so that you can omit </w:t>
      </w:r>
      <w:r>
        <w:rPr>
          <w:rFonts w:ascii="MS Gothic" w:hAnsi="MS Gothic"/>
          <w:color w:val="B02045"/>
          <w:w w:val="110"/>
        </w:rPr>
        <w:t xml:space="preserve">version </w:t>
      </w:r>
      <w:r>
        <w:rPr>
          <w:color w:val="333333"/>
          <w:w w:val="110"/>
        </w:rPr>
        <w:t xml:space="preserve">tags for “blessed”  </w:t>
      </w:r>
      <w:r>
        <w:rPr>
          <w:color w:val="333333"/>
          <w:w w:val="110"/>
        </w:rPr>
        <w:lastRenderedPageBreak/>
        <w:t>dependencies.</w:t>
      </w:r>
    </w:p>
    <w:p w14:paraId="466A71DE" w14:textId="2BEB0E05" w:rsidR="00350798" w:rsidRDefault="00350798" w:rsidP="00350798">
      <w:pPr>
        <w:pStyle w:val="10"/>
      </w:pPr>
      <w:r>
        <w:rPr>
          <w:rFonts w:ascii="Helvetica" w:hAnsi="Helvetica" w:cs="Helvetica"/>
        </w:rPr>
        <w:t xml:space="preserve">Springboot </w:t>
      </w:r>
      <w:r>
        <w:rPr>
          <w:rFonts w:hint="eastAsia"/>
        </w:rPr>
        <w:t>提供了许多</w:t>
      </w:r>
      <w:r>
        <w:rPr>
          <w:rFonts w:ascii="Helvetica" w:hAnsi="Helvetica" w:cs="Helvetica"/>
        </w:rPr>
        <w:t>“</w:t>
      </w:r>
      <w:r>
        <w:rPr>
          <w:rFonts w:hint="eastAsia"/>
        </w:rPr>
        <w:t>Starters</w:t>
      </w:r>
      <w:r>
        <w:rPr>
          <w:rFonts w:ascii="Helvetica" w:hAnsi="Helvetica" w:cs="Helvetica"/>
        </w:rPr>
        <w:t xml:space="preserve">” </w:t>
      </w:r>
      <w:r>
        <w:rPr>
          <w:rFonts w:hint="eastAsia"/>
        </w:rPr>
        <w:t>，可以将</w:t>
      </w:r>
      <w:r>
        <w:rPr>
          <w:rFonts w:ascii="Helvetica" w:hAnsi="Helvetica" w:cs="Helvetica"/>
        </w:rPr>
        <w:t xml:space="preserve"> jar </w:t>
      </w:r>
      <w:r>
        <w:rPr>
          <w:rFonts w:hint="eastAsia"/>
        </w:rPr>
        <w:t>添加到c</w:t>
      </w:r>
      <w:r>
        <w:t>lasspath</w:t>
      </w:r>
      <w:r>
        <w:rPr>
          <w:rFonts w:hint="eastAsia"/>
        </w:rPr>
        <w:t>中。我们的冒烟测试应用程序使用</w:t>
      </w:r>
      <w:r>
        <w:rPr>
          <w:rFonts w:ascii="Helvetica" w:hAnsi="Helvetica" w:cs="Helvetica"/>
        </w:rPr>
        <w:t xml:space="preserve"> POM </w:t>
      </w:r>
      <w:r>
        <w:rPr>
          <w:rFonts w:hint="eastAsia"/>
        </w:rPr>
        <w:t>的父节中的</w:t>
      </w:r>
      <w:r>
        <w:rPr>
          <w:rFonts w:ascii="Helvetica" w:hAnsi="Helvetica" w:cs="Helvetica"/>
        </w:rPr>
        <w:t xml:space="preserve"> spring-boot-starter-parent</w:t>
      </w:r>
      <w:r>
        <w:rPr>
          <w:rFonts w:hint="eastAsia"/>
        </w:rPr>
        <w:t>。</w:t>
      </w:r>
      <w:r>
        <w:rPr>
          <w:rFonts w:ascii="Helvetica" w:hAnsi="Helvetica" w:cs="Helvetica"/>
        </w:rPr>
        <w:t xml:space="preserve">Spring-boot-starter-parent </w:t>
      </w:r>
      <w:r>
        <w:rPr>
          <w:rFonts w:hint="eastAsia"/>
        </w:rPr>
        <w:t>是一个特殊的</w:t>
      </w:r>
      <w:r>
        <w:rPr>
          <w:rFonts w:ascii="Helvetica" w:hAnsi="Helvetica" w:cs="Helvetica"/>
        </w:rPr>
        <w:t xml:space="preserve"> starter</w:t>
      </w:r>
      <w:r>
        <w:rPr>
          <w:rFonts w:hint="eastAsia"/>
        </w:rPr>
        <w:t>，它提供了有用的</w:t>
      </w:r>
      <w:r>
        <w:rPr>
          <w:rFonts w:ascii="Helvetica" w:hAnsi="Helvetica" w:cs="Helvetica"/>
        </w:rPr>
        <w:t xml:space="preserve"> Maven </w:t>
      </w:r>
      <w:r>
        <w:rPr>
          <w:rFonts w:hint="eastAsia"/>
        </w:rPr>
        <w:t>默认值。它还提供了一个依赖关系管理部分，以便您可以省略版本标记。</w:t>
      </w:r>
    </w:p>
    <w:p w14:paraId="5A2CEC37" w14:textId="77777777" w:rsidR="00A720EB" w:rsidRDefault="00A720EB">
      <w:pPr>
        <w:pStyle w:val="a3"/>
        <w:rPr>
          <w:sz w:val="22"/>
          <w:lang w:eastAsia="zh-CN"/>
        </w:rPr>
      </w:pPr>
    </w:p>
    <w:p w14:paraId="55618885" w14:textId="1A6787EE" w:rsidR="00A720EB" w:rsidRDefault="0030286B" w:rsidP="004963CA">
      <w:pPr>
        <w:pStyle w:val="a3"/>
        <w:spacing w:before="1"/>
        <w:ind w:left="124"/>
        <w:jc w:val="both"/>
        <w:rPr>
          <w:color w:val="333333"/>
          <w:w w:val="110"/>
        </w:rPr>
      </w:pPr>
      <w:r>
        <w:rPr>
          <w:color w:val="333333"/>
          <w:w w:val="110"/>
        </w:rPr>
        <w:t>Other “Starters” provide dependencies that you are likely to need when developing a specific type</w:t>
      </w:r>
      <w:r w:rsidR="004963CA">
        <w:rPr>
          <w:color w:val="333333"/>
          <w:w w:val="110"/>
        </w:rPr>
        <w:t xml:space="preserve"> </w:t>
      </w:r>
      <w:r>
        <w:rPr>
          <w:color w:val="333333"/>
          <w:w w:val="110"/>
        </w:rPr>
        <w:t xml:space="preserve">of application. Since we are developing a web application, we add a </w:t>
      </w:r>
      <w:r>
        <w:rPr>
          <w:rFonts w:ascii="MS Gothic"/>
          <w:color w:val="B02045"/>
          <w:w w:val="110"/>
        </w:rPr>
        <w:t xml:space="preserve">spring-boot-starter-web </w:t>
      </w:r>
      <w:r>
        <w:rPr>
          <w:color w:val="333333"/>
          <w:spacing w:val="-3"/>
          <w:w w:val="110"/>
        </w:rPr>
        <w:t xml:space="preserve">dependency. </w:t>
      </w:r>
      <w:r>
        <w:rPr>
          <w:color w:val="333333"/>
          <w:w w:val="110"/>
        </w:rPr>
        <w:t xml:space="preserve">Before that, we can look at what we currently have </w:t>
      </w:r>
      <w:proofErr w:type="gramStart"/>
      <w:r>
        <w:rPr>
          <w:color w:val="333333"/>
          <w:spacing w:val="-3"/>
          <w:w w:val="110"/>
        </w:rPr>
        <w:t xml:space="preserve">by  </w:t>
      </w:r>
      <w:r>
        <w:rPr>
          <w:color w:val="333333"/>
          <w:w w:val="110"/>
        </w:rPr>
        <w:t>running</w:t>
      </w:r>
      <w:proofErr w:type="gramEnd"/>
      <w:r>
        <w:rPr>
          <w:color w:val="333333"/>
          <w:w w:val="110"/>
        </w:rPr>
        <w:t xml:space="preserve">  the  following  command:</w:t>
      </w:r>
    </w:p>
    <w:p w14:paraId="10D67B5F" w14:textId="0E54FD67" w:rsidR="004963CA" w:rsidRPr="004963CA" w:rsidRDefault="004963CA" w:rsidP="004963CA">
      <w:pPr>
        <w:pStyle w:val="10"/>
      </w:pPr>
      <w:r w:rsidRPr="004963CA">
        <w:t>其他“</w:t>
      </w:r>
      <w:r>
        <w:rPr>
          <w:rFonts w:hint="eastAsia"/>
        </w:rPr>
        <w:t>S</w:t>
      </w:r>
      <w:r>
        <w:t>tarters</w:t>
      </w:r>
      <w:r w:rsidRPr="004963CA">
        <w:t>”提供了在开发特定类型的应用程序时可能需要的依赖项。因为我们正在开发一个 web 应用程序，所以我们添加了一个 spring-boot-starter-web 依赖项。在此之前，我们可以通过运行以下命令来查看我们当前拥有的内容:</w:t>
      </w:r>
    </w:p>
    <w:p w14:paraId="19BF304F" w14:textId="77777777" w:rsidR="00A720EB" w:rsidRDefault="00E10349">
      <w:pPr>
        <w:pStyle w:val="a3"/>
        <w:spacing w:before="6"/>
        <w:rPr>
          <w:sz w:val="13"/>
          <w:lang w:eastAsia="zh-CN"/>
        </w:rPr>
      </w:pPr>
      <w:r>
        <w:pict w14:anchorId="6008CA1F">
          <v:group id="_x0000_s4934" style="position:absolute;margin-left:47.85pt;margin-top:9.95pt;width:499.55pt;height:67pt;z-index:-15709184;mso-wrap-distance-left:0;mso-wrap-distance-right:0;mso-position-horizontal-relative:page" coordorigin="957,199" coordsize="9991,1340">
            <v:shape id="_x0000_s4937" style="position:absolute;left:964;top:206;width:9976;height:1325" coordorigin="965,206" coordsize="9976,1325" path="m10861,206r-9816,l1014,212r-26,18l971,255r-6,31l965,1451r6,31l988,1507r26,17l1045,1531r9816,l10892,1524r25,-17l10935,1482r6,-31l10941,286r-6,-31l10917,230r-25,-18l10861,206xe" fillcolor="#f5f5f5" stroked="f">
              <v:path arrowok="t"/>
            </v:shape>
            <v:shape id="_x0000_s4936" style="position:absolute;left:964;top:206;width:9976;height:1325" coordorigin="965,206" coordsize="9976,1325" path="m1045,206r9816,l10892,212r25,18l10935,255r6,31l10941,1451r-6,31l10917,1507r-25,17l10861,1531r-9816,l1014,1524r-26,-17l971,1482r-6,-31l965,286r6,-31l988,230r26,-18l1045,206xe" filled="f" strokecolor="#ccc">
              <v:path arrowok="t"/>
            </v:shape>
            <v:shape id="_x0000_s4935" type="#_x0000_t202" style="position:absolute;left:984;top:221;width:9938;height:1294" filled="f" stroked="f">
              <v:textbox inset="0,0,0,0">
                <w:txbxContent>
                  <w:p w14:paraId="1EAC92D6" w14:textId="77777777" w:rsidR="00711A16" w:rsidRDefault="00711A16">
                    <w:pPr>
                      <w:spacing w:before="221"/>
                      <w:ind w:left="200"/>
                      <w:rPr>
                        <w:rFonts w:ascii="MS Gothic"/>
                      </w:rPr>
                    </w:pPr>
                    <w:r>
                      <w:rPr>
                        <w:rFonts w:ascii="MS Gothic"/>
                        <w:color w:val="333333"/>
                      </w:rPr>
                      <w:t xml:space="preserve">$ mvn </w:t>
                    </w:r>
                    <w:proofErr w:type="gramStart"/>
                    <w:r>
                      <w:rPr>
                        <w:rFonts w:ascii="MS Gothic"/>
                        <w:color w:val="333333"/>
                      </w:rPr>
                      <w:t>dependency:tree</w:t>
                    </w:r>
                    <w:proofErr w:type="gramEnd"/>
                  </w:p>
                  <w:p w14:paraId="5D89DF07" w14:textId="77777777" w:rsidR="00711A16" w:rsidRDefault="00711A16">
                    <w:pPr>
                      <w:rPr>
                        <w:rFonts w:ascii="MS Gothic"/>
                        <w:sz w:val="24"/>
                      </w:rPr>
                    </w:pPr>
                  </w:p>
                  <w:p w14:paraId="0D3DEDBB" w14:textId="77777777" w:rsidR="00711A16" w:rsidRDefault="00711A16">
                    <w:pPr>
                      <w:ind w:left="200"/>
                      <w:rPr>
                        <w:rFonts w:ascii="MS Gothic"/>
                      </w:rPr>
                    </w:pPr>
                    <w:r>
                      <w:rPr>
                        <w:rFonts w:ascii="MS Gothic"/>
                        <w:color w:val="333333"/>
                      </w:rPr>
                      <w:t>[INFO] com.</w:t>
                    </w:r>
                    <w:proofErr w:type="gramStart"/>
                    <w:r>
                      <w:rPr>
                        <w:rFonts w:ascii="MS Gothic"/>
                        <w:color w:val="333333"/>
                      </w:rPr>
                      <w:t>example:myproject</w:t>
                    </w:r>
                    <w:proofErr w:type="gramEnd"/>
                    <w:r>
                      <w:rPr>
                        <w:rFonts w:ascii="MS Gothic"/>
                        <w:color w:val="333333"/>
                      </w:rPr>
                      <w:t>:jar:0.0.1-SNAPSHOT</w:t>
                    </w:r>
                  </w:p>
                </w:txbxContent>
              </v:textbox>
            </v:shape>
            <w10:wrap type="topAndBottom" anchorx="page"/>
          </v:group>
        </w:pict>
      </w:r>
    </w:p>
    <w:p w14:paraId="56ACFFF2" w14:textId="77777777" w:rsidR="00A720EB" w:rsidRDefault="00A720EB">
      <w:pPr>
        <w:pStyle w:val="a3"/>
        <w:spacing w:before="11"/>
        <w:rPr>
          <w:sz w:val="9"/>
          <w:lang w:eastAsia="zh-CN"/>
        </w:rPr>
      </w:pPr>
    </w:p>
    <w:p w14:paraId="45E3B810" w14:textId="63E5E2A3" w:rsidR="00A720EB" w:rsidRDefault="0030286B">
      <w:pPr>
        <w:pStyle w:val="a3"/>
        <w:spacing w:before="115" w:line="280" w:lineRule="auto"/>
        <w:ind w:left="124" w:right="125"/>
        <w:jc w:val="both"/>
        <w:rPr>
          <w:color w:val="333333"/>
          <w:w w:val="110"/>
        </w:rPr>
      </w:pPr>
      <w:r>
        <w:rPr>
          <w:color w:val="333333"/>
          <w:w w:val="110"/>
        </w:rPr>
        <w:t xml:space="preserve">The </w:t>
      </w:r>
      <w:r>
        <w:rPr>
          <w:rFonts w:ascii="MS Gothic"/>
          <w:color w:val="B02045"/>
          <w:w w:val="110"/>
        </w:rPr>
        <w:t xml:space="preserve">mvn </w:t>
      </w:r>
      <w:proofErr w:type="gramStart"/>
      <w:r>
        <w:rPr>
          <w:rFonts w:ascii="MS Gothic"/>
          <w:color w:val="B02045"/>
          <w:w w:val="110"/>
        </w:rPr>
        <w:t>dependency:tree</w:t>
      </w:r>
      <w:proofErr w:type="gramEnd"/>
      <w:r>
        <w:rPr>
          <w:rFonts w:ascii="MS Gothic"/>
          <w:color w:val="B02045"/>
          <w:w w:val="110"/>
        </w:rPr>
        <w:t xml:space="preserve"> </w:t>
      </w:r>
      <w:r>
        <w:rPr>
          <w:color w:val="333333"/>
          <w:w w:val="110"/>
        </w:rPr>
        <w:t xml:space="preserve">command prints a tree representation of your project dependencies. </w:t>
      </w:r>
      <w:r>
        <w:rPr>
          <w:color w:val="333333"/>
          <w:spacing w:val="-6"/>
          <w:w w:val="110"/>
        </w:rPr>
        <w:t xml:space="preserve">You </w:t>
      </w:r>
      <w:r>
        <w:rPr>
          <w:color w:val="333333"/>
          <w:w w:val="110"/>
        </w:rPr>
        <w:t xml:space="preserve">can see that </w:t>
      </w:r>
      <w:r>
        <w:rPr>
          <w:rFonts w:ascii="MS Gothic"/>
          <w:color w:val="B02045"/>
          <w:w w:val="110"/>
        </w:rPr>
        <w:t xml:space="preserve">spring-boot-starter-parent </w:t>
      </w:r>
      <w:r>
        <w:rPr>
          <w:color w:val="333333"/>
          <w:w w:val="110"/>
        </w:rPr>
        <w:t xml:space="preserve">provides no dependencies </w:t>
      </w:r>
      <w:r>
        <w:rPr>
          <w:color w:val="333333"/>
          <w:spacing w:val="-3"/>
          <w:w w:val="110"/>
        </w:rPr>
        <w:t xml:space="preserve">by </w:t>
      </w:r>
      <w:r>
        <w:rPr>
          <w:color w:val="333333"/>
          <w:w w:val="110"/>
        </w:rPr>
        <w:t xml:space="preserve">itself. </w:t>
      </w:r>
      <w:r>
        <w:rPr>
          <w:color w:val="333333"/>
          <w:spacing w:val="-4"/>
          <w:w w:val="110"/>
        </w:rPr>
        <w:t xml:space="preserve">To </w:t>
      </w:r>
      <w:r>
        <w:rPr>
          <w:color w:val="333333"/>
          <w:w w:val="110"/>
        </w:rPr>
        <w:t xml:space="preserve">add the necessary dependencies, edit your </w:t>
      </w:r>
      <w:r>
        <w:rPr>
          <w:rFonts w:ascii="MS Gothic"/>
          <w:color w:val="B02045"/>
          <w:w w:val="110"/>
        </w:rPr>
        <w:t xml:space="preserve">pom.xml </w:t>
      </w:r>
      <w:r>
        <w:rPr>
          <w:color w:val="333333"/>
          <w:w w:val="110"/>
        </w:rPr>
        <w:t xml:space="preserve">and add the </w:t>
      </w:r>
      <w:r>
        <w:rPr>
          <w:rFonts w:ascii="MS Gothic"/>
          <w:color w:val="B02045"/>
          <w:w w:val="110"/>
        </w:rPr>
        <w:t xml:space="preserve">spring-boot-starter-web </w:t>
      </w:r>
      <w:r>
        <w:rPr>
          <w:color w:val="333333"/>
          <w:w w:val="110"/>
        </w:rPr>
        <w:t xml:space="preserve">dependency immediately below the </w:t>
      </w:r>
      <w:r>
        <w:rPr>
          <w:rFonts w:ascii="MS Gothic"/>
          <w:color w:val="B02045"/>
          <w:w w:val="110"/>
        </w:rPr>
        <w:t>parent</w:t>
      </w:r>
      <w:r>
        <w:rPr>
          <w:rFonts w:ascii="MS Gothic"/>
          <w:color w:val="B02045"/>
          <w:spacing w:val="-57"/>
          <w:w w:val="110"/>
        </w:rPr>
        <w:t xml:space="preserve"> </w:t>
      </w:r>
      <w:r>
        <w:rPr>
          <w:color w:val="333333"/>
          <w:w w:val="110"/>
        </w:rPr>
        <w:t>section:</w:t>
      </w:r>
    </w:p>
    <w:p w14:paraId="05347956" w14:textId="3CF69D22" w:rsidR="004963CA" w:rsidRPr="004963CA" w:rsidRDefault="004963CA" w:rsidP="004963CA">
      <w:pPr>
        <w:pStyle w:val="10"/>
      </w:pPr>
      <w:r w:rsidRPr="004963CA">
        <w:t>MVN Dependency：tree命令打印项目依赖关系的树表示形式。 您可以看到Spring-boot-starter-parent本身没有提供依赖项。 要添加必要的依赖项，请编辑pom.xml并在父节的正下方添加Spring-boot-starter-web依赖项：</w:t>
      </w:r>
    </w:p>
    <w:p w14:paraId="4C190CC9" w14:textId="77777777" w:rsidR="00A720EB" w:rsidRDefault="00E10349">
      <w:pPr>
        <w:pStyle w:val="a3"/>
        <w:spacing w:before="3"/>
        <w:rPr>
          <w:sz w:val="14"/>
        </w:rPr>
      </w:pPr>
      <w:r>
        <w:pict w14:anchorId="4C3EE2E6">
          <v:group id="_x0000_s4930" style="position:absolute;margin-left:47.85pt;margin-top:10.35pt;width:499.55pt;height:111.2pt;z-index:-15708672;mso-wrap-distance-left:0;mso-wrap-distance-right:0;mso-position-horizontal-relative:page" coordorigin="957,207" coordsize="9991,2224">
            <v:shape id="_x0000_s4933" style="position:absolute;left:964;top:214;width:9976;height:2209" coordorigin="965,215" coordsize="9976,2209" path="m10861,215r-9816,l1014,221r-26,17l971,264r-6,31l965,2343r6,32l988,2400r26,17l1045,2423r9816,l10892,2417r25,-17l10935,2375r6,-32l10941,295r-6,-31l10917,238r-25,-17l10861,215xe" fillcolor="#f5f5f5" stroked="f">
              <v:path arrowok="t"/>
            </v:shape>
            <v:shape id="_x0000_s4932" style="position:absolute;left:964;top:214;width:9976;height:2209" coordorigin="965,215" coordsize="9976,2209" path="m1045,215r9816,l10892,221r25,17l10935,264r6,31l10941,2343r-6,32l10917,2400r-25,17l10861,2423r-9816,l1014,2417r-26,-17l971,2375r-6,-32l965,295r6,-31l988,238r26,-17l1045,215xe" filled="f" strokecolor="#ccc">
              <v:path arrowok="t"/>
            </v:shape>
            <v:shape id="_x0000_s4931" type="#_x0000_t202" style="position:absolute;left:984;top:230;width:9938;height:2178" filled="f" stroked="f">
              <v:textbox inset="0,0,0,0">
                <w:txbxContent>
                  <w:p w14:paraId="76D02279" w14:textId="77777777" w:rsidR="00711A16" w:rsidRDefault="00711A16">
                    <w:pPr>
                      <w:spacing w:before="221"/>
                      <w:ind w:left="200"/>
                      <w:rPr>
                        <w:rFonts w:ascii="MS Gothic"/>
                      </w:rPr>
                    </w:pPr>
                    <w:r>
                      <w:rPr>
                        <w:rFonts w:ascii="MS Gothic"/>
                        <w:color w:val="333333"/>
                      </w:rPr>
                      <w:t>&lt;dependencies&gt;</w:t>
                    </w:r>
                  </w:p>
                  <w:p w14:paraId="29C78647" w14:textId="77777777" w:rsidR="00711A16" w:rsidRDefault="00711A16">
                    <w:pPr>
                      <w:spacing w:before="13"/>
                      <w:ind w:left="640"/>
                      <w:rPr>
                        <w:rFonts w:ascii="MS Gothic"/>
                      </w:rPr>
                    </w:pPr>
                    <w:r>
                      <w:rPr>
                        <w:rFonts w:ascii="MS Gothic"/>
                        <w:color w:val="333333"/>
                      </w:rPr>
                      <w:t>&lt;dependency&gt;</w:t>
                    </w:r>
                  </w:p>
                  <w:p w14:paraId="66771141" w14:textId="77777777" w:rsidR="00711A16" w:rsidRDefault="00711A16">
                    <w:pPr>
                      <w:spacing w:before="13"/>
                      <w:ind w:left="1080"/>
                      <w:rPr>
                        <w:rFonts w:ascii="MS Gothic"/>
                      </w:rPr>
                    </w:pPr>
                    <w:proofErr w:type="gramStart"/>
                    <w:r>
                      <w:rPr>
                        <w:rFonts w:ascii="MS Gothic"/>
                        <w:color w:val="333333"/>
                      </w:rPr>
                      <w:t>&lt;groupId&gt;org.springframework.boot</w:t>
                    </w:r>
                    <w:proofErr w:type="gramEnd"/>
                    <w:r>
                      <w:rPr>
                        <w:rFonts w:ascii="MS Gothic"/>
                        <w:color w:val="333333"/>
                      </w:rPr>
                      <w:t>&lt;/groupId&gt;</w:t>
                    </w:r>
                  </w:p>
                  <w:p w14:paraId="00DDE50D" w14:textId="77777777" w:rsidR="00711A16" w:rsidRDefault="00711A16">
                    <w:pPr>
                      <w:spacing w:before="13"/>
                      <w:ind w:left="1080"/>
                      <w:rPr>
                        <w:rFonts w:ascii="MS Gothic"/>
                      </w:rPr>
                    </w:pPr>
                    <w:r>
                      <w:rPr>
                        <w:rFonts w:ascii="MS Gothic"/>
                        <w:color w:val="333333"/>
                      </w:rPr>
                      <w:t>&lt;artifactId&gt;spring-boot-starter-web&lt;/artifactId&gt;</w:t>
                    </w:r>
                  </w:p>
                  <w:p w14:paraId="5BA8CF8E" w14:textId="77777777" w:rsidR="00711A16" w:rsidRDefault="00711A16">
                    <w:pPr>
                      <w:spacing w:before="12"/>
                      <w:ind w:left="640"/>
                      <w:rPr>
                        <w:rFonts w:ascii="MS Gothic"/>
                      </w:rPr>
                    </w:pPr>
                    <w:r>
                      <w:rPr>
                        <w:rFonts w:ascii="MS Gothic"/>
                        <w:color w:val="333333"/>
                      </w:rPr>
                      <w:t>&lt;/dependency&gt;</w:t>
                    </w:r>
                  </w:p>
                  <w:p w14:paraId="762F5E63" w14:textId="77777777" w:rsidR="00711A16" w:rsidRDefault="00711A16">
                    <w:pPr>
                      <w:spacing w:before="13"/>
                      <w:ind w:left="200"/>
                      <w:rPr>
                        <w:rFonts w:ascii="MS Gothic"/>
                      </w:rPr>
                    </w:pPr>
                    <w:r>
                      <w:rPr>
                        <w:rFonts w:ascii="MS Gothic"/>
                        <w:color w:val="333333"/>
                      </w:rPr>
                      <w:t>&lt;/dependencies&gt;</w:t>
                    </w:r>
                  </w:p>
                </w:txbxContent>
              </v:textbox>
            </v:shape>
            <w10:wrap type="topAndBottom" anchorx="page"/>
          </v:group>
        </w:pict>
      </w:r>
    </w:p>
    <w:p w14:paraId="780C6617" w14:textId="77777777" w:rsidR="00A720EB" w:rsidRDefault="00A720EB">
      <w:pPr>
        <w:pStyle w:val="a3"/>
        <w:spacing w:before="11"/>
        <w:rPr>
          <w:sz w:val="9"/>
        </w:rPr>
      </w:pPr>
    </w:p>
    <w:p w14:paraId="0EB56FDA" w14:textId="29A57FCA" w:rsidR="00A720EB" w:rsidRDefault="0030286B">
      <w:pPr>
        <w:pStyle w:val="a3"/>
        <w:spacing w:before="115" w:line="290" w:lineRule="auto"/>
        <w:ind w:left="124" w:right="126"/>
        <w:jc w:val="both"/>
        <w:rPr>
          <w:color w:val="333333"/>
          <w:w w:val="110"/>
        </w:rPr>
      </w:pPr>
      <w:r>
        <w:rPr>
          <w:color w:val="333333"/>
          <w:w w:val="110"/>
        </w:rPr>
        <w:t xml:space="preserve">If you run </w:t>
      </w:r>
      <w:r>
        <w:rPr>
          <w:rFonts w:ascii="MS Gothic"/>
          <w:color w:val="B02045"/>
          <w:w w:val="110"/>
        </w:rPr>
        <w:t xml:space="preserve">mvn </w:t>
      </w:r>
      <w:proofErr w:type="gramStart"/>
      <w:r>
        <w:rPr>
          <w:rFonts w:ascii="MS Gothic"/>
          <w:color w:val="B02045"/>
          <w:w w:val="110"/>
        </w:rPr>
        <w:t>dependency:tree</w:t>
      </w:r>
      <w:proofErr w:type="gramEnd"/>
      <w:r>
        <w:rPr>
          <w:rFonts w:ascii="MS Gothic"/>
          <w:color w:val="B02045"/>
          <w:w w:val="110"/>
        </w:rPr>
        <w:t xml:space="preserve"> </w:t>
      </w:r>
      <w:r>
        <w:rPr>
          <w:color w:val="333333"/>
          <w:w w:val="110"/>
        </w:rPr>
        <w:t>again, you see that there are now a number of additional dependencies, including the Tomcat web server and Spring Boot itself.</w:t>
      </w:r>
    </w:p>
    <w:p w14:paraId="4D243496" w14:textId="683128AD" w:rsidR="004963CA" w:rsidRPr="004963CA" w:rsidRDefault="004963CA" w:rsidP="004963CA">
      <w:pPr>
        <w:pStyle w:val="10"/>
      </w:pPr>
      <w:r w:rsidRPr="004963CA">
        <w:t>如果再次运行MVN Dependency：Tree，您会看到现在有许多额外的依赖项，包括Tomcat web服务器和Spring Boot本身。</w:t>
      </w:r>
    </w:p>
    <w:p w14:paraId="6190BC76" w14:textId="77777777" w:rsidR="00A720EB" w:rsidRDefault="00A720EB">
      <w:pPr>
        <w:pStyle w:val="a3"/>
        <w:spacing w:before="3"/>
        <w:rPr>
          <w:sz w:val="27"/>
        </w:rPr>
      </w:pPr>
    </w:p>
    <w:p w14:paraId="089AD289" w14:textId="46B6EA1F" w:rsidR="00A720EB" w:rsidRDefault="0030286B">
      <w:pPr>
        <w:pStyle w:val="3"/>
        <w:numPr>
          <w:ilvl w:val="2"/>
          <w:numId w:val="73"/>
        </w:numPr>
        <w:tabs>
          <w:tab w:val="left" w:pos="858"/>
        </w:tabs>
        <w:ind w:hanging="734"/>
      </w:pPr>
      <w:bookmarkStart w:id="52" w:name="2.4.3._Writing_the_Code"/>
      <w:bookmarkStart w:id="53" w:name="_Toc54423674"/>
      <w:bookmarkEnd w:id="52"/>
      <w:r>
        <w:rPr>
          <w:color w:val="333333"/>
          <w:w w:val="110"/>
        </w:rPr>
        <w:t>Writing the</w:t>
      </w:r>
      <w:r>
        <w:rPr>
          <w:color w:val="333333"/>
          <w:spacing w:val="-12"/>
          <w:w w:val="110"/>
        </w:rPr>
        <w:t xml:space="preserve"> </w:t>
      </w:r>
      <w:r>
        <w:rPr>
          <w:color w:val="333333"/>
          <w:w w:val="110"/>
        </w:rPr>
        <w:t>Code</w:t>
      </w:r>
      <w:r w:rsidR="004963CA">
        <w:rPr>
          <w:color w:val="333333"/>
          <w:w w:val="110"/>
        </w:rPr>
        <w:t xml:space="preserve"> </w:t>
      </w:r>
      <w:r w:rsidR="004963CA" w:rsidRPr="004963CA">
        <w:rPr>
          <w:rFonts w:ascii="宋体" w:eastAsia="宋体" w:hAnsi="宋体" w:cs="宋体" w:hint="eastAsia"/>
          <w:color w:val="E36C0A" w:themeColor="accent6" w:themeShade="BF"/>
          <w:w w:val="110"/>
        </w:rPr>
        <w:t>编写代码</w:t>
      </w:r>
      <w:bookmarkEnd w:id="53"/>
    </w:p>
    <w:p w14:paraId="368B992D" w14:textId="77777777" w:rsidR="00A720EB" w:rsidRDefault="0030286B">
      <w:pPr>
        <w:pStyle w:val="a3"/>
        <w:spacing w:before="254" w:line="290" w:lineRule="auto"/>
        <w:ind w:left="124" w:right="126"/>
        <w:jc w:val="both"/>
      </w:pPr>
      <w:r>
        <w:rPr>
          <w:color w:val="333333"/>
          <w:spacing w:val="-4"/>
          <w:w w:val="110"/>
        </w:rPr>
        <w:t xml:space="preserve">To </w:t>
      </w:r>
      <w:r>
        <w:rPr>
          <w:color w:val="333333"/>
          <w:w w:val="110"/>
        </w:rPr>
        <w:t xml:space="preserve">finish our application, we need to create a single Java file. </w:t>
      </w:r>
      <w:r>
        <w:rPr>
          <w:color w:val="333333"/>
          <w:spacing w:val="-3"/>
          <w:w w:val="110"/>
        </w:rPr>
        <w:t xml:space="preserve">By </w:t>
      </w:r>
      <w:r>
        <w:rPr>
          <w:color w:val="333333"/>
          <w:w w:val="110"/>
        </w:rPr>
        <w:t xml:space="preserve">default, Maven compiles </w:t>
      </w:r>
      <w:proofErr w:type="gramStart"/>
      <w:r>
        <w:rPr>
          <w:color w:val="333333"/>
          <w:w w:val="110"/>
        </w:rPr>
        <w:t>sources  from</w:t>
      </w:r>
      <w:proofErr w:type="gramEnd"/>
      <w:r>
        <w:rPr>
          <w:color w:val="333333"/>
          <w:w w:val="110"/>
        </w:rPr>
        <w:t xml:space="preserve"> </w:t>
      </w:r>
      <w:r>
        <w:rPr>
          <w:rFonts w:ascii="MS Gothic"/>
          <w:color w:val="B02045"/>
          <w:w w:val="110"/>
        </w:rPr>
        <w:t>src/main/java</w:t>
      </w:r>
      <w:r>
        <w:rPr>
          <w:color w:val="333333"/>
          <w:w w:val="110"/>
        </w:rPr>
        <w:t xml:space="preserve">, so you need to create that directory structure and then add a file named </w:t>
      </w:r>
      <w:r>
        <w:rPr>
          <w:rFonts w:ascii="MS Gothic"/>
          <w:color w:val="B02045"/>
          <w:w w:val="110"/>
        </w:rPr>
        <w:t>src/main/java/Example.java</w:t>
      </w:r>
      <w:r>
        <w:rPr>
          <w:rFonts w:ascii="MS Gothic"/>
          <w:color w:val="B02045"/>
          <w:spacing w:val="-64"/>
          <w:w w:val="110"/>
        </w:rPr>
        <w:t xml:space="preserve"> </w:t>
      </w:r>
      <w:r>
        <w:rPr>
          <w:color w:val="333333"/>
          <w:w w:val="110"/>
        </w:rPr>
        <w:t>to contain the following code:</w:t>
      </w:r>
    </w:p>
    <w:p w14:paraId="580BDCDA" w14:textId="77777777" w:rsidR="00A720EB" w:rsidRDefault="00A720EB">
      <w:pPr>
        <w:spacing w:line="290" w:lineRule="auto"/>
        <w:jc w:val="both"/>
      </w:pPr>
    </w:p>
    <w:p w14:paraId="31A0553C" w14:textId="77777777" w:rsidR="004963CA" w:rsidRPr="004963CA" w:rsidRDefault="004963CA" w:rsidP="004963CA">
      <w:pPr>
        <w:pStyle w:val="10"/>
      </w:pPr>
      <w:r w:rsidRPr="004963CA">
        <w:t>为了完成我们的应用程序，我们需要创建一个 Java 文件。默认情况下，Maven 从 src/main/java 编译源代码，因此您需要创建该目录结构，然后添加一个名为 src/main/java/Example.java 的文件，以包含以下代码:</w:t>
      </w:r>
    </w:p>
    <w:p w14:paraId="24803129" w14:textId="7B3FC23F" w:rsidR="004963CA" w:rsidRPr="004963CA" w:rsidRDefault="004963CA" w:rsidP="004963CA">
      <w:pPr>
        <w:pStyle w:val="10"/>
        <w:sectPr w:rsidR="004963CA" w:rsidRPr="004963CA">
          <w:pgSz w:w="11910" w:h="16840"/>
          <w:pgMar w:top="620" w:right="840" w:bottom="520" w:left="840" w:header="0" w:footer="323" w:gutter="0"/>
          <w:cols w:space="720"/>
        </w:sectPr>
      </w:pPr>
    </w:p>
    <w:p w14:paraId="64EAB541" w14:textId="77777777" w:rsidR="00A720EB" w:rsidRDefault="00E10349">
      <w:pPr>
        <w:pStyle w:val="a3"/>
        <w:ind w:left="116"/>
        <w:rPr>
          <w:sz w:val="20"/>
        </w:rPr>
      </w:pPr>
      <w:r>
        <w:rPr>
          <w:sz w:val="20"/>
        </w:rPr>
      </w:r>
      <w:r>
        <w:rPr>
          <w:sz w:val="20"/>
        </w:rPr>
        <w:pict w14:anchorId="6A6369A9">
          <v:group id="_x0000_s4926" style="width:499.55pt;height:288.1pt;mso-position-horizontal-relative:char;mso-position-vertical-relative:line" coordsize="9991,5762">
            <v:shape id="_x0000_s4929" style="position:absolute;left:7;top:7;width:9976;height:5747" coordorigin="8,8" coordsize="9976,5747" path="m9904,8l88,8,56,14,31,31,14,56,8,88r,5586l14,5705r17,25l56,5748r32,6l9904,5754r31,-6l9960,5730r17,-25l9984,5674r,-5586l9977,56,9960,31,9935,14,9904,8xe" fillcolor="#f5f5f5" stroked="f">
              <v:path arrowok="t"/>
            </v:shape>
            <v:shape id="_x0000_s4928" style="position:absolute;left:7;top:7;width:9976;height:5747" coordorigin="8,8" coordsize="9976,5747" path="m88,8r9816,l9935,14r25,17l9977,56r7,32l9984,5674r-7,31l9960,5730r-25,18l9904,5754r-9816,l56,5748,31,5730,14,5705,8,5674,8,88,14,56,31,31,56,14,88,8xe" filled="f" strokecolor="#ccc">
              <v:path arrowok="t"/>
            </v:shape>
            <v:shape id="_x0000_s4927" type="#_x0000_t202" style="position:absolute;left:26;top:22;width:9938;height:5716" filled="f" stroked="f">
              <v:textbox inset="0,0,0,0">
                <w:txbxContent>
                  <w:p w14:paraId="7CF21F20"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w:t>
                    </w:r>
                  </w:p>
                  <w:p w14:paraId="6FA0FDF7" w14:textId="77777777" w:rsidR="00711A16" w:rsidRDefault="00711A16">
                    <w:pPr>
                      <w:spacing w:before="13" w:line="252" w:lineRule="auto"/>
                      <w:ind w:left="200" w:right="432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 import org.springframework.web.bind.annotation.*;</w:t>
                    </w:r>
                  </w:p>
                  <w:p w14:paraId="0E3BE9F0" w14:textId="77777777" w:rsidR="00711A16" w:rsidRDefault="00711A16">
                    <w:pPr>
                      <w:spacing w:before="10"/>
                      <w:rPr>
                        <w:rFonts w:ascii="MS Gothic"/>
                      </w:rPr>
                    </w:pPr>
                  </w:p>
                  <w:p w14:paraId="2B8A63BF" w14:textId="77777777" w:rsidR="00711A16" w:rsidRDefault="00711A16">
                    <w:pPr>
                      <w:spacing w:line="252" w:lineRule="auto"/>
                      <w:ind w:left="200" w:right="7078"/>
                      <w:rPr>
                        <w:rFonts w:ascii="MS Gothic"/>
                      </w:rPr>
                    </w:pPr>
                    <w:r>
                      <w:rPr>
                        <w:rFonts w:ascii="MS Gothic"/>
                        <w:color w:val="333333"/>
                      </w:rPr>
                      <w:t>@RestController @EnableAutoConfiguration public class Example {</w:t>
                    </w:r>
                  </w:p>
                  <w:p w14:paraId="77215BC4" w14:textId="77777777" w:rsidR="00711A16" w:rsidRDefault="00711A16">
                    <w:pPr>
                      <w:spacing w:before="9"/>
                      <w:rPr>
                        <w:rFonts w:ascii="MS Gothic"/>
                      </w:rPr>
                    </w:pPr>
                  </w:p>
                  <w:p w14:paraId="55CA760C" w14:textId="77777777" w:rsidR="00711A16" w:rsidRDefault="00711A16">
                    <w:pPr>
                      <w:spacing w:before="1" w:line="252" w:lineRule="auto"/>
                      <w:ind w:left="640" w:right="7078"/>
                      <w:rPr>
                        <w:rFonts w:ascii="MS Gothic"/>
                      </w:rPr>
                    </w:pPr>
                    <w:r>
                      <w:rPr>
                        <w:rFonts w:ascii="MS Gothic"/>
                        <w:color w:val="333333"/>
                      </w:rPr>
                      <w:t>@</w:t>
                    </w:r>
                    <w:proofErr w:type="gramStart"/>
                    <w:r>
                      <w:rPr>
                        <w:rFonts w:ascii="MS Gothic"/>
                        <w:color w:val="333333"/>
                      </w:rPr>
                      <w:t>RequestMapping(</w:t>
                    </w:r>
                    <w:proofErr w:type="gramEnd"/>
                    <w:r>
                      <w:rPr>
                        <w:rFonts w:ascii="MS Gothic"/>
                        <w:color w:val="333333"/>
                      </w:rPr>
                      <w:t>"/") String home() {</w:t>
                    </w:r>
                  </w:p>
                  <w:p w14:paraId="531F9056" w14:textId="77777777" w:rsidR="00711A16" w:rsidRDefault="00711A16">
                    <w:pPr>
                      <w:spacing w:line="280" w:lineRule="exact"/>
                      <w:ind w:left="1080"/>
                      <w:rPr>
                        <w:rFonts w:ascii="MS Gothic"/>
                      </w:rPr>
                    </w:pPr>
                    <w:r>
                      <w:rPr>
                        <w:rFonts w:ascii="MS Gothic"/>
                        <w:color w:val="333333"/>
                      </w:rPr>
                      <w:t>return "Hello World!";</w:t>
                    </w:r>
                  </w:p>
                  <w:p w14:paraId="7CF1153F" w14:textId="77777777" w:rsidR="00711A16" w:rsidRDefault="00711A16">
                    <w:pPr>
                      <w:spacing w:before="13"/>
                      <w:ind w:left="640"/>
                      <w:rPr>
                        <w:rFonts w:ascii="MS Gothic"/>
                      </w:rPr>
                    </w:pPr>
                    <w:r>
                      <w:rPr>
                        <w:rFonts w:ascii="MS Gothic"/>
                        <w:color w:val="333333"/>
                      </w:rPr>
                      <w:t>}</w:t>
                    </w:r>
                  </w:p>
                  <w:p w14:paraId="47C90234" w14:textId="77777777" w:rsidR="00711A16" w:rsidRDefault="00711A16">
                    <w:pPr>
                      <w:rPr>
                        <w:rFonts w:ascii="MS Gothic"/>
                        <w:sz w:val="24"/>
                      </w:rPr>
                    </w:pPr>
                  </w:p>
                  <w:p w14:paraId="05666986" w14:textId="77777777" w:rsidR="00711A16" w:rsidRDefault="00711A16">
                    <w:pPr>
                      <w:spacing w:line="252" w:lineRule="auto"/>
                      <w:ind w:left="1080" w:right="4108" w:hanging="4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 SpringApplication.run(Example.class, args);</w:t>
                    </w:r>
                  </w:p>
                  <w:p w14:paraId="44EAEAFC" w14:textId="77777777" w:rsidR="00711A16" w:rsidRDefault="00711A16">
                    <w:pPr>
                      <w:spacing w:line="280" w:lineRule="exact"/>
                      <w:ind w:left="640"/>
                      <w:rPr>
                        <w:rFonts w:ascii="MS Gothic"/>
                      </w:rPr>
                    </w:pPr>
                    <w:r>
                      <w:rPr>
                        <w:rFonts w:ascii="MS Gothic"/>
                        <w:color w:val="333333"/>
                      </w:rPr>
                      <w:t>}</w:t>
                    </w:r>
                  </w:p>
                  <w:p w14:paraId="03458CF5" w14:textId="77777777" w:rsidR="00711A16" w:rsidRDefault="00711A16">
                    <w:pPr>
                      <w:rPr>
                        <w:rFonts w:ascii="MS Gothic"/>
                        <w:sz w:val="24"/>
                      </w:rPr>
                    </w:pPr>
                  </w:p>
                  <w:p w14:paraId="1E3D4A74" w14:textId="77777777" w:rsidR="00711A16" w:rsidRDefault="00711A16">
                    <w:pPr>
                      <w:ind w:left="200"/>
                      <w:rPr>
                        <w:rFonts w:ascii="MS Gothic"/>
                      </w:rPr>
                    </w:pPr>
                    <w:r>
                      <w:rPr>
                        <w:rFonts w:ascii="MS Gothic"/>
                        <w:color w:val="333333"/>
                      </w:rPr>
                      <w:t>}</w:t>
                    </w:r>
                  </w:p>
                </w:txbxContent>
              </v:textbox>
            </v:shape>
            <w10:anchorlock/>
          </v:group>
        </w:pict>
      </w:r>
    </w:p>
    <w:p w14:paraId="1B3863C5" w14:textId="77777777" w:rsidR="00A720EB" w:rsidRDefault="00A720EB">
      <w:pPr>
        <w:pStyle w:val="a3"/>
        <w:spacing w:before="2"/>
        <w:rPr>
          <w:sz w:val="9"/>
        </w:rPr>
      </w:pPr>
    </w:p>
    <w:p w14:paraId="5D583848" w14:textId="3696EF6C" w:rsidR="00A720EB" w:rsidRDefault="0030286B">
      <w:pPr>
        <w:pStyle w:val="a3"/>
        <w:spacing w:before="126" w:line="307" w:lineRule="auto"/>
        <w:ind w:left="124" w:right="129"/>
        <w:jc w:val="both"/>
        <w:rPr>
          <w:color w:val="333333"/>
          <w:w w:val="110"/>
        </w:rPr>
      </w:pPr>
      <w:r>
        <w:rPr>
          <w:color w:val="333333"/>
          <w:w w:val="110"/>
        </w:rPr>
        <w:t xml:space="preserve">Although there is not much code here, quite a lot is going on. </w:t>
      </w:r>
      <w:proofErr w:type="gramStart"/>
      <w:r>
        <w:rPr>
          <w:color w:val="333333"/>
          <w:spacing w:val="-7"/>
          <w:w w:val="110"/>
        </w:rPr>
        <w:t xml:space="preserve">We  </w:t>
      </w:r>
      <w:r>
        <w:rPr>
          <w:color w:val="333333"/>
          <w:w w:val="110"/>
        </w:rPr>
        <w:t>step</w:t>
      </w:r>
      <w:proofErr w:type="gramEnd"/>
      <w:r>
        <w:rPr>
          <w:color w:val="333333"/>
          <w:w w:val="110"/>
        </w:rPr>
        <w:t xml:space="preserve"> through the important parts   in the next few</w:t>
      </w:r>
      <w:r>
        <w:rPr>
          <w:color w:val="333333"/>
          <w:spacing w:val="13"/>
          <w:w w:val="110"/>
        </w:rPr>
        <w:t xml:space="preserve"> </w:t>
      </w:r>
      <w:r>
        <w:rPr>
          <w:color w:val="333333"/>
          <w:w w:val="110"/>
        </w:rPr>
        <w:t>sections.</w:t>
      </w:r>
    </w:p>
    <w:p w14:paraId="576BCAEA" w14:textId="387A12BB" w:rsidR="004963CA" w:rsidRDefault="004963CA" w:rsidP="004963CA">
      <w:pPr>
        <w:pStyle w:val="10"/>
      </w:pPr>
      <w:r>
        <w:rPr>
          <w:rFonts w:hint="eastAsia"/>
        </w:rPr>
        <w:t>虽然这里没有太多代码，但有相当多的代码在运行。</w:t>
      </w:r>
      <w:r>
        <w:rPr>
          <w:rFonts w:ascii="Helvetica" w:hAnsi="Helvetica" w:cs="Helvetica"/>
        </w:rPr>
        <w:t xml:space="preserve"> </w:t>
      </w:r>
      <w:r>
        <w:rPr>
          <w:rFonts w:hint="eastAsia"/>
        </w:rPr>
        <w:t>在接下来的几个部分中，我们将逐步介绍重要的部分。</w:t>
      </w:r>
    </w:p>
    <w:p w14:paraId="1C741972" w14:textId="77777777" w:rsidR="00A720EB" w:rsidRDefault="00A720EB">
      <w:pPr>
        <w:pStyle w:val="a3"/>
        <w:spacing w:before="7"/>
        <w:rPr>
          <w:sz w:val="25"/>
          <w:lang w:eastAsia="zh-CN"/>
        </w:rPr>
      </w:pPr>
    </w:p>
    <w:p w14:paraId="2D00E47C" w14:textId="0B15DEAE" w:rsidR="00A720EB" w:rsidRPr="004963CA" w:rsidRDefault="0030286B">
      <w:pPr>
        <w:pStyle w:val="4"/>
        <w:rPr>
          <w:color w:val="E36C0A" w:themeColor="accent6" w:themeShade="BF"/>
          <w:w w:val="110"/>
        </w:rPr>
      </w:pPr>
      <w:bookmarkStart w:id="54" w:name="The_@RestController_and_@RequestMapping_"/>
      <w:bookmarkEnd w:id="54"/>
      <w:r>
        <w:rPr>
          <w:color w:val="333333"/>
          <w:w w:val="110"/>
        </w:rPr>
        <w:t>The @RestController and @RequestMapping Annotations</w:t>
      </w:r>
      <w:r w:rsidR="004963CA">
        <w:rPr>
          <w:color w:val="333333"/>
          <w:w w:val="110"/>
        </w:rPr>
        <w:t xml:space="preserve"> </w:t>
      </w:r>
      <w:r w:rsidR="004963CA" w:rsidRPr="004963CA">
        <w:rPr>
          <w:color w:val="E36C0A" w:themeColor="accent6" w:themeShade="BF"/>
          <w:w w:val="110"/>
        </w:rPr>
        <w:t>@RestController</w:t>
      </w:r>
      <w:r w:rsidR="004963CA" w:rsidRPr="004963CA">
        <w:rPr>
          <w:rFonts w:ascii="宋体" w:eastAsia="宋体" w:hAnsi="宋体" w:cs="宋体" w:hint="eastAsia"/>
          <w:color w:val="E36C0A" w:themeColor="accent6" w:themeShade="BF"/>
          <w:w w:val="110"/>
        </w:rPr>
        <w:t>和</w:t>
      </w:r>
      <w:r w:rsidR="004963CA" w:rsidRPr="004963CA">
        <w:rPr>
          <w:color w:val="E36C0A" w:themeColor="accent6" w:themeShade="BF"/>
          <w:w w:val="110"/>
        </w:rPr>
        <w:t>@RequestMapping</w:t>
      </w:r>
      <w:r w:rsidR="004963CA">
        <w:rPr>
          <w:rFonts w:ascii="宋体" w:eastAsia="宋体" w:hAnsi="宋体" w:cs="宋体" w:hint="eastAsia"/>
          <w:color w:val="E36C0A" w:themeColor="accent6" w:themeShade="BF"/>
          <w:w w:val="110"/>
          <w:lang w:eastAsia="zh-CN"/>
        </w:rPr>
        <w:t>注解</w:t>
      </w:r>
    </w:p>
    <w:p w14:paraId="164A3A1F" w14:textId="6D44930C" w:rsidR="00A720EB" w:rsidRDefault="0030286B">
      <w:pPr>
        <w:pStyle w:val="a3"/>
        <w:spacing w:before="234" w:line="290" w:lineRule="auto"/>
        <w:ind w:left="124" w:right="123"/>
        <w:jc w:val="both"/>
        <w:rPr>
          <w:color w:val="333333"/>
          <w:w w:val="110"/>
        </w:rPr>
      </w:pPr>
      <w:r>
        <w:rPr>
          <w:color w:val="333333"/>
          <w:w w:val="110"/>
        </w:rPr>
        <w:t xml:space="preserve">The first annotation on our </w:t>
      </w:r>
      <w:r>
        <w:rPr>
          <w:rFonts w:ascii="MS Gothic"/>
          <w:color w:val="B02045"/>
          <w:w w:val="110"/>
        </w:rPr>
        <w:t xml:space="preserve">Example </w:t>
      </w:r>
      <w:r>
        <w:rPr>
          <w:color w:val="333333"/>
          <w:w w:val="110"/>
        </w:rPr>
        <w:t xml:space="preserve">class is </w:t>
      </w:r>
      <w:r>
        <w:rPr>
          <w:rFonts w:ascii="MS Gothic"/>
          <w:color w:val="B02045"/>
          <w:w w:val="110"/>
        </w:rPr>
        <w:t>@RestController</w:t>
      </w:r>
      <w:r>
        <w:rPr>
          <w:color w:val="333333"/>
          <w:w w:val="110"/>
        </w:rPr>
        <w:t xml:space="preserve">. This is known as a </w:t>
      </w:r>
      <w:r>
        <w:rPr>
          <w:rFonts w:ascii="Palatino Linotype"/>
          <w:i/>
          <w:color w:val="333333"/>
          <w:w w:val="110"/>
        </w:rPr>
        <w:t xml:space="preserve">stereotype </w:t>
      </w:r>
      <w:r>
        <w:rPr>
          <w:color w:val="333333"/>
          <w:w w:val="110"/>
        </w:rPr>
        <w:t xml:space="preserve">annotation. It provides hints for people reading the code and for Spring that </w:t>
      </w:r>
      <w:proofErr w:type="gramStart"/>
      <w:r>
        <w:rPr>
          <w:color w:val="333333"/>
          <w:w w:val="110"/>
        </w:rPr>
        <w:t>the  class</w:t>
      </w:r>
      <w:proofErr w:type="gramEnd"/>
      <w:r>
        <w:rPr>
          <w:color w:val="333333"/>
          <w:w w:val="110"/>
        </w:rPr>
        <w:t xml:space="preserve">  plays  a specific role. In this case, our class is a web </w:t>
      </w:r>
      <w:r>
        <w:rPr>
          <w:rFonts w:ascii="MS Gothic"/>
          <w:color w:val="B02045"/>
          <w:w w:val="110"/>
        </w:rPr>
        <w:t>@Controller</w:t>
      </w:r>
      <w:r>
        <w:rPr>
          <w:color w:val="333333"/>
          <w:w w:val="110"/>
        </w:rPr>
        <w:t>, so Spring considers it when handling incoming web</w:t>
      </w:r>
      <w:r>
        <w:rPr>
          <w:color w:val="333333"/>
          <w:spacing w:val="4"/>
          <w:w w:val="110"/>
        </w:rPr>
        <w:t xml:space="preserve"> </w:t>
      </w:r>
      <w:r>
        <w:rPr>
          <w:color w:val="333333"/>
          <w:w w:val="110"/>
        </w:rPr>
        <w:t>requests.</w:t>
      </w:r>
    </w:p>
    <w:p w14:paraId="7ACA1630" w14:textId="30B75B36" w:rsidR="004963CA" w:rsidRPr="004963CA" w:rsidRDefault="004963CA" w:rsidP="004963CA">
      <w:pPr>
        <w:pStyle w:val="10"/>
      </w:pPr>
      <w:r w:rsidRPr="004963CA">
        <w:t>我们的 Example 类的第一个注释是@restcontroller。这就是所谓的构造型注释。它为阅读代码的人提供了提示，并为 Spring 提供了类扮演特定角色的提示。在这种情况下，我们的类是一个 web@Controller，因此 Spring 在处理传入的 web 请求时会考虑它。</w:t>
      </w:r>
    </w:p>
    <w:p w14:paraId="38A47F45" w14:textId="0CDCA5C3" w:rsidR="00A720EB" w:rsidRDefault="0030286B">
      <w:pPr>
        <w:pStyle w:val="a3"/>
        <w:spacing w:before="248" w:line="285" w:lineRule="auto"/>
        <w:ind w:left="124" w:right="126"/>
        <w:jc w:val="both"/>
        <w:rPr>
          <w:color w:val="333333"/>
          <w:w w:val="110"/>
        </w:rPr>
      </w:pPr>
      <w:r>
        <w:rPr>
          <w:color w:val="333333"/>
          <w:w w:val="110"/>
        </w:rPr>
        <w:t xml:space="preserve">The </w:t>
      </w:r>
      <w:r>
        <w:rPr>
          <w:rFonts w:ascii="MS Gothic" w:hAnsi="MS Gothic"/>
          <w:color w:val="B02045"/>
          <w:w w:val="110"/>
        </w:rPr>
        <w:t xml:space="preserve">@RequestMapping </w:t>
      </w:r>
      <w:r>
        <w:rPr>
          <w:color w:val="333333"/>
          <w:w w:val="110"/>
        </w:rPr>
        <w:t xml:space="preserve">annotation provides “routing” information. It tells Spring that any HTTP request with the </w:t>
      </w:r>
      <w:r>
        <w:rPr>
          <w:rFonts w:ascii="MS Gothic" w:hAnsi="MS Gothic"/>
          <w:color w:val="B02045"/>
          <w:w w:val="110"/>
        </w:rPr>
        <w:t>/</w:t>
      </w:r>
      <w:r>
        <w:rPr>
          <w:rFonts w:ascii="MS Gothic" w:hAnsi="MS Gothic"/>
          <w:color w:val="B02045"/>
          <w:spacing w:val="-66"/>
          <w:w w:val="110"/>
        </w:rPr>
        <w:t xml:space="preserve"> </w:t>
      </w:r>
      <w:r>
        <w:rPr>
          <w:color w:val="333333"/>
          <w:w w:val="110"/>
        </w:rPr>
        <w:t xml:space="preserve">path should be mapped to the </w:t>
      </w:r>
      <w:r>
        <w:rPr>
          <w:rFonts w:ascii="MS Gothic" w:hAnsi="MS Gothic"/>
          <w:color w:val="B02045"/>
          <w:w w:val="110"/>
        </w:rPr>
        <w:t>home</w:t>
      </w:r>
      <w:r>
        <w:rPr>
          <w:rFonts w:ascii="MS Gothic" w:hAnsi="MS Gothic"/>
          <w:color w:val="B02045"/>
          <w:spacing w:val="-66"/>
          <w:w w:val="110"/>
        </w:rPr>
        <w:t xml:space="preserve"> </w:t>
      </w:r>
      <w:r>
        <w:rPr>
          <w:color w:val="333333"/>
          <w:w w:val="110"/>
        </w:rPr>
        <w:t xml:space="preserve">method. The </w:t>
      </w:r>
      <w:r>
        <w:rPr>
          <w:rFonts w:ascii="MS Gothic" w:hAnsi="MS Gothic"/>
          <w:color w:val="B02045"/>
          <w:w w:val="110"/>
        </w:rPr>
        <w:t>@RestController</w:t>
      </w:r>
      <w:r>
        <w:rPr>
          <w:rFonts w:ascii="MS Gothic" w:hAnsi="MS Gothic"/>
          <w:color w:val="B02045"/>
          <w:spacing w:val="-65"/>
          <w:w w:val="110"/>
        </w:rPr>
        <w:t xml:space="preserve"> </w:t>
      </w:r>
      <w:r>
        <w:rPr>
          <w:color w:val="333333"/>
          <w:w w:val="110"/>
        </w:rPr>
        <w:t>annotation tells Spring to render the resulting string directly back to the caller.</w:t>
      </w:r>
    </w:p>
    <w:p w14:paraId="6A6C589E" w14:textId="629D065A" w:rsidR="004963CA" w:rsidRPr="004963CA" w:rsidRDefault="004963CA" w:rsidP="004963CA">
      <w:pPr>
        <w:pStyle w:val="10"/>
      </w:pPr>
      <w:r w:rsidRPr="004963CA">
        <w:t xml:space="preserve">@ requestmapping </w:t>
      </w:r>
      <w:r>
        <w:rPr>
          <w:rFonts w:hint="eastAsia"/>
        </w:rPr>
        <w:t>注解</w:t>
      </w:r>
      <w:r w:rsidRPr="004963CA">
        <w:t xml:space="preserve">提供“路由”信息。它告诉 Spring，任何带有/path 的 HTTP 请求都应该映射到 home 方法。@ restcontroller </w:t>
      </w:r>
      <w:r>
        <w:rPr>
          <w:rFonts w:hint="eastAsia"/>
        </w:rPr>
        <w:t>注解</w:t>
      </w:r>
      <w:r w:rsidRPr="004963CA">
        <w:t>告诉 Spring 将生成的字符串直接</w:t>
      </w:r>
      <w:proofErr w:type="gramStart"/>
      <w:r w:rsidRPr="004963CA">
        <w:t>呈现回</w:t>
      </w:r>
      <w:proofErr w:type="gramEnd"/>
      <w:r w:rsidRPr="004963CA">
        <w:t>调用方。</w:t>
      </w:r>
    </w:p>
    <w:p w14:paraId="19B342E6" w14:textId="77777777" w:rsidR="00A720EB" w:rsidRDefault="00A720EB">
      <w:pPr>
        <w:pStyle w:val="a3"/>
        <w:spacing w:before="7"/>
        <w:rPr>
          <w:sz w:val="18"/>
          <w:lang w:eastAsia="zh-CN"/>
        </w:rPr>
      </w:pPr>
    </w:p>
    <w:p w14:paraId="0D1A3A50" w14:textId="19366237" w:rsidR="00A720EB" w:rsidRDefault="00E10349">
      <w:pPr>
        <w:pStyle w:val="a3"/>
        <w:spacing w:before="116" w:line="300" w:lineRule="auto"/>
        <w:ind w:left="1564" w:right="367"/>
        <w:jc w:val="both"/>
        <w:rPr>
          <w:color w:val="333333"/>
          <w:w w:val="110"/>
        </w:rPr>
      </w:pPr>
      <w:r>
        <w:pict w14:anchorId="02D975FA">
          <v:line id="_x0000_s4925" style="position:absolute;left:0;text-align:left;z-index:15749632;mso-position-horizontal-relative:page" from="108.25pt,.35pt" to="108.25pt,55.7pt" strokecolor="#ededed" strokeweight=".5pt">
            <w10:wrap anchorx="page"/>
          </v:line>
        </w:pict>
      </w:r>
      <w:r w:rsidR="0030286B">
        <w:rPr>
          <w:noProof/>
        </w:rPr>
        <w:drawing>
          <wp:anchor distT="0" distB="0" distL="0" distR="0" simplePos="0" relativeHeight="251655680" behindDoc="0" locked="0" layoutInCell="1" allowOverlap="1" wp14:anchorId="6B8FBBC7" wp14:editId="0423B7D6">
            <wp:simplePos x="0" y="0"/>
            <wp:positionH relativeFrom="page">
              <wp:posOffset>888949</wp:posOffset>
            </wp:positionH>
            <wp:positionV relativeFrom="paragraph">
              <wp:posOffset>203276</wp:posOffset>
            </wp:positionV>
            <wp:extent cx="209550" cy="304800"/>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The</w:t>
      </w:r>
      <w:r w:rsidR="0030286B">
        <w:rPr>
          <w:color w:val="333333"/>
          <w:spacing w:val="-15"/>
          <w:w w:val="110"/>
        </w:rPr>
        <w:t xml:space="preserve"> </w:t>
      </w:r>
      <w:r w:rsidR="0030286B">
        <w:rPr>
          <w:rFonts w:ascii="MS Gothic"/>
          <w:color w:val="B02045"/>
          <w:w w:val="110"/>
        </w:rPr>
        <w:t>@RestController</w:t>
      </w:r>
      <w:r w:rsidR="0030286B">
        <w:rPr>
          <w:rFonts w:ascii="MS Gothic"/>
          <w:color w:val="B02045"/>
          <w:spacing w:val="-79"/>
          <w:w w:val="110"/>
        </w:rPr>
        <w:t xml:space="preserve"> </w:t>
      </w:r>
      <w:r w:rsidR="0030286B">
        <w:rPr>
          <w:color w:val="333333"/>
          <w:w w:val="110"/>
        </w:rPr>
        <w:t>and</w:t>
      </w:r>
      <w:r w:rsidR="0030286B">
        <w:rPr>
          <w:color w:val="333333"/>
          <w:spacing w:val="-15"/>
          <w:w w:val="110"/>
        </w:rPr>
        <w:t xml:space="preserve"> </w:t>
      </w:r>
      <w:r w:rsidR="0030286B">
        <w:rPr>
          <w:rFonts w:ascii="MS Gothic"/>
          <w:color w:val="B02045"/>
          <w:w w:val="110"/>
        </w:rPr>
        <w:t>@RequestMapping</w:t>
      </w:r>
      <w:r w:rsidR="0030286B">
        <w:rPr>
          <w:rFonts w:ascii="MS Gothic"/>
          <w:color w:val="B02045"/>
          <w:spacing w:val="-79"/>
          <w:w w:val="110"/>
        </w:rPr>
        <w:t xml:space="preserve"> </w:t>
      </w:r>
      <w:r w:rsidR="0030286B">
        <w:rPr>
          <w:color w:val="333333"/>
          <w:w w:val="110"/>
        </w:rPr>
        <w:t>annotations</w:t>
      </w:r>
      <w:r w:rsidR="0030286B">
        <w:rPr>
          <w:color w:val="333333"/>
          <w:spacing w:val="-15"/>
          <w:w w:val="110"/>
        </w:rPr>
        <w:t xml:space="preserve"> </w:t>
      </w:r>
      <w:r w:rsidR="0030286B">
        <w:rPr>
          <w:color w:val="333333"/>
          <w:w w:val="110"/>
        </w:rPr>
        <w:t>are</w:t>
      </w:r>
      <w:r w:rsidR="0030286B">
        <w:rPr>
          <w:color w:val="333333"/>
          <w:spacing w:val="-15"/>
          <w:w w:val="110"/>
        </w:rPr>
        <w:t xml:space="preserve"> </w:t>
      </w:r>
      <w:r w:rsidR="0030286B">
        <w:rPr>
          <w:color w:val="333333"/>
          <w:w w:val="110"/>
        </w:rPr>
        <w:t>Spring</w:t>
      </w:r>
      <w:r w:rsidR="0030286B">
        <w:rPr>
          <w:color w:val="333333"/>
          <w:spacing w:val="-15"/>
          <w:w w:val="110"/>
        </w:rPr>
        <w:t xml:space="preserve"> </w:t>
      </w:r>
      <w:r w:rsidR="0030286B">
        <w:rPr>
          <w:color w:val="333333"/>
          <w:w w:val="110"/>
        </w:rPr>
        <w:t>MVC</w:t>
      </w:r>
      <w:r w:rsidR="0030286B">
        <w:rPr>
          <w:color w:val="333333"/>
          <w:spacing w:val="-15"/>
          <w:w w:val="110"/>
        </w:rPr>
        <w:t xml:space="preserve"> </w:t>
      </w:r>
      <w:r w:rsidR="0030286B">
        <w:rPr>
          <w:color w:val="333333"/>
          <w:w w:val="110"/>
        </w:rPr>
        <w:t xml:space="preserve">annotations (they are not specific to Spring Boot). See the </w:t>
      </w:r>
      <w:hyperlink r:id="rId62" w:anchor="mvc">
        <w:r w:rsidR="0030286B">
          <w:rPr>
            <w:color w:val="418BCA"/>
            <w:w w:val="110"/>
          </w:rPr>
          <w:t xml:space="preserve">MVC section </w:t>
        </w:r>
      </w:hyperlink>
      <w:r w:rsidR="0030286B">
        <w:rPr>
          <w:color w:val="333333"/>
          <w:w w:val="110"/>
        </w:rPr>
        <w:t>in the Spring Reference Documentation for more</w:t>
      </w:r>
      <w:r w:rsidR="0030286B">
        <w:rPr>
          <w:color w:val="333333"/>
          <w:spacing w:val="9"/>
          <w:w w:val="110"/>
        </w:rPr>
        <w:t xml:space="preserve"> </w:t>
      </w:r>
      <w:r w:rsidR="0030286B">
        <w:rPr>
          <w:color w:val="333333"/>
          <w:w w:val="110"/>
        </w:rPr>
        <w:t>details.</w:t>
      </w:r>
    </w:p>
    <w:p w14:paraId="5662A59B" w14:textId="11B7D65F" w:rsidR="004963CA" w:rsidRDefault="004963CA" w:rsidP="004963CA">
      <w:pPr>
        <w:pStyle w:val="10"/>
      </w:pPr>
      <w:r w:rsidRPr="004963CA">
        <w:t>@ restcontroller 和@requestmapping 注释是 Spring MVC 注释(它们不是特定于 Spring Boot 的)。有关更多细节，请参见 Spring 参考文档中的 MVC 部分。</w:t>
      </w:r>
    </w:p>
    <w:p w14:paraId="423BD0DA" w14:textId="77777777" w:rsidR="00A720EB" w:rsidRDefault="00A720EB">
      <w:pPr>
        <w:pStyle w:val="a3"/>
        <w:rPr>
          <w:sz w:val="24"/>
        </w:rPr>
      </w:pPr>
    </w:p>
    <w:p w14:paraId="0BC8011B" w14:textId="77777777" w:rsidR="00A720EB" w:rsidRDefault="0030286B">
      <w:pPr>
        <w:pStyle w:val="4"/>
        <w:spacing w:before="104"/>
      </w:pPr>
      <w:bookmarkStart w:id="55" w:name="The_@EnableAutoConfiguration_Annotation"/>
      <w:bookmarkEnd w:id="55"/>
      <w:r>
        <w:rPr>
          <w:color w:val="333333"/>
          <w:w w:val="110"/>
        </w:rPr>
        <w:t>The @EnableAutoConfiguration Annotation</w:t>
      </w:r>
    </w:p>
    <w:p w14:paraId="12DF2E58" w14:textId="77777777" w:rsidR="00A720EB" w:rsidRDefault="0030286B">
      <w:pPr>
        <w:pStyle w:val="a3"/>
        <w:spacing w:before="244" w:line="292" w:lineRule="auto"/>
        <w:ind w:left="124" w:right="129"/>
        <w:jc w:val="both"/>
      </w:pPr>
      <w:r>
        <w:rPr>
          <w:color w:val="333333"/>
          <w:w w:val="110"/>
        </w:rPr>
        <w:t xml:space="preserve">The second class-level annotation is </w:t>
      </w:r>
      <w:r>
        <w:rPr>
          <w:rFonts w:ascii="MS Gothic" w:hAnsi="MS Gothic"/>
          <w:color w:val="B02045"/>
          <w:w w:val="110"/>
        </w:rPr>
        <w:t>@EnableAutoConfiguration</w:t>
      </w:r>
      <w:r>
        <w:rPr>
          <w:color w:val="333333"/>
          <w:w w:val="110"/>
        </w:rPr>
        <w:t xml:space="preserve">. This annotation tells Spring Boot to </w:t>
      </w:r>
      <w:r>
        <w:rPr>
          <w:color w:val="333333"/>
          <w:w w:val="110"/>
        </w:rPr>
        <w:lastRenderedPageBreak/>
        <w:t xml:space="preserve">“guess” how you want to configure Spring, based on the jar dependencies that you have added.  </w:t>
      </w:r>
      <w:r>
        <w:rPr>
          <w:color w:val="333333"/>
          <w:spacing w:val="50"/>
          <w:w w:val="110"/>
        </w:rPr>
        <w:t xml:space="preserve"> </w:t>
      </w:r>
      <w:r>
        <w:rPr>
          <w:color w:val="333333"/>
          <w:w w:val="110"/>
        </w:rPr>
        <w:t xml:space="preserve">Since </w:t>
      </w:r>
      <w:r>
        <w:rPr>
          <w:rFonts w:ascii="MS Gothic" w:hAnsi="MS Gothic"/>
          <w:color w:val="B02045"/>
          <w:w w:val="110"/>
        </w:rPr>
        <w:t>spring-boot-starter-web</w:t>
      </w:r>
      <w:r>
        <w:rPr>
          <w:rFonts w:ascii="MS Gothic" w:hAnsi="MS Gothic"/>
          <w:color w:val="B02045"/>
          <w:spacing w:val="-95"/>
          <w:w w:val="110"/>
        </w:rPr>
        <w:t xml:space="preserve"> </w:t>
      </w:r>
      <w:r>
        <w:rPr>
          <w:color w:val="333333"/>
          <w:w w:val="110"/>
        </w:rPr>
        <w:t>added Tomcat and Spring MVC, the auto-configuration assumes that you are developing a web application and sets up Spring</w:t>
      </w:r>
      <w:r>
        <w:rPr>
          <w:color w:val="333333"/>
          <w:spacing w:val="36"/>
          <w:w w:val="110"/>
        </w:rPr>
        <w:t xml:space="preserve"> </w:t>
      </w:r>
      <w:r>
        <w:rPr>
          <w:color w:val="333333"/>
          <w:spacing w:val="-3"/>
          <w:w w:val="110"/>
        </w:rPr>
        <w:t>accordingly.</w:t>
      </w:r>
    </w:p>
    <w:p w14:paraId="36A456D7" w14:textId="77777777" w:rsidR="00A720EB" w:rsidRDefault="00E10349">
      <w:pPr>
        <w:pStyle w:val="a3"/>
        <w:ind w:left="119"/>
        <w:rPr>
          <w:sz w:val="20"/>
        </w:rPr>
      </w:pPr>
      <w:r>
        <w:rPr>
          <w:sz w:val="20"/>
        </w:rPr>
      </w:r>
      <w:r>
        <w:rPr>
          <w:sz w:val="20"/>
        </w:rPr>
        <w:pict w14:anchorId="467D38DC">
          <v:group id="_x0000_s4921" style="width:499.3pt;height:100.35pt;mso-position-horizontal-relative:char;mso-position-vertical-relative:line" coordsize="9986,2007">
            <v:shape id="_x0000_s4924" style="position:absolute;left:5;top:5;width:9976;height:1997" coordorigin="5,5" coordsize="9976,1997" path="m9901,5l85,5,54,11,28,28,11,54,5,85r,1836l11,1953r17,25l54,1995r31,6l9901,2001r31,-6l9958,1978r17,-25l9981,1921r,-1836l9975,54,9958,28,9932,11,9901,5xe" fillcolor="#ededed" stroked="f">
              <v:path arrowok="t"/>
            </v:shape>
            <v:shape id="_x0000_s4923" style="position:absolute;left:5;top:5;width:9976;height:1997" coordorigin="5,5" coordsize="9976,1997" path="m85,5r9816,l9932,11r26,17l9975,54r6,31l9981,1921r-6,32l9958,1978r-26,17l9901,2001r-9816,l54,1995,28,1978,11,1953,5,1921,5,85,11,54,28,28,54,11,85,5xe" filled="f" strokecolor="#e1e1e1" strokeweight=".5pt">
              <v:path arrowok="t"/>
            </v:shape>
            <v:shape id="_x0000_s4922" type="#_x0000_t202" style="position:absolute;left:13;top:10;width:9960;height:1986" filled="f" stroked="f">
              <v:textbox inset="0,0,0,0">
                <w:txbxContent>
                  <w:p w14:paraId="2252B5A9" w14:textId="77777777" w:rsidR="00711A16" w:rsidRDefault="00711A16">
                    <w:pPr>
                      <w:spacing w:before="239"/>
                      <w:ind w:left="300" w:right="300"/>
                      <w:jc w:val="center"/>
                      <w:rPr>
                        <w:rFonts w:ascii="Palatino Linotype"/>
                        <w:b/>
                        <w:sz w:val="26"/>
                      </w:rPr>
                    </w:pPr>
                    <w:r>
                      <w:rPr>
                        <w:rFonts w:ascii="Palatino Linotype"/>
                        <w:b/>
                        <w:color w:val="333333"/>
                        <w:w w:val="110"/>
                        <w:sz w:val="26"/>
                      </w:rPr>
                      <w:t>Starters and Auto-configuration</w:t>
                    </w:r>
                  </w:p>
                  <w:p w14:paraId="5A0FC70B" w14:textId="77777777" w:rsidR="00711A16" w:rsidRDefault="00711A16">
                    <w:pPr>
                      <w:spacing w:before="254" w:line="307" w:lineRule="auto"/>
                      <w:ind w:left="291" w:right="298"/>
                      <w:jc w:val="both"/>
                      <w:rPr>
                        <w:sz w:val="21"/>
                      </w:rPr>
                    </w:pPr>
                    <w:r>
                      <w:rPr>
                        <w:color w:val="333333"/>
                        <w:w w:val="110"/>
                        <w:sz w:val="21"/>
                      </w:rPr>
                      <w:t>Auto-configuration is designed to work well with “Starters”, but the two concepts are not directly tied. You are free to pick and choose jar dependencies outside of the starters. Spring Boot still does its best to auto-configure your application.</w:t>
                    </w:r>
                  </w:p>
                </w:txbxContent>
              </v:textbox>
            </v:shape>
            <w10:anchorlock/>
          </v:group>
        </w:pict>
      </w:r>
    </w:p>
    <w:p w14:paraId="59A451E4" w14:textId="77777777" w:rsidR="00A720EB" w:rsidRDefault="00A720EB">
      <w:pPr>
        <w:pStyle w:val="a3"/>
        <w:rPr>
          <w:sz w:val="17"/>
        </w:rPr>
      </w:pPr>
    </w:p>
    <w:p w14:paraId="0FE6853A" w14:textId="77777777" w:rsidR="00A720EB" w:rsidRDefault="0030286B">
      <w:pPr>
        <w:pStyle w:val="4"/>
        <w:spacing w:before="104"/>
      </w:pPr>
      <w:bookmarkStart w:id="56" w:name="The_“main”_Method"/>
      <w:bookmarkEnd w:id="56"/>
      <w:r>
        <w:rPr>
          <w:color w:val="333333"/>
          <w:w w:val="105"/>
        </w:rPr>
        <w:t>The “main” Method</w:t>
      </w:r>
    </w:p>
    <w:p w14:paraId="1991BD0B" w14:textId="77777777" w:rsidR="00A720EB" w:rsidRDefault="0030286B">
      <w:pPr>
        <w:pStyle w:val="a3"/>
        <w:spacing w:before="244" w:line="285" w:lineRule="auto"/>
        <w:ind w:left="124" w:right="123"/>
        <w:jc w:val="both"/>
      </w:pPr>
      <w:r>
        <w:rPr>
          <w:color w:val="333333"/>
          <w:w w:val="110"/>
        </w:rPr>
        <w:t xml:space="preserve">The final part of our application is the </w:t>
      </w:r>
      <w:r>
        <w:rPr>
          <w:rFonts w:ascii="MS Gothic" w:hAnsi="MS Gothic"/>
          <w:color w:val="B02045"/>
          <w:w w:val="110"/>
        </w:rPr>
        <w:t xml:space="preserve">main </w:t>
      </w:r>
      <w:r>
        <w:rPr>
          <w:color w:val="333333"/>
          <w:w w:val="110"/>
        </w:rPr>
        <w:t xml:space="preserve">method. This is a standard method that follows the Java convention for an application entry point. Our main method delegates to Spring Boot’s </w:t>
      </w:r>
      <w:r>
        <w:rPr>
          <w:rFonts w:ascii="MS Gothic" w:hAnsi="MS Gothic"/>
          <w:color w:val="B02045"/>
          <w:w w:val="110"/>
        </w:rPr>
        <w:t>SpringApplication</w:t>
      </w:r>
      <w:r>
        <w:rPr>
          <w:rFonts w:ascii="MS Gothic" w:hAnsi="MS Gothic"/>
          <w:color w:val="B02045"/>
          <w:spacing w:val="-91"/>
          <w:w w:val="110"/>
        </w:rPr>
        <w:t xml:space="preserve"> </w:t>
      </w:r>
      <w:r>
        <w:rPr>
          <w:color w:val="333333"/>
          <w:w w:val="110"/>
        </w:rPr>
        <w:t>class</w:t>
      </w:r>
      <w:r>
        <w:rPr>
          <w:color w:val="333333"/>
          <w:spacing w:val="-25"/>
          <w:w w:val="110"/>
        </w:rPr>
        <w:t xml:space="preserve"> </w:t>
      </w:r>
      <w:r>
        <w:rPr>
          <w:color w:val="333333"/>
          <w:spacing w:val="-3"/>
          <w:w w:val="110"/>
        </w:rPr>
        <w:t>by</w:t>
      </w:r>
      <w:r>
        <w:rPr>
          <w:color w:val="333333"/>
          <w:spacing w:val="-26"/>
          <w:w w:val="110"/>
        </w:rPr>
        <w:t xml:space="preserve"> </w:t>
      </w:r>
      <w:r>
        <w:rPr>
          <w:color w:val="333333"/>
          <w:w w:val="110"/>
        </w:rPr>
        <w:t>calling</w:t>
      </w:r>
      <w:r>
        <w:rPr>
          <w:color w:val="333333"/>
          <w:spacing w:val="-26"/>
          <w:w w:val="110"/>
        </w:rPr>
        <w:t xml:space="preserve"> </w:t>
      </w:r>
      <w:r>
        <w:rPr>
          <w:rFonts w:ascii="MS Gothic" w:hAnsi="MS Gothic"/>
          <w:color w:val="B02045"/>
          <w:w w:val="110"/>
        </w:rPr>
        <w:t>run</w:t>
      </w:r>
      <w:r>
        <w:rPr>
          <w:color w:val="333333"/>
          <w:w w:val="110"/>
        </w:rPr>
        <w:t>.</w:t>
      </w:r>
      <w:r>
        <w:rPr>
          <w:color w:val="333333"/>
          <w:spacing w:val="-25"/>
          <w:w w:val="110"/>
        </w:rPr>
        <w:t xml:space="preserve"> </w:t>
      </w:r>
      <w:r>
        <w:rPr>
          <w:rFonts w:ascii="MS Gothic" w:hAnsi="MS Gothic"/>
          <w:color w:val="B02045"/>
          <w:w w:val="110"/>
        </w:rPr>
        <w:t>SpringApplication</w:t>
      </w:r>
      <w:r>
        <w:rPr>
          <w:rFonts w:ascii="MS Gothic" w:hAnsi="MS Gothic"/>
          <w:color w:val="B02045"/>
          <w:spacing w:val="-91"/>
          <w:w w:val="110"/>
        </w:rPr>
        <w:t xml:space="preserve"> </w:t>
      </w:r>
      <w:r>
        <w:rPr>
          <w:color w:val="333333"/>
          <w:w w:val="110"/>
        </w:rPr>
        <w:t>bootstraps</w:t>
      </w:r>
      <w:r>
        <w:rPr>
          <w:color w:val="333333"/>
          <w:spacing w:val="-26"/>
          <w:w w:val="110"/>
        </w:rPr>
        <w:t xml:space="preserve"> </w:t>
      </w:r>
      <w:r>
        <w:rPr>
          <w:color w:val="333333"/>
          <w:w w:val="110"/>
        </w:rPr>
        <w:t>our</w:t>
      </w:r>
      <w:r>
        <w:rPr>
          <w:color w:val="333333"/>
          <w:spacing w:val="-25"/>
          <w:w w:val="110"/>
        </w:rPr>
        <w:t xml:space="preserve"> </w:t>
      </w:r>
      <w:r>
        <w:rPr>
          <w:color w:val="333333"/>
          <w:w w:val="110"/>
        </w:rPr>
        <w:t>application,</w:t>
      </w:r>
      <w:r>
        <w:rPr>
          <w:color w:val="333333"/>
          <w:spacing w:val="-26"/>
          <w:w w:val="110"/>
        </w:rPr>
        <w:t xml:space="preserve"> </w:t>
      </w:r>
      <w:r>
        <w:rPr>
          <w:color w:val="333333"/>
          <w:w w:val="110"/>
        </w:rPr>
        <w:t>starting</w:t>
      </w:r>
      <w:r>
        <w:rPr>
          <w:color w:val="333333"/>
          <w:spacing w:val="-26"/>
          <w:w w:val="110"/>
        </w:rPr>
        <w:t xml:space="preserve"> </w:t>
      </w:r>
      <w:r>
        <w:rPr>
          <w:color w:val="333333"/>
          <w:w w:val="110"/>
        </w:rPr>
        <w:t xml:space="preserve">Spring, which, in turn, starts the auto-configured Tomcat web server. </w:t>
      </w:r>
      <w:r>
        <w:rPr>
          <w:color w:val="333333"/>
          <w:spacing w:val="-7"/>
          <w:w w:val="110"/>
        </w:rPr>
        <w:t xml:space="preserve">We </w:t>
      </w:r>
      <w:r>
        <w:rPr>
          <w:color w:val="333333"/>
          <w:w w:val="110"/>
        </w:rPr>
        <w:t xml:space="preserve">need to pass </w:t>
      </w:r>
      <w:r>
        <w:rPr>
          <w:rFonts w:ascii="MS Gothic" w:hAnsi="MS Gothic"/>
          <w:color w:val="B02045"/>
          <w:w w:val="110"/>
        </w:rPr>
        <w:t xml:space="preserve">Example.class </w:t>
      </w:r>
      <w:r>
        <w:rPr>
          <w:color w:val="333333"/>
          <w:w w:val="110"/>
        </w:rPr>
        <w:t xml:space="preserve">as an argument to the </w:t>
      </w:r>
      <w:r>
        <w:rPr>
          <w:rFonts w:ascii="MS Gothic" w:hAnsi="MS Gothic"/>
          <w:color w:val="B02045"/>
          <w:w w:val="110"/>
        </w:rPr>
        <w:t xml:space="preserve">run </w:t>
      </w:r>
      <w:r>
        <w:rPr>
          <w:color w:val="333333"/>
          <w:w w:val="110"/>
        </w:rPr>
        <w:t xml:space="preserve">method to tell </w:t>
      </w:r>
      <w:r>
        <w:rPr>
          <w:rFonts w:ascii="MS Gothic" w:hAnsi="MS Gothic"/>
          <w:color w:val="B02045"/>
          <w:w w:val="110"/>
        </w:rPr>
        <w:t>SpringApplication</w:t>
      </w:r>
      <w:r>
        <w:rPr>
          <w:rFonts w:ascii="MS Gothic" w:hAnsi="MS Gothic"/>
          <w:color w:val="B02045"/>
          <w:spacing w:val="-50"/>
          <w:w w:val="110"/>
        </w:rPr>
        <w:t xml:space="preserve"> </w:t>
      </w:r>
      <w:r>
        <w:rPr>
          <w:color w:val="333333"/>
          <w:w w:val="110"/>
        </w:rPr>
        <w:t xml:space="preserve">which is the primary Spring component. The </w:t>
      </w:r>
      <w:r>
        <w:rPr>
          <w:rFonts w:ascii="MS Gothic" w:hAnsi="MS Gothic"/>
          <w:color w:val="B02045"/>
          <w:w w:val="110"/>
        </w:rPr>
        <w:t xml:space="preserve">args </w:t>
      </w:r>
      <w:r>
        <w:rPr>
          <w:color w:val="333333"/>
          <w:spacing w:val="-3"/>
          <w:w w:val="110"/>
        </w:rPr>
        <w:t xml:space="preserve">array </w:t>
      </w:r>
      <w:r>
        <w:rPr>
          <w:color w:val="333333"/>
          <w:w w:val="110"/>
        </w:rPr>
        <w:t>is also passed through to expose any command-line</w:t>
      </w:r>
      <w:r>
        <w:rPr>
          <w:color w:val="333333"/>
          <w:spacing w:val="-33"/>
          <w:w w:val="110"/>
        </w:rPr>
        <w:t xml:space="preserve"> </w:t>
      </w:r>
      <w:r>
        <w:rPr>
          <w:color w:val="333333"/>
          <w:w w:val="110"/>
        </w:rPr>
        <w:t>arguments.</w:t>
      </w:r>
    </w:p>
    <w:p w14:paraId="070E009A" w14:textId="77777777" w:rsidR="00A720EB" w:rsidRDefault="00A720EB">
      <w:pPr>
        <w:pStyle w:val="a3"/>
        <w:spacing w:before="6"/>
        <w:rPr>
          <w:sz w:val="26"/>
        </w:rPr>
      </w:pPr>
    </w:p>
    <w:p w14:paraId="3F39D0DD" w14:textId="77777777" w:rsidR="00A720EB" w:rsidRDefault="0030286B">
      <w:pPr>
        <w:pStyle w:val="3"/>
        <w:numPr>
          <w:ilvl w:val="2"/>
          <w:numId w:val="73"/>
        </w:numPr>
        <w:tabs>
          <w:tab w:val="left" w:pos="858"/>
        </w:tabs>
        <w:ind w:hanging="734"/>
      </w:pPr>
      <w:bookmarkStart w:id="57" w:name="2.4.4._Running_the_Example"/>
      <w:bookmarkStart w:id="58" w:name="_Toc54423675"/>
      <w:bookmarkEnd w:id="57"/>
      <w:r>
        <w:rPr>
          <w:color w:val="333333"/>
          <w:w w:val="110"/>
        </w:rPr>
        <w:t>Running the</w:t>
      </w:r>
      <w:r>
        <w:rPr>
          <w:color w:val="333333"/>
          <w:spacing w:val="-11"/>
          <w:w w:val="110"/>
        </w:rPr>
        <w:t xml:space="preserve"> </w:t>
      </w:r>
      <w:r>
        <w:rPr>
          <w:color w:val="333333"/>
          <w:w w:val="110"/>
        </w:rPr>
        <w:t>Example</w:t>
      </w:r>
      <w:bookmarkEnd w:id="58"/>
    </w:p>
    <w:p w14:paraId="280E7B9D" w14:textId="77777777" w:rsidR="00A720EB" w:rsidRDefault="0030286B">
      <w:pPr>
        <w:pStyle w:val="a3"/>
        <w:spacing w:before="243" w:line="285" w:lineRule="auto"/>
        <w:ind w:left="124" w:right="122"/>
        <w:jc w:val="both"/>
      </w:pPr>
      <w:r>
        <w:rPr>
          <w:color w:val="333333"/>
          <w:w w:val="110"/>
        </w:rPr>
        <w:t xml:space="preserve">At this point, your application should work. Since you used the </w:t>
      </w:r>
      <w:r>
        <w:rPr>
          <w:rFonts w:ascii="MS Gothic"/>
          <w:color w:val="B02045"/>
          <w:w w:val="110"/>
        </w:rPr>
        <w:t xml:space="preserve">spring-boot-starter-parent </w:t>
      </w:r>
      <w:r>
        <w:rPr>
          <w:color w:val="333333"/>
          <w:w w:val="110"/>
        </w:rPr>
        <w:t xml:space="preserve">POM, you have a useful </w:t>
      </w:r>
      <w:r>
        <w:rPr>
          <w:rFonts w:ascii="MS Gothic"/>
          <w:color w:val="B02045"/>
          <w:w w:val="110"/>
        </w:rPr>
        <w:t xml:space="preserve">run </w:t>
      </w:r>
      <w:r>
        <w:rPr>
          <w:color w:val="333333"/>
          <w:w w:val="110"/>
        </w:rPr>
        <w:t xml:space="preserve">goal that you can use to start the application. Type </w:t>
      </w:r>
      <w:r>
        <w:rPr>
          <w:rFonts w:ascii="MS Gothic"/>
          <w:color w:val="B02045"/>
          <w:w w:val="110"/>
        </w:rPr>
        <w:t>mvn spring-</w:t>
      </w:r>
      <w:proofErr w:type="gramStart"/>
      <w:r>
        <w:rPr>
          <w:rFonts w:ascii="MS Gothic"/>
          <w:color w:val="B02045"/>
          <w:w w:val="110"/>
        </w:rPr>
        <w:t>boot:run</w:t>
      </w:r>
      <w:proofErr w:type="gramEnd"/>
      <w:r>
        <w:rPr>
          <w:rFonts w:ascii="MS Gothic"/>
          <w:color w:val="B02045"/>
          <w:spacing w:val="-64"/>
          <w:w w:val="110"/>
        </w:rPr>
        <w:t xml:space="preserve"> </w:t>
      </w:r>
      <w:r>
        <w:rPr>
          <w:color w:val="333333"/>
          <w:w w:val="110"/>
        </w:rPr>
        <w:t xml:space="preserve">from the root project directory to start the application. </w:t>
      </w:r>
      <w:r>
        <w:rPr>
          <w:color w:val="333333"/>
          <w:spacing w:val="-6"/>
          <w:w w:val="110"/>
        </w:rPr>
        <w:t xml:space="preserve">You </w:t>
      </w:r>
      <w:r>
        <w:rPr>
          <w:color w:val="333333"/>
          <w:w w:val="110"/>
        </w:rPr>
        <w:t>should see output similar to the following:</w:t>
      </w:r>
    </w:p>
    <w:p w14:paraId="4EA8FAE5" w14:textId="77777777" w:rsidR="00A720EB" w:rsidRDefault="00E10349">
      <w:pPr>
        <w:pStyle w:val="a3"/>
        <w:spacing w:before="1"/>
        <w:rPr>
          <w:sz w:val="15"/>
        </w:rPr>
      </w:pPr>
      <w:r>
        <w:pict w14:anchorId="4CFB373F">
          <v:group id="_x0000_s4913" style="position:absolute;margin-left:47.85pt;margin-top:10.85pt;width:499.55pt;height:214.4pt;z-index:-15706112;mso-wrap-distance-left:0;mso-wrap-distance-right:0;mso-position-horizontal-relative:page" coordorigin="957,217" coordsize="9991,4288">
            <v:shape id="_x0000_s4920" style="position:absolute;left:964;top:224;width:9976;height:4273" coordorigin="965,225" coordsize="9976,4273" path="m10861,225r-9816,l1014,231r-26,17l971,274r-6,31l965,4417r6,31l988,4474r26,17l1045,4497r9816,l10892,4491r25,-17l10935,4448r6,-31l10941,305r-6,-31l10917,248r-25,-17l10861,225xe" fillcolor="#f5f5f5" stroked="f">
              <v:path arrowok="t"/>
            </v:shape>
            <v:shape id="_x0000_s4919" style="position:absolute;left:964;top:224;width:9976;height:4273" coordorigin="965,225" coordsize="9976,4273" path="m1045,225r9816,l10892,231r25,17l10935,274r6,31l10941,4417r-6,31l10917,4474r-25,17l10861,4497r-9816,l1014,4491r-26,-17l971,4448r-6,-31l965,305r6,-31l988,248r26,-17l1045,225xe" filled="f" strokecolor="#ccc">
              <v:path arrowok="t"/>
            </v:shape>
            <v:shape id="_x0000_s4918" type="#_x0000_t202" style="position:absolute;left:1184;top:444;width:2330;height:307" filled="f" stroked="f">
              <v:textbox inset="0,0,0,0">
                <w:txbxContent>
                  <w:p w14:paraId="7022912A" w14:textId="77777777" w:rsidR="00711A16" w:rsidRDefault="00711A16">
                    <w:pPr>
                      <w:spacing w:before="16"/>
                      <w:rPr>
                        <w:rFonts w:ascii="MS Gothic"/>
                      </w:rPr>
                    </w:pPr>
                    <w:r>
                      <w:rPr>
                        <w:rFonts w:ascii="MS Gothic"/>
                        <w:color w:val="333333"/>
                      </w:rPr>
                      <w:t>$ mvn spring-</w:t>
                    </w:r>
                    <w:proofErr w:type="gramStart"/>
                    <w:r>
                      <w:rPr>
                        <w:rFonts w:ascii="MS Gothic"/>
                        <w:color w:val="333333"/>
                      </w:rPr>
                      <w:t>boot:run</w:t>
                    </w:r>
                    <w:proofErr w:type="gramEnd"/>
                  </w:p>
                </w:txbxContent>
              </v:textbox>
            </v:shape>
            <v:shape id="_x0000_s4917" type="#_x0000_t202" style="position:absolute;left:1404;top:1034;width:1000;height:307" filled="f" stroked="f">
              <v:textbox inset="0,0,0,0">
                <w:txbxContent>
                  <w:p w14:paraId="0B17F3C7" w14:textId="77777777" w:rsidR="00711A16" w:rsidRDefault="00711A16">
                    <w:pPr>
                      <w:tabs>
                        <w:tab w:val="left" w:pos="439"/>
                        <w:tab w:val="left" w:pos="979"/>
                      </w:tabs>
                      <w:spacing w:before="16"/>
                      <w:rPr>
                        <w:rFonts w:ascii="MS Gothic"/>
                      </w:rPr>
                    </w:pPr>
                    <w:r>
                      <w:rPr>
                        <w:rFonts w:ascii="MS Gothic"/>
                        <w:color w:val="333333"/>
                      </w:rPr>
                      <w:t>.</w:t>
                    </w:r>
                    <w:r>
                      <w:rPr>
                        <w:rFonts w:ascii="MS Gothic"/>
                        <w:color w:val="333333"/>
                      </w:rPr>
                      <w:tab/>
                    </w:r>
                    <w:r>
                      <w:rPr>
                        <w:rFonts w:ascii="MS Gothic"/>
                        <w:color w:val="333333"/>
                        <w:u w:val="single" w:color="323232"/>
                      </w:rPr>
                      <w:t xml:space="preserve"> </w:t>
                    </w:r>
                    <w:r>
                      <w:rPr>
                        <w:rFonts w:ascii="MS Gothic"/>
                        <w:color w:val="333333"/>
                        <w:u w:val="single" w:color="323232"/>
                      </w:rPr>
                      <w:tab/>
                    </w:r>
                  </w:p>
                </w:txbxContent>
              </v:textbox>
            </v:shape>
            <v:shape id="_x0000_s4916" type="#_x0000_t202" style="position:absolute;left:3384;top:1034;width:130;height:307" filled="f" stroked="f">
              <v:textbox inset="0,0,0,0">
                <w:txbxContent>
                  <w:p w14:paraId="7902C515" w14:textId="77777777" w:rsidR="00711A16" w:rsidRDefault="00711A16">
                    <w:pPr>
                      <w:spacing w:before="16"/>
                      <w:rPr>
                        <w:rFonts w:ascii="MS Gothic"/>
                      </w:rPr>
                    </w:pPr>
                    <w:r>
                      <w:rPr>
                        <w:rFonts w:ascii="MS Gothic"/>
                        <w:color w:val="333333"/>
                      </w:rPr>
                      <w:t>_</w:t>
                    </w:r>
                  </w:p>
                </w:txbxContent>
              </v:textbox>
            </v:shape>
            <v:shape id="_x0000_s4915" type="#_x0000_t202" style="position:absolute;left:4814;top:1034;width:680;height:307" filled="f" stroked="f">
              <v:textbox inset="0,0,0,0">
                <w:txbxContent>
                  <w:p w14:paraId="5E11E78A" w14:textId="77777777" w:rsidR="00711A16" w:rsidRDefault="00711A16">
                    <w:pPr>
                      <w:spacing w:before="16"/>
                      <w:rPr>
                        <w:rFonts w:ascii="MS Gothic"/>
                      </w:rPr>
                    </w:pPr>
                    <w:r>
                      <w:rPr>
                        <w:rFonts w:ascii="MS Gothic"/>
                        <w:color w:val="333333"/>
                        <w:u w:val="single" w:color="323232"/>
                      </w:rPr>
                      <w:t xml:space="preserve">   </w:t>
                    </w:r>
                    <w:r>
                      <w:rPr>
                        <w:rFonts w:ascii="MS Gothic"/>
                        <w:color w:val="333333"/>
                      </w:rPr>
                      <w:t>_ _</w:t>
                    </w:r>
                  </w:p>
                </w:txbxContent>
              </v:textbox>
            </v:shape>
            <v:shape id="_x0000_s4914" type="#_x0000_t202" style="position:absolute;left:1184;top:1329;width:7170;height:2961" filled="f" stroked="f">
              <v:textbox inset="0,0,0,0">
                <w:txbxContent>
                  <w:p w14:paraId="5FCC6C0E" w14:textId="77777777" w:rsidR="00711A16" w:rsidRDefault="00711A16">
                    <w:pPr>
                      <w:tabs>
                        <w:tab w:val="left" w:pos="1089"/>
                      </w:tabs>
                      <w:spacing w:before="16" w:line="252" w:lineRule="auto"/>
                      <w:ind w:right="2659" w:firstLine="110"/>
                      <w:rPr>
                        <w:rFonts w:ascii="MS Gothic"/>
                      </w:rPr>
                    </w:pPr>
                    <w:r>
                      <w:rPr>
                        <w:rFonts w:ascii="MS Gothic"/>
                        <w:color w:val="333333"/>
                      </w:rPr>
                      <w:t>/\\ /</w:t>
                    </w:r>
                    <w:r>
                      <w:rPr>
                        <w:rFonts w:ascii="MS Gothic"/>
                        <w:color w:val="333333"/>
                        <w:u w:val="single" w:color="323232"/>
                      </w:rPr>
                      <w:tab/>
                    </w:r>
                    <w:r>
                      <w:rPr>
                        <w:rFonts w:ascii="MS Gothic"/>
                        <w:color w:val="333333"/>
                      </w:rPr>
                      <w:t xml:space="preserve">'_ </w:t>
                    </w:r>
                    <w:r>
                      <w:rPr>
                        <w:rFonts w:ascii="MS Gothic"/>
                        <w:color w:val="333333"/>
                        <w:u w:val="single" w:color="323232"/>
                      </w:rPr>
                      <w:t xml:space="preserve">   </w:t>
                    </w:r>
                    <w:r>
                      <w:rPr>
                        <w:rFonts w:ascii="MS Gothic"/>
                        <w:color w:val="333333"/>
                      </w:rPr>
                      <w:t xml:space="preserve">_ _(_)_ </w:t>
                    </w:r>
                    <w:r>
                      <w:rPr>
                        <w:rFonts w:ascii="MS Gothic"/>
                        <w:color w:val="333333"/>
                        <w:u w:val="single" w:color="323232"/>
                      </w:rPr>
                      <w:t xml:space="preserve">   </w:t>
                    </w:r>
                    <w:r>
                      <w:rPr>
                        <w:rFonts w:ascii="MS Gothic"/>
                        <w:color w:val="333333"/>
                      </w:rPr>
                      <w:t xml:space="preserve"> </w:t>
                    </w:r>
                    <w:r>
                      <w:rPr>
                        <w:rFonts w:ascii="MS Gothic"/>
                        <w:color w:val="333333"/>
                        <w:u w:val="single" w:color="323232"/>
                      </w:rPr>
                      <w:t xml:space="preserve">   </w:t>
                    </w:r>
                    <w:r>
                      <w:rPr>
                        <w:rFonts w:ascii="MS Gothic"/>
                        <w:color w:val="333333"/>
                      </w:rPr>
                      <w:t>_ \ \ \ \ ( ( )\</w:t>
                    </w:r>
                    <w:r>
                      <w:rPr>
                        <w:rFonts w:ascii="MS Gothic"/>
                        <w:color w:val="333333"/>
                        <w:u w:val="single" w:color="323232"/>
                      </w:rPr>
                      <w:tab/>
                    </w:r>
                    <w:r>
                      <w:rPr>
                        <w:rFonts w:ascii="MS Gothic"/>
                        <w:color w:val="333333"/>
                      </w:rPr>
                      <w:t>| '_ | '_| | '_ \/ _` | \ \ \ \</w:t>
                    </w:r>
                  </w:p>
                  <w:p w14:paraId="405A3C6A" w14:textId="77777777" w:rsidR="00711A16" w:rsidRDefault="00711A16">
                    <w:pPr>
                      <w:tabs>
                        <w:tab w:val="left" w:pos="549"/>
                        <w:tab w:val="left" w:pos="659"/>
                        <w:tab w:val="left" w:pos="989"/>
                        <w:tab w:val="left" w:pos="1099"/>
                        <w:tab w:val="left" w:pos="3849"/>
                      </w:tabs>
                      <w:spacing w:line="252" w:lineRule="auto"/>
                      <w:ind w:left="220" w:right="2549" w:hanging="110"/>
                      <w:rPr>
                        <w:rFonts w:ascii="MS Gothic"/>
                      </w:rPr>
                    </w:pPr>
                    <w:r>
                      <w:rPr>
                        <w:rFonts w:ascii="MS Gothic"/>
                        <w:color w:val="333333"/>
                      </w:rPr>
                      <w:t>\\/</w:t>
                    </w:r>
                    <w:r>
                      <w:rPr>
                        <w:rFonts w:ascii="MS Gothic"/>
                        <w:color w:val="333333"/>
                      </w:rPr>
                      <w:tab/>
                    </w:r>
                    <w:r>
                      <w:rPr>
                        <w:rFonts w:ascii="MS Gothic"/>
                        <w:color w:val="333333"/>
                      </w:rPr>
                      <w:tab/>
                    </w:r>
                    <w:r>
                      <w:rPr>
                        <w:rFonts w:ascii="MS Gothic"/>
                        <w:color w:val="333333"/>
                        <w:u w:val="single" w:color="323232"/>
                      </w:rPr>
                      <w:tab/>
                    </w:r>
                    <w:r>
                      <w:rPr>
                        <w:rFonts w:ascii="MS Gothic"/>
                        <w:color w:val="333333"/>
                      </w:rPr>
                      <w:t>)| |_)| | | | | || (_| |</w:t>
                    </w:r>
                    <w:r>
                      <w:rPr>
                        <w:rFonts w:ascii="MS Gothic"/>
                        <w:color w:val="333333"/>
                      </w:rPr>
                      <w:tab/>
                      <w:t xml:space="preserve">) ) ) </w:t>
                    </w:r>
                    <w:r>
                      <w:rPr>
                        <w:rFonts w:ascii="MS Gothic"/>
                        <w:color w:val="333333"/>
                        <w:spacing w:val="-18"/>
                      </w:rPr>
                      <w:t xml:space="preserve">) </w:t>
                    </w:r>
                    <w:r>
                      <w:rPr>
                        <w:rFonts w:ascii="MS Gothic"/>
                        <w:color w:val="333333"/>
                      </w:rPr>
                      <w:t>'</w:t>
                    </w:r>
                    <w:r>
                      <w:rPr>
                        <w:rFonts w:ascii="MS Gothic"/>
                        <w:color w:val="333333"/>
                      </w:rPr>
                      <w:tab/>
                      <w:t>|</w:t>
                    </w:r>
                    <w:r>
                      <w:rPr>
                        <w:rFonts w:ascii="MS Gothic"/>
                        <w:color w:val="333333"/>
                        <w:u w:val="single" w:color="323232"/>
                      </w:rPr>
                      <w:tab/>
                    </w:r>
                    <w:r>
                      <w:rPr>
                        <w:rFonts w:ascii="MS Gothic"/>
                        <w:color w:val="333333"/>
                        <w:u w:val="single" w:color="323232"/>
                      </w:rPr>
                      <w:tab/>
                    </w:r>
                    <w:r>
                      <w:rPr>
                        <w:rFonts w:ascii="MS Gothic"/>
                        <w:color w:val="333333"/>
                        <w:u w:val="single" w:color="323232"/>
                      </w:rPr>
                      <w:tab/>
                    </w:r>
                    <w:r>
                      <w:rPr>
                        <w:rFonts w:ascii="MS Gothic"/>
                        <w:color w:val="333333"/>
                      </w:rPr>
                      <w:t>| .</w:t>
                    </w:r>
                    <w:r>
                      <w:rPr>
                        <w:rFonts w:ascii="MS Gothic"/>
                        <w:color w:val="333333"/>
                        <w:u w:val="single" w:color="323232"/>
                      </w:rPr>
                      <w:t xml:space="preserve"> </w:t>
                    </w:r>
                    <w:r>
                      <w:rPr>
                        <w:rFonts w:ascii="MS Gothic"/>
                        <w:color w:val="333333"/>
                      </w:rPr>
                      <w:t>|_| |_|_| |_\</w:t>
                    </w:r>
                    <w:r>
                      <w:rPr>
                        <w:rFonts w:ascii="MS Gothic"/>
                        <w:color w:val="333333"/>
                        <w:u w:val="single" w:color="323232"/>
                      </w:rPr>
                      <w:t xml:space="preserve"> </w:t>
                    </w:r>
                    <w:r>
                      <w:rPr>
                        <w:rFonts w:ascii="MS Gothic"/>
                        <w:color w:val="333333"/>
                      </w:rPr>
                      <w:t>, | / / / /</w:t>
                    </w:r>
                  </w:p>
                  <w:p w14:paraId="60CC747D" w14:textId="77777777" w:rsidR="00711A16" w:rsidRDefault="00711A16">
                    <w:pPr>
                      <w:tabs>
                        <w:tab w:val="left" w:pos="3409"/>
                      </w:tabs>
                      <w:spacing w:line="280" w:lineRule="exact"/>
                      <w:ind w:left="110"/>
                      <w:rPr>
                        <w:rFonts w:ascii="MS Gothic"/>
                      </w:rPr>
                    </w:pPr>
                    <w:r>
                      <w:rPr>
                        <w:rFonts w:ascii="MS Gothic"/>
                        <w:color w:val="333333"/>
                      </w:rPr>
                      <w:t>=========|_|==============|</w:t>
                    </w:r>
                    <w:r>
                      <w:rPr>
                        <w:rFonts w:ascii="MS Gothic"/>
                        <w:color w:val="333333"/>
                        <w:u w:val="single" w:color="323232"/>
                      </w:rPr>
                      <w:tab/>
                    </w:r>
                    <w:r>
                      <w:rPr>
                        <w:rFonts w:ascii="MS Gothic"/>
                        <w:color w:val="333333"/>
                      </w:rPr>
                      <w:t>/=/_/_/_/</w:t>
                    </w:r>
                  </w:p>
                  <w:p w14:paraId="1E9DD247" w14:textId="77777777" w:rsidR="00711A16" w:rsidRDefault="00711A16">
                    <w:pPr>
                      <w:tabs>
                        <w:tab w:val="left" w:pos="2199"/>
                      </w:tabs>
                      <w:spacing w:before="11"/>
                      <w:ind w:left="110"/>
                      <w:rPr>
                        <w:rFonts w:ascii="MS Gothic"/>
                      </w:rPr>
                    </w:pPr>
                    <w:proofErr w:type="gramStart"/>
                    <w:r>
                      <w:rPr>
                        <w:rFonts w:ascii="MS Gothic"/>
                        <w:color w:val="333333"/>
                      </w:rPr>
                      <w:t>::</w:t>
                    </w:r>
                    <w:proofErr w:type="gramEnd"/>
                    <w:r>
                      <w:rPr>
                        <w:rFonts w:ascii="MS Gothic"/>
                        <w:color w:val="333333"/>
                      </w:rPr>
                      <w:t xml:space="preserve"> Spring Boot ::</w:t>
                    </w:r>
                    <w:r>
                      <w:rPr>
                        <w:rFonts w:ascii="MS Gothic"/>
                        <w:color w:val="333333"/>
                      </w:rPr>
                      <w:tab/>
                      <w:t>(v2.3.4.RELEASE)</w:t>
                    </w:r>
                  </w:p>
                  <w:p w14:paraId="2798B2BB" w14:textId="77777777" w:rsidR="00711A16" w:rsidRDefault="00711A16">
                    <w:pPr>
                      <w:spacing w:before="13"/>
                      <w:rPr>
                        <w:rFonts w:ascii="MS Gothic"/>
                      </w:rPr>
                    </w:pPr>
                    <w:r>
                      <w:rPr>
                        <w:rFonts w:ascii="MS Gothic"/>
                        <w:color w:val="333333"/>
                      </w:rPr>
                      <w:t>....... . . .</w:t>
                    </w:r>
                  </w:p>
                  <w:p w14:paraId="280D679B" w14:textId="77777777" w:rsidR="00711A16" w:rsidRDefault="00711A16">
                    <w:pPr>
                      <w:spacing w:before="13"/>
                      <w:rPr>
                        <w:rFonts w:ascii="MS Gothic"/>
                      </w:rPr>
                    </w:pPr>
                    <w:r>
                      <w:rPr>
                        <w:rFonts w:ascii="MS Gothic"/>
                        <w:color w:val="333333"/>
                      </w:rPr>
                      <w:t>....... . . . (log output here)</w:t>
                    </w:r>
                  </w:p>
                  <w:p w14:paraId="254C7D93" w14:textId="77777777" w:rsidR="00711A16" w:rsidRDefault="00711A16">
                    <w:pPr>
                      <w:spacing w:before="13"/>
                      <w:rPr>
                        <w:rFonts w:ascii="MS Gothic"/>
                      </w:rPr>
                    </w:pPr>
                    <w:r>
                      <w:rPr>
                        <w:rFonts w:ascii="MS Gothic"/>
                        <w:color w:val="333333"/>
                      </w:rPr>
                      <w:t>....... . . .</w:t>
                    </w:r>
                  </w:p>
                  <w:p w14:paraId="027A4932" w14:textId="77777777" w:rsidR="00711A16" w:rsidRDefault="00711A16">
                    <w:pPr>
                      <w:spacing w:before="12"/>
                      <w:rPr>
                        <w:rFonts w:ascii="MS Gothic"/>
                      </w:rPr>
                    </w:pPr>
                    <w:r>
                      <w:rPr>
                        <w:rFonts w:ascii="MS Gothic"/>
                        <w:color w:val="333333"/>
                      </w:rPr>
                      <w:t>........ Started Example in 2.222 seconds (JVM running for 6.514)</w:t>
                    </w:r>
                  </w:p>
                </w:txbxContent>
              </v:textbox>
            </v:shape>
            <w10:wrap type="topAndBottom" anchorx="page"/>
          </v:group>
        </w:pict>
      </w:r>
    </w:p>
    <w:p w14:paraId="43ADFA42" w14:textId="77777777" w:rsidR="00A720EB" w:rsidRDefault="00A720EB">
      <w:pPr>
        <w:pStyle w:val="a3"/>
        <w:spacing w:before="11"/>
        <w:rPr>
          <w:sz w:val="9"/>
        </w:rPr>
      </w:pPr>
    </w:p>
    <w:p w14:paraId="0466925E" w14:textId="77777777" w:rsidR="00A720EB" w:rsidRDefault="0030286B">
      <w:pPr>
        <w:pStyle w:val="a3"/>
        <w:spacing w:before="115"/>
        <w:ind w:left="124"/>
      </w:pPr>
      <w:r>
        <w:rPr>
          <w:color w:val="333333"/>
          <w:w w:val="110"/>
        </w:rPr>
        <w:t xml:space="preserve">If you open a web browser to </w:t>
      </w:r>
      <w:r>
        <w:rPr>
          <w:rFonts w:ascii="MS Gothic"/>
          <w:color w:val="418BCA"/>
          <w:w w:val="110"/>
        </w:rPr>
        <w:t>localhost:8080</w:t>
      </w:r>
      <w:r>
        <w:rPr>
          <w:color w:val="333333"/>
          <w:w w:val="110"/>
        </w:rPr>
        <w:t>, you should see the following output:</w:t>
      </w:r>
    </w:p>
    <w:p w14:paraId="6E09D233" w14:textId="77777777" w:rsidR="00A720EB" w:rsidRDefault="00E10349">
      <w:pPr>
        <w:pStyle w:val="a3"/>
        <w:spacing w:before="11"/>
        <w:rPr>
          <w:sz w:val="17"/>
        </w:rPr>
      </w:pPr>
      <w:r>
        <w:pict w14:anchorId="5C83583B">
          <v:group id="_x0000_s4909" style="position:absolute;margin-left:47.85pt;margin-top:12.55pt;width:499.55pt;height:37.5pt;z-index:-15705600;mso-wrap-distance-left:0;mso-wrap-distance-right:0;mso-position-horizontal-relative:page" coordorigin="957,251" coordsize="9991,750">
            <v:shape id="_x0000_s4912" style="position:absolute;left:964;top:258;width:9976;height:735" coordorigin="965,258" coordsize="9976,735" path="m10861,258r-9816,l1014,264r-26,17l971,307r-6,31l965,913r6,31l988,969r26,18l1045,993r9816,l10892,987r25,-18l10935,944r6,-31l10941,338r-6,-31l10917,281r-25,-17l10861,258xe" fillcolor="#f5f5f5" stroked="f">
              <v:path arrowok="t"/>
            </v:shape>
            <v:shape id="_x0000_s4911" style="position:absolute;left:964;top:258;width:9976;height:735" coordorigin="965,258" coordsize="9976,735" path="m1045,258r9816,l10892,264r25,17l10935,307r6,31l10941,913r-6,31l10917,969r-25,18l10861,993r-9816,l1014,987,988,969,971,944r-6,-31l965,338r6,-31l988,281r26,-17l1045,258xe" filled="f" strokecolor="#ccc">
              <v:path arrowok="t"/>
            </v:shape>
            <v:shape id="_x0000_s4910" type="#_x0000_t202" style="position:absolute;left:984;top:273;width:9938;height:704" filled="f" stroked="f">
              <v:textbox inset="0,0,0,0">
                <w:txbxContent>
                  <w:p w14:paraId="2310D317" w14:textId="77777777" w:rsidR="00711A16" w:rsidRDefault="00711A16">
                    <w:pPr>
                      <w:spacing w:before="221"/>
                      <w:ind w:left="200"/>
                      <w:rPr>
                        <w:rFonts w:ascii="MS Gothic"/>
                      </w:rPr>
                    </w:pPr>
                    <w:r>
                      <w:rPr>
                        <w:rFonts w:ascii="MS Gothic"/>
                        <w:color w:val="333333"/>
                      </w:rPr>
                      <w:t>Hello World!</w:t>
                    </w:r>
                  </w:p>
                </w:txbxContent>
              </v:textbox>
            </v:shape>
            <w10:wrap type="topAndBottom" anchorx="page"/>
          </v:group>
        </w:pict>
      </w:r>
    </w:p>
    <w:p w14:paraId="09D1D542" w14:textId="77777777" w:rsidR="00A720EB" w:rsidRDefault="00A720EB">
      <w:pPr>
        <w:pStyle w:val="a3"/>
        <w:spacing w:before="11"/>
        <w:rPr>
          <w:sz w:val="9"/>
        </w:rPr>
      </w:pPr>
    </w:p>
    <w:p w14:paraId="51EEF9A6" w14:textId="77777777" w:rsidR="00A720EB" w:rsidRDefault="0030286B">
      <w:pPr>
        <w:pStyle w:val="a3"/>
        <w:spacing w:before="115"/>
        <w:ind w:left="124"/>
        <w:jc w:val="both"/>
      </w:pPr>
      <w:r>
        <w:rPr>
          <w:color w:val="333333"/>
          <w:w w:val="110"/>
        </w:rPr>
        <w:t xml:space="preserve">To gracefully exit the application, press </w:t>
      </w:r>
      <w:r>
        <w:rPr>
          <w:rFonts w:ascii="MS Gothic"/>
          <w:color w:val="B02045"/>
          <w:w w:val="110"/>
        </w:rPr>
        <w:t>ctrl-c</w:t>
      </w:r>
      <w:r>
        <w:rPr>
          <w:color w:val="333333"/>
          <w:w w:val="110"/>
        </w:rPr>
        <w:t>.</w:t>
      </w:r>
    </w:p>
    <w:p w14:paraId="57EC49BE" w14:textId="77777777" w:rsidR="00A720EB" w:rsidRDefault="00A720EB">
      <w:pPr>
        <w:pStyle w:val="a3"/>
        <w:spacing w:before="7"/>
        <w:rPr>
          <w:sz w:val="30"/>
        </w:rPr>
      </w:pPr>
    </w:p>
    <w:p w14:paraId="1ED5E234" w14:textId="77777777" w:rsidR="00A720EB" w:rsidRDefault="0030286B">
      <w:pPr>
        <w:pStyle w:val="3"/>
        <w:numPr>
          <w:ilvl w:val="2"/>
          <w:numId w:val="73"/>
        </w:numPr>
        <w:tabs>
          <w:tab w:val="left" w:pos="858"/>
        </w:tabs>
        <w:ind w:hanging="734"/>
      </w:pPr>
      <w:bookmarkStart w:id="59" w:name="2.4.5._Creating_an_Executable_Jar"/>
      <w:bookmarkStart w:id="60" w:name="_Toc54423676"/>
      <w:bookmarkEnd w:id="59"/>
      <w:r>
        <w:rPr>
          <w:color w:val="333333"/>
          <w:w w:val="115"/>
        </w:rPr>
        <w:t>Creating an Executable</w:t>
      </w:r>
      <w:r>
        <w:rPr>
          <w:color w:val="333333"/>
          <w:spacing w:val="-28"/>
          <w:w w:val="115"/>
        </w:rPr>
        <w:t xml:space="preserve"> </w:t>
      </w:r>
      <w:r>
        <w:rPr>
          <w:color w:val="333333"/>
          <w:w w:val="115"/>
        </w:rPr>
        <w:t>Jar</w:t>
      </w:r>
      <w:bookmarkEnd w:id="60"/>
    </w:p>
    <w:p w14:paraId="0E53B91D" w14:textId="77777777" w:rsidR="00A720EB" w:rsidRDefault="0030286B">
      <w:pPr>
        <w:pStyle w:val="a3"/>
        <w:spacing w:before="254" w:line="307" w:lineRule="auto"/>
        <w:ind w:left="124" w:right="123"/>
        <w:jc w:val="both"/>
      </w:pPr>
      <w:r>
        <w:rPr>
          <w:color w:val="333333"/>
          <w:spacing w:val="-7"/>
          <w:w w:val="110"/>
        </w:rPr>
        <w:t xml:space="preserve">We </w:t>
      </w:r>
      <w:r>
        <w:rPr>
          <w:color w:val="333333"/>
          <w:w w:val="110"/>
        </w:rPr>
        <w:t xml:space="preserve">finish our example </w:t>
      </w:r>
      <w:proofErr w:type="gramStart"/>
      <w:r>
        <w:rPr>
          <w:color w:val="333333"/>
          <w:spacing w:val="-3"/>
          <w:w w:val="110"/>
        </w:rPr>
        <w:t xml:space="preserve">by  </w:t>
      </w:r>
      <w:r>
        <w:rPr>
          <w:color w:val="333333"/>
          <w:w w:val="110"/>
        </w:rPr>
        <w:t>creating</w:t>
      </w:r>
      <w:proofErr w:type="gramEnd"/>
      <w:r>
        <w:rPr>
          <w:color w:val="333333"/>
          <w:w w:val="110"/>
        </w:rPr>
        <w:t xml:space="preserve"> a completely self-contained executable jar file that we could run  in production. Executable jars (sometimes called “fat jars”) are archives containing your compiled </w:t>
      </w:r>
      <w:r>
        <w:rPr>
          <w:color w:val="333333"/>
          <w:w w:val="110"/>
        </w:rPr>
        <w:lastRenderedPageBreak/>
        <w:t>classes along with all of the jar dependencies that your code needs to</w:t>
      </w:r>
      <w:r>
        <w:rPr>
          <w:color w:val="333333"/>
          <w:spacing w:val="46"/>
          <w:w w:val="110"/>
        </w:rPr>
        <w:t xml:space="preserve"> </w:t>
      </w:r>
      <w:r>
        <w:rPr>
          <w:color w:val="333333"/>
          <w:w w:val="110"/>
        </w:rPr>
        <w:t>run.</w:t>
      </w:r>
    </w:p>
    <w:p w14:paraId="3CF1474E" w14:textId="77777777" w:rsidR="00A720EB" w:rsidRDefault="00A720EB">
      <w:pPr>
        <w:spacing w:line="307" w:lineRule="auto"/>
        <w:jc w:val="both"/>
        <w:sectPr w:rsidR="00A720EB">
          <w:pgSz w:w="11910" w:h="16840"/>
          <w:pgMar w:top="700" w:right="840" w:bottom="520" w:left="840" w:header="0" w:footer="323" w:gutter="0"/>
          <w:cols w:space="720"/>
        </w:sectPr>
      </w:pPr>
    </w:p>
    <w:p w14:paraId="0F4956E7" w14:textId="77777777" w:rsidR="00A720EB" w:rsidRDefault="00E10349">
      <w:pPr>
        <w:pStyle w:val="a3"/>
        <w:ind w:left="119"/>
        <w:rPr>
          <w:sz w:val="20"/>
        </w:rPr>
      </w:pPr>
      <w:r>
        <w:rPr>
          <w:sz w:val="20"/>
        </w:rPr>
      </w:r>
      <w:r>
        <w:rPr>
          <w:sz w:val="20"/>
        </w:rPr>
        <w:pict w14:anchorId="7116C8E7">
          <v:group id="_x0000_s4905" style="width:499.3pt;height:203.25pt;mso-position-horizontal-relative:char;mso-position-vertical-relative:line" coordsize="9986,4065">
            <v:shape id="_x0000_s4908" style="position:absolute;left:5;top:5;width:9976;height:4055" coordorigin="5,5" coordsize="9976,4055" path="m9901,5l85,5,54,11,28,28,11,54,5,85r,3894l11,4011r17,25l54,4053r31,6l9901,4059r31,-6l9958,4036r17,-25l9981,3979r,-3894l9975,54,9958,28,9932,11,9901,5xe" fillcolor="#ededed" stroked="f">
              <v:path arrowok="t"/>
            </v:shape>
            <v:shape id="_x0000_s4907" style="position:absolute;left:5;top:5;width:9976;height:4055" coordorigin="5,5" coordsize="9976,4055" path="m85,5r9816,l9932,11r26,17l9975,54r6,31l9981,3979r-6,32l9958,4036r-26,17l9901,4059r-9816,l54,4053,28,4036,11,4011,5,3979,5,85,11,54,28,28,54,11,85,5xe" filled="f" strokecolor="#e1e1e1" strokeweight=".5pt">
              <v:path arrowok="t"/>
            </v:shape>
            <v:shape id="_x0000_s4906" type="#_x0000_t202" style="position:absolute;left:13;top:10;width:9960;height:4044" filled="f" stroked="f">
              <v:textbox inset="0,0,0,0">
                <w:txbxContent>
                  <w:p w14:paraId="37708E72" w14:textId="77777777" w:rsidR="00711A16" w:rsidRDefault="00711A16">
                    <w:pPr>
                      <w:spacing w:before="239"/>
                      <w:ind w:left="300" w:right="301"/>
                      <w:jc w:val="center"/>
                      <w:rPr>
                        <w:rFonts w:ascii="Palatino Linotype"/>
                        <w:b/>
                        <w:sz w:val="26"/>
                      </w:rPr>
                    </w:pPr>
                    <w:r>
                      <w:rPr>
                        <w:rFonts w:ascii="Palatino Linotype"/>
                        <w:b/>
                        <w:color w:val="333333"/>
                        <w:w w:val="115"/>
                        <w:sz w:val="26"/>
                      </w:rPr>
                      <w:t>Executable jars and Java</w:t>
                    </w:r>
                  </w:p>
                  <w:p w14:paraId="74158C25" w14:textId="77777777" w:rsidR="00711A16" w:rsidRDefault="00711A16">
                    <w:pPr>
                      <w:spacing w:before="254" w:line="307" w:lineRule="auto"/>
                      <w:ind w:left="291" w:right="293"/>
                      <w:jc w:val="both"/>
                      <w:rPr>
                        <w:sz w:val="21"/>
                      </w:rPr>
                    </w:pPr>
                    <w:r>
                      <w:rPr>
                        <w:color w:val="333333"/>
                        <w:w w:val="110"/>
                        <w:sz w:val="21"/>
                      </w:rPr>
                      <w:t>Java does not provide a standard way to load nested jar files (jar files that are themselves contained within a jar). This can be problematic if you are looking to distribute a self- contained</w:t>
                    </w:r>
                    <w:r>
                      <w:rPr>
                        <w:color w:val="333333"/>
                        <w:spacing w:val="3"/>
                        <w:w w:val="110"/>
                        <w:sz w:val="21"/>
                      </w:rPr>
                      <w:t xml:space="preserve"> </w:t>
                    </w:r>
                    <w:r>
                      <w:rPr>
                        <w:color w:val="333333"/>
                        <w:w w:val="110"/>
                        <w:sz w:val="21"/>
                      </w:rPr>
                      <w:t>application.</w:t>
                    </w:r>
                  </w:p>
                  <w:p w14:paraId="79AE5462" w14:textId="77777777" w:rsidR="00711A16" w:rsidRDefault="00711A16">
                    <w:pPr>
                      <w:spacing w:before="241" w:line="307" w:lineRule="auto"/>
                      <w:ind w:left="291" w:right="300"/>
                      <w:jc w:val="both"/>
                      <w:rPr>
                        <w:sz w:val="21"/>
                      </w:rPr>
                    </w:pPr>
                    <w:r>
                      <w:rPr>
                        <w:color w:val="333333"/>
                        <w:spacing w:val="-4"/>
                        <w:w w:val="110"/>
                        <w:sz w:val="21"/>
                      </w:rPr>
                      <w:t xml:space="preserve">To </w:t>
                    </w:r>
                    <w:r>
                      <w:rPr>
                        <w:color w:val="333333"/>
                        <w:w w:val="110"/>
                        <w:sz w:val="21"/>
                      </w:rPr>
                      <w:t xml:space="preserve">solve this problem, many developers use “uber” jars. An uber jar packages all the classes from all the application’s dependencies into a single archive. The problem with this </w:t>
                    </w:r>
                    <w:proofErr w:type="gramStart"/>
                    <w:r>
                      <w:rPr>
                        <w:color w:val="333333"/>
                        <w:w w:val="110"/>
                        <w:sz w:val="21"/>
                      </w:rPr>
                      <w:t>approach  is</w:t>
                    </w:r>
                    <w:proofErr w:type="gramEnd"/>
                    <w:r>
                      <w:rPr>
                        <w:color w:val="333333"/>
                        <w:w w:val="110"/>
                        <w:sz w:val="21"/>
                      </w:rPr>
                      <w:t xml:space="preserve"> that it becomes hard to see which libraries are in your application. It can </w:t>
                    </w:r>
                    <w:proofErr w:type="gramStart"/>
                    <w:r>
                      <w:rPr>
                        <w:color w:val="333333"/>
                        <w:w w:val="110"/>
                        <w:sz w:val="21"/>
                      </w:rPr>
                      <w:t>also  be</w:t>
                    </w:r>
                    <w:proofErr w:type="gramEnd"/>
                    <w:r>
                      <w:rPr>
                        <w:color w:val="333333"/>
                        <w:w w:val="110"/>
                        <w:sz w:val="21"/>
                      </w:rPr>
                      <w:t xml:space="preserve">  problematic if the same filename is used (but with different content) in multiple</w:t>
                    </w:r>
                    <w:r>
                      <w:rPr>
                        <w:color w:val="333333"/>
                        <w:spacing w:val="6"/>
                        <w:w w:val="110"/>
                        <w:sz w:val="21"/>
                      </w:rPr>
                      <w:t xml:space="preserve"> </w:t>
                    </w:r>
                    <w:r>
                      <w:rPr>
                        <w:color w:val="333333"/>
                        <w:w w:val="110"/>
                        <w:sz w:val="21"/>
                      </w:rPr>
                      <w:t>jars.</w:t>
                    </w:r>
                  </w:p>
                  <w:p w14:paraId="2FE83800" w14:textId="77777777" w:rsidR="00711A16" w:rsidRDefault="00711A16">
                    <w:pPr>
                      <w:spacing w:before="242"/>
                      <w:ind w:left="291"/>
                      <w:jc w:val="both"/>
                      <w:rPr>
                        <w:sz w:val="21"/>
                      </w:rPr>
                    </w:pPr>
                    <w:r>
                      <w:rPr>
                        <w:color w:val="333333"/>
                        <w:w w:val="110"/>
                        <w:sz w:val="21"/>
                      </w:rPr>
                      <w:t xml:space="preserve">Spring Boot takes a </w:t>
                    </w:r>
                    <w:hyperlink w:anchor="_bookmark691" w:history="1">
                      <w:r>
                        <w:rPr>
                          <w:color w:val="418BCA"/>
                          <w:w w:val="110"/>
                          <w:sz w:val="21"/>
                        </w:rPr>
                        <w:t xml:space="preserve">different approach </w:t>
                      </w:r>
                    </w:hyperlink>
                    <w:r>
                      <w:rPr>
                        <w:color w:val="333333"/>
                        <w:w w:val="110"/>
                        <w:sz w:val="21"/>
                      </w:rPr>
                      <w:t>and lets you actually nest jars directly.</w:t>
                    </w:r>
                  </w:p>
                </w:txbxContent>
              </v:textbox>
            </v:shape>
            <w10:anchorlock/>
          </v:group>
        </w:pict>
      </w:r>
    </w:p>
    <w:p w14:paraId="0B978E0C" w14:textId="77777777" w:rsidR="00A720EB" w:rsidRDefault="00A720EB">
      <w:pPr>
        <w:pStyle w:val="a3"/>
        <w:spacing w:before="2"/>
        <w:rPr>
          <w:sz w:val="10"/>
        </w:rPr>
      </w:pPr>
    </w:p>
    <w:p w14:paraId="503129B1" w14:textId="77777777" w:rsidR="00A720EB" w:rsidRDefault="0030286B">
      <w:pPr>
        <w:pStyle w:val="a3"/>
        <w:spacing w:before="116" w:line="280" w:lineRule="auto"/>
        <w:ind w:left="124"/>
      </w:pPr>
      <w:r>
        <w:rPr>
          <w:color w:val="333333"/>
          <w:spacing w:val="-4"/>
          <w:w w:val="110"/>
        </w:rPr>
        <w:t xml:space="preserve">To </w:t>
      </w:r>
      <w:r>
        <w:rPr>
          <w:color w:val="333333"/>
          <w:w w:val="110"/>
        </w:rPr>
        <w:t xml:space="preserve">create an executable jar, we need to add the </w:t>
      </w:r>
      <w:r>
        <w:rPr>
          <w:rFonts w:ascii="MS Gothic"/>
          <w:color w:val="B02045"/>
          <w:w w:val="110"/>
        </w:rPr>
        <w:t xml:space="preserve">spring-boot-maven-plugin </w:t>
      </w:r>
      <w:r>
        <w:rPr>
          <w:color w:val="333333"/>
          <w:w w:val="110"/>
        </w:rPr>
        <w:t xml:space="preserve">to our </w:t>
      </w:r>
      <w:r>
        <w:rPr>
          <w:rFonts w:ascii="MS Gothic"/>
          <w:color w:val="B02045"/>
          <w:w w:val="110"/>
        </w:rPr>
        <w:t>pom.xml</w:t>
      </w:r>
      <w:r>
        <w:rPr>
          <w:color w:val="333333"/>
          <w:w w:val="110"/>
        </w:rPr>
        <w:t xml:space="preserve">. </w:t>
      </w:r>
      <w:r>
        <w:rPr>
          <w:color w:val="333333"/>
          <w:spacing w:val="-4"/>
          <w:w w:val="110"/>
        </w:rPr>
        <w:t xml:space="preserve">To </w:t>
      </w:r>
      <w:r>
        <w:rPr>
          <w:color w:val="333333"/>
          <w:w w:val="110"/>
        </w:rPr>
        <w:t xml:space="preserve">do so, insert the following lines just below the </w:t>
      </w:r>
      <w:r>
        <w:rPr>
          <w:rFonts w:ascii="MS Gothic"/>
          <w:color w:val="B02045"/>
          <w:w w:val="110"/>
        </w:rPr>
        <w:t>dependencies</w:t>
      </w:r>
      <w:r>
        <w:rPr>
          <w:rFonts w:ascii="MS Gothic"/>
          <w:color w:val="B02045"/>
          <w:spacing w:val="-51"/>
          <w:w w:val="110"/>
        </w:rPr>
        <w:t xml:space="preserve"> </w:t>
      </w:r>
      <w:r>
        <w:rPr>
          <w:color w:val="333333"/>
          <w:w w:val="110"/>
        </w:rPr>
        <w:t>section:</w:t>
      </w:r>
    </w:p>
    <w:p w14:paraId="09194225" w14:textId="77777777" w:rsidR="00A720EB" w:rsidRDefault="00E10349">
      <w:pPr>
        <w:pStyle w:val="a3"/>
        <w:spacing w:before="1"/>
        <w:rPr>
          <w:sz w:val="14"/>
        </w:rPr>
      </w:pPr>
      <w:r>
        <w:pict w14:anchorId="12264A52">
          <v:group id="_x0000_s4901" style="position:absolute;margin-left:47.85pt;margin-top:10.25pt;width:499.55pt;height:140.7pt;z-index:-15704576;mso-wrap-distance-left:0;mso-wrap-distance-right:0;mso-position-horizontal-relative:page" coordorigin="957,205" coordsize="9991,2814">
            <v:shape id="_x0000_s4904" style="position:absolute;left:964;top:212;width:9976;height:2799" coordorigin="965,213" coordsize="9976,2799" path="m10861,213r-9816,l1014,219r-26,17l971,262r-6,31l965,2931r6,31l988,2988r26,17l1045,3011r9816,l10892,3005r25,-17l10935,2962r6,-31l10941,293r-6,-31l10917,236r-25,-17l10861,213xe" fillcolor="#f5f5f5" stroked="f">
              <v:path arrowok="t"/>
            </v:shape>
            <v:shape id="_x0000_s4903" style="position:absolute;left:964;top:212;width:9976;height:2799" coordorigin="965,213" coordsize="9976,2799" path="m1045,213r9816,l10892,219r25,17l10935,262r6,31l10941,2931r-6,31l10917,2988r-25,17l10861,3011r-9816,l1014,3005r-26,-17l971,2962r-6,-31l965,293r6,-31l988,236r26,-17l1045,213xe" filled="f" strokecolor="#ccc">
              <v:path arrowok="t"/>
            </v:shape>
            <v:shape id="_x0000_s4902" type="#_x0000_t202" style="position:absolute;left:984;top:228;width:9938;height:2768" filled="f" stroked="f">
              <v:textbox inset="0,0,0,0">
                <w:txbxContent>
                  <w:p w14:paraId="2D80595E" w14:textId="77777777" w:rsidR="00711A16" w:rsidRDefault="00711A16">
                    <w:pPr>
                      <w:spacing w:before="221"/>
                      <w:ind w:left="200"/>
                      <w:rPr>
                        <w:rFonts w:ascii="MS Gothic"/>
                      </w:rPr>
                    </w:pPr>
                    <w:r>
                      <w:rPr>
                        <w:rFonts w:ascii="MS Gothic"/>
                        <w:color w:val="333333"/>
                      </w:rPr>
                      <w:t>&lt;build&gt;</w:t>
                    </w:r>
                  </w:p>
                  <w:p w14:paraId="2FF12405" w14:textId="77777777" w:rsidR="00711A16" w:rsidRDefault="00711A16">
                    <w:pPr>
                      <w:spacing w:before="13"/>
                      <w:ind w:left="640"/>
                      <w:rPr>
                        <w:rFonts w:ascii="MS Gothic"/>
                      </w:rPr>
                    </w:pPr>
                    <w:r>
                      <w:rPr>
                        <w:rFonts w:ascii="MS Gothic"/>
                        <w:color w:val="333333"/>
                      </w:rPr>
                      <w:t>&lt;plugins&gt;</w:t>
                    </w:r>
                  </w:p>
                  <w:p w14:paraId="50FFA87C" w14:textId="77777777" w:rsidR="00711A16" w:rsidRDefault="00711A16">
                    <w:pPr>
                      <w:spacing w:before="13"/>
                      <w:ind w:left="1080"/>
                      <w:rPr>
                        <w:rFonts w:ascii="MS Gothic"/>
                      </w:rPr>
                    </w:pPr>
                    <w:r>
                      <w:rPr>
                        <w:rFonts w:ascii="MS Gothic"/>
                        <w:color w:val="333333"/>
                      </w:rPr>
                      <w:t>&lt;plugin&gt;</w:t>
                    </w:r>
                  </w:p>
                  <w:p w14:paraId="7AEF80A0"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51266353" w14:textId="77777777" w:rsidR="00711A16" w:rsidRDefault="00711A16">
                    <w:pPr>
                      <w:spacing w:before="12"/>
                      <w:ind w:left="1520"/>
                      <w:rPr>
                        <w:rFonts w:ascii="MS Gothic"/>
                      </w:rPr>
                    </w:pPr>
                    <w:r>
                      <w:rPr>
                        <w:rFonts w:ascii="MS Gothic"/>
                        <w:color w:val="333333"/>
                      </w:rPr>
                      <w:t>&lt;artifactId&gt;spring-boot-maven-plugin&lt;/artifactId&gt;</w:t>
                    </w:r>
                  </w:p>
                  <w:p w14:paraId="48BD41E4" w14:textId="77777777" w:rsidR="00711A16" w:rsidRDefault="00711A16">
                    <w:pPr>
                      <w:spacing w:before="13"/>
                      <w:ind w:left="1080"/>
                      <w:rPr>
                        <w:rFonts w:ascii="MS Gothic"/>
                      </w:rPr>
                    </w:pPr>
                    <w:r>
                      <w:rPr>
                        <w:rFonts w:ascii="MS Gothic"/>
                        <w:color w:val="333333"/>
                      </w:rPr>
                      <w:t>&lt;/plugin&gt;</w:t>
                    </w:r>
                  </w:p>
                  <w:p w14:paraId="1F95A065" w14:textId="77777777" w:rsidR="00711A16" w:rsidRDefault="00711A16">
                    <w:pPr>
                      <w:spacing w:before="13"/>
                      <w:ind w:left="640"/>
                      <w:rPr>
                        <w:rFonts w:ascii="MS Gothic"/>
                      </w:rPr>
                    </w:pPr>
                    <w:r>
                      <w:rPr>
                        <w:rFonts w:ascii="MS Gothic"/>
                        <w:color w:val="333333"/>
                      </w:rPr>
                      <w:t>&lt;/plugins&gt;</w:t>
                    </w:r>
                  </w:p>
                  <w:p w14:paraId="4A3710FE" w14:textId="77777777" w:rsidR="00711A16" w:rsidRDefault="00711A16">
                    <w:pPr>
                      <w:spacing w:before="13"/>
                      <w:ind w:left="200"/>
                      <w:rPr>
                        <w:rFonts w:ascii="MS Gothic"/>
                      </w:rPr>
                    </w:pPr>
                    <w:r>
                      <w:rPr>
                        <w:rFonts w:ascii="MS Gothic"/>
                        <w:color w:val="333333"/>
                      </w:rPr>
                      <w:t>&lt;/build&gt;</w:t>
                    </w:r>
                  </w:p>
                </w:txbxContent>
              </v:textbox>
            </v:shape>
            <w10:wrap type="topAndBottom" anchorx="page"/>
          </v:group>
        </w:pict>
      </w:r>
    </w:p>
    <w:p w14:paraId="290B4CED" w14:textId="77777777" w:rsidR="00A720EB" w:rsidRDefault="00A720EB">
      <w:pPr>
        <w:pStyle w:val="a3"/>
        <w:spacing w:before="8"/>
        <w:rPr>
          <w:sz w:val="16"/>
        </w:rPr>
      </w:pPr>
    </w:p>
    <w:p w14:paraId="3192DE84" w14:textId="77777777" w:rsidR="00A720EB" w:rsidRDefault="00E10349">
      <w:pPr>
        <w:pStyle w:val="a3"/>
        <w:spacing w:before="116" w:line="285" w:lineRule="auto"/>
        <w:ind w:left="1564" w:right="364"/>
        <w:jc w:val="both"/>
      </w:pPr>
      <w:r>
        <w:pict w14:anchorId="61FDDDC4">
          <v:line id="_x0000_s4900" style="position:absolute;left:0;text-align:left;z-index:15753216;mso-position-horizontal-relative:page" from="108.25pt,.35pt" to="108.25pt,55.7pt" strokecolor="#ededed" strokeweight=".5pt">
            <w10:wrap anchorx="page"/>
          </v:line>
        </w:pict>
      </w:r>
      <w:r w:rsidR="0030286B">
        <w:rPr>
          <w:noProof/>
        </w:rPr>
        <w:drawing>
          <wp:anchor distT="0" distB="0" distL="0" distR="0" simplePos="0" relativeHeight="15753728" behindDoc="0" locked="0" layoutInCell="1" allowOverlap="1" wp14:anchorId="633187F6" wp14:editId="7E39C773">
            <wp:simplePos x="0" y="0"/>
            <wp:positionH relativeFrom="page">
              <wp:posOffset>844422</wp:posOffset>
            </wp:positionH>
            <wp:positionV relativeFrom="paragraph">
              <wp:posOffset>206451</wp:posOffset>
            </wp:positionV>
            <wp:extent cx="298450" cy="298450"/>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The</w:t>
      </w:r>
      <w:r w:rsidR="0030286B">
        <w:rPr>
          <w:color w:val="333333"/>
          <w:spacing w:val="-16"/>
          <w:w w:val="110"/>
        </w:rPr>
        <w:t xml:space="preserve"> </w:t>
      </w:r>
      <w:r w:rsidR="0030286B">
        <w:rPr>
          <w:rFonts w:ascii="MS Gothic"/>
          <w:color w:val="B02045"/>
          <w:w w:val="110"/>
        </w:rPr>
        <w:t>spring-boot-starter-parent</w:t>
      </w:r>
      <w:r w:rsidR="0030286B">
        <w:rPr>
          <w:rFonts w:ascii="MS Gothic"/>
          <w:color w:val="B02045"/>
          <w:spacing w:val="-80"/>
          <w:w w:val="110"/>
        </w:rPr>
        <w:t xml:space="preserve"> </w:t>
      </w:r>
      <w:r w:rsidR="0030286B">
        <w:rPr>
          <w:color w:val="333333"/>
          <w:w w:val="110"/>
        </w:rPr>
        <w:t>POM</w:t>
      </w:r>
      <w:r w:rsidR="0030286B">
        <w:rPr>
          <w:color w:val="333333"/>
          <w:spacing w:val="-16"/>
          <w:w w:val="110"/>
        </w:rPr>
        <w:t xml:space="preserve"> </w:t>
      </w:r>
      <w:r w:rsidR="0030286B">
        <w:rPr>
          <w:color w:val="333333"/>
          <w:w w:val="110"/>
        </w:rPr>
        <w:t>includes</w:t>
      </w:r>
      <w:r w:rsidR="0030286B">
        <w:rPr>
          <w:color w:val="333333"/>
          <w:spacing w:val="-15"/>
          <w:w w:val="110"/>
        </w:rPr>
        <w:t xml:space="preserve"> </w:t>
      </w:r>
      <w:r w:rsidR="0030286B">
        <w:rPr>
          <w:rFonts w:ascii="MS Gothic"/>
          <w:color w:val="B02045"/>
          <w:w w:val="110"/>
        </w:rPr>
        <w:t>&lt;executions&gt;</w:t>
      </w:r>
      <w:r w:rsidR="0030286B">
        <w:rPr>
          <w:rFonts w:ascii="MS Gothic"/>
          <w:color w:val="B02045"/>
          <w:spacing w:val="-80"/>
          <w:w w:val="110"/>
        </w:rPr>
        <w:t xml:space="preserve"> </w:t>
      </w:r>
      <w:r w:rsidR="0030286B">
        <w:rPr>
          <w:color w:val="333333"/>
          <w:w w:val="110"/>
        </w:rPr>
        <w:t>configuration</w:t>
      </w:r>
      <w:r w:rsidR="0030286B">
        <w:rPr>
          <w:color w:val="333333"/>
          <w:spacing w:val="-16"/>
          <w:w w:val="110"/>
        </w:rPr>
        <w:t xml:space="preserve"> </w:t>
      </w:r>
      <w:r w:rsidR="0030286B">
        <w:rPr>
          <w:color w:val="333333"/>
          <w:w w:val="110"/>
        </w:rPr>
        <w:t>to</w:t>
      </w:r>
      <w:r w:rsidR="0030286B">
        <w:rPr>
          <w:color w:val="333333"/>
          <w:spacing w:val="-15"/>
          <w:w w:val="110"/>
        </w:rPr>
        <w:t xml:space="preserve"> </w:t>
      </w:r>
      <w:r w:rsidR="0030286B">
        <w:rPr>
          <w:color w:val="333333"/>
          <w:w w:val="110"/>
        </w:rPr>
        <w:t xml:space="preserve">bind the </w:t>
      </w:r>
      <w:r w:rsidR="0030286B">
        <w:rPr>
          <w:rFonts w:ascii="MS Gothic"/>
          <w:color w:val="B02045"/>
          <w:w w:val="110"/>
        </w:rPr>
        <w:t xml:space="preserve">repackage </w:t>
      </w:r>
      <w:r w:rsidR="0030286B">
        <w:rPr>
          <w:color w:val="333333"/>
          <w:w w:val="110"/>
        </w:rPr>
        <w:t xml:space="preserve">goal. If you do not use the parent POM, you need to declare this configuration yourself. See the </w:t>
      </w:r>
      <w:hyperlink r:id="rId63" w:anchor="getting-started">
        <w:r w:rsidR="0030286B">
          <w:rPr>
            <w:color w:val="418BCA"/>
            <w:w w:val="110"/>
          </w:rPr>
          <w:t xml:space="preserve">plugin documentation </w:t>
        </w:r>
      </w:hyperlink>
      <w:r w:rsidR="0030286B">
        <w:rPr>
          <w:color w:val="333333"/>
          <w:w w:val="110"/>
        </w:rPr>
        <w:t>for</w:t>
      </w:r>
      <w:r w:rsidR="0030286B">
        <w:rPr>
          <w:color w:val="333333"/>
          <w:spacing w:val="36"/>
          <w:w w:val="110"/>
        </w:rPr>
        <w:t xml:space="preserve"> </w:t>
      </w:r>
      <w:r w:rsidR="0030286B">
        <w:rPr>
          <w:color w:val="333333"/>
          <w:w w:val="110"/>
        </w:rPr>
        <w:t>details.</w:t>
      </w:r>
    </w:p>
    <w:p w14:paraId="6A6F2D31" w14:textId="77777777" w:rsidR="00A720EB" w:rsidRDefault="00A720EB">
      <w:pPr>
        <w:pStyle w:val="a3"/>
        <w:spacing w:before="7"/>
        <w:rPr>
          <w:sz w:val="18"/>
        </w:rPr>
      </w:pPr>
    </w:p>
    <w:p w14:paraId="46259654" w14:textId="77777777" w:rsidR="00A720EB" w:rsidRDefault="0030286B">
      <w:pPr>
        <w:pStyle w:val="a3"/>
        <w:spacing w:before="116"/>
        <w:ind w:left="124"/>
      </w:pPr>
      <w:r>
        <w:rPr>
          <w:color w:val="333333"/>
          <w:w w:val="110"/>
        </w:rPr>
        <w:t xml:space="preserve">Save your </w:t>
      </w:r>
      <w:r>
        <w:rPr>
          <w:rFonts w:ascii="MS Gothic"/>
          <w:color w:val="B02045"/>
          <w:w w:val="110"/>
        </w:rPr>
        <w:t>pom.xml</w:t>
      </w:r>
      <w:r>
        <w:rPr>
          <w:rFonts w:ascii="MS Gothic"/>
          <w:color w:val="B02045"/>
          <w:spacing w:val="-63"/>
          <w:w w:val="110"/>
        </w:rPr>
        <w:t xml:space="preserve"> </w:t>
      </w:r>
      <w:r>
        <w:rPr>
          <w:color w:val="333333"/>
          <w:w w:val="110"/>
        </w:rPr>
        <w:t xml:space="preserve">and run </w:t>
      </w:r>
      <w:r>
        <w:rPr>
          <w:rFonts w:ascii="MS Gothic"/>
          <w:color w:val="B02045"/>
          <w:w w:val="110"/>
        </w:rPr>
        <w:t>mvn package</w:t>
      </w:r>
      <w:r>
        <w:rPr>
          <w:rFonts w:ascii="MS Gothic"/>
          <w:color w:val="B02045"/>
          <w:spacing w:val="-63"/>
          <w:w w:val="110"/>
        </w:rPr>
        <w:t xml:space="preserve"> </w:t>
      </w:r>
      <w:r>
        <w:rPr>
          <w:color w:val="333333"/>
          <w:w w:val="110"/>
        </w:rPr>
        <w:t>from the command line, as follows:</w:t>
      </w:r>
    </w:p>
    <w:p w14:paraId="2B04F314" w14:textId="77777777" w:rsidR="00A720EB" w:rsidRDefault="00A720EB">
      <w:pPr>
        <w:sectPr w:rsidR="00A720EB">
          <w:pgSz w:w="11910" w:h="16840"/>
          <w:pgMar w:top="700" w:right="840" w:bottom="520" w:left="840" w:header="0" w:footer="323" w:gutter="0"/>
          <w:cols w:space="720"/>
        </w:sectPr>
      </w:pPr>
    </w:p>
    <w:p w14:paraId="77EE0294" w14:textId="77777777" w:rsidR="00A720EB" w:rsidRDefault="00E10349">
      <w:pPr>
        <w:pStyle w:val="a3"/>
        <w:ind w:left="116"/>
        <w:rPr>
          <w:sz w:val="20"/>
        </w:rPr>
      </w:pPr>
      <w:r>
        <w:rPr>
          <w:sz w:val="20"/>
        </w:rPr>
      </w:r>
      <w:r>
        <w:rPr>
          <w:sz w:val="20"/>
        </w:rPr>
        <w:pict w14:anchorId="2B5B1DD6">
          <v:group id="_x0000_s4895" style="width:499.55pt;height:258.6pt;mso-position-horizontal-relative:char;mso-position-vertical-relative:line" coordsize="9991,5172">
            <v:shape id="_x0000_s4899" style="position:absolute;left:7;top:7;width:9976;height:5157" coordorigin="8,8" coordsize="9976,5157" path="m9904,8l88,8,56,14,31,31,14,56,8,88r,4996l14,5115r17,26l56,5158r32,6l9904,5164r31,-6l9960,5141r17,-26l9984,5084r,-4996l9977,56,9960,31,9935,14,9904,8xe" fillcolor="#f5f5f5" stroked="f">
              <v:path arrowok="t"/>
            </v:shape>
            <v:shape id="_x0000_s4898" style="position:absolute;left:7;top:7;width:9976;height:5157" coordorigin="8,8" coordsize="9976,5157" path="m88,8r9816,l9935,14r25,17l9977,56r7,32l9984,5084r-7,31l9960,5141r-25,17l9904,5164r-9816,l56,5158,31,5141,14,5115,8,5084,8,88,14,56,31,31,56,14,88,8xe" filled="f" strokecolor="#ccc">
              <v:path arrowok="t"/>
            </v:shape>
            <v:shape id="_x0000_s4897" style="position:absolute;left:997;top:1578;width:7920;height:3243" coordorigin="998,1578" coordsize="7920,3243" o:spt="100" adj="0,,0" path="m998,1578r7920,m998,2168r7920,m998,4231r7920,m998,4821r7920,e" filled="f" strokecolor="#323232" strokeweight=".26mm">
              <v:stroke dashstyle="dash" joinstyle="round"/>
              <v:formulas/>
              <v:path arrowok="t" o:connecttype="segments"/>
            </v:shape>
            <v:shape id="_x0000_s4896" type="#_x0000_t202" style="position:absolute;left:26;top:22;width:9938;height:5126" filled="f" stroked="f">
              <v:textbox inset="0,0,0,0">
                <w:txbxContent>
                  <w:p w14:paraId="6646A87E" w14:textId="77777777" w:rsidR="00711A16" w:rsidRDefault="00711A16">
                    <w:pPr>
                      <w:spacing w:before="221"/>
                      <w:ind w:left="200"/>
                      <w:rPr>
                        <w:rFonts w:ascii="MS Gothic"/>
                      </w:rPr>
                    </w:pPr>
                    <w:r>
                      <w:rPr>
                        <w:rFonts w:ascii="MS Gothic"/>
                        <w:color w:val="333333"/>
                      </w:rPr>
                      <w:t>$ mvn package</w:t>
                    </w:r>
                  </w:p>
                  <w:p w14:paraId="3FBACB08" w14:textId="77777777" w:rsidR="00711A16" w:rsidRDefault="00711A16">
                    <w:pPr>
                      <w:rPr>
                        <w:rFonts w:ascii="MS Gothic"/>
                        <w:sz w:val="24"/>
                      </w:rPr>
                    </w:pPr>
                  </w:p>
                  <w:p w14:paraId="7C0BC2E7" w14:textId="77777777" w:rsidR="00711A16" w:rsidRDefault="00711A16">
                    <w:pPr>
                      <w:spacing w:line="252" w:lineRule="auto"/>
                      <w:ind w:left="200" w:right="6308"/>
                      <w:rPr>
                        <w:rFonts w:ascii="MS Gothic"/>
                      </w:rPr>
                    </w:pPr>
                    <w:r>
                      <w:rPr>
                        <w:rFonts w:ascii="MS Gothic"/>
                        <w:color w:val="333333"/>
                      </w:rPr>
                      <w:t>[INFO] Scanning for projects... [INFO]</w:t>
                    </w:r>
                  </w:p>
                  <w:p w14:paraId="6A40FF51" w14:textId="77777777" w:rsidR="00711A16" w:rsidRDefault="00711A16">
                    <w:pPr>
                      <w:spacing w:line="280" w:lineRule="exact"/>
                      <w:ind w:left="200"/>
                      <w:rPr>
                        <w:rFonts w:ascii="MS Gothic"/>
                      </w:rPr>
                    </w:pPr>
                    <w:r>
                      <w:rPr>
                        <w:rFonts w:ascii="MS Gothic"/>
                        <w:color w:val="333333"/>
                      </w:rPr>
                      <w:t>[INFO]</w:t>
                    </w:r>
                  </w:p>
                  <w:p w14:paraId="5A8FB9BD" w14:textId="77777777" w:rsidR="00711A16" w:rsidRDefault="00711A16">
                    <w:pPr>
                      <w:spacing w:before="13" w:line="252" w:lineRule="auto"/>
                      <w:ind w:left="200" w:right="5318"/>
                      <w:rPr>
                        <w:rFonts w:ascii="MS Gothic"/>
                      </w:rPr>
                    </w:pPr>
                    <w:r>
                      <w:rPr>
                        <w:rFonts w:ascii="MS Gothic"/>
                        <w:color w:val="333333"/>
                      </w:rPr>
                      <w:t>[INFO] Building myproject 0.0.1-SNAPSHOT [INFO]</w:t>
                    </w:r>
                  </w:p>
                  <w:p w14:paraId="56D57667" w14:textId="77777777" w:rsidR="00711A16" w:rsidRDefault="00711A16">
                    <w:pPr>
                      <w:spacing w:line="280" w:lineRule="exact"/>
                      <w:ind w:left="200"/>
                      <w:rPr>
                        <w:rFonts w:ascii="MS Gothic"/>
                      </w:rPr>
                    </w:pPr>
                    <w:r>
                      <w:rPr>
                        <w:rFonts w:ascii="MS Gothic"/>
                        <w:color w:val="333333"/>
                      </w:rPr>
                      <w:t xml:space="preserve">[INFO] </w:t>
                    </w:r>
                    <w:proofErr w:type="gramStart"/>
                    <w:r>
                      <w:rPr>
                        <w:rFonts w:ascii="MS Gothic"/>
                        <w:color w:val="333333"/>
                      </w:rPr>
                      <w:t>.... ..</w:t>
                    </w:r>
                    <w:proofErr w:type="gramEnd"/>
                  </w:p>
                  <w:p w14:paraId="562C3917" w14:textId="77777777" w:rsidR="00711A16" w:rsidRDefault="00711A16">
                    <w:pPr>
                      <w:spacing w:before="13"/>
                      <w:ind w:left="200"/>
                      <w:rPr>
                        <w:rFonts w:ascii="MS Gothic"/>
                      </w:rPr>
                    </w:pPr>
                    <w:r>
                      <w:rPr>
                        <w:rFonts w:ascii="MS Gothic"/>
                        <w:color w:val="333333"/>
                      </w:rPr>
                      <w:t>[INFO] --- maven-jar-plugin:2.4:jar (default-jar) @ myproject ---</w:t>
                    </w:r>
                  </w:p>
                  <w:p w14:paraId="799701DE" w14:textId="77777777" w:rsidR="00711A16" w:rsidRDefault="00711A16">
                    <w:pPr>
                      <w:spacing w:before="13" w:line="252" w:lineRule="auto"/>
                      <w:ind w:left="200" w:right="604"/>
                      <w:rPr>
                        <w:rFonts w:ascii="MS Gothic"/>
                      </w:rPr>
                    </w:pPr>
                    <w:r>
                      <w:rPr>
                        <w:rFonts w:ascii="MS Gothic"/>
                        <w:color w:val="333333"/>
                      </w:rPr>
                      <w:t>[INFO] Building jar: /Users/developer/example/spring-boot-example/target/myproject- 0.0.1-SNAPSHOT.jar</w:t>
                    </w:r>
                  </w:p>
                  <w:p w14:paraId="312F8BAC" w14:textId="77777777" w:rsidR="00711A16" w:rsidRDefault="00711A16">
                    <w:pPr>
                      <w:spacing w:line="280" w:lineRule="exact"/>
                      <w:ind w:left="200"/>
                      <w:rPr>
                        <w:rFonts w:ascii="MS Gothic"/>
                      </w:rPr>
                    </w:pPr>
                    <w:r>
                      <w:rPr>
                        <w:rFonts w:ascii="MS Gothic"/>
                        <w:color w:val="333333"/>
                      </w:rPr>
                      <w:t>[INFO]</w:t>
                    </w:r>
                  </w:p>
                  <w:p w14:paraId="080E203A" w14:textId="77777777" w:rsidR="00711A16" w:rsidRDefault="00711A16">
                    <w:pPr>
                      <w:spacing w:before="13"/>
                      <w:ind w:left="200"/>
                      <w:rPr>
                        <w:rFonts w:ascii="MS Gothic"/>
                      </w:rPr>
                    </w:pPr>
                    <w:r>
                      <w:rPr>
                        <w:rFonts w:ascii="MS Gothic"/>
                        <w:color w:val="333333"/>
                      </w:rPr>
                      <w:t>[INFO] --- spring-boot-maven-plugin:2.3.</w:t>
                    </w:r>
                    <w:proofErr w:type="gramStart"/>
                    <w:r>
                      <w:rPr>
                        <w:rFonts w:ascii="MS Gothic"/>
                        <w:color w:val="333333"/>
                      </w:rPr>
                      <w:t>4.RELEASE</w:t>
                    </w:r>
                    <w:proofErr w:type="gramEnd"/>
                    <w:r>
                      <w:rPr>
                        <w:rFonts w:ascii="MS Gothic"/>
                        <w:color w:val="333333"/>
                      </w:rPr>
                      <w:t>:repackage (default) @ myproject ---</w:t>
                    </w:r>
                  </w:p>
                  <w:p w14:paraId="20F70346" w14:textId="77777777" w:rsidR="00711A16" w:rsidRDefault="00711A16">
                    <w:pPr>
                      <w:spacing w:before="13"/>
                      <w:ind w:left="200"/>
                      <w:rPr>
                        <w:rFonts w:ascii="MS Gothic"/>
                      </w:rPr>
                    </w:pPr>
                    <w:r>
                      <w:rPr>
                        <w:rFonts w:ascii="MS Gothic"/>
                        <w:color w:val="333333"/>
                      </w:rPr>
                      <w:t>[INFO]</w:t>
                    </w:r>
                  </w:p>
                  <w:p w14:paraId="3F4562BB" w14:textId="77777777" w:rsidR="00711A16" w:rsidRDefault="00711A16">
                    <w:pPr>
                      <w:spacing w:before="13" w:line="252" w:lineRule="auto"/>
                      <w:ind w:left="200" w:right="7078"/>
                      <w:rPr>
                        <w:rFonts w:ascii="MS Gothic"/>
                      </w:rPr>
                    </w:pPr>
                    <w:r>
                      <w:rPr>
                        <w:rFonts w:ascii="MS Gothic"/>
                        <w:color w:val="333333"/>
                      </w:rPr>
                      <w:t xml:space="preserve">[INFO] BUILD </w:t>
                    </w:r>
                    <w:r>
                      <w:rPr>
                        <w:rFonts w:ascii="MS Gothic"/>
                        <w:color w:val="333333"/>
                        <w:spacing w:val="-3"/>
                      </w:rPr>
                      <w:t xml:space="preserve">SUCCESS </w:t>
                    </w:r>
                    <w:r>
                      <w:rPr>
                        <w:rFonts w:ascii="MS Gothic"/>
                        <w:color w:val="333333"/>
                      </w:rPr>
                      <w:t>[INFO]</w:t>
                    </w:r>
                  </w:p>
                </w:txbxContent>
              </v:textbox>
            </v:shape>
            <w10:anchorlock/>
          </v:group>
        </w:pict>
      </w:r>
    </w:p>
    <w:p w14:paraId="00E5F070" w14:textId="77777777" w:rsidR="00A720EB" w:rsidRDefault="00A720EB">
      <w:pPr>
        <w:pStyle w:val="a3"/>
        <w:rPr>
          <w:sz w:val="10"/>
        </w:rPr>
      </w:pPr>
    </w:p>
    <w:p w14:paraId="1045B828" w14:textId="77777777" w:rsidR="00A720EB" w:rsidRDefault="0030286B">
      <w:pPr>
        <w:pStyle w:val="a3"/>
        <w:spacing w:before="116" w:line="280" w:lineRule="auto"/>
        <w:ind w:left="124"/>
      </w:pPr>
      <w:r>
        <w:rPr>
          <w:color w:val="333333"/>
          <w:w w:val="110"/>
        </w:rPr>
        <w:t xml:space="preserve">If you look in the </w:t>
      </w:r>
      <w:r>
        <w:rPr>
          <w:rFonts w:ascii="MS Gothic"/>
          <w:color w:val="B02045"/>
          <w:w w:val="110"/>
        </w:rPr>
        <w:t>target</w:t>
      </w:r>
      <w:r>
        <w:rPr>
          <w:rFonts w:ascii="MS Gothic"/>
          <w:color w:val="B02045"/>
          <w:spacing w:val="-70"/>
          <w:w w:val="110"/>
        </w:rPr>
        <w:t xml:space="preserve"> </w:t>
      </w:r>
      <w:r>
        <w:rPr>
          <w:color w:val="333333"/>
          <w:spacing w:val="-3"/>
          <w:w w:val="110"/>
        </w:rPr>
        <w:t xml:space="preserve">directory, </w:t>
      </w:r>
      <w:r>
        <w:rPr>
          <w:color w:val="333333"/>
          <w:w w:val="110"/>
        </w:rPr>
        <w:t xml:space="preserve">you should see </w:t>
      </w:r>
      <w:r>
        <w:rPr>
          <w:rFonts w:ascii="MS Gothic"/>
          <w:color w:val="B02045"/>
          <w:w w:val="110"/>
        </w:rPr>
        <w:t>myproject-0.0.1-SNAPSHOT.jar</w:t>
      </w:r>
      <w:r>
        <w:rPr>
          <w:color w:val="333333"/>
          <w:w w:val="110"/>
        </w:rPr>
        <w:t xml:space="preserve">. The file should be around 10 MB in size. If you want to peek inside, you can use </w:t>
      </w:r>
      <w:r>
        <w:rPr>
          <w:rFonts w:ascii="MS Gothic"/>
          <w:color w:val="B02045"/>
          <w:w w:val="110"/>
        </w:rPr>
        <w:t>jar tvf</w:t>
      </w:r>
      <w:r>
        <w:rPr>
          <w:color w:val="333333"/>
          <w:w w:val="110"/>
        </w:rPr>
        <w:t>, as follows:</w:t>
      </w:r>
    </w:p>
    <w:p w14:paraId="5DB6843D" w14:textId="77777777" w:rsidR="00A720EB" w:rsidRDefault="00E10349">
      <w:pPr>
        <w:pStyle w:val="a3"/>
        <w:spacing w:before="1"/>
        <w:rPr>
          <w:sz w:val="14"/>
        </w:rPr>
      </w:pPr>
      <w:r>
        <w:pict w14:anchorId="61945CD4">
          <v:group id="_x0000_s4891" style="position:absolute;margin-left:47.85pt;margin-top:10.25pt;width:499.55pt;height:37.5pt;z-index:-15702528;mso-wrap-distance-left:0;mso-wrap-distance-right:0;mso-position-horizontal-relative:page" coordorigin="957,205" coordsize="9991,750">
            <v:shape id="_x0000_s4894" style="position:absolute;left:964;top:212;width:9976;height:735" coordorigin="965,212" coordsize="9976,735" path="m10861,212r-9816,l1014,219r-26,17l971,261r-6,31l965,867r6,31l988,924r26,17l1045,947r9816,l10892,941r25,-17l10935,898r6,-31l10941,292r-6,-31l10917,236r-25,-17l10861,212xe" fillcolor="#f5f5f5" stroked="f">
              <v:path arrowok="t"/>
            </v:shape>
            <v:shape id="_x0000_s4893" style="position:absolute;left:964;top:212;width:9976;height:735" coordorigin="965,212" coordsize="9976,735" path="m1045,212r9816,l10892,219r25,17l10935,261r6,31l10941,867r-6,31l10917,924r-25,17l10861,947r-9816,l1014,941,988,924,971,898r-6,-31l965,292r6,-31l988,236r26,-17l1045,212xe" filled="f" strokecolor="#ccc">
              <v:path arrowok="t"/>
            </v:shape>
            <v:shape id="_x0000_s4892" type="#_x0000_t202" style="position:absolute;left:984;top:227;width:9938;height:704" filled="f" stroked="f">
              <v:textbox inset="0,0,0,0">
                <w:txbxContent>
                  <w:p w14:paraId="0DE05EE4" w14:textId="77777777" w:rsidR="00711A16" w:rsidRDefault="00711A16">
                    <w:pPr>
                      <w:spacing w:before="221"/>
                      <w:ind w:left="200"/>
                      <w:rPr>
                        <w:rFonts w:ascii="MS Gothic"/>
                      </w:rPr>
                    </w:pPr>
                    <w:r>
                      <w:rPr>
                        <w:rFonts w:ascii="MS Gothic"/>
                        <w:color w:val="333333"/>
                      </w:rPr>
                      <w:t>$ jar tvf target/myproject-0.0.1-SNAPSHOT.jar</w:t>
                    </w:r>
                  </w:p>
                </w:txbxContent>
              </v:textbox>
            </v:shape>
            <w10:wrap type="topAndBottom" anchorx="page"/>
          </v:group>
        </w:pict>
      </w:r>
    </w:p>
    <w:p w14:paraId="3DFBF5DC" w14:textId="77777777" w:rsidR="00A720EB" w:rsidRDefault="00A720EB">
      <w:pPr>
        <w:pStyle w:val="a3"/>
        <w:spacing w:before="11"/>
        <w:rPr>
          <w:sz w:val="9"/>
        </w:rPr>
      </w:pPr>
    </w:p>
    <w:p w14:paraId="0613C50E" w14:textId="77777777" w:rsidR="00A720EB" w:rsidRDefault="0030286B">
      <w:pPr>
        <w:pStyle w:val="a3"/>
        <w:spacing w:before="115"/>
        <w:ind w:left="124"/>
        <w:rPr>
          <w:rFonts w:ascii="MS Gothic"/>
        </w:rPr>
      </w:pPr>
      <w:r>
        <w:rPr>
          <w:color w:val="333333"/>
          <w:spacing w:val="-6"/>
          <w:w w:val="110"/>
        </w:rPr>
        <w:t>You</w:t>
      </w:r>
      <w:r>
        <w:rPr>
          <w:color w:val="333333"/>
          <w:spacing w:val="-18"/>
          <w:w w:val="110"/>
        </w:rPr>
        <w:t xml:space="preserve"> </w:t>
      </w:r>
      <w:r>
        <w:rPr>
          <w:color w:val="333333"/>
          <w:w w:val="110"/>
        </w:rPr>
        <w:t>should</w:t>
      </w:r>
      <w:r>
        <w:rPr>
          <w:color w:val="333333"/>
          <w:spacing w:val="-18"/>
          <w:w w:val="110"/>
        </w:rPr>
        <w:t xml:space="preserve"> </w:t>
      </w:r>
      <w:r>
        <w:rPr>
          <w:color w:val="333333"/>
          <w:w w:val="110"/>
        </w:rPr>
        <w:t>also</w:t>
      </w:r>
      <w:r>
        <w:rPr>
          <w:color w:val="333333"/>
          <w:spacing w:val="-17"/>
          <w:w w:val="110"/>
        </w:rPr>
        <w:t xml:space="preserve"> </w:t>
      </w:r>
      <w:r>
        <w:rPr>
          <w:color w:val="333333"/>
          <w:w w:val="110"/>
        </w:rPr>
        <w:t>see</w:t>
      </w:r>
      <w:r>
        <w:rPr>
          <w:color w:val="333333"/>
          <w:spacing w:val="-18"/>
          <w:w w:val="110"/>
        </w:rPr>
        <w:t xml:space="preserve"> </w:t>
      </w:r>
      <w:r>
        <w:rPr>
          <w:color w:val="333333"/>
          <w:w w:val="110"/>
        </w:rPr>
        <w:t>a</w:t>
      </w:r>
      <w:r>
        <w:rPr>
          <w:color w:val="333333"/>
          <w:spacing w:val="-18"/>
          <w:w w:val="110"/>
        </w:rPr>
        <w:t xml:space="preserve"> </w:t>
      </w:r>
      <w:r>
        <w:rPr>
          <w:color w:val="333333"/>
          <w:w w:val="110"/>
        </w:rPr>
        <w:t>much</w:t>
      </w:r>
      <w:r>
        <w:rPr>
          <w:color w:val="333333"/>
          <w:spacing w:val="-17"/>
          <w:w w:val="110"/>
        </w:rPr>
        <w:t xml:space="preserve"> </w:t>
      </w:r>
      <w:r>
        <w:rPr>
          <w:color w:val="333333"/>
          <w:w w:val="110"/>
        </w:rPr>
        <w:t>smaller</w:t>
      </w:r>
      <w:r>
        <w:rPr>
          <w:color w:val="333333"/>
          <w:spacing w:val="-18"/>
          <w:w w:val="110"/>
        </w:rPr>
        <w:t xml:space="preserve"> </w:t>
      </w:r>
      <w:r>
        <w:rPr>
          <w:color w:val="333333"/>
          <w:w w:val="110"/>
        </w:rPr>
        <w:t>file</w:t>
      </w:r>
      <w:r>
        <w:rPr>
          <w:color w:val="333333"/>
          <w:spacing w:val="-17"/>
          <w:w w:val="110"/>
        </w:rPr>
        <w:t xml:space="preserve"> </w:t>
      </w:r>
      <w:r>
        <w:rPr>
          <w:color w:val="333333"/>
          <w:w w:val="110"/>
        </w:rPr>
        <w:t>named</w:t>
      </w:r>
      <w:r>
        <w:rPr>
          <w:color w:val="333333"/>
          <w:spacing w:val="-17"/>
          <w:w w:val="110"/>
        </w:rPr>
        <w:t xml:space="preserve"> </w:t>
      </w:r>
      <w:r>
        <w:rPr>
          <w:rFonts w:ascii="MS Gothic"/>
          <w:color w:val="B02045"/>
          <w:w w:val="110"/>
        </w:rPr>
        <w:t>myproject-0.0.1-SNAPSHOT.jar.original</w:t>
      </w:r>
      <w:r>
        <w:rPr>
          <w:rFonts w:ascii="MS Gothic"/>
          <w:color w:val="B02045"/>
          <w:spacing w:val="-82"/>
          <w:w w:val="110"/>
        </w:rPr>
        <w:t xml:space="preserve"> </w:t>
      </w:r>
      <w:r>
        <w:rPr>
          <w:color w:val="333333"/>
          <w:w w:val="110"/>
        </w:rPr>
        <w:t>in</w:t>
      </w:r>
      <w:r>
        <w:rPr>
          <w:color w:val="333333"/>
          <w:spacing w:val="-17"/>
          <w:w w:val="110"/>
        </w:rPr>
        <w:t xml:space="preserve"> </w:t>
      </w:r>
      <w:r>
        <w:rPr>
          <w:color w:val="333333"/>
          <w:w w:val="110"/>
        </w:rPr>
        <w:t>the</w:t>
      </w:r>
      <w:r>
        <w:rPr>
          <w:color w:val="333333"/>
          <w:spacing w:val="-17"/>
          <w:w w:val="110"/>
        </w:rPr>
        <w:t xml:space="preserve"> </w:t>
      </w:r>
      <w:r>
        <w:rPr>
          <w:rFonts w:ascii="MS Gothic"/>
          <w:color w:val="B02045"/>
          <w:w w:val="110"/>
        </w:rPr>
        <w:t>target</w:t>
      </w:r>
    </w:p>
    <w:p w14:paraId="3F7B4C2E" w14:textId="77777777" w:rsidR="00A720EB" w:rsidRDefault="0030286B">
      <w:pPr>
        <w:pStyle w:val="a3"/>
        <w:spacing w:before="57"/>
        <w:ind w:left="124"/>
      </w:pPr>
      <w:r>
        <w:rPr>
          <w:color w:val="333333"/>
          <w:w w:val="110"/>
        </w:rPr>
        <w:t>directory. This is the original jar file that Maven created before it was repackaged by Spring Boot.</w:t>
      </w:r>
    </w:p>
    <w:p w14:paraId="78264CFC" w14:textId="77777777" w:rsidR="00A720EB" w:rsidRDefault="00A720EB">
      <w:pPr>
        <w:pStyle w:val="a3"/>
        <w:spacing w:before="6"/>
        <w:rPr>
          <w:sz w:val="25"/>
        </w:rPr>
      </w:pPr>
    </w:p>
    <w:p w14:paraId="70645C4D" w14:textId="77777777" w:rsidR="00A720EB" w:rsidRDefault="0030286B">
      <w:pPr>
        <w:pStyle w:val="a3"/>
        <w:ind w:left="124"/>
      </w:pPr>
      <w:r>
        <w:rPr>
          <w:color w:val="333333"/>
          <w:w w:val="110"/>
        </w:rPr>
        <w:t xml:space="preserve">To run that application, use the </w:t>
      </w:r>
      <w:r>
        <w:rPr>
          <w:rFonts w:ascii="MS Gothic"/>
          <w:color w:val="B02045"/>
          <w:w w:val="110"/>
        </w:rPr>
        <w:t xml:space="preserve">java -jar </w:t>
      </w:r>
      <w:r>
        <w:rPr>
          <w:color w:val="333333"/>
          <w:w w:val="110"/>
        </w:rPr>
        <w:t>command, as follows:</w:t>
      </w:r>
    </w:p>
    <w:p w14:paraId="5535E072" w14:textId="77777777" w:rsidR="00A720EB" w:rsidRDefault="00E10349">
      <w:pPr>
        <w:pStyle w:val="a3"/>
        <w:spacing w:before="11"/>
        <w:rPr>
          <w:sz w:val="17"/>
        </w:rPr>
      </w:pPr>
      <w:r>
        <w:pict w14:anchorId="13BA12CD">
          <v:group id="_x0000_s4883" style="position:absolute;margin-left:47.85pt;margin-top:12.5pt;width:499.55pt;height:214.4pt;z-index:-15702016;mso-wrap-distance-left:0;mso-wrap-distance-right:0;mso-position-horizontal-relative:page" coordorigin="957,250" coordsize="9991,4288">
            <v:shape id="_x0000_s4890" style="position:absolute;left:964;top:257;width:9976;height:4273" coordorigin="965,258" coordsize="9976,4273" path="m10861,258r-9816,l1014,264r-26,17l971,307r-6,31l965,4450r6,31l988,4507r26,17l1045,4530r9816,l10892,4524r25,-17l10935,4481r6,-31l10941,338r-6,-31l10917,281r-25,-17l10861,258xe" fillcolor="#f5f5f5" stroked="f">
              <v:path arrowok="t"/>
            </v:shape>
            <v:shape id="_x0000_s4889" style="position:absolute;left:964;top:257;width:9976;height:4273" coordorigin="965,258" coordsize="9976,4273" path="m1045,258r9816,l10892,264r25,17l10935,307r6,31l10941,4450r-6,31l10917,4507r-25,17l10861,4530r-9816,l1014,4524r-26,-17l971,4481r-6,-31l965,338r6,-31l988,281r26,-17l1045,258xe" filled="f" strokecolor="#ccc">
              <v:path arrowok="t"/>
            </v:shape>
            <v:shape id="_x0000_s4888" type="#_x0000_t202" style="position:absolute;left:1184;top:477;width:5190;height:307" filled="f" stroked="f">
              <v:textbox inset="0,0,0,0">
                <w:txbxContent>
                  <w:p w14:paraId="1DBF8935" w14:textId="77777777" w:rsidR="00711A16" w:rsidRDefault="00711A16">
                    <w:pPr>
                      <w:spacing w:before="16"/>
                      <w:rPr>
                        <w:rFonts w:ascii="MS Gothic"/>
                      </w:rPr>
                    </w:pPr>
                    <w:r>
                      <w:rPr>
                        <w:rFonts w:ascii="MS Gothic"/>
                        <w:color w:val="333333"/>
                      </w:rPr>
                      <w:t>$ java -jar target/myproject-0.0.1-SNAPSHOT.jar</w:t>
                    </w:r>
                  </w:p>
                </w:txbxContent>
              </v:textbox>
            </v:shape>
            <v:shape id="_x0000_s4887" type="#_x0000_t202" style="position:absolute;left:1404;top:1067;width:1000;height:307" filled="f" stroked="f">
              <v:textbox inset="0,0,0,0">
                <w:txbxContent>
                  <w:p w14:paraId="7E932511" w14:textId="77777777" w:rsidR="00711A16" w:rsidRDefault="00711A16">
                    <w:pPr>
                      <w:tabs>
                        <w:tab w:val="left" w:pos="439"/>
                        <w:tab w:val="left" w:pos="979"/>
                      </w:tabs>
                      <w:spacing w:before="16"/>
                      <w:rPr>
                        <w:rFonts w:ascii="MS Gothic"/>
                      </w:rPr>
                    </w:pPr>
                    <w:r>
                      <w:rPr>
                        <w:rFonts w:ascii="MS Gothic"/>
                        <w:color w:val="333333"/>
                      </w:rPr>
                      <w:t>.</w:t>
                    </w:r>
                    <w:r>
                      <w:rPr>
                        <w:rFonts w:ascii="MS Gothic"/>
                        <w:color w:val="333333"/>
                      </w:rPr>
                      <w:tab/>
                    </w:r>
                    <w:r>
                      <w:rPr>
                        <w:rFonts w:ascii="MS Gothic"/>
                        <w:color w:val="333333"/>
                        <w:u w:val="single" w:color="323232"/>
                      </w:rPr>
                      <w:t xml:space="preserve"> </w:t>
                    </w:r>
                    <w:r>
                      <w:rPr>
                        <w:rFonts w:ascii="MS Gothic"/>
                        <w:color w:val="333333"/>
                        <w:u w:val="single" w:color="323232"/>
                      </w:rPr>
                      <w:tab/>
                    </w:r>
                  </w:p>
                </w:txbxContent>
              </v:textbox>
            </v:shape>
            <v:shape id="_x0000_s4886" type="#_x0000_t202" style="position:absolute;left:3384;top:1067;width:130;height:307" filled="f" stroked="f">
              <v:textbox inset="0,0,0,0">
                <w:txbxContent>
                  <w:p w14:paraId="5A26693B" w14:textId="77777777" w:rsidR="00711A16" w:rsidRDefault="00711A16">
                    <w:pPr>
                      <w:spacing w:before="16"/>
                      <w:rPr>
                        <w:rFonts w:ascii="MS Gothic"/>
                      </w:rPr>
                    </w:pPr>
                    <w:r>
                      <w:rPr>
                        <w:rFonts w:ascii="MS Gothic"/>
                        <w:color w:val="333333"/>
                      </w:rPr>
                      <w:t>_</w:t>
                    </w:r>
                  </w:p>
                </w:txbxContent>
              </v:textbox>
            </v:shape>
            <v:shape id="_x0000_s4885" type="#_x0000_t202" style="position:absolute;left:4814;top:1067;width:680;height:307" filled="f" stroked="f">
              <v:textbox inset="0,0,0,0">
                <w:txbxContent>
                  <w:p w14:paraId="258D05DC" w14:textId="77777777" w:rsidR="00711A16" w:rsidRDefault="00711A16">
                    <w:pPr>
                      <w:spacing w:before="16"/>
                      <w:rPr>
                        <w:rFonts w:ascii="MS Gothic"/>
                      </w:rPr>
                    </w:pPr>
                    <w:r>
                      <w:rPr>
                        <w:rFonts w:ascii="MS Gothic"/>
                        <w:color w:val="333333"/>
                        <w:u w:val="single" w:color="323232"/>
                      </w:rPr>
                      <w:t xml:space="preserve">   </w:t>
                    </w:r>
                    <w:r>
                      <w:rPr>
                        <w:rFonts w:ascii="MS Gothic"/>
                        <w:color w:val="333333"/>
                      </w:rPr>
                      <w:t>_ _</w:t>
                    </w:r>
                  </w:p>
                </w:txbxContent>
              </v:textbox>
            </v:shape>
            <v:shape id="_x0000_s4884" type="#_x0000_t202" style="position:absolute;left:1184;top:1362;width:7170;height:2961" filled="f" stroked="f">
              <v:textbox inset="0,0,0,0">
                <w:txbxContent>
                  <w:p w14:paraId="1B16A653" w14:textId="77777777" w:rsidR="00711A16" w:rsidRDefault="00711A16">
                    <w:pPr>
                      <w:tabs>
                        <w:tab w:val="left" w:pos="1089"/>
                      </w:tabs>
                      <w:spacing w:before="16" w:line="252" w:lineRule="auto"/>
                      <w:ind w:right="2659" w:firstLine="110"/>
                      <w:rPr>
                        <w:rFonts w:ascii="MS Gothic"/>
                      </w:rPr>
                    </w:pPr>
                    <w:r>
                      <w:rPr>
                        <w:rFonts w:ascii="MS Gothic"/>
                        <w:color w:val="333333"/>
                      </w:rPr>
                      <w:t>/\\ /</w:t>
                    </w:r>
                    <w:r>
                      <w:rPr>
                        <w:rFonts w:ascii="MS Gothic"/>
                        <w:color w:val="333333"/>
                        <w:u w:val="single" w:color="323232"/>
                      </w:rPr>
                      <w:tab/>
                    </w:r>
                    <w:r>
                      <w:rPr>
                        <w:rFonts w:ascii="MS Gothic"/>
                        <w:color w:val="333333"/>
                      </w:rPr>
                      <w:t xml:space="preserve">'_ </w:t>
                    </w:r>
                    <w:r>
                      <w:rPr>
                        <w:rFonts w:ascii="MS Gothic"/>
                        <w:color w:val="333333"/>
                        <w:u w:val="single" w:color="323232"/>
                      </w:rPr>
                      <w:t xml:space="preserve">   </w:t>
                    </w:r>
                    <w:r>
                      <w:rPr>
                        <w:rFonts w:ascii="MS Gothic"/>
                        <w:color w:val="333333"/>
                      </w:rPr>
                      <w:t xml:space="preserve">_ _(_)_ </w:t>
                    </w:r>
                    <w:r>
                      <w:rPr>
                        <w:rFonts w:ascii="MS Gothic"/>
                        <w:color w:val="333333"/>
                        <w:u w:val="single" w:color="323232"/>
                      </w:rPr>
                      <w:t xml:space="preserve">   </w:t>
                    </w:r>
                    <w:r>
                      <w:rPr>
                        <w:rFonts w:ascii="MS Gothic"/>
                        <w:color w:val="333333"/>
                      </w:rPr>
                      <w:t xml:space="preserve"> </w:t>
                    </w:r>
                    <w:r>
                      <w:rPr>
                        <w:rFonts w:ascii="MS Gothic"/>
                        <w:color w:val="333333"/>
                        <w:u w:val="single" w:color="323232"/>
                      </w:rPr>
                      <w:t xml:space="preserve">   </w:t>
                    </w:r>
                    <w:r>
                      <w:rPr>
                        <w:rFonts w:ascii="MS Gothic"/>
                        <w:color w:val="333333"/>
                      </w:rPr>
                      <w:t>_ \ \ \ \ ( ( )\</w:t>
                    </w:r>
                    <w:r>
                      <w:rPr>
                        <w:rFonts w:ascii="MS Gothic"/>
                        <w:color w:val="333333"/>
                        <w:u w:val="single" w:color="323232"/>
                      </w:rPr>
                      <w:tab/>
                    </w:r>
                    <w:r>
                      <w:rPr>
                        <w:rFonts w:ascii="MS Gothic"/>
                        <w:color w:val="333333"/>
                      </w:rPr>
                      <w:t>| '_ | '_| | '_ \/ _` | \ \ \ \</w:t>
                    </w:r>
                  </w:p>
                  <w:p w14:paraId="4EF78482" w14:textId="77777777" w:rsidR="00711A16" w:rsidRDefault="00711A16">
                    <w:pPr>
                      <w:tabs>
                        <w:tab w:val="left" w:pos="549"/>
                        <w:tab w:val="left" w:pos="659"/>
                        <w:tab w:val="left" w:pos="989"/>
                        <w:tab w:val="left" w:pos="1099"/>
                        <w:tab w:val="left" w:pos="3849"/>
                      </w:tabs>
                      <w:spacing w:line="252" w:lineRule="auto"/>
                      <w:ind w:left="220" w:right="2549" w:hanging="110"/>
                      <w:rPr>
                        <w:rFonts w:ascii="MS Gothic"/>
                      </w:rPr>
                    </w:pPr>
                    <w:r>
                      <w:rPr>
                        <w:rFonts w:ascii="MS Gothic"/>
                        <w:color w:val="333333"/>
                      </w:rPr>
                      <w:t>\\/</w:t>
                    </w:r>
                    <w:r>
                      <w:rPr>
                        <w:rFonts w:ascii="MS Gothic"/>
                        <w:color w:val="333333"/>
                      </w:rPr>
                      <w:tab/>
                    </w:r>
                    <w:r>
                      <w:rPr>
                        <w:rFonts w:ascii="MS Gothic"/>
                        <w:color w:val="333333"/>
                      </w:rPr>
                      <w:tab/>
                    </w:r>
                    <w:r>
                      <w:rPr>
                        <w:rFonts w:ascii="MS Gothic"/>
                        <w:color w:val="333333"/>
                        <w:u w:val="single" w:color="323232"/>
                      </w:rPr>
                      <w:tab/>
                    </w:r>
                    <w:r>
                      <w:rPr>
                        <w:rFonts w:ascii="MS Gothic"/>
                        <w:color w:val="333333"/>
                      </w:rPr>
                      <w:t>)| |_)| | | | | || (_| |</w:t>
                    </w:r>
                    <w:r>
                      <w:rPr>
                        <w:rFonts w:ascii="MS Gothic"/>
                        <w:color w:val="333333"/>
                      </w:rPr>
                      <w:tab/>
                      <w:t xml:space="preserve">) ) ) </w:t>
                    </w:r>
                    <w:r>
                      <w:rPr>
                        <w:rFonts w:ascii="MS Gothic"/>
                        <w:color w:val="333333"/>
                        <w:spacing w:val="-18"/>
                      </w:rPr>
                      <w:t xml:space="preserve">) </w:t>
                    </w:r>
                    <w:r>
                      <w:rPr>
                        <w:rFonts w:ascii="MS Gothic"/>
                        <w:color w:val="333333"/>
                      </w:rPr>
                      <w:t>'</w:t>
                    </w:r>
                    <w:r>
                      <w:rPr>
                        <w:rFonts w:ascii="MS Gothic"/>
                        <w:color w:val="333333"/>
                      </w:rPr>
                      <w:tab/>
                      <w:t>|</w:t>
                    </w:r>
                    <w:r>
                      <w:rPr>
                        <w:rFonts w:ascii="MS Gothic"/>
                        <w:color w:val="333333"/>
                        <w:u w:val="single" w:color="323232"/>
                      </w:rPr>
                      <w:tab/>
                    </w:r>
                    <w:r>
                      <w:rPr>
                        <w:rFonts w:ascii="MS Gothic"/>
                        <w:color w:val="333333"/>
                        <w:u w:val="single" w:color="323232"/>
                      </w:rPr>
                      <w:tab/>
                    </w:r>
                    <w:r>
                      <w:rPr>
                        <w:rFonts w:ascii="MS Gothic"/>
                        <w:color w:val="333333"/>
                        <w:u w:val="single" w:color="323232"/>
                      </w:rPr>
                      <w:tab/>
                    </w:r>
                    <w:r>
                      <w:rPr>
                        <w:rFonts w:ascii="MS Gothic"/>
                        <w:color w:val="333333"/>
                      </w:rPr>
                      <w:t>| .</w:t>
                    </w:r>
                    <w:r>
                      <w:rPr>
                        <w:rFonts w:ascii="MS Gothic"/>
                        <w:color w:val="333333"/>
                        <w:u w:val="single" w:color="323232"/>
                      </w:rPr>
                      <w:t xml:space="preserve"> </w:t>
                    </w:r>
                    <w:r>
                      <w:rPr>
                        <w:rFonts w:ascii="MS Gothic"/>
                        <w:color w:val="333333"/>
                      </w:rPr>
                      <w:t>|_| |_|_| |_\</w:t>
                    </w:r>
                    <w:r>
                      <w:rPr>
                        <w:rFonts w:ascii="MS Gothic"/>
                        <w:color w:val="333333"/>
                        <w:u w:val="single" w:color="323232"/>
                      </w:rPr>
                      <w:t xml:space="preserve"> </w:t>
                    </w:r>
                    <w:r>
                      <w:rPr>
                        <w:rFonts w:ascii="MS Gothic"/>
                        <w:color w:val="333333"/>
                      </w:rPr>
                      <w:t>, | / / / /</w:t>
                    </w:r>
                  </w:p>
                  <w:p w14:paraId="08A35E93" w14:textId="77777777" w:rsidR="00711A16" w:rsidRDefault="00711A16">
                    <w:pPr>
                      <w:tabs>
                        <w:tab w:val="left" w:pos="3409"/>
                      </w:tabs>
                      <w:spacing w:line="280" w:lineRule="exact"/>
                      <w:ind w:left="110"/>
                      <w:rPr>
                        <w:rFonts w:ascii="MS Gothic"/>
                      </w:rPr>
                    </w:pPr>
                    <w:r>
                      <w:rPr>
                        <w:rFonts w:ascii="MS Gothic"/>
                        <w:color w:val="333333"/>
                      </w:rPr>
                      <w:t>=========|_|==============|</w:t>
                    </w:r>
                    <w:r>
                      <w:rPr>
                        <w:rFonts w:ascii="MS Gothic"/>
                        <w:color w:val="333333"/>
                        <w:u w:val="single" w:color="323232"/>
                      </w:rPr>
                      <w:tab/>
                    </w:r>
                    <w:r>
                      <w:rPr>
                        <w:rFonts w:ascii="MS Gothic"/>
                        <w:color w:val="333333"/>
                      </w:rPr>
                      <w:t>/=/_/_/_/</w:t>
                    </w:r>
                  </w:p>
                  <w:p w14:paraId="7E6FDDBA" w14:textId="77777777" w:rsidR="00711A16" w:rsidRDefault="00711A16">
                    <w:pPr>
                      <w:tabs>
                        <w:tab w:val="left" w:pos="2199"/>
                      </w:tabs>
                      <w:spacing w:before="11"/>
                      <w:ind w:left="110"/>
                      <w:rPr>
                        <w:rFonts w:ascii="MS Gothic"/>
                      </w:rPr>
                    </w:pPr>
                    <w:proofErr w:type="gramStart"/>
                    <w:r>
                      <w:rPr>
                        <w:rFonts w:ascii="MS Gothic"/>
                        <w:color w:val="333333"/>
                      </w:rPr>
                      <w:t>::</w:t>
                    </w:r>
                    <w:proofErr w:type="gramEnd"/>
                    <w:r>
                      <w:rPr>
                        <w:rFonts w:ascii="MS Gothic"/>
                        <w:color w:val="333333"/>
                      </w:rPr>
                      <w:t xml:space="preserve"> Spring Boot ::</w:t>
                    </w:r>
                    <w:r>
                      <w:rPr>
                        <w:rFonts w:ascii="MS Gothic"/>
                        <w:color w:val="333333"/>
                      </w:rPr>
                      <w:tab/>
                      <w:t>(v2.3.4.RELEASE)</w:t>
                    </w:r>
                  </w:p>
                  <w:p w14:paraId="249A2ED8" w14:textId="77777777" w:rsidR="00711A16" w:rsidRDefault="00711A16">
                    <w:pPr>
                      <w:spacing w:before="13"/>
                      <w:rPr>
                        <w:rFonts w:ascii="MS Gothic"/>
                      </w:rPr>
                    </w:pPr>
                    <w:r>
                      <w:rPr>
                        <w:rFonts w:ascii="MS Gothic"/>
                        <w:color w:val="333333"/>
                      </w:rPr>
                      <w:t>....... . . .</w:t>
                    </w:r>
                  </w:p>
                  <w:p w14:paraId="4A03DB20" w14:textId="77777777" w:rsidR="00711A16" w:rsidRDefault="00711A16">
                    <w:pPr>
                      <w:spacing w:before="13"/>
                      <w:rPr>
                        <w:rFonts w:ascii="MS Gothic"/>
                      </w:rPr>
                    </w:pPr>
                    <w:r>
                      <w:rPr>
                        <w:rFonts w:ascii="MS Gothic"/>
                        <w:color w:val="333333"/>
                      </w:rPr>
                      <w:t>....... . . . (log output here)</w:t>
                    </w:r>
                  </w:p>
                  <w:p w14:paraId="10FA3F7B" w14:textId="77777777" w:rsidR="00711A16" w:rsidRDefault="00711A16">
                    <w:pPr>
                      <w:spacing w:before="13"/>
                      <w:rPr>
                        <w:rFonts w:ascii="MS Gothic"/>
                      </w:rPr>
                    </w:pPr>
                    <w:r>
                      <w:rPr>
                        <w:rFonts w:ascii="MS Gothic"/>
                        <w:color w:val="333333"/>
                      </w:rPr>
                      <w:t>....... . . .</w:t>
                    </w:r>
                  </w:p>
                  <w:p w14:paraId="6B6217E4" w14:textId="77777777" w:rsidR="00711A16" w:rsidRDefault="00711A16">
                    <w:pPr>
                      <w:spacing w:before="12"/>
                      <w:rPr>
                        <w:rFonts w:ascii="MS Gothic"/>
                      </w:rPr>
                    </w:pPr>
                    <w:r>
                      <w:rPr>
                        <w:rFonts w:ascii="MS Gothic"/>
                        <w:color w:val="333333"/>
                      </w:rPr>
                      <w:t>........ Started Example in 2.536 seconds (JVM running for 2.864)</w:t>
                    </w:r>
                  </w:p>
                </w:txbxContent>
              </v:textbox>
            </v:shape>
            <w10:wrap type="topAndBottom" anchorx="page"/>
          </v:group>
        </w:pict>
      </w:r>
    </w:p>
    <w:p w14:paraId="0EF0539A" w14:textId="77777777" w:rsidR="00A720EB" w:rsidRDefault="00A720EB">
      <w:pPr>
        <w:pStyle w:val="a3"/>
        <w:spacing w:before="11"/>
        <w:rPr>
          <w:sz w:val="9"/>
        </w:rPr>
      </w:pPr>
    </w:p>
    <w:p w14:paraId="34C3FAC9" w14:textId="77777777" w:rsidR="00A720EB" w:rsidRDefault="0030286B">
      <w:pPr>
        <w:pStyle w:val="a3"/>
        <w:spacing w:before="115"/>
        <w:ind w:left="124"/>
      </w:pPr>
      <w:r>
        <w:rPr>
          <w:color w:val="333333"/>
          <w:w w:val="110"/>
        </w:rPr>
        <w:t xml:space="preserve">As before, to exit the application, press </w:t>
      </w:r>
      <w:r>
        <w:rPr>
          <w:rFonts w:ascii="MS Gothic"/>
          <w:color w:val="B02045"/>
          <w:w w:val="110"/>
        </w:rPr>
        <w:t>ctrl-c</w:t>
      </w:r>
      <w:r>
        <w:rPr>
          <w:color w:val="333333"/>
          <w:w w:val="110"/>
        </w:rPr>
        <w:t>.</w:t>
      </w:r>
    </w:p>
    <w:p w14:paraId="5D78C191" w14:textId="77777777" w:rsidR="00A720EB" w:rsidRDefault="00A720EB">
      <w:pPr>
        <w:pStyle w:val="a3"/>
        <w:spacing w:before="8"/>
        <w:rPr>
          <w:sz w:val="30"/>
        </w:rPr>
      </w:pPr>
    </w:p>
    <w:p w14:paraId="7CA6BBA0" w14:textId="77777777" w:rsidR="00A720EB" w:rsidRDefault="0030286B">
      <w:pPr>
        <w:pStyle w:val="2"/>
        <w:numPr>
          <w:ilvl w:val="1"/>
          <w:numId w:val="78"/>
        </w:numPr>
        <w:tabs>
          <w:tab w:val="left" w:pos="832"/>
        </w:tabs>
        <w:spacing w:before="1"/>
      </w:pPr>
      <w:bookmarkStart w:id="61" w:name="2.5._What_to_Read_Next"/>
      <w:bookmarkStart w:id="62" w:name="_Toc54423677"/>
      <w:bookmarkEnd w:id="61"/>
      <w:r>
        <w:rPr>
          <w:color w:val="333333"/>
          <w:w w:val="110"/>
        </w:rPr>
        <w:t>What to Read</w:t>
      </w:r>
      <w:r>
        <w:rPr>
          <w:color w:val="333333"/>
          <w:spacing w:val="-20"/>
          <w:w w:val="110"/>
        </w:rPr>
        <w:t xml:space="preserve"> </w:t>
      </w:r>
      <w:r>
        <w:rPr>
          <w:color w:val="333333"/>
          <w:w w:val="110"/>
        </w:rPr>
        <w:t>Next</w:t>
      </w:r>
      <w:bookmarkEnd w:id="62"/>
    </w:p>
    <w:p w14:paraId="2378F52B" w14:textId="77777777" w:rsidR="00A720EB" w:rsidRDefault="0030286B">
      <w:pPr>
        <w:pStyle w:val="a3"/>
        <w:spacing w:before="253"/>
        <w:ind w:left="124"/>
      </w:pPr>
      <w:r>
        <w:rPr>
          <w:color w:val="333333"/>
          <w:w w:val="110"/>
        </w:rPr>
        <w:t>Hopefully, this section provided some of the Spring Boot basics and got you on your way to writing</w:t>
      </w:r>
    </w:p>
    <w:p w14:paraId="726238D3" w14:textId="77777777" w:rsidR="00A720EB" w:rsidRDefault="00A720EB">
      <w:pPr>
        <w:sectPr w:rsidR="00A720EB">
          <w:pgSz w:w="11910" w:h="16840"/>
          <w:pgMar w:top="700" w:right="840" w:bottom="520" w:left="840" w:header="0" w:footer="323" w:gutter="0"/>
          <w:cols w:space="720"/>
        </w:sectPr>
      </w:pPr>
    </w:p>
    <w:p w14:paraId="3D2AFE6C" w14:textId="77777777" w:rsidR="00A720EB" w:rsidRDefault="0030286B">
      <w:pPr>
        <w:pStyle w:val="a3"/>
        <w:spacing w:before="107" w:line="307" w:lineRule="auto"/>
        <w:ind w:left="124" w:right="122"/>
        <w:jc w:val="both"/>
      </w:pPr>
      <w:r>
        <w:rPr>
          <w:color w:val="333333"/>
          <w:w w:val="110"/>
        </w:rPr>
        <w:lastRenderedPageBreak/>
        <w:t xml:space="preserve">your own applications. If you are a task-oriented type of developer, you might want to jump over to </w:t>
      </w:r>
      <w:hyperlink r:id="rId64">
        <w:r>
          <w:rPr>
            <w:color w:val="418BCA"/>
            <w:w w:val="110"/>
          </w:rPr>
          <w:t xml:space="preserve">spring.io </w:t>
        </w:r>
      </w:hyperlink>
      <w:r>
        <w:rPr>
          <w:color w:val="333333"/>
          <w:w w:val="110"/>
        </w:rPr>
        <w:t xml:space="preserve">and check out some of the </w:t>
      </w:r>
      <w:hyperlink r:id="rId65">
        <w:r>
          <w:rPr>
            <w:color w:val="418BCA"/>
            <w:w w:val="110"/>
          </w:rPr>
          <w:t xml:space="preserve">getting started </w:t>
        </w:r>
      </w:hyperlink>
      <w:r>
        <w:rPr>
          <w:color w:val="333333"/>
          <w:w w:val="110"/>
        </w:rPr>
        <w:t>guides that solve specific “How do I do that with Spring?” problems. We also have Spring Boot-specific “</w:t>
      </w:r>
      <w:hyperlink w:anchor="_bookmark525" w:history="1">
        <w:r>
          <w:rPr>
            <w:color w:val="418BCA"/>
            <w:w w:val="110"/>
          </w:rPr>
          <w:t>How-to</w:t>
        </w:r>
      </w:hyperlink>
      <w:r>
        <w:rPr>
          <w:color w:val="333333"/>
          <w:w w:val="110"/>
        </w:rPr>
        <w:t>” reference documentation.</w:t>
      </w:r>
    </w:p>
    <w:p w14:paraId="356F542B" w14:textId="77777777" w:rsidR="00A720EB" w:rsidRDefault="0030286B">
      <w:pPr>
        <w:spacing w:before="220" w:line="266" w:lineRule="auto"/>
        <w:ind w:left="124" w:right="127"/>
        <w:jc w:val="both"/>
        <w:rPr>
          <w:sz w:val="21"/>
        </w:rPr>
      </w:pPr>
      <w:r>
        <w:rPr>
          <w:color w:val="333333"/>
          <w:w w:val="110"/>
          <w:sz w:val="21"/>
        </w:rPr>
        <w:t xml:space="preserve">Otherwise, the next logical step is to read </w:t>
      </w:r>
      <w:hyperlink w:anchor="_bookmark36" w:history="1">
        <w:r>
          <w:rPr>
            <w:rFonts w:ascii="Palatino Linotype"/>
            <w:i/>
            <w:color w:val="418BCA"/>
            <w:w w:val="110"/>
            <w:sz w:val="21"/>
          </w:rPr>
          <w:t>Using Spring Boot</w:t>
        </w:r>
      </w:hyperlink>
      <w:r>
        <w:rPr>
          <w:color w:val="333333"/>
          <w:w w:val="110"/>
          <w:sz w:val="21"/>
        </w:rPr>
        <w:t xml:space="preserve">. If you are really impatient, you </w:t>
      </w:r>
      <w:proofErr w:type="gramStart"/>
      <w:r>
        <w:rPr>
          <w:color w:val="333333"/>
          <w:w w:val="110"/>
          <w:sz w:val="21"/>
        </w:rPr>
        <w:t>could  also</w:t>
      </w:r>
      <w:proofErr w:type="gramEnd"/>
      <w:r>
        <w:rPr>
          <w:color w:val="333333"/>
          <w:w w:val="110"/>
          <w:sz w:val="21"/>
        </w:rPr>
        <w:t xml:space="preserve"> jump ahead and read about </w:t>
      </w:r>
      <w:hyperlink w:anchor="_bookmark84" w:history="1">
        <w:r>
          <w:rPr>
            <w:rFonts w:ascii="Palatino Linotype"/>
            <w:i/>
            <w:color w:val="418BCA"/>
            <w:w w:val="110"/>
            <w:sz w:val="21"/>
          </w:rPr>
          <w:t>Spring Boot</w:t>
        </w:r>
        <w:r>
          <w:rPr>
            <w:rFonts w:ascii="Palatino Linotype"/>
            <w:i/>
            <w:color w:val="418BCA"/>
            <w:spacing w:val="23"/>
            <w:w w:val="110"/>
            <w:sz w:val="21"/>
          </w:rPr>
          <w:t xml:space="preserve"> </w:t>
        </w:r>
        <w:r>
          <w:rPr>
            <w:rFonts w:ascii="Palatino Linotype"/>
            <w:i/>
            <w:color w:val="418BCA"/>
            <w:w w:val="110"/>
            <w:sz w:val="21"/>
          </w:rPr>
          <w:t>features</w:t>
        </w:r>
      </w:hyperlink>
      <w:r>
        <w:rPr>
          <w:color w:val="333333"/>
          <w:w w:val="110"/>
          <w:sz w:val="21"/>
        </w:rPr>
        <w:t>.</w:t>
      </w:r>
    </w:p>
    <w:p w14:paraId="0AFCD4C9" w14:textId="77777777" w:rsidR="00A720EB" w:rsidRDefault="00A720EB">
      <w:pPr>
        <w:spacing w:line="266" w:lineRule="auto"/>
        <w:jc w:val="both"/>
        <w:rPr>
          <w:sz w:val="21"/>
        </w:rPr>
        <w:sectPr w:rsidR="00A720EB">
          <w:pgSz w:w="11910" w:h="16840"/>
          <w:pgMar w:top="620" w:right="840" w:bottom="520" w:left="840" w:header="0" w:footer="323" w:gutter="0"/>
          <w:cols w:space="720"/>
        </w:sectPr>
      </w:pPr>
    </w:p>
    <w:p w14:paraId="207BCA5C" w14:textId="77777777" w:rsidR="00A720EB" w:rsidRDefault="0030286B">
      <w:pPr>
        <w:spacing w:before="90"/>
        <w:ind w:left="124"/>
        <w:jc w:val="both"/>
        <w:rPr>
          <w:rFonts w:ascii="Palatino Linotype"/>
          <w:b/>
          <w:sz w:val="44"/>
        </w:rPr>
      </w:pPr>
      <w:bookmarkStart w:id="63" w:name="Chapter_3._Using_Spring_Boot"/>
      <w:bookmarkEnd w:id="63"/>
      <w:r>
        <w:rPr>
          <w:rFonts w:ascii="Palatino Linotype"/>
          <w:b/>
          <w:color w:val="333333"/>
          <w:w w:val="110"/>
          <w:sz w:val="44"/>
        </w:rPr>
        <w:lastRenderedPageBreak/>
        <w:t>Chapter 3. Using Spring Boot</w:t>
      </w:r>
    </w:p>
    <w:p w14:paraId="480EECC2" w14:textId="77777777" w:rsidR="00A720EB" w:rsidRDefault="0030286B">
      <w:pPr>
        <w:pStyle w:val="a3"/>
        <w:spacing w:before="252" w:line="307" w:lineRule="auto"/>
        <w:ind w:left="124" w:right="127"/>
        <w:jc w:val="both"/>
      </w:pPr>
      <w:r>
        <w:rPr>
          <w:color w:val="333333"/>
          <w:w w:val="110"/>
        </w:rPr>
        <w:t xml:space="preserve">This section goes into more detail about how you should use Spring Boot. It covers topics such as build systems, auto-configuration, and how to run your applications. </w:t>
      </w:r>
      <w:proofErr w:type="gramStart"/>
      <w:r>
        <w:rPr>
          <w:color w:val="333333"/>
          <w:spacing w:val="-7"/>
          <w:w w:val="110"/>
        </w:rPr>
        <w:t xml:space="preserve">We  </w:t>
      </w:r>
      <w:r>
        <w:rPr>
          <w:color w:val="333333"/>
          <w:w w:val="110"/>
        </w:rPr>
        <w:t>also</w:t>
      </w:r>
      <w:proofErr w:type="gramEnd"/>
      <w:r>
        <w:rPr>
          <w:color w:val="333333"/>
          <w:w w:val="110"/>
        </w:rPr>
        <w:t xml:space="preserve"> cover some Spring</w:t>
      </w:r>
      <w:r>
        <w:rPr>
          <w:color w:val="333333"/>
          <w:spacing w:val="50"/>
          <w:w w:val="110"/>
        </w:rPr>
        <w:t xml:space="preserve"> </w:t>
      </w:r>
      <w:r>
        <w:rPr>
          <w:color w:val="333333"/>
          <w:w w:val="110"/>
        </w:rPr>
        <w:t xml:space="preserve">Boot best practices. Although there is nothing particularly special about Spring Boot (it is just another library that you can consume), there are a few </w:t>
      </w:r>
      <w:proofErr w:type="gramStart"/>
      <w:r>
        <w:rPr>
          <w:color w:val="333333"/>
          <w:w w:val="110"/>
        </w:rPr>
        <w:t>recommendations  that</w:t>
      </w:r>
      <w:proofErr w:type="gramEnd"/>
      <w:r>
        <w:rPr>
          <w:color w:val="333333"/>
          <w:w w:val="110"/>
        </w:rPr>
        <w:t>,  when  followed, make your development process a little</w:t>
      </w:r>
      <w:r>
        <w:rPr>
          <w:color w:val="333333"/>
          <w:spacing w:val="16"/>
          <w:w w:val="110"/>
        </w:rPr>
        <w:t xml:space="preserve"> </w:t>
      </w:r>
      <w:r>
        <w:rPr>
          <w:color w:val="333333"/>
          <w:w w:val="110"/>
        </w:rPr>
        <w:t>easier.</w:t>
      </w:r>
    </w:p>
    <w:p w14:paraId="7F9DB74C" w14:textId="77777777" w:rsidR="00A720EB" w:rsidRDefault="0030286B">
      <w:pPr>
        <w:pStyle w:val="a3"/>
        <w:spacing w:before="222" w:line="285" w:lineRule="auto"/>
        <w:ind w:left="124" w:right="123"/>
        <w:jc w:val="both"/>
      </w:pPr>
      <w:r>
        <w:rPr>
          <w:color w:val="333333"/>
          <w:w w:val="110"/>
        </w:rPr>
        <w:t xml:space="preserve">If you are starting out with Spring Boot, you should probably read the </w:t>
      </w:r>
      <w:hyperlink w:anchor="_bookmark9" w:history="1">
        <w:r>
          <w:rPr>
            <w:rFonts w:ascii="Palatino Linotype"/>
            <w:i/>
            <w:color w:val="418BCA"/>
            <w:w w:val="110"/>
          </w:rPr>
          <w:t xml:space="preserve">Getting Started </w:t>
        </w:r>
      </w:hyperlink>
      <w:r>
        <w:rPr>
          <w:color w:val="333333"/>
          <w:w w:val="110"/>
        </w:rPr>
        <w:t>guide before diving into this section.</w:t>
      </w:r>
    </w:p>
    <w:p w14:paraId="608DE33B" w14:textId="77777777" w:rsidR="00A720EB" w:rsidRDefault="00A720EB">
      <w:pPr>
        <w:pStyle w:val="a3"/>
        <w:spacing w:before="8"/>
        <w:rPr>
          <w:sz w:val="27"/>
        </w:rPr>
      </w:pPr>
    </w:p>
    <w:p w14:paraId="3E533BC1" w14:textId="77777777" w:rsidR="00A720EB" w:rsidRDefault="0030286B">
      <w:pPr>
        <w:pStyle w:val="2"/>
        <w:numPr>
          <w:ilvl w:val="1"/>
          <w:numId w:val="72"/>
        </w:numPr>
        <w:tabs>
          <w:tab w:val="left" w:pos="832"/>
        </w:tabs>
      </w:pPr>
      <w:bookmarkStart w:id="64" w:name="3.1._Build_Systems"/>
      <w:bookmarkStart w:id="65" w:name="_Toc54423678"/>
      <w:bookmarkEnd w:id="64"/>
      <w:r>
        <w:rPr>
          <w:color w:val="333333"/>
          <w:w w:val="105"/>
        </w:rPr>
        <w:t>Build</w:t>
      </w:r>
      <w:r>
        <w:rPr>
          <w:color w:val="333333"/>
          <w:spacing w:val="-3"/>
          <w:w w:val="105"/>
        </w:rPr>
        <w:t xml:space="preserve"> </w:t>
      </w:r>
      <w:r>
        <w:rPr>
          <w:color w:val="333333"/>
          <w:w w:val="105"/>
        </w:rPr>
        <w:t>Systems</w:t>
      </w:r>
      <w:bookmarkEnd w:id="65"/>
    </w:p>
    <w:p w14:paraId="1A28357B" w14:textId="77777777" w:rsidR="00A720EB" w:rsidRDefault="0030286B">
      <w:pPr>
        <w:pStyle w:val="a3"/>
        <w:spacing w:before="232" w:line="300" w:lineRule="auto"/>
        <w:ind w:left="124" w:right="124"/>
        <w:jc w:val="both"/>
      </w:pPr>
      <w:r>
        <w:rPr>
          <w:color w:val="333333"/>
          <w:w w:val="110"/>
        </w:rPr>
        <w:t xml:space="preserve">It is strongly recommended that you choose a build system that supports </w:t>
      </w:r>
      <w:hyperlink w:anchor="_bookmark38" w:history="1">
        <w:r>
          <w:rPr>
            <w:rFonts w:ascii="Palatino Linotype" w:hAnsi="Palatino Linotype"/>
            <w:i/>
            <w:color w:val="418BCA"/>
            <w:w w:val="110"/>
          </w:rPr>
          <w:t>dependency management</w:t>
        </w:r>
      </w:hyperlink>
      <w:r>
        <w:rPr>
          <w:rFonts w:ascii="Palatino Linotype" w:hAnsi="Palatino Linotype"/>
          <w:i/>
          <w:color w:val="418BCA"/>
          <w:w w:val="110"/>
        </w:rPr>
        <w:t xml:space="preserve">  </w:t>
      </w:r>
      <w:r>
        <w:rPr>
          <w:color w:val="333333"/>
          <w:w w:val="110"/>
        </w:rPr>
        <w:t xml:space="preserve">and that can consume artifacts published to the “Maven Central” </w:t>
      </w:r>
      <w:r>
        <w:rPr>
          <w:color w:val="333333"/>
          <w:spacing w:val="-3"/>
          <w:w w:val="110"/>
        </w:rPr>
        <w:t xml:space="preserve">repository. </w:t>
      </w:r>
      <w:r>
        <w:rPr>
          <w:color w:val="333333"/>
          <w:spacing w:val="-7"/>
          <w:w w:val="110"/>
        </w:rPr>
        <w:t xml:space="preserve">We </w:t>
      </w:r>
      <w:r>
        <w:rPr>
          <w:color w:val="333333"/>
          <w:w w:val="110"/>
        </w:rPr>
        <w:t>would recommend that you choose Maven or Gradle. It is possible to get Spring Boot to work with other build systems (Ant, for example), but they are not particularly well</w:t>
      </w:r>
      <w:r>
        <w:rPr>
          <w:color w:val="333333"/>
          <w:spacing w:val="30"/>
          <w:w w:val="110"/>
        </w:rPr>
        <w:t xml:space="preserve"> </w:t>
      </w:r>
      <w:r>
        <w:rPr>
          <w:color w:val="333333"/>
          <w:w w:val="110"/>
        </w:rPr>
        <w:t>supported.</w:t>
      </w:r>
    </w:p>
    <w:p w14:paraId="13986569" w14:textId="77777777" w:rsidR="00A720EB" w:rsidRDefault="00A720EB">
      <w:pPr>
        <w:pStyle w:val="a3"/>
        <w:spacing w:before="2"/>
        <w:rPr>
          <w:sz w:val="26"/>
        </w:rPr>
      </w:pPr>
    </w:p>
    <w:p w14:paraId="587729AF" w14:textId="77777777" w:rsidR="00A720EB" w:rsidRDefault="0030286B">
      <w:pPr>
        <w:pStyle w:val="3"/>
        <w:numPr>
          <w:ilvl w:val="2"/>
          <w:numId w:val="72"/>
        </w:numPr>
        <w:tabs>
          <w:tab w:val="left" w:pos="858"/>
        </w:tabs>
        <w:ind w:hanging="734"/>
      </w:pPr>
      <w:bookmarkStart w:id="66" w:name="3.1.1._Dependency_Management"/>
      <w:bookmarkStart w:id="67" w:name="_Toc54423679"/>
      <w:bookmarkEnd w:id="66"/>
      <w:r>
        <w:rPr>
          <w:color w:val="333333"/>
          <w:w w:val="110"/>
        </w:rPr>
        <w:t>Dependency</w:t>
      </w:r>
      <w:r>
        <w:rPr>
          <w:color w:val="333333"/>
          <w:spacing w:val="-6"/>
          <w:w w:val="110"/>
        </w:rPr>
        <w:t xml:space="preserve"> </w:t>
      </w:r>
      <w:r>
        <w:rPr>
          <w:color w:val="333333"/>
          <w:w w:val="110"/>
        </w:rPr>
        <w:t>Management</w:t>
      </w:r>
      <w:bookmarkEnd w:id="67"/>
    </w:p>
    <w:p w14:paraId="6E8715C8" w14:textId="77777777" w:rsidR="00A720EB" w:rsidRDefault="0030286B">
      <w:pPr>
        <w:pStyle w:val="a3"/>
        <w:spacing w:before="254" w:line="307" w:lineRule="auto"/>
        <w:ind w:left="124" w:right="132"/>
        <w:jc w:val="both"/>
      </w:pPr>
      <w:r>
        <w:rPr>
          <w:color w:val="333333"/>
          <w:w w:val="110"/>
        </w:rPr>
        <w:t xml:space="preserve">Each release of Spring Boot provides a curated list of dependencies that it supports. In practice, you do not need to provide a version for any of these dependencies in your build configuration, </w:t>
      </w:r>
      <w:proofErr w:type="gramStart"/>
      <w:r>
        <w:rPr>
          <w:color w:val="333333"/>
          <w:w w:val="110"/>
        </w:rPr>
        <w:t xml:space="preserve">as </w:t>
      </w:r>
      <w:r>
        <w:rPr>
          <w:color w:val="333333"/>
          <w:spacing w:val="50"/>
          <w:w w:val="110"/>
        </w:rPr>
        <w:t xml:space="preserve"> </w:t>
      </w:r>
      <w:r>
        <w:rPr>
          <w:color w:val="333333"/>
          <w:w w:val="110"/>
        </w:rPr>
        <w:t>Spring</w:t>
      </w:r>
      <w:proofErr w:type="gramEnd"/>
      <w:r>
        <w:rPr>
          <w:color w:val="333333"/>
          <w:w w:val="110"/>
        </w:rPr>
        <w:t xml:space="preserve"> Boot manages that for you. When you upgrade Spring Boot itself, these dependencies </w:t>
      </w:r>
      <w:proofErr w:type="gramStart"/>
      <w:r>
        <w:rPr>
          <w:color w:val="333333"/>
          <w:w w:val="110"/>
        </w:rPr>
        <w:t>are  upgraded</w:t>
      </w:r>
      <w:proofErr w:type="gramEnd"/>
      <w:r>
        <w:rPr>
          <w:color w:val="333333"/>
          <w:w w:val="110"/>
        </w:rPr>
        <w:t xml:space="preserve"> as well in a consistent</w:t>
      </w:r>
      <w:r>
        <w:rPr>
          <w:color w:val="333333"/>
          <w:spacing w:val="16"/>
          <w:w w:val="110"/>
        </w:rPr>
        <w:t xml:space="preserve"> </w:t>
      </w:r>
      <w:r>
        <w:rPr>
          <w:color w:val="333333"/>
          <w:spacing w:val="-7"/>
          <w:w w:val="110"/>
        </w:rPr>
        <w:t>way.</w:t>
      </w:r>
    </w:p>
    <w:p w14:paraId="4F5B997C" w14:textId="77777777" w:rsidR="00A720EB" w:rsidRDefault="00A720EB">
      <w:pPr>
        <w:pStyle w:val="a3"/>
        <w:spacing w:before="5"/>
        <w:rPr>
          <w:sz w:val="27"/>
        </w:rPr>
      </w:pPr>
    </w:p>
    <w:p w14:paraId="081BFF65" w14:textId="77777777" w:rsidR="00A720EB" w:rsidRDefault="00E10349">
      <w:pPr>
        <w:pStyle w:val="a3"/>
        <w:spacing w:before="1" w:line="307" w:lineRule="auto"/>
        <w:ind w:left="1564" w:right="462"/>
      </w:pPr>
      <w:r>
        <w:pict w14:anchorId="646FF785">
          <v:line id="_x0000_s4882" style="position:absolute;left:0;text-align:left;z-index:15755776;mso-position-horizontal-relative:page" from="108.25pt,-5.95pt" to="108.25pt,33.6pt" strokecolor="#ededed" strokeweight=".5pt">
            <w10:wrap anchorx="page"/>
          </v:line>
        </w:pict>
      </w:r>
      <w:r w:rsidR="0030286B">
        <w:rPr>
          <w:noProof/>
        </w:rPr>
        <w:drawing>
          <wp:anchor distT="0" distB="0" distL="0" distR="0" simplePos="0" relativeHeight="15756288" behindDoc="0" locked="0" layoutInCell="1" allowOverlap="1" wp14:anchorId="36779A3C" wp14:editId="2564BF5F">
            <wp:simplePos x="0" y="0"/>
            <wp:positionH relativeFrom="page">
              <wp:posOffset>844422</wp:posOffset>
            </wp:positionH>
            <wp:positionV relativeFrom="paragraph">
              <wp:posOffset>26581</wp:posOffset>
            </wp:positionV>
            <wp:extent cx="298450" cy="298450"/>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You can still specify a version and override Spring Boot’s recommendations if you need to do so.</w:t>
      </w:r>
    </w:p>
    <w:p w14:paraId="352174E6" w14:textId="77777777" w:rsidR="00A720EB" w:rsidRDefault="00A720EB">
      <w:pPr>
        <w:pStyle w:val="a3"/>
        <w:spacing w:before="4"/>
        <w:rPr>
          <w:sz w:val="27"/>
        </w:rPr>
      </w:pPr>
    </w:p>
    <w:p w14:paraId="5F8E5FAA" w14:textId="77777777" w:rsidR="00A720EB" w:rsidRDefault="0030286B">
      <w:pPr>
        <w:pStyle w:val="a3"/>
        <w:spacing w:line="290" w:lineRule="auto"/>
        <w:ind w:left="124" w:right="122"/>
        <w:jc w:val="both"/>
      </w:pPr>
      <w:r>
        <w:rPr>
          <w:color w:val="333333"/>
          <w:w w:val="110"/>
        </w:rPr>
        <w:t>The curated list contains all the Spring modules that you can use with Spring Boot as well as a</w:t>
      </w:r>
      <w:r>
        <w:rPr>
          <w:color w:val="333333"/>
          <w:spacing w:val="50"/>
          <w:w w:val="110"/>
        </w:rPr>
        <w:t xml:space="preserve"> </w:t>
      </w:r>
      <w:r>
        <w:rPr>
          <w:color w:val="333333"/>
          <w:w w:val="110"/>
        </w:rPr>
        <w:t xml:space="preserve">refined list of </w:t>
      </w:r>
      <w:proofErr w:type="gramStart"/>
      <w:r>
        <w:rPr>
          <w:color w:val="333333"/>
          <w:w w:val="110"/>
        </w:rPr>
        <w:t>third party</w:t>
      </w:r>
      <w:proofErr w:type="gramEnd"/>
      <w:r>
        <w:rPr>
          <w:color w:val="333333"/>
          <w:w w:val="110"/>
        </w:rPr>
        <w:t xml:space="preserve"> libraries. The list is available as a standard Bills of Materials (</w:t>
      </w:r>
      <w:r>
        <w:rPr>
          <w:rFonts w:ascii="MS Gothic"/>
          <w:color w:val="B02045"/>
          <w:w w:val="110"/>
        </w:rPr>
        <w:t>spring-boot- dependencies</w:t>
      </w:r>
      <w:r>
        <w:rPr>
          <w:color w:val="333333"/>
          <w:w w:val="110"/>
        </w:rPr>
        <w:t xml:space="preserve">) that can be used with both </w:t>
      </w:r>
      <w:hyperlink w:anchor="_bookmark39" w:history="1">
        <w:r>
          <w:rPr>
            <w:color w:val="418BCA"/>
            <w:w w:val="110"/>
          </w:rPr>
          <w:t xml:space="preserve">Maven </w:t>
        </w:r>
      </w:hyperlink>
      <w:r>
        <w:rPr>
          <w:color w:val="333333"/>
          <w:w w:val="110"/>
        </w:rPr>
        <w:t>and</w:t>
      </w:r>
      <w:r>
        <w:rPr>
          <w:color w:val="333333"/>
          <w:spacing w:val="20"/>
          <w:w w:val="110"/>
        </w:rPr>
        <w:t xml:space="preserve"> </w:t>
      </w:r>
      <w:hyperlink w:anchor="_bookmark40" w:history="1">
        <w:r>
          <w:rPr>
            <w:color w:val="418BCA"/>
            <w:w w:val="110"/>
          </w:rPr>
          <w:t>Gradle</w:t>
        </w:r>
      </w:hyperlink>
      <w:r>
        <w:rPr>
          <w:color w:val="333333"/>
          <w:w w:val="110"/>
        </w:rPr>
        <w:t>.</w:t>
      </w:r>
    </w:p>
    <w:p w14:paraId="73F8DADD" w14:textId="77777777" w:rsidR="00A720EB" w:rsidRDefault="00A720EB">
      <w:pPr>
        <w:pStyle w:val="a3"/>
        <w:spacing w:before="1"/>
        <w:rPr>
          <w:sz w:val="27"/>
        </w:rPr>
      </w:pPr>
    </w:p>
    <w:p w14:paraId="2CF155E2" w14:textId="77777777" w:rsidR="00A720EB" w:rsidRDefault="00E10349">
      <w:pPr>
        <w:pStyle w:val="a3"/>
        <w:spacing w:line="288" w:lineRule="auto"/>
        <w:ind w:left="1564" w:right="462"/>
      </w:pPr>
      <w:r>
        <w:pict w14:anchorId="250E759B">
          <v:line id="_x0000_s4881" style="position:absolute;left:0;text-align:left;z-index:15756800;mso-position-horizontal-relative:page" from="108.25pt,-6pt" to="108.25pt,33.55pt" strokecolor="#ededed" strokeweight=".5pt">
            <w10:wrap anchorx="page"/>
          </v:line>
        </w:pict>
      </w:r>
      <w:r w:rsidR="0030286B">
        <w:rPr>
          <w:noProof/>
        </w:rPr>
        <w:drawing>
          <wp:anchor distT="0" distB="0" distL="0" distR="0" simplePos="0" relativeHeight="15757312" behindDoc="0" locked="0" layoutInCell="1" allowOverlap="1" wp14:anchorId="36C289D6" wp14:editId="602E9801">
            <wp:simplePos x="0" y="0"/>
            <wp:positionH relativeFrom="page">
              <wp:posOffset>815847</wp:posOffset>
            </wp:positionH>
            <wp:positionV relativeFrom="paragraph">
              <wp:posOffset>22771</wp:posOffset>
            </wp:positionV>
            <wp:extent cx="355600" cy="304800"/>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 xml:space="preserve">Each release of Spring Boot is associated with a base version of the </w:t>
      </w:r>
      <w:proofErr w:type="gramStart"/>
      <w:r w:rsidR="0030286B">
        <w:rPr>
          <w:color w:val="333333"/>
          <w:w w:val="110"/>
        </w:rPr>
        <w:t>Spring  Framework</w:t>
      </w:r>
      <w:proofErr w:type="gramEnd"/>
      <w:r w:rsidR="0030286B">
        <w:rPr>
          <w:color w:val="333333"/>
          <w:w w:val="110"/>
        </w:rPr>
        <w:t xml:space="preserve">. We </w:t>
      </w:r>
      <w:r w:rsidR="0030286B">
        <w:rPr>
          <w:rFonts w:ascii="Palatino Linotype"/>
          <w:b/>
          <w:color w:val="333333"/>
          <w:w w:val="110"/>
        </w:rPr>
        <w:t xml:space="preserve">highly </w:t>
      </w:r>
      <w:r w:rsidR="0030286B">
        <w:rPr>
          <w:color w:val="333333"/>
          <w:w w:val="110"/>
        </w:rPr>
        <w:t>recommend that you not specify its version.</w:t>
      </w:r>
    </w:p>
    <w:p w14:paraId="417893D8" w14:textId="77777777" w:rsidR="00A720EB" w:rsidRDefault="00A720EB">
      <w:pPr>
        <w:pStyle w:val="a3"/>
        <w:spacing w:before="2"/>
        <w:rPr>
          <w:sz w:val="32"/>
        </w:rPr>
      </w:pPr>
    </w:p>
    <w:p w14:paraId="49CCB004" w14:textId="77777777" w:rsidR="00A720EB" w:rsidRDefault="0030286B">
      <w:pPr>
        <w:pStyle w:val="3"/>
        <w:numPr>
          <w:ilvl w:val="2"/>
          <w:numId w:val="72"/>
        </w:numPr>
        <w:tabs>
          <w:tab w:val="left" w:pos="858"/>
        </w:tabs>
        <w:ind w:hanging="734"/>
      </w:pPr>
      <w:bookmarkStart w:id="68" w:name="3.1.2._Maven"/>
      <w:bookmarkStart w:id="69" w:name="_Toc54423680"/>
      <w:bookmarkEnd w:id="68"/>
      <w:r>
        <w:rPr>
          <w:color w:val="333333"/>
          <w:w w:val="105"/>
        </w:rPr>
        <w:t>Maven</w:t>
      </w:r>
      <w:bookmarkEnd w:id="69"/>
    </w:p>
    <w:p w14:paraId="4C896E88" w14:textId="77777777" w:rsidR="00A720EB" w:rsidRDefault="0030286B">
      <w:pPr>
        <w:pStyle w:val="a3"/>
        <w:spacing w:before="254" w:line="307" w:lineRule="auto"/>
        <w:ind w:left="124" w:right="138"/>
        <w:jc w:val="both"/>
      </w:pPr>
      <w:r>
        <w:rPr>
          <w:color w:val="333333"/>
          <w:w w:val="110"/>
        </w:rPr>
        <w:t>To learn about using Spring Boot with Maven, please refer to the documentation for Spring Boot’s Maven plugin:</w:t>
      </w:r>
    </w:p>
    <w:p w14:paraId="4F623285" w14:textId="77777777" w:rsidR="00A720EB" w:rsidRDefault="0030286B">
      <w:pPr>
        <w:pStyle w:val="a6"/>
        <w:numPr>
          <w:ilvl w:val="3"/>
          <w:numId w:val="72"/>
        </w:numPr>
        <w:tabs>
          <w:tab w:val="left" w:pos="485"/>
        </w:tabs>
        <w:spacing w:before="241"/>
        <w:rPr>
          <w:sz w:val="21"/>
        </w:rPr>
      </w:pPr>
      <w:r>
        <w:rPr>
          <w:color w:val="333333"/>
          <w:w w:val="110"/>
          <w:sz w:val="21"/>
        </w:rPr>
        <w:t>Reference (</w:t>
      </w:r>
      <w:hyperlink r:id="rId66">
        <w:r>
          <w:rPr>
            <w:color w:val="418BCA"/>
            <w:w w:val="110"/>
            <w:sz w:val="21"/>
          </w:rPr>
          <w:t xml:space="preserve">HTML </w:t>
        </w:r>
      </w:hyperlink>
      <w:r>
        <w:rPr>
          <w:color w:val="333333"/>
          <w:w w:val="110"/>
          <w:sz w:val="21"/>
        </w:rPr>
        <w:t>and</w:t>
      </w:r>
      <w:r>
        <w:rPr>
          <w:color w:val="333333"/>
          <w:spacing w:val="8"/>
          <w:w w:val="110"/>
          <w:sz w:val="21"/>
        </w:rPr>
        <w:t xml:space="preserve"> </w:t>
      </w:r>
      <w:hyperlink r:id="rId67">
        <w:r>
          <w:rPr>
            <w:color w:val="418BCA"/>
            <w:w w:val="110"/>
            <w:sz w:val="21"/>
          </w:rPr>
          <w:t>PDF</w:t>
        </w:r>
      </w:hyperlink>
      <w:r>
        <w:rPr>
          <w:color w:val="333333"/>
          <w:w w:val="110"/>
          <w:sz w:val="21"/>
        </w:rPr>
        <w:t>)</w:t>
      </w:r>
    </w:p>
    <w:p w14:paraId="0538ED5D" w14:textId="77777777" w:rsidR="00A720EB" w:rsidRDefault="00E10349">
      <w:pPr>
        <w:pStyle w:val="a6"/>
        <w:numPr>
          <w:ilvl w:val="3"/>
          <w:numId w:val="72"/>
        </w:numPr>
        <w:tabs>
          <w:tab w:val="left" w:pos="485"/>
        </w:tabs>
        <w:spacing w:before="189"/>
        <w:rPr>
          <w:sz w:val="21"/>
        </w:rPr>
      </w:pPr>
      <w:hyperlink r:id="rId68">
        <w:r w:rsidR="0030286B">
          <w:rPr>
            <w:color w:val="418BCA"/>
            <w:w w:val="110"/>
            <w:sz w:val="21"/>
          </w:rPr>
          <w:t>API</w:t>
        </w:r>
      </w:hyperlink>
    </w:p>
    <w:p w14:paraId="73F6C27A" w14:textId="77777777" w:rsidR="00A720EB" w:rsidRDefault="00A720EB">
      <w:pPr>
        <w:pStyle w:val="a3"/>
        <w:spacing w:before="7"/>
        <w:rPr>
          <w:sz w:val="31"/>
        </w:rPr>
      </w:pPr>
    </w:p>
    <w:p w14:paraId="5C8FBD47" w14:textId="77777777" w:rsidR="00A720EB" w:rsidRDefault="0030286B">
      <w:pPr>
        <w:pStyle w:val="3"/>
        <w:numPr>
          <w:ilvl w:val="2"/>
          <w:numId w:val="72"/>
        </w:numPr>
        <w:tabs>
          <w:tab w:val="left" w:pos="858"/>
        </w:tabs>
        <w:ind w:hanging="734"/>
      </w:pPr>
      <w:bookmarkStart w:id="70" w:name="3.1.3._Gradle"/>
      <w:bookmarkStart w:id="71" w:name="_Toc54423681"/>
      <w:bookmarkEnd w:id="70"/>
      <w:r>
        <w:rPr>
          <w:color w:val="333333"/>
          <w:w w:val="110"/>
        </w:rPr>
        <w:t>Gradle</w:t>
      </w:r>
      <w:bookmarkEnd w:id="71"/>
    </w:p>
    <w:p w14:paraId="115D297C" w14:textId="77777777" w:rsidR="00A720EB" w:rsidRDefault="0030286B">
      <w:pPr>
        <w:pStyle w:val="a3"/>
        <w:spacing w:before="254" w:line="307" w:lineRule="auto"/>
        <w:ind w:left="124" w:right="138"/>
        <w:jc w:val="both"/>
      </w:pPr>
      <w:r>
        <w:rPr>
          <w:color w:val="333333"/>
          <w:w w:val="110"/>
        </w:rPr>
        <w:t>To learn about using Spring Boot with Gradle, please refer to the documentation for Spring Boot’s Gradle plugin:</w:t>
      </w:r>
    </w:p>
    <w:p w14:paraId="3E0D219C" w14:textId="77777777" w:rsidR="00A720EB" w:rsidRDefault="00A720EB">
      <w:pPr>
        <w:spacing w:line="307" w:lineRule="auto"/>
        <w:jc w:val="both"/>
        <w:sectPr w:rsidR="00A720EB">
          <w:pgSz w:w="11910" w:h="16840"/>
          <w:pgMar w:top="620" w:right="840" w:bottom="520" w:left="840" w:header="0" w:footer="323" w:gutter="0"/>
          <w:cols w:space="720"/>
        </w:sectPr>
      </w:pPr>
    </w:p>
    <w:p w14:paraId="18CF33EB" w14:textId="77777777" w:rsidR="00A720EB" w:rsidRDefault="0030286B">
      <w:pPr>
        <w:pStyle w:val="a6"/>
        <w:numPr>
          <w:ilvl w:val="3"/>
          <w:numId w:val="72"/>
        </w:numPr>
        <w:tabs>
          <w:tab w:val="left" w:pos="485"/>
        </w:tabs>
        <w:spacing w:before="102"/>
        <w:rPr>
          <w:sz w:val="21"/>
        </w:rPr>
      </w:pPr>
      <w:r>
        <w:rPr>
          <w:color w:val="333333"/>
          <w:w w:val="110"/>
          <w:sz w:val="21"/>
        </w:rPr>
        <w:lastRenderedPageBreak/>
        <w:t>Reference (</w:t>
      </w:r>
      <w:hyperlink r:id="rId69">
        <w:r>
          <w:rPr>
            <w:color w:val="418BCA"/>
            <w:w w:val="110"/>
            <w:sz w:val="21"/>
          </w:rPr>
          <w:t xml:space="preserve">HTML </w:t>
        </w:r>
      </w:hyperlink>
      <w:r>
        <w:rPr>
          <w:color w:val="333333"/>
          <w:w w:val="110"/>
          <w:sz w:val="21"/>
        </w:rPr>
        <w:t>and</w:t>
      </w:r>
      <w:r>
        <w:rPr>
          <w:color w:val="333333"/>
          <w:spacing w:val="8"/>
          <w:w w:val="110"/>
          <w:sz w:val="21"/>
        </w:rPr>
        <w:t xml:space="preserve"> </w:t>
      </w:r>
      <w:hyperlink r:id="rId70">
        <w:r>
          <w:rPr>
            <w:color w:val="418BCA"/>
            <w:w w:val="110"/>
            <w:sz w:val="21"/>
          </w:rPr>
          <w:t>PDF</w:t>
        </w:r>
      </w:hyperlink>
      <w:r>
        <w:rPr>
          <w:color w:val="333333"/>
          <w:w w:val="110"/>
          <w:sz w:val="21"/>
        </w:rPr>
        <w:t>)</w:t>
      </w:r>
    </w:p>
    <w:p w14:paraId="60077478" w14:textId="77777777" w:rsidR="00A720EB" w:rsidRDefault="00E10349">
      <w:pPr>
        <w:pStyle w:val="a6"/>
        <w:numPr>
          <w:ilvl w:val="3"/>
          <w:numId w:val="72"/>
        </w:numPr>
        <w:tabs>
          <w:tab w:val="left" w:pos="485"/>
        </w:tabs>
        <w:spacing w:before="189"/>
        <w:rPr>
          <w:sz w:val="21"/>
        </w:rPr>
      </w:pPr>
      <w:hyperlink r:id="rId71">
        <w:r w:rsidR="0030286B">
          <w:rPr>
            <w:color w:val="418BCA"/>
            <w:w w:val="110"/>
            <w:sz w:val="21"/>
          </w:rPr>
          <w:t>API</w:t>
        </w:r>
      </w:hyperlink>
    </w:p>
    <w:p w14:paraId="190BFEFB" w14:textId="77777777" w:rsidR="00A720EB" w:rsidRDefault="00A720EB">
      <w:pPr>
        <w:pStyle w:val="a3"/>
        <w:spacing w:before="7"/>
        <w:rPr>
          <w:sz w:val="31"/>
        </w:rPr>
      </w:pPr>
    </w:p>
    <w:p w14:paraId="7C419F6C" w14:textId="77777777" w:rsidR="00A720EB" w:rsidRDefault="0030286B">
      <w:pPr>
        <w:pStyle w:val="3"/>
        <w:numPr>
          <w:ilvl w:val="2"/>
          <w:numId w:val="72"/>
        </w:numPr>
        <w:tabs>
          <w:tab w:val="left" w:pos="858"/>
        </w:tabs>
        <w:ind w:hanging="734"/>
      </w:pPr>
      <w:bookmarkStart w:id="72" w:name="3.1.4._Ant"/>
      <w:bookmarkStart w:id="73" w:name="_Toc54423682"/>
      <w:bookmarkEnd w:id="72"/>
      <w:r>
        <w:rPr>
          <w:color w:val="333333"/>
          <w:w w:val="105"/>
        </w:rPr>
        <w:t>Ant</w:t>
      </w:r>
      <w:bookmarkEnd w:id="73"/>
    </w:p>
    <w:p w14:paraId="7C8DF3EF" w14:textId="77777777" w:rsidR="00A720EB" w:rsidRDefault="0030286B">
      <w:pPr>
        <w:pStyle w:val="a3"/>
        <w:spacing w:before="243" w:line="290" w:lineRule="auto"/>
        <w:ind w:left="124"/>
      </w:pPr>
      <w:r>
        <w:rPr>
          <w:color w:val="333333"/>
          <w:w w:val="110"/>
        </w:rPr>
        <w:t xml:space="preserve">It is possible to build a Spring Boot project using Apache Ant+Ivy. The </w:t>
      </w:r>
      <w:r>
        <w:rPr>
          <w:rFonts w:ascii="MS Gothic" w:hAnsi="MS Gothic"/>
          <w:color w:val="B02045"/>
          <w:w w:val="110"/>
        </w:rPr>
        <w:t xml:space="preserve">spring-boot-antlib </w:t>
      </w:r>
      <w:r>
        <w:rPr>
          <w:color w:val="333333"/>
          <w:w w:val="110"/>
        </w:rPr>
        <w:t>“AntLib” module is also available to help Ant create executable jars.</w:t>
      </w:r>
    </w:p>
    <w:p w14:paraId="6CD401D8" w14:textId="77777777" w:rsidR="00A720EB" w:rsidRDefault="0030286B">
      <w:pPr>
        <w:pStyle w:val="a3"/>
        <w:spacing w:before="248"/>
        <w:ind w:left="124"/>
      </w:pPr>
      <w:r>
        <w:rPr>
          <w:color w:val="333333"/>
          <w:w w:val="110"/>
        </w:rPr>
        <w:t xml:space="preserve">To declare dependencies, a typical </w:t>
      </w:r>
      <w:r>
        <w:rPr>
          <w:rFonts w:ascii="MS Gothic"/>
          <w:color w:val="B02045"/>
          <w:w w:val="110"/>
        </w:rPr>
        <w:t xml:space="preserve">ivy.xml </w:t>
      </w:r>
      <w:r>
        <w:rPr>
          <w:color w:val="333333"/>
          <w:w w:val="110"/>
        </w:rPr>
        <w:t>file looks something like the following example:</w:t>
      </w:r>
    </w:p>
    <w:p w14:paraId="1C57BC93" w14:textId="77777777" w:rsidR="00A720EB" w:rsidRDefault="00E10349">
      <w:pPr>
        <w:pStyle w:val="a3"/>
        <w:spacing w:before="11"/>
        <w:rPr>
          <w:sz w:val="17"/>
        </w:rPr>
      </w:pPr>
      <w:r>
        <w:pict w14:anchorId="768A4037">
          <v:group id="_x0000_s4877" style="position:absolute;margin-left:47.85pt;margin-top:12.5pt;width:499.55pt;height:199.65pt;z-index:-15699456;mso-wrap-distance-left:0;mso-wrap-distance-right:0;mso-position-horizontal-relative:page" coordorigin="957,250" coordsize="9991,3993">
            <v:shape id="_x0000_s4880" style="position:absolute;left:964;top:257;width:9976;height:3978" coordorigin="965,258" coordsize="9976,3978" path="m10861,258r-9816,l1014,264r-26,17l971,307r-6,31l965,4155r6,31l988,4212r26,17l1045,4235r9816,l10892,4229r25,-17l10935,4186r6,-31l10941,338r-6,-31l10917,281r-25,-17l10861,258xe" fillcolor="#f5f5f5" stroked="f">
              <v:path arrowok="t"/>
            </v:shape>
            <v:shape id="_x0000_s4879" style="position:absolute;left:964;top:257;width:9976;height:3978" coordorigin="965,258" coordsize="9976,3978" path="m1045,258r9816,l10892,264r25,17l10935,307r6,31l10941,4155r-6,31l10917,4212r-25,17l10861,4235r-9816,l1014,4229r-26,-17l971,4186r-6,-31l965,338r6,-31l988,281r26,-17l1045,258xe" filled="f" strokecolor="#ccc">
              <v:path arrowok="t"/>
            </v:shape>
            <v:shape id="_x0000_s4878" type="#_x0000_t202" style="position:absolute;left:984;top:273;width:9938;height:3947" filled="f" stroked="f">
              <v:textbox inset="0,0,0,0">
                <w:txbxContent>
                  <w:p w14:paraId="5AF447BB" w14:textId="77777777" w:rsidR="00711A16" w:rsidRDefault="00711A16">
                    <w:pPr>
                      <w:spacing w:before="221"/>
                      <w:ind w:left="200"/>
                      <w:rPr>
                        <w:rFonts w:ascii="MS Gothic"/>
                      </w:rPr>
                    </w:pPr>
                    <w:r>
                      <w:rPr>
                        <w:rFonts w:ascii="MS Gothic"/>
                        <w:color w:val="333333"/>
                      </w:rPr>
                      <w:t>&lt;ivy-module version="2.0"&gt;</w:t>
                    </w:r>
                  </w:p>
                  <w:p w14:paraId="6870B017" w14:textId="77777777" w:rsidR="00711A16" w:rsidRDefault="00711A16">
                    <w:pPr>
                      <w:spacing w:before="13"/>
                      <w:ind w:left="640"/>
                      <w:rPr>
                        <w:rFonts w:ascii="MS Gothic"/>
                      </w:rPr>
                    </w:pPr>
                    <w:r>
                      <w:rPr>
                        <w:rFonts w:ascii="MS Gothic"/>
                        <w:color w:val="333333"/>
                      </w:rPr>
                      <w:t>&lt;info organisation="</w:t>
                    </w:r>
                    <w:proofErr w:type="gramStart"/>
                    <w:r>
                      <w:rPr>
                        <w:rFonts w:ascii="MS Gothic"/>
                        <w:color w:val="333333"/>
                      </w:rPr>
                      <w:t>org.springframework</w:t>
                    </w:r>
                    <w:proofErr w:type="gramEnd"/>
                    <w:r>
                      <w:rPr>
                        <w:rFonts w:ascii="MS Gothic"/>
                        <w:color w:val="333333"/>
                      </w:rPr>
                      <w:t>.boot" module="spring-boot-sample-ant" /&gt;</w:t>
                    </w:r>
                  </w:p>
                  <w:p w14:paraId="4620566B" w14:textId="77777777" w:rsidR="00711A16" w:rsidRDefault="00711A16">
                    <w:pPr>
                      <w:spacing w:before="13"/>
                      <w:ind w:left="640"/>
                      <w:rPr>
                        <w:rFonts w:ascii="MS Gothic"/>
                      </w:rPr>
                    </w:pPr>
                    <w:r>
                      <w:rPr>
                        <w:rFonts w:ascii="MS Gothic"/>
                        <w:color w:val="333333"/>
                      </w:rPr>
                      <w:t>&lt;configurations&gt;</w:t>
                    </w:r>
                  </w:p>
                  <w:p w14:paraId="61A02E92" w14:textId="77777777" w:rsidR="00711A16" w:rsidRDefault="00711A16">
                    <w:pPr>
                      <w:spacing w:before="13"/>
                      <w:ind w:left="1080"/>
                      <w:rPr>
                        <w:rFonts w:ascii="MS Gothic"/>
                      </w:rPr>
                    </w:pPr>
                    <w:r>
                      <w:rPr>
                        <w:rFonts w:ascii="MS Gothic"/>
                        <w:color w:val="333333"/>
                      </w:rPr>
                      <w:t>&lt;conf name="compile" description="everything needed to compile this module" /&gt;</w:t>
                    </w:r>
                  </w:p>
                  <w:p w14:paraId="59277FDD" w14:textId="77777777" w:rsidR="00711A16" w:rsidRDefault="00711A16">
                    <w:pPr>
                      <w:spacing w:before="12" w:line="252" w:lineRule="auto"/>
                      <w:ind w:left="200" w:right="478" w:firstLine="880"/>
                      <w:rPr>
                        <w:rFonts w:ascii="MS Gothic"/>
                      </w:rPr>
                    </w:pPr>
                    <w:r>
                      <w:rPr>
                        <w:rFonts w:ascii="MS Gothic"/>
                        <w:color w:val="333333"/>
                      </w:rPr>
                      <w:t>&lt;conf name="runtime" extends="compile" description="everything needed to run this module" /&gt;</w:t>
                    </w:r>
                  </w:p>
                  <w:p w14:paraId="5B611F8B" w14:textId="77777777" w:rsidR="00711A16" w:rsidRDefault="00711A16">
                    <w:pPr>
                      <w:spacing w:line="280" w:lineRule="exact"/>
                      <w:ind w:left="640"/>
                      <w:rPr>
                        <w:rFonts w:ascii="MS Gothic"/>
                      </w:rPr>
                    </w:pPr>
                    <w:r>
                      <w:rPr>
                        <w:rFonts w:ascii="MS Gothic"/>
                        <w:color w:val="333333"/>
                      </w:rPr>
                      <w:t>&lt;/configurations&gt;</w:t>
                    </w:r>
                  </w:p>
                  <w:p w14:paraId="380404AB" w14:textId="77777777" w:rsidR="00711A16" w:rsidRDefault="00711A16">
                    <w:pPr>
                      <w:spacing w:before="13"/>
                      <w:ind w:left="640"/>
                      <w:rPr>
                        <w:rFonts w:ascii="MS Gothic"/>
                      </w:rPr>
                    </w:pPr>
                    <w:r>
                      <w:rPr>
                        <w:rFonts w:ascii="MS Gothic"/>
                        <w:color w:val="333333"/>
                      </w:rPr>
                      <w:t>&lt;dependencies&gt;</w:t>
                    </w:r>
                  </w:p>
                  <w:p w14:paraId="0D33E08D" w14:textId="77777777" w:rsidR="00711A16" w:rsidRDefault="00711A16">
                    <w:pPr>
                      <w:spacing w:before="13" w:line="252" w:lineRule="auto"/>
                      <w:ind w:left="1520" w:right="1264" w:hanging="440"/>
                      <w:rPr>
                        <w:rFonts w:ascii="MS Gothic"/>
                      </w:rPr>
                    </w:pPr>
                    <w:r>
                      <w:rPr>
                        <w:rFonts w:ascii="MS Gothic"/>
                        <w:color w:val="333333"/>
                      </w:rPr>
                      <w:t>&lt;dependency org="</w:t>
                    </w:r>
                    <w:proofErr w:type="gramStart"/>
                    <w:r>
                      <w:rPr>
                        <w:rFonts w:ascii="MS Gothic"/>
                        <w:color w:val="333333"/>
                      </w:rPr>
                      <w:t>org.springframework</w:t>
                    </w:r>
                    <w:proofErr w:type="gramEnd"/>
                    <w:r>
                      <w:rPr>
                        <w:rFonts w:ascii="MS Gothic"/>
                        <w:color w:val="333333"/>
                      </w:rPr>
                      <w:t>.boot" name="spring-boot-starter" rev="${spring-boot.version}" conf="compile" /&gt;</w:t>
                    </w:r>
                  </w:p>
                  <w:p w14:paraId="1A3A3F31" w14:textId="77777777" w:rsidR="00711A16" w:rsidRDefault="00711A16">
                    <w:pPr>
                      <w:spacing w:line="280" w:lineRule="exact"/>
                      <w:ind w:left="640"/>
                      <w:rPr>
                        <w:rFonts w:ascii="MS Gothic"/>
                      </w:rPr>
                    </w:pPr>
                    <w:r>
                      <w:rPr>
                        <w:rFonts w:ascii="MS Gothic"/>
                        <w:color w:val="333333"/>
                      </w:rPr>
                      <w:t>&lt;/dependencies&gt;</w:t>
                    </w:r>
                  </w:p>
                  <w:p w14:paraId="4796F698" w14:textId="77777777" w:rsidR="00711A16" w:rsidRDefault="00711A16">
                    <w:pPr>
                      <w:spacing w:before="13"/>
                      <w:ind w:left="200"/>
                      <w:rPr>
                        <w:rFonts w:ascii="MS Gothic"/>
                      </w:rPr>
                    </w:pPr>
                    <w:r>
                      <w:rPr>
                        <w:rFonts w:ascii="MS Gothic"/>
                        <w:color w:val="333333"/>
                      </w:rPr>
                      <w:t>&lt;/ivy-module&gt;</w:t>
                    </w:r>
                  </w:p>
                </w:txbxContent>
              </v:textbox>
            </v:shape>
            <w10:wrap type="topAndBottom" anchorx="page"/>
          </v:group>
        </w:pict>
      </w:r>
    </w:p>
    <w:p w14:paraId="6CEA05AD" w14:textId="77777777" w:rsidR="00A720EB" w:rsidRDefault="00A720EB">
      <w:pPr>
        <w:pStyle w:val="a3"/>
        <w:spacing w:before="11"/>
        <w:rPr>
          <w:sz w:val="9"/>
        </w:rPr>
      </w:pPr>
    </w:p>
    <w:p w14:paraId="68E8B97A" w14:textId="77777777" w:rsidR="00A720EB" w:rsidRDefault="0030286B">
      <w:pPr>
        <w:pStyle w:val="a3"/>
        <w:spacing w:before="115"/>
        <w:ind w:left="124"/>
      </w:pPr>
      <w:r>
        <w:rPr>
          <w:color w:val="333333"/>
          <w:w w:val="110"/>
        </w:rPr>
        <w:t xml:space="preserve">A typical </w:t>
      </w:r>
      <w:r>
        <w:rPr>
          <w:rFonts w:ascii="MS Gothic"/>
          <w:color w:val="B02045"/>
          <w:w w:val="110"/>
        </w:rPr>
        <w:t xml:space="preserve">build.xml </w:t>
      </w:r>
      <w:r>
        <w:rPr>
          <w:color w:val="333333"/>
          <w:w w:val="110"/>
        </w:rPr>
        <w:t>looks like the following example:</w:t>
      </w:r>
    </w:p>
    <w:p w14:paraId="4320726F" w14:textId="77777777" w:rsidR="00A720EB" w:rsidRDefault="00A720EB">
      <w:pPr>
        <w:sectPr w:rsidR="00A720EB">
          <w:pgSz w:w="11910" w:h="16840"/>
          <w:pgMar w:top="640" w:right="840" w:bottom="520" w:left="840" w:header="0" w:footer="323" w:gutter="0"/>
          <w:cols w:space="720"/>
        </w:sectPr>
      </w:pPr>
    </w:p>
    <w:p w14:paraId="4ED2E27E" w14:textId="77777777" w:rsidR="00A720EB" w:rsidRDefault="00E10349">
      <w:pPr>
        <w:pStyle w:val="a3"/>
        <w:ind w:left="144"/>
        <w:rPr>
          <w:sz w:val="20"/>
        </w:rPr>
      </w:pPr>
      <w:r>
        <w:rPr>
          <w:sz w:val="20"/>
        </w:rPr>
      </w:r>
      <w:r>
        <w:rPr>
          <w:sz w:val="20"/>
        </w:rPr>
        <w:pict w14:anchorId="7E135413">
          <v:shape id="_x0000_s5013" type="#_x0000_t202" style="width:496.9pt;height:521.65pt;mso-left-percent:-10001;mso-top-percent:-10001;mso-position-horizontal:absolute;mso-position-horizontal-relative:char;mso-position-vertical:absolute;mso-position-vertical-relative:line;mso-left-percent:-10001;mso-top-percent:-10001" filled="f" stroked="f">
            <v:textbox inset="0,0,0,0">
              <w:txbxContent>
                <w:p w14:paraId="73C0F77B" w14:textId="77777777" w:rsidR="00711A16" w:rsidRDefault="00711A16">
                  <w:pPr>
                    <w:spacing w:before="221"/>
                    <w:ind w:left="200"/>
                    <w:rPr>
                      <w:rFonts w:ascii="MS Gothic"/>
                    </w:rPr>
                  </w:pPr>
                  <w:r>
                    <w:rPr>
                      <w:rFonts w:ascii="MS Gothic"/>
                      <w:color w:val="333333"/>
                    </w:rPr>
                    <w:t>&lt;project</w:t>
                  </w:r>
                </w:p>
                <w:p w14:paraId="4CE3217E" w14:textId="77777777" w:rsidR="00711A16" w:rsidRDefault="00711A16">
                  <w:pPr>
                    <w:spacing w:before="13"/>
                    <w:ind w:left="640"/>
                    <w:rPr>
                      <w:rFonts w:ascii="MS Gothic"/>
                    </w:rPr>
                  </w:pPr>
                  <w:proofErr w:type="gramStart"/>
                  <w:r>
                    <w:rPr>
                      <w:rFonts w:ascii="MS Gothic"/>
                      <w:color w:val="333333"/>
                    </w:rPr>
                    <w:t>xmlns:ivy</w:t>
                  </w:r>
                  <w:proofErr w:type="gramEnd"/>
                  <w:r>
                    <w:rPr>
                      <w:rFonts w:ascii="MS Gothic"/>
                      <w:color w:val="333333"/>
                    </w:rPr>
                    <w:t>="antlib:org.apache.ivy.ant"</w:t>
                  </w:r>
                </w:p>
                <w:p w14:paraId="4088C9B2" w14:textId="77777777" w:rsidR="00711A16" w:rsidRDefault="00711A16">
                  <w:pPr>
                    <w:spacing w:before="13" w:line="252" w:lineRule="auto"/>
                    <w:ind w:left="640" w:right="3228"/>
                    <w:rPr>
                      <w:rFonts w:ascii="MS Gothic"/>
                    </w:rPr>
                  </w:pPr>
                  <w:proofErr w:type="gramStart"/>
                  <w:r>
                    <w:rPr>
                      <w:rFonts w:ascii="MS Gothic"/>
                      <w:color w:val="333333"/>
                    </w:rPr>
                    <w:t>xmlns:spring</w:t>
                  </w:r>
                  <w:proofErr w:type="gramEnd"/>
                  <w:r>
                    <w:rPr>
                      <w:rFonts w:ascii="MS Gothic"/>
                      <w:color w:val="333333"/>
                    </w:rPr>
                    <w:t>-boot="antlib:org.springframework.boot.ant" name="myapp" default="build"&gt;</w:t>
                  </w:r>
                </w:p>
                <w:p w14:paraId="5AAE9338" w14:textId="77777777" w:rsidR="00711A16" w:rsidRDefault="00711A16">
                  <w:pPr>
                    <w:pStyle w:val="a3"/>
                    <w:spacing w:before="10"/>
                    <w:rPr>
                      <w:rFonts w:ascii="MS Gothic"/>
                      <w:sz w:val="22"/>
                    </w:rPr>
                  </w:pPr>
                </w:p>
                <w:p w14:paraId="7652B836" w14:textId="77777777" w:rsidR="00711A16" w:rsidRDefault="00711A16">
                  <w:pPr>
                    <w:ind w:left="640"/>
                    <w:rPr>
                      <w:rFonts w:ascii="MS Gothic"/>
                    </w:rPr>
                  </w:pPr>
                  <w:r>
                    <w:rPr>
                      <w:rFonts w:ascii="MS Gothic"/>
                      <w:color w:val="333333"/>
                    </w:rPr>
                    <w:t>&lt;property name="spring-</w:t>
                  </w:r>
                  <w:proofErr w:type="gramStart"/>
                  <w:r>
                    <w:rPr>
                      <w:rFonts w:ascii="MS Gothic"/>
                      <w:color w:val="333333"/>
                    </w:rPr>
                    <w:t>boot.version</w:t>
                  </w:r>
                  <w:proofErr w:type="gramEnd"/>
                  <w:r>
                    <w:rPr>
                      <w:rFonts w:ascii="MS Gothic"/>
                      <w:color w:val="333333"/>
                    </w:rPr>
                    <w:t>" value="2.3.4.RELEASE" /&gt;</w:t>
                  </w:r>
                </w:p>
                <w:p w14:paraId="5E71ECE5" w14:textId="77777777" w:rsidR="00711A16" w:rsidRDefault="00711A16">
                  <w:pPr>
                    <w:pStyle w:val="a3"/>
                    <w:rPr>
                      <w:rFonts w:ascii="MS Gothic"/>
                      <w:sz w:val="24"/>
                    </w:rPr>
                  </w:pPr>
                </w:p>
                <w:p w14:paraId="539A0201" w14:textId="77777777" w:rsidR="00711A16" w:rsidRDefault="00711A16">
                  <w:pPr>
                    <w:ind w:left="640"/>
                    <w:rPr>
                      <w:rFonts w:ascii="MS Gothic"/>
                    </w:rPr>
                  </w:pPr>
                  <w:r>
                    <w:rPr>
                      <w:rFonts w:ascii="MS Gothic"/>
                      <w:color w:val="333333"/>
                    </w:rPr>
                    <w:t>&lt;target name="resolve" description="--&gt; retrieve dependencies with ivy"&gt;</w:t>
                  </w:r>
                </w:p>
                <w:p w14:paraId="564BC105" w14:textId="77777777" w:rsidR="00711A16" w:rsidRDefault="00711A16">
                  <w:pPr>
                    <w:spacing w:before="13"/>
                    <w:ind w:left="1080"/>
                    <w:rPr>
                      <w:rFonts w:ascii="MS Gothic"/>
                    </w:rPr>
                  </w:pPr>
                  <w:r>
                    <w:rPr>
                      <w:rFonts w:ascii="MS Gothic"/>
                      <w:color w:val="333333"/>
                    </w:rPr>
                    <w:t>&lt;</w:t>
                  </w:r>
                  <w:proofErr w:type="gramStart"/>
                  <w:r>
                    <w:rPr>
                      <w:rFonts w:ascii="MS Gothic"/>
                      <w:color w:val="333333"/>
                    </w:rPr>
                    <w:t>ivy:retrieve</w:t>
                  </w:r>
                  <w:proofErr w:type="gramEnd"/>
                  <w:r>
                    <w:rPr>
                      <w:rFonts w:ascii="MS Gothic"/>
                      <w:color w:val="333333"/>
                    </w:rPr>
                    <w:t xml:space="preserve"> pattern="lib/[conf]/[artifact]-[type]-[revision].[ext]" /&gt;</w:t>
                  </w:r>
                </w:p>
                <w:p w14:paraId="3338C2CB" w14:textId="77777777" w:rsidR="00711A16" w:rsidRDefault="00711A16">
                  <w:pPr>
                    <w:spacing w:before="13"/>
                    <w:ind w:left="640"/>
                    <w:rPr>
                      <w:rFonts w:ascii="MS Gothic"/>
                    </w:rPr>
                  </w:pPr>
                  <w:r>
                    <w:rPr>
                      <w:rFonts w:ascii="MS Gothic"/>
                      <w:color w:val="333333"/>
                    </w:rPr>
                    <w:t>&lt;/target&gt;</w:t>
                  </w:r>
                </w:p>
                <w:p w14:paraId="2395C7C1" w14:textId="77777777" w:rsidR="00711A16" w:rsidRDefault="00711A16">
                  <w:pPr>
                    <w:pStyle w:val="a3"/>
                    <w:rPr>
                      <w:rFonts w:ascii="MS Gothic"/>
                      <w:sz w:val="24"/>
                    </w:rPr>
                  </w:pPr>
                </w:p>
                <w:p w14:paraId="441D0111" w14:textId="77777777" w:rsidR="00711A16" w:rsidRDefault="00711A16">
                  <w:pPr>
                    <w:ind w:left="640"/>
                    <w:rPr>
                      <w:rFonts w:ascii="MS Gothic"/>
                    </w:rPr>
                  </w:pPr>
                  <w:r>
                    <w:rPr>
                      <w:rFonts w:ascii="MS Gothic"/>
                      <w:color w:val="333333"/>
                    </w:rPr>
                    <w:t>&lt;target name="classpaths" depends="resolve"&gt;</w:t>
                  </w:r>
                </w:p>
                <w:p w14:paraId="27BECDBB" w14:textId="77777777" w:rsidR="00711A16" w:rsidRDefault="00711A16">
                  <w:pPr>
                    <w:spacing w:before="13"/>
                    <w:ind w:left="1080"/>
                    <w:rPr>
                      <w:rFonts w:ascii="MS Gothic"/>
                    </w:rPr>
                  </w:pPr>
                  <w:r>
                    <w:rPr>
                      <w:rFonts w:ascii="MS Gothic"/>
                      <w:color w:val="333333"/>
                    </w:rPr>
                    <w:t>&lt;path id="</w:t>
                  </w:r>
                  <w:proofErr w:type="gramStart"/>
                  <w:r>
                    <w:rPr>
                      <w:rFonts w:ascii="MS Gothic"/>
                      <w:color w:val="333333"/>
                    </w:rPr>
                    <w:t>compile.classpath</w:t>
                  </w:r>
                  <w:proofErr w:type="gramEnd"/>
                  <w:r>
                    <w:rPr>
                      <w:rFonts w:ascii="MS Gothic"/>
                      <w:color w:val="333333"/>
                    </w:rPr>
                    <w:t>"&gt;</w:t>
                  </w:r>
                </w:p>
                <w:p w14:paraId="5DE74FA1" w14:textId="77777777" w:rsidR="00711A16" w:rsidRDefault="00711A16">
                  <w:pPr>
                    <w:spacing w:before="13"/>
                    <w:ind w:left="1520"/>
                    <w:rPr>
                      <w:rFonts w:ascii="MS Gothic"/>
                    </w:rPr>
                  </w:pPr>
                  <w:r>
                    <w:rPr>
                      <w:rFonts w:ascii="MS Gothic"/>
                      <w:color w:val="333333"/>
                    </w:rPr>
                    <w:t>&lt;fileset dir="lib/compile" includes="*.jar" /&gt;</w:t>
                  </w:r>
                </w:p>
                <w:p w14:paraId="0DE6C562" w14:textId="77777777" w:rsidR="00711A16" w:rsidRDefault="00711A16">
                  <w:pPr>
                    <w:spacing w:before="13"/>
                    <w:ind w:left="1080"/>
                    <w:rPr>
                      <w:rFonts w:ascii="MS Gothic"/>
                    </w:rPr>
                  </w:pPr>
                  <w:r>
                    <w:rPr>
                      <w:rFonts w:ascii="MS Gothic"/>
                      <w:color w:val="333333"/>
                    </w:rPr>
                    <w:t>&lt;/path&gt;</w:t>
                  </w:r>
                </w:p>
                <w:p w14:paraId="692EF7AC" w14:textId="77777777" w:rsidR="00711A16" w:rsidRDefault="00711A16">
                  <w:pPr>
                    <w:spacing w:before="13"/>
                    <w:ind w:left="640"/>
                    <w:rPr>
                      <w:rFonts w:ascii="MS Gothic"/>
                    </w:rPr>
                  </w:pPr>
                  <w:r>
                    <w:rPr>
                      <w:rFonts w:ascii="MS Gothic"/>
                      <w:color w:val="333333"/>
                    </w:rPr>
                    <w:t>&lt;/target&gt;</w:t>
                  </w:r>
                </w:p>
                <w:p w14:paraId="49E06EBB" w14:textId="77777777" w:rsidR="00711A16" w:rsidRDefault="00711A16">
                  <w:pPr>
                    <w:pStyle w:val="a3"/>
                    <w:rPr>
                      <w:rFonts w:ascii="MS Gothic"/>
                      <w:sz w:val="24"/>
                    </w:rPr>
                  </w:pPr>
                </w:p>
                <w:p w14:paraId="4204CF54" w14:textId="77777777" w:rsidR="00711A16" w:rsidRDefault="00711A16">
                  <w:pPr>
                    <w:ind w:left="640"/>
                    <w:rPr>
                      <w:rFonts w:ascii="MS Gothic"/>
                    </w:rPr>
                  </w:pPr>
                  <w:r>
                    <w:rPr>
                      <w:rFonts w:ascii="MS Gothic"/>
                      <w:color w:val="333333"/>
                    </w:rPr>
                    <w:t>&lt;target name="init" depends="classpaths"&gt;</w:t>
                  </w:r>
                </w:p>
                <w:p w14:paraId="4D92A9B9" w14:textId="77777777" w:rsidR="00711A16" w:rsidRDefault="00711A16">
                  <w:pPr>
                    <w:spacing w:before="13"/>
                    <w:ind w:left="1080"/>
                    <w:rPr>
                      <w:rFonts w:ascii="MS Gothic"/>
                    </w:rPr>
                  </w:pPr>
                  <w:r>
                    <w:rPr>
                      <w:rFonts w:ascii="MS Gothic"/>
                      <w:color w:val="333333"/>
                    </w:rPr>
                    <w:t>&lt;mkdir dir="build/classes" /&gt;</w:t>
                  </w:r>
                </w:p>
                <w:p w14:paraId="0E8600BE" w14:textId="77777777" w:rsidR="00711A16" w:rsidRDefault="00711A16">
                  <w:pPr>
                    <w:spacing w:before="13"/>
                    <w:ind w:left="640"/>
                    <w:rPr>
                      <w:rFonts w:ascii="MS Gothic"/>
                    </w:rPr>
                  </w:pPr>
                  <w:r>
                    <w:rPr>
                      <w:rFonts w:ascii="MS Gothic"/>
                      <w:color w:val="333333"/>
                    </w:rPr>
                    <w:t>&lt;/target&gt;</w:t>
                  </w:r>
                </w:p>
                <w:p w14:paraId="45D72708" w14:textId="77777777" w:rsidR="00711A16" w:rsidRDefault="00711A16">
                  <w:pPr>
                    <w:pStyle w:val="a3"/>
                    <w:rPr>
                      <w:rFonts w:ascii="MS Gothic"/>
                      <w:sz w:val="24"/>
                    </w:rPr>
                  </w:pPr>
                </w:p>
                <w:p w14:paraId="6A01259C" w14:textId="77777777" w:rsidR="00711A16" w:rsidRDefault="00711A16">
                  <w:pPr>
                    <w:ind w:left="640"/>
                    <w:rPr>
                      <w:rFonts w:ascii="MS Gothic"/>
                    </w:rPr>
                  </w:pPr>
                  <w:r>
                    <w:rPr>
                      <w:rFonts w:ascii="MS Gothic"/>
                      <w:color w:val="333333"/>
                    </w:rPr>
                    <w:t>&lt;target name="compile" depends="init" description="compile"&gt;</w:t>
                  </w:r>
                </w:p>
                <w:p w14:paraId="490CCB5B" w14:textId="77777777" w:rsidR="00711A16" w:rsidRDefault="00711A16">
                  <w:pPr>
                    <w:spacing w:before="13" w:line="252" w:lineRule="auto"/>
                    <w:ind w:left="200" w:right="3008" w:firstLine="880"/>
                    <w:rPr>
                      <w:rFonts w:ascii="MS Gothic"/>
                    </w:rPr>
                  </w:pPr>
                  <w:r>
                    <w:rPr>
                      <w:rFonts w:ascii="MS Gothic"/>
                      <w:color w:val="333333"/>
                    </w:rPr>
                    <w:t>&lt;javac srcdir="src/main/java" destdir="build/classes" classpathref="</w:t>
                  </w:r>
                  <w:proofErr w:type="gramStart"/>
                  <w:r>
                    <w:rPr>
                      <w:rFonts w:ascii="MS Gothic"/>
                      <w:color w:val="333333"/>
                    </w:rPr>
                    <w:t>compile.classpath</w:t>
                  </w:r>
                  <w:proofErr w:type="gramEnd"/>
                  <w:r>
                    <w:rPr>
                      <w:rFonts w:ascii="MS Gothic"/>
                      <w:color w:val="333333"/>
                    </w:rPr>
                    <w:t>" /&gt;</w:t>
                  </w:r>
                </w:p>
                <w:p w14:paraId="0AE23B4D" w14:textId="77777777" w:rsidR="00711A16" w:rsidRDefault="00711A16">
                  <w:pPr>
                    <w:spacing w:line="280" w:lineRule="exact"/>
                    <w:ind w:left="640"/>
                    <w:rPr>
                      <w:rFonts w:ascii="MS Gothic"/>
                    </w:rPr>
                  </w:pPr>
                  <w:r>
                    <w:rPr>
                      <w:rFonts w:ascii="MS Gothic"/>
                      <w:color w:val="333333"/>
                    </w:rPr>
                    <w:t>&lt;/target&gt;</w:t>
                  </w:r>
                </w:p>
                <w:p w14:paraId="2409B943" w14:textId="77777777" w:rsidR="00711A16" w:rsidRDefault="00711A16">
                  <w:pPr>
                    <w:pStyle w:val="a3"/>
                    <w:rPr>
                      <w:rFonts w:ascii="MS Gothic"/>
                      <w:sz w:val="24"/>
                    </w:rPr>
                  </w:pPr>
                </w:p>
                <w:p w14:paraId="24151356" w14:textId="77777777" w:rsidR="00711A16" w:rsidRDefault="00711A16">
                  <w:pPr>
                    <w:spacing w:before="1"/>
                    <w:ind w:left="640"/>
                    <w:rPr>
                      <w:rFonts w:ascii="MS Gothic"/>
                    </w:rPr>
                  </w:pPr>
                  <w:r>
                    <w:rPr>
                      <w:rFonts w:ascii="MS Gothic"/>
                      <w:color w:val="333333"/>
                    </w:rPr>
                    <w:t>&lt;target name="build" depends="compile"&gt;</w:t>
                  </w:r>
                </w:p>
                <w:p w14:paraId="57939578" w14:textId="77777777" w:rsidR="00711A16" w:rsidRDefault="00711A16">
                  <w:pPr>
                    <w:spacing w:before="13"/>
                    <w:ind w:left="1080"/>
                    <w:rPr>
                      <w:rFonts w:ascii="MS Gothic"/>
                    </w:rPr>
                  </w:pPr>
                  <w:r>
                    <w:rPr>
                      <w:rFonts w:ascii="MS Gothic"/>
                      <w:color w:val="333333"/>
                    </w:rPr>
                    <w:t>&lt;spring-</w:t>
                  </w:r>
                  <w:proofErr w:type="gramStart"/>
                  <w:r>
                    <w:rPr>
                      <w:rFonts w:ascii="MS Gothic"/>
                      <w:color w:val="333333"/>
                    </w:rPr>
                    <w:t>boot:exejar</w:t>
                  </w:r>
                  <w:proofErr w:type="gramEnd"/>
                  <w:r>
                    <w:rPr>
                      <w:rFonts w:ascii="MS Gothic"/>
                      <w:color w:val="333333"/>
                    </w:rPr>
                    <w:t xml:space="preserve"> destfile="build/myapp.jar" classes="build/classes"&gt;</w:t>
                  </w:r>
                </w:p>
                <w:p w14:paraId="53DA0485" w14:textId="77777777" w:rsidR="00711A16" w:rsidRDefault="00711A16">
                  <w:pPr>
                    <w:spacing w:before="12"/>
                    <w:ind w:left="1520"/>
                    <w:rPr>
                      <w:rFonts w:ascii="MS Gothic"/>
                    </w:rPr>
                  </w:pPr>
                  <w:r>
                    <w:rPr>
                      <w:rFonts w:ascii="MS Gothic"/>
                      <w:color w:val="333333"/>
                    </w:rPr>
                    <w:t>&lt;spring-boot:lib&gt;</w:t>
                  </w:r>
                </w:p>
                <w:p w14:paraId="6DEC39AE" w14:textId="77777777" w:rsidR="00711A16" w:rsidRDefault="00711A16">
                  <w:pPr>
                    <w:spacing w:before="13"/>
                    <w:ind w:left="1960"/>
                    <w:rPr>
                      <w:rFonts w:ascii="MS Gothic"/>
                    </w:rPr>
                  </w:pPr>
                  <w:r>
                    <w:rPr>
                      <w:rFonts w:ascii="MS Gothic"/>
                      <w:color w:val="333333"/>
                    </w:rPr>
                    <w:t>&lt;fileset dir="lib/runtime" /&gt;</w:t>
                  </w:r>
                </w:p>
                <w:p w14:paraId="1A6DC079" w14:textId="77777777" w:rsidR="00711A16" w:rsidRDefault="00711A16">
                  <w:pPr>
                    <w:spacing w:before="13"/>
                    <w:ind w:left="1520"/>
                    <w:rPr>
                      <w:rFonts w:ascii="MS Gothic"/>
                    </w:rPr>
                  </w:pPr>
                  <w:r>
                    <w:rPr>
                      <w:rFonts w:ascii="MS Gothic"/>
                      <w:color w:val="333333"/>
                    </w:rPr>
                    <w:t>&lt;/spring-boot:lib&gt;</w:t>
                  </w:r>
                </w:p>
                <w:p w14:paraId="7F7DA9F6" w14:textId="77777777" w:rsidR="00711A16" w:rsidRDefault="00711A16">
                  <w:pPr>
                    <w:spacing w:before="13"/>
                    <w:ind w:left="1080"/>
                    <w:rPr>
                      <w:rFonts w:ascii="MS Gothic"/>
                    </w:rPr>
                  </w:pPr>
                  <w:r>
                    <w:rPr>
                      <w:rFonts w:ascii="MS Gothic"/>
                      <w:color w:val="333333"/>
                    </w:rPr>
                    <w:t>&lt;/spring-</w:t>
                  </w:r>
                  <w:proofErr w:type="gramStart"/>
                  <w:r>
                    <w:rPr>
                      <w:rFonts w:ascii="MS Gothic"/>
                      <w:color w:val="333333"/>
                    </w:rPr>
                    <w:t>boot:exejar</w:t>
                  </w:r>
                  <w:proofErr w:type="gramEnd"/>
                  <w:r>
                    <w:rPr>
                      <w:rFonts w:ascii="MS Gothic"/>
                      <w:color w:val="333333"/>
                    </w:rPr>
                    <w:t>&gt;</w:t>
                  </w:r>
                </w:p>
                <w:p w14:paraId="12EE3190" w14:textId="77777777" w:rsidR="00711A16" w:rsidRDefault="00711A16">
                  <w:pPr>
                    <w:spacing w:before="13"/>
                    <w:ind w:left="640"/>
                    <w:rPr>
                      <w:rFonts w:ascii="MS Gothic"/>
                    </w:rPr>
                  </w:pPr>
                  <w:r>
                    <w:rPr>
                      <w:rFonts w:ascii="MS Gothic"/>
                      <w:color w:val="333333"/>
                    </w:rPr>
                    <w:t>&lt;/target&gt;</w:t>
                  </w:r>
                </w:p>
                <w:p w14:paraId="56F02A11" w14:textId="77777777" w:rsidR="00711A16" w:rsidRDefault="00711A16">
                  <w:pPr>
                    <w:spacing w:before="13"/>
                    <w:ind w:left="200"/>
                    <w:rPr>
                      <w:rFonts w:ascii="MS Gothic"/>
                    </w:rPr>
                  </w:pPr>
                  <w:r>
                    <w:rPr>
                      <w:rFonts w:ascii="MS Gothic"/>
                      <w:color w:val="333333"/>
                    </w:rPr>
                    <w:t>&lt;/project&gt;</w:t>
                  </w:r>
                </w:p>
              </w:txbxContent>
            </v:textbox>
            <w10:anchorlock/>
          </v:shape>
        </w:pict>
      </w:r>
    </w:p>
    <w:p w14:paraId="0B47D145" w14:textId="77777777" w:rsidR="00A720EB" w:rsidRDefault="00A720EB">
      <w:pPr>
        <w:pStyle w:val="a3"/>
        <w:spacing w:before="8"/>
        <w:rPr>
          <w:sz w:val="22"/>
        </w:rPr>
      </w:pPr>
    </w:p>
    <w:p w14:paraId="5D340135" w14:textId="77777777" w:rsidR="00A720EB" w:rsidRDefault="00E10349">
      <w:pPr>
        <w:spacing w:before="105" w:line="266" w:lineRule="auto"/>
        <w:ind w:left="1564" w:right="359"/>
        <w:rPr>
          <w:sz w:val="21"/>
        </w:rPr>
      </w:pPr>
      <w:r>
        <w:pict w14:anchorId="468D5A2F">
          <v:group id="_x0000_s4873" style="position:absolute;left:0;text-align:left;margin-left:47.85pt;margin-top:-535.25pt;width:499.55pt;height:523.95pt;z-index:-41775616;mso-position-horizontal-relative:page" coordorigin="957,-10705" coordsize="9991,10479">
            <v:shape id="_x0000_s4875" style="position:absolute;left:964;top:-10698;width:9976;height:10464" coordorigin="965,-10697" coordsize="9976,10464" path="m10861,-10697r-9816,l1014,-10691r-26,17l971,-10648r-6,31l965,-314r6,31l988,-257r26,17l1045,-234r9816,l10892,-240r25,-17l10935,-283r6,-31l10941,-10617r-6,-31l10917,-10674r-25,-17l10861,-10697xe" fillcolor="#f5f5f5" stroked="f">
              <v:path arrowok="t"/>
            </v:shape>
            <v:shape id="_x0000_s4874" style="position:absolute;left:964;top:-10698;width:9976;height:10464" coordorigin="965,-10697" coordsize="9976,10464" path="m1045,-10697r9816,l10892,-10691r25,17l10935,-10648r6,31l10941,-314r-6,31l10917,-257r-25,17l10861,-234r-9816,l1014,-240r-26,-17l971,-283r-6,-31l965,-10617r6,-31l988,-10674r26,-17l1045,-10697xe" filled="f" strokecolor="#ccc">
              <v:path arrowok="t"/>
            </v:shape>
            <w10:wrap anchorx="page"/>
          </v:group>
        </w:pict>
      </w:r>
      <w:r>
        <w:pict w14:anchorId="37C98B86">
          <v:line id="_x0000_s4872" style="position:absolute;left:0;text-align:left;z-index:15759360;mso-position-horizontal-relative:page" from="108.25pt,.3pt" to="108.25pt,39.85pt" strokecolor="#ededed" strokeweight=".5pt">
            <w10:wrap anchorx="page"/>
          </v:line>
        </w:pict>
      </w:r>
      <w:r w:rsidR="0030286B">
        <w:rPr>
          <w:noProof/>
        </w:rPr>
        <w:drawing>
          <wp:anchor distT="0" distB="0" distL="0" distR="0" simplePos="0" relativeHeight="15759872" behindDoc="0" locked="0" layoutInCell="1" allowOverlap="1" wp14:anchorId="49FA7456" wp14:editId="284DED39">
            <wp:simplePos x="0" y="0"/>
            <wp:positionH relativeFrom="page">
              <wp:posOffset>888949</wp:posOffset>
            </wp:positionH>
            <wp:positionV relativeFrom="paragraph">
              <wp:posOffset>102729</wp:posOffset>
            </wp:positionV>
            <wp:extent cx="209550" cy="304800"/>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5"/>
          <w:sz w:val="21"/>
        </w:rPr>
        <w:t xml:space="preserve">If you do not want to use the </w:t>
      </w:r>
      <w:r w:rsidR="0030286B">
        <w:rPr>
          <w:rFonts w:ascii="MS Gothic" w:hAnsi="MS Gothic"/>
          <w:color w:val="B02045"/>
          <w:w w:val="115"/>
          <w:sz w:val="21"/>
        </w:rPr>
        <w:t xml:space="preserve">spring-boot-antlib </w:t>
      </w:r>
      <w:r w:rsidR="0030286B">
        <w:rPr>
          <w:color w:val="333333"/>
          <w:w w:val="115"/>
          <w:sz w:val="21"/>
        </w:rPr>
        <w:t xml:space="preserve">module, see the </w:t>
      </w:r>
      <w:hyperlink w:anchor="_bookmark648" w:history="1">
        <w:r w:rsidR="0030286B">
          <w:rPr>
            <w:rFonts w:ascii="Palatino Linotype" w:hAnsi="Palatino Linotype"/>
            <w:i/>
            <w:color w:val="418BCA"/>
            <w:w w:val="115"/>
            <w:sz w:val="21"/>
          </w:rPr>
          <w:t>Build an</w:t>
        </w:r>
      </w:hyperlink>
      <w:r w:rsidR="0030286B">
        <w:rPr>
          <w:rFonts w:ascii="Palatino Linotype" w:hAnsi="Palatino Linotype"/>
          <w:i/>
          <w:color w:val="418BCA"/>
          <w:w w:val="115"/>
          <w:sz w:val="21"/>
        </w:rPr>
        <w:t xml:space="preserve"> </w:t>
      </w:r>
      <w:hyperlink w:anchor="_bookmark648" w:history="1">
        <w:r w:rsidR="0030286B">
          <w:rPr>
            <w:rFonts w:ascii="Palatino Linotype" w:hAnsi="Palatino Linotype"/>
            <w:i/>
            <w:color w:val="418BCA"/>
            <w:w w:val="115"/>
            <w:sz w:val="21"/>
          </w:rPr>
          <w:t xml:space="preserve">Executable Archive from Ant without Using spring-boot-antlib </w:t>
        </w:r>
      </w:hyperlink>
      <w:r w:rsidR="0030286B">
        <w:rPr>
          <w:color w:val="333333"/>
          <w:w w:val="115"/>
          <w:sz w:val="21"/>
        </w:rPr>
        <w:t>“How-to” .</w:t>
      </w:r>
    </w:p>
    <w:p w14:paraId="2F1F307C" w14:textId="77777777" w:rsidR="00A720EB" w:rsidRDefault="00A720EB">
      <w:pPr>
        <w:pStyle w:val="a3"/>
        <w:spacing w:before="6"/>
        <w:rPr>
          <w:sz w:val="25"/>
        </w:rPr>
      </w:pPr>
    </w:p>
    <w:p w14:paraId="5A93E3E8" w14:textId="77777777" w:rsidR="00A720EB" w:rsidRDefault="0030286B">
      <w:pPr>
        <w:pStyle w:val="3"/>
        <w:numPr>
          <w:ilvl w:val="2"/>
          <w:numId w:val="72"/>
        </w:numPr>
        <w:tabs>
          <w:tab w:val="left" w:pos="858"/>
        </w:tabs>
        <w:spacing w:before="105"/>
        <w:ind w:hanging="734"/>
      </w:pPr>
      <w:bookmarkStart w:id="74" w:name="3.1.5._Starters"/>
      <w:bookmarkStart w:id="75" w:name="_Toc54423683"/>
      <w:bookmarkEnd w:id="74"/>
      <w:r>
        <w:rPr>
          <w:color w:val="333333"/>
          <w:w w:val="115"/>
        </w:rPr>
        <w:t>Starters</w:t>
      </w:r>
      <w:bookmarkEnd w:id="75"/>
    </w:p>
    <w:p w14:paraId="769B1378" w14:textId="77777777" w:rsidR="00A720EB" w:rsidRDefault="0030286B">
      <w:pPr>
        <w:pStyle w:val="a3"/>
        <w:spacing w:before="254" w:line="297" w:lineRule="auto"/>
        <w:ind w:left="124" w:right="122"/>
        <w:jc w:val="both"/>
      </w:pPr>
      <w:r>
        <w:rPr>
          <w:color w:val="333333"/>
          <w:w w:val="110"/>
        </w:rPr>
        <w:t xml:space="preserve">Starters are a set of convenient dependency descriptors that you can include in your application.   </w:t>
      </w:r>
      <w:r>
        <w:rPr>
          <w:color w:val="333333"/>
          <w:spacing w:val="-6"/>
          <w:w w:val="110"/>
        </w:rPr>
        <w:t xml:space="preserve">You </w:t>
      </w:r>
      <w:r>
        <w:rPr>
          <w:color w:val="333333"/>
          <w:w w:val="110"/>
        </w:rPr>
        <w:t xml:space="preserve">get a one-stop shop for all the Spring and related technologies that you need without having to hunt through sample code and copy-paste loads of dependency descriptors. </w:t>
      </w:r>
      <w:proofErr w:type="gramStart"/>
      <w:r>
        <w:rPr>
          <w:color w:val="333333"/>
          <w:spacing w:val="-4"/>
          <w:w w:val="110"/>
        </w:rPr>
        <w:t xml:space="preserve">For  </w:t>
      </w:r>
      <w:r>
        <w:rPr>
          <w:color w:val="333333"/>
          <w:w w:val="110"/>
        </w:rPr>
        <w:t>example</w:t>
      </w:r>
      <w:proofErr w:type="gramEnd"/>
      <w:r>
        <w:rPr>
          <w:color w:val="333333"/>
          <w:w w:val="110"/>
        </w:rPr>
        <w:t xml:space="preserve">, if you </w:t>
      </w:r>
      <w:r>
        <w:rPr>
          <w:color w:val="333333"/>
          <w:spacing w:val="50"/>
          <w:w w:val="110"/>
        </w:rPr>
        <w:t xml:space="preserve"> </w:t>
      </w:r>
      <w:r>
        <w:rPr>
          <w:color w:val="333333"/>
          <w:w w:val="110"/>
        </w:rPr>
        <w:t>want</w:t>
      </w:r>
      <w:r>
        <w:rPr>
          <w:color w:val="333333"/>
          <w:spacing w:val="-8"/>
          <w:w w:val="110"/>
        </w:rPr>
        <w:t xml:space="preserve"> </w:t>
      </w:r>
      <w:r>
        <w:rPr>
          <w:color w:val="333333"/>
          <w:w w:val="110"/>
        </w:rPr>
        <w:t>to</w:t>
      </w:r>
      <w:r>
        <w:rPr>
          <w:color w:val="333333"/>
          <w:spacing w:val="-7"/>
          <w:w w:val="110"/>
        </w:rPr>
        <w:t xml:space="preserve"> </w:t>
      </w:r>
      <w:r>
        <w:rPr>
          <w:color w:val="333333"/>
          <w:w w:val="110"/>
        </w:rPr>
        <w:t>get</w:t>
      </w:r>
      <w:r>
        <w:rPr>
          <w:color w:val="333333"/>
          <w:spacing w:val="-7"/>
          <w:w w:val="110"/>
        </w:rPr>
        <w:t xml:space="preserve"> </w:t>
      </w:r>
      <w:r>
        <w:rPr>
          <w:color w:val="333333"/>
          <w:w w:val="110"/>
        </w:rPr>
        <w:t>started</w:t>
      </w:r>
      <w:r>
        <w:rPr>
          <w:color w:val="333333"/>
          <w:spacing w:val="-7"/>
          <w:w w:val="110"/>
        </w:rPr>
        <w:t xml:space="preserve"> </w:t>
      </w:r>
      <w:r>
        <w:rPr>
          <w:color w:val="333333"/>
          <w:w w:val="110"/>
        </w:rPr>
        <w:t>using</w:t>
      </w:r>
      <w:r>
        <w:rPr>
          <w:color w:val="333333"/>
          <w:spacing w:val="-7"/>
          <w:w w:val="110"/>
        </w:rPr>
        <w:t xml:space="preserve"> </w:t>
      </w:r>
      <w:r>
        <w:rPr>
          <w:color w:val="333333"/>
          <w:w w:val="110"/>
        </w:rPr>
        <w:t>Spring</w:t>
      </w:r>
      <w:r>
        <w:rPr>
          <w:color w:val="333333"/>
          <w:spacing w:val="-7"/>
          <w:w w:val="110"/>
        </w:rPr>
        <w:t xml:space="preserve"> </w:t>
      </w:r>
      <w:r>
        <w:rPr>
          <w:color w:val="333333"/>
          <w:w w:val="110"/>
        </w:rPr>
        <w:t>and</w:t>
      </w:r>
      <w:r>
        <w:rPr>
          <w:color w:val="333333"/>
          <w:spacing w:val="-7"/>
          <w:w w:val="110"/>
        </w:rPr>
        <w:t xml:space="preserve"> </w:t>
      </w:r>
      <w:r>
        <w:rPr>
          <w:color w:val="333333"/>
          <w:spacing w:val="-4"/>
          <w:w w:val="110"/>
        </w:rPr>
        <w:t>JPA</w:t>
      </w:r>
      <w:r>
        <w:rPr>
          <w:color w:val="333333"/>
          <w:spacing w:val="-7"/>
          <w:w w:val="110"/>
        </w:rPr>
        <w:t xml:space="preserve"> </w:t>
      </w:r>
      <w:r>
        <w:rPr>
          <w:color w:val="333333"/>
          <w:w w:val="110"/>
        </w:rPr>
        <w:t>for</w:t>
      </w:r>
      <w:r>
        <w:rPr>
          <w:color w:val="333333"/>
          <w:spacing w:val="-7"/>
          <w:w w:val="110"/>
        </w:rPr>
        <w:t xml:space="preserve"> </w:t>
      </w:r>
      <w:r>
        <w:rPr>
          <w:color w:val="333333"/>
          <w:w w:val="110"/>
        </w:rPr>
        <w:t>database</w:t>
      </w:r>
      <w:r>
        <w:rPr>
          <w:color w:val="333333"/>
          <w:spacing w:val="-7"/>
          <w:w w:val="110"/>
        </w:rPr>
        <w:t xml:space="preserve"> </w:t>
      </w:r>
      <w:r>
        <w:rPr>
          <w:color w:val="333333"/>
          <w:w w:val="110"/>
        </w:rPr>
        <w:t>access,</w:t>
      </w:r>
      <w:r>
        <w:rPr>
          <w:color w:val="333333"/>
          <w:spacing w:val="-7"/>
          <w:w w:val="110"/>
        </w:rPr>
        <w:t xml:space="preserve"> </w:t>
      </w:r>
      <w:r>
        <w:rPr>
          <w:color w:val="333333"/>
          <w:w w:val="110"/>
        </w:rPr>
        <w:t>include</w:t>
      </w:r>
      <w:r>
        <w:rPr>
          <w:color w:val="333333"/>
          <w:spacing w:val="-7"/>
          <w:w w:val="110"/>
        </w:rPr>
        <w:t xml:space="preserve"> </w:t>
      </w:r>
      <w:r>
        <w:rPr>
          <w:color w:val="333333"/>
          <w:w w:val="110"/>
        </w:rPr>
        <w:t>the</w:t>
      </w:r>
      <w:r>
        <w:rPr>
          <w:color w:val="333333"/>
          <w:spacing w:val="1"/>
          <w:w w:val="110"/>
        </w:rPr>
        <w:t xml:space="preserve"> </w:t>
      </w:r>
      <w:r>
        <w:rPr>
          <w:rFonts w:ascii="MS Gothic"/>
          <w:color w:val="B02045"/>
          <w:w w:val="110"/>
        </w:rPr>
        <w:t>spring-boot-starter-data- jpa</w:t>
      </w:r>
      <w:r>
        <w:rPr>
          <w:rFonts w:ascii="MS Gothic"/>
          <w:color w:val="B02045"/>
          <w:spacing w:val="-55"/>
          <w:w w:val="110"/>
        </w:rPr>
        <w:t xml:space="preserve"> </w:t>
      </w:r>
      <w:r>
        <w:rPr>
          <w:color w:val="333333"/>
          <w:w w:val="110"/>
        </w:rPr>
        <w:t>dependency in your project.</w:t>
      </w:r>
    </w:p>
    <w:p w14:paraId="3646DAC8" w14:textId="77777777" w:rsidR="00A720EB" w:rsidRDefault="0030286B">
      <w:pPr>
        <w:pStyle w:val="a3"/>
        <w:spacing w:before="235" w:line="307" w:lineRule="auto"/>
        <w:ind w:left="124" w:right="130"/>
        <w:jc w:val="both"/>
      </w:pPr>
      <w:r>
        <w:rPr>
          <w:color w:val="333333"/>
          <w:w w:val="110"/>
        </w:rPr>
        <w:t>The starters contain a lot of the dependencies that you need to get a project up and running quickly and with a consistent, supported set of managed transitive dependencies.</w:t>
      </w:r>
    </w:p>
    <w:p w14:paraId="5743EB9E" w14:textId="77777777" w:rsidR="00A720EB" w:rsidRDefault="00A720EB">
      <w:pPr>
        <w:spacing w:line="307" w:lineRule="auto"/>
        <w:jc w:val="both"/>
        <w:sectPr w:rsidR="00A720EB">
          <w:pgSz w:w="11910" w:h="16840"/>
          <w:pgMar w:top="700" w:right="840" w:bottom="520" w:left="840" w:header="0" w:footer="323" w:gutter="0"/>
          <w:cols w:space="720"/>
        </w:sectPr>
      </w:pPr>
    </w:p>
    <w:p w14:paraId="63B2F8BE" w14:textId="77777777" w:rsidR="00A720EB" w:rsidRDefault="00E10349">
      <w:pPr>
        <w:pStyle w:val="a3"/>
        <w:ind w:left="119"/>
        <w:rPr>
          <w:sz w:val="20"/>
        </w:rPr>
      </w:pPr>
      <w:r>
        <w:rPr>
          <w:sz w:val="20"/>
        </w:rPr>
      </w:r>
      <w:r>
        <w:rPr>
          <w:sz w:val="20"/>
        </w:rPr>
        <w:pict w14:anchorId="1A60C9A7">
          <v:group id="_x0000_s4868" style="width:499.3pt;height:207pt;mso-position-horizontal-relative:char;mso-position-vertical-relative:line" coordsize="9986,4140">
            <v:shape id="_x0000_s4871" style="position:absolute;left:5;top:5;width:9976;height:4130" coordorigin="5,5" coordsize="9976,4130" path="m9901,5l85,5,54,11,28,28,11,54,5,85r,3970l11,4086r17,26l54,4129r31,6l9901,4135r31,-6l9958,4112r17,-26l9981,4055r,-3970l9975,54,9958,28,9932,11,9901,5xe" fillcolor="#ededed" stroked="f">
              <v:path arrowok="t"/>
            </v:shape>
            <v:shape id="_x0000_s4870" style="position:absolute;left:5;top:5;width:9976;height:4130" coordorigin="5,5" coordsize="9976,4130" path="m85,5r9816,l9932,11r26,17l9975,54r6,31l9981,4055r-6,31l9958,4112r-26,17l9901,4135r-9816,l54,4129,28,4112,11,4086,5,4055,5,85,11,54,28,28,54,11,85,5xe" filled="f" strokecolor="#e1e1e1" strokeweight=".5pt">
              <v:path arrowok="t"/>
            </v:shape>
            <v:shape id="_x0000_s4869" type="#_x0000_t202" style="position:absolute;left:13;top:10;width:9960;height:4119" filled="f" stroked="f">
              <v:textbox inset="0,0,0,0">
                <w:txbxContent>
                  <w:p w14:paraId="22817A6D" w14:textId="77777777" w:rsidR="00711A16" w:rsidRDefault="00711A16">
                    <w:pPr>
                      <w:spacing w:before="239"/>
                      <w:ind w:left="300" w:right="301"/>
                      <w:jc w:val="center"/>
                      <w:rPr>
                        <w:rFonts w:ascii="Palatino Linotype" w:hAnsi="Palatino Linotype"/>
                        <w:b/>
                        <w:sz w:val="26"/>
                      </w:rPr>
                    </w:pPr>
                    <w:r>
                      <w:rPr>
                        <w:rFonts w:ascii="Palatino Linotype" w:hAnsi="Palatino Linotype"/>
                        <w:b/>
                        <w:color w:val="333333"/>
                        <w:w w:val="110"/>
                        <w:sz w:val="26"/>
                      </w:rPr>
                      <w:t>What’s in a name</w:t>
                    </w:r>
                  </w:p>
                  <w:p w14:paraId="5C426D21" w14:textId="77777777" w:rsidR="00711A16" w:rsidRDefault="00711A16">
                    <w:pPr>
                      <w:spacing w:before="233" w:line="295" w:lineRule="auto"/>
                      <w:ind w:left="291" w:right="290"/>
                      <w:jc w:val="both"/>
                      <w:rPr>
                        <w:sz w:val="21"/>
                      </w:rPr>
                    </w:pPr>
                    <w:r>
                      <w:rPr>
                        <w:color w:val="333333"/>
                        <w:w w:val="110"/>
                        <w:sz w:val="21"/>
                      </w:rPr>
                      <w:t xml:space="preserve">All </w:t>
                    </w:r>
                    <w:r>
                      <w:rPr>
                        <w:rFonts w:ascii="Palatino Linotype" w:hAnsi="Palatino Linotype"/>
                        <w:b/>
                        <w:color w:val="333333"/>
                        <w:w w:val="110"/>
                        <w:sz w:val="21"/>
                      </w:rPr>
                      <w:t xml:space="preserve">official </w:t>
                    </w:r>
                    <w:r>
                      <w:rPr>
                        <w:color w:val="333333"/>
                        <w:w w:val="110"/>
                        <w:sz w:val="21"/>
                      </w:rPr>
                      <w:t xml:space="preserve">starters follow a similar naming pattern; </w:t>
                    </w:r>
                    <w:r>
                      <w:rPr>
                        <w:rFonts w:ascii="MS Gothic" w:hAnsi="MS Gothic"/>
                        <w:color w:val="B02045"/>
                        <w:w w:val="110"/>
                        <w:sz w:val="21"/>
                      </w:rPr>
                      <w:t>spring-boot-starter-*</w:t>
                    </w:r>
                    <w:r>
                      <w:rPr>
                        <w:color w:val="333333"/>
                        <w:w w:val="110"/>
                        <w:sz w:val="21"/>
                      </w:rPr>
                      <w:t xml:space="preserve">, where </w:t>
                    </w:r>
                    <w:r>
                      <w:rPr>
                        <w:rFonts w:ascii="MS Gothic" w:hAnsi="MS Gothic"/>
                        <w:color w:val="B02045"/>
                        <w:w w:val="110"/>
                        <w:sz w:val="21"/>
                      </w:rPr>
                      <w:t xml:space="preserve">* </w:t>
                    </w:r>
                    <w:r>
                      <w:rPr>
                        <w:color w:val="333333"/>
                        <w:w w:val="110"/>
                        <w:sz w:val="21"/>
                      </w:rPr>
                      <w:t xml:space="preserve">is a particular type of application. This naming structure is intended to help when you need to    find a starter. The Maven integration in many IDEs lets you search dependencies </w:t>
                    </w:r>
                    <w:proofErr w:type="gramStart"/>
                    <w:r>
                      <w:rPr>
                        <w:color w:val="333333"/>
                        <w:spacing w:val="-3"/>
                        <w:w w:val="110"/>
                        <w:sz w:val="21"/>
                      </w:rPr>
                      <w:t xml:space="preserve">by  </w:t>
                    </w:r>
                    <w:r>
                      <w:rPr>
                        <w:color w:val="333333"/>
                        <w:w w:val="110"/>
                        <w:sz w:val="21"/>
                      </w:rPr>
                      <w:t>name</w:t>
                    </w:r>
                    <w:proofErr w:type="gramEnd"/>
                    <w:r>
                      <w:rPr>
                        <w:color w:val="333333"/>
                        <w:w w:val="110"/>
                        <w:sz w:val="21"/>
                      </w:rPr>
                      <w:t xml:space="preserve">.    </w:t>
                    </w:r>
                    <w:r>
                      <w:rPr>
                        <w:color w:val="333333"/>
                        <w:spacing w:val="-4"/>
                        <w:w w:val="110"/>
                        <w:sz w:val="21"/>
                      </w:rPr>
                      <w:t xml:space="preserve">For </w:t>
                    </w:r>
                    <w:r>
                      <w:rPr>
                        <w:color w:val="333333"/>
                        <w:w w:val="110"/>
                        <w:sz w:val="21"/>
                      </w:rPr>
                      <w:t xml:space="preserve">example, with the appropriate Eclipse or STS plugin installed, you can press </w:t>
                    </w:r>
                    <w:r>
                      <w:rPr>
                        <w:rFonts w:ascii="MS Gothic" w:hAnsi="MS Gothic"/>
                        <w:color w:val="B02045"/>
                        <w:w w:val="110"/>
                        <w:sz w:val="21"/>
                      </w:rPr>
                      <w:t xml:space="preserve">ctrl-space </w:t>
                    </w:r>
                    <w:r>
                      <w:rPr>
                        <w:color w:val="333333"/>
                        <w:w w:val="110"/>
                        <w:sz w:val="21"/>
                      </w:rPr>
                      <w:t>in the POM editor and type “spring-boot-starter” for a complete</w:t>
                    </w:r>
                    <w:r>
                      <w:rPr>
                        <w:color w:val="333333"/>
                        <w:spacing w:val="28"/>
                        <w:w w:val="110"/>
                        <w:sz w:val="21"/>
                      </w:rPr>
                      <w:t xml:space="preserve"> </w:t>
                    </w:r>
                    <w:r>
                      <w:rPr>
                        <w:color w:val="333333"/>
                        <w:w w:val="110"/>
                        <w:sz w:val="21"/>
                      </w:rPr>
                      <w:t>list.</w:t>
                    </w:r>
                  </w:p>
                  <w:p w14:paraId="7B617A67" w14:textId="77777777" w:rsidR="00711A16" w:rsidRDefault="00711A16">
                    <w:pPr>
                      <w:spacing w:before="251" w:line="295" w:lineRule="auto"/>
                      <w:ind w:left="291" w:right="290"/>
                      <w:jc w:val="both"/>
                      <w:rPr>
                        <w:sz w:val="21"/>
                      </w:rPr>
                    </w:pPr>
                    <w:r>
                      <w:rPr>
                        <w:color w:val="333333"/>
                        <w:w w:val="110"/>
                        <w:sz w:val="21"/>
                      </w:rPr>
                      <w:t>As explained in the “</w:t>
                    </w:r>
                    <w:hyperlink w:anchor="_bookmark355" w:history="1">
                      <w:r>
                        <w:rPr>
                          <w:color w:val="418BCA"/>
                          <w:w w:val="110"/>
                          <w:sz w:val="21"/>
                        </w:rPr>
                        <w:t xml:space="preserve">Creating </w:t>
                      </w:r>
                      <w:r>
                        <w:rPr>
                          <w:color w:val="418BCA"/>
                          <w:spacing w:val="-5"/>
                          <w:w w:val="110"/>
                          <w:sz w:val="21"/>
                        </w:rPr>
                        <w:t xml:space="preserve">Your </w:t>
                      </w:r>
                      <w:r>
                        <w:rPr>
                          <w:color w:val="418BCA"/>
                          <w:w w:val="110"/>
                          <w:sz w:val="21"/>
                        </w:rPr>
                        <w:t>Own Starter</w:t>
                      </w:r>
                    </w:hyperlink>
                    <w:r>
                      <w:rPr>
                        <w:color w:val="333333"/>
                        <w:w w:val="110"/>
                        <w:sz w:val="21"/>
                      </w:rPr>
                      <w:t xml:space="preserve">” section, third party starters should not start with </w:t>
                    </w:r>
                    <w:r>
                      <w:rPr>
                        <w:rFonts w:ascii="MS Gothic" w:hAnsi="MS Gothic"/>
                        <w:color w:val="B02045"/>
                        <w:w w:val="110"/>
                        <w:sz w:val="21"/>
                      </w:rPr>
                      <w:t>spring-boot</w:t>
                    </w:r>
                    <w:r>
                      <w:rPr>
                        <w:color w:val="333333"/>
                        <w:w w:val="110"/>
                        <w:sz w:val="21"/>
                      </w:rPr>
                      <w:t xml:space="preserve">, as it is reserved for official Spring Boot artifacts. Rather, a third-party starter typically starts with the name of the project. </w:t>
                    </w:r>
                    <w:r>
                      <w:rPr>
                        <w:color w:val="333333"/>
                        <w:spacing w:val="-4"/>
                        <w:w w:val="110"/>
                        <w:sz w:val="21"/>
                      </w:rPr>
                      <w:t xml:space="preserve">For </w:t>
                    </w:r>
                    <w:r>
                      <w:rPr>
                        <w:color w:val="333333"/>
                        <w:w w:val="110"/>
                        <w:sz w:val="21"/>
                      </w:rPr>
                      <w:t xml:space="preserve">example, a third-party starter project </w:t>
                    </w:r>
                    <w:r>
                      <w:rPr>
                        <w:color w:val="333333"/>
                        <w:w w:val="105"/>
                        <w:sz w:val="21"/>
                      </w:rPr>
                      <w:t xml:space="preserve">called </w:t>
                    </w:r>
                    <w:r>
                      <w:rPr>
                        <w:rFonts w:ascii="MS Gothic" w:hAnsi="MS Gothic"/>
                        <w:color w:val="B02045"/>
                        <w:w w:val="105"/>
                        <w:sz w:val="21"/>
                      </w:rPr>
                      <w:t>thirdpartyproject</w:t>
                    </w:r>
                    <w:r>
                      <w:rPr>
                        <w:rFonts w:ascii="MS Gothic" w:hAnsi="MS Gothic"/>
                        <w:color w:val="B02045"/>
                        <w:spacing w:val="-80"/>
                        <w:w w:val="105"/>
                        <w:sz w:val="21"/>
                      </w:rPr>
                      <w:t xml:space="preserve"> </w:t>
                    </w:r>
                    <w:r>
                      <w:rPr>
                        <w:color w:val="333333"/>
                        <w:w w:val="105"/>
                        <w:sz w:val="21"/>
                      </w:rPr>
                      <w:t xml:space="preserve">would typically be named </w:t>
                    </w:r>
                    <w:r>
                      <w:rPr>
                        <w:rFonts w:ascii="MS Gothic" w:hAnsi="MS Gothic"/>
                        <w:color w:val="B02045"/>
                        <w:w w:val="105"/>
                        <w:sz w:val="21"/>
                      </w:rPr>
                      <w:t>thirdpartyproject-spring-boot-starter</w:t>
                    </w:r>
                    <w:r>
                      <w:rPr>
                        <w:color w:val="333333"/>
                        <w:w w:val="105"/>
                        <w:sz w:val="21"/>
                      </w:rPr>
                      <w:t>.</w:t>
                    </w:r>
                  </w:p>
                </w:txbxContent>
              </v:textbox>
            </v:shape>
            <w10:anchorlock/>
          </v:group>
        </w:pict>
      </w:r>
    </w:p>
    <w:p w14:paraId="63FD83E3" w14:textId="77777777" w:rsidR="00A720EB" w:rsidRDefault="00A720EB">
      <w:pPr>
        <w:pStyle w:val="a3"/>
        <w:spacing w:before="3"/>
        <w:rPr>
          <w:sz w:val="10"/>
        </w:rPr>
      </w:pPr>
    </w:p>
    <w:p w14:paraId="0FB986C4" w14:textId="77777777" w:rsidR="00A720EB" w:rsidRDefault="0030286B">
      <w:pPr>
        <w:pStyle w:val="a3"/>
        <w:spacing w:before="116"/>
        <w:ind w:left="124"/>
        <w:rPr>
          <w:rFonts w:ascii="MS Gothic"/>
        </w:rPr>
      </w:pPr>
      <w:r>
        <w:rPr>
          <w:color w:val="333333"/>
          <w:w w:val="110"/>
        </w:rPr>
        <w:t xml:space="preserve">The following application starters are provided by Spring Boot under the </w:t>
      </w:r>
      <w:proofErr w:type="gramStart"/>
      <w:r>
        <w:rPr>
          <w:rFonts w:ascii="MS Gothic"/>
          <w:color w:val="B02045"/>
          <w:w w:val="110"/>
        </w:rPr>
        <w:t>org.springframework</w:t>
      </w:r>
      <w:proofErr w:type="gramEnd"/>
      <w:r>
        <w:rPr>
          <w:rFonts w:ascii="MS Gothic"/>
          <w:color w:val="B02045"/>
          <w:w w:val="110"/>
        </w:rPr>
        <w:t>.boot</w:t>
      </w:r>
    </w:p>
    <w:p w14:paraId="5B73C4E0" w14:textId="77777777" w:rsidR="00A720EB" w:rsidRDefault="0030286B">
      <w:pPr>
        <w:pStyle w:val="a3"/>
        <w:spacing w:before="57"/>
        <w:ind w:left="124"/>
      </w:pPr>
      <w:r>
        <w:rPr>
          <w:color w:val="333333"/>
          <w:w w:val="110"/>
        </w:rPr>
        <w:t>group:</w:t>
      </w:r>
    </w:p>
    <w:p w14:paraId="03549DA5" w14:textId="77777777" w:rsidR="00A720EB" w:rsidRDefault="00A720EB">
      <w:pPr>
        <w:pStyle w:val="a3"/>
        <w:spacing w:before="5"/>
        <w:rPr>
          <w:sz w:val="24"/>
        </w:rPr>
      </w:pPr>
    </w:p>
    <w:p w14:paraId="6030755E" w14:textId="77777777" w:rsidR="00A720EB" w:rsidRDefault="0030286B">
      <w:pPr>
        <w:spacing w:before="1"/>
        <w:ind w:left="124"/>
        <w:rPr>
          <w:rFonts w:ascii="Palatino Linotype"/>
          <w:i/>
          <w:sz w:val="20"/>
        </w:rPr>
      </w:pPr>
      <w:r>
        <w:rPr>
          <w:rFonts w:ascii="Palatino Linotype"/>
          <w:i/>
          <w:color w:val="333333"/>
          <w:w w:val="115"/>
          <w:sz w:val="20"/>
        </w:rPr>
        <w:t>Table 1. Spring Boot application starters</w:t>
      </w:r>
    </w:p>
    <w:p w14:paraId="3E137A5B" w14:textId="77777777" w:rsidR="00A720EB" w:rsidRDefault="00A720EB">
      <w:pPr>
        <w:pStyle w:val="a3"/>
        <w:spacing w:before="6"/>
        <w:rPr>
          <w:rFonts w:ascii="Palatino Linotype"/>
          <w:i/>
          <w:sz w:val="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140F3E53" w14:textId="77777777">
        <w:trPr>
          <w:trHeight w:val="415"/>
        </w:trPr>
        <w:tc>
          <w:tcPr>
            <w:tcW w:w="4988" w:type="dxa"/>
            <w:tcBorders>
              <w:bottom w:val="single" w:sz="12" w:space="0" w:color="DDDDDD"/>
            </w:tcBorders>
          </w:tcPr>
          <w:p w14:paraId="0C49D26C"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4988" w:type="dxa"/>
            <w:tcBorders>
              <w:bottom w:val="single" w:sz="12" w:space="0" w:color="DDDDDD"/>
            </w:tcBorders>
          </w:tcPr>
          <w:p w14:paraId="071A3927"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42BBB08A" w14:textId="77777777">
        <w:trPr>
          <w:trHeight w:val="731"/>
        </w:trPr>
        <w:tc>
          <w:tcPr>
            <w:tcW w:w="4988" w:type="dxa"/>
            <w:tcBorders>
              <w:top w:val="single" w:sz="12" w:space="0" w:color="DDDDDD"/>
            </w:tcBorders>
          </w:tcPr>
          <w:p w14:paraId="27D6AFA0" w14:textId="77777777" w:rsidR="00A720EB" w:rsidRDefault="0030286B">
            <w:pPr>
              <w:pStyle w:val="TableParagraph"/>
              <w:spacing w:before="74"/>
              <w:rPr>
                <w:sz w:val="21"/>
              </w:rPr>
            </w:pPr>
            <w:r>
              <w:rPr>
                <w:color w:val="B02045"/>
                <w:sz w:val="21"/>
              </w:rPr>
              <w:t>spring-boot-starter</w:t>
            </w:r>
          </w:p>
        </w:tc>
        <w:tc>
          <w:tcPr>
            <w:tcW w:w="4988" w:type="dxa"/>
            <w:tcBorders>
              <w:top w:val="single" w:sz="12" w:space="0" w:color="DDDDDD"/>
            </w:tcBorders>
          </w:tcPr>
          <w:p w14:paraId="721C4CD0" w14:textId="77777777" w:rsidR="00A720EB" w:rsidRDefault="0030286B">
            <w:pPr>
              <w:pStyle w:val="TableParagraph"/>
              <w:spacing w:before="21" w:line="310" w:lineRule="atLeast"/>
              <w:ind w:right="640"/>
              <w:rPr>
                <w:rFonts w:ascii="Cambria"/>
                <w:sz w:val="21"/>
              </w:rPr>
            </w:pPr>
            <w:r>
              <w:rPr>
                <w:rFonts w:ascii="Cambria"/>
                <w:color w:val="333333"/>
                <w:w w:val="110"/>
                <w:sz w:val="21"/>
              </w:rPr>
              <w:t>Core starter, including auto-configuration support, logging and YAML</w:t>
            </w:r>
          </w:p>
        </w:tc>
      </w:tr>
      <w:tr w:rsidR="00A720EB" w14:paraId="1E528D77" w14:textId="77777777">
        <w:trPr>
          <w:trHeight w:val="741"/>
        </w:trPr>
        <w:tc>
          <w:tcPr>
            <w:tcW w:w="4988" w:type="dxa"/>
          </w:tcPr>
          <w:p w14:paraId="3570640B" w14:textId="77777777" w:rsidR="00A720EB" w:rsidRDefault="0030286B">
            <w:pPr>
              <w:pStyle w:val="TableParagraph"/>
              <w:spacing w:before="84"/>
              <w:rPr>
                <w:sz w:val="21"/>
              </w:rPr>
            </w:pPr>
            <w:r>
              <w:rPr>
                <w:color w:val="B02045"/>
                <w:sz w:val="21"/>
              </w:rPr>
              <w:t>spring-boot-starter-activemq</w:t>
            </w:r>
          </w:p>
        </w:tc>
        <w:tc>
          <w:tcPr>
            <w:tcW w:w="4988" w:type="dxa"/>
          </w:tcPr>
          <w:p w14:paraId="33BABF88" w14:textId="77777777" w:rsidR="00A720EB" w:rsidRDefault="0030286B">
            <w:pPr>
              <w:pStyle w:val="TableParagraph"/>
              <w:spacing w:before="31" w:line="310" w:lineRule="atLeast"/>
              <w:ind w:right="372"/>
              <w:rPr>
                <w:rFonts w:ascii="Cambria"/>
                <w:sz w:val="21"/>
              </w:rPr>
            </w:pPr>
            <w:r>
              <w:rPr>
                <w:rFonts w:ascii="Cambria"/>
                <w:color w:val="333333"/>
                <w:w w:val="110"/>
                <w:sz w:val="21"/>
              </w:rPr>
              <w:t>Starter for JMS messaging using Apache ActiveMQ</w:t>
            </w:r>
          </w:p>
        </w:tc>
      </w:tr>
      <w:tr w:rsidR="00A720EB" w14:paraId="78925D68" w14:textId="77777777">
        <w:trPr>
          <w:trHeight w:val="425"/>
        </w:trPr>
        <w:tc>
          <w:tcPr>
            <w:tcW w:w="4988" w:type="dxa"/>
          </w:tcPr>
          <w:p w14:paraId="6009C587" w14:textId="77777777" w:rsidR="00A720EB" w:rsidRDefault="0030286B">
            <w:pPr>
              <w:pStyle w:val="TableParagraph"/>
              <w:spacing w:before="84"/>
              <w:rPr>
                <w:sz w:val="21"/>
              </w:rPr>
            </w:pPr>
            <w:r>
              <w:rPr>
                <w:color w:val="B02045"/>
                <w:sz w:val="21"/>
              </w:rPr>
              <w:t>spring-boot-starter-amqp</w:t>
            </w:r>
          </w:p>
        </w:tc>
        <w:tc>
          <w:tcPr>
            <w:tcW w:w="4988" w:type="dxa"/>
          </w:tcPr>
          <w:p w14:paraId="71EBA7D4" w14:textId="77777777" w:rsidR="00A720EB" w:rsidRDefault="0030286B">
            <w:pPr>
              <w:pStyle w:val="TableParagraph"/>
              <w:spacing w:before="94"/>
              <w:rPr>
                <w:rFonts w:ascii="Cambria"/>
                <w:sz w:val="21"/>
              </w:rPr>
            </w:pPr>
            <w:r>
              <w:rPr>
                <w:rFonts w:ascii="Cambria"/>
                <w:color w:val="333333"/>
                <w:w w:val="110"/>
                <w:sz w:val="21"/>
              </w:rPr>
              <w:t>Starter for using Spring AMQP and Rabbit MQ</w:t>
            </w:r>
          </w:p>
        </w:tc>
      </w:tr>
      <w:tr w:rsidR="00A720EB" w14:paraId="7B0D69AB" w14:textId="77777777">
        <w:trPr>
          <w:trHeight w:val="741"/>
        </w:trPr>
        <w:tc>
          <w:tcPr>
            <w:tcW w:w="4988" w:type="dxa"/>
          </w:tcPr>
          <w:p w14:paraId="2216667B" w14:textId="77777777" w:rsidR="00A720EB" w:rsidRDefault="0030286B">
            <w:pPr>
              <w:pStyle w:val="TableParagraph"/>
              <w:spacing w:before="84"/>
              <w:rPr>
                <w:sz w:val="21"/>
              </w:rPr>
            </w:pPr>
            <w:r>
              <w:rPr>
                <w:color w:val="B02045"/>
                <w:sz w:val="21"/>
              </w:rPr>
              <w:t>spring-boot-starter-aop</w:t>
            </w:r>
          </w:p>
        </w:tc>
        <w:tc>
          <w:tcPr>
            <w:tcW w:w="4988" w:type="dxa"/>
          </w:tcPr>
          <w:p w14:paraId="50662E5C" w14:textId="77777777" w:rsidR="00A720EB" w:rsidRDefault="0030286B">
            <w:pPr>
              <w:pStyle w:val="TableParagraph"/>
              <w:spacing w:before="31" w:line="310" w:lineRule="atLeast"/>
              <w:rPr>
                <w:rFonts w:ascii="Cambria"/>
                <w:sz w:val="21"/>
              </w:rPr>
            </w:pPr>
            <w:r>
              <w:rPr>
                <w:rFonts w:ascii="Cambria"/>
                <w:color w:val="333333"/>
                <w:w w:val="110"/>
                <w:sz w:val="21"/>
              </w:rPr>
              <w:t>Starter for aspect-oriented programming with Spring AOP and AspectJ</w:t>
            </w:r>
          </w:p>
        </w:tc>
      </w:tr>
      <w:tr w:rsidR="00A720EB" w14:paraId="33B0CE30" w14:textId="77777777">
        <w:trPr>
          <w:trHeight w:val="425"/>
        </w:trPr>
        <w:tc>
          <w:tcPr>
            <w:tcW w:w="4988" w:type="dxa"/>
          </w:tcPr>
          <w:p w14:paraId="4C9BB4B0" w14:textId="77777777" w:rsidR="00A720EB" w:rsidRDefault="0030286B">
            <w:pPr>
              <w:pStyle w:val="TableParagraph"/>
              <w:spacing w:before="84"/>
              <w:rPr>
                <w:sz w:val="21"/>
              </w:rPr>
            </w:pPr>
            <w:r>
              <w:rPr>
                <w:color w:val="B02045"/>
                <w:sz w:val="21"/>
              </w:rPr>
              <w:t>spring-boot-starter-artemis</w:t>
            </w:r>
          </w:p>
        </w:tc>
        <w:tc>
          <w:tcPr>
            <w:tcW w:w="4988" w:type="dxa"/>
          </w:tcPr>
          <w:p w14:paraId="0C6FAF9D" w14:textId="77777777" w:rsidR="00A720EB" w:rsidRDefault="0030286B">
            <w:pPr>
              <w:pStyle w:val="TableParagraph"/>
              <w:spacing w:before="94"/>
              <w:rPr>
                <w:rFonts w:ascii="Cambria"/>
                <w:sz w:val="21"/>
              </w:rPr>
            </w:pPr>
            <w:r>
              <w:rPr>
                <w:rFonts w:ascii="Cambria"/>
                <w:color w:val="333333"/>
                <w:w w:val="110"/>
                <w:sz w:val="21"/>
              </w:rPr>
              <w:t>Starter for JMS messaging using Apache Artemis</w:t>
            </w:r>
          </w:p>
        </w:tc>
      </w:tr>
      <w:tr w:rsidR="00A720EB" w14:paraId="1DD768FC" w14:textId="77777777">
        <w:trPr>
          <w:trHeight w:val="425"/>
        </w:trPr>
        <w:tc>
          <w:tcPr>
            <w:tcW w:w="4988" w:type="dxa"/>
          </w:tcPr>
          <w:p w14:paraId="20E2CB1A" w14:textId="77777777" w:rsidR="00A720EB" w:rsidRDefault="0030286B">
            <w:pPr>
              <w:pStyle w:val="TableParagraph"/>
              <w:spacing w:before="84"/>
              <w:rPr>
                <w:sz w:val="21"/>
              </w:rPr>
            </w:pPr>
            <w:r>
              <w:rPr>
                <w:color w:val="B02045"/>
                <w:sz w:val="21"/>
              </w:rPr>
              <w:t>spring-boot-starter-batch</w:t>
            </w:r>
          </w:p>
        </w:tc>
        <w:tc>
          <w:tcPr>
            <w:tcW w:w="4988" w:type="dxa"/>
          </w:tcPr>
          <w:p w14:paraId="379658BF" w14:textId="77777777" w:rsidR="00A720EB" w:rsidRDefault="0030286B">
            <w:pPr>
              <w:pStyle w:val="TableParagraph"/>
              <w:spacing w:before="94"/>
              <w:rPr>
                <w:rFonts w:ascii="Cambria"/>
                <w:sz w:val="21"/>
              </w:rPr>
            </w:pPr>
            <w:r>
              <w:rPr>
                <w:rFonts w:ascii="Cambria"/>
                <w:color w:val="333333"/>
                <w:w w:val="110"/>
                <w:sz w:val="21"/>
              </w:rPr>
              <w:t>Starter for using Spring Batch</w:t>
            </w:r>
          </w:p>
        </w:tc>
      </w:tr>
      <w:tr w:rsidR="00A720EB" w14:paraId="5BDB4B81" w14:textId="77777777">
        <w:trPr>
          <w:trHeight w:val="741"/>
        </w:trPr>
        <w:tc>
          <w:tcPr>
            <w:tcW w:w="4988" w:type="dxa"/>
          </w:tcPr>
          <w:p w14:paraId="6BE35DF7" w14:textId="77777777" w:rsidR="00A720EB" w:rsidRDefault="0030286B">
            <w:pPr>
              <w:pStyle w:val="TableParagraph"/>
              <w:spacing w:before="84"/>
              <w:rPr>
                <w:sz w:val="21"/>
              </w:rPr>
            </w:pPr>
            <w:r>
              <w:rPr>
                <w:color w:val="B02045"/>
                <w:sz w:val="21"/>
              </w:rPr>
              <w:t>spring-boot-starter-cache</w:t>
            </w:r>
          </w:p>
        </w:tc>
        <w:tc>
          <w:tcPr>
            <w:tcW w:w="4988" w:type="dxa"/>
          </w:tcPr>
          <w:p w14:paraId="0C98C572" w14:textId="77777777" w:rsidR="00A720EB" w:rsidRDefault="0030286B">
            <w:pPr>
              <w:pStyle w:val="TableParagraph"/>
              <w:spacing w:before="31" w:line="310" w:lineRule="atLeast"/>
              <w:rPr>
                <w:rFonts w:ascii="Cambria" w:hAnsi="Cambria"/>
                <w:sz w:val="21"/>
              </w:rPr>
            </w:pPr>
            <w:r>
              <w:rPr>
                <w:rFonts w:ascii="Cambria" w:hAnsi="Cambria"/>
                <w:color w:val="333333"/>
                <w:w w:val="110"/>
                <w:sz w:val="21"/>
              </w:rPr>
              <w:t>Starter for using Spring Framework’s caching support</w:t>
            </w:r>
          </w:p>
        </w:tc>
      </w:tr>
      <w:tr w:rsidR="00A720EB" w14:paraId="4D5FF61F" w14:textId="77777777">
        <w:trPr>
          <w:trHeight w:val="741"/>
        </w:trPr>
        <w:tc>
          <w:tcPr>
            <w:tcW w:w="4988" w:type="dxa"/>
          </w:tcPr>
          <w:p w14:paraId="06EC6A56" w14:textId="77777777" w:rsidR="00A720EB" w:rsidRDefault="0030286B">
            <w:pPr>
              <w:pStyle w:val="TableParagraph"/>
              <w:spacing w:before="84"/>
              <w:rPr>
                <w:sz w:val="21"/>
              </w:rPr>
            </w:pPr>
            <w:r>
              <w:rPr>
                <w:color w:val="B02045"/>
                <w:sz w:val="21"/>
              </w:rPr>
              <w:t>spring-boot-starter-data-cassandra</w:t>
            </w:r>
          </w:p>
        </w:tc>
        <w:tc>
          <w:tcPr>
            <w:tcW w:w="4988" w:type="dxa"/>
          </w:tcPr>
          <w:p w14:paraId="36B809E2" w14:textId="77777777" w:rsidR="00A720EB" w:rsidRDefault="0030286B">
            <w:pPr>
              <w:pStyle w:val="TableParagraph"/>
              <w:spacing w:before="31" w:line="310" w:lineRule="atLeast"/>
              <w:rPr>
                <w:rFonts w:ascii="Cambria"/>
                <w:sz w:val="21"/>
              </w:rPr>
            </w:pPr>
            <w:r>
              <w:rPr>
                <w:rFonts w:ascii="Cambria"/>
                <w:color w:val="333333"/>
                <w:w w:val="110"/>
                <w:sz w:val="21"/>
              </w:rPr>
              <w:t>Starter for using Cassandra distributed database and Spring Data Cassandra</w:t>
            </w:r>
          </w:p>
        </w:tc>
      </w:tr>
      <w:tr w:rsidR="00A720EB" w14:paraId="712BF201" w14:textId="77777777">
        <w:trPr>
          <w:trHeight w:val="741"/>
        </w:trPr>
        <w:tc>
          <w:tcPr>
            <w:tcW w:w="4988" w:type="dxa"/>
          </w:tcPr>
          <w:p w14:paraId="7571E6FD" w14:textId="77777777" w:rsidR="00A720EB" w:rsidRDefault="0030286B">
            <w:pPr>
              <w:pStyle w:val="TableParagraph"/>
              <w:spacing w:before="84"/>
              <w:rPr>
                <w:sz w:val="21"/>
              </w:rPr>
            </w:pPr>
            <w:r>
              <w:rPr>
                <w:color w:val="B02045"/>
                <w:sz w:val="21"/>
              </w:rPr>
              <w:t>spring-boot-starter-data-cassandra-reactive</w:t>
            </w:r>
          </w:p>
        </w:tc>
        <w:tc>
          <w:tcPr>
            <w:tcW w:w="4988" w:type="dxa"/>
          </w:tcPr>
          <w:p w14:paraId="2DB76F0C" w14:textId="77777777" w:rsidR="00A720EB" w:rsidRDefault="0030286B">
            <w:pPr>
              <w:pStyle w:val="TableParagraph"/>
              <w:spacing w:before="31" w:line="310" w:lineRule="atLeast"/>
              <w:rPr>
                <w:rFonts w:ascii="Cambria"/>
                <w:sz w:val="21"/>
              </w:rPr>
            </w:pPr>
            <w:r>
              <w:rPr>
                <w:rFonts w:ascii="Cambria"/>
                <w:color w:val="333333"/>
                <w:w w:val="110"/>
                <w:sz w:val="21"/>
              </w:rPr>
              <w:t>Starter for using Cassandra distributed database and Spring Data Cassandra Reactive</w:t>
            </w:r>
          </w:p>
        </w:tc>
      </w:tr>
      <w:tr w:rsidR="00A720EB" w14:paraId="73299DDF" w14:textId="77777777">
        <w:trPr>
          <w:trHeight w:val="741"/>
        </w:trPr>
        <w:tc>
          <w:tcPr>
            <w:tcW w:w="4988" w:type="dxa"/>
          </w:tcPr>
          <w:p w14:paraId="3DEFF79D" w14:textId="77777777" w:rsidR="00A720EB" w:rsidRDefault="0030286B">
            <w:pPr>
              <w:pStyle w:val="TableParagraph"/>
              <w:spacing w:before="84"/>
              <w:rPr>
                <w:sz w:val="21"/>
              </w:rPr>
            </w:pPr>
            <w:r>
              <w:rPr>
                <w:color w:val="B02045"/>
                <w:sz w:val="21"/>
              </w:rPr>
              <w:t>spring-boot-starter-data-couchbase</w:t>
            </w:r>
          </w:p>
        </w:tc>
        <w:tc>
          <w:tcPr>
            <w:tcW w:w="4988" w:type="dxa"/>
          </w:tcPr>
          <w:p w14:paraId="39FB2790" w14:textId="77777777" w:rsidR="00A720EB" w:rsidRDefault="0030286B">
            <w:pPr>
              <w:pStyle w:val="TableParagraph"/>
              <w:spacing w:before="31" w:line="310" w:lineRule="atLeast"/>
              <w:rPr>
                <w:rFonts w:ascii="Cambria"/>
                <w:sz w:val="21"/>
              </w:rPr>
            </w:pPr>
            <w:r>
              <w:rPr>
                <w:rFonts w:ascii="Cambria"/>
                <w:color w:val="333333"/>
                <w:w w:val="110"/>
                <w:sz w:val="21"/>
              </w:rPr>
              <w:t>Starter for using Couchbase document-oriented database and Spring Data Couchbase</w:t>
            </w:r>
          </w:p>
        </w:tc>
      </w:tr>
      <w:tr w:rsidR="00A720EB" w14:paraId="74934E01" w14:textId="77777777">
        <w:trPr>
          <w:trHeight w:val="741"/>
        </w:trPr>
        <w:tc>
          <w:tcPr>
            <w:tcW w:w="4988" w:type="dxa"/>
          </w:tcPr>
          <w:p w14:paraId="1E9A56B2" w14:textId="77777777" w:rsidR="00A720EB" w:rsidRDefault="0030286B">
            <w:pPr>
              <w:pStyle w:val="TableParagraph"/>
              <w:spacing w:before="84"/>
              <w:rPr>
                <w:sz w:val="21"/>
              </w:rPr>
            </w:pPr>
            <w:r>
              <w:rPr>
                <w:color w:val="B02045"/>
                <w:sz w:val="21"/>
              </w:rPr>
              <w:t>spring-boot-starter-data-couchbase-reactive</w:t>
            </w:r>
          </w:p>
        </w:tc>
        <w:tc>
          <w:tcPr>
            <w:tcW w:w="4988" w:type="dxa"/>
          </w:tcPr>
          <w:p w14:paraId="21FCA6AF" w14:textId="77777777" w:rsidR="00A720EB" w:rsidRDefault="0030286B">
            <w:pPr>
              <w:pStyle w:val="TableParagraph"/>
              <w:spacing w:before="31" w:line="310" w:lineRule="atLeast"/>
              <w:rPr>
                <w:rFonts w:ascii="Cambria"/>
                <w:sz w:val="21"/>
              </w:rPr>
            </w:pPr>
            <w:r>
              <w:rPr>
                <w:rFonts w:ascii="Cambria"/>
                <w:color w:val="333333"/>
                <w:w w:val="110"/>
                <w:sz w:val="21"/>
              </w:rPr>
              <w:t>Starter for using Couchbase document-oriented database and Spring Data Couchbase Reactive</w:t>
            </w:r>
          </w:p>
        </w:tc>
      </w:tr>
      <w:tr w:rsidR="00A720EB" w14:paraId="2D54AE07" w14:textId="77777777">
        <w:trPr>
          <w:trHeight w:val="741"/>
        </w:trPr>
        <w:tc>
          <w:tcPr>
            <w:tcW w:w="4988" w:type="dxa"/>
          </w:tcPr>
          <w:p w14:paraId="522472AD" w14:textId="77777777" w:rsidR="00A720EB" w:rsidRDefault="0030286B">
            <w:pPr>
              <w:pStyle w:val="TableParagraph"/>
              <w:spacing w:before="84"/>
              <w:rPr>
                <w:sz w:val="21"/>
              </w:rPr>
            </w:pPr>
            <w:r>
              <w:rPr>
                <w:color w:val="B02045"/>
                <w:sz w:val="21"/>
              </w:rPr>
              <w:t>spring-boot-starter-data-elasticsearch</w:t>
            </w:r>
          </w:p>
        </w:tc>
        <w:tc>
          <w:tcPr>
            <w:tcW w:w="4988" w:type="dxa"/>
          </w:tcPr>
          <w:p w14:paraId="5B50297E" w14:textId="77777777" w:rsidR="00A720EB" w:rsidRDefault="0030286B">
            <w:pPr>
              <w:pStyle w:val="TableParagraph"/>
              <w:spacing w:before="31" w:line="310" w:lineRule="atLeast"/>
              <w:rPr>
                <w:rFonts w:ascii="Cambria"/>
                <w:sz w:val="21"/>
              </w:rPr>
            </w:pPr>
            <w:r>
              <w:rPr>
                <w:rFonts w:ascii="Cambria"/>
                <w:color w:val="333333"/>
                <w:w w:val="110"/>
                <w:sz w:val="21"/>
              </w:rPr>
              <w:t>Starter for using Elasticsearch search and analytics engine and Spring Data Elasticsearch</w:t>
            </w:r>
          </w:p>
        </w:tc>
      </w:tr>
      <w:tr w:rsidR="00A720EB" w14:paraId="62121AF6" w14:textId="77777777">
        <w:trPr>
          <w:trHeight w:val="425"/>
        </w:trPr>
        <w:tc>
          <w:tcPr>
            <w:tcW w:w="4988" w:type="dxa"/>
          </w:tcPr>
          <w:p w14:paraId="24A5018F" w14:textId="77777777" w:rsidR="00A720EB" w:rsidRDefault="0030286B">
            <w:pPr>
              <w:pStyle w:val="TableParagraph"/>
              <w:spacing w:before="84"/>
              <w:rPr>
                <w:sz w:val="21"/>
              </w:rPr>
            </w:pPr>
            <w:r>
              <w:rPr>
                <w:color w:val="B02045"/>
                <w:sz w:val="21"/>
              </w:rPr>
              <w:t>spring-boot-starter-data-jdbc</w:t>
            </w:r>
          </w:p>
        </w:tc>
        <w:tc>
          <w:tcPr>
            <w:tcW w:w="4988" w:type="dxa"/>
          </w:tcPr>
          <w:p w14:paraId="69399B92" w14:textId="77777777" w:rsidR="00A720EB" w:rsidRDefault="0030286B">
            <w:pPr>
              <w:pStyle w:val="TableParagraph"/>
              <w:spacing w:before="94"/>
              <w:rPr>
                <w:rFonts w:ascii="Cambria"/>
                <w:sz w:val="21"/>
              </w:rPr>
            </w:pPr>
            <w:r>
              <w:rPr>
                <w:rFonts w:ascii="Cambria"/>
                <w:color w:val="333333"/>
                <w:w w:val="110"/>
                <w:sz w:val="21"/>
              </w:rPr>
              <w:t>Starter for using Spring Data JDBC</w:t>
            </w:r>
          </w:p>
        </w:tc>
      </w:tr>
      <w:tr w:rsidR="00A720EB" w14:paraId="78A9A34C" w14:textId="77777777">
        <w:trPr>
          <w:trHeight w:val="425"/>
        </w:trPr>
        <w:tc>
          <w:tcPr>
            <w:tcW w:w="4988" w:type="dxa"/>
          </w:tcPr>
          <w:p w14:paraId="6BA130EC" w14:textId="77777777" w:rsidR="00A720EB" w:rsidRDefault="0030286B">
            <w:pPr>
              <w:pStyle w:val="TableParagraph"/>
              <w:spacing w:before="84"/>
              <w:rPr>
                <w:sz w:val="21"/>
              </w:rPr>
            </w:pPr>
            <w:bookmarkStart w:id="76" w:name="_bookmark43"/>
            <w:bookmarkEnd w:id="76"/>
            <w:r>
              <w:rPr>
                <w:color w:val="B02045"/>
                <w:sz w:val="21"/>
              </w:rPr>
              <w:t>spring-boot-starter-data-jpa</w:t>
            </w:r>
          </w:p>
        </w:tc>
        <w:tc>
          <w:tcPr>
            <w:tcW w:w="4988" w:type="dxa"/>
          </w:tcPr>
          <w:p w14:paraId="21DEBA9B" w14:textId="77777777" w:rsidR="00A720EB" w:rsidRDefault="0030286B">
            <w:pPr>
              <w:pStyle w:val="TableParagraph"/>
              <w:spacing w:before="94"/>
              <w:rPr>
                <w:rFonts w:ascii="Cambria"/>
                <w:sz w:val="21"/>
              </w:rPr>
            </w:pPr>
            <w:r>
              <w:rPr>
                <w:rFonts w:ascii="Cambria"/>
                <w:color w:val="333333"/>
                <w:w w:val="110"/>
                <w:sz w:val="21"/>
              </w:rPr>
              <w:t>Starter for using Spring Data JPA with Hibernate</w:t>
            </w:r>
          </w:p>
        </w:tc>
      </w:tr>
    </w:tbl>
    <w:p w14:paraId="1EEA9665" w14:textId="77777777" w:rsidR="00A720EB" w:rsidRDefault="00A720EB">
      <w:pPr>
        <w:rPr>
          <w:sz w:val="21"/>
        </w:rPr>
        <w:sectPr w:rsidR="00A720EB">
          <w:pgSz w:w="11910" w:h="16840"/>
          <w:pgMar w:top="70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508E45B3" w14:textId="77777777">
        <w:trPr>
          <w:trHeight w:val="415"/>
        </w:trPr>
        <w:tc>
          <w:tcPr>
            <w:tcW w:w="4988" w:type="dxa"/>
            <w:tcBorders>
              <w:bottom w:val="single" w:sz="12" w:space="0" w:color="DDDDDD"/>
            </w:tcBorders>
          </w:tcPr>
          <w:p w14:paraId="289856DE"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4988" w:type="dxa"/>
            <w:tcBorders>
              <w:bottom w:val="single" w:sz="12" w:space="0" w:color="DDDDDD"/>
            </w:tcBorders>
          </w:tcPr>
          <w:p w14:paraId="774942A2"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D134757" w14:textId="77777777">
        <w:trPr>
          <w:trHeight w:val="415"/>
        </w:trPr>
        <w:tc>
          <w:tcPr>
            <w:tcW w:w="4988" w:type="dxa"/>
            <w:tcBorders>
              <w:top w:val="single" w:sz="12" w:space="0" w:color="DDDDDD"/>
            </w:tcBorders>
          </w:tcPr>
          <w:p w14:paraId="7D14BFD0" w14:textId="77777777" w:rsidR="00A720EB" w:rsidRDefault="0030286B">
            <w:pPr>
              <w:pStyle w:val="TableParagraph"/>
              <w:spacing w:before="71"/>
              <w:rPr>
                <w:sz w:val="21"/>
              </w:rPr>
            </w:pPr>
            <w:r>
              <w:rPr>
                <w:color w:val="B02045"/>
                <w:sz w:val="21"/>
              </w:rPr>
              <w:t>spring-boot-starter-data-ldap</w:t>
            </w:r>
          </w:p>
        </w:tc>
        <w:tc>
          <w:tcPr>
            <w:tcW w:w="4988" w:type="dxa"/>
            <w:tcBorders>
              <w:top w:val="single" w:sz="12" w:space="0" w:color="DDDDDD"/>
            </w:tcBorders>
          </w:tcPr>
          <w:p w14:paraId="200F7BF6" w14:textId="77777777" w:rsidR="00A720EB" w:rsidRDefault="0030286B">
            <w:pPr>
              <w:pStyle w:val="TableParagraph"/>
              <w:spacing w:before="82"/>
              <w:rPr>
                <w:rFonts w:ascii="Cambria"/>
                <w:sz w:val="21"/>
              </w:rPr>
            </w:pPr>
            <w:r>
              <w:rPr>
                <w:rFonts w:ascii="Cambria"/>
                <w:color w:val="333333"/>
                <w:w w:val="110"/>
                <w:sz w:val="21"/>
              </w:rPr>
              <w:t>Starter for using Spring Data LDAP</w:t>
            </w:r>
          </w:p>
        </w:tc>
      </w:tr>
      <w:tr w:rsidR="00A720EB" w14:paraId="2A458F19" w14:textId="77777777">
        <w:trPr>
          <w:trHeight w:val="741"/>
        </w:trPr>
        <w:tc>
          <w:tcPr>
            <w:tcW w:w="4988" w:type="dxa"/>
          </w:tcPr>
          <w:p w14:paraId="37A48635" w14:textId="77777777" w:rsidR="00A720EB" w:rsidRDefault="0030286B">
            <w:pPr>
              <w:pStyle w:val="TableParagraph"/>
              <w:spacing w:before="81"/>
              <w:rPr>
                <w:sz w:val="21"/>
              </w:rPr>
            </w:pPr>
            <w:r>
              <w:rPr>
                <w:color w:val="B02045"/>
                <w:sz w:val="21"/>
              </w:rPr>
              <w:t>spring-boot-starter-data-mongodb</w:t>
            </w:r>
          </w:p>
        </w:tc>
        <w:tc>
          <w:tcPr>
            <w:tcW w:w="4988" w:type="dxa"/>
          </w:tcPr>
          <w:p w14:paraId="3DBD8289" w14:textId="77777777" w:rsidR="00A720EB" w:rsidRDefault="0030286B">
            <w:pPr>
              <w:pStyle w:val="TableParagraph"/>
              <w:spacing w:before="28" w:line="310" w:lineRule="atLeast"/>
              <w:rPr>
                <w:rFonts w:ascii="Cambria"/>
                <w:sz w:val="21"/>
              </w:rPr>
            </w:pPr>
            <w:r>
              <w:rPr>
                <w:rFonts w:ascii="Cambria"/>
                <w:color w:val="333333"/>
                <w:w w:val="110"/>
                <w:sz w:val="21"/>
              </w:rPr>
              <w:t>Starter for using MongoDB document-oriented database and Spring Data MongoDB</w:t>
            </w:r>
          </w:p>
        </w:tc>
      </w:tr>
      <w:tr w:rsidR="00A720EB" w14:paraId="75E6D3C8" w14:textId="77777777">
        <w:trPr>
          <w:trHeight w:val="741"/>
        </w:trPr>
        <w:tc>
          <w:tcPr>
            <w:tcW w:w="4988" w:type="dxa"/>
          </w:tcPr>
          <w:p w14:paraId="498F76F1" w14:textId="77777777" w:rsidR="00A720EB" w:rsidRDefault="0030286B">
            <w:pPr>
              <w:pStyle w:val="TableParagraph"/>
              <w:spacing w:before="81"/>
              <w:rPr>
                <w:sz w:val="21"/>
              </w:rPr>
            </w:pPr>
            <w:r>
              <w:rPr>
                <w:color w:val="B02045"/>
                <w:sz w:val="21"/>
              </w:rPr>
              <w:t>spring-boot-starter-data-mongodb-reactive</w:t>
            </w:r>
          </w:p>
        </w:tc>
        <w:tc>
          <w:tcPr>
            <w:tcW w:w="4988" w:type="dxa"/>
          </w:tcPr>
          <w:p w14:paraId="1FD2D29F" w14:textId="77777777" w:rsidR="00A720EB" w:rsidRDefault="0030286B">
            <w:pPr>
              <w:pStyle w:val="TableParagraph"/>
              <w:spacing w:before="28" w:line="310" w:lineRule="atLeast"/>
              <w:rPr>
                <w:rFonts w:ascii="Cambria"/>
                <w:sz w:val="21"/>
              </w:rPr>
            </w:pPr>
            <w:r>
              <w:rPr>
                <w:rFonts w:ascii="Cambria"/>
                <w:color w:val="333333"/>
                <w:w w:val="110"/>
                <w:sz w:val="21"/>
              </w:rPr>
              <w:t>Starter for using MongoDB document-oriented database and Spring Data MongoDB Reactive</w:t>
            </w:r>
          </w:p>
        </w:tc>
      </w:tr>
      <w:tr w:rsidR="00A720EB" w14:paraId="3890A0B0" w14:textId="77777777">
        <w:trPr>
          <w:trHeight w:val="741"/>
        </w:trPr>
        <w:tc>
          <w:tcPr>
            <w:tcW w:w="4988" w:type="dxa"/>
          </w:tcPr>
          <w:p w14:paraId="33579E70" w14:textId="77777777" w:rsidR="00A720EB" w:rsidRDefault="0030286B">
            <w:pPr>
              <w:pStyle w:val="TableParagraph"/>
              <w:spacing w:before="81"/>
              <w:rPr>
                <w:sz w:val="21"/>
              </w:rPr>
            </w:pPr>
            <w:r>
              <w:rPr>
                <w:color w:val="B02045"/>
                <w:sz w:val="21"/>
              </w:rPr>
              <w:t>spring-boot-starter-data-neo4j</w:t>
            </w:r>
          </w:p>
        </w:tc>
        <w:tc>
          <w:tcPr>
            <w:tcW w:w="4988" w:type="dxa"/>
          </w:tcPr>
          <w:p w14:paraId="4365EF0D" w14:textId="77777777" w:rsidR="00A720EB" w:rsidRDefault="0030286B">
            <w:pPr>
              <w:pStyle w:val="TableParagraph"/>
              <w:spacing w:before="28" w:line="310" w:lineRule="atLeast"/>
              <w:ind w:right="372"/>
              <w:rPr>
                <w:rFonts w:ascii="Cambria"/>
                <w:sz w:val="21"/>
              </w:rPr>
            </w:pPr>
            <w:r>
              <w:rPr>
                <w:rFonts w:ascii="Cambria"/>
                <w:color w:val="333333"/>
                <w:w w:val="110"/>
                <w:sz w:val="21"/>
              </w:rPr>
              <w:t>Starter for using Neo4j graph database and Spring Data Neo4j</w:t>
            </w:r>
          </w:p>
        </w:tc>
      </w:tr>
      <w:tr w:rsidR="00A720EB" w14:paraId="62D18C74" w14:textId="77777777">
        <w:trPr>
          <w:trHeight w:val="425"/>
        </w:trPr>
        <w:tc>
          <w:tcPr>
            <w:tcW w:w="4988" w:type="dxa"/>
          </w:tcPr>
          <w:p w14:paraId="1F71470C" w14:textId="77777777" w:rsidR="00A720EB" w:rsidRDefault="0030286B">
            <w:pPr>
              <w:pStyle w:val="TableParagraph"/>
              <w:spacing w:before="81"/>
              <w:rPr>
                <w:sz w:val="21"/>
              </w:rPr>
            </w:pPr>
            <w:r>
              <w:rPr>
                <w:color w:val="B02045"/>
                <w:sz w:val="21"/>
              </w:rPr>
              <w:t>spring-boot-starter-data-r2dbc</w:t>
            </w:r>
          </w:p>
        </w:tc>
        <w:tc>
          <w:tcPr>
            <w:tcW w:w="4988" w:type="dxa"/>
          </w:tcPr>
          <w:p w14:paraId="57BF594C" w14:textId="77777777" w:rsidR="00A720EB" w:rsidRDefault="0030286B">
            <w:pPr>
              <w:pStyle w:val="TableParagraph"/>
              <w:spacing w:before="92"/>
              <w:rPr>
                <w:rFonts w:ascii="Cambria"/>
                <w:sz w:val="21"/>
              </w:rPr>
            </w:pPr>
            <w:r>
              <w:rPr>
                <w:rFonts w:ascii="Cambria"/>
                <w:color w:val="333333"/>
                <w:w w:val="110"/>
                <w:sz w:val="21"/>
              </w:rPr>
              <w:t>Starter for using Spring Data R2DBC</w:t>
            </w:r>
          </w:p>
        </w:tc>
      </w:tr>
      <w:tr w:rsidR="00A720EB" w14:paraId="0F9EDFA1" w14:textId="77777777">
        <w:trPr>
          <w:trHeight w:val="741"/>
        </w:trPr>
        <w:tc>
          <w:tcPr>
            <w:tcW w:w="4988" w:type="dxa"/>
          </w:tcPr>
          <w:p w14:paraId="1C0621CC" w14:textId="77777777" w:rsidR="00A720EB" w:rsidRDefault="0030286B">
            <w:pPr>
              <w:pStyle w:val="TableParagraph"/>
              <w:spacing w:before="81"/>
              <w:rPr>
                <w:sz w:val="21"/>
              </w:rPr>
            </w:pPr>
            <w:r>
              <w:rPr>
                <w:color w:val="B02045"/>
                <w:sz w:val="21"/>
              </w:rPr>
              <w:t>spring-boot-starter-data-redis</w:t>
            </w:r>
          </w:p>
        </w:tc>
        <w:tc>
          <w:tcPr>
            <w:tcW w:w="4988" w:type="dxa"/>
          </w:tcPr>
          <w:p w14:paraId="324B58EA" w14:textId="77777777" w:rsidR="00A720EB" w:rsidRDefault="0030286B">
            <w:pPr>
              <w:pStyle w:val="TableParagraph"/>
              <w:spacing w:before="28" w:line="310" w:lineRule="atLeast"/>
              <w:rPr>
                <w:rFonts w:ascii="Cambria"/>
                <w:sz w:val="21"/>
              </w:rPr>
            </w:pPr>
            <w:r>
              <w:rPr>
                <w:rFonts w:ascii="Cambria"/>
                <w:color w:val="333333"/>
                <w:w w:val="110"/>
                <w:sz w:val="21"/>
              </w:rPr>
              <w:t>Starter for using Redis key-value data store with Spring Data Redis and the Lettuce client</w:t>
            </w:r>
          </w:p>
        </w:tc>
      </w:tr>
      <w:tr w:rsidR="00A720EB" w14:paraId="5C8AB91E" w14:textId="77777777">
        <w:trPr>
          <w:trHeight w:val="741"/>
        </w:trPr>
        <w:tc>
          <w:tcPr>
            <w:tcW w:w="4988" w:type="dxa"/>
          </w:tcPr>
          <w:p w14:paraId="5CF5D610" w14:textId="77777777" w:rsidR="00A720EB" w:rsidRDefault="0030286B">
            <w:pPr>
              <w:pStyle w:val="TableParagraph"/>
              <w:spacing w:before="81"/>
              <w:rPr>
                <w:sz w:val="21"/>
              </w:rPr>
            </w:pPr>
            <w:r>
              <w:rPr>
                <w:color w:val="B02045"/>
                <w:sz w:val="21"/>
              </w:rPr>
              <w:t>spring-boot-starter-data-redis-reactive</w:t>
            </w:r>
          </w:p>
        </w:tc>
        <w:tc>
          <w:tcPr>
            <w:tcW w:w="4988" w:type="dxa"/>
          </w:tcPr>
          <w:p w14:paraId="5E2214F4" w14:textId="77777777" w:rsidR="00A720EB" w:rsidRDefault="0030286B">
            <w:pPr>
              <w:pStyle w:val="TableParagraph"/>
              <w:spacing w:before="28" w:line="310" w:lineRule="atLeast"/>
              <w:rPr>
                <w:rFonts w:ascii="Cambria"/>
                <w:sz w:val="21"/>
              </w:rPr>
            </w:pPr>
            <w:r>
              <w:rPr>
                <w:rFonts w:ascii="Cambria"/>
                <w:color w:val="333333"/>
                <w:w w:val="110"/>
                <w:sz w:val="21"/>
              </w:rPr>
              <w:t>Starter for using Redis key-value data store with Spring Data Redis reactive and the Lettuce client</w:t>
            </w:r>
          </w:p>
        </w:tc>
      </w:tr>
      <w:tr w:rsidR="00A720EB" w14:paraId="64E838CB" w14:textId="77777777">
        <w:trPr>
          <w:trHeight w:val="741"/>
        </w:trPr>
        <w:tc>
          <w:tcPr>
            <w:tcW w:w="4988" w:type="dxa"/>
          </w:tcPr>
          <w:p w14:paraId="50ECA3FE" w14:textId="77777777" w:rsidR="00A720EB" w:rsidRDefault="0030286B">
            <w:pPr>
              <w:pStyle w:val="TableParagraph"/>
              <w:spacing w:before="81"/>
              <w:rPr>
                <w:sz w:val="21"/>
              </w:rPr>
            </w:pPr>
            <w:r>
              <w:rPr>
                <w:color w:val="B02045"/>
                <w:sz w:val="21"/>
              </w:rPr>
              <w:t>spring-boot-starter-data-rest</w:t>
            </w:r>
          </w:p>
        </w:tc>
        <w:tc>
          <w:tcPr>
            <w:tcW w:w="4988" w:type="dxa"/>
          </w:tcPr>
          <w:p w14:paraId="215C16ED" w14:textId="77777777" w:rsidR="00A720EB" w:rsidRDefault="0030286B">
            <w:pPr>
              <w:pStyle w:val="TableParagraph"/>
              <w:spacing w:before="28" w:line="310" w:lineRule="atLeast"/>
              <w:ind w:right="372"/>
              <w:rPr>
                <w:rFonts w:ascii="Cambria"/>
                <w:sz w:val="21"/>
              </w:rPr>
            </w:pPr>
            <w:r>
              <w:rPr>
                <w:rFonts w:ascii="Cambria"/>
                <w:color w:val="333333"/>
                <w:w w:val="110"/>
                <w:sz w:val="21"/>
              </w:rPr>
              <w:t>Starter for exposing Spring Data repositories over REST using Spring Data REST</w:t>
            </w:r>
          </w:p>
        </w:tc>
      </w:tr>
      <w:tr w:rsidR="00A720EB" w14:paraId="528B9830" w14:textId="77777777">
        <w:trPr>
          <w:trHeight w:val="741"/>
        </w:trPr>
        <w:tc>
          <w:tcPr>
            <w:tcW w:w="4988" w:type="dxa"/>
          </w:tcPr>
          <w:p w14:paraId="3BD7B484" w14:textId="77777777" w:rsidR="00A720EB" w:rsidRDefault="0030286B">
            <w:pPr>
              <w:pStyle w:val="TableParagraph"/>
              <w:spacing w:before="81"/>
              <w:rPr>
                <w:sz w:val="21"/>
              </w:rPr>
            </w:pPr>
            <w:r>
              <w:rPr>
                <w:color w:val="B02045"/>
                <w:sz w:val="21"/>
              </w:rPr>
              <w:t>spring-boot-starter-data-solr</w:t>
            </w:r>
          </w:p>
        </w:tc>
        <w:tc>
          <w:tcPr>
            <w:tcW w:w="4988" w:type="dxa"/>
          </w:tcPr>
          <w:p w14:paraId="5D34ED97" w14:textId="77777777" w:rsidR="00A720EB" w:rsidRDefault="0030286B">
            <w:pPr>
              <w:pStyle w:val="TableParagraph"/>
              <w:spacing w:before="28" w:line="310" w:lineRule="atLeast"/>
              <w:ind w:right="372"/>
              <w:rPr>
                <w:rFonts w:ascii="Cambria"/>
                <w:sz w:val="21"/>
              </w:rPr>
            </w:pPr>
            <w:r>
              <w:rPr>
                <w:rFonts w:ascii="Cambria"/>
                <w:color w:val="333333"/>
                <w:w w:val="110"/>
                <w:sz w:val="21"/>
              </w:rPr>
              <w:t>Starter for using the Apache Solr search platform with Spring Data Solr</w:t>
            </w:r>
          </w:p>
        </w:tc>
      </w:tr>
      <w:tr w:rsidR="00A720EB" w14:paraId="57E2FA3E" w14:textId="77777777">
        <w:trPr>
          <w:trHeight w:val="741"/>
        </w:trPr>
        <w:tc>
          <w:tcPr>
            <w:tcW w:w="4988" w:type="dxa"/>
          </w:tcPr>
          <w:p w14:paraId="505A5D93" w14:textId="77777777" w:rsidR="00A720EB" w:rsidRDefault="0030286B">
            <w:pPr>
              <w:pStyle w:val="TableParagraph"/>
              <w:spacing w:before="81"/>
              <w:rPr>
                <w:sz w:val="21"/>
              </w:rPr>
            </w:pPr>
            <w:r>
              <w:rPr>
                <w:color w:val="B02045"/>
                <w:sz w:val="21"/>
              </w:rPr>
              <w:t>spring-boot-starter-freemarker</w:t>
            </w:r>
          </w:p>
        </w:tc>
        <w:tc>
          <w:tcPr>
            <w:tcW w:w="4988" w:type="dxa"/>
          </w:tcPr>
          <w:p w14:paraId="35C4BF13" w14:textId="77777777" w:rsidR="00A720EB" w:rsidRDefault="0030286B">
            <w:pPr>
              <w:pStyle w:val="TableParagraph"/>
              <w:spacing w:before="28" w:line="310" w:lineRule="atLeast"/>
              <w:rPr>
                <w:rFonts w:ascii="Cambria"/>
                <w:sz w:val="21"/>
              </w:rPr>
            </w:pPr>
            <w:r>
              <w:rPr>
                <w:rFonts w:ascii="Cambria"/>
                <w:color w:val="333333"/>
                <w:w w:val="110"/>
                <w:sz w:val="21"/>
              </w:rPr>
              <w:t>Starter for building MVC web applications using FreeMarker views</w:t>
            </w:r>
          </w:p>
        </w:tc>
      </w:tr>
      <w:tr w:rsidR="00A720EB" w14:paraId="0FCC1DE6" w14:textId="77777777">
        <w:trPr>
          <w:trHeight w:val="741"/>
        </w:trPr>
        <w:tc>
          <w:tcPr>
            <w:tcW w:w="4988" w:type="dxa"/>
          </w:tcPr>
          <w:p w14:paraId="39A6FB29" w14:textId="77777777" w:rsidR="00A720EB" w:rsidRDefault="0030286B">
            <w:pPr>
              <w:pStyle w:val="TableParagraph"/>
              <w:spacing w:before="81"/>
              <w:rPr>
                <w:sz w:val="21"/>
              </w:rPr>
            </w:pPr>
            <w:r>
              <w:rPr>
                <w:color w:val="B02045"/>
                <w:sz w:val="21"/>
              </w:rPr>
              <w:t>spring-boot-starter-groovy-templates</w:t>
            </w:r>
          </w:p>
        </w:tc>
        <w:tc>
          <w:tcPr>
            <w:tcW w:w="4988" w:type="dxa"/>
          </w:tcPr>
          <w:p w14:paraId="55FE172E" w14:textId="77777777" w:rsidR="00A720EB" w:rsidRDefault="0030286B">
            <w:pPr>
              <w:pStyle w:val="TableParagraph"/>
              <w:spacing w:before="28" w:line="310" w:lineRule="atLeast"/>
              <w:rPr>
                <w:rFonts w:ascii="Cambria"/>
                <w:sz w:val="21"/>
              </w:rPr>
            </w:pPr>
            <w:r>
              <w:rPr>
                <w:rFonts w:ascii="Cambria"/>
                <w:color w:val="333333"/>
                <w:w w:val="110"/>
                <w:sz w:val="21"/>
              </w:rPr>
              <w:t>Starter for building MVC web applications using Groovy Templates views</w:t>
            </w:r>
          </w:p>
        </w:tc>
      </w:tr>
      <w:tr w:rsidR="00A720EB" w14:paraId="03A10F1E" w14:textId="77777777">
        <w:trPr>
          <w:trHeight w:val="1056"/>
        </w:trPr>
        <w:tc>
          <w:tcPr>
            <w:tcW w:w="4988" w:type="dxa"/>
          </w:tcPr>
          <w:p w14:paraId="24A3C065" w14:textId="77777777" w:rsidR="00A720EB" w:rsidRDefault="0030286B">
            <w:pPr>
              <w:pStyle w:val="TableParagraph"/>
              <w:spacing w:before="81"/>
              <w:rPr>
                <w:sz w:val="21"/>
              </w:rPr>
            </w:pPr>
            <w:r>
              <w:rPr>
                <w:color w:val="B02045"/>
                <w:sz w:val="21"/>
              </w:rPr>
              <w:t>spring-boot-starter-hateoas</w:t>
            </w:r>
          </w:p>
        </w:tc>
        <w:tc>
          <w:tcPr>
            <w:tcW w:w="4988" w:type="dxa"/>
          </w:tcPr>
          <w:p w14:paraId="3918B33D" w14:textId="77777777" w:rsidR="00A720EB" w:rsidRDefault="0030286B">
            <w:pPr>
              <w:pStyle w:val="TableParagraph"/>
              <w:spacing w:before="28" w:line="310" w:lineRule="atLeast"/>
              <w:rPr>
                <w:rFonts w:ascii="Cambria"/>
                <w:sz w:val="21"/>
              </w:rPr>
            </w:pPr>
            <w:r>
              <w:rPr>
                <w:rFonts w:ascii="Cambria"/>
                <w:color w:val="333333"/>
                <w:w w:val="110"/>
                <w:sz w:val="21"/>
              </w:rPr>
              <w:t>Starter for building hypermedia-based RESTful web application with Spring MVC and Spring HATEOAS</w:t>
            </w:r>
          </w:p>
        </w:tc>
      </w:tr>
      <w:tr w:rsidR="00A720EB" w14:paraId="10789FFA" w14:textId="77777777">
        <w:trPr>
          <w:trHeight w:val="425"/>
        </w:trPr>
        <w:tc>
          <w:tcPr>
            <w:tcW w:w="4988" w:type="dxa"/>
          </w:tcPr>
          <w:p w14:paraId="54CDB136" w14:textId="77777777" w:rsidR="00A720EB" w:rsidRDefault="0030286B">
            <w:pPr>
              <w:pStyle w:val="TableParagraph"/>
              <w:spacing w:before="81"/>
              <w:rPr>
                <w:sz w:val="21"/>
              </w:rPr>
            </w:pPr>
            <w:r>
              <w:rPr>
                <w:color w:val="B02045"/>
                <w:sz w:val="21"/>
              </w:rPr>
              <w:t>spring-boot-starter-integration</w:t>
            </w:r>
          </w:p>
        </w:tc>
        <w:tc>
          <w:tcPr>
            <w:tcW w:w="4988" w:type="dxa"/>
          </w:tcPr>
          <w:p w14:paraId="7214511C" w14:textId="77777777" w:rsidR="00A720EB" w:rsidRDefault="0030286B">
            <w:pPr>
              <w:pStyle w:val="TableParagraph"/>
              <w:spacing w:before="92"/>
              <w:rPr>
                <w:rFonts w:ascii="Cambria"/>
                <w:sz w:val="21"/>
              </w:rPr>
            </w:pPr>
            <w:r>
              <w:rPr>
                <w:rFonts w:ascii="Cambria"/>
                <w:color w:val="333333"/>
                <w:w w:val="110"/>
                <w:sz w:val="21"/>
              </w:rPr>
              <w:t>Starter for using Spring Integration</w:t>
            </w:r>
          </w:p>
        </w:tc>
      </w:tr>
      <w:tr w:rsidR="00A720EB" w14:paraId="49D44423" w14:textId="77777777">
        <w:trPr>
          <w:trHeight w:val="741"/>
        </w:trPr>
        <w:tc>
          <w:tcPr>
            <w:tcW w:w="4988" w:type="dxa"/>
          </w:tcPr>
          <w:p w14:paraId="7E9DF695" w14:textId="77777777" w:rsidR="00A720EB" w:rsidRDefault="0030286B">
            <w:pPr>
              <w:pStyle w:val="TableParagraph"/>
              <w:spacing w:before="81"/>
              <w:rPr>
                <w:sz w:val="21"/>
              </w:rPr>
            </w:pPr>
            <w:bookmarkStart w:id="77" w:name="_bookmark44"/>
            <w:bookmarkEnd w:id="77"/>
            <w:r>
              <w:rPr>
                <w:color w:val="B02045"/>
                <w:sz w:val="21"/>
              </w:rPr>
              <w:t>spring-boot-starter-jdbc</w:t>
            </w:r>
          </w:p>
        </w:tc>
        <w:tc>
          <w:tcPr>
            <w:tcW w:w="4988" w:type="dxa"/>
          </w:tcPr>
          <w:p w14:paraId="0D09BE40" w14:textId="77777777" w:rsidR="00A720EB" w:rsidRDefault="0030286B">
            <w:pPr>
              <w:pStyle w:val="TableParagraph"/>
              <w:spacing w:before="28" w:line="310" w:lineRule="atLeast"/>
              <w:rPr>
                <w:rFonts w:ascii="Cambria"/>
                <w:sz w:val="21"/>
              </w:rPr>
            </w:pPr>
            <w:r>
              <w:rPr>
                <w:rFonts w:ascii="Cambria"/>
                <w:color w:val="333333"/>
                <w:w w:val="110"/>
                <w:sz w:val="21"/>
              </w:rPr>
              <w:t>Starter for using JDBC with the HikariCP connection pool</w:t>
            </w:r>
          </w:p>
        </w:tc>
      </w:tr>
      <w:tr w:rsidR="00A720EB" w14:paraId="5DDA966D" w14:textId="77777777">
        <w:trPr>
          <w:trHeight w:val="987"/>
        </w:trPr>
        <w:tc>
          <w:tcPr>
            <w:tcW w:w="4988" w:type="dxa"/>
          </w:tcPr>
          <w:p w14:paraId="6F46D6F7" w14:textId="77777777" w:rsidR="00A720EB" w:rsidRDefault="0030286B">
            <w:pPr>
              <w:pStyle w:val="TableParagraph"/>
              <w:spacing w:before="81"/>
              <w:rPr>
                <w:sz w:val="21"/>
              </w:rPr>
            </w:pPr>
            <w:r>
              <w:rPr>
                <w:color w:val="B02045"/>
                <w:sz w:val="21"/>
              </w:rPr>
              <w:t>spring-boot-starter-jersey</w:t>
            </w:r>
          </w:p>
        </w:tc>
        <w:tc>
          <w:tcPr>
            <w:tcW w:w="4988" w:type="dxa"/>
          </w:tcPr>
          <w:p w14:paraId="0BB1C349" w14:textId="77777777" w:rsidR="00A720EB" w:rsidRDefault="0030286B">
            <w:pPr>
              <w:pStyle w:val="TableParagraph"/>
              <w:spacing w:before="28" w:line="310" w:lineRule="atLeast"/>
              <w:rPr>
                <w:rFonts w:ascii="Cambria"/>
                <w:sz w:val="21"/>
              </w:rPr>
            </w:pPr>
            <w:r>
              <w:rPr>
                <w:rFonts w:ascii="Cambria"/>
                <w:color w:val="333333"/>
                <w:w w:val="110"/>
                <w:sz w:val="21"/>
              </w:rPr>
              <w:t>Starter for building RESTful web applications using JAX-RS and Jersey. An alternative to</w:t>
            </w:r>
          </w:p>
          <w:p w14:paraId="3D9D7D3E" w14:textId="77777777" w:rsidR="00A720EB" w:rsidRDefault="00E10349">
            <w:pPr>
              <w:pStyle w:val="TableParagraph"/>
              <w:spacing w:before="8"/>
              <w:rPr>
                <w:sz w:val="21"/>
              </w:rPr>
            </w:pPr>
            <w:hyperlink w:anchor="_bookmark45" w:history="1">
              <w:r w:rsidR="0030286B">
                <w:rPr>
                  <w:color w:val="B02045"/>
                  <w:sz w:val="21"/>
                </w:rPr>
                <w:t>spring-boot-starter-web</w:t>
              </w:r>
            </w:hyperlink>
          </w:p>
        </w:tc>
      </w:tr>
      <w:tr w:rsidR="00A720EB" w14:paraId="589B8EF3" w14:textId="77777777">
        <w:trPr>
          <w:trHeight w:val="1056"/>
        </w:trPr>
        <w:tc>
          <w:tcPr>
            <w:tcW w:w="4988" w:type="dxa"/>
          </w:tcPr>
          <w:p w14:paraId="25C9CACF" w14:textId="77777777" w:rsidR="00A720EB" w:rsidRDefault="0030286B">
            <w:pPr>
              <w:pStyle w:val="TableParagraph"/>
              <w:spacing w:before="81"/>
              <w:rPr>
                <w:sz w:val="21"/>
              </w:rPr>
            </w:pPr>
            <w:r>
              <w:rPr>
                <w:color w:val="B02045"/>
                <w:sz w:val="21"/>
              </w:rPr>
              <w:t>spring-boot-starter-jooq</w:t>
            </w:r>
          </w:p>
        </w:tc>
        <w:tc>
          <w:tcPr>
            <w:tcW w:w="4988" w:type="dxa"/>
          </w:tcPr>
          <w:p w14:paraId="497640AA" w14:textId="77777777" w:rsidR="00A720EB" w:rsidRDefault="0030286B">
            <w:pPr>
              <w:pStyle w:val="TableParagraph"/>
              <w:spacing w:line="316" w:lineRule="exact"/>
              <w:ind w:right="220"/>
              <w:jc w:val="both"/>
              <w:rPr>
                <w:sz w:val="21"/>
              </w:rPr>
            </w:pPr>
            <w:r>
              <w:rPr>
                <w:rFonts w:ascii="Cambria"/>
                <w:color w:val="333333"/>
                <w:w w:val="110"/>
                <w:sz w:val="21"/>
              </w:rPr>
              <w:t xml:space="preserve">Starter for using jOOQ to access SQL databases. </w:t>
            </w:r>
            <w:r>
              <w:rPr>
                <w:rFonts w:ascii="Cambria"/>
                <w:color w:val="333333"/>
                <w:w w:val="105"/>
                <w:sz w:val="21"/>
              </w:rPr>
              <w:t>An alternative to</w:t>
            </w:r>
            <w:r>
              <w:rPr>
                <w:rFonts w:ascii="Cambria"/>
                <w:color w:val="333333"/>
                <w:spacing w:val="-33"/>
                <w:w w:val="105"/>
                <w:sz w:val="21"/>
              </w:rPr>
              <w:t xml:space="preserve"> </w:t>
            </w:r>
            <w:hyperlink w:anchor="_bookmark43" w:history="1">
              <w:r>
                <w:rPr>
                  <w:color w:val="B02045"/>
                  <w:w w:val="105"/>
                  <w:sz w:val="21"/>
                </w:rPr>
                <w:t>spring-boot-starter-data-jpa</w:t>
              </w:r>
            </w:hyperlink>
            <w:r>
              <w:rPr>
                <w:color w:val="B02045"/>
                <w:w w:val="105"/>
                <w:sz w:val="21"/>
              </w:rPr>
              <w:t xml:space="preserve"> </w:t>
            </w:r>
            <w:r>
              <w:rPr>
                <w:rFonts w:ascii="Cambria"/>
                <w:color w:val="333333"/>
                <w:w w:val="110"/>
                <w:sz w:val="21"/>
              </w:rPr>
              <w:t>or</w:t>
            </w:r>
            <w:r>
              <w:rPr>
                <w:rFonts w:ascii="Cambria"/>
                <w:color w:val="333333"/>
                <w:spacing w:val="-4"/>
                <w:w w:val="110"/>
                <w:sz w:val="21"/>
              </w:rPr>
              <w:t xml:space="preserve"> </w:t>
            </w:r>
            <w:hyperlink w:anchor="_bookmark44" w:history="1">
              <w:r>
                <w:rPr>
                  <w:color w:val="B02045"/>
                  <w:w w:val="110"/>
                  <w:sz w:val="21"/>
                </w:rPr>
                <w:t>spring-boot-starter-jdbc</w:t>
              </w:r>
            </w:hyperlink>
          </w:p>
        </w:tc>
      </w:tr>
      <w:tr w:rsidR="00A720EB" w14:paraId="23263905" w14:textId="77777777">
        <w:trPr>
          <w:trHeight w:val="425"/>
        </w:trPr>
        <w:tc>
          <w:tcPr>
            <w:tcW w:w="4988" w:type="dxa"/>
          </w:tcPr>
          <w:p w14:paraId="62C7EE45" w14:textId="77777777" w:rsidR="00A720EB" w:rsidRDefault="0030286B">
            <w:pPr>
              <w:pStyle w:val="TableParagraph"/>
              <w:spacing w:before="81"/>
              <w:rPr>
                <w:sz w:val="21"/>
              </w:rPr>
            </w:pPr>
            <w:r>
              <w:rPr>
                <w:color w:val="B02045"/>
                <w:sz w:val="21"/>
              </w:rPr>
              <w:t>spring-boot-starter-json</w:t>
            </w:r>
          </w:p>
        </w:tc>
        <w:tc>
          <w:tcPr>
            <w:tcW w:w="4988" w:type="dxa"/>
          </w:tcPr>
          <w:p w14:paraId="2B0CBFC9" w14:textId="77777777" w:rsidR="00A720EB" w:rsidRDefault="0030286B">
            <w:pPr>
              <w:pStyle w:val="TableParagraph"/>
              <w:spacing w:before="92"/>
              <w:rPr>
                <w:rFonts w:ascii="Cambria"/>
                <w:sz w:val="21"/>
              </w:rPr>
            </w:pPr>
            <w:r>
              <w:rPr>
                <w:rFonts w:ascii="Cambria"/>
                <w:color w:val="333333"/>
                <w:w w:val="110"/>
                <w:sz w:val="21"/>
              </w:rPr>
              <w:t>Starter for reading and writing json</w:t>
            </w:r>
          </w:p>
        </w:tc>
      </w:tr>
      <w:tr w:rsidR="00A720EB" w14:paraId="0667389D" w14:textId="77777777">
        <w:trPr>
          <w:trHeight w:val="425"/>
        </w:trPr>
        <w:tc>
          <w:tcPr>
            <w:tcW w:w="4988" w:type="dxa"/>
          </w:tcPr>
          <w:p w14:paraId="0C6634BC" w14:textId="77777777" w:rsidR="00A720EB" w:rsidRDefault="0030286B">
            <w:pPr>
              <w:pStyle w:val="TableParagraph"/>
              <w:spacing w:before="81"/>
              <w:rPr>
                <w:sz w:val="21"/>
              </w:rPr>
            </w:pPr>
            <w:r>
              <w:rPr>
                <w:color w:val="B02045"/>
                <w:sz w:val="21"/>
              </w:rPr>
              <w:t>spring-boot-starter-jta-atomikos</w:t>
            </w:r>
          </w:p>
        </w:tc>
        <w:tc>
          <w:tcPr>
            <w:tcW w:w="4988" w:type="dxa"/>
          </w:tcPr>
          <w:p w14:paraId="4801C173" w14:textId="77777777" w:rsidR="00A720EB" w:rsidRDefault="0030286B">
            <w:pPr>
              <w:pStyle w:val="TableParagraph"/>
              <w:spacing w:before="92"/>
              <w:rPr>
                <w:rFonts w:ascii="Cambria"/>
                <w:sz w:val="21"/>
              </w:rPr>
            </w:pPr>
            <w:r>
              <w:rPr>
                <w:rFonts w:ascii="Cambria"/>
                <w:color w:val="333333"/>
                <w:w w:val="110"/>
                <w:sz w:val="21"/>
              </w:rPr>
              <w:t>Starter for JTA transactions using Atomikos</w:t>
            </w:r>
          </w:p>
        </w:tc>
      </w:tr>
      <w:tr w:rsidR="00A720EB" w14:paraId="3DCFB8E8" w14:textId="77777777">
        <w:trPr>
          <w:trHeight w:val="741"/>
        </w:trPr>
        <w:tc>
          <w:tcPr>
            <w:tcW w:w="4988" w:type="dxa"/>
          </w:tcPr>
          <w:p w14:paraId="40F39EB9" w14:textId="77777777" w:rsidR="00A720EB" w:rsidRDefault="0030286B">
            <w:pPr>
              <w:pStyle w:val="TableParagraph"/>
              <w:spacing w:before="81"/>
              <w:rPr>
                <w:sz w:val="21"/>
              </w:rPr>
            </w:pPr>
            <w:r>
              <w:rPr>
                <w:color w:val="B02045"/>
                <w:sz w:val="21"/>
              </w:rPr>
              <w:t>spring-boot-starter-jta-bitronix</w:t>
            </w:r>
          </w:p>
        </w:tc>
        <w:tc>
          <w:tcPr>
            <w:tcW w:w="4988" w:type="dxa"/>
          </w:tcPr>
          <w:p w14:paraId="5D1D082E" w14:textId="77777777" w:rsidR="00A720EB" w:rsidRDefault="0030286B">
            <w:pPr>
              <w:pStyle w:val="TableParagraph"/>
              <w:spacing w:before="28" w:line="310" w:lineRule="atLeast"/>
              <w:rPr>
                <w:rFonts w:ascii="Cambria"/>
                <w:sz w:val="21"/>
              </w:rPr>
            </w:pPr>
            <w:r>
              <w:rPr>
                <w:rFonts w:ascii="Cambria"/>
                <w:color w:val="333333"/>
                <w:w w:val="110"/>
                <w:sz w:val="21"/>
              </w:rPr>
              <w:t>Starter for JTA transactions using Bitronix. Deprecated since 2.3.0</w:t>
            </w:r>
          </w:p>
        </w:tc>
      </w:tr>
      <w:tr w:rsidR="00A720EB" w14:paraId="4F996608" w14:textId="77777777">
        <w:trPr>
          <w:trHeight w:val="741"/>
        </w:trPr>
        <w:tc>
          <w:tcPr>
            <w:tcW w:w="4988" w:type="dxa"/>
          </w:tcPr>
          <w:p w14:paraId="64F58135" w14:textId="77777777" w:rsidR="00A720EB" w:rsidRDefault="0030286B">
            <w:pPr>
              <w:pStyle w:val="TableParagraph"/>
              <w:spacing w:before="81"/>
              <w:rPr>
                <w:sz w:val="21"/>
              </w:rPr>
            </w:pPr>
            <w:r>
              <w:rPr>
                <w:color w:val="B02045"/>
                <w:sz w:val="21"/>
              </w:rPr>
              <w:t>spring-boot-starter-mail</w:t>
            </w:r>
          </w:p>
        </w:tc>
        <w:tc>
          <w:tcPr>
            <w:tcW w:w="4988" w:type="dxa"/>
          </w:tcPr>
          <w:p w14:paraId="396AC1CB" w14:textId="77777777" w:rsidR="00A720EB" w:rsidRDefault="0030286B">
            <w:pPr>
              <w:pStyle w:val="TableParagraph"/>
              <w:spacing w:before="28" w:line="310" w:lineRule="atLeast"/>
              <w:ind w:right="1059"/>
              <w:rPr>
                <w:rFonts w:ascii="Cambria" w:hAnsi="Cambria"/>
                <w:sz w:val="21"/>
              </w:rPr>
            </w:pPr>
            <w:r>
              <w:rPr>
                <w:rFonts w:ascii="Cambria" w:hAnsi="Cambria"/>
                <w:color w:val="333333"/>
                <w:w w:val="115"/>
                <w:sz w:val="21"/>
              </w:rPr>
              <w:t>Starter for using Java Mail and Spring Framework’s email sending support</w:t>
            </w:r>
          </w:p>
        </w:tc>
      </w:tr>
    </w:tbl>
    <w:p w14:paraId="4AEC2037" w14:textId="77777777" w:rsidR="00A720EB" w:rsidRDefault="00A720EB">
      <w:pPr>
        <w:spacing w:line="310" w:lineRule="atLeast"/>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31DED822" w14:textId="77777777">
        <w:trPr>
          <w:trHeight w:val="415"/>
        </w:trPr>
        <w:tc>
          <w:tcPr>
            <w:tcW w:w="4988" w:type="dxa"/>
            <w:tcBorders>
              <w:bottom w:val="single" w:sz="12" w:space="0" w:color="DDDDDD"/>
            </w:tcBorders>
          </w:tcPr>
          <w:p w14:paraId="5F9CB99E"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4988" w:type="dxa"/>
            <w:tcBorders>
              <w:bottom w:val="single" w:sz="12" w:space="0" w:color="DDDDDD"/>
            </w:tcBorders>
          </w:tcPr>
          <w:p w14:paraId="1A89C1DC"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4C2A02D" w14:textId="77777777">
        <w:trPr>
          <w:trHeight w:val="731"/>
        </w:trPr>
        <w:tc>
          <w:tcPr>
            <w:tcW w:w="4988" w:type="dxa"/>
            <w:tcBorders>
              <w:top w:val="single" w:sz="12" w:space="0" w:color="DDDDDD"/>
            </w:tcBorders>
          </w:tcPr>
          <w:p w14:paraId="4D166791" w14:textId="77777777" w:rsidR="00A720EB" w:rsidRDefault="0030286B">
            <w:pPr>
              <w:pStyle w:val="TableParagraph"/>
              <w:spacing w:before="71"/>
              <w:rPr>
                <w:sz w:val="21"/>
              </w:rPr>
            </w:pPr>
            <w:r>
              <w:rPr>
                <w:color w:val="B02045"/>
                <w:sz w:val="21"/>
              </w:rPr>
              <w:t>spring-boot-starter-mustache</w:t>
            </w:r>
          </w:p>
        </w:tc>
        <w:tc>
          <w:tcPr>
            <w:tcW w:w="4988" w:type="dxa"/>
            <w:tcBorders>
              <w:top w:val="single" w:sz="12" w:space="0" w:color="DDDDDD"/>
            </w:tcBorders>
          </w:tcPr>
          <w:p w14:paraId="6F900FFF" w14:textId="77777777" w:rsidR="00A720EB" w:rsidRDefault="0030286B">
            <w:pPr>
              <w:pStyle w:val="TableParagraph"/>
              <w:spacing w:before="18" w:line="310" w:lineRule="atLeast"/>
              <w:rPr>
                <w:rFonts w:ascii="Cambria"/>
                <w:sz w:val="21"/>
              </w:rPr>
            </w:pPr>
            <w:r>
              <w:rPr>
                <w:rFonts w:ascii="Cambria"/>
                <w:color w:val="333333"/>
                <w:w w:val="110"/>
                <w:sz w:val="21"/>
              </w:rPr>
              <w:t>Starter for building web applications using Mustache views</w:t>
            </w:r>
          </w:p>
        </w:tc>
      </w:tr>
      <w:tr w:rsidR="00A720EB" w14:paraId="45F7EE6C" w14:textId="77777777">
        <w:trPr>
          <w:trHeight w:val="741"/>
        </w:trPr>
        <w:tc>
          <w:tcPr>
            <w:tcW w:w="4988" w:type="dxa"/>
          </w:tcPr>
          <w:p w14:paraId="39879F9C" w14:textId="77777777" w:rsidR="00A720EB" w:rsidRDefault="0030286B">
            <w:pPr>
              <w:pStyle w:val="TableParagraph"/>
              <w:spacing w:before="81"/>
              <w:rPr>
                <w:sz w:val="21"/>
              </w:rPr>
            </w:pPr>
            <w:r>
              <w:rPr>
                <w:color w:val="B02045"/>
                <w:sz w:val="21"/>
              </w:rPr>
              <w:t>spring-boot-starter-oauth2-client</w:t>
            </w:r>
          </w:p>
        </w:tc>
        <w:tc>
          <w:tcPr>
            <w:tcW w:w="4988" w:type="dxa"/>
          </w:tcPr>
          <w:p w14:paraId="23030588" w14:textId="77777777" w:rsidR="00A720EB" w:rsidRDefault="0030286B">
            <w:pPr>
              <w:pStyle w:val="TableParagraph"/>
              <w:spacing w:before="28" w:line="310" w:lineRule="atLeast"/>
              <w:rPr>
                <w:rFonts w:ascii="Cambria" w:hAnsi="Cambria"/>
                <w:sz w:val="21"/>
              </w:rPr>
            </w:pPr>
            <w:r>
              <w:rPr>
                <w:rFonts w:ascii="Cambria" w:hAnsi="Cambria"/>
                <w:color w:val="333333"/>
                <w:w w:val="110"/>
                <w:sz w:val="21"/>
              </w:rPr>
              <w:t>Starter for using Spring Security’s OAuth2/OpenID Connect client features</w:t>
            </w:r>
          </w:p>
        </w:tc>
      </w:tr>
      <w:tr w:rsidR="00A720EB" w14:paraId="68DF0021" w14:textId="77777777">
        <w:trPr>
          <w:trHeight w:val="741"/>
        </w:trPr>
        <w:tc>
          <w:tcPr>
            <w:tcW w:w="4988" w:type="dxa"/>
          </w:tcPr>
          <w:p w14:paraId="53829208" w14:textId="77777777" w:rsidR="00A720EB" w:rsidRDefault="0030286B">
            <w:pPr>
              <w:pStyle w:val="TableParagraph"/>
              <w:spacing w:before="81"/>
              <w:rPr>
                <w:sz w:val="21"/>
              </w:rPr>
            </w:pPr>
            <w:r>
              <w:rPr>
                <w:color w:val="B02045"/>
                <w:sz w:val="21"/>
              </w:rPr>
              <w:t>spring-boot-starter-oauth2-resource-server</w:t>
            </w:r>
          </w:p>
        </w:tc>
        <w:tc>
          <w:tcPr>
            <w:tcW w:w="4988" w:type="dxa"/>
          </w:tcPr>
          <w:p w14:paraId="53290CDB" w14:textId="77777777" w:rsidR="00A720EB" w:rsidRDefault="0030286B">
            <w:pPr>
              <w:pStyle w:val="TableParagraph"/>
              <w:spacing w:before="28" w:line="310" w:lineRule="atLeast"/>
              <w:rPr>
                <w:rFonts w:ascii="Cambria" w:hAnsi="Cambria"/>
                <w:sz w:val="21"/>
              </w:rPr>
            </w:pPr>
            <w:r>
              <w:rPr>
                <w:rFonts w:ascii="Cambria" w:hAnsi="Cambria"/>
                <w:color w:val="333333"/>
                <w:w w:val="110"/>
                <w:sz w:val="21"/>
              </w:rPr>
              <w:t>Starter for using Spring Security’s OAuth2 resource server features</w:t>
            </w:r>
          </w:p>
        </w:tc>
      </w:tr>
      <w:tr w:rsidR="00A720EB" w14:paraId="4177ACED" w14:textId="77777777">
        <w:trPr>
          <w:trHeight w:val="425"/>
        </w:trPr>
        <w:tc>
          <w:tcPr>
            <w:tcW w:w="4988" w:type="dxa"/>
          </w:tcPr>
          <w:p w14:paraId="4E14D245" w14:textId="77777777" w:rsidR="00A720EB" w:rsidRDefault="0030286B">
            <w:pPr>
              <w:pStyle w:val="TableParagraph"/>
              <w:spacing w:before="81"/>
              <w:rPr>
                <w:sz w:val="21"/>
              </w:rPr>
            </w:pPr>
            <w:r>
              <w:rPr>
                <w:color w:val="B02045"/>
                <w:sz w:val="21"/>
              </w:rPr>
              <w:t>spring-boot-starter-quartz</w:t>
            </w:r>
          </w:p>
        </w:tc>
        <w:tc>
          <w:tcPr>
            <w:tcW w:w="4988" w:type="dxa"/>
          </w:tcPr>
          <w:p w14:paraId="0FD38A92" w14:textId="77777777" w:rsidR="00A720EB" w:rsidRDefault="0030286B">
            <w:pPr>
              <w:pStyle w:val="TableParagraph"/>
              <w:spacing w:before="92"/>
              <w:rPr>
                <w:rFonts w:ascii="Cambria"/>
                <w:sz w:val="21"/>
              </w:rPr>
            </w:pPr>
            <w:r>
              <w:rPr>
                <w:rFonts w:ascii="Cambria"/>
                <w:color w:val="333333"/>
                <w:w w:val="110"/>
                <w:sz w:val="21"/>
              </w:rPr>
              <w:t>Starter for using the Quartz scheduler</w:t>
            </w:r>
          </w:p>
        </w:tc>
      </w:tr>
      <w:tr w:rsidR="00A720EB" w14:paraId="1CBED23A" w14:textId="77777777">
        <w:trPr>
          <w:trHeight w:val="425"/>
        </w:trPr>
        <w:tc>
          <w:tcPr>
            <w:tcW w:w="4988" w:type="dxa"/>
          </w:tcPr>
          <w:p w14:paraId="2731C82E" w14:textId="77777777" w:rsidR="00A720EB" w:rsidRDefault="0030286B">
            <w:pPr>
              <w:pStyle w:val="TableParagraph"/>
              <w:spacing w:before="81"/>
              <w:rPr>
                <w:sz w:val="21"/>
              </w:rPr>
            </w:pPr>
            <w:r>
              <w:rPr>
                <w:color w:val="B02045"/>
                <w:sz w:val="21"/>
              </w:rPr>
              <w:t>spring-boot-starter-rsocket</w:t>
            </w:r>
          </w:p>
        </w:tc>
        <w:tc>
          <w:tcPr>
            <w:tcW w:w="4988" w:type="dxa"/>
          </w:tcPr>
          <w:p w14:paraId="3BD95C83" w14:textId="77777777" w:rsidR="00A720EB" w:rsidRDefault="0030286B">
            <w:pPr>
              <w:pStyle w:val="TableParagraph"/>
              <w:spacing w:before="92"/>
              <w:rPr>
                <w:rFonts w:ascii="Cambria"/>
                <w:sz w:val="21"/>
              </w:rPr>
            </w:pPr>
            <w:r>
              <w:rPr>
                <w:rFonts w:ascii="Cambria"/>
                <w:color w:val="333333"/>
                <w:w w:val="110"/>
                <w:sz w:val="21"/>
              </w:rPr>
              <w:t>Starter for building RSocket clients and servers</w:t>
            </w:r>
          </w:p>
        </w:tc>
      </w:tr>
      <w:tr w:rsidR="00A720EB" w14:paraId="4D03075D" w14:textId="77777777">
        <w:trPr>
          <w:trHeight w:val="425"/>
        </w:trPr>
        <w:tc>
          <w:tcPr>
            <w:tcW w:w="4988" w:type="dxa"/>
          </w:tcPr>
          <w:p w14:paraId="5F93BD3B" w14:textId="77777777" w:rsidR="00A720EB" w:rsidRDefault="0030286B">
            <w:pPr>
              <w:pStyle w:val="TableParagraph"/>
              <w:spacing w:before="81"/>
              <w:rPr>
                <w:sz w:val="21"/>
              </w:rPr>
            </w:pPr>
            <w:r>
              <w:rPr>
                <w:color w:val="B02045"/>
                <w:sz w:val="21"/>
              </w:rPr>
              <w:t>spring-boot-starter-security</w:t>
            </w:r>
          </w:p>
        </w:tc>
        <w:tc>
          <w:tcPr>
            <w:tcW w:w="4988" w:type="dxa"/>
          </w:tcPr>
          <w:p w14:paraId="41CF692F" w14:textId="77777777" w:rsidR="00A720EB" w:rsidRDefault="0030286B">
            <w:pPr>
              <w:pStyle w:val="TableParagraph"/>
              <w:spacing w:before="92"/>
              <w:rPr>
                <w:rFonts w:ascii="Cambria"/>
                <w:sz w:val="21"/>
              </w:rPr>
            </w:pPr>
            <w:r>
              <w:rPr>
                <w:rFonts w:ascii="Cambria"/>
                <w:color w:val="333333"/>
                <w:w w:val="110"/>
                <w:sz w:val="21"/>
              </w:rPr>
              <w:t>Starter for using Spring Security</w:t>
            </w:r>
          </w:p>
        </w:tc>
      </w:tr>
      <w:tr w:rsidR="00A720EB" w14:paraId="6AB69646" w14:textId="77777777">
        <w:trPr>
          <w:trHeight w:val="741"/>
        </w:trPr>
        <w:tc>
          <w:tcPr>
            <w:tcW w:w="4988" w:type="dxa"/>
          </w:tcPr>
          <w:p w14:paraId="083E6C15" w14:textId="77777777" w:rsidR="00A720EB" w:rsidRDefault="0030286B">
            <w:pPr>
              <w:pStyle w:val="TableParagraph"/>
              <w:spacing w:before="81"/>
              <w:rPr>
                <w:sz w:val="21"/>
              </w:rPr>
            </w:pPr>
            <w:r>
              <w:rPr>
                <w:color w:val="B02045"/>
                <w:sz w:val="21"/>
              </w:rPr>
              <w:t>spring-boot-starter-test</w:t>
            </w:r>
          </w:p>
        </w:tc>
        <w:tc>
          <w:tcPr>
            <w:tcW w:w="4988" w:type="dxa"/>
          </w:tcPr>
          <w:p w14:paraId="5DC50751" w14:textId="77777777" w:rsidR="00A720EB" w:rsidRDefault="0030286B">
            <w:pPr>
              <w:pStyle w:val="TableParagraph"/>
              <w:spacing w:before="28" w:line="310" w:lineRule="atLeast"/>
              <w:rPr>
                <w:rFonts w:ascii="Cambria"/>
                <w:sz w:val="21"/>
              </w:rPr>
            </w:pPr>
            <w:r>
              <w:rPr>
                <w:rFonts w:ascii="Cambria"/>
                <w:color w:val="333333"/>
                <w:w w:val="110"/>
                <w:sz w:val="21"/>
              </w:rPr>
              <w:t>Starter for testing Spring Boot applications with libraries including JUnit, Hamcrest and Mockito</w:t>
            </w:r>
          </w:p>
        </w:tc>
      </w:tr>
      <w:tr w:rsidR="00A720EB" w14:paraId="6EFD9AD8" w14:textId="77777777">
        <w:trPr>
          <w:trHeight w:val="741"/>
        </w:trPr>
        <w:tc>
          <w:tcPr>
            <w:tcW w:w="4988" w:type="dxa"/>
          </w:tcPr>
          <w:p w14:paraId="79AFF230" w14:textId="77777777" w:rsidR="00A720EB" w:rsidRDefault="0030286B">
            <w:pPr>
              <w:pStyle w:val="TableParagraph"/>
              <w:spacing w:before="81"/>
              <w:rPr>
                <w:sz w:val="21"/>
              </w:rPr>
            </w:pPr>
            <w:r>
              <w:rPr>
                <w:color w:val="B02045"/>
                <w:sz w:val="21"/>
              </w:rPr>
              <w:t>spring-boot-starter-thymeleaf</w:t>
            </w:r>
          </w:p>
        </w:tc>
        <w:tc>
          <w:tcPr>
            <w:tcW w:w="4988" w:type="dxa"/>
          </w:tcPr>
          <w:p w14:paraId="6DEB17D1" w14:textId="77777777" w:rsidR="00A720EB" w:rsidRDefault="0030286B">
            <w:pPr>
              <w:pStyle w:val="TableParagraph"/>
              <w:spacing w:before="28" w:line="310" w:lineRule="atLeast"/>
              <w:rPr>
                <w:rFonts w:ascii="Cambria"/>
                <w:sz w:val="21"/>
              </w:rPr>
            </w:pPr>
            <w:r>
              <w:rPr>
                <w:rFonts w:ascii="Cambria"/>
                <w:color w:val="333333"/>
                <w:w w:val="110"/>
                <w:sz w:val="21"/>
              </w:rPr>
              <w:t>Starter for building MVC web applications using Thymeleaf views</w:t>
            </w:r>
          </w:p>
        </w:tc>
      </w:tr>
      <w:tr w:rsidR="00A720EB" w14:paraId="38233D88" w14:textId="77777777">
        <w:trPr>
          <w:trHeight w:val="741"/>
        </w:trPr>
        <w:tc>
          <w:tcPr>
            <w:tcW w:w="4988" w:type="dxa"/>
          </w:tcPr>
          <w:p w14:paraId="122A3C4B" w14:textId="77777777" w:rsidR="00A720EB" w:rsidRDefault="0030286B">
            <w:pPr>
              <w:pStyle w:val="TableParagraph"/>
              <w:spacing w:before="81"/>
              <w:rPr>
                <w:sz w:val="21"/>
              </w:rPr>
            </w:pPr>
            <w:r>
              <w:rPr>
                <w:color w:val="B02045"/>
                <w:sz w:val="21"/>
              </w:rPr>
              <w:t>spring-boot-starter-validation</w:t>
            </w:r>
          </w:p>
        </w:tc>
        <w:tc>
          <w:tcPr>
            <w:tcW w:w="4988" w:type="dxa"/>
          </w:tcPr>
          <w:p w14:paraId="7957CB68" w14:textId="77777777" w:rsidR="00A720EB" w:rsidRDefault="0030286B">
            <w:pPr>
              <w:pStyle w:val="TableParagraph"/>
              <w:spacing w:before="28" w:line="310" w:lineRule="atLeast"/>
              <w:rPr>
                <w:rFonts w:ascii="Cambria"/>
                <w:sz w:val="21"/>
              </w:rPr>
            </w:pPr>
            <w:r>
              <w:rPr>
                <w:rFonts w:ascii="Cambria"/>
                <w:color w:val="333333"/>
                <w:w w:val="110"/>
                <w:sz w:val="21"/>
              </w:rPr>
              <w:t>Starter for using Java Bean Validation with Hibernate Validator</w:t>
            </w:r>
          </w:p>
        </w:tc>
      </w:tr>
      <w:tr w:rsidR="00A720EB" w14:paraId="393588D7" w14:textId="77777777">
        <w:trPr>
          <w:trHeight w:val="1056"/>
        </w:trPr>
        <w:tc>
          <w:tcPr>
            <w:tcW w:w="4988" w:type="dxa"/>
          </w:tcPr>
          <w:p w14:paraId="3AFC61D9" w14:textId="77777777" w:rsidR="00A720EB" w:rsidRDefault="0030286B">
            <w:pPr>
              <w:pStyle w:val="TableParagraph"/>
              <w:spacing w:before="81"/>
              <w:rPr>
                <w:sz w:val="21"/>
              </w:rPr>
            </w:pPr>
            <w:bookmarkStart w:id="78" w:name="_bookmark45"/>
            <w:bookmarkEnd w:id="78"/>
            <w:r>
              <w:rPr>
                <w:color w:val="B02045"/>
                <w:sz w:val="21"/>
              </w:rPr>
              <w:t>spring-boot-starter-web</w:t>
            </w:r>
          </w:p>
        </w:tc>
        <w:tc>
          <w:tcPr>
            <w:tcW w:w="4988" w:type="dxa"/>
          </w:tcPr>
          <w:p w14:paraId="7F429AB2" w14:textId="77777777" w:rsidR="00A720EB" w:rsidRDefault="0030286B">
            <w:pPr>
              <w:pStyle w:val="TableParagraph"/>
              <w:spacing w:before="28" w:line="310" w:lineRule="atLeast"/>
              <w:ind w:right="218"/>
              <w:rPr>
                <w:rFonts w:ascii="Cambria"/>
                <w:sz w:val="21"/>
              </w:rPr>
            </w:pPr>
            <w:r>
              <w:rPr>
                <w:rFonts w:ascii="Cambria"/>
                <w:color w:val="333333"/>
                <w:w w:val="110"/>
                <w:sz w:val="21"/>
              </w:rPr>
              <w:t>Starter for building web, including RESTful, applications using Spring MVC. Uses Tomcat as the default embedded container</w:t>
            </w:r>
          </w:p>
        </w:tc>
      </w:tr>
      <w:tr w:rsidR="00A720EB" w14:paraId="55F31436" w14:textId="77777777">
        <w:trPr>
          <w:trHeight w:val="425"/>
        </w:trPr>
        <w:tc>
          <w:tcPr>
            <w:tcW w:w="4988" w:type="dxa"/>
          </w:tcPr>
          <w:p w14:paraId="55CF626A" w14:textId="77777777" w:rsidR="00A720EB" w:rsidRDefault="0030286B">
            <w:pPr>
              <w:pStyle w:val="TableParagraph"/>
              <w:spacing w:before="81"/>
              <w:rPr>
                <w:sz w:val="21"/>
              </w:rPr>
            </w:pPr>
            <w:r>
              <w:rPr>
                <w:color w:val="B02045"/>
                <w:sz w:val="21"/>
              </w:rPr>
              <w:t>spring-boot-starter-web-services</w:t>
            </w:r>
          </w:p>
        </w:tc>
        <w:tc>
          <w:tcPr>
            <w:tcW w:w="4988" w:type="dxa"/>
          </w:tcPr>
          <w:p w14:paraId="0FFF7333" w14:textId="77777777" w:rsidR="00A720EB" w:rsidRDefault="0030286B">
            <w:pPr>
              <w:pStyle w:val="TableParagraph"/>
              <w:spacing w:before="92"/>
              <w:rPr>
                <w:rFonts w:ascii="Cambria"/>
                <w:sz w:val="21"/>
              </w:rPr>
            </w:pPr>
            <w:r>
              <w:rPr>
                <w:rFonts w:ascii="Cambria"/>
                <w:color w:val="333333"/>
                <w:w w:val="110"/>
                <w:sz w:val="21"/>
              </w:rPr>
              <w:t>Starter for using Spring Web Services</w:t>
            </w:r>
          </w:p>
        </w:tc>
      </w:tr>
      <w:tr w:rsidR="00A720EB" w14:paraId="330B816C" w14:textId="77777777">
        <w:trPr>
          <w:trHeight w:val="741"/>
        </w:trPr>
        <w:tc>
          <w:tcPr>
            <w:tcW w:w="4988" w:type="dxa"/>
          </w:tcPr>
          <w:p w14:paraId="695B4DA8" w14:textId="77777777" w:rsidR="00A720EB" w:rsidRDefault="0030286B">
            <w:pPr>
              <w:pStyle w:val="TableParagraph"/>
              <w:spacing w:before="81"/>
              <w:rPr>
                <w:sz w:val="21"/>
              </w:rPr>
            </w:pPr>
            <w:r>
              <w:rPr>
                <w:color w:val="B02045"/>
                <w:sz w:val="21"/>
              </w:rPr>
              <w:t>spring-boot-starter-webflux</w:t>
            </w:r>
          </w:p>
        </w:tc>
        <w:tc>
          <w:tcPr>
            <w:tcW w:w="4988" w:type="dxa"/>
          </w:tcPr>
          <w:p w14:paraId="6EBF1167" w14:textId="77777777" w:rsidR="00A720EB" w:rsidRDefault="0030286B">
            <w:pPr>
              <w:pStyle w:val="TableParagraph"/>
              <w:spacing w:before="28" w:line="310" w:lineRule="atLeast"/>
              <w:rPr>
                <w:rFonts w:ascii="Cambria" w:hAnsi="Cambria"/>
                <w:sz w:val="21"/>
              </w:rPr>
            </w:pPr>
            <w:r>
              <w:rPr>
                <w:rFonts w:ascii="Cambria" w:hAnsi="Cambria"/>
                <w:color w:val="333333"/>
                <w:w w:val="110"/>
                <w:sz w:val="21"/>
              </w:rPr>
              <w:t>Starter for building WebFlux applications using Spring Framework’s Reactive Web support</w:t>
            </w:r>
          </w:p>
        </w:tc>
      </w:tr>
      <w:tr w:rsidR="00A720EB" w14:paraId="459AC91A" w14:textId="77777777">
        <w:trPr>
          <w:trHeight w:val="741"/>
        </w:trPr>
        <w:tc>
          <w:tcPr>
            <w:tcW w:w="4988" w:type="dxa"/>
          </w:tcPr>
          <w:p w14:paraId="5B70E061" w14:textId="77777777" w:rsidR="00A720EB" w:rsidRDefault="0030286B">
            <w:pPr>
              <w:pStyle w:val="TableParagraph"/>
              <w:spacing w:before="81"/>
              <w:rPr>
                <w:sz w:val="21"/>
              </w:rPr>
            </w:pPr>
            <w:r>
              <w:rPr>
                <w:color w:val="B02045"/>
                <w:sz w:val="21"/>
              </w:rPr>
              <w:t>spring-boot-starter-websocket</w:t>
            </w:r>
          </w:p>
        </w:tc>
        <w:tc>
          <w:tcPr>
            <w:tcW w:w="4988" w:type="dxa"/>
          </w:tcPr>
          <w:p w14:paraId="145CC268" w14:textId="77777777" w:rsidR="00A720EB" w:rsidRDefault="0030286B">
            <w:pPr>
              <w:pStyle w:val="TableParagraph"/>
              <w:spacing w:before="28" w:line="310" w:lineRule="atLeast"/>
              <w:ind w:right="218"/>
              <w:rPr>
                <w:rFonts w:ascii="Cambria" w:hAnsi="Cambria"/>
                <w:sz w:val="21"/>
              </w:rPr>
            </w:pPr>
            <w:r>
              <w:rPr>
                <w:rFonts w:ascii="Cambria" w:hAnsi="Cambria"/>
                <w:color w:val="333333"/>
                <w:w w:val="110"/>
                <w:sz w:val="21"/>
              </w:rPr>
              <w:t>Starter for building WebSocket applications using Spring Framework’s WebSocket support</w:t>
            </w:r>
          </w:p>
        </w:tc>
      </w:tr>
    </w:tbl>
    <w:p w14:paraId="5E21C28F" w14:textId="77777777" w:rsidR="00A720EB" w:rsidRDefault="00A720EB">
      <w:pPr>
        <w:pStyle w:val="a3"/>
        <w:spacing w:before="12"/>
        <w:rPr>
          <w:rFonts w:ascii="Palatino Linotype"/>
          <w:i/>
          <w:sz w:val="10"/>
        </w:rPr>
      </w:pPr>
    </w:p>
    <w:p w14:paraId="5031D92A" w14:textId="77777777" w:rsidR="00A720EB" w:rsidRDefault="0030286B">
      <w:pPr>
        <w:pStyle w:val="a3"/>
        <w:spacing w:before="104"/>
        <w:ind w:left="124"/>
        <w:rPr>
          <w:rFonts w:ascii="Palatino Linotype"/>
          <w:i/>
        </w:rPr>
      </w:pPr>
      <w:r>
        <w:rPr>
          <w:color w:val="333333"/>
          <w:w w:val="110"/>
        </w:rPr>
        <w:t xml:space="preserve">In addition to the application starters, the following starters can be used to add </w:t>
      </w:r>
      <w:hyperlink w:anchor="_bookmark378" w:history="1">
        <w:r>
          <w:rPr>
            <w:rFonts w:ascii="Palatino Linotype"/>
            <w:i/>
            <w:color w:val="418BCA"/>
            <w:w w:val="110"/>
          </w:rPr>
          <w:t>production ready</w:t>
        </w:r>
      </w:hyperlink>
    </w:p>
    <w:p w14:paraId="23650BB5" w14:textId="77777777" w:rsidR="00A720EB" w:rsidRDefault="0030286B">
      <w:pPr>
        <w:pStyle w:val="a3"/>
        <w:spacing w:before="53"/>
        <w:ind w:left="124"/>
      </w:pPr>
      <w:r>
        <w:rPr>
          <w:color w:val="333333"/>
          <w:w w:val="110"/>
        </w:rPr>
        <w:t>features:</w:t>
      </w:r>
    </w:p>
    <w:p w14:paraId="767EE45C" w14:textId="77777777" w:rsidR="00A720EB" w:rsidRDefault="00A720EB">
      <w:pPr>
        <w:pStyle w:val="a3"/>
        <w:spacing w:before="5"/>
        <w:rPr>
          <w:sz w:val="24"/>
        </w:rPr>
      </w:pPr>
    </w:p>
    <w:p w14:paraId="7D0B93CE" w14:textId="77777777" w:rsidR="00A720EB" w:rsidRDefault="0030286B">
      <w:pPr>
        <w:spacing w:before="1"/>
        <w:ind w:left="124"/>
        <w:rPr>
          <w:rFonts w:ascii="Palatino Linotype"/>
          <w:i/>
          <w:sz w:val="20"/>
        </w:rPr>
      </w:pPr>
      <w:r>
        <w:rPr>
          <w:rFonts w:ascii="Palatino Linotype"/>
          <w:i/>
          <w:color w:val="333333"/>
          <w:w w:val="115"/>
          <w:sz w:val="20"/>
        </w:rPr>
        <w:t>Table 2. Spring Boot production starters</w:t>
      </w:r>
    </w:p>
    <w:p w14:paraId="403245BD" w14:textId="77777777" w:rsidR="00A720EB" w:rsidRDefault="00A720EB">
      <w:pPr>
        <w:pStyle w:val="a3"/>
        <w:spacing w:before="6"/>
        <w:rPr>
          <w:rFonts w:ascii="Palatino Linotype"/>
          <w:i/>
          <w:sz w:val="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713392DF" w14:textId="77777777">
        <w:trPr>
          <w:trHeight w:val="415"/>
        </w:trPr>
        <w:tc>
          <w:tcPr>
            <w:tcW w:w="4988" w:type="dxa"/>
            <w:tcBorders>
              <w:bottom w:val="single" w:sz="12" w:space="0" w:color="DDDDDD"/>
            </w:tcBorders>
          </w:tcPr>
          <w:p w14:paraId="63AA3FE5"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4988" w:type="dxa"/>
            <w:tcBorders>
              <w:bottom w:val="single" w:sz="12" w:space="0" w:color="DDDDDD"/>
            </w:tcBorders>
          </w:tcPr>
          <w:p w14:paraId="15622509"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00E94184" w14:textId="77777777">
        <w:trPr>
          <w:trHeight w:val="1046"/>
        </w:trPr>
        <w:tc>
          <w:tcPr>
            <w:tcW w:w="4988" w:type="dxa"/>
            <w:tcBorders>
              <w:top w:val="single" w:sz="12" w:space="0" w:color="DDDDDD"/>
            </w:tcBorders>
          </w:tcPr>
          <w:p w14:paraId="62967596" w14:textId="77777777" w:rsidR="00A720EB" w:rsidRDefault="0030286B">
            <w:pPr>
              <w:pStyle w:val="TableParagraph"/>
              <w:spacing w:before="74"/>
              <w:rPr>
                <w:sz w:val="21"/>
              </w:rPr>
            </w:pPr>
            <w:r>
              <w:rPr>
                <w:color w:val="B02045"/>
                <w:sz w:val="21"/>
              </w:rPr>
              <w:t>spring-boot-starter-actuator</w:t>
            </w:r>
          </w:p>
        </w:tc>
        <w:tc>
          <w:tcPr>
            <w:tcW w:w="4988" w:type="dxa"/>
            <w:tcBorders>
              <w:top w:val="single" w:sz="12" w:space="0" w:color="DDDDDD"/>
            </w:tcBorders>
          </w:tcPr>
          <w:p w14:paraId="4129F002" w14:textId="77777777" w:rsidR="00A720EB" w:rsidRDefault="0030286B">
            <w:pPr>
              <w:pStyle w:val="TableParagraph"/>
              <w:spacing w:before="21" w:line="310" w:lineRule="atLeast"/>
              <w:rPr>
                <w:rFonts w:ascii="Cambria" w:hAnsi="Cambria"/>
                <w:sz w:val="21"/>
              </w:rPr>
            </w:pPr>
            <w:r>
              <w:rPr>
                <w:rFonts w:ascii="Cambria" w:hAnsi="Cambria"/>
                <w:color w:val="333333"/>
                <w:w w:val="110"/>
                <w:sz w:val="21"/>
              </w:rPr>
              <w:t>Starter for using Spring Boot’s Actuator which provides production ready features to help you monitor and manage your application</w:t>
            </w:r>
          </w:p>
        </w:tc>
      </w:tr>
    </w:tbl>
    <w:p w14:paraId="0F830EB1" w14:textId="77777777" w:rsidR="00A720EB" w:rsidRDefault="00A720EB">
      <w:pPr>
        <w:pStyle w:val="a3"/>
        <w:spacing w:before="5"/>
        <w:rPr>
          <w:rFonts w:ascii="Palatino Linotype"/>
          <w:i/>
          <w:sz w:val="20"/>
        </w:rPr>
      </w:pPr>
    </w:p>
    <w:p w14:paraId="31D75673" w14:textId="77777777" w:rsidR="00A720EB" w:rsidRDefault="0030286B">
      <w:pPr>
        <w:pStyle w:val="a3"/>
        <w:spacing w:line="307" w:lineRule="auto"/>
        <w:ind w:left="124" w:right="462"/>
      </w:pPr>
      <w:r>
        <w:rPr>
          <w:color w:val="333333"/>
          <w:w w:val="110"/>
        </w:rPr>
        <w:t xml:space="preserve">Finally, Spring Boot also includes the following starters that can be used if you want to exclude </w:t>
      </w:r>
      <w:proofErr w:type="gramStart"/>
      <w:r>
        <w:rPr>
          <w:color w:val="333333"/>
          <w:w w:val="110"/>
        </w:rPr>
        <w:t>or  swap</w:t>
      </w:r>
      <w:proofErr w:type="gramEnd"/>
      <w:r>
        <w:rPr>
          <w:color w:val="333333"/>
          <w:w w:val="110"/>
        </w:rPr>
        <w:t xml:space="preserve"> specific technical facets:</w:t>
      </w:r>
    </w:p>
    <w:p w14:paraId="2D1C36F5" w14:textId="77777777" w:rsidR="00A720EB" w:rsidRDefault="0030286B">
      <w:pPr>
        <w:spacing w:before="219"/>
        <w:ind w:left="124"/>
        <w:rPr>
          <w:rFonts w:ascii="Palatino Linotype"/>
          <w:i/>
          <w:sz w:val="20"/>
        </w:rPr>
      </w:pPr>
      <w:r>
        <w:rPr>
          <w:rFonts w:ascii="Palatino Linotype"/>
          <w:i/>
          <w:color w:val="333333"/>
          <w:w w:val="115"/>
          <w:sz w:val="20"/>
        </w:rPr>
        <w:t>Table 3. Spring Boot technical starters</w:t>
      </w:r>
    </w:p>
    <w:p w14:paraId="2E75278A" w14:textId="77777777" w:rsidR="00A720EB" w:rsidRDefault="00A720EB">
      <w:pPr>
        <w:rPr>
          <w:rFonts w:ascii="Palatino Linotype"/>
          <w:sz w:val="20"/>
        </w:rPr>
        <w:sectPr w:rsidR="00A720EB">
          <w:pgSz w:w="11910" w:h="16840"/>
          <w:pgMar w:top="70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05875A04" w14:textId="77777777">
        <w:trPr>
          <w:trHeight w:val="415"/>
        </w:trPr>
        <w:tc>
          <w:tcPr>
            <w:tcW w:w="4988" w:type="dxa"/>
            <w:tcBorders>
              <w:bottom w:val="single" w:sz="12" w:space="0" w:color="DDDDDD"/>
            </w:tcBorders>
          </w:tcPr>
          <w:p w14:paraId="5F7AA2C0"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4988" w:type="dxa"/>
            <w:tcBorders>
              <w:bottom w:val="single" w:sz="12" w:space="0" w:color="DDDDDD"/>
            </w:tcBorders>
          </w:tcPr>
          <w:p w14:paraId="7EC27820"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D38E56F" w14:textId="77777777">
        <w:trPr>
          <w:trHeight w:val="977"/>
        </w:trPr>
        <w:tc>
          <w:tcPr>
            <w:tcW w:w="4988" w:type="dxa"/>
            <w:tcBorders>
              <w:top w:val="single" w:sz="12" w:space="0" w:color="DDDDDD"/>
            </w:tcBorders>
          </w:tcPr>
          <w:p w14:paraId="3494FEA1" w14:textId="77777777" w:rsidR="00A720EB" w:rsidRDefault="0030286B">
            <w:pPr>
              <w:pStyle w:val="TableParagraph"/>
              <w:spacing w:before="71"/>
              <w:rPr>
                <w:sz w:val="21"/>
              </w:rPr>
            </w:pPr>
            <w:r>
              <w:rPr>
                <w:color w:val="B02045"/>
                <w:sz w:val="21"/>
              </w:rPr>
              <w:t>spring-boot-starter-jetty</w:t>
            </w:r>
          </w:p>
        </w:tc>
        <w:tc>
          <w:tcPr>
            <w:tcW w:w="4988" w:type="dxa"/>
            <w:tcBorders>
              <w:top w:val="single" w:sz="12" w:space="0" w:color="DDDDDD"/>
            </w:tcBorders>
          </w:tcPr>
          <w:p w14:paraId="52F942A6" w14:textId="77777777" w:rsidR="00A720EB" w:rsidRDefault="0030286B">
            <w:pPr>
              <w:pStyle w:val="TableParagraph"/>
              <w:spacing w:before="82"/>
              <w:rPr>
                <w:rFonts w:ascii="Cambria"/>
                <w:sz w:val="21"/>
              </w:rPr>
            </w:pPr>
            <w:r>
              <w:rPr>
                <w:rFonts w:ascii="Cambria"/>
                <w:color w:val="333333"/>
                <w:w w:val="110"/>
                <w:sz w:val="21"/>
              </w:rPr>
              <w:t>Starter for using Jetty as the embedded servlet</w:t>
            </w:r>
          </w:p>
          <w:p w14:paraId="3F7EC42E" w14:textId="77777777" w:rsidR="00A720EB" w:rsidRDefault="0030286B">
            <w:pPr>
              <w:pStyle w:val="TableParagraph"/>
              <w:spacing w:before="67" w:line="230" w:lineRule="auto"/>
              <w:ind w:right="775"/>
              <w:rPr>
                <w:sz w:val="21"/>
              </w:rPr>
            </w:pPr>
            <w:r>
              <w:rPr>
                <w:rFonts w:ascii="Cambria"/>
                <w:color w:val="333333"/>
                <w:w w:val="110"/>
                <w:sz w:val="21"/>
              </w:rPr>
              <w:t xml:space="preserve">container. An alternative to </w:t>
            </w:r>
            <w:hyperlink w:anchor="_bookmark47" w:history="1">
              <w:r>
                <w:rPr>
                  <w:color w:val="B02045"/>
                  <w:w w:val="110"/>
                  <w:sz w:val="21"/>
                </w:rPr>
                <w:t>spring-boot-</w:t>
              </w:r>
            </w:hyperlink>
            <w:r>
              <w:rPr>
                <w:color w:val="B02045"/>
                <w:w w:val="110"/>
                <w:sz w:val="21"/>
              </w:rPr>
              <w:t xml:space="preserve"> </w:t>
            </w:r>
            <w:hyperlink w:anchor="_bookmark47" w:history="1">
              <w:r>
                <w:rPr>
                  <w:color w:val="B02045"/>
                  <w:w w:val="110"/>
                  <w:sz w:val="21"/>
                </w:rPr>
                <w:t>starter-tomcat</w:t>
              </w:r>
            </w:hyperlink>
          </w:p>
        </w:tc>
      </w:tr>
      <w:tr w:rsidR="00A720EB" w14:paraId="0AD72CBF" w14:textId="77777777">
        <w:trPr>
          <w:trHeight w:val="741"/>
        </w:trPr>
        <w:tc>
          <w:tcPr>
            <w:tcW w:w="4988" w:type="dxa"/>
          </w:tcPr>
          <w:p w14:paraId="0AC6D388" w14:textId="77777777" w:rsidR="00A720EB" w:rsidRDefault="0030286B">
            <w:pPr>
              <w:pStyle w:val="TableParagraph"/>
              <w:spacing w:before="81"/>
              <w:rPr>
                <w:sz w:val="21"/>
              </w:rPr>
            </w:pPr>
            <w:r>
              <w:rPr>
                <w:color w:val="B02045"/>
                <w:sz w:val="21"/>
              </w:rPr>
              <w:t>spring-boot-starter-log4j2</w:t>
            </w:r>
          </w:p>
        </w:tc>
        <w:tc>
          <w:tcPr>
            <w:tcW w:w="4988" w:type="dxa"/>
          </w:tcPr>
          <w:p w14:paraId="08ADB3CB" w14:textId="77777777" w:rsidR="00A720EB" w:rsidRDefault="0030286B">
            <w:pPr>
              <w:pStyle w:val="TableParagraph"/>
              <w:spacing w:before="8" w:line="330" w:lineRule="atLeast"/>
              <w:ind w:right="606"/>
              <w:rPr>
                <w:sz w:val="21"/>
              </w:rPr>
            </w:pPr>
            <w:r>
              <w:rPr>
                <w:rFonts w:ascii="Cambria"/>
                <w:color w:val="333333"/>
                <w:w w:val="110"/>
                <w:sz w:val="21"/>
              </w:rPr>
              <w:t xml:space="preserve">Starter for using Log4j2 for logging. An </w:t>
            </w:r>
            <w:r>
              <w:rPr>
                <w:rFonts w:ascii="Cambria"/>
                <w:color w:val="333333"/>
                <w:w w:val="105"/>
                <w:sz w:val="21"/>
              </w:rPr>
              <w:t xml:space="preserve">alternative to </w:t>
            </w:r>
            <w:hyperlink w:anchor="_bookmark46" w:history="1">
              <w:r>
                <w:rPr>
                  <w:color w:val="B02045"/>
                  <w:w w:val="105"/>
                  <w:sz w:val="21"/>
                </w:rPr>
                <w:t>spring-boot-starter-logging</w:t>
              </w:r>
            </w:hyperlink>
          </w:p>
        </w:tc>
      </w:tr>
      <w:tr w:rsidR="00A720EB" w14:paraId="6E27C45A" w14:textId="77777777">
        <w:trPr>
          <w:trHeight w:val="741"/>
        </w:trPr>
        <w:tc>
          <w:tcPr>
            <w:tcW w:w="4988" w:type="dxa"/>
          </w:tcPr>
          <w:p w14:paraId="7BDC3F20" w14:textId="77777777" w:rsidR="00A720EB" w:rsidRDefault="0030286B">
            <w:pPr>
              <w:pStyle w:val="TableParagraph"/>
              <w:spacing w:before="81"/>
              <w:rPr>
                <w:sz w:val="21"/>
              </w:rPr>
            </w:pPr>
            <w:bookmarkStart w:id="79" w:name="_bookmark46"/>
            <w:bookmarkEnd w:id="79"/>
            <w:r>
              <w:rPr>
                <w:color w:val="B02045"/>
                <w:sz w:val="21"/>
              </w:rPr>
              <w:t>spring-boot-starter-logging</w:t>
            </w:r>
          </w:p>
        </w:tc>
        <w:tc>
          <w:tcPr>
            <w:tcW w:w="4988" w:type="dxa"/>
          </w:tcPr>
          <w:p w14:paraId="4B6EA11D" w14:textId="77777777" w:rsidR="00A720EB" w:rsidRDefault="0030286B">
            <w:pPr>
              <w:pStyle w:val="TableParagraph"/>
              <w:spacing w:before="28" w:line="310" w:lineRule="atLeast"/>
              <w:ind w:right="372"/>
              <w:rPr>
                <w:rFonts w:ascii="Cambria"/>
                <w:sz w:val="21"/>
              </w:rPr>
            </w:pPr>
            <w:r>
              <w:rPr>
                <w:rFonts w:ascii="Cambria"/>
                <w:color w:val="333333"/>
                <w:w w:val="110"/>
                <w:sz w:val="21"/>
              </w:rPr>
              <w:t>Starter for logging using Logback. Default logging starter</w:t>
            </w:r>
          </w:p>
        </w:tc>
      </w:tr>
      <w:tr w:rsidR="00A720EB" w14:paraId="259420FE" w14:textId="77777777">
        <w:trPr>
          <w:trHeight w:val="741"/>
        </w:trPr>
        <w:tc>
          <w:tcPr>
            <w:tcW w:w="4988" w:type="dxa"/>
          </w:tcPr>
          <w:p w14:paraId="06A4A357" w14:textId="77777777" w:rsidR="00A720EB" w:rsidRDefault="0030286B">
            <w:pPr>
              <w:pStyle w:val="TableParagraph"/>
              <w:spacing w:before="81"/>
              <w:rPr>
                <w:sz w:val="21"/>
              </w:rPr>
            </w:pPr>
            <w:r>
              <w:rPr>
                <w:color w:val="B02045"/>
                <w:sz w:val="21"/>
              </w:rPr>
              <w:t>spring-boot-starter-reactor-netty</w:t>
            </w:r>
          </w:p>
        </w:tc>
        <w:tc>
          <w:tcPr>
            <w:tcW w:w="4988" w:type="dxa"/>
          </w:tcPr>
          <w:p w14:paraId="751AF0C8" w14:textId="77777777" w:rsidR="00A720EB" w:rsidRDefault="0030286B">
            <w:pPr>
              <w:pStyle w:val="TableParagraph"/>
              <w:spacing w:before="28" w:line="310" w:lineRule="atLeast"/>
              <w:rPr>
                <w:rFonts w:ascii="Cambria"/>
                <w:sz w:val="21"/>
              </w:rPr>
            </w:pPr>
            <w:r>
              <w:rPr>
                <w:rFonts w:ascii="Cambria"/>
                <w:color w:val="333333"/>
                <w:w w:val="110"/>
                <w:sz w:val="21"/>
              </w:rPr>
              <w:t>Starter for using Reactor Netty as the embedded reactive HTTP server.</w:t>
            </w:r>
          </w:p>
        </w:tc>
      </w:tr>
      <w:tr w:rsidR="00A720EB" w14:paraId="5191D663" w14:textId="77777777">
        <w:trPr>
          <w:trHeight w:val="1056"/>
        </w:trPr>
        <w:tc>
          <w:tcPr>
            <w:tcW w:w="4988" w:type="dxa"/>
          </w:tcPr>
          <w:p w14:paraId="3EC27F53" w14:textId="77777777" w:rsidR="00A720EB" w:rsidRDefault="0030286B">
            <w:pPr>
              <w:pStyle w:val="TableParagraph"/>
              <w:spacing w:before="81"/>
              <w:rPr>
                <w:sz w:val="21"/>
              </w:rPr>
            </w:pPr>
            <w:bookmarkStart w:id="80" w:name="_bookmark47"/>
            <w:bookmarkEnd w:id="80"/>
            <w:r>
              <w:rPr>
                <w:color w:val="B02045"/>
                <w:sz w:val="21"/>
              </w:rPr>
              <w:t>spring-boot-starter-tomcat</w:t>
            </w:r>
          </w:p>
        </w:tc>
        <w:tc>
          <w:tcPr>
            <w:tcW w:w="4988" w:type="dxa"/>
          </w:tcPr>
          <w:p w14:paraId="469B5ED4" w14:textId="77777777" w:rsidR="00A720EB" w:rsidRDefault="0030286B">
            <w:pPr>
              <w:pStyle w:val="TableParagraph"/>
              <w:spacing w:line="316" w:lineRule="exact"/>
              <w:ind w:right="372"/>
              <w:rPr>
                <w:sz w:val="21"/>
              </w:rPr>
            </w:pPr>
            <w:r>
              <w:rPr>
                <w:rFonts w:ascii="Cambria"/>
                <w:color w:val="333333"/>
                <w:w w:val="110"/>
                <w:sz w:val="21"/>
              </w:rPr>
              <w:t xml:space="preserve">Starter for using Tomcat as the embedded servlet container. Default servlet container starter used by </w:t>
            </w:r>
            <w:hyperlink w:anchor="_bookmark45" w:history="1">
              <w:r>
                <w:rPr>
                  <w:color w:val="B02045"/>
                  <w:w w:val="110"/>
                  <w:sz w:val="21"/>
                </w:rPr>
                <w:t>spring-boot-starter-web</w:t>
              </w:r>
            </w:hyperlink>
          </w:p>
        </w:tc>
      </w:tr>
      <w:tr w:rsidR="00A720EB" w14:paraId="7E6EFEFB" w14:textId="77777777">
        <w:trPr>
          <w:trHeight w:val="987"/>
        </w:trPr>
        <w:tc>
          <w:tcPr>
            <w:tcW w:w="4988" w:type="dxa"/>
          </w:tcPr>
          <w:p w14:paraId="62DA78F7" w14:textId="77777777" w:rsidR="00A720EB" w:rsidRDefault="0030286B">
            <w:pPr>
              <w:pStyle w:val="TableParagraph"/>
              <w:spacing w:before="81"/>
              <w:rPr>
                <w:sz w:val="21"/>
              </w:rPr>
            </w:pPr>
            <w:r>
              <w:rPr>
                <w:color w:val="B02045"/>
                <w:sz w:val="21"/>
              </w:rPr>
              <w:t>spring-boot-starter-undertow</w:t>
            </w:r>
          </w:p>
        </w:tc>
        <w:tc>
          <w:tcPr>
            <w:tcW w:w="4988" w:type="dxa"/>
          </w:tcPr>
          <w:p w14:paraId="725F963C" w14:textId="77777777" w:rsidR="00A720EB" w:rsidRDefault="0030286B">
            <w:pPr>
              <w:pStyle w:val="TableParagraph"/>
              <w:spacing w:before="92"/>
              <w:rPr>
                <w:rFonts w:ascii="Cambria"/>
                <w:sz w:val="21"/>
              </w:rPr>
            </w:pPr>
            <w:r>
              <w:rPr>
                <w:rFonts w:ascii="Cambria"/>
                <w:color w:val="333333"/>
                <w:w w:val="110"/>
                <w:sz w:val="21"/>
              </w:rPr>
              <w:t>Starter for using Undertow as the embedded</w:t>
            </w:r>
          </w:p>
          <w:p w14:paraId="58137B53" w14:textId="77777777" w:rsidR="00A720EB" w:rsidRDefault="0030286B">
            <w:pPr>
              <w:pStyle w:val="TableParagraph"/>
              <w:spacing w:before="67" w:line="230" w:lineRule="auto"/>
              <w:ind w:right="44"/>
              <w:rPr>
                <w:sz w:val="21"/>
              </w:rPr>
            </w:pPr>
            <w:r>
              <w:rPr>
                <w:rFonts w:ascii="Cambria"/>
                <w:color w:val="333333"/>
                <w:w w:val="110"/>
                <w:sz w:val="21"/>
              </w:rPr>
              <w:t xml:space="preserve">servlet container. An alternative to </w:t>
            </w:r>
            <w:hyperlink w:anchor="_bookmark47" w:history="1">
              <w:r>
                <w:rPr>
                  <w:color w:val="B02045"/>
                  <w:w w:val="110"/>
                  <w:sz w:val="21"/>
                </w:rPr>
                <w:t>spring-boot-</w:t>
              </w:r>
            </w:hyperlink>
            <w:r>
              <w:rPr>
                <w:color w:val="B02045"/>
                <w:w w:val="110"/>
                <w:sz w:val="21"/>
              </w:rPr>
              <w:t xml:space="preserve"> </w:t>
            </w:r>
            <w:hyperlink w:anchor="_bookmark47" w:history="1">
              <w:r>
                <w:rPr>
                  <w:color w:val="B02045"/>
                  <w:w w:val="110"/>
                  <w:sz w:val="21"/>
                </w:rPr>
                <w:t>starter-tomcat</w:t>
              </w:r>
            </w:hyperlink>
          </w:p>
        </w:tc>
      </w:tr>
    </w:tbl>
    <w:p w14:paraId="0338EF9A" w14:textId="77777777" w:rsidR="00A720EB" w:rsidRDefault="00A720EB">
      <w:pPr>
        <w:pStyle w:val="a3"/>
        <w:spacing w:before="12"/>
        <w:rPr>
          <w:rFonts w:ascii="Palatino Linotype"/>
          <w:i/>
          <w:sz w:val="10"/>
        </w:rPr>
      </w:pPr>
    </w:p>
    <w:p w14:paraId="3A4CA9B5" w14:textId="77777777" w:rsidR="00A720EB" w:rsidRDefault="0030286B">
      <w:pPr>
        <w:pStyle w:val="a3"/>
        <w:spacing w:before="125" w:line="307" w:lineRule="auto"/>
        <w:ind w:left="124" w:right="122"/>
        <w:jc w:val="both"/>
      </w:pPr>
      <w:r>
        <w:rPr>
          <w:color w:val="333333"/>
          <w:spacing w:val="-4"/>
          <w:w w:val="110"/>
        </w:rPr>
        <w:t xml:space="preserve">To </w:t>
      </w:r>
      <w:r>
        <w:rPr>
          <w:color w:val="333333"/>
          <w:w w:val="110"/>
        </w:rPr>
        <w:t xml:space="preserve">learn how to swap technical facets, please see the how-to documentation for </w:t>
      </w:r>
      <w:hyperlink w:anchor="_bookmark544" w:history="1">
        <w:r>
          <w:rPr>
            <w:color w:val="418BCA"/>
            <w:w w:val="110"/>
          </w:rPr>
          <w:t>swapping  web</w:t>
        </w:r>
      </w:hyperlink>
      <w:r>
        <w:rPr>
          <w:color w:val="418BCA"/>
          <w:w w:val="110"/>
        </w:rPr>
        <w:t xml:space="preserve"> </w:t>
      </w:r>
      <w:hyperlink w:anchor="_bookmark544" w:history="1">
        <w:r>
          <w:rPr>
            <w:color w:val="418BCA"/>
            <w:w w:val="110"/>
          </w:rPr>
          <w:t xml:space="preserve">server </w:t>
        </w:r>
      </w:hyperlink>
      <w:r>
        <w:rPr>
          <w:color w:val="333333"/>
          <w:w w:val="110"/>
        </w:rPr>
        <w:t xml:space="preserve">and </w:t>
      </w:r>
      <w:hyperlink w:anchor="_bookmark587" w:history="1">
        <w:r>
          <w:rPr>
            <w:color w:val="418BCA"/>
            <w:w w:val="110"/>
          </w:rPr>
          <w:t>logging</w:t>
        </w:r>
        <w:r>
          <w:rPr>
            <w:color w:val="418BCA"/>
            <w:spacing w:val="10"/>
            <w:w w:val="110"/>
          </w:rPr>
          <w:t xml:space="preserve"> </w:t>
        </w:r>
        <w:r>
          <w:rPr>
            <w:color w:val="418BCA"/>
            <w:w w:val="110"/>
          </w:rPr>
          <w:t>system</w:t>
        </w:r>
      </w:hyperlink>
      <w:r>
        <w:rPr>
          <w:color w:val="333333"/>
          <w:w w:val="110"/>
        </w:rPr>
        <w:t>.</w:t>
      </w:r>
    </w:p>
    <w:p w14:paraId="2A175887" w14:textId="77777777" w:rsidR="00A720EB" w:rsidRDefault="00A720EB">
      <w:pPr>
        <w:pStyle w:val="a3"/>
        <w:spacing w:before="4"/>
        <w:rPr>
          <w:sz w:val="27"/>
        </w:rPr>
      </w:pPr>
    </w:p>
    <w:p w14:paraId="5CAC005E" w14:textId="77777777" w:rsidR="00A720EB" w:rsidRDefault="00E10349">
      <w:pPr>
        <w:pStyle w:val="a3"/>
        <w:ind w:left="1564"/>
      </w:pPr>
      <w:r>
        <w:pict w14:anchorId="0E24C9DD">
          <v:line id="_x0000_s4867" style="position:absolute;left:0;text-align:left;z-index:15760896;mso-position-horizontal-relative:page" from="108.25pt,-6pt" to="108.25pt,33.55pt" strokecolor="#ededed" strokeweight=".5pt">
            <w10:wrap anchorx="page"/>
          </v:line>
        </w:pict>
      </w:r>
      <w:r w:rsidR="0030286B">
        <w:rPr>
          <w:noProof/>
        </w:rPr>
        <w:drawing>
          <wp:anchor distT="0" distB="0" distL="0" distR="0" simplePos="0" relativeHeight="15761408" behindDoc="0" locked="0" layoutInCell="1" allowOverlap="1" wp14:anchorId="3460CD9F" wp14:editId="00BD184B">
            <wp:simplePos x="0" y="0"/>
            <wp:positionH relativeFrom="page">
              <wp:posOffset>888949</wp:posOffset>
            </wp:positionH>
            <wp:positionV relativeFrom="paragraph">
              <wp:posOffset>22771</wp:posOffset>
            </wp:positionV>
            <wp:extent cx="209550" cy="304800"/>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For a list of additional community contributed starters, see the </w:t>
      </w:r>
      <w:hyperlink r:id="rId72">
        <w:r w:rsidR="0030286B">
          <w:rPr>
            <w:color w:val="418BCA"/>
            <w:w w:val="110"/>
          </w:rPr>
          <w:t xml:space="preserve">README file </w:t>
        </w:r>
      </w:hyperlink>
      <w:r w:rsidR="0030286B">
        <w:rPr>
          <w:color w:val="333333"/>
          <w:w w:val="110"/>
        </w:rPr>
        <w:t>in the</w:t>
      </w:r>
    </w:p>
    <w:p w14:paraId="4D97015F" w14:textId="77777777" w:rsidR="00A720EB" w:rsidRDefault="0030286B">
      <w:pPr>
        <w:pStyle w:val="a3"/>
        <w:spacing w:before="59"/>
        <w:ind w:left="1564"/>
      </w:pPr>
      <w:r>
        <w:rPr>
          <w:rFonts w:ascii="MS Gothic"/>
          <w:color w:val="B02045"/>
          <w:w w:val="110"/>
        </w:rPr>
        <w:t>spring-boot-starters</w:t>
      </w:r>
      <w:r>
        <w:rPr>
          <w:rFonts w:ascii="MS Gothic"/>
          <w:color w:val="B02045"/>
          <w:spacing w:val="-62"/>
          <w:w w:val="110"/>
        </w:rPr>
        <w:t xml:space="preserve"> </w:t>
      </w:r>
      <w:r>
        <w:rPr>
          <w:color w:val="333333"/>
          <w:w w:val="110"/>
        </w:rPr>
        <w:t>module on GitHub.</w:t>
      </w:r>
    </w:p>
    <w:p w14:paraId="351C7094" w14:textId="77777777" w:rsidR="00A720EB" w:rsidRDefault="00A720EB">
      <w:pPr>
        <w:pStyle w:val="a3"/>
        <w:spacing w:before="6"/>
        <w:rPr>
          <w:sz w:val="37"/>
        </w:rPr>
      </w:pPr>
    </w:p>
    <w:p w14:paraId="1F17BA28" w14:textId="77777777" w:rsidR="00A720EB" w:rsidRDefault="0030286B">
      <w:pPr>
        <w:pStyle w:val="2"/>
        <w:numPr>
          <w:ilvl w:val="1"/>
          <w:numId w:val="72"/>
        </w:numPr>
        <w:tabs>
          <w:tab w:val="left" w:pos="832"/>
        </w:tabs>
      </w:pPr>
      <w:bookmarkStart w:id="81" w:name="3.2._Structuring_Your_Code"/>
      <w:bookmarkStart w:id="82" w:name="_Toc54423684"/>
      <w:bookmarkEnd w:id="81"/>
      <w:r>
        <w:rPr>
          <w:color w:val="333333"/>
          <w:w w:val="110"/>
        </w:rPr>
        <w:t xml:space="preserve">Structuring </w:t>
      </w:r>
      <w:r>
        <w:rPr>
          <w:color w:val="333333"/>
          <w:spacing w:val="-7"/>
          <w:w w:val="110"/>
        </w:rPr>
        <w:t>Your</w:t>
      </w:r>
      <w:r>
        <w:rPr>
          <w:color w:val="333333"/>
          <w:spacing w:val="-14"/>
          <w:w w:val="110"/>
        </w:rPr>
        <w:t xml:space="preserve"> </w:t>
      </w:r>
      <w:r>
        <w:rPr>
          <w:color w:val="333333"/>
          <w:w w:val="110"/>
        </w:rPr>
        <w:t>Code</w:t>
      </w:r>
      <w:bookmarkEnd w:id="82"/>
    </w:p>
    <w:p w14:paraId="6C4D4295" w14:textId="77777777" w:rsidR="00A720EB" w:rsidRDefault="0030286B">
      <w:pPr>
        <w:pStyle w:val="a3"/>
        <w:spacing w:before="253" w:line="307" w:lineRule="auto"/>
        <w:ind w:left="124" w:right="133"/>
        <w:jc w:val="both"/>
      </w:pPr>
      <w:r>
        <w:rPr>
          <w:color w:val="333333"/>
          <w:w w:val="110"/>
        </w:rPr>
        <w:t>Spring Boot does not require any specific code layout to work. However, there are some best practices that help.</w:t>
      </w:r>
    </w:p>
    <w:p w14:paraId="6B0034DA" w14:textId="77777777" w:rsidR="00A720EB" w:rsidRDefault="00A720EB">
      <w:pPr>
        <w:pStyle w:val="a3"/>
        <w:spacing w:before="9"/>
        <w:rPr>
          <w:sz w:val="25"/>
        </w:rPr>
      </w:pPr>
    </w:p>
    <w:p w14:paraId="01F8909A" w14:textId="77777777" w:rsidR="00A720EB" w:rsidRDefault="0030286B">
      <w:pPr>
        <w:pStyle w:val="3"/>
        <w:numPr>
          <w:ilvl w:val="2"/>
          <w:numId w:val="72"/>
        </w:numPr>
        <w:tabs>
          <w:tab w:val="left" w:pos="858"/>
        </w:tabs>
        <w:ind w:hanging="734"/>
      </w:pPr>
      <w:bookmarkStart w:id="83" w:name="3.2.1._Using_the_“default”_Package"/>
      <w:bookmarkStart w:id="84" w:name="_Toc54423685"/>
      <w:bookmarkEnd w:id="83"/>
      <w:r>
        <w:rPr>
          <w:color w:val="333333"/>
          <w:w w:val="110"/>
        </w:rPr>
        <w:t>Using the “default”</w:t>
      </w:r>
      <w:r>
        <w:rPr>
          <w:color w:val="333333"/>
          <w:spacing w:val="-18"/>
          <w:w w:val="110"/>
        </w:rPr>
        <w:t xml:space="preserve"> </w:t>
      </w:r>
      <w:r>
        <w:rPr>
          <w:color w:val="333333"/>
          <w:w w:val="110"/>
        </w:rPr>
        <w:t>Package</w:t>
      </w:r>
      <w:bookmarkEnd w:id="84"/>
    </w:p>
    <w:p w14:paraId="37D00BBC" w14:textId="77777777" w:rsidR="00A720EB" w:rsidRDefault="0030286B">
      <w:pPr>
        <w:pStyle w:val="a3"/>
        <w:spacing w:before="243" w:line="290" w:lineRule="auto"/>
        <w:ind w:left="124" w:right="122"/>
        <w:jc w:val="both"/>
      </w:pPr>
      <w:r>
        <w:rPr>
          <w:color w:val="333333"/>
          <w:w w:val="110"/>
        </w:rPr>
        <w:t xml:space="preserve">When a class does not include a </w:t>
      </w:r>
      <w:r>
        <w:rPr>
          <w:rFonts w:ascii="MS Gothic" w:hAnsi="MS Gothic"/>
          <w:color w:val="B02045"/>
          <w:w w:val="110"/>
        </w:rPr>
        <w:t xml:space="preserve">package </w:t>
      </w:r>
      <w:r>
        <w:rPr>
          <w:color w:val="333333"/>
          <w:w w:val="110"/>
        </w:rPr>
        <w:t xml:space="preserve">declaration, it is considered to be in the “default package”. The use of the “default package” is generally discouraged and should be avoided. It can cause particular problems for Spring Boot applications that use the </w:t>
      </w:r>
      <w:r>
        <w:rPr>
          <w:rFonts w:ascii="MS Gothic" w:hAnsi="MS Gothic"/>
          <w:color w:val="B02045"/>
          <w:w w:val="110"/>
        </w:rPr>
        <w:t>@ComponentScan</w:t>
      </w:r>
      <w:r>
        <w:rPr>
          <w:color w:val="333333"/>
          <w:w w:val="110"/>
        </w:rPr>
        <w:t xml:space="preserve">, </w:t>
      </w:r>
      <w:r>
        <w:rPr>
          <w:rFonts w:ascii="MS Gothic" w:hAnsi="MS Gothic"/>
          <w:color w:val="B02045"/>
          <w:w w:val="105"/>
        </w:rPr>
        <w:t>@ConfigurationPropertiesScan</w:t>
      </w:r>
      <w:r>
        <w:rPr>
          <w:color w:val="333333"/>
          <w:w w:val="105"/>
        </w:rPr>
        <w:t>,</w:t>
      </w:r>
      <w:r>
        <w:rPr>
          <w:color w:val="333333"/>
          <w:spacing w:val="-6"/>
          <w:w w:val="105"/>
        </w:rPr>
        <w:t xml:space="preserve"> </w:t>
      </w:r>
      <w:r>
        <w:rPr>
          <w:rFonts w:ascii="MS Gothic" w:hAnsi="MS Gothic"/>
          <w:color w:val="B02045"/>
          <w:w w:val="105"/>
        </w:rPr>
        <w:t>@EntityScan</w:t>
      </w:r>
      <w:r>
        <w:rPr>
          <w:color w:val="333333"/>
          <w:w w:val="105"/>
        </w:rPr>
        <w:t>,</w:t>
      </w:r>
      <w:r>
        <w:rPr>
          <w:color w:val="333333"/>
          <w:spacing w:val="-6"/>
          <w:w w:val="105"/>
        </w:rPr>
        <w:t xml:space="preserve"> </w:t>
      </w:r>
      <w:r>
        <w:rPr>
          <w:color w:val="333333"/>
          <w:w w:val="105"/>
        </w:rPr>
        <w:t>or</w:t>
      </w:r>
      <w:r>
        <w:rPr>
          <w:color w:val="333333"/>
          <w:spacing w:val="-5"/>
          <w:w w:val="105"/>
        </w:rPr>
        <w:t xml:space="preserve"> </w:t>
      </w:r>
      <w:r>
        <w:rPr>
          <w:rFonts w:ascii="MS Gothic" w:hAnsi="MS Gothic"/>
          <w:color w:val="B02045"/>
          <w:w w:val="105"/>
        </w:rPr>
        <w:t>@SpringBootApplication</w:t>
      </w:r>
      <w:r>
        <w:rPr>
          <w:rFonts w:ascii="MS Gothic" w:hAnsi="MS Gothic"/>
          <w:color w:val="B02045"/>
          <w:spacing w:val="-68"/>
          <w:w w:val="105"/>
        </w:rPr>
        <w:t xml:space="preserve"> </w:t>
      </w:r>
      <w:r>
        <w:rPr>
          <w:color w:val="333333"/>
          <w:w w:val="105"/>
        </w:rPr>
        <w:t>annotations,</w:t>
      </w:r>
      <w:r>
        <w:rPr>
          <w:color w:val="333333"/>
          <w:spacing w:val="-6"/>
          <w:w w:val="105"/>
        </w:rPr>
        <w:t xml:space="preserve"> </w:t>
      </w:r>
      <w:r>
        <w:rPr>
          <w:color w:val="333333"/>
          <w:w w:val="105"/>
        </w:rPr>
        <w:t>since</w:t>
      </w:r>
      <w:r>
        <w:rPr>
          <w:color w:val="333333"/>
          <w:spacing w:val="-5"/>
          <w:w w:val="105"/>
        </w:rPr>
        <w:t xml:space="preserve"> </w:t>
      </w:r>
      <w:r>
        <w:rPr>
          <w:color w:val="333333"/>
          <w:w w:val="105"/>
        </w:rPr>
        <w:t>every</w:t>
      </w:r>
      <w:r>
        <w:rPr>
          <w:color w:val="333333"/>
          <w:spacing w:val="-6"/>
          <w:w w:val="105"/>
        </w:rPr>
        <w:t xml:space="preserve"> </w:t>
      </w:r>
      <w:r>
        <w:rPr>
          <w:color w:val="333333"/>
          <w:w w:val="105"/>
        </w:rPr>
        <w:t xml:space="preserve">class </w:t>
      </w:r>
      <w:r>
        <w:rPr>
          <w:color w:val="333333"/>
          <w:w w:val="110"/>
        </w:rPr>
        <w:t>from every jar is</w:t>
      </w:r>
      <w:r>
        <w:rPr>
          <w:color w:val="333333"/>
          <w:spacing w:val="12"/>
          <w:w w:val="110"/>
        </w:rPr>
        <w:t xml:space="preserve"> </w:t>
      </w:r>
      <w:r>
        <w:rPr>
          <w:color w:val="333333"/>
          <w:w w:val="110"/>
        </w:rPr>
        <w:t>read.</w:t>
      </w:r>
    </w:p>
    <w:p w14:paraId="435EF015" w14:textId="77777777" w:rsidR="00A720EB" w:rsidRDefault="00A720EB">
      <w:pPr>
        <w:pStyle w:val="a3"/>
        <w:spacing w:before="8"/>
        <w:rPr>
          <w:sz w:val="28"/>
        </w:rPr>
      </w:pPr>
    </w:p>
    <w:p w14:paraId="2C2D3CBB" w14:textId="77777777" w:rsidR="00A720EB" w:rsidRDefault="00E10349">
      <w:pPr>
        <w:pStyle w:val="a3"/>
        <w:spacing w:line="297" w:lineRule="auto"/>
        <w:ind w:left="1564" w:right="462"/>
      </w:pPr>
      <w:r>
        <w:pict w14:anchorId="7159AC51">
          <v:line id="_x0000_s4866" style="position:absolute;left:0;text-align:left;z-index:15761920;mso-position-horizontal-relative:page" from="108.25pt,-6pt" to="108.25pt,33.55pt" strokecolor="#ededed" strokeweight=".5pt">
            <w10:wrap anchorx="page"/>
          </v:line>
        </w:pict>
      </w:r>
      <w:r w:rsidR="0030286B">
        <w:rPr>
          <w:noProof/>
        </w:rPr>
        <w:drawing>
          <wp:anchor distT="0" distB="0" distL="0" distR="0" simplePos="0" relativeHeight="15762432" behindDoc="0" locked="0" layoutInCell="1" allowOverlap="1" wp14:anchorId="18348CAD" wp14:editId="3305816B">
            <wp:simplePos x="0" y="0"/>
            <wp:positionH relativeFrom="page">
              <wp:posOffset>888949</wp:posOffset>
            </wp:positionH>
            <wp:positionV relativeFrom="paragraph">
              <wp:posOffset>22771</wp:posOffset>
            </wp:positionV>
            <wp:extent cx="209550" cy="304800"/>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We recommend that you follow Java’s recommended package naming conventions and use a reversed domain name (for example, </w:t>
      </w:r>
      <w:r w:rsidR="0030286B">
        <w:rPr>
          <w:rFonts w:ascii="MS Gothic" w:hAnsi="MS Gothic"/>
          <w:color w:val="B02045"/>
          <w:w w:val="110"/>
        </w:rPr>
        <w:t>com.</w:t>
      </w:r>
      <w:proofErr w:type="gramStart"/>
      <w:r w:rsidR="0030286B">
        <w:rPr>
          <w:rFonts w:ascii="MS Gothic" w:hAnsi="MS Gothic"/>
          <w:color w:val="B02045"/>
          <w:w w:val="110"/>
        </w:rPr>
        <w:t>example.project</w:t>
      </w:r>
      <w:proofErr w:type="gramEnd"/>
      <w:r w:rsidR="0030286B">
        <w:rPr>
          <w:color w:val="333333"/>
          <w:w w:val="110"/>
        </w:rPr>
        <w:t>).</w:t>
      </w:r>
    </w:p>
    <w:p w14:paraId="5E7FA960" w14:textId="77777777" w:rsidR="00A720EB" w:rsidRDefault="00A720EB">
      <w:pPr>
        <w:pStyle w:val="a3"/>
        <w:spacing w:before="10"/>
        <w:rPr>
          <w:sz w:val="31"/>
        </w:rPr>
      </w:pPr>
    </w:p>
    <w:p w14:paraId="6291A0BD" w14:textId="77777777" w:rsidR="00A720EB" w:rsidRDefault="0030286B">
      <w:pPr>
        <w:pStyle w:val="3"/>
        <w:numPr>
          <w:ilvl w:val="2"/>
          <w:numId w:val="72"/>
        </w:numPr>
        <w:tabs>
          <w:tab w:val="left" w:pos="858"/>
        </w:tabs>
        <w:ind w:hanging="734"/>
      </w:pPr>
      <w:bookmarkStart w:id="85" w:name="3.2.2._Locating_the_Main_Application_Cla"/>
      <w:bookmarkStart w:id="86" w:name="_Toc54423686"/>
      <w:bookmarkEnd w:id="85"/>
      <w:r>
        <w:rPr>
          <w:color w:val="333333"/>
          <w:w w:val="110"/>
        </w:rPr>
        <w:t>Locating the Main Application</w:t>
      </w:r>
      <w:r>
        <w:rPr>
          <w:color w:val="333333"/>
          <w:spacing w:val="-26"/>
          <w:w w:val="110"/>
        </w:rPr>
        <w:t xml:space="preserve"> </w:t>
      </w:r>
      <w:r>
        <w:rPr>
          <w:color w:val="333333"/>
          <w:w w:val="110"/>
        </w:rPr>
        <w:t>Class</w:t>
      </w:r>
      <w:bookmarkEnd w:id="86"/>
    </w:p>
    <w:p w14:paraId="07D05CD6" w14:textId="77777777" w:rsidR="00A720EB" w:rsidRDefault="0030286B">
      <w:pPr>
        <w:pStyle w:val="a3"/>
        <w:spacing w:before="254" w:line="295" w:lineRule="auto"/>
        <w:ind w:left="124" w:right="124"/>
        <w:jc w:val="both"/>
      </w:pPr>
      <w:r>
        <w:rPr>
          <w:color w:val="333333"/>
          <w:spacing w:val="-7"/>
          <w:w w:val="110"/>
        </w:rPr>
        <w:t xml:space="preserve">We </w:t>
      </w:r>
      <w:r>
        <w:rPr>
          <w:color w:val="333333"/>
          <w:w w:val="110"/>
        </w:rPr>
        <w:t xml:space="preserve">generally recommend that you locate your main application class in a root package </w:t>
      </w:r>
      <w:proofErr w:type="gramStart"/>
      <w:r>
        <w:rPr>
          <w:color w:val="333333"/>
          <w:w w:val="110"/>
        </w:rPr>
        <w:t>above other classes</w:t>
      </w:r>
      <w:proofErr w:type="gramEnd"/>
      <w:r>
        <w:rPr>
          <w:color w:val="333333"/>
          <w:w w:val="110"/>
        </w:rPr>
        <w:t xml:space="preserve">. The </w:t>
      </w:r>
      <w:hyperlink w:anchor="_bookmark58" w:history="1">
        <w:r>
          <w:rPr>
            <w:rFonts w:ascii="MS Gothic" w:hAnsi="MS Gothic"/>
            <w:color w:val="B02045"/>
            <w:w w:val="110"/>
          </w:rPr>
          <w:t xml:space="preserve">@SpringBootApplication </w:t>
        </w:r>
      </w:hyperlink>
      <w:hyperlink w:anchor="_bookmark58" w:history="1">
        <w:r>
          <w:rPr>
            <w:color w:val="418BCA"/>
            <w:w w:val="110"/>
          </w:rPr>
          <w:t xml:space="preserve">annotation </w:t>
        </w:r>
      </w:hyperlink>
      <w:r>
        <w:rPr>
          <w:color w:val="333333"/>
          <w:w w:val="110"/>
        </w:rPr>
        <w:t xml:space="preserve">is often placed on your main class, and it implicitly defines a base “search package” for certain items. </w:t>
      </w:r>
      <w:r>
        <w:rPr>
          <w:color w:val="333333"/>
          <w:spacing w:val="-4"/>
          <w:w w:val="110"/>
        </w:rPr>
        <w:t xml:space="preserve">For </w:t>
      </w:r>
      <w:r>
        <w:rPr>
          <w:color w:val="333333"/>
          <w:w w:val="110"/>
        </w:rPr>
        <w:t xml:space="preserve">example, if you are writing a </w:t>
      </w:r>
      <w:r>
        <w:rPr>
          <w:color w:val="333333"/>
          <w:spacing w:val="-4"/>
          <w:w w:val="110"/>
        </w:rPr>
        <w:t xml:space="preserve">JPA </w:t>
      </w:r>
      <w:r>
        <w:rPr>
          <w:color w:val="333333"/>
          <w:w w:val="110"/>
        </w:rPr>
        <w:t>application, the</w:t>
      </w:r>
      <w:r>
        <w:rPr>
          <w:color w:val="333333"/>
          <w:spacing w:val="-11"/>
          <w:w w:val="110"/>
        </w:rPr>
        <w:t xml:space="preserve"> </w:t>
      </w:r>
      <w:r>
        <w:rPr>
          <w:color w:val="333333"/>
          <w:w w:val="110"/>
        </w:rPr>
        <w:t>package</w:t>
      </w:r>
      <w:r>
        <w:rPr>
          <w:color w:val="333333"/>
          <w:spacing w:val="-11"/>
          <w:w w:val="110"/>
        </w:rPr>
        <w:t xml:space="preserve"> </w:t>
      </w:r>
      <w:r>
        <w:rPr>
          <w:color w:val="333333"/>
          <w:w w:val="110"/>
        </w:rPr>
        <w:t>of</w:t>
      </w:r>
      <w:r>
        <w:rPr>
          <w:color w:val="333333"/>
          <w:spacing w:val="-11"/>
          <w:w w:val="110"/>
        </w:rPr>
        <w:t xml:space="preserve"> </w:t>
      </w:r>
      <w:r>
        <w:rPr>
          <w:color w:val="333333"/>
          <w:w w:val="110"/>
        </w:rPr>
        <w:t>the</w:t>
      </w:r>
      <w:r>
        <w:rPr>
          <w:color w:val="333333"/>
          <w:spacing w:val="-9"/>
          <w:w w:val="110"/>
        </w:rPr>
        <w:t xml:space="preserve"> </w:t>
      </w:r>
      <w:r>
        <w:rPr>
          <w:rFonts w:ascii="MS Gothic" w:hAnsi="MS Gothic"/>
          <w:color w:val="B02045"/>
          <w:w w:val="110"/>
        </w:rPr>
        <w:t>@SpringBootApplication</w:t>
      </w:r>
      <w:r>
        <w:rPr>
          <w:rFonts w:ascii="MS Gothic" w:hAnsi="MS Gothic"/>
          <w:color w:val="B02045"/>
          <w:spacing w:val="-75"/>
          <w:w w:val="110"/>
        </w:rPr>
        <w:t xml:space="preserve"> </w:t>
      </w:r>
      <w:r>
        <w:rPr>
          <w:color w:val="333333"/>
          <w:w w:val="110"/>
        </w:rPr>
        <w:t>annotated</w:t>
      </w:r>
      <w:r>
        <w:rPr>
          <w:color w:val="333333"/>
          <w:spacing w:val="-11"/>
          <w:w w:val="110"/>
        </w:rPr>
        <w:t xml:space="preserve"> </w:t>
      </w:r>
      <w:r>
        <w:rPr>
          <w:color w:val="333333"/>
          <w:w w:val="110"/>
        </w:rPr>
        <w:t>class</w:t>
      </w:r>
      <w:r>
        <w:rPr>
          <w:color w:val="333333"/>
          <w:spacing w:val="-11"/>
          <w:w w:val="110"/>
        </w:rPr>
        <w:t xml:space="preserve"> </w:t>
      </w:r>
      <w:r>
        <w:rPr>
          <w:color w:val="333333"/>
          <w:w w:val="110"/>
        </w:rPr>
        <w:t>is</w:t>
      </w:r>
      <w:r>
        <w:rPr>
          <w:color w:val="333333"/>
          <w:spacing w:val="-11"/>
          <w:w w:val="110"/>
        </w:rPr>
        <w:t xml:space="preserve"> </w:t>
      </w:r>
      <w:r>
        <w:rPr>
          <w:color w:val="333333"/>
          <w:w w:val="110"/>
        </w:rPr>
        <w:t>used</w:t>
      </w:r>
      <w:r>
        <w:rPr>
          <w:color w:val="333333"/>
          <w:spacing w:val="-10"/>
          <w:w w:val="110"/>
        </w:rPr>
        <w:t xml:space="preserve"> </w:t>
      </w:r>
      <w:r>
        <w:rPr>
          <w:color w:val="333333"/>
          <w:w w:val="110"/>
        </w:rPr>
        <w:t>to</w:t>
      </w:r>
      <w:r>
        <w:rPr>
          <w:color w:val="333333"/>
          <w:spacing w:val="-11"/>
          <w:w w:val="110"/>
        </w:rPr>
        <w:t xml:space="preserve"> </w:t>
      </w:r>
      <w:r>
        <w:rPr>
          <w:color w:val="333333"/>
          <w:w w:val="110"/>
        </w:rPr>
        <w:t>search</w:t>
      </w:r>
      <w:r>
        <w:rPr>
          <w:color w:val="333333"/>
          <w:spacing w:val="-11"/>
          <w:w w:val="110"/>
        </w:rPr>
        <w:t xml:space="preserve"> </w:t>
      </w:r>
      <w:r>
        <w:rPr>
          <w:color w:val="333333"/>
          <w:w w:val="110"/>
        </w:rPr>
        <w:t>for</w:t>
      </w:r>
      <w:r>
        <w:rPr>
          <w:color w:val="333333"/>
          <w:spacing w:val="-7"/>
          <w:w w:val="110"/>
        </w:rPr>
        <w:t xml:space="preserve"> </w:t>
      </w:r>
      <w:r>
        <w:rPr>
          <w:rFonts w:ascii="MS Gothic" w:hAnsi="MS Gothic"/>
          <w:color w:val="B02045"/>
          <w:w w:val="110"/>
        </w:rPr>
        <w:t>@Entity</w:t>
      </w:r>
      <w:r>
        <w:rPr>
          <w:rFonts w:ascii="MS Gothic" w:hAnsi="MS Gothic"/>
          <w:color w:val="B02045"/>
          <w:spacing w:val="-75"/>
          <w:w w:val="110"/>
        </w:rPr>
        <w:t xml:space="preserve"> </w:t>
      </w:r>
      <w:r>
        <w:rPr>
          <w:color w:val="333333"/>
          <w:w w:val="110"/>
        </w:rPr>
        <w:t>items.</w:t>
      </w:r>
      <w:r>
        <w:rPr>
          <w:color w:val="333333"/>
          <w:spacing w:val="-11"/>
          <w:w w:val="110"/>
        </w:rPr>
        <w:t xml:space="preserve"> </w:t>
      </w:r>
      <w:r>
        <w:rPr>
          <w:color w:val="333333"/>
          <w:w w:val="110"/>
        </w:rPr>
        <w:t>Using</w:t>
      </w:r>
    </w:p>
    <w:p w14:paraId="5F863FFA" w14:textId="77777777" w:rsidR="00A720EB" w:rsidRDefault="00A720EB">
      <w:pPr>
        <w:spacing w:line="295" w:lineRule="auto"/>
        <w:jc w:val="both"/>
        <w:sectPr w:rsidR="00A720EB">
          <w:pgSz w:w="11910" w:h="16840"/>
          <w:pgMar w:top="700" w:right="840" w:bottom="380" w:left="840" w:header="0" w:footer="323" w:gutter="0"/>
          <w:cols w:space="720"/>
        </w:sectPr>
      </w:pPr>
    </w:p>
    <w:p w14:paraId="3C51498A" w14:textId="77777777" w:rsidR="00A720EB" w:rsidRDefault="0030286B">
      <w:pPr>
        <w:pStyle w:val="a3"/>
        <w:spacing w:before="107"/>
        <w:ind w:left="124"/>
      </w:pPr>
      <w:r>
        <w:rPr>
          <w:color w:val="333333"/>
          <w:w w:val="110"/>
        </w:rPr>
        <w:lastRenderedPageBreak/>
        <w:t>a root package also allows component scan to apply only on your project.</w:t>
      </w:r>
    </w:p>
    <w:p w14:paraId="157F064E" w14:textId="77777777" w:rsidR="00A720EB" w:rsidRDefault="00A720EB">
      <w:pPr>
        <w:pStyle w:val="a3"/>
        <w:spacing w:before="5"/>
        <w:rPr>
          <w:sz w:val="22"/>
        </w:rPr>
      </w:pPr>
    </w:p>
    <w:p w14:paraId="4521A9A4" w14:textId="77777777" w:rsidR="00A720EB" w:rsidRDefault="00E10349">
      <w:pPr>
        <w:pStyle w:val="a3"/>
        <w:spacing w:before="116" w:line="285" w:lineRule="auto"/>
        <w:ind w:left="1564" w:right="363"/>
        <w:jc w:val="both"/>
      </w:pPr>
      <w:r>
        <w:pict w14:anchorId="7542C507">
          <v:line id="_x0000_s4865" style="position:absolute;left:0;text-align:left;z-index:15763968;mso-position-horizontal-relative:page" from="108.25pt,.35pt" to="108.25pt,55.7pt" strokecolor="#ededed" strokeweight=".5pt">
            <w10:wrap anchorx="page"/>
          </v:line>
        </w:pict>
      </w:r>
      <w:r w:rsidR="0030286B">
        <w:rPr>
          <w:noProof/>
        </w:rPr>
        <w:drawing>
          <wp:anchor distT="0" distB="0" distL="0" distR="0" simplePos="0" relativeHeight="15764480" behindDoc="0" locked="0" layoutInCell="1" allowOverlap="1" wp14:anchorId="1D8D919C" wp14:editId="5B17CF15">
            <wp:simplePos x="0" y="0"/>
            <wp:positionH relativeFrom="page">
              <wp:posOffset>888949</wp:posOffset>
            </wp:positionH>
            <wp:positionV relativeFrom="paragraph">
              <wp:posOffset>203276</wp:posOffset>
            </wp:positionV>
            <wp:extent cx="209550" cy="304800"/>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05"/>
        </w:rPr>
        <w:t xml:space="preserve">If you don’t want to use </w:t>
      </w:r>
      <w:r w:rsidR="0030286B">
        <w:rPr>
          <w:rFonts w:ascii="MS Gothic" w:hAnsi="MS Gothic"/>
          <w:color w:val="B02045"/>
          <w:w w:val="105"/>
        </w:rPr>
        <w:t>@SpringBootApplication</w:t>
      </w:r>
      <w:r w:rsidR="0030286B">
        <w:rPr>
          <w:color w:val="333333"/>
          <w:w w:val="105"/>
        </w:rPr>
        <w:t xml:space="preserve">, the </w:t>
      </w:r>
      <w:r w:rsidR="0030286B">
        <w:rPr>
          <w:rFonts w:ascii="MS Gothic" w:hAnsi="MS Gothic"/>
          <w:color w:val="B02045"/>
          <w:w w:val="105"/>
        </w:rPr>
        <w:t xml:space="preserve">@EnableAutoConfiguration </w:t>
      </w:r>
      <w:r w:rsidR="0030286B">
        <w:rPr>
          <w:color w:val="333333"/>
          <w:w w:val="105"/>
        </w:rPr>
        <w:t xml:space="preserve">and </w:t>
      </w:r>
      <w:r w:rsidR="0030286B">
        <w:rPr>
          <w:rFonts w:ascii="MS Gothic" w:hAnsi="MS Gothic"/>
          <w:color w:val="B02045"/>
          <w:w w:val="110"/>
        </w:rPr>
        <w:t xml:space="preserve">@ComponentScan </w:t>
      </w:r>
      <w:r w:rsidR="0030286B">
        <w:rPr>
          <w:color w:val="333333"/>
          <w:w w:val="110"/>
        </w:rPr>
        <w:t>annotations that it imports defines that behaviour so you can also use those instead.</w:t>
      </w:r>
    </w:p>
    <w:p w14:paraId="3775C11C" w14:textId="77777777" w:rsidR="00A720EB" w:rsidRDefault="00A720EB">
      <w:pPr>
        <w:pStyle w:val="a3"/>
        <w:spacing w:before="7"/>
        <w:rPr>
          <w:sz w:val="18"/>
        </w:rPr>
      </w:pPr>
    </w:p>
    <w:p w14:paraId="3B7E226B" w14:textId="77777777" w:rsidR="00A720EB" w:rsidRDefault="0030286B">
      <w:pPr>
        <w:pStyle w:val="a3"/>
        <w:spacing w:before="126"/>
        <w:ind w:left="124"/>
      </w:pPr>
      <w:r>
        <w:rPr>
          <w:color w:val="333333"/>
          <w:w w:val="110"/>
        </w:rPr>
        <w:t>The following listing shows a typical layout:</w:t>
      </w:r>
    </w:p>
    <w:p w14:paraId="70FB3524" w14:textId="77777777" w:rsidR="00A720EB" w:rsidRDefault="00E10349">
      <w:pPr>
        <w:pStyle w:val="a3"/>
        <w:spacing w:before="11"/>
        <w:rPr>
          <w:sz w:val="18"/>
        </w:rPr>
      </w:pPr>
      <w:r>
        <w:pict w14:anchorId="3B70486C">
          <v:group id="_x0000_s4861" style="position:absolute;margin-left:47.85pt;margin-top:13.1pt;width:499.55pt;height:258.6pt;z-index:-15694336;mso-wrap-distance-left:0;mso-wrap-distance-right:0;mso-position-horizontal-relative:page" coordorigin="957,262" coordsize="9991,5172">
            <v:shape id="_x0000_s4864" style="position:absolute;left:964;top:269;width:9976;height:5157" coordorigin="965,270" coordsize="9976,5157" path="m10861,270r-9816,l1014,276r-26,17l971,318r-6,32l965,5346r6,31l988,5403r26,17l1045,5426r9816,l10892,5420r25,-17l10935,5377r6,-31l10941,350r-6,-32l10917,293r-25,-17l10861,270xe" fillcolor="#f5f5f5" stroked="f">
              <v:path arrowok="t"/>
            </v:shape>
            <v:shape id="_x0000_s4863" style="position:absolute;left:964;top:269;width:9976;height:5157" coordorigin="965,270" coordsize="9976,5157" path="m1045,270r9816,l10892,276r25,17l10935,318r6,32l10941,5346r-6,31l10917,5403r-25,17l10861,5426r-9816,l1014,5420r-26,-17l971,5377r-6,-31l965,350r6,-32l988,293r26,-17l1045,270xe" filled="f" strokecolor="#ccc">
              <v:path arrowok="t"/>
            </v:shape>
            <v:shape id="_x0000_s4862" type="#_x0000_t202" style="position:absolute;left:984;top:284;width:9938;height:5126" filled="f" stroked="f">
              <v:textbox inset="0,0,0,0">
                <w:txbxContent>
                  <w:p w14:paraId="0A205BFE" w14:textId="77777777" w:rsidR="00711A16" w:rsidRDefault="00711A16">
                    <w:pPr>
                      <w:spacing w:before="221"/>
                      <w:ind w:left="200"/>
                      <w:rPr>
                        <w:rFonts w:ascii="MS Gothic"/>
                      </w:rPr>
                    </w:pPr>
                    <w:r>
                      <w:rPr>
                        <w:rFonts w:ascii="MS Gothic"/>
                        <w:color w:val="333333"/>
                      </w:rPr>
                      <w:t>com</w:t>
                    </w:r>
                  </w:p>
                  <w:p w14:paraId="1675CDE2" w14:textId="77777777" w:rsidR="00711A16" w:rsidRDefault="00711A16">
                    <w:pPr>
                      <w:spacing w:before="13"/>
                      <w:ind w:left="310"/>
                      <w:rPr>
                        <w:rFonts w:ascii="MS Gothic"/>
                      </w:rPr>
                    </w:pPr>
                    <w:r>
                      <w:rPr>
                        <w:rFonts w:ascii="MS Gothic"/>
                        <w:color w:val="333333"/>
                      </w:rPr>
                      <w:t>+- example</w:t>
                    </w:r>
                  </w:p>
                  <w:p w14:paraId="406809D4" w14:textId="77777777" w:rsidR="00711A16" w:rsidRDefault="00711A16">
                    <w:pPr>
                      <w:spacing w:before="13"/>
                      <w:ind w:left="750"/>
                      <w:rPr>
                        <w:rFonts w:ascii="MS Gothic"/>
                      </w:rPr>
                    </w:pPr>
                    <w:r>
                      <w:rPr>
                        <w:rFonts w:ascii="MS Gothic"/>
                        <w:color w:val="333333"/>
                      </w:rPr>
                      <w:t>+- myapplication</w:t>
                    </w:r>
                  </w:p>
                  <w:p w14:paraId="724DE2BA" w14:textId="77777777" w:rsidR="00711A16" w:rsidRDefault="00711A16">
                    <w:pPr>
                      <w:spacing w:before="13"/>
                      <w:ind w:left="1190"/>
                      <w:rPr>
                        <w:rFonts w:ascii="MS Gothic"/>
                      </w:rPr>
                    </w:pPr>
                    <w:r>
                      <w:rPr>
                        <w:rFonts w:ascii="MS Gothic"/>
                        <w:color w:val="333333"/>
                      </w:rPr>
                      <w:t>+- Application.java</w:t>
                    </w:r>
                  </w:p>
                  <w:p w14:paraId="30FFFC2C" w14:textId="77777777" w:rsidR="00711A16" w:rsidRDefault="00711A16">
                    <w:pPr>
                      <w:spacing w:before="12"/>
                      <w:ind w:left="1190"/>
                      <w:rPr>
                        <w:rFonts w:ascii="MS Gothic"/>
                      </w:rPr>
                    </w:pPr>
                    <w:r>
                      <w:rPr>
                        <w:rFonts w:ascii="MS Gothic"/>
                        <w:color w:val="333333"/>
                      </w:rPr>
                      <w:t>|</w:t>
                    </w:r>
                  </w:p>
                  <w:p w14:paraId="6779EE89" w14:textId="77777777" w:rsidR="00711A16" w:rsidRDefault="00711A16">
                    <w:pPr>
                      <w:spacing w:before="13"/>
                      <w:ind w:left="1190"/>
                      <w:rPr>
                        <w:rFonts w:ascii="MS Gothic"/>
                      </w:rPr>
                    </w:pPr>
                    <w:r>
                      <w:rPr>
                        <w:rFonts w:ascii="MS Gothic"/>
                        <w:color w:val="333333"/>
                      </w:rPr>
                      <w:t>+- customer</w:t>
                    </w:r>
                  </w:p>
                  <w:p w14:paraId="4BC0F3B5" w14:textId="77777777" w:rsidR="00711A16" w:rsidRDefault="00711A16">
                    <w:pPr>
                      <w:tabs>
                        <w:tab w:val="left" w:pos="1630"/>
                      </w:tabs>
                      <w:spacing w:before="13"/>
                      <w:ind w:left="1190"/>
                      <w:rPr>
                        <w:rFonts w:ascii="MS Gothic"/>
                      </w:rPr>
                    </w:pPr>
                    <w:r>
                      <w:rPr>
                        <w:rFonts w:ascii="MS Gothic"/>
                        <w:color w:val="333333"/>
                      </w:rPr>
                      <w:t>|</w:t>
                    </w:r>
                    <w:r>
                      <w:rPr>
                        <w:rFonts w:ascii="MS Gothic"/>
                        <w:color w:val="333333"/>
                      </w:rPr>
                      <w:tab/>
                      <w:t>+- Customer.java</w:t>
                    </w:r>
                  </w:p>
                  <w:p w14:paraId="44523CD9" w14:textId="77777777" w:rsidR="00711A16" w:rsidRDefault="00711A16">
                    <w:pPr>
                      <w:tabs>
                        <w:tab w:val="left" w:pos="1630"/>
                      </w:tabs>
                      <w:spacing w:before="13"/>
                      <w:ind w:left="1190"/>
                      <w:rPr>
                        <w:rFonts w:ascii="MS Gothic"/>
                      </w:rPr>
                    </w:pPr>
                    <w:r>
                      <w:rPr>
                        <w:rFonts w:ascii="MS Gothic"/>
                        <w:color w:val="333333"/>
                      </w:rPr>
                      <w:t>|</w:t>
                    </w:r>
                    <w:r>
                      <w:rPr>
                        <w:rFonts w:ascii="MS Gothic"/>
                        <w:color w:val="333333"/>
                      </w:rPr>
                      <w:tab/>
                      <w:t>+- CustomerController.java</w:t>
                    </w:r>
                  </w:p>
                  <w:p w14:paraId="21F51F5C" w14:textId="77777777" w:rsidR="00711A16" w:rsidRDefault="00711A16">
                    <w:pPr>
                      <w:tabs>
                        <w:tab w:val="left" w:pos="1630"/>
                      </w:tabs>
                      <w:spacing w:before="13"/>
                      <w:ind w:left="1190"/>
                      <w:rPr>
                        <w:rFonts w:ascii="MS Gothic"/>
                      </w:rPr>
                    </w:pPr>
                    <w:r>
                      <w:rPr>
                        <w:rFonts w:ascii="MS Gothic"/>
                        <w:color w:val="333333"/>
                      </w:rPr>
                      <w:t>|</w:t>
                    </w:r>
                    <w:r>
                      <w:rPr>
                        <w:rFonts w:ascii="MS Gothic"/>
                        <w:color w:val="333333"/>
                      </w:rPr>
                      <w:tab/>
                      <w:t>+- CustomerService.java</w:t>
                    </w:r>
                  </w:p>
                  <w:p w14:paraId="53C0CDAF" w14:textId="77777777" w:rsidR="00711A16" w:rsidRDefault="00711A16">
                    <w:pPr>
                      <w:tabs>
                        <w:tab w:val="left" w:pos="1630"/>
                      </w:tabs>
                      <w:spacing w:before="13"/>
                      <w:ind w:left="1190"/>
                      <w:rPr>
                        <w:rFonts w:ascii="MS Gothic"/>
                      </w:rPr>
                    </w:pPr>
                    <w:r>
                      <w:rPr>
                        <w:rFonts w:ascii="MS Gothic"/>
                        <w:color w:val="333333"/>
                      </w:rPr>
                      <w:t>|</w:t>
                    </w:r>
                    <w:r>
                      <w:rPr>
                        <w:rFonts w:ascii="MS Gothic"/>
                        <w:color w:val="333333"/>
                      </w:rPr>
                      <w:tab/>
                      <w:t>+- CustomerRepository.java</w:t>
                    </w:r>
                  </w:p>
                  <w:p w14:paraId="269F946F" w14:textId="77777777" w:rsidR="00711A16" w:rsidRDefault="00711A16">
                    <w:pPr>
                      <w:spacing w:before="13"/>
                      <w:ind w:left="1190"/>
                      <w:rPr>
                        <w:rFonts w:ascii="MS Gothic"/>
                      </w:rPr>
                    </w:pPr>
                    <w:r>
                      <w:rPr>
                        <w:rFonts w:ascii="MS Gothic"/>
                        <w:color w:val="333333"/>
                      </w:rPr>
                      <w:t>|</w:t>
                    </w:r>
                  </w:p>
                  <w:p w14:paraId="530E2257" w14:textId="77777777" w:rsidR="00711A16" w:rsidRDefault="00711A16">
                    <w:pPr>
                      <w:spacing w:before="13"/>
                      <w:ind w:left="1190"/>
                      <w:rPr>
                        <w:rFonts w:ascii="MS Gothic"/>
                      </w:rPr>
                    </w:pPr>
                    <w:r>
                      <w:rPr>
                        <w:rFonts w:ascii="MS Gothic"/>
                        <w:color w:val="333333"/>
                      </w:rPr>
                      <w:t>+- order</w:t>
                    </w:r>
                  </w:p>
                  <w:p w14:paraId="60485066" w14:textId="77777777" w:rsidR="00711A16" w:rsidRDefault="00711A16">
                    <w:pPr>
                      <w:spacing w:before="13"/>
                      <w:ind w:left="1630"/>
                      <w:rPr>
                        <w:rFonts w:ascii="MS Gothic"/>
                      </w:rPr>
                    </w:pPr>
                    <w:r>
                      <w:rPr>
                        <w:rFonts w:ascii="MS Gothic"/>
                        <w:color w:val="333333"/>
                      </w:rPr>
                      <w:t>+- Order.java</w:t>
                    </w:r>
                  </w:p>
                  <w:p w14:paraId="51414F5E" w14:textId="77777777" w:rsidR="00711A16" w:rsidRDefault="00711A16">
                    <w:pPr>
                      <w:spacing w:before="13"/>
                      <w:ind w:left="1630"/>
                      <w:rPr>
                        <w:rFonts w:ascii="MS Gothic"/>
                      </w:rPr>
                    </w:pPr>
                    <w:r>
                      <w:rPr>
                        <w:rFonts w:ascii="MS Gothic"/>
                        <w:color w:val="333333"/>
                      </w:rPr>
                      <w:t>+- OrderController.java</w:t>
                    </w:r>
                  </w:p>
                  <w:p w14:paraId="518E9BB8" w14:textId="77777777" w:rsidR="00711A16" w:rsidRDefault="00711A16">
                    <w:pPr>
                      <w:spacing w:before="13"/>
                      <w:ind w:left="1630"/>
                      <w:rPr>
                        <w:rFonts w:ascii="MS Gothic"/>
                      </w:rPr>
                    </w:pPr>
                    <w:r>
                      <w:rPr>
                        <w:rFonts w:ascii="MS Gothic"/>
                        <w:color w:val="333333"/>
                      </w:rPr>
                      <w:t>+- OrderService.java</w:t>
                    </w:r>
                  </w:p>
                  <w:p w14:paraId="66F8C220" w14:textId="77777777" w:rsidR="00711A16" w:rsidRDefault="00711A16">
                    <w:pPr>
                      <w:spacing w:before="13"/>
                      <w:ind w:left="1630"/>
                      <w:rPr>
                        <w:rFonts w:ascii="MS Gothic"/>
                      </w:rPr>
                    </w:pPr>
                    <w:r>
                      <w:rPr>
                        <w:rFonts w:ascii="MS Gothic"/>
                        <w:color w:val="333333"/>
                      </w:rPr>
                      <w:t>+- OrderRepository.java</w:t>
                    </w:r>
                  </w:p>
                </w:txbxContent>
              </v:textbox>
            </v:shape>
            <w10:wrap type="topAndBottom" anchorx="page"/>
          </v:group>
        </w:pict>
      </w:r>
    </w:p>
    <w:p w14:paraId="703290D9" w14:textId="77777777" w:rsidR="00A720EB" w:rsidRDefault="00A720EB">
      <w:pPr>
        <w:pStyle w:val="a3"/>
        <w:spacing w:before="11"/>
        <w:rPr>
          <w:sz w:val="9"/>
        </w:rPr>
      </w:pPr>
    </w:p>
    <w:p w14:paraId="5EEBCEE3" w14:textId="77777777" w:rsidR="00A720EB" w:rsidRDefault="0030286B">
      <w:pPr>
        <w:pStyle w:val="a3"/>
        <w:tabs>
          <w:tab w:val="left" w:pos="756"/>
          <w:tab w:val="left" w:pos="3273"/>
          <w:tab w:val="left" w:pos="4159"/>
          <w:tab w:val="left" w:pos="5153"/>
          <w:tab w:val="left" w:pos="5733"/>
          <w:tab w:val="left" w:pos="7487"/>
          <w:tab w:val="left" w:pos="8295"/>
          <w:tab w:val="left" w:pos="9007"/>
          <w:tab w:val="left" w:pos="9584"/>
        </w:tabs>
        <w:spacing w:before="115"/>
        <w:ind w:left="124"/>
      </w:pPr>
      <w:r>
        <w:rPr>
          <w:color w:val="333333"/>
          <w:w w:val="110"/>
        </w:rPr>
        <w:t>The</w:t>
      </w:r>
      <w:r>
        <w:rPr>
          <w:color w:val="333333"/>
          <w:w w:val="110"/>
        </w:rPr>
        <w:tab/>
      </w:r>
      <w:r>
        <w:rPr>
          <w:rFonts w:ascii="MS Gothic"/>
          <w:color w:val="B02045"/>
          <w:w w:val="110"/>
        </w:rPr>
        <w:t>Application.java</w:t>
      </w:r>
      <w:r>
        <w:rPr>
          <w:rFonts w:ascii="MS Gothic"/>
          <w:color w:val="B02045"/>
          <w:spacing w:val="46"/>
          <w:w w:val="110"/>
        </w:rPr>
        <w:t xml:space="preserve"> </w:t>
      </w:r>
      <w:r>
        <w:rPr>
          <w:color w:val="333333"/>
          <w:w w:val="110"/>
        </w:rPr>
        <w:t>file</w:t>
      </w:r>
      <w:r>
        <w:rPr>
          <w:color w:val="333333"/>
          <w:w w:val="110"/>
        </w:rPr>
        <w:tab/>
        <w:t>would</w:t>
      </w:r>
      <w:r>
        <w:rPr>
          <w:color w:val="333333"/>
          <w:w w:val="110"/>
        </w:rPr>
        <w:tab/>
        <w:t>declare</w:t>
      </w:r>
      <w:r>
        <w:rPr>
          <w:color w:val="333333"/>
          <w:w w:val="110"/>
        </w:rPr>
        <w:tab/>
        <w:t>the</w:t>
      </w:r>
      <w:r>
        <w:rPr>
          <w:color w:val="333333"/>
          <w:w w:val="110"/>
        </w:rPr>
        <w:tab/>
      </w:r>
      <w:proofErr w:type="gramStart"/>
      <w:r>
        <w:rPr>
          <w:rFonts w:ascii="MS Gothic"/>
          <w:color w:val="B02045"/>
          <w:w w:val="110"/>
        </w:rPr>
        <w:t xml:space="preserve">main </w:t>
      </w:r>
      <w:r>
        <w:rPr>
          <w:rFonts w:ascii="MS Gothic"/>
          <w:color w:val="B02045"/>
          <w:spacing w:val="4"/>
          <w:w w:val="110"/>
        </w:rPr>
        <w:t xml:space="preserve"> </w:t>
      </w:r>
      <w:r>
        <w:rPr>
          <w:color w:val="333333"/>
          <w:w w:val="110"/>
        </w:rPr>
        <w:t>method</w:t>
      </w:r>
      <w:proofErr w:type="gramEnd"/>
      <w:r>
        <w:rPr>
          <w:color w:val="333333"/>
          <w:w w:val="110"/>
        </w:rPr>
        <w:t>,</w:t>
      </w:r>
      <w:r>
        <w:rPr>
          <w:color w:val="333333"/>
          <w:w w:val="110"/>
        </w:rPr>
        <w:tab/>
        <w:t>along</w:t>
      </w:r>
      <w:r>
        <w:rPr>
          <w:color w:val="333333"/>
          <w:w w:val="110"/>
        </w:rPr>
        <w:tab/>
        <w:t>with</w:t>
      </w:r>
      <w:r>
        <w:rPr>
          <w:color w:val="333333"/>
          <w:w w:val="110"/>
        </w:rPr>
        <w:tab/>
        <w:t>the</w:t>
      </w:r>
      <w:r>
        <w:rPr>
          <w:color w:val="333333"/>
          <w:w w:val="110"/>
        </w:rPr>
        <w:tab/>
        <w:t>basic</w:t>
      </w:r>
    </w:p>
    <w:p w14:paraId="176CD6A0" w14:textId="77777777" w:rsidR="00A720EB" w:rsidRDefault="0030286B">
      <w:pPr>
        <w:pStyle w:val="a3"/>
        <w:spacing w:before="47"/>
        <w:ind w:left="124"/>
      </w:pPr>
      <w:r>
        <w:rPr>
          <w:rFonts w:ascii="MS Gothic"/>
          <w:color w:val="B02045"/>
          <w:w w:val="105"/>
        </w:rPr>
        <w:t>@SpringBootApplication</w:t>
      </w:r>
      <w:r>
        <w:rPr>
          <w:color w:val="333333"/>
          <w:w w:val="105"/>
        </w:rPr>
        <w:t>, as follows:</w:t>
      </w:r>
    </w:p>
    <w:p w14:paraId="45726AC7" w14:textId="77777777" w:rsidR="00A720EB" w:rsidRDefault="00E10349">
      <w:pPr>
        <w:pStyle w:val="a3"/>
        <w:spacing w:before="11"/>
        <w:rPr>
          <w:sz w:val="17"/>
        </w:rPr>
      </w:pPr>
      <w:r>
        <w:pict w14:anchorId="5D97315F">
          <v:group id="_x0000_s4857" style="position:absolute;margin-left:47.85pt;margin-top:12.5pt;width:499.55pt;height:214.4pt;z-index:-15693824;mso-wrap-distance-left:0;mso-wrap-distance-right:0;mso-position-horizontal-relative:page" coordorigin="957,250" coordsize="9991,4288">
            <v:shape id="_x0000_s4860" style="position:absolute;left:964;top:257;width:9976;height:4273" coordorigin="965,258" coordsize="9976,4273" path="m10861,258r-9816,l1014,264r-26,17l971,306r-6,32l965,4450r6,31l988,4507r26,17l1045,4530r9816,l10892,4524r25,-17l10935,4481r6,-31l10941,338r-6,-32l10917,281r-25,-17l10861,258xe" fillcolor="#f5f5f5" stroked="f">
              <v:path arrowok="t"/>
            </v:shape>
            <v:shape id="_x0000_s4859" style="position:absolute;left:964;top:257;width:9976;height:4273" coordorigin="965,258" coordsize="9976,4273" path="m1045,258r9816,l10892,264r25,17l10935,306r6,32l10941,4450r-6,31l10917,4507r-25,17l10861,4530r-9816,l1014,4524r-26,-17l971,4481r-6,-31l965,338r6,-32l988,281r26,-17l1045,258xe" filled="f" strokecolor="#ccc">
              <v:path arrowok="t"/>
            </v:shape>
            <v:shape id="_x0000_s4858" type="#_x0000_t202" style="position:absolute;left:984;top:273;width:9938;height:4242" filled="f" stroked="f">
              <v:textbox inset="0,0,0,0">
                <w:txbxContent>
                  <w:p w14:paraId="4FE8AEDF" w14:textId="77777777" w:rsidR="00711A16" w:rsidRDefault="00711A16">
                    <w:pPr>
                      <w:spacing w:before="221"/>
                      <w:ind w:left="200"/>
                      <w:rPr>
                        <w:rFonts w:ascii="MS Gothic"/>
                      </w:rPr>
                    </w:pPr>
                    <w:r>
                      <w:rPr>
                        <w:rFonts w:ascii="MS Gothic"/>
                        <w:color w:val="333333"/>
                      </w:rPr>
                      <w:t>package com.</w:t>
                    </w:r>
                    <w:proofErr w:type="gramStart"/>
                    <w:r>
                      <w:rPr>
                        <w:rFonts w:ascii="MS Gothic"/>
                        <w:color w:val="333333"/>
                      </w:rPr>
                      <w:t>example.myapplication</w:t>
                    </w:r>
                    <w:proofErr w:type="gramEnd"/>
                    <w:r>
                      <w:rPr>
                        <w:rFonts w:ascii="MS Gothic"/>
                        <w:color w:val="333333"/>
                      </w:rPr>
                      <w:t>;</w:t>
                    </w:r>
                  </w:p>
                  <w:p w14:paraId="2C898F88" w14:textId="77777777" w:rsidR="00711A16" w:rsidRDefault="00711A16">
                    <w:pPr>
                      <w:rPr>
                        <w:rFonts w:ascii="MS Gothic"/>
                        <w:sz w:val="24"/>
                      </w:rPr>
                    </w:pPr>
                  </w:p>
                  <w:p w14:paraId="34542B2D" w14:textId="77777777" w:rsidR="00711A16" w:rsidRDefault="00711A16">
                    <w:pPr>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.boot.SpringApplication;</w:t>
                    </w:r>
                  </w:p>
                  <w:p w14:paraId="1C091DDD" w14:textId="77777777" w:rsidR="00711A16" w:rsidRDefault="00711A16">
                    <w:pPr>
                      <w:spacing w:before="13"/>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.boot.autoconfigure.SpringBootApplication;</w:t>
                    </w:r>
                  </w:p>
                  <w:p w14:paraId="24CB69D3" w14:textId="77777777" w:rsidR="00711A16" w:rsidRDefault="00711A16">
                    <w:pPr>
                      <w:rPr>
                        <w:rFonts w:ascii="MS Gothic"/>
                        <w:sz w:val="24"/>
                      </w:rPr>
                    </w:pPr>
                  </w:p>
                  <w:p w14:paraId="2AA78285" w14:textId="77777777" w:rsidR="00711A16" w:rsidRDefault="00711A16">
                    <w:pPr>
                      <w:spacing w:line="252" w:lineRule="auto"/>
                      <w:ind w:left="200" w:right="6858"/>
                      <w:rPr>
                        <w:rFonts w:ascii="MS Gothic"/>
                      </w:rPr>
                    </w:pPr>
                    <w:r>
                      <w:rPr>
                        <w:rFonts w:ascii="MS Gothic"/>
                        <w:color w:val="333333"/>
                      </w:rPr>
                      <w:t>@SpringBootApplication public class Application {</w:t>
                    </w:r>
                  </w:p>
                  <w:p w14:paraId="7746EB00" w14:textId="77777777" w:rsidR="00711A16" w:rsidRDefault="00711A16">
                    <w:pPr>
                      <w:spacing w:before="11"/>
                      <w:rPr>
                        <w:rFonts w:ascii="MS Gothic"/>
                      </w:rPr>
                    </w:pPr>
                  </w:p>
                  <w:p w14:paraId="76B25229" w14:textId="77777777" w:rsidR="00711A16" w:rsidRDefault="00711A16">
                    <w:pPr>
                      <w:spacing w:line="252" w:lineRule="auto"/>
                      <w:ind w:left="1080" w:right="3668" w:hanging="4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 SpringApplication.run(Application.class, args);</w:t>
                    </w:r>
                  </w:p>
                  <w:p w14:paraId="3206F624" w14:textId="77777777" w:rsidR="00711A16" w:rsidRDefault="00711A16">
                    <w:pPr>
                      <w:spacing w:line="280" w:lineRule="exact"/>
                      <w:ind w:left="640"/>
                      <w:rPr>
                        <w:rFonts w:ascii="MS Gothic"/>
                      </w:rPr>
                    </w:pPr>
                    <w:r>
                      <w:rPr>
                        <w:rFonts w:ascii="MS Gothic"/>
                        <w:color w:val="333333"/>
                      </w:rPr>
                      <w:t>}</w:t>
                    </w:r>
                  </w:p>
                  <w:p w14:paraId="501D97AC" w14:textId="77777777" w:rsidR="00711A16" w:rsidRDefault="00711A16">
                    <w:pPr>
                      <w:rPr>
                        <w:rFonts w:ascii="MS Gothic"/>
                        <w:sz w:val="24"/>
                      </w:rPr>
                    </w:pPr>
                  </w:p>
                  <w:p w14:paraId="1A507E19" w14:textId="77777777" w:rsidR="00711A16" w:rsidRDefault="00711A16">
                    <w:pPr>
                      <w:ind w:left="200"/>
                      <w:rPr>
                        <w:rFonts w:ascii="MS Gothic"/>
                      </w:rPr>
                    </w:pPr>
                    <w:r>
                      <w:rPr>
                        <w:rFonts w:ascii="MS Gothic"/>
                        <w:color w:val="333333"/>
                      </w:rPr>
                      <w:t>}</w:t>
                    </w:r>
                  </w:p>
                </w:txbxContent>
              </v:textbox>
            </v:shape>
            <w10:wrap type="topAndBottom" anchorx="page"/>
          </v:group>
        </w:pict>
      </w:r>
    </w:p>
    <w:p w14:paraId="5177260A" w14:textId="77777777" w:rsidR="00A720EB" w:rsidRDefault="00A720EB">
      <w:pPr>
        <w:pStyle w:val="a3"/>
        <w:spacing w:before="11"/>
        <w:rPr>
          <w:sz w:val="16"/>
        </w:rPr>
      </w:pPr>
    </w:p>
    <w:p w14:paraId="62FB2DFD" w14:textId="77777777" w:rsidR="00A720EB" w:rsidRDefault="0030286B">
      <w:pPr>
        <w:pStyle w:val="2"/>
        <w:numPr>
          <w:ilvl w:val="1"/>
          <w:numId w:val="72"/>
        </w:numPr>
        <w:tabs>
          <w:tab w:val="left" w:pos="832"/>
        </w:tabs>
        <w:spacing w:before="107"/>
      </w:pPr>
      <w:bookmarkStart w:id="87" w:name="3.3._Configuration_Classes"/>
      <w:bookmarkStart w:id="88" w:name="_Toc54423687"/>
      <w:bookmarkEnd w:id="87"/>
      <w:r>
        <w:rPr>
          <w:color w:val="333333"/>
          <w:w w:val="110"/>
        </w:rPr>
        <w:t>Configuration</w:t>
      </w:r>
      <w:r>
        <w:rPr>
          <w:color w:val="333333"/>
          <w:spacing w:val="-8"/>
          <w:w w:val="110"/>
        </w:rPr>
        <w:t xml:space="preserve"> </w:t>
      </w:r>
      <w:r>
        <w:rPr>
          <w:color w:val="333333"/>
          <w:w w:val="110"/>
        </w:rPr>
        <w:t>Classes</w:t>
      </w:r>
      <w:bookmarkEnd w:id="88"/>
    </w:p>
    <w:p w14:paraId="59203360" w14:textId="77777777" w:rsidR="00A720EB" w:rsidRDefault="0030286B">
      <w:pPr>
        <w:pStyle w:val="a3"/>
        <w:spacing w:before="242" w:line="280" w:lineRule="auto"/>
        <w:ind w:left="124" w:right="122"/>
        <w:jc w:val="both"/>
      </w:pPr>
      <w:r>
        <w:rPr>
          <w:color w:val="333333"/>
          <w:w w:val="110"/>
        </w:rPr>
        <w:t xml:space="preserve">Spring Boot favors Java-based configuration. Although it is possible to use </w:t>
      </w:r>
      <w:r>
        <w:rPr>
          <w:rFonts w:ascii="MS Gothic"/>
          <w:color w:val="B02045"/>
          <w:w w:val="110"/>
        </w:rPr>
        <w:t xml:space="preserve">SpringApplication </w:t>
      </w:r>
      <w:r>
        <w:rPr>
          <w:color w:val="333333"/>
          <w:w w:val="110"/>
        </w:rPr>
        <w:t xml:space="preserve">with XML sources, we generally recommend that your primary source be a single </w:t>
      </w:r>
      <w:r>
        <w:rPr>
          <w:rFonts w:ascii="MS Gothic"/>
          <w:color w:val="B02045"/>
          <w:w w:val="110"/>
        </w:rPr>
        <w:t xml:space="preserve">@Configuration </w:t>
      </w:r>
      <w:r>
        <w:rPr>
          <w:color w:val="333333"/>
          <w:w w:val="110"/>
        </w:rPr>
        <w:t xml:space="preserve">class. Usually the class that defines the </w:t>
      </w:r>
      <w:r>
        <w:rPr>
          <w:rFonts w:ascii="MS Gothic"/>
          <w:color w:val="B02045"/>
          <w:w w:val="110"/>
        </w:rPr>
        <w:t>main</w:t>
      </w:r>
      <w:r>
        <w:rPr>
          <w:rFonts w:ascii="MS Gothic"/>
          <w:color w:val="B02045"/>
          <w:spacing w:val="-68"/>
          <w:w w:val="110"/>
        </w:rPr>
        <w:t xml:space="preserve"> </w:t>
      </w:r>
      <w:r>
        <w:rPr>
          <w:color w:val="333333"/>
          <w:w w:val="110"/>
        </w:rPr>
        <w:t xml:space="preserve">method is a good candidate as the primary </w:t>
      </w:r>
      <w:r>
        <w:rPr>
          <w:rFonts w:ascii="MS Gothic"/>
          <w:color w:val="B02045"/>
          <w:w w:val="110"/>
        </w:rPr>
        <w:t>@Configuration</w:t>
      </w:r>
      <w:r>
        <w:rPr>
          <w:color w:val="333333"/>
          <w:w w:val="110"/>
        </w:rPr>
        <w:t>.</w:t>
      </w:r>
    </w:p>
    <w:p w14:paraId="435FDC5E" w14:textId="77777777" w:rsidR="00A720EB" w:rsidRDefault="00A720EB">
      <w:pPr>
        <w:spacing w:line="280" w:lineRule="auto"/>
        <w:jc w:val="both"/>
        <w:sectPr w:rsidR="00A720EB">
          <w:pgSz w:w="11910" w:h="16840"/>
          <w:pgMar w:top="620" w:right="840" w:bottom="520" w:left="840" w:header="0" w:footer="323" w:gutter="0"/>
          <w:cols w:space="720"/>
        </w:sectPr>
      </w:pPr>
    </w:p>
    <w:p w14:paraId="4F95CA9A" w14:textId="77777777" w:rsidR="00A720EB" w:rsidRDefault="00E10349">
      <w:pPr>
        <w:pStyle w:val="a3"/>
        <w:spacing w:before="122" w:line="302" w:lineRule="auto"/>
        <w:ind w:left="1564" w:right="368"/>
        <w:jc w:val="both"/>
      </w:pPr>
      <w:r>
        <w:lastRenderedPageBreak/>
        <w:pict w14:anchorId="0C4DF70F">
          <v:line id="_x0000_s4856" style="position:absolute;left:0;text-align:left;z-index:15764992;mso-position-horizontal-relative:page" from="108.25pt,.1pt" to="108.25pt,55.45pt" strokecolor="#ededed" strokeweight=".5pt">
            <w10:wrap anchorx="page"/>
          </v:line>
        </w:pict>
      </w:r>
      <w:r w:rsidR="0030286B">
        <w:rPr>
          <w:noProof/>
        </w:rPr>
        <w:drawing>
          <wp:anchor distT="0" distB="0" distL="0" distR="0" simplePos="0" relativeHeight="15765504" behindDoc="0" locked="0" layoutInCell="1" allowOverlap="1" wp14:anchorId="260BC35B" wp14:editId="2C5249C9">
            <wp:simplePos x="0" y="0"/>
            <wp:positionH relativeFrom="page">
              <wp:posOffset>888949</wp:posOffset>
            </wp:positionH>
            <wp:positionV relativeFrom="paragraph">
              <wp:posOffset>200445</wp:posOffset>
            </wp:positionV>
            <wp:extent cx="209550" cy="304800"/>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5"/>
        </w:rPr>
        <w:t>Many</w:t>
      </w:r>
      <w:r w:rsidR="0030286B">
        <w:rPr>
          <w:color w:val="333333"/>
          <w:spacing w:val="-16"/>
          <w:w w:val="115"/>
        </w:rPr>
        <w:t xml:space="preserve"> </w:t>
      </w:r>
      <w:r w:rsidR="0030286B">
        <w:rPr>
          <w:color w:val="333333"/>
          <w:w w:val="115"/>
        </w:rPr>
        <w:t>Spring</w:t>
      </w:r>
      <w:r w:rsidR="0030286B">
        <w:rPr>
          <w:color w:val="333333"/>
          <w:spacing w:val="-15"/>
          <w:w w:val="115"/>
        </w:rPr>
        <w:t xml:space="preserve"> </w:t>
      </w:r>
      <w:r w:rsidR="0030286B">
        <w:rPr>
          <w:color w:val="333333"/>
          <w:w w:val="115"/>
        </w:rPr>
        <w:t>configuration</w:t>
      </w:r>
      <w:r w:rsidR="0030286B">
        <w:rPr>
          <w:color w:val="333333"/>
          <w:spacing w:val="-15"/>
          <w:w w:val="115"/>
        </w:rPr>
        <w:t xml:space="preserve"> </w:t>
      </w:r>
      <w:r w:rsidR="0030286B">
        <w:rPr>
          <w:color w:val="333333"/>
          <w:w w:val="115"/>
        </w:rPr>
        <w:t>examples</w:t>
      </w:r>
      <w:r w:rsidR="0030286B">
        <w:rPr>
          <w:color w:val="333333"/>
          <w:spacing w:val="-15"/>
          <w:w w:val="115"/>
        </w:rPr>
        <w:t xml:space="preserve"> </w:t>
      </w:r>
      <w:r w:rsidR="0030286B">
        <w:rPr>
          <w:color w:val="333333"/>
          <w:w w:val="115"/>
        </w:rPr>
        <w:t>have</w:t>
      </w:r>
      <w:r w:rsidR="0030286B">
        <w:rPr>
          <w:color w:val="333333"/>
          <w:spacing w:val="-16"/>
          <w:w w:val="115"/>
        </w:rPr>
        <w:t xml:space="preserve"> </w:t>
      </w:r>
      <w:r w:rsidR="0030286B">
        <w:rPr>
          <w:color w:val="333333"/>
          <w:w w:val="115"/>
        </w:rPr>
        <w:t>been</w:t>
      </w:r>
      <w:r w:rsidR="0030286B">
        <w:rPr>
          <w:color w:val="333333"/>
          <w:spacing w:val="-15"/>
          <w:w w:val="115"/>
        </w:rPr>
        <w:t xml:space="preserve"> </w:t>
      </w:r>
      <w:r w:rsidR="0030286B">
        <w:rPr>
          <w:color w:val="333333"/>
          <w:w w:val="115"/>
        </w:rPr>
        <w:t>published</w:t>
      </w:r>
      <w:r w:rsidR="0030286B">
        <w:rPr>
          <w:color w:val="333333"/>
          <w:spacing w:val="-15"/>
          <w:w w:val="115"/>
        </w:rPr>
        <w:t xml:space="preserve"> </w:t>
      </w:r>
      <w:r w:rsidR="0030286B">
        <w:rPr>
          <w:color w:val="333333"/>
          <w:w w:val="115"/>
        </w:rPr>
        <w:t>on</w:t>
      </w:r>
      <w:r w:rsidR="0030286B">
        <w:rPr>
          <w:color w:val="333333"/>
          <w:spacing w:val="-16"/>
          <w:w w:val="115"/>
        </w:rPr>
        <w:t xml:space="preserve"> </w:t>
      </w:r>
      <w:r w:rsidR="0030286B">
        <w:rPr>
          <w:color w:val="333333"/>
          <w:w w:val="115"/>
        </w:rPr>
        <w:t>the</w:t>
      </w:r>
      <w:r w:rsidR="0030286B">
        <w:rPr>
          <w:color w:val="333333"/>
          <w:spacing w:val="-15"/>
          <w:w w:val="115"/>
        </w:rPr>
        <w:t xml:space="preserve"> </w:t>
      </w:r>
      <w:r w:rsidR="0030286B">
        <w:rPr>
          <w:color w:val="333333"/>
          <w:w w:val="115"/>
        </w:rPr>
        <w:t>Internet</w:t>
      </w:r>
      <w:r w:rsidR="0030286B">
        <w:rPr>
          <w:color w:val="333333"/>
          <w:spacing w:val="-15"/>
          <w:w w:val="115"/>
        </w:rPr>
        <w:t xml:space="preserve"> </w:t>
      </w:r>
      <w:r w:rsidR="0030286B">
        <w:rPr>
          <w:color w:val="333333"/>
          <w:w w:val="115"/>
        </w:rPr>
        <w:t>that</w:t>
      </w:r>
      <w:r w:rsidR="0030286B">
        <w:rPr>
          <w:color w:val="333333"/>
          <w:spacing w:val="-15"/>
          <w:w w:val="115"/>
        </w:rPr>
        <w:t xml:space="preserve"> </w:t>
      </w:r>
      <w:r w:rsidR="0030286B">
        <w:rPr>
          <w:color w:val="333333"/>
          <w:w w:val="115"/>
        </w:rPr>
        <w:t>use XML configuration. If possible, always try to use the equivalent Java-based configuration.</w:t>
      </w:r>
      <w:r w:rsidR="0030286B">
        <w:rPr>
          <w:color w:val="333333"/>
          <w:spacing w:val="-16"/>
          <w:w w:val="115"/>
        </w:rPr>
        <w:t xml:space="preserve"> </w:t>
      </w:r>
      <w:r w:rsidR="0030286B">
        <w:rPr>
          <w:color w:val="333333"/>
          <w:w w:val="115"/>
        </w:rPr>
        <w:t>Searching</w:t>
      </w:r>
      <w:r w:rsidR="0030286B">
        <w:rPr>
          <w:color w:val="333333"/>
          <w:spacing w:val="-15"/>
          <w:w w:val="115"/>
        </w:rPr>
        <w:t xml:space="preserve"> </w:t>
      </w:r>
      <w:r w:rsidR="0030286B">
        <w:rPr>
          <w:color w:val="333333"/>
          <w:w w:val="115"/>
        </w:rPr>
        <w:t>for</w:t>
      </w:r>
      <w:r w:rsidR="0030286B">
        <w:rPr>
          <w:color w:val="333333"/>
          <w:spacing w:val="-12"/>
          <w:w w:val="115"/>
        </w:rPr>
        <w:t xml:space="preserve"> </w:t>
      </w:r>
      <w:r w:rsidR="0030286B">
        <w:rPr>
          <w:rFonts w:ascii="MS Gothic"/>
          <w:color w:val="B02045"/>
          <w:w w:val="115"/>
        </w:rPr>
        <w:t>Enable*</w:t>
      </w:r>
      <w:r w:rsidR="0030286B">
        <w:rPr>
          <w:rFonts w:ascii="MS Gothic"/>
          <w:color w:val="B02045"/>
          <w:spacing w:val="-82"/>
          <w:w w:val="115"/>
        </w:rPr>
        <w:t xml:space="preserve"> </w:t>
      </w:r>
      <w:r w:rsidR="0030286B">
        <w:rPr>
          <w:color w:val="333333"/>
          <w:w w:val="115"/>
        </w:rPr>
        <w:t>annotations</w:t>
      </w:r>
      <w:r w:rsidR="0030286B">
        <w:rPr>
          <w:color w:val="333333"/>
          <w:spacing w:val="-15"/>
          <w:w w:val="115"/>
        </w:rPr>
        <w:t xml:space="preserve"> </w:t>
      </w:r>
      <w:r w:rsidR="0030286B">
        <w:rPr>
          <w:color w:val="333333"/>
          <w:w w:val="115"/>
        </w:rPr>
        <w:t>can</w:t>
      </w:r>
      <w:r w:rsidR="0030286B">
        <w:rPr>
          <w:color w:val="333333"/>
          <w:spacing w:val="-15"/>
          <w:w w:val="115"/>
        </w:rPr>
        <w:t xml:space="preserve"> </w:t>
      </w:r>
      <w:r w:rsidR="0030286B">
        <w:rPr>
          <w:color w:val="333333"/>
          <w:w w:val="115"/>
        </w:rPr>
        <w:t>be</w:t>
      </w:r>
      <w:r w:rsidR="0030286B">
        <w:rPr>
          <w:color w:val="333333"/>
          <w:spacing w:val="-15"/>
          <w:w w:val="115"/>
        </w:rPr>
        <w:t xml:space="preserve"> </w:t>
      </w:r>
      <w:r w:rsidR="0030286B">
        <w:rPr>
          <w:color w:val="333333"/>
          <w:w w:val="115"/>
        </w:rPr>
        <w:t>a</w:t>
      </w:r>
      <w:r w:rsidR="0030286B">
        <w:rPr>
          <w:color w:val="333333"/>
          <w:spacing w:val="-15"/>
          <w:w w:val="115"/>
        </w:rPr>
        <w:t xml:space="preserve"> </w:t>
      </w:r>
      <w:r w:rsidR="0030286B">
        <w:rPr>
          <w:color w:val="333333"/>
          <w:w w:val="115"/>
        </w:rPr>
        <w:t>good</w:t>
      </w:r>
      <w:r w:rsidR="0030286B">
        <w:rPr>
          <w:color w:val="333333"/>
          <w:spacing w:val="-15"/>
          <w:w w:val="115"/>
        </w:rPr>
        <w:t xml:space="preserve"> </w:t>
      </w:r>
      <w:r w:rsidR="0030286B">
        <w:rPr>
          <w:color w:val="333333"/>
          <w:w w:val="115"/>
        </w:rPr>
        <w:t>starting</w:t>
      </w:r>
      <w:r w:rsidR="0030286B">
        <w:rPr>
          <w:color w:val="333333"/>
          <w:spacing w:val="-14"/>
          <w:w w:val="115"/>
        </w:rPr>
        <w:t xml:space="preserve"> </w:t>
      </w:r>
      <w:r w:rsidR="0030286B">
        <w:rPr>
          <w:color w:val="333333"/>
          <w:w w:val="115"/>
        </w:rPr>
        <w:t>point.</w:t>
      </w:r>
    </w:p>
    <w:p w14:paraId="408A6896" w14:textId="77777777" w:rsidR="00A720EB" w:rsidRDefault="00A720EB">
      <w:pPr>
        <w:pStyle w:val="a3"/>
        <w:spacing w:before="5"/>
        <w:rPr>
          <w:sz w:val="22"/>
        </w:rPr>
      </w:pPr>
    </w:p>
    <w:p w14:paraId="18DB18E3" w14:textId="77777777" w:rsidR="00A720EB" w:rsidRDefault="0030286B">
      <w:pPr>
        <w:pStyle w:val="3"/>
        <w:numPr>
          <w:ilvl w:val="2"/>
          <w:numId w:val="72"/>
        </w:numPr>
        <w:tabs>
          <w:tab w:val="left" w:pos="858"/>
        </w:tabs>
        <w:spacing w:before="105"/>
        <w:ind w:hanging="734"/>
      </w:pPr>
      <w:bookmarkStart w:id="89" w:name="3.3.1._Importing_Additional_Configuratio"/>
      <w:bookmarkStart w:id="90" w:name="_Toc54423688"/>
      <w:bookmarkEnd w:id="89"/>
      <w:r>
        <w:rPr>
          <w:color w:val="333333"/>
          <w:w w:val="110"/>
        </w:rPr>
        <w:t>Importing Additional Configuration</w:t>
      </w:r>
      <w:r>
        <w:rPr>
          <w:color w:val="333333"/>
          <w:spacing w:val="-21"/>
          <w:w w:val="110"/>
        </w:rPr>
        <w:t xml:space="preserve"> </w:t>
      </w:r>
      <w:r>
        <w:rPr>
          <w:color w:val="333333"/>
          <w:w w:val="110"/>
        </w:rPr>
        <w:t>Classes</w:t>
      </w:r>
      <w:bookmarkEnd w:id="90"/>
    </w:p>
    <w:p w14:paraId="28568080" w14:textId="77777777" w:rsidR="00A720EB" w:rsidRDefault="0030286B">
      <w:pPr>
        <w:pStyle w:val="a3"/>
        <w:spacing w:before="243" w:line="280" w:lineRule="auto"/>
        <w:ind w:left="124" w:right="124"/>
        <w:jc w:val="both"/>
      </w:pPr>
      <w:r>
        <w:rPr>
          <w:color w:val="333333"/>
          <w:w w:val="110"/>
        </w:rPr>
        <w:t xml:space="preserve">You need not put all </w:t>
      </w:r>
      <w:proofErr w:type="gramStart"/>
      <w:r>
        <w:rPr>
          <w:color w:val="333333"/>
          <w:w w:val="110"/>
        </w:rPr>
        <w:t>your</w:t>
      </w:r>
      <w:proofErr w:type="gramEnd"/>
      <w:r>
        <w:rPr>
          <w:color w:val="333333"/>
          <w:w w:val="110"/>
        </w:rPr>
        <w:t xml:space="preserve"> </w:t>
      </w:r>
      <w:r>
        <w:rPr>
          <w:rFonts w:ascii="MS Gothic"/>
          <w:color w:val="B02045"/>
          <w:w w:val="110"/>
        </w:rPr>
        <w:t xml:space="preserve">@Configuration </w:t>
      </w:r>
      <w:r>
        <w:rPr>
          <w:color w:val="333333"/>
          <w:w w:val="110"/>
        </w:rPr>
        <w:t xml:space="preserve">into a single class. The </w:t>
      </w:r>
      <w:r>
        <w:rPr>
          <w:rFonts w:ascii="MS Gothic"/>
          <w:color w:val="B02045"/>
          <w:w w:val="110"/>
        </w:rPr>
        <w:t xml:space="preserve">@Import </w:t>
      </w:r>
      <w:r>
        <w:rPr>
          <w:color w:val="333333"/>
          <w:w w:val="110"/>
        </w:rPr>
        <w:t xml:space="preserve">annotation can be used to import additional configuration classes. Alternatively, you can use </w:t>
      </w:r>
      <w:r>
        <w:rPr>
          <w:rFonts w:ascii="MS Gothic"/>
          <w:color w:val="B02045"/>
          <w:w w:val="110"/>
        </w:rPr>
        <w:t xml:space="preserve">@ComponentScan </w:t>
      </w:r>
      <w:r>
        <w:rPr>
          <w:color w:val="333333"/>
          <w:w w:val="110"/>
        </w:rPr>
        <w:t xml:space="preserve">to automatically pick up all Spring components, including </w:t>
      </w:r>
      <w:r>
        <w:rPr>
          <w:rFonts w:ascii="MS Gothic"/>
          <w:color w:val="B02045"/>
          <w:w w:val="110"/>
        </w:rPr>
        <w:t xml:space="preserve">@Configuration </w:t>
      </w:r>
      <w:r>
        <w:rPr>
          <w:color w:val="333333"/>
          <w:w w:val="110"/>
        </w:rPr>
        <w:t>classes.</w:t>
      </w:r>
    </w:p>
    <w:p w14:paraId="198C85A5" w14:textId="77777777" w:rsidR="00A720EB" w:rsidRDefault="00A720EB">
      <w:pPr>
        <w:pStyle w:val="a3"/>
        <w:spacing w:before="9"/>
        <w:rPr>
          <w:sz w:val="26"/>
        </w:rPr>
      </w:pPr>
    </w:p>
    <w:p w14:paraId="3EEFC7EF" w14:textId="77777777" w:rsidR="00A720EB" w:rsidRDefault="0030286B">
      <w:pPr>
        <w:pStyle w:val="3"/>
        <w:numPr>
          <w:ilvl w:val="2"/>
          <w:numId w:val="72"/>
        </w:numPr>
        <w:tabs>
          <w:tab w:val="left" w:pos="858"/>
        </w:tabs>
        <w:ind w:hanging="734"/>
      </w:pPr>
      <w:bookmarkStart w:id="91" w:name="3.3.2._Importing_XML_Configuration"/>
      <w:bookmarkStart w:id="92" w:name="_Toc54423689"/>
      <w:bookmarkEnd w:id="91"/>
      <w:r>
        <w:rPr>
          <w:color w:val="333333"/>
          <w:w w:val="110"/>
        </w:rPr>
        <w:t>Importing XML</w:t>
      </w:r>
      <w:r>
        <w:rPr>
          <w:color w:val="333333"/>
          <w:spacing w:val="-13"/>
          <w:w w:val="110"/>
        </w:rPr>
        <w:t xml:space="preserve"> </w:t>
      </w:r>
      <w:r>
        <w:rPr>
          <w:color w:val="333333"/>
          <w:w w:val="110"/>
        </w:rPr>
        <w:t>Configuration</w:t>
      </w:r>
      <w:bookmarkEnd w:id="92"/>
    </w:p>
    <w:p w14:paraId="0FD5F01F" w14:textId="77777777" w:rsidR="00A720EB" w:rsidRDefault="0030286B">
      <w:pPr>
        <w:pStyle w:val="a3"/>
        <w:spacing w:before="254" w:line="295" w:lineRule="auto"/>
        <w:ind w:left="124" w:right="126"/>
        <w:jc w:val="both"/>
      </w:pPr>
      <w:r>
        <w:rPr>
          <w:color w:val="333333"/>
          <w:w w:val="110"/>
        </w:rPr>
        <w:t xml:space="preserve">If you absolutely must use XML based configuration, we recommend that you still start with a </w:t>
      </w:r>
      <w:r>
        <w:rPr>
          <w:rFonts w:ascii="MS Gothic"/>
          <w:color w:val="B02045"/>
          <w:w w:val="110"/>
        </w:rPr>
        <w:t xml:space="preserve">@Configuration </w:t>
      </w:r>
      <w:r>
        <w:rPr>
          <w:color w:val="333333"/>
          <w:w w:val="110"/>
        </w:rPr>
        <w:t xml:space="preserve">class. You can then use an </w:t>
      </w:r>
      <w:r>
        <w:rPr>
          <w:rFonts w:ascii="MS Gothic"/>
          <w:color w:val="B02045"/>
          <w:w w:val="110"/>
        </w:rPr>
        <w:t xml:space="preserve">@ImportResource </w:t>
      </w:r>
      <w:r>
        <w:rPr>
          <w:color w:val="333333"/>
          <w:w w:val="110"/>
        </w:rPr>
        <w:t>annotation to load XML configuration files.</w:t>
      </w:r>
    </w:p>
    <w:p w14:paraId="1D699601" w14:textId="77777777" w:rsidR="00A720EB" w:rsidRDefault="00A720EB">
      <w:pPr>
        <w:pStyle w:val="a3"/>
        <w:spacing w:before="8"/>
        <w:rPr>
          <w:sz w:val="26"/>
        </w:rPr>
      </w:pPr>
    </w:p>
    <w:p w14:paraId="76AC5570" w14:textId="77777777" w:rsidR="00A720EB" w:rsidRDefault="0030286B">
      <w:pPr>
        <w:pStyle w:val="2"/>
        <w:numPr>
          <w:ilvl w:val="1"/>
          <w:numId w:val="72"/>
        </w:numPr>
        <w:tabs>
          <w:tab w:val="left" w:pos="832"/>
        </w:tabs>
        <w:spacing w:before="1"/>
      </w:pPr>
      <w:bookmarkStart w:id="93" w:name="3.4._Auto-configuration"/>
      <w:bookmarkStart w:id="94" w:name="_Toc54423690"/>
      <w:bookmarkEnd w:id="93"/>
      <w:r>
        <w:rPr>
          <w:color w:val="333333"/>
          <w:w w:val="110"/>
        </w:rPr>
        <w:t>Auto-configuration</w:t>
      </w:r>
      <w:bookmarkEnd w:id="94"/>
    </w:p>
    <w:p w14:paraId="4C56A8EA" w14:textId="77777777" w:rsidR="00A720EB" w:rsidRDefault="0030286B">
      <w:pPr>
        <w:pStyle w:val="a3"/>
        <w:spacing w:before="253" w:line="297" w:lineRule="auto"/>
        <w:ind w:left="124" w:right="125"/>
        <w:jc w:val="both"/>
      </w:pPr>
      <w:r>
        <w:rPr>
          <w:color w:val="333333"/>
          <w:w w:val="110"/>
        </w:rPr>
        <w:t xml:space="preserve">Spring Boot auto-configuration attempts to automatically configure your Spring application based   on the jar dependencies that you have added. </w:t>
      </w:r>
      <w:r>
        <w:rPr>
          <w:color w:val="333333"/>
          <w:spacing w:val="-4"/>
          <w:w w:val="110"/>
        </w:rPr>
        <w:t xml:space="preserve">For </w:t>
      </w:r>
      <w:r>
        <w:rPr>
          <w:color w:val="333333"/>
          <w:w w:val="110"/>
        </w:rPr>
        <w:t xml:space="preserve">example, if </w:t>
      </w:r>
      <w:r>
        <w:rPr>
          <w:rFonts w:ascii="MS Gothic"/>
          <w:color w:val="B02045"/>
          <w:w w:val="110"/>
        </w:rPr>
        <w:t xml:space="preserve">HSQLDB </w:t>
      </w:r>
      <w:r>
        <w:rPr>
          <w:color w:val="333333"/>
          <w:w w:val="110"/>
        </w:rPr>
        <w:t>is on your classpath, and you have not manually configured any database connection beans, then Spring Boot auto-configures an in-memory</w:t>
      </w:r>
      <w:r>
        <w:rPr>
          <w:color w:val="333333"/>
          <w:spacing w:val="2"/>
          <w:w w:val="110"/>
        </w:rPr>
        <w:t xml:space="preserve"> </w:t>
      </w:r>
      <w:r>
        <w:rPr>
          <w:color w:val="333333"/>
          <w:w w:val="110"/>
        </w:rPr>
        <w:t>database.</w:t>
      </w:r>
    </w:p>
    <w:p w14:paraId="339B0355" w14:textId="77777777" w:rsidR="00A720EB" w:rsidRDefault="0030286B">
      <w:pPr>
        <w:pStyle w:val="a3"/>
        <w:spacing w:before="242"/>
        <w:ind w:left="124"/>
        <w:jc w:val="both"/>
      </w:pPr>
      <w:r>
        <w:rPr>
          <w:color w:val="333333"/>
          <w:spacing w:val="-6"/>
          <w:w w:val="110"/>
        </w:rPr>
        <w:t xml:space="preserve">You </w:t>
      </w:r>
      <w:r>
        <w:rPr>
          <w:color w:val="333333"/>
          <w:w w:val="110"/>
        </w:rPr>
        <w:t xml:space="preserve">need to opt-in to auto-configuration </w:t>
      </w:r>
      <w:r>
        <w:rPr>
          <w:color w:val="333333"/>
          <w:spacing w:val="-3"/>
          <w:w w:val="110"/>
        </w:rPr>
        <w:t xml:space="preserve">by </w:t>
      </w:r>
      <w:r>
        <w:rPr>
          <w:color w:val="333333"/>
          <w:w w:val="110"/>
        </w:rPr>
        <w:t xml:space="preserve">adding the </w:t>
      </w:r>
      <w:r>
        <w:rPr>
          <w:rFonts w:ascii="MS Gothic"/>
          <w:color w:val="B02045"/>
          <w:w w:val="110"/>
        </w:rPr>
        <w:t>@EnableAutoConfiguration</w:t>
      </w:r>
      <w:r>
        <w:rPr>
          <w:rFonts w:ascii="MS Gothic"/>
          <w:color w:val="B02045"/>
          <w:spacing w:val="85"/>
          <w:w w:val="110"/>
        </w:rPr>
        <w:t xml:space="preserve"> </w:t>
      </w:r>
      <w:r>
        <w:rPr>
          <w:color w:val="333333"/>
          <w:w w:val="110"/>
        </w:rPr>
        <w:t>or</w:t>
      </w:r>
    </w:p>
    <w:p w14:paraId="5CDBA40D" w14:textId="77777777" w:rsidR="00A720EB" w:rsidRDefault="0030286B">
      <w:pPr>
        <w:pStyle w:val="a3"/>
        <w:spacing w:before="47"/>
        <w:ind w:left="124"/>
        <w:jc w:val="both"/>
      </w:pPr>
      <w:r>
        <w:rPr>
          <w:rFonts w:ascii="MS Gothic"/>
          <w:color w:val="B02045"/>
          <w:w w:val="110"/>
        </w:rPr>
        <w:t>@SpringBootApplication</w:t>
      </w:r>
      <w:r>
        <w:rPr>
          <w:rFonts w:ascii="MS Gothic"/>
          <w:color w:val="B02045"/>
          <w:spacing w:val="-68"/>
          <w:w w:val="110"/>
        </w:rPr>
        <w:t xml:space="preserve"> </w:t>
      </w:r>
      <w:r>
        <w:rPr>
          <w:color w:val="333333"/>
          <w:w w:val="110"/>
        </w:rPr>
        <w:t xml:space="preserve">annotations to one of </w:t>
      </w:r>
      <w:proofErr w:type="gramStart"/>
      <w:r>
        <w:rPr>
          <w:color w:val="333333"/>
          <w:w w:val="110"/>
        </w:rPr>
        <w:t>your</w:t>
      </w:r>
      <w:proofErr w:type="gramEnd"/>
      <w:r>
        <w:rPr>
          <w:color w:val="333333"/>
          <w:w w:val="110"/>
        </w:rPr>
        <w:t xml:space="preserve"> </w:t>
      </w:r>
      <w:r>
        <w:rPr>
          <w:rFonts w:ascii="MS Gothic"/>
          <w:color w:val="B02045"/>
          <w:w w:val="110"/>
        </w:rPr>
        <w:t>@Configuration</w:t>
      </w:r>
      <w:r>
        <w:rPr>
          <w:rFonts w:ascii="MS Gothic"/>
          <w:color w:val="B02045"/>
          <w:spacing w:val="-68"/>
          <w:w w:val="110"/>
        </w:rPr>
        <w:t xml:space="preserve"> </w:t>
      </w:r>
      <w:r>
        <w:rPr>
          <w:color w:val="333333"/>
          <w:w w:val="110"/>
        </w:rPr>
        <w:t>classes.</w:t>
      </w:r>
    </w:p>
    <w:p w14:paraId="71316E32" w14:textId="77777777" w:rsidR="00A720EB" w:rsidRDefault="00A720EB">
      <w:pPr>
        <w:pStyle w:val="a3"/>
        <w:spacing w:before="4"/>
      </w:pPr>
    </w:p>
    <w:p w14:paraId="105D6E73" w14:textId="77777777" w:rsidR="00A720EB" w:rsidRDefault="00E10349">
      <w:pPr>
        <w:pStyle w:val="a3"/>
        <w:spacing w:before="116" w:line="295" w:lineRule="auto"/>
        <w:ind w:left="1564" w:right="362"/>
        <w:jc w:val="both"/>
      </w:pPr>
      <w:r>
        <w:pict w14:anchorId="6BE561AF">
          <v:line id="_x0000_s4855" style="position:absolute;left:0;text-align:left;z-index:15766016;mso-position-horizontal-relative:page" from="108.25pt,.35pt" to="108.25pt,55.7pt" strokecolor="#ededed" strokeweight=".5pt">
            <w10:wrap anchorx="page"/>
          </v:line>
        </w:pict>
      </w:r>
      <w:r w:rsidR="0030286B">
        <w:rPr>
          <w:noProof/>
        </w:rPr>
        <w:drawing>
          <wp:anchor distT="0" distB="0" distL="0" distR="0" simplePos="0" relativeHeight="15766528" behindDoc="0" locked="0" layoutInCell="1" allowOverlap="1" wp14:anchorId="59E16338" wp14:editId="36A843DF">
            <wp:simplePos x="0" y="0"/>
            <wp:positionH relativeFrom="page">
              <wp:posOffset>888949</wp:posOffset>
            </wp:positionH>
            <wp:positionV relativeFrom="paragraph">
              <wp:posOffset>203276</wp:posOffset>
            </wp:positionV>
            <wp:extent cx="209550" cy="304800"/>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05"/>
        </w:rPr>
        <w:t xml:space="preserve">You </w:t>
      </w:r>
      <w:r w:rsidR="0030286B">
        <w:rPr>
          <w:color w:val="333333"/>
          <w:w w:val="105"/>
        </w:rPr>
        <w:t xml:space="preserve">should only ever add one </w:t>
      </w:r>
      <w:r w:rsidR="0030286B">
        <w:rPr>
          <w:rFonts w:ascii="MS Gothic"/>
          <w:color w:val="B02045"/>
          <w:w w:val="105"/>
        </w:rPr>
        <w:t xml:space="preserve">@SpringBootApplication </w:t>
      </w:r>
      <w:r w:rsidR="0030286B">
        <w:rPr>
          <w:color w:val="333333"/>
          <w:w w:val="105"/>
        </w:rPr>
        <w:t xml:space="preserve">or </w:t>
      </w:r>
      <w:r w:rsidR="0030286B">
        <w:rPr>
          <w:rFonts w:ascii="MS Gothic"/>
          <w:color w:val="B02045"/>
          <w:w w:val="105"/>
        </w:rPr>
        <w:t xml:space="preserve">@EnableAutoConfiguration </w:t>
      </w:r>
      <w:r w:rsidR="0030286B">
        <w:rPr>
          <w:color w:val="333333"/>
          <w:w w:val="110"/>
        </w:rPr>
        <w:t xml:space="preserve">annotation. </w:t>
      </w:r>
      <w:r w:rsidR="0030286B">
        <w:rPr>
          <w:color w:val="333333"/>
          <w:spacing w:val="-7"/>
          <w:w w:val="110"/>
        </w:rPr>
        <w:t xml:space="preserve">We </w:t>
      </w:r>
      <w:r w:rsidR="0030286B">
        <w:rPr>
          <w:color w:val="333333"/>
          <w:w w:val="110"/>
        </w:rPr>
        <w:t xml:space="preserve">generally recommend that you add one or the other </w:t>
      </w:r>
      <w:proofErr w:type="gramStart"/>
      <w:r w:rsidR="0030286B">
        <w:rPr>
          <w:color w:val="333333"/>
          <w:w w:val="110"/>
        </w:rPr>
        <w:t>to  your</w:t>
      </w:r>
      <w:proofErr w:type="gramEnd"/>
      <w:r w:rsidR="0030286B">
        <w:rPr>
          <w:color w:val="333333"/>
          <w:w w:val="110"/>
        </w:rPr>
        <w:t xml:space="preserve">  primary </w:t>
      </w:r>
      <w:r w:rsidR="0030286B">
        <w:rPr>
          <w:rFonts w:ascii="MS Gothic"/>
          <w:color w:val="B02045"/>
          <w:w w:val="110"/>
        </w:rPr>
        <w:t>@Configuration</w:t>
      </w:r>
      <w:r w:rsidR="0030286B">
        <w:rPr>
          <w:rFonts w:ascii="MS Gothic"/>
          <w:color w:val="B02045"/>
          <w:spacing w:val="-58"/>
          <w:w w:val="110"/>
        </w:rPr>
        <w:t xml:space="preserve"> </w:t>
      </w:r>
      <w:r w:rsidR="0030286B">
        <w:rPr>
          <w:color w:val="333333"/>
          <w:w w:val="110"/>
        </w:rPr>
        <w:t xml:space="preserve">class </w:t>
      </w:r>
      <w:r w:rsidR="0030286B">
        <w:rPr>
          <w:color w:val="333333"/>
          <w:spacing w:val="-5"/>
          <w:w w:val="110"/>
        </w:rPr>
        <w:t>only.</w:t>
      </w:r>
    </w:p>
    <w:p w14:paraId="6B62F609" w14:textId="77777777" w:rsidR="00A720EB" w:rsidRDefault="00A720EB">
      <w:pPr>
        <w:pStyle w:val="a3"/>
        <w:spacing w:before="10"/>
        <w:rPr>
          <w:sz w:val="22"/>
        </w:rPr>
      </w:pPr>
    </w:p>
    <w:p w14:paraId="4E85A351" w14:textId="77777777" w:rsidR="00A720EB" w:rsidRDefault="0030286B">
      <w:pPr>
        <w:pStyle w:val="3"/>
        <w:numPr>
          <w:ilvl w:val="2"/>
          <w:numId w:val="72"/>
        </w:numPr>
        <w:tabs>
          <w:tab w:val="left" w:pos="858"/>
        </w:tabs>
        <w:spacing w:before="106"/>
        <w:ind w:hanging="734"/>
      </w:pPr>
      <w:bookmarkStart w:id="95" w:name="3.4.1._Gradually_Replacing_Auto-configur"/>
      <w:bookmarkStart w:id="96" w:name="_Toc54423691"/>
      <w:bookmarkEnd w:id="95"/>
      <w:r>
        <w:rPr>
          <w:color w:val="333333"/>
          <w:w w:val="110"/>
        </w:rPr>
        <w:t>Gradually Replacing</w:t>
      </w:r>
      <w:r>
        <w:rPr>
          <w:color w:val="333333"/>
          <w:spacing w:val="-12"/>
          <w:w w:val="110"/>
        </w:rPr>
        <w:t xml:space="preserve"> </w:t>
      </w:r>
      <w:r>
        <w:rPr>
          <w:color w:val="333333"/>
          <w:w w:val="110"/>
        </w:rPr>
        <w:t>Auto-configuration</w:t>
      </w:r>
      <w:bookmarkEnd w:id="96"/>
    </w:p>
    <w:p w14:paraId="77D73190" w14:textId="77777777" w:rsidR="00A720EB" w:rsidRDefault="0030286B">
      <w:pPr>
        <w:pStyle w:val="a3"/>
        <w:spacing w:before="253" w:line="295" w:lineRule="auto"/>
        <w:ind w:left="124" w:right="123"/>
        <w:jc w:val="both"/>
      </w:pPr>
      <w:r>
        <w:rPr>
          <w:color w:val="333333"/>
          <w:w w:val="110"/>
        </w:rPr>
        <w:t xml:space="preserve">Auto-configuration is non-invasive. At any point, you can start to define your own configuration to replace specific parts of the auto-configuration. For example, if you add your own </w:t>
      </w:r>
      <w:r>
        <w:rPr>
          <w:rFonts w:ascii="MS Gothic"/>
          <w:color w:val="B02045"/>
          <w:w w:val="110"/>
        </w:rPr>
        <w:t xml:space="preserve">DataSource </w:t>
      </w:r>
      <w:r>
        <w:rPr>
          <w:color w:val="333333"/>
          <w:w w:val="110"/>
        </w:rPr>
        <w:t>bean, the default embedded database support backs away.</w:t>
      </w:r>
    </w:p>
    <w:p w14:paraId="15956B09" w14:textId="77777777" w:rsidR="00A720EB" w:rsidRDefault="0030286B">
      <w:pPr>
        <w:pStyle w:val="a3"/>
        <w:spacing w:before="251" w:line="295" w:lineRule="auto"/>
        <w:ind w:left="124" w:right="124"/>
        <w:jc w:val="both"/>
      </w:pPr>
      <w:r>
        <w:rPr>
          <w:color w:val="333333"/>
          <w:w w:val="110"/>
        </w:rPr>
        <w:t xml:space="preserve">If you need to find out what auto-configuration is currently being applied, and why, start your application with the </w:t>
      </w:r>
      <w:r>
        <w:rPr>
          <w:rFonts w:ascii="MS Gothic"/>
          <w:color w:val="B02045"/>
          <w:w w:val="110"/>
        </w:rPr>
        <w:t xml:space="preserve">--debug </w:t>
      </w:r>
      <w:r>
        <w:rPr>
          <w:color w:val="333333"/>
          <w:w w:val="110"/>
        </w:rPr>
        <w:t>switch. Doing so enables debug logs for a selection of core loggers and logs a conditions report to the console.</w:t>
      </w:r>
    </w:p>
    <w:p w14:paraId="2037E65A" w14:textId="77777777" w:rsidR="00A720EB" w:rsidRDefault="00A720EB">
      <w:pPr>
        <w:pStyle w:val="a3"/>
        <w:spacing w:before="6"/>
        <w:rPr>
          <w:sz w:val="26"/>
        </w:rPr>
      </w:pPr>
    </w:p>
    <w:p w14:paraId="1B8CD95F" w14:textId="77777777" w:rsidR="00A720EB" w:rsidRDefault="0030286B">
      <w:pPr>
        <w:pStyle w:val="3"/>
        <w:numPr>
          <w:ilvl w:val="2"/>
          <w:numId w:val="72"/>
        </w:numPr>
        <w:tabs>
          <w:tab w:val="left" w:pos="858"/>
        </w:tabs>
        <w:ind w:hanging="734"/>
      </w:pPr>
      <w:bookmarkStart w:id="97" w:name="3.4.2._Disabling_Specific_Auto-configura"/>
      <w:bookmarkStart w:id="98" w:name="_Toc54423692"/>
      <w:bookmarkEnd w:id="97"/>
      <w:r>
        <w:rPr>
          <w:color w:val="333333"/>
          <w:w w:val="110"/>
        </w:rPr>
        <w:t>Disabling Specific Auto-configuration</w:t>
      </w:r>
      <w:r>
        <w:rPr>
          <w:color w:val="333333"/>
          <w:spacing w:val="-23"/>
          <w:w w:val="110"/>
        </w:rPr>
        <w:t xml:space="preserve"> </w:t>
      </w:r>
      <w:r>
        <w:rPr>
          <w:color w:val="333333"/>
          <w:w w:val="110"/>
        </w:rPr>
        <w:t>Classes</w:t>
      </w:r>
      <w:bookmarkEnd w:id="98"/>
    </w:p>
    <w:p w14:paraId="057BE0B7" w14:textId="77777777" w:rsidR="00A720EB" w:rsidRDefault="0030286B">
      <w:pPr>
        <w:pStyle w:val="a3"/>
        <w:spacing w:before="254" w:line="295" w:lineRule="auto"/>
        <w:ind w:left="124" w:right="124"/>
        <w:jc w:val="both"/>
      </w:pPr>
      <w:r>
        <w:rPr>
          <w:color w:val="333333"/>
          <w:w w:val="110"/>
        </w:rPr>
        <w:t xml:space="preserve">If you find that specific auto-configuration classes that you do not want are being applied, you </w:t>
      </w:r>
      <w:proofErr w:type="gramStart"/>
      <w:r>
        <w:rPr>
          <w:color w:val="333333"/>
          <w:w w:val="110"/>
        </w:rPr>
        <w:t>can  use</w:t>
      </w:r>
      <w:proofErr w:type="gramEnd"/>
      <w:r>
        <w:rPr>
          <w:color w:val="333333"/>
          <w:w w:val="110"/>
        </w:rPr>
        <w:t xml:space="preserve"> the exclude attribute of </w:t>
      </w:r>
      <w:r>
        <w:rPr>
          <w:rFonts w:ascii="MS Gothic"/>
          <w:color w:val="B02045"/>
          <w:w w:val="110"/>
        </w:rPr>
        <w:t xml:space="preserve">@SpringBootApplication </w:t>
      </w:r>
      <w:r>
        <w:rPr>
          <w:color w:val="333333"/>
          <w:w w:val="110"/>
        </w:rPr>
        <w:t>to disable them, as shown in the following example:</w:t>
      </w:r>
    </w:p>
    <w:p w14:paraId="7C687FBA" w14:textId="77777777" w:rsidR="00A720EB" w:rsidRDefault="00A720EB">
      <w:pPr>
        <w:spacing w:line="295" w:lineRule="auto"/>
        <w:jc w:val="both"/>
        <w:sectPr w:rsidR="00A720EB">
          <w:pgSz w:w="11910" w:h="16840"/>
          <w:pgMar w:top="700" w:right="840" w:bottom="520" w:left="840" w:header="0" w:footer="323" w:gutter="0"/>
          <w:cols w:space="720"/>
        </w:sectPr>
      </w:pPr>
    </w:p>
    <w:p w14:paraId="4FF90C10" w14:textId="77777777" w:rsidR="00A720EB" w:rsidRDefault="00E10349">
      <w:pPr>
        <w:pStyle w:val="a3"/>
        <w:ind w:left="116"/>
        <w:rPr>
          <w:sz w:val="20"/>
        </w:rPr>
      </w:pPr>
      <w:r>
        <w:rPr>
          <w:sz w:val="20"/>
        </w:rPr>
      </w:r>
      <w:r>
        <w:rPr>
          <w:sz w:val="20"/>
        </w:rPr>
        <w:pict w14:anchorId="76241458">
          <v:group id="_x0000_s4851" style="width:499.55pt;height:111.2pt;mso-position-horizontal-relative:char;mso-position-vertical-relative:line" coordsize="9991,2224">
            <v:shape id="_x0000_s4854" style="position:absolute;left:7;top:7;width:9976;height:2209" coordorigin="8,8" coordsize="9976,2209" path="m9904,8l88,8,56,14,31,31,14,56,8,88r,2048l14,2167r17,26l56,2210r32,6l9904,2216r31,-6l9960,2193r17,-26l9984,2136r,-2048l9977,56,9960,31,9935,14,9904,8xe" fillcolor="#f5f5f5" stroked="f">
              <v:path arrowok="t"/>
            </v:shape>
            <v:shape id="_x0000_s4853" style="position:absolute;left:7;top:7;width:9976;height:2209" coordorigin="8,8" coordsize="9976,2209" path="m88,8r9816,l9935,14r25,17l9977,56r7,32l9984,2136r-7,31l9960,2193r-25,17l9904,2216r-9816,l56,2210,31,2193,14,2167,8,2136,8,88,14,56,31,31,56,14,88,8xe" filled="f" strokecolor="#ccc">
              <v:path arrowok="t"/>
            </v:shape>
            <v:shape id="_x0000_s4852" type="#_x0000_t202" style="position:absolute;left:26;top:22;width:9938;height:2178" filled="f" stroked="f">
              <v:textbox inset="0,0,0,0">
                <w:txbxContent>
                  <w:p w14:paraId="7C2BF5FE" w14:textId="77777777" w:rsidR="00711A16" w:rsidRDefault="00711A16">
                    <w:pPr>
                      <w:spacing w:before="221" w:line="252" w:lineRule="auto"/>
                      <w:ind w:left="200" w:right="388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 import org.springframework.boot.autoconfigure.jdbc.*;</w:t>
                    </w:r>
                  </w:p>
                  <w:p w14:paraId="3D8913B9" w14:textId="77777777" w:rsidR="00711A16" w:rsidRDefault="00711A16">
                    <w:pPr>
                      <w:spacing w:before="10"/>
                      <w:rPr>
                        <w:rFonts w:ascii="MS Gothic"/>
                      </w:rPr>
                    </w:pPr>
                  </w:p>
                  <w:p w14:paraId="4EC68330" w14:textId="77777777" w:rsidR="00711A16" w:rsidRDefault="00711A16">
                    <w:pPr>
                      <w:spacing w:line="252" w:lineRule="auto"/>
                      <w:ind w:left="200" w:right="2348"/>
                      <w:rPr>
                        <w:rFonts w:ascii="MS Gothic"/>
                      </w:rPr>
                    </w:pPr>
                    <w:r>
                      <w:rPr>
                        <w:rFonts w:ascii="MS Gothic"/>
                        <w:color w:val="333333"/>
                      </w:rPr>
                      <w:t>@SpringBootApplication(exclude</w:t>
                    </w:r>
                    <w:proofErr w:type="gramStart"/>
                    <w:r>
                      <w:rPr>
                        <w:rFonts w:ascii="MS Gothic"/>
                        <w:color w:val="333333"/>
                      </w:rPr>
                      <w:t>={</w:t>
                    </w:r>
                    <w:proofErr w:type="gramEnd"/>
                    <w:r>
                      <w:rPr>
                        <w:rFonts w:ascii="MS Gothic"/>
                        <w:color w:val="333333"/>
                      </w:rPr>
                      <w:t>DataSourceAutoConfiguration.class}) public class MyApplication {</w:t>
                    </w:r>
                  </w:p>
                  <w:p w14:paraId="30A3A041" w14:textId="77777777" w:rsidR="00711A16" w:rsidRDefault="00711A16">
                    <w:pPr>
                      <w:spacing w:line="280" w:lineRule="exact"/>
                      <w:ind w:left="200"/>
                      <w:rPr>
                        <w:rFonts w:ascii="MS Gothic"/>
                      </w:rPr>
                    </w:pPr>
                    <w:r>
                      <w:rPr>
                        <w:rFonts w:ascii="MS Gothic"/>
                        <w:color w:val="333333"/>
                      </w:rPr>
                      <w:t>}</w:t>
                    </w:r>
                  </w:p>
                </w:txbxContent>
              </v:textbox>
            </v:shape>
            <w10:anchorlock/>
          </v:group>
        </w:pict>
      </w:r>
    </w:p>
    <w:p w14:paraId="2050A7A4" w14:textId="77777777" w:rsidR="00A720EB" w:rsidRDefault="00A720EB">
      <w:pPr>
        <w:pStyle w:val="a3"/>
        <w:spacing w:before="4"/>
        <w:rPr>
          <w:sz w:val="9"/>
        </w:rPr>
      </w:pPr>
    </w:p>
    <w:p w14:paraId="513C12A6" w14:textId="77777777" w:rsidR="00A720EB" w:rsidRDefault="0030286B">
      <w:pPr>
        <w:pStyle w:val="a3"/>
        <w:spacing w:before="115" w:line="280" w:lineRule="auto"/>
        <w:ind w:left="124" w:right="124"/>
        <w:jc w:val="both"/>
      </w:pPr>
      <w:r>
        <w:rPr>
          <w:color w:val="333333"/>
          <w:w w:val="110"/>
        </w:rPr>
        <w:t xml:space="preserve">If the class is not on the classpath, you can use the </w:t>
      </w:r>
      <w:r>
        <w:rPr>
          <w:rFonts w:ascii="MS Gothic"/>
          <w:color w:val="B02045"/>
          <w:w w:val="110"/>
        </w:rPr>
        <w:t xml:space="preserve">excludeName </w:t>
      </w:r>
      <w:r>
        <w:rPr>
          <w:color w:val="333333"/>
          <w:w w:val="110"/>
        </w:rPr>
        <w:t xml:space="preserve">attribute of the annotation and specify the fully qualified name instead. If you prefer to use </w:t>
      </w:r>
      <w:r>
        <w:rPr>
          <w:rFonts w:ascii="MS Gothic"/>
          <w:color w:val="B02045"/>
          <w:w w:val="110"/>
        </w:rPr>
        <w:t xml:space="preserve">@EnableAutoConfiguration </w:t>
      </w:r>
      <w:r>
        <w:rPr>
          <w:color w:val="333333"/>
          <w:w w:val="110"/>
        </w:rPr>
        <w:t xml:space="preserve">rather than </w:t>
      </w:r>
      <w:r>
        <w:rPr>
          <w:rFonts w:ascii="MS Gothic"/>
          <w:color w:val="B02045"/>
          <w:w w:val="110"/>
        </w:rPr>
        <w:t>@SpringBootApplication</w:t>
      </w:r>
      <w:r>
        <w:rPr>
          <w:color w:val="333333"/>
          <w:w w:val="110"/>
        </w:rPr>
        <w:t>,</w:t>
      </w:r>
      <w:r>
        <w:rPr>
          <w:color w:val="333333"/>
          <w:spacing w:val="-15"/>
          <w:w w:val="110"/>
        </w:rPr>
        <w:t xml:space="preserve"> </w:t>
      </w:r>
      <w:r>
        <w:rPr>
          <w:rFonts w:ascii="MS Gothic"/>
          <w:color w:val="B02045"/>
          <w:w w:val="110"/>
        </w:rPr>
        <w:t>exclude</w:t>
      </w:r>
      <w:r>
        <w:rPr>
          <w:rFonts w:ascii="MS Gothic"/>
          <w:color w:val="B02045"/>
          <w:spacing w:val="-78"/>
          <w:w w:val="110"/>
        </w:rPr>
        <w:t xml:space="preserve"> </w:t>
      </w:r>
      <w:r>
        <w:rPr>
          <w:color w:val="333333"/>
          <w:w w:val="110"/>
        </w:rPr>
        <w:t>and</w:t>
      </w:r>
      <w:r>
        <w:rPr>
          <w:color w:val="333333"/>
          <w:spacing w:val="-14"/>
          <w:w w:val="110"/>
        </w:rPr>
        <w:t xml:space="preserve"> </w:t>
      </w:r>
      <w:r>
        <w:rPr>
          <w:rFonts w:ascii="MS Gothic"/>
          <w:color w:val="B02045"/>
          <w:w w:val="110"/>
        </w:rPr>
        <w:t>excludeName</w:t>
      </w:r>
      <w:r>
        <w:rPr>
          <w:rFonts w:ascii="MS Gothic"/>
          <w:color w:val="B02045"/>
          <w:spacing w:val="-79"/>
          <w:w w:val="110"/>
        </w:rPr>
        <w:t xml:space="preserve"> </w:t>
      </w:r>
      <w:r>
        <w:rPr>
          <w:color w:val="333333"/>
          <w:w w:val="110"/>
        </w:rPr>
        <w:t>are</w:t>
      </w:r>
      <w:r>
        <w:rPr>
          <w:color w:val="333333"/>
          <w:spacing w:val="-14"/>
          <w:w w:val="110"/>
        </w:rPr>
        <w:t xml:space="preserve"> </w:t>
      </w:r>
      <w:r>
        <w:rPr>
          <w:color w:val="333333"/>
          <w:w w:val="110"/>
        </w:rPr>
        <w:t>also</w:t>
      </w:r>
      <w:r>
        <w:rPr>
          <w:color w:val="333333"/>
          <w:spacing w:val="-14"/>
          <w:w w:val="110"/>
        </w:rPr>
        <w:t xml:space="preserve"> </w:t>
      </w:r>
      <w:r>
        <w:rPr>
          <w:color w:val="333333"/>
          <w:w w:val="110"/>
        </w:rPr>
        <w:t>available.</w:t>
      </w:r>
      <w:r>
        <w:rPr>
          <w:color w:val="333333"/>
          <w:spacing w:val="-14"/>
          <w:w w:val="110"/>
        </w:rPr>
        <w:t xml:space="preserve"> </w:t>
      </w:r>
      <w:r>
        <w:rPr>
          <w:color w:val="333333"/>
          <w:spacing w:val="-4"/>
          <w:w w:val="110"/>
        </w:rPr>
        <w:t>Finally,</w:t>
      </w:r>
      <w:r>
        <w:rPr>
          <w:color w:val="333333"/>
          <w:spacing w:val="-14"/>
          <w:w w:val="110"/>
        </w:rPr>
        <w:t xml:space="preserve"> </w:t>
      </w:r>
      <w:r>
        <w:rPr>
          <w:color w:val="333333"/>
          <w:w w:val="110"/>
        </w:rPr>
        <w:t>you</w:t>
      </w:r>
      <w:r>
        <w:rPr>
          <w:color w:val="333333"/>
          <w:spacing w:val="-14"/>
          <w:w w:val="110"/>
        </w:rPr>
        <w:t xml:space="preserve"> </w:t>
      </w:r>
      <w:r>
        <w:rPr>
          <w:color w:val="333333"/>
          <w:w w:val="110"/>
        </w:rPr>
        <w:t>can</w:t>
      </w:r>
      <w:r>
        <w:rPr>
          <w:color w:val="333333"/>
          <w:spacing w:val="-14"/>
          <w:w w:val="110"/>
        </w:rPr>
        <w:t xml:space="preserve"> </w:t>
      </w:r>
      <w:r>
        <w:rPr>
          <w:color w:val="333333"/>
          <w:w w:val="110"/>
        </w:rPr>
        <w:t>also</w:t>
      </w:r>
      <w:r>
        <w:rPr>
          <w:color w:val="333333"/>
          <w:spacing w:val="-14"/>
          <w:w w:val="110"/>
        </w:rPr>
        <w:t xml:space="preserve"> </w:t>
      </w:r>
      <w:r>
        <w:rPr>
          <w:color w:val="333333"/>
          <w:w w:val="110"/>
        </w:rPr>
        <w:t>control</w:t>
      </w:r>
      <w:r>
        <w:rPr>
          <w:color w:val="333333"/>
          <w:spacing w:val="-14"/>
          <w:w w:val="110"/>
        </w:rPr>
        <w:t xml:space="preserve"> </w:t>
      </w:r>
      <w:r>
        <w:rPr>
          <w:color w:val="333333"/>
          <w:w w:val="110"/>
        </w:rPr>
        <w:t>the list</w:t>
      </w:r>
      <w:r>
        <w:rPr>
          <w:color w:val="333333"/>
          <w:spacing w:val="-11"/>
          <w:w w:val="110"/>
        </w:rPr>
        <w:t xml:space="preserve"> </w:t>
      </w:r>
      <w:r>
        <w:rPr>
          <w:color w:val="333333"/>
          <w:w w:val="110"/>
        </w:rPr>
        <w:t>of</w:t>
      </w:r>
      <w:r>
        <w:rPr>
          <w:color w:val="333333"/>
          <w:spacing w:val="-11"/>
          <w:w w:val="110"/>
        </w:rPr>
        <w:t xml:space="preserve"> </w:t>
      </w:r>
      <w:r>
        <w:rPr>
          <w:color w:val="333333"/>
          <w:w w:val="110"/>
        </w:rPr>
        <w:t>auto-configuration</w:t>
      </w:r>
      <w:r>
        <w:rPr>
          <w:color w:val="333333"/>
          <w:spacing w:val="-12"/>
          <w:w w:val="110"/>
        </w:rPr>
        <w:t xml:space="preserve"> </w:t>
      </w:r>
      <w:r>
        <w:rPr>
          <w:color w:val="333333"/>
          <w:w w:val="110"/>
        </w:rPr>
        <w:t>classes</w:t>
      </w:r>
      <w:r>
        <w:rPr>
          <w:color w:val="333333"/>
          <w:spacing w:val="-10"/>
          <w:w w:val="110"/>
        </w:rPr>
        <w:t xml:space="preserve"> </w:t>
      </w:r>
      <w:r>
        <w:rPr>
          <w:color w:val="333333"/>
          <w:w w:val="110"/>
        </w:rPr>
        <w:t>to</w:t>
      </w:r>
      <w:r>
        <w:rPr>
          <w:color w:val="333333"/>
          <w:spacing w:val="-11"/>
          <w:w w:val="110"/>
        </w:rPr>
        <w:t xml:space="preserve"> </w:t>
      </w:r>
      <w:r>
        <w:rPr>
          <w:color w:val="333333"/>
          <w:w w:val="110"/>
        </w:rPr>
        <w:t>exclude</w:t>
      </w:r>
      <w:r>
        <w:rPr>
          <w:color w:val="333333"/>
          <w:spacing w:val="-11"/>
          <w:w w:val="110"/>
        </w:rPr>
        <w:t xml:space="preserve"> </w:t>
      </w:r>
      <w:r>
        <w:rPr>
          <w:color w:val="333333"/>
          <w:spacing w:val="-3"/>
          <w:w w:val="110"/>
        </w:rPr>
        <w:t>by</w:t>
      </w:r>
      <w:r>
        <w:rPr>
          <w:color w:val="333333"/>
          <w:spacing w:val="-11"/>
          <w:w w:val="110"/>
        </w:rPr>
        <w:t xml:space="preserve"> </w:t>
      </w:r>
      <w:r>
        <w:rPr>
          <w:color w:val="333333"/>
          <w:w w:val="110"/>
        </w:rPr>
        <w:t>using</w:t>
      </w:r>
      <w:r>
        <w:rPr>
          <w:color w:val="333333"/>
          <w:spacing w:val="-12"/>
          <w:w w:val="110"/>
        </w:rPr>
        <w:t xml:space="preserve"> </w:t>
      </w:r>
      <w:r>
        <w:rPr>
          <w:color w:val="333333"/>
          <w:w w:val="110"/>
        </w:rPr>
        <w:t>the</w:t>
      </w:r>
      <w:r>
        <w:rPr>
          <w:color w:val="333333"/>
          <w:spacing w:val="-8"/>
          <w:w w:val="110"/>
        </w:rPr>
        <w:t xml:space="preserve"> </w:t>
      </w:r>
      <w:proofErr w:type="gramStart"/>
      <w:r>
        <w:rPr>
          <w:rFonts w:ascii="MS Gothic"/>
          <w:color w:val="B02045"/>
          <w:w w:val="110"/>
        </w:rPr>
        <w:t>spring.autoconfigure</w:t>
      </w:r>
      <w:proofErr w:type="gramEnd"/>
      <w:r>
        <w:rPr>
          <w:rFonts w:ascii="MS Gothic"/>
          <w:color w:val="B02045"/>
          <w:w w:val="110"/>
        </w:rPr>
        <w:t>.exclude</w:t>
      </w:r>
      <w:r>
        <w:rPr>
          <w:rFonts w:ascii="MS Gothic"/>
          <w:color w:val="B02045"/>
          <w:spacing w:val="-75"/>
          <w:w w:val="110"/>
        </w:rPr>
        <w:t xml:space="preserve"> </w:t>
      </w:r>
      <w:r>
        <w:rPr>
          <w:color w:val="333333"/>
          <w:spacing w:val="-3"/>
          <w:w w:val="110"/>
        </w:rPr>
        <w:t>property.</w:t>
      </w:r>
    </w:p>
    <w:p w14:paraId="08A43C81" w14:textId="77777777" w:rsidR="00A720EB" w:rsidRDefault="00E10349">
      <w:pPr>
        <w:pStyle w:val="a3"/>
        <w:spacing w:before="211"/>
        <w:ind w:left="561"/>
      </w:pPr>
      <w:r>
        <w:pict w14:anchorId="612D6555">
          <v:line id="_x0000_s4850" style="position:absolute;left:0;text-align:left;z-index:-41766912;mso-position-horizontal-relative:page" from="108.25pt,10.75pt" to="108.25pt,34.5pt" strokecolor="#ededed" strokeweight=".5pt">
            <w10:wrap anchorx="page"/>
          </v:line>
        </w:pict>
      </w:r>
      <w:r w:rsidR="0030286B">
        <w:rPr>
          <w:noProof/>
          <w:position w:val="-15"/>
        </w:rPr>
        <w:drawing>
          <wp:inline distT="0" distB="0" distL="0" distR="0" wp14:anchorId="25956757" wp14:editId="6FAA38F0">
            <wp:extent cx="209550" cy="304800"/>
            <wp:effectExtent l="0" t="0" r="0" b="0"/>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spacing w:val="-6"/>
          <w:w w:val="110"/>
        </w:rPr>
        <w:t>You</w:t>
      </w:r>
      <w:r w:rsidR="0030286B">
        <w:rPr>
          <w:color w:val="333333"/>
          <w:spacing w:val="10"/>
          <w:w w:val="110"/>
        </w:rPr>
        <w:t xml:space="preserve"> </w:t>
      </w:r>
      <w:r w:rsidR="0030286B">
        <w:rPr>
          <w:color w:val="333333"/>
          <w:w w:val="110"/>
        </w:rPr>
        <w:t>can</w:t>
      </w:r>
      <w:r w:rsidR="0030286B">
        <w:rPr>
          <w:color w:val="333333"/>
          <w:spacing w:val="10"/>
          <w:w w:val="110"/>
        </w:rPr>
        <w:t xml:space="preserve"> </w:t>
      </w:r>
      <w:r w:rsidR="0030286B">
        <w:rPr>
          <w:color w:val="333333"/>
          <w:w w:val="110"/>
        </w:rPr>
        <w:t>define</w:t>
      </w:r>
      <w:r w:rsidR="0030286B">
        <w:rPr>
          <w:color w:val="333333"/>
          <w:spacing w:val="9"/>
          <w:w w:val="110"/>
        </w:rPr>
        <w:t xml:space="preserve"> </w:t>
      </w:r>
      <w:r w:rsidR="0030286B">
        <w:rPr>
          <w:color w:val="333333"/>
          <w:w w:val="110"/>
        </w:rPr>
        <w:t>exclusions</w:t>
      </w:r>
      <w:r w:rsidR="0030286B">
        <w:rPr>
          <w:color w:val="333333"/>
          <w:spacing w:val="10"/>
          <w:w w:val="110"/>
        </w:rPr>
        <w:t xml:space="preserve"> </w:t>
      </w:r>
      <w:r w:rsidR="0030286B">
        <w:rPr>
          <w:color w:val="333333"/>
          <w:w w:val="110"/>
        </w:rPr>
        <w:t>both</w:t>
      </w:r>
      <w:r w:rsidR="0030286B">
        <w:rPr>
          <w:color w:val="333333"/>
          <w:spacing w:val="9"/>
          <w:w w:val="110"/>
        </w:rPr>
        <w:t xml:space="preserve"> </w:t>
      </w:r>
      <w:r w:rsidR="0030286B">
        <w:rPr>
          <w:color w:val="333333"/>
          <w:w w:val="110"/>
        </w:rPr>
        <w:t>at</w:t>
      </w:r>
      <w:r w:rsidR="0030286B">
        <w:rPr>
          <w:color w:val="333333"/>
          <w:spacing w:val="9"/>
          <w:w w:val="110"/>
        </w:rPr>
        <w:t xml:space="preserve"> </w:t>
      </w:r>
      <w:r w:rsidR="0030286B">
        <w:rPr>
          <w:color w:val="333333"/>
          <w:w w:val="110"/>
        </w:rPr>
        <w:t>the</w:t>
      </w:r>
      <w:r w:rsidR="0030286B">
        <w:rPr>
          <w:color w:val="333333"/>
          <w:spacing w:val="10"/>
          <w:w w:val="110"/>
        </w:rPr>
        <w:t xml:space="preserve"> </w:t>
      </w:r>
      <w:r w:rsidR="0030286B">
        <w:rPr>
          <w:color w:val="333333"/>
          <w:w w:val="110"/>
        </w:rPr>
        <w:t>annotation</w:t>
      </w:r>
      <w:r w:rsidR="0030286B">
        <w:rPr>
          <w:color w:val="333333"/>
          <w:spacing w:val="9"/>
          <w:w w:val="110"/>
        </w:rPr>
        <w:t xml:space="preserve"> </w:t>
      </w:r>
      <w:r w:rsidR="0030286B">
        <w:rPr>
          <w:color w:val="333333"/>
          <w:w w:val="110"/>
        </w:rPr>
        <w:t>level</w:t>
      </w:r>
      <w:r w:rsidR="0030286B">
        <w:rPr>
          <w:color w:val="333333"/>
          <w:spacing w:val="10"/>
          <w:w w:val="110"/>
        </w:rPr>
        <w:t xml:space="preserve"> </w:t>
      </w:r>
      <w:r w:rsidR="0030286B">
        <w:rPr>
          <w:color w:val="333333"/>
          <w:w w:val="110"/>
        </w:rPr>
        <w:t>and</w:t>
      </w:r>
      <w:r w:rsidR="0030286B">
        <w:rPr>
          <w:color w:val="333333"/>
          <w:spacing w:val="9"/>
          <w:w w:val="110"/>
        </w:rPr>
        <w:t xml:space="preserve"> </w:t>
      </w:r>
      <w:r w:rsidR="0030286B">
        <w:rPr>
          <w:color w:val="333333"/>
          <w:spacing w:val="-3"/>
          <w:w w:val="110"/>
        </w:rPr>
        <w:t>by</w:t>
      </w:r>
      <w:r w:rsidR="0030286B">
        <w:rPr>
          <w:color w:val="333333"/>
          <w:spacing w:val="9"/>
          <w:w w:val="110"/>
        </w:rPr>
        <w:t xml:space="preserve"> </w:t>
      </w:r>
      <w:r w:rsidR="0030286B">
        <w:rPr>
          <w:color w:val="333333"/>
          <w:w w:val="110"/>
        </w:rPr>
        <w:t>using</w:t>
      </w:r>
      <w:r w:rsidR="0030286B">
        <w:rPr>
          <w:color w:val="333333"/>
          <w:spacing w:val="9"/>
          <w:w w:val="110"/>
        </w:rPr>
        <w:t xml:space="preserve"> </w:t>
      </w:r>
      <w:r w:rsidR="0030286B">
        <w:rPr>
          <w:color w:val="333333"/>
          <w:w w:val="110"/>
        </w:rPr>
        <w:t>the</w:t>
      </w:r>
      <w:r w:rsidR="0030286B">
        <w:rPr>
          <w:color w:val="333333"/>
          <w:spacing w:val="10"/>
          <w:w w:val="110"/>
        </w:rPr>
        <w:t xml:space="preserve"> </w:t>
      </w:r>
      <w:r w:rsidR="0030286B">
        <w:rPr>
          <w:color w:val="333333"/>
          <w:spacing w:val="-3"/>
          <w:w w:val="110"/>
        </w:rPr>
        <w:t>property.</w:t>
      </w:r>
    </w:p>
    <w:p w14:paraId="1FB1DE4F" w14:textId="77777777" w:rsidR="00A720EB" w:rsidRDefault="00E10349">
      <w:pPr>
        <w:pStyle w:val="a3"/>
        <w:spacing w:before="348" w:line="290" w:lineRule="auto"/>
        <w:ind w:left="1564" w:right="359"/>
      </w:pPr>
      <w:r>
        <w:pict w14:anchorId="70574233">
          <v:line id="_x0000_s4849" style="position:absolute;left:0;text-align:left;z-index:-41766400;mso-position-horizontal-relative:page" from="108.25pt,11.95pt" to="108.25pt,98.85pt" strokecolor="#ededed" strokeweight=".5pt">
            <w10:wrap anchorx="page"/>
          </v:line>
        </w:pict>
      </w:r>
      <w:r w:rsidR="0030286B">
        <w:rPr>
          <w:color w:val="333333"/>
          <w:w w:val="110"/>
        </w:rPr>
        <w:t xml:space="preserve">Even though auto-configuration classes are </w:t>
      </w:r>
      <w:r w:rsidR="0030286B">
        <w:rPr>
          <w:rFonts w:ascii="MS Gothic"/>
          <w:color w:val="B02045"/>
          <w:w w:val="110"/>
        </w:rPr>
        <w:t>public</w:t>
      </w:r>
      <w:r w:rsidR="0030286B">
        <w:rPr>
          <w:color w:val="333333"/>
          <w:w w:val="110"/>
        </w:rPr>
        <w:t>, the only aspect of the class that is</w:t>
      </w:r>
      <w:r w:rsidR="0030286B">
        <w:rPr>
          <w:color w:val="333333"/>
          <w:spacing w:val="27"/>
          <w:w w:val="110"/>
        </w:rPr>
        <w:t xml:space="preserve"> </w:t>
      </w:r>
      <w:r w:rsidR="0030286B">
        <w:rPr>
          <w:color w:val="333333"/>
          <w:w w:val="110"/>
        </w:rPr>
        <w:t>considered</w:t>
      </w:r>
      <w:r w:rsidR="0030286B">
        <w:rPr>
          <w:color w:val="333333"/>
          <w:spacing w:val="27"/>
          <w:w w:val="110"/>
        </w:rPr>
        <w:t xml:space="preserve"> </w:t>
      </w:r>
      <w:r w:rsidR="0030286B">
        <w:rPr>
          <w:color w:val="333333"/>
          <w:w w:val="110"/>
        </w:rPr>
        <w:t>public</w:t>
      </w:r>
      <w:r w:rsidR="0030286B">
        <w:rPr>
          <w:color w:val="333333"/>
          <w:spacing w:val="27"/>
          <w:w w:val="110"/>
        </w:rPr>
        <w:t xml:space="preserve"> </w:t>
      </w:r>
      <w:r w:rsidR="0030286B">
        <w:rPr>
          <w:color w:val="333333"/>
          <w:w w:val="110"/>
        </w:rPr>
        <w:t>API</w:t>
      </w:r>
      <w:r w:rsidR="0030286B">
        <w:rPr>
          <w:color w:val="333333"/>
          <w:spacing w:val="27"/>
          <w:w w:val="110"/>
        </w:rPr>
        <w:t xml:space="preserve"> </w:t>
      </w:r>
      <w:r w:rsidR="0030286B">
        <w:rPr>
          <w:color w:val="333333"/>
          <w:w w:val="110"/>
        </w:rPr>
        <w:t>is</w:t>
      </w:r>
      <w:r w:rsidR="0030286B">
        <w:rPr>
          <w:color w:val="333333"/>
          <w:spacing w:val="27"/>
          <w:w w:val="110"/>
        </w:rPr>
        <w:t xml:space="preserve"> </w:t>
      </w:r>
      <w:r w:rsidR="0030286B">
        <w:rPr>
          <w:color w:val="333333"/>
          <w:w w:val="110"/>
        </w:rPr>
        <w:t>the</w:t>
      </w:r>
      <w:r w:rsidR="0030286B">
        <w:rPr>
          <w:color w:val="333333"/>
          <w:spacing w:val="27"/>
          <w:w w:val="110"/>
        </w:rPr>
        <w:t xml:space="preserve"> </w:t>
      </w:r>
      <w:r w:rsidR="0030286B">
        <w:rPr>
          <w:color w:val="333333"/>
          <w:w w:val="110"/>
        </w:rPr>
        <w:t>name</w:t>
      </w:r>
      <w:r w:rsidR="0030286B">
        <w:rPr>
          <w:color w:val="333333"/>
          <w:spacing w:val="27"/>
          <w:w w:val="110"/>
        </w:rPr>
        <w:t xml:space="preserve"> </w:t>
      </w:r>
      <w:r w:rsidR="0030286B">
        <w:rPr>
          <w:color w:val="333333"/>
          <w:w w:val="110"/>
        </w:rPr>
        <w:t>of</w:t>
      </w:r>
      <w:r w:rsidR="0030286B">
        <w:rPr>
          <w:color w:val="333333"/>
          <w:spacing w:val="27"/>
          <w:w w:val="110"/>
        </w:rPr>
        <w:t xml:space="preserve"> </w:t>
      </w:r>
      <w:r w:rsidR="0030286B">
        <w:rPr>
          <w:color w:val="333333"/>
          <w:w w:val="110"/>
        </w:rPr>
        <w:t>the</w:t>
      </w:r>
      <w:r w:rsidR="0030286B">
        <w:rPr>
          <w:color w:val="333333"/>
          <w:spacing w:val="27"/>
          <w:w w:val="110"/>
        </w:rPr>
        <w:t xml:space="preserve"> </w:t>
      </w:r>
      <w:r w:rsidR="0030286B">
        <w:rPr>
          <w:color w:val="333333"/>
          <w:w w:val="110"/>
        </w:rPr>
        <w:t>class</w:t>
      </w:r>
      <w:r w:rsidR="0030286B">
        <w:rPr>
          <w:color w:val="333333"/>
          <w:spacing w:val="27"/>
          <w:w w:val="110"/>
        </w:rPr>
        <w:t xml:space="preserve"> </w:t>
      </w:r>
      <w:r w:rsidR="0030286B">
        <w:rPr>
          <w:color w:val="333333"/>
          <w:w w:val="110"/>
        </w:rPr>
        <w:t>which</w:t>
      </w:r>
      <w:r w:rsidR="0030286B">
        <w:rPr>
          <w:color w:val="333333"/>
          <w:spacing w:val="27"/>
          <w:w w:val="110"/>
        </w:rPr>
        <w:t xml:space="preserve"> </w:t>
      </w:r>
      <w:r w:rsidR="0030286B">
        <w:rPr>
          <w:color w:val="333333"/>
          <w:w w:val="110"/>
        </w:rPr>
        <w:t>can</w:t>
      </w:r>
      <w:r w:rsidR="0030286B">
        <w:rPr>
          <w:color w:val="333333"/>
          <w:spacing w:val="27"/>
          <w:w w:val="110"/>
        </w:rPr>
        <w:t xml:space="preserve"> </w:t>
      </w:r>
      <w:r w:rsidR="0030286B">
        <w:rPr>
          <w:color w:val="333333"/>
          <w:w w:val="110"/>
        </w:rPr>
        <w:t>be</w:t>
      </w:r>
      <w:r w:rsidR="0030286B">
        <w:rPr>
          <w:color w:val="333333"/>
          <w:spacing w:val="27"/>
          <w:w w:val="110"/>
        </w:rPr>
        <w:t xml:space="preserve"> </w:t>
      </w:r>
      <w:r w:rsidR="0030286B">
        <w:rPr>
          <w:color w:val="333333"/>
          <w:w w:val="110"/>
        </w:rPr>
        <w:t>used</w:t>
      </w:r>
      <w:r w:rsidR="0030286B">
        <w:rPr>
          <w:color w:val="333333"/>
          <w:spacing w:val="27"/>
          <w:w w:val="110"/>
        </w:rPr>
        <w:t xml:space="preserve"> </w:t>
      </w:r>
      <w:r w:rsidR="0030286B">
        <w:rPr>
          <w:color w:val="333333"/>
          <w:w w:val="110"/>
        </w:rPr>
        <w:t>for</w:t>
      </w:r>
      <w:r w:rsidR="0030286B">
        <w:rPr>
          <w:color w:val="333333"/>
          <w:spacing w:val="27"/>
          <w:w w:val="110"/>
        </w:rPr>
        <w:t xml:space="preserve"> </w:t>
      </w:r>
      <w:r w:rsidR="0030286B">
        <w:rPr>
          <w:color w:val="333333"/>
          <w:w w:val="110"/>
        </w:rPr>
        <w:t>disabling</w:t>
      </w:r>
    </w:p>
    <w:p w14:paraId="05AA2E15" w14:textId="77777777" w:rsidR="00A720EB" w:rsidRDefault="0030286B">
      <w:pPr>
        <w:pStyle w:val="a3"/>
        <w:spacing w:line="353" w:lineRule="exact"/>
        <w:ind w:left="489"/>
      </w:pPr>
      <w:r>
        <w:rPr>
          <w:noProof/>
          <w:position w:val="-14"/>
        </w:rPr>
        <w:drawing>
          <wp:inline distT="0" distB="0" distL="0" distR="0" wp14:anchorId="5E9397D6" wp14:editId="5F34C994">
            <wp:extent cx="298450" cy="298450"/>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24" cstate="print"/>
                    <a:stretch>
                      <a:fillRect/>
                    </a:stretch>
                  </pic:blipFill>
                  <pic:spPr>
                    <a:xfrm>
                      <a:off x="0" y="0"/>
                      <a:ext cx="298450" cy="298450"/>
                    </a:xfrm>
                    <a:prstGeom prst="rect">
                      <a:avLst/>
                    </a:prstGeom>
                  </pic:spPr>
                </pic:pic>
              </a:graphicData>
            </a:graphic>
          </wp:inline>
        </w:drawing>
      </w:r>
      <w:r>
        <w:rPr>
          <w:rFonts w:ascii="Times New Roman"/>
          <w:sz w:val="20"/>
        </w:rPr>
        <w:t xml:space="preserve">           </w:t>
      </w:r>
      <w:r>
        <w:rPr>
          <w:rFonts w:ascii="Times New Roman"/>
          <w:spacing w:val="5"/>
          <w:sz w:val="20"/>
        </w:rPr>
        <w:t xml:space="preserve"> </w:t>
      </w:r>
      <w:proofErr w:type="gramStart"/>
      <w:r>
        <w:rPr>
          <w:color w:val="333333"/>
          <w:w w:val="110"/>
        </w:rPr>
        <w:t xml:space="preserve">the </w:t>
      </w:r>
      <w:r>
        <w:rPr>
          <w:color w:val="333333"/>
          <w:spacing w:val="39"/>
          <w:w w:val="110"/>
        </w:rPr>
        <w:t xml:space="preserve"> </w:t>
      </w:r>
      <w:r>
        <w:rPr>
          <w:color w:val="333333"/>
          <w:w w:val="110"/>
        </w:rPr>
        <w:t>auto</w:t>
      </w:r>
      <w:proofErr w:type="gramEnd"/>
      <w:r>
        <w:rPr>
          <w:color w:val="333333"/>
          <w:w w:val="110"/>
        </w:rPr>
        <w:t xml:space="preserve">-configuration. </w:t>
      </w:r>
      <w:r>
        <w:rPr>
          <w:color w:val="333333"/>
          <w:spacing w:val="39"/>
          <w:w w:val="110"/>
        </w:rPr>
        <w:t xml:space="preserve"> </w:t>
      </w:r>
      <w:proofErr w:type="gramStart"/>
      <w:r>
        <w:rPr>
          <w:color w:val="333333"/>
          <w:w w:val="110"/>
        </w:rPr>
        <w:t xml:space="preserve">The </w:t>
      </w:r>
      <w:r>
        <w:rPr>
          <w:color w:val="333333"/>
          <w:spacing w:val="40"/>
          <w:w w:val="110"/>
        </w:rPr>
        <w:t xml:space="preserve"> </w:t>
      </w:r>
      <w:r>
        <w:rPr>
          <w:color w:val="333333"/>
          <w:w w:val="110"/>
        </w:rPr>
        <w:t>actual</w:t>
      </w:r>
      <w:proofErr w:type="gramEnd"/>
      <w:r>
        <w:rPr>
          <w:color w:val="333333"/>
          <w:w w:val="110"/>
        </w:rPr>
        <w:t xml:space="preserve"> </w:t>
      </w:r>
      <w:r>
        <w:rPr>
          <w:color w:val="333333"/>
          <w:spacing w:val="39"/>
          <w:w w:val="110"/>
        </w:rPr>
        <w:t xml:space="preserve"> </w:t>
      </w:r>
      <w:r>
        <w:rPr>
          <w:color w:val="333333"/>
          <w:w w:val="110"/>
        </w:rPr>
        <w:t xml:space="preserve">contents </w:t>
      </w:r>
      <w:r>
        <w:rPr>
          <w:color w:val="333333"/>
          <w:spacing w:val="39"/>
          <w:w w:val="110"/>
        </w:rPr>
        <w:t xml:space="preserve"> </w:t>
      </w:r>
      <w:r>
        <w:rPr>
          <w:color w:val="333333"/>
          <w:w w:val="110"/>
        </w:rPr>
        <w:t xml:space="preserve">of </w:t>
      </w:r>
      <w:r>
        <w:rPr>
          <w:color w:val="333333"/>
          <w:spacing w:val="40"/>
          <w:w w:val="110"/>
        </w:rPr>
        <w:t xml:space="preserve"> </w:t>
      </w:r>
      <w:r>
        <w:rPr>
          <w:color w:val="333333"/>
          <w:w w:val="110"/>
        </w:rPr>
        <w:t xml:space="preserve">those </w:t>
      </w:r>
      <w:r>
        <w:rPr>
          <w:color w:val="333333"/>
          <w:spacing w:val="39"/>
          <w:w w:val="110"/>
        </w:rPr>
        <w:t xml:space="preserve"> </w:t>
      </w:r>
      <w:r>
        <w:rPr>
          <w:color w:val="333333"/>
          <w:w w:val="110"/>
        </w:rPr>
        <w:t xml:space="preserve">classes, </w:t>
      </w:r>
      <w:r>
        <w:rPr>
          <w:color w:val="333333"/>
          <w:spacing w:val="40"/>
          <w:w w:val="110"/>
        </w:rPr>
        <w:t xml:space="preserve"> </w:t>
      </w:r>
      <w:r>
        <w:rPr>
          <w:color w:val="333333"/>
          <w:w w:val="110"/>
        </w:rPr>
        <w:t xml:space="preserve">such </w:t>
      </w:r>
      <w:r>
        <w:rPr>
          <w:color w:val="333333"/>
          <w:spacing w:val="39"/>
          <w:w w:val="110"/>
        </w:rPr>
        <w:t xml:space="preserve"> </w:t>
      </w:r>
      <w:r>
        <w:rPr>
          <w:color w:val="333333"/>
          <w:w w:val="110"/>
        </w:rPr>
        <w:t xml:space="preserve">as </w:t>
      </w:r>
      <w:r>
        <w:rPr>
          <w:color w:val="333333"/>
          <w:spacing w:val="39"/>
          <w:w w:val="110"/>
        </w:rPr>
        <w:t xml:space="preserve"> </w:t>
      </w:r>
      <w:r>
        <w:rPr>
          <w:color w:val="333333"/>
          <w:w w:val="110"/>
        </w:rPr>
        <w:t>nested</w:t>
      </w:r>
    </w:p>
    <w:p w14:paraId="6CB683A3" w14:textId="77777777" w:rsidR="00A720EB" w:rsidRDefault="0030286B">
      <w:pPr>
        <w:pStyle w:val="a3"/>
        <w:spacing w:line="227" w:lineRule="exact"/>
        <w:ind w:left="1564"/>
      </w:pPr>
      <w:proofErr w:type="gramStart"/>
      <w:r>
        <w:rPr>
          <w:color w:val="333333"/>
          <w:w w:val="110"/>
        </w:rPr>
        <w:t>configuration  classes</w:t>
      </w:r>
      <w:proofErr w:type="gramEnd"/>
      <w:r>
        <w:rPr>
          <w:color w:val="333333"/>
          <w:w w:val="110"/>
        </w:rPr>
        <w:t xml:space="preserve">  or  bean  methods  are  for  internal  use  only  and  we  do</w:t>
      </w:r>
      <w:r>
        <w:rPr>
          <w:color w:val="333333"/>
          <w:spacing w:val="-16"/>
          <w:w w:val="110"/>
        </w:rPr>
        <w:t xml:space="preserve"> </w:t>
      </w:r>
      <w:r>
        <w:rPr>
          <w:color w:val="333333"/>
          <w:w w:val="110"/>
        </w:rPr>
        <w:t>not</w:t>
      </w:r>
    </w:p>
    <w:p w14:paraId="30E50445" w14:textId="77777777" w:rsidR="00A720EB" w:rsidRDefault="0030286B">
      <w:pPr>
        <w:pStyle w:val="a3"/>
        <w:spacing w:before="70"/>
        <w:ind w:left="1564"/>
      </w:pPr>
      <w:r>
        <w:rPr>
          <w:color w:val="333333"/>
          <w:w w:val="110"/>
        </w:rPr>
        <w:t>recommend using those directly.</w:t>
      </w:r>
    </w:p>
    <w:p w14:paraId="5CE18EE0" w14:textId="77777777" w:rsidR="00A720EB" w:rsidRDefault="00A720EB">
      <w:pPr>
        <w:pStyle w:val="a3"/>
        <w:spacing w:before="6"/>
        <w:rPr>
          <w:sz w:val="38"/>
        </w:rPr>
      </w:pPr>
    </w:p>
    <w:p w14:paraId="54330FF9" w14:textId="77777777" w:rsidR="00A720EB" w:rsidRDefault="0030286B">
      <w:pPr>
        <w:pStyle w:val="2"/>
        <w:numPr>
          <w:ilvl w:val="1"/>
          <w:numId w:val="72"/>
        </w:numPr>
        <w:tabs>
          <w:tab w:val="left" w:pos="832"/>
        </w:tabs>
      </w:pPr>
      <w:bookmarkStart w:id="99" w:name="3.5._Spring_Beans_and_Dependency_Injecti"/>
      <w:bookmarkStart w:id="100" w:name="_Toc54423693"/>
      <w:bookmarkEnd w:id="99"/>
      <w:r>
        <w:rPr>
          <w:color w:val="333333"/>
          <w:w w:val="110"/>
        </w:rPr>
        <w:t>Spring Beans and Dependency</w:t>
      </w:r>
      <w:r>
        <w:rPr>
          <w:color w:val="333333"/>
          <w:spacing w:val="-39"/>
          <w:w w:val="110"/>
        </w:rPr>
        <w:t xml:space="preserve"> </w:t>
      </w:r>
      <w:r>
        <w:rPr>
          <w:color w:val="333333"/>
          <w:w w:val="110"/>
        </w:rPr>
        <w:t>Injection</w:t>
      </w:r>
      <w:bookmarkEnd w:id="100"/>
    </w:p>
    <w:p w14:paraId="45F8B32D" w14:textId="77777777" w:rsidR="00A720EB" w:rsidRDefault="0030286B">
      <w:pPr>
        <w:pStyle w:val="a3"/>
        <w:spacing w:before="253" w:line="290" w:lineRule="auto"/>
        <w:ind w:left="124" w:right="126"/>
        <w:jc w:val="both"/>
      </w:pPr>
      <w:proofErr w:type="gramStart"/>
      <w:r>
        <w:rPr>
          <w:color w:val="333333"/>
          <w:spacing w:val="-6"/>
          <w:w w:val="110"/>
        </w:rPr>
        <w:t xml:space="preserve">You  </w:t>
      </w:r>
      <w:r>
        <w:rPr>
          <w:color w:val="333333"/>
          <w:w w:val="110"/>
        </w:rPr>
        <w:t>are</w:t>
      </w:r>
      <w:proofErr w:type="gramEnd"/>
      <w:r>
        <w:rPr>
          <w:color w:val="333333"/>
          <w:w w:val="110"/>
        </w:rPr>
        <w:t xml:space="preserve"> free to use any of the standard Spring Framework techniques to define your beans and  </w:t>
      </w:r>
      <w:r>
        <w:rPr>
          <w:color w:val="333333"/>
          <w:spacing w:val="50"/>
          <w:w w:val="110"/>
        </w:rPr>
        <w:t xml:space="preserve"> </w:t>
      </w:r>
      <w:r>
        <w:rPr>
          <w:color w:val="333333"/>
          <w:w w:val="110"/>
        </w:rPr>
        <w:t xml:space="preserve">their injected dependencies. </w:t>
      </w:r>
      <w:r>
        <w:rPr>
          <w:color w:val="333333"/>
          <w:spacing w:val="-7"/>
          <w:w w:val="110"/>
        </w:rPr>
        <w:t xml:space="preserve">We </w:t>
      </w:r>
      <w:r>
        <w:rPr>
          <w:color w:val="333333"/>
          <w:w w:val="110"/>
        </w:rPr>
        <w:t xml:space="preserve">often find that using </w:t>
      </w:r>
      <w:r>
        <w:rPr>
          <w:rFonts w:ascii="MS Gothic"/>
          <w:color w:val="B02045"/>
          <w:w w:val="110"/>
        </w:rPr>
        <w:t xml:space="preserve">@ComponentScan </w:t>
      </w:r>
      <w:r>
        <w:rPr>
          <w:color w:val="333333"/>
          <w:w w:val="110"/>
        </w:rPr>
        <w:t xml:space="preserve">(to find your beans) and using </w:t>
      </w:r>
      <w:r>
        <w:rPr>
          <w:rFonts w:ascii="MS Gothic"/>
          <w:color w:val="B02045"/>
          <w:w w:val="110"/>
        </w:rPr>
        <w:t>@Autowired</w:t>
      </w:r>
      <w:r>
        <w:rPr>
          <w:rFonts w:ascii="MS Gothic"/>
          <w:color w:val="B02045"/>
          <w:spacing w:val="-57"/>
          <w:w w:val="110"/>
        </w:rPr>
        <w:t xml:space="preserve"> </w:t>
      </w:r>
      <w:r>
        <w:rPr>
          <w:color w:val="333333"/>
          <w:w w:val="110"/>
        </w:rPr>
        <w:t>(to do constructor injection) works well.</w:t>
      </w:r>
    </w:p>
    <w:p w14:paraId="70FE9884" w14:textId="77777777" w:rsidR="00A720EB" w:rsidRDefault="0030286B">
      <w:pPr>
        <w:pStyle w:val="a3"/>
        <w:spacing w:before="238" w:line="290" w:lineRule="auto"/>
        <w:ind w:left="124" w:right="133"/>
        <w:jc w:val="both"/>
      </w:pPr>
      <w:r>
        <w:rPr>
          <w:color w:val="333333"/>
          <w:w w:val="110"/>
        </w:rPr>
        <w:t>If you structure your code as suggested above (locating your application class in a root package</w:t>
      </w:r>
      <w:proofErr w:type="gramStart"/>
      <w:r>
        <w:rPr>
          <w:color w:val="333333"/>
          <w:w w:val="110"/>
        </w:rPr>
        <w:t xml:space="preserve">),   </w:t>
      </w:r>
      <w:proofErr w:type="gramEnd"/>
      <w:r>
        <w:rPr>
          <w:color w:val="333333"/>
          <w:w w:val="110"/>
        </w:rPr>
        <w:t xml:space="preserve">you can add </w:t>
      </w:r>
      <w:r>
        <w:rPr>
          <w:rFonts w:ascii="MS Gothic"/>
          <w:color w:val="B02045"/>
          <w:w w:val="110"/>
        </w:rPr>
        <w:t xml:space="preserve">@ComponentScan </w:t>
      </w:r>
      <w:r>
        <w:rPr>
          <w:color w:val="333333"/>
          <w:w w:val="110"/>
        </w:rPr>
        <w:t xml:space="preserve">without any arguments. All of your application components </w:t>
      </w:r>
      <w:proofErr w:type="gramStart"/>
      <w:r>
        <w:rPr>
          <w:color w:val="333333"/>
          <w:w w:val="110"/>
        </w:rPr>
        <w:t xml:space="preserve">( </w:t>
      </w:r>
      <w:r>
        <w:rPr>
          <w:rFonts w:ascii="MS Gothic"/>
          <w:color w:val="B02045"/>
          <w:w w:val="110"/>
        </w:rPr>
        <w:t>@</w:t>
      </w:r>
      <w:proofErr w:type="gramEnd"/>
      <w:r>
        <w:rPr>
          <w:rFonts w:ascii="MS Gothic"/>
          <w:color w:val="B02045"/>
          <w:w w:val="110"/>
        </w:rPr>
        <w:t>Component</w:t>
      </w:r>
      <w:r>
        <w:rPr>
          <w:color w:val="333333"/>
          <w:w w:val="110"/>
        </w:rPr>
        <w:t>,</w:t>
      </w:r>
      <w:r>
        <w:rPr>
          <w:color w:val="333333"/>
          <w:spacing w:val="-19"/>
          <w:w w:val="110"/>
        </w:rPr>
        <w:t xml:space="preserve"> </w:t>
      </w:r>
      <w:r>
        <w:rPr>
          <w:rFonts w:ascii="MS Gothic"/>
          <w:color w:val="B02045"/>
          <w:w w:val="110"/>
        </w:rPr>
        <w:t>@Service</w:t>
      </w:r>
      <w:r>
        <w:rPr>
          <w:color w:val="333333"/>
          <w:w w:val="110"/>
        </w:rPr>
        <w:t>,</w:t>
      </w:r>
      <w:r>
        <w:rPr>
          <w:color w:val="333333"/>
          <w:spacing w:val="-18"/>
          <w:w w:val="110"/>
        </w:rPr>
        <w:t xml:space="preserve"> </w:t>
      </w:r>
      <w:r>
        <w:rPr>
          <w:rFonts w:ascii="MS Gothic"/>
          <w:color w:val="B02045"/>
          <w:w w:val="110"/>
        </w:rPr>
        <w:t>@Repository</w:t>
      </w:r>
      <w:r>
        <w:rPr>
          <w:color w:val="333333"/>
          <w:w w:val="110"/>
        </w:rPr>
        <w:t>,</w:t>
      </w:r>
      <w:r>
        <w:rPr>
          <w:color w:val="333333"/>
          <w:spacing w:val="-18"/>
          <w:w w:val="110"/>
        </w:rPr>
        <w:t xml:space="preserve"> </w:t>
      </w:r>
      <w:r>
        <w:rPr>
          <w:rFonts w:ascii="MS Gothic"/>
          <w:color w:val="B02045"/>
          <w:w w:val="110"/>
        </w:rPr>
        <w:t>@Controller</w:t>
      </w:r>
      <w:r>
        <w:rPr>
          <w:rFonts w:ascii="MS Gothic"/>
          <w:color w:val="B02045"/>
          <w:spacing w:val="-83"/>
          <w:w w:val="110"/>
        </w:rPr>
        <w:t xml:space="preserve"> </w:t>
      </w:r>
      <w:r>
        <w:rPr>
          <w:color w:val="333333"/>
          <w:w w:val="110"/>
        </w:rPr>
        <w:t>etc.)</w:t>
      </w:r>
      <w:r>
        <w:rPr>
          <w:color w:val="333333"/>
          <w:spacing w:val="-18"/>
          <w:w w:val="110"/>
        </w:rPr>
        <w:t xml:space="preserve"> </w:t>
      </w:r>
      <w:r>
        <w:rPr>
          <w:color w:val="333333"/>
          <w:w w:val="110"/>
        </w:rPr>
        <w:t>are</w:t>
      </w:r>
      <w:r>
        <w:rPr>
          <w:color w:val="333333"/>
          <w:spacing w:val="-19"/>
          <w:w w:val="110"/>
        </w:rPr>
        <w:t xml:space="preserve"> </w:t>
      </w:r>
      <w:r>
        <w:rPr>
          <w:color w:val="333333"/>
          <w:w w:val="110"/>
        </w:rPr>
        <w:t>automatically</w:t>
      </w:r>
      <w:r>
        <w:rPr>
          <w:color w:val="333333"/>
          <w:spacing w:val="-19"/>
          <w:w w:val="110"/>
        </w:rPr>
        <w:t xml:space="preserve"> </w:t>
      </w:r>
      <w:r>
        <w:rPr>
          <w:color w:val="333333"/>
          <w:w w:val="110"/>
        </w:rPr>
        <w:t>registered</w:t>
      </w:r>
      <w:r>
        <w:rPr>
          <w:color w:val="333333"/>
          <w:spacing w:val="-18"/>
          <w:w w:val="110"/>
        </w:rPr>
        <w:t xml:space="preserve"> </w:t>
      </w:r>
      <w:r>
        <w:rPr>
          <w:color w:val="333333"/>
          <w:w w:val="110"/>
        </w:rPr>
        <w:t>as</w:t>
      </w:r>
      <w:r>
        <w:rPr>
          <w:color w:val="333333"/>
          <w:spacing w:val="-19"/>
          <w:w w:val="110"/>
        </w:rPr>
        <w:t xml:space="preserve"> </w:t>
      </w:r>
      <w:r>
        <w:rPr>
          <w:color w:val="333333"/>
          <w:w w:val="110"/>
        </w:rPr>
        <w:t>Spring</w:t>
      </w:r>
      <w:r>
        <w:rPr>
          <w:color w:val="333333"/>
          <w:spacing w:val="-18"/>
          <w:w w:val="110"/>
        </w:rPr>
        <w:t xml:space="preserve"> </w:t>
      </w:r>
      <w:r>
        <w:rPr>
          <w:color w:val="333333"/>
          <w:w w:val="110"/>
        </w:rPr>
        <w:t>Beans.</w:t>
      </w:r>
    </w:p>
    <w:p w14:paraId="722DF19E" w14:textId="77777777" w:rsidR="00A720EB" w:rsidRDefault="0030286B">
      <w:pPr>
        <w:pStyle w:val="a3"/>
        <w:spacing w:before="228"/>
        <w:ind w:left="124"/>
        <w:jc w:val="both"/>
      </w:pPr>
      <w:r>
        <w:rPr>
          <w:color w:val="333333"/>
          <w:w w:val="110"/>
        </w:rPr>
        <w:t xml:space="preserve">The following example shows a </w:t>
      </w:r>
      <w:r>
        <w:rPr>
          <w:rFonts w:ascii="MS Gothic"/>
          <w:color w:val="B02045"/>
          <w:w w:val="110"/>
        </w:rPr>
        <w:t xml:space="preserve">@Service </w:t>
      </w:r>
      <w:r>
        <w:rPr>
          <w:color w:val="333333"/>
          <w:w w:val="110"/>
        </w:rPr>
        <w:t>Bean that uses constructor injection to obtain a required</w:t>
      </w:r>
    </w:p>
    <w:p w14:paraId="679B295D" w14:textId="77777777" w:rsidR="00A720EB" w:rsidRDefault="0030286B">
      <w:pPr>
        <w:pStyle w:val="a3"/>
        <w:spacing w:before="46"/>
        <w:ind w:left="124"/>
        <w:jc w:val="both"/>
      </w:pPr>
      <w:r>
        <w:rPr>
          <w:rFonts w:ascii="MS Gothic"/>
          <w:color w:val="B02045"/>
          <w:w w:val="105"/>
        </w:rPr>
        <w:t>RiskAssessor</w:t>
      </w:r>
      <w:r>
        <w:rPr>
          <w:rFonts w:ascii="MS Gothic"/>
          <w:color w:val="B02045"/>
          <w:spacing w:val="-57"/>
          <w:w w:val="105"/>
        </w:rPr>
        <w:t xml:space="preserve"> </w:t>
      </w:r>
      <w:r>
        <w:rPr>
          <w:color w:val="333333"/>
          <w:w w:val="105"/>
        </w:rPr>
        <w:t>bean:</w:t>
      </w:r>
    </w:p>
    <w:p w14:paraId="468ED570" w14:textId="77777777" w:rsidR="00A720EB" w:rsidRDefault="00A720EB">
      <w:pPr>
        <w:jc w:val="both"/>
        <w:sectPr w:rsidR="00A720EB">
          <w:pgSz w:w="11910" w:h="16840"/>
          <w:pgMar w:top="700" w:right="840" w:bottom="520" w:left="840" w:header="0" w:footer="323" w:gutter="0"/>
          <w:cols w:space="720"/>
        </w:sectPr>
      </w:pPr>
    </w:p>
    <w:p w14:paraId="709EFECE" w14:textId="77777777" w:rsidR="00A720EB" w:rsidRDefault="00E10349">
      <w:pPr>
        <w:pStyle w:val="a3"/>
        <w:ind w:left="116"/>
        <w:rPr>
          <w:sz w:val="20"/>
        </w:rPr>
      </w:pPr>
      <w:r>
        <w:rPr>
          <w:sz w:val="20"/>
        </w:rPr>
      </w:r>
      <w:r>
        <w:rPr>
          <w:sz w:val="20"/>
        </w:rPr>
        <w:pict w14:anchorId="5A0C047D">
          <v:group id="_x0000_s4845" style="width:499.55pt;height:288.1pt;mso-position-horizontal-relative:char;mso-position-vertical-relative:line" coordsize="9991,5762">
            <v:shape id="_x0000_s4848" style="position:absolute;left:7;top:7;width:9976;height:5747" coordorigin="8,8" coordsize="9976,5747" path="m9904,8l88,8,56,14,31,31,14,56,8,88r,5586l14,5705r17,25l56,5748r32,6l9904,5754r31,-6l9960,5730r17,-25l9984,5674r,-5586l9977,56,9960,31,9935,14,9904,8xe" fillcolor="#f5f5f5" stroked="f">
              <v:path arrowok="t"/>
            </v:shape>
            <v:shape id="_x0000_s4847" style="position:absolute;left:7;top:7;width:9976;height:5747" coordorigin="8,8" coordsize="9976,5747" path="m88,8r9816,l9935,14r25,17l9977,56r7,32l9984,5674r-7,31l9960,5730r-25,18l9904,5754r-9816,l56,5748,31,5730,14,5705,8,5674,8,88,14,56,31,31,56,14,88,8xe" filled="f" strokecolor="#ccc">
              <v:path arrowok="t"/>
            </v:shape>
            <v:shape id="_x0000_s4846" type="#_x0000_t202" style="position:absolute;left:26;top:22;width:9938;height:5716" filled="f" stroked="f">
              <v:textbox inset="0,0,0,0">
                <w:txbxContent>
                  <w:p w14:paraId="29A93693" w14:textId="77777777" w:rsidR="00711A16" w:rsidRDefault="00711A16">
                    <w:pPr>
                      <w:spacing w:before="221"/>
                      <w:ind w:left="200"/>
                      <w:rPr>
                        <w:rFonts w:ascii="MS Gothic"/>
                      </w:rPr>
                    </w:pPr>
                    <w:r>
                      <w:rPr>
                        <w:rFonts w:ascii="MS Gothic"/>
                        <w:color w:val="333333"/>
                      </w:rPr>
                      <w:t>package com.</w:t>
                    </w:r>
                    <w:proofErr w:type="gramStart"/>
                    <w:r>
                      <w:rPr>
                        <w:rFonts w:ascii="MS Gothic"/>
                        <w:color w:val="333333"/>
                      </w:rPr>
                      <w:t>example.service</w:t>
                    </w:r>
                    <w:proofErr w:type="gramEnd"/>
                    <w:r>
                      <w:rPr>
                        <w:rFonts w:ascii="MS Gothic"/>
                        <w:color w:val="333333"/>
                      </w:rPr>
                      <w:t>;</w:t>
                    </w:r>
                  </w:p>
                  <w:p w14:paraId="5B9F6983" w14:textId="77777777" w:rsidR="00711A16" w:rsidRDefault="00711A16">
                    <w:pPr>
                      <w:rPr>
                        <w:rFonts w:ascii="MS Gothic"/>
                        <w:sz w:val="24"/>
                      </w:rPr>
                    </w:pPr>
                  </w:p>
                  <w:p w14:paraId="0D9FA4B4" w14:textId="77777777" w:rsidR="00711A16" w:rsidRDefault="00711A16">
                    <w:pPr>
                      <w:spacing w:line="252" w:lineRule="auto"/>
                      <w:ind w:left="200" w:right="289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 import org.springframework.stereotype.Service;</w:t>
                    </w:r>
                  </w:p>
                  <w:p w14:paraId="407E4643" w14:textId="77777777" w:rsidR="00711A16" w:rsidRDefault="00711A16">
                    <w:pPr>
                      <w:spacing w:before="10"/>
                      <w:rPr>
                        <w:rFonts w:ascii="MS Gothic"/>
                      </w:rPr>
                    </w:pPr>
                  </w:p>
                  <w:p w14:paraId="475A4D02" w14:textId="77777777" w:rsidR="00711A16" w:rsidRDefault="00711A16">
                    <w:pPr>
                      <w:spacing w:before="1"/>
                      <w:ind w:left="200"/>
                      <w:rPr>
                        <w:rFonts w:ascii="MS Gothic"/>
                      </w:rPr>
                    </w:pPr>
                    <w:r>
                      <w:rPr>
                        <w:rFonts w:ascii="MS Gothic"/>
                        <w:color w:val="333333"/>
                      </w:rPr>
                      <w:t>@Service</w:t>
                    </w:r>
                  </w:p>
                  <w:p w14:paraId="6E49294E" w14:textId="77777777" w:rsidR="00711A16" w:rsidRDefault="00711A16">
                    <w:pPr>
                      <w:spacing w:before="12" w:line="501" w:lineRule="auto"/>
                      <w:ind w:left="640" w:right="2788" w:hanging="440"/>
                      <w:rPr>
                        <w:rFonts w:ascii="MS Gothic"/>
                      </w:rPr>
                    </w:pPr>
                    <w:r>
                      <w:rPr>
                        <w:rFonts w:ascii="MS Gothic"/>
                        <w:color w:val="333333"/>
                      </w:rPr>
                      <w:t xml:space="preserve">public class DatabaseAccountService implements AccountService </w:t>
                    </w:r>
                    <w:proofErr w:type="gramStart"/>
                    <w:r>
                      <w:rPr>
                        <w:rFonts w:ascii="MS Gothic"/>
                        <w:color w:val="333333"/>
                      </w:rPr>
                      <w:t>{ private</w:t>
                    </w:r>
                    <w:proofErr w:type="gramEnd"/>
                    <w:r>
                      <w:rPr>
                        <w:rFonts w:ascii="MS Gothic"/>
                        <w:color w:val="333333"/>
                      </w:rPr>
                      <w:t xml:space="preserve"> final RiskAssessor riskAssessor;</w:t>
                    </w:r>
                  </w:p>
                  <w:p w14:paraId="07C27E8A" w14:textId="77777777" w:rsidR="00711A16" w:rsidRDefault="00711A16">
                    <w:pPr>
                      <w:spacing w:before="1"/>
                      <w:ind w:left="640"/>
                      <w:rPr>
                        <w:rFonts w:ascii="MS Gothic"/>
                      </w:rPr>
                    </w:pPr>
                    <w:r>
                      <w:rPr>
                        <w:rFonts w:ascii="MS Gothic"/>
                        <w:color w:val="333333"/>
                      </w:rPr>
                      <w:t>@Autowired</w:t>
                    </w:r>
                  </w:p>
                  <w:p w14:paraId="4B7D2882" w14:textId="77777777" w:rsidR="00711A16" w:rsidRDefault="00711A16">
                    <w:pPr>
                      <w:spacing w:before="13" w:line="252" w:lineRule="auto"/>
                      <w:ind w:left="1080" w:right="2898" w:hanging="440"/>
                      <w:rPr>
                        <w:rFonts w:ascii="MS Gothic"/>
                      </w:rPr>
                    </w:pPr>
                    <w:r>
                      <w:rPr>
                        <w:rFonts w:ascii="MS Gothic"/>
                        <w:color w:val="333333"/>
                      </w:rPr>
                      <w:t xml:space="preserve">public </w:t>
                    </w:r>
                    <w:proofErr w:type="gramStart"/>
                    <w:r>
                      <w:rPr>
                        <w:rFonts w:ascii="MS Gothic"/>
                        <w:color w:val="333333"/>
                      </w:rPr>
                      <w:t>DatabaseAccountService(</w:t>
                    </w:r>
                    <w:proofErr w:type="gramEnd"/>
                    <w:r>
                      <w:rPr>
                        <w:rFonts w:ascii="MS Gothic"/>
                        <w:color w:val="333333"/>
                      </w:rPr>
                      <w:t>RiskAssessor riskAssessor) { this.riskAssessor = riskAssessor;</w:t>
                    </w:r>
                  </w:p>
                  <w:p w14:paraId="1B87DBCB" w14:textId="77777777" w:rsidR="00711A16" w:rsidRDefault="00711A16">
                    <w:pPr>
                      <w:spacing w:line="280" w:lineRule="exact"/>
                      <w:ind w:left="640"/>
                      <w:rPr>
                        <w:rFonts w:ascii="MS Gothic"/>
                      </w:rPr>
                    </w:pPr>
                    <w:r>
                      <w:rPr>
                        <w:rFonts w:ascii="MS Gothic"/>
                        <w:color w:val="333333"/>
                      </w:rPr>
                      <w:t>}</w:t>
                    </w:r>
                  </w:p>
                  <w:p w14:paraId="4607C90C" w14:textId="77777777" w:rsidR="00711A16" w:rsidRDefault="00711A16">
                    <w:pPr>
                      <w:rPr>
                        <w:rFonts w:ascii="MS Gothic"/>
                        <w:sz w:val="24"/>
                      </w:rPr>
                    </w:pPr>
                  </w:p>
                  <w:p w14:paraId="33B8A415" w14:textId="77777777" w:rsidR="00711A16" w:rsidRDefault="00711A16">
                    <w:pPr>
                      <w:spacing w:before="1"/>
                      <w:ind w:left="640"/>
                      <w:rPr>
                        <w:rFonts w:ascii="MS Gothic"/>
                      </w:rPr>
                    </w:pPr>
                    <w:r>
                      <w:rPr>
                        <w:rFonts w:ascii="MS Gothic"/>
                        <w:color w:val="333333"/>
                      </w:rPr>
                      <w:t>// ...</w:t>
                    </w:r>
                  </w:p>
                  <w:p w14:paraId="4D7B817C" w14:textId="77777777" w:rsidR="00711A16" w:rsidRDefault="00711A16">
                    <w:pPr>
                      <w:rPr>
                        <w:rFonts w:ascii="MS Gothic"/>
                        <w:sz w:val="24"/>
                      </w:rPr>
                    </w:pPr>
                  </w:p>
                  <w:p w14:paraId="1623534F" w14:textId="77777777" w:rsidR="00711A16" w:rsidRDefault="00711A16">
                    <w:pPr>
                      <w:ind w:left="200"/>
                      <w:rPr>
                        <w:rFonts w:ascii="MS Gothic"/>
                      </w:rPr>
                    </w:pPr>
                    <w:r>
                      <w:rPr>
                        <w:rFonts w:ascii="MS Gothic"/>
                        <w:color w:val="333333"/>
                      </w:rPr>
                      <w:t>}</w:t>
                    </w:r>
                  </w:p>
                </w:txbxContent>
              </v:textbox>
            </v:shape>
            <w10:anchorlock/>
          </v:group>
        </w:pict>
      </w:r>
    </w:p>
    <w:p w14:paraId="1EA20BDD" w14:textId="77777777" w:rsidR="00A720EB" w:rsidRDefault="00A720EB">
      <w:pPr>
        <w:pStyle w:val="a3"/>
        <w:spacing w:before="1"/>
        <w:rPr>
          <w:sz w:val="9"/>
        </w:rPr>
      </w:pPr>
    </w:p>
    <w:p w14:paraId="49ADEDD5" w14:textId="77777777" w:rsidR="00A720EB" w:rsidRDefault="0030286B">
      <w:pPr>
        <w:pStyle w:val="a3"/>
        <w:spacing w:before="116"/>
        <w:ind w:left="124"/>
      </w:pPr>
      <w:r>
        <w:rPr>
          <w:color w:val="333333"/>
          <w:w w:val="110"/>
        </w:rPr>
        <w:t xml:space="preserve">If a bean has one constructor, you can omit the </w:t>
      </w:r>
      <w:r>
        <w:rPr>
          <w:rFonts w:ascii="MS Gothic"/>
          <w:color w:val="B02045"/>
          <w:w w:val="110"/>
        </w:rPr>
        <w:t>@Autowired</w:t>
      </w:r>
      <w:r>
        <w:rPr>
          <w:color w:val="333333"/>
          <w:w w:val="110"/>
        </w:rPr>
        <w:t>, as shown in the following example:</w:t>
      </w:r>
    </w:p>
    <w:p w14:paraId="3089E856" w14:textId="77777777" w:rsidR="00A720EB" w:rsidRDefault="00E10349">
      <w:pPr>
        <w:pStyle w:val="a3"/>
        <w:spacing w:before="11"/>
        <w:rPr>
          <w:sz w:val="17"/>
        </w:rPr>
      </w:pPr>
      <w:r>
        <w:pict w14:anchorId="1A150CA0">
          <v:group id="_x0000_s4841" style="position:absolute;margin-left:47.85pt;margin-top:12.5pt;width:499.55pt;height:199.65pt;z-index:-15688192;mso-wrap-distance-left:0;mso-wrap-distance-right:0;mso-position-horizontal-relative:page" coordorigin="957,250" coordsize="9991,3993">
            <v:shape id="_x0000_s4844" style="position:absolute;left:964;top:257;width:9976;height:3978" coordorigin="965,258" coordsize="9976,3978" path="m10861,258r-9816,l1014,264r-26,17l971,306r-6,32l965,4155r6,31l988,4212r26,17l1045,4235r9816,l10892,4229r25,-17l10935,4186r6,-31l10941,338r-6,-32l10917,281r-25,-17l10861,258xe" fillcolor="#f5f5f5" stroked="f">
              <v:path arrowok="t"/>
            </v:shape>
            <v:shape id="_x0000_s4843" style="position:absolute;left:964;top:257;width:9976;height:3978" coordorigin="965,258" coordsize="9976,3978" path="m1045,258r9816,l10892,264r25,17l10935,306r6,32l10941,4155r-6,31l10917,4212r-25,17l10861,4235r-9816,l1014,4229r-26,-17l971,4186r-6,-31l965,338r6,-32l988,281r26,-17l1045,258xe" filled="f" strokecolor="#ccc">
              <v:path arrowok="t"/>
            </v:shape>
            <v:shape id="_x0000_s4842" type="#_x0000_t202" style="position:absolute;left:984;top:273;width:9938;height:3947" filled="f" stroked="f">
              <v:textbox inset="0,0,0,0">
                <w:txbxContent>
                  <w:p w14:paraId="7929AC47" w14:textId="77777777" w:rsidR="00711A16" w:rsidRDefault="00711A16">
                    <w:pPr>
                      <w:spacing w:before="221"/>
                      <w:ind w:left="200"/>
                      <w:rPr>
                        <w:rFonts w:ascii="MS Gothic"/>
                      </w:rPr>
                    </w:pPr>
                    <w:r>
                      <w:rPr>
                        <w:rFonts w:ascii="MS Gothic"/>
                        <w:color w:val="333333"/>
                      </w:rPr>
                      <w:t>@Service</w:t>
                    </w:r>
                  </w:p>
                  <w:p w14:paraId="4EC3131B" w14:textId="77777777" w:rsidR="00711A16" w:rsidRDefault="00711A16">
                    <w:pPr>
                      <w:spacing w:before="13" w:line="501" w:lineRule="auto"/>
                      <w:ind w:left="640" w:right="2788" w:hanging="440"/>
                      <w:rPr>
                        <w:rFonts w:ascii="MS Gothic"/>
                      </w:rPr>
                    </w:pPr>
                    <w:r>
                      <w:rPr>
                        <w:rFonts w:ascii="MS Gothic"/>
                        <w:color w:val="333333"/>
                      </w:rPr>
                      <w:t xml:space="preserve">public class DatabaseAccountService implements AccountService </w:t>
                    </w:r>
                    <w:proofErr w:type="gramStart"/>
                    <w:r>
                      <w:rPr>
                        <w:rFonts w:ascii="MS Gothic"/>
                        <w:color w:val="333333"/>
                      </w:rPr>
                      <w:t>{ private</w:t>
                    </w:r>
                    <w:proofErr w:type="gramEnd"/>
                    <w:r>
                      <w:rPr>
                        <w:rFonts w:ascii="MS Gothic"/>
                        <w:color w:val="333333"/>
                      </w:rPr>
                      <w:t xml:space="preserve"> final RiskAssessor riskAssessor;</w:t>
                    </w:r>
                  </w:p>
                  <w:p w14:paraId="2CC0E1A1" w14:textId="77777777" w:rsidR="00711A16" w:rsidRDefault="00711A16">
                    <w:pPr>
                      <w:spacing w:before="1" w:line="252" w:lineRule="auto"/>
                      <w:ind w:left="1080" w:right="2898" w:hanging="440"/>
                      <w:rPr>
                        <w:rFonts w:ascii="MS Gothic"/>
                      </w:rPr>
                    </w:pPr>
                    <w:r>
                      <w:rPr>
                        <w:rFonts w:ascii="MS Gothic"/>
                        <w:color w:val="333333"/>
                      </w:rPr>
                      <w:t xml:space="preserve">public </w:t>
                    </w:r>
                    <w:proofErr w:type="gramStart"/>
                    <w:r>
                      <w:rPr>
                        <w:rFonts w:ascii="MS Gothic"/>
                        <w:color w:val="333333"/>
                      </w:rPr>
                      <w:t>DatabaseAccountService(</w:t>
                    </w:r>
                    <w:proofErr w:type="gramEnd"/>
                    <w:r>
                      <w:rPr>
                        <w:rFonts w:ascii="MS Gothic"/>
                        <w:color w:val="333333"/>
                      </w:rPr>
                      <w:t>RiskAssessor riskAssessor) { this.riskAssessor = riskAssessor;</w:t>
                    </w:r>
                  </w:p>
                  <w:p w14:paraId="7E9CA9C3" w14:textId="77777777" w:rsidR="00711A16" w:rsidRDefault="00711A16">
                    <w:pPr>
                      <w:spacing w:line="280" w:lineRule="exact"/>
                      <w:ind w:left="640"/>
                      <w:rPr>
                        <w:rFonts w:ascii="MS Gothic"/>
                      </w:rPr>
                    </w:pPr>
                    <w:r>
                      <w:rPr>
                        <w:rFonts w:ascii="MS Gothic"/>
                        <w:color w:val="333333"/>
                      </w:rPr>
                      <w:t>}</w:t>
                    </w:r>
                  </w:p>
                  <w:p w14:paraId="5B299A98" w14:textId="77777777" w:rsidR="00711A16" w:rsidRDefault="00711A16">
                    <w:pPr>
                      <w:rPr>
                        <w:rFonts w:ascii="MS Gothic"/>
                        <w:sz w:val="24"/>
                      </w:rPr>
                    </w:pPr>
                  </w:p>
                  <w:p w14:paraId="661CA3B1" w14:textId="77777777" w:rsidR="00711A16" w:rsidRDefault="00711A16">
                    <w:pPr>
                      <w:ind w:left="640"/>
                      <w:rPr>
                        <w:rFonts w:ascii="MS Gothic"/>
                      </w:rPr>
                    </w:pPr>
                    <w:r>
                      <w:rPr>
                        <w:rFonts w:ascii="MS Gothic"/>
                        <w:color w:val="333333"/>
                      </w:rPr>
                      <w:t>// ...</w:t>
                    </w:r>
                  </w:p>
                  <w:p w14:paraId="73C09B68" w14:textId="77777777" w:rsidR="00711A16" w:rsidRDefault="00711A16">
                    <w:pPr>
                      <w:rPr>
                        <w:rFonts w:ascii="MS Gothic"/>
                        <w:sz w:val="24"/>
                      </w:rPr>
                    </w:pPr>
                  </w:p>
                  <w:p w14:paraId="3F16EA61" w14:textId="77777777" w:rsidR="00711A16" w:rsidRDefault="00711A16">
                    <w:pPr>
                      <w:ind w:left="200"/>
                      <w:rPr>
                        <w:rFonts w:ascii="MS Gothic"/>
                      </w:rPr>
                    </w:pPr>
                    <w:r>
                      <w:rPr>
                        <w:rFonts w:ascii="MS Gothic"/>
                        <w:color w:val="333333"/>
                      </w:rPr>
                      <w:t>}</w:t>
                    </w:r>
                  </w:p>
                </w:txbxContent>
              </v:textbox>
            </v:shape>
            <w10:wrap type="topAndBottom" anchorx="page"/>
          </v:group>
        </w:pict>
      </w:r>
    </w:p>
    <w:p w14:paraId="35A2EA8F" w14:textId="77777777" w:rsidR="00A720EB" w:rsidRDefault="00A720EB">
      <w:pPr>
        <w:pStyle w:val="a3"/>
        <w:spacing w:before="8"/>
        <w:rPr>
          <w:sz w:val="16"/>
        </w:rPr>
      </w:pPr>
    </w:p>
    <w:p w14:paraId="460D3615" w14:textId="77777777" w:rsidR="00A720EB" w:rsidRDefault="00E10349">
      <w:pPr>
        <w:pStyle w:val="a3"/>
        <w:spacing w:before="116"/>
        <w:ind w:left="1564"/>
      </w:pPr>
      <w:r>
        <w:pict w14:anchorId="3492081A">
          <v:line id="_x0000_s4840" style="position:absolute;left:0;text-align:left;z-index:15769600;mso-position-horizontal-relative:page" from="108.25pt,.35pt" to="108.25pt,39.9pt" strokecolor="#ededed" strokeweight=".5pt">
            <w10:wrap anchorx="page"/>
          </v:line>
        </w:pict>
      </w:r>
      <w:r w:rsidR="0030286B">
        <w:rPr>
          <w:noProof/>
        </w:rPr>
        <w:drawing>
          <wp:anchor distT="0" distB="0" distL="0" distR="0" simplePos="0" relativeHeight="15770112" behindDoc="0" locked="0" layoutInCell="1" allowOverlap="1" wp14:anchorId="614DAD34" wp14:editId="7BFA82F9">
            <wp:simplePos x="0" y="0"/>
            <wp:positionH relativeFrom="page">
              <wp:posOffset>888949</wp:posOffset>
            </wp:positionH>
            <wp:positionV relativeFrom="paragraph">
              <wp:posOffset>103073</wp:posOffset>
            </wp:positionV>
            <wp:extent cx="209550" cy="304800"/>
            <wp:effectExtent l="0" t="0" r="0" b="0"/>
            <wp:wrapNone/>
            <wp:docPr id="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Notice how using constructor injection lets the </w:t>
      </w:r>
      <w:r w:rsidR="0030286B">
        <w:rPr>
          <w:rFonts w:ascii="MS Gothic"/>
          <w:color w:val="B02045"/>
          <w:w w:val="110"/>
        </w:rPr>
        <w:t xml:space="preserve">riskAssessor </w:t>
      </w:r>
      <w:r w:rsidR="0030286B">
        <w:rPr>
          <w:color w:val="333333"/>
          <w:w w:val="110"/>
        </w:rPr>
        <w:t>field be marked as</w:t>
      </w:r>
    </w:p>
    <w:p w14:paraId="03E09E12" w14:textId="77777777" w:rsidR="00A720EB" w:rsidRDefault="0030286B">
      <w:pPr>
        <w:pStyle w:val="a3"/>
        <w:spacing w:before="47"/>
        <w:ind w:left="1564"/>
      </w:pPr>
      <w:r>
        <w:rPr>
          <w:rFonts w:ascii="MS Gothic"/>
          <w:color w:val="B02045"/>
          <w:w w:val="110"/>
        </w:rPr>
        <w:t>final</w:t>
      </w:r>
      <w:r>
        <w:rPr>
          <w:color w:val="333333"/>
          <w:w w:val="110"/>
        </w:rPr>
        <w:t>, indicating that it cannot be subsequently changed.</w:t>
      </w:r>
    </w:p>
    <w:p w14:paraId="5B1CD53B" w14:textId="77777777" w:rsidR="00A720EB" w:rsidRDefault="00A720EB">
      <w:pPr>
        <w:pStyle w:val="a3"/>
        <w:spacing w:before="6"/>
        <w:rPr>
          <w:sz w:val="37"/>
        </w:rPr>
      </w:pPr>
    </w:p>
    <w:p w14:paraId="7C2D1737" w14:textId="77777777" w:rsidR="00A720EB" w:rsidRDefault="0030286B">
      <w:pPr>
        <w:pStyle w:val="2"/>
        <w:numPr>
          <w:ilvl w:val="1"/>
          <w:numId w:val="72"/>
        </w:numPr>
        <w:tabs>
          <w:tab w:val="left" w:pos="832"/>
        </w:tabs>
      </w:pPr>
      <w:bookmarkStart w:id="101" w:name="3.6._Using_the_@SpringBootApplication_An"/>
      <w:bookmarkStart w:id="102" w:name="_Toc54423694"/>
      <w:bookmarkEnd w:id="101"/>
      <w:r>
        <w:rPr>
          <w:color w:val="333333"/>
          <w:w w:val="110"/>
        </w:rPr>
        <w:t>Using the @SpringBootApplication</w:t>
      </w:r>
      <w:r>
        <w:rPr>
          <w:color w:val="333333"/>
          <w:spacing w:val="-41"/>
          <w:w w:val="110"/>
        </w:rPr>
        <w:t xml:space="preserve"> </w:t>
      </w:r>
      <w:r>
        <w:rPr>
          <w:color w:val="333333"/>
          <w:w w:val="110"/>
        </w:rPr>
        <w:t>Annotation</w:t>
      </w:r>
      <w:bookmarkEnd w:id="102"/>
    </w:p>
    <w:p w14:paraId="68E09090" w14:textId="77777777" w:rsidR="00A720EB" w:rsidRDefault="0030286B">
      <w:pPr>
        <w:pStyle w:val="a3"/>
        <w:spacing w:before="253" w:line="295" w:lineRule="auto"/>
        <w:ind w:left="124" w:right="122"/>
        <w:jc w:val="both"/>
      </w:pPr>
      <w:r>
        <w:rPr>
          <w:color w:val="333333"/>
          <w:w w:val="110"/>
        </w:rPr>
        <w:t xml:space="preserve">Many Spring Boot developers like their apps to use auto-configuration, component scan and be able to define extra configuration on their "application class". A single </w:t>
      </w:r>
      <w:r>
        <w:rPr>
          <w:rFonts w:ascii="MS Gothic"/>
          <w:color w:val="B02045"/>
          <w:w w:val="110"/>
        </w:rPr>
        <w:t xml:space="preserve">@SpringBootApplication </w:t>
      </w:r>
      <w:r>
        <w:rPr>
          <w:color w:val="333333"/>
          <w:w w:val="110"/>
        </w:rPr>
        <w:t>annotation can be used to enable those three features, that is:</w:t>
      </w:r>
    </w:p>
    <w:p w14:paraId="0A16E09F" w14:textId="77777777" w:rsidR="00A720EB" w:rsidRDefault="0030286B">
      <w:pPr>
        <w:pStyle w:val="a6"/>
        <w:numPr>
          <w:ilvl w:val="0"/>
          <w:numId w:val="71"/>
        </w:numPr>
        <w:tabs>
          <w:tab w:val="left" w:pos="485"/>
        </w:tabs>
        <w:spacing w:before="240"/>
        <w:rPr>
          <w:sz w:val="21"/>
        </w:rPr>
      </w:pPr>
      <w:r>
        <w:rPr>
          <w:rFonts w:ascii="MS Gothic" w:hAnsi="MS Gothic"/>
          <w:color w:val="B02045"/>
          <w:w w:val="110"/>
          <w:sz w:val="21"/>
        </w:rPr>
        <w:t>@EnableAutoConfiguration</w:t>
      </w:r>
      <w:r>
        <w:rPr>
          <w:color w:val="333333"/>
          <w:w w:val="110"/>
          <w:sz w:val="21"/>
        </w:rPr>
        <w:t xml:space="preserve">: enable </w:t>
      </w:r>
      <w:hyperlink w:anchor="_bookmark54" w:history="1">
        <w:r>
          <w:rPr>
            <w:color w:val="418BCA"/>
            <w:w w:val="110"/>
            <w:sz w:val="21"/>
          </w:rPr>
          <w:t>Spring Boot’s auto-configuration</w:t>
        </w:r>
        <w:r>
          <w:rPr>
            <w:color w:val="418BCA"/>
            <w:spacing w:val="-14"/>
            <w:w w:val="110"/>
            <w:sz w:val="21"/>
          </w:rPr>
          <w:t xml:space="preserve"> </w:t>
        </w:r>
        <w:r>
          <w:rPr>
            <w:color w:val="418BCA"/>
            <w:w w:val="110"/>
            <w:sz w:val="21"/>
          </w:rPr>
          <w:t>mechanism</w:t>
        </w:r>
      </w:hyperlink>
    </w:p>
    <w:p w14:paraId="2AB3F45A" w14:textId="77777777" w:rsidR="00A720EB" w:rsidRDefault="0030286B">
      <w:pPr>
        <w:pStyle w:val="a6"/>
        <w:numPr>
          <w:ilvl w:val="0"/>
          <w:numId w:val="71"/>
        </w:numPr>
        <w:tabs>
          <w:tab w:val="left" w:pos="485"/>
        </w:tabs>
        <w:spacing w:before="166" w:line="290" w:lineRule="auto"/>
        <w:ind w:right="122"/>
        <w:rPr>
          <w:sz w:val="21"/>
        </w:rPr>
      </w:pPr>
      <w:r>
        <w:rPr>
          <w:rFonts w:ascii="MS Gothic" w:hAnsi="MS Gothic"/>
          <w:color w:val="B02045"/>
          <w:w w:val="110"/>
          <w:sz w:val="21"/>
        </w:rPr>
        <w:t>@ComponentScan</w:t>
      </w:r>
      <w:r>
        <w:rPr>
          <w:color w:val="333333"/>
          <w:w w:val="110"/>
          <w:sz w:val="21"/>
        </w:rPr>
        <w:t>:</w:t>
      </w:r>
      <w:r>
        <w:rPr>
          <w:color w:val="333333"/>
          <w:spacing w:val="-4"/>
          <w:w w:val="110"/>
          <w:sz w:val="21"/>
        </w:rPr>
        <w:t xml:space="preserve"> </w:t>
      </w:r>
      <w:r>
        <w:rPr>
          <w:color w:val="333333"/>
          <w:w w:val="110"/>
          <w:sz w:val="21"/>
        </w:rPr>
        <w:t>enable</w:t>
      </w:r>
      <w:r>
        <w:rPr>
          <w:color w:val="333333"/>
          <w:spacing w:val="-4"/>
          <w:w w:val="110"/>
          <w:sz w:val="21"/>
        </w:rPr>
        <w:t xml:space="preserve"> </w:t>
      </w:r>
      <w:r>
        <w:rPr>
          <w:rFonts w:ascii="MS Gothic" w:hAnsi="MS Gothic"/>
          <w:color w:val="B02045"/>
          <w:w w:val="110"/>
          <w:sz w:val="21"/>
        </w:rPr>
        <w:t>@Component</w:t>
      </w:r>
      <w:r>
        <w:rPr>
          <w:rFonts w:ascii="MS Gothic" w:hAnsi="MS Gothic"/>
          <w:color w:val="B02045"/>
          <w:spacing w:val="-68"/>
          <w:w w:val="110"/>
          <w:sz w:val="21"/>
        </w:rPr>
        <w:t xml:space="preserve"> </w:t>
      </w:r>
      <w:r>
        <w:rPr>
          <w:color w:val="333333"/>
          <w:w w:val="110"/>
          <w:sz w:val="21"/>
        </w:rPr>
        <w:t>scan</w:t>
      </w:r>
      <w:r>
        <w:rPr>
          <w:color w:val="333333"/>
          <w:spacing w:val="-4"/>
          <w:w w:val="110"/>
          <w:sz w:val="21"/>
        </w:rPr>
        <w:t xml:space="preserve"> </w:t>
      </w:r>
      <w:r>
        <w:rPr>
          <w:color w:val="333333"/>
          <w:w w:val="110"/>
          <w:sz w:val="21"/>
        </w:rPr>
        <w:t>on</w:t>
      </w:r>
      <w:r>
        <w:rPr>
          <w:color w:val="333333"/>
          <w:spacing w:val="-4"/>
          <w:w w:val="110"/>
          <w:sz w:val="21"/>
        </w:rPr>
        <w:t xml:space="preserve"> </w:t>
      </w:r>
      <w:r>
        <w:rPr>
          <w:color w:val="333333"/>
          <w:w w:val="110"/>
          <w:sz w:val="21"/>
        </w:rPr>
        <w:t>the</w:t>
      </w:r>
      <w:r>
        <w:rPr>
          <w:color w:val="333333"/>
          <w:spacing w:val="-3"/>
          <w:w w:val="110"/>
          <w:sz w:val="21"/>
        </w:rPr>
        <w:t xml:space="preserve"> </w:t>
      </w:r>
      <w:r>
        <w:rPr>
          <w:color w:val="333333"/>
          <w:w w:val="110"/>
          <w:sz w:val="21"/>
        </w:rPr>
        <w:t>package</w:t>
      </w:r>
      <w:r>
        <w:rPr>
          <w:color w:val="333333"/>
          <w:spacing w:val="-4"/>
          <w:w w:val="110"/>
          <w:sz w:val="21"/>
        </w:rPr>
        <w:t xml:space="preserve"> </w:t>
      </w:r>
      <w:r>
        <w:rPr>
          <w:color w:val="333333"/>
          <w:w w:val="110"/>
          <w:sz w:val="21"/>
        </w:rPr>
        <w:t>where</w:t>
      </w:r>
      <w:r>
        <w:rPr>
          <w:color w:val="333333"/>
          <w:spacing w:val="-4"/>
          <w:w w:val="110"/>
          <w:sz w:val="21"/>
        </w:rPr>
        <w:t xml:space="preserve"> </w:t>
      </w:r>
      <w:r>
        <w:rPr>
          <w:color w:val="333333"/>
          <w:w w:val="110"/>
          <w:sz w:val="21"/>
        </w:rPr>
        <w:t>the</w:t>
      </w:r>
      <w:r>
        <w:rPr>
          <w:color w:val="333333"/>
          <w:spacing w:val="-3"/>
          <w:w w:val="110"/>
          <w:sz w:val="21"/>
        </w:rPr>
        <w:t xml:space="preserve"> </w:t>
      </w:r>
      <w:r>
        <w:rPr>
          <w:color w:val="333333"/>
          <w:w w:val="110"/>
          <w:sz w:val="21"/>
        </w:rPr>
        <w:t>application</w:t>
      </w:r>
      <w:r>
        <w:rPr>
          <w:color w:val="333333"/>
          <w:spacing w:val="-4"/>
          <w:w w:val="110"/>
          <w:sz w:val="21"/>
        </w:rPr>
        <w:t xml:space="preserve"> </w:t>
      </w:r>
      <w:r>
        <w:rPr>
          <w:color w:val="333333"/>
          <w:w w:val="110"/>
          <w:sz w:val="21"/>
        </w:rPr>
        <w:t>is</w:t>
      </w:r>
      <w:r>
        <w:rPr>
          <w:color w:val="333333"/>
          <w:spacing w:val="-4"/>
          <w:w w:val="110"/>
          <w:sz w:val="21"/>
        </w:rPr>
        <w:t xml:space="preserve"> </w:t>
      </w:r>
      <w:r>
        <w:rPr>
          <w:color w:val="333333"/>
          <w:w w:val="110"/>
          <w:sz w:val="21"/>
        </w:rPr>
        <w:t>located</w:t>
      </w:r>
      <w:r>
        <w:rPr>
          <w:color w:val="333333"/>
          <w:spacing w:val="-3"/>
          <w:w w:val="110"/>
          <w:sz w:val="21"/>
        </w:rPr>
        <w:t xml:space="preserve"> </w:t>
      </w:r>
      <w:r>
        <w:rPr>
          <w:color w:val="333333"/>
          <w:w w:val="110"/>
          <w:sz w:val="21"/>
        </w:rPr>
        <w:t>(see</w:t>
      </w:r>
      <w:r>
        <w:rPr>
          <w:color w:val="333333"/>
          <w:spacing w:val="1"/>
          <w:w w:val="110"/>
          <w:sz w:val="21"/>
        </w:rPr>
        <w:t xml:space="preserve"> </w:t>
      </w:r>
      <w:hyperlink w:anchor="_bookmark48" w:history="1">
        <w:r>
          <w:rPr>
            <w:color w:val="418BCA"/>
            <w:w w:val="110"/>
            <w:sz w:val="21"/>
          </w:rPr>
          <w:t>the</w:t>
        </w:r>
      </w:hyperlink>
      <w:r>
        <w:rPr>
          <w:color w:val="418BCA"/>
          <w:w w:val="110"/>
          <w:sz w:val="21"/>
        </w:rPr>
        <w:t xml:space="preserve"> </w:t>
      </w:r>
      <w:hyperlink w:anchor="_bookmark48" w:history="1">
        <w:r>
          <w:rPr>
            <w:color w:val="418BCA"/>
            <w:w w:val="110"/>
            <w:sz w:val="21"/>
          </w:rPr>
          <w:t>best</w:t>
        </w:r>
        <w:r>
          <w:rPr>
            <w:color w:val="418BCA"/>
            <w:spacing w:val="2"/>
            <w:w w:val="110"/>
            <w:sz w:val="21"/>
          </w:rPr>
          <w:t xml:space="preserve"> </w:t>
        </w:r>
        <w:r>
          <w:rPr>
            <w:color w:val="418BCA"/>
            <w:w w:val="110"/>
            <w:sz w:val="21"/>
          </w:rPr>
          <w:t>practices</w:t>
        </w:r>
      </w:hyperlink>
      <w:r>
        <w:rPr>
          <w:color w:val="333333"/>
          <w:w w:val="110"/>
          <w:sz w:val="21"/>
        </w:rPr>
        <w:t>)</w:t>
      </w:r>
    </w:p>
    <w:p w14:paraId="54B1EA33" w14:textId="77777777" w:rsidR="00A720EB" w:rsidRDefault="00A720EB">
      <w:pPr>
        <w:spacing w:line="290" w:lineRule="auto"/>
        <w:rPr>
          <w:sz w:val="21"/>
        </w:rPr>
        <w:sectPr w:rsidR="00A720EB">
          <w:pgSz w:w="11910" w:h="16840"/>
          <w:pgMar w:top="700" w:right="840" w:bottom="520" w:left="840" w:header="0" w:footer="323" w:gutter="0"/>
          <w:cols w:space="720"/>
        </w:sectPr>
      </w:pPr>
    </w:p>
    <w:p w14:paraId="487287A2" w14:textId="77777777" w:rsidR="00A720EB" w:rsidRDefault="0030286B">
      <w:pPr>
        <w:pStyle w:val="a6"/>
        <w:numPr>
          <w:ilvl w:val="0"/>
          <w:numId w:val="71"/>
        </w:numPr>
        <w:tabs>
          <w:tab w:val="left" w:pos="485"/>
        </w:tabs>
        <w:spacing w:before="91" w:line="290" w:lineRule="auto"/>
        <w:ind w:right="131"/>
        <w:rPr>
          <w:sz w:val="21"/>
        </w:rPr>
      </w:pPr>
      <w:r>
        <w:rPr>
          <w:rFonts w:ascii="MS Gothic" w:hAnsi="MS Gothic"/>
          <w:color w:val="B02045"/>
          <w:w w:val="110"/>
          <w:sz w:val="21"/>
        </w:rPr>
        <w:lastRenderedPageBreak/>
        <w:t>@Configuration</w:t>
      </w:r>
      <w:r>
        <w:rPr>
          <w:color w:val="333333"/>
          <w:w w:val="110"/>
          <w:sz w:val="21"/>
        </w:rPr>
        <w:t>: allow to register extra beans in the context or import additional configuration classes</w:t>
      </w:r>
    </w:p>
    <w:p w14:paraId="6CCA3B46" w14:textId="77777777" w:rsidR="00A720EB" w:rsidRDefault="00E10349">
      <w:pPr>
        <w:pStyle w:val="a3"/>
        <w:spacing w:before="7"/>
        <w:rPr>
          <w:sz w:val="14"/>
        </w:rPr>
      </w:pPr>
      <w:r>
        <w:pict w14:anchorId="547F778D">
          <v:group id="_x0000_s4836" style="position:absolute;margin-left:47.85pt;margin-top:10.55pt;width:499.55pt;height:229.15pt;z-index:-15686656;mso-wrap-distance-left:0;mso-wrap-distance-right:0;mso-position-horizontal-relative:page" coordorigin="957,211" coordsize="9991,4583">
            <v:shape id="_x0000_s4839" style="position:absolute;left:964;top:218;width:9976;height:4568" coordorigin="965,219" coordsize="9976,4568" path="m10861,219r-9816,l1014,225r-26,17l971,268r-6,31l965,4706r6,31l988,4763r26,17l1045,4786r9816,l10892,4780r25,-17l10935,4737r6,-31l10941,299r-6,-31l10917,242r-25,-17l10861,219xe" fillcolor="#f5f5f5" stroked="f">
              <v:path arrowok="t"/>
            </v:shape>
            <v:shape id="_x0000_s4838" style="position:absolute;left:964;top:218;width:9976;height:4568" coordorigin="965,219" coordsize="9976,4568" path="m1045,219r9816,l10892,225r25,17l10935,268r6,31l10941,4706r-6,31l10917,4763r-25,17l10861,4786r-9816,l1014,4780r-26,-17l971,4737r-6,-31l965,299r6,-31l988,242r26,-17l1045,219xe" filled="f" strokecolor="#ccc">
              <v:path arrowok="t"/>
            </v:shape>
            <v:shape id="_x0000_s4837" type="#_x0000_t202" style="position:absolute;left:984;top:234;width:9938;height:4537" filled="f" stroked="f">
              <v:textbox inset="0,0,0,0">
                <w:txbxContent>
                  <w:p w14:paraId="0DB10ABC" w14:textId="77777777" w:rsidR="00711A16" w:rsidRDefault="00711A16">
                    <w:pPr>
                      <w:spacing w:before="221"/>
                      <w:ind w:left="200"/>
                      <w:rPr>
                        <w:rFonts w:ascii="MS Gothic"/>
                      </w:rPr>
                    </w:pPr>
                    <w:r>
                      <w:rPr>
                        <w:rFonts w:ascii="MS Gothic"/>
                        <w:color w:val="333333"/>
                      </w:rPr>
                      <w:t>package com.</w:t>
                    </w:r>
                    <w:proofErr w:type="gramStart"/>
                    <w:r>
                      <w:rPr>
                        <w:rFonts w:ascii="MS Gothic"/>
                        <w:color w:val="333333"/>
                      </w:rPr>
                      <w:t>example.myapplication</w:t>
                    </w:r>
                    <w:proofErr w:type="gramEnd"/>
                    <w:r>
                      <w:rPr>
                        <w:rFonts w:ascii="MS Gothic"/>
                        <w:color w:val="333333"/>
                      </w:rPr>
                      <w:t>;</w:t>
                    </w:r>
                  </w:p>
                  <w:p w14:paraId="5BF58D29" w14:textId="77777777" w:rsidR="00711A16" w:rsidRDefault="00711A16">
                    <w:pPr>
                      <w:rPr>
                        <w:rFonts w:ascii="MS Gothic"/>
                        <w:sz w:val="24"/>
                      </w:rPr>
                    </w:pPr>
                  </w:p>
                  <w:p w14:paraId="763546F1" w14:textId="77777777" w:rsidR="00711A16" w:rsidRDefault="00711A16">
                    <w:pPr>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.boot.SpringApplication;</w:t>
                    </w:r>
                  </w:p>
                  <w:p w14:paraId="74EF7EB6" w14:textId="77777777" w:rsidR="00711A16" w:rsidRDefault="00711A16">
                    <w:pPr>
                      <w:spacing w:before="13"/>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.boot.autoconfigure.SpringBootApplication;</w:t>
                    </w:r>
                  </w:p>
                  <w:p w14:paraId="22DD135D" w14:textId="77777777" w:rsidR="00711A16" w:rsidRDefault="00711A16">
                    <w:pPr>
                      <w:rPr>
                        <w:rFonts w:ascii="MS Gothic"/>
                        <w:sz w:val="24"/>
                      </w:rPr>
                    </w:pPr>
                  </w:p>
                  <w:p w14:paraId="163CAB62" w14:textId="77777777" w:rsidR="00711A16" w:rsidRDefault="00711A16">
                    <w:pPr>
                      <w:spacing w:line="252" w:lineRule="auto"/>
                      <w:ind w:left="200" w:right="1688"/>
                      <w:rPr>
                        <w:rFonts w:ascii="MS Gothic"/>
                      </w:rPr>
                    </w:pPr>
                    <w:r>
                      <w:rPr>
                        <w:rFonts w:ascii="MS Gothic"/>
                        <w:color w:val="333333"/>
                      </w:rPr>
                      <w:t>@SpringBootApplication // same as @Configuration @EnableAutoConfiguration @ComponentScan</w:t>
                    </w:r>
                  </w:p>
                  <w:p w14:paraId="308784DA" w14:textId="77777777" w:rsidR="00711A16" w:rsidRDefault="00711A16">
                    <w:pPr>
                      <w:spacing w:line="280" w:lineRule="exact"/>
                      <w:ind w:left="200"/>
                      <w:rPr>
                        <w:rFonts w:ascii="MS Gothic"/>
                      </w:rPr>
                    </w:pPr>
                    <w:r>
                      <w:rPr>
                        <w:rFonts w:ascii="MS Gothic"/>
                        <w:color w:val="333333"/>
                      </w:rPr>
                      <w:t>public class Application {</w:t>
                    </w:r>
                  </w:p>
                  <w:p w14:paraId="5A006627" w14:textId="77777777" w:rsidR="00711A16" w:rsidRDefault="00711A16">
                    <w:pPr>
                      <w:rPr>
                        <w:rFonts w:ascii="MS Gothic"/>
                        <w:sz w:val="24"/>
                      </w:rPr>
                    </w:pPr>
                  </w:p>
                  <w:p w14:paraId="5C5BC088" w14:textId="77777777" w:rsidR="00711A16" w:rsidRDefault="00711A16">
                    <w:pPr>
                      <w:spacing w:line="252" w:lineRule="auto"/>
                      <w:ind w:left="1080" w:right="3668" w:hanging="4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 SpringApplication.run(Application.class, args);</w:t>
                    </w:r>
                  </w:p>
                  <w:p w14:paraId="46F5FD7E" w14:textId="77777777" w:rsidR="00711A16" w:rsidRDefault="00711A16">
                    <w:pPr>
                      <w:spacing w:line="280" w:lineRule="exact"/>
                      <w:ind w:left="640"/>
                      <w:rPr>
                        <w:rFonts w:ascii="MS Gothic"/>
                      </w:rPr>
                    </w:pPr>
                    <w:r>
                      <w:rPr>
                        <w:rFonts w:ascii="MS Gothic"/>
                        <w:color w:val="333333"/>
                      </w:rPr>
                      <w:t>}</w:t>
                    </w:r>
                  </w:p>
                  <w:p w14:paraId="660AADAD" w14:textId="77777777" w:rsidR="00711A16" w:rsidRDefault="00711A16">
                    <w:pPr>
                      <w:rPr>
                        <w:rFonts w:ascii="MS Gothic"/>
                        <w:sz w:val="24"/>
                      </w:rPr>
                    </w:pPr>
                  </w:p>
                  <w:p w14:paraId="42B5BD0F"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2550DC13" w14:textId="77777777" w:rsidR="00A720EB" w:rsidRDefault="00A720EB">
      <w:pPr>
        <w:pStyle w:val="a3"/>
        <w:spacing w:before="8"/>
        <w:rPr>
          <w:sz w:val="16"/>
        </w:rPr>
      </w:pPr>
    </w:p>
    <w:p w14:paraId="2A179142" w14:textId="77777777" w:rsidR="00A720EB" w:rsidRDefault="00E10349">
      <w:pPr>
        <w:pStyle w:val="a3"/>
        <w:spacing w:before="116"/>
        <w:ind w:left="1564"/>
      </w:pPr>
      <w:r>
        <w:pict w14:anchorId="391A480C">
          <v:line id="_x0000_s4835" style="position:absolute;left:0;text-align:left;z-index:15772160;mso-position-horizontal-relative:page" from="108.25pt,.35pt" to="108.25pt,39.9pt" strokecolor="#ededed" strokeweight=".5pt">
            <w10:wrap anchorx="page"/>
          </v:line>
        </w:pict>
      </w:r>
      <w:r w:rsidR="0030286B">
        <w:rPr>
          <w:noProof/>
        </w:rPr>
        <w:drawing>
          <wp:anchor distT="0" distB="0" distL="0" distR="0" simplePos="0" relativeHeight="15772672" behindDoc="0" locked="0" layoutInCell="1" allowOverlap="1" wp14:anchorId="404AB672" wp14:editId="0D461533">
            <wp:simplePos x="0" y="0"/>
            <wp:positionH relativeFrom="page">
              <wp:posOffset>844422</wp:posOffset>
            </wp:positionH>
            <wp:positionV relativeFrom="paragraph">
              <wp:posOffset>106248</wp:posOffset>
            </wp:positionV>
            <wp:extent cx="298450" cy="29845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w w:val="110"/>
        </w:rPr>
        <w:t xml:space="preserve">@SpringBootApplication </w:t>
      </w:r>
      <w:r w:rsidR="0030286B">
        <w:rPr>
          <w:color w:val="333333"/>
          <w:w w:val="110"/>
        </w:rPr>
        <w:t>also provides aliases to customize the attributes of</w:t>
      </w:r>
    </w:p>
    <w:p w14:paraId="652C47F9" w14:textId="77777777" w:rsidR="00A720EB" w:rsidRDefault="0030286B">
      <w:pPr>
        <w:pStyle w:val="a3"/>
        <w:spacing w:before="47"/>
        <w:ind w:left="1564"/>
      </w:pPr>
      <w:r>
        <w:rPr>
          <w:rFonts w:ascii="MS Gothic"/>
          <w:color w:val="B02045"/>
        </w:rPr>
        <w:t xml:space="preserve">@EnableAutoConfiguration </w:t>
      </w:r>
      <w:r>
        <w:rPr>
          <w:color w:val="333333"/>
        </w:rPr>
        <w:t xml:space="preserve">and </w:t>
      </w:r>
      <w:r>
        <w:rPr>
          <w:rFonts w:ascii="MS Gothic"/>
          <w:color w:val="B02045"/>
        </w:rPr>
        <w:t>@ComponentScan</w:t>
      </w:r>
      <w:r>
        <w:rPr>
          <w:color w:val="333333"/>
        </w:rPr>
        <w:t>.</w:t>
      </w:r>
    </w:p>
    <w:p w14:paraId="6ED201BB" w14:textId="77777777" w:rsidR="00A720EB" w:rsidRDefault="00A720EB">
      <w:pPr>
        <w:pStyle w:val="a3"/>
        <w:spacing w:before="4"/>
        <w:rPr>
          <w:sz w:val="28"/>
        </w:rPr>
      </w:pPr>
    </w:p>
    <w:p w14:paraId="099960D1" w14:textId="77777777" w:rsidR="00A720EB" w:rsidRDefault="00E10349">
      <w:pPr>
        <w:pStyle w:val="a3"/>
        <w:spacing w:before="125" w:line="307" w:lineRule="auto"/>
        <w:ind w:left="1564" w:right="367"/>
        <w:jc w:val="both"/>
      </w:pPr>
      <w:r>
        <w:pict w14:anchorId="54A7FA93">
          <v:line id="_x0000_s4834" style="position:absolute;left:0;text-align:left;z-index:15773184;mso-position-horizontal-relative:page" from="108.25pt,.25pt" to="108.25pt,415.3pt" strokecolor="#ededed" strokeweight=".5pt">
            <w10:wrap anchorx="page"/>
          </v:line>
        </w:pict>
      </w:r>
      <w:r w:rsidR="0030286B">
        <w:rPr>
          <w:color w:val="333333"/>
          <w:w w:val="110"/>
        </w:rPr>
        <w:t>None of these features are mandatory and you may choose to replace this single annotation by any of the features that it enables. For instance, you may not want to use component scan or configuration properties scan in your application:</w:t>
      </w:r>
    </w:p>
    <w:p w14:paraId="5C23EB65" w14:textId="77777777" w:rsidR="00A720EB" w:rsidRDefault="0030286B">
      <w:pPr>
        <w:pStyle w:val="a3"/>
        <w:spacing w:before="2"/>
        <w:rPr>
          <w:sz w:val="13"/>
        </w:rPr>
      </w:pPr>
      <w:r>
        <w:rPr>
          <w:noProof/>
        </w:rPr>
        <w:drawing>
          <wp:anchor distT="0" distB="0" distL="0" distR="0" simplePos="0" relativeHeight="83" behindDoc="0" locked="0" layoutInCell="1" allowOverlap="1" wp14:anchorId="4B44CA52" wp14:editId="29127B5D">
            <wp:simplePos x="0" y="0"/>
            <wp:positionH relativeFrom="page">
              <wp:posOffset>844422</wp:posOffset>
            </wp:positionH>
            <wp:positionV relativeFrom="paragraph">
              <wp:posOffset>1809903</wp:posOffset>
            </wp:positionV>
            <wp:extent cx="295465" cy="295465"/>
            <wp:effectExtent l="0" t="0" r="0" b="0"/>
            <wp:wrapTopAndBottom/>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24" cstate="print"/>
                    <a:stretch>
                      <a:fillRect/>
                    </a:stretch>
                  </pic:blipFill>
                  <pic:spPr>
                    <a:xfrm>
                      <a:off x="0" y="0"/>
                      <a:ext cx="295465" cy="295465"/>
                    </a:xfrm>
                    <a:prstGeom prst="rect">
                      <a:avLst/>
                    </a:prstGeom>
                  </pic:spPr>
                </pic:pic>
              </a:graphicData>
            </a:graphic>
          </wp:anchor>
        </w:drawing>
      </w:r>
      <w:r w:rsidR="00E10349">
        <w:pict w14:anchorId="451374E1">
          <v:group id="_x0000_s4830" style="position:absolute;margin-left:119.85pt;margin-top:9.7pt;width:415.55pt;height:273.35pt;z-index:-15685632;mso-wrap-distance-left:0;mso-wrap-distance-right:0;mso-position-horizontal-relative:page;mso-position-vertical-relative:text" coordorigin="2397,194" coordsize="8311,5467">
            <v:shape id="_x0000_s4833" style="position:absolute;left:2404;top:201;width:8296;height:5452" coordorigin="2405,202" coordsize="8296,5452" path="m10621,202r-8136,l2454,208r-26,17l2411,251r-6,31l2405,5573r6,31l2428,5630r26,17l2485,5653r8136,l10652,5647r25,-17l10695,5604r6,-31l10701,282r-6,-31l10677,225r-25,-17l10621,202xe" fillcolor="#f5f5f5" stroked="f">
              <v:path arrowok="t"/>
            </v:shape>
            <v:shape id="_x0000_s4832" style="position:absolute;left:2404;top:201;width:8296;height:5452" coordorigin="2405,202" coordsize="8296,5452" path="m2485,202r8136,l10652,208r25,17l10695,251r6,31l10701,5573r-6,31l10677,5630r-25,17l10621,5653r-8136,l2454,5647r-26,-17l2411,5604r-6,-31l2405,282r6,-31l2428,225r26,-17l2485,202xe" filled="f" strokecolor="#ccc">
              <v:path arrowok="t"/>
            </v:shape>
            <v:shape id="_x0000_s4831" type="#_x0000_t202" style="position:absolute;left:2424;top:217;width:8258;height:5421" filled="f" stroked="f">
              <v:textbox inset="0,0,0,0">
                <w:txbxContent>
                  <w:p w14:paraId="3D760334" w14:textId="77777777" w:rsidR="00711A16" w:rsidRDefault="00711A16">
                    <w:pPr>
                      <w:spacing w:before="221"/>
                      <w:ind w:left="200"/>
                      <w:rPr>
                        <w:rFonts w:ascii="MS Gothic"/>
                      </w:rPr>
                    </w:pPr>
                    <w:r>
                      <w:rPr>
                        <w:rFonts w:ascii="MS Gothic"/>
                        <w:color w:val="333333"/>
                      </w:rPr>
                      <w:t>package com.</w:t>
                    </w:r>
                    <w:proofErr w:type="gramStart"/>
                    <w:r>
                      <w:rPr>
                        <w:rFonts w:ascii="MS Gothic"/>
                        <w:color w:val="333333"/>
                      </w:rPr>
                      <w:t>example.myapplication</w:t>
                    </w:r>
                    <w:proofErr w:type="gramEnd"/>
                    <w:r>
                      <w:rPr>
                        <w:rFonts w:ascii="MS Gothic"/>
                        <w:color w:val="333333"/>
                      </w:rPr>
                      <w:t>;</w:t>
                    </w:r>
                  </w:p>
                  <w:p w14:paraId="7365A985" w14:textId="77777777" w:rsidR="00711A16" w:rsidRDefault="00711A16">
                    <w:pPr>
                      <w:rPr>
                        <w:rFonts w:ascii="MS Gothic"/>
                        <w:sz w:val="24"/>
                      </w:rPr>
                    </w:pPr>
                  </w:p>
                  <w:p w14:paraId="1E254609" w14:textId="77777777" w:rsidR="00711A16" w:rsidRDefault="00711A16">
                    <w:pPr>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.boot.SpringApplication;</w:t>
                    </w:r>
                  </w:p>
                  <w:p w14:paraId="16FC7E58" w14:textId="77777777" w:rsidR="00711A16" w:rsidRDefault="00711A16">
                    <w:pPr>
                      <w:spacing w:before="13" w:line="252" w:lineRule="auto"/>
                      <w:ind w:left="200" w:right="143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.context.annotation.ComponentScan import org.springframework.context.annotation.Configuration; import org.springframework.context.annotation.Import;</w:t>
                    </w:r>
                  </w:p>
                  <w:p w14:paraId="6F87BCD9" w14:textId="77777777" w:rsidR="00711A16" w:rsidRDefault="00711A16">
                    <w:pPr>
                      <w:spacing w:before="9"/>
                      <w:rPr>
                        <w:rFonts w:ascii="MS Gothic"/>
                      </w:rPr>
                    </w:pPr>
                  </w:p>
                  <w:p w14:paraId="4564CA97" w14:textId="77777777" w:rsidR="00711A16" w:rsidRDefault="00711A16">
                    <w:pPr>
                      <w:spacing w:line="252" w:lineRule="auto"/>
                      <w:ind w:left="200" w:right="363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@EnableAutoConfiguration</w:t>
                    </w:r>
                  </w:p>
                  <w:p w14:paraId="46BCE323" w14:textId="77777777" w:rsidR="00711A16" w:rsidRDefault="00711A16">
                    <w:pPr>
                      <w:spacing w:line="252" w:lineRule="auto"/>
                      <w:ind w:left="200" w:right="2538"/>
                      <w:rPr>
                        <w:rFonts w:ascii="MS Gothic"/>
                      </w:rPr>
                    </w:pPr>
                    <w:r>
                      <w:rPr>
                        <w:rFonts w:ascii="MS Gothic"/>
                        <w:color w:val="333333"/>
                      </w:rPr>
                      <w:t>@</w:t>
                    </w:r>
                    <w:proofErr w:type="gramStart"/>
                    <w:r>
                      <w:rPr>
                        <w:rFonts w:ascii="MS Gothic"/>
                        <w:color w:val="333333"/>
                      </w:rPr>
                      <w:t>Import(</w:t>
                    </w:r>
                    <w:proofErr w:type="gramEnd"/>
                    <w:r>
                      <w:rPr>
                        <w:rFonts w:ascii="MS Gothic"/>
                        <w:color w:val="333333"/>
                      </w:rPr>
                      <w:t>{ MyConfig.class, MyAnotherConfig.class }) public class Application {</w:t>
                    </w:r>
                  </w:p>
                  <w:p w14:paraId="57629F36" w14:textId="77777777" w:rsidR="00711A16" w:rsidRDefault="00711A16">
                    <w:pPr>
                      <w:spacing w:before="8"/>
                      <w:rPr>
                        <w:rFonts w:ascii="MS Gothic"/>
                      </w:rPr>
                    </w:pPr>
                  </w:p>
                  <w:p w14:paraId="7D82D13A" w14:textId="77777777" w:rsidR="00711A16" w:rsidRDefault="00711A16">
                    <w:pPr>
                      <w:spacing w:before="1" w:line="252" w:lineRule="auto"/>
                      <w:ind w:left="1520" w:right="1548" w:hanging="88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 SpringApplication.run(Application.class, args);</w:t>
                    </w:r>
                  </w:p>
                  <w:p w14:paraId="1EA18C84" w14:textId="77777777" w:rsidR="00711A16" w:rsidRDefault="00711A16">
                    <w:pPr>
                      <w:spacing w:line="280" w:lineRule="exact"/>
                      <w:ind w:left="640"/>
                      <w:rPr>
                        <w:rFonts w:ascii="MS Gothic"/>
                      </w:rPr>
                    </w:pPr>
                    <w:r>
                      <w:rPr>
                        <w:rFonts w:ascii="MS Gothic"/>
                        <w:color w:val="333333"/>
                      </w:rPr>
                      <w:t>}</w:t>
                    </w:r>
                  </w:p>
                  <w:p w14:paraId="369873E7" w14:textId="77777777" w:rsidR="00711A16" w:rsidRDefault="00711A16">
                    <w:pPr>
                      <w:rPr>
                        <w:rFonts w:ascii="MS Gothic"/>
                        <w:sz w:val="24"/>
                      </w:rPr>
                    </w:pPr>
                  </w:p>
                  <w:p w14:paraId="11A3377E" w14:textId="77777777" w:rsidR="00711A16" w:rsidRDefault="00711A16">
                    <w:pPr>
                      <w:ind w:left="200"/>
                      <w:rPr>
                        <w:rFonts w:ascii="MS Gothic"/>
                      </w:rPr>
                    </w:pPr>
                    <w:r>
                      <w:rPr>
                        <w:rFonts w:ascii="MS Gothic"/>
                        <w:color w:val="333333"/>
                      </w:rPr>
                      <w:t>}</w:t>
                    </w:r>
                  </w:p>
                </w:txbxContent>
              </v:textbox>
            </v:shape>
            <w10:wrap type="topAndBottom" anchorx="page"/>
          </v:group>
        </w:pict>
      </w:r>
    </w:p>
    <w:p w14:paraId="690A67BE" w14:textId="77777777" w:rsidR="00A720EB" w:rsidRDefault="00A720EB">
      <w:pPr>
        <w:pStyle w:val="a3"/>
        <w:spacing w:before="11"/>
        <w:rPr>
          <w:sz w:val="9"/>
        </w:rPr>
      </w:pPr>
    </w:p>
    <w:p w14:paraId="4F3ACCFF" w14:textId="77777777" w:rsidR="00A720EB" w:rsidRDefault="0030286B">
      <w:pPr>
        <w:pStyle w:val="a3"/>
        <w:spacing w:before="115" w:line="290" w:lineRule="auto"/>
        <w:ind w:left="1564" w:right="362"/>
        <w:jc w:val="both"/>
      </w:pPr>
      <w:r>
        <w:rPr>
          <w:color w:val="333333"/>
          <w:w w:val="105"/>
        </w:rPr>
        <w:t xml:space="preserve">In this example, </w:t>
      </w:r>
      <w:r>
        <w:rPr>
          <w:rFonts w:ascii="MS Gothic"/>
          <w:color w:val="B02045"/>
          <w:w w:val="105"/>
        </w:rPr>
        <w:t xml:space="preserve">Application </w:t>
      </w:r>
      <w:r>
        <w:rPr>
          <w:color w:val="333333"/>
          <w:w w:val="105"/>
        </w:rPr>
        <w:t xml:space="preserve">is just like </w:t>
      </w:r>
      <w:proofErr w:type="gramStart"/>
      <w:r>
        <w:rPr>
          <w:color w:val="333333"/>
          <w:w w:val="105"/>
        </w:rPr>
        <w:t>any  other</w:t>
      </w:r>
      <w:proofErr w:type="gramEnd"/>
      <w:r>
        <w:rPr>
          <w:color w:val="333333"/>
          <w:w w:val="105"/>
        </w:rPr>
        <w:t xml:space="preserve">  Spring  Boot  application  except that </w:t>
      </w:r>
      <w:r>
        <w:rPr>
          <w:rFonts w:ascii="MS Gothic"/>
          <w:color w:val="B02045"/>
          <w:w w:val="105"/>
        </w:rPr>
        <w:t>@Component</w:t>
      </w:r>
      <w:r>
        <w:rPr>
          <w:color w:val="333333"/>
          <w:w w:val="105"/>
        </w:rPr>
        <w:t xml:space="preserve">-annotated classes and </w:t>
      </w:r>
      <w:r>
        <w:rPr>
          <w:rFonts w:ascii="MS Gothic"/>
          <w:color w:val="B02045"/>
          <w:w w:val="105"/>
        </w:rPr>
        <w:t>@ConfigurationProperties</w:t>
      </w:r>
      <w:r>
        <w:rPr>
          <w:color w:val="333333"/>
          <w:w w:val="105"/>
        </w:rPr>
        <w:t>-annotated classes are not detected automatically and the user-defined  beans  are  imported  explicitly  (see</w:t>
      </w:r>
      <w:r>
        <w:rPr>
          <w:color w:val="333333"/>
          <w:spacing w:val="5"/>
          <w:w w:val="105"/>
        </w:rPr>
        <w:t xml:space="preserve"> </w:t>
      </w:r>
      <w:r>
        <w:rPr>
          <w:rFonts w:ascii="MS Gothic"/>
          <w:color w:val="B02045"/>
          <w:w w:val="105"/>
        </w:rPr>
        <w:t>@Import</w:t>
      </w:r>
      <w:r>
        <w:rPr>
          <w:color w:val="333333"/>
          <w:w w:val="105"/>
        </w:rPr>
        <w:t>).</w:t>
      </w:r>
    </w:p>
    <w:p w14:paraId="1DD73ED6" w14:textId="77777777" w:rsidR="00A720EB" w:rsidRDefault="00A720EB">
      <w:pPr>
        <w:spacing w:line="290" w:lineRule="auto"/>
        <w:jc w:val="both"/>
        <w:sectPr w:rsidR="00A720EB">
          <w:pgSz w:w="11910" w:h="16840"/>
          <w:pgMar w:top="640" w:right="840" w:bottom="520" w:left="840" w:header="0" w:footer="323" w:gutter="0"/>
          <w:cols w:space="720"/>
        </w:sectPr>
      </w:pPr>
    </w:p>
    <w:p w14:paraId="6592564E" w14:textId="77777777" w:rsidR="00A720EB" w:rsidRDefault="0030286B">
      <w:pPr>
        <w:pStyle w:val="2"/>
        <w:numPr>
          <w:ilvl w:val="1"/>
          <w:numId w:val="72"/>
        </w:numPr>
        <w:tabs>
          <w:tab w:val="left" w:pos="832"/>
        </w:tabs>
        <w:spacing w:before="88"/>
      </w:pPr>
      <w:bookmarkStart w:id="103" w:name="3.7._Running_Your_Application"/>
      <w:bookmarkStart w:id="104" w:name="_Toc54423695"/>
      <w:bookmarkEnd w:id="103"/>
      <w:r>
        <w:rPr>
          <w:color w:val="333333"/>
          <w:w w:val="110"/>
        </w:rPr>
        <w:lastRenderedPageBreak/>
        <w:t xml:space="preserve">Running </w:t>
      </w:r>
      <w:r>
        <w:rPr>
          <w:color w:val="333333"/>
          <w:spacing w:val="-7"/>
          <w:w w:val="110"/>
        </w:rPr>
        <w:t>Your</w:t>
      </w:r>
      <w:r>
        <w:rPr>
          <w:color w:val="333333"/>
          <w:spacing w:val="-17"/>
          <w:w w:val="110"/>
        </w:rPr>
        <w:t xml:space="preserve"> </w:t>
      </w:r>
      <w:r>
        <w:rPr>
          <w:color w:val="333333"/>
          <w:w w:val="110"/>
        </w:rPr>
        <w:t>Application</w:t>
      </w:r>
      <w:bookmarkEnd w:id="104"/>
    </w:p>
    <w:p w14:paraId="3A05E1E0" w14:textId="77777777" w:rsidR="00A720EB" w:rsidRDefault="0030286B">
      <w:pPr>
        <w:pStyle w:val="a3"/>
        <w:spacing w:before="254" w:line="307" w:lineRule="auto"/>
        <w:ind w:left="124" w:right="134"/>
        <w:jc w:val="both"/>
      </w:pPr>
      <w:r>
        <w:rPr>
          <w:color w:val="333333"/>
          <w:w w:val="110"/>
        </w:rPr>
        <w:t xml:space="preserve">One of the biggest advantages of packaging your application as a jar and using an embedded HTTP server is that you can run your application as you would any other. The sample </w:t>
      </w:r>
      <w:proofErr w:type="gramStart"/>
      <w:r>
        <w:rPr>
          <w:color w:val="333333"/>
          <w:w w:val="110"/>
        </w:rPr>
        <w:t>applies  to</w:t>
      </w:r>
      <w:proofErr w:type="gramEnd"/>
      <w:r>
        <w:rPr>
          <w:color w:val="333333"/>
          <w:w w:val="110"/>
        </w:rPr>
        <w:t xml:space="preserve">   debugging Spring Boot applications. </w:t>
      </w:r>
      <w:r>
        <w:rPr>
          <w:color w:val="333333"/>
          <w:spacing w:val="-6"/>
          <w:w w:val="110"/>
        </w:rPr>
        <w:t>You</w:t>
      </w:r>
      <w:r>
        <w:rPr>
          <w:color w:val="333333"/>
          <w:spacing w:val="9"/>
          <w:w w:val="110"/>
        </w:rPr>
        <w:t xml:space="preserve"> </w:t>
      </w:r>
      <w:r>
        <w:rPr>
          <w:color w:val="333333"/>
          <w:w w:val="110"/>
        </w:rPr>
        <w:t>do not need any special IDE plugins or extensions.</w:t>
      </w:r>
    </w:p>
    <w:p w14:paraId="0EB72BAA" w14:textId="77777777" w:rsidR="00A720EB" w:rsidRDefault="00A720EB">
      <w:pPr>
        <w:pStyle w:val="a3"/>
        <w:spacing w:before="4"/>
        <w:rPr>
          <w:sz w:val="27"/>
        </w:rPr>
      </w:pPr>
    </w:p>
    <w:p w14:paraId="2412D1B5" w14:textId="77777777" w:rsidR="00A720EB" w:rsidRDefault="00E10349">
      <w:pPr>
        <w:pStyle w:val="a3"/>
        <w:spacing w:line="307" w:lineRule="auto"/>
        <w:ind w:left="1564" w:right="462"/>
      </w:pPr>
      <w:r>
        <w:pict w14:anchorId="1677AA44">
          <v:line id="_x0000_s4829" style="position:absolute;left:0;text-align:left;z-index:15775232;mso-position-horizontal-relative:page" from="108.25pt,-6pt" to="108.25pt,33.55pt" strokecolor="#ededed" strokeweight=".5pt">
            <w10:wrap anchorx="page"/>
          </v:line>
        </w:pict>
      </w:r>
      <w:r w:rsidR="0030286B">
        <w:rPr>
          <w:noProof/>
        </w:rPr>
        <w:drawing>
          <wp:anchor distT="0" distB="0" distL="0" distR="0" simplePos="0" relativeHeight="15775744" behindDoc="0" locked="0" layoutInCell="1" allowOverlap="1" wp14:anchorId="07CBB3F8" wp14:editId="2CC3EC97">
            <wp:simplePos x="0" y="0"/>
            <wp:positionH relativeFrom="page">
              <wp:posOffset>844422</wp:posOffset>
            </wp:positionH>
            <wp:positionV relativeFrom="paragraph">
              <wp:posOffset>25947</wp:posOffset>
            </wp:positionV>
            <wp:extent cx="298450" cy="298450"/>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This section only covers </w:t>
      </w:r>
      <w:proofErr w:type="gramStart"/>
      <w:r w:rsidR="0030286B">
        <w:rPr>
          <w:color w:val="333333"/>
          <w:w w:val="110"/>
        </w:rPr>
        <w:t>jar based</w:t>
      </w:r>
      <w:proofErr w:type="gramEnd"/>
      <w:r w:rsidR="0030286B">
        <w:rPr>
          <w:color w:val="333333"/>
          <w:w w:val="110"/>
        </w:rPr>
        <w:t xml:space="preserve"> packaging. If you choose to package your application as a war file, you should refer to your server and IDE documentation.</w:t>
      </w:r>
    </w:p>
    <w:p w14:paraId="0103C208" w14:textId="77777777" w:rsidR="00A720EB" w:rsidRDefault="00A720EB">
      <w:pPr>
        <w:pStyle w:val="a3"/>
        <w:spacing w:before="7"/>
        <w:rPr>
          <w:sz w:val="32"/>
        </w:rPr>
      </w:pPr>
    </w:p>
    <w:p w14:paraId="08376601" w14:textId="77777777" w:rsidR="00A720EB" w:rsidRDefault="0030286B">
      <w:pPr>
        <w:pStyle w:val="3"/>
        <w:numPr>
          <w:ilvl w:val="2"/>
          <w:numId w:val="72"/>
        </w:numPr>
        <w:tabs>
          <w:tab w:val="left" w:pos="858"/>
        </w:tabs>
        <w:ind w:hanging="734"/>
      </w:pPr>
      <w:bookmarkStart w:id="105" w:name="3.7.1._Running_from_an_IDE"/>
      <w:bookmarkStart w:id="106" w:name="_Toc54423696"/>
      <w:bookmarkEnd w:id="105"/>
      <w:r>
        <w:rPr>
          <w:color w:val="333333"/>
          <w:w w:val="110"/>
        </w:rPr>
        <w:t>Running from an</w:t>
      </w:r>
      <w:r>
        <w:rPr>
          <w:color w:val="333333"/>
          <w:spacing w:val="-16"/>
          <w:w w:val="110"/>
        </w:rPr>
        <w:t xml:space="preserve"> </w:t>
      </w:r>
      <w:r>
        <w:rPr>
          <w:color w:val="333333"/>
          <w:w w:val="110"/>
        </w:rPr>
        <w:t>IDE</w:t>
      </w:r>
      <w:bookmarkEnd w:id="106"/>
    </w:p>
    <w:p w14:paraId="5050F793" w14:textId="77777777" w:rsidR="00A720EB" w:rsidRDefault="0030286B">
      <w:pPr>
        <w:pStyle w:val="a3"/>
        <w:spacing w:before="254" w:line="295" w:lineRule="auto"/>
        <w:ind w:left="124" w:right="122"/>
        <w:jc w:val="both"/>
      </w:pPr>
      <w:proofErr w:type="gramStart"/>
      <w:r>
        <w:rPr>
          <w:color w:val="333333"/>
          <w:spacing w:val="-6"/>
          <w:w w:val="110"/>
        </w:rPr>
        <w:t xml:space="preserve">You  </w:t>
      </w:r>
      <w:r>
        <w:rPr>
          <w:color w:val="333333"/>
          <w:w w:val="110"/>
        </w:rPr>
        <w:t>can</w:t>
      </w:r>
      <w:proofErr w:type="gramEnd"/>
      <w:r>
        <w:rPr>
          <w:color w:val="333333"/>
          <w:w w:val="110"/>
        </w:rPr>
        <w:t xml:space="preserve"> run a Spring Boot application from your IDE as a Java application. However, you first need   to import your project. Import steps vary depending on your IDE and build system. Most IDEs </w:t>
      </w:r>
      <w:proofErr w:type="gramStart"/>
      <w:r>
        <w:rPr>
          <w:color w:val="333333"/>
          <w:w w:val="110"/>
        </w:rPr>
        <w:t>can  import</w:t>
      </w:r>
      <w:proofErr w:type="gramEnd"/>
      <w:r>
        <w:rPr>
          <w:color w:val="333333"/>
          <w:w w:val="110"/>
        </w:rPr>
        <w:t xml:space="preserve"> Maven projects </w:t>
      </w:r>
      <w:r>
        <w:rPr>
          <w:color w:val="333333"/>
          <w:spacing w:val="-3"/>
          <w:w w:val="110"/>
        </w:rPr>
        <w:t xml:space="preserve">directly. </w:t>
      </w:r>
      <w:r>
        <w:rPr>
          <w:color w:val="333333"/>
          <w:spacing w:val="-4"/>
          <w:w w:val="110"/>
        </w:rPr>
        <w:t xml:space="preserve">For </w:t>
      </w:r>
      <w:r>
        <w:rPr>
          <w:color w:val="333333"/>
          <w:w w:val="110"/>
        </w:rPr>
        <w:t xml:space="preserve">example, Eclipse users can select </w:t>
      </w:r>
      <w:r>
        <w:rPr>
          <w:rFonts w:ascii="MS Gothic" w:hAnsi="MS Gothic"/>
          <w:color w:val="B02045"/>
          <w:w w:val="110"/>
        </w:rPr>
        <w:t xml:space="preserve">Import… </w:t>
      </w:r>
      <w:r>
        <w:rPr>
          <w:color w:val="333333"/>
          <w:w w:val="110"/>
        </w:rPr>
        <w:t xml:space="preserve">→ </w:t>
      </w:r>
      <w:r>
        <w:rPr>
          <w:rFonts w:ascii="MS Gothic" w:hAnsi="MS Gothic"/>
          <w:color w:val="B02045"/>
          <w:w w:val="110"/>
        </w:rPr>
        <w:t>Existing Maven Projects</w:t>
      </w:r>
      <w:r>
        <w:rPr>
          <w:rFonts w:ascii="MS Gothic" w:hAnsi="MS Gothic"/>
          <w:color w:val="B02045"/>
          <w:spacing w:val="-63"/>
          <w:w w:val="110"/>
        </w:rPr>
        <w:t xml:space="preserve"> </w:t>
      </w:r>
      <w:r>
        <w:rPr>
          <w:color w:val="333333"/>
          <w:w w:val="110"/>
        </w:rPr>
        <w:t>from</w:t>
      </w:r>
      <w:r>
        <w:rPr>
          <w:color w:val="333333"/>
          <w:spacing w:val="3"/>
          <w:w w:val="110"/>
        </w:rPr>
        <w:t xml:space="preserve"> </w:t>
      </w:r>
      <w:r>
        <w:rPr>
          <w:color w:val="333333"/>
          <w:w w:val="110"/>
        </w:rPr>
        <w:t>the</w:t>
      </w:r>
      <w:r>
        <w:rPr>
          <w:color w:val="333333"/>
          <w:spacing w:val="2"/>
          <w:w w:val="110"/>
        </w:rPr>
        <w:t xml:space="preserve"> </w:t>
      </w:r>
      <w:r>
        <w:rPr>
          <w:rFonts w:ascii="MS Gothic" w:hAnsi="MS Gothic"/>
          <w:color w:val="B02045"/>
          <w:w w:val="110"/>
        </w:rPr>
        <w:t>File</w:t>
      </w:r>
      <w:r>
        <w:rPr>
          <w:rFonts w:ascii="MS Gothic" w:hAnsi="MS Gothic"/>
          <w:color w:val="B02045"/>
          <w:spacing w:val="-63"/>
          <w:w w:val="110"/>
        </w:rPr>
        <w:t xml:space="preserve"> </w:t>
      </w:r>
      <w:r>
        <w:rPr>
          <w:color w:val="333333"/>
          <w:w w:val="110"/>
        </w:rPr>
        <w:t>menu.</w:t>
      </w:r>
    </w:p>
    <w:p w14:paraId="4D36A51F" w14:textId="77777777" w:rsidR="00A720EB" w:rsidRDefault="0030286B">
      <w:pPr>
        <w:pStyle w:val="a3"/>
        <w:spacing w:before="235" w:line="307" w:lineRule="auto"/>
        <w:ind w:left="124" w:right="126"/>
        <w:jc w:val="both"/>
      </w:pPr>
      <w:r>
        <w:rPr>
          <w:color w:val="333333"/>
          <w:w w:val="110"/>
        </w:rPr>
        <w:t xml:space="preserve">If you cannot directly import your project into your IDE, you may be able to generate IDE metadata </w:t>
      </w:r>
      <w:r>
        <w:rPr>
          <w:color w:val="333333"/>
          <w:spacing w:val="-3"/>
          <w:w w:val="110"/>
        </w:rPr>
        <w:t xml:space="preserve">by </w:t>
      </w:r>
      <w:r>
        <w:rPr>
          <w:color w:val="333333"/>
          <w:w w:val="110"/>
        </w:rPr>
        <w:t xml:space="preserve">using a build plugin. Maven includes plugins for </w:t>
      </w:r>
      <w:hyperlink r:id="rId74">
        <w:r>
          <w:rPr>
            <w:color w:val="418BCA"/>
            <w:w w:val="110"/>
          </w:rPr>
          <w:t>Eclipse</w:t>
        </w:r>
      </w:hyperlink>
      <w:r>
        <w:rPr>
          <w:color w:val="418BCA"/>
          <w:w w:val="110"/>
        </w:rPr>
        <w:t xml:space="preserve"> </w:t>
      </w:r>
      <w:r>
        <w:rPr>
          <w:color w:val="333333"/>
          <w:w w:val="110"/>
        </w:rPr>
        <w:t xml:space="preserve">and </w:t>
      </w:r>
      <w:hyperlink r:id="rId75">
        <w:r>
          <w:rPr>
            <w:color w:val="418BCA"/>
            <w:w w:val="110"/>
          </w:rPr>
          <w:t>IDEA</w:t>
        </w:r>
      </w:hyperlink>
      <w:r>
        <w:rPr>
          <w:color w:val="333333"/>
          <w:w w:val="110"/>
        </w:rPr>
        <w:t xml:space="preserve">. Gradle offers </w:t>
      </w:r>
      <w:proofErr w:type="gramStart"/>
      <w:r>
        <w:rPr>
          <w:color w:val="333333"/>
          <w:w w:val="110"/>
        </w:rPr>
        <w:t>plugins  for</w:t>
      </w:r>
      <w:proofErr w:type="gramEnd"/>
      <w:r>
        <w:rPr>
          <w:color w:val="333333"/>
          <w:w w:val="110"/>
        </w:rPr>
        <w:t xml:space="preserve"> </w:t>
      </w:r>
      <w:hyperlink r:id="rId76">
        <w:r>
          <w:rPr>
            <w:color w:val="418BCA"/>
            <w:w w:val="110"/>
          </w:rPr>
          <w:t>various</w:t>
        </w:r>
        <w:r>
          <w:rPr>
            <w:color w:val="418BCA"/>
            <w:spacing w:val="3"/>
            <w:w w:val="110"/>
          </w:rPr>
          <w:t xml:space="preserve"> </w:t>
        </w:r>
        <w:r>
          <w:rPr>
            <w:color w:val="418BCA"/>
            <w:w w:val="110"/>
          </w:rPr>
          <w:t>IDEs</w:t>
        </w:r>
      </w:hyperlink>
      <w:r>
        <w:rPr>
          <w:color w:val="333333"/>
          <w:w w:val="110"/>
        </w:rPr>
        <w:t>.</w:t>
      </w:r>
    </w:p>
    <w:p w14:paraId="446968D5" w14:textId="77777777" w:rsidR="00A720EB" w:rsidRDefault="00A720EB">
      <w:pPr>
        <w:pStyle w:val="a3"/>
        <w:spacing w:before="9"/>
        <w:rPr>
          <w:sz w:val="16"/>
        </w:rPr>
      </w:pPr>
    </w:p>
    <w:p w14:paraId="1AE793AA" w14:textId="77777777" w:rsidR="00A720EB" w:rsidRDefault="00E10349">
      <w:pPr>
        <w:pStyle w:val="a3"/>
        <w:spacing w:before="125" w:line="295" w:lineRule="auto"/>
        <w:ind w:left="1564" w:right="364"/>
        <w:jc w:val="both"/>
      </w:pPr>
      <w:r>
        <w:pict w14:anchorId="735818DF">
          <v:line id="_x0000_s4828" style="position:absolute;left:0;text-align:left;z-index:15776256;mso-position-horizontal-relative:page" from="108.25pt,.25pt" to="108.25pt,55.6pt" strokecolor="#ededed" strokeweight=".5pt">
            <w10:wrap anchorx="page"/>
          </v:line>
        </w:pict>
      </w:r>
      <w:r w:rsidR="0030286B">
        <w:rPr>
          <w:noProof/>
        </w:rPr>
        <w:drawing>
          <wp:anchor distT="0" distB="0" distL="0" distR="0" simplePos="0" relativeHeight="15776768" behindDoc="0" locked="0" layoutInCell="1" allowOverlap="1" wp14:anchorId="15BF0FCF" wp14:editId="5DCE4825">
            <wp:simplePos x="0" y="0"/>
            <wp:positionH relativeFrom="page">
              <wp:posOffset>888949</wp:posOffset>
            </wp:positionH>
            <wp:positionV relativeFrom="paragraph">
              <wp:posOffset>202349</wp:posOffset>
            </wp:positionV>
            <wp:extent cx="209550" cy="304800"/>
            <wp:effectExtent l="0" t="0" r="0" b="0"/>
            <wp:wrapNone/>
            <wp:docPr id="5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If you accidentally run a web application twice, you see a “Port already in use”</w:t>
      </w:r>
      <w:r w:rsidR="0030286B">
        <w:rPr>
          <w:color w:val="333333"/>
          <w:spacing w:val="50"/>
          <w:w w:val="110"/>
        </w:rPr>
        <w:t xml:space="preserve"> </w:t>
      </w:r>
      <w:r w:rsidR="0030286B">
        <w:rPr>
          <w:color w:val="333333"/>
          <w:w w:val="110"/>
        </w:rPr>
        <w:t xml:space="preserve">error. STS users can use the </w:t>
      </w:r>
      <w:r w:rsidR="0030286B">
        <w:rPr>
          <w:rFonts w:ascii="MS Gothic" w:hAnsi="MS Gothic"/>
          <w:color w:val="B02045"/>
          <w:w w:val="110"/>
        </w:rPr>
        <w:t xml:space="preserve">Relaunch </w:t>
      </w:r>
      <w:r w:rsidR="0030286B">
        <w:rPr>
          <w:color w:val="333333"/>
          <w:w w:val="110"/>
        </w:rPr>
        <w:t xml:space="preserve">button rather than the </w:t>
      </w:r>
      <w:r w:rsidR="0030286B">
        <w:rPr>
          <w:rFonts w:ascii="MS Gothic" w:hAnsi="MS Gothic"/>
          <w:color w:val="B02045"/>
          <w:w w:val="110"/>
        </w:rPr>
        <w:t xml:space="preserve">Run </w:t>
      </w:r>
      <w:r w:rsidR="0030286B">
        <w:rPr>
          <w:color w:val="333333"/>
          <w:w w:val="110"/>
        </w:rPr>
        <w:t>button to ensure that any existing instance is</w:t>
      </w:r>
      <w:r w:rsidR="0030286B">
        <w:rPr>
          <w:color w:val="333333"/>
          <w:spacing w:val="14"/>
          <w:w w:val="110"/>
        </w:rPr>
        <w:t xml:space="preserve"> </w:t>
      </w:r>
      <w:r w:rsidR="0030286B">
        <w:rPr>
          <w:color w:val="333333"/>
          <w:w w:val="110"/>
        </w:rPr>
        <w:t>closed.</w:t>
      </w:r>
    </w:p>
    <w:p w14:paraId="4118A3E5" w14:textId="77777777" w:rsidR="00A720EB" w:rsidRDefault="00A720EB">
      <w:pPr>
        <w:pStyle w:val="a3"/>
        <w:spacing w:before="4"/>
        <w:rPr>
          <w:sz w:val="24"/>
        </w:rPr>
      </w:pPr>
    </w:p>
    <w:p w14:paraId="69545870" w14:textId="77777777" w:rsidR="00A720EB" w:rsidRDefault="0030286B">
      <w:pPr>
        <w:pStyle w:val="3"/>
        <w:numPr>
          <w:ilvl w:val="2"/>
          <w:numId w:val="72"/>
        </w:numPr>
        <w:tabs>
          <w:tab w:val="left" w:pos="858"/>
        </w:tabs>
        <w:spacing w:before="106"/>
        <w:ind w:hanging="734"/>
      </w:pPr>
      <w:bookmarkStart w:id="107" w:name="3.7.2._Running_as_a_Packaged_Application"/>
      <w:bookmarkStart w:id="108" w:name="_Toc54423697"/>
      <w:bookmarkEnd w:id="107"/>
      <w:r>
        <w:rPr>
          <w:color w:val="333333"/>
          <w:w w:val="110"/>
        </w:rPr>
        <w:t>Running as a Packaged</w:t>
      </w:r>
      <w:r>
        <w:rPr>
          <w:color w:val="333333"/>
          <w:spacing w:val="-22"/>
          <w:w w:val="110"/>
        </w:rPr>
        <w:t xml:space="preserve"> </w:t>
      </w:r>
      <w:r>
        <w:rPr>
          <w:color w:val="333333"/>
          <w:w w:val="110"/>
        </w:rPr>
        <w:t>Application</w:t>
      </w:r>
      <w:bookmarkEnd w:id="108"/>
    </w:p>
    <w:p w14:paraId="63D1AF21" w14:textId="77777777" w:rsidR="00A720EB" w:rsidRDefault="0030286B">
      <w:pPr>
        <w:pStyle w:val="a3"/>
        <w:spacing w:before="253" w:line="297" w:lineRule="auto"/>
        <w:ind w:left="124" w:right="359"/>
      </w:pPr>
      <w:r>
        <w:rPr>
          <w:color w:val="333333"/>
          <w:w w:val="110"/>
        </w:rPr>
        <w:t xml:space="preserve">If you use the Spring Boot Maven or Gradle plugins to create an executable jar, you can run your application using </w:t>
      </w:r>
      <w:r>
        <w:rPr>
          <w:rFonts w:ascii="MS Gothic"/>
          <w:color w:val="B02045"/>
          <w:w w:val="110"/>
        </w:rPr>
        <w:t>java -jar</w:t>
      </w:r>
      <w:r>
        <w:rPr>
          <w:color w:val="333333"/>
          <w:w w:val="110"/>
        </w:rPr>
        <w:t>, as shown in the following example:</w:t>
      </w:r>
    </w:p>
    <w:p w14:paraId="7E387B26" w14:textId="77777777" w:rsidR="00A720EB" w:rsidRDefault="00E10349">
      <w:pPr>
        <w:pStyle w:val="a3"/>
        <w:spacing w:before="5"/>
        <w:rPr>
          <w:sz w:val="12"/>
        </w:rPr>
      </w:pPr>
      <w:r>
        <w:pict w14:anchorId="4DB2AC60">
          <v:group id="_x0000_s4824" style="position:absolute;margin-left:47.85pt;margin-top:9.3pt;width:499.55pt;height:37.5pt;z-index:-15683584;mso-wrap-distance-left:0;mso-wrap-distance-right:0;mso-position-horizontal-relative:page" coordorigin="957,186" coordsize="9991,750">
            <v:shape id="_x0000_s4827" style="position:absolute;left:964;top:193;width:9976;height:735" coordorigin="965,193" coordsize="9976,735" path="m10861,193r-9816,l1014,200r-26,17l971,242r-6,31l965,848r6,31l988,905r26,17l1045,928r9816,l10892,922r25,-17l10935,879r6,-31l10941,273r-6,-31l10917,217r-25,-17l10861,193xe" fillcolor="#f5f5f5" stroked="f">
              <v:path arrowok="t"/>
            </v:shape>
            <v:shape id="_x0000_s4826" style="position:absolute;left:964;top:193;width:9976;height:735" coordorigin="965,193" coordsize="9976,735" path="m1045,193r9816,l10892,200r25,17l10935,242r6,31l10941,848r-6,31l10917,905r-25,17l10861,928r-9816,l1014,922,988,905,971,879r-6,-31l965,273r6,-31l988,217r26,-17l1045,193xe" filled="f" strokecolor="#ccc">
              <v:path arrowok="t"/>
            </v:shape>
            <v:shape id="_x0000_s4825" type="#_x0000_t202" style="position:absolute;left:984;top:208;width:9938;height:704" filled="f" stroked="f">
              <v:textbox inset="0,0,0,0">
                <w:txbxContent>
                  <w:p w14:paraId="0865EDCE" w14:textId="77777777" w:rsidR="00711A16" w:rsidRDefault="00711A16">
                    <w:pPr>
                      <w:spacing w:before="221"/>
                      <w:ind w:left="200"/>
                      <w:rPr>
                        <w:rFonts w:ascii="MS Gothic"/>
                      </w:rPr>
                    </w:pPr>
                    <w:r>
                      <w:rPr>
                        <w:rFonts w:ascii="MS Gothic"/>
                        <w:color w:val="333333"/>
                      </w:rPr>
                      <w:t>$ java -jar target/myapplication-0.0.1-SNAPSHOT.jar</w:t>
                    </w:r>
                  </w:p>
                </w:txbxContent>
              </v:textbox>
            </v:shape>
            <w10:wrap type="topAndBottom" anchorx="page"/>
          </v:group>
        </w:pict>
      </w:r>
    </w:p>
    <w:p w14:paraId="57D94BCD" w14:textId="77777777" w:rsidR="00A720EB" w:rsidRDefault="00A720EB">
      <w:pPr>
        <w:pStyle w:val="a3"/>
        <w:rPr>
          <w:sz w:val="10"/>
        </w:rPr>
      </w:pPr>
    </w:p>
    <w:p w14:paraId="463DDFFF" w14:textId="77777777" w:rsidR="00A720EB" w:rsidRDefault="0030286B">
      <w:pPr>
        <w:pStyle w:val="a3"/>
        <w:spacing w:before="125" w:line="307" w:lineRule="auto"/>
        <w:ind w:left="124" w:right="359"/>
      </w:pPr>
      <w:r>
        <w:rPr>
          <w:color w:val="333333"/>
          <w:w w:val="110"/>
        </w:rPr>
        <w:t>It is also possible to run a packaged application with remote debugging support enabled. Doing so lets</w:t>
      </w:r>
      <w:r>
        <w:rPr>
          <w:color w:val="333333"/>
          <w:spacing w:val="5"/>
          <w:w w:val="110"/>
        </w:rPr>
        <w:t xml:space="preserve"> </w:t>
      </w:r>
      <w:r>
        <w:rPr>
          <w:color w:val="333333"/>
          <w:w w:val="110"/>
        </w:rPr>
        <w:t>you</w:t>
      </w:r>
      <w:r>
        <w:rPr>
          <w:color w:val="333333"/>
          <w:spacing w:val="5"/>
          <w:w w:val="110"/>
        </w:rPr>
        <w:t xml:space="preserve"> </w:t>
      </w:r>
      <w:r>
        <w:rPr>
          <w:color w:val="333333"/>
          <w:w w:val="110"/>
        </w:rPr>
        <w:t>attach</w:t>
      </w:r>
      <w:r>
        <w:rPr>
          <w:color w:val="333333"/>
          <w:spacing w:val="5"/>
          <w:w w:val="110"/>
        </w:rPr>
        <w:t xml:space="preserve"> </w:t>
      </w:r>
      <w:r>
        <w:rPr>
          <w:color w:val="333333"/>
          <w:w w:val="110"/>
        </w:rPr>
        <w:t>a</w:t>
      </w:r>
      <w:r>
        <w:rPr>
          <w:color w:val="333333"/>
          <w:spacing w:val="5"/>
          <w:w w:val="110"/>
        </w:rPr>
        <w:t xml:space="preserve"> </w:t>
      </w:r>
      <w:r>
        <w:rPr>
          <w:color w:val="333333"/>
          <w:w w:val="110"/>
        </w:rPr>
        <w:t>debugger</w:t>
      </w:r>
      <w:r>
        <w:rPr>
          <w:color w:val="333333"/>
          <w:spacing w:val="4"/>
          <w:w w:val="110"/>
        </w:rPr>
        <w:t xml:space="preserve"> </w:t>
      </w:r>
      <w:r>
        <w:rPr>
          <w:color w:val="333333"/>
          <w:w w:val="110"/>
        </w:rPr>
        <w:t>to</w:t>
      </w:r>
      <w:r>
        <w:rPr>
          <w:color w:val="333333"/>
          <w:spacing w:val="6"/>
          <w:w w:val="110"/>
        </w:rPr>
        <w:t xml:space="preserve"> </w:t>
      </w:r>
      <w:r>
        <w:rPr>
          <w:color w:val="333333"/>
          <w:w w:val="110"/>
        </w:rPr>
        <w:t>your</w:t>
      </w:r>
      <w:r>
        <w:rPr>
          <w:color w:val="333333"/>
          <w:spacing w:val="5"/>
          <w:w w:val="110"/>
        </w:rPr>
        <w:t xml:space="preserve"> </w:t>
      </w:r>
      <w:r>
        <w:rPr>
          <w:color w:val="333333"/>
          <w:w w:val="110"/>
        </w:rPr>
        <w:t>packaged</w:t>
      </w:r>
      <w:r>
        <w:rPr>
          <w:color w:val="333333"/>
          <w:spacing w:val="5"/>
          <w:w w:val="110"/>
        </w:rPr>
        <w:t xml:space="preserve"> </w:t>
      </w:r>
      <w:r>
        <w:rPr>
          <w:color w:val="333333"/>
          <w:w w:val="110"/>
        </w:rPr>
        <w:t>application,</w:t>
      </w:r>
      <w:r>
        <w:rPr>
          <w:color w:val="333333"/>
          <w:spacing w:val="4"/>
          <w:w w:val="110"/>
        </w:rPr>
        <w:t xml:space="preserve"> </w:t>
      </w:r>
      <w:r>
        <w:rPr>
          <w:color w:val="333333"/>
          <w:w w:val="110"/>
        </w:rPr>
        <w:t>as</w:t>
      </w:r>
      <w:r>
        <w:rPr>
          <w:color w:val="333333"/>
          <w:spacing w:val="5"/>
          <w:w w:val="110"/>
        </w:rPr>
        <w:t xml:space="preserve"> </w:t>
      </w:r>
      <w:r>
        <w:rPr>
          <w:color w:val="333333"/>
          <w:w w:val="110"/>
        </w:rPr>
        <w:t>shown</w:t>
      </w:r>
      <w:r>
        <w:rPr>
          <w:color w:val="333333"/>
          <w:spacing w:val="6"/>
          <w:w w:val="110"/>
        </w:rPr>
        <w:t xml:space="preserve"> </w:t>
      </w:r>
      <w:r>
        <w:rPr>
          <w:color w:val="333333"/>
          <w:w w:val="110"/>
        </w:rPr>
        <w:t>in</w:t>
      </w:r>
      <w:r>
        <w:rPr>
          <w:color w:val="333333"/>
          <w:spacing w:val="5"/>
          <w:w w:val="110"/>
        </w:rPr>
        <w:t xml:space="preserve"> </w:t>
      </w:r>
      <w:r>
        <w:rPr>
          <w:color w:val="333333"/>
          <w:w w:val="110"/>
        </w:rPr>
        <w:t>the</w:t>
      </w:r>
      <w:r>
        <w:rPr>
          <w:color w:val="333333"/>
          <w:spacing w:val="5"/>
          <w:w w:val="110"/>
        </w:rPr>
        <w:t xml:space="preserve"> </w:t>
      </w:r>
      <w:r>
        <w:rPr>
          <w:color w:val="333333"/>
          <w:w w:val="110"/>
        </w:rPr>
        <w:t>following</w:t>
      </w:r>
      <w:r>
        <w:rPr>
          <w:color w:val="333333"/>
          <w:spacing w:val="6"/>
          <w:w w:val="110"/>
        </w:rPr>
        <w:t xml:space="preserve"> </w:t>
      </w:r>
      <w:r>
        <w:rPr>
          <w:color w:val="333333"/>
          <w:w w:val="110"/>
        </w:rPr>
        <w:t>example:</w:t>
      </w:r>
    </w:p>
    <w:p w14:paraId="4EC72263" w14:textId="77777777" w:rsidR="00A720EB" w:rsidRDefault="00E10349">
      <w:pPr>
        <w:pStyle w:val="a3"/>
        <w:spacing w:before="2"/>
        <w:rPr>
          <w:sz w:val="13"/>
        </w:rPr>
      </w:pPr>
      <w:r>
        <w:pict w14:anchorId="5A8BBF28">
          <v:group id="_x0000_s4820" style="position:absolute;margin-left:47.85pt;margin-top:9.7pt;width:499.55pt;height:52.25pt;z-index:-15683072;mso-wrap-distance-left:0;mso-wrap-distance-right:0;mso-position-horizontal-relative:page" coordorigin="957,194" coordsize="9991,1045">
            <v:shape id="_x0000_s4823" style="position:absolute;left:964;top:201;width:9976;height:1030" coordorigin="965,202" coordsize="9976,1030" path="m10861,202r-9816,l1014,208r-26,17l971,251r-6,31l965,1151r6,31l988,1208r26,17l1045,1231r9816,l10892,1225r25,-17l10935,1182r6,-31l10941,282r-6,-31l10917,225r-25,-17l10861,202xe" fillcolor="#f5f5f5" stroked="f">
              <v:path arrowok="t"/>
            </v:shape>
            <v:shape id="_x0000_s4822" style="position:absolute;left:964;top:201;width:9976;height:1030" coordorigin="965,202" coordsize="9976,1030" path="m1045,202r9816,l10892,208r25,17l10935,251r6,31l10941,1151r-6,31l10917,1208r-25,17l10861,1231r-9816,l1014,1225r-26,-17l971,1182r-6,-31l965,282r6,-31l988,225r26,-17l1045,202xe" filled="f" strokecolor="#ccc">
              <v:path arrowok="t"/>
            </v:shape>
            <v:shape id="_x0000_s4821" type="#_x0000_t202" style="position:absolute;left:984;top:217;width:9938;height:999" filled="f" stroked="f">
              <v:textbox inset="0,0,0,0">
                <w:txbxContent>
                  <w:p w14:paraId="1B28FE4A" w14:textId="77777777" w:rsidR="00711A16" w:rsidRDefault="00711A16">
                    <w:pPr>
                      <w:spacing w:before="221"/>
                      <w:ind w:left="200"/>
                      <w:rPr>
                        <w:rFonts w:ascii="MS Gothic"/>
                      </w:rPr>
                    </w:pPr>
                    <w:r>
                      <w:rPr>
                        <w:rFonts w:ascii="MS Gothic"/>
                        <w:color w:val="333333"/>
                      </w:rPr>
                      <w:t>$ java -Xdebug -</w:t>
                    </w:r>
                    <w:proofErr w:type="gramStart"/>
                    <w:r>
                      <w:rPr>
                        <w:rFonts w:ascii="MS Gothic"/>
                        <w:color w:val="333333"/>
                      </w:rPr>
                      <w:t>Xrunjdwp:server</w:t>
                    </w:r>
                    <w:proofErr w:type="gramEnd"/>
                    <w:r>
                      <w:rPr>
                        <w:rFonts w:ascii="MS Gothic"/>
                        <w:color w:val="333333"/>
                      </w:rPr>
                      <w:t>=y,transport=dt_socket,address=8000,suspend=n \</w:t>
                    </w:r>
                  </w:p>
                  <w:p w14:paraId="0EB02CAF" w14:textId="77777777" w:rsidR="00711A16" w:rsidRDefault="00711A16">
                    <w:pPr>
                      <w:spacing w:before="13"/>
                      <w:ind w:left="970"/>
                      <w:rPr>
                        <w:rFonts w:ascii="MS Gothic"/>
                      </w:rPr>
                    </w:pPr>
                    <w:r>
                      <w:rPr>
                        <w:rFonts w:ascii="MS Gothic"/>
                        <w:color w:val="333333"/>
                      </w:rPr>
                      <w:t>-jar target/myapplication-0.0.1-SNAPSHOT.jar</w:t>
                    </w:r>
                  </w:p>
                </w:txbxContent>
              </v:textbox>
            </v:shape>
            <w10:wrap type="topAndBottom" anchorx="page"/>
          </v:group>
        </w:pict>
      </w:r>
    </w:p>
    <w:p w14:paraId="487F0742" w14:textId="77777777" w:rsidR="00A720EB" w:rsidRDefault="00A720EB">
      <w:pPr>
        <w:pStyle w:val="a3"/>
        <w:spacing w:before="11"/>
        <w:rPr>
          <w:sz w:val="16"/>
        </w:rPr>
      </w:pPr>
    </w:p>
    <w:p w14:paraId="4C4639E8" w14:textId="77777777" w:rsidR="00A720EB" w:rsidRDefault="0030286B">
      <w:pPr>
        <w:pStyle w:val="3"/>
        <w:numPr>
          <w:ilvl w:val="2"/>
          <w:numId w:val="72"/>
        </w:numPr>
        <w:tabs>
          <w:tab w:val="left" w:pos="858"/>
        </w:tabs>
        <w:spacing w:before="105"/>
        <w:ind w:hanging="734"/>
      </w:pPr>
      <w:bookmarkStart w:id="109" w:name="3.7.3._Using_the_Maven_Plugin"/>
      <w:bookmarkStart w:id="110" w:name="_Toc54423698"/>
      <w:bookmarkEnd w:id="109"/>
      <w:r>
        <w:rPr>
          <w:color w:val="333333"/>
          <w:w w:val="105"/>
        </w:rPr>
        <w:t>Using the Maven</w:t>
      </w:r>
      <w:r>
        <w:rPr>
          <w:color w:val="333333"/>
          <w:spacing w:val="-4"/>
          <w:w w:val="105"/>
        </w:rPr>
        <w:t xml:space="preserve"> </w:t>
      </w:r>
      <w:r>
        <w:rPr>
          <w:color w:val="333333"/>
          <w:w w:val="105"/>
        </w:rPr>
        <w:t>Plugin</w:t>
      </w:r>
      <w:bookmarkEnd w:id="110"/>
    </w:p>
    <w:p w14:paraId="3D284555" w14:textId="77777777" w:rsidR="00A720EB" w:rsidRDefault="0030286B">
      <w:pPr>
        <w:pStyle w:val="a3"/>
        <w:spacing w:before="243" w:line="300" w:lineRule="auto"/>
        <w:ind w:left="124" w:right="126"/>
        <w:jc w:val="both"/>
      </w:pPr>
      <w:r>
        <w:rPr>
          <w:color w:val="333333"/>
          <w:w w:val="110"/>
        </w:rPr>
        <w:t xml:space="preserve">The Spring Boot Maven plugin includes a </w:t>
      </w:r>
      <w:r>
        <w:rPr>
          <w:rFonts w:ascii="MS Gothic"/>
          <w:color w:val="B02045"/>
          <w:w w:val="110"/>
        </w:rPr>
        <w:t xml:space="preserve">run </w:t>
      </w:r>
      <w:r>
        <w:rPr>
          <w:color w:val="333333"/>
          <w:w w:val="110"/>
        </w:rPr>
        <w:t>goal that can be used to quickly compile and run your application. Applications run in an exploded form, as they do in your IDE. The following example shows a typical Maven command to run a Spring Boot application:</w:t>
      </w:r>
    </w:p>
    <w:p w14:paraId="4CF8B5BB" w14:textId="77777777" w:rsidR="00A720EB" w:rsidRDefault="00E10349">
      <w:pPr>
        <w:pStyle w:val="a3"/>
        <w:spacing w:before="6"/>
        <w:rPr>
          <w:sz w:val="13"/>
        </w:rPr>
      </w:pPr>
      <w:r>
        <w:pict w14:anchorId="3E314B08">
          <v:group id="_x0000_s4816" style="position:absolute;margin-left:47.85pt;margin-top:9.9pt;width:499.55pt;height:37.5pt;z-index:-15682560;mso-wrap-distance-left:0;mso-wrap-distance-right:0;mso-position-horizontal-relative:page" coordorigin="957,198" coordsize="9991,750">
            <v:shape id="_x0000_s4819" style="position:absolute;left:964;top:205;width:9976;height:735" coordorigin="965,205" coordsize="9976,735" path="m10861,205r-9816,l1014,212r-26,17l971,254r-6,31l965,860r6,31l988,917r26,17l1045,940r9816,l10892,934r25,-17l10935,891r6,-31l10941,285r-6,-31l10917,229r-25,-17l10861,205xe" fillcolor="#f5f5f5" stroked="f">
              <v:path arrowok="t"/>
            </v:shape>
            <v:shape id="_x0000_s4818" style="position:absolute;left:964;top:205;width:9976;height:735" coordorigin="965,205" coordsize="9976,735" path="m1045,205r9816,l10892,212r25,17l10935,254r6,31l10941,860r-6,31l10917,917r-25,17l10861,940r-9816,l1014,934,988,917,971,891r-6,-31l965,285r6,-31l988,229r26,-17l1045,205xe" filled="f" strokecolor="#ccc">
              <v:path arrowok="t"/>
            </v:shape>
            <v:shape id="_x0000_s4817" type="#_x0000_t202" style="position:absolute;left:984;top:220;width:9938;height:704" filled="f" stroked="f">
              <v:textbox inset="0,0,0,0">
                <w:txbxContent>
                  <w:p w14:paraId="2EC1ABC8" w14:textId="77777777" w:rsidR="00711A16" w:rsidRDefault="00711A16">
                    <w:pPr>
                      <w:spacing w:before="221"/>
                      <w:ind w:left="200"/>
                      <w:rPr>
                        <w:rFonts w:ascii="MS Gothic"/>
                      </w:rPr>
                    </w:pPr>
                    <w:r>
                      <w:rPr>
                        <w:rFonts w:ascii="MS Gothic"/>
                        <w:color w:val="333333"/>
                      </w:rPr>
                      <w:t>$ mvn spring-</w:t>
                    </w:r>
                    <w:proofErr w:type="gramStart"/>
                    <w:r>
                      <w:rPr>
                        <w:rFonts w:ascii="MS Gothic"/>
                        <w:color w:val="333333"/>
                      </w:rPr>
                      <w:t>boot:run</w:t>
                    </w:r>
                    <w:proofErr w:type="gramEnd"/>
                  </w:p>
                </w:txbxContent>
              </v:textbox>
            </v:shape>
            <w10:wrap type="topAndBottom" anchorx="page"/>
          </v:group>
        </w:pict>
      </w:r>
    </w:p>
    <w:p w14:paraId="7C609754" w14:textId="77777777" w:rsidR="00A720EB" w:rsidRDefault="00A720EB">
      <w:pPr>
        <w:rPr>
          <w:sz w:val="13"/>
        </w:rPr>
        <w:sectPr w:rsidR="00A720EB">
          <w:pgSz w:w="11910" w:h="16840"/>
          <w:pgMar w:top="620" w:right="840" w:bottom="520" w:left="840" w:header="0" w:footer="323" w:gutter="0"/>
          <w:cols w:space="720"/>
        </w:sectPr>
      </w:pPr>
    </w:p>
    <w:p w14:paraId="209A6DE6" w14:textId="77777777" w:rsidR="00A720EB" w:rsidRDefault="0030286B">
      <w:pPr>
        <w:pStyle w:val="a3"/>
        <w:spacing w:before="96" w:line="290" w:lineRule="auto"/>
        <w:ind w:left="124"/>
      </w:pPr>
      <w:r>
        <w:rPr>
          <w:color w:val="333333"/>
          <w:w w:val="110"/>
        </w:rPr>
        <w:lastRenderedPageBreak/>
        <w:t xml:space="preserve">You might also want to use the </w:t>
      </w:r>
      <w:r>
        <w:rPr>
          <w:rFonts w:ascii="MS Gothic"/>
          <w:color w:val="B02045"/>
          <w:w w:val="110"/>
        </w:rPr>
        <w:t xml:space="preserve">MAVEN_OPTS </w:t>
      </w:r>
      <w:r>
        <w:rPr>
          <w:color w:val="333333"/>
          <w:w w:val="110"/>
        </w:rPr>
        <w:t>operating system environment variable, as shown in the following example:</w:t>
      </w:r>
    </w:p>
    <w:p w14:paraId="5F76D81C" w14:textId="77777777" w:rsidR="00A720EB" w:rsidRDefault="00E10349">
      <w:pPr>
        <w:pStyle w:val="a3"/>
        <w:spacing w:before="7"/>
        <w:rPr>
          <w:sz w:val="14"/>
        </w:rPr>
      </w:pPr>
      <w:r>
        <w:pict w14:anchorId="04184229">
          <v:group id="_x0000_s4812" style="position:absolute;margin-left:47.85pt;margin-top:10.55pt;width:499.55pt;height:37.5pt;z-index:-15680000;mso-wrap-distance-left:0;mso-wrap-distance-right:0;mso-position-horizontal-relative:page" coordorigin="957,211" coordsize="9991,750">
            <v:shape id="_x0000_s4815" style="position:absolute;left:964;top:218;width:9976;height:735" coordorigin="965,219" coordsize="9976,735" path="m10861,219r-9816,l1014,225r-26,17l971,268r-6,31l965,874r6,31l988,930r26,17l1045,954r9816,l10892,947r25,-17l10935,905r6,-31l10941,299r-6,-31l10917,242r-25,-17l10861,219xe" fillcolor="#f5f5f5" stroked="f">
              <v:path arrowok="t"/>
            </v:shape>
            <v:shape id="_x0000_s4814" style="position:absolute;left:964;top:218;width:9976;height:735" coordorigin="965,219" coordsize="9976,735" path="m1045,219r9816,l10892,225r25,17l10935,268r6,31l10941,874r-6,31l10917,930r-25,17l10861,954r-9816,l1014,947,988,930,971,905r-6,-31l965,299r6,-31l988,242r26,-17l1045,219xe" filled="f" strokecolor="#ccc">
              <v:path arrowok="t"/>
            </v:shape>
            <v:shape id="_x0000_s4813" type="#_x0000_t202" style="position:absolute;left:984;top:234;width:9938;height:704" filled="f" stroked="f">
              <v:textbox inset="0,0,0,0">
                <w:txbxContent>
                  <w:p w14:paraId="17A4AF4A" w14:textId="77777777" w:rsidR="00711A16" w:rsidRDefault="00711A16">
                    <w:pPr>
                      <w:spacing w:before="221"/>
                      <w:ind w:left="200"/>
                      <w:rPr>
                        <w:rFonts w:ascii="MS Gothic"/>
                      </w:rPr>
                    </w:pPr>
                    <w:r>
                      <w:rPr>
                        <w:rFonts w:ascii="MS Gothic"/>
                        <w:color w:val="333333"/>
                      </w:rPr>
                      <w:t>$ export MAVEN_OPTS=-Xmx1024m</w:t>
                    </w:r>
                  </w:p>
                </w:txbxContent>
              </v:textbox>
            </v:shape>
            <w10:wrap type="topAndBottom" anchorx="page"/>
          </v:group>
        </w:pict>
      </w:r>
    </w:p>
    <w:p w14:paraId="6D4D95EB" w14:textId="77777777" w:rsidR="00A720EB" w:rsidRDefault="00A720EB">
      <w:pPr>
        <w:pStyle w:val="a3"/>
        <w:spacing w:before="11"/>
        <w:rPr>
          <w:sz w:val="16"/>
        </w:rPr>
      </w:pPr>
    </w:p>
    <w:p w14:paraId="547D39DA" w14:textId="77777777" w:rsidR="00A720EB" w:rsidRDefault="0030286B">
      <w:pPr>
        <w:pStyle w:val="3"/>
        <w:numPr>
          <w:ilvl w:val="2"/>
          <w:numId w:val="72"/>
        </w:numPr>
        <w:tabs>
          <w:tab w:val="left" w:pos="858"/>
        </w:tabs>
        <w:spacing w:before="105"/>
        <w:ind w:hanging="734"/>
      </w:pPr>
      <w:bookmarkStart w:id="111" w:name="3.7.4._Using_the_Gradle_Plugin"/>
      <w:bookmarkStart w:id="112" w:name="_Toc54423699"/>
      <w:bookmarkEnd w:id="111"/>
      <w:r>
        <w:rPr>
          <w:color w:val="333333"/>
          <w:w w:val="110"/>
        </w:rPr>
        <w:t>Using the Gradle</w:t>
      </w:r>
      <w:r>
        <w:rPr>
          <w:color w:val="333333"/>
          <w:spacing w:val="-18"/>
          <w:w w:val="110"/>
        </w:rPr>
        <w:t xml:space="preserve"> </w:t>
      </w:r>
      <w:r>
        <w:rPr>
          <w:color w:val="333333"/>
          <w:w w:val="110"/>
        </w:rPr>
        <w:t>Plugin</w:t>
      </w:r>
      <w:bookmarkEnd w:id="112"/>
    </w:p>
    <w:p w14:paraId="6321462C" w14:textId="77777777" w:rsidR="00A720EB" w:rsidRDefault="0030286B">
      <w:pPr>
        <w:pStyle w:val="a3"/>
        <w:spacing w:before="243" w:line="280" w:lineRule="auto"/>
        <w:ind w:left="124" w:right="122"/>
        <w:jc w:val="both"/>
      </w:pPr>
      <w:r>
        <w:rPr>
          <w:color w:val="333333"/>
          <w:w w:val="110"/>
        </w:rPr>
        <w:t xml:space="preserve">The Spring Boot Gradle plugin also includes a </w:t>
      </w:r>
      <w:r>
        <w:rPr>
          <w:rFonts w:ascii="MS Gothic"/>
          <w:color w:val="B02045"/>
          <w:w w:val="110"/>
        </w:rPr>
        <w:t xml:space="preserve">bootRun </w:t>
      </w:r>
      <w:r>
        <w:rPr>
          <w:color w:val="333333"/>
          <w:w w:val="110"/>
        </w:rPr>
        <w:t xml:space="preserve">task that can be used to run your application in an exploded form. The </w:t>
      </w:r>
      <w:r>
        <w:rPr>
          <w:rFonts w:ascii="MS Gothic"/>
          <w:color w:val="B02045"/>
          <w:w w:val="110"/>
        </w:rPr>
        <w:t xml:space="preserve">bootRun </w:t>
      </w:r>
      <w:r>
        <w:rPr>
          <w:color w:val="333333"/>
          <w:w w:val="110"/>
        </w:rPr>
        <w:t xml:space="preserve">task is added whenever you apply the </w:t>
      </w:r>
      <w:proofErr w:type="gramStart"/>
      <w:r>
        <w:rPr>
          <w:rFonts w:ascii="MS Gothic"/>
          <w:color w:val="B02045"/>
          <w:w w:val="110"/>
        </w:rPr>
        <w:t>org.springframework</w:t>
      </w:r>
      <w:proofErr w:type="gramEnd"/>
      <w:r>
        <w:rPr>
          <w:rFonts w:ascii="MS Gothic"/>
          <w:color w:val="B02045"/>
          <w:w w:val="110"/>
        </w:rPr>
        <w:t xml:space="preserve">.boot </w:t>
      </w:r>
      <w:r>
        <w:rPr>
          <w:color w:val="333333"/>
          <w:w w:val="110"/>
        </w:rPr>
        <w:t xml:space="preserve">and </w:t>
      </w:r>
      <w:r>
        <w:rPr>
          <w:rFonts w:ascii="MS Gothic"/>
          <w:color w:val="B02045"/>
          <w:w w:val="110"/>
        </w:rPr>
        <w:t xml:space="preserve">java </w:t>
      </w:r>
      <w:r>
        <w:rPr>
          <w:color w:val="333333"/>
          <w:w w:val="110"/>
        </w:rPr>
        <w:t>plugins and is shown in the following example:</w:t>
      </w:r>
    </w:p>
    <w:p w14:paraId="0E8DE7FE" w14:textId="77777777" w:rsidR="00A720EB" w:rsidRDefault="00E10349">
      <w:pPr>
        <w:pStyle w:val="a3"/>
        <w:spacing w:before="2"/>
        <w:rPr>
          <w:sz w:val="14"/>
        </w:rPr>
      </w:pPr>
      <w:r>
        <w:pict w14:anchorId="31AEC09D">
          <v:group id="_x0000_s4808" style="position:absolute;margin-left:47.85pt;margin-top:10.3pt;width:499.55pt;height:37.5pt;z-index:-15679488;mso-wrap-distance-left:0;mso-wrap-distance-right:0;mso-position-horizontal-relative:page" coordorigin="957,206" coordsize="9991,750">
            <v:shape id="_x0000_s4811" style="position:absolute;left:964;top:213;width:9976;height:735" coordorigin="965,214" coordsize="9976,735" path="m10861,214r-9816,l1014,220r-26,17l971,263r-6,31l965,868r6,32l988,925r26,17l1045,948r9816,l10892,942r25,-17l10935,900r6,-32l10941,294r-6,-31l10917,237r-25,-17l10861,214xe" fillcolor="#f5f5f5" stroked="f">
              <v:path arrowok="t"/>
            </v:shape>
            <v:shape id="_x0000_s4810" style="position:absolute;left:964;top:213;width:9976;height:735" coordorigin="965,214" coordsize="9976,735" path="m1045,214r9816,l10892,220r25,17l10935,263r6,31l10941,868r-6,32l10917,925r-25,17l10861,948r-9816,l1014,942,988,925,971,900r-6,-32l965,294r6,-31l988,237r26,-17l1045,214xe" filled="f" strokecolor="#ccc">
              <v:path arrowok="t"/>
            </v:shape>
            <v:shape id="_x0000_s4809" type="#_x0000_t202" style="position:absolute;left:984;top:229;width:9938;height:704" filled="f" stroked="f">
              <v:textbox inset="0,0,0,0">
                <w:txbxContent>
                  <w:p w14:paraId="34BF1B9E" w14:textId="77777777" w:rsidR="00711A16" w:rsidRDefault="00711A16">
                    <w:pPr>
                      <w:spacing w:before="221"/>
                      <w:ind w:left="200"/>
                      <w:rPr>
                        <w:rFonts w:ascii="MS Gothic"/>
                      </w:rPr>
                    </w:pPr>
                    <w:r>
                      <w:rPr>
                        <w:rFonts w:ascii="MS Gothic"/>
                        <w:color w:val="333333"/>
                      </w:rPr>
                      <w:t>$ gradle bootRun</w:t>
                    </w:r>
                  </w:p>
                </w:txbxContent>
              </v:textbox>
            </v:shape>
            <w10:wrap type="topAndBottom" anchorx="page"/>
          </v:group>
        </w:pict>
      </w:r>
    </w:p>
    <w:p w14:paraId="7509C53A" w14:textId="77777777" w:rsidR="00A720EB" w:rsidRDefault="00A720EB">
      <w:pPr>
        <w:pStyle w:val="a3"/>
        <w:spacing w:before="11"/>
        <w:rPr>
          <w:sz w:val="9"/>
        </w:rPr>
      </w:pPr>
    </w:p>
    <w:p w14:paraId="12E026A1" w14:textId="77777777" w:rsidR="00A720EB" w:rsidRDefault="0030286B">
      <w:pPr>
        <w:pStyle w:val="a3"/>
        <w:spacing w:before="115" w:line="290" w:lineRule="auto"/>
        <w:ind w:left="124"/>
      </w:pPr>
      <w:r>
        <w:rPr>
          <w:color w:val="333333"/>
          <w:w w:val="110"/>
        </w:rPr>
        <w:t xml:space="preserve">You might also want to use the </w:t>
      </w:r>
      <w:r>
        <w:rPr>
          <w:rFonts w:ascii="MS Gothic"/>
          <w:color w:val="B02045"/>
          <w:w w:val="110"/>
        </w:rPr>
        <w:t xml:space="preserve">JAVA_OPTS </w:t>
      </w:r>
      <w:r>
        <w:rPr>
          <w:color w:val="333333"/>
          <w:w w:val="110"/>
        </w:rPr>
        <w:t>operating system environment variable, as shown in the following example:</w:t>
      </w:r>
    </w:p>
    <w:p w14:paraId="3C3698F9" w14:textId="77777777" w:rsidR="00A720EB" w:rsidRDefault="00E10349">
      <w:pPr>
        <w:pStyle w:val="a3"/>
        <w:spacing w:before="8"/>
        <w:rPr>
          <w:sz w:val="14"/>
        </w:rPr>
      </w:pPr>
      <w:r>
        <w:pict w14:anchorId="182016D6">
          <v:group id="_x0000_s4804" style="position:absolute;margin-left:47.85pt;margin-top:10.6pt;width:499.55pt;height:37.5pt;z-index:-15678976;mso-wrap-distance-left:0;mso-wrap-distance-right:0;mso-position-horizontal-relative:page" coordorigin="957,212" coordsize="9991,750">
            <v:shape id="_x0000_s4807" style="position:absolute;left:964;top:219;width:9976;height:735" coordorigin="965,219" coordsize="9976,735" path="m10861,219r-9816,l1014,226r-26,17l971,268r-6,31l965,874r6,31l988,931r26,17l1045,954r9816,l10892,948r25,-17l10935,905r6,-31l10941,299r-6,-31l10917,243r-25,-17l10861,219xe" fillcolor="#f5f5f5" stroked="f">
              <v:path arrowok="t"/>
            </v:shape>
            <v:shape id="_x0000_s4806" style="position:absolute;left:964;top:219;width:9976;height:735" coordorigin="965,219" coordsize="9976,735" path="m1045,219r9816,l10892,226r25,17l10935,268r6,31l10941,874r-6,31l10917,931r-25,17l10861,954r-9816,l1014,948,988,931,971,905r-6,-31l965,299r6,-31l988,243r26,-17l1045,219xe" filled="f" strokecolor="#ccc">
              <v:path arrowok="t"/>
            </v:shape>
            <v:shape id="_x0000_s4805" type="#_x0000_t202" style="position:absolute;left:984;top:234;width:9938;height:704" filled="f" stroked="f">
              <v:textbox inset="0,0,0,0">
                <w:txbxContent>
                  <w:p w14:paraId="05B9FDDE" w14:textId="77777777" w:rsidR="00711A16" w:rsidRDefault="00711A16">
                    <w:pPr>
                      <w:spacing w:before="221"/>
                      <w:ind w:left="200"/>
                      <w:rPr>
                        <w:rFonts w:ascii="MS Gothic"/>
                      </w:rPr>
                    </w:pPr>
                    <w:r>
                      <w:rPr>
                        <w:rFonts w:ascii="MS Gothic"/>
                        <w:color w:val="333333"/>
                      </w:rPr>
                      <w:t>$ export JAVA_OPTS=-Xmx1024m</w:t>
                    </w:r>
                  </w:p>
                </w:txbxContent>
              </v:textbox>
            </v:shape>
            <w10:wrap type="topAndBottom" anchorx="page"/>
          </v:group>
        </w:pict>
      </w:r>
    </w:p>
    <w:p w14:paraId="159761ED" w14:textId="77777777" w:rsidR="00A720EB" w:rsidRDefault="00A720EB">
      <w:pPr>
        <w:pStyle w:val="a3"/>
        <w:spacing w:before="11"/>
        <w:rPr>
          <w:sz w:val="16"/>
        </w:rPr>
      </w:pPr>
    </w:p>
    <w:p w14:paraId="6B946FED" w14:textId="77777777" w:rsidR="00A720EB" w:rsidRDefault="0030286B">
      <w:pPr>
        <w:pStyle w:val="3"/>
        <w:numPr>
          <w:ilvl w:val="2"/>
          <w:numId w:val="72"/>
        </w:numPr>
        <w:tabs>
          <w:tab w:val="left" w:pos="858"/>
        </w:tabs>
        <w:spacing w:before="105"/>
        <w:ind w:hanging="734"/>
      </w:pPr>
      <w:bookmarkStart w:id="113" w:name="3.7.5._Hot_Swapping"/>
      <w:bookmarkStart w:id="114" w:name="_Toc54423700"/>
      <w:bookmarkEnd w:id="113"/>
      <w:r>
        <w:rPr>
          <w:color w:val="333333"/>
          <w:w w:val="105"/>
        </w:rPr>
        <w:t>Hot</w:t>
      </w:r>
      <w:r>
        <w:rPr>
          <w:color w:val="333333"/>
          <w:spacing w:val="-3"/>
          <w:w w:val="105"/>
        </w:rPr>
        <w:t xml:space="preserve"> </w:t>
      </w:r>
      <w:r>
        <w:rPr>
          <w:color w:val="333333"/>
          <w:w w:val="105"/>
        </w:rPr>
        <w:t>Swapping</w:t>
      </w:r>
      <w:bookmarkEnd w:id="114"/>
    </w:p>
    <w:p w14:paraId="3896C518" w14:textId="77777777" w:rsidR="00A720EB" w:rsidRDefault="0030286B">
      <w:pPr>
        <w:pStyle w:val="a3"/>
        <w:spacing w:before="254" w:line="307" w:lineRule="auto"/>
        <w:ind w:left="124" w:right="128"/>
        <w:jc w:val="both"/>
      </w:pPr>
      <w:r>
        <w:rPr>
          <w:color w:val="333333"/>
          <w:w w:val="110"/>
        </w:rPr>
        <w:t xml:space="preserve">Since Spring Boot applications are plain Java applications, JVM hot-swapping </w:t>
      </w:r>
      <w:proofErr w:type="gramStart"/>
      <w:r>
        <w:rPr>
          <w:color w:val="333333"/>
          <w:w w:val="110"/>
        </w:rPr>
        <w:t>should  work</w:t>
      </w:r>
      <w:proofErr w:type="gramEnd"/>
      <w:r>
        <w:rPr>
          <w:color w:val="333333"/>
          <w:w w:val="110"/>
        </w:rPr>
        <w:t xml:space="preserve"> out  of   the box. JVM hot swapping is somewhat limited with the bytecode that it can replace. </w:t>
      </w:r>
      <w:r>
        <w:rPr>
          <w:color w:val="333333"/>
          <w:spacing w:val="-4"/>
          <w:w w:val="110"/>
        </w:rPr>
        <w:t xml:space="preserve">For </w:t>
      </w:r>
      <w:r>
        <w:rPr>
          <w:color w:val="333333"/>
          <w:w w:val="110"/>
        </w:rPr>
        <w:t xml:space="preserve">a more complete solution, </w:t>
      </w:r>
      <w:hyperlink r:id="rId77">
        <w:r>
          <w:rPr>
            <w:color w:val="418BCA"/>
            <w:w w:val="110"/>
          </w:rPr>
          <w:t xml:space="preserve">JRebel </w:t>
        </w:r>
      </w:hyperlink>
      <w:r>
        <w:rPr>
          <w:color w:val="333333"/>
          <w:w w:val="110"/>
        </w:rPr>
        <w:t>can be</w:t>
      </w:r>
      <w:r>
        <w:rPr>
          <w:color w:val="333333"/>
          <w:spacing w:val="16"/>
          <w:w w:val="110"/>
        </w:rPr>
        <w:t xml:space="preserve"> </w:t>
      </w:r>
      <w:r>
        <w:rPr>
          <w:color w:val="333333"/>
          <w:w w:val="110"/>
        </w:rPr>
        <w:t>used.</w:t>
      </w:r>
    </w:p>
    <w:p w14:paraId="0B13F613" w14:textId="77777777" w:rsidR="00A720EB" w:rsidRDefault="0030286B">
      <w:pPr>
        <w:pStyle w:val="a3"/>
        <w:spacing w:before="231" w:line="290" w:lineRule="auto"/>
        <w:ind w:left="124" w:right="133"/>
        <w:jc w:val="both"/>
      </w:pPr>
      <w:r>
        <w:rPr>
          <w:color w:val="333333"/>
          <w:w w:val="110"/>
        </w:rPr>
        <w:t xml:space="preserve">The </w:t>
      </w:r>
      <w:r>
        <w:rPr>
          <w:rFonts w:ascii="MS Gothic" w:hAnsi="MS Gothic"/>
          <w:color w:val="B02045"/>
          <w:w w:val="110"/>
        </w:rPr>
        <w:t xml:space="preserve">spring-boot-devtools </w:t>
      </w:r>
      <w:r>
        <w:rPr>
          <w:color w:val="333333"/>
          <w:w w:val="110"/>
        </w:rPr>
        <w:t xml:space="preserve">module also includes support for quick application restarts. See the </w:t>
      </w:r>
      <w:hyperlink w:anchor="_bookmark65" w:history="1">
        <w:r>
          <w:rPr>
            <w:color w:val="418BCA"/>
            <w:w w:val="110"/>
          </w:rPr>
          <w:t xml:space="preserve">Developer Tools </w:t>
        </w:r>
      </w:hyperlink>
      <w:r>
        <w:rPr>
          <w:color w:val="333333"/>
          <w:w w:val="110"/>
        </w:rPr>
        <w:t xml:space="preserve">section later in this chapter and the </w:t>
      </w:r>
      <w:hyperlink w:anchor="_bookmark631" w:history="1">
        <w:r>
          <w:rPr>
            <w:color w:val="418BCA"/>
            <w:w w:val="110"/>
          </w:rPr>
          <w:t xml:space="preserve">Hot swapping “How-to” </w:t>
        </w:r>
      </w:hyperlink>
      <w:r>
        <w:rPr>
          <w:color w:val="333333"/>
          <w:w w:val="110"/>
        </w:rPr>
        <w:t>for details.</w:t>
      </w:r>
    </w:p>
    <w:p w14:paraId="17D3EDE7" w14:textId="77777777" w:rsidR="00A720EB" w:rsidRDefault="00A720EB">
      <w:pPr>
        <w:pStyle w:val="a3"/>
        <w:spacing w:before="4"/>
        <w:rPr>
          <w:sz w:val="27"/>
        </w:rPr>
      </w:pPr>
    </w:p>
    <w:p w14:paraId="385A76D5" w14:textId="77777777" w:rsidR="00A720EB" w:rsidRDefault="0030286B">
      <w:pPr>
        <w:pStyle w:val="2"/>
        <w:numPr>
          <w:ilvl w:val="1"/>
          <w:numId w:val="72"/>
        </w:numPr>
        <w:tabs>
          <w:tab w:val="left" w:pos="832"/>
        </w:tabs>
      </w:pPr>
      <w:bookmarkStart w:id="115" w:name="3.8._Developer_Tools"/>
      <w:bookmarkStart w:id="116" w:name="_Toc54423701"/>
      <w:bookmarkEnd w:id="115"/>
      <w:r>
        <w:rPr>
          <w:color w:val="333333"/>
          <w:w w:val="110"/>
        </w:rPr>
        <w:t>Developer</w:t>
      </w:r>
      <w:r>
        <w:rPr>
          <w:color w:val="333333"/>
          <w:spacing w:val="-7"/>
          <w:w w:val="110"/>
        </w:rPr>
        <w:t xml:space="preserve"> </w:t>
      </w:r>
      <w:r>
        <w:rPr>
          <w:color w:val="333333"/>
          <w:spacing w:val="-4"/>
          <w:w w:val="110"/>
        </w:rPr>
        <w:t>Tools</w:t>
      </w:r>
      <w:bookmarkEnd w:id="116"/>
    </w:p>
    <w:p w14:paraId="018DA0E6" w14:textId="77777777" w:rsidR="00A720EB" w:rsidRDefault="0030286B">
      <w:pPr>
        <w:pStyle w:val="a3"/>
        <w:spacing w:before="253" w:line="297" w:lineRule="auto"/>
        <w:ind w:left="124" w:right="128"/>
        <w:jc w:val="both"/>
      </w:pPr>
      <w:r>
        <w:rPr>
          <w:color w:val="333333"/>
          <w:w w:val="110"/>
        </w:rPr>
        <w:t xml:space="preserve">Spring Boot includes an additional set of tools that can make the application </w:t>
      </w:r>
      <w:proofErr w:type="gramStart"/>
      <w:r>
        <w:rPr>
          <w:color w:val="333333"/>
          <w:w w:val="110"/>
        </w:rPr>
        <w:t>development  experience</w:t>
      </w:r>
      <w:proofErr w:type="gramEnd"/>
      <w:r>
        <w:rPr>
          <w:color w:val="333333"/>
          <w:w w:val="110"/>
        </w:rPr>
        <w:t xml:space="preserve"> a little more pleasant. The </w:t>
      </w:r>
      <w:r>
        <w:rPr>
          <w:rFonts w:ascii="MS Gothic"/>
          <w:color w:val="B02045"/>
          <w:w w:val="110"/>
        </w:rPr>
        <w:t xml:space="preserve">spring-boot-devtools </w:t>
      </w:r>
      <w:r>
        <w:rPr>
          <w:color w:val="333333"/>
          <w:w w:val="110"/>
        </w:rPr>
        <w:t xml:space="preserve">module can be included in any project to provide additional development-time features. </w:t>
      </w:r>
      <w:r>
        <w:rPr>
          <w:color w:val="333333"/>
          <w:spacing w:val="-4"/>
          <w:w w:val="110"/>
        </w:rPr>
        <w:t xml:space="preserve">To </w:t>
      </w:r>
      <w:r>
        <w:rPr>
          <w:color w:val="333333"/>
          <w:w w:val="110"/>
        </w:rPr>
        <w:t>include devtools support, add the module dependency</w:t>
      </w:r>
      <w:r>
        <w:rPr>
          <w:color w:val="333333"/>
          <w:spacing w:val="4"/>
          <w:w w:val="110"/>
        </w:rPr>
        <w:t xml:space="preserve"> </w:t>
      </w:r>
      <w:r>
        <w:rPr>
          <w:color w:val="333333"/>
          <w:w w:val="110"/>
        </w:rPr>
        <w:t>to</w:t>
      </w:r>
      <w:r>
        <w:rPr>
          <w:color w:val="333333"/>
          <w:spacing w:val="5"/>
          <w:w w:val="110"/>
        </w:rPr>
        <w:t xml:space="preserve"> </w:t>
      </w:r>
      <w:r>
        <w:rPr>
          <w:color w:val="333333"/>
          <w:w w:val="110"/>
        </w:rPr>
        <w:t>your</w:t>
      </w:r>
      <w:r>
        <w:rPr>
          <w:color w:val="333333"/>
          <w:spacing w:val="5"/>
          <w:w w:val="110"/>
        </w:rPr>
        <w:t xml:space="preserve"> </w:t>
      </w:r>
      <w:r>
        <w:rPr>
          <w:color w:val="333333"/>
          <w:w w:val="110"/>
        </w:rPr>
        <w:t>build,</w:t>
      </w:r>
      <w:r>
        <w:rPr>
          <w:color w:val="333333"/>
          <w:spacing w:val="4"/>
          <w:w w:val="110"/>
        </w:rPr>
        <w:t xml:space="preserve"> </w:t>
      </w:r>
      <w:r>
        <w:rPr>
          <w:color w:val="333333"/>
          <w:w w:val="110"/>
        </w:rPr>
        <w:t>as</w:t>
      </w:r>
      <w:r>
        <w:rPr>
          <w:color w:val="333333"/>
          <w:spacing w:val="4"/>
          <w:w w:val="110"/>
        </w:rPr>
        <w:t xml:space="preserve"> </w:t>
      </w:r>
      <w:r>
        <w:rPr>
          <w:color w:val="333333"/>
          <w:w w:val="110"/>
        </w:rPr>
        <w:t>shown</w:t>
      </w:r>
      <w:r>
        <w:rPr>
          <w:color w:val="333333"/>
          <w:spacing w:val="6"/>
          <w:w w:val="110"/>
        </w:rPr>
        <w:t xml:space="preserve"> </w:t>
      </w:r>
      <w:r>
        <w:rPr>
          <w:color w:val="333333"/>
          <w:w w:val="110"/>
        </w:rPr>
        <w:t>in</w:t>
      </w:r>
      <w:r>
        <w:rPr>
          <w:color w:val="333333"/>
          <w:spacing w:val="4"/>
          <w:w w:val="110"/>
        </w:rPr>
        <w:t xml:space="preserve"> </w:t>
      </w:r>
      <w:r>
        <w:rPr>
          <w:color w:val="333333"/>
          <w:w w:val="110"/>
        </w:rPr>
        <w:t>the</w:t>
      </w:r>
      <w:r>
        <w:rPr>
          <w:color w:val="333333"/>
          <w:spacing w:val="5"/>
          <w:w w:val="110"/>
        </w:rPr>
        <w:t xml:space="preserve"> </w:t>
      </w:r>
      <w:r>
        <w:rPr>
          <w:color w:val="333333"/>
          <w:w w:val="110"/>
        </w:rPr>
        <w:t>following</w:t>
      </w:r>
      <w:r>
        <w:rPr>
          <w:color w:val="333333"/>
          <w:spacing w:val="6"/>
          <w:w w:val="110"/>
        </w:rPr>
        <w:t xml:space="preserve"> </w:t>
      </w:r>
      <w:r>
        <w:rPr>
          <w:color w:val="333333"/>
          <w:w w:val="110"/>
        </w:rPr>
        <w:t>listings</w:t>
      </w:r>
      <w:r>
        <w:rPr>
          <w:color w:val="333333"/>
          <w:spacing w:val="5"/>
          <w:w w:val="110"/>
        </w:rPr>
        <w:t xml:space="preserve"> </w:t>
      </w:r>
      <w:r>
        <w:rPr>
          <w:color w:val="333333"/>
          <w:w w:val="110"/>
        </w:rPr>
        <w:t>for</w:t>
      </w:r>
      <w:r>
        <w:rPr>
          <w:color w:val="333333"/>
          <w:spacing w:val="6"/>
          <w:w w:val="110"/>
        </w:rPr>
        <w:t xml:space="preserve"> </w:t>
      </w:r>
      <w:r>
        <w:rPr>
          <w:color w:val="333333"/>
          <w:w w:val="110"/>
        </w:rPr>
        <w:t>Maven</w:t>
      </w:r>
      <w:r>
        <w:rPr>
          <w:color w:val="333333"/>
          <w:spacing w:val="4"/>
          <w:w w:val="110"/>
        </w:rPr>
        <w:t xml:space="preserve"> </w:t>
      </w:r>
      <w:r>
        <w:rPr>
          <w:color w:val="333333"/>
          <w:w w:val="110"/>
        </w:rPr>
        <w:t>and</w:t>
      </w:r>
      <w:r>
        <w:rPr>
          <w:color w:val="333333"/>
          <w:spacing w:val="4"/>
          <w:w w:val="110"/>
        </w:rPr>
        <w:t xml:space="preserve"> </w:t>
      </w:r>
      <w:r>
        <w:rPr>
          <w:color w:val="333333"/>
          <w:w w:val="110"/>
        </w:rPr>
        <w:t>Gradle:</w:t>
      </w:r>
    </w:p>
    <w:p w14:paraId="31625107" w14:textId="77777777" w:rsidR="00A720EB" w:rsidRDefault="00E10349">
      <w:pPr>
        <w:spacing w:before="231"/>
        <w:ind w:left="124"/>
        <w:rPr>
          <w:rFonts w:ascii="Palatino Linotype"/>
          <w:i/>
          <w:sz w:val="20"/>
        </w:rPr>
      </w:pPr>
      <w:r>
        <w:pict w14:anchorId="2218D461">
          <v:group id="_x0000_s4800" style="position:absolute;left:0;text-align:left;margin-left:47.85pt;margin-top:28.5pt;width:499.55pt;height:125.95pt;z-index:-15678464;mso-wrap-distance-left:0;mso-wrap-distance-right:0;mso-position-horizontal-relative:page" coordorigin="957,570" coordsize="9991,2519">
            <v:shape id="_x0000_s4803" style="position:absolute;left:964;top:577;width:9976;height:2504" coordorigin="965,578" coordsize="9976,2504" path="m10861,578r-9816,l1014,584r-26,17l971,627r-6,31l965,3002r6,31l988,3058r26,17l1045,3082r9816,l10892,3075r25,-17l10935,3033r6,-31l10941,658r-6,-31l10917,601r-25,-17l10861,578xe" fillcolor="#f5f5f5" stroked="f">
              <v:path arrowok="t"/>
            </v:shape>
            <v:shape id="_x0000_s4802" style="position:absolute;left:964;top:577;width:9976;height:2504" coordorigin="965,578" coordsize="9976,2504" path="m1045,578r9816,l10892,584r25,17l10935,627r6,31l10941,3002r-6,31l10917,3058r-25,17l10861,3082r-9816,l1014,3075r-26,-17l971,3033r-6,-31l965,658r6,-31l988,601r26,-17l1045,578xe" filled="f" strokecolor="#ccc">
              <v:path arrowok="t"/>
            </v:shape>
            <v:shape id="_x0000_s4801" type="#_x0000_t202" style="position:absolute;left:984;top:593;width:9938;height:2473" filled="f" stroked="f">
              <v:textbox inset="0,0,0,0">
                <w:txbxContent>
                  <w:p w14:paraId="5ED2C0E4" w14:textId="77777777" w:rsidR="00711A16" w:rsidRDefault="00711A16">
                    <w:pPr>
                      <w:spacing w:before="221"/>
                      <w:ind w:left="200"/>
                      <w:rPr>
                        <w:rFonts w:ascii="MS Gothic"/>
                      </w:rPr>
                    </w:pPr>
                    <w:r>
                      <w:rPr>
                        <w:rFonts w:ascii="MS Gothic"/>
                        <w:color w:val="333333"/>
                      </w:rPr>
                      <w:t>&lt;dependencies&gt;</w:t>
                    </w:r>
                  </w:p>
                  <w:p w14:paraId="563ED693" w14:textId="77777777" w:rsidR="00711A16" w:rsidRDefault="00711A16">
                    <w:pPr>
                      <w:spacing w:before="13"/>
                      <w:ind w:left="640"/>
                      <w:rPr>
                        <w:rFonts w:ascii="MS Gothic"/>
                      </w:rPr>
                    </w:pPr>
                    <w:r>
                      <w:rPr>
                        <w:rFonts w:ascii="MS Gothic"/>
                        <w:color w:val="333333"/>
                      </w:rPr>
                      <w:t>&lt;dependency&gt;</w:t>
                    </w:r>
                  </w:p>
                  <w:p w14:paraId="43BAA6E2" w14:textId="77777777" w:rsidR="00711A16" w:rsidRDefault="00711A16">
                    <w:pPr>
                      <w:spacing w:before="13"/>
                      <w:ind w:left="1080"/>
                      <w:rPr>
                        <w:rFonts w:ascii="MS Gothic"/>
                      </w:rPr>
                    </w:pPr>
                    <w:proofErr w:type="gramStart"/>
                    <w:r>
                      <w:rPr>
                        <w:rFonts w:ascii="MS Gothic"/>
                        <w:color w:val="333333"/>
                      </w:rPr>
                      <w:t>&lt;groupId&gt;org.springframework.boot</w:t>
                    </w:r>
                    <w:proofErr w:type="gramEnd"/>
                    <w:r>
                      <w:rPr>
                        <w:rFonts w:ascii="MS Gothic"/>
                        <w:color w:val="333333"/>
                      </w:rPr>
                      <w:t>&lt;/groupId&gt;</w:t>
                    </w:r>
                  </w:p>
                  <w:p w14:paraId="6AA11200" w14:textId="77777777" w:rsidR="00711A16" w:rsidRDefault="00711A16">
                    <w:pPr>
                      <w:spacing w:before="13"/>
                      <w:ind w:left="1080"/>
                      <w:rPr>
                        <w:rFonts w:ascii="MS Gothic"/>
                      </w:rPr>
                    </w:pPr>
                    <w:r>
                      <w:rPr>
                        <w:rFonts w:ascii="MS Gothic"/>
                        <w:color w:val="333333"/>
                      </w:rPr>
                      <w:t>&lt;artifactId&gt;spring-boot-devtools&lt;/artifactId&gt;</w:t>
                    </w:r>
                  </w:p>
                  <w:p w14:paraId="403C8B67" w14:textId="77777777" w:rsidR="00711A16" w:rsidRDefault="00711A16">
                    <w:pPr>
                      <w:spacing w:before="12"/>
                      <w:ind w:left="1080"/>
                      <w:rPr>
                        <w:rFonts w:ascii="MS Gothic"/>
                      </w:rPr>
                    </w:pPr>
                    <w:r>
                      <w:rPr>
                        <w:rFonts w:ascii="MS Gothic"/>
                        <w:color w:val="333333"/>
                      </w:rPr>
                      <w:t>&lt;optional&gt;true&lt;/optional&gt;</w:t>
                    </w:r>
                  </w:p>
                  <w:p w14:paraId="6DBCBC7E" w14:textId="77777777" w:rsidR="00711A16" w:rsidRDefault="00711A16">
                    <w:pPr>
                      <w:spacing w:before="13"/>
                      <w:ind w:left="640"/>
                      <w:rPr>
                        <w:rFonts w:ascii="MS Gothic"/>
                      </w:rPr>
                    </w:pPr>
                    <w:r>
                      <w:rPr>
                        <w:rFonts w:ascii="MS Gothic"/>
                        <w:color w:val="333333"/>
                      </w:rPr>
                      <w:t>&lt;/dependency&gt;</w:t>
                    </w:r>
                  </w:p>
                  <w:p w14:paraId="7C9811F3" w14:textId="77777777" w:rsidR="00711A16" w:rsidRDefault="00711A16">
                    <w:pPr>
                      <w:spacing w:before="13"/>
                      <w:ind w:left="200"/>
                      <w:rPr>
                        <w:rFonts w:ascii="MS Gothic"/>
                      </w:rPr>
                    </w:pPr>
                    <w:r>
                      <w:rPr>
                        <w:rFonts w:ascii="MS Gothic"/>
                        <w:color w:val="333333"/>
                      </w:rPr>
                      <w:t>&lt;/dependencies&gt;</w:t>
                    </w:r>
                  </w:p>
                </w:txbxContent>
              </v:textbox>
            </v:shape>
            <w10:wrap type="topAndBottom" anchorx="page"/>
          </v:group>
        </w:pict>
      </w:r>
      <w:r w:rsidR="0030286B">
        <w:rPr>
          <w:rFonts w:ascii="Palatino Linotype"/>
          <w:i/>
          <w:color w:val="333333"/>
          <w:w w:val="110"/>
          <w:sz w:val="20"/>
        </w:rPr>
        <w:t>Maven</w:t>
      </w:r>
    </w:p>
    <w:p w14:paraId="23CB393C" w14:textId="77777777" w:rsidR="00A720EB" w:rsidRDefault="00A720EB">
      <w:pPr>
        <w:rPr>
          <w:rFonts w:ascii="Palatino Linotype"/>
          <w:sz w:val="20"/>
        </w:rPr>
        <w:sectPr w:rsidR="00A720EB">
          <w:pgSz w:w="11910" w:h="16840"/>
          <w:pgMar w:top="620" w:right="840" w:bottom="520" w:left="840" w:header="0" w:footer="323" w:gutter="0"/>
          <w:cols w:space="720"/>
        </w:sectPr>
      </w:pPr>
    </w:p>
    <w:p w14:paraId="465F80E9" w14:textId="77777777" w:rsidR="00A720EB" w:rsidRDefault="00E10349">
      <w:pPr>
        <w:spacing w:before="79"/>
        <w:ind w:left="124"/>
        <w:rPr>
          <w:rFonts w:ascii="Palatino Linotype"/>
          <w:i/>
          <w:sz w:val="20"/>
        </w:rPr>
      </w:pPr>
      <w:r>
        <w:lastRenderedPageBreak/>
        <w:pict w14:anchorId="2D984F67">
          <v:group id="_x0000_s4796" style="position:absolute;left:0;text-align:left;margin-left:47.85pt;margin-top:21.7pt;width:499.55pt;height:67pt;z-index:-15677952;mso-wrap-distance-left:0;mso-wrap-distance-right:0;mso-position-horizontal-relative:page" coordorigin="957,434" coordsize="9991,1340">
            <v:shape id="_x0000_s4799" style="position:absolute;left:964;top:441;width:9976;height:1325" coordorigin="965,441" coordsize="9976,1325" path="m10861,441r-9816,l1014,448r-26,17l971,490r-6,31l965,1686r6,31l988,1742r26,18l1045,1766r9816,l10892,1760r25,-18l10935,1717r6,-31l10941,521r-6,-31l10917,465r-25,-17l10861,441xe" fillcolor="#f5f5f5" stroked="f">
              <v:path arrowok="t"/>
            </v:shape>
            <v:shape id="_x0000_s4798" style="position:absolute;left:964;top:441;width:9976;height:1325" coordorigin="965,441" coordsize="9976,1325" path="m1045,441r9816,l10892,448r25,17l10935,490r6,31l10941,1686r-6,31l10917,1742r-25,18l10861,1766r-9816,l1014,1760r-26,-18l971,1717r-6,-31l965,521r6,-31l988,465r26,-17l1045,441xe" filled="f" strokecolor="#ccc">
              <v:path arrowok="t"/>
            </v:shape>
            <v:shape id="_x0000_s4797" type="#_x0000_t202" style="position:absolute;left:984;top:456;width:9938;height:1294" filled="f" stroked="f">
              <v:textbox inset="0,0,0,0">
                <w:txbxContent>
                  <w:p w14:paraId="17EC6501" w14:textId="77777777" w:rsidR="00711A16" w:rsidRDefault="00711A16">
                    <w:pPr>
                      <w:spacing w:before="221"/>
                      <w:ind w:left="200"/>
                      <w:rPr>
                        <w:rFonts w:ascii="MS Gothic"/>
                      </w:rPr>
                    </w:pPr>
                    <w:r>
                      <w:rPr>
                        <w:rFonts w:ascii="MS Gothic"/>
                        <w:color w:val="333333"/>
                      </w:rPr>
                      <w:t>dependencies {</w:t>
                    </w:r>
                  </w:p>
                  <w:p w14:paraId="62EB8F7C" w14:textId="77777777" w:rsidR="00711A16" w:rsidRDefault="00711A16">
                    <w:pPr>
                      <w:spacing w:before="13"/>
                      <w:ind w:left="640"/>
                      <w:rPr>
                        <w:rFonts w:ascii="MS Gothic"/>
                      </w:rPr>
                    </w:pPr>
                    <w:r>
                      <w:rPr>
                        <w:rFonts w:ascii="MS Gothic"/>
                        <w:color w:val="333333"/>
                      </w:rPr>
                      <w:t>developmentOnly("</w:t>
                    </w:r>
                    <w:proofErr w:type="gramStart"/>
                    <w:r>
                      <w:rPr>
                        <w:rFonts w:ascii="MS Gothic"/>
                        <w:color w:val="333333"/>
                      </w:rPr>
                      <w:t>org.springframework</w:t>
                    </w:r>
                    <w:proofErr w:type="gramEnd"/>
                    <w:r>
                      <w:rPr>
                        <w:rFonts w:ascii="MS Gothic"/>
                        <w:color w:val="333333"/>
                      </w:rPr>
                      <w:t>.boot:spring-boot-devtools")</w:t>
                    </w:r>
                  </w:p>
                  <w:p w14:paraId="01EC63C3"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r w:rsidR="0030286B">
        <w:rPr>
          <w:rFonts w:ascii="Palatino Linotype"/>
          <w:i/>
          <w:color w:val="333333"/>
          <w:w w:val="115"/>
          <w:sz w:val="20"/>
        </w:rPr>
        <w:t>Gradle</w:t>
      </w:r>
    </w:p>
    <w:p w14:paraId="58E13F20" w14:textId="77777777" w:rsidR="00A720EB" w:rsidRDefault="00A720EB">
      <w:pPr>
        <w:pStyle w:val="a3"/>
        <w:spacing w:before="8"/>
        <w:rPr>
          <w:rFonts w:ascii="Palatino Linotype"/>
          <w:i/>
          <w:sz w:val="14"/>
        </w:rPr>
      </w:pPr>
    </w:p>
    <w:p w14:paraId="543F93ED" w14:textId="77777777" w:rsidR="00A720EB" w:rsidRDefault="00E10349">
      <w:pPr>
        <w:pStyle w:val="a3"/>
        <w:spacing w:before="126" w:line="297" w:lineRule="auto"/>
        <w:ind w:left="1564" w:right="362"/>
        <w:jc w:val="both"/>
      </w:pPr>
      <w:r>
        <w:pict w14:anchorId="472AE4CE">
          <v:line id="_x0000_s4795" style="position:absolute;left:0;text-align:left;z-index:15779840;mso-position-horizontal-relative:page" from="108.25pt,.3pt" to="108.25pt,103pt" strokecolor="#ededed" strokeweight=".5pt">
            <w10:wrap anchorx="page"/>
          </v:line>
        </w:pict>
      </w:r>
      <w:r w:rsidR="0030286B">
        <w:rPr>
          <w:noProof/>
        </w:rPr>
        <w:drawing>
          <wp:anchor distT="0" distB="0" distL="0" distR="0" simplePos="0" relativeHeight="15780352" behindDoc="0" locked="0" layoutInCell="1" allowOverlap="1" wp14:anchorId="53988A20" wp14:editId="1DF7DEEB">
            <wp:simplePos x="0" y="0"/>
            <wp:positionH relativeFrom="page">
              <wp:posOffset>844422</wp:posOffset>
            </wp:positionH>
            <wp:positionV relativeFrom="paragraph">
              <wp:posOffset>506769</wp:posOffset>
            </wp:positionV>
            <wp:extent cx="298450" cy="29845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Developer tools are automatically disabled when running a fully packaged application. If your application is launched from </w:t>
      </w:r>
      <w:r w:rsidR="0030286B">
        <w:rPr>
          <w:rFonts w:ascii="MS Gothic" w:hAnsi="MS Gothic"/>
          <w:color w:val="B02045"/>
          <w:w w:val="110"/>
        </w:rPr>
        <w:t xml:space="preserve">java -jar </w:t>
      </w:r>
      <w:r w:rsidR="0030286B">
        <w:rPr>
          <w:color w:val="333333"/>
          <w:w w:val="110"/>
        </w:rPr>
        <w:t xml:space="preserve">or if it is started from a special classloader, then it is considered a “production application”. If that does    not apply to you (i.e. if you run your application from a container), consider excluding devtools or set the </w:t>
      </w:r>
      <w:r w:rsidR="0030286B">
        <w:rPr>
          <w:rFonts w:ascii="MS Gothic" w:hAnsi="MS Gothic"/>
          <w:color w:val="B02045"/>
          <w:w w:val="110"/>
        </w:rPr>
        <w:t>-</w:t>
      </w:r>
      <w:proofErr w:type="gramStart"/>
      <w:r w:rsidR="0030286B">
        <w:rPr>
          <w:rFonts w:ascii="MS Gothic" w:hAnsi="MS Gothic"/>
          <w:color w:val="B02045"/>
          <w:w w:val="110"/>
        </w:rPr>
        <w:t>Dspring.devtools.restart</w:t>
      </w:r>
      <w:proofErr w:type="gramEnd"/>
      <w:r w:rsidR="0030286B">
        <w:rPr>
          <w:rFonts w:ascii="MS Gothic" w:hAnsi="MS Gothic"/>
          <w:color w:val="B02045"/>
          <w:w w:val="110"/>
        </w:rPr>
        <w:t xml:space="preserve">.enabled=false </w:t>
      </w:r>
      <w:r w:rsidR="0030286B">
        <w:rPr>
          <w:color w:val="333333"/>
          <w:w w:val="110"/>
        </w:rPr>
        <w:t xml:space="preserve">system </w:t>
      </w:r>
      <w:r w:rsidR="0030286B">
        <w:rPr>
          <w:color w:val="333333"/>
          <w:spacing w:val="-3"/>
          <w:w w:val="110"/>
        </w:rPr>
        <w:t>property.</w:t>
      </w:r>
    </w:p>
    <w:p w14:paraId="261ADB1E" w14:textId="77777777" w:rsidR="00A720EB" w:rsidRDefault="00A720EB">
      <w:pPr>
        <w:pStyle w:val="a3"/>
        <w:spacing w:before="9"/>
        <w:rPr>
          <w:sz w:val="23"/>
        </w:rPr>
      </w:pPr>
    </w:p>
    <w:p w14:paraId="6F54D694" w14:textId="77777777" w:rsidR="00A720EB" w:rsidRDefault="00E10349">
      <w:pPr>
        <w:pStyle w:val="a3"/>
        <w:spacing w:before="116" w:line="300" w:lineRule="auto"/>
        <w:ind w:left="1564" w:right="362"/>
        <w:jc w:val="both"/>
      </w:pPr>
      <w:r>
        <w:pict w14:anchorId="492FA96C">
          <v:line id="_x0000_s4794" style="position:absolute;left:0;text-align:left;z-index:15780864;mso-position-horizontal-relative:page" from="108.25pt,.35pt" to="108.25pt,55.7pt" strokecolor="#ededed" strokeweight=".5pt">
            <w10:wrap anchorx="page"/>
          </v:line>
        </w:pict>
      </w:r>
      <w:r w:rsidR="0030286B">
        <w:rPr>
          <w:noProof/>
        </w:rPr>
        <w:drawing>
          <wp:anchor distT="0" distB="0" distL="0" distR="0" simplePos="0" relativeHeight="15781376" behindDoc="0" locked="0" layoutInCell="1" allowOverlap="1" wp14:anchorId="44837C16" wp14:editId="033C2865">
            <wp:simplePos x="0" y="0"/>
            <wp:positionH relativeFrom="page">
              <wp:posOffset>888949</wp:posOffset>
            </wp:positionH>
            <wp:positionV relativeFrom="paragraph">
              <wp:posOffset>203275</wp:posOffset>
            </wp:positionV>
            <wp:extent cx="209550" cy="304800"/>
            <wp:effectExtent l="0" t="0" r="0" b="0"/>
            <wp:wrapNone/>
            <wp:docPr id="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Flagging the dependency as optional in Maven or using the </w:t>
      </w:r>
      <w:r w:rsidR="0030286B">
        <w:rPr>
          <w:rFonts w:ascii="MS Gothic"/>
          <w:color w:val="B02045"/>
          <w:w w:val="110"/>
        </w:rPr>
        <w:t xml:space="preserve">developmentOnly </w:t>
      </w:r>
      <w:r w:rsidR="0030286B">
        <w:rPr>
          <w:color w:val="333333"/>
          <w:w w:val="110"/>
        </w:rPr>
        <w:t xml:space="preserve">configuration in Gradle (as shown above) prevents devtools </w:t>
      </w:r>
      <w:proofErr w:type="gramStart"/>
      <w:r w:rsidR="0030286B">
        <w:rPr>
          <w:color w:val="333333"/>
          <w:w w:val="110"/>
        </w:rPr>
        <w:t>from  being</w:t>
      </w:r>
      <w:proofErr w:type="gramEnd"/>
      <w:r w:rsidR="0030286B">
        <w:rPr>
          <w:color w:val="333333"/>
          <w:w w:val="110"/>
        </w:rPr>
        <w:t xml:space="preserve">   transitively applied to other modules that use your</w:t>
      </w:r>
      <w:r w:rsidR="0030286B">
        <w:rPr>
          <w:color w:val="333333"/>
          <w:spacing w:val="23"/>
          <w:w w:val="110"/>
        </w:rPr>
        <w:t xml:space="preserve"> </w:t>
      </w:r>
      <w:r w:rsidR="0030286B">
        <w:rPr>
          <w:color w:val="333333"/>
          <w:w w:val="110"/>
        </w:rPr>
        <w:t>project.</w:t>
      </w:r>
    </w:p>
    <w:p w14:paraId="24B8CCF3" w14:textId="77777777" w:rsidR="00A720EB" w:rsidRDefault="00A720EB">
      <w:pPr>
        <w:pStyle w:val="a3"/>
        <w:spacing w:before="10"/>
        <w:rPr>
          <w:sz w:val="23"/>
        </w:rPr>
      </w:pPr>
    </w:p>
    <w:p w14:paraId="609B5061" w14:textId="77777777" w:rsidR="00A720EB" w:rsidRDefault="00E10349">
      <w:pPr>
        <w:pStyle w:val="a3"/>
        <w:spacing w:before="125" w:line="295" w:lineRule="auto"/>
        <w:ind w:left="1564" w:right="366"/>
        <w:jc w:val="both"/>
      </w:pPr>
      <w:r>
        <w:pict w14:anchorId="35E65A59">
          <v:line id="_x0000_s4793" style="position:absolute;left:0;text-align:left;z-index:15781888;mso-position-horizontal-relative:page" from="108.25pt,.25pt" to="108.25pt,71.4pt" strokecolor="#ededed" strokeweight=".5pt">
            <w10:wrap anchorx="page"/>
          </v:line>
        </w:pict>
      </w:r>
      <w:r w:rsidR="0030286B">
        <w:rPr>
          <w:noProof/>
        </w:rPr>
        <w:drawing>
          <wp:anchor distT="0" distB="0" distL="0" distR="0" simplePos="0" relativeHeight="15782400" behindDoc="0" locked="0" layoutInCell="1" allowOverlap="1" wp14:anchorId="6124CFE4" wp14:editId="5C483A37">
            <wp:simplePos x="0" y="0"/>
            <wp:positionH relativeFrom="page">
              <wp:posOffset>888949</wp:posOffset>
            </wp:positionH>
            <wp:positionV relativeFrom="paragraph">
              <wp:posOffset>302552</wp:posOffset>
            </wp:positionV>
            <wp:extent cx="209550" cy="304800"/>
            <wp:effectExtent l="0" t="0" r="0" b="0"/>
            <wp:wrapNone/>
            <wp:docPr id="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Repackaged archives do not contain devtools </w:t>
      </w:r>
      <w:r w:rsidR="0030286B">
        <w:rPr>
          <w:color w:val="333333"/>
          <w:spacing w:val="-3"/>
          <w:w w:val="110"/>
        </w:rPr>
        <w:t xml:space="preserve">by </w:t>
      </w:r>
      <w:r w:rsidR="0030286B">
        <w:rPr>
          <w:color w:val="333333"/>
          <w:w w:val="110"/>
        </w:rPr>
        <w:t xml:space="preserve">default. If you want to </w:t>
      </w:r>
      <w:proofErr w:type="gramStart"/>
      <w:r w:rsidR="0030286B">
        <w:rPr>
          <w:color w:val="333333"/>
          <w:w w:val="110"/>
        </w:rPr>
        <w:t>use  a</w:t>
      </w:r>
      <w:proofErr w:type="gramEnd"/>
      <w:r w:rsidR="0030286B">
        <w:rPr>
          <w:color w:val="333333"/>
          <w:w w:val="110"/>
        </w:rPr>
        <w:t xml:space="preserve">  </w:t>
      </w:r>
      <w:hyperlink w:anchor="_bookmark79" w:history="1">
        <w:r w:rsidR="0030286B">
          <w:rPr>
            <w:color w:val="418BCA"/>
            <w:w w:val="110"/>
          </w:rPr>
          <w:t>certain remote devtools feature</w:t>
        </w:r>
      </w:hyperlink>
      <w:r w:rsidR="0030286B">
        <w:rPr>
          <w:color w:val="333333"/>
          <w:w w:val="110"/>
        </w:rPr>
        <w:t xml:space="preserve">, you need to include it. When using the Maven plugin, set the </w:t>
      </w:r>
      <w:r w:rsidR="0030286B">
        <w:rPr>
          <w:rFonts w:ascii="MS Gothic" w:hAnsi="MS Gothic"/>
          <w:color w:val="B02045"/>
          <w:w w:val="110"/>
        </w:rPr>
        <w:t xml:space="preserve">excludeDevtools </w:t>
      </w:r>
      <w:r w:rsidR="0030286B">
        <w:rPr>
          <w:color w:val="333333"/>
          <w:w w:val="110"/>
        </w:rPr>
        <w:t xml:space="preserve">property to </w:t>
      </w:r>
      <w:r w:rsidR="0030286B">
        <w:rPr>
          <w:rFonts w:ascii="MS Gothic" w:hAnsi="MS Gothic"/>
          <w:color w:val="B02045"/>
          <w:w w:val="110"/>
        </w:rPr>
        <w:t>false</w:t>
      </w:r>
      <w:r w:rsidR="0030286B">
        <w:rPr>
          <w:color w:val="333333"/>
          <w:w w:val="110"/>
        </w:rPr>
        <w:t xml:space="preserve">. When using the Gradle plugin, </w:t>
      </w:r>
      <w:hyperlink r:id="rId78" w:anchor="packaging-executable-configuring-including-development-only-dependencies">
        <w:r w:rsidR="0030286B">
          <w:rPr>
            <w:color w:val="418BCA"/>
            <w:w w:val="110"/>
          </w:rPr>
          <w:t xml:space="preserve">configure the task’s classpath to include the </w:t>
        </w:r>
      </w:hyperlink>
      <w:hyperlink r:id="rId79" w:anchor="packaging-executable-configuring-including-development-only-dependencies">
        <w:r w:rsidR="0030286B">
          <w:rPr>
            <w:rFonts w:ascii="MS Gothic" w:hAnsi="MS Gothic"/>
            <w:color w:val="B02045"/>
            <w:w w:val="110"/>
          </w:rPr>
          <w:t>developmentOnly</w:t>
        </w:r>
        <w:r w:rsidR="0030286B">
          <w:rPr>
            <w:rFonts w:ascii="MS Gothic" w:hAnsi="MS Gothic"/>
            <w:color w:val="B02045"/>
            <w:spacing w:val="-78"/>
            <w:w w:val="110"/>
          </w:rPr>
          <w:t xml:space="preserve"> </w:t>
        </w:r>
      </w:hyperlink>
      <w:hyperlink r:id="rId80" w:anchor="packaging-executable-configuring-including-development-only-dependencies">
        <w:r w:rsidR="0030286B">
          <w:rPr>
            <w:color w:val="418BCA"/>
            <w:w w:val="110"/>
          </w:rPr>
          <w:t>configuration</w:t>
        </w:r>
      </w:hyperlink>
      <w:r w:rsidR="0030286B">
        <w:rPr>
          <w:color w:val="333333"/>
          <w:w w:val="110"/>
        </w:rPr>
        <w:t>.</w:t>
      </w:r>
    </w:p>
    <w:p w14:paraId="41678BBB" w14:textId="77777777" w:rsidR="00A720EB" w:rsidRDefault="00A720EB">
      <w:pPr>
        <w:pStyle w:val="a3"/>
        <w:spacing w:before="2"/>
        <w:rPr>
          <w:sz w:val="23"/>
        </w:rPr>
      </w:pPr>
    </w:p>
    <w:p w14:paraId="3C684D64" w14:textId="77777777" w:rsidR="00A720EB" w:rsidRDefault="0030286B">
      <w:pPr>
        <w:pStyle w:val="3"/>
        <w:numPr>
          <w:ilvl w:val="2"/>
          <w:numId w:val="72"/>
        </w:numPr>
        <w:tabs>
          <w:tab w:val="left" w:pos="858"/>
        </w:tabs>
        <w:spacing w:before="105"/>
        <w:ind w:hanging="734"/>
      </w:pPr>
      <w:bookmarkStart w:id="117" w:name="3.8.1._Property_Defaults"/>
      <w:bookmarkStart w:id="118" w:name="_Toc54423702"/>
      <w:bookmarkEnd w:id="117"/>
      <w:r>
        <w:rPr>
          <w:color w:val="333333"/>
          <w:w w:val="110"/>
        </w:rPr>
        <w:t>Property</w:t>
      </w:r>
      <w:r>
        <w:rPr>
          <w:color w:val="333333"/>
          <w:spacing w:val="-5"/>
          <w:w w:val="110"/>
        </w:rPr>
        <w:t xml:space="preserve"> </w:t>
      </w:r>
      <w:r>
        <w:rPr>
          <w:color w:val="333333"/>
          <w:w w:val="110"/>
        </w:rPr>
        <w:t>Defaults</w:t>
      </w:r>
      <w:bookmarkEnd w:id="118"/>
    </w:p>
    <w:p w14:paraId="086DC19C" w14:textId="77777777" w:rsidR="00A720EB" w:rsidRDefault="0030286B">
      <w:pPr>
        <w:pStyle w:val="a3"/>
        <w:spacing w:before="253" w:line="307" w:lineRule="auto"/>
        <w:ind w:left="124" w:right="125"/>
        <w:jc w:val="both"/>
      </w:pPr>
      <w:r>
        <w:rPr>
          <w:color w:val="333333"/>
          <w:w w:val="110"/>
        </w:rPr>
        <w:t xml:space="preserve">Several of the libraries supported by Spring Boot use caches to improve performance. For example, </w:t>
      </w:r>
      <w:hyperlink w:anchor="_bookmark157" w:history="1">
        <w:r>
          <w:rPr>
            <w:color w:val="418BCA"/>
            <w:w w:val="110"/>
          </w:rPr>
          <w:t xml:space="preserve">template engines </w:t>
        </w:r>
      </w:hyperlink>
      <w:r>
        <w:rPr>
          <w:color w:val="333333"/>
          <w:w w:val="110"/>
        </w:rPr>
        <w:t>cache compiled templates to avoid repeatedly parsing template files. Also, Spring MVC can add HTTP caching headers to responses when serving static resources.</w:t>
      </w:r>
    </w:p>
    <w:p w14:paraId="75A92DB3" w14:textId="77777777" w:rsidR="00A720EB" w:rsidRDefault="0030286B">
      <w:pPr>
        <w:pStyle w:val="a3"/>
        <w:spacing w:before="242" w:line="307" w:lineRule="auto"/>
        <w:ind w:left="124" w:right="133"/>
        <w:jc w:val="both"/>
      </w:pPr>
      <w:r>
        <w:rPr>
          <w:color w:val="333333"/>
          <w:w w:val="110"/>
        </w:rPr>
        <w:t>While caching is very beneficial in production, it can be counter-productive during development, preventing you from seeing the changes you just made in your application. For this reason, spring- boot-devtools disables the caching options by default.</w:t>
      </w:r>
    </w:p>
    <w:p w14:paraId="764B166C" w14:textId="77777777" w:rsidR="00A720EB" w:rsidRDefault="0030286B">
      <w:pPr>
        <w:pStyle w:val="a3"/>
        <w:spacing w:before="231" w:line="285" w:lineRule="auto"/>
        <w:ind w:left="124" w:right="122"/>
        <w:jc w:val="both"/>
      </w:pPr>
      <w:r>
        <w:rPr>
          <w:color w:val="333333"/>
          <w:w w:val="110"/>
        </w:rPr>
        <w:t xml:space="preserve">Cache options are usually configured </w:t>
      </w:r>
      <w:r>
        <w:rPr>
          <w:color w:val="333333"/>
          <w:spacing w:val="-3"/>
          <w:w w:val="110"/>
        </w:rPr>
        <w:t xml:space="preserve">by </w:t>
      </w:r>
      <w:r>
        <w:rPr>
          <w:color w:val="333333"/>
          <w:w w:val="110"/>
        </w:rPr>
        <w:t xml:space="preserve">settings in your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file. </w:t>
      </w:r>
      <w:r>
        <w:rPr>
          <w:color w:val="333333"/>
          <w:spacing w:val="-4"/>
          <w:w w:val="110"/>
        </w:rPr>
        <w:t xml:space="preserve">For </w:t>
      </w:r>
      <w:r>
        <w:rPr>
          <w:color w:val="333333"/>
          <w:w w:val="110"/>
        </w:rPr>
        <w:t xml:space="preserve">example, Thymeleaf offers the </w:t>
      </w:r>
      <w:proofErr w:type="gramStart"/>
      <w:r>
        <w:rPr>
          <w:rFonts w:ascii="MS Gothic"/>
          <w:color w:val="B02045"/>
          <w:w w:val="110"/>
        </w:rPr>
        <w:t>spring.thymeleaf</w:t>
      </w:r>
      <w:proofErr w:type="gramEnd"/>
      <w:r>
        <w:rPr>
          <w:rFonts w:ascii="MS Gothic"/>
          <w:color w:val="B02045"/>
          <w:w w:val="110"/>
        </w:rPr>
        <w:t xml:space="preserve">.cache </w:t>
      </w:r>
      <w:r>
        <w:rPr>
          <w:color w:val="333333"/>
          <w:spacing w:val="-3"/>
          <w:w w:val="110"/>
        </w:rPr>
        <w:t xml:space="preserve">property. </w:t>
      </w:r>
      <w:r>
        <w:rPr>
          <w:color w:val="333333"/>
          <w:w w:val="110"/>
        </w:rPr>
        <w:t xml:space="preserve">Rather than needing to set these properties </w:t>
      </w:r>
      <w:r>
        <w:rPr>
          <w:color w:val="333333"/>
          <w:spacing w:val="-3"/>
          <w:w w:val="110"/>
        </w:rPr>
        <w:t xml:space="preserve">manually, </w:t>
      </w:r>
      <w:r>
        <w:rPr>
          <w:color w:val="333333"/>
          <w:w w:val="110"/>
        </w:rPr>
        <w:t xml:space="preserve">the </w:t>
      </w:r>
      <w:r>
        <w:rPr>
          <w:rFonts w:ascii="MS Gothic"/>
          <w:color w:val="B02045"/>
          <w:w w:val="110"/>
        </w:rPr>
        <w:t xml:space="preserve">spring-boot-devtools </w:t>
      </w:r>
      <w:r>
        <w:rPr>
          <w:color w:val="333333"/>
          <w:w w:val="110"/>
        </w:rPr>
        <w:t>module automatically applies sensible development-time configuration.</w:t>
      </w:r>
    </w:p>
    <w:p w14:paraId="39A82ABD" w14:textId="77777777" w:rsidR="00A720EB" w:rsidRDefault="00A720EB">
      <w:pPr>
        <w:pStyle w:val="a3"/>
        <w:spacing w:before="1"/>
        <w:rPr>
          <w:sz w:val="22"/>
        </w:rPr>
      </w:pPr>
    </w:p>
    <w:p w14:paraId="037C7818" w14:textId="77777777" w:rsidR="00A720EB" w:rsidRDefault="0030286B">
      <w:pPr>
        <w:pStyle w:val="a3"/>
        <w:spacing w:line="297" w:lineRule="auto"/>
        <w:ind w:left="124" w:right="123"/>
        <w:jc w:val="both"/>
      </w:pPr>
      <w:r>
        <w:rPr>
          <w:color w:val="333333"/>
          <w:w w:val="110"/>
        </w:rPr>
        <w:t xml:space="preserve">Because you need more information about web requests while developing Spring MVC and Spring </w:t>
      </w:r>
      <w:r>
        <w:rPr>
          <w:color w:val="333333"/>
          <w:spacing w:val="-3"/>
          <w:w w:val="110"/>
        </w:rPr>
        <w:t xml:space="preserve">WebFlux </w:t>
      </w:r>
      <w:r>
        <w:rPr>
          <w:color w:val="333333"/>
          <w:w w:val="110"/>
        </w:rPr>
        <w:t xml:space="preserve">applications, developer tools will enable </w:t>
      </w:r>
      <w:r>
        <w:rPr>
          <w:rFonts w:ascii="MS Gothic"/>
          <w:color w:val="B02045"/>
          <w:w w:val="110"/>
        </w:rPr>
        <w:t xml:space="preserve">DEBUG </w:t>
      </w:r>
      <w:r>
        <w:rPr>
          <w:color w:val="333333"/>
          <w:w w:val="110"/>
        </w:rPr>
        <w:t xml:space="preserve">logging for the </w:t>
      </w:r>
      <w:r>
        <w:rPr>
          <w:rFonts w:ascii="MS Gothic"/>
          <w:color w:val="B02045"/>
          <w:w w:val="110"/>
        </w:rPr>
        <w:t xml:space="preserve">web </w:t>
      </w:r>
      <w:r>
        <w:rPr>
          <w:color w:val="333333"/>
          <w:w w:val="110"/>
        </w:rPr>
        <w:t xml:space="preserve">logging group. This will give you information about the incoming request, which handler is processing it, the response outcome, etc. If you wish to log all request details (including potentially sensitive information), you </w:t>
      </w:r>
      <w:r>
        <w:rPr>
          <w:color w:val="333333"/>
          <w:w w:val="105"/>
        </w:rPr>
        <w:t xml:space="preserve">can turn on the </w:t>
      </w:r>
      <w:r>
        <w:rPr>
          <w:rFonts w:ascii="MS Gothic"/>
          <w:color w:val="B02045"/>
          <w:w w:val="105"/>
        </w:rPr>
        <w:t>spring.mvc.log-request-details</w:t>
      </w:r>
      <w:r>
        <w:rPr>
          <w:rFonts w:ascii="MS Gothic"/>
          <w:color w:val="B02045"/>
          <w:spacing w:val="-58"/>
          <w:w w:val="105"/>
        </w:rPr>
        <w:t xml:space="preserve"> </w:t>
      </w:r>
      <w:r>
        <w:rPr>
          <w:color w:val="333333"/>
          <w:w w:val="105"/>
        </w:rPr>
        <w:t xml:space="preserve">or </w:t>
      </w:r>
      <w:r>
        <w:rPr>
          <w:rFonts w:ascii="MS Gothic"/>
          <w:color w:val="B02045"/>
          <w:w w:val="105"/>
        </w:rPr>
        <w:t>spring.codec.log-request-details</w:t>
      </w:r>
      <w:r>
        <w:rPr>
          <w:rFonts w:ascii="MS Gothic"/>
          <w:color w:val="B02045"/>
          <w:spacing w:val="-59"/>
          <w:w w:val="105"/>
        </w:rPr>
        <w:t xml:space="preserve"> </w:t>
      </w:r>
      <w:r>
        <w:rPr>
          <w:color w:val="333333"/>
          <w:w w:val="105"/>
        </w:rPr>
        <w:t xml:space="preserve">configuration </w:t>
      </w:r>
      <w:r>
        <w:rPr>
          <w:color w:val="333333"/>
          <w:w w:val="110"/>
        </w:rPr>
        <w:t>properties.</w:t>
      </w:r>
    </w:p>
    <w:p w14:paraId="5917E59E" w14:textId="77777777" w:rsidR="00A720EB" w:rsidRDefault="00A720EB">
      <w:pPr>
        <w:pStyle w:val="a3"/>
        <w:rPr>
          <w:sz w:val="17"/>
        </w:rPr>
      </w:pPr>
    </w:p>
    <w:p w14:paraId="04D0C162" w14:textId="77777777" w:rsidR="00A720EB" w:rsidRDefault="00E10349">
      <w:pPr>
        <w:pStyle w:val="a3"/>
        <w:spacing w:before="116" w:line="280" w:lineRule="auto"/>
        <w:ind w:left="1564" w:right="359"/>
      </w:pPr>
      <w:r>
        <w:pict w14:anchorId="59EE2865">
          <v:line id="_x0000_s4792" style="position:absolute;left:0;text-align:left;z-index:15782912;mso-position-horizontal-relative:page" from="108.25pt,.35pt" to="108.25pt,39.9pt" strokecolor="#ededed" strokeweight=".5pt">
            <w10:wrap anchorx="page"/>
          </v:line>
        </w:pict>
      </w:r>
      <w:r w:rsidR="0030286B">
        <w:rPr>
          <w:noProof/>
        </w:rPr>
        <w:drawing>
          <wp:anchor distT="0" distB="0" distL="0" distR="0" simplePos="0" relativeHeight="15783424" behindDoc="0" locked="0" layoutInCell="1" allowOverlap="1" wp14:anchorId="2090916C" wp14:editId="652790D5">
            <wp:simplePos x="0" y="0"/>
            <wp:positionH relativeFrom="page">
              <wp:posOffset>844422</wp:posOffset>
            </wp:positionH>
            <wp:positionV relativeFrom="paragraph">
              <wp:posOffset>106248</wp:posOffset>
            </wp:positionV>
            <wp:extent cx="298450" cy="298450"/>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don’t want property defaults to be applied you can set </w:t>
      </w:r>
      <w:r w:rsidR="0030286B">
        <w:rPr>
          <w:rFonts w:ascii="MS Gothic" w:hAnsi="MS Gothic"/>
          <w:color w:val="B02045"/>
          <w:w w:val="110"/>
        </w:rPr>
        <w:t>spring.devtools.add- properties</w:t>
      </w:r>
      <w:r w:rsidR="0030286B">
        <w:rPr>
          <w:rFonts w:ascii="MS Gothic" w:hAnsi="MS Gothic"/>
          <w:color w:val="B02045"/>
          <w:spacing w:val="-68"/>
          <w:w w:val="110"/>
        </w:rPr>
        <w:t xml:space="preserve"> </w:t>
      </w:r>
      <w:r w:rsidR="0030286B">
        <w:rPr>
          <w:color w:val="333333"/>
          <w:w w:val="110"/>
        </w:rPr>
        <w:t xml:space="preserve">to </w:t>
      </w:r>
      <w:r w:rsidR="0030286B">
        <w:rPr>
          <w:rFonts w:ascii="MS Gothic" w:hAnsi="MS Gothic"/>
          <w:color w:val="B02045"/>
          <w:w w:val="110"/>
        </w:rPr>
        <w:t>false</w:t>
      </w:r>
      <w:r w:rsidR="0030286B">
        <w:rPr>
          <w:rFonts w:ascii="MS Gothic" w:hAnsi="MS Gothic"/>
          <w:color w:val="B02045"/>
          <w:spacing w:val="-67"/>
          <w:w w:val="110"/>
        </w:rPr>
        <w:t xml:space="preserve"> </w:t>
      </w:r>
      <w:r w:rsidR="0030286B">
        <w:rPr>
          <w:color w:val="333333"/>
          <w:w w:val="110"/>
        </w:rPr>
        <w:t xml:space="preserve">in your </w:t>
      </w:r>
      <w:proofErr w:type="gramStart"/>
      <w:r w:rsidR="0030286B">
        <w:rPr>
          <w:rFonts w:ascii="MS Gothic" w:hAnsi="MS Gothic"/>
          <w:color w:val="B02045"/>
          <w:w w:val="110"/>
        </w:rPr>
        <w:t>application.properties</w:t>
      </w:r>
      <w:proofErr w:type="gramEnd"/>
      <w:r w:rsidR="0030286B">
        <w:rPr>
          <w:color w:val="333333"/>
          <w:w w:val="110"/>
        </w:rPr>
        <w:t>.</w:t>
      </w:r>
    </w:p>
    <w:p w14:paraId="57977E0E" w14:textId="77777777" w:rsidR="00A720EB" w:rsidRDefault="00A720EB">
      <w:pPr>
        <w:spacing w:line="280" w:lineRule="auto"/>
        <w:sectPr w:rsidR="00A720EB">
          <w:pgSz w:w="11910" w:h="16840"/>
          <w:pgMar w:top="640" w:right="840" w:bottom="520" w:left="840" w:header="0" w:footer="323" w:gutter="0"/>
          <w:cols w:space="720"/>
        </w:sectPr>
      </w:pPr>
    </w:p>
    <w:p w14:paraId="69CBB46D" w14:textId="77777777" w:rsidR="00A720EB" w:rsidRDefault="00E10349">
      <w:pPr>
        <w:pStyle w:val="a3"/>
        <w:spacing w:before="122" w:line="307" w:lineRule="auto"/>
        <w:ind w:left="1564"/>
      </w:pPr>
      <w:r>
        <w:lastRenderedPageBreak/>
        <w:pict w14:anchorId="39EC28DA">
          <v:line id="_x0000_s4791" style="position:absolute;left:0;text-align:left;z-index:15784448;mso-position-horizontal-relative:page" from="108.25pt,.1pt" to="108.25pt,39.65pt" strokecolor="#ededed" strokeweight=".5pt">
            <w10:wrap anchorx="page"/>
          </v:line>
        </w:pict>
      </w:r>
      <w:r w:rsidR="0030286B">
        <w:rPr>
          <w:noProof/>
        </w:rPr>
        <w:drawing>
          <wp:anchor distT="0" distB="0" distL="0" distR="0" simplePos="0" relativeHeight="15784960" behindDoc="0" locked="0" layoutInCell="1" allowOverlap="1" wp14:anchorId="33E7F522" wp14:editId="64B3ED32">
            <wp:simplePos x="0" y="0"/>
            <wp:positionH relativeFrom="page">
              <wp:posOffset>888949</wp:posOffset>
            </wp:positionH>
            <wp:positionV relativeFrom="paragraph">
              <wp:posOffset>100242</wp:posOffset>
            </wp:positionV>
            <wp:extent cx="209550" cy="304800"/>
            <wp:effectExtent l="0" t="0" r="0" b="0"/>
            <wp:wrapNone/>
            <wp:docPr id="6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png"/>
                    <pic:cNvPicPr/>
                  </pic:nvPicPr>
                  <pic:blipFill>
                    <a:blip r:embed="rId31" cstate="print"/>
                    <a:stretch>
                      <a:fillRect/>
                    </a:stretch>
                  </pic:blipFill>
                  <pic:spPr>
                    <a:xfrm>
                      <a:off x="0" y="0"/>
                      <a:ext cx="209550" cy="304800"/>
                    </a:xfrm>
                    <a:prstGeom prst="rect">
                      <a:avLst/>
                    </a:prstGeom>
                  </pic:spPr>
                </pic:pic>
              </a:graphicData>
            </a:graphic>
          </wp:anchor>
        </w:drawing>
      </w:r>
      <w:bookmarkStart w:id="119" w:name="_bookmark68"/>
      <w:bookmarkEnd w:id="119"/>
      <w:r w:rsidR="0030286B">
        <w:rPr>
          <w:color w:val="333333"/>
          <w:w w:val="110"/>
        </w:rPr>
        <w:t xml:space="preserve">For a complete list of the properties that are applied by the devtools, see </w:t>
      </w:r>
      <w:hyperlink r:id="rId81">
        <w:r w:rsidR="0030286B">
          <w:rPr>
            <w:color w:val="418BCA"/>
            <w:w w:val="110"/>
          </w:rPr>
          <w:t>DevToolsPropertyDefaultsPostProcessor</w:t>
        </w:r>
      </w:hyperlink>
      <w:r w:rsidR="0030286B">
        <w:rPr>
          <w:color w:val="333333"/>
          <w:w w:val="110"/>
        </w:rPr>
        <w:t>.</w:t>
      </w:r>
    </w:p>
    <w:p w14:paraId="46D5B587" w14:textId="77777777" w:rsidR="00A720EB" w:rsidRDefault="00A720EB">
      <w:pPr>
        <w:pStyle w:val="a3"/>
        <w:spacing w:before="7"/>
        <w:rPr>
          <w:sz w:val="23"/>
        </w:rPr>
      </w:pPr>
    </w:p>
    <w:p w14:paraId="0FA1E685" w14:textId="77777777" w:rsidR="00A720EB" w:rsidRDefault="0030286B">
      <w:pPr>
        <w:pStyle w:val="3"/>
        <w:numPr>
          <w:ilvl w:val="2"/>
          <w:numId w:val="72"/>
        </w:numPr>
        <w:tabs>
          <w:tab w:val="left" w:pos="858"/>
        </w:tabs>
        <w:spacing w:before="105"/>
        <w:ind w:hanging="734"/>
      </w:pPr>
      <w:bookmarkStart w:id="120" w:name="3.8.2._Automatic_Restart"/>
      <w:bookmarkStart w:id="121" w:name="_Toc54423703"/>
      <w:bookmarkEnd w:id="120"/>
      <w:r>
        <w:rPr>
          <w:color w:val="333333"/>
          <w:w w:val="115"/>
        </w:rPr>
        <w:t>Automatic</w:t>
      </w:r>
      <w:r>
        <w:rPr>
          <w:color w:val="333333"/>
          <w:spacing w:val="-10"/>
          <w:w w:val="115"/>
        </w:rPr>
        <w:t xml:space="preserve"> </w:t>
      </w:r>
      <w:r>
        <w:rPr>
          <w:color w:val="333333"/>
          <w:w w:val="115"/>
        </w:rPr>
        <w:t>Restart</w:t>
      </w:r>
      <w:bookmarkEnd w:id="121"/>
    </w:p>
    <w:p w14:paraId="51153410" w14:textId="77777777" w:rsidR="00A720EB" w:rsidRDefault="0030286B">
      <w:pPr>
        <w:pStyle w:val="a3"/>
        <w:spacing w:before="243" w:line="302" w:lineRule="auto"/>
        <w:ind w:left="124" w:right="122"/>
        <w:jc w:val="both"/>
      </w:pPr>
      <w:r>
        <w:rPr>
          <w:color w:val="333333"/>
          <w:w w:val="110"/>
        </w:rPr>
        <w:t xml:space="preserve">Applications that use </w:t>
      </w:r>
      <w:r>
        <w:rPr>
          <w:rFonts w:ascii="MS Gothic"/>
          <w:color w:val="B02045"/>
          <w:w w:val="110"/>
        </w:rPr>
        <w:t xml:space="preserve">spring-boot-devtools </w:t>
      </w:r>
      <w:r>
        <w:rPr>
          <w:color w:val="333333"/>
          <w:w w:val="110"/>
        </w:rPr>
        <w:t xml:space="preserve">automatically restart whenever files on the classpath change. This can be a useful feature when working in an IDE, as it gives a very fast feedback loop     for code changes. </w:t>
      </w:r>
      <w:r>
        <w:rPr>
          <w:color w:val="333333"/>
          <w:spacing w:val="-3"/>
          <w:w w:val="110"/>
        </w:rPr>
        <w:t xml:space="preserve">By </w:t>
      </w:r>
      <w:r>
        <w:rPr>
          <w:color w:val="333333"/>
          <w:w w:val="110"/>
        </w:rPr>
        <w:t xml:space="preserve">default, any entry on the classpath that points to a directory is monitored for changes. Note that certain resources, such as static assets and view templates, </w:t>
      </w:r>
      <w:hyperlink w:anchor="_bookmark70" w:history="1">
        <w:r>
          <w:rPr>
            <w:color w:val="418BCA"/>
            <w:w w:val="110"/>
          </w:rPr>
          <w:t>do not need to restart</w:t>
        </w:r>
      </w:hyperlink>
      <w:r>
        <w:rPr>
          <w:color w:val="418BCA"/>
          <w:w w:val="110"/>
        </w:rPr>
        <w:t xml:space="preserve"> </w:t>
      </w:r>
      <w:hyperlink w:anchor="_bookmark70" w:history="1">
        <w:r>
          <w:rPr>
            <w:color w:val="418BCA"/>
            <w:w w:val="110"/>
          </w:rPr>
          <w:t>the</w:t>
        </w:r>
        <w:r>
          <w:rPr>
            <w:color w:val="418BCA"/>
            <w:spacing w:val="3"/>
            <w:w w:val="110"/>
          </w:rPr>
          <w:t xml:space="preserve"> </w:t>
        </w:r>
        <w:r>
          <w:rPr>
            <w:color w:val="418BCA"/>
            <w:w w:val="110"/>
          </w:rPr>
          <w:t>application</w:t>
        </w:r>
      </w:hyperlink>
      <w:r>
        <w:rPr>
          <w:color w:val="333333"/>
          <w:w w:val="110"/>
        </w:rPr>
        <w:t>.</w:t>
      </w:r>
    </w:p>
    <w:p w14:paraId="357B290C" w14:textId="77777777" w:rsidR="00A720EB" w:rsidRDefault="00E10349">
      <w:pPr>
        <w:pStyle w:val="a3"/>
        <w:spacing w:before="1"/>
        <w:rPr>
          <w:sz w:val="14"/>
        </w:rPr>
      </w:pPr>
      <w:r>
        <w:pict w14:anchorId="659F7AD1">
          <v:group id="_x0000_s4787" style="position:absolute;margin-left:48pt;margin-top:10.2pt;width:499.3pt;height:131.9pt;z-index:-15673344;mso-wrap-distance-left:0;mso-wrap-distance-right:0;mso-position-horizontal-relative:page" coordorigin="960,204" coordsize="9986,2638">
            <v:shape id="_x0000_s4790" style="position:absolute;left:964;top:209;width:9976;height:2628" coordorigin="965,209" coordsize="9976,2628" path="m10861,209r-9816,l1014,216r-26,17l971,258r-6,31l965,2757r6,31l988,2814r26,17l1045,2837r9816,l10892,2831r25,-17l10935,2788r6,-31l10941,289r-6,-31l10917,233r-25,-17l10861,209xe" fillcolor="#ededed" stroked="f">
              <v:path arrowok="t"/>
            </v:shape>
            <v:shape id="_x0000_s4789" style="position:absolute;left:964;top:209;width:9976;height:2628" coordorigin="965,209" coordsize="9976,2628" path="m1045,209r9816,l10892,216r25,17l10935,258r6,31l10941,2757r-6,31l10917,2814r-25,17l10861,2837r-9816,l1014,2831r-26,-17l971,2788r-6,-31l965,289r6,-31l988,233r26,-17l1045,209xe" filled="f" strokecolor="#e1e1e1" strokeweight=".5pt">
              <v:path arrowok="t"/>
            </v:shape>
            <v:shape id="_x0000_s4788" type="#_x0000_t202" style="position:absolute;left:972;top:215;width:9960;height:2617" filled="f" stroked="f">
              <v:textbox inset="0,0,0,0">
                <w:txbxContent>
                  <w:p w14:paraId="18EF5660" w14:textId="77777777" w:rsidR="00711A16" w:rsidRDefault="00711A16">
                    <w:pPr>
                      <w:spacing w:before="239"/>
                      <w:ind w:left="300" w:right="301"/>
                      <w:jc w:val="center"/>
                      <w:rPr>
                        <w:rFonts w:ascii="Palatino Linotype"/>
                        <w:b/>
                        <w:sz w:val="26"/>
                      </w:rPr>
                    </w:pPr>
                    <w:r>
                      <w:rPr>
                        <w:rFonts w:ascii="Palatino Linotype"/>
                        <w:b/>
                        <w:color w:val="333333"/>
                        <w:w w:val="115"/>
                        <w:sz w:val="26"/>
                      </w:rPr>
                      <w:t>Triggering a restart</w:t>
                    </w:r>
                  </w:p>
                  <w:p w14:paraId="30D1691B" w14:textId="77777777" w:rsidR="00711A16" w:rsidRDefault="00711A16">
                    <w:pPr>
                      <w:spacing w:before="254" w:line="300" w:lineRule="auto"/>
                      <w:ind w:left="291" w:right="290"/>
                      <w:jc w:val="both"/>
                      <w:rPr>
                        <w:sz w:val="21"/>
                      </w:rPr>
                    </w:pPr>
                    <w:r>
                      <w:rPr>
                        <w:color w:val="333333"/>
                        <w:w w:val="110"/>
                        <w:sz w:val="21"/>
                      </w:rPr>
                      <w:t xml:space="preserve">As DevTools monitors classpath resources, the only way to trigger a restart is to update </w:t>
                    </w:r>
                    <w:proofErr w:type="gramStart"/>
                    <w:r>
                      <w:rPr>
                        <w:color w:val="333333"/>
                        <w:w w:val="110"/>
                        <w:sz w:val="21"/>
                      </w:rPr>
                      <w:t>the  classpath</w:t>
                    </w:r>
                    <w:proofErr w:type="gramEnd"/>
                    <w:r>
                      <w:rPr>
                        <w:color w:val="333333"/>
                        <w:w w:val="110"/>
                        <w:sz w:val="21"/>
                      </w:rPr>
                      <w:t xml:space="preserve">. The way in which you cause the classpath to be updated depends on the IDE </w:t>
                    </w:r>
                    <w:proofErr w:type="gramStart"/>
                    <w:r>
                      <w:rPr>
                        <w:color w:val="333333"/>
                        <w:w w:val="110"/>
                        <w:sz w:val="21"/>
                      </w:rPr>
                      <w:t>that  you</w:t>
                    </w:r>
                    <w:proofErr w:type="gramEnd"/>
                    <w:r>
                      <w:rPr>
                        <w:color w:val="333333"/>
                        <w:w w:val="110"/>
                        <w:sz w:val="21"/>
                      </w:rPr>
                      <w:t xml:space="preserve"> are using. In Eclipse, saving a modified file causes the classpath to </w:t>
                    </w:r>
                    <w:proofErr w:type="gramStart"/>
                    <w:r>
                      <w:rPr>
                        <w:color w:val="333333"/>
                        <w:w w:val="110"/>
                        <w:sz w:val="21"/>
                      </w:rPr>
                      <w:t>be  updated</w:t>
                    </w:r>
                    <w:proofErr w:type="gramEnd"/>
                    <w:r>
                      <w:rPr>
                        <w:color w:val="333333"/>
                        <w:w w:val="110"/>
                        <w:sz w:val="21"/>
                      </w:rPr>
                      <w:t xml:space="preserve">  and  triggers</w:t>
                    </w:r>
                    <w:r>
                      <w:rPr>
                        <w:color w:val="333333"/>
                        <w:spacing w:val="-11"/>
                        <w:w w:val="110"/>
                        <w:sz w:val="21"/>
                      </w:rPr>
                      <w:t xml:space="preserve"> </w:t>
                    </w:r>
                    <w:r>
                      <w:rPr>
                        <w:color w:val="333333"/>
                        <w:w w:val="110"/>
                        <w:sz w:val="21"/>
                      </w:rPr>
                      <w:t>a</w:t>
                    </w:r>
                    <w:r>
                      <w:rPr>
                        <w:color w:val="333333"/>
                        <w:spacing w:val="-10"/>
                        <w:w w:val="110"/>
                        <w:sz w:val="21"/>
                      </w:rPr>
                      <w:t xml:space="preserve"> </w:t>
                    </w:r>
                    <w:r>
                      <w:rPr>
                        <w:color w:val="333333"/>
                        <w:w w:val="110"/>
                        <w:sz w:val="21"/>
                      </w:rPr>
                      <w:t>restart.</w:t>
                    </w:r>
                    <w:r>
                      <w:rPr>
                        <w:color w:val="333333"/>
                        <w:spacing w:val="-11"/>
                        <w:w w:val="110"/>
                        <w:sz w:val="21"/>
                      </w:rPr>
                      <w:t xml:space="preserve"> </w:t>
                    </w:r>
                    <w:r>
                      <w:rPr>
                        <w:color w:val="333333"/>
                        <w:w w:val="110"/>
                        <w:sz w:val="21"/>
                      </w:rPr>
                      <w:t>In</w:t>
                    </w:r>
                    <w:r>
                      <w:rPr>
                        <w:color w:val="333333"/>
                        <w:spacing w:val="-11"/>
                        <w:w w:val="110"/>
                        <w:sz w:val="21"/>
                      </w:rPr>
                      <w:t xml:space="preserve"> </w:t>
                    </w:r>
                    <w:r>
                      <w:rPr>
                        <w:color w:val="333333"/>
                        <w:w w:val="110"/>
                        <w:sz w:val="21"/>
                      </w:rPr>
                      <w:t>IntelliJ</w:t>
                    </w:r>
                    <w:r>
                      <w:rPr>
                        <w:color w:val="333333"/>
                        <w:spacing w:val="-10"/>
                        <w:w w:val="110"/>
                        <w:sz w:val="21"/>
                      </w:rPr>
                      <w:t xml:space="preserve"> </w:t>
                    </w:r>
                    <w:r>
                      <w:rPr>
                        <w:color w:val="333333"/>
                        <w:w w:val="110"/>
                        <w:sz w:val="21"/>
                      </w:rPr>
                      <w:t>IDEA,</w:t>
                    </w:r>
                    <w:r>
                      <w:rPr>
                        <w:color w:val="333333"/>
                        <w:spacing w:val="-11"/>
                        <w:w w:val="110"/>
                        <w:sz w:val="21"/>
                      </w:rPr>
                      <w:t xml:space="preserve"> </w:t>
                    </w:r>
                    <w:r>
                      <w:rPr>
                        <w:color w:val="333333"/>
                        <w:w w:val="110"/>
                        <w:sz w:val="21"/>
                      </w:rPr>
                      <w:t>building</w:t>
                    </w:r>
                    <w:r>
                      <w:rPr>
                        <w:color w:val="333333"/>
                        <w:spacing w:val="-11"/>
                        <w:w w:val="110"/>
                        <w:sz w:val="21"/>
                      </w:rPr>
                      <w:t xml:space="preserve"> </w:t>
                    </w:r>
                    <w:r>
                      <w:rPr>
                        <w:color w:val="333333"/>
                        <w:w w:val="110"/>
                        <w:sz w:val="21"/>
                      </w:rPr>
                      <w:t>the</w:t>
                    </w:r>
                    <w:r>
                      <w:rPr>
                        <w:color w:val="333333"/>
                        <w:spacing w:val="-10"/>
                        <w:w w:val="110"/>
                        <w:sz w:val="21"/>
                      </w:rPr>
                      <w:t xml:space="preserve"> </w:t>
                    </w:r>
                    <w:r>
                      <w:rPr>
                        <w:color w:val="333333"/>
                        <w:w w:val="110"/>
                        <w:sz w:val="21"/>
                      </w:rPr>
                      <w:t>project</w:t>
                    </w:r>
                    <w:r>
                      <w:rPr>
                        <w:color w:val="333333"/>
                        <w:spacing w:val="-11"/>
                        <w:w w:val="110"/>
                        <w:sz w:val="21"/>
                      </w:rPr>
                      <w:t xml:space="preserve"> </w:t>
                    </w:r>
                    <w:r>
                      <w:rPr>
                        <w:color w:val="333333"/>
                        <w:w w:val="110"/>
                        <w:sz w:val="21"/>
                      </w:rPr>
                      <w:t>(</w:t>
                    </w:r>
                    <w:r>
                      <w:rPr>
                        <w:rFonts w:ascii="MS Gothic" w:hAnsi="MS Gothic"/>
                        <w:color w:val="B02045"/>
                        <w:w w:val="110"/>
                        <w:sz w:val="21"/>
                      </w:rPr>
                      <w:t>Build</w:t>
                    </w:r>
                    <w:r>
                      <w:rPr>
                        <w:rFonts w:ascii="MS Gothic" w:hAnsi="MS Gothic"/>
                        <w:color w:val="B02045"/>
                        <w:spacing w:val="-39"/>
                        <w:w w:val="110"/>
                        <w:sz w:val="21"/>
                      </w:rPr>
                      <w:t xml:space="preserve"> </w:t>
                    </w:r>
                    <w:r>
                      <w:rPr>
                        <w:rFonts w:ascii="MS Gothic" w:hAnsi="MS Gothic"/>
                        <w:color w:val="B02045"/>
                        <w:w w:val="110"/>
                        <w:sz w:val="21"/>
                      </w:rPr>
                      <w:t>+</w:t>
                    </w:r>
                    <w:r>
                      <w:rPr>
                        <w:rFonts w:ascii="MS UI Gothic" w:hAnsi="MS UI Gothic"/>
                        <w:color w:val="B02045"/>
                        <w:w w:val="110"/>
                        <w:sz w:val="21"/>
                      </w:rPr>
                      <w:t>→</w:t>
                    </w:r>
                    <w:r>
                      <w:rPr>
                        <w:rFonts w:ascii="MS Gothic" w:hAnsi="MS Gothic"/>
                        <w:color w:val="B02045"/>
                        <w:w w:val="110"/>
                        <w:sz w:val="21"/>
                      </w:rPr>
                      <w:t>+</w:t>
                    </w:r>
                    <w:r>
                      <w:rPr>
                        <w:rFonts w:ascii="MS Gothic" w:hAnsi="MS Gothic"/>
                        <w:color w:val="B02045"/>
                        <w:spacing w:val="-40"/>
                        <w:w w:val="110"/>
                        <w:sz w:val="21"/>
                      </w:rPr>
                      <w:t xml:space="preserve"> </w:t>
                    </w:r>
                    <w:r>
                      <w:rPr>
                        <w:rFonts w:ascii="MS Gothic" w:hAnsi="MS Gothic"/>
                        <w:color w:val="B02045"/>
                        <w:w w:val="110"/>
                        <w:sz w:val="21"/>
                      </w:rPr>
                      <w:t>Build</w:t>
                    </w:r>
                    <w:r>
                      <w:rPr>
                        <w:rFonts w:ascii="MS Gothic" w:hAnsi="MS Gothic"/>
                        <w:color w:val="B02045"/>
                        <w:spacing w:val="-40"/>
                        <w:w w:val="110"/>
                        <w:sz w:val="21"/>
                      </w:rPr>
                      <w:t xml:space="preserve"> </w:t>
                    </w:r>
                    <w:r>
                      <w:rPr>
                        <w:rFonts w:ascii="MS Gothic" w:hAnsi="MS Gothic"/>
                        <w:color w:val="B02045"/>
                        <w:w w:val="110"/>
                        <w:sz w:val="21"/>
                      </w:rPr>
                      <w:t>Project</w:t>
                    </w:r>
                    <w:r>
                      <w:rPr>
                        <w:color w:val="333333"/>
                        <w:w w:val="110"/>
                        <w:sz w:val="21"/>
                      </w:rPr>
                      <w:t>)</w:t>
                    </w:r>
                    <w:r>
                      <w:rPr>
                        <w:color w:val="333333"/>
                        <w:spacing w:val="-11"/>
                        <w:w w:val="110"/>
                        <w:sz w:val="21"/>
                      </w:rPr>
                      <w:t xml:space="preserve"> </w:t>
                    </w:r>
                    <w:r>
                      <w:rPr>
                        <w:color w:val="333333"/>
                        <w:w w:val="110"/>
                        <w:sz w:val="21"/>
                      </w:rPr>
                      <w:t>has</w:t>
                    </w:r>
                    <w:r>
                      <w:rPr>
                        <w:color w:val="333333"/>
                        <w:spacing w:val="-10"/>
                        <w:w w:val="110"/>
                        <w:sz w:val="21"/>
                      </w:rPr>
                      <w:t xml:space="preserve"> </w:t>
                    </w:r>
                    <w:r>
                      <w:rPr>
                        <w:color w:val="333333"/>
                        <w:w w:val="110"/>
                        <w:sz w:val="21"/>
                      </w:rPr>
                      <w:t>the</w:t>
                    </w:r>
                    <w:r>
                      <w:rPr>
                        <w:color w:val="333333"/>
                        <w:spacing w:val="-10"/>
                        <w:w w:val="110"/>
                        <w:sz w:val="21"/>
                      </w:rPr>
                      <w:t xml:space="preserve"> </w:t>
                    </w:r>
                    <w:r>
                      <w:rPr>
                        <w:color w:val="333333"/>
                        <w:w w:val="110"/>
                        <w:sz w:val="21"/>
                      </w:rPr>
                      <w:t>same effect.</w:t>
                    </w:r>
                  </w:p>
                </w:txbxContent>
              </v:textbox>
            </v:shape>
            <w10:wrap type="topAndBottom" anchorx="page"/>
          </v:group>
        </w:pict>
      </w:r>
    </w:p>
    <w:p w14:paraId="50E28607" w14:textId="77777777" w:rsidR="00A720EB" w:rsidRDefault="00A720EB">
      <w:pPr>
        <w:pStyle w:val="a3"/>
        <w:spacing w:before="1"/>
        <w:rPr>
          <w:sz w:val="17"/>
        </w:rPr>
      </w:pPr>
    </w:p>
    <w:p w14:paraId="1D3C9E20" w14:textId="77777777" w:rsidR="00A720EB" w:rsidRDefault="00E10349">
      <w:pPr>
        <w:pStyle w:val="a3"/>
        <w:spacing w:before="125" w:line="307" w:lineRule="auto"/>
        <w:ind w:left="1564" w:right="369"/>
        <w:jc w:val="both"/>
      </w:pPr>
      <w:r>
        <w:pict w14:anchorId="32379418">
          <v:line id="_x0000_s4786" style="position:absolute;left:0;text-align:left;z-index:15785472;mso-position-horizontal-relative:page" from="108.25pt,.25pt" to="108.25pt,71.4pt" strokecolor="#ededed" strokeweight=".5pt">
            <w10:wrap anchorx="page"/>
          </v:line>
        </w:pict>
      </w:r>
      <w:r w:rsidR="0030286B">
        <w:rPr>
          <w:noProof/>
        </w:rPr>
        <w:drawing>
          <wp:anchor distT="0" distB="0" distL="0" distR="0" simplePos="0" relativeHeight="15785984" behindDoc="0" locked="0" layoutInCell="1" allowOverlap="1" wp14:anchorId="19393357" wp14:editId="4273432F">
            <wp:simplePos x="0" y="0"/>
            <wp:positionH relativeFrom="page">
              <wp:posOffset>844422</wp:posOffset>
            </wp:positionH>
            <wp:positionV relativeFrom="paragraph">
              <wp:posOffset>305727</wp:posOffset>
            </wp:positionV>
            <wp:extent cx="298450" cy="29845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As long as forking is enabled, you can also start your application </w:t>
      </w:r>
      <w:r w:rsidR="0030286B">
        <w:rPr>
          <w:color w:val="333333"/>
          <w:spacing w:val="-3"/>
          <w:w w:val="110"/>
        </w:rPr>
        <w:t xml:space="preserve">by </w:t>
      </w:r>
      <w:r w:rsidR="0030286B">
        <w:rPr>
          <w:color w:val="333333"/>
          <w:w w:val="110"/>
        </w:rPr>
        <w:t xml:space="preserve">using the supported build plugins (Maven and Gradle), since DevTools needs an isolated application classloader to operate </w:t>
      </w:r>
      <w:r w:rsidR="0030286B">
        <w:rPr>
          <w:color w:val="333333"/>
          <w:spacing w:val="-3"/>
          <w:w w:val="110"/>
        </w:rPr>
        <w:t xml:space="preserve">properly. By </w:t>
      </w:r>
      <w:r w:rsidR="0030286B">
        <w:rPr>
          <w:color w:val="333333"/>
          <w:w w:val="110"/>
        </w:rPr>
        <w:t>default, the Gradle and Maven plugins fork the application</w:t>
      </w:r>
      <w:r w:rsidR="0030286B">
        <w:rPr>
          <w:color w:val="333333"/>
          <w:spacing w:val="12"/>
          <w:w w:val="110"/>
        </w:rPr>
        <w:t xml:space="preserve"> </w:t>
      </w:r>
      <w:r w:rsidR="0030286B">
        <w:rPr>
          <w:color w:val="333333"/>
          <w:w w:val="110"/>
        </w:rPr>
        <w:t>process.</w:t>
      </w:r>
    </w:p>
    <w:p w14:paraId="398AF476" w14:textId="77777777" w:rsidR="00A720EB" w:rsidRDefault="00A720EB">
      <w:pPr>
        <w:pStyle w:val="a3"/>
        <w:spacing w:before="7"/>
        <w:rPr>
          <w:sz w:val="23"/>
        </w:rPr>
      </w:pPr>
    </w:p>
    <w:p w14:paraId="22D12D9C" w14:textId="77777777" w:rsidR="00A720EB" w:rsidRDefault="00E10349">
      <w:pPr>
        <w:pStyle w:val="a3"/>
        <w:spacing w:before="125" w:line="307" w:lineRule="auto"/>
        <w:ind w:left="1564" w:right="362"/>
        <w:jc w:val="both"/>
      </w:pPr>
      <w:r>
        <w:pict w14:anchorId="5AE52CDA">
          <v:line id="_x0000_s4785" style="position:absolute;left:0;text-align:left;z-index:15786496;mso-position-horizontal-relative:page" from="108.25pt,.25pt" to="108.25pt,71.4pt" strokecolor="#ededed" strokeweight=".5pt">
            <w10:wrap anchorx="page"/>
          </v:line>
        </w:pict>
      </w:r>
      <w:r w:rsidR="0030286B">
        <w:rPr>
          <w:noProof/>
        </w:rPr>
        <w:drawing>
          <wp:anchor distT="0" distB="0" distL="0" distR="0" simplePos="0" relativeHeight="15787008" behindDoc="0" locked="0" layoutInCell="1" allowOverlap="1" wp14:anchorId="24F68BAD" wp14:editId="21593594">
            <wp:simplePos x="0" y="0"/>
            <wp:positionH relativeFrom="page">
              <wp:posOffset>888949</wp:posOffset>
            </wp:positionH>
            <wp:positionV relativeFrom="paragraph">
              <wp:posOffset>302552</wp:posOffset>
            </wp:positionV>
            <wp:extent cx="209550" cy="304800"/>
            <wp:effectExtent l="0" t="0" r="0" b="0"/>
            <wp:wrapNone/>
            <wp:docPr id="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Automatic restart works very well when used with LiveReload. </w:t>
      </w:r>
      <w:hyperlink w:anchor="_bookmark76" w:history="1">
        <w:r w:rsidR="0030286B">
          <w:rPr>
            <w:color w:val="418BCA"/>
            <w:w w:val="110"/>
          </w:rPr>
          <w:t>See the LiveReload</w:t>
        </w:r>
      </w:hyperlink>
      <w:r w:rsidR="0030286B">
        <w:rPr>
          <w:color w:val="418BCA"/>
          <w:w w:val="110"/>
        </w:rPr>
        <w:t xml:space="preserve"> </w:t>
      </w:r>
      <w:hyperlink w:anchor="_bookmark76" w:history="1">
        <w:r w:rsidR="0030286B">
          <w:rPr>
            <w:color w:val="418BCA"/>
            <w:w w:val="110"/>
          </w:rPr>
          <w:t>section</w:t>
        </w:r>
      </w:hyperlink>
      <w:r w:rsidR="0030286B">
        <w:rPr>
          <w:color w:val="418BCA"/>
          <w:w w:val="110"/>
        </w:rPr>
        <w:t xml:space="preserve"> </w:t>
      </w:r>
      <w:r w:rsidR="0030286B">
        <w:rPr>
          <w:color w:val="333333"/>
          <w:w w:val="110"/>
        </w:rPr>
        <w:t>for details. If you use JRebel, automatic restarts are disabled in favor of dynamic class reloading. Other devtools features (such as LiveReload and property overrides) can still be used.</w:t>
      </w:r>
    </w:p>
    <w:p w14:paraId="4DCF6BE0" w14:textId="77777777" w:rsidR="00A720EB" w:rsidRDefault="00A720EB">
      <w:pPr>
        <w:pStyle w:val="a3"/>
        <w:spacing w:before="7"/>
        <w:rPr>
          <w:sz w:val="23"/>
        </w:rPr>
      </w:pPr>
    </w:p>
    <w:p w14:paraId="296A3EAD" w14:textId="77777777" w:rsidR="00A720EB" w:rsidRDefault="00E10349">
      <w:pPr>
        <w:pStyle w:val="a3"/>
        <w:spacing w:before="126" w:line="302" w:lineRule="auto"/>
        <w:ind w:left="1564" w:right="369"/>
        <w:jc w:val="both"/>
      </w:pPr>
      <w:r>
        <w:pict w14:anchorId="76693E69">
          <v:line id="_x0000_s4784" style="position:absolute;left:0;text-align:left;z-index:15787520;mso-position-horizontal-relative:page" from="108.25pt,.3pt" to="108.25pt,55.65pt" strokecolor="#ededed" strokeweight=".5pt">
            <w10:wrap anchorx="page"/>
          </v:line>
        </w:pict>
      </w:r>
      <w:r w:rsidR="0030286B">
        <w:rPr>
          <w:noProof/>
        </w:rPr>
        <w:drawing>
          <wp:anchor distT="0" distB="0" distL="0" distR="0" simplePos="0" relativeHeight="15788032" behindDoc="0" locked="0" layoutInCell="1" allowOverlap="1" wp14:anchorId="3E8C4592" wp14:editId="2655BC98">
            <wp:simplePos x="0" y="0"/>
            <wp:positionH relativeFrom="page">
              <wp:posOffset>844422</wp:posOffset>
            </wp:positionH>
            <wp:positionV relativeFrom="paragraph">
              <wp:posOffset>206159</wp:posOffset>
            </wp:positionV>
            <wp:extent cx="298450" cy="29845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DevTools relies on the application context’s shutdown hook to close it during a restart. It does not work correctly if you have disabled the shutdown </w:t>
      </w:r>
      <w:proofErr w:type="gramStart"/>
      <w:r w:rsidR="0030286B">
        <w:rPr>
          <w:color w:val="333333"/>
          <w:w w:val="110"/>
        </w:rPr>
        <w:t>hook  (</w:t>
      </w:r>
      <w:proofErr w:type="gramEnd"/>
      <w:r w:rsidR="0030286B">
        <w:rPr>
          <w:rFonts w:ascii="MS Gothic" w:hAnsi="MS Gothic"/>
          <w:color w:val="B02045"/>
          <w:w w:val="110"/>
        </w:rPr>
        <w:t>SpringApplication.setRegisterShutdownHook(false)</w:t>
      </w:r>
      <w:r w:rsidR="0030286B">
        <w:rPr>
          <w:color w:val="333333"/>
          <w:w w:val="110"/>
        </w:rPr>
        <w:t>).</w:t>
      </w:r>
    </w:p>
    <w:p w14:paraId="6BF34591" w14:textId="77777777" w:rsidR="00A720EB" w:rsidRDefault="00A720EB">
      <w:pPr>
        <w:pStyle w:val="a3"/>
        <w:spacing w:before="4"/>
        <w:rPr>
          <w:sz w:val="22"/>
        </w:rPr>
      </w:pPr>
    </w:p>
    <w:p w14:paraId="6EC0B9E5" w14:textId="77777777" w:rsidR="00A720EB" w:rsidRDefault="00E10349">
      <w:pPr>
        <w:pStyle w:val="a3"/>
        <w:spacing w:before="125" w:line="288" w:lineRule="auto"/>
        <w:ind w:left="1564" w:right="362"/>
        <w:jc w:val="both"/>
      </w:pPr>
      <w:r>
        <w:pict w14:anchorId="4230E2CB">
          <v:line id="_x0000_s4783" style="position:absolute;left:0;text-align:left;z-index:15788544;mso-position-horizontal-relative:page" from="108.25pt,.25pt" to="108.25pt,71.4pt" strokecolor="#ededed" strokeweight=".5pt">
            <w10:wrap anchorx="page"/>
          </v:line>
        </w:pict>
      </w:r>
      <w:r w:rsidR="0030286B">
        <w:rPr>
          <w:noProof/>
        </w:rPr>
        <w:drawing>
          <wp:anchor distT="0" distB="0" distL="0" distR="0" simplePos="0" relativeHeight="15789056" behindDoc="0" locked="0" layoutInCell="1" allowOverlap="1" wp14:anchorId="68795BD6" wp14:editId="12C515A2">
            <wp:simplePos x="0" y="0"/>
            <wp:positionH relativeFrom="page">
              <wp:posOffset>844422</wp:posOffset>
            </wp:positionH>
            <wp:positionV relativeFrom="paragraph">
              <wp:posOffset>305727</wp:posOffset>
            </wp:positionV>
            <wp:extent cx="298450" cy="29845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When deciding if an entry on the classpath should trigger a </w:t>
      </w:r>
      <w:proofErr w:type="gramStart"/>
      <w:r w:rsidR="0030286B">
        <w:rPr>
          <w:color w:val="333333"/>
          <w:w w:val="110"/>
        </w:rPr>
        <w:t>restart  when</w:t>
      </w:r>
      <w:proofErr w:type="gramEnd"/>
      <w:r w:rsidR="0030286B">
        <w:rPr>
          <w:color w:val="333333"/>
          <w:w w:val="110"/>
        </w:rPr>
        <w:t xml:space="preserve">  it  changes,</w:t>
      </w:r>
      <w:r w:rsidR="0030286B">
        <w:rPr>
          <w:color w:val="333333"/>
          <w:spacing w:val="-16"/>
          <w:w w:val="110"/>
        </w:rPr>
        <w:t xml:space="preserve"> </w:t>
      </w:r>
      <w:r w:rsidR="0030286B">
        <w:rPr>
          <w:color w:val="333333"/>
          <w:w w:val="110"/>
        </w:rPr>
        <w:t>DevTools</w:t>
      </w:r>
      <w:r w:rsidR="0030286B">
        <w:rPr>
          <w:color w:val="333333"/>
          <w:spacing w:val="-15"/>
          <w:w w:val="110"/>
        </w:rPr>
        <w:t xml:space="preserve"> </w:t>
      </w:r>
      <w:r w:rsidR="0030286B">
        <w:rPr>
          <w:color w:val="333333"/>
          <w:w w:val="110"/>
        </w:rPr>
        <w:t>automatically</w:t>
      </w:r>
      <w:r w:rsidR="0030286B">
        <w:rPr>
          <w:color w:val="333333"/>
          <w:spacing w:val="-16"/>
          <w:w w:val="110"/>
        </w:rPr>
        <w:t xml:space="preserve"> </w:t>
      </w:r>
      <w:r w:rsidR="0030286B">
        <w:rPr>
          <w:color w:val="333333"/>
          <w:w w:val="110"/>
        </w:rPr>
        <w:t>ignores</w:t>
      </w:r>
      <w:r w:rsidR="0030286B">
        <w:rPr>
          <w:color w:val="333333"/>
          <w:spacing w:val="-16"/>
          <w:w w:val="110"/>
        </w:rPr>
        <w:t xml:space="preserve"> </w:t>
      </w:r>
      <w:r w:rsidR="0030286B">
        <w:rPr>
          <w:color w:val="333333"/>
          <w:w w:val="110"/>
        </w:rPr>
        <w:t>projects</w:t>
      </w:r>
      <w:r w:rsidR="0030286B">
        <w:rPr>
          <w:color w:val="333333"/>
          <w:spacing w:val="-16"/>
          <w:w w:val="110"/>
        </w:rPr>
        <w:t xml:space="preserve"> </w:t>
      </w:r>
      <w:r w:rsidR="0030286B">
        <w:rPr>
          <w:color w:val="333333"/>
          <w:w w:val="110"/>
        </w:rPr>
        <w:t>named</w:t>
      </w:r>
      <w:r w:rsidR="0030286B">
        <w:rPr>
          <w:color w:val="333333"/>
          <w:spacing w:val="-11"/>
          <w:w w:val="110"/>
        </w:rPr>
        <w:t xml:space="preserve"> </w:t>
      </w:r>
      <w:r w:rsidR="0030286B">
        <w:rPr>
          <w:rFonts w:ascii="MS Gothic"/>
          <w:color w:val="B02045"/>
          <w:w w:val="110"/>
        </w:rPr>
        <w:t>spring-boot</w:t>
      </w:r>
      <w:r w:rsidR="0030286B">
        <w:rPr>
          <w:color w:val="333333"/>
          <w:w w:val="110"/>
        </w:rPr>
        <w:t>,</w:t>
      </w:r>
      <w:r w:rsidR="0030286B">
        <w:rPr>
          <w:color w:val="333333"/>
          <w:spacing w:val="-16"/>
          <w:w w:val="110"/>
        </w:rPr>
        <w:t xml:space="preserve"> </w:t>
      </w:r>
      <w:r w:rsidR="0030286B">
        <w:rPr>
          <w:rFonts w:ascii="MS Gothic"/>
          <w:color w:val="B02045"/>
          <w:w w:val="110"/>
        </w:rPr>
        <w:t xml:space="preserve">spring-boot- </w:t>
      </w:r>
      <w:r w:rsidR="0030286B">
        <w:rPr>
          <w:rFonts w:ascii="MS Gothic"/>
          <w:color w:val="B02045"/>
          <w:w w:val="105"/>
        </w:rPr>
        <w:t>devtools</w:t>
      </w:r>
      <w:r w:rsidR="0030286B">
        <w:rPr>
          <w:color w:val="333333"/>
          <w:w w:val="105"/>
        </w:rPr>
        <w:t xml:space="preserve">, </w:t>
      </w:r>
      <w:r w:rsidR="0030286B">
        <w:rPr>
          <w:rFonts w:ascii="MS Gothic"/>
          <w:color w:val="B02045"/>
          <w:w w:val="105"/>
        </w:rPr>
        <w:t>spring-boot-autoconfigure</w:t>
      </w:r>
      <w:r w:rsidR="0030286B">
        <w:rPr>
          <w:color w:val="333333"/>
          <w:w w:val="105"/>
        </w:rPr>
        <w:t xml:space="preserve">, </w:t>
      </w:r>
      <w:r w:rsidR="0030286B">
        <w:rPr>
          <w:rFonts w:ascii="MS Gothic"/>
          <w:color w:val="B02045"/>
          <w:w w:val="105"/>
        </w:rPr>
        <w:t>spring-boot-actuator</w:t>
      </w:r>
      <w:r w:rsidR="0030286B">
        <w:rPr>
          <w:color w:val="333333"/>
          <w:w w:val="105"/>
        </w:rPr>
        <w:t xml:space="preserve">, and </w:t>
      </w:r>
      <w:r w:rsidR="0030286B">
        <w:rPr>
          <w:rFonts w:ascii="MS Gothic"/>
          <w:color w:val="B02045"/>
          <w:spacing w:val="-2"/>
          <w:w w:val="105"/>
        </w:rPr>
        <w:t xml:space="preserve">spring-boot- </w:t>
      </w:r>
      <w:r w:rsidR="0030286B">
        <w:rPr>
          <w:rFonts w:ascii="MS Gothic"/>
          <w:color w:val="B02045"/>
          <w:w w:val="110"/>
        </w:rPr>
        <w:t>starter</w:t>
      </w:r>
      <w:r w:rsidR="0030286B">
        <w:rPr>
          <w:color w:val="333333"/>
          <w:w w:val="110"/>
        </w:rPr>
        <w:t>.</w:t>
      </w:r>
    </w:p>
    <w:p w14:paraId="72A86785" w14:textId="77777777" w:rsidR="00A720EB" w:rsidRDefault="00A720EB">
      <w:pPr>
        <w:pStyle w:val="a3"/>
        <w:spacing w:before="2"/>
        <w:rPr>
          <w:sz w:val="23"/>
        </w:rPr>
      </w:pPr>
    </w:p>
    <w:p w14:paraId="419857B8" w14:textId="77777777" w:rsidR="00A720EB" w:rsidRDefault="00E10349">
      <w:pPr>
        <w:pStyle w:val="a3"/>
        <w:spacing w:before="116" w:line="295" w:lineRule="auto"/>
        <w:ind w:left="1564" w:right="362"/>
        <w:jc w:val="both"/>
      </w:pPr>
      <w:r>
        <w:pict w14:anchorId="2DDBA91E">
          <v:line id="_x0000_s4782" style="position:absolute;left:0;text-align:left;z-index:15789568;mso-position-horizontal-relative:page" from="108.25pt,.35pt" to="108.25pt,55.7pt" strokecolor="#ededed" strokeweight=".5pt">
            <w10:wrap anchorx="page"/>
          </v:line>
        </w:pict>
      </w:r>
      <w:r w:rsidR="0030286B">
        <w:rPr>
          <w:noProof/>
        </w:rPr>
        <w:drawing>
          <wp:anchor distT="0" distB="0" distL="0" distR="0" simplePos="0" relativeHeight="15790080" behindDoc="0" locked="0" layoutInCell="1" allowOverlap="1" wp14:anchorId="5EF39F64" wp14:editId="4336A1B6">
            <wp:simplePos x="0" y="0"/>
            <wp:positionH relativeFrom="page">
              <wp:posOffset>844422</wp:posOffset>
            </wp:positionH>
            <wp:positionV relativeFrom="paragraph">
              <wp:posOffset>206451</wp:posOffset>
            </wp:positionV>
            <wp:extent cx="298450" cy="298450"/>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DevTools</w:t>
      </w:r>
      <w:r w:rsidR="0030286B">
        <w:rPr>
          <w:color w:val="333333"/>
          <w:spacing w:val="-17"/>
          <w:w w:val="110"/>
        </w:rPr>
        <w:t xml:space="preserve"> </w:t>
      </w:r>
      <w:r w:rsidR="0030286B">
        <w:rPr>
          <w:color w:val="333333"/>
          <w:w w:val="110"/>
        </w:rPr>
        <w:t>needs</w:t>
      </w:r>
      <w:r w:rsidR="0030286B">
        <w:rPr>
          <w:color w:val="333333"/>
          <w:spacing w:val="-16"/>
          <w:w w:val="110"/>
        </w:rPr>
        <w:t xml:space="preserve"> </w:t>
      </w:r>
      <w:r w:rsidR="0030286B">
        <w:rPr>
          <w:color w:val="333333"/>
          <w:w w:val="110"/>
        </w:rPr>
        <w:t>to</w:t>
      </w:r>
      <w:r w:rsidR="0030286B">
        <w:rPr>
          <w:color w:val="333333"/>
          <w:spacing w:val="-17"/>
          <w:w w:val="110"/>
        </w:rPr>
        <w:t xml:space="preserve"> </w:t>
      </w:r>
      <w:r w:rsidR="0030286B">
        <w:rPr>
          <w:color w:val="333333"/>
          <w:w w:val="110"/>
        </w:rPr>
        <w:t>customize</w:t>
      </w:r>
      <w:r w:rsidR="0030286B">
        <w:rPr>
          <w:color w:val="333333"/>
          <w:spacing w:val="-16"/>
          <w:w w:val="110"/>
        </w:rPr>
        <w:t xml:space="preserve"> </w:t>
      </w:r>
      <w:r w:rsidR="0030286B">
        <w:rPr>
          <w:color w:val="333333"/>
          <w:w w:val="110"/>
        </w:rPr>
        <w:t>the</w:t>
      </w:r>
      <w:r w:rsidR="0030286B">
        <w:rPr>
          <w:color w:val="333333"/>
          <w:spacing w:val="-17"/>
          <w:w w:val="110"/>
        </w:rPr>
        <w:t xml:space="preserve"> </w:t>
      </w:r>
      <w:r w:rsidR="0030286B">
        <w:rPr>
          <w:rFonts w:ascii="MS Gothic"/>
          <w:color w:val="B02045"/>
          <w:w w:val="110"/>
        </w:rPr>
        <w:t>ResourceLoader</w:t>
      </w:r>
      <w:r w:rsidR="0030286B">
        <w:rPr>
          <w:rFonts w:ascii="MS Gothic"/>
          <w:color w:val="B02045"/>
          <w:spacing w:val="-81"/>
          <w:w w:val="110"/>
        </w:rPr>
        <w:t xml:space="preserve"> </w:t>
      </w:r>
      <w:r w:rsidR="0030286B">
        <w:rPr>
          <w:color w:val="333333"/>
          <w:w w:val="110"/>
        </w:rPr>
        <w:t>used</w:t>
      </w:r>
      <w:r w:rsidR="0030286B">
        <w:rPr>
          <w:color w:val="333333"/>
          <w:spacing w:val="-16"/>
          <w:w w:val="110"/>
        </w:rPr>
        <w:t xml:space="preserve"> </w:t>
      </w:r>
      <w:r w:rsidR="0030286B">
        <w:rPr>
          <w:color w:val="333333"/>
          <w:spacing w:val="-3"/>
          <w:w w:val="110"/>
        </w:rPr>
        <w:t>by</w:t>
      </w:r>
      <w:r w:rsidR="0030286B">
        <w:rPr>
          <w:color w:val="333333"/>
          <w:spacing w:val="-17"/>
          <w:w w:val="110"/>
        </w:rPr>
        <w:t xml:space="preserve"> </w:t>
      </w:r>
      <w:r w:rsidR="0030286B">
        <w:rPr>
          <w:color w:val="333333"/>
          <w:w w:val="110"/>
        </w:rPr>
        <w:t>the</w:t>
      </w:r>
      <w:r w:rsidR="0030286B">
        <w:rPr>
          <w:color w:val="333333"/>
          <w:spacing w:val="-16"/>
          <w:w w:val="110"/>
        </w:rPr>
        <w:t xml:space="preserve"> </w:t>
      </w:r>
      <w:r w:rsidR="0030286B">
        <w:rPr>
          <w:rFonts w:ascii="MS Gothic"/>
          <w:color w:val="B02045"/>
          <w:w w:val="110"/>
        </w:rPr>
        <w:t>ApplicationContext</w:t>
      </w:r>
      <w:r w:rsidR="0030286B">
        <w:rPr>
          <w:color w:val="333333"/>
          <w:w w:val="110"/>
        </w:rPr>
        <w:t>.</w:t>
      </w:r>
      <w:r w:rsidR="0030286B">
        <w:rPr>
          <w:color w:val="333333"/>
          <w:spacing w:val="-16"/>
          <w:w w:val="110"/>
        </w:rPr>
        <w:t xml:space="preserve"> </w:t>
      </w:r>
      <w:r w:rsidR="0030286B">
        <w:rPr>
          <w:color w:val="333333"/>
          <w:w w:val="110"/>
        </w:rPr>
        <w:t xml:space="preserve">If your application provides one </w:t>
      </w:r>
      <w:r w:rsidR="0030286B">
        <w:rPr>
          <w:color w:val="333333"/>
          <w:spacing w:val="-4"/>
          <w:w w:val="110"/>
        </w:rPr>
        <w:t xml:space="preserve">already, </w:t>
      </w:r>
      <w:r w:rsidR="0030286B">
        <w:rPr>
          <w:color w:val="333333"/>
          <w:w w:val="110"/>
        </w:rPr>
        <w:t>it is going to be wrapped. Direct override of the</w:t>
      </w:r>
      <w:r w:rsidR="0030286B">
        <w:rPr>
          <w:color w:val="333333"/>
          <w:spacing w:val="-6"/>
          <w:w w:val="110"/>
        </w:rPr>
        <w:t xml:space="preserve"> </w:t>
      </w:r>
      <w:r w:rsidR="0030286B">
        <w:rPr>
          <w:rFonts w:ascii="MS Gothic"/>
          <w:color w:val="B02045"/>
          <w:w w:val="110"/>
        </w:rPr>
        <w:t>getResource</w:t>
      </w:r>
      <w:r w:rsidR="0030286B">
        <w:rPr>
          <w:rFonts w:ascii="MS Gothic"/>
          <w:color w:val="B02045"/>
          <w:spacing w:val="-70"/>
          <w:w w:val="110"/>
        </w:rPr>
        <w:t xml:space="preserve"> </w:t>
      </w:r>
      <w:r w:rsidR="0030286B">
        <w:rPr>
          <w:color w:val="333333"/>
          <w:w w:val="110"/>
        </w:rPr>
        <w:t>method</w:t>
      </w:r>
      <w:r w:rsidR="0030286B">
        <w:rPr>
          <w:color w:val="333333"/>
          <w:spacing w:val="-5"/>
          <w:w w:val="110"/>
        </w:rPr>
        <w:t xml:space="preserve"> </w:t>
      </w:r>
      <w:r w:rsidR="0030286B">
        <w:rPr>
          <w:color w:val="333333"/>
          <w:w w:val="110"/>
        </w:rPr>
        <w:t>on</w:t>
      </w:r>
      <w:r w:rsidR="0030286B">
        <w:rPr>
          <w:color w:val="333333"/>
          <w:spacing w:val="-5"/>
          <w:w w:val="110"/>
        </w:rPr>
        <w:t xml:space="preserve"> </w:t>
      </w:r>
      <w:r w:rsidR="0030286B">
        <w:rPr>
          <w:color w:val="333333"/>
          <w:w w:val="110"/>
        </w:rPr>
        <w:t>the</w:t>
      </w:r>
      <w:r w:rsidR="0030286B">
        <w:rPr>
          <w:color w:val="333333"/>
          <w:spacing w:val="-4"/>
          <w:w w:val="110"/>
        </w:rPr>
        <w:t xml:space="preserve"> </w:t>
      </w:r>
      <w:r w:rsidR="0030286B">
        <w:rPr>
          <w:rFonts w:ascii="MS Gothic"/>
          <w:color w:val="B02045"/>
          <w:w w:val="110"/>
        </w:rPr>
        <w:t>ApplicationContext</w:t>
      </w:r>
      <w:r w:rsidR="0030286B">
        <w:rPr>
          <w:rFonts w:ascii="MS Gothic"/>
          <w:color w:val="B02045"/>
          <w:spacing w:val="-69"/>
          <w:w w:val="110"/>
        </w:rPr>
        <w:t xml:space="preserve"> </w:t>
      </w:r>
      <w:r w:rsidR="0030286B">
        <w:rPr>
          <w:color w:val="333333"/>
          <w:w w:val="110"/>
        </w:rPr>
        <w:t>is</w:t>
      </w:r>
      <w:r w:rsidR="0030286B">
        <w:rPr>
          <w:color w:val="333333"/>
          <w:spacing w:val="-6"/>
          <w:w w:val="110"/>
        </w:rPr>
        <w:t xml:space="preserve"> </w:t>
      </w:r>
      <w:r w:rsidR="0030286B">
        <w:rPr>
          <w:color w:val="333333"/>
          <w:w w:val="110"/>
        </w:rPr>
        <w:t>not</w:t>
      </w:r>
      <w:r w:rsidR="0030286B">
        <w:rPr>
          <w:color w:val="333333"/>
          <w:spacing w:val="-5"/>
          <w:w w:val="110"/>
        </w:rPr>
        <w:t xml:space="preserve"> </w:t>
      </w:r>
      <w:r w:rsidR="0030286B">
        <w:rPr>
          <w:color w:val="333333"/>
          <w:w w:val="110"/>
        </w:rPr>
        <w:t>supported.</w:t>
      </w:r>
    </w:p>
    <w:p w14:paraId="0C6A182C" w14:textId="77777777" w:rsidR="00A720EB" w:rsidRDefault="00A720EB">
      <w:pPr>
        <w:spacing w:line="295" w:lineRule="auto"/>
        <w:jc w:val="both"/>
        <w:sectPr w:rsidR="00A720EB">
          <w:pgSz w:w="11910" w:h="16840"/>
          <w:pgMar w:top="700" w:right="840" w:bottom="520" w:left="840" w:header="0" w:footer="323" w:gutter="0"/>
          <w:cols w:space="720"/>
        </w:sectPr>
      </w:pPr>
    </w:p>
    <w:p w14:paraId="5D2DF9CB" w14:textId="77777777" w:rsidR="00A720EB" w:rsidRDefault="00E10349">
      <w:pPr>
        <w:pStyle w:val="a3"/>
        <w:ind w:left="119"/>
        <w:rPr>
          <w:sz w:val="20"/>
        </w:rPr>
      </w:pPr>
      <w:r>
        <w:rPr>
          <w:sz w:val="20"/>
        </w:rPr>
      </w:r>
      <w:r>
        <w:rPr>
          <w:sz w:val="20"/>
        </w:rPr>
        <w:pict w14:anchorId="2437B62C">
          <v:group id="_x0000_s4778" style="width:499.3pt;height:222.8pt;mso-position-horizontal-relative:char;mso-position-vertical-relative:line" coordsize="9986,4456">
            <v:shape id="_x0000_s4781" style="position:absolute;left:5;top:5;width:9976;height:4446" coordorigin="5,5" coordsize="9976,4446" path="m9901,5l85,5,54,11,28,28,11,54,5,85r,4286l11,4402r17,25l54,4444r31,7l9901,4451r31,-7l9958,4427r17,-25l9981,4371r,-4286l9975,54,9958,28,9932,11,9901,5xe" fillcolor="#ededed" stroked="f">
              <v:path arrowok="t"/>
            </v:shape>
            <v:shape id="_x0000_s4780" style="position:absolute;left:5;top:5;width:9976;height:4446" coordorigin="5,5" coordsize="9976,4446" path="m85,5r9816,l9932,11r26,17l9975,54r6,31l9981,4371r-6,31l9958,4427r-26,17l9901,4451r-9816,l54,4444,28,4427,11,4402,5,4371,5,85,11,54,28,28,54,11,85,5xe" filled="f" strokecolor="#e1e1e1" strokeweight=".5pt">
              <v:path arrowok="t"/>
            </v:shape>
            <v:shape id="_x0000_s4779" type="#_x0000_t202" style="position:absolute;left:13;top:10;width:9960;height:4435" filled="f" stroked="f">
              <v:textbox inset="0,0,0,0">
                <w:txbxContent>
                  <w:p w14:paraId="38CCCD41" w14:textId="77777777" w:rsidR="00711A16" w:rsidRDefault="00711A16">
                    <w:pPr>
                      <w:spacing w:before="239"/>
                      <w:ind w:left="300" w:right="299"/>
                      <w:jc w:val="center"/>
                      <w:rPr>
                        <w:rFonts w:ascii="Palatino Linotype"/>
                        <w:b/>
                        <w:sz w:val="26"/>
                      </w:rPr>
                    </w:pPr>
                    <w:r>
                      <w:rPr>
                        <w:rFonts w:ascii="Palatino Linotype"/>
                        <w:b/>
                        <w:color w:val="333333"/>
                        <w:w w:val="110"/>
                        <w:sz w:val="26"/>
                      </w:rPr>
                      <w:t>Restart vs Reload</w:t>
                    </w:r>
                  </w:p>
                  <w:p w14:paraId="23EAF9AD" w14:textId="77777777" w:rsidR="00711A16" w:rsidRDefault="00711A16">
                    <w:pPr>
                      <w:spacing w:before="254" w:line="278" w:lineRule="auto"/>
                      <w:ind w:left="291" w:right="289"/>
                      <w:jc w:val="both"/>
                      <w:rPr>
                        <w:sz w:val="21"/>
                      </w:rPr>
                    </w:pPr>
                    <w:r>
                      <w:rPr>
                        <w:color w:val="333333"/>
                        <w:w w:val="110"/>
                        <w:sz w:val="21"/>
                      </w:rPr>
                      <w:t xml:space="preserve">The restart technology provided </w:t>
                    </w:r>
                    <w:r>
                      <w:rPr>
                        <w:color w:val="333333"/>
                        <w:spacing w:val="-3"/>
                        <w:w w:val="110"/>
                        <w:sz w:val="21"/>
                      </w:rPr>
                      <w:t xml:space="preserve">by </w:t>
                    </w:r>
                    <w:r>
                      <w:rPr>
                        <w:color w:val="333333"/>
                        <w:w w:val="110"/>
                        <w:sz w:val="21"/>
                      </w:rPr>
                      <w:t xml:space="preserve">Spring Boot works </w:t>
                    </w:r>
                    <w:r>
                      <w:rPr>
                        <w:color w:val="333333"/>
                        <w:spacing w:val="-3"/>
                        <w:w w:val="110"/>
                        <w:sz w:val="21"/>
                      </w:rPr>
                      <w:t xml:space="preserve">by </w:t>
                    </w:r>
                    <w:r>
                      <w:rPr>
                        <w:color w:val="333333"/>
                        <w:w w:val="110"/>
                        <w:sz w:val="21"/>
                      </w:rPr>
                      <w:t xml:space="preserve">using two classloaders. Classes that do not change (for example, those from third-party jars) are loaded into a </w:t>
                    </w:r>
                    <w:r>
                      <w:rPr>
                        <w:rFonts w:ascii="Palatino Linotype" w:hAnsi="Palatino Linotype"/>
                        <w:i/>
                        <w:color w:val="333333"/>
                        <w:w w:val="110"/>
                        <w:sz w:val="21"/>
                      </w:rPr>
                      <w:t xml:space="preserve">base </w:t>
                    </w:r>
                    <w:r>
                      <w:rPr>
                        <w:color w:val="333333"/>
                        <w:w w:val="110"/>
                        <w:sz w:val="21"/>
                      </w:rPr>
                      <w:t xml:space="preserve">classloader. Classes that you are actively developing are loaded into a </w:t>
                    </w:r>
                    <w:r>
                      <w:rPr>
                        <w:rFonts w:ascii="Palatino Linotype" w:hAnsi="Palatino Linotype"/>
                        <w:i/>
                        <w:color w:val="333333"/>
                        <w:w w:val="110"/>
                        <w:sz w:val="21"/>
                      </w:rPr>
                      <w:t xml:space="preserve">restart </w:t>
                    </w:r>
                    <w:r>
                      <w:rPr>
                        <w:color w:val="333333"/>
                        <w:w w:val="110"/>
                        <w:sz w:val="21"/>
                      </w:rPr>
                      <w:t xml:space="preserve">classloader. When the application is restarted, the </w:t>
                    </w:r>
                    <w:r>
                      <w:rPr>
                        <w:rFonts w:ascii="Palatino Linotype" w:hAnsi="Palatino Linotype"/>
                        <w:i/>
                        <w:color w:val="333333"/>
                        <w:w w:val="110"/>
                        <w:sz w:val="21"/>
                      </w:rPr>
                      <w:t xml:space="preserve">restart </w:t>
                    </w:r>
                    <w:r>
                      <w:rPr>
                        <w:color w:val="333333"/>
                        <w:w w:val="110"/>
                        <w:sz w:val="21"/>
                      </w:rPr>
                      <w:t xml:space="preserve">classloader is thrown away and a new one is created. This approach means that application restarts are typically much faster than “cold starts”, since    the </w:t>
                    </w:r>
                    <w:r>
                      <w:rPr>
                        <w:rFonts w:ascii="Palatino Linotype" w:hAnsi="Palatino Linotype"/>
                        <w:i/>
                        <w:color w:val="333333"/>
                        <w:w w:val="110"/>
                        <w:sz w:val="21"/>
                      </w:rPr>
                      <w:t xml:space="preserve">base </w:t>
                    </w:r>
                    <w:r>
                      <w:rPr>
                        <w:color w:val="333333"/>
                        <w:w w:val="110"/>
                        <w:sz w:val="21"/>
                      </w:rPr>
                      <w:t>classloader is already available and</w:t>
                    </w:r>
                    <w:r>
                      <w:rPr>
                        <w:color w:val="333333"/>
                        <w:spacing w:val="19"/>
                        <w:w w:val="110"/>
                        <w:sz w:val="21"/>
                      </w:rPr>
                      <w:t xml:space="preserve"> </w:t>
                    </w:r>
                    <w:r>
                      <w:rPr>
                        <w:color w:val="333333"/>
                        <w:w w:val="110"/>
                        <w:sz w:val="21"/>
                      </w:rPr>
                      <w:t>populated.</w:t>
                    </w:r>
                  </w:p>
                  <w:p w14:paraId="08792B22" w14:textId="77777777" w:rsidR="00711A16" w:rsidRDefault="00711A16">
                    <w:pPr>
                      <w:spacing w:before="247" w:line="307" w:lineRule="auto"/>
                      <w:ind w:left="291" w:right="289"/>
                      <w:jc w:val="both"/>
                      <w:rPr>
                        <w:sz w:val="21"/>
                      </w:rPr>
                    </w:pPr>
                    <w:r>
                      <w:rPr>
                        <w:color w:val="333333"/>
                        <w:w w:val="110"/>
                        <w:sz w:val="21"/>
                      </w:rPr>
                      <w:t xml:space="preserve">If you find that restarts are not quick enough for your applications or you encounter classloading issues, you could consider reloading technologies such as </w:t>
                    </w:r>
                    <w:hyperlink r:id="rId82">
                      <w:r>
                        <w:rPr>
                          <w:color w:val="418BCA"/>
                          <w:w w:val="110"/>
                          <w:sz w:val="21"/>
                        </w:rPr>
                        <w:t>JRebel</w:t>
                      </w:r>
                    </w:hyperlink>
                    <w:r>
                      <w:rPr>
                        <w:color w:val="418BCA"/>
                        <w:w w:val="110"/>
                        <w:sz w:val="21"/>
                      </w:rPr>
                      <w:t xml:space="preserve"> </w:t>
                    </w:r>
                    <w:r>
                      <w:rPr>
                        <w:color w:val="333333"/>
                        <w:w w:val="110"/>
                        <w:sz w:val="21"/>
                      </w:rPr>
                      <w:t>from ZeroTurnaround. These work by rewriting classes as they are loaded to make them more amenable to reloading.</w:t>
                    </w:r>
                  </w:p>
                </w:txbxContent>
              </v:textbox>
            </v:shape>
            <w10:anchorlock/>
          </v:group>
        </w:pict>
      </w:r>
    </w:p>
    <w:p w14:paraId="47D4C839" w14:textId="77777777" w:rsidR="00A720EB" w:rsidRDefault="00A720EB">
      <w:pPr>
        <w:pStyle w:val="a3"/>
        <w:spacing w:before="1"/>
        <w:rPr>
          <w:sz w:val="16"/>
        </w:rPr>
      </w:pPr>
    </w:p>
    <w:p w14:paraId="491206A0" w14:textId="77777777" w:rsidR="00A720EB" w:rsidRDefault="0030286B">
      <w:pPr>
        <w:pStyle w:val="4"/>
        <w:spacing w:before="104"/>
      </w:pPr>
      <w:bookmarkStart w:id="122" w:name="Logging_changes_in_condition_evaluation"/>
      <w:bookmarkEnd w:id="122"/>
      <w:r>
        <w:rPr>
          <w:color w:val="333333"/>
          <w:w w:val="110"/>
        </w:rPr>
        <w:t>Logging changes in condition evaluation</w:t>
      </w:r>
    </w:p>
    <w:p w14:paraId="539512BF" w14:textId="77777777" w:rsidR="00A720EB" w:rsidRDefault="00A720EB">
      <w:pPr>
        <w:pStyle w:val="a3"/>
        <w:spacing w:before="11"/>
        <w:rPr>
          <w:rFonts w:ascii="Palatino Linotype"/>
          <w:b/>
          <w:sz w:val="18"/>
        </w:rPr>
      </w:pPr>
    </w:p>
    <w:p w14:paraId="18FD1570" w14:textId="77777777" w:rsidR="00A720EB" w:rsidRDefault="0030286B">
      <w:pPr>
        <w:pStyle w:val="a3"/>
        <w:spacing w:line="307" w:lineRule="auto"/>
        <w:ind w:left="124" w:right="130"/>
        <w:jc w:val="both"/>
      </w:pPr>
      <w:r>
        <w:rPr>
          <w:color w:val="333333"/>
          <w:w w:val="110"/>
        </w:rPr>
        <w:t xml:space="preserve">By default, each time your application restarts, a report showing the condition evaluation delta </w:t>
      </w:r>
      <w:proofErr w:type="gramStart"/>
      <w:r>
        <w:rPr>
          <w:color w:val="333333"/>
          <w:w w:val="110"/>
        </w:rPr>
        <w:t>is  logged</w:t>
      </w:r>
      <w:proofErr w:type="gramEnd"/>
      <w:r>
        <w:rPr>
          <w:color w:val="333333"/>
          <w:w w:val="110"/>
        </w:rPr>
        <w:t>. The report shows the changes to your application’s auto-configuration as you make changes such as adding or removing beans and setting configuration properties.</w:t>
      </w:r>
    </w:p>
    <w:p w14:paraId="402C1A51" w14:textId="77777777" w:rsidR="00A720EB" w:rsidRDefault="0030286B">
      <w:pPr>
        <w:pStyle w:val="a3"/>
        <w:spacing w:before="242"/>
        <w:ind w:left="124"/>
        <w:jc w:val="both"/>
      </w:pPr>
      <w:r>
        <w:rPr>
          <w:color w:val="333333"/>
          <w:w w:val="110"/>
        </w:rPr>
        <w:t>To disable the logging of the report, set the following property:</w:t>
      </w:r>
    </w:p>
    <w:p w14:paraId="76FA6AD7" w14:textId="77777777" w:rsidR="00A720EB" w:rsidRDefault="00E10349">
      <w:pPr>
        <w:pStyle w:val="a3"/>
        <w:spacing w:before="11"/>
        <w:rPr>
          <w:sz w:val="18"/>
        </w:rPr>
      </w:pPr>
      <w:r>
        <w:pict w14:anchorId="0854888F">
          <v:group id="_x0000_s4774" style="position:absolute;margin-left:47.85pt;margin-top:13.1pt;width:499.55pt;height:37.5pt;z-index:-15666176;mso-wrap-distance-left:0;mso-wrap-distance-right:0;mso-position-horizontal-relative:page" coordorigin="957,262" coordsize="9991,750">
            <v:shape id="_x0000_s4777" style="position:absolute;left:964;top:269;width:9976;height:735" coordorigin="965,269" coordsize="9976,735" path="m10861,269r-9816,l1014,276r-26,17l971,318r-6,31l965,924r6,31l988,981r26,17l1045,1004r9816,l10892,998r25,-17l10935,955r6,-31l10941,349r-6,-31l10917,293r-25,-17l10861,269xe" fillcolor="#f5f5f5" stroked="f">
              <v:path arrowok="t"/>
            </v:shape>
            <v:shape id="_x0000_s4776" style="position:absolute;left:964;top:269;width:9976;height:735" coordorigin="965,269" coordsize="9976,735" path="m1045,269r9816,l10892,276r25,17l10935,318r6,31l10941,924r-6,31l10917,981r-25,17l10861,1004r-9816,l1014,998,988,981,971,955r-6,-31l965,349r6,-31l988,293r26,-17l1045,269xe" filled="f" strokecolor="#ccc">
              <v:path arrowok="t"/>
            </v:shape>
            <v:shape id="_x0000_s4775" type="#_x0000_t202" style="position:absolute;left:984;top:284;width:9938;height:704" filled="f" stroked="f">
              <v:textbox inset="0,0,0,0">
                <w:txbxContent>
                  <w:p w14:paraId="439BF03A" w14:textId="77777777" w:rsidR="00711A16" w:rsidRDefault="00711A16">
                    <w:pPr>
                      <w:spacing w:before="221"/>
                      <w:ind w:left="200"/>
                      <w:rPr>
                        <w:rFonts w:ascii="MS Gothic"/>
                      </w:rPr>
                    </w:pPr>
                    <w:r>
                      <w:rPr>
                        <w:rFonts w:ascii="MS Gothic"/>
                        <w:color w:val="333333"/>
                      </w:rPr>
                      <w:t>spring.devtools.restart.log-condition-evaluation-delta=false</w:t>
                    </w:r>
                  </w:p>
                </w:txbxContent>
              </v:textbox>
            </v:shape>
            <w10:wrap type="topAndBottom" anchorx="page"/>
          </v:group>
        </w:pict>
      </w:r>
    </w:p>
    <w:p w14:paraId="7FE1BD00" w14:textId="77777777" w:rsidR="00A720EB" w:rsidRDefault="00A720EB">
      <w:pPr>
        <w:pStyle w:val="a3"/>
        <w:spacing w:before="11"/>
        <w:rPr>
          <w:sz w:val="16"/>
        </w:rPr>
      </w:pPr>
    </w:p>
    <w:p w14:paraId="121CB5CB" w14:textId="77777777" w:rsidR="00A720EB" w:rsidRDefault="0030286B">
      <w:pPr>
        <w:pStyle w:val="4"/>
        <w:spacing w:before="104"/>
      </w:pPr>
      <w:bookmarkStart w:id="123" w:name="Excluding_Resources"/>
      <w:bookmarkEnd w:id="123"/>
      <w:r>
        <w:rPr>
          <w:color w:val="333333"/>
          <w:w w:val="110"/>
        </w:rPr>
        <w:t>Excluding Resources</w:t>
      </w:r>
    </w:p>
    <w:p w14:paraId="7276EBE8" w14:textId="77777777" w:rsidR="00A720EB" w:rsidRDefault="00A720EB">
      <w:pPr>
        <w:pStyle w:val="a3"/>
        <w:spacing w:before="11"/>
        <w:rPr>
          <w:rFonts w:ascii="Palatino Linotype"/>
          <w:b/>
          <w:sz w:val="18"/>
        </w:rPr>
      </w:pPr>
    </w:p>
    <w:p w14:paraId="57452834" w14:textId="77777777" w:rsidR="00A720EB" w:rsidRDefault="0030286B">
      <w:pPr>
        <w:pStyle w:val="a3"/>
        <w:spacing w:line="297" w:lineRule="auto"/>
        <w:ind w:left="124" w:right="122"/>
        <w:jc w:val="both"/>
      </w:pPr>
      <w:r>
        <w:rPr>
          <w:color w:val="333333"/>
          <w:w w:val="110"/>
        </w:rPr>
        <w:t xml:space="preserve">Certain resources do not necessarily need to trigger a restart when they are changed. </w:t>
      </w:r>
      <w:r>
        <w:rPr>
          <w:color w:val="333333"/>
          <w:spacing w:val="-4"/>
          <w:w w:val="110"/>
        </w:rPr>
        <w:t xml:space="preserve">For </w:t>
      </w:r>
      <w:r>
        <w:rPr>
          <w:color w:val="333333"/>
          <w:w w:val="110"/>
        </w:rPr>
        <w:t xml:space="preserve">example, </w:t>
      </w:r>
      <w:proofErr w:type="gramStart"/>
      <w:r>
        <w:rPr>
          <w:color w:val="333333"/>
          <w:w w:val="110"/>
        </w:rPr>
        <w:t>Thymeleaf  templates</w:t>
      </w:r>
      <w:proofErr w:type="gramEnd"/>
      <w:r>
        <w:rPr>
          <w:color w:val="333333"/>
          <w:w w:val="110"/>
        </w:rPr>
        <w:t xml:space="preserve">  can  be  edited  in-place.  </w:t>
      </w:r>
      <w:proofErr w:type="gramStart"/>
      <w:r>
        <w:rPr>
          <w:color w:val="333333"/>
          <w:spacing w:val="-3"/>
          <w:w w:val="110"/>
        </w:rPr>
        <w:t xml:space="preserve">By  </w:t>
      </w:r>
      <w:r>
        <w:rPr>
          <w:color w:val="333333"/>
          <w:w w:val="110"/>
        </w:rPr>
        <w:t>default</w:t>
      </w:r>
      <w:proofErr w:type="gramEnd"/>
      <w:r>
        <w:rPr>
          <w:color w:val="333333"/>
          <w:w w:val="110"/>
        </w:rPr>
        <w:t>,</w:t>
      </w:r>
      <w:r>
        <w:rPr>
          <w:color w:val="333333"/>
          <w:spacing w:val="-23"/>
          <w:w w:val="110"/>
        </w:rPr>
        <w:t xml:space="preserve"> </w:t>
      </w:r>
      <w:r>
        <w:rPr>
          <w:color w:val="333333"/>
          <w:w w:val="110"/>
        </w:rPr>
        <w:t xml:space="preserve">changing  resources  in  </w:t>
      </w:r>
      <w:r>
        <w:rPr>
          <w:rFonts w:ascii="MS Gothic"/>
          <w:color w:val="B02045"/>
          <w:w w:val="110"/>
        </w:rPr>
        <w:t>/META-INF/maven</w:t>
      </w:r>
      <w:r>
        <w:rPr>
          <w:color w:val="333333"/>
          <w:w w:val="110"/>
        </w:rPr>
        <w:t>,</w:t>
      </w:r>
    </w:p>
    <w:p w14:paraId="132435B9" w14:textId="77777777" w:rsidR="00A720EB" w:rsidRDefault="0030286B">
      <w:pPr>
        <w:pStyle w:val="a3"/>
        <w:spacing w:line="251" w:lineRule="exact"/>
        <w:ind w:left="124"/>
        <w:jc w:val="both"/>
      </w:pPr>
      <w:r>
        <w:rPr>
          <w:rFonts w:ascii="MS Gothic"/>
          <w:color w:val="B02045"/>
          <w:w w:val="105"/>
        </w:rPr>
        <w:t>/META-INF/resources</w:t>
      </w:r>
      <w:r>
        <w:rPr>
          <w:color w:val="333333"/>
          <w:w w:val="105"/>
        </w:rPr>
        <w:t>,</w:t>
      </w:r>
      <w:r>
        <w:rPr>
          <w:color w:val="333333"/>
          <w:spacing w:val="18"/>
          <w:w w:val="105"/>
        </w:rPr>
        <w:t xml:space="preserve"> </w:t>
      </w:r>
      <w:r>
        <w:rPr>
          <w:rFonts w:ascii="MS Gothic"/>
          <w:color w:val="B02045"/>
          <w:w w:val="105"/>
        </w:rPr>
        <w:t>/resources</w:t>
      </w:r>
      <w:r>
        <w:rPr>
          <w:color w:val="333333"/>
          <w:w w:val="105"/>
        </w:rPr>
        <w:t>,</w:t>
      </w:r>
      <w:r>
        <w:rPr>
          <w:color w:val="333333"/>
          <w:spacing w:val="19"/>
          <w:w w:val="105"/>
        </w:rPr>
        <w:t xml:space="preserve"> </w:t>
      </w:r>
      <w:r>
        <w:rPr>
          <w:rFonts w:ascii="MS Gothic"/>
          <w:color w:val="B02045"/>
          <w:w w:val="105"/>
        </w:rPr>
        <w:t>/static</w:t>
      </w:r>
      <w:r>
        <w:rPr>
          <w:color w:val="333333"/>
          <w:w w:val="105"/>
        </w:rPr>
        <w:t>,</w:t>
      </w:r>
      <w:r>
        <w:rPr>
          <w:color w:val="333333"/>
          <w:spacing w:val="19"/>
          <w:w w:val="105"/>
        </w:rPr>
        <w:t xml:space="preserve"> </w:t>
      </w:r>
      <w:r>
        <w:rPr>
          <w:rFonts w:ascii="MS Gothic"/>
          <w:color w:val="B02045"/>
          <w:w w:val="105"/>
        </w:rPr>
        <w:t>/public</w:t>
      </w:r>
      <w:r>
        <w:rPr>
          <w:color w:val="333333"/>
          <w:w w:val="105"/>
        </w:rPr>
        <w:t>,</w:t>
      </w:r>
      <w:r>
        <w:rPr>
          <w:color w:val="333333"/>
          <w:spacing w:val="19"/>
          <w:w w:val="105"/>
        </w:rPr>
        <w:t xml:space="preserve"> </w:t>
      </w:r>
      <w:r>
        <w:rPr>
          <w:color w:val="333333"/>
          <w:w w:val="105"/>
        </w:rPr>
        <w:t>or</w:t>
      </w:r>
      <w:r>
        <w:rPr>
          <w:color w:val="333333"/>
          <w:spacing w:val="19"/>
          <w:w w:val="105"/>
        </w:rPr>
        <w:t xml:space="preserve"> </w:t>
      </w:r>
      <w:r>
        <w:rPr>
          <w:rFonts w:ascii="MS Gothic"/>
          <w:color w:val="B02045"/>
          <w:w w:val="105"/>
        </w:rPr>
        <w:t>/templates</w:t>
      </w:r>
      <w:r>
        <w:rPr>
          <w:rFonts w:ascii="MS Gothic"/>
          <w:color w:val="B02045"/>
          <w:spacing w:val="-43"/>
          <w:w w:val="105"/>
        </w:rPr>
        <w:t xml:space="preserve"> </w:t>
      </w:r>
      <w:r>
        <w:rPr>
          <w:color w:val="333333"/>
          <w:w w:val="105"/>
        </w:rPr>
        <w:t>does</w:t>
      </w:r>
      <w:r>
        <w:rPr>
          <w:color w:val="333333"/>
          <w:spacing w:val="19"/>
          <w:w w:val="105"/>
        </w:rPr>
        <w:t xml:space="preserve"> </w:t>
      </w:r>
      <w:r>
        <w:rPr>
          <w:color w:val="333333"/>
          <w:w w:val="105"/>
        </w:rPr>
        <w:t>not</w:t>
      </w:r>
      <w:r>
        <w:rPr>
          <w:color w:val="333333"/>
          <w:spacing w:val="19"/>
          <w:w w:val="105"/>
        </w:rPr>
        <w:t xml:space="preserve"> </w:t>
      </w:r>
      <w:r>
        <w:rPr>
          <w:color w:val="333333"/>
          <w:w w:val="105"/>
        </w:rPr>
        <w:t>trigger</w:t>
      </w:r>
      <w:r>
        <w:rPr>
          <w:color w:val="333333"/>
          <w:spacing w:val="19"/>
          <w:w w:val="105"/>
        </w:rPr>
        <w:t xml:space="preserve"> </w:t>
      </w:r>
      <w:r>
        <w:rPr>
          <w:color w:val="333333"/>
          <w:w w:val="105"/>
        </w:rPr>
        <w:t>a</w:t>
      </w:r>
      <w:r>
        <w:rPr>
          <w:color w:val="333333"/>
          <w:spacing w:val="19"/>
          <w:w w:val="105"/>
        </w:rPr>
        <w:t xml:space="preserve"> </w:t>
      </w:r>
      <w:r>
        <w:rPr>
          <w:color w:val="333333"/>
          <w:w w:val="105"/>
        </w:rPr>
        <w:t>restart</w:t>
      </w:r>
      <w:r>
        <w:rPr>
          <w:color w:val="333333"/>
          <w:spacing w:val="19"/>
          <w:w w:val="105"/>
        </w:rPr>
        <w:t xml:space="preserve"> </w:t>
      </w:r>
      <w:r>
        <w:rPr>
          <w:color w:val="333333"/>
          <w:w w:val="105"/>
        </w:rPr>
        <w:t>but</w:t>
      </w:r>
      <w:r>
        <w:rPr>
          <w:color w:val="333333"/>
          <w:spacing w:val="19"/>
          <w:w w:val="105"/>
        </w:rPr>
        <w:t xml:space="preserve"> </w:t>
      </w:r>
      <w:r>
        <w:rPr>
          <w:color w:val="333333"/>
          <w:w w:val="105"/>
        </w:rPr>
        <w:t>does</w:t>
      </w:r>
    </w:p>
    <w:p w14:paraId="6F2DC415" w14:textId="77777777" w:rsidR="00A720EB" w:rsidRDefault="0030286B">
      <w:pPr>
        <w:pStyle w:val="a3"/>
        <w:spacing w:before="57" w:line="295" w:lineRule="auto"/>
        <w:ind w:left="124" w:right="123"/>
        <w:jc w:val="both"/>
      </w:pPr>
      <w:r>
        <w:rPr>
          <w:color w:val="333333"/>
          <w:w w:val="110"/>
        </w:rPr>
        <w:t xml:space="preserve">trigger a </w:t>
      </w:r>
      <w:hyperlink w:anchor="_bookmark76" w:history="1">
        <w:r>
          <w:rPr>
            <w:color w:val="418BCA"/>
            <w:w w:val="110"/>
          </w:rPr>
          <w:t>live reload</w:t>
        </w:r>
      </w:hyperlink>
      <w:r>
        <w:rPr>
          <w:color w:val="333333"/>
          <w:w w:val="110"/>
        </w:rPr>
        <w:t xml:space="preserve">. If you want to customize these exclusions, you can use the </w:t>
      </w:r>
      <w:proofErr w:type="gramStart"/>
      <w:r>
        <w:rPr>
          <w:rFonts w:ascii="MS Gothic"/>
          <w:color w:val="B02045"/>
          <w:w w:val="110"/>
        </w:rPr>
        <w:t>spring.devtools</w:t>
      </w:r>
      <w:proofErr w:type="gramEnd"/>
      <w:r>
        <w:rPr>
          <w:rFonts w:ascii="MS Gothic"/>
          <w:color w:val="B02045"/>
          <w:w w:val="110"/>
        </w:rPr>
        <w:t>.restart.exclude</w:t>
      </w:r>
      <w:r>
        <w:rPr>
          <w:rFonts w:ascii="MS Gothic"/>
          <w:color w:val="B02045"/>
          <w:spacing w:val="-63"/>
          <w:w w:val="110"/>
        </w:rPr>
        <w:t xml:space="preserve"> </w:t>
      </w:r>
      <w:r>
        <w:rPr>
          <w:color w:val="333333"/>
          <w:spacing w:val="-3"/>
          <w:w w:val="110"/>
        </w:rPr>
        <w:t xml:space="preserve">property. </w:t>
      </w:r>
      <w:r>
        <w:rPr>
          <w:color w:val="333333"/>
          <w:spacing w:val="-4"/>
          <w:w w:val="110"/>
        </w:rPr>
        <w:t xml:space="preserve">For </w:t>
      </w:r>
      <w:r>
        <w:rPr>
          <w:color w:val="333333"/>
          <w:w w:val="110"/>
        </w:rPr>
        <w:t xml:space="preserve">example, to exclude only </w:t>
      </w:r>
      <w:r>
        <w:rPr>
          <w:rFonts w:ascii="MS Gothic"/>
          <w:color w:val="B02045"/>
          <w:w w:val="110"/>
        </w:rPr>
        <w:t>/static</w:t>
      </w:r>
      <w:r>
        <w:rPr>
          <w:rFonts w:ascii="MS Gothic"/>
          <w:color w:val="B02045"/>
          <w:spacing w:val="-63"/>
          <w:w w:val="110"/>
        </w:rPr>
        <w:t xml:space="preserve"> </w:t>
      </w:r>
      <w:r>
        <w:rPr>
          <w:color w:val="333333"/>
          <w:w w:val="110"/>
        </w:rPr>
        <w:t xml:space="preserve">and </w:t>
      </w:r>
      <w:r>
        <w:rPr>
          <w:rFonts w:ascii="MS Gothic"/>
          <w:color w:val="B02045"/>
          <w:w w:val="110"/>
        </w:rPr>
        <w:t>/public</w:t>
      </w:r>
      <w:r>
        <w:rPr>
          <w:rFonts w:ascii="MS Gothic"/>
          <w:color w:val="B02045"/>
          <w:spacing w:val="-62"/>
          <w:w w:val="110"/>
        </w:rPr>
        <w:t xml:space="preserve"> </w:t>
      </w:r>
      <w:r>
        <w:rPr>
          <w:color w:val="333333"/>
          <w:w w:val="110"/>
        </w:rPr>
        <w:t>you would set the following property:</w:t>
      </w:r>
    </w:p>
    <w:p w14:paraId="49C85D94" w14:textId="77777777" w:rsidR="00A720EB" w:rsidRDefault="00E10349">
      <w:pPr>
        <w:pStyle w:val="a3"/>
        <w:spacing w:before="11"/>
        <w:rPr>
          <w:sz w:val="13"/>
        </w:rPr>
      </w:pPr>
      <w:r>
        <w:pict w14:anchorId="2E078FDF">
          <v:group id="_x0000_s4770" style="position:absolute;margin-left:47.85pt;margin-top:10.2pt;width:499.55pt;height:37.5pt;z-index:-15665664;mso-wrap-distance-left:0;mso-wrap-distance-right:0;mso-position-horizontal-relative:page" coordorigin="957,204" coordsize="9991,750">
            <v:shape id="_x0000_s4773" style="position:absolute;left:964;top:211;width:9976;height:735" coordorigin="965,211" coordsize="9976,735" path="m10861,211r-9816,l1014,217r-26,18l971,260r-6,31l965,866r6,31l988,922r26,18l1045,946r9816,l10892,940r25,-18l10935,897r6,-31l10941,291r-6,-31l10917,235r-25,-18l10861,211xe" fillcolor="#f5f5f5" stroked="f">
              <v:path arrowok="t"/>
            </v:shape>
            <v:shape id="_x0000_s4772" style="position:absolute;left:964;top:211;width:9976;height:735" coordorigin="965,211" coordsize="9976,735" path="m1045,211r9816,l10892,217r25,18l10935,260r6,31l10941,866r-6,31l10917,922r-25,18l10861,946r-9816,l1014,940,988,922,971,897r-6,-31l965,291r6,-31l988,235r26,-18l1045,211xe" filled="f" strokecolor="#ccc">
              <v:path arrowok="t"/>
            </v:shape>
            <v:shape id="_x0000_s4771" type="#_x0000_t202" style="position:absolute;left:984;top:226;width:9938;height:704" filled="f" stroked="f">
              <v:textbox inset="0,0,0,0">
                <w:txbxContent>
                  <w:p w14:paraId="6777ECD6" w14:textId="77777777" w:rsidR="00711A16" w:rsidRDefault="00711A16">
                    <w:pPr>
                      <w:spacing w:before="221"/>
                      <w:ind w:left="200"/>
                      <w:rPr>
                        <w:rFonts w:ascii="MS Gothic"/>
                      </w:rPr>
                    </w:pPr>
                    <w:proofErr w:type="gramStart"/>
                    <w:r>
                      <w:rPr>
                        <w:rFonts w:ascii="MS Gothic"/>
                        <w:color w:val="333333"/>
                      </w:rPr>
                      <w:t>spring.devtools</w:t>
                    </w:r>
                    <w:proofErr w:type="gramEnd"/>
                    <w:r>
                      <w:rPr>
                        <w:rFonts w:ascii="MS Gothic"/>
                        <w:color w:val="333333"/>
                      </w:rPr>
                      <w:t>.restart.exclude=static/**,public/**</w:t>
                    </w:r>
                  </w:p>
                </w:txbxContent>
              </v:textbox>
            </v:shape>
            <w10:wrap type="topAndBottom" anchorx="page"/>
          </v:group>
        </w:pict>
      </w:r>
    </w:p>
    <w:p w14:paraId="26BACBA9" w14:textId="77777777" w:rsidR="00A720EB" w:rsidRDefault="00A720EB">
      <w:pPr>
        <w:pStyle w:val="a3"/>
        <w:spacing w:before="10"/>
        <w:rPr>
          <w:sz w:val="16"/>
        </w:rPr>
      </w:pPr>
    </w:p>
    <w:p w14:paraId="6723E484" w14:textId="77777777" w:rsidR="00A720EB" w:rsidRDefault="00E10349">
      <w:pPr>
        <w:pStyle w:val="a3"/>
        <w:spacing w:before="104"/>
        <w:ind w:left="1564"/>
      </w:pPr>
      <w:r>
        <w:pict w14:anchorId="73272125">
          <v:line id="_x0000_s4769" style="position:absolute;left:0;text-align:left;z-index:15792128;mso-position-horizontal-relative:page" from="108.25pt,.25pt" to="108.25pt,39.8pt" strokecolor="#ededed" strokeweight=".5pt">
            <w10:wrap anchorx="page"/>
          </v:line>
        </w:pict>
      </w:r>
      <w:r w:rsidR="0030286B">
        <w:rPr>
          <w:noProof/>
        </w:rPr>
        <w:drawing>
          <wp:anchor distT="0" distB="0" distL="0" distR="0" simplePos="0" relativeHeight="15792640" behindDoc="0" locked="0" layoutInCell="1" allowOverlap="1" wp14:anchorId="3F2F7F0E" wp14:editId="1C2A043F">
            <wp:simplePos x="0" y="0"/>
            <wp:positionH relativeFrom="page">
              <wp:posOffset>888949</wp:posOffset>
            </wp:positionH>
            <wp:positionV relativeFrom="paragraph">
              <wp:posOffset>102094</wp:posOffset>
            </wp:positionV>
            <wp:extent cx="209550" cy="304800"/>
            <wp:effectExtent l="0" t="0" r="0" b="0"/>
            <wp:wrapNone/>
            <wp:docPr id="7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want to keep those defaults and </w:t>
      </w:r>
      <w:r w:rsidR="0030286B">
        <w:rPr>
          <w:rFonts w:ascii="Palatino Linotype"/>
          <w:i/>
          <w:color w:val="333333"/>
          <w:w w:val="110"/>
        </w:rPr>
        <w:t xml:space="preserve">add </w:t>
      </w:r>
      <w:r w:rsidR="0030286B">
        <w:rPr>
          <w:color w:val="333333"/>
          <w:w w:val="110"/>
        </w:rPr>
        <w:t>additional exclusions, use the</w:t>
      </w:r>
    </w:p>
    <w:p w14:paraId="670278CA" w14:textId="77777777" w:rsidR="00A720EB" w:rsidRDefault="0030286B">
      <w:pPr>
        <w:pStyle w:val="a3"/>
        <w:spacing w:before="43"/>
        <w:ind w:left="1564"/>
      </w:pPr>
      <w:proofErr w:type="gramStart"/>
      <w:r>
        <w:rPr>
          <w:rFonts w:ascii="MS Gothic"/>
          <w:color w:val="B02045"/>
          <w:w w:val="105"/>
        </w:rPr>
        <w:t>spring.devtools</w:t>
      </w:r>
      <w:proofErr w:type="gramEnd"/>
      <w:r>
        <w:rPr>
          <w:rFonts w:ascii="MS Gothic"/>
          <w:color w:val="B02045"/>
          <w:w w:val="105"/>
        </w:rPr>
        <w:t>.restart.additional-exclude</w:t>
      </w:r>
      <w:r>
        <w:rPr>
          <w:rFonts w:ascii="MS Gothic"/>
          <w:color w:val="B02045"/>
          <w:spacing w:val="-58"/>
          <w:w w:val="105"/>
        </w:rPr>
        <w:t xml:space="preserve"> </w:t>
      </w:r>
      <w:r>
        <w:rPr>
          <w:color w:val="333333"/>
          <w:w w:val="105"/>
        </w:rPr>
        <w:t>property instead.</w:t>
      </w:r>
    </w:p>
    <w:p w14:paraId="64E0B93E" w14:textId="77777777" w:rsidR="00A720EB" w:rsidRDefault="00A720EB">
      <w:pPr>
        <w:pStyle w:val="a3"/>
        <w:spacing w:before="4"/>
        <w:rPr>
          <w:sz w:val="28"/>
        </w:rPr>
      </w:pPr>
    </w:p>
    <w:p w14:paraId="1C2F73E4" w14:textId="77777777" w:rsidR="00A720EB" w:rsidRDefault="0030286B">
      <w:pPr>
        <w:pStyle w:val="4"/>
        <w:spacing w:before="105"/>
      </w:pPr>
      <w:bookmarkStart w:id="124" w:name="Watching_Additional_Paths"/>
      <w:bookmarkEnd w:id="124"/>
      <w:r>
        <w:rPr>
          <w:color w:val="333333"/>
          <w:w w:val="110"/>
        </w:rPr>
        <w:t>Watching Additional Paths</w:t>
      </w:r>
    </w:p>
    <w:p w14:paraId="637DA8AC" w14:textId="77777777" w:rsidR="00A720EB" w:rsidRDefault="00A720EB">
      <w:pPr>
        <w:pStyle w:val="a3"/>
        <w:spacing w:before="11"/>
        <w:rPr>
          <w:rFonts w:ascii="Palatino Linotype"/>
          <w:b/>
          <w:sz w:val="18"/>
        </w:rPr>
      </w:pPr>
    </w:p>
    <w:p w14:paraId="66BCCD30" w14:textId="77777777" w:rsidR="00A720EB" w:rsidRDefault="0030286B">
      <w:pPr>
        <w:pStyle w:val="a3"/>
        <w:spacing w:line="295" w:lineRule="auto"/>
        <w:ind w:left="124" w:right="122"/>
        <w:jc w:val="both"/>
      </w:pPr>
      <w:r>
        <w:rPr>
          <w:color w:val="333333"/>
          <w:w w:val="110"/>
        </w:rPr>
        <w:t xml:space="preserve">You may want your application to be restarted or reloaded when you make changes to files that are not on the classpath. To do so, use the </w:t>
      </w:r>
      <w:proofErr w:type="gramStart"/>
      <w:r>
        <w:rPr>
          <w:rFonts w:ascii="MS Gothic"/>
          <w:color w:val="B02045"/>
          <w:w w:val="110"/>
        </w:rPr>
        <w:t>spring.devtools</w:t>
      </w:r>
      <w:proofErr w:type="gramEnd"/>
      <w:r>
        <w:rPr>
          <w:rFonts w:ascii="MS Gothic"/>
          <w:color w:val="B02045"/>
          <w:w w:val="110"/>
        </w:rPr>
        <w:t xml:space="preserve">.restart.additional-paths </w:t>
      </w:r>
      <w:r>
        <w:rPr>
          <w:color w:val="333333"/>
          <w:w w:val="110"/>
        </w:rPr>
        <w:t xml:space="preserve">property to configure additional paths to watch for changes. You can use the </w:t>
      </w:r>
      <w:r>
        <w:rPr>
          <w:rFonts w:ascii="MS Gothic"/>
          <w:color w:val="B02045"/>
          <w:w w:val="110"/>
        </w:rPr>
        <w:t xml:space="preserve">spring.devtools.restart.exclude </w:t>
      </w:r>
      <w:r>
        <w:rPr>
          <w:color w:val="333333"/>
          <w:w w:val="110"/>
        </w:rPr>
        <w:t xml:space="preserve">property </w:t>
      </w:r>
      <w:hyperlink w:anchor="_bookmark70" w:history="1">
        <w:r>
          <w:rPr>
            <w:color w:val="418BCA"/>
            <w:w w:val="110"/>
          </w:rPr>
          <w:t>described earlier</w:t>
        </w:r>
      </w:hyperlink>
      <w:r>
        <w:rPr>
          <w:color w:val="418BCA"/>
          <w:w w:val="110"/>
        </w:rPr>
        <w:t xml:space="preserve"> </w:t>
      </w:r>
      <w:r>
        <w:rPr>
          <w:color w:val="333333"/>
          <w:w w:val="110"/>
        </w:rPr>
        <w:t xml:space="preserve">to control whether changes beneath the additional paths trigger a full restart or a </w:t>
      </w:r>
      <w:hyperlink w:anchor="_bookmark76" w:history="1">
        <w:r>
          <w:rPr>
            <w:color w:val="418BCA"/>
            <w:w w:val="110"/>
          </w:rPr>
          <w:t>live reload</w:t>
        </w:r>
      </w:hyperlink>
      <w:r>
        <w:rPr>
          <w:color w:val="333333"/>
          <w:w w:val="110"/>
        </w:rPr>
        <w:t>.</w:t>
      </w:r>
    </w:p>
    <w:p w14:paraId="74188A31" w14:textId="77777777" w:rsidR="00A720EB" w:rsidRDefault="00A720EB">
      <w:pPr>
        <w:spacing w:line="295" w:lineRule="auto"/>
        <w:jc w:val="both"/>
        <w:sectPr w:rsidR="00A720EB">
          <w:pgSz w:w="11910" w:h="16840"/>
          <w:pgMar w:top="700" w:right="840" w:bottom="520" w:left="840" w:header="0" w:footer="323" w:gutter="0"/>
          <w:cols w:space="720"/>
        </w:sectPr>
      </w:pPr>
    </w:p>
    <w:p w14:paraId="6C7A7F3F" w14:textId="77777777" w:rsidR="00A720EB" w:rsidRDefault="0030286B">
      <w:pPr>
        <w:pStyle w:val="4"/>
        <w:spacing w:before="86"/>
      </w:pPr>
      <w:bookmarkStart w:id="125" w:name="Disabling_Restart"/>
      <w:bookmarkEnd w:id="125"/>
      <w:r>
        <w:rPr>
          <w:color w:val="333333"/>
          <w:w w:val="110"/>
        </w:rPr>
        <w:lastRenderedPageBreak/>
        <w:t>Disabling Restart</w:t>
      </w:r>
    </w:p>
    <w:p w14:paraId="3270810F" w14:textId="77777777" w:rsidR="00A720EB" w:rsidRDefault="00A720EB">
      <w:pPr>
        <w:pStyle w:val="a3"/>
        <w:spacing w:before="11"/>
        <w:rPr>
          <w:rFonts w:ascii="Palatino Linotype"/>
          <w:b/>
          <w:sz w:val="18"/>
        </w:rPr>
      </w:pPr>
    </w:p>
    <w:p w14:paraId="2113E8F4" w14:textId="77777777" w:rsidR="00A720EB" w:rsidRDefault="0030286B">
      <w:pPr>
        <w:pStyle w:val="a3"/>
        <w:spacing w:line="290" w:lineRule="auto"/>
        <w:ind w:left="124" w:right="128"/>
        <w:jc w:val="both"/>
      </w:pPr>
      <w:r>
        <w:rPr>
          <w:color w:val="333333"/>
          <w:w w:val="110"/>
        </w:rPr>
        <w:t xml:space="preserve">If you do not want to use the restart feature, you can disable it </w:t>
      </w:r>
      <w:r>
        <w:rPr>
          <w:color w:val="333333"/>
          <w:spacing w:val="-3"/>
          <w:w w:val="110"/>
        </w:rPr>
        <w:t xml:space="preserve">by </w:t>
      </w:r>
      <w:r>
        <w:rPr>
          <w:color w:val="333333"/>
          <w:w w:val="110"/>
        </w:rPr>
        <w:t xml:space="preserve">using the </w:t>
      </w:r>
      <w:proofErr w:type="gramStart"/>
      <w:r>
        <w:rPr>
          <w:rFonts w:ascii="MS Gothic"/>
          <w:color w:val="B02045"/>
          <w:w w:val="110"/>
        </w:rPr>
        <w:t>spring.devtools</w:t>
      </w:r>
      <w:proofErr w:type="gramEnd"/>
      <w:r>
        <w:rPr>
          <w:rFonts w:ascii="MS Gothic"/>
          <w:color w:val="B02045"/>
          <w:w w:val="110"/>
        </w:rPr>
        <w:t xml:space="preserve">.restart.enabled </w:t>
      </w:r>
      <w:r>
        <w:rPr>
          <w:color w:val="333333"/>
          <w:spacing w:val="-3"/>
          <w:w w:val="110"/>
        </w:rPr>
        <w:t xml:space="preserve">property. </w:t>
      </w:r>
      <w:r>
        <w:rPr>
          <w:color w:val="333333"/>
          <w:w w:val="110"/>
        </w:rPr>
        <w:t xml:space="preserve">In most cases, you can set this property in your </w:t>
      </w:r>
      <w:proofErr w:type="gramStart"/>
      <w:r>
        <w:rPr>
          <w:rFonts w:ascii="MS Gothic"/>
          <w:color w:val="B02045"/>
          <w:w w:val="110"/>
        </w:rPr>
        <w:t>application.properties</w:t>
      </w:r>
      <w:proofErr w:type="gramEnd"/>
      <w:r>
        <w:rPr>
          <w:rFonts w:ascii="MS Gothic"/>
          <w:color w:val="B02045"/>
          <w:spacing w:val="-74"/>
          <w:w w:val="110"/>
        </w:rPr>
        <w:t xml:space="preserve"> </w:t>
      </w:r>
      <w:r>
        <w:rPr>
          <w:color w:val="333333"/>
          <w:w w:val="110"/>
        </w:rPr>
        <w:t>(doing</w:t>
      </w:r>
      <w:r>
        <w:rPr>
          <w:color w:val="333333"/>
          <w:spacing w:val="-9"/>
          <w:w w:val="110"/>
        </w:rPr>
        <w:t xml:space="preserve"> </w:t>
      </w:r>
      <w:r>
        <w:rPr>
          <w:color w:val="333333"/>
          <w:w w:val="110"/>
        </w:rPr>
        <w:t>so</w:t>
      </w:r>
      <w:r>
        <w:rPr>
          <w:color w:val="333333"/>
          <w:spacing w:val="-9"/>
          <w:w w:val="110"/>
        </w:rPr>
        <w:t xml:space="preserve"> </w:t>
      </w:r>
      <w:r>
        <w:rPr>
          <w:color w:val="333333"/>
          <w:w w:val="110"/>
        </w:rPr>
        <w:t>still</w:t>
      </w:r>
      <w:r>
        <w:rPr>
          <w:color w:val="333333"/>
          <w:spacing w:val="-9"/>
          <w:w w:val="110"/>
        </w:rPr>
        <w:t xml:space="preserve"> </w:t>
      </w:r>
      <w:r>
        <w:rPr>
          <w:color w:val="333333"/>
          <w:w w:val="110"/>
        </w:rPr>
        <w:t>initializes</w:t>
      </w:r>
      <w:r>
        <w:rPr>
          <w:color w:val="333333"/>
          <w:spacing w:val="-9"/>
          <w:w w:val="110"/>
        </w:rPr>
        <w:t xml:space="preserve"> </w:t>
      </w:r>
      <w:r>
        <w:rPr>
          <w:color w:val="333333"/>
          <w:w w:val="110"/>
        </w:rPr>
        <w:t>the</w:t>
      </w:r>
      <w:r>
        <w:rPr>
          <w:color w:val="333333"/>
          <w:spacing w:val="-8"/>
          <w:w w:val="110"/>
        </w:rPr>
        <w:t xml:space="preserve"> </w:t>
      </w:r>
      <w:r>
        <w:rPr>
          <w:color w:val="333333"/>
          <w:w w:val="110"/>
        </w:rPr>
        <w:t>restart</w:t>
      </w:r>
      <w:r>
        <w:rPr>
          <w:color w:val="333333"/>
          <w:spacing w:val="-9"/>
          <w:w w:val="110"/>
        </w:rPr>
        <w:t xml:space="preserve"> </w:t>
      </w:r>
      <w:r>
        <w:rPr>
          <w:color w:val="333333"/>
          <w:w w:val="110"/>
        </w:rPr>
        <w:t>classloader,</w:t>
      </w:r>
      <w:r>
        <w:rPr>
          <w:color w:val="333333"/>
          <w:spacing w:val="-9"/>
          <w:w w:val="110"/>
        </w:rPr>
        <w:t xml:space="preserve"> </w:t>
      </w:r>
      <w:r>
        <w:rPr>
          <w:color w:val="333333"/>
          <w:w w:val="110"/>
        </w:rPr>
        <w:t>but</w:t>
      </w:r>
      <w:r>
        <w:rPr>
          <w:color w:val="333333"/>
          <w:spacing w:val="-9"/>
          <w:w w:val="110"/>
        </w:rPr>
        <w:t xml:space="preserve"> </w:t>
      </w:r>
      <w:r>
        <w:rPr>
          <w:color w:val="333333"/>
          <w:w w:val="110"/>
        </w:rPr>
        <w:t>it</w:t>
      </w:r>
      <w:r>
        <w:rPr>
          <w:color w:val="333333"/>
          <w:spacing w:val="-9"/>
          <w:w w:val="110"/>
        </w:rPr>
        <w:t xml:space="preserve"> </w:t>
      </w:r>
      <w:r>
        <w:rPr>
          <w:color w:val="333333"/>
          <w:w w:val="110"/>
        </w:rPr>
        <w:t>does</w:t>
      </w:r>
      <w:r>
        <w:rPr>
          <w:color w:val="333333"/>
          <w:spacing w:val="-9"/>
          <w:w w:val="110"/>
        </w:rPr>
        <w:t xml:space="preserve"> </w:t>
      </w:r>
      <w:r>
        <w:rPr>
          <w:color w:val="333333"/>
          <w:w w:val="110"/>
        </w:rPr>
        <w:t>not</w:t>
      </w:r>
      <w:r>
        <w:rPr>
          <w:color w:val="333333"/>
          <w:spacing w:val="-9"/>
          <w:w w:val="110"/>
        </w:rPr>
        <w:t xml:space="preserve"> </w:t>
      </w:r>
      <w:r>
        <w:rPr>
          <w:color w:val="333333"/>
          <w:w w:val="110"/>
        </w:rPr>
        <w:t>watch</w:t>
      </w:r>
      <w:r>
        <w:rPr>
          <w:color w:val="333333"/>
          <w:spacing w:val="-9"/>
          <w:w w:val="110"/>
        </w:rPr>
        <w:t xml:space="preserve"> </w:t>
      </w:r>
      <w:r>
        <w:rPr>
          <w:color w:val="333333"/>
          <w:w w:val="110"/>
        </w:rPr>
        <w:t>for</w:t>
      </w:r>
      <w:r>
        <w:rPr>
          <w:color w:val="333333"/>
          <w:spacing w:val="-9"/>
          <w:w w:val="110"/>
        </w:rPr>
        <w:t xml:space="preserve"> </w:t>
      </w:r>
      <w:r>
        <w:rPr>
          <w:color w:val="333333"/>
          <w:w w:val="110"/>
        </w:rPr>
        <w:t>file changes).</w:t>
      </w:r>
    </w:p>
    <w:p w14:paraId="13DC9D94" w14:textId="77777777" w:rsidR="00A720EB" w:rsidRDefault="0030286B">
      <w:pPr>
        <w:pStyle w:val="a3"/>
        <w:spacing w:before="235" w:line="278" w:lineRule="auto"/>
        <w:ind w:left="124" w:right="122"/>
        <w:jc w:val="both"/>
      </w:pPr>
      <w:r>
        <w:rPr>
          <w:color w:val="333333"/>
          <w:w w:val="110"/>
        </w:rPr>
        <w:t xml:space="preserve">If you need to </w:t>
      </w:r>
      <w:r>
        <w:rPr>
          <w:rFonts w:ascii="Palatino Linotype" w:hAnsi="Palatino Linotype"/>
          <w:i/>
          <w:color w:val="333333"/>
          <w:w w:val="110"/>
        </w:rPr>
        <w:t xml:space="preserve">completely </w:t>
      </w:r>
      <w:r>
        <w:rPr>
          <w:color w:val="333333"/>
          <w:w w:val="110"/>
        </w:rPr>
        <w:t>disable restart support (for example, because it does not work with a</w:t>
      </w:r>
      <w:r>
        <w:rPr>
          <w:color w:val="333333"/>
          <w:spacing w:val="50"/>
          <w:w w:val="110"/>
        </w:rPr>
        <w:t xml:space="preserve"> </w:t>
      </w:r>
      <w:r>
        <w:rPr>
          <w:color w:val="333333"/>
          <w:w w:val="110"/>
        </w:rPr>
        <w:t xml:space="preserve">specific library), you need to set the </w:t>
      </w:r>
      <w:proofErr w:type="gramStart"/>
      <w:r>
        <w:rPr>
          <w:rFonts w:ascii="MS Gothic" w:hAnsi="MS Gothic"/>
          <w:color w:val="B02045"/>
          <w:w w:val="110"/>
        </w:rPr>
        <w:t>spring.devtools</w:t>
      </w:r>
      <w:proofErr w:type="gramEnd"/>
      <w:r>
        <w:rPr>
          <w:rFonts w:ascii="MS Gothic" w:hAnsi="MS Gothic"/>
          <w:color w:val="B02045"/>
          <w:w w:val="110"/>
        </w:rPr>
        <w:t xml:space="preserve">.restart.enabled System </w:t>
      </w:r>
      <w:r>
        <w:rPr>
          <w:color w:val="333333"/>
          <w:w w:val="110"/>
        </w:rPr>
        <w:t xml:space="preserve">property to </w:t>
      </w:r>
      <w:r>
        <w:rPr>
          <w:rFonts w:ascii="MS Gothic" w:hAnsi="MS Gothic"/>
          <w:color w:val="B02045"/>
          <w:w w:val="110"/>
        </w:rPr>
        <w:t xml:space="preserve">false </w:t>
      </w:r>
      <w:r>
        <w:rPr>
          <w:color w:val="333333"/>
          <w:w w:val="110"/>
        </w:rPr>
        <w:t xml:space="preserve">before calling </w:t>
      </w:r>
      <w:r>
        <w:rPr>
          <w:rFonts w:ascii="MS Gothic" w:hAnsi="MS Gothic"/>
          <w:color w:val="B02045"/>
          <w:w w:val="110"/>
        </w:rPr>
        <w:t>SpringApplication.run(…)</w:t>
      </w:r>
      <w:r>
        <w:rPr>
          <w:color w:val="333333"/>
          <w:w w:val="110"/>
        </w:rPr>
        <w:t>, as shown in the following</w:t>
      </w:r>
      <w:r>
        <w:rPr>
          <w:color w:val="333333"/>
          <w:spacing w:val="-6"/>
          <w:w w:val="110"/>
        </w:rPr>
        <w:t xml:space="preserve"> </w:t>
      </w:r>
      <w:r>
        <w:rPr>
          <w:color w:val="333333"/>
          <w:w w:val="110"/>
        </w:rPr>
        <w:t>example:</w:t>
      </w:r>
    </w:p>
    <w:p w14:paraId="1195EE71" w14:textId="77777777" w:rsidR="00A720EB" w:rsidRDefault="00E10349">
      <w:pPr>
        <w:pStyle w:val="a3"/>
        <w:spacing w:before="3"/>
        <w:rPr>
          <w:sz w:val="14"/>
        </w:rPr>
      </w:pPr>
      <w:r>
        <w:pict w14:anchorId="12F1954B">
          <v:group id="_x0000_s4765" style="position:absolute;margin-left:47.85pt;margin-top:10.4pt;width:499.55pt;height:81.75pt;z-index:-15664128;mso-wrap-distance-left:0;mso-wrap-distance-right:0;mso-position-horizontal-relative:page" coordorigin="957,208" coordsize="9991,1635">
            <v:shape id="_x0000_s4768" style="position:absolute;left:964;top:215;width:9976;height:1620" coordorigin="965,215" coordsize="9976,1620" path="m10861,215r-9816,l1014,221r-26,17l971,264r-6,31l965,1754r6,31l988,1811r26,17l1045,1834r9816,l10892,1828r25,-17l10935,1785r6,-31l10941,295r-6,-31l10917,238r-25,-17l10861,215xe" fillcolor="#f5f5f5" stroked="f">
              <v:path arrowok="t"/>
            </v:shape>
            <v:shape id="_x0000_s4767" style="position:absolute;left:964;top:215;width:9976;height:1620" coordorigin="965,215" coordsize="9976,1620" path="m1045,215r9816,l10892,221r25,17l10935,264r6,31l10941,1754r-6,31l10917,1811r-25,17l10861,1834r-9816,l1014,1828r-26,-17l971,1785r-6,-31l965,295r6,-31l988,238r26,-17l1045,215xe" filled="f" strokecolor="#ccc">
              <v:path arrowok="t"/>
            </v:shape>
            <v:shape id="_x0000_s4766" type="#_x0000_t202" style="position:absolute;left:984;top:230;width:9938;height:1589" filled="f" stroked="f">
              <v:textbox inset="0,0,0,0">
                <w:txbxContent>
                  <w:p w14:paraId="01AEFA4D" w14:textId="77777777" w:rsidR="00711A16" w:rsidRDefault="00711A16">
                    <w:pPr>
                      <w:spacing w:before="221" w:line="252" w:lineRule="auto"/>
                      <w:ind w:left="640" w:right="2348" w:hanging="4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 System.setProperty("spring.devtools.restart.enabled", "false"); SpringApplication.run(MyApp.class, args);</w:t>
                    </w:r>
                  </w:p>
                  <w:p w14:paraId="30C51AD7" w14:textId="77777777" w:rsidR="00711A16" w:rsidRDefault="00711A16">
                    <w:pPr>
                      <w:spacing w:line="278" w:lineRule="exact"/>
                      <w:ind w:left="200"/>
                      <w:rPr>
                        <w:rFonts w:ascii="MS Gothic"/>
                      </w:rPr>
                    </w:pPr>
                    <w:r>
                      <w:rPr>
                        <w:rFonts w:ascii="MS Gothic"/>
                        <w:color w:val="333333"/>
                      </w:rPr>
                      <w:t>}</w:t>
                    </w:r>
                  </w:p>
                </w:txbxContent>
              </v:textbox>
            </v:shape>
            <w10:wrap type="topAndBottom" anchorx="page"/>
          </v:group>
        </w:pict>
      </w:r>
    </w:p>
    <w:p w14:paraId="3FE916F4" w14:textId="77777777" w:rsidR="00A720EB" w:rsidRDefault="00A720EB">
      <w:pPr>
        <w:pStyle w:val="a3"/>
        <w:spacing w:before="11"/>
        <w:rPr>
          <w:sz w:val="16"/>
        </w:rPr>
      </w:pPr>
    </w:p>
    <w:p w14:paraId="6C22676E" w14:textId="77777777" w:rsidR="00A720EB" w:rsidRDefault="0030286B">
      <w:pPr>
        <w:pStyle w:val="4"/>
        <w:spacing w:before="104"/>
      </w:pPr>
      <w:bookmarkStart w:id="126" w:name="Using_a_Trigger_File"/>
      <w:bookmarkEnd w:id="126"/>
      <w:r>
        <w:rPr>
          <w:color w:val="333333"/>
          <w:w w:val="110"/>
        </w:rPr>
        <w:t>Using a Trigger File</w:t>
      </w:r>
    </w:p>
    <w:p w14:paraId="7EE6CA2A" w14:textId="77777777" w:rsidR="00A720EB" w:rsidRDefault="00A720EB">
      <w:pPr>
        <w:pStyle w:val="a3"/>
        <w:spacing w:before="11"/>
        <w:rPr>
          <w:rFonts w:ascii="Palatino Linotype"/>
          <w:b/>
          <w:sz w:val="18"/>
        </w:rPr>
      </w:pPr>
    </w:p>
    <w:p w14:paraId="76E699FA" w14:textId="77777777" w:rsidR="00A720EB" w:rsidRDefault="0030286B">
      <w:pPr>
        <w:pStyle w:val="a3"/>
        <w:spacing w:line="307" w:lineRule="auto"/>
        <w:ind w:left="124" w:right="127"/>
        <w:jc w:val="both"/>
      </w:pPr>
      <w:r>
        <w:rPr>
          <w:color w:val="333333"/>
          <w:w w:val="110"/>
        </w:rPr>
        <w:t xml:space="preserve">If you work with an IDE that continuously compiles changed files, you might prefer </w:t>
      </w:r>
      <w:proofErr w:type="gramStart"/>
      <w:r>
        <w:rPr>
          <w:color w:val="333333"/>
          <w:w w:val="110"/>
        </w:rPr>
        <w:t>to  trigger</w:t>
      </w:r>
      <w:proofErr w:type="gramEnd"/>
      <w:r>
        <w:rPr>
          <w:color w:val="333333"/>
          <w:w w:val="110"/>
        </w:rPr>
        <w:t xml:space="preserve"> restarts only at specific times. </w:t>
      </w:r>
      <w:r>
        <w:rPr>
          <w:color w:val="333333"/>
          <w:spacing w:val="-4"/>
          <w:w w:val="110"/>
        </w:rPr>
        <w:t xml:space="preserve">To </w:t>
      </w:r>
      <w:r>
        <w:rPr>
          <w:color w:val="333333"/>
          <w:w w:val="110"/>
        </w:rPr>
        <w:t xml:space="preserve">do so, you can use a “trigger file”, which is a special file that </w:t>
      </w:r>
      <w:proofErr w:type="gramStart"/>
      <w:r>
        <w:rPr>
          <w:color w:val="333333"/>
          <w:w w:val="110"/>
        </w:rPr>
        <w:t>must  be</w:t>
      </w:r>
      <w:proofErr w:type="gramEnd"/>
      <w:r>
        <w:rPr>
          <w:color w:val="333333"/>
          <w:w w:val="110"/>
        </w:rPr>
        <w:t xml:space="preserve"> modified when you want to actually trigger a restart</w:t>
      </w:r>
      <w:r>
        <w:rPr>
          <w:color w:val="333333"/>
          <w:spacing w:val="32"/>
          <w:w w:val="110"/>
        </w:rPr>
        <w:t xml:space="preserve"> </w:t>
      </w:r>
      <w:r>
        <w:rPr>
          <w:color w:val="333333"/>
          <w:w w:val="110"/>
        </w:rPr>
        <w:t>check.</w:t>
      </w:r>
    </w:p>
    <w:p w14:paraId="07ADFB3E" w14:textId="77777777" w:rsidR="00A720EB" w:rsidRDefault="00A720EB">
      <w:pPr>
        <w:pStyle w:val="a3"/>
        <w:spacing w:before="5"/>
        <w:rPr>
          <w:sz w:val="27"/>
        </w:rPr>
      </w:pPr>
    </w:p>
    <w:p w14:paraId="388C30E5" w14:textId="77777777" w:rsidR="00A720EB" w:rsidRDefault="00E10349">
      <w:pPr>
        <w:pStyle w:val="a3"/>
        <w:spacing w:line="307" w:lineRule="auto"/>
        <w:ind w:left="1564" w:right="462"/>
      </w:pPr>
      <w:r>
        <w:pict w14:anchorId="58F91EC2">
          <v:line id="_x0000_s4764" style="position:absolute;left:0;text-align:left;z-index:15794688;mso-position-horizontal-relative:page" from="108.25pt,-6pt" to="108.25pt,33.55pt" strokecolor="#ededed" strokeweight=".5pt">
            <w10:wrap anchorx="page"/>
          </v:line>
        </w:pict>
      </w:r>
      <w:r w:rsidR="0030286B">
        <w:rPr>
          <w:noProof/>
        </w:rPr>
        <w:drawing>
          <wp:anchor distT="0" distB="0" distL="0" distR="0" simplePos="0" relativeHeight="15795200" behindDoc="0" locked="0" layoutInCell="1" allowOverlap="1" wp14:anchorId="681DE160" wp14:editId="5D5C051A">
            <wp:simplePos x="0" y="0"/>
            <wp:positionH relativeFrom="page">
              <wp:posOffset>844422</wp:posOffset>
            </wp:positionH>
            <wp:positionV relativeFrom="paragraph">
              <wp:posOffset>25946</wp:posOffset>
            </wp:positionV>
            <wp:extent cx="298450" cy="29845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Any update to the file will trigger a check, but restart only actually occurs </w:t>
      </w:r>
      <w:proofErr w:type="gramStart"/>
      <w:r w:rsidR="0030286B">
        <w:rPr>
          <w:color w:val="333333"/>
          <w:w w:val="110"/>
        </w:rPr>
        <w:t>if  Devtools</w:t>
      </w:r>
      <w:proofErr w:type="gramEnd"/>
      <w:r w:rsidR="0030286B">
        <w:rPr>
          <w:color w:val="333333"/>
          <w:w w:val="110"/>
        </w:rPr>
        <w:t xml:space="preserve"> has detected it has something to</w:t>
      </w:r>
      <w:r w:rsidR="0030286B">
        <w:rPr>
          <w:color w:val="333333"/>
          <w:spacing w:val="17"/>
          <w:w w:val="110"/>
        </w:rPr>
        <w:t xml:space="preserve"> </w:t>
      </w:r>
      <w:r w:rsidR="0030286B">
        <w:rPr>
          <w:color w:val="333333"/>
          <w:w w:val="110"/>
        </w:rPr>
        <w:t>do.</w:t>
      </w:r>
    </w:p>
    <w:p w14:paraId="753CA3F2" w14:textId="77777777" w:rsidR="00A720EB" w:rsidRDefault="00A720EB">
      <w:pPr>
        <w:pStyle w:val="a3"/>
        <w:spacing w:before="6"/>
        <w:rPr>
          <w:sz w:val="26"/>
        </w:rPr>
      </w:pPr>
    </w:p>
    <w:p w14:paraId="326A6431" w14:textId="77777777" w:rsidR="00A720EB" w:rsidRDefault="0030286B">
      <w:pPr>
        <w:pStyle w:val="a3"/>
        <w:spacing w:line="290" w:lineRule="auto"/>
        <w:ind w:left="124" w:right="123"/>
        <w:jc w:val="both"/>
      </w:pPr>
      <w:r>
        <w:rPr>
          <w:color w:val="333333"/>
          <w:spacing w:val="-4"/>
          <w:w w:val="110"/>
        </w:rPr>
        <w:t>To</w:t>
      </w:r>
      <w:r>
        <w:rPr>
          <w:color w:val="333333"/>
          <w:spacing w:val="-12"/>
          <w:w w:val="110"/>
        </w:rPr>
        <w:t xml:space="preserve"> </w:t>
      </w:r>
      <w:r>
        <w:rPr>
          <w:color w:val="333333"/>
          <w:w w:val="110"/>
        </w:rPr>
        <w:t>use</w:t>
      </w:r>
      <w:r>
        <w:rPr>
          <w:color w:val="333333"/>
          <w:spacing w:val="-12"/>
          <w:w w:val="110"/>
        </w:rPr>
        <w:t xml:space="preserve"> </w:t>
      </w:r>
      <w:r>
        <w:rPr>
          <w:color w:val="333333"/>
          <w:w w:val="110"/>
        </w:rPr>
        <w:t>a</w:t>
      </w:r>
      <w:r>
        <w:rPr>
          <w:color w:val="333333"/>
          <w:spacing w:val="-12"/>
          <w:w w:val="110"/>
        </w:rPr>
        <w:t xml:space="preserve"> </w:t>
      </w:r>
      <w:r>
        <w:rPr>
          <w:color w:val="333333"/>
          <w:w w:val="110"/>
        </w:rPr>
        <w:t>trigger</w:t>
      </w:r>
      <w:r>
        <w:rPr>
          <w:color w:val="333333"/>
          <w:spacing w:val="-12"/>
          <w:w w:val="110"/>
        </w:rPr>
        <w:t xml:space="preserve"> </w:t>
      </w:r>
      <w:r>
        <w:rPr>
          <w:color w:val="333333"/>
          <w:w w:val="110"/>
        </w:rPr>
        <w:t>file,</w:t>
      </w:r>
      <w:r>
        <w:rPr>
          <w:color w:val="333333"/>
          <w:spacing w:val="-12"/>
          <w:w w:val="110"/>
        </w:rPr>
        <w:t xml:space="preserve"> </w:t>
      </w:r>
      <w:r>
        <w:rPr>
          <w:color w:val="333333"/>
          <w:w w:val="110"/>
        </w:rPr>
        <w:t>set</w:t>
      </w:r>
      <w:r>
        <w:rPr>
          <w:color w:val="333333"/>
          <w:spacing w:val="-12"/>
          <w:w w:val="110"/>
        </w:rPr>
        <w:t xml:space="preserve"> </w:t>
      </w:r>
      <w:r>
        <w:rPr>
          <w:color w:val="333333"/>
          <w:w w:val="110"/>
        </w:rPr>
        <w:t>the</w:t>
      </w:r>
      <w:r>
        <w:rPr>
          <w:color w:val="333333"/>
          <w:spacing w:val="-11"/>
          <w:w w:val="110"/>
        </w:rPr>
        <w:t xml:space="preserve"> </w:t>
      </w:r>
      <w:proofErr w:type="gramStart"/>
      <w:r>
        <w:rPr>
          <w:rFonts w:ascii="MS Gothic"/>
          <w:color w:val="B02045"/>
          <w:w w:val="110"/>
        </w:rPr>
        <w:t>spring.devtools</w:t>
      </w:r>
      <w:proofErr w:type="gramEnd"/>
      <w:r>
        <w:rPr>
          <w:rFonts w:ascii="MS Gothic"/>
          <w:color w:val="B02045"/>
          <w:w w:val="110"/>
        </w:rPr>
        <w:t>.restart.trigger-file</w:t>
      </w:r>
      <w:r>
        <w:rPr>
          <w:rFonts w:ascii="MS Gothic"/>
          <w:color w:val="B02045"/>
          <w:spacing w:val="-76"/>
          <w:w w:val="110"/>
        </w:rPr>
        <w:t xml:space="preserve"> </w:t>
      </w:r>
      <w:r>
        <w:rPr>
          <w:color w:val="333333"/>
          <w:w w:val="110"/>
        </w:rPr>
        <w:t>property</w:t>
      </w:r>
      <w:r>
        <w:rPr>
          <w:color w:val="333333"/>
          <w:spacing w:val="-12"/>
          <w:w w:val="110"/>
        </w:rPr>
        <w:t xml:space="preserve"> </w:t>
      </w:r>
      <w:r>
        <w:rPr>
          <w:color w:val="333333"/>
          <w:w w:val="110"/>
        </w:rPr>
        <w:t>to</w:t>
      </w:r>
      <w:r>
        <w:rPr>
          <w:color w:val="333333"/>
          <w:spacing w:val="-12"/>
          <w:w w:val="110"/>
        </w:rPr>
        <w:t xml:space="preserve"> </w:t>
      </w:r>
      <w:r>
        <w:rPr>
          <w:color w:val="333333"/>
          <w:w w:val="110"/>
        </w:rPr>
        <w:t>the</w:t>
      </w:r>
      <w:r>
        <w:rPr>
          <w:color w:val="333333"/>
          <w:spacing w:val="-11"/>
          <w:w w:val="110"/>
        </w:rPr>
        <w:t xml:space="preserve"> </w:t>
      </w:r>
      <w:r>
        <w:rPr>
          <w:color w:val="333333"/>
          <w:w w:val="110"/>
        </w:rPr>
        <w:t>name</w:t>
      </w:r>
      <w:r>
        <w:rPr>
          <w:color w:val="333333"/>
          <w:spacing w:val="-12"/>
          <w:w w:val="110"/>
        </w:rPr>
        <w:t xml:space="preserve"> </w:t>
      </w:r>
      <w:r>
        <w:rPr>
          <w:color w:val="333333"/>
          <w:w w:val="110"/>
        </w:rPr>
        <w:t>(excluding any path) of your trigger file. The trigger file must appear somewhere on</w:t>
      </w:r>
      <w:r>
        <w:rPr>
          <w:color w:val="333333"/>
          <w:spacing w:val="7"/>
          <w:w w:val="110"/>
        </w:rPr>
        <w:t xml:space="preserve"> </w:t>
      </w:r>
      <w:r>
        <w:rPr>
          <w:color w:val="333333"/>
          <w:w w:val="110"/>
        </w:rPr>
        <w:t>your classpath.</w:t>
      </w:r>
    </w:p>
    <w:p w14:paraId="36926738" w14:textId="77777777" w:rsidR="00A720EB" w:rsidRDefault="00A720EB">
      <w:pPr>
        <w:pStyle w:val="a3"/>
        <w:rPr>
          <w:sz w:val="22"/>
        </w:rPr>
      </w:pPr>
    </w:p>
    <w:p w14:paraId="298EAAC2" w14:textId="77777777" w:rsidR="00A720EB" w:rsidRDefault="0030286B">
      <w:pPr>
        <w:pStyle w:val="a3"/>
        <w:ind w:left="124"/>
        <w:jc w:val="both"/>
      </w:pPr>
      <w:r>
        <w:rPr>
          <w:color w:val="333333"/>
          <w:w w:val="115"/>
        </w:rPr>
        <w:t>For example, if you have a project with the following structure:</w:t>
      </w:r>
    </w:p>
    <w:p w14:paraId="61399F07" w14:textId="77777777" w:rsidR="00A720EB" w:rsidRDefault="00E10349">
      <w:pPr>
        <w:pStyle w:val="a3"/>
        <w:rPr>
          <w:sz w:val="19"/>
        </w:rPr>
      </w:pPr>
      <w:r>
        <w:pict w14:anchorId="2E3C9F7F">
          <v:group id="_x0000_s4760" style="position:absolute;margin-left:47.85pt;margin-top:13.15pt;width:499.55pt;height:81.75pt;z-index:-15663616;mso-wrap-distance-left:0;mso-wrap-distance-right:0;mso-position-horizontal-relative:page" coordorigin="957,263" coordsize="9991,1635">
            <v:shape id="_x0000_s4763" style="position:absolute;left:964;top:270;width:9976;height:1620" coordorigin="965,270" coordsize="9976,1620" path="m10861,270r-9816,l1014,276r-26,18l971,319r-6,31l965,1809r6,31l988,1866r26,17l1045,1889r9816,l10892,1883r25,-17l10935,1840r6,-31l10941,350r-6,-31l10917,294r-25,-18l10861,270xe" fillcolor="#f5f5f5" stroked="f">
              <v:path arrowok="t"/>
            </v:shape>
            <v:shape id="_x0000_s4762" style="position:absolute;left:964;top:270;width:9976;height:1620" coordorigin="965,270" coordsize="9976,1620" path="m1045,270r9816,l10892,276r25,18l10935,319r6,31l10941,1809r-6,31l10917,1866r-25,17l10861,1889r-9816,l1014,1883r-26,-17l971,1840r-6,-31l965,350r6,-31l988,294r26,-18l1045,270xe" filled="f" strokecolor="#ccc">
              <v:path arrowok="t"/>
            </v:shape>
            <v:shape id="_x0000_s4761" type="#_x0000_t202" style="position:absolute;left:984;top:285;width:9938;height:1589" filled="f" stroked="f">
              <v:textbox inset="0,0,0,0">
                <w:txbxContent>
                  <w:p w14:paraId="5C918B8D" w14:textId="77777777" w:rsidR="00711A16" w:rsidRDefault="00711A16">
                    <w:pPr>
                      <w:spacing w:before="221"/>
                      <w:ind w:left="200"/>
                      <w:rPr>
                        <w:rFonts w:ascii="MS Gothic"/>
                      </w:rPr>
                    </w:pPr>
                    <w:r>
                      <w:rPr>
                        <w:rFonts w:ascii="MS Gothic"/>
                        <w:color w:val="333333"/>
                      </w:rPr>
                      <w:t>src</w:t>
                    </w:r>
                  </w:p>
                  <w:p w14:paraId="56A377F6" w14:textId="77777777" w:rsidR="00711A16" w:rsidRDefault="00711A16">
                    <w:pPr>
                      <w:spacing w:before="13"/>
                      <w:ind w:left="200"/>
                      <w:rPr>
                        <w:rFonts w:ascii="MS Gothic"/>
                      </w:rPr>
                    </w:pPr>
                    <w:r>
                      <w:rPr>
                        <w:rFonts w:ascii="MS Gothic"/>
                        <w:color w:val="333333"/>
                      </w:rPr>
                      <w:t>+- main</w:t>
                    </w:r>
                  </w:p>
                  <w:p w14:paraId="583E0D1B" w14:textId="77777777" w:rsidR="00711A16" w:rsidRDefault="00711A16">
                    <w:pPr>
                      <w:spacing w:before="13"/>
                      <w:ind w:left="530"/>
                      <w:rPr>
                        <w:rFonts w:ascii="MS Gothic"/>
                      </w:rPr>
                    </w:pPr>
                    <w:r>
                      <w:rPr>
                        <w:rFonts w:ascii="MS Gothic"/>
                        <w:color w:val="333333"/>
                      </w:rPr>
                      <w:t>+- resources</w:t>
                    </w:r>
                  </w:p>
                  <w:p w14:paraId="5F899E7F" w14:textId="77777777" w:rsidR="00711A16" w:rsidRDefault="00711A16">
                    <w:pPr>
                      <w:spacing w:before="13"/>
                      <w:ind w:left="860"/>
                      <w:rPr>
                        <w:rFonts w:ascii="MS Gothic"/>
                      </w:rPr>
                    </w:pPr>
                    <w:r>
                      <w:rPr>
                        <w:rFonts w:ascii="MS Gothic"/>
                        <w:color w:val="333333"/>
                      </w:rPr>
                      <w:t>+</w:t>
                    </w:r>
                    <w:proofErr w:type="gramStart"/>
                    <w:r>
                      <w:rPr>
                        <w:rFonts w:ascii="MS Gothic"/>
                        <w:color w:val="333333"/>
                      </w:rPr>
                      <w:t>- .reloadtrigger</w:t>
                    </w:r>
                    <w:proofErr w:type="gramEnd"/>
                  </w:p>
                </w:txbxContent>
              </v:textbox>
            </v:shape>
            <w10:wrap type="topAndBottom" anchorx="page"/>
          </v:group>
        </w:pict>
      </w:r>
    </w:p>
    <w:p w14:paraId="7A96C57A" w14:textId="77777777" w:rsidR="00A720EB" w:rsidRDefault="00A720EB">
      <w:pPr>
        <w:pStyle w:val="a3"/>
        <w:spacing w:before="11"/>
        <w:rPr>
          <w:sz w:val="9"/>
        </w:rPr>
      </w:pPr>
    </w:p>
    <w:p w14:paraId="0522D5C8" w14:textId="77777777" w:rsidR="00A720EB" w:rsidRDefault="0030286B">
      <w:pPr>
        <w:pStyle w:val="a3"/>
        <w:spacing w:before="115"/>
        <w:ind w:left="124"/>
      </w:pPr>
      <w:r>
        <w:rPr>
          <w:color w:val="333333"/>
          <w:w w:val="110"/>
        </w:rPr>
        <w:t xml:space="preserve">Then your </w:t>
      </w:r>
      <w:r>
        <w:rPr>
          <w:rFonts w:ascii="MS Gothic"/>
          <w:color w:val="B02045"/>
          <w:w w:val="110"/>
        </w:rPr>
        <w:t>trigger-file</w:t>
      </w:r>
      <w:r>
        <w:rPr>
          <w:rFonts w:ascii="MS Gothic"/>
          <w:color w:val="B02045"/>
          <w:spacing w:val="-56"/>
          <w:w w:val="110"/>
        </w:rPr>
        <w:t xml:space="preserve"> </w:t>
      </w:r>
      <w:r>
        <w:rPr>
          <w:color w:val="333333"/>
          <w:w w:val="110"/>
        </w:rPr>
        <w:t>property would be:</w:t>
      </w:r>
    </w:p>
    <w:p w14:paraId="247001E5" w14:textId="77777777" w:rsidR="00A720EB" w:rsidRDefault="00E10349">
      <w:pPr>
        <w:pStyle w:val="a3"/>
        <w:spacing w:before="11"/>
        <w:rPr>
          <w:sz w:val="17"/>
        </w:rPr>
      </w:pPr>
      <w:r>
        <w:pict w14:anchorId="66BF97F0">
          <v:group id="_x0000_s4756" style="position:absolute;margin-left:47.85pt;margin-top:12.55pt;width:499.55pt;height:37.5pt;z-index:-15663104;mso-wrap-distance-left:0;mso-wrap-distance-right:0;mso-position-horizontal-relative:page" coordorigin="957,251" coordsize="9991,750">
            <v:shape id="_x0000_s4759" style="position:absolute;left:964;top:258;width:9976;height:735" coordorigin="965,258" coordsize="9976,735" path="m10861,258r-9816,l1014,264r-26,17l971,307r-6,31l965,913r6,31l988,969r26,18l1045,993r9816,l10892,987r25,-18l10935,944r6,-31l10941,338r-6,-31l10917,281r-25,-17l10861,258xe" fillcolor="#f5f5f5" stroked="f">
              <v:path arrowok="t"/>
            </v:shape>
            <v:shape id="_x0000_s4758" style="position:absolute;left:964;top:258;width:9976;height:735" coordorigin="965,258" coordsize="9976,735" path="m1045,258r9816,l10892,264r25,17l10935,307r6,31l10941,913r-6,31l10917,969r-25,18l10861,993r-9816,l1014,987,988,969,971,944r-6,-31l965,338r6,-31l988,281r26,-17l1045,258xe" filled="f" strokecolor="#ccc">
              <v:path arrowok="t"/>
            </v:shape>
            <v:shape id="_x0000_s4757" type="#_x0000_t202" style="position:absolute;left:984;top:273;width:9938;height:704" filled="f" stroked="f">
              <v:textbox inset="0,0,0,0">
                <w:txbxContent>
                  <w:p w14:paraId="324FD76E" w14:textId="77777777" w:rsidR="00711A16" w:rsidRDefault="00711A16">
                    <w:pPr>
                      <w:spacing w:before="221"/>
                      <w:ind w:left="200"/>
                      <w:rPr>
                        <w:rFonts w:ascii="MS Gothic"/>
                      </w:rPr>
                    </w:pPr>
                    <w:proofErr w:type="gramStart"/>
                    <w:r>
                      <w:rPr>
                        <w:rFonts w:ascii="MS Gothic"/>
                        <w:color w:val="333333"/>
                      </w:rPr>
                      <w:t>spring.devtools</w:t>
                    </w:r>
                    <w:proofErr w:type="gramEnd"/>
                    <w:r>
                      <w:rPr>
                        <w:rFonts w:ascii="MS Gothic"/>
                        <w:color w:val="333333"/>
                      </w:rPr>
                      <w:t>.restart.trigger-file=.reloadtrigger</w:t>
                    </w:r>
                  </w:p>
                </w:txbxContent>
              </v:textbox>
            </v:shape>
            <w10:wrap type="topAndBottom" anchorx="page"/>
          </v:group>
        </w:pict>
      </w:r>
    </w:p>
    <w:p w14:paraId="7805766B" w14:textId="77777777" w:rsidR="00A720EB" w:rsidRDefault="00A720EB">
      <w:pPr>
        <w:pStyle w:val="a3"/>
        <w:spacing w:before="11"/>
        <w:rPr>
          <w:sz w:val="9"/>
        </w:rPr>
      </w:pPr>
    </w:p>
    <w:p w14:paraId="049CEAF9" w14:textId="77777777" w:rsidR="00A720EB" w:rsidRDefault="0030286B">
      <w:pPr>
        <w:pStyle w:val="a3"/>
        <w:spacing w:before="115"/>
        <w:ind w:left="124"/>
      </w:pPr>
      <w:r>
        <w:rPr>
          <w:color w:val="333333"/>
          <w:w w:val="110"/>
        </w:rPr>
        <w:t xml:space="preserve">Restarts will now only happen when the </w:t>
      </w:r>
      <w:r>
        <w:rPr>
          <w:rFonts w:ascii="MS Gothic"/>
          <w:color w:val="B02045"/>
          <w:w w:val="110"/>
        </w:rPr>
        <w:t>src/main/resources</w:t>
      </w:r>
      <w:proofErr w:type="gramStart"/>
      <w:r>
        <w:rPr>
          <w:rFonts w:ascii="MS Gothic"/>
          <w:color w:val="B02045"/>
          <w:w w:val="110"/>
        </w:rPr>
        <w:t>/.reloadtrigger</w:t>
      </w:r>
      <w:proofErr w:type="gramEnd"/>
      <w:r>
        <w:rPr>
          <w:rFonts w:ascii="MS Gothic"/>
          <w:color w:val="B02045"/>
          <w:spacing w:val="-70"/>
          <w:w w:val="110"/>
        </w:rPr>
        <w:t xml:space="preserve"> </w:t>
      </w:r>
      <w:r>
        <w:rPr>
          <w:color w:val="333333"/>
          <w:w w:val="110"/>
        </w:rPr>
        <w:t>is updated.</w:t>
      </w:r>
    </w:p>
    <w:p w14:paraId="12EF0EED" w14:textId="77777777" w:rsidR="00A720EB" w:rsidRDefault="00A720EB">
      <w:pPr>
        <w:pStyle w:val="a3"/>
        <w:spacing w:before="3"/>
        <w:rPr>
          <w:sz w:val="31"/>
        </w:rPr>
      </w:pPr>
    </w:p>
    <w:p w14:paraId="781C63F9" w14:textId="77777777" w:rsidR="00A720EB" w:rsidRDefault="00E10349">
      <w:pPr>
        <w:pStyle w:val="a3"/>
        <w:spacing w:before="1" w:line="290" w:lineRule="auto"/>
        <w:ind w:left="1564" w:right="359"/>
      </w:pPr>
      <w:r>
        <w:pict w14:anchorId="5F34B2FE">
          <v:line id="_x0000_s4755" style="position:absolute;left:0;text-align:left;z-index:15795712;mso-position-horizontal-relative:page" from="108.25pt,-5.4pt" to="108.25pt,34.15pt" strokecolor="#ededed" strokeweight=".5pt">
            <w10:wrap anchorx="page"/>
          </v:line>
        </w:pict>
      </w:r>
      <w:r w:rsidR="0030286B">
        <w:rPr>
          <w:noProof/>
        </w:rPr>
        <w:drawing>
          <wp:anchor distT="0" distB="0" distL="0" distR="0" simplePos="0" relativeHeight="15796224" behindDoc="0" locked="0" layoutInCell="1" allowOverlap="1" wp14:anchorId="03C3AE31" wp14:editId="04FE4135">
            <wp:simplePos x="0" y="0"/>
            <wp:positionH relativeFrom="page">
              <wp:posOffset>888949</wp:posOffset>
            </wp:positionH>
            <wp:positionV relativeFrom="paragraph">
              <wp:posOffset>30048</wp:posOffset>
            </wp:positionV>
            <wp:extent cx="209550" cy="304800"/>
            <wp:effectExtent l="0" t="0" r="0" b="0"/>
            <wp:wrapNone/>
            <wp:docPr id="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You</w:t>
      </w:r>
      <w:r w:rsidR="0030286B">
        <w:rPr>
          <w:color w:val="333333"/>
          <w:spacing w:val="-19"/>
          <w:w w:val="110"/>
        </w:rPr>
        <w:t xml:space="preserve"> </w:t>
      </w:r>
      <w:r w:rsidR="0030286B">
        <w:rPr>
          <w:color w:val="333333"/>
          <w:w w:val="110"/>
        </w:rPr>
        <w:t>might</w:t>
      </w:r>
      <w:r w:rsidR="0030286B">
        <w:rPr>
          <w:color w:val="333333"/>
          <w:spacing w:val="-18"/>
          <w:w w:val="110"/>
        </w:rPr>
        <w:t xml:space="preserve"> </w:t>
      </w:r>
      <w:r w:rsidR="0030286B">
        <w:rPr>
          <w:color w:val="333333"/>
          <w:w w:val="110"/>
        </w:rPr>
        <w:t>want</w:t>
      </w:r>
      <w:r w:rsidR="0030286B">
        <w:rPr>
          <w:color w:val="333333"/>
          <w:spacing w:val="-19"/>
          <w:w w:val="110"/>
        </w:rPr>
        <w:t xml:space="preserve"> </w:t>
      </w:r>
      <w:r w:rsidR="0030286B">
        <w:rPr>
          <w:color w:val="333333"/>
          <w:w w:val="110"/>
        </w:rPr>
        <w:t>to</w:t>
      </w:r>
      <w:r w:rsidR="0030286B">
        <w:rPr>
          <w:color w:val="333333"/>
          <w:spacing w:val="-18"/>
          <w:w w:val="110"/>
        </w:rPr>
        <w:t xml:space="preserve"> </w:t>
      </w:r>
      <w:r w:rsidR="0030286B">
        <w:rPr>
          <w:color w:val="333333"/>
          <w:w w:val="110"/>
        </w:rPr>
        <w:t>set</w:t>
      </w:r>
      <w:r w:rsidR="0030286B">
        <w:rPr>
          <w:color w:val="333333"/>
          <w:spacing w:val="-16"/>
          <w:w w:val="110"/>
        </w:rPr>
        <w:t xml:space="preserve"> </w:t>
      </w:r>
      <w:proofErr w:type="gramStart"/>
      <w:r w:rsidR="0030286B">
        <w:rPr>
          <w:rFonts w:ascii="MS Gothic"/>
          <w:color w:val="B02045"/>
          <w:w w:val="110"/>
        </w:rPr>
        <w:t>spring.devtools</w:t>
      </w:r>
      <w:proofErr w:type="gramEnd"/>
      <w:r w:rsidR="0030286B">
        <w:rPr>
          <w:rFonts w:ascii="MS Gothic"/>
          <w:color w:val="B02045"/>
          <w:w w:val="110"/>
        </w:rPr>
        <w:t>.restart.trigger-file</w:t>
      </w:r>
      <w:r w:rsidR="0030286B">
        <w:rPr>
          <w:rFonts w:ascii="MS Gothic"/>
          <w:color w:val="B02045"/>
          <w:spacing w:val="-83"/>
          <w:w w:val="110"/>
        </w:rPr>
        <w:t xml:space="preserve"> </w:t>
      </w:r>
      <w:r w:rsidR="0030286B">
        <w:rPr>
          <w:color w:val="333333"/>
          <w:w w:val="110"/>
        </w:rPr>
        <w:t>as</w:t>
      </w:r>
      <w:r w:rsidR="0030286B">
        <w:rPr>
          <w:color w:val="333333"/>
          <w:spacing w:val="-19"/>
          <w:w w:val="110"/>
        </w:rPr>
        <w:t xml:space="preserve"> </w:t>
      </w:r>
      <w:r w:rsidR="0030286B">
        <w:rPr>
          <w:color w:val="333333"/>
          <w:w w:val="110"/>
        </w:rPr>
        <w:t>a</w:t>
      </w:r>
      <w:r w:rsidR="0030286B">
        <w:rPr>
          <w:color w:val="333333"/>
          <w:spacing w:val="-18"/>
          <w:w w:val="110"/>
        </w:rPr>
        <w:t xml:space="preserve"> </w:t>
      </w:r>
      <w:hyperlink w:anchor="_bookmark77" w:history="1">
        <w:r w:rsidR="0030286B">
          <w:rPr>
            <w:color w:val="418BCA"/>
            <w:w w:val="110"/>
          </w:rPr>
          <w:t>global</w:t>
        </w:r>
        <w:r w:rsidR="0030286B">
          <w:rPr>
            <w:color w:val="418BCA"/>
            <w:spacing w:val="-18"/>
            <w:w w:val="110"/>
          </w:rPr>
          <w:t xml:space="preserve"> </w:t>
        </w:r>
        <w:r w:rsidR="0030286B">
          <w:rPr>
            <w:color w:val="418BCA"/>
            <w:w w:val="110"/>
          </w:rPr>
          <w:t>setting</w:t>
        </w:r>
      </w:hyperlink>
      <w:r w:rsidR="0030286B">
        <w:rPr>
          <w:color w:val="333333"/>
          <w:w w:val="110"/>
        </w:rPr>
        <w:t>,</w:t>
      </w:r>
      <w:r w:rsidR="0030286B">
        <w:rPr>
          <w:color w:val="333333"/>
          <w:spacing w:val="-18"/>
          <w:w w:val="110"/>
        </w:rPr>
        <w:t xml:space="preserve"> </w:t>
      </w:r>
      <w:r w:rsidR="0030286B">
        <w:rPr>
          <w:color w:val="333333"/>
          <w:w w:val="110"/>
        </w:rPr>
        <w:t>so that all your projects behave in the same</w:t>
      </w:r>
      <w:r w:rsidR="0030286B">
        <w:rPr>
          <w:color w:val="333333"/>
          <w:spacing w:val="26"/>
          <w:w w:val="110"/>
        </w:rPr>
        <w:t xml:space="preserve"> </w:t>
      </w:r>
      <w:r w:rsidR="0030286B">
        <w:rPr>
          <w:color w:val="333333"/>
          <w:spacing w:val="-7"/>
          <w:w w:val="110"/>
        </w:rPr>
        <w:t>way.</w:t>
      </w:r>
    </w:p>
    <w:p w14:paraId="74344B67" w14:textId="77777777" w:rsidR="00A720EB" w:rsidRDefault="00A720EB">
      <w:pPr>
        <w:pStyle w:val="a3"/>
        <w:spacing w:before="9"/>
        <w:rPr>
          <w:sz w:val="28"/>
        </w:rPr>
      </w:pPr>
    </w:p>
    <w:p w14:paraId="153DA9AE" w14:textId="77777777" w:rsidR="00A720EB" w:rsidRDefault="0030286B">
      <w:pPr>
        <w:pStyle w:val="a3"/>
        <w:spacing w:before="1" w:line="307" w:lineRule="auto"/>
        <w:ind w:left="124" w:right="136"/>
      </w:pPr>
      <w:r>
        <w:rPr>
          <w:color w:val="333333"/>
          <w:w w:val="110"/>
        </w:rPr>
        <w:t xml:space="preserve">Some IDEs have features that save you from needing to update your trigger file </w:t>
      </w:r>
      <w:r>
        <w:rPr>
          <w:color w:val="333333"/>
          <w:spacing w:val="-3"/>
          <w:w w:val="110"/>
        </w:rPr>
        <w:t xml:space="preserve">manually. </w:t>
      </w:r>
      <w:hyperlink r:id="rId83">
        <w:r>
          <w:rPr>
            <w:color w:val="418BCA"/>
            <w:w w:val="110"/>
          </w:rPr>
          <w:t>Spring</w:t>
        </w:r>
      </w:hyperlink>
      <w:r>
        <w:rPr>
          <w:color w:val="418BCA"/>
          <w:w w:val="110"/>
        </w:rPr>
        <w:t xml:space="preserve"> </w:t>
      </w:r>
      <w:hyperlink r:id="rId84">
        <w:r>
          <w:rPr>
            <w:color w:val="418BCA"/>
            <w:w w:val="110"/>
          </w:rPr>
          <w:t xml:space="preserve">Tools for Eclipse </w:t>
        </w:r>
      </w:hyperlink>
      <w:r>
        <w:rPr>
          <w:color w:val="333333"/>
          <w:w w:val="110"/>
        </w:rPr>
        <w:t xml:space="preserve">and </w:t>
      </w:r>
      <w:hyperlink r:id="rId85">
        <w:r>
          <w:rPr>
            <w:color w:val="418BCA"/>
            <w:w w:val="110"/>
          </w:rPr>
          <w:t xml:space="preserve">IntelliJ IDEA (Ultimate Edition) </w:t>
        </w:r>
      </w:hyperlink>
      <w:r>
        <w:rPr>
          <w:color w:val="333333"/>
          <w:w w:val="110"/>
        </w:rPr>
        <w:t>both have such support. With Spring Tools,</w:t>
      </w:r>
      <w:r>
        <w:rPr>
          <w:color w:val="333333"/>
          <w:spacing w:val="49"/>
          <w:w w:val="110"/>
        </w:rPr>
        <w:t xml:space="preserve"> </w:t>
      </w:r>
      <w:r>
        <w:rPr>
          <w:color w:val="333333"/>
          <w:w w:val="110"/>
        </w:rPr>
        <w:t>you</w:t>
      </w:r>
    </w:p>
    <w:p w14:paraId="79A3240A" w14:textId="77777777" w:rsidR="00A720EB" w:rsidRDefault="00A720EB">
      <w:pPr>
        <w:spacing w:line="307" w:lineRule="auto"/>
        <w:sectPr w:rsidR="00A720EB">
          <w:pgSz w:w="11910" w:h="16840"/>
          <w:pgMar w:top="620" w:right="840" w:bottom="520" w:left="840" w:header="0" w:footer="323" w:gutter="0"/>
          <w:cols w:space="720"/>
        </w:sectPr>
      </w:pPr>
    </w:p>
    <w:p w14:paraId="02AA9DCE" w14:textId="77777777" w:rsidR="00A720EB" w:rsidRDefault="0030286B">
      <w:pPr>
        <w:pStyle w:val="a3"/>
        <w:spacing w:before="96"/>
        <w:ind w:left="124"/>
        <w:jc w:val="both"/>
      </w:pPr>
      <w:r>
        <w:rPr>
          <w:color w:val="333333"/>
          <w:w w:val="110"/>
        </w:rPr>
        <w:lastRenderedPageBreak/>
        <w:t xml:space="preserve">can use the “reload” button from the console view (as long as your </w:t>
      </w:r>
      <w:r>
        <w:rPr>
          <w:rFonts w:ascii="MS Gothic" w:hAnsi="MS Gothic"/>
          <w:color w:val="B02045"/>
          <w:w w:val="110"/>
        </w:rPr>
        <w:t xml:space="preserve">trigger-file </w:t>
      </w:r>
      <w:r>
        <w:rPr>
          <w:color w:val="333333"/>
          <w:w w:val="110"/>
        </w:rPr>
        <w:t>is named</w:t>
      </w:r>
    </w:p>
    <w:p w14:paraId="66749936" w14:textId="77777777" w:rsidR="00A720EB" w:rsidRDefault="0030286B">
      <w:pPr>
        <w:pStyle w:val="a3"/>
        <w:spacing w:before="47"/>
        <w:ind w:left="124"/>
        <w:jc w:val="both"/>
      </w:pPr>
      <w:proofErr w:type="gramStart"/>
      <w:r>
        <w:rPr>
          <w:rFonts w:ascii="MS Gothic"/>
          <w:color w:val="B02045"/>
          <w:w w:val="110"/>
        </w:rPr>
        <w:t>.reloadtrigger</w:t>
      </w:r>
      <w:proofErr w:type="gramEnd"/>
      <w:r>
        <w:rPr>
          <w:color w:val="333333"/>
          <w:w w:val="110"/>
        </w:rPr>
        <w:t xml:space="preserve">). For IntelliJ IDEA, you can follow the </w:t>
      </w:r>
      <w:hyperlink r:id="rId86" w:anchor="application-update-policies">
        <w:r>
          <w:rPr>
            <w:color w:val="418BCA"/>
            <w:w w:val="110"/>
          </w:rPr>
          <w:t>instructions in their documentation</w:t>
        </w:r>
      </w:hyperlink>
      <w:r>
        <w:rPr>
          <w:color w:val="333333"/>
          <w:w w:val="110"/>
        </w:rPr>
        <w:t>.</w:t>
      </w:r>
    </w:p>
    <w:p w14:paraId="2226A15C" w14:textId="77777777" w:rsidR="00A720EB" w:rsidRDefault="00A720EB">
      <w:pPr>
        <w:pStyle w:val="a3"/>
        <w:spacing w:before="5"/>
        <w:rPr>
          <w:sz w:val="30"/>
        </w:rPr>
      </w:pPr>
    </w:p>
    <w:p w14:paraId="3F0910C0" w14:textId="77777777" w:rsidR="00A720EB" w:rsidRDefault="0030286B">
      <w:pPr>
        <w:pStyle w:val="4"/>
      </w:pPr>
      <w:bookmarkStart w:id="127" w:name="Customizing_the_Restart_Classloader"/>
      <w:bookmarkEnd w:id="127"/>
      <w:r>
        <w:rPr>
          <w:color w:val="333333"/>
          <w:w w:val="110"/>
        </w:rPr>
        <w:t>Customizing the Restart Classloader</w:t>
      </w:r>
    </w:p>
    <w:p w14:paraId="59D476C8" w14:textId="77777777" w:rsidR="00A720EB" w:rsidRDefault="00A720EB">
      <w:pPr>
        <w:pStyle w:val="a3"/>
        <w:spacing w:before="11"/>
        <w:rPr>
          <w:rFonts w:ascii="Palatino Linotype"/>
          <w:b/>
          <w:sz w:val="18"/>
        </w:rPr>
      </w:pPr>
    </w:p>
    <w:p w14:paraId="46DDB91D" w14:textId="77777777" w:rsidR="00A720EB" w:rsidRDefault="0030286B">
      <w:pPr>
        <w:pStyle w:val="a3"/>
        <w:spacing w:line="307" w:lineRule="auto"/>
        <w:ind w:left="124" w:right="126"/>
        <w:jc w:val="both"/>
      </w:pPr>
      <w:r>
        <w:rPr>
          <w:color w:val="333333"/>
          <w:w w:val="110"/>
        </w:rPr>
        <w:t xml:space="preserve">As described earlier in the </w:t>
      </w:r>
      <w:hyperlink w:anchor="_bookmark68" w:history="1">
        <w:r>
          <w:rPr>
            <w:color w:val="418BCA"/>
            <w:w w:val="110"/>
          </w:rPr>
          <w:t>Restart vs Reload</w:t>
        </w:r>
      </w:hyperlink>
      <w:r>
        <w:rPr>
          <w:color w:val="418BCA"/>
          <w:w w:val="110"/>
        </w:rPr>
        <w:t xml:space="preserve"> </w:t>
      </w:r>
      <w:r>
        <w:rPr>
          <w:color w:val="333333"/>
          <w:w w:val="110"/>
        </w:rPr>
        <w:t>section, restart functionality is implemented by using two classloaders. For most applications, this approach works well. However, it can sometimes cause classloading issues.</w:t>
      </w:r>
    </w:p>
    <w:p w14:paraId="43135AF0" w14:textId="77777777" w:rsidR="00A720EB" w:rsidRDefault="0030286B">
      <w:pPr>
        <w:pStyle w:val="a3"/>
        <w:spacing w:before="242"/>
        <w:ind w:left="124"/>
        <w:jc w:val="both"/>
      </w:pPr>
      <w:r>
        <w:rPr>
          <w:color w:val="333333"/>
          <w:w w:val="110"/>
        </w:rPr>
        <w:t>By default, any open project in your IDE is loaded with the “restart” classloader, and any regular</w:t>
      </w:r>
    </w:p>
    <w:p w14:paraId="58947504" w14:textId="77777777" w:rsidR="00A720EB" w:rsidRDefault="0030286B">
      <w:pPr>
        <w:pStyle w:val="a3"/>
        <w:spacing w:before="59" w:line="295" w:lineRule="auto"/>
        <w:ind w:left="124" w:right="131"/>
        <w:jc w:val="both"/>
      </w:pPr>
      <w:r>
        <w:rPr>
          <w:rFonts w:ascii="MS Gothic" w:hAnsi="MS Gothic"/>
          <w:color w:val="B02045"/>
          <w:w w:val="110"/>
        </w:rPr>
        <w:t xml:space="preserve">.jar </w:t>
      </w:r>
      <w:r>
        <w:rPr>
          <w:color w:val="333333"/>
          <w:w w:val="110"/>
        </w:rPr>
        <w:t xml:space="preserve">file is loaded with the “base” classloader. If you work on a multi-module project, and not every module is imported into your IDE, you may need to customize things. </w:t>
      </w:r>
      <w:r>
        <w:rPr>
          <w:color w:val="333333"/>
          <w:spacing w:val="-4"/>
          <w:w w:val="110"/>
        </w:rPr>
        <w:t xml:space="preserve">To </w:t>
      </w:r>
      <w:r>
        <w:rPr>
          <w:color w:val="333333"/>
          <w:w w:val="110"/>
        </w:rPr>
        <w:t xml:space="preserve">do so, you can create a </w:t>
      </w:r>
      <w:r>
        <w:rPr>
          <w:rFonts w:ascii="MS Gothic" w:hAnsi="MS Gothic"/>
          <w:color w:val="B02045"/>
          <w:w w:val="110"/>
        </w:rPr>
        <w:t>META-INF/spring-devtools.properties</w:t>
      </w:r>
      <w:r>
        <w:rPr>
          <w:rFonts w:ascii="MS Gothic" w:hAnsi="MS Gothic"/>
          <w:color w:val="B02045"/>
          <w:spacing w:val="-65"/>
          <w:w w:val="110"/>
        </w:rPr>
        <w:t xml:space="preserve"> </w:t>
      </w:r>
      <w:r>
        <w:rPr>
          <w:color w:val="333333"/>
          <w:w w:val="110"/>
        </w:rPr>
        <w:t>file.</w:t>
      </w:r>
    </w:p>
    <w:p w14:paraId="5259ED66" w14:textId="77777777" w:rsidR="00A720EB" w:rsidRDefault="0030286B">
      <w:pPr>
        <w:pStyle w:val="a3"/>
        <w:spacing w:before="222" w:line="290" w:lineRule="auto"/>
        <w:ind w:left="124" w:right="123"/>
        <w:jc w:val="both"/>
      </w:pPr>
      <w:r>
        <w:rPr>
          <w:color w:val="333333"/>
          <w:w w:val="110"/>
        </w:rPr>
        <w:t xml:space="preserve">The </w:t>
      </w:r>
      <w:r>
        <w:rPr>
          <w:rFonts w:ascii="MS Gothic" w:hAnsi="MS Gothic"/>
          <w:color w:val="B02045"/>
          <w:w w:val="110"/>
        </w:rPr>
        <w:t>spring-</w:t>
      </w:r>
      <w:proofErr w:type="gramStart"/>
      <w:r>
        <w:rPr>
          <w:rFonts w:ascii="MS Gothic" w:hAnsi="MS Gothic"/>
          <w:color w:val="B02045"/>
          <w:w w:val="110"/>
        </w:rPr>
        <w:t>devtools.properties</w:t>
      </w:r>
      <w:proofErr w:type="gramEnd"/>
      <w:r>
        <w:rPr>
          <w:rFonts w:ascii="MS Gothic" w:hAnsi="MS Gothic"/>
          <w:color w:val="B02045"/>
          <w:w w:val="110"/>
        </w:rPr>
        <w:t xml:space="preserve"> </w:t>
      </w:r>
      <w:r>
        <w:rPr>
          <w:color w:val="333333"/>
          <w:w w:val="110"/>
        </w:rPr>
        <w:t xml:space="preserve">file can contain properties prefixed with </w:t>
      </w:r>
      <w:r>
        <w:rPr>
          <w:rFonts w:ascii="MS Gothic" w:hAnsi="MS Gothic"/>
          <w:color w:val="B02045"/>
          <w:w w:val="110"/>
        </w:rPr>
        <w:t xml:space="preserve">restart.exclude </w:t>
      </w:r>
      <w:r>
        <w:rPr>
          <w:color w:val="333333"/>
          <w:w w:val="110"/>
        </w:rPr>
        <w:t xml:space="preserve">and </w:t>
      </w:r>
      <w:r>
        <w:rPr>
          <w:rFonts w:ascii="MS Gothic" w:hAnsi="MS Gothic"/>
          <w:color w:val="B02045"/>
          <w:w w:val="110"/>
        </w:rPr>
        <w:t>restart.include</w:t>
      </w:r>
      <w:r>
        <w:rPr>
          <w:color w:val="333333"/>
          <w:w w:val="110"/>
        </w:rPr>
        <w:t xml:space="preserve">. The </w:t>
      </w:r>
      <w:r>
        <w:rPr>
          <w:rFonts w:ascii="MS Gothic" w:hAnsi="MS Gothic"/>
          <w:color w:val="B02045"/>
          <w:w w:val="110"/>
        </w:rPr>
        <w:t xml:space="preserve">include </w:t>
      </w:r>
      <w:r>
        <w:rPr>
          <w:color w:val="333333"/>
          <w:w w:val="110"/>
        </w:rPr>
        <w:t xml:space="preserve">elements are items that should be pulled up into the “restart” classloader, and the </w:t>
      </w:r>
      <w:r>
        <w:rPr>
          <w:rFonts w:ascii="MS Gothic" w:hAnsi="MS Gothic"/>
          <w:color w:val="B02045"/>
          <w:w w:val="110"/>
        </w:rPr>
        <w:t xml:space="preserve">exclude </w:t>
      </w:r>
      <w:r>
        <w:rPr>
          <w:color w:val="333333"/>
          <w:w w:val="110"/>
        </w:rPr>
        <w:t>elements are items that should be pushed down into the “base” classloader. The value of the property is a regex pattern that is applied to the classpath, as shown in the following example:</w:t>
      </w:r>
    </w:p>
    <w:p w14:paraId="5EF53ED0" w14:textId="77777777" w:rsidR="00A720EB" w:rsidRDefault="00E10349">
      <w:pPr>
        <w:pStyle w:val="a3"/>
        <w:spacing w:before="5"/>
        <w:rPr>
          <w:sz w:val="14"/>
        </w:rPr>
      </w:pPr>
      <w:r>
        <w:pict w14:anchorId="29183299">
          <v:group id="_x0000_s4751" style="position:absolute;margin-left:47.85pt;margin-top:10.45pt;width:499.55pt;height:52.25pt;z-index:-15660544;mso-wrap-distance-left:0;mso-wrap-distance-right:0;mso-position-horizontal-relative:page" coordorigin="957,209" coordsize="9991,1045">
            <v:shape id="_x0000_s4754" style="position:absolute;left:964;top:216;width:9976;height:1030" coordorigin="965,216" coordsize="9976,1030" path="m10861,216r-9816,l1014,223r-26,17l971,265r-6,31l965,1166r6,31l988,1223r26,17l1045,1246r9816,l10892,1240r25,-17l10935,1197r6,-31l10941,296r-6,-31l10917,240r-25,-17l10861,216xe" fillcolor="#f5f5f5" stroked="f">
              <v:path arrowok="t"/>
            </v:shape>
            <v:shape id="_x0000_s4753" style="position:absolute;left:964;top:216;width:9976;height:1030" coordorigin="965,216" coordsize="9976,1030" path="m1045,216r9816,l10892,223r25,17l10935,265r6,31l10941,1166r-6,31l10917,1223r-25,17l10861,1246r-9816,l1014,1240r-26,-17l971,1197r-6,-31l965,296r6,-31l988,240r26,-17l1045,216xe" filled="f" strokecolor="#ccc">
              <v:path arrowok="t"/>
            </v:shape>
            <v:shape id="_x0000_s4752" type="#_x0000_t202" style="position:absolute;left:984;top:231;width:9938;height:999" filled="f" stroked="f">
              <v:textbox inset="0,0,0,0">
                <w:txbxContent>
                  <w:p w14:paraId="2901EF7C" w14:textId="77777777" w:rsidR="00711A16" w:rsidRDefault="00711A16">
                    <w:pPr>
                      <w:spacing w:before="221" w:line="252" w:lineRule="auto"/>
                      <w:ind w:left="200" w:right="2474"/>
                      <w:rPr>
                        <w:rFonts w:ascii="MS Gothic"/>
                      </w:rPr>
                    </w:pPr>
                    <w:proofErr w:type="gramStart"/>
                    <w:r>
                      <w:rPr>
                        <w:rFonts w:ascii="MS Gothic"/>
                        <w:color w:val="333333"/>
                      </w:rPr>
                      <w:t>restart.exclude</w:t>
                    </w:r>
                    <w:proofErr w:type="gramEnd"/>
                    <w:r>
                      <w:rPr>
                        <w:rFonts w:ascii="MS Gothic"/>
                        <w:color w:val="333333"/>
                      </w:rPr>
                      <w:t>.companycommonlibs=/mycorp-common-[\\w\\d-\.]+\.jar restart.include.projectcommon=/mycorp-myproj-[\\w\\d-\.]+\.jar</w:t>
                    </w:r>
                  </w:p>
                </w:txbxContent>
              </v:textbox>
            </v:shape>
            <w10:wrap type="topAndBottom" anchorx="page"/>
          </v:group>
        </w:pict>
      </w:r>
    </w:p>
    <w:p w14:paraId="0177ACD3" w14:textId="77777777" w:rsidR="00A720EB" w:rsidRDefault="00A720EB">
      <w:pPr>
        <w:pStyle w:val="a3"/>
        <w:spacing w:before="10"/>
        <w:rPr>
          <w:sz w:val="16"/>
        </w:rPr>
      </w:pPr>
    </w:p>
    <w:p w14:paraId="672DC669" w14:textId="77777777" w:rsidR="00A720EB" w:rsidRDefault="00E10349">
      <w:pPr>
        <w:pStyle w:val="a3"/>
        <w:spacing w:before="125"/>
        <w:ind w:left="1564"/>
      </w:pPr>
      <w:r>
        <w:pict w14:anchorId="2059CEBB">
          <v:line id="_x0000_s4750" style="position:absolute;left:0;text-align:left;z-index:15797248;mso-position-horizontal-relative:page" from="108.25pt,.25pt" to="108.25pt,39.8pt" strokecolor="#ededed" strokeweight=".5pt">
            <w10:wrap anchorx="page"/>
          </v:line>
        </w:pict>
      </w:r>
      <w:r w:rsidR="0030286B">
        <w:rPr>
          <w:noProof/>
        </w:rPr>
        <w:drawing>
          <wp:anchor distT="0" distB="0" distL="0" distR="0" simplePos="0" relativeHeight="15797760" behindDoc="0" locked="0" layoutInCell="1" allowOverlap="1" wp14:anchorId="305CA9C9" wp14:editId="6DEA534B">
            <wp:simplePos x="0" y="0"/>
            <wp:positionH relativeFrom="page">
              <wp:posOffset>844422</wp:posOffset>
            </wp:positionH>
            <wp:positionV relativeFrom="paragraph">
              <wp:posOffset>105321</wp:posOffset>
            </wp:positionV>
            <wp:extent cx="298450" cy="29845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All property keys must be unique. As long as a property starts with</w:t>
      </w:r>
    </w:p>
    <w:p w14:paraId="622186FB" w14:textId="77777777" w:rsidR="00A720EB" w:rsidRDefault="0030286B">
      <w:pPr>
        <w:pStyle w:val="a3"/>
        <w:spacing w:before="59"/>
        <w:ind w:left="1564"/>
      </w:pPr>
      <w:proofErr w:type="gramStart"/>
      <w:r>
        <w:rPr>
          <w:rFonts w:ascii="MS Gothic"/>
          <w:color w:val="B02045"/>
          <w:w w:val="105"/>
        </w:rPr>
        <w:t>restart.include</w:t>
      </w:r>
      <w:proofErr w:type="gramEnd"/>
      <w:r>
        <w:rPr>
          <w:rFonts w:ascii="MS Gothic"/>
          <w:color w:val="B02045"/>
          <w:w w:val="105"/>
        </w:rPr>
        <w:t>.</w:t>
      </w:r>
      <w:r>
        <w:rPr>
          <w:rFonts w:ascii="MS Gothic"/>
          <w:color w:val="B02045"/>
          <w:spacing w:val="-58"/>
          <w:w w:val="105"/>
        </w:rPr>
        <w:t xml:space="preserve"> </w:t>
      </w:r>
      <w:r>
        <w:rPr>
          <w:color w:val="333333"/>
          <w:w w:val="105"/>
        </w:rPr>
        <w:t xml:space="preserve">or </w:t>
      </w:r>
      <w:proofErr w:type="gramStart"/>
      <w:r>
        <w:rPr>
          <w:rFonts w:ascii="MS Gothic"/>
          <w:color w:val="B02045"/>
          <w:w w:val="105"/>
        </w:rPr>
        <w:t>restart.exclude</w:t>
      </w:r>
      <w:proofErr w:type="gramEnd"/>
      <w:r>
        <w:rPr>
          <w:rFonts w:ascii="MS Gothic"/>
          <w:color w:val="B02045"/>
          <w:w w:val="105"/>
        </w:rPr>
        <w:t>.</w:t>
      </w:r>
      <w:r>
        <w:rPr>
          <w:rFonts w:ascii="MS Gothic"/>
          <w:color w:val="B02045"/>
          <w:spacing w:val="-57"/>
          <w:w w:val="105"/>
        </w:rPr>
        <w:t xml:space="preserve"> </w:t>
      </w:r>
      <w:r>
        <w:rPr>
          <w:color w:val="333333"/>
          <w:w w:val="105"/>
        </w:rPr>
        <w:t>it is considered.</w:t>
      </w:r>
    </w:p>
    <w:p w14:paraId="3B443283" w14:textId="77777777" w:rsidR="00A720EB" w:rsidRDefault="00A720EB">
      <w:pPr>
        <w:pStyle w:val="a3"/>
        <w:spacing w:before="1"/>
        <w:rPr>
          <w:sz w:val="38"/>
        </w:rPr>
      </w:pPr>
    </w:p>
    <w:p w14:paraId="42529193" w14:textId="77777777" w:rsidR="00A720EB" w:rsidRDefault="00E10349">
      <w:pPr>
        <w:pStyle w:val="a3"/>
        <w:spacing w:line="290" w:lineRule="auto"/>
        <w:ind w:left="1564"/>
      </w:pPr>
      <w:r>
        <w:pict w14:anchorId="518A44D4">
          <v:line id="_x0000_s4749" style="position:absolute;left:0;text-align:left;z-index:15798272;mso-position-horizontal-relative:page" from="108.25pt,-5.45pt" to="108.25pt,34.1pt" strokecolor="#ededed" strokeweight=".5pt">
            <w10:wrap anchorx="page"/>
          </v:line>
        </w:pict>
      </w:r>
      <w:r w:rsidR="0030286B">
        <w:rPr>
          <w:noProof/>
        </w:rPr>
        <w:drawing>
          <wp:anchor distT="0" distB="0" distL="0" distR="0" simplePos="0" relativeHeight="15798784" behindDoc="0" locked="0" layoutInCell="1" allowOverlap="1" wp14:anchorId="407F581A" wp14:editId="7063A42D">
            <wp:simplePos x="0" y="0"/>
            <wp:positionH relativeFrom="page">
              <wp:posOffset>888949</wp:posOffset>
            </wp:positionH>
            <wp:positionV relativeFrom="paragraph">
              <wp:posOffset>29413</wp:posOffset>
            </wp:positionV>
            <wp:extent cx="209550" cy="304800"/>
            <wp:effectExtent l="0" t="0" r="0" b="0"/>
            <wp:wrapNone/>
            <wp:docPr id="8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All </w:t>
      </w:r>
      <w:r w:rsidR="0030286B">
        <w:rPr>
          <w:rFonts w:ascii="MS Gothic"/>
          <w:color w:val="B02045"/>
          <w:w w:val="110"/>
        </w:rPr>
        <w:t xml:space="preserve">META-INF/spring-devtools.properties </w:t>
      </w:r>
      <w:r w:rsidR="0030286B">
        <w:rPr>
          <w:color w:val="333333"/>
          <w:w w:val="110"/>
        </w:rPr>
        <w:t>from the classpath are loaded. You can package files inside your project, or in the libraries that the project consumes.</w:t>
      </w:r>
    </w:p>
    <w:p w14:paraId="74A780E7" w14:textId="77777777" w:rsidR="00A720EB" w:rsidRDefault="00A720EB">
      <w:pPr>
        <w:pStyle w:val="a3"/>
        <w:spacing w:before="1"/>
        <w:rPr>
          <w:sz w:val="25"/>
        </w:rPr>
      </w:pPr>
    </w:p>
    <w:p w14:paraId="59090937" w14:textId="77777777" w:rsidR="00A720EB" w:rsidRDefault="0030286B">
      <w:pPr>
        <w:pStyle w:val="4"/>
        <w:spacing w:before="104"/>
      </w:pPr>
      <w:bookmarkStart w:id="128" w:name="Known_Limitations"/>
      <w:bookmarkEnd w:id="128"/>
      <w:r>
        <w:rPr>
          <w:color w:val="333333"/>
          <w:w w:val="110"/>
        </w:rPr>
        <w:t>Known Limitations</w:t>
      </w:r>
    </w:p>
    <w:p w14:paraId="4AB36104" w14:textId="77777777" w:rsidR="00A720EB" w:rsidRDefault="00A720EB">
      <w:pPr>
        <w:pStyle w:val="a3"/>
        <w:spacing w:before="11"/>
        <w:rPr>
          <w:rFonts w:ascii="Palatino Linotype"/>
          <w:b/>
          <w:sz w:val="18"/>
        </w:rPr>
      </w:pPr>
    </w:p>
    <w:p w14:paraId="5E9DAEB8" w14:textId="77777777" w:rsidR="00A720EB" w:rsidRDefault="0030286B">
      <w:pPr>
        <w:pStyle w:val="a3"/>
        <w:tabs>
          <w:tab w:val="left" w:pos="4837"/>
          <w:tab w:val="left" w:pos="6707"/>
          <w:tab w:val="left" w:pos="9645"/>
        </w:tabs>
        <w:spacing w:line="288" w:lineRule="auto"/>
        <w:ind w:left="124" w:right="123"/>
        <w:jc w:val="both"/>
      </w:pPr>
      <w:r>
        <w:rPr>
          <w:color w:val="333333"/>
          <w:w w:val="110"/>
        </w:rPr>
        <w:t xml:space="preserve">Restart functionality does not work well with objects that are deserialized </w:t>
      </w:r>
      <w:r>
        <w:rPr>
          <w:color w:val="333333"/>
          <w:spacing w:val="-3"/>
          <w:w w:val="110"/>
        </w:rPr>
        <w:t xml:space="preserve">by </w:t>
      </w:r>
      <w:r>
        <w:rPr>
          <w:color w:val="333333"/>
          <w:w w:val="110"/>
        </w:rPr>
        <w:t xml:space="preserve">using a standard </w:t>
      </w:r>
      <w:r>
        <w:rPr>
          <w:rFonts w:ascii="MS Gothic" w:hAnsi="MS Gothic"/>
          <w:color w:val="B02045"/>
          <w:w w:val="110"/>
        </w:rPr>
        <w:t>ObjectInputStream</w:t>
      </w:r>
      <w:r>
        <w:rPr>
          <w:color w:val="333333"/>
          <w:w w:val="110"/>
        </w:rPr>
        <w:t xml:space="preserve">. If you need to deserialize data, you may need to use Spring’s </w:t>
      </w:r>
      <w:r>
        <w:rPr>
          <w:rFonts w:ascii="MS Gothic" w:hAnsi="MS Gothic"/>
          <w:color w:val="B02045"/>
        </w:rPr>
        <w:t>ConfigurableObjectInputStream</w:t>
      </w:r>
      <w:r>
        <w:rPr>
          <w:rFonts w:ascii="MS Gothic" w:hAnsi="MS Gothic"/>
          <w:color w:val="B02045"/>
        </w:rPr>
        <w:tab/>
      </w:r>
      <w:r>
        <w:rPr>
          <w:color w:val="333333"/>
          <w:w w:val="110"/>
        </w:rPr>
        <w:t>in</w:t>
      </w:r>
      <w:r>
        <w:rPr>
          <w:color w:val="333333"/>
          <w:w w:val="110"/>
        </w:rPr>
        <w:tab/>
        <w:t>combination</w:t>
      </w:r>
      <w:r>
        <w:rPr>
          <w:color w:val="333333"/>
          <w:w w:val="110"/>
        </w:rPr>
        <w:tab/>
      </w:r>
      <w:r>
        <w:rPr>
          <w:color w:val="333333"/>
          <w:spacing w:val="-5"/>
          <w:w w:val="110"/>
        </w:rPr>
        <w:t xml:space="preserve">with </w:t>
      </w:r>
      <w:r>
        <w:rPr>
          <w:rFonts w:ascii="MS Gothic" w:hAnsi="MS Gothic"/>
          <w:color w:val="B02045"/>
          <w:w w:val="110"/>
        </w:rPr>
        <w:t>Thread.currentThread(</w:t>
      </w:r>
      <w:proofErr w:type="gramStart"/>
      <w:r>
        <w:rPr>
          <w:rFonts w:ascii="MS Gothic" w:hAnsi="MS Gothic"/>
          <w:color w:val="B02045"/>
          <w:w w:val="110"/>
        </w:rPr>
        <w:t>).getContextClassLoader</w:t>
      </w:r>
      <w:proofErr w:type="gramEnd"/>
      <w:r>
        <w:rPr>
          <w:rFonts w:ascii="MS Gothic" w:hAnsi="MS Gothic"/>
          <w:color w:val="B02045"/>
          <w:w w:val="110"/>
        </w:rPr>
        <w:t>()</w:t>
      </w:r>
      <w:r>
        <w:rPr>
          <w:color w:val="333333"/>
          <w:w w:val="110"/>
        </w:rPr>
        <w:t>.</w:t>
      </w:r>
    </w:p>
    <w:p w14:paraId="6244A1A2" w14:textId="77777777" w:rsidR="00A720EB" w:rsidRDefault="0030286B">
      <w:pPr>
        <w:pStyle w:val="a3"/>
        <w:spacing w:before="239" w:line="307" w:lineRule="auto"/>
        <w:ind w:left="124" w:right="129"/>
        <w:jc w:val="both"/>
      </w:pPr>
      <w:r>
        <w:rPr>
          <w:color w:val="333333"/>
          <w:spacing w:val="-3"/>
          <w:w w:val="115"/>
        </w:rPr>
        <w:t>Unfortunately,</w:t>
      </w:r>
      <w:r>
        <w:rPr>
          <w:color w:val="333333"/>
          <w:spacing w:val="-24"/>
          <w:w w:val="115"/>
        </w:rPr>
        <w:t xml:space="preserve"> </w:t>
      </w:r>
      <w:r>
        <w:rPr>
          <w:color w:val="333333"/>
          <w:w w:val="115"/>
        </w:rPr>
        <w:t>several</w:t>
      </w:r>
      <w:r>
        <w:rPr>
          <w:color w:val="333333"/>
          <w:spacing w:val="-25"/>
          <w:w w:val="115"/>
        </w:rPr>
        <w:t xml:space="preserve"> </w:t>
      </w:r>
      <w:r>
        <w:rPr>
          <w:color w:val="333333"/>
          <w:w w:val="115"/>
        </w:rPr>
        <w:t>third-party</w:t>
      </w:r>
      <w:r>
        <w:rPr>
          <w:color w:val="333333"/>
          <w:spacing w:val="-23"/>
          <w:w w:val="115"/>
        </w:rPr>
        <w:t xml:space="preserve"> </w:t>
      </w:r>
      <w:r>
        <w:rPr>
          <w:color w:val="333333"/>
          <w:w w:val="115"/>
        </w:rPr>
        <w:t>libraries</w:t>
      </w:r>
      <w:r>
        <w:rPr>
          <w:color w:val="333333"/>
          <w:spacing w:val="-25"/>
          <w:w w:val="115"/>
        </w:rPr>
        <w:t xml:space="preserve"> </w:t>
      </w:r>
      <w:r>
        <w:rPr>
          <w:color w:val="333333"/>
          <w:w w:val="115"/>
        </w:rPr>
        <w:t>deserialize</w:t>
      </w:r>
      <w:r>
        <w:rPr>
          <w:color w:val="333333"/>
          <w:spacing w:val="-24"/>
          <w:w w:val="115"/>
        </w:rPr>
        <w:t xml:space="preserve"> </w:t>
      </w:r>
      <w:r>
        <w:rPr>
          <w:color w:val="333333"/>
          <w:w w:val="115"/>
        </w:rPr>
        <w:t>without</w:t>
      </w:r>
      <w:r>
        <w:rPr>
          <w:color w:val="333333"/>
          <w:spacing w:val="-24"/>
          <w:w w:val="115"/>
        </w:rPr>
        <w:t xml:space="preserve"> </w:t>
      </w:r>
      <w:r>
        <w:rPr>
          <w:color w:val="333333"/>
          <w:w w:val="115"/>
        </w:rPr>
        <w:t>considering</w:t>
      </w:r>
      <w:r>
        <w:rPr>
          <w:color w:val="333333"/>
          <w:spacing w:val="-24"/>
          <w:w w:val="115"/>
        </w:rPr>
        <w:t xml:space="preserve"> </w:t>
      </w:r>
      <w:r>
        <w:rPr>
          <w:color w:val="333333"/>
          <w:w w:val="115"/>
        </w:rPr>
        <w:t>the</w:t>
      </w:r>
      <w:r>
        <w:rPr>
          <w:color w:val="333333"/>
          <w:spacing w:val="-24"/>
          <w:w w:val="115"/>
        </w:rPr>
        <w:t xml:space="preserve"> </w:t>
      </w:r>
      <w:r>
        <w:rPr>
          <w:color w:val="333333"/>
          <w:w w:val="115"/>
        </w:rPr>
        <w:t>context</w:t>
      </w:r>
      <w:r>
        <w:rPr>
          <w:color w:val="333333"/>
          <w:spacing w:val="-24"/>
          <w:w w:val="115"/>
        </w:rPr>
        <w:t xml:space="preserve"> </w:t>
      </w:r>
      <w:r>
        <w:rPr>
          <w:color w:val="333333"/>
          <w:w w:val="115"/>
        </w:rPr>
        <w:t>classloader. If</w:t>
      </w:r>
      <w:r>
        <w:rPr>
          <w:color w:val="333333"/>
          <w:spacing w:val="-3"/>
          <w:w w:val="115"/>
        </w:rPr>
        <w:t xml:space="preserve"> </w:t>
      </w:r>
      <w:r>
        <w:rPr>
          <w:color w:val="333333"/>
          <w:w w:val="115"/>
        </w:rPr>
        <w:t>you</w:t>
      </w:r>
      <w:r>
        <w:rPr>
          <w:color w:val="333333"/>
          <w:spacing w:val="-4"/>
          <w:w w:val="115"/>
        </w:rPr>
        <w:t xml:space="preserve"> </w:t>
      </w:r>
      <w:r>
        <w:rPr>
          <w:color w:val="333333"/>
          <w:w w:val="115"/>
        </w:rPr>
        <w:t>find</w:t>
      </w:r>
      <w:r>
        <w:rPr>
          <w:color w:val="333333"/>
          <w:spacing w:val="-3"/>
          <w:w w:val="115"/>
        </w:rPr>
        <w:t xml:space="preserve"> </w:t>
      </w:r>
      <w:r>
        <w:rPr>
          <w:color w:val="333333"/>
          <w:w w:val="115"/>
        </w:rPr>
        <w:t>such</w:t>
      </w:r>
      <w:r>
        <w:rPr>
          <w:color w:val="333333"/>
          <w:spacing w:val="-2"/>
          <w:w w:val="115"/>
        </w:rPr>
        <w:t xml:space="preserve"> </w:t>
      </w:r>
      <w:r>
        <w:rPr>
          <w:color w:val="333333"/>
          <w:w w:val="115"/>
        </w:rPr>
        <w:t>a</w:t>
      </w:r>
      <w:r>
        <w:rPr>
          <w:color w:val="333333"/>
          <w:spacing w:val="-4"/>
          <w:w w:val="115"/>
        </w:rPr>
        <w:t xml:space="preserve"> </w:t>
      </w:r>
      <w:r>
        <w:rPr>
          <w:color w:val="333333"/>
          <w:w w:val="115"/>
        </w:rPr>
        <w:t>problem,</w:t>
      </w:r>
      <w:r>
        <w:rPr>
          <w:color w:val="333333"/>
          <w:spacing w:val="-4"/>
          <w:w w:val="115"/>
        </w:rPr>
        <w:t xml:space="preserve"> </w:t>
      </w:r>
      <w:r>
        <w:rPr>
          <w:color w:val="333333"/>
          <w:w w:val="115"/>
        </w:rPr>
        <w:t>you</w:t>
      </w:r>
      <w:r>
        <w:rPr>
          <w:color w:val="333333"/>
          <w:spacing w:val="-3"/>
          <w:w w:val="115"/>
        </w:rPr>
        <w:t xml:space="preserve"> </w:t>
      </w:r>
      <w:r>
        <w:rPr>
          <w:color w:val="333333"/>
          <w:w w:val="115"/>
        </w:rPr>
        <w:t>need</w:t>
      </w:r>
      <w:r>
        <w:rPr>
          <w:color w:val="333333"/>
          <w:spacing w:val="-3"/>
          <w:w w:val="115"/>
        </w:rPr>
        <w:t xml:space="preserve"> </w:t>
      </w:r>
      <w:r>
        <w:rPr>
          <w:color w:val="333333"/>
          <w:w w:val="115"/>
        </w:rPr>
        <w:t>to</w:t>
      </w:r>
      <w:r>
        <w:rPr>
          <w:color w:val="333333"/>
          <w:spacing w:val="-3"/>
          <w:w w:val="115"/>
        </w:rPr>
        <w:t xml:space="preserve"> </w:t>
      </w:r>
      <w:r>
        <w:rPr>
          <w:color w:val="333333"/>
          <w:w w:val="115"/>
        </w:rPr>
        <w:t>request</w:t>
      </w:r>
      <w:r>
        <w:rPr>
          <w:color w:val="333333"/>
          <w:spacing w:val="-3"/>
          <w:w w:val="115"/>
        </w:rPr>
        <w:t xml:space="preserve"> </w:t>
      </w:r>
      <w:r>
        <w:rPr>
          <w:color w:val="333333"/>
          <w:w w:val="115"/>
        </w:rPr>
        <w:t>a</w:t>
      </w:r>
      <w:r>
        <w:rPr>
          <w:color w:val="333333"/>
          <w:spacing w:val="-3"/>
          <w:w w:val="115"/>
        </w:rPr>
        <w:t xml:space="preserve"> </w:t>
      </w:r>
      <w:r>
        <w:rPr>
          <w:color w:val="333333"/>
          <w:w w:val="115"/>
        </w:rPr>
        <w:t>fix</w:t>
      </w:r>
      <w:r>
        <w:rPr>
          <w:color w:val="333333"/>
          <w:spacing w:val="-3"/>
          <w:w w:val="115"/>
        </w:rPr>
        <w:t xml:space="preserve"> </w:t>
      </w:r>
      <w:r>
        <w:rPr>
          <w:color w:val="333333"/>
          <w:w w:val="115"/>
        </w:rPr>
        <w:t>with</w:t>
      </w:r>
      <w:r>
        <w:rPr>
          <w:color w:val="333333"/>
          <w:spacing w:val="-4"/>
          <w:w w:val="115"/>
        </w:rPr>
        <w:t xml:space="preserve"> </w:t>
      </w:r>
      <w:r>
        <w:rPr>
          <w:color w:val="333333"/>
          <w:w w:val="115"/>
        </w:rPr>
        <w:t>the</w:t>
      </w:r>
      <w:r>
        <w:rPr>
          <w:color w:val="333333"/>
          <w:spacing w:val="-3"/>
          <w:w w:val="115"/>
        </w:rPr>
        <w:t xml:space="preserve"> </w:t>
      </w:r>
      <w:r>
        <w:rPr>
          <w:color w:val="333333"/>
          <w:w w:val="115"/>
        </w:rPr>
        <w:t>original</w:t>
      </w:r>
      <w:r>
        <w:rPr>
          <w:color w:val="333333"/>
          <w:spacing w:val="-2"/>
          <w:w w:val="115"/>
        </w:rPr>
        <w:t xml:space="preserve"> </w:t>
      </w:r>
      <w:r>
        <w:rPr>
          <w:color w:val="333333"/>
          <w:w w:val="115"/>
        </w:rPr>
        <w:t>authors.</w:t>
      </w:r>
    </w:p>
    <w:p w14:paraId="7DF9A70E" w14:textId="77777777" w:rsidR="00A720EB" w:rsidRDefault="00A720EB">
      <w:pPr>
        <w:pStyle w:val="a3"/>
        <w:spacing w:before="8"/>
        <w:rPr>
          <w:sz w:val="25"/>
        </w:rPr>
      </w:pPr>
    </w:p>
    <w:p w14:paraId="6D8AB0CE" w14:textId="77777777" w:rsidR="00A720EB" w:rsidRDefault="0030286B">
      <w:pPr>
        <w:pStyle w:val="3"/>
        <w:numPr>
          <w:ilvl w:val="2"/>
          <w:numId w:val="72"/>
        </w:numPr>
        <w:tabs>
          <w:tab w:val="left" w:pos="858"/>
        </w:tabs>
        <w:spacing w:before="1"/>
        <w:ind w:hanging="734"/>
      </w:pPr>
      <w:bookmarkStart w:id="129" w:name="3.8.3._LiveReload"/>
      <w:bookmarkStart w:id="130" w:name="_Toc54423704"/>
      <w:bookmarkEnd w:id="129"/>
      <w:r>
        <w:rPr>
          <w:color w:val="333333"/>
          <w:w w:val="110"/>
        </w:rPr>
        <w:t>LiveReload</w:t>
      </w:r>
      <w:bookmarkEnd w:id="130"/>
    </w:p>
    <w:p w14:paraId="7CADBE40" w14:textId="77777777" w:rsidR="00A720EB" w:rsidRDefault="0030286B">
      <w:pPr>
        <w:pStyle w:val="a3"/>
        <w:spacing w:before="243" w:line="300" w:lineRule="auto"/>
        <w:ind w:left="124" w:right="127"/>
        <w:jc w:val="both"/>
      </w:pPr>
      <w:r>
        <w:rPr>
          <w:color w:val="333333"/>
          <w:w w:val="110"/>
        </w:rPr>
        <w:t xml:space="preserve">The </w:t>
      </w:r>
      <w:r>
        <w:rPr>
          <w:rFonts w:ascii="MS Gothic"/>
          <w:color w:val="B02045"/>
          <w:w w:val="110"/>
        </w:rPr>
        <w:t xml:space="preserve">spring-boot-devtools </w:t>
      </w:r>
      <w:r>
        <w:rPr>
          <w:color w:val="333333"/>
          <w:w w:val="110"/>
        </w:rPr>
        <w:t xml:space="preserve">module includes an embedded LiveReload server that can be used </w:t>
      </w:r>
      <w:proofErr w:type="gramStart"/>
      <w:r>
        <w:rPr>
          <w:color w:val="333333"/>
          <w:w w:val="110"/>
        </w:rPr>
        <w:t>to  trigger</w:t>
      </w:r>
      <w:proofErr w:type="gramEnd"/>
      <w:r>
        <w:rPr>
          <w:color w:val="333333"/>
          <w:w w:val="110"/>
        </w:rPr>
        <w:t xml:space="preserve"> a browser refresh when a resource is changed. LiveReload browser extensions are freely available for Chrome, Firefox and Safari from </w:t>
      </w:r>
      <w:hyperlink r:id="rId87">
        <w:r>
          <w:rPr>
            <w:color w:val="418BCA"/>
            <w:w w:val="110"/>
          </w:rPr>
          <w:t>livereload.com</w:t>
        </w:r>
      </w:hyperlink>
      <w:r>
        <w:rPr>
          <w:color w:val="333333"/>
          <w:w w:val="110"/>
        </w:rPr>
        <w:t>.</w:t>
      </w:r>
    </w:p>
    <w:p w14:paraId="3068A15A" w14:textId="77777777" w:rsidR="00A720EB" w:rsidRDefault="0030286B">
      <w:pPr>
        <w:pStyle w:val="a3"/>
        <w:spacing w:before="245"/>
        <w:ind w:left="124"/>
        <w:jc w:val="both"/>
      </w:pPr>
      <w:r>
        <w:rPr>
          <w:color w:val="333333"/>
          <w:w w:val="110"/>
        </w:rPr>
        <w:t>If you do not want to start the LiveReload server when your application runs, you can set the</w:t>
      </w:r>
    </w:p>
    <w:p w14:paraId="3902B62A" w14:textId="77777777" w:rsidR="00A720EB" w:rsidRDefault="0030286B">
      <w:pPr>
        <w:pStyle w:val="a3"/>
        <w:spacing w:before="59"/>
        <w:ind w:left="124"/>
        <w:jc w:val="both"/>
      </w:pPr>
      <w:proofErr w:type="gramStart"/>
      <w:r>
        <w:rPr>
          <w:rFonts w:ascii="MS Gothic"/>
          <w:color w:val="B02045"/>
          <w:w w:val="105"/>
        </w:rPr>
        <w:t>spring.devtools</w:t>
      </w:r>
      <w:proofErr w:type="gramEnd"/>
      <w:r>
        <w:rPr>
          <w:rFonts w:ascii="MS Gothic"/>
          <w:color w:val="B02045"/>
          <w:w w:val="105"/>
        </w:rPr>
        <w:t xml:space="preserve">.livereload.enabled </w:t>
      </w:r>
      <w:r>
        <w:rPr>
          <w:color w:val="333333"/>
          <w:w w:val="105"/>
        </w:rPr>
        <w:t xml:space="preserve">property to </w:t>
      </w:r>
      <w:r>
        <w:rPr>
          <w:rFonts w:ascii="MS Gothic"/>
          <w:color w:val="B02045"/>
          <w:w w:val="105"/>
        </w:rPr>
        <w:t>false</w:t>
      </w:r>
      <w:r>
        <w:rPr>
          <w:color w:val="333333"/>
          <w:w w:val="105"/>
        </w:rPr>
        <w:t>.</w:t>
      </w:r>
    </w:p>
    <w:p w14:paraId="38133323" w14:textId="77777777" w:rsidR="00A720EB" w:rsidRDefault="00A720EB">
      <w:pPr>
        <w:jc w:val="both"/>
        <w:sectPr w:rsidR="00A720EB">
          <w:pgSz w:w="11910" w:h="16840"/>
          <w:pgMar w:top="620" w:right="840" w:bottom="520" w:left="840" w:header="0" w:footer="323" w:gutter="0"/>
          <w:cols w:space="720"/>
        </w:sectPr>
      </w:pPr>
    </w:p>
    <w:p w14:paraId="539DA34D" w14:textId="77777777" w:rsidR="00A720EB" w:rsidRDefault="00E10349">
      <w:pPr>
        <w:pStyle w:val="a3"/>
        <w:spacing w:before="122" w:line="307" w:lineRule="auto"/>
        <w:ind w:left="1564" w:right="365"/>
        <w:jc w:val="both"/>
      </w:pPr>
      <w:r>
        <w:lastRenderedPageBreak/>
        <w:pict w14:anchorId="399E3E2C">
          <v:line id="_x0000_s4748" style="position:absolute;left:0;text-align:left;z-index:15800320;mso-position-horizontal-relative:page" from="108.25pt,.1pt" to="108.25pt,55.45pt" strokecolor="#ededed" strokeweight=".5pt">
            <w10:wrap anchorx="page"/>
          </v:line>
        </w:pict>
      </w:r>
      <w:r w:rsidR="0030286B">
        <w:rPr>
          <w:noProof/>
        </w:rPr>
        <w:drawing>
          <wp:anchor distT="0" distB="0" distL="0" distR="0" simplePos="0" relativeHeight="15800832" behindDoc="0" locked="0" layoutInCell="1" allowOverlap="1" wp14:anchorId="06C3E026" wp14:editId="237AD431">
            <wp:simplePos x="0" y="0"/>
            <wp:positionH relativeFrom="page">
              <wp:posOffset>844422</wp:posOffset>
            </wp:positionH>
            <wp:positionV relativeFrom="paragraph">
              <wp:posOffset>203620</wp:posOffset>
            </wp:positionV>
            <wp:extent cx="298450" cy="29845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You can only run one LiveReload server at a time. Before starting your application, ensure that no other LiveReload servers are running. If you start multiple applications from your IDE, only the first has LiveReload support.</w:t>
      </w:r>
    </w:p>
    <w:p w14:paraId="618E95CA" w14:textId="77777777" w:rsidR="00A720EB" w:rsidRDefault="00A720EB">
      <w:pPr>
        <w:pStyle w:val="a3"/>
        <w:spacing w:before="7"/>
        <w:rPr>
          <w:sz w:val="23"/>
        </w:rPr>
      </w:pPr>
    </w:p>
    <w:p w14:paraId="361557E6" w14:textId="77777777" w:rsidR="00A720EB" w:rsidRDefault="0030286B">
      <w:pPr>
        <w:pStyle w:val="3"/>
        <w:numPr>
          <w:ilvl w:val="2"/>
          <w:numId w:val="72"/>
        </w:numPr>
        <w:tabs>
          <w:tab w:val="left" w:pos="858"/>
        </w:tabs>
        <w:spacing w:before="105"/>
        <w:ind w:hanging="734"/>
      </w:pPr>
      <w:bookmarkStart w:id="131" w:name="3.8.4._Global_Settings"/>
      <w:bookmarkStart w:id="132" w:name="_Toc54423705"/>
      <w:bookmarkEnd w:id="131"/>
      <w:r>
        <w:rPr>
          <w:color w:val="333333"/>
          <w:w w:val="105"/>
        </w:rPr>
        <w:t>Global</w:t>
      </w:r>
      <w:r>
        <w:rPr>
          <w:color w:val="333333"/>
          <w:spacing w:val="-2"/>
          <w:w w:val="105"/>
        </w:rPr>
        <w:t xml:space="preserve"> </w:t>
      </w:r>
      <w:r>
        <w:rPr>
          <w:color w:val="333333"/>
          <w:w w:val="105"/>
        </w:rPr>
        <w:t>Settings</w:t>
      </w:r>
      <w:bookmarkEnd w:id="132"/>
    </w:p>
    <w:p w14:paraId="6BD9F382" w14:textId="77777777" w:rsidR="00A720EB" w:rsidRDefault="0030286B">
      <w:pPr>
        <w:pStyle w:val="a3"/>
        <w:spacing w:before="254"/>
        <w:ind w:left="124"/>
        <w:jc w:val="both"/>
      </w:pPr>
      <w:r>
        <w:rPr>
          <w:color w:val="333333"/>
          <w:w w:val="110"/>
        </w:rPr>
        <w:t>You can configure global devtools settings by adding any of the following files to the</w:t>
      </w:r>
    </w:p>
    <w:p w14:paraId="235FC414" w14:textId="77777777" w:rsidR="00A720EB" w:rsidRDefault="0030286B">
      <w:pPr>
        <w:pStyle w:val="a3"/>
        <w:spacing w:before="59"/>
        <w:ind w:left="124"/>
        <w:jc w:val="both"/>
      </w:pPr>
      <w:r>
        <w:rPr>
          <w:rFonts w:ascii="MS Gothic"/>
          <w:color w:val="B02045"/>
          <w:w w:val="105"/>
        </w:rPr>
        <w:t>$HOME/.config/spring-boot</w:t>
      </w:r>
      <w:r>
        <w:rPr>
          <w:rFonts w:ascii="MS Gothic"/>
          <w:color w:val="B02045"/>
          <w:spacing w:val="-57"/>
          <w:w w:val="105"/>
        </w:rPr>
        <w:t xml:space="preserve"> </w:t>
      </w:r>
      <w:r>
        <w:rPr>
          <w:color w:val="333333"/>
          <w:w w:val="105"/>
        </w:rPr>
        <w:t>directory:</w:t>
      </w:r>
    </w:p>
    <w:p w14:paraId="2BF204DD" w14:textId="77777777" w:rsidR="00A720EB" w:rsidRDefault="00A720EB">
      <w:pPr>
        <w:pStyle w:val="a3"/>
        <w:spacing w:before="5"/>
        <w:rPr>
          <w:sz w:val="24"/>
        </w:rPr>
      </w:pPr>
    </w:p>
    <w:p w14:paraId="7EB164B4" w14:textId="77777777" w:rsidR="00A720EB" w:rsidRDefault="0030286B">
      <w:pPr>
        <w:pStyle w:val="a6"/>
        <w:numPr>
          <w:ilvl w:val="0"/>
          <w:numId w:val="70"/>
        </w:numPr>
        <w:tabs>
          <w:tab w:val="left" w:pos="485"/>
        </w:tabs>
        <w:rPr>
          <w:rFonts w:ascii="MS Gothic"/>
          <w:sz w:val="21"/>
        </w:rPr>
      </w:pPr>
      <w:r>
        <w:rPr>
          <w:rFonts w:ascii="MS Gothic"/>
          <w:color w:val="B02045"/>
          <w:sz w:val="21"/>
        </w:rPr>
        <w:t>spring-boot-</w:t>
      </w:r>
      <w:proofErr w:type="gramStart"/>
      <w:r>
        <w:rPr>
          <w:rFonts w:ascii="MS Gothic"/>
          <w:color w:val="B02045"/>
          <w:sz w:val="21"/>
        </w:rPr>
        <w:t>devtools.properties</w:t>
      </w:r>
      <w:proofErr w:type="gramEnd"/>
    </w:p>
    <w:p w14:paraId="76714619" w14:textId="77777777" w:rsidR="00A720EB" w:rsidRDefault="0030286B">
      <w:pPr>
        <w:pStyle w:val="a6"/>
        <w:numPr>
          <w:ilvl w:val="0"/>
          <w:numId w:val="70"/>
        </w:numPr>
        <w:tabs>
          <w:tab w:val="left" w:pos="485"/>
        </w:tabs>
        <w:spacing w:before="167"/>
        <w:rPr>
          <w:rFonts w:ascii="MS Gothic"/>
          <w:sz w:val="21"/>
        </w:rPr>
      </w:pPr>
      <w:r>
        <w:rPr>
          <w:rFonts w:ascii="MS Gothic"/>
          <w:color w:val="B02045"/>
          <w:sz w:val="21"/>
        </w:rPr>
        <w:t>spring-boot-</w:t>
      </w:r>
      <w:proofErr w:type="gramStart"/>
      <w:r>
        <w:rPr>
          <w:rFonts w:ascii="MS Gothic"/>
          <w:color w:val="B02045"/>
          <w:sz w:val="21"/>
        </w:rPr>
        <w:t>devtools.yaml</w:t>
      </w:r>
      <w:proofErr w:type="gramEnd"/>
    </w:p>
    <w:p w14:paraId="729B1EE5" w14:textId="77777777" w:rsidR="00A720EB" w:rsidRDefault="0030286B">
      <w:pPr>
        <w:pStyle w:val="a6"/>
        <w:numPr>
          <w:ilvl w:val="0"/>
          <w:numId w:val="70"/>
        </w:numPr>
        <w:tabs>
          <w:tab w:val="left" w:pos="485"/>
        </w:tabs>
        <w:spacing w:before="166"/>
        <w:rPr>
          <w:rFonts w:ascii="MS Gothic"/>
          <w:sz w:val="21"/>
        </w:rPr>
      </w:pPr>
      <w:r>
        <w:rPr>
          <w:rFonts w:ascii="MS Gothic"/>
          <w:color w:val="B02045"/>
          <w:sz w:val="21"/>
        </w:rPr>
        <w:t>spring-boot-devtools.yml</w:t>
      </w:r>
    </w:p>
    <w:p w14:paraId="43FD3419" w14:textId="77777777" w:rsidR="00A720EB" w:rsidRDefault="00A720EB">
      <w:pPr>
        <w:pStyle w:val="a3"/>
        <w:spacing w:before="7"/>
        <w:rPr>
          <w:rFonts w:ascii="MS Gothic"/>
        </w:rPr>
      </w:pPr>
    </w:p>
    <w:p w14:paraId="63C47520" w14:textId="77777777" w:rsidR="00A720EB" w:rsidRDefault="0030286B">
      <w:pPr>
        <w:pStyle w:val="a3"/>
        <w:spacing w:line="295" w:lineRule="auto"/>
        <w:ind w:left="124" w:right="125"/>
        <w:jc w:val="both"/>
      </w:pPr>
      <w:r>
        <w:rPr>
          <w:color w:val="333333"/>
          <w:w w:val="110"/>
        </w:rPr>
        <w:t xml:space="preserve">Any properties added to </w:t>
      </w:r>
      <w:proofErr w:type="gramStart"/>
      <w:r>
        <w:rPr>
          <w:color w:val="333333"/>
          <w:w w:val="110"/>
        </w:rPr>
        <w:t>these file</w:t>
      </w:r>
      <w:proofErr w:type="gramEnd"/>
      <w:r>
        <w:rPr>
          <w:color w:val="333333"/>
          <w:w w:val="110"/>
        </w:rPr>
        <w:t xml:space="preserve"> apply to </w:t>
      </w:r>
      <w:r>
        <w:rPr>
          <w:rFonts w:ascii="Palatino Linotype"/>
          <w:i/>
          <w:color w:val="333333"/>
          <w:w w:val="110"/>
        </w:rPr>
        <w:t xml:space="preserve">all </w:t>
      </w:r>
      <w:r>
        <w:rPr>
          <w:color w:val="333333"/>
          <w:w w:val="110"/>
        </w:rPr>
        <w:t xml:space="preserve">Spring Boot applications on your machine that use devtools. For example, to configure restart to always use a </w:t>
      </w:r>
      <w:hyperlink w:anchor="_bookmark73" w:history="1">
        <w:r>
          <w:rPr>
            <w:color w:val="418BCA"/>
            <w:w w:val="110"/>
          </w:rPr>
          <w:t>trigger file</w:t>
        </w:r>
      </w:hyperlink>
      <w:r>
        <w:rPr>
          <w:color w:val="333333"/>
          <w:w w:val="110"/>
        </w:rPr>
        <w:t>, you would add the following property:</w:t>
      </w:r>
    </w:p>
    <w:p w14:paraId="02CE48DC" w14:textId="77777777" w:rsidR="00A720EB" w:rsidRDefault="00E10349">
      <w:pPr>
        <w:spacing w:before="232"/>
        <w:ind w:left="124"/>
        <w:rPr>
          <w:rFonts w:ascii="Palatino Linotype"/>
          <w:i/>
          <w:sz w:val="20"/>
        </w:rPr>
      </w:pPr>
      <w:r>
        <w:pict w14:anchorId="3A2B3318">
          <v:group id="_x0000_s4744" style="position:absolute;left:0;text-align:left;margin-left:47.85pt;margin-top:29.35pt;width:499.55pt;height:37.5pt;z-index:-15657984;mso-wrap-distance-left:0;mso-wrap-distance-right:0;mso-position-horizontal-relative:page" coordorigin="957,587" coordsize="9991,750">
            <v:shape id="_x0000_s4747" style="position:absolute;left:964;top:594;width:9976;height:735" coordorigin="965,594" coordsize="9976,735" path="m10861,594r-9816,l1014,601r-26,17l971,643r-6,31l965,1249r6,31l988,1306r26,17l1045,1329r9816,l10892,1323r25,-17l10935,1280r6,-31l10941,674r-6,-31l10917,618r-25,-17l10861,594xe" fillcolor="#f5f5f5" stroked="f">
              <v:path arrowok="t"/>
            </v:shape>
            <v:shape id="_x0000_s4746" style="position:absolute;left:964;top:594;width:9976;height:735" coordorigin="965,594" coordsize="9976,735" path="m1045,594r9816,l10892,601r25,17l10935,643r6,31l10941,1249r-6,31l10917,1306r-25,17l10861,1329r-9816,l1014,1323r-26,-17l971,1280r-6,-31l965,674r6,-31l988,618r26,-17l1045,594xe" filled="f" strokecolor="#ccc">
              <v:path arrowok="t"/>
            </v:shape>
            <v:shape id="_x0000_s4745" type="#_x0000_t202" style="position:absolute;left:984;top:609;width:9938;height:704" filled="f" stroked="f">
              <v:textbox inset="0,0,0,0">
                <w:txbxContent>
                  <w:p w14:paraId="0F3EE627" w14:textId="77777777" w:rsidR="00711A16" w:rsidRDefault="00711A16">
                    <w:pPr>
                      <w:spacing w:before="221"/>
                      <w:ind w:left="200"/>
                      <w:rPr>
                        <w:rFonts w:ascii="MS Gothic"/>
                      </w:rPr>
                    </w:pPr>
                    <w:proofErr w:type="gramStart"/>
                    <w:r>
                      <w:rPr>
                        <w:rFonts w:ascii="MS Gothic"/>
                        <w:color w:val="333333"/>
                      </w:rPr>
                      <w:t>spring.devtools</w:t>
                    </w:r>
                    <w:proofErr w:type="gramEnd"/>
                    <w:r>
                      <w:rPr>
                        <w:rFonts w:ascii="MS Gothic"/>
                        <w:color w:val="333333"/>
                      </w:rPr>
                      <w:t>.restart.trigger-file=.reloadtrigger</w:t>
                    </w:r>
                  </w:p>
                </w:txbxContent>
              </v:textbox>
            </v:shape>
            <w10:wrap type="topAndBottom" anchorx="page"/>
          </v:group>
        </w:pict>
      </w:r>
      <w:r w:rsidR="0030286B">
        <w:rPr>
          <w:rFonts w:ascii="Palatino Linotype"/>
          <w:i/>
          <w:color w:val="333333"/>
          <w:w w:val="115"/>
          <w:sz w:val="20"/>
        </w:rPr>
        <w:t>~/.config/spring-boot/spring-boot-devtools.properties</w:t>
      </w:r>
    </w:p>
    <w:p w14:paraId="3ECDD98B" w14:textId="77777777" w:rsidR="00A720EB" w:rsidRDefault="00A720EB">
      <w:pPr>
        <w:pStyle w:val="a3"/>
        <w:spacing w:before="7"/>
        <w:rPr>
          <w:rFonts w:ascii="Palatino Linotype"/>
          <w:i/>
          <w:sz w:val="14"/>
        </w:rPr>
      </w:pPr>
    </w:p>
    <w:p w14:paraId="7A1F771F" w14:textId="77777777" w:rsidR="00A720EB" w:rsidRDefault="00E10349">
      <w:pPr>
        <w:pStyle w:val="a3"/>
        <w:spacing w:before="116" w:line="288" w:lineRule="auto"/>
        <w:ind w:left="1564" w:right="362"/>
        <w:jc w:val="both"/>
      </w:pPr>
      <w:r>
        <w:pict w14:anchorId="2653EAA6">
          <v:line id="_x0000_s4743" style="position:absolute;left:0;text-align:left;z-index:15801344;mso-position-horizontal-relative:page" from="108.25pt,.35pt" to="108.25pt,87.25pt" strokecolor="#ededed" strokeweight=".5pt">
            <w10:wrap anchorx="page"/>
          </v:line>
        </w:pict>
      </w:r>
      <w:r w:rsidR="0030286B">
        <w:rPr>
          <w:noProof/>
        </w:rPr>
        <w:drawing>
          <wp:anchor distT="0" distB="0" distL="0" distR="0" simplePos="0" relativeHeight="15801856" behindDoc="0" locked="0" layoutInCell="1" allowOverlap="1" wp14:anchorId="7C5DAE5B" wp14:editId="30F6C0E9">
            <wp:simplePos x="0" y="0"/>
            <wp:positionH relativeFrom="page">
              <wp:posOffset>844422</wp:posOffset>
            </wp:positionH>
            <wp:positionV relativeFrom="paragraph">
              <wp:posOffset>406857</wp:posOffset>
            </wp:positionV>
            <wp:extent cx="298450" cy="29845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w:t>
      </w:r>
      <w:r w:rsidR="0030286B">
        <w:rPr>
          <w:color w:val="333333"/>
          <w:spacing w:val="-6"/>
          <w:w w:val="110"/>
        </w:rPr>
        <w:t xml:space="preserve"> </w:t>
      </w:r>
      <w:r w:rsidR="0030286B">
        <w:rPr>
          <w:color w:val="333333"/>
          <w:w w:val="110"/>
        </w:rPr>
        <w:t>devtools</w:t>
      </w:r>
      <w:r w:rsidR="0030286B">
        <w:rPr>
          <w:color w:val="333333"/>
          <w:spacing w:val="-6"/>
          <w:w w:val="110"/>
        </w:rPr>
        <w:t xml:space="preserve"> </w:t>
      </w:r>
      <w:r w:rsidR="0030286B">
        <w:rPr>
          <w:color w:val="333333"/>
          <w:w w:val="110"/>
        </w:rPr>
        <w:t>configuration</w:t>
      </w:r>
      <w:r w:rsidR="0030286B">
        <w:rPr>
          <w:color w:val="333333"/>
          <w:spacing w:val="-7"/>
          <w:w w:val="110"/>
        </w:rPr>
        <w:t xml:space="preserve"> </w:t>
      </w:r>
      <w:r w:rsidR="0030286B">
        <w:rPr>
          <w:color w:val="333333"/>
          <w:w w:val="110"/>
        </w:rPr>
        <w:t>files</w:t>
      </w:r>
      <w:r w:rsidR="0030286B">
        <w:rPr>
          <w:color w:val="333333"/>
          <w:spacing w:val="-5"/>
          <w:w w:val="110"/>
        </w:rPr>
        <w:t xml:space="preserve"> </w:t>
      </w:r>
      <w:r w:rsidR="0030286B">
        <w:rPr>
          <w:color w:val="333333"/>
          <w:w w:val="110"/>
        </w:rPr>
        <w:t>are</w:t>
      </w:r>
      <w:r w:rsidR="0030286B">
        <w:rPr>
          <w:color w:val="333333"/>
          <w:spacing w:val="-7"/>
          <w:w w:val="110"/>
        </w:rPr>
        <w:t xml:space="preserve"> </w:t>
      </w:r>
      <w:r w:rsidR="0030286B">
        <w:rPr>
          <w:color w:val="333333"/>
          <w:w w:val="110"/>
        </w:rPr>
        <w:t>not</w:t>
      </w:r>
      <w:r w:rsidR="0030286B">
        <w:rPr>
          <w:color w:val="333333"/>
          <w:spacing w:val="-5"/>
          <w:w w:val="110"/>
        </w:rPr>
        <w:t xml:space="preserve"> </w:t>
      </w:r>
      <w:r w:rsidR="0030286B">
        <w:rPr>
          <w:color w:val="333333"/>
          <w:w w:val="110"/>
        </w:rPr>
        <w:t>found</w:t>
      </w:r>
      <w:r w:rsidR="0030286B">
        <w:rPr>
          <w:color w:val="333333"/>
          <w:spacing w:val="-6"/>
          <w:w w:val="110"/>
        </w:rPr>
        <w:t xml:space="preserve"> </w:t>
      </w:r>
      <w:r w:rsidR="0030286B">
        <w:rPr>
          <w:color w:val="333333"/>
          <w:w w:val="110"/>
        </w:rPr>
        <w:t>in</w:t>
      </w:r>
      <w:r w:rsidR="0030286B">
        <w:rPr>
          <w:color w:val="333333"/>
          <w:spacing w:val="-3"/>
          <w:w w:val="110"/>
        </w:rPr>
        <w:t xml:space="preserve"> </w:t>
      </w:r>
      <w:r w:rsidR="0030286B">
        <w:rPr>
          <w:rFonts w:ascii="MS Gothic"/>
          <w:color w:val="B02045"/>
          <w:w w:val="110"/>
        </w:rPr>
        <w:t>$HOME/.config/spring-boot</w:t>
      </w:r>
      <w:r w:rsidR="0030286B">
        <w:rPr>
          <w:color w:val="333333"/>
          <w:w w:val="110"/>
        </w:rPr>
        <w:t>,</w:t>
      </w:r>
      <w:r w:rsidR="0030286B">
        <w:rPr>
          <w:color w:val="333333"/>
          <w:spacing w:val="-5"/>
          <w:w w:val="110"/>
        </w:rPr>
        <w:t xml:space="preserve"> </w:t>
      </w:r>
      <w:r w:rsidR="0030286B">
        <w:rPr>
          <w:color w:val="333333"/>
          <w:w w:val="110"/>
        </w:rPr>
        <w:t>the</w:t>
      </w:r>
      <w:r w:rsidR="0030286B">
        <w:rPr>
          <w:color w:val="333333"/>
          <w:spacing w:val="-6"/>
          <w:w w:val="110"/>
        </w:rPr>
        <w:t xml:space="preserve"> </w:t>
      </w:r>
      <w:r w:rsidR="0030286B">
        <w:rPr>
          <w:color w:val="333333"/>
          <w:w w:val="110"/>
        </w:rPr>
        <w:t xml:space="preserve">root of the </w:t>
      </w:r>
      <w:r w:rsidR="0030286B">
        <w:rPr>
          <w:rFonts w:ascii="MS Gothic"/>
          <w:color w:val="B02045"/>
          <w:w w:val="110"/>
        </w:rPr>
        <w:t xml:space="preserve">$HOME </w:t>
      </w:r>
      <w:r w:rsidR="0030286B">
        <w:rPr>
          <w:color w:val="333333"/>
          <w:w w:val="110"/>
        </w:rPr>
        <w:t xml:space="preserve">directory is searched for the presence of </w:t>
      </w:r>
      <w:proofErr w:type="gramStart"/>
      <w:r w:rsidR="0030286B">
        <w:rPr>
          <w:color w:val="333333"/>
          <w:w w:val="110"/>
        </w:rPr>
        <w:t xml:space="preserve">a </w:t>
      </w:r>
      <w:r w:rsidR="0030286B">
        <w:rPr>
          <w:rFonts w:ascii="MS Gothic"/>
          <w:color w:val="B02045"/>
          <w:w w:val="110"/>
        </w:rPr>
        <w:t>.spring</w:t>
      </w:r>
      <w:proofErr w:type="gramEnd"/>
      <w:r w:rsidR="0030286B">
        <w:rPr>
          <w:rFonts w:ascii="MS Gothic"/>
          <w:color w:val="B02045"/>
          <w:w w:val="110"/>
        </w:rPr>
        <w:t>-boot- devtools.properties</w:t>
      </w:r>
      <w:r w:rsidR="0030286B">
        <w:rPr>
          <w:rFonts w:ascii="MS Gothic"/>
          <w:color w:val="B02045"/>
          <w:spacing w:val="-72"/>
          <w:w w:val="110"/>
        </w:rPr>
        <w:t xml:space="preserve"> </w:t>
      </w:r>
      <w:r w:rsidR="0030286B">
        <w:rPr>
          <w:color w:val="333333"/>
          <w:w w:val="110"/>
        </w:rPr>
        <w:t>file.</w:t>
      </w:r>
      <w:r w:rsidR="0030286B">
        <w:rPr>
          <w:color w:val="333333"/>
          <w:spacing w:val="-7"/>
          <w:w w:val="110"/>
        </w:rPr>
        <w:t xml:space="preserve"> </w:t>
      </w:r>
      <w:r w:rsidR="0030286B">
        <w:rPr>
          <w:color w:val="333333"/>
          <w:w w:val="110"/>
        </w:rPr>
        <w:t>This</w:t>
      </w:r>
      <w:r w:rsidR="0030286B">
        <w:rPr>
          <w:color w:val="333333"/>
          <w:spacing w:val="-8"/>
          <w:w w:val="110"/>
        </w:rPr>
        <w:t xml:space="preserve"> </w:t>
      </w:r>
      <w:r w:rsidR="0030286B">
        <w:rPr>
          <w:color w:val="333333"/>
          <w:w w:val="110"/>
        </w:rPr>
        <w:t>allows</w:t>
      </w:r>
      <w:r w:rsidR="0030286B">
        <w:rPr>
          <w:color w:val="333333"/>
          <w:spacing w:val="-7"/>
          <w:w w:val="110"/>
        </w:rPr>
        <w:t xml:space="preserve"> </w:t>
      </w:r>
      <w:r w:rsidR="0030286B">
        <w:rPr>
          <w:color w:val="333333"/>
          <w:w w:val="110"/>
        </w:rPr>
        <w:t>you</w:t>
      </w:r>
      <w:r w:rsidR="0030286B">
        <w:rPr>
          <w:color w:val="333333"/>
          <w:spacing w:val="-8"/>
          <w:w w:val="110"/>
        </w:rPr>
        <w:t xml:space="preserve"> </w:t>
      </w:r>
      <w:r w:rsidR="0030286B">
        <w:rPr>
          <w:color w:val="333333"/>
          <w:w w:val="110"/>
        </w:rPr>
        <w:t>to</w:t>
      </w:r>
      <w:r w:rsidR="0030286B">
        <w:rPr>
          <w:color w:val="333333"/>
          <w:spacing w:val="-7"/>
          <w:w w:val="110"/>
        </w:rPr>
        <w:t xml:space="preserve"> </w:t>
      </w:r>
      <w:r w:rsidR="0030286B">
        <w:rPr>
          <w:color w:val="333333"/>
          <w:w w:val="110"/>
        </w:rPr>
        <w:t>share</w:t>
      </w:r>
      <w:r w:rsidR="0030286B">
        <w:rPr>
          <w:color w:val="333333"/>
          <w:spacing w:val="-6"/>
          <w:w w:val="110"/>
        </w:rPr>
        <w:t xml:space="preserve"> </w:t>
      </w:r>
      <w:r w:rsidR="0030286B">
        <w:rPr>
          <w:color w:val="333333"/>
          <w:w w:val="110"/>
        </w:rPr>
        <w:t>the</w:t>
      </w:r>
      <w:r w:rsidR="0030286B">
        <w:rPr>
          <w:color w:val="333333"/>
          <w:spacing w:val="-7"/>
          <w:w w:val="110"/>
        </w:rPr>
        <w:t xml:space="preserve"> </w:t>
      </w:r>
      <w:r w:rsidR="0030286B">
        <w:rPr>
          <w:color w:val="333333"/>
          <w:w w:val="110"/>
        </w:rPr>
        <w:t>devtools</w:t>
      </w:r>
      <w:r w:rsidR="0030286B">
        <w:rPr>
          <w:color w:val="333333"/>
          <w:spacing w:val="-8"/>
          <w:w w:val="110"/>
        </w:rPr>
        <w:t xml:space="preserve"> </w:t>
      </w:r>
      <w:r w:rsidR="0030286B">
        <w:rPr>
          <w:color w:val="333333"/>
          <w:w w:val="110"/>
        </w:rPr>
        <w:t>global</w:t>
      </w:r>
      <w:r w:rsidR="0030286B">
        <w:rPr>
          <w:color w:val="333333"/>
          <w:spacing w:val="-7"/>
          <w:w w:val="110"/>
        </w:rPr>
        <w:t xml:space="preserve"> </w:t>
      </w:r>
      <w:r w:rsidR="0030286B">
        <w:rPr>
          <w:color w:val="333333"/>
          <w:w w:val="110"/>
        </w:rPr>
        <w:t xml:space="preserve">configuration with applications that are on an older version of Spring Boot that does not support the </w:t>
      </w:r>
      <w:r w:rsidR="0030286B">
        <w:rPr>
          <w:rFonts w:ascii="MS Gothic"/>
          <w:color w:val="B02045"/>
          <w:w w:val="110"/>
        </w:rPr>
        <w:t>$HOME/.config/spring-boot</w:t>
      </w:r>
      <w:r w:rsidR="0030286B">
        <w:rPr>
          <w:rFonts w:ascii="MS Gothic"/>
          <w:color w:val="B02045"/>
          <w:spacing w:val="-66"/>
          <w:w w:val="110"/>
        </w:rPr>
        <w:t xml:space="preserve"> </w:t>
      </w:r>
      <w:r w:rsidR="0030286B">
        <w:rPr>
          <w:color w:val="333333"/>
          <w:w w:val="110"/>
        </w:rPr>
        <w:t>location.</w:t>
      </w:r>
    </w:p>
    <w:p w14:paraId="2429D800" w14:textId="77777777" w:rsidR="00A720EB" w:rsidRDefault="00A720EB">
      <w:pPr>
        <w:pStyle w:val="a3"/>
        <w:spacing w:before="7"/>
        <w:rPr>
          <w:sz w:val="23"/>
        </w:rPr>
      </w:pPr>
    </w:p>
    <w:p w14:paraId="745035AA" w14:textId="77777777" w:rsidR="00A720EB" w:rsidRDefault="00E10349">
      <w:pPr>
        <w:pStyle w:val="a3"/>
        <w:spacing w:before="125"/>
        <w:ind w:left="1564"/>
        <w:jc w:val="both"/>
      </w:pPr>
      <w:r>
        <w:pict w14:anchorId="05537B32">
          <v:line id="_x0000_s4742" style="position:absolute;left:0;text-align:left;z-index:15802368;mso-position-horizontal-relative:page" from="108.25pt,.25pt" to="108.25pt,99.15pt" strokecolor="#ededed" strokeweight=".5pt">
            <w10:wrap anchorx="page"/>
          </v:line>
        </w:pict>
      </w:r>
      <w:r w:rsidR="0030286B">
        <w:rPr>
          <w:color w:val="333333"/>
          <w:w w:val="110"/>
        </w:rPr>
        <w:t>Profiles are not supported in devtools properties/yaml files.</w:t>
      </w:r>
    </w:p>
    <w:p w14:paraId="4427A767" w14:textId="77777777" w:rsidR="00A720EB" w:rsidRDefault="00A720EB">
      <w:pPr>
        <w:pStyle w:val="a3"/>
        <w:spacing w:before="6"/>
        <w:rPr>
          <w:sz w:val="25"/>
        </w:rPr>
      </w:pPr>
    </w:p>
    <w:p w14:paraId="404E02F1" w14:textId="77777777" w:rsidR="00A720EB" w:rsidRDefault="0030286B">
      <w:pPr>
        <w:pStyle w:val="a3"/>
        <w:spacing w:line="292" w:lineRule="auto"/>
        <w:ind w:left="1564" w:right="362"/>
        <w:jc w:val="both"/>
      </w:pPr>
      <w:r>
        <w:rPr>
          <w:noProof/>
        </w:rPr>
        <w:drawing>
          <wp:anchor distT="0" distB="0" distL="0" distR="0" simplePos="0" relativeHeight="15802880" behindDoc="0" locked="0" layoutInCell="1" allowOverlap="1" wp14:anchorId="6EA9EAC1" wp14:editId="079FD3CB">
            <wp:simplePos x="0" y="0"/>
            <wp:positionH relativeFrom="page">
              <wp:posOffset>844422</wp:posOffset>
            </wp:positionH>
            <wp:positionV relativeFrom="paragraph">
              <wp:posOffset>56591</wp:posOffset>
            </wp:positionV>
            <wp:extent cx="298450" cy="29845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24" cstate="print"/>
                    <a:stretch>
                      <a:fillRect/>
                    </a:stretch>
                  </pic:blipFill>
                  <pic:spPr>
                    <a:xfrm>
                      <a:off x="0" y="0"/>
                      <a:ext cx="298450" cy="298450"/>
                    </a:xfrm>
                    <a:prstGeom prst="rect">
                      <a:avLst/>
                    </a:prstGeom>
                  </pic:spPr>
                </pic:pic>
              </a:graphicData>
            </a:graphic>
          </wp:anchor>
        </w:drawing>
      </w:r>
      <w:r>
        <w:rPr>
          <w:color w:val="333333"/>
          <w:w w:val="110"/>
        </w:rPr>
        <w:t xml:space="preserve">Any profiles activated </w:t>
      </w:r>
      <w:proofErr w:type="gramStart"/>
      <w:r>
        <w:rPr>
          <w:color w:val="333333"/>
          <w:w w:val="110"/>
        </w:rPr>
        <w:t xml:space="preserve">in </w:t>
      </w:r>
      <w:r>
        <w:rPr>
          <w:rFonts w:ascii="MS Gothic"/>
          <w:color w:val="B02045"/>
          <w:w w:val="110"/>
        </w:rPr>
        <w:t>.spring</w:t>
      </w:r>
      <w:proofErr w:type="gramEnd"/>
      <w:r>
        <w:rPr>
          <w:rFonts w:ascii="MS Gothic"/>
          <w:color w:val="B02045"/>
          <w:w w:val="110"/>
        </w:rPr>
        <w:t xml:space="preserve">-boot-devtools.properties </w:t>
      </w:r>
      <w:r>
        <w:rPr>
          <w:color w:val="333333"/>
          <w:w w:val="110"/>
        </w:rPr>
        <w:t xml:space="preserve">will not affect the loading of </w:t>
      </w:r>
      <w:hyperlink w:anchor="_bookmark106" w:history="1">
        <w:r>
          <w:rPr>
            <w:color w:val="418BCA"/>
            <w:w w:val="110"/>
          </w:rPr>
          <w:t>profile-specific configuration files</w:t>
        </w:r>
      </w:hyperlink>
      <w:r>
        <w:rPr>
          <w:color w:val="333333"/>
          <w:w w:val="110"/>
        </w:rPr>
        <w:t xml:space="preserve">. Profile </w:t>
      </w:r>
      <w:proofErr w:type="gramStart"/>
      <w:r>
        <w:rPr>
          <w:color w:val="333333"/>
          <w:w w:val="110"/>
        </w:rPr>
        <w:t>specific  filenames</w:t>
      </w:r>
      <w:proofErr w:type="gramEnd"/>
      <w:r>
        <w:rPr>
          <w:color w:val="333333"/>
          <w:w w:val="110"/>
        </w:rPr>
        <w:t xml:space="preserve">  (of  the  form </w:t>
      </w:r>
      <w:r>
        <w:rPr>
          <w:rFonts w:ascii="MS Gothic"/>
          <w:color w:val="B02045"/>
          <w:w w:val="110"/>
        </w:rPr>
        <w:t>spring-boot-devtools-&lt;profile&gt;.properties</w:t>
      </w:r>
      <w:r>
        <w:rPr>
          <w:color w:val="333333"/>
          <w:w w:val="110"/>
        </w:rPr>
        <w:t xml:space="preserve">) and </w:t>
      </w:r>
      <w:r>
        <w:rPr>
          <w:rFonts w:ascii="MS Gothic"/>
          <w:color w:val="B02045"/>
          <w:w w:val="110"/>
        </w:rPr>
        <w:t xml:space="preserve">spring.profile </w:t>
      </w:r>
      <w:r>
        <w:rPr>
          <w:color w:val="333333"/>
          <w:w w:val="110"/>
        </w:rPr>
        <w:t xml:space="preserve">sub- documents in </w:t>
      </w:r>
      <w:r>
        <w:rPr>
          <w:color w:val="333333"/>
          <w:spacing w:val="-5"/>
          <w:w w:val="110"/>
        </w:rPr>
        <w:t xml:space="preserve">YAML </w:t>
      </w:r>
      <w:r>
        <w:rPr>
          <w:color w:val="333333"/>
          <w:w w:val="110"/>
        </w:rPr>
        <w:t>files are not</w:t>
      </w:r>
      <w:r>
        <w:rPr>
          <w:color w:val="333333"/>
          <w:spacing w:val="25"/>
          <w:w w:val="110"/>
        </w:rPr>
        <w:t xml:space="preserve"> </w:t>
      </w:r>
      <w:r>
        <w:rPr>
          <w:color w:val="333333"/>
          <w:w w:val="110"/>
        </w:rPr>
        <w:t>supported.</w:t>
      </w:r>
    </w:p>
    <w:p w14:paraId="0BD3C04E" w14:textId="77777777" w:rsidR="00A720EB" w:rsidRDefault="00A720EB">
      <w:pPr>
        <w:pStyle w:val="a3"/>
        <w:spacing w:before="10"/>
        <w:rPr>
          <w:sz w:val="24"/>
        </w:rPr>
      </w:pPr>
    </w:p>
    <w:p w14:paraId="55852143" w14:textId="77777777" w:rsidR="00A720EB" w:rsidRDefault="0030286B">
      <w:pPr>
        <w:pStyle w:val="4"/>
        <w:spacing w:before="104"/>
      </w:pPr>
      <w:bookmarkStart w:id="133" w:name="Configuring_File_System_Watcher"/>
      <w:bookmarkEnd w:id="133"/>
      <w:r>
        <w:rPr>
          <w:color w:val="333333"/>
          <w:w w:val="110"/>
        </w:rPr>
        <w:t>Configuring File System Watcher</w:t>
      </w:r>
    </w:p>
    <w:p w14:paraId="6F59F8A1" w14:textId="77777777" w:rsidR="00A720EB" w:rsidRDefault="00A720EB">
      <w:pPr>
        <w:pStyle w:val="a3"/>
        <w:spacing w:before="11"/>
        <w:rPr>
          <w:rFonts w:ascii="Palatino Linotype"/>
          <w:b/>
          <w:sz w:val="18"/>
        </w:rPr>
      </w:pPr>
    </w:p>
    <w:p w14:paraId="69A42AE7" w14:textId="77777777" w:rsidR="00A720EB" w:rsidRDefault="00E10349">
      <w:pPr>
        <w:pStyle w:val="a3"/>
        <w:spacing w:before="1" w:line="302" w:lineRule="auto"/>
        <w:ind w:left="124" w:right="125"/>
        <w:jc w:val="both"/>
      </w:pPr>
      <w:hyperlink r:id="rId88">
        <w:r w:rsidR="0030286B">
          <w:rPr>
            <w:color w:val="418BCA"/>
            <w:w w:val="110"/>
          </w:rPr>
          <w:t>FileSystemWatcher</w:t>
        </w:r>
      </w:hyperlink>
      <w:r w:rsidR="0030286B">
        <w:rPr>
          <w:color w:val="418BCA"/>
          <w:w w:val="110"/>
        </w:rPr>
        <w:t xml:space="preserve"> </w:t>
      </w:r>
      <w:r w:rsidR="0030286B">
        <w:rPr>
          <w:color w:val="333333"/>
          <w:w w:val="110"/>
        </w:rPr>
        <w:t xml:space="preserve">works </w:t>
      </w:r>
      <w:r w:rsidR="0030286B">
        <w:rPr>
          <w:color w:val="333333"/>
          <w:spacing w:val="-3"/>
          <w:w w:val="110"/>
        </w:rPr>
        <w:t xml:space="preserve">by </w:t>
      </w:r>
      <w:r w:rsidR="0030286B">
        <w:rPr>
          <w:color w:val="333333"/>
          <w:w w:val="110"/>
        </w:rPr>
        <w:t xml:space="preserve">polling the class changes with a certain time </w:t>
      </w:r>
      <w:proofErr w:type="gramStart"/>
      <w:r w:rsidR="0030286B">
        <w:rPr>
          <w:color w:val="333333"/>
          <w:w w:val="110"/>
        </w:rPr>
        <w:t>interval,  and</w:t>
      </w:r>
      <w:proofErr w:type="gramEnd"/>
      <w:r w:rsidR="0030286B">
        <w:rPr>
          <w:color w:val="333333"/>
          <w:w w:val="110"/>
        </w:rPr>
        <w:t xml:space="preserve">  then  waiting for a predefined quiet period to make sure there are no more changes. Since Spring Boot relies entirely on the IDE to compile and copy files into the location from where Spring Boot </w:t>
      </w:r>
      <w:proofErr w:type="gramStart"/>
      <w:r w:rsidR="0030286B">
        <w:rPr>
          <w:color w:val="333333"/>
          <w:w w:val="110"/>
        </w:rPr>
        <w:t xml:space="preserve">can </w:t>
      </w:r>
      <w:r w:rsidR="0030286B">
        <w:rPr>
          <w:color w:val="333333"/>
          <w:spacing w:val="50"/>
          <w:w w:val="110"/>
        </w:rPr>
        <w:t xml:space="preserve"> </w:t>
      </w:r>
      <w:r w:rsidR="0030286B">
        <w:rPr>
          <w:color w:val="333333"/>
          <w:w w:val="110"/>
        </w:rPr>
        <w:t>read</w:t>
      </w:r>
      <w:proofErr w:type="gramEnd"/>
      <w:r w:rsidR="0030286B">
        <w:rPr>
          <w:color w:val="333333"/>
          <w:w w:val="110"/>
        </w:rPr>
        <w:t xml:space="preserve"> them, you might find that there are times when certain changes are not reflected  when  devtools restarts the application. If you observe such problems </w:t>
      </w:r>
      <w:r w:rsidR="0030286B">
        <w:rPr>
          <w:color w:val="333333"/>
          <w:spacing w:val="-3"/>
          <w:w w:val="110"/>
        </w:rPr>
        <w:t xml:space="preserve">constantly, </w:t>
      </w:r>
      <w:r w:rsidR="0030286B">
        <w:rPr>
          <w:color w:val="333333"/>
          <w:w w:val="110"/>
        </w:rPr>
        <w:t xml:space="preserve">try increasing the </w:t>
      </w:r>
      <w:proofErr w:type="gramStart"/>
      <w:r w:rsidR="0030286B">
        <w:rPr>
          <w:rFonts w:ascii="MS Gothic"/>
          <w:color w:val="B02045"/>
          <w:w w:val="105"/>
        </w:rPr>
        <w:t>spring.devtools</w:t>
      </w:r>
      <w:proofErr w:type="gramEnd"/>
      <w:r w:rsidR="0030286B">
        <w:rPr>
          <w:rFonts w:ascii="MS Gothic"/>
          <w:color w:val="B02045"/>
          <w:w w:val="105"/>
        </w:rPr>
        <w:t xml:space="preserve">.restart.poll-interval </w:t>
      </w:r>
      <w:r w:rsidR="0030286B">
        <w:rPr>
          <w:color w:val="333333"/>
          <w:w w:val="105"/>
        </w:rPr>
        <w:t xml:space="preserve">and </w:t>
      </w:r>
      <w:r w:rsidR="0030286B">
        <w:rPr>
          <w:rFonts w:ascii="MS Gothic"/>
          <w:color w:val="B02045"/>
          <w:w w:val="105"/>
        </w:rPr>
        <w:t>spring.devtools.restart.quiet-period</w:t>
      </w:r>
      <w:r w:rsidR="0030286B">
        <w:rPr>
          <w:rFonts w:ascii="MS Gothic"/>
          <w:color w:val="B02045"/>
          <w:spacing w:val="-28"/>
          <w:w w:val="105"/>
        </w:rPr>
        <w:t xml:space="preserve"> </w:t>
      </w:r>
      <w:r w:rsidR="0030286B">
        <w:rPr>
          <w:color w:val="333333"/>
          <w:w w:val="105"/>
        </w:rPr>
        <w:t xml:space="preserve">parameters to </w:t>
      </w:r>
      <w:r w:rsidR="0030286B">
        <w:rPr>
          <w:color w:val="333333"/>
          <w:w w:val="110"/>
        </w:rPr>
        <w:t>the values that fit your development</w:t>
      </w:r>
      <w:r w:rsidR="0030286B">
        <w:rPr>
          <w:color w:val="333333"/>
          <w:spacing w:val="20"/>
          <w:w w:val="110"/>
        </w:rPr>
        <w:t xml:space="preserve"> </w:t>
      </w:r>
      <w:r w:rsidR="0030286B">
        <w:rPr>
          <w:color w:val="333333"/>
          <w:w w:val="110"/>
        </w:rPr>
        <w:t>environment:</w:t>
      </w:r>
    </w:p>
    <w:p w14:paraId="5A0EC7D8" w14:textId="77777777" w:rsidR="00A720EB" w:rsidRDefault="00E10349">
      <w:pPr>
        <w:pStyle w:val="a3"/>
        <w:spacing w:before="9"/>
        <w:rPr>
          <w:sz w:val="13"/>
        </w:rPr>
      </w:pPr>
      <w:r>
        <w:pict w14:anchorId="198CD8F5">
          <v:group id="_x0000_s4738" style="position:absolute;margin-left:47.85pt;margin-top:10.05pt;width:499.55pt;height:52.25pt;z-index:-15657472;mso-wrap-distance-left:0;mso-wrap-distance-right:0;mso-position-horizontal-relative:page" coordorigin="957,201" coordsize="9991,1045">
            <v:shape id="_x0000_s4741" style="position:absolute;left:964;top:208;width:9976;height:1030" coordorigin="965,208" coordsize="9976,1030" path="m10861,208r-9816,l1014,215r-26,17l971,257r-6,31l965,1158r6,31l988,1215r26,17l1045,1238r9816,l10892,1232r25,-17l10935,1189r6,-31l10941,288r-6,-31l10917,232r-25,-17l10861,208xe" fillcolor="#f5f5f5" stroked="f">
              <v:path arrowok="t"/>
            </v:shape>
            <v:shape id="_x0000_s4740" style="position:absolute;left:964;top:208;width:9976;height:1030" coordorigin="965,208" coordsize="9976,1030" path="m1045,208r9816,l10892,215r25,17l10935,257r6,31l10941,1158r-6,31l10917,1215r-25,17l10861,1238r-9816,l1014,1232r-26,-17l971,1189r-6,-31l965,288r6,-31l988,232r26,-17l1045,208xe" filled="f" strokecolor="#ccc">
              <v:path arrowok="t"/>
            </v:shape>
            <v:shape id="_x0000_s4739" type="#_x0000_t202" style="position:absolute;left:984;top:223;width:9938;height:999" filled="f" stroked="f">
              <v:textbox inset="0,0,0,0">
                <w:txbxContent>
                  <w:p w14:paraId="326FCF3A" w14:textId="77777777" w:rsidR="00711A16" w:rsidRDefault="00711A16">
                    <w:pPr>
                      <w:spacing w:before="221" w:line="252" w:lineRule="auto"/>
                      <w:ind w:left="200" w:right="5334"/>
                      <w:rPr>
                        <w:rFonts w:ascii="MS Gothic"/>
                      </w:rPr>
                    </w:pPr>
                    <w:proofErr w:type="gramStart"/>
                    <w:r>
                      <w:rPr>
                        <w:rFonts w:ascii="MS Gothic"/>
                        <w:color w:val="333333"/>
                      </w:rPr>
                      <w:t>spring.devtools</w:t>
                    </w:r>
                    <w:proofErr w:type="gramEnd"/>
                    <w:r>
                      <w:rPr>
                        <w:rFonts w:ascii="MS Gothic"/>
                        <w:color w:val="333333"/>
                      </w:rPr>
                      <w:t>.restart.poll-interval=2s spring.devtools.restart.quiet-period=1s</w:t>
                    </w:r>
                  </w:p>
                </w:txbxContent>
              </v:textbox>
            </v:shape>
            <w10:wrap type="topAndBottom" anchorx="page"/>
          </v:group>
        </w:pict>
      </w:r>
    </w:p>
    <w:p w14:paraId="041580D7" w14:textId="77777777" w:rsidR="00A720EB" w:rsidRDefault="00A720EB">
      <w:pPr>
        <w:rPr>
          <w:sz w:val="13"/>
        </w:rPr>
        <w:sectPr w:rsidR="00A720EB">
          <w:pgSz w:w="11910" w:h="16840"/>
          <w:pgMar w:top="700" w:right="840" w:bottom="520" w:left="840" w:header="0" w:footer="323" w:gutter="0"/>
          <w:cols w:space="720"/>
        </w:sectPr>
      </w:pPr>
    </w:p>
    <w:p w14:paraId="47FC63A3" w14:textId="77777777" w:rsidR="00A720EB" w:rsidRDefault="0030286B">
      <w:pPr>
        <w:pStyle w:val="a3"/>
        <w:spacing w:before="102" w:line="307" w:lineRule="auto"/>
        <w:ind w:left="124" w:right="132"/>
        <w:jc w:val="both"/>
      </w:pPr>
      <w:r>
        <w:rPr>
          <w:color w:val="333333"/>
          <w:w w:val="110"/>
        </w:rPr>
        <w:lastRenderedPageBreak/>
        <w:t>The monitored classpath directories are now polled every 2 seconds for changes, and a 1 second quiet period is maintained to make sure there are no additional class</w:t>
      </w:r>
      <w:r>
        <w:rPr>
          <w:color w:val="333333"/>
          <w:spacing w:val="47"/>
          <w:w w:val="110"/>
        </w:rPr>
        <w:t xml:space="preserve"> </w:t>
      </w:r>
      <w:r>
        <w:rPr>
          <w:color w:val="333333"/>
          <w:w w:val="110"/>
        </w:rPr>
        <w:t>changes.</w:t>
      </w:r>
    </w:p>
    <w:p w14:paraId="38875283" w14:textId="77777777" w:rsidR="00A720EB" w:rsidRDefault="00A720EB">
      <w:pPr>
        <w:pStyle w:val="a3"/>
        <w:spacing w:before="8"/>
        <w:rPr>
          <w:sz w:val="25"/>
        </w:rPr>
      </w:pPr>
    </w:p>
    <w:p w14:paraId="3A752D74" w14:textId="77777777" w:rsidR="00A720EB" w:rsidRDefault="0030286B">
      <w:pPr>
        <w:pStyle w:val="3"/>
        <w:numPr>
          <w:ilvl w:val="2"/>
          <w:numId w:val="72"/>
        </w:numPr>
        <w:tabs>
          <w:tab w:val="left" w:pos="858"/>
        </w:tabs>
        <w:ind w:hanging="734"/>
      </w:pPr>
      <w:bookmarkStart w:id="134" w:name="3.8.5._Remote_Applications"/>
      <w:bookmarkStart w:id="135" w:name="_Toc54423706"/>
      <w:bookmarkEnd w:id="134"/>
      <w:r>
        <w:rPr>
          <w:color w:val="333333"/>
          <w:w w:val="110"/>
        </w:rPr>
        <w:t>Remote</w:t>
      </w:r>
      <w:r>
        <w:rPr>
          <w:color w:val="333333"/>
          <w:spacing w:val="-5"/>
          <w:w w:val="110"/>
        </w:rPr>
        <w:t xml:space="preserve"> </w:t>
      </w:r>
      <w:r>
        <w:rPr>
          <w:color w:val="333333"/>
          <w:w w:val="110"/>
        </w:rPr>
        <w:t>Applications</w:t>
      </w:r>
      <w:bookmarkEnd w:id="135"/>
    </w:p>
    <w:p w14:paraId="3C5D8805" w14:textId="77777777" w:rsidR="00A720EB" w:rsidRDefault="0030286B">
      <w:pPr>
        <w:pStyle w:val="a3"/>
        <w:spacing w:before="254" w:line="307" w:lineRule="auto"/>
        <w:ind w:left="124" w:right="124"/>
        <w:jc w:val="both"/>
      </w:pPr>
      <w:r>
        <w:rPr>
          <w:color w:val="333333"/>
          <w:w w:val="110"/>
        </w:rPr>
        <w:t xml:space="preserve">The Spring Boot developer tools are not limited to local development. </w:t>
      </w:r>
      <w:r>
        <w:rPr>
          <w:color w:val="333333"/>
          <w:spacing w:val="-6"/>
          <w:w w:val="110"/>
        </w:rPr>
        <w:t xml:space="preserve">You </w:t>
      </w:r>
      <w:r>
        <w:rPr>
          <w:color w:val="333333"/>
          <w:w w:val="110"/>
        </w:rPr>
        <w:t xml:space="preserve">can also use several features when running applications </w:t>
      </w:r>
      <w:r>
        <w:rPr>
          <w:color w:val="333333"/>
          <w:spacing w:val="-3"/>
          <w:w w:val="110"/>
        </w:rPr>
        <w:t xml:space="preserve">remotely. </w:t>
      </w:r>
      <w:r>
        <w:rPr>
          <w:color w:val="333333"/>
          <w:w w:val="110"/>
        </w:rPr>
        <w:t xml:space="preserve">Remote support is opt-in as enabling it can be a security risk. It should only be enabled when running on a trusted network or when secured </w:t>
      </w:r>
      <w:proofErr w:type="gramStart"/>
      <w:r>
        <w:rPr>
          <w:color w:val="333333"/>
          <w:w w:val="110"/>
        </w:rPr>
        <w:t>with  SSL</w:t>
      </w:r>
      <w:proofErr w:type="gramEnd"/>
      <w:r>
        <w:rPr>
          <w:color w:val="333333"/>
          <w:w w:val="110"/>
        </w:rPr>
        <w:t xml:space="preserve">. If neither of these options is available to you, you should not use DevTools' remote support.  </w:t>
      </w:r>
      <w:r>
        <w:rPr>
          <w:color w:val="333333"/>
          <w:spacing w:val="50"/>
          <w:w w:val="110"/>
        </w:rPr>
        <w:t xml:space="preserve"> </w:t>
      </w:r>
      <w:r>
        <w:rPr>
          <w:color w:val="333333"/>
          <w:spacing w:val="-6"/>
          <w:w w:val="110"/>
        </w:rPr>
        <w:t xml:space="preserve">You </w:t>
      </w:r>
      <w:r>
        <w:rPr>
          <w:color w:val="333333"/>
          <w:w w:val="110"/>
        </w:rPr>
        <w:t>should never enable support on a production</w:t>
      </w:r>
      <w:r>
        <w:rPr>
          <w:color w:val="333333"/>
          <w:spacing w:val="35"/>
          <w:w w:val="110"/>
        </w:rPr>
        <w:t xml:space="preserve"> </w:t>
      </w:r>
      <w:r>
        <w:rPr>
          <w:color w:val="333333"/>
          <w:w w:val="110"/>
        </w:rPr>
        <w:t>deployment.</w:t>
      </w:r>
    </w:p>
    <w:p w14:paraId="6B37E93A" w14:textId="77777777" w:rsidR="00A720EB" w:rsidRDefault="0030286B">
      <w:pPr>
        <w:pStyle w:val="a3"/>
        <w:spacing w:before="232" w:line="290" w:lineRule="auto"/>
        <w:ind w:left="124" w:right="128"/>
        <w:jc w:val="both"/>
      </w:pPr>
      <w:r>
        <w:rPr>
          <w:color w:val="333333"/>
          <w:w w:val="110"/>
        </w:rPr>
        <w:t xml:space="preserve">To enable it, you need to make sure that </w:t>
      </w:r>
      <w:r>
        <w:rPr>
          <w:rFonts w:ascii="MS Gothic"/>
          <w:color w:val="B02045"/>
          <w:w w:val="110"/>
        </w:rPr>
        <w:t xml:space="preserve">devtools </w:t>
      </w:r>
      <w:r>
        <w:rPr>
          <w:color w:val="333333"/>
          <w:w w:val="110"/>
        </w:rPr>
        <w:t>is included in the repackaged archive, as shown in the following listing:</w:t>
      </w:r>
    </w:p>
    <w:p w14:paraId="5AFB45DD" w14:textId="77777777" w:rsidR="00A720EB" w:rsidRDefault="00E10349">
      <w:pPr>
        <w:pStyle w:val="a3"/>
        <w:spacing w:before="7"/>
        <w:rPr>
          <w:sz w:val="14"/>
        </w:rPr>
      </w:pPr>
      <w:r>
        <w:pict w14:anchorId="4B6BEA0C">
          <v:group id="_x0000_s4734" style="position:absolute;margin-left:47.85pt;margin-top:10.55pt;width:499.55pt;height:184.9pt;z-index:-15653888;mso-wrap-distance-left:0;mso-wrap-distance-right:0;mso-position-horizontal-relative:page" coordorigin="957,211" coordsize="9991,3698">
            <v:shape id="_x0000_s4737" style="position:absolute;left:964;top:218;width:9976;height:3683" coordorigin="965,219" coordsize="9976,3683" path="m10861,219r-9816,l1014,225r-26,17l971,268r-6,31l965,3822r6,31l988,3878r26,17l1045,3902r9816,l10892,3895r25,-17l10935,3853r6,-31l10941,299r-6,-31l10917,242r-25,-17l10861,219xe" fillcolor="#f5f5f5" stroked="f">
              <v:path arrowok="t"/>
            </v:shape>
            <v:shape id="_x0000_s4736" style="position:absolute;left:964;top:218;width:9976;height:3683" coordorigin="965,219" coordsize="9976,3683" path="m1045,219r9816,l10892,225r25,17l10935,268r6,31l10941,3822r-6,31l10917,3878r-25,17l10861,3902r-9816,l1014,3895r-26,-17l971,3853r-6,-31l965,299r6,-31l988,242r26,-17l1045,219xe" filled="f" strokecolor="#ccc">
              <v:path arrowok="t"/>
            </v:shape>
            <v:shape id="_x0000_s4735" type="#_x0000_t202" style="position:absolute;left:984;top:234;width:9938;height:3652" filled="f" stroked="f">
              <v:textbox inset="0,0,0,0">
                <w:txbxContent>
                  <w:p w14:paraId="3BD91CC8" w14:textId="77777777" w:rsidR="00711A16" w:rsidRDefault="00711A16">
                    <w:pPr>
                      <w:spacing w:before="221"/>
                      <w:ind w:left="200"/>
                      <w:rPr>
                        <w:rFonts w:ascii="MS Gothic"/>
                      </w:rPr>
                    </w:pPr>
                    <w:r>
                      <w:rPr>
                        <w:rFonts w:ascii="MS Gothic"/>
                        <w:color w:val="333333"/>
                      </w:rPr>
                      <w:t>&lt;build&gt;</w:t>
                    </w:r>
                  </w:p>
                  <w:p w14:paraId="1331FA9A" w14:textId="77777777" w:rsidR="00711A16" w:rsidRDefault="00711A16">
                    <w:pPr>
                      <w:spacing w:before="13"/>
                      <w:ind w:left="640"/>
                      <w:rPr>
                        <w:rFonts w:ascii="MS Gothic"/>
                      </w:rPr>
                    </w:pPr>
                    <w:r>
                      <w:rPr>
                        <w:rFonts w:ascii="MS Gothic"/>
                        <w:color w:val="333333"/>
                      </w:rPr>
                      <w:t>&lt;plugins&gt;</w:t>
                    </w:r>
                  </w:p>
                  <w:p w14:paraId="7F67A688" w14:textId="77777777" w:rsidR="00711A16" w:rsidRDefault="00711A16">
                    <w:pPr>
                      <w:spacing w:before="13"/>
                      <w:ind w:left="1080"/>
                      <w:rPr>
                        <w:rFonts w:ascii="MS Gothic"/>
                      </w:rPr>
                    </w:pPr>
                    <w:r>
                      <w:rPr>
                        <w:rFonts w:ascii="MS Gothic"/>
                        <w:color w:val="333333"/>
                      </w:rPr>
                      <w:t>&lt;plugin&gt;</w:t>
                    </w:r>
                  </w:p>
                  <w:p w14:paraId="466C9F46"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5027219C" w14:textId="77777777" w:rsidR="00711A16" w:rsidRDefault="00711A16">
                    <w:pPr>
                      <w:spacing w:before="12"/>
                      <w:ind w:left="1520"/>
                      <w:rPr>
                        <w:rFonts w:ascii="MS Gothic"/>
                      </w:rPr>
                    </w:pPr>
                    <w:r>
                      <w:rPr>
                        <w:rFonts w:ascii="MS Gothic"/>
                        <w:color w:val="333333"/>
                      </w:rPr>
                      <w:t>&lt;artifactId&gt;spring-boot-maven-plugin&lt;/artifactId&gt;</w:t>
                    </w:r>
                  </w:p>
                  <w:p w14:paraId="08414E11" w14:textId="77777777" w:rsidR="00711A16" w:rsidRDefault="00711A16">
                    <w:pPr>
                      <w:spacing w:before="13"/>
                      <w:ind w:left="1520"/>
                      <w:rPr>
                        <w:rFonts w:ascii="MS Gothic"/>
                      </w:rPr>
                    </w:pPr>
                    <w:r>
                      <w:rPr>
                        <w:rFonts w:ascii="MS Gothic"/>
                        <w:color w:val="333333"/>
                      </w:rPr>
                      <w:t>&lt;configuration&gt;</w:t>
                    </w:r>
                  </w:p>
                  <w:p w14:paraId="4C5CA756" w14:textId="77777777" w:rsidR="00711A16" w:rsidRDefault="00711A16">
                    <w:pPr>
                      <w:spacing w:before="13"/>
                      <w:ind w:left="1960"/>
                      <w:rPr>
                        <w:rFonts w:ascii="MS Gothic"/>
                      </w:rPr>
                    </w:pPr>
                    <w:r>
                      <w:rPr>
                        <w:rFonts w:ascii="MS Gothic"/>
                        <w:color w:val="333333"/>
                      </w:rPr>
                      <w:t>&lt;excludeDevtools&gt;false&lt;/excludeDevtools&gt;</w:t>
                    </w:r>
                  </w:p>
                  <w:p w14:paraId="198C5AD2" w14:textId="77777777" w:rsidR="00711A16" w:rsidRDefault="00711A16">
                    <w:pPr>
                      <w:spacing w:before="13"/>
                      <w:ind w:left="1520"/>
                      <w:rPr>
                        <w:rFonts w:ascii="MS Gothic"/>
                      </w:rPr>
                    </w:pPr>
                    <w:r>
                      <w:rPr>
                        <w:rFonts w:ascii="MS Gothic"/>
                        <w:color w:val="333333"/>
                      </w:rPr>
                      <w:t>&lt;/configuration&gt;</w:t>
                    </w:r>
                  </w:p>
                  <w:p w14:paraId="3884F631" w14:textId="77777777" w:rsidR="00711A16" w:rsidRDefault="00711A16">
                    <w:pPr>
                      <w:spacing w:before="13"/>
                      <w:ind w:left="1080"/>
                      <w:rPr>
                        <w:rFonts w:ascii="MS Gothic"/>
                      </w:rPr>
                    </w:pPr>
                    <w:r>
                      <w:rPr>
                        <w:rFonts w:ascii="MS Gothic"/>
                        <w:color w:val="333333"/>
                      </w:rPr>
                      <w:t>&lt;/plugin&gt;</w:t>
                    </w:r>
                  </w:p>
                  <w:p w14:paraId="5FE58FB7" w14:textId="77777777" w:rsidR="00711A16" w:rsidRDefault="00711A16">
                    <w:pPr>
                      <w:spacing w:before="13"/>
                      <w:ind w:left="640"/>
                      <w:rPr>
                        <w:rFonts w:ascii="MS Gothic"/>
                      </w:rPr>
                    </w:pPr>
                    <w:r>
                      <w:rPr>
                        <w:rFonts w:ascii="MS Gothic"/>
                        <w:color w:val="333333"/>
                      </w:rPr>
                      <w:t>&lt;/plugins&gt;</w:t>
                    </w:r>
                  </w:p>
                  <w:p w14:paraId="04C73820" w14:textId="77777777" w:rsidR="00711A16" w:rsidRDefault="00711A16">
                    <w:pPr>
                      <w:spacing w:before="13"/>
                      <w:ind w:left="200"/>
                      <w:rPr>
                        <w:rFonts w:ascii="MS Gothic"/>
                      </w:rPr>
                    </w:pPr>
                    <w:r>
                      <w:rPr>
                        <w:rFonts w:ascii="MS Gothic"/>
                        <w:color w:val="333333"/>
                      </w:rPr>
                      <w:t>&lt;/build&gt;</w:t>
                    </w:r>
                  </w:p>
                </w:txbxContent>
              </v:textbox>
            </v:shape>
            <w10:wrap type="topAndBottom" anchorx="page"/>
          </v:group>
        </w:pict>
      </w:r>
    </w:p>
    <w:p w14:paraId="74B4096C" w14:textId="77777777" w:rsidR="00A720EB" w:rsidRDefault="00A720EB">
      <w:pPr>
        <w:pStyle w:val="a3"/>
        <w:spacing w:before="11"/>
        <w:rPr>
          <w:sz w:val="9"/>
        </w:rPr>
      </w:pPr>
    </w:p>
    <w:p w14:paraId="39DA61C8" w14:textId="77777777" w:rsidR="00A720EB" w:rsidRDefault="0030286B">
      <w:pPr>
        <w:pStyle w:val="a3"/>
        <w:spacing w:before="115" w:line="290" w:lineRule="auto"/>
        <w:ind w:left="124" w:right="127"/>
        <w:jc w:val="both"/>
      </w:pPr>
      <w:r>
        <w:rPr>
          <w:color w:val="333333"/>
          <w:w w:val="110"/>
        </w:rPr>
        <w:t xml:space="preserve">Then you need to set the </w:t>
      </w:r>
      <w:proofErr w:type="gramStart"/>
      <w:r>
        <w:rPr>
          <w:rFonts w:ascii="MS Gothic"/>
          <w:color w:val="B02045"/>
          <w:w w:val="110"/>
        </w:rPr>
        <w:t>spring.devtools</w:t>
      </w:r>
      <w:proofErr w:type="gramEnd"/>
      <w:r>
        <w:rPr>
          <w:rFonts w:ascii="MS Gothic"/>
          <w:color w:val="B02045"/>
          <w:w w:val="110"/>
        </w:rPr>
        <w:t>.remote.secret</w:t>
      </w:r>
      <w:r>
        <w:rPr>
          <w:rFonts w:ascii="MS Gothic"/>
          <w:color w:val="B02045"/>
          <w:spacing w:val="-97"/>
          <w:w w:val="110"/>
        </w:rPr>
        <w:t xml:space="preserve"> </w:t>
      </w:r>
      <w:r>
        <w:rPr>
          <w:color w:val="333333"/>
          <w:spacing w:val="-3"/>
          <w:w w:val="110"/>
        </w:rPr>
        <w:t xml:space="preserve">property. </w:t>
      </w:r>
      <w:r>
        <w:rPr>
          <w:color w:val="333333"/>
          <w:w w:val="110"/>
        </w:rPr>
        <w:t>Like any important password or secret, the value should be unique and strong such that it cannot be guessed or brute-forced.</w:t>
      </w:r>
    </w:p>
    <w:p w14:paraId="09E5FEB7" w14:textId="77777777" w:rsidR="00A720EB" w:rsidRDefault="00A720EB">
      <w:pPr>
        <w:pStyle w:val="a3"/>
        <w:spacing w:before="1"/>
        <w:rPr>
          <w:sz w:val="22"/>
        </w:rPr>
      </w:pPr>
    </w:p>
    <w:p w14:paraId="576969C7" w14:textId="77777777" w:rsidR="00A720EB" w:rsidRDefault="0030286B">
      <w:pPr>
        <w:pStyle w:val="a3"/>
        <w:spacing w:line="297" w:lineRule="auto"/>
        <w:ind w:left="124" w:right="127"/>
        <w:jc w:val="both"/>
      </w:pPr>
      <w:r>
        <w:rPr>
          <w:color w:val="333333"/>
          <w:w w:val="110"/>
        </w:rPr>
        <w:t xml:space="preserve">Remote devtools support is provided in two parts: a server-side endpoint that accepts connections and a client application that you run in your IDE. The server component is automatically enabled when the </w:t>
      </w:r>
      <w:proofErr w:type="gramStart"/>
      <w:r>
        <w:rPr>
          <w:rFonts w:ascii="MS Gothic"/>
          <w:color w:val="B02045"/>
          <w:w w:val="110"/>
        </w:rPr>
        <w:t>spring.devtools</w:t>
      </w:r>
      <w:proofErr w:type="gramEnd"/>
      <w:r>
        <w:rPr>
          <w:rFonts w:ascii="MS Gothic"/>
          <w:color w:val="B02045"/>
          <w:w w:val="110"/>
        </w:rPr>
        <w:t xml:space="preserve">.remote.secret </w:t>
      </w:r>
      <w:r>
        <w:rPr>
          <w:color w:val="333333"/>
          <w:w w:val="110"/>
        </w:rPr>
        <w:t>property is set. The client component must be launched manually.</w:t>
      </w:r>
    </w:p>
    <w:p w14:paraId="020BD316" w14:textId="77777777" w:rsidR="00A720EB" w:rsidRDefault="00A720EB">
      <w:pPr>
        <w:pStyle w:val="a3"/>
        <w:spacing w:before="8"/>
        <w:rPr>
          <w:sz w:val="26"/>
        </w:rPr>
      </w:pPr>
    </w:p>
    <w:p w14:paraId="1AAD93AA" w14:textId="77777777" w:rsidR="00A720EB" w:rsidRDefault="0030286B">
      <w:pPr>
        <w:pStyle w:val="4"/>
      </w:pPr>
      <w:bookmarkStart w:id="136" w:name="Running_the_Remote_Client_Application"/>
      <w:bookmarkEnd w:id="136"/>
      <w:r>
        <w:rPr>
          <w:color w:val="333333"/>
          <w:w w:val="110"/>
        </w:rPr>
        <w:t>Running the Remote Client Application</w:t>
      </w:r>
    </w:p>
    <w:p w14:paraId="10069BBB" w14:textId="77777777" w:rsidR="00A720EB" w:rsidRDefault="00A720EB">
      <w:pPr>
        <w:pStyle w:val="a3"/>
        <w:spacing w:before="11"/>
        <w:rPr>
          <w:rFonts w:ascii="Palatino Linotype"/>
          <w:b/>
          <w:sz w:val="18"/>
        </w:rPr>
      </w:pPr>
    </w:p>
    <w:p w14:paraId="68911D89" w14:textId="77777777" w:rsidR="00A720EB" w:rsidRDefault="0030286B">
      <w:pPr>
        <w:pStyle w:val="a3"/>
        <w:spacing w:line="297" w:lineRule="auto"/>
        <w:ind w:left="124" w:right="123"/>
        <w:jc w:val="both"/>
      </w:pPr>
      <w:r>
        <w:rPr>
          <w:color w:val="333333"/>
          <w:w w:val="110"/>
        </w:rPr>
        <w:t xml:space="preserve">The remote client application is designed to be run from within your IDE. </w:t>
      </w:r>
      <w:r>
        <w:rPr>
          <w:color w:val="333333"/>
          <w:spacing w:val="-6"/>
          <w:w w:val="110"/>
        </w:rPr>
        <w:t xml:space="preserve">You </w:t>
      </w:r>
      <w:r>
        <w:rPr>
          <w:color w:val="333333"/>
          <w:w w:val="110"/>
        </w:rPr>
        <w:t xml:space="preserve">need to run </w:t>
      </w:r>
      <w:proofErr w:type="gramStart"/>
      <w:r>
        <w:rPr>
          <w:rFonts w:ascii="MS Gothic" w:hAnsi="MS Gothic"/>
          <w:color w:val="B02045"/>
          <w:w w:val="105"/>
        </w:rPr>
        <w:t>org.springframework</w:t>
      </w:r>
      <w:proofErr w:type="gramEnd"/>
      <w:r>
        <w:rPr>
          <w:rFonts w:ascii="MS Gothic" w:hAnsi="MS Gothic"/>
          <w:color w:val="B02045"/>
          <w:w w:val="105"/>
        </w:rPr>
        <w:t xml:space="preserve">.boot.devtools.RemoteSpringApplication </w:t>
      </w:r>
      <w:r>
        <w:rPr>
          <w:color w:val="333333"/>
          <w:w w:val="105"/>
        </w:rPr>
        <w:t xml:space="preserve">with the same classpath as the remote </w:t>
      </w:r>
      <w:r>
        <w:rPr>
          <w:color w:val="333333"/>
          <w:w w:val="110"/>
        </w:rPr>
        <w:t>project that you connect to. The application’s single required argument is the remote URL to which   it</w:t>
      </w:r>
      <w:r>
        <w:rPr>
          <w:color w:val="333333"/>
          <w:spacing w:val="2"/>
          <w:w w:val="110"/>
        </w:rPr>
        <w:t xml:space="preserve"> </w:t>
      </w:r>
      <w:r>
        <w:rPr>
          <w:color w:val="333333"/>
          <w:w w:val="110"/>
        </w:rPr>
        <w:t>connects.</w:t>
      </w:r>
    </w:p>
    <w:p w14:paraId="22271159" w14:textId="77777777" w:rsidR="00A720EB" w:rsidRDefault="0030286B">
      <w:pPr>
        <w:pStyle w:val="a3"/>
        <w:spacing w:before="243" w:line="290" w:lineRule="auto"/>
        <w:ind w:left="124" w:right="123"/>
        <w:jc w:val="both"/>
      </w:pPr>
      <w:r>
        <w:rPr>
          <w:color w:val="333333"/>
          <w:spacing w:val="-4"/>
          <w:w w:val="110"/>
        </w:rPr>
        <w:t xml:space="preserve">For </w:t>
      </w:r>
      <w:r>
        <w:rPr>
          <w:color w:val="333333"/>
          <w:w w:val="110"/>
        </w:rPr>
        <w:t xml:space="preserve">example, if you are using Eclipse or STS and you have a project named </w:t>
      </w:r>
      <w:r>
        <w:rPr>
          <w:rFonts w:ascii="MS Gothic"/>
          <w:color w:val="B02045"/>
          <w:w w:val="110"/>
        </w:rPr>
        <w:t xml:space="preserve">my-app </w:t>
      </w:r>
      <w:r>
        <w:rPr>
          <w:color w:val="333333"/>
          <w:w w:val="110"/>
        </w:rPr>
        <w:t xml:space="preserve">that you have deployed to Cloud </w:t>
      </w:r>
      <w:r>
        <w:rPr>
          <w:color w:val="333333"/>
          <w:spacing w:val="-5"/>
          <w:w w:val="110"/>
        </w:rPr>
        <w:t xml:space="preserve">Foundry, </w:t>
      </w:r>
      <w:r>
        <w:rPr>
          <w:color w:val="333333"/>
          <w:w w:val="110"/>
        </w:rPr>
        <w:t>you would do the</w:t>
      </w:r>
      <w:r>
        <w:rPr>
          <w:color w:val="333333"/>
          <w:spacing w:val="30"/>
          <w:w w:val="110"/>
        </w:rPr>
        <w:t xml:space="preserve"> </w:t>
      </w:r>
      <w:r>
        <w:rPr>
          <w:color w:val="333333"/>
          <w:w w:val="110"/>
        </w:rPr>
        <w:t>following:</w:t>
      </w:r>
    </w:p>
    <w:p w14:paraId="4FD1517B" w14:textId="77777777" w:rsidR="00A720EB" w:rsidRDefault="0030286B">
      <w:pPr>
        <w:pStyle w:val="a6"/>
        <w:numPr>
          <w:ilvl w:val="0"/>
          <w:numId w:val="69"/>
        </w:numPr>
        <w:tabs>
          <w:tab w:val="left" w:pos="485"/>
        </w:tabs>
        <w:spacing w:before="247"/>
        <w:rPr>
          <w:sz w:val="21"/>
        </w:rPr>
      </w:pPr>
      <w:r>
        <w:rPr>
          <w:color w:val="333333"/>
          <w:w w:val="105"/>
          <w:sz w:val="21"/>
        </w:rPr>
        <w:t>Select</w:t>
      </w:r>
      <w:r>
        <w:rPr>
          <w:color w:val="333333"/>
          <w:spacing w:val="6"/>
          <w:w w:val="105"/>
          <w:sz w:val="21"/>
        </w:rPr>
        <w:t xml:space="preserve"> </w:t>
      </w:r>
      <w:r>
        <w:rPr>
          <w:rFonts w:ascii="MS Gothic" w:hAnsi="MS Gothic"/>
          <w:color w:val="B02045"/>
          <w:w w:val="105"/>
          <w:sz w:val="21"/>
        </w:rPr>
        <w:t>Run</w:t>
      </w:r>
      <w:r>
        <w:rPr>
          <w:rFonts w:ascii="MS Gothic" w:hAnsi="MS Gothic"/>
          <w:color w:val="B02045"/>
          <w:spacing w:val="-5"/>
          <w:w w:val="105"/>
          <w:sz w:val="21"/>
        </w:rPr>
        <w:t xml:space="preserve"> </w:t>
      </w:r>
      <w:r>
        <w:rPr>
          <w:rFonts w:ascii="MS Gothic" w:hAnsi="MS Gothic"/>
          <w:color w:val="B02045"/>
          <w:w w:val="105"/>
          <w:sz w:val="21"/>
        </w:rPr>
        <w:t>Configurations…</w:t>
      </w:r>
      <w:r>
        <w:rPr>
          <w:rFonts w:ascii="MS Gothic" w:hAnsi="MS Gothic"/>
          <w:color w:val="B02045"/>
          <w:spacing w:val="-57"/>
          <w:w w:val="105"/>
          <w:sz w:val="21"/>
        </w:rPr>
        <w:t xml:space="preserve"> </w:t>
      </w:r>
      <w:r>
        <w:rPr>
          <w:color w:val="333333"/>
          <w:w w:val="105"/>
          <w:sz w:val="21"/>
        </w:rPr>
        <w:t>from</w:t>
      </w:r>
      <w:r>
        <w:rPr>
          <w:color w:val="333333"/>
          <w:spacing w:val="6"/>
          <w:w w:val="105"/>
          <w:sz w:val="21"/>
        </w:rPr>
        <w:t xml:space="preserve"> </w:t>
      </w:r>
      <w:r>
        <w:rPr>
          <w:color w:val="333333"/>
          <w:w w:val="105"/>
          <w:sz w:val="21"/>
        </w:rPr>
        <w:t>the</w:t>
      </w:r>
      <w:r>
        <w:rPr>
          <w:color w:val="333333"/>
          <w:spacing w:val="4"/>
          <w:w w:val="105"/>
          <w:sz w:val="21"/>
        </w:rPr>
        <w:t xml:space="preserve"> </w:t>
      </w:r>
      <w:r>
        <w:rPr>
          <w:rFonts w:ascii="MS Gothic" w:hAnsi="MS Gothic"/>
          <w:color w:val="B02045"/>
          <w:w w:val="105"/>
          <w:sz w:val="21"/>
        </w:rPr>
        <w:t>Run</w:t>
      </w:r>
      <w:r>
        <w:rPr>
          <w:rFonts w:ascii="MS Gothic" w:hAnsi="MS Gothic"/>
          <w:color w:val="B02045"/>
          <w:spacing w:val="-56"/>
          <w:w w:val="105"/>
          <w:sz w:val="21"/>
        </w:rPr>
        <w:t xml:space="preserve"> </w:t>
      </w:r>
      <w:r>
        <w:rPr>
          <w:color w:val="333333"/>
          <w:w w:val="105"/>
          <w:sz w:val="21"/>
        </w:rPr>
        <w:t>menu.</w:t>
      </w:r>
    </w:p>
    <w:p w14:paraId="2C2FC6D5" w14:textId="77777777" w:rsidR="00A720EB" w:rsidRDefault="0030286B">
      <w:pPr>
        <w:pStyle w:val="a6"/>
        <w:numPr>
          <w:ilvl w:val="0"/>
          <w:numId w:val="69"/>
        </w:numPr>
        <w:tabs>
          <w:tab w:val="left" w:pos="485"/>
        </w:tabs>
        <w:spacing w:before="167"/>
        <w:rPr>
          <w:sz w:val="21"/>
        </w:rPr>
      </w:pPr>
      <w:r>
        <w:rPr>
          <w:color w:val="333333"/>
          <w:w w:val="110"/>
          <w:sz w:val="21"/>
        </w:rPr>
        <w:t xml:space="preserve">Create a new </w:t>
      </w:r>
      <w:r>
        <w:rPr>
          <w:rFonts w:ascii="MS Gothic" w:hAnsi="MS Gothic"/>
          <w:color w:val="B02045"/>
          <w:w w:val="110"/>
          <w:sz w:val="21"/>
        </w:rPr>
        <w:t>Java Application</w:t>
      </w:r>
      <w:r>
        <w:rPr>
          <w:rFonts w:ascii="MS Gothic" w:hAnsi="MS Gothic"/>
          <w:color w:val="B02045"/>
          <w:spacing w:val="-67"/>
          <w:w w:val="110"/>
          <w:sz w:val="21"/>
        </w:rPr>
        <w:t xml:space="preserve"> </w:t>
      </w:r>
      <w:r>
        <w:rPr>
          <w:color w:val="333333"/>
          <w:w w:val="110"/>
          <w:sz w:val="21"/>
        </w:rPr>
        <w:t>“launch configuration”.</w:t>
      </w:r>
    </w:p>
    <w:p w14:paraId="3FEBA97A" w14:textId="77777777" w:rsidR="00A720EB" w:rsidRDefault="0030286B">
      <w:pPr>
        <w:pStyle w:val="a6"/>
        <w:numPr>
          <w:ilvl w:val="0"/>
          <w:numId w:val="69"/>
        </w:numPr>
        <w:tabs>
          <w:tab w:val="left" w:pos="485"/>
        </w:tabs>
        <w:spacing w:before="167"/>
        <w:rPr>
          <w:sz w:val="21"/>
        </w:rPr>
      </w:pPr>
      <w:r>
        <w:rPr>
          <w:color w:val="333333"/>
          <w:w w:val="110"/>
          <w:sz w:val="21"/>
        </w:rPr>
        <w:t xml:space="preserve">Browse for the </w:t>
      </w:r>
      <w:r>
        <w:rPr>
          <w:rFonts w:ascii="MS Gothic" w:hAnsi="MS Gothic"/>
          <w:color w:val="B02045"/>
          <w:w w:val="110"/>
          <w:sz w:val="21"/>
        </w:rPr>
        <w:t>my-app</w:t>
      </w:r>
      <w:r>
        <w:rPr>
          <w:rFonts w:ascii="MS Gothic" w:hAnsi="MS Gothic"/>
          <w:color w:val="B02045"/>
          <w:spacing w:val="-54"/>
          <w:w w:val="110"/>
          <w:sz w:val="21"/>
        </w:rPr>
        <w:t xml:space="preserve"> </w:t>
      </w:r>
      <w:r>
        <w:rPr>
          <w:color w:val="333333"/>
          <w:w w:val="110"/>
          <w:sz w:val="21"/>
        </w:rPr>
        <w:t>project.</w:t>
      </w:r>
    </w:p>
    <w:p w14:paraId="4ED18DD4" w14:textId="77777777" w:rsidR="00A720EB" w:rsidRDefault="0030286B">
      <w:pPr>
        <w:pStyle w:val="a6"/>
        <w:numPr>
          <w:ilvl w:val="0"/>
          <w:numId w:val="69"/>
        </w:numPr>
        <w:tabs>
          <w:tab w:val="left" w:pos="485"/>
        </w:tabs>
        <w:spacing w:before="166"/>
        <w:rPr>
          <w:sz w:val="21"/>
        </w:rPr>
      </w:pPr>
      <w:r>
        <w:rPr>
          <w:color w:val="333333"/>
          <w:w w:val="110"/>
          <w:sz w:val="21"/>
        </w:rPr>
        <w:t>Use</w:t>
      </w:r>
      <w:r>
        <w:rPr>
          <w:color w:val="333333"/>
          <w:spacing w:val="-14"/>
          <w:w w:val="110"/>
          <w:sz w:val="21"/>
        </w:rPr>
        <w:t xml:space="preserve"> </w:t>
      </w:r>
      <w:proofErr w:type="gramStart"/>
      <w:r>
        <w:rPr>
          <w:rFonts w:ascii="MS Gothic" w:hAnsi="MS Gothic"/>
          <w:color w:val="B02045"/>
          <w:w w:val="110"/>
          <w:sz w:val="21"/>
        </w:rPr>
        <w:t>org.springframework</w:t>
      </w:r>
      <w:proofErr w:type="gramEnd"/>
      <w:r>
        <w:rPr>
          <w:rFonts w:ascii="MS Gothic" w:hAnsi="MS Gothic"/>
          <w:color w:val="B02045"/>
          <w:w w:val="110"/>
          <w:sz w:val="21"/>
        </w:rPr>
        <w:t>.boot.devtools.RemoteSpringApplication</w:t>
      </w:r>
      <w:r>
        <w:rPr>
          <w:rFonts w:ascii="MS Gothic" w:hAnsi="MS Gothic"/>
          <w:color w:val="B02045"/>
          <w:spacing w:val="-79"/>
          <w:w w:val="110"/>
          <w:sz w:val="21"/>
        </w:rPr>
        <w:t xml:space="preserve"> </w:t>
      </w:r>
      <w:r>
        <w:rPr>
          <w:color w:val="333333"/>
          <w:w w:val="110"/>
          <w:sz w:val="21"/>
        </w:rPr>
        <w:t>as</w:t>
      </w:r>
      <w:r>
        <w:rPr>
          <w:color w:val="333333"/>
          <w:spacing w:val="-15"/>
          <w:w w:val="110"/>
          <w:sz w:val="21"/>
        </w:rPr>
        <w:t xml:space="preserve"> </w:t>
      </w:r>
      <w:r>
        <w:rPr>
          <w:color w:val="333333"/>
          <w:w w:val="110"/>
          <w:sz w:val="21"/>
        </w:rPr>
        <w:t>the</w:t>
      </w:r>
      <w:r>
        <w:rPr>
          <w:color w:val="333333"/>
          <w:spacing w:val="-14"/>
          <w:w w:val="110"/>
          <w:sz w:val="21"/>
        </w:rPr>
        <w:t xml:space="preserve"> </w:t>
      </w:r>
      <w:r>
        <w:rPr>
          <w:color w:val="333333"/>
          <w:w w:val="110"/>
          <w:sz w:val="21"/>
        </w:rPr>
        <w:t>main</w:t>
      </w:r>
      <w:r>
        <w:rPr>
          <w:color w:val="333333"/>
          <w:spacing w:val="-15"/>
          <w:w w:val="110"/>
          <w:sz w:val="21"/>
        </w:rPr>
        <w:t xml:space="preserve"> </w:t>
      </w:r>
      <w:r>
        <w:rPr>
          <w:color w:val="333333"/>
          <w:w w:val="110"/>
          <w:sz w:val="21"/>
        </w:rPr>
        <w:t>class.</w:t>
      </w:r>
    </w:p>
    <w:p w14:paraId="583AD60E" w14:textId="77777777" w:rsidR="00A720EB" w:rsidRDefault="00A720EB">
      <w:pPr>
        <w:rPr>
          <w:sz w:val="21"/>
        </w:rPr>
        <w:sectPr w:rsidR="00A720EB">
          <w:pgSz w:w="11910" w:h="16840"/>
          <w:pgMar w:top="640" w:right="840" w:bottom="520" w:left="840" w:header="0" w:footer="323" w:gutter="0"/>
          <w:cols w:space="720"/>
        </w:sectPr>
      </w:pPr>
    </w:p>
    <w:p w14:paraId="6432C155" w14:textId="77777777" w:rsidR="00A720EB" w:rsidRDefault="0030286B">
      <w:pPr>
        <w:pStyle w:val="a6"/>
        <w:numPr>
          <w:ilvl w:val="0"/>
          <w:numId w:val="69"/>
        </w:numPr>
        <w:tabs>
          <w:tab w:val="left" w:pos="485"/>
        </w:tabs>
        <w:spacing w:before="91"/>
        <w:rPr>
          <w:sz w:val="21"/>
        </w:rPr>
      </w:pPr>
      <w:r>
        <w:rPr>
          <w:color w:val="333333"/>
          <w:w w:val="105"/>
          <w:sz w:val="21"/>
        </w:rPr>
        <w:lastRenderedPageBreak/>
        <w:t xml:space="preserve">Add </w:t>
      </w:r>
      <w:r>
        <w:rPr>
          <w:rFonts w:ascii="MS Gothic" w:hAnsi="MS Gothic"/>
          <w:color w:val="B02045"/>
          <w:w w:val="105"/>
          <w:sz w:val="21"/>
        </w:rPr>
        <w:t xml:space="preserve">https://myapp.cfapps.io </w:t>
      </w:r>
      <w:r>
        <w:rPr>
          <w:color w:val="333333"/>
          <w:w w:val="105"/>
          <w:sz w:val="21"/>
        </w:rPr>
        <w:t xml:space="preserve">to the </w:t>
      </w:r>
      <w:r>
        <w:rPr>
          <w:rFonts w:ascii="MS Gothic" w:hAnsi="MS Gothic"/>
          <w:color w:val="B02045"/>
          <w:w w:val="105"/>
          <w:sz w:val="21"/>
        </w:rPr>
        <w:t>Program arguments</w:t>
      </w:r>
      <w:r>
        <w:rPr>
          <w:rFonts w:ascii="MS Gothic" w:hAnsi="MS Gothic"/>
          <w:color w:val="B02045"/>
          <w:spacing w:val="-94"/>
          <w:w w:val="105"/>
          <w:sz w:val="21"/>
        </w:rPr>
        <w:t xml:space="preserve"> </w:t>
      </w:r>
      <w:r>
        <w:rPr>
          <w:color w:val="333333"/>
          <w:w w:val="105"/>
          <w:sz w:val="21"/>
        </w:rPr>
        <w:t>(or whatever your remote URL is).</w:t>
      </w:r>
    </w:p>
    <w:p w14:paraId="0A2FC973" w14:textId="77777777" w:rsidR="00A720EB" w:rsidRDefault="00A720EB">
      <w:pPr>
        <w:pStyle w:val="a3"/>
        <w:spacing w:before="4"/>
        <w:rPr>
          <w:sz w:val="25"/>
        </w:rPr>
      </w:pPr>
    </w:p>
    <w:p w14:paraId="66500602" w14:textId="77777777" w:rsidR="00A720EB" w:rsidRDefault="0030286B">
      <w:pPr>
        <w:pStyle w:val="a3"/>
        <w:ind w:left="124"/>
      </w:pPr>
      <w:r>
        <w:rPr>
          <w:color w:val="333333"/>
          <w:w w:val="110"/>
        </w:rPr>
        <w:t>A running remote client might resemble the following listing:</w:t>
      </w:r>
    </w:p>
    <w:p w14:paraId="270374A3" w14:textId="77777777" w:rsidR="00A720EB" w:rsidRDefault="00A720EB">
      <w:pPr>
        <w:pStyle w:val="a3"/>
        <w:rPr>
          <w:sz w:val="20"/>
        </w:rPr>
      </w:pPr>
    </w:p>
    <w:p w14:paraId="4A9E58FF" w14:textId="77777777" w:rsidR="00A720EB" w:rsidRDefault="00A720EB">
      <w:pPr>
        <w:pStyle w:val="a3"/>
        <w:spacing w:before="2"/>
        <w:rPr>
          <w:sz w:val="23"/>
        </w:rPr>
      </w:pPr>
    </w:p>
    <w:p w14:paraId="37C908ED" w14:textId="77777777" w:rsidR="00A720EB" w:rsidRDefault="00E10349">
      <w:pPr>
        <w:tabs>
          <w:tab w:val="left" w:pos="1004"/>
          <w:tab w:val="left" w:pos="1544"/>
          <w:tab w:val="left" w:pos="2544"/>
          <w:tab w:val="left" w:pos="7714"/>
        </w:tabs>
        <w:spacing w:line="278" w:lineRule="exact"/>
        <w:ind w:left="564"/>
        <w:rPr>
          <w:rFonts w:ascii="MS Gothic"/>
        </w:rPr>
      </w:pPr>
      <w:r>
        <w:pict w14:anchorId="05FEAD4C">
          <v:group id="_x0000_s4731" style="position:absolute;left:0;text-align:left;margin-left:47.85pt;margin-top:-12.2pt;width:499.55pt;height:391.25pt;z-index:-41730560;mso-position-horizontal-relative:page" coordorigin="957,-244" coordsize="9991,7825">
            <v:shape id="_x0000_s4733" style="position:absolute;left:964;top:-237;width:9976;height:7810" coordorigin="965,-236" coordsize="9976,7810" path="m10861,-236r-9816,l1014,-230r-26,17l971,-188r-6,32l965,7494r6,31l988,7550r26,17l1045,7574r9816,l10892,7567r25,-17l10935,7525r6,-31l10941,-156r-6,-32l10917,-213r-25,-17l10861,-236xe" fillcolor="#f5f5f5" stroked="f">
              <v:path arrowok="t"/>
            </v:shape>
            <v:shape id="_x0000_s4732" style="position:absolute;left:964;top:-237;width:9976;height:7810" coordorigin="965,-236" coordsize="9976,7810" path="m1045,-236r9816,l10892,-230r25,17l10935,-188r6,32l10941,7494r-6,31l10917,7550r-25,17l10861,7574r-9816,l1014,7567r-26,-17l971,7525r-6,-31l965,-156r6,-32l988,-213r26,-17l1045,-236xe" filled="f" strokecolor="#ccc">
              <v:path arrowok="t"/>
            </v:shape>
            <w10:wrap anchorx="page"/>
          </v:group>
        </w:pict>
      </w:r>
      <w:r w:rsidR="0030286B">
        <w:rPr>
          <w:rFonts w:ascii="MS Gothic"/>
          <w:color w:val="333333"/>
        </w:rPr>
        <w:t>.</w:t>
      </w:r>
      <w:r w:rsidR="0030286B">
        <w:rPr>
          <w:rFonts w:ascii="MS Gothic"/>
          <w:color w:val="333333"/>
        </w:rPr>
        <w:tab/>
      </w:r>
      <w:r w:rsidR="0030286B">
        <w:rPr>
          <w:rFonts w:ascii="MS Gothic"/>
          <w:color w:val="333333"/>
          <w:u w:val="single" w:color="323232"/>
        </w:rPr>
        <w:tab/>
      </w:r>
      <w:r w:rsidR="0030286B">
        <w:rPr>
          <w:rFonts w:ascii="MS Gothic"/>
          <w:color w:val="333333"/>
        </w:rPr>
        <w:tab/>
        <w:t>_</w:t>
      </w:r>
      <w:r w:rsidR="0030286B">
        <w:rPr>
          <w:rFonts w:ascii="MS Gothic"/>
          <w:color w:val="333333"/>
        </w:rPr>
        <w:tab/>
        <w:t>_ _</w:t>
      </w:r>
    </w:p>
    <w:p w14:paraId="36684138" w14:textId="77777777" w:rsidR="00A720EB" w:rsidRDefault="0030286B">
      <w:pPr>
        <w:tabs>
          <w:tab w:val="left" w:pos="1444"/>
          <w:tab w:val="left" w:pos="4964"/>
          <w:tab w:val="left" w:pos="5394"/>
          <w:tab w:val="left" w:pos="6944"/>
          <w:tab w:val="left" w:pos="7714"/>
        </w:tabs>
        <w:spacing w:before="17" w:line="278" w:lineRule="exact"/>
        <w:ind w:left="454"/>
        <w:rPr>
          <w:rFonts w:ascii="MS Gothic"/>
        </w:rPr>
      </w:pPr>
      <w:r>
        <w:rPr>
          <w:rFonts w:ascii="MS Gothic"/>
          <w:color w:val="333333"/>
        </w:rPr>
        <w:t>/\\ /</w:t>
      </w:r>
      <w:r>
        <w:rPr>
          <w:rFonts w:ascii="MS Gothic"/>
          <w:color w:val="333333"/>
          <w:u w:val="single" w:color="323232"/>
        </w:rPr>
        <w:tab/>
      </w:r>
      <w:r>
        <w:rPr>
          <w:rFonts w:ascii="MS Gothic"/>
          <w:color w:val="333333"/>
        </w:rPr>
        <w:t xml:space="preserve">'_ </w:t>
      </w:r>
      <w:r>
        <w:rPr>
          <w:rFonts w:ascii="MS Gothic"/>
          <w:color w:val="333333"/>
          <w:u w:val="single" w:color="323232"/>
        </w:rPr>
        <w:t xml:space="preserve">   </w:t>
      </w:r>
      <w:r>
        <w:rPr>
          <w:rFonts w:ascii="MS Gothic"/>
          <w:color w:val="333333"/>
        </w:rPr>
        <w:t>_</w:t>
      </w:r>
      <w:r>
        <w:rPr>
          <w:rFonts w:ascii="MS Gothic"/>
          <w:color w:val="333333"/>
          <w:spacing w:val="-10"/>
        </w:rPr>
        <w:t xml:space="preserve"> </w:t>
      </w:r>
      <w:r>
        <w:rPr>
          <w:rFonts w:ascii="MS Gothic"/>
          <w:color w:val="333333"/>
        </w:rPr>
        <w:t>_(_)_</w:t>
      </w:r>
      <w:r>
        <w:rPr>
          <w:rFonts w:ascii="MS Gothic"/>
          <w:color w:val="333333"/>
          <w:u w:val="single" w:color="323232"/>
        </w:rPr>
        <w:t xml:space="preserve">   </w:t>
      </w:r>
      <w:r>
        <w:rPr>
          <w:rFonts w:ascii="MS Gothic"/>
          <w:color w:val="333333"/>
        </w:rPr>
        <w:t xml:space="preserve"> </w:t>
      </w:r>
      <w:r>
        <w:rPr>
          <w:rFonts w:ascii="MS Gothic"/>
          <w:color w:val="333333"/>
          <w:u w:val="single" w:color="323232"/>
        </w:rPr>
        <w:t xml:space="preserve">  </w:t>
      </w:r>
      <w:r>
        <w:rPr>
          <w:rFonts w:ascii="MS Gothic"/>
          <w:color w:val="333333"/>
          <w:spacing w:val="100"/>
          <w:u w:val="single" w:color="323232"/>
        </w:rPr>
        <w:t xml:space="preserve"> </w:t>
      </w:r>
      <w:r>
        <w:rPr>
          <w:rFonts w:ascii="MS Gothic"/>
          <w:color w:val="333333"/>
        </w:rPr>
        <w:t>_</w:t>
      </w:r>
      <w:r>
        <w:rPr>
          <w:rFonts w:ascii="MS Gothic"/>
          <w:color w:val="333333"/>
        </w:rPr>
        <w:tab/>
      </w:r>
      <w:r>
        <w:rPr>
          <w:rFonts w:ascii="MS Gothic"/>
          <w:color w:val="333333"/>
          <w:u w:val="single" w:color="323232"/>
        </w:rPr>
        <w:tab/>
      </w:r>
      <w:r>
        <w:rPr>
          <w:rFonts w:ascii="MS Gothic"/>
          <w:color w:val="333333"/>
        </w:rPr>
        <w:tab/>
        <w:t>_</w:t>
      </w:r>
      <w:r>
        <w:rPr>
          <w:rFonts w:ascii="MS Gothic"/>
          <w:color w:val="333333"/>
        </w:rPr>
        <w:tab/>
        <w:t>\ \ \ \</w:t>
      </w:r>
    </w:p>
    <w:p w14:paraId="589AC201" w14:textId="77777777" w:rsidR="00A720EB" w:rsidRDefault="0030286B">
      <w:pPr>
        <w:tabs>
          <w:tab w:val="left" w:pos="1434"/>
          <w:tab w:val="left" w:pos="4854"/>
          <w:tab w:val="left" w:pos="5834"/>
          <w:tab w:val="left" w:pos="6834"/>
          <w:tab w:val="left" w:pos="7814"/>
        </w:tabs>
        <w:spacing w:before="16"/>
        <w:ind w:left="344"/>
        <w:rPr>
          <w:rFonts w:ascii="MS Gothic"/>
        </w:rPr>
      </w:pPr>
      <w:r>
        <w:rPr>
          <w:rFonts w:ascii="MS Gothic"/>
          <w:color w:val="333333"/>
        </w:rPr>
        <w:t>( ( )\</w:t>
      </w:r>
      <w:r>
        <w:rPr>
          <w:rFonts w:ascii="MS Gothic"/>
          <w:color w:val="333333"/>
          <w:u w:val="single" w:color="323232"/>
        </w:rPr>
        <w:tab/>
      </w:r>
      <w:r>
        <w:rPr>
          <w:rFonts w:ascii="MS Gothic"/>
          <w:color w:val="333333"/>
        </w:rPr>
        <w:t>| '_ | '_| | '_ \/ _` |</w:t>
      </w:r>
      <w:r>
        <w:rPr>
          <w:rFonts w:ascii="MS Gothic"/>
          <w:color w:val="333333"/>
        </w:rPr>
        <w:tab/>
        <w:t>| _ \</w:t>
      </w:r>
      <w:r>
        <w:rPr>
          <w:rFonts w:ascii="MS Gothic"/>
          <w:color w:val="333333"/>
          <w:u w:val="single" w:color="323232"/>
        </w:rPr>
        <w:tab/>
      </w:r>
      <w:r>
        <w:rPr>
          <w:rFonts w:ascii="MS Gothic"/>
          <w:color w:val="333333"/>
        </w:rPr>
        <w:t>_</w:t>
      </w:r>
      <w:r>
        <w:rPr>
          <w:rFonts w:ascii="MS Gothic"/>
          <w:color w:val="333333"/>
          <w:u w:val="single" w:color="323232"/>
        </w:rPr>
        <w:tab/>
      </w:r>
      <w:r>
        <w:rPr>
          <w:rFonts w:ascii="MS Gothic"/>
          <w:color w:val="333333"/>
        </w:rPr>
        <w:t>| |_</w:t>
      </w:r>
      <w:r>
        <w:rPr>
          <w:rFonts w:ascii="MS Gothic"/>
          <w:color w:val="333333"/>
          <w:u w:val="single" w:color="323232"/>
        </w:rPr>
        <w:tab/>
      </w:r>
      <w:r>
        <w:rPr>
          <w:rFonts w:ascii="MS Gothic"/>
          <w:color w:val="333333"/>
        </w:rPr>
        <w:t>\ \ \ \</w:t>
      </w:r>
    </w:p>
    <w:p w14:paraId="44119733" w14:textId="77777777" w:rsidR="00A720EB" w:rsidRDefault="0030286B">
      <w:pPr>
        <w:tabs>
          <w:tab w:val="left" w:pos="894"/>
          <w:tab w:val="left" w:pos="1004"/>
          <w:tab w:val="left" w:pos="1334"/>
          <w:tab w:val="left" w:pos="1444"/>
          <w:tab w:val="left" w:pos="4854"/>
          <w:tab w:val="left" w:pos="5294"/>
          <w:tab w:val="left" w:pos="5734"/>
          <w:tab w:val="left" w:pos="6284"/>
          <w:tab w:val="left" w:pos="6834"/>
          <w:tab w:val="left" w:pos="7164"/>
          <w:tab w:val="left" w:pos="7714"/>
        </w:tabs>
        <w:spacing w:before="13" w:line="252" w:lineRule="auto"/>
        <w:ind w:left="564" w:right="1518" w:hanging="110"/>
        <w:rPr>
          <w:rFonts w:ascii="MS Gothic"/>
        </w:rPr>
      </w:pPr>
      <w:r>
        <w:rPr>
          <w:rFonts w:ascii="MS Gothic"/>
          <w:color w:val="333333"/>
        </w:rPr>
        <w:t>\\/</w:t>
      </w:r>
      <w:r>
        <w:rPr>
          <w:rFonts w:ascii="MS Gothic"/>
          <w:color w:val="333333"/>
        </w:rPr>
        <w:tab/>
      </w:r>
      <w:r>
        <w:rPr>
          <w:rFonts w:ascii="MS Gothic"/>
          <w:color w:val="333333"/>
        </w:rPr>
        <w:tab/>
      </w:r>
      <w:r>
        <w:rPr>
          <w:rFonts w:ascii="MS Gothic"/>
          <w:color w:val="333333"/>
          <w:u w:val="single" w:color="323232"/>
        </w:rPr>
        <w:tab/>
      </w:r>
      <w:r>
        <w:rPr>
          <w:rFonts w:ascii="MS Gothic"/>
          <w:color w:val="333333"/>
        </w:rPr>
        <w:t>)| |_)| | | | | || (_| []::::::[]</w:t>
      </w:r>
      <w:r>
        <w:rPr>
          <w:rFonts w:ascii="MS Gothic"/>
          <w:color w:val="333333"/>
        </w:rPr>
        <w:tab/>
        <w:t>/ -_) '</w:t>
      </w:r>
      <w:r>
        <w:rPr>
          <w:rFonts w:ascii="MS Gothic"/>
          <w:color w:val="333333"/>
        </w:rPr>
        <w:tab/>
        <w:t>\/ _ \</w:t>
      </w:r>
      <w:r>
        <w:rPr>
          <w:rFonts w:ascii="MS Gothic"/>
          <w:color w:val="333333"/>
        </w:rPr>
        <w:tab/>
        <w:t xml:space="preserve">_/ -_) ) ) ) </w:t>
      </w:r>
      <w:r>
        <w:rPr>
          <w:rFonts w:ascii="MS Gothic"/>
          <w:color w:val="333333"/>
          <w:spacing w:val="-17"/>
        </w:rPr>
        <w:t xml:space="preserve">) </w:t>
      </w:r>
      <w:r>
        <w:rPr>
          <w:rFonts w:ascii="MS Gothic"/>
          <w:color w:val="333333"/>
        </w:rPr>
        <w:t>'</w:t>
      </w:r>
      <w:r>
        <w:rPr>
          <w:rFonts w:ascii="MS Gothic"/>
          <w:color w:val="333333"/>
        </w:rPr>
        <w:tab/>
        <w:t>|</w:t>
      </w:r>
      <w:r>
        <w:rPr>
          <w:rFonts w:ascii="MS Gothic"/>
          <w:color w:val="333333"/>
          <w:u w:val="single" w:color="323232"/>
        </w:rPr>
        <w:tab/>
      </w:r>
      <w:r>
        <w:rPr>
          <w:rFonts w:ascii="MS Gothic"/>
          <w:color w:val="333333"/>
          <w:u w:val="single" w:color="323232"/>
        </w:rPr>
        <w:tab/>
      </w:r>
      <w:r>
        <w:rPr>
          <w:rFonts w:ascii="MS Gothic"/>
          <w:color w:val="333333"/>
          <w:u w:val="single" w:color="323232"/>
        </w:rPr>
        <w:tab/>
      </w:r>
      <w:r>
        <w:rPr>
          <w:rFonts w:ascii="MS Gothic"/>
          <w:color w:val="333333"/>
        </w:rPr>
        <w:t>| .</w:t>
      </w:r>
      <w:r>
        <w:rPr>
          <w:rFonts w:ascii="MS Gothic"/>
          <w:color w:val="333333"/>
          <w:u w:val="single" w:color="323232"/>
        </w:rPr>
        <w:t xml:space="preserve">  </w:t>
      </w:r>
      <w:r>
        <w:rPr>
          <w:rFonts w:ascii="MS Gothic"/>
          <w:color w:val="333333"/>
        </w:rPr>
        <w:t>|_| |_|_| |_\</w:t>
      </w:r>
      <w:r>
        <w:rPr>
          <w:rFonts w:ascii="MS Gothic"/>
          <w:color w:val="333333"/>
          <w:u w:val="single" w:color="323232"/>
        </w:rPr>
        <w:t xml:space="preserve">  </w:t>
      </w:r>
      <w:r>
        <w:rPr>
          <w:rFonts w:ascii="MS Gothic"/>
          <w:color w:val="333333"/>
        </w:rPr>
        <w:t>, |</w:t>
      </w:r>
      <w:r>
        <w:rPr>
          <w:rFonts w:ascii="MS Gothic"/>
          <w:color w:val="333333"/>
        </w:rPr>
        <w:tab/>
        <w:t>|_|_\</w:t>
      </w:r>
      <w:r>
        <w:rPr>
          <w:rFonts w:ascii="MS Gothic"/>
          <w:color w:val="333333"/>
          <w:u w:val="single" w:color="323232"/>
        </w:rPr>
        <w:tab/>
      </w:r>
      <w:r>
        <w:rPr>
          <w:rFonts w:ascii="MS Gothic"/>
          <w:color w:val="333333"/>
        </w:rPr>
        <w:t>|_|_|_\</w:t>
      </w:r>
      <w:r>
        <w:rPr>
          <w:rFonts w:ascii="MS Gothic"/>
          <w:color w:val="333333"/>
          <w:u w:val="single" w:color="323232"/>
        </w:rPr>
        <w:tab/>
      </w:r>
      <w:r>
        <w:rPr>
          <w:rFonts w:ascii="MS Gothic"/>
          <w:color w:val="333333"/>
        </w:rPr>
        <w:t>/\</w:t>
      </w:r>
      <w:r>
        <w:rPr>
          <w:rFonts w:ascii="MS Gothic"/>
          <w:color w:val="333333"/>
          <w:u w:val="single" w:color="323232"/>
        </w:rPr>
        <w:t xml:space="preserve">  </w:t>
      </w:r>
      <w:r>
        <w:rPr>
          <w:rFonts w:ascii="MS Gothic"/>
          <w:color w:val="333333"/>
        </w:rPr>
        <w:t>\</w:t>
      </w:r>
      <w:r>
        <w:rPr>
          <w:rFonts w:ascii="MS Gothic"/>
          <w:color w:val="333333"/>
          <w:u w:val="single" w:color="323232"/>
        </w:rPr>
        <w:tab/>
      </w:r>
      <w:r>
        <w:rPr>
          <w:rFonts w:ascii="MS Gothic"/>
          <w:color w:val="333333"/>
        </w:rPr>
        <w:t>|/ / / /</w:t>
      </w:r>
    </w:p>
    <w:p w14:paraId="71E25C83" w14:textId="77777777" w:rsidR="00A720EB" w:rsidRDefault="0030286B">
      <w:pPr>
        <w:tabs>
          <w:tab w:val="left" w:pos="3754"/>
        </w:tabs>
        <w:spacing w:line="280" w:lineRule="exact"/>
        <w:ind w:left="454"/>
        <w:rPr>
          <w:rFonts w:ascii="MS Gothic"/>
        </w:rPr>
      </w:pPr>
      <w:r>
        <w:rPr>
          <w:rFonts w:ascii="MS Gothic"/>
          <w:color w:val="333333"/>
        </w:rPr>
        <w:t>=========|_|==============|</w:t>
      </w:r>
      <w:r>
        <w:rPr>
          <w:rFonts w:ascii="MS Gothic"/>
          <w:color w:val="333333"/>
          <w:u w:val="single" w:color="323232"/>
        </w:rPr>
        <w:tab/>
      </w:r>
      <w:r>
        <w:rPr>
          <w:rFonts w:ascii="MS Gothic"/>
          <w:color w:val="333333"/>
        </w:rPr>
        <w:t>/===================================/_/_/_/</w:t>
      </w:r>
    </w:p>
    <w:p w14:paraId="1403F764" w14:textId="77777777" w:rsidR="00A720EB" w:rsidRDefault="0030286B">
      <w:pPr>
        <w:spacing w:before="13"/>
        <w:ind w:left="454"/>
        <w:rPr>
          <w:rFonts w:ascii="MS Gothic"/>
        </w:rPr>
      </w:pPr>
      <w:proofErr w:type="gramStart"/>
      <w:r>
        <w:rPr>
          <w:rFonts w:ascii="MS Gothic"/>
          <w:color w:val="333333"/>
        </w:rPr>
        <w:t>::</w:t>
      </w:r>
      <w:proofErr w:type="gramEnd"/>
      <w:r>
        <w:rPr>
          <w:rFonts w:ascii="MS Gothic"/>
          <w:color w:val="333333"/>
        </w:rPr>
        <w:t xml:space="preserve"> Spring Boot Remote :: 2.3.4.RELEASE</w:t>
      </w:r>
    </w:p>
    <w:p w14:paraId="77367D15" w14:textId="77777777" w:rsidR="00A720EB" w:rsidRDefault="00A720EB">
      <w:pPr>
        <w:pStyle w:val="a3"/>
        <w:rPr>
          <w:rFonts w:ascii="MS Gothic"/>
          <w:sz w:val="24"/>
        </w:rPr>
      </w:pPr>
    </w:p>
    <w:p w14:paraId="006992F5" w14:textId="77777777" w:rsidR="00A720EB" w:rsidRDefault="0030286B">
      <w:pPr>
        <w:tabs>
          <w:tab w:val="left" w:pos="3094"/>
          <w:tab w:val="left" w:pos="6064"/>
        </w:tabs>
        <w:ind w:left="344"/>
        <w:rPr>
          <w:rFonts w:ascii="MS Gothic"/>
        </w:rPr>
      </w:pPr>
      <w:r>
        <w:rPr>
          <w:rFonts w:ascii="MS Gothic"/>
          <w:color w:val="333333"/>
        </w:rPr>
        <w:t>2015-06-10 18:25:06.632</w:t>
      </w:r>
      <w:r>
        <w:rPr>
          <w:rFonts w:ascii="MS Gothic"/>
          <w:color w:val="333333"/>
        </w:rPr>
        <w:tab/>
        <w:t>INFO 14938 --- [</w:t>
      </w:r>
      <w:r>
        <w:rPr>
          <w:rFonts w:ascii="MS Gothic"/>
          <w:color w:val="333333"/>
        </w:rPr>
        <w:tab/>
        <w:t>main]</w:t>
      </w:r>
    </w:p>
    <w:p w14:paraId="6D376C16" w14:textId="77777777" w:rsidR="00A720EB" w:rsidRDefault="0030286B">
      <w:pPr>
        <w:tabs>
          <w:tab w:val="left" w:pos="4854"/>
        </w:tabs>
        <w:spacing w:before="13" w:line="252" w:lineRule="auto"/>
        <w:ind w:left="344" w:right="638"/>
        <w:rPr>
          <w:rFonts w:ascii="MS Gothic"/>
        </w:rPr>
      </w:pPr>
      <w:r>
        <w:rPr>
          <w:rFonts w:ascii="MS Gothic"/>
          <w:color w:val="333333"/>
        </w:rPr>
        <w:t>o.s.</w:t>
      </w:r>
      <w:proofErr w:type="gramStart"/>
      <w:r>
        <w:rPr>
          <w:rFonts w:ascii="MS Gothic"/>
          <w:color w:val="333333"/>
        </w:rPr>
        <w:t>b.devtools</w:t>
      </w:r>
      <w:proofErr w:type="gramEnd"/>
      <w:r>
        <w:rPr>
          <w:rFonts w:ascii="MS Gothic"/>
          <w:color w:val="333333"/>
        </w:rPr>
        <w:t>.RemoteSpringApplication</w:t>
      </w:r>
      <w:r>
        <w:rPr>
          <w:rFonts w:ascii="MS Gothic"/>
          <w:color w:val="333333"/>
        </w:rPr>
        <w:tab/>
        <w:t xml:space="preserve">: Starting RemoteSpringApplication on </w:t>
      </w:r>
      <w:r>
        <w:rPr>
          <w:rFonts w:ascii="MS Gothic"/>
          <w:color w:val="333333"/>
          <w:spacing w:val="-4"/>
        </w:rPr>
        <w:t xml:space="preserve">pwmbp </w:t>
      </w:r>
      <w:r>
        <w:rPr>
          <w:rFonts w:ascii="MS Gothic"/>
          <w:color w:val="333333"/>
        </w:rPr>
        <w:t>with PID 14938 (/Users/pwebb/projects/spring-boot/code/spring-boot-project/spring- boot-devtools/target/classes started by pwebb in /Users/pwebb/projects/spring- boot/code)</w:t>
      </w:r>
    </w:p>
    <w:p w14:paraId="023A72D8" w14:textId="77777777" w:rsidR="00A720EB" w:rsidRDefault="0030286B">
      <w:pPr>
        <w:tabs>
          <w:tab w:val="left" w:pos="3094"/>
          <w:tab w:val="left" w:pos="6064"/>
        </w:tabs>
        <w:spacing w:line="277" w:lineRule="exact"/>
        <w:ind w:left="344"/>
        <w:rPr>
          <w:rFonts w:ascii="MS Gothic"/>
        </w:rPr>
      </w:pPr>
      <w:r>
        <w:rPr>
          <w:rFonts w:ascii="MS Gothic"/>
          <w:color w:val="333333"/>
        </w:rPr>
        <w:t>2015-06-10 18:25:06.671</w:t>
      </w:r>
      <w:r>
        <w:rPr>
          <w:rFonts w:ascii="MS Gothic"/>
          <w:color w:val="333333"/>
        </w:rPr>
        <w:tab/>
        <w:t>INFO 14938 --- [</w:t>
      </w:r>
      <w:r>
        <w:rPr>
          <w:rFonts w:ascii="MS Gothic"/>
          <w:color w:val="333333"/>
        </w:rPr>
        <w:tab/>
        <w:t>main]</w:t>
      </w:r>
    </w:p>
    <w:p w14:paraId="17548B15" w14:textId="77777777" w:rsidR="00A720EB" w:rsidRDefault="0030286B">
      <w:pPr>
        <w:spacing w:before="13" w:line="252" w:lineRule="auto"/>
        <w:ind w:left="344" w:right="736"/>
        <w:rPr>
          <w:rFonts w:ascii="MS Gothic"/>
        </w:rPr>
      </w:pPr>
      <w:r>
        <w:rPr>
          <w:rFonts w:ascii="MS Gothic"/>
          <w:color w:val="333333"/>
        </w:rPr>
        <w:t>s.c.</w:t>
      </w:r>
      <w:proofErr w:type="gramStart"/>
      <w:r>
        <w:rPr>
          <w:rFonts w:ascii="MS Gothic"/>
          <w:color w:val="333333"/>
        </w:rPr>
        <w:t>a.AnnotationConfigApplicationContext</w:t>
      </w:r>
      <w:proofErr w:type="gramEnd"/>
      <w:r>
        <w:rPr>
          <w:rFonts w:ascii="MS Gothic"/>
          <w:color w:val="333333"/>
        </w:rPr>
        <w:t xml:space="preserve"> : Refreshing org.springframework.context.annotation.AnnotationConfigApplicationContext@2a17b7b6: startup date [Wed Jun 10 18:25:06 PDT 2015]; root of context hierarchy</w:t>
      </w:r>
    </w:p>
    <w:p w14:paraId="21686A77" w14:textId="77777777" w:rsidR="00A720EB" w:rsidRDefault="0030286B">
      <w:pPr>
        <w:tabs>
          <w:tab w:val="left" w:pos="3094"/>
          <w:tab w:val="left" w:pos="6064"/>
        </w:tabs>
        <w:spacing w:line="278" w:lineRule="exact"/>
        <w:ind w:left="344"/>
        <w:rPr>
          <w:rFonts w:ascii="MS Gothic"/>
        </w:rPr>
      </w:pPr>
      <w:r>
        <w:rPr>
          <w:rFonts w:ascii="MS Gothic"/>
          <w:color w:val="333333"/>
        </w:rPr>
        <w:t>2015-06-10 18:25:07.043</w:t>
      </w:r>
      <w:r>
        <w:rPr>
          <w:rFonts w:ascii="MS Gothic"/>
          <w:color w:val="333333"/>
        </w:rPr>
        <w:tab/>
        <w:t>WARN 14938 --- [</w:t>
      </w:r>
      <w:r>
        <w:rPr>
          <w:rFonts w:ascii="MS Gothic"/>
          <w:color w:val="333333"/>
        </w:rPr>
        <w:tab/>
        <w:t>main]</w:t>
      </w:r>
    </w:p>
    <w:p w14:paraId="3DC92CCD" w14:textId="77777777" w:rsidR="00A720EB" w:rsidRDefault="0030286B">
      <w:pPr>
        <w:tabs>
          <w:tab w:val="left" w:pos="4854"/>
        </w:tabs>
        <w:spacing w:before="13" w:line="252" w:lineRule="auto"/>
        <w:ind w:left="344" w:right="528"/>
        <w:rPr>
          <w:rFonts w:ascii="MS Gothic"/>
        </w:rPr>
      </w:pPr>
      <w:r>
        <w:rPr>
          <w:rFonts w:ascii="MS Gothic"/>
          <w:color w:val="333333"/>
        </w:rPr>
        <w:t>o.s.b.d.r.</w:t>
      </w:r>
      <w:proofErr w:type="gramStart"/>
      <w:r>
        <w:rPr>
          <w:rFonts w:ascii="MS Gothic"/>
          <w:color w:val="333333"/>
        </w:rPr>
        <w:t>c.RemoteClientConfiguration</w:t>
      </w:r>
      <w:proofErr w:type="gramEnd"/>
      <w:r>
        <w:rPr>
          <w:rFonts w:ascii="MS Gothic"/>
          <w:color w:val="333333"/>
        </w:rPr>
        <w:tab/>
        <w:t xml:space="preserve">: The connection to http://localhost:8080 </w:t>
      </w:r>
      <w:r>
        <w:rPr>
          <w:rFonts w:ascii="MS Gothic"/>
          <w:color w:val="333333"/>
          <w:spacing w:val="-9"/>
        </w:rPr>
        <w:t xml:space="preserve">is </w:t>
      </w:r>
      <w:r>
        <w:rPr>
          <w:rFonts w:ascii="MS Gothic"/>
          <w:color w:val="333333"/>
        </w:rPr>
        <w:t>insecure. You should use a URL starting with 'https://'.</w:t>
      </w:r>
    </w:p>
    <w:p w14:paraId="69C87895" w14:textId="77777777" w:rsidR="00A720EB" w:rsidRDefault="0030286B">
      <w:pPr>
        <w:tabs>
          <w:tab w:val="left" w:pos="3094"/>
          <w:tab w:val="left" w:pos="6064"/>
        </w:tabs>
        <w:spacing w:line="280" w:lineRule="exact"/>
        <w:ind w:left="344"/>
        <w:rPr>
          <w:rFonts w:ascii="MS Gothic"/>
        </w:rPr>
      </w:pPr>
      <w:r>
        <w:rPr>
          <w:rFonts w:ascii="MS Gothic"/>
          <w:color w:val="333333"/>
        </w:rPr>
        <w:t>2015-06-10 18:25:07.074</w:t>
      </w:r>
      <w:r>
        <w:rPr>
          <w:rFonts w:ascii="MS Gothic"/>
          <w:color w:val="333333"/>
        </w:rPr>
        <w:tab/>
        <w:t>INFO 14938 --- [</w:t>
      </w:r>
      <w:r>
        <w:rPr>
          <w:rFonts w:ascii="MS Gothic"/>
          <w:color w:val="333333"/>
        </w:rPr>
        <w:tab/>
        <w:t>main]</w:t>
      </w:r>
    </w:p>
    <w:p w14:paraId="4AC6CA3D" w14:textId="77777777" w:rsidR="00A720EB" w:rsidRDefault="0030286B">
      <w:pPr>
        <w:tabs>
          <w:tab w:val="left" w:pos="3094"/>
          <w:tab w:val="left" w:pos="4854"/>
          <w:tab w:val="left" w:pos="6064"/>
        </w:tabs>
        <w:spacing w:before="13" w:line="252" w:lineRule="auto"/>
        <w:ind w:left="344" w:right="528"/>
        <w:rPr>
          <w:rFonts w:ascii="MS Gothic"/>
        </w:rPr>
      </w:pPr>
      <w:r>
        <w:rPr>
          <w:rFonts w:ascii="MS Gothic"/>
          <w:color w:val="333333"/>
        </w:rPr>
        <w:t>o.s.b.d.</w:t>
      </w:r>
      <w:proofErr w:type="gramStart"/>
      <w:r>
        <w:rPr>
          <w:rFonts w:ascii="MS Gothic"/>
          <w:color w:val="333333"/>
        </w:rPr>
        <w:t>a.OptionalLiveReloadServer</w:t>
      </w:r>
      <w:proofErr w:type="gramEnd"/>
      <w:r>
        <w:rPr>
          <w:rFonts w:ascii="MS Gothic"/>
          <w:color w:val="333333"/>
        </w:rPr>
        <w:tab/>
        <w:t xml:space="preserve">: LiveReload server is running on port </w:t>
      </w:r>
      <w:r>
        <w:rPr>
          <w:rFonts w:ascii="MS Gothic"/>
          <w:color w:val="333333"/>
          <w:spacing w:val="-4"/>
        </w:rPr>
        <w:t xml:space="preserve">35729 </w:t>
      </w:r>
      <w:r>
        <w:rPr>
          <w:rFonts w:ascii="MS Gothic"/>
          <w:color w:val="333333"/>
        </w:rPr>
        <w:t>2015-06-10 18:25:07.130</w:t>
      </w:r>
      <w:r>
        <w:rPr>
          <w:rFonts w:ascii="MS Gothic"/>
          <w:color w:val="333333"/>
        </w:rPr>
        <w:tab/>
        <w:t>INFO 14938 --- [</w:t>
      </w:r>
      <w:r>
        <w:rPr>
          <w:rFonts w:ascii="MS Gothic"/>
          <w:color w:val="333333"/>
        </w:rPr>
        <w:tab/>
      </w:r>
      <w:r>
        <w:rPr>
          <w:rFonts w:ascii="MS Gothic"/>
          <w:color w:val="333333"/>
        </w:rPr>
        <w:tab/>
        <w:t>main]</w:t>
      </w:r>
    </w:p>
    <w:p w14:paraId="47496565" w14:textId="77777777" w:rsidR="00A720EB" w:rsidRDefault="0030286B">
      <w:pPr>
        <w:tabs>
          <w:tab w:val="left" w:pos="4854"/>
        </w:tabs>
        <w:spacing w:line="252" w:lineRule="auto"/>
        <w:ind w:left="344" w:right="858"/>
        <w:rPr>
          <w:rFonts w:ascii="MS Gothic"/>
        </w:rPr>
      </w:pPr>
      <w:r>
        <w:rPr>
          <w:rFonts w:ascii="MS Gothic"/>
          <w:color w:val="333333"/>
        </w:rPr>
        <w:t>o.s.</w:t>
      </w:r>
      <w:proofErr w:type="gramStart"/>
      <w:r>
        <w:rPr>
          <w:rFonts w:ascii="MS Gothic"/>
          <w:color w:val="333333"/>
        </w:rPr>
        <w:t>b.devtools</w:t>
      </w:r>
      <w:proofErr w:type="gramEnd"/>
      <w:r>
        <w:rPr>
          <w:rFonts w:ascii="MS Gothic"/>
          <w:color w:val="333333"/>
        </w:rPr>
        <w:t>.RemoteSpringApplication</w:t>
      </w:r>
      <w:r>
        <w:rPr>
          <w:rFonts w:ascii="MS Gothic"/>
          <w:color w:val="333333"/>
        </w:rPr>
        <w:tab/>
        <w:t xml:space="preserve">: Started RemoteSpringApplication in </w:t>
      </w:r>
      <w:r>
        <w:rPr>
          <w:rFonts w:ascii="MS Gothic"/>
          <w:color w:val="333333"/>
          <w:spacing w:val="-5"/>
        </w:rPr>
        <w:t xml:space="preserve">0.74 </w:t>
      </w:r>
      <w:r>
        <w:rPr>
          <w:rFonts w:ascii="MS Gothic"/>
          <w:color w:val="333333"/>
        </w:rPr>
        <w:t>seconds (JVM running for 1.105)</w:t>
      </w:r>
    </w:p>
    <w:p w14:paraId="65C3A85C" w14:textId="77777777" w:rsidR="00A720EB" w:rsidRDefault="00A720EB">
      <w:pPr>
        <w:pStyle w:val="a3"/>
        <w:rPr>
          <w:rFonts w:ascii="MS Gothic"/>
          <w:sz w:val="20"/>
        </w:rPr>
      </w:pPr>
    </w:p>
    <w:p w14:paraId="1E1EB501" w14:textId="77777777" w:rsidR="00A720EB" w:rsidRDefault="00A720EB">
      <w:pPr>
        <w:pStyle w:val="a3"/>
        <w:spacing w:before="7"/>
        <w:rPr>
          <w:rFonts w:ascii="MS Gothic"/>
          <w:sz w:val="23"/>
        </w:rPr>
      </w:pPr>
    </w:p>
    <w:p w14:paraId="1B12AA34" w14:textId="77777777" w:rsidR="00A720EB" w:rsidRDefault="00E10349">
      <w:pPr>
        <w:pStyle w:val="a3"/>
        <w:spacing w:before="1" w:line="295" w:lineRule="auto"/>
        <w:ind w:left="1564" w:right="362"/>
        <w:jc w:val="both"/>
      </w:pPr>
      <w:r>
        <w:pict w14:anchorId="164AF568">
          <v:line id="_x0000_s4730" style="position:absolute;left:0;text-align:left;z-index:15804416;mso-position-horizontal-relative:page" from="108.25pt,-5.95pt" to="108.25pt,49.4pt" strokecolor="#ededed" strokeweight=".5pt">
            <w10:wrap anchorx="page"/>
          </v:line>
        </w:pict>
      </w:r>
      <w:r w:rsidR="0030286B">
        <w:rPr>
          <w:noProof/>
        </w:rPr>
        <w:drawing>
          <wp:anchor distT="0" distB="0" distL="0" distR="0" simplePos="0" relativeHeight="15804928" behindDoc="0" locked="0" layoutInCell="1" allowOverlap="1" wp14:anchorId="54B5647B" wp14:editId="4DDCAA62">
            <wp:simplePos x="0" y="0"/>
            <wp:positionH relativeFrom="page">
              <wp:posOffset>844422</wp:posOffset>
            </wp:positionH>
            <wp:positionV relativeFrom="paragraph">
              <wp:posOffset>126784</wp:posOffset>
            </wp:positionV>
            <wp:extent cx="298450" cy="29845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Because the remote client is using the same classpath as the real application it can directly</w:t>
      </w:r>
      <w:r w:rsidR="0030286B">
        <w:rPr>
          <w:color w:val="333333"/>
          <w:spacing w:val="-27"/>
          <w:w w:val="110"/>
        </w:rPr>
        <w:t xml:space="preserve"> </w:t>
      </w:r>
      <w:r w:rsidR="0030286B">
        <w:rPr>
          <w:color w:val="333333"/>
          <w:w w:val="110"/>
        </w:rPr>
        <w:t>read</w:t>
      </w:r>
      <w:r w:rsidR="0030286B">
        <w:rPr>
          <w:color w:val="333333"/>
          <w:spacing w:val="-26"/>
          <w:w w:val="110"/>
        </w:rPr>
        <w:t xml:space="preserve"> </w:t>
      </w:r>
      <w:r w:rsidR="0030286B">
        <w:rPr>
          <w:color w:val="333333"/>
          <w:w w:val="110"/>
        </w:rPr>
        <w:t>application</w:t>
      </w:r>
      <w:r w:rsidR="0030286B">
        <w:rPr>
          <w:color w:val="333333"/>
          <w:spacing w:val="-26"/>
          <w:w w:val="110"/>
        </w:rPr>
        <w:t xml:space="preserve"> </w:t>
      </w:r>
      <w:r w:rsidR="0030286B">
        <w:rPr>
          <w:color w:val="333333"/>
          <w:w w:val="110"/>
        </w:rPr>
        <w:t>properties.</w:t>
      </w:r>
      <w:r w:rsidR="0030286B">
        <w:rPr>
          <w:color w:val="333333"/>
          <w:spacing w:val="-26"/>
          <w:w w:val="110"/>
        </w:rPr>
        <w:t xml:space="preserve"> </w:t>
      </w:r>
      <w:r w:rsidR="0030286B">
        <w:rPr>
          <w:color w:val="333333"/>
          <w:w w:val="110"/>
        </w:rPr>
        <w:t>This</w:t>
      </w:r>
      <w:r w:rsidR="0030286B">
        <w:rPr>
          <w:color w:val="333333"/>
          <w:spacing w:val="-26"/>
          <w:w w:val="110"/>
        </w:rPr>
        <w:t xml:space="preserve"> </w:t>
      </w:r>
      <w:r w:rsidR="0030286B">
        <w:rPr>
          <w:color w:val="333333"/>
          <w:w w:val="110"/>
        </w:rPr>
        <w:t>is</w:t>
      </w:r>
      <w:r w:rsidR="0030286B">
        <w:rPr>
          <w:color w:val="333333"/>
          <w:spacing w:val="-26"/>
          <w:w w:val="110"/>
        </w:rPr>
        <w:t xml:space="preserve"> </w:t>
      </w:r>
      <w:r w:rsidR="0030286B">
        <w:rPr>
          <w:color w:val="333333"/>
          <w:w w:val="110"/>
        </w:rPr>
        <w:t>how</w:t>
      </w:r>
      <w:r w:rsidR="0030286B">
        <w:rPr>
          <w:color w:val="333333"/>
          <w:spacing w:val="-27"/>
          <w:w w:val="110"/>
        </w:rPr>
        <w:t xml:space="preserve"> </w:t>
      </w:r>
      <w:r w:rsidR="0030286B">
        <w:rPr>
          <w:color w:val="333333"/>
          <w:w w:val="110"/>
        </w:rPr>
        <w:t>the</w:t>
      </w:r>
      <w:r w:rsidR="0030286B">
        <w:rPr>
          <w:color w:val="333333"/>
          <w:spacing w:val="-21"/>
          <w:w w:val="110"/>
        </w:rPr>
        <w:t xml:space="preserve"> </w:t>
      </w:r>
      <w:proofErr w:type="gramStart"/>
      <w:r w:rsidR="0030286B">
        <w:rPr>
          <w:rFonts w:ascii="MS Gothic"/>
          <w:color w:val="B02045"/>
          <w:w w:val="110"/>
        </w:rPr>
        <w:t>spring.devtools</w:t>
      </w:r>
      <w:proofErr w:type="gramEnd"/>
      <w:r w:rsidR="0030286B">
        <w:rPr>
          <w:rFonts w:ascii="MS Gothic"/>
          <w:color w:val="B02045"/>
          <w:w w:val="110"/>
        </w:rPr>
        <w:t xml:space="preserve">.remote.secret </w:t>
      </w:r>
      <w:r w:rsidR="0030286B">
        <w:rPr>
          <w:color w:val="333333"/>
          <w:w w:val="110"/>
        </w:rPr>
        <w:t>property is read and passed to the server for</w:t>
      </w:r>
      <w:r w:rsidR="0030286B">
        <w:rPr>
          <w:color w:val="333333"/>
          <w:spacing w:val="30"/>
          <w:w w:val="110"/>
        </w:rPr>
        <w:t xml:space="preserve"> </w:t>
      </w:r>
      <w:r w:rsidR="0030286B">
        <w:rPr>
          <w:color w:val="333333"/>
          <w:w w:val="110"/>
        </w:rPr>
        <w:t>authentication.</w:t>
      </w:r>
    </w:p>
    <w:p w14:paraId="36184144" w14:textId="77777777" w:rsidR="00A720EB" w:rsidRDefault="00A720EB">
      <w:pPr>
        <w:pStyle w:val="a3"/>
        <w:rPr>
          <w:sz w:val="34"/>
        </w:rPr>
      </w:pPr>
    </w:p>
    <w:p w14:paraId="5B8CA644" w14:textId="77777777" w:rsidR="00A720EB" w:rsidRDefault="00E10349">
      <w:pPr>
        <w:pStyle w:val="a3"/>
        <w:spacing w:before="1" w:line="290" w:lineRule="auto"/>
        <w:ind w:left="1564" w:right="367"/>
        <w:jc w:val="both"/>
      </w:pPr>
      <w:r>
        <w:pict w14:anchorId="25815A6E">
          <v:line id="_x0000_s4729" style="position:absolute;left:0;text-align:left;z-index:15805440;mso-position-horizontal-relative:page" from="108.25pt,-5.4pt" to="108.25pt,34.15pt" strokecolor="#ededed" strokeweight=".5pt">
            <w10:wrap anchorx="page"/>
          </v:line>
        </w:pict>
      </w:r>
      <w:r w:rsidR="0030286B">
        <w:rPr>
          <w:noProof/>
        </w:rPr>
        <w:drawing>
          <wp:anchor distT="0" distB="0" distL="0" distR="0" simplePos="0" relativeHeight="15805952" behindDoc="0" locked="0" layoutInCell="1" allowOverlap="1" wp14:anchorId="6E76E5DB" wp14:editId="625CEFBA">
            <wp:simplePos x="0" y="0"/>
            <wp:positionH relativeFrom="page">
              <wp:posOffset>888949</wp:posOffset>
            </wp:positionH>
            <wp:positionV relativeFrom="paragraph">
              <wp:posOffset>30048</wp:posOffset>
            </wp:positionV>
            <wp:extent cx="209550" cy="304800"/>
            <wp:effectExtent l="0" t="0" r="0" b="0"/>
            <wp:wrapNone/>
            <wp:docPr id="9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It is always advisable to use </w:t>
      </w:r>
      <w:r w:rsidR="0030286B">
        <w:rPr>
          <w:rFonts w:ascii="MS Gothic"/>
          <w:color w:val="B02045"/>
          <w:w w:val="110"/>
        </w:rPr>
        <w:t xml:space="preserve">https:// </w:t>
      </w:r>
      <w:r w:rsidR="0030286B">
        <w:rPr>
          <w:color w:val="333333"/>
          <w:w w:val="110"/>
        </w:rPr>
        <w:t>as the connection protocol, so that traffic is encrypted and passwords cannot be intercepted.</w:t>
      </w:r>
    </w:p>
    <w:p w14:paraId="3DD3735E" w14:textId="77777777" w:rsidR="00A720EB" w:rsidRDefault="00A720EB">
      <w:pPr>
        <w:pStyle w:val="a3"/>
        <w:rPr>
          <w:sz w:val="25"/>
        </w:rPr>
      </w:pPr>
    </w:p>
    <w:p w14:paraId="73FDAFDE" w14:textId="77777777" w:rsidR="00A720EB" w:rsidRDefault="00E10349">
      <w:pPr>
        <w:pStyle w:val="a3"/>
        <w:tabs>
          <w:tab w:val="left" w:pos="6395"/>
        </w:tabs>
        <w:spacing w:before="125" w:line="295" w:lineRule="auto"/>
        <w:ind w:left="1564" w:right="362"/>
        <w:jc w:val="both"/>
      </w:pPr>
      <w:r>
        <w:pict w14:anchorId="2265A570">
          <v:line id="_x0000_s4728" style="position:absolute;left:0;text-align:left;z-index:15806464;mso-position-horizontal-relative:page" from="108.25pt,.25pt" to="108.25pt,55.6pt" strokecolor="#ededed" strokeweight=".5pt">
            <w10:wrap anchorx="page"/>
          </v:line>
        </w:pict>
      </w:r>
      <w:r w:rsidR="0030286B">
        <w:rPr>
          <w:noProof/>
        </w:rPr>
        <w:drawing>
          <wp:anchor distT="0" distB="0" distL="0" distR="0" simplePos="0" relativeHeight="15806976" behindDoc="0" locked="0" layoutInCell="1" allowOverlap="1" wp14:anchorId="30887E9F" wp14:editId="7F6E77CB">
            <wp:simplePos x="0" y="0"/>
            <wp:positionH relativeFrom="page">
              <wp:posOffset>888949</wp:posOffset>
            </wp:positionH>
            <wp:positionV relativeFrom="paragraph">
              <wp:posOffset>202349</wp:posOffset>
            </wp:positionV>
            <wp:extent cx="209550" cy="304800"/>
            <wp:effectExtent l="0" t="0" r="0" b="0"/>
            <wp:wrapNone/>
            <wp:docPr id="9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need to use a proxy to access the remote application, configure the </w:t>
      </w:r>
      <w:proofErr w:type="gramStart"/>
      <w:r w:rsidR="0030286B">
        <w:rPr>
          <w:rFonts w:ascii="MS Gothic"/>
          <w:color w:val="B02045"/>
          <w:w w:val="110"/>
        </w:rPr>
        <w:t>spring.devtools</w:t>
      </w:r>
      <w:proofErr w:type="gramEnd"/>
      <w:r w:rsidR="0030286B">
        <w:rPr>
          <w:rFonts w:ascii="MS Gothic"/>
          <w:color w:val="B02045"/>
          <w:w w:val="110"/>
        </w:rPr>
        <w:t xml:space="preserve">.remote.proxy.host </w:t>
      </w:r>
      <w:r w:rsidR="0030286B">
        <w:rPr>
          <w:rFonts w:ascii="MS Gothic"/>
          <w:color w:val="B02045"/>
          <w:spacing w:val="10"/>
          <w:w w:val="110"/>
        </w:rPr>
        <w:t xml:space="preserve"> </w:t>
      </w:r>
      <w:r w:rsidR="0030286B">
        <w:rPr>
          <w:color w:val="333333"/>
          <w:w w:val="110"/>
        </w:rPr>
        <w:t>and</w:t>
      </w:r>
      <w:r w:rsidR="0030286B">
        <w:rPr>
          <w:color w:val="333333"/>
          <w:w w:val="110"/>
        </w:rPr>
        <w:tab/>
      </w:r>
      <w:r w:rsidR="0030286B">
        <w:rPr>
          <w:rFonts w:ascii="MS Gothic"/>
          <w:color w:val="B02045"/>
          <w:spacing w:val="-1"/>
        </w:rPr>
        <w:t xml:space="preserve">spring.devtools.remote.proxy.port </w:t>
      </w:r>
      <w:r w:rsidR="0030286B">
        <w:rPr>
          <w:color w:val="333333"/>
          <w:w w:val="110"/>
        </w:rPr>
        <w:t>properties.</w:t>
      </w:r>
    </w:p>
    <w:p w14:paraId="6650C5DE" w14:textId="77777777" w:rsidR="00A720EB" w:rsidRDefault="00A720EB">
      <w:pPr>
        <w:pStyle w:val="a3"/>
        <w:spacing w:before="5"/>
        <w:rPr>
          <w:sz w:val="24"/>
        </w:rPr>
      </w:pPr>
    </w:p>
    <w:p w14:paraId="43C3B6FB" w14:textId="77777777" w:rsidR="00A720EB" w:rsidRDefault="0030286B">
      <w:pPr>
        <w:pStyle w:val="4"/>
        <w:spacing w:before="104"/>
      </w:pPr>
      <w:bookmarkStart w:id="137" w:name="Remote_Update"/>
      <w:bookmarkEnd w:id="137"/>
      <w:r>
        <w:rPr>
          <w:color w:val="333333"/>
          <w:w w:val="110"/>
        </w:rPr>
        <w:t>Remote Update</w:t>
      </w:r>
    </w:p>
    <w:p w14:paraId="464F9326" w14:textId="77777777" w:rsidR="00A720EB" w:rsidRDefault="00A720EB">
      <w:pPr>
        <w:pStyle w:val="a3"/>
        <w:spacing w:before="11"/>
        <w:rPr>
          <w:rFonts w:ascii="Palatino Linotype"/>
          <w:b/>
          <w:sz w:val="18"/>
        </w:rPr>
      </w:pPr>
    </w:p>
    <w:p w14:paraId="75CCFC15" w14:textId="77777777" w:rsidR="00A720EB" w:rsidRDefault="0030286B">
      <w:pPr>
        <w:pStyle w:val="a3"/>
        <w:spacing w:line="297" w:lineRule="auto"/>
        <w:ind w:left="124" w:right="122"/>
        <w:jc w:val="both"/>
      </w:pPr>
      <w:r>
        <w:rPr>
          <w:color w:val="333333"/>
          <w:w w:val="110"/>
        </w:rPr>
        <w:t xml:space="preserve">The remote client monitors your application classpath for changes in the same way as the </w:t>
      </w:r>
      <w:hyperlink w:anchor="_bookmark67" w:history="1">
        <w:r>
          <w:rPr>
            <w:color w:val="418BCA"/>
            <w:w w:val="110"/>
          </w:rPr>
          <w:t>local</w:t>
        </w:r>
      </w:hyperlink>
      <w:r>
        <w:rPr>
          <w:color w:val="418BCA"/>
          <w:w w:val="110"/>
        </w:rPr>
        <w:t xml:space="preserve"> </w:t>
      </w:r>
      <w:hyperlink w:anchor="_bookmark67" w:history="1">
        <w:r>
          <w:rPr>
            <w:color w:val="418BCA"/>
            <w:w w:val="110"/>
          </w:rPr>
          <w:t>restart</w:t>
        </w:r>
      </w:hyperlink>
      <w:r>
        <w:rPr>
          <w:color w:val="333333"/>
          <w:w w:val="110"/>
        </w:rPr>
        <w:t>. Any updated resource is pushed to the remote application and (</w:t>
      </w:r>
      <w:r>
        <w:rPr>
          <w:rFonts w:ascii="Palatino Linotype"/>
          <w:i/>
          <w:color w:val="333333"/>
          <w:w w:val="110"/>
        </w:rPr>
        <w:t xml:space="preserve">if </w:t>
      </w:r>
      <w:proofErr w:type="gramStart"/>
      <w:r>
        <w:rPr>
          <w:rFonts w:ascii="Palatino Linotype"/>
          <w:i/>
          <w:color w:val="333333"/>
          <w:w w:val="110"/>
        </w:rPr>
        <w:t>required</w:t>
      </w:r>
      <w:r>
        <w:rPr>
          <w:color w:val="333333"/>
          <w:w w:val="110"/>
        </w:rPr>
        <w:t>)  triggers</w:t>
      </w:r>
      <w:proofErr w:type="gramEnd"/>
      <w:r>
        <w:rPr>
          <w:color w:val="333333"/>
          <w:w w:val="110"/>
        </w:rPr>
        <w:t xml:space="preserve">  a  restart. This can be helpful if you iterate on a feature that uses a cloud service that you do not have </w:t>
      </w:r>
      <w:r>
        <w:rPr>
          <w:color w:val="333333"/>
          <w:spacing w:val="-4"/>
          <w:w w:val="110"/>
        </w:rPr>
        <w:t xml:space="preserve">locally. Generally, </w:t>
      </w:r>
      <w:r>
        <w:rPr>
          <w:color w:val="333333"/>
          <w:w w:val="110"/>
        </w:rPr>
        <w:t xml:space="preserve">remote updates and restarts are much quicker than </w:t>
      </w:r>
      <w:proofErr w:type="gramStart"/>
      <w:r>
        <w:rPr>
          <w:color w:val="333333"/>
          <w:w w:val="110"/>
        </w:rPr>
        <w:t>a  full</w:t>
      </w:r>
      <w:proofErr w:type="gramEnd"/>
      <w:r>
        <w:rPr>
          <w:color w:val="333333"/>
          <w:w w:val="110"/>
        </w:rPr>
        <w:t xml:space="preserve">  rebuild  and  deploy cycle.</w:t>
      </w:r>
    </w:p>
    <w:p w14:paraId="53EFA551" w14:textId="77777777" w:rsidR="00A720EB" w:rsidRDefault="00A720EB">
      <w:pPr>
        <w:spacing w:line="297" w:lineRule="auto"/>
        <w:jc w:val="both"/>
        <w:sectPr w:rsidR="00A720EB">
          <w:pgSz w:w="11910" w:h="16840"/>
          <w:pgMar w:top="640" w:right="840" w:bottom="520" w:left="840" w:header="0" w:footer="323" w:gutter="0"/>
          <w:cols w:space="720"/>
        </w:sectPr>
      </w:pPr>
    </w:p>
    <w:p w14:paraId="2BA5FFA6" w14:textId="77777777" w:rsidR="00A720EB" w:rsidRDefault="0030286B">
      <w:pPr>
        <w:pStyle w:val="a3"/>
        <w:spacing w:before="102" w:line="307" w:lineRule="auto"/>
        <w:ind w:left="124" w:right="131"/>
        <w:jc w:val="both"/>
      </w:pPr>
      <w:r>
        <w:rPr>
          <w:color w:val="333333"/>
          <w:w w:val="110"/>
        </w:rPr>
        <w:lastRenderedPageBreak/>
        <w:t>On a slower development environment, it may happen that the quiet period is not enough, and the changes in the classes may be split into batches. The server is restarted after the first batch of class changes is uploaded. The next batch can’t be sent to the application, since the server is restarting.</w:t>
      </w:r>
    </w:p>
    <w:p w14:paraId="1A4D5A60" w14:textId="77777777" w:rsidR="00A720EB" w:rsidRDefault="0030286B">
      <w:pPr>
        <w:pStyle w:val="a3"/>
        <w:tabs>
          <w:tab w:val="left" w:pos="1793"/>
          <w:tab w:val="left" w:pos="2681"/>
          <w:tab w:val="left" w:pos="4319"/>
          <w:tab w:val="left" w:pos="5237"/>
        </w:tabs>
        <w:spacing w:before="231" w:line="292" w:lineRule="auto"/>
        <w:ind w:left="124" w:right="123"/>
        <w:jc w:val="both"/>
      </w:pPr>
      <w:r>
        <w:rPr>
          <w:color w:val="333333"/>
          <w:w w:val="110"/>
        </w:rPr>
        <w:t>This</w:t>
      </w:r>
      <w:r>
        <w:rPr>
          <w:color w:val="333333"/>
          <w:spacing w:val="-9"/>
          <w:w w:val="110"/>
        </w:rPr>
        <w:t xml:space="preserve"> </w:t>
      </w:r>
      <w:r>
        <w:rPr>
          <w:color w:val="333333"/>
          <w:w w:val="110"/>
        </w:rPr>
        <w:t>is</w:t>
      </w:r>
      <w:r>
        <w:rPr>
          <w:color w:val="333333"/>
          <w:spacing w:val="-8"/>
          <w:w w:val="110"/>
        </w:rPr>
        <w:t xml:space="preserve"> </w:t>
      </w:r>
      <w:r>
        <w:rPr>
          <w:color w:val="333333"/>
          <w:w w:val="110"/>
        </w:rPr>
        <w:t>typically</w:t>
      </w:r>
      <w:r>
        <w:rPr>
          <w:color w:val="333333"/>
          <w:spacing w:val="-8"/>
          <w:w w:val="110"/>
        </w:rPr>
        <w:t xml:space="preserve"> </w:t>
      </w:r>
      <w:r>
        <w:rPr>
          <w:color w:val="333333"/>
          <w:w w:val="110"/>
        </w:rPr>
        <w:t>manifested</w:t>
      </w:r>
      <w:r>
        <w:rPr>
          <w:color w:val="333333"/>
          <w:spacing w:val="-9"/>
          <w:w w:val="110"/>
        </w:rPr>
        <w:t xml:space="preserve"> </w:t>
      </w:r>
      <w:r>
        <w:rPr>
          <w:color w:val="333333"/>
          <w:spacing w:val="-3"/>
          <w:w w:val="110"/>
        </w:rPr>
        <w:t>by</w:t>
      </w:r>
      <w:r>
        <w:rPr>
          <w:color w:val="333333"/>
          <w:spacing w:val="-8"/>
          <w:w w:val="110"/>
        </w:rPr>
        <w:t xml:space="preserve"> </w:t>
      </w:r>
      <w:r>
        <w:rPr>
          <w:color w:val="333333"/>
          <w:w w:val="110"/>
        </w:rPr>
        <w:t>a</w:t>
      </w:r>
      <w:r>
        <w:rPr>
          <w:color w:val="333333"/>
          <w:spacing w:val="-8"/>
          <w:w w:val="110"/>
        </w:rPr>
        <w:t xml:space="preserve"> </w:t>
      </w:r>
      <w:r>
        <w:rPr>
          <w:color w:val="333333"/>
          <w:w w:val="110"/>
        </w:rPr>
        <w:t>warning</w:t>
      </w:r>
      <w:r>
        <w:rPr>
          <w:color w:val="333333"/>
          <w:spacing w:val="-9"/>
          <w:w w:val="110"/>
        </w:rPr>
        <w:t xml:space="preserve"> </w:t>
      </w:r>
      <w:r>
        <w:rPr>
          <w:color w:val="333333"/>
          <w:w w:val="110"/>
        </w:rPr>
        <w:t>in</w:t>
      </w:r>
      <w:r>
        <w:rPr>
          <w:color w:val="333333"/>
          <w:spacing w:val="-8"/>
          <w:w w:val="110"/>
        </w:rPr>
        <w:t xml:space="preserve"> </w:t>
      </w:r>
      <w:r>
        <w:rPr>
          <w:color w:val="333333"/>
          <w:w w:val="110"/>
        </w:rPr>
        <w:t>the</w:t>
      </w:r>
      <w:r>
        <w:rPr>
          <w:color w:val="333333"/>
          <w:spacing w:val="-3"/>
          <w:w w:val="110"/>
        </w:rPr>
        <w:t xml:space="preserve"> </w:t>
      </w:r>
      <w:r>
        <w:rPr>
          <w:rFonts w:ascii="MS Gothic"/>
          <w:color w:val="B02045"/>
          <w:w w:val="110"/>
        </w:rPr>
        <w:t>RemoteSpringApplication</w:t>
      </w:r>
      <w:r>
        <w:rPr>
          <w:rFonts w:ascii="MS Gothic"/>
          <w:color w:val="B02045"/>
          <w:spacing w:val="-73"/>
          <w:w w:val="110"/>
        </w:rPr>
        <w:t xml:space="preserve"> </w:t>
      </w:r>
      <w:r>
        <w:rPr>
          <w:color w:val="333333"/>
          <w:w w:val="110"/>
        </w:rPr>
        <w:t>logs</w:t>
      </w:r>
      <w:r>
        <w:rPr>
          <w:color w:val="333333"/>
          <w:spacing w:val="-9"/>
          <w:w w:val="110"/>
        </w:rPr>
        <w:t xml:space="preserve"> </w:t>
      </w:r>
      <w:r>
        <w:rPr>
          <w:color w:val="333333"/>
          <w:w w:val="110"/>
        </w:rPr>
        <w:t>about</w:t>
      </w:r>
      <w:r>
        <w:rPr>
          <w:color w:val="333333"/>
          <w:spacing w:val="-8"/>
          <w:w w:val="110"/>
        </w:rPr>
        <w:t xml:space="preserve"> </w:t>
      </w:r>
      <w:r>
        <w:rPr>
          <w:color w:val="333333"/>
          <w:w w:val="110"/>
        </w:rPr>
        <w:t>failing</w:t>
      </w:r>
      <w:r>
        <w:rPr>
          <w:color w:val="333333"/>
          <w:spacing w:val="-8"/>
          <w:w w:val="110"/>
        </w:rPr>
        <w:t xml:space="preserve"> </w:t>
      </w:r>
      <w:r>
        <w:rPr>
          <w:color w:val="333333"/>
          <w:w w:val="110"/>
        </w:rPr>
        <w:t>to</w:t>
      </w:r>
      <w:r>
        <w:rPr>
          <w:color w:val="333333"/>
          <w:spacing w:val="-9"/>
          <w:w w:val="110"/>
        </w:rPr>
        <w:t xml:space="preserve"> </w:t>
      </w:r>
      <w:r>
        <w:rPr>
          <w:color w:val="333333"/>
          <w:w w:val="110"/>
        </w:rPr>
        <w:t xml:space="preserve">upload some of the classes, and a consequent </w:t>
      </w:r>
      <w:r>
        <w:rPr>
          <w:color w:val="333333"/>
          <w:spacing w:val="-4"/>
          <w:w w:val="110"/>
        </w:rPr>
        <w:t xml:space="preserve">retry. </w:t>
      </w:r>
      <w:r>
        <w:rPr>
          <w:color w:val="333333"/>
          <w:w w:val="110"/>
        </w:rPr>
        <w:t xml:space="preserve">But it may also lead to application code inconsistency and failure to restart after the first batch of changes is uploaded. If you observe such problems </w:t>
      </w:r>
      <w:r>
        <w:rPr>
          <w:color w:val="333333"/>
          <w:spacing w:val="-3"/>
          <w:w w:val="110"/>
        </w:rPr>
        <w:t>constantly,</w:t>
      </w:r>
      <w:r>
        <w:rPr>
          <w:color w:val="333333"/>
          <w:spacing w:val="-3"/>
          <w:w w:val="110"/>
        </w:rPr>
        <w:tab/>
      </w:r>
      <w:r>
        <w:rPr>
          <w:color w:val="333333"/>
          <w:w w:val="110"/>
        </w:rPr>
        <w:t>try</w:t>
      </w:r>
      <w:r>
        <w:rPr>
          <w:color w:val="333333"/>
          <w:w w:val="110"/>
        </w:rPr>
        <w:tab/>
        <w:t>increasing</w:t>
      </w:r>
      <w:r>
        <w:rPr>
          <w:color w:val="333333"/>
          <w:w w:val="110"/>
        </w:rPr>
        <w:tab/>
        <w:t>the</w:t>
      </w:r>
      <w:r>
        <w:rPr>
          <w:color w:val="333333"/>
          <w:w w:val="110"/>
        </w:rPr>
        <w:tab/>
      </w:r>
      <w:proofErr w:type="gramStart"/>
      <w:r>
        <w:rPr>
          <w:rFonts w:ascii="MS Gothic"/>
          <w:color w:val="B02045"/>
          <w:w w:val="110"/>
        </w:rPr>
        <w:t>spring.devtools</w:t>
      </w:r>
      <w:proofErr w:type="gramEnd"/>
      <w:r>
        <w:rPr>
          <w:rFonts w:ascii="MS Gothic"/>
          <w:color w:val="B02045"/>
          <w:w w:val="110"/>
        </w:rPr>
        <w:t xml:space="preserve">.restart.poll-interval </w:t>
      </w:r>
      <w:r>
        <w:rPr>
          <w:color w:val="333333"/>
          <w:spacing w:val="-6"/>
          <w:w w:val="110"/>
        </w:rPr>
        <w:t xml:space="preserve">and </w:t>
      </w:r>
      <w:r>
        <w:rPr>
          <w:rFonts w:ascii="MS Gothic"/>
          <w:color w:val="B02045"/>
          <w:w w:val="110"/>
        </w:rPr>
        <w:t xml:space="preserve">spring.devtools.restart.quiet-period </w:t>
      </w:r>
      <w:r>
        <w:rPr>
          <w:color w:val="333333"/>
          <w:w w:val="110"/>
        </w:rPr>
        <w:t>parameters to the values that fit your development  environment.</w:t>
      </w:r>
      <w:r>
        <w:rPr>
          <w:color w:val="333333"/>
          <w:spacing w:val="6"/>
          <w:w w:val="110"/>
        </w:rPr>
        <w:t xml:space="preserve"> </w:t>
      </w:r>
      <w:r>
        <w:rPr>
          <w:color w:val="333333"/>
          <w:w w:val="110"/>
        </w:rPr>
        <w:t>See</w:t>
      </w:r>
      <w:r>
        <w:rPr>
          <w:color w:val="333333"/>
          <w:spacing w:val="6"/>
          <w:w w:val="110"/>
        </w:rPr>
        <w:t xml:space="preserve"> </w:t>
      </w:r>
      <w:r>
        <w:rPr>
          <w:color w:val="333333"/>
          <w:w w:val="110"/>
        </w:rPr>
        <w:t>the</w:t>
      </w:r>
      <w:r>
        <w:rPr>
          <w:color w:val="333333"/>
          <w:spacing w:val="8"/>
          <w:w w:val="110"/>
        </w:rPr>
        <w:t xml:space="preserve"> </w:t>
      </w:r>
      <w:hyperlink w:anchor="_bookmark78" w:history="1">
        <w:r>
          <w:rPr>
            <w:color w:val="418BCA"/>
            <w:w w:val="110"/>
          </w:rPr>
          <w:t>Configuring</w:t>
        </w:r>
        <w:r>
          <w:rPr>
            <w:color w:val="418BCA"/>
            <w:spacing w:val="6"/>
            <w:w w:val="110"/>
          </w:rPr>
          <w:t xml:space="preserve"> </w:t>
        </w:r>
        <w:r>
          <w:rPr>
            <w:color w:val="418BCA"/>
            <w:w w:val="110"/>
          </w:rPr>
          <w:t>File</w:t>
        </w:r>
        <w:r>
          <w:rPr>
            <w:color w:val="418BCA"/>
            <w:spacing w:val="5"/>
            <w:w w:val="110"/>
          </w:rPr>
          <w:t xml:space="preserve"> </w:t>
        </w:r>
        <w:r>
          <w:rPr>
            <w:color w:val="418BCA"/>
            <w:w w:val="110"/>
          </w:rPr>
          <w:t>System</w:t>
        </w:r>
        <w:r>
          <w:rPr>
            <w:color w:val="418BCA"/>
            <w:spacing w:val="6"/>
            <w:w w:val="110"/>
          </w:rPr>
          <w:t xml:space="preserve"> </w:t>
        </w:r>
        <w:r>
          <w:rPr>
            <w:color w:val="418BCA"/>
            <w:spacing w:val="-3"/>
            <w:w w:val="110"/>
          </w:rPr>
          <w:t>Watcher</w:t>
        </w:r>
        <w:r>
          <w:rPr>
            <w:color w:val="418BCA"/>
            <w:spacing w:val="12"/>
            <w:w w:val="110"/>
          </w:rPr>
          <w:t xml:space="preserve"> </w:t>
        </w:r>
      </w:hyperlink>
      <w:r>
        <w:rPr>
          <w:color w:val="333333"/>
          <w:w w:val="110"/>
        </w:rPr>
        <w:t>section</w:t>
      </w:r>
      <w:r>
        <w:rPr>
          <w:color w:val="333333"/>
          <w:spacing w:val="7"/>
          <w:w w:val="110"/>
        </w:rPr>
        <w:t xml:space="preserve"> </w:t>
      </w:r>
      <w:r>
        <w:rPr>
          <w:color w:val="333333"/>
          <w:w w:val="110"/>
        </w:rPr>
        <w:t>for</w:t>
      </w:r>
      <w:r>
        <w:rPr>
          <w:color w:val="333333"/>
          <w:spacing w:val="7"/>
          <w:w w:val="110"/>
        </w:rPr>
        <w:t xml:space="preserve"> </w:t>
      </w:r>
      <w:r>
        <w:rPr>
          <w:color w:val="333333"/>
          <w:w w:val="110"/>
        </w:rPr>
        <w:t>configuring</w:t>
      </w:r>
      <w:r>
        <w:rPr>
          <w:color w:val="333333"/>
          <w:spacing w:val="6"/>
          <w:w w:val="110"/>
        </w:rPr>
        <w:t xml:space="preserve"> </w:t>
      </w:r>
      <w:r>
        <w:rPr>
          <w:color w:val="333333"/>
          <w:w w:val="110"/>
        </w:rPr>
        <w:t>these</w:t>
      </w:r>
      <w:r>
        <w:rPr>
          <w:color w:val="333333"/>
          <w:spacing w:val="7"/>
          <w:w w:val="110"/>
        </w:rPr>
        <w:t xml:space="preserve"> </w:t>
      </w:r>
      <w:r>
        <w:rPr>
          <w:color w:val="333333"/>
          <w:w w:val="110"/>
        </w:rPr>
        <w:t>properties.</w:t>
      </w:r>
    </w:p>
    <w:p w14:paraId="2490CAE6" w14:textId="77777777" w:rsidR="00A720EB" w:rsidRDefault="00A720EB">
      <w:pPr>
        <w:pStyle w:val="a3"/>
        <w:spacing w:before="9"/>
        <w:rPr>
          <w:sz w:val="28"/>
        </w:rPr>
      </w:pPr>
    </w:p>
    <w:p w14:paraId="61C4B1F8" w14:textId="77777777" w:rsidR="00A720EB" w:rsidRDefault="00E10349">
      <w:pPr>
        <w:pStyle w:val="a3"/>
        <w:spacing w:before="1" w:line="307" w:lineRule="auto"/>
        <w:ind w:left="1564" w:right="462"/>
      </w:pPr>
      <w:r>
        <w:pict w14:anchorId="4BF6A560">
          <v:line id="_x0000_s4727" style="position:absolute;left:0;text-align:left;z-index:15807488;mso-position-horizontal-relative:page" from="108.25pt,-5.95pt" to="108.25pt,33.6pt" strokecolor="#ededed" strokeweight=".5pt">
            <w10:wrap anchorx="page"/>
          </v:line>
        </w:pict>
      </w:r>
      <w:r w:rsidR="0030286B">
        <w:rPr>
          <w:noProof/>
        </w:rPr>
        <w:drawing>
          <wp:anchor distT="0" distB="0" distL="0" distR="0" simplePos="0" relativeHeight="15808000" behindDoc="0" locked="0" layoutInCell="1" allowOverlap="1" wp14:anchorId="50332CD0" wp14:editId="564B18B4">
            <wp:simplePos x="0" y="0"/>
            <wp:positionH relativeFrom="page">
              <wp:posOffset>844422</wp:posOffset>
            </wp:positionH>
            <wp:positionV relativeFrom="paragraph">
              <wp:posOffset>26581</wp:posOffset>
            </wp:positionV>
            <wp:extent cx="298450" cy="298450"/>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Files are only monitored when the remote client is running. If you change a file before starting the remote client, it is not pushed to the remote server.</w:t>
      </w:r>
    </w:p>
    <w:p w14:paraId="51EC5DD2" w14:textId="77777777" w:rsidR="00A720EB" w:rsidRDefault="00A720EB">
      <w:pPr>
        <w:pStyle w:val="a3"/>
        <w:spacing w:before="8"/>
        <w:rPr>
          <w:sz w:val="32"/>
        </w:rPr>
      </w:pPr>
    </w:p>
    <w:p w14:paraId="73D81C40" w14:textId="77777777" w:rsidR="00A720EB" w:rsidRDefault="0030286B">
      <w:pPr>
        <w:pStyle w:val="2"/>
        <w:numPr>
          <w:ilvl w:val="1"/>
          <w:numId w:val="72"/>
        </w:numPr>
        <w:tabs>
          <w:tab w:val="left" w:pos="832"/>
        </w:tabs>
      </w:pPr>
      <w:bookmarkStart w:id="138" w:name="3.9._Packaging_Your_Application_for_Prod"/>
      <w:bookmarkStart w:id="139" w:name="_Toc54423707"/>
      <w:bookmarkEnd w:id="138"/>
      <w:r>
        <w:rPr>
          <w:color w:val="333333"/>
          <w:w w:val="110"/>
        </w:rPr>
        <w:t xml:space="preserve">Packaging </w:t>
      </w:r>
      <w:r>
        <w:rPr>
          <w:color w:val="333333"/>
          <w:spacing w:val="-7"/>
          <w:w w:val="110"/>
        </w:rPr>
        <w:t xml:space="preserve">Your </w:t>
      </w:r>
      <w:r>
        <w:rPr>
          <w:color w:val="333333"/>
          <w:w w:val="110"/>
        </w:rPr>
        <w:t>Application for</w:t>
      </w:r>
      <w:r>
        <w:rPr>
          <w:color w:val="333333"/>
          <w:spacing w:val="-19"/>
          <w:w w:val="110"/>
        </w:rPr>
        <w:t xml:space="preserve"> </w:t>
      </w:r>
      <w:r>
        <w:rPr>
          <w:color w:val="333333"/>
          <w:w w:val="110"/>
        </w:rPr>
        <w:t>Production</w:t>
      </w:r>
      <w:bookmarkEnd w:id="139"/>
    </w:p>
    <w:p w14:paraId="44C0B0B8" w14:textId="77777777" w:rsidR="00A720EB" w:rsidRDefault="0030286B">
      <w:pPr>
        <w:pStyle w:val="a3"/>
        <w:spacing w:before="253" w:line="307" w:lineRule="auto"/>
        <w:ind w:left="124" w:right="131"/>
        <w:jc w:val="both"/>
      </w:pPr>
      <w:r>
        <w:rPr>
          <w:color w:val="333333"/>
          <w:w w:val="110"/>
        </w:rPr>
        <w:t>Executable jars can be used for production deployment. As they are self-contained, they are also ideally suited for cloud-based deployment.</w:t>
      </w:r>
    </w:p>
    <w:p w14:paraId="2F486B38" w14:textId="77777777" w:rsidR="00A720EB" w:rsidRDefault="0030286B">
      <w:pPr>
        <w:spacing w:before="241" w:line="285" w:lineRule="auto"/>
        <w:ind w:left="124" w:right="127"/>
        <w:jc w:val="both"/>
        <w:rPr>
          <w:sz w:val="21"/>
        </w:rPr>
      </w:pPr>
      <w:r>
        <w:rPr>
          <w:color w:val="333333"/>
          <w:spacing w:val="-4"/>
          <w:w w:val="115"/>
          <w:sz w:val="21"/>
        </w:rPr>
        <w:t xml:space="preserve">For </w:t>
      </w:r>
      <w:r>
        <w:rPr>
          <w:color w:val="333333"/>
          <w:w w:val="115"/>
          <w:sz w:val="21"/>
        </w:rPr>
        <w:t>additional “production ready” features, such as health, auditing, and metric REST or JMX end- points,</w:t>
      </w:r>
      <w:r>
        <w:rPr>
          <w:color w:val="333333"/>
          <w:spacing w:val="-26"/>
          <w:w w:val="115"/>
          <w:sz w:val="21"/>
        </w:rPr>
        <w:t xml:space="preserve"> </w:t>
      </w:r>
      <w:r>
        <w:rPr>
          <w:color w:val="333333"/>
          <w:w w:val="115"/>
          <w:sz w:val="21"/>
        </w:rPr>
        <w:t>consider</w:t>
      </w:r>
      <w:r>
        <w:rPr>
          <w:color w:val="333333"/>
          <w:spacing w:val="-26"/>
          <w:w w:val="115"/>
          <w:sz w:val="21"/>
        </w:rPr>
        <w:t xml:space="preserve"> </w:t>
      </w:r>
      <w:r>
        <w:rPr>
          <w:color w:val="333333"/>
          <w:w w:val="115"/>
          <w:sz w:val="21"/>
        </w:rPr>
        <w:t>adding</w:t>
      </w:r>
      <w:r>
        <w:rPr>
          <w:color w:val="333333"/>
          <w:spacing w:val="-24"/>
          <w:w w:val="115"/>
          <w:sz w:val="21"/>
        </w:rPr>
        <w:t xml:space="preserve"> </w:t>
      </w:r>
      <w:r>
        <w:rPr>
          <w:rFonts w:ascii="MS Gothic" w:hAnsi="MS Gothic"/>
          <w:color w:val="B02045"/>
          <w:w w:val="115"/>
          <w:sz w:val="21"/>
        </w:rPr>
        <w:t>spring-boot-actuator</w:t>
      </w:r>
      <w:r>
        <w:rPr>
          <w:color w:val="333333"/>
          <w:w w:val="115"/>
          <w:sz w:val="21"/>
        </w:rPr>
        <w:t>.</w:t>
      </w:r>
      <w:r>
        <w:rPr>
          <w:color w:val="333333"/>
          <w:spacing w:val="-26"/>
          <w:w w:val="115"/>
          <w:sz w:val="21"/>
        </w:rPr>
        <w:t xml:space="preserve"> </w:t>
      </w:r>
      <w:r>
        <w:rPr>
          <w:color w:val="333333"/>
          <w:w w:val="115"/>
          <w:sz w:val="21"/>
        </w:rPr>
        <w:t>See</w:t>
      </w:r>
      <w:r>
        <w:rPr>
          <w:color w:val="333333"/>
          <w:spacing w:val="-25"/>
          <w:w w:val="115"/>
          <w:sz w:val="21"/>
        </w:rPr>
        <w:t xml:space="preserve"> </w:t>
      </w:r>
      <w:hyperlink w:anchor="_bookmark378" w:history="1">
        <w:r>
          <w:rPr>
            <w:rFonts w:ascii="Palatino Linotype" w:hAnsi="Palatino Linotype"/>
            <w:i/>
            <w:color w:val="418BCA"/>
            <w:w w:val="115"/>
            <w:sz w:val="21"/>
          </w:rPr>
          <w:t>Spring</w:t>
        </w:r>
        <w:r>
          <w:rPr>
            <w:rFonts w:ascii="Palatino Linotype" w:hAnsi="Palatino Linotype"/>
            <w:i/>
            <w:color w:val="418BCA"/>
            <w:spacing w:val="-33"/>
            <w:w w:val="115"/>
            <w:sz w:val="21"/>
          </w:rPr>
          <w:t xml:space="preserve"> </w:t>
        </w:r>
        <w:r>
          <w:rPr>
            <w:rFonts w:ascii="Palatino Linotype" w:hAnsi="Palatino Linotype"/>
            <w:i/>
            <w:color w:val="418BCA"/>
            <w:w w:val="115"/>
            <w:sz w:val="21"/>
          </w:rPr>
          <w:t>Boot</w:t>
        </w:r>
        <w:r>
          <w:rPr>
            <w:rFonts w:ascii="Palatino Linotype" w:hAnsi="Palatino Linotype"/>
            <w:i/>
            <w:color w:val="418BCA"/>
            <w:spacing w:val="-33"/>
            <w:w w:val="115"/>
            <w:sz w:val="21"/>
          </w:rPr>
          <w:t xml:space="preserve"> </w:t>
        </w:r>
        <w:r>
          <w:rPr>
            <w:rFonts w:ascii="Palatino Linotype" w:hAnsi="Palatino Linotype"/>
            <w:i/>
            <w:color w:val="418BCA"/>
            <w:w w:val="115"/>
            <w:sz w:val="21"/>
          </w:rPr>
          <w:t>Actuator:</w:t>
        </w:r>
        <w:r>
          <w:rPr>
            <w:rFonts w:ascii="Palatino Linotype" w:hAnsi="Palatino Linotype"/>
            <w:i/>
            <w:color w:val="418BCA"/>
            <w:spacing w:val="-33"/>
            <w:w w:val="115"/>
            <w:sz w:val="21"/>
          </w:rPr>
          <w:t xml:space="preserve"> </w:t>
        </w:r>
        <w:r>
          <w:rPr>
            <w:rFonts w:ascii="Palatino Linotype" w:hAnsi="Palatino Linotype"/>
            <w:i/>
            <w:color w:val="418BCA"/>
            <w:w w:val="115"/>
            <w:sz w:val="21"/>
          </w:rPr>
          <w:t>Production-ready</w:t>
        </w:r>
        <w:r>
          <w:rPr>
            <w:rFonts w:ascii="Palatino Linotype" w:hAnsi="Palatino Linotype"/>
            <w:i/>
            <w:color w:val="418BCA"/>
            <w:spacing w:val="-33"/>
            <w:w w:val="115"/>
            <w:sz w:val="21"/>
          </w:rPr>
          <w:t xml:space="preserve"> </w:t>
        </w:r>
        <w:r>
          <w:rPr>
            <w:rFonts w:ascii="Palatino Linotype" w:hAnsi="Palatino Linotype"/>
            <w:i/>
            <w:color w:val="418BCA"/>
            <w:w w:val="115"/>
            <w:sz w:val="21"/>
          </w:rPr>
          <w:t>Features</w:t>
        </w:r>
      </w:hyperlink>
      <w:r>
        <w:rPr>
          <w:rFonts w:ascii="Palatino Linotype" w:hAnsi="Palatino Linotype"/>
          <w:i/>
          <w:color w:val="418BCA"/>
          <w:w w:val="115"/>
          <w:sz w:val="21"/>
        </w:rPr>
        <w:t xml:space="preserve"> </w:t>
      </w:r>
      <w:r>
        <w:rPr>
          <w:color w:val="333333"/>
          <w:w w:val="115"/>
          <w:sz w:val="21"/>
        </w:rPr>
        <w:t>for details.</w:t>
      </w:r>
    </w:p>
    <w:p w14:paraId="08461E29" w14:textId="77777777" w:rsidR="00A720EB" w:rsidRDefault="00A720EB">
      <w:pPr>
        <w:pStyle w:val="a3"/>
        <w:spacing w:before="10"/>
        <w:rPr>
          <w:sz w:val="27"/>
        </w:rPr>
      </w:pPr>
    </w:p>
    <w:p w14:paraId="04FFC412" w14:textId="77777777" w:rsidR="00A720EB" w:rsidRDefault="0030286B">
      <w:pPr>
        <w:pStyle w:val="2"/>
        <w:numPr>
          <w:ilvl w:val="1"/>
          <w:numId w:val="72"/>
        </w:numPr>
        <w:tabs>
          <w:tab w:val="left" w:pos="1034"/>
        </w:tabs>
        <w:ind w:left="1033" w:hanging="910"/>
      </w:pPr>
      <w:bookmarkStart w:id="140" w:name="3.10._What_to_Read_Next"/>
      <w:bookmarkStart w:id="141" w:name="_Toc54423708"/>
      <w:bookmarkEnd w:id="140"/>
      <w:r>
        <w:rPr>
          <w:color w:val="333333"/>
          <w:w w:val="110"/>
        </w:rPr>
        <w:t>What to Read</w:t>
      </w:r>
      <w:r>
        <w:rPr>
          <w:color w:val="333333"/>
          <w:spacing w:val="-20"/>
          <w:w w:val="110"/>
        </w:rPr>
        <w:t xml:space="preserve"> </w:t>
      </w:r>
      <w:r>
        <w:rPr>
          <w:color w:val="333333"/>
          <w:w w:val="110"/>
        </w:rPr>
        <w:t>Next</w:t>
      </w:r>
      <w:bookmarkEnd w:id="141"/>
    </w:p>
    <w:p w14:paraId="63118A5A" w14:textId="77777777" w:rsidR="00A720EB" w:rsidRDefault="0030286B">
      <w:pPr>
        <w:pStyle w:val="a3"/>
        <w:spacing w:before="253" w:line="285" w:lineRule="auto"/>
        <w:ind w:left="124" w:right="125"/>
        <w:jc w:val="both"/>
      </w:pPr>
      <w:r>
        <w:rPr>
          <w:color w:val="333333"/>
          <w:spacing w:val="-6"/>
          <w:w w:val="110"/>
        </w:rPr>
        <w:t xml:space="preserve">You </w:t>
      </w:r>
      <w:r>
        <w:rPr>
          <w:color w:val="333333"/>
          <w:w w:val="110"/>
        </w:rPr>
        <w:t xml:space="preserve">should now understand how you can use Spring Boot and some best practices that you should </w:t>
      </w:r>
      <w:r>
        <w:rPr>
          <w:color w:val="333333"/>
          <w:spacing w:val="-3"/>
          <w:w w:val="110"/>
        </w:rPr>
        <w:t xml:space="preserve">follow. </w:t>
      </w:r>
      <w:r>
        <w:rPr>
          <w:color w:val="333333"/>
          <w:spacing w:val="-6"/>
          <w:w w:val="110"/>
        </w:rPr>
        <w:t xml:space="preserve">You </w:t>
      </w:r>
      <w:r>
        <w:rPr>
          <w:color w:val="333333"/>
          <w:w w:val="110"/>
        </w:rPr>
        <w:t xml:space="preserve">can now go on to learn about specific </w:t>
      </w:r>
      <w:hyperlink w:anchor="_bookmark84" w:history="1">
        <w:r>
          <w:rPr>
            <w:rFonts w:ascii="Palatino Linotype" w:hAnsi="Palatino Linotype"/>
            <w:i/>
            <w:color w:val="418BCA"/>
            <w:w w:val="110"/>
          </w:rPr>
          <w:t xml:space="preserve">Spring Boot features </w:t>
        </w:r>
      </w:hyperlink>
      <w:r>
        <w:rPr>
          <w:color w:val="333333"/>
          <w:w w:val="110"/>
        </w:rPr>
        <w:t>in depth, or you could skip ahead and read about the “</w:t>
      </w:r>
      <w:hyperlink w:anchor="_bookmark378" w:history="1">
        <w:r>
          <w:rPr>
            <w:color w:val="418BCA"/>
            <w:w w:val="110"/>
          </w:rPr>
          <w:t>production ready</w:t>
        </w:r>
      </w:hyperlink>
      <w:r>
        <w:rPr>
          <w:color w:val="333333"/>
          <w:w w:val="110"/>
        </w:rPr>
        <w:t>” aspects of Spring</w:t>
      </w:r>
      <w:r>
        <w:rPr>
          <w:color w:val="333333"/>
          <w:spacing w:val="35"/>
          <w:w w:val="110"/>
        </w:rPr>
        <w:t xml:space="preserve"> </w:t>
      </w:r>
      <w:r>
        <w:rPr>
          <w:color w:val="333333"/>
          <w:w w:val="110"/>
        </w:rPr>
        <w:t>Boot.</w:t>
      </w:r>
    </w:p>
    <w:p w14:paraId="32F59828" w14:textId="77777777" w:rsidR="00A720EB" w:rsidRDefault="00A720EB">
      <w:pPr>
        <w:spacing w:line="285" w:lineRule="auto"/>
        <w:jc w:val="both"/>
        <w:sectPr w:rsidR="00A720EB">
          <w:pgSz w:w="11910" w:h="16840"/>
          <w:pgMar w:top="640" w:right="840" w:bottom="520" w:left="840" w:header="0" w:footer="323" w:gutter="0"/>
          <w:cols w:space="720"/>
        </w:sectPr>
      </w:pPr>
    </w:p>
    <w:p w14:paraId="12DAFADE" w14:textId="77777777" w:rsidR="00A720EB" w:rsidRDefault="0030286B">
      <w:pPr>
        <w:spacing w:before="90"/>
        <w:ind w:left="124"/>
        <w:jc w:val="both"/>
        <w:rPr>
          <w:rFonts w:ascii="Palatino Linotype"/>
          <w:b/>
          <w:sz w:val="44"/>
        </w:rPr>
      </w:pPr>
      <w:bookmarkStart w:id="142" w:name="Chapter_4._Spring_Boot_Features"/>
      <w:bookmarkEnd w:id="142"/>
      <w:r>
        <w:rPr>
          <w:rFonts w:ascii="Palatino Linotype"/>
          <w:b/>
          <w:color w:val="333333"/>
          <w:w w:val="110"/>
          <w:sz w:val="44"/>
        </w:rPr>
        <w:lastRenderedPageBreak/>
        <w:t>Chapter 4. Spring Boot Features</w:t>
      </w:r>
    </w:p>
    <w:p w14:paraId="75D6E34C" w14:textId="77777777" w:rsidR="00A720EB" w:rsidRDefault="0030286B">
      <w:pPr>
        <w:pStyle w:val="a3"/>
        <w:spacing w:before="252" w:line="307" w:lineRule="auto"/>
        <w:ind w:left="124" w:right="133"/>
        <w:jc w:val="both"/>
      </w:pPr>
      <w:r>
        <w:rPr>
          <w:color w:val="333333"/>
          <w:w w:val="110"/>
        </w:rPr>
        <w:t>This section dives into the details of Spring Boot. Here you can learn about the key features that you may want to use and customize. If you have not already done so, you might want to  read  the "</w:t>
      </w:r>
      <w:hyperlink w:anchor="_bookmark9" w:history="1">
        <w:r>
          <w:rPr>
            <w:color w:val="418BCA"/>
            <w:w w:val="110"/>
          </w:rPr>
          <w:t>Getting Started</w:t>
        </w:r>
      </w:hyperlink>
      <w:r>
        <w:rPr>
          <w:color w:val="333333"/>
          <w:w w:val="110"/>
        </w:rPr>
        <w:t>" and "</w:t>
      </w:r>
      <w:hyperlink w:anchor="_bookmark36" w:history="1">
        <w:r>
          <w:rPr>
            <w:color w:val="418BCA"/>
            <w:w w:val="110"/>
          </w:rPr>
          <w:t>Using Spring Boot</w:t>
        </w:r>
      </w:hyperlink>
      <w:r>
        <w:rPr>
          <w:color w:val="333333"/>
          <w:w w:val="110"/>
        </w:rPr>
        <w:t>" sections, so that you have a good grounding of the</w:t>
      </w:r>
      <w:r>
        <w:rPr>
          <w:color w:val="333333"/>
          <w:spacing w:val="2"/>
          <w:w w:val="110"/>
        </w:rPr>
        <w:t xml:space="preserve"> </w:t>
      </w:r>
      <w:r>
        <w:rPr>
          <w:color w:val="333333"/>
          <w:w w:val="110"/>
        </w:rPr>
        <w:t>basics.</w:t>
      </w:r>
    </w:p>
    <w:p w14:paraId="4FDAD3D8" w14:textId="77777777" w:rsidR="00A720EB" w:rsidRDefault="00A720EB">
      <w:pPr>
        <w:pStyle w:val="a3"/>
        <w:rPr>
          <w:sz w:val="26"/>
        </w:rPr>
      </w:pPr>
    </w:p>
    <w:p w14:paraId="18FDDB6A" w14:textId="77777777" w:rsidR="00A720EB" w:rsidRDefault="0030286B">
      <w:pPr>
        <w:pStyle w:val="2"/>
        <w:numPr>
          <w:ilvl w:val="1"/>
          <w:numId w:val="68"/>
        </w:numPr>
        <w:tabs>
          <w:tab w:val="left" w:pos="832"/>
        </w:tabs>
      </w:pPr>
      <w:bookmarkStart w:id="143" w:name="4.1._SpringApplication"/>
      <w:bookmarkStart w:id="144" w:name="_Toc54423709"/>
      <w:bookmarkEnd w:id="143"/>
      <w:r>
        <w:rPr>
          <w:color w:val="333333"/>
          <w:w w:val="110"/>
        </w:rPr>
        <w:t>SpringApplication</w:t>
      </w:r>
      <w:bookmarkEnd w:id="144"/>
    </w:p>
    <w:p w14:paraId="5DD73218" w14:textId="77777777" w:rsidR="00A720EB" w:rsidRDefault="0030286B">
      <w:pPr>
        <w:pStyle w:val="a3"/>
        <w:spacing w:before="242" w:line="280" w:lineRule="auto"/>
        <w:ind w:left="124" w:right="127"/>
        <w:jc w:val="both"/>
      </w:pPr>
      <w:r>
        <w:rPr>
          <w:color w:val="333333"/>
          <w:w w:val="110"/>
        </w:rPr>
        <w:t xml:space="preserve">The </w:t>
      </w:r>
      <w:r>
        <w:rPr>
          <w:rFonts w:ascii="MS Gothic"/>
          <w:color w:val="B02045"/>
          <w:w w:val="110"/>
        </w:rPr>
        <w:t xml:space="preserve">SpringApplication </w:t>
      </w:r>
      <w:r>
        <w:rPr>
          <w:color w:val="333333"/>
          <w:w w:val="110"/>
        </w:rPr>
        <w:t xml:space="preserve">class provides a convenient way to bootstrap a Spring application that </w:t>
      </w:r>
      <w:proofErr w:type="gramStart"/>
      <w:r>
        <w:rPr>
          <w:color w:val="333333"/>
          <w:w w:val="110"/>
        </w:rPr>
        <w:t>is  started</w:t>
      </w:r>
      <w:proofErr w:type="gramEnd"/>
      <w:r>
        <w:rPr>
          <w:color w:val="333333"/>
          <w:w w:val="110"/>
        </w:rPr>
        <w:t xml:space="preserve"> from a </w:t>
      </w:r>
      <w:r>
        <w:rPr>
          <w:rFonts w:ascii="MS Gothic"/>
          <w:color w:val="B02045"/>
          <w:w w:val="110"/>
        </w:rPr>
        <w:t xml:space="preserve">main() </w:t>
      </w:r>
      <w:r>
        <w:rPr>
          <w:color w:val="333333"/>
          <w:w w:val="110"/>
        </w:rPr>
        <w:t xml:space="preserve">method. In many situations, you can delegate to the static </w:t>
      </w:r>
      <w:r>
        <w:rPr>
          <w:rFonts w:ascii="MS Gothic"/>
          <w:color w:val="B02045"/>
          <w:w w:val="110"/>
        </w:rPr>
        <w:t>SpringApplication.run</w:t>
      </w:r>
      <w:r>
        <w:rPr>
          <w:rFonts w:ascii="MS Gothic"/>
          <w:color w:val="B02045"/>
          <w:spacing w:val="-62"/>
          <w:w w:val="110"/>
        </w:rPr>
        <w:t xml:space="preserve"> </w:t>
      </w:r>
      <w:r>
        <w:rPr>
          <w:color w:val="333333"/>
          <w:w w:val="110"/>
        </w:rPr>
        <w:t>method, as shown in the following example:</w:t>
      </w:r>
    </w:p>
    <w:p w14:paraId="23A9B297" w14:textId="77777777" w:rsidR="00A720EB" w:rsidRDefault="00E10349">
      <w:pPr>
        <w:pStyle w:val="a3"/>
        <w:spacing w:before="2"/>
        <w:rPr>
          <w:sz w:val="14"/>
        </w:rPr>
      </w:pPr>
      <w:r>
        <w:pict w14:anchorId="19FF95DF">
          <v:group id="_x0000_s4723" style="position:absolute;margin-left:47.85pt;margin-top:10.3pt;width:499.55pt;height:67pt;z-index:-15648768;mso-wrap-distance-left:0;mso-wrap-distance-right:0;mso-position-horizontal-relative:page" coordorigin="957,206" coordsize="9991,1340">
            <v:shape id="_x0000_s4726" style="position:absolute;left:964;top:213;width:9976;height:1325" coordorigin="965,214" coordsize="9976,1325" path="m10861,214r-9816,l1014,220r-26,17l971,263r-6,31l965,1458r6,31l988,1515r26,17l1045,1538r9816,l10892,1532r25,-17l10935,1489r6,-31l10941,294r-6,-31l10917,237r-25,-17l10861,214xe" fillcolor="#f5f5f5" stroked="f">
              <v:path arrowok="t"/>
            </v:shape>
            <v:shape id="_x0000_s4725" style="position:absolute;left:964;top:213;width:9976;height:1325" coordorigin="965,214" coordsize="9976,1325" path="m1045,214r9816,l10892,220r25,17l10935,263r6,31l10941,1458r-6,31l10917,1515r-25,17l10861,1538r-9816,l1014,1532r-26,-17l971,1489r-6,-31l965,294r6,-31l988,237r26,-17l1045,214xe" filled="f" strokecolor="#ccc">
              <v:path arrowok="t"/>
            </v:shape>
            <v:shape id="_x0000_s4724" type="#_x0000_t202" style="position:absolute;left:984;top:229;width:9938;height:1294" filled="f" stroked="f">
              <v:textbox inset="0,0,0,0">
                <w:txbxContent>
                  <w:p w14:paraId="25597A02" w14:textId="77777777" w:rsidR="00711A16" w:rsidRDefault="00711A16">
                    <w:pPr>
                      <w:spacing w:before="221" w:line="252" w:lineRule="auto"/>
                      <w:ind w:left="640" w:right="3008" w:hanging="4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 SpringApplication.run(MySpringConfiguration.class, args);</w:t>
                    </w:r>
                  </w:p>
                  <w:p w14:paraId="74AA66F4"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40350599" w14:textId="77777777" w:rsidR="00A720EB" w:rsidRDefault="00A720EB">
      <w:pPr>
        <w:pStyle w:val="a3"/>
        <w:rPr>
          <w:sz w:val="10"/>
        </w:rPr>
      </w:pPr>
    </w:p>
    <w:p w14:paraId="4D24A801" w14:textId="77777777" w:rsidR="00A720EB" w:rsidRDefault="0030286B">
      <w:pPr>
        <w:pStyle w:val="a3"/>
        <w:spacing w:before="125"/>
        <w:ind w:left="124"/>
      </w:pPr>
      <w:r>
        <w:rPr>
          <w:color w:val="333333"/>
          <w:w w:val="110"/>
        </w:rPr>
        <w:t>When your application starts, you should see something similar to the following output:</w:t>
      </w:r>
    </w:p>
    <w:p w14:paraId="124E1E02" w14:textId="77777777" w:rsidR="00A720EB" w:rsidRDefault="00A720EB">
      <w:pPr>
        <w:pStyle w:val="a3"/>
        <w:rPr>
          <w:sz w:val="20"/>
        </w:rPr>
      </w:pPr>
    </w:p>
    <w:p w14:paraId="59E1FEED" w14:textId="77777777" w:rsidR="00A720EB" w:rsidRDefault="00A720EB">
      <w:pPr>
        <w:pStyle w:val="a3"/>
        <w:spacing w:before="2"/>
        <w:rPr>
          <w:sz w:val="23"/>
        </w:rPr>
      </w:pPr>
    </w:p>
    <w:p w14:paraId="4DFDBFE2" w14:textId="77777777" w:rsidR="00A720EB" w:rsidRDefault="00E10349">
      <w:pPr>
        <w:tabs>
          <w:tab w:val="left" w:pos="1004"/>
          <w:tab w:val="left" w:pos="1544"/>
          <w:tab w:val="left" w:pos="2544"/>
          <w:tab w:val="left" w:pos="3974"/>
        </w:tabs>
        <w:spacing w:line="278" w:lineRule="exact"/>
        <w:ind w:left="564"/>
        <w:rPr>
          <w:rFonts w:ascii="MS Gothic"/>
        </w:rPr>
      </w:pPr>
      <w:r>
        <w:pict w14:anchorId="7D2555BD">
          <v:group id="_x0000_s4720" style="position:absolute;left:0;text-align:left;margin-left:47.85pt;margin-top:-12.2pt;width:499.55pt;height:332.3pt;z-index:-41725440;mso-position-horizontal-relative:page" coordorigin="957,-244" coordsize="9991,6646">
            <v:shape id="_x0000_s4722" style="position:absolute;left:964;top:-237;width:9976;height:6631" coordorigin="965,-237" coordsize="9976,6631" path="m10861,-237r-9816,l1014,-230r-26,17l971,-188r-6,31l965,6314r6,31l988,6371r26,17l1045,6394r9816,l10892,6388r25,-17l10935,6345r6,-31l10941,-157r-6,-31l10917,-213r-25,-17l10861,-237xe" fillcolor="#f5f5f5" stroked="f">
              <v:path arrowok="t"/>
            </v:shape>
            <v:shape id="_x0000_s4721" style="position:absolute;left:964;top:-237;width:9976;height:6631" coordorigin="965,-237" coordsize="9976,6631" path="m1045,-237r9816,l10892,-230r25,17l10935,-188r6,31l10941,6314r-6,31l10917,6371r-25,17l10861,6394r-9816,l1014,6388r-26,-17l971,6345r-6,-31l965,-157r6,-31l988,-213r26,-17l1045,-237xe" filled="f" strokecolor="#ccc">
              <v:path arrowok="t"/>
            </v:shape>
            <w10:wrap anchorx="page"/>
          </v:group>
        </w:pict>
      </w:r>
      <w:r w:rsidR="0030286B">
        <w:rPr>
          <w:rFonts w:ascii="MS Gothic"/>
          <w:color w:val="333333"/>
        </w:rPr>
        <w:t>.</w:t>
      </w:r>
      <w:r w:rsidR="0030286B">
        <w:rPr>
          <w:rFonts w:ascii="MS Gothic"/>
          <w:color w:val="333333"/>
        </w:rPr>
        <w:tab/>
      </w:r>
      <w:r w:rsidR="0030286B">
        <w:rPr>
          <w:rFonts w:ascii="MS Gothic"/>
          <w:color w:val="333333"/>
          <w:u w:val="single" w:color="323232"/>
        </w:rPr>
        <w:tab/>
      </w:r>
      <w:r w:rsidR="0030286B">
        <w:rPr>
          <w:rFonts w:ascii="MS Gothic"/>
          <w:color w:val="333333"/>
        </w:rPr>
        <w:tab/>
        <w:t>_</w:t>
      </w:r>
      <w:r w:rsidR="0030286B">
        <w:rPr>
          <w:rFonts w:ascii="MS Gothic"/>
          <w:color w:val="333333"/>
        </w:rPr>
        <w:tab/>
        <w:t>_ _</w:t>
      </w:r>
    </w:p>
    <w:p w14:paraId="1AB72FA0" w14:textId="77777777" w:rsidR="00A720EB" w:rsidRDefault="0030286B">
      <w:pPr>
        <w:tabs>
          <w:tab w:val="left" w:pos="1434"/>
        </w:tabs>
        <w:spacing w:before="17" w:line="252" w:lineRule="auto"/>
        <w:ind w:left="344" w:right="5368" w:firstLine="110"/>
        <w:rPr>
          <w:rFonts w:ascii="MS Gothic"/>
        </w:rPr>
      </w:pPr>
      <w:r>
        <w:rPr>
          <w:rFonts w:ascii="MS Gothic"/>
          <w:color w:val="333333"/>
        </w:rPr>
        <w:t>/\\ /</w:t>
      </w:r>
      <w:r>
        <w:rPr>
          <w:rFonts w:ascii="MS Gothic"/>
          <w:color w:val="333333"/>
          <w:u w:val="single" w:color="323232"/>
        </w:rPr>
        <w:tab/>
      </w:r>
      <w:r>
        <w:rPr>
          <w:rFonts w:ascii="MS Gothic"/>
          <w:color w:val="333333"/>
        </w:rPr>
        <w:t xml:space="preserve">'_ </w:t>
      </w:r>
      <w:r>
        <w:rPr>
          <w:rFonts w:ascii="MS Gothic"/>
          <w:color w:val="333333"/>
          <w:u w:val="single" w:color="323232"/>
        </w:rPr>
        <w:t xml:space="preserve">   </w:t>
      </w:r>
      <w:r>
        <w:rPr>
          <w:rFonts w:ascii="MS Gothic"/>
          <w:color w:val="333333"/>
        </w:rPr>
        <w:t xml:space="preserve">_ _(_)_ </w:t>
      </w:r>
      <w:r>
        <w:rPr>
          <w:rFonts w:ascii="MS Gothic"/>
          <w:color w:val="333333"/>
          <w:u w:val="single" w:color="323232"/>
        </w:rPr>
        <w:t xml:space="preserve">   </w:t>
      </w:r>
      <w:r>
        <w:rPr>
          <w:rFonts w:ascii="MS Gothic"/>
          <w:color w:val="333333"/>
        </w:rPr>
        <w:t xml:space="preserve"> </w:t>
      </w:r>
      <w:r>
        <w:rPr>
          <w:rFonts w:ascii="MS Gothic"/>
          <w:color w:val="333333"/>
          <w:u w:val="single" w:color="323232"/>
        </w:rPr>
        <w:t xml:space="preserve">   </w:t>
      </w:r>
      <w:r>
        <w:rPr>
          <w:rFonts w:ascii="MS Gothic"/>
          <w:color w:val="333333"/>
        </w:rPr>
        <w:t>_ \ \ \ \ ( ( )\</w:t>
      </w:r>
      <w:r>
        <w:rPr>
          <w:rFonts w:ascii="MS Gothic"/>
          <w:color w:val="333333"/>
          <w:u w:val="single" w:color="323232"/>
        </w:rPr>
        <w:tab/>
      </w:r>
      <w:r>
        <w:rPr>
          <w:rFonts w:ascii="MS Gothic"/>
          <w:color w:val="333333"/>
        </w:rPr>
        <w:t>| '_ | '_| | '_ \/ _` | \ \ \ \</w:t>
      </w:r>
    </w:p>
    <w:p w14:paraId="00AABD88" w14:textId="77777777" w:rsidR="00A720EB" w:rsidRDefault="0030286B">
      <w:pPr>
        <w:tabs>
          <w:tab w:val="left" w:pos="894"/>
          <w:tab w:val="left" w:pos="1004"/>
          <w:tab w:val="left" w:pos="1334"/>
          <w:tab w:val="left" w:pos="1444"/>
          <w:tab w:val="left" w:pos="4194"/>
        </w:tabs>
        <w:spacing w:line="252" w:lineRule="auto"/>
        <w:ind w:left="564" w:right="5258" w:hanging="110"/>
        <w:rPr>
          <w:rFonts w:ascii="MS Gothic"/>
        </w:rPr>
      </w:pPr>
      <w:r>
        <w:rPr>
          <w:rFonts w:ascii="MS Gothic"/>
          <w:color w:val="333333"/>
        </w:rPr>
        <w:t>\\/</w:t>
      </w:r>
      <w:r>
        <w:rPr>
          <w:rFonts w:ascii="MS Gothic"/>
          <w:color w:val="333333"/>
        </w:rPr>
        <w:tab/>
      </w:r>
      <w:r>
        <w:rPr>
          <w:rFonts w:ascii="MS Gothic"/>
          <w:color w:val="333333"/>
        </w:rPr>
        <w:tab/>
      </w:r>
      <w:r>
        <w:rPr>
          <w:rFonts w:ascii="MS Gothic"/>
          <w:color w:val="333333"/>
          <w:u w:val="single" w:color="323232"/>
        </w:rPr>
        <w:tab/>
      </w:r>
      <w:r>
        <w:rPr>
          <w:rFonts w:ascii="MS Gothic"/>
          <w:color w:val="333333"/>
        </w:rPr>
        <w:t>)| |_)| | | | | || (_| |</w:t>
      </w:r>
      <w:r>
        <w:rPr>
          <w:rFonts w:ascii="MS Gothic"/>
          <w:color w:val="333333"/>
        </w:rPr>
        <w:tab/>
        <w:t xml:space="preserve">) ) ) </w:t>
      </w:r>
      <w:r>
        <w:rPr>
          <w:rFonts w:ascii="MS Gothic"/>
          <w:color w:val="333333"/>
          <w:spacing w:val="-17"/>
        </w:rPr>
        <w:t xml:space="preserve">) </w:t>
      </w:r>
      <w:r>
        <w:rPr>
          <w:rFonts w:ascii="MS Gothic"/>
          <w:color w:val="333333"/>
        </w:rPr>
        <w:t>'</w:t>
      </w:r>
      <w:r>
        <w:rPr>
          <w:rFonts w:ascii="MS Gothic"/>
          <w:color w:val="333333"/>
        </w:rPr>
        <w:tab/>
        <w:t>|</w:t>
      </w:r>
      <w:r>
        <w:rPr>
          <w:rFonts w:ascii="MS Gothic"/>
          <w:color w:val="333333"/>
          <w:u w:val="single" w:color="323232"/>
        </w:rPr>
        <w:tab/>
      </w:r>
      <w:r>
        <w:rPr>
          <w:rFonts w:ascii="MS Gothic"/>
          <w:color w:val="333333"/>
          <w:u w:val="single" w:color="323232"/>
        </w:rPr>
        <w:tab/>
      </w:r>
      <w:r>
        <w:rPr>
          <w:rFonts w:ascii="MS Gothic"/>
          <w:color w:val="333333"/>
          <w:u w:val="single" w:color="323232"/>
        </w:rPr>
        <w:tab/>
      </w:r>
      <w:r>
        <w:rPr>
          <w:rFonts w:ascii="MS Gothic"/>
          <w:color w:val="333333"/>
        </w:rPr>
        <w:t>| .</w:t>
      </w:r>
      <w:r>
        <w:rPr>
          <w:rFonts w:ascii="MS Gothic"/>
          <w:color w:val="333333"/>
          <w:u w:val="single" w:color="323232"/>
        </w:rPr>
        <w:t xml:space="preserve"> </w:t>
      </w:r>
      <w:r>
        <w:rPr>
          <w:rFonts w:ascii="MS Gothic"/>
          <w:color w:val="333333"/>
        </w:rPr>
        <w:t>|_| |_|_| |_\</w:t>
      </w:r>
      <w:r>
        <w:rPr>
          <w:rFonts w:ascii="MS Gothic"/>
          <w:color w:val="333333"/>
          <w:u w:val="single" w:color="323232"/>
        </w:rPr>
        <w:t xml:space="preserve"> </w:t>
      </w:r>
      <w:r>
        <w:rPr>
          <w:rFonts w:ascii="MS Gothic"/>
          <w:color w:val="333333"/>
        </w:rPr>
        <w:t>, | / / / /</w:t>
      </w:r>
    </w:p>
    <w:p w14:paraId="3135CAEC" w14:textId="77777777" w:rsidR="00A720EB" w:rsidRDefault="0030286B">
      <w:pPr>
        <w:tabs>
          <w:tab w:val="left" w:pos="3754"/>
        </w:tabs>
        <w:spacing w:line="280" w:lineRule="exact"/>
        <w:ind w:left="454"/>
        <w:rPr>
          <w:rFonts w:ascii="MS Gothic"/>
        </w:rPr>
      </w:pPr>
      <w:r>
        <w:rPr>
          <w:rFonts w:ascii="MS Gothic"/>
          <w:color w:val="333333"/>
        </w:rPr>
        <w:t>=========|_|==============|</w:t>
      </w:r>
      <w:r>
        <w:rPr>
          <w:rFonts w:ascii="MS Gothic"/>
          <w:color w:val="333333"/>
          <w:u w:val="single" w:color="323232"/>
        </w:rPr>
        <w:tab/>
      </w:r>
      <w:r>
        <w:rPr>
          <w:rFonts w:ascii="MS Gothic"/>
          <w:color w:val="333333"/>
        </w:rPr>
        <w:t>/=/_/_/_/</w:t>
      </w:r>
    </w:p>
    <w:p w14:paraId="77B68245" w14:textId="77777777" w:rsidR="00A720EB" w:rsidRDefault="0030286B">
      <w:pPr>
        <w:tabs>
          <w:tab w:val="left" w:pos="2654"/>
        </w:tabs>
        <w:spacing w:before="10"/>
        <w:ind w:left="454"/>
        <w:rPr>
          <w:rFonts w:ascii="MS Gothic"/>
        </w:rPr>
      </w:pPr>
      <w:proofErr w:type="gramStart"/>
      <w:r>
        <w:rPr>
          <w:rFonts w:ascii="MS Gothic"/>
          <w:color w:val="333333"/>
        </w:rPr>
        <w:t>::</w:t>
      </w:r>
      <w:proofErr w:type="gramEnd"/>
      <w:r>
        <w:rPr>
          <w:rFonts w:ascii="MS Gothic"/>
          <w:color w:val="333333"/>
        </w:rPr>
        <w:t xml:space="preserve"> Spring Boot ::</w:t>
      </w:r>
      <w:r>
        <w:rPr>
          <w:rFonts w:ascii="MS Gothic"/>
          <w:color w:val="333333"/>
        </w:rPr>
        <w:tab/>
        <w:t>v2.3.4.RELEASE</w:t>
      </w:r>
    </w:p>
    <w:p w14:paraId="2FB081CC" w14:textId="77777777" w:rsidR="00A720EB" w:rsidRDefault="00A720EB">
      <w:pPr>
        <w:pStyle w:val="a3"/>
        <w:rPr>
          <w:rFonts w:ascii="MS Gothic"/>
          <w:sz w:val="24"/>
        </w:rPr>
      </w:pPr>
    </w:p>
    <w:p w14:paraId="2170408F" w14:textId="77777777" w:rsidR="00A720EB" w:rsidRDefault="0030286B">
      <w:pPr>
        <w:tabs>
          <w:tab w:val="left" w:pos="3094"/>
          <w:tab w:val="left" w:pos="6064"/>
        </w:tabs>
        <w:spacing w:before="1"/>
        <w:ind w:left="344"/>
        <w:rPr>
          <w:rFonts w:ascii="MS Gothic"/>
        </w:rPr>
      </w:pPr>
      <w:r>
        <w:rPr>
          <w:rFonts w:ascii="MS Gothic"/>
          <w:color w:val="333333"/>
        </w:rPr>
        <w:t>2019-04-31 13:09:54.117</w:t>
      </w:r>
      <w:r>
        <w:rPr>
          <w:rFonts w:ascii="MS Gothic"/>
          <w:color w:val="333333"/>
        </w:rPr>
        <w:tab/>
        <w:t>INFO 56603 --- [</w:t>
      </w:r>
      <w:r>
        <w:rPr>
          <w:rFonts w:ascii="MS Gothic"/>
          <w:color w:val="333333"/>
        </w:rPr>
        <w:tab/>
        <w:t>main]</w:t>
      </w:r>
    </w:p>
    <w:p w14:paraId="6A69726E" w14:textId="77777777" w:rsidR="00A720EB" w:rsidRDefault="0030286B">
      <w:pPr>
        <w:tabs>
          <w:tab w:val="left" w:pos="4854"/>
        </w:tabs>
        <w:spacing w:before="12" w:line="252" w:lineRule="auto"/>
        <w:ind w:left="344" w:right="1188"/>
        <w:rPr>
          <w:rFonts w:ascii="MS Gothic"/>
        </w:rPr>
      </w:pPr>
      <w:proofErr w:type="gramStart"/>
      <w:r>
        <w:rPr>
          <w:rFonts w:ascii="MS Gothic"/>
          <w:color w:val="333333"/>
        </w:rPr>
        <w:t>o.s.b.s.app.SampleApplication</w:t>
      </w:r>
      <w:proofErr w:type="gramEnd"/>
      <w:r>
        <w:rPr>
          <w:rFonts w:ascii="MS Gothic"/>
          <w:color w:val="333333"/>
        </w:rPr>
        <w:tab/>
        <w:t xml:space="preserve">: Starting SampleApplication v0.1.0 </w:t>
      </w:r>
      <w:r>
        <w:rPr>
          <w:rFonts w:ascii="MS Gothic"/>
          <w:color w:val="333333"/>
          <w:spacing w:val="-9"/>
        </w:rPr>
        <w:t xml:space="preserve">on </w:t>
      </w:r>
      <w:r>
        <w:rPr>
          <w:rFonts w:ascii="MS Gothic"/>
          <w:color w:val="333333"/>
        </w:rPr>
        <w:t>mycomputer with PID 56603 (/apps/myapp.jar started by pwebb)</w:t>
      </w:r>
    </w:p>
    <w:p w14:paraId="6A57E6E9" w14:textId="77777777" w:rsidR="00A720EB" w:rsidRDefault="0030286B">
      <w:pPr>
        <w:tabs>
          <w:tab w:val="left" w:pos="3094"/>
          <w:tab w:val="left" w:pos="6064"/>
        </w:tabs>
        <w:spacing w:line="280" w:lineRule="exact"/>
        <w:ind w:left="344"/>
        <w:rPr>
          <w:rFonts w:ascii="MS Gothic"/>
        </w:rPr>
      </w:pPr>
      <w:r>
        <w:rPr>
          <w:rFonts w:ascii="MS Gothic"/>
          <w:color w:val="333333"/>
        </w:rPr>
        <w:t>2019-04-31 13:09:54.166</w:t>
      </w:r>
      <w:r>
        <w:rPr>
          <w:rFonts w:ascii="MS Gothic"/>
          <w:color w:val="333333"/>
        </w:rPr>
        <w:tab/>
        <w:t>INFO 56603 --- [</w:t>
      </w:r>
      <w:r>
        <w:rPr>
          <w:rFonts w:ascii="MS Gothic"/>
          <w:color w:val="333333"/>
        </w:rPr>
        <w:tab/>
        <w:t>main]</w:t>
      </w:r>
    </w:p>
    <w:p w14:paraId="494269A3" w14:textId="77777777" w:rsidR="00A720EB" w:rsidRDefault="0030286B">
      <w:pPr>
        <w:spacing w:before="13" w:line="252" w:lineRule="auto"/>
        <w:ind w:left="344" w:right="406"/>
        <w:rPr>
          <w:rFonts w:ascii="MS Gothic"/>
        </w:rPr>
      </w:pPr>
      <w:proofErr w:type="gramStart"/>
      <w:r>
        <w:rPr>
          <w:rFonts w:ascii="MS Gothic"/>
          <w:color w:val="333333"/>
        </w:rPr>
        <w:t>ationConfigServletWebServerApplicationContext :</w:t>
      </w:r>
      <w:proofErr w:type="gramEnd"/>
      <w:r>
        <w:rPr>
          <w:rFonts w:ascii="MS Gothic"/>
          <w:color w:val="333333"/>
        </w:rPr>
        <w:t xml:space="preserve"> Refreshing org.springframework.boot.web.servlet.context.AnnotationConfigServletWebServerApplicati onContext@6e5a8246: startup date [Wed Jul 31 00:08:16 PDT 2013]; root of context hierarchy</w:t>
      </w:r>
    </w:p>
    <w:p w14:paraId="13DB68C3" w14:textId="77777777" w:rsidR="00A720EB" w:rsidRDefault="0030286B">
      <w:pPr>
        <w:tabs>
          <w:tab w:val="left" w:pos="3094"/>
          <w:tab w:val="left" w:pos="6064"/>
        </w:tabs>
        <w:spacing w:line="277" w:lineRule="exact"/>
        <w:ind w:left="344"/>
        <w:rPr>
          <w:rFonts w:ascii="MS Gothic"/>
        </w:rPr>
      </w:pPr>
      <w:r>
        <w:rPr>
          <w:rFonts w:ascii="MS Gothic"/>
          <w:color w:val="333333"/>
        </w:rPr>
        <w:t>2019-04-01 13:09:56.912</w:t>
      </w:r>
      <w:r>
        <w:rPr>
          <w:rFonts w:ascii="MS Gothic"/>
          <w:color w:val="333333"/>
        </w:rPr>
        <w:tab/>
        <w:t>INFO 41370 --- [</w:t>
      </w:r>
      <w:r>
        <w:rPr>
          <w:rFonts w:ascii="MS Gothic"/>
          <w:color w:val="333333"/>
        </w:rPr>
        <w:tab/>
        <w:t>main]</w:t>
      </w:r>
    </w:p>
    <w:p w14:paraId="634EAC72" w14:textId="77777777" w:rsidR="00A720EB" w:rsidRDefault="0030286B">
      <w:pPr>
        <w:tabs>
          <w:tab w:val="left" w:pos="3094"/>
          <w:tab w:val="left" w:pos="6064"/>
        </w:tabs>
        <w:spacing w:before="13" w:line="252" w:lineRule="auto"/>
        <w:ind w:left="344" w:right="2288"/>
        <w:rPr>
          <w:rFonts w:ascii="MS Gothic"/>
        </w:rPr>
      </w:pPr>
      <w:r>
        <w:rPr>
          <w:rFonts w:ascii="MS Gothic"/>
          <w:color w:val="333333"/>
        </w:rPr>
        <w:t>.</w:t>
      </w:r>
      <w:proofErr w:type="gramStart"/>
      <w:r>
        <w:rPr>
          <w:rFonts w:ascii="MS Gothic"/>
          <w:color w:val="333333"/>
        </w:rPr>
        <w:t>t.TomcatServletWebServerFactory</w:t>
      </w:r>
      <w:proofErr w:type="gramEnd"/>
      <w:r>
        <w:rPr>
          <w:rFonts w:ascii="MS Gothic"/>
          <w:color w:val="333333"/>
        </w:rPr>
        <w:t xml:space="preserve"> : Server initialized with port: </w:t>
      </w:r>
      <w:r>
        <w:rPr>
          <w:rFonts w:ascii="MS Gothic"/>
          <w:color w:val="333333"/>
          <w:spacing w:val="-5"/>
        </w:rPr>
        <w:t xml:space="preserve">8080 </w:t>
      </w:r>
      <w:r>
        <w:rPr>
          <w:rFonts w:ascii="MS Gothic"/>
          <w:color w:val="333333"/>
        </w:rPr>
        <w:t>2019-04-01 13:09:57.501</w:t>
      </w:r>
      <w:r>
        <w:rPr>
          <w:rFonts w:ascii="MS Gothic"/>
          <w:color w:val="333333"/>
        </w:rPr>
        <w:tab/>
        <w:t>INFO 41370 --- [</w:t>
      </w:r>
      <w:r>
        <w:rPr>
          <w:rFonts w:ascii="MS Gothic"/>
          <w:color w:val="333333"/>
        </w:rPr>
        <w:tab/>
        <w:t>main]</w:t>
      </w:r>
    </w:p>
    <w:p w14:paraId="5C3A86AD" w14:textId="77777777" w:rsidR="00A720EB" w:rsidRDefault="0030286B">
      <w:pPr>
        <w:tabs>
          <w:tab w:val="left" w:pos="4854"/>
        </w:tabs>
        <w:spacing w:line="252" w:lineRule="auto"/>
        <w:ind w:left="344" w:right="528"/>
        <w:rPr>
          <w:rFonts w:ascii="MS Gothic"/>
        </w:rPr>
      </w:pPr>
      <w:proofErr w:type="gramStart"/>
      <w:r>
        <w:rPr>
          <w:rFonts w:ascii="MS Gothic"/>
          <w:color w:val="333333"/>
        </w:rPr>
        <w:t>o.s.b.s.app.SampleApplication</w:t>
      </w:r>
      <w:proofErr w:type="gramEnd"/>
      <w:r>
        <w:rPr>
          <w:rFonts w:ascii="MS Gothic"/>
          <w:color w:val="333333"/>
        </w:rPr>
        <w:tab/>
        <w:t xml:space="preserve">: Started SampleApplication in 2.992 </w:t>
      </w:r>
      <w:r>
        <w:rPr>
          <w:rFonts w:ascii="MS Gothic"/>
          <w:color w:val="333333"/>
          <w:spacing w:val="-3"/>
        </w:rPr>
        <w:t xml:space="preserve">seconds </w:t>
      </w:r>
      <w:r>
        <w:rPr>
          <w:rFonts w:ascii="MS Gothic"/>
          <w:color w:val="333333"/>
        </w:rPr>
        <w:t>(JVM running for 3.658)</w:t>
      </w:r>
    </w:p>
    <w:p w14:paraId="4C4D7EF4" w14:textId="77777777" w:rsidR="00A720EB" w:rsidRDefault="00A720EB">
      <w:pPr>
        <w:pStyle w:val="a3"/>
        <w:spacing w:before="7"/>
        <w:rPr>
          <w:rFonts w:ascii="MS Gothic"/>
          <w:sz w:val="36"/>
        </w:rPr>
      </w:pPr>
    </w:p>
    <w:p w14:paraId="540C23E4" w14:textId="77777777" w:rsidR="00A720EB" w:rsidRDefault="0030286B">
      <w:pPr>
        <w:pStyle w:val="a3"/>
        <w:spacing w:line="292" w:lineRule="auto"/>
        <w:ind w:left="124" w:right="124"/>
        <w:jc w:val="both"/>
      </w:pPr>
      <w:r>
        <w:rPr>
          <w:color w:val="333333"/>
          <w:spacing w:val="-3"/>
          <w:w w:val="110"/>
        </w:rPr>
        <w:t xml:space="preserve">By </w:t>
      </w:r>
      <w:r>
        <w:rPr>
          <w:color w:val="333333"/>
          <w:w w:val="110"/>
        </w:rPr>
        <w:t xml:space="preserve">default, </w:t>
      </w:r>
      <w:r>
        <w:rPr>
          <w:rFonts w:ascii="MS Gothic" w:hAnsi="MS Gothic"/>
          <w:color w:val="B02045"/>
          <w:w w:val="110"/>
        </w:rPr>
        <w:t xml:space="preserve">INFO </w:t>
      </w:r>
      <w:r>
        <w:rPr>
          <w:color w:val="333333"/>
          <w:w w:val="110"/>
        </w:rPr>
        <w:t xml:space="preserve">logging messages are shown, including some relevant startup details, such as the user that launched the application. If you need a log level other than </w:t>
      </w:r>
      <w:r>
        <w:rPr>
          <w:rFonts w:ascii="MS Gothic" w:hAnsi="MS Gothic"/>
          <w:color w:val="B02045"/>
          <w:w w:val="110"/>
        </w:rPr>
        <w:t>INFO</w:t>
      </w:r>
      <w:r>
        <w:rPr>
          <w:color w:val="333333"/>
          <w:w w:val="110"/>
        </w:rPr>
        <w:t xml:space="preserve">, you can set </w:t>
      </w:r>
      <w:proofErr w:type="gramStart"/>
      <w:r>
        <w:rPr>
          <w:color w:val="333333"/>
          <w:w w:val="110"/>
        </w:rPr>
        <w:t>it,  as</w:t>
      </w:r>
      <w:proofErr w:type="gramEnd"/>
      <w:r>
        <w:rPr>
          <w:color w:val="333333"/>
          <w:w w:val="110"/>
        </w:rPr>
        <w:t xml:space="preserve">  described in </w:t>
      </w:r>
      <w:hyperlink w:anchor="_bookmark135" w:history="1">
        <w:r>
          <w:rPr>
            <w:color w:val="418BCA"/>
            <w:w w:val="110"/>
          </w:rPr>
          <w:t>Log Levels</w:t>
        </w:r>
      </w:hyperlink>
      <w:r>
        <w:rPr>
          <w:color w:val="333333"/>
          <w:w w:val="110"/>
        </w:rPr>
        <w:t xml:space="preserve">. The application version is determined using the implementation version from the main application class’s package. Startup information logging can be turned off </w:t>
      </w:r>
      <w:r>
        <w:rPr>
          <w:color w:val="333333"/>
          <w:spacing w:val="-3"/>
          <w:w w:val="110"/>
        </w:rPr>
        <w:t xml:space="preserve">by </w:t>
      </w:r>
      <w:r>
        <w:rPr>
          <w:color w:val="333333"/>
          <w:w w:val="110"/>
        </w:rPr>
        <w:t xml:space="preserve">setting </w:t>
      </w:r>
      <w:r>
        <w:rPr>
          <w:rFonts w:ascii="MS Gothic" w:hAnsi="MS Gothic"/>
          <w:color w:val="B02045"/>
          <w:w w:val="110"/>
        </w:rPr>
        <w:t xml:space="preserve">spring.main.log-startup-info </w:t>
      </w:r>
      <w:r>
        <w:rPr>
          <w:color w:val="333333"/>
          <w:w w:val="110"/>
        </w:rPr>
        <w:t xml:space="preserve">to </w:t>
      </w:r>
      <w:r>
        <w:rPr>
          <w:rFonts w:ascii="MS Gothic" w:hAnsi="MS Gothic"/>
          <w:color w:val="B02045"/>
          <w:w w:val="110"/>
        </w:rPr>
        <w:t>false</w:t>
      </w:r>
      <w:r>
        <w:rPr>
          <w:color w:val="333333"/>
          <w:w w:val="110"/>
        </w:rPr>
        <w:t>. This will also turn off logging of the application’s active profiles.</w:t>
      </w:r>
    </w:p>
    <w:p w14:paraId="70C9C614" w14:textId="77777777" w:rsidR="00A720EB" w:rsidRDefault="00A720EB">
      <w:pPr>
        <w:spacing w:line="292" w:lineRule="auto"/>
        <w:jc w:val="both"/>
        <w:sectPr w:rsidR="00A720EB">
          <w:pgSz w:w="11910" w:h="16840"/>
          <w:pgMar w:top="620" w:right="840" w:bottom="520" w:left="840" w:header="0" w:footer="323" w:gutter="0"/>
          <w:cols w:space="720"/>
        </w:sectPr>
      </w:pPr>
    </w:p>
    <w:p w14:paraId="07C0EED2" w14:textId="77777777" w:rsidR="00A720EB" w:rsidRDefault="00E10349">
      <w:pPr>
        <w:pStyle w:val="a3"/>
        <w:tabs>
          <w:tab w:val="left" w:pos="2168"/>
          <w:tab w:val="left" w:pos="2904"/>
          <w:tab w:val="left" w:pos="4285"/>
          <w:tab w:val="left" w:pos="5373"/>
          <w:tab w:val="left" w:pos="6409"/>
          <w:tab w:val="left" w:pos="7543"/>
          <w:tab w:val="left" w:pos="8276"/>
          <w:tab w:val="left" w:pos="8993"/>
        </w:tabs>
        <w:spacing w:before="122"/>
        <w:ind w:left="1564"/>
      </w:pPr>
      <w:r>
        <w:lastRenderedPageBreak/>
        <w:pict w14:anchorId="1C5729AD">
          <v:line id="_x0000_s4719" style="position:absolute;left:0;text-align:left;z-index:15810560;mso-position-horizontal-relative:page" from="108.25pt,.1pt" to="108.25pt,39.65pt" strokecolor="#ededed" strokeweight=".5pt">
            <w10:wrap anchorx="page"/>
          </v:line>
        </w:pict>
      </w:r>
      <w:r w:rsidR="0030286B">
        <w:rPr>
          <w:noProof/>
        </w:rPr>
        <w:drawing>
          <wp:anchor distT="0" distB="0" distL="0" distR="0" simplePos="0" relativeHeight="15811072" behindDoc="0" locked="0" layoutInCell="1" allowOverlap="1" wp14:anchorId="56E6889F" wp14:editId="65140D22">
            <wp:simplePos x="0" y="0"/>
            <wp:positionH relativeFrom="page">
              <wp:posOffset>888949</wp:posOffset>
            </wp:positionH>
            <wp:positionV relativeFrom="paragraph">
              <wp:posOffset>100242</wp:posOffset>
            </wp:positionV>
            <wp:extent cx="209550" cy="304800"/>
            <wp:effectExtent l="0" t="0" r="0" b="0"/>
            <wp:wrapNone/>
            <wp:docPr id="10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4"/>
          <w:w w:val="110"/>
        </w:rPr>
        <w:t>To</w:t>
      </w:r>
      <w:r w:rsidR="0030286B">
        <w:rPr>
          <w:color w:val="333333"/>
          <w:spacing w:val="-4"/>
          <w:w w:val="110"/>
        </w:rPr>
        <w:tab/>
      </w:r>
      <w:r w:rsidR="0030286B">
        <w:rPr>
          <w:color w:val="333333"/>
          <w:w w:val="110"/>
        </w:rPr>
        <w:t>add</w:t>
      </w:r>
      <w:r w:rsidR="0030286B">
        <w:rPr>
          <w:color w:val="333333"/>
          <w:w w:val="110"/>
        </w:rPr>
        <w:tab/>
        <w:t>additional</w:t>
      </w:r>
      <w:r w:rsidR="0030286B">
        <w:rPr>
          <w:color w:val="333333"/>
          <w:w w:val="110"/>
        </w:rPr>
        <w:tab/>
        <w:t>logging</w:t>
      </w:r>
      <w:r w:rsidR="0030286B">
        <w:rPr>
          <w:color w:val="333333"/>
          <w:w w:val="110"/>
        </w:rPr>
        <w:tab/>
        <w:t>during</w:t>
      </w:r>
      <w:r w:rsidR="0030286B">
        <w:rPr>
          <w:color w:val="333333"/>
          <w:w w:val="110"/>
        </w:rPr>
        <w:tab/>
        <w:t>startup,</w:t>
      </w:r>
      <w:r w:rsidR="0030286B">
        <w:rPr>
          <w:color w:val="333333"/>
          <w:w w:val="110"/>
        </w:rPr>
        <w:tab/>
        <w:t>you</w:t>
      </w:r>
      <w:r w:rsidR="0030286B">
        <w:rPr>
          <w:color w:val="333333"/>
          <w:w w:val="110"/>
        </w:rPr>
        <w:tab/>
        <w:t>can</w:t>
      </w:r>
      <w:r w:rsidR="0030286B">
        <w:rPr>
          <w:color w:val="333333"/>
          <w:w w:val="110"/>
        </w:rPr>
        <w:tab/>
        <w:t>override</w:t>
      </w:r>
    </w:p>
    <w:p w14:paraId="0F96A404" w14:textId="77777777" w:rsidR="00A720EB" w:rsidRDefault="0030286B">
      <w:pPr>
        <w:pStyle w:val="a3"/>
        <w:spacing w:before="59"/>
        <w:ind w:left="1564"/>
      </w:pPr>
      <w:r>
        <w:rPr>
          <w:rFonts w:ascii="MS Gothic"/>
          <w:color w:val="B02045"/>
          <w:w w:val="110"/>
        </w:rPr>
        <w:t>logStartupInfo(boolean)</w:t>
      </w:r>
      <w:r>
        <w:rPr>
          <w:rFonts w:ascii="MS Gothic"/>
          <w:color w:val="B02045"/>
          <w:spacing w:val="-85"/>
          <w:w w:val="110"/>
        </w:rPr>
        <w:t xml:space="preserve"> </w:t>
      </w:r>
      <w:r>
        <w:rPr>
          <w:color w:val="333333"/>
          <w:w w:val="110"/>
        </w:rPr>
        <w:t xml:space="preserve">in a subclass of </w:t>
      </w:r>
      <w:r>
        <w:rPr>
          <w:rFonts w:ascii="MS Gothic"/>
          <w:color w:val="B02045"/>
          <w:w w:val="110"/>
        </w:rPr>
        <w:t>SpringApplication</w:t>
      </w:r>
      <w:r>
        <w:rPr>
          <w:color w:val="333333"/>
          <w:w w:val="110"/>
        </w:rPr>
        <w:t>.</w:t>
      </w:r>
    </w:p>
    <w:p w14:paraId="211EE9FF" w14:textId="77777777" w:rsidR="00A720EB" w:rsidRDefault="00A720EB">
      <w:pPr>
        <w:pStyle w:val="a3"/>
        <w:spacing w:before="4"/>
        <w:rPr>
          <w:sz w:val="28"/>
        </w:rPr>
      </w:pPr>
    </w:p>
    <w:p w14:paraId="3A03AC7C" w14:textId="77777777" w:rsidR="00A720EB" w:rsidRDefault="0030286B">
      <w:pPr>
        <w:pStyle w:val="3"/>
        <w:numPr>
          <w:ilvl w:val="2"/>
          <w:numId w:val="68"/>
        </w:numPr>
        <w:tabs>
          <w:tab w:val="left" w:pos="858"/>
        </w:tabs>
        <w:spacing w:before="105"/>
        <w:ind w:hanging="734"/>
      </w:pPr>
      <w:bookmarkStart w:id="145" w:name="4.1.1._Startup_Failure"/>
      <w:bookmarkStart w:id="146" w:name="_Toc54423710"/>
      <w:bookmarkEnd w:id="145"/>
      <w:r>
        <w:rPr>
          <w:color w:val="333333"/>
          <w:w w:val="115"/>
        </w:rPr>
        <w:t>Startup</w:t>
      </w:r>
      <w:r>
        <w:rPr>
          <w:color w:val="333333"/>
          <w:spacing w:val="-9"/>
          <w:w w:val="115"/>
        </w:rPr>
        <w:t xml:space="preserve"> </w:t>
      </w:r>
      <w:r>
        <w:rPr>
          <w:color w:val="333333"/>
          <w:spacing w:val="-3"/>
          <w:w w:val="115"/>
        </w:rPr>
        <w:t>Failure</w:t>
      </w:r>
      <w:bookmarkEnd w:id="146"/>
    </w:p>
    <w:p w14:paraId="39FCEA83" w14:textId="77777777" w:rsidR="00A720EB" w:rsidRDefault="0030286B">
      <w:pPr>
        <w:pStyle w:val="a3"/>
        <w:spacing w:before="244" w:line="292" w:lineRule="auto"/>
        <w:ind w:left="124" w:right="125"/>
        <w:jc w:val="both"/>
      </w:pPr>
      <w:r>
        <w:rPr>
          <w:color w:val="333333"/>
          <w:w w:val="110"/>
        </w:rPr>
        <w:t xml:space="preserve">If your application fails to start, registered </w:t>
      </w:r>
      <w:r>
        <w:rPr>
          <w:rFonts w:ascii="MS Gothic"/>
          <w:color w:val="B02045"/>
          <w:w w:val="110"/>
        </w:rPr>
        <w:t xml:space="preserve">FailureAnalyzers </w:t>
      </w:r>
      <w:r>
        <w:rPr>
          <w:color w:val="333333"/>
          <w:w w:val="110"/>
        </w:rPr>
        <w:t xml:space="preserve">get a chance to provide a dedicated error message and a concrete action to fix the problem. </w:t>
      </w:r>
      <w:r>
        <w:rPr>
          <w:color w:val="333333"/>
          <w:spacing w:val="-4"/>
          <w:w w:val="110"/>
        </w:rPr>
        <w:t xml:space="preserve">For </w:t>
      </w:r>
      <w:r>
        <w:rPr>
          <w:color w:val="333333"/>
          <w:w w:val="110"/>
        </w:rPr>
        <w:t xml:space="preserve">instance, if you start a web </w:t>
      </w:r>
      <w:proofErr w:type="gramStart"/>
      <w:r>
        <w:rPr>
          <w:color w:val="333333"/>
          <w:w w:val="110"/>
        </w:rPr>
        <w:t>application  on</w:t>
      </w:r>
      <w:proofErr w:type="gramEnd"/>
      <w:r>
        <w:rPr>
          <w:color w:val="333333"/>
          <w:w w:val="110"/>
        </w:rPr>
        <w:t xml:space="preserve"> port </w:t>
      </w:r>
      <w:r>
        <w:rPr>
          <w:rFonts w:ascii="MS Gothic"/>
          <w:color w:val="B02045"/>
          <w:w w:val="110"/>
        </w:rPr>
        <w:t xml:space="preserve">8080 </w:t>
      </w:r>
      <w:r>
        <w:rPr>
          <w:color w:val="333333"/>
          <w:w w:val="110"/>
        </w:rPr>
        <w:t>and that port is already in use, you should see something similar to the following message:</w:t>
      </w:r>
    </w:p>
    <w:p w14:paraId="36BD78C9" w14:textId="77777777" w:rsidR="00A720EB" w:rsidRDefault="00E10349">
      <w:pPr>
        <w:pStyle w:val="a3"/>
        <w:spacing w:before="4"/>
        <w:rPr>
          <w:sz w:val="14"/>
        </w:rPr>
      </w:pPr>
      <w:r>
        <w:pict w14:anchorId="4D48B53B">
          <v:group id="_x0000_s4715" style="position:absolute;margin-left:47.85pt;margin-top:10.4pt;width:499.55pt;height:199.65pt;z-index:-15647744;mso-wrap-distance-left:0;mso-wrap-distance-right:0;mso-position-horizontal-relative:page" coordorigin="957,208" coordsize="9991,3993">
            <v:shape id="_x0000_s4718" style="position:absolute;left:964;top:215;width:9976;height:3978" coordorigin="965,216" coordsize="9976,3978" path="m10861,216r-9816,l1014,222r-26,17l971,265r-6,31l965,4113r6,32l988,4170r26,17l1045,4193r9816,l10892,4187r25,-17l10935,4145r6,-32l10941,296r-6,-31l10917,239r-25,-17l10861,216xe" fillcolor="#f5f5f5" stroked="f">
              <v:path arrowok="t"/>
            </v:shape>
            <v:shape id="_x0000_s4717" style="position:absolute;left:964;top:215;width:9976;height:3978" coordorigin="965,216" coordsize="9976,3978" path="m1045,216r9816,l10892,222r25,17l10935,265r6,31l10941,4113r-6,32l10917,4170r-25,17l10861,4193r-9816,l1014,4187r-26,-17l971,4145r-6,-32l965,296r6,-31l988,239r26,-17l1045,216xe" filled="f" strokecolor="#ccc">
              <v:path arrowok="t"/>
            </v:shape>
            <v:shape id="_x0000_s4716" type="#_x0000_t202" style="position:absolute;left:984;top:231;width:9938;height:3947" filled="f" stroked="f">
              <v:textbox inset="0,0,0,0">
                <w:txbxContent>
                  <w:p w14:paraId="593C0F7D" w14:textId="77777777" w:rsidR="00711A16" w:rsidRDefault="00711A16">
                    <w:pPr>
                      <w:spacing w:before="221" w:line="252" w:lineRule="auto"/>
                      <w:ind w:left="200" w:right="6748"/>
                      <w:rPr>
                        <w:rFonts w:ascii="MS Gothic"/>
                      </w:rPr>
                    </w:pPr>
                    <w:r>
                      <w:rPr>
                        <w:rFonts w:ascii="MS Gothic"/>
                        <w:color w:val="333333"/>
                      </w:rPr>
                      <w:t>*************************** APPLICATION FAILED TO START</w:t>
                    </w:r>
                  </w:p>
                  <w:p w14:paraId="702B1EA6" w14:textId="77777777" w:rsidR="00711A16" w:rsidRDefault="00711A16">
                    <w:pPr>
                      <w:spacing w:line="501" w:lineRule="auto"/>
                      <w:ind w:left="200" w:right="6748"/>
                      <w:rPr>
                        <w:rFonts w:ascii="MS Gothic"/>
                      </w:rPr>
                    </w:pPr>
                    <w:r>
                      <w:rPr>
                        <w:rFonts w:ascii="MS Gothic"/>
                        <w:color w:val="333333"/>
                      </w:rPr>
                      <w:t>*************************** Description:</w:t>
                    </w:r>
                  </w:p>
                  <w:p w14:paraId="4143CA41" w14:textId="77777777" w:rsidR="00711A16" w:rsidRDefault="00711A16">
                    <w:pPr>
                      <w:spacing w:line="501" w:lineRule="auto"/>
                      <w:ind w:left="200" w:right="1688"/>
                      <w:rPr>
                        <w:rFonts w:ascii="MS Gothic"/>
                      </w:rPr>
                    </w:pPr>
                    <w:r>
                      <w:rPr>
                        <w:rFonts w:ascii="MS Gothic"/>
                        <w:color w:val="333333"/>
                      </w:rPr>
                      <w:t>Embedded servlet container failed to start. Port 8080 was already in use. Action:</w:t>
                    </w:r>
                  </w:p>
                  <w:p w14:paraId="60B2F481" w14:textId="77777777" w:rsidR="00711A16" w:rsidRDefault="00711A16">
                    <w:pPr>
                      <w:spacing w:line="252" w:lineRule="auto"/>
                      <w:ind w:left="200" w:right="1248"/>
                      <w:rPr>
                        <w:rFonts w:ascii="MS Gothic"/>
                      </w:rPr>
                    </w:pPr>
                    <w:r>
                      <w:rPr>
                        <w:rFonts w:ascii="MS Gothic"/>
                        <w:color w:val="333333"/>
                      </w:rPr>
                      <w:t>Identify and stop the process that's listening on port 8080 or configure this application to listen on another port.</w:t>
                    </w:r>
                  </w:p>
                </w:txbxContent>
              </v:textbox>
            </v:shape>
            <w10:wrap type="topAndBottom" anchorx="page"/>
          </v:group>
        </w:pict>
      </w:r>
    </w:p>
    <w:p w14:paraId="1DCF7EA7" w14:textId="77777777" w:rsidR="00A720EB" w:rsidRDefault="00A720EB">
      <w:pPr>
        <w:pStyle w:val="a3"/>
        <w:spacing w:before="8"/>
        <w:rPr>
          <w:sz w:val="16"/>
        </w:rPr>
      </w:pPr>
    </w:p>
    <w:p w14:paraId="3C3A9905" w14:textId="77777777" w:rsidR="00A720EB" w:rsidRDefault="00E10349">
      <w:pPr>
        <w:pStyle w:val="a3"/>
        <w:spacing w:before="116" w:line="290" w:lineRule="auto"/>
        <w:ind w:left="1564" w:right="462"/>
      </w:pPr>
      <w:r>
        <w:pict w14:anchorId="795D7724">
          <v:line id="_x0000_s4714" style="position:absolute;left:0;text-align:left;z-index:15811584;mso-position-horizontal-relative:page" from="108.25pt,.35pt" to="108.25pt,39.9pt" strokecolor="#ededed" strokeweight=".5pt">
            <w10:wrap anchorx="page"/>
          </v:line>
        </w:pict>
      </w:r>
      <w:r w:rsidR="0030286B">
        <w:rPr>
          <w:noProof/>
        </w:rPr>
        <w:drawing>
          <wp:anchor distT="0" distB="0" distL="0" distR="0" simplePos="0" relativeHeight="15812096" behindDoc="0" locked="0" layoutInCell="1" allowOverlap="1" wp14:anchorId="11B090B3" wp14:editId="3DABD6CE">
            <wp:simplePos x="0" y="0"/>
            <wp:positionH relativeFrom="page">
              <wp:posOffset>844422</wp:posOffset>
            </wp:positionH>
            <wp:positionV relativeFrom="paragraph">
              <wp:posOffset>106248</wp:posOffset>
            </wp:positionV>
            <wp:extent cx="298450" cy="298450"/>
            <wp:effectExtent l="0" t="0" r="0" b="0"/>
            <wp:wrapNone/>
            <wp:docPr id="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Spring Boot provides numerous </w:t>
      </w:r>
      <w:r w:rsidR="0030286B">
        <w:rPr>
          <w:rFonts w:ascii="MS Gothic"/>
          <w:color w:val="B02045"/>
          <w:w w:val="110"/>
        </w:rPr>
        <w:t xml:space="preserve">FailureAnalyzer </w:t>
      </w:r>
      <w:r w:rsidR="0030286B">
        <w:rPr>
          <w:color w:val="333333"/>
          <w:w w:val="110"/>
        </w:rPr>
        <w:t xml:space="preserve">implementations, and you can </w:t>
      </w:r>
      <w:hyperlink w:anchor="_bookmark527" w:history="1">
        <w:r w:rsidR="0030286B">
          <w:rPr>
            <w:color w:val="418BCA"/>
            <w:w w:val="110"/>
          </w:rPr>
          <w:t>add your own</w:t>
        </w:r>
      </w:hyperlink>
      <w:r w:rsidR="0030286B">
        <w:rPr>
          <w:color w:val="333333"/>
          <w:w w:val="110"/>
        </w:rPr>
        <w:t>.</w:t>
      </w:r>
    </w:p>
    <w:p w14:paraId="2F0D322E" w14:textId="77777777" w:rsidR="00A720EB" w:rsidRDefault="00A720EB">
      <w:pPr>
        <w:pStyle w:val="a3"/>
        <w:spacing w:before="2"/>
        <w:rPr>
          <w:sz w:val="18"/>
        </w:rPr>
      </w:pPr>
    </w:p>
    <w:p w14:paraId="284ACEA0" w14:textId="77777777" w:rsidR="00A720EB" w:rsidRDefault="0030286B">
      <w:pPr>
        <w:pStyle w:val="a3"/>
        <w:tabs>
          <w:tab w:val="left" w:pos="3381"/>
          <w:tab w:val="left" w:pos="6490"/>
          <w:tab w:val="left" w:pos="9803"/>
        </w:tabs>
        <w:spacing w:before="126" w:line="288" w:lineRule="auto"/>
        <w:ind w:left="124" w:right="122"/>
        <w:jc w:val="both"/>
      </w:pPr>
      <w:r>
        <w:rPr>
          <w:color w:val="333333"/>
          <w:w w:val="110"/>
        </w:rPr>
        <w:t xml:space="preserve">If no failure analyzers are able to handle the exception, you can still display the full </w:t>
      </w:r>
      <w:proofErr w:type="gramStart"/>
      <w:r>
        <w:rPr>
          <w:color w:val="333333"/>
          <w:w w:val="110"/>
        </w:rPr>
        <w:t xml:space="preserve">conditions </w:t>
      </w:r>
      <w:r>
        <w:rPr>
          <w:color w:val="333333"/>
          <w:spacing w:val="50"/>
          <w:w w:val="110"/>
        </w:rPr>
        <w:t xml:space="preserve"> </w:t>
      </w:r>
      <w:r>
        <w:rPr>
          <w:color w:val="333333"/>
          <w:w w:val="110"/>
        </w:rPr>
        <w:t>report</w:t>
      </w:r>
      <w:proofErr w:type="gramEnd"/>
      <w:r>
        <w:rPr>
          <w:color w:val="333333"/>
          <w:w w:val="110"/>
        </w:rPr>
        <w:t xml:space="preserve"> to better understand what went wrong. </w:t>
      </w:r>
      <w:r>
        <w:rPr>
          <w:color w:val="333333"/>
          <w:spacing w:val="-4"/>
          <w:w w:val="110"/>
        </w:rPr>
        <w:t xml:space="preserve">To </w:t>
      </w:r>
      <w:r>
        <w:rPr>
          <w:color w:val="333333"/>
          <w:w w:val="110"/>
        </w:rPr>
        <w:t xml:space="preserve">do so, you need to </w:t>
      </w:r>
      <w:hyperlink w:anchor="_bookmark101" w:history="1">
        <w:r>
          <w:rPr>
            <w:color w:val="418BCA"/>
            <w:w w:val="110"/>
          </w:rPr>
          <w:t>enable the</w:t>
        </w:r>
      </w:hyperlink>
      <w:r>
        <w:rPr>
          <w:color w:val="418BCA"/>
          <w:w w:val="110"/>
        </w:rPr>
        <w:t xml:space="preserve"> </w:t>
      </w:r>
      <w:hyperlink w:anchor="_bookmark101" w:history="1">
        <w:r>
          <w:rPr>
            <w:rFonts w:ascii="MS Gothic"/>
            <w:color w:val="B02045"/>
            <w:w w:val="110"/>
          </w:rPr>
          <w:t xml:space="preserve">debug </w:t>
        </w:r>
      </w:hyperlink>
      <w:hyperlink w:anchor="_bookmark101" w:history="1">
        <w:r>
          <w:rPr>
            <w:color w:val="418BCA"/>
            <w:w w:val="110"/>
          </w:rPr>
          <w:t>property</w:t>
        </w:r>
      </w:hyperlink>
      <w:r>
        <w:rPr>
          <w:color w:val="418BCA"/>
          <w:w w:val="110"/>
        </w:rPr>
        <w:t xml:space="preserve"> </w:t>
      </w:r>
      <w:r>
        <w:rPr>
          <w:color w:val="333333"/>
          <w:w w:val="110"/>
        </w:rPr>
        <w:t xml:space="preserve">or </w:t>
      </w:r>
      <w:hyperlink w:anchor="_bookmark135" w:history="1">
        <w:r>
          <w:rPr>
            <w:color w:val="418BCA"/>
            <w:w w:val="110"/>
          </w:rPr>
          <w:t>enable</w:t>
        </w:r>
      </w:hyperlink>
      <w:r>
        <w:rPr>
          <w:color w:val="418BCA"/>
          <w:w w:val="110"/>
        </w:rPr>
        <w:tab/>
      </w:r>
      <w:hyperlink w:anchor="_bookmark135" w:history="1">
        <w:r>
          <w:rPr>
            <w:rFonts w:ascii="MS Gothic"/>
            <w:color w:val="B02045"/>
            <w:w w:val="110"/>
          </w:rPr>
          <w:t>DEBUG</w:t>
        </w:r>
      </w:hyperlink>
      <w:r>
        <w:rPr>
          <w:rFonts w:ascii="MS Gothic"/>
          <w:color w:val="B02045"/>
          <w:w w:val="110"/>
        </w:rPr>
        <w:tab/>
      </w:r>
      <w:hyperlink w:anchor="_bookmark135" w:history="1">
        <w:r>
          <w:rPr>
            <w:color w:val="418BCA"/>
            <w:w w:val="110"/>
          </w:rPr>
          <w:t>logging</w:t>
        </w:r>
      </w:hyperlink>
      <w:r>
        <w:rPr>
          <w:color w:val="418BCA"/>
          <w:w w:val="110"/>
        </w:rPr>
        <w:tab/>
      </w:r>
      <w:r>
        <w:rPr>
          <w:color w:val="333333"/>
          <w:spacing w:val="-6"/>
          <w:w w:val="110"/>
        </w:rPr>
        <w:t xml:space="preserve">for </w:t>
      </w:r>
      <w:r>
        <w:rPr>
          <w:rFonts w:ascii="MS Gothic"/>
          <w:color w:val="B02045"/>
          <w:w w:val="105"/>
        </w:rPr>
        <w:t>org.springframework.boot.autoconfigure.logging.ConditionEvaluationReportLoggingListener</w:t>
      </w:r>
      <w:r>
        <w:rPr>
          <w:color w:val="333333"/>
          <w:w w:val="105"/>
        </w:rPr>
        <w:t>.</w:t>
      </w:r>
    </w:p>
    <w:p w14:paraId="58E5A7A4" w14:textId="77777777" w:rsidR="00A720EB" w:rsidRDefault="0030286B">
      <w:pPr>
        <w:pStyle w:val="a3"/>
        <w:spacing w:before="227"/>
        <w:ind w:left="124"/>
        <w:jc w:val="both"/>
        <w:rPr>
          <w:rFonts w:ascii="MS Gothic"/>
        </w:rPr>
      </w:pPr>
      <w:r>
        <w:rPr>
          <w:color w:val="333333"/>
          <w:w w:val="110"/>
        </w:rPr>
        <w:t xml:space="preserve">For instance, if you are running your application by using </w:t>
      </w:r>
      <w:r>
        <w:rPr>
          <w:rFonts w:ascii="MS Gothic"/>
          <w:color w:val="B02045"/>
          <w:w w:val="110"/>
        </w:rPr>
        <w:t>java -jar</w:t>
      </w:r>
      <w:r>
        <w:rPr>
          <w:color w:val="333333"/>
          <w:w w:val="110"/>
        </w:rPr>
        <w:t xml:space="preserve">, you can enable the </w:t>
      </w:r>
      <w:r>
        <w:rPr>
          <w:rFonts w:ascii="MS Gothic"/>
          <w:color w:val="B02045"/>
          <w:w w:val="110"/>
        </w:rPr>
        <w:t>debug</w:t>
      </w:r>
    </w:p>
    <w:p w14:paraId="7D5D1E68" w14:textId="77777777" w:rsidR="00A720EB" w:rsidRDefault="0030286B">
      <w:pPr>
        <w:pStyle w:val="a3"/>
        <w:spacing w:before="57"/>
        <w:ind w:left="124"/>
        <w:jc w:val="both"/>
      </w:pPr>
      <w:r>
        <w:rPr>
          <w:color w:val="333333"/>
          <w:w w:val="110"/>
        </w:rPr>
        <w:t>property as follows:</w:t>
      </w:r>
    </w:p>
    <w:p w14:paraId="78648832" w14:textId="77777777" w:rsidR="00A720EB" w:rsidRDefault="00E10349">
      <w:pPr>
        <w:pStyle w:val="a3"/>
        <w:rPr>
          <w:sz w:val="19"/>
        </w:rPr>
      </w:pPr>
      <w:r>
        <w:pict w14:anchorId="045C6406">
          <v:group id="_x0000_s4710" style="position:absolute;margin-left:47.85pt;margin-top:13.15pt;width:499.55pt;height:37.5pt;z-index:-15647232;mso-wrap-distance-left:0;mso-wrap-distance-right:0;mso-position-horizontal-relative:page" coordorigin="957,263" coordsize="9991,750">
            <v:shape id="_x0000_s4713" style="position:absolute;left:964;top:270;width:9976;height:735" coordorigin="965,270" coordsize="9976,735" path="m10861,270r-9816,l1014,277r-26,17l971,319r-6,31l965,925r6,31l988,982r26,17l1045,1005r9816,l10892,999r25,-17l10935,956r6,-31l10941,350r-6,-31l10917,294r-25,-17l10861,270xe" fillcolor="#f5f5f5" stroked="f">
              <v:path arrowok="t"/>
            </v:shape>
            <v:shape id="_x0000_s4712" style="position:absolute;left:964;top:270;width:9976;height:735" coordorigin="965,270" coordsize="9976,735" path="m1045,270r9816,l10892,277r25,17l10935,319r6,31l10941,925r-6,31l10917,982r-25,17l10861,1005r-9816,l1014,999,988,982,971,956r-6,-31l965,350r6,-31l988,294r26,-17l1045,270xe" filled="f" strokecolor="#ccc">
              <v:path arrowok="t"/>
            </v:shape>
            <v:shape id="_x0000_s4711" type="#_x0000_t202" style="position:absolute;left:984;top:285;width:9938;height:704" filled="f" stroked="f">
              <v:textbox inset="0,0,0,0">
                <w:txbxContent>
                  <w:p w14:paraId="57E9C02B" w14:textId="77777777" w:rsidR="00711A16" w:rsidRDefault="00711A16">
                    <w:pPr>
                      <w:spacing w:before="221"/>
                      <w:ind w:left="200"/>
                      <w:rPr>
                        <w:rFonts w:ascii="MS Gothic"/>
                      </w:rPr>
                    </w:pPr>
                    <w:r>
                      <w:rPr>
                        <w:rFonts w:ascii="MS Gothic"/>
                        <w:color w:val="333333"/>
                      </w:rPr>
                      <w:t>$ java -jar myproject-0.0.1-SNAPSHOT.jar --debug</w:t>
                    </w:r>
                  </w:p>
                </w:txbxContent>
              </v:textbox>
            </v:shape>
            <w10:wrap type="topAndBottom" anchorx="page"/>
          </v:group>
        </w:pict>
      </w:r>
    </w:p>
    <w:p w14:paraId="43C9CF4A" w14:textId="77777777" w:rsidR="00A720EB" w:rsidRDefault="00A720EB">
      <w:pPr>
        <w:pStyle w:val="a3"/>
        <w:spacing w:before="11"/>
        <w:rPr>
          <w:sz w:val="16"/>
        </w:rPr>
      </w:pPr>
    </w:p>
    <w:p w14:paraId="30221DBB" w14:textId="77777777" w:rsidR="00A720EB" w:rsidRDefault="0030286B">
      <w:pPr>
        <w:pStyle w:val="3"/>
        <w:numPr>
          <w:ilvl w:val="2"/>
          <w:numId w:val="68"/>
        </w:numPr>
        <w:tabs>
          <w:tab w:val="left" w:pos="858"/>
        </w:tabs>
        <w:spacing w:before="105"/>
        <w:ind w:hanging="734"/>
      </w:pPr>
      <w:bookmarkStart w:id="147" w:name="4.1.2._Lazy_Initialization"/>
      <w:bookmarkStart w:id="148" w:name="_Toc54423711"/>
      <w:bookmarkEnd w:id="147"/>
      <w:r>
        <w:rPr>
          <w:color w:val="333333"/>
          <w:w w:val="110"/>
        </w:rPr>
        <w:t>Lazy</w:t>
      </w:r>
      <w:r>
        <w:rPr>
          <w:color w:val="333333"/>
          <w:spacing w:val="-6"/>
          <w:w w:val="110"/>
        </w:rPr>
        <w:t xml:space="preserve"> </w:t>
      </w:r>
      <w:r>
        <w:rPr>
          <w:color w:val="333333"/>
          <w:w w:val="110"/>
        </w:rPr>
        <w:t>Initialization</w:t>
      </w:r>
      <w:bookmarkEnd w:id="148"/>
    </w:p>
    <w:p w14:paraId="27DB4C3A" w14:textId="77777777" w:rsidR="00A720EB" w:rsidRDefault="0030286B">
      <w:pPr>
        <w:pStyle w:val="a3"/>
        <w:spacing w:before="243" w:line="302" w:lineRule="auto"/>
        <w:ind w:left="124" w:right="132"/>
        <w:jc w:val="both"/>
      </w:pPr>
      <w:r>
        <w:rPr>
          <w:rFonts w:ascii="MS Gothic"/>
          <w:color w:val="B02045"/>
          <w:w w:val="110"/>
        </w:rPr>
        <w:t xml:space="preserve">SpringApplication </w:t>
      </w:r>
      <w:r>
        <w:rPr>
          <w:color w:val="333333"/>
          <w:w w:val="110"/>
        </w:rPr>
        <w:t xml:space="preserve">allows an application to be initialized </w:t>
      </w:r>
      <w:r>
        <w:rPr>
          <w:color w:val="333333"/>
          <w:spacing w:val="-4"/>
          <w:w w:val="110"/>
        </w:rPr>
        <w:t xml:space="preserve">lazily. </w:t>
      </w:r>
      <w:r>
        <w:rPr>
          <w:color w:val="333333"/>
          <w:w w:val="110"/>
        </w:rPr>
        <w:t xml:space="preserve">When lazy initialization is enabled, beans are created as they are needed rather than during application startup. As a result, enabling lazy initialization can reduce the time that it takes your application to start. In a web application, enabling lazy initialization will result in many web-related beans not </w:t>
      </w:r>
      <w:proofErr w:type="gramStart"/>
      <w:r>
        <w:rPr>
          <w:color w:val="333333"/>
          <w:w w:val="110"/>
        </w:rPr>
        <w:t>being  initialized</w:t>
      </w:r>
      <w:proofErr w:type="gramEnd"/>
      <w:r>
        <w:rPr>
          <w:color w:val="333333"/>
          <w:w w:val="110"/>
        </w:rPr>
        <w:t xml:space="preserve">  until  an  HTTP request is</w:t>
      </w:r>
      <w:r>
        <w:rPr>
          <w:color w:val="333333"/>
          <w:spacing w:val="7"/>
          <w:w w:val="110"/>
        </w:rPr>
        <w:t xml:space="preserve"> </w:t>
      </w:r>
      <w:r>
        <w:rPr>
          <w:color w:val="333333"/>
          <w:w w:val="110"/>
        </w:rPr>
        <w:t>received.</w:t>
      </w:r>
    </w:p>
    <w:p w14:paraId="230816E0" w14:textId="77777777" w:rsidR="00A720EB" w:rsidRDefault="0030286B">
      <w:pPr>
        <w:pStyle w:val="a3"/>
        <w:spacing w:before="249" w:line="307" w:lineRule="auto"/>
        <w:ind w:left="124" w:right="132"/>
        <w:jc w:val="both"/>
      </w:pPr>
      <w:r>
        <w:rPr>
          <w:color w:val="333333"/>
          <w:w w:val="115"/>
        </w:rPr>
        <w:t>A</w:t>
      </w:r>
      <w:r>
        <w:rPr>
          <w:color w:val="333333"/>
          <w:spacing w:val="-15"/>
          <w:w w:val="115"/>
        </w:rPr>
        <w:t xml:space="preserve"> </w:t>
      </w:r>
      <w:r>
        <w:rPr>
          <w:color w:val="333333"/>
          <w:w w:val="115"/>
        </w:rPr>
        <w:t>downside</w:t>
      </w:r>
      <w:r>
        <w:rPr>
          <w:color w:val="333333"/>
          <w:spacing w:val="-14"/>
          <w:w w:val="115"/>
        </w:rPr>
        <w:t xml:space="preserve"> </w:t>
      </w:r>
      <w:r>
        <w:rPr>
          <w:color w:val="333333"/>
          <w:w w:val="115"/>
        </w:rPr>
        <w:t>of</w:t>
      </w:r>
      <w:r>
        <w:rPr>
          <w:color w:val="333333"/>
          <w:spacing w:val="-15"/>
          <w:w w:val="115"/>
        </w:rPr>
        <w:t xml:space="preserve"> </w:t>
      </w:r>
      <w:r>
        <w:rPr>
          <w:color w:val="333333"/>
          <w:w w:val="115"/>
        </w:rPr>
        <w:t>lazy</w:t>
      </w:r>
      <w:r>
        <w:rPr>
          <w:color w:val="333333"/>
          <w:spacing w:val="-14"/>
          <w:w w:val="115"/>
        </w:rPr>
        <w:t xml:space="preserve"> </w:t>
      </w:r>
      <w:r>
        <w:rPr>
          <w:color w:val="333333"/>
          <w:w w:val="115"/>
        </w:rPr>
        <w:t>initialization</w:t>
      </w:r>
      <w:r>
        <w:rPr>
          <w:color w:val="333333"/>
          <w:spacing w:val="-14"/>
          <w:w w:val="115"/>
        </w:rPr>
        <w:t xml:space="preserve"> </w:t>
      </w:r>
      <w:r>
        <w:rPr>
          <w:color w:val="333333"/>
          <w:w w:val="115"/>
        </w:rPr>
        <w:t>is</w:t>
      </w:r>
      <w:r>
        <w:rPr>
          <w:color w:val="333333"/>
          <w:spacing w:val="-15"/>
          <w:w w:val="115"/>
        </w:rPr>
        <w:t xml:space="preserve"> </w:t>
      </w:r>
      <w:r>
        <w:rPr>
          <w:color w:val="333333"/>
          <w:w w:val="115"/>
        </w:rPr>
        <w:t>that</w:t>
      </w:r>
      <w:r>
        <w:rPr>
          <w:color w:val="333333"/>
          <w:spacing w:val="-14"/>
          <w:w w:val="115"/>
        </w:rPr>
        <w:t xml:space="preserve"> </w:t>
      </w:r>
      <w:r>
        <w:rPr>
          <w:color w:val="333333"/>
          <w:w w:val="115"/>
        </w:rPr>
        <w:t>it</w:t>
      </w:r>
      <w:r>
        <w:rPr>
          <w:color w:val="333333"/>
          <w:spacing w:val="-15"/>
          <w:w w:val="115"/>
        </w:rPr>
        <w:t xml:space="preserve"> </w:t>
      </w:r>
      <w:r>
        <w:rPr>
          <w:color w:val="333333"/>
          <w:w w:val="115"/>
        </w:rPr>
        <w:t>can</w:t>
      </w:r>
      <w:r>
        <w:rPr>
          <w:color w:val="333333"/>
          <w:spacing w:val="-14"/>
          <w:w w:val="115"/>
        </w:rPr>
        <w:t xml:space="preserve"> </w:t>
      </w:r>
      <w:r>
        <w:rPr>
          <w:color w:val="333333"/>
          <w:w w:val="115"/>
        </w:rPr>
        <w:t>delay</w:t>
      </w:r>
      <w:r>
        <w:rPr>
          <w:color w:val="333333"/>
          <w:spacing w:val="-15"/>
          <w:w w:val="115"/>
        </w:rPr>
        <w:t xml:space="preserve"> </w:t>
      </w:r>
      <w:r>
        <w:rPr>
          <w:color w:val="333333"/>
          <w:w w:val="115"/>
        </w:rPr>
        <w:t>the</w:t>
      </w:r>
      <w:r>
        <w:rPr>
          <w:color w:val="333333"/>
          <w:spacing w:val="-15"/>
          <w:w w:val="115"/>
        </w:rPr>
        <w:t xml:space="preserve"> </w:t>
      </w:r>
      <w:r>
        <w:rPr>
          <w:color w:val="333333"/>
          <w:w w:val="115"/>
        </w:rPr>
        <w:t>discovery</w:t>
      </w:r>
      <w:r>
        <w:rPr>
          <w:color w:val="333333"/>
          <w:spacing w:val="-14"/>
          <w:w w:val="115"/>
        </w:rPr>
        <w:t xml:space="preserve"> </w:t>
      </w:r>
      <w:r>
        <w:rPr>
          <w:color w:val="333333"/>
          <w:w w:val="115"/>
        </w:rPr>
        <w:t>of</w:t>
      </w:r>
      <w:r>
        <w:rPr>
          <w:color w:val="333333"/>
          <w:spacing w:val="-14"/>
          <w:w w:val="115"/>
        </w:rPr>
        <w:t xml:space="preserve"> </w:t>
      </w:r>
      <w:r>
        <w:rPr>
          <w:color w:val="333333"/>
          <w:w w:val="115"/>
        </w:rPr>
        <w:t>a</w:t>
      </w:r>
      <w:r>
        <w:rPr>
          <w:color w:val="333333"/>
          <w:spacing w:val="-15"/>
          <w:w w:val="115"/>
        </w:rPr>
        <w:t xml:space="preserve"> </w:t>
      </w:r>
      <w:r>
        <w:rPr>
          <w:color w:val="333333"/>
          <w:w w:val="115"/>
        </w:rPr>
        <w:t>problem</w:t>
      </w:r>
      <w:r>
        <w:rPr>
          <w:color w:val="333333"/>
          <w:spacing w:val="-15"/>
          <w:w w:val="115"/>
        </w:rPr>
        <w:t xml:space="preserve"> </w:t>
      </w:r>
      <w:r>
        <w:rPr>
          <w:color w:val="333333"/>
          <w:w w:val="115"/>
        </w:rPr>
        <w:t>with</w:t>
      </w:r>
      <w:r>
        <w:rPr>
          <w:color w:val="333333"/>
          <w:spacing w:val="-14"/>
          <w:w w:val="115"/>
        </w:rPr>
        <w:t xml:space="preserve"> </w:t>
      </w:r>
      <w:r>
        <w:rPr>
          <w:color w:val="333333"/>
          <w:w w:val="115"/>
        </w:rPr>
        <w:t>the</w:t>
      </w:r>
      <w:r>
        <w:rPr>
          <w:color w:val="333333"/>
          <w:spacing w:val="-15"/>
          <w:w w:val="115"/>
        </w:rPr>
        <w:t xml:space="preserve"> </w:t>
      </w:r>
      <w:r>
        <w:rPr>
          <w:color w:val="333333"/>
          <w:w w:val="115"/>
        </w:rPr>
        <w:t>application. If</w:t>
      </w:r>
      <w:r>
        <w:rPr>
          <w:color w:val="333333"/>
          <w:spacing w:val="12"/>
          <w:w w:val="115"/>
        </w:rPr>
        <w:t xml:space="preserve"> </w:t>
      </w:r>
      <w:r>
        <w:rPr>
          <w:color w:val="333333"/>
          <w:w w:val="115"/>
        </w:rPr>
        <w:t>a</w:t>
      </w:r>
      <w:r>
        <w:rPr>
          <w:color w:val="333333"/>
          <w:spacing w:val="12"/>
          <w:w w:val="115"/>
        </w:rPr>
        <w:t xml:space="preserve"> </w:t>
      </w:r>
      <w:r>
        <w:rPr>
          <w:color w:val="333333"/>
          <w:w w:val="115"/>
        </w:rPr>
        <w:t>misconfigured</w:t>
      </w:r>
      <w:r>
        <w:rPr>
          <w:color w:val="333333"/>
          <w:spacing w:val="13"/>
          <w:w w:val="115"/>
        </w:rPr>
        <w:t xml:space="preserve"> </w:t>
      </w:r>
      <w:r>
        <w:rPr>
          <w:color w:val="333333"/>
          <w:w w:val="115"/>
        </w:rPr>
        <w:t>bean</w:t>
      </w:r>
      <w:r>
        <w:rPr>
          <w:color w:val="333333"/>
          <w:spacing w:val="12"/>
          <w:w w:val="115"/>
        </w:rPr>
        <w:t xml:space="preserve"> </w:t>
      </w:r>
      <w:r>
        <w:rPr>
          <w:color w:val="333333"/>
          <w:w w:val="115"/>
        </w:rPr>
        <w:t>is</w:t>
      </w:r>
      <w:r>
        <w:rPr>
          <w:color w:val="333333"/>
          <w:spacing w:val="12"/>
          <w:w w:val="115"/>
        </w:rPr>
        <w:t xml:space="preserve"> </w:t>
      </w:r>
      <w:r>
        <w:rPr>
          <w:color w:val="333333"/>
          <w:w w:val="115"/>
        </w:rPr>
        <w:t>initialized</w:t>
      </w:r>
      <w:r>
        <w:rPr>
          <w:color w:val="333333"/>
          <w:spacing w:val="13"/>
          <w:w w:val="115"/>
        </w:rPr>
        <w:t xml:space="preserve"> </w:t>
      </w:r>
      <w:r>
        <w:rPr>
          <w:color w:val="333333"/>
          <w:spacing w:val="-4"/>
          <w:w w:val="115"/>
        </w:rPr>
        <w:t>lazily,</w:t>
      </w:r>
      <w:r>
        <w:rPr>
          <w:color w:val="333333"/>
          <w:spacing w:val="12"/>
          <w:w w:val="115"/>
        </w:rPr>
        <w:t xml:space="preserve"> </w:t>
      </w:r>
      <w:r>
        <w:rPr>
          <w:color w:val="333333"/>
          <w:w w:val="115"/>
        </w:rPr>
        <w:t>a</w:t>
      </w:r>
      <w:r>
        <w:rPr>
          <w:color w:val="333333"/>
          <w:spacing w:val="12"/>
          <w:w w:val="115"/>
        </w:rPr>
        <w:t xml:space="preserve"> </w:t>
      </w:r>
      <w:r>
        <w:rPr>
          <w:color w:val="333333"/>
          <w:w w:val="115"/>
        </w:rPr>
        <w:t>failure</w:t>
      </w:r>
      <w:r>
        <w:rPr>
          <w:color w:val="333333"/>
          <w:spacing w:val="13"/>
          <w:w w:val="115"/>
        </w:rPr>
        <w:t xml:space="preserve"> </w:t>
      </w:r>
      <w:r>
        <w:rPr>
          <w:color w:val="333333"/>
          <w:w w:val="115"/>
        </w:rPr>
        <w:t>will</w:t>
      </w:r>
      <w:r>
        <w:rPr>
          <w:color w:val="333333"/>
          <w:spacing w:val="12"/>
          <w:w w:val="115"/>
        </w:rPr>
        <w:t xml:space="preserve"> </w:t>
      </w:r>
      <w:r>
        <w:rPr>
          <w:color w:val="333333"/>
          <w:w w:val="115"/>
        </w:rPr>
        <w:t>no</w:t>
      </w:r>
      <w:r>
        <w:rPr>
          <w:color w:val="333333"/>
          <w:spacing w:val="12"/>
          <w:w w:val="115"/>
        </w:rPr>
        <w:t xml:space="preserve"> </w:t>
      </w:r>
      <w:r>
        <w:rPr>
          <w:color w:val="333333"/>
          <w:w w:val="115"/>
        </w:rPr>
        <w:t>longer</w:t>
      </w:r>
      <w:r>
        <w:rPr>
          <w:color w:val="333333"/>
          <w:spacing w:val="13"/>
          <w:w w:val="115"/>
        </w:rPr>
        <w:t xml:space="preserve"> </w:t>
      </w:r>
      <w:r>
        <w:rPr>
          <w:color w:val="333333"/>
          <w:w w:val="115"/>
        </w:rPr>
        <w:t>occur</w:t>
      </w:r>
      <w:r>
        <w:rPr>
          <w:color w:val="333333"/>
          <w:spacing w:val="12"/>
          <w:w w:val="115"/>
        </w:rPr>
        <w:t xml:space="preserve"> </w:t>
      </w:r>
      <w:r>
        <w:rPr>
          <w:color w:val="333333"/>
          <w:w w:val="115"/>
        </w:rPr>
        <w:t>during</w:t>
      </w:r>
      <w:r>
        <w:rPr>
          <w:color w:val="333333"/>
          <w:spacing w:val="12"/>
          <w:w w:val="115"/>
        </w:rPr>
        <w:t xml:space="preserve"> </w:t>
      </w:r>
      <w:r>
        <w:rPr>
          <w:color w:val="333333"/>
          <w:w w:val="115"/>
        </w:rPr>
        <w:t>startup</w:t>
      </w:r>
      <w:r>
        <w:rPr>
          <w:color w:val="333333"/>
          <w:spacing w:val="13"/>
          <w:w w:val="115"/>
        </w:rPr>
        <w:t xml:space="preserve"> </w:t>
      </w:r>
      <w:r>
        <w:rPr>
          <w:color w:val="333333"/>
          <w:w w:val="115"/>
        </w:rPr>
        <w:t>and</w:t>
      </w:r>
      <w:r>
        <w:rPr>
          <w:color w:val="333333"/>
          <w:spacing w:val="12"/>
          <w:w w:val="115"/>
        </w:rPr>
        <w:t xml:space="preserve"> </w:t>
      </w:r>
      <w:r>
        <w:rPr>
          <w:color w:val="333333"/>
          <w:w w:val="115"/>
        </w:rPr>
        <w:t>the</w:t>
      </w:r>
    </w:p>
    <w:p w14:paraId="086265FF" w14:textId="77777777" w:rsidR="00A720EB" w:rsidRDefault="00A720EB">
      <w:pPr>
        <w:spacing w:line="307" w:lineRule="auto"/>
        <w:jc w:val="both"/>
        <w:sectPr w:rsidR="00A720EB">
          <w:pgSz w:w="11910" w:h="16840"/>
          <w:pgMar w:top="700" w:right="840" w:bottom="520" w:left="840" w:header="0" w:footer="323" w:gutter="0"/>
          <w:cols w:space="720"/>
        </w:sectPr>
      </w:pPr>
    </w:p>
    <w:p w14:paraId="41EF9A37" w14:textId="77777777" w:rsidR="00A720EB" w:rsidRDefault="0030286B">
      <w:pPr>
        <w:pStyle w:val="a3"/>
        <w:spacing w:before="107" w:line="307" w:lineRule="auto"/>
        <w:ind w:left="124" w:right="129"/>
        <w:jc w:val="both"/>
      </w:pPr>
      <w:r>
        <w:rPr>
          <w:color w:val="333333"/>
          <w:w w:val="110"/>
        </w:rPr>
        <w:lastRenderedPageBreak/>
        <w:t xml:space="preserve">problem will only become apparent when the bean is initialized. Care must also be taken to ensure that the JVM has sufficient memory to accommodate all of the application’s beans and not just those that are initialized during startup. </w:t>
      </w:r>
      <w:proofErr w:type="gramStart"/>
      <w:r>
        <w:rPr>
          <w:color w:val="333333"/>
          <w:spacing w:val="-4"/>
          <w:w w:val="110"/>
        </w:rPr>
        <w:t xml:space="preserve">For  </w:t>
      </w:r>
      <w:r>
        <w:rPr>
          <w:color w:val="333333"/>
          <w:w w:val="110"/>
        </w:rPr>
        <w:t>these</w:t>
      </w:r>
      <w:proofErr w:type="gramEnd"/>
      <w:r>
        <w:rPr>
          <w:color w:val="333333"/>
          <w:w w:val="110"/>
        </w:rPr>
        <w:t xml:space="preserve"> reasons, lazy initialization is not enabled </w:t>
      </w:r>
      <w:r>
        <w:rPr>
          <w:color w:val="333333"/>
          <w:spacing w:val="-3"/>
          <w:w w:val="110"/>
        </w:rPr>
        <w:t xml:space="preserve">by  </w:t>
      </w:r>
      <w:r>
        <w:rPr>
          <w:color w:val="333333"/>
          <w:w w:val="110"/>
        </w:rPr>
        <w:t>default   and it is recommended that fine-tuning of the JVM’s heap size is done before enabling lazy  initialization.</w:t>
      </w:r>
    </w:p>
    <w:p w14:paraId="1FFBFAC3" w14:textId="77777777" w:rsidR="00A720EB" w:rsidRDefault="0030286B">
      <w:pPr>
        <w:pStyle w:val="a3"/>
        <w:spacing w:before="232" w:line="285" w:lineRule="auto"/>
        <w:ind w:left="124" w:right="122"/>
        <w:jc w:val="both"/>
      </w:pPr>
      <w:r>
        <w:rPr>
          <w:color w:val="333333"/>
          <w:w w:val="110"/>
        </w:rPr>
        <w:t xml:space="preserve">Lazy initialization can be enabled programmatically using the </w:t>
      </w:r>
      <w:r>
        <w:rPr>
          <w:rFonts w:ascii="MS Gothic"/>
          <w:color w:val="B02045"/>
          <w:w w:val="110"/>
        </w:rPr>
        <w:t xml:space="preserve">lazyInitialization </w:t>
      </w:r>
      <w:r>
        <w:rPr>
          <w:color w:val="333333"/>
          <w:w w:val="110"/>
        </w:rPr>
        <w:t xml:space="preserve">method on </w:t>
      </w:r>
      <w:r>
        <w:rPr>
          <w:rFonts w:ascii="MS Gothic"/>
          <w:color w:val="B02045"/>
          <w:w w:val="105"/>
        </w:rPr>
        <w:t xml:space="preserve">SpringApplicationBuilder </w:t>
      </w:r>
      <w:r>
        <w:rPr>
          <w:color w:val="333333"/>
          <w:w w:val="105"/>
        </w:rPr>
        <w:t xml:space="preserve">or the </w:t>
      </w:r>
      <w:r>
        <w:rPr>
          <w:rFonts w:ascii="MS Gothic"/>
          <w:color w:val="B02045"/>
          <w:w w:val="105"/>
        </w:rPr>
        <w:t>setLazyInitialization</w:t>
      </w:r>
      <w:r>
        <w:rPr>
          <w:rFonts w:ascii="MS Gothic"/>
          <w:color w:val="B02045"/>
          <w:spacing w:val="-92"/>
          <w:w w:val="105"/>
        </w:rPr>
        <w:t xml:space="preserve"> </w:t>
      </w:r>
      <w:r>
        <w:rPr>
          <w:color w:val="333333"/>
          <w:w w:val="105"/>
        </w:rPr>
        <w:t xml:space="preserve">method on </w:t>
      </w:r>
      <w:r>
        <w:rPr>
          <w:rFonts w:ascii="MS Gothic"/>
          <w:color w:val="B02045"/>
          <w:w w:val="105"/>
        </w:rPr>
        <w:t>SpringApplication</w:t>
      </w:r>
      <w:r>
        <w:rPr>
          <w:color w:val="333333"/>
          <w:w w:val="105"/>
        </w:rPr>
        <w:t xml:space="preserve">. </w:t>
      </w:r>
      <w:r>
        <w:rPr>
          <w:color w:val="333333"/>
          <w:spacing w:val="-3"/>
          <w:w w:val="105"/>
        </w:rPr>
        <w:t xml:space="preserve">Alternatively, </w:t>
      </w:r>
      <w:r>
        <w:rPr>
          <w:color w:val="333333"/>
          <w:w w:val="110"/>
        </w:rPr>
        <w:t xml:space="preserve">it can be enabled using the </w:t>
      </w:r>
      <w:proofErr w:type="gramStart"/>
      <w:r>
        <w:rPr>
          <w:rFonts w:ascii="MS Gothic"/>
          <w:color w:val="B02045"/>
          <w:w w:val="110"/>
        </w:rPr>
        <w:t>spring.main</w:t>
      </w:r>
      <w:proofErr w:type="gramEnd"/>
      <w:r>
        <w:rPr>
          <w:rFonts w:ascii="MS Gothic"/>
          <w:color w:val="B02045"/>
          <w:w w:val="110"/>
        </w:rPr>
        <w:t xml:space="preserve">.lazy-initialization </w:t>
      </w:r>
      <w:r>
        <w:rPr>
          <w:color w:val="333333"/>
          <w:w w:val="110"/>
        </w:rPr>
        <w:t>property as shown in the following example:</w:t>
      </w:r>
    </w:p>
    <w:p w14:paraId="20CFC8F5" w14:textId="77777777" w:rsidR="00A720EB" w:rsidRDefault="00E10349">
      <w:pPr>
        <w:pStyle w:val="a3"/>
        <w:spacing w:before="8"/>
        <w:rPr>
          <w:sz w:val="14"/>
        </w:rPr>
      </w:pPr>
      <w:r>
        <w:pict w14:anchorId="6775DCB8">
          <v:group id="_x0000_s4706" style="position:absolute;margin-left:47.85pt;margin-top:10.6pt;width:499.55pt;height:37.5pt;z-index:-15644672;mso-wrap-distance-left:0;mso-wrap-distance-right:0;mso-position-horizontal-relative:page" coordorigin="957,212" coordsize="9991,750">
            <v:shape id="_x0000_s4709" style="position:absolute;left:964;top:219;width:9976;height:735" coordorigin="965,219" coordsize="9976,735" path="m10861,219r-9816,l1014,226r-26,17l971,268r-6,31l965,874r6,31l988,931r26,17l1045,954r9816,l10892,948r25,-17l10935,905r6,-31l10941,299r-6,-31l10917,243r-25,-17l10861,219xe" fillcolor="#f5f5f5" stroked="f">
              <v:path arrowok="t"/>
            </v:shape>
            <v:shape id="_x0000_s4708" style="position:absolute;left:964;top:219;width:9976;height:735" coordorigin="965,219" coordsize="9976,735" path="m1045,219r9816,l10892,226r25,17l10935,268r6,31l10941,874r-6,31l10917,931r-25,17l10861,954r-9816,l1014,948,988,931,971,905r-6,-31l965,299r6,-31l988,243r26,-17l1045,219xe" filled="f" strokecolor="#ccc">
              <v:path arrowok="t"/>
            </v:shape>
            <v:shape id="_x0000_s4707" type="#_x0000_t202" style="position:absolute;left:984;top:234;width:9938;height:704" filled="f" stroked="f">
              <v:textbox inset="0,0,0,0">
                <w:txbxContent>
                  <w:p w14:paraId="27D81C0D" w14:textId="77777777" w:rsidR="00711A16" w:rsidRDefault="00711A16">
                    <w:pPr>
                      <w:spacing w:before="221"/>
                      <w:ind w:left="200"/>
                      <w:rPr>
                        <w:rFonts w:ascii="MS Gothic"/>
                      </w:rPr>
                    </w:pPr>
                    <w:proofErr w:type="gramStart"/>
                    <w:r>
                      <w:rPr>
                        <w:rFonts w:ascii="MS Gothic"/>
                        <w:color w:val="333333"/>
                      </w:rPr>
                      <w:t>spring.main</w:t>
                    </w:r>
                    <w:proofErr w:type="gramEnd"/>
                    <w:r>
                      <w:rPr>
                        <w:rFonts w:ascii="MS Gothic"/>
                        <w:color w:val="333333"/>
                      </w:rPr>
                      <w:t>.lazy-initialization=true</w:t>
                    </w:r>
                  </w:p>
                </w:txbxContent>
              </v:textbox>
            </v:shape>
            <w10:wrap type="topAndBottom" anchorx="page"/>
          </v:group>
        </w:pict>
      </w:r>
    </w:p>
    <w:p w14:paraId="5E5D28BB" w14:textId="77777777" w:rsidR="00A720EB" w:rsidRDefault="00A720EB">
      <w:pPr>
        <w:pStyle w:val="a3"/>
        <w:spacing w:before="10"/>
        <w:rPr>
          <w:sz w:val="16"/>
        </w:rPr>
      </w:pPr>
    </w:p>
    <w:p w14:paraId="36F083F2" w14:textId="77777777" w:rsidR="00A720EB" w:rsidRDefault="00E10349">
      <w:pPr>
        <w:pStyle w:val="a3"/>
        <w:spacing w:before="125" w:line="302" w:lineRule="auto"/>
        <w:ind w:left="1564" w:right="370"/>
        <w:jc w:val="both"/>
      </w:pPr>
      <w:r>
        <w:pict w14:anchorId="2FA174EF">
          <v:line id="_x0000_s4705" style="position:absolute;left:0;text-align:left;z-index:15813120;mso-position-horizontal-relative:page" from="108.25pt,.25pt" to="108.25pt,55.6pt" strokecolor="#ededed" strokeweight=".5pt">
            <w10:wrap anchorx="page"/>
          </v:line>
        </w:pict>
      </w:r>
      <w:r w:rsidR="0030286B">
        <w:rPr>
          <w:noProof/>
        </w:rPr>
        <w:drawing>
          <wp:anchor distT="0" distB="0" distL="0" distR="0" simplePos="0" relativeHeight="15813632" behindDoc="0" locked="0" layoutInCell="1" allowOverlap="1" wp14:anchorId="600FB27D" wp14:editId="553F520E">
            <wp:simplePos x="0" y="0"/>
            <wp:positionH relativeFrom="page">
              <wp:posOffset>888949</wp:posOffset>
            </wp:positionH>
            <wp:positionV relativeFrom="paragraph">
              <wp:posOffset>202349</wp:posOffset>
            </wp:positionV>
            <wp:extent cx="209550" cy="304800"/>
            <wp:effectExtent l="0" t="0" r="0" b="0"/>
            <wp:wrapNone/>
            <wp:docPr id="10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5"/>
        </w:rPr>
        <w:t xml:space="preserve">If you want to disable lazy initialization for certain beans while using lazy initialization for the rest of the application, you can explicitly set their lazy attribute to false using the </w:t>
      </w:r>
      <w:r w:rsidR="0030286B">
        <w:rPr>
          <w:rFonts w:ascii="MS Gothic"/>
          <w:color w:val="B02045"/>
          <w:w w:val="115"/>
        </w:rPr>
        <w:t>@Lazy(false)</w:t>
      </w:r>
      <w:r w:rsidR="0030286B">
        <w:rPr>
          <w:rFonts w:ascii="MS Gothic"/>
          <w:color w:val="B02045"/>
          <w:spacing w:val="-91"/>
          <w:w w:val="115"/>
        </w:rPr>
        <w:t xml:space="preserve"> </w:t>
      </w:r>
      <w:r w:rsidR="0030286B">
        <w:rPr>
          <w:color w:val="333333"/>
          <w:w w:val="115"/>
        </w:rPr>
        <w:t>annotation.</w:t>
      </w:r>
    </w:p>
    <w:p w14:paraId="4402B7FA" w14:textId="77777777" w:rsidR="00A720EB" w:rsidRDefault="00A720EB">
      <w:pPr>
        <w:pStyle w:val="a3"/>
        <w:spacing w:before="5"/>
        <w:rPr>
          <w:sz w:val="22"/>
        </w:rPr>
      </w:pPr>
    </w:p>
    <w:p w14:paraId="3758BC3A" w14:textId="77777777" w:rsidR="00A720EB" w:rsidRDefault="0030286B">
      <w:pPr>
        <w:pStyle w:val="3"/>
        <w:numPr>
          <w:ilvl w:val="2"/>
          <w:numId w:val="68"/>
        </w:numPr>
        <w:tabs>
          <w:tab w:val="left" w:pos="858"/>
        </w:tabs>
        <w:spacing w:before="105"/>
        <w:ind w:hanging="734"/>
      </w:pPr>
      <w:bookmarkStart w:id="149" w:name="4.1.3._Customizing_the_Banner"/>
      <w:bookmarkStart w:id="150" w:name="_Toc54423712"/>
      <w:bookmarkEnd w:id="149"/>
      <w:r>
        <w:rPr>
          <w:color w:val="333333"/>
          <w:w w:val="110"/>
        </w:rPr>
        <w:t>Customizing the</w:t>
      </w:r>
      <w:r>
        <w:rPr>
          <w:color w:val="333333"/>
          <w:spacing w:val="-12"/>
          <w:w w:val="110"/>
        </w:rPr>
        <w:t xml:space="preserve"> </w:t>
      </w:r>
      <w:r>
        <w:rPr>
          <w:color w:val="333333"/>
          <w:w w:val="110"/>
        </w:rPr>
        <w:t>Banner</w:t>
      </w:r>
      <w:bookmarkEnd w:id="150"/>
    </w:p>
    <w:p w14:paraId="6239BEB5" w14:textId="77777777" w:rsidR="00A720EB" w:rsidRDefault="0030286B">
      <w:pPr>
        <w:pStyle w:val="a3"/>
        <w:spacing w:before="244" w:line="283" w:lineRule="auto"/>
        <w:ind w:left="124" w:right="123"/>
        <w:jc w:val="both"/>
      </w:pPr>
      <w:r>
        <w:rPr>
          <w:color w:val="333333"/>
          <w:w w:val="110"/>
        </w:rPr>
        <w:t xml:space="preserve">The banner that is printed on start up can be changed </w:t>
      </w:r>
      <w:r>
        <w:rPr>
          <w:color w:val="333333"/>
          <w:spacing w:val="-3"/>
          <w:w w:val="110"/>
        </w:rPr>
        <w:t xml:space="preserve">by </w:t>
      </w:r>
      <w:r>
        <w:rPr>
          <w:color w:val="333333"/>
          <w:w w:val="110"/>
        </w:rPr>
        <w:t xml:space="preserve">adding a </w:t>
      </w:r>
      <w:r>
        <w:rPr>
          <w:rFonts w:ascii="MS Gothic"/>
          <w:color w:val="B02045"/>
          <w:w w:val="110"/>
        </w:rPr>
        <w:t xml:space="preserve">banner.txt </w:t>
      </w:r>
      <w:r>
        <w:rPr>
          <w:color w:val="333333"/>
          <w:w w:val="110"/>
        </w:rPr>
        <w:t xml:space="preserve">file to your classpath or </w:t>
      </w:r>
      <w:r>
        <w:rPr>
          <w:color w:val="333333"/>
          <w:spacing w:val="-3"/>
          <w:w w:val="110"/>
        </w:rPr>
        <w:t xml:space="preserve">by </w:t>
      </w:r>
      <w:r>
        <w:rPr>
          <w:color w:val="333333"/>
          <w:w w:val="110"/>
        </w:rPr>
        <w:t xml:space="preserve">setting the </w:t>
      </w:r>
      <w:proofErr w:type="gramStart"/>
      <w:r>
        <w:rPr>
          <w:rFonts w:ascii="MS Gothic"/>
          <w:color w:val="B02045"/>
          <w:w w:val="110"/>
        </w:rPr>
        <w:t>spring.banner</w:t>
      </w:r>
      <w:proofErr w:type="gramEnd"/>
      <w:r>
        <w:rPr>
          <w:rFonts w:ascii="MS Gothic"/>
          <w:color w:val="B02045"/>
          <w:w w:val="110"/>
        </w:rPr>
        <w:t xml:space="preserve">.location </w:t>
      </w:r>
      <w:r>
        <w:rPr>
          <w:color w:val="333333"/>
          <w:w w:val="110"/>
        </w:rPr>
        <w:t xml:space="preserve">property to the location of such a file. If the file has </w:t>
      </w:r>
      <w:proofErr w:type="gramStart"/>
      <w:r>
        <w:rPr>
          <w:color w:val="333333"/>
          <w:w w:val="110"/>
        </w:rPr>
        <w:t>an  encoding</w:t>
      </w:r>
      <w:proofErr w:type="gramEnd"/>
      <w:r>
        <w:rPr>
          <w:color w:val="333333"/>
          <w:spacing w:val="-6"/>
          <w:w w:val="110"/>
        </w:rPr>
        <w:t xml:space="preserve"> </w:t>
      </w:r>
      <w:r>
        <w:rPr>
          <w:color w:val="333333"/>
          <w:w w:val="110"/>
        </w:rPr>
        <w:t>other</w:t>
      </w:r>
      <w:r>
        <w:rPr>
          <w:color w:val="333333"/>
          <w:spacing w:val="-5"/>
          <w:w w:val="110"/>
        </w:rPr>
        <w:t xml:space="preserve"> </w:t>
      </w:r>
      <w:r>
        <w:rPr>
          <w:color w:val="333333"/>
          <w:w w:val="110"/>
        </w:rPr>
        <w:t>than</w:t>
      </w:r>
      <w:r>
        <w:rPr>
          <w:color w:val="333333"/>
          <w:spacing w:val="-6"/>
          <w:w w:val="110"/>
        </w:rPr>
        <w:t xml:space="preserve"> </w:t>
      </w:r>
      <w:r>
        <w:rPr>
          <w:color w:val="333333"/>
          <w:w w:val="110"/>
        </w:rPr>
        <w:t>UTF-8,</w:t>
      </w:r>
      <w:r>
        <w:rPr>
          <w:color w:val="333333"/>
          <w:spacing w:val="-6"/>
          <w:w w:val="110"/>
        </w:rPr>
        <w:t xml:space="preserve"> </w:t>
      </w:r>
      <w:r>
        <w:rPr>
          <w:color w:val="333333"/>
          <w:w w:val="110"/>
        </w:rPr>
        <w:t>you</w:t>
      </w:r>
      <w:r>
        <w:rPr>
          <w:color w:val="333333"/>
          <w:spacing w:val="-6"/>
          <w:w w:val="110"/>
        </w:rPr>
        <w:t xml:space="preserve"> </w:t>
      </w:r>
      <w:r>
        <w:rPr>
          <w:color w:val="333333"/>
          <w:w w:val="110"/>
        </w:rPr>
        <w:t>can</w:t>
      </w:r>
      <w:r>
        <w:rPr>
          <w:color w:val="333333"/>
          <w:spacing w:val="-5"/>
          <w:w w:val="110"/>
        </w:rPr>
        <w:t xml:space="preserve"> </w:t>
      </w:r>
      <w:r>
        <w:rPr>
          <w:color w:val="333333"/>
          <w:w w:val="110"/>
        </w:rPr>
        <w:t>set</w:t>
      </w:r>
      <w:r>
        <w:rPr>
          <w:color w:val="333333"/>
          <w:spacing w:val="-4"/>
          <w:w w:val="110"/>
        </w:rPr>
        <w:t xml:space="preserve"> </w:t>
      </w:r>
      <w:r>
        <w:rPr>
          <w:rFonts w:ascii="MS Gothic"/>
          <w:color w:val="B02045"/>
          <w:w w:val="110"/>
        </w:rPr>
        <w:t>spring.banner.charset</w:t>
      </w:r>
      <w:r>
        <w:rPr>
          <w:color w:val="333333"/>
          <w:w w:val="110"/>
        </w:rPr>
        <w:t>.</w:t>
      </w:r>
      <w:r>
        <w:rPr>
          <w:color w:val="333333"/>
          <w:spacing w:val="-5"/>
          <w:w w:val="110"/>
        </w:rPr>
        <w:t xml:space="preserve"> </w:t>
      </w:r>
      <w:r>
        <w:rPr>
          <w:color w:val="333333"/>
          <w:w w:val="110"/>
        </w:rPr>
        <w:t>In</w:t>
      </w:r>
      <w:r>
        <w:rPr>
          <w:color w:val="333333"/>
          <w:spacing w:val="-6"/>
          <w:w w:val="110"/>
        </w:rPr>
        <w:t xml:space="preserve"> </w:t>
      </w:r>
      <w:r>
        <w:rPr>
          <w:color w:val="333333"/>
          <w:w w:val="110"/>
        </w:rPr>
        <w:t>addition</w:t>
      </w:r>
      <w:r>
        <w:rPr>
          <w:color w:val="333333"/>
          <w:spacing w:val="-6"/>
          <w:w w:val="110"/>
        </w:rPr>
        <w:t xml:space="preserve"> </w:t>
      </w:r>
      <w:r>
        <w:rPr>
          <w:color w:val="333333"/>
          <w:w w:val="110"/>
        </w:rPr>
        <w:t>to</w:t>
      </w:r>
      <w:r>
        <w:rPr>
          <w:color w:val="333333"/>
          <w:spacing w:val="-5"/>
          <w:w w:val="110"/>
        </w:rPr>
        <w:t xml:space="preserve"> </w:t>
      </w:r>
      <w:r>
        <w:rPr>
          <w:color w:val="333333"/>
          <w:w w:val="110"/>
        </w:rPr>
        <w:t>a</w:t>
      </w:r>
      <w:r>
        <w:rPr>
          <w:color w:val="333333"/>
          <w:spacing w:val="-7"/>
          <w:w w:val="110"/>
        </w:rPr>
        <w:t xml:space="preserve"> </w:t>
      </w:r>
      <w:r>
        <w:rPr>
          <w:color w:val="333333"/>
          <w:w w:val="110"/>
        </w:rPr>
        <w:t>text</w:t>
      </w:r>
      <w:r>
        <w:rPr>
          <w:color w:val="333333"/>
          <w:spacing w:val="-5"/>
          <w:w w:val="110"/>
        </w:rPr>
        <w:t xml:space="preserve"> </w:t>
      </w:r>
      <w:r>
        <w:rPr>
          <w:color w:val="333333"/>
          <w:w w:val="110"/>
        </w:rPr>
        <w:t>file,</w:t>
      </w:r>
      <w:r>
        <w:rPr>
          <w:color w:val="333333"/>
          <w:spacing w:val="-5"/>
          <w:w w:val="110"/>
        </w:rPr>
        <w:t xml:space="preserve"> </w:t>
      </w:r>
      <w:r>
        <w:rPr>
          <w:color w:val="333333"/>
          <w:w w:val="110"/>
        </w:rPr>
        <w:t>you</w:t>
      </w:r>
      <w:r>
        <w:rPr>
          <w:color w:val="333333"/>
          <w:spacing w:val="-6"/>
          <w:w w:val="110"/>
        </w:rPr>
        <w:t xml:space="preserve"> </w:t>
      </w:r>
      <w:r>
        <w:rPr>
          <w:color w:val="333333"/>
          <w:w w:val="110"/>
        </w:rPr>
        <w:t>can</w:t>
      </w:r>
      <w:r>
        <w:rPr>
          <w:color w:val="333333"/>
          <w:spacing w:val="-6"/>
          <w:w w:val="110"/>
        </w:rPr>
        <w:t xml:space="preserve"> </w:t>
      </w:r>
      <w:r>
        <w:rPr>
          <w:color w:val="333333"/>
          <w:w w:val="110"/>
        </w:rPr>
        <w:t xml:space="preserve">also add a </w:t>
      </w:r>
      <w:r>
        <w:rPr>
          <w:rFonts w:ascii="MS Gothic"/>
          <w:color w:val="B02045"/>
          <w:w w:val="110"/>
        </w:rPr>
        <w:t>banner.gif</w:t>
      </w:r>
      <w:r>
        <w:rPr>
          <w:color w:val="333333"/>
          <w:w w:val="110"/>
        </w:rPr>
        <w:t xml:space="preserve">, </w:t>
      </w:r>
      <w:r>
        <w:rPr>
          <w:rFonts w:ascii="MS Gothic"/>
          <w:color w:val="B02045"/>
          <w:w w:val="110"/>
        </w:rPr>
        <w:t>banner.jpg</w:t>
      </w:r>
      <w:r>
        <w:rPr>
          <w:color w:val="333333"/>
          <w:w w:val="110"/>
        </w:rPr>
        <w:t xml:space="preserve">, or </w:t>
      </w:r>
      <w:r>
        <w:rPr>
          <w:rFonts w:ascii="MS Gothic"/>
          <w:color w:val="B02045"/>
          <w:w w:val="110"/>
        </w:rPr>
        <w:t xml:space="preserve">banner.png </w:t>
      </w:r>
      <w:r>
        <w:rPr>
          <w:color w:val="333333"/>
          <w:w w:val="110"/>
        </w:rPr>
        <w:t xml:space="preserve">image file to your classpath or set the </w:t>
      </w:r>
      <w:proofErr w:type="gramStart"/>
      <w:r>
        <w:rPr>
          <w:rFonts w:ascii="MS Gothic"/>
          <w:color w:val="B02045"/>
          <w:w w:val="110"/>
        </w:rPr>
        <w:t>spring.banner</w:t>
      </w:r>
      <w:proofErr w:type="gramEnd"/>
      <w:r>
        <w:rPr>
          <w:rFonts w:ascii="MS Gothic"/>
          <w:color w:val="B02045"/>
          <w:w w:val="110"/>
        </w:rPr>
        <w:t>.image.location</w:t>
      </w:r>
      <w:r>
        <w:rPr>
          <w:rFonts w:ascii="MS Gothic"/>
          <w:color w:val="B02045"/>
          <w:spacing w:val="-85"/>
          <w:w w:val="110"/>
        </w:rPr>
        <w:t xml:space="preserve"> </w:t>
      </w:r>
      <w:r>
        <w:rPr>
          <w:color w:val="333333"/>
          <w:spacing w:val="-3"/>
          <w:w w:val="110"/>
        </w:rPr>
        <w:t xml:space="preserve">property. </w:t>
      </w:r>
      <w:r>
        <w:rPr>
          <w:color w:val="333333"/>
          <w:w w:val="110"/>
        </w:rPr>
        <w:t>Images are converted into an ASCII art representation and printed above any text</w:t>
      </w:r>
      <w:r>
        <w:rPr>
          <w:color w:val="333333"/>
          <w:spacing w:val="11"/>
          <w:w w:val="110"/>
        </w:rPr>
        <w:t xml:space="preserve"> </w:t>
      </w:r>
      <w:r>
        <w:rPr>
          <w:color w:val="333333"/>
          <w:w w:val="110"/>
        </w:rPr>
        <w:t>banner.</w:t>
      </w:r>
    </w:p>
    <w:p w14:paraId="5C560416" w14:textId="77777777" w:rsidR="00A720EB" w:rsidRDefault="00A720EB">
      <w:pPr>
        <w:pStyle w:val="a3"/>
        <w:spacing w:before="9"/>
      </w:pPr>
    </w:p>
    <w:p w14:paraId="6AE7B421" w14:textId="77777777" w:rsidR="00A720EB" w:rsidRDefault="0030286B">
      <w:pPr>
        <w:pStyle w:val="a3"/>
        <w:ind w:left="124"/>
        <w:jc w:val="both"/>
      </w:pPr>
      <w:r>
        <w:rPr>
          <w:color w:val="333333"/>
          <w:w w:val="110"/>
        </w:rPr>
        <w:t xml:space="preserve">Inside your </w:t>
      </w:r>
      <w:r>
        <w:rPr>
          <w:rFonts w:ascii="MS Gothic"/>
          <w:color w:val="B02045"/>
          <w:w w:val="110"/>
        </w:rPr>
        <w:t xml:space="preserve">banner.txt </w:t>
      </w:r>
      <w:r>
        <w:rPr>
          <w:color w:val="333333"/>
          <w:w w:val="110"/>
        </w:rPr>
        <w:t>file, you can use any of the following placeholders:</w:t>
      </w:r>
    </w:p>
    <w:p w14:paraId="55F644A8" w14:textId="77777777" w:rsidR="00A720EB" w:rsidRDefault="00A720EB">
      <w:pPr>
        <w:pStyle w:val="a3"/>
        <w:spacing w:before="5"/>
        <w:rPr>
          <w:sz w:val="23"/>
        </w:rPr>
      </w:pPr>
    </w:p>
    <w:p w14:paraId="63B4C5CF" w14:textId="77777777" w:rsidR="00A720EB" w:rsidRDefault="0030286B">
      <w:pPr>
        <w:ind w:left="124"/>
        <w:jc w:val="both"/>
        <w:rPr>
          <w:rFonts w:ascii="Palatino Linotype"/>
          <w:i/>
          <w:sz w:val="20"/>
        </w:rPr>
      </w:pPr>
      <w:r>
        <w:rPr>
          <w:rFonts w:ascii="Palatino Linotype"/>
          <w:i/>
          <w:color w:val="333333"/>
          <w:w w:val="115"/>
          <w:sz w:val="20"/>
        </w:rPr>
        <w:t>Table 4. Banner variables</w:t>
      </w:r>
    </w:p>
    <w:p w14:paraId="29157BCE" w14:textId="77777777" w:rsidR="00A720EB" w:rsidRDefault="00A720EB">
      <w:pPr>
        <w:pStyle w:val="a3"/>
        <w:spacing w:before="7"/>
        <w:rPr>
          <w:rFonts w:ascii="Palatino Linotype"/>
          <w:i/>
          <w:sz w:val="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392B6BA1" w14:textId="77777777">
        <w:trPr>
          <w:trHeight w:val="415"/>
        </w:trPr>
        <w:tc>
          <w:tcPr>
            <w:tcW w:w="4988" w:type="dxa"/>
            <w:tcBorders>
              <w:bottom w:val="single" w:sz="12" w:space="0" w:color="DDDDDD"/>
            </w:tcBorders>
          </w:tcPr>
          <w:p w14:paraId="383B4D00" w14:textId="77777777" w:rsidR="00A720EB" w:rsidRDefault="0030286B">
            <w:pPr>
              <w:pStyle w:val="TableParagraph"/>
              <w:spacing w:before="74"/>
              <w:rPr>
                <w:rFonts w:ascii="Palatino Linotype"/>
                <w:b/>
                <w:sz w:val="21"/>
              </w:rPr>
            </w:pPr>
            <w:r>
              <w:rPr>
                <w:rFonts w:ascii="Palatino Linotype"/>
                <w:b/>
                <w:color w:val="333333"/>
                <w:w w:val="110"/>
                <w:sz w:val="21"/>
              </w:rPr>
              <w:t>Variable</w:t>
            </w:r>
          </w:p>
        </w:tc>
        <w:tc>
          <w:tcPr>
            <w:tcW w:w="4988" w:type="dxa"/>
            <w:tcBorders>
              <w:bottom w:val="single" w:sz="12" w:space="0" w:color="DDDDDD"/>
            </w:tcBorders>
          </w:tcPr>
          <w:p w14:paraId="5605D78F"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42DEF179" w14:textId="77777777">
        <w:trPr>
          <w:trHeight w:val="1046"/>
        </w:trPr>
        <w:tc>
          <w:tcPr>
            <w:tcW w:w="4988" w:type="dxa"/>
            <w:tcBorders>
              <w:top w:val="single" w:sz="12" w:space="0" w:color="DDDDDD"/>
            </w:tcBorders>
          </w:tcPr>
          <w:p w14:paraId="51CCE1CB" w14:textId="77777777" w:rsidR="00A720EB" w:rsidRDefault="0030286B">
            <w:pPr>
              <w:pStyle w:val="TableParagraph"/>
              <w:spacing w:before="30"/>
              <w:rPr>
                <w:sz w:val="21"/>
              </w:rPr>
            </w:pPr>
            <w:r>
              <w:rPr>
                <w:color w:val="B02045"/>
                <w:sz w:val="21"/>
              </w:rPr>
              <w:t>${</w:t>
            </w:r>
            <w:proofErr w:type="gramStart"/>
            <w:r>
              <w:rPr>
                <w:color w:val="B02045"/>
                <w:sz w:val="21"/>
              </w:rPr>
              <w:t>application.version</w:t>
            </w:r>
            <w:proofErr w:type="gramEnd"/>
            <w:r>
              <w:rPr>
                <w:color w:val="B02045"/>
                <w:sz w:val="21"/>
              </w:rPr>
              <w:t>}</w:t>
            </w:r>
          </w:p>
        </w:tc>
        <w:tc>
          <w:tcPr>
            <w:tcW w:w="4988" w:type="dxa"/>
            <w:tcBorders>
              <w:top w:val="single" w:sz="12" w:space="0" w:color="DDDDDD"/>
            </w:tcBorders>
          </w:tcPr>
          <w:p w14:paraId="3BFF0E93" w14:textId="77777777" w:rsidR="00A720EB" w:rsidRDefault="0030286B">
            <w:pPr>
              <w:pStyle w:val="TableParagraph"/>
              <w:spacing w:before="31" w:line="316" w:lineRule="exact"/>
              <w:ind w:right="308"/>
              <w:rPr>
                <w:rFonts w:ascii="Cambria"/>
                <w:sz w:val="21"/>
              </w:rPr>
            </w:pPr>
            <w:r>
              <w:rPr>
                <w:rFonts w:ascii="Cambria"/>
                <w:color w:val="333333"/>
                <w:w w:val="110"/>
                <w:sz w:val="21"/>
              </w:rPr>
              <w:t xml:space="preserve">The version number of your application, as declared in </w:t>
            </w:r>
            <w:r>
              <w:rPr>
                <w:color w:val="B02045"/>
                <w:w w:val="110"/>
                <w:sz w:val="21"/>
              </w:rPr>
              <w:t>MANIFEST.MF</w:t>
            </w:r>
            <w:r>
              <w:rPr>
                <w:rFonts w:ascii="Cambria"/>
                <w:color w:val="333333"/>
                <w:w w:val="110"/>
                <w:sz w:val="21"/>
              </w:rPr>
              <w:t xml:space="preserve">. </w:t>
            </w:r>
            <w:r>
              <w:rPr>
                <w:rFonts w:ascii="Cambria"/>
                <w:color w:val="333333"/>
                <w:spacing w:val="-4"/>
                <w:w w:val="110"/>
                <w:sz w:val="21"/>
              </w:rPr>
              <w:t xml:space="preserve">For </w:t>
            </w:r>
            <w:r>
              <w:rPr>
                <w:rFonts w:ascii="Cambria"/>
                <w:color w:val="333333"/>
                <w:w w:val="110"/>
                <w:sz w:val="21"/>
              </w:rPr>
              <w:t xml:space="preserve">example, </w:t>
            </w:r>
            <w:r>
              <w:rPr>
                <w:color w:val="B02045"/>
                <w:w w:val="105"/>
                <w:sz w:val="21"/>
              </w:rPr>
              <w:t>Implementation-Version: 1.0</w:t>
            </w:r>
            <w:r>
              <w:rPr>
                <w:color w:val="B02045"/>
                <w:spacing w:val="-72"/>
                <w:w w:val="105"/>
                <w:sz w:val="21"/>
              </w:rPr>
              <w:t xml:space="preserve"> </w:t>
            </w:r>
            <w:r>
              <w:rPr>
                <w:rFonts w:ascii="Cambria"/>
                <w:color w:val="333333"/>
                <w:w w:val="105"/>
                <w:sz w:val="21"/>
              </w:rPr>
              <w:t xml:space="preserve">is printed as </w:t>
            </w:r>
            <w:r>
              <w:rPr>
                <w:color w:val="B02045"/>
                <w:w w:val="105"/>
                <w:sz w:val="21"/>
              </w:rPr>
              <w:t>1.0</w:t>
            </w:r>
            <w:r>
              <w:rPr>
                <w:rFonts w:ascii="Cambria"/>
                <w:color w:val="333333"/>
                <w:w w:val="105"/>
                <w:sz w:val="21"/>
              </w:rPr>
              <w:t>.</w:t>
            </w:r>
          </w:p>
        </w:tc>
      </w:tr>
      <w:tr w:rsidR="00A720EB" w14:paraId="07D66034" w14:textId="77777777">
        <w:trPr>
          <w:trHeight w:val="1372"/>
        </w:trPr>
        <w:tc>
          <w:tcPr>
            <w:tcW w:w="4988" w:type="dxa"/>
          </w:tcPr>
          <w:p w14:paraId="7DE28126" w14:textId="77777777" w:rsidR="00A720EB" w:rsidRDefault="0030286B">
            <w:pPr>
              <w:pStyle w:val="TableParagraph"/>
              <w:spacing w:before="40"/>
              <w:rPr>
                <w:sz w:val="21"/>
              </w:rPr>
            </w:pPr>
            <w:r>
              <w:rPr>
                <w:color w:val="B02045"/>
                <w:sz w:val="21"/>
              </w:rPr>
              <w:t>${</w:t>
            </w:r>
            <w:proofErr w:type="gramStart"/>
            <w:r>
              <w:rPr>
                <w:color w:val="B02045"/>
                <w:sz w:val="21"/>
              </w:rPr>
              <w:t>application.formatted</w:t>
            </w:r>
            <w:proofErr w:type="gramEnd"/>
            <w:r>
              <w:rPr>
                <w:color w:val="B02045"/>
                <w:sz w:val="21"/>
              </w:rPr>
              <w:t>-version}</w:t>
            </w:r>
          </w:p>
        </w:tc>
        <w:tc>
          <w:tcPr>
            <w:tcW w:w="4988" w:type="dxa"/>
          </w:tcPr>
          <w:p w14:paraId="758198F8" w14:textId="77777777" w:rsidR="00A720EB" w:rsidRDefault="0030286B">
            <w:pPr>
              <w:pStyle w:val="TableParagraph"/>
              <w:spacing w:before="41" w:line="316" w:lineRule="exact"/>
              <w:rPr>
                <w:rFonts w:ascii="Cambria"/>
                <w:sz w:val="21"/>
              </w:rPr>
            </w:pPr>
            <w:r>
              <w:rPr>
                <w:rFonts w:ascii="Cambria"/>
                <w:color w:val="333333"/>
                <w:w w:val="110"/>
                <w:sz w:val="21"/>
              </w:rPr>
              <w:t xml:space="preserve">The version number of your application, as declared in </w:t>
            </w:r>
            <w:r>
              <w:rPr>
                <w:color w:val="B02045"/>
                <w:w w:val="110"/>
                <w:sz w:val="21"/>
              </w:rPr>
              <w:t xml:space="preserve">MANIFEST.MF </w:t>
            </w:r>
            <w:r>
              <w:rPr>
                <w:rFonts w:ascii="Cambria"/>
                <w:color w:val="333333"/>
                <w:w w:val="110"/>
                <w:sz w:val="21"/>
              </w:rPr>
              <w:t xml:space="preserve">and formatted for display (surrounded with brackets and prefixed with </w:t>
            </w:r>
            <w:r>
              <w:rPr>
                <w:color w:val="B02045"/>
                <w:w w:val="110"/>
                <w:sz w:val="21"/>
              </w:rPr>
              <w:t>v</w:t>
            </w:r>
            <w:r>
              <w:rPr>
                <w:rFonts w:ascii="Cambria"/>
                <w:color w:val="333333"/>
                <w:w w:val="110"/>
                <w:sz w:val="21"/>
              </w:rPr>
              <w:t xml:space="preserve">). For example </w:t>
            </w:r>
            <w:r>
              <w:rPr>
                <w:color w:val="B02045"/>
                <w:w w:val="110"/>
                <w:sz w:val="21"/>
              </w:rPr>
              <w:t>(v1.0)</w:t>
            </w:r>
            <w:r>
              <w:rPr>
                <w:rFonts w:ascii="Cambria"/>
                <w:color w:val="333333"/>
                <w:w w:val="110"/>
                <w:sz w:val="21"/>
              </w:rPr>
              <w:t>.</w:t>
            </w:r>
          </w:p>
        </w:tc>
      </w:tr>
      <w:tr w:rsidR="00A720EB" w14:paraId="20BA2B4D" w14:textId="77777777">
        <w:trPr>
          <w:trHeight w:val="741"/>
        </w:trPr>
        <w:tc>
          <w:tcPr>
            <w:tcW w:w="4988" w:type="dxa"/>
          </w:tcPr>
          <w:p w14:paraId="463552FA" w14:textId="77777777" w:rsidR="00A720EB" w:rsidRDefault="0030286B">
            <w:pPr>
              <w:pStyle w:val="TableParagraph"/>
              <w:spacing w:before="40"/>
              <w:rPr>
                <w:sz w:val="21"/>
              </w:rPr>
            </w:pPr>
            <w:r>
              <w:rPr>
                <w:color w:val="B02045"/>
                <w:sz w:val="21"/>
              </w:rPr>
              <w:t>${spring-</w:t>
            </w:r>
            <w:proofErr w:type="gramStart"/>
            <w:r>
              <w:rPr>
                <w:color w:val="B02045"/>
                <w:sz w:val="21"/>
              </w:rPr>
              <w:t>boot.version</w:t>
            </w:r>
            <w:proofErr w:type="gramEnd"/>
            <w:r>
              <w:rPr>
                <w:color w:val="B02045"/>
                <w:sz w:val="21"/>
              </w:rPr>
              <w:t>}</w:t>
            </w:r>
          </w:p>
        </w:tc>
        <w:tc>
          <w:tcPr>
            <w:tcW w:w="4988" w:type="dxa"/>
          </w:tcPr>
          <w:p w14:paraId="06BD217B" w14:textId="77777777" w:rsidR="00A720EB" w:rsidRDefault="0030286B">
            <w:pPr>
              <w:pStyle w:val="TableParagraph"/>
              <w:spacing w:before="11" w:line="330" w:lineRule="atLeast"/>
              <w:rPr>
                <w:rFonts w:ascii="Cambria"/>
                <w:sz w:val="21"/>
              </w:rPr>
            </w:pPr>
            <w:r>
              <w:rPr>
                <w:rFonts w:ascii="Cambria"/>
                <w:color w:val="333333"/>
                <w:w w:val="110"/>
                <w:sz w:val="21"/>
              </w:rPr>
              <w:t xml:space="preserve">The Spring Boot version that you are using. For example </w:t>
            </w:r>
            <w:r>
              <w:rPr>
                <w:color w:val="B02045"/>
                <w:w w:val="110"/>
                <w:sz w:val="21"/>
              </w:rPr>
              <w:t>2.3.</w:t>
            </w:r>
            <w:proofErr w:type="gramStart"/>
            <w:r>
              <w:rPr>
                <w:color w:val="B02045"/>
                <w:w w:val="110"/>
                <w:sz w:val="21"/>
              </w:rPr>
              <w:t>4.RELEASE</w:t>
            </w:r>
            <w:proofErr w:type="gramEnd"/>
            <w:r>
              <w:rPr>
                <w:rFonts w:ascii="Cambria"/>
                <w:color w:val="333333"/>
                <w:w w:val="110"/>
                <w:sz w:val="21"/>
              </w:rPr>
              <w:t>.</w:t>
            </w:r>
          </w:p>
        </w:tc>
      </w:tr>
      <w:tr w:rsidR="00A720EB" w14:paraId="133DA041" w14:textId="77777777">
        <w:trPr>
          <w:trHeight w:val="1372"/>
        </w:trPr>
        <w:tc>
          <w:tcPr>
            <w:tcW w:w="4988" w:type="dxa"/>
          </w:tcPr>
          <w:p w14:paraId="211BE49E" w14:textId="77777777" w:rsidR="00A720EB" w:rsidRDefault="0030286B">
            <w:pPr>
              <w:pStyle w:val="TableParagraph"/>
              <w:spacing w:before="40"/>
              <w:rPr>
                <w:sz w:val="21"/>
              </w:rPr>
            </w:pPr>
            <w:r>
              <w:rPr>
                <w:color w:val="B02045"/>
                <w:sz w:val="21"/>
              </w:rPr>
              <w:t>${spring-</w:t>
            </w:r>
            <w:proofErr w:type="gramStart"/>
            <w:r>
              <w:rPr>
                <w:color w:val="B02045"/>
                <w:sz w:val="21"/>
              </w:rPr>
              <w:t>boot.formatted</w:t>
            </w:r>
            <w:proofErr w:type="gramEnd"/>
            <w:r>
              <w:rPr>
                <w:color w:val="B02045"/>
                <w:sz w:val="21"/>
              </w:rPr>
              <w:t>-version}</w:t>
            </w:r>
          </w:p>
        </w:tc>
        <w:tc>
          <w:tcPr>
            <w:tcW w:w="4988" w:type="dxa"/>
          </w:tcPr>
          <w:p w14:paraId="461E4B5A" w14:textId="77777777" w:rsidR="00A720EB" w:rsidRDefault="0030286B">
            <w:pPr>
              <w:pStyle w:val="TableParagraph"/>
              <w:spacing w:before="41" w:line="316" w:lineRule="exact"/>
              <w:rPr>
                <w:rFonts w:ascii="Cambria"/>
                <w:sz w:val="21"/>
              </w:rPr>
            </w:pPr>
            <w:r>
              <w:rPr>
                <w:rFonts w:ascii="Cambria"/>
                <w:color w:val="333333"/>
                <w:w w:val="110"/>
                <w:sz w:val="21"/>
              </w:rPr>
              <w:t xml:space="preserve">The Spring Boot version that you are using, formatted for display (surrounded with brackets and prefixed with </w:t>
            </w:r>
            <w:r>
              <w:rPr>
                <w:color w:val="B02045"/>
                <w:w w:val="110"/>
                <w:sz w:val="21"/>
              </w:rPr>
              <w:t>v</w:t>
            </w:r>
            <w:r>
              <w:rPr>
                <w:rFonts w:ascii="Cambria"/>
                <w:color w:val="333333"/>
                <w:w w:val="110"/>
                <w:sz w:val="21"/>
              </w:rPr>
              <w:t xml:space="preserve">). For example </w:t>
            </w:r>
            <w:r>
              <w:rPr>
                <w:color w:val="B02045"/>
                <w:w w:val="110"/>
                <w:sz w:val="21"/>
              </w:rPr>
              <w:t>(v2.3.</w:t>
            </w:r>
            <w:proofErr w:type="gramStart"/>
            <w:r>
              <w:rPr>
                <w:color w:val="B02045"/>
                <w:w w:val="110"/>
                <w:sz w:val="21"/>
              </w:rPr>
              <w:t>4.RELEASE</w:t>
            </w:r>
            <w:proofErr w:type="gramEnd"/>
            <w:r>
              <w:rPr>
                <w:color w:val="B02045"/>
                <w:w w:val="110"/>
                <w:sz w:val="21"/>
              </w:rPr>
              <w:t>)</w:t>
            </w:r>
            <w:r>
              <w:rPr>
                <w:rFonts w:ascii="Cambria"/>
                <w:color w:val="333333"/>
                <w:w w:val="110"/>
                <w:sz w:val="21"/>
              </w:rPr>
              <w:t>.</w:t>
            </w:r>
          </w:p>
        </w:tc>
      </w:tr>
      <w:tr w:rsidR="00A720EB" w14:paraId="1E3DD050" w14:textId="77777777">
        <w:trPr>
          <w:trHeight w:val="741"/>
        </w:trPr>
        <w:tc>
          <w:tcPr>
            <w:tcW w:w="4988" w:type="dxa"/>
          </w:tcPr>
          <w:p w14:paraId="3E3987F3" w14:textId="77777777" w:rsidR="00A720EB" w:rsidRDefault="0030286B">
            <w:pPr>
              <w:pStyle w:val="TableParagraph"/>
              <w:spacing w:before="84"/>
              <w:rPr>
                <w:rFonts w:ascii="Cambria"/>
                <w:sz w:val="21"/>
              </w:rPr>
            </w:pPr>
            <w:r>
              <w:rPr>
                <w:color w:val="B02045"/>
                <w:sz w:val="21"/>
              </w:rPr>
              <w:t xml:space="preserve">${Ansi.NAME} </w:t>
            </w:r>
            <w:r>
              <w:rPr>
                <w:rFonts w:ascii="Cambria"/>
                <w:color w:val="333333"/>
                <w:sz w:val="21"/>
              </w:rPr>
              <w:t xml:space="preserve">(or </w:t>
            </w:r>
            <w:r>
              <w:rPr>
                <w:color w:val="B02045"/>
                <w:sz w:val="21"/>
              </w:rPr>
              <w:t>${AnsiColor.NAME}</w:t>
            </w:r>
            <w:r>
              <w:rPr>
                <w:rFonts w:ascii="Cambria"/>
                <w:color w:val="333333"/>
                <w:sz w:val="21"/>
              </w:rPr>
              <w:t>,</w:t>
            </w:r>
          </w:p>
          <w:p w14:paraId="402140CE" w14:textId="77777777" w:rsidR="00A720EB" w:rsidRDefault="0030286B">
            <w:pPr>
              <w:pStyle w:val="TableParagraph"/>
              <w:spacing w:before="47"/>
              <w:rPr>
                <w:rFonts w:ascii="Cambria"/>
                <w:sz w:val="21"/>
              </w:rPr>
            </w:pPr>
            <w:r>
              <w:rPr>
                <w:color w:val="B02045"/>
                <w:sz w:val="21"/>
              </w:rPr>
              <w:t>${AnsiBackground.NAME}</w:t>
            </w:r>
            <w:r>
              <w:rPr>
                <w:rFonts w:ascii="Cambria"/>
                <w:color w:val="333333"/>
                <w:sz w:val="21"/>
              </w:rPr>
              <w:t xml:space="preserve">, </w:t>
            </w:r>
            <w:r>
              <w:rPr>
                <w:color w:val="B02045"/>
                <w:sz w:val="21"/>
              </w:rPr>
              <w:t>${AnsiStyle.NAME}</w:t>
            </w:r>
            <w:r>
              <w:rPr>
                <w:rFonts w:ascii="Cambria"/>
                <w:color w:val="333333"/>
                <w:sz w:val="21"/>
              </w:rPr>
              <w:t>)</w:t>
            </w:r>
          </w:p>
        </w:tc>
        <w:tc>
          <w:tcPr>
            <w:tcW w:w="4988" w:type="dxa"/>
          </w:tcPr>
          <w:p w14:paraId="56BFFC45" w14:textId="77777777" w:rsidR="00A720EB" w:rsidRDefault="0030286B">
            <w:pPr>
              <w:pStyle w:val="TableParagraph"/>
              <w:spacing w:before="84" w:line="280" w:lineRule="auto"/>
              <w:rPr>
                <w:rFonts w:ascii="Cambria"/>
                <w:sz w:val="21"/>
              </w:rPr>
            </w:pPr>
            <w:r>
              <w:rPr>
                <w:rFonts w:ascii="Cambria"/>
                <w:color w:val="333333"/>
                <w:w w:val="110"/>
                <w:sz w:val="21"/>
              </w:rPr>
              <w:t xml:space="preserve">Where </w:t>
            </w:r>
            <w:r>
              <w:rPr>
                <w:color w:val="B02045"/>
                <w:w w:val="110"/>
                <w:sz w:val="21"/>
              </w:rPr>
              <w:t xml:space="preserve">NAME </w:t>
            </w:r>
            <w:r>
              <w:rPr>
                <w:rFonts w:ascii="Cambria"/>
                <w:color w:val="333333"/>
                <w:w w:val="110"/>
                <w:sz w:val="21"/>
              </w:rPr>
              <w:t xml:space="preserve">is the name of an ANSI escape code. See </w:t>
            </w:r>
            <w:hyperlink r:id="rId89">
              <w:r>
                <w:rPr>
                  <w:color w:val="B02045"/>
                  <w:w w:val="110"/>
                  <w:sz w:val="21"/>
                </w:rPr>
                <w:t>AnsiPropertySource</w:t>
              </w:r>
              <w:r>
                <w:rPr>
                  <w:color w:val="B02045"/>
                  <w:spacing w:val="-75"/>
                  <w:w w:val="110"/>
                  <w:sz w:val="21"/>
                </w:rPr>
                <w:t xml:space="preserve"> </w:t>
              </w:r>
            </w:hyperlink>
            <w:r>
              <w:rPr>
                <w:rFonts w:ascii="Cambria"/>
                <w:color w:val="333333"/>
                <w:w w:val="110"/>
                <w:sz w:val="21"/>
              </w:rPr>
              <w:t>for details.</w:t>
            </w:r>
          </w:p>
        </w:tc>
      </w:tr>
    </w:tbl>
    <w:p w14:paraId="446D6075" w14:textId="77777777" w:rsidR="00A720EB" w:rsidRDefault="00A720EB">
      <w:pPr>
        <w:spacing w:line="280" w:lineRule="auto"/>
        <w:rPr>
          <w:sz w:val="21"/>
        </w:rPr>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2D76C4AD" w14:textId="77777777">
        <w:trPr>
          <w:trHeight w:val="415"/>
        </w:trPr>
        <w:tc>
          <w:tcPr>
            <w:tcW w:w="4988" w:type="dxa"/>
            <w:tcBorders>
              <w:bottom w:val="single" w:sz="12" w:space="0" w:color="DDDDDD"/>
            </w:tcBorders>
          </w:tcPr>
          <w:p w14:paraId="331A48B7"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Variable</w:t>
            </w:r>
          </w:p>
        </w:tc>
        <w:tc>
          <w:tcPr>
            <w:tcW w:w="4988" w:type="dxa"/>
            <w:tcBorders>
              <w:bottom w:val="single" w:sz="12" w:space="0" w:color="DDDDDD"/>
            </w:tcBorders>
          </w:tcPr>
          <w:p w14:paraId="126450A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F283785" w14:textId="77777777">
        <w:trPr>
          <w:trHeight w:val="1046"/>
        </w:trPr>
        <w:tc>
          <w:tcPr>
            <w:tcW w:w="4988" w:type="dxa"/>
            <w:tcBorders>
              <w:top w:val="single" w:sz="12" w:space="0" w:color="DDDDDD"/>
            </w:tcBorders>
          </w:tcPr>
          <w:p w14:paraId="4063E88E" w14:textId="77777777" w:rsidR="00A720EB" w:rsidRDefault="0030286B">
            <w:pPr>
              <w:pStyle w:val="TableParagraph"/>
              <w:spacing w:before="27"/>
              <w:rPr>
                <w:sz w:val="21"/>
              </w:rPr>
            </w:pPr>
            <w:r>
              <w:rPr>
                <w:color w:val="B02045"/>
                <w:sz w:val="21"/>
              </w:rPr>
              <w:t>${</w:t>
            </w:r>
            <w:proofErr w:type="gramStart"/>
            <w:r>
              <w:rPr>
                <w:color w:val="B02045"/>
                <w:sz w:val="21"/>
              </w:rPr>
              <w:t>application.title</w:t>
            </w:r>
            <w:proofErr w:type="gramEnd"/>
            <w:r>
              <w:rPr>
                <w:color w:val="B02045"/>
                <w:sz w:val="21"/>
              </w:rPr>
              <w:t>}</w:t>
            </w:r>
          </w:p>
        </w:tc>
        <w:tc>
          <w:tcPr>
            <w:tcW w:w="4988" w:type="dxa"/>
            <w:tcBorders>
              <w:top w:val="single" w:sz="12" w:space="0" w:color="DDDDDD"/>
            </w:tcBorders>
          </w:tcPr>
          <w:p w14:paraId="53DD62E8" w14:textId="77777777" w:rsidR="00A720EB" w:rsidRDefault="0030286B">
            <w:pPr>
              <w:pStyle w:val="TableParagraph"/>
              <w:spacing w:before="28" w:line="316" w:lineRule="exact"/>
              <w:ind w:right="73"/>
              <w:rPr>
                <w:rFonts w:ascii="Cambria"/>
                <w:sz w:val="21"/>
              </w:rPr>
            </w:pPr>
            <w:r>
              <w:rPr>
                <w:rFonts w:ascii="Cambria"/>
                <w:color w:val="333333"/>
                <w:w w:val="110"/>
                <w:sz w:val="21"/>
              </w:rPr>
              <w:t xml:space="preserve">The title of your application, as declared in </w:t>
            </w:r>
            <w:r>
              <w:rPr>
                <w:color w:val="B02045"/>
                <w:w w:val="105"/>
                <w:sz w:val="21"/>
              </w:rPr>
              <w:t>MANIFEST.MF</w:t>
            </w:r>
            <w:r>
              <w:rPr>
                <w:rFonts w:ascii="Cambria"/>
                <w:color w:val="333333"/>
                <w:w w:val="105"/>
                <w:sz w:val="21"/>
              </w:rPr>
              <w:t xml:space="preserve">. </w:t>
            </w:r>
            <w:r>
              <w:rPr>
                <w:rFonts w:ascii="Cambria"/>
                <w:color w:val="333333"/>
                <w:spacing w:val="-4"/>
                <w:w w:val="105"/>
                <w:sz w:val="21"/>
              </w:rPr>
              <w:t xml:space="preserve">For </w:t>
            </w:r>
            <w:proofErr w:type="gramStart"/>
            <w:r>
              <w:rPr>
                <w:rFonts w:ascii="Cambria"/>
                <w:color w:val="333333"/>
                <w:w w:val="105"/>
                <w:sz w:val="21"/>
              </w:rPr>
              <w:t>example</w:t>
            </w:r>
            <w:proofErr w:type="gramEnd"/>
            <w:r>
              <w:rPr>
                <w:rFonts w:ascii="Cambria"/>
                <w:color w:val="333333"/>
                <w:w w:val="105"/>
                <w:sz w:val="21"/>
              </w:rPr>
              <w:t xml:space="preserve"> </w:t>
            </w:r>
            <w:r>
              <w:rPr>
                <w:color w:val="B02045"/>
                <w:w w:val="105"/>
                <w:sz w:val="21"/>
              </w:rPr>
              <w:t xml:space="preserve">Implementation-Title: </w:t>
            </w:r>
            <w:r>
              <w:rPr>
                <w:color w:val="B02045"/>
                <w:w w:val="110"/>
                <w:sz w:val="21"/>
              </w:rPr>
              <w:t>MyApp</w:t>
            </w:r>
            <w:r>
              <w:rPr>
                <w:color w:val="B02045"/>
                <w:spacing w:val="-60"/>
                <w:w w:val="110"/>
                <w:sz w:val="21"/>
              </w:rPr>
              <w:t xml:space="preserve"> </w:t>
            </w:r>
            <w:r>
              <w:rPr>
                <w:rFonts w:ascii="Cambria"/>
                <w:color w:val="333333"/>
                <w:w w:val="110"/>
                <w:sz w:val="21"/>
              </w:rPr>
              <w:t xml:space="preserve">is printed as </w:t>
            </w:r>
            <w:r>
              <w:rPr>
                <w:color w:val="B02045"/>
                <w:w w:val="110"/>
                <w:sz w:val="21"/>
              </w:rPr>
              <w:t>MyApp</w:t>
            </w:r>
            <w:r>
              <w:rPr>
                <w:rFonts w:ascii="Cambria"/>
                <w:color w:val="333333"/>
                <w:w w:val="110"/>
                <w:sz w:val="21"/>
              </w:rPr>
              <w:t>.</w:t>
            </w:r>
          </w:p>
        </w:tc>
      </w:tr>
    </w:tbl>
    <w:p w14:paraId="74E6CFF7" w14:textId="77777777" w:rsidR="00A720EB" w:rsidRDefault="00A720EB">
      <w:pPr>
        <w:pStyle w:val="a3"/>
        <w:spacing w:before="9"/>
        <w:rPr>
          <w:rFonts w:ascii="Palatino Linotype"/>
          <w:i/>
          <w:sz w:val="16"/>
        </w:rPr>
      </w:pPr>
    </w:p>
    <w:p w14:paraId="55C5313D" w14:textId="77777777" w:rsidR="00A720EB" w:rsidRDefault="00E10349">
      <w:pPr>
        <w:pStyle w:val="a3"/>
        <w:spacing w:before="116" w:line="280" w:lineRule="auto"/>
        <w:ind w:left="1564" w:right="365"/>
        <w:jc w:val="both"/>
      </w:pPr>
      <w:r>
        <w:pict w14:anchorId="793BCB75">
          <v:line id="_x0000_s4704" style="position:absolute;left:0;text-align:left;z-index:15814656;mso-position-horizontal-relative:page" from="108.25pt,.35pt" to="108.25pt,55.7pt" strokecolor="#ededed" strokeweight=".5pt">
            <w10:wrap anchorx="page"/>
          </v:line>
        </w:pict>
      </w:r>
      <w:r w:rsidR="0030286B">
        <w:rPr>
          <w:noProof/>
        </w:rPr>
        <w:drawing>
          <wp:anchor distT="0" distB="0" distL="0" distR="0" simplePos="0" relativeHeight="15815168" behindDoc="0" locked="0" layoutInCell="1" allowOverlap="1" wp14:anchorId="05F948AF" wp14:editId="47661ABF">
            <wp:simplePos x="0" y="0"/>
            <wp:positionH relativeFrom="page">
              <wp:posOffset>888949</wp:posOffset>
            </wp:positionH>
            <wp:positionV relativeFrom="paragraph">
              <wp:posOffset>203276</wp:posOffset>
            </wp:positionV>
            <wp:extent cx="209550" cy="304800"/>
            <wp:effectExtent l="0" t="0" r="0" b="0"/>
            <wp:wrapNone/>
            <wp:docPr id="10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The</w:t>
      </w:r>
      <w:r w:rsidR="0030286B">
        <w:rPr>
          <w:color w:val="333333"/>
          <w:spacing w:val="-21"/>
          <w:w w:val="110"/>
        </w:rPr>
        <w:t xml:space="preserve"> </w:t>
      </w:r>
      <w:r w:rsidR="0030286B">
        <w:rPr>
          <w:rFonts w:ascii="MS Gothic" w:hAnsi="MS Gothic"/>
          <w:color w:val="B02045"/>
          <w:w w:val="110"/>
        </w:rPr>
        <w:t>SpringApplication.setBanner(…)</w:t>
      </w:r>
      <w:r w:rsidR="0030286B">
        <w:rPr>
          <w:rFonts w:ascii="MS Gothic" w:hAnsi="MS Gothic"/>
          <w:color w:val="B02045"/>
          <w:spacing w:val="-85"/>
          <w:w w:val="110"/>
        </w:rPr>
        <w:t xml:space="preserve"> </w:t>
      </w:r>
      <w:r w:rsidR="0030286B">
        <w:rPr>
          <w:color w:val="333333"/>
          <w:w w:val="110"/>
        </w:rPr>
        <w:t>method</w:t>
      </w:r>
      <w:r w:rsidR="0030286B">
        <w:rPr>
          <w:color w:val="333333"/>
          <w:spacing w:val="-21"/>
          <w:w w:val="110"/>
        </w:rPr>
        <w:t xml:space="preserve"> </w:t>
      </w:r>
      <w:r w:rsidR="0030286B">
        <w:rPr>
          <w:color w:val="333333"/>
          <w:w w:val="110"/>
        </w:rPr>
        <w:t>can</w:t>
      </w:r>
      <w:r w:rsidR="0030286B">
        <w:rPr>
          <w:color w:val="333333"/>
          <w:spacing w:val="-21"/>
          <w:w w:val="110"/>
        </w:rPr>
        <w:t xml:space="preserve"> </w:t>
      </w:r>
      <w:r w:rsidR="0030286B">
        <w:rPr>
          <w:color w:val="333333"/>
          <w:w w:val="110"/>
        </w:rPr>
        <w:t>be</w:t>
      </w:r>
      <w:r w:rsidR="0030286B">
        <w:rPr>
          <w:color w:val="333333"/>
          <w:spacing w:val="-21"/>
          <w:w w:val="110"/>
        </w:rPr>
        <w:t xml:space="preserve"> </w:t>
      </w:r>
      <w:r w:rsidR="0030286B">
        <w:rPr>
          <w:color w:val="333333"/>
          <w:w w:val="110"/>
        </w:rPr>
        <w:t>used</w:t>
      </w:r>
      <w:r w:rsidR="0030286B">
        <w:rPr>
          <w:color w:val="333333"/>
          <w:spacing w:val="-21"/>
          <w:w w:val="110"/>
        </w:rPr>
        <w:t xml:space="preserve"> </w:t>
      </w:r>
      <w:r w:rsidR="0030286B">
        <w:rPr>
          <w:color w:val="333333"/>
          <w:w w:val="110"/>
        </w:rPr>
        <w:t>if</w:t>
      </w:r>
      <w:r w:rsidR="0030286B">
        <w:rPr>
          <w:color w:val="333333"/>
          <w:spacing w:val="-21"/>
          <w:w w:val="110"/>
        </w:rPr>
        <w:t xml:space="preserve"> </w:t>
      </w:r>
      <w:r w:rsidR="0030286B">
        <w:rPr>
          <w:color w:val="333333"/>
          <w:w w:val="110"/>
        </w:rPr>
        <w:t>you</w:t>
      </w:r>
      <w:r w:rsidR="0030286B">
        <w:rPr>
          <w:color w:val="333333"/>
          <w:spacing w:val="-21"/>
          <w:w w:val="110"/>
        </w:rPr>
        <w:t xml:space="preserve"> </w:t>
      </w:r>
      <w:r w:rsidR="0030286B">
        <w:rPr>
          <w:color w:val="333333"/>
          <w:w w:val="110"/>
        </w:rPr>
        <w:t>want</w:t>
      </w:r>
      <w:r w:rsidR="0030286B">
        <w:rPr>
          <w:color w:val="333333"/>
          <w:spacing w:val="-21"/>
          <w:w w:val="110"/>
        </w:rPr>
        <w:t xml:space="preserve"> </w:t>
      </w:r>
      <w:r w:rsidR="0030286B">
        <w:rPr>
          <w:color w:val="333333"/>
          <w:w w:val="110"/>
        </w:rPr>
        <w:t>to</w:t>
      </w:r>
      <w:r w:rsidR="0030286B">
        <w:rPr>
          <w:color w:val="333333"/>
          <w:spacing w:val="-20"/>
          <w:w w:val="110"/>
        </w:rPr>
        <w:t xml:space="preserve"> </w:t>
      </w:r>
      <w:r w:rsidR="0030286B">
        <w:rPr>
          <w:color w:val="333333"/>
          <w:w w:val="110"/>
        </w:rPr>
        <w:t>generate</w:t>
      </w:r>
      <w:r w:rsidR="0030286B">
        <w:rPr>
          <w:color w:val="333333"/>
          <w:spacing w:val="-21"/>
          <w:w w:val="110"/>
        </w:rPr>
        <w:t xml:space="preserve"> </w:t>
      </w:r>
      <w:r w:rsidR="0030286B">
        <w:rPr>
          <w:color w:val="333333"/>
          <w:w w:val="110"/>
        </w:rPr>
        <w:t xml:space="preserve">a banner </w:t>
      </w:r>
      <w:r w:rsidR="0030286B">
        <w:rPr>
          <w:color w:val="333333"/>
          <w:spacing w:val="-3"/>
          <w:w w:val="110"/>
        </w:rPr>
        <w:t xml:space="preserve">programmatically. </w:t>
      </w:r>
      <w:r w:rsidR="0030286B">
        <w:rPr>
          <w:color w:val="333333"/>
          <w:w w:val="110"/>
        </w:rPr>
        <w:t xml:space="preserve">Use the </w:t>
      </w:r>
      <w:proofErr w:type="gramStart"/>
      <w:r w:rsidR="0030286B">
        <w:rPr>
          <w:rFonts w:ascii="MS Gothic" w:hAnsi="MS Gothic"/>
          <w:color w:val="B02045"/>
          <w:w w:val="110"/>
        </w:rPr>
        <w:t>org.springframework</w:t>
      </w:r>
      <w:proofErr w:type="gramEnd"/>
      <w:r w:rsidR="0030286B">
        <w:rPr>
          <w:rFonts w:ascii="MS Gothic" w:hAnsi="MS Gothic"/>
          <w:color w:val="B02045"/>
          <w:w w:val="110"/>
        </w:rPr>
        <w:t>.boot.Banner</w:t>
      </w:r>
      <w:r w:rsidR="0030286B">
        <w:rPr>
          <w:rFonts w:ascii="MS Gothic" w:hAnsi="MS Gothic"/>
          <w:color w:val="B02045"/>
          <w:spacing w:val="-63"/>
          <w:w w:val="110"/>
        </w:rPr>
        <w:t xml:space="preserve"> </w:t>
      </w:r>
      <w:r w:rsidR="0030286B">
        <w:rPr>
          <w:color w:val="333333"/>
          <w:w w:val="110"/>
        </w:rPr>
        <w:t xml:space="preserve">interface and implement your own </w:t>
      </w:r>
      <w:r w:rsidR="0030286B">
        <w:rPr>
          <w:rFonts w:ascii="MS Gothic" w:hAnsi="MS Gothic"/>
          <w:color w:val="B02045"/>
          <w:w w:val="110"/>
        </w:rPr>
        <w:t>printBanner()</w:t>
      </w:r>
      <w:r w:rsidR="0030286B">
        <w:rPr>
          <w:rFonts w:ascii="MS Gothic" w:hAnsi="MS Gothic"/>
          <w:color w:val="B02045"/>
          <w:spacing w:val="-57"/>
          <w:w w:val="110"/>
        </w:rPr>
        <w:t xml:space="preserve"> </w:t>
      </w:r>
      <w:r w:rsidR="0030286B">
        <w:rPr>
          <w:color w:val="333333"/>
          <w:w w:val="110"/>
        </w:rPr>
        <w:t>method.</w:t>
      </w:r>
    </w:p>
    <w:p w14:paraId="08FECA67" w14:textId="77777777" w:rsidR="00A720EB" w:rsidRDefault="00A720EB">
      <w:pPr>
        <w:pStyle w:val="a3"/>
        <w:spacing w:before="7"/>
        <w:rPr>
          <w:sz w:val="17"/>
        </w:rPr>
      </w:pPr>
    </w:p>
    <w:p w14:paraId="31A791B5" w14:textId="77777777" w:rsidR="00A720EB" w:rsidRDefault="0030286B">
      <w:pPr>
        <w:pStyle w:val="a3"/>
        <w:spacing w:before="116" w:line="280" w:lineRule="auto"/>
        <w:ind w:left="124"/>
      </w:pPr>
      <w:r>
        <w:rPr>
          <w:color w:val="333333"/>
          <w:spacing w:val="-6"/>
          <w:w w:val="110"/>
        </w:rPr>
        <w:t xml:space="preserve">You </w:t>
      </w:r>
      <w:r>
        <w:rPr>
          <w:color w:val="333333"/>
          <w:w w:val="110"/>
        </w:rPr>
        <w:t xml:space="preserve">can also use the </w:t>
      </w:r>
      <w:proofErr w:type="gramStart"/>
      <w:r>
        <w:rPr>
          <w:rFonts w:ascii="MS Gothic"/>
          <w:color w:val="B02045"/>
          <w:w w:val="110"/>
        </w:rPr>
        <w:t>spring.main</w:t>
      </w:r>
      <w:proofErr w:type="gramEnd"/>
      <w:r>
        <w:rPr>
          <w:rFonts w:ascii="MS Gothic"/>
          <w:color w:val="B02045"/>
          <w:w w:val="110"/>
        </w:rPr>
        <w:t>.banner-mode</w:t>
      </w:r>
      <w:r>
        <w:rPr>
          <w:rFonts w:ascii="MS Gothic"/>
          <w:color w:val="B02045"/>
          <w:spacing w:val="-79"/>
          <w:w w:val="110"/>
        </w:rPr>
        <w:t xml:space="preserve"> </w:t>
      </w:r>
      <w:r>
        <w:rPr>
          <w:color w:val="333333"/>
          <w:w w:val="110"/>
        </w:rPr>
        <w:t xml:space="preserve">property to determine if the banner has to be printed on </w:t>
      </w:r>
      <w:r>
        <w:rPr>
          <w:rFonts w:ascii="MS Gothic"/>
          <w:color w:val="B02045"/>
          <w:w w:val="110"/>
        </w:rPr>
        <w:t>System.out</w:t>
      </w:r>
      <w:r>
        <w:rPr>
          <w:rFonts w:ascii="MS Gothic"/>
          <w:color w:val="B02045"/>
          <w:spacing w:val="-69"/>
          <w:w w:val="110"/>
        </w:rPr>
        <w:t xml:space="preserve"> </w:t>
      </w:r>
      <w:r>
        <w:rPr>
          <w:color w:val="333333"/>
          <w:w w:val="110"/>
        </w:rPr>
        <w:t>(</w:t>
      </w:r>
      <w:r>
        <w:rPr>
          <w:rFonts w:ascii="MS Gothic"/>
          <w:color w:val="B02045"/>
          <w:w w:val="110"/>
        </w:rPr>
        <w:t>console</w:t>
      </w:r>
      <w:r>
        <w:rPr>
          <w:color w:val="333333"/>
          <w:w w:val="110"/>
        </w:rPr>
        <w:t>), sent to the configured logger (</w:t>
      </w:r>
      <w:r>
        <w:rPr>
          <w:rFonts w:ascii="MS Gothic"/>
          <w:color w:val="B02045"/>
          <w:w w:val="110"/>
        </w:rPr>
        <w:t>log</w:t>
      </w:r>
      <w:r>
        <w:rPr>
          <w:color w:val="333333"/>
          <w:w w:val="110"/>
        </w:rPr>
        <w:t>), or not produced at all (</w:t>
      </w:r>
      <w:r>
        <w:rPr>
          <w:rFonts w:ascii="MS Gothic"/>
          <w:color w:val="B02045"/>
          <w:w w:val="110"/>
        </w:rPr>
        <w:t>off</w:t>
      </w:r>
      <w:r>
        <w:rPr>
          <w:color w:val="333333"/>
          <w:w w:val="110"/>
        </w:rPr>
        <w:t>).</w:t>
      </w:r>
    </w:p>
    <w:p w14:paraId="048DA0C1" w14:textId="77777777" w:rsidR="00A720EB" w:rsidRDefault="0030286B">
      <w:pPr>
        <w:pStyle w:val="a3"/>
        <w:spacing w:before="242"/>
        <w:ind w:left="124"/>
      </w:pPr>
      <w:r>
        <w:rPr>
          <w:color w:val="333333"/>
          <w:w w:val="110"/>
        </w:rPr>
        <w:t xml:space="preserve">The printed banner is registered as a singleton bean under the following name: </w:t>
      </w:r>
      <w:r>
        <w:rPr>
          <w:rFonts w:ascii="MS Gothic"/>
          <w:color w:val="B02045"/>
          <w:w w:val="110"/>
        </w:rPr>
        <w:t>springBootBanner</w:t>
      </w:r>
      <w:r>
        <w:rPr>
          <w:color w:val="333333"/>
          <w:w w:val="110"/>
        </w:rPr>
        <w:t>.</w:t>
      </w:r>
    </w:p>
    <w:p w14:paraId="485CB0FA" w14:textId="77777777" w:rsidR="00A720EB" w:rsidRDefault="00A720EB">
      <w:pPr>
        <w:pStyle w:val="a3"/>
        <w:spacing w:before="6"/>
        <w:rPr>
          <w:sz w:val="30"/>
        </w:rPr>
      </w:pPr>
    </w:p>
    <w:p w14:paraId="26FE4EBF" w14:textId="77777777" w:rsidR="00A720EB" w:rsidRDefault="0030286B">
      <w:pPr>
        <w:pStyle w:val="3"/>
        <w:numPr>
          <w:ilvl w:val="2"/>
          <w:numId w:val="68"/>
        </w:numPr>
        <w:tabs>
          <w:tab w:val="left" w:pos="858"/>
        </w:tabs>
        <w:ind w:hanging="734"/>
      </w:pPr>
      <w:bookmarkStart w:id="151" w:name="4.1.4._Customizing_SpringApplication"/>
      <w:bookmarkStart w:id="152" w:name="_Toc54423713"/>
      <w:bookmarkEnd w:id="151"/>
      <w:r>
        <w:rPr>
          <w:color w:val="333333"/>
          <w:w w:val="105"/>
        </w:rPr>
        <w:t>Customizing</w:t>
      </w:r>
      <w:r>
        <w:rPr>
          <w:color w:val="333333"/>
          <w:spacing w:val="-2"/>
          <w:w w:val="105"/>
        </w:rPr>
        <w:t xml:space="preserve"> </w:t>
      </w:r>
      <w:r>
        <w:rPr>
          <w:color w:val="333333"/>
          <w:w w:val="105"/>
        </w:rPr>
        <w:t>SpringApplication</w:t>
      </w:r>
      <w:bookmarkEnd w:id="152"/>
    </w:p>
    <w:p w14:paraId="051FCCC2" w14:textId="77777777" w:rsidR="00A720EB" w:rsidRDefault="0030286B">
      <w:pPr>
        <w:pStyle w:val="a3"/>
        <w:spacing w:before="244" w:line="290" w:lineRule="auto"/>
        <w:ind w:left="124"/>
      </w:pPr>
      <w:r>
        <w:rPr>
          <w:color w:val="333333"/>
          <w:w w:val="110"/>
        </w:rPr>
        <w:t xml:space="preserve">If the </w:t>
      </w:r>
      <w:r>
        <w:rPr>
          <w:rFonts w:ascii="MS Gothic"/>
          <w:color w:val="B02045"/>
          <w:w w:val="110"/>
        </w:rPr>
        <w:t xml:space="preserve">SpringApplication </w:t>
      </w:r>
      <w:r>
        <w:rPr>
          <w:color w:val="333333"/>
          <w:w w:val="110"/>
        </w:rPr>
        <w:t>defaults are not to your taste, you can instead create a local instance and customize it. For example, to turn off the banner, you could write:</w:t>
      </w:r>
    </w:p>
    <w:p w14:paraId="2FFEDA03" w14:textId="77777777" w:rsidR="00A720EB" w:rsidRDefault="00E10349">
      <w:pPr>
        <w:pStyle w:val="a3"/>
        <w:spacing w:before="7"/>
        <w:rPr>
          <w:sz w:val="14"/>
        </w:rPr>
      </w:pPr>
      <w:r>
        <w:pict w14:anchorId="331CDB91">
          <v:group id="_x0000_s4700" style="position:absolute;margin-left:47.85pt;margin-top:10.55pt;width:499.55pt;height:96.45pt;z-index:-15643136;mso-wrap-distance-left:0;mso-wrap-distance-right:0;mso-position-horizontal-relative:page" coordorigin="957,211" coordsize="9991,1929">
            <v:shape id="_x0000_s4703" style="position:absolute;left:964;top:218;width:9976;height:1914" coordorigin="965,218" coordsize="9976,1914" path="m10861,218r-9816,l1014,225r-26,17l971,267r-6,31l965,2052r6,32l988,2109r26,17l1045,2132r9816,l10892,2126r25,-17l10935,2084r6,-32l10941,298r-6,-31l10917,242r-25,-17l10861,218xe" fillcolor="#f5f5f5" stroked="f">
              <v:path arrowok="t"/>
            </v:shape>
            <v:shape id="_x0000_s4702" style="position:absolute;left:964;top:218;width:9976;height:1914" coordorigin="965,218" coordsize="9976,1914" path="m1045,218r9816,l10892,225r25,17l10935,267r6,31l10941,2052r-6,32l10917,2109r-25,17l10861,2132r-9816,l1014,2126r-26,-17l971,2084r-6,-32l965,298r6,-31l988,242r26,-17l1045,218xe" filled="f" strokecolor="#ccc">
              <v:path arrowok="t"/>
            </v:shape>
            <v:shape id="_x0000_s4701" type="#_x0000_t202" style="position:absolute;left:984;top:233;width:9938;height:1884" filled="f" stroked="f">
              <v:textbox inset="0,0,0,0">
                <w:txbxContent>
                  <w:p w14:paraId="55E61A61" w14:textId="77777777" w:rsidR="00711A16" w:rsidRDefault="00711A16">
                    <w:pPr>
                      <w:spacing w:before="221"/>
                      <w:ind w:left="20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w:t>
                    </w:r>
                  </w:p>
                  <w:p w14:paraId="778EDAFE" w14:textId="77777777" w:rsidR="00711A16" w:rsidRDefault="00711A16">
                    <w:pPr>
                      <w:spacing w:before="13" w:line="252" w:lineRule="auto"/>
                      <w:ind w:left="640" w:right="1028"/>
                      <w:rPr>
                        <w:rFonts w:ascii="MS Gothic"/>
                      </w:rPr>
                    </w:pPr>
                    <w:r>
                      <w:rPr>
                        <w:rFonts w:ascii="MS Gothic"/>
                        <w:color w:val="333333"/>
                      </w:rPr>
                      <w:t xml:space="preserve">SpringApplication app = new </w:t>
                    </w:r>
                    <w:proofErr w:type="gramStart"/>
                    <w:r>
                      <w:rPr>
                        <w:rFonts w:ascii="MS Gothic"/>
                        <w:color w:val="333333"/>
                      </w:rPr>
                      <w:t>SpringApplication(</w:t>
                    </w:r>
                    <w:proofErr w:type="gramEnd"/>
                    <w:r>
                      <w:rPr>
                        <w:rFonts w:ascii="MS Gothic"/>
                        <w:color w:val="333333"/>
                      </w:rPr>
                      <w:t>MySpringConfiguration.class); app.setBannerMode(Banner.Mode.OFF);</w:t>
                    </w:r>
                  </w:p>
                  <w:p w14:paraId="3E7447B9" w14:textId="77777777" w:rsidR="00711A16" w:rsidRDefault="00711A16">
                    <w:pPr>
                      <w:spacing w:line="280" w:lineRule="exact"/>
                      <w:ind w:left="640"/>
                      <w:rPr>
                        <w:rFonts w:ascii="MS Gothic"/>
                      </w:rPr>
                    </w:pPr>
                    <w:r>
                      <w:rPr>
                        <w:rFonts w:ascii="MS Gothic"/>
                        <w:color w:val="333333"/>
                      </w:rPr>
                      <w:t>app.run(args);</w:t>
                    </w:r>
                  </w:p>
                  <w:p w14:paraId="0DF04B05"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5EFE6D05" w14:textId="77777777" w:rsidR="00A720EB" w:rsidRDefault="00A720EB">
      <w:pPr>
        <w:pStyle w:val="a3"/>
        <w:spacing w:before="8"/>
        <w:rPr>
          <w:sz w:val="16"/>
        </w:rPr>
      </w:pPr>
    </w:p>
    <w:p w14:paraId="61A9410A" w14:textId="77777777" w:rsidR="00A720EB" w:rsidRDefault="00E10349">
      <w:pPr>
        <w:pStyle w:val="a3"/>
        <w:spacing w:before="116" w:line="292" w:lineRule="auto"/>
        <w:ind w:left="1564" w:right="363"/>
        <w:jc w:val="both"/>
      </w:pPr>
      <w:r>
        <w:pict w14:anchorId="75201CC5">
          <v:line id="_x0000_s4699" style="position:absolute;left:0;text-align:left;z-index:15815680;mso-position-horizontal-relative:page" from="108.25pt,.35pt" to="108.25pt,71.45pt" strokecolor="#ededed" strokeweight=".5pt">
            <w10:wrap anchorx="page"/>
          </v:line>
        </w:pict>
      </w:r>
      <w:r w:rsidR="0030286B">
        <w:rPr>
          <w:noProof/>
        </w:rPr>
        <w:drawing>
          <wp:anchor distT="0" distB="0" distL="0" distR="0" simplePos="0" relativeHeight="15816192" behindDoc="0" locked="0" layoutInCell="1" allowOverlap="1" wp14:anchorId="6BFC9C43" wp14:editId="5503A95B">
            <wp:simplePos x="0" y="0"/>
            <wp:positionH relativeFrom="page">
              <wp:posOffset>844422</wp:posOffset>
            </wp:positionH>
            <wp:positionV relativeFrom="paragraph">
              <wp:posOffset>306654</wp:posOffset>
            </wp:positionV>
            <wp:extent cx="298450" cy="298450"/>
            <wp:effectExtent l="0" t="0" r="0" b="0"/>
            <wp:wrapNone/>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constructor arguments passed to </w:t>
      </w:r>
      <w:r w:rsidR="0030286B">
        <w:rPr>
          <w:rFonts w:ascii="MS Gothic"/>
          <w:color w:val="B02045"/>
          <w:w w:val="110"/>
        </w:rPr>
        <w:t>SpringApplication</w:t>
      </w:r>
      <w:r w:rsidR="0030286B">
        <w:rPr>
          <w:rFonts w:ascii="MS Gothic"/>
          <w:color w:val="B02045"/>
          <w:spacing w:val="-53"/>
          <w:w w:val="110"/>
        </w:rPr>
        <w:t xml:space="preserve"> </w:t>
      </w:r>
      <w:r w:rsidR="0030286B">
        <w:rPr>
          <w:color w:val="333333"/>
          <w:w w:val="110"/>
        </w:rPr>
        <w:t xml:space="preserve">are configuration sources for Spring beans. In most cases, these are references to </w:t>
      </w:r>
      <w:r w:rsidR="0030286B">
        <w:rPr>
          <w:rFonts w:ascii="MS Gothic"/>
          <w:color w:val="B02045"/>
          <w:w w:val="110"/>
        </w:rPr>
        <w:t xml:space="preserve">@Configuration </w:t>
      </w:r>
      <w:r w:rsidR="0030286B">
        <w:rPr>
          <w:color w:val="333333"/>
          <w:w w:val="110"/>
        </w:rPr>
        <w:t xml:space="preserve">classes, but they could also be references to XML configuration or to packages that should </w:t>
      </w:r>
      <w:proofErr w:type="gramStart"/>
      <w:r w:rsidR="0030286B">
        <w:rPr>
          <w:color w:val="333333"/>
          <w:w w:val="110"/>
        </w:rPr>
        <w:t>be  scanned</w:t>
      </w:r>
      <w:proofErr w:type="gramEnd"/>
      <w:r w:rsidR="0030286B">
        <w:rPr>
          <w:color w:val="333333"/>
          <w:w w:val="110"/>
        </w:rPr>
        <w:t>.</w:t>
      </w:r>
    </w:p>
    <w:p w14:paraId="35310FE0" w14:textId="77777777" w:rsidR="00A720EB" w:rsidRDefault="00A720EB">
      <w:pPr>
        <w:pStyle w:val="a3"/>
        <w:spacing w:before="10"/>
        <w:rPr>
          <w:sz w:val="17"/>
        </w:rPr>
      </w:pPr>
    </w:p>
    <w:p w14:paraId="363AC5CA" w14:textId="77777777" w:rsidR="00A720EB" w:rsidRDefault="0030286B">
      <w:pPr>
        <w:pStyle w:val="a3"/>
        <w:spacing w:before="116"/>
        <w:ind w:left="124"/>
      </w:pPr>
      <w:r>
        <w:rPr>
          <w:color w:val="333333"/>
          <w:w w:val="110"/>
        </w:rPr>
        <w:t xml:space="preserve">It is also possible to configure the </w:t>
      </w:r>
      <w:r>
        <w:rPr>
          <w:rFonts w:ascii="MS Gothic"/>
          <w:color w:val="B02045"/>
          <w:w w:val="110"/>
        </w:rPr>
        <w:t xml:space="preserve">SpringApplication </w:t>
      </w:r>
      <w:r>
        <w:rPr>
          <w:color w:val="333333"/>
          <w:w w:val="110"/>
        </w:rPr>
        <w:t xml:space="preserve">by using an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file. See</w:t>
      </w:r>
    </w:p>
    <w:p w14:paraId="07C29FD1" w14:textId="77777777" w:rsidR="00A720EB" w:rsidRDefault="00E10349">
      <w:pPr>
        <w:spacing w:before="36"/>
        <w:ind w:left="124"/>
        <w:rPr>
          <w:sz w:val="21"/>
        </w:rPr>
      </w:pPr>
      <w:hyperlink w:anchor="_bookmark101" w:history="1">
        <w:r w:rsidR="0030286B">
          <w:rPr>
            <w:rFonts w:ascii="Palatino Linotype"/>
            <w:i/>
            <w:color w:val="418BCA"/>
            <w:w w:val="115"/>
            <w:sz w:val="21"/>
          </w:rPr>
          <w:t xml:space="preserve">Externalized Configuration </w:t>
        </w:r>
      </w:hyperlink>
      <w:r w:rsidR="0030286B">
        <w:rPr>
          <w:color w:val="333333"/>
          <w:w w:val="115"/>
          <w:sz w:val="21"/>
        </w:rPr>
        <w:t>for details.</w:t>
      </w:r>
    </w:p>
    <w:p w14:paraId="5079C8B3" w14:textId="77777777" w:rsidR="00A720EB" w:rsidRDefault="00A720EB">
      <w:pPr>
        <w:pStyle w:val="a3"/>
        <w:spacing w:before="2"/>
        <w:rPr>
          <w:sz w:val="24"/>
        </w:rPr>
      </w:pPr>
    </w:p>
    <w:p w14:paraId="6B156892" w14:textId="77777777" w:rsidR="00A720EB" w:rsidRDefault="0030286B">
      <w:pPr>
        <w:pStyle w:val="a3"/>
        <w:ind w:left="124"/>
      </w:pPr>
      <w:r>
        <w:rPr>
          <w:color w:val="333333"/>
          <w:spacing w:val="-4"/>
          <w:w w:val="110"/>
        </w:rPr>
        <w:t xml:space="preserve">For </w:t>
      </w:r>
      <w:r>
        <w:rPr>
          <w:color w:val="333333"/>
          <w:w w:val="110"/>
        </w:rPr>
        <w:t xml:space="preserve">a complete list of the configuration options, see the </w:t>
      </w:r>
      <w:hyperlink r:id="rId90">
        <w:r>
          <w:rPr>
            <w:rFonts w:ascii="MS Gothic"/>
            <w:color w:val="B02045"/>
            <w:w w:val="110"/>
          </w:rPr>
          <w:t>SpringApplication</w:t>
        </w:r>
        <w:r>
          <w:rPr>
            <w:rFonts w:ascii="MS Gothic"/>
            <w:color w:val="B02045"/>
            <w:spacing w:val="-60"/>
            <w:w w:val="110"/>
          </w:rPr>
          <w:t xml:space="preserve"> </w:t>
        </w:r>
      </w:hyperlink>
      <w:hyperlink r:id="rId91">
        <w:r>
          <w:rPr>
            <w:color w:val="418BCA"/>
            <w:w w:val="110"/>
          </w:rPr>
          <w:t>Javadoc</w:t>
        </w:r>
      </w:hyperlink>
      <w:r>
        <w:rPr>
          <w:color w:val="333333"/>
          <w:w w:val="110"/>
        </w:rPr>
        <w:t>.</w:t>
      </w:r>
    </w:p>
    <w:p w14:paraId="2F59984F" w14:textId="77777777" w:rsidR="00A720EB" w:rsidRDefault="00A720EB">
      <w:pPr>
        <w:pStyle w:val="a3"/>
        <w:spacing w:before="6"/>
        <w:rPr>
          <w:sz w:val="30"/>
        </w:rPr>
      </w:pPr>
    </w:p>
    <w:p w14:paraId="1B34DE80" w14:textId="77777777" w:rsidR="00A720EB" w:rsidRDefault="0030286B">
      <w:pPr>
        <w:pStyle w:val="3"/>
        <w:numPr>
          <w:ilvl w:val="2"/>
          <w:numId w:val="68"/>
        </w:numPr>
        <w:tabs>
          <w:tab w:val="left" w:pos="858"/>
        </w:tabs>
        <w:ind w:hanging="734"/>
      </w:pPr>
      <w:bookmarkStart w:id="153" w:name="4.1.5._Fluent_Builder_API"/>
      <w:bookmarkStart w:id="154" w:name="_Toc54423714"/>
      <w:bookmarkEnd w:id="153"/>
      <w:r>
        <w:rPr>
          <w:color w:val="333333"/>
          <w:w w:val="110"/>
        </w:rPr>
        <w:t>Fluent Builder</w:t>
      </w:r>
      <w:r>
        <w:rPr>
          <w:color w:val="333333"/>
          <w:spacing w:val="-11"/>
          <w:w w:val="110"/>
        </w:rPr>
        <w:t xml:space="preserve"> </w:t>
      </w:r>
      <w:r>
        <w:rPr>
          <w:color w:val="333333"/>
          <w:w w:val="110"/>
        </w:rPr>
        <w:t>API</w:t>
      </w:r>
      <w:bookmarkEnd w:id="154"/>
    </w:p>
    <w:p w14:paraId="56489922" w14:textId="77777777" w:rsidR="00A720EB" w:rsidRDefault="0030286B">
      <w:pPr>
        <w:pStyle w:val="a3"/>
        <w:spacing w:before="243" w:line="280" w:lineRule="auto"/>
        <w:ind w:left="124"/>
      </w:pPr>
      <w:r>
        <w:rPr>
          <w:color w:val="333333"/>
          <w:w w:val="110"/>
        </w:rPr>
        <w:t xml:space="preserve">If you need to build an </w:t>
      </w:r>
      <w:r>
        <w:rPr>
          <w:rFonts w:ascii="MS Gothic" w:hAnsi="MS Gothic"/>
          <w:color w:val="B02045"/>
          <w:w w:val="110"/>
        </w:rPr>
        <w:t xml:space="preserve">ApplicationContext </w:t>
      </w:r>
      <w:r>
        <w:rPr>
          <w:color w:val="333333"/>
          <w:w w:val="110"/>
        </w:rPr>
        <w:t>hierarchy (multiple contexts with a parent/child relationship)</w:t>
      </w:r>
      <w:r>
        <w:rPr>
          <w:color w:val="333333"/>
          <w:spacing w:val="-9"/>
          <w:w w:val="110"/>
        </w:rPr>
        <w:t xml:space="preserve"> </w:t>
      </w:r>
      <w:r>
        <w:rPr>
          <w:color w:val="333333"/>
          <w:w w:val="110"/>
        </w:rPr>
        <w:t>or</w:t>
      </w:r>
      <w:r>
        <w:rPr>
          <w:color w:val="333333"/>
          <w:spacing w:val="-8"/>
          <w:w w:val="110"/>
        </w:rPr>
        <w:t xml:space="preserve"> </w:t>
      </w:r>
      <w:r>
        <w:rPr>
          <w:color w:val="333333"/>
          <w:w w:val="110"/>
        </w:rPr>
        <w:t>if</w:t>
      </w:r>
      <w:r>
        <w:rPr>
          <w:color w:val="333333"/>
          <w:spacing w:val="-9"/>
          <w:w w:val="110"/>
        </w:rPr>
        <w:t xml:space="preserve"> </w:t>
      </w:r>
      <w:r>
        <w:rPr>
          <w:color w:val="333333"/>
          <w:w w:val="110"/>
        </w:rPr>
        <w:t>you</w:t>
      </w:r>
      <w:r>
        <w:rPr>
          <w:color w:val="333333"/>
          <w:spacing w:val="-9"/>
          <w:w w:val="110"/>
        </w:rPr>
        <w:t xml:space="preserve"> </w:t>
      </w:r>
      <w:r>
        <w:rPr>
          <w:color w:val="333333"/>
          <w:w w:val="110"/>
        </w:rPr>
        <w:t>prefer</w:t>
      </w:r>
      <w:r>
        <w:rPr>
          <w:color w:val="333333"/>
          <w:spacing w:val="-9"/>
          <w:w w:val="110"/>
        </w:rPr>
        <w:t xml:space="preserve"> </w:t>
      </w:r>
      <w:r>
        <w:rPr>
          <w:color w:val="333333"/>
          <w:w w:val="110"/>
        </w:rPr>
        <w:t>using</w:t>
      </w:r>
      <w:r>
        <w:rPr>
          <w:color w:val="333333"/>
          <w:spacing w:val="-9"/>
          <w:w w:val="110"/>
        </w:rPr>
        <w:t xml:space="preserve"> </w:t>
      </w:r>
      <w:r>
        <w:rPr>
          <w:color w:val="333333"/>
          <w:w w:val="110"/>
        </w:rPr>
        <w:t>a</w:t>
      </w:r>
      <w:r>
        <w:rPr>
          <w:color w:val="333333"/>
          <w:spacing w:val="-10"/>
          <w:w w:val="110"/>
        </w:rPr>
        <w:t xml:space="preserve"> </w:t>
      </w:r>
      <w:r>
        <w:rPr>
          <w:color w:val="333333"/>
          <w:w w:val="110"/>
        </w:rPr>
        <w:t>“fluent”</w:t>
      </w:r>
      <w:r>
        <w:rPr>
          <w:color w:val="333333"/>
          <w:spacing w:val="-8"/>
          <w:w w:val="110"/>
        </w:rPr>
        <w:t xml:space="preserve"> </w:t>
      </w:r>
      <w:r>
        <w:rPr>
          <w:color w:val="333333"/>
          <w:w w:val="110"/>
        </w:rPr>
        <w:t>builder</w:t>
      </w:r>
      <w:r>
        <w:rPr>
          <w:color w:val="333333"/>
          <w:spacing w:val="-9"/>
          <w:w w:val="110"/>
        </w:rPr>
        <w:t xml:space="preserve"> </w:t>
      </w:r>
      <w:r>
        <w:rPr>
          <w:color w:val="333333"/>
          <w:w w:val="110"/>
        </w:rPr>
        <w:t>API,</w:t>
      </w:r>
      <w:r>
        <w:rPr>
          <w:color w:val="333333"/>
          <w:spacing w:val="-8"/>
          <w:w w:val="110"/>
        </w:rPr>
        <w:t xml:space="preserve"> </w:t>
      </w:r>
      <w:r>
        <w:rPr>
          <w:color w:val="333333"/>
          <w:w w:val="110"/>
        </w:rPr>
        <w:t>you</w:t>
      </w:r>
      <w:r>
        <w:rPr>
          <w:color w:val="333333"/>
          <w:spacing w:val="-9"/>
          <w:w w:val="110"/>
        </w:rPr>
        <w:t xml:space="preserve"> </w:t>
      </w:r>
      <w:r>
        <w:rPr>
          <w:color w:val="333333"/>
          <w:w w:val="110"/>
        </w:rPr>
        <w:t>can</w:t>
      </w:r>
      <w:r>
        <w:rPr>
          <w:color w:val="333333"/>
          <w:spacing w:val="-9"/>
          <w:w w:val="110"/>
        </w:rPr>
        <w:t xml:space="preserve"> </w:t>
      </w:r>
      <w:r>
        <w:rPr>
          <w:color w:val="333333"/>
          <w:w w:val="110"/>
        </w:rPr>
        <w:t>use</w:t>
      </w:r>
      <w:r>
        <w:rPr>
          <w:color w:val="333333"/>
          <w:spacing w:val="-9"/>
          <w:w w:val="110"/>
        </w:rPr>
        <w:t xml:space="preserve"> </w:t>
      </w:r>
      <w:r>
        <w:rPr>
          <w:color w:val="333333"/>
          <w:w w:val="110"/>
        </w:rPr>
        <w:t>the</w:t>
      </w:r>
      <w:r>
        <w:rPr>
          <w:color w:val="333333"/>
          <w:spacing w:val="-2"/>
          <w:w w:val="110"/>
        </w:rPr>
        <w:t xml:space="preserve"> </w:t>
      </w:r>
      <w:r>
        <w:rPr>
          <w:rFonts w:ascii="MS Gothic" w:hAnsi="MS Gothic"/>
          <w:color w:val="B02045"/>
          <w:w w:val="110"/>
        </w:rPr>
        <w:t>SpringApplicationBuilder</w:t>
      </w:r>
      <w:r>
        <w:rPr>
          <w:color w:val="333333"/>
          <w:w w:val="110"/>
        </w:rPr>
        <w:t>.</w:t>
      </w:r>
    </w:p>
    <w:p w14:paraId="3A2795E1" w14:textId="77777777" w:rsidR="00A720EB" w:rsidRDefault="0030286B">
      <w:pPr>
        <w:pStyle w:val="a3"/>
        <w:spacing w:before="242"/>
        <w:ind w:left="124"/>
      </w:pPr>
      <w:r>
        <w:rPr>
          <w:color w:val="333333"/>
          <w:w w:val="110"/>
        </w:rPr>
        <w:t>The</w:t>
      </w:r>
      <w:r>
        <w:rPr>
          <w:color w:val="333333"/>
          <w:spacing w:val="-18"/>
          <w:w w:val="110"/>
        </w:rPr>
        <w:t xml:space="preserve"> </w:t>
      </w:r>
      <w:r>
        <w:rPr>
          <w:rFonts w:ascii="MS Gothic"/>
          <w:color w:val="B02045"/>
          <w:w w:val="110"/>
        </w:rPr>
        <w:t>SpringApplicationBuilder</w:t>
      </w:r>
      <w:r>
        <w:rPr>
          <w:rFonts w:ascii="MS Gothic"/>
          <w:color w:val="B02045"/>
          <w:spacing w:val="-82"/>
          <w:w w:val="110"/>
        </w:rPr>
        <w:t xml:space="preserve"> </w:t>
      </w:r>
      <w:r>
        <w:rPr>
          <w:color w:val="333333"/>
          <w:w w:val="110"/>
        </w:rPr>
        <w:t>lets</w:t>
      </w:r>
      <w:r>
        <w:rPr>
          <w:color w:val="333333"/>
          <w:spacing w:val="-17"/>
          <w:w w:val="110"/>
        </w:rPr>
        <w:t xml:space="preserve"> </w:t>
      </w:r>
      <w:r>
        <w:rPr>
          <w:color w:val="333333"/>
          <w:w w:val="110"/>
        </w:rPr>
        <w:t>you</w:t>
      </w:r>
      <w:r>
        <w:rPr>
          <w:color w:val="333333"/>
          <w:spacing w:val="-18"/>
          <w:w w:val="110"/>
        </w:rPr>
        <w:t xml:space="preserve"> </w:t>
      </w:r>
      <w:r>
        <w:rPr>
          <w:color w:val="333333"/>
          <w:w w:val="110"/>
        </w:rPr>
        <w:t>chain</w:t>
      </w:r>
      <w:r>
        <w:rPr>
          <w:color w:val="333333"/>
          <w:spacing w:val="-18"/>
          <w:w w:val="110"/>
        </w:rPr>
        <w:t xml:space="preserve"> </w:t>
      </w:r>
      <w:r>
        <w:rPr>
          <w:color w:val="333333"/>
          <w:w w:val="110"/>
        </w:rPr>
        <w:t>together</w:t>
      </w:r>
      <w:r>
        <w:rPr>
          <w:color w:val="333333"/>
          <w:spacing w:val="-17"/>
          <w:w w:val="110"/>
        </w:rPr>
        <w:t xml:space="preserve"> </w:t>
      </w:r>
      <w:r>
        <w:rPr>
          <w:color w:val="333333"/>
          <w:w w:val="110"/>
        </w:rPr>
        <w:t>multiple</w:t>
      </w:r>
      <w:r>
        <w:rPr>
          <w:color w:val="333333"/>
          <w:spacing w:val="-18"/>
          <w:w w:val="110"/>
        </w:rPr>
        <w:t xml:space="preserve"> </w:t>
      </w:r>
      <w:r>
        <w:rPr>
          <w:color w:val="333333"/>
          <w:w w:val="110"/>
        </w:rPr>
        <w:t>method</w:t>
      </w:r>
      <w:r>
        <w:rPr>
          <w:color w:val="333333"/>
          <w:spacing w:val="-18"/>
          <w:w w:val="110"/>
        </w:rPr>
        <w:t xml:space="preserve"> </w:t>
      </w:r>
      <w:r>
        <w:rPr>
          <w:color w:val="333333"/>
          <w:w w:val="110"/>
        </w:rPr>
        <w:t>calls</w:t>
      </w:r>
      <w:r>
        <w:rPr>
          <w:color w:val="333333"/>
          <w:spacing w:val="-17"/>
          <w:w w:val="110"/>
        </w:rPr>
        <w:t xml:space="preserve"> </w:t>
      </w:r>
      <w:r>
        <w:rPr>
          <w:color w:val="333333"/>
          <w:w w:val="110"/>
        </w:rPr>
        <w:t>and</w:t>
      </w:r>
      <w:r>
        <w:rPr>
          <w:color w:val="333333"/>
          <w:spacing w:val="-18"/>
          <w:w w:val="110"/>
        </w:rPr>
        <w:t xml:space="preserve"> </w:t>
      </w:r>
      <w:r>
        <w:rPr>
          <w:color w:val="333333"/>
          <w:w w:val="110"/>
        </w:rPr>
        <w:t>includes</w:t>
      </w:r>
      <w:r>
        <w:rPr>
          <w:color w:val="333333"/>
          <w:spacing w:val="-14"/>
          <w:w w:val="110"/>
        </w:rPr>
        <w:t xml:space="preserve"> </w:t>
      </w:r>
      <w:r>
        <w:rPr>
          <w:rFonts w:ascii="MS Gothic"/>
          <w:color w:val="B02045"/>
          <w:w w:val="110"/>
        </w:rPr>
        <w:t>parent</w:t>
      </w:r>
      <w:r>
        <w:rPr>
          <w:rFonts w:ascii="MS Gothic"/>
          <w:color w:val="B02045"/>
          <w:spacing w:val="-82"/>
          <w:w w:val="110"/>
        </w:rPr>
        <w:t xml:space="preserve"> </w:t>
      </w:r>
      <w:r>
        <w:rPr>
          <w:color w:val="333333"/>
          <w:w w:val="110"/>
        </w:rPr>
        <w:t>and</w:t>
      </w:r>
    </w:p>
    <w:p w14:paraId="1BAD9B21" w14:textId="77777777" w:rsidR="00A720EB" w:rsidRDefault="0030286B">
      <w:pPr>
        <w:pStyle w:val="a3"/>
        <w:spacing w:before="47"/>
        <w:ind w:left="124"/>
      </w:pPr>
      <w:r>
        <w:rPr>
          <w:rFonts w:ascii="MS Gothic"/>
          <w:color w:val="B02045"/>
          <w:w w:val="110"/>
        </w:rPr>
        <w:t xml:space="preserve">child </w:t>
      </w:r>
      <w:r>
        <w:rPr>
          <w:color w:val="333333"/>
          <w:w w:val="110"/>
        </w:rPr>
        <w:t>methods that let you create a hierarchy, as shown in the following example:</w:t>
      </w:r>
    </w:p>
    <w:p w14:paraId="6E24F1EA" w14:textId="77777777" w:rsidR="00A720EB" w:rsidRDefault="00A720EB">
      <w:pPr>
        <w:sectPr w:rsidR="00A720EB">
          <w:pgSz w:w="11910" w:h="16840"/>
          <w:pgMar w:top="700" w:right="840" w:bottom="520" w:left="840" w:header="0" w:footer="323" w:gutter="0"/>
          <w:cols w:space="720"/>
        </w:sectPr>
      </w:pPr>
    </w:p>
    <w:p w14:paraId="1A618F4D" w14:textId="77777777" w:rsidR="00A720EB" w:rsidRDefault="00E10349">
      <w:pPr>
        <w:pStyle w:val="a3"/>
        <w:ind w:left="116"/>
        <w:rPr>
          <w:sz w:val="20"/>
        </w:rPr>
      </w:pPr>
      <w:r>
        <w:rPr>
          <w:sz w:val="20"/>
        </w:rPr>
      </w:r>
      <w:r>
        <w:rPr>
          <w:sz w:val="20"/>
        </w:rPr>
        <w:pict w14:anchorId="6BD2921F">
          <v:group id="_x0000_s4695" style="width:499.55pt;height:96.45pt;mso-position-horizontal-relative:char;mso-position-vertical-relative:line" coordsize="9991,1929">
            <v:shape id="_x0000_s4698" style="position:absolute;left:7;top:7;width:9976;height:1914" coordorigin="8,8" coordsize="9976,1914" path="m9904,8l88,8,56,14,31,31,14,56,8,88r,1753l14,1873r17,25l56,1915r32,6l9904,1921r31,-6l9960,1898r17,-25l9984,1841r,-1753l9977,56,9960,31,9935,14,9904,8xe" fillcolor="#f5f5f5" stroked="f">
              <v:path arrowok="t"/>
            </v:shape>
            <v:shape id="_x0000_s4697" style="position:absolute;left:7;top:7;width:9976;height:1914" coordorigin="8,8" coordsize="9976,1914" path="m88,8r9816,l9935,14r25,17l9977,56r7,32l9984,1841r-7,32l9960,1898r-25,17l9904,1921r-9816,l56,1915,31,1898,14,1873,8,1841,8,88,14,56,31,31,56,14,88,8xe" filled="f" strokecolor="#ccc">
              <v:path arrowok="t"/>
            </v:shape>
            <v:shape id="_x0000_s4696" type="#_x0000_t202" style="position:absolute;left:26;top:22;width:9938;height:1884" filled="f" stroked="f">
              <v:textbox inset="0,0,0,0">
                <w:txbxContent>
                  <w:p w14:paraId="3A143011" w14:textId="77777777" w:rsidR="00711A16" w:rsidRDefault="00711A16">
                    <w:pPr>
                      <w:spacing w:before="221"/>
                      <w:ind w:right="6434"/>
                      <w:jc w:val="right"/>
                      <w:rPr>
                        <w:rFonts w:ascii="MS Gothic"/>
                      </w:rPr>
                    </w:pPr>
                    <w:r>
                      <w:rPr>
                        <w:rFonts w:ascii="MS Gothic"/>
                        <w:color w:val="333333"/>
                      </w:rPr>
                      <w:t xml:space="preserve">new </w:t>
                    </w:r>
                    <w:proofErr w:type="gramStart"/>
                    <w:r>
                      <w:rPr>
                        <w:rFonts w:ascii="MS Gothic"/>
                        <w:color w:val="333333"/>
                      </w:rPr>
                      <w:t>SpringApplicationBuilder(</w:t>
                    </w:r>
                    <w:proofErr w:type="gramEnd"/>
                    <w:r>
                      <w:rPr>
                        <w:rFonts w:ascii="MS Gothic"/>
                        <w:color w:val="333333"/>
                      </w:rPr>
                      <w:t>)</w:t>
                    </w:r>
                  </w:p>
                  <w:p w14:paraId="3384DE55" w14:textId="77777777" w:rsidR="00711A16" w:rsidRDefault="00711A16">
                    <w:pPr>
                      <w:spacing w:before="13"/>
                      <w:ind w:right="6434"/>
                      <w:jc w:val="right"/>
                      <w:rPr>
                        <w:rFonts w:ascii="MS Gothic"/>
                      </w:rPr>
                    </w:pPr>
                    <w:proofErr w:type="gramStart"/>
                    <w:r>
                      <w:rPr>
                        <w:rFonts w:ascii="MS Gothic"/>
                        <w:color w:val="333333"/>
                      </w:rPr>
                      <w:t>.sources</w:t>
                    </w:r>
                    <w:proofErr w:type="gramEnd"/>
                    <w:r>
                      <w:rPr>
                        <w:rFonts w:ascii="MS Gothic"/>
                        <w:color w:val="333333"/>
                      </w:rPr>
                      <w:t>(Parent.class)</w:t>
                    </w:r>
                  </w:p>
                  <w:p w14:paraId="0B523AC6" w14:textId="77777777" w:rsidR="00711A16" w:rsidRDefault="00711A16">
                    <w:pPr>
                      <w:spacing w:before="13"/>
                      <w:ind w:left="1080"/>
                      <w:rPr>
                        <w:rFonts w:ascii="MS Gothic"/>
                      </w:rPr>
                    </w:pPr>
                    <w:proofErr w:type="gramStart"/>
                    <w:r>
                      <w:rPr>
                        <w:rFonts w:ascii="MS Gothic"/>
                        <w:color w:val="333333"/>
                      </w:rPr>
                      <w:t>.child</w:t>
                    </w:r>
                    <w:proofErr w:type="gramEnd"/>
                    <w:r>
                      <w:rPr>
                        <w:rFonts w:ascii="MS Gothic"/>
                        <w:color w:val="333333"/>
                      </w:rPr>
                      <w:t>(Application.class)</w:t>
                    </w:r>
                  </w:p>
                  <w:p w14:paraId="6CA573E0" w14:textId="77777777" w:rsidR="00711A16" w:rsidRDefault="00711A16">
                    <w:pPr>
                      <w:spacing w:before="13"/>
                      <w:ind w:left="1080"/>
                      <w:rPr>
                        <w:rFonts w:ascii="MS Gothic"/>
                      </w:rPr>
                    </w:pPr>
                    <w:proofErr w:type="gramStart"/>
                    <w:r>
                      <w:rPr>
                        <w:rFonts w:ascii="MS Gothic"/>
                        <w:color w:val="333333"/>
                      </w:rPr>
                      <w:t>.bannerMode</w:t>
                    </w:r>
                    <w:proofErr w:type="gramEnd"/>
                    <w:r>
                      <w:rPr>
                        <w:rFonts w:ascii="MS Gothic"/>
                        <w:color w:val="333333"/>
                      </w:rPr>
                      <w:t>(Banner.Mode.OFF)</w:t>
                    </w:r>
                  </w:p>
                  <w:p w14:paraId="225B5030" w14:textId="77777777" w:rsidR="00711A16" w:rsidRDefault="00711A16">
                    <w:pPr>
                      <w:spacing w:before="12"/>
                      <w:ind w:left="1080"/>
                      <w:rPr>
                        <w:rFonts w:ascii="MS Gothic"/>
                      </w:rPr>
                    </w:pPr>
                    <w:proofErr w:type="gramStart"/>
                    <w:r>
                      <w:rPr>
                        <w:rFonts w:ascii="MS Gothic"/>
                        <w:color w:val="333333"/>
                      </w:rPr>
                      <w:t>.run</w:t>
                    </w:r>
                    <w:proofErr w:type="gramEnd"/>
                    <w:r>
                      <w:rPr>
                        <w:rFonts w:ascii="MS Gothic"/>
                        <w:color w:val="333333"/>
                      </w:rPr>
                      <w:t>(args);</w:t>
                    </w:r>
                  </w:p>
                </w:txbxContent>
              </v:textbox>
            </v:shape>
            <w10:anchorlock/>
          </v:group>
        </w:pict>
      </w:r>
    </w:p>
    <w:p w14:paraId="2BC34907" w14:textId="77777777" w:rsidR="00A720EB" w:rsidRDefault="00A720EB">
      <w:pPr>
        <w:pStyle w:val="a3"/>
        <w:spacing w:before="7"/>
        <w:rPr>
          <w:sz w:val="16"/>
        </w:rPr>
      </w:pPr>
    </w:p>
    <w:p w14:paraId="7DD55307" w14:textId="77777777" w:rsidR="00A720EB" w:rsidRDefault="00E10349">
      <w:pPr>
        <w:pStyle w:val="a3"/>
        <w:spacing w:before="116" w:line="276" w:lineRule="auto"/>
        <w:ind w:left="1564" w:right="363"/>
        <w:jc w:val="both"/>
      </w:pPr>
      <w:r>
        <w:pict w14:anchorId="083CAA86">
          <v:line id="_x0000_s4694" style="position:absolute;left:0;text-align:left;z-index:15817216;mso-position-horizontal-relative:page" from="108.25pt,.35pt" to="108.25pt,71.45pt" strokecolor="#ededed" strokeweight=".5pt">
            <w10:wrap anchorx="page"/>
          </v:line>
        </w:pict>
      </w:r>
      <w:r w:rsidR="0030286B">
        <w:rPr>
          <w:noProof/>
        </w:rPr>
        <w:drawing>
          <wp:anchor distT="0" distB="0" distL="0" distR="0" simplePos="0" relativeHeight="15817728" behindDoc="0" locked="0" layoutInCell="1" allowOverlap="1" wp14:anchorId="1A668284" wp14:editId="69A9BF64">
            <wp:simplePos x="0" y="0"/>
            <wp:positionH relativeFrom="page">
              <wp:posOffset>844422</wp:posOffset>
            </wp:positionH>
            <wp:positionV relativeFrom="paragraph">
              <wp:posOffset>306654</wp:posOffset>
            </wp:positionV>
            <wp:extent cx="298450" cy="298450"/>
            <wp:effectExtent l="0" t="0" r="0" b="0"/>
            <wp:wrapNone/>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There are some restrictions when creating an </w:t>
      </w:r>
      <w:r w:rsidR="0030286B">
        <w:rPr>
          <w:rFonts w:ascii="MS Gothic"/>
          <w:color w:val="B02045"/>
          <w:w w:val="110"/>
        </w:rPr>
        <w:t xml:space="preserve">ApplicationContext </w:t>
      </w:r>
      <w:r w:rsidR="0030286B">
        <w:rPr>
          <w:color w:val="333333"/>
          <w:spacing w:val="-4"/>
          <w:w w:val="110"/>
        </w:rPr>
        <w:t xml:space="preserve">hierarchy. For </w:t>
      </w:r>
      <w:r w:rsidR="0030286B">
        <w:rPr>
          <w:color w:val="333333"/>
          <w:w w:val="110"/>
        </w:rPr>
        <w:t xml:space="preserve">example, </w:t>
      </w:r>
      <w:r w:rsidR="0030286B">
        <w:rPr>
          <w:color w:val="333333"/>
          <w:spacing w:val="-5"/>
          <w:w w:val="110"/>
        </w:rPr>
        <w:t xml:space="preserve">Web </w:t>
      </w:r>
      <w:r w:rsidR="0030286B">
        <w:rPr>
          <w:color w:val="333333"/>
          <w:w w:val="110"/>
        </w:rPr>
        <w:t xml:space="preserve">components </w:t>
      </w:r>
      <w:r w:rsidR="0030286B">
        <w:rPr>
          <w:rFonts w:ascii="Palatino Linotype"/>
          <w:b/>
          <w:color w:val="333333"/>
          <w:w w:val="110"/>
        </w:rPr>
        <w:t xml:space="preserve">must </w:t>
      </w:r>
      <w:r w:rsidR="0030286B">
        <w:rPr>
          <w:color w:val="333333"/>
          <w:w w:val="110"/>
        </w:rPr>
        <w:t xml:space="preserve">be contained within the child context, and the same </w:t>
      </w:r>
      <w:r w:rsidR="0030286B">
        <w:rPr>
          <w:rFonts w:ascii="MS Gothic"/>
          <w:color w:val="B02045"/>
          <w:w w:val="110"/>
        </w:rPr>
        <w:t xml:space="preserve">Environment </w:t>
      </w:r>
      <w:r w:rsidR="0030286B">
        <w:rPr>
          <w:color w:val="333333"/>
          <w:w w:val="110"/>
        </w:rPr>
        <w:t xml:space="preserve">is used for both parent and child contexts. See the </w:t>
      </w:r>
      <w:hyperlink r:id="rId92">
        <w:r w:rsidR="0030286B">
          <w:rPr>
            <w:rFonts w:ascii="MS Gothic"/>
            <w:color w:val="B02045"/>
            <w:w w:val="110"/>
          </w:rPr>
          <w:t>SpringApplicationBuilder</w:t>
        </w:r>
        <w:r w:rsidR="0030286B">
          <w:rPr>
            <w:rFonts w:ascii="MS Gothic"/>
            <w:color w:val="B02045"/>
            <w:spacing w:val="-65"/>
            <w:w w:val="110"/>
          </w:rPr>
          <w:t xml:space="preserve"> </w:t>
        </w:r>
      </w:hyperlink>
      <w:hyperlink r:id="rId93">
        <w:r w:rsidR="0030286B">
          <w:rPr>
            <w:color w:val="418BCA"/>
            <w:w w:val="110"/>
          </w:rPr>
          <w:t xml:space="preserve">Javadoc </w:t>
        </w:r>
      </w:hyperlink>
      <w:r w:rsidR="0030286B">
        <w:rPr>
          <w:color w:val="333333"/>
          <w:w w:val="110"/>
        </w:rPr>
        <w:t>for full details.</w:t>
      </w:r>
    </w:p>
    <w:p w14:paraId="7BDF2A4D" w14:textId="77777777" w:rsidR="00A720EB" w:rsidRDefault="00A720EB">
      <w:pPr>
        <w:pStyle w:val="a3"/>
        <w:spacing w:before="1"/>
        <w:rPr>
          <w:sz w:val="25"/>
        </w:rPr>
      </w:pPr>
    </w:p>
    <w:p w14:paraId="3B66C86E" w14:textId="77777777" w:rsidR="00A720EB" w:rsidRDefault="0030286B">
      <w:pPr>
        <w:pStyle w:val="3"/>
        <w:numPr>
          <w:ilvl w:val="2"/>
          <w:numId w:val="68"/>
        </w:numPr>
        <w:tabs>
          <w:tab w:val="left" w:pos="858"/>
        </w:tabs>
        <w:spacing w:before="105"/>
        <w:ind w:hanging="734"/>
      </w:pPr>
      <w:bookmarkStart w:id="155" w:name="4.1.6._Application_Availability"/>
      <w:bookmarkStart w:id="156" w:name="_Toc54423715"/>
      <w:bookmarkEnd w:id="155"/>
      <w:r>
        <w:rPr>
          <w:color w:val="333333"/>
          <w:w w:val="110"/>
        </w:rPr>
        <w:t>Application</w:t>
      </w:r>
      <w:r>
        <w:rPr>
          <w:color w:val="333333"/>
          <w:spacing w:val="-6"/>
          <w:w w:val="110"/>
        </w:rPr>
        <w:t xml:space="preserve"> </w:t>
      </w:r>
      <w:r>
        <w:rPr>
          <w:color w:val="333333"/>
          <w:spacing w:val="-3"/>
          <w:w w:val="110"/>
        </w:rPr>
        <w:t>Availability</w:t>
      </w:r>
      <w:bookmarkEnd w:id="156"/>
    </w:p>
    <w:p w14:paraId="7123F28F" w14:textId="77777777" w:rsidR="00A720EB" w:rsidRDefault="0030286B">
      <w:pPr>
        <w:pStyle w:val="a3"/>
        <w:spacing w:before="254" w:line="307" w:lineRule="auto"/>
        <w:ind w:left="124" w:right="128"/>
        <w:jc w:val="both"/>
      </w:pPr>
      <w:r>
        <w:rPr>
          <w:color w:val="333333"/>
          <w:w w:val="110"/>
        </w:rPr>
        <w:t xml:space="preserve">When deployed on platforms, applications can provide information about their availability to the platform using infrastructure such as </w:t>
      </w:r>
      <w:hyperlink r:id="rId94">
        <w:r>
          <w:rPr>
            <w:color w:val="418BCA"/>
            <w:w w:val="110"/>
          </w:rPr>
          <w:t>Kubernetes Probes</w:t>
        </w:r>
      </w:hyperlink>
      <w:r>
        <w:rPr>
          <w:color w:val="333333"/>
          <w:w w:val="110"/>
        </w:rPr>
        <w:t xml:space="preserve">. Spring Boot includes out-of-the box support for the commonly used “liveness” and “readiness” availability states. </w:t>
      </w:r>
      <w:proofErr w:type="gramStart"/>
      <w:r>
        <w:rPr>
          <w:color w:val="333333"/>
          <w:w w:val="110"/>
        </w:rPr>
        <w:t>If  you</w:t>
      </w:r>
      <w:proofErr w:type="gramEnd"/>
      <w:r>
        <w:rPr>
          <w:color w:val="333333"/>
          <w:w w:val="110"/>
        </w:rPr>
        <w:t xml:space="preserve">  are  using  Spring Boot’s “actuator” support then these states are exposed as health endpoint</w:t>
      </w:r>
      <w:r>
        <w:rPr>
          <w:color w:val="333333"/>
          <w:spacing w:val="37"/>
          <w:w w:val="110"/>
        </w:rPr>
        <w:t xml:space="preserve"> </w:t>
      </w:r>
      <w:r>
        <w:rPr>
          <w:color w:val="333333"/>
          <w:w w:val="110"/>
        </w:rPr>
        <w:t>groups.</w:t>
      </w:r>
    </w:p>
    <w:p w14:paraId="0B1D468C" w14:textId="77777777" w:rsidR="00A720EB" w:rsidRDefault="0030286B">
      <w:pPr>
        <w:pStyle w:val="a3"/>
        <w:spacing w:before="232" w:line="290" w:lineRule="auto"/>
        <w:ind w:left="124" w:right="123"/>
        <w:jc w:val="both"/>
      </w:pPr>
      <w:r>
        <w:rPr>
          <w:color w:val="333333"/>
          <w:w w:val="110"/>
        </w:rPr>
        <w:t>In</w:t>
      </w:r>
      <w:r>
        <w:rPr>
          <w:color w:val="333333"/>
          <w:spacing w:val="-10"/>
          <w:w w:val="110"/>
        </w:rPr>
        <w:t xml:space="preserve"> </w:t>
      </w:r>
      <w:r>
        <w:rPr>
          <w:color w:val="333333"/>
          <w:w w:val="110"/>
        </w:rPr>
        <w:t>addition,</w:t>
      </w:r>
      <w:r>
        <w:rPr>
          <w:color w:val="333333"/>
          <w:spacing w:val="-9"/>
          <w:w w:val="110"/>
        </w:rPr>
        <w:t xml:space="preserve"> </w:t>
      </w:r>
      <w:r>
        <w:rPr>
          <w:color w:val="333333"/>
          <w:w w:val="110"/>
        </w:rPr>
        <w:t>you</w:t>
      </w:r>
      <w:r>
        <w:rPr>
          <w:color w:val="333333"/>
          <w:spacing w:val="-9"/>
          <w:w w:val="110"/>
        </w:rPr>
        <w:t xml:space="preserve"> </w:t>
      </w:r>
      <w:r>
        <w:rPr>
          <w:color w:val="333333"/>
          <w:w w:val="110"/>
        </w:rPr>
        <w:t>can</w:t>
      </w:r>
      <w:r>
        <w:rPr>
          <w:color w:val="333333"/>
          <w:spacing w:val="-10"/>
          <w:w w:val="110"/>
        </w:rPr>
        <w:t xml:space="preserve"> </w:t>
      </w:r>
      <w:r>
        <w:rPr>
          <w:color w:val="333333"/>
          <w:w w:val="110"/>
        </w:rPr>
        <w:t>also</w:t>
      </w:r>
      <w:r>
        <w:rPr>
          <w:color w:val="333333"/>
          <w:spacing w:val="-9"/>
          <w:w w:val="110"/>
        </w:rPr>
        <w:t xml:space="preserve"> </w:t>
      </w:r>
      <w:r>
        <w:rPr>
          <w:color w:val="333333"/>
          <w:w w:val="110"/>
        </w:rPr>
        <w:t>obtain</w:t>
      </w:r>
      <w:r>
        <w:rPr>
          <w:color w:val="333333"/>
          <w:spacing w:val="-9"/>
          <w:w w:val="110"/>
        </w:rPr>
        <w:t xml:space="preserve"> </w:t>
      </w:r>
      <w:r>
        <w:rPr>
          <w:color w:val="333333"/>
          <w:w w:val="110"/>
        </w:rPr>
        <w:t>availability</w:t>
      </w:r>
      <w:r>
        <w:rPr>
          <w:color w:val="333333"/>
          <w:spacing w:val="-10"/>
          <w:w w:val="110"/>
        </w:rPr>
        <w:t xml:space="preserve"> </w:t>
      </w:r>
      <w:r>
        <w:rPr>
          <w:color w:val="333333"/>
          <w:w w:val="110"/>
        </w:rPr>
        <w:t>states</w:t>
      </w:r>
      <w:r>
        <w:rPr>
          <w:color w:val="333333"/>
          <w:spacing w:val="-9"/>
          <w:w w:val="110"/>
        </w:rPr>
        <w:t xml:space="preserve"> </w:t>
      </w:r>
      <w:r>
        <w:rPr>
          <w:color w:val="333333"/>
          <w:spacing w:val="-3"/>
          <w:w w:val="110"/>
        </w:rPr>
        <w:t>by</w:t>
      </w:r>
      <w:r>
        <w:rPr>
          <w:color w:val="333333"/>
          <w:spacing w:val="-9"/>
          <w:w w:val="110"/>
        </w:rPr>
        <w:t xml:space="preserve"> </w:t>
      </w:r>
      <w:r>
        <w:rPr>
          <w:color w:val="333333"/>
          <w:w w:val="110"/>
        </w:rPr>
        <w:t>injecting</w:t>
      </w:r>
      <w:r>
        <w:rPr>
          <w:color w:val="333333"/>
          <w:spacing w:val="-9"/>
          <w:w w:val="110"/>
        </w:rPr>
        <w:t xml:space="preserve"> </w:t>
      </w:r>
      <w:r>
        <w:rPr>
          <w:color w:val="333333"/>
          <w:w w:val="110"/>
        </w:rPr>
        <w:t>the</w:t>
      </w:r>
      <w:r>
        <w:rPr>
          <w:color w:val="333333"/>
          <w:spacing w:val="-1"/>
          <w:w w:val="110"/>
        </w:rPr>
        <w:t xml:space="preserve"> </w:t>
      </w:r>
      <w:r>
        <w:rPr>
          <w:rFonts w:ascii="MS Gothic"/>
          <w:color w:val="B02045"/>
          <w:w w:val="110"/>
        </w:rPr>
        <w:t>ApplicationAvailability</w:t>
      </w:r>
      <w:r>
        <w:rPr>
          <w:rFonts w:ascii="MS Gothic"/>
          <w:color w:val="B02045"/>
          <w:spacing w:val="-74"/>
          <w:w w:val="110"/>
        </w:rPr>
        <w:t xml:space="preserve"> </w:t>
      </w:r>
      <w:r>
        <w:rPr>
          <w:color w:val="333333"/>
          <w:w w:val="110"/>
        </w:rPr>
        <w:t>interface into your own</w:t>
      </w:r>
      <w:r>
        <w:rPr>
          <w:color w:val="333333"/>
          <w:spacing w:val="8"/>
          <w:w w:val="110"/>
        </w:rPr>
        <w:t xml:space="preserve"> </w:t>
      </w:r>
      <w:r>
        <w:rPr>
          <w:color w:val="333333"/>
          <w:w w:val="110"/>
        </w:rPr>
        <w:t>beans.</w:t>
      </w:r>
    </w:p>
    <w:p w14:paraId="7D28203A" w14:textId="77777777" w:rsidR="00A720EB" w:rsidRDefault="00A720EB">
      <w:pPr>
        <w:pStyle w:val="a3"/>
        <w:spacing w:before="1"/>
        <w:rPr>
          <w:sz w:val="27"/>
        </w:rPr>
      </w:pPr>
    </w:p>
    <w:p w14:paraId="07695A31" w14:textId="77777777" w:rsidR="00A720EB" w:rsidRDefault="0030286B">
      <w:pPr>
        <w:pStyle w:val="4"/>
      </w:pPr>
      <w:bookmarkStart w:id="157" w:name="Liveness_State"/>
      <w:bookmarkEnd w:id="157"/>
      <w:r>
        <w:rPr>
          <w:color w:val="333333"/>
          <w:w w:val="110"/>
        </w:rPr>
        <w:t>Liveness State</w:t>
      </w:r>
    </w:p>
    <w:p w14:paraId="6FB5CCDC" w14:textId="77777777" w:rsidR="00A720EB" w:rsidRDefault="00A720EB">
      <w:pPr>
        <w:pStyle w:val="a3"/>
        <w:spacing w:before="11"/>
        <w:rPr>
          <w:rFonts w:ascii="Palatino Linotype"/>
          <w:b/>
          <w:sz w:val="18"/>
        </w:rPr>
      </w:pPr>
    </w:p>
    <w:p w14:paraId="2C810391" w14:textId="77777777" w:rsidR="00A720EB" w:rsidRDefault="0030286B">
      <w:pPr>
        <w:pStyle w:val="a3"/>
        <w:spacing w:before="1" w:line="307" w:lineRule="auto"/>
        <w:ind w:left="124" w:right="132"/>
        <w:jc w:val="both"/>
      </w:pPr>
      <w:r>
        <w:rPr>
          <w:color w:val="333333"/>
          <w:w w:val="110"/>
        </w:rPr>
        <w:t>The “Liveness” state of an application tells whether its internal state allows it to work correctly, or recover by itself if it’s currently failing. A broken “Liveness” state means that the application is in a state that it cannot recover from, and the infrastructure should restart the application.</w:t>
      </w:r>
    </w:p>
    <w:p w14:paraId="6C729E06" w14:textId="77777777" w:rsidR="00A720EB" w:rsidRDefault="00A720EB">
      <w:pPr>
        <w:pStyle w:val="a3"/>
        <w:spacing w:before="8"/>
        <w:rPr>
          <w:sz w:val="16"/>
        </w:rPr>
      </w:pPr>
    </w:p>
    <w:p w14:paraId="04254FE8" w14:textId="77777777" w:rsidR="00A720EB" w:rsidRDefault="00E10349">
      <w:pPr>
        <w:pStyle w:val="a3"/>
        <w:spacing w:before="125" w:line="307" w:lineRule="auto"/>
        <w:ind w:left="1564" w:right="365"/>
        <w:jc w:val="both"/>
      </w:pPr>
      <w:r>
        <w:pict w14:anchorId="30205D6F">
          <v:line id="_x0000_s4693" style="position:absolute;left:0;text-align:left;z-index:15818240;mso-position-horizontal-relative:page" from="108.25pt,.25pt" to="108.25pt,71.4pt" strokecolor="#ededed" strokeweight=".5pt">
            <w10:wrap anchorx="page"/>
          </v:line>
        </w:pict>
      </w:r>
      <w:r w:rsidR="0030286B">
        <w:rPr>
          <w:noProof/>
        </w:rPr>
        <w:drawing>
          <wp:anchor distT="0" distB="0" distL="0" distR="0" simplePos="0" relativeHeight="15818752" behindDoc="0" locked="0" layoutInCell="1" allowOverlap="1" wp14:anchorId="64AD39B3" wp14:editId="648B61B7">
            <wp:simplePos x="0" y="0"/>
            <wp:positionH relativeFrom="page">
              <wp:posOffset>844422</wp:posOffset>
            </wp:positionH>
            <wp:positionV relativeFrom="paragraph">
              <wp:posOffset>305727</wp:posOffset>
            </wp:positionV>
            <wp:extent cx="298450" cy="298450"/>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In general, the "Liveness" state should not be based on external checks, such as </w:t>
      </w:r>
      <w:hyperlink w:anchor="_bookmark392" w:history="1">
        <w:r w:rsidR="0030286B">
          <w:rPr>
            <w:color w:val="418BCA"/>
            <w:w w:val="110"/>
          </w:rPr>
          <w:t>Health checks</w:t>
        </w:r>
      </w:hyperlink>
      <w:r w:rsidR="0030286B">
        <w:rPr>
          <w:color w:val="333333"/>
          <w:w w:val="110"/>
        </w:rPr>
        <w:t xml:space="preserve">. If it did, a failing external system (a database, a </w:t>
      </w:r>
      <w:proofErr w:type="gramStart"/>
      <w:r w:rsidR="0030286B">
        <w:rPr>
          <w:color w:val="333333"/>
          <w:spacing w:val="-5"/>
          <w:w w:val="110"/>
        </w:rPr>
        <w:t xml:space="preserve">Web  </w:t>
      </w:r>
      <w:r w:rsidR="0030286B">
        <w:rPr>
          <w:color w:val="333333"/>
          <w:w w:val="110"/>
        </w:rPr>
        <w:t>API</w:t>
      </w:r>
      <w:proofErr w:type="gramEnd"/>
      <w:r w:rsidR="0030286B">
        <w:rPr>
          <w:color w:val="333333"/>
          <w:w w:val="110"/>
        </w:rPr>
        <w:t>,  an  external cache) would trigger massive restarts and cascading failures across the platform.</w:t>
      </w:r>
    </w:p>
    <w:p w14:paraId="26773759" w14:textId="77777777" w:rsidR="00A720EB" w:rsidRDefault="00A720EB">
      <w:pPr>
        <w:pStyle w:val="a3"/>
        <w:spacing w:before="10"/>
        <w:rPr>
          <w:sz w:val="16"/>
        </w:rPr>
      </w:pPr>
    </w:p>
    <w:p w14:paraId="4693106C" w14:textId="77777777" w:rsidR="00A720EB" w:rsidRDefault="0030286B">
      <w:pPr>
        <w:pStyle w:val="a3"/>
        <w:spacing w:before="125" w:line="297" w:lineRule="auto"/>
        <w:ind w:left="124" w:right="131"/>
        <w:jc w:val="both"/>
      </w:pPr>
      <w:r>
        <w:rPr>
          <w:color w:val="333333"/>
          <w:w w:val="110"/>
        </w:rPr>
        <w:t xml:space="preserve">The internal state of Spring Boot applications is mostly represented </w:t>
      </w:r>
      <w:r>
        <w:rPr>
          <w:color w:val="333333"/>
          <w:spacing w:val="-3"/>
          <w:w w:val="110"/>
        </w:rPr>
        <w:t xml:space="preserve">by </w:t>
      </w:r>
      <w:r>
        <w:rPr>
          <w:color w:val="333333"/>
          <w:w w:val="110"/>
        </w:rPr>
        <w:t xml:space="preserve">the Spring </w:t>
      </w:r>
      <w:r>
        <w:rPr>
          <w:rFonts w:ascii="MS Gothic"/>
          <w:color w:val="B02045"/>
          <w:w w:val="110"/>
        </w:rPr>
        <w:t>ApplicationContext</w:t>
      </w:r>
      <w:r>
        <w:rPr>
          <w:color w:val="333333"/>
          <w:w w:val="110"/>
        </w:rPr>
        <w:t xml:space="preserve">. If the application context has started </w:t>
      </w:r>
      <w:r>
        <w:rPr>
          <w:color w:val="333333"/>
          <w:spacing w:val="-3"/>
          <w:w w:val="110"/>
        </w:rPr>
        <w:t xml:space="preserve">successfully, </w:t>
      </w:r>
      <w:r>
        <w:rPr>
          <w:color w:val="333333"/>
          <w:w w:val="110"/>
        </w:rPr>
        <w:t>Spring Boot assumes that the application is in a valid state. An application is considered live as soon as the context has been</w:t>
      </w:r>
      <w:r>
        <w:rPr>
          <w:color w:val="333333"/>
          <w:spacing w:val="50"/>
          <w:w w:val="110"/>
        </w:rPr>
        <w:t xml:space="preserve"> </w:t>
      </w:r>
      <w:r>
        <w:rPr>
          <w:color w:val="333333"/>
          <w:w w:val="110"/>
        </w:rPr>
        <w:t xml:space="preserve">refreshed, see </w:t>
      </w:r>
      <w:hyperlink w:anchor="_bookmark95" w:history="1">
        <w:r>
          <w:rPr>
            <w:color w:val="418BCA"/>
            <w:w w:val="110"/>
          </w:rPr>
          <w:t>Spring Boot application lifecycle and related Application Events</w:t>
        </w:r>
      </w:hyperlink>
      <w:r>
        <w:rPr>
          <w:color w:val="333333"/>
          <w:w w:val="110"/>
        </w:rPr>
        <w:t>.</w:t>
      </w:r>
    </w:p>
    <w:p w14:paraId="12E9D6D4" w14:textId="77777777" w:rsidR="00A720EB" w:rsidRDefault="00A720EB">
      <w:pPr>
        <w:pStyle w:val="a3"/>
        <w:spacing w:before="8"/>
        <w:rPr>
          <w:sz w:val="26"/>
        </w:rPr>
      </w:pPr>
    </w:p>
    <w:p w14:paraId="2FE34375" w14:textId="77777777" w:rsidR="00A720EB" w:rsidRDefault="0030286B">
      <w:pPr>
        <w:pStyle w:val="4"/>
      </w:pPr>
      <w:bookmarkStart w:id="158" w:name="Readiness_State"/>
      <w:bookmarkEnd w:id="158"/>
      <w:r>
        <w:rPr>
          <w:color w:val="333333"/>
          <w:w w:val="110"/>
        </w:rPr>
        <w:t>Readiness State</w:t>
      </w:r>
    </w:p>
    <w:p w14:paraId="3C9F9B13" w14:textId="77777777" w:rsidR="00A720EB" w:rsidRDefault="00A720EB">
      <w:pPr>
        <w:pStyle w:val="a3"/>
        <w:spacing w:before="11"/>
        <w:rPr>
          <w:rFonts w:ascii="Palatino Linotype"/>
          <w:b/>
          <w:sz w:val="18"/>
        </w:rPr>
      </w:pPr>
    </w:p>
    <w:p w14:paraId="520CEAE3" w14:textId="77777777" w:rsidR="00A720EB" w:rsidRDefault="0030286B">
      <w:pPr>
        <w:pStyle w:val="a3"/>
        <w:spacing w:line="297" w:lineRule="auto"/>
        <w:ind w:left="124" w:right="122"/>
        <w:jc w:val="both"/>
      </w:pPr>
      <w:r>
        <w:rPr>
          <w:color w:val="333333"/>
          <w:w w:val="110"/>
        </w:rPr>
        <w:t xml:space="preserve">The “Readiness” state of an application tells whether the application is ready to handle traffic. A failing “Readiness” state tells the platform that it should not route traffic to the application for </w:t>
      </w:r>
      <w:r>
        <w:rPr>
          <w:color w:val="333333"/>
          <w:spacing w:val="-4"/>
          <w:w w:val="110"/>
        </w:rPr>
        <w:t xml:space="preserve">now. </w:t>
      </w:r>
      <w:r>
        <w:rPr>
          <w:color w:val="333333"/>
          <w:w w:val="110"/>
        </w:rPr>
        <w:t>This</w:t>
      </w:r>
      <w:r>
        <w:rPr>
          <w:color w:val="333333"/>
          <w:spacing w:val="-11"/>
          <w:w w:val="110"/>
        </w:rPr>
        <w:t xml:space="preserve"> </w:t>
      </w:r>
      <w:r>
        <w:rPr>
          <w:color w:val="333333"/>
          <w:w w:val="110"/>
        </w:rPr>
        <w:t>typically</w:t>
      </w:r>
      <w:r>
        <w:rPr>
          <w:color w:val="333333"/>
          <w:spacing w:val="-11"/>
          <w:w w:val="110"/>
        </w:rPr>
        <w:t xml:space="preserve"> </w:t>
      </w:r>
      <w:r>
        <w:rPr>
          <w:color w:val="333333"/>
          <w:w w:val="110"/>
        </w:rPr>
        <w:t>happens</w:t>
      </w:r>
      <w:r>
        <w:rPr>
          <w:color w:val="333333"/>
          <w:spacing w:val="-11"/>
          <w:w w:val="110"/>
        </w:rPr>
        <w:t xml:space="preserve"> </w:t>
      </w:r>
      <w:r>
        <w:rPr>
          <w:color w:val="333333"/>
          <w:w w:val="110"/>
        </w:rPr>
        <w:t>during</w:t>
      </w:r>
      <w:r>
        <w:rPr>
          <w:color w:val="333333"/>
          <w:spacing w:val="-11"/>
          <w:w w:val="110"/>
        </w:rPr>
        <w:t xml:space="preserve"> </w:t>
      </w:r>
      <w:r>
        <w:rPr>
          <w:color w:val="333333"/>
          <w:w w:val="110"/>
        </w:rPr>
        <w:t>startup,</w:t>
      </w:r>
      <w:r>
        <w:rPr>
          <w:color w:val="333333"/>
          <w:spacing w:val="-11"/>
          <w:w w:val="110"/>
        </w:rPr>
        <w:t xml:space="preserve"> </w:t>
      </w:r>
      <w:r>
        <w:rPr>
          <w:color w:val="333333"/>
          <w:w w:val="110"/>
        </w:rPr>
        <w:t>while</w:t>
      </w:r>
      <w:r>
        <w:rPr>
          <w:color w:val="333333"/>
          <w:spacing w:val="-8"/>
          <w:w w:val="110"/>
        </w:rPr>
        <w:t xml:space="preserve"> </w:t>
      </w:r>
      <w:r>
        <w:rPr>
          <w:rFonts w:ascii="MS Gothic" w:hAnsi="MS Gothic"/>
          <w:color w:val="B02045"/>
          <w:w w:val="110"/>
        </w:rPr>
        <w:t>CommandLineRunner</w:t>
      </w:r>
      <w:r>
        <w:rPr>
          <w:rFonts w:ascii="MS Gothic" w:hAnsi="MS Gothic"/>
          <w:color w:val="B02045"/>
          <w:spacing w:val="-75"/>
          <w:w w:val="110"/>
        </w:rPr>
        <w:t xml:space="preserve"> </w:t>
      </w:r>
      <w:r>
        <w:rPr>
          <w:color w:val="333333"/>
          <w:w w:val="110"/>
        </w:rPr>
        <w:t>and</w:t>
      </w:r>
      <w:r>
        <w:rPr>
          <w:color w:val="333333"/>
          <w:spacing w:val="-11"/>
          <w:w w:val="110"/>
        </w:rPr>
        <w:t xml:space="preserve"> </w:t>
      </w:r>
      <w:r>
        <w:rPr>
          <w:rFonts w:ascii="MS Gothic" w:hAnsi="MS Gothic"/>
          <w:color w:val="B02045"/>
          <w:w w:val="110"/>
        </w:rPr>
        <w:t>ApplicationRunner</w:t>
      </w:r>
      <w:r>
        <w:rPr>
          <w:rFonts w:ascii="MS Gothic" w:hAnsi="MS Gothic"/>
          <w:color w:val="B02045"/>
          <w:spacing w:val="-75"/>
          <w:w w:val="110"/>
        </w:rPr>
        <w:t xml:space="preserve"> </w:t>
      </w:r>
      <w:r>
        <w:rPr>
          <w:color w:val="333333"/>
          <w:w w:val="110"/>
        </w:rPr>
        <w:t>components are</w:t>
      </w:r>
      <w:r>
        <w:rPr>
          <w:color w:val="333333"/>
          <w:spacing w:val="5"/>
          <w:w w:val="110"/>
        </w:rPr>
        <w:t xml:space="preserve"> </w:t>
      </w:r>
      <w:r>
        <w:rPr>
          <w:color w:val="333333"/>
          <w:w w:val="110"/>
        </w:rPr>
        <w:t>being</w:t>
      </w:r>
      <w:r>
        <w:rPr>
          <w:color w:val="333333"/>
          <w:spacing w:val="5"/>
          <w:w w:val="110"/>
        </w:rPr>
        <w:t xml:space="preserve"> </w:t>
      </w:r>
      <w:r>
        <w:rPr>
          <w:color w:val="333333"/>
          <w:w w:val="110"/>
        </w:rPr>
        <w:t>processed,</w:t>
      </w:r>
      <w:r>
        <w:rPr>
          <w:color w:val="333333"/>
          <w:spacing w:val="5"/>
          <w:w w:val="110"/>
        </w:rPr>
        <w:t xml:space="preserve"> </w:t>
      </w:r>
      <w:r>
        <w:rPr>
          <w:color w:val="333333"/>
          <w:w w:val="110"/>
        </w:rPr>
        <w:t>or</w:t>
      </w:r>
      <w:r>
        <w:rPr>
          <w:color w:val="333333"/>
          <w:spacing w:val="6"/>
          <w:w w:val="110"/>
        </w:rPr>
        <w:t xml:space="preserve"> </w:t>
      </w:r>
      <w:r>
        <w:rPr>
          <w:color w:val="333333"/>
          <w:w w:val="110"/>
        </w:rPr>
        <w:t>at</w:t>
      </w:r>
      <w:r>
        <w:rPr>
          <w:color w:val="333333"/>
          <w:spacing w:val="5"/>
          <w:w w:val="110"/>
        </w:rPr>
        <w:t xml:space="preserve"> </w:t>
      </w:r>
      <w:r>
        <w:rPr>
          <w:color w:val="333333"/>
          <w:w w:val="110"/>
        </w:rPr>
        <w:t>any</w:t>
      </w:r>
      <w:r>
        <w:rPr>
          <w:color w:val="333333"/>
          <w:spacing w:val="5"/>
          <w:w w:val="110"/>
        </w:rPr>
        <w:t xml:space="preserve"> </w:t>
      </w:r>
      <w:r>
        <w:rPr>
          <w:color w:val="333333"/>
          <w:w w:val="110"/>
        </w:rPr>
        <w:t>time</w:t>
      </w:r>
      <w:r>
        <w:rPr>
          <w:color w:val="333333"/>
          <w:spacing w:val="6"/>
          <w:w w:val="110"/>
        </w:rPr>
        <w:t xml:space="preserve"> </w:t>
      </w:r>
      <w:r>
        <w:rPr>
          <w:color w:val="333333"/>
          <w:w w:val="110"/>
        </w:rPr>
        <w:t>if</w:t>
      </w:r>
      <w:r>
        <w:rPr>
          <w:color w:val="333333"/>
          <w:spacing w:val="6"/>
          <w:w w:val="110"/>
        </w:rPr>
        <w:t xml:space="preserve"> </w:t>
      </w:r>
      <w:r>
        <w:rPr>
          <w:color w:val="333333"/>
          <w:w w:val="110"/>
        </w:rPr>
        <w:t>the</w:t>
      </w:r>
      <w:r>
        <w:rPr>
          <w:color w:val="333333"/>
          <w:spacing w:val="6"/>
          <w:w w:val="110"/>
        </w:rPr>
        <w:t xml:space="preserve"> </w:t>
      </w:r>
      <w:r>
        <w:rPr>
          <w:color w:val="333333"/>
          <w:w w:val="110"/>
        </w:rPr>
        <w:t>application</w:t>
      </w:r>
      <w:r>
        <w:rPr>
          <w:color w:val="333333"/>
          <w:spacing w:val="5"/>
          <w:w w:val="110"/>
        </w:rPr>
        <w:t xml:space="preserve"> </w:t>
      </w:r>
      <w:r>
        <w:rPr>
          <w:color w:val="333333"/>
          <w:w w:val="110"/>
        </w:rPr>
        <w:t>decides</w:t>
      </w:r>
      <w:r>
        <w:rPr>
          <w:color w:val="333333"/>
          <w:spacing w:val="5"/>
          <w:w w:val="110"/>
        </w:rPr>
        <w:t xml:space="preserve"> </w:t>
      </w:r>
      <w:r>
        <w:rPr>
          <w:color w:val="333333"/>
          <w:w w:val="110"/>
        </w:rPr>
        <w:t>that</w:t>
      </w:r>
      <w:r>
        <w:rPr>
          <w:color w:val="333333"/>
          <w:spacing w:val="6"/>
          <w:w w:val="110"/>
        </w:rPr>
        <w:t xml:space="preserve"> </w:t>
      </w:r>
      <w:r>
        <w:rPr>
          <w:color w:val="333333"/>
          <w:w w:val="110"/>
        </w:rPr>
        <w:t>it’s</w:t>
      </w:r>
      <w:r>
        <w:rPr>
          <w:color w:val="333333"/>
          <w:spacing w:val="5"/>
          <w:w w:val="110"/>
        </w:rPr>
        <w:t xml:space="preserve"> </w:t>
      </w:r>
      <w:r>
        <w:rPr>
          <w:color w:val="333333"/>
          <w:w w:val="110"/>
        </w:rPr>
        <w:t>too</w:t>
      </w:r>
      <w:r>
        <w:rPr>
          <w:color w:val="333333"/>
          <w:spacing w:val="6"/>
          <w:w w:val="110"/>
        </w:rPr>
        <w:t xml:space="preserve"> </w:t>
      </w:r>
      <w:r>
        <w:rPr>
          <w:color w:val="333333"/>
          <w:w w:val="110"/>
        </w:rPr>
        <w:t>busy</w:t>
      </w:r>
      <w:r>
        <w:rPr>
          <w:color w:val="333333"/>
          <w:spacing w:val="5"/>
          <w:w w:val="110"/>
        </w:rPr>
        <w:t xml:space="preserve"> </w:t>
      </w:r>
      <w:r>
        <w:rPr>
          <w:color w:val="333333"/>
          <w:w w:val="110"/>
        </w:rPr>
        <w:t>for</w:t>
      </w:r>
      <w:r>
        <w:rPr>
          <w:color w:val="333333"/>
          <w:spacing w:val="7"/>
          <w:w w:val="110"/>
        </w:rPr>
        <w:t xml:space="preserve"> </w:t>
      </w:r>
      <w:r>
        <w:rPr>
          <w:color w:val="333333"/>
          <w:w w:val="110"/>
        </w:rPr>
        <w:t>additional</w:t>
      </w:r>
      <w:r>
        <w:rPr>
          <w:color w:val="333333"/>
          <w:spacing w:val="5"/>
          <w:w w:val="110"/>
        </w:rPr>
        <w:t xml:space="preserve"> </w:t>
      </w:r>
      <w:r>
        <w:rPr>
          <w:color w:val="333333"/>
          <w:w w:val="110"/>
        </w:rPr>
        <w:t>traffic.</w:t>
      </w:r>
    </w:p>
    <w:p w14:paraId="549BEF24" w14:textId="77777777" w:rsidR="00A720EB" w:rsidRDefault="00A720EB">
      <w:pPr>
        <w:pStyle w:val="a3"/>
        <w:spacing w:before="7"/>
      </w:pPr>
    </w:p>
    <w:p w14:paraId="7D320866" w14:textId="77777777" w:rsidR="00A720EB" w:rsidRDefault="0030286B">
      <w:pPr>
        <w:pStyle w:val="a3"/>
        <w:spacing w:line="307" w:lineRule="auto"/>
        <w:ind w:left="124" w:right="133"/>
        <w:jc w:val="both"/>
      </w:pPr>
      <w:r>
        <w:rPr>
          <w:color w:val="333333"/>
          <w:w w:val="110"/>
        </w:rPr>
        <w:t xml:space="preserve">An application is considered ready as soon as application and command-line runners have been called, see </w:t>
      </w:r>
      <w:hyperlink w:anchor="_bookmark95" w:history="1">
        <w:r>
          <w:rPr>
            <w:color w:val="418BCA"/>
            <w:w w:val="110"/>
          </w:rPr>
          <w:t>Spring Boot application lifecycle and related Application Events</w:t>
        </w:r>
      </w:hyperlink>
      <w:r>
        <w:rPr>
          <w:color w:val="333333"/>
          <w:w w:val="110"/>
        </w:rPr>
        <w:t>.</w:t>
      </w:r>
    </w:p>
    <w:p w14:paraId="03792679" w14:textId="77777777" w:rsidR="00A720EB" w:rsidRDefault="00A720EB">
      <w:pPr>
        <w:spacing w:line="307" w:lineRule="auto"/>
        <w:jc w:val="both"/>
        <w:sectPr w:rsidR="00A720EB">
          <w:pgSz w:w="11910" w:h="16840"/>
          <w:pgMar w:top="700" w:right="840" w:bottom="520" w:left="840" w:header="0" w:footer="323" w:gutter="0"/>
          <w:cols w:space="720"/>
        </w:sectPr>
      </w:pPr>
    </w:p>
    <w:p w14:paraId="59C59558" w14:textId="77777777" w:rsidR="00A720EB" w:rsidRDefault="00E10349">
      <w:pPr>
        <w:pStyle w:val="a3"/>
        <w:spacing w:before="111" w:line="280" w:lineRule="auto"/>
        <w:ind w:left="1564" w:right="363"/>
        <w:jc w:val="both"/>
      </w:pPr>
      <w:r>
        <w:lastRenderedPageBreak/>
        <w:pict w14:anchorId="52309394">
          <v:line id="_x0000_s4692" style="position:absolute;left:0;text-align:left;z-index:15819776;mso-position-horizontal-relative:page" from="108.25pt,.1pt" to="108.25pt,55.45pt" strokecolor="#ededed" strokeweight=".5pt">
            <w10:wrap anchorx="page"/>
          </v:line>
        </w:pict>
      </w:r>
      <w:r w:rsidR="0030286B">
        <w:rPr>
          <w:noProof/>
        </w:rPr>
        <w:drawing>
          <wp:anchor distT="0" distB="0" distL="0" distR="0" simplePos="0" relativeHeight="15820288" behindDoc="0" locked="0" layoutInCell="1" allowOverlap="1" wp14:anchorId="2C9A7666" wp14:editId="3CBCF488">
            <wp:simplePos x="0" y="0"/>
            <wp:positionH relativeFrom="page">
              <wp:posOffset>888949</wp:posOffset>
            </wp:positionH>
            <wp:positionV relativeFrom="paragraph">
              <wp:posOffset>200101</wp:posOffset>
            </wp:positionV>
            <wp:extent cx="209550" cy="304800"/>
            <wp:effectExtent l="0" t="0" r="0" b="0"/>
            <wp:wrapNone/>
            <wp:docPr id="1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Tasks expected to run during startup should be executed </w:t>
      </w:r>
      <w:r w:rsidR="0030286B">
        <w:rPr>
          <w:color w:val="333333"/>
          <w:spacing w:val="-3"/>
          <w:w w:val="110"/>
        </w:rPr>
        <w:t xml:space="preserve">by </w:t>
      </w:r>
      <w:r w:rsidR="0030286B">
        <w:rPr>
          <w:rFonts w:ascii="MS Gothic"/>
          <w:color w:val="B02045"/>
          <w:w w:val="110"/>
        </w:rPr>
        <w:t>CommandLineRunner</w:t>
      </w:r>
      <w:r w:rsidR="0030286B">
        <w:rPr>
          <w:rFonts w:ascii="MS Gothic"/>
          <w:color w:val="B02045"/>
          <w:spacing w:val="-69"/>
          <w:w w:val="110"/>
        </w:rPr>
        <w:t xml:space="preserve"> </w:t>
      </w:r>
      <w:r w:rsidR="0030286B">
        <w:rPr>
          <w:color w:val="333333"/>
          <w:w w:val="110"/>
        </w:rPr>
        <w:t xml:space="preserve">and </w:t>
      </w:r>
      <w:r w:rsidR="0030286B">
        <w:rPr>
          <w:rFonts w:ascii="MS Gothic"/>
          <w:color w:val="B02045"/>
          <w:w w:val="110"/>
        </w:rPr>
        <w:t xml:space="preserve">ApplicationRunner </w:t>
      </w:r>
      <w:r w:rsidR="0030286B">
        <w:rPr>
          <w:color w:val="333333"/>
          <w:w w:val="110"/>
        </w:rPr>
        <w:t xml:space="preserve">components instead of using Spring component lifecycle callbacks such as </w:t>
      </w:r>
      <w:r w:rsidR="0030286B">
        <w:rPr>
          <w:rFonts w:ascii="MS Gothic"/>
          <w:color w:val="B02045"/>
          <w:w w:val="110"/>
        </w:rPr>
        <w:t>@PostConstruct</w:t>
      </w:r>
      <w:r w:rsidR="0030286B">
        <w:rPr>
          <w:color w:val="333333"/>
          <w:w w:val="110"/>
        </w:rPr>
        <w:t>.</w:t>
      </w:r>
    </w:p>
    <w:p w14:paraId="0BFF4350" w14:textId="77777777" w:rsidR="00A720EB" w:rsidRDefault="00A720EB">
      <w:pPr>
        <w:pStyle w:val="a3"/>
        <w:spacing w:before="8"/>
        <w:rPr>
          <w:sz w:val="24"/>
        </w:rPr>
      </w:pPr>
    </w:p>
    <w:p w14:paraId="5AC60E95" w14:textId="77777777" w:rsidR="00A720EB" w:rsidRDefault="0030286B">
      <w:pPr>
        <w:pStyle w:val="4"/>
        <w:spacing w:before="104"/>
      </w:pPr>
      <w:bookmarkStart w:id="159" w:name="Managing_the_Application_Availability_St"/>
      <w:bookmarkEnd w:id="159"/>
      <w:r>
        <w:rPr>
          <w:color w:val="333333"/>
          <w:w w:val="110"/>
        </w:rPr>
        <w:t>Managing the Application Availability State</w:t>
      </w:r>
    </w:p>
    <w:p w14:paraId="7B2A3EA5" w14:textId="77777777" w:rsidR="00A720EB" w:rsidRDefault="00A720EB">
      <w:pPr>
        <w:pStyle w:val="a3"/>
        <w:spacing w:before="11"/>
        <w:rPr>
          <w:rFonts w:ascii="Palatino Linotype"/>
          <w:b/>
          <w:sz w:val="18"/>
        </w:rPr>
      </w:pPr>
    </w:p>
    <w:p w14:paraId="1EB23BF3" w14:textId="77777777" w:rsidR="00A720EB" w:rsidRDefault="0030286B">
      <w:pPr>
        <w:pStyle w:val="a3"/>
        <w:spacing w:line="295" w:lineRule="auto"/>
        <w:ind w:left="124" w:right="129"/>
        <w:jc w:val="both"/>
      </w:pPr>
      <w:r>
        <w:rPr>
          <w:color w:val="333333"/>
          <w:w w:val="110"/>
        </w:rPr>
        <w:t xml:space="preserve">Application components can retrieve the current availability state at any time, by injecting the </w:t>
      </w:r>
      <w:r>
        <w:rPr>
          <w:rFonts w:ascii="MS Gothic"/>
          <w:color w:val="B02045"/>
          <w:w w:val="110"/>
        </w:rPr>
        <w:t xml:space="preserve">ApplicationAvailability </w:t>
      </w:r>
      <w:r>
        <w:rPr>
          <w:color w:val="333333"/>
          <w:w w:val="110"/>
        </w:rPr>
        <w:t>interface and calling methods on it. More often, applications will want to listen to state updates or update the state of the application.</w:t>
      </w:r>
    </w:p>
    <w:p w14:paraId="36B2A46E" w14:textId="77777777" w:rsidR="00A720EB" w:rsidRDefault="0030286B">
      <w:pPr>
        <w:pStyle w:val="a3"/>
        <w:spacing w:before="250" w:line="307" w:lineRule="auto"/>
        <w:ind w:left="124" w:right="127"/>
        <w:jc w:val="both"/>
      </w:pPr>
      <w:r>
        <w:rPr>
          <w:color w:val="333333"/>
          <w:spacing w:val="-4"/>
          <w:w w:val="110"/>
        </w:rPr>
        <w:t xml:space="preserve">For </w:t>
      </w:r>
      <w:r>
        <w:rPr>
          <w:color w:val="333333"/>
          <w:w w:val="110"/>
        </w:rPr>
        <w:t>example, we can export the "Readiness" state of the application to a file so that a Kubernetes "exec Probe" can look at this</w:t>
      </w:r>
      <w:r>
        <w:rPr>
          <w:color w:val="333333"/>
          <w:spacing w:val="19"/>
          <w:w w:val="110"/>
        </w:rPr>
        <w:t xml:space="preserve"> </w:t>
      </w:r>
      <w:r>
        <w:rPr>
          <w:color w:val="333333"/>
          <w:w w:val="110"/>
        </w:rPr>
        <w:t>file:</w:t>
      </w:r>
    </w:p>
    <w:p w14:paraId="7E5AF0EA" w14:textId="77777777" w:rsidR="00A720EB" w:rsidRDefault="00E10349">
      <w:pPr>
        <w:pStyle w:val="a3"/>
        <w:spacing w:before="2"/>
        <w:rPr>
          <w:sz w:val="13"/>
        </w:rPr>
      </w:pPr>
      <w:r>
        <w:pict w14:anchorId="37FDD834">
          <v:group id="_x0000_s4688" style="position:absolute;margin-left:47.85pt;margin-top:9.7pt;width:499.55pt;height:258.6pt;z-index:-15638016;mso-wrap-distance-left:0;mso-wrap-distance-right:0;mso-position-horizontal-relative:page" coordorigin="957,194" coordsize="9991,5172">
            <v:shape id="_x0000_s4691" style="position:absolute;left:964;top:201;width:9976;height:5157" coordorigin="965,202" coordsize="9976,5157" path="m10861,202r-9816,l1014,208r-26,17l971,251r-6,31l965,5279r6,31l988,5335r26,17l1045,5359r9816,l10892,5352r25,-17l10935,5310r6,-31l10941,282r-6,-31l10917,225r-25,-17l10861,202xe" fillcolor="#f5f5f5" stroked="f">
              <v:path arrowok="t"/>
            </v:shape>
            <v:shape id="_x0000_s4690" style="position:absolute;left:964;top:201;width:9976;height:5157" coordorigin="965,202" coordsize="9976,5157" path="m1045,202r9816,l10892,208r25,17l10935,251r6,31l10941,5279r-6,31l10917,5335r-25,17l10861,5359r-9816,l1014,5352r-26,-17l971,5310r-6,-31l965,282r6,-31l988,225r26,-17l1045,202xe" filled="f" strokecolor="#ccc">
              <v:path arrowok="t"/>
            </v:shape>
            <v:shape id="_x0000_s4689" type="#_x0000_t202" style="position:absolute;left:984;top:217;width:9938;height:5126" filled="f" stroked="f">
              <v:textbox inset="0,0,0,0">
                <w:txbxContent>
                  <w:p w14:paraId="7B92E931" w14:textId="77777777" w:rsidR="00711A16" w:rsidRDefault="00711A16">
                    <w:pPr>
                      <w:spacing w:before="221"/>
                      <w:ind w:left="200"/>
                      <w:rPr>
                        <w:rFonts w:ascii="MS Gothic"/>
                      </w:rPr>
                    </w:pPr>
                    <w:r>
                      <w:rPr>
                        <w:rFonts w:ascii="MS Gothic"/>
                        <w:color w:val="333333"/>
                      </w:rPr>
                      <w:t>@Component</w:t>
                    </w:r>
                  </w:p>
                  <w:p w14:paraId="4E08E9AC" w14:textId="77777777" w:rsidR="00711A16" w:rsidRDefault="00711A16">
                    <w:pPr>
                      <w:spacing w:before="13"/>
                      <w:ind w:left="200"/>
                      <w:rPr>
                        <w:rFonts w:ascii="MS Gothic"/>
                      </w:rPr>
                    </w:pPr>
                    <w:r>
                      <w:rPr>
                        <w:rFonts w:ascii="MS Gothic"/>
                        <w:color w:val="333333"/>
                      </w:rPr>
                      <w:t>public class ReadinessStateExporter {</w:t>
                    </w:r>
                  </w:p>
                  <w:p w14:paraId="46F9427A" w14:textId="77777777" w:rsidR="00711A16" w:rsidRDefault="00711A16">
                    <w:pPr>
                      <w:rPr>
                        <w:rFonts w:ascii="MS Gothic"/>
                        <w:sz w:val="24"/>
                      </w:rPr>
                    </w:pPr>
                  </w:p>
                  <w:p w14:paraId="637817BD" w14:textId="77777777" w:rsidR="00711A16" w:rsidRDefault="00711A16">
                    <w:pPr>
                      <w:ind w:left="640"/>
                      <w:rPr>
                        <w:rFonts w:ascii="MS Gothic"/>
                      </w:rPr>
                    </w:pPr>
                    <w:r>
                      <w:rPr>
                        <w:rFonts w:ascii="MS Gothic"/>
                        <w:color w:val="333333"/>
                      </w:rPr>
                      <w:t>@EventListener</w:t>
                    </w:r>
                  </w:p>
                  <w:p w14:paraId="11338A33" w14:textId="77777777" w:rsidR="00711A16" w:rsidRDefault="00711A16">
                    <w:pPr>
                      <w:spacing w:before="13" w:line="252" w:lineRule="auto"/>
                      <w:ind w:left="1080" w:right="1138" w:hanging="440"/>
                      <w:rPr>
                        <w:rFonts w:ascii="MS Gothic"/>
                      </w:rPr>
                    </w:pPr>
                    <w:r>
                      <w:rPr>
                        <w:rFonts w:ascii="MS Gothic"/>
                        <w:color w:val="333333"/>
                      </w:rPr>
                      <w:t xml:space="preserve">public void </w:t>
                    </w:r>
                    <w:proofErr w:type="gramStart"/>
                    <w:r>
                      <w:rPr>
                        <w:rFonts w:ascii="MS Gothic"/>
                        <w:color w:val="333333"/>
                      </w:rPr>
                      <w:t>onStateChange(</w:t>
                    </w:r>
                    <w:proofErr w:type="gramEnd"/>
                    <w:r>
                      <w:rPr>
                        <w:rFonts w:ascii="MS Gothic"/>
                        <w:color w:val="333333"/>
                      </w:rPr>
                      <w:t>AvailabilityChangeEvent&lt;ReadinessState&gt; event) { switch (event.getState()) {</w:t>
                    </w:r>
                  </w:p>
                  <w:p w14:paraId="01498685" w14:textId="77777777" w:rsidR="00711A16" w:rsidRDefault="00711A16">
                    <w:pPr>
                      <w:spacing w:line="280" w:lineRule="exact"/>
                      <w:ind w:left="1080"/>
                      <w:rPr>
                        <w:rFonts w:ascii="MS Gothic"/>
                      </w:rPr>
                    </w:pPr>
                    <w:r>
                      <w:rPr>
                        <w:rFonts w:ascii="MS Gothic"/>
                        <w:color w:val="333333"/>
                      </w:rPr>
                      <w:t>case ACCEPTING_TRAFFIC:</w:t>
                    </w:r>
                  </w:p>
                  <w:p w14:paraId="7CBA546F" w14:textId="77777777" w:rsidR="00711A16" w:rsidRDefault="00711A16">
                    <w:pPr>
                      <w:spacing w:before="13" w:line="252" w:lineRule="auto"/>
                      <w:ind w:left="1080" w:right="5428" w:firstLine="440"/>
                      <w:rPr>
                        <w:rFonts w:ascii="MS Gothic"/>
                      </w:rPr>
                    </w:pPr>
                    <w:r>
                      <w:rPr>
                        <w:rFonts w:ascii="MS Gothic"/>
                        <w:color w:val="333333"/>
                      </w:rPr>
                      <w:t>// create file /tmp/healthy break;</w:t>
                    </w:r>
                  </w:p>
                  <w:p w14:paraId="13462867" w14:textId="77777777" w:rsidR="00711A16" w:rsidRDefault="00711A16">
                    <w:pPr>
                      <w:spacing w:line="280" w:lineRule="exact"/>
                      <w:ind w:left="1080"/>
                      <w:rPr>
                        <w:rFonts w:ascii="MS Gothic"/>
                      </w:rPr>
                    </w:pPr>
                    <w:r>
                      <w:rPr>
                        <w:rFonts w:ascii="MS Gothic"/>
                        <w:color w:val="333333"/>
                      </w:rPr>
                      <w:t>case REFUSING_TRAFFIC:</w:t>
                    </w:r>
                  </w:p>
                  <w:p w14:paraId="0588C306" w14:textId="77777777" w:rsidR="00711A16" w:rsidRDefault="00711A16">
                    <w:pPr>
                      <w:spacing w:before="13" w:line="252" w:lineRule="auto"/>
                      <w:ind w:left="1080" w:right="5428" w:firstLine="440"/>
                      <w:rPr>
                        <w:rFonts w:ascii="MS Gothic"/>
                      </w:rPr>
                    </w:pPr>
                    <w:r>
                      <w:rPr>
                        <w:rFonts w:ascii="MS Gothic"/>
                        <w:color w:val="333333"/>
                      </w:rPr>
                      <w:t>// remove file /tmp/healthy break;</w:t>
                    </w:r>
                  </w:p>
                  <w:p w14:paraId="6AAE7B38" w14:textId="77777777" w:rsidR="00711A16" w:rsidRDefault="00711A16">
                    <w:pPr>
                      <w:spacing w:line="280" w:lineRule="exact"/>
                      <w:ind w:left="1080"/>
                      <w:rPr>
                        <w:rFonts w:ascii="MS Gothic"/>
                      </w:rPr>
                    </w:pPr>
                    <w:r>
                      <w:rPr>
                        <w:rFonts w:ascii="MS Gothic"/>
                        <w:color w:val="333333"/>
                      </w:rPr>
                      <w:t>}</w:t>
                    </w:r>
                  </w:p>
                  <w:p w14:paraId="42B9FC78" w14:textId="77777777" w:rsidR="00711A16" w:rsidRDefault="00711A16">
                    <w:pPr>
                      <w:spacing w:before="13"/>
                      <w:ind w:left="640"/>
                      <w:rPr>
                        <w:rFonts w:ascii="MS Gothic"/>
                      </w:rPr>
                    </w:pPr>
                    <w:r>
                      <w:rPr>
                        <w:rFonts w:ascii="MS Gothic"/>
                        <w:color w:val="333333"/>
                      </w:rPr>
                      <w:t>}</w:t>
                    </w:r>
                  </w:p>
                  <w:p w14:paraId="74175B5C" w14:textId="77777777" w:rsidR="00711A16" w:rsidRDefault="00711A16">
                    <w:pPr>
                      <w:rPr>
                        <w:rFonts w:ascii="MS Gothic"/>
                        <w:sz w:val="24"/>
                      </w:rPr>
                    </w:pPr>
                  </w:p>
                  <w:p w14:paraId="3F18DB79" w14:textId="77777777" w:rsidR="00711A16" w:rsidRDefault="00711A16">
                    <w:pPr>
                      <w:ind w:left="200"/>
                      <w:rPr>
                        <w:rFonts w:ascii="MS Gothic"/>
                      </w:rPr>
                    </w:pPr>
                    <w:r>
                      <w:rPr>
                        <w:rFonts w:ascii="MS Gothic"/>
                        <w:color w:val="333333"/>
                      </w:rPr>
                      <w:t>}</w:t>
                    </w:r>
                  </w:p>
                </w:txbxContent>
              </v:textbox>
            </v:shape>
            <w10:wrap type="topAndBottom" anchorx="page"/>
          </v:group>
        </w:pict>
      </w:r>
    </w:p>
    <w:p w14:paraId="01D942DD" w14:textId="77777777" w:rsidR="00A720EB" w:rsidRDefault="00A720EB">
      <w:pPr>
        <w:pStyle w:val="a3"/>
        <w:rPr>
          <w:sz w:val="10"/>
        </w:rPr>
      </w:pPr>
    </w:p>
    <w:p w14:paraId="06E6C386" w14:textId="77777777" w:rsidR="00A720EB" w:rsidRDefault="0030286B">
      <w:pPr>
        <w:pStyle w:val="a3"/>
        <w:spacing w:before="125"/>
        <w:ind w:left="124"/>
      </w:pPr>
      <w:r>
        <w:rPr>
          <w:color w:val="333333"/>
          <w:w w:val="110"/>
        </w:rPr>
        <w:t>We can also update the state of the application, when the application breaks and cannot recover:</w:t>
      </w:r>
    </w:p>
    <w:p w14:paraId="5DE797BD" w14:textId="77777777" w:rsidR="00A720EB" w:rsidRDefault="00A720EB">
      <w:pPr>
        <w:sectPr w:rsidR="00A720EB">
          <w:pgSz w:w="11910" w:h="16840"/>
          <w:pgMar w:top="700" w:right="840" w:bottom="520" w:left="840" w:header="0" w:footer="323" w:gutter="0"/>
          <w:cols w:space="720"/>
        </w:sectPr>
      </w:pPr>
    </w:p>
    <w:p w14:paraId="18B51701" w14:textId="77777777" w:rsidR="00A720EB" w:rsidRDefault="00E10349">
      <w:pPr>
        <w:pStyle w:val="a3"/>
        <w:ind w:left="116"/>
        <w:rPr>
          <w:sz w:val="20"/>
        </w:rPr>
      </w:pPr>
      <w:r>
        <w:rPr>
          <w:sz w:val="20"/>
        </w:rPr>
      </w:r>
      <w:r>
        <w:rPr>
          <w:sz w:val="20"/>
        </w:rPr>
        <w:pict w14:anchorId="0720769F">
          <v:group id="_x0000_s4684" style="width:499.55pt;height:317.55pt;mso-position-horizontal-relative:char;mso-position-vertical-relative:line" coordsize="9991,6351">
            <v:shape id="_x0000_s4687" style="position:absolute;left:7;top:7;width:9976;height:6336" coordorigin="8,8" coordsize="9976,6336" path="m9904,8l88,8,56,14,31,31,14,56,8,88r,6176l14,6295r17,25l56,6337r32,7l9904,6344r31,-7l9960,6320r17,-25l9984,6264r,-6176l9977,56,9960,31,9935,14,9904,8xe" fillcolor="#f5f5f5" stroked="f">
              <v:path arrowok="t"/>
            </v:shape>
            <v:shape id="_x0000_s4686" style="position:absolute;left:7;top:7;width:9976;height:6336" coordorigin="8,8" coordsize="9976,6336" path="m88,8r9816,l9935,14r25,17l9977,56r7,32l9984,6264r-7,31l9960,6320r-25,17l9904,6344r-9816,l56,6337,31,6320,14,6295,8,6264,8,88,14,56,31,31,56,14,88,8xe" filled="f" strokecolor="#ccc">
              <v:path arrowok="t"/>
            </v:shape>
            <v:shape id="_x0000_s4685" type="#_x0000_t202" style="position:absolute;left:26;top:22;width:9938;height:6306" filled="f" stroked="f">
              <v:textbox inset="0,0,0,0">
                <w:txbxContent>
                  <w:p w14:paraId="561B5A37" w14:textId="77777777" w:rsidR="00711A16" w:rsidRDefault="00711A16">
                    <w:pPr>
                      <w:spacing w:before="221"/>
                      <w:ind w:left="200"/>
                      <w:rPr>
                        <w:rFonts w:ascii="MS Gothic"/>
                      </w:rPr>
                    </w:pPr>
                    <w:r>
                      <w:rPr>
                        <w:rFonts w:ascii="MS Gothic"/>
                        <w:color w:val="333333"/>
                      </w:rPr>
                      <w:t>@Component</w:t>
                    </w:r>
                  </w:p>
                  <w:p w14:paraId="7260C851" w14:textId="77777777" w:rsidR="00711A16" w:rsidRDefault="00711A16">
                    <w:pPr>
                      <w:spacing w:before="13"/>
                      <w:ind w:left="200"/>
                      <w:rPr>
                        <w:rFonts w:ascii="MS Gothic"/>
                      </w:rPr>
                    </w:pPr>
                    <w:r>
                      <w:rPr>
                        <w:rFonts w:ascii="MS Gothic"/>
                        <w:color w:val="333333"/>
                      </w:rPr>
                      <w:t>public class LocalCacheVerifier {</w:t>
                    </w:r>
                  </w:p>
                  <w:p w14:paraId="05F1D18D" w14:textId="77777777" w:rsidR="00711A16" w:rsidRDefault="00711A16">
                    <w:pPr>
                      <w:rPr>
                        <w:rFonts w:ascii="MS Gothic"/>
                        <w:sz w:val="24"/>
                      </w:rPr>
                    </w:pPr>
                  </w:p>
                  <w:p w14:paraId="2900C718" w14:textId="77777777" w:rsidR="00711A16" w:rsidRDefault="00711A16">
                    <w:pPr>
                      <w:ind w:left="640"/>
                      <w:rPr>
                        <w:rFonts w:ascii="MS Gothic"/>
                      </w:rPr>
                    </w:pPr>
                    <w:r>
                      <w:rPr>
                        <w:rFonts w:ascii="MS Gothic"/>
                        <w:color w:val="333333"/>
                      </w:rPr>
                      <w:t>private final ApplicationEventPublisher eventPublisher;</w:t>
                    </w:r>
                  </w:p>
                  <w:p w14:paraId="1DE2B864" w14:textId="77777777" w:rsidR="00711A16" w:rsidRDefault="00711A16">
                    <w:pPr>
                      <w:rPr>
                        <w:rFonts w:ascii="MS Gothic"/>
                        <w:sz w:val="24"/>
                      </w:rPr>
                    </w:pPr>
                  </w:p>
                  <w:p w14:paraId="1DC8918C" w14:textId="77777777" w:rsidR="00711A16" w:rsidRDefault="00711A16">
                    <w:pPr>
                      <w:spacing w:line="252" w:lineRule="auto"/>
                      <w:ind w:left="1080" w:right="1688" w:hanging="440"/>
                      <w:rPr>
                        <w:rFonts w:ascii="MS Gothic"/>
                      </w:rPr>
                    </w:pPr>
                    <w:r>
                      <w:rPr>
                        <w:rFonts w:ascii="MS Gothic"/>
                        <w:color w:val="333333"/>
                      </w:rPr>
                      <w:t xml:space="preserve">public </w:t>
                    </w:r>
                    <w:proofErr w:type="gramStart"/>
                    <w:r>
                      <w:rPr>
                        <w:rFonts w:ascii="MS Gothic"/>
                        <w:color w:val="333333"/>
                      </w:rPr>
                      <w:t>LocalCacheVerifier(</w:t>
                    </w:r>
                    <w:proofErr w:type="gramEnd"/>
                    <w:r>
                      <w:rPr>
                        <w:rFonts w:ascii="MS Gothic"/>
                        <w:color w:val="333333"/>
                      </w:rPr>
                      <w:t>ApplicationEventPublisher eventPublisher) { this.eventPublisher = eventPublisher;</w:t>
                    </w:r>
                  </w:p>
                  <w:p w14:paraId="32846AB2" w14:textId="77777777" w:rsidR="00711A16" w:rsidRDefault="00711A16">
                    <w:pPr>
                      <w:spacing w:line="280" w:lineRule="exact"/>
                      <w:ind w:left="640"/>
                      <w:rPr>
                        <w:rFonts w:ascii="MS Gothic"/>
                      </w:rPr>
                    </w:pPr>
                    <w:r>
                      <w:rPr>
                        <w:rFonts w:ascii="MS Gothic"/>
                        <w:color w:val="333333"/>
                      </w:rPr>
                      <w:t>}</w:t>
                    </w:r>
                  </w:p>
                  <w:p w14:paraId="1CFE0968" w14:textId="77777777" w:rsidR="00711A16" w:rsidRDefault="00711A16">
                    <w:pPr>
                      <w:rPr>
                        <w:rFonts w:ascii="MS Gothic"/>
                        <w:sz w:val="24"/>
                      </w:rPr>
                    </w:pPr>
                  </w:p>
                  <w:p w14:paraId="58BB8CFB" w14:textId="77777777" w:rsidR="00711A16" w:rsidRDefault="00711A16">
                    <w:pPr>
                      <w:spacing w:line="252" w:lineRule="auto"/>
                      <w:ind w:left="1080" w:right="5868" w:hanging="440"/>
                      <w:rPr>
                        <w:rFonts w:ascii="MS Gothic"/>
                      </w:rPr>
                    </w:pPr>
                    <w:r>
                      <w:rPr>
                        <w:rFonts w:ascii="MS Gothic"/>
                        <w:color w:val="333333"/>
                      </w:rPr>
                      <w:t xml:space="preserve">public void </w:t>
                    </w:r>
                    <w:proofErr w:type="gramStart"/>
                    <w:r>
                      <w:rPr>
                        <w:rFonts w:ascii="MS Gothic"/>
                        <w:color w:val="333333"/>
                      </w:rPr>
                      <w:t>checkLocalCache(</w:t>
                    </w:r>
                    <w:proofErr w:type="gramEnd"/>
                    <w:r>
                      <w:rPr>
                        <w:rFonts w:ascii="MS Gothic"/>
                        <w:color w:val="333333"/>
                      </w:rPr>
                      <w:t>) { try {</w:t>
                    </w:r>
                  </w:p>
                  <w:p w14:paraId="2E1C6DD9" w14:textId="77777777" w:rsidR="00711A16" w:rsidRDefault="00711A16">
                    <w:pPr>
                      <w:spacing w:line="280" w:lineRule="exact"/>
                      <w:ind w:left="1520"/>
                      <w:rPr>
                        <w:rFonts w:ascii="MS Gothic"/>
                      </w:rPr>
                    </w:pPr>
                    <w:r>
                      <w:rPr>
                        <w:rFonts w:ascii="MS Gothic"/>
                        <w:color w:val="333333"/>
                      </w:rPr>
                      <w:t>//...</w:t>
                    </w:r>
                  </w:p>
                  <w:p w14:paraId="13AEF08E" w14:textId="77777777" w:rsidR="00711A16" w:rsidRDefault="00711A16">
                    <w:pPr>
                      <w:spacing w:before="13"/>
                      <w:ind w:left="1080"/>
                      <w:rPr>
                        <w:rFonts w:ascii="MS Gothic"/>
                      </w:rPr>
                    </w:pPr>
                    <w:r>
                      <w:rPr>
                        <w:rFonts w:ascii="MS Gothic"/>
                        <w:color w:val="333333"/>
                      </w:rPr>
                      <w:t>}</w:t>
                    </w:r>
                  </w:p>
                  <w:p w14:paraId="394F3F71" w14:textId="77777777" w:rsidR="00711A16" w:rsidRDefault="00711A16">
                    <w:pPr>
                      <w:spacing w:before="13" w:line="252" w:lineRule="auto"/>
                      <w:ind w:left="1520" w:right="2238" w:hanging="440"/>
                      <w:rPr>
                        <w:rFonts w:ascii="MS Gothic"/>
                      </w:rPr>
                    </w:pPr>
                    <w:r>
                      <w:rPr>
                        <w:rFonts w:ascii="MS Gothic"/>
                        <w:color w:val="333333"/>
                      </w:rPr>
                      <w:t xml:space="preserve">catch (CacheCompletelyBrokenException ex) </w:t>
                    </w:r>
                    <w:proofErr w:type="gramStart"/>
                    <w:r>
                      <w:rPr>
                        <w:rFonts w:ascii="MS Gothic"/>
                        <w:color w:val="333333"/>
                      </w:rPr>
                      <w:t>{ AvailabilityChangeEvent.publish</w:t>
                    </w:r>
                    <w:proofErr w:type="gramEnd"/>
                    <w:r>
                      <w:rPr>
                        <w:rFonts w:ascii="MS Gothic"/>
                        <w:color w:val="333333"/>
                      </w:rPr>
                      <w:t>(this.eventPublisher, ex,</w:t>
                    </w:r>
                  </w:p>
                  <w:p w14:paraId="3041B34F" w14:textId="77777777" w:rsidR="00711A16" w:rsidRDefault="00711A16">
                    <w:pPr>
                      <w:spacing w:line="280" w:lineRule="exact"/>
                      <w:ind w:left="200"/>
                      <w:rPr>
                        <w:rFonts w:ascii="MS Gothic"/>
                      </w:rPr>
                    </w:pPr>
                    <w:r>
                      <w:rPr>
                        <w:rFonts w:ascii="MS Gothic"/>
                        <w:color w:val="333333"/>
                      </w:rPr>
                      <w:t>LivenessState.BROKEN);</w:t>
                    </w:r>
                  </w:p>
                  <w:p w14:paraId="6388AEB2" w14:textId="77777777" w:rsidR="00711A16" w:rsidRDefault="00711A16">
                    <w:pPr>
                      <w:spacing w:before="13"/>
                      <w:ind w:left="1080"/>
                      <w:rPr>
                        <w:rFonts w:ascii="MS Gothic"/>
                      </w:rPr>
                    </w:pPr>
                    <w:r>
                      <w:rPr>
                        <w:rFonts w:ascii="MS Gothic"/>
                        <w:color w:val="333333"/>
                      </w:rPr>
                      <w:t>}</w:t>
                    </w:r>
                  </w:p>
                  <w:p w14:paraId="0DA2CA12" w14:textId="77777777" w:rsidR="00711A16" w:rsidRDefault="00711A16">
                    <w:pPr>
                      <w:spacing w:before="13"/>
                      <w:ind w:left="640"/>
                      <w:rPr>
                        <w:rFonts w:ascii="MS Gothic"/>
                      </w:rPr>
                    </w:pPr>
                    <w:r>
                      <w:rPr>
                        <w:rFonts w:ascii="MS Gothic"/>
                        <w:color w:val="333333"/>
                      </w:rPr>
                      <w:t>}</w:t>
                    </w:r>
                  </w:p>
                  <w:p w14:paraId="392EBB21" w14:textId="77777777" w:rsidR="00711A16" w:rsidRDefault="00711A16">
                    <w:pPr>
                      <w:rPr>
                        <w:rFonts w:ascii="MS Gothic"/>
                        <w:sz w:val="24"/>
                      </w:rPr>
                    </w:pPr>
                  </w:p>
                  <w:p w14:paraId="50CDA95E" w14:textId="77777777" w:rsidR="00711A16" w:rsidRDefault="00711A16">
                    <w:pPr>
                      <w:ind w:left="200"/>
                      <w:rPr>
                        <w:rFonts w:ascii="MS Gothic"/>
                      </w:rPr>
                    </w:pPr>
                    <w:r>
                      <w:rPr>
                        <w:rFonts w:ascii="MS Gothic"/>
                        <w:color w:val="333333"/>
                      </w:rPr>
                      <w:t>}</w:t>
                    </w:r>
                  </w:p>
                </w:txbxContent>
              </v:textbox>
            </v:shape>
            <w10:anchorlock/>
          </v:group>
        </w:pict>
      </w:r>
    </w:p>
    <w:p w14:paraId="76403463" w14:textId="77777777" w:rsidR="00A720EB" w:rsidRDefault="00A720EB">
      <w:pPr>
        <w:pStyle w:val="a3"/>
        <w:spacing w:before="7"/>
        <w:rPr>
          <w:sz w:val="9"/>
        </w:rPr>
      </w:pPr>
    </w:p>
    <w:p w14:paraId="1826AE8E" w14:textId="77777777" w:rsidR="00A720EB" w:rsidRDefault="0030286B">
      <w:pPr>
        <w:pStyle w:val="a3"/>
        <w:spacing w:before="125" w:line="307" w:lineRule="auto"/>
        <w:ind w:left="124" w:right="130"/>
        <w:jc w:val="both"/>
      </w:pPr>
      <w:r>
        <w:rPr>
          <w:color w:val="333333"/>
          <w:w w:val="110"/>
        </w:rPr>
        <w:t xml:space="preserve">Spring Boot provides </w:t>
      </w:r>
      <w:hyperlink w:anchor="_bookmark398" w:history="1">
        <w:r>
          <w:rPr>
            <w:color w:val="418BCA"/>
            <w:w w:val="110"/>
          </w:rPr>
          <w:t>Kubernetes HTTP probes for "Liveness" and "Readiness" with Actuator Health</w:t>
        </w:r>
      </w:hyperlink>
      <w:r>
        <w:rPr>
          <w:color w:val="418BCA"/>
          <w:w w:val="110"/>
        </w:rPr>
        <w:t xml:space="preserve"> </w:t>
      </w:r>
      <w:hyperlink w:anchor="_bookmark398" w:history="1">
        <w:r>
          <w:rPr>
            <w:color w:val="418BCA"/>
            <w:w w:val="110"/>
          </w:rPr>
          <w:t>Endpoints</w:t>
        </w:r>
      </w:hyperlink>
      <w:r>
        <w:rPr>
          <w:color w:val="333333"/>
          <w:w w:val="110"/>
        </w:rPr>
        <w:t xml:space="preserve">. </w:t>
      </w:r>
      <w:r>
        <w:rPr>
          <w:color w:val="333333"/>
          <w:spacing w:val="-6"/>
          <w:w w:val="110"/>
        </w:rPr>
        <w:t xml:space="preserve">You </w:t>
      </w:r>
      <w:r>
        <w:rPr>
          <w:color w:val="333333"/>
          <w:w w:val="110"/>
        </w:rPr>
        <w:t xml:space="preserve">can get more guidance about </w:t>
      </w:r>
      <w:hyperlink w:anchor="_bookmark474" w:history="1">
        <w:r>
          <w:rPr>
            <w:color w:val="418BCA"/>
            <w:w w:val="110"/>
          </w:rPr>
          <w:t>deploying Spring Boot applications on Kubernetes in</w:t>
        </w:r>
      </w:hyperlink>
      <w:r>
        <w:rPr>
          <w:color w:val="418BCA"/>
          <w:w w:val="110"/>
        </w:rPr>
        <w:t xml:space="preserve">  </w:t>
      </w:r>
      <w:hyperlink w:anchor="_bookmark474" w:history="1">
        <w:r>
          <w:rPr>
            <w:color w:val="418BCA"/>
            <w:w w:val="110"/>
          </w:rPr>
          <w:t>the dedicated</w:t>
        </w:r>
        <w:r>
          <w:rPr>
            <w:color w:val="418BCA"/>
            <w:spacing w:val="5"/>
            <w:w w:val="110"/>
          </w:rPr>
          <w:t xml:space="preserve"> </w:t>
        </w:r>
        <w:r>
          <w:rPr>
            <w:color w:val="418BCA"/>
            <w:w w:val="110"/>
          </w:rPr>
          <w:t>section</w:t>
        </w:r>
      </w:hyperlink>
      <w:r>
        <w:rPr>
          <w:color w:val="333333"/>
          <w:w w:val="110"/>
        </w:rPr>
        <w:t>.</w:t>
      </w:r>
    </w:p>
    <w:p w14:paraId="1F034957" w14:textId="77777777" w:rsidR="00A720EB" w:rsidRDefault="00A720EB">
      <w:pPr>
        <w:pStyle w:val="a3"/>
        <w:spacing w:before="9"/>
        <w:rPr>
          <w:sz w:val="25"/>
        </w:rPr>
      </w:pPr>
    </w:p>
    <w:p w14:paraId="5C215A95" w14:textId="77777777" w:rsidR="00A720EB" w:rsidRDefault="0030286B">
      <w:pPr>
        <w:pStyle w:val="3"/>
        <w:numPr>
          <w:ilvl w:val="2"/>
          <w:numId w:val="68"/>
        </w:numPr>
        <w:tabs>
          <w:tab w:val="left" w:pos="858"/>
        </w:tabs>
        <w:ind w:hanging="734"/>
      </w:pPr>
      <w:bookmarkStart w:id="160" w:name="4.1.7._Application_Events_and_Listeners"/>
      <w:bookmarkStart w:id="161" w:name="_Toc54423716"/>
      <w:bookmarkEnd w:id="160"/>
      <w:r>
        <w:rPr>
          <w:color w:val="333333"/>
          <w:w w:val="110"/>
        </w:rPr>
        <w:t>Application Events and</w:t>
      </w:r>
      <w:r>
        <w:rPr>
          <w:color w:val="333333"/>
          <w:spacing w:val="-16"/>
          <w:w w:val="110"/>
        </w:rPr>
        <w:t xml:space="preserve"> </w:t>
      </w:r>
      <w:r>
        <w:rPr>
          <w:color w:val="333333"/>
          <w:w w:val="110"/>
        </w:rPr>
        <w:t>Listeners</w:t>
      </w:r>
      <w:bookmarkEnd w:id="161"/>
    </w:p>
    <w:p w14:paraId="069CE704" w14:textId="77777777" w:rsidR="00A720EB" w:rsidRDefault="0030286B">
      <w:pPr>
        <w:pStyle w:val="a3"/>
        <w:spacing w:before="244"/>
        <w:ind w:left="124"/>
        <w:jc w:val="both"/>
      </w:pPr>
      <w:r>
        <w:rPr>
          <w:color w:val="333333"/>
          <w:w w:val="110"/>
        </w:rPr>
        <w:t xml:space="preserve">In addition to the usual Spring Framework events, such as </w:t>
      </w:r>
      <w:hyperlink r:id="rId95">
        <w:r>
          <w:rPr>
            <w:rFonts w:ascii="MS Gothic"/>
            <w:color w:val="B02045"/>
            <w:w w:val="110"/>
          </w:rPr>
          <w:t>ContextRefreshedEvent</w:t>
        </w:r>
      </w:hyperlink>
      <w:r>
        <w:rPr>
          <w:color w:val="333333"/>
          <w:w w:val="110"/>
        </w:rPr>
        <w:t>, a</w:t>
      </w:r>
    </w:p>
    <w:p w14:paraId="4C57329C" w14:textId="77777777" w:rsidR="00A720EB" w:rsidRDefault="0030286B">
      <w:pPr>
        <w:pStyle w:val="a3"/>
        <w:spacing w:before="46"/>
        <w:ind w:left="124"/>
        <w:jc w:val="both"/>
      </w:pPr>
      <w:r>
        <w:rPr>
          <w:rFonts w:ascii="MS Gothic"/>
          <w:color w:val="B02045"/>
          <w:w w:val="110"/>
        </w:rPr>
        <w:t>SpringApplication</w:t>
      </w:r>
      <w:r>
        <w:rPr>
          <w:rFonts w:ascii="MS Gothic"/>
          <w:color w:val="B02045"/>
          <w:spacing w:val="-60"/>
          <w:w w:val="110"/>
        </w:rPr>
        <w:t xml:space="preserve"> </w:t>
      </w:r>
      <w:r>
        <w:rPr>
          <w:color w:val="333333"/>
          <w:w w:val="110"/>
        </w:rPr>
        <w:t>sends some additional application events.</w:t>
      </w:r>
    </w:p>
    <w:p w14:paraId="483D6051" w14:textId="77777777" w:rsidR="00A720EB" w:rsidRDefault="00A720EB">
      <w:pPr>
        <w:pStyle w:val="a3"/>
        <w:spacing w:before="5"/>
      </w:pPr>
    </w:p>
    <w:p w14:paraId="75A4CE80" w14:textId="77777777" w:rsidR="00A720EB" w:rsidRDefault="00E10349">
      <w:pPr>
        <w:pStyle w:val="a3"/>
        <w:tabs>
          <w:tab w:val="left" w:pos="6274"/>
          <w:tab w:val="left" w:pos="8180"/>
          <w:tab w:val="left" w:pos="9539"/>
        </w:tabs>
        <w:spacing w:before="116" w:line="280" w:lineRule="auto"/>
        <w:ind w:left="1564" w:right="363"/>
        <w:jc w:val="both"/>
      </w:pPr>
      <w:r>
        <w:pict w14:anchorId="03735CC6">
          <v:line id="_x0000_s4683" style="position:absolute;left:0;text-align:left;z-index:15821824;mso-position-horizontal-relative:page" from="108.25pt,.35pt" to="108.25pt,225.85pt" strokecolor="#ededed" strokeweight=".5pt">
            <w10:wrap anchorx="page"/>
          </v:line>
        </w:pict>
      </w:r>
      <w:r w:rsidR="0030286B">
        <w:rPr>
          <w:color w:val="333333"/>
          <w:w w:val="110"/>
        </w:rPr>
        <w:t>Some</w:t>
      </w:r>
      <w:r w:rsidR="0030286B">
        <w:rPr>
          <w:color w:val="333333"/>
          <w:spacing w:val="-7"/>
          <w:w w:val="110"/>
        </w:rPr>
        <w:t xml:space="preserve"> </w:t>
      </w:r>
      <w:r w:rsidR="0030286B">
        <w:rPr>
          <w:color w:val="333333"/>
          <w:w w:val="110"/>
        </w:rPr>
        <w:t>events</w:t>
      </w:r>
      <w:r w:rsidR="0030286B">
        <w:rPr>
          <w:color w:val="333333"/>
          <w:spacing w:val="-7"/>
          <w:w w:val="110"/>
        </w:rPr>
        <w:t xml:space="preserve"> </w:t>
      </w:r>
      <w:r w:rsidR="0030286B">
        <w:rPr>
          <w:color w:val="333333"/>
          <w:w w:val="110"/>
        </w:rPr>
        <w:t>are</w:t>
      </w:r>
      <w:r w:rsidR="0030286B">
        <w:rPr>
          <w:color w:val="333333"/>
          <w:spacing w:val="-7"/>
          <w:w w:val="110"/>
        </w:rPr>
        <w:t xml:space="preserve"> </w:t>
      </w:r>
      <w:r w:rsidR="0030286B">
        <w:rPr>
          <w:color w:val="333333"/>
          <w:w w:val="110"/>
        </w:rPr>
        <w:t>actually</w:t>
      </w:r>
      <w:r w:rsidR="0030286B">
        <w:rPr>
          <w:color w:val="333333"/>
          <w:spacing w:val="-7"/>
          <w:w w:val="110"/>
        </w:rPr>
        <w:t xml:space="preserve"> </w:t>
      </w:r>
      <w:r w:rsidR="0030286B">
        <w:rPr>
          <w:color w:val="333333"/>
          <w:w w:val="110"/>
        </w:rPr>
        <w:t>triggered</w:t>
      </w:r>
      <w:r w:rsidR="0030286B">
        <w:rPr>
          <w:color w:val="333333"/>
          <w:spacing w:val="-7"/>
          <w:w w:val="110"/>
        </w:rPr>
        <w:t xml:space="preserve"> </w:t>
      </w:r>
      <w:r w:rsidR="0030286B">
        <w:rPr>
          <w:color w:val="333333"/>
          <w:w w:val="110"/>
        </w:rPr>
        <w:t>before</w:t>
      </w:r>
      <w:r w:rsidR="0030286B">
        <w:rPr>
          <w:color w:val="333333"/>
          <w:spacing w:val="-7"/>
          <w:w w:val="110"/>
        </w:rPr>
        <w:t xml:space="preserve"> </w:t>
      </w:r>
      <w:r w:rsidR="0030286B">
        <w:rPr>
          <w:color w:val="333333"/>
          <w:w w:val="110"/>
        </w:rPr>
        <w:t>the</w:t>
      </w:r>
      <w:r w:rsidR="0030286B">
        <w:rPr>
          <w:color w:val="333333"/>
          <w:spacing w:val="-2"/>
          <w:w w:val="110"/>
        </w:rPr>
        <w:t xml:space="preserve"> </w:t>
      </w:r>
      <w:r w:rsidR="0030286B">
        <w:rPr>
          <w:rFonts w:ascii="MS Gothic" w:hAnsi="MS Gothic"/>
          <w:color w:val="B02045"/>
          <w:w w:val="110"/>
        </w:rPr>
        <w:t>ApplicationContext</w:t>
      </w:r>
      <w:r w:rsidR="0030286B">
        <w:rPr>
          <w:rFonts w:ascii="MS Gothic" w:hAnsi="MS Gothic"/>
          <w:color w:val="B02045"/>
          <w:spacing w:val="-72"/>
          <w:w w:val="110"/>
        </w:rPr>
        <w:t xml:space="preserve"> </w:t>
      </w:r>
      <w:r w:rsidR="0030286B">
        <w:rPr>
          <w:color w:val="333333"/>
          <w:w w:val="110"/>
        </w:rPr>
        <w:t>is</w:t>
      </w:r>
      <w:r w:rsidR="0030286B">
        <w:rPr>
          <w:color w:val="333333"/>
          <w:spacing w:val="-7"/>
          <w:w w:val="110"/>
        </w:rPr>
        <w:t xml:space="preserve"> </w:t>
      </w:r>
      <w:r w:rsidR="0030286B">
        <w:rPr>
          <w:color w:val="333333"/>
          <w:w w:val="110"/>
        </w:rPr>
        <w:t>created,</w:t>
      </w:r>
      <w:r w:rsidR="0030286B">
        <w:rPr>
          <w:color w:val="333333"/>
          <w:spacing w:val="-7"/>
          <w:w w:val="110"/>
        </w:rPr>
        <w:t xml:space="preserve"> </w:t>
      </w:r>
      <w:r w:rsidR="0030286B">
        <w:rPr>
          <w:color w:val="333333"/>
          <w:w w:val="110"/>
        </w:rPr>
        <w:t>so</w:t>
      </w:r>
      <w:r w:rsidR="0030286B">
        <w:rPr>
          <w:color w:val="333333"/>
          <w:spacing w:val="-7"/>
          <w:w w:val="110"/>
        </w:rPr>
        <w:t xml:space="preserve"> </w:t>
      </w:r>
      <w:r w:rsidR="0030286B">
        <w:rPr>
          <w:color w:val="333333"/>
          <w:w w:val="110"/>
        </w:rPr>
        <w:t xml:space="preserve">you cannot register a listener on those as a </w:t>
      </w:r>
      <w:r w:rsidR="0030286B">
        <w:rPr>
          <w:rFonts w:ascii="MS Gothic" w:hAnsi="MS Gothic"/>
          <w:color w:val="B02045"/>
          <w:w w:val="110"/>
        </w:rPr>
        <w:t>@Bean</w:t>
      </w:r>
      <w:r w:rsidR="0030286B">
        <w:rPr>
          <w:color w:val="333333"/>
          <w:w w:val="110"/>
        </w:rPr>
        <w:t xml:space="preserve">. </w:t>
      </w:r>
      <w:r w:rsidR="0030286B">
        <w:rPr>
          <w:color w:val="333333"/>
          <w:spacing w:val="-6"/>
          <w:w w:val="110"/>
        </w:rPr>
        <w:t xml:space="preserve">You </w:t>
      </w:r>
      <w:r w:rsidR="0030286B">
        <w:rPr>
          <w:color w:val="333333"/>
          <w:w w:val="110"/>
        </w:rPr>
        <w:t xml:space="preserve">can register them with the </w:t>
      </w:r>
      <w:r w:rsidR="0030286B">
        <w:rPr>
          <w:rFonts w:ascii="MS Gothic" w:hAnsi="MS Gothic"/>
          <w:color w:val="B02045"/>
        </w:rPr>
        <w:t>SpringApplication.addListeners(…)</w:t>
      </w:r>
      <w:r w:rsidR="0030286B">
        <w:rPr>
          <w:rFonts w:ascii="MS Gothic" w:hAnsi="MS Gothic"/>
          <w:color w:val="B02045"/>
        </w:rPr>
        <w:tab/>
      </w:r>
      <w:r w:rsidR="0030286B">
        <w:rPr>
          <w:color w:val="333333"/>
          <w:w w:val="110"/>
        </w:rPr>
        <w:t>method</w:t>
      </w:r>
      <w:r w:rsidR="0030286B">
        <w:rPr>
          <w:color w:val="333333"/>
          <w:w w:val="110"/>
        </w:rPr>
        <w:tab/>
        <w:t>or</w:t>
      </w:r>
      <w:r w:rsidR="0030286B">
        <w:rPr>
          <w:color w:val="333333"/>
          <w:w w:val="110"/>
        </w:rPr>
        <w:tab/>
      </w:r>
      <w:r w:rsidR="0030286B">
        <w:rPr>
          <w:color w:val="333333"/>
          <w:spacing w:val="-6"/>
          <w:w w:val="110"/>
        </w:rPr>
        <w:t xml:space="preserve">the </w:t>
      </w:r>
      <w:r w:rsidR="0030286B">
        <w:rPr>
          <w:rFonts w:ascii="MS Gothic" w:hAnsi="MS Gothic"/>
          <w:color w:val="B02045"/>
          <w:w w:val="110"/>
        </w:rPr>
        <w:t>SpringApplicationBuilder.listeners(…)</w:t>
      </w:r>
      <w:r w:rsidR="0030286B">
        <w:rPr>
          <w:rFonts w:ascii="MS Gothic" w:hAnsi="MS Gothic"/>
          <w:color w:val="B02045"/>
          <w:spacing w:val="-68"/>
          <w:w w:val="110"/>
        </w:rPr>
        <w:t xml:space="preserve"> </w:t>
      </w:r>
      <w:r w:rsidR="0030286B">
        <w:rPr>
          <w:color w:val="333333"/>
          <w:w w:val="110"/>
        </w:rPr>
        <w:t>method.</w:t>
      </w:r>
    </w:p>
    <w:p w14:paraId="4E9304DA" w14:textId="77777777" w:rsidR="00A720EB" w:rsidRDefault="00A720EB">
      <w:pPr>
        <w:pStyle w:val="a3"/>
        <w:spacing w:before="7"/>
      </w:pPr>
    </w:p>
    <w:p w14:paraId="792DFEE0" w14:textId="77777777" w:rsidR="00A720EB" w:rsidRDefault="0030286B">
      <w:pPr>
        <w:pStyle w:val="a3"/>
        <w:tabs>
          <w:tab w:val="left" w:pos="2674"/>
          <w:tab w:val="left" w:pos="4366"/>
          <w:tab w:val="left" w:pos="5566"/>
          <w:tab w:val="left" w:pos="7295"/>
          <w:tab w:val="left" w:pos="8266"/>
          <w:tab w:val="left" w:pos="9537"/>
        </w:tabs>
        <w:spacing w:line="295" w:lineRule="auto"/>
        <w:ind w:left="1564" w:right="363"/>
        <w:jc w:val="both"/>
      </w:pPr>
      <w:r>
        <w:rPr>
          <w:noProof/>
        </w:rPr>
        <w:drawing>
          <wp:anchor distT="0" distB="0" distL="0" distR="0" simplePos="0" relativeHeight="15822336" behindDoc="0" locked="0" layoutInCell="1" allowOverlap="1" wp14:anchorId="7BBAD571" wp14:editId="499B5520">
            <wp:simplePos x="0" y="0"/>
            <wp:positionH relativeFrom="page">
              <wp:posOffset>844422</wp:posOffset>
            </wp:positionH>
            <wp:positionV relativeFrom="paragraph">
              <wp:posOffset>252641</wp:posOffset>
            </wp:positionV>
            <wp:extent cx="298450" cy="298450"/>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24" cstate="print"/>
                    <a:stretch>
                      <a:fillRect/>
                    </a:stretch>
                  </pic:blipFill>
                  <pic:spPr>
                    <a:xfrm>
                      <a:off x="0" y="0"/>
                      <a:ext cx="298450" cy="298450"/>
                    </a:xfrm>
                    <a:prstGeom prst="rect">
                      <a:avLst/>
                    </a:prstGeom>
                  </pic:spPr>
                </pic:pic>
              </a:graphicData>
            </a:graphic>
          </wp:anchor>
        </w:drawing>
      </w:r>
      <w:r>
        <w:rPr>
          <w:color w:val="333333"/>
          <w:w w:val="110"/>
        </w:rPr>
        <w:t xml:space="preserve">If you want those listeners to be registered </w:t>
      </w:r>
      <w:r>
        <w:rPr>
          <w:color w:val="333333"/>
          <w:spacing w:val="-3"/>
          <w:w w:val="110"/>
        </w:rPr>
        <w:t xml:space="preserve">automatically, </w:t>
      </w:r>
      <w:r>
        <w:rPr>
          <w:color w:val="333333"/>
          <w:w w:val="110"/>
        </w:rPr>
        <w:t>regardless of the way the application</w:t>
      </w:r>
      <w:r>
        <w:rPr>
          <w:color w:val="333333"/>
          <w:spacing w:val="-10"/>
          <w:w w:val="110"/>
        </w:rPr>
        <w:t xml:space="preserve"> </w:t>
      </w:r>
      <w:r>
        <w:rPr>
          <w:color w:val="333333"/>
          <w:w w:val="110"/>
        </w:rPr>
        <w:t>is</w:t>
      </w:r>
      <w:r>
        <w:rPr>
          <w:color w:val="333333"/>
          <w:spacing w:val="-9"/>
          <w:w w:val="110"/>
        </w:rPr>
        <w:t xml:space="preserve"> </w:t>
      </w:r>
      <w:r>
        <w:rPr>
          <w:color w:val="333333"/>
          <w:w w:val="110"/>
        </w:rPr>
        <w:t>created,</w:t>
      </w:r>
      <w:r>
        <w:rPr>
          <w:color w:val="333333"/>
          <w:spacing w:val="-9"/>
          <w:w w:val="110"/>
        </w:rPr>
        <w:t xml:space="preserve"> </w:t>
      </w:r>
      <w:r>
        <w:rPr>
          <w:color w:val="333333"/>
          <w:w w:val="110"/>
        </w:rPr>
        <w:t>you</w:t>
      </w:r>
      <w:r>
        <w:rPr>
          <w:color w:val="333333"/>
          <w:spacing w:val="-9"/>
          <w:w w:val="110"/>
        </w:rPr>
        <w:t xml:space="preserve"> </w:t>
      </w:r>
      <w:r>
        <w:rPr>
          <w:color w:val="333333"/>
          <w:w w:val="110"/>
        </w:rPr>
        <w:t>can</w:t>
      </w:r>
      <w:r>
        <w:rPr>
          <w:color w:val="333333"/>
          <w:spacing w:val="-9"/>
          <w:w w:val="110"/>
        </w:rPr>
        <w:t xml:space="preserve"> </w:t>
      </w:r>
      <w:r>
        <w:rPr>
          <w:color w:val="333333"/>
          <w:w w:val="110"/>
        </w:rPr>
        <w:t>add</w:t>
      </w:r>
      <w:r>
        <w:rPr>
          <w:color w:val="333333"/>
          <w:spacing w:val="-9"/>
          <w:w w:val="110"/>
        </w:rPr>
        <w:t xml:space="preserve"> </w:t>
      </w:r>
      <w:r>
        <w:rPr>
          <w:color w:val="333333"/>
          <w:w w:val="110"/>
        </w:rPr>
        <w:t>a</w:t>
      </w:r>
      <w:r>
        <w:rPr>
          <w:color w:val="333333"/>
          <w:spacing w:val="-6"/>
          <w:w w:val="110"/>
        </w:rPr>
        <w:t xml:space="preserve"> </w:t>
      </w:r>
      <w:r>
        <w:rPr>
          <w:rFonts w:ascii="MS Gothic"/>
          <w:color w:val="B02045"/>
          <w:w w:val="110"/>
        </w:rPr>
        <w:t>META-INF/spring.factories</w:t>
      </w:r>
      <w:r>
        <w:rPr>
          <w:rFonts w:ascii="MS Gothic"/>
          <w:color w:val="B02045"/>
          <w:spacing w:val="-74"/>
          <w:w w:val="110"/>
        </w:rPr>
        <w:t xml:space="preserve"> </w:t>
      </w:r>
      <w:r>
        <w:rPr>
          <w:color w:val="333333"/>
          <w:w w:val="110"/>
        </w:rPr>
        <w:t>file</w:t>
      </w:r>
      <w:r>
        <w:rPr>
          <w:color w:val="333333"/>
          <w:spacing w:val="-9"/>
          <w:w w:val="110"/>
        </w:rPr>
        <w:t xml:space="preserve"> </w:t>
      </w:r>
      <w:r>
        <w:rPr>
          <w:color w:val="333333"/>
          <w:w w:val="110"/>
        </w:rPr>
        <w:t>to</w:t>
      </w:r>
      <w:r>
        <w:rPr>
          <w:color w:val="333333"/>
          <w:spacing w:val="-9"/>
          <w:w w:val="110"/>
        </w:rPr>
        <w:t xml:space="preserve"> </w:t>
      </w:r>
      <w:r>
        <w:rPr>
          <w:color w:val="333333"/>
          <w:w w:val="110"/>
        </w:rPr>
        <w:t>your</w:t>
      </w:r>
      <w:r>
        <w:rPr>
          <w:color w:val="333333"/>
          <w:spacing w:val="-9"/>
          <w:w w:val="110"/>
        </w:rPr>
        <w:t xml:space="preserve"> </w:t>
      </w:r>
      <w:r>
        <w:rPr>
          <w:color w:val="333333"/>
          <w:w w:val="110"/>
        </w:rPr>
        <w:t>project and</w:t>
      </w:r>
      <w:r>
        <w:rPr>
          <w:color w:val="333333"/>
          <w:w w:val="110"/>
        </w:rPr>
        <w:tab/>
        <w:t>reference</w:t>
      </w:r>
      <w:r>
        <w:rPr>
          <w:color w:val="333333"/>
          <w:w w:val="110"/>
        </w:rPr>
        <w:tab/>
        <w:t>your</w:t>
      </w:r>
      <w:r>
        <w:rPr>
          <w:color w:val="333333"/>
          <w:w w:val="110"/>
        </w:rPr>
        <w:tab/>
        <w:t>listener(s)</w:t>
      </w:r>
      <w:r>
        <w:rPr>
          <w:color w:val="333333"/>
          <w:w w:val="110"/>
        </w:rPr>
        <w:tab/>
      </w:r>
      <w:r>
        <w:rPr>
          <w:color w:val="333333"/>
          <w:spacing w:val="-3"/>
          <w:w w:val="110"/>
        </w:rPr>
        <w:t>by</w:t>
      </w:r>
      <w:r>
        <w:rPr>
          <w:color w:val="333333"/>
          <w:spacing w:val="-3"/>
          <w:w w:val="110"/>
        </w:rPr>
        <w:tab/>
      </w:r>
      <w:r>
        <w:rPr>
          <w:color w:val="333333"/>
          <w:w w:val="110"/>
        </w:rPr>
        <w:t>using</w:t>
      </w:r>
      <w:r>
        <w:rPr>
          <w:color w:val="333333"/>
          <w:w w:val="110"/>
        </w:rPr>
        <w:tab/>
      </w:r>
      <w:r>
        <w:rPr>
          <w:color w:val="333333"/>
          <w:spacing w:val="-5"/>
          <w:w w:val="110"/>
        </w:rPr>
        <w:t xml:space="preserve">the </w:t>
      </w:r>
      <w:proofErr w:type="gramStart"/>
      <w:r>
        <w:rPr>
          <w:rFonts w:ascii="MS Gothic"/>
          <w:color w:val="B02045"/>
          <w:w w:val="105"/>
        </w:rPr>
        <w:t>org.springframework</w:t>
      </w:r>
      <w:proofErr w:type="gramEnd"/>
      <w:r>
        <w:rPr>
          <w:rFonts w:ascii="MS Gothic"/>
          <w:color w:val="B02045"/>
          <w:w w:val="105"/>
        </w:rPr>
        <w:t xml:space="preserve">.context.ApplicationListener </w:t>
      </w:r>
      <w:r>
        <w:rPr>
          <w:color w:val="333333"/>
          <w:spacing w:val="-7"/>
          <w:w w:val="105"/>
        </w:rPr>
        <w:t xml:space="preserve">key, </w:t>
      </w:r>
      <w:r>
        <w:rPr>
          <w:color w:val="333333"/>
          <w:w w:val="105"/>
        </w:rPr>
        <w:t xml:space="preserve">as shown in the following </w:t>
      </w:r>
      <w:r>
        <w:rPr>
          <w:color w:val="333333"/>
          <w:w w:val="110"/>
        </w:rPr>
        <w:t>example:</w:t>
      </w:r>
    </w:p>
    <w:p w14:paraId="7497D5DA" w14:textId="77777777" w:rsidR="00A720EB" w:rsidRDefault="00E10349">
      <w:pPr>
        <w:pStyle w:val="a3"/>
        <w:spacing w:before="8"/>
        <w:rPr>
          <w:sz w:val="13"/>
        </w:rPr>
      </w:pPr>
      <w:r>
        <w:pict w14:anchorId="671D76E0">
          <v:group id="_x0000_s4679" style="position:absolute;margin-left:119.85pt;margin-top:10.05pt;width:415.55pt;height:52.25pt;z-index:-15635968;mso-wrap-distance-left:0;mso-wrap-distance-right:0;mso-position-horizontal-relative:page" coordorigin="2397,201" coordsize="8311,1045">
            <v:shape id="_x0000_s4682" style="position:absolute;left:2404;top:208;width:8296;height:1030" coordorigin="2405,208" coordsize="8296,1030" path="m10621,208r-8136,l2454,215r-26,17l2411,257r-6,31l2405,1158r6,31l2428,1215r26,17l2485,1238r8136,l10652,1232r25,-17l10695,1189r6,-31l10701,288r-6,-31l10677,232r-25,-17l10621,208xe" fillcolor="#f5f5f5" stroked="f">
              <v:path arrowok="t"/>
            </v:shape>
            <v:shape id="_x0000_s4681" style="position:absolute;left:2404;top:208;width:8296;height:1030" coordorigin="2405,208" coordsize="8296,1030" path="m2485,208r8136,l10652,215r25,17l10695,257r6,31l10701,1158r-6,31l10677,1215r-25,17l10621,1238r-8136,l2454,1232r-26,-17l2411,1189r-6,-31l2405,288r6,-31l2428,232r26,-17l2485,208xe" filled="f" strokecolor="#ccc">
              <v:path arrowok="t"/>
            </v:shape>
            <v:shape id="_x0000_s4680" type="#_x0000_t202" style="position:absolute;left:2424;top:223;width:8258;height:999" filled="f" stroked="f">
              <v:textbox inset="0,0,0,0">
                <w:txbxContent>
                  <w:p w14:paraId="546060CD" w14:textId="77777777" w:rsidR="00711A16" w:rsidRDefault="00711A16">
                    <w:pPr>
                      <w:spacing w:before="221" w:line="252" w:lineRule="auto"/>
                      <w:ind w:left="200" w:right="228"/>
                      <w:rPr>
                        <w:rFonts w:ascii="MS Gothic"/>
                      </w:rPr>
                    </w:pPr>
                    <w:proofErr w:type="gramStart"/>
                    <w:r>
                      <w:rPr>
                        <w:rFonts w:ascii="MS Gothic"/>
                        <w:color w:val="333333"/>
                      </w:rPr>
                      <w:t>org.springframework</w:t>
                    </w:r>
                    <w:proofErr w:type="gramEnd"/>
                    <w:r>
                      <w:rPr>
                        <w:rFonts w:ascii="MS Gothic"/>
                        <w:color w:val="333333"/>
                      </w:rPr>
                      <w:t>.context.ApplicationListener=com.example.project.MyL istener</w:t>
                    </w:r>
                  </w:p>
                </w:txbxContent>
              </v:textbox>
            </v:shape>
            <w10:wrap type="topAndBottom" anchorx="page"/>
          </v:group>
        </w:pict>
      </w:r>
    </w:p>
    <w:p w14:paraId="7FF3FD69" w14:textId="77777777" w:rsidR="00A720EB" w:rsidRDefault="00A720EB">
      <w:pPr>
        <w:pStyle w:val="a3"/>
        <w:spacing w:before="10"/>
        <w:rPr>
          <w:sz w:val="16"/>
        </w:rPr>
      </w:pPr>
    </w:p>
    <w:p w14:paraId="4E4D90AB" w14:textId="77777777" w:rsidR="00A720EB" w:rsidRDefault="0030286B">
      <w:pPr>
        <w:pStyle w:val="a3"/>
        <w:spacing w:before="125"/>
        <w:ind w:left="124"/>
      </w:pPr>
      <w:r>
        <w:rPr>
          <w:color w:val="333333"/>
          <w:w w:val="110"/>
        </w:rPr>
        <w:t>Application events are sent in the following order, as your application runs:</w:t>
      </w:r>
    </w:p>
    <w:p w14:paraId="10B3BCC7" w14:textId="77777777" w:rsidR="00A720EB" w:rsidRDefault="00A720EB">
      <w:pPr>
        <w:pStyle w:val="a3"/>
        <w:spacing w:before="6"/>
        <w:rPr>
          <w:sz w:val="25"/>
        </w:rPr>
      </w:pPr>
    </w:p>
    <w:p w14:paraId="5A5DCACD" w14:textId="77777777" w:rsidR="00A720EB" w:rsidRDefault="0030286B">
      <w:pPr>
        <w:pStyle w:val="a6"/>
        <w:numPr>
          <w:ilvl w:val="3"/>
          <w:numId w:val="68"/>
        </w:numPr>
        <w:tabs>
          <w:tab w:val="left" w:pos="485"/>
        </w:tabs>
        <w:rPr>
          <w:sz w:val="21"/>
        </w:rPr>
      </w:pPr>
      <w:r>
        <w:rPr>
          <w:color w:val="333333"/>
          <w:w w:val="110"/>
          <w:sz w:val="21"/>
        </w:rPr>
        <w:t>An</w:t>
      </w:r>
      <w:r>
        <w:rPr>
          <w:color w:val="333333"/>
          <w:spacing w:val="13"/>
          <w:w w:val="110"/>
          <w:sz w:val="21"/>
        </w:rPr>
        <w:t xml:space="preserve"> </w:t>
      </w:r>
      <w:r>
        <w:rPr>
          <w:rFonts w:ascii="MS Gothic"/>
          <w:color w:val="B02045"/>
          <w:w w:val="110"/>
          <w:sz w:val="21"/>
        </w:rPr>
        <w:t>ApplicationStartingEvent</w:t>
      </w:r>
      <w:r>
        <w:rPr>
          <w:rFonts w:ascii="MS Gothic"/>
          <w:color w:val="B02045"/>
          <w:spacing w:val="-52"/>
          <w:w w:val="110"/>
          <w:sz w:val="21"/>
        </w:rPr>
        <w:t xml:space="preserve"> </w:t>
      </w:r>
      <w:r>
        <w:rPr>
          <w:color w:val="333333"/>
          <w:w w:val="110"/>
          <w:sz w:val="21"/>
        </w:rPr>
        <w:t>is</w:t>
      </w:r>
      <w:r>
        <w:rPr>
          <w:color w:val="333333"/>
          <w:spacing w:val="14"/>
          <w:w w:val="110"/>
          <w:sz w:val="21"/>
        </w:rPr>
        <w:t xml:space="preserve"> </w:t>
      </w:r>
      <w:r>
        <w:rPr>
          <w:color w:val="333333"/>
          <w:w w:val="110"/>
          <w:sz w:val="21"/>
        </w:rPr>
        <w:t>sent</w:t>
      </w:r>
      <w:r>
        <w:rPr>
          <w:color w:val="333333"/>
          <w:spacing w:val="13"/>
          <w:w w:val="110"/>
          <w:sz w:val="21"/>
        </w:rPr>
        <w:t xml:space="preserve"> </w:t>
      </w:r>
      <w:r>
        <w:rPr>
          <w:color w:val="333333"/>
          <w:w w:val="110"/>
          <w:sz w:val="21"/>
        </w:rPr>
        <w:t>at</w:t>
      </w:r>
      <w:r>
        <w:rPr>
          <w:color w:val="333333"/>
          <w:spacing w:val="13"/>
          <w:w w:val="110"/>
          <w:sz w:val="21"/>
        </w:rPr>
        <w:t xml:space="preserve"> </w:t>
      </w:r>
      <w:r>
        <w:rPr>
          <w:color w:val="333333"/>
          <w:w w:val="110"/>
          <w:sz w:val="21"/>
        </w:rPr>
        <w:t>the</w:t>
      </w:r>
      <w:r>
        <w:rPr>
          <w:color w:val="333333"/>
          <w:spacing w:val="13"/>
          <w:w w:val="110"/>
          <w:sz w:val="21"/>
        </w:rPr>
        <w:t xml:space="preserve"> </w:t>
      </w:r>
      <w:r>
        <w:rPr>
          <w:color w:val="333333"/>
          <w:w w:val="110"/>
          <w:sz w:val="21"/>
        </w:rPr>
        <w:t>start</w:t>
      </w:r>
      <w:r>
        <w:rPr>
          <w:color w:val="333333"/>
          <w:spacing w:val="13"/>
          <w:w w:val="110"/>
          <w:sz w:val="21"/>
        </w:rPr>
        <w:t xml:space="preserve"> </w:t>
      </w:r>
      <w:r>
        <w:rPr>
          <w:color w:val="333333"/>
          <w:w w:val="110"/>
          <w:sz w:val="21"/>
        </w:rPr>
        <w:t>of</w:t>
      </w:r>
      <w:r>
        <w:rPr>
          <w:color w:val="333333"/>
          <w:spacing w:val="14"/>
          <w:w w:val="110"/>
          <w:sz w:val="21"/>
        </w:rPr>
        <w:t xml:space="preserve"> </w:t>
      </w:r>
      <w:r>
        <w:rPr>
          <w:color w:val="333333"/>
          <w:w w:val="110"/>
          <w:sz w:val="21"/>
        </w:rPr>
        <w:t>a</w:t>
      </w:r>
      <w:r>
        <w:rPr>
          <w:color w:val="333333"/>
          <w:spacing w:val="12"/>
          <w:w w:val="110"/>
          <w:sz w:val="21"/>
        </w:rPr>
        <w:t xml:space="preserve"> </w:t>
      </w:r>
      <w:r>
        <w:rPr>
          <w:color w:val="333333"/>
          <w:w w:val="110"/>
          <w:sz w:val="21"/>
        </w:rPr>
        <w:t>run</w:t>
      </w:r>
      <w:r>
        <w:rPr>
          <w:color w:val="333333"/>
          <w:spacing w:val="14"/>
          <w:w w:val="110"/>
          <w:sz w:val="21"/>
        </w:rPr>
        <w:t xml:space="preserve"> </w:t>
      </w:r>
      <w:r>
        <w:rPr>
          <w:color w:val="333333"/>
          <w:w w:val="110"/>
          <w:sz w:val="21"/>
        </w:rPr>
        <w:t>but</w:t>
      </w:r>
      <w:r>
        <w:rPr>
          <w:color w:val="333333"/>
          <w:spacing w:val="13"/>
          <w:w w:val="110"/>
          <w:sz w:val="21"/>
        </w:rPr>
        <w:t xml:space="preserve"> </w:t>
      </w:r>
      <w:r>
        <w:rPr>
          <w:color w:val="333333"/>
          <w:w w:val="110"/>
          <w:sz w:val="21"/>
        </w:rPr>
        <w:t>before</w:t>
      </w:r>
      <w:r>
        <w:rPr>
          <w:color w:val="333333"/>
          <w:spacing w:val="13"/>
          <w:w w:val="110"/>
          <w:sz w:val="21"/>
        </w:rPr>
        <w:t xml:space="preserve"> </w:t>
      </w:r>
      <w:r>
        <w:rPr>
          <w:color w:val="333333"/>
          <w:w w:val="110"/>
          <w:sz w:val="21"/>
        </w:rPr>
        <w:t>any</w:t>
      </w:r>
      <w:r>
        <w:rPr>
          <w:color w:val="333333"/>
          <w:spacing w:val="14"/>
          <w:w w:val="110"/>
          <w:sz w:val="21"/>
        </w:rPr>
        <w:t xml:space="preserve"> </w:t>
      </w:r>
      <w:r>
        <w:rPr>
          <w:color w:val="333333"/>
          <w:w w:val="110"/>
          <w:sz w:val="21"/>
        </w:rPr>
        <w:t>processing,</w:t>
      </w:r>
      <w:r>
        <w:rPr>
          <w:color w:val="333333"/>
          <w:spacing w:val="13"/>
          <w:w w:val="110"/>
          <w:sz w:val="21"/>
        </w:rPr>
        <w:t xml:space="preserve"> </w:t>
      </w:r>
      <w:r>
        <w:rPr>
          <w:color w:val="333333"/>
          <w:w w:val="110"/>
          <w:sz w:val="21"/>
        </w:rPr>
        <w:t>except</w:t>
      </w:r>
      <w:r>
        <w:rPr>
          <w:color w:val="333333"/>
          <w:spacing w:val="13"/>
          <w:w w:val="110"/>
          <w:sz w:val="21"/>
        </w:rPr>
        <w:t xml:space="preserve"> </w:t>
      </w:r>
      <w:r>
        <w:rPr>
          <w:color w:val="333333"/>
          <w:w w:val="110"/>
          <w:sz w:val="21"/>
        </w:rPr>
        <w:t>for</w:t>
      </w:r>
    </w:p>
    <w:p w14:paraId="5B39F044" w14:textId="77777777" w:rsidR="00A720EB" w:rsidRDefault="00A720EB">
      <w:pPr>
        <w:rPr>
          <w:sz w:val="21"/>
        </w:rPr>
        <w:sectPr w:rsidR="00A720EB">
          <w:pgSz w:w="11910" w:h="16840"/>
          <w:pgMar w:top="700" w:right="840" w:bottom="520" w:left="840" w:header="0" w:footer="323" w:gutter="0"/>
          <w:cols w:space="720"/>
        </w:sectPr>
      </w:pPr>
    </w:p>
    <w:p w14:paraId="58C339B7" w14:textId="77777777" w:rsidR="00A720EB" w:rsidRDefault="0030286B">
      <w:pPr>
        <w:pStyle w:val="a3"/>
        <w:spacing w:before="107"/>
        <w:ind w:left="484"/>
      </w:pPr>
      <w:r>
        <w:rPr>
          <w:color w:val="333333"/>
          <w:w w:val="110"/>
        </w:rPr>
        <w:lastRenderedPageBreak/>
        <w:t>the registration of listeners and initializers.</w:t>
      </w:r>
    </w:p>
    <w:p w14:paraId="548A1997" w14:textId="77777777" w:rsidR="00A720EB" w:rsidRDefault="0030286B">
      <w:pPr>
        <w:pStyle w:val="a6"/>
        <w:numPr>
          <w:ilvl w:val="3"/>
          <w:numId w:val="68"/>
        </w:numPr>
        <w:tabs>
          <w:tab w:val="left" w:pos="485"/>
        </w:tabs>
        <w:spacing w:before="179" w:line="290" w:lineRule="auto"/>
        <w:ind w:right="125"/>
        <w:rPr>
          <w:sz w:val="21"/>
        </w:rPr>
      </w:pPr>
      <w:r>
        <w:rPr>
          <w:color w:val="333333"/>
          <w:w w:val="110"/>
          <w:sz w:val="21"/>
        </w:rPr>
        <w:t>An</w:t>
      </w:r>
      <w:r>
        <w:rPr>
          <w:color w:val="333333"/>
          <w:spacing w:val="-32"/>
          <w:w w:val="110"/>
          <w:sz w:val="21"/>
        </w:rPr>
        <w:t xml:space="preserve"> </w:t>
      </w:r>
      <w:r>
        <w:rPr>
          <w:rFonts w:ascii="MS Gothic"/>
          <w:color w:val="B02045"/>
          <w:w w:val="110"/>
          <w:sz w:val="21"/>
        </w:rPr>
        <w:t>ApplicationEnvironmentPreparedEvent</w:t>
      </w:r>
      <w:r>
        <w:rPr>
          <w:rFonts w:ascii="MS Gothic"/>
          <w:color w:val="B02045"/>
          <w:spacing w:val="-95"/>
          <w:w w:val="110"/>
          <w:sz w:val="21"/>
        </w:rPr>
        <w:t xml:space="preserve"> </w:t>
      </w:r>
      <w:r>
        <w:rPr>
          <w:color w:val="333333"/>
          <w:w w:val="110"/>
          <w:sz w:val="21"/>
        </w:rPr>
        <w:t>is</w:t>
      </w:r>
      <w:r>
        <w:rPr>
          <w:color w:val="333333"/>
          <w:spacing w:val="-32"/>
          <w:w w:val="110"/>
          <w:sz w:val="21"/>
        </w:rPr>
        <w:t xml:space="preserve"> </w:t>
      </w:r>
      <w:r>
        <w:rPr>
          <w:color w:val="333333"/>
          <w:w w:val="110"/>
          <w:sz w:val="21"/>
        </w:rPr>
        <w:t>sent</w:t>
      </w:r>
      <w:r>
        <w:rPr>
          <w:color w:val="333333"/>
          <w:spacing w:val="-31"/>
          <w:w w:val="110"/>
          <w:sz w:val="21"/>
        </w:rPr>
        <w:t xml:space="preserve"> </w:t>
      </w:r>
      <w:r>
        <w:rPr>
          <w:color w:val="333333"/>
          <w:w w:val="110"/>
          <w:sz w:val="21"/>
        </w:rPr>
        <w:t>when</w:t>
      </w:r>
      <w:r>
        <w:rPr>
          <w:color w:val="333333"/>
          <w:spacing w:val="-31"/>
          <w:w w:val="110"/>
          <w:sz w:val="21"/>
        </w:rPr>
        <w:t xml:space="preserve"> </w:t>
      </w:r>
      <w:r>
        <w:rPr>
          <w:color w:val="333333"/>
          <w:w w:val="110"/>
          <w:sz w:val="21"/>
        </w:rPr>
        <w:t>the</w:t>
      </w:r>
      <w:r>
        <w:rPr>
          <w:color w:val="333333"/>
          <w:spacing w:val="-30"/>
          <w:w w:val="110"/>
          <w:sz w:val="21"/>
        </w:rPr>
        <w:t xml:space="preserve"> </w:t>
      </w:r>
      <w:r>
        <w:rPr>
          <w:rFonts w:ascii="MS Gothic"/>
          <w:color w:val="B02045"/>
          <w:w w:val="110"/>
          <w:sz w:val="21"/>
        </w:rPr>
        <w:t>Environment</w:t>
      </w:r>
      <w:r>
        <w:rPr>
          <w:rFonts w:ascii="MS Gothic"/>
          <w:color w:val="B02045"/>
          <w:spacing w:val="-96"/>
          <w:w w:val="110"/>
          <w:sz w:val="21"/>
        </w:rPr>
        <w:t xml:space="preserve"> </w:t>
      </w:r>
      <w:r>
        <w:rPr>
          <w:color w:val="333333"/>
          <w:w w:val="110"/>
          <w:sz w:val="21"/>
        </w:rPr>
        <w:t>to</w:t>
      </w:r>
      <w:r>
        <w:rPr>
          <w:color w:val="333333"/>
          <w:spacing w:val="-31"/>
          <w:w w:val="110"/>
          <w:sz w:val="21"/>
        </w:rPr>
        <w:t xml:space="preserve"> </w:t>
      </w:r>
      <w:r>
        <w:rPr>
          <w:color w:val="333333"/>
          <w:w w:val="110"/>
          <w:sz w:val="21"/>
        </w:rPr>
        <w:t>be</w:t>
      </w:r>
      <w:r>
        <w:rPr>
          <w:color w:val="333333"/>
          <w:spacing w:val="-31"/>
          <w:w w:val="110"/>
          <w:sz w:val="21"/>
        </w:rPr>
        <w:t xml:space="preserve"> </w:t>
      </w:r>
      <w:r>
        <w:rPr>
          <w:color w:val="333333"/>
          <w:w w:val="110"/>
          <w:sz w:val="21"/>
        </w:rPr>
        <w:t>used</w:t>
      </w:r>
      <w:r>
        <w:rPr>
          <w:color w:val="333333"/>
          <w:spacing w:val="-31"/>
          <w:w w:val="110"/>
          <w:sz w:val="21"/>
        </w:rPr>
        <w:t xml:space="preserve"> </w:t>
      </w:r>
      <w:r>
        <w:rPr>
          <w:color w:val="333333"/>
          <w:w w:val="110"/>
          <w:sz w:val="21"/>
        </w:rPr>
        <w:t>in</w:t>
      </w:r>
      <w:r>
        <w:rPr>
          <w:color w:val="333333"/>
          <w:spacing w:val="-32"/>
          <w:w w:val="110"/>
          <w:sz w:val="21"/>
        </w:rPr>
        <w:t xml:space="preserve"> </w:t>
      </w:r>
      <w:r>
        <w:rPr>
          <w:color w:val="333333"/>
          <w:w w:val="110"/>
          <w:sz w:val="21"/>
        </w:rPr>
        <w:t>the</w:t>
      </w:r>
      <w:r>
        <w:rPr>
          <w:color w:val="333333"/>
          <w:spacing w:val="-31"/>
          <w:w w:val="110"/>
          <w:sz w:val="21"/>
        </w:rPr>
        <w:t xml:space="preserve"> </w:t>
      </w:r>
      <w:r>
        <w:rPr>
          <w:color w:val="333333"/>
          <w:w w:val="110"/>
          <w:sz w:val="21"/>
        </w:rPr>
        <w:t>context</w:t>
      </w:r>
      <w:r>
        <w:rPr>
          <w:color w:val="333333"/>
          <w:spacing w:val="-31"/>
          <w:w w:val="110"/>
          <w:sz w:val="21"/>
        </w:rPr>
        <w:t xml:space="preserve"> </w:t>
      </w:r>
      <w:r>
        <w:rPr>
          <w:color w:val="333333"/>
          <w:w w:val="110"/>
          <w:sz w:val="21"/>
        </w:rPr>
        <w:t>is known but before the context is</w:t>
      </w:r>
      <w:r>
        <w:rPr>
          <w:color w:val="333333"/>
          <w:spacing w:val="17"/>
          <w:w w:val="110"/>
          <w:sz w:val="21"/>
        </w:rPr>
        <w:t xml:space="preserve"> </w:t>
      </w:r>
      <w:r>
        <w:rPr>
          <w:color w:val="333333"/>
          <w:w w:val="110"/>
          <w:sz w:val="21"/>
        </w:rPr>
        <w:t>created.</w:t>
      </w:r>
    </w:p>
    <w:p w14:paraId="51049636" w14:textId="77777777" w:rsidR="00A720EB" w:rsidRDefault="0030286B">
      <w:pPr>
        <w:pStyle w:val="a6"/>
        <w:numPr>
          <w:ilvl w:val="3"/>
          <w:numId w:val="68"/>
        </w:numPr>
        <w:tabs>
          <w:tab w:val="left" w:pos="485"/>
        </w:tabs>
        <w:spacing w:before="127" w:line="290" w:lineRule="auto"/>
        <w:ind w:right="125"/>
        <w:rPr>
          <w:sz w:val="21"/>
        </w:rPr>
      </w:pPr>
      <w:r>
        <w:rPr>
          <w:color w:val="333333"/>
          <w:w w:val="110"/>
          <w:sz w:val="21"/>
        </w:rPr>
        <w:t>An</w:t>
      </w:r>
      <w:r>
        <w:rPr>
          <w:color w:val="333333"/>
          <w:spacing w:val="-3"/>
          <w:w w:val="110"/>
          <w:sz w:val="21"/>
        </w:rPr>
        <w:t xml:space="preserve"> </w:t>
      </w:r>
      <w:r>
        <w:rPr>
          <w:rFonts w:ascii="MS Gothic"/>
          <w:color w:val="B02045"/>
          <w:w w:val="110"/>
          <w:sz w:val="21"/>
        </w:rPr>
        <w:t>ApplicationContextInitializedEvent</w:t>
      </w:r>
      <w:r>
        <w:rPr>
          <w:rFonts w:ascii="MS Gothic"/>
          <w:color w:val="B02045"/>
          <w:spacing w:val="-68"/>
          <w:w w:val="110"/>
          <w:sz w:val="21"/>
        </w:rPr>
        <w:t xml:space="preserve"> </w:t>
      </w:r>
      <w:r>
        <w:rPr>
          <w:color w:val="333333"/>
          <w:w w:val="110"/>
          <w:sz w:val="21"/>
        </w:rPr>
        <w:t>is</w:t>
      </w:r>
      <w:r>
        <w:rPr>
          <w:color w:val="333333"/>
          <w:spacing w:val="-3"/>
          <w:w w:val="110"/>
          <w:sz w:val="21"/>
        </w:rPr>
        <w:t xml:space="preserve"> </w:t>
      </w:r>
      <w:r>
        <w:rPr>
          <w:color w:val="333333"/>
          <w:w w:val="110"/>
          <w:sz w:val="21"/>
        </w:rPr>
        <w:t>sent</w:t>
      </w:r>
      <w:r>
        <w:rPr>
          <w:color w:val="333333"/>
          <w:spacing w:val="-2"/>
          <w:w w:val="110"/>
          <w:sz w:val="21"/>
        </w:rPr>
        <w:t xml:space="preserve"> </w:t>
      </w:r>
      <w:r>
        <w:rPr>
          <w:color w:val="333333"/>
          <w:w w:val="110"/>
          <w:sz w:val="21"/>
        </w:rPr>
        <w:t>when</w:t>
      </w:r>
      <w:r>
        <w:rPr>
          <w:color w:val="333333"/>
          <w:spacing w:val="-4"/>
          <w:w w:val="110"/>
          <w:sz w:val="21"/>
        </w:rPr>
        <w:t xml:space="preserve"> </w:t>
      </w:r>
      <w:r>
        <w:rPr>
          <w:color w:val="333333"/>
          <w:w w:val="110"/>
          <w:sz w:val="21"/>
        </w:rPr>
        <w:t>the</w:t>
      </w:r>
      <w:r>
        <w:rPr>
          <w:color w:val="333333"/>
          <w:spacing w:val="-2"/>
          <w:w w:val="110"/>
          <w:sz w:val="21"/>
        </w:rPr>
        <w:t xml:space="preserve"> </w:t>
      </w:r>
      <w:r>
        <w:rPr>
          <w:rFonts w:ascii="MS Gothic"/>
          <w:color w:val="B02045"/>
          <w:w w:val="110"/>
          <w:sz w:val="21"/>
        </w:rPr>
        <w:t>ApplicationContext</w:t>
      </w:r>
      <w:r>
        <w:rPr>
          <w:rFonts w:ascii="MS Gothic"/>
          <w:color w:val="B02045"/>
          <w:spacing w:val="-67"/>
          <w:w w:val="110"/>
          <w:sz w:val="21"/>
        </w:rPr>
        <w:t xml:space="preserve"> </w:t>
      </w:r>
      <w:r>
        <w:rPr>
          <w:color w:val="333333"/>
          <w:w w:val="110"/>
          <w:sz w:val="21"/>
        </w:rPr>
        <w:t>is</w:t>
      </w:r>
      <w:r>
        <w:rPr>
          <w:color w:val="333333"/>
          <w:spacing w:val="-3"/>
          <w:w w:val="110"/>
          <w:sz w:val="21"/>
        </w:rPr>
        <w:t xml:space="preserve"> </w:t>
      </w:r>
      <w:r>
        <w:rPr>
          <w:color w:val="333333"/>
          <w:w w:val="110"/>
          <w:sz w:val="21"/>
        </w:rPr>
        <w:t>prepared</w:t>
      </w:r>
      <w:r>
        <w:rPr>
          <w:color w:val="333333"/>
          <w:spacing w:val="-3"/>
          <w:w w:val="110"/>
          <w:sz w:val="21"/>
        </w:rPr>
        <w:t xml:space="preserve"> </w:t>
      </w:r>
      <w:r>
        <w:rPr>
          <w:color w:val="333333"/>
          <w:w w:val="110"/>
          <w:sz w:val="21"/>
        </w:rPr>
        <w:t>and ApplicationContextInitializers</w:t>
      </w:r>
      <w:r>
        <w:rPr>
          <w:color w:val="333333"/>
          <w:spacing w:val="7"/>
          <w:w w:val="110"/>
          <w:sz w:val="21"/>
        </w:rPr>
        <w:t xml:space="preserve"> </w:t>
      </w:r>
      <w:r>
        <w:rPr>
          <w:color w:val="333333"/>
          <w:w w:val="110"/>
          <w:sz w:val="21"/>
        </w:rPr>
        <w:t>have</w:t>
      </w:r>
      <w:r>
        <w:rPr>
          <w:color w:val="333333"/>
          <w:spacing w:val="7"/>
          <w:w w:val="110"/>
          <w:sz w:val="21"/>
        </w:rPr>
        <w:t xml:space="preserve"> </w:t>
      </w:r>
      <w:r>
        <w:rPr>
          <w:color w:val="333333"/>
          <w:w w:val="110"/>
          <w:sz w:val="21"/>
        </w:rPr>
        <w:t>been</w:t>
      </w:r>
      <w:r>
        <w:rPr>
          <w:color w:val="333333"/>
          <w:spacing w:val="7"/>
          <w:w w:val="110"/>
          <w:sz w:val="21"/>
        </w:rPr>
        <w:t xml:space="preserve"> </w:t>
      </w:r>
      <w:r>
        <w:rPr>
          <w:color w:val="333333"/>
          <w:w w:val="110"/>
          <w:sz w:val="21"/>
        </w:rPr>
        <w:t>called</w:t>
      </w:r>
      <w:r>
        <w:rPr>
          <w:color w:val="333333"/>
          <w:spacing w:val="8"/>
          <w:w w:val="110"/>
          <w:sz w:val="21"/>
        </w:rPr>
        <w:t xml:space="preserve"> </w:t>
      </w:r>
      <w:r>
        <w:rPr>
          <w:color w:val="333333"/>
          <w:w w:val="110"/>
          <w:sz w:val="21"/>
        </w:rPr>
        <w:t>but</w:t>
      </w:r>
      <w:r>
        <w:rPr>
          <w:color w:val="333333"/>
          <w:spacing w:val="7"/>
          <w:w w:val="110"/>
          <w:sz w:val="21"/>
        </w:rPr>
        <w:t xml:space="preserve"> </w:t>
      </w:r>
      <w:r>
        <w:rPr>
          <w:color w:val="333333"/>
          <w:w w:val="110"/>
          <w:sz w:val="21"/>
        </w:rPr>
        <w:t>before</w:t>
      </w:r>
      <w:r>
        <w:rPr>
          <w:color w:val="333333"/>
          <w:spacing w:val="7"/>
          <w:w w:val="110"/>
          <w:sz w:val="21"/>
        </w:rPr>
        <w:t xml:space="preserve"> </w:t>
      </w:r>
      <w:r>
        <w:rPr>
          <w:color w:val="333333"/>
          <w:w w:val="110"/>
          <w:sz w:val="21"/>
        </w:rPr>
        <w:t>any</w:t>
      </w:r>
      <w:r>
        <w:rPr>
          <w:color w:val="333333"/>
          <w:spacing w:val="7"/>
          <w:w w:val="110"/>
          <w:sz w:val="21"/>
        </w:rPr>
        <w:t xml:space="preserve"> </w:t>
      </w:r>
      <w:r>
        <w:rPr>
          <w:color w:val="333333"/>
          <w:w w:val="110"/>
          <w:sz w:val="21"/>
        </w:rPr>
        <w:t>bean</w:t>
      </w:r>
      <w:r>
        <w:rPr>
          <w:color w:val="333333"/>
          <w:spacing w:val="7"/>
          <w:w w:val="110"/>
          <w:sz w:val="21"/>
        </w:rPr>
        <w:t xml:space="preserve"> </w:t>
      </w:r>
      <w:r>
        <w:rPr>
          <w:color w:val="333333"/>
          <w:w w:val="110"/>
          <w:sz w:val="21"/>
        </w:rPr>
        <w:t>definitions</w:t>
      </w:r>
      <w:r>
        <w:rPr>
          <w:color w:val="333333"/>
          <w:spacing w:val="7"/>
          <w:w w:val="110"/>
          <w:sz w:val="21"/>
        </w:rPr>
        <w:t xml:space="preserve"> </w:t>
      </w:r>
      <w:r>
        <w:rPr>
          <w:color w:val="333333"/>
          <w:w w:val="110"/>
          <w:sz w:val="21"/>
        </w:rPr>
        <w:t>are</w:t>
      </w:r>
      <w:r>
        <w:rPr>
          <w:color w:val="333333"/>
          <w:spacing w:val="6"/>
          <w:w w:val="110"/>
          <w:sz w:val="21"/>
        </w:rPr>
        <w:t xml:space="preserve"> </w:t>
      </w:r>
      <w:r>
        <w:rPr>
          <w:color w:val="333333"/>
          <w:w w:val="110"/>
          <w:sz w:val="21"/>
        </w:rPr>
        <w:t>loaded.</w:t>
      </w:r>
    </w:p>
    <w:p w14:paraId="38038616" w14:textId="77777777" w:rsidR="00A720EB" w:rsidRDefault="0030286B">
      <w:pPr>
        <w:pStyle w:val="a6"/>
        <w:numPr>
          <w:ilvl w:val="3"/>
          <w:numId w:val="68"/>
        </w:numPr>
        <w:tabs>
          <w:tab w:val="left" w:pos="485"/>
        </w:tabs>
        <w:spacing w:before="128" w:line="290" w:lineRule="auto"/>
        <w:ind w:right="130"/>
        <w:rPr>
          <w:sz w:val="21"/>
        </w:rPr>
      </w:pPr>
      <w:r>
        <w:rPr>
          <w:color w:val="333333"/>
          <w:w w:val="110"/>
          <w:sz w:val="21"/>
        </w:rPr>
        <w:t xml:space="preserve">An </w:t>
      </w:r>
      <w:r>
        <w:rPr>
          <w:rFonts w:ascii="MS Gothic"/>
          <w:color w:val="B02045"/>
          <w:w w:val="110"/>
          <w:sz w:val="21"/>
        </w:rPr>
        <w:t xml:space="preserve">ApplicationPreparedEvent </w:t>
      </w:r>
      <w:r>
        <w:rPr>
          <w:color w:val="333333"/>
          <w:w w:val="110"/>
          <w:sz w:val="21"/>
        </w:rPr>
        <w:t>is sent just before the refresh is started but after bean definitions have been</w:t>
      </w:r>
      <w:r>
        <w:rPr>
          <w:color w:val="333333"/>
          <w:spacing w:val="5"/>
          <w:w w:val="110"/>
          <w:sz w:val="21"/>
        </w:rPr>
        <w:t xml:space="preserve"> </w:t>
      </w:r>
      <w:r>
        <w:rPr>
          <w:color w:val="333333"/>
          <w:w w:val="110"/>
          <w:sz w:val="21"/>
        </w:rPr>
        <w:t>loaded.</w:t>
      </w:r>
    </w:p>
    <w:p w14:paraId="7A3BC61E" w14:textId="77777777" w:rsidR="00A720EB" w:rsidRDefault="0030286B">
      <w:pPr>
        <w:pStyle w:val="a6"/>
        <w:numPr>
          <w:ilvl w:val="3"/>
          <w:numId w:val="68"/>
        </w:numPr>
        <w:tabs>
          <w:tab w:val="left" w:pos="485"/>
        </w:tabs>
        <w:spacing w:before="128" w:line="290" w:lineRule="auto"/>
        <w:ind w:right="129"/>
        <w:rPr>
          <w:sz w:val="21"/>
        </w:rPr>
      </w:pPr>
      <w:r>
        <w:rPr>
          <w:color w:val="333333"/>
          <w:w w:val="110"/>
          <w:sz w:val="21"/>
        </w:rPr>
        <w:t xml:space="preserve">An </w:t>
      </w:r>
      <w:r>
        <w:rPr>
          <w:rFonts w:ascii="MS Gothic"/>
          <w:color w:val="B02045"/>
          <w:w w:val="110"/>
          <w:sz w:val="21"/>
        </w:rPr>
        <w:t xml:space="preserve">ApplicationStartedEvent </w:t>
      </w:r>
      <w:r>
        <w:rPr>
          <w:color w:val="333333"/>
          <w:w w:val="110"/>
          <w:sz w:val="21"/>
        </w:rPr>
        <w:t>is sent after the context has been refreshed but before any application and command-line runners have been</w:t>
      </w:r>
      <w:r>
        <w:rPr>
          <w:color w:val="333333"/>
          <w:spacing w:val="22"/>
          <w:w w:val="110"/>
          <w:sz w:val="21"/>
        </w:rPr>
        <w:t xml:space="preserve"> </w:t>
      </w:r>
      <w:r>
        <w:rPr>
          <w:color w:val="333333"/>
          <w:w w:val="110"/>
          <w:sz w:val="21"/>
        </w:rPr>
        <w:t>called.</w:t>
      </w:r>
    </w:p>
    <w:p w14:paraId="622C5BB7" w14:textId="77777777" w:rsidR="00A720EB" w:rsidRDefault="0030286B">
      <w:pPr>
        <w:pStyle w:val="a6"/>
        <w:numPr>
          <w:ilvl w:val="3"/>
          <w:numId w:val="68"/>
        </w:numPr>
        <w:tabs>
          <w:tab w:val="left" w:pos="485"/>
        </w:tabs>
        <w:spacing w:before="128" w:line="290" w:lineRule="auto"/>
        <w:ind w:right="124"/>
        <w:rPr>
          <w:sz w:val="21"/>
        </w:rPr>
      </w:pPr>
      <w:r>
        <w:rPr>
          <w:color w:val="333333"/>
          <w:w w:val="110"/>
          <w:sz w:val="21"/>
        </w:rPr>
        <w:t>An</w:t>
      </w:r>
      <w:r>
        <w:rPr>
          <w:color w:val="333333"/>
          <w:spacing w:val="-1"/>
          <w:w w:val="110"/>
          <w:sz w:val="21"/>
        </w:rPr>
        <w:t xml:space="preserve"> </w:t>
      </w:r>
      <w:r>
        <w:rPr>
          <w:rFonts w:ascii="MS Gothic"/>
          <w:color w:val="B02045"/>
          <w:w w:val="110"/>
          <w:sz w:val="21"/>
        </w:rPr>
        <w:t>AvailabilityChangeEvent</w:t>
      </w:r>
      <w:r>
        <w:rPr>
          <w:rFonts w:ascii="MS Gothic"/>
          <w:color w:val="B02045"/>
          <w:spacing w:val="-64"/>
          <w:w w:val="110"/>
          <w:sz w:val="21"/>
        </w:rPr>
        <w:t xml:space="preserve"> </w:t>
      </w:r>
      <w:r>
        <w:rPr>
          <w:color w:val="333333"/>
          <w:w w:val="110"/>
          <w:sz w:val="21"/>
        </w:rPr>
        <w:t>is</w:t>
      </w:r>
      <w:r>
        <w:rPr>
          <w:color w:val="333333"/>
          <w:spacing w:val="-1"/>
          <w:w w:val="110"/>
          <w:sz w:val="21"/>
        </w:rPr>
        <w:t xml:space="preserve"> </w:t>
      </w:r>
      <w:r>
        <w:rPr>
          <w:color w:val="333333"/>
          <w:w w:val="110"/>
          <w:sz w:val="21"/>
        </w:rPr>
        <w:t>sent right after with</w:t>
      </w:r>
      <w:r>
        <w:rPr>
          <w:color w:val="333333"/>
          <w:spacing w:val="1"/>
          <w:w w:val="110"/>
          <w:sz w:val="21"/>
        </w:rPr>
        <w:t xml:space="preserve"> </w:t>
      </w:r>
      <w:r>
        <w:rPr>
          <w:rFonts w:ascii="MS Gothic"/>
          <w:color w:val="B02045"/>
          <w:w w:val="110"/>
          <w:sz w:val="21"/>
        </w:rPr>
        <w:t>LivenessState.CORRECT</w:t>
      </w:r>
      <w:r>
        <w:rPr>
          <w:rFonts w:ascii="MS Gothic"/>
          <w:color w:val="B02045"/>
          <w:spacing w:val="-64"/>
          <w:w w:val="110"/>
          <w:sz w:val="21"/>
        </w:rPr>
        <w:t xml:space="preserve"> </w:t>
      </w:r>
      <w:r>
        <w:rPr>
          <w:color w:val="333333"/>
          <w:w w:val="110"/>
          <w:sz w:val="21"/>
        </w:rPr>
        <w:t>to</w:t>
      </w:r>
      <w:r>
        <w:rPr>
          <w:color w:val="333333"/>
          <w:spacing w:val="-1"/>
          <w:w w:val="110"/>
          <w:sz w:val="21"/>
        </w:rPr>
        <w:t xml:space="preserve"> </w:t>
      </w:r>
      <w:r>
        <w:rPr>
          <w:color w:val="333333"/>
          <w:w w:val="110"/>
          <w:sz w:val="21"/>
        </w:rPr>
        <w:t>indicate that the application is considered as</w:t>
      </w:r>
      <w:r>
        <w:rPr>
          <w:color w:val="333333"/>
          <w:spacing w:val="11"/>
          <w:w w:val="110"/>
          <w:sz w:val="21"/>
        </w:rPr>
        <w:t xml:space="preserve"> </w:t>
      </w:r>
      <w:r>
        <w:rPr>
          <w:color w:val="333333"/>
          <w:w w:val="110"/>
          <w:sz w:val="21"/>
        </w:rPr>
        <w:t>live.</w:t>
      </w:r>
    </w:p>
    <w:p w14:paraId="5AC76E32" w14:textId="77777777" w:rsidR="00A720EB" w:rsidRDefault="0030286B">
      <w:pPr>
        <w:pStyle w:val="a6"/>
        <w:numPr>
          <w:ilvl w:val="3"/>
          <w:numId w:val="68"/>
        </w:numPr>
        <w:tabs>
          <w:tab w:val="left" w:pos="485"/>
        </w:tabs>
        <w:spacing w:before="127" w:line="290" w:lineRule="auto"/>
        <w:ind w:right="124"/>
        <w:rPr>
          <w:sz w:val="21"/>
        </w:rPr>
      </w:pPr>
      <w:r>
        <w:rPr>
          <w:color w:val="333333"/>
          <w:w w:val="110"/>
          <w:sz w:val="21"/>
        </w:rPr>
        <w:t xml:space="preserve">An </w:t>
      </w:r>
      <w:r>
        <w:rPr>
          <w:rFonts w:ascii="MS Gothic"/>
          <w:color w:val="B02045"/>
          <w:w w:val="110"/>
          <w:sz w:val="21"/>
        </w:rPr>
        <w:t xml:space="preserve">ApplicationReadyEvent </w:t>
      </w:r>
      <w:r>
        <w:rPr>
          <w:color w:val="333333"/>
          <w:w w:val="110"/>
          <w:sz w:val="21"/>
        </w:rPr>
        <w:t xml:space="preserve">is sent after any </w:t>
      </w:r>
      <w:hyperlink w:anchor="_bookmark98" w:history="1">
        <w:r>
          <w:rPr>
            <w:color w:val="418BCA"/>
            <w:w w:val="110"/>
            <w:sz w:val="21"/>
          </w:rPr>
          <w:t>application and command-line runners</w:t>
        </w:r>
      </w:hyperlink>
      <w:r>
        <w:rPr>
          <w:color w:val="418BCA"/>
          <w:w w:val="110"/>
          <w:sz w:val="21"/>
        </w:rPr>
        <w:t xml:space="preserve"> </w:t>
      </w:r>
      <w:r>
        <w:rPr>
          <w:color w:val="333333"/>
          <w:w w:val="110"/>
          <w:sz w:val="21"/>
        </w:rPr>
        <w:t>have been called.</w:t>
      </w:r>
    </w:p>
    <w:p w14:paraId="2FDB5187" w14:textId="77777777" w:rsidR="00A720EB" w:rsidRDefault="0030286B">
      <w:pPr>
        <w:pStyle w:val="a6"/>
        <w:numPr>
          <w:ilvl w:val="3"/>
          <w:numId w:val="68"/>
        </w:numPr>
        <w:tabs>
          <w:tab w:val="left" w:pos="485"/>
        </w:tabs>
        <w:spacing w:before="128" w:line="290" w:lineRule="auto"/>
        <w:ind w:right="123"/>
        <w:rPr>
          <w:sz w:val="21"/>
        </w:rPr>
      </w:pPr>
      <w:r>
        <w:rPr>
          <w:color w:val="333333"/>
          <w:w w:val="105"/>
          <w:sz w:val="21"/>
        </w:rPr>
        <w:t>An</w:t>
      </w:r>
      <w:r>
        <w:rPr>
          <w:color w:val="333333"/>
          <w:spacing w:val="-1"/>
          <w:w w:val="105"/>
          <w:sz w:val="21"/>
        </w:rPr>
        <w:t xml:space="preserve"> </w:t>
      </w:r>
      <w:r>
        <w:rPr>
          <w:rFonts w:ascii="MS Gothic"/>
          <w:color w:val="B02045"/>
          <w:w w:val="105"/>
          <w:sz w:val="21"/>
        </w:rPr>
        <w:t>AvailabilityChangeEvent</w:t>
      </w:r>
      <w:r>
        <w:rPr>
          <w:rFonts w:ascii="MS Gothic"/>
          <w:color w:val="B02045"/>
          <w:spacing w:val="-62"/>
          <w:w w:val="105"/>
          <w:sz w:val="21"/>
        </w:rPr>
        <w:t xml:space="preserve"> </w:t>
      </w:r>
      <w:r>
        <w:rPr>
          <w:color w:val="333333"/>
          <w:w w:val="105"/>
          <w:sz w:val="21"/>
        </w:rPr>
        <w:t>is sent right</w:t>
      </w:r>
      <w:r>
        <w:rPr>
          <w:color w:val="333333"/>
          <w:spacing w:val="-1"/>
          <w:w w:val="105"/>
          <w:sz w:val="21"/>
        </w:rPr>
        <w:t xml:space="preserve"> </w:t>
      </w:r>
      <w:r>
        <w:rPr>
          <w:color w:val="333333"/>
          <w:w w:val="105"/>
          <w:sz w:val="21"/>
        </w:rPr>
        <w:t>after with</w:t>
      </w:r>
      <w:r>
        <w:rPr>
          <w:color w:val="333333"/>
          <w:spacing w:val="2"/>
          <w:w w:val="105"/>
          <w:sz w:val="21"/>
        </w:rPr>
        <w:t xml:space="preserve"> </w:t>
      </w:r>
      <w:r>
        <w:rPr>
          <w:rFonts w:ascii="MS Gothic"/>
          <w:color w:val="B02045"/>
          <w:w w:val="105"/>
          <w:sz w:val="21"/>
        </w:rPr>
        <w:t>ReadinessState.ACCEPTING_TRAFFIC</w:t>
      </w:r>
      <w:r>
        <w:rPr>
          <w:rFonts w:ascii="MS Gothic"/>
          <w:color w:val="B02045"/>
          <w:spacing w:val="-62"/>
          <w:w w:val="105"/>
          <w:sz w:val="21"/>
        </w:rPr>
        <w:t xml:space="preserve"> </w:t>
      </w:r>
      <w:r>
        <w:rPr>
          <w:color w:val="333333"/>
          <w:w w:val="105"/>
          <w:sz w:val="21"/>
        </w:rPr>
        <w:t xml:space="preserve">to indicate </w:t>
      </w:r>
      <w:r>
        <w:rPr>
          <w:color w:val="333333"/>
          <w:w w:val="110"/>
          <w:sz w:val="21"/>
        </w:rPr>
        <w:t>that the application is ready to service</w:t>
      </w:r>
      <w:r>
        <w:rPr>
          <w:color w:val="333333"/>
          <w:spacing w:val="22"/>
          <w:w w:val="110"/>
          <w:sz w:val="21"/>
        </w:rPr>
        <w:t xml:space="preserve"> </w:t>
      </w:r>
      <w:r>
        <w:rPr>
          <w:color w:val="333333"/>
          <w:w w:val="110"/>
          <w:sz w:val="21"/>
        </w:rPr>
        <w:t>requests.</w:t>
      </w:r>
    </w:p>
    <w:p w14:paraId="0BD367F6" w14:textId="77777777" w:rsidR="00A720EB" w:rsidRDefault="0030286B">
      <w:pPr>
        <w:pStyle w:val="a6"/>
        <w:numPr>
          <w:ilvl w:val="3"/>
          <w:numId w:val="68"/>
        </w:numPr>
        <w:tabs>
          <w:tab w:val="left" w:pos="485"/>
        </w:tabs>
        <w:spacing w:before="128"/>
        <w:rPr>
          <w:sz w:val="21"/>
        </w:rPr>
      </w:pPr>
      <w:r>
        <w:rPr>
          <w:color w:val="333333"/>
          <w:w w:val="110"/>
          <w:sz w:val="21"/>
        </w:rPr>
        <w:t xml:space="preserve">An </w:t>
      </w:r>
      <w:r>
        <w:rPr>
          <w:rFonts w:ascii="MS Gothic"/>
          <w:color w:val="B02045"/>
          <w:w w:val="110"/>
          <w:sz w:val="21"/>
        </w:rPr>
        <w:t>ApplicationFailedEvent</w:t>
      </w:r>
      <w:r>
        <w:rPr>
          <w:rFonts w:ascii="MS Gothic"/>
          <w:color w:val="B02045"/>
          <w:spacing w:val="-66"/>
          <w:w w:val="110"/>
          <w:sz w:val="21"/>
        </w:rPr>
        <w:t xml:space="preserve"> </w:t>
      </w:r>
      <w:r>
        <w:rPr>
          <w:color w:val="333333"/>
          <w:w w:val="110"/>
          <w:sz w:val="21"/>
        </w:rPr>
        <w:t>is sent if there is an exception on startup.</w:t>
      </w:r>
    </w:p>
    <w:p w14:paraId="4847F985" w14:textId="77777777" w:rsidR="00A720EB" w:rsidRDefault="00A720EB">
      <w:pPr>
        <w:pStyle w:val="a3"/>
        <w:spacing w:before="5"/>
        <w:rPr>
          <w:sz w:val="24"/>
        </w:rPr>
      </w:pPr>
    </w:p>
    <w:p w14:paraId="0C3C4327" w14:textId="77777777" w:rsidR="00A720EB" w:rsidRDefault="0030286B">
      <w:pPr>
        <w:pStyle w:val="a3"/>
        <w:spacing w:line="280" w:lineRule="auto"/>
        <w:ind w:left="124" w:right="122"/>
        <w:jc w:val="both"/>
      </w:pPr>
      <w:r>
        <w:rPr>
          <w:color w:val="333333"/>
          <w:w w:val="110"/>
        </w:rPr>
        <w:t xml:space="preserve">The above list only includes </w:t>
      </w:r>
      <w:r>
        <w:rPr>
          <w:rFonts w:ascii="MS Gothic"/>
          <w:color w:val="B02045"/>
          <w:w w:val="110"/>
        </w:rPr>
        <w:t>SpringApplicationEvent</w:t>
      </w:r>
      <w:r>
        <w:rPr>
          <w:color w:val="333333"/>
          <w:w w:val="110"/>
        </w:rPr>
        <w:t xml:space="preserve">s that are tied to a </w:t>
      </w:r>
      <w:r>
        <w:rPr>
          <w:rFonts w:ascii="MS Gothic"/>
          <w:color w:val="B02045"/>
          <w:w w:val="110"/>
        </w:rPr>
        <w:t>SpringApplication</w:t>
      </w:r>
      <w:r>
        <w:rPr>
          <w:color w:val="333333"/>
          <w:w w:val="110"/>
        </w:rPr>
        <w:t>. In addition</w:t>
      </w:r>
      <w:r>
        <w:rPr>
          <w:color w:val="333333"/>
          <w:spacing w:val="-10"/>
          <w:w w:val="110"/>
        </w:rPr>
        <w:t xml:space="preserve"> </w:t>
      </w:r>
      <w:r>
        <w:rPr>
          <w:color w:val="333333"/>
          <w:w w:val="110"/>
        </w:rPr>
        <w:t>to</w:t>
      </w:r>
      <w:r>
        <w:rPr>
          <w:color w:val="333333"/>
          <w:spacing w:val="-10"/>
          <w:w w:val="110"/>
        </w:rPr>
        <w:t xml:space="preserve"> </w:t>
      </w:r>
      <w:r>
        <w:rPr>
          <w:color w:val="333333"/>
          <w:w w:val="110"/>
        </w:rPr>
        <w:t>these,</w:t>
      </w:r>
      <w:r>
        <w:rPr>
          <w:color w:val="333333"/>
          <w:spacing w:val="-9"/>
          <w:w w:val="110"/>
        </w:rPr>
        <w:t xml:space="preserve"> </w:t>
      </w:r>
      <w:r>
        <w:rPr>
          <w:color w:val="333333"/>
          <w:w w:val="110"/>
        </w:rPr>
        <w:t>the</w:t>
      </w:r>
      <w:r>
        <w:rPr>
          <w:color w:val="333333"/>
          <w:spacing w:val="-10"/>
          <w:w w:val="110"/>
        </w:rPr>
        <w:t xml:space="preserve"> </w:t>
      </w:r>
      <w:r>
        <w:rPr>
          <w:color w:val="333333"/>
          <w:w w:val="110"/>
        </w:rPr>
        <w:t>following</w:t>
      </w:r>
      <w:r>
        <w:rPr>
          <w:color w:val="333333"/>
          <w:spacing w:val="-10"/>
          <w:w w:val="110"/>
        </w:rPr>
        <w:t xml:space="preserve"> </w:t>
      </w:r>
      <w:r>
        <w:rPr>
          <w:color w:val="333333"/>
          <w:w w:val="110"/>
        </w:rPr>
        <w:t>events</w:t>
      </w:r>
      <w:r>
        <w:rPr>
          <w:color w:val="333333"/>
          <w:spacing w:val="-9"/>
          <w:w w:val="110"/>
        </w:rPr>
        <w:t xml:space="preserve"> </w:t>
      </w:r>
      <w:r>
        <w:rPr>
          <w:color w:val="333333"/>
          <w:w w:val="110"/>
        </w:rPr>
        <w:t>are</w:t>
      </w:r>
      <w:r>
        <w:rPr>
          <w:color w:val="333333"/>
          <w:spacing w:val="-10"/>
          <w:w w:val="110"/>
        </w:rPr>
        <w:t xml:space="preserve"> </w:t>
      </w:r>
      <w:r>
        <w:rPr>
          <w:color w:val="333333"/>
          <w:w w:val="110"/>
        </w:rPr>
        <w:t>also</w:t>
      </w:r>
      <w:r>
        <w:rPr>
          <w:color w:val="333333"/>
          <w:spacing w:val="-9"/>
          <w:w w:val="110"/>
        </w:rPr>
        <w:t xml:space="preserve"> </w:t>
      </w:r>
      <w:r>
        <w:rPr>
          <w:color w:val="333333"/>
          <w:w w:val="110"/>
        </w:rPr>
        <w:t>published</w:t>
      </w:r>
      <w:r>
        <w:rPr>
          <w:color w:val="333333"/>
          <w:spacing w:val="-10"/>
          <w:w w:val="110"/>
        </w:rPr>
        <w:t xml:space="preserve"> </w:t>
      </w:r>
      <w:r>
        <w:rPr>
          <w:color w:val="333333"/>
          <w:w w:val="110"/>
        </w:rPr>
        <w:t>after</w:t>
      </w:r>
      <w:r>
        <w:rPr>
          <w:color w:val="333333"/>
          <w:spacing w:val="-4"/>
          <w:w w:val="110"/>
        </w:rPr>
        <w:t xml:space="preserve"> </w:t>
      </w:r>
      <w:r>
        <w:rPr>
          <w:rFonts w:ascii="MS Gothic"/>
          <w:color w:val="B02045"/>
          <w:w w:val="110"/>
        </w:rPr>
        <w:t>ApplicationPreparedEvent</w:t>
      </w:r>
      <w:r>
        <w:rPr>
          <w:rFonts w:ascii="MS Gothic"/>
          <w:color w:val="B02045"/>
          <w:spacing w:val="-74"/>
          <w:w w:val="110"/>
        </w:rPr>
        <w:t xml:space="preserve"> </w:t>
      </w:r>
      <w:r>
        <w:rPr>
          <w:color w:val="333333"/>
          <w:w w:val="110"/>
        </w:rPr>
        <w:t>and</w:t>
      </w:r>
      <w:r>
        <w:rPr>
          <w:color w:val="333333"/>
          <w:spacing w:val="-10"/>
          <w:w w:val="110"/>
        </w:rPr>
        <w:t xml:space="preserve"> </w:t>
      </w:r>
      <w:r>
        <w:rPr>
          <w:color w:val="333333"/>
          <w:w w:val="110"/>
        </w:rPr>
        <w:t xml:space="preserve">before </w:t>
      </w:r>
      <w:r>
        <w:rPr>
          <w:rFonts w:ascii="MS Gothic"/>
          <w:color w:val="B02045"/>
          <w:w w:val="110"/>
        </w:rPr>
        <w:t>ApplicationStartedEvent</w:t>
      </w:r>
      <w:r>
        <w:rPr>
          <w:color w:val="333333"/>
          <w:w w:val="110"/>
        </w:rPr>
        <w:t>:</w:t>
      </w:r>
    </w:p>
    <w:p w14:paraId="7EE8EEDA" w14:textId="77777777" w:rsidR="00A720EB" w:rsidRDefault="0030286B">
      <w:pPr>
        <w:pStyle w:val="a6"/>
        <w:numPr>
          <w:ilvl w:val="0"/>
          <w:numId w:val="67"/>
        </w:numPr>
        <w:tabs>
          <w:tab w:val="left" w:pos="485"/>
        </w:tabs>
        <w:spacing w:before="242" w:line="285" w:lineRule="auto"/>
        <w:ind w:right="122"/>
        <w:jc w:val="both"/>
        <w:rPr>
          <w:sz w:val="21"/>
        </w:rPr>
      </w:pPr>
      <w:r>
        <w:rPr>
          <w:color w:val="333333"/>
          <w:w w:val="110"/>
          <w:sz w:val="21"/>
        </w:rPr>
        <w:t xml:space="preserve">A </w:t>
      </w:r>
      <w:r>
        <w:rPr>
          <w:rFonts w:ascii="MS Gothic" w:hAnsi="MS Gothic"/>
          <w:color w:val="B02045"/>
          <w:w w:val="110"/>
          <w:sz w:val="21"/>
        </w:rPr>
        <w:t xml:space="preserve">WebServerInitializedEvent </w:t>
      </w:r>
      <w:r>
        <w:rPr>
          <w:color w:val="333333"/>
          <w:w w:val="110"/>
          <w:sz w:val="21"/>
        </w:rPr>
        <w:t xml:space="preserve">is sent after the </w:t>
      </w:r>
      <w:r>
        <w:rPr>
          <w:rFonts w:ascii="MS Gothic" w:hAnsi="MS Gothic"/>
          <w:color w:val="B02045"/>
          <w:w w:val="110"/>
          <w:sz w:val="21"/>
        </w:rPr>
        <w:t xml:space="preserve">WebServer </w:t>
      </w:r>
      <w:r>
        <w:rPr>
          <w:color w:val="333333"/>
          <w:w w:val="110"/>
          <w:sz w:val="21"/>
        </w:rPr>
        <w:t xml:space="preserve">is </w:t>
      </w:r>
      <w:r>
        <w:rPr>
          <w:color w:val="333333"/>
          <w:spacing w:val="-4"/>
          <w:w w:val="110"/>
          <w:sz w:val="21"/>
        </w:rPr>
        <w:t xml:space="preserve">ready. </w:t>
      </w:r>
      <w:r>
        <w:rPr>
          <w:rFonts w:ascii="MS Gothic" w:hAnsi="MS Gothic"/>
          <w:color w:val="B02045"/>
          <w:w w:val="105"/>
          <w:sz w:val="21"/>
        </w:rPr>
        <w:t xml:space="preserve">ServletWebServerInitializedEvent </w:t>
      </w:r>
      <w:r>
        <w:rPr>
          <w:color w:val="333333"/>
          <w:w w:val="105"/>
          <w:sz w:val="21"/>
        </w:rPr>
        <w:t xml:space="preserve">and </w:t>
      </w:r>
      <w:r>
        <w:rPr>
          <w:rFonts w:ascii="MS Gothic" w:hAnsi="MS Gothic"/>
          <w:color w:val="B02045"/>
          <w:w w:val="105"/>
          <w:sz w:val="21"/>
        </w:rPr>
        <w:t xml:space="preserve">ReactiveWebServerInitializedEvent </w:t>
      </w:r>
      <w:r>
        <w:rPr>
          <w:color w:val="333333"/>
          <w:w w:val="105"/>
          <w:sz w:val="21"/>
        </w:rPr>
        <w:t xml:space="preserve">are the servlet and </w:t>
      </w:r>
      <w:r>
        <w:rPr>
          <w:color w:val="333333"/>
          <w:w w:val="110"/>
          <w:sz w:val="21"/>
        </w:rPr>
        <w:t>reactive variants</w:t>
      </w:r>
      <w:r>
        <w:rPr>
          <w:color w:val="333333"/>
          <w:spacing w:val="7"/>
          <w:w w:val="110"/>
          <w:sz w:val="21"/>
        </w:rPr>
        <w:t xml:space="preserve"> </w:t>
      </w:r>
      <w:r>
        <w:rPr>
          <w:color w:val="333333"/>
          <w:spacing w:val="-3"/>
          <w:w w:val="110"/>
          <w:sz w:val="21"/>
        </w:rPr>
        <w:t>respectively.</w:t>
      </w:r>
    </w:p>
    <w:p w14:paraId="49203088" w14:textId="77777777" w:rsidR="00A720EB" w:rsidRDefault="0030286B">
      <w:pPr>
        <w:pStyle w:val="a6"/>
        <w:numPr>
          <w:ilvl w:val="0"/>
          <w:numId w:val="67"/>
        </w:numPr>
        <w:tabs>
          <w:tab w:val="left" w:pos="485"/>
        </w:tabs>
        <w:spacing w:before="134"/>
        <w:jc w:val="both"/>
        <w:rPr>
          <w:sz w:val="21"/>
        </w:rPr>
      </w:pPr>
      <w:r>
        <w:rPr>
          <w:color w:val="333333"/>
          <w:w w:val="110"/>
          <w:sz w:val="21"/>
        </w:rPr>
        <w:t>A</w:t>
      </w:r>
      <w:r>
        <w:rPr>
          <w:color w:val="333333"/>
          <w:spacing w:val="-4"/>
          <w:w w:val="110"/>
          <w:sz w:val="21"/>
        </w:rPr>
        <w:t xml:space="preserve"> </w:t>
      </w:r>
      <w:r>
        <w:rPr>
          <w:rFonts w:ascii="MS Gothic" w:hAnsi="MS Gothic"/>
          <w:color w:val="B02045"/>
          <w:w w:val="110"/>
          <w:sz w:val="21"/>
        </w:rPr>
        <w:t>ContextRefreshedEvent</w:t>
      </w:r>
      <w:r>
        <w:rPr>
          <w:rFonts w:ascii="MS Gothic" w:hAnsi="MS Gothic"/>
          <w:color w:val="B02045"/>
          <w:spacing w:val="-69"/>
          <w:w w:val="110"/>
          <w:sz w:val="21"/>
        </w:rPr>
        <w:t xml:space="preserve"> </w:t>
      </w:r>
      <w:r>
        <w:rPr>
          <w:color w:val="333333"/>
          <w:w w:val="110"/>
          <w:sz w:val="21"/>
        </w:rPr>
        <w:t>is</w:t>
      </w:r>
      <w:r>
        <w:rPr>
          <w:color w:val="333333"/>
          <w:spacing w:val="-4"/>
          <w:w w:val="110"/>
          <w:sz w:val="21"/>
        </w:rPr>
        <w:t xml:space="preserve"> </w:t>
      </w:r>
      <w:r>
        <w:rPr>
          <w:color w:val="333333"/>
          <w:w w:val="110"/>
          <w:sz w:val="21"/>
        </w:rPr>
        <w:t>sent</w:t>
      </w:r>
      <w:r>
        <w:rPr>
          <w:color w:val="333333"/>
          <w:spacing w:val="-4"/>
          <w:w w:val="110"/>
          <w:sz w:val="21"/>
        </w:rPr>
        <w:t xml:space="preserve"> </w:t>
      </w:r>
      <w:r>
        <w:rPr>
          <w:color w:val="333333"/>
          <w:w w:val="110"/>
          <w:sz w:val="21"/>
        </w:rPr>
        <w:t>when</w:t>
      </w:r>
      <w:r>
        <w:rPr>
          <w:color w:val="333333"/>
          <w:spacing w:val="-4"/>
          <w:w w:val="110"/>
          <w:sz w:val="21"/>
        </w:rPr>
        <w:t xml:space="preserve"> </w:t>
      </w:r>
      <w:r>
        <w:rPr>
          <w:color w:val="333333"/>
          <w:w w:val="110"/>
          <w:sz w:val="21"/>
        </w:rPr>
        <w:t>an</w:t>
      </w:r>
      <w:r>
        <w:rPr>
          <w:color w:val="333333"/>
          <w:spacing w:val="-2"/>
          <w:w w:val="110"/>
          <w:sz w:val="21"/>
        </w:rPr>
        <w:t xml:space="preserve"> </w:t>
      </w:r>
      <w:r>
        <w:rPr>
          <w:rFonts w:ascii="MS Gothic" w:hAnsi="MS Gothic"/>
          <w:color w:val="B02045"/>
          <w:w w:val="110"/>
          <w:sz w:val="21"/>
        </w:rPr>
        <w:t>ApplicationContext</w:t>
      </w:r>
      <w:r>
        <w:rPr>
          <w:rFonts w:ascii="MS Gothic" w:hAnsi="MS Gothic"/>
          <w:color w:val="B02045"/>
          <w:spacing w:val="-69"/>
          <w:w w:val="110"/>
          <w:sz w:val="21"/>
        </w:rPr>
        <w:t xml:space="preserve"> </w:t>
      </w:r>
      <w:r>
        <w:rPr>
          <w:color w:val="333333"/>
          <w:w w:val="110"/>
          <w:sz w:val="21"/>
        </w:rPr>
        <w:t>is</w:t>
      </w:r>
      <w:r>
        <w:rPr>
          <w:color w:val="333333"/>
          <w:spacing w:val="-5"/>
          <w:w w:val="110"/>
          <w:sz w:val="21"/>
        </w:rPr>
        <w:t xml:space="preserve"> </w:t>
      </w:r>
      <w:r>
        <w:rPr>
          <w:color w:val="333333"/>
          <w:w w:val="110"/>
          <w:sz w:val="21"/>
        </w:rPr>
        <w:t>refreshed.</w:t>
      </w:r>
    </w:p>
    <w:p w14:paraId="72F2BDAD" w14:textId="77777777" w:rsidR="00A720EB" w:rsidRDefault="00A720EB">
      <w:pPr>
        <w:pStyle w:val="a3"/>
        <w:spacing w:before="1"/>
        <w:rPr>
          <w:sz w:val="32"/>
        </w:rPr>
      </w:pPr>
    </w:p>
    <w:p w14:paraId="656381BE" w14:textId="77777777" w:rsidR="00A720EB" w:rsidRDefault="00E10349">
      <w:pPr>
        <w:pStyle w:val="a3"/>
        <w:spacing w:before="1" w:line="307" w:lineRule="auto"/>
        <w:ind w:left="1564" w:right="462"/>
      </w:pPr>
      <w:r>
        <w:pict w14:anchorId="70666FCD">
          <v:line id="_x0000_s4678" style="position:absolute;left:0;text-align:left;z-index:15822848;mso-position-horizontal-relative:page" from="108.25pt,-5.95pt" to="108.25pt,33.6pt" strokecolor="#ededed" strokeweight=".5pt">
            <w10:wrap anchorx="page"/>
          </v:line>
        </w:pict>
      </w:r>
      <w:r w:rsidR="0030286B">
        <w:rPr>
          <w:noProof/>
        </w:rPr>
        <w:drawing>
          <wp:anchor distT="0" distB="0" distL="0" distR="0" simplePos="0" relativeHeight="15823360" behindDoc="0" locked="0" layoutInCell="1" allowOverlap="1" wp14:anchorId="24DBF20D" wp14:editId="24E1A9D3">
            <wp:simplePos x="0" y="0"/>
            <wp:positionH relativeFrom="page">
              <wp:posOffset>888949</wp:posOffset>
            </wp:positionH>
            <wp:positionV relativeFrom="paragraph">
              <wp:posOffset>23406</wp:posOffset>
            </wp:positionV>
            <wp:extent cx="209550" cy="304800"/>
            <wp:effectExtent l="0" t="0" r="0" b="0"/>
            <wp:wrapNone/>
            <wp:docPr id="1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You often need not use application events, but it can be handy to know that they exist. Internally, Spring Boot uses events to handle a variety of tasks.</w:t>
      </w:r>
    </w:p>
    <w:p w14:paraId="35754571" w14:textId="77777777" w:rsidR="00A720EB" w:rsidRDefault="00A720EB">
      <w:pPr>
        <w:pStyle w:val="a3"/>
        <w:spacing w:before="6"/>
        <w:rPr>
          <w:sz w:val="23"/>
        </w:rPr>
      </w:pPr>
    </w:p>
    <w:p w14:paraId="6EF5DDB5" w14:textId="77777777" w:rsidR="00A720EB" w:rsidRDefault="00E10349">
      <w:pPr>
        <w:pStyle w:val="a3"/>
        <w:spacing w:before="125" w:line="307" w:lineRule="auto"/>
        <w:ind w:left="1564" w:right="365"/>
        <w:jc w:val="both"/>
      </w:pPr>
      <w:r>
        <w:pict w14:anchorId="003CD9F9">
          <v:line id="_x0000_s4677" style="position:absolute;left:0;text-align:left;z-index:15823872;mso-position-horizontal-relative:page" from="108.25pt,.25pt" to="108.25pt,55.6pt" strokecolor="#ededed" strokeweight=".5pt">
            <w10:wrap anchorx="page"/>
          </v:line>
        </w:pict>
      </w:r>
      <w:r w:rsidR="0030286B">
        <w:rPr>
          <w:noProof/>
        </w:rPr>
        <w:drawing>
          <wp:anchor distT="0" distB="0" distL="0" distR="0" simplePos="0" relativeHeight="15824384" behindDoc="0" locked="0" layoutInCell="1" allowOverlap="1" wp14:anchorId="3982E286" wp14:editId="6D3909F1">
            <wp:simplePos x="0" y="0"/>
            <wp:positionH relativeFrom="page">
              <wp:posOffset>844422</wp:posOffset>
            </wp:positionH>
            <wp:positionV relativeFrom="paragraph">
              <wp:posOffset>205524</wp:posOffset>
            </wp:positionV>
            <wp:extent cx="298450" cy="298450"/>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Event listeners should not run potentially lengthy tasks as </w:t>
      </w:r>
      <w:proofErr w:type="gramStart"/>
      <w:r w:rsidR="0030286B">
        <w:rPr>
          <w:color w:val="333333"/>
          <w:w w:val="110"/>
        </w:rPr>
        <w:t>they  execute</w:t>
      </w:r>
      <w:proofErr w:type="gramEnd"/>
      <w:r w:rsidR="0030286B">
        <w:rPr>
          <w:color w:val="333333"/>
          <w:w w:val="110"/>
        </w:rPr>
        <w:t xml:space="preserve">  in  the same thread </w:t>
      </w:r>
      <w:r w:rsidR="0030286B">
        <w:rPr>
          <w:color w:val="333333"/>
          <w:spacing w:val="-3"/>
          <w:w w:val="110"/>
        </w:rPr>
        <w:t xml:space="preserve">by </w:t>
      </w:r>
      <w:r w:rsidR="0030286B">
        <w:rPr>
          <w:color w:val="333333"/>
          <w:w w:val="110"/>
        </w:rPr>
        <w:t xml:space="preserve">default. Consider using </w:t>
      </w:r>
      <w:hyperlink w:anchor="_bookmark98" w:history="1">
        <w:r w:rsidR="0030286B">
          <w:rPr>
            <w:color w:val="418BCA"/>
            <w:w w:val="110"/>
          </w:rPr>
          <w:t>application and command-line runners</w:t>
        </w:r>
      </w:hyperlink>
      <w:r w:rsidR="0030286B">
        <w:rPr>
          <w:color w:val="418BCA"/>
          <w:w w:val="110"/>
        </w:rPr>
        <w:t xml:space="preserve"> </w:t>
      </w:r>
      <w:r w:rsidR="0030286B">
        <w:rPr>
          <w:color w:val="333333"/>
          <w:w w:val="110"/>
        </w:rPr>
        <w:t>instead.</w:t>
      </w:r>
    </w:p>
    <w:p w14:paraId="69476AE7" w14:textId="77777777" w:rsidR="00A720EB" w:rsidRDefault="00A720EB">
      <w:pPr>
        <w:pStyle w:val="a3"/>
        <w:spacing w:before="9"/>
        <w:rPr>
          <w:sz w:val="16"/>
        </w:rPr>
      </w:pPr>
    </w:p>
    <w:p w14:paraId="73DD0D63" w14:textId="77777777" w:rsidR="00A720EB" w:rsidRDefault="0030286B">
      <w:pPr>
        <w:pStyle w:val="a3"/>
        <w:spacing w:before="125" w:line="300" w:lineRule="auto"/>
        <w:ind w:left="124" w:right="130"/>
        <w:jc w:val="both"/>
      </w:pPr>
      <w:r>
        <w:rPr>
          <w:color w:val="333333"/>
          <w:w w:val="110"/>
        </w:rPr>
        <w:t xml:space="preserve">Application events are sent </w:t>
      </w:r>
      <w:r>
        <w:rPr>
          <w:color w:val="333333"/>
          <w:spacing w:val="-3"/>
          <w:w w:val="110"/>
        </w:rPr>
        <w:t xml:space="preserve">by </w:t>
      </w:r>
      <w:r>
        <w:rPr>
          <w:color w:val="333333"/>
          <w:w w:val="110"/>
        </w:rPr>
        <w:t xml:space="preserve">using Spring Framework’s event publishing mechanism. Part of this mechanism ensures that an event published to the listeners in a child context is also published to   the listeners in any ancestor contexts. As a result of this, if your application uses a hierarchy of </w:t>
      </w:r>
      <w:r>
        <w:rPr>
          <w:rFonts w:ascii="MS Gothic" w:hAnsi="MS Gothic"/>
          <w:color w:val="B02045"/>
          <w:w w:val="110"/>
        </w:rPr>
        <w:t xml:space="preserve">SpringApplication </w:t>
      </w:r>
      <w:r>
        <w:rPr>
          <w:color w:val="333333"/>
          <w:w w:val="110"/>
        </w:rPr>
        <w:t xml:space="preserve">instances, a listener may receive multiple instances of the same type </w:t>
      </w:r>
      <w:proofErr w:type="gramStart"/>
      <w:r>
        <w:rPr>
          <w:color w:val="333333"/>
          <w:w w:val="110"/>
        </w:rPr>
        <w:t>of  application</w:t>
      </w:r>
      <w:proofErr w:type="gramEnd"/>
      <w:r>
        <w:rPr>
          <w:color w:val="333333"/>
          <w:spacing w:val="2"/>
          <w:w w:val="110"/>
        </w:rPr>
        <w:t xml:space="preserve"> </w:t>
      </w:r>
      <w:r>
        <w:rPr>
          <w:color w:val="333333"/>
          <w:w w:val="110"/>
        </w:rPr>
        <w:t>event.</w:t>
      </w:r>
    </w:p>
    <w:p w14:paraId="02577745" w14:textId="77777777" w:rsidR="00A720EB" w:rsidRDefault="0030286B">
      <w:pPr>
        <w:pStyle w:val="a3"/>
        <w:spacing w:before="250" w:line="304" w:lineRule="auto"/>
        <w:ind w:left="124" w:right="129"/>
        <w:jc w:val="both"/>
      </w:pPr>
      <w:r>
        <w:rPr>
          <w:color w:val="333333"/>
          <w:spacing w:val="-4"/>
          <w:w w:val="110"/>
        </w:rPr>
        <w:t xml:space="preserve">To </w:t>
      </w:r>
      <w:r>
        <w:rPr>
          <w:color w:val="333333"/>
          <w:w w:val="110"/>
        </w:rPr>
        <w:t xml:space="preserve">allow your listener to distinguish between an event for its context and an event for a descendant context, it should request that its application context is injected and then compare the injected context with the context of the event. The context can be injected </w:t>
      </w:r>
      <w:r>
        <w:rPr>
          <w:color w:val="333333"/>
          <w:spacing w:val="-3"/>
          <w:w w:val="110"/>
        </w:rPr>
        <w:t xml:space="preserve">by </w:t>
      </w:r>
      <w:r>
        <w:rPr>
          <w:color w:val="333333"/>
          <w:w w:val="110"/>
        </w:rPr>
        <w:t xml:space="preserve">implementing </w:t>
      </w:r>
      <w:r>
        <w:rPr>
          <w:rFonts w:ascii="MS Gothic"/>
          <w:color w:val="B02045"/>
          <w:w w:val="110"/>
        </w:rPr>
        <w:t>ApplicationContextAware</w:t>
      </w:r>
      <w:r>
        <w:rPr>
          <w:rFonts w:ascii="MS Gothic"/>
          <w:color w:val="B02045"/>
          <w:spacing w:val="-79"/>
          <w:w w:val="110"/>
        </w:rPr>
        <w:t xml:space="preserve"> </w:t>
      </w:r>
      <w:r>
        <w:rPr>
          <w:color w:val="333333"/>
          <w:w w:val="110"/>
        </w:rPr>
        <w:t xml:space="preserve">or, if the listener is a bean, </w:t>
      </w:r>
      <w:r>
        <w:rPr>
          <w:color w:val="333333"/>
          <w:spacing w:val="-3"/>
          <w:w w:val="110"/>
        </w:rPr>
        <w:t xml:space="preserve">by </w:t>
      </w:r>
      <w:r>
        <w:rPr>
          <w:color w:val="333333"/>
          <w:w w:val="110"/>
        </w:rPr>
        <w:t xml:space="preserve">using </w:t>
      </w:r>
      <w:r>
        <w:rPr>
          <w:rFonts w:ascii="MS Gothic"/>
          <w:color w:val="B02045"/>
          <w:w w:val="110"/>
        </w:rPr>
        <w:t>@Autowired</w:t>
      </w:r>
      <w:r>
        <w:rPr>
          <w:color w:val="333333"/>
          <w:w w:val="110"/>
        </w:rPr>
        <w:t>.</w:t>
      </w:r>
    </w:p>
    <w:p w14:paraId="70873F8C" w14:textId="77777777" w:rsidR="00A720EB" w:rsidRDefault="00A720EB">
      <w:pPr>
        <w:spacing w:line="304" w:lineRule="auto"/>
        <w:jc w:val="both"/>
        <w:sectPr w:rsidR="00A720EB">
          <w:pgSz w:w="11910" w:h="16840"/>
          <w:pgMar w:top="620" w:right="840" w:bottom="520" w:left="840" w:header="0" w:footer="323" w:gutter="0"/>
          <w:cols w:space="720"/>
        </w:sectPr>
      </w:pPr>
    </w:p>
    <w:p w14:paraId="0F9DC185" w14:textId="77777777" w:rsidR="00A720EB" w:rsidRDefault="0030286B">
      <w:pPr>
        <w:pStyle w:val="3"/>
        <w:numPr>
          <w:ilvl w:val="2"/>
          <w:numId w:val="68"/>
        </w:numPr>
        <w:tabs>
          <w:tab w:val="left" w:pos="858"/>
        </w:tabs>
        <w:spacing w:before="87"/>
        <w:ind w:hanging="734"/>
      </w:pPr>
      <w:bookmarkStart w:id="162" w:name="4.1.8._Web_Environment"/>
      <w:bookmarkStart w:id="163" w:name="_Toc54423717"/>
      <w:bookmarkEnd w:id="162"/>
      <w:r>
        <w:rPr>
          <w:color w:val="333333"/>
          <w:spacing w:val="-6"/>
          <w:w w:val="110"/>
        </w:rPr>
        <w:lastRenderedPageBreak/>
        <w:t xml:space="preserve">Web </w:t>
      </w:r>
      <w:r>
        <w:rPr>
          <w:color w:val="333333"/>
          <w:w w:val="110"/>
        </w:rPr>
        <w:t>Environment</w:t>
      </w:r>
      <w:bookmarkEnd w:id="163"/>
    </w:p>
    <w:p w14:paraId="3215C5D6" w14:textId="77777777" w:rsidR="00A720EB" w:rsidRDefault="0030286B">
      <w:pPr>
        <w:pStyle w:val="a3"/>
        <w:spacing w:before="243" w:line="280" w:lineRule="auto"/>
        <w:ind w:left="124" w:right="125"/>
        <w:jc w:val="both"/>
      </w:pPr>
      <w:r>
        <w:rPr>
          <w:color w:val="333333"/>
          <w:w w:val="110"/>
        </w:rPr>
        <w:t xml:space="preserve">A </w:t>
      </w:r>
      <w:r>
        <w:rPr>
          <w:rFonts w:ascii="MS Gothic"/>
          <w:color w:val="B02045"/>
          <w:w w:val="110"/>
        </w:rPr>
        <w:t xml:space="preserve">SpringApplication </w:t>
      </w:r>
      <w:r>
        <w:rPr>
          <w:color w:val="333333"/>
          <w:w w:val="110"/>
        </w:rPr>
        <w:t xml:space="preserve">attempts to create the right type of </w:t>
      </w:r>
      <w:r>
        <w:rPr>
          <w:rFonts w:ascii="MS Gothic"/>
          <w:color w:val="B02045"/>
          <w:w w:val="110"/>
        </w:rPr>
        <w:t xml:space="preserve">ApplicationContext </w:t>
      </w:r>
      <w:r>
        <w:rPr>
          <w:color w:val="333333"/>
          <w:w w:val="110"/>
        </w:rPr>
        <w:t xml:space="preserve">on your behalf. The algorithm used to determine a </w:t>
      </w:r>
      <w:r>
        <w:rPr>
          <w:rFonts w:ascii="MS Gothic"/>
          <w:color w:val="B02045"/>
          <w:w w:val="110"/>
        </w:rPr>
        <w:t>WebApplicationType</w:t>
      </w:r>
      <w:r>
        <w:rPr>
          <w:rFonts w:ascii="MS Gothic"/>
          <w:color w:val="B02045"/>
          <w:spacing w:val="-56"/>
          <w:w w:val="110"/>
        </w:rPr>
        <w:t xml:space="preserve"> </w:t>
      </w:r>
      <w:r>
        <w:rPr>
          <w:color w:val="333333"/>
          <w:w w:val="110"/>
        </w:rPr>
        <w:t>is the following:</w:t>
      </w:r>
    </w:p>
    <w:p w14:paraId="08537744" w14:textId="77777777" w:rsidR="00A720EB" w:rsidRDefault="0030286B">
      <w:pPr>
        <w:pStyle w:val="a6"/>
        <w:numPr>
          <w:ilvl w:val="0"/>
          <w:numId w:val="66"/>
        </w:numPr>
        <w:tabs>
          <w:tab w:val="left" w:pos="485"/>
        </w:tabs>
        <w:spacing w:before="242"/>
        <w:rPr>
          <w:sz w:val="21"/>
        </w:rPr>
      </w:pPr>
      <w:r>
        <w:rPr>
          <w:color w:val="333333"/>
          <w:w w:val="110"/>
          <w:sz w:val="21"/>
        </w:rPr>
        <w:t>If</w:t>
      </w:r>
      <w:r>
        <w:rPr>
          <w:color w:val="333333"/>
          <w:spacing w:val="-17"/>
          <w:w w:val="110"/>
          <w:sz w:val="21"/>
        </w:rPr>
        <w:t xml:space="preserve"> </w:t>
      </w:r>
      <w:r>
        <w:rPr>
          <w:color w:val="333333"/>
          <w:w w:val="110"/>
          <w:sz w:val="21"/>
        </w:rPr>
        <w:t>Spring</w:t>
      </w:r>
      <w:r>
        <w:rPr>
          <w:color w:val="333333"/>
          <w:spacing w:val="-17"/>
          <w:w w:val="110"/>
          <w:sz w:val="21"/>
        </w:rPr>
        <w:t xml:space="preserve"> </w:t>
      </w:r>
      <w:r>
        <w:rPr>
          <w:color w:val="333333"/>
          <w:w w:val="110"/>
          <w:sz w:val="21"/>
        </w:rPr>
        <w:t>MVC</w:t>
      </w:r>
      <w:r>
        <w:rPr>
          <w:color w:val="333333"/>
          <w:spacing w:val="-17"/>
          <w:w w:val="110"/>
          <w:sz w:val="21"/>
        </w:rPr>
        <w:t xml:space="preserve"> </w:t>
      </w:r>
      <w:r>
        <w:rPr>
          <w:color w:val="333333"/>
          <w:w w:val="110"/>
          <w:sz w:val="21"/>
        </w:rPr>
        <w:t>is</w:t>
      </w:r>
      <w:r>
        <w:rPr>
          <w:color w:val="333333"/>
          <w:spacing w:val="-17"/>
          <w:w w:val="110"/>
          <w:sz w:val="21"/>
        </w:rPr>
        <w:t xml:space="preserve"> </w:t>
      </w:r>
      <w:r>
        <w:rPr>
          <w:color w:val="333333"/>
          <w:w w:val="110"/>
          <w:sz w:val="21"/>
        </w:rPr>
        <w:t>present,</w:t>
      </w:r>
      <w:r>
        <w:rPr>
          <w:color w:val="333333"/>
          <w:spacing w:val="-17"/>
          <w:w w:val="110"/>
          <w:sz w:val="21"/>
        </w:rPr>
        <w:t xml:space="preserve"> </w:t>
      </w:r>
      <w:r>
        <w:rPr>
          <w:color w:val="333333"/>
          <w:w w:val="110"/>
          <w:sz w:val="21"/>
        </w:rPr>
        <w:t>an</w:t>
      </w:r>
      <w:r>
        <w:rPr>
          <w:color w:val="333333"/>
          <w:spacing w:val="-13"/>
          <w:w w:val="110"/>
          <w:sz w:val="21"/>
        </w:rPr>
        <w:t xml:space="preserve"> </w:t>
      </w:r>
      <w:r>
        <w:rPr>
          <w:rFonts w:ascii="MS Gothic" w:hAnsi="MS Gothic"/>
          <w:color w:val="B02045"/>
          <w:w w:val="110"/>
          <w:sz w:val="21"/>
        </w:rPr>
        <w:t>AnnotationConfigServletWebServerApplicationContext</w:t>
      </w:r>
      <w:r>
        <w:rPr>
          <w:rFonts w:ascii="MS Gothic" w:hAnsi="MS Gothic"/>
          <w:color w:val="B02045"/>
          <w:spacing w:val="-81"/>
          <w:w w:val="110"/>
          <w:sz w:val="21"/>
        </w:rPr>
        <w:t xml:space="preserve"> </w:t>
      </w:r>
      <w:r>
        <w:rPr>
          <w:color w:val="333333"/>
          <w:w w:val="110"/>
          <w:sz w:val="21"/>
        </w:rPr>
        <w:t>is</w:t>
      </w:r>
      <w:r>
        <w:rPr>
          <w:color w:val="333333"/>
          <w:spacing w:val="-17"/>
          <w:w w:val="110"/>
          <w:sz w:val="21"/>
        </w:rPr>
        <w:t xml:space="preserve"> </w:t>
      </w:r>
      <w:r>
        <w:rPr>
          <w:color w:val="333333"/>
          <w:w w:val="110"/>
          <w:sz w:val="21"/>
        </w:rPr>
        <w:t>used</w:t>
      </w:r>
    </w:p>
    <w:p w14:paraId="05131AFD" w14:textId="77777777" w:rsidR="00A720EB" w:rsidRDefault="0030286B">
      <w:pPr>
        <w:pStyle w:val="a6"/>
        <w:numPr>
          <w:ilvl w:val="0"/>
          <w:numId w:val="66"/>
        </w:numPr>
        <w:tabs>
          <w:tab w:val="left" w:pos="485"/>
          <w:tab w:val="left" w:pos="997"/>
          <w:tab w:val="left" w:pos="2010"/>
          <w:tab w:val="left" w:pos="2831"/>
          <w:tab w:val="left" w:pos="3350"/>
          <w:tab w:val="left" w:pos="4038"/>
          <w:tab w:val="left" w:pos="5151"/>
          <w:tab w:val="left" w:pos="5890"/>
          <w:tab w:val="left" w:pos="6904"/>
          <w:tab w:val="left" w:pos="8153"/>
          <w:tab w:val="left" w:pos="8672"/>
          <w:tab w:val="left" w:pos="9837"/>
        </w:tabs>
        <w:spacing w:before="177"/>
        <w:rPr>
          <w:sz w:val="21"/>
        </w:rPr>
      </w:pPr>
      <w:r>
        <w:rPr>
          <w:color w:val="333333"/>
          <w:w w:val="110"/>
          <w:sz w:val="21"/>
        </w:rPr>
        <w:t>If</w:t>
      </w:r>
      <w:r>
        <w:rPr>
          <w:color w:val="333333"/>
          <w:w w:val="110"/>
          <w:sz w:val="21"/>
        </w:rPr>
        <w:tab/>
        <w:t>Spring</w:t>
      </w:r>
      <w:r>
        <w:rPr>
          <w:color w:val="333333"/>
          <w:w w:val="110"/>
          <w:sz w:val="21"/>
        </w:rPr>
        <w:tab/>
        <w:t>MVC</w:t>
      </w:r>
      <w:r>
        <w:rPr>
          <w:color w:val="333333"/>
          <w:w w:val="110"/>
          <w:sz w:val="21"/>
        </w:rPr>
        <w:tab/>
        <w:t>is</w:t>
      </w:r>
      <w:r>
        <w:rPr>
          <w:color w:val="333333"/>
          <w:w w:val="110"/>
          <w:sz w:val="21"/>
        </w:rPr>
        <w:tab/>
        <w:t>not</w:t>
      </w:r>
      <w:r>
        <w:rPr>
          <w:color w:val="333333"/>
          <w:w w:val="110"/>
          <w:sz w:val="21"/>
        </w:rPr>
        <w:tab/>
        <w:t>present</w:t>
      </w:r>
      <w:r>
        <w:rPr>
          <w:color w:val="333333"/>
          <w:w w:val="110"/>
          <w:sz w:val="21"/>
        </w:rPr>
        <w:tab/>
        <w:t>and</w:t>
      </w:r>
      <w:r>
        <w:rPr>
          <w:color w:val="333333"/>
          <w:w w:val="110"/>
          <w:sz w:val="21"/>
        </w:rPr>
        <w:tab/>
        <w:t>Spring</w:t>
      </w:r>
      <w:r>
        <w:rPr>
          <w:color w:val="333333"/>
          <w:w w:val="110"/>
          <w:sz w:val="21"/>
        </w:rPr>
        <w:tab/>
      </w:r>
      <w:r>
        <w:rPr>
          <w:color w:val="333333"/>
          <w:spacing w:val="-3"/>
          <w:w w:val="110"/>
          <w:sz w:val="21"/>
        </w:rPr>
        <w:t>WebFlux</w:t>
      </w:r>
      <w:r>
        <w:rPr>
          <w:color w:val="333333"/>
          <w:spacing w:val="-3"/>
          <w:w w:val="110"/>
          <w:sz w:val="21"/>
        </w:rPr>
        <w:tab/>
      </w:r>
      <w:r>
        <w:rPr>
          <w:color w:val="333333"/>
          <w:w w:val="110"/>
          <w:sz w:val="21"/>
        </w:rPr>
        <w:t>is</w:t>
      </w:r>
      <w:r>
        <w:rPr>
          <w:color w:val="333333"/>
          <w:w w:val="110"/>
          <w:sz w:val="21"/>
        </w:rPr>
        <w:tab/>
        <w:t>present,</w:t>
      </w:r>
      <w:r>
        <w:rPr>
          <w:color w:val="333333"/>
          <w:w w:val="110"/>
          <w:sz w:val="21"/>
        </w:rPr>
        <w:tab/>
        <w:t>an</w:t>
      </w:r>
    </w:p>
    <w:p w14:paraId="48FF00A0" w14:textId="77777777" w:rsidR="00A720EB" w:rsidRDefault="0030286B">
      <w:pPr>
        <w:pStyle w:val="a3"/>
        <w:spacing w:before="59"/>
        <w:ind w:left="484"/>
      </w:pPr>
      <w:r>
        <w:rPr>
          <w:rFonts w:ascii="MS Gothic"/>
          <w:color w:val="B02045"/>
          <w:w w:val="105"/>
        </w:rPr>
        <w:t>AnnotationConfigReactiveWebServerApplicationContext</w:t>
      </w:r>
      <w:r>
        <w:rPr>
          <w:rFonts w:ascii="MS Gothic"/>
          <w:color w:val="B02045"/>
          <w:spacing w:val="-59"/>
          <w:w w:val="105"/>
        </w:rPr>
        <w:t xml:space="preserve"> </w:t>
      </w:r>
      <w:r>
        <w:rPr>
          <w:color w:val="333333"/>
          <w:w w:val="105"/>
        </w:rPr>
        <w:t>is used</w:t>
      </w:r>
    </w:p>
    <w:p w14:paraId="79C7D41C" w14:textId="77777777" w:rsidR="00A720EB" w:rsidRDefault="0030286B">
      <w:pPr>
        <w:pStyle w:val="a6"/>
        <w:numPr>
          <w:ilvl w:val="0"/>
          <w:numId w:val="66"/>
        </w:numPr>
        <w:tabs>
          <w:tab w:val="left" w:pos="485"/>
        </w:tabs>
        <w:spacing w:before="166"/>
        <w:rPr>
          <w:sz w:val="21"/>
        </w:rPr>
      </w:pPr>
      <w:r>
        <w:rPr>
          <w:color w:val="333333"/>
          <w:w w:val="110"/>
          <w:sz w:val="21"/>
        </w:rPr>
        <w:t xml:space="preserve">Otherwise, </w:t>
      </w:r>
      <w:r>
        <w:rPr>
          <w:rFonts w:ascii="MS Gothic" w:hAnsi="MS Gothic"/>
          <w:color w:val="B02045"/>
          <w:w w:val="110"/>
          <w:sz w:val="21"/>
        </w:rPr>
        <w:t>AnnotationConfigApplicationContext</w:t>
      </w:r>
      <w:r>
        <w:rPr>
          <w:rFonts w:ascii="MS Gothic" w:hAnsi="MS Gothic"/>
          <w:color w:val="B02045"/>
          <w:spacing w:val="-69"/>
          <w:w w:val="110"/>
          <w:sz w:val="21"/>
        </w:rPr>
        <w:t xml:space="preserve"> </w:t>
      </w:r>
      <w:r>
        <w:rPr>
          <w:color w:val="333333"/>
          <w:w w:val="110"/>
          <w:sz w:val="21"/>
        </w:rPr>
        <w:t>is used</w:t>
      </w:r>
    </w:p>
    <w:p w14:paraId="02213C26" w14:textId="77777777" w:rsidR="00A720EB" w:rsidRDefault="00A720EB">
      <w:pPr>
        <w:pStyle w:val="a3"/>
        <w:spacing w:before="5"/>
        <w:rPr>
          <w:sz w:val="24"/>
        </w:rPr>
      </w:pPr>
    </w:p>
    <w:p w14:paraId="500D2897" w14:textId="77777777" w:rsidR="00A720EB" w:rsidRDefault="0030286B">
      <w:pPr>
        <w:pStyle w:val="a3"/>
        <w:spacing w:line="295" w:lineRule="auto"/>
        <w:ind w:left="124" w:right="124"/>
        <w:jc w:val="both"/>
      </w:pPr>
      <w:r>
        <w:rPr>
          <w:color w:val="333333"/>
          <w:w w:val="110"/>
        </w:rPr>
        <w:t xml:space="preserve">This means that if you are using Spring MVC and the new </w:t>
      </w:r>
      <w:r>
        <w:rPr>
          <w:rFonts w:ascii="MS Gothic"/>
          <w:color w:val="B02045"/>
          <w:w w:val="110"/>
        </w:rPr>
        <w:t xml:space="preserve">WebClient </w:t>
      </w:r>
      <w:r>
        <w:rPr>
          <w:color w:val="333333"/>
          <w:w w:val="110"/>
        </w:rPr>
        <w:t xml:space="preserve">from Spring WebFlux in </w:t>
      </w:r>
      <w:proofErr w:type="gramStart"/>
      <w:r>
        <w:rPr>
          <w:color w:val="333333"/>
          <w:w w:val="110"/>
        </w:rPr>
        <w:t>the  same</w:t>
      </w:r>
      <w:proofErr w:type="gramEnd"/>
      <w:r>
        <w:rPr>
          <w:color w:val="333333"/>
          <w:w w:val="110"/>
        </w:rPr>
        <w:t xml:space="preserve"> application, Spring MVC will be used by default. You can override that easily by calling </w:t>
      </w:r>
      <w:proofErr w:type="gramStart"/>
      <w:r>
        <w:rPr>
          <w:rFonts w:ascii="MS Gothic"/>
          <w:color w:val="B02045"/>
          <w:w w:val="110"/>
        </w:rPr>
        <w:t>setWebApplicationType(</w:t>
      </w:r>
      <w:proofErr w:type="gramEnd"/>
      <w:r>
        <w:rPr>
          <w:rFonts w:ascii="MS Gothic"/>
          <w:color w:val="B02045"/>
          <w:w w:val="110"/>
        </w:rPr>
        <w:t>WebApplicationType)</w:t>
      </w:r>
      <w:r>
        <w:rPr>
          <w:color w:val="333333"/>
          <w:w w:val="110"/>
        </w:rPr>
        <w:t>.</w:t>
      </w:r>
    </w:p>
    <w:p w14:paraId="23DAF7D6" w14:textId="77777777" w:rsidR="00A720EB" w:rsidRDefault="0030286B">
      <w:pPr>
        <w:pStyle w:val="a3"/>
        <w:spacing w:before="222"/>
        <w:ind w:left="124"/>
        <w:jc w:val="both"/>
      </w:pPr>
      <w:r>
        <w:rPr>
          <w:color w:val="333333"/>
          <w:w w:val="110"/>
        </w:rPr>
        <w:t xml:space="preserve">It is also possible to take complete control of the </w:t>
      </w:r>
      <w:r>
        <w:rPr>
          <w:rFonts w:ascii="MS Gothic"/>
          <w:color w:val="B02045"/>
          <w:w w:val="110"/>
        </w:rPr>
        <w:t xml:space="preserve">ApplicationContext </w:t>
      </w:r>
      <w:r>
        <w:rPr>
          <w:color w:val="333333"/>
          <w:w w:val="110"/>
        </w:rPr>
        <w:t>type that is used by calling</w:t>
      </w:r>
    </w:p>
    <w:p w14:paraId="22628218" w14:textId="77777777" w:rsidR="00A720EB" w:rsidRDefault="0030286B">
      <w:pPr>
        <w:pStyle w:val="a3"/>
        <w:spacing w:before="47"/>
        <w:ind w:left="124"/>
      </w:pPr>
      <w:proofErr w:type="gramStart"/>
      <w:r>
        <w:rPr>
          <w:rFonts w:ascii="MS Gothic" w:hAnsi="MS Gothic"/>
          <w:color w:val="B02045"/>
        </w:rPr>
        <w:t>setApplicationContextClass(</w:t>
      </w:r>
      <w:proofErr w:type="gramEnd"/>
      <w:r>
        <w:rPr>
          <w:rFonts w:ascii="MS Gothic" w:hAnsi="MS Gothic"/>
          <w:color w:val="B02045"/>
        </w:rPr>
        <w:t>…)</w:t>
      </w:r>
      <w:r>
        <w:rPr>
          <w:color w:val="333333"/>
        </w:rPr>
        <w:t>.</w:t>
      </w:r>
    </w:p>
    <w:p w14:paraId="382592C9" w14:textId="77777777" w:rsidR="00A720EB" w:rsidRDefault="00A720EB">
      <w:pPr>
        <w:pStyle w:val="a3"/>
        <w:spacing w:before="3"/>
        <w:rPr>
          <w:sz w:val="31"/>
        </w:rPr>
      </w:pPr>
    </w:p>
    <w:p w14:paraId="147CE81D" w14:textId="77777777" w:rsidR="00A720EB" w:rsidRDefault="00E10349">
      <w:pPr>
        <w:pStyle w:val="a3"/>
        <w:spacing w:line="280" w:lineRule="auto"/>
        <w:ind w:left="1564"/>
      </w:pPr>
      <w:r>
        <w:pict w14:anchorId="403F53EB">
          <v:line id="_x0000_s4676" style="position:absolute;left:0;text-align:left;z-index:15825408;mso-position-horizontal-relative:page" from="108.25pt,-5.45pt" to="108.25pt,34.1pt" strokecolor="#ededed" strokeweight=".5pt">
            <w10:wrap anchorx="page"/>
          </v:line>
        </w:pict>
      </w:r>
      <w:r w:rsidR="0030286B">
        <w:rPr>
          <w:noProof/>
        </w:rPr>
        <w:drawing>
          <wp:anchor distT="0" distB="0" distL="0" distR="0" simplePos="0" relativeHeight="15825920" behindDoc="0" locked="0" layoutInCell="1" allowOverlap="1" wp14:anchorId="58833177" wp14:editId="3C0D8CEE">
            <wp:simplePos x="0" y="0"/>
            <wp:positionH relativeFrom="page">
              <wp:posOffset>888949</wp:posOffset>
            </wp:positionH>
            <wp:positionV relativeFrom="paragraph">
              <wp:posOffset>29413</wp:posOffset>
            </wp:positionV>
            <wp:extent cx="209550" cy="304800"/>
            <wp:effectExtent l="0" t="0" r="0" b="0"/>
            <wp:wrapNone/>
            <wp:docPr id="1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05"/>
        </w:rPr>
        <w:t xml:space="preserve">It is often desirable to call </w:t>
      </w:r>
      <w:proofErr w:type="gramStart"/>
      <w:r w:rsidR="0030286B">
        <w:rPr>
          <w:rFonts w:ascii="MS Gothic"/>
          <w:color w:val="B02045"/>
          <w:w w:val="105"/>
        </w:rPr>
        <w:t>setWebApplicationType(</w:t>
      </w:r>
      <w:proofErr w:type="gramEnd"/>
      <w:r w:rsidR="0030286B">
        <w:rPr>
          <w:rFonts w:ascii="MS Gothic"/>
          <w:color w:val="B02045"/>
          <w:w w:val="105"/>
        </w:rPr>
        <w:t xml:space="preserve">WebApplicationType.NONE) </w:t>
      </w:r>
      <w:r w:rsidR="0030286B">
        <w:rPr>
          <w:color w:val="333333"/>
          <w:w w:val="105"/>
        </w:rPr>
        <w:t xml:space="preserve">when </w:t>
      </w:r>
      <w:r w:rsidR="0030286B">
        <w:rPr>
          <w:color w:val="333333"/>
          <w:w w:val="110"/>
        </w:rPr>
        <w:t xml:space="preserve">using </w:t>
      </w:r>
      <w:r w:rsidR="0030286B">
        <w:rPr>
          <w:rFonts w:ascii="MS Gothic"/>
          <w:color w:val="B02045"/>
          <w:w w:val="110"/>
        </w:rPr>
        <w:t>SpringApplication</w:t>
      </w:r>
      <w:r w:rsidR="0030286B">
        <w:rPr>
          <w:rFonts w:ascii="MS Gothic"/>
          <w:color w:val="B02045"/>
          <w:spacing w:val="-61"/>
          <w:w w:val="110"/>
        </w:rPr>
        <w:t xml:space="preserve"> </w:t>
      </w:r>
      <w:r w:rsidR="0030286B">
        <w:rPr>
          <w:color w:val="333333"/>
          <w:w w:val="110"/>
        </w:rPr>
        <w:t>within a JUnit test.</w:t>
      </w:r>
    </w:p>
    <w:p w14:paraId="16E151C4" w14:textId="77777777" w:rsidR="00A720EB" w:rsidRDefault="00A720EB">
      <w:pPr>
        <w:pStyle w:val="a3"/>
        <w:spacing w:before="6"/>
        <w:rPr>
          <w:sz w:val="33"/>
        </w:rPr>
      </w:pPr>
    </w:p>
    <w:p w14:paraId="5D0A8CA4" w14:textId="77777777" w:rsidR="00A720EB" w:rsidRDefault="0030286B">
      <w:pPr>
        <w:pStyle w:val="3"/>
        <w:numPr>
          <w:ilvl w:val="2"/>
          <w:numId w:val="68"/>
        </w:numPr>
        <w:tabs>
          <w:tab w:val="left" w:pos="858"/>
        </w:tabs>
        <w:ind w:hanging="734"/>
      </w:pPr>
      <w:bookmarkStart w:id="164" w:name="4.1.9._Accessing_Application_Arguments"/>
      <w:bookmarkStart w:id="165" w:name="_Toc54423718"/>
      <w:bookmarkEnd w:id="164"/>
      <w:r>
        <w:rPr>
          <w:color w:val="333333"/>
          <w:w w:val="110"/>
        </w:rPr>
        <w:t>Accessing Application</w:t>
      </w:r>
      <w:r>
        <w:rPr>
          <w:color w:val="333333"/>
          <w:spacing w:val="-13"/>
          <w:w w:val="110"/>
        </w:rPr>
        <w:t xml:space="preserve"> </w:t>
      </w:r>
      <w:r>
        <w:rPr>
          <w:color w:val="333333"/>
          <w:w w:val="110"/>
        </w:rPr>
        <w:t>Arguments</w:t>
      </w:r>
      <w:bookmarkEnd w:id="165"/>
    </w:p>
    <w:p w14:paraId="78C25182" w14:textId="77777777" w:rsidR="00A720EB" w:rsidRDefault="0030286B">
      <w:pPr>
        <w:pStyle w:val="a3"/>
        <w:spacing w:before="244" w:line="280" w:lineRule="auto"/>
        <w:ind w:left="124" w:right="122"/>
        <w:jc w:val="both"/>
      </w:pPr>
      <w:r>
        <w:rPr>
          <w:color w:val="333333"/>
          <w:w w:val="110"/>
        </w:rPr>
        <w:t>If</w:t>
      </w:r>
      <w:r>
        <w:rPr>
          <w:color w:val="333333"/>
          <w:spacing w:val="-8"/>
          <w:w w:val="110"/>
        </w:rPr>
        <w:t xml:space="preserve"> </w:t>
      </w:r>
      <w:r>
        <w:rPr>
          <w:color w:val="333333"/>
          <w:w w:val="110"/>
        </w:rPr>
        <w:t>you</w:t>
      </w:r>
      <w:r>
        <w:rPr>
          <w:color w:val="333333"/>
          <w:spacing w:val="-8"/>
          <w:w w:val="110"/>
        </w:rPr>
        <w:t xml:space="preserve"> </w:t>
      </w:r>
      <w:r>
        <w:rPr>
          <w:color w:val="333333"/>
          <w:w w:val="110"/>
        </w:rPr>
        <w:t>need</w:t>
      </w:r>
      <w:r>
        <w:rPr>
          <w:color w:val="333333"/>
          <w:spacing w:val="-8"/>
          <w:w w:val="110"/>
        </w:rPr>
        <w:t xml:space="preserve"> </w:t>
      </w:r>
      <w:r>
        <w:rPr>
          <w:color w:val="333333"/>
          <w:w w:val="110"/>
        </w:rPr>
        <w:t>to</w:t>
      </w:r>
      <w:r>
        <w:rPr>
          <w:color w:val="333333"/>
          <w:spacing w:val="-8"/>
          <w:w w:val="110"/>
        </w:rPr>
        <w:t xml:space="preserve"> </w:t>
      </w:r>
      <w:r>
        <w:rPr>
          <w:color w:val="333333"/>
          <w:w w:val="110"/>
        </w:rPr>
        <w:t>access</w:t>
      </w:r>
      <w:r>
        <w:rPr>
          <w:color w:val="333333"/>
          <w:spacing w:val="-7"/>
          <w:w w:val="110"/>
        </w:rPr>
        <w:t xml:space="preserve"> </w:t>
      </w:r>
      <w:r>
        <w:rPr>
          <w:color w:val="333333"/>
          <w:w w:val="110"/>
        </w:rPr>
        <w:t>the</w:t>
      </w:r>
      <w:r>
        <w:rPr>
          <w:color w:val="333333"/>
          <w:spacing w:val="-8"/>
          <w:w w:val="110"/>
        </w:rPr>
        <w:t xml:space="preserve"> </w:t>
      </w:r>
      <w:r>
        <w:rPr>
          <w:color w:val="333333"/>
          <w:w w:val="110"/>
        </w:rPr>
        <w:t>application</w:t>
      </w:r>
      <w:r>
        <w:rPr>
          <w:color w:val="333333"/>
          <w:spacing w:val="-8"/>
          <w:w w:val="110"/>
        </w:rPr>
        <w:t xml:space="preserve"> </w:t>
      </w:r>
      <w:r>
        <w:rPr>
          <w:color w:val="333333"/>
          <w:w w:val="110"/>
        </w:rPr>
        <w:t>arguments</w:t>
      </w:r>
      <w:r>
        <w:rPr>
          <w:color w:val="333333"/>
          <w:spacing w:val="-8"/>
          <w:w w:val="110"/>
        </w:rPr>
        <w:t xml:space="preserve"> </w:t>
      </w:r>
      <w:r>
        <w:rPr>
          <w:color w:val="333333"/>
          <w:w w:val="110"/>
        </w:rPr>
        <w:t>that</w:t>
      </w:r>
      <w:r>
        <w:rPr>
          <w:color w:val="333333"/>
          <w:spacing w:val="-7"/>
          <w:w w:val="110"/>
        </w:rPr>
        <w:t xml:space="preserve"> </w:t>
      </w:r>
      <w:r>
        <w:rPr>
          <w:color w:val="333333"/>
          <w:w w:val="110"/>
        </w:rPr>
        <w:t>were</w:t>
      </w:r>
      <w:r>
        <w:rPr>
          <w:color w:val="333333"/>
          <w:spacing w:val="-8"/>
          <w:w w:val="110"/>
        </w:rPr>
        <w:t xml:space="preserve"> </w:t>
      </w:r>
      <w:r>
        <w:rPr>
          <w:color w:val="333333"/>
          <w:w w:val="110"/>
        </w:rPr>
        <w:t>passed</w:t>
      </w:r>
      <w:r>
        <w:rPr>
          <w:color w:val="333333"/>
          <w:spacing w:val="-8"/>
          <w:w w:val="110"/>
        </w:rPr>
        <w:t xml:space="preserve"> </w:t>
      </w:r>
      <w:r>
        <w:rPr>
          <w:color w:val="333333"/>
          <w:w w:val="110"/>
        </w:rPr>
        <w:t xml:space="preserve">to </w:t>
      </w:r>
      <w:proofErr w:type="gramStart"/>
      <w:r>
        <w:rPr>
          <w:rFonts w:ascii="MS Gothic" w:hAnsi="MS Gothic"/>
          <w:color w:val="B02045"/>
          <w:w w:val="110"/>
        </w:rPr>
        <w:t>SpringApplication.run(</w:t>
      </w:r>
      <w:proofErr w:type="gramEnd"/>
      <w:r>
        <w:rPr>
          <w:rFonts w:ascii="MS Gothic" w:hAnsi="MS Gothic"/>
          <w:color w:val="B02045"/>
          <w:w w:val="110"/>
        </w:rPr>
        <w:t>…)</w:t>
      </w:r>
      <w:r>
        <w:rPr>
          <w:color w:val="333333"/>
          <w:w w:val="110"/>
        </w:rPr>
        <w:t>,</w:t>
      </w:r>
      <w:r>
        <w:rPr>
          <w:color w:val="333333"/>
          <w:spacing w:val="-8"/>
          <w:w w:val="110"/>
        </w:rPr>
        <w:t xml:space="preserve"> </w:t>
      </w:r>
      <w:r>
        <w:rPr>
          <w:color w:val="333333"/>
          <w:w w:val="110"/>
        </w:rPr>
        <w:t xml:space="preserve">you can inject a </w:t>
      </w:r>
      <w:r>
        <w:rPr>
          <w:rFonts w:ascii="MS Gothic" w:hAnsi="MS Gothic"/>
          <w:color w:val="B02045"/>
          <w:w w:val="110"/>
        </w:rPr>
        <w:t xml:space="preserve">org.springframework.boot.ApplicationArguments </w:t>
      </w:r>
      <w:r>
        <w:rPr>
          <w:color w:val="333333"/>
          <w:w w:val="110"/>
        </w:rPr>
        <w:t xml:space="preserve">bean. The </w:t>
      </w:r>
      <w:r>
        <w:rPr>
          <w:rFonts w:ascii="MS Gothic" w:hAnsi="MS Gothic"/>
          <w:color w:val="B02045"/>
          <w:w w:val="110"/>
        </w:rPr>
        <w:t xml:space="preserve">ApplicationArguments </w:t>
      </w:r>
      <w:r>
        <w:rPr>
          <w:color w:val="333333"/>
          <w:w w:val="110"/>
        </w:rPr>
        <w:t xml:space="preserve">interface provides access to both the raw </w:t>
      </w:r>
      <w:proofErr w:type="gramStart"/>
      <w:r>
        <w:rPr>
          <w:rFonts w:ascii="MS Gothic" w:hAnsi="MS Gothic"/>
          <w:color w:val="B02045"/>
          <w:w w:val="110"/>
        </w:rPr>
        <w:t>String[</w:t>
      </w:r>
      <w:proofErr w:type="gramEnd"/>
      <w:r>
        <w:rPr>
          <w:rFonts w:ascii="MS Gothic" w:hAnsi="MS Gothic"/>
          <w:color w:val="B02045"/>
          <w:w w:val="110"/>
        </w:rPr>
        <w:t xml:space="preserve">] </w:t>
      </w:r>
      <w:r>
        <w:rPr>
          <w:color w:val="333333"/>
          <w:w w:val="110"/>
        </w:rPr>
        <w:t xml:space="preserve">arguments as well as parsed </w:t>
      </w:r>
      <w:r>
        <w:rPr>
          <w:rFonts w:ascii="MS Gothic" w:hAnsi="MS Gothic"/>
          <w:color w:val="B02045"/>
          <w:w w:val="110"/>
        </w:rPr>
        <w:t xml:space="preserve">option </w:t>
      </w:r>
      <w:r>
        <w:rPr>
          <w:color w:val="333333"/>
          <w:w w:val="110"/>
        </w:rPr>
        <w:t xml:space="preserve">and </w:t>
      </w:r>
      <w:r>
        <w:rPr>
          <w:rFonts w:ascii="MS Gothic" w:hAnsi="MS Gothic"/>
          <w:color w:val="B02045"/>
          <w:w w:val="110"/>
        </w:rPr>
        <w:t>non- option</w:t>
      </w:r>
      <w:r>
        <w:rPr>
          <w:rFonts w:ascii="MS Gothic" w:hAnsi="MS Gothic"/>
          <w:color w:val="B02045"/>
          <w:spacing w:val="-46"/>
          <w:w w:val="110"/>
        </w:rPr>
        <w:t xml:space="preserve"> </w:t>
      </w:r>
      <w:r>
        <w:rPr>
          <w:color w:val="333333"/>
          <w:w w:val="110"/>
        </w:rPr>
        <w:t>arguments, as shown in the following example:</w:t>
      </w:r>
    </w:p>
    <w:p w14:paraId="51BDD193" w14:textId="77777777" w:rsidR="00A720EB" w:rsidRDefault="00E10349">
      <w:pPr>
        <w:pStyle w:val="a3"/>
        <w:spacing w:before="2"/>
        <w:rPr>
          <w:sz w:val="14"/>
        </w:rPr>
      </w:pPr>
      <w:r>
        <w:pict w14:anchorId="6EE4531C">
          <v:group id="_x0000_s4672" style="position:absolute;margin-left:47.85pt;margin-top:10.3pt;width:499.55pt;height:243.85pt;z-index:-15632384;mso-wrap-distance-left:0;mso-wrap-distance-right:0;mso-position-horizontal-relative:page" coordorigin="957,206" coordsize="9991,4877">
            <v:shape id="_x0000_s4675" style="position:absolute;left:964;top:213;width:9976;height:4862" coordorigin="965,214" coordsize="9976,4862" path="m10861,214r-9816,l1014,220r-26,17l971,263r-6,31l965,4996r6,31l988,5052r26,17l1045,5076r9816,l10892,5069r25,-17l10935,5027r6,-31l10941,294r-6,-31l10917,237r-25,-17l10861,214xe" fillcolor="#f5f5f5" stroked="f">
              <v:path arrowok="t"/>
            </v:shape>
            <v:shape id="_x0000_s4674" style="position:absolute;left:964;top:213;width:9976;height:4862" coordorigin="965,214" coordsize="9976,4862" path="m1045,214r9816,l10892,220r25,17l10935,263r6,31l10941,4996r-6,31l10917,5052r-25,17l10861,5076r-9816,l1014,5069r-26,-17l971,5027r-6,-31l965,294r6,-31l988,237r26,-17l1045,214xe" filled="f" strokecolor="#ccc">
              <v:path arrowok="t"/>
            </v:shape>
            <v:shape id="_x0000_s4673" type="#_x0000_t202" style="position:absolute;left:984;top:229;width:9938;height:4832" filled="f" stroked="f">
              <v:textbox inset="0,0,0,0">
                <w:txbxContent>
                  <w:p w14:paraId="7A911CCC"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w:t>
                    </w:r>
                  </w:p>
                  <w:p w14:paraId="2C0AB612" w14:textId="77777777" w:rsidR="00711A16" w:rsidRDefault="00711A16">
                    <w:pPr>
                      <w:spacing w:before="13" w:line="252" w:lineRule="auto"/>
                      <w:ind w:left="200" w:right="377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 import org.springframework.stereotype.*;</w:t>
                    </w:r>
                  </w:p>
                  <w:p w14:paraId="31F7A309" w14:textId="77777777" w:rsidR="00711A16" w:rsidRDefault="00711A16">
                    <w:pPr>
                      <w:spacing w:before="10"/>
                      <w:rPr>
                        <w:rFonts w:ascii="MS Gothic"/>
                      </w:rPr>
                    </w:pPr>
                  </w:p>
                  <w:p w14:paraId="04366997" w14:textId="77777777" w:rsidR="00711A16" w:rsidRDefault="00711A16">
                    <w:pPr>
                      <w:ind w:left="200"/>
                      <w:rPr>
                        <w:rFonts w:ascii="MS Gothic"/>
                      </w:rPr>
                    </w:pPr>
                    <w:r>
                      <w:rPr>
                        <w:rFonts w:ascii="MS Gothic"/>
                        <w:color w:val="333333"/>
                      </w:rPr>
                      <w:t>@Component</w:t>
                    </w:r>
                  </w:p>
                  <w:p w14:paraId="367D66C0" w14:textId="77777777" w:rsidR="00711A16" w:rsidRDefault="00711A16">
                    <w:pPr>
                      <w:spacing w:before="13"/>
                      <w:ind w:left="200"/>
                      <w:rPr>
                        <w:rFonts w:ascii="MS Gothic"/>
                      </w:rPr>
                    </w:pPr>
                    <w:r>
                      <w:rPr>
                        <w:rFonts w:ascii="MS Gothic"/>
                        <w:color w:val="333333"/>
                      </w:rPr>
                      <w:t>public class MyBean {</w:t>
                    </w:r>
                  </w:p>
                  <w:p w14:paraId="03DBA3A1" w14:textId="77777777" w:rsidR="00711A16" w:rsidRDefault="00711A16">
                    <w:pPr>
                      <w:rPr>
                        <w:rFonts w:ascii="MS Gothic"/>
                        <w:sz w:val="24"/>
                      </w:rPr>
                    </w:pPr>
                  </w:p>
                  <w:p w14:paraId="1C20FCBB" w14:textId="77777777" w:rsidR="00711A16" w:rsidRDefault="00711A16">
                    <w:pPr>
                      <w:ind w:left="640"/>
                      <w:rPr>
                        <w:rFonts w:ascii="MS Gothic"/>
                      </w:rPr>
                    </w:pPr>
                    <w:r>
                      <w:rPr>
                        <w:rFonts w:ascii="MS Gothic"/>
                        <w:color w:val="333333"/>
                      </w:rPr>
                      <w:t>@Autowired</w:t>
                    </w:r>
                  </w:p>
                  <w:p w14:paraId="388C4FFA" w14:textId="77777777" w:rsidR="00711A16" w:rsidRDefault="00711A16">
                    <w:pPr>
                      <w:spacing w:before="13" w:line="252" w:lineRule="auto"/>
                      <w:ind w:left="1080" w:right="3904"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ApplicationArguments args) { boolean debug = args.containsOption("debug"); List&lt;String&gt; files =</w:t>
                    </w:r>
                    <w:r>
                      <w:rPr>
                        <w:rFonts w:ascii="MS Gothic"/>
                        <w:color w:val="333333"/>
                        <w:spacing w:val="-16"/>
                      </w:rPr>
                      <w:t xml:space="preserve"> </w:t>
                    </w:r>
                    <w:r>
                      <w:rPr>
                        <w:rFonts w:ascii="MS Gothic"/>
                        <w:color w:val="333333"/>
                      </w:rPr>
                      <w:t>args.getNonOptionArgs();</w:t>
                    </w:r>
                  </w:p>
                  <w:p w14:paraId="79E4EC94" w14:textId="77777777" w:rsidR="00711A16" w:rsidRDefault="00711A16">
                    <w:pPr>
                      <w:spacing w:line="278" w:lineRule="exact"/>
                      <w:ind w:left="1080"/>
                      <w:rPr>
                        <w:rFonts w:ascii="MS Gothic"/>
                      </w:rPr>
                    </w:pPr>
                    <w:r>
                      <w:rPr>
                        <w:rFonts w:ascii="MS Gothic"/>
                        <w:color w:val="333333"/>
                      </w:rPr>
                      <w:t>// if run with "--debug logfile.txt" debug=true, files=["logfile.txt"]</w:t>
                    </w:r>
                  </w:p>
                  <w:p w14:paraId="5E54E3E6" w14:textId="77777777" w:rsidR="00711A16" w:rsidRDefault="00711A16">
                    <w:pPr>
                      <w:spacing w:before="13"/>
                      <w:ind w:left="640"/>
                      <w:rPr>
                        <w:rFonts w:ascii="MS Gothic"/>
                      </w:rPr>
                    </w:pPr>
                    <w:r>
                      <w:rPr>
                        <w:rFonts w:ascii="MS Gothic"/>
                        <w:color w:val="333333"/>
                      </w:rPr>
                      <w:t>}</w:t>
                    </w:r>
                  </w:p>
                  <w:p w14:paraId="79B7CB63" w14:textId="77777777" w:rsidR="00711A16" w:rsidRDefault="00711A16">
                    <w:pPr>
                      <w:rPr>
                        <w:rFonts w:ascii="MS Gothic"/>
                        <w:sz w:val="24"/>
                      </w:rPr>
                    </w:pPr>
                  </w:p>
                  <w:p w14:paraId="1B029731" w14:textId="77777777" w:rsidR="00711A16" w:rsidRDefault="00711A16">
                    <w:pPr>
                      <w:ind w:left="200"/>
                      <w:rPr>
                        <w:rFonts w:ascii="MS Gothic"/>
                      </w:rPr>
                    </w:pPr>
                    <w:r>
                      <w:rPr>
                        <w:rFonts w:ascii="MS Gothic"/>
                        <w:color w:val="333333"/>
                      </w:rPr>
                      <w:t>}</w:t>
                    </w:r>
                  </w:p>
                </w:txbxContent>
              </v:textbox>
            </v:shape>
            <w10:wrap type="topAndBottom" anchorx="page"/>
          </v:group>
        </w:pict>
      </w:r>
    </w:p>
    <w:p w14:paraId="7A1DDD39" w14:textId="77777777" w:rsidR="00A720EB" w:rsidRDefault="00A720EB">
      <w:pPr>
        <w:pStyle w:val="a3"/>
        <w:spacing w:before="8"/>
        <w:rPr>
          <w:sz w:val="16"/>
        </w:rPr>
      </w:pPr>
    </w:p>
    <w:p w14:paraId="66BCD854" w14:textId="77777777" w:rsidR="00A720EB" w:rsidRDefault="00E10349">
      <w:pPr>
        <w:pStyle w:val="a3"/>
        <w:spacing w:before="116" w:line="285" w:lineRule="auto"/>
        <w:ind w:left="1564" w:right="362"/>
        <w:jc w:val="both"/>
      </w:pPr>
      <w:r>
        <w:pict w14:anchorId="48555268">
          <v:line id="_x0000_s4671" style="position:absolute;left:0;text-align:left;z-index:15826432;mso-position-horizontal-relative:page" from="108.25pt,.35pt" to="108.25pt,55.7pt" strokecolor="#ededed" strokeweight=".5pt">
            <w10:wrap anchorx="page"/>
          </v:line>
        </w:pict>
      </w:r>
      <w:r w:rsidR="0030286B">
        <w:rPr>
          <w:noProof/>
        </w:rPr>
        <w:drawing>
          <wp:anchor distT="0" distB="0" distL="0" distR="0" simplePos="0" relativeHeight="15826944" behindDoc="0" locked="0" layoutInCell="1" allowOverlap="1" wp14:anchorId="0C4735BA" wp14:editId="22E4E129">
            <wp:simplePos x="0" y="0"/>
            <wp:positionH relativeFrom="page">
              <wp:posOffset>888949</wp:posOffset>
            </wp:positionH>
            <wp:positionV relativeFrom="paragraph">
              <wp:posOffset>203276</wp:posOffset>
            </wp:positionV>
            <wp:extent cx="209550" cy="304800"/>
            <wp:effectExtent l="0" t="0" r="0" b="0"/>
            <wp:wrapNone/>
            <wp:docPr id="1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Spring</w:t>
      </w:r>
      <w:r w:rsidR="0030286B">
        <w:rPr>
          <w:color w:val="333333"/>
          <w:spacing w:val="-31"/>
          <w:w w:val="110"/>
        </w:rPr>
        <w:t xml:space="preserve"> </w:t>
      </w:r>
      <w:r w:rsidR="0030286B">
        <w:rPr>
          <w:color w:val="333333"/>
          <w:w w:val="110"/>
        </w:rPr>
        <w:t>Boot</w:t>
      </w:r>
      <w:r w:rsidR="0030286B">
        <w:rPr>
          <w:color w:val="333333"/>
          <w:spacing w:val="-31"/>
          <w:w w:val="110"/>
        </w:rPr>
        <w:t xml:space="preserve"> </w:t>
      </w:r>
      <w:r w:rsidR="0030286B">
        <w:rPr>
          <w:color w:val="333333"/>
          <w:w w:val="110"/>
        </w:rPr>
        <w:t>also</w:t>
      </w:r>
      <w:r w:rsidR="0030286B">
        <w:rPr>
          <w:color w:val="333333"/>
          <w:spacing w:val="-31"/>
          <w:w w:val="110"/>
        </w:rPr>
        <w:t xml:space="preserve"> </w:t>
      </w:r>
      <w:r w:rsidR="0030286B">
        <w:rPr>
          <w:color w:val="333333"/>
          <w:w w:val="110"/>
        </w:rPr>
        <w:t>registers</w:t>
      </w:r>
      <w:r w:rsidR="0030286B">
        <w:rPr>
          <w:color w:val="333333"/>
          <w:spacing w:val="-31"/>
          <w:w w:val="110"/>
        </w:rPr>
        <w:t xml:space="preserve"> </w:t>
      </w:r>
      <w:r w:rsidR="0030286B">
        <w:rPr>
          <w:color w:val="333333"/>
          <w:w w:val="110"/>
        </w:rPr>
        <w:t>a</w:t>
      </w:r>
      <w:r w:rsidR="0030286B">
        <w:rPr>
          <w:color w:val="333333"/>
          <w:spacing w:val="-29"/>
          <w:w w:val="110"/>
        </w:rPr>
        <w:t xml:space="preserve"> </w:t>
      </w:r>
      <w:r w:rsidR="0030286B">
        <w:rPr>
          <w:rFonts w:ascii="MS Gothic"/>
          <w:color w:val="B02045"/>
          <w:w w:val="110"/>
        </w:rPr>
        <w:t>CommandLinePropertySource</w:t>
      </w:r>
      <w:r w:rsidR="0030286B">
        <w:rPr>
          <w:rFonts w:ascii="MS Gothic"/>
          <w:color w:val="B02045"/>
          <w:spacing w:val="-95"/>
          <w:w w:val="110"/>
        </w:rPr>
        <w:t xml:space="preserve"> </w:t>
      </w:r>
      <w:r w:rsidR="0030286B">
        <w:rPr>
          <w:color w:val="333333"/>
          <w:w w:val="110"/>
        </w:rPr>
        <w:t>with</w:t>
      </w:r>
      <w:r w:rsidR="0030286B">
        <w:rPr>
          <w:color w:val="333333"/>
          <w:spacing w:val="-31"/>
          <w:w w:val="110"/>
        </w:rPr>
        <w:t xml:space="preserve"> </w:t>
      </w:r>
      <w:r w:rsidR="0030286B">
        <w:rPr>
          <w:color w:val="333333"/>
          <w:w w:val="110"/>
        </w:rPr>
        <w:t>the</w:t>
      </w:r>
      <w:r w:rsidR="0030286B">
        <w:rPr>
          <w:color w:val="333333"/>
          <w:spacing w:val="-31"/>
          <w:w w:val="110"/>
        </w:rPr>
        <w:t xml:space="preserve"> </w:t>
      </w:r>
      <w:r w:rsidR="0030286B">
        <w:rPr>
          <w:color w:val="333333"/>
          <w:w w:val="110"/>
        </w:rPr>
        <w:t>Spring</w:t>
      </w:r>
      <w:r w:rsidR="0030286B">
        <w:rPr>
          <w:color w:val="333333"/>
          <w:spacing w:val="-30"/>
          <w:w w:val="110"/>
        </w:rPr>
        <w:t xml:space="preserve"> </w:t>
      </w:r>
      <w:r w:rsidR="0030286B">
        <w:rPr>
          <w:rFonts w:ascii="MS Gothic"/>
          <w:color w:val="B02045"/>
          <w:w w:val="110"/>
        </w:rPr>
        <w:t>Environment</w:t>
      </w:r>
      <w:r w:rsidR="0030286B">
        <w:rPr>
          <w:color w:val="333333"/>
          <w:w w:val="110"/>
        </w:rPr>
        <w:t xml:space="preserve">. This lets you also inject single application arguments </w:t>
      </w:r>
      <w:r w:rsidR="0030286B">
        <w:rPr>
          <w:color w:val="333333"/>
          <w:spacing w:val="-3"/>
          <w:w w:val="110"/>
        </w:rPr>
        <w:t xml:space="preserve">by </w:t>
      </w:r>
      <w:r w:rsidR="0030286B">
        <w:rPr>
          <w:color w:val="333333"/>
          <w:w w:val="110"/>
        </w:rPr>
        <w:t xml:space="preserve">using the </w:t>
      </w:r>
      <w:r w:rsidR="0030286B">
        <w:rPr>
          <w:rFonts w:ascii="MS Gothic"/>
          <w:color w:val="B02045"/>
          <w:w w:val="110"/>
        </w:rPr>
        <w:t xml:space="preserve">@Value </w:t>
      </w:r>
      <w:r w:rsidR="0030286B">
        <w:rPr>
          <w:color w:val="333333"/>
          <w:w w:val="110"/>
        </w:rPr>
        <w:t>annotation.</w:t>
      </w:r>
    </w:p>
    <w:p w14:paraId="75C3FBD5" w14:textId="77777777" w:rsidR="00A720EB" w:rsidRDefault="00A720EB">
      <w:pPr>
        <w:spacing w:line="285" w:lineRule="auto"/>
        <w:jc w:val="both"/>
        <w:sectPr w:rsidR="00A720EB">
          <w:pgSz w:w="11910" w:h="16840"/>
          <w:pgMar w:top="620" w:right="840" w:bottom="520" w:left="840" w:header="0" w:footer="323" w:gutter="0"/>
          <w:cols w:space="720"/>
        </w:sectPr>
      </w:pPr>
    </w:p>
    <w:p w14:paraId="7AA11B1A" w14:textId="77777777" w:rsidR="00A720EB" w:rsidRDefault="0030286B">
      <w:pPr>
        <w:pStyle w:val="3"/>
        <w:numPr>
          <w:ilvl w:val="2"/>
          <w:numId w:val="68"/>
        </w:numPr>
        <w:tabs>
          <w:tab w:val="left" w:pos="1003"/>
        </w:tabs>
        <w:spacing w:before="87"/>
        <w:ind w:left="1002" w:hanging="879"/>
      </w:pPr>
      <w:bookmarkStart w:id="166" w:name="4.1.10._Using_the_ApplicationRunner_or_C"/>
      <w:bookmarkStart w:id="167" w:name="_Toc54423719"/>
      <w:bookmarkEnd w:id="166"/>
      <w:r>
        <w:rPr>
          <w:color w:val="333333"/>
          <w:w w:val="110"/>
        </w:rPr>
        <w:lastRenderedPageBreak/>
        <w:t>Using the ApplicationRunner or</w:t>
      </w:r>
      <w:r>
        <w:rPr>
          <w:color w:val="333333"/>
          <w:spacing w:val="-31"/>
          <w:w w:val="110"/>
        </w:rPr>
        <w:t xml:space="preserve"> </w:t>
      </w:r>
      <w:r>
        <w:rPr>
          <w:color w:val="333333"/>
          <w:w w:val="110"/>
        </w:rPr>
        <w:t>CommandLineRunner</w:t>
      </w:r>
      <w:bookmarkEnd w:id="167"/>
    </w:p>
    <w:p w14:paraId="1199B70C" w14:textId="77777777" w:rsidR="00A720EB" w:rsidRDefault="0030286B">
      <w:pPr>
        <w:pStyle w:val="a3"/>
        <w:spacing w:before="243" w:line="280" w:lineRule="auto"/>
        <w:ind w:left="124" w:right="125"/>
        <w:jc w:val="both"/>
      </w:pPr>
      <w:r>
        <w:rPr>
          <w:color w:val="333333"/>
          <w:w w:val="110"/>
        </w:rPr>
        <w:t xml:space="preserve">If you need to run some specific code once the </w:t>
      </w:r>
      <w:r>
        <w:rPr>
          <w:rFonts w:ascii="MS Gothic" w:hAnsi="MS Gothic"/>
          <w:color w:val="B02045"/>
          <w:w w:val="110"/>
        </w:rPr>
        <w:t xml:space="preserve">SpringApplication </w:t>
      </w:r>
      <w:r>
        <w:rPr>
          <w:color w:val="333333"/>
          <w:w w:val="110"/>
        </w:rPr>
        <w:t xml:space="preserve">has started, you can implement the </w:t>
      </w:r>
      <w:r>
        <w:rPr>
          <w:rFonts w:ascii="MS Gothic" w:hAnsi="MS Gothic"/>
          <w:color w:val="B02045"/>
          <w:w w:val="110"/>
        </w:rPr>
        <w:t xml:space="preserve">ApplicationRunner </w:t>
      </w:r>
      <w:r>
        <w:rPr>
          <w:color w:val="333333"/>
          <w:w w:val="110"/>
        </w:rPr>
        <w:t xml:space="preserve">or </w:t>
      </w:r>
      <w:r>
        <w:rPr>
          <w:rFonts w:ascii="MS Gothic" w:hAnsi="MS Gothic"/>
          <w:color w:val="B02045"/>
          <w:w w:val="110"/>
        </w:rPr>
        <w:t>CommandLineRunner</w:t>
      </w:r>
      <w:r>
        <w:rPr>
          <w:rFonts w:ascii="MS Gothic" w:hAnsi="MS Gothic"/>
          <w:color w:val="B02045"/>
          <w:spacing w:val="-48"/>
          <w:w w:val="110"/>
        </w:rPr>
        <w:t xml:space="preserve"> </w:t>
      </w:r>
      <w:r>
        <w:rPr>
          <w:color w:val="333333"/>
          <w:w w:val="110"/>
        </w:rPr>
        <w:t>interfaces. Both interfaces work in the same way and offer</w:t>
      </w:r>
      <w:r>
        <w:rPr>
          <w:color w:val="333333"/>
          <w:spacing w:val="-6"/>
          <w:w w:val="110"/>
        </w:rPr>
        <w:t xml:space="preserve"> </w:t>
      </w:r>
      <w:r>
        <w:rPr>
          <w:color w:val="333333"/>
          <w:w w:val="110"/>
        </w:rPr>
        <w:t>a</w:t>
      </w:r>
      <w:r>
        <w:rPr>
          <w:color w:val="333333"/>
          <w:spacing w:val="-6"/>
          <w:w w:val="110"/>
        </w:rPr>
        <w:t xml:space="preserve"> </w:t>
      </w:r>
      <w:r>
        <w:rPr>
          <w:color w:val="333333"/>
          <w:w w:val="110"/>
        </w:rPr>
        <w:t>single</w:t>
      </w:r>
      <w:r>
        <w:rPr>
          <w:color w:val="333333"/>
          <w:spacing w:val="-5"/>
          <w:w w:val="110"/>
        </w:rPr>
        <w:t xml:space="preserve"> </w:t>
      </w:r>
      <w:r>
        <w:rPr>
          <w:rFonts w:ascii="MS Gothic" w:hAnsi="MS Gothic"/>
          <w:color w:val="B02045"/>
          <w:w w:val="110"/>
        </w:rPr>
        <w:t>run</w:t>
      </w:r>
      <w:r>
        <w:rPr>
          <w:rFonts w:ascii="MS Gothic" w:hAnsi="MS Gothic"/>
          <w:color w:val="B02045"/>
          <w:spacing w:val="-70"/>
          <w:w w:val="110"/>
        </w:rPr>
        <w:t xml:space="preserve"> </w:t>
      </w:r>
      <w:r>
        <w:rPr>
          <w:color w:val="333333"/>
          <w:w w:val="110"/>
        </w:rPr>
        <w:t>method,</w:t>
      </w:r>
      <w:r>
        <w:rPr>
          <w:color w:val="333333"/>
          <w:spacing w:val="-6"/>
          <w:w w:val="110"/>
        </w:rPr>
        <w:t xml:space="preserve"> </w:t>
      </w:r>
      <w:r>
        <w:rPr>
          <w:color w:val="333333"/>
          <w:w w:val="110"/>
        </w:rPr>
        <w:t>which</w:t>
      </w:r>
      <w:r>
        <w:rPr>
          <w:color w:val="333333"/>
          <w:spacing w:val="-5"/>
          <w:w w:val="110"/>
        </w:rPr>
        <w:t xml:space="preserve"> </w:t>
      </w:r>
      <w:r>
        <w:rPr>
          <w:color w:val="333333"/>
          <w:w w:val="110"/>
        </w:rPr>
        <w:t>is</w:t>
      </w:r>
      <w:r>
        <w:rPr>
          <w:color w:val="333333"/>
          <w:spacing w:val="-6"/>
          <w:w w:val="110"/>
        </w:rPr>
        <w:t xml:space="preserve"> </w:t>
      </w:r>
      <w:r>
        <w:rPr>
          <w:color w:val="333333"/>
          <w:w w:val="110"/>
        </w:rPr>
        <w:t>called</w:t>
      </w:r>
      <w:r>
        <w:rPr>
          <w:color w:val="333333"/>
          <w:spacing w:val="-6"/>
          <w:w w:val="110"/>
        </w:rPr>
        <w:t xml:space="preserve"> </w:t>
      </w:r>
      <w:r>
        <w:rPr>
          <w:color w:val="333333"/>
          <w:w w:val="110"/>
        </w:rPr>
        <w:t>just</w:t>
      </w:r>
      <w:r>
        <w:rPr>
          <w:color w:val="333333"/>
          <w:spacing w:val="-6"/>
          <w:w w:val="110"/>
        </w:rPr>
        <w:t xml:space="preserve"> </w:t>
      </w:r>
      <w:r>
        <w:rPr>
          <w:color w:val="333333"/>
          <w:w w:val="110"/>
        </w:rPr>
        <w:t xml:space="preserve">before </w:t>
      </w:r>
      <w:proofErr w:type="gramStart"/>
      <w:r>
        <w:rPr>
          <w:rFonts w:ascii="MS Gothic" w:hAnsi="MS Gothic"/>
          <w:color w:val="B02045"/>
          <w:w w:val="110"/>
        </w:rPr>
        <w:t>SpringApplication.run(</w:t>
      </w:r>
      <w:proofErr w:type="gramEnd"/>
      <w:r>
        <w:rPr>
          <w:rFonts w:ascii="MS Gothic" w:hAnsi="MS Gothic"/>
          <w:color w:val="B02045"/>
          <w:w w:val="110"/>
        </w:rPr>
        <w:t>…)</w:t>
      </w:r>
      <w:r>
        <w:rPr>
          <w:rFonts w:ascii="MS Gothic" w:hAnsi="MS Gothic"/>
          <w:color w:val="B02045"/>
          <w:spacing w:val="-70"/>
          <w:w w:val="110"/>
        </w:rPr>
        <w:t xml:space="preserve"> </w:t>
      </w:r>
      <w:r>
        <w:rPr>
          <w:color w:val="333333"/>
          <w:w w:val="110"/>
        </w:rPr>
        <w:t>completes.</w:t>
      </w:r>
    </w:p>
    <w:p w14:paraId="511011EA" w14:textId="77777777" w:rsidR="00A720EB" w:rsidRDefault="00A720EB">
      <w:pPr>
        <w:pStyle w:val="a3"/>
        <w:spacing w:before="4"/>
        <w:rPr>
          <w:sz w:val="28"/>
        </w:rPr>
      </w:pPr>
    </w:p>
    <w:p w14:paraId="708C0D94" w14:textId="77777777" w:rsidR="00A720EB" w:rsidRDefault="00E10349">
      <w:pPr>
        <w:pStyle w:val="a3"/>
        <w:spacing w:before="1" w:line="307" w:lineRule="auto"/>
        <w:ind w:left="1564" w:right="462"/>
      </w:pPr>
      <w:r>
        <w:pict w14:anchorId="419EAB66">
          <v:line id="_x0000_s4670" style="position:absolute;left:0;text-align:left;z-index:15827968;mso-position-horizontal-relative:page" from="108.25pt,-5.95pt" to="108.25pt,33.6pt" strokecolor="#ededed" strokeweight=".5pt">
            <w10:wrap anchorx="page"/>
          </v:line>
        </w:pict>
      </w:r>
      <w:r w:rsidR="0030286B">
        <w:rPr>
          <w:noProof/>
        </w:rPr>
        <w:drawing>
          <wp:anchor distT="0" distB="0" distL="0" distR="0" simplePos="0" relativeHeight="15828480" behindDoc="0" locked="0" layoutInCell="1" allowOverlap="1" wp14:anchorId="7F224929" wp14:editId="615D9351">
            <wp:simplePos x="0" y="0"/>
            <wp:positionH relativeFrom="page">
              <wp:posOffset>844422</wp:posOffset>
            </wp:positionH>
            <wp:positionV relativeFrom="paragraph">
              <wp:posOffset>26581</wp:posOffset>
            </wp:positionV>
            <wp:extent cx="298450" cy="298450"/>
            <wp:effectExtent l="0" t="0" r="0" b="0"/>
            <wp:wrapNone/>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This contract is well suited for tasks that should run after application startup but before it starts accepting traffic.</w:t>
      </w:r>
    </w:p>
    <w:p w14:paraId="47F1E339" w14:textId="77777777" w:rsidR="00A720EB" w:rsidRDefault="00A720EB">
      <w:pPr>
        <w:pStyle w:val="a3"/>
        <w:spacing w:before="5"/>
        <w:rPr>
          <w:sz w:val="26"/>
        </w:rPr>
      </w:pPr>
    </w:p>
    <w:p w14:paraId="25A6D04F" w14:textId="77777777" w:rsidR="00A720EB" w:rsidRDefault="0030286B">
      <w:pPr>
        <w:pStyle w:val="a3"/>
        <w:spacing w:line="280" w:lineRule="auto"/>
        <w:ind w:left="124" w:right="127"/>
        <w:jc w:val="both"/>
      </w:pPr>
      <w:r>
        <w:rPr>
          <w:color w:val="333333"/>
          <w:w w:val="110"/>
        </w:rPr>
        <w:t xml:space="preserve">The </w:t>
      </w:r>
      <w:r>
        <w:rPr>
          <w:rFonts w:ascii="MS Gothic"/>
          <w:color w:val="B02045"/>
          <w:w w:val="110"/>
        </w:rPr>
        <w:t xml:space="preserve">CommandLineRunner </w:t>
      </w:r>
      <w:r>
        <w:rPr>
          <w:color w:val="333333"/>
          <w:w w:val="110"/>
        </w:rPr>
        <w:t xml:space="preserve">interfaces provides access to application arguments as a string </w:t>
      </w:r>
      <w:r>
        <w:rPr>
          <w:color w:val="333333"/>
          <w:spacing w:val="-6"/>
          <w:w w:val="110"/>
        </w:rPr>
        <w:t xml:space="preserve">array, </w:t>
      </w:r>
      <w:r>
        <w:rPr>
          <w:color w:val="333333"/>
          <w:w w:val="110"/>
        </w:rPr>
        <w:t xml:space="preserve">whereas the </w:t>
      </w:r>
      <w:r>
        <w:rPr>
          <w:rFonts w:ascii="MS Gothic"/>
          <w:color w:val="B02045"/>
          <w:w w:val="110"/>
        </w:rPr>
        <w:t xml:space="preserve">ApplicationRunner </w:t>
      </w:r>
      <w:r>
        <w:rPr>
          <w:color w:val="333333"/>
          <w:w w:val="110"/>
        </w:rPr>
        <w:t xml:space="preserve">uses the </w:t>
      </w:r>
      <w:r>
        <w:rPr>
          <w:rFonts w:ascii="MS Gothic"/>
          <w:color w:val="B02045"/>
          <w:w w:val="110"/>
        </w:rPr>
        <w:t xml:space="preserve">ApplicationArguments </w:t>
      </w:r>
      <w:r>
        <w:rPr>
          <w:color w:val="333333"/>
          <w:w w:val="110"/>
        </w:rPr>
        <w:t xml:space="preserve">interface discussed earlier. The following example shows a </w:t>
      </w:r>
      <w:r>
        <w:rPr>
          <w:rFonts w:ascii="MS Gothic"/>
          <w:color w:val="B02045"/>
          <w:w w:val="110"/>
        </w:rPr>
        <w:t>CommandLineRunner</w:t>
      </w:r>
      <w:r>
        <w:rPr>
          <w:rFonts w:ascii="MS Gothic"/>
          <w:color w:val="B02045"/>
          <w:spacing w:val="-64"/>
          <w:w w:val="110"/>
        </w:rPr>
        <w:t xml:space="preserve"> </w:t>
      </w:r>
      <w:r>
        <w:rPr>
          <w:color w:val="333333"/>
          <w:w w:val="110"/>
        </w:rPr>
        <w:t xml:space="preserve">with a </w:t>
      </w:r>
      <w:r>
        <w:rPr>
          <w:rFonts w:ascii="MS Gothic"/>
          <w:color w:val="B02045"/>
          <w:w w:val="110"/>
        </w:rPr>
        <w:t>run</w:t>
      </w:r>
      <w:r>
        <w:rPr>
          <w:rFonts w:ascii="MS Gothic"/>
          <w:color w:val="B02045"/>
          <w:spacing w:val="-64"/>
          <w:w w:val="110"/>
        </w:rPr>
        <w:t xml:space="preserve"> </w:t>
      </w:r>
      <w:r>
        <w:rPr>
          <w:color w:val="333333"/>
          <w:w w:val="110"/>
        </w:rPr>
        <w:t>method:</w:t>
      </w:r>
    </w:p>
    <w:p w14:paraId="0B922EEF" w14:textId="77777777" w:rsidR="00A720EB" w:rsidRDefault="00E10349">
      <w:pPr>
        <w:pStyle w:val="a3"/>
        <w:spacing w:before="2"/>
        <w:rPr>
          <w:sz w:val="14"/>
        </w:rPr>
      </w:pPr>
      <w:r>
        <w:pict w14:anchorId="5DE97A24">
          <v:group id="_x0000_s4666" style="position:absolute;margin-left:47.85pt;margin-top:10.3pt;width:499.55pt;height:184.9pt;z-index:-15629824;mso-wrap-distance-left:0;mso-wrap-distance-right:0;mso-position-horizontal-relative:page" coordorigin="957,206" coordsize="9991,3698">
            <v:shape id="_x0000_s4669" style="position:absolute;left:964;top:213;width:9976;height:3683" coordorigin="965,214" coordsize="9976,3683" path="m10861,214r-9816,l1014,220r-26,17l971,263r-6,31l965,3816r6,32l988,3873r26,17l1045,3896r9816,l10892,3890r25,-17l10935,3848r6,-32l10941,294r-6,-31l10917,237r-25,-17l10861,214xe" fillcolor="#f5f5f5" stroked="f">
              <v:path arrowok="t"/>
            </v:shape>
            <v:shape id="_x0000_s4668" style="position:absolute;left:964;top:213;width:9976;height:3683" coordorigin="965,214" coordsize="9976,3683" path="m1045,214r9816,l10892,220r25,17l10935,263r6,31l10941,3816r-6,32l10917,3873r-25,17l10861,3896r-9816,l1014,3890r-26,-17l971,3848r-6,-32l965,294r6,-31l988,237r26,-17l1045,214xe" filled="f" strokecolor="#ccc">
              <v:path arrowok="t"/>
            </v:shape>
            <v:shape id="_x0000_s4667" type="#_x0000_t202" style="position:absolute;left:984;top:229;width:9938;height:3652" filled="f" stroked="f">
              <v:textbox inset="0,0,0,0">
                <w:txbxContent>
                  <w:p w14:paraId="3684556D" w14:textId="77777777" w:rsidR="00711A16" w:rsidRDefault="00711A16">
                    <w:pPr>
                      <w:spacing w:before="221" w:line="252" w:lineRule="auto"/>
                      <w:ind w:left="200" w:right="5334"/>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 import</w:t>
                    </w:r>
                    <w:r>
                      <w:rPr>
                        <w:rFonts w:ascii="MS Gothic"/>
                        <w:color w:val="333333"/>
                        <w:spacing w:val="-14"/>
                      </w:rPr>
                      <w:t xml:space="preserve"> </w:t>
                    </w:r>
                    <w:r>
                      <w:rPr>
                        <w:rFonts w:ascii="MS Gothic"/>
                        <w:color w:val="333333"/>
                      </w:rPr>
                      <w:t>org.springframework.stereotype.*;</w:t>
                    </w:r>
                  </w:p>
                  <w:p w14:paraId="0DCE06B3" w14:textId="77777777" w:rsidR="00711A16" w:rsidRDefault="00711A16">
                    <w:pPr>
                      <w:spacing w:before="10"/>
                      <w:rPr>
                        <w:rFonts w:ascii="MS Gothic"/>
                      </w:rPr>
                    </w:pPr>
                  </w:p>
                  <w:p w14:paraId="33E3BB2C" w14:textId="77777777" w:rsidR="00711A16" w:rsidRDefault="00711A16">
                    <w:pPr>
                      <w:ind w:left="200"/>
                      <w:rPr>
                        <w:rFonts w:ascii="MS Gothic"/>
                      </w:rPr>
                    </w:pPr>
                    <w:r>
                      <w:rPr>
                        <w:rFonts w:ascii="MS Gothic"/>
                        <w:color w:val="333333"/>
                      </w:rPr>
                      <w:t>@Component</w:t>
                    </w:r>
                  </w:p>
                  <w:p w14:paraId="42905F06" w14:textId="77777777" w:rsidR="00711A16" w:rsidRDefault="00711A16">
                    <w:pPr>
                      <w:spacing w:before="13"/>
                      <w:ind w:left="200"/>
                      <w:rPr>
                        <w:rFonts w:ascii="MS Gothic"/>
                      </w:rPr>
                    </w:pPr>
                    <w:r>
                      <w:rPr>
                        <w:rFonts w:ascii="MS Gothic"/>
                        <w:color w:val="333333"/>
                      </w:rPr>
                      <w:t>public class MyBean implements CommandLineRunner {</w:t>
                    </w:r>
                  </w:p>
                  <w:p w14:paraId="379A536E" w14:textId="77777777" w:rsidR="00711A16" w:rsidRDefault="00711A16">
                    <w:pPr>
                      <w:rPr>
                        <w:rFonts w:ascii="MS Gothic"/>
                        <w:sz w:val="24"/>
                      </w:rPr>
                    </w:pPr>
                  </w:p>
                  <w:p w14:paraId="367F6C2B" w14:textId="77777777" w:rsidR="00711A16" w:rsidRDefault="00711A16">
                    <w:pPr>
                      <w:ind w:left="640"/>
                      <w:rPr>
                        <w:rFonts w:ascii="MS Gothic"/>
                      </w:rPr>
                    </w:pPr>
                    <w:r>
                      <w:rPr>
                        <w:rFonts w:ascii="MS Gothic"/>
                        <w:color w:val="333333"/>
                      </w:rPr>
                      <w:t xml:space="preserve">public void </w:t>
                    </w:r>
                    <w:proofErr w:type="gramStart"/>
                    <w:r>
                      <w:rPr>
                        <w:rFonts w:ascii="MS Gothic"/>
                        <w:color w:val="333333"/>
                      </w:rPr>
                      <w:t>run(</w:t>
                    </w:r>
                    <w:proofErr w:type="gramEnd"/>
                    <w:r>
                      <w:rPr>
                        <w:rFonts w:ascii="MS Gothic"/>
                        <w:color w:val="333333"/>
                      </w:rPr>
                      <w:t>String... args) {</w:t>
                    </w:r>
                  </w:p>
                  <w:p w14:paraId="516572DB" w14:textId="77777777" w:rsidR="00711A16" w:rsidRDefault="00711A16">
                    <w:pPr>
                      <w:spacing w:before="13"/>
                      <w:ind w:left="1080"/>
                      <w:rPr>
                        <w:rFonts w:ascii="MS Gothic"/>
                      </w:rPr>
                    </w:pPr>
                    <w:r>
                      <w:rPr>
                        <w:rFonts w:ascii="MS Gothic"/>
                        <w:color w:val="333333"/>
                      </w:rPr>
                      <w:t>// Do something...</w:t>
                    </w:r>
                  </w:p>
                  <w:p w14:paraId="3BF40F1B" w14:textId="77777777" w:rsidR="00711A16" w:rsidRDefault="00711A16">
                    <w:pPr>
                      <w:spacing w:before="13"/>
                      <w:ind w:left="640"/>
                      <w:rPr>
                        <w:rFonts w:ascii="MS Gothic"/>
                      </w:rPr>
                    </w:pPr>
                    <w:r>
                      <w:rPr>
                        <w:rFonts w:ascii="MS Gothic"/>
                        <w:color w:val="333333"/>
                      </w:rPr>
                      <w:t>}</w:t>
                    </w:r>
                  </w:p>
                  <w:p w14:paraId="1CF44698" w14:textId="77777777" w:rsidR="00711A16" w:rsidRDefault="00711A16">
                    <w:pPr>
                      <w:rPr>
                        <w:rFonts w:ascii="MS Gothic"/>
                        <w:sz w:val="24"/>
                      </w:rPr>
                    </w:pPr>
                  </w:p>
                  <w:p w14:paraId="6244E924"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021F3E33" w14:textId="77777777" w:rsidR="00A720EB" w:rsidRDefault="00A720EB">
      <w:pPr>
        <w:pStyle w:val="a3"/>
        <w:spacing w:before="11"/>
        <w:rPr>
          <w:sz w:val="9"/>
        </w:rPr>
      </w:pPr>
    </w:p>
    <w:p w14:paraId="03A1E6EC" w14:textId="77777777" w:rsidR="00A720EB" w:rsidRDefault="0030286B">
      <w:pPr>
        <w:pStyle w:val="a3"/>
        <w:spacing w:before="115" w:line="280" w:lineRule="auto"/>
        <w:ind w:left="124" w:right="125"/>
        <w:jc w:val="both"/>
      </w:pPr>
      <w:r>
        <w:rPr>
          <w:color w:val="333333"/>
          <w:w w:val="110"/>
        </w:rPr>
        <w:t>If</w:t>
      </w:r>
      <w:r>
        <w:rPr>
          <w:color w:val="333333"/>
          <w:spacing w:val="-13"/>
          <w:w w:val="110"/>
        </w:rPr>
        <w:t xml:space="preserve"> </w:t>
      </w:r>
      <w:r>
        <w:rPr>
          <w:color w:val="333333"/>
          <w:w w:val="110"/>
        </w:rPr>
        <w:t>several</w:t>
      </w:r>
      <w:r>
        <w:rPr>
          <w:color w:val="333333"/>
          <w:spacing w:val="-12"/>
          <w:w w:val="110"/>
        </w:rPr>
        <w:t xml:space="preserve"> </w:t>
      </w:r>
      <w:r>
        <w:rPr>
          <w:rFonts w:ascii="MS Gothic"/>
          <w:color w:val="B02045"/>
          <w:w w:val="110"/>
        </w:rPr>
        <w:t>CommandLineRunner</w:t>
      </w:r>
      <w:r>
        <w:rPr>
          <w:rFonts w:ascii="MS Gothic"/>
          <w:color w:val="B02045"/>
          <w:spacing w:val="-78"/>
          <w:w w:val="110"/>
        </w:rPr>
        <w:t xml:space="preserve"> </w:t>
      </w:r>
      <w:r>
        <w:rPr>
          <w:color w:val="333333"/>
          <w:w w:val="110"/>
        </w:rPr>
        <w:t>or</w:t>
      </w:r>
      <w:r>
        <w:rPr>
          <w:color w:val="333333"/>
          <w:spacing w:val="-12"/>
          <w:w w:val="110"/>
        </w:rPr>
        <w:t xml:space="preserve"> </w:t>
      </w:r>
      <w:r>
        <w:rPr>
          <w:rFonts w:ascii="MS Gothic"/>
          <w:color w:val="B02045"/>
          <w:w w:val="110"/>
        </w:rPr>
        <w:t>ApplicationRunner</w:t>
      </w:r>
      <w:r>
        <w:rPr>
          <w:rFonts w:ascii="MS Gothic"/>
          <w:color w:val="B02045"/>
          <w:spacing w:val="-77"/>
          <w:w w:val="110"/>
        </w:rPr>
        <w:t xml:space="preserve"> </w:t>
      </w:r>
      <w:r>
        <w:rPr>
          <w:color w:val="333333"/>
          <w:w w:val="110"/>
        </w:rPr>
        <w:t>beans</w:t>
      </w:r>
      <w:r>
        <w:rPr>
          <w:color w:val="333333"/>
          <w:spacing w:val="-13"/>
          <w:w w:val="110"/>
        </w:rPr>
        <w:t xml:space="preserve"> </w:t>
      </w:r>
      <w:r>
        <w:rPr>
          <w:color w:val="333333"/>
          <w:w w:val="110"/>
        </w:rPr>
        <w:t>are</w:t>
      </w:r>
      <w:r>
        <w:rPr>
          <w:color w:val="333333"/>
          <w:spacing w:val="-12"/>
          <w:w w:val="110"/>
        </w:rPr>
        <w:t xml:space="preserve"> </w:t>
      </w:r>
      <w:r>
        <w:rPr>
          <w:color w:val="333333"/>
          <w:w w:val="110"/>
        </w:rPr>
        <w:t>defined</w:t>
      </w:r>
      <w:r>
        <w:rPr>
          <w:color w:val="333333"/>
          <w:spacing w:val="-13"/>
          <w:w w:val="110"/>
        </w:rPr>
        <w:t xml:space="preserve"> </w:t>
      </w:r>
      <w:r>
        <w:rPr>
          <w:color w:val="333333"/>
          <w:w w:val="110"/>
        </w:rPr>
        <w:t>that</w:t>
      </w:r>
      <w:r>
        <w:rPr>
          <w:color w:val="333333"/>
          <w:spacing w:val="-12"/>
          <w:w w:val="110"/>
        </w:rPr>
        <w:t xml:space="preserve"> </w:t>
      </w:r>
      <w:r>
        <w:rPr>
          <w:color w:val="333333"/>
          <w:w w:val="110"/>
        </w:rPr>
        <w:t>must</w:t>
      </w:r>
      <w:r>
        <w:rPr>
          <w:color w:val="333333"/>
          <w:spacing w:val="-13"/>
          <w:w w:val="110"/>
        </w:rPr>
        <w:t xml:space="preserve"> </w:t>
      </w:r>
      <w:r>
        <w:rPr>
          <w:color w:val="333333"/>
          <w:w w:val="110"/>
        </w:rPr>
        <w:t>be</w:t>
      </w:r>
      <w:r>
        <w:rPr>
          <w:color w:val="333333"/>
          <w:spacing w:val="-12"/>
          <w:w w:val="110"/>
        </w:rPr>
        <w:t xml:space="preserve"> </w:t>
      </w:r>
      <w:r>
        <w:rPr>
          <w:color w:val="333333"/>
          <w:w w:val="110"/>
        </w:rPr>
        <w:t>called</w:t>
      </w:r>
      <w:r>
        <w:rPr>
          <w:color w:val="333333"/>
          <w:spacing w:val="-13"/>
          <w:w w:val="110"/>
        </w:rPr>
        <w:t xml:space="preserve"> </w:t>
      </w:r>
      <w:r>
        <w:rPr>
          <w:color w:val="333333"/>
          <w:w w:val="110"/>
        </w:rPr>
        <w:t>in</w:t>
      </w:r>
      <w:r>
        <w:rPr>
          <w:color w:val="333333"/>
          <w:spacing w:val="-12"/>
          <w:w w:val="110"/>
        </w:rPr>
        <w:t xml:space="preserve"> </w:t>
      </w:r>
      <w:r>
        <w:rPr>
          <w:color w:val="333333"/>
          <w:w w:val="110"/>
        </w:rPr>
        <w:t>a</w:t>
      </w:r>
      <w:r>
        <w:rPr>
          <w:color w:val="333333"/>
          <w:spacing w:val="-13"/>
          <w:w w:val="110"/>
        </w:rPr>
        <w:t xml:space="preserve"> </w:t>
      </w:r>
      <w:r>
        <w:rPr>
          <w:color w:val="333333"/>
          <w:w w:val="110"/>
        </w:rPr>
        <w:t xml:space="preserve">specific order, you can additionally implement the </w:t>
      </w:r>
      <w:proofErr w:type="gramStart"/>
      <w:r>
        <w:rPr>
          <w:rFonts w:ascii="MS Gothic"/>
          <w:color w:val="B02045"/>
          <w:w w:val="110"/>
        </w:rPr>
        <w:t>org.springframework</w:t>
      </w:r>
      <w:proofErr w:type="gramEnd"/>
      <w:r>
        <w:rPr>
          <w:rFonts w:ascii="MS Gothic"/>
          <w:color w:val="B02045"/>
          <w:w w:val="110"/>
        </w:rPr>
        <w:t xml:space="preserve">.core.Ordered </w:t>
      </w:r>
      <w:r>
        <w:rPr>
          <w:color w:val="333333"/>
          <w:w w:val="110"/>
        </w:rPr>
        <w:t xml:space="preserve">interface or use the </w:t>
      </w:r>
      <w:r>
        <w:rPr>
          <w:rFonts w:ascii="MS Gothic"/>
          <w:color w:val="B02045"/>
          <w:w w:val="110"/>
        </w:rPr>
        <w:t>org.springframework.core.annotation.Order</w:t>
      </w:r>
      <w:r>
        <w:rPr>
          <w:rFonts w:ascii="MS Gothic"/>
          <w:color w:val="B02045"/>
          <w:spacing w:val="-67"/>
          <w:w w:val="110"/>
        </w:rPr>
        <w:t xml:space="preserve"> </w:t>
      </w:r>
      <w:r>
        <w:rPr>
          <w:color w:val="333333"/>
          <w:w w:val="110"/>
        </w:rPr>
        <w:t>annotation.</w:t>
      </w:r>
    </w:p>
    <w:p w14:paraId="7524AEA5" w14:textId="77777777" w:rsidR="00A720EB" w:rsidRDefault="00A720EB">
      <w:pPr>
        <w:pStyle w:val="a3"/>
        <w:spacing w:before="9"/>
        <w:rPr>
          <w:sz w:val="26"/>
        </w:rPr>
      </w:pPr>
    </w:p>
    <w:p w14:paraId="1B4CE8A5" w14:textId="77777777" w:rsidR="00A720EB" w:rsidRDefault="0030286B">
      <w:pPr>
        <w:pStyle w:val="3"/>
        <w:numPr>
          <w:ilvl w:val="2"/>
          <w:numId w:val="68"/>
        </w:numPr>
        <w:tabs>
          <w:tab w:val="left" w:pos="1003"/>
        </w:tabs>
        <w:ind w:left="1002" w:hanging="879"/>
      </w:pPr>
      <w:bookmarkStart w:id="168" w:name="4.1.11._Application_Exit"/>
      <w:bookmarkStart w:id="169" w:name="_Toc54423720"/>
      <w:bookmarkEnd w:id="168"/>
      <w:r>
        <w:rPr>
          <w:color w:val="333333"/>
          <w:w w:val="110"/>
        </w:rPr>
        <w:t>Application</w:t>
      </w:r>
      <w:r>
        <w:rPr>
          <w:color w:val="333333"/>
          <w:spacing w:val="-6"/>
          <w:w w:val="110"/>
        </w:rPr>
        <w:t xml:space="preserve"> </w:t>
      </w:r>
      <w:r>
        <w:rPr>
          <w:color w:val="333333"/>
          <w:w w:val="110"/>
        </w:rPr>
        <w:t>Exit</w:t>
      </w:r>
      <w:bookmarkEnd w:id="169"/>
    </w:p>
    <w:p w14:paraId="7085BE1B" w14:textId="77777777" w:rsidR="00A720EB" w:rsidRDefault="0030286B">
      <w:pPr>
        <w:pStyle w:val="a3"/>
        <w:spacing w:before="244" w:line="280" w:lineRule="auto"/>
        <w:ind w:left="124" w:right="124"/>
        <w:jc w:val="both"/>
      </w:pPr>
      <w:r>
        <w:rPr>
          <w:color w:val="333333"/>
          <w:w w:val="110"/>
        </w:rPr>
        <w:t xml:space="preserve">Each </w:t>
      </w:r>
      <w:r>
        <w:rPr>
          <w:rFonts w:ascii="MS Gothic"/>
          <w:color w:val="B02045"/>
          <w:w w:val="110"/>
        </w:rPr>
        <w:t xml:space="preserve">SpringApplication </w:t>
      </w:r>
      <w:r>
        <w:rPr>
          <w:color w:val="333333"/>
          <w:w w:val="110"/>
        </w:rPr>
        <w:t xml:space="preserve">registers a shutdown hook with the JVM to ensure that the </w:t>
      </w:r>
      <w:r>
        <w:rPr>
          <w:rFonts w:ascii="MS Gothic"/>
          <w:color w:val="B02045"/>
          <w:w w:val="110"/>
        </w:rPr>
        <w:t xml:space="preserve">ApplicationContext </w:t>
      </w:r>
      <w:r>
        <w:rPr>
          <w:color w:val="333333"/>
          <w:w w:val="110"/>
        </w:rPr>
        <w:t xml:space="preserve">closes gracefully on exit. All the standard Spring lifecycle callbacks (such as the </w:t>
      </w:r>
      <w:r>
        <w:rPr>
          <w:rFonts w:ascii="MS Gothic"/>
          <w:color w:val="B02045"/>
          <w:w w:val="110"/>
        </w:rPr>
        <w:t>DisposableBean</w:t>
      </w:r>
      <w:r>
        <w:rPr>
          <w:rFonts w:ascii="MS Gothic"/>
          <w:color w:val="B02045"/>
          <w:spacing w:val="-65"/>
          <w:w w:val="110"/>
        </w:rPr>
        <w:t xml:space="preserve"> </w:t>
      </w:r>
      <w:r>
        <w:rPr>
          <w:color w:val="333333"/>
          <w:w w:val="110"/>
        </w:rPr>
        <w:t xml:space="preserve">interface or the </w:t>
      </w:r>
      <w:r>
        <w:rPr>
          <w:rFonts w:ascii="MS Gothic"/>
          <w:color w:val="B02045"/>
          <w:w w:val="110"/>
        </w:rPr>
        <w:t>@PreDestroy</w:t>
      </w:r>
      <w:r>
        <w:rPr>
          <w:rFonts w:ascii="MS Gothic"/>
          <w:color w:val="B02045"/>
          <w:spacing w:val="-65"/>
          <w:w w:val="110"/>
        </w:rPr>
        <w:t xml:space="preserve"> </w:t>
      </w:r>
      <w:r>
        <w:rPr>
          <w:color w:val="333333"/>
          <w:w w:val="110"/>
        </w:rPr>
        <w:t>annotation) can be used.</w:t>
      </w:r>
    </w:p>
    <w:p w14:paraId="55DB0C8A" w14:textId="77777777" w:rsidR="00A720EB" w:rsidRDefault="0030286B">
      <w:pPr>
        <w:pStyle w:val="a3"/>
        <w:spacing w:before="242" w:line="280" w:lineRule="auto"/>
        <w:ind w:left="124" w:right="124"/>
        <w:jc w:val="both"/>
      </w:pPr>
      <w:r>
        <w:rPr>
          <w:color w:val="333333"/>
          <w:w w:val="110"/>
        </w:rPr>
        <w:t>In</w:t>
      </w:r>
      <w:r>
        <w:rPr>
          <w:color w:val="333333"/>
          <w:spacing w:val="-29"/>
          <w:w w:val="110"/>
        </w:rPr>
        <w:t xml:space="preserve"> </w:t>
      </w:r>
      <w:r>
        <w:rPr>
          <w:color w:val="333333"/>
          <w:w w:val="110"/>
        </w:rPr>
        <w:t>addition,</w:t>
      </w:r>
      <w:r>
        <w:rPr>
          <w:color w:val="333333"/>
          <w:spacing w:val="-29"/>
          <w:w w:val="110"/>
        </w:rPr>
        <w:t xml:space="preserve"> </w:t>
      </w:r>
      <w:r>
        <w:rPr>
          <w:color w:val="333333"/>
          <w:w w:val="110"/>
        </w:rPr>
        <w:t>beans</w:t>
      </w:r>
      <w:r>
        <w:rPr>
          <w:color w:val="333333"/>
          <w:spacing w:val="-29"/>
          <w:w w:val="110"/>
        </w:rPr>
        <w:t xml:space="preserve"> </w:t>
      </w:r>
      <w:r>
        <w:rPr>
          <w:color w:val="333333"/>
          <w:w w:val="110"/>
        </w:rPr>
        <w:t>may</w:t>
      </w:r>
      <w:r>
        <w:rPr>
          <w:color w:val="333333"/>
          <w:spacing w:val="-29"/>
          <w:w w:val="110"/>
        </w:rPr>
        <w:t xml:space="preserve"> </w:t>
      </w:r>
      <w:r>
        <w:rPr>
          <w:color w:val="333333"/>
          <w:w w:val="110"/>
        </w:rPr>
        <w:t>implement</w:t>
      </w:r>
      <w:r>
        <w:rPr>
          <w:color w:val="333333"/>
          <w:spacing w:val="-29"/>
          <w:w w:val="110"/>
        </w:rPr>
        <w:t xml:space="preserve"> </w:t>
      </w:r>
      <w:r>
        <w:rPr>
          <w:color w:val="333333"/>
          <w:w w:val="110"/>
        </w:rPr>
        <w:t>the</w:t>
      </w:r>
      <w:r>
        <w:rPr>
          <w:color w:val="333333"/>
          <w:spacing w:val="-26"/>
          <w:w w:val="110"/>
        </w:rPr>
        <w:t xml:space="preserve"> </w:t>
      </w:r>
      <w:proofErr w:type="gramStart"/>
      <w:r>
        <w:rPr>
          <w:rFonts w:ascii="MS Gothic"/>
          <w:color w:val="B02045"/>
          <w:w w:val="110"/>
        </w:rPr>
        <w:t>org.springframework</w:t>
      </w:r>
      <w:proofErr w:type="gramEnd"/>
      <w:r>
        <w:rPr>
          <w:rFonts w:ascii="MS Gothic"/>
          <w:color w:val="B02045"/>
          <w:w w:val="110"/>
        </w:rPr>
        <w:t>.boot.ExitCodeGenerator</w:t>
      </w:r>
      <w:r>
        <w:rPr>
          <w:rFonts w:ascii="MS Gothic"/>
          <w:color w:val="B02045"/>
          <w:spacing w:val="-93"/>
          <w:w w:val="110"/>
        </w:rPr>
        <w:t xml:space="preserve"> </w:t>
      </w:r>
      <w:r>
        <w:rPr>
          <w:color w:val="333333"/>
          <w:w w:val="110"/>
        </w:rPr>
        <w:t>interface</w:t>
      </w:r>
      <w:r>
        <w:rPr>
          <w:color w:val="333333"/>
          <w:spacing w:val="-29"/>
          <w:w w:val="110"/>
        </w:rPr>
        <w:t xml:space="preserve"> </w:t>
      </w:r>
      <w:r>
        <w:rPr>
          <w:color w:val="333333"/>
          <w:w w:val="110"/>
        </w:rPr>
        <w:t>if</w:t>
      </w:r>
      <w:r>
        <w:rPr>
          <w:color w:val="333333"/>
          <w:spacing w:val="-29"/>
          <w:w w:val="110"/>
        </w:rPr>
        <w:t xml:space="preserve"> </w:t>
      </w:r>
      <w:r>
        <w:rPr>
          <w:color w:val="333333"/>
          <w:w w:val="110"/>
        </w:rPr>
        <w:t xml:space="preserve">they wish to return a specific exit code when </w:t>
      </w:r>
      <w:r>
        <w:rPr>
          <w:rFonts w:ascii="MS Gothic"/>
          <w:color w:val="B02045"/>
          <w:w w:val="110"/>
        </w:rPr>
        <w:t>SpringApplication.exit()</w:t>
      </w:r>
      <w:r>
        <w:rPr>
          <w:rFonts w:ascii="MS Gothic"/>
          <w:color w:val="B02045"/>
          <w:spacing w:val="-51"/>
          <w:w w:val="110"/>
        </w:rPr>
        <w:t xml:space="preserve"> </w:t>
      </w:r>
      <w:r>
        <w:rPr>
          <w:color w:val="333333"/>
          <w:w w:val="110"/>
        </w:rPr>
        <w:t xml:space="preserve">is called. This exit code can then be passed to </w:t>
      </w:r>
      <w:r>
        <w:rPr>
          <w:rFonts w:ascii="MS Gothic"/>
          <w:color w:val="B02045"/>
          <w:w w:val="110"/>
        </w:rPr>
        <w:t>System.exit()</w:t>
      </w:r>
      <w:r>
        <w:rPr>
          <w:rFonts w:ascii="MS Gothic"/>
          <w:color w:val="B02045"/>
          <w:spacing w:val="-70"/>
          <w:w w:val="110"/>
        </w:rPr>
        <w:t xml:space="preserve"> </w:t>
      </w:r>
      <w:r>
        <w:rPr>
          <w:color w:val="333333"/>
          <w:w w:val="110"/>
        </w:rPr>
        <w:t>to return it as a status code, as shown in the following example:</w:t>
      </w:r>
    </w:p>
    <w:p w14:paraId="4F7CF85A" w14:textId="77777777" w:rsidR="00A720EB" w:rsidRDefault="00A720EB">
      <w:pPr>
        <w:spacing w:line="280" w:lineRule="auto"/>
        <w:jc w:val="both"/>
        <w:sectPr w:rsidR="00A720EB">
          <w:pgSz w:w="11910" w:h="16840"/>
          <w:pgMar w:top="620" w:right="840" w:bottom="520" w:left="840" w:header="0" w:footer="323" w:gutter="0"/>
          <w:cols w:space="720"/>
        </w:sectPr>
      </w:pPr>
    </w:p>
    <w:p w14:paraId="085075F5" w14:textId="77777777" w:rsidR="00A720EB" w:rsidRDefault="00E10349">
      <w:pPr>
        <w:pStyle w:val="a3"/>
        <w:ind w:left="116"/>
        <w:rPr>
          <w:sz w:val="20"/>
        </w:rPr>
      </w:pPr>
      <w:r>
        <w:rPr>
          <w:sz w:val="20"/>
        </w:rPr>
      </w:r>
      <w:r>
        <w:rPr>
          <w:sz w:val="20"/>
        </w:rPr>
        <w:pict w14:anchorId="4C274256">
          <v:group id="_x0000_s4662" style="width:499.55pt;height:243.85pt;mso-position-horizontal-relative:char;mso-position-vertical-relative:line" coordsize="9991,4877">
            <v:shape id="_x0000_s4665" style="position:absolute;left:7;top:7;width:9976;height:4862" coordorigin="8,8" coordsize="9976,4862" path="m9904,8l88,8,56,14,31,31,14,56,8,88r,4702l14,4821r17,25l56,4863r32,7l9904,4870r31,-7l9960,4846r17,-25l9984,4790r,-4702l9977,56,9960,31,9935,14,9904,8xe" fillcolor="#f5f5f5" stroked="f">
              <v:path arrowok="t"/>
            </v:shape>
            <v:shape id="_x0000_s4664" style="position:absolute;left:7;top:7;width:9976;height:4862" coordorigin="8,8" coordsize="9976,4862" path="m88,8r9816,l9935,14r25,17l9977,56r7,32l9984,4790r-7,31l9960,4846r-25,17l9904,4870r-9816,l56,4863,31,4846,14,4821,8,4790,8,88,14,56,31,31,56,14,88,8xe" filled="f" strokecolor="#ccc">
              <v:path arrowok="t"/>
            </v:shape>
            <v:shape id="_x0000_s4663" type="#_x0000_t202" style="position:absolute;left:26;top:22;width:9938;height:4832" filled="f" stroked="f">
              <v:textbox inset="0,0,0,0">
                <w:txbxContent>
                  <w:p w14:paraId="0A2F25FB" w14:textId="77777777" w:rsidR="00711A16" w:rsidRDefault="00711A16">
                    <w:pPr>
                      <w:spacing w:before="221"/>
                      <w:ind w:left="200"/>
                      <w:rPr>
                        <w:rFonts w:ascii="MS Gothic"/>
                      </w:rPr>
                    </w:pPr>
                    <w:r>
                      <w:rPr>
                        <w:rFonts w:ascii="MS Gothic"/>
                        <w:color w:val="333333"/>
                      </w:rPr>
                      <w:t>@SpringBootApplication</w:t>
                    </w:r>
                  </w:p>
                  <w:p w14:paraId="4DD0B84B" w14:textId="77777777" w:rsidR="00711A16" w:rsidRDefault="00711A16">
                    <w:pPr>
                      <w:spacing w:before="13"/>
                      <w:ind w:left="200"/>
                      <w:rPr>
                        <w:rFonts w:ascii="MS Gothic"/>
                      </w:rPr>
                    </w:pPr>
                    <w:r>
                      <w:rPr>
                        <w:rFonts w:ascii="MS Gothic"/>
                        <w:color w:val="333333"/>
                      </w:rPr>
                      <w:t>public class ExitCodeApplication {</w:t>
                    </w:r>
                  </w:p>
                  <w:p w14:paraId="5B3AF23B" w14:textId="77777777" w:rsidR="00711A16" w:rsidRDefault="00711A16">
                    <w:pPr>
                      <w:rPr>
                        <w:rFonts w:ascii="MS Gothic"/>
                        <w:sz w:val="24"/>
                      </w:rPr>
                    </w:pPr>
                  </w:p>
                  <w:p w14:paraId="7F6BAB3B" w14:textId="77777777" w:rsidR="00711A16" w:rsidRDefault="00711A16">
                    <w:pPr>
                      <w:ind w:left="640"/>
                      <w:rPr>
                        <w:rFonts w:ascii="MS Gothic"/>
                      </w:rPr>
                    </w:pPr>
                    <w:r>
                      <w:rPr>
                        <w:rFonts w:ascii="MS Gothic"/>
                        <w:color w:val="333333"/>
                      </w:rPr>
                      <w:t>@Bean</w:t>
                    </w:r>
                  </w:p>
                  <w:p w14:paraId="6094E28E" w14:textId="77777777" w:rsidR="00711A16" w:rsidRDefault="00711A16">
                    <w:pPr>
                      <w:spacing w:before="13" w:line="252" w:lineRule="auto"/>
                      <w:ind w:left="1080" w:right="4218" w:hanging="440"/>
                      <w:rPr>
                        <w:rFonts w:ascii="MS Gothic"/>
                      </w:rPr>
                    </w:pPr>
                    <w:r>
                      <w:rPr>
                        <w:rFonts w:ascii="MS Gothic"/>
                        <w:color w:val="333333"/>
                      </w:rPr>
                      <w:t xml:space="preserve">public ExitCodeGenerator </w:t>
                    </w:r>
                    <w:proofErr w:type="gramStart"/>
                    <w:r>
                      <w:rPr>
                        <w:rFonts w:ascii="MS Gothic"/>
                        <w:color w:val="333333"/>
                      </w:rPr>
                      <w:t>exitCodeGenerator(</w:t>
                    </w:r>
                    <w:proofErr w:type="gramEnd"/>
                    <w:r>
                      <w:rPr>
                        <w:rFonts w:ascii="MS Gothic"/>
                        <w:color w:val="333333"/>
                      </w:rPr>
                      <w:t>) { return () -&gt; 42;</w:t>
                    </w:r>
                  </w:p>
                  <w:p w14:paraId="4AC43F9F" w14:textId="77777777" w:rsidR="00711A16" w:rsidRDefault="00711A16">
                    <w:pPr>
                      <w:spacing w:line="280" w:lineRule="exact"/>
                      <w:ind w:left="640"/>
                      <w:rPr>
                        <w:rFonts w:ascii="MS Gothic"/>
                      </w:rPr>
                    </w:pPr>
                    <w:r>
                      <w:rPr>
                        <w:rFonts w:ascii="MS Gothic"/>
                        <w:color w:val="333333"/>
                      </w:rPr>
                      <w:t>}</w:t>
                    </w:r>
                  </w:p>
                  <w:p w14:paraId="65C98F06" w14:textId="77777777" w:rsidR="00711A16" w:rsidRDefault="00711A16">
                    <w:pPr>
                      <w:rPr>
                        <w:rFonts w:ascii="MS Gothic"/>
                        <w:sz w:val="24"/>
                      </w:rPr>
                    </w:pPr>
                  </w:p>
                  <w:p w14:paraId="0080D856" w14:textId="77777777" w:rsidR="00711A16" w:rsidRDefault="00711A16">
                    <w:pPr>
                      <w:ind w:left="6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w:t>
                    </w:r>
                  </w:p>
                  <w:p w14:paraId="69F81815" w14:textId="77777777" w:rsidR="00711A16" w:rsidRDefault="00711A16">
                    <w:pPr>
                      <w:rPr>
                        <w:rFonts w:ascii="MS Gothic"/>
                        <w:sz w:val="24"/>
                      </w:rPr>
                    </w:pPr>
                  </w:p>
                  <w:p w14:paraId="6DC0CA59" w14:textId="77777777" w:rsidR="00711A16" w:rsidRDefault="00711A16">
                    <w:pPr>
                      <w:spacing w:line="252" w:lineRule="auto"/>
                      <w:ind w:left="200" w:right="588"/>
                      <w:rPr>
                        <w:rFonts w:ascii="MS Gothic"/>
                      </w:rPr>
                    </w:pPr>
                    <w:r>
                      <w:rPr>
                        <w:rFonts w:ascii="MS Gothic"/>
                        <w:color w:val="333333"/>
                      </w:rPr>
                      <w:t>System.exit(SpringApplication.exit(</w:t>
                    </w:r>
                    <w:proofErr w:type="gramStart"/>
                    <w:r>
                      <w:rPr>
                        <w:rFonts w:ascii="MS Gothic"/>
                        <w:color w:val="333333"/>
                      </w:rPr>
                      <w:t>SpringApplication.run(</w:t>
                    </w:r>
                    <w:proofErr w:type="gramEnd"/>
                    <w:r>
                      <w:rPr>
                        <w:rFonts w:ascii="MS Gothic"/>
                        <w:color w:val="333333"/>
                      </w:rPr>
                      <w:t>ExitCodeApplication.class, args)));</w:t>
                    </w:r>
                  </w:p>
                  <w:p w14:paraId="181FB324" w14:textId="77777777" w:rsidR="00711A16" w:rsidRDefault="00711A16">
                    <w:pPr>
                      <w:spacing w:line="280" w:lineRule="exact"/>
                      <w:ind w:left="640"/>
                      <w:rPr>
                        <w:rFonts w:ascii="MS Gothic"/>
                      </w:rPr>
                    </w:pPr>
                    <w:r>
                      <w:rPr>
                        <w:rFonts w:ascii="MS Gothic"/>
                        <w:color w:val="333333"/>
                      </w:rPr>
                      <w:t>}</w:t>
                    </w:r>
                  </w:p>
                  <w:p w14:paraId="13283AD5" w14:textId="77777777" w:rsidR="00711A16" w:rsidRDefault="00711A16">
                    <w:pPr>
                      <w:rPr>
                        <w:rFonts w:ascii="MS Gothic"/>
                        <w:sz w:val="24"/>
                      </w:rPr>
                    </w:pPr>
                  </w:p>
                  <w:p w14:paraId="0965AD30" w14:textId="77777777" w:rsidR="00711A16" w:rsidRDefault="00711A16">
                    <w:pPr>
                      <w:ind w:left="200"/>
                      <w:rPr>
                        <w:rFonts w:ascii="MS Gothic"/>
                      </w:rPr>
                    </w:pPr>
                    <w:r>
                      <w:rPr>
                        <w:rFonts w:ascii="MS Gothic"/>
                        <w:color w:val="333333"/>
                      </w:rPr>
                      <w:t>}</w:t>
                    </w:r>
                  </w:p>
                </w:txbxContent>
              </v:textbox>
            </v:shape>
            <w10:anchorlock/>
          </v:group>
        </w:pict>
      </w:r>
    </w:p>
    <w:p w14:paraId="11C9E2A4" w14:textId="77777777" w:rsidR="00A720EB" w:rsidRDefault="00A720EB">
      <w:pPr>
        <w:pStyle w:val="a3"/>
        <w:spacing w:before="2"/>
        <w:rPr>
          <w:sz w:val="9"/>
        </w:rPr>
      </w:pPr>
    </w:p>
    <w:p w14:paraId="09086E9F" w14:textId="77777777" w:rsidR="00A720EB" w:rsidRDefault="0030286B">
      <w:pPr>
        <w:pStyle w:val="a3"/>
        <w:spacing w:before="116" w:line="285" w:lineRule="auto"/>
        <w:ind w:left="124" w:right="122"/>
        <w:jc w:val="both"/>
      </w:pPr>
      <w:r>
        <w:rPr>
          <w:color w:val="333333"/>
          <w:w w:val="110"/>
        </w:rPr>
        <w:t xml:space="preserve">Also, the </w:t>
      </w:r>
      <w:r>
        <w:rPr>
          <w:rFonts w:ascii="MS Gothic"/>
          <w:color w:val="B02045"/>
          <w:w w:val="110"/>
        </w:rPr>
        <w:t xml:space="preserve">ExitCodeGenerator </w:t>
      </w:r>
      <w:r>
        <w:rPr>
          <w:color w:val="333333"/>
          <w:w w:val="110"/>
        </w:rPr>
        <w:t xml:space="preserve">interface may be implemented by exceptions. When such an exception is encountered, Spring Boot returns the exit code provided by the implemented </w:t>
      </w:r>
      <w:proofErr w:type="gramStart"/>
      <w:r>
        <w:rPr>
          <w:rFonts w:ascii="MS Gothic"/>
          <w:color w:val="B02045"/>
          <w:w w:val="110"/>
        </w:rPr>
        <w:t>getExitCode(</w:t>
      </w:r>
      <w:proofErr w:type="gramEnd"/>
      <w:r>
        <w:rPr>
          <w:rFonts w:ascii="MS Gothic"/>
          <w:color w:val="B02045"/>
          <w:w w:val="110"/>
        </w:rPr>
        <w:t xml:space="preserve">) </w:t>
      </w:r>
      <w:r>
        <w:rPr>
          <w:color w:val="333333"/>
          <w:w w:val="110"/>
        </w:rPr>
        <w:t>method.</w:t>
      </w:r>
    </w:p>
    <w:p w14:paraId="2388705A" w14:textId="77777777" w:rsidR="00A720EB" w:rsidRDefault="00A720EB">
      <w:pPr>
        <w:pStyle w:val="a3"/>
        <w:spacing w:before="8"/>
        <w:rPr>
          <w:sz w:val="27"/>
        </w:rPr>
      </w:pPr>
    </w:p>
    <w:p w14:paraId="444AF513" w14:textId="77777777" w:rsidR="00A720EB" w:rsidRDefault="0030286B">
      <w:pPr>
        <w:pStyle w:val="3"/>
        <w:numPr>
          <w:ilvl w:val="2"/>
          <w:numId w:val="68"/>
        </w:numPr>
        <w:tabs>
          <w:tab w:val="left" w:pos="1003"/>
        </w:tabs>
        <w:ind w:left="1002" w:hanging="879"/>
      </w:pPr>
      <w:bookmarkStart w:id="170" w:name="4.1.12._Admin_Features"/>
      <w:bookmarkStart w:id="171" w:name="_Toc54423721"/>
      <w:bookmarkEnd w:id="170"/>
      <w:r>
        <w:rPr>
          <w:color w:val="333333"/>
          <w:w w:val="115"/>
        </w:rPr>
        <w:t>Admin</w:t>
      </w:r>
      <w:r>
        <w:rPr>
          <w:color w:val="333333"/>
          <w:spacing w:val="-10"/>
          <w:w w:val="115"/>
        </w:rPr>
        <w:t xml:space="preserve"> </w:t>
      </w:r>
      <w:r>
        <w:rPr>
          <w:color w:val="333333"/>
          <w:spacing w:val="-3"/>
          <w:w w:val="115"/>
        </w:rPr>
        <w:t>Features</w:t>
      </w:r>
      <w:bookmarkEnd w:id="171"/>
    </w:p>
    <w:p w14:paraId="0AA8C594" w14:textId="77777777" w:rsidR="00A720EB" w:rsidRDefault="0030286B">
      <w:pPr>
        <w:pStyle w:val="a3"/>
        <w:spacing w:before="254" w:line="290" w:lineRule="auto"/>
        <w:ind w:left="124" w:right="122"/>
        <w:jc w:val="both"/>
      </w:pPr>
      <w:r>
        <w:rPr>
          <w:color w:val="333333"/>
          <w:w w:val="110"/>
        </w:rPr>
        <w:t xml:space="preserve">It is possible to enable admin-related features for the application </w:t>
      </w:r>
      <w:r>
        <w:rPr>
          <w:color w:val="333333"/>
          <w:spacing w:val="-3"/>
          <w:w w:val="110"/>
        </w:rPr>
        <w:t xml:space="preserve">by </w:t>
      </w:r>
      <w:r>
        <w:rPr>
          <w:color w:val="333333"/>
          <w:w w:val="110"/>
        </w:rPr>
        <w:t xml:space="preserve">specifying the </w:t>
      </w:r>
      <w:r>
        <w:rPr>
          <w:rFonts w:ascii="MS Gothic"/>
          <w:color w:val="B02045"/>
          <w:w w:val="105"/>
        </w:rPr>
        <w:t>spring.</w:t>
      </w:r>
      <w:proofErr w:type="gramStart"/>
      <w:r>
        <w:rPr>
          <w:rFonts w:ascii="MS Gothic"/>
          <w:color w:val="B02045"/>
          <w:w w:val="105"/>
        </w:rPr>
        <w:t>application.admin</w:t>
      </w:r>
      <w:proofErr w:type="gramEnd"/>
      <w:r>
        <w:rPr>
          <w:rFonts w:ascii="MS Gothic"/>
          <w:color w:val="B02045"/>
          <w:w w:val="105"/>
        </w:rPr>
        <w:t xml:space="preserve">.enabled </w:t>
      </w:r>
      <w:r>
        <w:rPr>
          <w:color w:val="333333"/>
          <w:spacing w:val="-3"/>
          <w:w w:val="105"/>
        </w:rPr>
        <w:t xml:space="preserve">property. </w:t>
      </w:r>
      <w:r>
        <w:rPr>
          <w:color w:val="333333"/>
          <w:w w:val="105"/>
        </w:rPr>
        <w:t xml:space="preserve">This exposes the </w:t>
      </w:r>
      <w:hyperlink r:id="rId96">
        <w:r>
          <w:rPr>
            <w:rFonts w:ascii="MS Gothic"/>
            <w:color w:val="B02045"/>
            <w:w w:val="105"/>
          </w:rPr>
          <w:t xml:space="preserve">SpringApplicationAdminMXBean </w:t>
        </w:r>
      </w:hyperlink>
      <w:r>
        <w:rPr>
          <w:color w:val="333333"/>
          <w:w w:val="105"/>
        </w:rPr>
        <w:t xml:space="preserve">on the </w:t>
      </w:r>
      <w:r>
        <w:rPr>
          <w:color w:val="333333"/>
          <w:w w:val="110"/>
        </w:rPr>
        <w:t xml:space="preserve">platform </w:t>
      </w:r>
      <w:r>
        <w:rPr>
          <w:rFonts w:ascii="MS Gothic"/>
          <w:color w:val="B02045"/>
          <w:w w:val="110"/>
        </w:rPr>
        <w:t>MBeanServer</w:t>
      </w:r>
      <w:r>
        <w:rPr>
          <w:color w:val="333333"/>
          <w:w w:val="110"/>
        </w:rPr>
        <w:t xml:space="preserve">. </w:t>
      </w:r>
      <w:r>
        <w:rPr>
          <w:color w:val="333333"/>
          <w:spacing w:val="-6"/>
          <w:w w:val="110"/>
        </w:rPr>
        <w:t xml:space="preserve">You </w:t>
      </w:r>
      <w:r>
        <w:rPr>
          <w:color w:val="333333"/>
          <w:w w:val="110"/>
        </w:rPr>
        <w:t xml:space="preserve">could use this feature to administer your Spring Boot application </w:t>
      </w:r>
      <w:r>
        <w:rPr>
          <w:color w:val="333333"/>
          <w:spacing w:val="-3"/>
          <w:w w:val="110"/>
        </w:rPr>
        <w:t xml:space="preserve">remotely. </w:t>
      </w:r>
      <w:r>
        <w:rPr>
          <w:color w:val="333333"/>
          <w:w w:val="110"/>
        </w:rPr>
        <w:t>This feature could also be useful for any service wrapper</w:t>
      </w:r>
      <w:r>
        <w:rPr>
          <w:color w:val="333333"/>
          <w:spacing w:val="3"/>
          <w:w w:val="110"/>
        </w:rPr>
        <w:t xml:space="preserve"> </w:t>
      </w:r>
      <w:r>
        <w:rPr>
          <w:color w:val="333333"/>
          <w:w w:val="110"/>
        </w:rPr>
        <w:t>implementation.</w:t>
      </w:r>
    </w:p>
    <w:p w14:paraId="07B072EB" w14:textId="77777777" w:rsidR="00A720EB" w:rsidRDefault="00A720EB">
      <w:pPr>
        <w:pStyle w:val="a3"/>
        <w:spacing w:before="7"/>
        <w:rPr>
          <w:sz w:val="28"/>
        </w:rPr>
      </w:pPr>
    </w:p>
    <w:p w14:paraId="17356509" w14:textId="77777777" w:rsidR="00A720EB" w:rsidRDefault="00E10349">
      <w:pPr>
        <w:pStyle w:val="a3"/>
        <w:spacing w:line="297" w:lineRule="auto"/>
        <w:ind w:left="1564" w:right="462"/>
      </w:pPr>
      <w:r>
        <w:pict w14:anchorId="1928CC24">
          <v:line id="_x0000_s4661" style="position:absolute;left:0;text-align:left;z-index:15829504;mso-position-horizontal-relative:page" from="108.25pt,-6pt" to="108.25pt,33.55pt" strokecolor="#ededed" strokeweight=".5pt">
            <w10:wrap anchorx="page"/>
          </v:line>
        </w:pict>
      </w:r>
      <w:r w:rsidR="0030286B">
        <w:rPr>
          <w:noProof/>
        </w:rPr>
        <w:drawing>
          <wp:anchor distT="0" distB="0" distL="0" distR="0" simplePos="0" relativeHeight="15830016" behindDoc="0" locked="0" layoutInCell="1" allowOverlap="1" wp14:anchorId="4D2C2DF6" wp14:editId="32EC08A4">
            <wp:simplePos x="0" y="0"/>
            <wp:positionH relativeFrom="page">
              <wp:posOffset>888949</wp:posOffset>
            </wp:positionH>
            <wp:positionV relativeFrom="paragraph">
              <wp:posOffset>22771</wp:posOffset>
            </wp:positionV>
            <wp:extent cx="209550" cy="304800"/>
            <wp:effectExtent l="0" t="0" r="0" b="0"/>
            <wp:wrapNone/>
            <wp:docPr id="1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want to know on which HTTP port the application is running, get </w:t>
      </w:r>
      <w:proofErr w:type="gramStart"/>
      <w:r w:rsidR="0030286B">
        <w:rPr>
          <w:color w:val="333333"/>
          <w:w w:val="110"/>
        </w:rPr>
        <w:t>the  property</w:t>
      </w:r>
      <w:proofErr w:type="gramEnd"/>
      <w:r w:rsidR="0030286B">
        <w:rPr>
          <w:color w:val="333333"/>
          <w:w w:val="110"/>
        </w:rPr>
        <w:t xml:space="preserve"> with a key of</w:t>
      </w:r>
      <w:r w:rsidR="0030286B">
        <w:rPr>
          <w:color w:val="333333"/>
          <w:spacing w:val="6"/>
          <w:w w:val="110"/>
        </w:rPr>
        <w:t xml:space="preserve"> </w:t>
      </w:r>
      <w:r w:rsidR="0030286B">
        <w:rPr>
          <w:rFonts w:ascii="MS Gothic"/>
          <w:color w:val="B02045"/>
          <w:w w:val="110"/>
        </w:rPr>
        <w:t>local.server.port</w:t>
      </w:r>
      <w:r w:rsidR="0030286B">
        <w:rPr>
          <w:color w:val="333333"/>
          <w:w w:val="110"/>
        </w:rPr>
        <w:t>.</w:t>
      </w:r>
    </w:p>
    <w:p w14:paraId="7671BE91" w14:textId="77777777" w:rsidR="00A720EB" w:rsidRDefault="00A720EB">
      <w:pPr>
        <w:pStyle w:val="a3"/>
        <w:rPr>
          <w:sz w:val="32"/>
        </w:rPr>
      </w:pPr>
    </w:p>
    <w:p w14:paraId="04A8B8A4" w14:textId="77777777" w:rsidR="00A720EB" w:rsidRDefault="0030286B">
      <w:pPr>
        <w:pStyle w:val="2"/>
        <w:numPr>
          <w:ilvl w:val="1"/>
          <w:numId w:val="68"/>
        </w:numPr>
        <w:tabs>
          <w:tab w:val="left" w:pos="832"/>
        </w:tabs>
      </w:pPr>
      <w:bookmarkStart w:id="172" w:name="4.2._Externalized_Configuration"/>
      <w:bookmarkStart w:id="173" w:name="_Toc54423722"/>
      <w:bookmarkEnd w:id="172"/>
      <w:r>
        <w:rPr>
          <w:color w:val="333333"/>
          <w:w w:val="110"/>
        </w:rPr>
        <w:t>Externalized</w:t>
      </w:r>
      <w:r>
        <w:rPr>
          <w:color w:val="333333"/>
          <w:spacing w:val="-7"/>
          <w:w w:val="110"/>
        </w:rPr>
        <w:t xml:space="preserve"> </w:t>
      </w:r>
      <w:r>
        <w:rPr>
          <w:color w:val="333333"/>
          <w:w w:val="110"/>
        </w:rPr>
        <w:t>Configuration</w:t>
      </w:r>
      <w:bookmarkEnd w:id="173"/>
    </w:p>
    <w:p w14:paraId="57C017B6" w14:textId="77777777" w:rsidR="00A720EB" w:rsidRDefault="0030286B">
      <w:pPr>
        <w:pStyle w:val="a3"/>
        <w:spacing w:before="253" w:line="297" w:lineRule="auto"/>
        <w:ind w:left="124" w:right="124"/>
        <w:jc w:val="both"/>
      </w:pPr>
      <w:r>
        <w:rPr>
          <w:color w:val="333333"/>
          <w:w w:val="110"/>
        </w:rPr>
        <w:t xml:space="preserve">Spring Boot lets you externalize your configuration so that you can work with the same application code in different environments. </w:t>
      </w:r>
      <w:r>
        <w:rPr>
          <w:color w:val="333333"/>
          <w:spacing w:val="-6"/>
          <w:w w:val="110"/>
        </w:rPr>
        <w:t xml:space="preserve">You </w:t>
      </w:r>
      <w:r>
        <w:rPr>
          <w:color w:val="333333"/>
          <w:w w:val="110"/>
        </w:rPr>
        <w:t xml:space="preserve">can use </w:t>
      </w:r>
      <w:proofErr w:type="gramStart"/>
      <w:r>
        <w:rPr>
          <w:color w:val="333333"/>
          <w:w w:val="110"/>
        </w:rPr>
        <w:t>properties  files</w:t>
      </w:r>
      <w:proofErr w:type="gramEnd"/>
      <w:r>
        <w:rPr>
          <w:color w:val="333333"/>
          <w:w w:val="110"/>
        </w:rPr>
        <w:t xml:space="preserve">,  </w:t>
      </w:r>
      <w:r>
        <w:rPr>
          <w:color w:val="333333"/>
          <w:spacing w:val="-5"/>
          <w:w w:val="110"/>
        </w:rPr>
        <w:t xml:space="preserve">YAML  </w:t>
      </w:r>
      <w:r>
        <w:rPr>
          <w:color w:val="333333"/>
          <w:w w:val="110"/>
        </w:rPr>
        <w:t xml:space="preserve">files,  environment  variables, and command-line arguments to externalize configuration. Property values can be injected directly into your beans </w:t>
      </w:r>
      <w:r>
        <w:rPr>
          <w:color w:val="333333"/>
          <w:spacing w:val="-3"/>
          <w:w w:val="110"/>
        </w:rPr>
        <w:t xml:space="preserve">by </w:t>
      </w:r>
      <w:r>
        <w:rPr>
          <w:color w:val="333333"/>
          <w:w w:val="110"/>
        </w:rPr>
        <w:t xml:space="preserve">using the </w:t>
      </w:r>
      <w:r>
        <w:rPr>
          <w:rFonts w:ascii="MS Gothic" w:hAnsi="MS Gothic"/>
          <w:color w:val="B02045"/>
          <w:w w:val="110"/>
        </w:rPr>
        <w:t xml:space="preserve">@Value </w:t>
      </w:r>
      <w:r>
        <w:rPr>
          <w:color w:val="333333"/>
          <w:w w:val="110"/>
        </w:rPr>
        <w:t xml:space="preserve">annotation, accessed through Spring’s </w:t>
      </w:r>
      <w:r>
        <w:rPr>
          <w:rFonts w:ascii="MS Gothic" w:hAnsi="MS Gothic"/>
          <w:color w:val="B02045"/>
          <w:w w:val="110"/>
        </w:rPr>
        <w:t xml:space="preserve">Environment </w:t>
      </w:r>
      <w:r>
        <w:rPr>
          <w:color w:val="333333"/>
          <w:w w:val="110"/>
        </w:rPr>
        <w:t xml:space="preserve">abstraction, or be </w:t>
      </w:r>
      <w:hyperlink w:anchor="_bookmark114" w:history="1">
        <w:r>
          <w:rPr>
            <w:color w:val="418BCA"/>
            <w:w w:val="110"/>
          </w:rPr>
          <w:t xml:space="preserve">bound to structured objects </w:t>
        </w:r>
      </w:hyperlink>
      <w:r>
        <w:rPr>
          <w:color w:val="333333"/>
          <w:w w:val="110"/>
        </w:rPr>
        <w:t>through</w:t>
      </w:r>
      <w:r>
        <w:rPr>
          <w:color w:val="333333"/>
          <w:spacing w:val="-5"/>
          <w:w w:val="110"/>
        </w:rPr>
        <w:t xml:space="preserve"> </w:t>
      </w:r>
      <w:r>
        <w:rPr>
          <w:rFonts w:ascii="MS Gothic" w:hAnsi="MS Gothic"/>
          <w:color w:val="B02045"/>
          <w:w w:val="110"/>
        </w:rPr>
        <w:t>@ConfigurationProperties</w:t>
      </w:r>
      <w:r>
        <w:rPr>
          <w:color w:val="333333"/>
          <w:w w:val="110"/>
        </w:rPr>
        <w:t>.</w:t>
      </w:r>
    </w:p>
    <w:p w14:paraId="7F5A7A6E" w14:textId="77777777" w:rsidR="00A720EB" w:rsidRDefault="0030286B">
      <w:pPr>
        <w:pStyle w:val="a3"/>
        <w:spacing w:before="225" w:line="290" w:lineRule="auto"/>
        <w:ind w:left="124" w:right="126"/>
        <w:jc w:val="both"/>
      </w:pPr>
      <w:r>
        <w:rPr>
          <w:color w:val="333333"/>
          <w:w w:val="110"/>
        </w:rPr>
        <w:t xml:space="preserve">Spring Boot uses a very particular </w:t>
      </w:r>
      <w:r>
        <w:rPr>
          <w:rFonts w:ascii="MS Gothic"/>
          <w:color w:val="B02045"/>
          <w:w w:val="110"/>
        </w:rPr>
        <w:t xml:space="preserve">PropertySource </w:t>
      </w:r>
      <w:r>
        <w:rPr>
          <w:color w:val="333333"/>
          <w:w w:val="110"/>
        </w:rPr>
        <w:t>order that is designed to allow sensible overriding of values. Properties are considered in the following order:</w:t>
      </w:r>
    </w:p>
    <w:p w14:paraId="4D17BB95" w14:textId="77777777" w:rsidR="00A720EB" w:rsidRDefault="00E10349">
      <w:pPr>
        <w:pStyle w:val="a6"/>
        <w:numPr>
          <w:ilvl w:val="0"/>
          <w:numId w:val="65"/>
        </w:numPr>
        <w:tabs>
          <w:tab w:val="left" w:pos="485"/>
        </w:tabs>
        <w:spacing w:before="247" w:line="290" w:lineRule="auto"/>
        <w:ind w:right="128"/>
        <w:jc w:val="left"/>
        <w:rPr>
          <w:sz w:val="21"/>
        </w:rPr>
      </w:pPr>
      <w:hyperlink w:anchor="_bookmark77" w:history="1">
        <w:r w:rsidR="0030286B">
          <w:rPr>
            <w:color w:val="418BCA"/>
            <w:w w:val="110"/>
            <w:sz w:val="21"/>
          </w:rPr>
          <w:t>Devtools</w:t>
        </w:r>
        <w:r w:rsidR="0030286B">
          <w:rPr>
            <w:color w:val="418BCA"/>
            <w:spacing w:val="-8"/>
            <w:w w:val="110"/>
            <w:sz w:val="21"/>
          </w:rPr>
          <w:t xml:space="preserve"> </w:t>
        </w:r>
        <w:r w:rsidR="0030286B">
          <w:rPr>
            <w:color w:val="418BCA"/>
            <w:w w:val="110"/>
            <w:sz w:val="21"/>
          </w:rPr>
          <w:t>global</w:t>
        </w:r>
        <w:r w:rsidR="0030286B">
          <w:rPr>
            <w:color w:val="418BCA"/>
            <w:spacing w:val="-7"/>
            <w:w w:val="110"/>
            <w:sz w:val="21"/>
          </w:rPr>
          <w:t xml:space="preserve"> </w:t>
        </w:r>
        <w:r w:rsidR="0030286B">
          <w:rPr>
            <w:color w:val="418BCA"/>
            <w:w w:val="110"/>
            <w:sz w:val="21"/>
          </w:rPr>
          <w:t>settings</w:t>
        </w:r>
        <w:r w:rsidR="0030286B">
          <w:rPr>
            <w:color w:val="418BCA"/>
            <w:spacing w:val="-7"/>
            <w:w w:val="110"/>
            <w:sz w:val="21"/>
          </w:rPr>
          <w:t xml:space="preserve"> </w:t>
        </w:r>
        <w:r w:rsidR="0030286B">
          <w:rPr>
            <w:color w:val="418BCA"/>
            <w:w w:val="110"/>
            <w:sz w:val="21"/>
          </w:rPr>
          <w:t>properties</w:t>
        </w:r>
      </w:hyperlink>
      <w:r w:rsidR="0030286B">
        <w:rPr>
          <w:color w:val="418BCA"/>
          <w:spacing w:val="-7"/>
          <w:w w:val="110"/>
          <w:sz w:val="21"/>
        </w:rPr>
        <w:t xml:space="preserve"> </w:t>
      </w:r>
      <w:r w:rsidR="0030286B">
        <w:rPr>
          <w:color w:val="333333"/>
          <w:w w:val="110"/>
          <w:sz w:val="21"/>
        </w:rPr>
        <w:t>in</w:t>
      </w:r>
      <w:r w:rsidR="0030286B">
        <w:rPr>
          <w:color w:val="333333"/>
          <w:spacing w:val="-7"/>
          <w:w w:val="110"/>
          <w:sz w:val="21"/>
        </w:rPr>
        <w:t xml:space="preserve"> </w:t>
      </w:r>
      <w:r w:rsidR="0030286B">
        <w:rPr>
          <w:color w:val="333333"/>
          <w:w w:val="110"/>
          <w:sz w:val="21"/>
        </w:rPr>
        <w:t>the</w:t>
      </w:r>
      <w:r w:rsidR="0030286B">
        <w:rPr>
          <w:color w:val="333333"/>
          <w:spacing w:val="-7"/>
          <w:w w:val="110"/>
          <w:sz w:val="21"/>
        </w:rPr>
        <w:t xml:space="preserve"> </w:t>
      </w:r>
      <w:r w:rsidR="0030286B">
        <w:rPr>
          <w:rFonts w:ascii="MS Gothic"/>
          <w:color w:val="B02045"/>
          <w:w w:val="110"/>
          <w:sz w:val="21"/>
        </w:rPr>
        <w:t>$HOME/.config/spring-boot</w:t>
      </w:r>
      <w:r w:rsidR="0030286B">
        <w:rPr>
          <w:rFonts w:ascii="MS Gothic"/>
          <w:color w:val="B02045"/>
          <w:spacing w:val="-73"/>
          <w:w w:val="110"/>
          <w:sz w:val="21"/>
        </w:rPr>
        <w:t xml:space="preserve"> </w:t>
      </w:r>
      <w:r w:rsidR="0030286B">
        <w:rPr>
          <w:color w:val="333333"/>
          <w:w w:val="110"/>
          <w:sz w:val="21"/>
        </w:rPr>
        <w:t>directory</w:t>
      </w:r>
      <w:r w:rsidR="0030286B">
        <w:rPr>
          <w:color w:val="333333"/>
          <w:spacing w:val="-7"/>
          <w:w w:val="110"/>
          <w:sz w:val="21"/>
        </w:rPr>
        <w:t xml:space="preserve"> </w:t>
      </w:r>
      <w:r w:rsidR="0030286B">
        <w:rPr>
          <w:color w:val="333333"/>
          <w:w w:val="110"/>
          <w:sz w:val="21"/>
        </w:rPr>
        <w:t>when</w:t>
      </w:r>
      <w:r w:rsidR="0030286B">
        <w:rPr>
          <w:color w:val="333333"/>
          <w:spacing w:val="-7"/>
          <w:w w:val="110"/>
          <w:sz w:val="21"/>
        </w:rPr>
        <w:t xml:space="preserve"> </w:t>
      </w:r>
      <w:r w:rsidR="0030286B">
        <w:rPr>
          <w:color w:val="333333"/>
          <w:w w:val="110"/>
          <w:sz w:val="21"/>
        </w:rPr>
        <w:t>devtools</w:t>
      </w:r>
      <w:r w:rsidR="0030286B">
        <w:rPr>
          <w:color w:val="333333"/>
          <w:spacing w:val="-7"/>
          <w:w w:val="110"/>
          <w:sz w:val="21"/>
        </w:rPr>
        <w:t xml:space="preserve"> </w:t>
      </w:r>
      <w:r w:rsidR="0030286B">
        <w:rPr>
          <w:color w:val="333333"/>
          <w:w w:val="110"/>
          <w:sz w:val="21"/>
        </w:rPr>
        <w:t>is active.</w:t>
      </w:r>
    </w:p>
    <w:p w14:paraId="22841314" w14:textId="77777777" w:rsidR="00A720EB" w:rsidRDefault="00E10349">
      <w:pPr>
        <w:pStyle w:val="a6"/>
        <w:numPr>
          <w:ilvl w:val="0"/>
          <w:numId w:val="65"/>
        </w:numPr>
        <w:tabs>
          <w:tab w:val="left" w:pos="485"/>
        </w:tabs>
        <w:spacing w:before="128"/>
        <w:jc w:val="left"/>
        <w:rPr>
          <w:sz w:val="21"/>
        </w:rPr>
      </w:pPr>
      <w:hyperlink r:id="rId97">
        <w:r w:rsidR="0030286B">
          <w:rPr>
            <w:rFonts w:ascii="MS Gothic"/>
            <w:color w:val="B02045"/>
            <w:w w:val="110"/>
            <w:sz w:val="21"/>
          </w:rPr>
          <w:t>@TestPropertySource</w:t>
        </w:r>
        <w:r w:rsidR="0030286B">
          <w:rPr>
            <w:rFonts w:ascii="MS Gothic"/>
            <w:color w:val="B02045"/>
            <w:spacing w:val="-62"/>
            <w:w w:val="110"/>
            <w:sz w:val="21"/>
          </w:rPr>
          <w:t xml:space="preserve"> </w:t>
        </w:r>
      </w:hyperlink>
      <w:r w:rsidR="0030286B">
        <w:rPr>
          <w:color w:val="333333"/>
          <w:w w:val="110"/>
          <w:sz w:val="21"/>
        </w:rPr>
        <w:t>annotations on your tests.</w:t>
      </w:r>
    </w:p>
    <w:p w14:paraId="3FDCB8D6" w14:textId="77777777" w:rsidR="00A720EB" w:rsidRDefault="0030286B">
      <w:pPr>
        <w:pStyle w:val="a6"/>
        <w:numPr>
          <w:ilvl w:val="0"/>
          <w:numId w:val="65"/>
        </w:numPr>
        <w:tabs>
          <w:tab w:val="left" w:pos="485"/>
        </w:tabs>
        <w:spacing w:before="167" w:line="290" w:lineRule="auto"/>
        <w:ind w:right="126"/>
        <w:jc w:val="left"/>
        <w:rPr>
          <w:sz w:val="21"/>
        </w:rPr>
      </w:pPr>
      <w:r>
        <w:rPr>
          <w:rFonts w:ascii="MS Gothic"/>
          <w:color w:val="B02045"/>
          <w:w w:val="110"/>
          <w:sz w:val="21"/>
        </w:rPr>
        <w:t xml:space="preserve">properties </w:t>
      </w:r>
      <w:r>
        <w:rPr>
          <w:color w:val="333333"/>
          <w:w w:val="110"/>
          <w:sz w:val="21"/>
        </w:rPr>
        <w:t xml:space="preserve">attribute on your tests. </w:t>
      </w:r>
      <w:r>
        <w:rPr>
          <w:color w:val="333333"/>
          <w:spacing w:val="-3"/>
          <w:w w:val="110"/>
          <w:sz w:val="21"/>
        </w:rPr>
        <w:t xml:space="preserve">Available </w:t>
      </w:r>
      <w:r>
        <w:rPr>
          <w:color w:val="333333"/>
          <w:w w:val="110"/>
          <w:sz w:val="21"/>
        </w:rPr>
        <w:t xml:space="preserve">on </w:t>
      </w:r>
      <w:hyperlink r:id="rId98">
        <w:r>
          <w:rPr>
            <w:rFonts w:ascii="MS Gothic"/>
            <w:color w:val="B02045"/>
            <w:w w:val="110"/>
            <w:sz w:val="21"/>
          </w:rPr>
          <w:t xml:space="preserve">@SpringBootTest </w:t>
        </w:r>
      </w:hyperlink>
      <w:r>
        <w:rPr>
          <w:color w:val="333333"/>
          <w:w w:val="110"/>
          <w:sz w:val="21"/>
        </w:rPr>
        <w:t xml:space="preserve">and the </w:t>
      </w:r>
      <w:hyperlink w:anchor="_bookmark316" w:history="1">
        <w:r>
          <w:rPr>
            <w:color w:val="418BCA"/>
            <w:w w:val="110"/>
            <w:sz w:val="21"/>
          </w:rPr>
          <w:t>test annotations for</w:t>
        </w:r>
      </w:hyperlink>
      <w:r>
        <w:rPr>
          <w:color w:val="418BCA"/>
          <w:w w:val="110"/>
          <w:sz w:val="21"/>
        </w:rPr>
        <w:t xml:space="preserve"> </w:t>
      </w:r>
      <w:hyperlink w:anchor="_bookmark316" w:history="1">
        <w:r>
          <w:rPr>
            <w:color w:val="418BCA"/>
            <w:w w:val="110"/>
            <w:sz w:val="21"/>
          </w:rPr>
          <w:t>testing a particular slice of your</w:t>
        </w:r>
        <w:r>
          <w:rPr>
            <w:color w:val="418BCA"/>
            <w:spacing w:val="19"/>
            <w:w w:val="110"/>
            <w:sz w:val="21"/>
          </w:rPr>
          <w:t xml:space="preserve"> </w:t>
        </w:r>
        <w:r>
          <w:rPr>
            <w:color w:val="418BCA"/>
            <w:w w:val="110"/>
            <w:sz w:val="21"/>
          </w:rPr>
          <w:t>application</w:t>
        </w:r>
      </w:hyperlink>
      <w:r>
        <w:rPr>
          <w:color w:val="333333"/>
          <w:w w:val="110"/>
          <w:sz w:val="21"/>
        </w:rPr>
        <w:t>.</w:t>
      </w:r>
    </w:p>
    <w:p w14:paraId="11ABCA07" w14:textId="77777777" w:rsidR="00A720EB" w:rsidRDefault="00A720EB">
      <w:pPr>
        <w:spacing w:line="290" w:lineRule="auto"/>
        <w:rPr>
          <w:sz w:val="21"/>
        </w:rPr>
        <w:sectPr w:rsidR="00A720EB">
          <w:pgSz w:w="11910" w:h="16840"/>
          <w:pgMar w:top="700" w:right="840" w:bottom="520" w:left="840" w:header="0" w:footer="323" w:gutter="0"/>
          <w:cols w:space="720"/>
        </w:sectPr>
      </w:pPr>
    </w:p>
    <w:p w14:paraId="067231AF" w14:textId="77777777" w:rsidR="00A720EB" w:rsidRDefault="0030286B">
      <w:pPr>
        <w:pStyle w:val="a6"/>
        <w:numPr>
          <w:ilvl w:val="0"/>
          <w:numId w:val="65"/>
        </w:numPr>
        <w:tabs>
          <w:tab w:val="left" w:pos="485"/>
        </w:tabs>
        <w:spacing w:before="102"/>
        <w:jc w:val="left"/>
        <w:rPr>
          <w:sz w:val="21"/>
        </w:rPr>
      </w:pPr>
      <w:r>
        <w:rPr>
          <w:color w:val="333333"/>
          <w:w w:val="115"/>
          <w:sz w:val="21"/>
        </w:rPr>
        <w:lastRenderedPageBreak/>
        <w:t>Command line arguments.</w:t>
      </w:r>
    </w:p>
    <w:p w14:paraId="65E8B075" w14:textId="77777777" w:rsidR="00A720EB" w:rsidRDefault="0030286B">
      <w:pPr>
        <w:pStyle w:val="a6"/>
        <w:numPr>
          <w:ilvl w:val="0"/>
          <w:numId w:val="65"/>
        </w:numPr>
        <w:tabs>
          <w:tab w:val="left" w:pos="485"/>
        </w:tabs>
        <w:spacing w:before="179" w:line="290" w:lineRule="auto"/>
        <w:ind w:right="124"/>
        <w:jc w:val="both"/>
        <w:rPr>
          <w:sz w:val="21"/>
        </w:rPr>
      </w:pPr>
      <w:r>
        <w:rPr>
          <w:color w:val="333333"/>
          <w:w w:val="110"/>
          <w:sz w:val="21"/>
        </w:rPr>
        <w:t xml:space="preserve">Properties from </w:t>
      </w:r>
      <w:r>
        <w:rPr>
          <w:rFonts w:ascii="MS Gothic"/>
          <w:color w:val="B02045"/>
          <w:w w:val="110"/>
          <w:sz w:val="21"/>
        </w:rPr>
        <w:t>SPRING_APPLICATION_JSON</w:t>
      </w:r>
      <w:r>
        <w:rPr>
          <w:rFonts w:ascii="MS Gothic"/>
          <w:color w:val="B02045"/>
          <w:spacing w:val="-89"/>
          <w:w w:val="110"/>
          <w:sz w:val="21"/>
        </w:rPr>
        <w:t xml:space="preserve"> </w:t>
      </w:r>
      <w:r>
        <w:rPr>
          <w:color w:val="333333"/>
          <w:w w:val="110"/>
          <w:sz w:val="21"/>
        </w:rPr>
        <w:t>(inline JSON embedded in an environment variable or system</w:t>
      </w:r>
      <w:r>
        <w:rPr>
          <w:color w:val="333333"/>
          <w:spacing w:val="3"/>
          <w:w w:val="110"/>
          <w:sz w:val="21"/>
        </w:rPr>
        <w:t xml:space="preserve"> </w:t>
      </w:r>
      <w:r>
        <w:rPr>
          <w:color w:val="333333"/>
          <w:w w:val="110"/>
          <w:sz w:val="21"/>
        </w:rPr>
        <w:t>property).</w:t>
      </w:r>
    </w:p>
    <w:p w14:paraId="2AC666F3" w14:textId="77777777" w:rsidR="00A720EB" w:rsidRDefault="0030286B">
      <w:pPr>
        <w:pStyle w:val="a6"/>
        <w:numPr>
          <w:ilvl w:val="0"/>
          <w:numId w:val="65"/>
        </w:numPr>
        <w:tabs>
          <w:tab w:val="left" w:pos="485"/>
        </w:tabs>
        <w:spacing w:before="127"/>
        <w:jc w:val="left"/>
        <w:rPr>
          <w:sz w:val="21"/>
        </w:rPr>
      </w:pPr>
      <w:r>
        <w:rPr>
          <w:rFonts w:ascii="MS Gothic"/>
          <w:color w:val="B02045"/>
          <w:w w:val="110"/>
          <w:sz w:val="21"/>
        </w:rPr>
        <w:t>ServletConfig</w:t>
      </w:r>
      <w:r>
        <w:rPr>
          <w:rFonts w:ascii="MS Gothic"/>
          <w:color w:val="B02045"/>
          <w:spacing w:val="-62"/>
          <w:w w:val="110"/>
          <w:sz w:val="21"/>
        </w:rPr>
        <w:t xml:space="preserve"> </w:t>
      </w:r>
      <w:r>
        <w:rPr>
          <w:color w:val="333333"/>
          <w:w w:val="110"/>
          <w:sz w:val="21"/>
        </w:rPr>
        <w:t>init parameters.</w:t>
      </w:r>
    </w:p>
    <w:p w14:paraId="18684814" w14:textId="77777777" w:rsidR="00A720EB" w:rsidRDefault="0030286B">
      <w:pPr>
        <w:pStyle w:val="a6"/>
        <w:numPr>
          <w:ilvl w:val="0"/>
          <w:numId w:val="65"/>
        </w:numPr>
        <w:tabs>
          <w:tab w:val="left" w:pos="485"/>
        </w:tabs>
        <w:spacing w:before="167"/>
        <w:jc w:val="left"/>
        <w:rPr>
          <w:sz w:val="21"/>
        </w:rPr>
      </w:pPr>
      <w:r>
        <w:rPr>
          <w:rFonts w:ascii="MS Gothic"/>
          <w:color w:val="B02045"/>
          <w:w w:val="110"/>
          <w:sz w:val="21"/>
        </w:rPr>
        <w:t>ServletContext</w:t>
      </w:r>
      <w:r>
        <w:rPr>
          <w:rFonts w:ascii="MS Gothic"/>
          <w:color w:val="B02045"/>
          <w:spacing w:val="-62"/>
          <w:w w:val="110"/>
          <w:sz w:val="21"/>
        </w:rPr>
        <w:t xml:space="preserve"> </w:t>
      </w:r>
      <w:r>
        <w:rPr>
          <w:color w:val="333333"/>
          <w:w w:val="110"/>
          <w:sz w:val="21"/>
        </w:rPr>
        <w:t>init parameters.</w:t>
      </w:r>
    </w:p>
    <w:p w14:paraId="73A1EBE6" w14:textId="77777777" w:rsidR="00A720EB" w:rsidRDefault="0030286B">
      <w:pPr>
        <w:pStyle w:val="a6"/>
        <w:numPr>
          <w:ilvl w:val="0"/>
          <w:numId w:val="65"/>
        </w:numPr>
        <w:tabs>
          <w:tab w:val="left" w:pos="485"/>
        </w:tabs>
        <w:spacing w:before="166"/>
        <w:jc w:val="left"/>
        <w:rPr>
          <w:sz w:val="21"/>
        </w:rPr>
      </w:pPr>
      <w:r>
        <w:rPr>
          <w:color w:val="333333"/>
          <w:w w:val="110"/>
          <w:sz w:val="21"/>
        </w:rPr>
        <w:t>JNDI attributes from</w:t>
      </w:r>
      <w:r>
        <w:rPr>
          <w:color w:val="333333"/>
          <w:spacing w:val="9"/>
          <w:w w:val="110"/>
          <w:sz w:val="21"/>
        </w:rPr>
        <w:t xml:space="preserve"> </w:t>
      </w:r>
      <w:proofErr w:type="gramStart"/>
      <w:r>
        <w:rPr>
          <w:rFonts w:ascii="MS Gothic"/>
          <w:color w:val="B02045"/>
          <w:w w:val="110"/>
          <w:sz w:val="21"/>
        </w:rPr>
        <w:t>java:comp</w:t>
      </w:r>
      <w:proofErr w:type="gramEnd"/>
      <w:r>
        <w:rPr>
          <w:rFonts w:ascii="MS Gothic"/>
          <w:color w:val="B02045"/>
          <w:w w:val="110"/>
          <w:sz w:val="21"/>
        </w:rPr>
        <w:t>/env</w:t>
      </w:r>
      <w:r>
        <w:rPr>
          <w:color w:val="333333"/>
          <w:w w:val="110"/>
          <w:sz w:val="21"/>
        </w:rPr>
        <w:t>.</w:t>
      </w:r>
    </w:p>
    <w:p w14:paraId="25E3BF15" w14:textId="77777777" w:rsidR="00A720EB" w:rsidRDefault="0030286B">
      <w:pPr>
        <w:pStyle w:val="a6"/>
        <w:numPr>
          <w:ilvl w:val="0"/>
          <w:numId w:val="65"/>
        </w:numPr>
        <w:tabs>
          <w:tab w:val="left" w:pos="485"/>
        </w:tabs>
        <w:spacing w:before="167"/>
        <w:jc w:val="left"/>
        <w:rPr>
          <w:sz w:val="21"/>
        </w:rPr>
      </w:pPr>
      <w:r>
        <w:rPr>
          <w:color w:val="333333"/>
          <w:w w:val="110"/>
          <w:sz w:val="21"/>
        </w:rPr>
        <w:t>Java System properties</w:t>
      </w:r>
      <w:r>
        <w:rPr>
          <w:color w:val="333333"/>
          <w:spacing w:val="-1"/>
          <w:w w:val="110"/>
          <w:sz w:val="21"/>
        </w:rPr>
        <w:t xml:space="preserve"> </w:t>
      </w:r>
      <w:r>
        <w:rPr>
          <w:color w:val="333333"/>
          <w:w w:val="110"/>
          <w:sz w:val="21"/>
        </w:rPr>
        <w:t>(</w:t>
      </w:r>
      <w:r>
        <w:rPr>
          <w:rFonts w:ascii="MS Gothic"/>
          <w:color w:val="B02045"/>
          <w:w w:val="110"/>
          <w:sz w:val="21"/>
        </w:rPr>
        <w:t>System.getProperties()</w:t>
      </w:r>
      <w:r>
        <w:rPr>
          <w:color w:val="333333"/>
          <w:w w:val="110"/>
          <w:sz w:val="21"/>
        </w:rPr>
        <w:t>).</w:t>
      </w:r>
    </w:p>
    <w:p w14:paraId="2D264B17" w14:textId="77777777" w:rsidR="00A720EB" w:rsidRDefault="0030286B">
      <w:pPr>
        <w:pStyle w:val="a6"/>
        <w:numPr>
          <w:ilvl w:val="0"/>
          <w:numId w:val="65"/>
        </w:numPr>
        <w:tabs>
          <w:tab w:val="left" w:pos="485"/>
        </w:tabs>
        <w:spacing w:before="177"/>
        <w:ind w:hanging="379"/>
        <w:jc w:val="left"/>
        <w:rPr>
          <w:sz w:val="21"/>
        </w:rPr>
      </w:pPr>
      <w:r>
        <w:rPr>
          <w:color w:val="333333"/>
          <w:w w:val="115"/>
          <w:sz w:val="21"/>
        </w:rPr>
        <w:t>OS environment</w:t>
      </w:r>
      <w:r>
        <w:rPr>
          <w:color w:val="333333"/>
          <w:spacing w:val="1"/>
          <w:w w:val="115"/>
          <w:sz w:val="21"/>
        </w:rPr>
        <w:t xml:space="preserve"> </w:t>
      </w:r>
      <w:r>
        <w:rPr>
          <w:color w:val="333333"/>
          <w:w w:val="115"/>
          <w:sz w:val="21"/>
        </w:rPr>
        <w:t>variables.</w:t>
      </w:r>
    </w:p>
    <w:p w14:paraId="311B8F9E" w14:textId="77777777" w:rsidR="00A720EB" w:rsidRDefault="0030286B">
      <w:pPr>
        <w:pStyle w:val="a6"/>
        <w:numPr>
          <w:ilvl w:val="0"/>
          <w:numId w:val="65"/>
        </w:numPr>
        <w:tabs>
          <w:tab w:val="left" w:pos="485"/>
        </w:tabs>
        <w:spacing w:before="179"/>
        <w:ind w:hanging="379"/>
        <w:jc w:val="left"/>
        <w:rPr>
          <w:sz w:val="21"/>
        </w:rPr>
      </w:pPr>
      <w:r>
        <w:rPr>
          <w:color w:val="333333"/>
          <w:w w:val="110"/>
          <w:sz w:val="21"/>
        </w:rPr>
        <w:t xml:space="preserve">A </w:t>
      </w:r>
      <w:r>
        <w:rPr>
          <w:rFonts w:ascii="MS Gothic"/>
          <w:color w:val="B02045"/>
          <w:w w:val="110"/>
          <w:sz w:val="21"/>
        </w:rPr>
        <w:t>RandomValuePropertySource</w:t>
      </w:r>
      <w:r>
        <w:rPr>
          <w:rFonts w:ascii="MS Gothic"/>
          <w:color w:val="B02045"/>
          <w:spacing w:val="-75"/>
          <w:w w:val="110"/>
          <w:sz w:val="21"/>
        </w:rPr>
        <w:t xml:space="preserve"> </w:t>
      </w:r>
      <w:r>
        <w:rPr>
          <w:color w:val="333333"/>
          <w:w w:val="110"/>
          <w:sz w:val="21"/>
        </w:rPr>
        <w:t xml:space="preserve">that has properties only in </w:t>
      </w:r>
      <w:r>
        <w:rPr>
          <w:rFonts w:ascii="MS Gothic"/>
          <w:color w:val="B02045"/>
          <w:w w:val="110"/>
          <w:sz w:val="21"/>
        </w:rPr>
        <w:t>random.*</w:t>
      </w:r>
      <w:r>
        <w:rPr>
          <w:color w:val="333333"/>
          <w:w w:val="110"/>
          <w:sz w:val="21"/>
        </w:rPr>
        <w:t>.</w:t>
      </w:r>
    </w:p>
    <w:p w14:paraId="09616736" w14:textId="77777777" w:rsidR="00A720EB" w:rsidRDefault="00E10349">
      <w:pPr>
        <w:pStyle w:val="a6"/>
        <w:numPr>
          <w:ilvl w:val="0"/>
          <w:numId w:val="65"/>
        </w:numPr>
        <w:tabs>
          <w:tab w:val="left" w:pos="485"/>
          <w:tab w:val="left" w:pos="2224"/>
          <w:tab w:val="left" w:pos="3598"/>
          <w:tab w:val="left" w:pos="4888"/>
          <w:tab w:val="left" w:pos="5870"/>
          <w:tab w:val="left" w:pos="6319"/>
          <w:tab w:val="left" w:pos="7040"/>
          <w:tab w:val="left" w:pos="8234"/>
          <w:tab w:val="left" w:pos="8764"/>
        </w:tabs>
        <w:spacing w:before="166"/>
        <w:ind w:hanging="379"/>
        <w:jc w:val="left"/>
        <w:rPr>
          <w:rFonts w:ascii="MS Gothic"/>
          <w:sz w:val="21"/>
        </w:rPr>
      </w:pPr>
      <w:hyperlink w:anchor="_bookmark106" w:history="1">
        <w:r w:rsidR="0030286B">
          <w:rPr>
            <w:color w:val="418BCA"/>
            <w:w w:val="110"/>
            <w:sz w:val="21"/>
          </w:rPr>
          <w:t>Profile-specific</w:t>
        </w:r>
        <w:r w:rsidR="0030286B">
          <w:rPr>
            <w:color w:val="418BCA"/>
            <w:w w:val="110"/>
            <w:sz w:val="21"/>
          </w:rPr>
          <w:tab/>
          <w:t>application</w:t>
        </w:r>
        <w:r w:rsidR="0030286B">
          <w:rPr>
            <w:color w:val="418BCA"/>
            <w:w w:val="110"/>
            <w:sz w:val="21"/>
          </w:rPr>
          <w:tab/>
          <w:t>properties</w:t>
        </w:r>
      </w:hyperlink>
      <w:r w:rsidR="0030286B">
        <w:rPr>
          <w:color w:val="418BCA"/>
          <w:w w:val="110"/>
          <w:sz w:val="21"/>
        </w:rPr>
        <w:tab/>
      </w:r>
      <w:r w:rsidR="0030286B">
        <w:rPr>
          <w:color w:val="333333"/>
          <w:w w:val="110"/>
          <w:sz w:val="21"/>
        </w:rPr>
        <w:t>outside</w:t>
      </w:r>
      <w:r w:rsidR="0030286B">
        <w:rPr>
          <w:color w:val="333333"/>
          <w:w w:val="110"/>
          <w:sz w:val="21"/>
        </w:rPr>
        <w:tab/>
        <w:t>of</w:t>
      </w:r>
      <w:r w:rsidR="0030286B">
        <w:rPr>
          <w:color w:val="333333"/>
          <w:w w:val="110"/>
          <w:sz w:val="21"/>
        </w:rPr>
        <w:tab/>
        <w:t>your</w:t>
      </w:r>
      <w:r w:rsidR="0030286B">
        <w:rPr>
          <w:color w:val="333333"/>
          <w:w w:val="110"/>
          <w:sz w:val="21"/>
        </w:rPr>
        <w:tab/>
        <w:t>packaged</w:t>
      </w:r>
      <w:r w:rsidR="0030286B">
        <w:rPr>
          <w:color w:val="333333"/>
          <w:w w:val="110"/>
          <w:sz w:val="21"/>
        </w:rPr>
        <w:tab/>
        <w:t>jar</w:t>
      </w:r>
      <w:r w:rsidR="0030286B">
        <w:rPr>
          <w:color w:val="333333"/>
          <w:w w:val="110"/>
          <w:sz w:val="21"/>
        </w:rPr>
        <w:tab/>
      </w:r>
      <w:r w:rsidR="0030286B">
        <w:rPr>
          <w:color w:val="333333"/>
          <w:w w:val="105"/>
          <w:sz w:val="21"/>
        </w:rPr>
        <w:t>(</w:t>
      </w:r>
      <w:r w:rsidR="0030286B">
        <w:rPr>
          <w:rFonts w:ascii="MS Gothic"/>
          <w:color w:val="B02045"/>
          <w:w w:val="105"/>
          <w:sz w:val="21"/>
        </w:rPr>
        <w:t>application-</w:t>
      </w:r>
    </w:p>
    <w:p w14:paraId="78C128AD" w14:textId="77777777" w:rsidR="00A720EB" w:rsidRDefault="0030286B">
      <w:pPr>
        <w:pStyle w:val="a3"/>
        <w:spacing w:before="47"/>
        <w:ind w:left="484"/>
      </w:pPr>
      <w:r>
        <w:rPr>
          <w:rFonts w:ascii="MS Gothic"/>
          <w:color w:val="B02045"/>
          <w:w w:val="110"/>
        </w:rPr>
        <w:t>{profile</w:t>
      </w:r>
      <w:proofErr w:type="gramStart"/>
      <w:r>
        <w:rPr>
          <w:rFonts w:ascii="MS Gothic"/>
          <w:color w:val="B02045"/>
          <w:w w:val="110"/>
        </w:rPr>
        <w:t>}.properties</w:t>
      </w:r>
      <w:proofErr w:type="gramEnd"/>
      <w:r>
        <w:rPr>
          <w:rFonts w:ascii="MS Gothic"/>
          <w:color w:val="B02045"/>
          <w:spacing w:val="-56"/>
          <w:w w:val="110"/>
        </w:rPr>
        <w:t xml:space="preserve"> </w:t>
      </w:r>
      <w:r>
        <w:rPr>
          <w:color w:val="333333"/>
          <w:w w:val="110"/>
        </w:rPr>
        <w:t xml:space="preserve">and </w:t>
      </w:r>
      <w:r>
        <w:rPr>
          <w:color w:val="333333"/>
          <w:spacing w:val="-5"/>
          <w:w w:val="110"/>
        </w:rPr>
        <w:t xml:space="preserve">YAML </w:t>
      </w:r>
      <w:r>
        <w:rPr>
          <w:color w:val="333333"/>
          <w:w w:val="110"/>
        </w:rPr>
        <w:t>variants).</w:t>
      </w:r>
    </w:p>
    <w:p w14:paraId="25427F8B" w14:textId="77777777" w:rsidR="00A720EB" w:rsidRDefault="00E10349">
      <w:pPr>
        <w:pStyle w:val="a6"/>
        <w:numPr>
          <w:ilvl w:val="0"/>
          <w:numId w:val="65"/>
        </w:numPr>
        <w:tabs>
          <w:tab w:val="left" w:pos="485"/>
          <w:tab w:val="left" w:pos="2306"/>
          <w:tab w:val="left" w:pos="3762"/>
          <w:tab w:val="left" w:pos="5134"/>
          <w:tab w:val="left" w:pos="6410"/>
          <w:tab w:val="left" w:pos="7347"/>
          <w:tab w:val="left" w:pos="8151"/>
          <w:tab w:val="left" w:pos="8763"/>
        </w:tabs>
        <w:spacing w:before="166"/>
        <w:ind w:hanging="379"/>
        <w:jc w:val="left"/>
        <w:rPr>
          <w:rFonts w:ascii="MS Gothic"/>
          <w:sz w:val="21"/>
        </w:rPr>
      </w:pPr>
      <w:hyperlink w:anchor="_bookmark106" w:history="1">
        <w:r w:rsidR="0030286B">
          <w:rPr>
            <w:color w:val="418BCA"/>
            <w:w w:val="110"/>
            <w:sz w:val="21"/>
          </w:rPr>
          <w:t>Profile-specific</w:t>
        </w:r>
        <w:r w:rsidR="0030286B">
          <w:rPr>
            <w:color w:val="418BCA"/>
            <w:w w:val="110"/>
            <w:sz w:val="21"/>
          </w:rPr>
          <w:tab/>
          <w:t>application</w:t>
        </w:r>
        <w:r w:rsidR="0030286B">
          <w:rPr>
            <w:color w:val="418BCA"/>
            <w:w w:val="110"/>
            <w:sz w:val="21"/>
          </w:rPr>
          <w:tab/>
          <w:t>properties</w:t>
        </w:r>
      </w:hyperlink>
      <w:r w:rsidR="0030286B">
        <w:rPr>
          <w:color w:val="418BCA"/>
          <w:w w:val="110"/>
          <w:sz w:val="21"/>
        </w:rPr>
        <w:tab/>
      </w:r>
      <w:r w:rsidR="0030286B">
        <w:rPr>
          <w:color w:val="333333"/>
          <w:w w:val="110"/>
          <w:sz w:val="21"/>
        </w:rPr>
        <w:t>packaged</w:t>
      </w:r>
      <w:r w:rsidR="0030286B">
        <w:rPr>
          <w:color w:val="333333"/>
          <w:w w:val="110"/>
          <w:sz w:val="21"/>
        </w:rPr>
        <w:tab/>
        <w:t>inside</w:t>
      </w:r>
      <w:r w:rsidR="0030286B">
        <w:rPr>
          <w:color w:val="333333"/>
          <w:w w:val="110"/>
          <w:sz w:val="21"/>
        </w:rPr>
        <w:tab/>
        <w:t>your</w:t>
      </w:r>
      <w:r w:rsidR="0030286B">
        <w:rPr>
          <w:color w:val="333333"/>
          <w:w w:val="110"/>
          <w:sz w:val="21"/>
        </w:rPr>
        <w:tab/>
        <w:t>jar</w:t>
      </w:r>
      <w:r w:rsidR="0030286B">
        <w:rPr>
          <w:color w:val="333333"/>
          <w:w w:val="110"/>
          <w:sz w:val="21"/>
        </w:rPr>
        <w:tab/>
      </w:r>
      <w:r w:rsidR="0030286B">
        <w:rPr>
          <w:color w:val="333333"/>
          <w:w w:val="105"/>
          <w:sz w:val="21"/>
        </w:rPr>
        <w:t>(</w:t>
      </w:r>
      <w:r w:rsidR="0030286B">
        <w:rPr>
          <w:rFonts w:ascii="MS Gothic"/>
          <w:color w:val="B02045"/>
          <w:w w:val="105"/>
          <w:sz w:val="21"/>
        </w:rPr>
        <w:t>application-</w:t>
      </w:r>
    </w:p>
    <w:p w14:paraId="0323B35E" w14:textId="77777777" w:rsidR="00A720EB" w:rsidRDefault="0030286B">
      <w:pPr>
        <w:pStyle w:val="a3"/>
        <w:spacing w:before="47"/>
        <w:ind w:left="484"/>
      </w:pPr>
      <w:r>
        <w:rPr>
          <w:rFonts w:ascii="MS Gothic"/>
          <w:color w:val="B02045"/>
          <w:w w:val="110"/>
        </w:rPr>
        <w:t>{profile</w:t>
      </w:r>
      <w:proofErr w:type="gramStart"/>
      <w:r>
        <w:rPr>
          <w:rFonts w:ascii="MS Gothic"/>
          <w:color w:val="B02045"/>
          <w:w w:val="110"/>
        </w:rPr>
        <w:t>}.properties</w:t>
      </w:r>
      <w:proofErr w:type="gramEnd"/>
      <w:r>
        <w:rPr>
          <w:rFonts w:ascii="MS Gothic"/>
          <w:color w:val="B02045"/>
          <w:spacing w:val="-56"/>
          <w:w w:val="110"/>
        </w:rPr>
        <w:t xml:space="preserve"> </w:t>
      </w:r>
      <w:r>
        <w:rPr>
          <w:color w:val="333333"/>
          <w:w w:val="110"/>
        </w:rPr>
        <w:t xml:space="preserve">and </w:t>
      </w:r>
      <w:r>
        <w:rPr>
          <w:color w:val="333333"/>
          <w:spacing w:val="-5"/>
          <w:w w:val="110"/>
        </w:rPr>
        <w:t xml:space="preserve">YAML </w:t>
      </w:r>
      <w:r>
        <w:rPr>
          <w:color w:val="333333"/>
          <w:w w:val="110"/>
        </w:rPr>
        <w:t>variants).</w:t>
      </w:r>
    </w:p>
    <w:p w14:paraId="0BA4D5A6" w14:textId="77777777" w:rsidR="00A720EB" w:rsidRDefault="00E10349">
      <w:pPr>
        <w:pStyle w:val="a6"/>
        <w:numPr>
          <w:ilvl w:val="0"/>
          <w:numId w:val="65"/>
        </w:numPr>
        <w:tabs>
          <w:tab w:val="left" w:pos="485"/>
        </w:tabs>
        <w:spacing w:before="167" w:line="290" w:lineRule="auto"/>
        <w:ind w:right="123" w:hanging="379"/>
        <w:jc w:val="both"/>
        <w:rPr>
          <w:sz w:val="21"/>
        </w:rPr>
      </w:pPr>
      <w:hyperlink w:anchor="_bookmark105" w:history="1">
        <w:r w:rsidR="0030286B">
          <w:rPr>
            <w:color w:val="418BCA"/>
            <w:w w:val="110"/>
            <w:sz w:val="21"/>
          </w:rPr>
          <w:t>Application properties</w:t>
        </w:r>
      </w:hyperlink>
      <w:r w:rsidR="0030286B">
        <w:rPr>
          <w:color w:val="418BCA"/>
          <w:w w:val="110"/>
          <w:sz w:val="21"/>
        </w:rPr>
        <w:t xml:space="preserve"> </w:t>
      </w:r>
      <w:r w:rsidR="0030286B">
        <w:rPr>
          <w:color w:val="333333"/>
          <w:w w:val="110"/>
          <w:sz w:val="21"/>
        </w:rPr>
        <w:t>outside of your packaged jar (</w:t>
      </w:r>
      <w:proofErr w:type="gramStart"/>
      <w:r w:rsidR="0030286B">
        <w:rPr>
          <w:rFonts w:ascii="MS Gothic"/>
          <w:color w:val="B02045"/>
          <w:w w:val="110"/>
          <w:sz w:val="21"/>
        </w:rPr>
        <w:t>application.properties</w:t>
      </w:r>
      <w:proofErr w:type="gramEnd"/>
      <w:r w:rsidR="0030286B">
        <w:rPr>
          <w:rFonts w:ascii="MS Gothic"/>
          <w:color w:val="B02045"/>
          <w:w w:val="110"/>
          <w:sz w:val="21"/>
        </w:rPr>
        <w:t xml:space="preserve"> </w:t>
      </w:r>
      <w:r w:rsidR="0030286B">
        <w:rPr>
          <w:color w:val="333333"/>
          <w:w w:val="110"/>
          <w:sz w:val="21"/>
        </w:rPr>
        <w:t xml:space="preserve">and </w:t>
      </w:r>
      <w:r w:rsidR="0030286B">
        <w:rPr>
          <w:color w:val="333333"/>
          <w:spacing w:val="-5"/>
          <w:w w:val="110"/>
          <w:sz w:val="21"/>
        </w:rPr>
        <w:t xml:space="preserve">YAML </w:t>
      </w:r>
      <w:r w:rsidR="0030286B">
        <w:rPr>
          <w:color w:val="333333"/>
          <w:w w:val="110"/>
          <w:sz w:val="21"/>
        </w:rPr>
        <w:t>variants).</w:t>
      </w:r>
    </w:p>
    <w:p w14:paraId="4DA4F322" w14:textId="77777777" w:rsidR="00A720EB" w:rsidRDefault="00E10349">
      <w:pPr>
        <w:pStyle w:val="a6"/>
        <w:numPr>
          <w:ilvl w:val="0"/>
          <w:numId w:val="65"/>
        </w:numPr>
        <w:tabs>
          <w:tab w:val="left" w:pos="485"/>
        </w:tabs>
        <w:spacing w:before="127"/>
        <w:ind w:hanging="379"/>
        <w:jc w:val="left"/>
        <w:rPr>
          <w:sz w:val="21"/>
        </w:rPr>
      </w:pPr>
      <w:hyperlink w:anchor="_bookmark105" w:history="1">
        <w:r w:rsidR="0030286B">
          <w:rPr>
            <w:color w:val="418BCA"/>
            <w:w w:val="110"/>
            <w:sz w:val="21"/>
          </w:rPr>
          <w:t>Application</w:t>
        </w:r>
        <w:r w:rsidR="0030286B">
          <w:rPr>
            <w:color w:val="418BCA"/>
            <w:spacing w:val="-7"/>
            <w:w w:val="110"/>
            <w:sz w:val="21"/>
          </w:rPr>
          <w:t xml:space="preserve"> </w:t>
        </w:r>
        <w:r w:rsidR="0030286B">
          <w:rPr>
            <w:color w:val="418BCA"/>
            <w:w w:val="110"/>
            <w:sz w:val="21"/>
          </w:rPr>
          <w:t>properties</w:t>
        </w:r>
        <w:r w:rsidR="0030286B">
          <w:rPr>
            <w:color w:val="418BCA"/>
            <w:spacing w:val="-7"/>
            <w:w w:val="110"/>
            <w:sz w:val="21"/>
          </w:rPr>
          <w:t xml:space="preserve"> </w:t>
        </w:r>
      </w:hyperlink>
      <w:r w:rsidR="0030286B">
        <w:rPr>
          <w:color w:val="333333"/>
          <w:w w:val="110"/>
          <w:sz w:val="21"/>
        </w:rPr>
        <w:t>packaged</w:t>
      </w:r>
      <w:r w:rsidR="0030286B">
        <w:rPr>
          <w:color w:val="333333"/>
          <w:spacing w:val="-7"/>
          <w:w w:val="110"/>
          <w:sz w:val="21"/>
        </w:rPr>
        <w:t xml:space="preserve"> </w:t>
      </w:r>
      <w:r w:rsidR="0030286B">
        <w:rPr>
          <w:color w:val="333333"/>
          <w:w w:val="110"/>
          <w:sz w:val="21"/>
        </w:rPr>
        <w:t>inside</w:t>
      </w:r>
      <w:r w:rsidR="0030286B">
        <w:rPr>
          <w:color w:val="333333"/>
          <w:spacing w:val="-8"/>
          <w:w w:val="110"/>
          <w:sz w:val="21"/>
        </w:rPr>
        <w:t xml:space="preserve"> </w:t>
      </w:r>
      <w:r w:rsidR="0030286B">
        <w:rPr>
          <w:color w:val="333333"/>
          <w:w w:val="110"/>
          <w:sz w:val="21"/>
        </w:rPr>
        <w:t>your</w:t>
      </w:r>
      <w:r w:rsidR="0030286B">
        <w:rPr>
          <w:color w:val="333333"/>
          <w:spacing w:val="-7"/>
          <w:w w:val="110"/>
          <w:sz w:val="21"/>
        </w:rPr>
        <w:t xml:space="preserve"> </w:t>
      </w:r>
      <w:r w:rsidR="0030286B">
        <w:rPr>
          <w:color w:val="333333"/>
          <w:w w:val="110"/>
          <w:sz w:val="21"/>
        </w:rPr>
        <w:t>jar</w:t>
      </w:r>
      <w:r w:rsidR="0030286B">
        <w:rPr>
          <w:color w:val="333333"/>
          <w:spacing w:val="-8"/>
          <w:w w:val="110"/>
          <w:sz w:val="21"/>
        </w:rPr>
        <w:t xml:space="preserve"> </w:t>
      </w:r>
      <w:r w:rsidR="0030286B">
        <w:rPr>
          <w:color w:val="333333"/>
          <w:w w:val="110"/>
          <w:sz w:val="21"/>
        </w:rPr>
        <w:t>(</w:t>
      </w:r>
      <w:proofErr w:type="gramStart"/>
      <w:r w:rsidR="0030286B">
        <w:rPr>
          <w:rFonts w:ascii="MS Gothic"/>
          <w:color w:val="B02045"/>
          <w:w w:val="110"/>
          <w:sz w:val="21"/>
        </w:rPr>
        <w:t>application.properties</w:t>
      </w:r>
      <w:proofErr w:type="gramEnd"/>
      <w:r w:rsidR="0030286B">
        <w:rPr>
          <w:rFonts w:ascii="MS Gothic"/>
          <w:color w:val="B02045"/>
          <w:spacing w:val="-71"/>
          <w:w w:val="110"/>
          <w:sz w:val="21"/>
        </w:rPr>
        <w:t xml:space="preserve"> </w:t>
      </w:r>
      <w:r w:rsidR="0030286B">
        <w:rPr>
          <w:color w:val="333333"/>
          <w:w w:val="110"/>
          <w:sz w:val="21"/>
        </w:rPr>
        <w:t>and</w:t>
      </w:r>
      <w:r w:rsidR="0030286B">
        <w:rPr>
          <w:color w:val="333333"/>
          <w:spacing w:val="-8"/>
          <w:w w:val="110"/>
          <w:sz w:val="21"/>
        </w:rPr>
        <w:t xml:space="preserve"> </w:t>
      </w:r>
      <w:r w:rsidR="0030286B">
        <w:rPr>
          <w:color w:val="333333"/>
          <w:spacing w:val="-5"/>
          <w:w w:val="110"/>
          <w:sz w:val="21"/>
        </w:rPr>
        <w:t>YAML</w:t>
      </w:r>
      <w:r w:rsidR="0030286B">
        <w:rPr>
          <w:color w:val="333333"/>
          <w:spacing w:val="-7"/>
          <w:w w:val="110"/>
          <w:sz w:val="21"/>
        </w:rPr>
        <w:t xml:space="preserve"> </w:t>
      </w:r>
      <w:r w:rsidR="0030286B">
        <w:rPr>
          <w:color w:val="333333"/>
          <w:w w:val="110"/>
          <w:sz w:val="21"/>
        </w:rPr>
        <w:t>variants).</w:t>
      </w:r>
    </w:p>
    <w:p w14:paraId="4C10482B" w14:textId="77777777" w:rsidR="00A720EB" w:rsidRDefault="00E10349">
      <w:pPr>
        <w:pStyle w:val="a6"/>
        <w:numPr>
          <w:ilvl w:val="0"/>
          <w:numId w:val="65"/>
        </w:numPr>
        <w:tabs>
          <w:tab w:val="left" w:pos="485"/>
        </w:tabs>
        <w:spacing w:before="167" w:line="285" w:lineRule="auto"/>
        <w:ind w:right="122" w:hanging="379"/>
        <w:jc w:val="both"/>
        <w:rPr>
          <w:sz w:val="21"/>
        </w:rPr>
      </w:pPr>
      <w:hyperlink r:id="rId99">
        <w:r w:rsidR="0030286B">
          <w:rPr>
            <w:rFonts w:ascii="MS Gothic"/>
            <w:color w:val="B02045"/>
            <w:w w:val="110"/>
            <w:sz w:val="21"/>
          </w:rPr>
          <w:t xml:space="preserve">@PropertySource </w:t>
        </w:r>
      </w:hyperlink>
      <w:r w:rsidR="0030286B">
        <w:rPr>
          <w:color w:val="333333"/>
          <w:w w:val="110"/>
          <w:sz w:val="21"/>
        </w:rPr>
        <w:t xml:space="preserve">annotations on </w:t>
      </w:r>
      <w:proofErr w:type="gramStart"/>
      <w:r w:rsidR="0030286B">
        <w:rPr>
          <w:color w:val="333333"/>
          <w:w w:val="110"/>
          <w:sz w:val="21"/>
        </w:rPr>
        <w:t>your</w:t>
      </w:r>
      <w:proofErr w:type="gramEnd"/>
      <w:r w:rsidR="0030286B">
        <w:rPr>
          <w:color w:val="333333"/>
          <w:w w:val="110"/>
          <w:sz w:val="21"/>
        </w:rPr>
        <w:t xml:space="preserve"> </w:t>
      </w:r>
      <w:r w:rsidR="0030286B">
        <w:rPr>
          <w:rFonts w:ascii="MS Gothic"/>
          <w:color w:val="B02045"/>
          <w:w w:val="110"/>
          <w:sz w:val="21"/>
        </w:rPr>
        <w:t xml:space="preserve">@Configuration </w:t>
      </w:r>
      <w:r w:rsidR="0030286B">
        <w:rPr>
          <w:color w:val="333333"/>
          <w:w w:val="110"/>
          <w:sz w:val="21"/>
        </w:rPr>
        <w:t xml:space="preserve">classes. Please note that such property sources are not added to the </w:t>
      </w:r>
      <w:r w:rsidR="0030286B">
        <w:rPr>
          <w:rFonts w:ascii="MS Gothic"/>
          <w:color w:val="B02045"/>
          <w:w w:val="110"/>
          <w:sz w:val="21"/>
        </w:rPr>
        <w:t xml:space="preserve">Environment </w:t>
      </w:r>
      <w:r w:rsidR="0030286B">
        <w:rPr>
          <w:color w:val="333333"/>
          <w:w w:val="110"/>
          <w:sz w:val="21"/>
        </w:rPr>
        <w:t xml:space="preserve">until the application context is being refreshed. This is too late to configure certain properties such as </w:t>
      </w:r>
      <w:proofErr w:type="gramStart"/>
      <w:r w:rsidR="0030286B">
        <w:rPr>
          <w:rFonts w:ascii="MS Gothic"/>
          <w:color w:val="B02045"/>
          <w:w w:val="110"/>
          <w:sz w:val="21"/>
        </w:rPr>
        <w:t>logging.*</w:t>
      </w:r>
      <w:proofErr w:type="gramEnd"/>
      <w:r w:rsidR="0030286B">
        <w:rPr>
          <w:rFonts w:ascii="MS Gothic"/>
          <w:color w:val="B02045"/>
          <w:w w:val="110"/>
          <w:sz w:val="21"/>
        </w:rPr>
        <w:t xml:space="preserve"> </w:t>
      </w:r>
      <w:r w:rsidR="0030286B">
        <w:rPr>
          <w:color w:val="333333"/>
          <w:w w:val="110"/>
          <w:sz w:val="21"/>
        </w:rPr>
        <w:t xml:space="preserve">and </w:t>
      </w:r>
      <w:r w:rsidR="0030286B">
        <w:rPr>
          <w:rFonts w:ascii="MS Gothic"/>
          <w:color w:val="B02045"/>
          <w:w w:val="110"/>
          <w:sz w:val="21"/>
        </w:rPr>
        <w:t xml:space="preserve">spring.main.* </w:t>
      </w:r>
      <w:r w:rsidR="0030286B">
        <w:rPr>
          <w:color w:val="333333"/>
          <w:w w:val="110"/>
          <w:sz w:val="21"/>
        </w:rPr>
        <w:t>which are read before refresh</w:t>
      </w:r>
      <w:r w:rsidR="0030286B">
        <w:rPr>
          <w:color w:val="333333"/>
          <w:spacing w:val="6"/>
          <w:w w:val="110"/>
          <w:sz w:val="21"/>
        </w:rPr>
        <w:t xml:space="preserve"> </w:t>
      </w:r>
      <w:r w:rsidR="0030286B">
        <w:rPr>
          <w:color w:val="333333"/>
          <w:w w:val="110"/>
          <w:sz w:val="21"/>
        </w:rPr>
        <w:t>begins.</w:t>
      </w:r>
    </w:p>
    <w:p w14:paraId="27AD6899" w14:textId="77777777" w:rsidR="00A720EB" w:rsidRDefault="0030286B">
      <w:pPr>
        <w:pStyle w:val="a6"/>
        <w:numPr>
          <w:ilvl w:val="0"/>
          <w:numId w:val="65"/>
        </w:numPr>
        <w:tabs>
          <w:tab w:val="left" w:pos="485"/>
        </w:tabs>
        <w:spacing w:before="129"/>
        <w:ind w:hanging="379"/>
        <w:jc w:val="both"/>
        <w:rPr>
          <w:sz w:val="21"/>
        </w:rPr>
      </w:pPr>
      <w:r>
        <w:rPr>
          <w:color w:val="333333"/>
          <w:w w:val="110"/>
          <w:sz w:val="21"/>
        </w:rPr>
        <w:t>Default properties (specified</w:t>
      </w:r>
      <w:r>
        <w:rPr>
          <w:color w:val="333333"/>
          <w:spacing w:val="-38"/>
          <w:w w:val="110"/>
          <w:sz w:val="21"/>
        </w:rPr>
        <w:t xml:space="preserve"> </w:t>
      </w:r>
      <w:r>
        <w:rPr>
          <w:color w:val="333333"/>
          <w:spacing w:val="-3"/>
          <w:w w:val="110"/>
          <w:sz w:val="21"/>
        </w:rPr>
        <w:t xml:space="preserve">by </w:t>
      </w:r>
      <w:r>
        <w:rPr>
          <w:color w:val="333333"/>
          <w:w w:val="110"/>
          <w:sz w:val="21"/>
        </w:rPr>
        <w:t xml:space="preserve">setting </w:t>
      </w:r>
      <w:r>
        <w:rPr>
          <w:rFonts w:ascii="MS Gothic"/>
          <w:color w:val="B02045"/>
          <w:w w:val="110"/>
          <w:sz w:val="21"/>
        </w:rPr>
        <w:t>SpringApplication.setDefaultProperties</w:t>
      </w:r>
      <w:r>
        <w:rPr>
          <w:color w:val="333333"/>
          <w:w w:val="110"/>
          <w:sz w:val="21"/>
        </w:rPr>
        <w:t>).</w:t>
      </w:r>
    </w:p>
    <w:p w14:paraId="42927A4B" w14:textId="77777777" w:rsidR="00A720EB" w:rsidRDefault="00A720EB">
      <w:pPr>
        <w:pStyle w:val="a3"/>
        <w:spacing w:before="5"/>
        <w:rPr>
          <w:sz w:val="24"/>
        </w:rPr>
      </w:pPr>
    </w:p>
    <w:p w14:paraId="086A5861" w14:textId="77777777" w:rsidR="00A720EB" w:rsidRDefault="0030286B">
      <w:pPr>
        <w:pStyle w:val="a3"/>
        <w:spacing w:line="290" w:lineRule="auto"/>
        <w:ind w:left="124"/>
      </w:pPr>
      <w:r>
        <w:rPr>
          <w:color w:val="333333"/>
          <w:w w:val="110"/>
        </w:rPr>
        <w:t xml:space="preserve">To provide a concrete example, suppose you develop a </w:t>
      </w:r>
      <w:r>
        <w:rPr>
          <w:rFonts w:ascii="MS Gothic"/>
          <w:color w:val="B02045"/>
          <w:w w:val="110"/>
        </w:rPr>
        <w:t xml:space="preserve">@Component </w:t>
      </w:r>
      <w:r>
        <w:rPr>
          <w:color w:val="333333"/>
          <w:w w:val="110"/>
        </w:rPr>
        <w:t xml:space="preserve">that uses a </w:t>
      </w:r>
      <w:r>
        <w:rPr>
          <w:rFonts w:ascii="MS Gothic"/>
          <w:color w:val="B02045"/>
          <w:w w:val="110"/>
        </w:rPr>
        <w:t xml:space="preserve">name </w:t>
      </w:r>
      <w:r>
        <w:rPr>
          <w:color w:val="333333"/>
          <w:w w:val="110"/>
        </w:rPr>
        <w:t>property, as shown in the following example:</w:t>
      </w:r>
    </w:p>
    <w:p w14:paraId="72CD3F80" w14:textId="77777777" w:rsidR="00A720EB" w:rsidRDefault="00E10349">
      <w:pPr>
        <w:pStyle w:val="a3"/>
        <w:spacing w:before="7"/>
        <w:rPr>
          <w:sz w:val="14"/>
        </w:rPr>
      </w:pPr>
      <w:r>
        <w:pict w14:anchorId="24143FFD">
          <v:group id="_x0000_s4657" style="position:absolute;margin-left:47.85pt;margin-top:10.55pt;width:499.55pt;height:199.65pt;z-index:-15626752;mso-wrap-distance-left:0;mso-wrap-distance-right:0;mso-position-horizontal-relative:page" coordorigin="957,211" coordsize="9991,3993">
            <v:shape id="_x0000_s4660" style="position:absolute;left:964;top:218;width:9976;height:3978" coordorigin="965,219" coordsize="9976,3978" path="m10861,219r-9816,l1014,225r-26,17l971,267r-6,32l965,4116r6,31l988,4173r26,17l1045,4196r9816,l10892,4190r25,-17l10935,4147r6,-31l10941,299r-6,-32l10917,242r-25,-17l10861,219xe" fillcolor="#f5f5f5" stroked="f">
              <v:path arrowok="t"/>
            </v:shape>
            <v:shape id="_x0000_s4659" style="position:absolute;left:964;top:218;width:9976;height:3978" coordorigin="965,219" coordsize="9976,3978" path="m1045,219r9816,l10892,225r25,17l10935,267r6,32l10941,4116r-6,31l10917,4173r-25,17l10861,4196r-9816,l1014,4190r-26,-17l971,4147r-6,-31l965,299r6,-32l988,242r26,-17l1045,219xe" filled="f" strokecolor="#ccc">
              <v:path arrowok="t"/>
            </v:shape>
            <v:shape id="_x0000_s4658" type="#_x0000_t202" style="position:absolute;left:984;top:234;width:9938;height:3947" filled="f" stroked="f">
              <v:textbox inset="0,0,0,0">
                <w:txbxContent>
                  <w:p w14:paraId="6928D32E"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.stereotype.*;</w:t>
                    </w:r>
                  </w:p>
                  <w:p w14:paraId="5E3A6DF1" w14:textId="77777777" w:rsidR="00711A16" w:rsidRDefault="00711A16">
                    <w:pPr>
                      <w:spacing w:before="13"/>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w:t>
                    </w:r>
                  </w:p>
                  <w:p w14:paraId="0298956A" w14:textId="77777777" w:rsidR="00711A16" w:rsidRDefault="00711A16">
                    <w:pPr>
                      <w:rPr>
                        <w:rFonts w:ascii="MS Gothic"/>
                        <w:sz w:val="24"/>
                      </w:rPr>
                    </w:pPr>
                  </w:p>
                  <w:p w14:paraId="32A8B556" w14:textId="77777777" w:rsidR="00711A16" w:rsidRDefault="00711A16">
                    <w:pPr>
                      <w:ind w:left="200"/>
                      <w:rPr>
                        <w:rFonts w:ascii="MS Gothic"/>
                      </w:rPr>
                    </w:pPr>
                    <w:r>
                      <w:rPr>
                        <w:rFonts w:ascii="MS Gothic"/>
                        <w:color w:val="333333"/>
                      </w:rPr>
                      <w:t>@Component</w:t>
                    </w:r>
                  </w:p>
                  <w:p w14:paraId="0D417612" w14:textId="77777777" w:rsidR="00711A16" w:rsidRDefault="00711A16">
                    <w:pPr>
                      <w:spacing w:before="13"/>
                      <w:ind w:left="200"/>
                      <w:rPr>
                        <w:rFonts w:ascii="MS Gothic"/>
                      </w:rPr>
                    </w:pPr>
                    <w:r>
                      <w:rPr>
                        <w:rFonts w:ascii="MS Gothic"/>
                        <w:color w:val="333333"/>
                      </w:rPr>
                      <w:t>public class MyBean {</w:t>
                    </w:r>
                  </w:p>
                  <w:p w14:paraId="235B4225" w14:textId="77777777" w:rsidR="00711A16" w:rsidRDefault="00711A16">
                    <w:pPr>
                      <w:rPr>
                        <w:rFonts w:ascii="MS Gothic"/>
                        <w:sz w:val="24"/>
                      </w:rPr>
                    </w:pPr>
                  </w:p>
                  <w:p w14:paraId="7F05425B" w14:textId="77777777" w:rsidR="00711A16" w:rsidRDefault="00711A16">
                    <w:pPr>
                      <w:spacing w:line="252" w:lineRule="auto"/>
                      <w:ind w:left="640" w:right="7078"/>
                      <w:rPr>
                        <w:rFonts w:ascii="MS Gothic"/>
                      </w:rPr>
                    </w:pPr>
                    <w:r>
                      <w:rPr>
                        <w:rFonts w:ascii="MS Gothic"/>
                        <w:color w:val="333333"/>
                      </w:rPr>
                      <w:t>@Value("${name}") private String name;</w:t>
                    </w:r>
                  </w:p>
                  <w:p w14:paraId="07CF90C0" w14:textId="77777777" w:rsidR="00711A16" w:rsidRDefault="00711A16">
                    <w:pPr>
                      <w:spacing w:before="10"/>
                      <w:rPr>
                        <w:rFonts w:ascii="MS Gothic"/>
                      </w:rPr>
                    </w:pPr>
                  </w:p>
                  <w:p w14:paraId="40F0DA9C" w14:textId="77777777" w:rsidR="00711A16" w:rsidRDefault="00711A16">
                    <w:pPr>
                      <w:spacing w:before="1"/>
                      <w:ind w:left="640"/>
                      <w:rPr>
                        <w:rFonts w:ascii="MS Gothic"/>
                      </w:rPr>
                    </w:pPr>
                    <w:r>
                      <w:rPr>
                        <w:rFonts w:ascii="MS Gothic"/>
                        <w:color w:val="333333"/>
                      </w:rPr>
                      <w:t>// ...</w:t>
                    </w:r>
                  </w:p>
                  <w:p w14:paraId="72FF69BC" w14:textId="77777777" w:rsidR="00711A16" w:rsidRDefault="00711A16">
                    <w:pPr>
                      <w:rPr>
                        <w:rFonts w:ascii="MS Gothic"/>
                        <w:sz w:val="24"/>
                      </w:rPr>
                    </w:pPr>
                  </w:p>
                  <w:p w14:paraId="4B88540C" w14:textId="77777777" w:rsidR="00711A16" w:rsidRDefault="00711A16">
                    <w:pPr>
                      <w:ind w:left="200"/>
                      <w:rPr>
                        <w:rFonts w:ascii="MS Gothic"/>
                      </w:rPr>
                    </w:pPr>
                    <w:r>
                      <w:rPr>
                        <w:rFonts w:ascii="MS Gothic"/>
                        <w:color w:val="333333"/>
                      </w:rPr>
                      <w:t>}</w:t>
                    </w:r>
                  </w:p>
                </w:txbxContent>
              </v:textbox>
            </v:shape>
            <w10:wrap type="topAndBottom" anchorx="page"/>
          </v:group>
        </w:pict>
      </w:r>
    </w:p>
    <w:p w14:paraId="470A0F87" w14:textId="77777777" w:rsidR="00A720EB" w:rsidRDefault="00A720EB">
      <w:pPr>
        <w:pStyle w:val="a3"/>
        <w:rPr>
          <w:sz w:val="10"/>
        </w:rPr>
      </w:pPr>
    </w:p>
    <w:p w14:paraId="68029BF6" w14:textId="77777777" w:rsidR="00A720EB" w:rsidRDefault="0030286B">
      <w:pPr>
        <w:pStyle w:val="a3"/>
        <w:spacing w:before="125" w:line="285" w:lineRule="auto"/>
        <w:ind w:left="124" w:right="123"/>
        <w:jc w:val="both"/>
      </w:pPr>
      <w:r>
        <w:rPr>
          <w:color w:val="333333"/>
          <w:w w:val="110"/>
        </w:rPr>
        <w:t xml:space="preserve">On your application classpath (for example, inside your jar) </w:t>
      </w:r>
      <w:proofErr w:type="gramStart"/>
      <w:r>
        <w:rPr>
          <w:color w:val="333333"/>
          <w:w w:val="110"/>
        </w:rPr>
        <w:t>you  can</w:t>
      </w:r>
      <w:proofErr w:type="gramEnd"/>
      <w:r>
        <w:rPr>
          <w:color w:val="333333"/>
          <w:w w:val="110"/>
        </w:rPr>
        <w:t xml:space="preserve">  have  an </w:t>
      </w:r>
      <w:r>
        <w:rPr>
          <w:rFonts w:ascii="MS Gothic"/>
          <w:color w:val="B02045"/>
          <w:w w:val="110"/>
        </w:rPr>
        <w:t xml:space="preserve">application.properties </w:t>
      </w:r>
      <w:r>
        <w:rPr>
          <w:color w:val="333333"/>
          <w:w w:val="110"/>
        </w:rPr>
        <w:t xml:space="preserve">file that provides a sensible default property value for </w:t>
      </w:r>
      <w:r>
        <w:rPr>
          <w:rFonts w:ascii="MS Gothic"/>
          <w:color w:val="B02045"/>
          <w:w w:val="110"/>
        </w:rPr>
        <w:t>name</w:t>
      </w:r>
      <w:r>
        <w:rPr>
          <w:color w:val="333333"/>
          <w:w w:val="110"/>
        </w:rPr>
        <w:t xml:space="preserve">. When running in a new environment, an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file can be provided outside of your jar that overrides the </w:t>
      </w:r>
      <w:r>
        <w:rPr>
          <w:rFonts w:ascii="MS Gothic"/>
          <w:color w:val="B02045"/>
          <w:w w:val="110"/>
        </w:rPr>
        <w:t>name</w:t>
      </w:r>
      <w:r>
        <w:rPr>
          <w:color w:val="333333"/>
          <w:w w:val="110"/>
        </w:rPr>
        <w:t xml:space="preserve">. For one-off testing, you can launch with a specific command line switch (for example, </w:t>
      </w:r>
      <w:r>
        <w:rPr>
          <w:rFonts w:ascii="MS Gothic"/>
          <w:color w:val="B02045"/>
          <w:w w:val="110"/>
        </w:rPr>
        <w:t>java -jar app.jar --name="Spring"</w:t>
      </w:r>
      <w:r>
        <w:rPr>
          <w:color w:val="333333"/>
          <w:w w:val="110"/>
        </w:rPr>
        <w:t>).</w:t>
      </w:r>
    </w:p>
    <w:p w14:paraId="4726181D" w14:textId="77777777" w:rsidR="00A720EB" w:rsidRDefault="00A720EB">
      <w:pPr>
        <w:spacing w:line="285" w:lineRule="auto"/>
        <w:jc w:val="both"/>
        <w:sectPr w:rsidR="00A720EB">
          <w:pgSz w:w="11910" w:h="16840"/>
          <w:pgMar w:top="640" w:right="840" w:bottom="520" w:left="840" w:header="0" w:footer="323" w:gutter="0"/>
          <w:cols w:space="720"/>
        </w:sectPr>
      </w:pPr>
    </w:p>
    <w:p w14:paraId="1B77F205" w14:textId="77777777" w:rsidR="00A720EB" w:rsidRDefault="0030286B">
      <w:pPr>
        <w:pStyle w:val="a3"/>
        <w:spacing w:before="102" w:line="290" w:lineRule="auto"/>
        <w:ind w:left="124" w:right="128"/>
        <w:jc w:val="both"/>
      </w:pPr>
      <w:r>
        <w:rPr>
          <w:color w:val="333333"/>
          <w:w w:val="110"/>
        </w:rPr>
        <w:lastRenderedPageBreak/>
        <w:t xml:space="preserve">Spring Boot also supports wildcard locations when loading configuration files. </w:t>
      </w:r>
      <w:r>
        <w:rPr>
          <w:color w:val="333333"/>
          <w:spacing w:val="-3"/>
          <w:w w:val="110"/>
        </w:rPr>
        <w:t xml:space="preserve">By </w:t>
      </w:r>
      <w:proofErr w:type="gramStart"/>
      <w:r>
        <w:rPr>
          <w:color w:val="333333"/>
          <w:w w:val="110"/>
        </w:rPr>
        <w:t>default,  a</w:t>
      </w:r>
      <w:proofErr w:type="gramEnd"/>
      <w:r>
        <w:rPr>
          <w:color w:val="333333"/>
          <w:w w:val="110"/>
        </w:rPr>
        <w:t xml:space="preserve">   wildcard location of </w:t>
      </w:r>
      <w:r>
        <w:rPr>
          <w:rFonts w:ascii="MS Gothic"/>
          <w:color w:val="B02045"/>
          <w:w w:val="110"/>
        </w:rPr>
        <w:t xml:space="preserve">config/*/ </w:t>
      </w:r>
      <w:r>
        <w:rPr>
          <w:color w:val="333333"/>
          <w:w w:val="110"/>
        </w:rPr>
        <w:t>outside of your jar is supported. Wildcard locations are also supported</w:t>
      </w:r>
      <w:r>
        <w:rPr>
          <w:color w:val="333333"/>
          <w:spacing w:val="-22"/>
          <w:w w:val="110"/>
        </w:rPr>
        <w:t xml:space="preserve"> </w:t>
      </w:r>
      <w:r>
        <w:rPr>
          <w:color w:val="333333"/>
          <w:w w:val="110"/>
        </w:rPr>
        <w:t>when</w:t>
      </w:r>
      <w:r>
        <w:rPr>
          <w:color w:val="333333"/>
          <w:spacing w:val="-22"/>
          <w:w w:val="110"/>
        </w:rPr>
        <w:t xml:space="preserve"> </w:t>
      </w:r>
      <w:r>
        <w:rPr>
          <w:color w:val="333333"/>
          <w:w w:val="110"/>
        </w:rPr>
        <w:t>specifying</w:t>
      </w:r>
      <w:r>
        <w:rPr>
          <w:color w:val="333333"/>
          <w:spacing w:val="-22"/>
          <w:w w:val="110"/>
        </w:rPr>
        <w:t xml:space="preserve"> </w:t>
      </w:r>
      <w:r>
        <w:rPr>
          <w:rFonts w:ascii="MS Gothic"/>
          <w:color w:val="B02045"/>
          <w:w w:val="110"/>
        </w:rPr>
        <w:t>spring.</w:t>
      </w:r>
      <w:proofErr w:type="gramStart"/>
      <w:r>
        <w:rPr>
          <w:rFonts w:ascii="MS Gothic"/>
          <w:color w:val="B02045"/>
          <w:w w:val="110"/>
        </w:rPr>
        <w:t>config.additional</w:t>
      </w:r>
      <w:proofErr w:type="gramEnd"/>
      <w:r>
        <w:rPr>
          <w:rFonts w:ascii="MS Gothic"/>
          <w:color w:val="B02045"/>
          <w:w w:val="110"/>
        </w:rPr>
        <w:t>-location</w:t>
      </w:r>
      <w:r>
        <w:rPr>
          <w:rFonts w:ascii="MS Gothic"/>
          <w:color w:val="B02045"/>
          <w:spacing w:val="-87"/>
          <w:w w:val="110"/>
        </w:rPr>
        <w:t xml:space="preserve"> </w:t>
      </w:r>
      <w:r>
        <w:rPr>
          <w:color w:val="333333"/>
          <w:w w:val="110"/>
        </w:rPr>
        <w:t>and</w:t>
      </w:r>
      <w:r>
        <w:rPr>
          <w:color w:val="333333"/>
          <w:spacing w:val="-21"/>
          <w:w w:val="110"/>
        </w:rPr>
        <w:t xml:space="preserve"> </w:t>
      </w:r>
      <w:r>
        <w:rPr>
          <w:rFonts w:ascii="MS Gothic"/>
          <w:color w:val="B02045"/>
          <w:w w:val="110"/>
        </w:rPr>
        <w:t>spring.config.location</w:t>
      </w:r>
      <w:r>
        <w:rPr>
          <w:color w:val="333333"/>
          <w:w w:val="110"/>
        </w:rPr>
        <w:t>.</w:t>
      </w:r>
    </w:p>
    <w:p w14:paraId="638C695B" w14:textId="77777777" w:rsidR="00A720EB" w:rsidRDefault="0030286B">
      <w:pPr>
        <w:pStyle w:val="a3"/>
        <w:spacing w:before="237" w:line="297" w:lineRule="auto"/>
        <w:ind w:left="124" w:right="124"/>
        <w:jc w:val="both"/>
      </w:pPr>
      <w:r>
        <w:rPr>
          <w:color w:val="333333"/>
          <w:w w:val="110"/>
        </w:rPr>
        <w:t xml:space="preserve">Wildcard locations are particularly useful in an environment such as Kubernetes when there are multiple sources of config properties. </w:t>
      </w:r>
      <w:r>
        <w:rPr>
          <w:color w:val="333333"/>
          <w:spacing w:val="-4"/>
          <w:w w:val="110"/>
        </w:rPr>
        <w:t xml:space="preserve">For </w:t>
      </w:r>
      <w:r>
        <w:rPr>
          <w:color w:val="333333"/>
          <w:w w:val="110"/>
        </w:rPr>
        <w:t xml:space="preserve">example, if you have some Redis configuration and some MySQL configuration, you might want to keep those two pieces of configuration separate, while requiring that both those are present in an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that the app can bind to. This might</w:t>
      </w:r>
      <w:r>
        <w:rPr>
          <w:color w:val="333333"/>
          <w:spacing w:val="23"/>
          <w:w w:val="110"/>
        </w:rPr>
        <w:t xml:space="preserve"> </w:t>
      </w:r>
      <w:r>
        <w:rPr>
          <w:color w:val="333333"/>
          <w:w w:val="110"/>
        </w:rPr>
        <w:t>result</w:t>
      </w:r>
      <w:r>
        <w:rPr>
          <w:color w:val="333333"/>
          <w:spacing w:val="24"/>
          <w:w w:val="110"/>
        </w:rPr>
        <w:t xml:space="preserve"> </w:t>
      </w:r>
      <w:r>
        <w:rPr>
          <w:color w:val="333333"/>
          <w:w w:val="110"/>
        </w:rPr>
        <w:t>in</w:t>
      </w:r>
      <w:r>
        <w:rPr>
          <w:color w:val="333333"/>
          <w:spacing w:val="23"/>
          <w:w w:val="110"/>
        </w:rPr>
        <w:t xml:space="preserve"> </w:t>
      </w:r>
      <w:r>
        <w:rPr>
          <w:color w:val="333333"/>
          <w:w w:val="110"/>
        </w:rPr>
        <w:t>two</w:t>
      </w:r>
      <w:r>
        <w:rPr>
          <w:color w:val="333333"/>
          <w:spacing w:val="24"/>
          <w:w w:val="110"/>
        </w:rPr>
        <w:t xml:space="preserve"> </w:t>
      </w:r>
      <w:r>
        <w:rPr>
          <w:color w:val="333333"/>
          <w:w w:val="110"/>
        </w:rPr>
        <w:t>separate</w:t>
      </w:r>
      <w:r>
        <w:rPr>
          <w:color w:val="333333"/>
          <w:spacing w:val="25"/>
          <w:w w:val="110"/>
        </w:rPr>
        <w:t xml:space="preserve"> </w:t>
      </w:r>
      <w:proofErr w:type="gramStart"/>
      <w:r>
        <w:rPr>
          <w:rFonts w:ascii="MS Gothic"/>
          <w:color w:val="B02045"/>
          <w:w w:val="110"/>
        </w:rPr>
        <w:t>application.properties</w:t>
      </w:r>
      <w:proofErr w:type="gramEnd"/>
      <w:r>
        <w:rPr>
          <w:rFonts w:ascii="MS Gothic"/>
          <w:color w:val="B02045"/>
          <w:spacing w:val="-41"/>
          <w:w w:val="110"/>
        </w:rPr>
        <w:t xml:space="preserve"> </w:t>
      </w:r>
      <w:r>
        <w:rPr>
          <w:color w:val="333333"/>
          <w:w w:val="110"/>
        </w:rPr>
        <w:t>files</w:t>
      </w:r>
      <w:r>
        <w:rPr>
          <w:color w:val="333333"/>
          <w:spacing w:val="24"/>
          <w:w w:val="110"/>
        </w:rPr>
        <w:t xml:space="preserve"> </w:t>
      </w:r>
      <w:r>
        <w:rPr>
          <w:color w:val="333333"/>
          <w:w w:val="110"/>
        </w:rPr>
        <w:t>mounted</w:t>
      </w:r>
      <w:r>
        <w:rPr>
          <w:color w:val="333333"/>
          <w:spacing w:val="24"/>
          <w:w w:val="110"/>
        </w:rPr>
        <w:t xml:space="preserve"> </w:t>
      </w:r>
      <w:r>
        <w:rPr>
          <w:color w:val="333333"/>
          <w:w w:val="110"/>
        </w:rPr>
        <w:t>at</w:t>
      </w:r>
      <w:r>
        <w:rPr>
          <w:color w:val="333333"/>
          <w:spacing w:val="23"/>
          <w:w w:val="110"/>
        </w:rPr>
        <w:t xml:space="preserve"> </w:t>
      </w:r>
      <w:r>
        <w:rPr>
          <w:color w:val="333333"/>
          <w:w w:val="110"/>
        </w:rPr>
        <w:t>different</w:t>
      </w:r>
      <w:r>
        <w:rPr>
          <w:color w:val="333333"/>
          <w:spacing w:val="23"/>
          <w:w w:val="110"/>
        </w:rPr>
        <w:t xml:space="preserve"> </w:t>
      </w:r>
      <w:r>
        <w:rPr>
          <w:color w:val="333333"/>
          <w:w w:val="110"/>
        </w:rPr>
        <w:t>locations</w:t>
      </w:r>
      <w:r>
        <w:rPr>
          <w:color w:val="333333"/>
          <w:spacing w:val="24"/>
          <w:w w:val="110"/>
        </w:rPr>
        <w:t xml:space="preserve"> </w:t>
      </w:r>
      <w:r>
        <w:rPr>
          <w:color w:val="333333"/>
          <w:w w:val="110"/>
        </w:rPr>
        <w:t>such</w:t>
      </w:r>
      <w:r>
        <w:rPr>
          <w:color w:val="333333"/>
          <w:spacing w:val="24"/>
          <w:w w:val="110"/>
        </w:rPr>
        <w:t xml:space="preserve"> </w:t>
      </w:r>
      <w:r>
        <w:rPr>
          <w:color w:val="333333"/>
          <w:w w:val="110"/>
        </w:rPr>
        <w:t>as</w:t>
      </w:r>
    </w:p>
    <w:p w14:paraId="1CB2A319" w14:textId="77777777" w:rsidR="00A720EB" w:rsidRDefault="0030286B">
      <w:pPr>
        <w:pStyle w:val="a3"/>
        <w:spacing w:line="253" w:lineRule="exact"/>
        <w:ind w:left="124"/>
        <w:jc w:val="both"/>
      </w:pPr>
      <w:r>
        <w:rPr>
          <w:rFonts w:ascii="MS Gothic"/>
          <w:color w:val="B02045"/>
          <w:w w:val="105"/>
        </w:rPr>
        <w:t xml:space="preserve">/config/redis/application.properties </w:t>
      </w:r>
      <w:r>
        <w:rPr>
          <w:color w:val="333333"/>
          <w:w w:val="105"/>
        </w:rPr>
        <w:t xml:space="preserve">and </w:t>
      </w:r>
      <w:r>
        <w:rPr>
          <w:rFonts w:ascii="MS Gothic"/>
          <w:color w:val="B02045"/>
          <w:w w:val="105"/>
        </w:rPr>
        <w:t>/config/mysql/application.properties</w:t>
      </w:r>
      <w:r>
        <w:rPr>
          <w:color w:val="333333"/>
          <w:w w:val="105"/>
        </w:rPr>
        <w:t xml:space="preserve">. In such </w:t>
      </w:r>
      <w:proofErr w:type="gramStart"/>
      <w:r>
        <w:rPr>
          <w:color w:val="333333"/>
          <w:w w:val="105"/>
        </w:rPr>
        <w:t xml:space="preserve">a </w:t>
      </w:r>
      <w:r>
        <w:rPr>
          <w:color w:val="333333"/>
          <w:spacing w:val="34"/>
          <w:w w:val="105"/>
        </w:rPr>
        <w:t xml:space="preserve"> </w:t>
      </w:r>
      <w:r>
        <w:rPr>
          <w:color w:val="333333"/>
          <w:w w:val="105"/>
        </w:rPr>
        <w:t>case</w:t>
      </w:r>
      <w:proofErr w:type="gramEnd"/>
      <w:r>
        <w:rPr>
          <w:color w:val="333333"/>
          <w:w w:val="105"/>
        </w:rPr>
        <w:t>,</w:t>
      </w:r>
    </w:p>
    <w:p w14:paraId="0C27C429" w14:textId="77777777" w:rsidR="00A720EB" w:rsidRDefault="0030286B">
      <w:pPr>
        <w:pStyle w:val="a3"/>
        <w:spacing w:before="47"/>
        <w:ind w:left="124"/>
        <w:jc w:val="both"/>
      </w:pPr>
      <w:r>
        <w:rPr>
          <w:color w:val="333333"/>
          <w:w w:val="110"/>
        </w:rPr>
        <w:t xml:space="preserve">having a wildcard location of </w:t>
      </w:r>
      <w:r>
        <w:rPr>
          <w:rFonts w:ascii="MS Gothic"/>
          <w:color w:val="B02045"/>
          <w:w w:val="110"/>
        </w:rPr>
        <w:t>config/*/</w:t>
      </w:r>
      <w:r>
        <w:rPr>
          <w:color w:val="333333"/>
          <w:w w:val="110"/>
        </w:rPr>
        <w:t>, will result in both files being processed.</w:t>
      </w:r>
    </w:p>
    <w:p w14:paraId="6C9D16B5" w14:textId="77777777" w:rsidR="00A720EB" w:rsidRDefault="00A720EB">
      <w:pPr>
        <w:pStyle w:val="a3"/>
        <w:spacing w:before="4"/>
      </w:pPr>
    </w:p>
    <w:p w14:paraId="617D1856" w14:textId="77777777" w:rsidR="00A720EB" w:rsidRDefault="00E10349">
      <w:pPr>
        <w:pStyle w:val="a3"/>
        <w:spacing w:before="116" w:line="292" w:lineRule="auto"/>
        <w:ind w:left="1564" w:right="362"/>
        <w:jc w:val="both"/>
      </w:pPr>
      <w:r>
        <w:pict w14:anchorId="37E7A088">
          <v:line id="_x0000_s4656" style="position:absolute;left:0;text-align:left;z-index:15832576;mso-position-horizontal-relative:page" from="108.25pt,.35pt" to="108.25pt,71.45pt" strokecolor="#ededed" strokeweight=".5pt">
            <w10:wrap anchorx="page"/>
          </v:line>
        </w:pict>
      </w:r>
      <w:r w:rsidR="0030286B">
        <w:rPr>
          <w:noProof/>
        </w:rPr>
        <w:drawing>
          <wp:anchor distT="0" distB="0" distL="0" distR="0" simplePos="0" relativeHeight="15833088" behindDoc="0" locked="0" layoutInCell="1" allowOverlap="1" wp14:anchorId="4C065028" wp14:editId="293DE4B3">
            <wp:simplePos x="0" y="0"/>
            <wp:positionH relativeFrom="page">
              <wp:posOffset>844422</wp:posOffset>
            </wp:positionH>
            <wp:positionV relativeFrom="paragraph">
              <wp:posOffset>306653</wp:posOffset>
            </wp:positionV>
            <wp:extent cx="298450" cy="298450"/>
            <wp:effectExtent l="0" t="0" r="0" b="0"/>
            <wp:wrapNone/>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A wildcard location must contain only one </w:t>
      </w:r>
      <w:r w:rsidR="0030286B">
        <w:rPr>
          <w:rFonts w:ascii="MS Gothic"/>
          <w:color w:val="B02045"/>
          <w:w w:val="110"/>
        </w:rPr>
        <w:t xml:space="preserve">and end with / </w:t>
      </w:r>
      <w:r w:rsidR="0030286B">
        <w:rPr>
          <w:color w:val="333333"/>
          <w:w w:val="110"/>
        </w:rPr>
        <w:t xml:space="preserve">for search locations that are directories or </w:t>
      </w:r>
      <w:r w:rsidR="0030286B">
        <w:rPr>
          <w:rFonts w:ascii="MS Gothic"/>
          <w:color w:val="B02045"/>
          <w:w w:val="110"/>
        </w:rPr>
        <w:t xml:space="preserve">*/&lt;filename&gt; </w:t>
      </w:r>
      <w:r w:rsidR="0030286B">
        <w:rPr>
          <w:color w:val="333333"/>
          <w:w w:val="110"/>
        </w:rPr>
        <w:t>for search locations that are files. Locations with wildcards are sorted alphabetically based on the absolute path of the file names.</w:t>
      </w:r>
    </w:p>
    <w:p w14:paraId="171B7B61" w14:textId="77777777" w:rsidR="00A720EB" w:rsidRDefault="00A720EB">
      <w:pPr>
        <w:pStyle w:val="a3"/>
        <w:spacing w:before="8"/>
        <w:rPr>
          <w:sz w:val="24"/>
        </w:rPr>
      </w:pPr>
    </w:p>
    <w:p w14:paraId="1458ED71" w14:textId="77777777" w:rsidR="00A720EB" w:rsidRDefault="00E10349">
      <w:pPr>
        <w:pStyle w:val="a3"/>
        <w:spacing w:before="116" w:line="300" w:lineRule="auto"/>
        <w:ind w:left="1564" w:right="365"/>
        <w:jc w:val="both"/>
      </w:pPr>
      <w:r>
        <w:pict w14:anchorId="467B7C85">
          <v:line id="_x0000_s4655" style="position:absolute;left:0;text-align:left;z-index:15833600;mso-position-horizontal-relative:page" from="108.25pt,.35pt" to="108.25pt,363.1pt" strokecolor="#ededed" strokeweight=".5pt">
            <w10:wrap anchorx="page"/>
          </v:line>
        </w:pict>
      </w:r>
      <w:bookmarkStart w:id="174" w:name="_bookmark102"/>
      <w:bookmarkEnd w:id="174"/>
      <w:r w:rsidR="0030286B">
        <w:rPr>
          <w:color w:val="333333"/>
          <w:w w:val="110"/>
        </w:rPr>
        <w:t>The</w:t>
      </w:r>
      <w:r w:rsidR="0030286B">
        <w:rPr>
          <w:color w:val="333333"/>
          <w:spacing w:val="-11"/>
          <w:w w:val="110"/>
        </w:rPr>
        <w:t xml:space="preserve"> </w:t>
      </w:r>
      <w:r w:rsidR="0030286B">
        <w:rPr>
          <w:rFonts w:ascii="MS Gothic"/>
          <w:color w:val="B02045"/>
          <w:w w:val="110"/>
        </w:rPr>
        <w:t>SPRING_APPLICATION_JSON</w:t>
      </w:r>
      <w:r w:rsidR="0030286B">
        <w:rPr>
          <w:rFonts w:ascii="MS Gothic"/>
          <w:color w:val="B02045"/>
          <w:spacing w:val="-75"/>
          <w:w w:val="110"/>
        </w:rPr>
        <w:t xml:space="preserve"> </w:t>
      </w:r>
      <w:r w:rsidR="0030286B">
        <w:rPr>
          <w:color w:val="333333"/>
          <w:w w:val="110"/>
        </w:rPr>
        <w:t>properties</w:t>
      </w:r>
      <w:r w:rsidR="0030286B">
        <w:rPr>
          <w:color w:val="333333"/>
          <w:spacing w:val="-11"/>
          <w:w w:val="110"/>
        </w:rPr>
        <w:t xml:space="preserve"> </w:t>
      </w:r>
      <w:r w:rsidR="0030286B">
        <w:rPr>
          <w:color w:val="333333"/>
          <w:w w:val="110"/>
        </w:rPr>
        <w:t>can</w:t>
      </w:r>
      <w:r w:rsidR="0030286B">
        <w:rPr>
          <w:color w:val="333333"/>
          <w:spacing w:val="-11"/>
          <w:w w:val="110"/>
        </w:rPr>
        <w:t xml:space="preserve"> </w:t>
      </w:r>
      <w:r w:rsidR="0030286B">
        <w:rPr>
          <w:color w:val="333333"/>
          <w:w w:val="110"/>
        </w:rPr>
        <w:t>be</w:t>
      </w:r>
      <w:r w:rsidR="0030286B">
        <w:rPr>
          <w:color w:val="333333"/>
          <w:spacing w:val="-11"/>
          <w:w w:val="110"/>
        </w:rPr>
        <w:t xml:space="preserve"> </w:t>
      </w:r>
      <w:r w:rsidR="0030286B">
        <w:rPr>
          <w:color w:val="333333"/>
          <w:w w:val="110"/>
        </w:rPr>
        <w:t>supplied</w:t>
      </w:r>
      <w:r w:rsidR="0030286B">
        <w:rPr>
          <w:color w:val="333333"/>
          <w:spacing w:val="-10"/>
          <w:w w:val="110"/>
        </w:rPr>
        <w:t xml:space="preserve"> </w:t>
      </w:r>
      <w:r w:rsidR="0030286B">
        <w:rPr>
          <w:color w:val="333333"/>
          <w:w w:val="110"/>
        </w:rPr>
        <w:t>on</w:t>
      </w:r>
      <w:r w:rsidR="0030286B">
        <w:rPr>
          <w:color w:val="333333"/>
          <w:spacing w:val="-11"/>
          <w:w w:val="110"/>
        </w:rPr>
        <w:t xml:space="preserve"> </w:t>
      </w:r>
      <w:r w:rsidR="0030286B">
        <w:rPr>
          <w:color w:val="333333"/>
          <w:w w:val="110"/>
        </w:rPr>
        <w:t>the</w:t>
      </w:r>
      <w:r w:rsidR="0030286B">
        <w:rPr>
          <w:color w:val="333333"/>
          <w:spacing w:val="-11"/>
          <w:w w:val="110"/>
        </w:rPr>
        <w:t xml:space="preserve"> </w:t>
      </w:r>
      <w:r w:rsidR="0030286B">
        <w:rPr>
          <w:color w:val="333333"/>
          <w:w w:val="110"/>
        </w:rPr>
        <w:t>command</w:t>
      </w:r>
      <w:r w:rsidR="0030286B">
        <w:rPr>
          <w:color w:val="333333"/>
          <w:spacing w:val="-11"/>
          <w:w w:val="110"/>
        </w:rPr>
        <w:t xml:space="preserve"> </w:t>
      </w:r>
      <w:r w:rsidR="0030286B">
        <w:rPr>
          <w:color w:val="333333"/>
          <w:w w:val="110"/>
        </w:rPr>
        <w:t>line</w:t>
      </w:r>
      <w:r w:rsidR="0030286B">
        <w:rPr>
          <w:color w:val="333333"/>
          <w:spacing w:val="-11"/>
          <w:w w:val="110"/>
        </w:rPr>
        <w:t xml:space="preserve"> </w:t>
      </w:r>
      <w:r w:rsidR="0030286B">
        <w:rPr>
          <w:color w:val="333333"/>
          <w:w w:val="110"/>
        </w:rPr>
        <w:t xml:space="preserve">with an environment variable. </w:t>
      </w:r>
      <w:r w:rsidR="0030286B">
        <w:rPr>
          <w:color w:val="333333"/>
          <w:spacing w:val="-4"/>
          <w:w w:val="110"/>
        </w:rPr>
        <w:t xml:space="preserve">For </w:t>
      </w:r>
      <w:r w:rsidR="0030286B">
        <w:rPr>
          <w:color w:val="333333"/>
          <w:w w:val="110"/>
        </w:rPr>
        <w:t>example, you could use the following line in a UN*X shell:</w:t>
      </w:r>
    </w:p>
    <w:p w14:paraId="3299BA2E" w14:textId="77777777" w:rsidR="00A720EB" w:rsidRDefault="00E10349">
      <w:pPr>
        <w:pStyle w:val="a3"/>
        <w:spacing w:before="6"/>
        <w:rPr>
          <w:sz w:val="13"/>
        </w:rPr>
      </w:pPr>
      <w:r>
        <w:pict w14:anchorId="0A64DDD3">
          <v:group id="_x0000_s4651" style="position:absolute;margin-left:119.85pt;margin-top:9.95pt;width:415.55pt;height:52.25pt;z-index:-15626240;mso-wrap-distance-left:0;mso-wrap-distance-right:0;mso-position-horizontal-relative:page" coordorigin="2397,199" coordsize="8311,1045">
            <v:shape id="_x0000_s4654" style="position:absolute;left:2404;top:206;width:8296;height:1030" coordorigin="2405,206" coordsize="8296,1030" path="m10621,206r-8136,l2454,212r-26,18l2411,255r-6,31l2405,1156r6,31l2428,1212r26,17l2485,1236r8136,l10652,1229r25,-17l10695,1187r6,-31l10701,286r-6,-31l10677,230r-25,-18l10621,206xe" fillcolor="#f5f5f5" stroked="f">
              <v:path arrowok="t"/>
            </v:shape>
            <v:shape id="_x0000_s4653" style="position:absolute;left:2404;top:206;width:8296;height:1030" coordorigin="2405,206" coordsize="8296,1030" path="m2485,206r8136,l10652,212r25,18l10695,255r6,31l10701,1156r-6,31l10677,1212r-25,17l10621,1236r-8136,l2454,1229r-26,-17l2411,1187r-6,-31l2405,286r6,-31l2428,230r26,-18l2485,206xe" filled="f" strokecolor="#ccc">
              <v:path arrowok="t"/>
            </v:shape>
            <v:shape id="_x0000_s4652" type="#_x0000_t202" style="position:absolute;left:2424;top:221;width:8258;height:999" filled="f" stroked="f">
              <v:textbox inset="0,0,0,0">
                <w:txbxContent>
                  <w:p w14:paraId="3BE4FA87" w14:textId="77777777" w:rsidR="00711A16" w:rsidRDefault="00711A16">
                    <w:pPr>
                      <w:spacing w:before="221" w:line="252" w:lineRule="auto"/>
                      <w:ind w:left="200" w:right="1218"/>
                      <w:rPr>
                        <w:rFonts w:ascii="MS Gothic"/>
                      </w:rPr>
                    </w:pPr>
                    <w:r>
                      <w:rPr>
                        <w:rFonts w:ascii="MS Gothic"/>
                        <w:color w:val="333333"/>
                      </w:rPr>
                      <w:t>$ SPRING_APPLICATION_JSON='{"acme</w:t>
                    </w:r>
                    <w:proofErr w:type="gramStart"/>
                    <w:r>
                      <w:rPr>
                        <w:rFonts w:ascii="MS Gothic"/>
                        <w:color w:val="333333"/>
                      </w:rPr>
                      <w:t>":{</w:t>
                    </w:r>
                    <w:proofErr w:type="gramEnd"/>
                    <w:r>
                      <w:rPr>
                        <w:rFonts w:ascii="MS Gothic"/>
                        <w:color w:val="333333"/>
                      </w:rPr>
                      <w:t>"name":"test"}}' java -jar myapp.jar</w:t>
                    </w:r>
                  </w:p>
                </w:txbxContent>
              </v:textbox>
            </v:shape>
            <w10:wrap type="topAndBottom" anchorx="page"/>
          </v:group>
        </w:pict>
      </w:r>
    </w:p>
    <w:p w14:paraId="4E883E0B" w14:textId="77777777" w:rsidR="00A720EB" w:rsidRDefault="00A720EB">
      <w:pPr>
        <w:pStyle w:val="a3"/>
        <w:spacing w:before="11"/>
        <w:rPr>
          <w:sz w:val="9"/>
        </w:rPr>
      </w:pPr>
    </w:p>
    <w:p w14:paraId="5BC102D6" w14:textId="77777777" w:rsidR="00A720EB" w:rsidRDefault="0030286B">
      <w:pPr>
        <w:pStyle w:val="a3"/>
        <w:spacing w:before="115" w:line="285" w:lineRule="auto"/>
        <w:ind w:left="1564" w:right="363"/>
        <w:jc w:val="both"/>
      </w:pPr>
      <w:r>
        <w:rPr>
          <w:noProof/>
        </w:rPr>
        <w:drawing>
          <wp:anchor distT="0" distB="0" distL="0" distR="0" simplePos="0" relativeHeight="15834112" behindDoc="0" locked="0" layoutInCell="1" allowOverlap="1" wp14:anchorId="5A9EA385" wp14:editId="12F4042E">
            <wp:simplePos x="0" y="0"/>
            <wp:positionH relativeFrom="page">
              <wp:posOffset>888949</wp:posOffset>
            </wp:positionH>
            <wp:positionV relativeFrom="paragraph">
              <wp:posOffset>594944</wp:posOffset>
            </wp:positionV>
            <wp:extent cx="209550" cy="304800"/>
            <wp:effectExtent l="0" t="0" r="0" b="0"/>
            <wp:wrapNone/>
            <wp:docPr id="1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31" cstate="print"/>
                    <a:stretch>
                      <a:fillRect/>
                    </a:stretch>
                  </pic:blipFill>
                  <pic:spPr>
                    <a:xfrm>
                      <a:off x="0" y="0"/>
                      <a:ext cx="209550" cy="304800"/>
                    </a:xfrm>
                    <a:prstGeom prst="rect">
                      <a:avLst/>
                    </a:prstGeom>
                  </pic:spPr>
                </pic:pic>
              </a:graphicData>
            </a:graphic>
          </wp:anchor>
        </w:drawing>
      </w:r>
      <w:r>
        <w:rPr>
          <w:color w:val="333333"/>
          <w:w w:val="110"/>
        </w:rPr>
        <w:t xml:space="preserve">In the preceding example, you end up with </w:t>
      </w:r>
      <w:r>
        <w:rPr>
          <w:rFonts w:ascii="MS Gothic"/>
          <w:color w:val="B02045"/>
          <w:w w:val="110"/>
        </w:rPr>
        <w:t xml:space="preserve">acme.name=test </w:t>
      </w:r>
      <w:r>
        <w:rPr>
          <w:color w:val="333333"/>
          <w:w w:val="110"/>
        </w:rPr>
        <w:t xml:space="preserve">in the Spring </w:t>
      </w:r>
      <w:r>
        <w:rPr>
          <w:rFonts w:ascii="MS Gothic"/>
          <w:color w:val="B02045"/>
          <w:w w:val="110"/>
        </w:rPr>
        <w:t>Environment</w:t>
      </w:r>
      <w:r>
        <w:rPr>
          <w:color w:val="333333"/>
          <w:w w:val="110"/>
        </w:rPr>
        <w:t>.</w:t>
      </w:r>
      <w:r>
        <w:rPr>
          <w:color w:val="333333"/>
          <w:spacing w:val="-6"/>
          <w:w w:val="110"/>
        </w:rPr>
        <w:t xml:space="preserve"> You </w:t>
      </w:r>
      <w:r>
        <w:rPr>
          <w:color w:val="333333"/>
          <w:w w:val="110"/>
        </w:rPr>
        <w:t>can</w:t>
      </w:r>
      <w:r>
        <w:rPr>
          <w:color w:val="333333"/>
          <w:spacing w:val="-5"/>
          <w:w w:val="110"/>
        </w:rPr>
        <w:t xml:space="preserve"> </w:t>
      </w:r>
      <w:r>
        <w:rPr>
          <w:color w:val="333333"/>
          <w:w w:val="110"/>
        </w:rPr>
        <w:t>also</w:t>
      </w:r>
      <w:r>
        <w:rPr>
          <w:color w:val="333333"/>
          <w:spacing w:val="-6"/>
          <w:w w:val="110"/>
        </w:rPr>
        <w:t xml:space="preserve"> </w:t>
      </w:r>
      <w:r>
        <w:rPr>
          <w:color w:val="333333"/>
          <w:w w:val="110"/>
        </w:rPr>
        <w:t>supply</w:t>
      </w:r>
      <w:r>
        <w:rPr>
          <w:color w:val="333333"/>
          <w:spacing w:val="-6"/>
          <w:w w:val="110"/>
        </w:rPr>
        <w:t xml:space="preserve"> </w:t>
      </w:r>
      <w:r>
        <w:rPr>
          <w:color w:val="333333"/>
          <w:w w:val="110"/>
        </w:rPr>
        <w:t>the</w:t>
      </w:r>
      <w:r>
        <w:rPr>
          <w:color w:val="333333"/>
          <w:spacing w:val="-5"/>
          <w:w w:val="110"/>
        </w:rPr>
        <w:t xml:space="preserve"> </w:t>
      </w:r>
      <w:r>
        <w:rPr>
          <w:color w:val="333333"/>
          <w:w w:val="110"/>
        </w:rPr>
        <w:t>JSON</w:t>
      </w:r>
      <w:r>
        <w:rPr>
          <w:color w:val="333333"/>
          <w:spacing w:val="-6"/>
          <w:w w:val="110"/>
        </w:rPr>
        <w:t xml:space="preserve"> </w:t>
      </w:r>
      <w:r>
        <w:rPr>
          <w:color w:val="333333"/>
          <w:w w:val="110"/>
        </w:rPr>
        <w:t>as</w:t>
      </w:r>
      <w:r>
        <w:rPr>
          <w:color w:val="333333"/>
          <w:spacing w:val="-4"/>
          <w:w w:val="110"/>
        </w:rPr>
        <w:t xml:space="preserve"> </w:t>
      </w:r>
      <w:r>
        <w:rPr>
          <w:rFonts w:ascii="MS Gothic"/>
          <w:color w:val="B02045"/>
          <w:w w:val="110"/>
        </w:rPr>
        <w:t>spring.</w:t>
      </w:r>
      <w:proofErr w:type="gramStart"/>
      <w:r>
        <w:rPr>
          <w:rFonts w:ascii="MS Gothic"/>
          <w:color w:val="B02045"/>
          <w:w w:val="110"/>
        </w:rPr>
        <w:t>application.json</w:t>
      </w:r>
      <w:proofErr w:type="gramEnd"/>
      <w:r>
        <w:rPr>
          <w:rFonts w:ascii="MS Gothic"/>
          <w:color w:val="B02045"/>
          <w:spacing w:val="-71"/>
          <w:w w:val="110"/>
        </w:rPr>
        <w:t xml:space="preserve"> </w:t>
      </w:r>
      <w:r>
        <w:rPr>
          <w:color w:val="333333"/>
          <w:w w:val="110"/>
        </w:rPr>
        <w:t>in</w:t>
      </w:r>
      <w:r>
        <w:rPr>
          <w:color w:val="333333"/>
          <w:spacing w:val="-5"/>
          <w:w w:val="110"/>
        </w:rPr>
        <w:t xml:space="preserve"> </w:t>
      </w:r>
      <w:r>
        <w:rPr>
          <w:color w:val="333333"/>
          <w:w w:val="110"/>
        </w:rPr>
        <w:t>a</w:t>
      </w:r>
      <w:r>
        <w:rPr>
          <w:color w:val="333333"/>
          <w:spacing w:val="-6"/>
          <w:w w:val="110"/>
        </w:rPr>
        <w:t xml:space="preserve"> </w:t>
      </w:r>
      <w:r>
        <w:rPr>
          <w:color w:val="333333"/>
          <w:w w:val="110"/>
        </w:rPr>
        <w:t xml:space="preserve">System </w:t>
      </w:r>
      <w:r>
        <w:rPr>
          <w:color w:val="333333"/>
          <w:spacing w:val="-3"/>
          <w:w w:val="110"/>
        </w:rPr>
        <w:t xml:space="preserve">property, </w:t>
      </w:r>
      <w:r>
        <w:rPr>
          <w:color w:val="333333"/>
          <w:w w:val="110"/>
        </w:rPr>
        <w:t>as shown in the following</w:t>
      </w:r>
      <w:r>
        <w:rPr>
          <w:color w:val="333333"/>
          <w:spacing w:val="25"/>
          <w:w w:val="110"/>
        </w:rPr>
        <w:t xml:space="preserve"> </w:t>
      </w:r>
      <w:r>
        <w:rPr>
          <w:color w:val="333333"/>
          <w:w w:val="110"/>
        </w:rPr>
        <w:t>example:</w:t>
      </w:r>
    </w:p>
    <w:p w14:paraId="1696B997" w14:textId="77777777" w:rsidR="00A720EB" w:rsidRDefault="00E10349">
      <w:pPr>
        <w:pStyle w:val="a3"/>
        <w:spacing w:before="2"/>
        <w:rPr>
          <w:sz w:val="15"/>
        </w:rPr>
      </w:pPr>
      <w:r>
        <w:pict w14:anchorId="36510A8A">
          <v:group id="_x0000_s4647" style="position:absolute;margin-left:119.85pt;margin-top:10.85pt;width:415.55pt;height:37.5pt;z-index:-15625728;mso-wrap-distance-left:0;mso-wrap-distance-right:0;mso-position-horizontal-relative:page" coordorigin="2397,217" coordsize="8311,750">
            <v:shape id="_x0000_s4650" style="position:absolute;left:2404;top:224;width:8296;height:735" coordorigin="2405,225" coordsize="8296,735" path="m10621,225r-8136,l2454,231r-26,17l2411,274r-6,31l2405,880r6,31l2428,936r26,17l2485,960r8136,l10652,953r25,-17l10695,911r6,-31l10701,305r-6,-31l10677,248r-25,-17l10621,225xe" fillcolor="#f5f5f5" stroked="f">
              <v:path arrowok="t"/>
            </v:shape>
            <v:shape id="_x0000_s4649" style="position:absolute;left:2404;top:224;width:8296;height:735" coordorigin="2405,225" coordsize="8296,735" path="m2485,225r8136,l10652,231r25,17l10695,274r6,31l10701,880r-6,31l10677,936r-25,17l10621,960r-8136,l2454,953r-26,-17l2411,911r-6,-31l2405,305r6,-31l2428,248r26,-17l2485,225xe" filled="f" strokecolor="#ccc">
              <v:path arrowok="t"/>
            </v:shape>
            <v:shape id="_x0000_s4648" type="#_x0000_t202" style="position:absolute;left:2424;top:240;width:8258;height:704" filled="f" stroked="f">
              <v:textbox inset="0,0,0,0">
                <w:txbxContent>
                  <w:p w14:paraId="781242F1" w14:textId="77777777" w:rsidR="00711A16" w:rsidRDefault="00711A16">
                    <w:pPr>
                      <w:spacing w:before="221"/>
                      <w:ind w:left="200"/>
                      <w:rPr>
                        <w:rFonts w:ascii="MS Gothic"/>
                      </w:rPr>
                    </w:pPr>
                    <w:r>
                      <w:rPr>
                        <w:rFonts w:ascii="MS Gothic"/>
                        <w:color w:val="333333"/>
                      </w:rPr>
                      <w:t>$ java -</w:t>
                    </w:r>
                    <w:proofErr w:type="gramStart"/>
                    <w:r>
                      <w:rPr>
                        <w:rFonts w:ascii="MS Gothic"/>
                        <w:color w:val="333333"/>
                      </w:rPr>
                      <w:t>Dspring.application.json</w:t>
                    </w:r>
                    <w:proofErr w:type="gramEnd"/>
                    <w:r>
                      <w:rPr>
                        <w:rFonts w:ascii="MS Gothic"/>
                        <w:color w:val="333333"/>
                      </w:rPr>
                      <w:t>='{"name":"test"}' -jar myapp.jar</w:t>
                    </w:r>
                  </w:p>
                </w:txbxContent>
              </v:textbox>
            </v:shape>
            <w10:wrap type="topAndBottom" anchorx="page"/>
          </v:group>
        </w:pict>
      </w:r>
    </w:p>
    <w:p w14:paraId="2F5A9446" w14:textId="77777777" w:rsidR="00A720EB" w:rsidRDefault="0030286B">
      <w:pPr>
        <w:pStyle w:val="a3"/>
        <w:spacing w:before="242" w:line="307" w:lineRule="auto"/>
        <w:ind w:left="1564" w:right="371"/>
        <w:jc w:val="both"/>
      </w:pPr>
      <w:r>
        <w:rPr>
          <w:color w:val="333333"/>
          <w:w w:val="110"/>
        </w:rPr>
        <w:t>You can also supply the JSON by using a command line argument, as shown in the following example:</w:t>
      </w:r>
    </w:p>
    <w:p w14:paraId="40F700AB" w14:textId="77777777" w:rsidR="00A720EB" w:rsidRDefault="00E10349">
      <w:pPr>
        <w:pStyle w:val="a3"/>
        <w:spacing w:before="2"/>
        <w:rPr>
          <w:sz w:val="13"/>
        </w:rPr>
      </w:pPr>
      <w:r>
        <w:pict w14:anchorId="5E0E21F4">
          <v:group id="_x0000_s4643" style="position:absolute;margin-left:119.85pt;margin-top:9.7pt;width:415.55pt;height:37.5pt;z-index:-15625216;mso-wrap-distance-left:0;mso-wrap-distance-right:0;mso-position-horizontal-relative:page" coordorigin="2397,194" coordsize="8311,750">
            <v:shape id="_x0000_s4646" style="position:absolute;left:2404;top:201;width:8296;height:735" coordorigin="2405,202" coordsize="8296,735" path="m10621,202r-8136,l2454,208r-26,17l2411,251r-6,31l2405,857r6,31l2428,913r26,17l2485,937r8136,l10652,930r25,-17l10695,888r6,-31l10701,282r-6,-31l10677,225r-25,-17l10621,202xe" fillcolor="#f5f5f5" stroked="f">
              <v:path arrowok="t"/>
            </v:shape>
            <v:shape id="_x0000_s4645" style="position:absolute;left:2404;top:201;width:8296;height:735" coordorigin="2405,202" coordsize="8296,735" path="m2485,202r8136,l10652,208r25,17l10695,251r6,31l10701,857r-6,31l10677,913r-25,17l10621,937r-8136,l2454,930r-26,-17l2411,888r-6,-31l2405,282r6,-31l2428,225r26,-17l2485,202xe" filled="f" strokecolor="#ccc">
              <v:path arrowok="t"/>
            </v:shape>
            <v:shape id="_x0000_s4644" type="#_x0000_t202" style="position:absolute;left:2424;top:217;width:8258;height:704" filled="f" stroked="f">
              <v:textbox inset="0,0,0,0">
                <w:txbxContent>
                  <w:p w14:paraId="4702C5FA" w14:textId="77777777" w:rsidR="00711A16" w:rsidRDefault="00711A16">
                    <w:pPr>
                      <w:spacing w:before="221"/>
                      <w:ind w:left="200"/>
                      <w:rPr>
                        <w:rFonts w:ascii="MS Gothic"/>
                      </w:rPr>
                    </w:pPr>
                    <w:r>
                      <w:rPr>
                        <w:rFonts w:ascii="MS Gothic"/>
                        <w:color w:val="333333"/>
                      </w:rPr>
                      <w:t>$ java -jar myapp.jar --spring.</w:t>
                    </w:r>
                    <w:proofErr w:type="gramStart"/>
                    <w:r>
                      <w:rPr>
                        <w:rFonts w:ascii="MS Gothic"/>
                        <w:color w:val="333333"/>
                      </w:rPr>
                      <w:t>application.json</w:t>
                    </w:r>
                    <w:proofErr w:type="gramEnd"/>
                    <w:r>
                      <w:rPr>
                        <w:rFonts w:ascii="MS Gothic"/>
                        <w:color w:val="333333"/>
                      </w:rPr>
                      <w:t>='{"name":"test"}'</w:t>
                    </w:r>
                  </w:p>
                </w:txbxContent>
              </v:textbox>
            </v:shape>
            <w10:wrap type="topAndBottom" anchorx="page"/>
          </v:group>
        </w:pict>
      </w:r>
    </w:p>
    <w:p w14:paraId="5EE185A6" w14:textId="77777777" w:rsidR="00A720EB" w:rsidRDefault="00A720EB">
      <w:pPr>
        <w:pStyle w:val="a3"/>
        <w:rPr>
          <w:sz w:val="10"/>
        </w:rPr>
      </w:pPr>
    </w:p>
    <w:p w14:paraId="0CD10FDE" w14:textId="77777777" w:rsidR="00A720EB" w:rsidRDefault="0030286B">
      <w:pPr>
        <w:pStyle w:val="a3"/>
        <w:tabs>
          <w:tab w:val="left" w:pos="2208"/>
          <w:tab w:val="left" w:pos="2837"/>
          <w:tab w:val="left" w:pos="3508"/>
          <w:tab w:val="left" w:pos="4450"/>
          <w:tab w:val="left" w:pos="5042"/>
          <w:tab w:val="left" w:pos="5819"/>
          <w:tab w:val="left" w:pos="6303"/>
          <w:tab w:val="left" w:pos="6694"/>
          <w:tab w:val="left" w:pos="7430"/>
          <w:tab w:val="left" w:pos="8586"/>
          <w:tab w:val="left" w:pos="9070"/>
        </w:tabs>
        <w:spacing w:before="125"/>
        <w:ind w:left="1564"/>
      </w:pPr>
      <w:r>
        <w:rPr>
          <w:color w:val="333333"/>
          <w:spacing w:val="-6"/>
          <w:w w:val="110"/>
        </w:rPr>
        <w:t>You</w:t>
      </w:r>
      <w:r>
        <w:rPr>
          <w:color w:val="333333"/>
          <w:spacing w:val="-6"/>
          <w:w w:val="110"/>
        </w:rPr>
        <w:tab/>
      </w:r>
      <w:r>
        <w:rPr>
          <w:color w:val="333333"/>
          <w:w w:val="110"/>
        </w:rPr>
        <w:t>can</w:t>
      </w:r>
      <w:r>
        <w:rPr>
          <w:color w:val="333333"/>
          <w:w w:val="110"/>
        </w:rPr>
        <w:tab/>
        <w:t>also</w:t>
      </w:r>
      <w:r>
        <w:rPr>
          <w:color w:val="333333"/>
          <w:w w:val="110"/>
        </w:rPr>
        <w:tab/>
        <w:t>supply</w:t>
      </w:r>
      <w:r>
        <w:rPr>
          <w:color w:val="333333"/>
          <w:w w:val="110"/>
        </w:rPr>
        <w:tab/>
        <w:t>the</w:t>
      </w:r>
      <w:r>
        <w:rPr>
          <w:color w:val="333333"/>
          <w:w w:val="110"/>
        </w:rPr>
        <w:tab/>
        <w:t>JSON</w:t>
      </w:r>
      <w:r>
        <w:rPr>
          <w:color w:val="333333"/>
          <w:w w:val="110"/>
        </w:rPr>
        <w:tab/>
        <w:t>as</w:t>
      </w:r>
      <w:r>
        <w:rPr>
          <w:color w:val="333333"/>
          <w:w w:val="110"/>
        </w:rPr>
        <w:tab/>
        <w:t>a</w:t>
      </w:r>
      <w:r>
        <w:rPr>
          <w:color w:val="333333"/>
          <w:w w:val="110"/>
        </w:rPr>
        <w:tab/>
        <w:t>JNDI</w:t>
      </w:r>
      <w:r>
        <w:rPr>
          <w:color w:val="333333"/>
          <w:w w:val="110"/>
        </w:rPr>
        <w:tab/>
        <w:t>variable,</w:t>
      </w:r>
      <w:r>
        <w:rPr>
          <w:color w:val="333333"/>
          <w:w w:val="110"/>
        </w:rPr>
        <w:tab/>
        <w:t>as</w:t>
      </w:r>
      <w:r>
        <w:rPr>
          <w:color w:val="333333"/>
          <w:w w:val="110"/>
        </w:rPr>
        <w:tab/>
        <w:t>follows:</w:t>
      </w:r>
    </w:p>
    <w:p w14:paraId="4B5A73F7" w14:textId="77777777" w:rsidR="00A720EB" w:rsidRDefault="0030286B">
      <w:pPr>
        <w:pStyle w:val="a3"/>
        <w:spacing w:before="59"/>
        <w:ind w:left="1564"/>
      </w:pPr>
      <w:proofErr w:type="gramStart"/>
      <w:r>
        <w:rPr>
          <w:rFonts w:ascii="MS Gothic"/>
          <w:color w:val="B02045"/>
        </w:rPr>
        <w:t>java:comp/env/spring.application.json</w:t>
      </w:r>
      <w:proofErr w:type="gramEnd"/>
      <w:r>
        <w:rPr>
          <w:color w:val="333333"/>
        </w:rPr>
        <w:t>.</w:t>
      </w:r>
    </w:p>
    <w:p w14:paraId="681FAD09" w14:textId="77777777" w:rsidR="00A720EB" w:rsidRDefault="00A720EB">
      <w:pPr>
        <w:pStyle w:val="a3"/>
        <w:spacing w:before="2"/>
        <w:rPr>
          <w:sz w:val="28"/>
        </w:rPr>
      </w:pPr>
    </w:p>
    <w:p w14:paraId="223E1819" w14:textId="77777777" w:rsidR="00A720EB" w:rsidRDefault="00E10349">
      <w:pPr>
        <w:pStyle w:val="a3"/>
        <w:spacing w:before="116" w:line="290" w:lineRule="auto"/>
        <w:ind w:left="1564" w:right="367"/>
        <w:jc w:val="both"/>
      </w:pPr>
      <w:r>
        <w:pict w14:anchorId="5F3974F7">
          <v:line id="_x0000_s4642" style="position:absolute;left:0;text-align:left;z-index:15834624;mso-position-horizontal-relative:page" from="108.25pt,.35pt" to="108.25pt,71.45pt" strokecolor="#ededed" strokeweight=".5pt">
            <w10:wrap anchorx="page"/>
          </v:line>
        </w:pict>
      </w:r>
      <w:r w:rsidR="0030286B">
        <w:rPr>
          <w:noProof/>
        </w:rPr>
        <w:drawing>
          <wp:anchor distT="0" distB="0" distL="0" distR="0" simplePos="0" relativeHeight="15835136" behindDoc="0" locked="0" layoutInCell="1" allowOverlap="1" wp14:anchorId="3A491414" wp14:editId="20940FC5">
            <wp:simplePos x="0" y="0"/>
            <wp:positionH relativeFrom="page">
              <wp:posOffset>844422</wp:posOffset>
            </wp:positionH>
            <wp:positionV relativeFrom="paragraph">
              <wp:posOffset>306654</wp:posOffset>
            </wp:positionV>
            <wp:extent cx="298450" cy="298450"/>
            <wp:effectExtent l="0" t="0" r="0" b="0"/>
            <wp:wrapNone/>
            <wp:docPr id="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Although </w:t>
      </w:r>
      <w:r w:rsidR="0030286B">
        <w:rPr>
          <w:rFonts w:ascii="MS Gothic"/>
          <w:color w:val="B02045"/>
          <w:w w:val="110"/>
        </w:rPr>
        <w:t xml:space="preserve">null </w:t>
      </w:r>
      <w:r w:rsidR="0030286B">
        <w:rPr>
          <w:color w:val="333333"/>
          <w:w w:val="110"/>
        </w:rPr>
        <w:t>values from the JSON will be added to the resulting property source, the</w:t>
      </w:r>
      <w:r w:rsidR="0030286B">
        <w:rPr>
          <w:color w:val="333333"/>
          <w:spacing w:val="-23"/>
          <w:w w:val="110"/>
        </w:rPr>
        <w:t xml:space="preserve"> </w:t>
      </w:r>
      <w:r w:rsidR="0030286B">
        <w:rPr>
          <w:rFonts w:ascii="MS Gothic"/>
          <w:color w:val="B02045"/>
          <w:w w:val="110"/>
        </w:rPr>
        <w:t>PropertySourcesPropertyResolver</w:t>
      </w:r>
      <w:r w:rsidR="0030286B">
        <w:rPr>
          <w:rFonts w:ascii="MS Gothic"/>
          <w:color w:val="B02045"/>
          <w:spacing w:val="-87"/>
          <w:w w:val="110"/>
        </w:rPr>
        <w:t xml:space="preserve"> </w:t>
      </w:r>
      <w:r w:rsidR="0030286B">
        <w:rPr>
          <w:color w:val="333333"/>
          <w:w w:val="110"/>
        </w:rPr>
        <w:t>treats</w:t>
      </w:r>
      <w:r w:rsidR="0030286B">
        <w:rPr>
          <w:color w:val="333333"/>
          <w:spacing w:val="-22"/>
          <w:w w:val="110"/>
        </w:rPr>
        <w:t xml:space="preserve"> </w:t>
      </w:r>
      <w:r w:rsidR="0030286B">
        <w:rPr>
          <w:rFonts w:ascii="MS Gothic"/>
          <w:color w:val="B02045"/>
          <w:w w:val="110"/>
        </w:rPr>
        <w:t>null</w:t>
      </w:r>
      <w:r w:rsidR="0030286B">
        <w:rPr>
          <w:rFonts w:ascii="MS Gothic"/>
          <w:color w:val="B02045"/>
          <w:spacing w:val="-87"/>
          <w:w w:val="110"/>
        </w:rPr>
        <w:t xml:space="preserve"> </w:t>
      </w:r>
      <w:r w:rsidR="0030286B">
        <w:rPr>
          <w:color w:val="333333"/>
          <w:w w:val="110"/>
        </w:rPr>
        <w:t>properties</w:t>
      </w:r>
      <w:r w:rsidR="0030286B">
        <w:rPr>
          <w:color w:val="333333"/>
          <w:spacing w:val="-23"/>
          <w:w w:val="110"/>
        </w:rPr>
        <w:t xml:space="preserve"> </w:t>
      </w:r>
      <w:r w:rsidR="0030286B">
        <w:rPr>
          <w:color w:val="333333"/>
          <w:w w:val="110"/>
        </w:rPr>
        <w:t>as</w:t>
      </w:r>
      <w:r w:rsidR="0030286B">
        <w:rPr>
          <w:color w:val="333333"/>
          <w:spacing w:val="-22"/>
          <w:w w:val="110"/>
        </w:rPr>
        <w:t xml:space="preserve"> </w:t>
      </w:r>
      <w:r w:rsidR="0030286B">
        <w:rPr>
          <w:color w:val="333333"/>
          <w:w w:val="110"/>
        </w:rPr>
        <w:t>missing</w:t>
      </w:r>
      <w:r w:rsidR="0030286B">
        <w:rPr>
          <w:color w:val="333333"/>
          <w:spacing w:val="-23"/>
          <w:w w:val="110"/>
        </w:rPr>
        <w:t xml:space="preserve"> </w:t>
      </w:r>
      <w:r w:rsidR="0030286B">
        <w:rPr>
          <w:color w:val="333333"/>
          <w:w w:val="110"/>
        </w:rPr>
        <w:t>values.</w:t>
      </w:r>
      <w:r w:rsidR="0030286B">
        <w:rPr>
          <w:color w:val="333333"/>
          <w:spacing w:val="-22"/>
          <w:w w:val="110"/>
        </w:rPr>
        <w:t xml:space="preserve"> </w:t>
      </w:r>
      <w:r w:rsidR="0030286B">
        <w:rPr>
          <w:color w:val="333333"/>
          <w:w w:val="110"/>
        </w:rPr>
        <w:t xml:space="preserve">This means that the JSON cannot override properties from lower order property   sources with a </w:t>
      </w:r>
      <w:r w:rsidR="0030286B">
        <w:rPr>
          <w:rFonts w:ascii="MS Gothic"/>
          <w:color w:val="B02045"/>
          <w:w w:val="110"/>
        </w:rPr>
        <w:t>null</w:t>
      </w:r>
      <w:r w:rsidR="0030286B">
        <w:rPr>
          <w:rFonts w:ascii="MS Gothic"/>
          <w:color w:val="B02045"/>
          <w:spacing w:val="-54"/>
          <w:w w:val="110"/>
        </w:rPr>
        <w:t xml:space="preserve"> </w:t>
      </w:r>
      <w:r w:rsidR="0030286B">
        <w:rPr>
          <w:color w:val="333333"/>
          <w:w w:val="110"/>
        </w:rPr>
        <w:t>value.</w:t>
      </w:r>
    </w:p>
    <w:p w14:paraId="432F4B27" w14:textId="77777777" w:rsidR="00A720EB" w:rsidRDefault="00A720EB">
      <w:pPr>
        <w:spacing w:line="290" w:lineRule="auto"/>
        <w:jc w:val="both"/>
        <w:sectPr w:rsidR="00A720EB">
          <w:pgSz w:w="11910" w:h="16840"/>
          <w:pgMar w:top="640" w:right="840" w:bottom="520" w:left="840" w:header="0" w:footer="323" w:gutter="0"/>
          <w:cols w:space="720"/>
        </w:sectPr>
      </w:pPr>
    </w:p>
    <w:p w14:paraId="0862E95E" w14:textId="77777777" w:rsidR="00A720EB" w:rsidRDefault="0030286B">
      <w:pPr>
        <w:pStyle w:val="3"/>
        <w:numPr>
          <w:ilvl w:val="2"/>
          <w:numId w:val="68"/>
        </w:numPr>
        <w:tabs>
          <w:tab w:val="left" w:pos="858"/>
        </w:tabs>
        <w:spacing w:before="87"/>
        <w:ind w:hanging="734"/>
      </w:pPr>
      <w:bookmarkStart w:id="175" w:name="4.2.1._Configuring_Random_Values"/>
      <w:bookmarkStart w:id="176" w:name="_Toc54423723"/>
      <w:bookmarkEnd w:id="175"/>
      <w:r>
        <w:rPr>
          <w:color w:val="333333"/>
          <w:w w:val="110"/>
        </w:rPr>
        <w:lastRenderedPageBreak/>
        <w:t>Configuring Random</w:t>
      </w:r>
      <w:r>
        <w:rPr>
          <w:color w:val="333333"/>
          <w:spacing w:val="-13"/>
          <w:w w:val="110"/>
        </w:rPr>
        <w:t xml:space="preserve"> </w:t>
      </w:r>
      <w:r>
        <w:rPr>
          <w:color w:val="333333"/>
          <w:spacing w:val="-4"/>
          <w:w w:val="110"/>
        </w:rPr>
        <w:t>Values</w:t>
      </w:r>
      <w:bookmarkEnd w:id="176"/>
    </w:p>
    <w:p w14:paraId="559F7897" w14:textId="77777777" w:rsidR="00A720EB" w:rsidRDefault="0030286B">
      <w:pPr>
        <w:pStyle w:val="a3"/>
        <w:spacing w:before="243" w:line="290" w:lineRule="auto"/>
        <w:ind w:left="124"/>
      </w:pPr>
      <w:r>
        <w:rPr>
          <w:color w:val="333333"/>
          <w:w w:val="110"/>
        </w:rPr>
        <w:t xml:space="preserve">The </w:t>
      </w:r>
      <w:r>
        <w:rPr>
          <w:rFonts w:ascii="MS Gothic"/>
          <w:color w:val="B02045"/>
          <w:w w:val="110"/>
        </w:rPr>
        <w:t xml:space="preserve">RandomValuePropertySource </w:t>
      </w:r>
      <w:r>
        <w:rPr>
          <w:color w:val="333333"/>
          <w:w w:val="110"/>
        </w:rPr>
        <w:t>is useful for injecting random values (for example, into secrets or test cases). It can produce integers, longs, uuids, or strings, as shown in the following example:</w:t>
      </w:r>
    </w:p>
    <w:p w14:paraId="61E21098" w14:textId="77777777" w:rsidR="00A720EB" w:rsidRDefault="00E10349">
      <w:pPr>
        <w:pStyle w:val="a3"/>
        <w:spacing w:before="7"/>
        <w:rPr>
          <w:sz w:val="14"/>
        </w:rPr>
      </w:pPr>
      <w:r>
        <w:pict w14:anchorId="6B2DBD80">
          <v:group id="_x0000_s4638" style="position:absolute;margin-left:47.85pt;margin-top:10.55pt;width:499.55pt;height:111.2pt;z-index:-15621632;mso-wrap-distance-left:0;mso-wrap-distance-right:0;mso-position-horizontal-relative:page" coordorigin="957,211" coordsize="9991,2224">
            <v:shape id="_x0000_s4641" style="position:absolute;left:964;top:218;width:9976;height:2209" coordorigin="965,219" coordsize="9976,2209" path="m10861,219r-9816,l1014,225r-26,17l971,268r-6,31l965,2348r6,31l988,2404r26,17l1045,2428r9816,l10892,2421r25,-17l10935,2379r6,-31l10941,299r-6,-31l10917,242r-25,-17l10861,219xe" fillcolor="#f5f5f5" stroked="f">
              <v:path arrowok="t"/>
            </v:shape>
            <v:shape id="_x0000_s4640" style="position:absolute;left:964;top:218;width:9976;height:2209" coordorigin="965,219" coordsize="9976,2209" path="m1045,219r9816,l10892,225r25,17l10935,268r6,31l10941,2348r-6,31l10917,2404r-25,17l10861,2428r-9816,l1014,2421r-26,-17l971,2379r-6,-31l965,299r6,-31l988,242r26,-17l1045,219xe" filled="f" strokecolor="#ccc">
              <v:path arrowok="t"/>
            </v:shape>
            <v:shape id="_x0000_s4639" type="#_x0000_t202" style="position:absolute;left:984;top:234;width:9938;height:2178" filled="f" stroked="f">
              <v:textbox inset="0,0,0,0">
                <w:txbxContent>
                  <w:p w14:paraId="3EB981BC" w14:textId="77777777" w:rsidR="00711A16" w:rsidRDefault="00711A16">
                    <w:pPr>
                      <w:spacing w:before="221" w:line="252" w:lineRule="auto"/>
                      <w:ind w:left="200" w:right="4878"/>
                      <w:rPr>
                        <w:rFonts w:ascii="MS Gothic"/>
                      </w:rPr>
                    </w:pPr>
                    <w:proofErr w:type="gramStart"/>
                    <w:r>
                      <w:rPr>
                        <w:rFonts w:ascii="MS Gothic"/>
                        <w:color w:val="333333"/>
                      </w:rPr>
                      <w:t>my.secret</w:t>
                    </w:r>
                    <w:proofErr w:type="gramEnd"/>
                    <w:r>
                      <w:rPr>
                        <w:rFonts w:ascii="MS Gothic"/>
                        <w:color w:val="333333"/>
                      </w:rPr>
                      <w:t>=${random.value} my.number=${random.int} my.bignumber=${random.long} my.uuid=${random.uuid} my.number.less.than.ten=${random.int(10)} my.number.in.range=${random.int[1024,65536]}</w:t>
                    </w:r>
                  </w:p>
                </w:txbxContent>
              </v:textbox>
            </v:shape>
            <w10:wrap type="topAndBottom" anchorx="page"/>
          </v:group>
        </w:pict>
      </w:r>
    </w:p>
    <w:p w14:paraId="38A38BF5" w14:textId="77777777" w:rsidR="00A720EB" w:rsidRDefault="00A720EB">
      <w:pPr>
        <w:pStyle w:val="a3"/>
        <w:spacing w:before="11"/>
        <w:rPr>
          <w:sz w:val="9"/>
        </w:rPr>
      </w:pPr>
    </w:p>
    <w:p w14:paraId="753D0FB1" w14:textId="77777777" w:rsidR="00A720EB" w:rsidRDefault="0030286B">
      <w:pPr>
        <w:pStyle w:val="a3"/>
        <w:spacing w:before="115" w:line="285" w:lineRule="auto"/>
        <w:ind w:left="124" w:right="123"/>
        <w:jc w:val="both"/>
      </w:pPr>
      <w:r>
        <w:rPr>
          <w:color w:val="333333"/>
          <w:w w:val="110"/>
        </w:rPr>
        <w:t xml:space="preserve">The </w:t>
      </w:r>
      <w:r>
        <w:rPr>
          <w:rFonts w:ascii="MS Gothic"/>
          <w:color w:val="B02045"/>
          <w:w w:val="110"/>
        </w:rPr>
        <w:t xml:space="preserve">random.int* </w:t>
      </w:r>
      <w:r>
        <w:rPr>
          <w:color w:val="333333"/>
          <w:w w:val="110"/>
        </w:rPr>
        <w:t xml:space="preserve">syntax is </w:t>
      </w:r>
      <w:r>
        <w:rPr>
          <w:rFonts w:ascii="MS Gothic"/>
          <w:color w:val="B02045"/>
          <w:w w:val="110"/>
        </w:rPr>
        <w:t xml:space="preserve">OPEN value </w:t>
      </w:r>
      <w:proofErr w:type="gramStart"/>
      <w:r>
        <w:rPr>
          <w:rFonts w:ascii="MS Gothic"/>
          <w:color w:val="B02045"/>
          <w:w w:val="110"/>
        </w:rPr>
        <w:t>(,max</w:t>
      </w:r>
      <w:proofErr w:type="gramEnd"/>
      <w:r>
        <w:rPr>
          <w:rFonts w:ascii="MS Gothic"/>
          <w:color w:val="B02045"/>
          <w:w w:val="110"/>
        </w:rPr>
        <w:t xml:space="preserve">) CLOSE </w:t>
      </w:r>
      <w:r>
        <w:rPr>
          <w:color w:val="333333"/>
          <w:w w:val="110"/>
        </w:rPr>
        <w:t xml:space="preserve">where the </w:t>
      </w:r>
      <w:r>
        <w:rPr>
          <w:rFonts w:ascii="MS Gothic"/>
          <w:color w:val="B02045"/>
          <w:w w:val="110"/>
        </w:rPr>
        <w:t xml:space="preserve">OPEN,CLOSE </w:t>
      </w:r>
      <w:r>
        <w:rPr>
          <w:color w:val="333333"/>
          <w:w w:val="110"/>
        </w:rPr>
        <w:t xml:space="preserve">are any character and </w:t>
      </w:r>
      <w:r>
        <w:rPr>
          <w:rFonts w:ascii="MS Gothic"/>
          <w:color w:val="B02045"/>
          <w:w w:val="110"/>
        </w:rPr>
        <w:t>value,max</w:t>
      </w:r>
      <w:r>
        <w:rPr>
          <w:rFonts w:ascii="MS Gothic"/>
          <w:color w:val="B02045"/>
          <w:spacing w:val="-61"/>
          <w:w w:val="110"/>
        </w:rPr>
        <w:t xml:space="preserve"> </w:t>
      </w:r>
      <w:r>
        <w:rPr>
          <w:color w:val="333333"/>
          <w:w w:val="110"/>
        </w:rPr>
        <w:t xml:space="preserve">are integers. If </w:t>
      </w:r>
      <w:r>
        <w:rPr>
          <w:rFonts w:ascii="MS Gothic"/>
          <w:color w:val="B02045"/>
          <w:w w:val="110"/>
        </w:rPr>
        <w:t>max</w:t>
      </w:r>
      <w:r>
        <w:rPr>
          <w:rFonts w:ascii="MS Gothic"/>
          <w:color w:val="B02045"/>
          <w:spacing w:val="-61"/>
          <w:w w:val="110"/>
        </w:rPr>
        <w:t xml:space="preserve"> </w:t>
      </w:r>
      <w:r>
        <w:rPr>
          <w:color w:val="333333"/>
          <w:w w:val="110"/>
        </w:rPr>
        <w:t xml:space="preserve">is provided, then </w:t>
      </w:r>
      <w:r>
        <w:rPr>
          <w:rFonts w:ascii="MS Gothic"/>
          <w:color w:val="B02045"/>
          <w:w w:val="110"/>
        </w:rPr>
        <w:t>value</w:t>
      </w:r>
      <w:r>
        <w:rPr>
          <w:rFonts w:ascii="MS Gothic"/>
          <w:color w:val="B02045"/>
          <w:spacing w:val="-61"/>
          <w:w w:val="110"/>
        </w:rPr>
        <w:t xml:space="preserve"> </w:t>
      </w:r>
      <w:r>
        <w:rPr>
          <w:color w:val="333333"/>
          <w:w w:val="110"/>
        </w:rPr>
        <w:t xml:space="preserve">is the minimum value and </w:t>
      </w:r>
      <w:r>
        <w:rPr>
          <w:rFonts w:ascii="MS Gothic"/>
          <w:color w:val="B02045"/>
          <w:w w:val="110"/>
        </w:rPr>
        <w:t>max</w:t>
      </w:r>
      <w:r>
        <w:rPr>
          <w:rFonts w:ascii="MS Gothic"/>
          <w:color w:val="B02045"/>
          <w:spacing w:val="-61"/>
          <w:w w:val="110"/>
        </w:rPr>
        <w:t xml:space="preserve"> </w:t>
      </w:r>
      <w:r>
        <w:rPr>
          <w:color w:val="333333"/>
          <w:w w:val="110"/>
        </w:rPr>
        <w:t>is the maximum value (exclusive).</w:t>
      </w:r>
    </w:p>
    <w:p w14:paraId="428FE366" w14:textId="77777777" w:rsidR="00A720EB" w:rsidRDefault="00A720EB">
      <w:pPr>
        <w:pStyle w:val="a3"/>
        <w:spacing w:before="9"/>
        <w:rPr>
          <w:sz w:val="27"/>
        </w:rPr>
      </w:pPr>
    </w:p>
    <w:p w14:paraId="2513A1B0" w14:textId="77777777" w:rsidR="00A720EB" w:rsidRDefault="0030286B">
      <w:pPr>
        <w:pStyle w:val="3"/>
        <w:numPr>
          <w:ilvl w:val="2"/>
          <w:numId w:val="68"/>
        </w:numPr>
        <w:tabs>
          <w:tab w:val="left" w:pos="858"/>
        </w:tabs>
        <w:ind w:hanging="734"/>
      </w:pPr>
      <w:bookmarkStart w:id="177" w:name="4.2.2._Accessing_Command_Line_Properties"/>
      <w:bookmarkStart w:id="178" w:name="_Toc54423724"/>
      <w:bookmarkEnd w:id="177"/>
      <w:r>
        <w:rPr>
          <w:color w:val="333333"/>
          <w:w w:val="110"/>
        </w:rPr>
        <w:t>Accessing Command Line</w:t>
      </w:r>
      <w:r>
        <w:rPr>
          <w:color w:val="333333"/>
          <w:spacing w:val="-18"/>
          <w:w w:val="110"/>
        </w:rPr>
        <w:t xml:space="preserve"> </w:t>
      </w:r>
      <w:r>
        <w:rPr>
          <w:color w:val="333333"/>
          <w:w w:val="110"/>
        </w:rPr>
        <w:t>Properties</w:t>
      </w:r>
      <w:bookmarkEnd w:id="178"/>
    </w:p>
    <w:p w14:paraId="7D2EAA69" w14:textId="77777777" w:rsidR="00A720EB" w:rsidRDefault="0030286B">
      <w:pPr>
        <w:pStyle w:val="a3"/>
        <w:spacing w:before="243" w:line="292" w:lineRule="auto"/>
        <w:ind w:left="124" w:right="122"/>
        <w:jc w:val="both"/>
      </w:pPr>
      <w:r>
        <w:rPr>
          <w:color w:val="333333"/>
          <w:spacing w:val="-3"/>
          <w:w w:val="110"/>
        </w:rPr>
        <w:t xml:space="preserve">By </w:t>
      </w:r>
      <w:r>
        <w:rPr>
          <w:color w:val="333333"/>
          <w:w w:val="110"/>
        </w:rPr>
        <w:t xml:space="preserve">default, </w:t>
      </w:r>
      <w:r>
        <w:rPr>
          <w:rFonts w:ascii="MS Gothic"/>
          <w:color w:val="B02045"/>
          <w:w w:val="110"/>
        </w:rPr>
        <w:t xml:space="preserve">SpringApplication </w:t>
      </w:r>
      <w:r>
        <w:rPr>
          <w:color w:val="333333"/>
          <w:w w:val="110"/>
        </w:rPr>
        <w:t>converts any command line option arguments (that is, arguments starting</w:t>
      </w:r>
      <w:r>
        <w:rPr>
          <w:color w:val="333333"/>
          <w:spacing w:val="-14"/>
          <w:w w:val="110"/>
        </w:rPr>
        <w:t xml:space="preserve"> </w:t>
      </w:r>
      <w:r>
        <w:rPr>
          <w:color w:val="333333"/>
          <w:w w:val="110"/>
        </w:rPr>
        <w:t>with</w:t>
      </w:r>
      <w:r>
        <w:rPr>
          <w:color w:val="333333"/>
          <w:spacing w:val="-14"/>
          <w:w w:val="110"/>
        </w:rPr>
        <w:t xml:space="preserve"> </w:t>
      </w:r>
      <w:r>
        <w:rPr>
          <w:rFonts w:ascii="MS Gothic"/>
          <w:color w:val="B02045"/>
          <w:w w:val="110"/>
        </w:rPr>
        <w:t>--</w:t>
      </w:r>
      <w:r>
        <w:rPr>
          <w:color w:val="333333"/>
          <w:w w:val="110"/>
        </w:rPr>
        <w:t>,</w:t>
      </w:r>
      <w:r>
        <w:rPr>
          <w:color w:val="333333"/>
          <w:spacing w:val="-13"/>
          <w:w w:val="110"/>
        </w:rPr>
        <w:t xml:space="preserve"> </w:t>
      </w:r>
      <w:r>
        <w:rPr>
          <w:color w:val="333333"/>
          <w:w w:val="110"/>
        </w:rPr>
        <w:t>such</w:t>
      </w:r>
      <w:r>
        <w:rPr>
          <w:color w:val="333333"/>
          <w:spacing w:val="-14"/>
          <w:w w:val="110"/>
        </w:rPr>
        <w:t xml:space="preserve"> </w:t>
      </w:r>
      <w:r>
        <w:rPr>
          <w:color w:val="333333"/>
          <w:w w:val="110"/>
        </w:rPr>
        <w:t>as</w:t>
      </w:r>
      <w:r>
        <w:rPr>
          <w:color w:val="333333"/>
          <w:spacing w:val="-14"/>
          <w:w w:val="110"/>
        </w:rPr>
        <w:t xml:space="preserve"> </w:t>
      </w:r>
      <w:r>
        <w:rPr>
          <w:rFonts w:ascii="MS Gothic"/>
          <w:color w:val="B02045"/>
          <w:w w:val="110"/>
        </w:rPr>
        <w:t>--</w:t>
      </w:r>
      <w:proofErr w:type="gramStart"/>
      <w:r>
        <w:rPr>
          <w:rFonts w:ascii="MS Gothic"/>
          <w:color w:val="B02045"/>
          <w:w w:val="110"/>
        </w:rPr>
        <w:t>server.port</w:t>
      </w:r>
      <w:proofErr w:type="gramEnd"/>
      <w:r>
        <w:rPr>
          <w:rFonts w:ascii="MS Gothic"/>
          <w:color w:val="B02045"/>
          <w:w w:val="110"/>
        </w:rPr>
        <w:t>=9000</w:t>
      </w:r>
      <w:r>
        <w:rPr>
          <w:color w:val="333333"/>
          <w:w w:val="110"/>
        </w:rPr>
        <w:t>)</w:t>
      </w:r>
      <w:r>
        <w:rPr>
          <w:color w:val="333333"/>
          <w:spacing w:val="-14"/>
          <w:w w:val="110"/>
        </w:rPr>
        <w:t xml:space="preserve"> </w:t>
      </w:r>
      <w:r>
        <w:rPr>
          <w:color w:val="333333"/>
          <w:w w:val="110"/>
        </w:rPr>
        <w:t>to</w:t>
      </w:r>
      <w:r>
        <w:rPr>
          <w:color w:val="333333"/>
          <w:spacing w:val="-14"/>
          <w:w w:val="110"/>
        </w:rPr>
        <w:t xml:space="preserve"> </w:t>
      </w:r>
      <w:r>
        <w:rPr>
          <w:color w:val="333333"/>
          <w:w w:val="110"/>
        </w:rPr>
        <w:t>a</w:t>
      </w:r>
      <w:r>
        <w:rPr>
          <w:color w:val="333333"/>
          <w:spacing w:val="-13"/>
          <w:w w:val="110"/>
        </w:rPr>
        <w:t xml:space="preserve"> </w:t>
      </w:r>
      <w:r>
        <w:rPr>
          <w:rFonts w:ascii="MS Gothic"/>
          <w:color w:val="B02045"/>
          <w:w w:val="110"/>
        </w:rPr>
        <w:t>property</w:t>
      </w:r>
      <w:r>
        <w:rPr>
          <w:rFonts w:ascii="MS Gothic"/>
          <w:color w:val="B02045"/>
          <w:spacing w:val="-79"/>
          <w:w w:val="110"/>
        </w:rPr>
        <w:t xml:space="preserve"> </w:t>
      </w:r>
      <w:r>
        <w:rPr>
          <w:color w:val="333333"/>
          <w:w w:val="110"/>
        </w:rPr>
        <w:t>and</w:t>
      </w:r>
      <w:r>
        <w:rPr>
          <w:color w:val="333333"/>
          <w:spacing w:val="-14"/>
          <w:w w:val="110"/>
        </w:rPr>
        <w:t xml:space="preserve"> </w:t>
      </w:r>
      <w:r>
        <w:rPr>
          <w:color w:val="333333"/>
          <w:w w:val="110"/>
        </w:rPr>
        <w:t>adds</w:t>
      </w:r>
      <w:r>
        <w:rPr>
          <w:color w:val="333333"/>
          <w:spacing w:val="-14"/>
          <w:w w:val="110"/>
        </w:rPr>
        <w:t xml:space="preserve"> </w:t>
      </w:r>
      <w:r>
        <w:rPr>
          <w:color w:val="333333"/>
          <w:w w:val="110"/>
        </w:rPr>
        <w:t>them</w:t>
      </w:r>
      <w:r>
        <w:rPr>
          <w:color w:val="333333"/>
          <w:spacing w:val="-14"/>
          <w:w w:val="110"/>
        </w:rPr>
        <w:t xml:space="preserve"> </w:t>
      </w:r>
      <w:r>
        <w:rPr>
          <w:color w:val="333333"/>
          <w:w w:val="110"/>
        </w:rPr>
        <w:t>to</w:t>
      </w:r>
      <w:r>
        <w:rPr>
          <w:color w:val="333333"/>
          <w:spacing w:val="-13"/>
          <w:w w:val="110"/>
        </w:rPr>
        <w:t xml:space="preserve"> </w:t>
      </w:r>
      <w:r>
        <w:rPr>
          <w:color w:val="333333"/>
          <w:w w:val="110"/>
        </w:rPr>
        <w:t>the</w:t>
      </w:r>
      <w:r>
        <w:rPr>
          <w:color w:val="333333"/>
          <w:spacing w:val="-14"/>
          <w:w w:val="110"/>
        </w:rPr>
        <w:t xml:space="preserve"> </w:t>
      </w:r>
      <w:r>
        <w:rPr>
          <w:color w:val="333333"/>
          <w:w w:val="110"/>
        </w:rPr>
        <w:t>Spring</w:t>
      </w:r>
      <w:r>
        <w:rPr>
          <w:color w:val="333333"/>
          <w:spacing w:val="-12"/>
          <w:w w:val="110"/>
        </w:rPr>
        <w:t xml:space="preserve"> </w:t>
      </w:r>
      <w:r>
        <w:rPr>
          <w:rFonts w:ascii="MS Gothic"/>
          <w:color w:val="B02045"/>
          <w:w w:val="110"/>
        </w:rPr>
        <w:t>Environment</w:t>
      </w:r>
      <w:r>
        <w:rPr>
          <w:color w:val="333333"/>
          <w:w w:val="110"/>
        </w:rPr>
        <w:t xml:space="preserve">. As mentioned </w:t>
      </w:r>
      <w:r>
        <w:rPr>
          <w:color w:val="333333"/>
          <w:spacing w:val="-3"/>
          <w:w w:val="110"/>
        </w:rPr>
        <w:t xml:space="preserve">previously, </w:t>
      </w:r>
      <w:r>
        <w:rPr>
          <w:color w:val="333333"/>
          <w:w w:val="110"/>
        </w:rPr>
        <w:t>command line properties always take precedence over other property sources.</w:t>
      </w:r>
    </w:p>
    <w:p w14:paraId="024C774F" w14:textId="77777777" w:rsidR="00A720EB" w:rsidRDefault="0030286B">
      <w:pPr>
        <w:pStyle w:val="a3"/>
        <w:spacing w:before="245" w:line="280" w:lineRule="auto"/>
        <w:ind w:left="124" w:right="124"/>
        <w:jc w:val="both"/>
      </w:pPr>
      <w:r>
        <w:rPr>
          <w:color w:val="333333"/>
          <w:w w:val="110"/>
        </w:rPr>
        <w:t xml:space="preserve">If you do not want command line properties to be added to the </w:t>
      </w:r>
      <w:r>
        <w:rPr>
          <w:rFonts w:ascii="MS Gothic"/>
          <w:color w:val="B02045"/>
          <w:w w:val="110"/>
        </w:rPr>
        <w:t>Environment</w:t>
      </w:r>
      <w:r>
        <w:rPr>
          <w:color w:val="333333"/>
          <w:w w:val="110"/>
        </w:rPr>
        <w:t xml:space="preserve">, you can disable </w:t>
      </w:r>
      <w:proofErr w:type="gramStart"/>
      <w:r>
        <w:rPr>
          <w:color w:val="333333"/>
          <w:w w:val="110"/>
        </w:rPr>
        <w:t xml:space="preserve">them  </w:t>
      </w:r>
      <w:r>
        <w:rPr>
          <w:color w:val="333333"/>
          <w:spacing w:val="-3"/>
          <w:w w:val="110"/>
        </w:rPr>
        <w:t>by</w:t>
      </w:r>
      <w:proofErr w:type="gramEnd"/>
      <w:r>
        <w:rPr>
          <w:color w:val="333333"/>
          <w:spacing w:val="-3"/>
          <w:w w:val="110"/>
        </w:rPr>
        <w:t xml:space="preserve"> </w:t>
      </w:r>
      <w:r>
        <w:rPr>
          <w:color w:val="333333"/>
          <w:w w:val="110"/>
        </w:rPr>
        <w:t>using</w:t>
      </w:r>
      <w:r>
        <w:rPr>
          <w:color w:val="333333"/>
          <w:spacing w:val="-6"/>
          <w:w w:val="110"/>
        </w:rPr>
        <w:t xml:space="preserve"> </w:t>
      </w:r>
      <w:r>
        <w:rPr>
          <w:rFonts w:ascii="MS Gothic"/>
          <w:color w:val="B02045"/>
          <w:w w:val="110"/>
        </w:rPr>
        <w:t>SpringApplication.setAddCommandLineProperties(false)</w:t>
      </w:r>
      <w:r>
        <w:rPr>
          <w:color w:val="333333"/>
          <w:w w:val="110"/>
        </w:rPr>
        <w:t>.</w:t>
      </w:r>
    </w:p>
    <w:p w14:paraId="4A89BA3C" w14:textId="77777777" w:rsidR="00A720EB" w:rsidRDefault="00A720EB">
      <w:pPr>
        <w:pStyle w:val="a3"/>
        <w:spacing w:before="8"/>
        <w:rPr>
          <w:sz w:val="26"/>
        </w:rPr>
      </w:pPr>
    </w:p>
    <w:p w14:paraId="20BA73E8" w14:textId="77777777" w:rsidR="00A720EB" w:rsidRDefault="0030286B">
      <w:pPr>
        <w:pStyle w:val="3"/>
        <w:numPr>
          <w:ilvl w:val="2"/>
          <w:numId w:val="68"/>
        </w:numPr>
        <w:tabs>
          <w:tab w:val="left" w:pos="858"/>
        </w:tabs>
        <w:spacing w:before="1"/>
        <w:ind w:hanging="734"/>
      </w:pPr>
      <w:bookmarkStart w:id="179" w:name="4.2.3._Application_Property_Files"/>
      <w:bookmarkStart w:id="180" w:name="_Toc54423725"/>
      <w:bookmarkEnd w:id="179"/>
      <w:r>
        <w:rPr>
          <w:color w:val="333333"/>
          <w:w w:val="110"/>
        </w:rPr>
        <w:t>Application Property</w:t>
      </w:r>
      <w:r>
        <w:rPr>
          <w:color w:val="333333"/>
          <w:spacing w:val="-11"/>
          <w:w w:val="110"/>
        </w:rPr>
        <w:t xml:space="preserve"> </w:t>
      </w:r>
      <w:r>
        <w:rPr>
          <w:color w:val="333333"/>
          <w:w w:val="110"/>
        </w:rPr>
        <w:t>Files</w:t>
      </w:r>
      <w:bookmarkEnd w:id="180"/>
    </w:p>
    <w:p w14:paraId="2BFD492C" w14:textId="77777777" w:rsidR="00A720EB" w:rsidRDefault="0030286B">
      <w:pPr>
        <w:pStyle w:val="a3"/>
        <w:spacing w:before="243" w:line="280" w:lineRule="auto"/>
        <w:ind w:left="124" w:right="123"/>
        <w:jc w:val="both"/>
      </w:pPr>
      <w:r>
        <w:rPr>
          <w:rFonts w:ascii="MS Gothic"/>
          <w:color w:val="B02045"/>
          <w:w w:val="110"/>
        </w:rPr>
        <w:t>SpringApplication</w:t>
      </w:r>
      <w:r>
        <w:rPr>
          <w:rFonts w:ascii="MS Gothic"/>
          <w:color w:val="B02045"/>
          <w:spacing w:val="-86"/>
          <w:w w:val="110"/>
        </w:rPr>
        <w:t xml:space="preserve"> </w:t>
      </w:r>
      <w:r>
        <w:rPr>
          <w:color w:val="333333"/>
          <w:w w:val="110"/>
        </w:rPr>
        <w:t>loads</w:t>
      </w:r>
      <w:r>
        <w:rPr>
          <w:color w:val="333333"/>
          <w:spacing w:val="-20"/>
          <w:w w:val="110"/>
        </w:rPr>
        <w:t xml:space="preserve"> </w:t>
      </w:r>
      <w:r>
        <w:rPr>
          <w:color w:val="333333"/>
          <w:w w:val="110"/>
        </w:rPr>
        <w:t>properties</w:t>
      </w:r>
      <w:r>
        <w:rPr>
          <w:color w:val="333333"/>
          <w:spacing w:val="-21"/>
          <w:w w:val="110"/>
        </w:rPr>
        <w:t xml:space="preserve"> </w:t>
      </w:r>
      <w:r>
        <w:rPr>
          <w:color w:val="333333"/>
          <w:w w:val="110"/>
        </w:rPr>
        <w:t>from</w:t>
      </w:r>
      <w:r>
        <w:rPr>
          <w:color w:val="333333"/>
          <w:spacing w:val="-20"/>
          <w:w w:val="110"/>
        </w:rPr>
        <w:t xml:space="preserve"> </w:t>
      </w:r>
      <w:proofErr w:type="gramStart"/>
      <w:r>
        <w:rPr>
          <w:rFonts w:ascii="MS Gothic"/>
          <w:color w:val="B02045"/>
          <w:w w:val="110"/>
        </w:rPr>
        <w:t>application.properties</w:t>
      </w:r>
      <w:proofErr w:type="gramEnd"/>
      <w:r>
        <w:rPr>
          <w:rFonts w:ascii="MS Gothic"/>
          <w:color w:val="B02045"/>
          <w:spacing w:val="-85"/>
          <w:w w:val="110"/>
        </w:rPr>
        <w:t xml:space="preserve"> </w:t>
      </w:r>
      <w:r>
        <w:rPr>
          <w:color w:val="333333"/>
          <w:w w:val="110"/>
        </w:rPr>
        <w:t>files</w:t>
      </w:r>
      <w:r>
        <w:rPr>
          <w:color w:val="333333"/>
          <w:spacing w:val="-21"/>
          <w:w w:val="110"/>
        </w:rPr>
        <w:t xml:space="preserve"> </w:t>
      </w:r>
      <w:r>
        <w:rPr>
          <w:color w:val="333333"/>
          <w:w w:val="110"/>
        </w:rPr>
        <w:t>in</w:t>
      </w:r>
      <w:r>
        <w:rPr>
          <w:color w:val="333333"/>
          <w:spacing w:val="-21"/>
          <w:w w:val="110"/>
        </w:rPr>
        <w:t xml:space="preserve"> </w:t>
      </w:r>
      <w:r>
        <w:rPr>
          <w:color w:val="333333"/>
          <w:w w:val="110"/>
        </w:rPr>
        <w:t>the</w:t>
      </w:r>
      <w:r>
        <w:rPr>
          <w:color w:val="333333"/>
          <w:spacing w:val="-20"/>
          <w:w w:val="110"/>
        </w:rPr>
        <w:t xml:space="preserve"> </w:t>
      </w:r>
      <w:r>
        <w:rPr>
          <w:color w:val="333333"/>
          <w:w w:val="110"/>
        </w:rPr>
        <w:t>following</w:t>
      </w:r>
      <w:r>
        <w:rPr>
          <w:color w:val="333333"/>
          <w:spacing w:val="-21"/>
          <w:w w:val="110"/>
        </w:rPr>
        <w:t xml:space="preserve"> </w:t>
      </w:r>
      <w:r>
        <w:rPr>
          <w:color w:val="333333"/>
          <w:w w:val="110"/>
        </w:rPr>
        <w:t>locations</w:t>
      </w:r>
      <w:r>
        <w:rPr>
          <w:color w:val="333333"/>
          <w:spacing w:val="-20"/>
          <w:w w:val="110"/>
        </w:rPr>
        <w:t xml:space="preserve"> </w:t>
      </w:r>
      <w:r>
        <w:rPr>
          <w:color w:val="333333"/>
          <w:w w:val="110"/>
        </w:rPr>
        <w:t>and adds them to the Spring</w:t>
      </w:r>
      <w:r>
        <w:rPr>
          <w:color w:val="333333"/>
          <w:spacing w:val="13"/>
          <w:w w:val="110"/>
        </w:rPr>
        <w:t xml:space="preserve"> </w:t>
      </w:r>
      <w:r>
        <w:rPr>
          <w:rFonts w:ascii="MS Gothic"/>
          <w:color w:val="B02045"/>
          <w:w w:val="110"/>
        </w:rPr>
        <w:t>Environment</w:t>
      </w:r>
      <w:r>
        <w:rPr>
          <w:color w:val="333333"/>
          <w:w w:val="110"/>
        </w:rPr>
        <w:t>:</w:t>
      </w:r>
    </w:p>
    <w:p w14:paraId="2EECF82C" w14:textId="77777777" w:rsidR="00A720EB" w:rsidRDefault="0030286B">
      <w:pPr>
        <w:pStyle w:val="a6"/>
        <w:numPr>
          <w:ilvl w:val="3"/>
          <w:numId w:val="68"/>
        </w:numPr>
        <w:tabs>
          <w:tab w:val="left" w:pos="485"/>
        </w:tabs>
        <w:spacing w:before="242"/>
        <w:rPr>
          <w:sz w:val="21"/>
        </w:rPr>
      </w:pPr>
      <w:r>
        <w:rPr>
          <w:color w:val="333333"/>
          <w:w w:val="110"/>
          <w:sz w:val="21"/>
        </w:rPr>
        <w:t xml:space="preserve">A </w:t>
      </w:r>
      <w:r>
        <w:rPr>
          <w:rFonts w:ascii="MS Gothic"/>
          <w:color w:val="B02045"/>
          <w:w w:val="110"/>
          <w:sz w:val="21"/>
        </w:rPr>
        <w:t>/config</w:t>
      </w:r>
      <w:r>
        <w:rPr>
          <w:rFonts w:ascii="MS Gothic"/>
          <w:color w:val="B02045"/>
          <w:spacing w:val="-48"/>
          <w:w w:val="110"/>
          <w:sz w:val="21"/>
        </w:rPr>
        <w:t xml:space="preserve"> </w:t>
      </w:r>
      <w:r>
        <w:rPr>
          <w:color w:val="333333"/>
          <w:w w:val="110"/>
          <w:sz w:val="21"/>
        </w:rPr>
        <w:t>subdirectory of the current directory</w:t>
      </w:r>
    </w:p>
    <w:p w14:paraId="53F98BFF" w14:textId="77777777" w:rsidR="00A720EB" w:rsidRDefault="0030286B">
      <w:pPr>
        <w:pStyle w:val="a6"/>
        <w:numPr>
          <w:ilvl w:val="3"/>
          <w:numId w:val="68"/>
        </w:numPr>
        <w:tabs>
          <w:tab w:val="left" w:pos="485"/>
        </w:tabs>
        <w:spacing w:before="177"/>
        <w:rPr>
          <w:sz w:val="21"/>
        </w:rPr>
      </w:pPr>
      <w:r>
        <w:rPr>
          <w:color w:val="333333"/>
          <w:w w:val="110"/>
          <w:sz w:val="21"/>
        </w:rPr>
        <w:t>The current</w:t>
      </w:r>
      <w:r>
        <w:rPr>
          <w:color w:val="333333"/>
          <w:spacing w:val="5"/>
          <w:w w:val="110"/>
          <w:sz w:val="21"/>
        </w:rPr>
        <w:t xml:space="preserve"> </w:t>
      </w:r>
      <w:r>
        <w:rPr>
          <w:color w:val="333333"/>
          <w:w w:val="110"/>
          <w:sz w:val="21"/>
        </w:rPr>
        <w:t>directory</w:t>
      </w:r>
    </w:p>
    <w:p w14:paraId="277C9193" w14:textId="77777777" w:rsidR="00A720EB" w:rsidRDefault="0030286B">
      <w:pPr>
        <w:pStyle w:val="a6"/>
        <w:numPr>
          <w:ilvl w:val="3"/>
          <w:numId w:val="68"/>
        </w:numPr>
        <w:tabs>
          <w:tab w:val="left" w:pos="485"/>
        </w:tabs>
        <w:spacing w:before="179"/>
        <w:rPr>
          <w:sz w:val="21"/>
        </w:rPr>
      </w:pPr>
      <w:r>
        <w:rPr>
          <w:color w:val="333333"/>
          <w:w w:val="110"/>
          <w:sz w:val="21"/>
        </w:rPr>
        <w:t xml:space="preserve">A classpath </w:t>
      </w:r>
      <w:r>
        <w:rPr>
          <w:rFonts w:ascii="MS Gothic"/>
          <w:color w:val="B02045"/>
          <w:w w:val="110"/>
          <w:sz w:val="21"/>
        </w:rPr>
        <w:t>/config</w:t>
      </w:r>
      <w:r>
        <w:rPr>
          <w:rFonts w:ascii="MS Gothic"/>
          <w:color w:val="B02045"/>
          <w:spacing w:val="-58"/>
          <w:w w:val="110"/>
          <w:sz w:val="21"/>
        </w:rPr>
        <w:t xml:space="preserve"> </w:t>
      </w:r>
      <w:r>
        <w:rPr>
          <w:color w:val="333333"/>
          <w:w w:val="110"/>
          <w:sz w:val="21"/>
        </w:rPr>
        <w:t>package</w:t>
      </w:r>
    </w:p>
    <w:p w14:paraId="70E9895E" w14:textId="77777777" w:rsidR="00A720EB" w:rsidRDefault="0030286B">
      <w:pPr>
        <w:pStyle w:val="a6"/>
        <w:numPr>
          <w:ilvl w:val="3"/>
          <w:numId w:val="68"/>
        </w:numPr>
        <w:tabs>
          <w:tab w:val="left" w:pos="485"/>
        </w:tabs>
        <w:spacing w:before="177"/>
        <w:rPr>
          <w:sz w:val="21"/>
        </w:rPr>
      </w:pPr>
      <w:r>
        <w:rPr>
          <w:color w:val="333333"/>
          <w:w w:val="110"/>
          <w:sz w:val="21"/>
        </w:rPr>
        <w:t>The classpath</w:t>
      </w:r>
      <w:r>
        <w:rPr>
          <w:color w:val="333333"/>
          <w:spacing w:val="5"/>
          <w:w w:val="110"/>
          <w:sz w:val="21"/>
        </w:rPr>
        <w:t xml:space="preserve"> </w:t>
      </w:r>
      <w:r>
        <w:rPr>
          <w:color w:val="333333"/>
          <w:w w:val="110"/>
          <w:sz w:val="21"/>
        </w:rPr>
        <w:t>root</w:t>
      </w:r>
    </w:p>
    <w:p w14:paraId="4A47DA9A" w14:textId="77777777" w:rsidR="00A720EB" w:rsidRDefault="00A720EB">
      <w:pPr>
        <w:pStyle w:val="a3"/>
        <w:spacing w:before="4"/>
        <w:rPr>
          <w:sz w:val="26"/>
        </w:rPr>
      </w:pPr>
    </w:p>
    <w:p w14:paraId="419A1EBC" w14:textId="77777777" w:rsidR="00A720EB" w:rsidRDefault="0030286B">
      <w:pPr>
        <w:pStyle w:val="a3"/>
        <w:spacing w:line="307" w:lineRule="auto"/>
        <w:ind w:left="124" w:right="129"/>
        <w:jc w:val="both"/>
      </w:pPr>
      <w:r>
        <w:rPr>
          <w:color w:val="333333"/>
          <w:w w:val="110"/>
        </w:rPr>
        <w:t>The list is ordered by precedence (properties defined in locations higher in the list override those defined in lower locations).</w:t>
      </w:r>
    </w:p>
    <w:p w14:paraId="5099F580" w14:textId="77777777" w:rsidR="00A720EB" w:rsidRDefault="00E10349">
      <w:pPr>
        <w:pStyle w:val="a3"/>
        <w:spacing w:before="207"/>
        <w:ind w:left="491"/>
      </w:pPr>
      <w:r>
        <w:pict w14:anchorId="54CBB589">
          <v:line id="_x0000_s4637" style="position:absolute;left:0;text-align:left;z-index:-41698304;mso-position-horizontal-relative:page" from="108.25pt,10.05pt" to="108.25pt,33.8pt" strokecolor="#ededed" strokeweight=".5pt">
            <w10:wrap anchorx="page"/>
          </v:line>
        </w:pict>
      </w:r>
      <w:r w:rsidR="0030286B">
        <w:rPr>
          <w:noProof/>
          <w:position w:val="-14"/>
        </w:rPr>
        <w:drawing>
          <wp:inline distT="0" distB="0" distL="0" distR="0" wp14:anchorId="2600211D" wp14:editId="6E030EEE">
            <wp:extent cx="295275" cy="295275"/>
            <wp:effectExtent l="0" t="0" r="0" b="0"/>
            <wp:docPr id="1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png"/>
                    <pic:cNvPicPr/>
                  </pic:nvPicPr>
                  <pic:blipFill>
                    <a:blip r:embed="rId100" cstate="print"/>
                    <a:stretch>
                      <a:fillRect/>
                    </a:stretch>
                  </pic:blipFill>
                  <pic:spPr>
                    <a:xfrm>
                      <a:off x="0" y="0"/>
                      <a:ext cx="295275" cy="295275"/>
                    </a:xfrm>
                    <a:prstGeom prst="rect">
                      <a:avLst/>
                    </a:prstGeom>
                  </pic:spPr>
                </pic:pic>
              </a:graphicData>
            </a:graphic>
          </wp:inline>
        </w:drawing>
      </w:r>
      <w:r w:rsidR="0030286B">
        <w:rPr>
          <w:rFonts w:ascii="Times New Roman"/>
          <w:sz w:val="20"/>
        </w:rPr>
        <w:t xml:space="preserve">           </w:t>
      </w:r>
      <w:r w:rsidR="0030286B">
        <w:rPr>
          <w:rFonts w:ascii="Times New Roman"/>
          <w:spacing w:val="7"/>
          <w:sz w:val="20"/>
        </w:rPr>
        <w:t xml:space="preserve"> </w:t>
      </w:r>
      <w:r w:rsidR="0030286B">
        <w:rPr>
          <w:color w:val="333333"/>
          <w:spacing w:val="-6"/>
          <w:w w:val="110"/>
        </w:rPr>
        <w:t xml:space="preserve">You </w:t>
      </w:r>
      <w:r w:rsidR="0030286B">
        <w:rPr>
          <w:color w:val="333333"/>
          <w:w w:val="110"/>
        </w:rPr>
        <w:t xml:space="preserve">can also </w:t>
      </w:r>
      <w:hyperlink w:anchor="_bookmark109" w:history="1">
        <w:r w:rsidR="0030286B">
          <w:rPr>
            <w:color w:val="418BCA"/>
            <w:w w:val="110"/>
          </w:rPr>
          <w:t xml:space="preserve">use </w:t>
        </w:r>
        <w:r w:rsidR="0030286B">
          <w:rPr>
            <w:color w:val="418BCA"/>
            <w:spacing w:val="-5"/>
            <w:w w:val="110"/>
          </w:rPr>
          <w:t xml:space="preserve">YAML </w:t>
        </w:r>
        <w:r w:rsidR="0030286B">
          <w:rPr>
            <w:color w:val="418BCA"/>
            <w:w w:val="110"/>
          </w:rPr>
          <w:t>(</w:t>
        </w:r>
        <w:proofErr w:type="gramStart"/>
        <w:r w:rsidR="0030286B">
          <w:rPr>
            <w:color w:val="418BCA"/>
            <w:w w:val="110"/>
          </w:rPr>
          <w:t>'.yml</w:t>
        </w:r>
        <w:proofErr w:type="gramEnd"/>
        <w:r w:rsidR="0030286B">
          <w:rPr>
            <w:color w:val="418BCA"/>
            <w:w w:val="110"/>
          </w:rPr>
          <w:t xml:space="preserve">') files </w:t>
        </w:r>
      </w:hyperlink>
      <w:r w:rsidR="0030286B">
        <w:rPr>
          <w:color w:val="333333"/>
          <w:w w:val="110"/>
        </w:rPr>
        <w:t>as an alternative to</w:t>
      </w:r>
      <w:r w:rsidR="0030286B">
        <w:rPr>
          <w:color w:val="333333"/>
          <w:spacing w:val="44"/>
          <w:w w:val="110"/>
        </w:rPr>
        <w:t xml:space="preserve"> </w:t>
      </w:r>
      <w:r w:rsidR="0030286B">
        <w:rPr>
          <w:color w:val="333333"/>
          <w:w w:val="110"/>
        </w:rPr>
        <w:t>'.properties'.</w:t>
      </w:r>
    </w:p>
    <w:p w14:paraId="3D6C1C39" w14:textId="77777777" w:rsidR="00A720EB" w:rsidRDefault="0030286B">
      <w:pPr>
        <w:pStyle w:val="a3"/>
        <w:spacing w:before="274" w:line="290" w:lineRule="auto"/>
        <w:ind w:left="124" w:right="125"/>
        <w:jc w:val="both"/>
      </w:pPr>
      <w:r>
        <w:rPr>
          <w:color w:val="333333"/>
          <w:w w:val="110"/>
        </w:rPr>
        <w:t xml:space="preserve">If you do not like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as the configuration file name, you can switch to another file name </w:t>
      </w:r>
      <w:r>
        <w:rPr>
          <w:color w:val="333333"/>
          <w:spacing w:val="-3"/>
          <w:w w:val="110"/>
        </w:rPr>
        <w:t xml:space="preserve">by </w:t>
      </w:r>
      <w:r>
        <w:rPr>
          <w:color w:val="333333"/>
          <w:w w:val="110"/>
        </w:rPr>
        <w:t xml:space="preserve">specifying a </w:t>
      </w:r>
      <w:r>
        <w:rPr>
          <w:rFonts w:ascii="MS Gothic"/>
          <w:color w:val="B02045"/>
          <w:w w:val="110"/>
        </w:rPr>
        <w:t>spring.config.name</w:t>
      </w:r>
      <w:r>
        <w:rPr>
          <w:rFonts w:ascii="MS Gothic"/>
          <w:color w:val="B02045"/>
          <w:spacing w:val="-61"/>
          <w:w w:val="110"/>
        </w:rPr>
        <w:t xml:space="preserve"> </w:t>
      </w:r>
      <w:r>
        <w:rPr>
          <w:color w:val="333333"/>
          <w:w w:val="110"/>
        </w:rPr>
        <w:t xml:space="preserve">environment </w:t>
      </w:r>
      <w:r>
        <w:rPr>
          <w:color w:val="333333"/>
          <w:spacing w:val="-3"/>
          <w:w w:val="110"/>
        </w:rPr>
        <w:t xml:space="preserve">property. </w:t>
      </w:r>
      <w:r>
        <w:rPr>
          <w:color w:val="333333"/>
          <w:spacing w:val="-6"/>
          <w:w w:val="110"/>
        </w:rPr>
        <w:t xml:space="preserve">You </w:t>
      </w:r>
      <w:r>
        <w:rPr>
          <w:color w:val="333333"/>
          <w:w w:val="110"/>
        </w:rPr>
        <w:t xml:space="preserve">can also refer to an explicit location </w:t>
      </w:r>
      <w:r>
        <w:rPr>
          <w:color w:val="333333"/>
          <w:spacing w:val="-3"/>
          <w:w w:val="110"/>
        </w:rPr>
        <w:t xml:space="preserve">by </w:t>
      </w:r>
      <w:r>
        <w:rPr>
          <w:color w:val="333333"/>
          <w:w w:val="110"/>
        </w:rPr>
        <w:t xml:space="preserve">using the </w:t>
      </w:r>
      <w:r>
        <w:rPr>
          <w:rFonts w:ascii="MS Gothic"/>
          <w:color w:val="B02045"/>
          <w:w w:val="110"/>
        </w:rPr>
        <w:t>spring.</w:t>
      </w:r>
      <w:proofErr w:type="gramStart"/>
      <w:r>
        <w:rPr>
          <w:rFonts w:ascii="MS Gothic"/>
          <w:color w:val="B02045"/>
          <w:w w:val="110"/>
        </w:rPr>
        <w:t>config.location</w:t>
      </w:r>
      <w:proofErr w:type="gramEnd"/>
      <w:r>
        <w:rPr>
          <w:rFonts w:ascii="MS Gothic"/>
          <w:color w:val="B02045"/>
          <w:w w:val="110"/>
        </w:rPr>
        <w:t xml:space="preserve"> </w:t>
      </w:r>
      <w:r>
        <w:rPr>
          <w:color w:val="333333"/>
          <w:w w:val="110"/>
        </w:rPr>
        <w:t>environment property (which is a comma-separated list of directory locations or file paths). The following example shows how to specify a different file name:</w:t>
      </w:r>
    </w:p>
    <w:p w14:paraId="77837FAF" w14:textId="77777777" w:rsidR="00A720EB" w:rsidRDefault="00A720EB">
      <w:pPr>
        <w:spacing w:line="290" w:lineRule="auto"/>
        <w:jc w:val="both"/>
        <w:sectPr w:rsidR="00A720EB">
          <w:pgSz w:w="11910" w:h="16840"/>
          <w:pgMar w:top="620" w:right="840" w:bottom="520" w:left="840" w:header="0" w:footer="323" w:gutter="0"/>
          <w:cols w:space="720"/>
        </w:sectPr>
      </w:pPr>
    </w:p>
    <w:p w14:paraId="0AC659A2" w14:textId="77777777" w:rsidR="00A720EB" w:rsidRDefault="00E10349">
      <w:pPr>
        <w:pStyle w:val="a3"/>
        <w:ind w:left="116"/>
        <w:rPr>
          <w:sz w:val="20"/>
        </w:rPr>
      </w:pPr>
      <w:r>
        <w:rPr>
          <w:sz w:val="20"/>
        </w:rPr>
      </w:r>
      <w:r>
        <w:rPr>
          <w:sz w:val="20"/>
        </w:rPr>
        <w:pict w14:anchorId="43D584AB">
          <v:group id="_x0000_s4633" style="width:499.55pt;height:37.5pt;mso-position-horizontal-relative:char;mso-position-vertical-relative:line" coordsize="9991,750">
            <v:shape id="_x0000_s4636" style="position:absolute;left:7;top:7;width:9976;height:735" coordorigin="8,8" coordsize="9976,735" path="m9904,8l88,8,56,14,31,31,14,56,8,88r,574l14,693r17,26l56,736r32,6l9904,742r31,-6l9960,719r17,-26l9984,662r,-574l9977,56,9960,31,9935,14,9904,8xe" fillcolor="#f5f5f5" stroked="f">
              <v:path arrowok="t"/>
            </v:shape>
            <v:shape id="_x0000_s4635" style="position:absolute;left:7;top:7;width:9976;height:735" coordorigin="8,8" coordsize="9976,735" path="m88,8r9816,l9935,14r25,17l9977,56r7,32l9984,662r-7,31l9960,719r-25,17l9904,742,88,742,56,736,31,719,14,693,8,662,8,88,14,56,31,31,56,14,88,8xe" filled="f" strokecolor="#ccc">
              <v:path arrowok="t"/>
            </v:shape>
            <v:shape id="_x0000_s4634" type="#_x0000_t202" style="position:absolute;left:26;top:22;width:9938;height:704" filled="f" stroked="f">
              <v:textbox inset="0,0,0,0">
                <w:txbxContent>
                  <w:p w14:paraId="0383FE99" w14:textId="77777777" w:rsidR="00711A16" w:rsidRDefault="00711A16">
                    <w:pPr>
                      <w:spacing w:before="221"/>
                      <w:ind w:left="200"/>
                      <w:rPr>
                        <w:rFonts w:ascii="MS Gothic"/>
                      </w:rPr>
                    </w:pPr>
                    <w:r>
                      <w:rPr>
                        <w:rFonts w:ascii="MS Gothic"/>
                        <w:color w:val="333333"/>
                      </w:rPr>
                      <w:t>$ java -jar myproject.jar --spring.config.name=myproject</w:t>
                    </w:r>
                  </w:p>
                </w:txbxContent>
              </v:textbox>
            </v:shape>
            <w10:anchorlock/>
          </v:group>
        </w:pict>
      </w:r>
    </w:p>
    <w:p w14:paraId="76695578" w14:textId="77777777" w:rsidR="00A720EB" w:rsidRDefault="00A720EB">
      <w:pPr>
        <w:pStyle w:val="a3"/>
        <w:spacing w:before="1"/>
        <w:rPr>
          <w:sz w:val="9"/>
        </w:rPr>
      </w:pPr>
    </w:p>
    <w:p w14:paraId="4200D095" w14:textId="77777777" w:rsidR="00A720EB" w:rsidRDefault="0030286B">
      <w:pPr>
        <w:pStyle w:val="a3"/>
        <w:spacing w:before="125"/>
        <w:ind w:left="124"/>
      </w:pPr>
      <w:r>
        <w:rPr>
          <w:color w:val="333333"/>
          <w:w w:val="110"/>
        </w:rPr>
        <w:t>The following example shows how to specify two locations:</w:t>
      </w:r>
    </w:p>
    <w:p w14:paraId="344EC4DD" w14:textId="77777777" w:rsidR="00A720EB" w:rsidRDefault="00E10349">
      <w:pPr>
        <w:pStyle w:val="a3"/>
        <w:rPr>
          <w:sz w:val="19"/>
        </w:rPr>
      </w:pPr>
      <w:r>
        <w:pict w14:anchorId="714F608C">
          <v:group id="_x0000_s4629" style="position:absolute;margin-left:47.85pt;margin-top:13.1pt;width:499.55pt;height:52.25pt;z-index:-15620096;mso-wrap-distance-left:0;mso-wrap-distance-right:0;mso-position-horizontal-relative:page" coordorigin="957,262" coordsize="9991,1045">
            <v:shape id="_x0000_s4632" style="position:absolute;left:964;top:269;width:9976;height:1030" coordorigin="965,270" coordsize="9976,1030" path="m10861,270r-9816,l1014,276r-26,17l971,319r-6,31l965,1219r6,32l988,1276r26,17l1045,1299r9816,l10892,1293r25,-17l10935,1251r6,-32l10941,350r-6,-31l10917,293r-25,-17l10861,270xe" fillcolor="#f5f5f5" stroked="f">
              <v:path arrowok="t"/>
            </v:shape>
            <v:shape id="_x0000_s4631" style="position:absolute;left:964;top:269;width:9976;height:1030" coordorigin="965,270" coordsize="9976,1030" path="m1045,270r9816,l10892,276r25,17l10935,319r6,31l10941,1219r-6,32l10917,1276r-25,17l10861,1299r-9816,l1014,1293r-26,-17l971,1251r-6,-32l965,350r6,-31l988,293r26,-17l1045,270xe" filled="f" strokecolor="#ccc">
              <v:path arrowok="t"/>
            </v:shape>
            <v:shape id="_x0000_s4630" type="#_x0000_t202" style="position:absolute;left:984;top:285;width:9938;height:999" filled="f" stroked="f">
              <v:textbox inset="0,0,0,0">
                <w:txbxContent>
                  <w:p w14:paraId="764310CF" w14:textId="77777777" w:rsidR="00711A16" w:rsidRDefault="00711A16">
                    <w:pPr>
                      <w:spacing w:before="221"/>
                      <w:ind w:left="200"/>
                      <w:rPr>
                        <w:rFonts w:ascii="MS Gothic"/>
                      </w:rPr>
                    </w:pPr>
                    <w:r>
                      <w:rPr>
                        <w:rFonts w:ascii="MS Gothic"/>
                        <w:color w:val="333333"/>
                      </w:rPr>
                      <w:t>$ java -jar myproject.jar</w:t>
                    </w:r>
                  </w:p>
                  <w:p w14:paraId="05E8DC4C" w14:textId="77777777" w:rsidR="00711A16" w:rsidRDefault="00711A16">
                    <w:pPr>
                      <w:spacing w:before="13"/>
                      <w:ind w:left="200"/>
                      <w:rPr>
                        <w:rFonts w:ascii="MS Gothic"/>
                      </w:rPr>
                    </w:pPr>
                    <w:r>
                      <w:rPr>
                        <w:rFonts w:ascii="MS Gothic"/>
                        <w:color w:val="333333"/>
                      </w:rPr>
                      <w:t>--spring.</w:t>
                    </w:r>
                    <w:proofErr w:type="gramStart"/>
                    <w:r>
                      <w:rPr>
                        <w:rFonts w:ascii="MS Gothic"/>
                        <w:color w:val="333333"/>
                      </w:rPr>
                      <w:t>config.location</w:t>
                    </w:r>
                    <w:proofErr w:type="gramEnd"/>
                    <w:r>
                      <w:rPr>
                        <w:rFonts w:ascii="MS Gothic"/>
                        <w:color w:val="333333"/>
                      </w:rPr>
                      <w:t>=classpath:/default.properties,classpath:/override.properties</w:t>
                    </w:r>
                  </w:p>
                </w:txbxContent>
              </v:textbox>
            </v:shape>
            <w10:wrap type="topAndBottom" anchorx="page"/>
          </v:group>
        </w:pict>
      </w:r>
    </w:p>
    <w:p w14:paraId="4CE318DE" w14:textId="77777777" w:rsidR="00A720EB" w:rsidRDefault="00A720EB">
      <w:pPr>
        <w:pStyle w:val="a3"/>
        <w:spacing w:before="8"/>
        <w:rPr>
          <w:sz w:val="16"/>
        </w:rPr>
      </w:pPr>
    </w:p>
    <w:p w14:paraId="3F3DDA89" w14:textId="77777777" w:rsidR="00A720EB" w:rsidRDefault="00E10349">
      <w:pPr>
        <w:pStyle w:val="a3"/>
        <w:spacing w:before="116" w:line="302" w:lineRule="auto"/>
        <w:ind w:left="1564" w:right="363"/>
        <w:jc w:val="both"/>
      </w:pPr>
      <w:r>
        <w:pict w14:anchorId="0D37BF31">
          <v:line id="_x0000_s4628" style="position:absolute;left:0;text-align:left;z-index:15837696;mso-position-horizontal-relative:page" from="108.25pt,.35pt" to="108.25pt,71.45pt" strokecolor="#ededed" strokeweight=".5pt">
            <w10:wrap anchorx="page"/>
          </v:line>
        </w:pict>
      </w:r>
      <w:r w:rsidR="0030286B">
        <w:rPr>
          <w:noProof/>
        </w:rPr>
        <w:drawing>
          <wp:anchor distT="0" distB="0" distL="0" distR="0" simplePos="0" relativeHeight="15838208" behindDoc="0" locked="0" layoutInCell="1" allowOverlap="1" wp14:anchorId="2EAE76AB" wp14:editId="760B5CFA">
            <wp:simplePos x="0" y="0"/>
            <wp:positionH relativeFrom="page">
              <wp:posOffset>815847</wp:posOffset>
            </wp:positionH>
            <wp:positionV relativeFrom="paragraph">
              <wp:posOffset>303479</wp:posOffset>
            </wp:positionV>
            <wp:extent cx="355600" cy="304800"/>
            <wp:effectExtent l="0" t="0" r="0" b="0"/>
            <wp:wrapNone/>
            <wp:docPr id="1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rFonts w:ascii="MS Gothic"/>
          <w:color w:val="B02045"/>
          <w:w w:val="110"/>
        </w:rPr>
        <w:t>spring.config.name</w:t>
      </w:r>
      <w:r w:rsidR="0030286B">
        <w:rPr>
          <w:rFonts w:ascii="MS Gothic"/>
          <w:color w:val="B02045"/>
          <w:spacing w:val="-73"/>
          <w:w w:val="110"/>
        </w:rPr>
        <w:t xml:space="preserve"> </w:t>
      </w:r>
      <w:r w:rsidR="0030286B">
        <w:rPr>
          <w:color w:val="333333"/>
          <w:w w:val="110"/>
        </w:rPr>
        <w:t>and</w:t>
      </w:r>
      <w:r w:rsidR="0030286B">
        <w:rPr>
          <w:color w:val="333333"/>
          <w:spacing w:val="-8"/>
          <w:w w:val="110"/>
        </w:rPr>
        <w:t xml:space="preserve"> </w:t>
      </w:r>
      <w:r w:rsidR="0030286B">
        <w:rPr>
          <w:rFonts w:ascii="MS Gothic"/>
          <w:color w:val="B02045"/>
          <w:w w:val="110"/>
        </w:rPr>
        <w:t>spring.</w:t>
      </w:r>
      <w:proofErr w:type="gramStart"/>
      <w:r w:rsidR="0030286B">
        <w:rPr>
          <w:rFonts w:ascii="MS Gothic"/>
          <w:color w:val="B02045"/>
          <w:w w:val="110"/>
        </w:rPr>
        <w:t>config.location</w:t>
      </w:r>
      <w:proofErr w:type="gramEnd"/>
      <w:r w:rsidR="0030286B">
        <w:rPr>
          <w:rFonts w:ascii="MS Gothic"/>
          <w:color w:val="B02045"/>
          <w:spacing w:val="-73"/>
          <w:w w:val="110"/>
        </w:rPr>
        <w:t xml:space="preserve"> </w:t>
      </w:r>
      <w:r w:rsidR="0030286B">
        <w:rPr>
          <w:color w:val="333333"/>
          <w:w w:val="110"/>
        </w:rPr>
        <w:t>are</w:t>
      </w:r>
      <w:r w:rsidR="0030286B">
        <w:rPr>
          <w:color w:val="333333"/>
          <w:spacing w:val="-9"/>
          <w:w w:val="110"/>
        </w:rPr>
        <w:t xml:space="preserve"> </w:t>
      </w:r>
      <w:r w:rsidR="0030286B">
        <w:rPr>
          <w:color w:val="333333"/>
          <w:w w:val="110"/>
        </w:rPr>
        <w:t>used</w:t>
      </w:r>
      <w:r w:rsidR="0030286B">
        <w:rPr>
          <w:color w:val="333333"/>
          <w:spacing w:val="-8"/>
          <w:w w:val="110"/>
        </w:rPr>
        <w:t xml:space="preserve"> </w:t>
      </w:r>
      <w:r w:rsidR="0030286B">
        <w:rPr>
          <w:color w:val="333333"/>
          <w:w w:val="110"/>
        </w:rPr>
        <w:t>very</w:t>
      </w:r>
      <w:r w:rsidR="0030286B">
        <w:rPr>
          <w:color w:val="333333"/>
          <w:spacing w:val="-8"/>
          <w:w w:val="110"/>
        </w:rPr>
        <w:t xml:space="preserve"> </w:t>
      </w:r>
      <w:r w:rsidR="0030286B">
        <w:rPr>
          <w:color w:val="333333"/>
          <w:w w:val="110"/>
        </w:rPr>
        <w:t>early</w:t>
      </w:r>
      <w:r w:rsidR="0030286B">
        <w:rPr>
          <w:color w:val="333333"/>
          <w:spacing w:val="-8"/>
          <w:w w:val="110"/>
        </w:rPr>
        <w:t xml:space="preserve"> </w:t>
      </w:r>
      <w:r w:rsidR="0030286B">
        <w:rPr>
          <w:color w:val="333333"/>
          <w:w w:val="110"/>
        </w:rPr>
        <w:t>to</w:t>
      </w:r>
      <w:r w:rsidR="0030286B">
        <w:rPr>
          <w:color w:val="333333"/>
          <w:spacing w:val="-8"/>
          <w:w w:val="110"/>
        </w:rPr>
        <w:t xml:space="preserve"> </w:t>
      </w:r>
      <w:r w:rsidR="0030286B">
        <w:rPr>
          <w:color w:val="333333"/>
          <w:w w:val="110"/>
        </w:rPr>
        <w:t xml:space="preserve">determine which files have to be loaded. They must be defined as an environment </w:t>
      </w:r>
      <w:proofErr w:type="gramStart"/>
      <w:r w:rsidR="0030286B">
        <w:rPr>
          <w:color w:val="333333"/>
          <w:w w:val="110"/>
        </w:rPr>
        <w:t>property  (</w:t>
      </w:r>
      <w:proofErr w:type="gramEnd"/>
      <w:r w:rsidR="0030286B">
        <w:rPr>
          <w:color w:val="333333"/>
          <w:w w:val="110"/>
        </w:rPr>
        <w:t xml:space="preserve">typically an OS environment variable, a system </w:t>
      </w:r>
      <w:r w:rsidR="0030286B">
        <w:rPr>
          <w:color w:val="333333"/>
          <w:spacing w:val="-3"/>
          <w:w w:val="110"/>
        </w:rPr>
        <w:t xml:space="preserve">property, </w:t>
      </w:r>
      <w:r w:rsidR="0030286B">
        <w:rPr>
          <w:color w:val="333333"/>
          <w:w w:val="110"/>
        </w:rPr>
        <w:t>or a command-line argument).</w:t>
      </w:r>
    </w:p>
    <w:p w14:paraId="42F58419" w14:textId="77777777" w:rsidR="00A720EB" w:rsidRDefault="00A720EB">
      <w:pPr>
        <w:pStyle w:val="a3"/>
        <w:spacing w:before="10"/>
        <w:rPr>
          <w:sz w:val="16"/>
        </w:rPr>
      </w:pPr>
    </w:p>
    <w:p w14:paraId="5FD9941D" w14:textId="77777777" w:rsidR="00A720EB" w:rsidRDefault="0030286B">
      <w:pPr>
        <w:pStyle w:val="a3"/>
        <w:spacing w:before="116" w:line="292" w:lineRule="auto"/>
        <w:ind w:left="124" w:right="122"/>
        <w:jc w:val="both"/>
      </w:pPr>
      <w:r>
        <w:rPr>
          <w:color w:val="333333"/>
          <w:w w:val="110"/>
        </w:rPr>
        <w:t xml:space="preserve">If </w:t>
      </w:r>
      <w:r>
        <w:rPr>
          <w:rFonts w:ascii="MS Gothic"/>
          <w:color w:val="B02045"/>
          <w:w w:val="110"/>
        </w:rPr>
        <w:t>spring.</w:t>
      </w:r>
      <w:proofErr w:type="gramStart"/>
      <w:r>
        <w:rPr>
          <w:rFonts w:ascii="MS Gothic"/>
          <w:color w:val="B02045"/>
          <w:w w:val="110"/>
        </w:rPr>
        <w:t>config.location</w:t>
      </w:r>
      <w:proofErr w:type="gramEnd"/>
      <w:r>
        <w:rPr>
          <w:rFonts w:ascii="MS Gothic"/>
          <w:color w:val="B02045"/>
          <w:w w:val="110"/>
        </w:rPr>
        <w:t xml:space="preserve"> </w:t>
      </w:r>
      <w:r>
        <w:rPr>
          <w:color w:val="333333"/>
          <w:w w:val="110"/>
        </w:rPr>
        <w:t xml:space="preserve">contains directories (as opposed to files), they should end in </w:t>
      </w:r>
      <w:r>
        <w:rPr>
          <w:rFonts w:ascii="MS Gothic"/>
          <w:color w:val="B02045"/>
          <w:w w:val="110"/>
        </w:rPr>
        <w:t xml:space="preserve">/ </w:t>
      </w:r>
      <w:r>
        <w:rPr>
          <w:color w:val="333333"/>
          <w:w w:val="110"/>
        </w:rPr>
        <w:t xml:space="preserve">(and, at runtime, be appended with the names generated from </w:t>
      </w:r>
      <w:r>
        <w:rPr>
          <w:rFonts w:ascii="MS Gothic"/>
          <w:color w:val="B02045"/>
          <w:w w:val="110"/>
        </w:rPr>
        <w:t xml:space="preserve">spring.config.name </w:t>
      </w:r>
      <w:r>
        <w:rPr>
          <w:color w:val="333333"/>
          <w:w w:val="110"/>
        </w:rPr>
        <w:t xml:space="preserve">before being loaded,  including profile-specific file names). Files specified in </w:t>
      </w:r>
      <w:r>
        <w:rPr>
          <w:rFonts w:ascii="MS Gothic"/>
          <w:color w:val="B02045"/>
          <w:w w:val="110"/>
        </w:rPr>
        <w:t>spring.</w:t>
      </w:r>
      <w:proofErr w:type="gramStart"/>
      <w:r>
        <w:rPr>
          <w:rFonts w:ascii="MS Gothic"/>
          <w:color w:val="B02045"/>
          <w:w w:val="110"/>
        </w:rPr>
        <w:t>config.location</w:t>
      </w:r>
      <w:proofErr w:type="gramEnd"/>
      <w:r>
        <w:rPr>
          <w:rFonts w:ascii="MS Gothic"/>
          <w:color w:val="B02045"/>
          <w:w w:val="110"/>
        </w:rPr>
        <w:t xml:space="preserve"> </w:t>
      </w:r>
      <w:r>
        <w:rPr>
          <w:color w:val="333333"/>
          <w:w w:val="110"/>
        </w:rPr>
        <w:t xml:space="preserve">are used as-is, with no support for profile-specific variants, and are overridden </w:t>
      </w:r>
      <w:r>
        <w:rPr>
          <w:color w:val="333333"/>
          <w:spacing w:val="-3"/>
          <w:w w:val="110"/>
        </w:rPr>
        <w:t xml:space="preserve">by </w:t>
      </w:r>
      <w:r>
        <w:rPr>
          <w:color w:val="333333"/>
          <w:w w:val="110"/>
        </w:rPr>
        <w:t xml:space="preserve">any profile-specific properties. Whether specified directly or contained in a </w:t>
      </w:r>
      <w:r>
        <w:rPr>
          <w:color w:val="333333"/>
          <w:spacing w:val="-3"/>
          <w:w w:val="110"/>
        </w:rPr>
        <w:t xml:space="preserve">directory, </w:t>
      </w:r>
      <w:r>
        <w:rPr>
          <w:color w:val="333333"/>
          <w:w w:val="110"/>
        </w:rPr>
        <w:t xml:space="preserve">configuration files must include a file extension in their name. Typical extensions that are supported out-of-the-box </w:t>
      </w:r>
      <w:proofErr w:type="gramStart"/>
      <w:r>
        <w:rPr>
          <w:color w:val="333333"/>
          <w:w w:val="110"/>
        </w:rPr>
        <w:t>are</w:t>
      </w:r>
      <w:r>
        <w:rPr>
          <w:color w:val="333333"/>
          <w:spacing w:val="42"/>
          <w:w w:val="110"/>
        </w:rPr>
        <w:t xml:space="preserve"> </w:t>
      </w:r>
      <w:r>
        <w:rPr>
          <w:rFonts w:ascii="MS Gothic"/>
          <w:color w:val="B02045"/>
          <w:w w:val="110"/>
        </w:rPr>
        <w:t>.properties</w:t>
      </w:r>
      <w:proofErr w:type="gramEnd"/>
      <w:r>
        <w:rPr>
          <w:color w:val="333333"/>
          <w:w w:val="110"/>
        </w:rPr>
        <w:t>,</w:t>
      </w:r>
    </w:p>
    <w:p w14:paraId="3913FEFE" w14:textId="77777777" w:rsidR="00A720EB" w:rsidRDefault="0030286B">
      <w:pPr>
        <w:pStyle w:val="a3"/>
        <w:spacing w:line="249" w:lineRule="exact"/>
        <w:ind w:left="124"/>
        <w:jc w:val="both"/>
      </w:pPr>
      <w:proofErr w:type="gramStart"/>
      <w:r>
        <w:rPr>
          <w:rFonts w:ascii="MS Gothic"/>
          <w:color w:val="B02045"/>
          <w:w w:val="105"/>
        </w:rPr>
        <w:t>.yaml</w:t>
      </w:r>
      <w:proofErr w:type="gramEnd"/>
      <w:r>
        <w:rPr>
          <w:color w:val="333333"/>
          <w:w w:val="105"/>
        </w:rPr>
        <w:t xml:space="preserve">, and </w:t>
      </w:r>
      <w:r>
        <w:rPr>
          <w:rFonts w:ascii="MS Gothic"/>
          <w:color w:val="B02045"/>
          <w:w w:val="105"/>
        </w:rPr>
        <w:t>.yml</w:t>
      </w:r>
      <w:r>
        <w:rPr>
          <w:color w:val="333333"/>
          <w:w w:val="105"/>
        </w:rPr>
        <w:t>.</w:t>
      </w:r>
    </w:p>
    <w:p w14:paraId="4F2A23AC" w14:textId="77777777" w:rsidR="00A720EB" w:rsidRDefault="00A720EB">
      <w:pPr>
        <w:pStyle w:val="a3"/>
        <w:spacing w:before="3"/>
        <w:rPr>
          <w:sz w:val="25"/>
        </w:rPr>
      </w:pPr>
    </w:p>
    <w:p w14:paraId="1EA76FAD" w14:textId="77777777" w:rsidR="00A720EB" w:rsidRDefault="0030286B">
      <w:pPr>
        <w:pStyle w:val="a3"/>
        <w:spacing w:line="295" w:lineRule="auto"/>
        <w:ind w:left="124" w:right="123"/>
        <w:jc w:val="both"/>
      </w:pPr>
      <w:r>
        <w:rPr>
          <w:color w:val="333333"/>
          <w:w w:val="110"/>
        </w:rPr>
        <w:t xml:space="preserve">Config locations are searched in reverse order. By default, the configured locations are </w:t>
      </w:r>
      <w:r>
        <w:rPr>
          <w:rFonts w:ascii="MS Gothic"/>
          <w:color w:val="B02045"/>
          <w:w w:val="105"/>
        </w:rPr>
        <w:t>classpath</w:t>
      </w:r>
      <w:proofErr w:type="gramStart"/>
      <w:r>
        <w:rPr>
          <w:rFonts w:ascii="MS Gothic"/>
          <w:color w:val="B02045"/>
          <w:w w:val="105"/>
        </w:rPr>
        <w:t>:/,classpath:/config/</w:t>
      </w:r>
      <w:proofErr w:type="gramEnd"/>
      <w:r>
        <w:rPr>
          <w:rFonts w:ascii="MS Gothic"/>
          <w:color w:val="B02045"/>
          <w:w w:val="105"/>
        </w:rPr>
        <w:t>,file:./,file:./config/*/,file:./config/</w:t>
      </w:r>
      <w:r>
        <w:rPr>
          <w:color w:val="333333"/>
          <w:w w:val="105"/>
        </w:rPr>
        <w:t xml:space="preserve">. The resulting search </w:t>
      </w:r>
      <w:r>
        <w:rPr>
          <w:color w:val="333333"/>
          <w:w w:val="110"/>
        </w:rPr>
        <w:t>order is the following:</w:t>
      </w:r>
    </w:p>
    <w:p w14:paraId="187412CC" w14:textId="77777777" w:rsidR="00A720EB" w:rsidRDefault="0030286B">
      <w:pPr>
        <w:pStyle w:val="a6"/>
        <w:numPr>
          <w:ilvl w:val="0"/>
          <w:numId w:val="64"/>
        </w:numPr>
        <w:tabs>
          <w:tab w:val="left" w:pos="485"/>
        </w:tabs>
        <w:spacing w:before="240"/>
        <w:rPr>
          <w:rFonts w:ascii="MS Gothic"/>
          <w:sz w:val="21"/>
        </w:rPr>
      </w:pPr>
      <w:r>
        <w:rPr>
          <w:rFonts w:ascii="MS Gothic"/>
          <w:color w:val="B02045"/>
          <w:sz w:val="21"/>
        </w:rPr>
        <w:t>file</w:t>
      </w:r>
      <w:proofErr w:type="gramStart"/>
      <w:r>
        <w:rPr>
          <w:rFonts w:ascii="MS Gothic"/>
          <w:color w:val="B02045"/>
          <w:sz w:val="21"/>
        </w:rPr>
        <w:t>:./</w:t>
      </w:r>
      <w:proofErr w:type="gramEnd"/>
      <w:r>
        <w:rPr>
          <w:rFonts w:ascii="MS Gothic"/>
          <w:color w:val="B02045"/>
          <w:sz w:val="21"/>
        </w:rPr>
        <w:t>config/</w:t>
      </w:r>
    </w:p>
    <w:p w14:paraId="3801D282" w14:textId="77777777" w:rsidR="00A720EB" w:rsidRDefault="0030286B">
      <w:pPr>
        <w:pStyle w:val="a6"/>
        <w:numPr>
          <w:ilvl w:val="0"/>
          <w:numId w:val="64"/>
        </w:numPr>
        <w:tabs>
          <w:tab w:val="left" w:pos="485"/>
        </w:tabs>
        <w:spacing w:before="167"/>
        <w:rPr>
          <w:rFonts w:ascii="MS Gothic"/>
          <w:sz w:val="21"/>
        </w:rPr>
      </w:pPr>
      <w:r>
        <w:rPr>
          <w:rFonts w:ascii="MS Gothic"/>
          <w:color w:val="B02045"/>
          <w:sz w:val="21"/>
        </w:rPr>
        <w:t>file</w:t>
      </w:r>
      <w:proofErr w:type="gramStart"/>
      <w:r>
        <w:rPr>
          <w:rFonts w:ascii="MS Gothic"/>
          <w:color w:val="B02045"/>
          <w:sz w:val="21"/>
        </w:rPr>
        <w:t>:./</w:t>
      </w:r>
      <w:proofErr w:type="gramEnd"/>
      <w:r>
        <w:rPr>
          <w:rFonts w:ascii="MS Gothic"/>
          <w:color w:val="B02045"/>
          <w:sz w:val="21"/>
        </w:rPr>
        <w:t>config/*/</w:t>
      </w:r>
    </w:p>
    <w:p w14:paraId="38F59A1F" w14:textId="77777777" w:rsidR="00A720EB" w:rsidRDefault="0030286B">
      <w:pPr>
        <w:pStyle w:val="a6"/>
        <w:numPr>
          <w:ilvl w:val="0"/>
          <w:numId w:val="64"/>
        </w:numPr>
        <w:tabs>
          <w:tab w:val="left" w:pos="485"/>
        </w:tabs>
        <w:spacing w:before="166"/>
        <w:rPr>
          <w:rFonts w:ascii="MS Gothic"/>
          <w:sz w:val="21"/>
        </w:rPr>
      </w:pPr>
      <w:proofErr w:type="gramStart"/>
      <w:r>
        <w:rPr>
          <w:rFonts w:ascii="MS Gothic"/>
          <w:color w:val="B02045"/>
          <w:sz w:val="21"/>
        </w:rPr>
        <w:t>file:.</w:t>
      </w:r>
      <w:proofErr w:type="gramEnd"/>
      <w:r>
        <w:rPr>
          <w:rFonts w:ascii="MS Gothic"/>
          <w:color w:val="B02045"/>
          <w:sz w:val="21"/>
        </w:rPr>
        <w:t>/</w:t>
      </w:r>
    </w:p>
    <w:p w14:paraId="41266962" w14:textId="77777777" w:rsidR="00A720EB" w:rsidRDefault="0030286B">
      <w:pPr>
        <w:pStyle w:val="a6"/>
        <w:numPr>
          <w:ilvl w:val="0"/>
          <w:numId w:val="64"/>
        </w:numPr>
        <w:tabs>
          <w:tab w:val="left" w:pos="485"/>
        </w:tabs>
        <w:spacing w:before="167"/>
        <w:rPr>
          <w:rFonts w:ascii="MS Gothic"/>
          <w:sz w:val="21"/>
        </w:rPr>
      </w:pPr>
      <w:r>
        <w:rPr>
          <w:rFonts w:ascii="MS Gothic"/>
          <w:color w:val="B02045"/>
          <w:sz w:val="21"/>
        </w:rPr>
        <w:t>classpath:/config/</w:t>
      </w:r>
    </w:p>
    <w:p w14:paraId="79A5B16F" w14:textId="77777777" w:rsidR="00A720EB" w:rsidRDefault="0030286B">
      <w:pPr>
        <w:pStyle w:val="a6"/>
        <w:numPr>
          <w:ilvl w:val="0"/>
          <w:numId w:val="64"/>
        </w:numPr>
        <w:tabs>
          <w:tab w:val="left" w:pos="485"/>
        </w:tabs>
        <w:spacing w:before="166"/>
        <w:rPr>
          <w:rFonts w:ascii="MS Gothic"/>
          <w:sz w:val="21"/>
        </w:rPr>
      </w:pPr>
      <w:r>
        <w:rPr>
          <w:rFonts w:ascii="MS Gothic"/>
          <w:color w:val="B02045"/>
          <w:sz w:val="21"/>
        </w:rPr>
        <w:t>classpath:/</w:t>
      </w:r>
    </w:p>
    <w:p w14:paraId="6494F18C" w14:textId="77777777" w:rsidR="00A720EB" w:rsidRDefault="00A720EB">
      <w:pPr>
        <w:pStyle w:val="a3"/>
        <w:spacing w:before="5"/>
        <w:rPr>
          <w:rFonts w:ascii="MS Gothic"/>
          <w:sz w:val="22"/>
        </w:rPr>
      </w:pPr>
    </w:p>
    <w:p w14:paraId="41037C60" w14:textId="77777777" w:rsidR="00A720EB" w:rsidRDefault="0030286B">
      <w:pPr>
        <w:pStyle w:val="a3"/>
        <w:spacing w:line="280" w:lineRule="auto"/>
        <w:ind w:left="124" w:right="122"/>
        <w:jc w:val="both"/>
      </w:pPr>
      <w:r>
        <w:rPr>
          <w:color w:val="333333"/>
          <w:w w:val="110"/>
        </w:rPr>
        <w:t xml:space="preserve">When custom config locations are configured by using </w:t>
      </w:r>
      <w:r>
        <w:rPr>
          <w:rFonts w:ascii="MS Gothic"/>
          <w:color w:val="B02045"/>
          <w:w w:val="110"/>
        </w:rPr>
        <w:t>spring.</w:t>
      </w:r>
      <w:proofErr w:type="gramStart"/>
      <w:r>
        <w:rPr>
          <w:rFonts w:ascii="MS Gothic"/>
          <w:color w:val="B02045"/>
          <w:w w:val="110"/>
        </w:rPr>
        <w:t>config.location</w:t>
      </w:r>
      <w:proofErr w:type="gramEnd"/>
      <w:r>
        <w:rPr>
          <w:color w:val="333333"/>
          <w:w w:val="110"/>
        </w:rPr>
        <w:t xml:space="preserve">, they replace the  default locations. For example, if </w:t>
      </w:r>
      <w:r>
        <w:rPr>
          <w:rFonts w:ascii="MS Gothic"/>
          <w:color w:val="B02045"/>
          <w:w w:val="110"/>
        </w:rPr>
        <w:t>spring.</w:t>
      </w:r>
      <w:proofErr w:type="gramStart"/>
      <w:r>
        <w:rPr>
          <w:rFonts w:ascii="MS Gothic"/>
          <w:color w:val="B02045"/>
          <w:w w:val="110"/>
        </w:rPr>
        <w:t>config.location</w:t>
      </w:r>
      <w:proofErr w:type="gramEnd"/>
      <w:r>
        <w:rPr>
          <w:rFonts w:ascii="MS Gothic"/>
          <w:color w:val="B02045"/>
          <w:w w:val="110"/>
        </w:rPr>
        <w:t xml:space="preserve"> </w:t>
      </w:r>
      <w:r>
        <w:rPr>
          <w:color w:val="333333"/>
          <w:w w:val="110"/>
        </w:rPr>
        <w:t xml:space="preserve">is configured with the value </w:t>
      </w:r>
      <w:r>
        <w:rPr>
          <w:rFonts w:ascii="MS Gothic"/>
          <w:color w:val="B02045"/>
          <w:w w:val="110"/>
        </w:rPr>
        <w:t>classpath:/custom-config/,file:./custom-config/</w:t>
      </w:r>
      <w:r>
        <w:rPr>
          <w:color w:val="333333"/>
          <w:w w:val="110"/>
        </w:rPr>
        <w:t>, the search order becomes the following:</w:t>
      </w:r>
    </w:p>
    <w:p w14:paraId="3DC733A9" w14:textId="77777777" w:rsidR="00A720EB" w:rsidRDefault="0030286B">
      <w:pPr>
        <w:pStyle w:val="a6"/>
        <w:numPr>
          <w:ilvl w:val="0"/>
          <w:numId w:val="63"/>
        </w:numPr>
        <w:tabs>
          <w:tab w:val="left" w:pos="485"/>
        </w:tabs>
        <w:spacing w:before="242"/>
        <w:rPr>
          <w:rFonts w:ascii="MS Gothic"/>
          <w:sz w:val="21"/>
        </w:rPr>
      </w:pPr>
      <w:r>
        <w:rPr>
          <w:rFonts w:ascii="MS Gothic"/>
          <w:color w:val="B02045"/>
          <w:sz w:val="21"/>
        </w:rPr>
        <w:t>file</w:t>
      </w:r>
      <w:proofErr w:type="gramStart"/>
      <w:r>
        <w:rPr>
          <w:rFonts w:ascii="MS Gothic"/>
          <w:color w:val="B02045"/>
          <w:sz w:val="21"/>
        </w:rPr>
        <w:t>:./</w:t>
      </w:r>
      <w:proofErr w:type="gramEnd"/>
      <w:r>
        <w:rPr>
          <w:rFonts w:ascii="MS Gothic"/>
          <w:color w:val="B02045"/>
          <w:sz w:val="21"/>
        </w:rPr>
        <w:t>custom-config/</w:t>
      </w:r>
    </w:p>
    <w:p w14:paraId="1E15AA7F" w14:textId="77777777" w:rsidR="00A720EB" w:rsidRDefault="0030286B">
      <w:pPr>
        <w:pStyle w:val="a6"/>
        <w:numPr>
          <w:ilvl w:val="0"/>
          <w:numId w:val="63"/>
        </w:numPr>
        <w:tabs>
          <w:tab w:val="left" w:pos="485"/>
        </w:tabs>
        <w:spacing w:before="167"/>
        <w:rPr>
          <w:rFonts w:ascii="MS Gothic"/>
          <w:sz w:val="21"/>
        </w:rPr>
      </w:pPr>
      <w:proofErr w:type="gramStart"/>
      <w:r>
        <w:rPr>
          <w:rFonts w:ascii="MS Gothic"/>
          <w:color w:val="B02045"/>
          <w:sz w:val="21"/>
        </w:rPr>
        <w:t>classpath:custom</w:t>
      </w:r>
      <w:proofErr w:type="gramEnd"/>
      <w:r>
        <w:rPr>
          <w:rFonts w:ascii="MS Gothic"/>
          <w:color w:val="B02045"/>
          <w:sz w:val="21"/>
        </w:rPr>
        <w:t>-config/</w:t>
      </w:r>
    </w:p>
    <w:p w14:paraId="403A8448" w14:textId="77777777" w:rsidR="00A720EB" w:rsidRDefault="00A720EB">
      <w:pPr>
        <w:pStyle w:val="a3"/>
        <w:spacing w:before="4"/>
        <w:rPr>
          <w:rFonts w:ascii="MS Gothic"/>
          <w:sz w:val="22"/>
        </w:rPr>
      </w:pPr>
    </w:p>
    <w:p w14:paraId="1FF19633" w14:textId="77777777" w:rsidR="00A720EB" w:rsidRDefault="0030286B">
      <w:pPr>
        <w:pStyle w:val="a3"/>
        <w:spacing w:before="1" w:line="280" w:lineRule="auto"/>
        <w:ind w:left="124" w:right="122"/>
        <w:jc w:val="both"/>
      </w:pPr>
      <w:r>
        <w:rPr>
          <w:color w:val="333333"/>
          <w:spacing w:val="-3"/>
          <w:w w:val="110"/>
        </w:rPr>
        <w:t xml:space="preserve">Alternatively, </w:t>
      </w:r>
      <w:r>
        <w:rPr>
          <w:color w:val="333333"/>
          <w:w w:val="110"/>
        </w:rPr>
        <w:t xml:space="preserve">when custom config locations are configured </w:t>
      </w:r>
      <w:r>
        <w:rPr>
          <w:color w:val="333333"/>
          <w:spacing w:val="-3"/>
          <w:w w:val="110"/>
        </w:rPr>
        <w:t xml:space="preserve">by </w:t>
      </w:r>
      <w:r>
        <w:rPr>
          <w:color w:val="333333"/>
          <w:w w:val="110"/>
        </w:rPr>
        <w:t xml:space="preserve">using </w:t>
      </w:r>
      <w:r>
        <w:rPr>
          <w:rFonts w:ascii="MS Gothic"/>
          <w:color w:val="B02045"/>
          <w:w w:val="110"/>
        </w:rPr>
        <w:t>spring.</w:t>
      </w:r>
      <w:proofErr w:type="gramStart"/>
      <w:r>
        <w:rPr>
          <w:rFonts w:ascii="MS Gothic"/>
          <w:color w:val="B02045"/>
          <w:w w:val="110"/>
        </w:rPr>
        <w:t>config.additional</w:t>
      </w:r>
      <w:proofErr w:type="gramEnd"/>
      <w:r>
        <w:rPr>
          <w:rFonts w:ascii="MS Gothic"/>
          <w:color w:val="B02045"/>
          <w:w w:val="110"/>
        </w:rPr>
        <w:t>- location</w:t>
      </w:r>
      <w:r>
        <w:rPr>
          <w:color w:val="333333"/>
          <w:w w:val="110"/>
        </w:rPr>
        <w:t xml:space="preserve">, they are used in addition to the default locations. Additional locations are searched before the default locations. </w:t>
      </w:r>
      <w:r>
        <w:rPr>
          <w:color w:val="333333"/>
          <w:spacing w:val="-4"/>
          <w:w w:val="110"/>
        </w:rPr>
        <w:t xml:space="preserve">For </w:t>
      </w:r>
      <w:r>
        <w:rPr>
          <w:color w:val="333333"/>
          <w:w w:val="110"/>
        </w:rPr>
        <w:t xml:space="preserve">example, if additional locations of </w:t>
      </w:r>
      <w:r>
        <w:rPr>
          <w:rFonts w:ascii="MS Gothic"/>
          <w:color w:val="B02045"/>
          <w:w w:val="110"/>
        </w:rPr>
        <w:t>classpath:/custom- config</w:t>
      </w:r>
      <w:proofErr w:type="gramStart"/>
      <w:r>
        <w:rPr>
          <w:rFonts w:ascii="MS Gothic"/>
          <w:color w:val="B02045"/>
          <w:w w:val="110"/>
        </w:rPr>
        <w:t>/,file</w:t>
      </w:r>
      <w:proofErr w:type="gramEnd"/>
      <w:r>
        <w:rPr>
          <w:rFonts w:ascii="MS Gothic"/>
          <w:color w:val="B02045"/>
          <w:w w:val="110"/>
        </w:rPr>
        <w:t>:./custom-config/</w:t>
      </w:r>
      <w:r>
        <w:rPr>
          <w:rFonts w:ascii="MS Gothic"/>
          <w:color w:val="B02045"/>
          <w:spacing w:val="-70"/>
          <w:w w:val="110"/>
        </w:rPr>
        <w:t xml:space="preserve"> </w:t>
      </w:r>
      <w:r>
        <w:rPr>
          <w:color w:val="333333"/>
          <w:w w:val="110"/>
        </w:rPr>
        <w:t>are configured, the search order becomes the following:</w:t>
      </w:r>
    </w:p>
    <w:p w14:paraId="121BE66A" w14:textId="77777777" w:rsidR="00A720EB" w:rsidRDefault="0030286B">
      <w:pPr>
        <w:pStyle w:val="a6"/>
        <w:numPr>
          <w:ilvl w:val="0"/>
          <w:numId w:val="62"/>
        </w:numPr>
        <w:tabs>
          <w:tab w:val="left" w:pos="485"/>
        </w:tabs>
        <w:spacing w:before="243"/>
        <w:rPr>
          <w:rFonts w:ascii="MS Gothic"/>
          <w:sz w:val="21"/>
        </w:rPr>
      </w:pPr>
      <w:r>
        <w:rPr>
          <w:rFonts w:ascii="MS Gothic"/>
          <w:color w:val="B02045"/>
          <w:sz w:val="21"/>
        </w:rPr>
        <w:t>file</w:t>
      </w:r>
      <w:proofErr w:type="gramStart"/>
      <w:r>
        <w:rPr>
          <w:rFonts w:ascii="MS Gothic"/>
          <w:color w:val="B02045"/>
          <w:sz w:val="21"/>
        </w:rPr>
        <w:t>:./</w:t>
      </w:r>
      <w:proofErr w:type="gramEnd"/>
      <w:r>
        <w:rPr>
          <w:rFonts w:ascii="MS Gothic"/>
          <w:color w:val="B02045"/>
          <w:sz w:val="21"/>
        </w:rPr>
        <w:t>custom-config/</w:t>
      </w:r>
    </w:p>
    <w:p w14:paraId="536339B6" w14:textId="77777777" w:rsidR="00A720EB" w:rsidRDefault="0030286B">
      <w:pPr>
        <w:pStyle w:val="a6"/>
        <w:numPr>
          <w:ilvl w:val="0"/>
          <w:numId w:val="62"/>
        </w:numPr>
        <w:tabs>
          <w:tab w:val="left" w:pos="485"/>
        </w:tabs>
        <w:spacing w:before="166"/>
        <w:rPr>
          <w:rFonts w:ascii="MS Gothic"/>
          <w:sz w:val="21"/>
        </w:rPr>
      </w:pPr>
      <w:proofErr w:type="gramStart"/>
      <w:r>
        <w:rPr>
          <w:rFonts w:ascii="MS Gothic"/>
          <w:color w:val="B02045"/>
          <w:sz w:val="21"/>
        </w:rPr>
        <w:t>classpath:custom</w:t>
      </w:r>
      <w:proofErr w:type="gramEnd"/>
      <w:r>
        <w:rPr>
          <w:rFonts w:ascii="MS Gothic"/>
          <w:color w:val="B02045"/>
          <w:sz w:val="21"/>
        </w:rPr>
        <w:t>-config/</w:t>
      </w:r>
    </w:p>
    <w:p w14:paraId="20A9E6B7" w14:textId="77777777" w:rsidR="00A720EB" w:rsidRDefault="00A720EB">
      <w:pPr>
        <w:rPr>
          <w:rFonts w:ascii="MS Gothic"/>
          <w:sz w:val="21"/>
        </w:rPr>
        <w:sectPr w:rsidR="00A720EB">
          <w:pgSz w:w="11910" w:h="16840"/>
          <w:pgMar w:top="700" w:right="840" w:bottom="520" w:left="840" w:header="0" w:footer="323" w:gutter="0"/>
          <w:cols w:space="720"/>
        </w:sectPr>
      </w:pPr>
    </w:p>
    <w:p w14:paraId="3104CE07" w14:textId="77777777" w:rsidR="00A720EB" w:rsidRDefault="0030286B">
      <w:pPr>
        <w:pStyle w:val="a6"/>
        <w:numPr>
          <w:ilvl w:val="0"/>
          <w:numId w:val="62"/>
        </w:numPr>
        <w:tabs>
          <w:tab w:val="left" w:pos="485"/>
        </w:tabs>
        <w:spacing w:before="91"/>
        <w:rPr>
          <w:rFonts w:ascii="MS Gothic"/>
          <w:sz w:val="21"/>
        </w:rPr>
      </w:pPr>
      <w:r>
        <w:rPr>
          <w:rFonts w:ascii="MS Gothic"/>
          <w:color w:val="B02045"/>
          <w:sz w:val="21"/>
        </w:rPr>
        <w:lastRenderedPageBreak/>
        <w:t>file</w:t>
      </w:r>
      <w:proofErr w:type="gramStart"/>
      <w:r>
        <w:rPr>
          <w:rFonts w:ascii="MS Gothic"/>
          <w:color w:val="B02045"/>
          <w:sz w:val="21"/>
        </w:rPr>
        <w:t>:./</w:t>
      </w:r>
      <w:proofErr w:type="gramEnd"/>
      <w:r>
        <w:rPr>
          <w:rFonts w:ascii="MS Gothic"/>
          <w:color w:val="B02045"/>
          <w:sz w:val="21"/>
        </w:rPr>
        <w:t>config/</w:t>
      </w:r>
    </w:p>
    <w:p w14:paraId="2060AA54" w14:textId="77777777" w:rsidR="00A720EB" w:rsidRDefault="0030286B">
      <w:pPr>
        <w:pStyle w:val="a6"/>
        <w:numPr>
          <w:ilvl w:val="0"/>
          <w:numId w:val="62"/>
        </w:numPr>
        <w:tabs>
          <w:tab w:val="left" w:pos="485"/>
        </w:tabs>
        <w:spacing w:before="167"/>
        <w:rPr>
          <w:rFonts w:ascii="MS Gothic"/>
          <w:sz w:val="21"/>
        </w:rPr>
      </w:pPr>
      <w:r>
        <w:rPr>
          <w:rFonts w:ascii="MS Gothic"/>
          <w:color w:val="B02045"/>
          <w:sz w:val="21"/>
        </w:rPr>
        <w:t>file</w:t>
      </w:r>
      <w:proofErr w:type="gramStart"/>
      <w:r>
        <w:rPr>
          <w:rFonts w:ascii="MS Gothic"/>
          <w:color w:val="B02045"/>
          <w:sz w:val="21"/>
        </w:rPr>
        <w:t>:./</w:t>
      </w:r>
      <w:proofErr w:type="gramEnd"/>
      <w:r>
        <w:rPr>
          <w:rFonts w:ascii="MS Gothic"/>
          <w:color w:val="B02045"/>
          <w:sz w:val="21"/>
        </w:rPr>
        <w:t>config/*/</w:t>
      </w:r>
    </w:p>
    <w:p w14:paraId="37730C71" w14:textId="77777777" w:rsidR="00A720EB" w:rsidRDefault="0030286B">
      <w:pPr>
        <w:pStyle w:val="a6"/>
        <w:numPr>
          <w:ilvl w:val="0"/>
          <w:numId w:val="62"/>
        </w:numPr>
        <w:tabs>
          <w:tab w:val="left" w:pos="485"/>
        </w:tabs>
        <w:spacing w:before="166"/>
        <w:rPr>
          <w:rFonts w:ascii="MS Gothic"/>
          <w:sz w:val="21"/>
        </w:rPr>
      </w:pPr>
      <w:proofErr w:type="gramStart"/>
      <w:r>
        <w:rPr>
          <w:rFonts w:ascii="MS Gothic"/>
          <w:color w:val="B02045"/>
          <w:sz w:val="21"/>
        </w:rPr>
        <w:t>file:.</w:t>
      </w:r>
      <w:proofErr w:type="gramEnd"/>
      <w:r>
        <w:rPr>
          <w:rFonts w:ascii="MS Gothic"/>
          <w:color w:val="B02045"/>
          <w:sz w:val="21"/>
        </w:rPr>
        <w:t>/</w:t>
      </w:r>
    </w:p>
    <w:p w14:paraId="53B1202B" w14:textId="77777777" w:rsidR="00A720EB" w:rsidRDefault="0030286B">
      <w:pPr>
        <w:pStyle w:val="a6"/>
        <w:numPr>
          <w:ilvl w:val="0"/>
          <w:numId w:val="62"/>
        </w:numPr>
        <w:tabs>
          <w:tab w:val="left" w:pos="485"/>
        </w:tabs>
        <w:spacing w:before="167"/>
        <w:rPr>
          <w:rFonts w:ascii="MS Gothic"/>
          <w:sz w:val="21"/>
        </w:rPr>
      </w:pPr>
      <w:r>
        <w:rPr>
          <w:rFonts w:ascii="MS Gothic"/>
          <w:color w:val="B02045"/>
          <w:sz w:val="21"/>
        </w:rPr>
        <w:t>classpath:/config/</w:t>
      </w:r>
    </w:p>
    <w:p w14:paraId="4D2BF8A6" w14:textId="77777777" w:rsidR="00A720EB" w:rsidRDefault="0030286B">
      <w:pPr>
        <w:pStyle w:val="a6"/>
        <w:numPr>
          <w:ilvl w:val="0"/>
          <w:numId w:val="62"/>
        </w:numPr>
        <w:tabs>
          <w:tab w:val="left" w:pos="485"/>
        </w:tabs>
        <w:spacing w:before="166"/>
        <w:rPr>
          <w:rFonts w:ascii="MS Gothic"/>
          <w:sz w:val="21"/>
        </w:rPr>
      </w:pPr>
      <w:r>
        <w:rPr>
          <w:rFonts w:ascii="MS Gothic"/>
          <w:color w:val="B02045"/>
          <w:sz w:val="21"/>
        </w:rPr>
        <w:t>classpath:/</w:t>
      </w:r>
    </w:p>
    <w:p w14:paraId="2AEEC8C7" w14:textId="77777777" w:rsidR="00A720EB" w:rsidRDefault="00A720EB">
      <w:pPr>
        <w:pStyle w:val="a3"/>
        <w:spacing w:before="2"/>
        <w:rPr>
          <w:rFonts w:ascii="MS Gothic"/>
          <w:sz w:val="23"/>
        </w:rPr>
      </w:pPr>
    </w:p>
    <w:p w14:paraId="25995748" w14:textId="77777777" w:rsidR="00A720EB" w:rsidRDefault="0030286B">
      <w:pPr>
        <w:pStyle w:val="a3"/>
        <w:spacing w:before="1" w:line="300" w:lineRule="auto"/>
        <w:ind w:left="124" w:right="123"/>
        <w:jc w:val="both"/>
      </w:pPr>
      <w:r>
        <w:rPr>
          <w:color w:val="333333"/>
          <w:w w:val="110"/>
        </w:rPr>
        <w:t xml:space="preserve">This search ordering lets you specify default values in one configuration file and then selectively override those values in another. </w:t>
      </w:r>
      <w:r>
        <w:rPr>
          <w:color w:val="333333"/>
          <w:spacing w:val="-6"/>
          <w:w w:val="110"/>
        </w:rPr>
        <w:t xml:space="preserve">You </w:t>
      </w:r>
      <w:r>
        <w:rPr>
          <w:color w:val="333333"/>
          <w:w w:val="110"/>
        </w:rPr>
        <w:t xml:space="preserve">can provide default values for your application in </w:t>
      </w:r>
      <w:proofErr w:type="gramStart"/>
      <w:r>
        <w:rPr>
          <w:rFonts w:ascii="MS Gothic"/>
          <w:color w:val="B02045"/>
          <w:w w:val="110"/>
        </w:rPr>
        <w:t>application.properties</w:t>
      </w:r>
      <w:proofErr w:type="gramEnd"/>
      <w:r>
        <w:rPr>
          <w:rFonts w:ascii="MS Gothic"/>
          <w:color w:val="B02045"/>
          <w:spacing w:val="-95"/>
          <w:w w:val="110"/>
        </w:rPr>
        <w:t xml:space="preserve"> </w:t>
      </w:r>
      <w:r>
        <w:rPr>
          <w:color w:val="333333"/>
          <w:w w:val="110"/>
        </w:rPr>
        <w:t>(or</w:t>
      </w:r>
      <w:r>
        <w:rPr>
          <w:color w:val="333333"/>
          <w:spacing w:val="-30"/>
          <w:w w:val="110"/>
        </w:rPr>
        <w:t xml:space="preserve"> </w:t>
      </w:r>
      <w:r>
        <w:rPr>
          <w:color w:val="333333"/>
          <w:w w:val="110"/>
        </w:rPr>
        <w:t>whatever</w:t>
      </w:r>
      <w:r>
        <w:rPr>
          <w:color w:val="333333"/>
          <w:spacing w:val="-30"/>
          <w:w w:val="110"/>
        </w:rPr>
        <w:t xml:space="preserve"> </w:t>
      </w:r>
      <w:r>
        <w:rPr>
          <w:color w:val="333333"/>
          <w:w w:val="110"/>
        </w:rPr>
        <w:t>other</w:t>
      </w:r>
      <w:r>
        <w:rPr>
          <w:color w:val="333333"/>
          <w:spacing w:val="-30"/>
          <w:w w:val="110"/>
        </w:rPr>
        <w:t xml:space="preserve"> </w:t>
      </w:r>
      <w:r>
        <w:rPr>
          <w:color w:val="333333"/>
          <w:w w:val="110"/>
        </w:rPr>
        <w:t>basename</w:t>
      </w:r>
      <w:r>
        <w:rPr>
          <w:color w:val="333333"/>
          <w:spacing w:val="-30"/>
          <w:w w:val="110"/>
        </w:rPr>
        <w:t xml:space="preserve"> </w:t>
      </w:r>
      <w:r>
        <w:rPr>
          <w:color w:val="333333"/>
          <w:w w:val="110"/>
        </w:rPr>
        <w:t>you</w:t>
      </w:r>
      <w:r>
        <w:rPr>
          <w:color w:val="333333"/>
          <w:spacing w:val="-30"/>
          <w:w w:val="110"/>
        </w:rPr>
        <w:t xml:space="preserve"> </w:t>
      </w:r>
      <w:r>
        <w:rPr>
          <w:color w:val="333333"/>
          <w:w w:val="110"/>
        </w:rPr>
        <w:t>choose</w:t>
      </w:r>
      <w:r>
        <w:rPr>
          <w:color w:val="333333"/>
          <w:spacing w:val="-30"/>
          <w:w w:val="110"/>
        </w:rPr>
        <w:t xml:space="preserve"> </w:t>
      </w:r>
      <w:r>
        <w:rPr>
          <w:color w:val="333333"/>
          <w:w w:val="110"/>
        </w:rPr>
        <w:t>with</w:t>
      </w:r>
      <w:r>
        <w:rPr>
          <w:color w:val="333333"/>
          <w:spacing w:val="-28"/>
          <w:w w:val="110"/>
        </w:rPr>
        <w:t xml:space="preserve"> </w:t>
      </w:r>
      <w:r>
        <w:rPr>
          <w:rFonts w:ascii="MS Gothic"/>
          <w:color w:val="B02045"/>
          <w:w w:val="110"/>
        </w:rPr>
        <w:t>spring.config.name</w:t>
      </w:r>
      <w:r>
        <w:rPr>
          <w:color w:val="333333"/>
          <w:w w:val="110"/>
        </w:rPr>
        <w:t>)</w:t>
      </w:r>
      <w:r>
        <w:rPr>
          <w:color w:val="333333"/>
          <w:spacing w:val="-30"/>
          <w:w w:val="110"/>
        </w:rPr>
        <w:t xml:space="preserve"> </w:t>
      </w:r>
      <w:r>
        <w:rPr>
          <w:color w:val="333333"/>
          <w:w w:val="110"/>
        </w:rPr>
        <w:t>in</w:t>
      </w:r>
      <w:r>
        <w:rPr>
          <w:color w:val="333333"/>
          <w:spacing w:val="-30"/>
          <w:w w:val="110"/>
        </w:rPr>
        <w:t xml:space="preserve"> </w:t>
      </w:r>
      <w:r>
        <w:rPr>
          <w:color w:val="333333"/>
          <w:w w:val="110"/>
        </w:rPr>
        <w:t>one</w:t>
      </w:r>
      <w:r>
        <w:rPr>
          <w:color w:val="333333"/>
          <w:spacing w:val="-30"/>
          <w:w w:val="110"/>
        </w:rPr>
        <w:t xml:space="preserve"> </w:t>
      </w:r>
      <w:r>
        <w:rPr>
          <w:color w:val="333333"/>
          <w:w w:val="110"/>
        </w:rPr>
        <w:t>of the default locations. These default values can then be overridden at runtime with a different file located in one of the custom</w:t>
      </w:r>
      <w:r>
        <w:rPr>
          <w:color w:val="333333"/>
          <w:spacing w:val="19"/>
          <w:w w:val="110"/>
        </w:rPr>
        <w:t xml:space="preserve"> </w:t>
      </w:r>
      <w:r>
        <w:rPr>
          <w:color w:val="333333"/>
          <w:w w:val="110"/>
        </w:rPr>
        <w:t>locations.</w:t>
      </w:r>
    </w:p>
    <w:p w14:paraId="06B62898" w14:textId="77777777" w:rsidR="00A720EB" w:rsidRDefault="00A720EB">
      <w:pPr>
        <w:pStyle w:val="a3"/>
        <w:spacing w:before="6"/>
        <w:rPr>
          <w:sz w:val="17"/>
        </w:rPr>
      </w:pPr>
    </w:p>
    <w:p w14:paraId="154014FB" w14:textId="77777777" w:rsidR="00A720EB" w:rsidRDefault="00E10349">
      <w:pPr>
        <w:pStyle w:val="a3"/>
        <w:spacing w:before="125" w:line="297" w:lineRule="auto"/>
        <w:ind w:left="1564" w:right="363"/>
        <w:jc w:val="both"/>
      </w:pPr>
      <w:r>
        <w:pict w14:anchorId="2CFAE160">
          <v:line id="_x0000_s4627" style="position:absolute;left:0;text-align:left;z-index:15838720;mso-position-horizontal-relative:page" from="108.25pt,.25pt" to="108.25pt,71.4pt" strokecolor="#ededed" strokeweight=".5pt">
            <w10:wrap anchorx="page"/>
          </v:line>
        </w:pict>
      </w:r>
      <w:r w:rsidR="0030286B">
        <w:rPr>
          <w:noProof/>
        </w:rPr>
        <w:drawing>
          <wp:anchor distT="0" distB="0" distL="0" distR="0" simplePos="0" relativeHeight="15839232" behindDoc="0" locked="0" layoutInCell="1" allowOverlap="1" wp14:anchorId="2FA4F1C6" wp14:editId="65DC00DC">
            <wp:simplePos x="0" y="0"/>
            <wp:positionH relativeFrom="page">
              <wp:posOffset>844422</wp:posOffset>
            </wp:positionH>
            <wp:positionV relativeFrom="paragraph">
              <wp:posOffset>305727</wp:posOffset>
            </wp:positionV>
            <wp:extent cx="298450" cy="298450"/>
            <wp:effectExtent l="0" t="0" r="0" b="0"/>
            <wp:wrapNone/>
            <wp:docPr id="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use environment variables rather than system properties, most operating systems disallow period-separated key names, but you can use underscores   instead (for example, </w:t>
      </w:r>
      <w:r w:rsidR="0030286B">
        <w:rPr>
          <w:rFonts w:ascii="MS Gothic"/>
          <w:color w:val="B02045"/>
          <w:w w:val="110"/>
        </w:rPr>
        <w:t xml:space="preserve">SPRING_CONFIG_NAME </w:t>
      </w:r>
      <w:r w:rsidR="0030286B">
        <w:rPr>
          <w:color w:val="333333"/>
          <w:w w:val="110"/>
        </w:rPr>
        <w:t xml:space="preserve">instead of </w:t>
      </w:r>
      <w:r w:rsidR="0030286B">
        <w:rPr>
          <w:rFonts w:ascii="MS Gothic"/>
          <w:color w:val="B02045"/>
          <w:w w:val="110"/>
        </w:rPr>
        <w:t>spring.config.name</w:t>
      </w:r>
      <w:r w:rsidR="0030286B">
        <w:rPr>
          <w:color w:val="333333"/>
          <w:w w:val="110"/>
        </w:rPr>
        <w:t xml:space="preserve">). See </w:t>
      </w:r>
      <w:hyperlink w:anchor="_bookmark121" w:history="1">
        <w:r w:rsidR="0030286B">
          <w:rPr>
            <w:color w:val="418BCA"/>
            <w:w w:val="110"/>
          </w:rPr>
          <w:t xml:space="preserve">Binding from Environment </w:t>
        </w:r>
        <w:r w:rsidR="0030286B">
          <w:rPr>
            <w:color w:val="418BCA"/>
            <w:spacing w:val="-3"/>
            <w:w w:val="110"/>
          </w:rPr>
          <w:t xml:space="preserve">Variables </w:t>
        </w:r>
      </w:hyperlink>
      <w:r w:rsidR="0030286B">
        <w:rPr>
          <w:color w:val="333333"/>
          <w:w w:val="110"/>
        </w:rPr>
        <w:t>for</w:t>
      </w:r>
      <w:r w:rsidR="0030286B">
        <w:rPr>
          <w:color w:val="333333"/>
          <w:spacing w:val="26"/>
          <w:w w:val="110"/>
        </w:rPr>
        <w:t xml:space="preserve"> </w:t>
      </w:r>
      <w:r w:rsidR="0030286B">
        <w:rPr>
          <w:color w:val="333333"/>
          <w:w w:val="110"/>
        </w:rPr>
        <w:t>details.</w:t>
      </w:r>
    </w:p>
    <w:p w14:paraId="567198C8" w14:textId="77777777" w:rsidR="00A720EB" w:rsidRDefault="00A720EB">
      <w:pPr>
        <w:pStyle w:val="a3"/>
        <w:spacing w:before="5"/>
        <w:rPr>
          <w:sz w:val="24"/>
        </w:rPr>
      </w:pPr>
    </w:p>
    <w:p w14:paraId="5EFF01F4" w14:textId="77777777" w:rsidR="00A720EB" w:rsidRDefault="00E10349">
      <w:pPr>
        <w:pStyle w:val="a3"/>
        <w:spacing w:before="116" w:line="300" w:lineRule="auto"/>
        <w:ind w:left="1564" w:right="362"/>
        <w:jc w:val="both"/>
      </w:pPr>
      <w:r>
        <w:pict w14:anchorId="4419E026">
          <v:line id="_x0000_s4626" style="position:absolute;left:0;text-align:left;z-index:15839744;mso-position-horizontal-relative:page" from="108.25pt,.35pt" to="108.25pt,55.7pt" strokecolor="#ededed" strokeweight=".5pt">
            <w10:wrap anchorx="page"/>
          </v:line>
        </w:pict>
      </w:r>
      <w:r w:rsidR="0030286B">
        <w:rPr>
          <w:noProof/>
        </w:rPr>
        <w:drawing>
          <wp:anchor distT="0" distB="0" distL="0" distR="0" simplePos="0" relativeHeight="15840256" behindDoc="0" locked="0" layoutInCell="1" allowOverlap="1" wp14:anchorId="2FB8DEAF" wp14:editId="6243A0FC">
            <wp:simplePos x="0" y="0"/>
            <wp:positionH relativeFrom="page">
              <wp:posOffset>844422</wp:posOffset>
            </wp:positionH>
            <wp:positionV relativeFrom="paragraph">
              <wp:posOffset>206451</wp:posOffset>
            </wp:positionV>
            <wp:extent cx="298450" cy="298450"/>
            <wp:effectExtent l="0" t="0" r="0" b="0"/>
            <wp:wrapNone/>
            <wp:docPr id="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your application runs in a container, then JNDI properties (in </w:t>
      </w:r>
      <w:proofErr w:type="gramStart"/>
      <w:r w:rsidR="0030286B">
        <w:rPr>
          <w:rFonts w:ascii="MS Gothic"/>
          <w:color w:val="B02045"/>
          <w:w w:val="110"/>
        </w:rPr>
        <w:t>java:comp</w:t>
      </w:r>
      <w:proofErr w:type="gramEnd"/>
      <w:r w:rsidR="0030286B">
        <w:rPr>
          <w:rFonts w:ascii="MS Gothic"/>
          <w:color w:val="B02045"/>
          <w:w w:val="110"/>
        </w:rPr>
        <w:t>/env</w:t>
      </w:r>
      <w:r w:rsidR="0030286B">
        <w:rPr>
          <w:color w:val="333333"/>
          <w:w w:val="110"/>
        </w:rPr>
        <w:t>) or servlet context initialization parameters can be used instead of, or as well as, environment variables or system properties.</w:t>
      </w:r>
    </w:p>
    <w:p w14:paraId="77FACA8C" w14:textId="77777777" w:rsidR="00A720EB" w:rsidRDefault="00A720EB">
      <w:pPr>
        <w:pStyle w:val="a3"/>
        <w:rPr>
          <w:sz w:val="24"/>
        </w:rPr>
      </w:pPr>
    </w:p>
    <w:p w14:paraId="6B39660D" w14:textId="77777777" w:rsidR="00A720EB" w:rsidRDefault="0030286B">
      <w:pPr>
        <w:pStyle w:val="3"/>
        <w:numPr>
          <w:ilvl w:val="2"/>
          <w:numId w:val="68"/>
        </w:numPr>
        <w:tabs>
          <w:tab w:val="left" w:pos="858"/>
        </w:tabs>
        <w:spacing w:before="105"/>
        <w:ind w:hanging="734"/>
      </w:pPr>
      <w:bookmarkStart w:id="181" w:name="4.2.4._Profile-specific_Properties"/>
      <w:bookmarkStart w:id="182" w:name="_Toc54423726"/>
      <w:bookmarkEnd w:id="181"/>
      <w:r>
        <w:rPr>
          <w:color w:val="333333"/>
          <w:w w:val="110"/>
        </w:rPr>
        <w:t>Profile-specific</w:t>
      </w:r>
      <w:r>
        <w:rPr>
          <w:color w:val="333333"/>
          <w:spacing w:val="-5"/>
          <w:w w:val="110"/>
        </w:rPr>
        <w:t xml:space="preserve"> </w:t>
      </w:r>
      <w:r>
        <w:rPr>
          <w:color w:val="333333"/>
          <w:w w:val="110"/>
        </w:rPr>
        <w:t>Properties</w:t>
      </w:r>
      <w:bookmarkEnd w:id="182"/>
    </w:p>
    <w:p w14:paraId="140CF10B" w14:textId="77777777" w:rsidR="00A720EB" w:rsidRDefault="0030286B">
      <w:pPr>
        <w:pStyle w:val="a3"/>
        <w:spacing w:before="244" w:line="283" w:lineRule="auto"/>
        <w:ind w:left="124" w:right="123"/>
        <w:jc w:val="both"/>
      </w:pPr>
      <w:r>
        <w:rPr>
          <w:color w:val="333333"/>
          <w:w w:val="110"/>
        </w:rPr>
        <w:t xml:space="preserve">In addition to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files, profile-specific properties can also be defined </w:t>
      </w:r>
      <w:r>
        <w:rPr>
          <w:color w:val="333333"/>
          <w:spacing w:val="-3"/>
          <w:w w:val="110"/>
        </w:rPr>
        <w:t xml:space="preserve">by </w:t>
      </w:r>
      <w:r>
        <w:rPr>
          <w:color w:val="333333"/>
          <w:w w:val="110"/>
        </w:rPr>
        <w:t xml:space="preserve">using the following naming convention: </w:t>
      </w:r>
      <w:r>
        <w:rPr>
          <w:rFonts w:ascii="MS Gothic"/>
          <w:color w:val="B02045"/>
          <w:w w:val="110"/>
        </w:rPr>
        <w:t>application-{profile}.properties</w:t>
      </w:r>
      <w:r>
        <w:rPr>
          <w:color w:val="333333"/>
          <w:w w:val="110"/>
        </w:rPr>
        <w:t xml:space="preserve">. The </w:t>
      </w:r>
      <w:r>
        <w:rPr>
          <w:rFonts w:ascii="MS Gothic"/>
          <w:color w:val="B02045"/>
          <w:w w:val="110"/>
        </w:rPr>
        <w:t>Environment</w:t>
      </w:r>
      <w:r>
        <w:rPr>
          <w:rFonts w:ascii="MS Gothic"/>
          <w:color w:val="B02045"/>
          <w:spacing w:val="-90"/>
          <w:w w:val="110"/>
        </w:rPr>
        <w:t xml:space="preserve"> </w:t>
      </w:r>
      <w:r>
        <w:rPr>
          <w:color w:val="333333"/>
          <w:w w:val="110"/>
        </w:rPr>
        <w:t xml:space="preserve">has a set of default profiles (by </w:t>
      </w:r>
      <w:proofErr w:type="gramStart"/>
      <w:r>
        <w:rPr>
          <w:color w:val="333333"/>
          <w:w w:val="110"/>
        </w:rPr>
        <w:t xml:space="preserve">default,  </w:t>
      </w:r>
      <w:r>
        <w:rPr>
          <w:rFonts w:ascii="MS Gothic"/>
          <w:color w:val="B02045"/>
          <w:w w:val="110"/>
        </w:rPr>
        <w:t>[</w:t>
      </w:r>
      <w:proofErr w:type="gramEnd"/>
      <w:r>
        <w:rPr>
          <w:rFonts w:ascii="MS Gothic"/>
          <w:color w:val="B02045"/>
          <w:w w:val="110"/>
        </w:rPr>
        <w:t>default]</w:t>
      </w:r>
      <w:r>
        <w:rPr>
          <w:color w:val="333333"/>
          <w:w w:val="110"/>
        </w:rPr>
        <w:t xml:space="preserve">) that are used if no active profiles are set. In other words, </w:t>
      </w:r>
      <w:proofErr w:type="gramStart"/>
      <w:r>
        <w:rPr>
          <w:color w:val="333333"/>
          <w:w w:val="110"/>
        </w:rPr>
        <w:t>if  no</w:t>
      </w:r>
      <w:proofErr w:type="gramEnd"/>
      <w:r>
        <w:rPr>
          <w:color w:val="333333"/>
          <w:w w:val="110"/>
        </w:rPr>
        <w:t xml:space="preserve"> profiles are explicitly activated, then properties from </w:t>
      </w:r>
      <w:r>
        <w:rPr>
          <w:rFonts w:ascii="MS Gothic"/>
          <w:color w:val="B02045"/>
          <w:w w:val="110"/>
        </w:rPr>
        <w:t xml:space="preserve">application-default.properties </w:t>
      </w:r>
      <w:r>
        <w:rPr>
          <w:color w:val="333333"/>
          <w:w w:val="110"/>
        </w:rPr>
        <w:t>are loaded.</w:t>
      </w:r>
    </w:p>
    <w:p w14:paraId="4F87F143" w14:textId="77777777" w:rsidR="00A720EB" w:rsidRDefault="00A720EB">
      <w:pPr>
        <w:pStyle w:val="a3"/>
        <w:spacing w:before="11"/>
      </w:pPr>
    </w:p>
    <w:p w14:paraId="2D3F6F02" w14:textId="77777777" w:rsidR="00A720EB" w:rsidRDefault="0030286B">
      <w:pPr>
        <w:pStyle w:val="a3"/>
        <w:spacing w:line="300" w:lineRule="auto"/>
        <w:ind w:left="124" w:right="122"/>
        <w:jc w:val="both"/>
      </w:pPr>
      <w:r>
        <w:rPr>
          <w:color w:val="333333"/>
          <w:w w:val="110"/>
        </w:rPr>
        <w:t xml:space="preserve">Profile-specific properties are loaded from the same locations as standard </w:t>
      </w:r>
      <w:proofErr w:type="gramStart"/>
      <w:r>
        <w:rPr>
          <w:rFonts w:ascii="MS Gothic"/>
          <w:color w:val="B02045"/>
          <w:w w:val="110"/>
        </w:rPr>
        <w:t>application.properties</w:t>
      </w:r>
      <w:proofErr w:type="gramEnd"/>
      <w:r>
        <w:rPr>
          <w:color w:val="333333"/>
          <w:w w:val="110"/>
        </w:rPr>
        <w:t>, with profile-specific files always overriding the non-specific ones, whether or not the  profile-  specific files are inside or outside your packaged</w:t>
      </w:r>
      <w:r>
        <w:rPr>
          <w:color w:val="333333"/>
          <w:spacing w:val="26"/>
          <w:w w:val="110"/>
        </w:rPr>
        <w:t xml:space="preserve"> </w:t>
      </w:r>
      <w:r>
        <w:rPr>
          <w:color w:val="333333"/>
          <w:w w:val="110"/>
        </w:rPr>
        <w:t>jar.</w:t>
      </w:r>
    </w:p>
    <w:p w14:paraId="75926721" w14:textId="77777777" w:rsidR="00A720EB" w:rsidRDefault="0030286B">
      <w:pPr>
        <w:pStyle w:val="a3"/>
        <w:spacing w:before="245" w:line="295" w:lineRule="auto"/>
        <w:ind w:left="124" w:right="122"/>
        <w:jc w:val="both"/>
      </w:pPr>
      <w:r>
        <w:rPr>
          <w:color w:val="333333"/>
          <w:w w:val="110"/>
        </w:rPr>
        <w:t xml:space="preserve">If several profiles are specified, a last-wins strategy applies. </w:t>
      </w:r>
      <w:r>
        <w:rPr>
          <w:color w:val="333333"/>
          <w:spacing w:val="-4"/>
          <w:w w:val="110"/>
        </w:rPr>
        <w:t xml:space="preserve">For </w:t>
      </w:r>
      <w:r>
        <w:rPr>
          <w:color w:val="333333"/>
          <w:w w:val="110"/>
        </w:rPr>
        <w:t xml:space="preserve">example, profiles specified </w:t>
      </w:r>
      <w:r>
        <w:rPr>
          <w:color w:val="333333"/>
          <w:spacing w:val="-3"/>
          <w:w w:val="110"/>
        </w:rPr>
        <w:t xml:space="preserve">by </w:t>
      </w:r>
      <w:r>
        <w:rPr>
          <w:color w:val="333333"/>
          <w:w w:val="110"/>
        </w:rPr>
        <w:t xml:space="preserve">the </w:t>
      </w:r>
      <w:proofErr w:type="gramStart"/>
      <w:r>
        <w:rPr>
          <w:rFonts w:ascii="MS Gothic"/>
          <w:color w:val="B02045"/>
          <w:w w:val="110"/>
        </w:rPr>
        <w:t>spring.profiles</w:t>
      </w:r>
      <w:proofErr w:type="gramEnd"/>
      <w:r>
        <w:rPr>
          <w:rFonts w:ascii="MS Gothic"/>
          <w:color w:val="B02045"/>
          <w:w w:val="110"/>
        </w:rPr>
        <w:t>.active</w:t>
      </w:r>
      <w:r>
        <w:rPr>
          <w:rFonts w:ascii="MS Gothic"/>
          <w:color w:val="B02045"/>
          <w:spacing w:val="-62"/>
          <w:w w:val="110"/>
        </w:rPr>
        <w:t xml:space="preserve"> </w:t>
      </w:r>
      <w:r>
        <w:rPr>
          <w:color w:val="333333"/>
          <w:w w:val="110"/>
        </w:rPr>
        <w:t xml:space="preserve">property are added after those configured through the </w:t>
      </w:r>
      <w:r>
        <w:rPr>
          <w:rFonts w:ascii="MS Gothic"/>
          <w:color w:val="B02045"/>
          <w:w w:val="110"/>
        </w:rPr>
        <w:t xml:space="preserve">SpringApplication </w:t>
      </w:r>
      <w:r>
        <w:rPr>
          <w:color w:val="333333"/>
          <w:w w:val="110"/>
        </w:rPr>
        <w:t>API and therefore take precedence.</w:t>
      </w:r>
    </w:p>
    <w:p w14:paraId="0C8B612A" w14:textId="77777777" w:rsidR="00A720EB" w:rsidRDefault="00A720EB">
      <w:pPr>
        <w:pStyle w:val="a3"/>
        <w:spacing w:before="5"/>
        <w:rPr>
          <w:sz w:val="17"/>
        </w:rPr>
      </w:pPr>
    </w:p>
    <w:p w14:paraId="5A1B4B9E" w14:textId="77777777" w:rsidR="00A720EB" w:rsidRDefault="00E10349">
      <w:pPr>
        <w:pStyle w:val="a3"/>
        <w:spacing w:before="116" w:line="285" w:lineRule="auto"/>
        <w:ind w:left="1564" w:right="363"/>
        <w:jc w:val="both"/>
      </w:pPr>
      <w:r>
        <w:pict w14:anchorId="5783D357">
          <v:line id="_x0000_s4625" style="position:absolute;left:0;text-align:left;z-index:15840768;mso-position-horizontal-relative:page" from="108.25pt,.35pt" to="108.25pt,55.7pt" strokecolor="#ededed" strokeweight=".5pt">
            <w10:wrap anchorx="page"/>
          </v:line>
        </w:pict>
      </w:r>
      <w:r w:rsidR="0030286B">
        <w:rPr>
          <w:noProof/>
        </w:rPr>
        <w:drawing>
          <wp:anchor distT="0" distB="0" distL="0" distR="0" simplePos="0" relativeHeight="15841280" behindDoc="0" locked="0" layoutInCell="1" allowOverlap="1" wp14:anchorId="774F8ABE" wp14:editId="418A8892">
            <wp:simplePos x="0" y="0"/>
            <wp:positionH relativeFrom="page">
              <wp:posOffset>844422</wp:posOffset>
            </wp:positionH>
            <wp:positionV relativeFrom="paragraph">
              <wp:posOffset>206451</wp:posOffset>
            </wp:positionV>
            <wp:extent cx="298450" cy="298450"/>
            <wp:effectExtent l="0" t="0" r="0" b="0"/>
            <wp:wrapNone/>
            <wp:docPr id="1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have specified any files in </w:t>
      </w:r>
      <w:r w:rsidR="0030286B">
        <w:rPr>
          <w:rFonts w:ascii="MS Gothic"/>
          <w:color w:val="B02045"/>
          <w:w w:val="110"/>
        </w:rPr>
        <w:t>spring.</w:t>
      </w:r>
      <w:proofErr w:type="gramStart"/>
      <w:r w:rsidR="0030286B">
        <w:rPr>
          <w:rFonts w:ascii="MS Gothic"/>
          <w:color w:val="B02045"/>
          <w:w w:val="110"/>
        </w:rPr>
        <w:t>config.location</w:t>
      </w:r>
      <w:proofErr w:type="gramEnd"/>
      <w:r w:rsidR="0030286B">
        <w:rPr>
          <w:color w:val="333333"/>
          <w:w w:val="110"/>
        </w:rPr>
        <w:t xml:space="preserve">, profile-specific variants of those files are not considered. Use directories in </w:t>
      </w:r>
      <w:r w:rsidR="0030286B">
        <w:rPr>
          <w:rFonts w:ascii="MS Gothic"/>
          <w:color w:val="B02045"/>
          <w:w w:val="110"/>
        </w:rPr>
        <w:t>spring.</w:t>
      </w:r>
      <w:proofErr w:type="gramStart"/>
      <w:r w:rsidR="0030286B">
        <w:rPr>
          <w:rFonts w:ascii="MS Gothic"/>
          <w:color w:val="B02045"/>
          <w:w w:val="110"/>
        </w:rPr>
        <w:t>config.location</w:t>
      </w:r>
      <w:proofErr w:type="gramEnd"/>
      <w:r w:rsidR="0030286B">
        <w:rPr>
          <w:rFonts w:ascii="MS Gothic"/>
          <w:color w:val="B02045"/>
          <w:w w:val="110"/>
        </w:rPr>
        <w:t xml:space="preserve"> </w:t>
      </w:r>
      <w:r w:rsidR="0030286B">
        <w:rPr>
          <w:color w:val="333333"/>
          <w:w w:val="110"/>
        </w:rPr>
        <w:t>if you want to also use profile-specific properties.</w:t>
      </w:r>
    </w:p>
    <w:p w14:paraId="6430D18D" w14:textId="77777777" w:rsidR="00A720EB" w:rsidRDefault="00A720EB">
      <w:pPr>
        <w:pStyle w:val="a3"/>
        <w:spacing w:before="6"/>
        <w:rPr>
          <w:sz w:val="25"/>
        </w:rPr>
      </w:pPr>
    </w:p>
    <w:p w14:paraId="3FE3F04E" w14:textId="77777777" w:rsidR="00A720EB" w:rsidRDefault="0030286B">
      <w:pPr>
        <w:pStyle w:val="3"/>
        <w:numPr>
          <w:ilvl w:val="2"/>
          <w:numId w:val="68"/>
        </w:numPr>
        <w:tabs>
          <w:tab w:val="left" w:pos="858"/>
        </w:tabs>
        <w:spacing w:before="106"/>
        <w:ind w:hanging="734"/>
      </w:pPr>
      <w:bookmarkStart w:id="183" w:name="4.2.5._Placeholders_in_Properties"/>
      <w:bookmarkStart w:id="184" w:name="_Toc54423727"/>
      <w:bookmarkEnd w:id="183"/>
      <w:r>
        <w:rPr>
          <w:color w:val="333333"/>
          <w:w w:val="110"/>
        </w:rPr>
        <w:t>Placeholders in</w:t>
      </w:r>
      <w:r>
        <w:rPr>
          <w:color w:val="333333"/>
          <w:spacing w:val="-8"/>
          <w:w w:val="110"/>
        </w:rPr>
        <w:t xml:space="preserve"> </w:t>
      </w:r>
      <w:r>
        <w:rPr>
          <w:color w:val="333333"/>
          <w:w w:val="110"/>
        </w:rPr>
        <w:t>Properties</w:t>
      </w:r>
      <w:bookmarkEnd w:id="184"/>
    </w:p>
    <w:p w14:paraId="2686B143" w14:textId="77777777" w:rsidR="00A720EB" w:rsidRDefault="0030286B">
      <w:pPr>
        <w:pStyle w:val="a3"/>
        <w:spacing w:before="243" w:line="290" w:lineRule="auto"/>
        <w:ind w:left="124"/>
      </w:pPr>
      <w:r>
        <w:rPr>
          <w:color w:val="333333"/>
          <w:w w:val="110"/>
        </w:rPr>
        <w:t xml:space="preserve">The values in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are filtered through the existing </w:t>
      </w:r>
      <w:r>
        <w:rPr>
          <w:rFonts w:ascii="MS Gothic"/>
          <w:color w:val="B02045"/>
          <w:w w:val="110"/>
        </w:rPr>
        <w:t xml:space="preserve">Environment </w:t>
      </w:r>
      <w:r>
        <w:rPr>
          <w:color w:val="333333"/>
          <w:w w:val="110"/>
        </w:rPr>
        <w:t>when they are used, so you can refer back to previously defined values (for example, from System properties).</w:t>
      </w:r>
    </w:p>
    <w:p w14:paraId="184B1169" w14:textId="77777777" w:rsidR="00A720EB" w:rsidRDefault="00A720EB">
      <w:pPr>
        <w:spacing w:line="290" w:lineRule="auto"/>
        <w:sectPr w:rsidR="00A720EB">
          <w:pgSz w:w="11910" w:h="16840"/>
          <w:pgMar w:top="640" w:right="840" w:bottom="520" w:left="840" w:header="0" w:footer="323" w:gutter="0"/>
          <w:cols w:space="720"/>
        </w:sectPr>
      </w:pPr>
    </w:p>
    <w:p w14:paraId="12E7BA38" w14:textId="77777777" w:rsidR="00A720EB" w:rsidRDefault="00E10349">
      <w:pPr>
        <w:pStyle w:val="a3"/>
        <w:ind w:left="116"/>
        <w:rPr>
          <w:sz w:val="20"/>
        </w:rPr>
      </w:pPr>
      <w:r>
        <w:rPr>
          <w:sz w:val="20"/>
        </w:rPr>
      </w:r>
      <w:r>
        <w:rPr>
          <w:sz w:val="20"/>
        </w:rPr>
        <w:pict w14:anchorId="50110061">
          <v:group id="_x0000_s4621" style="width:499.55pt;height:52.25pt;mso-position-horizontal-relative:char;mso-position-vertical-relative:line" coordsize="9991,1045">
            <v:shape id="_x0000_s4624" style="position:absolute;left:7;top:7;width:9976;height:1030" coordorigin="8,8" coordsize="9976,1030" path="m9904,8l88,8,56,14,31,31,14,56,8,88r,869l14,988r17,26l56,1031r32,6l9904,1037r31,-6l9960,1014r17,-26l9984,957r,-869l9977,56,9960,31,9935,14,9904,8xe" fillcolor="#f5f5f5" stroked="f">
              <v:path arrowok="t"/>
            </v:shape>
            <v:shape id="_x0000_s4623" style="position:absolute;left:7;top:7;width:9976;height:1030" coordorigin="8,8" coordsize="9976,1030" path="m88,8r9816,l9935,14r25,17l9977,56r7,32l9984,957r-7,31l9960,1014r-25,17l9904,1037r-9816,l56,1031,31,1014,14,988,8,957,8,88,14,56,31,31,56,14,88,8xe" filled="f" strokecolor="#ccc">
              <v:path arrowok="t"/>
            </v:shape>
            <v:shape id="_x0000_s4622" type="#_x0000_t202" style="position:absolute;left:26;top:22;width:9938;height:999" filled="f" stroked="f">
              <v:textbox inset="0,0,0,0">
                <w:txbxContent>
                  <w:p w14:paraId="3B5B138F" w14:textId="77777777" w:rsidR="00711A16" w:rsidRDefault="00711A16">
                    <w:pPr>
                      <w:spacing w:before="221"/>
                      <w:ind w:left="200"/>
                      <w:rPr>
                        <w:rFonts w:ascii="MS Gothic"/>
                      </w:rPr>
                    </w:pPr>
                    <w:r>
                      <w:rPr>
                        <w:rFonts w:ascii="MS Gothic"/>
                        <w:color w:val="333333"/>
                      </w:rPr>
                      <w:t>app.name=MyApp</w:t>
                    </w:r>
                  </w:p>
                  <w:p w14:paraId="300A1B29" w14:textId="77777777" w:rsidR="00711A16" w:rsidRDefault="00711A16">
                    <w:pPr>
                      <w:spacing w:before="13"/>
                      <w:ind w:left="200"/>
                      <w:rPr>
                        <w:rFonts w:ascii="MS Gothic"/>
                      </w:rPr>
                    </w:pPr>
                    <w:proofErr w:type="gramStart"/>
                    <w:r>
                      <w:rPr>
                        <w:rFonts w:ascii="MS Gothic"/>
                        <w:color w:val="333333"/>
                      </w:rPr>
                      <w:t>app.description</w:t>
                    </w:r>
                    <w:proofErr w:type="gramEnd"/>
                    <w:r>
                      <w:rPr>
                        <w:rFonts w:ascii="MS Gothic"/>
                        <w:color w:val="333333"/>
                      </w:rPr>
                      <w:t>=${app.name} is a Spring Boot application</w:t>
                    </w:r>
                  </w:p>
                </w:txbxContent>
              </v:textbox>
            </v:shape>
            <w10:anchorlock/>
          </v:group>
        </w:pict>
      </w:r>
    </w:p>
    <w:p w14:paraId="5EDFBE59" w14:textId="77777777" w:rsidR="00A720EB" w:rsidRDefault="00A720EB">
      <w:pPr>
        <w:pStyle w:val="a3"/>
        <w:spacing w:before="9"/>
        <w:rPr>
          <w:sz w:val="16"/>
        </w:rPr>
      </w:pPr>
    </w:p>
    <w:p w14:paraId="48964B87" w14:textId="77777777" w:rsidR="00A720EB" w:rsidRDefault="00E10349">
      <w:pPr>
        <w:spacing w:before="125" w:line="288" w:lineRule="auto"/>
        <w:ind w:left="1564"/>
        <w:rPr>
          <w:sz w:val="21"/>
        </w:rPr>
      </w:pPr>
      <w:r>
        <w:pict w14:anchorId="3748652D">
          <v:line id="_x0000_s4620" style="position:absolute;left:0;text-align:left;z-index:15842816;mso-position-horizontal-relative:page" from="108.25pt,.25pt" to="108.25pt,39.8pt" strokecolor="#ededed" strokeweight=".5pt">
            <w10:wrap anchorx="page"/>
          </v:line>
        </w:pict>
      </w:r>
      <w:r w:rsidR="0030286B">
        <w:rPr>
          <w:noProof/>
        </w:rPr>
        <w:drawing>
          <wp:anchor distT="0" distB="0" distL="0" distR="0" simplePos="0" relativeHeight="15843328" behindDoc="0" locked="0" layoutInCell="1" allowOverlap="1" wp14:anchorId="6F5E4450" wp14:editId="0E6FB085">
            <wp:simplePos x="0" y="0"/>
            <wp:positionH relativeFrom="page">
              <wp:posOffset>888949</wp:posOffset>
            </wp:positionH>
            <wp:positionV relativeFrom="paragraph">
              <wp:posOffset>102146</wp:posOffset>
            </wp:positionV>
            <wp:extent cx="209550" cy="304800"/>
            <wp:effectExtent l="0" t="0" r="0" b="0"/>
            <wp:wrapNone/>
            <wp:docPr id="1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sz w:val="21"/>
        </w:rPr>
        <w:t xml:space="preserve">You can also use this technique to create “short” variants of existing Spring </w:t>
      </w:r>
      <w:proofErr w:type="gramStart"/>
      <w:r w:rsidR="0030286B">
        <w:rPr>
          <w:color w:val="333333"/>
          <w:w w:val="110"/>
          <w:sz w:val="21"/>
        </w:rPr>
        <w:t>Boot  properties</w:t>
      </w:r>
      <w:proofErr w:type="gramEnd"/>
      <w:r w:rsidR="0030286B">
        <w:rPr>
          <w:color w:val="333333"/>
          <w:w w:val="110"/>
          <w:sz w:val="21"/>
        </w:rPr>
        <w:t xml:space="preserve">. See the </w:t>
      </w:r>
      <w:hyperlink w:anchor="_bookmark538" w:history="1">
        <w:r w:rsidR="0030286B">
          <w:rPr>
            <w:rFonts w:ascii="Palatino Linotype" w:hAnsi="Palatino Linotype"/>
            <w:i/>
            <w:color w:val="418BCA"/>
            <w:w w:val="110"/>
            <w:sz w:val="21"/>
          </w:rPr>
          <w:t xml:space="preserve">Use ‘Short’ Command Line Arguments </w:t>
        </w:r>
      </w:hyperlink>
      <w:r w:rsidR="0030286B">
        <w:rPr>
          <w:color w:val="333333"/>
          <w:w w:val="110"/>
          <w:sz w:val="21"/>
        </w:rPr>
        <w:t>how-to for details.</w:t>
      </w:r>
    </w:p>
    <w:p w14:paraId="48DC42CC" w14:textId="77777777" w:rsidR="00A720EB" w:rsidRDefault="00A720EB">
      <w:pPr>
        <w:pStyle w:val="a3"/>
        <w:spacing w:before="2"/>
        <w:rPr>
          <w:sz w:val="23"/>
        </w:rPr>
      </w:pPr>
    </w:p>
    <w:p w14:paraId="44FB7442" w14:textId="77777777" w:rsidR="00A720EB" w:rsidRDefault="0030286B">
      <w:pPr>
        <w:pStyle w:val="3"/>
        <w:numPr>
          <w:ilvl w:val="2"/>
          <w:numId w:val="68"/>
        </w:numPr>
        <w:tabs>
          <w:tab w:val="left" w:pos="858"/>
        </w:tabs>
        <w:spacing w:before="105"/>
        <w:ind w:hanging="734"/>
      </w:pPr>
      <w:bookmarkStart w:id="185" w:name="4.2.6._Encrypting_Properties"/>
      <w:bookmarkStart w:id="186" w:name="_Toc54423728"/>
      <w:bookmarkEnd w:id="185"/>
      <w:r>
        <w:rPr>
          <w:color w:val="333333"/>
          <w:w w:val="110"/>
        </w:rPr>
        <w:t>Encrypting</w:t>
      </w:r>
      <w:r>
        <w:rPr>
          <w:color w:val="333333"/>
          <w:spacing w:val="-6"/>
          <w:w w:val="110"/>
        </w:rPr>
        <w:t xml:space="preserve"> </w:t>
      </w:r>
      <w:r>
        <w:rPr>
          <w:color w:val="333333"/>
          <w:w w:val="110"/>
        </w:rPr>
        <w:t>Properties</w:t>
      </w:r>
      <w:bookmarkEnd w:id="186"/>
    </w:p>
    <w:p w14:paraId="7DA7F43F" w14:textId="77777777" w:rsidR="00A720EB" w:rsidRDefault="0030286B">
      <w:pPr>
        <w:pStyle w:val="a3"/>
        <w:spacing w:before="254" w:line="290" w:lineRule="auto"/>
        <w:ind w:left="124" w:right="122"/>
        <w:jc w:val="both"/>
      </w:pPr>
      <w:r>
        <w:rPr>
          <w:color w:val="333333"/>
          <w:w w:val="110"/>
        </w:rPr>
        <w:t xml:space="preserve">Spring Boot does not provide any </w:t>
      </w:r>
      <w:proofErr w:type="gramStart"/>
      <w:r>
        <w:rPr>
          <w:color w:val="333333"/>
          <w:w w:val="110"/>
        </w:rPr>
        <w:t>built in</w:t>
      </w:r>
      <w:proofErr w:type="gramEnd"/>
      <w:r>
        <w:rPr>
          <w:color w:val="333333"/>
          <w:w w:val="110"/>
        </w:rPr>
        <w:t xml:space="preserve"> support for encrypting property values, however, it does provide the hook points necessary to modify values contained in the Spring </w:t>
      </w:r>
      <w:r>
        <w:rPr>
          <w:rFonts w:ascii="MS Gothic"/>
          <w:color w:val="B02045"/>
          <w:w w:val="110"/>
        </w:rPr>
        <w:t>Environment</w:t>
      </w:r>
      <w:r>
        <w:rPr>
          <w:color w:val="333333"/>
          <w:w w:val="110"/>
        </w:rPr>
        <w:t xml:space="preserve">. The </w:t>
      </w:r>
      <w:r>
        <w:rPr>
          <w:rFonts w:ascii="MS Gothic"/>
          <w:color w:val="B02045"/>
          <w:w w:val="110"/>
        </w:rPr>
        <w:t>EnvironmentPostProcessor</w:t>
      </w:r>
      <w:r>
        <w:rPr>
          <w:rFonts w:ascii="MS Gothic"/>
          <w:color w:val="B02045"/>
          <w:spacing w:val="-83"/>
          <w:w w:val="110"/>
        </w:rPr>
        <w:t xml:space="preserve"> </w:t>
      </w:r>
      <w:r>
        <w:rPr>
          <w:color w:val="333333"/>
          <w:w w:val="110"/>
        </w:rPr>
        <w:t>interface</w:t>
      </w:r>
      <w:r>
        <w:rPr>
          <w:color w:val="333333"/>
          <w:spacing w:val="-18"/>
          <w:w w:val="110"/>
        </w:rPr>
        <w:t xml:space="preserve"> </w:t>
      </w:r>
      <w:r>
        <w:rPr>
          <w:color w:val="333333"/>
          <w:w w:val="110"/>
        </w:rPr>
        <w:t>allows</w:t>
      </w:r>
      <w:r>
        <w:rPr>
          <w:color w:val="333333"/>
          <w:spacing w:val="-19"/>
          <w:w w:val="110"/>
        </w:rPr>
        <w:t xml:space="preserve"> </w:t>
      </w:r>
      <w:r>
        <w:rPr>
          <w:color w:val="333333"/>
          <w:w w:val="110"/>
        </w:rPr>
        <w:t>you</w:t>
      </w:r>
      <w:r>
        <w:rPr>
          <w:color w:val="333333"/>
          <w:spacing w:val="-18"/>
          <w:w w:val="110"/>
        </w:rPr>
        <w:t xml:space="preserve"> </w:t>
      </w:r>
      <w:r>
        <w:rPr>
          <w:color w:val="333333"/>
          <w:w w:val="110"/>
        </w:rPr>
        <w:t>to</w:t>
      </w:r>
      <w:r>
        <w:rPr>
          <w:color w:val="333333"/>
          <w:spacing w:val="-18"/>
          <w:w w:val="110"/>
        </w:rPr>
        <w:t xml:space="preserve"> </w:t>
      </w:r>
      <w:r>
        <w:rPr>
          <w:color w:val="333333"/>
          <w:w w:val="110"/>
        </w:rPr>
        <w:t>manipulate</w:t>
      </w:r>
      <w:r>
        <w:rPr>
          <w:color w:val="333333"/>
          <w:spacing w:val="-18"/>
          <w:w w:val="110"/>
        </w:rPr>
        <w:t xml:space="preserve"> </w:t>
      </w:r>
      <w:r>
        <w:rPr>
          <w:color w:val="333333"/>
          <w:w w:val="110"/>
        </w:rPr>
        <w:t>the</w:t>
      </w:r>
      <w:r>
        <w:rPr>
          <w:color w:val="333333"/>
          <w:spacing w:val="-14"/>
          <w:w w:val="110"/>
        </w:rPr>
        <w:t xml:space="preserve"> </w:t>
      </w:r>
      <w:r>
        <w:rPr>
          <w:rFonts w:ascii="MS Gothic"/>
          <w:color w:val="B02045"/>
          <w:w w:val="110"/>
        </w:rPr>
        <w:t>Environment</w:t>
      </w:r>
      <w:r>
        <w:rPr>
          <w:rFonts w:ascii="MS Gothic"/>
          <w:color w:val="B02045"/>
          <w:spacing w:val="-83"/>
          <w:w w:val="110"/>
        </w:rPr>
        <w:t xml:space="preserve"> </w:t>
      </w:r>
      <w:r>
        <w:rPr>
          <w:color w:val="333333"/>
          <w:w w:val="110"/>
        </w:rPr>
        <w:t>before</w:t>
      </w:r>
      <w:r>
        <w:rPr>
          <w:color w:val="333333"/>
          <w:spacing w:val="-18"/>
          <w:w w:val="110"/>
        </w:rPr>
        <w:t xml:space="preserve"> </w:t>
      </w:r>
      <w:r>
        <w:rPr>
          <w:color w:val="333333"/>
          <w:w w:val="110"/>
        </w:rPr>
        <w:t>the</w:t>
      </w:r>
      <w:r>
        <w:rPr>
          <w:color w:val="333333"/>
          <w:spacing w:val="-18"/>
          <w:w w:val="110"/>
        </w:rPr>
        <w:t xml:space="preserve"> </w:t>
      </w:r>
      <w:r>
        <w:rPr>
          <w:color w:val="333333"/>
          <w:w w:val="110"/>
        </w:rPr>
        <w:t xml:space="preserve">application starts. See </w:t>
      </w:r>
      <w:hyperlink w:anchor="_bookmark529" w:history="1">
        <w:r>
          <w:rPr>
            <w:color w:val="418BCA"/>
            <w:w w:val="110"/>
          </w:rPr>
          <w:t xml:space="preserve">Customize the Environment or ApplicationContext Before It Starts </w:t>
        </w:r>
      </w:hyperlink>
      <w:r>
        <w:rPr>
          <w:color w:val="333333"/>
          <w:w w:val="110"/>
        </w:rPr>
        <w:t>for</w:t>
      </w:r>
      <w:r>
        <w:rPr>
          <w:color w:val="333333"/>
          <w:spacing w:val="41"/>
          <w:w w:val="110"/>
        </w:rPr>
        <w:t xml:space="preserve"> </w:t>
      </w:r>
      <w:r>
        <w:rPr>
          <w:color w:val="333333"/>
          <w:w w:val="110"/>
        </w:rPr>
        <w:t>details.</w:t>
      </w:r>
    </w:p>
    <w:p w14:paraId="2F5200C9" w14:textId="77777777" w:rsidR="00A720EB" w:rsidRDefault="00A720EB">
      <w:pPr>
        <w:pStyle w:val="a3"/>
        <w:spacing w:before="9"/>
      </w:pPr>
    </w:p>
    <w:p w14:paraId="77F4E812" w14:textId="77777777" w:rsidR="00A720EB" w:rsidRDefault="0030286B">
      <w:pPr>
        <w:pStyle w:val="a3"/>
        <w:spacing w:line="307" w:lineRule="auto"/>
        <w:ind w:left="124" w:right="123"/>
        <w:jc w:val="both"/>
      </w:pPr>
      <w:r>
        <w:rPr>
          <w:color w:val="333333"/>
          <w:w w:val="110"/>
        </w:rPr>
        <w:t xml:space="preserve">If you’re looking for a secure way to store credentials and passwords, the </w:t>
      </w:r>
      <w:hyperlink r:id="rId101">
        <w:r>
          <w:rPr>
            <w:color w:val="418BCA"/>
            <w:w w:val="110"/>
          </w:rPr>
          <w:t xml:space="preserve">Spring Cloud Vault </w:t>
        </w:r>
      </w:hyperlink>
      <w:r>
        <w:rPr>
          <w:color w:val="333333"/>
          <w:w w:val="110"/>
        </w:rPr>
        <w:t xml:space="preserve">project provides support for storing externalized configuration in </w:t>
      </w:r>
      <w:hyperlink r:id="rId102">
        <w:r>
          <w:rPr>
            <w:color w:val="418BCA"/>
            <w:w w:val="110"/>
          </w:rPr>
          <w:t>HashiCorp Vault</w:t>
        </w:r>
      </w:hyperlink>
      <w:r>
        <w:rPr>
          <w:color w:val="333333"/>
          <w:w w:val="110"/>
        </w:rPr>
        <w:t>.</w:t>
      </w:r>
    </w:p>
    <w:p w14:paraId="0977FE91" w14:textId="77777777" w:rsidR="00A720EB" w:rsidRDefault="00A720EB">
      <w:pPr>
        <w:pStyle w:val="a3"/>
        <w:spacing w:before="9"/>
        <w:rPr>
          <w:sz w:val="25"/>
        </w:rPr>
      </w:pPr>
    </w:p>
    <w:p w14:paraId="5B6DB640" w14:textId="77777777" w:rsidR="00A720EB" w:rsidRDefault="0030286B">
      <w:pPr>
        <w:pStyle w:val="3"/>
        <w:numPr>
          <w:ilvl w:val="2"/>
          <w:numId w:val="68"/>
        </w:numPr>
        <w:tabs>
          <w:tab w:val="left" w:pos="858"/>
        </w:tabs>
        <w:ind w:hanging="734"/>
      </w:pPr>
      <w:bookmarkStart w:id="187" w:name="4.2.7._Using_YAML_Instead_of_Properties"/>
      <w:bookmarkStart w:id="188" w:name="_Toc54423729"/>
      <w:bookmarkEnd w:id="187"/>
      <w:r>
        <w:rPr>
          <w:color w:val="333333"/>
          <w:w w:val="110"/>
        </w:rPr>
        <w:t xml:space="preserve">Using </w:t>
      </w:r>
      <w:r>
        <w:rPr>
          <w:color w:val="333333"/>
          <w:spacing w:val="-6"/>
          <w:w w:val="110"/>
        </w:rPr>
        <w:t xml:space="preserve">YAML </w:t>
      </w:r>
      <w:r>
        <w:rPr>
          <w:color w:val="333333"/>
          <w:w w:val="110"/>
        </w:rPr>
        <w:t>Instead of</w:t>
      </w:r>
      <w:r>
        <w:rPr>
          <w:color w:val="333333"/>
          <w:spacing w:val="-20"/>
          <w:w w:val="110"/>
        </w:rPr>
        <w:t xml:space="preserve"> </w:t>
      </w:r>
      <w:r>
        <w:rPr>
          <w:color w:val="333333"/>
          <w:w w:val="110"/>
        </w:rPr>
        <w:t>Properties</w:t>
      </w:r>
      <w:bookmarkEnd w:id="188"/>
    </w:p>
    <w:p w14:paraId="1AF58A39" w14:textId="77777777" w:rsidR="00A720EB" w:rsidRDefault="00E10349">
      <w:pPr>
        <w:pStyle w:val="a3"/>
        <w:spacing w:before="254" w:line="295" w:lineRule="auto"/>
        <w:ind w:left="124" w:right="128"/>
        <w:jc w:val="both"/>
      </w:pPr>
      <w:hyperlink r:id="rId103">
        <w:r w:rsidR="0030286B">
          <w:rPr>
            <w:color w:val="418BCA"/>
            <w:w w:val="110"/>
          </w:rPr>
          <w:t>YAML</w:t>
        </w:r>
      </w:hyperlink>
      <w:r w:rsidR="0030286B">
        <w:rPr>
          <w:color w:val="418BCA"/>
          <w:w w:val="110"/>
        </w:rPr>
        <w:t xml:space="preserve"> </w:t>
      </w:r>
      <w:r w:rsidR="0030286B">
        <w:rPr>
          <w:color w:val="333333"/>
          <w:w w:val="110"/>
        </w:rPr>
        <w:t xml:space="preserve">is a superset of JSON and, as such, is a convenient format for specifying </w:t>
      </w:r>
      <w:proofErr w:type="gramStart"/>
      <w:r w:rsidR="0030286B">
        <w:rPr>
          <w:color w:val="333333"/>
          <w:w w:val="110"/>
        </w:rPr>
        <w:t>hierarchical  configuration</w:t>
      </w:r>
      <w:proofErr w:type="gramEnd"/>
      <w:r w:rsidR="0030286B">
        <w:rPr>
          <w:color w:val="333333"/>
          <w:w w:val="110"/>
        </w:rPr>
        <w:t xml:space="preserve"> data. The </w:t>
      </w:r>
      <w:r w:rsidR="0030286B">
        <w:rPr>
          <w:rFonts w:ascii="MS Gothic"/>
          <w:color w:val="B02045"/>
          <w:w w:val="110"/>
        </w:rPr>
        <w:t xml:space="preserve">SpringApplication </w:t>
      </w:r>
      <w:r w:rsidR="0030286B">
        <w:rPr>
          <w:color w:val="333333"/>
          <w:w w:val="110"/>
        </w:rPr>
        <w:t xml:space="preserve">class automatically supports YAML as an alternative to properties whenever you have the </w:t>
      </w:r>
      <w:hyperlink r:id="rId104">
        <w:r w:rsidR="0030286B">
          <w:rPr>
            <w:color w:val="418BCA"/>
            <w:w w:val="110"/>
          </w:rPr>
          <w:t xml:space="preserve">SnakeYAML </w:t>
        </w:r>
      </w:hyperlink>
      <w:r w:rsidR="0030286B">
        <w:rPr>
          <w:color w:val="333333"/>
          <w:w w:val="110"/>
        </w:rPr>
        <w:t>library on your classpath.</w:t>
      </w:r>
    </w:p>
    <w:p w14:paraId="58C45F6F" w14:textId="77777777" w:rsidR="00A720EB" w:rsidRDefault="00A720EB">
      <w:pPr>
        <w:pStyle w:val="a3"/>
        <w:spacing w:before="3"/>
        <w:rPr>
          <w:sz w:val="27"/>
        </w:rPr>
      </w:pPr>
    </w:p>
    <w:p w14:paraId="008DFE0B" w14:textId="77777777" w:rsidR="00A720EB" w:rsidRDefault="00E10349">
      <w:pPr>
        <w:pStyle w:val="a3"/>
        <w:spacing w:line="280" w:lineRule="auto"/>
        <w:ind w:left="1564" w:right="462"/>
      </w:pPr>
      <w:r>
        <w:pict w14:anchorId="6DD390BE">
          <v:line id="_x0000_s4619" style="position:absolute;left:0;text-align:left;z-index:15843840;mso-position-horizontal-relative:page" from="108.25pt,-5.45pt" to="108.25pt,34.1pt" strokecolor="#ededed" strokeweight=".5pt">
            <w10:wrap anchorx="page"/>
          </v:line>
        </w:pict>
      </w:r>
      <w:r w:rsidR="0030286B">
        <w:rPr>
          <w:noProof/>
        </w:rPr>
        <w:drawing>
          <wp:anchor distT="0" distB="0" distL="0" distR="0" simplePos="0" relativeHeight="15844352" behindDoc="0" locked="0" layoutInCell="1" allowOverlap="1" wp14:anchorId="6864AC3A" wp14:editId="793019CA">
            <wp:simplePos x="0" y="0"/>
            <wp:positionH relativeFrom="page">
              <wp:posOffset>844422</wp:posOffset>
            </wp:positionH>
            <wp:positionV relativeFrom="paragraph">
              <wp:posOffset>32588</wp:posOffset>
            </wp:positionV>
            <wp:extent cx="298450" cy="298450"/>
            <wp:effectExtent l="0" t="0" r="0" b="0"/>
            <wp:wrapNone/>
            <wp:docPr id="1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use “Starters”, SnakeYAML is automatically provided by </w:t>
      </w:r>
      <w:r w:rsidR="0030286B">
        <w:rPr>
          <w:rFonts w:ascii="MS Gothic" w:hAnsi="MS Gothic"/>
          <w:color w:val="B02045"/>
          <w:w w:val="110"/>
        </w:rPr>
        <w:t>spring-boot- starter</w:t>
      </w:r>
      <w:r w:rsidR="0030286B">
        <w:rPr>
          <w:color w:val="333333"/>
          <w:w w:val="110"/>
        </w:rPr>
        <w:t>.</w:t>
      </w:r>
    </w:p>
    <w:p w14:paraId="6257A1DE" w14:textId="77777777" w:rsidR="00A720EB" w:rsidRDefault="00A720EB">
      <w:pPr>
        <w:pStyle w:val="a3"/>
        <w:spacing w:before="5"/>
        <w:rPr>
          <w:sz w:val="33"/>
        </w:rPr>
      </w:pPr>
    </w:p>
    <w:p w14:paraId="56E9B27E" w14:textId="77777777" w:rsidR="00A720EB" w:rsidRDefault="0030286B">
      <w:pPr>
        <w:pStyle w:val="4"/>
      </w:pPr>
      <w:bookmarkStart w:id="189" w:name="Loading_YAML"/>
      <w:bookmarkEnd w:id="189"/>
      <w:r>
        <w:rPr>
          <w:color w:val="333333"/>
          <w:w w:val="105"/>
        </w:rPr>
        <w:t>Loading YAML</w:t>
      </w:r>
    </w:p>
    <w:p w14:paraId="5E715FD7" w14:textId="77777777" w:rsidR="00A720EB" w:rsidRDefault="00A720EB">
      <w:pPr>
        <w:pStyle w:val="a3"/>
        <w:spacing w:before="11"/>
        <w:rPr>
          <w:rFonts w:ascii="Palatino Linotype"/>
          <w:b/>
          <w:sz w:val="18"/>
        </w:rPr>
      </w:pPr>
    </w:p>
    <w:p w14:paraId="3E76B3AA" w14:textId="77777777" w:rsidR="00A720EB" w:rsidRDefault="0030286B">
      <w:pPr>
        <w:pStyle w:val="a3"/>
        <w:spacing w:line="290" w:lineRule="auto"/>
        <w:ind w:left="124" w:right="122"/>
        <w:jc w:val="both"/>
      </w:pPr>
      <w:r>
        <w:rPr>
          <w:color w:val="333333"/>
          <w:w w:val="110"/>
        </w:rPr>
        <w:t xml:space="preserve">Spring Framework provides two convenient classes that can be used to load </w:t>
      </w:r>
      <w:r>
        <w:rPr>
          <w:color w:val="333333"/>
          <w:spacing w:val="-5"/>
          <w:w w:val="110"/>
        </w:rPr>
        <w:t xml:space="preserve">YAML </w:t>
      </w:r>
      <w:r>
        <w:rPr>
          <w:color w:val="333333"/>
          <w:w w:val="110"/>
        </w:rPr>
        <w:t xml:space="preserve">documents. The </w:t>
      </w:r>
      <w:r>
        <w:rPr>
          <w:rFonts w:ascii="MS Gothic"/>
          <w:color w:val="B02045"/>
          <w:w w:val="110"/>
        </w:rPr>
        <w:t>YamlPropertiesFactoryBean</w:t>
      </w:r>
      <w:r>
        <w:rPr>
          <w:rFonts w:ascii="MS Gothic"/>
          <w:color w:val="B02045"/>
          <w:spacing w:val="-76"/>
          <w:w w:val="110"/>
        </w:rPr>
        <w:t xml:space="preserve"> </w:t>
      </w:r>
      <w:r>
        <w:rPr>
          <w:color w:val="333333"/>
          <w:w w:val="110"/>
        </w:rPr>
        <w:t>loads</w:t>
      </w:r>
      <w:r>
        <w:rPr>
          <w:color w:val="333333"/>
          <w:spacing w:val="-11"/>
          <w:w w:val="110"/>
        </w:rPr>
        <w:t xml:space="preserve"> </w:t>
      </w:r>
      <w:r>
        <w:rPr>
          <w:color w:val="333333"/>
          <w:spacing w:val="-5"/>
          <w:w w:val="110"/>
        </w:rPr>
        <w:t>YAML</w:t>
      </w:r>
      <w:r>
        <w:rPr>
          <w:color w:val="333333"/>
          <w:spacing w:val="-12"/>
          <w:w w:val="110"/>
        </w:rPr>
        <w:t xml:space="preserve"> </w:t>
      </w:r>
      <w:r>
        <w:rPr>
          <w:color w:val="333333"/>
          <w:w w:val="110"/>
        </w:rPr>
        <w:t>as</w:t>
      </w:r>
      <w:r>
        <w:rPr>
          <w:color w:val="333333"/>
          <w:spacing w:val="-11"/>
          <w:w w:val="110"/>
        </w:rPr>
        <w:t xml:space="preserve"> </w:t>
      </w:r>
      <w:r>
        <w:rPr>
          <w:rFonts w:ascii="MS Gothic"/>
          <w:color w:val="B02045"/>
          <w:w w:val="110"/>
        </w:rPr>
        <w:t>Properties</w:t>
      </w:r>
      <w:r>
        <w:rPr>
          <w:rFonts w:ascii="MS Gothic"/>
          <w:color w:val="B02045"/>
          <w:spacing w:val="-76"/>
          <w:w w:val="110"/>
        </w:rPr>
        <w:t xml:space="preserve"> </w:t>
      </w:r>
      <w:r>
        <w:rPr>
          <w:color w:val="333333"/>
          <w:w w:val="110"/>
        </w:rPr>
        <w:t>and</w:t>
      </w:r>
      <w:r>
        <w:rPr>
          <w:color w:val="333333"/>
          <w:spacing w:val="-11"/>
          <w:w w:val="110"/>
        </w:rPr>
        <w:t xml:space="preserve"> </w:t>
      </w:r>
      <w:r>
        <w:rPr>
          <w:color w:val="333333"/>
          <w:w w:val="110"/>
        </w:rPr>
        <w:t>the</w:t>
      </w:r>
      <w:r>
        <w:rPr>
          <w:color w:val="333333"/>
          <w:spacing w:val="-11"/>
          <w:w w:val="110"/>
        </w:rPr>
        <w:t xml:space="preserve"> </w:t>
      </w:r>
      <w:r>
        <w:rPr>
          <w:rFonts w:ascii="MS Gothic"/>
          <w:color w:val="B02045"/>
          <w:w w:val="110"/>
        </w:rPr>
        <w:t>YamlMapFactoryBean</w:t>
      </w:r>
      <w:r>
        <w:rPr>
          <w:rFonts w:ascii="MS Gothic"/>
          <w:color w:val="B02045"/>
          <w:spacing w:val="-75"/>
          <w:w w:val="110"/>
        </w:rPr>
        <w:t xml:space="preserve"> </w:t>
      </w:r>
      <w:r>
        <w:rPr>
          <w:color w:val="333333"/>
          <w:w w:val="110"/>
        </w:rPr>
        <w:t>loads</w:t>
      </w:r>
      <w:r>
        <w:rPr>
          <w:color w:val="333333"/>
          <w:spacing w:val="-12"/>
          <w:w w:val="110"/>
        </w:rPr>
        <w:t xml:space="preserve"> </w:t>
      </w:r>
      <w:r>
        <w:rPr>
          <w:color w:val="333333"/>
          <w:spacing w:val="-5"/>
          <w:w w:val="110"/>
        </w:rPr>
        <w:t>YAML</w:t>
      </w:r>
      <w:r>
        <w:rPr>
          <w:color w:val="333333"/>
          <w:spacing w:val="-11"/>
          <w:w w:val="110"/>
        </w:rPr>
        <w:t xml:space="preserve"> </w:t>
      </w:r>
      <w:r>
        <w:rPr>
          <w:color w:val="333333"/>
          <w:w w:val="110"/>
        </w:rPr>
        <w:t>as</w:t>
      </w:r>
      <w:r>
        <w:rPr>
          <w:color w:val="333333"/>
          <w:spacing w:val="-11"/>
          <w:w w:val="110"/>
        </w:rPr>
        <w:t xml:space="preserve"> </w:t>
      </w:r>
      <w:r>
        <w:rPr>
          <w:color w:val="333333"/>
          <w:w w:val="110"/>
        </w:rPr>
        <w:t xml:space="preserve">a </w:t>
      </w:r>
      <w:r>
        <w:rPr>
          <w:rFonts w:ascii="MS Gothic"/>
          <w:color w:val="B02045"/>
          <w:w w:val="110"/>
        </w:rPr>
        <w:t>Map</w:t>
      </w:r>
      <w:r>
        <w:rPr>
          <w:color w:val="333333"/>
          <w:w w:val="110"/>
        </w:rPr>
        <w:t>.</w:t>
      </w:r>
    </w:p>
    <w:p w14:paraId="6AD7648F" w14:textId="77777777" w:rsidR="00A720EB" w:rsidRDefault="0030286B">
      <w:pPr>
        <w:pStyle w:val="a3"/>
        <w:spacing w:before="238"/>
        <w:ind w:left="124"/>
        <w:jc w:val="both"/>
      </w:pPr>
      <w:r>
        <w:rPr>
          <w:color w:val="333333"/>
          <w:w w:val="110"/>
        </w:rPr>
        <w:t>For example, consider the following YAML document:</w:t>
      </w:r>
    </w:p>
    <w:p w14:paraId="6439C00D" w14:textId="77777777" w:rsidR="00A720EB" w:rsidRDefault="00E10349">
      <w:pPr>
        <w:pStyle w:val="a3"/>
        <w:rPr>
          <w:sz w:val="19"/>
        </w:rPr>
      </w:pPr>
      <w:r>
        <w:pict w14:anchorId="455A49BA">
          <v:group id="_x0000_s4615" style="position:absolute;margin-left:47.85pt;margin-top:13.15pt;width:499.55pt;height:125.95pt;z-index:-15614976;mso-wrap-distance-left:0;mso-wrap-distance-right:0;mso-position-horizontal-relative:page" coordorigin="957,263" coordsize="9991,2519">
            <v:shape id="_x0000_s4618" style="position:absolute;left:964;top:270;width:9976;height:2504" coordorigin="965,270" coordsize="9976,2504" path="m10861,270r-9816,l1014,276r-26,18l971,319r-6,31l965,2694r6,31l988,2750r26,17l1045,2774r9816,l10892,2767r25,-17l10935,2725r6,-31l10941,350r-6,-31l10917,294r-25,-18l10861,270xe" fillcolor="#f5f5f5" stroked="f">
              <v:path arrowok="t"/>
            </v:shape>
            <v:shape id="_x0000_s4617" style="position:absolute;left:964;top:270;width:9976;height:2504" coordorigin="965,270" coordsize="9976,2504" path="m1045,270r9816,l10892,276r25,18l10935,319r6,31l10941,2694r-6,31l10917,2750r-25,17l10861,2774r-9816,l1014,2767r-26,-17l971,2725r-6,-31l965,350r6,-31l988,294r26,-18l1045,270xe" filled="f" strokecolor="#ccc">
              <v:path arrowok="t"/>
            </v:shape>
            <v:shape id="_x0000_s4616" type="#_x0000_t202" style="position:absolute;left:984;top:285;width:9938;height:2473" filled="f" stroked="f">
              <v:textbox inset="0,0,0,0">
                <w:txbxContent>
                  <w:p w14:paraId="11040C20" w14:textId="77777777" w:rsidR="00711A16" w:rsidRDefault="00711A16">
                    <w:pPr>
                      <w:spacing w:before="221" w:line="252" w:lineRule="auto"/>
                      <w:ind w:left="640" w:right="8288" w:hanging="440"/>
                      <w:rPr>
                        <w:rFonts w:ascii="MS Gothic"/>
                      </w:rPr>
                    </w:pPr>
                    <w:r>
                      <w:rPr>
                        <w:rFonts w:ascii="MS Gothic"/>
                        <w:color w:val="333333"/>
                      </w:rPr>
                      <w:t>environments: dev:</w:t>
                    </w:r>
                  </w:p>
                  <w:p w14:paraId="6351E06B" w14:textId="77777777" w:rsidR="00711A16" w:rsidRDefault="00711A16">
                    <w:pPr>
                      <w:spacing w:line="252" w:lineRule="auto"/>
                      <w:ind w:left="1080" w:right="5758"/>
                      <w:rPr>
                        <w:rFonts w:ascii="MS Gothic"/>
                      </w:rPr>
                    </w:pPr>
                    <w:r>
                      <w:rPr>
                        <w:rFonts w:ascii="MS Gothic"/>
                        <w:color w:val="333333"/>
                      </w:rPr>
                      <w:t>url: https://dev.example.com name: Developer Setup</w:t>
                    </w:r>
                  </w:p>
                  <w:p w14:paraId="571B5CEF" w14:textId="77777777" w:rsidR="00711A16" w:rsidRDefault="00711A16">
                    <w:pPr>
                      <w:spacing w:line="280" w:lineRule="exact"/>
                      <w:ind w:left="640"/>
                      <w:rPr>
                        <w:rFonts w:ascii="MS Gothic"/>
                      </w:rPr>
                    </w:pPr>
                    <w:r>
                      <w:rPr>
                        <w:rFonts w:ascii="MS Gothic"/>
                        <w:color w:val="333333"/>
                      </w:rPr>
                      <w:t>prod:</w:t>
                    </w:r>
                  </w:p>
                  <w:p w14:paraId="4FC92486" w14:textId="77777777" w:rsidR="00711A16" w:rsidRDefault="00711A16">
                    <w:pPr>
                      <w:spacing w:before="10" w:line="252" w:lineRule="auto"/>
                      <w:ind w:left="1080" w:right="5318"/>
                      <w:rPr>
                        <w:rFonts w:ascii="MS Gothic"/>
                      </w:rPr>
                    </w:pPr>
                    <w:r>
                      <w:rPr>
                        <w:rFonts w:ascii="MS Gothic"/>
                        <w:color w:val="333333"/>
                      </w:rPr>
                      <w:t>url: https://another.example.com name: My Cool App</w:t>
                    </w:r>
                  </w:p>
                </w:txbxContent>
              </v:textbox>
            </v:shape>
            <w10:wrap type="topAndBottom" anchorx="page"/>
          </v:group>
        </w:pict>
      </w:r>
    </w:p>
    <w:p w14:paraId="1689A78A" w14:textId="77777777" w:rsidR="00A720EB" w:rsidRDefault="00A720EB">
      <w:pPr>
        <w:pStyle w:val="a3"/>
        <w:rPr>
          <w:sz w:val="10"/>
        </w:rPr>
      </w:pPr>
    </w:p>
    <w:p w14:paraId="39ED136D" w14:textId="77777777" w:rsidR="00A720EB" w:rsidRDefault="0030286B">
      <w:pPr>
        <w:pStyle w:val="a3"/>
        <w:spacing w:before="125"/>
        <w:ind w:left="124"/>
      </w:pPr>
      <w:r>
        <w:rPr>
          <w:color w:val="333333"/>
          <w:w w:val="110"/>
        </w:rPr>
        <w:t>The preceding example would be transformed into the following properties:</w:t>
      </w:r>
    </w:p>
    <w:p w14:paraId="570F2293" w14:textId="77777777" w:rsidR="00A720EB" w:rsidRDefault="00A720EB">
      <w:pPr>
        <w:sectPr w:rsidR="00A720EB">
          <w:pgSz w:w="11910" w:h="16840"/>
          <w:pgMar w:top="700" w:right="840" w:bottom="520" w:left="840" w:header="0" w:footer="323" w:gutter="0"/>
          <w:cols w:space="720"/>
        </w:sectPr>
      </w:pPr>
    </w:p>
    <w:p w14:paraId="7AAE4368" w14:textId="77777777" w:rsidR="00A720EB" w:rsidRDefault="00E10349">
      <w:pPr>
        <w:pStyle w:val="a3"/>
        <w:ind w:left="116"/>
        <w:rPr>
          <w:sz w:val="20"/>
        </w:rPr>
      </w:pPr>
      <w:r>
        <w:rPr>
          <w:sz w:val="20"/>
        </w:rPr>
      </w:r>
      <w:r>
        <w:rPr>
          <w:sz w:val="20"/>
        </w:rPr>
        <w:pict w14:anchorId="16B318FE">
          <v:group id="_x0000_s4611" style="width:499.55pt;height:81.75pt;mso-position-horizontal-relative:char;mso-position-vertical-relative:line" coordsize="9991,1635">
            <v:shape id="_x0000_s4614" style="position:absolute;left:7;top:7;width:9976;height:1620" coordorigin="8,8" coordsize="9976,1620" path="m9904,8l88,8,56,14,31,31,14,56,8,88r,1459l14,1578r17,25l56,1620r32,7l9904,1627r31,-7l9960,1603r17,-25l9984,1547r,-1459l9977,56,9960,31,9935,14,9904,8xe" fillcolor="#f5f5f5" stroked="f">
              <v:path arrowok="t"/>
            </v:shape>
            <v:shape id="_x0000_s4613" style="position:absolute;left:7;top:7;width:9976;height:1620" coordorigin="8,8" coordsize="9976,1620" path="m88,8r9816,l9935,14r25,17l9977,56r7,32l9984,1547r-7,31l9960,1603r-25,17l9904,1627r-9816,l56,1620,31,1603,14,1578,8,1547,8,88,14,56,31,31,56,14,88,8xe" filled="f" strokecolor="#ccc">
              <v:path arrowok="t"/>
            </v:shape>
            <v:shape id="_x0000_s4612" type="#_x0000_t202" style="position:absolute;left:26;top:22;width:9938;height:1589" filled="f" stroked="f">
              <v:textbox inset="0,0,0,0">
                <w:txbxContent>
                  <w:p w14:paraId="5C2B601F" w14:textId="77777777" w:rsidR="00711A16" w:rsidRDefault="00711A16">
                    <w:pPr>
                      <w:spacing w:before="221" w:line="252" w:lineRule="auto"/>
                      <w:ind w:left="200" w:right="4328"/>
                      <w:rPr>
                        <w:rFonts w:ascii="MS Gothic"/>
                      </w:rPr>
                    </w:pPr>
                    <w:r>
                      <w:rPr>
                        <w:rFonts w:ascii="MS Gothic"/>
                        <w:color w:val="333333"/>
                      </w:rPr>
                      <w:t>environments.dev.url=https://dev.example.com environments.dev.name=Developer Setup environments.prod.url=https://another.example.com environments.prod.name=My Cool App</w:t>
                    </w:r>
                  </w:p>
                </w:txbxContent>
              </v:textbox>
            </v:shape>
            <w10:anchorlock/>
          </v:group>
        </w:pict>
      </w:r>
    </w:p>
    <w:p w14:paraId="0A5CDD1A" w14:textId="77777777" w:rsidR="00A720EB" w:rsidRDefault="00A720EB">
      <w:pPr>
        <w:pStyle w:val="a3"/>
        <w:spacing w:before="11"/>
        <w:rPr>
          <w:sz w:val="8"/>
        </w:rPr>
      </w:pPr>
    </w:p>
    <w:p w14:paraId="279AECB6" w14:textId="77777777" w:rsidR="00A720EB" w:rsidRDefault="0030286B">
      <w:pPr>
        <w:pStyle w:val="a3"/>
        <w:spacing w:before="116" w:line="290" w:lineRule="auto"/>
        <w:ind w:left="124"/>
      </w:pPr>
      <w:r>
        <w:rPr>
          <w:color w:val="333333"/>
          <w:w w:val="110"/>
        </w:rPr>
        <w:t xml:space="preserve">YAML lists are represented as property keys with </w:t>
      </w:r>
      <w:r>
        <w:rPr>
          <w:rFonts w:ascii="MS Gothic"/>
          <w:color w:val="B02045"/>
          <w:w w:val="110"/>
        </w:rPr>
        <w:t xml:space="preserve">[index] </w:t>
      </w:r>
      <w:r>
        <w:rPr>
          <w:color w:val="333333"/>
          <w:w w:val="110"/>
        </w:rPr>
        <w:t>dereferencers. For example, consider the following YAML:</w:t>
      </w:r>
    </w:p>
    <w:p w14:paraId="7D77D9C8" w14:textId="77777777" w:rsidR="00A720EB" w:rsidRDefault="00E10349">
      <w:pPr>
        <w:pStyle w:val="a3"/>
        <w:spacing w:before="7"/>
        <w:rPr>
          <w:sz w:val="14"/>
        </w:rPr>
      </w:pPr>
      <w:r>
        <w:pict w14:anchorId="6FD286B0">
          <v:group id="_x0000_s4607" style="position:absolute;margin-left:47.85pt;margin-top:10.55pt;width:499.55pt;height:81.75pt;z-index:-15611904;mso-wrap-distance-left:0;mso-wrap-distance-right:0;mso-position-horizontal-relative:page" coordorigin="957,211" coordsize="9991,1635">
            <v:shape id="_x0000_s4610" style="position:absolute;left:964;top:218;width:9976;height:1620" coordorigin="965,218" coordsize="9976,1620" path="m10861,218r-9816,l1014,225r-26,17l971,267r-6,31l965,1758r6,31l988,1814r26,17l1045,1838r9816,l10892,1831r25,-17l10935,1789r6,-31l10941,298r-6,-31l10917,242r-25,-17l10861,218xe" fillcolor="#f5f5f5" stroked="f">
              <v:path arrowok="t"/>
            </v:shape>
            <v:shape id="_x0000_s4609" style="position:absolute;left:964;top:218;width:9976;height:1620" coordorigin="965,218" coordsize="9976,1620" path="m1045,218r9816,l10892,225r25,17l10935,267r6,31l10941,1758r-6,31l10917,1814r-25,17l10861,1838r-9816,l1014,1831r-26,-17l971,1789r-6,-31l965,298r6,-31l988,242r26,-17l1045,218xe" filled="f" strokecolor="#ccc">
              <v:path arrowok="t"/>
            </v:shape>
            <v:shape id="_x0000_s4608" type="#_x0000_t202" style="position:absolute;left:984;top:233;width:9938;height:1589" filled="f" stroked="f">
              <v:textbox inset="0,0,0,0">
                <w:txbxContent>
                  <w:p w14:paraId="101F987F" w14:textId="77777777" w:rsidR="00711A16" w:rsidRDefault="00711A16">
                    <w:pPr>
                      <w:spacing w:before="221"/>
                      <w:ind w:left="200"/>
                      <w:rPr>
                        <w:rFonts w:ascii="MS Gothic"/>
                      </w:rPr>
                    </w:pPr>
                    <w:r>
                      <w:rPr>
                        <w:rFonts w:ascii="MS Gothic"/>
                        <w:color w:val="333333"/>
                      </w:rPr>
                      <w:t>my:</w:t>
                    </w:r>
                  </w:p>
                  <w:p w14:paraId="2729F5DD" w14:textId="77777777" w:rsidR="00711A16" w:rsidRDefault="00711A16">
                    <w:pPr>
                      <w:spacing w:before="13"/>
                      <w:ind w:left="530"/>
                      <w:rPr>
                        <w:rFonts w:ascii="MS Gothic"/>
                      </w:rPr>
                    </w:pPr>
                    <w:r>
                      <w:rPr>
                        <w:rFonts w:ascii="MS Gothic"/>
                        <w:color w:val="333333"/>
                      </w:rPr>
                      <w:t>servers:</w:t>
                    </w:r>
                  </w:p>
                  <w:p w14:paraId="0FC9DBD5" w14:textId="77777777" w:rsidR="00711A16" w:rsidRDefault="00711A16">
                    <w:pPr>
                      <w:numPr>
                        <w:ilvl w:val="0"/>
                        <w:numId w:val="61"/>
                      </w:numPr>
                      <w:tabs>
                        <w:tab w:val="left" w:pos="1191"/>
                      </w:tabs>
                      <w:spacing w:before="13"/>
                      <w:ind w:hanging="221"/>
                      <w:rPr>
                        <w:rFonts w:ascii="MS Gothic"/>
                      </w:rPr>
                    </w:pPr>
                    <w:r>
                      <w:rPr>
                        <w:rFonts w:ascii="MS Gothic"/>
                        <w:color w:val="333333"/>
                      </w:rPr>
                      <w:t>dev.example.com</w:t>
                    </w:r>
                  </w:p>
                  <w:p w14:paraId="4E0324DD" w14:textId="77777777" w:rsidR="00711A16" w:rsidRDefault="00711A16">
                    <w:pPr>
                      <w:numPr>
                        <w:ilvl w:val="0"/>
                        <w:numId w:val="61"/>
                      </w:numPr>
                      <w:tabs>
                        <w:tab w:val="left" w:pos="1191"/>
                      </w:tabs>
                      <w:spacing w:before="13"/>
                      <w:ind w:hanging="221"/>
                      <w:rPr>
                        <w:rFonts w:ascii="MS Gothic"/>
                      </w:rPr>
                    </w:pPr>
                    <w:r>
                      <w:rPr>
                        <w:rFonts w:ascii="MS Gothic"/>
                        <w:color w:val="333333"/>
                      </w:rPr>
                      <w:t>another.example.com</w:t>
                    </w:r>
                  </w:p>
                </w:txbxContent>
              </v:textbox>
            </v:shape>
            <w10:wrap type="topAndBottom" anchorx="page"/>
          </v:group>
        </w:pict>
      </w:r>
    </w:p>
    <w:p w14:paraId="79EABB6C" w14:textId="77777777" w:rsidR="00A720EB" w:rsidRDefault="00A720EB">
      <w:pPr>
        <w:pStyle w:val="a3"/>
        <w:rPr>
          <w:sz w:val="10"/>
        </w:rPr>
      </w:pPr>
    </w:p>
    <w:p w14:paraId="3D25227C" w14:textId="77777777" w:rsidR="00A720EB" w:rsidRDefault="0030286B">
      <w:pPr>
        <w:pStyle w:val="a3"/>
        <w:spacing w:before="125"/>
        <w:ind w:left="124"/>
      </w:pPr>
      <w:r>
        <w:rPr>
          <w:color w:val="333333"/>
          <w:w w:val="110"/>
        </w:rPr>
        <w:t>The preceding example would be transformed into these properties:</w:t>
      </w:r>
    </w:p>
    <w:p w14:paraId="54A8B973" w14:textId="77777777" w:rsidR="00A720EB" w:rsidRDefault="00E10349">
      <w:pPr>
        <w:pStyle w:val="a3"/>
        <w:rPr>
          <w:sz w:val="19"/>
        </w:rPr>
      </w:pPr>
      <w:r>
        <w:pict w14:anchorId="7A85F389">
          <v:group id="_x0000_s4603" style="position:absolute;margin-left:47.85pt;margin-top:13.15pt;width:499.55pt;height:52.25pt;z-index:-15611392;mso-wrap-distance-left:0;mso-wrap-distance-right:0;mso-position-horizontal-relative:page" coordorigin="957,263" coordsize="9991,1045">
            <v:shape id="_x0000_s4606" style="position:absolute;left:964;top:270;width:9976;height:1030" coordorigin="965,270" coordsize="9976,1030" path="m10861,270r-9816,l1014,276r-26,18l971,319r-6,31l965,1220r6,31l988,1276r26,17l1045,1300r9816,l10892,1293r25,-17l10935,1251r6,-31l10941,350r-6,-31l10917,294r-25,-18l10861,270xe" fillcolor="#f5f5f5" stroked="f">
              <v:path arrowok="t"/>
            </v:shape>
            <v:shape id="_x0000_s4605" style="position:absolute;left:964;top:270;width:9976;height:1030" coordorigin="965,270" coordsize="9976,1030" path="m1045,270r9816,l10892,276r25,18l10935,319r6,31l10941,1220r-6,31l10917,1276r-25,17l10861,1300r-9816,l1014,1293r-26,-17l971,1251r-6,-31l965,350r6,-31l988,294r26,-18l1045,270xe" filled="f" strokecolor="#ccc">
              <v:path arrowok="t"/>
            </v:shape>
            <v:shape id="_x0000_s4604" type="#_x0000_t202" style="position:absolute;left:984;top:285;width:9938;height:999" filled="f" stroked="f">
              <v:textbox inset="0,0,0,0">
                <w:txbxContent>
                  <w:p w14:paraId="3B9199F2" w14:textId="77777777" w:rsidR="00711A16" w:rsidRDefault="00711A16">
                    <w:pPr>
                      <w:spacing w:before="221" w:line="252" w:lineRule="auto"/>
                      <w:ind w:left="200" w:right="6088"/>
                      <w:rPr>
                        <w:rFonts w:ascii="MS Gothic"/>
                      </w:rPr>
                    </w:pPr>
                    <w:proofErr w:type="gramStart"/>
                    <w:r>
                      <w:rPr>
                        <w:rFonts w:ascii="MS Gothic"/>
                        <w:color w:val="333333"/>
                      </w:rPr>
                      <w:t>my.servers</w:t>
                    </w:r>
                    <w:proofErr w:type="gramEnd"/>
                    <w:r>
                      <w:rPr>
                        <w:rFonts w:ascii="MS Gothic"/>
                        <w:color w:val="333333"/>
                      </w:rPr>
                      <w:t>[0]=dev.example.com my.servers[1]=another.example.com</w:t>
                    </w:r>
                  </w:p>
                </w:txbxContent>
              </v:textbox>
            </v:shape>
            <w10:wrap type="topAndBottom" anchorx="page"/>
          </v:group>
        </w:pict>
      </w:r>
    </w:p>
    <w:p w14:paraId="67DF58C7" w14:textId="77777777" w:rsidR="00A720EB" w:rsidRDefault="00A720EB">
      <w:pPr>
        <w:pStyle w:val="a3"/>
        <w:spacing w:before="11"/>
        <w:rPr>
          <w:sz w:val="9"/>
        </w:rPr>
      </w:pPr>
    </w:p>
    <w:p w14:paraId="7E5DA8A0" w14:textId="77777777" w:rsidR="00A720EB" w:rsidRDefault="0030286B">
      <w:pPr>
        <w:pStyle w:val="a3"/>
        <w:spacing w:before="115" w:line="285" w:lineRule="auto"/>
        <w:ind w:left="124" w:right="125"/>
        <w:jc w:val="both"/>
      </w:pPr>
      <w:r>
        <w:rPr>
          <w:color w:val="333333"/>
          <w:w w:val="110"/>
        </w:rPr>
        <w:t xml:space="preserve">To bind to properties like that by using Spring Boot’s </w:t>
      </w:r>
      <w:r>
        <w:rPr>
          <w:rFonts w:ascii="MS Gothic" w:hAnsi="MS Gothic"/>
          <w:color w:val="B02045"/>
          <w:w w:val="110"/>
        </w:rPr>
        <w:t xml:space="preserve">Binder </w:t>
      </w:r>
      <w:r>
        <w:rPr>
          <w:color w:val="333333"/>
          <w:w w:val="110"/>
        </w:rPr>
        <w:t xml:space="preserve">utilities (which is what </w:t>
      </w:r>
      <w:r>
        <w:rPr>
          <w:rFonts w:ascii="MS Gothic" w:hAnsi="MS Gothic"/>
          <w:color w:val="B02045"/>
          <w:w w:val="110"/>
        </w:rPr>
        <w:t xml:space="preserve">@ConfigurationProperties </w:t>
      </w:r>
      <w:r>
        <w:rPr>
          <w:color w:val="333333"/>
          <w:w w:val="110"/>
        </w:rPr>
        <w:t xml:space="preserve">does), you need to have a property in the target bean of type </w:t>
      </w:r>
      <w:proofErr w:type="gramStart"/>
      <w:r>
        <w:rPr>
          <w:rFonts w:ascii="MS Gothic" w:hAnsi="MS Gothic"/>
          <w:color w:val="B02045"/>
          <w:w w:val="110"/>
        </w:rPr>
        <w:t>java.util</w:t>
      </w:r>
      <w:proofErr w:type="gramEnd"/>
      <w:r>
        <w:rPr>
          <w:rFonts w:ascii="MS Gothic" w:hAnsi="MS Gothic"/>
          <w:color w:val="B02045"/>
          <w:w w:val="110"/>
        </w:rPr>
        <w:t xml:space="preserve">.List </w:t>
      </w:r>
      <w:r>
        <w:rPr>
          <w:color w:val="333333"/>
          <w:w w:val="110"/>
        </w:rPr>
        <w:t xml:space="preserve">(or </w:t>
      </w:r>
      <w:r>
        <w:rPr>
          <w:rFonts w:ascii="MS Gothic" w:hAnsi="MS Gothic"/>
          <w:color w:val="B02045"/>
          <w:w w:val="110"/>
        </w:rPr>
        <w:t>Set</w:t>
      </w:r>
      <w:r>
        <w:rPr>
          <w:color w:val="333333"/>
          <w:w w:val="110"/>
        </w:rPr>
        <w:t>) and you either need to provide a setter or initialize it with a mutable value. For example, the following example binds to the properties shown previously:</w:t>
      </w:r>
    </w:p>
    <w:p w14:paraId="6A1AF643" w14:textId="77777777" w:rsidR="00A720EB" w:rsidRDefault="00E10349">
      <w:pPr>
        <w:pStyle w:val="a3"/>
        <w:spacing w:before="9"/>
        <w:rPr>
          <w:sz w:val="14"/>
        </w:rPr>
      </w:pPr>
      <w:r>
        <w:pict w14:anchorId="7FDCDAA8">
          <v:group id="_x0000_s4599" style="position:absolute;margin-left:47.85pt;margin-top:10.65pt;width:499.55pt;height:155.45pt;z-index:-15610880;mso-wrap-distance-left:0;mso-wrap-distance-right:0;mso-position-horizontal-relative:page" coordorigin="957,213" coordsize="9991,3109">
            <v:shape id="_x0000_s4602" style="position:absolute;left:964;top:220;width:9976;height:3094" coordorigin="965,220" coordsize="9976,3094" path="m10861,220r-9816,l1014,227r-26,17l971,269r-6,31l965,3234r6,31l988,3290r26,17l1045,3314r9816,l10892,3307r25,-17l10935,3265r6,-31l10941,300r-6,-31l10917,244r-25,-17l10861,220xe" fillcolor="#f5f5f5" stroked="f">
              <v:path arrowok="t"/>
            </v:shape>
            <v:shape id="_x0000_s4601" style="position:absolute;left:964;top:220;width:9976;height:3094" coordorigin="965,220" coordsize="9976,3094" path="m1045,220r9816,l10892,227r25,17l10935,269r6,31l10941,3234r-6,31l10917,3290r-25,17l10861,3314r-9816,l1014,3307r-26,-17l971,3265r-6,-31l965,300r6,-31l988,244r26,-17l1045,220xe" filled="f" strokecolor="#ccc">
              <v:path arrowok="t"/>
            </v:shape>
            <v:shape id="_x0000_s4600" type="#_x0000_t202" style="position:absolute;left:984;top:235;width:9938;height:3063" filled="f" stroked="f">
              <v:textbox inset="0,0,0,0">
                <w:txbxContent>
                  <w:p w14:paraId="2DDAE736" w14:textId="77777777" w:rsidR="00711A16" w:rsidRDefault="00711A16">
                    <w:pPr>
                      <w:spacing w:before="221" w:line="252" w:lineRule="auto"/>
                      <w:ind w:left="200" w:right="5648"/>
                      <w:rPr>
                        <w:rFonts w:ascii="MS Gothic"/>
                      </w:rPr>
                    </w:pPr>
                    <w:r>
                      <w:rPr>
                        <w:rFonts w:ascii="MS Gothic"/>
                        <w:color w:val="333333"/>
                      </w:rPr>
                      <w:t>@ConfigurationProperties(prefix="my") public class Config {</w:t>
                    </w:r>
                  </w:p>
                  <w:p w14:paraId="41E4DFFA" w14:textId="77777777" w:rsidR="00711A16" w:rsidRDefault="00711A16">
                    <w:pPr>
                      <w:spacing w:before="40" w:line="590" w:lineRule="exact"/>
                      <w:ind w:left="640" w:right="3228"/>
                      <w:rPr>
                        <w:rFonts w:ascii="MS Gothic"/>
                      </w:rPr>
                    </w:pPr>
                    <w:r>
                      <w:rPr>
                        <w:rFonts w:ascii="MS Gothic"/>
                        <w:color w:val="333333"/>
                      </w:rPr>
                      <w:t>private List&lt;String&gt; servers = new ArrayList&lt;String</w:t>
                    </w:r>
                    <w:proofErr w:type="gramStart"/>
                    <w:r>
                      <w:rPr>
                        <w:rFonts w:ascii="MS Gothic"/>
                        <w:color w:val="333333"/>
                      </w:rPr>
                      <w:t>&gt;(</w:t>
                    </w:r>
                    <w:proofErr w:type="gramEnd"/>
                    <w:r>
                      <w:rPr>
                        <w:rFonts w:ascii="MS Gothic"/>
                        <w:color w:val="333333"/>
                      </w:rPr>
                      <w:t>); public List&lt;String&gt; getServers() {</w:t>
                    </w:r>
                  </w:p>
                  <w:p w14:paraId="0471601A" w14:textId="77777777" w:rsidR="00711A16" w:rsidRDefault="00711A16">
                    <w:pPr>
                      <w:spacing w:line="238" w:lineRule="exact"/>
                      <w:ind w:left="1080"/>
                      <w:rPr>
                        <w:rFonts w:ascii="MS Gothic"/>
                      </w:rPr>
                    </w:pPr>
                    <w:r>
                      <w:rPr>
                        <w:rFonts w:ascii="MS Gothic"/>
                        <w:color w:val="333333"/>
                      </w:rPr>
                      <w:t xml:space="preserve">return </w:t>
                    </w:r>
                    <w:proofErr w:type="gramStart"/>
                    <w:r>
                      <w:rPr>
                        <w:rFonts w:ascii="MS Gothic"/>
                        <w:color w:val="333333"/>
                      </w:rPr>
                      <w:t>this.servers</w:t>
                    </w:r>
                    <w:proofErr w:type="gramEnd"/>
                    <w:r>
                      <w:rPr>
                        <w:rFonts w:ascii="MS Gothic"/>
                        <w:color w:val="333333"/>
                      </w:rPr>
                      <w:t>;</w:t>
                    </w:r>
                  </w:p>
                  <w:p w14:paraId="0C80769A" w14:textId="77777777" w:rsidR="00711A16" w:rsidRDefault="00711A16">
                    <w:pPr>
                      <w:spacing w:before="13"/>
                      <w:ind w:left="640"/>
                      <w:rPr>
                        <w:rFonts w:ascii="MS Gothic"/>
                      </w:rPr>
                    </w:pPr>
                    <w:r>
                      <w:rPr>
                        <w:rFonts w:ascii="MS Gothic"/>
                        <w:color w:val="333333"/>
                      </w:rPr>
                      <w:t>}</w:t>
                    </w:r>
                  </w:p>
                  <w:p w14:paraId="3752AB6B"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27665729" w14:textId="77777777" w:rsidR="00A720EB" w:rsidRDefault="00A720EB">
      <w:pPr>
        <w:pStyle w:val="a3"/>
        <w:spacing w:before="11"/>
        <w:rPr>
          <w:sz w:val="16"/>
        </w:rPr>
      </w:pPr>
    </w:p>
    <w:p w14:paraId="1C2A8C2D" w14:textId="77777777" w:rsidR="00A720EB" w:rsidRDefault="0030286B">
      <w:pPr>
        <w:pStyle w:val="4"/>
        <w:spacing w:before="104"/>
      </w:pPr>
      <w:bookmarkStart w:id="190" w:name="Exposing_YAML_as_Properties_in_the_Sprin"/>
      <w:bookmarkEnd w:id="190"/>
      <w:r>
        <w:rPr>
          <w:color w:val="333333"/>
          <w:w w:val="110"/>
        </w:rPr>
        <w:t>Exposing YAML as Properties in the Spring Environment</w:t>
      </w:r>
    </w:p>
    <w:p w14:paraId="27504A61" w14:textId="77777777" w:rsidR="00A720EB" w:rsidRDefault="0030286B">
      <w:pPr>
        <w:pStyle w:val="a3"/>
        <w:spacing w:before="244" w:line="285" w:lineRule="auto"/>
        <w:ind w:left="124" w:right="123"/>
        <w:jc w:val="both"/>
      </w:pPr>
      <w:r>
        <w:rPr>
          <w:color w:val="333333"/>
          <w:w w:val="110"/>
        </w:rPr>
        <w:t xml:space="preserve">The </w:t>
      </w:r>
      <w:r>
        <w:rPr>
          <w:rFonts w:ascii="MS Gothic"/>
          <w:color w:val="B02045"/>
          <w:w w:val="110"/>
        </w:rPr>
        <w:t>YamlPropertySourceLoader</w:t>
      </w:r>
      <w:r>
        <w:rPr>
          <w:rFonts w:ascii="MS Gothic"/>
          <w:color w:val="B02045"/>
          <w:spacing w:val="-64"/>
          <w:w w:val="110"/>
        </w:rPr>
        <w:t xml:space="preserve"> </w:t>
      </w:r>
      <w:r>
        <w:rPr>
          <w:color w:val="333333"/>
          <w:w w:val="110"/>
        </w:rPr>
        <w:t xml:space="preserve">class can be used to expose </w:t>
      </w:r>
      <w:r>
        <w:rPr>
          <w:color w:val="333333"/>
          <w:spacing w:val="-5"/>
          <w:w w:val="110"/>
        </w:rPr>
        <w:t xml:space="preserve">YAML </w:t>
      </w:r>
      <w:r>
        <w:rPr>
          <w:color w:val="333333"/>
          <w:w w:val="110"/>
        </w:rPr>
        <w:t xml:space="preserve">as a </w:t>
      </w:r>
      <w:r>
        <w:rPr>
          <w:rFonts w:ascii="MS Gothic"/>
          <w:color w:val="B02045"/>
          <w:w w:val="110"/>
        </w:rPr>
        <w:t>PropertySource</w:t>
      </w:r>
      <w:r>
        <w:rPr>
          <w:rFonts w:ascii="MS Gothic"/>
          <w:color w:val="B02045"/>
          <w:spacing w:val="-63"/>
          <w:w w:val="110"/>
        </w:rPr>
        <w:t xml:space="preserve"> </w:t>
      </w:r>
      <w:r>
        <w:rPr>
          <w:color w:val="333333"/>
          <w:w w:val="110"/>
        </w:rPr>
        <w:t xml:space="preserve">in the Spring </w:t>
      </w:r>
      <w:r>
        <w:rPr>
          <w:rFonts w:ascii="MS Gothic"/>
          <w:color w:val="B02045"/>
          <w:w w:val="110"/>
        </w:rPr>
        <w:t>Environment</w:t>
      </w:r>
      <w:r>
        <w:rPr>
          <w:color w:val="333333"/>
          <w:w w:val="110"/>
        </w:rPr>
        <w:t xml:space="preserve">. Doing so lets you use the </w:t>
      </w:r>
      <w:r>
        <w:rPr>
          <w:rFonts w:ascii="MS Gothic"/>
          <w:color w:val="B02045"/>
          <w:w w:val="110"/>
        </w:rPr>
        <w:t xml:space="preserve">@Value </w:t>
      </w:r>
      <w:r>
        <w:rPr>
          <w:color w:val="333333"/>
          <w:w w:val="110"/>
        </w:rPr>
        <w:t xml:space="preserve">annotation with </w:t>
      </w:r>
      <w:proofErr w:type="gramStart"/>
      <w:r>
        <w:rPr>
          <w:color w:val="333333"/>
          <w:w w:val="110"/>
        </w:rPr>
        <w:t>placeholders</w:t>
      </w:r>
      <w:proofErr w:type="gramEnd"/>
      <w:r>
        <w:rPr>
          <w:color w:val="333333"/>
          <w:w w:val="110"/>
        </w:rPr>
        <w:t xml:space="preserve"> syntax to access </w:t>
      </w:r>
      <w:r>
        <w:rPr>
          <w:color w:val="333333"/>
          <w:spacing w:val="-5"/>
          <w:w w:val="110"/>
        </w:rPr>
        <w:t xml:space="preserve">YAML </w:t>
      </w:r>
      <w:r>
        <w:rPr>
          <w:color w:val="333333"/>
          <w:w w:val="110"/>
        </w:rPr>
        <w:t>properties.</w:t>
      </w:r>
    </w:p>
    <w:p w14:paraId="4E422F46" w14:textId="77777777" w:rsidR="00A720EB" w:rsidRDefault="00A720EB">
      <w:pPr>
        <w:pStyle w:val="a3"/>
        <w:spacing w:before="7"/>
        <w:rPr>
          <w:sz w:val="27"/>
        </w:rPr>
      </w:pPr>
    </w:p>
    <w:p w14:paraId="5C1C6792" w14:textId="77777777" w:rsidR="00A720EB" w:rsidRDefault="0030286B">
      <w:pPr>
        <w:pStyle w:val="4"/>
      </w:pPr>
      <w:bookmarkStart w:id="191" w:name="Multi-profile_YAML_Documents"/>
      <w:bookmarkEnd w:id="191"/>
      <w:r>
        <w:rPr>
          <w:color w:val="333333"/>
          <w:w w:val="105"/>
        </w:rPr>
        <w:t>Multi-profile YAML Documents</w:t>
      </w:r>
    </w:p>
    <w:p w14:paraId="48BE2F65" w14:textId="77777777" w:rsidR="00A720EB" w:rsidRDefault="0030286B">
      <w:pPr>
        <w:pStyle w:val="a3"/>
        <w:spacing w:before="244"/>
        <w:ind w:left="124"/>
        <w:jc w:val="both"/>
        <w:rPr>
          <w:rFonts w:ascii="MS Gothic"/>
        </w:rPr>
      </w:pPr>
      <w:r>
        <w:rPr>
          <w:color w:val="333333"/>
          <w:w w:val="110"/>
        </w:rPr>
        <w:t xml:space="preserve">You can specify multiple profile-specific YAML documents in a single file by using a </w:t>
      </w:r>
      <w:proofErr w:type="gramStart"/>
      <w:r>
        <w:rPr>
          <w:rFonts w:ascii="MS Gothic"/>
          <w:color w:val="B02045"/>
          <w:w w:val="110"/>
        </w:rPr>
        <w:t>spring.profiles</w:t>
      </w:r>
      <w:proofErr w:type="gramEnd"/>
    </w:p>
    <w:p w14:paraId="432D09FC" w14:textId="77777777" w:rsidR="00A720EB" w:rsidRDefault="0030286B">
      <w:pPr>
        <w:pStyle w:val="a3"/>
        <w:spacing w:before="57"/>
        <w:ind w:left="124"/>
        <w:jc w:val="both"/>
      </w:pPr>
      <w:r>
        <w:rPr>
          <w:color w:val="333333"/>
          <w:w w:val="110"/>
        </w:rPr>
        <w:t>key to indicate when the document applies, as shown in the following example:</w:t>
      </w:r>
    </w:p>
    <w:p w14:paraId="31E4EFA6" w14:textId="77777777" w:rsidR="00A720EB" w:rsidRDefault="00A720EB">
      <w:pPr>
        <w:jc w:val="both"/>
        <w:sectPr w:rsidR="00A720EB">
          <w:pgSz w:w="11910" w:h="16840"/>
          <w:pgMar w:top="700" w:right="840" w:bottom="520" w:left="840" w:header="0" w:footer="323" w:gutter="0"/>
          <w:cols w:space="720"/>
        </w:sectPr>
      </w:pPr>
    </w:p>
    <w:p w14:paraId="36CA8ABF" w14:textId="77777777" w:rsidR="00A720EB" w:rsidRDefault="00E10349">
      <w:pPr>
        <w:pStyle w:val="a3"/>
        <w:ind w:left="116"/>
        <w:rPr>
          <w:sz w:val="20"/>
        </w:rPr>
      </w:pPr>
      <w:r>
        <w:rPr>
          <w:sz w:val="20"/>
        </w:rPr>
      </w:r>
      <w:r>
        <w:rPr>
          <w:sz w:val="20"/>
        </w:rPr>
        <w:pict w14:anchorId="3AB34A44">
          <v:group id="_x0000_s4595" style="width:499.55pt;height:199.65pt;mso-position-horizontal-relative:char;mso-position-vertical-relative:line" coordsize="9991,3993">
            <v:shape id="_x0000_s4598" style="position:absolute;left:7;top:7;width:9976;height:3978" coordorigin="8,8" coordsize="9976,3978" path="m9904,8l88,8,56,14,31,31,14,56,8,88r,3817l14,3936r17,26l56,3979r32,6l9904,3985r31,-6l9960,3962r17,-26l9984,3905r,-3817l9977,56,9960,31,9935,14,9904,8xe" fillcolor="#f5f5f5" stroked="f">
              <v:path arrowok="t"/>
            </v:shape>
            <v:shape id="_x0000_s4597" style="position:absolute;left:7;top:7;width:9976;height:3978" coordorigin="8,8" coordsize="9976,3978" path="m88,8r9816,l9935,14r25,17l9977,56r7,32l9984,3905r-7,31l9960,3962r-25,17l9904,3985r-9816,l56,3979,31,3962,14,3936,8,3905,8,88,14,56,31,31,56,14,88,8xe" filled="f" strokecolor="#ccc">
              <v:path arrowok="t"/>
            </v:shape>
            <v:shape id="_x0000_s4596" type="#_x0000_t202" style="position:absolute;left:26;top:22;width:9938;height:3947" filled="f" stroked="f">
              <v:textbox inset="0,0,0,0">
                <w:txbxContent>
                  <w:p w14:paraId="476E41EC" w14:textId="77777777" w:rsidR="00711A16" w:rsidRDefault="00711A16">
                    <w:pPr>
                      <w:spacing w:before="221"/>
                      <w:ind w:left="200"/>
                      <w:rPr>
                        <w:rFonts w:ascii="MS Gothic"/>
                      </w:rPr>
                    </w:pPr>
                    <w:r>
                      <w:rPr>
                        <w:rFonts w:ascii="MS Gothic"/>
                        <w:color w:val="333333"/>
                      </w:rPr>
                      <w:t>server:</w:t>
                    </w:r>
                  </w:p>
                  <w:p w14:paraId="6BE3E701" w14:textId="77777777" w:rsidR="00711A16" w:rsidRDefault="00711A16">
                    <w:pPr>
                      <w:spacing w:before="13"/>
                      <w:ind w:left="640"/>
                      <w:rPr>
                        <w:rFonts w:ascii="MS Gothic"/>
                      </w:rPr>
                    </w:pPr>
                    <w:r>
                      <w:rPr>
                        <w:rFonts w:ascii="MS Gothic"/>
                        <w:color w:val="333333"/>
                      </w:rPr>
                      <w:t>address: 192.168.1.100</w:t>
                    </w:r>
                  </w:p>
                  <w:p w14:paraId="2121FD43" w14:textId="77777777" w:rsidR="00711A16" w:rsidRDefault="00711A16">
                    <w:pPr>
                      <w:spacing w:before="13"/>
                      <w:ind w:left="200"/>
                      <w:rPr>
                        <w:rFonts w:ascii="MS Gothic"/>
                      </w:rPr>
                    </w:pPr>
                    <w:r>
                      <w:rPr>
                        <w:rFonts w:ascii="MS Gothic"/>
                        <w:color w:val="333333"/>
                      </w:rPr>
                      <w:t>---</w:t>
                    </w:r>
                  </w:p>
                  <w:p w14:paraId="2FFDBC65" w14:textId="77777777" w:rsidR="00711A16" w:rsidRDefault="00711A16">
                    <w:pPr>
                      <w:spacing w:before="13"/>
                      <w:ind w:left="200"/>
                      <w:rPr>
                        <w:rFonts w:ascii="MS Gothic"/>
                      </w:rPr>
                    </w:pPr>
                    <w:r>
                      <w:rPr>
                        <w:rFonts w:ascii="MS Gothic"/>
                        <w:color w:val="333333"/>
                      </w:rPr>
                      <w:t>spring:</w:t>
                    </w:r>
                  </w:p>
                  <w:p w14:paraId="34314C5A" w14:textId="77777777" w:rsidR="00711A16" w:rsidRDefault="00711A16">
                    <w:pPr>
                      <w:spacing w:before="12" w:line="252" w:lineRule="auto"/>
                      <w:ind w:left="200" w:right="6968" w:firstLine="440"/>
                      <w:rPr>
                        <w:rFonts w:ascii="MS Gothic"/>
                      </w:rPr>
                    </w:pPr>
                    <w:r>
                      <w:rPr>
                        <w:rFonts w:ascii="MS Gothic"/>
                        <w:color w:val="333333"/>
                      </w:rPr>
                      <w:t>profiles: development server:</w:t>
                    </w:r>
                  </w:p>
                  <w:p w14:paraId="624AF47B" w14:textId="77777777" w:rsidR="00711A16" w:rsidRDefault="00711A16">
                    <w:pPr>
                      <w:spacing w:line="280" w:lineRule="exact"/>
                      <w:ind w:left="640"/>
                      <w:rPr>
                        <w:rFonts w:ascii="MS Gothic"/>
                      </w:rPr>
                    </w:pPr>
                    <w:r>
                      <w:rPr>
                        <w:rFonts w:ascii="MS Gothic"/>
                        <w:color w:val="333333"/>
                      </w:rPr>
                      <w:t>address: 127.0.0.1</w:t>
                    </w:r>
                  </w:p>
                  <w:p w14:paraId="70920014" w14:textId="77777777" w:rsidR="00711A16" w:rsidRDefault="00711A16">
                    <w:pPr>
                      <w:spacing w:before="13"/>
                      <w:ind w:left="200"/>
                      <w:rPr>
                        <w:rFonts w:ascii="MS Gothic"/>
                      </w:rPr>
                    </w:pPr>
                    <w:r>
                      <w:rPr>
                        <w:rFonts w:ascii="MS Gothic"/>
                        <w:color w:val="333333"/>
                      </w:rPr>
                      <w:t>---</w:t>
                    </w:r>
                  </w:p>
                  <w:p w14:paraId="2C19E099" w14:textId="77777777" w:rsidR="00711A16" w:rsidRDefault="00711A16">
                    <w:pPr>
                      <w:spacing w:before="13"/>
                      <w:ind w:left="200"/>
                      <w:rPr>
                        <w:rFonts w:ascii="MS Gothic"/>
                      </w:rPr>
                    </w:pPr>
                    <w:r>
                      <w:rPr>
                        <w:rFonts w:ascii="MS Gothic"/>
                        <w:color w:val="333333"/>
                      </w:rPr>
                      <w:t>spring:</w:t>
                    </w:r>
                  </w:p>
                  <w:p w14:paraId="77CA259F" w14:textId="77777777" w:rsidR="00711A16" w:rsidRDefault="00711A16">
                    <w:pPr>
                      <w:spacing w:before="13" w:line="252" w:lineRule="auto"/>
                      <w:ind w:left="200" w:right="5648" w:firstLine="440"/>
                      <w:rPr>
                        <w:rFonts w:ascii="MS Gothic"/>
                      </w:rPr>
                    </w:pPr>
                    <w:r>
                      <w:rPr>
                        <w:rFonts w:ascii="MS Gothic"/>
                        <w:color w:val="333333"/>
                      </w:rPr>
                      <w:t>profiles: production &amp; eu-central server:</w:t>
                    </w:r>
                  </w:p>
                  <w:p w14:paraId="21122F03" w14:textId="77777777" w:rsidR="00711A16" w:rsidRDefault="00711A16">
                    <w:pPr>
                      <w:spacing w:line="280" w:lineRule="exact"/>
                      <w:ind w:left="640"/>
                      <w:rPr>
                        <w:rFonts w:ascii="MS Gothic"/>
                      </w:rPr>
                    </w:pPr>
                    <w:r>
                      <w:rPr>
                        <w:rFonts w:ascii="MS Gothic"/>
                        <w:color w:val="333333"/>
                      </w:rPr>
                      <w:t>address: 192.168.1.120</w:t>
                    </w:r>
                  </w:p>
                </w:txbxContent>
              </v:textbox>
            </v:shape>
            <w10:anchorlock/>
          </v:group>
        </w:pict>
      </w:r>
    </w:p>
    <w:p w14:paraId="13399A41" w14:textId="77777777" w:rsidR="00A720EB" w:rsidRDefault="00A720EB">
      <w:pPr>
        <w:pStyle w:val="a3"/>
        <w:spacing w:before="2"/>
        <w:rPr>
          <w:sz w:val="9"/>
        </w:rPr>
      </w:pPr>
    </w:p>
    <w:p w14:paraId="23DF736D" w14:textId="77777777" w:rsidR="00A720EB" w:rsidRDefault="0030286B">
      <w:pPr>
        <w:pStyle w:val="a3"/>
        <w:spacing w:before="116"/>
        <w:ind w:left="124"/>
        <w:jc w:val="both"/>
      </w:pPr>
      <w:r>
        <w:rPr>
          <w:color w:val="333333"/>
          <w:w w:val="110"/>
        </w:rPr>
        <w:t xml:space="preserve">In the preceding example, if the </w:t>
      </w:r>
      <w:r>
        <w:rPr>
          <w:rFonts w:ascii="MS Gothic"/>
          <w:color w:val="B02045"/>
          <w:w w:val="110"/>
        </w:rPr>
        <w:t xml:space="preserve">development </w:t>
      </w:r>
      <w:r>
        <w:rPr>
          <w:color w:val="333333"/>
          <w:w w:val="110"/>
        </w:rPr>
        <w:t xml:space="preserve">profile is active, the </w:t>
      </w:r>
      <w:proofErr w:type="gramStart"/>
      <w:r>
        <w:rPr>
          <w:rFonts w:ascii="MS Gothic"/>
          <w:color w:val="B02045"/>
          <w:w w:val="110"/>
        </w:rPr>
        <w:t>server.address</w:t>
      </w:r>
      <w:proofErr w:type="gramEnd"/>
      <w:r>
        <w:rPr>
          <w:rFonts w:ascii="MS Gothic"/>
          <w:color w:val="B02045"/>
          <w:spacing w:val="64"/>
          <w:w w:val="110"/>
        </w:rPr>
        <w:t xml:space="preserve"> </w:t>
      </w:r>
      <w:r>
        <w:rPr>
          <w:color w:val="333333"/>
          <w:w w:val="110"/>
        </w:rPr>
        <w:t>property is</w:t>
      </w:r>
    </w:p>
    <w:p w14:paraId="4E5BDED5" w14:textId="77777777" w:rsidR="00A720EB" w:rsidRDefault="0030286B">
      <w:pPr>
        <w:pStyle w:val="a3"/>
        <w:spacing w:before="36" w:line="271" w:lineRule="auto"/>
        <w:ind w:left="124" w:right="122"/>
        <w:jc w:val="both"/>
      </w:pPr>
      <w:r>
        <w:rPr>
          <w:rFonts w:ascii="MS Gothic"/>
          <w:color w:val="B02045"/>
          <w:w w:val="110"/>
        </w:rPr>
        <w:t>127.0.0.1</w:t>
      </w:r>
      <w:r>
        <w:rPr>
          <w:color w:val="333333"/>
          <w:w w:val="110"/>
        </w:rPr>
        <w:t>.</w:t>
      </w:r>
      <w:r>
        <w:rPr>
          <w:color w:val="333333"/>
          <w:spacing w:val="-27"/>
          <w:w w:val="110"/>
        </w:rPr>
        <w:t xml:space="preserve"> </w:t>
      </w:r>
      <w:r>
        <w:rPr>
          <w:color w:val="333333"/>
          <w:spacing w:val="-3"/>
          <w:w w:val="110"/>
        </w:rPr>
        <w:t>Similarly,</w:t>
      </w:r>
      <w:r>
        <w:rPr>
          <w:color w:val="333333"/>
          <w:spacing w:val="-27"/>
          <w:w w:val="110"/>
        </w:rPr>
        <w:t xml:space="preserve"> </w:t>
      </w:r>
      <w:r>
        <w:rPr>
          <w:color w:val="333333"/>
          <w:w w:val="110"/>
        </w:rPr>
        <w:t>if</w:t>
      </w:r>
      <w:r>
        <w:rPr>
          <w:color w:val="333333"/>
          <w:spacing w:val="-27"/>
          <w:w w:val="110"/>
        </w:rPr>
        <w:t xml:space="preserve"> </w:t>
      </w:r>
      <w:r>
        <w:rPr>
          <w:color w:val="333333"/>
          <w:w w:val="110"/>
        </w:rPr>
        <w:t>the</w:t>
      </w:r>
      <w:r>
        <w:rPr>
          <w:color w:val="333333"/>
          <w:spacing w:val="-26"/>
          <w:w w:val="110"/>
        </w:rPr>
        <w:t xml:space="preserve"> </w:t>
      </w:r>
      <w:r>
        <w:rPr>
          <w:rFonts w:ascii="MS Gothic"/>
          <w:color w:val="B02045"/>
          <w:w w:val="110"/>
        </w:rPr>
        <w:t>production</w:t>
      </w:r>
      <w:r>
        <w:rPr>
          <w:rFonts w:ascii="MS Gothic"/>
          <w:color w:val="B02045"/>
          <w:spacing w:val="-91"/>
          <w:w w:val="110"/>
        </w:rPr>
        <w:t xml:space="preserve"> </w:t>
      </w:r>
      <w:r>
        <w:rPr>
          <w:rFonts w:ascii="Palatino Linotype"/>
          <w:b/>
          <w:color w:val="333333"/>
          <w:w w:val="110"/>
        </w:rPr>
        <w:t>and</w:t>
      </w:r>
      <w:r>
        <w:rPr>
          <w:rFonts w:ascii="Palatino Linotype"/>
          <w:b/>
          <w:color w:val="333333"/>
          <w:spacing w:val="-34"/>
          <w:w w:val="110"/>
        </w:rPr>
        <w:t xml:space="preserve"> </w:t>
      </w:r>
      <w:r>
        <w:rPr>
          <w:rFonts w:ascii="MS Gothic"/>
          <w:color w:val="B02045"/>
          <w:w w:val="110"/>
        </w:rPr>
        <w:t>eu-central</w:t>
      </w:r>
      <w:r>
        <w:rPr>
          <w:rFonts w:ascii="MS Gothic"/>
          <w:color w:val="B02045"/>
          <w:spacing w:val="-92"/>
          <w:w w:val="110"/>
        </w:rPr>
        <w:t xml:space="preserve"> </w:t>
      </w:r>
      <w:r>
        <w:rPr>
          <w:color w:val="333333"/>
          <w:w w:val="110"/>
        </w:rPr>
        <w:t>profiles</w:t>
      </w:r>
      <w:r>
        <w:rPr>
          <w:color w:val="333333"/>
          <w:spacing w:val="-27"/>
          <w:w w:val="110"/>
        </w:rPr>
        <w:t xml:space="preserve"> </w:t>
      </w:r>
      <w:r>
        <w:rPr>
          <w:color w:val="333333"/>
          <w:w w:val="110"/>
        </w:rPr>
        <w:t>are</w:t>
      </w:r>
      <w:r>
        <w:rPr>
          <w:color w:val="333333"/>
          <w:spacing w:val="-27"/>
          <w:w w:val="110"/>
        </w:rPr>
        <w:t xml:space="preserve"> </w:t>
      </w:r>
      <w:r>
        <w:rPr>
          <w:color w:val="333333"/>
          <w:w w:val="110"/>
        </w:rPr>
        <w:t>active,</w:t>
      </w:r>
      <w:r>
        <w:rPr>
          <w:color w:val="333333"/>
          <w:spacing w:val="-27"/>
          <w:w w:val="110"/>
        </w:rPr>
        <w:t xml:space="preserve"> </w:t>
      </w:r>
      <w:r>
        <w:rPr>
          <w:color w:val="333333"/>
          <w:w w:val="110"/>
        </w:rPr>
        <w:t>the</w:t>
      </w:r>
      <w:r>
        <w:rPr>
          <w:color w:val="333333"/>
          <w:spacing w:val="-24"/>
          <w:w w:val="110"/>
        </w:rPr>
        <w:t xml:space="preserve"> </w:t>
      </w:r>
      <w:proofErr w:type="gramStart"/>
      <w:r>
        <w:rPr>
          <w:rFonts w:ascii="MS Gothic"/>
          <w:color w:val="B02045"/>
          <w:w w:val="110"/>
        </w:rPr>
        <w:t>server.address</w:t>
      </w:r>
      <w:proofErr w:type="gramEnd"/>
      <w:r>
        <w:rPr>
          <w:rFonts w:ascii="MS Gothic"/>
          <w:color w:val="B02045"/>
          <w:spacing w:val="-91"/>
          <w:w w:val="110"/>
        </w:rPr>
        <w:t xml:space="preserve"> </w:t>
      </w:r>
      <w:r>
        <w:rPr>
          <w:color w:val="333333"/>
          <w:w w:val="110"/>
        </w:rPr>
        <w:t xml:space="preserve">property is </w:t>
      </w:r>
      <w:r>
        <w:rPr>
          <w:rFonts w:ascii="MS Gothic"/>
          <w:color w:val="B02045"/>
          <w:w w:val="110"/>
        </w:rPr>
        <w:t>192.168.1.120</w:t>
      </w:r>
      <w:r>
        <w:rPr>
          <w:color w:val="333333"/>
          <w:w w:val="110"/>
        </w:rPr>
        <w:t xml:space="preserve">. If the </w:t>
      </w:r>
      <w:r>
        <w:rPr>
          <w:rFonts w:ascii="MS Gothic"/>
          <w:color w:val="B02045"/>
          <w:w w:val="110"/>
        </w:rPr>
        <w:t>development</w:t>
      </w:r>
      <w:r>
        <w:rPr>
          <w:color w:val="333333"/>
          <w:w w:val="110"/>
        </w:rPr>
        <w:t xml:space="preserve">, </w:t>
      </w:r>
      <w:r>
        <w:rPr>
          <w:rFonts w:ascii="MS Gothic"/>
          <w:color w:val="B02045"/>
          <w:w w:val="110"/>
        </w:rPr>
        <w:t xml:space="preserve">production </w:t>
      </w:r>
      <w:r>
        <w:rPr>
          <w:color w:val="333333"/>
          <w:w w:val="110"/>
        </w:rPr>
        <w:t xml:space="preserve">and </w:t>
      </w:r>
      <w:r>
        <w:rPr>
          <w:rFonts w:ascii="MS Gothic"/>
          <w:color w:val="B02045"/>
          <w:w w:val="110"/>
        </w:rPr>
        <w:t xml:space="preserve">eu-central </w:t>
      </w:r>
      <w:r>
        <w:rPr>
          <w:color w:val="333333"/>
          <w:w w:val="110"/>
        </w:rPr>
        <w:t xml:space="preserve">profiles are </w:t>
      </w:r>
      <w:r>
        <w:rPr>
          <w:rFonts w:ascii="Palatino Linotype"/>
          <w:b/>
          <w:color w:val="333333"/>
          <w:w w:val="110"/>
        </w:rPr>
        <w:t xml:space="preserve">not </w:t>
      </w:r>
      <w:r>
        <w:rPr>
          <w:color w:val="333333"/>
          <w:w w:val="110"/>
        </w:rPr>
        <w:t>enabled, then</w:t>
      </w:r>
      <w:r>
        <w:rPr>
          <w:color w:val="333333"/>
          <w:spacing w:val="-32"/>
          <w:w w:val="110"/>
        </w:rPr>
        <w:t xml:space="preserve"> </w:t>
      </w:r>
      <w:r>
        <w:rPr>
          <w:color w:val="333333"/>
          <w:w w:val="110"/>
        </w:rPr>
        <w:t>the value for the property is</w:t>
      </w:r>
      <w:r>
        <w:rPr>
          <w:color w:val="333333"/>
          <w:spacing w:val="11"/>
          <w:w w:val="110"/>
        </w:rPr>
        <w:t xml:space="preserve"> </w:t>
      </w:r>
      <w:r>
        <w:rPr>
          <w:rFonts w:ascii="MS Gothic"/>
          <w:color w:val="B02045"/>
          <w:w w:val="110"/>
        </w:rPr>
        <w:t>192.168.1.100</w:t>
      </w:r>
      <w:r>
        <w:rPr>
          <w:color w:val="333333"/>
          <w:w w:val="110"/>
        </w:rPr>
        <w:t>.</w:t>
      </w:r>
    </w:p>
    <w:p w14:paraId="35808119" w14:textId="77777777" w:rsidR="00A720EB" w:rsidRDefault="00A720EB">
      <w:pPr>
        <w:pStyle w:val="a3"/>
        <w:spacing w:before="6"/>
        <w:rPr>
          <w:sz w:val="18"/>
        </w:rPr>
      </w:pPr>
    </w:p>
    <w:p w14:paraId="1DE56F41" w14:textId="77777777" w:rsidR="00A720EB" w:rsidRDefault="00E10349">
      <w:pPr>
        <w:pStyle w:val="a3"/>
        <w:spacing w:before="116" w:line="292" w:lineRule="auto"/>
        <w:ind w:left="1564" w:right="362"/>
        <w:jc w:val="both"/>
      </w:pPr>
      <w:r>
        <w:pict w14:anchorId="0B34F7DC">
          <v:line id="_x0000_s4594" style="position:absolute;left:0;text-align:left;z-index:15848448;mso-position-horizontal-relative:page" from="108.25pt,.35pt" to="108.25pt,71.45pt" strokecolor="#ededed" strokeweight=".5pt">
            <w10:wrap anchorx="page"/>
          </v:line>
        </w:pict>
      </w:r>
      <w:r w:rsidR="0030286B">
        <w:rPr>
          <w:noProof/>
        </w:rPr>
        <w:drawing>
          <wp:anchor distT="0" distB="0" distL="0" distR="0" simplePos="0" relativeHeight="15848960" behindDoc="0" locked="0" layoutInCell="1" allowOverlap="1" wp14:anchorId="0A156EA5" wp14:editId="73425A7F">
            <wp:simplePos x="0" y="0"/>
            <wp:positionH relativeFrom="page">
              <wp:posOffset>844422</wp:posOffset>
            </wp:positionH>
            <wp:positionV relativeFrom="paragraph">
              <wp:posOffset>306654</wp:posOffset>
            </wp:positionV>
            <wp:extent cx="298450" cy="298450"/>
            <wp:effectExtent l="0" t="0" r="0" b="0"/>
            <wp:wrapNone/>
            <wp:docPr id="1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24" cstate="print"/>
                    <a:stretch>
                      <a:fillRect/>
                    </a:stretch>
                  </pic:blipFill>
                  <pic:spPr>
                    <a:xfrm>
                      <a:off x="0" y="0"/>
                      <a:ext cx="298450" cy="298450"/>
                    </a:xfrm>
                    <a:prstGeom prst="rect">
                      <a:avLst/>
                    </a:prstGeom>
                  </pic:spPr>
                </pic:pic>
              </a:graphicData>
            </a:graphic>
          </wp:anchor>
        </w:drawing>
      </w:r>
      <w:proofErr w:type="gramStart"/>
      <w:r w:rsidR="0030286B">
        <w:rPr>
          <w:rFonts w:ascii="MS Gothic"/>
          <w:color w:val="B02045"/>
          <w:w w:val="110"/>
        </w:rPr>
        <w:t>spring.profiles</w:t>
      </w:r>
      <w:proofErr w:type="gramEnd"/>
      <w:r w:rsidR="0030286B">
        <w:rPr>
          <w:rFonts w:ascii="MS Gothic"/>
          <w:color w:val="B02045"/>
          <w:spacing w:val="-76"/>
          <w:w w:val="110"/>
        </w:rPr>
        <w:t xml:space="preserve"> </w:t>
      </w:r>
      <w:r w:rsidR="0030286B">
        <w:rPr>
          <w:color w:val="333333"/>
          <w:w w:val="110"/>
        </w:rPr>
        <w:t>can</w:t>
      </w:r>
      <w:r w:rsidR="0030286B">
        <w:rPr>
          <w:color w:val="333333"/>
          <w:spacing w:val="-12"/>
          <w:w w:val="110"/>
        </w:rPr>
        <w:t xml:space="preserve"> </w:t>
      </w:r>
      <w:r w:rsidR="0030286B">
        <w:rPr>
          <w:color w:val="333333"/>
          <w:w w:val="110"/>
        </w:rPr>
        <w:t>therefore</w:t>
      </w:r>
      <w:r w:rsidR="0030286B">
        <w:rPr>
          <w:color w:val="333333"/>
          <w:spacing w:val="-12"/>
          <w:w w:val="110"/>
        </w:rPr>
        <w:t xml:space="preserve"> </w:t>
      </w:r>
      <w:r w:rsidR="0030286B">
        <w:rPr>
          <w:color w:val="333333"/>
          <w:w w:val="110"/>
        </w:rPr>
        <w:t>contain</w:t>
      </w:r>
      <w:r w:rsidR="0030286B">
        <w:rPr>
          <w:color w:val="333333"/>
          <w:spacing w:val="-11"/>
          <w:w w:val="110"/>
        </w:rPr>
        <w:t xml:space="preserve"> </w:t>
      </w:r>
      <w:r w:rsidR="0030286B">
        <w:rPr>
          <w:color w:val="333333"/>
          <w:w w:val="110"/>
        </w:rPr>
        <w:t>a</w:t>
      </w:r>
      <w:r w:rsidR="0030286B">
        <w:rPr>
          <w:color w:val="333333"/>
          <w:spacing w:val="-12"/>
          <w:w w:val="110"/>
        </w:rPr>
        <w:t xml:space="preserve"> </w:t>
      </w:r>
      <w:r w:rsidR="0030286B">
        <w:rPr>
          <w:color w:val="333333"/>
          <w:w w:val="110"/>
        </w:rPr>
        <w:t>profile</w:t>
      </w:r>
      <w:r w:rsidR="0030286B">
        <w:rPr>
          <w:color w:val="333333"/>
          <w:spacing w:val="-12"/>
          <w:w w:val="110"/>
        </w:rPr>
        <w:t xml:space="preserve"> </w:t>
      </w:r>
      <w:r w:rsidR="0030286B">
        <w:rPr>
          <w:color w:val="333333"/>
          <w:w w:val="110"/>
        </w:rPr>
        <w:t>name</w:t>
      </w:r>
      <w:r w:rsidR="0030286B">
        <w:rPr>
          <w:color w:val="333333"/>
          <w:spacing w:val="-11"/>
          <w:w w:val="110"/>
        </w:rPr>
        <w:t xml:space="preserve"> </w:t>
      </w:r>
      <w:r w:rsidR="0030286B">
        <w:rPr>
          <w:color w:val="333333"/>
          <w:w w:val="110"/>
        </w:rPr>
        <w:t>(for</w:t>
      </w:r>
      <w:r w:rsidR="0030286B">
        <w:rPr>
          <w:color w:val="333333"/>
          <w:spacing w:val="-12"/>
          <w:w w:val="110"/>
        </w:rPr>
        <w:t xml:space="preserve"> </w:t>
      </w:r>
      <w:r w:rsidR="0030286B">
        <w:rPr>
          <w:color w:val="333333"/>
          <w:w w:val="110"/>
        </w:rPr>
        <w:t>example</w:t>
      </w:r>
      <w:r w:rsidR="0030286B">
        <w:rPr>
          <w:color w:val="333333"/>
          <w:spacing w:val="-10"/>
          <w:w w:val="110"/>
        </w:rPr>
        <w:t xml:space="preserve"> </w:t>
      </w:r>
      <w:r w:rsidR="0030286B">
        <w:rPr>
          <w:rFonts w:ascii="MS Gothic"/>
          <w:color w:val="B02045"/>
          <w:w w:val="110"/>
        </w:rPr>
        <w:t>production</w:t>
      </w:r>
      <w:r w:rsidR="0030286B">
        <w:rPr>
          <w:color w:val="333333"/>
          <w:w w:val="110"/>
        </w:rPr>
        <w:t>)</w:t>
      </w:r>
      <w:r w:rsidR="0030286B">
        <w:rPr>
          <w:color w:val="333333"/>
          <w:spacing w:val="-12"/>
          <w:w w:val="110"/>
        </w:rPr>
        <w:t xml:space="preserve"> </w:t>
      </w:r>
      <w:r w:rsidR="0030286B">
        <w:rPr>
          <w:color w:val="333333"/>
          <w:w w:val="110"/>
        </w:rPr>
        <w:t>or</w:t>
      </w:r>
      <w:r w:rsidR="0030286B">
        <w:rPr>
          <w:color w:val="333333"/>
          <w:spacing w:val="-12"/>
          <w:w w:val="110"/>
        </w:rPr>
        <w:t xml:space="preserve"> </w:t>
      </w:r>
      <w:r w:rsidR="0030286B">
        <w:rPr>
          <w:color w:val="333333"/>
          <w:w w:val="110"/>
        </w:rPr>
        <w:t xml:space="preserve">a profile expression. A profile </w:t>
      </w:r>
      <w:proofErr w:type="gramStart"/>
      <w:r w:rsidR="0030286B">
        <w:rPr>
          <w:color w:val="333333"/>
          <w:w w:val="110"/>
        </w:rPr>
        <w:t>expression  allows</w:t>
      </w:r>
      <w:proofErr w:type="gramEnd"/>
      <w:r w:rsidR="0030286B">
        <w:rPr>
          <w:color w:val="333333"/>
          <w:w w:val="110"/>
        </w:rPr>
        <w:t xml:space="preserve"> for  more complicated  profile logic to be expressed, for example </w:t>
      </w:r>
      <w:r w:rsidR="0030286B">
        <w:rPr>
          <w:rFonts w:ascii="MS Gothic"/>
          <w:color w:val="B02045"/>
          <w:w w:val="110"/>
        </w:rPr>
        <w:t>production &amp; (eu-central | eu-west)</w:t>
      </w:r>
      <w:r w:rsidR="0030286B">
        <w:rPr>
          <w:color w:val="333333"/>
          <w:w w:val="110"/>
        </w:rPr>
        <w:t xml:space="preserve">. Check the  </w:t>
      </w:r>
      <w:hyperlink r:id="rId105" w:anchor="beans-definition-profiles-java">
        <w:r w:rsidR="0030286B">
          <w:rPr>
            <w:color w:val="418BCA"/>
            <w:w w:val="110"/>
          </w:rPr>
          <w:t xml:space="preserve">reference guide </w:t>
        </w:r>
      </w:hyperlink>
      <w:r w:rsidR="0030286B">
        <w:rPr>
          <w:color w:val="333333"/>
          <w:w w:val="110"/>
        </w:rPr>
        <w:t>for more</w:t>
      </w:r>
      <w:r w:rsidR="0030286B">
        <w:rPr>
          <w:color w:val="333333"/>
          <w:spacing w:val="13"/>
          <w:w w:val="110"/>
        </w:rPr>
        <w:t xml:space="preserve"> </w:t>
      </w:r>
      <w:r w:rsidR="0030286B">
        <w:rPr>
          <w:color w:val="333333"/>
          <w:w w:val="110"/>
        </w:rPr>
        <w:t>details.</w:t>
      </w:r>
    </w:p>
    <w:p w14:paraId="05E9DBEC" w14:textId="77777777" w:rsidR="00A720EB" w:rsidRDefault="00A720EB">
      <w:pPr>
        <w:pStyle w:val="a3"/>
        <w:rPr>
          <w:sz w:val="18"/>
        </w:rPr>
      </w:pPr>
    </w:p>
    <w:p w14:paraId="77A68EE6" w14:textId="77777777" w:rsidR="00A720EB" w:rsidRDefault="0030286B">
      <w:pPr>
        <w:pStyle w:val="a3"/>
        <w:spacing w:before="125" w:line="285" w:lineRule="auto"/>
        <w:ind w:left="124" w:right="122"/>
        <w:jc w:val="both"/>
      </w:pPr>
      <w:r>
        <w:rPr>
          <w:color w:val="333333"/>
          <w:w w:val="110"/>
        </w:rPr>
        <w:t>If none are explicitly active when the application context starts, the default profiles are activated.    So,</w:t>
      </w:r>
      <w:r>
        <w:rPr>
          <w:color w:val="333333"/>
          <w:spacing w:val="-9"/>
          <w:w w:val="110"/>
        </w:rPr>
        <w:t xml:space="preserve"> </w:t>
      </w:r>
      <w:r>
        <w:rPr>
          <w:color w:val="333333"/>
          <w:w w:val="110"/>
        </w:rPr>
        <w:t>in</w:t>
      </w:r>
      <w:r>
        <w:rPr>
          <w:color w:val="333333"/>
          <w:spacing w:val="-9"/>
          <w:w w:val="110"/>
        </w:rPr>
        <w:t xml:space="preserve"> </w:t>
      </w:r>
      <w:r>
        <w:rPr>
          <w:color w:val="333333"/>
          <w:w w:val="110"/>
        </w:rPr>
        <w:t>the</w:t>
      </w:r>
      <w:r>
        <w:rPr>
          <w:color w:val="333333"/>
          <w:spacing w:val="-9"/>
          <w:w w:val="110"/>
        </w:rPr>
        <w:t xml:space="preserve"> </w:t>
      </w:r>
      <w:r>
        <w:rPr>
          <w:color w:val="333333"/>
          <w:w w:val="110"/>
        </w:rPr>
        <w:t>following</w:t>
      </w:r>
      <w:r>
        <w:rPr>
          <w:color w:val="333333"/>
          <w:spacing w:val="-9"/>
          <w:w w:val="110"/>
        </w:rPr>
        <w:t xml:space="preserve"> </w:t>
      </w:r>
      <w:r>
        <w:rPr>
          <w:color w:val="333333"/>
          <w:spacing w:val="-4"/>
          <w:w w:val="110"/>
        </w:rPr>
        <w:t>YAML,</w:t>
      </w:r>
      <w:r>
        <w:rPr>
          <w:color w:val="333333"/>
          <w:spacing w:val="-8"/>
          <w:w w:val="110"/>
        </w:rPr>
        <w:t xml:space="preserve"> </w:t>
      </w:r>
      <w:r>
        <w:rPr>
          <w:color w:val="333333"/>
          <w:w w:val="110"/>
        </w:rPr>
        <w:t>we</w:t>
      </w:r>
      <w:r>
        <w:rPr>
          <w:color w:val="333333"/>
          <w:spacing w:val="-9"/>
          <w:w w:val="110"/>
        </w:rPr>
        <w:t xml:space="preserve"> </w:t>
      </w:r>
      <w:r>
        <w:rPr>
          <w:color w:val="333333"/>
          <w:w w:val="110"/>
        </w:rPr>
        <w:t>set</w:t>
      </w:r>
      <w:r>
        <w:rPr>
          <w:color w:val="333333"/>
          <w:spacing w:val="-9"/>
          <w:w w:val="110"/>
        </w:rPr>
        <w:t xml:space="preserve"> </w:t>
      </w:r>
      <w:r>
        <w:rPr>
          <w:color w:val="333333"/>
          <w:w w:val="110"/>
        </w:rPr>
        <w:t>a</w:t>
      </w:r>
      <w:r>
        <w:rPr>
          <w:color w:val="333333"/>
          <w:spacing w:val="-9"/>
          <w:w w:val="110"/>
        </w:rPr>
        <w:t xml:space="preserve"> </w:t>
      </w:r>
      <w:r>
        <w:rPr>
          <w:color w:val="333333"/>
          <w:w w:val="110"/>
        </w:rPr>
        <w:t>value</w:t>
      </w:r>
      <w:r>
        <w:rPr>
          <w:color w:val="333333"/>
          <w:spacing w:val="-9"/>
          <w:w w:val="110"/>
        </w:rPr>
        <w:t xml:space="preserve"> </w:t>
      </w:r>
      <w:r>
        <w:rPr>
          <w:color w:val="333333"/>
          <w:w w:val="110"/>
        </w:rPr>
        <w:t>for</w:t>
      </w:r>
      <w:r>
        <w:rPr>
          <w:color w:val="333333"/>
          <w:spacing w:val="-7"/>
          <w:w w:val="110"/>
        </w:rPr>
        <w:t xml:space="preserve"> </w:t>
      </w:r>
      <w:proofErr w:type="gramStart"/>
      <w:r>
        <w:rPr>
          <w:rFonts w:ascii="MS Gothic"/>
          <w:color w:val="B02045"/>
          <w:w w:val="110"/>
        </w:rPr>
        <w:t>spring.security</w:t>
      </w:r>
      <w:proofErr w:type="gramEnd"/>
      <w:r>
        <w:rPr>
          <w:rFonts w:ascii="MS Gothic"/>
          <w:color w:val="B02045"/>
          <w:w w:val="110"/>
        </w:rPr>
        <w:t>.user.password</w:t>
      </w:r>
      <w:r>
        <w:rPr>
          <w:rFonts w:ascii="MS Gothic"/>
          <w:color w:val="B02045"/>
          <w:spacing w:val="-74"/>
          <w:w w:val="110"/>
        </w:rPr>
        <w:t xml:space="preserve"> </w:t>
      </w:r>
      <w:r>
        <w:rPr>
          <w:color w:val="333333"/>
          <w:w w:val="110"/>
        </w:rPr>
        <w:t>that</w:t>
      </w:r>
      <w:r>
        <w:rPr>
          <w:color w:val="333333"/>
          <w:spacing w:val="-9"/>
          <w:w w:val="110"/>
        </w:rPr>
        <w:t xml:space="preserve"> </w:t>
      </w:r>
      <w:r>
        <w:rPr>
          <w:color w:val="333333"/>
          <w:w w:val="110"/>
        </w:rPr>
        <w:t>is</w:t>
      </w:r>
      <w:r>
        <w:rPr>
          <w:color w:val="333333"/>
          <w:spacing w:val="-9"/>
          <w:w w:val="110"/>
        </w:rPr>
        <w:t xml:space="preserve"> </w:t>
      </w:r>
      <w:r>
        <w:rPr>
          <w:color w:val="333333"/>
          <w:w w:val="110"/>
        </w:rPr>
        <w:t>available</w:t>
      </w:r>
      <w:r>
        <w:rPr>
          <w:color w:val="333333"/>
          <w:spacing w:val="-7"/>
          <w:w w:val="110"/>
        </w:rPr>
        <w:t xml:space="preserve"> </w:t>
      </w:r>
      <w:r>
        <w:rPr>
          <w:rFonts w:ascii="Palatino Linotype"/>
          <w:b/>
          <w:color w:val="333333"/>
          <w:w w:val="110"/>
        </w:rPr>
        <w:t>only</w:t>
      </w:r>
      <w:r>
        <w:rPr>
          <w:rFonts w:ascii="Palatino Linotype"/>
          <w:b/>
          <w:color w:val="333333"/>
          <w:spacing w:val="-15"/>
          <w:w w:val="110"/>
        </w:rPr>
        <w:t xml:space="preserve"> </w:t>
      </w:r>
      <w:r>
        <w:rPr>
          <w:color w:val="333333"/>
          <w:w w:val="110"/>
        </w:rPr>
        <w:t>in the "default"</w:t>
      </w:r>
      <w:r>
        <w:rPr>
          <w:color w:val="333333"/>
          <w:spacing w:val="6"/>
          <w:w w:val="110"/>
        </w:rPr>
        <w:t xml:space="preserve"> </w:t>
      </w:r>
      <w:r>
        <w:rPr>
          <w:color w:val="333333"/>
          <w:w w:val="110"/>
        </w:rPr>
        <w:t>profile:</w:t>
      </w:r>
    </w:p>
    <w:p w14:paraId="4BC5072A" w14:textId="77777777" w:rsidR="00A720EB" w:rsidRDefault="00E10349">
      <w:pPr>
        <w:pStyle w:val="a3"/>
        <w:spacing w:before="1"/>
        <w:rPr>
          <w:sz w:val="15"/>
        </w:rPr>
      </w:pPr>
      <w:r>
        <w:pict w14:anchorId="5396C0EF">
          <v:group id="_x0000_s4590" style="position:absolute;margin-left:47.85pt;margin-top:10.85pt;width:499.55pt;height:140.7pt;z-index:-15609856;mso-wrap-distance-left:0;mso-wrap-distance-right:0;mso-position-horizontal-relative:page" coordorigin="957,217" coordsize="9991,2814">
            <v:shape id="_x0000_s4593" style="position:absolute;left:964;top:224;width:9976;height:2799" coordorigin="965,224" coordsize="9976,2799" path="m10861,224r-9816,l1014,230r-26,18l971,273r-6,31l965,2943r6,31l988,2999r26,17l1045,3023r9816,l10892,3016r25,-17l10935,2974r6,-31l10941,304r-6,-31l10917,248r-25,-18l10861,224xe" fillcolor="#f5f5f5" stroked="f">
              <v:path arrowok="t"/>
            </v:shape>
            <v:shape id="_x0000_s4592" style="position:absolute;left:964;top:224;width:9976;height:2799" coordorigin="965,224" coordsize="9976,2799" path="m1045,224r9816,l10892,230r25,18l10935,273r6,31l10941,2943r-6,31l10917,2999r-25,17l10861,3023r-9816,l1014,3016r-26,-17l971,2974r-6,-31l965,304r6,-31l988,248r26,-18l1045,224xe" filled="f" strokecolor="#ccc">
              <v:path arrowok="t"/>
            </v:shape>
            <v:shape id="_x0000_s4591" type="#_x0000_t202" style="position:absolute;left:984;top:239;width:9938;height:2768" filled="f" stroked="f">
              <v:textbox inset="0,0,0,0">
                <w:txbxContent>
                  <w:p w14:paraId="5ACE9B95" w14:textId="77777777" w:rsidR="00711A16" w:rsidRDefault="00711A16">
                    <w:pPr>
                      <w:spacing w:before="221" w:line="252" w:lineRule="auto"/>
                      <w:ind w:left="420" w:right="8414" w:hanging="220"/>
                      <w:rPr>
                        <w:rFonts w:ascii="MS Gothic"/>
                      </w:rPr>
                    </w:pPr>
                    <w:r>
                      <w:rPr>
                        <w:rFonts w:ascii="MS Gothic"/>
                        <w:color w:val="333333"/>
                      </w:rPr>
                      <w:t>server: port:</w:t>
                    </w:r>
                    <w:r>
                      <w:rPr>
                        <w:rFonts w:ascii="MS Gothic"/>
                        <w:color w:val="333333"/>
                        <w:spacing w:val="3"/>
                      </w:rPr>
                      <w:t xml:space="preserve"> </w:t>
                    </w:r>
                    <w:r>
                      <w:rPr>
                        <w:rFonts w:ascii="MS Gothic"/>
                        <w:color w:val="333333"/>
                        <w:spacing w:val="-5"/>
                      </w:rPr>
                      <w:t>8000</w:t>
                    </w:r>
                  </w:p>
                  <w:p w14:paraId="433394CC" w14:textId="77777777" w:rsidR="00711A16" w:rsidRDefault="00711A16">
                    <w:pPr>
                      <w:spacing w:line="280" w:lineRule="exact"/>
                      <w:ind w:left="200"/>
                      <w:rPr>
                        <w:rFonts w:ascii="MS Gothic"/>
                      </w:rPr>
                    </w:pPr>
                    <w:r>
                      <w:rPr>
                        <w:rFonts w:ascii="MS Gothic"/>
                        <w:color w:val="333333"/>
                      </w:rPr>
                      <w:t>---</w:t>
                    </w:r>
                  </w:p>
                  <w:p w14:paraId="2CE01EA4" w14:textId="77777777" w:rsidR="00711A16" w:rsidRDefault="00711A16">
                    <w:pPr>
                      <w:spacing w:before="13"/>
                      <w:ind w:left="200"/>
                      <w:rPr>
                        <w:rFonts w:ascii="MS Gothic"/>
                      </w:rPr>
                    </w:pPr>
                    <w:r>
                      <w:rPr>
                        <w:rFonts w:ascii="MS Gothic"/>
                        <w:color w:val="333333"/>
                      </w:rPr>
                      <w:t>spring:</w:t>
                    </w:r>
                  </w:p>
                  <w:p w14:paraId="2D044CD3" w14:textId="77777777" w:rsidR="00711A16" w:rsidRDefault="00711A16">
                    <w:pPr>
                      <w:spacing w:before="13" w:line="252" w:lineRule="auto"/>
                      <w:ind w:left="420" w:right="7628"/>
                      <w:rPr>
                        <w:rFonts w:ascii="MS Gothic"/>
                      </w:rPr>
                    </w:pPr>
                    <w:r>
                      <w:rPr>
                        <w:rFonts w:ascii="MS Gothic"/>
                        <w:color w:val="333333"/>
                      </w:rPr>
                      <w:t>profiles: default security:</w:t>
                    </w:r>
                  </w:p>
                  <w:p w14:paraId="19040CED" w14:textId="77777777" w:rsidR="00711A16" w:rsidRDefault="00711A16">
                    <w:pPr>
                      <w:spacing w:line="280" w:lineRule="exact"/>
                      <w:ind w:left="640"/>
                      <w:rPr>
                        <w:rFonts w:ascii="MS Gothic"/>
                      </w:rPr>
                    </w:pPr>
                    <w:r>
                      <w:rPr>
                        <w:rFonts w:ascii="MS Gothic"/>
                        <w:color w:val="333333"/>
                      </w:rPr>
                      <w:t>user:</w:t>
                    </w:r>
                  </w:p>
                  <w:p w14:paraId="4B70A482" w14:textId="77777777" w:rsidR="00711A16" w:rsidRDefault="00711A16">
                    <w:pPr>
                      <w:spacing w:before="13"/>
                      <w:ind w:left="860"/>
                      <w:rPr>
                        <w:rFonts w:ascii="MS Gothic"/>
                      </w:rPr>
                    </w:pPr>
                    <w:r>
                      <w:rPr>
                        <w:rFonts w:ascii="MS Gothic"/>
                        <w:color w:val="333333"/>
                      </w:rPr>
                      <w:t>password: weak</w:t>
                    </w:r>
                  </w:p>
                </w:txbxContent>
              </v:textbox>
            </v:shape>
            <w10:wrap type="topAndBottom" anchorx="page"/>
          </v:group>
        </w:pict>
      </w:r>
    </w:p>
    <w:p w14:paraId="60B0A89A" w14:textId="77777777" w:rsidR="00A720EB" w:rsidRDefault="00A720EB">
      <w:pPr>
        <w:pStyle w:val="a3"/>
        <w:rPr>
          <w:sz w:val="10"/>
        </w:rPr>
      </w:pPr>
    </w:p>
    <w:p w14:paraId="74410DAF" w14:textId="77777777" w:rsidR="00A720EB" w:rsidRDefault="0030286B">
      <w:pPr>
        <w:pStyle w:val="a3"/>
        <w:spacing w:before="125" w:line="307" w:lineRule="auto"/>
        <w:ind w:left="124" w:right="462"/>
      </w:pPr>
      <w:r>
        <w:rPr>
          <w:color w:val="333333"/>
          <w:w w:val="110"/>
        </w:rPr>
        <w:t>Whereas, in the following example, the password is always set because it is not attached to any profile, and it would have to be explicitly reset in all other profiles as necessary:</w:t>
      </w:r>
    </w:p>
    <w:p w14:paraId="7EB6E86F" w14:textId="77777777" w:rsidR="00A720EB" w:rsidRDefault="00E10349">
      <w:pPr>
        <w:pStyle w:val="a3"/>
        <w:spacing w:before="2"/>
        <w:rPr>
          <w:sz w:val="13"/>
        </w:rPr>
      </w:pPr>
      <w:r>
        <w:pict w14:anchorId="597461F8">
          <v:group id="_x0000_s4586" style="position:absolute;margin-left:47.85pt;margin-top:9.7pt;width:499.55pt;height:111.2pt;z-index:-15609344;mso-wrap-distance-left:0;mso-wrap-distance-right:0;mso-position-horizontal-relative:page" coordorigin="957,194" coordsize="9991,2224">
            <v:shape id="_x0000_s4589" style="position:absolute;left:964;top:201;width:9976;height:2209" coordorigin="965,201" coordsize="9976,2209" path="m10861,201r-9816,l1014,208r-26,17l971,250r-6,31l965,2330r6,31l988,2387r26,17l1045,2410r9816,l10892,2404r25,-17l10935,2361r6,-31l10941,281r-6,-31l10917,225r-25,-17l10861,201xe" fillcolor="#f5f5f5" stroked="f">
              <v:path arrowok="t"/>
            </v:shape>
            <v:shape id="_x0000_s4588" style="position:absolute;left:964;top:201;width:9976;height:2209" coordorigin="965,201" coordsize="9976,2209" path="m1045,201r9816,l10892,208r25,17l10935,250r6,31l10941,2330r-6,31l10917,2387r-25,17l10861,2410r-9816,l1014,2404r-26,-17l971,2361r-6,-31l965,281r6,-31l988,225r26,-17l1045,201xe" filled="f" strokecolor="#ccc">
              <v:path arrowok="t"/>
            </v:shape>
            <v:shape id="_x0000_s4587" type="#_x0000_t202" style="position:absolute;left:984;top:216;width:9938;height:2178" filled="f" stroked="f">
              <v:textbox inset="0,0,0,0">
                <w:txbxContent>
                  <w:p w14:paraId="02026D96" w14:textId="77777777" w:rsidR="00711A16" w:rsidRDefault="00711A16">
                    <w:pPr>
                      <w:spacing w:before="221" w:line="252" w:lineRule="auto"/>
                      <w:ind w:left="420" w:right="8414" w:hanging="220"/>
                      <w:rPr>
                        <w:rFonts w:ascii="MS Gothic"/>
                      </w:rPr>
                    </w:pPr>
                    <w:r>
                      <w:rPr>
                        <w:rFonts w:ascii="MS Gothic"/>
                        <w:color w:val="333333"/>
                      </w:rPr>
                      <w:t>server: port:</w:t>
                    </w:r>
                    <w:r>
                      <w:rPr>
                        <w:rFonts w:ascii="MS Gothic"/>
                        <w:color w:val="333333"/>
                        <w:spacing w:val="3"/>
                      </w:rPr>
                      <w:t xml:space="preserve"> </w:t>
                    </w:r>
                    <w:r>
                      <w:rPr>
                        <w:rFonts w:ascii="MS Gothic"/>
                        <w:color w:val="333333"/>
                        <w:spacing w:val="-5"/>
                      </w:rPr>
                      <w:t>8000</w:t>
                    </w:r>
                  </w:p>
                  <w:p w14:paraId="3232C34C" w14:textId="77777777" w:rsidR="00711A16" w:rsidRDefault="00711A16">
                    <w:pPr>
                      <w:spacing w:line="252" w:lineRule="auto"/>
                      <w:ind w:left="420" w:right="8508" w:hanging="220"/>
                      <w:rPr>
                        <w:rFonts w:ascii="MS Gothic"/>
                      </w:rPr>
                    </w:pPr>
                    <w:r>
                      <w:rPr>
                        <w:rFonts w:ascii="MS Gothic"/>
                        <w:color w:val="333333"/>
                      </w:rPr>
                      <w:t>spring: security:</w:t>
                    </w:r>
                  </w:p>
                  <w:p w14:paraId="607B101A" w14:textId="77777777" w:rsidR="00711A16" w:rsidRDefault="00711A16">
                    <w:pPr>
                      <w:spacing w:line="280" w:lineRule="exact"/>
                      <w:ind w:left="640"/>
                      <w:rPr>
                        <w:rFonts w:ascii="MS Gothic"/>
                      </w:rPr>
                    </w:pPr>
                    <w:r>
                      <w:rPr>
                        <w:rFonts w:ascii="MS Gothic"/>
                        <w:color w:val="333333"/>
                      </w:rPr>
                      <w:t>user:</w:t>
                    </w:r>
                  </w:p>
                  <w:p w14:paraId="6C25AFF3" w14:textId="77777777" w:rsidR="00711A16" w:rsidRDefault="00711A16">
                    <w:pPr>
                      <w:spacing w:before="10"/>
                      <w:ind w:left="860"/>
                      <w:rPr>
                        <w:rFonts w:ascii="MS Gothic"/>
                      </w:rPr>
                    </w:pPr>
                    <w:r>
                      <w:rPr>
                        <w:rFonts w:ascii="MS Gothic"/>
                        <w:color w:val="333333"/>
                      </w:rPr>
                      <w:t>password: weak</w:t>
                    </w:r>
                  </w:p>
                </w:txbxContent>
              </v:textbox>
            </v:shape>
            <w10:wrap type="topAndBottom" anchorx="page"/>
          </v:group>
        </w:pict>
      </w:r>
    </w:p>
    <w:p w14:paraId="49FFDFE3" w14:textId="77777777" w:rsidR="00A720EB" w:rsidRDefault="00A720EB">
      <w:pPr>
        <w:rPr>
          <w:sz w:val="13"/>
        </w:rPr>
        <w:sectPr w:rsidR="00A720EB">
          <w:pgSz w:w="11910" w:h="16840"/>
          <w:pgMar w:top="700" w:right="840" w:bottom="520" w:left="840" w:header="0" w:footer="323" w:gutter="0"/>
          <w:cols w:space="720"/>
        </w:sectPr>
      </w:pPr>
    </w:p>
    <w:p w14:paraId="783CE127" w14:textId="77777777" w:rsidR="00A720EB" w:rsidRDefault="0030286B">
      <w:pPr>
        <w:pStyle w:val="a3"/>
        <w:spacing w:before="96" w:line="285" w:lineRule="auto"/>
        <w:ind w:left="124" w:right="123"/>
        <w:jc w:val="both"/>
      </w:pPr>
      <w:r>
        <w:rPr>
          <w:color w:val="333333"/>
          <w:w w:val="110"/>
        </w:rPr>
        <w:lastRenderedPageBreak/>
        <w:t>Spring</w:t>
      </w:r>
      <w:r>
        <w:rPr>
          <w:color w:val="333333"/>
          <w:spacing w:val="-4"/>
          <w:w w:val="110"/>
        </w:rPr>
        <w:t xml:space="preserve"> </w:t>
      </w:r>
      <w:r>
        <w:rPr>
          <w:color w:val="333333"/>
          <w:w w:val="110"/>
        </w:rPr>
        <w:t>profiles</w:t>
      </w:r>
      <w:r>
        <w:rPr>
          <w:color w:val="333333"/>
          <w:spacing w:val="-4"/>
          <w:w w:val="110"/>
        </w:rPr>
        <w:t xml:space="preserve"> </w:t>
      </w:r>
      <w:r>
        <w:rPr>
          <w:color w:val="333333"/>
          <w:w w:val="110"/>
        </w:rPr>
        <w:t>designated</w:t>
      </w:r>
      <w:r>
        <w:rPr>
          <w:color w:val="333333"/>
          <w:spacing w:val="-4"/>
          <w:w w:val="110"/>
        </w:rPr>
        <w:t xml:space="preserve"> </w:t>
      </w:r>
      <w:r>
        <w:rPr>
          <w:color w:val="333333"/>
          <w:spacing w:val="-3"/>
          <w:w w:val="110"/>
        </w:rPr>
        <w:t>by</w:t>
      </w:r>
      <w:r>
        <w:rPr>
          <w:color w:val="333333"/>
          <w:spacing w:val="-4"/>
          <w:w w:val="110"/>
        </w:rPr>
        <w:t xml:space="preserve"> </w:t>
      </w:r>
      <w:r>
        <w:rPr>
          <w:color w:val="333333"/>
          <w:w w:val="110"/>
        </w:rPr>
        <w:t>using</w:t>
      </w:r>
      <w:r>
        <w:rPr>
          <w:color w:val="333333"/>
          <w:spacing w:val="-4"/>
          <w:w w:val="110"/>
        </w:rPr>
        <w:t xml:space="preserve"> </w:t>
      </w:r>
      <w:r>
        <w:rPr>
          <w:color w:val="333333"/>
          <w:w w:val="110"/>
        </w:rPr>
        <w:t>the</w:t>
      </w:r>
      <w:r>
        <w:rPr>
          <w:color w:val="333333"/>
          <w:spacing w:val="3"/>
          <w:w w:val="110"/>
        </w:rPr>
        <w:t xml:space="preserve"> </w:t>
      </w:r>
      <w:proofErr w:type="gramStart"/>
      <w:r>
        <w:rPr>
          <w:rFonts w:ascii="MS Gothic"/>
          <w:color w:val="B02045"/>
          <w:w w:val="110"/>
        </w:rPr>
        <w:t>spring.profiles</w:t>
      </w:r>
      <w:proofErr w:type="gramEnd"/>
      <w:r>
        <w:rPr>
          <w:rFonts w:ascii="MS Gothic"/>
          <w:color w:val="B02045"/>
          <w:spacing w:val="-69"/>
          <w:w w:val="110"/>
        </w:rPr>
        <w:t xml:space="preserve"> </w:t>
      </w:r>
      <w:r>
        <w:rPr>
          <w:color w:val="333333"/>
          <w:w w:val="110"/>
        </w:rPr>
        <w:t>element</w:t>
      </w:r>
      <w:r>
        <w:rPr>
          <w:color w:val="333333"/>
          <w:spacing w:val="-4"/>
          <w:w w:val="110"/>
        </w:rPr>
        <w:t xml:space="preserve"> </w:t>
      </w:r>
      <w:r>
        <w:rPr>
          <w:color w:val="333333"/>
          <w:w w:val="110"/>
        </w:rPr>
        <w:t>may</w:t>
      </w:r>
      <w:r>
        <w:rPr>
          <w:color w:val="333333"/>
          <w:spacing w:val="-4"/>
          <w:w w:val="110"/>
        </w:rPr>
        <w:t xml:space="preserve"> </w:t>
      </w:r>
      <w:r>
        <w:rPr>
          <w:color w:val="333333"/>
          <w:w w:val="110"/>
        </w:rPr>
        <w:t>optionally</w:t>
      </w:r>
      <w:r>
        <w:rPr>
          <w:color w:val="333333"/>
          <w:spacing w:val="-4"/>
          <w:w w:val="110"/>
        </w:rPr>
        <w:t xml:space="preserve"> </w:t>
      </w:r>
      <w:r>
        <w:rPr>
          <w:color w:val="333333"/>
          <w:w w:val="110"/>
        </w:rPr>
        <w:t>be</w:t>
      </w:r>
      <w:r>
        <w:rPr>
          <w:color w:val="333333"/>
          <w:spacing w:val="-4"/>
          <w:w w:val="110"/>
        </w:rPr>
        <w:t xml:space="preserve"> </w:t>
      </w:r>
      <w:r>
        <w:rPr>
          <w:color w:val="333333"/>
          <w:w w:val="110"/>
        </w:rPr>
        <w:t>negated</w:t>
      </w:r>
      <w:r>
        <w:rPr>
          <w:color w:val="333333"/>
          <w:spacing w:val="-4"/>
          <w:w w:val="110"/>
        </w:rPr>
        <w:t xml:space="preserve"> </w:t>
      </w:r>
      <w:r>
        <w:rPr>
          <w:color w:val="333333"/>
          <w:spacing w:val="-3"/>
          <w:w w:val="110"/>
        </w:rPr>
        <w:t xml:space="preserve">by </w:t>
      </w:r>
      <w:r>
        <w:rPr>
          <w:color w:val="333333"/>
          <w:w w:val="110"/>
        </w:rPr>
        <w:t xml:space="preserve">using the </w:t>
      </w:r>
      <w:r>
        <w:rPr>
          <w:rFonts w:ascii="MS Gothic"/>
          <w:color w:val="B02045"/>
          <w:w w:val="110"/>
        </w:rPr>
        <w:t xml:space="preserve">! </w:t>
      </w:r>
      <w:r>
        <w:rPr>
          <w:color w:val="333333"/>
          <w:w w:val="110"/>
        </w:rPr>
        <w:t>character. If both negated and non-negated profiles are specified for a single document, at</w:t>
      </w:r>
      <w:r>
        <w:rPr>
          <w:color w:val="333333"/>
          <w:spacing w:val="50"/>
          <w:w w:val="110"/>
        </w:rPr>
        <w:t xml:space="preserve"> </w:t>
      </w:r>
      <w:r>
        <w:rPr>
          <w:color w:val="333333"/>
          <w:w w:val="110"/>
        </w:rPr>
        <w:t>least one non-negated profile must match, and no negated profiles may</w:t>
      </w:r>
      <w:r>
        <w:rPr>
          <w:color w:val="333333"/>
          <w:spacing w:val="47"/>
          <w:w w:val="110"/>
        </w:rPr>
        <w:t xml:space="preserve"> </w:t>
      </w:r>
      <w:r>
        <w:rPr>
          <w:color w:val="333333"/>
          <w:w w:val="110"/>
        </w:rPr>
        <w:t>match.</w:t>
      </w:r>
    </w:p>
    <w:p w14:paraId="52967F44" w14:textId="77777777" w:rsidR="00A720EB" w:rsidRDefault="00A720EB">
      <w:pPr>
        <w:pStyle w:val="a3"/>
        <w:spacing w:before="7"/>
        <w:rPr>
          <w:sz w:val="27"/>
        </w:rPr>
      </w:pPr>
    </w:p>
    <w:p w14:paraId="729D3555" w14:textId="77777777" w:rsidR="00A720EB" w:rsidRDefault="0030286B">
      <w:pPr>
        <w:pStyle w:val="4"/>
        <w:spacing w:before="1"/>
        <w:jc w:val="left"/>
      </w:pPr>
      <w:bookmarkStart w:id="192" w:name="YAML_Shortcomings"/>
      <w:bookmarkEnd w:id="192"/>
      <w:r>
        <w:rPr>
          <w:color w:val="333333"/>
          <w:w w:val="105"/>
        </w:rPr>
        <w:t>YAML Shortcomings</w:t>
      </w:r>
    </w:p>
    <w:p w14:paraId="1413F1B9" w14:textId="77777777" w:rsidR="00A720EB" w:rsidRDefault="0030286B">
      <w:pPr>
        <w:pStyle w:val="a3"/>
        <w:spacing w:before="243" w:line="290" w:lineRule="auto"/>
        <w:ind w:left="124" w:right="128"/>
        <w:jc w:val="both"/>
      </w:pPr>
      <w:r>
        <w:rPr>
          <w:color w:val="333333"/>
          <w:w w:val="110"/>
        </w:rPr>
        <w:t xml:space="preserve">YAML files cannot be loaded by using the </w:t>
      </w:r>
      <w:r>
        <w:rPr>
          <w:rFonts w:ascii="MS Gothic"/>
          <w:color w:val="B02045"/>
          <w:w w:val="110"/>
        </w:rPr>
        <w:t xml:space="preserve">@PropertySource </w:t>
      </w:r>
      <w:r>
        <w:rPr>
          <w:color w:val="333333"/>
          <w:w w:val="110"/>
        </w:rPr>
        <w:t>annotation. So, in the case that you need to load values that way, you need to use a properties file.</w:t>
      </w:r>
    </w:p>
    <w:p w14:paraId="5C2CF2CA" w14:textId="77777777" w:rsidR="00A720EB" w:rsidRDefault="00A720EB">
      <w:pPr>
        <w:pStyle w:val="a3"/>
        <w:rPr>
          <w:sz w:val="22"/>
        </w:rPr>
      </w:pPr>
    </w:p>
    <w:p w14:paraId="436B0C25" w14:textId="77777777" w:rsidR="00A720EB" w:rsidRDefault="0030286B">
      <w:pPr>
        <w:pStyle w:val="a3"/>
        <w:spacing w:before="1" w:line="307" w:lineRule="auto"/>
        <w:ind w:left="124" w:right="131"/>
        <w:jc w:val="both"/>
      </w:pPr>
      <w:r>
        <w:rPr>
          <w:color w:val="333333"/>
          <w:w w:val="110"/>
        </w:rPr>
        <w:t xml:space="preserve">Using the multi </w:t>
      </w:r>
      <w:r>
        <w:rPr>
          <w:color w:val="333333"/>
          <w:spacing w:val="-5"/>
          <w:w w:val="110"/>
        </w:rPr>
        <w:t xml:space="preserve">YAML </w:t>
      </w:r>
      <w:r>
        <w:rPr>
          <w:color w:val="333333"/>
          <w:w w:val="110"/>
        </w:rPr>
        <w:t xml:space="preserve">document syntax in profile-specific </w:t>
      </w:r>
      <w:r>
        <w:rPr>
          <w:color w:val="333333"/>
          <w:spacing w:val="-5"/>
          <w:w w:val="110"/>
        </w:rPr>
        <w:t xml:space="preserve">YAML </w:t>
      </w:r>
      <w:r>
        <w:rPr>
          <w:color w:val="333333"/>
          <w:w w:val="110"/>
        </w:rPr>
        <w:t xml:space="preserve">files can lead to unexpected behavior. </w:t>
      </w:r>
      <w:r>
        <w:rPr>
          <w:color w:val="333333"/>
          <w:spacing w:val="-4"/>
          <w:w w:val="110"/>
        </w:rPr>
        <w:t xml:space="preserve">For </w:t>
      </w:r>
      <w:r>
        <w:rPr>
          <w:color w:val="333333"/>
          <w:w w:val="110"/>
        </w:rPr>
        <w:t>example, consider the following config in a</w:t>
      </w:r>
      <w:r>
        <w:rPr>
          <w:color w:val="333333"/>
          <w:spacing w:val="41"/>
          <w:w w:val="110"/>
        </w:rPr>
        <w:t xml:space="preserve"> </w:t>
      </w:r>
      <w:r>
        <w:rPr>
          <w:color w:val="333333"/>
          <w:w w:val="110"/>
        </w:rPr>
        <w:t>file:</w:t>
      </w:r>
    </w:p>
    <w:p w14:paraId="7CBDBC55" w14:textId="77777777" w:rsidR="00A720EB" w:rsidRDefault="00E10349">
      <w:pPr>
        <w:spacing w:before="218"/>
        <w:ind w:left="124"/>
        <w:rPr>
          <w:rFonts w:ascii="Palatino Linotype"/>
          <w:i/>
          <w:sz w:val="20"/>
        </w:rPr>
      </w:pPr>
      <w:r>
        <w:pict w14:anchorId="60DF5C6E">
          <v:group id="_x0000_s4582" style="position:absolute;left:0;text-align:left;margin-left:47.85pt;margin-top:28.65pt;width:499.55pt;height:140.7pt;z-index:-15607808;mso-wrap-distance-left:0;mso-wrap-distance-right:0;mso-position-horizontal-relative:page" coordorigin="957,573" coordsize="9991,2814">
            <v:shape id="_x0000_s4585" style="position:absolute;left:964;top:580;width:9976;height:2799" coordorigin="965,580" coordsize="9976,2799" path="m10861,580r-9816,l1014,587r-26,17l971,629r-6,31l965,3299r6,31l988,3355r26,18l1045,3379r9816,l10892,3373r25,-18l10935,3330r6,-31l10941,660r-6,-31l10917,604r-25,-17l10861,580xe" fillcolor="#f5f5f5" stroked="f">
              <v:path arrowok="t"/>
            </v:shape>
            <v:shape id="_x0000_s4584" style="position:absolute;left:964;top:580;width:9976;height:2799" coordorigin="965,580" coordsize="9976,2799" path="m1045,580r9816,l10892,587r25,17l10935,629r6,31l10941,3299r-6,31l10917,3355r-25,18l10861,3379r-9816,l1014,3373r-26,-18l971,3330r-6,-31l965,660r6,-31l988,604r26,-17l1045,580xe" filled="f" strokecolor="#ccc">
              <v:path arrowok="t"/>
            </v:shape>
            <v:shape id="_x0000_s4583" type="#_x0000_t202" style="position:absolute;left:984;top:595;width:9938;height:2768" filled="f" stroked="f">
              <v:textbox inset="0,0,0,0">
                <w:txbxContent>
                  <w:p w14:paraId="1E7E4AAC" w14:textId="77777777" w:rsidR="00711A16" w:rsidRDefault="00711A16">
                    <w:pPr>
                      <w:spacing w:before="221" w:line="252" w:lineRule="auto"/>
                      <w:ind w:left="420" w:right="8414" w:hanging="220"/>
                      <w:rPr>
                        <w:rFonts w:ascii="MS Gothic"/>
                      </w:rPr>
                    </w:pPr>
                    <w:r>
                      <w:rPr>
                        <w:rFonts w:ascii="MS Gothic"/>
                        <w:color w:val="333333"/>
                      </w:rPr>
                      <w:t>server: port:</w:t>
                    </w:r>
                    <w:r>
                      <w:rPr>
                        <w:rFonts w:ascii="MS Gothic"/>
                        <w:color w:val="333333"/>
                        <w:spacing w:val="3"/>
                      </w:rPr>
                      <w:t xml:space="preserve"> </w:t>
                    </w:r>
                    <w:r>
                      <w:rPr>
                        <w:rFonts w:ascii="MS Gothic"/>
                        <w:color w:val="333333"/>
                        <w:spacing w:val="-5"/>
                      </w:rPr>
                      <w:t>8000</w:t>
                    </w:r>
                  </w:p>
                  <w:p w14:paraId="6E03683F" w14:textId="77777777" w:rsidR="00711A16" w:rsidRDefault="00711A16">
                    <w:pPr>
                      <w:spacing w:line="280" w:lineRule="exact"/>
                      <w:ind w:left="200"/>
                      <w:rPr>
                        <w:rFonts w:ascii="MS Gothic"/>
                      </w:rPr>
                    </w:pPr>
                    <w:r>
                      <w:rPr>
                        <w:rFonts w:ascii="MS Gothic"/>
                        <w:color w:val="333333"/>
                      </w:rPr>
                      <w:t>---</w:t>
                    </w:r>
                  </w:p>
                  <w:p w14:paraId="13C328D5" w14:textId="77777777" w:rsidR="00711A16" w:rsidRDefault="00711A16">
                    <w:pPr>
                      <w:spacing w:before="13"/>
                      <w:ind w:left="200"/>
                      <w:rPr>
                        <w:rFonts w:ascii="MS Gothic"/>
                      </w:rPr>
                    </w:pPr>
                    <w:r>
                      <w:rPr>
                        <w:rFonts w:ascii="MS Gothic"/>
                        <w:color w:val="333333"/>
                      </w:rPr>
                      <w:t>spring:</w:t>
                    </w:r>
                  </w:p>
                  <w:p w14:paraId="4102353E" w14:textId="77777777" w:rsidR="00711A16" w:rsidRDefault="00711A16">
                    <w:pPr>
                      <w:spacing w:before="13" w:line="252" w:lineRule="auto"/>
                      <w:ind w:left="420" w:right="7628"/>
                      <w:rPr>
                        <w:rFonts w:ascii="MS Gothic"/>
                      </w:rPr>
                    </w:pPr>
                    <w:r>
                      <w:rPr>
                        <w:rFonts w:ascii="MS Gothic"/>
                        <w:color w:val="333333"/>
                      </w:rPr>
                      <w:t xml:space="preserve">profiles: </w:t>
                    </w:r>
                    <w:proofErr w:type="gramStart"/>
                    <w:r>
                      <w:rPr>
                        <w:rFonts w:ascii="MS Gothic"/>
                        <w:color w:val="333333"/>
                      </w:rPr>
                      <w:t>"!test</w:t>
                    </w:r>
                    <w:proofErr w:type="gramEnd"/>
                    <w:r>
                      <w:rPr>
                        <w:rFonts w:ascii="MS Gothic"/>
                        <w:color w:val="333333"/>
                      </w:rPr>
                      <w:t>" security:</w:t>
                    </w:r>
                  </w:p>
                  <w:p w14:paraId="0CC15867" w14:textId="77777777" w:rsidR="00711A16" w:rsidRDefault="00711A16">
                    <w:pPr>
                      <w:spacing w:line="280" w:lineRule="exact"/>
                      <w:ind w:left="640"/>
                      <w:rPr>
                        <w:rFonts w:ascii="MS Gothic"/>
                      </w:rPr>
                    </w:pPr>
                    <w:r>
                      <w:rPr>
                        <w:rFonts w:ascii="MS Gothic"/>
                        <w:color w:val="333333"/>
                      </w:rPr>
                      <w:t>user:</w:t>
                    </w:r>
                  </w:p>
                  <w:p w14:paraId="706928D4" w14:textId="77777777" w:rsidR="00711A16" w:rsidRDefault="00711A16">
                    <w:pPr>
                      <w:spacing w:before="13"/>
                      <w:ind w:left="860"/>
                      <w:rPr>
                        <w:rFonts w:ascii="MS Gothic"/>
                      </w:rPr>
                    </w:pPr>
                    <w:r>
                      <w:rPr>
                        <w:rFonts w:ascii="MS Gothic"/>
                        <w:color w:val="333333"/>
                      </w:rPr>
                      <w:t>password: "secret"</w:t>
                    </w:r>
                  </w:p>
                </w:txbxContent>
              </v:textbox>
            </v:shape>
            <w10:wrap type="topAndBottom" anchorx="page"/>
          </v:group>
        </w:pict>
      </w:r>
      <w:r w:rsidR="0030286B">
        <w:rPr>
          <w:rFonts w:ascii="Palatino Linotype"/>
          <w:i/>
          <w:color w:val="333333"/>
          <w:w w:val="115"/>
          <w:sz w:val="20"/>
        </w:rPr>
        <w:t>application-dev.yml</w:t>
      </w:r>
    </w:p>
    <w:p w14:paraId="15EF015E" w14:textId="77777777" w:rsidR="00A720EB" w:rsidRDefault="00A720EB">
      <w:pPr>
        <w:pStyle w:val="a3"/>
        <w:spacing w:before="8"/>
        <w:rPr>
          <w:rFonts w:ascii="Palatino Linotype"/>
          <w:i/>
          <w:sz w:val="8"/>
        </w:rPr>
      </w:pPr>
    </w:p>
    <w:p w14:paraId="0D1429A0" w14:textId="77777777" w:rsidR="00A720EB" w:rsidRDefault="0030286B">
      <w:pPr>
        <w:pStyle w:val="a3"/>
        <w:spacing w:before="116"/>
        <w:ind w:left="124"/>
        <w:jc w:val="both"/>
      </w:pPr>
      <w:r>
        <w:rPr>
          <w:color w:val="333333"/>
          <w:w w:val="110"/>
        </w:rPr>
        <w:t xml:space="preserve">If you run the application with the argument </w:t>
      </w:r>
      <w:r>
        <w:rPr>
          <w:rFonts w:ascii="MS Gothic"/>
          <w:color w:val="B02045"/>
          <w:w w:val="110"/>
        </w:rPr>
        <w:t>--</w:t>
      </w:r>
      <w:proofErr w:type="gramStart"/>
      <w:r>
        <w:rPr>
          <w:rFonts w:ascii="MS Gothic"/>
          <w:color w:val="B02045"/>
          <w:w w:val="110"/>
        </w:rPr>
        <w:t>spring.profiles</w:t>
      </w:r>
      <w:proofErr w:type="gramEnd"/>
      <w:r>
        <w:rPr>
          <w:rFonts w:ascii="MS Gothic"/>
          <w:color w:val="B02045"/>
          <w:w w:val="110"/>
        </w:rPr>
        <w:t xml:space="preserve">.active=dev </w:t>
      </w:r>
      <w:r>
        <w:rPr>
          <w:color w:val="333333"/>
          <w:w w:val="110"/>
        </w:rPr>
        <w:t>you might expect</w:t>
      </w:r>
    </w:p>
    <w:p w14:paraId="598D949F" w14:textId="77777777" w:rsidR="00A720EB" w:rsidRDefault="0030286B">
      <w:pPr>
        <w:pStyle w:val="a3"/>
        <w:spacing w:before="47"/>
        <w:ind w:left="124"/>
        <w:jc w:val="both"/>
      </w:pPr>
      <w:r>
        <w:rPr>
          <w:rFonts w:ascii="MS Gothic" w:hAnsi="MS Gothic"/>
          <w:color w:val="B02045"/>
          <w:w w:val="110"/>
        </w:rPr>
        <w:t>security.</w:t>
      </w:r>
      <w:proofErr w:type="gramStart"/>
      <w:r>
        <w:rPr>
          <w:rFonts w:ascii="MS Gothic" w:hAnsi="MS Gothic"/>
          <w:color w:val="B02045"/>
          <w:w w:val="110"/>
        </w:rPr>
        <w:t>user.password</w:t>
      </w:r>
      <w:proofErr w:type="gramEnd"/>
      <w:r>
        <w:rPr>
          <w:rFonts w:ascii="MS Gothic" w:hAnsi="MS Gothic"/>
          <w:color w:val="B02045"/>
          <w:spacing w:val="-67"/>
          <w:w w:val="110"/>
        </w:rPr>
        <w:t xml:space="preserve"> </w:t>
      </w:r>
      <w:r>
        <w:rPr>
          <w:color w:val="333333"/>
          <w:w w:val="110"/>
        </w:rPr>
        <w:t>to be set to “secret”, but this is not the case.</w:t>
      </w:r>
    </w:p>
    <w:p w14:paraId="278B8C21" w14:textId="77777777" w:rsidR="00A720EB" w:rsidRDefault="00A720EB">
      <w:pPr>
        <w:pStyle w:val="a3"/>
        <w:spacing w:before="5"/>
        <w:rPr>
          <w:sz w:val="24"/>
        </w:rPr>
      </w:pPr>
    </w:p>
    <w:p w14:paraId="2F8B84D6" w14:textId="77777777" w:rsidR="00A720EB" w:rsidRDefault="0030286B">
      <w:pPr>
        <w:pStyle w:val="a3"/>
        <w:spacing w:line="290" w:lineRule="auto"/>
        <w:ind w:left="124" w:right="123"/>
        <w:jc w:val="both"/>
      </w:pPr>
      <w:r>
        <w:rPr>
          <w:color w:val="333333"/>
          <w:w w:val="110"/>
        </w:rPr>
        <w:t xml:space="preserve">The nested document will be filtered because the main file is named </w:t>
      </w:r>
      <w:r>
        <w:rPr>
          <w:rFonts w:ascii="MS Gothic"/>
          <w:color w:val="B02045"/>
          <w:w w:val="110"/>
        </w:rPr>
        <w:t>application-dev.yml</w:t>
      </w:r>
      <w:r>
        <w:rPr>
          <w:color w:val="333333"/>
          <w:w w:val="110"/>
        </w:rPr>
        <w:t>. It is already considered to be profile-specific, and nested documents will be ignored.</w:t>
      </w:r>
    </w:p>
    <w:p w14:paraId="1673DE16" w14:textId="77777777" w:rsidR="00A720EB" w:rsidRDefault="00A720EB">
      <w:pPr>
        <w:pStyle w:val="a3"/>
        <w:spacing w:before="10"/>
        <w:rPr>
          <w:sz w:val="28"/>
        </w:rPr>
      </w:pPr>
    </w:p>
    <w:p w14:paraId="761BAB62" w14:textId="77777777" w:rsidR="00A720EB" w:rsidRDefault="00E10349">
      <w:pPr>
        <w:pStyle w:val="a3"/>
        <w:spacing w:line="307" w:lineRule="auto"/>
        <w:ind w:left="1564"/>
      </w:pPr>
      <w:r>
        <w:pict w14:anchorId="73E9D308">
          <v:line id="_x0000_s4581" style="position:absolute;left:0;text-align:left;z-index:15849984;mso-position-horizontal-relative:page" from="108.25pt,-6pt" to="108.25pt,33.55pt" strokecolor="#ededed" strokeweight=".5pt">
            <w10:wrap anchorx="page"/>
          </v:line>
        </w:pict>
      </w:r>
      <w:r w:rsidR="0030286B">
        <w:rPr>
          <w:noProof/>
        </w:rPr>
        <w:drawing>
          <wp:anchor distT="0" distB="0" distL="0" distR="0" simplePos="0" relativeHeight="15850496" behindDoc="0" locked="0" layoutInCell="1" allowOverlap="1" wp14:anchorId="6C51C966" wp14:editId="18A832B0">
            <wp:simplePos x="0" y="0"/>
            <wp:positionH relativeFrom="page">
              <wp:posOffset>888949</wp:posOffset>
            </wp:positionH>
            <wp:positionV relativeFrom="paragraph">
              <wp:posOffset>22771</wp:posOffset>
            </wp:positionV>
            <wp:extent cx="209550" cy="304800"/>
            <wp:effectExtent l="0" t="0" r="0" b="0"/>
            <wp:wrapNone/>
            <wp:docPr id="1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We recommend that you don’t mix profile-specific YAML files and multiple YAML documents. Stick to using only one of them.</w:t>
      </w:r>
    </w:p>
    <w:p w14:paraId="1E8AD40D" w14:textId="77777777" w:rsidR="00A720EB" w:rsidRDefault="00A720EB">
      <w:pPr>
        <w:pStyle w:val="a3"/>
        <w:spacing w:before="6"/>
        <w:rPr>
          <w:sz w:val="32"/>
        </w:rPr>
      </w:pPr>
    </w:p>
    <w:p w14:paraId="4EF5BD88" w14:textId="77777777" w:rsidR="00A720EB" w:rsidRDefault="0030286B">
      <w:pPr>
        <w:pStyle w:val="3"/>
        <w:numPr>
          <w:ilvl w:val="2"/>
          <w:numId w:val="68"/>
        </w:numPr>
        <w:tabs>
          <w:tab w:val="left" w:pos="858"/>
        </w:tabs>
        <w:ind w:hanging="734"/>
      </w:pPr>
      <w:bookmarkStart w:id="193" w:name="4.2.8._Type-safe_Configuration_Propertie"/>
      <w:bookmarkStart w:id="194" w:name="_Toc54423730"/>
      <w:bookmarkEnd w:id="193"/>
      <w:r>
        <w:rPr>
          <w:color w:val="333333"/>
          <w:w w:val="110"/>
        </w:rPr>
        <w:t>Type-safe Configuration</w:t>
      </w:r>
      <w:r>
        <w:rPr>
          <w:color w:val="333333"/>
          <w:spacing w:val="-11"/>
          <w:w w:val="110"/>
        </w:rPr>
        <w:t xml:space="preserve"> </w:t>
      </w:r>
      <w:r>
        <w:rPr>
          <w:color w:val="333333"/>
          <w:w w:val="110"/>
        </w:rPr>
        <w:t>Properties</w:t>
      </w:r>
      <w:bookmarkEnd w:id="194"/>
    </w:p>
    <w:p w14:paraId="4474D6D5" w14:textId="77777777" w:rsidR="00A720EB" w:rsidRDefault="0030286B">
      <w:pPr>
        <w:pStyle w:val="a3"/>
        <w:spacing w:before="244" w:line="302" w:lineRule="auto"/>
        <w:ind w:left="124" w:right="131"/>
        <w:jc w:val="both"/>
      </w:pPr>
      <w:r>
        <w:rPr>
          <w:color w:val="333333"/>
          <w:w w:val="110"/>
        </w:rPr>
        <w:t xml:space="preserve">Using the </w:t>
      </w:r>
      <w:r>
        <w:rPr>
          <w:rFonts w:ascii="MS Gothic"/>
          <w:color w:val="B02045"/>
          <w:w w:val="110"/>
        </w:rPr>
        <w:t xml:space="preserve">@Value("${property}") </w:t>
      </w:r>
      <w:r>
        <w:rPr>
          <w:color w:val="333333"/>
          <w:w w:val="110"/>
        </w:rPr>
        <w:t>annotation to inject configuration properties can sometimes be cumbersome, especially if you are working with multiple properties or your data is hierarchical in nature. Spring Boot provides an alternative method of working with properties that lets strongly typed beans govern and validate the configuration of your application.</w:t>
      </w:r>
    </w:p>
    <w:p w14:paraId="51628DB5" w14:textId="77777777" w:rsidR="00A720EB" w:rsidRDefault="00E10349">
      <w:pPr>
        <w:pStyle w:val="a3"/>
        <w:spacing w:before="199"/>
        <w:ind w:left="561"/>
      </w:pPr>
      <w:r>
        <w:pict w14:anchorId="07AD3B52">
          <v:line id="_x0000_s4580" style="position:absolute;left:0;text-align:left;z-index:-41683456;mso-position-horizontal-relative:page" from="108.25pt,10.15pt" to="108.25pt,33.9pt" strokecolor="#ededed" strokeweight=".5pt">
            <w10:wrap anchorx="page"/>
          </v:line>
        </w:pict>
      </w:r>
      <w:r w:rsidR="0030286B">
        <w:rPr>
          <w:noProof/>
          <w:position w:val="-15"/>
        </w:rPr>
        <w:drawing>
          <wp:inline distT="0" distB="0" distL="0" distR="0" wp14:anchorId="1BC960CE" wp14:editId="1793722A">
            <wp:extent cx="209550" cy="304800"/>
            <wp:effectExtent l="0" t="0" r="0" b="0"/>
            <wp:docPr id="1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See also the </w:t>
      </w:r>
      <w:hyperlink w:anchor="_bookmark125" w:history="1">
        <w:r w:rsidR="0030286B">
          <w:rPr>
            <w:color w:val="418BCA"/>
            <w:w w:val="110"/>
          </w:rPr>
          <w:t xml:space="preserve">differences between </w:t>
        </w:r>
      </w:hyperlink>
      <w:hyperlink w:anchor="_bookmark125" w:history="1">
        <w:r w:rsidR="0030286B">
          <w:rPr>
            <w:rFonts w:ascii="MS Gothic"/>
            <w:color w:val="B02045"/>
            <w:w w:val="110"/>
          </w:rPr>
          <w:t>@Value</w:t>
        </w:r>
        <w:r w:rsidR="0030286B">
          <w:rPr>
            <w:rFonts w:ascii="MS Gothic"/>
            <w:color w:val="B02045"/>
            <w:spacing w:val="-48"/>
            <w:w w:val="110"/>
          </w:rPr>
          <w:t xml:space="preserve"> </w:t>
        </w:r>
      </w:hyperlink>
      <w:hyperlink w:anchor="_bookmark125" w:history="1">
        <w:r w:rsidR="0030286B">
          <w:rPr>
            <w:color w:val="418BCA"/>
            <w:w w:val="110"/>
          </w:rPr>
          <w:t>and type-safe configuration properties</w:t>
        </w:r>
      </w:hyperlink>
      <w:r w:rsidR="0030286B">
        <w:rPr>
          <w:color w:val="333333"/>
          <w:w w:val="110"/>
        </w:rPr>
        <w:t>.</w:t>
      </w:r>
    </w:p>
    <w:p w14:paraId="4CE33AE9" w14:textId="77777777" w:rsidR="00A720EB" w:rsidRDefault="0030286B">
      <w:pPr>
        <w:pStyle w:val="4"/>
        <w:spacing w:before="340"/>
      </w:pPr>
      <w:bookmarkStart w:id="195" w:name="JavaBean_properties_binding"/>
      <w:bookmarkEnd w:id="195"/>
      <w:r>
        <w:rPr>
          <w:color w:val="333333"/>
          <w:w w:val="110"/>
        </w:rPr>
        <w:t>JavaBean properties binding</w:t>
      </w:r>
    </w:p>
    <w:p w14:paraId="4457D489" w14:textId="77777777" w:rsidR="00A720EB" w:rsidRDefault="00A720EB">
      <w:pPr>
        <w:pStyle w:val="a3"/>
        <w:spacing w:before="11"/>
        <w:rPr>
          <w:rFonts w:ascii="Palatino Linotype"/>
          <w:b/>
          <w:sz w:val="18"/>
        </w:rPr>
      </w:pPr>
    </w:p>
    <w:p w14:paraId="78816814" w14:textId="77777777" w:rsidR="00A720EB" w:rsidRDefault="0030286B">
      <w:pPr>
        <w:pStyle w:val="a3"/>
        <w:spacing w:line="307" w:lineRule="auto"/>
        <w:ind w:left="124" w:right="134"/>
        <w:jc w:val="both"/>
      </w:pPr>
      <w:r>
        <w:rPr>
          <w:color w:val="333333"/>
          <w:w w:val="110"/>
        </w:rPr>
        <w:t>It is possible to bind a bean declaring standard JavaBean properties as shown in the following example:</w:t>
      </w:r>
    </w:p>
    <w:p w14:paraId="1782BF14" w14:textId="77777777" w:rsidR="00A720EB" w:rsidRDefault="00A720EB">
      <w:pPr>
        <w:spacing w:line="307" w:lineRule="auto"/>
        <w:jc w:val="both"/>
        <w:sectPr w:rsidR="00A720EB">
          <w:pgSz w:w="11910" w:h="16840"/>
          <w:pgMar w:top="620" w:right="840" w:bottom="520" w:left="840" w:header="0" w:footer="323" w:gutter="0"/>
          <w:cols w:space="720"/>
        </w:sectPr>
      </w:pPr>
    </w:p>
    <w:p w14:paraId="0DE926D4" w14:textId="77777777" w:rsidR="00A720EB" w:rsidRDefault="00E10349">
      <w:pPr>
        <w:pStyle w:val="a3"/>
        <w:spacing w:before="4"/>
        <w:rPr>
          <w:sz w:val="10"/>
        </w:rPr>
      </w:pPr>
      <w:r>
        <w:lastRenderedPageBreak/>
        <w:pict w14:anchorId="0E8F78FF">
          <v:group id="_x0000_s4577" style="position:absolute;margin-left:47.85pt;margin-top:35.65pt;width:499.55pt;height:758.4pt;z-index:-41682944;mso-position-horizontal-relative:page;mso-position-vertical-relative:page" coordorigin="957,713" coordsize="9991,15168">
            <v:shape id="_x0000_s4579" style="position:absolute;left:964;top:720;width:9976;height:15153" coordorigin="965,720" coordsize="9976,15153" path="m10861,720r-9816,l1014,726r-26,17l971,769r-6,31l965,15793r6,31l988,15850r26,17l1045,15873r9816,l10892,15867r25,-17l10935,15824r6,-31l10941,800r-6,-31l10917,743r-25,-17l10861,720xe" fillcolor="#f5f5f5" stroked="f">
              <v:path arrowok="t"/>
            </v:shape>
            <v:shape id="_x0000_s4578" style="position:absolute;left:964;top:720;width:9976;height:15153" coordorigin="965,720" coordsize="9976,15153" path="m1045,720r9816,l10892,726r25,17l10935,769r6,31l10941,15793r-6,31l10917,15850r-25,17l10861,15873r-9816,l1014,15867r-26,-17l971,15824r-6,-31l965,800r6,-31l988,743r26,-17l1045,720xe" filled="f" strokecolor="#ccc">
              <v:path arrowok="t"/>
            </v:shape>
            <w10:wrap anchorx="page" anchory="page"/>
          </v:group>
        </w:pict>
      </w:r>
    </w:p>
    <w:p w14:paraId="44834E36" w14:textId="77777777" w:rsidR="00A720EB" w:rsidRDefault="0030286B">
      <w:pPr>
        <w:spacing w:before="117"/>
        <w:ind w:left="344"/>
        <w:rPr>
          <w:rFonts w:ascii="MS Gothic"/>
        </w:rPr>
      </w:pPr>
      <w:r>
        <w:rPr>
          <w:rFonts w:ascii="MS Gothic"/>
          <w:color w:val="333333"/>
        </w:rPr>
        <w:t>package com.example;</w:t>
      </w:r>
    </w:p>
    <w:p w14:paraId="7C5C341F" w14:textId="77777777" w:rsidR="00A720EB" w:rsidRDefault="00A720EB">
      <w:pPr>
        <w:pStyle w:val="a3"/>
        <w:rPr>
          <w:rFonts w:ascii="MS Gothic"/>
          <w:sz w:val="24"/>
        </w:rPr>
      </w:pPr>
    </w:p>
    <w:p w14:paraId="7848868A" w14:textId="77777777" w:rsidR="00A720EB" w:rsidRDefault="0030286B">
      <w:pPr>
        <w:spacing w:line="252" w:lineRule="auto"/>
        <w:ind w:left="344" w:right="6676"/>
        <w:rPr>
          <w:rFonts w:ascii="MS Gothic"/>
        </w:rPr>
      </w:pPr>
      <w:r>
        <w:rPr>
          <w:rFonts w:ascii="MS Gothic"/>
          <w:color w:val="333333"/>
        </w:rPr>
        <w:t xml:space="preserve">import </w:t>
      </w:r>
      <w:proofErr w:type="gramStart"/>
      <w:r>
        <w:rPr>
          <w:rFonts w:ascii="MS Gothic"/>
          <w:color w:val="333333"/>
        </w:rPr>
        <w:t>java.net.InetAddress</w:t>
      </w:r>
      <w:proofErr w:type="gramEnd"/>
      <w:r>
        <w:rPr>
          <w:rFonts w:ascii="MS Gothic"/>
          <w:color w:val="333333"/>
        </w:rPr>
        <w:t>; import java.util.ArrayList; import java.util.Collections; import java.util.List;</w:t>
      </w:r>
    </w:p>
    <w:p w14:paraId="115E50F3" w14:textId="77777777" w:rsidR="00A720EB" w:rsidRDefault="0030286B">
      <w:pPr>
        <w:spacing w:before="39" w:line="590" w:lineRule="exact"/>
        <w:ind w:left="344" w:right="1616"/>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.boot.context.properties.ConfigurationProperties; @ConfigurationProperties("acme")</w:t>
      </w:r>
    </w:p>
    <w:p w14:paraId="6A5434A5" w14:textId="77777777" w:rsidR="00A720EB" w:rsidRDefault="0030286B">
      <w:pPr>
        <w:spacing w:line="238" w:lineRule="exact"/>
        <w:ind w:left="344"/>
        <w:rPr>
          <w:rFonts w:ascii="MS Gothic"/>
        </w:rPr>
      </w:pPr>
      <w:r>
        <w:rPr>
          <w:rFonts w:ascii="MS Gothic"/>
          <w:color w:val="333333"/>
        </w:rPr>
        <w:t>public class AcmeProperties {</w:t>
      </w:r>
    </w:p>
    <w:p w14:paraId="3B748AE3" w14:textId="77777777" w:rsidR="00A720EB" w:rsidRDefault="00A720EB">
      <w:pPr>
        <w:pStyle w:val="a3"/>
        <w:rPr>
          <w:rFonts w:ascii="MS Gothic"/>
          <w:sz w:val="24"/>
        </w:rPr>
      </w:pPr>
    </w:p>
    <w:p w14:paraId="0101045B" w14:textId="77777777" w:rsidR="00A720EB" w:rsidRDefault="0030286B">
      <w:pPr>
        <w:ind w:left="784"/>
        <w:rPr>
          <w:rFonts w:ascii="MS Gothic"/>
        </w:rPr>
      </w:pPr>
      <w:r>
        <w:rPr>
          <w:rFonts w:ascii="MS Gothic"/>
          <w:color w:val="333333"/>
        </w:rPr>
        <w:t>private boolean enabled;</w:t>
      </w:r>
    </w:p>
    <w:p w14:paraId="1F10BB07" w14:textId="77777777" w:rsidR="00A720EB" w:rsidRDefault="00A720EB">
      <w:pPr>
        <w:pStyle w:val="a3"/>
        <w:rPr>
          <w:rFonts w:ascii="MS Gothic"/>
          <w:sz w:val="24"/>
        </w:rPr>
      </w:pPr>
    </w:p>
    <w:p w14:paraId="5FE3B636" w14:textId="77777777" w:rsidR="00A720EB" w:rsidRDefault="0030286B">
      <w:pPr>
        <w:ind w:left="784"/>
        <w:rPr>
          <w:rFonts w:ascii="MS Gothic"/>
        </w:rPr>
      </w:pPr>
      <w:r>
        <w:rPr>
          <w:rFonts w:ascii="MS Gothic"/>
          <w:color w:val="333333"/>
        </w:rPr>
        <w:t>private InetAddress remoteAddress;</w:t>
      </w:r>
    </w:p>
    <w:p w14:paraId="3DD22393" w14:textId="77777777" w:rsidR="00A720EB" w:rsidRDefault="00A720EB">
      <w:pPr>
        <w:pStyle w:val="a3"/>
        <w:rPr>
          <w:rFonts w:ascii="MS Gothic"/>
          <w:sz w:val="24"/>
        </w:rPr>
      </w:pPr>
    </w:p>
    <w:p w14:paraId="41AB9A6A" w14:textId="77777777" w:rsidR="00A720EB" w:rsidRDefault="0030286B">
      <w:pPr>
        <w:spacing w:line="501" w:lineRule="auto"/>
        <w:ind w:left="784" w:right="4036"/>
        <w:rPr>
          <w:rFonts w:ascii="MS Gothic"/>
        </w:rPr>
      </w:pPr>
      <w:r>
        <w:rPr>
          <w:rFonts w:ascii="MS Gothic"/>
          <w:color w:val="333333"/>
        </w:rPr>
        <w:t xml:space="preserve">private final Security security = new </w:t>
      </w:r>
      <w:proofErr w:type="gramStart"/>
      <w:r>
        <w:rPr>
          <w:rFonts w:ascii="MS Gothic"/>
          <w:color w:val="333333"/>
        </w:rPr>
        <w:t>Security(</w:t>
      </w:r>
      <w:proofErr w:type="gramEnd"/>
      <w:r>
        <w:rPr>
          <w:rFonts w:ascii="MS Gothic"/>
          <w:color w:val="333333"/>
        </w:rPr>
        <w:t>); public boolean isEnabled() { ... }</w:t>
      </w:r>
    </w:p>
    <w:p w14:paraId="6F4FB071" w14:textId="77777777" w:rsidR="00A720EB" w:rsidRDefault="0030286B">
      <w:pPr>
        <w:spacing w:before="1" w:line="501" w:lineRule="auto"/>
        <w:ind w:left="784" w:right="4256"/>
        <w:rPr>
          <w:rFonts w:ascii="MS Gothic"/>
        </w:rPr>
      </w:pPr>
      <w:r>
        <w:rPr>
          <w:rFonts w:ascii="MS Gothic"/>
          <w:color w:val="333333"/>
        </w:rPr>
        <w:t xml:space="preserve">public void </w:t>
      </w:r>
      <w:proofErr w:type="gramStart"/>
      <w:r>
        <w:rPr>
          <w:rFonts w:ascii="MS Gothic"/>
          <w:color w:val="333333"/>
        </w:rPr>
        <w:t>setEnabled(</w:t>
      </w:r>
      <w:proofErr w:type="gramEnd"/>
      <w:r>
        <w:rPr>
          <w:rFonts w:ascii="MS Gothic"/>
          <w:color w:val="333333"/>
        </w:rPr>
        <w:t>boolean enabled) { ... } public InetAddress getRemoteAddress() { ... }</w:t>
      </w:r>
    </w:p>
    <w:p w14:paraId="5F30DA62" w14:textId="77777777" w:rsidR="00A720EB" w:rsidRDefault="0030286B">
      <w:pPr>
        <w:spacing w:before="1" w:line="501" w:lineRule="auto"/>
        <w:ind w:left="784" w:right="2496"/>
        <w:rPr>
          <w:rFonts w:ascii="MS Gothic"/>
        </w:rPr>
      </w:pPr>
      <w:r>
        <w:rPr>
          <w:rFonts w:ascii="MS Gothic"/>
          <w:color w:val="333333"/>
        </w:rPr>
        <w:t xml:space="preserve">public void </w:t>
      </w:r>
      <w:proofErr w:type="gramStart"/>
      <w:r>
        <w:rPr>
          <w:rFonts w:ascii="MS Gothic"/>
          <w:color w:val="333333"/>
        </w:rPr>
        <w:t>setRemoteAddress(</w:t>
      </w:r>
      <w:proofErr w:type="gramEnd"/>
      <w:r>
        <w:rPr>
          <w:rFonts w:ascii="MS Gothic"/>
          <w:color w:val="333333"/>
        </w:rPr>
        <w:t>InetAddress remoteAddress) { ... } public Security getSecurity() { ... }</w:t>
      </w:r>
    </w:p>
    <w:p w14:paraId="7036BAD7" w14:textId="77777777" w:rsidR="00A720EB" w:rsidRDefault="0030286B">
      <w:pPr>
        <w:spacing w:before="1" w:line="501" w:lineRule="auto"/>
        <w:ind w:left="1224" w:right="6126" w:hanging="440"/>
        <w:rPr>
          <w:rFonts w:ascii="MS Gothic"/>
        </w:rPr>
      </w:pPr>
      <w:r>
        <w:rPr>
          <w:rFonts w:ascii="MS Gothic"/>
          <w:color w:val="333333"/>
        </w:rPr>
        <w:t xml:space="preserve">public static class Security </w:t>
      </w:r>
      <w:proofErr w:type="gramStart"/>
      <w:r>
        <w:rPr>
          <w:rFonts w:ascii="MS Gothic"/>
          <w:color w:val="333333"/>
        </w:rPr>
        <w:t>{ private</w:t>
      </w:r>
      <w:proofErr w:type="gramEnd"/>
      <w:r>
        <w:rPr>
          <w:rFonts w:ascii="MS Gothic"/>
          <w:color w:val="333333"/>
        </w:rPr>
        <w:t xml:space="preserve"> String username; private String password;</w:t>
      </w:r>
    </w:p>
    <w:p w14:paraId="7EAAB0C1" w14:textId="77777777" w:rsidR="00A720EB" w:rsidRDefault="0030286B">
      <w:pPr>
        <w:spacing w:before="2" w:line="501" w:lineRule="auto"/>
        <w:ind w:left="1224" w:right="626"/>
        <w:rPr>
          <w:rFonts w:ascii="MS Gothic"/>
        </w:rPr>
      </w:pPr>
      <w:r>
        <w:rPr>
          <w:rFonts w:ascii="MS Gothic"/>
          <w:color w:val="333333"/>
        </w:rPr>
        <w:t xml:space="preserve">private List&lt;String&gt; roles = new ArrayList&lt;&gt;(Collections.singleton("USER")); public String </w:t>
      </w:r>
      <w:proofErr w:type="gramStart"/>
      <w:r>
        <w:rPr>
          <w:rFonts w:ascii="MS Gothic"/>
          <w:color w:val="333333"/>
        </w:rPr>
        <w:t>getUsername(</w:t>
      </w:r>
      <w:proofErr w:type="gramEnd"/>
      <w:r>
        <w:rPr>
          <w:rFonts w:ascii="MS Gothic"/>
          <w:color w:val="333333"/>
        </w:rPr>
        <w:t>) { ... }</w:t>
      </w:r>
    </w:p>
    <w:p w14:paraId="754BD69E" w14:textId="77777777" w:rsidR="00A720EB" w:rsidRDefault="0030286B">
      <w:pPr>
        <w:spacing w:line="501" w:lineRule="auto"/>
        <w:ind w:left="1224" w:right="3706"/>
        <w:rPr>
          <w:rFonts w:ascii="MS Gothic"/>
        </w:rPr>
      </w:pPr>
      <w:r>
        <w:rPr>
          <w:rFonts w:ascii="MS Gothic"/>
          <w:color w:val="333333"/>
        </w:rPr>
        <w:t xml:space="preserve">public void </w:t>
      </w:r>
      <w:proofErr w:type="gramStart"/>
      <w:r>
        <w:rPr>
          <w:rFonts w:ascii="MS Gothic"/>
          <w:color w:val="333333"/>
        </w:rPr>
        <w:t>setUsername(</w:t>
      </w:r>
      <w:proofErr w:type="gramEnd"/>
      <w:r>
        <w:rPr>
          <w:rFonts w:ascii="MS Gothic"/>
          <w:color w:val="333333"/>
        </w:rPr>
        <w:t xml:space="preserve">String username) { ... </w:t>
      </w:r>
      <w:r>
        <w:rPr>
          <w:rFonts w:ascii="MS Gothic"/>
          <w:color w:val="333333"/>
          <w:spacing w:val="-17"/>
        </w:rPr>
        <w:t xml:space="preserve">} </w:t>
      </w:r>
      <w:r>
        <w:rPr>
          <w:rFonts w:ascii="MS Gothic"/>
          <w:color w:val="333333"/>
        </w:rPr>
        <w:t>public String getPassword() { ... }</w:t>
      </w:r>
    </w:p>
    <w:p w14:paraId="79756B00" w14:textId="77777777" w:rsidR="00A720EB" w:rsidRDefault="0030286B">
      <w:pPr>
        <w:spacing w:before="1" w:line="501" w:lineRule="auto"/>
        <w:ind w:left="1224" w:right="3706"/>
        <w:rPr>
          <w:rFonts w:ascii="MS Gothic"/>
        </w:rPr>
      </w:pPr>
      <w:r>
        <w:rPr>
          <w:rFonts w:ascii="MS Gothic"/>
          <w:color w:val="333333"/>
        </w:rPr>
        <w:t xml:space="preserve">public void </w:t>
      </w:r>
      <w:proofErr w:type="gramStart"/>
      <w:r>
        <w:rPr>
          <w:rFonts w:ascii="MS Gothic"/>
          <w:color w:val="333333"/>
        </w:rPr>
        <w:t>setPassword(</w:t>
      </w:r>
      <w:proofErr w:type="gramEnd"/>
      <w:r>
        <w:rPr>
          <w:rFonts w:ascii="MS Gothic"/>
          <w:color w:val="333333"/>
        </w:rPr>
        <w:t>String password) { ... } public List&lt;String&gt; getRoles() { ... }</w:t>
      </w:r>
    </w:p>
    <w:p w14:paraId="2896C5BA" w14:textId="77777777" w:rsidR="00A720EB" w:rsidRDefault="0030286B">
      <w:pPr>
        <w:spacing w:before="1"/>
        <w:ind w:left="1224"/>
        <w:rPr>
          <w:rFonts w:ascii="MS Gothic"/>
        </w:rPr>
      </w:pPr>
      <w:r>
        <w:rPr>
          <w:rFonts w:ascii="MS Gothic"/>
          <w:color w:val="333333"/>
        </w:rPr>
        <w:t xml:space="preserve">public void </w:t>
      </w:r>
      <w:proofErr w:type="gramStart"/>
      <w:r>
        <w:rPr>
          <w:rFonts w:ascii="MS Gothic"/>
          <w:color w:val="333333"/>
        </w:rPr>
        <w:t>setRoles(</w:t>
      </w:r>
      <w:proofErr w:type="gramEnd"/>
      <w:r>
        <w:rPr>
          <w:rFonts w:ascii="MS Gothic"/>
          <w:color w:val="333333"/>
        </w:rPr>
        <w:t>List&lt;String&gt; roles) { ... }</w:t>
      </w:r>
    </w:p>
    <w:p w14:paraId="3B2C4B9C" w14:textId="77777777" w:rsidR="00A720EB" w:rsidRDefault="00A720EB">
      <w:pPr>
        <w:pStyle w:val="a3"/>
        <w:spacing w:before="12"/>
        <w:rPr>
          <w:rFonts w:ascii="MS Gothic"/>
          <w:sz w:val="14"/>
        </w:rPr>
      </w:pPr>
    </w:p>
    <w:p w14:paraId="2D5D6DC0" w14:textId="77777777" w:rsidR="00A720EB" w:rsidRDefault="0030286B">
      <w:pPr>
        <w:spacing w:before="117"/>
        <w:ind w:left="784"/>
        <w:rPr>
          <w:rFonts w:ascii="MS Gothic"/>
        </w:rPr>
      </w:pPr>
      <w:r>
        <w:rPr>
          <w:rFonts w:ascii="MS Gothic"/>
          <w:color w:val="333333"/>
        </w:rPr>
        <w:t>}</w:t>
      </w:r>
    </w:p>
    <w:p w14:paraId="74481C90" w14:textId="77777777" w:rsidR="00A720EB" w:rsidRDefault="0030286B">
      <w:pPr>
        <w:spacing w:before="13"/>
        <w:ind w:left="344"/>
        <w:rPr>
          <w:rFonts w:ascii="MS Gothic"/>
        </w:rPr>
      </w:pPr>
      <w:r>
        <w:rPr>
          <w:rFonts w:ascii="MS Gothic"/>
          <w:color w:val="333333"/>
        </w:rPr>
        <w:t>}</w:t>
      </w:r>
    </w:p>
    <w:p w14:paraId="0D7CBAE6" w14:textId="77777777" w:rsidR="00A720EB" w:rsidRDefault="00A720EB">
      <w:pPr>
        <w:rPr>
          <w:rFonts w:ascii="MS Gothic"/>
        </w:rPr>
        <w:sectPr w:rsidR="00A720EB">
          <w:pgSz w:w="11910" w:h="16840"/>
          <w:pgMar w:top="700" w:right="840" w:bottom="520" w:left="840" w:header="0" w:footer="323" w:gutter="0"/>
          <w:cols w:space="720"/>
        </w:sectPr>
      </w:pPr>
    </w:p>
    <w:p w14:paraId="051AC354" w14:textId="77777777" w:rsidR="00A720EB" w:rsidRDefault="0030286B">
      <w:pPr>
        <w:pStyle w:val="a3"/>
        <w:spacing w:before="102"/>
        <w:ind w:left="124"/>
      </w:pPr>
      <w:r>
        <w:rPr>
          <w:color w:val="333333"/>
          <w:w w:val="110"/>
        </w:rPr>
        <w:lastRenderedPageBreak/>
        <w:t>The preceding POJO defines the following properties:</w:t>
      </w:r>
    </w:p>
    <w:p w14:paraId="6EC422B6" w14:textId="77777777" w:rsidR="00A720EB" w:rsidRDefault="00A720EB">
      <w:pPr>
        <w:pStyle w:val="a3"/>
        <w:spacing w:before="5"/>
        <w:rPr>
          <w:sz w:val="25"/>
        </w:rPr>
      </w:pPr>
    </w:p>
    <w:p w14:paraId="75749EF8" w14:textId="77777777" w:rsidR="00A720EB" w:rsidRDefault="0030286B">
      <w:pPr>
        <w:pStyle w:val="a6"/>
        <w:numPr>
          <w:ilvl w:val="0"/>
          <w:numId w:val="60"/>
        </w:numPr>
        <w:tabs>
          <w:tab w:val="left" w:pos="485"/>
        </w:tabs>
        <w:rPr>
          <w:sz w:val="21"/>
        </w:rPr>
      </w:pPr>
      <w:proofErr w:type="gramStart"/>
      <w:r>
        <w:rPr>
          <w:rFonts w:ascii="MS Gothic" w:hAnsi="MS Gothic"/>
          <w:color w:val="B02045"/>
          <w:w w:val="110"/>
          <w:sz w:val="21"/>
        </w:rPr>
        <w:t>acme.enabled</w:t>
      </w:r>
      <w:proofErr w:type="gramEnd"/>
      <w:r>
        <w:rPr>
          <w:color w:val="333333"/>
          <w:w w:val="110"/>
          <w:sz w:val="21"/>
        </w:rPr>
        <w:t xml:space="preserve">, with a value of </w:t>
      </w:r>
      <w:r>
        <w:rPr>
          <w:rFonts w:ascii="MS Gothic" w:hAnsi="MS Gothic"/>
          <w:color w:val="B02045"/>
          <w:w w:val="110"/>
          <w:sz w:val="21"/>
        </w:rPr>
        <w:t>false</w:t>
      </w:r>
      <w:r>
        <w:rPr>
          <w:rFonts w:ascii="MS Gothic" w:hAnsi="MS Gothic"/>
          <w:color w:val="B02045"/>
          <w:spacing w:val="-50"/>
          <w:w w:val="110"/>
          <w:sz w:val="21"/>
        </w:rPr>
        <w:t xml:space="preserve"> </w:t>
      </w:r>
      <w:r>
        <w:rPr>
          <w:color w:val="333333"/>
          <w:spacing w:val="-3"/>
          <w:w w:val="110"/>
          <w:sz w:val="21"/>
        </w:rPr>
        <w:t xml:space="preserve">by </w:t>
      </w:r>
      <w:r>
        <w:rPr>
          <w:color w:val="333333"/>
          <w:w w:val="110"/>
          <w:sz w:val="21"/>
        </w:rPr>
        <w:t>default.</w:t>
      </w:r>
    </w:p>
    <w:p w14:paraId="16037DDE" w14:textId="77777777" w:rsidR="00A720EB" w:rsidRDefault="0030286B">
      <w:pPr>
        <w:pStyle w:val="a6"/>
        <w:numPr>
          <w:ilvl w:val="0"/>
          <w:numId w:val="60"/>
        </w:numPr>
        <w:tabs>
          <w:tab w:val="left" w:pos="485"/>
        </w:tabs>
        <w:spacing w:before="167"/>
        <w:rPr>
          <w:sz w:val="21"/>
        </w:rPr>
      </w:pPr>
      <w:proofErr w:type="gramStart"/>
      <w:r>
        <w:rPr>
          <w:rFonts w:ascii="MS Gothic" w:hAnsi="MS Gothic"/>
          <w:color w:val="B02045"/>
          <w:w w:val="110"/>
          <w:sz w:val="21"/>
        </w:rPr>
        <w:t>acme.remote</w:t>
      </w:r>
      <w:proofErr w:type="gramEnd"/>
      <w:r>
        <w:rPr>
          <w:rFonts w:ascii="MS Gothic" w:hAnsi="MS Gothic"/>
          <w:color w:val="B02045"/>
          <w:w w:val="110"/>
          <w:sz w:val="21"/>
        </w:rPr>
        <w:t>-address</w:t>
      </w:r>
      <w:r>
        <w:rPr>
          <w:color w:val="333333"/>
          <w:w w:val="110"/>
          <w:sz w:val="21"/>
        </w:rPr>
        <w:t>, with a type that can be coerced from</w:t>
      </w:r>
      <w:r>
        <w:rPr>
          <w:color w:val="333333"/>
          <w:spacing w:val="-1"/>
          <w:w w:val="110"/>
          <w:sz w:val="21"/>
        </w:rPr>
        <w:t xml:space="preserve"> </w:t>
      </w:r>
      <w:r>
        <w:rPr>
          <w:rFonts w:ascii="MS Gothic" w:hAnsi="MS Gothic"/>
          <w:color w:val="B02045"/>
          <w:w w:val="110"/>
          <w:sz w:val="21"/>
        </w:rPr>
        <w:t>String</w:t>
      </w:r>
      <w:r>
        <w:rPr>
          <w:color w:val="333333"/>
          <w:w w:val="110"/>
          <w:sz w:val="21"/>
        </w:rPr>
        <w:t>.</w:t>
      </w:r>
    </w:p>
    <w:p w14:paraId="1F00652C" w14:textId="77777777" w:rsidR="00A720EB" w:rsidRDefault="0030286B">
      <w:pPr>
        <w:pStyle w:val="a6"/>
        <w:numPr>
          <w:ilvl w:val="0"/>
          <w:numId w:val="60"/>
        </w:numPr>
        <w:tabs>
          <w:tab w:val="left" w:pos="485"/>
        </w:tabs>
        <w:spacing w:before="167" w:line="295" w:lineRule="auto"/>
        <w:ind w:right="127"/>
        <w:jc w:val="both"/>
        <w:rPr>
          <w:sz w:val="21"/>
        </w:rPr>
      </w:pPr>
      <w:proofErr w:type="gramStart"/>
      <w:r>
        <w:rPr>
          <w:rFonts w:ascii="MS Gothic" w:hAnsi="MS Gothic"/>
          <w:color w:val="B02045"/>
          <w:w w:val="110"/>
          <w:sz w:val="21"/>
        </w:rPr>
        <w:t>acme.security</w:t>
      </w:r>
      <w:proofErr w:type="gramEnd"/>
      <w:r>
        <w:rPr>
          <w:rFonts w:ascii="MS Gothic" w:hAnsi="MS Gothic"/>
          <w:color w:val="B02045"/>
          <w:w w:val="110"/>
          <w:sz w:val="21"/>
        </w:rPr>
        <w:t>.username</w:t>
      </w:r>
      <w:r>
        <w:rPr>
          <w:color w:val="333333"/>
          <w:w w:val="110"/>
          <w:sz w:val="21"/>
        </w:rPr>
        <w:t xml:space="preserve">, with a nested "security" object whose name is determined </w:t>
      </w:r>
      <w:r>
        <w:rPr>
          <w:color w:val="333333"/>
          <w:spacing w:val="-3"/>
          <w:w w:val="110"/>
          <w:sz w:val="21"/>
        </w:rPr>
        <w:t xml:space="preserve">by </w:t>
      </w:r>
      <w:r>
        <w:rPr>
          <w:color w:val="333333"/>
          <w:w w:val="110"/>
          <w:sz w:val="21"/>
        </w:rPr>
        <w:t xml:space="preserve">the name of the </w:t>
      </w:r>
      <w:r>
        <w:rPr>
          <w:color w:val="333333"/>
          <w:spacing w:val="-3"/>
          <w:w w:val="110"/>
          <w:sz w:val="21"/>
        </w:rPr>
        <w:t xml:space="preserve">property. </w:t>
      </w:r>
      <w:r>
        <w:rPr>
          <w:color w:val="333333"/>
          <w:w w:val="110"/>
          <w:sz w:val="21"/>
        </w:rPr>
        <w:t xml:space="preserve">In particular, the return type is not used at all there and could have been </w:t>
      </w:r>
      <w:r>
        <w:rPr>
          <w:rFonts w:ascii="MS Gothic" w:hAnsi="MS Gothic"/>
          <w:color w:val="B02045"/>
          <w:w w:val="110"/>
          <w:sz w:val="21"/>
        </w:rPr>
        <w:t>SecurityProperties</w:t>
      </w:r>
      <w:r>
        <w:rPr>
          <w:color w:val="333333"/>
          <w:w w:val="110"/>
          <w:sz w:val="21"/>
        </w:rPr>
        <w:t>.</w:t>
      </w:r>
    </w:p>
    <w:p w14:paraId="6D361350" w14:textId="77777777" w:rsidR="00A720EB" w:rsidRDefault="0030286B">
      <w:pPr>
        <w:pStyle w:val="a6"/>
        <w:numPr>
          <w:ilvl w:val="0"/>
          <w:numId w:val="60"/>
        </w:numPr>
        <w:tabs>
          <w:tab w:val="left" w:pos="485"/>
        </w:tabs>
        <w:spacing w:before="102"/>
        <w:rPr>
          <w:sz w:val="21"/>
        </w:rPr>
      </w:pPr>
      <w:proofErr w:type="gramStart"/>
      <w:r>
        <w:rPr>
          <w:rFonts w:ascii="MS Gothic" w:hAnsi="MS Gothic"/>
          <w:color w:val="B02045"/>
          <w:sz w:val="21"/>
        </w:rPr>
        <w:t>acme.security</w:t>
      </w:r>
      <w:proofErr w:type="gramEnd"/>
      <w:r>
        <w:rPr>
          <w:rFonts w:ascii="MS Gothic" w:hAnsi="MS Gothic"/>
          <w:color w:val="B02045"/>
          <w:sz w:val="21"/>
        </w:rPr>
        <w:t>.password</w:t>
      </w:r>
      <w:r>
        <w:rPr>
          <w:color w:val="333333"/>
          <w:sz w:val="21"/>
        </w:rPr>
        <w:t>.</w:t>
      </w:r>
    </w:p>
    <w:p w14:paraId="4E8FC518" w14:textId="77777777" w:rsidR="00A720EB" w:rsidRDefault="0030286B">
      <w:pPr>
        <w:pStyle w:val="a6"/>
        <w:numPr>
          <w:ilvl w:val="0"/>
          <w:numId w:val="60"/>
        </w:numPr>
        <w:tabs>
          <w:tab w:val="left" w:pos="485"/>
        </w:tabs>
        <w:spacing w:before="166"/>
        <w:rPr>
          <w:sz w:val="21"/>
        </w:rPr>
      </w:pPr>
      <w:proofErr w:type="gramStart"/>
      <w:r>
        <w:rPr>
          <w:rFonts w:ascii="MS Gothic" w:hAnsi="MS Gothic"/>
          <w:color w:val="B02045"/>
          <w:w w:val="110"/>
          <w:sz w:val="21"/>
        </w:rPr>
        <w:t>acme.security</w:t>
      </w:r>
      <w:proofErr w:type="gramEnd"/>
      <w:r>
        <w:rPr>
          <w:rFonts w:ascii="MS Gothic" w:hAnsi="MS Gothic"/>
          <w:color w:val="B02045"/>
          <w:w w:val="110"/>
          <w:sz w:val="21"/>
        </w:rPr>
        <w:t>.roles</w:t>
      </w:r>
      <w:r>
        <w:rPr>
          <w:color w:val="333333"/>
          <w:w w:val="110"/>
          <w:sz w:val="21"/>
        </w:rPr>
        <w:t xml:space="preserve">, with a collection of </w:t>
      </w:r>
      <w:r>
        <w:rPr>
          <w:rFonts w:ascii="MS Gothic" w:hAnsi="MS Gothic"/>
          <w:color w:val="B02045"/>
          <w:w w:val="110"/>
          <w:sz w:val="21"/>
        </w:rPr>
        <w:t>String</w:t>
      </w:r>
      <w:r>
        <w:rPr>
          <w:rFonts w:ascii="MS Gothic" w:hAnsi="MS Gothic"/>
          <w:color w:val="B02045"/>
          <w:spacing w:val="-75"/>
          <w:w w:val="110"/>
          <w:sz w:val="21"/>
        </w:rPr>
        <w:t xml:space="preserve"> </w:t>
      </w:r>
      <w:r>
        <w:rPr>
          <w:color w:val="333333"/>
          <w:w w:val="110"/>
          <w:sz w:val="21"/>
        </w:rPr>
        <w:t xml:space="preserve">that defaults to </w:t>
      </w:r>
      <w:r>
        <w:rPr>
          <w:rFonts w:ascii="MS Gothic" w:hAnsi="MS Gothic"/>
          <w:color w:val="B02045"/>
          <w:w w:val="110"/>
          <w:sz w:val="21"/>
        </w:rPr>
        <w:t>USER</w:t>
      </w:r>
      <w:r>
        <w:rPr>
          <w:color w:val="333333"/>
          <w:w w:val="110"/>
          <w:sz w:val="21"/>
        </w:rPr>
        <w:t>.</w:t>
      </w:r>
    </w:p>
    <w:p w14:paraId="7C890C3F" w14:textId="77777777" w:rsidR="00A720EB" w:rsidRDefault="00A720EB">
      <w:pPr>
        <w:pStyle w:val="a3"/>
        <w:spacing w:before="5"/>
      </w:pPr>
    </w:p>
    <w:p w14:paraId="30A7C79F" w14:textId="77777777" w:rsidR="00A720EB" w:rsidRDefault="00E10349">
      <w:pPr>
        <w:pStyle w:val="a3"/>
        <w:spacing w:before="116" w:line="302" w:lineRule="auto"/>
        <w:ind w:left="1564" w:right="366"/>
        <w:jc w:val="both"/>
      </w:pPr>
      <w:r>
        <w:pict w14:anchorId="312189E8">
          <v:line id="_x0000_s4576" style="position:absolute;left:0;text-align:left;z-index:15852544;mso-position-horizontal-relative:page" from="108.25pt,.35pt" to="108.25pt,71.45pt" strokecolor="#ededed" strokeweight=".5pt">
            <w10:wrap anchorx="page"/>
          </v:line>
        </w:pict>
      </w:r>
      <w:r w:rsidR="0030286B">
        <w:rPr>
          <w:noProof/>
        </w:rPr>
        <w:drawing>
          <wp:anchor distT="0" distB="0" distL="0" distR="0" simplePos="0" relativeHeight="15853056" behindDoc="0" locked="0" layoutInCell="1" allowOverlap="1" wp14:anchorId="6EB456C1" wp14:editId="17712346">
            <wp:simplePos x="0" y="0"/>
            <wp:positionH relativeFrom="page">
              <wp:posOffset>844422</wp:posOffset>
            </wp:positionH>
            <wp:positionV relativeFrom="paragraph">
              <wp:posOffset>306653</wp:posOffset>
            </wp:positionV>
            <wp:extent cx="298450" cy="298450"/>
            <wp:effectExtent l="0" t="0" r="0" b="0"/>
            <wp:wrapNone/>
            <wp:docPr id="1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properties that map to </w:t>
      </w:r>
      <w:r w:rsidR="0030286B">
        <w:rPr>
          <w:rFonts w:ascii="MS Gothic"/>
          <w:color w:val="B02045"/>
          <w:w w:val="110"/>
        </w:rPr>
        <w:t xml:space="preserve">@ConfigurationProperties </w:t>
      </w:r>
      <w:r w:rsidR="0030286B">
        <w:rPr>
          <w:color w:val="333333"/>
          <w:w w:val="110"/>
        </w:rPr>
        <w:t>classes available in Spring Boot, which are configured via properties files, YAML files, environment variables etc., are public API but the accessors (getters/setters) of the class itself are not meant to be used directly.</w:t>
      </w:r>
    </w:p>
    <w:p w14:paraId="2FA1E69F" w14:textId="77777777" w:rsidR="00A720EB" w:rsidRDefault="00A720EB">
      <w:pPr>
        <w:pStyle w:val="a3"/>
        <w:spacing w:before="8"/>
        <w:rPr>
          <w:sz w:val="23"/>
        </w:rPr>
      </w:pPr>
    </w:p>
    <w:p w14:paraId="71191CA7" w14:textId="77777777" w:rsidR="00A720EB" w:rsidRDefault="00E10349">
      <w:pPr>
        <w:pStyle w:val="a3"/>
        <w:spacing w:before="125" w:line="307" w:lineRule="auto"/>
        <w:ind w:left="1564" w:right="371"/>
        <w:jc w:val="both"/>
      </w:pPr>
      <w:r>
        <w:pict w14:anchorId="6A630354">
          <v:line id="_x0000_s4575" style="position:absolute;left:0;text-align:left;z-index:15853568;mso-position-horizontal-relative:page" from="108.25pt,.25pt" to="108.25pt,340.3pt" strokecolor="#ededed" strokeweight=".5pt">
            <w10:wrap anchorx="page"/>
          </v:line>
        </w:pict>
      </w:r>
      <w:r w:rsidR="0030286B">
        <w:rPr>
          <w:color w:val="333333"/>
          <w:w w:val="110"/>
        </w:rPr>
        <w:t xml:space="preserve">Such arrangement relies on a default </w:t>
      </w:r>
      <w:proofErr w:type="gramStart"/>
      <w:r w:rsidR="0030286B">
        <w:rPr>
          <w:color w:val="333333"/>
          <w:w w:val="110"/>
        </w:rPr>
        <w:t>empty  constructor</w:t>
      </w:r>
      <w:proofErr w:type="gramEnd"/>
      <w:r w:rsidR="0030286B">
        <w:rPr>
          <w:color w:val="333333"/>
          <w:w w:val="110"/>
        </w:rPr>
        <w:t xml:space="preserve"> and getters  and setters  are usually </w:t>
      </w:r>
      <w:r w:rsidR="0030286B">
        <w:rPr>
          <w:color w:val="333333"/>
          <w:spacing w:val="-3"/>
          <w:w w:val="110"/>
        </w:rPr>
        <w:t xml:space="preserve">mandatory, </w:t>
      </w:r>
      <w:r w:rsidR="0030286B">
        <w:rPr>
          <w:color w:val="333333"/>
          <w:w w:val="110"/>
        </w:rPr>
        <w:t>since binding is through standard Java Beans property descriptors, just like in Spring MVC. A setter may be omitted in the following</w:t>
      </w:r>
      <w:r w:rsidR="0030286B">
        <w:rPr>
          <w:color w:val="333333"/>
          <w:spacing w:val="50"/>
          <w:w w:val="110"/>
        </w:rPr>
        <w:t xml:space="preserve"> </w:t>
      </w:r>
      <w:r w:rsidR="0030286B">
        <w:rPr>
          <w:color w:val="333333"/>
          <w:w w:val="110"/>
        </w:rPr>
        <w:t>cases:</w:t>
      </w:r>
    </w:p>
    <w:p w14:paraId="6B6D2A07" w14:textId="77777777" w:rsidR="00A720EB" w:rsidRDefault="0030286B">
      <w:pPr>
        <w:pStyle w:val="a6"/>
        <w:numPr>
          <w:ilvl w:val="1"/>
          <w:numId w:val="60"/>
        </w:numPr>
        <w:tabs>
          <w:tab w:val="left" w:pos="1925"/>
        </w:tabs>
        <w:spacing w:before="242" w:line="307" w:lineRule="auto"/>
        <w:ind w:right="369"/>
        <w:jc w:val="both"/>
        <w:rPr>
          <w:sz w:val="21"/>
        </w:rPr>
      </w:pPr>
      <w:r>
        <w:rPr>
          <w:color w:val="333333"/>
          <w:w w:val="110"/>
          <w:sz w:val="21"/>
        </w:rPr>
        <w:t xml:space="preserve">Maps, as long as they are initialized, need a getter but not necessarily a setter, since they can be mutated </w:t>
      </w:r>
      <w:r>
        <w:rPr>
          <w:color w:val="333333"/>
          <w:spacing w:val="-3"/>
          <w:w w:val="110"/>
          <w:sz w:val="21"/>
        </w:rPr>
        <w:t xml:space="preserve">by </w:t>
      </w:r>
      <w:r>
        <w:rPr>
          <w:color w:val="333333"/>
          <w:w w:val="110"/>
          <w:sz w:val="21"/>
        </w:rPr>
        <w:t>the</w:t>
      </w:r>
      <w:r>
        <w:rPr>
          <w:color w:val="333333"/>
          <w:spacing w:val="26"/>
          <w:w w:val="110"/>
          <w:sz w:val="21"/>
        </w:rPr>
        <w:t xml:space="preserve"> </w:t>
      </w:r>
      <w:r>
        <w:rPr>
          <w:color w:val="333333"/>
          <w:w w:val="110"/>
          <w:sz w:val="21"/>
        </w:rPr>
        <w:t>binder.</w:t>
      </w:r>
    </w:p>
    <w:p w14:paraId="55F23605" w14:textId="77777777" w:rsidR="00A720EB" w:rsidRDefault="0030286B">
      <w:pPr>
        <w:pStyle w:val="a6"/>
        <w:numPr>
          <w:ilvl w:val="1"/>
          <w:numId w:val="60"/>
        </w:numPr>
        <w:tabs>
          <w:tab w:val="left" w:pos="1925"/>
        </w:tabs>
        <w:spacing w:before="120" w:line="307" w:lineRule="auto"/>
        <w:ind w:right="364"/>
        <w:jc w:val="both"/>
        <w:rPr>
          <w:sz w:val="21"/>
        </w:rPr>
      </w:pPr>
      <w:r>
        <w:rPr>
          <w:noProof/>
        </w:rPr>
        <w:drawing>
          <wp:anchor distT="0" distB="0" distL="0" distR="0" simplePos="0" relativeHeight="15854080" behindDoc="0" locked="0" layoutInCell="1" allowOverlap="1" wp14:anchorId="7383919E" wp14:editId="19764E04">
            <wp:simplePos x="0" y="0"/>
            <wp:positionH relativeFrom="page">
              <wp:posOffset>844422</wp:posOffset>
            </wp:positionH>
            <wp:positionV relativeFrom="paragraph">
              <wp:posOffset>779564</wp:posOffset>
            </wp:positionV>
            <wp:extent cx="298450" cy="298450"/>
            <wp:effectExtent l="0" t="0" r="0" b="0"/>
            <wp:wrapNone/>
            <wp:docPr id="1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24" cstate="print"/>
                    <a:stretch>
                      <a:fillRect/>
                    </a:stretch>
                  </pic:blipFill>
                  <pic:spPr>
                    <a:xfrm>
                      <a:off x="0" y="0"/>
                      <a:ext cx="298450" cy="298450"/>
                    </a:xfrm>
                    <a:prstGeom prst="rect">
                      <a:avLst/>
                    </a:prstGeom>
                  </pic:spPr>
                </pic:pic>
              </a:graphicData>
            </a:graphic>
          </wp:anchor>
        </w:drawing>
      </w:r>
      <w:r>
        <w:rPr>
          <w:color w:val="333333"/>
          <w:w w:val="110"/>
          <w:sz w:val="21"/>
        </w:rPr>
        <w:t xml:space="preserve">Collections and </w:t>
      </w:r>
      <w:r>
        <w:rPr>
          <w:color w:val="333333"/>
          <w:spacing w:val="-3"/>
          <w:w w:val="110"/>
          <w:sz w:val="21"/>
        </w:rPr>
        <w:t xml:space="preserve">arrays </w:t>
      </w:r>
      <w:r>
        <w:rPr>
          <w:color w:val="333333"/>
          <w:w w:val="110"/>
          <w:sz w:val="21"/>
        </w:rPr>
        <w:t xml:space="preserve">can be accessed either through an index (typically with </w:t>
      </w:r>
      <w:r>
        <w:rPr>
          <w:color w:val="333333"/>
          <w:spacing w:val="-4"/>
          <w:w w:val="110"/>
          <w:sz w:val="21"/>
        </w:rPr>
        <w:t xml:space="preserve">YAML) </w:t>
      </w:r>
      <w:r>
        <w:rPr>
          <w:color w:val="333333"/>
          <w:w w:val="110"/>
          <w:sz w:val="21"/>
        </w:rPr>
        <w:t xml:space="preserve">or </w:t>
      </w:r>
      <w:r>
        <w:rPr>
          <w:color w:val="333333"/>
          <w:spacing w:val="-3"/>
          <w:w w:val="110"/>
          <w:sz w:val="21"/>
        </w:rPr>
        <w:t xml:space="preserve">by </w:t>
      </w:r>
      <w:r>
        <w:rPr>
          <w:color w:val="333333"/>
          <w:w w:val="110"/>
          <w:sz w:val="21"/>
        </w:rPr>
        <w:t xml:space="preserve">using a single comma-separated value (properties). In the latter case, a setter is </w:t>
      </w:r>
      <w:r>
        <w:rPr>
          <w:color w:val="333333"/>
          <w:spacing w:val="-3"/>
          <w:w w:val="110"/>
          <w:sz w:val="21"/>
        </w:rPr>
        <w:t xml:space="preserve">mandatory. </w:t>
      </w:r>
      <w:r>
        <w:rPr>
          <w:color w:val="333333"/>
          <w:spacing w:val="-7"/>
          <w:w w:val="110"/>
          <w:sz w:val="21"/>
        </w:rPr>
        <w:t xml:space="preserve">We </w:t>
      </w:r>
      <w:r>
        <w:rPr>
          <w:color w:val="333333"/>
          <w:w w:val="110"/>
          <w:sz w:val="21"/>
        </w:rPr>
        <w:t xml:space="preserve">recommend to always add a setter </w:t>
      </w:r>
      <w:proofErr w:type="gramStart"/>
      <w:r>
        <w:rPr>
          <w:color w:val="333333"/>
          <w:w w:val="110"/>
          <w:sz w:val="21"/>
        </w:rPr>
        <w:t>for  such</w:t>
      </w:r>
      <w:proofErr w:type="gramEnd"/>
      <w:r>
        <w:rPr>
          <w:color w:val="333333"/>
          <w:w w:val="110"/>
          <w:sz w:val="21"/>
        </w:rPr>
        <w:t xml:space="preserve"> types. If you initialize a collection, make sure it is not immutable (as in the preceding</w:t>
      </w:r>
      <w:r>
        <w:rPr>
          <w:color w:val="333333"/>
          <w:spacing w:val="2"/>
          <w:w w:val="110"/>
          <w:sz w:val="21"/>
        </w:rPr>
        <w:t xml:space="preserve"> </w:t>
      </w:r>
      <w:r>
        <w:rPr>
          <w:color w:val="333333"/>
          <w:w w:val="110"/>
          <w:sz w:val="21"/>
        </w:rPr>
        <w:t>example).</w:t>
      </w:r>
    </w:p>
    <w:p w14:paraId="480F31D0" w14:textId="77777777" w:rsidR="00A720EB" w:rsidRDefault="0030286B">
      <w:pPr>
        <w:pStyle w:val="a6"/>
        <w:numPr>
          <w:ilvl w:val="1"/>
          <w:numId w:val="60"/>
        </w:numPr>
        <w:tabs>
          <w:tab w:val="left" w:pos="1925"/>
        </w:tabs>
        <w:spacing w:before="112" w:line="300" w:lineRule="auto"/>
        <w:ind w:right="363"/>
        <w:jc w:val="both"/>
        <w:rPr>
          <w:sz w:val="21"/>
        </w:rPr>
      </w:pPr>
      <w:r>
        <w:rPr>
          <w:color w:val="333333"/>
          <w:w w:val="110"/>
          <w:sz w:val="21"/>
        </w:rPr>
        <w:t xml:space="preserve">If nested POJO properties are initialized (like the </w:t>
      </w:r>
      <w:r>
        <w:rPr>
          <w:rFonts w:ascii="MS Gothic" w:hAnsi="MS Gothic"/>
          <w:color w:val="B02045"/>
          <w:w w:val="110"/>
          <w:sz w:val="21"/>
        </w:rPr>
        <w:t>Security</w:t>
      </w:r>
      <w:r>
        <w:rPr>
          <w:rFonts w:ascii="MS Gothic" w:hAnsi="MS Gothic"/>
          <w:color w:val="B02045"/>
          <w:spacing w:val="-55"/>
          <w:w w:val="110"/>
          <w:sz w:val="21"/>
        </w:rPr>
        <w:t xml:space="preserve"> </w:t>
      </w:r>
      <w:r>
        <w:rPr>
          <w:color w:val="333333"/>
          <w:w w:val="110"/>
          <w:sz w:val="21"/>
        </w:rPr>
        <w:t xml:space="preserve">field in the preceding example), a setter is not required. If you want the binder to create the instance on the fly </w:t>
      </w:r>
      <w:r>
        <w:rPr>
          <w:color w:val="333333"/>
          <w:spacing w:val="-3"/>
          <w:w w:val="110"/>
          <w:sz w:val="21"/>
        </w:rPr>
        <w:t xml:space="preserve">by </w:t>
      </w:r>
      <w:r>
        <w:rPr>
          <w:color w:val="333333"/>
          <w:w w:val="110"/>
          <w:sz w:val="21"/>
        </w:rPr>
        <w:t>using its default constructor, you need a</w:t>
      </w:r>
      <w:r>
        <w:rPr>
          <w:color w:val="333333"/>
          <w:spacing w:val="41"/>
          <w:w w:val="110"/>
          <w:sz w:val="21"/>
        </w:rPr>
        <w:t xml:space="preserve"> </w:t>
      </w:r>
      <w:r>
        <w:rPr>
          <w:color w:val="333333"/>
          <w:w w:val="110"/>
          <w:sz w:val="21"/>
        </w:rPr>
        <w:t>setter.</w:t>
      </w:r>
    </w:p>
    <w:p w14:paraId="09F6C3CB" w14:textId="77777777" w:rsidR="00A720EB" w:rsidRDefault="0030286B">
      <w:pPr>
        <w:pStyle w:val="a3"/>
        <w:spacing w:before="246" w:line="307" w:lineRule="auto"/>
        <w:ind w:left="1564" w:right="367"/>
        <w:jc w:val="both"/>
      </w:pPr>
      <w:r>
        <w:rPr>
          <w:color w:val="333333"/>
          <w:w w:val="110"/>
        </w:rPr>
        <w:t xml:space="preserve">Some people use Project Lombok to add getters and setters </w:t>
      </w:r>
      <w:r>
        <w:rPr>
          <w:color w:val="333333"/>
          <w:spacing w:val="-3"/>
          <w:w w:val="110"/>
        </w:rPr>
        <w:t xml:space="preserve">automatically. </w:t>
      </w:r>
      <w:proofErr w:type="gramStart"/>
      <w:r>
        <w:rPr>
          <w:color w:val="333333"/>
          <w:w w:val="110"/>
        </w:rPr>
        <w:t>Make  sure</w:t>
      </w:r>
      <w:proofErr w:type="gramEnd"/>
      <w:r>
        <w:rPr>
          <w:color w:val="333333"/>
          <w:w w:val="110"/>
        </w:rPr>
        <w:t xml:space="preserve"> that Lombok does not generate any particular constructor for such a type, as    it is used automatically </w:t>
      </w:r>
      <w:r>
        <w:rPr>
          <w:color w:val="333333"/>
          <w:spacing w:val="-3"/>
          <w:w w:val="110"/>
        </w:rPr>
        <w:t xml:space="preserve">by </w:t>
      </w:r>
      <w:r>
        <w:rPr>
          <w:color w:val="333333"/>
          <w:w w:val="110"/>
        </w:rPr>
        <w:t>the container to instantiate the</w:t>
      </w:r>
      <w:r>
        <w:rPr>
          <w:color w:val="333333"/>
          <w:spacing w:val="35"/>
          <w:w w:val="110"/>
        </w:rPr>
        <w:t xml:space="preserve"> </w:t>
      </w:r>
      <w:r>
        <w:rPr>
          <w:color w:val="333333"/>
          <w:w w:val="110"/>
        </w:rPr>
        <w:t>object.</w:t>
      </w:r>
    </w:p>
    <w:p w14:paraId="5AC2044F" w14:textId="77777777" w:rsidR="00A720EB" w:rsidRDefault="0030286B">
      <w:pPr>
        <w:pStyle w:val="a3"/>
        <w:spacing w:before="241" w:line="307" w:lineRule="auto"/>
        <w:ind w:left="1564" w:right="370"/>
        <w:jc w:val="both"/>
      </w:pPr>
      <w:r>
        <w:rPr>
          <w:color w:val="333333"/>
          <w:w w:val="110"/>
        </w:rPr>
        <w:t xml:space="preserve">Finally, only standard Java Bean properties are considered and binding on </w:t>
      </w:r>
      <w:proofErr w:type="gramStart"/>
      <w:r>
        <w:rPr>
          <w:color w:val="333333"/>
          <w:w w:val="110"/>
        </w:rPr>
        <w:t>static  properties</w:t>
      </w:r>
      <w:proofErr w:type="gramEnd"/>
      <w:r>
        <w:rPr>
          <w:color w:val="333333"/>
          <w:w w:val="110"/>
        </w:rPr>
        <w:t xml:space="preserve"> is not supported.</w:t>
      </w:r>
    </w:p>
    <w:p w14:paraId="602C2210" w14:textId="77777777" w:rsidR="00A720EB" w:rsidRDefault="00A720EB">
      <w:pPr>
        <w:pStyle w:val="a3"/>
        <w:spacing w:before="7"/>
        <w:rPr>
          <w:sz w:val="23"/>
        </w:rPr>
      </w:pPr>
    </w:p>
    <w:p w14:paraId="1823B813" w14:textId="77777777" w:rsidR="00A720EB" w:rsidRDefault="0030286B">
      <w:pPr>
        <w:pStyle w:val="4"/>
        <w:spacing w:before="105"/>
        <w:jc w:val="left"/>
      </w:pPr>
      <w:bookmarkStart w:id="196" w:name="Constructor_binding"/>
      <w:bookmarkEnd w:id="196"/>
      <w:r>
        <w:rPr>
          <w:color w:val="333333"/>
          <w:w w:val="110"/>
        </w:rPr>
        <w:t>Constructor binding</w:t>
      </w:r>
    </w:p>
    <w:p w14:paraId="2D5978D6" w14:textId="77777777" w:rsidR="00A720EB" w:rsidRDefault="00A720EB">
      <w:pPr>
        <w:pStyle w:val="a3"/>
        <w:spacing w:before="11"/>
        <w:rPr>
          <w:rFonts w:ascii="Palatino Linotype"/>
          <w:b/>
          <w:sz w:val="18"/>
        </w:rPr>
      </w:pPr>
    </w:p>
    <w:p w14:paraId="5C7D6B9A" w14:textId="77777777" w:rsidR="00A720EB" w:rsidRDefault="0030286B">
      <w:pPr>
        <w:pStyle w:val="a3"/>
        <w:spacing w:line="307" w:lineRule="auto"/>
        <w:ind w:left="124"/>
      </w:pPr>
      <w:r>
        <w:rPr>
          <w:color w:val="333333"/>
          <w:w w:val="110"/>
        </w:rPr>
        <w:t>The example in the previous section can be rewritten in an immutable fashion as shown in the following example:</w:t>
      </w:r>
    </w:p>
    <w:p w14:paraId="5295E62F" w14:textId="77777777" w:rsidR="00A720EB" w:rsidRDefault="00E10349">
      <w:pPr>
        <w:pStyle w:val="a3"/>
        <w:spacing w:before="2"/>
        <w:rPr>
          <w:sz w:val="13"/>
        </w:rPr>
      </w:pPr>
      <w:r>
        <w:pict w14:anchorId="6A9BAD6B">
          <v:group id="_x0000_s4570" style="position:absolute;margin-left:47.85pt;margin-top:9.7pt;width:499.55pt;height:75.65pt;z-index:-15605248;mso-wrap-distance-left:0;mso-wrap-distance-right:0;mso-position-horizontal-relative:page" coordorigin="957,194" coordsize="9991,1513">
            <v:shape id="_x0000_s4574" style="position:absolute;left:964;top:201;width:9976;height:1497" coordorigin="965,201" coordsize="9976,1497" path="m10861,201r-9816,l1014,208r-26,17l971,250r-6,31l965,1618r6,31l988,1674r26,17l1045,1698r9816,l10892,1691r25,-17l10935,1649r6,-31l10941,281r-6,-31l10917,225r-25,-17l10861,201xe" fillcolor="#f5f5f5" stroked="f">
              <v:path arrowok="t"/>
            </v:shape>
            <v:shape id="_x0000_s4573" style="position:absolute;left:964;top:201;width:9976;height:1497" coordorigin="965,201" coordsize="9976,1497" path="m1045,201r9816,l10892,208r25,17l10935,250r6,31l10941,1618r-6,31l10917,1674r-25,17l10861,1698r-9816,l1014,1691r-26,-17l971,1649r-6,-31l965,281r6,-31l988,225r26,-17l1045,201xe" filled="f" strokecolor="#ccc">
              <v:path arrowok="t"/>
            </v:shape>
            <v:line id="_x0000_s4572" style="position:absolute" from="1060,1698" to="10846,1698" strokecolor="#f5f5f5" strokeweight=".9pt">
              <v:stroke dashstyle="dash"/>
            </v:line>
            <v:shape id="_x0000_s4571" type="#_x0000_t202" style="position:absolute;left:984;top:216;width:9938;height:1465" filled="f" stroked="f">
              <v:textbox inset="0,0,0,0">
                <w:txbxContent>
                  <w:p w14:paraId="5A39AB56" w14:textId="77777777" w:rsidR="00711A16" w:rsidRDefault="00711A16">
                    <w:pPr>
                      <w:spacing w:before="221"/>
                      <w:ind w:left="200"/>
                      <w:rPr>
                        <w:rFonts w:ascii="MS Gothic"/>
                      </w:rPr>
                    </w:pPr>
                    <w:r>
                      <w:rPr>
                        <w:rFonts w:ascii="MS Gothic"/>
                        <w:color w:val="333333"/>
                      </w:rPr>
                      <w:t>package com.example;</w:t>
                    </w:r>
                  </w:p>
                  <w:p w14:paraId="716EEFC9" w14:textId="77777777" w:rsidR="00711A16" w:rsidRDefault="00711A16">
                    <w:pPr>
                      <w:rPr>
                        <w:rFonts w:ascii="MS Gothic"/>
                        <w:sz w:val="24"/>
                      </w:rPr>
                    </w:pPr>
                  </w:p>
                  <w:p w14:paraId="47F1E14A" w14:textId="77777777" w:rsidR="00711A16" w:rsidRDefault="00711A16">
                    <w:pPr>
                      <w:spacing w:line="252" w:lineRule="auto"/>
                      <w:ind w:left="200" w:right="6638"/>
                      <w:rPr>
                        <w:rFonts w:ascii="MS Gothic"/>
                      </w:rPr>
                    </w:pPr>
                    <w:r>
                      <w:rPr>
                        <w:rFonts w:ascii="MS Gothic"/>
                        <w:color w:val="333333"/>
                      </w:rPr>
                      <w:t xml:space="preserve">import </w:t>
                    </w:r>
                    <w:proofErr w:type="gramStart"/>
                    <w:r>
                      <w:rPr>
                        <w:rFonts w:ascii="MS Gothic"/>
                        <w:color w:val="333333"/>
                      </w:rPr>
                      <w:t>java.net.InetAddress</w:t>
                    </w:r>
                    <w:proofErr w:type="gramEnd"/>
                    <w:r>
                      <w:rPr>
                        <w:rFonts w:ascii="MS Gothic"/>
                        <w:color w:val="333333"/>
                      </w:rPr>
                      <w:t>; import java.util.List;</w:t>
                    </w:r>
                  </w:p>
                </w:txbxContent>
              </v:textbox>
            </v:shape>
            <w10:wrap type="topAndBottom" anchorx="page"/>
          </v:group>
        </w:pict>
      </w:r>
    </w:p>
    <w:p w14:paraId="5BAC80D9" w14:textId="77777777" w:rsidR="00A720EB" w:rsidRDefault="00A720EB">
      <w:pPr>
        <w:rPr>
          <w:sz w:val="13"/>
        </w:rPr>
        <w:sectPr w:rsidR="00A720EB">
          <w:pgSz w:w="11910" w:h="16840"/>
          <w:pgMar w:top="640" w:right="840" w:bottom="520" w:left="840" w:header="0" w:footer="323" w:gutter="0"/>
          <w:cols w:space="720"/>
        </w:sectPr>
      </w:pPr>
    </w:p>
    <w:p w14:paraId="03D7F4A1" w14:textId="77777777" w:rsidR="00A720EB" w:rsidRDefault="00E10349">
      <w:pPr>
        <w:pStyle w:val="a3"/>
        <w:spacing w:before="9"/>
        <w:rPr>
          <w:sz w:val="12"/>
        </w:rPr>
      </w:pPr>
      <w:r>
        <w:lastRenderedPageBreak/>
        <w:pict w14:anchorId="7158C406">
          <v:group id="_x0000_s4566" style="position:absolute;margin-left:47.85pt;margin-top:35.55pt;width:499.55pt;height:758.55pt;z-index:-41679872;mso-position-horizontal-relative:page;mso-position-vertical-relative:page" coordorigin="957,711" coordsize="9991,15171">
            <v:shape id="_x0000_s4569" style="position:absolute;left:964;top:720;width:9976;height:15153" coordorigin="965,720" coordsize="9976,15153" path="m10861,720r-9816,l1014,726r-26,17l971,769r-6,31l965,15793r6,31l988,15850r26,17l1045,15873r9816,l10892,15867r25,-17l10935,15824r6,-31l10941,800r-6,-31l10917,743r-25,-17l10861,720xe" fillcolor="#f5f5f5" stroked="f">
              <v:path arrowok="t"/>
            </v:shape>
            <v:shape id="_x0000_s4568" style="position:absolute;left:964;top:720;width:9976;height:15153" coordorigin="965,720" coordsize="9976,15153" path="m1045,720r9816,l10892,726r25,17l10935,769r6,31l10941,15793r-6,31l10917,15850r-25,17l10861,15873r-9816,l1014,15867r-26,-17l971,15824r-6,-31l965,800r6,-31l988,743r26,-17l1045,720xe" filled="f" strokecolor="#ccc">
              <v:path arrowok="t"/>
            </v:shape>
            <v:shape id="_x0000_s4567" style="position:absolute;left:1059;top:720;width:9786;height:15153" coordorigin="1060,720" coordsize="9786,15153" o:spt="100" adj="0,,0" path="m1060,720r9786,m1060,15873r9786,e" filled="f" strokecolor="#f5f5f5" strokeweight=".9pt">
              <v:stroke dashstyle="dash" joinstyle="round"/>
              <v:formulas/>
              <v:path arrowok="t" o:connecttype="segments"/>
            </v:shape>
            <w10:wrap anchorx="page" anchory="page"/>
          </v:group>
        </w:pict>
      </w:r>
    </w:p>
    <w:p w14:paraId="0ED07844" w14:textId="77777777" w:rsidR="00A720EB" w:rsidRDefault="0030286B">
      <w:pPr>
        <w:spacing w:before="116" w:line="252" w:lineRule="auto"/>
        <w:ind w:left="344" w:right="1616"/>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.boot.context.properties.ConfigurationProperties; import org.springframework.boot.context.properties.ConstructorBinding; import org.springframework.boot.context.properties.bind.DefaultValue;</w:t>
      </w:r>
    </w:p>
    <w:p w14:paraId="6EA28FE2" w14:textId="77777777" w:rsidR="00A720EB" w:rsidRDefault="00A720EB">
      <w:pPr>
        <w:pStyle w:val="a3"/>
        <w:spacing w:before="9"/>
        <w:rPr>
          <w:rFonts w:ascii="MS Gothic"/>
          <w:sz w:val="22"/>
        </w:rPr>
      </w:pPr>
    </w:p>
    <w:p w14:paraId="6D76C05E" w14:textId="77777777" w:rsidR="00A720EB" w:rsidRDefault="0030286B">
      <w:pPr>
        <w:spacing w:before="1" w:line="252" w:lineRule="auto"/>
        <w:ind w:left="344" w:right="6346"/>
        <w:rPr>
          <w:rFonts w:ascii="MS Gothic"/>
        </w:rPr>
      </w:pPr>
      <w:r>
        <w:rPr>
          <w:rFonts w:ascii="MS Gothic"/>
          <w:color w:val="333333"/>
        </w:rPr>
        <w:t>@ConstructorBinding @ConfigurationProperties("acme") public class AcmeProperties {</w:t>
      </w:r>
    </w:p>
    <w:p w14:paraId="7FBECC4F" w14:textId="77777777" w:rsidR="00A720EB" w:rsidRDefault="00A720EB">
      <w:pPr>
        <w:pStyle w:val="a3"/>
        <w:spacing w:before="9"/>
        <w:rPr>
          <w:rFonts w:ascii="MS Gothic"/>
          <w:sz w:val="22"/>
        </w:rPr>
      </w:pPr>
    </w:p>
    <w:p w14:paraId="55B0DDC5" w14:textId="77777777" w:rsidR="00A720EB" w:rsidRDefault="0030286B">
      <w:pPr>
        <w:ind w:left="784"/>
        <w:rPr>
          <w:rFonts w:ascii="MS Gothic"/>
        </w:rPr>
      </w:pPr>
      <w:r>
        <w:rPr>
          <w:rFonts w:ascii="MS Gothic"/>
          <w:color w:val="333333"/>
        </w:rPr>
        <w:t>private final boolean enabled;</w:t>
      </w:r>
    </w:p>
    <w:p w14:paraId="7D38BE22" w14:textId="77777777" w:rsidR="00A720EB" w:rsidRDefault="00A720EB">
      <w:pPr>
        <w:pStyle w:val="a3"/>
        <w:rPr>
          <w:rFonts w:ascii="MS Gothic"/>
          <w:sz w:val="24"/>
        </w:rPr>
      </w:pPr>
    </w:p>
    <w:p w14:paraId="04E309F4" w14:textId="77777777" w:rsidR="00A720EB" w:rsidRDefault="0030286B">
      <w:pPr>
        <w:spacing w:line="501" w:lineRule="auto"/>
        <w:ind w:left="784" w:right="5026"/>
        <w:rPr>
          <w:rFonts w:ascii="MS Gothic"/>
        </w:rPr>
      </w:pPr>
      <w:r>
        <w:rPr>
          <w:rFonts w:ascii="MS Gothic"/>
          <w:color w:val="333333"/>
        </w:rPr>
        <w:t>private final InetAddress remoteAddress; private final Security security;</w:t>
      </w:r>
    </w:p>
    <w:p w14:paraId="150182D3" w14:textId="77777777" w:rsidR="00A720EB" w:rsidRDefault="0030286B">
      <w:pPr>
        <w:spacing w:before="1" w:line="252" w:lineRule="auto"/>
        <w:ind w:left="344" w:right="1286" w:firstLine="440"/>
        <w:rPr>
          <w:rFonts w:ascii="MS Gothic"/>
        </w:rPr>
      </w:pPr>
      <w:r>
        <w:rPr>
          <w:rFonts w:ascii="MS Gothic"/>
          <w:color w:val="333333"/>
        </w:rPr>
        <w:t xml:space="preserve">public </w:t>
      </w:r>
      <w:proofErr w:type="gramStart"/>
      <w:r>
        <w:rPr>
          <w:rFonts w:ascii="MS Gothic"/>
          <w:color w:val="333333"/>
        </w:rPr>
        <w:t>AcmeProperties(</w:t>
      </w:r>
      <w:proofErr w:type="gramEnd"/>
      <w:r>
        <w:rPr>
          <w:rFonts w:ascii="MS Gothic"/>
          <w:color w:val="333333"/>
        </w:rPr>
        <w:t>boolean enabled, InetAddress remoteAddress, Security security) {</w:t>
      </w:r>
    </w:p>
    <w:p w14:paraId="7604A06E" w14:textId="77777777" w:rsidR="00A720EB" w:rsidRDefault="0030286B">
      <w:pPr>
        <w:spacing w:line="252" w:lineRule="auto"/>
        <w:ind w:left="1224" w:right="5136"/>
        <w:rPr>
          <w:rFonts w:ascii="MS Gothic"/>
        </w:rPr>
      </w:pPr>
      <w:proofErr w:type="gramStart"/>
      <w:r>
        <w:rPr>
          <w:rFonts w:ascii="MS Gothic"/>
          <w:color w:val="333333"/>
        </w:rPr>
        <w:t>this.enabled</w:t>
      </w:r>
      <w:proofErr w:type="gramEnd"/>
      <w:r>
        <w:rPr>
          <w:rFonts w:ascii="MS Gothic"/>
          <w:color w:val="333333"/>
        </w:rPr>
        <w:t xml:space="preserve"> = enabled; this.remoteAddress = remoteAddress; this.security = security;</w:t>
      </w:r>
    </w:p>
    <w:p w14:paraId="2A8B9C9D" w14:textId="77777777" w:rsidR="00A720EB" w:rsidRDefault="0030286B">
      <w:pPr>
        <w:spacing w:line="277" w:lineRule="exact"/>
        <w:ind w:left="784"/>
        <w:rPr>
          <w:rFonts w:ascii="MS Gothic"/>
        </w:rPr>
      </w:pPr>
      <w:r>
        <w:rPr>
          <w:rFonts w:ascii="MS Gothic"/>
          <w:color w:val="333333"/>
        </w:rPr>
        <w:t>}</w:t>
      </w:r>
    </w:p>
    <w:p w14:paraId="4904083A" w14:textId="77777777" w:rsidR="00A720EB" w:rsidRDefault="00A720EB">
      <w:pPr>
        <w:pStyle w:val="a3"/>
        <w:rPr>
          <w:rFonts w:ascii="MS Gothic"/>
          <w:sz w:val="24"/>
        </w:rPr>
      </w:pPr>
    </w:p>
    <w:p w14:paraId="3ABC8711" w14:textId="77777777" w:rsidR="00A720EB" w:rsidRDefault="0030286B">
      <w:pPr>
        <w:ind w:left="784"/>
        <w:rPr>
          <w:rFonts w:ascii="MS Gothic"/>
        </w:rPr>
      </w:pPr>
      <w:r>
        <w:rPr>
          <w:rFonts w:ascii="MS Gothic"/>
          <w:color w:val="333333"/>
        </w:rPr>
        <w:t xml:space="preserve">public boolean </w:t>
      </w:r>
      <w:proofErr w:type="gramStart"/>
      <w:r>
        <w:rPr>
          <w:rFonts w:ascii="MS Gothic"/>
          <w:color w:val="333333"/>
        </w:rPr>
        <w:t>isEnabled(</w:t>
      </w:r>
      <w:proofErr w:type="gramEnd"/>
      <w:r>
        <w:rPr>
          <w:rFonts w:ascii="MS Gothic"/>
          <w:color w:val="333333"/>
        </w:rPr>
        <w:t>) { ... }</w:t>
      </w:r>
    </w:p>
    <w:p w14:paraId="6D966386" w14:textId="77777777" w:rsidR="00A720EB" w:rsidRDefault="00A720EB">
      <w:pPr>
        <w:pStyle w:val="a3"/>
        <w:rPr>
          <w:rFonts w:ascii="MS Gothic"/>
          <w:sz w:val="24"/>
        </w:rPr>
      </w:pPr>
    </w:p>
    <w:p w14:paraId="3D750F67" w14:textId="77777777" w:rsidR="00A720EB" w:rsidRDefault="0030286B">
      <w:pPr>
        <w:spacing w:line="501" w:lineRule="auto"/>
        <w:ind w:left="784" w:right="4036"/>
        <w:rPr>
          <w:rFonts w:ascii="MS Gothic"/>
        </w:rPr>
      </w:pPr>
      <w:r>
        <w:rPr>
          <w:rFonts w:ascii="MS Gothic"/>
          <w:color w:val="333333"/>
        </w:rPr>
        <w:t xml:space="preserve">public InetAddress </w:t>
      </w:r>
      <w:proofErr w:type="gramStart"/>
      <w:r>
        <w:rPr>
          <w:rFonts w:ascii="MS Gothic"/>
          <w:color w:val="333333"/>
        </w:rPr>
        <w:t>getRemoteAddress(</w:t>
      </w:r>
      <w:proofErr w:type="gramEnd"/>
      <w:r>
        <w:rPr>
          <w:rFonts w:ascii="MS Gothic"/>
          <w:color w:val="333333"/>
        </w:rPr>
        <w:t xml:space="preserve">) { ... </w:t>
      </w:r>
      <w:r>
        <w:rPr>
          <w:rFonts w:ascii="MS Gothic"/>
          <w:color w:val="333333"/>
          <w:spacing w:val="-17"/>
        </w:rPr>
        <w:t xml:space="preserve">} </w:t>
      </w:r>
      <w:r>
        <w:rPr>
          <w:rFonts w:ascii="MS Gothic"/>
          <w:color w:val="333333"/>
        </w:rPr>
        <w:t>public Security getSecurity() { ... }</w:t>
      </w:r>
    </w:p>
    <w:p w14:paraId="4EDCC8D8" w14:textId="77777777" w:rsidR="00A720EB" w:rsidRDefault="0030286B">
      <w:pPr>
        <w:spacing w:before="1" w:line="501" w:lineRule="auto"/>
        <w:ind w:left="1224" w:right="5368" w:hanging="440"/>
        <w:rPr>
          <w:rFonts w:ascii="MS Gothic"/>
        </w:rPr>
      </w:pPr>
      <w:r>
        <w:rPr>
          <w:rFonts w:ascii="MS Gothic"/>
          <w:color w:val="333333"/>
        </w:rPr>
        <w:t xml:space="preserve">public static class Security </w:t>
      </w:r>
      <w:proofErr w:type="gramStart"/>
      <w:r>
        <w:rPr>
          <w:rFonts w:ascii="MS Gothic"/>
          <w:color w:val="333333"/>
        </w:rPr>
        <w:t>{ private</w:t>
      </w:r>
      <w:proofErr w:type="gramEnd"/>
      <w:r>
        <w:rPr>
          <w:rFonts w:ascii="MS Gothic"/>
          <w:color w:val="333333"/>
        </w:rPr>
        <w:t xml:space="preserve"> final String username; private final String password; private final List&lt;String&gt;</w:t>
      </w:r>
      <w:r>
        <w:rPr>
          <w:rFonts w:ascii="MS Gothic"/>
          <w:color w:val="333333"/>
          <w:spacing w:val="1"/>
        </w:rPr>
        <w:t xml:space="preserve"> </w:t>
      </w:r>
      <w:r>
        <w:rPr>
          <w:rFonts w:ascii="MS Gothic"/>
          <w:color w:val="333333"/>
          <w:spacing w:val="-3"/>
        </w:rPr>
        <w:t>roles;</w:t>
      </w:r>
    </w:p>
    <w:p w14:paraId="0711EBED" w14:textId="77777777" w:rsidR="00A720EB" w:rsidRDefault="0030286B">
      <w:pPr>
        <w:spacing w:before="2" w:line="252" w:lineRule="auto"/>
        <w:ind w:left="2104" w:right="3376" w:hanging="880"/>
        <w:rPr>
          <w:rFonts w:ascii="MS Gothic"/>
        </w:rPr>
      </w:pPr>
      <w:r>
        <w:rPr>
          <w:rFonts w:ascii="MS Gothic"/>
          <w:color w:val="333333"/>
        </w:rPr>
        <w:t xml:space="preserve">public </w:t>
      </w:r>
      <w:proofErr w:type="gramStart"/>
      <w:r>
        <w:rPr>
          <w:rFonts w:ascii="MS Gothic"/>
          <w:color w:val="333333"/>
        </w:rPr>
        <w:t>Security(</w:t>
      </w:r>
      <w:proofErr w:type="gramEnd"/>
      <w:r>
        <w:rPr>
          <w:rFonts w:ascii="MS Gothic"/>
          <w:color w:val="333333"/>
        </w:rPr>
        <w:t>String username, String password, @DefaultValue("USER") List&lt;String&gt; roles) {</w:t>
      </w:r>
    </w:p>
    <w:p w14:paraId="55949453" w14:textId="77777777" w:rsidR="00A720EB" w:rsidRDefault="0030286B">
      <w:pPr>
        <w:spacing w:line="252" w:lineRule="auto"/>
        <w:ind w:left="1664" w:right="5808"/>
        <w:jc w:val="both"/>
        <w:rPr>
          <w:rFonts w:ascii="MS Gothic"/>
        </w:rPr>
      </w:pPr>
      <w:proofErr w:type="gramStart"/>
      <w:r>
        <w:rPr>
          <w:rFonts w:ascii="MS Gothic"/>
          <w:color w:val="333333"/>
        </w:rPr>
        <w:t>this.username</w:t>
      </w:r>
      <w:proofErr w:type="gramEnd"/>
      <w:r>
        <w:rPr>
          <w:rFonts w:ascii="MS Gothic"/>
          <w:color w:val="333333"/>
        </w:rPr>
        <w:t xml:space="preserve"> = username; this.password = password; this.roles = roles;</w:t>
      </w:r>
    </w:p>
    <w:p w14:paraId="400B1AF4" w14:textId="77777777" w:rsidR="00A720EB" w:rsidRDefault="0030286B">
      <w:pPr>
        <w:spacing w:line="276" w:lineRule="exact"/>
        <w:ind w:left="1224"/>
        <w:rPr>
          <w:rFonts w:ascii="MS Gothic"/>
        </w:rPr>
      </w:pPr>
      <w:r>
        <w:rPr>
          <w:rFonts w:ascii="MS Gothic"/>
          <w:color w:val="333333"/>
        </w:rPr>
        <w:t>}</w:t>
      </w:r>
    </w:p>
    <w:p w14:paraId="0515E493" w14:textId="77777777" w:rsidR="00A720EB" w:rsidRDefault="00A720EB">
      <w:pPr>
        <w:pStyle w:val="a3"/>
        <w:rPr>
          <w:rFonts w:ascii="MS Gothic"/>
          <w:sz w:val="24"/>
        </w:rPr>
      </w:pPr>
    </w:p>
    <w:p w14:paraId="33EE9E64" w14:textId="77777777" w:rsidR="00A720EB" w:rsidRDefault="0030286B">
      <w:pPr>
        <w:spacing w:line="501" w:lineRule="auto"/>
        <w:ind w:left="1224" w:right="4806"/>
        <w:rPr>
          <w:rFonts w:ascii="MS Gothic"/>
        </w:rPr>
      </w:pPr>
      <w:r>
        <w:rPr>
          <w:rFonts w:ascii="MS Gothic"/>
          <w:color w:val="333333"/>
        </w:rPr>
        <w:t xml:space="preserve">public String </w:t>
      </w:r>
      <w:proofErr w:type="gramStart"/>
      <w:r>
        <w:rPr>
          <w:rFonts w:ascii="MS Gothic"/>
          <w:color w:val="333333"/>
        </w:rPr>
        <w:t>getUsername(</w:t>
      </w:r>
      <w:proofErr w:type="gramEnd"/>
      <w:r>
        <w:rPr>
          <w:rFonts w:ascii="MS Gothic"/>
          <w:color w:val="333333"/>
        </w:rPr>
        <w:t>) { ... } public String getPassword() { ... } public List&lt;String&gt; getRoles() { ... }</w:t>
      </w:r>
    </w:p>
    <w:p w14:paraId="643F24A3" w14:textId="77777777" w:rsidR="00A720EB" w:rsidRDefault="0030286B">
      <w:pPr>
        <w:spacing w:before="1"/>
        <w:ind w:left="784"/>
        <w:rPr>
          <w:rFonts w:ascii="MS Gothic"/>
        </w:rPr>
      </w:pPr>
      <w:r>
        <w:rPr>
          <w:rFonts w:ascii="MS Gothic"/>
          <w:color w:val="333333"/>
        </w:rPr>
        <w:t>}</w:t>
      </w:r>
    </w:p>
    <w:p w14:paraId="656D77E6" w14:textId="77777777" w:rsidR="00A720EB" w:rsidRDefault="00A720EB">
      <w:pPr>
        <w:rPr>
          <w:rFonts w:ascii="MS Gothic"/>
        </w:rPr>
        <w:sectPr w:rsidR="00A720EB">
          <w:pgSz w:w="11910" w:h="16840"/>
          <w:pgMar w:top="700" w:right="840" w:bottom="520" w:left="840" w:header="0" w:footer="323" w:gutter="0"/>
          <w:cols w:space="720"/>
        </w:sectPr>
      </w:pPr>
    </w:p>
    <w:p w14:paraId="339DA7F8" w14:textId="77777777" w:rsidR="00A720EB" w:rsidRDefault="00E10349">
      <w:pPr>
        <w:pStyle w:val="a3"/>
        <w:ind w:left="116"/>
        <w:rPr>
          <w:rFonts w:ascii="MS Gothic"/>
          <w:sz w:val="20"/>
        </w:rPr>
      </w:pPr>
      <w:r>
        <w:rPr>
          <w:rFonts w:ascii="MS Gothic"/>
          <w:sz w:val="20"/>
        </w:rPr>
      </w:r>
      <w:r>
        <w:rPr>
          <w:rFonts w:ascii="MS Gothic"/>
          <w:sz w:val="20"/>
        </w:rPr>
        <w:pict w14:anchorId="426736B6">
          <v:group id="_x0000_s4561" style="width:499.55pt;height:23.1pt;mso-position-horizontal-relative:char;mso-position-vertical-relative:line" coordsize="9991,462">
            <v:shape id="_x0000_s4565" style="position:absolute;left:7;top:9;width:9976;height:446" coordorigin="8,9" coordsize="9976,446" path="m9904,9l88,9,56,15,31,32,14,58,8,89r,285l14,405r17,26l56,448r32,6l9904,454r31,-6l9960,431r17,-26l9984,374r,-285l9977,58,9960,32,9935,15,9904,9xe" fillcolor="#f5f5f5" stroked="f">
              <v:path arrowok="t"/>
            </v:shape>
            <v:shape id="_x0000_s4564" style="position:absolute;left:7;top:9;width:9976;height:446" coordorigin="8,9" coordsize="9976,446" path="m88,9r9816,l9935,15r25,17l9977,58r7,31l9984,374r-7,31l9960,431r-25,17l9904,454,88,454,56,448,31,431,14,405,8,374,8,89,14,58,31,32,56,15,88,9xe" filled="f" strokecolor="#ccc">
              <v:path arrowok="t"/>
            </v:shape>
            <v:line id="_x0000_s4563" style="position:absolute" from="103,9" to="9889,9" strokecolor="#f5f5f5" strokeweight=".9pt">
              <v:stroke dashstyle="dash"/>
            </v:line>
            <v:shape id="_x0000_s4562" type="#_x0000_t202" style="position:absolute;left:26;top:25;width:9938;height:414" filled="f" stroked="f">
              <v:textbox inset="0,0,0,0">
                <w:txbxContent>
                  <w:p w14:paraId="6E003535" w14:textId="77777777" w:rsidR="00711A16" w:rsidRDefault="00711A16">
                    <w:pPr>
                      <w:spacing w:line="235" w:lineRule="exact"/>
                      <w:ind w:left="200"/>
                      <w:rPr>
                        <w:rFonts w:ascii="MS Gothic"/>
                      </w:rPr>
                    </w:pPr>
                    <w:r>
                      <w:rPr>
                        <w:rFonts w:ascii="MS Gothic"/>
                        <w:color w:val="333333"/>
                      </w:rPr>
                      <w:t>}</w:t>
                    </w:r>
                  </w:p>
                </w:txbxContent>
              </v:textbox>
            </v:shape>
            <w10:anchorlock/>
          </v:group>
        </w:pict>
      </w:r>
    </w:p>
    <w:p w14:paraId="4241A0C6" w14:textId="77777777" w:rsidR="00A720EB" w:rsidRDefault="00A720EB">
      <w:pPr>
        <w:pStyle w:val="a3"/>
        <w:rPr>
          <w:rFonts w:ascii="MS Gothic"/>
          <w:sz w:val="11"/>
        </w:rPr>
      </w:pPr>
    </w:p>
    <w:p w14:paraId="6AC190F0" w14:textId="77777777" w:rsidR="00A720EB" w:rsidRDefault="0030286B">
      <w:pPr>
        <w:pStyle w:val="a3"/>
        <w:spacing w:before="116" w:line="300" w:lineRule="auto"/>
        <w:ind w:left="124" w:right="130"/>
        <w:jc w:val="both"/>
      </w:pPr>
      <w:r>
        <w:rPr>
          <w:color w:val="333333"/>
          <w:w w:val="110"/>
        </w:rPr>
        <w:t>In</w:t>
      </w:r>
      <w:r>
        <w:rPr>
          <w:color w:val="333333"/>
          <w:spacing w:val="-7"/>
          <w:w w:val="110"/>
        </w:rPr>
        <w:t xml:space="preserve"> </w:t>
      </w:r>
      <w:r>
        <w:rPr>
          <w:color w:val="333333"/>
          <w:w w:val="110"/>
        </w:rPr>
        <w:t>this</w:t>
      </w:r>
      <w:r>
        <w:rPr>
          <w:color w:val="333333"/>
          <w:spacing w:val="-6"/>
          <w:w w:val="110"/>
        </w:rPr>
        <w:t xml:space="preserve"> </w:t>
      </w:r>
      <w:r>
        <w:rPr>
          <w:color w:val="333333"/>
          <w:w w:val="110"/>
        </w:rPr>
        <w:t>setup,</w:t>
      </w:r>
      <w:r>
        <w:rPr>
          <w:color w:val="333333"/>
          <w:spacing w:val="-6"/>
          <w:w w:val="110"/>
        </w:rPr>
        <w:t xml:space="preserve"> </w:t>
      </w:r>
      <w:r>
        <w:rPr>
          <w:color w:val="333333"/>
          <w:w w:val="110"/>
        </w:rPr>
        <w:t>the</w:t>
      </w:r>
      <w:r>
        <w:rPr>
          <w:color w:val="333333"/>
          <w:spacing w:val="-6"/>
          <w:w w:val="110"/>
        </w:rPr>
        <w:t xml:space="preserve"> </w:t>
      </w:r>
      <w:r>
        <w:rPr>
          <w:rFonts w:ascii="MS Gothic"/>
          <w:color w:val="B02045"/>
          <w:w w:val="110"/>
        </w:rPr>
        <w:t>@ConstructorBinding</w:t>
      </w:r>
      <w:r>
        <w:rPr>
          <w:rFonts w:ascii="MS Gothic"/>
          <w:color w:val="B02045"/>
          <w:spacing w:val="-71"/>
          <w:w w:val="110"/>
        </w:rPr>
        <w:t xml:space="preserve"> </w:t>
      </w:r>
      <w:r>
        <w:rPr>
          <w:color w:val="333333"/>
          <w:w w:val="110"/>
        </w:rPr>
        <w:t>annotation</w:t>
      </w:r>
      <w:r>
        <w:rPr>
          <w:color w:val="333333"/>
          <w:spacing w:val="-7"/>
          <w:w w:val="110"/>
        </w:rPr>
        <w:t xml:space="preserve"> </w:t>
      </w:r>
      <w:r>
        <w:rPr>
          <w:color w:val="333333"/>
          <w:w w:val="110"/>
        </w:rPr>
        <w:t>is</w:t>
      </w:r>
      <w:r>
        <w:rPr>
          <w:color w:val="333333"/>
          <w:spacing w:val="-7"/>
          <w:w w:val="110"/>
        </w:rPr>
        <w:t xml:space="preserve"> </w:t>
      </w:r>
      <w:r>
        <w:rPr>
          <w:color w:val="333333"/>
          <w:w w:val="110"/>
        </w:rPr>
        <w:t>used</w:t>
      </w:r>
      <w:r>
        <w:rPr>
          <w:color w:val="333333"/>
          <w:spacing w:val="-7"/>
          <w:w w:val="110"/>
        </w:rPr>
        <w:t xml:space="preserve"> </w:t>
      </w:r>
      <w:r>
        <w:rPr>
          <w:color w:val="333333"/>
          <w:w w:val="110"/>
        </w:rPr>
        <w:t>to</w:t>
      </w:r>
      <w:r>
        <w:rPr>
          <w:color w:val="333333"/>
          <w:spacing w:val="-6"/>
          <w:w w:val="110"/>
        </w:rPr>
        <w:t xml:space="preserve"> </w:t>
      </w:r>
      <w:r>
        <w:rPr>
          <w:color w:val="333333"/>
          <w:w w:val="110"/>
        </w:rPr>
        <w:t>indicate</w:t>
      </w:r>
      <w:r>
        <w:rPr>
          <w:color w:val="333333"/>
          <w:spacing w:val="-6"/>
          <w:w w:val="110"/>
        </w:rPr>
        <w:t xml:space="preserve"> </w:t>
      </w:r>
      <w:r>
        <w:rPr>
          <w:color w:val="333333"/>
          <w:w w:val="110"/>
        </w:rPr>
        <w:t>that</w:t>
      </w:r>
      <w:r>
        <w:rPr>
          <w:color w:val="333333"/>
          <w:spacing w:val="-7"/>
          <w:w w:val="110"/>
        </w:rPr>
        <w:t xml:space="preserve"> </w:t>
      </w:r>
      <w:r>
        <w:rPr>
          <w:color w:val="333333"/>
          <w:w w:val="110"/>
        </w:rPr>
        <w:t>constructor</w:t>
      </w:r>
      <w:r>
        <w:rPr>
          <w:color w:val="333333"/>
          <w:spacing w:val="-6"/>
          <w:w w:val="110"/>
        </w:rPr>
        <w:t xml:space="preserve"> </w:t>
      </w:r>
      <w:r>
        <w:rPr>
          <w:color w:val="333333"/>
          <w:w w:val="110"/>
        </w:rPr>
        <w:t>binding</w:t>
      </w:r>
      <w:r>
        <w:rPr>
          <w:color w:val="333333"/>
          <w:spacing w:val="-6"/>
          <w:w w:val="110"/>
        </w:rPr>
        <w:t xml:space="preserve"> </w:t>
      </w:r>
      <w:r>
        <w:rPr>
          <w:color w:val="333333"/>
          <w:w w:val="110"/>
        </w:rPr>
        <w:t>should be used. This means that the binder will expect to find a constructor with the parameters that you wish to have</w:t>
      </w:r>
      <w:r>
        <w:rPr>
          <w:color w:val="333333"/>
          <w:spacing w:val="8"/>
          <w:w w:val="110"/>
        </w:rPr>
        <w:t xml:space="preserve"> </w:t>
      </w:r>
      <w:r>
        <w:rPr>
          <w:color w:val="333333"/>
          <w:w w:val="110"/>
        </w:rPr>
        <w:t>bound.</w:t>
      </w:r>
    </w:p>
    <w:p w14:paraId="1EE22C31" w14:textId="77777777" w:rsidR="00A720EB" w:rsidRDefault="0030286B">
      <w:pPr>
        <w:pStyle w:val="a3"/>
        <w:spacing w:before="235" w:line="290" w:lineRule="auto"/>
        <w:ind w:left="124" w:right="127"/>
        <w:jc w:val="both"/>
      </w:pPr>
      <w:r>
        <w:rPr>
          <w:color w:val="333333"/>
          <w:w w:val="110"/>
        </w:rPr>
        <w:t>Nested</w:t>
      </w:r>
      <w:r>
        <w:rPr>
          <w:color w:val="333333"/>
          <w:spacing w:val="-9"/>
          <w:w w:val="110"/>
        </w:rPr>
        <w:t xml:space="preserve"> </w:t>
      </w:r>
      <w:r>
        <w:rPr>
          <w:color w:val="333333"/>
          <w:w w:val="110"/>
        </w:rPr>
        <w:t>members</w:t>
      </w:r>
      <w:r>
        <w:rPr>
          <w:color w:val="333333"/>
          <w:spacing w:val="-8"/>
          <w:w w:val="110"/>
        </w:rPr>
        <w:t xml:space="preserve"> </w:t>
      </w:r>
      <w:r>
        <w:rPr>
          <w:color w:val="333333"/>
          <w:w w:val="110"/>
        </w:rPr>
        <w:t>of</w:t>
      </w:r>
      <w:r>
        <w:rPr>
          <w:color w:val="333333"/>
          <w:spacing w:val="-9"/>
          <w:w w:val="110"/>
        </w:rPr>
        <w:t xml:space="preserve"> </w:t>
      </w:r>
      <w:r>
        <w:rPr>
          <w:color w:val="333333"/>
          <w:w w:val="110"/>
        </w:rPr>
        <w:t>a</w:t>
      </w:r>
      <w:r>
        <w:rPr>
          <w:color w:val="333333"/>
          <w:spacing w:val="-7"/>
          <w:w w:val="110"/>
        </w:rPr>
        <w:t xml:space="preserve"> </w:t>
      </w:r>
      <w:r>
        <w:rPr>
          <w:rFonts w:ascii="MS Gothic"/>
          <w:color w:val="B02045"/>
          <w:w w:val="110"/>
        </w:rPr>
        <w:t>@ConstructorBinding</w:t>
      </w:r>
      <w:r>
        <w:rPr>
          <w:rFonts w:ascii="MS Gothic"/>
          <w:color w:val="B02045"/>
          <w:spacing w:val="-73"/>
          <w:w w:val="110"/>
        </w:rPr>
        <w:t xml:space="preserve"> </w:t>
      </w:r>
      <w:r>
        <w:rPr>
          <w:color w:val="333333"/>
          <w:w w:val="110"/>
        </w:rPr>
        <w:t>class</w:t>
      </w:r>
      <w:r>
        <w:rPr>
          <w:color w:val="333333"/>
          <w:spacing w:val="-8"/>
          <w:w w:val="110"/>
        </w:rPr>
        <w:t xml:space="preserve"> </w:t>
      </w:r>
      <w:r>
        <w:rPr>
          <w:color w:val="333333"/>
          <w:w w:val="110"/>
        </w:rPr>
        <w:t>(such</w:t>
      </w:r>
      <w:r>
        <w:rPr>
          <w:color w:val="333333"/>
          <w:spacing w:val="-9"/>
          <w:w w:val="110"/>
        </w:rPr>
        <w:t xml:space="preserve"> </w:t>
      </w:r>
      <w:r>
        <w:rPr>
          <w:color w:val="333333"/>
          <w:w w:val="110"/>
        </w:rPr>
        <w:t>as</w:t>
      </w:r>
      <w:r>
        <w:rPr>
          <w:color w:val="333333"/>
          <w:spacing w:val="-7"/>
          <w:w w:val="110"/>
        </w:rPr>
        <w:t xml:space="preserve"> </w:t>
      </w:r>
      <w:r>
        <w:rPr>
          <w:rFonts w:ascii="MS Gothic"/>
          <w:color w:val="B02045"/>
          <w:w w:val="110"/>
        </w:rPr>
        <w:t>Security</w:t>
      </w:r>
      <w:r>
        <w:rPr>
          <w:rFonts w:ascii="MS Gothic"/>
          <w:color w:val="B02045"/>
          <w:spacing w:val="-73"/>
          <w:w w:val="110"/>
        </w:rPr>
        <w:t xml:space="preserve"> </w:t>
      </w:r>
      <w:r>
        <w:rPr>
          <w:color w:val="333333"/>
          <w:w w:val="110"/>
        </w:rPr>
        <w:t>in</w:t>
      </w:r>
      <w:r>
        <w:rPr>
          <w:color w:val="333333"/>
          <w:spacing w:val="-8"/>
          <w:w w:val="110"/>
        </w:rPr>
        <w:t xml:space="preserve"> </w:t>
      </w:r>
      <w:r>
        <w:rPr>
          <w:color w:val="333333"/>
          <w:w w:val="110"/>
        </w:rPr>
        <w:t>the</w:t>
      </w:r>
      <w:r>
        <w:rPr>
          <w:color w:val="333333"/>
          <w:spacing w:val="-9"/>
          <w:w w:val="110"/>
        </w:rPr>
        <w:t xml:space="preserve"> </w:t>
      </w:r>
      <w:r>
        <w:rPr>
          <w:color w:val="333333"/>
          <w:w w:val="110"/>
        </w:rPr>
        <w:t>example</w:t>
      </w:r>
      <w:r>
        <w:rPr>
          <w:color w:val="333333"/>
          <w:spacing w:val="-8"/>
          <w:w w:val="110"/>
        </w:rPr>
        <w:t xml:space="preserve"> </w:t>
      </w:r>
      <w:r>
        <w:rPr>
          <w:color w:val="333333"/>
          <w:w w:val="110"/>
        </w:rPr>
        <w:t>above)</w:t>
      </w:r>
      <w:r>
        <w:rPr>
          <w:color w:val="333333"/>
          <w:spacing w:val="-9"/>
          <w:w w:val="110"/>
        </w:rPr>
        <w:t xml:space="preserve"> </w:t>
      </w:r>
      <w:r>
        <w:rPr>
          <w:color w:val="333333"/>
          <w:w w:val="110"/>
        </w:rPr>
        <w:t>will</w:t>
      </w:r>
      <w:r>
        <w:rPr>
          <w:color w:val="333333"/>
          <w:spacing w:val="-8"/>
          <w:w w:val="110"/>
        </w:rPr>
        <w:t xml:space="preserve"> </w:t>
      </w:r>
      <w:r>
        <w:rPr>
          <w:color w:val="333333"/>
          <w:w w:val="110"/>
        </w:rPr>
        <w:t>also</w:t>
      </w:r>
      <w:r>
        <w:rPr>
          <w:color w:val="333333"/>
          <w:spacing w:val="-9"/>
          <w:w w:val="110"/>
        </w:rPr>
        <w:t xml:space="preserve"> </w:t>
      </w:r>
      <w:r>
        <w:rPr>
          <w:color w:val="333333"/>
          <w:w w:val="110"/>
        </w:rPr>
        <w:t>be bound via their</w:t>
      </w:r>
      <w:r>
        <w:rPr>
          <w:color w:val="333333"/>
          <w:spacing w:val="9"/>
          <w:w w:val="110"/>
        </w:rPr>
        <w:t xml:space="preserve"> </w:t>
      </w:r>
      <w:r>
        <w:rPr>
          <w:color w:val="333333"/>
          <w:w w:val="110"/>
        </w:rPr>
        <w:t>constructor.</w:t>
      </w:r>
    </w:p>
    <w:p w14:paraId="65C627F1" w14:textId="77777777" w:rsidR="00A720EB" w:rsidRDefault="0030286B">
      <w:pPr>
        <w:pStyle w:val="a3"/>
        <w:spacing w:before="247" w:line="280" w:lineRule="auto"/>
        <w:ind w:left="124" w:right="123"/>
        <w:jc w:val="both"/>
      </w:pPr>
      <w:r>
        <w:rPr>
          <w:color w:val="333333"/>
          <w:w w:val="110"/>
        </w:rPr>
        <w:t xml:space="preserve">Default values can be specified using </w:t>
      </w:r>
      <w:r>
        <w:rPr>
          <w:rFonts w:ascii="MS Gothic"/>
          <w:color w:val="B02045"/>
          <w:w w:val="110"/>
        </w:rPr>
        <w:t xml:space="preserve">@DefaultValue </w:t>
      </w:r>
      <w:r>
        <w:rPr>
          <w:color w:val="333333"/>
          <w:w w:val="110"/>
        </w:rPr>
        <w:t xml:space="preserve">and the same conversion service will be applied to coerce the </w:t>
      </w:r>
      <w:r>
        <w:rPr>
          <w:rFonts w:ascii="MS Gothic"/>
          <w:color w:val="B02045"/>
          <w:w w:val="110"/>
        </w:rPr>
        <w:t xml:space="preserve">String </w:t>
      </w:r>
      <w:r>
        <w:rPr>
          <w:color w:val="333333"/>
          <w:w w:val="110"/>
        </w:rPr>
        <w:t xml:space="preserve">value to the target type of a missing </w:t>
      </w:r>
      <w:r>
        <w:rPr>
          <w:color w:val="333333"/>
          <w:spacing w:val="-3"/>
          <w:w w:val="110"/>
        </w:rPr>
        <w:t xml:space="preserve">property. By </w:t>
      </w:r>
      <w:r>
        <w:rPr>
          <w:color w:val="333333"/>
          <w:w w:val="110"/>
        </w:rPr>
        <w:t xml:space="preserve">default, if no properties are bound to </w:t>
      </w:r>
      <w:r>
        <w:rPr>
          <w:rFonts w:ascii="MS Gothic"/>
          <w:color w:val="B02045"/>
          <w:w w:val="110"/>
        </w:rPr>
        <w:t>Security</w:t>
      </w:r>
      <w:r>
        <w:rPr>
          <w:color w:val="333333"/>
          <w:w w:val="110"/>
        </w:rPr>
        <w:t xml:space="preserve">, the </w:t>
      </w:r>
      <w:r>
        <w:rPr>
          <w:rFonts w:ascii="MS Gothic"/>
          <w:color w:val="B02045"/>
          <w:w w:val="110"/>
        </w:rPr>
        <w:t xml:space="preserve">AcmeProperties </w:t>
      </w:r>
      <w:r>
        <w:rPr>
          <w:color w:val="333333"/>
          <w:w w:val="110"/>
        </w:rPr>
        <w:t xml:space="preserve">instance will contain a </w:t>
      </w:r>
      <w:r>
        <w:rPr>
          <w:rFonts w:ascii="MS Gothic"/>
          <w:color w:val="B02045"/>
          <w:w w:val="110"/>
        </w:rPr>
        <w:t xml:space="preserve">null </w:t>
      </w:r>
      <w:r>
        <w:rPr>
          <w:color w:val="333333"/>
          <w:w w:val="110"/>
        </w:rPr>
        <w:t xml:space="preserve">value for </w:t>
      </w:r>
      <w:r>
        <w:rPr>
          <w:rFonts w:ascii="MS Gothic"/>
          <w:color w:val="B02045"/>
          <w:w w:val="110"/>
        </w:rPr>
        <w:t>security</w:t>
      </w:r>
      <w:r>
        <w:rPr>
          <w:color w:val="333333"/>
          <w:w w:val="110"/>
        </w:rPr>
        <w:t xml:space="preserve">. If you wish you return a non-null instance of </w:t>
      </w:r>
      <w:r>
        <w:rPr>
          <w:rFonts w:ascii="MS Gothic"/>
          <w:color w:val="B02045"/>
          <w:w w:val="110"/>
        </w:rPr>
        <w:t xml:space="preserve">Security </w:t>
      </w:r>
      <w:r>
        <w:rPr>
          <w:color w:val="333333"/>
          <w:w w:val="110"/>
        </w:rPr>
        <w:t xml:space="preserve">even when no properties are bound to it, you can use an empty </w:t>
      </w:r>
      <w:r>
        <w:rPr>
          <w:rFonts w:ascii="MS Gothic"/>
          <w:color w:val="B02045"/>
          <w:w w:val="110"/>
        </w:rPr>
        <w:t>@DefaultValue</w:t>
      </w:r>
      <w:r>
        <w:rPr>
          <w:rFonts w:ascii="MS Gothic"/>
          <w:color w:val="B02045"/>
          <w:spacing w:val="-58"/>
          <w:w w:val="110"/>
        </w:rPr>
        <w:t xml:space="preserve"> </w:t>
      </w:r>
      <w:r>
        <w:rPr>
          <w:color w:val="333333"/>
          <w:w w:val="110"/>
        </w:rPr>
        <w:t>annotation to do so:</w:t>
      </w:r>
    </w:p>
    <w:p w14:paraId="7DF74813" w14:textId="77777777" w:rsidR="00A720EB" w:rsidRDefault="00E10349">
      <w:pPr>
        <w:pStyle w:val="a3"/>
        <w:spacing w:before="4"/>
        <w:rPr>
          <w:sz w:val="14"/>
        </w:rPr>
      </w:pPr>
      <w:r>
        <w:pict w14:anchorId="0CAABC9C">
          <v:group id="_x0000_s4557" style="position:absolute;margin-left:47.85pt;margin-top:10.4pt;width:499.55pt;height:391.25pt;z-index:-15601664;mso-wrap-distance-left:0;mso-wrap-distance-right:0;mso-position-horizontal-relative:page" coordorigin="957,208" coordsize="9991,7825">
            <v:shape id="_x0000_s4560" style="position:absolute;left:964;top:215;width:9976;height:7810" coordorigin="965,215" coordsize="9976,7810" path="m10861,215r-9816,l1014,222r-26,17l971,264r-6,31l965,7945r6,32l988,8002r26,17l1045,8025r9816,l10892,8019r25,-17l10935,7977r6,-32l10941,295r-6,-31l10917,239r-25,-17l10861,215xe" fillcolor="#f5f5f5" stroked="f">
              <v:path arrowok="t"/>
            </v:shape>
            <v:shape id="_x0000_s4559" style="position:absolute;left:964;top:215;width:9976;height:7810" coordorigin="965,215" coordsize="9976,7810" path="m1045,215r9816,l10892,222r25,17l10935,264r6,31l10941,7945r-6,32l10917,8002r-25,17l10861,8025r-9816,l1014,8019r-26,-17l971,7977r-6,-32l965,295r6,-31l988,239r26,-17l1045,215xe" filled="f" strokecolor="#ccc">
              <v:path arrowok="t"/>
            </v:shape>
            <v:shape id="_x0000_s4558" type="#_x0000_t202" style="position:absolute;left:984;top:230;width:9938;height:7780" filled="f" stroked="f">
              <v:textbox inset="0,0,0,0">
                <w:txbxContent>
                  <w:p w14:paraId="1A3E2D1F" w14:textId="77777777" w:rsidR="00711A16" w:rsidRDefault="00711A16">
                    <w:pPr>
                      <w:spacing w:before="221"/>
                      <w:ind w:left="200"/>
                      <w:rPr>
                        <w:rFonts w:ascii="MS Gothic"/>
                      </w:rPr>
                    </w:pPr>
                    <w:r>
                      <w:rPr>
                        <w:rFonts w:ascii="MS Gothic"/>
                        <w:color w:val="333333"/>
                      </w:rPr>
                      <w:t>package com.example;</w:t>
                    </w:r>
                  </w:p>
                  <w:p w14:paraId="5E55B628" w14:textId="77777777" w:rsidR="00711A16" w:rsidRDefault="00711A16">
                    <w:pPr>
                      <w:spacing w:before="13" w:line="252" w:lineRule="auto"/>
                      <w:ind w:left="200" w:right="6638"/>
                      <w:rPr>
                        <w:rFonts w:ascii="MS Gothic"/>
                      </w:rPr>
                    </w:pPr>
                    <w:r>
                      <w:rPr>
                        <w:rFonts w:ascii="MS Gothic"/>
                        <w:color w:val="333333"/>
                      </w:rPr>
                      <w:t xml:space="preserve">import </w:t>
                    </w:r>
                    <w:proofErr w:type="gramStart"/>
                    <w:r>
                      <w:rPr>
                        <w:rFonts w:ascii="MS Gothic"/>
                        <w:color w:val="333333"/>
                      </w:rPr>
                      <w:t>java.net.InetAddress</w:t>
                    </w:r>
                    <w:proofErr w:type="gramEnd"/>
                    <w:r>
                      <w:rPr>
                        <w:rFonts w:ascii="MS Gothic"/>
                        <w:color w:val="333333"/>
                      </w:rPr>
                      <w:t>; import java.util.List;</w:t>
                    </w:r>
                  </w:p>
                  <w:p w14:paraId="193A09B4" w14:textId="77777777" w:rsidR="00711A16" w:rsidRDefault="00711A16">
                    <w:pPr>
                      <w:spacing w:before="10"/>
                      <w:rPr>
                        <w:rFonts w:ascii="MS Gothic"/>
                      </w:rPr>
                    </w:pPr>
                  </w:p>
                  <w:p w14:paraId="62930AD1" w14:textId="77777777" w:rsidR="00711A16" w:rsidRDefault="00711A16">
                    <w:pPr>
                      <w:spacing w:line="252" w:lineRule="auto"/>
                      <w:ind w:left="200" w:right="146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.boot.context.properties.ConfigurationProperties; import org.springframework.boot.context.properties.ConstructorBinding; import org.springframework.boot.context.properties.bind.DefaultValue;</w:t>
                    </w:r>
                  </w:p>
                  <w:p w14:paraId="3E12D841" w14:textId="77777777" w:rsidR="00711A16" w:rsidRDefault="00711A16">
                    <w:pPr>
                      <w:spacing w:before="9"/>
                      <w:rPr>
                        <w:rFonts w:ascii="MS Gothic"/>
                      </w:rPr>
                    </w:pPr>
                  </w:p>
                  <w:p w14:paraId="73FF17C4" w14:textId="77777777" w:rsidR="00711A16" w:rsidRDefault="00711A16">
                    <w:pPr>
                      <w:spacing w:before="1" w:line="252" w:lineRule="auto"/>
                      <w:ind w:left="200" w:right="6198"/>
                      <w:rPr>
                        <w:rFonts w:ascii="MS Gothic"/>
                      </w:rPr>
                    </w:pPr>
                    <w:r>
                      <w:rPr>
                        <w:rFonts w:ascii="MS Gothic"/>
                        <w:color w:val="333333"/>
                      </w:rPr>
                      <w:t>@ConstructorBinding @ConfigurationProperties("acme") public class AcmeProperties {</w:t>
                    </w:r>
                  </w:p>
                  <w:p w14:paraId="1C3FB876" w14:textId="77777777" w:rsidR="00711A16" w:rsidRDefault="00711A16">
                    <w:pPr>
                      <w:spacing w:before="9"/>
                      <w:rPr>
                        <w:rFonts w:ascii="MS Gothic"/>
                      </w:rPr>
                    </w:pPr>
                  </w:p>
                  <w:p w14:paraId="53943CE4" w14:textId="77777777" w:rsidR="00711A16" w:rsidRDefault="00711A16">
                    <w:pPr>
                      <w:ind w:left="640"/>
                      <w:rPr>
                        <w:rFonts w:ascii="MS Gothic"/>
                      </w:rPr>
                    </w:pPr>
                    <w:r>
                      <w:rPr>
                        <w:rFonts w:ascii="MS Gothic"/>
                        <w:color w:val="333333"/>
                      </w:rPr>
                      <w:t>private final boolean enabled;</w:t>
                    </w:r>
                  </w:p>
                  <w:p w14:paraId="78F0CF3E" w14:textId="77777777" w:rsidR="00711A16" w:rsidRDefault="00711A16">
                    <w:pPr>
                      <w:rPr>
                        <w:rFonts w:ascii="MS Gothic"/>
                        <w:sz w:val="24"/>
                      </w:rPr>
                    </w:pPr>
                  </w:p>
                  <w:p w14:paraId="494B6440" w14:textId="77777777" w:rsidR="00711A16" w:rsidRDefault="00711A16">
                    <w:pPr>
                      <w:spacing w:line="501" w:lineRule="auto"/>
                      <w:ind w:left="640" w:right="4878"/>
                      <w:rPr>
                        <w:rFonts w:ascii="MS Gothic"/>
                      </w:rPr>
                    </w:pPr>
                    <w:r>
                      <w:rPr>
                        <w:rFonts w:ascii="MS Gothic"/>
                        <w:color w:val="333333"/>
                      </w:rPr>
                      <w:t>private final InetAddress remoteAddress; private final Security security;</w:t>
                    </w:r>
                  </w:p>
                  <w:p w14:paraId="6C51C649" w14:textId="77777777" w:rsidR="00711A16" w:rsidRDefault="00711A16">
                    <w:pPr>
                      <w:spacing w:before="1" w:line="252" w:lineRule="auto"/>
                      <w:ind w:left="200" w:right="588" w:firstLine="440"/>
                      <w:rPr>
                        <w:rFonts w:ascii="MS Gothic"/>
                      </w:rPr>
                    </w:pPr>
                    <w:r>
                      <w:rPr>
                        <w:rFonts w:ascii="MS Gothic"/>
                        <w:color w:val="333333"/>
                      </w:rPr>
                      <w:t xml:space="preserve">public </w:t>
                    </w:r>
                    <w:proofErr w:type="gramStart"/>
                    <w:r>
                      <w:rPr>
                        <w:rFonts w:ascii="MS Gothic"/>
                        <w:color w:val="333333"/>
                      </w:rPr>
                      <w:t>AcmeProperties(</w:t>
                    </w:r>
                    <w:proofErr w:type="gramEnd"/>
                    <w:r>
                      <w:rPr>
                        <w:rFonts w:ascii="MS Gothic"/>
                        <w:color w:val="333333"/>
                      </w:rPr>
                      <w:t>boolean enabled, InetAddress remoteAddress, @DefaultValue Security security) {</w:t>
                    </w:r>
                  </w:p>
                  <w:p w14:paraId="1830D2F6" w14:textId="77777777" w:rsidR="00711A16" w:rsidRDefault="00711A16">
                    <w:pPr>
                      <w:spacing w:line="252" w:lineRule="auto"/>
                      <w:ind w:left="1080" w:right="4988"/>
                      <w:rPr>
                        <w:rFonts w:ascii="MS Gothic"/>
                      </w:rPr>
                    </w:pPr>
                    <w:proofErr w:type="gramStart"/>
                    <w:r>
                      <w:rPr>
                        <w:rFonts w:ascii="MS Gothic"/>
                        <w:color w:val="333333"/>
                      </w:rPr>
                      <w:t>this.enabled</w:t>
                    </w:r>
                    <w:proofErr w:type="gramEnd"/>
                    <w:r>
                      <w:rPr>
                        <w:rFonts w:ascii="MS Gothic"/>
                        <w:color w:val="333333"/>
                      </w:rPr>
                      <w:t xml:space="preserve"> = enabled; this.remoteAddress = remoteAddress; this.security = security;</w:t>
                    </w:r>
                  </w:p>
                  <w:p w14:paraId="2419E556" w14:textId="77777777" w:rsidR="00711A16" w:rsidRDefault="00711A16">
                    <w:pPr>
                      <w:spacing w:line="278" w:lineRule="exact"/>
                      <w:ind w:left="640"/>
                      <w:rPr>
                        <w:rFonts w:ascii="MS Gothic"/>
                      </w:rPr>
                    </w:pPr>
                    <w:r>
                      <w:rPr>
                        <w:rFonts w:ascii="MS Gothic"/>
                        <w:color w:val="333333"/>
                      </w:rPr>
                      <w:t>}</w:t>
                    </w:r>
                  </w:p>
                  <w:p w14:paraId="107FD00A" w14:textId="77777777" w:rsidR="00711A16" w:rsidRDefault="00711A16">
                    <w:pPr>
                      <w:spacing w:before="11"/>
                      <w:ind w:left="200"/>
                      <w:rPr>
                        <w:rFonts w:ascii="MS Gothic"/>
                      </w:rPr>
                    </w:pPr>
                    <w:r>
                      <w:rPr>
                        <w:rFonts w:ascii="MS Gothic"/>
                        <w:color w:val="333333"/>
                      </w:rPr>
                      <w:t>}</w:t>
                    </w:r>
                  </w:p>
                </w:txbxContent>
              </v:textbox>
            </v:shape>
            <w10:wrap type="topAndBottom" anchorx="page"/>
          </v:group>
        </w:pict>
      </w:r>
    </w:p>
    <w:p w14:paraId="129506F4" w14:textId="77777777" w:rsidR="00A720EB" w:rsidRDefault="00A720EB">
      <w:pPr>
        <w:pStyle w:val="a3"/>
        <w:spacing w:before="10"/>
        <w:rPr>
          <w:sz w:val="16"/>
        </w:rPr>
      </w:pPr>
    </w:p>
    <w:p w14:paraId="7A387077" w14:textId="77777777" w:rsidR="00A720EB" w:rsidRDefault="00E10349">
      <w:pPr>
        <w:pStyle w:val="a3"/>
        <w:spacing w:before="125" w:line="292" w:lineRule="auto"/>
        <w:ind w:left="1564" w:right="365"/>
        <w:jc w:val="both"/>
      </w:pPr>
      <w:r>
        <w:pict w14:anchorId="0D127402">
          <v:line id="_x0000_s4556" style="position:absolute;left:0;text-align:left;z-index:15856128;mso-position-horizontal-relative:page" from="108.25pt,.25pt" to="108.25pt,87.15pt" strokecolor="#ededed" strokeweight=".5pt">
            <w10:wrap anchorx="page"/>
          </v:line>
        </w:pict>
      </w:r>
      <w:r w:rsidR="0030286B">
        <w:rPr>
          <w:noProof/>
        </w:rPr>
        <w:drawing>
          <wp:anchor distT="0" distB="0" distL="0" distR="0" simplePos="0" relativeHeight="15856640" behindDoc="0" locked="0" layoutInCell="1" allowOverlap="1" wp14:anchorId="17F92135" wp14:editId="4B7BB5BC">
            <wp:simplePos x="0" y="0"/>
            <wp:positionH relativeFrom="page">
              <wp:posOffset>844422</wp:posOffset>
            </wp:positionH>
            <wp:positionV relativeFrom="paragraph">
              <wp:posOffset>405930</wp:posOffset>
            </wp:positionV>
            <wp:extent cx="298450" cy="298449"/>
            <wp:effectExtent l="0" t="0" r="0" b="0"/>
            <wp:wrapNone/>
            <wp:docPr id="1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24" cstate="print"/>
                    <a:stretch>
                      <a:fillRect/>
                    </a:stretch>
                  </pic:blipFill>
                  <pic:spPr>
                    <a:xfrm>
                      <a:off x="0" y="0"/>
                      <a:ext cx="298450" cy="298449"/>
                    </a:xfrm>
                    <a:prstGeom prst="rect">
                      <a:avLst/>
                    </a:prstGeom>
                  </pic:spPr>
                </pic:pic>
              </a:graphicData>
            </a:graphic>
          </wp:anchor>
        </w:drawing>
      </w:r>
      <w:r w:rsidR="0030286B">
        <w:rPr>
          <w:color w:val="333333"/>
          <w:w w:val="110"/>
        </w:rPr>
        <w:t xml:space="preserve">To use constructor binding the class must be enabled using </w:t>
      </w:r>
      <w:r w:rsidR="0030286B">
        <w:rPr>
          <w:rFonts w:ascii="MS Gothic"/>
          <w:color w:val="B02045"/>
          <w:w w:val="110"/>
        </w:rPr>
        <w:t xml:space="preserve">@EnableConfigurationProperties </w:t>
      </w:r>
      <w:r w:rsidR="0030286B">
        <w:rPr>
          <w:color w:val="333333"/>
          <w:w w:val="110"/>
        </w:rPr>
        <w:t xml:space="preserve">or configuration property scanning. You cannot use constructor binding with beans that are created by the regular Spring mechanisms (e.g. </w:t>
      </w:r>
      <w:r w:rsidR="0030286B">
        <w:rPr>
          <w:rFonts w:ascii="MS Gothic"/>
          <w:color w:val="B02045"/>
          <w:w w:val="110"/>
        </w:rPr>
        <w:t xml:space="preserve">@Component </w:t>
      </w:r>
      <w:r w:rsidR="0030286B">
        <w:rPr>
          <w:color w:val="333333"/>
          <w:w w:val="110"/>
        </w:rPr>
        <w:t xml:space="preserve">beans, beans created via </w:t>
      </w:r>
      <w:r w:rsidR="0030286B">
        <w:rPr>
          <w:rFonts w:ascii="MS Gothic"/>
          <w:color w:val="B02045"/>
          <w:w w:val="110"/>
        </w:rPr>
        <w:t xml:space="preserve">@Bean </w:t>
      </w:r>
      <w:r w:rsidR="0030286B">
        <w:rPr>
          <w:color w:val="333333"/>
          <w:w w:val="110"/>
        </w:rPr>
        <w:t xml:space="preserve">methods or beans loaded using </w:t>
      </w:r>
      <w:r w:rsidR="0030286B">
        <w:rPr>
          <w:rFonts w:ascii="MS Gothic"/>
          <w:color w:val="B02045"/>
          <w:w w:val="110"/>
        </w:rPr>
        <w:t>@Import</w:t>
      </w:r>
      <w:r w:rsidR="0030286B">
        <w:rPr>
          <w:color w:val="333333"/>
          <w:w w:val="110"/>
        </w:rPr>
        <w:t>)</w:t>
      </w:r>
    </w:p>
    <w:p w14:paraId="623F7D6A" w14:textId="77777777" w:rsidR="00A720EB" w:rsidRDefault="00A720EB">
      <w:pPr>
        <w:spacing w:line="292" w:lineRule="auto"/>
        <w:jc w:val="both"/>
        <w:sectPr w:rsidR="00A720EB">
          <w:pgSz w:w="11910" w:h="16840"/>
          <w:pgMar w:top="700" w:right="840" w:bottom="520" w:left="840" w:header="0" w:footer="323" w:gutter="0"/>
          <w:cols w:space="720"/>
        </w:sectPr>
      </w:pPr>
    </w:p>
    <w:p w14:paraId="38BB32D6" w14:textId="77777777" w:rsidR="00A720EB" w:rsidRDefault="00E10349">
      <w:pPr>
        <w:pStyle w:val="a3"/>
        <w:spacing w:before="122"/>
        <w:ind w:left="1564"/>
      </w:pPr>
      <w:r>
        <w:lastRenderedPageBreak/>
        <w:pict w14:anchorId="63F7D213">
          <v:line id="_x0000_s4555" style="position:absolute;left:0;text-align:left;z-index:15858176;mso-position-horizontal-relative:page" from="108.25pt,.1pt" to="108.25pt,39.65pt" strokecolor="#ededed" strokeweight=".5pt">
            <w10:wrap anchorx="page"/>
          </v:line>
        </w:pict>
      </w:r>
      <w:r w:rsidR="0030286B">
        <w:rPr>
          <w:noProof/>
        </w:rPr>
        <w:drawing>
          <wp:anchor distT="0" distB="0" distL="0" distR="0" simplePos="0" relativeHeight="15858688" behindDoc="0" locked="0" layoutInCell="1" allowOverlap="1" wp14:anchorId="35430882" wp14:editId="67AA2264">
            <wp:simplePos x="0" y="0"/>
            <wp:positionH relativeFrom="page">
              <wp:posOffset>888949</wp:posOffset>
            </wp:positionH>
            <wp:positionV relativeFrom="paragraph">
              <wp:posOffset>100242</wp:posOffset>
            </wp:positionV>
            <wp:extent cx="209550" cy="304800"/>
            <wp:effectExtent l="0" t="0" r="0" b="0"/>
            <wp:wrapNone/>
            <wp:docPr id="16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If you have more than one constructor for your class you can also use</w:t>
      </w:r>
    </w:p>
    <w:p w14:paraId="009A01BB" w14:textId="77777777" w:rsidR="00A720EB" w:rsidRDefault="0030286B">
      <w:pPr>
        <w:pStyle w:val="a3"/>
        <w:spacing w:before="59"/>
        <w:ind w:left="1564"/>
      </w:pPr>
      <w:r>
        <w:rPr>
          <w:rFonts w:ascii="MS Gothic"/>
          <w:color w:val="B02045"/>
          <w:w w:val="110"/>
        </w:rPr>
        <w:t>@ConstructorBinding</w:t>
      </w:r>
      <w:r>
        <w:rPr>
          <w:rFonts w:ascii="MS Gothic"/>
          <w:color w:val="B02045"/>
          <w:spacing w:val="-76"/>
          <w:w w:val="110"/>
        </w:rPr>
        <w:t xml:space="preserve"> </w:t>
      </w:r>
      <w:r>
        <w:rPr>
          <w:color w:val="333333"/>
          <w:w w:val="110"/>
        </w:rPr>
        <w:t>directly on the constructor that should be bound.</w:t>
      </w:r>
    </w:p>
    <w:p w14:paraId="2F410913" w14:textId="77777777" w:rsidR="00A720EB" w:rsidRDefault="00A720EB">
      <w:pPr>
        <w:pStyle w:val="a3"/>
        <w:spacing w:before="2"/>
        <w:rPr>
          <w:sz w:val="28"/>
        </w:rPr>
      </w:pPr>
    </w:p>
    <w:p w14:paraId="6D05E2D6" w14:textId="77777777" w:rsidR="00A720EB" w:rsidRDefault="00E10349">
      <w:pPr>
        <w:pStyle w:val="a3"/>
        <w:spacing w:before="116" w:line="295" w:lineRule="auto"/>
        <w:ind w:left="1564" w:right="362"/>
        <w:jc w:val="both"/>
      </w:pPr>
      <w:r>
        <w:pict w14:anchorId="04F634E4">
          <v:line id="_x0000_s4554" style="position:absolute;left:0;text-align:left;z-index:15859200;mso-position-horizontal-relative:page" from="108.25pt,.35pt" to="108.25pt,87.25pt" strokecolor="#ededed" strokeweight=".5pt">
            <w10:wrap anchorx="page"/>
          </v:line>
        </w:pict>
      </w:r>
      <w:r w:rsidR="0030286B">
        <w:rPr>
          <w:noProof/>
        </w:rPr>
        <w:drawing>
          <wp:anchor distT="0" distB="0" distL="0" distR="0" simplePos="0" relativeHeight="15859712" behindDoc="0" locked="0" layoutInCell="1" allowOverlap="1" wp14:anchorId="7457CB24" wp14:editId="67192CBF">
            <wp:simplePos x="0" y="0"/>
            <wp:positionH relativeFrom="page">
              <wp:posOffset>844422</wp:posOffset>
            </wp:positionH>
            <wp:positionV relativeFrom="paragraph">
              <wp:posOffset>406857</wp:posOffset>
            </wp:positionV>
            <wp:extent cx="298450" cy="298450"/>
            <wp:effectExtent l="0" t="0" r="0" b="0"/>
            <wp:wrapNone/>
            <wp:docPr id="1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05"/>
        </w:rPr>
        <w:t xml:space="preserve">The use of </w:t>
      </w:r>
      <w:proofErr w:type="gramStart"/>
      <w:r w:rsidR="0030286B">
        <w:rPr>
          <w:rFonts w:ascii="MS Gothic"/>
          <w:color w:val="B02045"/>
          <w:w w:val="105"/>
        </w:rPr>
        <w:t>java.util</w:t>
      </w:r>
      <w:proofErr w:type="gramEnd"/>
      <w:r w:rsidR="0030286B">
        <w:rPr>
          <w:rFonts w:ascii="MS Gothic"/>
          <w:color w:val="B02045"/>
          <w:w w:val="105"/>
        </w:rPr>
        <w:t xml:space="preserve">.Optional </w:t>
      </w:r>
      <w:r w:rsidR="0030286B">
        <w:rPr>
          <w:color w:val="333333"/>
          <w:w w:val="105"/>
        </w:rPr>
        <w:t xml:space="preserve">with </w:t>
      </w:r>
      <w:r w:rsidR="0030286B">
        <w:rPr>
          <w:rFonts w:ascii="MS Gothic"/>
          <w:color w:val="B02045"/>
          <w:w w:val="105"/>
        </w:rPr>
        <w:t xml:space="preserve">@ConfigurationProperties </w:t>
      </w:r>
      <w:r w:rsidR="0030286B">
        <w:rPr>
          <w:color w:val="333333"/>
          <w:w w:val="105"/>
        </w:rPr>
        <w:t xml:space="preserve">is not recommended </w:t>
      </w:r>
      <w:r w:rsidR="0030286B">
        <w:rPr>
          <w:color w:val="333333"/>
          <w:w w:val="110"/>
        </w:rPr>
        <w:t xml:space="preserve">as it is primarily intended for use as a return type. As such, it is not well-suited to configuration property injection. </w:t>
      </w:r>
      <w:r w:rsidR="0030286B">
        <w:rPr>
          <w:color w:val="333333"/>
          <w:spacing w:val="-4"/>
          <w:w w:val="110"/>
        </w:rPr>
        <w:t xml:space="preserve">For </w:t>
      </w:r>
      <w:r w:rsidR="0030286B">
        <w:rPr>
          <w:color w:val="333333"/>
          <w:w w:val="110"/>
        </w:rPr>
        <w:t xml:space="preserve">consistency with properties of other types, if you do declare an </w:t>
      </w:r>
      <w:r w:rsidR="0030286B">
        <w:rPr>
          <w:rFonts w:ascii="MS Gothic"/>
          <w:color w:val="B02045"/>
          <w:w w:val="110"/>
        </w:rPr>
        <w:t>Optional</w:t>
      </w:r>
      <w:r w:rsidR="0030286B">
        <w:rPr>
          <w:rFonts w:ascii="MS Gothic"/>
          <w:color w:val="B02045"/>
          <w:spacing w:val="-63"/>
          <w:w w:val="110"/>
        </w:rPr>
        <w:t xml:space="preserve"> </w:t>
      </w:r>
      <w:r w:rsidR="0030286B">
        <w:rPr>
          <w:color w:val="333333"/>
          <w:w w:val="110"/>
        </w:rPr>
        <w:t xml:space="preserve">property and it has no value, </w:t>
      </w:r>
      <w:r w:rsidR="0030286B">
        <w:rPr>
          <w:rFonts w:ascii="MS Gothic"/>
          <w:color w:val="B02045"/>
          <w:w w:val="110"/>
        </w:rPr>
        <w:t>null</w:t>
      </w:r>
      <w:r w:rsidR="0030286B">
        <w:rPr>
          <w:rFonts w:ascii="MS Gothic"/>
          <w:color w:val="B02045"/>
          <w:spacing w:val="-64"/>
          <w:w w:val="110"/>
        </w:rPr>
        <w:t xml:space="preserve"> </w:t>
      </w:r>
      <w:r w:rsidR="0030286B">
        <w:rPr>
          <w:color w:val="333333"/>
          <w:w w:val="110"/>
        </w:rPr>
        <w:t xml:space="preserve">rather than an empty </w:t>
      </w:r>
      <w:r w:rsidR="0030286B">
        <w:rPr>
          <w:rFonts w:ascii="MS Gothic"/>
          <w:color w:val="B02045"/>
          <w:w w:val="110"/>
        </w:rPr>
        <w:t>Optional</w:t>
      </w:r>
      <w:r w:rsidR="0030286B">
        <w:rPr>
          <w:rFonts w:ascii="MS Gothic"/>
          <w:color w:val="B02045"/>
          <w:spacing w:val="-59"/>
          <w:w w:val="110"/>
        </w:rPr>
        <w:t xml:space="preserve"> </w:t>
      </w:r>
      <w:r w:rsidR="0030286B">
        <w:rPr>
          <w:color w:val="333333"/>
          <w:w w:val="110"/>
        </w:rPr>
        <w:t>will be bound.</w:t>
      </w:r>
    </w:p>
    <w:p w14:paraId="15DC1548" w14:textId="77777777" w:rsidR="00A720EB" w:rsidRDefault="00A720EB">
      <w:pPr>
        <w:pStyle w:val="a3"/>
        <w:spacing w:before="8"/>
        <w:rPr>
          <w:sz w:val="22"/>
        </w:rPr>
      </w:pPr>
    </w:p>
    <w:p w14:paraId="37292BD2" w14:textId="77777777" w:rsidR="00A720EB" w:rsidRDefault="0030286B">
      <w:pPr>
        <w:pStyle w:val="4"/>
        <w:spacing w:before="104"/>
      </w:pPr>
      <w:bookmarkStart w:id="197" w:name="Enabling_@ConfigurationProperties-annota"/>
      <w:bookmarkEnd w:id="197"/>
      <w:r>
        <w:rPr>
          <w:color w:val="333333"/>
          <w:w w:val="110"/>
        </w:rPr>
        <w:t>Enabling @ConfigurationProperties-annotated types</w:t>
      </w:r>
    </w:p>
    <w:p w14:paraId="4182E7C3" w14:textId="77777777" w:rsidR="00A720EB" w:rsidRDefault="0030286B">
      <w:pPr>
        <w:pStyle w:val="a3"/>
        <w:spacing w:before="244" w:line="300" w:lineRule="auto"/>
        <w:ind w:left="124" w:right="123"/>
        <w:jc w:val="both"/>
      </w:pPr>
      <w:r>
        <w:rPr>
          <w:color w:val="333333"/>
          <w:w w:val="110"/>
        </w:rPr>
        <w:t xml:space="preserve">Spring Boot provides infrastructure to bind </w:t>
      </w:r>
      <w:r>
        <w:rPr>
          <w:rFonts w:ascii="MS Gothic"/>
          <w:color w:val="B02045"/>
          <w:w w:val="110"/>
        </w:rPr>
        <w:t xml:space="preserve">@ConfigurationProperties </w:t>
      </w:r>
      <w:r>
        <w:rPr>
          <w:color w:val="333333"/>
          <w:w w:val="110"/>
        </w:rPr>
        <w:t xml:space="preserve">types and register them as beans. </w:t>
      </w:r>
      <w:r>
        <w:rPr>
          <w:color w:val="333333"/>
          <w:spacing w:val="-6"/>
          <w:w w:val="110"/>
        </w:rPr>
        <w:t xml:space="preserve">You </w:t>
      </w:r>
      <w:r>
        <w:rPr>
          <w:color w:val="333333"/>
          <w:w w:val="110"/>
        </w:rPr>
        <w:t>can either enable configuration properties on a class-by-class basis or enable configuration</w:t>
      </w:r>
      <w:r>
        <w:rPr>
          <w:color w:val="333333"/>
          <w:spacing w:val="5"/>
          <w:w w:val="110"/>
        </w:rPr>
        <w:t xml:space="preserve"> </w:t>
      </w:r>
      <w:r>
        <w:rPr>
          <w:color w:val="333333"/>
          <w:w w:val="110"/>
        </w:rPr>
        <w:t>property</w:t>
      </w:r>
      <w:r>
        <w:rPr>
          <w:color w:val="333333"/>
          <w:spacing w:val="5"/>
          <w:w w:val="110"/>
        </w:rPr>
        <w:t xml:space="preserve"> </w:t>
      </w:r>
      <w:r>
        <w:rPr>
          <w:color w:val="333333"/>
          <w:w w:val="110"/>
        </w:rPr>
        <w:t>scanning</w:t>
      </w:r>
      <w:r>
        <w:rPr>
          <w:color w:val="333333"/>
          <w:spacing w:val="7"/>
          <w:w w:val="110"/>
        </w:rPr>
        <w:t xml:space="preserve"> </w:t>
      </w:r>
      <w:r>
        <w:rPr>
          <w:color w:val="333333"/>
          <w:w w:val="110"/>
        </w:rPr>
        <w:t>that</w:t>
      </w:r>
      <w:r>
        <w:rPr>
          <w:color w:val="333333"/>
          <w:spacing w:val="6"/>
          <w:w w:val="110"/>
        </w:rPr>
        <w:t xml:space="preserve"> </w:t>
      </w:r>
      <w:r>
        <w:rPr>
          <w:color w:val="333333"/>
          <w:w w:val="110"/>
        </w:rPr>
        <w:t>works</w:t>
      </w:r>
      <w:r>
        <w:rPr>
          <w:color w:val="333333"/>
          <w:spacing w:val="5"/>
          <w:w w:val="110"/>
        </w:rPr>
        <w:t xml:space="preserve"> </w:t>
      </w:r>
      <w:r>
        <w:rPr>
          <w:color w:val="333333"/>
          <w:w w:val="110"/>
        </w:rPr>
        <w:t>in</w:t>
      </w:r>
      <w:r>
        <w:rPr>
          <w:color w:val="333333"/>
          <w:spacing w:val="6"/>
          <w:w w:val="110"/>
        </w:rPr>
        <w:t xml:space="preserve"> </w:t>
      </w:r>
      <w:r>
        <w:rPr>
          <w:color w:val="333333"/>
          <w:w w:val="110"/>
        </w:rPr>
        <w:t>a</w:t>
      </w:r>
      <w:r>
        <w:rPr>
          <w:color w:val="333333"/>
          <w:spacing w:val="5"/>
          <w:w w:val="110"/>
        </w:rPr>
        <w:t xml:space="preserve"> </w:t>
      </w:r>
      <w:r>
        <w:rPr>
          <w:color w:val="333333"/>
          <w:w w:val="110"/>
        </w:rPr>
        <w:t>similar</w:t>
      </w:r>
      <w:r>
        <w:rPr>
          <w:color w:val="333333"/>
          <w:spacing w:val="6"/>
          <w:w w:val="110"/>
        </w:rPr>
        <w:t xml:space="preserve"> </w:t>
      </w:r>
      <w:r>
        <w:rPr>
          <w:color w:val="333333"/>
          <w:w w:val="110"/>
        </w:rPr>
        <w:t>manner</w:t>
      </w:r>
      <w:r>
        <w:rPr>
          <w:color w:val="333333"/>
          <w:spacing w:val="6"/>
          <w:w w:val="110"/>
        </w:rPr>
        <w:t xml:space="preserve"> </w:t>
      </w:r>
      <w:r>
        <w:rPr>
          <w:color w:val="333333"/>
          <w:w w:val="110"/>
        </w:rPr>
        <w:t>to</w:t>
      </w:r>
      <w:r>
        <w:rPr>
          <w:color w:val="333333"/>
          <w:spacing w:val="6"/>
          <w:w w:val="110"/>
        </w:rPr>
        <w:t xml:space="preserve"> </w:t>
      </w:r>
      <w:r>
        <w:rPr>
          <w:color w:val="333333"/>
          <w:w w:val="110"/>
        </w:rPr>
        <w:t>component</w:t>
      </w:r>
      <w:r>
        <w:rPr>
          <w:color w:val="333333"/>
          <w:spacing w:val="6"/>
          <w:w w:val="110"/>
        </w:rPr>
        <w:t xml:space="preserve"> </w:t>
      </w:r>
      <w:r>
        <w:rPr>
          <w:color w:val="333333"/>
          <w:w w:val="110"/>
        </w:rPr>
        <w:t>scanning.</w:t>
      </w:r>
    </w:p>
    <w:p w14:paraId="560200D3" w14:textId="77777777" w:rsidR="00A720EB" w:rsidRDefault="0030286B">
      <w:pPr>
        <w:pStyle w:val="a3"/>
        <w:spacing w:before="235" w:line="297" w:lineRule="auto"/>
        <w:ind w:left="124" w:right="123"/>
        <w:jc w:val="both"/>
      </w:pPr>
      <w:r>
        <w:rPr>
          <w:color w:val="333333"/>
          <w:w w:val="110"/>
        </w:rPr>
        <w:t>Sometimes,</w:t>
      </w:r>
      <w:r>
        <w:rPr>
          <w:color w:val="333333"/>
          <w:spacing w:val="-9"/>
          <w:w w:val="110"/>
        </w:rPr>
        <w:t xml:space="preserve"> </w:t>
      </w:r>
      <w:r>
        <w:rPr>
          <w:color w:val="333333"/>
          <w:w w:val="110"/>
        </w:rPr>
        <w:t>classes</w:t>
      </w:r>
      <w:r>
        <w:rPr>
          <w:color w:val="333333"/>
          <w:spacing w:val="-9"/>
          <w:w w:val="110"/>
        </w:rPr>
        <w:t xml:space="preserve"> </w:t>
      </w:r>
      <w:r>
        <w:rPr>
          <w:color w:val="333333"/>
          <w:w w:val="110"/>
        </w:rPr>
        <w:t>annotated</w:t>
      </w:r>
      <w:r>
        <w:rPr>
          <w:color w:val="333333"/>
          <w:spacing w:val="-9"/>
          <w:w w:val="110"/>
        </w:rPr>
        <w:t xml:space="preserve"> </w:t>
      </w:r>
      <w:r>
        <w:rPr>
          <w:color w:val="333333"/>
          <w:w w:val="110"/>
        </w:rPr>
        <w:t>with</w:t>
      </w:r>
      <w:r>
        <w:rPr>
          <w:color w:val="333333"/>
          <w:spacing w:val="-4"/>
          <w:w w:val="110"/>
        </w:rPr>
        <w:t xml:space="preserve"> </w:t>
      </w:r>
      <w:r>
        <w:rPr>
          <w:rFonts w:ascii="MS Gothic" w:hAnsi="MS Gothic"/>
          <w:color w:val="B02045"/>
          <w:w w:val="110"/>
        </w:rPr>
        <w:t>@ConfigurationProperties</w:t>
      </w:r>
      <w:r>
        <w:rPr>
          <w:rFonts w:ascii="MS Gothic" w:hAnsi="MS Gothic"/>
          <w:color w:val="B02045"/>
          <w:spacing w:val="-73"/>
          <w:w w:val="110"/>
        </w:rPr>
        <w:t xml:space="preserve"> </w:t>
      </w:r>
      <w:r>
        <w:rPr>
          <w:color w:val="333333"/>
          <w:w w:val="110"/>
        </w:rPr>
        <w:t>might</w:t>
      </w:r>
      <w:r>
        <w:rPr>
          <w:color w:val="333333"/>
          <w:spacing w:val="-9"/>
          <w:w w:val="110"/>
        </w:rPr>
        <w:t xml:space="preserve"> </w:t>
      </w:r>
      <w:r>
        <w:rPr>
          <w:color w:val="333333"/>
          <w:w w:val="110"/>
        </w:rPr>
        <w:t>not</w:t>
      </w:r>
      <w:r>
        <w:rPr>
          <w:color w:val="333333"/>
          <w:spacing w:val="-9"/>
          <w:w w:val="110"/>
        </w:rPr>
        <w:t xml:space="preserve"> </w:t>
      </w:r>
      <w:r>
        <w:rPr>
          <w:color w:val="333333"/>
          <w:w w:val="110"/>
        </w:rPr>
        <w:t>be</w:t>
      </w:r>
      <w:r>
        <w:rPr>
          <w:color w:val="333333"/>
          <w:spacing w:val="-9"/>
          <w:w w:val="110"/>
        </w:rPr>
        <w:t xml:space="preserve"> </w:t>
      </w:r>
      <w:r>
        <w:rPr>
          <w:color w:val="333333"/>
          <w:w w:val="110"/>
        </w:rPr>
        <w:t>suitable</w:t>
      </w:r>
      <w:r>
        <w:rPr>
          <w:color w:val="333333"/>
          <w:spacing w:val="-9"/>
          <w:w w:val="110"/>
        </w:rPr>
        <w:t xml:space="preserve"> </w:t>
      </w:r>
      <w:r>
        <w:rPr>
          <w:color w:val="333333"/>
          <w:w w:val="110"/>
        </w:rPr>
        <w:t>for</w:t>
      </w:r>
      <w:r>
        <w:rPr>
          <w:color w:val="333333"/>
          <w:spacing w:val="-8"/>
          <w:w w:val="110"/>
        </w:rPr>
        <w:t xml:space="preserve"> </w:t>
      </w:r>
      <w:r>
        <w:rPr>
          <w:color w:val="333333"/>
          <w:w w:val="110"/>
        </w:rPr>
        <w:t>scanning,</w:t>
      </w:r>
      <w:r>
        <w:rPr>
          <w:color w:val="333333"/>
          <w:spacing w:val="-9"/>
          <w:w w:val="110"/>
        </w:rPr>
        <w:t xml:space="preserve"> </w:t>
      </w:r>
      <w:r>
        <w:rPr>
          <w:color w:val="333333"/>
          <w:w w:val="110"/>
        </w:rPr>
        <w:t xml:space="preserve">for example, if you’re developing your own auto-configuration or you want to </w:t>
      </w:r>
      <w:proofErr w:type="gramStart"/>
      <w:r>
        <w:rPr>
          <w:color w:val="333333"/>
          <w:w w:val="110"/>
        </w:rPr>
        <w:t>enable  them</w:t>
      </w:r>
      <w:proofErr w:type="gramEnd"/>
      <w:r>
        <w:rPr>
          <w:color w:val="333333"/>
          <w:w w:val="110"/>
        </w:rPr>
        <w:t xml:space="preserve">  </w:t>
      </w:r>
      <w:r>
        <w:rPr>
          <w:color w:val="333333"/>
          <w:spacing w:val="-3"/>
          <w:w w:val="110"/>
        </w:rPr>
        <w:t xml:space="preserve">conditionally. </w:t>
      </w:r>
      <w:r>
        <w:rPr>
          <w:color w:val="333333"/>
          <w:w w:val="110"/>
        </w:rPr>
        <w:t xml:space="preserve">In these cases, specify the list of types to process using the </w:t>
      </w:r>
      <w:r>
        <w:rPr>
          <w:rFonts w:ascii="MS Gothic" w:hAnsi="MS Gothic"/>
          <w:color w:val="B02045"/>
          <w:w w:val="110"/>
        </w:rPr>
        <w:t>@EnableConfigurationProperties</w:t>
      </w:r>
      <w:r>
        <w:rPr>
          <w:rFonts w:ascii="MS Gothic" w:hAnsi="MS Gothic"/>
          <w:color w:val="B02045"/>
          <w:spacing w:val="-93"/>
          <w:w w:val="110"/>
        </w:rPr>
        <w:t xml:space="preserve"> </w:t>
      </w:r>
      <w:r>
        <w:rPr>
          <w:color w:val="333333"/>
          <w:w w:val="110"/>
        </w:rPr>
        <w:t>annotation.</w:t>
      </w:r>
      <w:r>
        <w:rPr>
          <w:color w:val="333333"/>
          <w:spacing w:val="-28"/>
          <w:w w:val="110"/>
        </w:rPr>
        <w:t xml:space="preserve"> </w:t>
      </w:r>
      <w:r>
        <w:rPr>
          <w:color w:val="333333"/>
          <w:w w:val="110"/>
        </w:rPr>
        <w:t>This</w:t>
      </w:r>
      <w:r>
        <w:rPr>
          <w:color w:val="333333"/>
          <w:spacing w:val="-28"/>
          <w:w w:val="110"/>
        </w:rPr>
        <w:t xml:space="preserve"> </w:t>
      </w:r>
      <w:r>
        <w:rPr>
          <w:color w:val="333333"/>
          <w:w w:val="110"/>
        </w:rPr>
        <w:t>can</w:t>
      </w:r>
      <w:r>
        <w:rPr>
          <w:color w:val="333333"/>
          <w:spacing w:val="-28"/>
          <w:w w:val="110"/>
        </w:rPr>
        <w:t xml:space="preserve"> </w:t>
      </w:r>
      <w:r>
        <w:rPr>
          <w:color w:val="333333"/>
          <w:w w:val="110"/>
        </w:rPr>
        <w:t>be</w:t>
      </w:r>
      <w:r>
        <w:rPr>
          <w:color w:val="333333"/>
          <w:spacing w:val="-28"/>
          <w:w w:val="110"/>
        </w:rPr>
        <w:t xml:space="preserve"> </w:t>
      </w:r>
      <w:r>
        <w:rPr>
          <w:color w:val="333333"/>
          <w:w w:val="110"/>
        </w:rPr>
        <w:t>done</w:t>
      </w:r>
      <w:r>
        <w:rPr>
          <w:color w:val="333333"/>
          <w:spacing w:val="-28"/>
          <w:w w:val="110"/>
        </w:rPr>
        <w:t xml:space="preserve"> </w:t>
      </w:r>
      <w:r>
        <w:rPr>
          <w:color w:val="333333"/>
          <w:w w:val="110"/>
        </w:rPr>
        <w:t>on</w:t>
      </w:r>
      <w:r>
        <w:rPr>
          <w:color w:val="333333"/>
          <w:spacing w:val="-27"/>
          <w:w w:val="110"/>
        </w:rPr>
        <w:t xml:space="preserve"> </w:t>
      </w:r>
      <w:r>
        <w:rPr>
          <w:color w:val="333333"/>
          <w:w w:val="110"/>
        </w:rPr>
        <w:t>any</w:t>
      </w:r>
      <w:r>
        <w:rPr>
          <w:color w:val="333333"/>
          <w:spacing w:val="-26"/>
          <w:w w:val="110"/>
        </w:rPr>
        <w:t xml:space="preserve"> </w:t>
      </w:r>
      <w:r>
        <w:rPr>
          <w:rFonts w:ascii="MS Gothic" w:hAnsi="MS Gothic"/>
          <w:color w:val="B02045"/>
          <w:w w:val="110"/>
        </w:rPr>
        <w:t>@Configuration</w:t>
      </w:r>
      <w:r>
        <w:rPr>
          <w:rFonts w:ascii="MS Gothic" w:hAnsi="MS Gothic"/>
          <w:color w:val="B02045"/>
          <w:spacing w:val="-92"/>
          <w:w w:val="110"/>
        </w:rPr>
        <w:t xml:space="preserve"> </w:t>
      </w:r>
      <w:r>
        <w:rPr>
          <w:color w:val="333333"/>
          <w:w w:val="110"/>
        </w:rPr>
        <w:t>class,</w:t>
      </w:r>
      <w:r>
        <w:rPr>
          <w:color w:val="333333"/>
          <w:spacing w:val="-28"/>
          <w:w w:val="110"/>
        </w:rPr>
        <w:t xml:space="preserve"> </w:t>
      </w:r>
      <w:r>
        <w:rPr>
          <w:color w:val="333333"/>
          <w:w w:val="110"/>
        </w:rPr>
        <w:t>as</w:t>
      </w:r>
      <w:r>
        <w:rPr>
          <w:color w:val="333333"/>
          <w:spacing w:val="-28"/>
          <w:w w:val="110"/>
        </w:rPr>
        <w:t xml:space="preserve"> </w:t>
      </w:r>
      <w:r>
        <w:rPr>
          <w:color w:val="333333"/>
          <w:w w:val="110"/>
        </w:rPr>
        <w:t>shown in the following</w:t>
      </w:r>
      <w:r>
        <w:rPr>
          <w:color w:val="333333"/>
          <w:spacing w:val="9"/>
          <w:w w:val="110"/>
        </w:rPr>
        <w:t xml:space="preserve"> </w:t>
      </w:r>
      <w:r>
        <w:rPr>
          <w:color w:val="333333"/>
          <w:w w:val="110"/>
        </w:rPr>
        <w:t>example:</w:t>
      </w:r>
    </w:p>
    <w:p w14:paraId="25E68874" w14:textId="77777777" w:rsidR="00A720EB" w:rsidRDefault="00E10349">
      <w:pPr>
        <w:pStyle w:val="a3"/>
        <w:spacing w:before="6"/>
        <w:rPr>
          <w:sz w:val="13"/>
        </w:rPr>
      </w:pPr>
      <w:r>
        <w:pict w14:anchorId="4BD68137">
          <v:group id="_x0000_s4550" style="position:absolute;margin-left:47.85pt;margin-top:9.9pt;width:499.55pt;height:81.75pt;z-index:-15600128;mso-wrap-distance-left:0;mso-wrap-distance-right:0;mso-position-horizontal-relative:page" coordorigin="957,198" coordsize="9991,1635">
            <v:shape id="_x0000_s4553" style="position:absolute;left:964;top:205;width:9976;height:1620" coordorigin="965,206" coordsize="9976,1620" path="m10861,206r-9816,l1014,212r-26,17l971,254r-6,32l965,1745r6,31l988,1801r26,18l1045,1825r9816,l10892,1819r25,-18l10935,1776r6,-31l10941,286r-6,-32l10917,229r-25,-17l10861,206xe" fillcolor="#f5f5f5" stroked="f">
              <v:path arrowok="t"/>
            </v:shape>
            <v:shape id="_x0000_s4552" style="position:absolute;left:964;top:205;width:9976;height:1620" coordorigin="965,206" coordsize="9976,1620" path="m1045,206r9816,l10892,212r25,17l10935,254r6,32l10941,1745r-6,31l10917,1801r-25,18l10861,1825r-9816,l1014,1819r-26,-18l971,1776r-6,-31l965,286r6,-32l988,229r26,-17l1045,206xe" filled="f" strokecolor="#ccc">
              <v:path arrowok="t"/>
            </v:shape>
            <v:shape id="_x0000_s4551" type="#_x0000_t202" style="position:absolute;left:984;top:221;width:9938;height:1589" filled="f" stroked="f">
              <v:textbox inset="0,0,0,0">
                <w:txbxContent>
                  <w:p w14:paraId="0B6B1E36" w14:textId="77777777" w:rsidR="00711A16" w:rsidRDefault="00711A16">
                    <w:pPr>
                      <w:spacing w:before="221" w:line="252" w:lineRule="auto"/>
                      <w:ind w:left="200" w:right="399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@EnableConfigurationProperties(AcmeProperties.class) public class MyConfiguration {</w:t>
                    </w:r>
                  </w:p>
                  <w:p w14:paraId="2772A8B4" w14:textId="77777777" w:rsidR="00711A16" w:rsidRDefault="00711A16">
                    <w:pPr>
                      <w:spacing w:line="278" w:lineRule="exact"/>
                      <w:ind w:left="200"/>
                      <w:rPr>
                        <w:rFonts w:ascii="MS Gothic"/>
                      </w:rPr>
                    </w:pPr>
                    <w:r>
                      <w:rPr>
                        <w:rFonts w:ascii="MS Gothic"/>
                        <w:color w:val="333333"/>
                      </w:rPr>
                      <w:t>}</w:t>
                    </w:r>
                  </w:p>
                </w:txbxContent>
              </v:textbox>
            </v:shape>
            <w10:wrap type="topAndBottom" anchorx="page"/>
          </v:group>
        </w:pict>
      </w:r>
    </w:p>
    <w:p w14:paraId="180D8FE7" w14:textId="77777777" w:rsidR="00A720EB" w:rsidRDefault="00A720EB">
      <w:pPr>
        <w:pStyle w:val="a3"/>
        <w:spacing w:before="11"/>
        <w:rPr>
          <w:sz w:val="9"/>
        </w:rPr>
      </w:pPr>
    </w:p>
    <w:p w14:paraId="5B564883" w14:textId="77777777" w:rsidR="00A720EB" w:rsidRDefault="0030286B">
      <w:pPr>
        <w:pStyle w:val="a3"/>
        <w:spacing w:before="115" w:line="297" w:lineRule="auto"/>
        <w:ind w:left="124" w:right="125"/>
        <w:jc w:val="both"/>
      </w:pPr>
      <w:r>
        <w:rPr>
          <w:color w:val="333333"/>
          <w:w w:val="110"/>
        </w:rPr>
        <w:t xml:space="preserve">To use configuration property scanning, add the </w:t>
      </w:r>
      <w:r>
        <w:rPr>
          <w:rFonts w:ascii="MS Gothic"/>
          <w:color w:val="B02045"/>
          <w:w w:val="110"/>
        </w:rPr>
        <w:t xml:space="preserve">@ConfigurationPropertiesScan </w:t>
      </w:r>
      <w:r>
        <w:rPr>
          <w:color w:val="333333"/>
          <w:w w:val="110"/>
        </w:rPr>
        <w:t xml:space="preserve">annotation to your application. Typically, it is added to the main application class that is annotated with </w:t>
      </w:r>
      <w:r>
        <w:rPr>
          <w:rFonts w:ascii="MS Gothic"/>
          <w:color w:val="B02045"/>
          <w:w w:val="110"/>
        </w:rPr>
        <w:t xml:space="preserve">@SpringBootApplication </w:t>
      </w:r>
      <w:r>
        <w:rPr>
          <w:color w:val="333333"/>
          <w:w w:val="110"/>
        </w:rPr>
        <w:t xml:space="preserve">but it can be added to any </w:t>
      </w:r>
      <w:r>
        <w:rPr>
          <w:rFonts w:ascii="MS Gothic"/>
          <w:color w:val="B02045"/>
          <w:w w:val="110"/>
        </w:rPr>
        <w:t xml:space="preserve">@Configuration </w:t>
      </w:r>
      <w:r>
        <w:rPr>
          <w:color w:val="333333"/>
          <w:w w:val="110"/>
        </w:rPr>
        <w:t>class. By default, scanning will occur from the package of the class that declares the annotation. If you want to define specific packages to scan, you can do so as shown in the following example:</w:t>
      </w:r>
    </w:p>
    <w:p w14:paraId="1828C141" w14:textId="77777777" w:rsidR="00A720EB" w:rsidRDefault="00E10349">
      <w:pPr>
        <w:pStyle w:val="a3"/>
        <w:spacing w:before="6"/>
        <w:rPr>
          <w:sz w:val="13"/>
        </w:rPr>
      </w:pPr>
      <w:r>
        <w:pict w14:anchorId="7F27EF0C">
          <v:group id="_x0000_s4546" style="position:absolute;margin-left:47.85pt;margin-top:9.95pt;width:499.55pt;height:81.75pt;z-index:-15599616;mso-wrap-distance-left:0;mso-wrap-distance-right:0;mso-position-horizontal-relative:page" coordorigin="957,199" coordsize="9991,1635">
            <v:shape id="_x0000_s4549" style="position:absolute;left:964;top:206;width:9976;height:1620" coordorigin="965,206" coordsize="9976,1620" path="m10861,206r-9816,l1014,213r-26,17l971,255r-6,31l965,1746r6,31l988,1802r26,17l1045,1826r9816,l10892,1819r25,-17l10935,1777r6,-31l10941,286r-6,-31l10917,230r-25,-17l10861,206xe" fillcolor="#f5f5f5" stroked="f">
              <v:path arrowok="t"/>
            </v:shape>
            <v:shape id="_x0000_s4548" style="position:absolute;left:964;top:206;width:9976;height:1620" coordorigin="965,206" coordsize="9976,1620" path="m1045,206r9816,l10892,213r25,17l10935,255r6,31l10941,1746r-6,31l10917,1802r-25,17l10861,1826r-9816,l1014,1819r-26,-17l971,1777r-6,-31l965,286r6,-31l988,230r26,-17l1045,206xe" filled="f" strokecolor="#ccc">
              <v:path arrowok="t"/>
            </v:shape>
            <v:shape id="_x0000_s4547" type="#_x0000_t202" style="position:absolute;left:984;top:221;width:9938;height:1589" filled="f" stroked="f">
              <v:textbox inset="0,0,0,0">
                <w:txbxContent>
                  <w:p w14:paraId="55B9FCF6" w14:textId="77777777" w:rsidR="00711A16" w:rsidRDefault="00711A16">
                    <w:pPr>
                      <w:spacing w:before="221"/>
                      <w:ind w:left="200"/>
                      <w:rPr>
                        <w:rFonts w:ascii="MS Gothic"/>
                      </w:rPr>
                    </w:pPr>
                    <w:r>
                      <w:rPr>
                        <w:rFonts w:ascii="MS Gothic"/>
                        <w:color w:val="333333"/>
                      </w:rPr>
                      <w:t>@SpringBootApplication</w:t>
                    </w:r>
                  </w:p>
                  <w:p w14:paraId="5B2A5A6F" w14:textId="77777777" w:rsidR="00711A16" w:rsidRDefault="00711A16">
                    <w:pPr>
                      <w:spacing w:before="13" w:line="252" w:lineRule="auto"/>
                      <w:ind w:left="200" w:right="1908"/>
                      <w:rPr>
                        <w:rFonts w:ascii="MS Gothic"/>
                      </w:rPr>
                    </w:pPr>
                    <w:r>
                      <w:rPr>
                        <w:rFonts w:ascii="MS Gothic"/>
                        <w:color w:val="333333"/>
                      </w:rPr>
                      <w:t>@</w:t>
                    </w:r>
                    <w:proofErr w:type="gramStart"/>
                    <w:r>
                      <w:rPr>
                        <w:rFonts w:ascii="MS Gothic"/>
                        <w:color w:val="333333"/>
                      </w:rPr>
                      <w:t>ConfigurationPropertiesScan(</w:t>
                    </w:r>
                    <w:proofErr w:type="gramEnd"/>
                    <w:r>
                      <w:rPr>
                        <w:rFonts w:ascii="MS Gothic"/>
                        <w:color w:val="333333"/>
                      </w:rPr>
                      <w:t>{ "com.example.app", "org.acme.another" }) public class MyApplication {</w:t>
                    </w:r>
                  </w:p>
                  <w:p w14:paraId="02DC31D7"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6E8A9129" w14:textId="77777777" w:rsidR="00A720EB" w:rsidRDefault="00A720EB">
      <w:pPr>
        <w:pStyle w:val="a3"/>
        <w:spacing w:before="8"/>
        <w:rPr>
          <w:sz w:val="16"/>
        </w:rPr>
      </w:pPr>
    </w:p>
    <w:p w14:paraId="54EFB4B9" w14:textId="77777777" w:rsidR="00A720EB" w:rsidRDefault="00E10349">
      <w:pPr>
        <w:pStyle w:val="a3"/>
        <w:spacing w:before="116" w:line="288" w:lineRule="auto"/>
        <w:ind w:left="1564" w:right="362"/>
        <w:jc w:val="both"/>
      </w:pPr>
      <w:r>
        <w:pict w14:anchorId="3A0A97EB">
          <v:line id="_x0000_s4545" style="position:absolute;left:0;text-align:left;z-index:15860224;mso-position-horizontal-relative:page" from="108.25pt,.35pt" to="108.25pt,130.8pt" strokecolor="#ededed" strokeweight=".5pt">
            <w10:wrap anchorx="page"/>
          </v:line>
        </w:pict>
      </w:r>
      <w:r w:rsidR="0030286B">
        <w:rPr>
          <w:noProof/>
        </w:rPr>
        <w:drawing>
          <wp:anchor distT="0" distB="0" distL="0" distR="0" simplePos="0" relativeHeight="15860736" behindDoc="0" locked="0" layoutInCell="1" allowOverlap="1" wp14:anchorId="4372F640" wp14:editId="2C5DD3F6">
            <wp:simplePos x="0" y="0"/>
            <wp:positionH relativeFrom="page">
              <wp:posOffset>844422</wp:posOffset>
            </wp:positionH>
            <wp:positionV relativeFrom="paragraph">
              <wp:posOffset>683463</wp:posOffset>
            </wp:positionV>
            <wp:extent cx="298450" cy="298449"/>
            <wp:effectExtent l="0" t="0" r="0" b="0"/>
            <wp:wrapNone/>
            <wp:docPr id="1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24" cstate="print"/>
                    <a:stretch>
                      <a:fillRect/>
                    </a:stretch>
                  </pic:blipFill>
                  <pic:spPr>
                    <a:xfrm>
                      <a:off x="0" y="0"/>
                      <a:ext cx="298450" cy="298449"/>
                    </a:xfrm>
                    <a:prstGeom prst="rect">
                      <a:avLst/>
                    </a:prstGeom>
                  </pic:spPr>
                </pic:pic>
              </a:graphicData>
            </a:graphic>
          </wp:anchor>
        </w:drawing>
      </w:r>
      <w:r w:rsidR="0030286B">
        <w:rPr>
          <w:color w:val="333333"/>
          <w:w w:val="110"/>
        </w:rPr>
        <w:t xml:space="preserve">When the </w:t>
      </w:r>
      <w:r w:rsidR="0030286B">
        <w:rPr>
          <w:rFonts w:ascii="MS Gothic"/>
          <w:color w:val="B02045"/>
          <w:w w:val="110"/>
        </w:rPr>
        <w:t xml:space="preserve">@ConfigurationProperties </w:t>
      </w:r>
      <w:r w:rsidR="0030286B">
        <w:rPr>
          <w:color w:val="333333"/>
          <w:w w:val="110"/>
        </w:rPr>
        <w:t xml:space="preserve">bean is registered using configuration property scanning or via </w:t>
      </w:r>
      <w:r w:rsidR="0030286B">
        <w:rPr>
          <w:rFonts w:ascii="MS Gothic"/>
          <w:color w:val="B02045"/>
          <w:w w:val="110"/>
        </w:rPr>
        <w:t>@EnableConfigurationProperties</w:t>
      </w:r>
      <w:r w:rsidR="0030286B">
        <w:rPr>
          <w:color w:val="333333"/>
          <w:w w:val="110"/>
        </w:rPr>
        <w:t xml:space="preserve">, the bean has a conventional name: </w:t>
      </w:r>
      <w:r w:rsidR="0030286B">
        <w:rPr>
          <w:rFonts w:ascii="MS Gothic"/>
          <w:color w:val="B02045"/>
          <w:w w:val="110"/>
        </w:rPr>
        <w:t>&lt;prefix&gt;-&lt;fqn&gt;</w:t>
      </w:r>
      <w:r w:rsidR="0030286B">
        <w:rPr>
          <w:color w:val="333333"/>
          <w:w w:val="110"/>
        </w:rPr>
        <w:t xml:space="preserve">, where </w:t>
      </w:r>
      <w:r w:rsidR="0030286B">
        <w:rPr>
          <w:rFonts w:ascii="MS Gothic"/>
          <w:color w:val="B02045"/>
          <w:w w:val="110"/>
        </w:rPr>
        <w:t>&lt;prefix&gt;</w:t>
      </w:r>
      <w:r w:rsidR="0030286B">
        <w:rPr>
          <w:rFonts w:ascii="MS Gothic"/>
          <w:color w:val="B02045"/>
          <w:spacing w:val="-55"/>
          <w:w w:val="110"/>
        </w:rPr>
        <w:t xml:space="preserve"> </w:t>
      </w:r>
      <w:r w:rsidR="0030286B">
        <w:rPr>
          <w:color w:val="333333"/>
          <w:w w:val="110"/>
        </w:rPr>
        <w:t xml:space="preserve">is the environment key prefix specified in the </w:t>
      </w:r>
      <w:r w:rsidR="0030286B">
        <w:rPr>
          <w:rFonts w:ascii="MS Gothic"/>
          <w:color w:val="B02045"/>
          <w:w w:val="110"/>
        </w:rPr>
        <w:t xml:space="preserve">@ConfigurationProperties </w:t>
      </w:r>
      <w:r w:rsidR="0030286B">
        <w:rPr>
          <w:color w:val="333333"/>
          <w:w w:val="110"/>
        </w:rPr>
        <w:t xml:space="preserve">annotation and </w:t>
      </w:r>
      <w:r w:rsidR="0030286B">
        <w:rPr>
          <w:rFonts w:ascii="MS Gothic"/>
          <w:color w:val="B02045"/>
          <w:w w:val="110"/>
        </w:rPr>
        <w:t xml:space="preserve">&lt;fqn&gt; </w:t>
      </w:r>
      <w:r w:rsidR="0030286B">
        <w:rPr>
          <w:color w:val="333333"/>
          <w:w w:val="110"/>
        </w:rPr>
        <w:t>is the fully qualified name of the bean. If the annotation does not provide any prefix, only the fully qualified name of the bean is used.</w:t>
      </w:r>
    </w:p>
    <w:p w14:paraId="0AF50D87" w14:textId="77777777" w:rsidR="00A720EB" w:rsidRDefault="0030286B">
      <w:pPr>
        <w:pStyle w:val="a3"/>
        <w:spacing w:before="252"/>
        <w:ind w:left="1564"/>
        <w:jc w:val="both"/>
      </w:pPr>
      <w:r>
        <w:rPr>
          <w:color w:val="333333"/>
          <w:w w:val="110"/>
        </w:rPr>
        <w:t xml:space="preserve">The bean name in the example above is </w:t>
      </w:r>
      <w:r>
        <w:rPr>
          <w:rFonts w:ascii="MS Gothic"/>
          <w:color w:val="B02045"/>
          <w:w w:val="110"/>
        </w:rPr>
        <w:t>acme-com.</w:t>
      </w:r>
      <w:proofErr w:type="gramStart"/>
      <w:r>
        <w:rPr>
          <w:rFonts w:ascii="MS Gothic"/>
          <w:color w:val="B02045"/>
          <w:w w:val="110"/>
        </w:rPr>
        <w:t>example.AcmeProperties</w:t>
      </w:r>
      <w:proofErr w:type="gramEnd"/>
      <w:r>
        <w:rPr>
          <w:color w:val="333333"/>
          <w:w w:val="110"/>
        </w:rPr>
        <w:t>.</w:t>
      </w:r>
    </w:p>
    <w:p w14:paraId="7614B23B" w14:textId="77777777" w:rsidR="00A720EB" w:rsidRDefault="00A720EB">
      <w:pPr>
        <w:jc w:val="both"/>
        <w:sectPr w:rsidR="00A720EB">
          <w:pgSz w:w="11910" w:h="16840"/>
          <w:pgMar w:top="700" w:right="840" w:bottom="520" w:left="840" w:header="0" w:footer="323" w:gutter="0"/>
          <w:cols w:space="720"/>
        </w:sectPr>
      </w:pPr>
    </w:p>
    <w:p w14:paraId="1306787F" w14:textId="77777777" w:rsidR="00A720EB" w:rsidRDefault="0030286B">
      <w:pPr>
        <w:pStyle w:val="a3"/>
        <w:spacing w:before="96" w:line="288" w:lineRule="auto"/>
        <w:ind w:left="124" w:right="125"/>
        <w:jc w:val="both"/>
      </w:pPr>
      <w:r>
        <w:rPr>
          <w:color w:val="333333"/>
          <w:spacing w:val="-7"/>
          <w:w w:val="110"/>
        </w:rPr>
        <w:lastRenderedPageBreak/>
        <w:t xml:space="preserve">We </w:t>
      </w:r>
      <w:r>
        <w:rPr>
          <w:color w:val="333333"/>
          <w:w w:val="110"/>
        </w:rPr>
        <w:t xml:space="preserve">recommend that </w:t>
      </w:r>
      <w:r>
        <w:rPr>
          <w:rFonts w:ascii="MS Gothic"/>
          <w:color w:val="B02045"/>
          <w:w w:val="110"/>
        </w:rPr>
        <w:t xml:space="preserve">@ConfigurationProperties </w:t>
      </w:r>
      <w:r>
        <w:rPr>
          <w:color w:val="333333"/>
          <w:w w:val="110"/>
        </w:rPr>
        <w:t xml:space="preserve">only deal with the environment and, in particular, does not inject other beans from the context. </w:t>
      </w:r>
      <w:r>
        <w:rPr>
          <w:color w:val="333333"/>
          <w:spacing w:val="-4"/>
          <w:w w:val="110"/>
        </w:rPr>
        <w:t xml:space="preserve">For </w:t>
      </w:r>
      <w:r>
        <w:rPr>
          <w:color w:val="333333"/>
          <w:w w:val="110"/>
        </w:rPr>
        <w:t>corner cases, setter injection can be used or any of the</w:t>
      </w:r>
      <w:r>
        <w:rPr>
          <w:color w:val="333333"/>
          <w:spacing w:val="-7"/>
          <w:w w:val="110"/>
        </w:rPr>
        <w:t xml:space="preserve"> </w:t>
      </w:r>
      <w:r>
        <w:rPr>
          <w:rFonts w:ascii="MS Gothic"/>
          <w:color w:val="B02045"/>
          <w:w w:val="110"/>
        </w:rPr>
        <w:t>*Aware</w:t>
      </w:r>
      <w:r>
        <w:rPr>
          <w:rFonts w:ascii="MS Gothic"/>
          <w:color w:val="B02045"/>
          <w:spacing w:val="-71"/>
          <w:w w:val="110"/>
        </w:rPr>
        <w:t xml:space="preserve"> </w:t>
      </w:r>
      <w:r>
        <w:rPr>
          <w:color w:val="333333"/>
          <w:w w:val="110"/>
        </w:rPr>
        <w:t>interfaces</w:t>
      </w:r>
      <w:r>
        <w:rPr>
          <w:color w:val="333333"/>
          <w:spacing w:val="-7"/>
          <w:w w:val="110"/>
        </w:rPr>
        <w:t xml:space="preserve"> </w:t>
      </w:r>
      <w:r>
        <w:rPr>
          <w:color w:val="333333"/>
          <w:w w:val="110"/>
        </w:rPr>
        <w:t>provided</w:t>
      </w:r>
      <w:r>
        <w:rPr>
          <w:color w:val="333333"/>
          <w:spacing w:val="-7"/>
          <w:w w:val="110"/>
        </w:rPr>
        <w:t xml:space="preserve"> </w:t>
      </w:r>
      <w:r>
        <w:rPr>
          <w:color w:val="333333"/>
          <w:spacing w:val="-3"/>
          <w:w w:val="110"/>
        </w:rPr>
        <w:t>by</w:t>
      </w:r>
      <w:r>
        <w:rPr>
          <w:color w:val="333333"/>
          <w:spacing w:val="-7"/>
          <w:w w:val="110"/>
        </w:rPr>
        <w:t xml:space="preserve"> </w:t>
      </w:r>
      <w:r>
        <w:rPr>
          <w:color w:val="333333"/>
          <w:w w:val="110"/>
        </w:rPr>
        <w:t>the</w:t>
      </w:r>
      <w:r>
        <w:rPr>
          <w:color w:val="333333"/>
          <w:spacing w:val="-6"/>
          <w:w w:val="110"/>
        </w:rPr>
        <w:t xml:space="preserve"> </w:t>
      </w:r>
      <w:r>
        <w:rPr>
          <w:color w:val="333333"/>
          <w:w w:val="110"/>
        </w:rPr>
        <w:t>framework</w:t>
      </w:r>
      <w:r>
        <w:rPr>
          <w:color w:val="333333"/>
          <w:spacing w:val="-7"/>
          <w:w w:val="110"/>
        </w:rPr>
        <w:t xml:space="preserve"> </w:t>
      </w:r>
      <w:r>
        <w:rPr>
          <w:color w:val="333333"/>
          <w:w w:val="110"/>
        </w:rPr>
        <w:t>(such</w:t>
      </w:r>
      <w:r>
        <w:rPr>
          <w:color w:val="333333"/>
          <w:spacing w:val="-7"/>
          <w:w w:val="110"/>
        </w:rPr>
        <w:t xml:space="preserve"> </w:t>
      </w:r>
      <w:r>
        <w:rPr>
          <w:color w:val="333333"/>
          <w:w w:val="110"/>
        </w:rPr>
        <w:t>as</w:t>
      </w:r>
      <w:r>
        <w:rPr>
          <w:color w:val="333333"/>
          <w:spacing w:val="-1"/>
          <w:w w:val="110"/>
        </w:rPr>
        <w:t xml:space="preserve"> </w:t>
      </w:r>
      <w:r>
        <w:rPr>
          <w:rFonts w:ascii="MS Gothic"/>
          <w:color w:val="B02045"/>
          <w:w w:val="110"/>
        </w:rPr>
        <w:t>EnvironmentAware</w:t>
      </w:r>
      <w:r>
        <w:rPr>
          <w:rFonts w:ascii="MS Gothic"/>
          <w:color w:val="B02045"/>
          <w:spacing w:val="-71"/>
          <w:w w:val="110"/>
        </w:rPr>
        <w:t xml:space="preserve"> </w:t>
      </w:r>
      <w:r>
        <w:rPr>
          <w:color w:val="333333"/>
          <w:w w:val="110"/>
        </w:rPr>
        <w:t>if</w:t>
      </w:r>
      <w:r>
        <w:rPr>
          <w:color w:val="333333"/>
          <w:spacing w:val="-7"/>
          <w:w w:val="110"/>
        </w:rPr>
        <w:t xml:space="preserve"> </w:t>
      </w:r>
      <w:r>
        <w:rPr>
          <w:color w:val="333333"/>
          <w:w w:val="110"/>
        </w:rPr>
        <w:t>you</w:t>
      </w:r>
      <w:r>
        <w:rPr>
          <w:color w:val="333333"/>
          <w:spacing w:val="-7"/>
          <w:w w:val="110"/>
        </w:rPr>
        <w:t xml:space="preserve"> </w:t>
      </w:r>
      <w:r>
        <w:rPr>
          <w:color w:val="333333"/>
          <w:w w:val="110"/>
        </w:rPr>
        <w:t>need</w:t>
      </w:r>
      <w:r>
        <w:rPr>
          <w:color w:val="333333"/>
          <w:spacing w:val="-6"/>
          <w:w w:val="110"/>
        </w:rPr>
        <w:t xml:space="preserve"> </w:t>
      </w:r>
      <w:r>
        <w:rPr>
          <w:color w:val="333333"/>
          <w:w w:val="110"/>
        </w:rPr>
        <w:t>access</w:t>
      </w:r>
      <w:r>
        <w:rPr>
          <w:color w:val="333333"/>
          <w:spacing w:val="-7"/>
          <w:w w:val="110"/>
        </w:rPr>
        <w:t xml:space="preserve"> </w:t>
      </w:r>
      <w:r>
        <w:rPr>
          <w:color w:val="333333"/>
          <w:w w:val="110"/>
        </w:rPr>
        <w:t>to</w:t>
      </w:r>
      <w:r>
        <w:rPr>
          <w:color w:val="333333"/>
          <w:spacing w:val="-7"/>
          <w:w w:val="110"/>
        </w:rPr>
        <w:t xml:space="preserve"> </w:t>
      </w:r>
      <w:r>
        <w:rPr>
          <w:color w:val="333333"/>
          <w:w w:val="110"/>
        </w:rPr>
        <w:t xml:space="preserve">the </w:t>
      </w:r>
      <w:r>
        <w:rPr>
          <w:rFonts w:ascii="MS Gothic"/>
          <w:color w:val="B02045"/>
          <w:w w:val="110"/>
        </w:rPr>
        <w:t>Environment</w:t>
      </w:r>
      <w:r>
        <w:rPr>
          <w:color w:val="333333"/>
          <w:w w:val="110"/>
        </w:rPr>
        <w:t xml:space="preserve">). If you still want to inject other beans using the constructor, the configuration properties bean must be annotated with </w:t>
      </w:r>
      <w:r>
        <w:rPr>
          <w:rFonts w:ascii="MS Gothic"/>
          <w:color w:val="B02045"/>
          <w:w w:val="110"/>
        </w:rPr>
        <w:t>@Component</w:t>
      </w:r>
      <w:r>
        <w:rPr>
          <w:rFonts w:ascii="MS Gothic"/>
          <w:color w:val="B02045"/>
          <w:spacing w:val="-58"/>
          <w:w w:val="110"/>
        </w:rPr>
        <w:t xml:space="preserve"> </w:t>
      </w:r>
      <w:r>
        <w:rPr>
          <w:color w:val="333333"/>
          <w:w w:val="110"/>
        </w:rPr>
        <w:t>and use JavaBean-based property binding.</w:t>
      </w:r>
    </w:p>
    <w:p w14:paraId="7A496BBC" w14:textId="77777777" w:rsidR="00A720EB" w:rsidRDefault="00A720EB">
      <w:pPr>
        <w:pStyle w:val="a3"/>
        <w:spacing w:before="9"/>
        <w:rPr>
          <w:sz w:val="25"/>
        </w:rPr>
      </w:pPr>
    </w:p>
    <w:p w14:paraId="6DB71610" w14:textId="77777777" w:rsidR="00A720EB" w:rsidRDefault="0030286B">
      <w:pPr>
        <w:pStyle w:val="4"/>
      </w:pPr>
      <w:bookmarkStart w:id="198" w:name="Using_@ConfigurationProperties-annotated"/>
      <w:bookmarkEnd w:id="198"/>
      <w:r>
        <w:rPr>
          <w:color w:val="333333"/>
          <w:w w:val="110"/>
        </w:rPr>
        <w:t>Using @ConfigurationProperties-annotated types</w:t>
      </w:r>
    </w:p>
    <w:p w14:paraId="23D64CF0" w14:textId="77777777" w:rsidR="00A720EB" w:rsidRDefault="0030286B">
      <w:pPr>
        <w:pStyle w:val="a3"/>
        <w:spacing w:before="243" w:line="290" w:lineRule="auto"/>
        <w:ind w:left="124" w:right="122"/>
        <w:jc w:val="both"/>
      </w:pPr>
      <w:r>
        <w:rPr>
          <w:color w:val="333333"/>
          <w:w w:val="110"/>
        </w:rPr>
        <w:t xml:space="preserve">This style of configuration works particularly well with the </w:t>
      </w:r>
      <w:r>
        <w:rPr>
          <w:rFonts w:ascii="MS Gothic"/>
          <w:color w:val="B02045"/>
          <w:w w:val="110"/>
        </w:rPr>
        <w:t xml:space="preserve">SpringApplication </w:t>
      </w:r>
      <w:r>
        <w:rPr>
          <w:color w:val="333333"/>
          <w:w w:val="110"/>
        </w:rPr>
        <w:t>external YAML configuration, as shown in the following example:</w:t>
      </w:r>
    </w:p>
    <w:p w14:paraId="6F526708" w14:textId="77777777" w:rsidR="00A720EB" w:rsidRDefault="00E10349">
      <w:pPr>
        <w:pStyle w:val="a3"/>
        <w:spacing w:before="8"/>
        <w:rPr>
          <w:sz w:val="14"/>
        </w:rPr>
      </w:pPr>
      <w:r>
        <w:pict w14:anchorId="26994E9F">
          <v:group id="_x0000_s4541" style="position:absolute;margin-left:47.85pt;margin-top:10.6pt;width:499.55pt;height:184.9pt;z-index:-15596032;mso-wrap-distance-left:0;mso-wrap-distance-right:0;mso-position-horizontal-relative:page" coordorigin="957,212" coordsize="9991,3698">
            <v:shape id="_x0000_s4544" style="position:absolute;left:964;top:219;width:9976;height:3683" coordorigin="965,219" coordsize="9976,3683" path="m10861,219r-9816,l1014,225r-26,18l971,268r-6,31l965,3822r6,31l988,3879r26,17l1045,3902r9816,l10892,3896r25,-17l10935,3853r6,-31l10941,299r-6,-31l10917,243r-25,-18l10861,219xe" fillcolor="#f5f5f5" stroked="f">
              <v:path arrowok="t"/>
            </v:shape>
            <v:shape id="_x0000_s4543" style="position:absolute;left:964;top:219;width:9976;height:3683" coordorigin="965,219" coordsize="9976,3683" path="m1045,219r9816,l10892,225r25,18l10935,268r6,31l10941,3822r-6,31l10917,3879r-25,17l10861,3902r-9816,l1014,3896r-26,-17l971,3853r-6,-31l965,299r6,-31l988,243r26,-18l1045,219xe" filled="f" strokecolor="#ccc">
              <v:path arrowok="t"/>
            </v:shape>
            <v:shape id="_x0000_s4542" type="#_x0000_t202" style="position:absolute;left:984;top:234;width:9938;height:3652" filled="f" stroked="f">
              <v:textbox inset="0,0,0,0">
                <w:txbxContent>
                  <w:p w14:paraId="019A1280" w14:textId="77777777" w:rsidR="00711A16" w:rsidRDefault="00711A16">
                    <w:pPr>
                      <w:spacing w:before="221"/>
                      <w:ind w:left="200"/>
                      <w:rPr>
                        <w:rFonts w:ascii="MS Gothic"/>
                      </w:rPr>
                    </w:pPr>
                    <w:r>
                      <w:rPr>
                        <w:rFonts w:ascii="MS Gothic"/>
                        <w:color w:val="333333"/>
                      </w:rPr>
                      <w:t># application.yml</w:t>
                    </w:r>
                  </w:p>
                  <w:p w14:paraId="0EC4635D" w14:textId="77777777" w:rsidR="00711A16" w:rsidRDefault="00711A16">
                    <w:pPr>
                      <w:rPr>
                        <w:rFonts w:ascii="MS Gothic"/>
                        <w:sz w:val="24"/>
                      </w:rPr>
                    </w:pPr>
                  </w:p>
                  <w:p w14:paraId="1F24965E" w14:textId="77777777" w:rsidR="00711A16" w:rsidRDefault="00711A16">
                    <w:pPr>
                      <w:ind w:left="200"/>
                      <w:rPr>
                        <w:rFonts w:ascii="MS Gothic"/>
                      </w:rPr>
                    </w:pPr>
                    <w:r>
                      <w:rPr>
                        <w:rFonts w:ascii="MS Gothic"/>
                        <w:color w:val="333333"/>
                      </w:rPr>
                      <w:t>acme:</w:t>
                    </w:r>
                  </w:p>
                  <w:p w14:paraId="59A9603D" w14:textId="77777777" w:rsidR="00711A16" w:rsidRDefault="00711A16">
                    <w:pPr>
                      <w:spacing w:before="13" w:line="252" w:lineRule="auto"/>
                      <w:ind w:left="640" w:right="6308"/>
                      <w:rPr>
                        <w:rFonts w:ascii="MS Gothic"/>
                      </w:rPr>
                    </w:pPr>
                    <w:r>
                      <w:rPr>
                        <w:rFonts w:ascii="MS Gothic"/>
                        <w:color w:val="333333"/>
                      </w:rPr>
                      <w:t>remote-address: 192.168.1.1 security:</w:t>
                    </w:r>
                  </w:p>
                  <w:p w14:paraId="51DDDC50" w14:textId="77777777" w:rsidR="00711A16" w:rsidRDefault="00711A16">
                    <w:pPr>
                      <w:spacing w:line="252" w:lineRule="auto"/>
                      <w:ind w:left="1080" w:right="7078"/>
                      <w:rPr>
                        <w:rFonts w:ascii="MS Gothic"/>
                      </w:rPr>
                    </w:pPr>
                    <w:r>
                      <w:rPr>
                        <w:rFonts w:ascii="MS Gothic"/>
                        <w:color w:val="333333"/>
                      </w:rPr>
                      <w:t xml:space="preserve">username: </w:t>
                    </w:r>
                    <w:r>
                      <w:rPr>
                        <w:rFonts w:ascii="MS Gothic"/>
                        <w:color w:val="333333"/>
                        <w:spacing w:val="-4"/>
                      </w:rPr>
                      <w:t xml:space="preserve">admin </w:t>
                    </w:r>
                    <w:r>
                      <w:rPr>
                        <w:rFonts w:ascii="MS Gothic"/>
                        <w:color w:val="333333"/>
                      </w:rPr>
                      <w:t>roles:</w:t>
                    </w:r>
                  </w:p>
                  <w:p w14:paraId="4759CA9E" w14:textId="77777777" w:rsidR="00711A16" w:rsidRDefault="00711A16">
                    <w:pPr>
                      <w:numPr>
                        <w:ilvl w:val="0"/>
                        <w:numId w:val="59"/>
                      </w:numPr>
                      <w:tabs>
                        <w:tab w:val="left" w:pos="1521"/>
                      </w:tabs>
                      <w:spacing w:line="280" w:lineRule="exact"/>
                      <w:ind w:hanging="221"/>
                      <w:rPr>
                        <w:rFonts w:ascii="MS Gothic"/>
                      </w:rPr>
                    </w:pPr>
                    <w:r>
                      <w:rPr>
                        <w:rFonts w:ascii="MS Gothic"/>
                        <w:color w:val="333333"/>
                      </w:rPr>
                      <w:t>USER</w:t>
                    </w:r>
                  </w:p>
                  <w:p w14:paraId="5ABEFC45" w14:textId="77777777" w:rsidR="00711A16" w:rsidRDefault="00711A16">
                    <w:pPr>
                      <w:numPr>
                        <w:ilvl w:val="0"/>
                        <w:numId w:val="59"/>
                      </w:numPr>
                      <w:tabs>
                        <w:tab w:val="left" w:pos="1521"/>
                      </w:tabs>
                      <w:spacing w:before="10"/>
                      <w:ind w:hanging="221"/>
                      <w:rPr>
                        <w:rFonts w:ascii="MS Gothic"/>
                      </w:rPr>
                    </w:pPr>
                    <w:r>
                      <w:rPr>
                        <w:rFonts w:ascii="MS Gothic"/>
                        <w:color w:val="333333"/>
                      </w:rPr>
                      <w:t>ADMIN</w:t>
                    </w:r>
                  </w:p>
                  <w:p w14:paraId="6BE0B9FB" w14:textId="77777777" w:rsidR="00711A16" w:rsidRDefault="00711A16">
                    <w:pPr>
                      <w:spacing w:before="1"/>
                      <w:rPr>
                        <w:rFonts w:ascii="MS Gothic"/>
                        <w:sz w:val="24"/>
                      </w:rPr>
                    </w:pPr>
                  </w:p>
                  <w:p w14:paraId="274BC700" w14:textId="77777777" w:rsidR="00711A16" w:rsidRDefault="00711A16">
                    <w:pPr>
                      <w:ind w:left="200"/>
                      <w:rPr>
                        <w:rFonts w:ascii="MS Gothic"/>
                      </w:rPr>
                    </w:pPr>
                    <w:r>
                      <w:rPr>
                        <w:rFonts w:ascii="MS Gothic"/>
                        <w:color w:val="333333"/>
                      </w:rPr>
                      <w:t># additional configuration as required</w:t>
                    </w:r>
                  </w:p>
                </w:txbxContent>
              </v:textbox>
            </v:shape>
            <w10:wrap type="topAndBottom" anchorx="page"/>
          </v:group>
        </w:pict>
      </w:r>
    </w:p>
    <w:p w14:paraId="47478190" w14:textId="77777777" w:rsidR="00A720EB" w:rsidRDefault="00A720EB">
      <w:pPr>
        <w:pStyle w:val="a3"/>
        <w:spacing w:before="11"/>
        <w:rPr>
          <w:sz w:val="9"/>
        </w:rPr>
      </w:pPr>
    </w:p>
    <w:p w14:paraId="1D423B45" w14:textId="77777777" w:rsidR="00A720EB" w:rsidRDefault="0030286B">
      <w:pPr>
        <w:pStyle w:val="a3"/>
        <w:spacing w:before="115" w:line="290" w:lineRule="auto"/>
        <w:ind w:left="124"/>
      </w:pPr>
      <w:r>
        <w:rPr>
          <w:color w:val="333333"/>
          <w:w w:val="110"/>
        </w:rPr>
        <w:t xml:space="preserve">To work with </w:t>
      </w:r>
      <w:r>
        <w:rPr>
          <w:rFonts w:ascii="MS Gothic"/>
          <w:color w:val="B02045"/>
          <w:w w:val="110"/>
        </w:rPr>
        <w:t xml:space="preserve">@ConfigurationProperties </w:t>
      </w:r>
      <w:r>
        <w:rPr>
          <w:color w:val="333333"/>
          <w:w w:val="110"/>
        </w:rPr>
        <w:t>beans, you can inject them in the same way as any other bean, as shown in the following example:</w:t>
      </w:r>
    </w:p>
    <w:p w14:paraId="10E88443" w14:textId="77777777" w:rsidR="00A720EB" w:rsidRDefault="00E10349">
      <w:pPr>
        <w:pStyle w:val="a3"/>
        <w:spacing w:before="8"/>
        <w:rPr>
          <w:sz w:val="14"/>
        </w:rPr>
      </w:pPr>
      <w:r>
        <w:pict w14:anchorId="626A03D3">
          <v:group id="_x0000_s4537" style="position:absolute;margin-left:47.85pt;margin-top:10.6pt;width:499.55pt;height:302.85pt;z-index:-15595520;mso-wrap-distance-left:0;mso-wrap-distance-right:0;mso-position-horizontal-relative:page" coordorigin="957,212" coordsize="9991,6057">
            <v:shape id="_x0000_s4540" style="position:absolute;left:964;top:219;width:9976;height:6042" coordorigin="965,219" coordsize="9976,6042" path="m10861,219r-9816,l1014,226r-26,17l971,268r-6,31l965,6180r6,32l988,6237r26,17l1045,6260r9816,l10892,6254r25,-17l10935,6212r6,-32l10941,299r-6,-31l10917,243r-25,-17l10861,219xe" fillcolor="#f5f5f5" stroked="f">
              <v:path arrowok="t"/>
            </v:shape>
            <v:shape id="_x0000_s4539" style="position:absolute;left:964;top:219;width:9976;height:6042" coordorigin="965,219" coordsize="9976,6042" path="m1045,219r9816,l10892,226r25,17l10935,268r6,31l10941,6180r-6,32l10917,6237r-25,17l10861,6260r-9816,l1014,6254r-26,-17l971,6212r-6,-32l965,299r6,-31l988,243r26,-17l1045,219xe" filled="f" strokecolor="#ccc">
              <v:path arrowok="t"/>
            </v:shape>
            <v:shape id="_x0000_s4538" type="#_x0000_t202" style="position:absolute;left:984;top:234;width:9938;height:6011" filled="f" stroked="f">
              <v:textbox inset="0,0,0,0">
                <w:txbxContent>
                  <w:p w14:paraId="17C0D419" w14:textId="77777777" w:rsidR="00711A16" w:rsidRDefault="00711A16">
                    <w:pPr>
                      <w:spacing w:before="221"/>
                      <w:ind w:left="200"/>
                      <w:rPr>
                        <w:rFonts w:ascii="MS Gothic"/>
                      </w:rPr>
                    </w:pPr>
                    <w:r>
                      <w:rPr>
                        <w:rFonts w:ascii="MS Gothic"/>
                        <w:color w:val="333333"/>
                      </w:rPr>
                      <w:t>@Service</w:t>
                    </w:r>
                  </w:p>
                  <w:p w14:paraId="5B957A9A" w14:textId="77777777" w:rsidR="00711A16" w:rsidRDefault="00711A16">
                    <w:pPr>
                      <w:spacing w:before="13"/>
                      <w:ind w:left="200"/>
                      <w:rPr>
                        <w:rFonts w:ascii="MS Gothic"/>
                      </w:rPr>
                    </w:pPr>
                    <w:r>
                      <w:rPr>
                        <w:rFonts w:ascii="MS Gothic"/>
                        <w:color w:val="333333"/>
                      </w:rPr>
                      <w:t>public class MyService {</w:t>
                    </w:r>
                  </w:p>
                  <w:p w14:paraId="108D56A4" w14:textId="77777777" w:rsidR="00711A16" w:rsidRDefault="00711A16">
                    <w:pPr>
                      <w:spacing w:line="590" w:lineRule="atLeast"/>
                      <w:ind w:left="640" w:right="4878"/>
                      <w:rPr>
                        <w:rFonts w:ascii="MS Gothic"/>
                      </w:rPr>
                    </w:pPr>
                    <w:r>
                      <w:rPr>
                        <w:rFonts w:ascii="MS Gothic"/>
                        <w:color w:val="333333"/>
                      </w:rPr>
                      <w:t>private final AcmeProperties properties; @Autowired</w:t>
                    </w:r>
                  </w:p>
                  <w:p w14:paraId="19418C40" w14:textId="77777777" w:rsidR="00711A16" w:rsidRDefault="00711A16">
                    <w:pPr>
                      <w:spacing w:before="12" w:line="252" w:lineRule="auto"/>
                      <w:ind w:left="1080" w:right="4328" w:hanging="440"/>
                      <w:rPr>
                        <w:rFonts w:ascii="MS Gothic"/>
                      </w:rPr>
                    </w:pPr>
                    <w:r>
                      <w:rPr>
                        <w:rFonts w:ascii="MS Gothic"/>
                        <w:color w:val="333333"/>
                      </w:rPr>
                      <w:t xml:space="preserve">public </w:t>
                    </w:r>
                    <w:proofErr w:type="gramStart"/>
                    <w:r>
                      <w:rPr>
                        <w:rFonts w:ascii="MS Gothic"/>
                        <w:color w:val="333333"/>
                      </w:rPr>
                      <w:t>MyService(</w:t>
                    </w:r>
                    <w:proofErr w:type="gramEnd"/>
                    <w:r>
                      <w:rPr>
                        <w:rFonts w:ascii="MS Gothic"/>
                        <w:color w:val="333333"/>
                      </w:rPr>
                      <w:t>AcmeProperties properties) { this.properties = properties;</w:t>
                    </w:r>
                  </w:p>
                  <w:p w14:paraId="02AE2F59" w14:textId="77777777" w:rsidR="00711A16" w:rsidRDefault="00711A16">
                    <w:pPr>
                      <w:spacing w:line="280" w:lineRule="exact"/>
                      <w:ind w:left="640"/>
                      <w:rPr>
                        <w:rFonts w:ascii="MS Gothic"/>
                      </w:rPr>
                    </w:pPr>
                    <w:r>
                      <w:rPr>
                        <w:rFonts w:ascii="MS Gothic"/>
                        <w:color w:val="333333"/>
                      </w:rPr>
                      <w:t>}</w:t>
                    </w:r>
                  </w:p>
                  <w:p w14:paraId="6F5B105E" w14:textId="77777777" w:rsidR="00711A16" w:rsidRDefault="00711A16">
                    <w:pPr>
                      <w:spacing w:line="590" w:lineRule="atLeast"/>
                      <w:ind w:left="640" w:right="7738"/>
                      <w:rPr>
                        <w:rFonts w:ascii="MS Gothic"/>
                      </w:rPr>
                    </w:pPr>
                    <w:r>
                      <w:rPr>
                        <w:rFonts w:ascii="MS Gothic"/>
                        <w:color w:val="333333"/>
                      </w:rPr>
                      <w:t>//... @PostConstruct</w:t>
                    </w:r>
                  </w:p>
                  <w:p w14:paraId="138FD858" w14:textId="77777777" w:rsidR="00711A16" w:rsidRDefault="00711A16">
                    <w:pPr>
                      <w:spacing w:before="12"/>
                      <w:ind w:left="640"/>
                      <w:rPr>
                        <w:rFonts w:ascii="MS Gothic"/>
                      </w:rPr>
                    </w:pPr>
                    <w:r>
                      <w:rPr>
                        <w:rFonts w:ascii="MS Gothic"/>
                        <w:color w:val="333333"/>
                      </w:rPr>
                      <w:t xml:space="preserve">public void </w:t>
                    </w:r>
                    <w:proofErr w:type="gramStart"/>
                    <w:r>
                      <w:rPr>
                        <w:rFonts w:ascii="MS Gothic"/>
                        <w:color w:val="333333"/>
                      </w:rPr>
                      <w:t>openConnection(</w:t>
                    </w:r>
                    <w:proofErr w:type="gramEnd"/>
                    <w:r>
                      <w:rPr>
                        <w:rFonts w:ascii="MS Gothic"/>
                        <w:color w:val="333333"/>
                      </w:rPr>
                      <w:t>) {</w:t>
                    </w:r>
                  </w:p>
                  <w:p w14:paraId="106B6BA2" w14:textId="77777777" w:rsidR="00711A16" w:rsidRDefault="00711A16">
                    <w:pPr>
                      <w:spacing w:before="13"/>
                      <w:ind w:left="1080"/>
                      <w:rPr>
                        <w:rFonts w:ascii="MS Gothic"/>
                      </w:rPr>
                    </w:pPr>
                    <w:r>
                      <w:rPr>
                        <w:rFonts w:ascii="MS Gothic"/>
                        <w:color w:val="333333"/>
                      </w:rPr>
                      <w:t>Server server = new Server(</w:t>
                    </w:r>
                    <w:proofErr w:type="gramStart"/>
                    <w:r>
                      <w:rPr>
                        <w:rFonts w:ascii="MS Gothic"/>
                        <w:color w:val="333333"/>
                      </w:rPr>
                      <w:t>this.properties</w:t>
                    </w:r>
                    <w:proofErr w:type="gramEnd"/>
                    <w:r>
                      <w:rPr>
                        <w:rFonts w:ascii="MS Gothic"/>
                        <w:color w:val="333333"/>
                      </w:rPr>
                      <w:t>.getRemoteAddress());</w:t>
                    </w:r>
                  </w:p>
                  <w:p w14:paraId="040CDA28" w14:textId="77777777" w:rsidR="00711A16" w:rsidRDefault="00711A16">
                    <w:pPr>
                      <w:spacing w:before="13"/>
                      <w:ind w:left="1080"/>
                      <w:rPr>
                        <w:rFonts w:ascii="MS Gothic"/>
                      </w:rPr>
                    </w:pPr>
                    <w:r>
                      <w:rPr>
                        <w:rFonts w:ascii="MS Gothic"/>
                        <w:color w:val="333333"/>
                      </w:rPr>
                      <w:t>// ...</w:t>
                    </w:r>
                  </w:p>
                  <w:p w14:paraId="7C19DBC3" w14:textId="77777777" w:rsidR="00711A16" w:rsidRDefault="00711A16">
                    <w:pPr>
                      <w:spacing w:before="13"/>
                      <w:ind w:left="640"/>
                      <w:rPr>
                        <w:rFonts w:ascii="MS Gothic"/>
                      </w:rPr>
                    </w:pPr>
                    <w:r>
                      <w:rPr>
                        <w:rFonts w:ascii="MS Gothic"/>
                        <w:color w:val="333333"/>
                      </w:rPr>
                      <w:t>}</w:t>
                    </w:r>
                  </w:p>
                  <w:p w14:paraId="0710C0A1" w14:textId="77777777" w:rsidR="00711A16" w:rsidRDefault="00711A16">
                    <w:pPr>
                      <w:rPr>
                        <w:rFonts w:ascii="MS Gothic"/>
                        <w:sz w:val="24"/>
                      </w:rPr>
                    </w:pPr>
                  </w:p>
                  <w:p w14:paraId="28BA8C79" w14:textId="77777777" w:rsidR="00711A16" w:rsidRDefault="00711A16">
                    <w:pPr>
                      <w:ind w:left="200"/>
                      <w:rPr>
                        <w:rFonts w:ascii="MS Gothic"/>
                      </w:rPr>
                    </w:pPr>
                    <w:r>
                      <w:rPr>
                        <w:rFonts w:ascii="MS Gothic"/>
                        <w:color w:val="333333"/>
                      </w:rPr>
                      <w:t>}</w:t>
                    </w:r>
                  </w:p>
                </w:txbxContent>
              </v:textbox>
            </v:shape>
            <w10:wrap type="topAndBottom" anchorx="page"/>
          </v:group>
        </w:pict>
      </w:r>
    </w:p>
    <w:p w14:paraId="4326A8AD" w14:textId="77777777" w:rsidR="00A720EB" w:rsidRDefault="00A720EB">
      <w:pPr>
        <w:rPr>
          <w:sz w:val="14"/>
        </w:rPr>
        <w:sectPr w:rsidR="00A720EB">
          <w:pgSz w:w="11910" w:h="16840"/>
          <w:pgMar w:top="620" w:right="840" w:bottom="520" w:left="840" w:header="0" w:footer="323" w:gutter="0"/>
          <w:cols w:space="720"/>
        </w:sectPr>
      </w:pPr>
    </w:p>
    <w:p w14:paraId="3D21C060" w14:textId="77777777" w:rsidR="00A720EB" w:rsidRDefault="00E10349">
      <w:pPr>
        <w:pStyle w:val="a3"/>
        <w:spacing w:before="111" w:line="300" w:lineRule="auto"/>
        <w:ind w:left="1564" w:right="362"/>
        <w:jc w:val="both"/>
      </w:pPr>
      <w:r>
        <w:lastRenderedPageBreak/>
        <w:pict w14:anchorId="18219C3B">
          <v:line id="_x0000_s4536" style="position:absolute;left:0;text-align:left;z-index:15863296;mso-position-horizontal-relative:page" from="108.25pt,.1pt" to="108.25pt,55.45pt" strokecolor="#ededed" strokeweight=".5pt">
            <w10:wrap anchorx="page"/>
          </v:line>
        </w:pict>
      </w:r>
      <w:r w:rsidR="0030286B">
        <w:rPr>
          <w:noProof/>
        </w:rPr>
        <w:drawing>
          <wp:anchor distT="0" distB="0" distL="0" distR="0" simplePos="0" relativeHeight="15863808" behindDoc="0" locked="0" layoutInCell="1" allowOverlap="1" wp14:anchorId="5C735075" wp14:editId="4EE28E37">
            <wp:simplePos x="0" y="0"/>
            <wp:positionH relativeFrom="page">
              <wp:posOffset>888949</wp:posOffset>
            </wp:positionH>
            <wp:positionV relativeFrom="paragraph">
              <wp:posOffset>200101</wp:posOffset>
            </wp:positionV>
            <wp:extent cx="209550" cy="304800"/>
            <wp:effectExtent l="0" t="0" r="0" b="0"/>
            <wp:wrapNone/>
            <wp:docPr id="1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Using </w:t>
      </w:r>
      <w:r w:rsidR="0030286B">
        <w:rPr>
          <w:rFonts w:ascii="MS Gothic"/>
          <w:color w:val="B02045"/>
          <w:w w:val="110"/>
        </w:rPr>
        <w:t xml:space="preserve">@ConfigurationProperties </w:t>
      </w:r>
      <w:r w:rsidR="0030286B">
        <w:rPr>
          <w:color w:val="333333"/>
          <w:w w:val="110"/>
        </w:rPr>
        <w:t xml:space="preserve">also lets you generate metadata files that can be used by IDEs to offer auto-completion for your own keys. See the </w:t>
      </w:r>
      <w:hyperlink w:anchor="_bookmark673" w:history="1">
        <w:r w:rsidR="0030286B">
          <w:rPr>
            <w:color w:val="418BCA"/>
            <w:w w:val="110"/>
          </w:rPr>
          <w:t>appendix</w:t>
        </w:r>
      </w:hyperlink>
      <w:r w:rsidR="0030286B">
        <w:rPr>
          <w:color w:val="418BCA"/>
          <w:w w:val="110"/>
        </w:rPr>
        <w:t xml:space="preserve"> </w:t>
      </w:r>
      <w:r w:rsidR="0030286B">
        <w:rPr>
          <w:color w:val="333333"/>
          <w:w w:val="110"/>
        </w:rPr>
        <w:t>for details.</w:t>
      </w:r>
    </w:p>
    <w:p w14:paraId="52DE004F" w14:textId="77777777" w:rsidR="00A720EB" w:rsidRDefault="00A720EB">
      <w:pPr>
        <w:pStyle w:val="a3"/>
        <w:rPr>
          <w:sz w:val="24"/>
        </w:rPr>
      </w:pPr>
    </w:p>
    <w:p w14:paraId="29BEC3F2" w14:textId="77777777" w:rsidR="00A720EB" w:rsidRDefault="0030286B">
      <w:pPr>
        <w:pStyle w:val="4"/>
        <w:spacing w:before="104"/>
      </w:pPr>
      <w:bookmarkStart w:id="199" w:name="Third-party_Configuration"/>
      <w:bookmarkEnd w:id="199"/>
      <w:r>
        <w:rPr>
          <w:color w:val="333333"/>
          <w:w w:val="110"/>
        </w:rPr>
        <w:t>Third-party Configuration</w:t>
      </w:r>
    </w:p>
    <w:p w14:paraId="166FEE50" w14:textId="77777777" w:rsidR="00A720EB" w:rsidRDefault="0030286B">
      <w:pPr>
        <w:pStyle w:val="a3"/>
        <w:spacing w:before="244" w:line="300" w:lineRule="auto"/>
        <w:ind w:left="124" w:right="122"/>
        <w:jc w:val="both"/>
      </w:pPr>
      <w:r>
        <w:rPr>
          <w:color w:val="333333"/>
          <w:w w:val="110"/>
        </w:rPr>
        <w:t xml:space="preserve">As well as using </w:t>
      </w:r>
      <w:r>
        <w:rPr>
          <w:rFonts w:ascii="MS Gothic"/>
          <w:color w:val="B02045"/>
          <w:w w:val="110"/>
        </w:rPr>
        <w:t xml:space="preserve">@ConfigurationProperties </w:t>
      </w:r>
      <w:r>
        <w:rPr>
          <w:color w:val="333333"/>
          <w:w w:val="110"/>
        </w:rPr>
        <w:t xml:space="preserve">to annotate a class, you can also use it on public </w:t>
      </w:r>
      <w:r>
        <w:rPr>
          <w:rFonts w:ascii="MS Gothic"/>
          <w:color w:val="B02045"/>
          <w:w w:val="110"/>
        </w:rPr>
        <w:t xml:space="preserve">@Bean </w:t>
      </w:r>
      <w:r>
        <w:rPr>
          <w:color w:val="333333"/>
          <w:w w:val="110"/>
        </w:rPr>
        <w:t>methods. Doing so can be particularly useful when you want to bind properties to third-party components that are outside of your control.</w:t>
      </w:r>
    </w:p>
    <w:p w14:paraId="5F162CE8" w14:textId="77777777" w:rsidR="00A720EB" w:rsidRDefault="0030286B">
      <w:pPr>
        <w:pStyle w:val="a3"/>
        <w:spacing w:before="235" w:line="290" w:lineRule="auto"/>
        <w:ind w:left="124" w:right="123"/>
        <w:jc w:val="both"/>
      </w:pPr>
      <w:r>
        <w:rPr>
          <w:color w:val="333333"/>
          <w:w w:val="110"/>
        </w:rPr>
        <w:t xml:space="preserve">To configure a bean from the </w:t>
      </w:r>
      <w:r>
        <w:rPr>
          <w:rFonts w:ascii="MS Gothic"/>
          <w:color w:val="B02045"/>
          <w:w w:val="110"/>
        </w:rPr>
        <w:t xml:space="preserve">Environment </w:t>
      </w:r>
      <w:r>
        <w:rPr>
          <w:color w:val="333333"/>
          <w:w w:val="110"/>
        </w:rPr>
        <w:t xml:space="preserve">properties, add </w:t>
      </w:r>
      <w:r>
        <w:rPr>
          <w:rFonts w:ascii="MS Gothic"/>
          <w:color w:val="B02045"/>
          <w:w w:val="110"/>
        </w:rPr>
        <w:t xml:space="preserve">@ConfigurationProperties </w:t>
      </w:r>
      <w:r>
        <w:rPr>
          <w:color w:val="333333"/>
          <w:w w:val="110"/>
        </w:rPr>
        <w:t>to its bean registration, as shown in the following example:</w:t>
      </w:r>
    </w:p>
    <w:p w14:paraId="70C5A2CF" w14:textId="77777777" w:rsidR="00A720EB" w:rsidRDefault="00E10349">
      <w:pPr>
        <w:pStyle w:val="a3"/>
        <w:spacing w:before="7"/>
        <w:rPr>
          <w:sz w:val="14"/>
        </w:rPr>
      </w:pPr>
      <w:r>
        <w:pict w14:anchorId="6476BB88">
          <v:group id="_x0000_s4532" style="position:absolute;margin-left:47.85pt;margin-top:10.55pt;width:499.55pt;height:96.45pt;z-index:-15595008;mso-wrap-distance-left:0;mso-wrap-distance-right:0;mso-position-horizontal-relative:page" coordorigin="957,211" coordsize="9991,1929">
            <v:shape id="_x0000_s4535" style="position:absolute;left:964;top:218;width:9976;height:1914" coordorigin="965,219" coordsize="9976,1914" path="m10861,219r-9816,l1014,225r-26,17l971,268r-6,31l965,2053r6,31l988,2109r26,18l1045,2133r9816,l10892,2127r25,-18l10935,2084r6,-31l10941,299r-6,-31l10917,242r-25,-17l10861,219xe" fillcolor="#f5f5f5" stroked="f">
              <v:path arrowok="t"/>
            </v:shape>
            <v:shape id="_x0000_s4534" style="position:absolute;left:964;top:218;width:9976;height:1914" coordorigin="965,219" coordsize="9976,1914" path="m1045,219r9816,l10892,225r25,17l10935,268r6,31l10941,2053r-6,31l10917,2109r-25,18l10861,2133r-9816,l1014,2127r-26,-18l971,2084r-6,-31l965,299r6,-31l988,242r26,-17l1045,219xe" filled="f" strokecolor="#ccc">
              <v:path arrowok="t"/>
            </v:shape>
            <v:shape id="_x0000_s4533" type="#_x0000_t202" style="position:absolute;left:984;top:234;width:9938;height:1884" filled="f" stroked="f">
              <v:textbox inset="0,0,0,0">
                <w:txbxContent>
                  <w:p w14:paraId="3457B7BE" w14:textId="77777777" w:rsidR="00711A16" w:rsidRDefault="00711A16">
                    <w:pPr>
                      <w:spacing w:before="221" w:line="252" w:lineRule="auto"/>
                      <w:ind w:left="200" w:right="4878"/>
                      <w:rPr>
                        <w:rFonts w:ascii="MS Gothic"/>
                      </w:rPr>
                    </w:pPr>
                    <w:r>
                      <w:rPr>
                        <w:rFonts w:ascii="MS Gothic"/>
                        <w:color w:val="333333"/>
                      </w:rPr>
                      <w:t>@</w:t>
                    </w:r>
                    <w:proofErr w:type="gramStart"/>
                    <w:r>
                      <w:rPr>
                        <w:rFonts w:ascii="MS Gothic"/>
                        <w:color w:val="333333"/>
                      </w:rPr>
                      <w:t>ConfigurationProperties(</w:t>
                    </w:r>
                    <w:proofErr w:type="gramEnd"/>
                    <w:r>
                      <w:rPr>
                        <w:rFonts w:ascii="MS Gothic"/>
                        <w:color w:val="333333"/>
                      </w:rPr>
                      <w:t>prefix = "another") @Bean</w:t>
                    </w:r>
                  </w:p>
                  <w:p w14:paraId="2430C326" w14:textId="77777777" w:rsidR="00711A16" w:rsidRDefault="00711A16">
                    <w:pPr>
                      <w:spacing w:line="280" w:lineRule="exact"/>
                      <w:ind w:left="200"/>
                      <w:rPr>
                        <w:rFonts w:ascii="MS Gothic"/>
                      </w:rPr>
                    </w:pPr>
                    <w:r>
                      <w:rPr>
                        <w:rFonts w:ascii="MS Gothic"/>
                        <w:color w:val="333333"/>
                      </w:rPr>
                      <w:t xml:space="preserve">public AnotherComponent </w:t>
                    </w:r>
                    <w:proofErr w:type="gramStart"/>
                    <w:r>
                      <w:rPr>
                        <w:rFonts w:ascii="MS Gothic"/>
                        <w:color w:val="333333"/>
                      </w:rPr>
                      <w:t>anotherComponent(</w:t>
                    </w:r>
                    <w:proofErr w:type="gramEnd"/>
                    <w:r>
                      <w:rPr>
                        <w:rFonts w:ascii="MS Gothic"/>
                        <w:color w:val="333333"/>
                      </w:rPr>
                      <w:t>) {</w:t>
                    </w:r>
                  </w:p>
                  <w:p w14:paraId="7DBB5B72" w14:textId="77777777" w:rsidR="00711A16" w:rsidRDefault="00711A16">
                    <w:pPr>
                      <w:spacing w:before="13"/>
                      <w:ind w:left="640"/>
                      <w:rPr>
                        <w:rFonts w:ascii="MS Gothic"/>
                      </w:rPr>
                    </w:pPr>
                    <w:r>
                      <w:rPr>
                        <w:rFonts w:ascii="MS Gothic"/>
                        <w:color w:val="333333"/>
                      </w:rPr>
                      <w:t>...</w:t>
                    </w:r>
                  </w:p>
                  <w:p w14:paraId="17B03208"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6903D9EE" w14:textId="77777777" w:rsidR="00A720EB" w:rsidRDefault="00A720EB">
      <w:pPr>
        <w:pStyle w:val="a3"/>
        <w:spacing w:before="11"/>
        <w:rPr>
          <w:sz w:val="9"/>
        </w:rPr>
      </w:pPr>
    </w:p>
    <w:p w14:paraId="53CC6DAE" w14:textId="77777777" w:rsidR="00A720EB" w:rsidRDefault="0030286B">
      <w:pPr>
        <w:pStyle w:val="a3"/>
        <w:spacing w:before="115" w:line="280" w:lineRule="auto"/>
        <w:ind w:left="124" w:right="123"/>
        <w:jc w:val="both"/>
      </w:pPr>
      <w:r>
        <w:rPr>
          <w:color w:val="333333"/>
          <w:w w:val="110"/>
        </w:rPr>
        <w:t xml:space="preserve">Any JavaBean property defined with </w:t>
      </w:r>
      <w:proofErr w:type="gramStart"/>
      <w:r>
        <w:rPr>
          <w:color w:val="333333"/>
          <w:w w:val="110"/>
        </w:rPr>
        <w:t xml:space="preserve">the </w:t>
      </w:r>
      <w:r>
        <w:rPr>
          <w:rFonts w:ascii="MS Gothic"/>
          <w:color w:val="B02045"/>
          <w:w w:val="110"/>
        </w:rPr>
        <w:t>another</w:t>
      </w:r>
      <w:proofErr w:type="gramEnd"/>
      <w:r>
        <w:rPr>
          <w:rFonts w:ascii="MS Gothic"/>
          <w:color w:val="B02045"/>
          <w:w w:val="110"/>
        </w:rPr>
        <w:t xml:space="preserve"> </w:t>
      </w:r>
      <w:r>
        <w:rPr>
          <w:color w:val="333333"/>
          <w:w w:val="110"/>
        </w:rPr>
        <w:t xml:space="preserve">prefix is mapped onto that </w:t>
      </w:r>
      <w:r>
        <w:rPr>
          <w:rFonts w:ascii="MS Gothic"/>
          <w:color w:val="B02045"/>
          <w:w w:val="110"/>
        </w:rPr>
        <w:t>AnotherComponent</w:t>
      </w:r>
      <w:r>
        <w:rPr>
          <w:rFonts w:ascii="MS Gothic"/>
          <w:color w:val="B02045"/>
          <w:spacing w:val="-70"/>
          <w:w w:val="110"/>
        </w:rPr>
        <w:t xml:space="preserve"> </w:t>
      </w:r>
      <w:r>
        <w:rPr>
          <w:color w:val="333333"/>
          <w:w w:val="110"/>
        </w:rPr>
        <w:t xml:space="preserve">bean in manner similar to the preceding </w:t>
      </w:r>
      <w:r>
        <w:rPr>
          <w:rFonts w:ascii="MS Gothic"/>
          <w:color w:val="B02045"/>
          <w:w w:val="110"/>
        </w:rPr>
        <w:t xml:space="preserve">AcmeProperties </w:t>
      </w:r>
      <w:r>
        <w:rPr>
          <w:color w:val="333333"/>
          <w:w w:val="110"/>
        </w:rPr>
        <w:t>example.</w:t>
      </w:r>
    </w:p>
    <w:p w14:paraId="64988D77" w14:textId="77777777" w:rsidR="00A720EB" w:rsidRDefault="00A720EB">
      <w:pPr>
        <w:pStyle w:val="a3"/>
        <w:spacing w:before="8"/>
        <w:rPr>
          <w:sz w:val="26"/>
        </w:rPr>
      </w:pPr>
    </w:p>
    <w:p w14:paraId="4B780597" w14:textId="77777777" w:rsidR="00A720EB" w:rsidRDefault="0030286B">
      <w:pPr>
        <w:pStyle w:val="4"/>
      </w:pPr>
      <w:bookmarkStart w:id="200" w:name="Relaxed_Binding"/>
      <w:bookmarkEnd w:id="200"/>
      <w:r>
        <w:rPr>
          <w:color w:val="333333"/>
          <w:w w:val="110"/>
        </w:rPr>
        <w:t>Relaxed Binding</w:t>
      </w:r>
    </w:p>
    <w:p w14:paraId="567B5941" w14:textId="77777777" w:rsidR="00A720EB" w:rsidRDefault="0030286B">
      <w:pPr>
        <w:pStyle w:val="a3"/>
        <w:spacing w:before="244" w:line="288" w:lineRule="auto"/>
        <w:ind w:left="124" w:right="122"/>
        <w:jc w:val="both"/>
      </w:pPr>
      <w:r>
        <w:rPr>
          <w:color w:val="333333"/>
          <w:w w:val="110"/>
        </w:rPr>
        <w:t>Spring</w:t>
      </w:r>
      <w:r>
        <w:rPr>
          <w:color w:val="333333"/>
          <w:spacing w:val="-22"/>
          <w:w w:val="110"/>
        </w:rPr>
        <w:t xml:space="preserve"> </w:t>
      </w:r>
      <w:r>
        <w:rPr>
          <w:color w:val="333333"/>
          <w:w w:val="110"/>
        </w:rPr>
        <w:t>Boot</w:t>
      </w:r>
      <w:r>
        <w:rPr>
          <w:color w:val="333333"/>
          <w:spacing w:val="-22"/>
          <w:w w:val="110"/>
        </w:rPr>
        <w:t xml:space="preserve"> </w:t>
      </w:r>
      <w:r>
        <w:rPr>
          <w:color w:val="333333"/>
          <w:w w:val="110"/>
        </w:rPr>
        <w:t>uses</w:t>
      </w:r>
      <w:r>
        <w:rPr>
          <w:color w:val="333333"/>
          <w:spacing w:val="-21"/>
          <w:w w:val="110"/>
        </w:rPr>
        <w:t xml:space="preserve"> </w:t>
      </w:r>
      <w:r>
        <w:rPr>
          <w:color w:val="333333"/>
          <w:w w:val="110"/>
        </w:rPr>
        <w:t>some</w:t>
      </w:r>
      <w:r>
        <w:rPr>
          <w:color w:val="333333"/>
          <w:spacing w:val="-22"/>
          <w:w w:val="110"/>
        </w:rPr>
        <w:t xml:space="preserve"> </w:t>
      </w:r>
      <w:r>
        <w:rPr>
          <w:color w:val="333333"/>
          <w:w w:val="110"/>
        </w:rPr>
        <w:t>relaxed</w:t>
      </w:r>
      <w:r>
        <w:rPr>
          <w:color w:val="333333"/>
          <w:spacing w:val="-22"/>
          <w:w w:val="110"/>
        </w:rPr>
        <w:t xml:space="preserve"> </w:t>
      </w:r>
      <w:r>
        <w:rPr>
          <w:color w:val="333333"/>
          <w:w w:val="110"/>
        </w:rPr>
        <w:t>rules</w:t>
      </w:r>
      <w:r>
        <w:rPr>
          <w:color w:val="333333"/>
          <w:spacing w:val="-21"/>
          <w:w w:val="110"/>
        </w:rPr>
        <w:t xml:space="preserve"> </w:t>
      </w:r>
      <w:r>
        <w:rPr>
          <w:color w:val="333333"/>
          <w:w w:val="110"/>
        </w:rPr>
        <w:t>for</w:t>
      </w:r>
      <w:r>
        <w:rPr>
          <w:color w:val="333333"/>
          <w:spacing w:val="-21"/>
          <w:w w:val="110"/>
        </w:rPr>
        <w:t xml:space="preserve"> </w:t>
      </w:r>
      <w:r>
        <w:rPr>
          <w:color w:val="333333"/>
          <w:w w:val="110"/>
        </w:rPr>
        <w:t>binding</w:t>
      </w:r>
      <w:r>
        <w:rPr>
          <w:color w:val="333333"/>
          <w:spacing w:val="-19"/>
          <w:w w:val="110"/>
        </w:rPr>
        <w:t xml:space="preserve"> </w:t>
      </w:r>
      <w:r>
        <w:rPr>
          <w:rFonts w:ascii="MS Gothic"/>
          <w:color w:val="B02045"/>
          <w:w w:val="110"/>
        </w:rPr>
        <w:t>Environment</w:t>
      </w:r>
      <w:r>
        <w:rPr>
          <w:rFonts w:ascii="MS Gothic"/>
          <w:color w:val="B02045"/>
          <w:spacing w:val="-86"/>
          <w:w w:val="110"/>
        </w:rPr>
        <w:t xml:space="preserve"> </w:t>
      </w:r>
      <w:r>
        <w:rPr>
          <w:color w:val="333333"/>
          <w:w w:val="110"/>
        </w:rPr>
        <w:t>properties</w:t>
      </w:r>
      <w:r>
        <w:rPr>
          <w:color w:val="333333"/>
          <w:spacing w:val="-22"/>
          <w:w w:val="110"/>
        </w:rPr>
        <w:t xml:space="preserve"> </w:t>
      </w:r>
      <w:r>
        <w:rPr>
          <w:color w:val="333333"/>
          <w:w w:val="110"/>
        </w:rPr>
        <w:t>to</w:t>
      </w:r>
      <w:r>
        <w:rPr>
          <w:color w:val="333333"/>
          <w:spacing w:val="-20"/>
          <w:w w:val="110"/>
        </w:rPr>
        <w:t xml:space="preserve"> </w:t>
      </w:r>
      <w:r>
        <w:rPr>
          <w:rFonts w:ascii="MS Gothic"/>
          <w:color w:val="B02045"/>
          <w:w w:val="110"/>
        </w:rPr>
        <w:t xml:space="preserve">@ConfigurationProperties </w:t>
      </w:r>
      <w:r>
        <w:rPr>
          <w:color w:val="333333"/>
          <w:w w:val="110"/>
        </w:rPr>
        <w:t xml:space="preserve">beans, so there does not need to be an exact match between the </w:t>
      </w:r>
      <w:r>
        <w:rPr>
          <w:rFonts w:ascii="MS Gothic"/>
          <w:color w:val="B02045"/>
          <w:w w:val="110"/>
        </w:rPr>
        <w:t xml:space="preserve">Environment </w:t>
      </w:r>
      <w:r>
        <w:rPr>
          <w:color w:val="333333"/>
          <w:w w:val="110"/>
        </w:rPr>
        <w:t>property name and the bean property name. Common examples where this is useful include dash-separated environment properties</w:t>
      </w:r>
      <w:r>
        <w:rPr>
          <w:color w:val="333333"/>
          <w:spacing w:val="-17"/>
          <w:w w:val="110"/>
        </w:rPr>
        <w:t xml:space="preserve"> </w:t>
      </w:r>
      <w:r>
        <w:rPr>
          <w:color w:val="333333"/>
          <w:w w:val="110"/>
        </w:rPr>
        <w:t>(for</w:t>
      </w:r>
      <w:r>
        <w:rPr>
          <w:color w:val="333333"/>
          <w:spacing w:val="-16"/>
          <w:w w:val="110"/>
        </w:rPr>
        <w:t xml:space="preserve"> </w:t>
      </w:r>
      <w:r>
        <w:rPr>
          <w:color w:val="333333"/>
          <w:w w:val="110"/>
        </w:rPr>
        <w:t>example,</w:t>
      </w:r>
      <w:r>
        <w:rPr>
          <w:color w:val="333333"/>
          <w:spacing w:val="-14"/>
          <w:w w:val="110"/>
        </w:rPr>
        <w:t xml:space="preserve"> </w:t>
      </w:r>
      <w:r>
        <w:rPr>
          <w:rFonts w:ascii="MS Gothic"/>
          <w:color w:val="B02045"/>
          <w:w w:val="110"/>
        </w:rPr>
        <w:t>context-path</w:t>
      </w:r>
      <w:r>
        <w:rPr>
          <w:rFonts w:ascii="MS Gothic"/>
          <w:color w:val="B02045"/>
          <w:spacing w:val="-80"/>
          <w:w w:val="110"/>
        </w:rPr>
        <w:t xml:space="preserve"> </w:t>
      </w:r>
      <w:r>
        <w:rPr>
          <w:color w:val="333333"/>
          <w:w w:val="110"/>
        </w:rPr>
        <w:t>binds</w:t>
      </w:r>
      <w:r>
        <w:rPr>
          <w:color w:val="333333"/>
          <w:spacing w:val="-17"/>
          <w:w w:val="110"/>
        </w:rPr>
        <w:t xml:space="preserve"> </w:t>
      </w:r>
      <w:r>
        <w:rPr>
          <w:color w:val="333333"/>
          <w:w w:val="110"/>
        </w:rPr>
        <w:t>to</w:t>
      </w:r>
      <w:r>
        <w:rPr>
          <w:color w:val="333333"/>
          <w:spacing w:val="-15"/>
          <w:w w:val="110"/>
        </w:rPr>
        <w:t xml:space="preserve"> </w:t>
      </w:r>
      <w:r>
        <w:rPr>
          <w:rFonts w:ascii="MS Gothic"/>
          <w:color w:val="B02045"/>
          <w:w w:val="110"/>
        </w:rPr>
        <w:t>contextPath</w:t>
      </w:r>
      <w:r>
        <w:rPr>
          <w:color w:val="333333"/>
          <w:w w:val="110"/>
        </w:rPr>
        <w:t>),</w:t>
      </w:r>
      <w:r>
        <w:rPr>
          <w:color w:val="333333"/>
          <w:spacing w:val="-16"/>
          <w:w w:val="110"/>
        </w:rPr>
        <w:t xml:space="preserve"> </w:t>
      </w:r>
      <w:r>
        <w:rPr>
          <w:color w:val="333333"/>
          <w:w w:val="110"/>
        </w:rPr>
        <w:t>and</w:t>
      </w:r>
      <w:r>
        <w:rPr>
          <w:color w:val="333333"/>
          <w:spacing w:val="-17"/>
          <w:w w:val="110"/>
        </w:rPr>
        <w:t xml:space="preserve"> </w:t>
      </w:r>
      <w:r>
        <w:rPr>
          <w:color w:val="333333"/>
          <w:w w:val="110"/>
        </w:rPr>
        <w:t>capitalized</w:t>
      </w:r>
      <w:r>
        <w:rPr>
          <w:color w:val="333333"/>
          <w:spacing w:val="-16"/>
          <w:w w:val="110"/>
        </w:rPr>
        <w:t xml:space="preserve"> </w:t>
      </w:r>
      <w:r>
        <w:rPr>
          <w:color w:val="333333"/>
          <w:w w:val="110"/>
        </w:rPr>
        <w:t>environment</w:t>
      </w:r>
      <w:r>
        <w:rPr>
          <w:color w:val="333333"/>
          <w:spacing w:val="-16"/>
          <w:w w:val="110"/>
        </w:rPr>
        <w:t xml:space="preserve"> </w:t>
      </w:r>
      <w:r>
        <w:rPr>
          <w:color w:val="333333"/>
          <w:w w:val="110"/>
        </w:rPr>
        <w:t xml:space="preserve">properties (for example, </w:t>
      </w:r>
      <w:r>
        <w:rPr>
          <w:rFonts w:ascii="MS Gothic"/>
          <w:color w:val="B02045"/>
          <w:w w:val="110"/>
        </w:rPr>
        <w:t>PORT</w:t>
      </w:r>
      <w:r>
        <w:rPr>
          <w:rFonts w:ascii="MS Gothic"/>
          <w:color w:val="B02045"/>
          <w:spacing w:val="-52"/>
          <w:w w:val="110"/>
        </w:rPr>
        <w:t xml:space="preserve"> </w:t>
      </w:r>
      <w:r>
        <w:rPr>
          <w:color w:val="333333"/>
          <w:w w:val="110"/>
        </w:rPr>
        <w:t xml:space="preserve">binds to </w:t>
      </w:r>
      <w:r>
        <w:rPr>
          <w:rFonts w:ascii="MS Gothic"/>
          <w:color w:val="B02045"/>
          <w:w w:val="110"/>
        </w:rPr>
        <w:t>port</w:t>
      </w:r>
      <w:r>
        <w:rPr>
          <w:color w:val="333333"/>
          <w:w w:val="110"/>
        </w:rPr>
        <w:t>).</w:t>
      </w:r>
    </w:p>
    <w:p w14:paraId="551C05ED" w14:textId="77777777" w:rsidR="00A720EB" w:rsidRDefault="0030286B">
      <w:pPr>
        <w:pStyle w:val="a3"/>
        <w:spacing w:before="231"/>
        <w:ind w:left="124"/>
        <w:jc w:val="both"/>
      </w:pPr>
      <w:r>
        <w:rPr>
          <w:color w:val="333333"/>
          <w:w w:val="110"/>
        </w:rPr>
        <w:t xml:space="preserve">As an example, consider the following </w:t>
      </w:r>
      <w:r>
        <w:rPr>
          <w:rFonts w:ascii="MS Gothic"/>
          <w:color w:val="B02045"/>
          <w:w w:val="110"/>
        </w:rPr>
        <w:t>@ConfigurationProperties</w:t>
      </w:r>
      <w:r>
        <w:rPr>
          <w:rFonts w:ascii="MS Gothic"/>
          <w:color w:val="B02045"/>
          <w:spacing w:val="-66"/>
          <w:w w:val="110"/>
        </w:rPr>
        <w:t xml:space="preserve"> </w:t>
      </w:r>
      <w:r>
        <w:rPr>
          <w:color w:val="333333"/>
          <w:w w:val="110"/>
        </w:rPr>
        <w:t>class:</w:t>
      </w:r>
    </w:p>
    <w:p w14:paraId="2F1C43D8" w14:textId="77777777" w:rsidR="00A720EB" w:rsidRDefault="00E10349">
      <w:pPr>
        <w:pStyle w:val="a3"/>
        <w:spacing w:before="10"/>
        <w:rPr>
          <w:sz w:val="17"/>
        </w:rPr>
      </w:pPr>
      <w:r>
        <w:pict w14:anchorId="3A052B4C">
          <v:group id="_x0000_s4528" style="position:absolute;margin-left:47.85pt;margin-top:12.5pt;width:499.55pt;height:229.15pt;z-index:-15594496;mso-wrap-distance-left:0;mso-wrap-distance-right:0;mso-position-horizontal-relative:page" coordorigin="957,250" coordsize="9991,4583">
            <v:shape id="_x0000_s4531" style="position:absolute;left:964;top:257;width:9976;height:4568" coordorigin="965,257" coordsize="9976,4568" path="m10861,257r-9816,l1014,263r-26,18l971,306r-6,31l965,4744r6,31l988,4801r26,17l1045,4824r9816,l10892,4818r25,-17l10935,4775r6,-31l10941,337r-6,-31l10917,281r-25,-18l10861,257xe" fillcolor="#f5f5f5" stroked="f">
              <v:path arrowok="t"/>
            </v:shape>
            <v:shape id="_x0000_s4530" style="position:absolute;left:964;top:257;width:9976;height:4568" coordorigin="965,257" coordsize="9976,4568" path="m1045,257r9816,l10892,263r25,18l10935,306r6,31l10941,4744r-6,31l10917,4801r-25,17l10861,4824r-9816,l1014,4818r-26,-17l971,4775r-6,-31l965,337r6,-31l988,281r26,-18l1045,257xe" filled="f" strokecolor="#ccc">
              <v:path arrowok="t"/>
            </v:shape>
            <v:shape id="_x0000_s4529" type="#_x0000_t202" style="position:absolute;left:984;top:272;width:9938;height:4537" filled="f" stroked="f">
              <v:textbox inset="0,0,0,0">
                <w:txbxContent>
                  <w:p w14:paraId="7D4DBD18" w14:textId="77777777" w:rsidR="00711A16" w:rsidRDefault="00711A16">
                    <w:pPr>
                      <w:spacing w:before="221" w:line="252" w:lineRule="auto"/>
                      <w:ind w:left="200" w:right="3448"/>
                      <w:rPr>
                        <w:rFonts w:ascii="MS Gothic"/>
                      </w:rPr>
                    </w:pPr>
                    <w:r>
                      <w:rPr>
                        <w:rFonts w:ascii="MS Gothic"/>
                        <w:color w:val="333333"/>
                      </w:rPr>
                      <w:t>@ConfigurationProperties(prefix="acme.my-</w:t>
                    </w:r>
                    <w:proofErr w:type="gramStart"/>
                    <w:r>
                      <w:rPr>
                        <w:rFonts w:ascii="MS Gothic"/>
                        <w:color w:val="333333"/>
                      </w:rPr>
                      <w:t>project.person</w:t>
                    </w:r>
                    <w:proofErr w:type="gramEnd"/>
                    <w:r>
                      <w:rPr>
                        <w:rFonts w:ascii="MS Gothic"/>
                        <w:color w:val="333333"/>
                      </w:rPr>
                      <w:t>") public class OwnerProperties {</w:t>
                    </w:r>
                  </w:p>
                  <w:p w14:paraId="2A5C4AC4" w14:textId="77777777" w:rsidR="00711A16" w:rsidRDefault="00711A16">
                    <w:pPr>
                      <w:spacing w:before="40" w:line="590" w:lineRule="exact"/>
                      <w:ind w:left="640" w:right="5978"/>
                      <w:rPr>
                        <w:rFonts w:ascii="MS Gothic"/>
                      </w:rPr>
                    </w:pPr>
                    <w:r>
                      <w:rPr>
                        <w:rFonts w:ascii="MS Gothic"/>
                        <w:color w:val="333333"/>
                      </w:rPr>
                      <w:t xml:space="preserve">private String firstName; public String </w:t>
                    </w:r>
                    <w:proofErr w:type="gramStart"/>
                    <w:r>
                      <w:rPr>
                        <w:rFonts w:ascii="MS Gothic"/>
                        <w:color w:val="333333"/>
                      </w:rPr>
                      <w:t>getFirstName(</w:t>
                    </w:r>
                    <w:proofErr w:type="gramEnd"/>
                    <w:r>
                      <w:rPr>
                        <w:rFonts w:ascii="MS Gothic"/>
                        <w:color w:val="333333"/>
                      </w:rPr>
                      <w:t>) {</w:t>
                    </w:r>
                  </w:p>
                  <w:p w14:paraId="31ACFD39" w14:textId="77777777" w:rsidR="00711A16" w:rsidRDefault="00711A16">
                    <w:pPr>
                      <w:spacing w:line="238" w:lineRule="exact"/>
                      <w:ind w:left="1080"/>
                      <w:rPr>
                        <w:rFonts w:ascii="MS Gothic"/>
                      </w:rPr>
                    </w:pPr>
                    <w:r>
                      <w:rPr>
                        <w:rFonts w:ascii="MS Gothic"/>
                        <w:color w:val="333333"/>
                      </w:rPr>
                      <w:t xml:space="preserve">return </w:t>
                    </w:r>
                    <w:proofErr w:type="gramStart"/>
                    <w:r>
                      <w:rPr>
                        <w:rFonts w:ascii="MS Gothic"/>
                        <w:color w:val="333333"/>
                      </w:rPr>
                      <w:t>this.firstName</w:t>
                    </w:r>
                    <w:proofErr w:type="gramEnd"/>
                    <w:r>
                      <w:rPr>
                        <w:rFonts w:ascii="MS Gothic"/>
                        <w:color w:val="333333"/>
                      </w:rPr>
                      <w:t>;</w:t>
                    </w:r>
                  </w:p>
                  <w:p w14:paraId="547B3A24" w14:textId="77777777" w:rsidR="00711A16" w:rsidRDefault="00711A16">
                    <w:pPr>
                      <w:spacing w:before="13"/>
                      <w:ind w:left="640"/>
                      <w:rPr>
                        <w:rFonts w:ascii="MS Gothic"/>
                      </w:rPr>
                    </w:pPr>
                    <w:r>
                      <w:rPr>
                        <w:rFonts w:ascii="MS Gothic"/>
                        <w:color w:val="333333"/>
                      </w:rPr>
                      <w:t>}</w:t>
                    </w:r>
                  </w:p>
                  <w:p w14:paraId="16724708" w14:textId="77777777" w:rsidR="00711A16" w:rsidRDefault="00711A16">
                    <w:pPr>
                      <w:rPr>
                        <w:rFonts w:ascii="MS Gothic"/>
                        <w:sz w:val="24"/>
                      </w:rPr>
                    </w:pPr>
                  </w:p>
                  <w:p w14:paraId="391BAA1D" w14:textId="77777777" w:rsidR="00711A16" w:rsidRDefault="00711A16">
                    <w:pPr>
                      <w:spacing w:line="252" w:lineRule="auto"/>
                      <w:ind w:left="1080" w:right="4438" w:hanging="440"/>
                      <w:rPr>
                        <w:rFonts w:ascii="MS Gothic"/>
                      </w:rPr>
                    </w:pPr>
                    <w:r>
                      <w:rPr>
                        <w:rFonts w:ascii="MS Gothic"/>
                        <w:color w:val="333333"/>
                      </w:rPr>
                      <w:t xml:space="preserve">public void </w:t>
                    </w:r>
                    <w:proofErr w:type="gramStart"/>
                    <w:r>
                      <w:rPr>
                        <w:rFonts w:ascii="MS Gothic"/>
                        <w:color w:val="333333"/>
                      </w:rPr>
                      <w:t>setFirstName(</w:t>
                    </w:r>
                    <w:proofErr w:type="gramEnd"/>
                    <w:r>
                      <w:rPr>
                        <w:rFonts w:ascii="MS Gothic"/>
                        <w:color w:val="333333"/>
                      </w:rPr>
                      <w:t>String firstName) { this.firstName = firstName;</w:t>
                    </w:r>
                  </w:p>
                  <w:p w14:paraId="7559FAD1" w14:textId="77777777" w:rsidR="00711A16" w:rsidRDefault="00711A16">
                    <w:pPr>
                      <w:spacing w:line="280" w:lineRule="exact"/>
                      <w:ind w:left="640"/>
                      <w:rPr>
                        <w:rFonts w:ascii="MS Gothic"/>
                      </w:rPr>
                    </w:pPr>
                    <w:r>
                      <w:rPr>
                        <w:rFonts w:ascii="MS Gothic"/>
                        <w:color w:val="333333"/>
                      </w:rPr>
                      <w:t>}</w:t>
                    </w:r>
                  </w:p>
                  <w:p w14:paraId="17F80D6D" w14:textId="77777777" w:rsidR="00711A16" w:rsidRDefault="00711A16">
                    <w:pPr>
                      <w:rPr>
                        <w:rFonts w:ascii="MS Gothic"/>
                        <w:sz w:val="24"/>
                      </w:rPr>
                    </w:pPr>
                  </w:p>
                  <w:p w14:paraId="2227DED9"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6A637AC6" w14:textId="77777777" w:rsidR="00A720EB" w:rsidRDefault="00A720EB">
      <w:pPr>
        <w:pStyle w:val="a3"/>
        <w:rPr>
          <w:sz w:val="10"/>
        </w:rPr>
      </w:pPr>
    </w:p>
    <w:p w14:paraId="0569FECF" w14:textId="77777777" w:rsidR="00A720EB" w:rsidRDefault="0030286B">
      <w:pPr>
        <w:pStyle w:val="a3"/>
        <w:spacing w:before="125"/>
        <w:ind w:left="124"/>
      </w:pPr>
      <w:r>
        <w:rPr>
          <w:color w:val="333333"/>
          <w:w w:val="110"/>
        </w:rPr>
        <w:t>With the preceding code, the following properties names can all be used:</w:t>
      </w:r>
    </w:p>
    <w:p w14:paraId="4E610EDC" w14:textId="77777777" w:rsidR="00A720EB" w:rsidRDefault="00A720EB">
      <w:pPr>
        <w:sectPr w:rsidR="00A720EB">
          <w:pgSz w:w="11910" w:h="16840"/>
          <w:pgMar w:top="700" w:right="840" w:bottom="520" w:left="840" w:header="0" w:footer="323" w:gutter="0"/>
          <w:cols w:space="720"/>
        </w:sectPr>
      </w:pPr>
    </w:p>
    <w:p w14:paraId="7C83E895" w14:textId="77777777" w:rsidR="00A720EB" w:rsidRDefault="0030286B">
      <w:pPr>
        <w:spacing w:before="79"/>
        <w:ind w:left="124"/>
        <w:rPr>
          <w:rFonts w:ascii="Palatino Linotype"/>
          <w:i/>
          <w:sz w:val="20"/>
        </w:rPr>
      </w:pPr>
      <w:r>
        <w:rPr>
          <w:rFonts w:ascii="Palatino Linotype"/>
          <w:i/>
          <w:color w:val="333333"/>
          <w:w w:val="115"/>
          <w:sz w:val="20"/>
        </w:rPr>
        <w:lastRenderedPageBreak/>
        <w:t>Table 5. relaxed binding</w:t>
      </w:r>
    </w:p>
    <w:p w14:paraId="6B7E9416" w14:textId="77777777" w:rsidR="00A720EB" w:rsidRDefault="00A720EB">
      <w:pPr>
        <w:pStyle w:val="a3"/>
        <w:spacing w:before="7"/>
        <w:rPr>
          <w:rFonts w:ascii="Palatino Linotype"/>
          <w:i/>
          <w:sz w:val="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7981"/>
      </w:tblGrid>
      <w:tr w:rsidR="00A720EB" w14:paraId="335684CB" w14:textId="77777777">
        <w:trPr>
          <w:trHeight w:val="415"/>
        </w:trPr>
        <w:tc>
          <w:tcPr>
            <w:tcW w:w="1995" w:type="dxa"/>
            <w:tcBorders>
              <w:bottom w:val="single" w:sz="12" w:space="0" w:color="DDDDDD"/>
            </w:tcBorders>
          </w:tcPr>
          <w:p w14:paraId="720408D9" w14:textId="77777777" w:rsidR="00A720EB" w:rsidRDefault="0030286B">
            <w:pPr>
              <w:pStyle w:val="TableParagraph"/>
              <w:spacing w:before="74"/>
              <w:rPr>
                <w:rFonts w:ascii="Palatino Linotype"/>
                <w:b/>
                <w:sz w:val="21"/>
              </w:rPr>
            </w:pPr>
            <w:r>
              <w:rPr>
                <w:rFonts w:ascii="Palatino Linotype"/>
                <w:b/>
                <w:color w:val="333333"/>
                <w:w w:val="115"/>
                <w:sz w:val="21"/>
              </w:rPr>
              <w:t>Property</w:t>
            </w:r>
          </w:p>
        </w:tc>
        <w:tc>
          <w:tcPr>
            <w:tcW w:w="7981" w:type="dxa"/>
            <w:tcBorders>
              <w:bottom w:val="single" w:sz="12" w:space="0" w:color="DDDDDD"/>
            </w:tcBorders>
          </w:tcPr>
          <w:p w14:paraId="1FD46C96" w14:textId="77777777" w:rsidR="00A720EB" w:rsidRDefault="0030286B">
            <w:pPr>
              <w:pStyle w:val="TableParagraph"/>
              <w:spacing w:before="74"/>
              <w:rPr>
                <w:rFonts w:ascii="Palatino Linotype"/>
                <w:b/>
                <w:sz w:val="21"/>
              </w:rPr>
            </w:pPr>
            <w:r>
              <w:rPr>
                <w:rFonts w:ascii="Palatino Linotype"/>
                <w:b/>
                <w:color w:val="333333"/>
                <w:w w:val="105"/>
                <w:sz w:val="21"/>
              </w:rPr>
              <w:t>Note</w:t>
            </w:r>
          </w:p>
        </w:tc>
      </w:tr>
      <w:tr w:rsidR="00A720EB" w14:paraId="6DC73608" w14:textId="77777777">
        <w:trPr>
          <w:trHeight w:val="876"/>
        </w:trPr>
        <w:tc>
          <w:tcPr>
            <w:tcW w:w="1995" w:type="dxa"/>
            <w:tcBorders>
              <w:top w:val="single" w:sz="12" w:space="0" w:color="DDDDDD"/>
            </w:tcBorders>
          </w:tcPr>
          <w:p w14:paraId="19313278" w14:textId="77777777" w:rsidR="00A720EB" w:rsidRDefault="0030286B">
            <w:pPr>
              <w:pStyle w:val="TableParagraph"/>
              <w:spacing w:before="39" w:line="230" w:lineRule="auto"/>
              <w:ind w:right="34"/>
              <w:rPr>
                <w:sz w:val="21"/>
              </w:rPr>
            </w:pPr>
            <w:r>
              <w:rPr>
                <w:color w:val="B02045"/>
                <w:sz w:val="21"/>
              </w:rPr>
              <w:t>acme.my- project.person.fir st-name</w:t>
            </w:r>
          </w:p>
        </w:tc>
        <w:tc>
          <w:tcPr>
            <w:tcW w:w="7981" w:type="dxa"/>
            <w:tcBorders>
              <w:top w:val="single" w:sz="12" w:space="0" w:color="DDDDDD"/>
            </w:tcBorders>
          </w:tcPr>
          <w:p w14:paraId="0F69ED74" w14:textId="77777777" w:rsidR="00A720EB" w:rsidRDefault="0030286B">
            <w:pPr>
              <w:pStyle w:val="TableParagraph"/>
              <w:spacing w:before="74"/>
              <w:rPr>
                <w:rFonts w:ascii="Cambria"/>
                <w:sz w:val="21"/>
              </w:rPr>
            </w:pPr>
            <w:r>
              <w:rPr>
                <w:rFonts w:ascii="Cambria"/>
                <w:color w:val="333333"/>
                <w:w w:val="110"/>
                <w:sz w:val="21"/>
              </w:rPr>
              <w:t xml:space="preserve">Kebab case, which is recommended for use </w:t>
            </w:r>
            <w:proofErr w:type="gramStart"/>
            <w:r>
              <w:rPr>
                <w:rFonts w:ascii="Cambria"/>
                <w:color w:val="333333"/>
                <w:w w:val="110"/>
                <w:sz w:val="21"/>
              </w:rPr>
              <w:t xml:space="preserve">in </w:t>
            </w:r>
            <w:r>
              <w:rPr>
                <w:color w:val="B02045"/>
                <w:w w:val="110"/>
                <w:sz w:val="21"/>
              </w:rPr>
              <w:t>.properties</w:t>
            </w:r>
            <w:proofErr w:type="gramEnd"/>
            <w:r>
              <w:rPr>
                <w:color w:val="B02045"/>
                <w:spacing w:val="-65"/>
                <w:w w:val="110"/>
                <w:sz w:val="21"/>
              </w:rPr>
              <w:t xml:space="preserve"> </w:t>
            </w:r>
            <w:r>
              <w:rPr>
                <w:rFonts w:ascii="Cambria"/>
                <w:color w:val="333333"/>
                <w:w w:val="110"/>
                <w:sz w:val="21"/>
              </w:rPr>
              <w:t xml:space="preserve">and </w:t>
            </w:r>
            <w:r>
              <w:rPr>
                <w:color w:val="B02045"/>
                <w:w w:val="110"/>
                <w:sz w:val="21"/>
              </w:rPr>
              <w:t>.yml</w:t>
            </w:r>
            <w:r>
              <w:rPr>
                <w:color w:val="B02045"/>
                <w:spacing w:val="-65"/>
                <w:w w:val="110"/>
                <w:sz w:val="21"/>
              </w:rPr>
              <w:t xml:space="preserve"> </w:t>
            </w:r>
            <w:r>
              <w:rPr>
                <w:rFonts w:ascii="Cambria"/>
                <w:color w:val="333333"/>
                <w:w w:val="110"/>
                <w:sz w:val="21"/>
              </w:rPr>
              <w:t>files.</w:t>
            </w:r>
          </w:p>
        </w:tc>
      </w:tr>
      <w:tr w:rsidR="00A720EB" w14:paraId="323C78A2" w14:textId="77777777">
        <w:trPr>
          <w:trHeight w:val="627"/>
        </w:trPr>
        <w:tc>
          <w:tcPr>
            <w:tcW w:w="1995" w:type="dxa"/>
          </w:tcPr>
          <w:p w14:paraId="0E70C845" w14:textId="77777777" w:rsidR="00A720EB" w:rsidRDefault="0030286B">
            <w:pPr>
              <w:pStyle w:val="TableParagraph"/>
              <w:spacing w:before="49" w:line="230" w:lineRule="auto"/>
              <w:ind w:right="15"/>
              <w:rPr>
                <w:sz w:val="21"/>
              </w:rPr>
            </w:pPr>
            <w:r>
              <w:rPr>
                <w:color w:val="B02045"/>
                <w:sz w:val="21"/>
              </w:rPr>
              <w:t xml:space="preserve">acme.myProject.per </w:t>
            </w:r>
            <w:proofErr w:type="gramStart"/>
            <w:r>
              <w:rPr>
                <w:color w:val="B02045"/>
                <w:sz w:val="21"/>
              </w:rPr>
              <w:t>son.firstName</w:t>
            </w:r>
            <w:proofErr w:type="gramEnd"/>
          </w:p>
        </w:tc>
        <w:tc>
          <w:tcPr>
            <w:tcW w:w="7981" w:type="dxa"/>
          </w:tcPr>
          <w:p w14:paraId="17BFC02F" w14:textId="77777777" w:rsidR="00A720EB" w:rsidRDefault="0030286B">
            <w:pPr>
              <w:pStyle w:val="TableParagraph"/>
              <w:spacing w:before="94"/>
              <w:rPr>
                <w:rFonts w:ascii="Cambria"/>
                <w:sz w:val="21"/>
              </w:rPr>
            </w:pPr>
            <w:r>
              <w:rPr>
                <w:rFonts w:ascii="Cambria"/>
                <w:color w:val="333333"/>
                <w:w w:val="110"/>
                <w:sz w:val="21"/>
              </w:rPr>
              <w:t>Standard camel case syntax.</w:t>
            </w:r>
          </w:p>
        </w:tc>
      </w:tr>
      <w:tr w:rsidR="00A720EB" w14:paraId="3F1FE4A9" w14:textId="77777777">
        <w:trPr>
          <w:trHeight w:val="741"/>
        </w:trPr>
        <w:tc>
          <w:tcPr>
            <w:tcW w:w="1995" w:type="dxa"/>
          </w:tcPr>
          <w:p w14:paraId="54ECA31C" w14:textId="77777777" w:rsidR="00A720EB" w:rsidRDefault="0030286B">
            <w:pPr>
              <w:pStyle w:val="TableParagraph"/>
              <w:spacing w:before="49" w:line="230" w:lineRule="auto"/>
              <w:ind w:right="15"/>
              <w:rPr>
                <w:sz w:val="21"/>
              </w:rPr>
            </w:pPr>
            <w:r>
              <w:rPr>
                <w:color w:val="B02045"/>
                <w:sz w:val="21"/>
              </w:rPr>
              <w:t xml:space="preserve">acme.my_project.pe </w:t>
            </w:r>
            <w:proofErr w:type="gramStart"/>
            <w:r>
              <w:rPr>
                <w:color w:val="B02045"/>
                <w:sz w:val="21"/>
              </w:rPr>
              <w:t>rson.first</w:t>
            </w:r>
            <w:proofErr w:type="gramEnd"/>
            <w:r>
              <w:rPr>
                <w:color w:val="B02045"/>
                <w:sz w:val="21"/>
              </w:rPr>
              <w:t>_name</w:t>
            </w:r>
          </w:p>
        </w:tc>
        <w:tc>
          <w:tcPr>
            <w:tcW w:w="7981" w:type="dxa"/>
          </w:tcPr>
          <w:p w14:paraId="153A5539" w14:textId="77777777" w:rsidR="00A720EB" w:rsidRDefault="0030286B">
            <w:pPr>
              <w:pStyle w:val="TableParagraph"/>
              <w:spacing w:before="84"/>
              <w:rPr>
                <w:rFonts w:ascii="Cambria"/>
                <w:sz w:val="21"/>
              </w:rPr>
            </w:pPr>
            <w:r>
              <w:rPr>
                <w:rFonts w:ascii="Cambria"/>
                <w:color w:val="333333"/>
                <w:w w:val="110"/>
                <w:sz w:val="21"/>
              </w:rPr>
              <w:t xml:space="preserve">Underscore notation, which is an alternative format for use </w:t>
            </w:r>
            <w:proofErr w:type="gramStart"/>
            <w:r>
              <w:rPr>
                <w:rFonts w:ascii="Cambria"/>
                <w:color w:val="333333"/>
                <w:w w:val="110"/>
                <w:sz w:val="21"/>
              </w:rPr>
              <w:t xml:space="preserve">in </w:t>
            </w:r>
            <w:r>
              <w:rPr>
                <w:color w:val="B02045"/>
                <w:w w:val="110"/>
                <w:sz w:val="21"/>
              </w:rPr>
              <w:t>.properties</w:t>
            </w:r>
            <w:proofErr w:type="gramEnd"/>
            <w:r>
              <w:rPr>
                <w:color w:val="B02045"/>
                <w:w w:val="110"/>
                <w:sz w:val="21"/>
              </w:rPr>
              <w:t xml:space="preserve"> </w:t>
            </w:r>
            <w:r>
              <w:rPr>
                <w:rFonts w:ascii="Cambria"/>
                <w:color w:val="333333"/>
                <w:w w:val="110"/>
                <w:sz w:val="21"/>
              </w:rPr>
              <w:t>and</w:t>
            </w:r>
          </w:p>
          <w:p w14:paraId="79E41C55" w14:textId="77777777" w:rsidR="00A720EB" w:rsidRDefault="0030286B">
            <w:pPr>
              <w:pStyle w:val="TableParagraph"/>
              <w:spacing w:before="47"/>
              <w:rPr>
                <w:rFonts w:ascii="Cambria"/>
                <w:sz w:val="21"/>
              </w:rPr>
            </w:pPr>
            <w:r>
              <w:rPr>
                <w:color w:val="B02045"/>
                <w:w w:val="110"/>
                <w:sz w:val="21"/>
              </w:rPr>
              <w:t>.yml</w:t>
            </w:r>
            <w:r>
              <w:rPr>
                <w:color w:val="B02045"/>
                <w:spacing w:val="-62"/>
                <w:w w:val="110"/>
                <w:sz w:val="21"/>
              </w:rPr>
              <w:t xml:space="preserve"> </w:t>
            </w:r>
            <w:r>
              <w:rPr>
                <w:rFonts w:ascii="Cambria"/>
                <w:color w:val="333333"/>
                <w:w w:val="110"/>
                <w:sz w:val="21"/>
              </w:rPr>
              <w:t>files.</w:t>
            </w:r>
          </w:p>
        </w:tc>
      </w:tr>
      <w:tr w:rsidR="00A720EB" w14:paraId="559DB50C" w14:textId="77777777">
        <w:trPr>
          <w:trHeight w:val="741"/>
        </w:trPr>
        <w:tc>
          <w:tcPr>
            <w:tcW w:w="1995" w:type="dxa"/>
          </w:tcPr>
          <w:p w14:paraId="459403EE" w14:textId="77777777" w:rsidR="00A720EB" w:rsidRDefault="0030286B">
            <w:pPr>
              <w:pStyle w:val="TableParagraph"/>
              <w:spacing w:before="49" w:line="230" w:lineRule="auto"/>
              <w:ind w:right="15"/>
              <w:rPr>
                <w:sz w:val="21"/>
              </w:rPr>
            </w:pPr>
            <w:r>
              <w:rPr>
                <w:color w:val="B02045"/>
                <w:sz w:val="21"/>
              </w:rPr>
              <w:t>ACME_MYPROJECT_PER SON_FIRSTNAME</w:t>
            </w:r>
          </w:p>
        </w:tc>
        <w:tc>
          <w:tcPr>
            <w:tcW w:w="7981" w:type="dxa"/>
          </w:tcPr>
          <w:p w14:paraId="5A67A7D0" w14:textId="77777777" w:rsidR="00A720EB" w:rsidRDefault="0030286B">
            <w:pPr>
              <w:pStyle w:val="TableParagraph"/>
              <w:spacing w:before="31" w:line="310" w:lineRule="atLeast"/>
              <w:rPr>
                <w:rFonts w:ascii="Cambria"/>
                <w:sz w:val="21"/>
              </w:rPr>
            </w:pPr>
            <w:r>
              <w:rPr>
                <w:rFonts w:ascii="Cambria"/>
                <w:color w:val="333333"/>
                <w:w w:val="110"/>
                <w:sz w:val="21"/>
              </w:rPr>
              <w:t>Upper case format, which is recommended when using system environment variables.</w:t>
            </w:r>
          </w:p>
        </w:tc>
      </w:tr>
    </w:tbl>
    <w:p w14:paraId="1E376913" w14:textId="77777777" w:rsidR="00A720EB" w:rsidRDefault="00A720EB">
      <w:pPr>
        <w:pStyle w:val="a3"/>
        <w:spacing w:before="10"/>
        <w:rPr>
          <w:rFonts w:ascii="Palatino Linotype"/>
          <w:i/>
          <w:sz w:val="24"/>
        </w:rPr>
      </w:pPr>
    </w:p>
    <w:p w14:paraId="4EC6BDF7" w14:textId="77777777" w:rsidR="00A720EB" w:rsidRDefault="00E10349">
      <w:pPr>
        <w:pStyle w:val="a3"/>
        <w:spacing w:line="276" w:lineRule="auto"/>
        <w:ind w:left="1564" w:right="462"/>
      </w:pPr>
      <w:r>
        <w:pict w14:anchorId="735AC2BF">
          <v:line id="_x0000_s4527" style="position:absolute;left:0;text-align:left;z-index:15864832;mso-position-horizontal-relative:page" from="108.25pt,-4.95pt" to="108.25pt,34.6pt" strokecolor="#ededed" strokeweight=".5pt">
            <w10:wrap anchorx="page"/>
          </v:line>
        </w:pict>
      </w:r>
      <w:r w:rsidR="0030286B">
        <w:rPr>
          <w:noProof/>
        </w:rPr>
        <w:drawing>
          <wp:anchor distT="0" distB="0" distL="0" distR="0" simplePos="0" relativeHeight="15865344" behindDoc="0" locked="0" layoutInCell="1" allowOverlap="1" wp14:anchorId="7BEE05CE" wp14:editId="7561A9BE">
            <wp:simplePos x="0" y="0"/>
            <wp:positionH relativeFrom="page">
              <wp:posOffset>844422</wp:posOffset>
            </wp:positionH>
            <wp:positionV relativeFrom="paragraph">
              <wp:posOffset>39229</wp:posOffset>
            </wp:positionV>
            <wp:extent cx="298450" cy="298450"/>
            <wp:effectExtent l="0" t="0" r="0" b="0"/>
            <wp:wrapNone/>
            <wp:docPr id="1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prefix </w:t>
      </w:r>
      <w:r w:rsidR="0030286B">
        <w:rPr>
          <w:color w:val="333333"/>
          <w:w w:val="110"/>
        </w:rPr>
        <w:t xml:space="preserve">value for the annotation </w:t>
      </w:r>
      <w:r w:rsidR="0030286B">
        <w:rPr>
          <w:rFonts w:ascii="Palatino Linotype"/>
          <w:i/>
          <w:color w:val="333333"/>
          <w:w w:val="110"/>
        </w:rPr>
        <w:t xml:space="preserve">must </w:t>
      </w:r>
      <w:r w:rsidR="0030286B">
        <w:rPr>
          <w:color w:val="333333"/>
          <w:w w:val="110"/>
        </w:rPr>
        <w:t xml:space="preserve">be in kebab case (lowercase and separated by </w:t>
      </w:r>
      <w:r w:rsidR="0030286B">
        <w:rPr>
          <w:rFonts w:ascii="MS Gothic"/>
          <w:color w:val="B02045"/>
          <w:w w:val="110"/>
        </w:rPr>
        <w:t>-</w:t>
      </w:r>
      <w:r w:rsidR="0030286B">
        <w:rPr>
          <w:color w:val="333333"/>
          <w:w w:val="110"/>
        </w:rPr>
        <w:t xml:space="preserve">, such as </w:t>
      </w:r>
      <w:r w:rsidR="0030286B">
        <w:rPr>
          <w:rFonts w:ascii="MS Gothic"/>
          <w:color w:val="B02045"/>
          <w:w w:val="110"/>
        </w:rPr>
        <w:t>acme.my-</w:t>
      </w:r>
      <w:proofErr w:type="gramStart"/>
      <w:r w:rsidR="0030286B">
        <w:rPr>
          <w:rFonts w:ascii="MS Gothic"/>
          <w:color w:val="B02045"/>
          <w:w w:val="110"/>
        </w:rPr>
        <w:t>project.person</w:t>
      </w:r>
      <w:proofErr w:type="gramEnd"/>
      <w:r w:rsidR="0030286B">
        <w:rPr>
          <w:color w:val="333333"/>
          <w:w w:val="110"/>
        </w:rPr>
        <w:t>).</w:t>
      </w:r>
    </w:p>
    <w:p w14:paraId="3972922F" w14:textId="77777777" w:rsidR="00A720EB" w:rsidRDefault="00A720EB">
      <w:pPr>
        <w:pStyle w:val="a3"/>
        <w:spacing w:before="9"/>
        <w:rPr>
          <w:sz w:val="26"/>
        </w:rPr>
      </w:pPr>
    </w:p>
    <w:p w14:paraId="7B5EECA9" w14:textId="77777777" w:rsidR="00A720EB" w:rsidRDefault="0030286B">
      <w:pPr>
        <w:spacing w:before="1"/>
        <w:ind w:left="124"/>
        <w:rPr>
          <w:rFonts w:ascii="Palatino Linotype"/>
          <w:i/>
          <w:sz w:val="20"/>
        </w:rPr>
      </w:pPr>
      <w:r>
        <w:rPr>
          <w:rFonts w:ascii="Palatino Linotype"/>
          <w:i/>
          <w:color w:val="333333"/>
          <w:w w:val="115"/>
          <w:sz w:val="20"/>
        </w:rPr>
        <w:t>Table 6. relaxed binding rules per property source</w:t>
      </w:r>
    </w:p>
    <w:p w14:paraId="03AA1C90" w14:textId="77777777" w:rsidR="00A720EB" w:rsidRDefault="00A720EB">
      <w:pPr>
        <w:pStyle w:val="a3"/>
        <w:spacing w:before="6"/>
        <w:rPr>
          <w:rFonts w:ascii="Palatino Linotype"/>
          <w:i/>
          <w:sz w:val="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3990"/>
        <w:gridCol w:w="3990"/>
      </w:tblGrid>
      <w:tr w:rsidR="00A720EB" w14:paraId="1CC32472" w14:textId="77777777">
        <w:trPr>
          <w:trHeight w:val="415"/>
        </w:trPr>
        <w:tc>
          <w:tcPr>
            <w:tcW w:w="1995" w:type="dxa"/>
            <w:tcBorders>
              <w:bottom w:val="single" w:sz="12" w:space="0" w:color="DDDDDD"/>
            </w:tcBorders>
          </w:tcPr>
          <w:p w14:paraId="30167BE2" w14:textId="77777777" w:rsidR="00A720EB" w:rsidRDefault="0030286B">
            <w:pPr>
              <w:pStyle w:val="TableParagraph"/>
              <w:spacing w:before="74"/>
              <w:rPr>
                <w:rFonts w:ascii="Palatino Linotype"/>
                <w:b/>
                <w:sz w:val="21"/>
              </w:rPr>
            </w:pPr>
            <w:r>
              <w:rPr>
                <w:rFonts w:ascii="Palatino Linotype"/>
                <w:b/>
                <w:color w:val="333333"/>
                <w:w w:val="115"/>
                <w:sz w:val="21"/>
              </w:rPr>
              <w:t>Property Source</w:t>
            </w:r>
          </w:p>
        </w:tc>
        <w:tc>
          <w:tcPr>
            <w:tcW w:w="3990" w:type="dxa"/>
            <w:tcBorders>
              <w:bottom w:val="single" w:sz="12" w:space="0" w:color="DDDDDD"/>
            </w:tcBorders>
          </w:tcPr>
          <w:p w14:paraId="699B5016" w14:textId="77777777" w:rsidR="00A720EB" w:rsidRDefault="0030286B">
            <w:pPr>
              <w:pStyle w:val="TableParagraph"/>
              <w:spacing w:before="74"/>
              <w:rPr>
                <w:rFonts w:ascii="Palatino Linotype"/>
                <w:b/>
                <w:sz w:val="21"/>
              </w:rPr>
            </w:pPr>
            <w:r>
              <w:rPr>
                <w:rFonts w:ascii="Palatino Linotype"/>
                <w:b/>
                <w:color w:val="333333"/>
                <w:w w:val="105"/>
                <w:sz w:val="21"/>
              </w:rPr>
              <w:t>Simple</w:t>
            </w:r>
          </w:p>
        </w:tc>
        <w:tc>
          <w:tcPr>
            <w:tcW w:w="3990" w:type="dxa"/>
            <w:tcBorders>
              <w:bottom w:val="single" w:sz="12" w:space="0" w:color="DDDDDD"/>
            </w:tcBorders>
          </w:tcPr>
          <w:p w14:paraId="065C44AC" w14:textId="77777777" w:rsidR="00A720EB" w:rsidRDefault="0030286B">
            <w:pPr>
              <w:pStyle w:val="TableParagraph"/>
              <w:spacing w:before="74"/>
              <w:rPr>
                <w:rFonts w:ascii="Palatino Linotype"/>
                <w:b/>
                <w:sz w:val="21"/>
              </w:rPr>
            </w:pPr>
            <w:r>
              <w:rPr>
                <w:rFonts w:ascii="Palatino Linotype"/>
                <w:b/>
                <w:color w:val="333333"/>
                <w:w w:val="110"/>
                <w:sz w:val="21"/>
              </w:rPr>
              <w:t>List</w:t>
            </w:r>
          </w:p>
        </w:tc>
      </w:tr>
      <w:tr w:rsidR="00A720EB" w14:paraId="231FF6AC" w14:textId="77777777">
        <w:trPr>
          <w:trHeight w:val="731"/>
        </w:trPr>
        <w:tc>
          <w:tcPr>
            <w:tcW w:w="1995" w:type="dxa"/>
            <w:tcBorders>
              <w:top w:val="single" w:sz="12" w:space="0" w:color="DDDDDD"/>
            </w:tcBorders>
          </w:tcPr>
          <w:p w14:paraId="0559F878" w14:textId="77777777" w:rsidR="00A720EB" w:rsidRDefault="0030286B">
            <w:pPr>
              <w:pStyle w:val="TableParagraph"/>
              <w:spacing w:before="84"/>
              <w:rPr>
                <w:rFonts w:ascii="Cambria"/>
                <w:sz w:val="21"/>
              </w:rPr>
            </w:pPr>
            <w:r>
              <w:rPr>
                <w:rFonts w:ascii="Cambria"/>
                <w:color w:val="333333"/>
                <w:w w:val="110"/>
                <w:sz w:val="21"/>
              </w:rPr>
              <w:t>Properties Files</w:t>
            </w:r>
          </w:p>
        </w:tc>
        <w:tc>
          <w:tcPr>
            <w:tcW w:w="3990" w:type="dxa"/>
            <w:tcBorders>
              <w:top w:val="single" w:sz="12" w:space="0" w:color="DDDDDD"/>
            </w:tcBorders>
          </w:tcPr>
          <w:p w14:paraId="679DB8E8" w14:textId="77777777" w:rsidR="00A720EB" w:rsidRDefault="0030286B">
            <w:pPr>
              <w:pStyle w:val="TableParagraph"/>
              <w:spacing w:before="21" w:line="310" w:lineRule="atLeast"/>
              <w:rPr>
                <w:rFonts w:ascii="Cambria"/>
                <w:sz w:val="21"/>
              </w:rPr>
            </w:pPr>
            <w:r>
              <w:rPr>
                <w:rFonts w:ascii="Cambria"/>
                <w:color w:val="333333"/>
                <w:w w:val="110"/>
                <w:sz w:val="21"/>
              </w:rPr>
              <w:t>Camel case, kebab case, or underscore notation</w:t>
            </w:r>
          </w:p>
        </w:tc>
        <w:tc>
          <w:tcPr>
            <w:tcW w:w="3990" w:type="dxa"/>
            <w:tcBorders>
              <w:top w:val="single" w:sz="12" w:space="0" w:color="DDDDDD"/>
            </w:tcBorders>
          </w:tcPr>
          <w:p w14:paraId="28CB87A8" w14:textId="77777777" w:rsidR="00A720EB" w:rsidRDefault="0030286B">
            <w:pPr>
              <w:pStyle w:val="TableParagraph"/>
              <w:spacing w:before="74" w:line="290" w:lineRule="auto"/>
              <w:ind w:right="688"/>
              <w:rPr>
                <w:rFonts w:ascii="Cambria"/>
                <w:sz w:val="21"/>
              </w:rPr>
            </w:pPr>
            <w:r>
              <w:rPr>
                <w:rFonts w:ascii="Cambria"/>
                <w:color w:val="333333"/>
                <w:w w:val="110"/>
                <w:sz w:val="21"/>
              </w:rPr>
              <w:t xml:space="preserve">Standard list syntax using </w:t>
            </w:r>
            <w:proofErr w:type="gramStart"/>
            <w:r>
              <w:rPr>
                <w:color w:val="B02045"/>
                <w:w w:val="110"/>
                <w:sz w:val="21"/>
              </w:rPr>
              <w:t>[ ]</w:t>
            </w:r>
            <w:proofErr w:type="gramEnd"/>
            <w:r>
              <w:rPr>
                <w:color w:val="B02045"/>
                <w:spacing w:val="-58"/>
                <w:w w:val="110"/>
                <w:sz w:val="21"/>
              </w:rPr>
              <w:t xml:space="preserve"> </w:t>
            </w:r>
            <w:r>
              <w:rPr>
                <w:rFonts w:ascii="Cambria"/>
                <w:color w:val="333333"/>
                <w:w w:val="110"/>
                <w:sz w:val="21"/>
              </w:rPr>
              <w:t>or comma-separated values</w:t>
            </w:r>
          </w:p>
        </w:tc>
      </w:tr>
      <w:tr w:rsidR="00A720EB" w14:paraId="62023BCF" w14:textId="77777777">
        <w:trPr>
          <w:trHeight w:val="741"/>
        </w:trPr>
        <w:tc>
          <w:tcPr>
            <w:tcW w:w="1995" w:type="dxa"/>
          </w:tcPr>
          <w:p w14:paraId="1C46F8A2" w14:textId="77777777" w:rsidR="00A720EB" w:rsidRDefault="0030286B">
            <w:pPr>
              <w:pStyle w:val="TableParagraph"/>
              <w:spacing w:before="94"/>
              <w:rPr>
                <w:rFonts w:ascii="Cambria"/>
                <w:sz w:val="21"/>
              </w:rPr>
            </w:pPr>
            <w:r>
              <w:rPr>
                <w:rFonts w:ascii="Cambria"/>
                <w:color w:val="333333"/>
                <w:w w:val="110"/>
                <w:sz w:val="21"/>
              </w:rPr>
              <w:t>YAML Files</w:t>
            </w:r>
          </w:p>
        </w:tc>
        <w:tc>
          <w:tcPr>
            <w:tcW w:w="3990" w:type="dxa"/>
          </w:tcPr>
          <w:p w14:paraId="69BD11A7" w14:textId="77777777" w:rsidR="00A720EB" w:rsidRDefault="0030286B">
            <w:pPr>
              <w:pStyle w:val="TableParagraph"/>
              <w:spacing w:before="31" w:line="310" w:lineRule="atLeast"/>
              <w:rPr>
                <w:rFonts w:ascii="Cambria"/>
                <w:sz w:val="21"/>
              </w:rPr>
            </w:pPr>
            <w:r>
              <w:rPr>
                <w:rFonts w:ascii="Cambria"/>
                <w:color w:val="333333"/>
                <w:w w:val="110"/>
                <w:sz w:val="21"/>
              </w:rPr>
              <w:t>Camel case, kebab case, or underscore notation</w:t>
            </w:r>
          </w:p>
        </w:tc>
        <w:tc>
          <w:tcPr>
            <w:tcW w:w="3990" w:type="dxa"/>
          </w:tcPr>
          <w:p w14:paraId="155B135B" w14:textId="77777777" w:rsidR="00A720EB" w:rsidRDefault="0030286B">
            <w:pPr>
              <w:pStyle w:val="TableParagraph"/>
              <w:spacing w:before="31" w:line="310" w:lineRule="atLeast"/>
              <w:rPr>
                <w:rFonts w:ascii="Cambria"/>
                <w:sz w:val="21"/>
              </w:rPr>
            </w:pPr>
            <w:r>
              <w:rPr>
                <w:rFonts w:ascii="Cambria"/>
                <w:color w:val="333333"/>
                <w:w w:val="110"/>
                <w:sz w:val="21"/>
              </w:rPr>
              <w:t>Standard YAML list syntax or comma- separated values</w:t>
            </w:r>
          </w:p>
        </w:tc>
      </w:tr>
      <w:tr w:rsidR="00A720EB" w14:paraId="4017510F" w14:textId="77777777">
        <w:trPr>
          <w:trHeight w:val="1056"/>
        </w:trPr>
        <w:tc>
          <w:tcPr>
            <w:tcW w:w="1995" w:type="dxa"/>
          </w:tcPr>
          <w:p w14:paraId="0ABD656B" w14:textId="77777777" w:rsidR="00A720EB" w:rsidRDefault="0030286B">
            <w:pPr>
              <w:pStyle w:val="TableParagraph"/>
              <w:spacing w:before="94" w:line="307" w:lineRule="auto"/>
              <w:rPr>
                <w:rFonts w:ascii="Cambria"/>
                <w:sz w:val="21"/>
              </w:rPr>
            </w:pPr>
            <w:r>
              <w:rPr>
                <w:rFonts w:ascii="Cambria"/>
                <w:color w:val="333333"/>
                <w:w w:val="110"/>
                <w:sz w:val="21"/>
              </w:rPr>
              <w:t>Environment Variables</w:t>
            </w:r>
          </w:p>
        </w:tc>
        <w:tc>
          <w:tcPr>
            <w:tcW w:w="3990" w:type="dxa"/>
          </w:tcPr>
          <w:p w14:paraId="1EE87EF5" w14:textId="77777777" w:rsidR="00A720EB" w:rsidRDefault="0030286B">
            <w:pPr>
              <w:pStyle w:val="TableParagraph"/>
              <w:spacing w:before="31" w:line="310" w:lineRule="atLeast"/>
              <w:rPr>
                <w:rFonts w:ascii="Cambria"/>
                <w:sz w:val="21"/>
              </w:rPr>
            </w:pPr>
            <w:r>
              <w:rPr>
                <w:rFonts w:ascii="Cambria"/>
                <w:color w:val="333333"/>
                <w:w w:val="110"/>
                <w:sz w:val="21"/>
              </w:rPr>
              <w:t xml:space="preserve">Upper case format with underscore as the delimiter (see </w:t>
            </w:r>
            <w:hyperlink w:anchor="_bookmark121" w:history="1">
              <w:r>
                <w:rPr>
                  <w:rFonts w:ascii="Cambria"/>
                  <w:color w:val="418BCA"/>
                  <w:w w:val="110"/>
                  <w:sz w:val="21"/>
                </w:rPr>
                <w:t>Binding from</w:t>
              </w:r>
            </w:hyperlink>
            <w:r>
              <w:rPr>
                <w:rFonts w:ascii="Cambria"/>
                <w:color w:val="418BCA"/>
                <w:w w:val="110"/>
                <w:sz w:val="21"/>
              </w:rPr>
              <w:t xml:space="preserve"> </w:t>
            </w:r>
            <w:hyperlink w:anchor="_bookmark121" w:history="1">
              <w:r>
                <w:rPr>
                  <w:rFonts w:ascii="Cambria"/>
                  <w:color w:val="418BCA"/>
                  <w:w w:val="110"/>
                  <w:sz w:val="21"/>
                </w:rPr>
                <w:t>Environment Variables</w:t>
              </w:r>
            </w:hyperlink>
            <w:r>
              <w:rPr>
                <w:rFonts w:ascii="Cambria"/>
                <w:color w:val="333333"/>
                <w:w w:val="110"/>
                <w:sz w:val="21"/>
              </w:rPr>
              <w:t>).</w:t>
            </w:r>
          </w:p>
        </w:tc>
        <w:tc>
          <w:tcPr>
            <w:tcW w:w="3990" w:type="dxa"/>
          </w:tcPr>
          <w:p w14:paraId="585B429C" w14:textId="77777777" w:rsidR="00A720EB" w:rsidRDefault="0030286B">
            <w:pPr>
              <w:pStyle w:val="TableParagraph"/>
              <w:spacing w:before="31" w:line="310" w:lineRule="atLeast"/>
              <w:ind w:right="807"/>
              <w:jc w:val="both"/>
              <w:rPr>
                <w:rFonts w:ascii="Cambria"/>
                <w:sz w:val="21"/>
              </w:rPr>
            </w:pPr>
            <w:r>
              <w:rPr>
                <w:rFonts w:ascii="Cambria"/>
                <w:color w:val="333333"/>
                <w:w w:val="110"/>
                <w:sz w:val="21"/>
              </w:rPr>
              <w:t xml:space="preserve">Numeric values surrounded by underscores (see </w:t>
            </w:r>
            <w:hyperlink w:anchor="_bookmark121" w:history="1">
              <w:r>
                <w:rPr>
                  <w:rFonts w:ascii="Cambria"/>
                  <w:color w:val="418BCA"/>
                  <w:w w:val="110"/>
                  <w:sz w:val="21"/>
                </w:rPr>
                <w:t>Binding from</w:t>
              </w:r>
            </w:hyperlink>
            <w:r>
              <w:rPr>
                <w:rFonts w:ascii="Cambria"/>
                <w:color w:val="418BCA"/>
                <w:w w:val="110"/>
                <w:sz w:val="21"/>
              </w:rPr>
              <w:t xml:space="preserve"> </w:t>
            </w:r>
            <w:hyperlink w:anchor="_bookmark121" w:history="1">
              <w:r>
                <w:rPr>
                  <w:rFonts w:ascii="Cambria"/>
                  <w:color w:val="418BCA"/>
                  <w:w w:val="110"/>
                  <w:sz w:val="21"/>
                </w:rPr>
                <w:t>Environment Variables</w:t>
              </w:r>
            </w:hyperlink>
            <w:r>
              <w:rPr>
                <w:rFonts w:ascii="Cambria"/>
                <w:color w:val="333333"/>
                <w:w w:val="110"/>
                <w:sz w:val="21"/>
              </w:rPr>
              <w:t>)`</w:t>
            </w:r>
          </w:p>
        </w:tc>
      </w:tr>
      <w:tr w:rsidR="00A720EB" w14:paraId="40A76A3C" w14:textId="77777777">
        <w:trPr>
          <w:trHeight w:val="741"/>
        </w:trPr>
        <w:tc>
          <w:tcPr>
            <w:tcW w:w="1995" w:type="dxa"/>
          </w:tcPr>
          <w:p w14:paraId="598D85FD" w14:textId="77777777" w:rsidR="00A720EB" w:rsidRDefault="0030286B">
            <w:pPr>
              <w:pStyle w:val="TableParagraph"/>
              <w:spacing w:before="94"/>
              <w:rPr>
                <w:rFonts w:ascii="Cambria"/>
                <w:sz w:val="21"/>
              </w:rPr>
            </w:pPr>
            <w:r>
              <w:rPr>
                <w:rFonts w:ascii="Cambria"/>
                <w:color w:val="333333"/>
                <w:w w:val="110"/>
                <w:sz w:val="21"/>
              </w:rPr>
              <w:t>System properties</w:t>
            </w:r>
          </w:p>
        </w:tc>
        <w:tc>
          <w:tcPr>
            <w:tcW w:w="3990" w:type="dxa"/>
          </w:tcPr>
          <w:p w14:paraId="255A1713" w14:textId="77777777" w:rsidR="00A720EB" w:rsidRDefault="0030286B">
            <w:pPr>
              <w:pStyle w:val="TableParagraph"/>
              <w:spacing w:before="31" w:line="310" w:lineRule="atLeast"/>
              <w:rPr>
                <w:rFonts w:ascii="Cambria"/>
                <w:sz w:val="21"/>
              </w:rPr>
            </w:pPr>
            <w:r>
              <w:rPr>
                <w:rFonts w:ascii="Cambria"/>
                <w:color w:val="333333"/>
                <w:w w:val="110"/>
                <w:sz w:val="21"/>
              </w:rPr>
              <w:t>Camel case, kebab case, or underscore notation</w:t>
            </w:r>
          </w:p>
        </w:tc>
        <w:tc>
          <w:tcPr>
            <w:tcW w:w="3990" w:type="dxa"/>
          </w:tcPr>
          <w:p w14:paraId="0C33F76B" w14:textId="77777777" w:rsidR="00A720EB" w:rsidRDefault="0030286B">
            <w:pPr>
              <w:pStyle w:val="TableParagraph"/>
              <w:spacing w:before="84" w:line="290" w:lineRule="auto"/>
              <w:ind w:right="688"/>
              <w:rPr>
                <w:rFonts w:ascii="Cambria"/>
                <w:sz w:val="21"/>
              </w:rPr>
            </w:pPr>
            <w:r>
              <w:rPr>
                <w:rFonts w:ascii="Cambria"/>
                <w:color w:val="333333"/>
                <w:w w:val="110"/>
                <w:sz w:val="21"/>
              </w:rPr>
              <w:t xml:space="preserve">Standard list syntax using </w:t>
            </w:r>
            <w:proofErr w:type="gramStart"/>
            <w:r>
              <w:rPr>
                <w:color w:val="B02045"/>
                <w:w w:val="110"/>
                <w:sz w:val="21"/>
              </w:rPr>
              <w:t>[ ]</w:t>
            </w:r>
            <w:proofErr w:type="gramEnd"/>
            <w:r>
              <w:rPr>
                <w:color w:val="B02045"/>
                <w:spacing w:val="-58"/>
                <w:w w:val="110"/>
                <w:sz w:val="21"/>
              </w:rPr>
              <w:t xml:space="preserve"> </w:t>
            </w:r>
            <w:r>
              <w:rPr>
                <w:rFonts w:ascii="Cambria"/>
                <w:color w:val="333333"/>
                <w:w w:val="110"/>
                <w:sz w:val="21"/>
              </w:rPr>
              <w:t>or comma-separated values</w:t>
            </w:r>
          </w:p>
        </w:tc>
      </w:tr>
    </w:tbl>
    <w:p w14:paraId="71A359A2" w14:textId="77777777" w:rsidR="00A720EB" w:rsidRDefault="00A720EB">
      <w:pPr>
        <w:pStyle w:val="a3"/>
        <w:spacing w:before="4"/>
        <w:rPr>
          <w:rFonts w:ascii="Palatino Linotype"/>
          <w:i/>
          <w:sz w:val="26"/>
        </w:rPr>
      </w:pPr>
    </w:p>
    <w:p w14:paraId="22B293E4" w14:textId="77777777" w:rsidR="00A720EB" w:rsidRDefault="00E10349">
      <w:pPr>
        <w:pStyle w:val="a3"/>
        <w:spacing w:line="297" w:lineRule="auto"/>
        <w:ind w:left="1564" w:right="359"/>
      </w:pPr>
      <w:r>
        <w:pict w14:anchorId="3EB9CC3E">
          <v:line id="_x0000_s4526" style="position:absolute;left:0;text-align:left;z-index:15865856;mso-position-horizontal-relative:page" from="108.25pt,-6pt" to="108.25pt,33.55pt" strokecolor="#ededed" strokeweight=".5pt">
            <w10:wrap anchorx="page"/>
          </v:line>
        </w:pict>
      </w:r>
      <w:r w:rsidR="0030286B">
        <w:rPr>
          <w:noProof/>
        </w:rPr>
        <w:drawing>
          <wp:anchor distT="0" distB="0" distL="0" distR="0" simplePos="0" relativeHeight="15866368" behindDoc="0" locked="0" layoutInCell="1" allowOverlap="1" wp14:anchorId="78DD47DA" wp14:editId="5C1A7486">
            <wp:simplePos x="0" y="0"/>
            <wp:positionH relativeFrom="page">
              <wp:posOffset>888949</wp:posOffset>
            </wp:positionH>
            <wp:positionV relativeFrom="paragraph">
              <wp:posOffset>22771</wp:posOffset>
            </wp:positionV>
            <wp:extent cx="209550" cy="304800"/>
            <wp:effectExtent l="0" t="0" r="0" b="0"/>
            <wp:wrapNone/>
            <wp:docPr id="17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We recommend that, when possible, properties are stored in lower-case kebab format, such as </w:t>
      </w:r>
      <w:proofErr w:type="gramStart"/>
      <w:r w:rsidR="0030286B">
        <w:rPr>
          <w:rFonts w:ascii="MS Gothic"/>
          <w:color w:val="B02045"/>
          <w:w w:val="110"/>
        </w:rPr>
        <w:t>my.property</w:t>
      </w:r>
      <w:proofErr w:type="gramEnd"/>
      <w:r w:rsidR="0030286B">
        <w:rPr>
          <w:rFonts w:ascii="MS Gothic"/>
          <w:color w:val="B02045"/>
          <w:w w:val="110"/>
        </w:rPr>
        <w:t>-name=acme</w:t>
      </w:r>
      <w:r w:rsidR="0030286B">
        <w:rPr>
          <w:color w:val="333333"/>
          <w:w w:val="110"/>
        </w:rPr>
        <w:t>.</w:t>
      </w:r>
    </w:p>
    <w:p w14:paraId="37E04501" w14:textId="77777777" w:rsidR="00A720EB" w:rsidRDefault="00A720EB">
      <w:pPr>
        <w:pStyle w:val="a3"/>
        <w:spacing w:before="9"/>
        <w:rPr>
          <w:sz w:val="31"/>
        </w:rPr>
      </w:pPr>
    </w:p>
    <w:p w14:paraId="31C41387" w14:textId="77777777" w:rsidR="00A720EB" w:rsidRDefault="0030286B">
      <w:pPr>
        <w:ind w:left="124"/>
        <w:rPr>
          <w:rFonts w:ascii="Palatino Linotype"/>
          <w:b/>
          <w:sz w:val="18"/>
        </w:rPr>
      </w:pPr>
      <w:r>
        <w:rPr>
          <w:rFonts w:ascii="Palatino Linotype"/>
          <w:b/>
          <w:color w:val="333333"/>
          <w:w w:val="105"/>
          <w:sz w:val="18"/>
        </w:rPr>
        <w:t>Binding Maps</w:t>
      </w:r>
    </w:p>
    <w:p w14:paraId="4A2DE58E" w14:textId="77777777" w:rsidR="00A720EB" w:rsidRDefault="00A720EB">
      <w:pPr>
        <w:pStyle w:val="a3"/>
        <w:spacing w:before="1"/>
        <w:rPr>
          <w:rFonts w:ascii="Palatino Linotype"/>
          <w:b/>
          <w:sz w:val="18"/>
        </w:rPr>
      </w:pPr>
    </w:p>
    <w:p w14:paraId="5DCC4550" w14:textId="77777777" w:rsidR="00A720EB" w:rsidRDefault="0030286B">
      <w:pPr>
        <w:pStyle w:val="a3"/>
        <w:spacing w:line="280" w:lineRule="auto"/>
        <w:ind w:left="124" w:right="123"/>
        <w:jc w:val="both"/>
      </w:pPr>
      <w:r>
        <w:rPr>
          <w:color w:val="333333"/>
          <w:w w:val="110"/>
        </w:rPr>
        <w:t xml:space="preserve">When binding to </w:t>
      </w:r>
      <w:r>
        <w:rPr>
          <w:rFonts w:ascii="MS Gothic"/>
          <w:color w:val="B02045"/>
          <w:w w:val="110"/>
        </w:rPr>
        <w:t xml:space="preserve">Map </w:t>
      </w:r>
      <w:r>
        <w:rPr>
          <w:color w:val="333333"/>
          <w:w w:val="110"/>
        </w:rPr>
        <w:t xml:space="preserve">properties, if the </w:t>
      </w:r>
      <w:r>
        <w:rPr>
          <w:rFonts w:ascii="MS Gothic"/>
          <w:color w:val="B02045"/>
          <w:w w:val="110"/>
        </w:rPr>
        <w:t xml:space="preserve">key </w:t>
      </w:r>
      <w:r>
        <w:rPr>
          <w:color w:val="333333"/>
          <w:w w:val="110"/>
        </w:rPr>
        <w:t xml:space="preserve">contains anything other than lowercase alpha-numeric characters or </w:t>
      </w:r>
      <w:r>
        <w:rPr>
          <w:rFonts w:ascii="MS Gothic"/>
          <w:color w:val="B02045"/>
          <w:w w:val="110"/>
        </w:rPr>
        <w:t>-</w:t>
      </w:r>
      <w:r>
        <w:rPr>
          <w:color w:val="333333"/>
          <w:w w:val="110"/>
        </w:rPr>
        <w:t xml:space="preserve">, you need to use the bracket notation so that </w:t>
      </w:r>
      <w:proofErr w:type="gramStart"/>
      <w:r>
        <w:rPr>
          <w:color w:val="333333"/>
          <w:w w:val="110"/>
        </w:rPr>
        <w:t>the  original</w:t>
      </w:r>
      <w:proofErr w:type="gramEnd"/>
      <w:r>
        <w:rPr>
          <w:color w:val="333333"/>
          <w:w w:val="110"/>
        </w:rPr>
        <w:t xml:space="preserve"> value is preserved. If the key is not surrounded </w:t>
      </w:r>
      <w:r>
        <w:rPr>
          <w:color w:val="333333"/>
          <w:spacing w:val="-3"/>
          <w:w w:val="110"/>
        </w:rPr>
        <w:t xml:space="preserve">by </w:t>
      </w:r>
      <w:r>
        <w:rPr>
          <w:rFonts w:ascii="MS Gothic"/>
          <w:color w:val="B02045"/>
          <w:w w:val="110"/>
        </w:rPr>
        <w:t>[]</w:t>
      </w:r>
      <w:r>
        <w:rPr>
          <w:color w:val="333333"/>
          <w:w w:val="110"/>
        </w:rPr>
        <w:t xml:space="preserve">, any characters that are not alpha-numeric or </w:t>
      </w:r>
      <w:r>
        <w:rPr>
          <w:rFonts w:ascii="MS Gothic"/>
          <w:color w:val="B02045"/>
          <w:w w:val="110"/>
        </w:rPr>
        <w:t xml:space="preserve">- </w:t>
      </w:r>
      <w:r>
        <w:rPr>
          <w:color w:val="333333"/>
          <w:w w:val="110"/>
        </w:rPr>
        <w:t xml:space="preserve">are removed. </w:t>
      </w:r>
      <w:r>
        <w:rPr>
          <w:color w:val="333333"/>
          <w:spacing w:val="-4"/>
          <w:w w:val="110"/>
        </w:rPr>
        <w:t xml:space="preserve">For </w:t>
      </w:r>
      <w:r>
        <w:rPr>
          <w:color w:val="333333"/>
          <w:w w:val="110"/>
        </w:rPr>
        <w:t>example, consider binding the following properties to a</w:t>
      </w:r>
      <w:r>
        <w:rPr>
          <w:color w:val="333333"/>
          <w:spacing w:val="28"/>
          <w:w w:val="110"/>
        </w:rPr>
        <w:t xml:space="preserve"> </w:t>
      </w:r>
      <w:r>
        <w:rPr>
          <w:rFonts w:ascii="MS Gothic"/>
          <w:color w:val="B02045"/>
          <w:w w:val="110"/>
        </w:rPr>
        <w:t>Map</w:t>
      </w:r>
      <w:r>
        <w:rPr>
          <w:color w:val="333333"/>
          <w:w w:val="110"/>
        </w:rPr>
        <w:t>:</w:t>
      </w:r>
    </w:p>
    <w:p w14:paraId="008BE7E8" w14:textId="77777777" w:rsidR="00A720EB" w:rsidRDefault="00E10349">
      <w:pPr>
        <w:pStyle w:val="a3"/>
        <w:spacing w:before="2"/>
        <w:rPr>
          <w:sz w:val="14"/>
        </w:rPr>
      </w:pPr>
      <w:r>
        <w:pict w14:anchorId="7DF51C1B">
          <v:group id="_x0000_s4522" style="position:absolute;margin-left:47.85pt;margin-top:10.35pt;width:499.55pt;height:96.45pt;z-index:-15592960;mso-wrap-distance-left:0;mso-wrap-distance-right:0;mso-position-horizontal-relative:page" coordorigin="957,207" coordsize="9991,1929">
            <v:shape id="_x0000_s4525" style="position:absolute;left:964;top:214;width:9976;height:1914" coordorigin="965,214" coordsize="9976,1914" path="m10861,214r-9816,l1014,220r-26,17l971,263r-6,31l965,2048r6,31l988,2105r26,17l1045,2128r9816,l10892,2122r25,-17l10935,2079r6,-31l10941,294r-6,-31l10917,237r-25,-17l10861,214xe" fillcolor="#f5f5f5" stroked="f">
              <v:path arrowok="t"/>
            </v:shape>
            <v:shape id="_x0000_s4524" style="position:absolute;left:964;top:214;width:9976;height:1914" coordorigin="965,214" coordsize="9976,1914" path="m1045,214r9816,l10892,220r25,17l10935,263r6,31l10941,2048r-6,31l10917,2105r-25,17l10861,2128r-9816,l1014,2122r-26,-17l971,2079r-6,-31l965,294r6,-31l988,237r26,-17l1045,214xe" filled="f" strokecolor="#ccc">
              <v:path arrowok="t"/>
            </v:shape>
            <v:shape id="_x0000_s4523" type="#_x0000_t202" style="position:absolute;left:984;top:229;width:9938;height:1884" filled="f" stroked="f">
              <v:textbox inset="0,0,0,0">
                <w:txbxContent>
                  <w:p w14:paraId="161FCACF" w14:textId="77777777" w:rsidR="00711A16" w:rsidRDefault="00711A16">
                    <w:pPr>
                      <w:spacing w:before="221"/>
                      <w:ind w:left="200"/>
                      <w:rPr>
                        <w:rFonts w:ascii="MS Gothic"/>
                      </w:rPr>
                    </w:pPr>
                    <w:r>
                      <w:rPr>
                        <w:rFonts w:ascii="MS Gothic"/>
                        <w:color w:val="333333"/>
                      </w:rPr>
                      <w:t>acme:</w:t>
                    </w:r>
                  </w:p>
                  <w:p w14:paraId="5CB42BE8" w14:textId="77777777" w:rsidR="00711A16" w:rsidRDefault="00711A16">
                    <w:pPr>
                      <w:spacing w:before="13"/>
                      <w:ind w:left="420"/>
                      <w:rPr>
                        <w:rFonts w:ascii="MS Gothic"/>
                      </w:rPr>
                    </w:pPr>
                    <w:r>
                      <w:rPr>
                        <w:rFonts w:ascii="MS Gothic"/>
                        <w:color w:val="333333"/>
                      </w:rPr>
                      <w:t>map:</w:t>
                    </w:r>
                  </w:p>
                  <w:p w14:paraId="070552C7" w14:textId="77777777" w:rsidR="00711A16" w:rsidRDefault="00711A16">
                    <w:pPr>
                      <w:spacing w:before="13"/>
                      <w:ind w:left="640"/>
                      <w:rPr>
                        <w:rFonts w:ascii="MS Gothic"/>
                      </w:rPr>
                    </w:pPr>
                    <w:r>
                      <w:rPr>
                        <w:rFonts w:ascii="MS Gothic"/>
                        <w:color w:val="333333"/>
                      </w:rPr>
                      <w:t>"[/key1]": value1</w:t>
                    </w:r>
                  </w:p>
                  <w:p w14:paraId="72455A8E" w14:textId="77777777" w:rsidR="00711A16" w:rsidRDefault="00711A16">
                    <w:pPr>
                      <w:spacing w:before="13"/>
                      <w:ind w:left="640"/>
                      <w:rPr>
                        <w:rFonts w:ascii="MS Gothic"/>
                      </w:rPr>
                    </w:pPr>
                    <w:r>
                      <w:rPr>
                        <w:rFonts w:ascii="MS Gothic"/>
                        <w:color w:val="333333"/>
                      </w:rPr>
                      <w:t>"[/key2]": value2</w:t>
                    </w:r>
                  </w:p>
                  <w:p w14:paraId="69AFF79D" w14:textId="77777777" w:rsidR="00711A16" w:rsidRDefault="00711A16">
                    <w:pPr>
                      <w:spacing w:before="12"/>
                      <w:ind w:left="640"/>
                      <w:rPr>
                        <w:rFonts w:ascii="MS Gothic"/>
                      </w:rPr>
                    </w:pPr>
                    <w:r>
                      <w:rPr>
                        <w:rFonts w:ascii="MS Gothic"/>
                        <w:color w:val="333333"/>
                      </w:rPr>
                      <w:t>/key3: value3</w:t>
                    </w:r>
                  </w:p>
                </w:txbxContent>
              </v:textbox>
            </v:shape>
            <w10:wrap type="topAndBottom" anchorx="page"/>
          </v:group>
        </w:pict>
      </w:r>
    </w:p>
    <w:p w14:paraId="124C5A98" w14:textId="77777777" w:rsidR="00A720EB" w:rsidRDefault="00A720EB">
      <w:pPr>
        <w:pStyle w:val="a3"/>
        <w:spacing w:before="11"/>
        <w:rPr>
          <w:sz w:val="9"/>
        </w:rPr>
      </w:pPr>
    </w:p>
    <w:p w14:paraId="163C2C40" w14:textId="77777777" w:rsidR="00A720EB" w:rsidRDefault="0030286B">
      <w:pPr>
        <w:pStyle w:val="a3"/>
        <w:spacing w:before="115"/>
        <w:ind w:left="124"/>
      </w:pPr>
      <w:r>
        <w:rPr>
          <w:color w:val="333333"/>
          <w:w w:val="110"/>
        </w:rPr>
        <w:lastRenderedPageBreak/>
        <w:t xml:space="preserve">The properties above will bind to a </w:t>
      </w:r>
      <w:r>
        <w:rPr>
          <w:rFonts w:ascii="MS Gothic"/>
          <w:color w:val="B02045"/>
          <w:w w:val="110"/>
        </w:rPr>
        <w:t>Map</w:t>
      </w:r>
      <w:r>
        <w:rPr>
          <w:rFonts w:ascii="MS Gothic"/>
          <w:color w:val="B02045"/>
          <w:spacing w:val="-64"/>
          <w:w w:val="110"/>
        </w:rPr>
        <w:t xml:space="preserve"> </w:t>
      </w:r>
      <w:r>
        <w:rPr>
          <w:color w:val="333333"/>
          <w:w w:val="110"/>
        </w:rPr>
        <w:t xml:space="preserve">with </w:t>
      </w:r>
      <w:r>
        <w:rPr>
          <w:rFonts w:ascii="MS Gothic"/>
          <w:color w:val="B02045"/>
          <w:w w:val="110"/>
        </w:rPr>
        <w:t>/key1</w:t>
      </w:r>
      <w:r>
        <w:rPr>
          <w:color w:val="333333"/>
          <w:w w:val="110"/>
        </w:rPr>
        <w:t xml:space="preserve">, </w:t>
      </w:r>
      <w:r>
        <w:rPr>
          <w:rFonts w:ascii="MS Gothic"/>
          <w:color w:val="B02045"/>
          <w:w w:val="110"/>
        </w:rPr>
        <w:t>/key2</w:t>
      </w:r>
      <w:r>
        <w:rPr>
          <w:rFonts w:ascii="MS Gothic"/>
          <w:color w:val="B02045"/>
          <w:spacing w:val="-65"/>
          <w:w w:val="110"/>
        </w:rPr>
        <w:t xml:space="preserve"> </w:t>
      </w:r>
      <w:r>
        <w:rPr>
          <w:color w:val="333333"/>
          <w:w w:val="110"/>
        </w:rPr>
        <w:t xml:space="preserve">and </w:t>
      </w:r>
      <w:r>
        <w:rPr>
          <w:rFonts w:ascii="MS Gothic"/>
          <w:color w:val="B02045"/>
          <w:w w:val="110"/>
        </w:rPr>
        <w:t>key3</w:t>
      </w:r>
      <w:r>
        <w:rPr>
          <w:rFonts w:ascii="MS Gothic"/>
          <w:color w:val="B02045"/>
          <w:spacing w:val="-64"/>
          <w:w w:val="110"/>
        </w:rPr>
        <w:t xml:space="preserve"> </w:t>
      </w:r>
      <w:r>
        <w:rPr>
          <w:color w:val="333333"/>
          <w:w w:val="110"/>
        </w:rPr>
        <w:t>as the keys in the map.</w:t>
      </w:r>
    </w:p>
    <w:p w14:paraId="1D7A469E" w14:textId="77777777" w:rsidR="00A720EB" w:rsidRDefault="00A720EB">
      <w:pPr>
        <w:sectPr w:rsidR="00A720EB">
          <w:pgSz w:w="11910" w:h="16840"/>
          <w:pgMar w:top="640" w:right="840" w:bottom="520" w:left="840" w:header="0" w:footer="323" w:gutter="0"/>
          <w:cols w:space="720"/>
        </w:sectPr>
      </w:pPr>
    </w:p>
    <w:p w14:paraId="76F3CF6F" w14:textId="77777777" w:rsidR="00A720EB" w:rsidRDefault="00E10349">
      <w:pPr>
        <w:pStyle w:val="a3"/>
        <w:spacing w:before="122" w:line="307" w:lineRule="auto"/>
        <w:ind w:left="1564" w:right="359"/>
      </w:pPr>
      <w:r>
        <w:lastRenderedPageBreak/>
        <w:pict w14:anchorId="3F44396F">
          <v:line id="_x0000_s4521" style="position:absolute;left:0;text-align:left;z-index:15866880;mso-position-horizontal-relative:page" from="108.25pt,.1pt" to="108.25pt,39.65pt" strokecolor="#ededed" strokeweight=".5pt">
            <w10:wrap anchorx="page"/>
          </v:line>
        </w:pict>
      </w:r>
      <w:r w:rsidR="0030286B">
        <w:rPr>
          <w:noProof/>
        </w:rPr>
        <w:drawing>
          <wp:anchor distT="0" distB="0" distL="0" distR="0" simplePos="0" relativeHeight="15867392" behindDoc="0" locked="0" layoutInCell="1" allowOverlap="1" wp14:anchorId="375C3A75" wp14:editId="683B59E4">
            <wp:simplePos x="0" y="0"/>
            <wp:positionH relativeFrom="page">
              <wp:posOffset>844422</wp:posOffset>
            </wp:positionH>
            <wp:positionV relativeFrom="paragraph">
              <wp:posOffset>103417</wp:posOffset>
            </wp:positionV>
            <wp:extent cx="298450" cy="298450"/>
            <wp:effectExtent l="0" t="0" r="0" b="0"/>
            <wp:wrapNone/>
            <wp:docPr id="1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For YAML files, the brackets need to be surrounded by quotes for the keys to </w:t>
      </w:r>
      <w:proofErr w:type="gramStart"/>
      <w:r w:rsidR="0030286B">
        <w:rPr>
          <w:color w:val="333333"/>
          <w:w w:val="110"/>
        </w:rPr>
        <w:t>be  parsed</w:t>
      </w:r>
      <w:proofErr w:type="gramEnd"/>
      <w:r w:rsidR="0030286B">
        <w:rPr>
          <w:color w:val="333333"/>
          <w:w w:val="110"/>
        </w:rPr>
        <w:t xml:space="preserve"> properly.</w:t>
      </w:r>
    </w:p>
    <w:p w14:paraId="0269C815" w14:textId="77777777" w:rsidR="00A720EB" w:rsidRDefault="00A720EB">
      <w:pPr>
        <w:pStyle w:val="a3"/>
        <w:spacing w:before="7"/>
        <w:rPr>
          <w:sz w:val="23"/>
        </w:rPr>
      </w:pPr>
    </w:p>
    <w:p w14:paraId="2F2D74F8" w14:textId="77777777" w:rsidR="00A720EB" w:rsidRDefault="0030286B">
      <w:pPr>
        <w:spacing w:before="103"/>
        <w:ind w:left="124"/>
        <w:jc w:val="both"/>
        <w:rPr>
          <w:rFonts w:ascii="Palatino Linotype"/>
          <w:b/>
          <w:sz w:val="18"/>
        </w:rPr>
      </w:pPr>
      <w:bookmarkStart w:id="201" w:name="_bookmark121"/>
      <w:bookmarkEnd w:id="201"/>
      <w:r>
        <w:rPr>
          <w:rFonts w:ascii="Palatino Linotype"/>
          <w:b/>
          <w:color w:val="333333"/>
          <w:w w:val="110"/>
          <w:sz w:val="18"/>
        </w:rPr>
        <w:t>Binding from Environment Variables</w:t>
      </w:r>
    </w:p>
    <w:p w14:paraId="7DED0F6E" w14:textId="77777777" w:rsidR="00A720EB" w:rsidRDefault="00A720EB">
      <w:pPr>
        <w:pStyle w:val="a3"/>
        <w:spacing w:before="12"/>
        <w:rPr>
          <w:rFonts w:ascii="Palatino Linotype"/>
          <w:b/>
          <w:sz w:val="18"/>
        </w:rPr>
      </w:pPr>
    </w:p>
    <w:p w14:paraId="0A75EECB" w14:textId="77777777" w:rsidR="00A720EB" w:rsidRDefault="0030286B">
      <w:pPr>
        <w:pStyle w:val="a3"/>
        <w:spacing w:line="290" w:lineRule="auto"/>
        <w:ind w:left="124" w:right="122"/>
        <w:jc w:val="both"/>
      </w:pPr>
      <w:r>
        <w:rPr>
          <w:color w:val="333333"/>
          <w:w w:val="110"/>
        </w:rPr>
        <w:t xml:space="preserve">Most operating systems impose strict rules around the names that can be used for environment variables. </w:t>
      </w:r>
      <w:r>
        <w:rPr>
          <w:color w:val="333333"/>
          <w:spacing w:val="-4"/>
          <w:w w:val="110"/>
        </w:rPr>
        <w:t xml:space="preserve">For </w:t>
      </w:r>
      <w:r>
        <w:rPr>
          <w:color w:val="333333"/>
          <w:w w:val="110"/>
        </w:rPr>
        <w:t>example, Linux shell variables can contain only letters (</w:t>
      </w:r>
      <w:r>
        <w:rPr>
          <w:rFonts w:ascii="MS Gothic"/>
          <w:color w:val="B02045"/>
          <w:w w:val="110"/>
        </w:rPr>
        <w:t>a</w:t>
      </w:r>
      <w:r>
        <w:rPr>
          <w:rFonts w:ascii="MS Gothic"/>
          <w:color w:val="B02045"/>
          <w:spacing w:val="-58"/>
          <w:w w:val="110"/>
        </w:rPr>
        <w:t xml:space="preserve"> </w:t>
      </w:r>
      <w:r>
        <w:rPr>
          <w:color w:val="333333"/>
          <w:w w:val="110"/>
        </w:rPr>
        <w:t xml:space="preserve">to </w:t>
      </w:r>
      <w:r>
        <w:rPr>
          <w:rFonts w:ascii="MS Gothic"/>
          <w:color w:val="B02045"/>
          <w:w w:val="110"/>
        </w:rPr>
        <w:t>z</w:t>
      </w:r>
      <w:r>
        <w:rPr>
          <w:rFonts w:ascii="MS Gothic"/>
          <w:color w:val="B02045"/>
          <w:spacing w:val="-58"/>
          <w:w w:val="110"/>
        </w:rPr>
        <w:t xml:space="preserve"> </w:t>
      </w:r>
      <w:r>
        <w:rPr>
          <w:color w:val="333333"/>
          <w:w w:val="110"/>
        </w:rPr>
        <w:t xml:space="preserve">or </w:t>
      </w:r>
      <w:r>
        <w:rPr>
          <w:rFonts w:ascii="MS Gothic"/>
          <w:color w:val="B02045"/>
          <w:w w:val="110"/>
        </w:rPr>
        <w:t>A</w:t>
      </w:r>
      <w:r>
        <w:rPr>
          <w:rFonts w:ascii="MS Gothic"/>
          <w:color w:val="B02045"/>
          <w:spacing w:val="-58"/>
          <w:w w:val="110"/>
        </w:rPr>
        <w:t xml:space="preserve"> </w:t>
      </w:r>
      <w:r>
        <w:rPr>
          <w:color w:val="333333"/>
          <w:w w:val="110"/>
        </w:rPr>
        <w:t xml:space="preserve">to </w:t>
      </w:r>
      <w:r>
        <w:rPr>
          <w:rFonts w:ascii="MS Gothic"/>
          <w:color w:val="B02045"/>
          <w:w w:val="110"/>
        </w:rPr>
        <w:t>Z</w:t>
      </w:r>
      <w:r>
        <w:rPr>
          <w:color w:val="333333"/>
          <w:w w:val="110"/>
        </w:rPr>
        <w:t>), numbers (</w:t>
      </w:r>
      <w:r>
        <w:rPr>
          <w:rFonts w:ascii="MS Gothic"/>
          <w:color w:val="B02045"/>
          <w:w w:val="110"/>
        </w:rPr>
        <w:t>0</w:t>
      </w:r>
      <w:r>
        <w:rPr>
          <w:rFonts w:ascii="MS Gothic"/>
          <w:color w:val="B02045"/>
          <w:spacing w:val="-58"/>
          <w:w w:val="110"/>
        </w:rPr>
        <w:t xml:space="preserve"> </w:t>
      </w:r>
      <w:r>
        <w:rPr>
          <w:color w:val="333333"/>
          <w:w w:val="110"/>
        </w:rPr>
        <w:t xml:space="preserve">to </w:t>
      </w:r>
      <w:r>
        <w:rPr>
          <w:rFonts w:ascii="MS Gothic"/>
          <w:color w:val="B02045"/>
          <w:w w:val="110"/>
        </w:rPr>
        <w:t>9</w:t>
      </w:r>
      <w:r>
        <w:rPr>
          <w:color w:val="333333"/>
          <w:w w:val="110"/>
        </w:rPr>
        <w:t>) or the underscore character (</w:t>
      </w:r>
      <w:r>
        <w:rPr>
          <w:rFonts w:ascii="MS Gothic"/>
          <w:color w:val="B02045"/>
          <w:w w:val="110"/>
        </w:rPr>
        <w:t>_</w:t>
      </w:r>
      <w:r>
        <w:rPr>
          <w:color w:val="333333"/>
          <w:w w:val="110"/>
        </w:rPr>
        <w:t xml:space="preserve">). </w:t>
      </w:r>
      <w:r>
        <w:rPr>
          <w:color w:val="333333"/>
          <w:spacing w:val="-3"/>
          <w:w w:val="110"/>
        </w:rPr>
        <w:t xml:space="preserve">By </w:t>
      </w:r>
      <w:r>
        <w:rPr>
          <w:color w:val="333333"/>
          <w:w w:val="110"/>
        </w:rPr>
        <w:t>convention, Unix shell variables will also have their names in UPPERCASE.</w:t>
      </w:r>
    </w:p>
    <w:p w14:paraId="695690B9" w14:textId="77777777" w:rsidR="00A720EB" w:rsidRDefault="00A720EB">
      <w:pPr>
        <w:pStyle w:val="a3"/>
        <w:spacing w:before="9"/>
      </w:pPr>
    </w:p>
    <w:p w14:paraId="38FB0524" w14:textId="77777777" w:rsidR="00A720EB" w:rsidRDefault="0030286B">
      <w:pPr>
        <w:pStyle w:val="a3"/>
        <w:spacing w:line="307" w:lineRule="auto"/>
        <w:ind w:left="124"/>
      </w:pPr>
      <w:r>
        <w:rPr>
          <w:color w:val="333333"/>
          <w:w w:val="110"/>
        </w:rPr>
        <w:t>Spring Boot’s relaxed binding rules are, as much as possible, designed to be compatible with these naming restrictions.</w:t>
      </w:r>
    </w:p>
    <w:p w14:paraId="1100FA31" w14:textId="77777777" w:rsidR="00A720EB" w:rsidRDefault="0030286B">
      <w:pPr>
        <w:pStyle w:val="a3"/>
        <w:spacing w:before="241" w:line="307" w:lineRule="auto"/>
        <w:ind w:left="124"/>
      </w:pPr>
      <w:r>
        <w:rPr>
          <w:color w:val="333333"/>
          <w:w w:val="110"/>
        </w:rPr>
        <w:t>To convert a property name in the canonical-form to an environment variable name you can follow these rules:</w:t>
      </w:r>
    </w:p>
    <w:p w14:paraId="6D8AE18C" w14:textId="77777777" w:rsidR="00A720EB" w:rsidRDefault="0030286B">
      <w:pPr>
        <w:pStyle w:val="a6"/>
        <w:numPr>
          <w:ilvl w:val="0"/>
          <w:numId w:val="60"/>
        </w:numPr>
        <w:tabs>
          <w:tab w:val="left" w:pos="485"/>
        </w:tabs>
        <w:spacing w:before="231"/>
        <w:rPr>
          <w:sz w:val="21"/>
        </w:rPr>
      </w:pPr>
      <w:r>
        <w:rPr>
          <w:color w:val="333333"/>
          <w:w w:val="105"/>
          <w:sz w:val="21"/>
        </w:rPr>
        <w:t>Replace dots (</w:t>
      </w:r>
      <w:r>
        <w:rPr>
          <w:rFonts w:ascii="MS Gothic" w:hAnsi="MS Gothic"/>
          <w:color w:val="B02045"/>
          <w:w w:val="105"/>
          <w:sz w:val="21"/>
        </w:rPr>
        <w:t>.</w:t>
      </w:r>
      <w:r>
        <w:rPr>
          <w:color w:val="333333"/>
          <w:w w:val="105"/>
          <w:sz w:val="21"/>
        </w:rPr>
        <w:t>) with underscores</w:t>
      </w:r>
      <w:r>
        <w:rPr>
          <w:color w:val="333333"/>
          <w:spacing w:val="27"/>
          <w:w w:val="105"/>
          <w:sz w:val="21"/>
        </w:rPr>
        <w:t xml:space="preserve"> </w:t>
      </w:r>
      <w:r>
        <w:rPr>
          <w:color w:val="333333"/>
          <w:w w:val="105"/>
          <w:sz w:val="21"/>
        </w:rPr>
        <w:t>(</w:t>
      </w:r>
      <w:r>
        <w:rPr>
          <w:rFonts w:ascii="MS Gothic" w:hAnsi="MS Gothic"/>
          <w:color w:val="B02045"/>
          <w:w w:val="105"/>
          <w:sz w:val="21"/>
        </w:rPr>
        <w:t>_</w:t>
      </w:r>
      <w:r>
        <w:rPr>
          <w:color w:val="333333"/>
          <w:w w:val="105"/>
          <w:sz w:val="21"/>
        </w:rPr>
        <w:t>).</w:t>
      </w:r>
    </w:p>
    <w:p w14:paraId="03FB9719" w14:textId="77777777" w:rsidR="00A720EB" w:rsidRDefault="0030286B">
      <w:pPr>
        <w:pStyle w:val="a6"/>
        <w:numPr>
          <w:ilvl w:val="0"/>
          <w:numId w:val="60"/>
        </w:numPr>
        <w:tabs>
          <w:tab w:val="left" w:pos="485"/>
        </w:tabs>
        <w:spacing w:before="166"/>
        <w:rPr>
          <w:sz w:val="21"/>
        </w:rPr>
      </w:pPr>
      <w:r>
        <w:rPr>
          <w:color w:val="333333"/>
          <w:w w:val="110"/>
          <w:sz w:val="21"/>
        </w:rPr>
        <w:t>Remove any dashes</w:t>
      </w:r>
      <w:r>
        <w:rPr>
          <w:color w:val="333333"/>
          <w:spacing w:val="6"/>
          <w:w w:val="110"/>
          <w:sz w:val="21"/>
        </w:rPr>
        <w:t xml:space="preserve"> </w:t>
      </w:r>
      <w:r>
        <w:rPr>
          <w:color w:val="333333"/>
          <w:w w:val="110"/>
          <w:sz w:val="21"/>
        </w:rPr>
        <w:t>(</w:t>
      </w:r>
      <w:r>
        <w:rPr>
          <w:rFonts w:ascii="MS Gothic" w:hAnsi="MS Gothic"/>
          <w:color w:val="B02045"/>
          <w:w w:val="110"/>
          <w:sz w:val="21"/>
        </w:rPr>
        <w:t>-</w:t>
      </w:r>
      <w:r>
        <w:rPr>
          <w:color w:val="333333"/>
          <w:w w:val="110"/>
          <w:sz w:val="21"/>
        </w:rPr>
        <w:t>).</w:t>
      </w:r>
    </w:p>
    <w:p w14:paraId="65E04876" w14:textId="77777777" w:rsidR="00A720EB" w:rsidRDefault="0030286B">
      <w:pPr>
        <w:pStyle w:val="a6"/>
        <w:numPr>
          <w:ilvl w:val="0"/>
          <w:numId w:val="60"/>
        </w:numPr>
        <w:tabs>
          <w:tab w:val="left" w:pos="485"/>
        </w:tabs>
        <w:spacing w:before="177"/>
        <w:rPr>
          <w:sz w:val="21"/>
        </w:rPr>
      </w:pPr>
      <w:r>
        <w:rPr>
          <w:color w:val="333333"/>
          <w:w w:val="110"/>
          <w:sz w:val="21"/>
        </w:rPr>
        <w:t>Convert to</w:t>
      </w:r>
      <w:r>
        <w:rPr>
          <w:color w:val="333333"/>
          <w:spacing w:val="5"/>
          <w:w w:val="110"/>
          <w:sz w:val="21"/>
        </w:rPr>
        <w:t xml:space="preserve"> </w:t>
      </w:r>
      <w:r>
        <w:rPr>
          <w:color w:val="333333"/>
          <w:w w:val="110"/>
          <w:sz w:val="21"/>
        </w:rPr>
        <w:t>uppercase.</w:t>
      </w:r>
    </w:p>
    <w:p w14:paraId="6848C16A" w14:textId="77777777" w:rsidR="00A720EB" w:rsidRDefault="00A720EB">
      <w:pPr>
        <w:pStyle w:val="a3"/>
        <w:spacing w:before="6"/>
        <w:rPr>
          <w:sz w:val="25"/>
        </w:rPr>
      </w:pPr>
    </w:p>
    <w:p w14:paraId="4A30E496" w14:textId="77777777" w:rsidR="00A720EB" w:rsidRDefault="0030286B">
      <w:pPr>
        <w:pStyle w:val="a3"/>
        <w:spacing w:line="280" w:lineRule="auto"/>
        <w:ind w:left="124"/>
      </w:pPr>
      <w:r>
        <w:rPr>
          <w:color w:val="333333"/>
          <w:w w:val="110"/>
        </w:rPr>
        <w:t xml:space="preserve">For example, the configuration property </w:t>
      </w:r>
      <w:r>
        <w:rPr>
          <w:rFonts w:ascii="MS Gothic"/>
          <w:color w:val="B02045"/>
          <w:w w:val="110"/>
        </w:rPr>
        <w:t xml:space="preserve">spring.main.log-startup-info </w:t>
      </w:r>
      <w:r>
        <w:rPr>
          <w:color w:val="333333"/>
          <w:w w:val="110"/>
        </w:rPr>
        <w:t xml:space="preserve">would be an environment variable named </w:t>
      </w:r>
      <w:r>
        <w:rPr>
          <w:rFonts w:ascii="MS Gothic"/>
          <w:color w:val="B02045"/>
          <w:w w:val="110"/>
        </w:rPr>
        <w:t>SPRING_MAIN_LOGSTARTUPINFO</w:t>
      </w:r>
      <w:r>
        <w:rPr>
          <w:color w:val="333333"/>
          <w:w w:val="110"/>
        </w:rPr>
        <w:t>.</w:t>
      </w:r>
    </w:p>
    <w:p w14:paraId="50BE299B" w14:textId="77777777" w:rsidR="00A720EB" w:rsidRDefault="00A720EB">
      <w:pPr>
        <w:pStyle w:val="a3"/>
        <w:spacing w:before="8"/>
        <w:rPr>
          <w:sz w:val="17"/>
        </w:rPr>
      </w:pPr>
    </w:p>
    <w:p w14:paraId="2A4EF45B" w14:textId="77777777" w:rsidR="00A720EB" w:rsidRDefault="00E10349">
      <w:pPr>
        <w:pStyle w:val="a3"/>
        <w:spacing w:before="125" w:line="295" w:lineRule="auto"/>
        <w:ind w:left="1564" w:right="365"/>
        <w:jc w:val="both"/>
      </w:pPr>
      <w:r>
        <w:pict w14:anchorId="47F4734B">
          <v:line id="_x0000_s4520" style="position:absolute;left:0;text-align:left;z-index:15867904;mso-position-horizontal-relative:page" from="108.25pt,.25pt" to="108.25pt,55.6pt" strokecolor="#ededed" strokeweight=".5pt">
            <w10:wrap anchorx="page"/>
          </v:line>
        </w:pict>
      </w:r>
      <w:r w:rsidR="0030286B">
        <w:rPr>
          <w:noProof/>
        </w:rPr>
        <w:drawing>
          <wp:anchor distT="0" distB="0" distL="0" distR="0" simplePos="0" relativeHeight="15868416" behindDoc="0" locked="0" layoutInCell="1" allowOverlap="1" wp14:anchorId="07F7DA91" wp14:editId="4A88A9BE">
            <wp:simplePos x="0" y="0"/>
            <wp:positionH relativeFrom="page">
              <wp:posOffset>844422</wp:posOffset>
            </wp:positionH>
            <wp:positionV relativeFrom="paragraph">
              <wp:posOffset>205524</wp:posOffset>
            </wp:positionV>
            <wp:extent cx="298450" cy="298450"/>
            <wp:effectExtent l="0" t="0" r="0" b="0"/>
            <wp:wrapNone/>
            <wp:docPr id="1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Underscores cannot be used to replace the dashes in property names. If </w:t>
      </w:r>
      <w:proofErr w:type="gramStart"/>
      <w:r w:rsidR="0030286B">
        <w:rPr>
          <w:color w:val="333333"/>
          <w:w w:val="110"/>
        </w:rPr>
        <w:t>you  attempt</w:t>
      </w:r>
      <w:proofErr w:type="gramEnd"/>
      <w:r w:rsidR="0030286B">
        <w:rPr>
          <w:color w:val="333333"/>
          <w:spacing w:val="-18"/>
          <w:w w:val="110"/>
        </w:rPr>
        <w:t xml:space="preserve"> </w:t>
      </w:r>
      <w:r w:rsidR="0030286B">
        <w:rPr>
          <w:color w:val="333333"/>
          <w:w w:val="110"/>
        </w:rPr>
        <w:t>to</w:t>
      </w:r>
      <w:r w:rsidR="0030286B">
        <w:rPr>
          <w:color w:val="333333"/>
          <w:spacing w:val="-18"/>
          <w:w w:val="110"/>
        </w:rPr>
        <w:t xml:space="preserve"> </w:t>
      </w:r>
      <w:r w:rsidR="0030286B">
        <w:rPr>
          <w:color w:val="333333"/>
          <w:w w:val="110"/>
        </w:rPr>
        <w:t>use</w:t>
      </w:r>
      <w:r w:rsidR="0030286B">
        <w:rPr>
          <w:color w:val="333333"/>
          <w:spacing w:val="-16"/>
          <w:w w:val="110"/>
        </w:rPr>
        <w:t xml:space="preserve"> </w:t>
      </w:r>
      <w:r w:rsidR="0030286B">
        <w:rPr>
          <w:rFonts w:ascii="MS Gothic"/>
          <w:color w:val="B02045"/>
          <w:w w:val="110"/>
        </w:rPr>
        <w:t>SPRING_MAIN_LOG_STARTUP_INFO</w:t>
      </w:r>
      <w:r w:rsidR="0030286B">
        <w:rPr>
          <w:rFonts w:ascii="MS Gothic"/>
          <w:color w:val="B02045"/>
          <w:spacing w:val="-83"/>
          <w:w w:val="110"/>
        </w:rPr>
        <w:t xml:space="preserve"> </w:t>
      </w:r>
      <w:r w:rsidR="0030286B">
        <w:rPr>
          <w:color w:val="333333"/>
          <w:w w:val="110"/>
        </w:rPr>
        <w:t>with</w:t>
      </w:r>
      <w:r w:rsidR="0030286B">
        <w:rPr>
          <w:color w:val="333333"/>
          <w:spacing w:val="-17"/>
          <w:w w:val="110"/>
        </w:rPr>
        <w:t xml:space="preserve"> </w:t>
      </w:r>
      <w:r w:rsidR="0030286B">
        <w:rPr>
          <w:color w:val="333333"/>
          <w:w w:val="110"/>
        </w:rPr>
        <w:t>the</w:t>
      </w:r>
      <w:r w:rsidR="0030286B">
        <w:rPr>
          <w:color w:val="333333"/>
          <w:spacing w:val="-18"/>
          <w:w w:val="110"/>
        </w:rPr>
        <w:t xml:space="preserve"> </w:t>
      </w:r>
      <w:r w:rsidR="0030286B">
        <w:rPr>
          <w:color w:val="333333"/>
          <w:w w:val="110"/>
        </w:rPr>
        <w:t>example</w:t>
      </w:r>
      <w:r w:rsidR="0030286B">
        <w:rPr>
          <w:color w:val="333333"/>
          <w:spacing w:val="-18"/>
          <w:w w:val="110"/>
        </w:rPr>
        <w:t xml:space="preserve"> </w:t>
      </w:r>
      <w:r w:rsidR="0030286B">
        <w:rPr>
          <w:color w:val="333333"/>
          <w:w w:val="110"/>
        </w:rPr>
        <w:t>above,</w:t>
      </w:r>
      <w:r w:rsidR="0030286B">
        <w:rPr>
          <w:color w:val="333333"/>
          <w:spacing w:val="-18"/>
          <w:w w:val="110"/>
        </w:rPr>
        <w:t xml:space="preserve"> </w:t>
      </w:r>
      <w:r w:rsidR="0030286B">
        <w:rPr>
          <w:color w:val="333333"/>
          <w:w w:val="110"/>
        </w:rPr>
        <w:t>no</w:t>
      </w:r>
      <w:r w:rsidR="0030286B">
        <w:rPr>
          <w:color w:val="333333"/>
          <w:spacing w:val="-18"/>
          <w:w w:val="110"/>
        </w:rPr>
        <w:t xml:space="preserve"> </w:t>
      </w:r>
      <w:r w:rsidR="0030286B">
        <w:rPr>
          <w:color w:val="333333"/>
          <w:w w:val="110"/>
        </w:rPr>
        <w:t>value</w:t>
      </w:r>
      <w:r w:rsidR="0030286B">
        <w:rPr>
          <w:color w:val="333333"/>
          <w:spacing w:val="-18"/>
          <w:w w:val="110"/>
        </w:rPr>
        <w:t xml:space="preserve"> </w:t>
      </w:r>
      <w:r w:rsidR="0030286B">
        <w:rPr>
          <w:color w:val="333333"/>
          <w:w w:val="110"/>
        </w:rPr>
        <w:t>will be</w:t>
      </w:r>
      <w:r w:rsidR="0030286B">
        <w:rPr>
          <w:color w:val="333333"/>
          <w:spacing w:val="2"/>
          <w:w w:val="110"/>
        </w:rPr>
        <w:t xml:space="preserve"> </w:t>
      </w:r>
      <w:r w:rsidR="0030286B">
        <w:rPr>
          <w:color w:val="333333"/>
          <w:w w:val="110"/>
        </w:rPr>
        <w:t>bound.</w:t>
      </w:r>
    </w:p>
    <w:p w14:paraId="320100C1" w14:textId="77777777" w:rsidR="00A720EB" w:rsidRDefault="00A720EB">
      <w:pPr>
        <w:pStyle w:val="a3"/>
        <w:spacing w:before="4"/>
        <w:rPr>
          <w:sz w:val="17"/>
        </w:rPr>
      </w:pPr>
    </w:p>
    <w:p w14:paraId="6B86C0B4" w14:textId="77777777" w:rsidR="00A720EB" w:rsidRDefault="0030286B">
      <w:pPr>
        <w:pStyle w:val="a3"/>
        <w:spacing w:before="116" w:line="290" w:lineRule="auto"/>
        <w:ind w:left="124"/>
      </w:pPr>
      <w:r>
        <w:rPr>
          <w:color w:val="333333"/>
          <w:w w:val="110"/>
        </w:rPr>
        <w:t xml:space="preserve">Environment variables can also be used when binding to object lists. To bind to a </w:t>
      </w:r>
      <w:r>
        <w:rPr>
          <w:rFonts w:ascii="MS Gothic"/>
          <w:color w:val="B02045"/>
          <w:w w:val="110"/>
        </w:rPr>
        <w:t>List</w:t>
      </w:r>
      <w:r>
        <w:rPr>
          <w:color w:val="333333"/>
          <w:w w:val="110"/>
        </w:rPr>
        <w:t>, the element number should be surrounded with underscores in the variable name.</w:t>
      </w:r>
    </w:p>
    <w:p w14:paraId="2B9BBC5E" w14:textId="77777777" w:rsidR="00A720EB" w:rsidRDefault="0030286B">
      <w:pPr>
        <w:pStyle w:val="a3"/>
        <w:spacing w:before="248" w:line="280" w:lineRule="auto"/>
        <w:ind w:left="124" w:right="359"/>
      </w:pPr>
      <w:r>
        <w:rPr>
          <w:color w:val="333333"/>
          <w:w w:val="110"/>
        </w:rPr>
        <w:t xml:space="preserve">For example, the configuration property </w:t>
      </w:r>
      <w:proofErr w:type="gramStart"/>
      <w:r>
        <w:rPr>
          <w:rFonts w:ascii="MS Gothic"/>
          <w:color w:val="B02045"/>
          <w:w w:val="110"/>
        </w:rPr>
        <w:t>my.acme</w:t>
      </w:r>
      <w:proofErr w:type="gramEnd"/>
      <w:r>
        <w:rPr>
          <w:rFonts w:ascii="MS Gothic"/>
          <w:color w:val="B02045"/>
          <w:w w:val="110"/>
        </w:rPr>
        <w:t xml:space="preserve">[0].other </w:t>
      </w:r>
      <w:r>
        <w:rPr>
          <w:color w:val="333333"/>
          <w:w w:val="110"/>
        </w:rPr>
        <w:t xml:space="preserve">would use an environment variable named </w:t>
      </w:r>
      <w:r>
        <w:rPr>
          <w:rFonts w:ascii="MS Gothic"/>
          <w:color w:val="B02045"/>
          <w:w w:val="110"/>
        </w:rPr>
        <w:t>MY_ACME_0_OTHER</w:t>
      </w:r>
      <w:r>
        <w:rPr>
          <w:color w:val="333333"/>
          <w:w w:val="110"/>
        </w:rPr>
        <w:t>.</w:t>
      </w:r>
    </w:p>
    <w:p w14:paraId="1096291C" w14:textId="77777777" w:rsidR="00A720EB" w:rsidRDefault="00A720EB">
      <w:pPr>
        <w:pStyle w:val="a3"/>
        <w:spacing w:before="7"/>
        <w:rPr>
          <w:sz w:val="26"/>
        </w:rPr>
      </w:pPr>
    </w:p>
    <w:p w14:paraId="6BB3CB2B" w14:textId="77777777" w:rsidR="00A720EB" w:rsidRDefault="0030286B">
      <w:pPr>
        <w:pStyle w:val="4"/>
        <w:jc w:val="left"/>
      </w:pPr>
      <w:bookmarkStart w:id="202" w:name="Merging_Complex_Types"/>
      <w:bookmarkEnd w:id="202"/>
      <w:r>
        <w:rPr>
          <w:color w:val="333333"/>
          <w:w w:val="105"/>
        </w:rPr>
        <w:t>Merging Complex Types</w:t>
      </w:r>
    </w:p>
    <w:p w14:paraId="6B863312" w14:textId="77777777" w:rsidR="00A720EB" w:rsidRDefault="00A720EB">
      <w:pPr>
        <w:pStyle w:val="a3"/>
        <w:spacing w:before="12"/>
        <w:rPr>
          <w:rFonts w:ascii="Palatino Linotype"/>
          <w:b/>
          <w:sz w:val="18"/>
        </w:rPr>
      </w:pPr>
    </w:p>
    <w:p w14:paraId="16621C86" w14:textId="77777777" w:rsidR="00A720EB" w:rsidRDefault="0030286B">
      <w:pPr>
        <w:pStyle w:val="a3"/>
        <w:ind w:left="124"/>
      </w:pPr>
      <w:r>
        <w:rPr>
          <w:color w:val="333333"/>
          <w:w w:val="110"/>
        </w:rPr>
        <w:t>When lists are configured in more than one place, overriding works by replacing the entire list.</w:t>
      </w:r>
    </w:p>
    <w:p w14:paraId="4CECF235" w14:textId="77777777" w:rsidR="00A720EB" w:rsidRDefault="00A720EB">
      <w:pPr>
        <w:pStyle w:val="a3"/>
        <w:spacing w:before="5"/>
        <w:rPr>
          <w:sz w:val="25"/>
        </w:rPr>
      </w:pPr>
    </w:p>
    <w:p w14:paraId="3914B791" w14:textId="77777777" w:rsidR="00A720EB" w:rsidRDefault="0030286B">
      <w:pPr>
        <w:pStyle w:val="a3"/>
        <w:spacing w:before="1" w:line="280" w:lineRule="auto"/>
        <w:ind w:left="124"/>
      </w:pPr>
      <w:r>
        <w:rPr>
          <w:color w:val="333333"/>
          <w:spacing w:val="-4"/>
          <w:w w:val="110"/>
        </w:rPr>
        <w:t xml:space="preserve">For </w:t>
      </w:r>
      <w:r>
        <w:rPr>
          <w:color w:val="333333"/>
          <w:w w:val="110"/>
        </w:rPr>
        <w:t xml:space="preserve">example, assume a </w:t>
      </w:r>
      <w:r>
        <w:rPr>
          <w:rFonts w:ascii="MS Gothic"/>
          <w:color w:val="B02045"/>
          <w:w w:val="110"/>
        </w:rPr>
        <w:t>MyPojo</w:t>
      </w:r>
      <w:r>
        <w:rPr>
          <w:rFonts w:ascii="MS Gothic"/>
          <w:color w:val="B02045"/>
          <w:spacing w:val="-56"/>
          <w:w w:val="110"/>
        </w:rPr>
        <w:t xml:space="preserve"> </w:t>
      </w:r>
      <w:r>
        <w:rPr>
          <w:color w:val="333333"/>
          <w:w w:val="110"/>
        </w:rPr>
        <w:t xml:space="preserve">object with </w:t>
      </w:r>
      <w:r>
        <w:rPr>
          <w:rFonts w:ascii="MS Gothic"/>
          <w:color w:val="B02045"/>
          <w:w w:val="110"/>
        </w:rPr>
        <w:t>name</w:t>
      </w:r>
      <w:r>
        <w:rPr>
          <w:rFonts w:ascii="MS Gothic"/>
          <w:color w:val="B02045"/>
          <w:spacing w:val="-56"/>
          <w:w w:val="110"/>
        </w:rPr>
        <w:t xml:space="preserve"> </w:t>
      </w:r>
      <w:r>
        <w:rPr>
          <w:color w:val="333333"/>
          <w:w w:val="110"/>
        </w:rPr>
        <w:t xml:space="preserve">and </w:t>
      </w:r>
      <w:r>
        <w:rPr>
          <w:rFonts w:ascii="MS Gothic"/>
          <w:color w:val="B02045"/>
          <w:w w:val="110"/>
        </w:rPr>
        <w:t>description</w:t>
      </w:r>
      <w:r>
        <w:rPr>
          <w:rFonts w:ascii="MS Gothic"/>
          <w:color w:val="B02045"/>
          <w:spacing w:val="-56"/>
          <w:w w:val="110"/>
        </w:rPr>
        <w:t xml:space="preserve"> </w:t>
      </w:r>
      <w:r>
        <w:rPr>
          <w:color w:val="333333"/>
          <w:w w:val="110"/>
        </w:rPr>
        <w:t xml:space="preserve">attributes that are </w:t>
      </w:r>
      <w:r>
        <w:rPr>
          <w:rFonts w:ascii="MS Gothic"/>
          <w:color w:val="B02045"/>
          <w:w w:val="110"/>
        </w:rPr>
        <w:t>null</w:t>
      </w:r>
      <w:r>
        <w:rPr>
          <w:rFonts w:ascii="MS Gothic"/>
          <w:color w:val="B02045"/>
          <w:spacing w:val="-56"/>
          <w:w w:val="110"/>
        </w:rPr>
        <w:t xml:space="preserve"> </w:t>
      </w:r>
      <w:r>
        <w:rPr>
          <w:color w:val="333333"/>
          <w:spacing w:val="-3"/>
          <w:w w:val="110"/>
        </w:rPr>
        <w:t xml:space="preserve">by </w:t>
      </w:r>
      <w:r>
        <w:rPr>
          <w:color w:val="333333"/>
          <w:w w:val="110"/>
        </w:rPr>
        <w:t xml:space="preserve">default. The following example exposes a list of </w:t>
      </w:r>
      <w:r>
        <w:rPr>
          <w:rFonts w:ascii="MS Gothic"/>
          <w:color w:val="B02045"/>
          <w:w w:val="110"/>
        </w:rPr>
        <w:t>MyPojo</w:t>
      </w:r>
      <w:r>
        <w:rPr>
          <w:rFonts w:ascii="MS Gothic"/>
          <w:color w:val="B02045"/>
          <w:spacing w:val="-66"/>
          <w:w w:val="110"/>
        </w:rPr>
        <w:t xml:space="preserve"> </w:t>
      </w:r>
      <w:r>
        <w:rPr>
          <w:color w:val="333333"/>
          <w:w w:val="110"/>
        </w:rPr>
        <w:t xml:space="preserve">objects from </w:t>
      </w:r>
      <w:r>
        <w:rPr>
          <w:rFonts w:ascii="MS Gothic"/>
          <w:color w:val="B02045"/>
          <w:w w:val="110"/>
        </w:rPr>
        <w:t>AcmeProperties</w:t>
      </w:r>
      <w:r>
        <w:rPr>
          <w:color w:val="333333"/>
          <w:w w:val="110"/>
        </w:rPr>
        <w:t>:</w:t>
      </w:r>
    </w:p>
    <w:p w14:paraId="6AD3071F" w14:textId="77777777" w:rsidR="00A720EB" w:rsidRDefault="00A720EB">
      <w:pPr>
        <w:spacing w:line="280" w:lineRule="auto"/>
        <w:sectPr w:rsidR="00A720EB">
          <w:pgSz w:w="11910" w:h="16840"/>
          <w:pgMar w:top="700" w:right="840" w:bottom="520" w:left="840" w:header="0" w:footer="323" w:gutter="0"/>
          <w:cols w:space="720"/>
        </w:sectPr>
      </w:pPr>
    </w:p>
    <w:p w14:paraId="3CC51B1C" w14:textId="77777777" w:rsidR="00A720EB" w:rsidRDefault="00E10349">
      <w:pPr>
        <w:pStyle w:val="a3"/>
        <w:ind w:left="116"/>
        <w:rPr>
          <w:sz w:val="20"/>
        </w:rPr>
      </w:pPr>
      <w:r>
        <w:rPr>
          <w:sz w:val="20"/>
        </w:rPr>
      </w:r>
      <w:r>
        <w:rPr>
          <w:sz w:val="20"/>
        </w:rPr>
        <w:pict w14:anchorId="1CA50881">
          <v:group id="_x0000_s4516" style="width:499.55pt;height:170.15pt;mso-position-horizontal-relative:char;mso-position-vertical-relative:line" coordsize="9991,3403">
            <v:shape id="_x0000_s4519" style="position:absolute;left:7;top:7;width:9976;height:3388" coordorigin="8,8" coordsize="9976,3388" path="m9904,8l88,8,56,14,31,31,14,56,8,88r,3227l14,3347r17,25l56,3389r32,6l9904,3395r31,-6l9960,3372r17,-25l9984,3315r,-3227l9977,56,9960,31,9935,14,9904,8xe" fillcolor="#f5f5f5" stroked="f">
              <v:path arrowok="t"/>
            </v:shape>
            <v:shape id="_x0000_s4518" style="position:absolute;left:7;top:7;width:9976;height:3388" coordorigin="8,8" coordsize="9976,3388" path="m88,8r9816,l9935,14r25,17l9977,56r7,32l9984,3315r-7,32l9960,3372r-25,17l9904,3395r-9816,l56,3389,31,3372,14,3347,8,3315,8,88,14,56,31,31,56,14,88,8xe" filled="f" strokecolor="#ccc">
              <v:path arrowok="t"/>
            </v:shape>
            <v:shape id="_x0000_s4517" type="#_x0000_t202" style="position:absolute;left:26;top:22;width:9938;height:3358" filled="f" stroked="f">
              <v:textbox inset="0,0,0,0">
                <w:txbxContent>
                  <w:p w14:paraId="0E2B8F64" w14:textId="77777777" w:rsidR="00711A16" w:rsidRDefault="00711A16">
                    <w:pPr>
                      <w:spacing w:before="221" w:line="252" w:lineRule="auto"/>
                      <w:ind w:left="200" w:right="6198"/>
                      <w:rPr>
                        <w:rFonts w:ascii="MS Gothic"/>
                      </w:rPr>
                    </w:pPr>
                    <w:r>
                      <w:rPr>
                        <w:rFonts w:ascii="MS Gothic"/>
                        <w:color w:val="333333"/>
                      </w:rPr>
                      <w:t>@ConfigurationProperties("acme") public class AcmeProperties {</w:t>
                    </w:r>
                  </w:p>
                  <w:p w14:paraId="3828AA73" w14:textId="77777777" w:rsidR="00711A16" w:rsidRDefault="00711A16">
                    <w:pPr>
                      <w:spacing w:before="40" w:line="590" w:lineRule="exact"/>
                      <w:ind w:left="640" w:right="3558"/>
                      <w:rPr>
                        <w:rFonts w:ascii="MS Gothic"/>
                      </w:rPr>
                    </w:pPr>
                    <w:r>
                      <w:rPr>
                        <w:rFonts w:ascii="MS Gothic"/>
                        <w:color w:val="333333"/>
                      </w:rPr>
                      <w:t>private final List&lt;MyPojo&gt; list = new ArrayList&lt;</w:t>
                    </w:r>
                    <w:proofErr w:type="gramStart"/>
                    <w:r>
                      <w:rPr>
                        <w:rFonts w:ascii="MS Gothic"/>
                        <w:color w:val="333333"/>
                      </w:rPr>
                      <w:t>&gt;(</w:t>
                    </w:r>
                    <w:proofErr w:type="gramEnd"/>
                    <w:r>
                      <w:rPr>
                        <w:rFonts w:ascii="MS Gothic"/>
                        <w:color w:val="333333"/>
                      </w:rPr>
                      <w:t>); public List&lt;MyPojo&gt; getList() {</w:t>
                    </w:r>
                  </w:p>
                  <w:p w14:paraId="0B1FBD52" w14:textId="77777777" w:rsidR="00711A16" w:rsidRDefault="00711A16">
                    <w:pPr>
                      <w:spacing w:line="238" w:lineRule="exact"/>
                      <w:ind w:left="1080"/>
                      <w:rPr>
                        <w:rFonts w:ascii="MS Gothic"/>
                      </w:rPr>
                    </w:pPr>
                    <w:r>
                      <w:rPr>
                        <w:rFonts w:ascii="MS Gothic"/>
                        <w:color w:val="333333"/>
                      </w:rPr>
                      <w:t xml:space="preserve">return </w:t>
                    </w:r>
                    <w:proofErr w:type="gramStart"/>
                    <w:r>
                      <w:rPr>
                        <w:rFonts w:ascii="MS Gothic"/>
                        <w:color w:val="333333"/>
                      </w:rPr>
                      <w:t>this.list</w:t>
                    </w:r>
                    <w:proofErr w:type="gramEnd"/>
                    <w:r>
                      <w:rPr>
                        <w:rFonts w:ascii="MS Gothic"/>
                        <w:color w:val="333333"/>
                      </w:rPr>
                      <w:t>;</w:t>
                    </w:r>
                  </w:p>
                  <w:p w14:paraId="5BAEA776" w14:textId="77777777" w:rsidR="00711A16" w:rsidRDefault="00711A16">
                    <w:pPr>
                      <w:spacing w:before="13"/>
                      <w:ind w:left="640"/>
                      <w:rPr>
                        <w:rFonts w:ascii="MS Gothic"/>
                      </w:rPr>
                    </w:pPr>
                    <w:r>
                      <w:rPr>
                        <w:rFonts w:ascii="MS Gothic"/>
                        <w:color w:val="333333"/>
                      </w:rPr>
                      <w:t>}</w:t>
                    </w:r>
                  </w:p>
                  <w:p w14:paraId="565B4E4E" w14:textId="77777777" w:rsidR="00711A16" w:rsidRDefault="00711A16">
                    <w:pPr>
                      <w:rPr>
                        <w:rFonts w:ascii="MS Gothic"/>
                        <w:sz w:val="24"/>
                      </w:rPr>
                    </w:pPr>
                  </w:p>
                  <w:p w14:paraId="07D7EA85" w14:textId="77777777" w:rsidR="00711A16" w:rsidRDefault="00711A16">
                    <w:pPr>
                      <w:ind w:left="200"/>
                      <w:rPr>
                        <w:rFonts w:ascii="MS Gothic"/>
                      </w:rPr>
                    </w:pPr>
                    <w:r>
                      <w:rPr>
                        <w:rFonts w:ascii="MS Gothic"/>
                        <w:color w:val="333333"/>
                      </w:rPr>
                      <w:t>}</w:t>
                    </w:r>
                  </w:p>
                </w:txbxContent>
              </v:textbox>
            </v:shape>
            <w10:anchorlock/>
          </v:group>
        </w:pict>
      </w:r>
    </w:p>
    <w:p w14:paraId="70ADDBE8" w14:textId="77777777" w:rsidR="00A720EB" w:rsidRDefault="00A720EB">
      <w:pPr>
        <w:pStyle w:val="a3"/>
        <w:spacing w:before="2"/>
        <w:rPr>
          <w:sz w:val="10"/>
        </w:rPr>
      </w:pPr>
    </w:p>
    <w:p w14:paraId="58DA5235" w14:textId="77777777" w:rsidR="00A720EB" w:rsidRDefault="0030286B">
      <w:pPr>
        <w:pStyle w:val="a3"/>
        <w:spacing w:before="125"/>
        <w:ind w:left="124"/>
      </w:pPr>
      <w:r>
        <w:rPr>
          <w:color w:val="333333"/>
          <w:w w:val="110"/>
        </w:rPr>
        <w:t>Consider the following configuration:</w:t>
      </w:r>
    </w:p>
    <w:p w14:paraId="4A90B011" w14:textId="77777777" w:rsidR="00A720EB" w:rsidRDefault="00E10349">
      <w:pPr>
        <w:pStyle w:val="a3"/>
        <w:rPr>
          <w:sz w:val="19"/>
        </w:rPr>
      </w:pPr>
      <w:r>
        <w:pict w14:anchorId="0243EE65">
          <v:group id="_x0000_s4512" style="position:absolute;margin-left:47.85pt;margin-top:13.15pt;width:499.55pt;height:170.15pt;z-index:-15587840;mso-wrap-distance-left:0;mso-wrap-distance-right:0;mso-position-horizontal-relative:page" coordorigin="957,263" coordsize="9991,3403">
            <v:shape id="_x0000_s4515" style="position:absolute;left:964;top:270;width:9976;height:3388" coordorigin="965,270" coordsize="9976,3388" path="m10861,270r-9816,l1014,277r-26,17l971,319r-6,31l965,3578r6,32l988,3635r26,17l1045,3658r9816,l10892,3652r25,-17l10935,3610r6,-32l10941,350r-6,-31l10917,294r-25,-17l10861,270xe" fillcolor="#f5f5f5" stroked="f">
              <v:path arrowok="t"/>
            </v:shape>
            <v:shape id="_x0000_s4514" style="position:absolute;left:964;top:270;width:9976;height:3388" coordorigin="965,270" coordsize="9976,3388" path="m1045,270r9816,l10892,277r25,17l10935,319r6,31l10941,3578r-6,32l10917,3635r-25,17l10861,3658r-9816,l1014,3652r-26,-17l971,3610r-6,-32l965,350r6,-31l988,294r26,-17l1045,270xe" filled="f" strokecolor="#ccc">
              <v:path arrowok="t"/>
            </v:shape>
            <v:shape id="_x0000_s4513" type="#_x0000_t202" style="position:absolute;left:984;top:285;width:9938;height:3358" filled="f" stroked="f">
              <v:textbox inset="0,0,0,0">
                <w:txbxContent>
                  <w:p w14:paraId="735CDE1D" w14:textId="77777777" w:rsidR="00711A16" w:rsidRDefault="00711A16">
                    <w:pPr>
                      <w:spacing w:before="221"/>
                      <w:ind w:left="200"/>
                      <w:rPr>
                        <w:rFonts w:ascii="MS Gothic"/>
                      </w:rPr>
                    </w:pPr>
                    <w:r>
                      <w:rPr>
                        <w:rFonts w:ascii="MS Gothic"/>
                        <w:color w:val="333333"/>
                      </w:rPr>
                      <w:t>acme:</w:t>
                    </w:r>
                  </w:p>
                  <w:p w14:paraId="4CC20076" w14:textId="77777777" w:rsidR="00711A16" w:rsidRDefault="00711A16">
                    <w:pPr>
                      <w:spacing w:before="13"/>
                      <w:ind w:left="420"/>
                      <w:rPr>
                        <w:rFonts w:ascii="MS Gothic"/>
                      </w:rPr>
                    </w:pPr>
                    <w:r>
                      <w:rPr>
                        <w:rFonts w:ascii="MS Gothic"/>
                        <w:color w:val="333333"/>
                      </w:rPr>
                      <w:t>list:</w:t>
                    </w:r>
                  </w:p>
                  <w:p w14:paraId="499892E5" w14:textId="77777777" w:rsidR="00711A16" w:rsidRDefault="00711A16">
                    <w:pPr>
                      <w:numPr>
                        <w:ilvl w:val="0"/>
                        <w:numId w:val="58"/>
                      </w:numPr>
                      <w:tabs>
                        <w:tab w:val="left" w:pos="861"/>
                      </w:tabs>
                      <w:spacing w:before="13"/>
                      <w:ind w:hanging="221"/>
                      <w:rPr>
                        <w:rFonts w:ascii="MS Gothic"/>
                      </w:rPr>
                    </w:pPr>
                    <w:r>
                      <w:rPr>
                        <w:rFonts w:ascii="MS Gothic"/>
                        <w:color w:val="333333"/>
                      </w:rPr>
                      <w:t>name: my name</w:t>
                    </w:r>
                  </w:p>
                  <w:p w14:paraId="7D4847D6" w14:textId="77777777" w:rsidR="00711A16" w:rsidRDefault="00711A16">
                    <w:pPr>
                      <w:spacing w:before="13"/>
                      <w:ind w:left="860"/>
                      <w:rPr>
                        <w:rFonts w:ascii="MS Gothic"/>
                      </w:rPr>
                    </w:pPr>
                    <w:r>
                      <w:rPr>
                        <w:rFonts w:ascii="MS Gothic"/>
                        <w:color w:val="333333"/>
                      </w:rPr>
                      <w:t>description: my description</w:t>
                    </w:r>
                  </w:p>
                  <w:p w14:paraId="58F8C51E" w14:textId="77777777" w:rsidR="00711A16" w:rsidRDefault="00711A16">
                    <w:pPr>
                      <w:spacing w:before="12"/>
                      <w:ind w:left="200"/>
                      <w:rPr>
                        <w:rFonts w:ascii="MS Gothic"/>
                      </w:rPr>
                    </w:pPr>
                    <w:r>
                      <w:rPr>
                        <w:rFonts w:ascii="MS Gothic"/>
                        <w:color w:val="333333"/>
                      </w:rPr>
                      <w:t>---</w:t>
                    </w:r>
                  </w:p>
                  <w:p w14:paraId="5AAEEAC9" w14:textId="77777777" w:rsidR="00711A16" w:rsidRDefault="00711A16">
                    <w:pPr>
                      <w:spacing w:before="13" w:line="252" w:lineRule="auto"/>
                      <w:ind w:left="420" w:right="8068" w:hanging="220"/>
                      <w:rPr>
                        <w:rFonts w:ascii="MS Gothic"/>
                      </w:rPr>
                    </w:pPr>
                    <w:r>
                      <w:rPr>
                        <w:rFonts w:ascii="MS Gothic"/>
                        <w:color w:val="333333"/>
                      </w:rPr>
                      <w:t>spring: profiles: dev</w:t>
                    </w:r>
                  </w:p>
                  <w:p w14:paraId="03720787" w14:textId="77777777" w:rsidR="00711A16" w:rsidRDefault="00711A16">
                    <w:pPr>
                      <w:spacing w:line="280" w:lineRule="exact"/>
                      <w:ind w:left="200"/>
                      <w:rPr>
                        <w:rFonts w:ascii="MS Gothic"/>
                      </w:rPr>
                    </w:pPr>
                    <w:r>
                      <w:rPr>
                        <w:rFonts w:ascii="MS Gothic"/>
                        <w:color w:val="333333"/>
                      </w:rPr>
                      <w:t>acme:</w:t>
                    </w:r>
                  </w:p>
                  <w:p w14:paraId="489765BD" w14:textId="77777777" w:rsidR="00711A16" w:rsidRDefault="00711A16">
                    <w:pPr>
                      <w:spacing w:before="13"/>
                      <w:ind w:left="420"/>
                      <w:rPr>
                        <w:rFonts w:ascii="MS Gothic"/>
                      </w:rPr>
                    </w:pPr>
                    <w:r>
                      <w:rPr>
                        <w:rFonts w:ascii="MS Gothic"/>
                        <w:color w:val="333333"/>
                      </w:rPr>
                      <w:t>list:</w:t>
                    </w:r>
                  </w:p>
                  <w:p w14:paraId="7326D721" w14:textId="77777777" w:rsidR="00711A16" w:rsidRDefault="00711A16">
                    <w:pPr>
                      <w:numPr>
                        <w:ilvl w:val="0"/>
                        <w:numId w:val="58"/>
                      </w:numPr>
                      <w:tabs>
                        <w:tab w:val="left" w:pos="861"/>
                      </w:tabs>
                      <w:spacing w:before="13"/>
                      <w:ind w:hanging="221"/>
                      <w:rPr>
                        <w:rFonts w:ascii="MS Gothic"/>
                      </w:rPr>
                    </w:pPr>
                    <w:r>
                      <w:rPr>
                        <w:rFonts w:ascii="MS Gothic"/>
                        <w:color w:val="333333"/>
                      </w:rPr>
                      <w:t xml:space="preserve">name: </w:t>
                    </w:r>
                    <w:proofErr w:type="gramStart"/>
                    <w:r>
                      <w:rPr>
                        <w:rFonts w:ascii="MS Gothic"/>
                        <w:color w:val="333333"/>
                      </w:rPr>
                      <w:t>my another</w:t>
                    </w:r>
                    <w:proofErr w:type="gramEnd"/>
                    <w:r>
                      <w:rPr>
                        <w:rFonts w:ascii="MS Gothic"/>
                        <w:color w:val="333333"/>
                      </w:rPr>
                      <w:t xml:space="preserve"> name</w:t>
                    </w:r>
                  </w:p>
                </w:txbxContent>
              </v:textbox>
            </v:shape>
            <w10:wrap type="topAndBottom" anchorx="page"/>
          </v:group>
        </w:pict>
      </w:r>
    </w:p>
    <w:p w14:paraId="2BBF5CD6" w14:textId="77777777" w:rsidR="00A720EB" w:rsidRDefault="00A720EB">
      <w:pPr>
        <w:pStyle w:val="a3"/>
        <w:spacing w:before="11"/>
        <w:rPr>
          <w:sz w:val="9"/>
        </w:rPr>
      </w:pPr>
    </w:p>
    <w:p w14:paraId="67593D5B" w14:textId="77777777" w:rsidR="00A720EB" w:rsidRDefault="0030286B">
      <w:pPr>
        <w:pStyle w:val="a3"/>
        <w:spacing w:before="115" w:line="276" w:lineRule="auto"/>
        <w:ind w:left="124" w:right="122"/>
        <w:jc w:val="both"/>
      </w:pPr>
      <w:r>
        <w:rPr>
          <w:color w:val="333333"/>
          <w:w w:val="110"/>
        </w:rPr>
        <w:t xml:space="preserve">If the </w:t>
      </w:r>
      <w:r>
        <w:rPr>
          <w:rFonts w:ascii="MS Gothic"/>
          <w:color w:val="B02045"/>
          <w:w w:val="110"/>
        </w:rPr>
        <w:t>dev</w:t>
      </w:r>
      <w:r>
        <w:rPr>
          <w:rFonts w:ascii="MS Gothic"/>
          <w:color w:val="B02045"/>
          <w:spacing w:val="-69"/>
          <w:w w:val="110"/>
        </w:rPr>
        <w:t xml:space="preserve"> </w:t>
      </w:r>
      <w:r>
        <w:rPr>
          <w:color w:val="333333"/>
          <w:w w:val="110"/>
        </w:rPr>
        <w:t xml:space="preserve">profile is not active, </w:t>
      </w:r>
      <w:r>
        <w:rPr>
          <w:rFonts w:ascii="MS Gothic"/>
          <w:color w:val="B02045"/>
          <w:w w:val="110"/>
        </w:rPr>
        <w:t>AcmeProperties.list</w:t>
      </w:r>
      <w:r>
        <w:rPr>
          <w:rFonts w:ascii="MS Gothic"/>
          <w:color w:val="B02045"/>
          <w:spacing w:val="-69"/>
          <w:w w:val="110"/>
        </w:rPr>
        <w:t xml:space="preserve"> </w:t>
      </w:r>
      <w:r>
        <w:rPr>
          <w:color w:val="333333"/>
          <w:w w:val="110"/>
        </w:rPr>
        <w:t xml:space="preserve">contains one </w:t>
      </w:r>
      <w:r>
        <w:rPr>
          <w:rFonts w:ascii="MS Gothic"/>
          <w:color w:val="B02045"/>
          <w:w w:val="110"/>
        </w:rPr>
        <w:t>MyPojo</w:t>
      </w:r>
      <w:r>
        <w:rPr>
          <w:rFonts w:ascii="MS Gothic"/>
          <w:color w:val="B02045"/>
          <w:spacing w:val="-69"/>
          <w:w w:val="110"/>
        </w:rPr>
        <w:t xml:space="preserve"> </w:t>
      </w:r>
      <w:r>
        <w:rPr>
          <w:color w:val="333333"/>
          <w:spacing w:val="-4"/>
          <w:w w:val="110"/>
        </w:rPr>
        <w:t xml:space="preserve">entry, </w:t>
      </w:r>
      <w:r>
        <w:rPr>
          <w:color w:val="333333"/>
          <w:w w:val="110"/>
        </w:rPr>
        <w:t xml:space="preserve">as previously defined. If the </w:t>
      </w:r>
      <w:r>
        <w:rPr>
          <w:rFonts w:ascii="MS Gothic"/>
          <w:color w:val="B02045"/>
          <w:w w:val="110"/>
        </w:rPr>
        <w:t xml:space="preserve">dev </w:t>
      </w:r>
      <w:r>
        <w:rPr>
          <w:color w:val="333333"/>
          <w:w w:val="110"/>
        </w:rPr>
        <w:t xml:space="preserve">profile is enabled, however, the </w:t>
      </w:r>
      <w:r>
        <w:rPr>
          <w:rFonts w:ascii="MS Gothic"/>
          <w:color w:val="B02045"/>
          <w:w w:val="110"/>
        </w:rPr>
        <w:t xml:space="preserve">list </w:t>
      </w:r>
      <w:r>
        <w:rPr>
          <w:rFonts w:ascii="Palatino Linotype"/>
          <w:i/>
          <w:color w:val="333333"/>
          <w:w w:val="110"/>
        </w:rPr>
        <w:t xml:space="preserve">still </w:t>
      </w:r>
      <w:r>
        <w:rPr>
          <w:color w:val="333333"/>
          <w:w w:val="110"/>
        </w:rPr>
        <w:t xml:space="preserve">contains only one entry (with a name of </w:t>
      </w:r>
      <w:proofErr w:type="gramStart"/>
      <w:r>
        <w:rPr>
          <w:rFonts w:ascii="MS Gothic"/>
          <w:color w:val="B02045"/>
          <w:w w:val="110"/>
        </w:rPr>
        <w:t>my another</w:t>
      </w:r>
      <w:proofErr w:type="gramEnd"/>
      <w:r>
        <w:rPr>
          <w:rFonts w:ascii="MS Gothic"/>
          <w:color w:val="B02045"/>
          <w:w w:val="110"/>
        </w:rPr>
        <w:t xml:space="preserve"> name</w:t>
      </w:r>
      <w:r>
        <w:rPr>
          <w:rFonts w:ascii="MS Gothic"/>
          <w:color w:val="B02045"/>
          <w:spacing w:val="-62"/>
          <w:w w:val="110"/>
        </w:rPr>
        <w:t xml:space="preserve"> </w:t>
      </w:r>
      <w:r>
        <w:rPr>
          <w:color w:val="333333"/>
          <w:w w:val="110"/>
        </w:rPr>
        <w:t xml:space="preserve">and a description of </w:t>
      </w:r>
      <w:r>
        <w:rPr>
          <w:rFonts w:ascii="MS Gothic"/>
          <w:color w:val="B02045"/>
          <w:w w:val="110"/>
        </w:rPr>
        <w:t>null</w:t>
      </w:r>
      <w:r>
        <w:rPr>
          <w:color w:val="333333"/>
          <w:w w:val="110"/>
        </w:rPr>
        <w:t xml:space="preserve">). This configuration </w:t>
      </w:r>
      <w:r>
        <w:rPr>
          <w:rFonts w:ascii="Palatino Linotype"/>
          <w:i/>
          <w:color w:val="333333"/>
          <w:w w:val="110"/>
        </w:rPr>
        <w:t xml:space="preserve">does not </w:t>
      </w:r>
      <w:r>
        <w:rPr>
          <w:color w:val="333333"/>
          <w:w w:val="110"/>
        </w:rPr>
        <w:t xml:space="preserve">add a second </w:t>
      </w:r>
      <w:r>
        <w:rPr>
          <w:rFonts w:ascii="MS Gothic"/>
          <w:color w:val="B02045"/>
          <w:w w:val="110"/>
        </w:rPr>
        <w:t>MyPojo</w:t>
      </w:r>
      <w:r>
        <w:rPr>
          <w:rFonts w:ascii="MS Gothic"/>
          <w:color w:val="B02045"/>
          <w:spacing w:val="-62"/>
          <w:w w:val="110"/>
        </w:rPr>
        <w:t xml:space="preserve"> </w:t>
      </w:r>
      <w:r>
        <w:rPr>
          <w:color w:val="333333"/>
          <w:w w:val="110"/>
        </w:rPr>
        <w:t>instance to the list, and it does not merge the items.</w:t>
      </w:r>
    </w:p>
    <w:p w14:paraId="6593AE10" w14:textId="77777777" w:rsidR="00A720EB" w:rsidRDefault="00A720EB">
      <w:pPr>
        <w:pStyle w:val="a3"/>
        <w:spacing w:before="1"/>
        <w:rPr>
          <w:sz w:val="22"/>
        </w:rPr>
      </w:pPr>
    </w:p>
    <w:p w14:paraId="6D898C21" w14:textId="77777777" w:rsidR="00A720EB" w:rsidRDefault="0030286B">
      <w:pPr>
        <w:pStyle w:val="a3"/>
        <w:spacing w:line="290" w:lineRule="auto"/>
        <w:ind w:left="124" w:right="132"/>
        <w:jc w:val="both"/>
      </w:pPr>
      <w:r>
        <w:rPr>
          <w:color w:val="333333"/>
          <w:w w:val="110"/>
        </w:rPr>
        <w:t xml:space="preserve">When a </w:t>
      </w:r>
      <w:r>
        <w:rPr>
          <w:rFonts w:ascii="MS Gothic"/>
          <w:color w:val="B02045"/>
          <w:w w:val="110"/>
        </w:rPr>
        <w:t xml:space="preserve">List </w:t>
      </w:r>
      <w:r>
        <w:rPr>
          <w:color w:val="333333"/>
          <w:w w:val="110"/>
        </w:rPr>
        <w:t>is specified in multiple profiles, the one with the highest priority (and only that one) is used. Consider the following example:</w:t>
      </w:r>
    </w:p>
    <w:p w14:paraId="50D1B28B" w14:textId="77777777" w:rsidR="00A720EB" w:rsidRDefault="00E10349">
      <w:pPr>
        <w:pStyle w:val="a3"/>
        <w:spacing w:before="7"/>
        <w:rPr>
          <w:sz w:val="14"/>
        </w:rPr>
      </w:pPr>
      <w:r>
        <w:pict w14:anchorId="031D4EA5">
          <v:group id="_x0000_s4508" style="position:absolute;margin-left:47.85pt;margin-top:10.55pt;width:499.55pt;height:199.65pt;z-index:-15587328;mso-wrap-distance-left:0;mso-wrap-distance-right:0;mso-position-horizontal-relative:page" coordorigin="957,211" coordsize="9991,3993">
            <v:shape id="_x0000_s4511" style="position:absolute;left:964;top:218;width:9976;height:3978" coordorigin="965,219" coordsize="9976,3978" path="m10861,219r-9816,l1014,225r-26,17l971,267r-6,32l965,4116r6,31l988,4173r26,17l1045,4196r9816,l10892,4190r25,-17l10935,4147r6,-31l10941,299r-6,-32l10917,242r-25,-17l10861,219xe" fillcolor="#f5f5f5" stroked="f">
              <v:path arrowok="t"/>
            </v:shape>
            <v:shape id="_x0000_s4510" style="position:absolute;left:964;top:218;width:9976;height:3978" coordorigin="965,219" coordsize="9976,3978" path="m1045,219r9816,l10892,225r25,17l10935,267r6,32l10941,4116r-6,31l10917,4173r-25,17l10861,4196r-9816,l1014,4190r-26,-17l971,4147r-6,-31l965,299r6,-32l988,242r26,-17l1045,219xe" filled="f" strokecolor="#ccc">
              <v:path arrowok="t"/>
            </v:shape>
            <v:shape id="_x0000_s4509" type="#_x0000_t202" style="position:absolute;left:984;top:234;width:9938;height:3947" filled="f" stroked="f">
              <v:textbox inset="0,0,0,0">
                <w:txbxContent>
                  <w:p w14:paraId="15FECDBF" w14:textId="77777777" w:rsidR="00711A16" w:rsidRDefault="00711A16">
                    <w:pPr>
                      <w:spacing w:before="221"/>
                      <w:ind w:left="200"/>
                      <w:rPr>
                        <w:rFonts w:ascii="MS Gothic"/>
                      </w:rPr>
                    </w:pPr>
                    <w:r>
                      <w:rPr>
                        <w:rFonts w:ascii="MS Gothic"/>
                        <w:color w:val="333333"/>
                      </w:rPr>
                      <w:t>acme:</w:t>
                    </w:r>
                  </w:p>
                  <w:p w14:paraId="6B27CDBC" w14:textId="77777777" w:rsidR="00711A16" w:rsidRDefault="00711A16">
                    <w:pPr>
                      <w:spacing w:before="13"/>
                      <w:ind w:left="420"/>
                      <w:rPr>
                        <w:rFonts w:ascii="MS Gothic"/>
                      </w:rPr>
                    </w:pPr>
                    <w:r>
                      <w:rPr>
                        <w:rFonts w:ascii="MS Gothic"/>
                        <w:color w:val="333333"/>
                      </w:rPr>
                      <w:t>list:</w:t>
                    </w:r>
                  </w:p>
                  <w:p w14:paraId="710C8BB9" w14:textId="77777777" w:rsidR="00711A16" w:rsidRDefault="00711A16">
                    <w:pPr>
                      <w:numPr>
                        <w:ilvl w:val="0"/>
                        <w:numId w:val="57"/>
                      </w:numPr>
                      <w:tabs>
                        <w:tab w:val="left" w:pos="861"/>
                      </w:tabs>
                      <w:spacing w:before="13"/>
                      <w:ind w:hanging="221"/>
                      <w:rPr>
                        <w:rFonts w:ascii="MS Gothic"/>
                      </w:rPr>
                    </w:pPr>
                    <w:r>
                      <w:rPr>
                        <w:rFonts w:ascii="MS Gothic"/>
                        <w:color w:val="333333"/>
                      </w:rPr>
                      <w:t>name: my name</w:t>
                    </w:r>
                  </w:p>
                  <w:p w14:paraId="09591DBD" w14:textId="77777777" w:rsidR="00711A16" w:rsidRDefault="00711A16">
                    <w:pPr>
                      <w:spacing w:before="13"/>
                      <w:ind w:left="860"/>
                      <w:rPr>
                        <w:rFonts w:ascii="MS Gothic"/>
                      </w:rPr>
                    </w:pPr>
                    <w:r>
                      <w:rPr>
                        <w:rFonts w:ascii="MS Gothic"/>
                        <w:color w:val="333333"/>
                      </w:rPr>
                      <w:t>description: my description</w:t>
                    </w:r>
                  </w:p>
                  <w:p w14:paraId="3AD693EF" w14:textId="77777777" w:rsidR="00711A16" w:rsidRDefault="00711A16">
                    <w:pPr>
                      <w:numPr>
                        <w:ilvl w:val="0"/>
                        <w:numId w:val="57"/>
                      </w:numPr>
                      <w:tabs>
                        <w:tab w:val="left" w:pos="861"/>
                      </w:tabs>
                      <w:spacing w:before="12"/>
                      <w:ind w:hanging="221"/>
                      <w:rPr>
                        <w:rFonts w:ascii="MS Gothic"/>
                      </w:rPr>
                    </w:pPr>
                    <w:r>
                      <w:rPr>
                        <w:rFonts w:ascii="MS Gothic"/>
                        <w:color w:val="333333"/>
                      </w:rPr>
                      <w:t>name: another name</w:t>
                    </w:r>
                  </w:p>
                  <w:p w14:paraId="54F5FB1C" w14:textId="77777777" w:rsidR="00711A16" w:rsidRDefault="00711A16">
                    <w:pPr>
                      <w:spacing w:before="13"/>
                      <w:ind w:left="860"/>
                      <w:rPr>
                        <w:rFonts w:ascii="MS Gothic"/>
                      </w:rPr>
                    </w:pPr>
                    <w:r>
                      <w:rPr>
                        <w:rFonts w:ascii="MS Gothic"/>
                        <w:color w:val="333333"/>
                      </w:rPr>
                      <w:t>description: another description</w:t>
                    </w:r>
                  </w:p>
                  <w:p w14:paraId="7BAF3F5A" w14:textId="77777777" w:rsidR="00711A16" w:rsidRDefault="00711A16">
                    <w:pPr>
                      <w:spacing w:before="13"/>
                      <w:ind w:left="200"/>
                      <w:rPr>
                        <w:rFonts w:ascii="MS Gothic"/>
                      </w:rPr>
                    </w:pPr>
                    <w:r>
                      <w:rPr>
                        <w:rFonts w:ascii="MS Gothic"/>
                        <w:color w:val="333333"/>
                      </w:rPr>
                      <w:t>---</w:t>
                    </w:r>
                  </w:p>
                  <w:p w14:paraId="0D1E6C44" w14:textId="77777777" w:rsidR="00711A16" w:rsidRDefault="00711A16">
                    <w:pPr>
                      <w:spacing w:before="13" w:line="252" w:lineRule="auto"/>
                      <w:ind w:left="420" w:right="8068" w:hanging="220"/>
                      <w:rPr>
                        <w:rFonts w:ascii="MS Gothic"/>
                      </w:rPr>
                    </w:pPr>
                    <w:r>
                      <w:rPr>
                        <w:rFonts w:ascii="MS Gothic"/>
                        <w:color w:val="333333"/>
                      </w:rPr>
                      <w:t>spring: profiles: dev</w:t>
                    </w:r>
                  </w:p>
                  <w:p w14:paraId="632C16E3" w14:textId="77777777" w:rsidR="00711A16" w:rsidRDefault="00711A16">
                    <w:pPr>
                      <w:spacing w:line="280" w:lineRule="exact"/>
                      <w:ind w:left="200"/>
                      <w:rPr>
                        <w:rFonts w:ascii="MS Gothic"/>
                      </w:rPr>
                    </w:pPr>
                    <w:r>
                      <w:rPr>
                        <w:rFonts w:ascii="MS Gothic"/>
                        <w:color w:val="333333"/>
                      </w:rPr>
                      <w:t>acme:</w:t>
                    </w:r>
                  </w:p>
                  <w:p w14:paraId="2D76E66C" w14:textId="77777777" w:rsidR="00711A16" w:rsidRDefault="00711A16">
                    <w:pPr>
                      <w:spacing w:before="13"/>
                      <w:ind w:left="420"/>
                      <w:rPr>
                        <w:rFonts w:ascii="MS Gothic"/>
                      </w:rPr>
                    </w:pPr>
                    <w:r>
                      <w:rPr>
                        <w:rFonts w:ascii="MS Gothic"/>
                        <w:color w:val="333333"/>
                      </w:rPr>
                      <w:t>list:</w:t>
                    </w:r>
                  </w:p>
                  <w:p w14:paraId="45727C8C" w14:textId="77777777" w:rsidR="00711A16" w:rsidRDefault="00711A16">
                    <w:pPr>
                      <w:numPr>
                        <w:ilvl w:val="0"/>
                        <w:numId w:val="57"/>
                      </w:numPr>
                      <w:tabs>
                        <w:tab w:val="left" w:pos="861"/>
                      </w:tabs>
                      <w:spacing w:before="13"/>
                      <w:ind w:hanging="221"/>
                      <w:rPr>
                        <w:rFonts w:ascii="MS Gothic"/>
                      </w:rPr>
                    </w:pPr>
                    <w:r>
                      <w:rPr>
                        <w:rFonts w:ascii="MS Gothic"/>
                        <w:color w:val="333333"/>
                      </w:rPr>
                      <w:t xml:space="preserve">name: </w:t>
                    </w:r>
                    <w:proofErr w:type="gramStart"/>
                    <w:r>
                      <w:rPr>
                        <w:rFonts w:ascii="MS Gothic"/>
                        <w:color w:val="333333"/>
                      </w:rPr>
                      <w:t>my another</w:t>
                    </w:r>
                    <w:proofErr w:type="gramEnd"/>
                    <w:r>
                      <w:rPr>
                        <w:rFonts w:ascii="MS Gothic"/>
                        <w:color w:val="333333"/>
                      </w:rPr>
                      <w:t xml:space="preserve"> name</w:t>
                    </w:r>
                  </w:p>
                </w:txbxContent>
              </v:textbox>
            </v:shape>
            <w10:wrap type="topAndBottom" anchorx="page"/>
          </v:group>
        </w:pict>
      </w:r>
    </w:p>
    <w:p w14:paraId="17BB4F59" w14:textId="77777777" w:rsidR="00A720EB" w:rsidRDefault="00A720EB">
      <w:pPr>
        <w:pStyle w:val="a3"/>
        <w:spacing w:before="11"/>
        <w:rPr>
          <w:sz w:val="9"/>
        </w:rPr>
      </w:pPr>
    </w:p>
    <w:p w14:paraId="07DFBC70" w14:textId="77777777" w:rsidR="00A720EB" w:rsidRDefault="0030286B">
      <w:pPr>
        <w:pStyle w:val="a3"/>
        <w:spacing w:before="105" w:line="276" w:lineRule="auto"/>
        <w:ind w:left="124"/>
      </w:pPr>
      <w:r>
        <w:rPr>
          <w:color w:val="333333"/>
          <w:w w:val="110"/>
        </w:rPr>
        <w:t xml:space="preserve">In the preceding example, if the </w:t>
      </w:r>
      <w:r>
        <w:rPr>
          <w:rFonts w:ascii="MS Gothic"/>
          <w:color w:val="B02045"/>
          <w:w w:val="110"/>
        </w:rPr>
        <w:t>dev</w:t>
      </w:r>
      <w:r>
        <w:rPr>
          <w:rFonts w:ascii="MS Gothic"/>
          <w:color w:val="B02045"/>
          <w:spacing w:val="-64"/>
          <w:w w:val="110"/>
        </w:rPr>
        <w:t xml:space="preserve"> </w:t>
      </w:r>
      <w:r>
        <w:rPr>
          <w:color w:val="333333"/>
          <w:w w:val="110"/>
        </w:rPr>
        <w:t xml:space="preserve">profile is active, </w:t>
      </w:r>
      <w:r>
        <w:rPr>
          <w:rFonts w:ascii="MS Gothic"/>
          <w:color w:val="B02045"/>
          <w:w w:val="110"/>
        </w:rPr>
        <w:t>AcmeProperties.list</w:t>
      </w:r>
      <w:r>
        <w:rPr>
          <w:rFonts w:ascii="MS Gothic"/>
          <w:color w:val="B02045"/>
          <w:spacing w:val="-64"/>
          <w:w w:val="110"/>
        </w:rPr>
        <w:t xml:space="preserve"> </w:t>
      </w:r>
      <w:r>
        <w:rPr>
          <w:color w:val="333333"/>
          <w:w w:val="110"/>
        </w:rPr>
        <w:t xml:space="preserve">contains </w:t>
      </w:r>
      <w:r>
        <w:rPr>
          <w:rFonts w:ascii="Palatino Linotype"/>
          <w:i/>
          <w:color w:val="333333"/>
          <w:w w:val="110"/>
        </w:rPr>
        <w:t xml:space="preserve">one </w:t>
      </w:r>
      <w:r>
        <w:rPr>
          <w:rFonts w:ascii="MS Gothic"/>
          <w:color w:val="B02045"/>
          <w:w w:val="110"/>
        </w:rPr>
        <w:t>MyPojo</w:t>
      </w:r>
      <w:r>
        <w:rPr>
          <w:rFonts w:ascii="MS Gothic"/>
          <w:color w:val="B02045"/>
          <w:spacing w:val="-63"/>
          <w:w w:val="110"/>
        </w:rPr>
        <w:t xml:space="preserve"> </w:t>
      </w:r>
      <w:r>
        <w:rPr>
          <w:color w:val="333333"/>
          <w:w w:val="110"/>
        </w:rPr>
        <w:t xml:space="preserve">entry (with a name of </w:t>
      </w:r>
      <w:proofErr w:type="gramStart"/>
      <w:r>
        <w:rPr>
          <w:rFonts w:ascii="MS Gothic"/>
          <w:color w:val="B02045"/>
          <w:w w:val="110"/>
        </w:rPr>
        <w:t>my another</w:t>
      </w:r>
      <w:proofErr w:type="gramEnd"/>
      <w:r>
        <w:rPr>
          <w:rFonts w:ascii="MS Gothic"/>
          <w:color w:val="B02045"/>
          <w:w w:val="110"/>
        </w:rPr>
        <w:t xml:space="preserve"> name </w:t>
      </w:r>
      <w:r>
        <w:rPr>
          <w:color w:val="333333"/>
          <w:w w:val="110"/>
        </w:rPr>
        <w:t xml:space="preserve">and a description of </w:t>
      </w:r>
      <w:r>
        <w:rPr>
          <w:rFonts w:ascii="MS Gothic"/>
          <w:color w:val="B02045"/>
          <w:w w:val="110"/>
        </w:rPr>
        <w:t>null</w:t>
      </w:r>
      <w:r>
        <w:rPr>
          <w:color w:val="333333"/>
          <w:w w:val="110"/>
        </w:rPr>
        <w:t xml:space="preserve">). </w:t>
      </w:r>
      <w:r>
        <w:rPr>
          <w:color w:val="333333"/>
          <w:spacing w:val="-4"/>
          <w:w w:val="110"/>
        </w:rPr>
        <w:t xml:space="preserve">For YAML, </w:t>
      </w:r>
      <w:r>
        <w:rPr>
          <w:color w:val="333333"/>
          <w:w w:val="110"/>
        </w:rPr>
        <w:t>both comma-separated lists</w:t>
      </w:r>
    </w:p>
    <w:p w14:paraId="2D4CC385" w14:textId="77777777" w:rsidR="00A720EB" w:rsidRDefault="00A720EB">
      <w:pPr>
        <w:spacing w:line="276" w:lineRule="auto"/>
        <w:sectPr w:rsidR="00A720EB">
          <w:pgSz w:w="11910" w:h="16840"/>
          <w:pgMar w:top="700" w:right="840" w:bottom="520" w:left="840" w:header="0" w:footer="323" w:gutter="0"/>
          <w:cols w:space="720"/>
        </w:sectPr>
      </w:pPr>
    </w:p>
    <w:p w14:paraId="74F58CF2" w14:textId="77777777" w:rsidR="00A720EB" w:rsidRDefault="0030286B">
      <w:pPr>
        <w:pStyle w:val="a3"/>
        <w:spacing w:before="107"/>
        <w:ind w:left="124"/>
        <w:jc w:val="both"/>
      </w:pPr>
      <w:r>
        <w:rPr>
          <w:color w:val="333333"/>
          <w:w w:val="110"/>
        </w:rPr>
        <w:lastRenderedPageBreak/>
        <w:t>and YAML lists can be used for completely overriding the contents of the list.</w:t>
      </w:r>
    </w:p>
    <w:p w14:paraId="0B2D12A2" w14:textId="77777777" w:rsidR="00A720EB" w:rsidRDefault="00A720EB">
      <w:pPr>
        <w:pStyle w:val="a3"/>
        <w:spacing w:before="5"/>
        <w:rPr>
          <w:sz w:val="25"/>
        </w:rPr>
      </w:pPr>
    </w:p>
    <w:p w14:paraId="5B3087EC" w14:textId="77777777" w:rsidR="00A720EB" w:rsidRDefault="0030286B">
      <w:pPr>
        <w:pStyle w:val="a3"/>
        <w:spacing w:line="295" w:lineRule="auto"/>
        <w:ind w:left="124" w:right="133"/>
        <w:jc w:val="both"/>
      </w:pPr>
      <w:r>
        <w:rPr>
          <w:color w:val="333333"/>
          <w:spacing w:val="-4"/>
          <w:w w:val="110"/>
        </w:rPr>
        <w:t xml:space="preserve">For </w:t>
      </w:r>
      <w:r>
        <w:rPr>
          <w:rFonts w:ascii="MS Gothic"/>
          <w:color w:val="B02045"/>
          <w:w w:val="110"/>
        </w:rPr>
        <w:t xml:space="preserve">Map </w:t>
      </w:r>
      <w:r>
        <w:rPr>
          <w:color w:val="333333"/>
          <w:w w:val="110"/>
        </w:rPr>
        <w:t>properties, you can bind with property values drawn from multiple sources. However, for the same property in multiple sources, the one with the highest priority is used. The following</w:t>
      </w:r>
      <w:r>
        <w:rPr>
          <w:color w:val="333333"/>
          <w:spacing w:val="50"/>
          <w:w w:val="110"/>
        </w:rPr>
        <w:t xml:space="preserve"> </w:t>
      </w:r>
      <w:r>
        <w:rPr>
          <w:color w:val="333333"/>
          <w:w w:val="110"/>
        </w:rPr>
        <w:t xml:space="preserve">example exposes a </w:t>
      </w:r>
      <w:r>
        <w:rPr>
          <w:rFonts w:ascii="MS Gothic"/>
          <w:color w:val="B02045"/>
          <w:w w:val="110"/>
        </w:rPr>
        <w:t>Map&lt;String, MyPojo&gt;</w:t>
      </w:r>
      <w:r>
        <w:rPr>
          <w:rFonts w:ascii="MS Gothic"/>
          <w:color w:val="B02045"/>
          <w:spacing w:val="-87"/>
          <w:w w:val="110"/>
        </w:rPr>
        <w:t xml:space="preserve"> </w:t>
      </w:r>
      <w:r>
        <w:rPr>
          <w:color w:val="333333"/>
          <w:w w:val="110"/>
        </w:rPr>
        <w:t xml:space="preserve">from </w:t>
      </w:r>
      <w:r>
        <w:rPr>
          <w:rFonts w:ascii="MS Gothic"/>
          <w:color w:val="B02045"/>
          <w:w w:val="110"/>
        </w:rPr>
        <w:t>AcmeProperties</w:t>
      </w:r>
      <w:r>
        <w:rPr>
          <w:color w:val="333333"/>
          <w:w w:val="110"/>
        </w:rPr>
        <w:t>:</w:t>
      </w:r>
    </w:p>
    <w:p w14:paraId="6FDB55FA" w14:textId="77777777" w:rsidR="00A720EB" w:rsidRDefault="00E10349">
      <w:pPr>
        <w:pStyle w:val="a3"/>
        <w:spacing w:before="5"/>
        <w:rPr>
          <w:sz w:val="12"/>
        </w:rPr>
      </w:pPr>
      <w:r>
        <w:pict w14:anchorId="165EBB08">
          <v:group id="_x0000_s4504" style="position:absolute;margin-left:47.85pt;margin-top:9.3pt;width:499.55pt;height:170.15pt;z-index:-15586816;mso-wrap-distance-left:0;mso-wrap-distance-right:0;mso-position-horizontal-relative:page" coordorigin="957,186" coordsize="9991,3403">
            <v:shape id="_x0000_s4507" style="position:absolute;left:964;top:193;width:9976;height:3388" coordorigin="965,194" coordsize="9976,3388" path="m10861,194r-9816,l1014,200r-26,17l971,242r-6,32l965,3502r6,31l988,3558r26,17l1045,3582r9816,l10892,3575r25,-17l10935,3533r6,-31l10941,274r-6,-32l10917,217r-25,-17l10861,194xe" fillcolor="#f5f5f5" stroked="f">
              <v:path arrowok="t"/>
            </v:shape>
            <v:shape id="_x0000_s4506" style="position:absolute;left:964;top:193;width:9976;height:3388" coordorigin="965,194" coordsize="9976,3388" path="m1045,194r9816,l10892,200r25,17l10935,242r6,32l10941,3502r-6,31l10917,3558r-25,17l10861,3582r-9816,l1014,3575r-26,-17l971,3533r-6,-31l965,274r6,-32l988,217r26,-17l1045,194xe" filled="f" strokecolor="#ccc">
              <v:path arrowok="t"/>
            </v:shape>
            <v:shape id="_x0000_s4505" type="#_x0000_t202" style="position:absolute;left:984;top:209;width:9938;height:3358" filled="f" stroked="f">
              <v:textbox inset="0,0,0,0">
                <w:txbxContent>
                  <w:p w14:paraId="0F24C480" w14:textId="77777777" w:rsidR="00711A16" w:rsidRDefault="00711A16">
                    <w:pPr>
                      <w:spacing w:before="221" w:line="252" w:lineRule="auto"/>
                      <w:ind w:left="200" w:right="6198"/>
                      <w:rPr>
                        <w:rFonts w:ascii="MS Gothic"/>
                      </w:rPr>
                    </w:pPr>
                    <w:r>
                      <w:rPr>
                        <w:rFonts w:ascii="MS Gothic"/>
                        <w:color w:val="333333"/>
                      </w:rPr>
                      <w:t>@ConfigurationProperties("acme") public class AcmeProperties {</w:t>
                    </w:r>
                  </w:p>
                  <w:p w14:paraId="10931F32" w14:textId="77777777" w:rsidR="00711A16" w:rsidRDefault="00711A16">
                    <w:pPr>
                      <w:spacing w:before="40" w:line="590" w:lineRule="exact"/>
                      <w:ind w:left="640" w:right="3118"/>
                      <w:rPr>
                        <w:rFonts w:ascii="MS Gothic"/>
                      </w:rPr>
                    </w:pPr>
                    <w:r>
                      <w:rPr>
                        <w:rFonts w:ascii="MS Gothic"/>
                        <w:color w:val="333333"/>
                      </w:rPr>
                      <w:t>private final Map&lt;String, MyPojo&gt; map = new HashMap&lt;</w:t>
                    </w:r>
                    <w:proofErr w:type="gramStart"/>
                    <w:r>
                      <w:rPr>
                        <w:rFonts w:ascii="MS Gothic"/>
                        <w:color w:val="333333"/>
                      </w:rPr>
                      <w:t>&gt;(</w:t>
                    </w:r>
                    <w:proofErr w:type="gramEnd"/>
                    <w:r>
                      <w:rPr>
                        <w:rFonts w:ascii="MS Gothic"/>
                        <w:color w:val="333333"/>
                      </w:rPr>
                      <w:t>); public Map&lt;String, MyPojo&gt; getMap() {</w:t>
                    </w:r>
                  </w:p>
                  <w:p w14:paraId="77207995" w14:textId="77777777" w:rsidR="00711A16" w:rsidRDefault="00711A16">
                    <w:pPr>
                      <w:spacing w:line="238" w:lineRule="exact"/>
                      <w:ind w:left="1080"/>
                      <w:rPr>
                        <w:rFonts w:ascii="MS Gothic"/>
                      </w:rPr>
                    </w:pPr>
                    <w:r>
                      <w:rPr>
                        <w:rFonts w:ascii="MS Gothic"/>
                        <w:color w:val="333333"/>
                      </w:rPr>
                      <w:t>return this.map;</w:t>
                    </w:r>
                  </w:p>
                  <w:p w14:paraId="33E540B7" w14:textId="77777777" w:rsidR="00711A16" w:rsidRDefault="00711A16">
                    <w:pPr>
                      <w:spacing w:before="13"/>
                      <w:ind w:left="640"/>
                      <w:rPr>
                        <w:rFonts w:ascii="MS Gothic"/>
                      </w:rPr>
                    </w:pPr>
                    <w:r>
                      <w:rPr>
                        <w:rFonts w:ascii="MS Gothic"/>
                        <w:color w:val="333333"/>
                      </w:rPr>
                      <w:t>}</w:t>
                    </w:r>
                  </w:p>
                  <w:p w14:paraId="7CF0826B" w14:textId="77777777" w:rsidR="00711A16" w:rsidRDefault="00711A16">
                    <w:pPr>
                      <w:rPr>
                        <w:rFonts w:ascii="MS Gothic"/>
                        <w:sz w:val="24"/>
                      </w:rPr>
                    </w:pPr>
                  </w:p>
                  <w:p w14:paraId="31C85030" w14:textId="77777777" w:rsidR="00711A16" w:rsidRDefault="00711A16">
                    <w:pPr>
                      <w:ind w:left="200"/>
                      <w:rPr>
                        <w:rFonts w:ascii="MS Gothic"/>
                      </w:rPr>
                    </w:pPr>
                    <w:r>
                      <w:rPr>
                        <w:rFonts w:ascii="MS Gothic"/>
                        <w:color w:val="333333"/>
                      </w:rPr>
                      <w:t>}</w:t>
                    </w:r>
                  </w:p>
                </w:txbxContent>
              </v:textbox>
            </v:shape>
            <w10:wrap type="topAndBottom" anchorx="page"/>
          </v:group>
        </w:pict>
      </w:r>
    </w:p>
    <w:p w14:paraId="4C7E5194" w14:textId="77777777" w:rsidR="00A720EB" w:rsidRDefault="00A720EB">
      <w:pPr>
        <w:pStyle w:val="a3"/>
        <w:rPr>
          <w:sz w:val="10"/>
        </w:rPr>
      </w:pPr>
    </w:p>
    <w:p w14:paraId="250C7B0D" w14:textId="77777777" w:rsidR="00A720EB" w:rsidRDefault="0030286B">
      <w:pPr>
        <w:pStyle w:val="a3"/>
        <w:spacing w:before="125"/>
        <w:ind w:left="124"/>
      </w:pPr>
      <w:r>
        <w:rPr>
          <w:color w:val="333333"/>
          <w:w w:val="110"/>
        </w:rPr>
        <w:t>Consider the following configuration:</w:t>
      </w:r>
    </w:p>
    <w:p w14:paraId="6AD964DB" w14:textId="77777777" w:rsidR="00A720EB" w:rsidRDefault="00E10349">
      <w:pPr>
        <w:pStyle w:val="a3"/>
        <w:rPr>
          <w:sz w:val="19"/>
        </w:rPr>
      </w:pPr>
      <w:r>
        <w:pict w14:anchorId="4B39D706">
          <v:group id="_x0000_s4500" style="position:absolute;margin-left:47.85pt;margin-top:13.15pt;width:499.55pt;height:243.85pt;z-index:-15586304;mso-wrap-distance-left:0;mso-wrap-distance-right:0;mso-position-horizontal-relative:page" coordorigin="957,263" coordsize="9991,4877">
            <v:shape id="_x0000_s4503" style="position:absolute;left:964;top:270;width:9976;height:4862" coordorigin="965,270" coordsize="9976,4862" path="m10861,270r-9816,l1014,276r-26,18l971,319r-6,31l965,5052r6,31l988,5109r26,17l1045,5132r9816,l10892,5126r25,-17l10935,5083r6,-31l10941,350r-6,-31l10917,294r-25,-18l10861,270xe" fillcolor="#f5f5f5" stroked="f">
              <v:path arrowok="t"/>
            </v:shape>
            <v:shape id="_x0000_s4502" style="position:absolute;left:964;top:270;width:9976;height:4862" coordorigin="965,270" coordsize="9976,4862" path="m1045,270r9816,l10892,276r25,18l10935,319r6,31l10941,5052r-6,31l10917,5109r-25,17l10861,5132r-9816,l1014,5126r-26,-17l971,5083r-6,-31l965,350r6,-31l988,294r26,-18l1045,270xe" filled="f" strokecolor="#ccc">
              <v:path arrowok="t"/>
            </v:shape>
            <v:shape id="_x0000_s4501" type="#_x0000_t202" style="position:absolute;left:984;top:285;width:9938;height:4832" filled="f" stroked="f">
              <v:textbox inset="0,0,0,0">
                <w:txbxContent>
                  <w:p w14:paraId="11EB6067" w14:textId="77777777" w:rsidR="00711A16" w:rsidRDefault="00711A16">
                    <w:pPr>
                      <w:spacing w:before="221"/>
                      <w:ind w:left="200"/>
                      <w:rPr>
                        <w:rFonts w:ascii="MS Gothic"/>
                      </w:rPr>
                    </w:pPr>
                    <w:r>
                      <w:rPr>
                        <w:rFonts w:ascii="MS Gothic"/>
                        <w:color w:val="333333"/>
                      </w:rPr>
                      <w:t>acme:</w:t>
                    </w:r>
                  </w:p>
                  <w:p w14:paraId="0DDE0A64" w14:textId="77777777" w:rsidR="00711A16" w:rsidRDefault="00711A16">
                    <w:pPr>
                      <w:spacing w:before="13"/>
                      <w:ind w:left="420"/>
                      <w:rPr>
                        <w:rFonts w:ascii="MS Gothic"/>
                      </w:rPr>
                    </w:pPr>
                    <w:r>
                      <w:rPr>
                        <w:rFonts w:ascii="MS Gothic"/>
                        <w:color w:val="333333"/>
                      </w:rPr>
                      <w:t>map:</w:t>
                    </w:r>
                  </w:p>
                  <w:p w14:paraId="1A414FEF" w14:textId="77777777" w:rsidR="00711A16" w:rsidRDefault="00711A16">
                    <w:pPr>
                      <w:spacing w:before="13"/>
                      <w:ind w:left="640"/>
                      <w:rPr>
                        <w:rFonts w:ascii="MS Gothic"/>
                      </w:rPr>
                    </w:pPr>
                    <w:r>
                      <w:rPr>
                        <w:rFonts w:ascii="MS Gothic"/>
                        <w:color w:val="333333"/>
                      </w:rPr>
                      <w:t>key1:</w:t>
                    </w:r>
                  </w:p>
                  <w:p w14:paraId="56A440BD" w14:textId="77777777" w:rsidR="00711A16" w:rsidRDefault="00711A16">
                    <w:pPr>
                      <w:spacing w:before="13"/>
                      <w:ind w:left="860"/>
                      <w:rPr>
                        <w:rFonts w:ascii="MS Gothic"/>
                      </w:rPr>
                    </w:pPr>
                    <w:r>
                      <w:rPr>
                        <w:rFonts w:ascii="MS Gothic"/>
                        <w:color w:val="333333"/>
                      </w:rPr>
                      <w:t>name: my name 1</w:t>
                    </w:r>
                  </w:p>
                  <w:p w14:paraId="76548659" w14:textId="77777777" w:rsidR="00711A16" w:rsidRDefault="00711A16">
                    <w:pPr>
                      <w:spacing w:before="12"/>
                      <w:ind w:left="860"/>
                      <w:rPr>
                        <w:rFonts w:ascii="MS Gothic"/>
                      </w:rPr>
                    </w:pPr>
                    <w:r>
                      <w:rPr>
                        <w:rFonts w:ascii="MS Gothic"/>
                        <w:color w:val="333333"/>
                      </w:rPr>
                      <w:t>description: my description 1</w:t>
                    </w:r>
                  </w:p>
                  <w:p w14:paraId="23B2EF8E" w14:textId="77777777" w:rsidR="00711A16" w:rsidRDefault="00711A16">
                    <w:pPr>
                      <w:spacing w:before="13"/>
                      <w:ind w:left="200"/>
                      <w:rPr>
                        <w:rFonts w:ascii="MS Gothic"/>
                      </w:rPr>
                    </w:pPr>
                    <w:r>
                      <w:rPr>
                        <w:rFonts w:ascii="MS Gothic"/>
                        <w:color w:val="333333"/>
                      </w:rPr>
                      <w:t>---</w:t>
                    </w:r>
                  </w:p>
                  <w:p w14:paraId="229CF1BB" w14:textId="77777777" w:rsidR="00711A16" w:rsidRDefault="00711A16">
                    <w:pPr>
                      <w:spacing w:before="13" w:line="252" w:lineRule="auto"/>
                      <w:ind w:left="420" w:right="8068" w:hanging="220"/>
                      <w:rPr>
                        <w:rFonts w:ascii="MS Gothic"/>
                      </w:rPr>
                    </w:pPr>
                    <w:r>
                      <w:rPr>
                        <w:rFonts w:ascii="MS Gothic"/>
                        <w:color w:val="333333"/>
                      </w:rPr>
                      <w:t>spring: profiles: dev</w:t>
                    </w:r>
                  </w:p>
                  <w:p w14:paraId="79F24FEC" w14:textId="77777777" w:rsidR="00711A16" w:rsidRDefault="00711A16">
                    <w:pPr>
                      <w:spacing w:line="280" w:lineRule="exact"/>
                      <w:ind w:left="200"/>
                      <w:rPr>
                        <w:rFonts w:ascii="MS Gothic"/>
                      </w:rPr>
                    </w:pPr>
                    <w:r>
                      <w:rPr>
                        <w:rFonts w:ascii="MS Gothic"/>
                        <w:color w:val="333333"/>
                      </w:rPr>
                      <w:t>acme:</w:t>
                    </w:r>
                  </w:p>
                  <w:p w14:paraId="5FF10B64" w14:textId="77777777" w:rsidR="00711A16" w:rsidRDefault="00711A16">
                    <w:pPr>
                      <w:spacing w:before="13"/>
                      <w:ind w:left="420"/>
                      <w:rPr>
                        <w:rFonts w:ascii="MS Gothic"/>
                      </w:rPr>
                    </w:pPr>
                    <w:r>
                      <w:rPr>
                        <w:rFonts w:ascii="MS Gothic"/>
                        <w:color w:val="333333"/>
                      </w:rPr>
                      <w:t>map:</w:t>
                    </w:r>
                  </w:p>
                  <w:p w14:paraId="3D4EE281" w14:textId="77777777" w:rsidR="00711A16" w:rsidRDefault="00711A16">
                    <w:pPr>
                      <w:spacing w:before="13"/>
                      <w:ind w:left="640"/>
                      <w:rPr>
                        <w:rFonts w:ascii="MS Gothic"/>
                      </w:rPr>
                    </w:pPr>
                    <w:r>
                      <w:rPr>
                        <w:rFonts w:ascii="MS Gothic"/>
                        <w:color w:val="333333"/>
                      </w:rPr>
                      <w:t>key1:</w:t>
                    </w:r>
                  </w:p>
                  <w:p w14:paraId="16544D47" w14:textId="77777777" w:rsidR="00711A16" w:rsidRDefault="00711A16">
                    <w:pPr>
                      <w:spacing w:before="13" w:line="252" w:lineRule="auto"/>
                      <w:ind w:left="640" w:right="7078" w:firstLine="220"/>
                      <w:rPr>
                        <w:rFonts w:ascii="MS Gothic"/>
                      </w:rPr>
                    </w:pPr>
                    <w:r>
                      <w:rPr>
                        <w:rFonts w:ascii="MS Gothic"/>
                        <w:color w:val="333333"/>
                      </w:rPr>
                      <w:t xml:space="preserve">name: dev name </w:t>
                    </w:r>
                    <w:r>
                      <w:rPr>
                        <w:rFonts w:ascii="MS Gothic"/>
                        <w:color w:val="333333"/>
                        <w:spacing w:val="-17"/>
                      </w:rPr>
                      <w:t xml:space="preserve">1 </w:t>
                    </w:r>
                    <w:r>
                      <w:rPr>
                        <w:rFonts w:ascii="MS Gothic"/>
                        <w:color w:val="333333"/>
                      </w:rPr>
                      <w:t>key2:</w:t>
                    </w:r>
                  </w:p>
                  <w:p w14:paraId="3B254B2D" w14:textId="77777777" w:rsidR="00711A16" w:rsidRDefault="00711A16">
                    <w:pPr>
                      <w:spacing w:line="280" w:lineRule="exact"/>
                      <w:ind w:left="860"/>
                      <w:rPr>
                        <w:rFonts w:ascii="MS Gothic"/>
                      </w:rPr>
                    </w:pPr>
                    <w:r>
                      <w:rPr>
                        <w:rFonts w:ascii="MS Gothic"/>
                        <w:color w:val="333333"/>
                      </w:rPr>
                      <w:t>name: dev name 2</w:t>
                    </w:r>
                  </w:p>
                  <w:p w14:paraId="20C1C189" w14:textId="77777777" w:rsidR="00711A16" w:rsidRDefault="00711A16">
                    <w:pPr>
                      <w:spacing w:before="13"/>
                      <w:ind w:left="860"/>
                      <w:rPr>
                        <w:rFonts w:ascii="MS Gothic"/>
                      </w:rPr>
                    </w:pPr>
                    <w:r>
                      <w:rPr>
                        <w:rFonts w:ascii="MS Gothic"/>
                        <w:color w:val="333333"/>
                      </w:rPr>
                      <w:t>description: dev description 2</w:t>
                    </w:r>
                  </w:p>
                </w:txbxContent>
              </v:textbox>
            </v:shape>
            <w10:wrap type="topAndBottom" anchorx="page"/>
          </v:group>
        </w:pict>
      </w:r>
    </w:p>
    <w:p w14:paraId="30FF1C2C" w14:textId="77777777" w:rsidR="00A720EB" w:rsidRDefault="00A720EB">
      <w:pPr>
        <w:pStyle w:val="a3"/>
        <w:spacing w:before="11"/>
        <w:rPr>
          <w:sz w:val="9"/>
        </w:rPr>
      </w:pPr>
    </w:p>
    <w:p w14:paraId="45E88C24" w14:textId="77777777" w:rsidR="00A720EB" w:rsidRDefault="0030286B">
      <w:pPr>
        <w:pStyle w:val="a3"/>
        <w:spacing w:before="115" w:line="280" w:lineRule="auto"/>
        <w:ind w:left="124" w:right="122"/>
        <w:jc w:val="both"/>
      </w:pPr>
      <w:r>
        <w:rPr>
          <w:color w:val="333333"/>
          <w:w w:val="105"/>
        </w:rPr>
        <w:t xml:space="preserve">If the </w:t>
      </w:r>
      <w:r>
        <w:rPr>
          <w:rFonts w:ascii="MS Gothic"/>
          <w:color w:val="B02045"/>
          <w:w w:val="105"/>
        </w:rPr>
        <w:t xml:space="preserve">dev </w:t>
      </w:r>
      <w:r>
        <w:rPr>
          <w:color w:val="333333"/>
          <w:w w:val="105"/>
        </w:rPr>
        <w:t xml:space="preserve">profile is not </w:t>
      </w:r>
      <w:proofErr w:type="gramStart"/>
      <w:r>
        <w:rPr>
          <w:color w:val="333333"/>
          <w:w w:val="105"/>
        </w:rPr>
        <w:t xml:space="preserve">active,  </w:t>
      </w:r>
      <w:r>
        <w:rPr>
          <w:rFonts w:ascii="MS Gothic"/>
          <w:color w:val="B02045"/>
          <w:w w:val="105"/>
        </w:rPr>
        <w:t>AcmeProperties.map</w:t>
      </w:r>
      <w:proofErr w:type="gramEnd"/>
      <w:r>
        <w:rPr>
          <w:rFonts w:ascii="MS Gothic"/>
          <w:color w:val="B02045"/>
          <w:w w:val="105"/>
        </w:rPr>
        <w:t xml:space="preserve"> </w:t>
      </w:r>
      <w:r>
        <w:rPr>
          <w:color w:val="333333"/>
          <w:w w:val="105"/>
        </w:rPr>
        <w:t xml:space="preserve">contains one entry with key </w:t>
      </w:r>
      <w:r>
        <w:rPr>
          <w:rFonts w:ascii="MS Gothic"/>
          <w:color w:val="B02045"/>
          <w:w w:val="105"/>
        </w:rPr>
        <w:t xml:space="preserve">key1 </w:t>
      </w:r>
      <w:r>
        <w:rPr>
          <w:color w:val="333333"/>
          <w:w w:val="105"/>
        </w:rPr>
        <w:t>(with a name of</w:t>
      </w:r>
      <w:r>
        <w:rPr>
          <w:color w:val="333333"/>
          <w:spacing w:val="48"/>
          <w:w w:val="105"/>
        </w:rPr>
        <w:t xml:space="preserve"> </w:t>
      </w:r>
      <w:r>
        <w:rPr>
          <w:rFonts w:ascii="MS Gothic"/>
          <w:color w:val="B02045"/>
          <w:w w:val="105"/>
        </w:rPr>
        <w:t xml:space="preserve">my name 1 </w:t>
      </w:r>
      <w:r>
        <w:rPr>
          <w:color w:val="333333"/>
          <w:w w:val="105"/>
        </w:rPr>
        <w:t xml:space="preserve">and a description of </w:t>
      </w:r>
      <w:r>
        <w:rPr>
          <w:rFonts w:ascii="MS Gothic"/>
          <w:color w:val="B02045"/>
          <w:w w:val="105"/>
        </w:rPr>
        <w:t>my description 1</w:t>
      </w:r>
      <w:r>
        <w:rPr>
          <w:color w:val="333333"/>
          <w:w w:val="105"/>
        </w:rPr>
        <w:t xml:space="preserve">). If the </w:t>
      </w:r>
      <w:r>
        <w:rPr>
          <w:rFonts w:ascii="MS Gothic"/>
          <w:color w:val="B02045"/>
          <w:w w:val="105"/>
        </w:rPr>
        <w:t xml:space="preserve">dev </w:t>
      </w:r>
      <w:r>
        <w:rPr>
          <w:color w:val="333333"/>
          <w:w w:val="105"/>
        </w:rPr>
        <w:t xml:space="preserve">profile is enabled, however, </w:t>
      </w:r>
      <w:r>
        <w:rPr>
          <w:rFonts w:ascii="MS Gothic"/>
          <w:color w:val="B02045"/>
          <w:w w:val="105"/>
        </w:rPr>
        <w:t xml:space="preserve">map </w:t>
      </w:r>
      <w:r>
        <w:rPr>
          <w:color w:val="333333"/>
          <w:w w:val="105"/>
        </w:rPr>
        <w:t xml:space="preserve">contains two entries with keys </w:t>
      </w:r>
      <w:r>
        <w:rPr>
          <w:rFonts w:ascii="MS Gothic"/>
          <w:color w:val="B02045"/>
          <w:w w:val="105"/>
        </w:rPr>
        <w:t xml:space="preserve">key1 </w:t>
      </w:r>
      <w:r>
        <w:rPr>
          <w:color w:val="333333"/>
          <w:w w:val="105"/>
        </w:rPr>
        <w:t xml:space="preserve">(with a name of </w:t>
      </w:r>
      <w:r>
        <w:rPr>
          <w:rFonts w:ascii="MS Gothic"/>
          <w:color w:val="B02045"/>
          <w:w w:val="105"/>
        </w:rPr>
        <w:t xml:space="preserve">dev name 1 </w:t>
      </w:r>
      <w:r>
        <w:rPr>
          <w:color w:val="333333"/>
          <w:w w:val="105"/>
        </w:rPr>
        <w:t xml:space="preserve">and a description of </w:t>
      </w:r>
      <w:r>
        <w:rPr>
          <w:rFonts w:ascii="MS Gothic"/>
          <w:color w:val="B02045"/>
          <w:w w:val="105"/>
        </w:rPr>
        <w:t>my description 1</w:t>
      </w:r>
      <w:r>
        <w:rPr>
          <w:color w:val="333333"/>
          <w:w w:val="105"/>
        </w:rPr>
        <w:t xml:space="preserve">) and </w:t>
      </w:r>
      <w:r>
        <w:rPr>
          <w:rFonts w:ascii="MS Gothic"/>
          <w:color w:val="B02045"/>
          <w:w w:val="105"/>
        </w:rPr>
        <w:t xml:space="preserve">key2 </w:t>
      </w:r>
      <w:r>
        <w:rPr>
          <w:color w:val="333333"/>
          <w:w w:val="105"/>
        </w:rPr>
        <w:t xml:space="preserve">(with a name of </w:t>
      </w:r>
      <w:r>
        <w:rPr>
          <w:rFonts w:ascii="MS Gothic"/>
          <w:color w:val="B02045"/>
          <w:w w:val="105"/>
        </w:rPr>
        <w:t>dev name 2</w:t>
      </w:r>
      <w:r>
        <w:rPr>
          <w:rFonts w:ascii="MS Gothic"/>
          <w:color w:val="B02045"/>
          <w:spacing w:val="-82"/>
          <w:w w:val="105"/>
        </w:rPr>
        <w:t xml:space="preserve"> </w:t>
      </w:r>
      <w:r>
        <w:rPr>
          <w:color w:val="333333"/>
          <w:w w:val="105"/>
        </w:rPr>
        <w:t xml:space="preserve">and a description of </w:t>
      </w:r>
      <w:r>
        <w:rPr>
          <w:rFonts w:ascii="MS Gothic"/>
          <w:color w:val="B02045"/>
          <w:w w:val="105"/>
        </w:rPr>
        <w:t>dev description 2</w:t>
      </w:r>
      <w:r>
        <w:rPr>
          <w:color w:val="333333"/>
          <w:w w:val="105"/>
        </w:rPr>
        <w:t>).</w:t>
      </w:r>
    </w:p>
    <w:p w14:paraId="055517D9" w14:textId="77777777" w:rsidR="00A720EB" w:rsidRDefault="00A720EB">
      <w:pPr>
        <w:pStyle w:val="a3"/>
        <w:spacing w:before="6"/>
        <w:rPr>
          <w:sz w:val="28"/>
        </w:rPr>
      </w:pPr>
    </w:p>
    <w:p w14:paraId="2C80A059" w14:textId="77777777" w:rsidR="00A720EB" w:rsidRDefault="00E10349">
      <w:pPr>
        <w:pStyle w:val="a3"/>
        <w:spacing w:line="307" w:lineRule="auto"/>
        <w:ind w:left="1564" w:right="462"/>
      </w:pPr>
      <w:r>
        <w:pict w14:anchorId="04FAF172">
          <v:line id="_x0000_s4499" style="position:absolute;left:0;text-align:left;z-index:15871488;mso-position-horizontal-relative:page" from="108.25pt,-6pt" to="108.25pt,33.55pt" strokecolor="#ededed" strokeweight=".5pt">
            <w10:wrap anchorx="page"/>
          </v:line>
        </w:pict>
      </w:r>
      <w:r w:rsidR="0030286B">
        <w:rPr>
          <w:noProof/>
        </w:rPr>
        <w:drawing>
          <wp:anchor distT="0" distB="0" distL="0" distR="0" simplePos="0" relativeHeight="15872000" behindDoc="0" locked="0" layoutInCell="1" allowOverlap="1" wp14:anchorId="2A0D51C5" wp14:editId="5C06C49D">
            <wp:simplePos x="0" y="0"/>
            <wp:positionH relativeFrom="page">
              <wp:posOffset>844422</wp:posOffset>
            </wp:positionH>
            <wp:positionV relativeFrom="paragraph">
              <wp:posOffset>25946</wp:posOffset>
            </wp:positionV>
            <wp:extent cx="298450" cy="298450"/>
            <wp:effectExtent l="0" t="0" r="0" b="0"/>
            <wp:wrapNone/>
            <wp:docPr id="1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The preceding merging rules apply to properties from all property sources and not just YAML files.</w:t>
      </w:r>
    </w:p>
    <w:p w14:paraId="5D9438DE" w14:textId="77777777" w:rsidR="00A720EB" w:rsidRDefault="00A720EB">
      <w:pPr>
        <w:pStyle w:val="a3"/>
        <w:spacing w:before="6"/>
        <w:rPr>
          <w:sz w:val="32"/>
        </w:rPr>
      </w:pPr>
    </w:p>
    <w:p w14:paraId="1A5681E1" w14:textId="77777777" w:rsidR="00A720EB" w:rsidRDefault="0030286B">
      <w:pPr>
        <w:pStyle w:val="4"/>
      </w:pPr>
      <w:bookmarkStart w:id="203" w:name="Properties_Conversion"/>
      <w:bookmarkEnd w:id="203"/>
      <w:r>
        <w:rPr>
          <w:color w:val="333333"/>
          <w:w w:val="110"/>
        </w:rPr>
        <w:t>Properties Conversion</w:t>
      </w:r>
    </w:p>
    <w:p w14:paraId="03C1576E" w14:textId="77777777" w:rsidR="00A720EB" w:rsidRDefault="00A720EB">
      <w:pPr>
        <w:pStyle w:val="a3"/>
        <w:spacing w:before="11"/>
        <w:rPr>
          <w:rFonts w:ascii="Palatino Linotype"/>
          <w:b/>
          <w:sz w:val="18"/>
        </w:rPr>
      </w:pPr>
    </w:p>
    <w:p w14:paraId="2B43BD67" w14:textId="77777777" w:rsidR="00A720EB" w:rsidRDefault="0030286B">
      <w:pPr>
        <w:pStyle w:val="a3"/>
        <w:spacing w:line="290" w:lineRule="auto"/>
        <w:ind w:left="124" w:right="124"/>
        <w:jc w:val="both"/>
      </w:pPr>
      <w:r>
        <w:rPr>
          <w:color w:val="333333"/>
          <w:w w:val="110"/>
        </w:rPr>
        <w:t xml:space="preserve">Spring Boot attempts to coerce the external application properties to the right type when it binds to the </w:t>
      </w:r>
      <w:r>
        <w:rPr>
          <w:rFonts w:ascii="MS Gothic"/>
          <w:color w:val="B02045"/>
          <w:w w:val="110"/>
        </w:rPr>
        <w:t xml:space="preserve">@ConfigurationProperties </w:t>
      </w:r>
      <w:r>
        <w:rPr>
          <w:color w:val="333333"/>
          <w:w w:val="110"/>
        </w:rPr>
        <w:t xml:space="preserve">beans. If you need custom type conversion, you can provide a </w:t>
      </w:r>
      <w:r>
        <w:rPr>
          <w:rFonts w:ascii="MS Gothic"/>
          <w:color w:val="B02045"/>
          <w:w w:val="110"/>
        </w:rPr>
        <w:t>ConversionService</w:t>
      </w:r>
      <w:r>
        <w:rPr>
          <w:rFonts w:ascii="MS Gothic"/>
          <w:color w:val="B02045"/>
          <w:spacing w:val="-92"/>
          <w:w w:val="110"/>
        </w:rPr>
        <w:t xml:space="preserve"> </w:t>
      </w:r>
      <w:r>
        <w:rPr>
          <w:color w:val="333333"/>
          <w:w w:val="110"/>
        </w:rPr>
        <w:t>bean</w:t>
      </w:r>
      <w:r>
        <w:rPr>
          <w:color w:val="333333"/>
          <w:spacing w:val="-27"/>
          <w:w w:val="110"/>
        </w:rPr>
        <w:t xml:space="preserve"> </w:t>
      </w:r>
      <w:r>
        <w:rPr>
          <w:color w:val="333333"/>
          <w:w w:val="110"/>
        </w:rPr>
        <w:t>(with</w:t>
      </w:r>
      <w:r>
        <w:rPr>
          <w:color w:val="333333"/>
          <w:spacing w:val="-28"/>
          <w:w w:val="110"/>
        </w:rPr>
        <w:t xml:space="preserve"> </w:t>
      </w:r>
      <w:r>
        <w:rPr>
          <w:color w:val="333333"/>
          <w:w w:val="110"/>
        </w:rPr>
        <w:t>a</w:t>
      </w:r>
      <w:r>
        <w:rPr>
          <w:color w:val="333333"/>
          <w:spacing w:val="-27"/>
          <w:w w:val="110"/>
        </w:rPr>
        <w:t xml:space="preserve"> </w:t>
      </w:r>
      <w:r>
        <w:rPr>
          <w:color w:val="333333"/>
          <w:w w:val="110"/>
        </w:rPr>
        <w:t>bean</w:t>
      </w:r>
      <w:r>
        <w:rPr>
          <w:color w:val="333333"/>
          <w:spacing w:val="-27"/>
          <w:w w:val="110"/>
        </w:rPr>
        <w:t xml:space="preserve"> </w:t>
      </w:r>
      <w:r>
        <w:rPr>
          <w:color w:val="333333"/>
          <w:w w:val="110"/>
        </w:rPr>
        <w:t>named</w:t>
      </w:r>
      <w:r>
        <w:rPr>
          <w:color w:val="333333"/>
          <w:spacing w:val="-27"/>
          <w:w w:val="110"/>
        </w:rPr>
        <w:t xml:space="preserve"> </w:t>
      </w:r>
      <w:r>
        <w:rPr>
          <w:rFonts w:ascii="MS Gothic"/>
          <w:color w:val="B02045"/>
          <w:w w:val="110"/>
        </w:rPr>
        <w:t>conversionService</w:t>
      </w:r>
      <w:r>
        <w:rPr>
          <w:color w:val="333333"/>
          <w:w w:val="110"/>
        </w:rPr>
        <w:t>)</w:t>
      </w:r>
      <w:r>
        <w:rPr>
          <w:color w:val="333333"/>
          <w:spacing w:val="-27"/>
          <w:w w:val="110"/>
        </w:rPr>
        <w:t xml:space="preserve"> </w:t>
      </w:r>
      <w:r>
        <w:rPr>
          <w:color w:val="333333"/>
          <w:w w:val="110"/>
        </w:rPr>
        <w:t>or</w:t>
      </w:r>
      <w:r>
        <w:rPr>
          <w:color w:val="333333"/>
          <w:spacing w:val="-27"/>
          <w:w w:val="110"/>
        </w:rPr>
        <w:t xml:space="preserve"> </w:t>
      </w:r>
      <w:r>
        <w:rPr>
          <w:color w:val="333333"/>
          <w:w w:val="110"/>
        </w:rPr>
        <w:t>custom</w:t>
      </w:r>
      <w:r>
        <w:rPr>
          <w:color w:val="333333"/>
          <w:spacing w:val="-27"/>
          <w:w w:val="110"/>
        </w:rPr>
        <w:t xml:space="preserve"> </w:t>
      </w:r>
      <w:r>
        <w:rPr>
          <w:color w:val="333333"/>
          <w:w w:val="110"/>
        </w:rPr>
        <w:t>property</w:t>
      </w:r>
      <w:r>
        <w:rPr>
          <w:color w:val="333333"/>
          <w:spacing w:val="-27"/>
          <w:w w:val="110"/>
        </w:rPr>
        <w:t xml:space="preserve"> </w:t>
      </w:r>
      <w:r>
        <w:rPr>
          <w:color w:val="333333"/>
          <w:w w:val="110"/>
        </w:rPr>
        <w:t>editors</w:t>
      </w:r>
      <w:r>
        <w:rPr>
          <w:color w:val="333333"/>
          <w:spacing w:val="-27"/>
          <w:w w:val="110"/>
        </w:rPr>
        <w:t xml:space="preserve"> </w:t>
      </w:r>
      <w:r>
        <w:rPr>
          <w:color w:val="333333"/>
          <w:w w:val="110"/>
        </w:rPr>
        <w:t>(through</w:t>
      </w:r>
    </w:p>
    <w:p w14:paraId="60C5D2DC" w14:textId="77777777" w:rsidR="00A720EB" w:rsidRDefault="00A720EB">
      <w:pPr>
        <w:spacing w:line="290" w:lineRule="auto"/>
        <w:jc w:val="both"/>
        <w:sectPr w:rsidR="00A720EB">
          <w:pgSz w:w="11910" w:h="16840"/>
          <w:pgMar w:top="620" w:right="840" w:bottom="520" w:left="840" w:header="0" w:footer="323" w:gutter="0"/>
          <w:cols w:space="720"/>
        </w:sectPr>
      </w:pPr>
    </w:p>
    <w:p w14:paraId="203735D7" w14:textId="77777777" w:rsidR="00A720EB" w:rsidRDefault="0030286B">
      <w:pPr>
        <w:pStyle w:val="a3"/>
        <w:spacing w:before="96"/>
        <w:ind w:left="124"/>
      </w:pPr>
      <w:r>
        <w:rPr>
          <w:color w:val="333333"/>
          <w:w w:val="110"/>
        </w:rPr>
        <w:lastRenderedPageBreak/>
        <w:t xml:space="preserve">a </w:t>
      </w:r>
      <w:r>
        <w:rPr>
          <w:rFonts w:ascii="MS Gothic"/>
          <w:color w:val="B02045"/>
          <w:w w:val="110"/>
        </w:rPr>
        <w:t xml:space="preserve">CustomEditorConfigurer </w:t>
      </w:r>
      <w:r>
        <w:rPr>
          <w:color w:val="333333"/>
          <w:w w:val="110"/>
        </w:rPr>
        <w:t xml:space="preserve">bean) or custom </w:t>
      </w:r>
      <w:r>
        <w:rPr>
          <w:rFonts w:ascii="MS Gothic"/>
          <w:color w:val="B02045"/>
          <w:w w:val="110"/>
        </w:rPr>
        <w:t xml:space="preserve">Converters </w:t>
      </w:r>
      <w:r>
        <w:rPr>
          <w:color w:val="333333"/>
          <w:w w:val="110"/>
        </w:rPr>
        <w:t>(with bean definitions annotated as</w:t>
      </w:r>
    </w:p>
    <w:p w14:paraId="01192C83" w14:textId="77777777" w:rsidR="00A720EB" w:rsidRDefault="0030286B">
      <w:pPr>
        <w:pStyle w:val="a3"/>
        <w:spacing w:before="47"/>
        <w:ind w:left="124"/>
      </w:pPr>
      <w:r>
        <w:rPr>
          <w:rFonts w:ascii="MS Gothic"/>
          <w:color w:val="B02045"/>
        </w:rPr>
        <w:t>@ConfigurationPropertiesBinding</w:t>
      </w:r>
      <w:r>
        <w:rPr>
          <w:color w:val="333333"/>
        </w:rPr>
        <w:t>).</w:t>
      </w:r>
    </w:p>
    <w:p w14:paraId="3DCD41EE" w14:textId="77777777" w:rsidR="00A720EB" w:rsidRDefault="00A720EB">
      <w:pPr>
        <w:pStyle w:val="a3"/>
        <w:spacing w:before="5"/>
      </w:pPr>
    </w:p>
    <w:p w14:paraId="066724FA" w14:textId="77777777" w:rsidR="00A720EB" w:rsidRDefault="00E10349">
      <w:pPr>
        <w:pStyle w:val="a3"/>
        <w:spacing w:before="126" w:line="295" w:lineRule="auto"/>
        <w:ind w:left="1564" w:right="364"/>
        <w:jc w:val="both"/>
      </w:pPr>
      <w:r>
        <w:pict w14:anchorId="0AB190E8">
          <v:line id="_x0000_s4498" style="position:absolute;left:0;text-align:left;z-index:15873024;mso-position-horizontal-relative:page" from="108.25pt,.3pt" to="108.25pt,103pt" strokecolor="#ededed" strokeweight=".5pt">
            <w10:wrap anchorx="page"/>
          </v:line>
        </w:pict>
      </w:r>
      <w:r w:rsidR="0030286B">
        <w:rPr>
          <w:noProof/>
        </w:rPr>
        <w:drawing>
          <wp:anchor distT="0" distB="0" distL="0" distR="0" simplePos="0" relativeHeight="15873536" behindDoc="0" locked="0" layoutInCell="1" allowOverlap="1" wp14:anchorId="5910CDE6" wp14:editId="74B7E48A">
            <wp:simplePos x="0" y="0"/>
            <wp:positionH relativeFrom="page">
              <wp:posOffset>844422</wp:posOffset>
            </wp:positionH>
            <wp:positionV relativeFrom="paragraph">
              <wp:posOffset>506769</wp:posOffset>
            </wp:positionV>
            <wp:extent cx="298450" cy="298450"/>
            <wp:effectExtent l="0" t="0" r="0" b="0"/>
            <wp:wrapNone/>
            <wp:docPr id="1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As this bean is requested very early during the application lifecycle, make sure to limit the dependencies that your </w:t>
      </w:r>
      <w:r w:rsidR="0030286B">
        <w:rPr>
          <w:rFonts w:ascii="MS Gothic"/>
          <w:color w:val="B02045"/>
          <w:w w:val="110"/>
        </w:rPr>
        <w:t xml:space="preserve">ConversionService </w:t>
      </w:r>
      <w:r w:rsidR="0030286B">
        <w:rPr>
          <w:color w:val="333333"/>
          <w:w w:val="110"/>
        </w:rPr>
        <w:t xml:space="preserve">is using. Typically, any dependency that you require may not be fully initialized at creation time. You may want to rename your custom </w:t>
      </w:r>
      <w:r w:rsidR="0030286B">
        <w:rPr>
          <w:rFonts w:ascii="MS Gothic"/>
          <w:color w:val="B02045"/>
          <w:w w:val="110"/>
        </w:rPr>
        <w:t xml:space="preserve">ConversionService </w:t>
      </w:r>
      <w:r w:rsidR="0030286B">
        <w:rPr>
          <w:color w:val="333333"/>
          <w:w w:val="110"/>
        </w:rPr>
        <w:t xml:space="preserve">if it is not required for configuration keys coercion and only rely on custom converters qualified with </w:t>
      </w:r>
      <w:r w:rsidR="0030286B">
        <w:rPr>
          <w:rFonts w:ascii="MS Gothic"/>
          <w:color w:val="B02045"/>
          <w:w w:val="110"/>
        </w:rPr>
        <w:t>@ConfigurationPropertiesBinding</w:t>
      </w:r>
      <w:r w:rsidR="0030286B">
        <w:rPr>
          <w:color w:val="333333"/>
          <w:w w:val="110"/>
        </w:rPr>
        <w:t>.</w:t>
      </w:r>
    </w:p>
    <w:p w14:paraId="3E023DC6" w14:textId="77777777" w:rsidR="00A720EB" w:rsidRDefault="00A720EB">
      <w:pPr>
        <w:pStyle w:val="a3"/>
        <w:spacing w:before="10"/>
        <w:rPr>
          <w:sz w:val="22"/>
        </w:rPr>
      </w:pPr>
    </w:p>
    <w:p w14:paraId="77089C2F" w14:textId="77777777" w:rsidR="00A720EB" w:rsidRDefault="0030286B">
      <w:pPr>
        <w:spacing w:before="103"/>
        <w:ind w:left="124"/>
        <w:rPr>
          <w:rFonts w:ascii="Palatino Linotype"/>
          <w:b/>
          <w:sz w:val="18"/>
        </w:rPr>
      </w:pPr>
      <w:r>
        <w:rPr>
          <w:rFonts w:ascii="Palatino Linotype"/>
          <w:b/>
          <w:color w:val="333333"/>
          <w:w w:val="110"/>
          <w:sz w:val="18"/>
        </w:rPr>
        <w:t>Converting durations</w:t>
      </w:r>
    </w:p>
    <w:p w14:paraId="205CAD50" w14:textId="77777777" w:rsidR="00A720EB" w:rsidRDefault="00A720EB">
      <w:pPr>
        <w:pStyle w:val="a3"/>
        <w:spacing w:before="1"/>
        <w:rPr>
          <w:rFonts w:ascii="Palatino Linotype"/>
          <w:b/>
          <w:sz w:val="18"/>
        </w:rPr>
      </w:pPr>
    </w:p>
    <w:p w14:paraId="1E71A1D1" w14:textId="77777777" w:rsidR="00A720EB" w:rsidRDefault="0030286B">
      <w:pPr>
        <w:pStyle w:val="a3"/>
        <w:spacing w:before="1"/>
        <w:ind w:left="124"/>
        <w:rPr>
          <w:rFonts w:ascii="MS Gothic"/>
        </w:rPr>
      </w:pPr>
      <w:r>
        <w:rPr>
          <w:color w:val="333333"/>
          <w:w w:val="110"/>
        </w:rPr>
        <w:t xml:space="preserve">Spring Boot has dedicated support for expressing durations. If you expose a </w:t>
      </w:r>
      <w:proofErr w:type="gramStart"/>
      <w:r>
        <w:rPr>
          <w:rFonts w:ascii="MS Gothic"/>
          <w:color w:val="B02045"/>
          <w:w w:val="110"/>
        </w:rPr>
        <w:t>java.time</w:t>
      </w:r>
      <w:proofErr w:type="gramEnd"/>
      <w:r>
        <w:rPr>
          <w:rFonts w:ascii="MS Gothic"/>
          <w:color w:val="B02045"/>
          <w:w w:val="110"/>
        </w:rPr>
        <w:t>.Duration</w:t>
      </w:r>
    </w:p>
    <w:p w14:paraId="08599AE8" w14:textId="77777777" w:rsidR="00A720EB" w:rsidRDefault="0030286B">
      <w:pPr>
        <w:pStyle w:val="a3"/>
        <w:spacing w:before="57"/>
        <w:ind w:left="124"/>
      </w:pPr>
      <w:r>
        <w:rPr>
          <w:color w:val="333333"/>
          <w:w w:val="110"/>
        </w:rPr>
        <w:t>property, the following formats in application properties are available:</w:t>
      </w:r>
    </w:p>
    <w:p w14:paraId="709870CC" w14:textId="77777777" w:rsidR="00A720EB" w:rsidRDefault="00A720EB">
      <w:pPr>
        <w:pStyle w:val="a3"/>
        <w:spacing w:before="5"/>
        <w:rPr>
          <w:sz w:val="25"/>
        </w:rPr>
      </w:pPr>
    </w:p>
    <w:p w14:paraId="232C3CFE" w14:textId="77777777" w:rsidR="00A720EB" w:rsidRDefault="0030286B">
      <w:pPr>
        <w:pStyle w:val="a6"/>
        <w:numPr>
          <w:ilvl w:val="0"/>
          <w:numId w:val="1"/>
        </w:numPr>
        <w:tabs>
          <w:tab w:val="left" w:pos="485"/>
        </w:tabs>
        <w:spacing w:line="290" w:lineRule="auto"/>
        <w:ind w:right="122"/>
        <w:rPr>
          <w:sz w:val="21"/>
        </w:rPr>
      </w:pPr>
      <w:r>
        <w:rPr>
          <w:color w:val="333333"/>
          <w:w w:val="110"/>
          <w:sz w:val="21"/>
        </w:rPr>
        <w:t xml:space="preserve">A regular </w:t>
      </w:r>
      <w:r>
        <w:rPr>
          <w:rFonts w:ascii="MS Gothic" w:hAnsi="MS Gothic"/>
          <w:color w:val="B02045"/>
          <w:w w:val="110"/>
          <w:sz w:val="21"/>
        </w:rPr>
        <w:t xml:space="preserve">long </w:t>
      </w:r>
      <w:r>
        <w:rPr>
          <w:color w:val="333333"/>
          <w:w w:val="110"/>
          <w:sz w:val="21"/>
        </w:rPr>
        <w:t xml:space="preserve">representation (using milliseconds as the default unit unless a </w:t>
      </w:r>
      <w:r>
        <w:rPr>
          <w:rFonts w:ascii="MS Gothic" w:hAnsi="MS Gothic"/>
          <w:color w:val="B02045"/>
          <w:w w:val="110"/>
          <w:sz w:val="21"/>
        </w:rPr>
        <w:t>@DurationUnit</w:t>
      </w:r>
      <w:r>
        <w:rPr>
          <w:rFonts w:ascii="MS Gothic" w:hAnsi="MS Gothic"/>
          <w:color w:val="B02045"/>
          <w:spacing w:val="-79"/>
          <w:w w:val="110"/>
          <w:sz w:val="21"/>
        </w:rPr>
        <w:t xml:space="preserve"> </w:t>
      </w:r>
      <w:r>
        <w:rPr>
          <w:color w:val="333333"/>
          <w:w w:val="110"/>
          <w:sz w:val="21"/>
        </w:rPr>
        <w:t>has been</w:t>
      </w:r>
      <w:r>
        <w:rPr>
          <w:color w:val="333333"/>
          <w:spacing w:val="2"/>
          <w:w w:val="110"/>
          <w:sz w:val="21"/>
        </w:rPr>
        <w:t xml:space="preserve"> </w:t>
      </w:r>
      <w:r>
        <w:rPr>
          <w:color w:val="333333"/>
          <w:w w:val="110"/>
          <w:sz w:val="21"/>
        </w:rPr>
        <w:t>specified)</w:t>
      </w:r>
    </w:p>
    <w:p w14:paraId="732CB1EA" w14:textId="77777777" w:rsidR="00A720EB" w:rsidRDefault="0030286B">
      <w:pPr>
        <w:pStyle w:val="a6"/>
        <w:numPr>
          <w:ilvl w:val="0"/>
          <w:numId w:val="1"/>
        </w:numPr>
        <w:tabs>
          <w:tab w:val="left" w:pos="485"/>
        </w:tabs>
        <w:spacing w:before="128"/>
        <w:rPr>
          <w:rFonts w:ascii="MS Gothic" w:hAnsi="MS Gothic"/>
          <w:sz w:val="21"/>
        </w:rPr>
      </w:pPr>
      <w:r>
        <w:rPr>
          <w:color w:val="333333"/>
          <w:w w:val="110"/>
          <w:sz w:val="21"/>
        </w:rPr>
        <w:t xml:space="preserve">The standard ISO-8601 format </w:t>
      </w:r>
      <w:hyperlink r:id="rId106" w:anchor="parse-java.lang.CharSequence-">
        <w:r>
          <w:rPr>
            <w:color w:val="418BCA"/>
            <w:w w:val="110"/>
            <w:sz w:val="21"/>
          </w:rPr>
          <w:t xml:space="preserve">used </w:t>
        </w:r>
        <w:r>
          <w:rPr>
            <w:color w:val="418BCA"/>
            <w:spacing w:val="-3"/>
            <w:w w:val="110"/>
            <w:sz w:val="21"/>
          </w:rPr>
          <w:t>by</w:t>
        </w:r>
        <w:r>
          <w:rPr>
            <w:color w:val="418BCA"/>
            <w:spacing w:val="1"/>
            <w:w w:val="110"/>
            <w:sz w:val="21"/>
          </w:rPr>
          <w:t xml:space="preserve"> </w:t>
        </w:r>
      </w:hyperlink>
      <w:hyperlink r:id="rId107" w:anchor="parse-java.lang.CharSequence-">
        <w:r>
          <w:rPr>
            <w:rFonts w:ascii="MS Gothic" w:hAnsi="MS Gothic"/>
            <w:color w:val="B02045"/>
            <w:w w:val="110"/>
            <w:sz w:val="21"/>
          </w:rPr>
          <w:t>java.time.Duration</w:t>
        </w:r>
      </w:hyperlink>
    </w:p>
    <w:p w14:paraId="14B24F74" w14:textId="77777777" w:rsidR="00A720EB" w:rsidRDefault="0030286B">
      <w:pPr>
        <w:pStyle w:val="a6"/>
        <w:numPr>
          <w:ilvl w:val="0"/>
          <w:numId w:val="1"/>
        </w:numPr>
        <w:tabs>
          <w:tab w:val="left" w:pos="485"/>
        </w:tabs>
        <w:spacing w:before="167" w:line="504" w:lineRule="auto"/>
        <w:ind w:left="124" w:right="406" w:firstLine="172"/>
        <w:rPr>
          <w:sz w:val="21"/>
        </w:rPr>
      </w:pPr>
      <w:r>
        <w:rPr>
          <w:color w:val="333333"/>
          <w:w w:val="110"/>
          <w:sz w:val="21"/>
        </w:rPr>
        <w:t xml:space="preserve">A more readable format where the value and the unit are coupled (e.g. </w:t>
      </w:r>
      <w:r>
        <w:rPr>
          <w:rFonts w:ascii="MS Gothic" w:hAnsi="MS Gothic"/>
          <w:color w:val="B02045"/>
          <w:w w:val="110"/>
          <w:sz w:val="21"/>
        </w:rPr>
        <w:t xml:space="preserve">10s </w:t>
      </w:r>
      <w:r>
        <w:rPr>
          <w:color w:val="333333"/>
          <w:w w:val="110"/>
          <w:sz w:val="21"/>
        </w:rPr>
        <w:t>means 10 seconds) Consider the following</w:t>
      </w:r>
      <w:r>
        <w:rPr>
          <w:color w:val="333333"/>
          <w:spacing w:val="9"/>
          <w:w w:val="110"/>
          <w:sz w:val="21"/>
        </w:rPr>
        <w:t xml:space="preserve"> </w:t>
      </w:r>
      <w:r>
        <w:rPr>
          <w:color w:val="333333"/>
          <w:w w:val="110"/>
          <w:sz w:val="21"/>
        </w:rPr>
        <w:t>example:</w:t>
      </w:r>
    </w:p>
    <w:p w14:paraId="179EC8EB" w14:textId="77777777" w:rsidR="00A720EB" w:rsidRDefault="00E10349">
      <w:pPr>
        <w:pStyle w:val="a3"/>
        <w:ind w:left="116"/>
        <w:rPr>
          <w:sz w:val="20"/>
        </w:rPr>
      </w:pPr>
      <w:r>
        <w:rPr>
          <w:sz w:val="20"/>
        </w:rPr>
      </w:r>
      <w:r>
        <w:rPr>
          <w:sz w:val="20"/>
        </w:rPr>
        <w:pict w14:anchorId="7AE86316">
          <v:group id="_x0000_s4494" style="width:499.55pt;height:391.25pt;mso-position-horizontal-relative:char;mso-position-vertical-relative:line" coordsize="9991,7825">
            <v:shape id="_x0000_s4497" style="position:absolute;left:7;top:7;width:9976;height:7810" coordorigin="8,8" coordsize="9976,7810" path="m9904,8l88,8,56,14,31,31,14,56,8,88r,7650l14,7769r17,25l56,7811r32,7l9904,7818r31,-7l9960,7794r17,-25l9984,7738r,-7650l9977,56,9960,31,9935,14,9904,8xe" fillcolor="#f5f5f5" stroked="f">
              <v:path arrowok="t"/>
            </v:shape>
            <v:shape id="_x0000_s4496" style="position:absolute;left:7;top:7;width:9976;height:7810" coordorigin="8,8" coordsize="9976,7810" path="m88,8r9816,l9935,14r25,17l9977,56r7,32l9984,7738r-7,31l9960,7794r-25,17l9904,7818r-9816,l56,7811,31,7794,14,7769,8,7738,8,88,14,56,31,31,56,14,88,8xe" filled="f" strokecolor="#ccc">
              <v:path arrowok="t"/>
            </v:shape>
            <v:shape id="_x0000_s4495" type="#_x0000_t202" style="position:absolute;left:26;top:22;width:9938;height:7780" filled="f" stroked="f">
              <v:textbox inset="0,0,0,0">
                <w:txbxContent>
                  <w:p w14:paraId="29376729" w14:textId="77777777" w:rsidR="00711A16" w:rsidRDefault="00711A16">
                    <w:pPr>
                      <w:spacing w:before="221" w:line="252" w:lineRule="auto"/>
                      <w:ind w:left="200" w:right="5538"/>
                      <w:rPr>
                        <w:rFonts w:ascii="MS Gothic"/>
                      </w:rPr>
                    </w:pPr>
                    <w:r>
                      <w:rPr>
                        <w:rFonts w:ascii="MS Gothic"/>
                        <w:color w:val="333333"/>
                      </w:rPr>
                      <w:t>@ConfigurationProperties("</w:t>
                    </w:r>
                    <w:proofErr w:type="gramStart"/>
                    <w:r>
                      <w:rPr>
                        <w:rFonts w:ascii="MS Gothic"/>
                        <w:color w:val="333333"/>
                      </w:rPr>
                      <w:t>app.system</w:t>
                    </w:r>
                    <w:proofErr w:type="gramEnd"/>
                    <w:r>
                      <w:rPr>
                        <w:rFonts w:ascii="MS Gothic"/>
                        <w:color w:val="333333"/>
                      </w:rPr>
                      <w:t>") public class AppSystemProperties {</w:t>
                    </w:r>
                  </w:p>
                  <w:p w14:paraId="4D7D64F0" w14:textId="77777777" w:rsidR="00711A16" w:rsidRDefault="00711A16">
                    <w:pPr>
                      <w:spacing w:before="10"/>
                      <w:rPr>
                        <w:rFonts w:ascii="MS Gothic"/>
                      </w:rPr>
                    </w:pPr>
                  </w:p>
                  <w:p w14:paraId="5E962B3E" w14:textId="77777777" w:rsidR="00711A16" w:rsidRDefault="00711A16">
                    <w:pPr>
                      <w:ind w:left="640"/>
                      <w:rPr>
                        <w:rFonts w:ascii="MS Gothic"/>
                      </w:rPr>
                    </w:pPr>
                    <w:r>
                      <w:rPr>
                        <w:rFonts w:ascii="MS Gothic"/>
                        <w:color w:val="333333"/>
                      </w:rPr>
                      <w:t>@</w:t>
                    </w:r>
                    <w:proofErr w:type="gramStart"/>
                    <w:r>
                      <w:rPr>
                        <w:rFonts w:ascii="MS Gothic"/>
                        <w:color w:val="333333"/>
                      </w:rPr>
                      <w:t>DurationUnit(</w:t>
                    </w:r>
                    <w:proofErr w:type="gramEnd"/>
                    <w:r>
                      <w:rPr>
                        <w:rFonts w:ascii="MS Gothic"/>
                        <w:color w:val="333333"/>
                      </w:rPr>
                      <w:t>ChronoUnit.SECONDS)</w:t>
                    </w:r>
                  </w:p>
                  <w:p w14:paraId="4205E47B" w14:textId="77777777" w:rsidR="00711A16" w:rsidRDefault="00711A16">
                    <w:pPr>
                      <w:spacing w:before="13"/>
                      <w:ind w:left="640"/>
                      <w:rPr>
                        <w:rFonts w:ascii="MS Gothic"/>
                      </w:rPr>
                    </w:pPr>
                    <w:r>
                      <w:rPr>
                        <w:rFonts w:ascii="MS Gothic"/>
                        <w:color w:val="333333"/>
                      </w:rPr>
                      <w:t>private Duration sessionTimeout = Duration.ofSeconds(30);</w:t>
                    </w:r>
                  </w:p>
                  <w:p w14:paraId="771B1F4B" w14:textId="77777777" w:rsidR="00711A16" w:rsidRDefault="00711A16">
                    <w:pPr>
                      <w:spacing w:line="590" w:lineRule="atLeast"/>
                      <w:ind w:left="640" w:right="3228"/>
                      <w:rPr>
                        <w:rFonts w:ascii="MS Gothic"/>
                      </w:rPr>
                    </w:pPr>
                    <w:r>
                      <w:rPr>
                        <w:rFonts w:ascii="MS Gothic"/>
                        <w:color w:val="333333"/>
                      </w:rPr>
                      <w:t xml:space="preserve">private Duration readTimeout = Duration.ofMillis(1000); public Duration </w:t>
                    </w:r>
                    <w:proofErr w:type="gramStart"/>
                    <w:r>
                      <w:rPr>
                        <w:rFonts w:ascii="MS Gothic"/>
                        <w:color w:val="333333"/>
                      </w:rPr>
                      <w:t>getSessionTimeout(</w:t>
                    </w:r>
                    <w:proofErr w:type="gramEnd"/>
                    <w:r>
                      <w:rPr>
                        <w:rFonts w:ascii="MS Gothic"/>
                        <w:color w:val="333333"/>
                      </w:rPr>
                      <w:t>) {</w:t>
                    </w:r>
                  </w:p>
                  <w:p w14:paraId="668C6D90" w14:textId="77777777" w:rsidR="00711A16" w:rsidRDefault="00711A16">
                    <w:pPr>
                      <w:spacing w:before="12"/>
                      <w:ind w:left="1080"/>
                      <w:rPr>
                        <w:rFonts w:ascii="MS Gothic"/>
                      </w:rPr>
                    </w:pPr>
                    <w:r>
                      <w:rPr>
                        <w:rFonts w:ascii="MS Gothic"/>
                        <w:color w:val="333333"/>
                      </w:rPr>
                      <w:t xml:space="preserve">return </w:t>
                    </w:r>
                    <w:proofErr w:type="gramStart"/>
                    <w:r>
                      <w:rPr>
                        <w:rFonts w:ascii="MS Gothic"/>
                        <w:color w:val="333333"/>
                      </w:rPr>
                      <w:t>this.sessionTimeout</w:t>
                    </w:r>
                    <w:proofErr w:type="gramEnd"/>
                    <w:r>
                      <w:rPr>
                        <w:rFonts w:ascii="MS Gothic"/>
                        <w:color w:val="333333"/>
                      </w:rPr>
                      <w:t>;</w:t>
                    </w:r>
                  </w:p>
                  <w:p w14:paraId="34542E1E" w14:textId="77777777" w:rsidR="00711A16" w:rsidRDefault="00711A16">
                    <w:pPr>
                      <w:spacing w:before="13"/>
                      <w:ind w:left="640"/>
                      <w:rPr>
                        <w:rFonts w:ascii="MS Gothic"/>
                      </w:rPr>
                    </w:pPr>
                    <w:r>
                      <w:rPr>
                        <w:rFonts w:ascii="MS Gothic"/>
                        <w:color w:val="333333"/>
                      </w:rPr>
                      <w:t>}</w:t>
                    </w:r>
                  </w:p>
                  <w:p w14:paraId="1C79F198" w14:textId="77777777" w:rsidR="00711A16" w:rsidRDefault="00711A16">
                    <w:pPr>
                      <w:rPr>
                        <w:rFonts w:ascii="MS Gothic"/>
                        <w:sz w:val="24"/>
                      </w:rPr>
                    </w:pPr>
                  </w:p>
                  <w:p w14:paraId="0D360CA5" w14:textId="77777777" w:rsidR="00711A16" w:rsidRDefault="00711A16">
                    <w:pPr>
                      <w:spacing w:before="1" w:line="252" w:lineRule="auto"/>
                      <w:ind w:left="1080" w:right="3118" w:hanging="440"/>
                      <w:rPr>
                        <w:rFonts w:ascii="MS Gothic"/>
                      </w:rPr>
                    </w:pPr>
                    <w:r>
                      <w:rPr>
                        <w:rFonts w:ascii="MS Gothic"/>
                        <w:color w:val="333333"/>
                      </w:rPr>
                      <w:t xml:space="preserve">public void </w:t>
                    </w:r>
                    <w:proofErr w:type="gramStart"/>
                    <w:r>
                      <w:rPr>
                        <w:rFonts w:ascii="MS Gothic"/>
                        <w:color w:val="333333"/>
                      </w:rPr>
                      <w:t>setSessionTimeout(</w:t>
                    </w:r>
                    <w:proofErr w:type="gramEnd"/>
                    <w:r>
                      <w:rPr>
                        <w:rFonts w:ascii="MS Gothic"/>
                        <w:color w:val="333333"/>
                      </w:rPr>
                      <w:t>Duration sessionTimeout) { this.sessionTimeout = sessionTimeout;</w:t>
                    </w:r>
                  </w:p>
                  <w:p w14:paraId="6D8FC0CC" w14:textId="77777777" w:rsidR="00711A16" w:rsidRDefault="00711A16">
                    <w:pPr>
                      <w:spacing w:line="280" w:lineRule="exact"/>
                      <w:ind w:left="640"/>
                      <w:rPr>
                        <w:rFonts w:ascii="MS Gothic"/>
                      </w:rPr>
                    </w:pPr>
                    <w:r>
                      <w:rPr>
                        <w:rFonts w:ascii="MS Gothic"/>
                        <w:color w:val="333333"/>
                      </w:rPr>
                      <w:t>}</w:t>
                    </w:r>
                  </w:p>
                  <w:p w14:paraId="3EE44E6A" w14:textId="77777777" w:rsidR="00711A16" w:rsidRDefault="00711A16">
                    <w:pPr>
                      <w:rPr>
                        <w:rFonts w:ascii="MS Gothic"/>
                        <w:sz w:val="24"/>
                      </w:rPr>
                    </w:pPr>
                  </w:p>
                  <w:p w14:paraId="57A11F88" w14:textId="77777777" w:rsidR="00711A16" w:rsidRDefault="00711A16">
                    <w:pPr>
                      <w:spacing w:line="252" w:lineRule="auto"/>
                      <w:ind w:left="1080" w:right="5538" w:hanging="440"/>
                      <w:rPr>
                        <w:rFonts w:ascii="MS Gothic"/>
                      </w:rPr>
                    </w:pPr>
                    <w:r>
                      <w:rPr>
                        <w:rFonts w:ascii="MS Gothic"/>
                        <w:color w:val="333333"/>
                      </w:rPr>
                      <w:t xml:space="preserve">public Duration </w:t>
                    </w:r>
                    <w:proofErr w:type="gramStart"/>
                    <w:r>
                      <w:rPr>
                        <w:rFonts w:ascii="MS Gothic"/>
                        <w:color w:val="333333"/>
                      </w:rPr>
                      <w:t>getReadTimeout(</w:t>
                    </w:r>
                    <w:proofErr w:type="gramEnd"/>
                    <w:r>
                      <w:rPr>
                        <w:rFonts w:ascii="MS Gothic"/>
                        <w:color w:val="333333"/>
                      </w:rPr>
                      <w:t>) { return this.readTimeout;</w:t>
                    </w:r>
                  </w:p>
                  <w:p w14:paraId="5B439B3E" w14:textId="77777777" w:rsidR="00711A16" w:rsidRDefault="00711A16">
                    <w:pPr>
                      <w:spacing w:line="280" w:lineRule="exact"/>
                      <w:ind w:left="640"/>
                      <w:rPr>
                        <w:rFonts w:ascii="MS Gothic"/>
                      </w:rPr>
                    </w:pPr>
                    <w:r>
                      <w:rPr>
                        <w:rFonts w:ascii="MS Gothic"/>
                        <w:color w:val="333333"/>
                      </w:rPr>
                      <w:t>}</w:t>
                    </w:r>
                  </w:p>
                  <w:p w14:paraId="4BA77682" w14:textId="77777777" w:rsidR="00711A16" w:rsidRDefault="00711A16">
                    <w:pPr>
                      <w:rPr>
                        <w:rFonts w:ascii="MS Gothic"/>
                        <w:sz w:val="24"/>
                      </w:rPr>
                    </w:pPr>
                  </w:p>
                  <w:p w14:paraId="727A4306" w14:textId="77777777" w:rsidR="00711A16" w:rsidRDefault="00711A16">
                    <w:pPr>
                      <w:spacing w:line="252" w:lineRule="auto"/>
                      <w:ind w:left="1080" w:right="3778" w:hanging="440"/>
                      <w:rPr>
                        <w:rFonts w:ascii="MS Gothic"/>
                      </w:rPr>
                    </w:pPr>
                    <w:r>
                      <w:rPr>
                        <w:rFonts w:ascii="MS Gothic"/>
                        <w:color w:val="333333"/>
                      </w:rPr>
                      <w:t xml:space="preserve">public void </w:t>
                    </w:r>
                    <w:proofErr w:type="gramStart"/>
                    <w:r>
                      <w:rPr>
                        <w:rFonts w:ascii="MS Gothic"/>
                        <w:color w:val="333333"/>
                      </w:rPr>
                      <w:t>setReadTimeout(</w:t>
                    </w:r>
                    <w:proofErr w:type="gramEnd"/>
                    <w:r>
                      <w:rPr>
                        <w:rFonts w:ascii="MS Gothic"/>
                        <w:color w:val="333333"/>
                      </w:rPr>
                      <w:t>Duration readTimeout) { this.readTimeout = readTimeout;</w:t>
                    </w:r>
                  </w:p>
                  <w:p w14:paraId="576A294D" w14:textId="77777777" w:rsidR="00711A16" w:rsidRDefault="00711A16">
                    <w:pPr>
                      <w:spacing w:line="280" w:lineRule="exact"/>
                      <w:ind w:left="640"/>
                      <w:rPr>
                        <w:rFonts w:ascii="MS Gothic"/>
                      </w:rPr>
                    </w:pPr>
                    <w:r>
                      <w:rPr>
                        <w:rFonts w:ascii="MS Gothic"/>
                        <w:color w:val="333333"/>
                      </w:rPr>
                      <w:t>}</w:t>
                    </w:r>
                  </w:p>
                  <w:p w14:paraId="1EBF4D03" w14:textId="77777777" w:rsidR="00711A16" w:rsidRDefault="00711A16">
                    <w:pPr>
                      <w:rPr>
                        <w:rFonts w:ascii="MS Gothic"/>
                        <w:sz w:val="24"/>
                      </w:rPr>
                    </w:pPr>
                  </w:p>
                  <w:p w14:paraId="2BFA1DFE" w14:textId="77777777" w:rsidR="00711A16" w:rsidRDefault="00711A16">
                    <w:pPr>
                      <w:ind w:left="200"/>
                      <w:rPr>
                        <w:rFonts w:ascii="MS Gothic"/>
                      </w:rPr>
                    </w:pPr>
                    <w:r>
                      <w:rPr>
                        <w:rFonts w:ascii="MS Gothic"/>
                        <w:color w:val="333333"/>
                      </w:rPr>
                      <w:t>}</w:t>
                    </w:r>
                  </w:p>
                </w:txbxContent>
              </v:textbox>
            </v:shape>
            <w10:anchorlock/>
          </v:group>
        </w:pict>
      </w:r>
    </w:p>
    <w:p w14:paraId="418EA68E" w14:textId="77777777" w:rsidR="00A720EB" w:rsidRDefault="00A720EB">
      <w:pPr>
        <w:rPr>
          <w:sz w:val="20"/>
        </w:rPr>
        <w:sectPr w:rsidR="00A720EB">
          <w:pgSz w:w="11910" w:h="16840"/>
          <w:pgMar w:top="620" w:right="840" w:bottom="520" w:left="840" w:header="0" w:footer="323" w:gutter="0"/>
          <w:cols w:space="720"/>
        </w:sectPr>
      </w:pPr>
    </w:p>
    <w:p w14:paraId="18985E7E" w14:textId="77777777" w:rsidR="00A720EB" w:rsidRDefault="0030286B">
      <w:pPr>
        <w:pStyle w:val="a3"/>
        <w:spacing w:before="96" w:line="280" w:lineRule="auto"/>
        <w:ind w:left="124" w:right="124"/>
        <w:jc w:val="both"/>
      </w:pPr>
      <w:r>
        <w:rPr>
          <w:color w:val="333333"/>
          <w:w w:val="110"/>
        </w:rPr>
        <w:lastRenderedPageBreak/>
        <w:t xml:space="preserve">To specify a session timeout of 30 seconds, </w:t>
      </w:r>
      <w:r>
        <w:rPr>
          <w:rFonts w:ascii="MS Gothic"/>
          <w:color w:val="B02045"/>
          <w:w w:val="110"/>
        </w:rPr>
        <w:t>30</w:t>
      </w:r>
      <w:r>
        <w:rPr>
          <w:color w:val="333333"/>
          <w:w w:val="110"/>
        </w:rPr>
        <w:t xml:space="preserve">, </w:t>
      </w:r>
      <w:r>
        <w:rPr>
          <w:rFonts w:ascii="MS Gothic"/>
          <w:color w:val="B02045"/>
          <w:w w:val="110"/>
        </w:rPr>
        <w:t xml:space="preserve">PT30S </w:t>
      </w:r>
      <w:r>
        <w:rPr>
          <w:color w:val="333333"/>
          <w:w w:val="110"/>
        </w:rPr>
        <w:t xml:space="preserve">and </w:t>
      </w:r>
      <w:r>
        <w:rPr>
          <w:rFonts w:ascii="MS Gothic"/>
          <w:color w:val="B02045"/>
          <w:w w:val="110"/>
        </w:rPr>
        <w:t xml:space="preserve">30s </w:t>
      </w:r>
      <w:r>
        <w:rPr>
          <w:color w:val="333333"/>
          <w:w w:val="110"/>
        </w:rPr>
        <w:t xml:space="preserve">are all equivalent. A read timeout of 500ms can be specified in any of the following form: </w:t>
      </w:r>
      <w:r>
        <w:rPr>
          <w:rFonts w:ascii="MS Gothic"/>
          <w:color w:val="B02045"/>
          <w:w w:val="110"/>
        </w:rPr>
        <w:t>500</w:t>
      </w:r>
      <w:r>
        <w:rPr>
          <w:color w:val="333333"/>
          <w:w w:val="110"/>
        </w:rPr>
        <w:t xml:space="preserve">, </w:t>
      </w:r>
      <w:r>
        <w:rPr>
          <w:rFonts w:ascii="MS Gothic"/>
          <w:color w:val="B02045"/>
          <w:w w:val="110"/>
        </w:rPr>
        <w:t xml:space="preserve">PT0.5S </w:t>
      </w:r>
      <w:r>
        <w:rPr>
          <w:color w:val="333333"/>
          <w:w w:val="110"/>
        </w:rPr>
        <w:t xml:space="preserve">and </w:t>
      </w:r>
      <w:r>
        <w:rPr>
          <w:rFonts w:ascii="MS Gothic"/>
          <w:color w:val="B02045"/>
          <w:w w:val="110"/>
        </w:rPr>
        <w:t>500ms</w:t>
      </w:r>
      <w:r>
        <w:rPr>
          <w:color w:val="333333"/>
          <w:w w:val="110"/>
        </w:rPr>
        <w:t>.</w:t>
      </w:r>
    </w:p>
    <w:p w14:paraId="286DD780" w14:textId="77777777" w:rsidR="00A720EB" w:rsidRDefault="00A720EB">
      <w:pPr>
        <w:pStyle w:val="a3"/>
        <w:spacing w:before="6"/>
      </w:pPr>
    </w:p>
    <w:p w14:paraId="18F1072B" w14:textId="77777777" w:rsidR="00A720EB" w:rsidRDefault="0030286B">
      <w:pPr>
        <w:pStyle w:val="a3"/>
        <w:ind w:left="124"/>
        <w:jc w:val="both"/>
      </w:pPr>
      <w:r>
        <w:rPr>
          <w:color w:val="333333"/>
          <w:w w:val="110"/>
        </w:rPr>
        <w:t>You can also use any of the supported units. These are:</w:t>
      </w:r>
    </w:p>
    <w:p w14:paraId="71ACC2E7" w14:textId="77777777" w:rsidR="00A720EB" w:rsidRDefault="00A720EB">
      <w:pPr>
        <w:pStyle w:val="a3"/>
        <w:spacing w:before="6"/>
        <w:rPr>
          <w:sz w:val="25"/>
        </w:rPr>
      </w:pPr>
    </w:p>
    <w:p w14:paraId="0BBE004C" w14:textId="77777777" w:rsidR="00A720EB" w:rsidRDefault="0030286B">
      <w:pPr>
        <w:pStyle w:val="a6"/>
        <w:numPr>
          <w:ilvl w:val="0"/>
          <w:numId w:val="1"/>
        </w:numPr>
        <w:tabs>
          <w:tab w:val="left" w:pos="485"/>
        </w:tabs>
        <w:rPr>
          <w:sz w:val="21"/>
        </w:rPr>
      </w:pPr>
      <w:r>
        <w:rPr>
          <w:rFonts w:ascii="MS Gothic" w:hAnsi="MS Gothic"/>
          <w:color w:val="B02045"/>
          <w:w w:val="110"/>
          <w:sz w:val="21"/>
        </w:rPr>
        <w:t>ns</w:t>
      </w:r>
      <w:r>
        <w:rPr>
          <w:rFonts w:ascii="MS Gothic" w:hAnsi="MS Gothic"/>
          <w:color w:val="B02045"/>
          <w:spacing w:val="-59"/>
          <w:w w:val="110"/>
          <w:sz w:val="21"/>
        </w:rPr>
        <w:t xml:space="preserve"> </w:t>
      </w:r>
      <w:r>
        <w:rPr>
          <w:color w:val="333333"/>
          <w:w w:val="110"/>
          <w:sz w:val="21"/>
        </w:rPr>
        <w:t>for nanoseconds</w:t>
      </w:r>
    </w:p>
    <w:p w14:paraId="131E1823" w14:textId="77777777" w:rsidR="00A720EB" w:rsidRDefault="0030286B">
      <w:pPr>
        <w:pStyle w:val="a6"/>
        <w:numPr>
          <w:ilvl w:val="0"/>
          <w:numId w:val="1"/>
        </w:numPr>
        <w:tabs>
          <w:tab w:val="left" w:pos="485"/>
        </w:tabs>
        <w:spacing w:before="166"/>
        <w:rPr>
          <w:sz w:val="21"/>
        </w:rPr>
      </w:pPr>
      <w:r>
        <w:rPr>
          <w:rFonts w:ascii="MS Gothic" w:hAnsi="MS Gothic"/>
          <w:color w:val="B02045"/>
          <w:w w:val="110"/>
          <w:sz w:val="21"/>
        </w:rPr>
        <w:t>us</w:t>
      </w:r>
      <w:r>
        <w:rPr>
          <w:rFonts w:ascii="MS Gothic" w:hAnsi="MS Gothic"/>
          <w:color w:val="B02045"/>
          <w:spacing w:val="-59"/>
          <w:w w:val="110"/>
          <w:sz w:val="21"/>
        </w:rPr>
        <w:t xml:space="preserve"> </w:t>
      </w:r>
      <w:r>
        <w:rPr>
          <w:color w:val="333333"/>
          <w:w w:val="110"/>
          <w:sz w:val="21"/>
        </w:rPr>
        <w:t>for microseconds</w:t>
      </w:r>
    </w:p>
    <w:p w14:paraId="0490B6DB" w14:textId="77777777" w:rsidR="00A720EB" w:rsidRDefault="0030286B">
      <w:pPr>
        <w:pStyle w:val="a6"/>
        <w:numPr>
          <w:ilvl w:val="0"/>
          <w:numId w:val="1"/>
        </w:numPr>
        <w:tabs>
          <w:tab w:val="left" w:pos="485"/>
        </w:tabs>
        <w:spacing w:before="167"/>
        <w:rPr>
          <w:sz w:val="21"/>
        </w:rPr>
      </w:pPr>
      <w:r>
        <w:rPr>
          <w:rFonts w:ascii="MS Gothic" w:hAnsi="MS Gothic"/>
          <w:color w:val="B02045"/>
          <w:w w:val="110"/>
          <w:sz w:val="21"/>
        </w:rPr>
        <w:t>ms</w:t>
      </w:r>
      <w:r>
        <w:rPr>
          <w:rFonts w:ascii="MS Gothic" w:hAnsi="MS Gothic"/>
          <w:color w:val="B02045"/>
          <w:spacing w:val="-59"/>
          <w:w w:val="110"/>
          <w:sz w:val="21"/>
        </w:rPr>
        <w:t xml:space="preserve"> </w:t>
      </w:r>
      <w:r>
        <w:rPr>
          <w:color w:val="333333"/>
          <w:w w:val="110"/>
          <w:sz w:val="21"/>
        </w:rPr>
        <w:t>for milliseconds</w:t>
      </w:r>
    </w:p>
    <w:p w14:paraId="3EC3B59E" w14:textId="77777777" w:rsidR="00A720EB" w:rsidRDefault="0030286B">
      <w:pPr>
        <w:pStyle w:val="a6"/>
        <w:numPr>
          <w:ilvl w:val="0"/>
          <w:numId w:val="1"/>
        </w:numPr>
        <w:tabs>
          <w:tab w:val="left" w:pos="485"/>
        </w:tabs>
        <w:spacing w:before="167"/>
        <w:rPr>
          <w:sz w:val="21"/>
        </w:rPr>
      </w:pPr>
      <w:r>
        <w:rPr>
          <w:rFonts w:ascii="MS Gothic" w:hAnsi="MS Gothic"/>
          <w:color w:val="B02045"/>
          <w:w w:val="110"/>
          <w:sz w:val="21"/>
        </w:rPr>
        <w:t>s</w:t>
      </w:r>
      <w:r>
        <w:rPr>
          <w:rFonts w:ascii="MS Gothic" w:hAnsi="MS Gothic"/>
          <w:color w:val="B02045"/>
          <w:spacing w:val="-70"/>
          <w:w w:val="110"/>
          <w:sz w:val="21"/>
        </w:rPr>
        <w:t xml:space="preserve"> </w:t>
      </w:r>
      <w:r>
        <w:rPr>
          <w:color w:val="333333"/>
          <w:w w:val="110"/>
          <w:sz w:val="21"/>
        </w:rPr>
        <w:t>for seconds</w:t>
      </w:r>
    </w:p>
    <w:p w14:paraId="751B41DE" w14:textId="77777777" w:rsidR="00A720EB" w:rsidRDefault="0030286B">
      <w:pPr>
        <w:pStyle w:val="a6"/>
        <w:numPr>
          <w:ilvl w:val="0"/>
          <w:numId w:val="1"/>
        </w:numPr>
        <w:tabs>
          <w:tab w:val="left" w:pos="485"/>
        </w:tabs>
        <w:spacing w:before="166"/>
        <w:rPr>
          <w:sz w:val="21"/>
        </w:rPr>
      </w:pPr>
      <w:r>
        <w:rPr>
          <w:rFonts w:ascii="MS Gothic" w:hAnsi="MS Gothic"/>
          <w:color w:val="B02045"/>
          <w:w w:val="110"/>
          <w:sz w:val="21"/>
        </w:rPr>
        <w:t>m</w:t>
      </w:r>
      <w:r>
        <w:rPr>
          <w:rFonts w:ascii="MS Gothic" w:hAnsi="MS Gothic"/>
          <w:color w:val="B02045"/>
          <w:spacing w:val="-56"/>
          <w:w w:val="110"/>
          <w:sz w:val="21"/>
        </w:rPr>
        <w:t xml:space="preserve"> </w:t>
      </w:r>
      <w:r>
        <w:rPr>
          <w:color w:val="333333"/>
          <w:w w:val="110"/>
          <w:sz w:val="21"/>
        </w:rPr>
        <w:t>for minutes</w:t>
      </w:r>
    </w:p>
    <w:p w14:paraId="31BAC8D3" w14:textId="77777777" w:rsidR="00A720EB" w:rsidRDefault="0030286B">
      <w:pPr>
        <w:pStyle w:val="a6"/>
        <w:numPr>
          <w:ilvl w:val="0"/>
          <w:numId w:val="1"/>
        </w:numPr>
        <w:tabs>
          <w:tab w:val="left" w:pos="485"/>
        </w:tabs>
        <w:spacing w:before="167"/>
        <w:rPr>
          <w:sz w:val="21"/>
        </w:rPr>
      </w:pPr>
      <w:r>
        <w:rPr>
          <w:rFonts w:ascii="MS Gothic" w:hAnsi="MS Gothic"/>
          <w:color w:val="B02045"/>
          <w:w w:val="110"/>
          <w:sz w:val="21"/>
        </w:rPr>
        <w:t>h</w:t>
      </w:r>
      <w:r>
        <w:rPr>
          <w:rFonts w:ascii="MS Gothic" w:hAnsi="MS Gothic"/>
          <w:color w:val="B02045"/>
          <w:spacing w:val="-59"/>
          <w:w w:val="110"/>
          <w:sz w:val="21"/>
        </w:rPr>
        <w:t xml:space="preserve"> </w:t>
      </w:r>
      <w:r>
        <w:rPr>
          <w:color w:val="333333"/>
          <w:w w:val="110"/>
          <w:sz w:val="21"/>
        </w:rPr>
        <w:t>for hours</w:t>
      </w:r>
    </w:p>
    <w:p w14:paraId="65B72523" w14:textId="77777777" w:rsidR="00A720EB" w:rsidRDefault="0030286B">
      <w:pPr>
        <w:pStyle w:val="a6"/>
        <w:numPr>
          <w:ilvl w:val="0"/>
          <w:numId w:val="1"/>
        </w:numPr>
        <w:tabs>
          <w:tab w:val="left" w:pos="485"/>
        </w:tabs>
        <w:spacing w:before="166"/>
        <w:rPr>
          <w:sz w:val="21"/>
        </w:rPr>
      </w:pPr>
      <w:r>
        <w:rPr>
          <w:rFonts w:ascii="MS Gothic" w:hAnsi="MS Gothic"/>
          <w:color w:val="B02045"/>
          <w:w w:val="110"/>
          <w:sz w:val="21"/>
        </w:rPr>
        <w:t>d</w:t>
      </w:r>
      <w:r>
        <w:rPr>
          <w:rFonts w:ascii="MS Gothic" w:hAnsi="MS Gothic"/>
          <w:color w:val="B02045"/>
          <w:spacing w:val="-59"/>
          <w:w w:val="110"/>
          <w:sz w:val="21"/>
        </w:rPr>
        <w:t xml:space="preserve"> </w:t>
      </w:r>
      <w:r>
        <w:rPr>
          <w:color w:val="333333"/>
          <w:w w:val="110"/>
          <w:sz w:val="21"/>
        </w:rPr>
        <w:t>for days</w:t>
      </w:r>
    </w:p>
    <w:p w14:paraId="3E188B6D" w14:textId="77777777" w:rsidR="00A720EB" w:rsidRDefault="00A720EB">
      <w:pPr>
        <w:pStyle w:val="a3"/>
        <w:spacing w:before="5"/>
        <w:rPr>
          <w:sz w:val="24"/>
        </w:rPr>
      </w:pPr>
    </w:p>
    <w:p w14:paraId="4EA9BB06" w14:textId="77777777" w:rsidR="00A720EB" w:rsidRDefault="0030286B">
      <w:pPr>
        <w:pStyle w:val="a3"/>
        <w:spacing w:line="285" w:lineRule="auto"/>
        <w:ind w:left="124" w:right="125"/>
        <w:jc w:val="both"/>
      </w:pPr>
      <w:r>
        <w:rPr>
          <w:color w:val="333333"/>
          <w:w w:val="110"/>
        </w:rPr>
        <w:t xml:space="preserve">The default unit is milliseconds and can be overridden using </w:t>
      </w:r>
      <w:r>
        <w:rPr>
          <w:rFonts w:ascii="MS Gothic"/>
          <w:color w:val="B02045"/>
          <w:w w:val="110"/>
        </w:rPr>
        <w:t xml:space="preserve">@DurationUnit </w:t>
      </w:r>
      <w:r>
        <w:rPr>
          <w:color w:val="333333"/>
          <w:w w:val="110"/>
        </w:rPr>
        <w:t xml:space="preserve">as illustrated in the sample above. Note that </w:t>
      </w:r>
      <w:r>
        <w:rPr>
          <w:rFonts w:ascii="MS Gothic"/>
          <w:color w:val="B02045"/>
          <w:w w:val="110"/>
        </w:rPr>
        <w:t xml:space="preserve">@DurationUnit </w:t>
      </w:r>
      <w:r>
        <w:rPr>
          <w:color w:val="333333"/>
          <w:w w:val="110"/>
        </w:rPr>
        <w:t>is only supported with JavaBean-style property binding using getters and setters. It is not supported with constructor binding.</w:t>
      </w:r>
    </w:p>
    <w:p w14:paraId="6078BAA2" w14:textId="77777777" w:rsidR="00A720EB" w:rsidRDefault="00A720EB">
      <w:pPr>
        <w:pStyle w:val="a3"/>
        <w:spacing w:before="7"/>
        <w:rPr>
          <w:sz w:val="18"/>
        </w:rPr>
      </w:pPr>
    </w:p>
    <w:p w14:paraId="129CB072" w14:textId="77777777" w:rsidR="00A720EB" w:rsidRDefault="00E10349">
      <w:pPr>
        <w:pStyle w:val="a3"/>
        <w:spacing w:before="116" w:line="285" w:lineRule="auto"/>
        <w:ind w:left="1564" w:right="365"/>
        <w:jc w:val="both"/>
      </w:pPr>
      <w:r>
        <w:pict w14:anchorId="402E4E36">
          <v:line id="_x0000_s4493" style="position:absolute;left:0;text-align:left;z-index:15874048;mso-position-horizontal-relative:page" from="108.25pt,.35pt" to="108.25pt,55.7pt" strokecolor="#ededed" strokeweight=".5pt">
            <w10:wrap anchorx="page"/>
          </v:line>
        </w:pict>
      </w:r>
      <w:r w:rsidR="0030286B">
        <w:rPr>
          <w:noProof/>
        </w:rPr>
        <w:drawing>
          <wp:anchor distT="0" distB="0" distL="0" distR="0" simplePos="0" relativeHeight="15874560" behindDoc="0" locked="0" layoutInCell="1" allowOverlap="1" wp14:anchorId="4B7B33F9" wp14:editId="5085C6CD">
            <wp:simplePos x="0" y="0"/>
            <wp:positionH relativeFrom="page">
              <wp:posOffset>888949</wp:posOffset>
            </wp:positionH>
            <wp:positionV relativeFrom="paragraph">
              <wp:posOffset>203276</wp:posOffset>
            </wp:positionV>
            <wp:extent cx="209550" cy="304800"/>
            <wp:effectExtent l="0" t="0" r="0" b="0"/>
            <wp:wrapNone/>
            <wp:docPr id="18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are upgrading a </w:t>
      </w:r>
      <w:r w:rsidR="0030286B">
        <w:rPr>
          <w:rFonts w:ascii="MS Gothic" w:hAnsi="MS Gothic"/>
          <w:color w:val="B02045"/>
          <w:w w:val="110"/>
        </w:rPr>
        <w:t xml:space="preserve">Long </w:t>
      </w:r>
      <w:r w:rsidR="0030286B">
        <w:rPr>
          <w:color w:val="333333"/>
          <w:w w:val="110"/>
        </w:rPr>
        <w:t xml:space="preserve">property, make sure to define the unit (using </w:t>
      </w:r>
      <w:r w:rsidR="0030286B">
        <w:rPr>
          <w:rFonts w:ascii="MS Gothic" w:hAnsi="MS Gothic"/>
          <w:color w:val="B02045"/>
          <w:w w:val="110"/>
        </w:rPr>
        <w:t>@DurationUnit</w:t>
      </w:r>
      <w:r w:rsidR="0030286B">
        <w:rPr>
          <w:color w:val="333333"/>
          <w:w w:val="110"/>
        </w:rPr>
        <w:t>) if it isn’t milliseconds. Doing so gives a transparent upgrade path while supporting a much richer format.</w:t>
      </w:r>
    </w:p>
    <w:p w14:paraId="2029C5DB" w14:textId="77777777" w:rsidR="00A720EB" w:rsidRDefault="00A720EB">
      <w:pPr>
        <w:pStyle w:val="a3"/>
        <w:spacing w:before="6"/>
        <w:rPr>
          <w:sz w:val="25"/>
        </w:rPr>
      </w:pPr>
    </w:p>
    <w:p w14:paraId="7D981E20" w14:textId="77777777" w:rsidR="00A720EB" w:rsidRDefault="0030286B">
      <w:pPr>
        <w:spacing w:before="104"/>
        <w:ind w:left="124"/>
        <w:rPr>
          <w:rFonts w:ascii="Palatino Linotype"/>
          <w:b/>
          <w:sz w:val="18"/>
        </w:rPr>
      </w:pPr>
      <w:r>
        <w:rPr>
          <w:rFonts w:ascii="Palatino Linotype"/>
          <w:b/>
          <w:color w:val="333333"/>
          <w:w w:val="110"/>
          <w:sz w:val="18"/>
        </w:rPr>
        <w:t>Converting periods</w:t>
      </w:r>
    </w:p>
    <w:p w14:paraId="4FC89AF9" w14:textId="77777777" w:rsidR="00A720EB" w:rsidRDefault="00A720EB">
      <w:pPr>
        <w:pStyle w:val="a3"/>
        <w:spacing w:before="1"/>
        <w:rPr>
          <w:rFonts w:ascii="Palatino Linotype"/>
          <w:b/>
          <w:sz w:val="18"/>
        </w:rPr>
      </w:pPr>
    </w:p>
    <w:p w14:paraId="5DEE2B48" w14:textId="77777777" w:rsidR="00A720EB" w:rsidRDefault="0030286B">
      <w:pPr>
        <w:pStyle w:val="a3"/>
        <w:spacing w:line="290" w:lineRule="auto"/>
        <w:ind w:left="124"/>
      </w:pPr>
      <w:r>
        <w:rPr>
          <w:color w:val="333333"/>
          <w:w w:val="110"/>
        </w:rPr>
        <w:t xml:space="preserve">In addition to durations, Spring Boot can also work with </w:t>
      </w:r>
      <w:proofErr w:type="gramStart"/>
      <w:r>
        <w:rPr>
          <w:rFonts w:ascii="MS Gothic"/>
          <w:color w:val="B02045"/>
          <w:w w:val="110"/>
        </w:rPr>
        <w:t>java.time</w:t>
      </w:r>
      <w:proofErr w:type="gramEnd"/>
      <w:r>
        <w:rPr>
          <w:rFonts w:ascii="MS Gothic"/>
          <w:color w:val="B02045"/>
          <w:w w:val="110"/>
        </w:rPr>
        <w:t xml:space="preserve">.Period </w:t>
      </w:r>
      <w:r>
        <w:rPr>
          <w:color w:val="333333"/>
          <w:w w:val="110"/>
        </w:rPr>
        <w:t>type. The following formats can be used in application properties:</w:t>
      </w:r>
    </w:p>
    <w:p w14:paraId="14FF476B" w14:textId="77777777" w:rsidR="00A720EB" w:rsidRDefault="0030286B">
      <w:pPr>
        <w:pStyle w:val="a6"/>
        <w:numPr>
          <w:ilvl w:val="0"/>
          <w:numId w:val="1"/>
        </w:numPr>
        <w:tabs>
          <w:tab w:val="left" w:pos="485"/>
        </w:tabs>
        <w:spacing w:before="248" w:line="290" w:lineRule="auto"/>
        <w:ind w:right="123"/>
        <w:rPr>
          <w:sz w:val="21"/>
        </w:rPr>
      </w:pPr>
      <w:r>
        <w:rPr>
          <w:color w:val="333333"/>
          <w:w w:val="110"/>
          <w:sz w:val="21"/>
        </w:rPr>
        <w:t xml:space="preserve">An regular </w:t>
      </w:r>
      <w:r>
        <w:rPr>
          <w:rFonts w:ascii="MS Gothic" w:hAnsi="MS Gothic"/>
          <w:color w:val="B02045"/>
          <w:w w:val="110"/>
          <w:sz w:val="21"/>
        </w:rPr>
        <w:t xml:space="preserve">int </w:t>
      </w:r>
      <w:r>
        <w:rPr>
          <w:color w:val="333333"/>
          <w:w w:val="110"/>
          <w:sz w:val="21"/>
        </w:rPr>
        <w:t xml:space="preserve">representation (using days as the default unit unless a </w:t>
      </w:r>
      <w:r>
        <w:rPr>
          <w:rFonts w:ascii="MS Gothic" w:hAnsi="MS Gothic"/>
          <w:color w:val="B02045"/>
          <w:w w:val="110"/>
          <w:sz w:val="21"/>
        </w:rPr>
        <w:t xml:space="preserve">@PeriodUnit </w:t>
      </w:r>
      <w:r>
        <w:rPr>
          <w:color w:val="333333"/>
          <w:w w:val="110"/>
          <w:sz w:val="21"/>
        </w:rPr>
        <w:t xml:space="preserve">has </w:t>
      </w:r>
      <w:proofErr w:type="gramStart"/>
      <w:r>
        <w:rPr>
          <w:color w:val="333333"/>
          <w:w w:val="110"/>
          <w:sz w:val="21"/>
        </w:rPr>
        <w:t>been  specified</w:t>
      </w:r>
      <w:proofErr w:type="gramEnd"/>
      <w:r>
        <w:rPr>
          <w:color w:val="333333"/>
          <w:w w:val="110"/>
          <w:sz w:val="21"/>
        </w:rPr>
        <w:t>)</w:t>
      </w:r>
    </w:p>
    <w:p w14:paraId="20639AAE" w14:textId="77777777" w:rsidR="00A720EB" w:rsidRDefault="0030286B">
      <w:pPr>
        <w:pStyle w:val="a6"/>
        <w:numPr>
          <w:ilvl w:val="0"/>
          <w:numId w:val="1"/>
        </w:numPr>
        <w:tabs>
          <w:tab w:val="left" w:pos="485"/>
        </w:tabs>
        <w:spacing w:before="128"/>
        <w:rPr>
          <w:rFonts w:ascii="MS Gothic" w:hAnsi="MS Gothic"/>
          <w:sz w:val="21"/>
        </w:rPr>
      </w:pPr>
      <w:r>
        <w:rPr>
          <w:color w:val="333333"/>
          <w:w w:val="110"/>
          <w:sz w:val="21"/>
        </w:rPr>
        <w:t xml:space="preserve">The standard ISO-8601 format </w:t>
      </w:r>
      <w:hyperlink r:id="rId108" w:anchor="parse-java.lang.CharSequence-">
        <w:r>
          <w:rPr>
            <w:color w:val="418BCA"/>
            <w:w w:val="110"/>
            <w:sz w:val="21"/>
          </w:rPr>
          <w:t xml:space="preserve">used </w:t>
        </w:r>
        <w:r>
          <w:rPr>
            <w:color w:val="418BCA"/>
            <w:spacing w:val="-3"/>
            <w:w w:val="110"/>
            <w:sz w:val="21"/>
          </w:rPr>
          <w:t>by</w:t>
        </w:r>
        <w:r>
          <w:rPr>
            <w:color w:val="418BCA"/>
            <w:spacing w:val="3"/>
            <w:w w:val="110"/>
            <w:sz w:val="21"/>
          </w:rPr>
          <w:t xml:space="preserve"> </w:t>
        </w:r>
      </w:hyperlink>
      <w:hyperlink r:id="rId109" w:anchor="parse-java.lang.CharSequence-">
        <w:r>
          <w:rPr>
            <w:rFonts w:ascii="MS Gothic" w:hAnsi="MS Gothic"/>
            <w:color w:val="B02045"/>
            <w:w w:val="110"/>
            <w:sz w:val="21"/>
          </w:rPr>
          <w:t>java.time.Period</w:t>
        </w:r>
      </w:hyperlink>
    </w:p>
    <w:p w14:paraId="2831D1A4" w14:textId="77777777" w:rsidR="00A720EB" w:rsidRDefault="0030286B">
      <w:pPr>
        <w:pStyle w:val="a6"/>
        <w:numPr>
          <w:ilvl w:val="0"/>
          <w:numId w:val="1"/>
        </w:numPr>
        <w:tabs>
          <w:tab w:val="left" w:pos="485"/>
        </w:tabs>
        <w:spacing w:before="166" w:line="290" w:lineRule="auto"/>
        <w:ind w:right="126"/>
        <w:rPr>
          <w:sz w:val="21"/>
        </w:rPr>
      </w:pPr>
      <w:r>
        <w:rPr>
          <w:color w:val="333333"/>
          <w:w w:val="110"/>
          <w:sz w:val="21"/>
        </w:rPr>
        <w:t xml:space="preserve">A simpler format where the value and the unit pairs are coupled (e.g. </w:t>
      </w:r>
      <w:r>
        <w:rPr>
          <w:rFonts w:ascii="MS Gothic" w:hAnsi="MS Gothic"/>
          <w:color w:val="B02045"/>
          <w:w w:val="110"/>
          <w:sz w:val="21"/>
        </w:rPr>
        <w:t xml:space="preserve">1y3d </w:t>
      </w:r>
      <w:r>
        <w:rPr>
          <w:color w:val="333333"/>
          <w:w w:val="110"/>
          <w:sz w:val="21"/>
        </w:rPr>
        <w:t>means 1 year and 3 days)</w:t>
      </w:r>
    </w:p>
    <w:p w14:paraId="1A443E8C" w14:textId="77777777" w:rsidR="00A720EB" w:rsidRDefault="00A720EB">
      <w:pPr>
        <w:pStyle w:val="a3"/>
        <w:rPr>
          <w:sz w:val="22"/>
        </w:rPr>
      </w:pPr>
    </w:p>
    <w:p w14:paraId="47203CA7" w14:textId="77777777" w:rsidR="00A720EB" w:rsidRDefault="0030286B">
      <w:pPr>
        <w:pStyle w:val="a3"/>
        <w:ind w:left="124"/>
      </w:pPr>
      <w:r>
        <w:rPr>
          <w:color w:val="333333"/>
          <w:w w:val="110"/>
        </w:rPr>
        <w:t>The following units are supported with the simple format:</w:t>
      </w:r>
    </w:p>
    <w:p w14:paraId="3AC3AA8F" w14:textId="77777777" w:rsidR="00A720EB" w:rsidRDefault="00A720EB">
      <w:pPr>
        <w:pStyle w:val="a3"/>
        <w:spacing w:before="6"/>
        <w:rPr>
          <w:sz w:val="25"/>
        </w:rPr>
      </w:pPr>
    </w:p>
    <w:p w14:paraId="7F730C42" w14:textId="77777777" w:rsidR="00A720EB" w:rsidRDefault="0030286B">
      <w:pPr>
        <w:pStyle w:val="a6"/>
        <w:numPr>
          <w:ilvl w:val="0"/>
          <w:numId w:val="1"/>
        </w:numPr>
        <w:tabs>
          <w:tab w:val="left" w:pos="485"/>
        </w:tabs>
        <w:rPr>
          <w:sz w:val="21"/>
        </w:rPr>
      </w:pPr>
      <w:r>
        <w:rPr>
          <w:rFonts w:ascii="MS Gothic" w:hAnsi="MS Gothic"/>
          <w:color w:val="B02045"/>
          <w:w w:val="110"/>
          <w:sz w:val="21"/>
        </w:rPr>
        <w:t>y</w:t>
      </w:r>
      <w:r>
        <w:rPr>
          <w:rFonts w:ascii="MS Gothic" w:hAnsi="MS Gothic"/>
          <w:color w:val="B02045"/>
          <w:spacing w:val="-59"/>
          <w:w w:val="110"/>
          <w:sz w:val="21"/>
        </w:rPr>
        <w:t xml:space="preserve"> </w:t>
      </w:r>
      <w:r>
        <w:rPr>
          <w:color w:val="333333"/>
          <w:w w:val="110"/>
          <w:sz w:val="21"/>
        </w:rPr>
        <w:t>for years</w:t>
      </w:r>
    </w:p>
    <w:p w14:paraId="7BAA37C9" w14:textId="77777777" w:rsidR="00A720EB" w:rsidRDefault="0030286B">
      <w:pPr>
        <w:pStyle w:val="a6"/>
        <w:numPr>
          <w:ilvl w:val="0"/>
          <w:numId w:val="1"/>
        </w:numPr>
        <w:tabs>
          <w:tab w:val="left" w:pos="485"/>
        </w:tabs>
        <w:spacing w:before="167"/>
        <w:rPr>
          <w:sz w:val="21"/>
        </w:rPr>
      </w:pPr>
      <w:r>
        <w:rPr>
          <w:rFonts w:ascii="MS Gothic" w:hAnsi="MS Gothic"/>
          <w:color w:val="B02045"/>
          <w:w w:val="110"/>
          <w:sz w:val="21"/>
        </w:rPr>
        <w:t>m</w:t>
      </w:r>
      <w:r>
        <w:rPr>
          <w:rFonts w:ascii="MS Gothic" w:hAnsi="MS Gothic"/>
          <w:color w:val="B02045"/>
          <w:spacing w:val="-59"/>
          <w:w w:val="110"/>
          <w:sz w:val="21"/>
        </w:rPr>
        <w:t xml:space="preserve"> </w:t>
      </w:r>
      <w:r>
        <w:rPr>
          <w:color w:val="333333"/>
          <w:w w:val="110"/>
          <w:sz w:val="21"/>
        </w:rPr>
        <w:t>for months</w:t>
      </w:r>
    </w:p>
    <w:p w14:paraId="4C2B04F1" w14:textId="77777777" w:rsidR="00A720EB" w:rsidRDefault="0030286B">
      <w:pPr>
        <w:pStyle w:val="a6"/>
        <w:numPr>
          <w:ilvl w:val="0"/>
          <w:numId w:val="1"/>
        </w:numPr>
        <w:tabs>
          <w:tab w:val="left" w:pos="485"/>
        </w:tabs>
        <w:spacing w:before="166"/>
        <w:rPr>
          <w:sz w:val="21"/>
        </w:rPr>
      </w:pPr>
      <w:r>
        <w:rPr>
          <w:rFonts w:ascii="MS Gothic" w:hAnsi="MS Gothic"/>
          <w:color w:val="B02045"/>
          <w:w w:val="110"/>
          <w:sz w:val="21"/>
        </w:rPr>
        <w:t>w</w:t>
      </w:r>
      <w:r>
        <w:rPr>
          <w:rFonts w:ascii="MS Gothic" w:hAnsi="MS Gothic"/>
          <w:color w:val="B02045"/>
          <w:spacing w:val="-59"/>
          <w:w w:val="110"/>
          <w:sz w:val="21"/>
        </w:rPr>
        <w:t xml:space="preserve"> </w:t>
      </w:r>
      <w:r>
        <w:rPr>
          <w:color w:val="333333"/>
          <w:w w:val="110"/>
          <w:sz w:val="21"/>
        </w:rPr>
        <w:t>for weeks</w:t>
      </w:r>
    </w:p>
    <w:p w14:paraId="2969732F" w14:textId="77777777" w:rsidR="00A720EB" w:rsidRDefault="0030286B">
      <w:pPr>
        <w:pStyle w:val="a6"/>
        <w:numPr>
          <w:ilvl w:val="0"/>
          <w:numId w:val="1"/>
        </w:numPr>
        <w:tabs>
          <w:tab w:val="left" w:pos="485"/>
        </w:tabs>
        <w:spacing w:before="167"/>
        <w:rPr>
          <w:sz w:val="21"/>
        </w:rPr>
      </w:pPr>
      <w:r>
        <w:rPr>
          <w:rFonts w:ascii="MS Gothic" w:hAnsi="MS Gothic"/>
          <w:color w:val="B02045"/>
          <w:w w:val="110"/>
          <w:sz w:val="21"/>
        </w:rPr>
        <w:t>d</w:t>
      </w:r>
      <w:r>
        <w:rPr>
          <w:rFonts w:ascii="MS Gothic" w:hAnsi="MS Gothic"/>
          <w:color w:val="B02045"/>
          <w:spacing w:val="-59"/>
          <w:w w:val="110"/>
          <w:sz w:val="21"/>
        </w:rPr>
        <w:t xml:space="preserve"> </w:t>
      </w:r>
      <w:r>
        <w:rPr>
          <w:color w:val="333333"/>
          <w:w w:val="110"/>
          <w:sz w:val="21"/>
        </w:rPr>
        <w:t>for days</w:t>
      </w:r>
    </w:p>
    <w:p w14:paraId="4D749F8D" w14:textId="77777777" w:rsidR="00A720EB" w:rsidRDefault="00A720EB">
      <w:pPr>
        <w:pStyle w:val="a3"/>
        <w:spacing w:before="4"/>
      </w:pPr>
    </w:p>
    <w:p w14:paraId="0E19B706" w14:textId="77777777" w:rsidR="00A720EB" w:rsidRDefault="00E10349">
      <w:pPr>
        <w:pStyle w:val="a3"/>
        <w:spacing w:before="116" w:line="290" w:lineRule="auto"/>
        <w:ind w:left="1564" w:right="462"/>
      </w:pPr>
      <w:r>
        <w:pict w14:anchorId="37287D2A">
          <v:line id="_x0000_s4492" style="position:absolute;left:0;text-align:left;z-index:15875072;mso-position-horizontal-relative:page" from="108.25pt,.35pt" to="108.25pt,39.9pt" strokecolor="#ededed" strokeweight=".5pt">
            <w10:wrap anchorx="page"/>
          </v:line>
        </w:pict>
      </w:r>
      <w:r w:rsidR="0030286B">
        <w:rPr>
          <w:noProof/>
        </w:rPr>
        <w:drawing>
          <wp:anchor distT="0" distB="0" distL="0" distR="0" simplePos="0" relativeHeight="15875584" behindDoc="0" locked="0" layoutInCell="1" allowOverlap="1" wp14:anchorId="2756942B" wp14:editId="3F7EFC47">
            <wp:simplePos x="0" y="0"/>
            <wp:positionH relativeFrom="page">
              <wp:posOffset>844422</wp:posOffset>
            </wp:positionH>
            <wp:positionV relativeFrom="paragraph">
              <wp:posOffset>106248</wp:posOffset>
            </wp:positionV>
            <wp:extent cx="298450" cy="298450"/>
            <wp:effectExtent l="0" t="0" r="0" b="0"/>
            <wp:wrapNone/>
            <wp:docPr id="1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w:t>
      </w:r>
      <w:proofErr w:type="gramStart"/>
      <w:r w:rsidR="0030286B">
        <w:rPr>
          <w:rFonts w:ascii="MS Gothic" w:hAnsi="MS Gothic"/>
          <w:color w:val="B02045"/>
          <w:w w:val="110"/>
        </w:rPr>
        <w:t>java.time</w:t>
      </w:r>
      <w:proofErr w:type="gramEnd"/>
      <w:r w:rsidR="0030286B">
        <w:rPr>
          <w:rFonts w:ascii="MS Gothic" w:hAnsi="MS Gothic"/>
          <w:color w:val="B02045"/>
          <w:w w:val="110"/>
        </w:rPr>
        <w:t xml:space="preserve">.Period </w:t>
      </w:r>
      <w:r w:rsidR="0030286B">
        <w:rPr>
          <w:color w:val="333333"/>
          <w:w w:val="110"/>
        </w:rPr>
        <w:t>type never actually stores the number of weeks, it is a shortcut that means “7 days”.</w:t>
      </w:r>
    </w:p>
    <w:p w14:paraId="0B8F09A5" w14:textId="77777777" w:rsidR="00A720EB" w:rsidRDefault="00A720EB">
      <w:pPr>
        <w:pStyle w:val="a3"/>
        <w:spacing w:before="1"/>
        <w:rPr>
          <w:sz w:val="25"/>
        </w:rPr>
      </w:pPr>
    </w:p>
    <w:p w14:paraId="0971B5B8" w14:textId="77777777" w:rsidR="00A720EB" w:rsidRDefault="0030286B">
      <w:pPr>
        <w:spacing w:before="104"/>
        <w:ind w:left="124"/>
        <w:rPr>
          <w:rFonts w:ascii="Palatino Linotype"/>
          <w:b/>
          <w:sz w:val="18"/>
        </w:rPr>
      </w:pPr>
      <w:r>
        <w:rPr>
          <w:rFonts w:ascii="Palatino Linotype"/>
          <w:b/>
          <w:color w:val="333333"/>
          <w:w w:val="110"/>
          <w:sz w:val="18"/>
        </w:rPr>
        <w:t>Converting Data Sizes</w:t>
      </w:r>
    </w:p>
    <w:p w14:paraId="6A54FEDA" w14:textId="77777777" w:rsidR="00A720EB" w:rsidRDefault="00A720EB">
      <w:pPr>
        <w:pStyle w:val="a3"/>
        <w:spacing w:before="1"/>
        <w:rPr>
          <w:rFonts w:ascii="Palatino Linotype"/>
          <w:b/>
          <w:sz w:val="18"/>
        </w:rPr>
      </w:pPr>
    </w:p>
    <w:p w14:paraId="59C1D513" w14:textId="77777777" w:rsidR="00A720EB" w:rsidRDefault="0030286B">
      <w:pPr>
        <w:pStyle w:val="a3"/>
        <w:ind w:left="124"/>
        <w:rPr>
          <w:rFonts w:ascii="MS Gothic"/>
        </w:rPr>
      </w:pPr>
      <w:r>
        <w:rPr>
          <w:color w:val="333333"/>
          <w:w w:val="110"/>
        </w:rPr>
        <w:t xml:space="preserve">Spring Framework has a </w:t>
      </w:r>
      <w:r>
        <w:rPr>
          <w:rFonts w:ascii="MS Gothic"/>
          <w:color w:val="B02045"/>
          <w:w w:val="110"/>
        </w:rPr>
        <w:t xml:space="preserve">DataSize </w:t>
      </w:r>
      <w:r>
        <w:rPr>
          <w:color w:val="333333"/>
          <w:w w:val="110"/>
        </w:rPr>
        <w:t xml:space="preserve">value type that expresses a size in bytes. If you expose a </w:t>
      </w:r>
      <w:r>
        <w:rPr>
          <w:rFonts w:ascii="MS Gothic"/>
          <w:color w:val="B02045"/>
          <w:w w:val="110"/>
        </w:rPr>
        <w:t>DataSize</w:t>
      </w:r>
    </w:p>
    <w:p w14:paraId="7C18189C" w14:textId="77777777" w:rsidR="00A720EB" w:rsidRDefault="00A720EB">
      <w:pPr>
        <w:rPr>
          <w:rFonts w:ascii="MS Gothic"/>
        </w:rPr>
        <w:sectPr w:rsidR="00A720EB">
          <w:pgSz w:w="11910" w:h="16840"/>
          <w:pgMar w:top="620" w:right="840" w:bottom="520" w:left="840" w:header="0" w:footer="323" w:gutter="0"/>
          <w:cols w:space="720"/>
        </w:sectPr>
      </w:pPr>
    </w:p>
    <w:p w14:paraId="4375094A" w14:textId="77777777" w:rsidR="00A720EB" w:rsidRDefault="0030286B">
      <w:pPr>
        <w:pStyle w:val="a3"/>
        <w:spacing w:before="107"/>
        <w:ind w:left="124"/>
      </w:pPr>
      <w:r>
        <w:rPr>
          <w:color w:val="333333"/>
          <w:w w:val="110"/>
        </w:rPr>
        <w:lastRenderedPageBreak/>
        <w:t>property, the following formats in application properties are available:</w:t>
      </w:r>
    </w:p>
    <w:p w14:paraId="7BF23605" w14:textId="77777777" w:rsidR="00A720EB" w:rsidRDefault="00A720EB">
      <w:pPr>
        <w:pStyle w:val="a3"/>
        <w:spacing w:before="5"/>
        <w:rPr>
          <w:sz w:val="25"/>
        </w:rPr>
      </w:pPr>
    </w:p>
    <w:p w14:paraId="160F4B5D" w14:textId="77777777" w:rsidR="00A720EB" w:rsidRDefault="0030286B">
      <w:pPr>
        <w:pStyle w:val="a6"/>
        <w:numPr>
          <w:ilvl w:val="0"/>
          <w:numId w:val="1"/>
        </w:numPr>
        <w:tabs>
          <w:tab w:val="left" w:pos="485"/>
        </w:tabs>
        <w:spacing w:line="290" w:lineRule="auto"/>
        <w:ind w:right="123"/>
        <w:rPr>
          <w:sz w:val="21"/>
        </w:rPr>
      </w:pPr>
      <w:r>
        <w:rPr>
          <w:color w:val="333333"/>
          <w:w w:val="110"/>
          <w:sz w:val="21"/>
        </w:rPr>
        <w:t xml:space="preserve">A regular </w:t>
      </w:r>
      <w:r>
        <w:rPr>
          <w:rFonts w:ascii="MS Gothic" w:hAnsi="MS Gothic"/>
          <w:color w:val="B02045"/>
          <w:w w:val="110"/>
          <w:sz w:val="21"/>
        </w:rPr>
        <w:t xml:space="preserve">long </w:t>
      </w:r>
      <w:r>
        <w:rPr>
          <w:color w:val="333333"/>
          <w:w w:val="110"/>
          <w:sz w:val="21"/>
        </w:rPr>
        <w:t xml:space="preserve">representation (using bytes as the default unit unless a </w:t>
      </w:r>
      <w:r>
        <w:rPr>
          <w:rFonts w:ascii="MS Gothic" w:hAnsi="MS Gothic"/>
          <w:color w:val="B02045"/>
          <w:w w:val="110"/>
          <w:sz w:val="21"/>
        </w:rPr>
        <w:t xml:space="preserve">@DataSizeUnit </w:t>
      </w:r>
      <w:r>
        <w:rPr>
          <w:color w:val="333333"/>
          <w:w w:val="110"/>
          <w:sz w:val="21"/>
        </w:rPr>
        <w:t>has been specified)</w:t>
      </w:r>
    </w:p>
    <w:p w14:paraId="63CAF7D7" w14:textId="77777777" w:rsidR="00A720EB" w:rsidRDefault="0030286B">
      <w:pPr>
        <w:pStyle w:val="a6"/>
        <w:numPr>
          <w:ilvl w:val="0"/>
          <w:numId w:val="1"/>
        </w:numPr>
        <w:tabs>
          <w:tab w:val="left" w:pos="485"/>
        </w:tabs>
        <w:spacing w:before="128" w:line="290" w:lineRule="auto"/>
        <w:ind w:right="124"/>
        <w:rPr>
          <w:sz w:val="21"/>
        </w:rPr>
      </w:pPr>
      <w:r>
        <w:rPr>
          <w:color w:val="333333"/>
          <w:w w:val="110"/>
          <w:sz w:val="21"/>
        </w:rPr>
        <w:t xml:space="preserve">A more readable format where the value and the unit are coupled (e.g. </w:t>
      </w:r>
      <w:r>
        <w:rPr>
          <w:rFonts w:ascii="MS Gothic" w:hAnsi="MS Gothic"/>
          <w:color w:val="B02045"/>
          <w:w w:val="110"/>
          <w:sz w:val="21"/>
        </w:rPr>
        <w:t xml:space="preserve">10MB </w:t>
      </w:r>
      <w:r>
        <w:rPr>
          <w:color w:val="333333"/>
          <w:w w:val="110"/>
          <w:sz w:val="21"/>
        </w:rPr>
        <w:t xml:space="preserve">means </w:t>
      </w:r>
      <w:proofErr w:type="gramStart"/>
      <w:r>
        <w:rPr>
          <w:color w:val="333333"/>
          <w:w w:val="110"/>
          <w:sz w:val="21"/>
        </w:rPr>
        <w:t>10  megabytes</w:t>
      </w:r>
      <w:proofErr w:type="gramEnd"/>
      <w:r>
        <w:rPr>
          <w:color w:val="333333"/>
          <w:w w:val="110"/>
          <w:sz w:val="21"/>
        </w:rPr>
        <w:t>)</w:t>
      </w:r>
    </w:p>
    <w:p w14:paraId="7C92D0C3" w14:textId="77777777" w:rsidR="00A720EB" w:rsidRDefault="00A720EB">
      <w:pPr>
        <w:pStyle w:val="a3"/>
        <w:rPr>
          <w:sz w:val="22"/>
        </w:rPr>
      </w:pPr>
    </w:p>
    <w:p w14:paraId="275FCAFE" w14:textId="77777777" w:rsidR="00A720EB" w:rsidRDefault="0030286B">
      <w:pPr>
        <w:pStyle w:val="a3"/>
        <w:spacing w:before="1"/>
        <w:ind w:left="124"/>
      </w:pPr>
      <w:r>
        <w:rPr>
          <w:color w:val="333333"/>
          <w:w w:val="110"/>
        </w:rPr>
        <w:t>Consider the following example:</w:t>
      </w:r>
    </w:p>
    <w:p w14:paraId="20FB3962" w14:textId="77777777" w:rsidR="00A720EB" w:rsidRDefault="00E10349">
      <w:pPr>
        <w:pStyle w:val="a3"/>
        <w:spacing w:before="11"/>
        <w:rPr>
          <w:sz w:val="18"/>
        </w:rPr>
      </w:pPr>
      <w:r>
        <w:pict w14:anchorId="05A114A6">
          <v:group id="_x0000_s4488" style="position:absolute;margin-left:47.85pt;margin-top:13.1pt;width:499.55pt;height:391.25pt;z-index:-15581184;mso-wrap-distance-left:0;mso-wrap-distance-right:0;mso-position-horizontal-relative:page" coordorigin="957,262" coordsize="9991,7825">
            <v:shape id="_x0000_s4491" style="position:absolute;left:964;top:269;width:9976;height:7810" coordorigin="965,269" coordsize="9976,7810" path="m10861,269r-9816,l1014,276r-26,17l971,318r-6,31l965,7999r6,32l988,8056r26,17l1045,8079r9816,l10892,8073r25,-17l10935,8031r6,-32l10941,349r-6,-31l10917,293r-25,-17l10861,269xe" fillcolor="#f5f5f5" stroked="f">
              <v:path arrowok="t"/>
            </v:shape>
            <v:shape id="_x0000_s4490" style="position:absolute;left:964;top:269;width:9976;height:7810" coordorigin="965,269" coordsize="9976,7810" path="m1045,269r9816,l10892,276r25,17l10935,318r6,31l10941,7999r-6,32l10917,8056r-25,17l10861,8079r-9816,l1014,8073r-26,-17l971,8031r-6,-32l965,349r6,-31l988,293r26,-17l1045,269xe" filled="f" strokecolor="#ccc">
              <v:path arrowok="t"/>
            </v:shape>
            <v:shape id="_x0000_s4489" type="#_x0000_t202" style="position:absolute;left:984;top:284;width:9938;height:7780" filled="f" stroked="f">
              <v:textbox inset="0,0,0,0">
                <w:txbxContent>
                  <w:p w14:paraId="5CEDB304" w14:textId="77777777" w:rsidR="00711A16" w:rsidRDefault="00711A16">
                    <w:pPr>
                      <w:spacing w:before="221" w:line="252" w:lineRule="auto"/>
                      <w:ind w:left="200" w:right="5978"/>
                      <w:rPr>
                        <w:rFonts w:ascii="MS Gothic"/>
                      </w:rPr>
                    </w:pPr>
                    <w:r>
                      <w:rPr>
                        <w:rFonts w:ascii="MS Gothic"/>
                        <w:color w:val="333333"/>
                      </w:rPr>
                      <w:t>@ConfigurationProperties("app.io") public class AppIoProperties {</w:t>
                    </w:r>
                  </w:p>
                  <w:p w14:paraId="25F98D2D" w14:textId="77777777" w:rsidR="00711A16" w:rsidRDefault="00711A16">
                    <w:pPr>
                      <w:spacing w:before="10"/>
                      <w:rPr>
                        <w:rFonts w:ascii="MS Gothic"/>
                      </w:rPr>
                    </w:pPr>
                  </w:p>
                  <w:p w14:paraId="71A9C053" w14:textId="77777777" w:rsidR="00711A16" w:rsidRDefault="00711A16">
                    <w:pPr>
                      <w:ind w:left="640"/>
                      <w:rPr>
                        <w:rFonts w:ascii="MS Gothic"/>
                      </w:rPr>
                    </w:pPr>
                    <w:r>
                      <w:rPr>
                        <w:rFonts w:ascii="MS Gothic"/>
                        <w:color w:val="333333"/>
                      </w:rPr>
                      <w:t>@</w:t>
                    </w:r>
                    <w:proofErr w:type="gramStart"/>
                    <w:r>
                      <w:rPr>
                        <w:rFonts w:ascii="MS Gothic"/>
                        <w:color w:val="333333"/>
                      </w:rPr>
                      <w:t>DataSizeUnit(</w:t>
                    </w:r>
                    <w:proofErr w:type="gramEnd"/>
                    <w:r>
                      <w:rPr>
                        <w:rFonts w:ascii="MS Gothic"/>
                        <w:color w:val="333333"/>
                      </w:rPr>
                      <w:t>DataUnit.MEGABYTES)</w:t>
                    </w:r>
                  </w:p>
                  <w:p w14:paraId="18442D36" w14:textId="77777777" w:rsidR="00711A16" w:rsidRDefault="00711A16">
                    <w:pPr>
                      <w:spacing w:before="13" w:line="501" w:lineRule="auto"/>
                      <w:ind w:left="640" w:right="3228"/>
                      <w:rPr>
                        <w:rFonts w:ascii="MS Gothic"/>
                      </w:rPr>
                    </w:pPr>
                    <w:r>
                      <w:rPr>
                        <w:rFonts w:ascii="MS Gothic"/>
                        <w:color w:val="333333"/>
                      </w:rPr>
                      <w:t>private DataSize bufferSize = DataSize.ofMegabytes(2); private DataSize sizeThreshold = DataSize.ofBytes(512);</w:t>
                    </w:r>
                  </w:p>
                  <w:p w14:paraId="0A872A3E" w14:textId="77777777" w:rsidR="00711A16" w:rsidRDefault="00711A16">
                    <w:pPr>
                      <w:spacing w:before="1" w:line="252" w:lineRule="auto"/>
                      <w:ind w:left="1080" w:right="5648" w:hanging="440"/>
                      <w:rPr>
                        <w:rFonts w:ascii="MS Gothic"/>
                      </w:rPr>
                    </w:pPr>
                    <w:r>
                      <w:rPr>
                        <w:rFonts w:ascii="MS Gothic"/>
                        <w:color w:val="333333"/>
                      </w:rPr>
                      <w:t xml:space="preserve">public DataSize </w:t>
                    </w:r>
                    <w:proofErr w:type="gramStart"/>
                    <w:r>
                      <w:rPr>
                        <w:rFonts w:ascii="MS Gothic"/>
                        <w:color w:val="333333"/>
                      </w:rPr>
                      <w:t>getBufferSize(</w:t>
                    </w:r>
                    <w:proofErr w:type="gramEnd"/>
                    <w:r>
                      <w:rPr>
                        <w:rFonts w:ascii="MS Gothic"/>
                        <w:color w:val="333333"/>
                      </w:rPr>
                      <w:t>) { return this.bufferSize;</w:t>
                    </w:r>
                  </w:p>
                  <w:p w14:paraId="7E6C33C8" w14:textId="77777777" w:rsidR="00711A16" w:rsidRDefault="00711A16">
                    <w:pPr>
                      <w:spacing w:line="280" w:lineRule="exact"/>
                      <w:ind w:left="640"/>
                      <w:rPr>
                        <w:rFonts w:ascii="MS Gothic"/>
                      </w:rPr>
                    </w:pPr>
                    <w:r>
                      <w:rPr>
                        <w:rFonts w:ascii="MS Gothic"/>
                        <w:color w:val="333333"/>
                      </w:rPr>
                      <w:t>}</w:t>
                    </w:r>
                  </w:p>
                  <w:p w14:paraId="180B86C1" w14:textId="77777777" w:rsidR="00711A16" w:rsidRDefault="00711A16">
                    <w:pPr>
                      <w:rPr>
                        <w:rFonts w:ascii="MS Gothic"/>
                        <w:sz w:val="24"/>
                      </w:rPr>
                    </w:pPr>
                  </w:p>
                  <w:p w14:paraId="0D3D60C6" w14:textId="77777777" w:rsidR="00711A16" w:rsidRDefault="00711A16">
                    <w:pPr>
                      <w:spacing w:line="252" w:lineRule="auto"/>
                      <w:ind w:left="1080" w:right="3998" w:hanging="440"/>
                      <w:rPr>
                        <w:rFonts w:ascii="MS Gothic"/>
                      </w:rPr>
                    </w:pPr>
                    <w:r>
                      <w:rPr>
                        <w:rFonts w:ascii="MS Gothic"/>
                        <w:color w:val="333333"/>
                      </w:rPr>
                      <w:t xml:space="preserve">public void </w:t>
                    </w:r>
                    <w:proofErr w:type="gramStart"/>
                    <w:r>
                      <w:rPr>
                        <w:rFonts w:ascii="MS Gothic"/>
                        <w:color w:val="333333"/>
                      </w:rPr>
                      <w:t>setBufferSize(</w:t>
                    </w:r>
                    <w:proofErr w:type="gramEnd"/>
                    <w:r>
                      <w:rPr>
                        <w:rFonts w:ascii="MS Gothic"/>
                        <w:color w:val="333333"/>
                      </w:rPr>
                      <w:t>DataSize bufferSize) { this.bufferSize = bufferSize;</w:t>
                    </w:r>
                  </w:p>
                  <w:p w14:paraId="06B64A6C" w14:textId="77777777" w:rsidR="00711A16" w:rsidRDefault="00711A16">
                    <w:pPr>
                      <w:spacing w:line="280" w:lineRule="exact"/>
                      <w:ind w:left="640"/>
                      <w:rPr>
                        <w:rFonts w:ascii="MS Gothic"/>
                      </w:rPr>
                    </w:pPr>
                    <w:r>
                      <w:rPr>
                        <w:rFonts w:ascii="MS Gothic"/>
                        <w:color w:val="333333"/>
                      </w:rPr>
                      <w:t>}</w:t>
                    </w:r>
                  </w:p>
                  <w:p w14:paraId="1A51D772" w14:textId="77777777" w:rsidR="00711A16" w:rsidRDefault="00711A16">
                    <w:pPr>
                      <w:rPr>
                        <w:rFonts w:ascii="MS Gothic"/>
                        <w:sz w:val="24"/>
                      </w:rPr>
                    </w:pPr>
                  </w:p>
                  <w:p w14:paraId="50C2EB75" w14:textId="77777777" w:rsidR="00711A16" w:rsidRDefault="00711A16">
                    <w:pPr>
                      <w:spacing w:before="1" w:line="252" w:lineRule="auto"/>
                      <w:ind w:left="1080" w:right="5318" w:hanging="440"/>
                      <w:rPr>
                        <w:rFonts w:ascii="MS Gothic"/>
                      </w:rPr>
                    </w:pPr>
                    <w:r>
                      <w:rPr>
                        <w:rFonts w:ascii="MS Gothic"/>
                        <w:color w:val="333333"/>
                      </w:rPr>
                      <w:t xml:space="preserve">public DataSize </w:t>
                    </w:r>
                    <w:proofErr w:type="gramStart"/>
                    <w:r>
                      <w:rPr>
                        <w:rFonts w:ascii="MS Gothic"/>
                        <w:color w:val="333333"/>
                      </w:rPr>
                      <w:t>getSizeThreshold(</w:t>
                    </w:r>
                    <w:proofErr w:type="gramEnd"/>
                    <w:r>
                      <w:rPr>
                        <w:rFonts w:ascii="MS Gothic"/>
                        <w:color w:val="333333"/>
                      </w:rPr>
                      <w:t>) { return this.sizeThreshold;</w:t>
                    </w:r>
                  </w:p>
                  <w:p w14:paraId="60CFC670" w14:textId="77777777" w:rsidR="00711A16" w:rsidRDefault="00711A16">
                    <w:pPr>
                      <w:spacing w:line="280" w:lineRule="exact"/>
                      <w:ind w:left="640"/>
                      <w:rPr>
                        <w:rFonts w:ascii="MS Gothic"/>
                      </w:rPr>
                    </w:pPr>
                    <w:r>
                      <w:rPr>
                        <w:rFonts w:ascii="MS Gothic"/>
                        <w:color w:val="333333"/>
                      </w:rPr>
                      <w:t>}</w:t>
                    </w:r>
                  </w:p>
                  <w:p w14:paraId="1DFC95D9" w14:textId="77777777" w:rsidR="00711A16" w:rsidRDefault="00711A16">
                    <w:pPr>
                      <w:rPr>
                        <w:rFonts w:ascii="MS Gothic"/>
                        <w:sz w:val="24"/>
                      </w:rPr>
                    </w:pPr>
                  </w:p>
                  <w:p w14:paraId="7E0D7387" w14:textId="77777777" w:rsidR="00711A16" w:rsidRDefault="00711A16">
                    <w:pPr>
                      <w:spacing w:line="252" w:lineRule="auto"/>
                      <w:ind w:left="1080" w:right="3338" w:hanging="440"/>
                      <w:rPr>
                        <w:rFonts w:ascii="MS Gothic"/>
                      </w:rPr>
                    </w:pPr>
                    <w:r>
                      <w:rPr>
                        <w:rFonts w:ascii="MS Gothic"/>
                        <w:color w:val="333333"/>
                      </w:rPr>
                      <w:t xml:space="preserve">public void </w:t>
                    </w:r>
                    <w:proofErr w:type="gramStart"/>
                    <w:r>
                      <w:rPr>
                        <w:rFonts w:ascii="MS Gothic"/>
                        <w:color w:val="333333"/>
                      </w:rPr>
                      <w:t>setSizeThreshold(</w:t>
                    </w:r>
                    <w:proofErr w:type="gramEnd"/>
                    <w:r>
                      <w:rPr>
                        <w:rFonts w:ascii="MS Gothic"/>
                        <w:color w:val="333333"/>
                      </w:rPr>
                      <w:t>DataSize sizeThreshold) { this.sizeThreshold = sizeThreshold;</w:t>
                    </w:r>
                  </w:p>
                  <w:p w14:paraId="6516101B" w14:textId="77777777" w:rsidR="00711A16" w:rsidRDefault="00711A16">
                    <w:pPr>
                      <w:spacing w:line="280" w:lineRule="exact"/>
                      <w:ind w:left="640"/>
                      <w:rPr>
                        <w:rFonts w:ascii="MS Gothic"/>
                      </w:rPr>
                    </w:pPr>
                    <w:r>
                      <w:rPr>
                        <w:rFonts w:ascii="MS Gothic"/>
                        <w:color w:val="333333"/>
                      </w:rPr>
                      <w:t>}</w:t>
                    </w:r>
                  </w:p>
                  <w:p w14:paraId="1A74C4A3" w14:textId="77777777" w:rsidR="00711A16" w:rsidRDefault="00711A16">
                    <w:pPr>
                      <w:rPr>
                        <w:rFonts w:ascii="MS Gothic"/>
                        <w:sz w:val="24"/>
                      </w:rPr>
                    </w:pPr>
                  </w:p>
                  <w:p w14:paraId="0CA8591D" w14:textId="77777777" w:rsidR="00711A16" w:rsidRDefault="00711A16">
                    <w:pPr>
                      <w:ind w:left="200"/>
                      <w:rPr>
                        <w:rFonts w:ascii="MS Gothic"/>
                      </w:rPr>
                    </w:pPr>
                    <w:r>
                      <w:rPr>
                        <w:rFonts w:ascii="MS Gothic"/>
                        <w:color w:val="333333"/>
                      </w:rPr>
                      <w:t>}</w:t>
                    </w:r>
                  </w:p>
                </w:txbxContent>
              </v:textbox>
            </v:shape>
            <w10:wrap type="topAndBottom" anchorx="page"/>
          </v:group>
        </w:pict>
      </w:r>
    </w:p>
    <w:p w14:paraId="60D52689" w14:textId="77777777" w:rsidR="00A720EB" w:rsidRDefault="00A720EB">
      <w:pPr>
        <w:pStyle w:val="a3"/>
        <w:spacing w:before="11"/>
        <w:rPr>
          <w:sz w:val="9"/>
        </w:rPr>
      </w:pPr>
    </w:p>
    <w:p w14:paraId="6C344FFA" w14:textId="77777777" w:rsidR="00A720EB" w:rsidRDefault="0030286B">
      <w:pPr>
        <w:pStyle w:val="a3"/>
        <w:spacing w:before="115" w:line="280" w:lineRule="auto"/>
        <w:ind w:left="124" w:right="136"/>
      </w:pPr>
      <w:r>
        <w:rPr>
          <w:color w:val="333333"/>
          <w:w w:val="110"/>
        </w:rPr>
        <w:t xml:space="preserve">To specify a buffer size of 10 megabytes, </w:t>
      </w:r>
      <w:r>
        <w:rPr>
          <w:rFonts w:ascii="MS Gothic"/>
          <w:color w:val="B02045"/>
          <w:w w:val="110"/>
        </w:rPr>
        <w:t xml:space="preserve">10 </w:t>
      </w:r>
      <w:r>
        <w:rPr>
          <w:color w:val="333333"/>
          <w:w w:val="110"/>
        </w:rPr>
        <w:t xml:space="preserve">and </w:t>
      </w:r>
      <w:r>
        <w:rPr>
          <w:rFonts w:ascii="MS Gothic"/>
          <w:color w:val="B02045"/>
          <w:w w:val="110"/>
        </w:rPr>
        <w:t xml:space="preserve">10MB </w:t>
      </w:r>
      <w:r>
        <w:rPr>
          <w:color w:val="333333"/>
          <w:w w:val="110"/>
        </w:rPr>
        <w:t xml:space="preserve">are equivalent. A size threshold of 256 bytes can be specified as </w:t>
      </w:r>
      <w:r>
        <w:rPr>
          <w:rFonts w:ascii="MS Gothic"/>
          <w:color w:val="B02045"/>
          <w:w w:val="110"/>
        </w:rPr>
        <w:t xml:space="preserve">256 </w:t>
      </w:r>
      <w:r>
        <w:rPr>
          <w:color w:val="333333"/>
          <w:w w:val="110"/>
        </w:rPr>
        <w:t xml:space="preserve">or </w:t>
      </w:r>
      <w:r>
        <w:rPr>
          <w:rFonts w:ascii="MS Gothic"/>
          <w:color w:val="B02045"/>
          <w:w w:val="110"/>
        </w:rPr>
        <w:t>256B</w:t>
      </w:r>
      <w:r>
        <w:rPr>
          <w:color w:val="333333"/>
          <w:w w:val="110"/>
        </w:rPr>
        <w:t>.</w:t>
      </w:r>
    </w:p>
    <w:p w14:paraId="2DED0D7A" w14:textId="77777777" w:rsidR="00A720EB" w:rsidRDefault="00A720EB">
      <w:pPr>
        <w:pStyle w:val="a3"/>
        <w:spacing w:before="6"/>
      </w:pPr>
    </w:p>
    <w:p w14:paraId="7A2ACB45" w14:textId="77777777" w:rsidR="00A720EB" w:rsidRDefault="0030286B">
      <w:pPr>
        <w:pStyle w:val="a3"/>
        <w:ind w:left="124"/>
      </w:pPr>
      <w:r>
        <w:rPr>
          <w:color w:val="333333"/>
          <w:w w:val="110"/>
        </w:rPr>
        <w:t>You can also use any of the supported units. These are:</w:t>
      </w:r>
    </w:p>
    <w:p w14:paraId="56C520FB" w14:textId="77777777" w:rsidR="00A720EB" w:rsidRDefault="00A720EB">
      <w:pPr>
        <w:pStyle w:val="a3"/>
        <w:spacing w:before="6"/>
        <w:rPr>
          <w:sz w:val="25"/>
        </w:rPr>
      </w:pPr>
    </w:p>
    <w:p w14:paraId="638F3465" w14:textId="77777777" w:rsidR="00A720EB" w:rsidRDefault="0030286B">
      <w:pPr>
        <w:pStyle w:val="a6"/>
        <w:numPr>
          <w:ilvl w:val="0"/>
          <w:numId w:val="1"/>
        </w:numPr>
        <w:tabs>
          <w:tab w:val="left" w:pos="485"/>
        </w:tabs>
        <w:rPr>
          <w:sz w:val="21"/>
        </w:rPr>
      </w:pPr>
      <w:r>
        <w:rPr>
          <w:rFonts w:ascii="MS Gothic" w:hAnsi="MS Gothic"/>
          <w:color w:val="B02045"/>
          <w:w w:val="110"/>
          <w:sz w:val="21"/>
        </w:rPr>
        <w:t>B</w:t>
      </w:r>
      <w:r>
        <w:rPr>
          <w:rFonts w:ascii="MS Gothic" w:hAnsi="MS Gothic"/>
          <w:color w:val="B02045"/>
          <w:spacing w:val="-59"/>
          <w:w w:val="110"/>
          <w:sz w:val="21"/>
        </w:rPr>
        <w:t xml:space="preserve"> </w:t>
      </w:r>
      <w:r>
        <w:rPr>
          <w:color w:val="333333"/>
          <w:w w:val="110"/>
          <w:sz w:val="21"/>
        </w:rPr>
        <w:t>for bytes</w:t>
      </w:r>
    </w:p>
    <w:p w14:paraId="07D9E029" w14:textId="77777777" w:rsidR="00A720EB" w:rsidRDefault="0030286B">
      <w:pPr>
        <w:pStyle w:val="a6"/>
        <w:numPr>
          <w:ilvl w:val="0"/>
          <w:numId w:val="1"/>
        </w:numPr>
        <w:tabs>
          <w:tab w:val="left" w:pos="485"/>
        </w:tabs>
        <w:spacing w:before="167"/>
        <w:rPr>
          <w:sz w:val="21"/>
        </w:rPr>
      </w:pPr>
      <w:r>
        <w:rPr>
          <w:rFonts w:ascii="MS Gothic" w:hAnsi="MS Gothic"/>
          <w:color w:val="B02045"/>
          <w:w w:val="110"/>
          <w:sz w:val="21"/>
        </w:rPr>
        <w:t>KB</w:t>
      </w:r>
      <w:r>
        <w:rPr>
          <w:rFonts w:ascii="MS Gothic" w:hAnsi="MS Gothic"/>
          <w:color w:val="B02045"/>
          <w:spacing w:val="-59"/>
          <w:w w:val="110"/>
          <w:sz w:val="21"/>
        </w:rPr>
        <w:t xml:space="preserve"> </w:t>
      </w:r>
      <w:r>
        <w:rPr>
          <w:color w:val="333333"/>
          <w:w w:val="110"/>
          <w:sz w:val="21"/>
        </w:rPr>
        <w:t>for kilobytes</w:t>
      </w:r>
    </w:p>
    <w:p w14:paraId="4C7933B9" w14:textId="77777777" w:rsidR="00A720EB" w:rsidRDefault="0030286B">
      <w:pPr>
        <w:pStyle w:val="a6"/>
        <w:numPr>
          <w:ilvl w:val="0"/>
          <w:numId w:val="1"/>
        </w:numPr>
        <w:tabs>
          <w:tab w:val="left" w:pos="485"/>
        </w:tabs>
        <w:spacing w:before="166"/>
        <w:rPr>
          <w:sz w:val="21"/>
        </w:rPr>
      </w:pPr>
      <w:r>
        <w:rPr>
          <w:rFonts w:ascii="MS Gothic" w:hAnsi="MS Gothic"/>
          <w:color w:val="B02045"/>
          <w:w w:val="110"/>
          <w:sz w:val="21"/>
        </w:rPr>
        <w:t>MB</w:t>
      </w:r>
      <w:r>
        <w:rPr>
          <w:rFonts w:ascii="MS Gothic" w:hAnsi="MS Gothic"/>
          <w:color w:val="B02045"/>
          <w:spacing w:val="-59"/>
          <w:w w:val="110"/>
          <w:sz w:val="21"/>
        </w:rPr>
        <w:t xml:space="preserve"> </w:t>
      </w:r>
      <w:r>
        <w:rPr>
          <w:color w:val="333333"/>
          <w:w w:val="110"/>
          <w:sz w:val="21"/>
        </w:rPr>
        <w:t>for megabytes</w:t>
      </w:r>
    </w:p>
    <w:p w14:paraId="60C22E33" w14:textId="77777777" w:rsidR="00A720EB" w:rsidRDefault="0030286B">
      <w:pPr>
        <w:pStyle w:val="a6"/>
        <w:numPr>
          <w:ilvl w:val="0"/>
          <w:numId w:val="1"/>
        </w:numPr>
        <w:tabs>
          <w:tab w:val="left" w:pos="485"/>
        </w:tabs>
        <w:spacing w:before="167"/>
        <w:rPr>
          <w:sz w:val="21"/>
        </w:rPr>
      </w:pPr>
      <w:r>
        <w:rPr>
          <w:rFonts w:ascii="MS Gothic" w:hAnsi="MS Gothic"/>
          <w:color w:val="B02045"/>
          <w:w w:val="110"/>
          <w:sz w:val="21"/>
        </w:rPr>
        <w:t>GB</w:t>
      </w:r>
      <w:r>
        <w:rPr>
          <w:rFonts w:ascii="MS Gothic" w:hAnsi="MS Gothic"/>
          <w:color w:val="B02045"/>
          <w:spacing w:val="-83"/>
          <w:w w:val="110"/>
          <w:sz w:val="21"/>
        </w:rPr>
        <w:t xml:space="preserve"> </w:t>
      </w:r>
      <w:r>
        <w:rPr>
          <w:color w:val="333333"/>
          <w:w w:val="110"/>
          <w:sz w:val="21"/>
        </w:rPr>
        <w:t>for gigabytes</w:t>
      </w:r>
    </w:p>
    <w:p w14:paraId="14734D3F" w14:textId="77777777" w:rsidR="00A720EB" w:rsidRDefault="0030286B">
      <w:pPr>
        <w:pStyle w:val="a6"/>
        <w:numPr>
          <w:ilvl w:val="0"/>
          <w:numId w:val="1"/>
        </w:numPr>
        <w:tabs>
          <w:tab w:val="left" w:pos="485"/>
        </w:tabs>
        <w:spacing w:before="166"/>
        <w:rPr>
          <w:sz w:val="21"/>
        </w:rPr>
      </w:pPr>
      <w:r>
        <w:rPr>
          <w:rFonts w:ascii="MS Gothic" w:hAnsi="MS Gothic"/>
          <w:color w:val="B02045"/>
          <w:w w:val="110"/>
          <w:sz w:val="21"/>
        </w:rPr>
        <w:t>TB</w:t>
      </w:r>
      <w:r>
        <w:rPr>
          <w:rFonts w:ascii="MS Gothic" w:hAnsi="MS Gothic"/>
          <w:color w:val="B02045"/>
          <w:spacing w:val="-89"/>
          <w:w w:val="110"/>
          <w:sz w:val="21"/>
        </w:rPr>
        <w:t xml:space="preserve"> </w:t>
      </w:r>
      <w:r>
        <w:rPr>
          <w:color w:val="333333"/>
          <w:w w:val="110"/>
          <w:sz w:val="21"/>
        </w:rPr>
        <w:t>for terabytes</w:t>
      </w:r>
    </w:p>
    <w:p w14:paraId="266720E3" w14:textId="77777777" w:rsidR="00A720EB" w:rsidRDefault="00A720EB">
      <w:pPr>
        <w:pStyle w:val="a3"/>
        <w:spacing w:before="5"/>
        <w:rPr>
          <w:sz w:val="24"/>
        </w:rPr>
      </w:pPr>
    </w:p>
    <w:p w14:paraId="5D656461" w14:textId="77777777" w:rsidR="00A720EB" w:rsidRDefault="0030286B">
      <w:pPr>
        <w:pStyle w:val="a3"/>
        <w:spacing w:line="290" w:lineRule="auto"/>
        <w:ind w:left="124"/>
      </w:pPr>
      <w:r>
        <w:rPr>
          <w:color w:val="333333"/>
          <w:w w:val="110"/>
        </w:rPr>
        <w:t xml:space="preserve">The default unit is bytes and can be overridden using </w:t>
      </w:r>
      <w:r>
        <w:rPr>
          <w:rFonts w:ascii="MS Gothic"/>
          <w:color w:val="B02045"/>
          <w:w w:val="110"/>
        </w:rPr>
        <w:t xml:space="preserve">@DataSizeUnit </w:t>
      </w:r>
      <w:r>
        <w:rPr>
          <w:color w:val="333333"/>
          <w:w w:val="110"/>
        </w:rPr>
        <w:t xml:space="preserve">as illustrated in the </w:t>
      </w:r>
      <w:proofErr w:type="gramStart"/>
      <w:r>
        <w:rPr>
          <w:color w:val="333333"/>
          <w:w w:val="110"/>
        </w:rPr>
        <w:t>sample  above</w:t>
      </w:r>
      <w:proofErr w:type="gramEnd"/>
      <w:r>
        <w:rPr>
          <w:color w:val="333333"/>
          <w:w w:val="110"/>
        </w:rPr>
        <w:t>.</w:t>
      </w:r>
    </w:p>
    <w:p w14:paraId="15C8B4C2" w14:textId="77777777" w:rsidR="00A720EB" w:rsidRDefault="00A720EB">
      <w:pPr>
        <w:spacing w:line="290" w:lineRule="auto"/>
        <w:sectPr w:rsidR="00A720EB">
          <w:pgSz w:w="11910" w:h="16840"/>
          <w:pgMar w:top="620" w:right="840" w:bottom="520" w:left="840" w:header="0" w:footer="323" w:gutter="0"/>
          <w:cols w:space="720"/>
        </w:sectPr>
      </w:pPr>
    </w:p>
    <w:p w14:paraId="4FCB2FF2" w14:textId="77777777" w:rsidR="00A720EB" w:rsidRDefault="00E10349">
      <w:pPr>
        <w:pStyle w:val="a3"/>
        <w:spacing w:before="111" w:line="285" w:lineRule="auto"/>
        <w:ind w:left="1564" w:right="365"/>
        <w:jc w:val="both"/>
      </w:pPr>
      <w:r>
        <w:lastRenderedPageBreak/>
        <w:pict w14:anchorId="0FA1EA84">
          <v:line id="_x0000_s4487" style="position:absolute;left:0;text-align:left;z-index:15877120;mso-position-horizontal-relative:page" from="108.25pt,.1pt" to="108.25pt,55.45pt" strokecolor="#ededed" strokeweight=".5pt">
            <w10:wrap anchorx="page"/>
          </v:line>
        </w:pict>
      </w:r>
      <w:r w:rsidR="0030286B">
        <w:rPr>
          <w:noProof/>
        </w:rPr>
        <w:drawing>
          <wp:anchor distT="0" distB="0" distL="0" distR="0" simplePos="0" relativeHeight="15877632" behindDoc="0" locked="0" layoutInCell="1" allowOverlap="1" wp14:anchorId="51AE84FF" wp14:editId="2F310992">
            <wp:simplePos x="0" y="0"/>
            <wp:positionH relativeFrom="page">
              <wp:posOffset>888949</wp:posOffset>
            </wp:positionH>
            <wp:positionV relativeFrom="paragraph">
              <wp:posOffset>200101</wp:posOffset>
            </wp:positionV>
            <wp:extent cx="209550" cy="304800"/>
            <wp:effectExtent l="0" t="0" r="0" b="0"/>
            <wp:wrapNone/>
            <wp:docPr id="18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are upgrading a </w:t>
      </w:r>
      <w:r w:rsidR="0030286B">
        <w:rPr>
          <w:rFonts w:ascii="MS Gothic" w:hAnsi="MS Gothic"/>
          <w:color w:val="B02045"/>
          <w:w w:val="110"/>
        </w:rPr>
        <w:t xml:space="preserve">Long </w:t>
      </w:r>
      <w:r w:rsidR="0030286B">
        <w:rPr>
          <w:color w:val="333333"/>
          <w:w w:val="110"/>
        </w:rPr>
        <w:t xml:space="preserve">property, make sure to define the unit (using </w:t>
      </w:r>
      <w:r w:rsidR="0030286B">
        <w:rPr>
          <w:rFonts w:ascii="MS Gothic" w:hAnsi="MS Gothic"/>
          <w:color w:val="B02045"/>
          <w:w w:val="110"/>
        </w:rPr>
        <w:t>@DataSizeUnit</w:t>
      </w:r>
      <w:r w:rsidR="0030286B">
        <w:rPr>
          <w:color w:val="333333"/>
          <w:w w:val="110"/>
        </w:rPr>
        <w:t>) if it isn’t bytes. Doing so gives a transparent upgrade path while supporting a much richer format.</w:t>
      </w:r>
    </w:p>
    <w:p w14:paraId="40FB3CF7" w14:textId="77777777" w:rsidR="00A720EB" w:rsidRDefault="00A720EB">
      <w:pPr>
        <w:pStyle w:val="a3"/>
        <w:spacing w:before="7"/>
        <w:rPr>
          <w:sz w:val="25"/>
        </w:rPr>
      </w:pPr>
    </w:p>
    <w:p w14:paraId="015EB8B6" w14:textId="77777777" w:rsidR="00A720EB" w:rsidRDefault="0030286B">
      <w:pPr>
        <w:pStyle w:val="4"/>
        <w:spacing w:before="104"/>
      </w:pPr>
      <w:bookmarkStart w:id="204" w:name="@ConfigurationProperties_Validation"/>
      <w:bookmarkEnd w:id="204"/>
      <w:r>
        <w:rPr>
          <w:color w:val="333333"/>
          <w:w w:val="110"/>
        </w:rPr>
        <w:t>@ConfigurationProperties Validation</w:t>
      </w:r>
    </w:p>
    <w:p w14:paraId="29E0BD97" w14:textId="77777777" w:rsidR="00A720EB" w:rsidRDefault="0030286B">
      <w:pPr>
        <w:pStyle w:val="a3"/>
        <w:spacing w:before="244" w:line="297" w:lineRule="auto"/>
        <w:ind w:left="124" w:right="125"/>
        <w:jc w:val="both"/>
      </w:pPr>
      <w:r>
        <w:rPr>
          <w:color w:val="333333"/>
          <w:w w:val="110"/>
        </w:rPr>
        <w:t xml:space="preserve">Spring Boot attempts to validate </w:t>
      </w:r>
      <w:r>
        <w:rPr>
          <w:rFonts w:ascii="MS Gothic" w:hAnsi="MS Gothic"/>
          <w:color w:val="B02045"/>
          <w:w w:val="110"/>
        </w:rPr>
        <w:t xml:space="preserve">@ConfigurationProperties </w:t>
      </w:r>
      <w:r>
        <w:rPr>
          <w:color w:val="333333"/>
          <w:w w:val="110"/>
        </w:rPr>
        <w:t xml:space="preserve">classes whenever they are annotated with Spring’s </w:t>
      </w:r>
      <w:r>
        <w:rPr>
          <w:rFonts w:ascii="MS Gothic" w:hAnsi="MS Gothic"/>
          <w:color w:val="B02045"/>
          <w:w w:val="110"/>
        </w:rPr>
        <w:t xml:space="preserve">@Validated </w:t>
      </w:r>
      <w:r>
        <w:rPr>
          <w:color w:val="333333"/>
          <w:w w:val="110"/>
        </w:rPr>
        <w:t xml:space="preserve">annotation. </w:t>
      </w:r>
      <w:r>
        <w:rPr>
          <w:color w:val="333333"/>
          <w:spacing w:val="-6"/>
          <w:w w:val="110"/>
        </w:rPr>
        <w:t xml:space="preserve">You </w:t>
      </w:r>
      <w:r>
        <w:rPr>
          <w:color w:val="333333"/>
          <w:w w:val="110"/>
        </w:rPr>
        <w:t xml:space="preserve">can use JSR-303 </w:t>
      </w:r>
      <w:proofErr w:type="gramStart"/>
      <w:r>
        <w:rPr>
          <w:rFonts w:ascii="MS Gothic" w:hAnsi="MS Gothic"/>
          <w:color w:val="B02045"/>
          <w:w w:val="110"/>
        </w:rPr>
        <w:t>javax.validation</w:t>
      </w:r>
      <w:proofErr w:type="gramEnd"/>
      <w:r>
        <w:rPr>
          <w:rFonts w:ascii="MS Gothic" w:hAnsi="MS Gothic"/>
          <w:color w:val="B02045"/>
          <w:spacing w:val="-81"/>
          <w:w w:val="110"/>
        </w:rPr>
        <w:t xml:space="preserve"> </w:t>
      </w:r>
      <w:r>
        <w:rPr>
          <w:color w:val="333333"/>
          <w:w w:val="110"/>
        </w:rPr>
        <w:t xml:space="preserve">constraint annotations directly on your configuration class. </w:t>
      </w:r>
      <w:r>
        <w:rPr>
          <w:color w:val="333333"/>
          <w:spacing w:val="-4"/>
          <w:w w:val="110"/>
        </w:rPr>
        <w:t xml:space="preserve">To </w:t>
      </w:r>
      <w:r>
        <w:rPr>
          <w:color w:val="333333"/>
          <w:w w:val="110"/>
        </w:rPr>
        <w:t xml:space="preserve">do so, ensure that a compliant JSR-303 implementation is on your classpath and then add constraint annotations to your fields, as shown in the </w:t>
      </w:r>
      <w:proofErr w:type="gramStart"/>
      <w:r>
        <w:rPr>
          <w:color w:val="333333"/>
          <w:w w:val="110"/>
        </w:rPr>
        <w:t>following  example</w:t>
      </w:r>
      <w:proofErr w:type="gramEnd"/>
      <w:r>
        <w:rPr>
          <w:color w:val="333333"/>
          <w:w w:val="110"/>
        </w:rPr>
        <w:t>:</w:t>
      </w:r>
    </w:p>
    <w:p w14:paraId="2DD6086C" w14:textId="77777777" w:rsidR="00A720EB" w:rsidRDefault="00E10349">
      <w:pPr>
        <w:pStyle w:val="a3"/>
        <w:spacing w:before="6"/>
        <w:rPr>
          <w:sz w:val="13"/>
        </w:rPr>
      </w:pPr>
      <w:r>
        <w:pict w14:anchorId="07490534">
          <v:group id="_x0000_s4483" style="position:absolute;margin-left:47.85pt;margin-top:9.9pt;width:499.55pt;height:170.15pt;z-index:-15580672;mso-wrap-distance-left:0;mso-wrap-distance-right:0;mso-position-horizontal-relative:page" coordorigin="957,198" coordsize="9991,3403">
            <v:shape id="_x0000_s4486" style="position:absolute;left:964;top:205;width:9976;height:3388" coordorigin="965,206" coordsize="9976,3388" path="m10861,206r-9816,l1014,212r-26,17l971,255r-6,31l965,3514r6,31l988,3570r26,17l1045,3594r9816,l10892,3587r25,-17l10935,3545r6,-31l10941,286r-6,-31l10917,229r-25,-17l10861,206xe" fillcolor="#f5f5f5" stroked="f">
              <v:path arrowok="t"/>
            </v:shape>
            <v:shape id="_x0000_s4485" style="position:absolute;left:964;top:205;width:9976;height:3388" coordorigin="965,206" coordsize="9976,3388" path="m1045,206r9816,l10892,212r25,17l10935,255r6,31l10941,3514r-6,31l10917,3570r-25,17l10861,3594r-9816,l1014,3587r-26,-17l971,3545r-6,-31l965,286r6,-31l988,229r26,-17l1045,206xe" filled="f" strokecolor="#ccc">
              <v:path arrowok="t"/>
            </v:shape>
            <v:shape id="_x0000_s4484" type="#_x0000_t202" style="position:absolute;left:984;top:221;width:9938;height:3358" filled="f" stroked="f">
              <v:textbox inset="0,0,0,0">
                <w:txbxContent>
                  <w:p w14:paraId="1BCF2066" w14:textId="77777777" w:rsidR="00711A16" w:rsidRDefault="00711A16">
                    <w:pPr>
                      <w:spacing w:before="221" w:line="252" w:lineRule="auto"/>
                      <w:ind w:left="200" w:right="5428"/>
                      <w:rPr>
                        <w:rFonts w:ascii="MS Gothic"/>
                      </w:rPr>
                    </w:pPr>
                    <w:r>
                      <w:rPr>
                        <w:rFonts w:ascii="MS Gothic"/>
                        <w:color w:val="333333"/>
                      </w:rPr>
                      <w:t>@ConfigurationProperties(prefix="acme") @Validated</w:t>
                    </w:r>
                  </w:p>
                  <w:p w14:paraId="741AA704" w14:textId="77777777" w:rsidR="00711A16" w:rsidRDefault="00711A16">
                    <w:pPr>
                      <w:spacing w:line="280" w:lineRule="exact"/>
                      <w:ind w:left="200"/>
                      <w:rPr>
                        <w:rFonts w:ascii="MS Gothic"/>
                      </w:rPr>
                    </w:pPr>
                    <w:r>
                      <w:rPr>
                        <w:rFonts w:ascii="MS Gothic"/>
                        <w:color w:val="333333"/>
                      </w:rPr>
                      <w:t>public class AcmeProperties {</w:t>
                    </w:r>
                  </w:p>
                  <w:p w14:paraId="3D864CF9" w14:textId="77777777" w:rsidR="00711A16" w:rsidRDefault="00711A16">
                    <w:pPr>
                      <w:rPr>
                        <w:rFonts w:ascii="MS Gothic"/>
                        <w:sz w:val="24"/>
                      </w:rPr>
                    </w:pPr>
                  </w:p>
                  <w:p w14:paraId="6443C47F" w14:textId="77777777" w:rsidR="00711A16" w:rsidRDefault="00711A16">
                    <w:pPr>
                      <w:ind w:left="640"/>
                      <w:rPr>
                        <w:rFonts w:ascii="MS Gothic"/>
                      </w:rPr>
                    </w:pPr>
                    <w:r>
                      <w:rPr>
                        <w:rFonts w:ascii="MS Gothic"/>
                        <w:color w:val="333333"/>
                      </w:rPr>
                      <w:t>@NotNull</w:t>
                    </w:r>
                  </w:p>
                  <w:p w14:paraId="16D62663" w14:textId="77777777" w:rsidR="00711A16" w:rsidRDefault="00711A16">
                    <w:pPr>
                      <w:spacing w:before="13"/>
                      <w:ind w:left="640"/>
                      <w:rPr>
                        <w:rFonts w:ascii="MS Gothic"/>
                      </w:rPr>
                    </w:pPr>
                    <w:r>
                      <w:rPr>
                        <w:rFonts w:ascii="MS Gothic"/>
                        <w:color w:val="333333"/>
                      </w:rPr>
                      <w:t>private InetAddress remoteAddress;</w:t>
                    </w:r>
                  </w:p>
                  <w:p w14:paraId="308B6D2C" w14:textId="77777777" w:rsidR="00711A16" w:rsidRDefault="00711A16">
                    <w:pPr>
                      <w:rPr>
                        <w:rFonts w:ascii="MS Gothic"/>
                        <w:sz w:val="24"/>
                      </w:rPr>
                    </w:pPr>
                  </w:p>
                  <w:p w14:paraId="6FE7F637" w14:textId="77777777" w:rsidR="00711A16" w:rsidRDefault="00711A16">
                    <w:pPr>
                      <w:ind w:left="640"/>
                      <w:rPr>
                        <w:rFonts w:ascii="MS Gothic"/>
                      </w:rPr>
                    </w:pPr>
                    <w:r>
                      <w:rPr>
                        <w:rFonts w:ascii="MS Gothic"/>
                        <w:color w:val="333333"/>
                      </w:rPr>
                      <w:t>// ... getters and setters</w:t>
                    </w:r>
                  </w:p>
                  <w:p w14:paraId="30DD95E4" w14:textId="77777777" w:rsidR="00711A16" w:rsidRDefault="00711A16">
                    <w:pPr>
                      <w:rPr>
                        <w:rFonts w:ascii="MS Gothic"/>
                        <w:sz w:val="24"/>
                      </w:rPr>
                    </w:pPr>
                  </w:p>
                  <w:p w14:paraId="3FCC13AF" w14:textId="77777777" w:rsidR="00711A16" w:rsidRDefault="00711A16">
                    <w:pPr>
                      <w:ind w:left="200"/>
                      <w:rPr>
                        <w:rFonts w:ascii="MS Gothic"/>
                      </w:rPr>
                    </w:pPr>
                    <w:r>
                      <w:rPr>
                        <w:rFonts w:ascii="MS Gothic"/>
                        <w:color w:val="333333"/>
                      </w:rPr>
                      <w:t>}</w:t>
                    </w:r>
                  </w:p>
                </w:txbxContent>
              </v:textbox>
            </v:shape>
            <w10:wrap type="topAndBottom" anchorx="page"/>
          </v:group>
        </w:pict>
      </w:r>
    </w:p>
    <w:p w14:paraId="070DEFEA" w14:textId="77777777" w:rsidR="00A720EB" w:rsidRDefault="00A720EB">
      <w:pPr>
        <w:pStyle w:val="a3"/>
        <w:spacing w:before="8"/>
        <w:rPr>
          <w:sz w:val="16"/>
        </w:rPr>
      </w:pPr>
    </w:p>
    <w:p w14:paraId="3CB9A994" w14:textId="77777777" w:rsidR="00A720EB" w:rsidRDefault="00E10349">
      <w:pPr>
        <w:pStyle w:val="a3"/>
        <w:spacing w:before="116" w:line="280" w:lineRule="auto"/>
        <w:ind w:left="1564"/>
      </w:pPr>
      <w:r>
        <w:pict w14:anchorId="1759433B">
          <v:line id="_x0000_s4482" style="position:absolute;left:0;text-align:left;z-index:15878144;mso-position-horizontal-relative:page" from="108.25pt,.35pt" to="108.25pt,39.9pt" strokecolor="#ededed" strokeweight=".5pt">
            <w10:wrap anchorx="page"/>
          </v:line>
        </w:pict>
      </w:r>
      <w:r w:rsidR="0030286B">
        <w:rPr>
          <w:noProof/>
        </w:rPr>
        <w:drawing>
          <wp:anchor distT="0" distB="0" distL="0" distR="0" simplePos="0" relativeHeight="15878656" behindDoc="0" locked="0" layoutInCell="1" allowOverlap="1" wp14:anchorId="5674EFC5" wp14:editId="5F1F4164">
            <wp:simplePos x="0" y="0"/>
            <wp:positionH relativeFrom="page">
              <wp:posOffset>888949</wp:posOffset>
            </wp:positionH>
            <wp:positionV relativeFrom="paragraph">
              <wp:posOffset>103073</wp:posOffset>
            </wp:positionV>
            <wp:extent cx="209550" cy="304800"/>
            <wp:effectExtent l="0" t="0" r="0" b="0"/>
            <wp:wrapNone/>
            <wp:docPr id="18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You can also trigger validation by annotating the </w:t>
      </w:r>
      <w:r w:rsidR="0030286B">
        <w:rPr>
          <w:rFonts w:ascii="MS Gothic"/>
          <w:color w:val="B02045"/>
          <w:w w:val="110"/>
        </w:rPr>
        <w:t xml:space="preserve">@Bean </w:t>
      </w:r>
      <w:r w:rsidR="0030286B">
        <w:rPr>
          <w:color w:val="333333"/>
          <w:w w:val="110"/>
        </w:rPr>
        <w:t xml:space="preserve">method that creates the configuration properties with </w:t>
      </w:r>
      <w:r w:rsidR="0030286B">
        <w:rPr>
          <w:rFonts w:ascii="MS Gothic"/>
          <w:color w:val="B02045"/>
          <w:w w:val="110"/>
        </w:rPr>
        <w:t>@Validated</w:t>
      </w:r>
      <w:r w:rsidR="0030286B">
        <w:rPr>
          <w:color w:val="333333"/>
          <w:w w:val="110"/>
        </w:rPr>
        <w:t>.</w:t>
      </w:r>
    </w:p>
    <w:p w14:paraId="39AB727D" w14:textId="77777777" w:rsidR="00A720EB" w:rsidRDefault="00A720EB">
      <w:pPr>
        <w:pStyle w:val="a3"/>
        <w:spacing w:before="8"/>
        <w:rPr>
          <w:sz w:val="17"/>
        </w:rPr>
      </w:pPr>
    </w:p>
    <w:p w14:paraId="0153EDCC" w14:textId="77777777" w:rsidR="00A720EB" w:rsidRDefault="0030286B">
      <w:pPr>
        <w:pStyle w:val="a3"/>
        <w:spacing w:before="125" w:line="290" w:lineRule="auto"/>
        <w:ind w:left="124" w:right="124"/>
        <w:jc w:val="both"/>
      </w:pPr>
      <w:r>
        <w:rPr>
          <w:color w:val="333333"/>
          <w:spacing w:val="-4"/>
          <w:w w:val="110"/>
        </w:rPr>
        <w:t xml:space="preserve">To </w:t>
      </w:r>
      <w:r>
        <w:rPr>
          <w:color w:val="333333"/>
          <w:w w:val="110"/>
        </w:rPr>
        <w:t xml:space="preserve">ensure that validation is always triggered for nested properties, even when no properties are found, the associated field must be annotated with </w:t>
      </w:r>
      <w:r>
        <w:rPr>
          <w:rFonts w:ascii="MS Gothic"/>
          <w:color w:val="B02045"/>
          <w:w w:val="110"/>
        </w:rPr>
        <w:t>@Valid</w:t>
      </w:r>
      <w:r>
        <w:rPr>
          <w:color w:val="333333"/>
          <w:w w:val="110"/>
        </w:rPr>
        <w:t xml:space="preserve">. The following example builds on the preceding </w:t>
      </w:r>
      <w:r>
        <w:rPr>
          <w:rFonts w:ascii="MS Gothic"/>
          <w:color w:val="B02045"/>
          <w:w w:val="110"/>
        </w:rPr>
        <w:t>AcmeProperties</w:t>
      </w:r>
      <w:r>
        <w:rPr>
          <w:rFonts w:ascii="MS Gothic"/>
          <w:color w:val="B02045"/>
          <w:spacing w:val="-59"/>
          <w:w w:val="110"/>
        </w:rPr>
        <w:t xml:space="preserve"> </w:t>
      </w:r>
      <w:r>
        <w:rPr>
          <w:color w:val="333333"/>
          <w:w w:val="110"/>
        </w:rPr>
        <w:t>example:</w:t>
      </w:r>
    </w:p>
    <w:p w14:paraId="0BD64A0F" w14:textId="77777777" w:rsidR="00A720EB" w:rsidRDefault="00A720EB">
      <w:pPr>
        <w:spacing w:line="290" w:lineRule="auto"/>
        <w:jc w:val="both"/>
        <w:sectPr w:rsidR="00A720EB">
          <w:pgSz w:w="11910" w:h="16840"/>
          <w:pgMar w:top="700" w:right="840" w:bottom="520" w:left="840" w:header="0" w:footer="323" w:gutter="0"/>
          <w:cols w:space="720"/>
        </w:sectPr>
      </w:pPr>
    </w:p>
    <w:p w14:paraId="36E3D59A" w14:textId="77777777" w:rsidR="00A720EB" w:rsidRDefault="00E10349">
      <w:pPr>
        <w:pStyle w:val="a3"/>
        <w:ind w:left="116"/>
        <w:rPr>
          <w:sz w:val="20"/>
        </w:rPr>
      </w:pPr>
      <w:r>
        <w:rPr>
          <w:sz w:val="20"/>
        </w:rPr>
      </w:r>
      <w:r>
        <w:rPr>
          <w:sz w:val="20"/>
        </w:rPr>
        <w:pict w14:anchorId="5824A2A9">
          <v:group id="_x0000_s4478" style="width:499.55pt;height:347.05pt;mso-position-horizontal-relative:char;mso-position-vertical-relative:line" coordsize="9991,6941">
            <v:shape id="_x0000_s4481" style="position:absolute;left:7;top:7;width:9976;height:6926" coordorigin="8,8" coordsize="9976,6926" path="m9904,8l88,8,56,14,31,31,14,56,8,88r,6765l14,6884r17,26l56,6927r32,6l9904,6933r31,-6l9960,6910r17,-26l9984,6853r,-6765l9977,56,9960,31,9935,14,9904,8xe" fillcolor="#f5f5f5" stroked="f">
              <v:path arrowok="t"/>
            </v:shape>
            <v:shape id="_x0000_s4480" style="position:absolute;left:7;top:7;width:9976;height:6926" coordorigin="8,8" coordsize="9976,6926" path="m88,8r9816,l9935,14r25,17l9977,56r7,32l9984,6853r-7,31l9960,6910r-25,17l9904,6933r-9816,l56,6927,31,6910,14,6884,8,6853,8,88,14,56,31,31,56,14,88,8xe" filled="f" strokecolor="#ccc">
              <v:path arrowok="t"/>
            </v:shape>
            <v:shape id="_x0000_s4479" type="#_x0000_t202" style="position:absolute;left:26;top:22;width:9938;height:6895" filled="f" stroked="f">
              <v:textbox inset="0,0,0,0">
                <w:txbxContent>
                  <w:p w14:paraId="347F1961" w14:textId="77777777" w:rsidR="00711A16" w:rsidRDefault="00711A16">
                    <w:pPr>
                      <w:spacing w:before="221" w:line="252" w:lineRule="auto"/>
                      <w:ind w:left="200" w:right="5428"/>
                      <w:rPr>
                        <w:rFonts w:ascii="MS Gothic"/>
                      </w:rPr>
                    </w:pPr>
                    <w:r>
                      <w:rPr>
                        <w:rFonts w:ascii="MS Gothic"/>
                        <w:color w:val="333333"/>
                      </w:rPr>
                      <w:t>@ConfigurationProperties(prefix="acme") @Validated</w:t>
                    </w:r>
                  </w:p>
                  <w:p w14:paraId="0AFD5F48" w14:textId="77777777" w:rsidR="00711A16" w:rsidRDefault="00711A16">
                    <w:pPr>
                      <w:spacing w:line="280" w:lineRule="exact"/>
                      <w:ind w:left="200"/>
                      <w:rPr>
                        <w:rFonts w:ascii="MS Gothic"/>
                      </w:rPr>
                    </w:pPr>
                    <w:r>
                      <w:rPr>
                        <w:rFonts w:ascii="MS Gothic"/>
                        <w:color w:val="333333"/>
                      </w:rPr>
                      <w:t>public class AcmeProperties {</w:t>
                    </w:r>
                  </w:p>
                  <w:p w14:paraId="353CF3BF" w14:textId="77777777" w:rsidR="00711A16" w:rsidRDefault="00711A16">
                    <w:pPr>
                      <w:rPr>
                        <w:rFonts w:ascii="MS Gothic"/>
                        <w:sz w:val="24"/>
                      </w:rPr>
                    </w:pPr>
                  </w:p>
                  <w:p w14:paraId="7E5FAEC4" w14:textId="77777777" w:rsidR="00711A16" w:rsidRDefault="00711A16">
                    <w:pPr>
                      <w:ind w:left="640"/>
                      <w:rPr>
                        <w:rFonts w:ascii="MS Gothic"/>
                      </w:rPr>
                    </w:pPr>
                    <w:r>
                      <w:rPr>
                        <w:rFonts w:ascii="MS Gothic"/>
                        <w:color w:val="333333"/>
                      </w:rPr>
                      <w:t>@NotNull</w:t>
                    </w:r>
                  </w:p>
                  <w:p w14:paraId="37C080E0" w14:textId="77777777" w:rsidR="00711A16" w:rsidRDefault="00711A16">
                    <w:pPr>
                      <w:spacing w:before="13"/>
                      <w:ind w:left="640"/>
                      <w:rPr>
                        <w:rFonts w:ascii="MS Gothic"/>
                      </w:rPr>
                    </w:pPr>
                    <w:r>
                      <w:rPr>
                        <w:rFonts w:ascii="MS Gothic"/>
                        <w:color w:val="333333"/>
                      </w:rPr>
                      <w:t>private InetAddress remoteAddress;</w:t>
                    </w:r>
                  </w:p>
                  <w:p w14:paraId="6F1CEBF6" w14:textId="77777777" w:rsidR="00711A16" w:rsidRDefault="00711A16">
                    <w:pPr>
                      <w:rPr>
                        <w:rFonts w:ascii="MS Gothic"/>
                        <w:sz w:val="24"/>
                      </w:rPr>
                    </w:pPr>
                  </w:p>
                  <w:p w14:paraId="43952D5C" w14:textId="77777777" w:rsidR="00711A16" w:rsidRDefault="00711A16">
                    <w:pPr>
                      <w:ind w:left="640"/>
                      <w:rPr>
                        <w:rFonts w:ascii="MS Gothic"/>
                      </w:rPr>
                    </w:pPr>
                    <w:r>
                      <w:rPr>
                        <w:rFonts w:ascii="MS Gothic"/>
                        <w:color w:val="333333"/>
                      </w:rPr>
                      <w:t>@Valid</w:t>
                    </w:r>
                  </w:p>
                  <w:p w14:paraId="4CF9F8F7" w14:textId="77777777" w:rsidR="00711A16" w:rsidRDefault="00711A16">
                    <w:pPr>
                      <w:spacing w:before="13"/>
                      <w:ind w:left="640"/>
                      <w:rPr>
                        <w:rFonts w:ascii="MS Gothic"/>
                      </w:rPr>
                    </w:pPr>
                    <w:r>
                      <w:rPr>
                        <w:rFonts w:ascii="MS Gothic"/>
                        <w:color w:val="333333"/>
                      </w:rPr>
                      <w:t xml:space="preserve">private final Security security = new </w:t>
                    </w:r>
                    <w:proofErr w:type="gramStart"/>
                    <w:r>
                      <w:rPr>
                        <w:rFonts w:ascii="MS Gothic"/>
                        <w:color w:val="333333"/>
                      </w:rPr>
                      <w:t>Security(</w:t>
                    </w:r>
                    <w:proofErr w:type="gramEnd"/>
                    <w:r>
                      <w:rPr>
                        <w:rFonts w:ascii="MS Gothic"/>
                        <w:color w:val="333333"/>
                      </w:rPr>
                      <w:t>);</w:t>
                    </w:r>
                  </w:p>
                  <w:p w14:paraId="2CD0EDB4" w14:textId="77777777" w:rsidR="00711A16" w:rsidRDefault="00711A16">
                    <w:pPr>
                      <w:rPr>
                        <w:rFonts w:ascii="MS Gothic"/>
                        <w:sz w:val="24"/>
                      </w:rPr>
                    </w:pPr>
                  </w:p>
                  <w:p w14:paraId="663BE14A" w14:textId="77777777" w:rsidR="00711A16" w:rsidRDefault="00711A16">
                    <w:pPr>
                      <w:spacing w:line="501" w:lineRule="auto"/>
                      <w:ind w:left="640" w:right="5978"/>
                      <w:rPr>
                        <w:rFonts w:ascii="MS Gothic"/>
                      </w:rPr>
                    </w:pPr>
                    <w:r>
                      <w:rPr>
                        <w:rFonts w:ascii="MS Gothic"/>
                        <w:color w:val="333333"/>
                      </w:rPr>
                      <w:t>// ... getters and setters public static class Security {</w:t>
                    </w:r>
                  </w:p>
                  <w:p w14:paraId="223EB7FD" w14:textId="77777777" w:rsidR="00711A16" w:rsidRDefault="00711A16">
                    <w:pPr>
                      <w:spacing w:before="1"/>
                      <w:ind w:left="1080"/>
                      <w:rPr>
                        <w:rFonts w:ascii="MS Gothic"/>
                      </w:rPr>
                    </w:pPr>
                    <w:r>
                      <w:rPr>
                        <w:rFonts w:ascii="MS Gothic"/>
                        <w:color w:val="333333"/>
                      </w:rPr>
                      <w:t>@NotEmpty</w:t>
                    </w:r>
                  </w:p>
                  <w:p w14:paraId="5B253229" w14:textId="77777777" w:rsidR="00711A16" w:rsidRDefault="00711A16">
                    <w:pPr>
                      <w:spacing w:before="13"/>
                      <w:ind w:left="1080"/>
                      <w:rPr>
                        <w:rFonts w:ascii="MS Gothic"/>
                      </w:rPr>
                    </w:pPr>
                    <w:r>
                      <w:rPr>
                        <w:rFonts w:ascii="MS Gothic"/>
                        <w:color w:val="333333"/>
                      </w:rPr>
                      <w:t>public String username;</w:t>
                    </w:r>
                  </w:p>
                  <w:p w14:paraId="3D023326" w14:textId="77777777" w:rsidR="00711A16" w:rsidRDefault="00711A16">
                    <w:pPr>
                      <w:rPr>
                        <w:rFonts w:ascii="MS Gothic"/>
                        <w:sz w:val="24"/>
                      </w:rPr>
                    </w:pPr>
                  </w:p>
                  <w:p w14:paraId="187113FF" w14:textId="77777777" w:rsidR="00711A16" w:rsidRDefault="00711A16">
                    <w:pPr>
                      <w:ind w:left="1080"/>
                      <w:rPr>
                        <w:rFonts w:ascii="MS Gothic"/>
                      </w:rPr>
                    </w:pPr>
                    <w:r>
                      <w:rPr>
                        <w:rFonts w:ascii="MS Gothic"/>
                        <w:color w:val="333333"/>
                      </w:rPr>
                      <w:t>// ... getters and setters</w:t>
                    </w:r>
                  </w:p>
                  <w:p w14:paraId="4518D349" w14:textId="77777777" w:rsidR="00711A16" w:rsidRDefault="00711A16">
                    <w:pPr>
                      <w:rPr>
                        <w:rFonts w:ascii="MS Gothic"/>
                        <w:sz w:val="24"/>
                      </w:rPr>
                    </w:pPr>
                  </w:p>
                  <w:p w14:paraId="646E7374" w14:textId="77777777" w:rsidR="00711A16" w:rsidRDefault="00711A16">
                    <w:pPr>
                      <w:spacing w:before="1"/>
                      <w:ind w:left="640"/>
                      <w:rPr>
                        <w:rFonts w:ascii="MS Gothic"/>
                      </w:rPr>
                    </w:pPr>
                    <w:r>
                      <w:rPr>
                        <w:rFonts w:ascii="MS Gothic"/>
                        <w:color w:val="333333"/>
                      </w:rPr>
                      <w:t>}</w:t>
                    </w:r>
                  </w:p>
                  <w:p w14:paraId="7C502478" w14:textId="77777777" w:rsidR="00711A16" w:rsidRDefault="00711A16">
                    <w:pPr>
                      <w:rPr>
                        <w:rFonts w:ascii="MS Gothic"/>
                        <w:sz w:val="24"/>
                      </w:rPr>
                    </w:pPr>
                  </w:p>
                  <w:p w14:paraId="29940F0C" w14:textId="77777777" w:rsidR="00711A16" w:rsidRDefault="00711A16">
                    <w:pPr>
                      <w:ind w:left="200"/>
                      <w:rPr>
                        <w:rFonts w:ascii="MS Gothic"/>
                      </w:rPr>
                    </w:pPr>
                    <w:r>
                      <w:rPr>
                        <w:rFonts w:ascii="MS Gothic"/>
                        <w:color w:val="333333"/>
                      </w:rPr>
                      <w:t>}</w:t>
                    </w:r>
                  </w:p>
                </w:txbxContent>
              </v:textbox>
            </v:shape>
            <w10:anchorlock/>
          </v:group>
        </w:pict>
      </w:r>
    </w:p>
    <w:p w14:paraId="5D86441B" w14:textId="77777777" w:rsidR="00A720EB" w:rsidRDefault="00A720EB">
      <w:pPr>
        <w:pStyle w:val="a3"/>
        <w:spacing w:before="10"/>
        <w:rPr>
          <w:sz w:val="9"/>
        </w:rPr>
      </w:pPr>
    </w:p>
    <w:p w14:paraId="02EFA929" w14:textId="77777777" w:rsidR="00A720EB" w:rsidRDefault="0030286B">
      <w:pPr>
        <w:pStyle w:val="a3"/>
        <w:spacing w:before="116" w:line="283" w:lineRule="auto"/>
        <w:ind w:left="124" w:right="122"/>
        <w:jc w:val="both"/>
      </w:pPr>
      <w:r>
        <w:rPr>
          <w:color w:val="333333"/>
          <w:spacing w:val="-6"/>
          <w:w w:val="110"/>
        </w:rPr>
        <w:t xml:space="preserve">You </w:t>
      </w:r>
      <w:r>
        <w:rPr>
          <w:color w:val="333333"/>
          <w:w w:val="110"/>
        </w:rPr>
        <w:t xml:space="preserve">can also add a custom Spring </w:t>
      </w:r>
      <w:r>
        <w:rPr>
          <w:rFonts w:ascii="MS Gothic" w:hAnsi="MS Gothic"/>
          <w:color w:val="B02045"/>
          <w:w w:val="110"/>
        </w:rPr>
        <w:t xml:space="preserve">Validator </w:t>
      </w:r>
      <w:r>
        <w:rPr>
          <w:color w:val="333333"/>
          <w:spacing w:val="-3"/>
          <w:w w:val="110"/>
        </w:rPr>
        <w:t xml:space="preserve">by </w:t>
      </w:r>
      <w:r>
        <w:rPr>
          <w:color w:val="333333"/>
          <w:w w:val="110"/>
        </w:rPr>
        <w:t xml:space="preserve">creating a bean definition called </w:t>
      </w:r>
      <w:r>
        <w:rPr>
          <w:rFonts w:ascii="MS Gothic" w:hAnsi="MS Gothic"/>
          <w:color w:val="B02045"/>
          <w:w w:val="110"/>
        </w:rPr>
        <w:t>configurationPropertiesValidator</w:t>
      </w:r>
      <w:r>
        <w:rPr>
          <w:color w:val="333333"/>
          <w:w w:val="110"/>
        </w:rPr>
        <w:t>.</w:t>
      </w:r>
      <w:r>
        <w:rPr>
          <w:color w:val="333333"/>
          <w:spacing w:val="-19"/>
          <w:w w:val="110"/>
        </w:rPr>
        <w:t xml:space="preserve"> </w:t>
      </w:r>
      <w:r>
        <w:rPr>
          <w:color w:val="333333"/>
          <w:w w:val="110"/>
        </w:rPr>
        <w:t>The</w:t>
      </w:r>
      <w:r>
        <w:rPr>
          <w:color w:val="333333"/>
          <w:spacing w:val="-17"/>
          <w:w w:val="110"/>
        </w:rPr>
        <w:t xml:space="preserve"> </w:t>
      </w:r>
      <w:r>
        <w:rPr>
          <w:rFonts w:ascii="MS Gothic" w:hAnsi="MS Gothic"/>
          <w:color w:val="B02045"/>
          <w:w w:val="110"/>
        </w:rPr>
        <w:t>@Bean</w:t>
      </w:r>
      <w:r>
        <w:rPr>
          <w:rFonts w:ascii="MS Gothic" w:hAnsi="MS Gothic"/>
          <w:color w:val="B02045"/>
          <w:spacing w:val="-83"/>
          <w:w w:val="110"/>
        </w:rPr>
        <w:t xml:space="preserve"> </w:t>
      </w:r>
      <w:r>
        <w:rPr>
          <w:color w:val="333333"/>
          <w:w w:val="110"/>
        </w:rPr>
        <w:t>method</w:t>
      </w:r>
      <w:r>
        <w:rPr>
          <w:color w:val="333333"/>
          <w:spacing w:val="-18"/>
          <w:w w:val="110"/>
        </w:rPr>
        <w:t xml:space="preserve"> </w:t>
      </w:r>
      <w:r>
        <w:rPr>
          <w:color w:val="333333"/>
          <w:w w:val="110"/>
        </w:rPr>
        <w:t>should</w:t>
      </w:r>
      <w:r>
        <w:rPr>
          <w:color w:val="333333"/>
          <w:spacing w:val="-18"/>
          <w:w w:val="110"/>
        </w:rPr>
        <w:t xml:space="preserve"> </w:t>
      </w:r>
      <w:r>
        <w:rPr>
          <w:color w:val="333333"/>
          <w:w w:val="110"/>
        </w:rPr>
        <w:t>be</w:t>
      </w:r>
      <w:r>
        <w:rPr>
          <w:color w:val="333333"/>
          <w:spacing w:val="-18"/>
          <w:w w:val="110"/>
        </w:rPr>
        <w:t xml:space="preserve"> </w:t>
      </w:r>
      <w:r>
        <w:rPr>
          <w:color w:val="333333"/>
          <w:w w:val="110"/>
        </w:rPr>
        <w:t>declared</w:t>
      </w:r>
      <w:r>
        <w:rPr>
          <w:color w:val="333333"/>
          <w:spacing w:val="-16"/>
          <w:w w:val="110"/>
        </w:rPr>
        <w:t xml:space="preserve"> </w:t>
      </w:r>
      <w:r>
        <w:rPr>
          <w:rFonts w:ascii="MS Gothic" w:hAnsi="MS Gothic"/>
          <w:color w:val="B02045"/>
          <w:w w:val="110"/>
        </w:rPr>
        <w:t>static</w:t>
      </w:r>
      <w:r>
        <w:rPr>
          <w:color w:val="333333"/>
          <w:w w:val="110"/>
        </w:rPr>
        <w:t>.</w:t>
      </w:r>
      <w:r>
        <w:rPr>
          <w:color w:val="333333"/>
          <w:spacing w:val="-19"/>
          <w:w w:val="110"/>
        </w:rPr>
        <w:t xml:space="preserve"> </w:t>
      </w:r>
      <w:r>
        <w:rPr>
          <w:color w:val="333333"/>
          <w:w w:val="110"/>
        </w:rPr>
        <w:t>The</w:t>
      </w:r>
      <w:r>
        <w:rPr>
          <w:color w:val="333333"/>
          <w:spacing w:val="-18"/>
          <w:w w:val="110"/>
        </w:rPr>
        <w:t xml:space="preserve"> </w:t>
      </w:r>
      <w:r>
        <w:rPr>
          <w:color w:val="333333"/>
          <w:w w:val="110"/>
        </w:rPr>
        <w:t xml:space="preserve">configuration properties validator is created very early in the application’s lifecycle, and declaring the </w:t>
      </w:r>
      <w:r>
        <w:rPr>
          <w:rFonts w:ascii="MS Gothic" w:hAnsi="MS Gothic"/>
          <w:color w:val="B02045"/>
          <w:w w:val="110"/>
        </w:rPr>
        <w:t xml:space="preserve">@Bean </w:t>
      </w:r>
      <w:r>
        <w:rPr>
          <w:color w:val="333333"/>
          <w:w w:val="110"/>
        </w:rPr>
        <w:t xml:space="preserve">method as static lets the bean be created without having to instantiate the </w:t>
      </w:r>
      <w:r>
        <w:rPr>
          <w:rFonts w:ascii="MS Gothic" w:hAnsi="MS Gothic"/>
          <w:color w:val="B02045"/>
          <w:w w:val="110"/>
        </w:rPr>
        <w:t xml:space="preserve">@Configuration </w:t>
      </w:r>
      <w:r>
        <w:rPr>
          <w:color w:val="333333"/>
          <w:w w:val="110"/>
        </w:rPr>
        <w:t xml:space="preserve">class.  Doing so avoids any problems that may be caused </w:t>
      </w:r>
      <w:r>
        <w:rPr>
          <w:color w:val="333333"/>
          <w:spacing w:val="-3"/>
          <w:w w:val="110"/>
        </w:rPr>
        <w:t xml:space="preserve">by </w:t>
      </w:r>
      <w:r>
        <w:rPr>
          <w:color w:val="333333"/>
          <w:w w:val="110"/>
        </w:rPr>
        <w:t>early</w:t>
      </w:r>
      <w:r>
        <w:rPr>
          <w:color w:val="333333"/>
          <w:spacing w:val="42"/>
          <w:w w:val="110"/>
        </w:rPr>
        <w:t xml:space="preserve"> </w:t>
      </w:r>
      <w:r>
        <w:rPr>
          <w:color w:val="333333"/>
          <w:w w:val="110"/>
        </w:rPr>
        <w:t>instantiation.</w:t>
      </w:r>
    </w:p>
    <w:p w14:paraId="3F394C35" w14:textId="77777777" w:rsidR="00A720EB" w:rsidRDefault="00A720EB">
      <w:pPr>
        <w:pStyle w:val="a3"/>
        <w:spacing w:before="11"/>
        <w:rPr>
          <w:sz w:val="18"/>
        </w:rPr>
      </w:pPr>
    </w:p>
    <w:p w14:paraId="142D5D95" w14:textId="77777777" w:rsidR="00A720EB" w:rsidRDefault="00E10349">
      <w:pPr>
        <w:pStyle w:val="a3"/>
        <w:spacing w:before="116" w:line="292" w:lineRule="auto"/>
        <w:ind w:left="1564" w:right="362"/>
        <w:jc w:val="both"/>
      </w:pPr>
      <w:r>
        <w:pict w14:anchorId="10812030">
          <v:line id="_x0000_s4477" style="position:absolute;left:0;text-align:left;z-index:15879680;mso-position-horizontal-relative:page" from="108.25pt,.35pt" to="108.25pt,71.45pt" strokecolor="#ededed" strokeweight=".5pt">
            <w10:wrap anchorx="page"/>
          </v:line>
        </w:pict>
      </w:r>
      <w:r w:rsidR="0030286B">
        <w:rPr>
          <w:noProof/>
        </w:rPr>
        <w:drawing>
          <wp:anchor distT="0" distB="0" distL="0" distR="0" simplePos="0" relativeHeight="15880192" behindDoc="0" locked="0" layoutInCell="1" allowOverlap="1" wp14:anchorId="44BC8F67" wp14:editId="10D64494">
            <wp:simplePos x="0" y="0"/>
            <wp:positionH relativeFrom="page">
              <wp:posOffset>888949</wp:posOffset>
            </wp:positionH>
            <wp:positionV relativeFrom="paragraph">
              <wp:posOffset>303479</wp:posOffset>
            </wp:positionV>
            <wp:extent cx="209550" cy="304800"/>
            <wp:effectExtent l="0" t="0" r="0" b="0"/>
            <wp:wrapNone/>
            <wp:docPr id="19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spring-boot-actuator </w:t>
      </w:r>
      <w:r w:rsidR="0030286B">
        <w:rPr>
          <w:color w:val="333333"/>
          <w:w w:val="110"/>
        </w:rPr>
        <w:t xml:space="preserve">module includes an endpoint that exposes all </w:t>
      </w:r>
      <w:r w:rsidR="0030286B">
        <w:rPr>
          <w:rFonts w:ascii="MS Gothic"/>
          <w:color w:val="B02045"/>
          <w:w w:val="105"/>
        </w:rPr>
        <w:t xml:space="preserve">@ConfigurationProperties </w:t>
      </w:r>
      <w:r w:rsidR="0030286B">
        <w:rPr>
          <w:color w:val="333333"/>
          <w:w w:val="105"/>
        </w:rPr>
        <w:t xml:space="preserve">beans. Point your web browser to </w:t>
      </w:r>
      <w:r w:rsidR="0030286B">
        <w:rPr>
          <w:rFonts w:ascii="MS Gothic"/>
          <w:color w:val="B02045"/>
          <w:w w:val="105"/>
        </w:rPr>
        <w:t xml:space="preserve">/actuator/configprops </w:t>
      </w:r>
      <w:r w:rsidR="0030286B">
        <w:rPr>
          <w:color w:val="333333"/>
          <w:w w:val="110"/>
        </w:rPr>
        <w:t>or use the equivalent JMX endpoint. See the "</w:t>
      </w:r>
      <w:hyperlink w:anchor="_bookmark380" w:history="1">
        <w:r w:rsidR="0030286B">
          <w:rPr>
            <w:color w:val="418BCA"/>
            <w:w w:val="110"/>
          </w:rPr>
          <w:t>Production ready features</w:t>
        </w:r>
      </w:hyperlink>
      <w:r w:rsidR="0030286B">
        <w:rPr>
          <w:color w:val="333333"/>
          <w:w w:val="110"/>
        </w:rPr>
        <w:t>" section    for</w:t>
      </w:r>
      <w:r w:rsidR="0030286B">
        <w:rPr>
          <w:color w:val="333333"/>
          <w:spacing w:val="3"/>
          <w:w w:val="110"/>
        </w:rPr>
        <w:t xml:space="preserve"> </w:t>
      </w:r>
      <w:r w:rsidR="0030286B">
        <w:rPr>
          <w:color w:val="333333"/>
          <w:w w:val="110"/>
        </w:rPr>
        <w:t>details.</w:t>
      </w:r>
    </w:p>
    <w:p w14:paraId="2B6BDCD2" w14:textId="77777777" w:rsidR="00A720EB" w:rsidRDefault="00A720EB">
      <w:pPr>
        <w:pStyle w:val="a3"/>
        <w:spacing w:before="10"/>
        <w:rPr>
          <w:sz w:val="24"/>
        </w:rPr>
      </w:pPr>
    </w:p>
    <w:p w14:paraId="640326E6" w14:textId="77777777" w:rsidR="00A720EB" w:rsidRDefault="0030286B">
      <w:pPr>
        <w:pStyle w:val="4"/>
        <w:spacing w:before="104"/>
      </w:pPr>
      <w:bookmarkStart w:id="205" w:name="@ConfigurationProperties_vs._@Value"/>
      <w:bookmarkEnd w:id="205"/>
      <w:r>
        <w:rPr>
          <w:color w:val="333333"/>
          <w:w w:val="110"/>
        </w:rPr>
        <w:t>@ConfigurationProperties vs. @Value</w:t>
      </w:r>
    </w:p>
    <w:p w14:paraId="67F831C0" w14:textId="77777777" w:rsidR="00A720EB" w:rsidRDefault="0030286B">
      <w:pPr>
        <w:pStyle w:val="a3"/>
        <w:spacing w:before="244" w:line="295" w:lineRule="auto"/>
        <w:ind w:left="124" w:right="127"/>
        <w:jc w:val="both"/>
      </w:pPr>
      <w:r>
        <w:rPr>
          <w:color w:val="333333"/>
          <w:w w:val="110"/>
        </w:rPr>
        <w:t xml:space="preserve">The </w:t>
      </w:r>
      <w:r>
        <w:rPr>
          <w:rFonts w:ascii="MS Gothic"/>
          <w:color w:val="B02045"/>
          <w:w w:val="110"/>
        </w:rPr>
        <w:t xml:space="preserve">@Value </w:t>
      </w:r>
      <w:r>
        <w:rPr>
          <w:color w:val="333333"/>
          <w:w w:val="110"/>
        </w:rPr>
        <w:t xml:space="preserve">annotation is a core container feature, and it does not provide the same features as type- safe configuration properties. The following table summarizes the features that are supported </w:t>
      </w:r>
      <w:r>
        <w:rPr>
          <w:color w:val="333333"/>
          <w:spacing w:val="-3"/>
          <w:w w:val="110"/>
        </w:rPr>
        <w:t xml:space="preserve">by </w:t>
      </w:r>
      <w:r>
        <w:rPr>
          <w:rFonts w:ascii="MS Gothic"/>
          <w:color w:val="B02045"/>
          <w:w w:val="110"/>
        </w:rPr>
        <w:t>@ConfigurationProperties</w:t>
      </w:r>
      <w:r>
        <w:rPr>
          <w:rFonts w:ascii="MS Gothic"/>
          <w:color w:val="B02045"/>
          <w:spacing w:val="-64"/>
          <w:w w:val="110"/>
        </w:rPr>
        <w:t xml:space="preserve"> </w:t>
      </w:r>
      <w:r>
        <w:rPr>
          <w:color w:val="333333"/>
          <w:w w:val="110"/>
        </w:rPr>
        <w:t xml:space="preserve">and </w:t>
      </w:r>
      <w:r>
        <w:rPr>
          <w:rFonts w:ascii="MS Gothic"/>
          <w:color w:val="B02045"/>
          <w:w w:val="110"/>
        </w:rPr>
        <w:t>@Value</w:t>
      </w:r>
      <w:r>
        <w:rPr>
          <w:color w:val="333333"/>
          <w:w w:val="110"/>
        </w:rPr>
        <w:t>:</w:t>
      </w:r>
    </w:p>
    <w:p w14:paraId="379977AE" w14:textId="77777777" w:rsidR="00A720EB" w:rsidRDefault="00A720EB">
      <w:pPr>
        <w:pStyle w:val="a3"/>
        <w:rPr>
          <w:sz w:val="1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2494"/>
        <w:gridCol w:w="2494"/>
      </w:tblGrid>
      <w:tr w:rsidR="00A720EB" w14:paraId="1AA33997" w14:textId="77777777">
        <w:trPr>
          <w:trHeight w:val="617"/>
        </w:trPr>
        <w:tc>
          <w:tcPr>
            <w:tcW w:w="4988" w:type="dxa"/>
            <w:tcBorders>
              <w:bottom w:val="single" w:sz="12" w:space="0" w:color="DDDDDD"/>
            </w:tcBorders>
          </w:tcPr>
          <w:p w14:paraId="15911B64" w14:textId="77777777" w:rsidR="00A720EB" w:rsidRDefault="0030286B">
            <w:pPr>
              <w:pStyle w:val="TableParagraph"/>
              <w:spacing w:before="74"/>
              <w:rPr>
                <w:rFonts w:ascii="Palatino Linotype"/>
                <w:b/>
                <w:sz w:val="21"/>
              </w:rPr>
            </w:pPr>
            <w:r>
              <w:rPr>
                <w:rFonts w:ascii="Palatino Linotype"/>
                <w:b/>
                <w:color w:val="333333"/>
                <w:w w:val="115"/>
                <w:sz w:val="21"/>
              </w:rPr>
              <w:t>Feature</w:t>
            </w:r>
          </w:p>
        </w:tc>
        <w:tc>
          <w:tcPr>
            <w:tcW w:w="2494" w:type="dxa"/>
            <w:tcBorders>
              <w:bottom w:val="single" w:sz="12" w:space="0" w:color="DDDDDD"/>
            </w:tcBorders>
          </w:tcPr>
          <w:p w14:paraId="7AD4823F" w14:textId="77777777" w:rsidR="00A720EB" w:rsidRDefault="0030286B">
            <w:pPr>
              <w:pStyle w:val="TableParagraph"/>
              <w:spacing w:before="49" w:line="230" w:lineRule="auto"/>
              <w:ind w:right="94"/>
              <w:rPr>
                <w:sz w:val="21"/>
              </w:rPr>
            </w:pPr>
            <w:r>
              <w:rPr>
                <w:color w:val="B02045"/>
                <w:sz w:val="21"/>
              </w:rPr>
              <w:t>@ConfigurationProperti es</w:t>
            </w:r>
          </w:p>
        </w:tc>
        <w:tc>
          <w:tcPr>
            <w:tcW w:w="2494" w:type="dxa"/>
            <w:tcBorders>
              <w:bottom w:val="single" w:sz="12" w:space="0" w:color="DDDDDD"/>
            </w:tcBorders>
          </w:tcPr>
          <w:p w14:paraId="4595B08F" w14:textId="77777777" w:rsidR="00A720EB" w:rsidRDefault="0030286B">
            <w:pPr>
              <w:pStyle w:val="TableParagraph"/>
              <w:spacing w:before="40"/>
              <w:rPr>
                <w:sz w:val="21"/>
              </w:rPr>
            </w:pPr>
            <w:r>
              <w:rPr>
                <w:color w:val="B02045"/>
                <w:sz w:val="21"/>
              </w:rPr>
              <w:t>@Value</w:t>
            </w:r>
          </w:p>
        </w:tc>
      </w:tr>
      <w:tr w:rsidR="00A720EB" w14:paraId="785B6878" w14:textId="77777777">
        <w:trPr>
          <w:trHeight w:val="731"/>
        </w:trPr>
        <w:tc>
          <w:tcPr>
            <w:tcW w:w="4988" w:type="dxa"/>
            <w:tcBorders>
              <w:top w:val="single" w:sz="12" w:space="0" w:color="DDDDDD"/>
            </w:tcBorders>
          </w:tcPr>
          <w:p w14:paraId="02E50EF4" w14:textId="77777777" w:rsidR="00A720EB" w:rsidRDefault="00E10349">
            <w:pPr>
              <w:pStyle w:val="TableParagraph"/>
              <w:spacing w:before="84"/>
              <w:rPr>
                <w:rFonts w:ascii="Cambria"/>
                <w:sz w:val="21"/>
              </w:rPr>
            </w:pPr>
            <w:hyperlink w:anchor="_bookmark120" w:history="1">
              <w:r w:rsidR="0030286B">
                <w:rPr>
                  <w:rFonts w:ascii="Cambria"/>
                  <w:color w:val="418BCA"/>
                  <w:w w:val="110"/>
                  <w:sz w:val="21"/>
                </w:rPr>
                <w:t>Relaxed binding</w:t>
              </w:r>
            </w:hyperlink>
          </w:p>
        </w:tc>
        <w:tc>
          <w:tcPr>
            <w:tcW w:w="2494" w:type="dxa"/>
            <w:tcBorders>
              <w:top w:val="single" w:sz="12" w:space="0" w:color="DDDDDD"/>
            </w:tcBorders>
          </w:tcPr>
          <w:p w14:paraId="287B69DA" w14:textId="77777777" w:rsidR="00A720EB" w:rsidRDefault="0030286B">
            <w:pPr>
              <w:pStyle w:val="TableParagraph"/>
              <w:spacing w:before="84"/>
              <w:rPr>
                <w:rFonts w:ascii="Cambria"/>
                <w:sz w:val="21"/>
              </w:rPr>
            </w:pPr>
            <w:r>
              <w:rPr>
                <w:rFonts w:ascii="Cambria"/>
                <w:color w:val="333333"/>
                <w:w w:val="110"/>
                <w:sz w:val="21"/>
              </w:rPr>
              <w:t>Yes</w:t>
            </w:r>
          </w:p>
        </w:tc>
        <w:tc>
          <w:tcPr>
            <w:tcW w:w="2494" w:type="dxa"/>
            <w:tcBorders>
              <w:top w:val="single" w:sz="12" w:space="0" w:color="DDDDDD"/>
            </w:tcBorders>
          </w:tcPr>
          <w:p w14:paraId="2198A76B" w14:textId="77777777" w:rsidR="00A720EB" w:rsidRDefault="0030286B">
            <w:pPr>
              <w:pStyle w:val="TableParagraph"/>
              <w:spacing w:before="21" w:line="310" w:lineRule="atLeast"/>
              <w:ind w:right="683"/>
              <w:rPr>
                <w:rFonts w:ascii="Cambria"/>
                <w:sz w:val="21"/>
              </w:rPr>
            </w:pPr>
            <w:r>
              <w:rPr>
                <w:rFonts w:ascii="Cambria"/>
                <w:color w:val="333333"/>
                <w:w w:val="110"/>
                <w:sz w:val="21"/>
              </w:rPr>
              <w:t>Limited (see note below)</w:t>
            </w:r>
          </w:p>
        </w:tc>
      </w:tr>
      <w:tr w:rsidR="00A720EB" w14:paraId="6ADB85C8" w14:textId="77777777">
        <w:trPr>
          <w:trHeight w:val="425"/>
        </w:trPr>
        <w:tc>
          <w:tcPr>
            <w:tcW w:w="4988" w:type="dxa"/>
          </w:tcPr>
          <w:p w14:paraId="65C3B110" w14:textId="77777777" w:rsidR="00A720EB" w:rsidRDefault="00E10349">
            <w:pPr>
              <w:pStyle w:val="TableParagraph"/>
              <w:spacing w:before="94"/>
              <w:rPr>
                <w:rFonts w:ascii="Cambria"/>
                <w:sz w:val="21"/>
              </w:rPr>
            </w:pPr>
            <w:hyperlink w:anchor="_bookmark673" w:history="1">
              <w:r w:rsidR="0030286B">
                <w:rPr>
                  <w:rFonts w:ascii="Cambria"/>
                  <w:color w:val="418BCA"/>
                  <w:w w:val="110"/>
                  <w:sz w:val="21"/>
                </w:rPr>
                <w:t>Meta-data support</w:t>
              </w:r>
            </w:hyperlink>
          </w:p>
        </w:tc>
        <w:tc>
          <w:tcPr>
            <w:tcW w:w="2494" w:type="dxa"/>
          </w:tcPr>
          <w:p w14:paraId="1F6C9B31" w14:textId="77777777" w:rsidR="00A720EB" w:rsidRDefault="0030286B">
            <w:pPr>
              <w:pStyle w:val="TableParagraph"/>
              <w:spacing w:before="94"/>
              <w:rPr>
                <w:rFonts w:ascii="Cambria"/>
                <w:sz w:val="21"/>
              </w:rPr>
            </w:pPr>
            <w:r>
              <w:rPr>
                <w:rFonts w:ascii="Cambria"/>
                <w:color w:val="333333"/>
                <w:w w:val="110"/>
                <w:sz w:val="21"/>
              </w:rPr>
              <w:t>Yes</w:t>
            </w:r>
          </w:p>
        </w:tc>
        <w:tc>
          <w:tcPr>
            <w:tcW w:w="2494" w:type="dxa"/>
          </w:tcPr>
          <w:p w14:paraId="248A5B41" w14:textId="77777777" w:rsidR="00A720EB" w:rsidRDefault="0030286B">
            <w:pPr>
              <w:pStyle w:val="TableParagraph"/>
              <w:spacing w:before="94"/>
              <w:rPr>
                <w:rFonts w:ascii="Cambria"/>
                <w:sz w:val="21"/>
              </w:rPr>
            </w:pPr>
            <w:r>
              <w:rPr>
                <w:rFonts w:ascii="Cambria"/>
                <w:color w:val="333333"/>
                <w:w w:val="110"/>
                <w:sz w:val="21"/>
              </w:rPr>
              <w:t>No</w:t>
            </w:r>
          </w:p>
        </w:tc>
      </w:tr>
      <w:tr w:rsidR="00A720EB" w14:paraId="38BDFD4B" w14:textId="77777777">
        <w:trPr>
          <w:trHeight w:val="425"/>
        </w:trPr>
        <w:tc>
          <w:tcPr>
            <w:tcW w:w="4988" w:type="dxa"/>
          </w:tcPr>
          <w:p w14:paraId="02A83A34" w14:textId="77777777" w:rsidR="00A720EB" w:rsidRDefault="0030286B">
            <w:pPr>
              <w:pStyle w:val="TableParagraph"/>
              <w:spacing w:before="84"/>
              <w:rPr>
                <w:rFonts w:ascii="Cambria"/>
                <w:sz w:val="21"/>
              </w:rPr>
            </w:pPr>
            <w:r>
              <w:rPr>
                <w:color w:val="B02045"/>
                <w:w w:val="110"/>
                <w:sz w:val="21"/>
              </w:rPr>
              <w:t>SpEL</w:t>
            </w:r>
            <w:r>
              <w:rPr>
                <w:color w:val="B02045"/>
                <w:spacing w:val="-62"/>
                <w:w w:val="110"/>
                <w:sz w:val="21"/>
              </w:rPr>
              <w:t xml:space="preserve"> </w:t>
            </w:r>
            <w:r>
              <w:rPr>
                <w:rFonts w:ascii="Cambria"/>
                <w:color w:val="333333"/>
                <w:w w:val="110"/>
                <w:sz w:val="21"/>
              </w:rPr>
              <w:t>evaluation</w:t>
            </w:r>
          </w:p>
        </w:tc>
        <w:tc>
          <w:tcPr>
            <w:tcW w:w="2494" w:type="dxa"/>
          </w:tcPr>
          <w:p w14:paraId="0ACD89C7" w14:textId="77777777" w:rsidR="00A720EB" w:rsidRDefault="0030286B">
            <w:pPr>
              <w:pStyle w:val="TableParagraph"/>
              <w:spacing w:before="94"/>
              <w:rPr>
                <w:rFonts w:ascii="Cambria"/>
                <w:sz w:val="21"/>
              </w:rPr>
            </w:pPr>
            <w:r>
              <w:rPr>
                <w:rFonts w:ascii="Cambria"/>
                <w:color w:val="333333"/>
                <w:w w:val="110"/>
                <w:sz w:val="21"/>
              </w:rPr>
              <w:t>No</w:t>
            </w:r>
          </w:p>
        </w:tc>
        <w:tc>
          <w:tcPr>
            <w:tcW w:w="2494" w:type="dxa"/>
          </w:tcPr>
          <w:p w14:paraId="0A2B4335" w14:textId="77777777" w:rsidR="00A720EB" w:rsidRDefault="0030286B">
            <w:pPr>
              <w:pStyle w:val="TableParagraph"/>
              <w:spacing w:before="94"/>
              <w:rPr>
                <w:rFonts w:ascii="Cambria"/>
                <w:sz w:val="21"/>
              </w:rPr>
            </w:pPr>
            <w:r>
              <w:rPr>
                <w:rFonts w:ascii="Cambria"/>
                <w:color w:val="333333"/>
                <w:w w:val="110"/>
                <w:sz w:val="21"/>
              </w:rPr>
              <w:t>Yes</w:t>
            </w:r>
          </w:p>
        </w:tc>
      </w:tr>
    </w:tbl>
    <w:p w14:paraId="6BAB07E7" w14:textId="77777777" w:rsidR="00A720EB" w:rsidRDefault="00A720EB">
      <w:pPr>
        <w:rPr>
          <w:sz w:val="21"/>
        </w:rPr>
        <w:sectPr w:rsidR="00A720EB">
          <w:pgSz w:w="11910" w:h="16840"/>
          <w:pgMar w:top="700" w:right="840" w:bottom="520" w:left="840" w:header="0" w:footer="323" w:gutter="0"/>
          <w:cols w:space="720"/>
        </w:sectPr>
      </w:pPr>
    </w:p>
    <w:p w14:paraId="1B5B242D" w14:textId="77777777" w:rsidR="00A720EB" w:rsidRDefault="0030286B">
      <w:pPr>
        <w:pStyle w:val="a3"/>
        <w:spacing w:before="107" w:line="295" w:lineRule="auto"/>
        <w:ind w:left="124" w:right="126"/>
        <w:jc w:val="both"/>
      </w:pPr>
      <w:r>
        <w:rPr>
          <w:color w:val="333333"/>
          <w:w w:val="110"/>
        </w:rPr>
        <w:lastRenderedPageBreak/>
        <w:t xml:space="preserve">If you define a set of configuration keys for your own components, we recommend you group </w:t>
      </w:r>
      <w:proofErr w:type="gramStart"/>
      <w:r>
        <w:rPr>
          <w:color w:val="333333"/>
          <w:w w:val="110"/>
        </w:rPr>
        <w:t>them  in</w:t>
      </w:r>
      <w:proofErr w:type="gramEnd"/>
      <w:r>
        <w:rPr>
          <w:color w:val="333333"/>
          <w:w w:val="110"/>
        </w:rPr>
        <w:t xml:space="preserve"> a POJO annotated with </w:t>
      </w:r>
      <w:r>
        <w:rPr>
          <w:rFonts w:ascii="MS Gothic"/>
          <w:color w:val="B02045"/>
          <w:w w:val="110"/>
        </w:rPr>
        <w:t>@ConfigurationProperties</w:t>
      </w:r>
      <w:r>
        <w:rPr>
          <w:color w:val="333333"/>
          <w:w w:val="110"/>
        </w:rPr>
        <w:t xml:space="preserve">. Doing so will provide you with </w:t>
      </w:r>
      <w:proofErr w:type="gramStart"/>
      <w:r>
        <w:rPr>
          <w:color w:val="333333"/>
          <w:w w:val="110"/>
        </w:rPr>
        <w:t>structured,  type</w:t>
      </w:r>
      <w:proofErr w:type="gramEnd"/>
      <w:r>
        <w:rPr>
          <w:color w:val="333333"/>
          <w:w w:val="110"/>
        </w:rPr>
        <w:t>-safe object that you can inject into your own</w:t>
      </w:r>
      <w:r>
        <w:rPr>
          <w:color w:val="333333"/>
          <w:spacing w:val="28"/>
          <w:w w:val="110"/>
        </w:rPr>
        <w:t xml:space="preserve"> </w:t>
      </w:r>
      <w:r>
        <w:rPr>
          <w:color w:val="333333"/>
          <w:w w:val="110"/>
        </w:rPr>
        <w:t>beans.</w:t>
      </w:r>
    </w:p>
    <w:p w14:paraId="1287A48C" w14:textId="77777777" w:rsidR="00A720EB" w:rsidRDefault="0030286B">
      <w:pPr>
        <w:pStyle w:val="a3"/>
        <w:spacing w:before="239" w:line="285" w:lineRule="auto"/>
        <w:ind w:left="124" w:right="122"/>
        <w:jc w:val="both"/>
      </w:pPr>
      <w:r>
        <w:rPr>
          <w:color w:val="333333"/>
          <w:w w:val="110"/>
        </w:rPr>
        <w:t xml:space="preserve">If you do want to use </w:t>
      </w:r>
      <w:r>
        <w:rPr>
          <w:rFonts w:ascii="MS Gothic"/>
          <w:color w:val="B02045"/>
          <w:w w:val="110"/>
        </w:rPr>
        <w:t>@Value</w:t>
      </w:r>
      <w:r>
        <w:rPr>
          <w:color w:val="333333"/>
          <w:w w:val="110"/>
        </w:rPr>
        <w:t xml:space="preserve">, we recommend that you refer to property names using their canonical form (kebab-case using only lowercase letters). This will allow Spring Boot to use the same logic as   </w:t>
      </w:r>
      <w:r>
        <w:rPr>
          <w:color w:val="333333"/>
          <w:w w:val="105"/>
        </w:rPr>
        <w:t xml:space="preserve">it does when relaxed binding </w:t>
      </w:r>
      <w:r>
        <w:rPr>
          <w:rFonts w:ascii="MS Gothic"/>
          <w:color w:val="B02045"/>
          <w:w w:val="105"/>
        </w:rPr>
        <w:t>@ConfigurationProperties</w:t>
      </w:r>
      <w:r>
        <w:rPr>
          <w:color w:val="333333"/>
          <w:w w:val="105"/>
        </w:rPr>
        <w:t xml:space="preserve">. </w:t>
      </w:r>
      <w:r>
        <w:rPr>
          <w:color w:val="333333"/>
          <w:spacing w:val="-4"/>
          <w:w w:val="105"/>
        </w:rPr>
        <w:t xml:space="preserve">For </w:t>
      </w:r>
      <w:r>
        <w:rPr>
          <w:color w:val="333333"/>
          <w:w w:val="105"/>
        </w:rPr>
        <w:t xml:space="preserve">example, </w:t>
      </w:r>
      <w:r>
        <w:rPr>
          <w:rFonts w:ascii="MS Gothic"/>
          <w:color w:val="B02045"/>
          <w:w w:val="105"/>
        </w:rPr>
        <w:t>@Value("{</w:t>
      </w:r>
      <w:proofErr w:type="gramStart"/>
      <w:r>
        <w:rPr>
          <w:rFonts w:ascii="MS Gothic"/>
          <w:color w:val="B02045"/>
          <w:w w:val="105"/>
        </w:rPr>
        <w:t>demo.item</w:t>
      </w:r>
      <w:proofErr w:type="gramEnd"/>
      <w:r>
        <w:rPr>
          <w:rFonts w:ascii="MS Gothic"/>
          <w:color w:val="B02045"/>
          <w:w w:val="105"/>
        </w:rPr>
        <w:t xml:space="preserve">-price}") </w:t>
      </w:r>
      <w:r>
        <w:rPr>
          <w:color w:val="333333"/>
          <w:w w:val="110"/>
        </w:rPr>
        <w:t>will</w:t>
      </w:r>
      <w:r>
        <w:rPr>
          <w:color w:val="333333"/>
          <w:spacing w:val="-26"/>
          <w:w w:val="110"/>
        </w:rPr>
        <w:t xml:space="preserve"> </w:t>
      </w:r>
      <w:r>
        <w:rPr>
          <w:color w:val="333333"/>
          <w:w w:val="110"/>
        </w:rPr>
        <w:t>pick</w:t>
      </w:r>
      <w:r>
        <w:rPr>
          <w:color w:val="333333"/>
          <w:spacing w:val="-26"/>
          <w:w w:val="110"/>
        </w:rPr>
        <w:t xml:space="preserve"> </w:t>
      </w:r>
      <w:r>
        <w:rPr>
          <w:color w:val="333333"/>
          <w:w w:val="110"/>
        </w:rPr>
        <w:t>up</w:t>
      </w:r>
      <w:r>
        <w:rPr>
          <w:color w:val="333333"/>
          <w:spacing w:val="-25"/>
          <w:w w:val="110"/>
        </w:rPr>
        <w:t xml:space="preserve"> </w:t>
      </w:r>
      <w:r>
        <w:rPr>
          <w:rFonts w:ascii="MS Gothic"/>
          <w:color w:val="B02045"/>
          <w:w w:val="110"/>
        </w:rPr>
        <w:t>demo.item-price</w:t>
      </w:r>
      <w:r>
        <w:rPr>
          <w:rFonts w:ascii="MS Gothic"/>
          <w:color w:val="B02045"/>
          <w:spacing w:val="-90"/>
          <w:w w:val="110"/>
        </w:rPr>
        <w:t xml:space="preserve"> </w:t>
      </w:r>
      <w:r>
        <w:rPr>
          <w:color w:val="333333"/>
          <w:w w:val="110"/>
        </w:rPr>
        <w:t>and</w:t>
      </w:r>
      <w:r>
        <w:rPr>
          <w:color w:val="333333"/>
          <w:spacing w:val="-26"/>
          <w:w w:val="110"/>
        </w:rPr>
        <w:t xml:space="preserve"> </w:t>
      </w:r>
      <w:r>
        <w:rPr>
          <w:rFonts w:ascii="MS Gothic"/>
          <w:color w:val="B02045"/>
          <w:w w:val="110"/>
        </w:rPr>
        <w:t>demo.itemPrice</w:t>
      </w:r>
      <w:r>
        <w:rPr>
          <w:rFonts w:ascii="MS Gothic"/>
          <w:color w:val="B02045"/>
          <w:spacing w:val="-90"/>
          <w:w w:val="110"/>
        </w:rPr>
        <w:t xml:space="preserve"> </w:t>
      </w:r>
      <w:r>
        <w:rPr>
          <w:color w:val="333333"/>
          <w:w w:val="110"/>
        </w:rPr>
        <w:t>forms</w:t>
      </w:r>
      <w:r>
        <w:rPr>
          <w:color w:val="333333"/>
          <w:spacing w:val="-25"/>
          <w:w w:val="110"/>
        </w:rPr>
        <w:t xml:space="preserve"> </w:t>
      </w:r>
      <w:r>
        <w:rPr>
          <w:color w:val="333333"/>
          <w:w w:val="110"/>
        </w:rPr>
        <w:t>from</w:t>
      </w:r>
      <w:r>
        <w:rPr>
          <w:color w:val="333333"/>
          <w:spacing w:val="-25"/>
          <w:w w:val="110"/>
        </w:rPr>
        <w:t xml:space="preserve"> </w:t>
      </w:r>
      <w:r>
        <w:rPr>
          <w:color w:val="333333"/>
          <w:w w:val="110"/>
        </w:rPr>
        <w:t>the</w:t>
      </w:r>
      <w:r>
        <w:rPr>
          <w:color w:val="333333"/>
          <w:spacing w:val="-26"/>
          <w:w w:val="110"/>
        </w:rPr>
        <w:t xml:space="preserve"> </w:t>
      </w:r>
      <w:r>
        <w:rPr>
          <w:rFonts w:ascii="MS Gothic"/>
          <w:color w:val="B02045"/>
          <w:w w:val="110"/>
        </w:rPr>
        <w:t>application.properties</w:t>
      </w:r>
      <w:r>
        <w:rPr>
          <w:rFonts w:ascii="MS Gothic"/>
          <w:color w:val="B02045"/>
          <w:spacing w:val="-90"/>
          <w:w w:val="110"/>
        </w:rPr>
        <w:t xml:space="preserve"> </w:t>
      </w:r>
      <w:r>
        <w:rPr>
          <w:color w:val="333333"/>
          <w:w w:val="110"/>
        </w:rPr>
        <w:t>file,</w:t>
      </w:r>
      <w:r>
        <w:rPr>
          <w:color w:val="333333"/>
          <w:spacing w:val="-26"/>
          <w:w w:val="110"/>
        </w:rPr>
        <w:t xml:space="preserve"> </w:t>
      </w:r>
      <w:r>
        <w:rPr>
          <w:color w:val="333333"/>
          <w:w w:val="110"/>
        </w:rPr>
        <w:t>as</w:t>
      </w:r>
      <w:r>
        <w:rPr>
          <w:color w:val="333333"/>
          <w:spacing w:val="-26"/>
          <w:w w:val="110"/>
        </w:rPr>
        <w:t xml:space="preserve"> </w:t>
      </w:r>
      <w:r>
        <w:rPr>
          <w:color w:val="333333"/>
          <w:w w:val="110"/>
        </w:rPr>
        <w:t xml:space="preserve">well as </w:t>
      </w:r>
      <w:r>
        <w:rPr>
          <w:rFonts w:ascii="MS Gothic"/>
          <w:color w:val="B02045"/>
          <w:w w:val="110"/>
        </w:rPr>
        <w:t xml:space="preserve">DEMO_ITEMPRICE </w:t>
      </w:r>
      <w:r>
        <w:rPr>
          <w:color w:val="333333"/>
          <w:w w:val="110"/>
        </w:rPr>
        <w:t xml:space="preserve">from the system environment. If you used </w:t>
      </w:r>
      <w:r>
        <w:rPr>
          <w:rFonts w:ascii="MS Gothic"/>
          <w:color w:val="B02045"/>
          <w:w w:val="110"/>
        </w:rPr>
        <w:t>@Value("{</w:t>
      </w:r>
      <w:proofErr w:type="gramStart"/>
      <w:r>
        <w:rPr>
          <w:rFonts w:ascii="MS Gothic"/>
          <w:color w:val="B02045"/>
          <w:w w:val="110"/>
        </w:rPr>
        <w:t>demo.itemPrice</w:t>
      </w:r>
      <w:proofErr w:type="gramEnd"/>
      <w:r>
        <w:rPr>
          <w:rFonts w:ascii="MS Gothic"/>
          <w:color w:val="B02045"/>
          <w:w w:val="110"/>
        </w:rPr>
        <w:t>}")</w:t>
      </w:r>
      <w:r>
        <w:rPr>
          <w:rFonts w:ascii="MS Gothic"/>
          <w:color w:val="B02045"/>
          <w:spacing w:val="-90"/>
          <w:w w:val="110"/>
        </w:rPr>
        <w:t xml:space="preserve"> </w:t>
      </w:r>
      <w:r>
        <w:rPr>
          <w:color w:val="333333"/>
          <w:w w:val="110"/>
        </w:rPr>
        <w:t xml:space="preserve">instead, </w:t>
      </w:r>
      <w:r>
        <w:rPr>
          <w:rFonts w:ascii="MS Gothic"/>
          <w:color w:val="B02045"/>
          <w:w w:val="110"/>
        </w:rPr>
        <w:t>demo.item-price</w:t>
      </w:r>
      <w:r>
        <w:rPr>
          <w:rFonts w:ascii="MS Gothic"/>
          <w:color w:val="B02045"/>
          <w:spacing w:val="-66"/>
          <w:w w:val="110"/>
        </w:rPr>
        <w:t xml:space="preserve"> </w:t>
      </w:r>
      <w:r>
        <w:rPr>
          <w:color w:val="333333"/>
          <w:w w:val="110"/>
        </w:rPr>
        <w:t xml:space="preserve">and </w:t>
      </w:r>
      <w:r>
        <w:rPr>
          <w:rFonts w:ascii="MS Gothic"/>
          <w:color w:val="B02045"/>
          <w:w w:val="110"/>
        </w:rPr>
        <w:t>DEMO_ITEMPRICE</w:t>
      </w:r>
      <w:r>
        <w:rPr>
          <w:rFonts w:ascii="MS Gothic"/>
          <w:color w:val="B02045"/>
          <w:spacing w:val="-65"/>
          <w:w w:val="110"/>
        </w:rPr>
        <w:t xml:space="preserve"> </w:t>
      </w:r>
      <w:r>
        <w:rPr>
          <w:color w:val="333333"/>
          <w:w w:val="110"/>
        </w:rPr>
        <w:t>would</w:t>
      </w:r>
      <w:r>
        <w:rPr>
          <w:color w:val="333333"/>
          <w:spacing w:val="-1"/>
          <w:w w:val="110"/>
        </w:rPr>
        <w:t xml:space="preserve"> </w:t>
      </w:r>
      <w:r>
        <w:rPr>
          <w:color w:val="333333"/>
          <w:w w:val="110"/>
        </w:rPr>
        <w:t>not be</w:t>
      </w:r>
      <w:r>
        <w:rPr>
          <w:color w:val="333333"/>
          <w:spacing w:val="-2"/>
          <w:w w:val="110"/>
        </w:rPr>
        <w:t xml:space="preserve"> </w:t>
      </w:r>
      <w:r>
        <w:rPr>
          <w:color w:val="333333"/>
          <w:w w:val="110"/>
        </w:rPr>
        <w:t>considered.</w:t>
      </w:r>
    </w:p>
    <w:p w14:paraId="78C04C4C" w14:textId="77777777" w:rsidR="00A720EB" w:rsidRDefault="0030286B">
      <w:pPr>
        <w:pStyle w:val="a3"/>
        <w:spacing w:before="240" w:line="290" w:lineRule="auto"/>
        <w:ind w:left="124" w:right="125"/>
        <w:jc w:val="both"/>
      </w:pPr>
      <w:r>
        <w:rPr>
          <w:color w:val="333333"/>
          <w:w w:val="110"/>
        </w:rPr>
        <w:t xml:space="preserve">Finally, while you can write a </w:t>
      </w:r>
      <w:r>
        <w:rPr>
          <w:rFonts w:ascii="MS Gothic"/>
          <w:color w:val="B02045"/>
          <w:w w:val="110"/>
        </w:rPr>
        <w:t xml:space="preserve">SpEL </w:t>
      </w:r>
      <w:r>
        <w:rPr>
          <w:color w:val="333333"/>
          <w:w w:val="110"/>
        </w:rPr>
        <w:t xml:space="preserve">expression in </w:t>
      </w:r>
      <w:r>
        <w:rPr>
          <w:rFonts w:ascii="MS Gothic"/>
          <w:color w:val="B02045"/>
          <w:w w:val="110"/>
        </w:rPr>
        <w:t>@Value</w:t>
      </w:r>
      <w:r>
        <w:rPr>
          <w:color w:val="333333"/>
          <w:w w:val="110"/>
        </w:rPr>
        <w:t xml:space="preserve">, such expressions are not processed from </w:t>
      </w:r>
      <w:hyperlink w:anchor="_bookmark105" w:history="1">
        <w:r>
          <w:rPr>
            <w:color w:val="418BCA"/>
            <w:w w:val="110"/>
          </w:rPr>
          <w:t>application property files</w:t>
        </w:r>
      </w:hyperlink>
      <w:r>
        <w:rPr>
          <w:color w:val="333333"/>
          <w:w w:val="110"/>
        </w:rPr>
        <w:t>.</w:t>
      </w:r>
    </w:p>
    <w:p w14:paraId="043BFDB8" w14:textId="77777777" w:rsidR="00A720EB" w:rsidRDefault="00A720EB">
      <w:pPr>
        <w:pStyle w:val="a3"/>
        <w:spacing w:before="4"/>
        <w:rPr>
          <w:sz w:val="27"/>
        </w:rPr>
      </w:pPr>
    </w:p>
    <w:p w14:paraId="0C8123EF" w14:textId="77777777" w:rsidR="00A720EB" w:rsidRDefault="0030286B">
      <w:pPr>
        <w:pStyle w:val="2"/>
        <w:numPr>
          <w:ilvl w:val="1"/>
          <w:numId w:val="68"/>
        </w:numPr>
        <w:tabs>
          <w:tab w:val="left" w:pos="832"/>
        </w:tabs>
        <w:spacing w:before="1"/>
      </w:pPr>
      <w:bookmarkStart w:id="206" w:name="4.3._Profiles"/>
      <w:bookmarkStart w:id="207" w:name="_Toc54423731"/>
      <w:bookmarkEnd w:id="206"/>
      <w:r>
        <w:rPr>
          <w:color w:val="333333"/>
          <w:w w:val="110"/>
        </w:rPr>
        <w:t>Profiles</w:t>
      </w:r>
      <w:bookmarkEnd w:id="207"/>
    </w:p>
    <w:p w14:paraId="514C421E" w14:textId="77777777" w:rsidR="00A720EB" w:rsidRDefault="0030286B">
      <w:pPr>
        <w:pStyle w:val="a3"/>
        <w:spacing w:before="253" w:line="290" w:lineRule="auto"/>
        <w:ind w:left="124" w:right="122"/>
        <w:jc w:val="both"/>
      </w:pPr>
      <w:r>
        <w:rPr>
          <w:color w:val="333333"/>
          <w:w w:val="110"/>
        </w:rPr>
        <w:t xml:space="preserve">Spring Profiles provide a way to segregate parts of your application configuration and make it be </w:t>
      </w:r>
      <w:r>
        <w:rPr>
          <w:color w:val="333333"/>
          <w:w w:val="105"/>
        </w:rPr>
        <w:t xml:space="preserve">available only in certain environments. Any </w:t>
      </w:r>
      <w:r>
        <w:rPr>
          <w:rFonts w:ascii="MS Gothic"/>
          <w:color w:val="B02045"/>
          <w:w w:val="105"/>
        </w:rPr>
        <w:t>@Component</w:t>
      </w:r>
      <w:r>
        <w:rPr>
          <w:color w:val="333333"/>
          <w:w w:val="105"/>
        </w:rPr>
        <w:t xml:space="preserve">, </w:t>
      </w:r>
      <w:r>
        <w:rPr>
          <w:rFonts w:ascii="MS Gothic"/>
          <w:color w:val="B02045"/>
          <w:w w:val="105"/>
        </w:rPr>
        <w:t xml:space="preserve">@Configuration </w:t>
      </w:r>
      <w:r>
        <w:rPr>
          <w:color w:val="333333"/>
          <w:w w:val="105"/>
        </w:rPr>
        <w:t xml:space="preserve">or </w:t>
      </w:r>
      <w:r>
        <w:rPr>
          <w:rFonts w:ascii="MS Gothic"/>
          <w:color w:val="B02045"/>
          <w:w w:val="105"/>
        </w:rPr>
        <w:t xml:space="preserve">@ConfigurationProperties </w:t>
      </w:r>
      <w:r>
        <w:rPr>
          <w:color w:val="333333"/>
          <w:w w:val="110"/>
        </w:rPr>
        <w:t xml:space="preserve">can be marked with </w:t>
      </w:r>
      <w:r>
        <w:rPr>
          <w:rFonts w:ascii="MS Gothic"/>
          <w:color w:val="B02045"/>
          <w:w w:val="110"/>
        </w:rPr>
        <w:t xml:space="preserve">@Profile </w:t>
      </w:r>
      <w:r>
        <w:rPr>
          <w:color w:val="333333"/>
          <w:w w:val="110"/>
        </w:rPr>
        <w:t>to limit when it is loaded, as shown in the following example:</w:t>
      </w:r>
    </w:p>
    <w:p w14:paraId="75915EDF" w14:textId="77777777" w:rsidR="00A720EB" w:rsidRDefault="00E10349">
      <w:pPr>
        <w:pStyle w:val="a3"/>
        <w:spacing w:before="10"/>
        <w:rPr>
          <w:sz w:val="12"/>
        </w:rPr>
      </w:pPr>
      <w:r>
        <w:pict w14:anchorId="0711934C">
          <v:group id="_x0000_s4473" style="position:absolute;margin-left:47.85pt;margin-top:9.55pt;width:499.55pt;height:125.95pt;z-index:-15576576;mso-wrap-distance-left:0;mso-wrap-distance-right:0;mso-position-horizontal-relative:page" coordorigin="957,191" coordsize="9991,2519">
            <v:shape id="_x0000_s4476" style="position:absolute;left:964;top:198;width:9976;height:2504" coordorigin="965,198" coordsize="9976,2504" path="m10861,198r-9816,l1014,204r-26,17l971,247r-6,31l965,2622r6,31l988,2678r26,17l1045,2702r9816,l10892,2695r25,-17l10935,2653r6,-31l10941,278r-6,-31l10917,221r-25,-17l10861,198xe" fillcolor="#f5f5f5" stroked="f">
              <v:path arrowok="t"/>
            </v:shape>
            <v:shape id="_x0000_s4475" style="position:absolute;left:964;top:198;width:9976;height:2504" coordorigin="965,198" coordsize="9976,2504" path="m1045,198r9816,l10892,204r25,17l10935,247r6,31l10941,2622r-6,31l10917,2678r-25,17l10861,2702r-9816,l1014,2695r-26,-17l971,2653r-6,-31l965,278r6,-31l988,221r26,-17l1045,198xe" filled="f" strokecolor="#ccc">
              <v:path arrowok="t"/>
            </v:shape>
            <v:shape id="_x0000_s4474" type="#_x0000_t202" style="position:absolute;left:984;top:213;width:9938;height:2473" filled="f" stroked="f">
              <v:textbox inset="0,0,0,0">
                <w:txbxContent>
                  <w:p w14:paraId="41354D03"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@Profile("production")</w:t>
                    </w:r>
                  </w:p>
                  <w:p w14:paraId="34D83273" w14:textId="77777777" w:rsidR="00711A16" w:rsidRDefault="00711A16">
                    <w:pPr>
                      <w:spacing w:line="280" w:lineRule="exact"/>
                      <w:ind w:left="200"/>
                      <w:rPr>
                        <w:rFonts w:ascii="MS Gothic"/>
                      </w:rPr>
                    </w:pPr>
                    <w:r>
                      <w:rPr>
                        <w:rFonts w:ascii="MS Gothic"/>
                        <w:color w:val="333333"/>
                      </w:rPr>
                      <w:t>public class ProductionConfiguration {</w:t>
                    </w:r>
                  </w:p>
                  <w:p w14:paraId="65142EC1" w14:textId="77777777" w:rsidR="00711A16" w:rsidRDefault="00711A16">
                    <w:pPr>
                      <w:rPr>
                        <w:rFonts w:ascii="MS Gothic"/>
                        <w:sz w:val="24"/>
                      </w:rPr>
                    </w:pPr>
                  </w:p>
                  <w:p w14:paraId="52529F2B" w14:textId="77777777" w:rsidR="00711A16" w:rsidRDefault="00711A16">
                    <w:pPr>
                      <w:ind w:left="640"/>
                      <w:rPr>
                        <w:rFonts w:ascii="MS Gothic"/>
                      </w:rPr>
                    </w:pPr>
                    <w:r>
                      <w:rPr>
                        <w:rFonts w:ascii="MS Gothic"/>
                        <w:color w:val="333333"/>
                      </w:rPr>
                      <w:t>// ...</w:t>
                    </w:r>
                  </w:p>
                  <w:p w14:paraId="46B11487" w14:textId="77777777" w:rsidR="00711A16" w:rsidRDefault="00711A16">
                    <w:pPr>
                      <w:rPr>
                        <w:rFonts w:ascii="MS Gothic"/>
                        <w:sz w:val="24"/>
                      </w:rPr>
                    </w:pPr>
                  </w:p>
                  <w:p w14:paraId="126D6C11" w14:textId="77777777" w:rsidR="00711A16" w:rsidRDefault="00711A16">
                    <w:pPr>
                      <w:ind w:left="200"/>
                      <w:rPr>
                        <w:rFonts w:ascii="MS Gothic"/>
                      </w:rPr>
                    </w:pPr>
                    <w:r>
                      <w:rPr>
                        <w:rFonts w:ascii="MS Gothic"/>
                        <w:color w:val="333333"/>
                      </w:rPr>
                      <w:t>}</w:t>
                    </w:r>
                  </w:p>
                </w:txbxContent>
              </v:textbox>
            </v:shape>
            <w10:wrap type="topAndBottom" anchorx="page"/>
          </v:group>
        </w:pict>
      </w:r>
    </w:p>
    <w:p w14:paraId="64F19961" w14:textId="77777777" w:rsidR="00A720EB" w:rsidRDefault="00A720EB">
      <w:pPr>
        <w:pStyle w:val="a3"/>
        <w:spacing w:before="8"/>
        <w:rPr>
          <w:sz w:val="16"/>
        </w:rPr>
      </w:pPr>
    </w:p>
    <w:p w14:paraId="23960E8F" w14:textId="77777777" w:rsidR="00A720EB" w:rsidRDefault="00E10349">
      <w:pPr>
        <w:pStyle w:val="a3"/>
        <w:tabs>
          <w:tab w:val="left" w:pos="2396"/>
          <w:tab w:val="left" w:pos="6857"/>
          <w:tab w:val="left" w:pos="7862"/>
          <w:tab w:val="left" w:pos="9551"/>
        </w:tabs>
        <w:spacing w:before="116" w:line="280" w:lineRule="auto"/>
        <w:ind w:left="1564" w:right="362"/>
        <w:jc w:val="both"/>
      </w:pPr>
      <w:r>
        <w:pict w14:anchorId="484C808F">
          <v:line id="_x0000_s4472" style="position:absolute;left:0;text-align:left;z-index:15881728;mso-position-horizontal-relative:page" from="108.25pt,.35pt" to="108.25pt,103pt" strokecolor="#ededed" strokeweight=".5pt">
            <w10:wrap anchorx="page"/>
          </v:line>
        </w:pict>
      </w:r>
      <w:r w:rsidR="0030286B">
        <w:rPr>
          <w:noProof/>
        </w:rPr>
        <w:drawing>
          <wp:anchor distT="0" distB="0" distL="0" distR="0" simplePos="0" relativeHeight="15882240" behindDoc="0" locked="0" layoutInCell="1" allowOverlap="1" wp14:anchorId="39ECBF66" wp14:editId="4A77708A">
            <wp:simplePos x="0" y="0"/>
            <wp:positionH relativeFrom="page">
              <wp:posOffset>844422</wp:posOffset>
            </wp:positionH>
            <wp:positionV relativeFrom="paragraph">
              <wp:posOffset>507060</wp:posOffset>
            </wp:positionV>
            <wp:extent cx="298450" cy="298450"/>
            <wp:effectExtent l="0" t="0" r="0" b="0"/>
            <wp:wrapNone/>
            <wp:docPr id="1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w:t>
      </w:r>
      <w:r w:rsidR="0030286B">
        <w:rPr>
          <w:color w:val="333333"/>
          <w:w w:val="110"/>
        </w:rPr>
        <w:tab/>
      </w:r>
      <w:r w:rsidR="0030286B">
        <w:rPr>
          <w:rFonts w:ascii="MS Gothic"/>
          <w:color w:val="B02045"/>
          <w:w w:val="110"/>
        </w:rPr>
        <w:t xml:space="preserve">@ConfigurationProperties   </w:t>
      </w:r>
      <w:r w:rsidR="0030286B">
        <w:rPr>
          <w:rFonts w:ascii="MS Gothic"/>
          <w:color w:val="B02045"/>
          <w:spacing w:val="17"/>
          <w:w w:val="110"/>
        </w:rPr>
        <w:t xml:space="preserve"> </w:t>
      </w:r>
      <w:r w:rsidR="0030286B">
        <w:rPr>
          <w:color w:val="333333"/>
          <w:w w:val="110"/>
        </w:rPr>
        <w:t>beans</w:t>
      </w:r>
      <w:r w:rsidR="0030286B">
        <w:rPr>
          <w:color w:val="333333"/>
          <w:w w:val="110"/>
        </w:rPr>
        <w:tab/>
        <w:t>are</w:t>
      </w:r>
      <w:r w:rsidR="0030286B">
        <w:rPr>
          <w:color w:val="333333"/>
          <w:w w:val="110"/>
        </w:rPr>
        <w:tab/>
        <w:t>registered</w:t>
      </w:r>
      <w:r w:rsidR="0030286B">
        <w:rPr>
          <w:color w:val="333333"/>
          <w:w w:val="110"/>
        </w:rPr>
        <w:tab/>
      </w:r>
      <w:r w:rsidR="0030286B">
        <w:rPr>
          <w:color w:val="333333"/>
          <w:spacing w:val="-5"/>
          <w:w w:val="110"/>
        </w:rPr>
        <w:t xml:space="preserve">via </w:t>
      </w:r>
      <w:r w:rsidR="0030286B">
        <w:rPr>
          <w:rFonts w:ascii="MS Gothic"/>
          <w:color w:val="B02045"/>
          <w:w w:val="110"/>
        </w:rPr>
        <w:t xml:space="preserve">@EnableConfigurationProperties </w:t>
      </w:r>
      <w:r w:rsidR="0030286B">
        <w:rPr>
          <w:color w:val="333333"/>
          <w:w w:val="110"/>
        </w:rPr>
        <w:t xml:space="preserve">instead of automatic scanning, the </w:t>
      </w:r>
      <w:r w:rsidR="0030286B">
        <w:rPr>
          <w:rFonts w:ascii="MS Gothic"/>
          <w:color w:val="B02045"/>
          <w:w w:val="110"/>
        </w:rPr>
        <w:t xml:space="preserve">@Profile </w:t>
      </w:r>
      <w:r w:rsidR="0030286B">
        <w:rPr>
          <w:color w:val="333333"/>
          <w:w w:val="110"/>
        </w:rPr>
        <w:t xml:space="preserve">annotation needs to be specified on the </w:t>
      </w:r>
      <w:r w:rsidR="0030286B">
        <w:rPr>
          <w:rFonts w:ascii="MS Gothic"/>
          <w:color w:val="B02045"/>
          <w:w w:val="110"/>
        </w:rPr>
        <w:t xml:space="preserve">@Configuration </w:t>
      </w:r>
      <w:r w:rsidR="0030286B">
        <w:rPr>
          <w:color w:val="333333"/>
          <w:w w:val="110"/>
        </w:rPr>
        <w:t xml:space="preserve">class that has the </w:t>
      </w:r>
      <w:r w:rsidR="0030286B">
        <w:rPr>
          <w:rFonts w:ascii="MS Gothic"/>
          <w:color w:val="B02045"/>
          <w:w w:val="110"/>
        </w:rPr>
        <w:t xml:space="preserve">@EnableConfigurationProperties </w:t>
      </w:r>
      <w:r w:rsidR="0030286B">
        <w:rPr>
          <w:color w:val="333333"/>
          <w:w w:val="110"/>
        </w:rPr>
        <w:t xml:space="preserve">annotation. In the case where </w:t>
      </w:r>
      <w:r w:rsidR="0030286B">
        <w:rPr>
          <w:rFonts w:ascii="MS Gothic"/>
          <w:color w:val="B02045"/>
          <w:w w:val="110"/>
        </w:rPr>
        <w:t xml:space="preserve">@ConfigurationProperties </w:t>
      </w:r>
      <w:r w:rsidR="0030286B">
        <w:rPr>
          <w:color w:val="333333"/>
          <w:w w:val="110"/>
        </w:rPr>
        <w:t xml:space="preserve">are scanned, </w:t>
      </w:r>
      <w:r w:rsidR="0030286B">
        <w:rPr>
          <w:rFonts w:ascii="MS Gothic"/>
          <w:color w:val="B02045"/>
          <w:w w:val="110"/>
        </w:rPr>
        <w:t xml:space="preserve">@Profile </w:t>
      </w:r>
      <w:r w:rsidR="0030286B">
        <w:rPr>
          <w:color w:val="333333"/>
          <w:w w:val="110"/>
        </w:rPr>
        <w:t xml:space="preserve">can be specified on the </w:t>
      </w:r>
      <w:r w:rsidR="0030286B">
        <w:rPr>
          <w:rFonts w:ascii="MS Gothic"/>
          <w:color w:val="B02045"/>
          <w:w w:val="110"/>
        </w:rPr>
        <w:t>@ConfigurationProperties</w:t>
      </w:r>
      <w:r w:rsidR="0030286B">
        <w:rPr>
          <w:rFonts w:ascii="MS Gothic"/>
          <w:color w:val="B02045"/>
          <w:spacing w:val="-64"/>
          <w:w w:val="110"/>
        </w:rPr>
        <w:t xml:space="preserve"> </w:t>
      </w:r>
      <w:r w:rsidR="0030286B">
        <w:rPr>
          <w:color w:val="333333"/>
          <w:w w:val="110"/>
        </w:rPr>
        <w:t>class itself.</w:t>
      </w:r>
    </w:p>
    <w:p w14:paraId="4EB94224" w14:textId="77777777" w:rsidR="00A720EB" w:rsidRDefault="00A720EB">
      <w:pPr>
        <w:pStyle w:val="a3"/>
        <w:spacing w:before="10"/>
        <w:rPr>
          <w:sz w:val="17"/>
        </w:rPr>
      </w:pPr>
    </w:p>
    <w:p w14:paraId="342B2FC7" w14:textId="77777777" w:rsidR="00A720EB" w:rsidRDefault="0030286B">
      <w:pPr>
        <w:pStyle w:val="a3"/>
        <w:spacing w:before="116" w:line="295" w:lineRule="auto"/>
        <w:ind w:left="124" w:right="128"/>
        <w:jc w:val="both"/>
      </w:pPr>
      <w:r>
        <w:rPr>
          <w:color w:val="333333"/>
          <w:spacing w:val="-6"/>
          <w:w w:val="110"/>
        </w:rPr>
        <w:t>You</w:t>
      </w:r>
      <w:r>
        <w:rPr>
          <w:color w:val="333333"/>
          <w:spacing w:val="-10"/>
          <w:w w:val="110"/>
        </w:rPr>
        <w:t xml:space="preserve"> </w:t>
      </w:r>
      <w:r>
        <w:rPr>
          <w:color w:val="333333"/>
          <w:w w:val="110"/>
        </w:rPr>
        <w:t>can</w:t>
      </w:r>
      <w:r>
        <w:rPr>
          <w:color w:val="333333"/>
          <w:spacing w:val="-10"/>
          <w:w w:val="110"/>
        </w:rPr>
        <w:t xml:space="preserve"> </w:t>
      </w:r>
      <w:r>
        <w:rPr>
          <w:color w:val="333333"/>
          <w:w w:val="110"/>
        </w:rPr>
        <w:t>use</w:t>
      </w:r>
      <w:r>
        <w:rPr>
          <w:color w:val="333333"/>
          <w:spacing w:val="-10"/>
          <w:w w:val="110"/>
        </w:rPr>
        <w:t xml:space="preserve"> </w:t>
      </w:r>
      <w:r>
        <w:rPr>
          <w:color w:val="333333"/>
          <w:w w:val="110"/>
        </w:rPr>
        <w:t>a</w:t>
      </w:r>
      <w:r>
        <w:rPr>
          <w:color w:val="333333"/>
          <w:spacing w:val="-10"/>
          <w:w w:val="110"/>
        </w:rPr>
        <w:t xml:space="preserve"> </w:t>
      </w:r>
      <w:proofErr w:type="gramStart"/>
      <w:r>
        <w:rPr>
          <w:rFonts w:ascii="MS Gothic"/>
          <w:color w:val="B02045"/>
          <w:w w:val="110"/>
        </w:rPr>
        <w:t>spring.profiles</w:t>
      </w:r>
      <w:proofErr w:type="gramEnd"/>
      <w:r>
        <w:rPr>
          <w:rFonts w:ascii="MS Gothic"/>
          <w:color w:val="B02045"/>
          <w:w w:val="110"/>
        </w:rPr>
        <w:t>.active</w:t>
      </w:r>
      <w:r>
        <w:rPr>
          <w:rFonts w:ascii="MS Gothic"/>
          <w:color w:val="B02045"/>
          <w:spacing w:val="-75"/>
          <w:w w:val="110"/>
        </w:rPr>
        <w:t xml:space="preserve"> </w:t>
      </w:r>
      <w:r>
        <w:rPr>
          <w:rFonts w:ascii="MS Gothic"/>
          <w:color w:val="B02045"/>
          <w:w w:val="110"/>
        </w:rPr>
        <w:t>Environment</w:t>
      </w:r>
      <w:r>
        <w:rPr>
          <w:rFonts w:ascii="MS Gothic"/>
          <w:color w:val="B02045"/>
          <w:spacing w:val="-74"/>
          <w:w w:val="110"/>
        </w:rPr>
        <w:t xml:space="preserve"> </w:t>
      </w:r>
      <w:r>
        <w:rPr>
          <w:color w:val="333333"/>
          <w:w w:val="110"/>
        </w:rPr>
        <w:t>property</w:t>
      </w:r>
      <w:r>
        <w:rPr>
          <w:color w:val="333333"/>
          <w:spacing w:val="-10"/>
          <w:w w:val="110"/>
        </w:rPr>
        <w:t xml:space="preserve"> </w:t>
      </w:r>
      <w:r>
        <w:rPr>
          <w:color w:val="333333"/>
          <w:w w:val="110"/>
        </w:rPr>
        <w:t>to</w:t>
      </w:r>
      <w:r>
        <w:rPr>
          <w:color w:val="333333"/>
          <w:spacing w:val="-10"/>
          <w:w w:val="110"/>
        </w:rPr>
        <w:t xml:space="preserve"> </w:t>
      </w:r>
      <w:r>
        <w:rPr>
          <w:color w:val="333333"/>
          <w:w w:val="110"/>
        </w:rPr>
        <w:t>specify</w:t>
      </w:r>
      <w:r>
        <w:rPr>
          <w:color w:val="333333"/>
          <w:spacing w:val="-10"/>
          <w:w w:val="110"/>
        </w:rPr>
        <w:t xml:space="preserve"> </w:t>
      </w:r>
      <w:r>
        <w:rPr>
          <w:color w:val="333333"/>
          <w:w w:val="110"/>
        </w:rPr>
        <w:t>which</w:t>
      </w:r>
      <w:r>
        <w:rPr>
          <w:color w:val="333333"/>
          <w:spacing w:val="-10"/>
          <w:w w:val="110"/>
        </w:rPr>
        <w:t xml:space="preserve"> </w:t>
      </w:r>
      <w:r>
        <w:rPr>
          <w:color w:val="333333"/>
          <w:w w:val="110"/>
        </w:rPr>
        <w:t>profiles</w:t>
      </w:r>
      <w:r>
        <w:rPr>
          <w:color w:val="333333"/>
          <w:spacing w:val="-10"/>
          <w:w w:val="110"/>
        </w:rPr>
        <w:t xml:space="preserve"> </w:t>
      </w:r>
      <w:r>
        <w:rPr>
          <w:color w:val="333333"/>
          <w:w w:val="110"/>
        </w:rPr>
        <w:t>are</w:t>
      </w:r>
      <w:r>
        <w:rPr>
          <w:color w:val="333333"/>
          <w:spacing w:val="-10"/>
          <w:w w:val="110"/>
        </w:rPr>
        <w:t xml:space="preserve"> </w:t>
      </w:r>
      <w:r>
        <w:rPr>
          <w:color w:val="333333"/>
          <w:w w:val="110"/>
        </w:rPr>
        <w:t>active.</w:t>
      </w:r>
      <w:r>
        <w:rPr>
          <w:color w:val="333333"/>
          <w:spacing w:val="-10"/>
          <w:w w:val="110"/>
        </w:rPr>
        <w:t xml:space="preserve"> </w:t>
      </w:r>
      <w:r>
        <w:rPr>
          <w:color w:val="333333"/>
          <w:spacing w:val="-6"/>
          <w:w w:val="110"/>
        </w:rPr>
        <w:t xml:space="preserve">You </w:t>
      </w:r>
      <w:r>
        <w:rPr>
          <w:color w:val="333333"/>
          <w:w w:val="110"/>
        </w:rPr>
        <w:t xml:space="preserve">can specify the property in any of the ways described earlier in this chapter. </w:t>
      </w:r>
      <w:proofErr w:type="gramStart"/>
      <w:r>
        <w:rPr>
          <w:color w:val="333333"/>
          <w:spacing w:val="-4"/>
          <w:w w:val="110"/>
        </w:rPr>
        <w:t xml:space="preserve">For  </w:t>
      </w:r>
      <w:r>
        <w:rPr>
          <w:color w:val="333333"/>
          <w:w w:val="110"/>
        </w:rPr>
        <w:t>example</w:t>
      </w:r>
      <w:proofErr w:type="gramEnd"/>
      <w:r>
        <w:rPr>
          <w:color w:val="333333"/>
          <w:w w:val="110"/>
        </w:rPr>
        <w:t xml:space="preserve">, you   </w:t>
      </w:r>
      <w:r>
        <w:rPr>
          <w:color w:val="333333"/>
          <w:spacing w:val="50"/>
          <w:w w:val="110"/>
        </w:rPr>
        <w:t xml:space="preserve"> </w:t>
      </w:r>
      <w:r>
        <w:rPr>
          <w:color w:val="333333"/>
          <w:w w:val="110"/>
        </w:rPr>
        <w:t xml:space="preserve">could include it in your </w:t>
      </w:r>
      <w:r>
        <w:rPr>
          <w:rFonts w:ascii="MS Gothic"/>
          <w:color w:val="B02045"/>
          <w:w w:val="110"/>
        </w:rPr>
        <w:t>application.properties</w:t>
      </w:r>
      <w:r>
        <w:rPr>
          <w:color w:val="333333"/>
          <w:w w:val="110"/>
        </w:rPr>
        <w:t>, as shown in the following</w:t>
      </w:r>
      <w:r>
        <w:rPr>
          <w:color w:val="333333"/>
          <w:spacing w:val="-6"/>
          <w:w w:val="110"/>
        </w:rPr>
        <w:t xml:space="preserve"> </w:t>
      </w:r>
      <w:r>
        <w:rPr>
          <w:color w:val="333333"/>
          <w:w w:val="110"/>
        </w:rPr>
        <w:t>example:</w:t>
      </w:r>
    </w:p>
    <w:p w14:paraId="77D4B0D1" w14:textId="77777777" w:rsidR="00A720EB" w:rsidRDefault="00E10349">
      <w:pPr>
        <w:pStyle w:val="a3"/>
        <w:spacing w:before="5"/>
        <w:rPr>
          <w:sz w:val="12"/>
        </w:rPr>
      </w:pPr>
      <w:r>
        <w:pict w14:anchorId="632538B8">
          <v:group id="_x0000_s4468" style="position:absolute;margin-left:47.85pt;margin-top:9.25pt;width:499.55pt;height:37.5pt;z-index:-15576064;mso-wrap-distance-left:0;mso-wrap-distance-right:0;mso-position-horizontal-relative:page" coordorigin="957,185" coordsize="9991,750">
            <v:shape id="_x0000_s4471" style="position:absolute;left:964;top:192;width:9976;height:735" coordorigin="965,193" coordsize="9976,735" path="m10861,193r-9816,l1014,199r-26,17l971,242r-6,31l965,848r6,31l988,904r26,17l1045,928r9816,l10892,921r25,-17l10935,879r6,-31l10941,273r-6,-31l10917,216r-25,-17l10861,193xe" fillcolor="#f5f5f5" stroked="f">
              <v:path arrowok="t"/>
            </v:shape>
            <v:shape id="_x0000_s4470" style="position:absolute;left:964;top:192;width:9976;height:735" coordorigin="965,193" coordsize="9976,735" path="m1045,193r9816,l10892,199r25,17l10935,242r6,31l10941,848r-6,31l10917,904r-25,17l10861,928r-9816,l1014,921,988,904,971,879r-6,-31l965,273r6,-31l988,216r26,-17l1045,193xe" filled="f" strokecolor="#ccc">
              <v:path arrowok="t"/>
            </v:shape>
            <v:shape id="_x0000_s4469" type="#_x0000_t202" style="position:absolute;left:984;top:208;width:9938;height:704" filled="f" stroked="f">
              <v:textbox inset="0,0,0,0">
                <w:txbxContent>
                  <w:p w14:paraId="09561455" w14:textId="77777777" w:rsidR="00711A16" w:rsidRDefault="00711A16">
                    <w:pPr>
                      <w:spacing w:before="221"/>
                      <w:ind w:left="200"/>
                      <w:rPr>
                        <w:rFonts w:ascii="MS Gothic"/>
                      </w:rPr>
                    </w:pPr>
                    <w:proofErr w:type="gramStart"/>
                    <w:r>
                      <w:rPr>
                        <w:rFonts w:ascii="MS Gothic"/>
                        <w:color w:val="333333"/>
                      </w:rPr>
                      <w:t>spring.profiles</w:t>
                    </w:r>
                    <w:proofErr w:type="gramEnd"/>
                    <w:r>
                      <w:rPr>
                        <w:rFonts w:ascii="MS Gothic"/>
                        <w:color w:val="333333"/>
                      </w:rPr>
                      <w:t>.active=dev,hsqldb</w:t>
                    </w:r>
                  </w:p>
                </w:txbxContent>
              </v:textbox>
            </v:shape>
            <w10:wrap type="topAndBottom" anchorx="page"/>
          </v:group>
        </w:pict>
      </w:r>
    </w:p>
    <w:p w14:paraId="359045BA" w14:textId="77777777" w:rsidR="00A720EB" w:rsidRDefault="00A720EB">
      <w:pPr>
        <w:pStyle w:val="a3"/>
        <w:rPr>
          <w:sz w:val="10"/>
        </w:rPr>
      </w:pPr>
    </w:p>
    <w:p w14:paraId="7ACFB786" w14:textId="77777777" w:rsidR="00A720EB" w:rsidRDefault="0030286B">
      <w:pPr>
        <w:pStyle w:val="a3"/>
        <w:tabs>
          <w:tab w:val="left" w:pos="733"/>
          <w:tab w:val="left" w:pos="1522"/>
          <w:tab w:val="left" w:pos="2157"/>
          <w:tab w:val="left" w:pos="3097"/>
          <w:tab w:val="left" w:pos="3474"/>
          <w:tab w:val="left" w:pos="3969"/>
          <w:tab w:val="left" w:pos="4526"/>
          <w:tab w:val="left" w:pos="5767"/>
          <w:tab w:val="left" w:pos="6384"/>
          <w:tab w:val="left" w:pos="6864"/>
          <w:tab w:val="left" w:pos="7644"/>
          <w:tab w:val="left" w:pos="8201"/>
          <w:tab w:val="left" w:pos="9385"/>
        </w:tabs>
        <w:spacing w:before="125"/>
        <w:ind w:left="124"/>
      </w:pPr>
      <w:r>
        <w:rPr>
          <w:color w:val="333333"/>
          <w:spacing w:val="-6"/>
          <w:w w:val="110"/>
        </w:rPr>
        <w:t>You</w:t>
      </w:r>
      <w:r>
        <w:rPr>
          <w:color w:val="333333"/>
          <w:spacing w:val="-6"/>
          <w:w w:val="110"/>
        </w:rPr>
        <w:tab/>
      </w:r>
      <w:r>
        <w:rPr>
          <w:color w:val="333333"/>
          <w:w w:val="110"/>
        </w:rPr>
        <w:t>could</w:t>
      </w:r>
      <w:r>
        <w:rPr>
          <w:color w:val="333333"/>
          <w:w w:val="110"/>
        </w:rPr>
        <w:tab/>
        <w:t>also</w:t>
      </w:r>
      <w:r>
        <w:rPr>
          <w:color w:val="333333"/>
          <w:w w:val="110"/>
        </w:rPr>
        <w:tab/>
        <w:t>specify</w:t>
      </w:r>
      <w:r>
        <w:rPr>
          <w:color w:val="333333"/>
          <w:w w:val="110"/>
        </w:rPr>
        <w:tab/>
        <w:t>it</w:t>
      </w:r>
      <w:r>
        <w:rPr>
          <w:color w:val="333333"/>
          <w:w w:val="110"/>
        </w:rPr>
        <w:tab/>
        <w:t>on</w:t>
      </w:r>
      <w:r>
        <w:rPr>
          <w:color w:val="333333"/>
          <w:w w:val="110"/>
        </w:rPr>
        <w:tab/>
        <w:t>the</w:t>
      </w:r>
      <w:r>
        <w:rPr>
          <w:color w:val="333333"/>
          <w:w w:val="110"/>
        </w:rPr>
        <w:tab/>
        <w:t>command</w:t>
      </w:r>
      <w:r>
        <w:rPr>
          <w:color w:val="333333"/>
          <w:w w:val="110"/>
        </w:rPr>
        <w:tab/>
        <w:t>line</w:t>
      </w:r>
      <w:r>
        <w:rPr>
          <w:color w:val="333333"/>
          <w:w w:val="110"/>
        </w:rPr>
        <w:tab/>
      </w:r>
      <w:r>
        <w:rPr>
          <w:color w:val="333333"/>
          <w:spacing w:val="-3"/>
          <w:w w:val="110"/>
        </w:rPr>
        <w:t>by</w:t>
      </w:r>
      <w:r>
        <w:rPr>
          <w:color w:val="333333"/>
          <w:spacing w:val="-3"/>
          <w:w w:val="110"/>
        </w:rPr>
        <w:tab/>
      </w:r>
      <w:r>
        <w:rPr>
          <w:color w:val="333333"/>
          <w:w w:val="110"/>
        </w:rPr>
        <w:t>using</w:t>
      </w:r>
      <w:r>
        <w:rPr>
          <w:color w:val="333333"/>
          <w:w w:val="110"/>
        </w:rPr>
        <w:tab/>
        <w:t>the</w:t>
      </w:r>
      <w:r>
        <w:rPr>
          <w:color w:val="333333"/>
          <w:w w:val="110"/>
        </w:rPr>
        <w:tab/>
        <w:t>following</w:t>
      </w:r>
      <w:r>
        <w:rPr>
          <w:color w:val="333333"/>
          <w:w w:val="110"/>
        </w:rPr>
        <w:tab/>
        <w:t>switch:</w:t>
      </w:r>
    </w:p>
    <w:p w14:paraId="0DC09069" w14:textId="77777777" w:rsidR="00A720EB" w:rsidRDefault="0030286B">
      <w:pPr>
        <w:pStyle w:val="a3"/>
        <w:spacing w:before="59"/>
        <w:ind w:left="124"/>
      </w:pPr>
      <w:r>
        <w:rPr>
          <w:rFonts w:ascii="MS Gothic"/>
          <w:color w:val="B02045"/>
        </w:rPr>
        <w:t>--</w:t>
      </w:r>
      <w:proofErr w:type="gramStart"/>
      <w:r>
        <w:rPr>
          <w:rFonts w:ascii="MS Gothic"/>
          <w:color w:val="B02045"/>
        </w:rPr>
        <w:t>spring.profiles</w:t>
      </w:r>
      <w:proofErr w:type="gramEnd"/>
      <w:r>
        <w:rPr>
          <w:rFonts w:ascii="MS Gothic"/>
          <w:color w:val="B02045"/>
        </w:rPr>
        <w:t>.active=dev,hsqldb</w:t>
      </w:r>
      <w:r>
        <w:rPr>
          <w:color w:val="333333"/>
        </w:rPr>
        <w:t>.</w:t>
      </w:r>
    </w:p>
    <w:p w14:paraId="2F70C205" w14:textId="77777777" w:rsidR="00A720EB" w:rsidRDefault="00A720EB">
      <w:pPr>
        <w:sectPr w:rsidR="00A720EB">
          <w:pgSz w:w="11910" w:h="16840"/>
          <w:pgMar w:top="620" w:right="840" w:bottom="520" w:left="840" w:header="0" w:footer="323" w:gutter="0"/>
          <w:cols w:space="720"/>
        </w:sectPr>
      </w:pPr>
    </w:p>
    <w:p w14:paraId="13D0044C" w14:textId="77777777" w:rsidR="00A720EB" w:rsidRDefault="0030286B">
      <w:pPr>
        <w:pStyle w:val="3"/>
        <w:numPr>
          <w:ilvl w:val="2"/>
          <w:numId w:val="68"/>
        </w:numPr>
        <w:tabs>
          <w:tab w:val="left" w:pos="858"/>
        </w:tabs>
        <w:spacing w:before="87"/>
        <w:ind w:hanging="734"/>
      </w:pPr>
      <w:bookmarkStart w:id="208" w:name="4.3.1._Adding_Active_Profiles"/>
      <w:bookmarkStart w:id="209" w:name="_Toc54423732"/>
      <w:bookmarkEnd w:id="208"/>
      <w:r>
        <w:rPr>
          <w:color w:val="333333"/>
          <w:w w:val="110"/>
        </w:rPr>
        <w:lastRenderedPageBreak/>
        <w:t>Adding Active</w:t>
      </w:r>
      <w:r>
        <w:rPr>
          <w:color w:val="333333"/>
          <w:spacing w:val="-13"/>
          <w:w w:val="110"/>
        </w:rPr>
        <w:t xml:space="preserve"> </w:t>
      </w:r>
      <w:r>
        <w:rPr>
          <w:color w:val="333333"/>
          <w:w w:val="110"/>
        </w:rPr>
        <w:t>Profiles</w:t>
      </w:r>
      <w:bookmarkEnd w:id="209"/>
    </w:p>
    <w:p w14:paraId="2E41A037" w14:textId="77777777" w:rsidR="00A720EB" w:rsidRDefault="0030286B">
      <w:pPr>
        <w:pStyle w:val="a3"/>
        <w:spacing w:before="243" w:line="276" w:lineRule="auto"/>
        <w:ind w:left="124" w:right="128"/>
        <w:jc w:val="both"/>
      </w:pPr>
      <w:r>
        <w:rPr>
          <w:color w:val="333333"/>
          <w:w w:val="110"/>
        </w:rPr>
        <w:t xml:space="preserve">The </w:t>
      </w:r>
      <w:proofErr w:type="gramStart"/>
      <w:r>
        <w:rPr>
          <w:rFonts w:ascii="MS Gothic"/>
          <w:color w:val="B02045"/>
          <w:w w:val="110"/>
        </w:rPr>
        <w:t>spring.profiles</w:t>
      </w:r>
      <w:proofErr w:type="gramEnd"/>
      <w:r>
        <w:rPr>
          <w:rFonts w:ascii="MS Gothic"/>
          <w:color w:val="B02045"/>
          <w:w w:val="110"/>
        </w:rPr>
        <w:t xml:space="preserve">.active </w:t>
      </w:r>
      <w:r>
        <w:rPr>
          <w:color w:val="333333"/>
          <w:w w:val="110"/>
        </w:rPr>
        <w:t xml:space="preserve">property follows the same ordering rules as other properties: The highest </w:t>
      </w:r>
      <w:r>
        <w:rPr>
          <w:rFonts w:ascii="MS Gothic"/>
          <w:color w:val="B02045"/>
          <w:w w:val="110"/>
        </w:rPr>
        <w:t xml:space="preserve">PropertySource </w:t>
      </w:r>
      <w:r>
        <w:rPr>
          <w:color w:val="333333"/>
          <w:w w:val="110"/>
        </w:rPr>
        <w:t xml:space="preserve">wins. This means that you can specify active profiles </w:t>
      </w:r>
      <w:proofErr w:type="gramStart"/>
      <w:r>
        <w:rPr>
          <w:color w:val="333333"/>
          <w:w w:val="110"/>
        </w:rPr>
        <w:t xml:space="preserve">in  </w:t>
      </w:r>
      <w:r>
        <w:rPr>
          <w:rFonts w:ascii="MS Gothic"/>
          <w:color w:val="B02045"/>
          <w:w w:val="110"/>
        </w:rPr>
        <w:t>application</w:t>
      </w:r>
      <w:proofErr w:type="gramEnd"/>
      <w:r>
        <w:rPr>
          <w:rFonts w:ascii="MS Gothic"/>
          <w:color w:val="B02045"/>
          <w:w w:val="110"/>
        </w:rPr>
        <w:t>.properties</w:t>
      </w:r>
      <w:r>
        <w:rPr>
          <w:rFonts w:ascii="MS Gothic"/>
          <w:color w:val="B02045"/>
          <w:spacing w:val="-70"/>
          <w:w w:val="110"/>
        </w:rPr>
        <w:t xml:space="preserve"> </w:t>
      </w:r>
      <w:r>
        <w:rPr>
          <w:color w:val="333333"/>
          <w:w w:val="110"/>
        </w:rPr>
        <w:t xml:space="preserve">and then </w:t>
      </w:r>
      <w:r>
        <w:rPr>
          <w:rFonts w:ascii="Palatino Linotype"/>
          <w:b/>
          <w:color w:val="333333"/>
          <w:w w:val="110"/>
        </w:rPr>
        <w:t xml:space="preserve">replace </w:t>
      </w:r>
      <w:r>
        <w:rPr>
          <w:color w:val="333333"/>
          <w:w w:val="110"/>
        </w:rPr>
        <w:t xml:space="preserve">them </w:t>
      </w:r>
      <w:r>
        <w:rPr>
          <w:color w:val="333333"/>
          <w:spacing w:val="-3"/>
          <w:w w:val="110"/>
        </w:rPr>
        <w:t xml:space="preserve">by </w:t>
      </w:r>
      <w:r>
        <w:rPr>
          <w:color w:val="333333"/>
          <w:w w:val="110"/>
        </w:rPr>
        <w:t>using the command line switch.</w:t>
      </w:r>
    </w:p>
    <w:p w14:paraId="26AC3832" w14:textId="77777777" w:rsidR="00A720EB" w:rsidRDefault="0030286B">
      <w:pPr>
        <w:pStyle w:val="a3"/>
        <w:spacing w:before="232" w:line="283" w:lineRule="auto"/>
        <w:ind w:left="124" w:right="122"/>
        <w:jc w:val="both"/>
      </w:pPr>
      <w:r>
        <w:rPr>
          <w:color w:val="333333"/>
          <w:w w:val="110"/>
        </w:rPr>
        <w:t xml:space="preserve">Sometimes, it is useful to have profile-specific properties that </w:t>
      </w:r>
      <w:r>
        <w:rPr>
          <w:rFonts w:ascii="Palatino Linotype"/>
          <w:b/>
          <w:color w:val="333333"/>
          <w:w w:val="110"/>
        </w:rPr>
        <w:t xml:space="preserve">add </w:t>
      </w:r>
      <w:r>
        <w:rPr>
          <w:color w:val="333333"/>
          <w:w w:val="110"/>
        </w:rPr>
        <w:t xml:space="preserve">to the active profiles rather than replace them. The </w:t>
      </w:r>
      <w:proofErr w:type="gramStart"/>
      <w:r>
        <w:rPr>
          <w:rFonts w:ascii="MS Gothic"/>
          <w:color w:val="B02045"/>
          <w:w w:val="110"/>
        </w:rPr>
        <w:t>spring.profiles</w:t>
      </w:r>
      <w:proofErr w:type="gramEnd"/>
      <w:r>
        <w:rPr>
          <w:rFonts w:ascii="MS Gothic"/>
          <w:color w:val="B02045"/>
          <w:w w:val="110"/>
        </w:rPr>
        <w:t xml:space="preserve">.include </w:t>
      </w:r>
      <w:r>
        <w:rPr>
          <w:color w:val="333333"/>
          <w:w w:val="110"/>
        </w:rPr>
        <w:t>property can be used to unconditionally add active profiles.</w:t>
      </w:r>
      <w:r>
        <w:rPr>
          <w:color w:val="333333"/>
          <w:spacing w:val="-5"/>
          <w:w w:val="110"/>
        </w:rPr>
        <w:t xml:space="preserve"> </w:t>
      </w:r>
      <w:r>
        <w:rPr>
          <w:color w:val="333333"/>
          <w:w w:val="110"/>
        </w:rPr>
        <w:t>The</w:t>
      </w:r>
      <w:r>
        <w:rPr>
          <w:color w:val="333333"/>
          <w:spacing w:val="-2"/>
          <w:w w:val="110"/>
        </w:rPr>
        <w:t xml:space="preserve"> </w:t>
      </w:r>
      <w:r>
        <w:rPr>
          <w:rFonts w:ascii="MS Gothic"/>
          <w:color w:val="B02045"/>
          <w:w w:val="110"/>
        </w:rPr>
        <w:t>SpringApplication</w:t>
      </w:r>
      <w:r>
        <w:rPr>
          <w:rFonts w:ascii="MS Gothic"/>
          <w:color w:val="B02045"/>
          <w:spacing w:val="-69"/>
          <w:w w:val="110"/>
        </w:rPr>
        <w:t xml:space="preserve"> </w:t>
      </w:r>
      <w:r>
        <w:rPr>
          <w:color w:val="333333"/>
          <w:w w:val="110"/>
        </w:rPr>
        <w:t>entry</w:t>
      </w:r>
      <w:r>
        <w:rPr>
          <w:color w:val="333333"/>
          <w:spacing w:val="-5"/>
          <w:w w:val="110"/>
        </w:rPr>
        <w:t xml:space="preserve"> </w:t>
      </w:r>
      <w:r>
        <w:rPr>
          <w:color w:val="333333"/>
          <w:w w:val="110"/>
        </w:rPr>
        <w:t>point</w:t>
      </w:r>
      <w:r>
        <w:rPr>
          <w:color w:val="333333"/>
          <w:spacing w:val="-4"/>
          <w:w w:val="110"/>
        </w:rPr>
        <w:t xml:space="preserve"> </w:t>
      </w:r>
      <w:r>
        <w:rPr>
          <w:color w:val="333333"/>
          <w:w w:val="110"/>
        </w:rPr>
        <w:t>also</w:t>
      </w:r>
      <w:r>
        <w:rPr>
          <w:color w:val="333333"/>
          <w:spacing w:val="-5"/>
          <w:w w:val="110"/>
        </w:rPr>
        <w:t xml:space="preserve"> </w:t>
      </w:r>
      <w:r>
        <w:rPr>
          <w:color w:val="333333"/>
          <w:w w:val="110"/>
        </w:rPr>
        <w:t>has</w:t>
      </w:r>
      <w:r>
        <w:rPr>
          <w:color w:val="333333"/>
          <w:spacing w:val="-5"/>
          <w:w w:val="110"/>
        </w:rPr>
        <w:t xml:space="preserve"> </w:t>
      </w:r>
      <w:r>
        <w:rPr>
          <w:color w:val="333333"/>
          <w:w w:val="110"/>
        </w:rPr>
        <w:t>a</w:t>
      </w:r>
      <w:r>
        <w:rPr>
          <w:color w:val="333333"/>
          <w:spacing w:val="-4"/>
          <w:w w:val="110"/>
        </w:rPr>
        <w:t xml:space="preserve"> </w:t>
      </w:r>
      <w:r>
        <w:rPr>
          <w:color w:val="333333"/>
          <w:w w:val="110"/>
        </w:rPr>
        <w:t>Java</w:t>
      </w:r>
      <w:r>
        <w:rPr>
          <w:color w:val="333333"/>
          <w:spacing w:val="-5"/>
          <w:w w:val="110"/>
        </w:rPr>
        <w:t xml:space="preserve"> </w:t>
      </w:r>
      <w:r>
        <w:rPr>
          <w:color w:val="333333"/>
          <w:w w:val="110"/>
        </w:rPr>
        <w:t>API</w:t>
      </w:r>
      <w:r>
        <w:rPr>
          <w:color w:val="333333"/>
          <w:spacing w:val="-4"/>
          <w:w w:val="110"/>
        </w:rPr>
        <w:t xml:space="preserve"> </w:t>
      </w:r>
      <w:r>
        <w:rPr>
          <w:color w:val="333333"/>
          <w:w w:val="110"/>
        </w:rPr>
        <w:t>for</w:t>
      </w:r>
      <w:r>
        <w:rPr>
          <w:color w:val="333333"/>
          <w:spacing w:val="-5"/>
          <w:w w:val="110"/>
        </w:rPr>
        <w:t xml:space="preserve"> </w:t>
      </w:r>
      <w:r>
        <w:rPr>
          <w:color w:val="333333"/>
          <w:w w:val="110"/>
        </w:rPr>
        <w:t>setting</w:t>
      </w:r>
      <w:r>
        <w:rPr>
          <w:color w:val="333333"/>
          <w:spacing w:val="-4"/>
          <w:w w:val="110"/>
        </w:rPr>
        <w:t xml:space="preserve"> </w:t>
      </w:r>
      <w:r>
        <w:rPr>
          <w:color w:val="333333"/>
          <w:w w:val="110"/>
        </w:rPr>
        <w:t>additional</w:t>
      </w:r>
      <w:r>
        <w:rPr>
          <w:color w:val="333333"/>
          <w:spacing w:val="-5"/>
          <w:w w:val="110"/>
        </w:rPr>
        <w:t xml:space="preserve"> </w:t>
      </w:r>
      <w:r>
        <w:rPr>
          <w:color w:val="333333"/>
          <w:w w:val="110"/>
        </w:rPr>
        <w:t>profiles</w:t>
      </w:r>
      <w:r>
        <w:rPr>
          <w:color w:val="333333"/>
          <w:spacing w:val="-5"/>
          <w:w w:val="110"/>
        </w:rPr>
        <w:t xml:space="preserve"> </w:t>
      </w:r>
      <w:r>
        <w:rPr>
          <w:color w:val="333333"/>
          <w:w w:val="110"/>
        </w:rPr>
        <w:t>(that</w:t>
      </w:r>
      <w:r>
        <w:rPr>
          <w:color w:val="333333"/>
          <w:spacing w:val="-4"/>
          <w:w w:val="110"/>
        </w:rPr>
        <w:t xml:space="preserve"> </w:t>
      </w:r>
      <w:r>
        <w:rPr>
          <w:color w:val="333333"/>
          <w:w w:val="110"/>
        </w:rPr>
        <w:t>is, on</w:t>
      </w:r>
      <w:r>
        <w:rPr>
          <w:color w:val="333333"/>
          <w:spacing w:val="-22"/>
          <w:w w:val="110"/>
        </w:rPr>
        <w:t xml:space="preserve"> </w:t>
      </w:r>
      <w:r>
        <w:rPr>
          <w:color w:val="333333"/>
          <w:w w:val="110"/>
        </w:rPr>
        <w:t>top</w:t>
      </w:r>
      <w:r>
        <w:rPr>
          <w:color w:val="333333"/>
          <w:spacing w:val="-21"/>
          <w:w w:val="110"/>
        </w:rPr>
        <w:t xml:space="preserve"> </w:t>
      </w:r>
      <w:r>
        <w:rPr>
          <w:color w:val="333333"/>
          <w:w w:val="110"/>
        </w:rPr>
        <w:t>of</w:t>
      </w:r>
      <w:r>
        <w:rPr>
          <w:color w:val="333333"/>
          <w:spacing w:val="-22"/>
          <w:w w:val="110"/>
        </w:rPr>
        <w:t xml:space="preserve"> </w:t>
      </w:r>
      <w:r>
        <w:rPr>
          <w:color w:val="333333"/>
          <w:w w:val="110"/>
        </w:rPr>
        <w:t>those</w:t>
      </w:r>
      <w:r>
        <w:rPr>
          <w:color w:val="333333"/>
          <w:spacing w:val="-21"/>
          <w:w w:val="110"/>
        </w:rPr>
        <w:t xml:space="preserve"> </w:t>
      </w:r>
      <w:r>
        <w:rPr>
          <w:color w:val="333333"/>
          <w:w w:val="110"/>
        </w:rPr>
        <w:t>activated</w:t>
      </w:r>
      <w:r>
        <w:rPr>
          <w:color w:val="333333"/>
          <w:spacing w:val="-22"/>
          <w:w w:val="110"/>
        </w:rPr>
        <w:t xml:space="preserve"> </w:t>
      </w:r>
      <w:r>
        <w:rPr>
          <w:color w:val="333333"/>
          <w:spacing w:val="-3"/>
          <w:w w:val="110"/>
        </w:rPr>
        <w:t>by</w:t>
      </w:r>
      <w:r>
        <w:rPr>
          <w:color w:val="333333"/>
          <w:spacing w:val="-21"/>
          <w:w w:val="110"/>
        </w:rPr>
        <w:t xml:space="preserve"> </w:t>
      </w:r>
      <w:r>
        <w:rPr>
          <w:color w:val="333333"/>
          <w:w w:val="110"/>
        </w:rPr>
        <w:t>the</w:t>
      </w:r>
      <w:r>
        <w:rPr>
          <w:color w:val="333333"/>
          <w:spacing w:val="-21"/>
          <w:w w:val="110"/>
        </w:rPr>
        <w:t xml:space="preserve"> </w:t>
      </w:r>
      <w:proofErr w:type="gramStart"/>
      <w:r>
        <w:rPr>
          <w:rFonts w:ascii="MS Gothic"/>
          <w:color w:val="B02045"/>
          <w:w w:val="110"/>
        </w:rPr>
        <w:t>spring.profiles</w:t>
      </w:r>
      <w:proofErr w:type="gramEnd"/>
      <w:r>
        <w:rPr>
          <w:rFonts w:ascii="MS Gothic"/>
          <w:color w:val="B02045"/>
          <w:w w:val="110"/>
        </w:rPr>
        <w:t>.active</w:t>
      </w:r>
      <w:r>
        <w:rPr>
          <w:rFonts w:ascii="MS Gothic"/>
          <w:color w:val="B02045"/>
          <w:spacing w:val="-86"/>
          <w:w w:val="110"/>
        </w:rPr>
        <w:t xml:space="preserve"> </w:t>
      </w:r>
      <w:r>
        <w:rPr>
          <w:color w:val="333333"/>
          <w:w w:val="110"/>
        </w:rPr>
        <w:t>property).</w:t>
      </w:r>
      <w:r>
        <w:rPr>
          <w:color w:val="333333"/>
          <w:spacing w:val="-21"/>
          <w:w w:val="110"/>
        </w:rPr>
        <w:t xml:space="preserve"> </w:t>
      </w:r>
      <w:r>
        <w:rPr>
          <w:color w:val="333333"/>
          <w:w w:val="110"/>
        </w:rPr>
        <w:t>See</w:t>
      </w:r>
      <w:r>
        <w:rPr>
          <w:color w:val="333333"/>
          <w:spacing w:val="-21"/>
          <w:w w:val="110"/>
        </w:rPr>
        <w:t xml:space="preserve"> </w:t>
      </w:r>
      <w:r>
        <w:rPr>
          <w:color w:val="333333"/>
          <w:w w:val="110"/>
        </w:rPr>
        <w:t>the</w:t>
      </w:r>
      <w:r>
        <w:rPr>
          <w:color w:val="333333"/>
          <w:spacing w:val="-21"/>
          <w:w w:val="110"/>
        </w:rPr>
        <w:t xml:space="preserve"> </w:t>
      </w:r>
      <w:r>
        <w:rPr>
          <w:rFonts w:ascii="MS Gothic"/>
          <w:color w:val="B02045"/>
          <w:w w:val="110"/>
        </w:rPr>
        <w:t xml:space="preserve">setAdditionalProfiles() </w:t>
      </w:r>
      <w:r>
        <w:rPr>
          <w:color w:val="333333"/>
          <w:w w:val="110"/>
        </w:rPr>
        <w:t>method in</w:t>
      </w:r>
      <w:r>
        <w:rPr>
          <w:color w:val="333333"/>
          <w:spacing w:val="7"/>
          <w:w w:val="110"/>
        </w:rPr>
        <w:t xml:space="preserve"> </w:t>
      </w:r>
      <w:hyperlink r:id="rId110">
        <w:r>
          <w:rPr>
            <w:color w:val="418BCA"/>
            <w:w w:val="110"/>
          </w:rPr>
          <w:t>SpringApplication</w:t>
        </w:r>
      </w:hyperlink>
      <w:r>
        <w:rPr>
          <w:color w:val="333333"/>
          <w:w w:val="110"/>
        </w:rPr>
        <w:t>.</w:t>
      </w:r>
    </w:p>
    <w:p w14:paraId="37F4A451" w14:textId="77777777" w:rsidR="00A720EB" w:rsidRDefault="00A720EB">
      <w:pPr>
        <w:pStyle w:val="a3"/>
        <w:spacing w:before="3"/>
        <w:rPr>
          <w:sz w:val="22"/>
        </w:rPr>
      </w:pPr>
    </w:p>
    <w:p w14:paraId="3F507C36" w14:textId="77777777" w:rsidR="00A720EB" w:rsidRDefault="0030286B">
      <w:pPr>
        <w:pStyle w:val="a3"/>
        <w:ind w:left="124"/>
        <w:jc w:val="both"/>
      </w:pPr>
      <w:r>
        <w:rPr>
          <w:color w:val="333333"/>
          <w:w w:val="110"/>
        </w:rPr>
        <w:t>For example, when an application with the following properties is run by using the switch,</w:t>
      </w:r>
    </w:p>
    <w:p w14:paraId="0DB9F3B8" w14:textId="77777777" w:rsidR="00A720EB" w:rsidRDefault="0030286B">
      <w:pPr>
        <w:pStyle w:val="a3"/>
        <w:spacing w:before="59"/>
        <w:ind w:left="124"/>
        <w:jc w:val="both"/>
      </w:pPr>
      <w:r>
        <w:rPr>
          <w:rFonts w:ascii="MS Gothic"/>
          <w:color w:val="B02045"/>
          <w:w w:val="105"/>
        </w:rPr>
        <w:t>--</w:t>
      </w:r>
      <w:proofErr w:type="gramStart"/>
      <w:r>
        <w:rPr>
          <w:rFonts w:ascii="MS Gothic"/>
          <w:color w:val="B02045"/>
          <w:w w:val="105"/>
        </w:rPr>
        <w:t>spring.profiles</w:t>
      </w:r>
      <w:proofErr w:type="gramEnd"/>
      <w:r>
        <w:rPr>
          <w:rFonts w:ascii="MS Gothic"/>
          <w:color w:val="B02045"/>
          <w:w w:val="105"/>
        </w:rPr>
        <w:t>.active=prod</w:t>
      </w:r>
      <w:r>
        <w:rPr>
          <w:color w:val="333333"/>
          <w:w w:val="105"/>
        </w:rPr>
        <w:t xml:space="preserve">, the </w:t>
      </w:r>
      <w:r>
        <w:rPr>
          <w:rFonts w:ascii="MS Gothic"/>
          <w:color w:val="B02045"/>
          <w:w w:val="105"/>
        </w:rPr>
        <w:t xml:space="preserve">proddb </w:t>
      </w:r>
      <w:r>
        <w:rPr>
          <w:color w:val="333333"/>
          <w:w w:val="105"/>
        </w:rPr>
        <w:t xml:space="preserve">and </w:t>
      </w:r>
      <w:r>
        <w:rPr>
          <w:rFonts w:ascii="MS Gothic"/>
          <w:color w:val="B02045"/>
          <w:w w:val="105"/>
        </w:rPr>
        <w:t>prodmq</w:t>
      </w:r>
      <w:r>
        <w:rPr>
          <w:rFonts w:ascii="MS Gothic"/>
          <w:color w:val="B02045"/>
          <w:spacing w:val="-90"/>
          <w:w w:val="105"/>
        </w:rPr>
        <w:t xml:space="preserve"> </w:t>
      </w:r>
      <w:r>
        <w:rPr>
          <w:color w:val="333333"/>
          <w:w w:val="105"/>
        </w:rPr>
        <w:t>profiles are also activated:</w:t>
      </w:r>
    </w:p>
    <w:p w14:paraId="31C793FD" w14:textId="77777777" w:rsidR="00A720EB" w:rsidRDefault="00E10349">
      <w:pPr>
        <w:pStyle w:val="a3"/>
        <w:spacing w:before="11"/>
        <w:rPr>
          <w:sz w:val="17"/>
        </w:rPr>
      </w:pPr>
      <w:r>
        <w:pict w14:anchorId="25FDDBD6">
          <v:group id="_x0000_s4464" style="position:absolute;margin-left:47.85pt;margin-top:12.5pt;width:499.55pt;height:125.95pt;z-index:-15574528;mso-wrap-distance-left:0;mso-wrap-distance-right:0;mso-position-horizontal-relative:page" coordorigin="957,250" coordsize="9991,2519">
            <v:shape id="_x0000_s4467" style="position:absolute;left:964;top:257;width:9976;height:2504" coordorigin="965,258" coordsize="9976,2504" path="m10861,258r-9816,l1014,264r-26,17l971,307r-6,31l965,2681r6,32l988,2738r26,17l1045,2761r9816,l10892,2755r25,-17l10935,2713r6,-32l10941,338r-6,-31l10917,281r-25,-17l10861,258xe" fillcolor="#f5f5f5" stroked="f">
              <v:path arrowok="t"/>
            </v:shape>
            <v:shape id="_x0000_s4466" style="position:absolute;left:964;top:257;width:9976;height:2504" coordorigin="965,258" coordsize="9976,2504" path="m1045,258r9816,l10892,264r25,17l10935,307r6,31l10941,2681r-6,32l10917,2738r-25,17l10861,2761r-9816,l1014,2755r-26,-17l971,2713r-6,-32l965,338r6,-31l988,281r26,-17l1045,258xe" filled="f" strokecolor="#ccc">
              <v:path arrowok="t"/>
            </v:shape>
            <v:shape id="_x0000_s4465" type="#_x0000_t202" style="position:absolute;left:984;top:273;width:9938;height:2473" filled="f" stroked="f">
              <v:textbox inset="0,0,0,0">
                <w:txbxContent>
                  <w:p w14:paraId="08742BAC" w14:textId="77777777" w:rsidR="00711A16" w:rsidRDefault="00711A16">
                    <w:pPr>
                      <w:spacing w:before="221"/>
                      <w:ind w:left="200"/>
                      <w:rPr>
                        <w:rFonts w:ascii="MS Gothic"/>
                      </w:rPr>
                    </w:pPr>
                    <w:r>
                      <w:rPr>
                        <w:rFonts w:ascii="MS Gothic"/>
                        <w:color w:val="333333"/>
                      </w:rPr>
                      <w:t>---</w:t>
                    </w:r>
                  </w:p>
                  <w:p w14:paraId="6BBC1E47" w14:textId="77777777" w:rsidR="00711A16" w:rsidRDefault="00711A16">
                    <w:pPr>
                      <w:spacing w:before="13"/>
                      <w:ind w:left="200"/>
                      <w:rPr>
                        <w:rFonts w:ascii="MS Gothic"/>
                      </w:rPr>
                    </w:pPr>
                    <w:proofErr w:type="gramStart"/>
                    <w:r>
                      <w:rPr>
                        <w:rFonts w:ascii="MS Gothic"/>
                        <w:color w:val="333333"/>
                      </w:rPr>
                      <w:t>my.property</w:t>
                    </w:r>
                    <w:proofErr w:type="gramEnd"/>
                    <w:r>
                      <w:rPr>
                        <w:rFonts w:ascii="MS Gothic"/>
                        <w:color w:val="333333"/>
                      </w:rPr>
                      <w:t>: fromyamlfile</w:t>
                    </w:r>
                  </w:p>
                  <w:p w14:paraId="2AE27DDC" w14:textId="77777777" w:rsidR="00711A16" w:rsidRDefault="00711A16">
                    <w:pPr>
                      <w:spacing w:before="13"/>
                      <w:ind w:left="200"/>
                      <w:rPr>
                        <w:rFonts w:ascii="MS Gothic"/>
                      </w:rPr>
                    </w:pPr>
                    <w:r>
                      <w:rPr>
                        <w:rFonts w:ascii="MS Gothic"/>
                        <w:color w:val="333333"/>
                      </w:rPr>
                      <w:t>---</w:t>
                    </w:r>
                  </w:p>
                  <w:p w14:paraId="4E032255" w14:textId="77777777" w:rsidR="00711A16" w:rsidRDefault="00711A16">
                    <w:pPr>
                      <w:spacing w:before="13" w:line="252" w:lineRule="auto"/>
                      <w:ind w:left="200" w:right="7078"/>
                      <w:rPr>
                        <w:rFonts w:ascii="MS Gothic"/>
                      </w:rPr>
                    </w:pPr>
                    <w:proofErr w:type="gramStart"/>
                    <w:r>
                      <w:rPr>
                        <w:rFonts w:ascii="MS Gothic"/>
                        <w:color w:val="333333"/>
                      </w:rPr>
                      <w:t>spring.profiles</w:t>
                    </w:r>
                    <w:proofErr w:type="gramEnd"/>
                    <w:r>
                      <w:rPr>
                        <w:rFonts w:ascii="MS Gothic"/>
                        <w:color w:val="333333"/>
                      </w:rPr>
                      <w:t>: prod spring.profiles.include:</w:t>
                    </w:r>
                  </w:p>
                  <w:p w14:paraId="694906AB" w14:textId="77777777" w:rsidR="00711A16" w:rsidRDefault="00711A16">
                    <w:pPr>
                      <w:numPr>
                        <w:ilvl w:val="0"/>
                        <w:numId w:val="56"/>
                      </w:numPr>
                      <w:tabs>
                        <w:tab w:val="left" w:pos="641"/>
                      </w:tabs>
                      <w:spacing w:line="280" w:lineRule="exact"/>
                      <w:ind w:hanging="221"/>
                      <w:rPr>
                        <w:rFonts w:ascii="MS Gothic"/>
                      </w:rPr>
                    </w:pPr>
                    <w:r>
                      <w:rPr>
                        <w:rFonts w:ascii="MS Gothic"/>
                        <w:color w:val="333333"/>
                      </w:rPr>
                      <w:t>proddb</w:t>
                    </w:r>
                  </w:p>
                  <w:p w14:paraId="3191CEA0" w14:textId="77777777" w:rsidR="00711A16" w:rsidRDefault="00711A16">
                    <w:pPr>
                      <w:numPr>
                        <w:ilvl w:val="0"/>
                        <w:numId w:val="56"/>
                      </w:numPr>
                      <w:tabs>
                        <w:tab w:val="left" w:pos="641"/>
                      </w:tabs>
                      <w:spacing w:before="12"/>
                      <w:ind w:hanging="221"/>
                      <w:rPr>
                        <w:rFonts w:ascii="MS Gothic"/>
                      </w:rPr>
                    </w:pPr>
                    <w:r>
                      <w:rPr>
                        <w:rFonts w:ascii="MS Gothic"/>
                        <w:color w:val="333333"/>
                      </w:rPr>
                      <w:t>prodmq</w:t>
                    </w:r>
                  </w:p>
                </w:txbxContent>
              </v:textbox>
            </v:shape>
            <w10:wrap type="topAndBottom" anchorx="page"/>
          </v:group>
        </w:pict>
      </w:r>
    </w:p>
    <w:p w14:paraId="508528F3" w14:textId="77777777" w:rsidR="00A720EB" w:rsidRDefault="00A720EB">
      <w:pPr>
        <w:pStyle w:val="a3"/>
        <w:spacing w:before="8"/>
        <w:rPr>
          <w:sz w:val="16"/>
        </w:rPr>
      </w:pPr>
    </w:p>
    <w:p w14:paraId="1F80DC87" w14:textId="77777777" w:rsidR="00A720EB" w:rsidRDefault="00E10349">
      <w:pPr>
        <w:pStyle w:val="a3"/>
        <w:spacing w:before="116" w:line="300" w:lineRule="auto"/>
        <w:ind w:left="1564" w:right="368"/>
        <w:jc w:val="both"/>
      </w:pPr>
      <w:r>
        <w:pict w14:anchorId="16E7774A">
          <v:line id="_x0000_s4463" style="position:absolute;left:0;text-align:left;z-index:15883264;mso-position-horizontal-relative:page" from="108.25pt,.35pt" to="108.25pt,55.7pt" strokecolor="#ededed" strokeweight=".5pt">
            <w10:wrap anchorx="page"/>
          </v:line>
        </w:pict>
      </w:r>
      <w:r w:rsidR="0030286B">
        <w:rPr>
          <w:noProof/>
        </w:rPr>
        <w:drawing>
          <wp:anchor distT="0" distB="0" distL="0" distR="0" simplePos="0" relativeHeight="15883776" behindDoc="0" locked="0" layoutInCell="1" allowOverlap="1" wp14:anchorId="48D7FD7E" wp14:editId="212499AD">
            <wp:simplePos x="0" y="0"/>
            <wp:positionH relativeFrom="page">
              <wp:posOffset>844422</wp:posOffset>
            </wp:positionH>
            <wp:positionV relativeFrom="paragraph">
              <wp:posOffset>206451</wp:posOffset>
            </wp:positionV>
            <wp:extent cx="298450" cy="298450"/>
            <wp:effectExtent l="0" t="0" r="0" b="0"/>
            <wp:wrapNone/>
            <wp:docPr id="1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Remember that the </w:t>
      </w:r>
      <w:proofErr w:type="gramStart"/>
      <w:r w:rsidR="0030286B">
        <w:rPr>
          <w:rFonts w:ascii="MS Gothic"/>
          <w:color w:val="B02045"/>
          <w:w w:val="110"/>
        </w:rPr>
        <w:t>spring.profiles</w:t>
      </w:r>
      <w:proofErr w:type="gramEnd"/>
      <w:r w:rsidR="0030286B">
        <w:rPr>
          <w:rFonts w:ascii="MS Gothic"/>
          <w:color w:val="B02045"/>
          <w:w w:val="110"/>
        </w:rPr>
        <w:t xml:space="preserve"> </w:t>
      </w:r>
      <w:r w:rsidR="0030286B">
        <w:rPr>
          <w:color w:val="333333"/>
          <w:w w:val="110"/>
        </w:rPr>
        <w:t xml:space="preserve">property can be defined in a YAML document to determine when this particular document is included in the configuration. See </w:t>
      </w:r>
      <w:hyperlink w:anchor="_bookmark541" w:history="1">
        <w:r w:rsidR="0030286B">
          <w:rPr>
            <w:color w:val="418BCA"/>
            <w:w w:val="110"/>
          </w:rPr>
          <w:t xml:space="preserve">Change Configuration Depending on the Environment </w:t>
        </w:r>
      </w:hyperlink>
      <w:r w:rsidR="0030286B">
        <w:rPr>
          <w:color w:val="333333"/>
          <w:w w:val="110"/>
        </w:rPr>
        <w:t>for more details.</w:t>
      </w:r>
    </w:p>
    <w:p w14:paraId="2D98F040" w14:textId="77777777" w:rsidR="00A720EB" w:rsidRDefault="00A720EB">
      <w:pPr>
        <w:pStyle w:val="a3"/>
        <w:rPr>
          <w:sz w:val="24"/>
        </w:rPr>
      </w:pPr>
    </w:p>
    <w:p w14:paraId="5F458C7B" w14:textId="77777777" w:rsidR="00A720EB" w:rsidRDefault="0030286B">
      <w:pPr>
        <w:pStyle w:val="3"/>
        <w:numPr>
          <w:ilvl w:val="2"/>
          <w:numId w:val="68"/>
        </w:numPr>
        <w:tabs>
          <w:tab w:val="left" w:pos="858"/>
        </w:tabs>
        <w:spacing w:before="105"/>
        <w:ind w:hanging="734"/>
      </w:pPr>
      <w:bookmarkStart w:id="210" w:name="4.3.2._Programmatically_Setting_Profiles"/>
      <w:bookmarkStart w:id="211" w:name="_Toc54423733"/>
      <w:bookmarkEnd w:id="210"/>
      <w:r>
        <w:rPr>
          <w:color w:val="333333"/>
          <w:w w:val="110"/>
        </w:rPr>
        <w:t>Programmatically Setting</w:t>
      </w:r>
      <w:r>
        <w:rPr>
          <w:color w:val="333333"/>
          <w:spacing w:val="-10"/>
          <w:w w:val="110"/>
        </w:rPr>
        <w:t xml:space="preserve"> </w:t>
      </w:r>
      <w:r>
        <w:rPr>
          <w:color w:val="333333"/>
          <w:w w:val="110"/>
        </w:rPr>
        <w:t>Profiles</w:t>
      </w:r>
      <w:bookmarkEnd w:id="211"/>
    </w:p>
    <w:p w14:paraId="0A2B4498" w14:textId="77777777" w:rsidR="00A720EB" w:rsidRDefault="0030286B">
      <w:pPr>
        <w:pStyle w:val="a3"/>
        <w:spacing w:before="244"/>
        <w:ind w:left="124"/>
        <w:rPr>
          <w:rFonts w:ascii="MS Gothic" w:hAnsi="MS Gothic"/>
        </w:rPr>
      </w:pPr>
      <w:proofErr w:type="gramStart"/>
      <w:r>
        <w:rPr>
          <w:color w:val="333333"/>
          <w:spacing w:val="-6"/>
          <w:w w:val="105"/>
        </w:rPr>
        <w:t xml:space="preserve">You  </w:t>
      </w:r>
      <w:r>
        <w:rPr>
          <w:color w:val="333333"/>
          <w:w w:val="105"/>
        </w:rPr>
        <w:t>can</w:t>
      </w:r>
      <w:proofErr w:type="gramEnd"/>
      <w:r>
        <w:rPr>
          <w:color w:val="333333"/>
          <w:w w:val="105"/>
        </w:rPr>
        <w:t xml:space="preserve"> programmatically set active profiles </w:t>
      </w:r>
      <w:r>
        <w:rPr>
          <w:color w:val="333333"/>
          <w:spacing w:val="-3"/>
          <w:w w:val="105"/>
        </w:rPr>
        <w:t xml:space="preserve">by  </w:t>
      </w:r>
      <w:r>
        <w:rPr>
          <w:color w:val="333333"/>
          <w:w w:val="105"/>
        </w:rPr>
        <w:t xml:space="preserve">calling </w:t>
      </w:r>
      <w:r>
        <w:rPr>
          <w:color w:val="333333"/>
          <w:spacing w:val="38"/>
          <w:w w:val="105"/>
        </w:rPr>
        <w:t xml:space="preserve"> </w:t>
      </w:r>
      <w:r>
        <w:rPr>
          <w:rFonts w:ascii="MS Gothic" w:hAnsi="MS Gothic"/>
          <w:color w:val="B02045"/>
          <w:w w:val="105"/>
        </w:rPr>
        <w:t>SpringApplication.setAdditionalProfiles(…</w:t>
      </w:r>
    </w:p>
    <w:p w14:paraId="38F34300" w14:textId="77777777" w:rsidR="00A720EB" w:rsidRDefault="0030286B">
      <w:pPr>
        <w:pStyle w:val="a3"/>
        <w:spacing w:before="46"/>
        <w:ind w:left="124"/>
      </w:pPr>
      <w:proofErr w:type="gramStart"/>
      <w:r>
        <w:rPr>
          <w:rFonts w:ascii="MS Gothic" w:hAnsi="MS Gothic"/>
          <w:color w:val="B02045"/>
          <w:w w:val="110"/>
        </w:rPr>
        <w:t xml:space="preserve">)  </w:t>
      </w:r>
      <w:r>
        <w:rPr>
          <w:color w:val="333333"/>
          <w:w w:val="110"/>
        </w:rPr>
        <w:t>before</w:t>
      </w:r>
      <w:proofErr w:type="gramEnd"/>
      <w:r>
        <w:rPr>
          <w:color w:val="333333"/>
          <w:w w:val="110"/>
        </w:rPr>
        <w:t xml:space="preserve">   your   application   runs.   It   is   also   possible   to   activate   profiles   </w:t>
      </w:r>
      <w:r>
        <w:rPr>
          <w:color w:val="333333"/>
          <w:spacing w:val="-3"/>
          <w:w w:val="110"/>
        </w:rPr>
        <w:t xml:space="preserve">by    </w:t>
      </w:r>
      <w:r>
        <w:rPr>
          <w:color w:val="333333"/>
          <w:w w:val="110"/>
        </w:rPr>
        <w:t xml:space="preserve">using  </w:t>
      </w:r>
      <w:r>
        <w:rPr>
          <w:color w:val="333333"/>
          <w:spacing w:val="8"/>
          <w:w w:val="110"/>
        </w:rPr>
        <w:t xml:space="preserve"> </w:t>
      </w:r>
      <w:r>
        <w:rPr>
          <w:color w:val="333333"/>
          <w:w w:val="110"/>
        </w:rPr>
        <w:t>Spring’s</w:t>
      </w:r>
    </w:p>
    <w:p w14:paraId="675E3149" w14:textId="77777777" w:rsidR="00A720EB" w:rsidRDefault="0030286B">
      <w:pPr>
        <w:pStyle w:val="a3"/>
        <w:spacing w:before="47"/>
        <w:ind w:left="124"/>
      </w:pPr>
      <w:r>
        <w:rPr>
          <w:rFonts w:ascii="MS Gothic"/>
          <w:color w:val="B02045"/>
          <w:w w:val="105"/>
        </w:rPr>
        <w:t>ConfigurableEnvironment</w:t>
      </w:r>
      <w:r>
        <w:rPr>
          <w:rFonts w:ascii="MS Gothic"/>
          <w:color w:val="B02045"/>
          <w:spacing w:val="-57"/>
          <w:w w:val="105"/>
        </w:rPr>
        <w:t xml:space="preserve"> </w:t>
      </w:r>
      <w:r>
        <w:rPr>
          <w:color w:val="333333"/>
          <w:w w:val="105"/>
        </w:rPr>
        <w:t>interface.</w:t>
      </w:r>
    </w:p>
    <w:p w14:paraId="2395B901" w14:textId="77777777" w:rsidR="00A720EB" w:rsidRDefault="00A720EB">
      <w:pPr>
        <w:pStyle w:val="a3"/>
        <w:spacing w:before="6"/>
        <w:rPr>
          <w:sz w:val="30"/>
        </w:rPr>
      </w:pPr>
    </w:p>
    <w:p w14:paraId="41E71C07" w14:textId="77777777" w:rsidR="00A720EB" w:rsidRDefault="0030286B">
      <w:pPr>
        <w:pStyle w:val="3"/>
        <w:numPr>
          <w:ilvl w:val="2"/>
          <w:numId w:val="68"/>
        </w:numPr>
        <w:tabs>
          <w:tab w:val="left" w:pos="858"/>
        </w:tabs>
        <w:ind w:hanging="734"/>
      </w:pPr>
      <w:bookmarkStart w:id="212" w:name="4.3.3._Profile-specific_Configuration_Fi"/>
      <w:bookmarkStart w:id="213" w:name="_Toc54423734"/>
      <w:bookmarkEnd w:id="212"/>
      <w:r>
        <w:rPr>
          <w:color w:val="333333"/>
          <w:w w:val="110"/>
        </w:rPr>
        <w:t>Profile-specific Configuration</w:t>
      </w:r>
      <w:r>
        <w:rPr>
          <w:color w:val="333333"/>
          <w:spacing w:val="-11"/>
          <w:w w:val="110"/>
        </w:rPr>
        <w:t xml:space="preserve"> </w:t>
      </w:r>
      <w:r>
        <w:rPr>
          <w:color w:val="333333"/>
          <w:w w:val="110"/>
        </w:rPr>
        <w:t>Files</w:t>
      </w:r>
      <w:bookmarkEnd w:id="213"/>
    </w:p>
    <w:p w14:paraId="5A2B0904" w14:textId="77777777" w:rsidR="00A720EB" w:rsidRDefault="0030286B">
      <w:pPr>
        <w:pStyle w:val="a3"/>
        <w:spacing w:before="244" w:line="285" w:lineRule="auto"/>
        <w:ind w:left="124" w:right="121"/>
        <w:jc w:val="both"/>
      </w:pPr>
      <w:r>
        <w:rPr>
          <w:color w:val="333333"/>
          <w:w w:val="110"/>
        </w:rPr>
        <w:t xml:space="preserve">Profile-specific variants of both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(or </w:t>
      </w:r>
      <w:r>
        <w:rPr>
          <w:rFonts w:ascii="MS Gothic"/>
          <w:color w:val="B02045"/>
          <w:w w:val="110"/>
        </w:rPr>
        <w:t>application.yml</w:t>
      </w:r>
      <w:r>
        <w:rPr>
          <w:color w:val="333333"/>
          <w:w w:val="110"/>
        </w:rPr>
        <w:t xml:space="preserve">) and files referenced through </w:t>
      </w:r>
      <w:r>
        <w:rPr>
          <w:rFonts w:ascii="MS Gothic"/>
          <w:color w:val="B02045"/>
          <w:w w:val="110"/>
        </w:rPr>
        <w:t xml:space="preserve">@ConfigurationProperties </w:t>
      </w:r>
      <w:r>
        <w:rPr>
          <w:color w:val="333333"/>
          <w:w w:val="110"/>
        </w:rPr>
        <w:t>are considered as files and loaded. See "</w:t>
      </w:r>
      <w:hyperlink w:anchor="_bookmark106" w:history="1">
        <w:r>
          <w:rPr>
            <w:color w:val="418BCA"/>
            <w:w w:val="110"/>
          </w:rPr>
          <w:t>Profile-specific</w:t>
        </w:r>
      </w:hyperlink>
      <w:r>
        <w:rPr>
          <w:color w:val="418BCA"/>
          <w:w w:val="110"/>
        </w:rPr>
        <w:t xml:space="preserve"> </w:t>
      </w:r>
      <w:hyperlink w:anchor="_bookmark106" w:history="1">
        <w:r>
          <w:rPr>
            <w:color w:val="418BCA"/>
            <w:w w:val="110"/>
          </w:rPr>
          <w:t>Properties</w:t>
        </w:r>
      </w:hyperlink>
      <w:r>
        <w:rPr>
          <w:color w:val="333333"/>
          <w:w w:val="110"/>
        </w:rPr>
        <w:t>" for details.</w:t>
      </w:r>
    </w:p>
    <w:p w14:paraId="4005BB71" w14:textId="77777777" w:rsidR="00A720EB" w:rsidRDefault="00A720EB">
      <w:pPr>
        <w:pStyle w:val="a3"/>
        <w:spacing w:before="10"/>
        <w:rPr>
          <w:sz w:val="27"/>
        </w:rPr>
      </w:pPr>
    </w:p>
    <w:p w14:paraId="36F4A17D" w14:textId="77777777" w:rsidR="00A720EB" w:rsidRDefault="0030286B">
      <w:pPr>
        <w:pStyle w:val="2"/>
        <w:numPr>
          <w:ilvl w:val="1"/>
          <w:numId w:val="68"/>
        </w:numPr>
        <w:tabs>
          <w:tab w:val="left" w:pos="832"/>
        </w:tabs>
      </w:pPr>
      <w:bookmarkStart w:id="214" w:name="4.4._Logging"/>
      <w:bookmarkStart w:id="215" w:name="_Toc54423735"/>
      <w:bookmarkEnd w:id="214"/>
      <w:r>
        <w:rPr>
          <w:color w:val="333333"/>
          <w:w w:val="105"/>
        </w:rPr>
        <w:t>Logging</w:t>
      </w:r>
      <w:bookmarkEnd w:id="215"/>
    </w:p>
    <w:p w14:paraId="61E3FE2B" w14:textId="77777777" w:rsidR="00A720EB" w:rsidRDefault="0030286B">
      <w:pPr>
        <w:pStyle w:val="a3"/>
        <w:spacing w:before="253" w:line="307" w:lineRule="auto"/>
        <w:ind w:left="124" w:right="123"/>
        <w:jc w:val="both"/>
      </w:pPr>
      <w:r>
        <w:rPr>
          <w:color w:val="333333"/>
          <w:w w:val="110"/>
        </w:rPr>
        <w:t xml:space="preserve">Spring Boot uses </w:t>
      </w:r>
      <w:hyperlink r:id="rId111">
        <w:r>
          <w:rPr>
            <w:color w:val="418BCA"/>
            <w:w w:val="110"/>
          </w:rPr>
          <w:t>Commons Logging</w:t>
        </w:r>
      </w:hyperlink>
      <w:r>
        <w:rPr>
          <w:color w:val="418BCA"/>
          <w:w w:val="110"/>
        </w:rPr>
        <w:t xml:space="preserve"> </w:t>
      </w:r>
      <w:r>
        <w:rPr>
          <w:color w:val="333333"/>
          <w:w w:val="110"/>
        </w:rPr>
        <w:t xml:space="preserve">for all internal logging but leaves the underlying log implementation open. Default configurations are provided for </w:t>
      </w:r>
      <w:hyperlink r:id="rId112">
        <w:r>
          <w:rPr>
            <w:color w:val="418BCA"/>
            <w:w w:val="110"/>
          </w:rPr>
          <w:t>Java Util Logging</w:t>
        </w:r>
      </w:hyperlink>
      <w:r>
        <w:rPr>
          <w:color w:val="333333"/>
          <w:w w:val="110"/>
        </w:rPr>
        <w:t xml:space="preserve">, </w:t>
      </w:r>
      <w:hyperlink r:id="rId113">
        <w:r>
          <w:rPr>
            <w:color w:val="418BCA"/>
            <w:w w:val="110"/>
          </w:rPr>
          <w:t>Log4J2</w:t>
        </w:r>
      </w:hyperlink>
      <w:r>
        <w:rPr>
          <w:color w:val="333333"/>
          <w:w w:val="110"/>
        </w:rPr>
        <w:t xml:space="preserve">, and  </w:t>
      </w:r>
      <w:hyperlink r:id="rId114">
        <w:r>
          <w:rPr>
            <w:color w:val="418BCA"/>
            <w:w w:val="110"/>
          </w:rPr>
          <w:t>Logback</w:t>
        </w:r>
      </w:hyperlink>
      <w:r>
        <w:rPr>
          <w:color w:val="333333"/>
          <w:w w:val="110"/>
        </w:rPr>
        <w:t xml:space="preserve">. In each case, loggers are pre-configured to use console output with optional file output  </w:t>
      </w:r>
      <w:r>
        <w:rPr>
          <w:color w:val="333333"/>
          <w:spacing w:val="50"/>
          <w:w w:val="110"/>
        </w:rPr>
        <w:t xml:space="preserve"> </w:t>
      </w:r>
      <w:r>
        <w:rPr>
          <w:color w:val="333333"/>
          <w:w w:val="110"/>
        </w:rPr>
        <w:t>also</w:t>
      </w:r>
      <w:r>
        <w:rPr>
          <w:color w:val="333333"/>
          <w:spacing w:val="2"/>
          <w:w w:val="110"/>
        </w:rPr>
        <w:t xml:space="preserve"> </w:t>
      </w:r>
      <w:r>
        <w:rPr>
          <w:color w:val="333333"/>
          <w:w w:val="110"/>
        </w:rPr>
        <w:t>available.</w:t>
      </w:r>
    </w:p>
    <w:p w14:paraId="029A9596" w14:textId="77777777" w:rsidR="00A720EB" w:rsidRDefault="0030286B">
      <w:pPr>
        <w:pStyle w:val="a3"/>
        <w:spacing w:before="242"/>
        <w:ind w:left="124"/>
      </w:pPr>
      <w:r>
        <w:rPr>
          <w:color w:val="333333"/>
          <w:w w:val="110"/>
        </w:rPr>
        <w:t>By default, if you use the “Starters”, Logback is used for logging. Appropriate Logback routing is</w:t>
      </w:r>
    </w:p>
    <w:p w14:paraId="7F69466C" w14:textId="77777777" w:rsidR="00A720EB" w:rsidRDefault="00A720EB">
      <w:pPr>
        <w:sectPr w:rsidR="00A720EB">
          <w:pgSz w:w="11910" w:h="16840"/>
          <w:pgMar w:top="620" w:right="840" w:bottom="520" w:left="840" w:header="0" w:footer="323" w:gutter="0"/>
          <w:cols w:space="720"/>
        </w:sectPr>
      </w:pPr>
    </w:p>
    <w:p w14:paraId="04BFA084" w14:textId="77777777" w:rsidR="00A720EB" w:rsidRDefault="0030286B">
      <w:pPr>
        <w:pStyle w:val="a3"/>
        <w:spacing w:before="107" w:line="307" w:lineRule="auto"/>
        <w:ind w:left="124" w:right="462"/>
      </w:pPr>
      <w:r>
        <w:rPr>
          <w:color w:val="333333"/>
          <w:w w:val="110"/>
        </w:rPr>
        <w:lastRenderedPageBreak/>
        <w:t xml:space="preserve">also included to ensure that dependent libraries that use Java Util </w:t>
      </w:r>
      <w:proofErr w:type="gramStart"/>
      <w:r>
        <w:rPr>
          <w:color w:val="333333"/>
          <w:w w:val="110"/>
        </w:rPr>
        <w:t>Logging,  Commons</w:t>
      </w:r>
      <w:proofErr w:type="gramEnd"/>
      <w:r>
        <w:rPr>
          <w:color w:val="333333"/>
          <w:w w:val="110"/>
        </w:rPr>
        <w:t xml:space="preserve">  Logging, Log4J, or SLF4J all work</w:t>
      </w:r>
      <w:r>
        <w:rPr>
          <w:color w:val="333333"/>
          <w:spacing w:val="14"/>
          <w:w w:val="110"/>
        </w:rPr>
        <w:t xml:space="preserve"> </w:t>
      </w:r>
      <w:r>
        <w:rPr>
          <w:color w:val="333333"/>
          <w:spacing w:val="-3"/>
          <w:w w:val="110"/>
        </w:rPr>
        <w:t>correctly.</w:t>
      </w:r>
    </w:p>
    <w:p w14:paraId="467D9523" w14:textId="77777777" w:rsidR="00A720EB" w:rsidRDefault="00A720EB">
      <w:pPr>
        <w:pStyle w:val="a3"/>
        <w:spacing w:before="8"/>
        <w:rPr>
          <w:sz w:val="16"/>
        </w:rPr>
      </w:pPr>
    </w:p>
    <w:p w14:paraId="5ACF277F" w14:textId="77777777" w:rsidR="00A720EB" w:rsidRDefault="00E10349">
      <w:pPr>
        <w:pStyle w:val="a3"/>
        <w:spacing w:before="125" w:line="307" w:lineRule="auto"/>
        <w:ind w:left="1564" w:right="366"/>
        <w:jc w:val="both"/>
      </w:pPr>
      <w:r>
        <w:pict w14:anchorId="14283F97">
          <v:line id="_x0000_s4462" style="position:absolute;left:0;text-align:left;z-index:15884800;mso-position-horizontal-relative:page" from="108.25pt,.25pt" to="108.25pt,55.6pt" strokecolor="#ededed" strokeweight=".5pt">
            <w10:wrap anchorx="page"/>
          </v:line>
        </w:pict>
      </w:r>
      <w:r w:rsidR="0030286B">
        <w:rPr>
          <w:noProof/>
        </w:rPr>
        <w:drawing>
          <wp:anchor distT="0" distB="0" distL="0" distR="0" simplePos="0" relativeHeight="15885312" behindDoc="0" locked="0" layoutInCell="1" allowOverlap="1" wp14:anchorId="671C511B" wp14:editId="44605D10">
            <wp:simplePos x="0" y="0"/>
            <wp:positionH relativeFrom="page">
              <wp:posOffset>888949</wp:posOffset>
            </wp:positionH>
            <wp:positionV relativeFrom="paragraph">
              <wp:posOffset>202350</wp:posOffset>
            </wp:positionV>
            <wp:extent cx="209550" cy="304800"/>
            <wp:effectExtent l="0" t="0" r="0" b="0"/>
            <wp:wrapNone/>
            <wp:docPr id="19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There are a lot of logging frameworks available for Java. Do not worry if the above list seems confusing. Generally, you do not need to change your logging dependencies and the Spring Boot defaults work just fine.</w:t>
      </w:r>
    </w:p>
    <w:p w14:paraId="582B0D6D" w14:textId="77777777" w:rsidR="00A720EB" w:rsidRDefault="00A720EB">
      <w:pPr>
        <w:pStyle w:val="a3"/>
        <w:spacing w:before="7"/>
        <w:rPr>
          <w:sz w:val="23"/>
        </w:rPr>
      </w:pPr>
    </w:p>
    <w:p w14:paraId="06AEE3B8" w14:textId="77777777" w:rsidR="00A720EB" w:rsidRDefault="00E10349">
      <w:pPr>
        <w:pStyle w:val="a3"/>
        <w:spacing w:before="125" w:line="307" w:lineRule="auto"/>
        <w:ind w:left="1564" w:right="368"/>
        <w:jc w:val="both"/>
      </w:pPr>
      <w:r>
        <w:pict w14:anchorId="3FDF0A00">
          <v:line id="_x0000_s4461" style="position:absolute;left:0;text-align:left;z-index:15885824;mso-position-horizontal-relative:page" from="108.25pt,.25pt" to="108.25pt,87.15pt" strokecolor="#ededed" strokeweight=".5pt">
            <w10:wrap anchorx="page"/>
          </v:line>
        </w:pict>
      </w:r>
      <w:r w:rsidR="0030286B">
        <w:rPr>
          <w:noProof/>
        </w:rPr>
        <w:drawing>
          <wp:anchor distT="0" distB="0" distL="0" distR="0" simplePos="0" relativeHeight="15886336" behindDoc="0" locked="0" layoutInCell="1" allowOverlap="1" wp14:anchorId="6A8F7E02" wp14:editId="1DE21507">
            <wp:simplePos x="0" y="0"/>
            <wp:positionH relativeFrom="page">
              <wp:posOffset>888949</wp:posOffset>
            </wp:positionH>
            <wp:positionV relativeFrom="paragraph">
              <wp:posOffset>402755</wp:posOffset>
            </wp:positionV>
            <wp:extent cx="209550" cy="304800"/>
            <wp:effectExtent l="0" t="0" r="0" b="0"/>
            <wp:wrapNone/>
            <wp:docPr id="19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When you deploy your application to a servlet container or application server, logging performed via the Java Util Logging API is not routed </w:t>
      </w:r>
      <w:proofErr w:type="gramStart"/>
      <w:r w:rsidR="0030286B">
        <w:rPr>
          <w:color w:val="333333"/>
          <w:w w:val="110"/>
        </w:rPr>
        <w:t>into  your</w:t>
      </w:r>
      <w:proofErr w:type="gramEnd"/>
      <w:r w:rsidR="0030286B">
        <w:rPr>
          <w:color w:val="333333"/>
          <w:w w:val="110"/>
        </w:rPr>
        <w:t xml:space="preserve">  application’s logs. This prevents logging performed </w:t>
      </w:r>
      <w:r w:rsidR="0030286B">
        <w:rPr>
          <w:color w:val="333333"/>
          <w:spacing w:val="-3"/>
          <w:w w:val="110"/>
        </w:rPr>
        <w:t xml:space="preserve">by </w:t>
      </w:r>
      <w:r w:rsidR="0030286B">
        <w:rPr>
          <w:color w:val="333333"/>
          <w:w w:val="110"/>
        </w:rPr>
        <w:t>the container or other applications that have been deployed to it from appearing in your application’s</w:t>
      </w:r>
      <w:r w:rsidR="0030286B">
        <w:rPr>
          <w:color w:val="333333"/>
          <w:spacing w:val="50"/>
          <w:w w:val="110"/>
        </w:rPr>
        <w:t xml:space="preserve"> </w:t>
      </w:r>
      <w:r w:rsidR="0030286B">
        <w:rPr>
          <w:color w:val="333333"/>
          <w:w w:val="110"/>
        </w:rPr>
        <w:t>logs.</w:t>
      </w:r>
    </w:p>
    <w:p w14:paraId="7E62CA81" w14:textId="77777777" w:rsidR="00A720EB" w:rsidRDefault="00A720EB">
      <w:pPr>
        <w:pStyle w:val="a3"/>
        <w:spacing w:before="8"/>
        <w:rPr>
          <w:sz w:val="23"/>
        </w:rPr>
      </w:pPr>
    </w:p>
    <w:p w14:paraId="2EFFADB3" w14:textId="77777777" w:rsidR="00A720EB" w:rsidRDefault="0030286B">
      <w:pPr>
        <w:pStyle w:val="3"/>
        <w:numPr>
          <w:ilvl w:val="2"/>
          <w:numId w:val="68"/>
        </w:numPr>
        <w:tabs>
          <w:tab w:val="left" w:pos="858"/>
        </w:tabs>
        <w:spacing w:before="105"/>
        <w:ind w:hanging="734"/>
      </w:pPr>
      <w:bookmarkStart w:id="216" w:name="4.4.1._Log_Format"/>
      <w:bookmarkStart w:id="217" w:name="_Toc54423736"/>
      <w:bookmarkEnd w:id="216"/>
      <w:r>
        <w:rPr>
          <w:color w:val="333333"/>
          <w:w w:val="115"/>
        </w:rPr>
        <w:t>Log</w:t>
      </w:r>
      <w:r>
        <w:rPr>
          <w:color w:val="333333"/>
          <w:spacing w:val="-9"/>
          <w:w w:val="115"/>
        </w:rPr>
        <w:t xml:space="preserve"> </w:t>
      </w:r>
      <w:r>
        <w:rPr>
          <w:color w:val="333333"/>
          <w:spacing w:val="-3"/>
          <w:w w:val="115"/>
        </w:rPr>
        <w:t>Format</w:t>
      </w:r>
      <w:bookmarkEnd w:id="217"/>
    </w:p>
    <w:p w14:paraId="21B7892A" w14:textId="77777777" w:rsidR="00A720EB" w:rsidRDefault="0030286B">
      <w:pPr>
        <w:pStyle w:val="a3"/>
        <w:spacing w:before="254"/>
        <w:ind w:left="124"/>
      </w:pPr>
      <w:r>
        <w:rPr>
          <w:color w:val="333333"/>
          <w:w w:val="110"/>
        </w:rPr>
        <w:t>The default log output from Spring Boot resembles the following example:</w:t>
      </w:r>
    </w:p>
    <w:p w14:paraId="1915E1A2" w14:textId="77777777" w:rsidR="00A720EB" w:rsidRDefault="00E10349">
      <w:pPr>
        <w:pStyle w:val="a3"/>
        <w:rPr>
          <w:sz w:val="19"/>
        </w:rPr>
      </w:pPr>
      <w:r>
        <w:pict w14:anchorId="054D8284">
          <v:group id="_x0000_s4455" style="position:absolute;margin-left:47.85pt;margin-top:13.15pt;width:499.55pt;height:229.15pt;z-index:-15572992;mso-wrap-distance-left:0;mso-wrap-distance-right:0;mso-position-horizontal-relative:page" coordorigin="957,263" coordsize="9991,4583">
            <v:shape id="_x0000_s4460" style="position:absolute;left:964;top:270;width:9976;height:4568" coordorigin="965,270" coordsize="9976,4568" path="m10861,270r-9816,l1014,277r-26,17l971,319r-6,31l965,4757r6,32l988,4814r26,17l1045,4837r9816,l10892,4831r25,-17l10935,4789r6,-32l10941,350r-6,-31l10917,294r-25,-17l10861,270xe" fillcolor="#f5f5f5" stroked="f">
              <v:path arrowok="t"/>
            </v:shape>
            <v:shape id="_x0000_s4459" style="position:absolute;left:964;top:270;width:9976;height:4568" coordorigin="965,270" coordsize="9976,4568" path="m1045,270r9816,l10892,277r25,17l10935,319r6,31l10941,4757r-6,32l10917,4814r-25,17l10861,4837r-9816,l1014,4831r-26,-17l971,4789r-6,-32l965,350r6,-31l988,294r26,-17l1045,270xe" filled="f" strokecolor="#ccc">
              <v:path arrowok="t"/>
            </v:shape>
            <v:shape id="_x0000_s4458" type="#_x0000_t202" style="position:absolute;left:1184;top:490;width:4530;height:307" filled="f" stroked="f">
              <v:textbox inset="0,0,0,0">
                <w:txbxContent>
                  <w:p w14:paraId="2EA97A9B" w14:textId="77777777" w:rsidR="00711A16" w:rsidRDefault="00711A16">
                    <w:pPr>
                      <w:tabs>
                        <w:tab w:val="left" w:pos="2749"/>
                      </w:tabs>
                      <w:spacing w:before="16"/>
                      <w:rPr>
                        <w:rFonts w:ascii="MS Gothic"/>
                      </w:rPr>
                    </w:pPr>
                    <w:r>
                      <w:rPr>
                        <w:rFonts w:ascii="MS Gothic"/>
                        <w:color w:val="333333"/>
                      </w:rPr>
                      <w:t>2019-03-05 10:57:51.112</w:t>
                    </w:r>
                    <w:r>
                      <w:rPr>
                        <w:rFonts w:ascii="MS Gothic"/>
                        <w:color w:val="333333"/>
                      </w:rPr>
                      <w:tab/>
                      <w:t>INFO 45469 --- [</w:t>
                    </w:r>
                  </w:p>
                </w:txbxContent>
              </v:textbox>
            </v:shape>
            <v:shape id="_x0000_s4457" type="#_x0000_t202" style="position:absolute;left:6904;top:490;width:570;height:307" filled="f" stroked="f">
              <v:textbox inset="0,0,0,0">
                <w:txbxContent>
                  <w:p w14:paraId="18C482F0" w14:textId="77777777" w:rsidR="00711A16" w:rsidRDefault="00711A16">
                    <w:pPr>
                      <w:spacing w:before="16"/>
                      <w:rPr>
                        <w:rFonts w:ascii="MS Gothic"/>
                      </w:rPr>
                    </w:pPr>
                    <w:r>
                      <w:rPr>
                        <w:rFonts w:ascii="MS Gothic"/>
                        <w:color w:val="333333"/>
                      </w:rPr>
                      <w:t>main]</w:t>
                    </w:r>
                  </w:p>
                </w:txbxContent>
              </v:textbox>
            </v:shape>
            <v:shape id="_x0000_s4456" type="#_x0000_t202" style="position:absolute;left:1184;top:785;width:9480;height:3845" filled="f" stroked="f">
              <v:textbox inset="0,0,0,0">
                <w:txbxContent>
                  <w:p w14:paraId="3C259EF8" w14:textId="77777777" w:rsidR="00711A16" w:rsidRDefault="00711A16">
                    <w:pPr>
                      <w:tabs>
                        <w:tab w:val="left" w:pos="4509"/>
                      </w:tabs>
                      <w:spacing w:before="16" w:line="252" w:lineRule="auto"/>
                      <w:ind w:right="1338"/>
                      <w:rPr>
                        <w:rFonts w:ascii="MS Gothic"/>
                      </w:rPr>
                    </w:pPr>
                    <w:proofErr w:type="gramStart"/>
                    <w:r>
                      <w:rPr>
                        <w:rFonts w:ascii="MS Gothic"/>
                        <w:color w:val="333333"/>
                      </w:rPr>
                      <w:t>org.apache</w:t>
                    </w:r>
                    <w:proofErr w:type="gramEnd"/>
                    <w:r>
                      <w:rPr>
                        <w:rFonts w:ascii="MS Gothic"/>
                        <w:color w:val="333333"/>
                      </w:rPr>
                      <w:t>.catalina.core.StandardEngine</w:t>
                    </w:r>
                    <w:r>
                      <w:rPr>
                        <w:rFonts w:ascii="MS Gothic"/>
                        <w:color w:val="333333"/>
                      </w:rPr>
                      <w:tab/>
                      <w:t xml:space="preserve">: Starting Servlet Engine: </w:t>
                    </w:r>
                    <w:r>
                      <w:rPr>
                        <w:rFonts w:ascii="MS Gothic"/>
                        <w:color w:val="333333"/>
                        <w:spacing w:val="-3"/>
                      </w:rPr>
                      <w:t xml:space="preserve">Apache </w:t>
                    </w:r>
                    <w:r>
                      <w:rPr>
                        <w:rFonts w:ascii="MS Gothic"/>
                        <w:color w:val="333333"/>
                      </w:rPr>
                      <w:t>Tomcat/7.0.52</w:t>
                    </w:r>
                  </w:p>
                  <w:p w14:paraId="0A506AE9" w14:textId="77777777" w:rsidR="00711A16" w:rsidRDefault="00711A16">
                    <w:pPr>
                      <w:tabs>
                        <w:tab w:val="left" w:pos="2749"/>
                      </w:tabs>
                      <w:spacing w:line="280" w:lineRule="exact"/>
                      <w:rPr>
                        <w:rFonts w:ascii="MS Gothic"/>
                      </w:rPr>
                    </w:pPr>
                    <w:r>
                      <w:rPr>
                        <w:rFonts w:ascii="MS Gothic"/>
                        <w:color w:val="333333"/>
                      </w:rPr>
                      <w:t>2019-03-05 10:57:51.253</w:t>
                    </w:r>
                    <w:r>
                      <w:rPr>
                        <w:rFonts w:ascii="MS Gothic"/>
                        <w:color w:val="333333"/>
                      </w:rPr>
                      <w:tab/>
                      <w:t>INFO 45469 --- [ost-startStop-1]</w:t>
                    </w:r>
                  </w:p>
                  <w:p w14:paraId="4A2225D1" w14:textId="77777777" w:rsidR="00711A16" w:rsidRDefault="00711A16">
                    <w:pPr>
                      <w:tabs>
                        <w:tab w:val="left" w:pos="4509"/>
                      </w:tabs>
                      <w:spacing w:before="13" w:line="252" w:lineRule="auto"/>
                      <w:ind w:right="1669"/>
                      <w:rPr>
                        <w:rFonts w:ascii="MS Gothic"/>
                      </w:rPr>
                    </w:pPr>
                    <w:proofErr w:type="gramStart"/>
                    <w:r>
                      <w:rPr>
                        <w:rFonts w:ascii="MS Gothic"/>
                        <w:color w:val="333333"/>
                      </w:rPr>
                      <w:t>o.a.c.c.C.[</w:t>
                    </w:r>
                    <w:proofErr w:type="gramEnd"/>
                    <w:r>
                      <w:rPr>
                        <w:rFonts w:ascii="MS Gothic"/>
                        <w:color w:val="333333"/>
                      </w:rPr>
                      <w:t>Tomcat].[localhost].[/]</w:t>
                    </w:r>
                    <w:r>
                      <w:rPr>
                        <w:rFonts w:ascii="MS Gothic"/>
                        <w:color w:val="333333"/>
                      </w:rPr>
                      <w:tab/>
                      <w:t xml:space="preserve">: Initializing Spring </w:t>
                    </w:r>
                    <w:r>
                      <w:rPr>
                        <w:rFonts w:ascii="MS Gothic"/>
                        <w:color w:val="333333"/>
                        <w:spacing w:val="-3"/>
                      </w:rPr>
                      <w:t xml:space="preserve">embedded </w:t>
                    </w:r>
                    <w:r>
                      <w:rPr>
                        <w:rFonts w:ascii="MS Gothic"/>
                        <w:color w:val="333333"/>
                      </w:rPr>
                      <w:t>WebApplicationContext</w:t>
                    </w:r>
                  </w:p>
                  <w:p w14:paraId="1B118D1B" w14:textId="77777777" w:rsidR="00711A16" w:rsidRDefault="00711A16">
                    <w:pPr>
                      <w:tabs>
                        <w:tab w:val="left" w:pos="2749"/>
                      </w:tabs>
                      <w:spacing w:line="280" w:lineRule="exact"/>
                      <w:rPr>
                        <w:rFonts w:ascii="MS Gothic"/>
                      </w:rPr>
                    </w:pPr>
                    <w:r>
                      <w:rPr>
                        <w:rFonts w:ascii="MS Gothic"/>
                        <w:color w:val="333333"/>
                      </w:rPr>
                      <w:t>2019-03-05 10:57:51.253</w:t>
                    </w:r>
                    <w:r>
                      <w:rPr>
                        <w:rFonts w:ascii="MS Gothic"/>
                        <w:color w:val="333333"/>
                      </w:rPr>
                      <w:tab/>
                      <w:t>INFO 45469 --- [ost-startStop-1]</w:t>
                    </w:r>
                  </w:p>
                  <w:p w14:paraId="0B5F17E8" w14:textId="77777777" w:rsidR="00711A16" w:rsidRDefault="00711A16">
                    <w:pPr>
                      <w:tabs>
                        <w:tab w:val="left" w:pos="4509"/>
                      </w:tabs>
                      <w:spacing w:before="13" w:line="252" w:lineRule="auto"/>
                      <w:ind w:right="129"/>
                      <w:rPr>
                        <w:rFonts w:ascii="MS Gothic"/>
                      </w:rPr>
                    </w:pPr>
                    <w:proofErr w:type="gramStart"/>
                    <w:r>
                      <w:rPr>
                        <w:rFonts w:ascii="MS Gothic"/>
                        <w:color w:val="333333"/>
                      </w:rPr>
                      <w:t>o.s.web.context</w:t>
                    </w:r>
                    <w:proofErr w:type="gramEnd"/>
                    <w:r>
                      <w:rPr>
                        <w:rFonts w:ascii="MS Gothic"/>
                        <w:color w:val="333333"/>
                      </w:rPr>
                      <w:t>.ContextLoader</w:t>
                    </w:r>
                    <w:r>
                      <w:rPr>
                        <w:rFonts w:ascii="MS Gothic"/>
                        <w:color w:val="333333"/>
                      </w:rPr>
                      <w:tab/>
                      <w:t>: Root WebApplicationContext: initialization completed in 1358 ms</w:t>
                    </w:r>
                  </w:p>
                  <w:p w14:paraId="5A24E39D" w14:textId="77777777" w:rsidR="00711A16" w:rsidRDefault="00711A16">
                    <w:pPr>
                      <w:tabs>
                        <w:tab w:val="left" w:pos="2749"/>
                      </w:tabs>
                      <w:spacing w:line="280" w:lineRule="exact"/>
                      <w:rPr>
                        <w:rFonts w:ascii="MS Gothic"/>
                      </w:rPr>
                    </w:pPr>
                    <w:r>
                      <w:rPr>
                        <w:rFonts w:ascii="MS Gothic"/>
                        <w:color w:val="333333"/>
                      </w:rPr>
                      <w:t>2019-03-05 10:57:51.698</w:t>
                    </w:r>
                    <w:r>
                      <w:rPr>
                        <w:rFonts w:ascii="MS Gothic"/>
                        <w:color w:val="333333"/>
                      </w:rPr>
                      <w:tab/>
                      <w:t>INFO 45469 --- [ost-startStop-1]</w:t>
                    </w:r>
                  </w:p>
                  <w:p w14:paraId="543CF10D" w14:textId="77777777" w:rsidR="00711A16" w:rsidRDefault="00711A16">
                    <w:pPr>
                      <w:tabs>
                        <w:tab w:val="left" w:pos="2749"/>
                        <w:tab w:val="left" w:pos="4509"/>
                      </w:tabs>
                      <w:spacing w:before="13" w:line="252" w:lineRule="auto"/>
                      <w:ind w:right="18"/>
                      <w:rPr>
                        <w:rFonts w:ascii="MS Gothic"/>
                      </w:rPr>
                    </w:pPr>
                    <w:r>
                      <w:rPr>
                        <w:rFonts w:ascii="MS Gothic"/>
                        <w:color w:val="333333"/>
                      </w:rPr>
                      <w:t>o.s.b.c.</w:t>
                    </w:r>
                    <w:proofErr w:type="gramStart"/>
                    <w:r>
                      <w:rPr>
                        <w:rFonts w:ascii="MS Gothic"/>
                        <w:color w:val="333333"/>
                      </w:rPr>
                      <w:t>e.ServletRegistrationBean</w:t>
                    </w:r>
                    <w:proofErr w:type="gramEnd"/>
                    <w:r>
                      <w:rPr>
                        <w:rFonts w:ascii="MS Gothic"/>
                        <w:color w:val="333333"/>
                      </w:rPr>
                      <w:tab/>
                      <w:t xml:space="preserve">: Mapping servlet: 'dispatcherServlet' to </w:t>
                    </w:r>
                    <w:r>
                      <w:rPr>
                        <w:rFonts w:ascii="MS Gothic"/>
                        <w:color w:val="333333"/>
                        <w:spacing w:val="-6"/>
                      </w:rPr>
                      <w:t xml:space="preserve">[/] </w:t>
                    </w:r>
                    <w:r>
                      <w:rPr>
                        <w:rFonts w:ascii="MS Gothic"/>
                        <w:color w:val="333333"/>
                      </w:rPr>
                      <w:t>2019-03-05 10:57:51.702</w:t>
                    </w:r>
                    <w:r>
                      <w:rPr>
                        <w:rFonts w:ascii="MS Gothic"/>
                        <w:color w:val="333333"/>
                      </w:rPr>
                      <w:tab/>
                      <w:t>INFO 45469 --- [ost-startStop-1]</w:t>
                    </w:r>
                  </w:p>
                  <w:p w14:paraId="40F85298" w14:textId="77777777" w:rsidR="00711A16" w:rsidRDefault="00711A16">
                    <w:pPr>
                      <w:tabs>
                        <w:tab w:val="left" w:pos="4509"/>
                      </w:tabs>
                      <w:spacing w:line="252" w:lineRule="auto"/>
                      <w:ind w:right="349"/>
                      <w:rPr>
                        <w:rFonts w:ascii="MS Gothic"/>
                      </w:rPr>
                    </w:pPr>
                    <w:r>
                      <w:rPr>
                        <w:rFonts w:ascii="MS Gothic"/>
                        <w:color w:val="333333"/>
                      </w:rPr>
                      <w:t>o.s.b.</w:t>
                    </w:r>
                    <w:proofErr w:type="gramStart"/>
                    <w:r>
                      <w:rPr>
                        <w:rFonts w:ascii="MS Gothic"/>
                        <w:color w:val="333333"/>
                      </w:rPr>
                      <w:t>c.embedded</w:t>
                    </w:r>
                    <w:proofErr w:type="gramEnd"/>
                    <w:r>
                      <w:rPr>
                        <w:rFonts w:ascii="MS Gothic"/>
                        <w:color w:val="333333"/>
                      </w:rPr>
                      <w:t>.FilterRegistrationBean</w:t>
                    </w:r>
                    <w:r>
                      <w:rPr>
                        <w:rFonts w:ascii="MS Gothic"/>
                        <w:color w:val="333333"/>
                      </w:rPr>
                      <w:tab/>
                      <w:t>: Mapping filter: 'hiddenHttpMethodFilter' to: [/*]</w:t>
                    </w:r>
                  </w:p>
                </w:txbxContent>
              </v:textbox>
            </v:shape>
            <w10:wrap type="topAndBottom" anchorx="page"/>
          </v:group>
        </w:pict>
      </w:r>
    </w:p>
    <w:p w14:paraId="777DC15D" w14:textId="77777777" w:rsidR="00A720EB" w:rsidRDefault="00A720EB">
      <w:pPr>
        <w:pStyle w:val="a3"/>
        <w:rPr>
          <w:sz w:val="10"/>
        </w:rPr>
      </w:pPr>
    </w:p>
    <w:p w14:paraId="2E7011DC" w14:textId="77777777" w:rsidR="00A720EB" w:rsidRDefault="0030286B">
      <w:pPr>
        <w:pStyle w:val="a3"/>
        <w:spacing w:before="125"/>
        <w:ind w:left="124"/>
      </w:pPr>
      <w:r>
        <w:rPr>
          <w:color w:val="333333"/>
          <w:w w:val="110"/>
        </w:rPr>
        <w:t>The following items are output:</w:t>
      </w:r>
    </w:p>
    <w:p w14:paraId="1C69EF2E" w14:textId="77777777" w:rsidR="00A720EB" w:rsidRDefault="00A720EB">
      <w:pPr>
        <w:pStyle w:val="a3"/>
        <w:spacing w:before="5"/>
        <w:rPr>
          <w:sz w:val="26"/>
        </w:rPr>
      </w:pPr>
    </w:p>
    <w:p w14:paraId="27096B6A" w14:textId="77777777" w:rsidR="00A720EB" w:rsidRDefault="0030286B">
      <w:pPr>
        <w:pStyle w:val="a6"/>
        <w:numPr>
          <w:ilvl w:val="0"/>
          <w:numId w:val="55"/>
        </w:numPr>
        <w:tabs>
          <w:tab w:val="left" w:pos="485"/>
        </w:tabs>
        <w:rPr>
          <w:sz w:val="21"/>
        </w:rPr>
      </w:pPr>
      <w:r>
        <w:rPr>
          <w:color w:val="333333"/>
          <w:w w:val="110"/>
          <w:sz w:val="21"/>
        </w:rPr>
        <w:t>Date and Time: Millisecond precision and easily</w:t>
      </w:r>
      <w:r>
        <w:rPr>
          <w:color w:val="333333"/>
          <w:spacing w:val="21"/>
          <w:w w:val="110"/>
          <w:sz w:val="21"/>
        </w:rPr>
        <w:t xml:space="preserve"> </w:t>
      </w:r>
      <w:r>
        <w:rPr>
          <w:color w:val="333333"/>
          <w:w w:val="110"/>
          <w:sz w:val="21"/>
        </w:rPr>
        <w:t>sortable.</w:t>
      </w:r>
    </w:p>
    <w:p w14:paraId="2F6A81B9" w14:textId="77777777" w:rsidR="00A720EB" w:rsidRDefault="0030286B">
      <w:pPr>
        <w:pStyle w:val="a6"/>
        <w:numPr>
          <w:ilvl w:val="0"/>
          <w:numId w:val="55"/>
        </w:numPr>
        <w:tabs>
          <w:tab w:val="left" w:pos="485"/>
        </w:tabs>
        <w:spacing w:before="179"/>
        <w:rPr>
          <w:sz w:val="21"/>
        </w:rPr>
      </w:pPr>
      <w:r>
        <w:rPr>
          <w:color w:val="333333"/>
          <w:w w:val="105"/>
          <w:sz w:val="21"/>
        </w:rPr>
        <w:t xml:space="preserve">Log Level: </w:t>
      </w:r>
      <w:r>
        <w:rPr>
          <w:rFonts w:ascii="MS Gothic" w:hAnsi="MS Gothic"/>
          <w:color w:val="B02045"/>
          <w:w w:val="105"/>
          <w:sz w:val="21"/>
        </w:rPr>
        <w:t>ERROR</w:t>
      </w:r>
      <w:r>
        <w:rPr>
          <w:color w:val="333333"/>
          <w:w w:val="105"/>
          <w:sz w:val="21"/>
        </w:rPr>
        <w:t xml:space="preserve">, </w:t>
      </w:r>
      <w:r>
        <w:rPr>
          <w:rFonts w:ascii="MS Gothic" w:hAnsi="MS Gothic"/>
          <w:color w:val="B02045"/>
          <w:w w:val="105"/>
          <w:sz w:val="21"/>
        </w:rPr>
        <w:t>WARN</w:t>
      </w:r>
      <w:r>
        <w:rPr>
          <w:color w:val="333333"/>
          <w:w w:val="105"/>
          <w:sz w:val="21"/>
        </w:rPr>
        <w:t xml:space="preserve">, </w:t>
      </w:r>
      <w:r>
        <w:rPr>
          <w:rFonts w:ascii="MS Gothic" w:hAnsi="MS Gothic"/>
          <w:color w:val="B02045"/>
          <w:w w:val="105"/>
          <w:sz w:val="21"/>
        </w:rPr>
        <w:t>INFO</w:t>
      </w:r>
      <w:r>
        <w:rPr>
          <w:color w:val="333333"/>
          <w:w w:val="105"/>
          <w:sz w:val="21"/>
        </w:rPr>
        <w:t xml:space="preserve">, </w:t>
      </w:r>
      <w:r>
        <w:rPr>
          <w:rFonts w:ascii="MS Gothic" w:hAnsi="MS Gothic"/>
          <w:color w:val="B02045"/>
          <w:w w:val="105"/>
          <w:sz w:val="21"/>
        </w:rPr>
        <w:t>DEBUG</w:t>
      </w:r>
      <w:r>
        <w:rPr>
          <w:color w:val="333333"/>
          <w:w w:val="105"/>
          <w:sz w:val="21"/>
        </w:rPr>
        <w:t>, or</w:t>
      </w:r>
      <w:r>
        <w:rPr>
          <w:color w:val="333333"/>
          <w:spacing w:val="38"/>
          <w:w w:val="105"/>
          <w:sz w:val="21"/>
        </w:rPr>
        <w:t xml:space="preserve"> </w:t>
      </w:r>
      <w:r>
        <w:rPr>
          <w:rFonts w:ascii="MS Gothic" w:hAnsi="MS Gothic"/>
          <w:color w:val="B02045"/>
          <w:w w:val="105"/>
          <w:sz w:val="21"/>
        </w:rPr>
        <w:t>TRACE</w:t>
      </w:r>
      <w:r>
        <w:rPr>
          <w:color w:val="333333"/>
          <w:w w:val="105"/>
          <w:sz w:val="21"/>
        </w:rPr>
        <w:t>.</w:t>
      </w:r>
    </w:p>
    <w:p w14:paraId="23FF633C" w14:textId="77777777" w:rsidR="00A720EB" w:rsidRDefault="0030286B">
      <w:pPr>
        <w:pStyle w:val="a6"/>
        <w:numPr>
          <w:ilvl w:val="0"/>
          <w:numId w:val="55"/>
        </w:numPr>
        <w:tabs>
          <w:tab w:val="left" w:pos="485"/>
        </w:tabs>
        <w:spacing w:before="177"/>
        <w:rPr>
          <w:sz w:val="21"/>
        </w:rPr>
      </w:pPr>
      <w:r>
        <w:rPr>
          <w:color w:val="333333"/>
          <w:w w:val="110"/>
          <w:sz w:val="21"/>
        </w:rPr>
        <w:t>Process</w:t>
      </w:r>
      <w:r>
        <w:rPr>
          <w:color w:val="333333"/>
          <w:spacing w:val="3"/>
          <w:w w:val="110"/>
          <w:sz w:val="21"/>
        </w:rPr>
        <w:t xml:space="preserve"> </w:t>
      </w:r>
      <w:r>
        <w:rPr>
          <w:color w:val="333333"/>
          <w:w w:val="110"/>
          <w:sz w:val="21"/>
        </w:rPr>
        <w:t>ID.</w:t>
      </w:r>
    </w:p>
    <w:p w14:paraId="178EC426" w14:textId="77777777" w:rsidR="00A720EB" w:rsidRDefault="0030286B">
      <w:pPr>
        <w:pStyle w:val="a6"/>
        <w:numPr>
          <w:ilvl w:val="0"/>
          <w:numId w:val="55"/>
        </w:numPr>
        <w:tabs>
          <w:tab w:val="left" w:pos="485"/>
        </w:tabs>
        <w:spacing w:before="179"/>
        <w:rPr>
          <w:sz w:val="21"/>
        </w:rPr>
      </w:pPr>
      <w:r>
        <w:rPr>
          <w:color w:val="333333"/>
          <w:w w:val="110"/>
          <w:sz w:val="21"/>
        </w:rPr>
        <w:t xml:space="preserve">A </w:t>
      </w:r>
      <w:r>
        <w:rPr>
          <w:rFonts w:ascii="MS Gothic" w:hAnsi="MS Gothic"/>
          <w:color w:val="B02045"/>
          <w:w w:val="110"/>
          <w:sz w:val="21"/>
        </w:rPr>
        <w:t>---</w:t>
      </w:r>
      <w:r>
        <w:rPr>
          <w:rFonts w:ascii="MS Gothic" w:hAnsi="MS Gothic"/>
          <w:color w:val="B02045"/>
          <w:spacing w:val="-39"/>
          <w:w w:val="110"/>
          <w:sz w:val="21"/>
        </w:rPr>
        <w:t xml:space="preserve"> </w:t>
      </w:r>
      <w:r>
        <w:rPr>
          <w:color w:val="333333"/>
          <w:w w:val="110"/>
          <w:sz w:val="21"/>
        </w:rPr>
        <w:t>separator to distinguish the start of actual log messages.</w:t>
      </w:r>
    </w:p>
    <w:p w14:paraId="5B07A6FE" w14:textId="77777777" w:rsidR="00A720EB" w:rsidRDefault="0030286B">
      <w:pPr>
        <w:pStyle w:val="a6"/>
        <w:numPr>
          <w:ilvl w:val="0"/>
          <w:numId w:val="55"/>
        </w:numPr>
        <w:tabs>
          <w:tab w:val="left" w:pos="485"/>
        </w:tabs>
        <w:spacing w:before="177"/>
        <w:rPr>
          <w:sz w:val="21"/>
        </w:rPr>
      </w:pPr>
      <w:r>
        <w:rPr>
          <w:color w:val="333333"/>
          <w:w w:val="110"/>
          <w:sz w:val="21"/>
        </w:rPr>
        <w:t>Thread name: Enclosed in square brackets (may be truncated for console</w:t>
      </w:r>
      <w:r>
        <w:rPr>
          <w:color w:val="333333"/>
          <w:spacing w:val="35"/>
          <w:w w:val="110"/>
          <w:sz w:val="21"/>
        </w:rPr>
        <w:t xml:space="preserve"> </w:t>
      </w:r>
      <w:r>
        <w:rPr>
          <w:color w:val="333333"/>
          <w:w w:val="110"/>
          <w:sz w:val="21"/>
        </w:rPr>
        <w:t>output).</w:t>
      </w:r>
    </w:p>
    <w:p w14:paraId="4F9E3929" w14:textId="77777777" w:rsidR="00A720EB" w:rsidRDefault="0030286B">
      <w:pPr>
        <w:pStyle w:val="a6"/>
        <w:numPr>
          <w:ilvl w:val="0"/>
          <w:numId w:val="55"/>
        </w:numPr>
        <w:tabs>
          <w:tab w:val="left" w:pos="485"/>
        </w:tabs>
        <w:spacing w:before="189"/>
        <w:rPr>
          <w:sz w:val="21"/>
        </w:rPr>
      </w:pPr>
      <w:r>
        <w:rPr>
          <w:color w:val="333333"/>
          <w:w w:val="110"/>
          <w:sz w:val="21"/>
        </w:rPr>
        <w:t>Logger name: This is usually the source class name (often</w:t>
      </w:r>
      <w:r>
        <w:rPr>
          <w:color w:val="333333"/>
          <w:spacing w:val="34"/>
          <w:w w:val="110"/>
          <w:sz w:val="21"/>
        </w:rPr>
        <w:t xml:space="preserve"> </w:t>
      </w:r>
      <w:r>
        <w:rPr>
          <w:color w:val="333333"/>
          <w:w w:val="110"/>
          <w:sz w:val="21"/>
        </w:rPr>
        <w:t>abbreviated).</w:t>
      </w:r>
    </w:p>
    <w:p w14:paraId="0403C067" w14:textId="77777777" w:rsidR="00A720EB" w:rsidRDefault="0030286B">
      <w:pPr>
        <w:pStyle w:val="a6"/>
        <w:numPr>
          <w:ilvl w:val="0"/>
          <w:numId w:val="55"/>
        </w:numPr>
        <w:tabs>
          <w:tab w:val="left" w:pos="485"/>
        </w:tabs>
        <w:spacing w:before="189"/>
        <w:rPr>
          <w:sz w:val="21"/>
        </w:rPr>
      </w:pPr>
      <w:r>
        <w:rPr>
          <w:color w:val="333333"/>
          <w:w w:val="110"/>
          <w:sz w:val="21"/>
        </w:rPr>
        <w:t>The log</w:t>
      </w:r>
      <w:r>
        <w:rPr>
          <w:color w:val="333333"/>
          <w:spacing w:val="5"/>
          <w:w w:val="110"/>
          <w:sz w:val="21"/>
        </w:rPr>
        <w:t xml:space="preserve"> </w:t>
      </w:r>
      <w:proofErr w:type="gramStart"/>
      <w:r>
        <w:rPr>
          <w:color w:val="333333"/>
          <w:w w:val="110"/>
          <w:sz w:val="21"/>
        </w:rPr>
        <w:t>message</w:t>
      </w:r>
      <w:proofErr w:type="gramEnd"/>
      <w:r>
        <w:rPr>
          <w:color w:val="333333"/>
          <w:w w:val="110"/>
          <w:sz w:val="21"/>
        </w:rPr>
        <w:t>.</w:t>
      </w:r>
    </w:p>
    <w:p w14:paraId="1EF8CF1D" w14:textId="77777777" w:rsidR="00A720EB" w:rsidRDefault="00A720EB">
      <w:pPr>
        <w:pStyle w:val="a3"/>
        <w:spacing w:before="6"/>
        <w:rPr>
          <w:sz w:val="23"/>
        </w:rPr>
      </w:pPr>
    </w:p>
    <w:p w14:paraId="4A2E5F01" w14:textId="77777777" w:rsidR="00A720EB" w:rsidRDefault="00E10349">
      <w:pPr>
        <w:pStyle w:val="a3"/>
        <w:spacing w:before="1"/>
        <w:ind w:left="491"/>
      </w:pPr>
      <w:r>
        <w:pict w14:anchorId="0994B4AF">
          <v:line id="_x0000_s4454" style="position:absolute;left:0;text-align:left;z-index:-41647616;mso-position-horizontal-relative:page" from="108.25pt,-.25pt" to="108.25pt,23.5pt" strokecolor="#ededed" strokeweight=".5pt">
            <w10:wrap anchorx="page"/>
          </v:line>
        </w:pict>
      </w:r>
      <w:r w:rsidR="0030286B">
        <w:rPr>
          <w:noProof/>
          <w:position w:val="-14"/>
        </w:rPr>
        <w:drawing>
          <wp:inline distT="0" distB="0" distL="0" distR="0" wp14:anchorId="28E44FEE" wp14:editId="59DB1355">
            <wp:extent cx="295275" cy="295275"/>
            <wp:effectExtent l="0" t="0" r="0" b="0"/>
            <wp:docPr id="20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6.png"/>
                    <pic:cNvPicPr/>
                  </pic:nvPicPr>
                  <pic:blipFill>
                    <a:blip r:embed="rId100" cstate="print"/>
                    <a:stretch>
                      <a:fillRect/>
                    </a:stretch>
                  </pic:blipFill>
                  <pic:spPr>
                    <a:xfrm>
                      <a:off x="0" y="0"/>
                      <a:ext cx="295275" cy="295275"/>
                    </a:xfrm>
                    <a:prstGeom prst="rect">
                      <a:avLst/>
                    </a:prstGeom>
                  </pic:spPr>
                </pic:pic>
              </a:graphicData>
            </a:graphic>
          </wp:inline>
        </w:drawing>
      </w:r>
      <w:r w:rsidR="0030286B">
        <w:rPr>
          <w:rFonts w:ascii="Times New Roman"/>
          <w:sz w:val="20"/>
        </w:rPr>
        <w:t xml:space="preserve">           </w:t>
      </w:r>
      <w:r w:rsidR="0030286B">
        <w:rPr>
          <w:rFonts w:ascii="Times New Roman"/>
          <w:spacing w:val="7"/>
          <w:sz w:val="20"/>
        </w:rPr>
        <w:t xml:space="preserve"> </w:t>
      </w:r>
      <w:r w:rsidR="0030286B">
        <w:rPr>
          <w:color w:val="333333"/>
          <w:w w:val="110"/>
        </w:rPr>
        <w:t xml:space="preserve">Logback does not have a </w:t>
      </w:r>
      <w:r w:rsidR="0030286B">
        <w:rPr>
          <w:rFonts w:ascii="MS Gothic"/>
          <w:color w:val="B02045"/>
          <w:w w:val="110"/>
        </w:rPr>
        <w:t>FATAL</w:t>
      </w:r>
      <w:r w:rsidR="0030286B">
        <w:rPr>
          <w:rFonts w:ascii="MS Gothic"/>
          <w:color w:val="B02045"/>
          <w:spacing w:val="-43"/>
          <w:w w:val="110"/>
        </w:rPr>
        <w:t xml:space="preserve"> </w:t>
      </w:r>
      <w:r w:rsidR="0030286B">
        <w:rPr>
          <w:color w:val="333333"/>
          <w:w w:val="110"/>
        </w:rPr>
        <w:t xml:space="preserve">level. It is mapped to </w:t>
      </w:r>
      <w:r w:rsidR="0030286B">
        <w:rPr>
          <w:rFonts w:ascii="MS Gothic"/>
          <w:color w:val="B02045"/>
          <w:w w:val="110"/>
        </w:rPr>
        <w:t>ERROR</w:t>
      </w:r>
      <w:r w:rsidR="0030286B">
        <w:rPr>
          <w:color w:val="333333"/>
          <w:w w:val="110"/>
        </w:rPr>
        <w:t>.</w:t>
      </w:r>
    </w:p>
    <w:p w14:paraId="6FFF9089" w14:textId="77777777" w:rsidR="00A720EB" w:rsidRDefault="00A720EB">
      <w:pPr>
        <w:sectPr w:rsidR="00A720EB">
          <w:pgSz w:w="11910" w:h="16840"/>
          <w:pgMar w:top="620" w:right="840" w:bottom="520" w:left="840" w:header="0" w:footer="323" w:gutter="0"/>
          <w:cols w:space="720"/>
        </w:sectPr>
      </w:pPr>
    </w:p>
    <w:p w14:paraId="3A58DC8B" w14:textId="77777777" w:rsidR="00A720EB" w:rsidRDefault="0030286B">
      <w:pPr>
        <w:pStyle w:val="3"/>
        <w:numPr>
          <w:ilvl w:val="2"/>
          <w:numId w:val="68"/>
        </w:numPr>
        <w:tabs>
          <w:tab w:val="left" w:pos="858"/>
        </w:tabs>
        <w:spacing w:before="87"/>
        <w:ind w:hanging="734"/>
      </w:pPr>
      <w:bookmarkStart w:id="218" w:name="4.4.2._Console_Output"/>
      <w:bookmarkStart w:id="219" w:name="_Toc54423737"/>
      <w:bookmarkEnd w:id="218"/>
      <w:r>
        <w:rPr>
          <w:color w:val="333333"/>
          <w:w w:val="105"/>
        </w:rPr>
        <w:lastRenderedPageBreak/>
        <w:t>Console</w:t>
      </w:r>
      <w:r>
        <w:rPr>
          <w:color w:val="333333"/>
          <w:spacing w:val="-3"/>
          <w:w w:val="105"/>
        </w:rPr>
        <w:t xml:space="preserve"> </w:t>
      </w:r>
      <w:r>
        <w:rPr>
          <w:color w:val="333333"/>
          <w:w w:val="105"/>
        </w:rPr>
        <w:t>Output</w:t>
      </w:r>
      <w:bookmarkEnd w:id="219"/>
    </w:p>
    <w:p w14:paraId="7E11953D" w14:textId="77777777" w:rsidR="00A720EB" w:rsidRDefault="0030286B">
      <w:pPr>
        <w:pStyle w:val="a3"/>
        <w:spacing w:before="243"/>
        <w:ind w:left="124"/>
        <w:rPr>
          <w:rFonts w:ascii="MS Gothic"/>
        </w:rPr>
      </w:pPr>
      <w:r>
        <w:rPr>
          <w:color w:val="333333"/>
          <w:w w:val="110"/>
        </w:rPr>
        <w:t xml:space="preserve">The default log configuration echoes messages to the console as they are written. By default, </w:t>
      </w:r>
      <w:r>
        <w:rPr>
          <w:rFonts w:ascii="MS Gothic"/>
          <w:color w:val="B02045"/>
          <w:w w:val="110"/>
        </w:rPr>
        <w:t>ERROR</w:t>
      </w:r>
    </w:p>
    <w:p w14:paraId="03972FB6" w14:textId="77777777" w:rsidR="00A720EB" w:rsidRDefault="0030286B">
      <w:pPr>
        <w:pStyle w:val="a3"/>
        <w:spacing w:before="47" w:line="280" w:lineRule="auto"/>
        <w:ind w:left="124" w:right="462"/>
      </w:pPr>
      <w:r>
        <w:rPr>
          <w:color w:val="333333"/>
          <w:w w:val="110"/>
        </w:rPr>
        <w:t xml:space="preserve">-level, </w:t>
      </w:r>
      <w:r>
        <w:rPr>
          <w:rFonts w:ascii="MS Gothic" w:hAnsi="MS Gothic"/>
          <w:color w:val="B02045"/>
          <w:w w:val="110"/>
        </w:rPr>
        <w:t>WARN</w:t>
      </w:r>
      <w:r>
        <w:rPr>
          <w:color w:val="333333"/>
          <w:w w:val="110"/>
        </w:rPr>
        <w:t xml:space="preserve">-level, and </w:t>
      </w:r>
      <w:r>
        <w:rPr>
          <w:rFonts w:ascii="MS Gothic" w:hAnsi="MS Gothic"/>
          <w:color w:val="B02045"/>
          <w:w w:val="110"/>
        </w:rPr>
        <w:t>INFO</w:t>
      </w:r>
      <w:r>
        <w:rPr>
          <w:color w:val="333333"/>
          <w:w w:val="110"/>
        </w:rPr>
        <w:t xml:space="preserve">-level messages are logged. </w:t>
      </w:r>
      <w:r>
        <w:rPr>
          <w:color w:val="333333"/>
          <w:spacing w:val="-6"/>
          <w:w w:val="110"/>
        </w:rPr>
        <w:t xml:space="preserve">You </w:t>
      </w:r>
      <w:r>
        <w:rPr>
          <w:color w:val="333333"/>
          <w:w w:val="110"/>
        </w:rPr>
        <w:t>can also enable a “debug” mode</w:t>
      </w:r>
      <w:r>
        <w:rPr>
          <w:color w:val="333333"/>
          <w:spacing w:val="50"/>
          <w:w w:val="110"/>
        </w:rPr>
        <w:t xml:space="preserve"> </w:t>
      </w:r>
      <w:r>
        <w:rPr>
          <w:color w:val="333333"/>
          <w:spacing w:val="-3"/>
          <w:w w:val="110"/>
        </w:rPr>
        <w:t xml:space="preserve">by </w:t>
      </w:r>
      <w:r>
        <w:rPr>
          <w:color w:val="333333"/>
          <w:w w:val="110"/>
        </w:rPr>
        <w:t xml:space="preserve">starting your application with a </w:t>
      </w:r>
      <w:r>
        <w:rPr>
          <w:rFonts w:ascii="MS Gothic" w:hAnsi="MS Gothic"/>
          <w:color w:val="B02045"/>
          <w:w w:val="110"/>
        </w:rPr>
        <w:t>--debug</w:t>
      </w:r>
      <w:r>
        <w:rPr>
          <w:rFonts w:ascii="MS Gothic" w:hAnsi="MS Gothic"/>
          <w:color w:val="B02045"/>
          <w:spacing w:val="-45"/>
          <w:w w:val="110"/>
        </w:rPr>
        <w:t xml:space="preserve"> </w:t>
      </w:r>
      <w:r>
        <w:rPr>
          <w:color w:val="333333"/>
          <w:w w:val="110"/>
        </w:rPr>
        <w:t>flag.</w:t>
      </w:r>
    </w:p>
    <w:p w14:paraId="5A0E17FB" w14:textId="77777777" w:rsidR="00A720EB" w:rsidRDefault="00E10349">
      <w:pPr>
        <w:pStyle w:val="a3"/>
        <w:spacing w:before="1"/>
        <w:rPr>
          <w:sz w:val="14"/>
        </w:rPr>
      </w:pPr>
      <w:r>
        <w:pict w14:anchorId="448194B9">
          <v:group id="_x0000_s4450" style="position:absolute;margin-left:47.85pt;margin-top:10.25pt;width:499.55pt;height:37.5pt;z-index:-15569920;mso-wrap-distance-left:0;mso-wrap-distance-right:0;mso-position-horizontal-relative:page" coordorigin="957,205" coordsize="9991,750">
            <v:shape id="_x0000_s4453" style="position:absolute;left:964;top:212;width:9976;height:735" coordorigin="965,212" coordsize="9976,735" path="m10861,212r-9816,l1014,218r-26,18l971,261r-6,31l965,867r6,31l988,924r26,17l1045,947r9816,l10892,941r25,-17l10935,898r6,-31l10941,292r-6,-31l10917,236r-25,-18l10861,212xe" fillcolor="#f5f5f5" stroked="f">
              <v:path arrowok="t"/>
            </v:shape>
            <v:shape id="_x0000_s4452" style="position:absolute;left:964;top:212;width:9976;height:735" coordorigin="965,212" coordsize="9976,735" path="m1045,212r9816,l10892,218r25,18l10935,261r6,31l10941,867r-6,31l10917,924r-25,17l10861,947r-9816,l1014,941,988,924,971,898r-6,-31l965,292r6,-31l988,236r26,-18l1045,212xe" filled="f" strokecolor="#ccc">
              <v:path arrowok="t"/>
            </v:shape>
            <v:shape id="_x0000_s4451" type="#_x0000_t202" style="position:absolute;left:984;top:227;width:9938;height:704" filled="f" stroked="f">
              <v:textbox inset="0,0,0,0">
                <w:txbxContent>
                  <w:p w14:paraId="45CDB71B" w14:textId="77777777" w:rsidR="00711A16" w:rsidRDefault="00711A16">
                    <w:pPr>
                      <w:spacing w:before="221"/>
                      <w:ind w:left="200"/>
                      <w:rPr>
                        <w:rFonts w:ascii="MS Gothic"/>
                      </w:rPr>
                    </w:pPr>
                    <w:r>
                      <w:rPr>
                        <w:rFonts w:ascii="MS Gothic"/>
                        <w:color w:val="333333"/>
                      </w:rPr>
                      <w:t>$ java -jar myapp.jar --debug</w:t>
                    </w:r>
                  </w:p>
                </w:txbxContent>
              </v:textbox>
            </v:shape>
            <w10:wrap type="topAndBottom" anchorx="page"/>
          </v:group>
        </w:pict>
      </w:r>
    </w:p>
    <w:p w14:paraId="69BAE13B" w14:textId="77777777" w:rsidR="00A720EB" w:rsidRDefault="00A720EB">
      <w:pPr>
        <w:pStyle w:val="a3"/>
        <w:spacing w:before="8"/>
        <w:rPr>
          <w:sz w:val="16"/>
        </w:rPr>
      </w:pPr>
    </w:p>
    <w:p w14:paraId="415F8799" w14:textId="77777777" w:rsidR="00A720EB" w:rsidRDefault="00E10349">
      <w:pPr>
        <w:pStyle w:val="a3"/>
        <w:spacing w:before="13"/>
        <w:ind w:left="491"/>
      </w:pPr>
      <w:r>
        <w:pict w14:anchorId="3A3345D0">
          <v:line id="_x0000_s4449" style="position:absolute;left:0;text-align:left;z-index:-41645568;mso-position-horizontal-relative:page" from="108.25pt,.35pt" to="108.25pt,24.1pt" strokecolor="#ededed" strokeweight=".5pt">
            <w10:wrap anchorx="page"/>
          </v:line>
        </w:pict>
      </w:r>
      <w:r w:rsidR="0030286B">
        <w:rPr>
          <w:noProof/>
          <w:position w:val="-14"/>
        </w:rPr>
        <w:drawing>
          <wp:inline distT="0" distB="0" distL="0" distR="0" wp14:anchorId="5C0A16C6" wp14:editId="0A189E72">
            <wp:extent cx="295275" cy="295275"/>
            <wp:effectExtent l="0" t="0" r="0" b="0"/>
            <wp:docPr id="20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6.png"/>
                    <pic:cNvPicPr/>
                  </pic:nvPicPr>
                  <pic:blipFill>
                    <a:blip r:embed="rId100" cstate="print"/>
                    <a:stretch>
                      <a:fillRect/>
                    </a:stretch>
                  </pic:blipFill>
                  <pic:spPr>
                    <a:xfrm>
                      <a:off x="0" y="0"/>
                      <a:ext cx="295275" cy="295275"/>
                    </a:xfrm>
                    <a:prstGeom prst="rect">
                      <a:avLst/>
                    </a:prstGeom>
                  </pic:spPr>
                </pic:pic>
              </a:graphicData>
            </a:graphic>
          </wp:inline>
        </w:drawing>
      </w:r>
      <w:r w:rsidR="0030286B">
        <w:rPr>
          <w:rFonts w:ascii="Times New Roman"/>
          <w:sz w:val="20"/>
        </w:rPr>
        <w:t xml:space="preserve">           </w:t>
      </w:r>
      <w:r w:rsidR="0030286B">
        <w:rPr>
          <w:rFonts w:ascii="Times New Roman"/>
          <w:spacing w:val="7"/>
          <w:sz w:val="20"/>
        </w:rPr>
        <w:t xml:space="preserve"> </w:t>
      </w:r>
      <w:r w:rsidR="0030286B">
        <w:rPr>
          <w:color w:val="333333"/>
          <w:spacing w:val="-6"/>
          <w:w w:val="110"/>
        </w:rPr>
        <w:t xml:space="preserve">You </w:t>
      </w:r>
      <w:r w:rsidR="0030286B">
        <w:rPr>
          <w:color w:val="333333"/>
          <w:w w:val="110"/>
        </w:rPr>
        <w:t xml:space="preserve">can also specify </w:t>
      </w:r>
      <w:r w:rsidR="0030286B">
        <w:rPr>
          <w:rFonts w:ascii="MS Gothic"/>
          <w:color w:val="B02045"/>
          <w:w w:val="110"/>
        </w:rPr>
        <w:t>debug=true</w:t>
      </w:r>
      <w:r w:rsidR="0030286B">
        <w:rPr>
          <w:rFonts w:ascii="MS Gothic"/>
          <w:color w:val="B02045"/>
          <w:spacing w:val="-76"/>
          <w:w w:val="110"/>
        </w:rPr>
        <w:t xml:space="preserve"> </w:t>
      </w:r>
      <w:r w:rsidR="0030286B">
        <w:rPr>
          <w:color w:val="333333"/>
          <w:w w:val="110"/>
        </w:rPr>
        <w:t xml:space="preserve">in your </w:t>
      </w:r>
      <w:proofErr w:type="gramStart"/>
      <w:r w:rsidR="0030286B">
        <w:rPr>
          <w:rFonts w:ascii="MS Gothic"/>
          <w:color w:val="B02045"/>
          <w:w w:val="110"/>
        </w:rPr>
        <w:t>application.properties</w:t>
      </w:r>
      <w:proofErr w:type="gramEnd"/>
      <w:r w:rsidR="0030286B">
        <w:rPr>
          <w:color w:val="333333"/>
          <w:w w:val="110"/>
        </w:rPr>
        <w:t>.</w:t>
      </w:r>
    </w:p>
    <w:p w14:paraId="08E1D965" w14:textId="77777777" w:rsidR="00A720EB" w:rsidRDefault="0030286B">
      <w:pPr>
        <w:pStyle w:val="a3"/>
        <w:spacing w:before="284" w:line="280" w:lineRule="auto"/>
        <w:ind w:left="124" w:right="122"/>
        <w:jc w:val="both"/>
      </w:pPr>
      <w:r>
        <w:rPr>
          <w:color w:val="333333"/>
          <w:w w:val="115"/>
        </w:rPr>
        <w:t>When</w:t>
      </w:r>
      <w:r>
        <w:rPr>
          <w:color w:val="333333"/>
          <w:spacing w:val="-11"/>
          <w:w w:val="115"/>
        </w:rPr>
        <w:t xml:space="preserve"> </w:t>
      </w:r>
      <w:r>
        <w:rPr>
          <w:color w:val="333333"/>
          <w:w w:val="115"/>
        </w:rPr>
        <w:t>the</w:t>
      </w:r>
      <w:r>
        <w:rPr>
          <w:color w:val="333333"/>
          <w:spacing w:val="-11"/>
          <w:w w:val="115"/>
        </w:rPr>
        <w:t xml:space="preserve"> </w:t>
      </w:r>
      <w:r>
        <w:rPr>
          <w:color w:val="333333"/>
          <w:w w:val="115"/>
        </w:rPr>
        <w:t>debug</w:t>
      </w:r>
      <w:r>
        <w:rPr>
          <w:color w:val="333333"/>
          <w:spacing w:val="-10"/>
          <w:w w:val="115"/>
        </w:rPr>
        <w:t xml:space="preserve"> </w:t>
      </w:r>
      <w:r>
        <w:rPr>
          <w:color w:val="333333"/>
          <w:w w:val="115"/>
        </w:rPr>
        <w:t>mode</w:t>
      </w:r>
      <w:r>
        <w:rPr>
          <w:color w:val="333333"/>
          <w:spacing w:val="-11"/>
          <w:w w:val="115"/>
        </w:rPr>
        <w:t xml:space="preserve"> </w:t>
      </w:r>
      <w:r>
        <w:rPr>
          <w:color w:val="333333"/>
          <w:w w:val="115"/>
        </w:rPr>
        <w:t>is</w:t>
      </w:r>
      <w:r>
        <w:rPr>
          <w:color w:val="333333"/>
          <w:spacing w:val="-10"/>
          <w:w w:val="115"/>
        </w:rPr>
        <w:t xml:space="preserve"> </w:t>
      </w:r>
      <w:r>
        <w:rPr>
          <w:color w:val="333333"/>
          <w:w w:val="115"/>
        </w:rPr>
        <w:t>enabled,</w:t>
      </w:r>
      <w:r>
        <w:rPr>
          <w:color w:val="333333"/>
          <w:spacing w:val="-11"/>
          <w:w w:val="115"/>
        </w:rPr>
        <w:t xml:space="preserve"> </w:t>
      </w:r>
      <w:r>
        <w:rPr>
          <w:color w:val="333333"/>
          <w:w w:val="115"/>
        </w:rPr>
        <w:t>a</w:t>
      </w:r>
      <w:r>
        <w:rPr>
          <w:color w:val="333333"/>
          <w:spacing w:val="-10"/>
          <w:w w:val="115"/>
        </w:rPr>
        <w:t xml:space="preserve"> </w:t>
      </w:r>
      <w:r>
        <w:rPr>
          <w:color w:val="333333"/>
          <w:w w:val="115"/>
        </w:rPr>
        <w:t>selection</w:t>
      </w:r>
      <w:r>
        <w:rPr>
          <w:color w:val="333333"/>
          <w:spacing w:val="-11"/>
          <w:w w:val="115"/>
        </w:rPr>
        <w:t xml:space="preserve"> </w:t>
      </w:r>
      <w:r>
        <w:rPr>
          <w:color w:val="333333"/>
          <w:w w:val="115"/>
        </w:rPr>
        <w:t>of</w:t>
      </w:r>
      <w:r>
        <w:rPr>
          <w:color w:val="333333"/>
          <w:spacing w:val="-10"/>
          <w:w w:val="115"/>
        </w:rPr>
        <w:t xml:space="preserve"> </w:t>
      </w:r>
      <w:r>
        <w:rPr>
          <w:color w:val="333333"/>
          <w:w w:val="115"/>
        </w:rPr>
        <w:t>core</w:t>
      </w:r>
      <w:r>
        <w:rPr>
          <w:color w:val="333333"/>
          <w:spacing w:val="-11"/>
          <w:w w:val="115"/>
        </w:rPr>
        <w:t xml:space="preserve"> </w:t>
      </w:r>
      <w:r>
        <w:rPr>
          <w:color w:val="333333"/>
          <w:w w:val="115"/>
        </w:rPr>
        <w:t>loggers</w:t>
      </w:r>
      <w:r>
        <w:rPr>
          <w:color w:val="333333"/>
          <w:spacing w:val="-10"/>
          <w:w w:val="115"/>
        </w:rPr>
        <w:t xml:space="preserve"> </w:t>
      </w:r>
      <w:r>
        <w:rPr>
          <w:color w:val="333333"/>
          <w:w w:val="115"/>
        </w:rPr>
        <w:t>(embedded</w:t>
      </w:r>
      <w:r>
        <w:rPr>
          <w:color w:val="333333"/>
          <w:spacing w:val="-11"/>
          <w:w w:val="115"/>
        </w:rPr>
        <w:t xml:space="preserve"> </w:t>
      </w:r>
      <w:r>
        <w:rPr>
          <w:color w:val="333333"/>
          <w:w w:val="115"/>
        </w:rPr>
        <w:t>container,</w:t>
      </w:r>
      <w:r>
        <w:rPr>
          <w:color w:val="333333"/>
          <w:spacing w:val="-10"/>
          <w:w w:val="115"/>
        </w:rPr>
        <w:t xml:space="preserve"> </w:t>
      </w:r>
      <w:r>
        <w:rPr>
          <w:color w:val="333333"/>
          <w:w w:val="115"/>
        </w:rPr>
        <w:t>Hibernate,</w:t>
      </w:r>
      <w:r>
        <w:rPr>
          <w:color w:val="333333"/>
          <w:spacing w:val="-11"/>
          <w:w w:val="115"/>
        </w:rPr>
        <w:t xml:space="preserve"> </w:t>
      </w:r>
      <w:r>
        <w:rPr>
          <w:color w:val="333333"/>
          <w:w w:val="115"/>
        </w:rPr>
        <w:t xml:space="preserve">and Spring Boot) are configured to output more information. Enabling the debug mode does </w:t>
      </w:r>
      <w:r>
        <w:rPr>
          <w:rFonts w:ascii="Palatino Linotype"/>
          <w:i/>
          <w:color w:val="333333"/>
          <w:w w:val="115"/>
        </w:rPr>
        <w:t xml:space="preserve">not </w:t>
      </w:r>
      <w:r>
        <w:rPr>
          <w:color w:val="333333"/>
          <w:w w:val="115"/>
        </w:rPr>
        <w:t xml:space="preserve">configure your application to log all messages with </w:t>
      </w:r>
      <w:r>
        <w:rPr>
          <w:rFonts w:ascii="MS Gothic"/>
          <w:color w:val="B02045"/>
          <w:w w:val="115"/>
        </w:rPr>
        <w:t>DEBUG</w:t>
      </w:r>
      <w:r>
        <w:rPr>
          <w:rFonts w:ascii="MS Gothic"/>
          <w:color w:val="B02045"/>
          <w:spacing w:val="-86"/>
          <w:w w:val="115"/>
        </w:rPr>
        <w:t xml:space="preserve"> </w:t>
      </w:r>
      <w:r>
        <w:rPr>
          <w:color w:val="333333"/>
          <w:w w:val="115"/>
        </w:rPr>
        <w:t>level.</w:t>
      </w:r>
    </w:p>
    <w:p w14:paraId="5B5D9EE1" w14:textId="77777777" w:rsidR="00A720EB" w:rsidRDefault="0030286B">
      <w:pPr>
        <w:pStyle w:val="a3"/>
        <w:spacing w:before="242" w:line="285" w:lineRule="auto"/>
        <w:ind w:left="124" w:right="122"/>
        <w:jc w:val="both"/>
      </w:pPr>
      <w:r>
        <w:rPr>
          <w:color w:val="333333"/>
          <w:w w:val="110"/>
        </w:rPr>
        <w:t xml:space="preserve">Alternatively, you can enable a “trace” mode by starting your application with a </w:t>
      </w:r>
      <w:r>
        <w:rPr>
          <w:rFonts w:ascii="MS Gothic" w:hAnsi="MS Gothic"/>
          <w:color w:val="B02045"/>
          <w:w w:val="110"/>
        </w:rPr>
        <w:t xml:space="preserve">--trace </w:t>
      </w:r>
      <w:r>
        <w:rPr>
          <w:color w:val="333333"/>
          <w:w w:val="110"/>
        </w:rPr>
        <w:t xml:space="preserve">flag (or </w:t>
      </w:r>
      <w:r>
        <w:rPr>
          <w:rFonts w:ascii="MS Gothic" w:hAnsi="MS Gothic"/>
          <w:color w:val="B02045"/>
          <w:w w:val="110"/>
        </w:rPr>
        <w:t xml:space="preserve">trace=true </w:t>
      </w:r>
      <w:r>
        <w:rPr>
          <w:color w:val="333333"/>
          <w:w w:val="110"/>
        </w:rPr>
        <w:t xml:space="preserve">in your </w:t>
      </w:r>
      <w:proofErr w:type="gramStart"/>
      <w:r>
        <w:rPr>
          <w:rFonts w:ascii="MS Gothic" w:hAnsi="MS Gothic"/>
          <w:color w:val="B02045"/>
          <w:w w:val="110"/>
        </w:rPr>
        <w:t>application.properties</w:t>
      </w:r>
      <w:proofErr w:type="gramEnd"/>
      <w:r>
        <w:rPr>
          <w:color w:val="333333"/>
          <w:w w:val="110"/>
        </w:rPr>
        <w:t>). Doing so enables trace logging for a selection of core loggers (embedded container, Hibernate schema generation, and the whole Spring portfolio).</w:t>
      </w:r>
    </w:p>
    <w:p w14:paraId="31A4F781" w14:textId="77777777" w:rsidR="00A720EB" w:rsidRDefault="00A720EB">
      <w:pPr>
        <w:pStyle w:val="a3"/>
        <w:spacing w:before="8"/>
        <w:rPr>
          <w:sz w:val="27"/>
        </w:rPr>
      </w:pPr>
    </w:p>
    <w:p w14:paraId="20B7DA92" w14:textId="77777777" w:rsidR="00A720EB" w:rsidRDefault="0030286B">
      <w:pPr>
        <w:pStyle w:val="4"/>
      </w:pPr>
      <w:bookmarkStart w:id="220" w:name="Color-coded_Output"/>
      <w:bookmarkEnd w:id="220"/>
      <w:r>
        <w:rPr>
          <w:color w:val="333333"/>
          <w:w w:val="110"/>
        </w:rPr>
        <w:t>Color-coded Output</w:t>
      </w:r>
    </w:p>
    <w:p w14:paraId="4848CA30" w14:textId="77777777" w:rsidR="00A720EB" w:rsidRDefault="00A720EB">
      <w:pPr>
        <w:pStyle w:val="a3"/>
        <w:spacing w:before="11"/>
        <w:rPr>
          <w:rFonts w:ascii="Palatino Linotype"/>
          <w:b/>
          <w:sz w:val="18"/>
        </w:rPr>
      </w:pPr>
    </w:p>
    <w:p w14:paraId="2B81614A" w14:textId="77777777" w:rsidR="00A720EB" w:rsidRDefault="0030286B">
      <w:pPr>
        <w:pStyle w:val="a3"/>
        <w:ind w:left="124"/>
        <w:jc w:val="both"/>
      </w:pPr>
      <w:r>
        <w:rPr>
          <w:color w:val="333333"/>
          <w:w w:val="110"/>
        </w:rPr>
        <w:t>If your terminal supports ANSI, color output is used to aid readability. You can set</w:t>
      </w:r>
    </w:p>
    <w:p w14:paraId="1D7E2329" w14:textId="77777777" w:rsidR="00A720EB" w:rsidRDefault="0030286B">
      <w:pPr>
        <w:pStyle w:val="a3"/>
        <w:spacing w:before="59"/>
        <w:ind w:left="124"/>
        <w:jc w:val="both"/>
      </w:pPr>
      <w:r>
        <w:rPr>
          <w:rFonts w:ascii="MS Gothic"/>
          <w:color w:val="B02045"/>
          <w:w w:val="110"/>
        </w:rPr>
        <w:t>spring.output.ansi.enabled</w:t>
      </w:r>
      <w:r>
        <w:rPr>
          <w:rFonts w:ascii="MS Gothic"/>
          <w:color w:val="B02045"/>
          <w:spacing w:val="-86"/>
          <w:w w:val="110"/>
        </w:rPr>
        <w:t xml:space="preserve"> </w:t>
      </w:r>
      <w:r>
        <w:rPr>
          <w:color w:val="333333"/>
          <w:w w:val="110"/>
        </w:rPr>
        <w:t xml:space="preserve">to a </w:t>
      </w:r>
      <w:hyperlink r:id="rId115">
        <w:r>
          <w:rPr>
            <w:color w:val="418BCA"/>
            <w:w w:val="110"/>
          </w:rPr>
          <w:t xml:space="preserve">supported value </w:t>
        </w:r>
      </w:hyperlink>
      <w:r>
        <w:rPr>
          <w:color w:val="333333"/>
          <w:w w:val="110"/>
        </w:rPr>
        <w:t>to override the auto-detection.</w:t>
      </w:r>
    </w:p>
    <w:p w14:paraId="0B17961E" w14:textId="77777777" w:rsidR="00A720EB" w:rsidRDefault="00A720EB">
      <w:pPr>
        <w:pStyle w:val="a3"/>
        <w:spacing w:before="5"/>
        <w:rPr>
          <w:sz w:val="24"/>
        </w:rPr>
      </w:pPr>
    </w:p>
    <w:p w14:paraId="22E6B58C" w14:textId="77777777" w:rsidR="00A720EB" w:rsidRDefault="0030286B">
      <w:pPr>
        <w:pStyle w:val="a3"/>
        <w:spacing w:line="290" w:lineRule="auto"/>
        <w:ind w:left="124" w:right="125"/>
        <w:jc w:val="both"/>
      </w:pPr>
      <w:r>
        <w:rPr>
          <w:color w:val="333333"/>
          <w:w w:val="110"/>
        </w:rPr>
        <w:t xml:space="preserve">Color coding is configured by using the </w:t>
      </w:r>
      <w:r>
        <w:rPr>
          <w:rFonts w:ascii="MS Gothic"/>
          <w:color w:val="B02045"/>
          <w:w w:val="110"/>
        </w:rPr>
        <w:t xml:space="preserve">%clr </w:t>
      </w:r>
      <w:r>
        <w:rPr>
          <w:color w:val="333333"/>
          <w:w w:val="110"/>
        </w:rPr>
        <w:t>conversion word. In its simplest form, the converter colors the output according to the log level, as shown in the following example:</w:t>
      </w:r>
    </w:p>
    <w:p w14:paraId="07CF7BA1" w14:textId="77777777" w:rsidR="00A720EB" w:rsidRDefault="00E10349">
      <w:pPr>
        <w:pStyle w:val="a3"/>
        <w:spacing w:before="8"/>
        <w:rPr>
          <w:sz w:val="14"/>
        </w:rPr>
      </w:pPr>
      <w:r>
        <w:pict w14:anchorId="6D834032">
          <v:group id="_x0000_s4445" style="position:absolute;margin-left:47.85pt;margin-top:10.6pt;width:499.55pt;height:37.5pt;z-index:-15569408;mso-wrap-distance-left:0;mso-wrap-distance-right:0;mso-position-horizontal-relative:page" coordorigin="957,212" coordsize="9991,750">
            <v:shape id="_x0000_s4448" style="position:absolute;left:964;top:219;width:9976;height:735" coordorigin="965,219" coordsize="9976,735" path="m10861,219r-9816,l1014,225r-26,18l971,268r-6,31l965,874r6,31l988,931r26,17l1045,954r9816,l10892,948r25,-17l10935,905r6,-31l10941,299r-6,-31l10917,243r-25,-18l10861,219xe" fillcolor="#f5f5f5" stroked="f">
              <v:path arrowok="t"/>
            </v:shape>
            <v:shape id="_x0000_s4447" style="position:absolute;left:964;top:219;width:9976;height:735" coordorigin="965,219" coordsize="9976,735" path="m1045,219r9816,l10892,225r25,18l10935,268r6,31l10941,874r-6,31l10917,931r-25,17l10861,954r-9816,l1014,948,988,931,971,905r-6,-31l965,299r6,-31l988,243r26,-18l1045,219xe" filled="f" strokecolor="#ccc">
              <v:path arrowok="t"/>
            </v:shape>
            <v:shape id="_x0000_s4446" type="#_x0000_t202" style="position:absolute;left:984;top:234;width:9938;height:704" filled="f" stroked="f">
              <v:textbox inset="0,0,0,0">
                <w:txbxContent>
                  <w:p w14:paraId="28B01FF2" w14:textId="77777777" w:rsidR="00711A16" w:rsidRDefault="00711A16">
                    <w:pPr>
                      <w:spacing w:before="221"/>
                      <w:ind w:left="200"/>
                      <w:rPr>
                        <w:rFonts w:ascii="MS Gothic"/>
                      </w:rPr>
                    </w:pPr>
                    <w:r>
                      <w:rPr>
                        <w:rFonts w:ascii="MS Gothic"/>
                        <w:color w:val="333333"/>
                      </w:rPr>
                      <w:t>%clr(%5p)</w:t>
                    </w:r>
                  </w:p>
                </w:txbxContent>
              </v:textbox>
            </v:shape>
            <w10:wrap type="topAndBottom" anchorx="page"/>
          </v:group>
        </w:pict>
      </w:r>
    </w:p>
    <w:p w14:paraId="3DC672B4" w14:textId="77777777" w:rsidR="00A720EB" w:rsidRDefault="00A720EB">
      <w:pPr>
        <w:pStyle w:val="a3"/>
        <w:rPr>
          <w:sz w:val="10"/>
        </w:rPr>
      </w:pPr>
    </w:p>
    <w:p w14:paraId="012B4B78" w14:textId="77777777" w:rsidR="00A720EB" w:rsidRDefault="0030286B">
      <w:pPr>
        <w:pStyle w:val="a3"/>
        <w:spacing w:before="125"/>
        <w:ind w:left="124"/>
      </w:pPr>
      <w:r>
        <w:rPr>
          <w:color w:val="333333"/>
          <w:w w:val="110"/>
        </w:rPr>
        <w:t>The following table describes the mapping of log levels to colors:</w:t>
      </w:r>
    </w:p>
    <w:p w14:paraId="74FAF988"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34416CEE" w14:textId="77777777">
        <w:trPr>
          <w:trHeight w:val="415"/>
        </w:trPr>
        <w:tc>
          <w:tcPr>
            <w:tcW w:w="4988" w:type="dxa"/>
            <w:tcBorders>
              <w:bottom w:val="single" w:sz="12" w:space="0" w:color="DDDDDD"/>
            </w:tcBorders>
          </w:tcPr>
          <w:p w14:paraId="5B43C66D" w14:textId="77777777" w:rsidR="00A720EB" w:rsidRDefault="0030286B">
            <w:pPr>
              <w:pStyle w:val="TableParagraph"/>
              <w:spacing w:before="74"/>
              <w:rPr>
                <w:rFonts w:ascii="Palatino Linotype"/>
                <w:b/>
                <w:sz w:val="21"/>
              </w:rPr>
            </w:pPr>
            <w:r>
              <w:rPr>
                <w:rFonts w:ascii="Palatino Linotype"/>
                <w:b/>
                <w:color w:val="333333"/>
                <w:w w:val="110"/>
                <w:sz w:val="21"/>
              </w:rPr>
              <w:t>Level</w:t>
            </w:r>
          </w:p>
        </w:tc>
        <w:tc>
          <w:tcPr>
            <w:tcW w:w="4988" w:type="dxa"/>
            <w:tcBorders>
              <w:bottom w:val="single" w:sz="12" w:space="0" w:color="DDDDDD"/>
            </w:tcBorders>
          </w:tcPr>
          <w:p w14:paraId="522017E4" w14:textId="77777777" w:rsidR="00A720EB" w:rsidRDefault="0030286B">
            <w:pPr>
              <w:pStyle w:val="TableParagraph"/>
              <w:spacing w:before="74"/>
              <w:rPr>
                <w:rFonts w:ascii="Palatino Linotype"/>
                <w:b/>
                <w:sz w:val="21"/>
              </w:rPr>
            </w:pPr>
            <w:r>
              <w:rPr>
                <w:rFonts w:ascii="Palatino Linotype"/>
                <w:b/>
                <w:color w:val="333333"/>
                <w:w w:val="110"/>
                <w:sz w:val="21"/>
              </w:rPr>
              <w:t>Color</w:t>
            </w:r>
          </w:p>
        </w:tc>
      </w:tr>
      <w:tr w:rsidR="00A720EB" w14:paraId="13E625D5" w14:textId="77777777">
        <w:trPr>
          <w:trHeight w:val="415"/>
        </w:trPr>
        <w:tc>
          <w:tcPr>
            <w:tcW w:w="4988" w:type="dxa"/>
            <w:tcBorders>
              <w:top w:val="single" w:sz="12" w:space="0" w:color="DDDDDD"/>
            </w:tcBorders>
          </w:tcPr>
          <w:p w14:paraId="4CFCBDE7" w14:textId="77777777" w:rsidR="00A720EB" w:rsidRDefault="0030286B">
            <w:pPr>
              <w:pStyle w:val="TableParagraph"/>
              <w:spacing w:before="30"/>
              <w:rPr>
                <w:sz w:val="21"/>
              </w:rPr>
            </w:pPr>
            <w:r>
              <w:rPr>
                <w:color w:val="B02045"/>
                <w:sz w:val="21"/>
              </w:rPr>
              <w:t>FATAL</w:t>
            </w:r>
          </w:p>
        </w:tc>
        <w:tc>
          <w:tcPr>
            <w:tcW w:w="4988" w:type="dxa"/>
            <w:tcBorders>
              <w:top w:val="single" w:sz="12" w:space="0" w:color="DDDDDD"/>
            </w:tcBorders>
          </w:tcPr>
          <w:p w14:paraId="170E1FC9" w14:textId="77777777" w:rsidR="00A720EB" w:rsidRDefault="0030286B">
            <w:pPr>
              <w:pStyle w:val="TableParagraph"/>
              <w:spacing w:before="84"/>
              <w:rPr>
                <w:rFonts w:ascii="Cambria"/>
                <w:sz w:val="21"/>
              </w:rPr>
            </w:pPr>
            <w:r>
              <w:rPr>
                <w:rFonts w:ascii="Cambria"/>
                <w:color w:val="333333"/>
                <w:w w:val="110"/>
                <w:sz w:val="21"/>
              </w:rPr>
              <w:t>Red</w:t>
            </w:r>
          </w:p>
        </w:tc>
      </w:tr>
      <w:tr w:rsidR="00A720EB" w14:paraId="75202B5B" w14:textId="77777777">
        <w:trPr>
          <w:trHeight w:val="425"/>
        </w:trPr>
        <w:tc>
          <w:tcPr>
            <w:tcW w:w="4988" w:type="dxa"/>
          </w:tcPr>
          <w:p w14:paraId="7F461E9D" w14:textId="77777777" w:rsidR="00A720EB" w:rsidRDefault="0030286B">
            <w:pPr>
              <w:pStyle w:val="TableParagraph"/>
              <w:spacing w:before="40"/>
              <w:rPr>
                <w:sz w:val="21"/>
              </w:rPr>
            </w:pPr>
            <w:r>
              <w:rPr>
                <w:color w:val="B02045"/>
                <w:sz w:val="21"/>
              </w:rPr>
              <w:t>ERROR</w:t>
            </w:r>
          </w:p>
        </w:tc>
        <w:tc>
          <w:tcPr>
            <w:tcW w:w="4988" w:type="dxa"/>
          </w:tcPr>
          <w:p w14:paraId="40115CC1" w14:textId="77777777" w:rsidR="00A720EB" w:rsidRDefault="0030286B">
            <w:pPr>
              <w:pStyle w:val="TableParagraph"/>
              <w:spacing w:before="94"/>
              <w:rPr>
                <w:rFonts w:ascii="Cambria"/>
                <w:sz w:val="21"/>
              </w:rPr>
            </w:pPr>
            <w:r>
              <w:rPr>
                <w:rFonts w:ascii="Cambria"/>
                <w:color w:val="333333"/>
                <w:w w:val="110"/>
                <w:sz w:val="21"/>
              </w:rPr>
              <w:t>Red</w:t>
            </w:r>
          </w:p>
        </w:tc>
      </w:tr>
      <w:tr w:rsidR="00A720EB" w14:paraId="40BB0357" w14:textId="77777777">
        <w:trPr>
          <w:trHeight w:val="425"/>
        </w:trPr>
        <w:tc>
          <w:tcPr>
            <w:tcW w:w="4988" w:type="dxa"/>
          </w:tcPr>
          <w:p w14:paraId="6E2C3AB1" w14:textId="77777777" w:rsidR="00A720EB" w:rsidRDefault="0030286B">
            <w:pPr>
              <w:pStyle w:val="TableParagraph"/>
              <w:spacing w:before="40"/>
              <w:rPr>
                <w:sz w:val="21"/>
              </w:rPr>
            </w:pPr>
            <w:r>
              <w:rPr>
                <w:color w:val="B02045"/>
                <w:sz w:val="21"/>
              </w:rPr>
              <w:t>WARN</w:t>
            </w:r>
          </w:p>
        </w:tc>
        <w:tc>
          <w:tcPr>
            <w:tcW w:w="4988" w:type="dxa"/>
          </w:tcPr>
          <w:p w14:paraId="31D4833A" w14:textId="77777777" w:rsidR="00A720EB" w:rsidRDefault="0030286B">
            <w:pPr>
              <w:pStyle w:val="TableParagraph"/>
              <w:spacing w:before="94"/>
              <w:rPr>
                <w:rFonts w:ascii="Cambria"/>
                <w:sz w:val="21"/>
              </w:rPr>
            </w:pPr>
            <w:r>
              <w:rPr>
                <w:rFonts w:ascii="Cambria"/>
                <w:color w:val="333333"/>
                <w:w w:val="110"/>
                <w:sz w:val="21"/>
              </w:rPr>
              <w:t>Yellow</w:t>
            </w:r>
          </w:p>
        </w:tc>
      </w:tr>
      <w:tr w:rsidR="00A720EB" w14:paraId="69BE1A6C" w14:textId="77777777">
        <w:trPr>
          <w:trHeight w:val="425"/>
        </w:trPr>
        <w:tc>
          <w:tcPr>
            <w:tcW w:w="4988" w:type="dxa"/>
          </w:tcPr>
          <w:p w14:paraId="617BEE14" w14:textId="77777777" w:rsidR="00A720EB" w:rsidRDefault="0030286B">
            <w:pPr>
              <w:pStyle w:val="TableParagraph"/>
              <w:spacing w:before="40"/>
              <w:rPr>
                <w:sz w:val="21"/>
              </w:rPr>
            </w:pPr>
            <w:r>
              <w:rPr>
                <w:color w:val="B02045"/>
                <w:sz w:val="21"/>
              </w:rPr>
              <w:t>INFO</w:t>
            </w:r>
          </w:p>
        </w:tc>
        <w:tc>
          <w:tcPr>
            <w:tcW w:w="4988" w:type="dxa"/>
          </w:tcPr>
          <w:p w14:paraId="6A696E6C" w14:textId="77777777" w:rsidR="00A720EB" w:rsidRDefault="0030286B">
            <w:pPr>
              <w:pStyle w:val="TableParagraph"/>
              <w:spacing w:before="94"/>
              <w:rPr>
                <w:rFonts w:ascii="Cambria"/>
                <w:sz w:val="21"/>
              </w:rPr>
            </w:pPr>
            <w:r>
              <w:rPr>
                <w:rFonts w:ascii="Cambria"/>
                <w:color w:val="333333"/>
                <w:w w:val="115"/>
                <w:sz w:val="21"/>
              </w:rPr>
              <w:t>Green</w:t>
            </w:r>
          </w:p>
        </w:tc>
      </w:tr>
      <w:tr w:rsidR="00A720EB" w14:paraId="2AA168FC" w14:textId="77777777">
        <w:trPr>
          <w:trHeight w:val="425"/>
        </w:trPr>
        <w:tc>
          <w:tcPr>
            <w:tcW w:w="4988" w:type="dxa"/>
          </w:tcPr>
          <w:p w14:paraId="3D087E5F" w14:textId="77777777" w:rsidR="00A720EB" w:rsidRDefault="0030286B">
            <w:pPr>
              <w:pStyle w:val="TableParagraph"/>
              <w:spacing w:before="40"/>
              <w:rPr>
                <w:sz w:val="21"/>
              </w:rPr>
            </w:pPr>
            <w:r>
              <w:rPr>
                <w:color w:val="B02045"/>
                <w:sz w:val="21"/>
              </w:rPr>
              <w:t>DEBUG</w:t>
            </w:r>
          </w:p>
        </w:tc>
        <w:tc>
          <w:tcPr>
            <w:tcW w:w="4988" w:type="dxa"/>
          </w:tcPr>
          <w:p w14:paraId="09E4D3E3" w14:textId="77777777" w:rsidR="00A720EB" w:rsidRDefault="0030286B">
            <w:pPr>
              <w:pStyle w:val="TableParagraph"/>
              <w:spacing w:before="94"/>
              <w:rPr>
                <w:rFonts w:ascii="Cambria"/>
                <w:sz w:val="21"/>
              </w:rPr>
            </w:pPr>
            <w:r>
              <w:rPr>
                <w:rFonts w:ascii="Cambria"/>
                <w:color w:val="333333"/>
                <w:w w:val="115"/>
                <w:sz w:val="21"/>
              </w:rPr>
              <w:t>Green</w:t>
            </w:r>
          </w:p>
        </w:tc>
      </w:tr>
      <w:tr w:rsidR="00A720EB" w14:paraId="0415597B" w14:textId="77777777">
        <w:trPr>
          <w:trHeight w:val="425"/>
        </w:trPr>
        <w:tc>
          <w:tcPr>
            <w:tcW w:w="4988" w:type="dxa"/>
          </w:tcPr>
          <w:p w14:paraId="0D4543E5" w14:textId="77777777" w:rsidR="00A720EB" w:rsidRDefault="0030286B">
            <w:pPr>
              <w:pStyle w:val="TableParagraph"/>
              <w:spacing w:before="40"/>
              <w:rPr>
                <w:sz w:val="21"/>
              </w:rPr>
            </w:pPr>
            <w:r>
              <w:rPr>
                <w:color w:val="B02045"/>
                <w:sz w:val="21"/>
              </w:rPr>
              <w:t>TRACE</w:t>
            </w:r>
          </w:p>
        </w:tc>
        <w:tc>
          <w:tcPr>
            <w:tcW w:w="4988" w:type="dxa"/>
          </w:tcPr>
          <w:p w14:paraId="354A7272" w14:textId="77777777" w:rsidR="00A720EB" w:rsidRDefault="0030286B">
            <w:pPr>
              <w:pStyle w:val="TableParagraph"/>
              <w:spacing w:before="94"/>
              <w:rPr>
                <w:rFonts w:ascii="Cambria"/>
                <w:sz w:val="21"/>
              </w:rPr>
            </w:pPr>
            <w:r>
              <w:rPr>
                <w:rFonts w:ascii="Cambria"/>
                <w:color w:val="333333"/>
                <w:w w:val="115"/>
                <w:sz w:val="21"/>
              </w:rPr>
              <w:t>Green</w:t>
            </w:r>
          </w:p>
        </w:tc>
      </w:tr>
    </w:tbl>
    <w:p w14:paraId="421683E6" w14:textId="77777777" w:rsidR="00A720EB" w:rsidRDefault="00A720EB">
      <w:pPr>
        <w:pStyle w:val="a3"/>
        <w:spacing w:before="5"/>
        <w:rPr>
          <w:sz w:val="23"/>
        </w:rPr>
      </w:pPr>
    </w:p>
    <w:p w14:paraId="74CEDB94" w14:textId="77777777" w:rsidR="00A720EB" w:rsidRDefault="0030286B">
      <w:pPr>
        <w:pStyle w:val="a3"/>
        <w:spacing w:line="307" w:lineRule="auto"/>
        <w:ind w:left="124" w:right="462"/>
      </w:pPr>
      <w:r>
        <w:rPr>
          <w:color w:val="333333"/>
          <w:spacing w:val="-3"/>
          <w:w w:val="110"/>
        </w:rPr>
        <w:t xml:space="preserve">Alternatively, </w:t>
      </w:r>
      <w:r>
        <w:rPr>
          <w:color w:val="333333"/>
          <w:w w:val="110"/>
        </w:rPr>
        <w:t xml:space="preserve">you can specify the color or style that should be used </w:t>
      </w:r>
      <w:proofErr w:type="gramStart"/>
      <w:r>
        <w:rPr>
          <w:color w:val="333333"/>
          <w:spacing w:val="-3"/>
          <w:w w:val="110"/>
        </w:rPr>
        <w:t xml:space="preserve">by  </w:t>
      </w:r>
      <w:r>
        <w:rPr>
          <w:color w:val="333333"/>
          <w:w w:val="110"/>
        </w:rPr>
        <w:t>providing</w:t>
      </w:r>
      <w:proofErr w:type="gramEnd"/>
      <w:r>
        <w:rPr>
          <w:color w:val="333333"/>
          <w:w w:val="110"/>
        </w:rPr>
        <w:t xml:space="preserve"> it as an option to  the conversion. </w:t>
      </w:r>
      <w:r>
        <w:rPr>
          <w:color w:val="333333"/>
          <w:spacing w:val="-4"/>
          <w:w w:val="110"/>
        </w:rPr>
        <w:t xml:space="preserve">For </w:t>
      </w:r>
      <w:r>
        <w:rPr>
          <w:color w:val="333333"/>
          <w:w w:val="110"/>
        </w:rPr>
        <w:t xml:space="preserve">example, to make the text </w:t>
      </w:r>
      <w:r>
        <w:rPr>
          <w:color w:val="333333"/>
          <w:spacing w:val="-3"/>
          <w:w w:val="110"/>
        </w:rPr>
        <w:t xml:space="preserve">yellow, </w:t>
      </w:r>
      <w:r>
        <w:rPr>
          <w:color w:val="333333"/>
          <w:w w:val="110"/>
        </w:rPr>
        <w:t>use the following</w:t>
      </w:r>
      <w:r>
        <w:rPr>
          <w:color w:val="333333"/>
          <w:spacing w:val="6"/>
          <w:w w:val="110"/>
        </w:rPr>
        <w:t xml:space="preserve"> </w:t>
      </w:r>
      <w:r>
        <w:rPr>
          <w:color w:val="333333"/>
          <w:w w:val="110"/>
        </w:rPr>
        <w:t>setting:</w:t>
      </w:r>
    </w:p>
    <w:p w14:paraId="3ECAB27A" w14:textId="77777777" w:rsidR="00A720EB" w:rsidRDefault="00E10349">
      <w:pPr>
        <w:pStyle w:val="a3"/>
        <w:spacing w:before="1"/>
        <w:rPr>
          <w:sz w:val="13"/>
        </w:rPr>
      </w:pPr>
      <w:r>
        <w:pict w14:anchorId="5F42B4A0">
          <v:group id="_x0000_s4441" style="position:absolute;margin-left:47.85pt;margin-top:9.7pt;width:499.55pt;height:37.5pt;z-index:-15568896;mso-wrap-distance-left:0;mso-wrap-distance-right:0;mso-position-horizontal-relative:page" coordorigin="957,194" coordsize="9991,750">
            <v:shape id="_x0000_s4444" style="position:absolute;left:964;top:201;width:9976;height:735" coordorigin="965,201" coordsize="9976,735" path="m10861,201r-9816,l1014,208r-26,17l971,250r-6,31l965,856r6,31l988,913r26,17l1045,936r9816,l10892,930r25,-17l10935,887r6,-31l10941,281r-6,-31l10917,225r-25,-17l10861,201xe" fillcolor="#f5f5f5" stroked="f">
              <v:path arrowok="t"/>
            </v:shape>
            <v:shape id="_x0000_s4443" style="position:absolute;left:964;top:201;width:9976;height:735" coordorigin="965,201" coordsize="9976,735" path="m1045,201r9816,l10892,208r25,17l10935,250r6,31l10941,856r-6,31l10917,913r-25,17l10861,936r-9816,l1014,930,988,913,971,887r-6,-31l965,281r6,-31l988,225r26,-17l1045,201xe" filled="f" strokecolor="#ccc">
              <v:path arrowok="t"/>
            </v:shape>
            <v:shape id="_x0000_s4442" type="#_x0000_t202" style="position:absolute;left:984;top:216;width:9938;height:704" filled="f" stroked="f">
              <v:textbox inset="0,0,0,0">
                <w:txbxContent>
                  <w:p w14:paraId="5E24B8AF"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clr(</w:t>
                    </w:r>
                    <w:proofErr w:type="gramEnd"/>
                    <w:r>
                      <w:rPr>
                        <w:rFonts w:ascii="MS Gothic"/>
                        <w:color w:val="333333"/>
                      </w:rPr>
                      <w:t>%d{yyyy-MM-dd HH:mm:ss.SSS}){yellow}</w:t>
                    </w:r>
                  </w:p>
                </w:txbxContent>
              </v:textbox>
            </v:shape>
            <w10:wrap type="topAndBottom" anchorx="page"/>
          </v:group>
        </w:pict>
      </w:r>
    </w:p>
    <w:p w14:paraId="012DD9F3" w14:textId="77777777" w:rsidR="00A720EB" w:rsidRDefault="00A720EB">
      <w:pPr>
        <w:pStyle w:val="a3"/>
        <w:rPr>
          <w:sz w:val="10"/>
        </w:rPr>
      </w:pPr>
    </w:p>
    <w:p w14:paraId="570EFAC5" w14:textId="77777777" w:rsidR="00A720EB" w:rsidRDefault="0030286B">
      <w:pPr>
        <w:pStyle w:val="a3"/>
        <w:spacing w:before="125"/>
        <w:ind w:left="124"/>
      </w:pPr>
      <w:r>
        <w:rPr>
          <w:color w:val="333333"/>
          <w:w w:val="110"/>
        </w:rPr>
        <w:t>The following colors and styles are supported:</w:t>
      </w:r>
    </w:p>
    <w:p w14:paraId="74B739F2" w14:textId="77777777" w:rsidR="00A720EB" w:rsidRDefault="00A720EB">
      <w:pPr>
        <w:sectPr w:rsidR="00A720EB">
          <w:pgSz w:w="11910" w:h="16840"/>
          <w:pgMar w:top="620" w:right="840" w:bottom="520" w:left="840" w:header="0" w:footer="323" w:gutter="0"/>
          <w:cols w:space="720"/>
        </w:sectPr>
      </w:pPr>
    </w:p>
    <w:p w14:paraId="3436F12D" w14:textId="77777777" w:rsidR="00A720EB" w:rsidRDefault="0030286B">
      <w:pPr>
        <w:pStyle w:val="a6"/>
        <w:numPr>
          <w:ilvl w:val="0"/>
          <w:numId w:val="54"/>
        </w:numPr>
        <w:tabs>
          <w:tab w:val="left" w:pos="485"/>
        </w:tabs>
        <w:spacing w:before="91"/>
        <w:rPr>
          <w:rFonts w:ascii="MS Gothic" w:hAnsi="MS Gothic"/>
          <w:sz w:val="21"/>
        </w:rPr>
      </w:pPr>
      <w:r>
        <w:rPr>
          <w:rFonts w:ascii="MS Gothic" w:hAnsi="MS Gothic"/>
          <w:color w:val="B02045"/>
          <w:sz w:val="21"/>
        </w:rPr>
        <w:lastRenderedPageBreak/>
        <w:t>blue</w:t>
      </w:r>
    </w:p>
    <w:p w14:paraId="3ACF135B" w14:textId="77777777" w:rsidR="00A720EB" w:rsidRDefault="0030286B">
      <w:pPr>
        <w:pStyle w:val="a6"/>
        <w:numPr>
          <w:ilvl w:val="0"/>
          <w:numId w:val="54"/>
        </w:numPr>
        <w:tabs>
          <w:tab w:val="left" w:pos="485"/>
        </w:tabs>
        <w:spacing w:before="167"/>
        <w:rPr>
          <w:rFonts w:ascii="MS Gothic" w:hAnsi="MS Gothic"/>
          <w:sz w:val="21"/>
        </w:rPr>
      </w:pPr>
      <w:r>
        <w:rPr>
          <w:rFonts w:ascii="MS Gothic" w:hAnsi="MS Gothic"/>
          <w:color w:val="B02045"/>
          <w:sz w:val="21"/>
        </w:rPr>
        <w:t>cyan</w:t>
      </w:r>
    </w:p>
    <w:p w14:paraId="352652E4" w14:textId="77777777" w:rsidR="00A720EB" w:rsidRDefault="0030286B">
      <w:pPr>
        <w:pStyle w:val="a6"/>
        <w:numPr>
          <w:ilvl w:val="0"/>
          <w:numId w:val="54"/>
        </w:numPr>
        <w:tabs>
          <w:tab w:val="left" w:pos="485"/>
        </w:tabs>
        <w:spacing w:before="166"/>
        <w:rPr>
          <w:rFonts w:ascii="MS Gothic" w:hAnsi="MS Gothic"/>
          <w:sz w:val="21"/>
        </w:rPr>
      </w:pPr>
      <w:r>
        <w:rPr>
          <w:rFonts w:ascii="MS Gothic" w:hAnsi="MS Gothic"/>
          <w:color w:val="B02045"/>
          <w:sz w:val="21"/>
        </w:rPr>
        <w:t>faint</w:t>
      </w:r>
    </w:p>
    <w:p w14:paraId="1A46BD96" w14:textId="77777777" w:rsidR="00A720EB" w:rsidRDefault="0030286B">
      <w:pPr>
        <w:pStyle w:val="a6"/>
        <w:numPr>
          <w:ilvl w:val="0"/>
          <w:numId w:val="54"/>
        </w:numPr>
        <w:tabs>
          <w:tab w:val="left" w:pos="485"/>
        </w:tabs>
        <w:spacing w:before="167"/>
        <w:rPr>
          <w:rFonts w:ascii="MS Gothic" w:hAnsi="MS Gothic"/>
          <w:sz w:val="21"/>
        </w:rPr>
      </w:pPr>
      <w:r>
        <w:rPr>
          <w:rFonts w:ascii="MS Gothic" w:hAnsi="MS Gothic"/>
          <w:color w:val="B02045"/>
          <w:sz w:val="21"/>
        </w:rPr>
        <w:t>green</w:t>
      </w:r>
    </w:p>
    <w:p w14:paraId="26E3E548" w14:textId="77777777" w:rsidR="00A720EB" w:rsidRDefault="0030286B">
      <w:pPr>
        <w:pStyle w:val="a6"/>
        <w:numPr>
          <w:ilvl w:val="0"/>
          <w:numId w:val="54"/>
        </w:numPr>
        <w:tabs>
          <w:tab w:val="left" w:pos="485"/>
        </w:tabs>
        <w:spacing w:before="166"/>
        <w:rPr>
          <w:rFonts w:ascii="MS Gothic" w:hAnsi="MS Gothic"/>
          <w:sz w:val="21"/>
        </w:rPr>
      </w:pPr>
      <w:r>
        <w:rPr>
          <w:rFonts w:ascii="MS Gothic" w:hAnsi="MS Gothic"/>
          <w:color w:val="B02045"/>
          <w:sz w:val="21"/>
        </w:rPr>
        <w:t>magenta</w:t>
      </w:r>
    </w:p>
    <w:p w14:paraId="0FDFC111" w14:textId="77777777" w:rsidR="00A720EB" w:rsidRDefault="0030286B">
      <w:pPr>
        <w:pStyle w:val="a6"/>
        <w:numPr>
          <w:ilvl w:val="0"/>
          <w:numId w:val="54"/>
        </w:numPr>
        <w:tabs>
          <w:tab w:val="left" w:pos="485"/>
        </w:tabs>
        <w:spacing w:before="167"/>
        <w:rPr>
          <w:rFonts w:ascii="MS Gothic" w:hAnsi="MS Gothic"/>
          <w:sz w:val="21"/>
        </w:rPr>
      </w:pPr>
      <w:r>
        <w:rPr>
          <w:rFonts w:ascii="MS Gothic" w:hAnsi="MS Gothic"/>
          <w:color w:val="B02045"/>
          <w:sz w:val="21"/>
        </w:rPr>
        <w:t>red</w:t>
      </w:r>
    </w:p>
    <w:p w14:paraId="15FE6EB6" w14:textId="77777777" w:rsidR="00A720EB" w:rsidRDefault="0030286B">
      <w:pPr>
        <w:pStyle w:val="a6"/>
        <w:numPr>
          <w:ilvl w:val="0"/>
          <w:numId w:val="54"/>
        </w:numPr>
        <w:tabs>
          <w:tab w:val="left" w:pos="485"/>
        </w:tabs>
        <w:spacing w:before="166"/>
        <w:rPr>
          <w:rFonts w:ascii="MS Gothic" w:hAnsi="MS Gothic"/>
          <w:sz w:val="21"/>
        </w:rPr>
      </w:pPr>
      <w:r>
        <w:rPr>
          <w:rFonts w:ascii="MS Gothic" w:hAnsi="MS Gothic"/>
          <w:color w:val="B02045"/>
          <w:sz w:val="21"/>
        </w:rPr>
        <w:t>yellow</w:t>
      </w:r>
    </w:p>
    <w:p w14:paraId="5CEA052C" w14:textId="77777777" w:rsidR="00A720EB" w:rsidRDefault="00A720EB">
      <w:pPr>
        <w:pStyle w:val="a3"/>
        <w:spacing w:before="12"/>
        <w:rPr>
          <w:rFonts w:ascii="MS Gothic"/>
          <w:sz w:val="27"/>
        </w:rPr>
      </w:pPr>
    </w:p>
    <w:p w14:paraId="18D546A6" w14:textId="77777777" w:rsidR="00A720EB" w:rsidRDefault="0030286B">
      <w:pPr>
        <w:pStyle w:val="3"/>
        <w:numPr>
          <w:ilvl w:val="2"/>
          <w:numId w:val="68"/>
        </w:numPr>
        <w:tabs>
          <w:tab w:val="left" w:pos="858"/>
        </w:tabs>
        <w:ind w:hanging="734"/>
      </w:pPr>
      <w:bookmarkStart w:id="221" w:name="4.4.3._File_Output"/>
      <w:bookmarkStart w:id="222" w:name="_Toc54423738"/>
      <w:bookmarkEnd w:id="221"/>
      <w:r>
        <w:rPr>
          <w:color w:val="333333"/>
          <w:w w:val="110"/>
        </w:rPr>
        <w:t>File</w:t>
      </w:r>
      <w:r>
        <w:rPr>
          <w:color w:val="333333"/>
          <w:spacing w:val="-5"/>
          <w:w w:val="110"/>
        </w:rPr>
        <w:t xml:space="preserve"> </w:t>
      </w:r>
      <w:r>
        <w:rPr>
          <w:color w:val="333333"/>
          <w:w w:val="110"/>
        </w:rPr>
        <w:t>Output</w:t>
      </w:r>
      <w:bookmarkEnd w:id="222"/>
    </w:p>
    <w:p w14:paraId="490403BA" w14:textId="77777777" w:rsidR="00A720EB" w:rsidRDefault="0030286B">
      <w:pPr>
        <w:pStyle w:val="a3"/>
        <w:spacing w:before="254" w:line="290" w:lineRule="auto"/>
        <w:ind w:left="124" w:right="122"/>
        <w:jc w:val="both"/>
      </w:pPr>
      <w:r>
        <w:rPr>
          <w:color w:val="333333"/>
          <w:w w:val="110"/>
        </w:rPr>
        <w:t xml:space="preserve">By default, Spring Boot logs only to the console and does not write log files. If you want to write log files in addition to the console output, you need to set a </w:t>
      </w:r>
      <w:r>
        <w:rPr>
          <w:rFonts w:ascii="MS Gothic"/>
          <w:color w:val="B02045"/>
          <w:w w:val="110"/>
        </w:rPr>
        <w:t xml:space="preserve">logging.file.name </w:t>
      </w:r>
      <w:r>
        <w:rPr>
          <w:color w:val="333333"/>
          <w:w w:val="110"/>
        </w:rPr>
        <w:t xml:space="preserve">or </w:t>
      </w:r>
      <w:proofErr w:type="gramStart"/>
      <w:r>
        <w:rPr>
          <w:rFonts w:ascii="MS Gothic"/>
          <w:color w:val="B02045"/>
          <w:w w:val="110"/>
        </w:rPr>
        <w:t>logging.file</w:t>
      </w:r>
      <w:proofErr w:type="gramEnd"/>
      <w:r>
        <w:rPr>
          <w:rFonts w:ascii="MS Gothic"/>
          <w:color w:val="B02045"/>
          <w:w w:val="110"/>
        </w:rPr>
        <w:t xml:space="preserve">.path </w:t>
      </w:r>
      <w:r>
        <w:rPr>
          <w:color w:val="333333"/>
          <w:w w:val="110"/>
        </w:rPr>
        <w:t xml:space="preserve">property (for example, in your </w:t>
      </w:r>
      <w:r>
        <w:rPr>
          <w:rFonts w:ascii="MS Gothic"/>
          <w:color w:val="B02045"/>
          <w:w w:val="110"/>
        </w:rPr>
        <w:t>application.properties</w:t>
      </w:r>
      <w:r>
        <w:rPr>
          <w:color w:val="333333"/>
          <w:w w:val="110"/>
        </w:rPr>
        <w:t>).</w:t>
      </w:r>
    </w:p>
    <w:p w14:paraId="3A0FE3F7" w14:textId="77777777" w:rsidR="00A720EB" w:rsidRDefault="0030286B">
      <w:pPr>
        <w:pStyle w:val="a3"/>
        <w:spacing w:before="228"/>
        <w:ind w:left="124"/>
        <w:jc w:val="both"/>
      </w:pPr>
      <w:r>
        <w:rPr>
          <w:color w:val="333333"/>
          <w:w w:val="110"/>
        </w:rPr>
        <w:t xml:space="preserve">The following table shows how the </w:t>
      </w:r>
      <w:proofErr w:type="gramStart"/>
      <w:r>
        <w:rPr>
          <w:rFonts w:ascii="MS Gothic"/>
          <w:color w:val="B02045"/>
          <w:w w:val="110"/>
        </w:rPr>
        <w:t>logging.*</w:t>
      </w:r>
      <w:proofErr w:type="gramEnd"/>
      <w:r>
        <w:rPr>
          <w:rFonts w:ascii="MS Gothic"/>
          <w:color w:val="B02045"/>
          <w:spacing w:val="-53"/>
          <w:w w:val="110"/>
        </w:rPr>
        <w:t xml:space="preserve"> </w:t>
      </w:r>
      <w:r>
        <w:rPr>
          <w:color w:val="333333"/>
          <w:w w:val="110"/>
        </w:rPr>
        <w:t>properties can be used together:</w:t>
      </w:r>
    </w:p>
    <w:p w14:paraId="0EA95C11" w14:textId="77777777" w:rsidR="00A720EB" w:rsidRDefault="00A720EB">
      <w:pPr>
        <w:pStyle w:val="a3"/>
        <w:spacing w:before="4"/>
        <w:rPr>
          <w:sz w:val="23"/>
        </w:rPr>
      </w:pPr>
    </w:p>
    <w:p w14:paraId="123DA9C8" w14:textId="77777777" w:rsidR="00A720EB" w:rsidRDefault="0030286B">
      <w:pPr>
        <w:spacing w:before="1"/>
        <w:ind w:left="124"/>
        <w:jc w:val="both"/>
        <w:rPr>
          <w:rFonts w:ascii="Palatino Linotype"/>
          <w:i/>
          <w:sz w:val="20"/>
        </w:rPr>
      </w:pPr>
      <w:r>
        <w:rPr>
          <w:rFonts w:ascii="Palatino Linotype"/>
          <w:i/>
          <w:color w:val="333333"/>
          <w:w w:val="115"/>
          <w:sz w:val="20"/>
        </w:rPr>
        <w:t>Table 7. Logging properties</w:t>
      </w:r>
    </w:p>
    <w:p w14:paraId="62A71A92" w14:textId="77777777" w:rsidR="00A720EB" w:rsidRDefault="00A720EB">
      <w:pPr>
        <w:pStyle w:val="a3"/>
        <w:spacing w:before="6"/>
        <w:rPr>
          <w:rFonts w:ascii="Palatino Linotype"/>
          <w:i/>
          <w:sz w:val="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425"/>
        <w:gridCol w:w="1425"/>
        <w:gridCol w:w="1425"/>
        <w:gridCol w:w="5700"/>
      </w:tblGrid>
      <w:tr w:rsidR="00A720EB" w14:paraId="74A52F81" w14:textId="77777777">
        <w:trPr>
          <w:trHeight w:val="617"/>
        </w:trPr>
        <w:tc>
          <w:tcPr>
            <w:tcW w:w="1425" w:type="dxa"/>
            <w:tcBorders>
              <w:bottom w:val="single" w:sz="12" w:space="0" w:color="DDDDDD"/>
            </w:tcBorders>
          </w:tcPr>
          <w:p w14:paraId="3FB346BB" w14:textId="77777777" w:rsidR="00A720EB" w:rsidRDefault="0030286B">
            <w:pPr>
              <w:pStyle w:val="TableParagraph"/>
              <w:spacing w:before="40" w:line="264" w:lineRule="exact"/>
              <w:rPr>
                <w:sz w:val="21"/>
              </w:rPr>
            </w:pPr>
            <w:proofErr w:type="gramStart"/>
            <w:r>
              <w:rPr>
                <w:color w:val="B02045"/>
                <w:sz w:val="21"/>
              </w:rPr>
              <w:t>logging.file</w:t>
            </w:r>
            <w:proofErr w:type="gramEnd"/>
          </w:p>
          <w:p w14:paraId="5BAD38CB" w14:textId="77777777" w:rsidR="00A720EB" w:rsidRDefault="0030286B">
            <w:pPr>
              <w:pStyle w:val="TableParagraph"/>
              <w:spacing w:before="0" w:line="264" w:lineRule="exact"/>
              <w:rPr>
                <w:sz w:val="21"/>
              </w:rPr>
            </w:pPr>
            <w:r>
              <w:rPr>
                <w:color w:val="B02045"/>
                <w:sz w:val="21"/>
              </w:rPr>
              <w:t>.name</w:t>
            </w:r>
          </w:p>
        </w:tc>
        <w:tc>
          <w:tcPr>
            <w:tcW w:w="1425" w:type="dxa"/>
            <w:tcBorders>
              <w:bottom w:val="single" w:sz="12" w:space="0" w:color="DDDDDD"/>
            </w:tcBorders>
          </w:tcPr>
          <w:p w14:paraId="1F689AD1" w14:textId="77777777" w:rsidR="00A720EB" w:rsidRDefault="0030286B">
            <w:pPr>
              <w:pStyle w:val="TableParagraph"/>
              <w:spacing w:before="40" w:line="264" w:lineRule="exact"/>
              <w:rPr>
                <w:sz w:val="21"/>
              </w:rPr>
            </w:pPr>
            <w:proofErr w:type="gramStart"/>
            <w:r>
              <w:rPr>
                <w:color w:val="B02045"/>
                <w:sz w:val="21"/>
              </w:rPr>
              <w:t>logging.file</w:t>
            </w:r>
            <w:proofErr w:type="gramEnd"/>
          </w:p>
          <w:p w14:paraId="0B07F9F4" w14:textId="77777777" w:rsidR="00A720EB" w:rsidRDefault="0030286B">
            <w:pPr>
              <w:pStyle w:val="TableParagraph"/>
              <w:spacing w:before="0" w:line="264" w:lineRule="exact"/>
              <w:rPr>
                <w:sz w:val="21"/>
              </w:rPr>
            </w:pPr>
            <w:proofErr w:type="gramStart"/>
            <w:r>
              <w:rPr>
                <w:color w:val="B02045"/>
                <w:sz w:val="21"/>
              </w:rPr>
              <w:t>.path</w:t>
            </w:r>
            <w:proofErr w:type="gramEnd"/>
          </w:p>
        </w:tc>
        <w:tc>
          <w:tcPr>
            <w:tcW w:w="1425" w:type="dxa"/>
            <w:tcBorders>
              <w:bottom w:val="single" w:sz="12" w:space="0" w:color="DDDDDD"/>
            </w:tcBorders>
          </w:tcPr>
          <w:p w14:paraId="4C0CB7B1" w14:textId="77777777" w:rsidR="00A720EB" w:rsidRDefault="0030286B">
            <w:pPr>
              <w:pStyle w:val="TableParagraph"/>
              <w:spacing w:before="74"/>
              <w:rPr>
                <w:rFonts w:ascii="Palatino Linotype"/>
                <w:b/>
                <w:sz w:val="21"/>
              </w:rPr>
            </w:pPr>
            <w:r>
              <w:rPr>
                <w:rFonts w:ascii="Palatino Linotype"/>
                <w:b/>
                <w:color w:val="333333"/>
                <w:w w:val="115"/>
                <w:sz w:val="21"/>
              </w:rPr>
              <w:t>Example</w:t>
            </w:r>
          </w:p>
        </w:tc>
        <w:tc>
          <w:tcPr>
            <w:tcW w:w="5700" w:type="dxa"/>
            <w:tcBorders>
              <w:bottom w:val="single" w:sz="12" w:space="0" w:color="DDDDDD"/>
            </w:tcBorders>
          </w:tcPr>
          <w:p w14:paraId="1EEFE808"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546600B3" w14:textId="77777777">
        <w:trPr>
          <w:trHeight w:val="415"/>
        </w:trPr>
        <w:tc>
          <w:tcPr>
            <w:tcW w:w="1425" w:type="dxa"/>
            <w:tcBorders>
              <w:top w:val="single" w:sz="12" w:space="0" w:color="DDDDDD"/>
            </w:tcBorders>
          </w:tcPr>
          <w:p w14:paraId="001C5556" w14:textId="77777777" w:rsidR="00A720EB" w:rsidRDefault="0030286B">
            <w:pPr>
              <w:pStyle w:val="TableParagraph"/>
              <w:spacing w:before="64"/>
              <w:rPr>
                <w:rFonts w:ascii="Palatino Linotype"/>
                <w:i/>
                <w:sz w:val="21"/>
              </w:rPr>
            </w:pPr>
            <w:r>
              <w:rPr>
                <w:rFonts w:ascii="Palatino Linotype"/>
                <w:i/>
                <w:color w:val="333333"/>
                <w:w w:val="115"/>
                <w:sz w:val="21"/>
              </w:rPr>
              <w:t>(none)</w:t>
            </w:r>
          </w:p>
        </w:tc>
        <w:tc>
          <w:tcPr>
            <w:tcW w:w="1425" w:type="dxa"/>
            <w:tcBorders>
              <w:top w:val="single" w:sz="12" w:space="0" w:color="DDDDDD"/>
            </w:tcBorders>
          </w:tcPr>
          <w:p w14:paraId="5A028641" w14:textId="77777777" w:rsidR="00A720EB" w:rsidRDefault="0030286B">
            <w:pPr>
              <w:pStyle w:val="TableParagraph"/>
              <w:spacing w:before="64"/>
              <w:rPr>
                <w:rFonts w:ascii="Palatino Linotype"/>
                <w:i/>
                <w:sz w:val="21"/>
              </w:rPr>
            </w:pPr>
            <w:r>
              <w:rPr>
                <w:rFonts w:ascii="Palatino Linotype"/>
                <w:i/>
                <w:color w:val="333333"/>
                <w:w w:val="115"/>
                <w:sz w:val="21"/>
              </w:rPr>
              <w:t>(none)</w:t>
            </w:r>
          </w:p>
        </w:tc>
        <w:tc>
          <w:tcPr>
            <w:tcW w:w="1425" w:type="dxa"/>
            <w:tcBorders>
              <w:top w:val="single" w:sz="12" w:space="0" w:color="DDDDDD"/>
            </w:tcBorders>
          </w:tcPr>
          <w:p w14:paraId="2DE5466E" w14:textId="77777777" w:rsidR="00A720EB" w:rsidRDefault="00A720EB">
            <w:pPr>
              <w:pStyle w:val="TableParagraph"/>
              <w:spacing w:before="0"/>
              <w:ind w:left="0"/>
              <w:rPr>
                <w:rFonts w:ascii="Times New Roman"/>
                <w:sz w:val="20"/>
              </w:rPr>
            </w:pPr>
          </w:p>
        </w:tc>
        <w:tc>
          <w:tcPr>
            <w:tcW w:w="5700" w:type="dxa"/>
            <w:tcBorders>
              <w:top w:val="single" w:sz="12" w:space="0" w:color="DDDDDD"/>
            </w:tcBorders>
          </w:tcPr>
          <w:p w14:paraId="4FCBB184" w14:textId="77777777" w:rsidR="00A720EB" w:rsidRDefault="0030286B">
            <w:pPr>
              <w:pStyle w:val="TableParagraph"/>
              <w:spacing w:before="84"/>
              <w:rPr>
                <w:rFonts w:ascii="Cambria"/>
                <w:sz w:val="21"/>
              </w:rPr>
            </w:pPr>
            <w:r>
              <w:rPr>
                <w:rFonts w:ascii="Cambria"/>
                <w:color w:val="333333"/>
                <w:w w:val="110"/>
                <w:sz w:val="21"/>
              </w:rPr>
              <w:t>Console only logging.</w:t>
            </w:r>
          </w:p>
        </w:tc>
      </w:tr>
      <w:tr w:rsidR="00A720EB" w14:paraId="4B8C7173" w14:textId="77777777">
        <w:trPr>
          <w:trHeight w:val="741"/>
        </w:trPr>
        <w:tc>
          <w:tcPr>
            <w:tcW w:w="1425" w:type="dxa"/>
          </w:tcPr>
          <w:p w14:paraId="6835B482" w14:textId="77777777" w:rsidR="00A720EB" w:rsidRDefault="0030286B">
            <w:pPr>
              <w:pStyle w:val="TableParagraph"/>
              <w:spacing w:before="94"/>
              <w:rPr>
                <w:rFonts w:ascii="Cambria"/>
                <w:sz w:val="21"/>
              </w:rPr>
            </w:pPr>
            <w:r>
              <w:rPr>
                <w:rFonts w:ascii="Cambria"/>
                <w:color w:val="333333"/>
                <w:w w:val="115"/>
                <w:sz w:val="21"/>
              </w:rPr>
              <w:t>Specific file</w:t>
            </w:r>
          </w:p>
        </w:tc>
        <w:tc>
          <w:tcPr>
            <w:tcW w:w="1425" w:type="dxa"/>
          </w:tcPr>
          <w:p w14:paraId="6F5AC520" w14:textId="77777777" w:rsidR="00A720EB" w:rsidRDefault="0030286B">
            <w:pPr>
              <w:pStyle w:val="TableParagraph"/>
              <w:spacing w:before="74"/>
              <w:rPr>
                <w:rFonts w:ascii="Palatino Linotype"/>
                <w:i/>
                <w:sz w:val="21"/>
              </w:rPr>
            </w:pPr>
            <w:r>
              <w:rPr>
                <w:rFonts w:ascii="Palatino Linotype"/>
                <w:i/>
                <w:color w:val="333333"/>
                <w:w w:val="115"/>
                <w:sz w:val="21"/>
              </w:rPr>
              <w:t>(none)</w:t>
            </w:r>
          </w:p>
        </w:tc>
        <w:tc>
          <w:tcPr>
            <w:tcW w:w="1425" w:type="dxa"/>
          </w:tcPr>
          <w:p w14:paraId="08495E08" w14:textId="77777777" w:rsidR="00A720EB" w:rsidRDefault="0030286B">
            <w:pPr>
              <w:pStyle w:val="TableParagraph"/>
              <w:spacing w:before="40"/>
              <w:rPr>
                <w:sz w:val="21"/>
              </w:rPr>
            </w:pPr>
            <w:r>
              <w:rPr>
                <w:color w:val="B02045"/>
                <w:sz w:val="21"/>
              </w:rPr>
              <w:t>my.log</w:t>
            </w:r>
          </w:p>
        </w:tc>
        <w:tc>
          <w:tcPr>
            <w:tcW w:w="5700" w:type="dxa"/>
          </w:tcPr>
          <w:p w14:paraId="01A900B3" w14:textId="77777777" w:rsidR="00A720EB" w:rsidRDefault="0030286B">
            <w:pPr>
              <w:pStyle w:val="TableParagraph"/>
              <w:spacing w:before="31" w:line="310" w:lineRule="atLeast"/>
              <w:rPr>
                <w:rFonts w:ascii="Cambria"/>
                <w:sz w:val="21"/>
              </w:rPr>
            </w:pPr>
            <w:r>
              <w:rPr>
                <w:rFonts w:ascii="Cambria"/>
                <w:color w:val="333333"/>
                <w:w w:val="110"/>
                <w:sz w:val="21"/>
              </w:rPr>
              <w:t>Writes to the specified log file. Names can be an exact location or relative to the current directory.</w:t>
            </w:r>
          </w:p>
        </w:tc>
      </w:tr>
      <w:tr w:rsidR="00A720EB" w14:paraId="2E45B4BF" w14:textId="77777777">
        <w:trPr>
          <w:trHeight w:val="741"/>
        </w:trPr>
        <w:tc>
          <w:tcPr>
            <w:tcW w:w="1425" w:type="dxa"/>
          </w:tcPr>
          <w:p w14:paraId="65E918E0" w14:textId="77777777" w:rsidR="00A720EB" w:rsidRDefault="0030286B">
            <w:pPr>
              <w:pStyle w:val="TableParagraph"/>
              <w:spacing w:before="74"/>
              <w:rPr>
                <w:rFonts w:ascii="Palatino Linotype"/>
                <w:i/>
                <w:sz w:val="21"/>
              </w:rPr>
            </w:pPr>
            <w:r>
              <w:rPr>
                <w:rFonts w:ascii="Palatino Linotype"/>
                <w:i/>
                <w:color w:val="333333"/>
                <w:w w:val="115"/>
                <w:sz w:val="21"/>
              </w:rPr>
              <w:t>(none)</w:t>
            </w:r>
          </w:p>
        </w:tc>
        <w:tc>
          <w:tcPr>
            <w:tcW w:w="1425" w:type="dxa"/>
          </w:tcPr>
          <w:p w14:paraId="3A6C3559" w14:textId="77777777" w:rsidR="00A720EB" w:rsidRDefault="0030286B">
            <w:pPr>
              <w:pStyle w:val="TableParagraph"/>
              <w:spacing w:before="31" w:line="310" w:lineRule="atLeast"/>
              <w:ind w:right="419"/>
              <w:rPr>
                <w:rFonts w:ascii="Cambria"/>
                <w:sz w:val="21"/>
              </w:rPr>
            </w:pPr>
            <w:r>
              <w:rPr>
                <w:rFonts w:ascii="Cambria"/>
                <w:color w:val="333333"/>
                <w:w w:val="110"/>
                <w:sz w:val="21"/>
              </w:rPr>
              <w:t>Specific directory</w:t>
            </w:r>
          </w:p>
        </w:tc>
        <w:tc>
          <w:tcPr>
            <w:tcW w:w="1425" w:type="dxa"/>
          </w:tcPr>
          <w:p w14:paraId="6447675B" w14:textId="77777777" w:rsidR="00A720EB" w:rsidRDefault="0030286B">
            <w:pPr>
              <w:pStyle w:val="TableParagraph"/>
              <w:spacing w:before="40"/>
              <w:rPr>
                <w:sz w:val="21"/>
              </w:rPr>
            </w:pPr>
            <w:r>
              <w:rPr>
                <w:color w:val="B02045"/>
                <w:sz w:val="21"/>
              </w:rPr>
              <w:t>/var/log</w:t>
            </w:r>
          </w:p>
        </w:tc>
        <w:tc>
          <w:tcPr>
            <w:tcW w:w="5700" w:type="dxa"/>
          </w:tcPr>
          <w:p w14:paraId="2254E79A" w14:textId="77777777" w:rsidR="00A720EB" w:rsidRDefault="0030286B">
            <w:pPr>
              <w:pStyle w:val="TableParagraph"/>
              <w:spacing w:before="84" w:line="290" w:lineRule="auto"/>
              <w:rPr>
                <w:rFonts w:ascii="Cambria"/>
                <w:sz w:val="21"/>
              </w:rPr>
            </w:pPr>
            <w:r>
              <w:rPr>
                <w:rFonts w:ascii="Cambria"/>
                <w:color w:val="333333"/>
                <w:w w:val="110"/>
                <w:sz w:val="21"/>
              </w:rPr>
              <w:t xml:space="preserve">Writes </w:t>
            </w:r>
            <w:r>
              <w:rPr>
                <w:color w:val="B02045"/>
                <w:w w:val="110"/>
                <w:sz w:val="21"/>
              </w:rPr>
              <w:t>spring.log</w:t>
            </w:r>
            <w:r>
              <w:rPr>
                <w:color w:val="B02045"/>
                <w:spacing w:val="-71"/>
                <w:w w:val="110"/>
                <w:sz w:val="21"/>
              </w:rPr>
              <w:t xml:space="preserve"> </w:t>
            </w:r>
            <w:r>
              <w:rPr>
                <w:rFonts w:ascii="Cambria"/>
                <w:color w:val="333333"/>
                <w:w w:val="110"/>
                <w:sz w:val="21"/>
              </w:rPr>
              <w:t xml:space="preserve">to the specified </w:t>
            </w:r>
            <w:r>
              <w:rPr>
                <w:rFonts w:ascii="Cambria"/>
                <w:color w:val="333333"/>
                <w:spacing w:val="-3"/>
                <w:w w:val="110"/>
                <w:sz w:val="21"/>
              </w:rPr>
              <w:t xml:space="preserve">directory. </w:t>
            </w:r>
            <w:r>
              <w:rPr>
                <w:rFonts w:ascii="Cambria"/>
                <w:color w:val="333333"/>
                <w:w w:val="110"/>
                <w:sz w:val="21"/>
              </w:rPr>
              <w:t xml:space="preserve">Names can be an exact location or relative to the current </w:t>
            </w:r>
            <w:r>
              <w:rPr>
                <w:rFonts w:ascii="Cambria"/>
                <w:color w:val="333333"/>
                <w:spacing w:val="-3"/>
                <w:w w:val="110"/>
                <w:sz w:val="21"/>
              </w:rPr>
              <w:t>directory.</w:t>
            </w:r>
          </w:p>
        </w:tc>
      </w:tr>
    </w:tbl>
    <w:p w14:paraId="4333C6E6" w14:textId="77777777" w:rsidR="00A720EB" w:rsidRDefault="00A720EB">
      <w:pPr>
        <w:pStyle w:val="a3"/>
        <w:spacing w:before="8"/>
        <w:rPr>
          <w:rFonts w:ascii="Palatino Linotype"/>
          <w:i/>
          <w:sz w:val="19"/>
        </w:rPr>
      </w:pPr>
    </w:p>
    <w:p w14:paraId="34623248" w14:textId="77777777" w:rsidR="00A720EB" w:rsidRDefault="0030286B">
      <w:pPr>
        <w:pStyle w:val="a3"/>
        <w:ind w:left="124"/>
        <w:jc w:val="both"/>
        <w:rPr>
          <w:rFonts w:ascii="MS Gothic"/>
        </w:rPr>
      </w:pPr>
      <w:r>
        <w:rPr>
          <w:color w:val="333333"/>
          <w:w w:val="105"/>
        </w:rPr>
        <w:t xml:space="preserve">Log files rotate when they reach 10 MB and, as with console output, </w:t>
      </w:r>
      <w:r>
        <w:rPr>
          <w:rFonts w:ascii="MS Gothic"/>
          <w:color w:val="B02045"/>
          <w:w w:val="105"/>
        </w:rPr>
        <w:t>ERROR</w:t>
      </w:r>
      <w:r>
        <w:rPr>
          <w:color w:val="333333"/>
          <w:w w:val="105"/>
        </w:rPr>
        <w:t xml:space="preserve">-level, </w:t>
      </w:r>
      <w:r>
        <w:rPr>
          <w:rFonts w:ascii="MS Gothic"/>
          <w:color w:val="B02045"/>
          <w:w w:val="105"/>
        </w:rPr>
        <w:t>WARN</w:t>
      </w:r>
      <w:r>
        <w:rPr>
          <w:color w:val="333333"/>
          <w:w w:val="105"/>
        </w:rPr>
        <w:t xml:space="preserve">-level, and </w:t>
      </w:r>
      <w:r>
        <w:rPr>
          <w:rFonts w:ascii="MS Gothic"/>
          <w:color w:val="B02045"/>
          <w:w w:val="105"/>
        </w:rPr>
        <w:t>INFO</w:t>
      </w:r>
    </w:p>
    <w:p w14:paraId="362FCDFF" w14:textId="77777777" w:rsidR="00A720EB" w:rsidRDefault="0030286B">
      <w:pPr>
        <w:pStyle w:val="a3"/>
        <w:spacing w:before="47" w:line="280" w:lineRule="auto"/>
        <w:ind w:left="124" w:right="122"/>
        <w:jc w:val="both"/>
      </w:pPr>
      <w:r>
        <w:rPr>
          <w:color w:val="333333"/>
          <w:w w:val="110"/>
        </w:rPr>
        <w:t xml:space="preserve">-level messages are logged </w:t>
      </w:r>
      <w:r>
        <w:rPr>
          <w:color w:val="333333"/>
          <w:spacing w:val="-3"/>
          <w:w w:val="110"/>
        </w:rPr>
        <w:t xml:space="preserve">by </w:t>
      </w:r>
      <w:r>
        <w:rPr>
          <w:color w:val="333333"/>
          <w:w w:val="110"/>
        </w:rPr>
        <w:t xml:space="preserve">default. Size limits can be changed using the </w:t>
      </w:r>
      <w:r>
        <w:rPr>
          <w:rFonts w:ascii="MS Gothic"/>
          <w:color w:val="B02045"/>
          <w:w w:val="110"/>
        </w:rPr>
        <w:t xml:space="preserve">logging.file.max-size </w:t>
      </w:r>
      <w:r>
        <w:rPr>
          <w:color w:val="333333"/>
          <w:spacing w:val="-3"/>
          <w:w w:val="110"/>
        </w:rPr>
        <w:t>property.</w:t>
      </w:r>
      <w:r>
        <w:rPr>
          <w:color w:val="333333"/>
          <w:spacing w:val="-5"/>
          <w:w w:val="110"/>
        </w:rPr>
        <w:t xml:space="preserve"> </w:t>
      </w:r>
      <w:r>
        <w:rPr>
          <w:color w:val="333333"/>
          <w:w w:val="110"/>
        </w:rPr>
        <w:t>Rotated</w:t>
      </w:r>
      <w:r>
        <w:rPr>
          <w:color w:val="333333"/>
          <w:spacing w:val="-5"/>
          <w:w w:val="110"/>
        </w:rPr>
        <w:t xml:space="preserve"> </w:t>
      </w:r>
      <w:r>
        <w:rPr>
          <w:color w:val="333333"/>
          <w:w w:val="110"/>
        </w:rPr>
        <w:t>log</w:t>
      </w:r>
      <w:r>
        <w:rPr>
          <w:color w:val="333333"/>
          <w:spacing w:val="-4"/>
          <w:w w:val="110"/>
        </w:rPr>
        <w:t xml:space="preserve"> </w:t>
      </w:r>
      <w:r>
        <w:rPr>
          <w:color w:val="333333"/>
          <w:w w:val="110"/>
        </w:rPr>
        <w:t>files</w:t>
      </w:r>
      <w:r>
        <w:rPr>
          <w:color w:val="333333"/>
          <w:spacing w:val="-5"/>
          <w:w w:val="110"/>
        </w:rPr>
        <w:t xml:space="preserve"> </w:t>
      </w:r>
      <w:r>
        <w:rPr>
          <w:color w:val="333333"/>
          <w:w w:val="110"/>
        </w:rPr>
        <w:t>of</w:t>
      </w:r>
      <w:r>
        <w:rPr>
          <w:color w:val="333333"/>
          <w:spacing w:val="-4"/>
          <w:w w:val="110"/>
        </w:rPr>
        <w:t xml:space="preserve"> </w:t>
      </w:r>
      <w:r>
        <w:rPr>
          <w:color w:val="333333"/>
          <w:w w:val="110"/>
        </w:rPr>
        <w:t>the</w:t>
      </w:r>
      <w:r>
        <w:rPr>
          <w:color w:val="333333"/>
          <w:spacing w:val="-5"/>
          <w:w w:val="110"/>
        </w:rPr>
        <w:t xml:space="preserve"> </w:t>
      </w:r>
      <w:r>
        <w:rPr>
          <w:color w:val="333333"/>
          <w:w w:val="110"/>
        </w:rPr>
        <w:t>last</w:t>
      </w:r>
      <w:r>
        <w:rPr>
          <w:color w:val="333333"/>
          <w:spacing w:val="-5"/>
          <w:w w:val="110"/>
        </w:rPr>
        <w:t xml:space="preserve"> </w:t>
      </w:r>
      <w:r>
        <w:rPr>
          <w:color w:val="333333"/>
          <w:w w:val="110"/>
        </w:rPr>
        <w:t>7</w:t>
      </w:r>
      <w:r>
        <w:rPr>
          <w:color w:val="333333"/>
          <w:spacing w:val="-4"/>
          <w:w w:val="110"/>
        </w:rPr>
        <w:t xml:space="preserve"> </w:t>
      </w:r>
      <w:r>
        <w:rPr>
          <w:color w:val="333333"/>
          <w:w w:val="110"/>
        </w:rPr>
        <w:t>days</w:t>
      </w:r>
      <w:r>
        <w:rPr>
          <w:color w:val="333333"/>
          <w:spacing w:val="-5"/>
          <w:w w:val="110"/>
        </w:rPr>
        <w:t xml:space="preserve"> </w:t>
      </w:r>
      <w:r>
        <w:rPr>
          <w:color w:val="333333"/>
          <w:w w:val="110"/>
        </w:rPr>
        <w:t>are</w:t>
      </w:r>
      <w:r>
        <w:rPr>
          <w:color w:val="333333"/>
          <w:spacing w:val="-4"/>
          <w:w w:val="110"/>
        </w:rPr>
        <w:t xml:space="preserve"> </w:t>
      </w:r>
      <w:r>
        <w:rPr>
          <w:color w:val="333333"/>
          <w:w w:val="110"/>
        </w:rPr>
        <w:t>kept</w:t>
      </w:r>
      <w:r>
        <w:rPr>
          <w:color w:val="333333"/>
          <w:spacing w:val="-5"/>
          <w:w w:val="110"/>
        </w:rPr>
        <w:t xml:space="preserve"> </w:t>
      </w:r>
      <w:r>
        <w:rPr>
          <w:color w:val="333333"/>
          <w:spacing w:val="-3"/>
          <w:w w:val="110"/>
        </w:rPr>
        <w:t>by</w:t>
      </w:r>
      <w:r>
        <w:rPr>
          <w:color w:val="333333"/>
          <w:spacing w:val="-4"/>
          <w:w w:val="110"/>
        </w:rPr>
        <w:t xml:space="preserve"> </w:t>
      </w:r>
      <w:r>
        <w:rPr>
          <w:color w:val="333333"/>
          <w:w w:val="110"/>
        </w:rPr>
        <w:t>default</w:t>
      </w:r>
      <w:r>
        <w:rPr>
          <w:color w:val="333333"/>
          <w:spacing w:val="-5"/>
          <w:w w:val="110"/>
        </w:rPr>
        <w:t xml:space="preserve"> </w:t>
      </w:r>
      <w:r>
        <w:rPr>
          <w:color w:val="333333"/>
          <w:w w:val="110"/>
        </w:rPr>
        <w:t>unless</w:t>
      </w:r>
      <w:r>
        <w:rPr>
          <w:color w:val="333333"/>
          <w:spacing w:val="-5"/>
          <w:w w:val="110"/>
        </w:rPr>
        <w:t xml:space="preserve"> </w:t>
      </w:r>
      <w:r>
        <w:rPr>
          <w:color w:val="333333"/>
          <w:w w:val="110"/>
        </w:rPr>
        <w:t>the</w:t>
      </w:r>
      <w:r>
        <w:rPr>
          <w:color w:val="333333"/>
          <w:spacing w:val="1"/>
          <w:w w:val="110"/>
        </w:rPr>
        <w:t xml:space="preserve"> </w:t>
      </w:r>
      <w:r>
        <w:rPr>
          <w:rFonts w:ascii="MS Gothic"/>
          <w:color w:val="B02045"/>
          <w:w w:val="110"/>
        </w:rPr>
        <w:t xml:space="preserve">logging.file.max-history </w:t>
      </w:r>
      <w:r>
        <w:rPr>
          <w:color w:val="333333"/>
          <w:w w:val="110"/>
        </w:rPr>
        <w:t xml:space="preserve">property has been set. The total size of log archives can be capped using </w:t>
      </w:r>
      <w:proofErr w:type="gramStart"/>
      <w:r>
        <w:rPr>
          <w:rFonts w:ascii="MS Gothic"/>
          <w:color w:val="B02045"/>
          <w:w w:val="110"/>
        </w:rPr>
        <w:t>logging.file</w:t>
      </w:r>
      <w:proofErr w:type="gramEnd"/>
      <w:r>
        <w:rPr>
          <w:rFonts w:ascii="MS Gothic"/>
          <w:color w:val="B02045"/>
          <w:w w:val="110"/>
        </w:rPr>
        <w:t>.total-size- cap</w:t>
      </w:r>
      <w:r>
        <w:rPr>
          <w:color w:val="333333"/>
          <w:w w:val="110"/>
        </w:rPr>
        <w:t xml:space="preserve">. When the total size of log archives exceeds that threshold, backups will be deleted. </w:t>
      </w:r>
      <w:r>
        <w:rPr>
          <w:color w:val="333333"/>
          <w:spacing w:val="-4"/>
          <w:w w:val="110"/>
        </w:rPr>
        <w:t xml:space="preserve">To </w:t>
      </w:r>
      <w:r>
        <w:rPr>
          <w:color w:val="333333"/>
          <w:w w:val="110"/>
        </w:rPr>
        <w:t>force log archive</w:t>
      </w:r>
      <w:r>
        <w:rPr>
          <w:color w:val="333333"/>
          <w:spacing w:val="-14"/>
          <w:w w:val="110"/>
        </w:rPr>
        <w:t xml:space="preserve"> </w:t>
      </w:r>
      <w:r>
        <w:rPr>
          <w:color w:val="333333"/>
          <w:w w:val="110"/>
        </w:rPr>
        <w:t>cleanup</w:t>
      </w:r>
      <w:r>
        <w:rPr>
          <w:color w:val="333333"/>
          <w:spacing w:val="-12"/>
          <w:w w:val="110"/>
        </w:rPr>
        <w:t xml:space="preserve"> </w:t>
      </w:r>
      <w:r>
        <w:rPr>
          <w:color w:val="333333"/>
          <w:w w:val="110"/>
        </w:rPr>
        <w:t>on</w:t>
      </w:r>
      <w:r>
        <w:rPr>
          <w:color w:val="333333"/>
          <w:spacing w:val="-12"/>
          <w:w w:val="110"/>
        </w:rPr>
        <w:t xml:space="preserve"> </w:t>
      </w:r>
      <w:r>
        <w:rPr>
          <w:color w:val="333333"/>
          <w:w w:val="110"/>
        </w:rPr>
        <w:t>application</w:t>
      </w:r>
      <w:r>
        <w:rPr>
          <w:color w:val="333333"/>
          <w:spacing w:val="-13"/>
          <w:w w:val="110"/>
        </w:rPr>
        <w:t xml:space="preserve"> </w:t>
      </w:r>
      <w:r>
        <w:rPr>
          <w:color w:val="333333"/>
          <w:w w:val="110"/>
        </w:rPr>
        <w:t>startup,</w:t>
      </w:r>
      <w:r>
        <w:rPr>
          <w:color w:val="333333"/>
          <w:spacing w:val="-13"/>
          <w:w w:val="110"/>
        </w:rPr>
        <w:t xml:space="preserve"> </w:t>
      </w:r>
      <w:r>
        <w:rPr>
          <w:color w:val="333333"/>
          <w:w w:val="110"/>
        </w:rPr>
        <w:t>use</w:t>
      </w:r>
      <w:r>
        <w:rPr>
          <w:color w:val="333333"/>
          <w:spacing w:val="-13"/>
          <w:w w:val="110"/>
        </w:rPr>
        <w:t xml:space="preserve"> </w:t>
      </w:r>
      <w:r>
        <w:rPr>
          <w:color w:val="333333"/>
          <w:w w:val="110"/>
        </w:rPr>
        <w:t>the</w:t>
      </w:r>
      <w:r>
        <w:rPr>
          <w:color w:val="333333"/>
          <w:spacing w:val="-8"/>
          <w:w w:val="110"/>
        </w:rPr>
        <w:t xml:space="preserve"> </w:t>
      </w:r>
      <w:proofErr w:type="gramStart"/>
      <w:r>
        <w:rPr>
          <w:rFonts w:ascii="MS Gothic"/>
          <w:color w:val="B02045"/>
          <w:w w:val="110"/>
        </w:rPr>
        <w:t>logging.file</w:t>
      </w:r>
      <w:proofErr w:type="gramEnd"/>
      <w:r>
        <w:rPr>
          <w:rFonts w:ascii="MS Gothic"/>
          <w:color w:val="B02045"/>
          <w:w w:val="110"/>
        </w:rPr>
        <w:t>.clean-history-on-start</w:t>
      </w:r>
      <w:r>
        <w:rPr>
          <w:rFonts w:ascii="MS Gothic"/>
          <w:color w:val="B02045"/>
          <w:spacing w:val="-77"/>
          <w:w w:val="110"/>
        </w:rPr>
        <w:t xml:space="preserve"> </w:t>
      </w:r>
      <w:r>
        <w:rPr>
          <w:color w:val="333333"/>
          <w:spacing w:val="-3"/>
          <w:w w:val="110"/>
        </w:rPr>
        <w:t>property.</w:t>
      </w:r>
    </w:p>
    <w:p w14:paraId="62FE814F" w14:textId="77777777" w:rsidR="00A720EB" w:rsidRDefault="00A720EB">
      <w:pPr>
        <w:pStyle w:val="a3"/>
        <w:spacing w:before="10"/>
        <w:rPr>
          <w:sz w:val="17"/>
        </w:rPr>
      </w:pPr>
    </w:p>
    <w:p w14:paraId="58B38D16" w14:textId="77777777" w:rsidR="00A720EB" w:rsidRDefault="00E10349">
      <w:pPr>
        <w:pStyle w:val="a3"/>
        <w:spacing w:before="125" w:line="295" w:lineRule="auto"/>
        <w:ind w:left="1564" w:right="362"/>
        <w:jc w:val="both"/>
      </w:pPr>
      <w:r>
        <w:pict w14:anchorId="1D183EB6">
          <v:line id="_x0000_s4440" style="position:absolute;left:0;text-align:left;z-index:15889408;mso-position-horizontal-relative:page" from="108.25pt,.25pt" to="108.25pt,55.6pt" strokecolor="#ededed" strokeweight=".5pt">
            <w10:wrap anchorx="page"/>
          </v:line>
        </w:pict>
      </w:r>
      <w:r w:rsidR="0030286B">
        <w:rPr>
          <w:noProof/>
        </w:rPr>
        <w:drawing>
          <wp:anchor distT="0" distB="0" distL="0" distR="0" simplePos="0" relativeHeight="15889920" behindDoc="0" locked="0" layoutInCell="1" allowOverlap="1" wp14:anchorId="462A84C3" wp14:editId="683412F7">
            <wp:simplePos x="0" y="0"/>
            <wp:positionH relativeFrom="page">
              <wp:posOffset>888949</wp:posOffset>
            </wp:positionH>
            <wp:positionV relativeFrom="paragraph">
              <wp:posOffset>202349</wp:posOffset>
            </wp:positionV>
            <wp:extent cx="209550" cy="304800"/>
            <wp:effectExtent l="0" t="0" r="0" b="0"/>
            <wp:wrapNone/>
            <wp:docPr id="20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Logging properties are independent of the actual logging infrastructure.  </w:t>
      </w:r>
      <w:proofErr w:type="gramStart"/>
      <w:r w:rsidR="0030286B">
        <w:rPr>
          <w:color w:val="333333"/>
          <w:w w:val="110"/>
        </w:rPr>
        <w:t>As  a</w:t>
      </w:r>
      <w:proofErr w:type="gramEnd"/>
      <w:r w:rsidR="0030286B">
        <w:rPr>
          <w:color w:val="333333"/>
          <w:w w:val="110"/>
        </w:rPr>
        <w:t xml:space="preserve">  result,</w:t>
      </w:r>
      <w:r w:rsidR="0030286B">
        <w:rPr>
          <w:color w:val="333333"/>
          <w:spacing w:val="-15"/>
          <w:w w:val="110"/>
        </w:rPr>
        <w:t xml:space="preserve"> </w:t>
      </w:r>
      <w:r w:rsidR="0030286B">
        <w:rPr>
          <w:color w:val="333333"/>
          <w:w w:val="110"/>
        </w:rPr>
        <w:t>specific</w:t>
      </w:r>
      <w:r w:rsidR="0030286B">
        <w:rPr>
          <w:color w:val="333333"/>
          <w:spacing w:val="-14"/>
          <w:w w:val="110"/>
        </w:rPr>
        <w:t xml:space="preserve"> </w:t>
      </w:r>
      <w:r w:rsidR="0030286B">
        <w:rPr>
          <w:color w:val="333333"/>
          <w:w w:val="110"/>
        </w:rPr>
        <w:t>configuration</w:t>
      </w:r>
      <w:r w:rsidR="0030286B">
        <w:rPr>
          <w:color w:val="333333"/>
          <w:spacing w:val="-15"/>
          <w:w w:val="110"/>
        </w:rPr>
        <w:t xml:space="preserve"> </w:t>
      </w:r>
      <w:r w:rsidR="0030286B">
        <w:rPr>
          <w:color w:val="333333"/>
          <w:w w:val="110"/>
        </w:rPr>
        <w:t>keys</w:t>
      </w:r>
      <w:r w:rsidR="0030286B">
        <w:rPr>
          <w:color w:val="333333"/>
          <w:spacing w:val="-15"/>
          <w:w w:val="110"/>
        </w:rPr>
        <w:t xml:space="preserve"> </w:t>
      </w:r>
      <w:r w:rsidR="0030286B">
        <w:rPr>
          <w:color w:val="333333"/>
          <w:w w:val="110"/>
        </w:rPr>
        <w:t>(such</w:t>
      </w:r>
      <w:r w:rsidR="0030286B">
        <w:rPr>
          <w:color w:val="333333"/>
          <w:spacing w:val="-14"/>
          <w:w w:val="110"/>
        </w:rPr>
        <w:t xml:space="preserve"> </w:t>
      </w:r>
      <w:r w:rsidR="0030286B">
        <w:rPr>
          <w:color w:val="333333"/>
          <w:w w:val="110"/>
        </w:rPr>
        <w:t>as</w:t>
      </w:r>
      <w:r w:rsidR="0030286B">
        <w:rPr>
          <w:color w:val="333333"/>
          <w:spacing w:val="-14"/>
          <w:w w:val="110"/>
        </w:rPr>
        <w:t xml:space="preserve"> </w:t>
      </w:r>
      <w:r w:rsidR="0030286B">
        <w:rPr>
          <w:rFonts w:ascii="MS Gothic"/>
          <w:color w:val="B02045"/>
          <w:w w:val="110"/>
        </w:rPr>
        <w:t>logback.configurationFile</w:t>
      </w:r>
      <w:r w:rsidR="0030286B">
        <w:rPr>
          <w:rFonts w:ascii="MS Gothic"/>
          <w:color w:val="B02045"/>
          <w:spacing w:val="-79"/>
          <w:w w:val="110"/>
        </w:rPr>
        <w:t xml:space="preserve"> </w:t>
      </w:r>
      <w:r w:rsidR="0030286B">
        <w:rPr>
          <w:color w:val="333333"/>
          <w:w w:val="110"/>
        </w:rPr>
        <w:t>for</w:t>
      </w:r>
      <w:r w:rsidR="0030286B">
        <w:rPr>
          <w:color w:val="333333"/>
          <w:spacing w:val="-15"/>
          <w:w w:val="110"/>
        </w:rPr>
        <w:t xml:space="preserve"> </w:t>
      </w:r>
      <w:r w:rsidR="0030286B">
        <w:rPr>
          <w:color w:val="333333"/>
          <w:w w:val="110"/>
        </w:rPr>
        <w:t xml:space="preserve">Logback) are not managed </w:t>
      </w:r>
      <w:r w:rsidR="0030286B">
        <w:rPr>
          <w:color w:val="333333"/>
          <w:spacing w:val="-3"/>
          <w:w w:val="110"/>
        </w:rPr>
        <w:t xml:space="preserve">by </w:t>
      </w:r>
      <w:r w:rsidR="0030286B">
        <w:rPr>
          <w:color w:val="333333"/>
          <w:w w:val="110"/>
        </w:rPr>
        <w:t>spring</w:t>
      </w:r>
      <w:r w:rsidR="0030286B">
        <w:rPr>
          <w:color w:val="333333"/>
          <w:spacing w:val="17"/>
          <w:w w:val="110"/>
        </w:rPr>
        <w:t xml:space="preserve"> </w:t>
      </w:r>
      <w:r w:rsidR="0030286B">
        <w:rPr>
          <w:color w:val="333333"/>
          <w:w w:val="110"/>
        </w:rPr>
        <w:t>Boot.</w:t>
      </w:r>
    </w:p>
    <w:p w14:paraId="7B387994" w14:textId="77777777" w:rsidR="00A720EB" w:rsidRDefault="00A720EB">
      <w:pPr>
        <w:pStyle w:val="a3"/>
        <w:spacing w:before="5"/>
        <w:rPr>
          <w:sz w:val="24"/>
        </w:rPr>
      </w:pPr>
    </w:p>
    <w:p w14:paraId="409D14E2" w14:textId="77777777" w:rsidR="00A720EB" w:rsidRDefault="0030286B">
      <w:pPr>
        <w:pStyle w:val="3"/>
        <w:numPr>
          <w:ilvl w:val="2"/>
          <w:numId w:val="68"/>
        </w:numPr>
        <w:tabs>
          <w:tab w:val="left" w:pos="858"/>
        </w:tabs>
        <w:spacing w:before="105"/>
        <w:ind w:hanging="734"/>
      </w:pPr>
      <w:bookmarkStart w:id="223" w:name="4.4.4._Log_Levels"/>
      <w:bookmarkStart w:id="224" w:name="_Toc54423739"/>
      <w:bookmarkEnd w:id="223"/>
      <w:r>
        <w:rPr>
          <w:color w:val="333333"/>
          <w:w w:val="110"/>
        </w:rPr>
        <w:t>Log</w:t>
      </w:r>
      <w:r>
        <w:rPr>
          <w:color w:val="333333"/>
          <w:spacing w:val="-6"/>
          <w:w w:val="110"/>
        </w:rPr>
        <w:t xml:space="preserve"> </w:t>
      </w:r>
      <w:r>
        <w:rPr>
          <w:color w:val="333333"/>
          <w:w w:val="110"/>
        </w:rPr>
        <w:t>Levels</w:t>
      </w:r>
      <w:bookmarkEnd w:id="224"/>
    </w:p>
    <w:p w14:paraId="6536EE27" w14:textId="77777777" w:rsidR="00A720EB" w:rsidRDefault="0030286B">
      <w:pPr>
        <w:pStyle w:val="a3"/>
        <w:spacing w:before="243" w:line="280" w:lineRule="auto"/>
        <w:ind w:left="124" w:right="122"/>
        <w:jc w:val="both"/>
      </w:pPr>
      <w:r>
        <w:rPr>
          <w:color w:val="333333"/>
          <w:w w:val="110"/>
        </w:rPr>
        <w:t xml:space="preserve">All the supported logging systems can have the logger levels set in the Spring </w:t>
      </w:r>
      <w:r>
        <w:rPr>
          <w:rFonts w:ascii="MS Gothic"/>
          <w:color w:val="B02045"/>
          <w:w w:val="110"/>
        </w:rPr>
        <w:t xml:space="preserve">Environment </w:t>
      </w:r>
      <w:r>
        <w:rPr>
          <w:color w:val="333333"/>
          <w:w w:val="110"/>
        </w:rPr>
        <w:t xml:space="preserve">(for </w:t>
      </w:r>
      <w:r>
        <w:rPr>
          <w:color w:val="333333"/>
          <w:w w:val="105"/>
        </w:rPr>
        <w:t xml:space="preserve">example, in </w:t>
      </w:r>
      <w:proofErr w:type="gramStart"/>
      <w:r>
        <w:rPr>
          <w:rFonts w:ascii="MS Gothic"/>
          <w:color w:val="B02045"/>
          <w:w w:val="105"/>
        </w:rPr>
        <w:t>application.properties</w:t>
      </w:r>
      <w:proofErr w:type="gramEnd"/>
      <w:r>
        <w:rPr>
          <w:color w:val="333333"/>
          <w:w w:val="105"/>
        </w:rPr>
        <w:t xml:space="preserve">) by using </w:t>
      </w:r>
      <w:r>
        <w:rPr>
          <w:rFonts w:ascii="MS Gothic"/>
          <w:color w:val="B02045"/>
          <w:w w:val="105"/>
        </w:rPr>
        <w:t xml:space="preserve">logging.level.&lt;logger-name&gt;=&lt;level&gt; </w:t>
      </w:r>
      <w:r>
        <w:rPr>
          <w:color w:val="333333"/>
          <w:w w:val="105"/>
        </w:rPr>
        <w:t xml:space="preserve">where </w:t>
      </w:r>
      <w:r>
        <w:rPr>
          <w:rFonts w:ascii="MS Gothic"/>
          <w:color w:val="B02045"/>
          <w:w w:val="105"/>
        </w:rPr>
        <w:t xml:space="preserve">level </w:t>
      </w:r>
      <w:r>
        <w:rPr>
          <w:color w:val="333333"/>
          <w:w w:val="105"/>
        </w:rPr>
        <w:t xml:space="preserve">is </w:t>
      </w:r>
      <w:r>
        <w:rPr>
          <w:color w:val="333333"/>
          <w:w w:val="110"/>
        </w:rPr>
        <w:t xml:space="preserve">one of TRACE, DEBUG, INFO, WARN, ERROR, FATAL, or OFF. The </w:t>
      </w:r>
      <w:r>
        <w:rPr>
          <w:rFonts w:ascii="MS Gothic"/>
          <w:color w:val="B02045"/>
          <w:w w:val="110"/>
        </w:rPr>
        <w:t xml:space="preserve">root </w:t>
      </w:r>
      <w:r>
        <w:rPr>
          <w:color w:val="333333"/>
          <w:w w:val="110"/>
        </w:rPr>
        <w:t xml:space="preserve">logger can be configured by using </w:t>
      </w:r>
      <w:proofErr w:type="gramStart"/>
      <w:r>
        <w:rPr>
          <w:rFonts w:ascii="MS Gothic"/>
          <w:color w:val="B02045"/>
          <w:w w:val="110"/>
        </w:rPr>
        <w:t>logging.level</w:t>
      </w:r>
      <w:proofErr w:type="gramEnd"/>
      <w:r>
        <w:rPr>
          <w:rFonts w:ascii="MS Gothic"/>
          <w:color w:val="B02045"/>
          <w:w w:val="110"/>
        </w:rPr>
        <w:t>.root</w:t>
      </w:r>
      <w:r>
        <w:rPr>
          <w:color w:val="333333"/>
          <w:w w:val="110"/>
        </w:rPr>
        <w:t>.</w:t>
      </w:r>
    </w:p>
    <w:p w14:paraId="075B3606" w14:textId="77777777" w:rsidR="00A720EB" w:rsidRDefault="0030286B">
      <w:pPr>
        <w:pStyle w:val="a3"/>
        <w:spacing w:before="243"/>
        <w:ind w:left="124"/>
        <w:jc w:val="both"/>
      </w:pPr>
      <w:r>
        <w:rPr>
          <w:color w:val="333333"/>
          <w:w w:val="110"/>
        </w:rPr>
        <w:t xml:space="preserve">The following example shows potential logging settings in </w:t>
      </w:r>
      <w:proofErr w:type="gramStart"/>
      <w:r>
        <w:rPr>
          <w:rFonts w:ascii="MS Gothic"/>
          <w:color w:val="B02045"/>
          <w:w w:val="110"/>
        </w:rPr>
        <w:t>application.properties</w:t>
      </w:r>
      <w:proofErr w:type="gramEnd"/>
      <w:r>
        <w:rPr>
          <w:color w:val="333333"/>
          <w:w w:val="110"/>
        </w:rPr>
        <w:t>:</w:t>
      </w:r>
    </w:p>
    <w:p w14:paraId="51342E37" w14:textId="77777777" w:rsidR="00A720EB" w:rsidRDefault="00A720EB">
      <w:pPr>
        <w:jc w:val="both"/>
        <w:sectPr w:rsidR="00A720EB">
          <w:pgSz w:w="11910" w:h="16840"/>
          <w:pgMar w:top="640" w:right="840" w:bottom="520" w:left="840" w:header="0" w:footer="323" w:gutter="0"/>
          <w:cols w:space="720"/>
        </w:sectPr>
      </w:pPr>
    </w:p>
    <w:p w14:paraId="59DDC9FF" w14:textId="77777777" w:rsidR="00A720EB" w:rsidRDefault="00E10349">
      <w:pPr>
        <w:pStyle w:val="a3"/>
        <w:ind w:left="116"/>
        <w:rPr>
          <w:sz w:val="20"/>
        </w:rPr>
      </w:pPr>
      <w:r>
        <w:rPr>
          <w:sz w:val="20"/>
        </w:rPr>
      </w:r>
      <w:r>
        <w:rPr>
          <w:sz w:val="20"/>
        </w:rPr>
        <w:pict w14:anchorId="168A1790">
          <v:group id="_x0000_s4436" style="width:499.55pt;height:67pt;mso-position-horizontal-relative:char;mso-position-vertical-relative:line" coordsize="9991,1340">
            <v:shape id="_x0000_s4439" style="position:absolute;left:7;top:7;width:9976;height:1325" coordorigin="8,8" coordsize="9976,1325" path="m9904,8l88,8,56,14,31,31,14,56,8,88r,1164l14,1283r17,25l56,1326r32,6l9904,1332r31,-6l9960,1308r17,-25l9984,1252r,-1164l9977,56,9960,31,9935,14,9904,8xe" fillcolor="#f5f5f5" stroked="f">
              <v:path arrowok="t"/>
            </v:shape>
            <v:shape id="_x0000_s4438" style="position:absolute;left:7;top:7;width:9976;height:1325" coordorigin="8,8" coordsize="9976,1325" path="m88,8r9816,l9935,14r25,17l9977,56r7,32l9984,1252r-7,31l9960,1308r-25,18l9904,1332r-9816,l56,1326,31,1308,14,1283,8,1252,8,88,14,56,31,31,56,14,88,8xe" filled="f" strokecolor="#ccc">
              <v:path arrowok="t"/>
            </v:shape>
            <v:shape id="_x0000_s4437" type="#_x0000_t202" style="position:absolute;left:26;top:22;width:9938;height:1294" filled="f" stroked="f">
              <v:textbox inset="0,0,0,0">
                <w:txbxContent>
                  <w:p w14:paraId="15B5BD32" w14:textId="77777777" w:rsidR="00711A16" w:rsidRDefault="00711A16">
                    <w:pPr>
                      <w:spacing w:before="221" w:line="252" w:lineRule="auto"/>
                      <w:ind w:left="200" w:right="4988"/>
                      <w:rPr>
                        <w:rFonts w:ascii="MS Gothic"/>
                      </w:rPr>
                    </w:pPr>
                    <w:proofErr w:type="gramStart"/>
                    <w:r>
                      <w:rPr>
                        <w:rFonts w:ascii="MS Gothic"/>
                        <w:color w:val="333333"/>
                      </w:rPr>
                      <w:t>logging.level</w:t>
                    </w:r>
                    <w:proofErr w:type="gramEnd"/>
                    <w:r>
                      <w:rPr>
                        <w:rFonts w:ascii="MS Gothic"/>
                        <w:color w:val="333333"/>
                      </w:rPr>
                      <w:t>.root=warn logging.level.org.springframework.web=debug logging.level.org.hibernate=error</w:t>
                    </w:r>
                  </w:p>
                </w:txbxContent>
              </v:textbox>
            </v:shape>
            <w10:anchorlock/>
          </v:group>
        </w:pict>
      </w:r>
    </w:p>
    <w:p w14:paraId="2C9B298F" w14:textId="77777777" w:rsidR="00A720EB" w:rsidRDefault="00A720EB">
      <w:pPr>
        <w:pStyle w:val="a3"/>
        <w:spacing w:before="5"/>
        <w:rPr>
          <w:sz w:val="9"/>
        </w:rPr>
      </w:pPr>
    </w:p>
    <w:p w14:paraId="57961855" w14:textId="77777777" w:rsidR="00A720EB" w:rsidRDefault="0030286B">
      <w:pPr>
        <w:pStyle w:val="a3"/>
        <w:tabs>
          <w:tab w:val="left" w:pos="660"/>
          <w:tab w:val="left" w:pos="1295"/>
          <w:tab w:val="left" w:pos="2344"/>
          <w:tab w:val="left" w:pos="2776"/>
          <w:tab w:val="left" w:pos="3295"/>
          <w:tab w:val="left" w:pos="4261"/>
          <w:tab w:val="left" w:pos="5070"/>
          <w:tab w:val="left" w:pos="5849"/>
          <w:tab w:val="left" w:pos="7399"/>
          <w:tab w:val="left" w:pos="8614"/>
          <w:tab w:val="left" w:pos="9187"/>
        </w:tabs>
        <w:spacing w:before="126"/>
        <w:ind w:left="124"/>
      </w:pPr>
      <w:r>
        <w:rPr>
          <w:color w:val="333333"/>
          <w:w w:val="110"/>
        </w:rPr>
        <w:t>It’s</w:t>
      </w:r>
      <w:r>
        <w:rPr>
          <w:color w:val="333333"/>
          <w:w w:val="110"/>
        </w:rPr>
        <w:tab/>
        <w:t>also</w:t>
      </w:r>
      <w:r>
        <w:rPr>
          <w:color w:val="333333"/>
          <w:w w:val="110"/>
        </w:rPr>
        <w:tab/>
        <w:t>possible</w:t>
      </w:r>
      <w:r>
        <w:rPr>
          <w:color w:val="333333"/>
          <w:w w:val="110"/>
        </w:rPr>
        <w:tab/>
        <w:t>to</w:t>
      </w:r>
      <w:r>
        <w:rPr>
          <w:color w:val="333333"/>
          <w:w w:val="110"/>
        </w:rPr>
        <w:tab/>
        <w:t>set</w:t>
      </w:r>
      <w:r>
        <w:rPr>
          <w:color w:val="333333"/>
          <w:w w:val="110"/>
        </w:rPr>
        <w:tab/>
        <w:t>logging</w:t>
      </w:r>
      <w:r>
        <w:rPr>
          <w:color w:val="333333"/>
          <w:w w:val="110"/>
        </w:rPr>
        <w:tab/>
        <w:t>levels</w:t>
      </w:r>
      <w:r>
        <w:rPr>
          <w:color w:val="333333"/>
          <w:w w:val="110"/>
        </w:rPr>
        <w:tab/>
        <w:t>using</w:t>
      </w:r>
      <w:r>
        <w:rPr>
          <w:color w:val="333333"/>
          <w:w w:val="110"/>
        </w:rPr>
        <w:tab/>
        <w:t>environment</w:t>
      </w:r>
      <w:r>
        <w:rPr>
          <w:color w:val="333333"/>
          <w:w w:val="110"/>
        </w:rPr>
        <w:tab/>
        <w:t>variables.</w:t>
      </w:r>
      <w:r>
        <w:rPr>
          <w:color w:val="333333"/>
          <w:w w:val="110"/>
        </w:rPr>
        <w:tab/>
      </w:r>
      <w:r>
        <w:rPr>
          <w:color w:val="333333"/>
          <w:spacing w:val="-4"/>
          <w:w w:val="110"/>
        </w:rPr>
        <w:t>For</w:t>
      </w:r>
      <w:r>
        <w:rPr>
          <w:color w:val="333333"/>
          <w:spacing w:val="-4"/>
          <w:w w:val="110"/>
        </w:rPr>
        <w:tab/>
      </w:r>
      <w:r>
        <w:rPr>
          <w:color w:val="333333"/>
          <w:w w:val="110"/>
        </w:rPr>
        <w:t>example,</w:t>
      </w:r>
    </w:p>
    <w:p w14:paraId="3430565D" w14:textId="77777777" w:rsidR="00A720EB" w:rsidRDefault="0030286B">
      <w:pPr>
        <w:pStyle w:val="a3"/>
        <w:spacing w:before="58"/>
        <w:ind w:left="124"/>
      </w:pPr>
      <w:r>
        <w:rPr>
          <w:rFonts w:ascii="MS Gothic"/>
          <w:color w:val="B02045"/>
        </w:rPr>
        <w:t xml:space="preserve">LOGGING_LEVEL_ORG_SPRINGFRAMEWORK_WEB=DEBUG </w:t>
      </w:r>
      <w:r>
        <w:rPr>
          <w:color w:val="333333"/>
        </w:rPr>
        <w:t xml:space="preserve">will set </w:t>
      </w:r>
      <w:r>
        <w:rPr>
          <w:rFonts w:ascii="MS Gothic"/>
          <w:color w:val="B02045"/>
        </w:rPr>
        <w:t>org.springframework.web</w:t>
      </w:r>
      <w:r>
        <w:rPr>
          <w:rFonts w:ascii="MS Gothic"/>
          <w:color w:val="B02045"/>
          <w:spacing w:val="-67"/>
        </w:rPr>
        <w:t xml:space="preserve"> </w:t>
      </w:r>
      <w:r>
        <w:rPr>
          <w:color w:val="333333"/>
        </w:rPr>
        <w:t xml:space="preserve">to </w:t>
      </w:r>
      <w:r>
        <w:rPr>
          <w:rFonts w:ascii="MS Gothic"/>
          <w:color w:val="B02045"/>
        </w:rPr>
        <w:t>DEBUG</w:t>
      </w:r>
      <w:r>
        <w:rPr>
          <w:color w:val="333333"/>
        </w:rPr>
        <w:t>.</w:t>
      </w:r>
    </w:p>
    <w:p w14:paraId="3D6DED53" w14:textId="77777777" w:rsidR="00A720EB" w:rsidRDefault="00A720EB">
      <w:pPr>
        <w:pStyle w:val="a3"/>
        <w:spacing w:before="6"/>
      </w:pPr>
    </w:p>
    <w:p w14:paraId="3D366431" w14:textId="77777777" w:rsidR="00A720EB" w:rsidRDefault="00E10349">
      <w:pPr>
        <w:pStyle w:val="a3"/>
        <w:spacing w:before="125" w:line="304" w:lineRule="auto"/>
        <w:ind w:left="1564" w:right="366"/>
        <w:jc w:val="both"/>
      </w:pPr>
      <w:r>
        <w:pict w14:anchorId="4AB6AE40">
          <v:line id="_x0000_s4435" style="position:absolute;left:0;text-align:left;z-index:15891968;mso-position-horizontal-relative:page" from="108.25pt,.25pt" to="108.25pt,71.4pt" strokecolor="#ededed" strokeweight=".5pt">
            <w10:wrap anchorx="page"/>
          </v:line>
        </w:pict>
      </w:r>
      <w:r w:rsidR="0030286B">
        <w:rPr>
          <w:noProof/>
        </w:rPr>
        <w:drawing>
          <wp:anchor distT="0" distB="0" distL="0" distR="0" simplePos="0" relativeHeight="15892480" behindDoc="0" locked="0" layoutInCell="1" allowOverlap="1" wp14:anchorId="5D47BD44" wp14:editId="2434C8C0">
            <wp:simplePos x="0" y="0"/>
            <wp:positionH relativeFrom="page">
              <wp:posOffset>844422</wp:posOffset>
            </wp:positionH>
            <wp:positionV relativeFrom="paragraph">
              <wp:posOffset>305727</wp:posOffset>
            </wp:positionV>
            <wp:extent cx="298450" cy="298450"/>
            <wp:effectExtent l="0" t="0" r="0" b="0"/>
            <wp:wrapNone/>
            <wp:docPr id="2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above approach will only work for package level logging. </w:t>
      </w:r>
      <w:proofErr w:type="gramStart"/>
      <w:r w:rsidR="0030286B">
        <w:rPr>
          <w:color w:val="333333"/>
          <w:w w:val="110"/>
        </w:rPr>
        <w:t>Since  relaxed</w:t>
      </w:r>
      <w:proofErr w:type="gramEnd"/>
      <w:r w:rsidR="0030286B">
        <w:rPr>
          <w:color w:val="333333"/>
          <w:w w:val="110"/>
        </w:rPr>
        <w:t xml:space="preserve">   binding always converts environment variables to lowercase, it’s not possible to configure logging for an individual class in this </w:t>
      </w:r>
      <w:r w:rsidR="0030286B">
        <w:rPr>
          <w:color w:val="333333"/>
          <w:spacing w:val="-7"/>
          <w:w w:val="110"/>
        </w:rPr>
        <w:t xml:space="preserve">way. </w:t>
      </w:r>
      <w:r w:rsidR="0030286B">
        <w:rPr>
          <w:color w:val="333333"/>
          <w:w w:val="110"/>
        </w:rPr>
        <w:t xml:space="preserve">If you need to  configure  logging for a class, you can use </w:t>
      </w:r>
      <w:hyperlink w:anchor="_bookmark102" w:history="1">
        <w:r w:rsidR="0030286B">
          <w:rPr>
            <w:color w:val="418BCA"/>
            <w:w w:val="110"/>
          </w:rPr>
          <w:t xml:space="preserve">the </w:t>
        </w:r>
      </w:hyperlink>
      <w:hyperlink w:anchor="_bookmark102" w:history="1">
        <w:r w:rsidR="0030286B">
          <w:rPr>
            <w:rFonts w:ascii="MS Gothic" w:hAnsi="MS Gothic"/>
            <w:color w:val="B02045"/>
            <w:w w:val="110"/>
          </w:rPr>
          <w:t>SPRING_APPLICATION_JSON</w:t>
        </w:r>
        <w:r w:rsidR="0030286B">
          <w:rPr>
            <w:rFonts w:ascii="MS Gothic" w:hAnsi="MS Gothic"/>
            <w:color w:val="B02045"/>
            <w:spacing w:val="-84"/>
            <w:w w:val="110"/>
          </w:rPr>
          <w:t xml:space="preserve"> </w:t>
        </w:r>
      </w:hyperlink>
      <w:r w:rsidR="0030286B">
        <w:rPr>
          <w:color w:val="333333"/>
          <w:w w:val="110"/>
        </w:rPr>
        <w:t>variable.</w:t>
      </w:r>
    </w:p>
    <w:p w14:paraId="6AAE79E0" w14:textId="77777777" w:rsidR="00A720EB" w:rsidRDefault="00A720EB">
      <w:pPr>
        <w:pStyle w:val="a3"/>
        <w:spacing w:before="1"/>
        <w:rPr>
          <w:sz w:val="22"/>
        </w:rPr>
      </w:pPr>
    </w:p>
    <w:p w14:paraId="42866A8E" w14:textId="77777777" w:rsidR="00A720EB" w:rsidRDefault="0030286B">
      <w:pPr>
        <w:pStyle w:val="3"/>
        <w:numPr>
          <w:ilvl w:val="2"/>
          <w:numId w:val="68"/>
        </w:numPr>
        <w:tabs>
          <w:tab w:val="left" w:pos="858"/>
        </w:tabs>
        <w:spacing w:before="105"/>
        <w:ind w:hanging="734"/>
      </w:pPr>
      <w:bookmarkStart w:id="225" w:name="4.4.5._Log_Groups"/>
      <w:bookmarkStart w:id="226" w:name="_Toc54423740"/>
      <w:bookmarkEnd w:id="225"/>
      <w:r>
        <w:rPr>
          <w:color w:val="333333"/>
          <w:w w:val="105"/>
        </w:rPr>
        <w:t>Log</w:t>
      </w:r>
      <w:r>
        <w:rPr>
          <w:color w:val="333333"/>
          <w:spacing w:val="-3"/>
          <w:w w:val="105"/>
        </w:rPr>
        <w:t xml:space="preserve"> </w:t>
      </w:r>
      <w:r>
        <w:rPr>
          <w:color w:val="333333"/>
          <w:w w:val="105"/>
        </w:rPr>
        <w:t>Groups</w:t>
      </w:r>
      <w:bookmarkEnd w:id="226"/>
    </w:p>
    <w:p w14:paraId="39B29DCE" w14:textId="77777777" w:rsidR="00A720EB" w:rsidRDefault="0030286B">
      <w:pPr>
        <w:pStyle w:val="a3"/>
        <w:spacing w:before="254" w:line="285" w:lineRule="auto"/>
        <w:ind w:left="124" w:right="122"/>
        <w:jc w:val="both"/>
      </w:pPr>
      <w:r>
        <w:rPr>
          <w:color w:val="333333"/>
          <w:w w:val="110"/>
        </w:rPr>
        <w:t xml:space="preserve">It’s often useful to be able to group related loggers together so that they can all be configured at the same time. </w:t>
      </w:r>
      <w:r>
        <w:rPr>
          <w:color w:val="333333"/>
          <w:spacing w:val="-4"/>
          <w:w w:val="110"/>
        </w:rPr>
        <w:t xml:space="preserve">For </w:t>
      </w:r>
      <w:r>
        <w:rPr>
          <w:color w:val="333333"/>
          <w:w w:val="110"/>
        </w:rPr>
        <w:t xml:space="preserve">example, you might commonly change the logging levels for </w:t>
      </w:r>
      <w:r>
        <w:rPr>
          <w:rFonts w:ascii="Palatino Linotype" w:hAnsi="Palatino Linotype"/>
          <w:i/>
          <w:color w:val="333333"/>
          <w:w w:val="110"/>
        </w:rPr>
        <w:t xml:space="preserve">all </w:t>
      </w:r>
      <w:r>
        <w:rPr>
          <w:color w:val="333333"/>
          <w:w w:val="110"/>
        </w:rPr>
        <w:t>Tomcat related loggers, but you can’t easily remember top level</w:t>
      </w:r>
      <w:r>
        <w:rPr>
          <w:color w:val="333333"/>
          <w:spacing w:val="27"/>
          <w:w w:val="110"/>
        </w:rPr>
        <w:t xml:space="preserve"> </w:t>
      </w:r>
      <w:r>
        <w:rPr>
          <w:color w:val="333333"/>
          <w:w w:val="110"/>
        </w:rPr>
        <w:t>packages.</w:t>
      </w:r>
    </w:p>
    <w:p w14:paraId="145CC7F9" w14:textId="77777777" w:rsidR="00A720EB" w:rsidRDefault="00A720EB">
      <w:pPr>
        <w:pStyle w:val="a3"/>
        <w:spacing w:before="7"/>
      </w:pPr>
    </w:p>
    <w:p w14:paraId="467050A8" w14:textId="77777777" w:rsidR="00A720EB" w:rsidRDefault="0030286B">
      <w:pPr>
        <w:pStyle w:val="a3"/>
        <w:spacing w:line="280" w:lineRule="auto"/>
        <w:ind w:left="124" w:right="122"/>
        <w:jc w:val="both"/>
      </w:pPr>
      <w:r>
        <w:rPr>
          <w:color w:val="333333"/>
          <w:spacing w:val="-4"/>
          <w:w w:val="110"/>
        </w:rPr>
        <w:t xml:space="preserve">To </w:t>
      </w:r>
      <w:r>
        <w:rPr>
          <w:color w:val="333333"/>
          <w:w w:val="110"/>
        </w:rPr>
        <w:t xml:space="preserve">help with this, Spring Boot allows you to define logging groups in your Spring </w:t>
      </w:r>
      <w:r>
        <w:rPr>
          <w:rFonts w:ascii="MS Gothic" w:hAnsi="MS Gothic"/>
          <w:color w:val="B02045"/>
          <w:w w:val="110"/>
        </w:rPr>
        <w:t>Environment</w:t>
      </w:r>
      <w:r>
        <w:rPr>
          <w:color w:val="333333"/>
          <w:w w:val="110"/>
        </w:rPr>
        <w:t xml:space="preserve">. </w:t>
      </w:r>
      <w:r>
        <w:rPr>
          <w:color w:val="333333"/>
          <w:spacing w:val="-4"/>
          <w:w w:val="110"/>
        </w:rPr>
        <w:t xml:space="preserve">For </w:t>
      </w:r>
      <w:r>
        <w:rPr>
          <w:color w:val="333333"/>
          <w:w w:val="110"/>
        </w:rPr>
        <w:t>example,</w:t>
      </w:r>
      <w:r>
        <w:rPr>
          <w:color w:val="333333"/>
          <w:spacing w:val="-7"/>
          <w:w w:val="110"/>
        </w:rPr>
        <w:t xml:space="preserve"> </w:t>
      </w:r>
      <w:r>
        <w:rPr>
          <w:color w:val="333333"/>
          <w:w w:val="110"/>
        </w:rPr>
        <w:t>here’s</w:t>
      </w:r>
      <w:r>
        <w:rPr>
          <w:color w:val="333333"/>
          <w:spacing w:val="-7"/>
          <w:w w:val="110"/>
        </w:rPr>
        <w:t xml:space="preserve"> </w:t>
      </w:r>
      <w:r>
        <w:rPr>
          <w:color w:val="333333"/>
          <w:w w:val="110"/>
        </w:rPr>
        <w:t>how</w:t>
      </w:r>
      <w:r>
        <w:rPr>
          <w:color w:val="333333"/>
          <w:spacing w:val="-8"/>
          <w:w w:val="110"/>
        </w:rPr>
        <w:t xml:space="preserve"> </w:t>
      </w:r>
      <w:r>
        <w:rPr>
          <w:color w:val="333333"/>
          <w:w w:val="110"/>
        </w:rPr>
        <w:t>you</w:t>
      </w:r>
      <w:r>
        <w:rPr>
          <w:color w:val="333333"/>
          <w:spacing w:val="-7"/>
          <w:w w:val="110"/>
        </w:rPr>
        <w:t xml:space="preserve"> </w:t>
      </w:r>
      <w:r>
        <w:rPr>
          <w:color w:val="333333"/>
          <w:w w:val="110"/>
        </w:rPr>
        <w:t>could</w:t>
      </w:r>
      <w:r>
        <w:rPr>
          <w:color w:val="333333"/>
          <w:spacing w:val="-6"/>
          <w:w w:val="110"/>
        </w:rPr>
        <w:t xml:space="preserve"> </w:t>
      </w:r>
      <w:r>
        <w:rPr>
          <w:color w:val="333333"/>
          <w:w w:val="110"/>
        </w:rPr>
        <w:t>define</w:t>
      </w:r>
      <w:r>
        <w:rPr>
          <w:color w:val="333333"/>
          <w:spacing w:val="-8"/>
          <w:w w:val="110"/>
        </w:rPr>
        <w:t xml:space="preserve"> </w:t>
      </w:r>
      <w:r>
        <w:rPr>
          <w:color w:val="333333"/>
          <w:w w:val="110"/>
        </w:rPr>
        <w:t>a</w:t>
      </w:r>
      <w:r>
        <w:rPr>
          <w:color w:val="333333"/>
          <w:spacing w:val="-7"/>
          <w:w w:val="110"/>
        </w:rPr>
        <w:t xml:space="preserve"> </w:t>
      </w:r>
      <w:r>
        <w:rPr>
          <w:color w:val="333333"/>
          <w:w w:val="110"/>
        </w:rPr>
        <w:t>“tomcat”</w:t>
      </w:r>
      <w:r>
        <w:rPr>
          <w:color w:val="333333"/>
          <w:spacing w:val="-6"/>
          <w:w w:val="110"/>
        </w:rPr>
        <w:t xml:space="preserve"> </w:t>
      </w:r>
      <w:r>
        <w:rPr>
          <w:color w:val="333333"/>
          <w:w w:val="110"/>
        </w:rPr>
        <w:t>group</w:t>
      </w:r>
      <w:r>
        <w:rPr>
          <w:color w:val="333333"/>
          <w:spacing w:val="-7"/>
          <w:w w:val="110"/>
        </w:rPr>
        <w:t xml:space="preserve"> </w:t>
      </w:r>
      <w:r>
        <w:rPr>
          <w:color w:val="333333"/>
          <w:spacing w:val="-3"/>
          <w:w w:val="110"/>
        </w:rPr>
        <w:t>by</w:t>
      </w:r>
      <w:r>
        <w:rPr>
          <w:color w:val="333333"/>
          <w:spacing w:val="-7"/>
          <w:w w:val="110"/>
        </w:rPr>
        <w:t xml:space="preserve"> </w:t>
      </w:r>
      <w:r>
        <w:rPr>
          <w:color w:val="333333"/>
          <w:w w:val="110"/>
        </w:rPr>
        <w:t>adding</w:t>
      </w:r>
      <w:r>
        <w:rPr>
          <w:color w:val="333333"/>
          <w:spacing w:val="-8"/>
          <w:w w:val="110"/>
        </w:rPr>
        <w:t xml:space="preserve"> </w:t>
      </w:r>
      <w:r>
        <w:rPr>
          <w:color w:val="333333"/>
          <w:w w:val="110"/>
        </w:rPr>
        <w:t>it</w:t>
      </w:r>
      <w:r>
        <w:rPr>
          <w:color w:val="333333"/>
          <w:spacing w:val="-7"/>
          <w:w w:val="110"/>
        </w:rPr>
        <w:t xml:space="preserve"> </w:t>
      </w:r>
      <w:r>
        <w:rPr>
          <w:color w:val="333333"/>
          <w:w w:val="110"/>
        </w:rPr>
        <w:t>to</w:t>
      </w:r>
      <w:r>
        <w:rPr>
          <w:color w:val="333333"/>
          <w:spacing w:val="-6"/>
          <w:w w:val="110"/>
        </w:rPr>
        <w:t xml:space="preserve"> </w:t>
      </w:r>
      <w:r>
        <w:rPr>
          <w:color w:val="333333"/>
          <w:w w:val="110"/>
        </w:rPr>
        <w:t>your</w:t>
      </w:r>
      <w:r>
        <w:rPr>
          <w:color w:val="333333"/>
          <w:spacing w:val="-1"/>
          <w:w w:val="110"/>
        </w:rPr>
        <w:t xml:space="preserve"> </w:t>
      </w:r>
      <w:proofErr w:type="gramStart"/>
      <w:r>
        <w:rPr>
          <w:rFonts w:ascii="MS Gothic" w:hAnsi="MS Gothic"/>
          <w:color w:val="B02045"/>
          <w:w w:val="110"/>
        </w:rPr>
        <w:t>application.properties</w:t>
      </w:r>
      <w:proofErr w:type="gramEnd"/>
      <w:r>
        <w:rPr>
          <w:color w:val="333333"/>
          <w:w w:val="110"/>
        </w:rPr>
        <w:t>:</w:t>
      </w:r>
    </w:p>
    <w:p w14:paraId="5DD31585" w14:textId="77777777" w:rsidR="00A720EB" w:rsidRDefault="00E10349">
      <w:pPr>
        <w:pStyle w:val="a3"/>
        <w:spacing w:before="1"/>
        <w:rPr>
          <w:sz w:val="14"/>
        </w:rPr>
      </w:pPr>
      <w:r>
        <w:pict w14:anchorId="18062892">
          <v:group id="_x0000_s4431" style="position:absolute;margin-left:47.85pt;margin-top:10.25pt;width:499.55pt;height:37.5pt;z-index:-15566336;mso-wrap-distance-left:0;mso-wrap-distance-right:0;mso-position-horizontal-relative:page" coordorigin="957,205" coordsize="9991,750">
            <v:shape id="_x0000_s4434" style="position:absolute;left:964;top:212;width:9976;height:735" coordorigin="965,213" coordsize="9976,735" path="m10861,213r-9816,l1014,219r-26,17l971,261r-6,32l965,867r6,31l988,924r26,17l1045,947r9816,l10892,941r25,-17l10935,898r6,-31l10941,293r-6,-32l10917,236r-25,-17l10861,213xe" fillcolor="#f5f5f5" stroked="f">
              <v:path arrowok="t"/>
            </v:shape>
            <v:shape id="_x0000_s4433" style="position:absolute;left:964;top:212;width:9976;height:735" coordorigin="965,213" coordsize="9976,735" path="m1045,213r9816,l10892,219r25,17l10935,261r6,32l10941,867r-6,31l10917,924r-25,17l10861,947r-9816,l1014,941,988,924,971,898r-6,-31l965,293r6,-32l988,236r26,-17l1045,213xe" filled="f" strokecolor="#ccc">
              <v:path arrowok="t"/>
            </v:shape>
            <v:shape id="_x0000_s4432" type="#_x0000_t202" style="position:absolute;left:984;top:228;width:9938;height:704" filled="f" stroked="f">
              <v:textbox inset="0,0,0,0">
                <w:txbxContent>
                  <w:p w14:paraId="3028E724" w14:textId="77777777" w:rsidR="00711A16" w:rsidRDefault="00711A16">
                    <w:pPr>
                      <w:spacing w:before="221"/>
                      <w:ind w:left="200"/>
                      <w:rPr>
                        <w:rFonts w:ascii="MS Gothic"/>
                      </w:rPr>
                    </w:pPr>
                    <w:proofErr w:type="gramStart"/>
                    <w:r>
                      <w:rPr>
                        <w:rFonts w:ascii="MS Gothic"/>
                        <w:color w:val="333333"/>
                      </w:rPr>
                      <w:t>logging.group</w:t>
                    </w:r>
                    <w:proofErr w:type="gramEnd"/>
                    <w:r>
                      <w:rPr>
                        <w:rFonts w:ascii="MS Gothic"/>
                        <w:color w:val="333333"/>
                      </w:rPr>
                      <w:t>.tomcat=org.apache.catalina, org.apache.coyote, org.apache.tomcat</w:t>
                    </w:r>
                  </w:p>
                </w:txbxContent>
              </v:textbox>
            </v:shape>
            <w10:wrap type="topAndBottom" anchorx="page"/>
          </v:group>
        </w:pict>
      </w:r>
    </w:p>
    <w:p w14:paraId="05ED7D04" w14:textId="77777777" w:rsidR="00A720EB" w:rsidRDefault="00A720EB">
      <w:pPr>
        <w:pStyle w:val="a3"/>
        <w:rPr>
          <w:sz w:val="10"/>
        </w:rPr>
      </w:pPr>
    </w:p>
    <w:p w14:paraId="02E1B2F0" w14:textId="77777777" w:rsidR="00A720EB" w:rsidRDefault="0030286B">
      <w:pPr>
        <w:pStyle w:val="a3"/>
        <w:spacing w:before="125"/>
        <w:ind w:left="124"/>
      </w:pPr>
      <w:r>
        <w:rPr>
          <w:color w:val="333333"/>
          <w:w w:val="110"/>
        </w:rPr>
        <w:t>Once defined, you can change the level for all the loggers in the group with a single line:</w:t>
      </w:r>
    </w:p>
    <w:p w14:paraId="279A424F" w14:textId="77777777" w:rsidR="00A720EB" w:rsidRDefault="00E10349">
      <w:pPr>
        <w:pStyle w:val="a3"/>
        <w:rPr>
          <w:sz w:val="19"/>
        </w:rPr>
      </w:pPr>
      <w:r>
        <w:pict w14:anchorId="3F4F3312">
          <v:group id="_x0000_s4427" style="position:absolute;margin-left:47.85pt;margin-top:13.15pt;width:499.55pt;height:37.5pt;z-index:-15565824;mso-wrap-distance-left:0;mso-wrap-distance-right:0;mso-position-horizontal-relative:page" coordorigin="957,263" coordsize="9991,750">
            <v:shape id="_x0000_s4430" style="position:absolute;left:964;top:270;width:9976;height:735" coordorigin="965,270" coordsize="9976,735" path="m10861,270r-9816,l1014,276r-26,18l971,319r-6,31l965,925r6,31l988,982r26,17l1045,1005r9816,l10892,999r25,-17l10935,956r6,-31l10941,350r-6,-31l10917,294r-25,-18l10861,270xe" fillcolor="#f5f5f5" stroked="f">
              <v:path arrowok="t"/>
            </v:shape>
            <v:shape id="_x0000_s4429" style="position:absolute;left:964;top:270;width:9976;height:735" coordorigin="965,270" coordsize="9976,735" path="m1045,270r9816,l10892,276r25,18l10935,319r6,31l10941,925r-6,31l10917,982r-25,17l10861,1005r-9816,l1014,999,988,982,971,956r-6,-31l965,350r6,-31l988,294r26,-18l1045,270xe" filled="f" strokecolor="#ccc">
              <v:path arrowok="t"/>
            </v:shape>
            <v:shape id="_x0000_s4428" type="#_x0000_t202" style="position:absolute;left:984;top:285;width:9938;height:704" filled="f" stroked="f">
              <v:textbox inset="0,0,0,0">
                <w:txbxContent>
                  <w:p w14:paraId="01DAEBFA" w14:textId="77777777" w:rsidR="00711A16" w:rsidRDefault="00711A16">
                    <w:pPr>
                      <w:spacing w:before="221"/>
                      <w:ind w:left="200"/>
                      <w:rPr>
                        <w:rFonts w:ascii="MS Gothic"/>
                      </w:rPr>
                    </w:pPr>
                    <w:proofErr w:type="gramStart"/>
                    <w:r>
                      <w:rPr>
                        <w:rFonts w:ascii="MS Gothic"/>
                        <w:color w:val="333333"/>
                      </w:rPr>
                      <w:t>logging.level</w:t>
                    </w:r>
                    <w:proofErr w:type="gramEnd"/>
                    <w:r>
                      <w:rPr>
                        <w:rFonts w:ascii="MS Gothic"/>
                        <w:color w:val="333333"/>
                      </w:rPr>
                      <w:t>.tomcat=TRACE</w:t>
                    </w:r>
                  </w:p>
                </w:txbxContent>
              </v:textbox>
            </v:shape>
            <w10:wrap type="topAndBottom" anchorx="page"/>
          </v:group>
        </w:pict>
      </w:r>
    </w:p>
    <w:p w14:paraId="63EE8F1D" w14:textId="77777777" w:rsidR="00A720EB" w:rsidRDefault="00A720EB">
      <w:pPr>
        <w:pStyle w:val="a3"/>
        <w:rPr>
          <w:sz w:val="10"/>
        </w:rPr>
      </w:pPr>
    </w:p>
    <w:p w14:paraId="51F54824" w14:textId="77777777" w:rsidR="00A720EB" w:rsidRDefault="0030286B">
      <w:pPr>
        <w:pStyle w:val="a3"/>
        <w:spacing w:before="125"/>
        <w:ind w:left="124"/>
        <w:jc w:val="both"/>
      </w:pPr>
      <w:r>
        <w:rPr>
          <w:color w:val="333333"/>
          <w:w w:val="110"/>
        </w:rPr>
        <w:t>Spring Boot includes the following pre-defined logging groups that can be used out-of-the-box:</w:t>
      </w:r>
    </w:p>
    <w:p w14:paraId="49DD698A"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7981"/>
      </w:tblGrid>
      <w:tr w:rsidR="00A720EB" w14:paraId="0B07CD4A" w14:textId="77777777">
        <w:trPr>
          <w:trHeight w:val="415"/>
        </w:trPr>
        <w:tc>
          <w:tcPr>
            <w:tcW w:w="1995" w:type="dxa"/>
            <w:tcBorders>
              <w:bottom w:val="single" w:sz="12" w:space="0" w:color="DDDDDD"/>
            </w:tcBorders>
          </w:tcPr>
          <w:p w14:paraId="4E26B284"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7981" w:type="dxa"/>
            <w:tcBorders>
              <w:bottom w:val="single" w:sz="12" w:space="0" w:color="DDDDDD"/>
            </w:tcBorders>
          </w:tcPr>
          <w:p w14:paraId="3D9B548F" w14:textId="77777777" w:rsidR="00A720EB" w:rsidRDefault="0030286B">
            <w:pPr>
              <w:pStyle w:val="TableParagraph"/>
              <w:spacing w:before="74"/>
              <w:rPr>
                <w:rFonts w:ascii="Palatino Linotype"/>
                <w:b/>
                <w:sz w:val="21"/>
              </w:rPr>
            </w:pPr>
            <w:r>
              <w:rPr>
                <w:rFonts w:ascii="Palatino Linotype"/>
                <w:b/>
                <w:color w:val="333333"/>
                <w:w w:val="110"/>
                <w:sz w:val="21"/>
              </w:rPr>
              <w:t>Loggers</w:t>
            </w:r>
          </w:p>
        </w:tc>
      </w:tr>
      <w:tr w:rsidR="00A720EB" w14:paraId="1780C7FF" w14:textId="77777777">
        <w:trPr>
          <w:trHeight w:val="977"/>
        </w:trPr>
        <w:tc>
          <w:tcPr>
            <w:tcW w:w="1995" w:type="dxa"/>
            <w:tcBorders>
              <w:top w:val="single" w:sz="12" w:space="0" w:color="DDDDDD"/>
            </w:tcBorders>
          </w:tcPr>
          <w:p w14:paraId="455B5378" w14:textId="77777777" w:rsidR="00A720EB" w:rsidRDefault="0030286B">
            <w:pPr>
              <w:pStyle w:val="TableParagraph"/>
              <w:spacing w:before="84"/>
              <w:rPr>
                <w:rFonts w:ascii="Cambria"/>
                <w:sz w:val="21"/>
              </w:rPr>
            </w:pPr>
            <w:r>
              <w:rPr>
                <w:rFonts w:ascii="Cambria"/>
                <w:color w:val="333333"/>
                <w:w w:val="110"/>
                <w:sz w:val="21"/>
              </w:rPr>
              <w:t>web</w:t>
            </w:r>
          </w:p>
        </w:tc>
        <w:tc>
          <w:tcPr>
            <w:tcW w:w="7981" w:type="dxa"/>
            <w:tcBorders>
              <w:top w:val="single" w:sz="12" w:space="0" w:color="DDDDDD"/>
            </w:tcBorders>
          </w:tcPr>
          <w:p w14:paraId="5B9DF64A" w14:textId="77777777" w:rsidR="00A720EB" w:rsidRDefault="0030286B">
            <w:pPr>
              <w:pStyle w:val="TableParagraph"/>
              <w:spacing w:before="74"/>
              <w:rPr>
                <w:rFonts w:ascii="Cambria"/>
                <w:sz w:val="21"/>
              </w:rPr>
            </w:pPr>
            <w:proofErr w:type="gramStart"/>
            <w:r>
              <w:rPr>
                <w:color w:val="B02045"/>
                <w:sz w:val="21"/>
              </w:rPr>
              <w:t>org.springframework</w:t>
            </w:r>
            <w:proofErr w:type="gramEnd"/>
            <w:r>
              <w:rPr>
                <w:color w:val="B02045"/>
                <w:sz w:val="21"/>
              </w:rPr>
              <w:t>.core.codec</w:t>
            </w:r>
            <w:r>
              <w:rPr>
                <w:rFonts w:ascii="Cambria"/>
                <w:color w:val="333333"/>
                <w:sz w:val="21"/>
              </w:rPr>
              <w:t xml:space="preserve">, </w:t>
            </w:r>
            <w:r>
              <w:rPr>
                <w:color w:val="B02045"/>
                <w:sz w:val="21"/>
              </w:rPr>
              <w:t>org.springframework.http</w:t>
            </w:r>
            <w:r>
              <w:rPr>
                <w:rFonts w:ascii="Cambria"/>
                <w:color w:val="333333"/>
                <w:sz w:val="21"/>
              </w:rPr>
              <w:t>,</w:t>
            </w:r>
          </w:p>
          <w:p w14:paraId="55FE4A9A" w14:textId="77777777" w:rsidR="00A720EB" w:rsidRDefault="0030286B">
            <w:pPr>
              <w:pStyle w:val="TableParagraph"/>
              <w:spacing w:before="55" w:line="230" w:lineRule="auto"/>
              <w:rPr>
                <w:sz w:val="21"/>
              </w:rPr>
            </w:pPr>
            <w:r>
              <w:rPr>
                <w:color w:val="B02045"/>
                <w:sz w:val="21"/>
              </w:rPr>
              <w:t>org.springframework.web</w:t>
            </w:r>
            <w:r>
              <w:rPr>
                <w:rFonts w:ascii="Cambria"/>
                <w:color w:val="333333"/>
                <w:sz w:val="21"/>
              </w:rPr>
              <w:t xml:space="preserve">, </w:t>
            </w:r>
            <w:r>
              <w:rPr>
                <w:color w:val="B02045"/>
                <w:sz w:val="21"/>
              </w:rPr>
              <w:t>org.springframework.boot.actuate.endpoint.web</w:t>
            </w:r>
            <w:r>
              <w:rPr>
                <w:rFonts w:ascii="Cambria"/>
                <w:color w:val="333333"/>
                <w:sz w:val="21"/>
              </w:rPr>
              <w:t xml:space="preserve">, </w:t>
            </w:r>
            <w:proofErr w:type="gramStart"/>
            <w:r>
              <w:rPr>
                <w:color w:val="B02045"/>
                <w:sz w:val="21"/>
              </w:rPr>
              <w:t>org.springframework.boot.web.servlet</w:t>
            </w:r>
            <w:proofErr w:type="gramEnd"/>
            <w:r>
              <w:rPr>
                <w:color w:val="B02045"/>
                <w:sz w:val="21"/>
              </w:rPr>
              <w:t>.ServletContextInitializerBeans</w:t>
            </w:r>
          </w:p>
        </w:tc>
      </w:tr>
      <w:tr w:rsidR="00A720EB" w14:paraId="45B0BD70" w14:textId="77777777">
        <w:trPr>
          <w:trHeight w:val="671"/>
        </w:trPr>
        <w:tc>
          <w:tcPr>
            <w:tcW w:w="1995" w:type="dxa"/>
          </w:tcPr>
          <w:p w14:paraId="42853124" w14:textId="77777777" w:rsidR="00A720EB" w:rsidRDefault="0030286B">
            <w:pPr>
              <w:pStyle w:val="TableParagraph"/>
              <w:spacing w:before="94"/>
              <w:rPr>
                <w:rFonts w:ascii="Cambria"/>
                <w:sz w:val="21"/>
              </w:rPr>
            </w:pPr>
            <w:r>
              <w:rPr>
                <w:rFonts w:ascii="Cambria"/>
                <w:color w:val="333333"/>
                <w:w w:val="110"/>
                <w:sz w:val="21"/>
              </w:rPr>
              <w:t>sql</w:t>
            </w:r>
          </w:p>
        </w:tc>
        <w:tc>
          <w:tcPr>
            <w:tcW w:w="7981" w:type="dxa"/>
          </w:tcPr>
          <w:p w14:paraId="0ABB1211" w14:textId="77777777" w:rsidR="00A720EB" w:rsidRDefault="0030286B">
            <w:pPr>
              <w:pStyle w:val="TableParagraph"/>
              <w:spacing w:before="92" w:line="230" w:lineRule="auto"/>
              <w:rPr>
                <w:sz w:val="21"/>
              </w:rPr>
            </w:pPr>
            <w:proofErr w:type="gramStart"/>
            <w:r>
              <w:rPr>
                <w:color w:val="B02045"/>
                <w:sz w:val="21"/>
              </w:rPr>
              <w:t>org.springframework</w:t>
            </w:r>
            <w:proofErr w:type="gramEnd"/>
            <w:r>
              <w:rPr>
                <w:color w:val="B02045"/>
                <w:sz w:val="21"/>
              </w:rPr>
              <w:t>.jdbc.core</w:t>
            </w:r>
            <w:r>
              <w:rPr>
                <w:rFonts w:ascii="Cambria"/>
                <w:color w:val="333333"/>
                <w:sz w:val="21"/>
              </w:rPr>
              <w:t xml:space="preserve">, </w:t>
            </w:r>
            <w:r>
              <w:rPr>
                <w:color w:val="B02045"/>
                <w:sz w:val="21"/>
              </w:rPr>
              <w:t>org.hibernate.SQL</w:t>
            </w:r>
            <w:r>
              <w:rPr>
                <w:rFonts w:ascii="Cambria"/>
                <w:color w:val="333333"/>
                <w:sz w:val="21"/>
              </w:rPr>
              <w:t xml:space="preserve">, </w:t>
            </w:r>
            <w:r>
              <w:rPr>
                <w:color w:val="B02045"/>
                <w:sz w:val="21"/>
              </w:rPr>
              <w:t>org.jooq.tools.LoggerListener</w:t>
            </w:r>
          </w:p>
        </w:tc>
      </w:tr>
    </w:tbl>
    <w:p w14:paraId="2860526C" w14:textId="77777777" w:rsidR="00A720EB" w:rsidRDefault="00A720EB">
      <w:pPr>
        <w:pStyle w:val="a3"/>
        <w:spacing w:before="7"/>
        <w:rPr>
          <w:sz w:val="28"/>
        </w:rPr>
      </w:pPr>
    </w:p>
    <w:p w14:paraId="1246BFD2" w14:textId="77777777" w:rsidR="00A720EB" w:rsidRDefault="0030286B">
      <w:pPr>
        <w:pStyle w:val="3"/>
        <w:numPr>
          <w:ilvl w:val="2"/>
          <w:numId w:val="68"/>
        </w:numPr>
        <w:tabs>
          <w:tab w:val="left" w:pos="858"/>
        </w:tabs>
        <w:ind w:hanging="734"/>
      </w:pPr>
      <w:bookmarkStart w:id="227" w:name="4.4.6._Custom_Log_Configuration"/>
      <w:bookmarkStart w:id="228" w:name="_Toc54423741"/>
      <w:bookmarkEnd w:id="227"/>
      <w:r>
        <w:rPr>
          <w:color w:val="333333"/>
          <w:w w:val="110"/>
        </w:rPr>
        <w:t>Custom Log</w:t>
      </w:r>
      <w:r>
        <w:rPr>
          <w:color w:val="333333"/>
          <w:spacing w:val="-13"/>
          <w:w w:val="110"/>
        </w:rPr>
        <w:t xml:space="preserve"> </w:t>
      </w:r>
      <w:r>
        <w:rPr>
          <w:color w:val="333333"/>
          <w:w w:val="110"/>
        </w:rPr>
        <w:t>Configuration</w:t>
      </w:r>
      <w:bookmarkEnd w:id="228"/>
    </w:p>
    <w:p w14:paraId="3F3992D0" w14:textId="77777777" w:rsidR="00A720EB" w:rsidRDefault="0030286B">
      <w:pPr>
        <w:pStyle w:val="a3"/>
        <w:spacing w:before="254" w:line="302" w:lineRule="auto"/>
        <w:ind w:left="124" w:right="128"/>
        <w:jc w:val="both"/>
      </w:pPr>
      <w:r>
        <w:rPr>
          <w:color w:val="333333"/>
          <w:w w:val="110"/>
        </w:rPr>
        <w:t xml:space="preserve">The various logging systems can be activated </w:t>
      </w:r>
      <w:r>
        <w:rPr>
          <w:color w:val="333333"/>
          <w:spacing w:val="-3"/>
          <w:w w:val="110"/>
        </w:rPr>
        <w:t xml:space="preserve">by </w:t>
      </w:r>
      <w:r>
        <w:rPr>
          <w:color w:val="333333"/>
          <w:w w:val="110"/>
        </w:rPr>
        <w:t xml:space="preserve">including the </w:t>
      </w:r>
      <w:proofErr w:type="gramStart"/>
      <w:r>
        <w:rPr>
          <w:color w:val="333333"/>
          <w:w w:val="110"/>
        </w:rPr>
        <w:t>appropriate  libraries</w:t>
      </w:r>
      <w:proofErr w:type="gramEnd"/>
      <w:r>
        <w:rPr>
          <w:color w:val="333333"/>
          <w:w w:val="110"/>
        </w:rPr>
        <w:t xml:space="preserve">  on  the  classpath and can be further customized </w:t>
      </w:r>
      <w:r>
        <w:rPr>
          <w:color w:val="333333"/>
          <w:spacing w:val="-3"/>
          <w:w w:val="110"/>
        </w:rPr>
        <w:t xml:space="preserve">by </w:t>
      </w:r>
      <w:r>
        <w:rPr>
          <w:color w:val="333333"/>
          <w:w w:val="110"/>
        </w:rPr>
        <w:t>providing a suitable configuration file in the root of the classpath</w:t>
      </w:r>
      <w:r>
        <w:rPr>
          <w:color w:val="333333"/>
          <w:spacing w:val="-8"/>
          <w:w w:val="110"/>
        </w:rPr>
        <w:t xml:space="preserve"> </w:t>
      </w:r>
      <w:r>
        <w:rPr>
          <w:color w:val="333333"/>
          <w:w w:val="110"/>
        </w:rPr>
        <w:t>or</w:t>
      </w:r>
      <w:r>
        <w:rPr>
          <w:color w:val="333333"/>
          <w:spacing w:val="-8"/>
          <w:w w:val="110"/>
        </w:rPr>
        <w:t xml:space="preserve"> </w:t>
      </w:r>
      <w:r>
        <w:rPr>
          <w:color w:val="333333"/>
          <w:w w:val="110"/>
        </w:rPr>
        <w:t>in</w:t>
      </w:r>
      <w:r>
        <w:rPr>
          <w:color w:val="333333"/>
          <w:spacing w:val="-8"/>
          <w:w w:val="110"/>
        </w:rPr>
        <w:t xml:space="preserve"> </w:t>
      </w:r>
      <w:r>
        <w:rPr>
          <w:color w:val="333333"/>
          <w:w w:val="110"/>
        </w:rPr>
        <w:t>a</w:t>
      </w:r>
      <w:r>
        <w:rPr>
          <w:color w:val="333333"/>
          <w:spacing w:val="-8"/>
          <w:w w:val="110"/>
        </w:rPr>
        <w:t xml:space="preserve"> </w:t>
      </w:r>
      <w:r>
        <w:rPr>
          <w:color w:val="333333"/>
          <w:w w:val="110"/>
        </w:rPr>
        <w:t>location</w:t>
      </w:r>
      <w:r>
        <w:rPr>
          <w:color w:val="333333"/>
          <w:spacing w:val="-8"/>
          <w:w w:val="110"/>
        </w:rPr>
        <w:t xml:space="preserve"> </w:t>
      </w:r>
      <w:r>
        <w:rPr>
          <w:color w:val="333333"/>
          <w:w w:val="110"/>
        </w:rPr>
        <w:t>specified</w:t>
      </w:r>
      <w:r>
        <w:rPr>
          <w:color w:val="333333"/>
          <w:spacing w:val="-7"/>
          <w:w w:val="110"/>
        </w:rPr>
        <w:t xml:space="preserve"> </w:t>
      </w:r>
      <w:r>
        <w:rPr>
          <w:color w:val="333333"/>
          <w:spacing w:val="-3"/>
          <w:w w:val="110"/>
        </w:rPr>
        <w:t>by</w:t>
      </w:r>
      <w:r>
        <w:rPr>
          <w:color w:val="333333"/>
          <w:spacing w:val="-9"/>
          <w:w w:val="110"/>
        </w:rPr>
        <w:t xml:space="preserve"> </w:t>
      </w:r>
      <w:r>
        <w:rPr>
          <w:color w:val="333333"/>
          <w:w w:val="110"/>
        </w:rPr>
        <w:t>the</w:t>
      </w:r>
      <w:r>
        <w:rPr>
          <w:color w:val="333333"/>
          <w:spacing w:val="-7"/>
          <w:w w:val="110"/>
        </w:rPr>
        <w:t xml:space="preserve"> </w:t>
      </w:r>
      <w:r>
        <w:rPr>
          <w:color w:val="333333"/>
          <w:w w:val="110"/>
        </w:rPr>
        <w:t>following</w:t>
      </w:r>
      <w:r>
        <w:rPr>
          <w:color w:val="333333"/>
          <w:spacing w:val="-8"/>
          <w:w w:val="110"/>
        </w:rPr>
        <w:t xml:space="preserve"> </w:t>
      </w:r>
      <w:r>
        <w:rPr>
          <w:color w:val="333333"/>
          <w:w w:val="110"/>
        </w:rPr>
        <w:t>Spring</w:t>
      </w:r>
      <w:r>
        <w:rPr>
          <w:color w:val="333333"/>
          <w:spacing w:val="-7"/>
          <w:w w:val="110"/>
        </w:rPr>
        <w:t xml:space="preserve"> </w:t>
      </w:r>
      <w:r>
        <w:rPr>
          <w:rFonts w:ascii="MS Gothic"/>
          <w:color w:val="B02045"/>
          <w:w w:val="110"/>
        </w:rPr>
        <w:t>Environment</w:t>
      </w:r>
      <w:r>
        <w:rPr>
          <w:rFonts w:ascii="MS Gothic"/>
          <w:color w:val="B02045"/>
          <w:spacing w:val="-72"/>
          <w:w w:val="110"/>
        </w:rPr>
        <w:t xml:space="preserve"> </w:t>
      </w:r>
      <w:r>
        <w:rPr>
          <w:color w:val="333333"/>
          <w:w w:val="110"/>
        </w:rPr>
        <w:t>property:</w:t>
      </w:r>
      <w:r>
        <w:rPr>
          <w:color w:val="333333"/>
          <w:spacing w:val="-6"/>
          <w:w w:val="110"/>
        </w:rPr>
        <w:t xml:space="preserve"> </w:t>
      </w:r>
      <w:r>
        <w:rPr>
          <w:rFonts w:ascii="MS Gothic"/>
          <w:color w:val="B02045"/>
          <w:w w:val="110"/>
        </w:rPr>
        <w:t>logging.config</w:t>
      </w:r>
      <w:r>
        <w:rPr>
          <w:color w:val="333333"/>
          <w:w w:val="110"/>
        </w:rPr>
        <w:t>.</w:t>
      </w:r>
    </w:p>
    <w:p w14:paraId="1EC1FFE5" w14:textId="77777777" w:rsidR="00A720EB" w:rsidRDefault="0030286B">
      <w:pPr>
        <w:pStyle w:val="a3"/>
        <w:spacing w:before="227" w:line="290" w:lineRule="auto"/>
        <w:ind w:left="124" w:right="123"/>
        <w:jc w:val="both"/>
      </w:pPr>
      <w:r>
        <w:rPr>
          <w:color w:val="333333"/>
          <w:w w:val="110"/>
        </w:rPr>
        <w:t xml:space="preserve">You can force Spring Boot to use a particular logging system by using the </w:t>
      </w:r>
      <w:proofErr w:type="gramStart"/>
      <w:r>
        <w:rPr>
          <w:rFonts w:ascii="MS Gothic" w:hAnsi="MS Gothic"/>
          <w:color w:val="B02045"/>
          <w:w w:val="110"/>
        </w:rPr>
        <w:t>org.springframework</w:t>
      </w:r>
      <w:proofErr w:type="gramEnd"/>
      <w:r>
        <w:rPr>
          <w:rFonts w:ascii="MS Gothic" w:hAnsi="MS Gothic"/>
          <w:color w:val="B02045"/>
          <w:w w:val="110"/>
        </w:rPr>
        <w:t xml:space="preserve">.boot.logging.LoggingSystem </w:t>
      </w:r>
      <w:r>
        <w:rPr>
          <w:color w:val="333333"/>
          <w:w w:val="110"/>
        </w:rPr>
        <w:t xml:space="preserve">system property. The value should be the fully qualified class name of a </w:t>
      </w:r>
      <w:r>
        <w:rPr>
          <w:rFonts w:ascii="MS Gothic" w:hAnsi="MS Gothic"/>
          <w:color w:val="B02045"/>
          <w:w w:val="110"/>
        </w:rPr>
        <w:t xml:space="preserve">LoggingSystem </w:t>
      </w:r>
      <w:r>
        <w:rPr>
          <w:color w:val="333333"/>
          <w:w w:val="110"/>
        </w:rPr>
        <w:t>implementation. You can also disable Spring Boot’s logging</w:t>
      </w:r>
    </w:p>
    <w:p w14:paraId="1382AEDD" w14:textId="77777777" w:rsidR="00A720EB" w:rsidRDefault="00A720EB">
      <w:pPr>
        <w:spacing w:line="290" w:lineRule="auto"/>
        <w:jc w:val="both"/>
        <w:sectPr w:rsidR="00A720EB">
          <w:pgSz w:w="11910" w:h="16840"/>
          <w:pgMar w:top="700" w:right="840" w:bottom="520" w:left="840" w:header="0" w:footer="323" w:gutter="0"/>
          <w:cols w:space="720"/>
        </w:sectPr>
      </w:pPr>
    </w:p>
    <w:p w14:paraId="177B1061" w14:textId="77777777" w:rsidR="00A720EB" w:rsidRDefault="0030286B">
      <w:pPr>
        <w:pStyle w:val="a3"/>
        <w:spacing w:before="96"/>
        <w:ind w:left="124"/>
      </w:pPr>
      <w:r>
        <w:rPr>
          <w:color w:val="333333"/>
          <w:w w:val="110"/>
        </w:rPr>
        <w:lastRenderedPageBreak/>
        <w:t xml:space="preserve">configuration entirely by using a value of </w:t>
      </w:r>
      <w:r>
        <w:rPr>
          <w:rFonts w:ascii="MS Gothic"/>
          <w:color w:val="B02045"/>
          <w:w w:val="110"/>
        </w:rPr>
        <w:t>none</w:t>
      </w:r>
      <w:r>
        <w:rPr>
          <w:color w:val="333333"/>
          <w:w w:val="110"/>
        </w:rPr>
        <w:t>.</w:t>
      </w:r>
    </w:p>
    <w:p w14:paraId="673026A3" w14:textId="77777777" w:rsidR="00A720EB" w:rsidRDefault="00A720EB">
      <w:pPr>
        <w:pStyle w:val="a3"/>
        <w:spacing w:before="5"/>
      </w:pPr>
    </w:p>
    <w:p w14:paraId="3D472D68" w14:textId="77777777" w:rsidR="00A720EB" w:rsidRDefault="00E10349">
      <w:pPr>
        <w:pStyle w:val="a3"/>
        <w:spacing w:before="105" w:line="290" w:lineRule="auto"/>
        <w:ind w:left="1564" w:right="362"/>
        <w:jc w:val="both"/>
      </w:pPr>
      <w:r>
        <w:pict w14:anchorId="5C66FEB2">
          <v:line id="_x0000_s4426" style="position:absolute;left:0;text-align:left;z-index:15892992;mso-position-horizontal-relative:page" from="108.25pt,.3pt" to="108.25pt,71.45pt" strokecolor="#ededed" strokeweight=".5pt">
            <w10:wrap anchorx="page"/>
          </v:line>
        </w:pict>
      </w:r>
      <w:r w:rsidR="0030286B">
        <w:rPr>
          <w:noProof/>
        </w:rPr>
        <w:drawing>
          <wp:anchor distT="0" distB="0" distL="0" distR="0" simplePos="0" relativeHeight="15893504" behindDoc="0" locked="0" layoutInCell="1" allowOverlap="1" wp14:anchorId="7645E59A" wp14:editId="72863735">
            <wp:simplePos x="0" y="0"/>
            <wp:positionH relativeFrom="page">
              <wp:posOffset>844422</wp:posOffset>
            </wp:positionH>
            <wp:positionV relativeFrom="paragraph">
              <wp:posOffset>306310</wp:posOffset>
            </wp:positionV>
            <wp:extent cx="298450" cy="298450"/>
            <wp:effectExtent l="0" t="0" r="0" b="0"/>
            <wp:wrapNone/>
            <wp:docPr id="2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Since logging is initialized </w:t>
      </w:r>
      <w:r w:rsidR="0030286B">
        <w:rPr>
          <w:rFonts w:ascii="Palatino Linotype"/>
          <w:b/>
          <w:color w:val="333333"/>
          <w:w w:val="110"/>
        </w:rPr>
        <w:t xml:space="preserve">before </w:t>
      </w:r>
      <w:r w:rsidR="0030286B">
        <w:rPr>
          <w:color w:val="333333"/>
          <w:w w:val="110"/>
        </w:rPr>
        <w:t xml:space="preserve">the </w:t>
      </w:r>
      <w:r w:rsidR="0030286B">
        <w:rPr>
          <w:rFonts w:ascii="MS Gothic"/>
          <w:color w:val="B02045"/>
          <w:w w:val="110"/>
        </w:rPr>
        <w:t xml:space="preserve">ApplicationContext </w:t>
      </w:r>
      <w:r w:rsidR="0030286B">
        <w:rPr>
          <w:color w:val="333333"/>
          <w:w w:val="110"/>
        </w:rPr>
        <w:t xml:space="preserve">is created, it is not possible to control logging from </w:t>
      </w:r>
      <w:r w:rsidR="0030286B">
        <w:rPr>
          <w:rFonts w:ascii="MS Gothic"/>
          <w:color w:val="B02045"/>
          <w:w w:val="110"/>
        </w:rPr>
        <w:t xml:space="preserve">@PropertySources </w:t>
      </w:r>
      <w:r w:rsidR="0030286B">
        <w:rPr>
          <w:color w:val="333333"/>
          <w:w w:val="110"/>
        </w:rPr>
        <w:t xml:space="preserve">in Spring </w:t>
      </w:r>
      <w:r w:rsidR="0030286B">
        <w:rPr>
          <w:rFonts w:ascii="MS Gothic"/>
          <w:color w:val="B02045"/>
          <w:w w:val="110"/>
        </w:rPr>
        <w:t xml:space="preserve">@Configuration </w:t>
      </w:r>
      <w:r w:rsidR="0030286B">
        <w:rPr>
          <w:color w:val="333333"/>
          <w:w w:val="110"/>
        </w:rPr>
        <w:t>files. The only way to change the logging system or disable it entirely is via System properties.</w:t>
      </w:r>
    </w:p>
    <w:p w14:paraId="6EA5C1B9" w14:textId="77777777" w:rsidR="00A720EB" w:rsidRDefault="00A720EB">
      <w:pPr>
        <w:pStyle w:val="a3"/>
        <w:spacing w:before="3"/>
        <w:rPr>
          <w:sz w:val="18"/>
        </w:rPr>
      </w:pPr>
    </w:p>
    <w:p w14:paraId="6805D954" w14:textId="77777777" w:rsidR="00A720EB" w:rsidRDefault="0030286B">
      <w:pPr>
        <w:pStyle w:val="a3"/>
        <w:spacing w:before="125"/>
        <w:ind w:left="124"/>
      </w:pPr>
      <w:r>
        <w:rPr>
          <w:color w:val="333333"/>
          <w:w w:val="110"/>
        </w:rPr>
        <w:t>Depending on your logging system, the following files are loaded:</w:t>
      </w:r>
    </w:p>
    <w:p w14:paraId="436F66EC"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49160937" w14:textId="77777777">
        <w:trPr>
          <w:trHeight w:val="415"/>
        </w:trPr>
        <w:tc>
          <w:tcPr>
            <w:tcW w:w="4988" w:type="dxa"/>
            <w:tcBorders>
              <w:bottom w:val="single" w:sz="12" w:space="0" w:color="DDDDDD"/>
            </w:tcBorders>
          </w:tcPr>
          <w:p w14:paraId="23CC4BCB" w14:textId="77777777" w:rsidR="00A720EB" w:rsidRDefault="0030286B">
            <w:pPr>
              <w:pStyle w:val="TableParagraph"/>
              <w:spacing w:before="74"/>
              <w:rPr>
                <w:rFonts w:ascii="Palatino Linotype"/>
                <w:b/>
                <w:sz w:val="21"/>
              </w:rPr>
            </w:pPr>
            <w:r>
              <w:rPr>
                <w:rFonts w:ascii="Palatino Linotype"/>
                <w:b/>
                <w:color w:val="333333"/>
                <w:w w:val="105"/>
                <w:sz w:val="21"/>
              </w:rPr>
              <w:t>Logging System</w:t>
            </w:r>
          </w:p>
        </w:tc>
        <w:tc>
          <w:tcPr>
            <w:tcW w:w="4988" w:type="dxa"/>
            <w:tcBorders>
              <w:bottom w:val="single" w:sz="12" w:space="0" w:color="DDDDDD"/>
            </w:tcBorders>
          </w:tcPr>
          <w:p w14:paraId="6F847F56" w14:textId="77777777" w:rsidR="00A720EB" w:rsidRDefault="0030286B">
            <w:pPr>
              <w:pStyle w:val="TableParagraph"/>
              <w:spacing w:before="74"/>
              <w:rPr>
                <w:rFonts w:ascii="Palatino Linotype"/>
                <w:b/>
                <w:sz w:val="21"/>
              </w:rPr>
            </w:pPr>
            <w:r>
              <w:rPr>
                <w:rFonts w:ascii="Palatino Linotype"/>
                <w:b/>
                <w:color w:val="333333"/>
                <w:w w:val="110"/>
                <w:sz w:val="21"/>
              </w:rPr>
              <w:t>Customization</w:t>
            </w:r>
          </w:p>
        </w:tc>
      </w:tr>
      <w:tr w:rsidR="00A720EB" w14:paraId="1AA2037B" w14:textId="77777777">
        <w:trPr>
          <w:trHeight w:val="731"/>
        </w:trPr>
        <w:tc>
          <w:tcPr>
            <w:tcW w:w="4988" w:type="dxa"/>
            <w:tcBorders>
              <w:top w:val="single" w:sz="12" w:space="0" w:color="DDDDDD"/>
            </w:tcBorders>
          </w:tcPr>
          <w:p w14:paraId="6D6C704C" w14:textId="77777777" w:rsidR="00A720EB" w:rsidRDefault="0030286B">
            <w:pPr>
              <w:pStyle w:val="TableParagraph"/>
              <w:spacing w:before="84"/>
              <w:rPr>
                <w:rFonts w:ascii="Cambria"/>
                <w:sz w:val="21"/>
              </w:rPr>
            </w:pPr>
            <w:r>
              <w:rPr>
                <w:rFonts w:ascii="Cambria"/>
                <w:color w:val="333333"/>
                <w:w w:val="110"/>
                <w:sz w:val="21"/>
              </w:rPr>
              <w:t>Logback</w:t>
            </w:r>
          </w:p>
        </w:tc>
        <w:tc>
          <w:tcPr>
            <w:tcW w:w="4988" w:type="dxa"/>
            <w:tcBorders>
              <w:top w:val="single" w:sz="12" w:space="0" w:color="DDDDDD"/>
            </w:tcBorders>
          </w:tcPr>
          <w:p w14:paraId="741D1455" w14:textId="77777777" w:rsidR="00A720EB" w:rsidRDefault="0030286B">
            <w:pPr>
              <w:pStyle w:val="TableParagraph"/>
              <w:spacing w:before="74" w:line="280" w:lineRule="auto"/>
              <w:rPr>
                <w:sz w:val="21"/>
              </w:rPr>
            </w:pPr>
            <w:r>
              <w:rPr>
                <w:color w:val="B02045"/>
                <w:sz w:val="21"/>
              </w:rPr>
              <w:t>logback-spring.xml</w:t>
            </w:r>
            <w:r>
              <w:rPr>
                <w:rFonts w:ascii="Cambria"/>
                <w:color w:val="333333"/>
                <w:sz w:val="21"/>
              </w:rPr>
              <w:t xml:space="preserve">, </w:t>
            </w:r>
            <w:r>
              <w:rPr>
                <w:color w:val="B02045"/>
                <w:sz w:val="21"/>
              </w:rPr>
              <w:t>logback-</w:t>
            </w:r>
            <w:proofErr w:type="gramStart"/>
            <w:r>
              <w:rPr>
                <w:color w:val="B02045"/>
                <w:sz w:val="21"/>
              </w:rPr>
              <w:t>spring.groovy</w:t>
            </w:r>
            <w:proofErr w:type="gramEnd"/>
            <w:r>
              <w:rPr>
                <w:rFonts w:ascii="Cambria"/>
                <w:color w:val="333333"/>
                <w:sz w:val="21"/>
              </w:rPr>
              <w:t xml:space="preserve">, </w:t>
            </w:r>
            <w:r>
              <w:rPr>
                <w:color w:val="B02045"/>
                <w:sz w:val="21"/>
              </w:rPr>
              <w:t>logback.xml</w:t>
            </w:r>
            <w:r>
              <w:rPr>
                <w:rFonts w:ascii="Cambria"/>
                <w:color w:val="333333"/>
                <w:sz w:val="21"/>
              </w:rPr>
              <w:t xml:space="preserve">, or </w:t>
            </w:r>
            <w:r>
              <w:rPr>
                <w:color w:val="B02045"/>
                <w:sz w:val="21"/>
              </w:rPr>
              <w:t>logback.groovy</w:t>
            </w:r>
          </w:p>
        </w:tc>
      </w:tr>
      <w:tr w:rsidR="00A720EB" w14:paraId="244F1964" w14:textId="77777777">
        <w:trPr>
          <w:trHeight w:val="425"/>
        </w:trPr>
        <w:tc>
          <w:tcPr>
            <w:tcW w:w="4988" w:type="dxa"/>
          </w:tcPr>
          <w:p w14:paraId="546C503C" w14:textId="77777777" w:rsidR="00A720EB" w:rsidRDefault="0030286B">
            <w:pPr>
              <w:pStyle w:val="TableParagraph"/>
              <w:spacing w:before="94"/>
              <w:rPr>
                <w:rFonts w:ascii="Cambria"/>
                <w:sz w:val="21"/>
              </w:rPr>
            </w:pPr>
            <w:r>
              <w:rPr>
                <w:rFonts w:ascii="Cambria"/>
                <w:color w:val="333333"/>
                <w:w w:val="110"/>
                <w:sz w:val="21"/>
              </w:rPr>
              <w:t>Log4j2</w:t>
            </w:r>
          </w:p>
        </w:tc>
        <w:tc>
          <w:tcPr>
            <w:tcW w:w="4988" w:type="dxa"/>
          </w:tcPr>
          <w:p w14:paraId="5A4F03BC" w14:textId="77777777" w:rsidR="00A720EB" w:rsidRDefault="0030286B">
            <w:pPr>
              <w:pStyle w:val="TableParagraph"/>
              <w:spacing w:before="84"/>
              <w:rPr>
                <w:sz w:val="21"/>
              </w:rPr>
            </w:pPr>
            <w:r>
              <w:rPr>
                <w:color w:val="B02045"/>
                <w:sz w:val="21"/>
              </w:rPr>
              <w:t xml:space="preserve">log4j2-spring.xml </w:t>
            </w:r>
            <w:r>
              <w:rPr>
                <w:rFonts w:ascii="Cambria"/>
                <w:color w:val="333333"/>
                <w:sz w:val="21"/>
              </w:rPr>
              <w:t xml:space="preserve">or </w:t>
            </w:r>
            <w:r>
              <w:rPr>
                <w:color w:val="B02045"/>
                <w:sz w:val="21"/>
              </w:rPr>
              <w:t>log4j2.xml</w:t>
            </w:r>
          </w:p>
        </w:tc>
      </w:tr>
      <w:tr w:rsidR="00A720EB" w14:paraId="5D6D7B25" w14:textId="77777777">
        <w:trPr>
          <w:trHeight w:val="425"/>
        </w:trPr>
        <w:tc>
          <w:tcPr>
            <w:tcW w:w="4988" w:type="dxa"/>
          </w:tcPr>
          <w:p w14:paraId="098DDFDB" w14:textId="77777777" w:rsidR="00A720EB" w:rsidRDefault="0030286B">
            <w:pPr>
              <w:pStyle w:val="TableParagraph"/>
              <w:spacing w:before="94"/>
              <w:rPr>
                <w:rFonts w:ascii="Cambria"/>
                <w:sz w:val="21"/>
              </w:rPr>
            </w:pPr>
            <w:r>
              <w:rPr>
                <w:rFonts w:ascii="Cambria"/>
                <w:color w:val="333333"/>
                <w:w w:val="110"/>
                <w:sz w:val="21"/>
              </w:rPr>
              <w:t>JDK (Java Util Logging)</w:t>
            </w:r>
          </w:p>
        </w:tc>
        <w:tc>
          <w:tcPr>
            <w:tcW w:w="4988" w:type="dxa"/>
          </w:tcPr>
          <w:p w14:paraId="22D195D3" w14:textId="77777777" w:rsidR="00A720EB" w:rsidRDefault="0030286B">
            <w:pPr>
              <w:pStyle w:val="TableParagraph"/>
              <w:spacing w:before="40"/>
              <w:rPr>
                <w:sz w:val="21"/>
              </w:rPr>
            </w:pPr>
            <w:proofErr w:type="gramStart"/>
            <w:r>
              <w:rPr>
                <w:color w:val="B02045"/>
                <w:sz w:val="21"/>
              </w:rPr>
              <w:t>logging.properties</w:t>
            </w:r>
            <w:proofErr w:type="gramEnd"/>
          </w:p>
        </w:tc>
      </w:tr>
    </w:tbl>
    <w:p w14:paraId="4C1A1CD2" w14:textId="77777777" w:rsidR="00A720EB" w:rsidRDefault="00A720EB">
      <w:pPr>
        <w:pStyle w:val="a3"/>
        <w:spacing w:before="4"/>
        <w:rPr>
          <w:sz w:val="29"/>
        </w:rPr>
      </w:pPr>
    </w:p>
    <w:p w14:paraId="20D09116" w14:textId="77777777" w:rsidR="00A720EB" w:rsidRDefault="00E10349">
      <w:pPr>
        <w:pStyle w:val="a3"/>
        <w:spacing w:line="292" w:lineRule="auto"/>
        <w:ind w:left="1564" w:right="363"/>
        <w:jc w:val="both"/>
      </w:pPr>
      <w:r>
        <w:pict w14:anchorId="2200EC9C">
          <v:line id="_x0000_s4425" style="position:absolute;left:0;text-align:left;z-index:15894016;mso-position-horizontal-relative:page" from="108.25pt,-5.45pt" to="108.25pt,65.65pt" strokecolor="#ededed" strokeweight=".5pt">
            <w10:wrap anchorx="page"/>
          </v:line>
        </w:pict>
      </w:r>
      <w:r w:rsidR="0030286B">
        <w:rPr>
          <w:noProof/>
        </w:rPr>
        <w:drawing>
          <wp:anchor distT="0" distB="0" distL="0" distR="0" simplePos="0" relativeHeight="15894528" behindDoc="0" locked="0" layoutInCell="1" allowOverlap="1" wp14:anchorId="1881D5FF" wp14:editId="47FB4964">
            <wp:simplePos x="0" y="0"/>
            <wp:positionH relativeFrom="page">
              <wp:posOffset>844422</wp:posOffset>
            </wp:positionH>
            <wp:positionV relativeFrom="paragraph">
              <wp:posOffset>232994</wp:posOffset>
            </wp:positionV>
            <wp:extent cx="298450" cy="298450"/>
            <wp:effectExtent l="0" t="0" r="0" b="0"/>
            <wp:wrapNone/>
            <wp:docPr id="2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When possible, we recommend that you use the </w:t>
      </w:r>
      <w:r w:rsidR="0030286B">
        <w:rPr>
          <w:rFonts w:ascii="MS Gothic"/>
          <w:color w:val="B02045"/>
          <w:w w:val="110"/>
        </w:rPr>
        <w:t xml:space="preserve">-spring </w:t>
      </w:r>
      <w:r w:rsidR="0030286B">
        <w:rPr>
          <w:color w:val="333333"/>
          <w:w w:val="110"/>
        </w:rPr>
        <w:t>variants for your logging configuration</w:t>
      </w:r>
      <w:r w:rsidR="0030286B">
        <w:rPr>
          <w:color w:val="333333"/>
          <w:spacing w:val="-20"/>
          <w:w w:val="110"/>
        </w:rPr>
        <w:t xml:space="preserve"> </w:t>
      </w:r>
      <w:r w:rsidR="0030286B">
        <w:rPr>
          <w:color w:val="333333"/>
          <w:w w:val="110"/>
        </w:rPr>
        <w:t>(for</w:t>
      </w:r>
      <w:r w:rsidR="0030286B">
        <w:rPr>
          <w:color w:val="333333"/>
          <w:spacing w:val="-19"/>
          <w:w w:val="110"/>
        </w:rPr>
        <w:t xml:space="preserve"> </w:t>
      </w:r>
      <w:r w:rsidR="0030286B">
        <w:rPr>
          <w:color w:val="333333"/>
          <w:w w:val="110"/>
        </w:rPr>
        <w:t>example,</w:t>
      </w:r>
      <w:r w:rsidR="0030286B">
        <w:rPr>
          <w:color w:val="333333"/>
          <w:spacing w:val="-19"/>
          <w:w w:val="110"/>
        </w:rPr>
        <w:t xml:space="preserve"> </w:t>
      </w:r>
      <w:r w:rsidR="0030286B">
        <w:rPr>
          <w:rFonts w:ascii="MS Gothic"/>
          <w:color w:val="B02045"/>
          <w:w w:val="110"/>
        </w:rPr>
        <w:t>logback-spring.xml</w:t>
      </w:r>
      <w:r w:rsidR="0030286B">
        <w:rPr>
          <w:rFonts w:ascii="MS Gothic"/>
          <w:color w:val="B02045"/>
          <w:spacing w:val="-84"/>
          <w:w w:val="110"/>
        </w:rPr>
        <w:t xml:space="preserve"> </w:t>
      </w:r>
      <w:r w:rsidR="0030286B">
        <w:rPr>
          <w:color w:val="333333"/>
          <w:w w:val="110"/>
        </w:rPr>
        <w:t>rather</w:t>
      </w:r>
      <w:r w:rsidR="0030286B">
        <w:rPr>
          <w:color w:val="333333"/>
          <w:spacing w:val="-19"/>
          <w:w w:val="110"/>
        </w:rPr>
        <w:t xml:space="preserve"> </w:t>
      </w:r>
      <w:r w:rsidR="0030286B">
        <w:rPr>
          <w:color w:val="333333"/>
          <w:w w:val="110"/>
        </w:rPr>
        <w:t>than</w:t>
      </w:r>
      <w:r w:rsidR="0030286B">
        <w:rPr>
          <w:color w:val="333333"/>
          <w:spacing w:val="-19"/>
          <w:w w:val="110"/>
        </w:rPr>
        <w:t xml:space="preserve"> </w:t>
      </w:r>
      <w:r w:rsidR="0030286B">
        <w:rPr>
          <w:rFonts w:ascii="MS Gothic"/>
          <w:color w:val="B02045"/>
          <w:w w:val="110"/>
        </w:rPr>
        <w:t>logback.xml</w:t>
      </w:r>
      <w:r w:rsidR="0030286B">
        <w:rPr>
          <w:color w:val="333333"/>
          <w:w w:val="110"/>
        </w:rPr>
        <w:t>).</w:t>
      </w:r>
      <w:r w:rsidR="0030286B">
        <w:rPr>
          <w:color w:val="333333"/>
          <w:spacing w:val="-19"/>
          <w:w w:val="110"/>
        </w:rPr>
        <w:t xml:space="preserve"> </w:t>
      </w:r>
      <w:r w:rsidR="0030286B">
        <w:rPr>
          <w:color w:val="333333"/>
          <w:w w:val="110"/>
        </w:rPr>
        <w:t>If</w:t>
      </w:r>
      <w:r w:rsidR="0030286B">
        <w:rPr>
          <w:color w:val="333333"/>
          <w:spacing w:val="-19"/>
          <w:w w:val="110"/>
        </w:rPr>
        <w:t xml:space="preserve"> </w:t>
      </w:r>
      <w:r w:rsidR="0030286B">
        <w:rPr>
          <w:color w:val="333333"/>
          <w:w w:val="110"/>
        </w:rPr>
        <w:t>you</w:t>
      </w:r>
      <w:r w:rsidR="0030286B">
        <w:rPr>
          <w:color w:val="333333"/>
          <w:spacing w:val="-20"/>
          <w:w w:val="110"/>
        </w:rPr>
        <w:t xml:space="preserve"> </w:t>
      </w:r>
      <w:r w:rsidR="0030286B">
        <w:rPr>
          <w:color w:val="333333"/>
          <w:w w:val="110"/>
        </w:rPr>
        <w:t xml:space="preserve">use standard configuration locations, Spring cannot completely control </w:t>
      </w:r>
      <w:proofErr w:type="gramStart"/>
      <w:r w:rsidR="0030286B">
        <w:rPr>
          <w:color w:val="333333"/>
          <w:w w:val="110"/>
        </w:rPr>
        <w:t>log  initialization</w:t>
      </w:r>
      <w:proofErr w:type="gramEnd"/>
      <w:r w:rsidR="0030286B">
        <w:rPr>
          <w:color w:val="333333"/>
          <w:w w:val="110"/>
        </w:rPr>
        <w:t>.</w:t>
      </w:r>
    </w:p>
    <w:p w14:paraId="7C5AC8F0" w14:textId="77777777" w:rsidR="00A720EB" w:rsidRDefault="00A720EB">
      <w:pPr>
        <w:pStyle w:val="a3"/>
        <w:spacing w:before="9"/>
        <w:rPr>
          <w:sz w:val="24"/>
        </w:rPr>
      </w:pPr>
    </w:p>
    <w:p w14:paraId="41DB981F" w14:textId="77777777" w:rsidR="00A720EB" w:rsidRDefault="00E10349">
      <w:pPr>
        <w:pStyle w:val="a3"/>
        <w:spacing w:before="125" w:line="307" w:lineRule="auto"/>
        <w:ind w:left="1564" w:right="368"/>
        <w:jc w:val="both"/>
      </w:pPr>
      <w:r>
        <w:pict w14:anchorId="0E3B4C2F">
          <v:line id="_x0000_s4424" style="position:absolute;left:0;text-align:left;z-index:15895040;mso-position-horizontal-relative:page" from="108.25pt,.25pt" to="108.25pt,55.6pt" strokecolor="#ededed" strokeweight=".5pt">
            <w10:wrap anchorx="page"/>
          </v:line>
        </w:pict>
      </w:r>
      <w:r w:rsidR="0030286B">
        <w:rPr>
          <w:noProof/>
        </w:rPr>
        <w:drawing>
          <wp:anchor distT="0" distB="0" distL="0" distR="0" simplePos="0" relativeHeight="15895552" behindDoc="0" locked="0" layoutInCell="1" allowOverlap="1" wp14:anchorId="13E66C29" wp14:editId="09D02682">
            <wp:simplePos x="0" y="0"/>
            <wp:positionH relativeFrom="page">
              <wp:posOffset>815847</wp:posOffset>
            </wp:positionH>
            <wp:positionV relativeFrom="paragraph">
              <wp:posOffset>202349</wp:posOffset>
            </wp:positionV>
            <wp:extent cx="355600" cy="304800"/>
            <wp:effectExtent l="0" t="0" r="0" b="0"/>
            <wp:wrapNone/>
            <wp:docPr id="2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There are known classloading issues with Java Util Logging that cause problems when running from an 'executable jar'. We recommend that you avoid it when running from an 'executable jar' if at all possible.</w:t>
      </w:r>
    </w:p>
    <w:p w14:paraId="2067BDB2" w14:textId="77777777" w:rsidR="00A720EB" w:rsidRDefault="00A720EB">
      <w:pPr>
        <w:pStyle w:val="a3"/>
        <w:spacing w:before="8"/>
        <w:rPr>
          <w:sz w:val="16"/>
        </w:rPr>
      </w:pPr>
    </w:p>
    <w:p w14:paraId="46E526BD" w14:textId="77777777" w:rsidR="00A720EB" w:rsidRDefault="0030286B">
      <w:pPr>
        <w:pStyle w:val="a3"/>
        <w:spacing w:before="116"/>
        <w:ind w:left="124"/>
        <w:rPr>
          <w:rFonts w:ascii="MS Gothic"/>
        </w:rPr>
      </w:pPr>
      <w:r>
        <w:rPr>
          <w:color w:val="333333"/>
          <w:w w:val="110"/>
        </w:rPr>
        <w:t xml:space="preserve">To help with the customization, some other properties are transferred from the Spring </w:t>
      </w:r>
      <w:r>
        <w:rPr>
          <w:rFonts w:ascii="MS Gothic"/>
          <w:color w:val="B02045"/>
          <w:w w:val="110"/>
        </w:rPr>
        <w:t>Environment</w:t>
      </w:r>
    </w:p>
    <w:p w14:paraId="600BE8AA" w14:textId="77777777" w:rsidR="00A720EB" w:rsidRDefault="0030286B">
      <w:pPr>
        <w:pStyle w:val="a3"/>
        <w:spacing w:before="57"/>
        <w:ind w:left="124"/>
      </w:pPr>
      <w:r>
        <w:rPr>
          <w:color w:val="333333"/>
          <w:w w:val="110"/>
        </w:rPr>
        <w:t>to System properties, as described in the following table:</w:t>
      </w:r>
    </w:p>
    <w:p w14:paraId="43E9B0F4" w14:textId="77777777" w:rsidR="00A720EB" w:rsidRDefault="00A720EB">
      <w:pPr>
        <w:pStyle w:val="a3"/>
        <w:spacing w:before="6"/>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085C6997" w14:textId="77777777">
        <w:trPr>
          <w:trHeight w:val="415"/>
        </w:trPr>
        <w:tc>
          <w:tcPr>
            <w:tcW w:w="3325" w:type="dxa"/>
            <w:tcBorders>
              <w:bottom w:val="single" w:sz="12" w:space="0" w:color="DDDDDD"/>
            </w:tcBorders>
          </w:tcPr>
          <w:p w14:paraId="77364965" w14:textId="77777777" w:rsidR="00A720EB" w:rsidRDefault="0030286B">
            <w:pPr>
              <w:pStyle w:val="TableParagraph"/>
              <w:spacing w:before="74"/>
              <w:rPr>
                <w:rFonts w:ascii="Palatino Linotype"/>
                <w:b/>
                <w:sz w:val="21"/>
              </w:rPr>
            </w:pPr>
            <w:r>
              <w:rPr>
                <w:rFonts w:ascii="Palatino Linotype"/>
                <w:b/>
                <w:color w:val="333333"/>
                <w:w w:val="110"/>
                <w:sz w:val="21"/>
              </w:rPr>
              <w:t>Spring Environment</w:t>
            </w:r>
          </w:p>
        </w:tc>
        <w:tc>
          <w:tcPr>
            <w:tcW w:w="3325" w:type="dxa"/>
            <w:tcBorders>
              <w:bottom w:val="single" w:sz="12" w:space="0" w:color="DDDDDD"/>
            </w:tcBorders>
          </w:tcPr>
          <w:p w14:paraId="78AA8FD7" w14:textId="77777777" w:rsidR="00A720EB" w:rsidRDefault="0030286B">
            <w:pPr>
              <w:pStyle w:val="TableParagraph"/>
              <w:spacing w:before="74"/>
              <w:rPr>
                <w:rFonts w:ascii="Palatino Linotype"/>
                <w:b/>
                <w:sz w:val="21"/>
              </w:rPr>
            </w:pPr>
            <w:r>
              <w:rPr>
                <w:rFonts w:ascii="Palatino Linotype"/>
                <w:b/>
                <w:color w:val="333333"/>
                <w:w w:val="110"/>
                <w:sz w:val="21"/>
              </w:rPr>
              <w:t>System Property</w:t>
            </w:r>
          </w:p>
        </w:tc>
        <w:tc>
          <w:tcPr>
            <w:tcW w:w="3325" w:type="dxa"/>
            <w:tcBorders>
              <w:bottom w:val="single" w:sz="12" w:space="0" w:color="DDDDDD"/>
            </w:tcBorders>
          </w:tcPr>
          <w:p w14:paraId="425D1787" w14:textId="77777777" w:rsidR="00A720EB" w:rsidRDefault="0030286B">
            <w:pPr>
              <w:pStyle w:val="TableParagraph"/>
              <w:spacing w:before="74"/>
              <w:rPr>
                <w:rFonts w:ascii="Palatino Linotype"/>
                <w:b/>
                <w:sz w:val="21"/>
              </w:rPr>
            </w:pPr>
            <w:r>
              <w:rPr>
                <w:rFonts w:ascii="Palatino Linotype"/>
                <w:b/>
                <w:color w:val="333333"/>
                <w:w w:val="110"/>
                <w:sz w:val="21"/>
              </w:rPr>
              <w:t>Comments</w:t>
            </w:r>
          </w:p>
        </w:tc>
      </w:tr>
      <w:tr w:rsidR="00A720EB" w14:paraId="1548E937" w14:textId="77777777">
        <w:trPr>
          <w:trHeight w:val="731"/>
        </w:trPr>
        <w:tc>
          <w:tcPr>
            <w:tcW w:w="3325" w:type="dxa"/>
            <w:tcBorders>
              <w:top w:val="single" w:sz="12" w:space="0" w:color="DDDDDD"/>
            </w:tcBorders>
          </w:tcPr>
          <w:p w14:paraId="5C4B8DA3" w14:textId="77777777" w:rsidR="00A720EB" w:rsidRDefault="0030286B">
            <w:pPr>
              <w:pStyle w:val="TableParagraph"/>
              <w:spacing w:before="39" w:line="230" w:lineRule="auto"/>
              <w:ind w:right="190"/>
              <w:rPr>
                <w:sz w:val="21"/>
              </w:rPr>
            </w:pPr>
            <w:proofErr w:type="gramStart"/>
            <w:r>
              <w:rPr>
                <w:color w:val="B02045"/>
                <w:sz w:val="21"/>
              </w:rPr>
              <w:t>logging.exception</w:t>
            </w:r>
            <w:proofErr w:type="gramEnd"/>
            <w:r>
              <w:rPr>
                <w:color w:val="B02045"/>
                <w:sz w:val="21"/>
              </w:rPr>
              <w:t>-conversion- word</w:t>
            </w:r>
          </w:p>
        </w:tc>
        <w:tc>
          <w:tcPr>
            <w:tcW w:w="3325" w:type="dxa"/>
            <w:tcBorders>
              <w:top w:val="single" w:sz="12" w:space="0" w:color="DDDDDD"/>
            </w:tcBorders>
          </w:tcPr>
          <w:p w14:paraId="59858081" w14:textId="77777777" w:rsidR="00A720EB" w:rsidRDefault="0030286B">
            <w:pPr>
              <w:pStyle w:val="TableParagraph"/>
              <w:spacing w:before="30"/>
              <w:rPr>
                <w:sz w:val="21"/>
              </w:rPr>
            </w:pPr>
            <w:r>
              <w:rPr>
                <w:color w:val="B02045"/>
                <w:sz w:val="21"/>
              </w:rPr>
              <w:t>LOG_EXCEPTION_CONVERSION_WORD</w:t>
            </w:r>
          </w:p>
        </w:tc>
        <w:tc>
          <w:tcPr>
            <w:tcW w:w="3325" w:type="dxa"/>
            <w:tcBorders>
              <w:top w:val="single" w:sz="12" w:space="0" w:color="DDDDDD"/>
            </w:tcBorders>
          </w:tcPr>
          <w:p w14:paraId="719FA9FB" w14:textId="77777777" w:rsidR="00A720EB" w:rsidRDefault="0030286B">
            <w:pPr>
              <w:pStyle w:val="TableParagraph"/>
              <w:spacing w:before="21" w:line="310" w:lineRule="atLeast"/>
              <w:ind w:right="190"/>
              <w:rPr>
                <w:rFonts w:ascii="Cambria"/>
                <w:sz w:val="21"/>
              </w:rPr>
            </w:pPr>
            <w:r>
              <w:rPr>
                <w:rFonts w:ascii="Cambria"/>
                <w:color w:val="333333"/>
                <w:w w:val="110"/>
                <w:sz w:val="21"/>
              </w:rPr>
              <w:t>The conversion word used when logging exceptions.</w:t>
            </w:r>
          </w:p>
        </w:tc>
      </w:tr>
      <w:tr w:rsidR="00A720EB" w14:paraId="76F6BAD0" w14:textId="77777777">
        <w:trPr>
          <w:trHeight w:val="1372"/>
        </w:trPr>
        <w:tc>
          <w:tcPr>
            <w:tcW w:w="3325" w:type="dxa"/>
          </w:tcPr>
          <w:p w14:paraId="29278D2B" w14:textId="77777777" w:rsidR="00A720EB" w:rsidRDefault="0030286B">
            <w:pPr>
              <w:pStyle w:val="TableParagraph"/>
              <w:spacing w:before="49" w:line="230" w:lineRule="auto"/>
              <w:ind w:right="85"/>
              <w:rPr>
                <w:sz w:val="21"/>
              </w:rPr>
            </w:pPr>
            <w:proofErr w:type="gramStart"/>
            <w:r>
              <w:rPr>
                <w:color w:val="B02045"/>
                <w:sz w:val="21"/>
              </w:rPr>
              <w:t>logging.file</w:t>
            </w:r>
            <w:proofErr w:type="gramEnd"/>
            <w:r>
              <w:rPr>
                <w:color w:val="B02045"/>
                <w:sz w:val="21"/>
              </w:rPr>
              <w:t>.clean-history-on- start</w:t>
            </w:r>
          </w:p>
        </w:tc>
        <w:tc>
          <w:tcPr>
            <w:tcW w:w="3325" w:type="dxa"/>
          </w:tcPr>
          <w:p w14:paraId="6D5F6836" w14:textId="77777777" w:rsidR="00A720EB" w:rsidRDefault="0030286B">
            <w:pPr>
              <w:pStyle w:val="TableParagraph"/>
              <w:spacing w:before="49" w:line="230" w:lineRule="auto"/>
              <w:ind w:right="85"/>
              <w:rPr>
                <w:sz w:val="21"/>
              </w:rPr>
            </w:pPr>
            <w:r>
              <w:rPr>
                <w:color w:val="B02045"/>
                <w:sz w:val="21"/>
              </w:rPr>
              <w:t>LOG_FILE_CLEAN_HISTORY_ON_STAR T</w:t>
            </w:r>
          </w:p>
        </w:tc>
        <w:tc>
          <w:tcPr>
            <w:tcW w:w="3325" w:type="dxa"/>
          </w:tcPr>
          <w:p w14:paraId="002DC54D" w14:textId="77777777" w:rsidR="00A720EB" w:rsidRDefault="0030286B">
            <w:pPr>
              <w:pStyle w:val="TableParagraph"/>
              <w:spacing w:before="31" w:line="310" w:lineRule="atLeast"/>
              <w:ind w:right="101"/>
              <w:rPr>
                <w:rFonts w:ascii="Cambria"/>
                <w:sz w:val="21"/>
              </w:rPr>
            </w:pPr>
            <w:r>
              <w:rPr>
                <w:rFonts w:ascii="Cambria"/>
                <w:color w:val="333333"/>
                <w:w w:val="110"/>
                <w:sz w:val="21"/>
              </w:rPr>
              <w:t>Whether to clean the archive log files on startup (if LOG_FILE enabled). (Only supported with the default Logback</w:t>
            </w:r>
            <w:r>
              <w:rPr>
                <w:rFonts w:ascii="Cambria"/>
                <w:color w:val="333333"/>
                <w:spacing w:val="9"/>
                <w:w w:val="110"/>
                <w:sz w:val="21"/>
              </w:rPr>
              <w:t xml:space="preserve"> </w:t>
            </w:r>
            <w:r>
              <w:rPr>
                <w:rFonts w:ascii="Cambria"/>
                <w:color w:val="333333"/>
                <w:w w:val="110"/>
                <w:sz w:val="21"/>
              </w:rPr>
              <w:t>setup.)</w:t>
            </w:r>
          </w:p>
        </w:tc>
      </w:tr>
      <w:tr w:rsidR="00A720EB" w14:paraId="48F8FFC9" w14:textId="77777777">
        <w:trPr>
          <w:trHeight w:val="741"/>
        </w:trPr>
        <w:tc>
          <w:tcPr>
            <w:tcW w:w="3325" w:type="dxa"/>
          </w:tcPr>
          <w:p w14:paraId="7269C555" w14:textId="77777777" w:rsidR="00A720EB" w:rsidRDefault="0030286B">
            <w:pPr>
              <w:pStyle w:val="TableParagraph"/>
              <w:spacing w:before="40"/>
              <w:rPr>
                <w:sz w:val="21"/>
              </w:rPr>
            </w:pPr>
            <w:r>
              <w:rPr>
                <w:color w:val="B02045"/>
                <w:sz w:val="21"/>
              </w:rPr>
              <w:t>logging.file.name</w:t>
            </w:r>
          </w:p>
        </w:tc>
        <w:tc>
          <w:tcPr>
            <w:tcW w:w="3325" w:type="dxa"/>
          </w:tcPr>
          <w:p w14:paraId="5EC43B33" w14:textId="77777777" w:rsidR="00A720EB" w:rsidRDefault="0030286B">
            <w:pPr>
              <w:pStyle w:val="TableParagraph"/>
              <w:spacing w:before="40"/>
              <w:rPr>
                <w:sz w:val="21"/>
              </w:rPr>
            </w:pPr>
            <w:r>
              <w:rPr>
                <w:color w:val="B02045"/>
                <w:sz w:val="21"/>
              </w:rPr>
              <w:t>LOG_FILE</w:t>
            </w:r>
          </w:p>
        </w:tc>
        <w:tc>
          <w:tcPr>
            <w:tcW w:w="3325" w:type="dxa"/>
          </w:tcPr>
          <w:p w14:paraId="291FEDF8" w14:textId="77777777" w:rsidR="00A720EB" w:rsidRDefault="0030286B">
            <w:pPr>
              <w:pStyle w:val="TableParagraph"/>
              <w:spacing w:before="31" w:line="310" w:lineRule="atLeast"/>
              <w:ind w:right="190"/>
              <w:rPr>
                <w:rFonts w:ascii="Cambria"/>
                <w:sz w:val="21"/>
              </w:rPr>
            </w:pPr>
            <w:r>
              <w:rPr>
                <w:rFonts w:ascii="Cambria"/>
                <w:color w:val="333333"/>
                <w:w w:val="110"/>
                <w:sz w:val="21"/>
              </w:rPr>
              <w:t>If defined, it is used in the default log configuration.</w:t>
            </w:r>
          </w:p>
        </w:tc>
      </w:tr>
      <w:tr w:rsidR="00A720EB" w14:paraId="5951D447" w14:textId="77777777">
        <w:trPr>
          <w:trHeight w:val="1372"/>
        </w:trPr>
        <w:tc>
          <w:tcPr>
            <w:tcW w:w="3325" w:type="dxa"/>
          </w:tcPr>
          <w:p w14:paraId="1379A0CF" w14:textId="77777777" w:rsidR="00A720EB" w:rsidRDefault="0030286B">
            <w:pPr>
              <w:pStyle w:val="TableParagraph"/>
              <w:spacing w:before="40"/>
              <w:rPr>
                <w:sz w:val="21"/>
              </w:rPr>
            </w:pPr>
            <w:r>
              <w:rPr>
                <w:color w:val="B02045"/>
                <w:sz w:val="21"/>
              </w:rPr>
              <w:t>logging.file.max-size</w:t>
            </w:r>
          </w:p>
        </w:tc>
        <w:tc>
          <w:tcPr>
            <w:tcW w:w="3325" w:type="dxa"/>
          </w:tcPr>
          <w:p w14:paraId="3C1AD00F" w14:textId="77777777" w:rsidR="00A720EB" w:rsidRDefault="0030286B">
            <w:pPr>
              <w:pStyle w:val="TableParagraph"/>
              <w:spacing w:before="40"/>
              <w:rPr>
                <w:sz w:val="21"/>
              </w:rPr>
            </w:pPr>
            <w:r>
              <w:rPr>
                <w:color w:val="B02045"/>
                <w:sz w:val="21"/>
              </w:rPr>
              <w:t>LOG_FILE_MAX_SIZE</w:t>
            </w:r>
          </w:p>
        </w:tc>
        <w:tc>
          <w:tcPr>
            <w:tcW w:w="3325" w:type="dxa"/>
          </w:tcPr>
          <w:p w14:paraId="6BACA564" w14:textId="77777777" w:rsidR="00A720EB" w:rsidRDefault="0030286B">
            <w:pPr>
              <w:pStyle w:val="TableParagraph"/>
              <w:spacing w:before="31" w:line="310" w:lineRule="atLeast"/>
              <w:rPr>
                <w:rFonts w:ascii="Cambria"/>
                <w:sz w:val="21"/>
              </w:rPr>
            </w:pPr>
            <w:r>
              <w:rPr>
                <w:rFonts w:ascii="Cambria"/>
                <w:color w:val="333333"/>
                <w:w w:val="110"/>
                <w:sz w:val="21"/>
              </w:rPr>
              <w:t>Maximum log file size (if LOG_FILE enabled). (Only supported with the default Logback setup.)</w:t>
            </w:r>
          </w:p>
        </w:tc>
      </w:tr>
      <w:tr w:rsidR="00A720EB" w14:paraId="04A60FC9" w14:textId="77777777">
        <w:trPr>
          <w:trHeight w:val="1372"/>
        </w:trPr>
        <w:tc>
          <w:tcPr>
            <w:tcW w:w="3325" w:type="dxa"/>
          </w:tcPr>
          <w:p w14:paraId="334997D0" w14:textId="77777777" w:rsidR="00A720EB" w:rsidRDefault="0030286B">
            <w:pPr>
              <w:pStyle w:val="TableParagraph"/>
              <w:spacing w:before="40"/>
              <w:rPr>
                <w:sz w:val="21"/>
              </w:rPr>
            </w:pPr>
            <w:r>
              <w:rPr>
                <w:color w:val="B02045"/>
                <w:sz w:val="21"/>
              </w:rPr>
              <w:t>logging.file.max-history</w:t>
            </w:r>
          </w:p>
        </w:tc>
        <w:tc>
          <w:tcPr>
            <w:tcW w:w="3325" w:type="dxa"/>
          </w:tcPr>
          <w:p w14:paraId="2951CF3F" w14:textId="77777777" w:rsidR="00A720EB" w:rsidRDefault="0030286B">
            <w:pPr>
              <w:pStyle w:val="TableParagraph"/>
              <w:spacing w:before="40"/>
              <w:rPr>
                <w:sz w:val="21"/>
              </w:rPr>
            </w:pPr>
            <w:r>
              <w:rPr>
                <w:color w:val="B02045"/>
                <w:sz w:val="21"/>
              </w:rPr>
              <w:t>LOG_FILE_MAX_HISTORY</w:t>
            </w:r>
          </w:p>
        </w:tc>
        <w:tc>
          <w:tcPr>
            <w:tcW w:w="3325" w:type="dxa"/>
          </w:tcPr>
          <w:p w14:paraId="42885EB5" w14:textId="77777777" w:rsidR="00A720EB" w:rsidRDefault="0030286B">
            <w:pPr>
              <w:pStyle w:val="TableParagraph"/>
              <w:spacing w:before="31" w:line="310" w:lineRule="atLeast"/>
              <w:ind w:right="127"/>
              <w:rPr>
                <w:rFonts w:ascii="Cambria"/>
                <w:sz w:val="21"/>
              </w:rPr>
            </w:pPr>
            <w:r>
              <w:rPr>
                <w:rFonts w:ascii="Cambria"/>
                <w:color w:val="333333"/>
                <w:w w:val="110"/>
                <w:sz w:val="21"/>
              </w:rPr>
              <w:t>Maximum number of archive log files to keep (if LOG_FILE enabled). (Only supported with the default Logback setup.)</w:t>
            </w:r>
          </w:p>
        </w:tc>
      </w:tr>
    </w:tbl>
    <w:p w14:paraId="71B8572D" w14:textId="77777777" w:rsidR="00A720EB" w:rsidRDefault="00A720EB">
      <w:pPr>
        <w:spacing w:line="310" w:lineRule="atLeast"/>
        <w:rPr>
          <w:sz w:val="21"/>
        </w:rPr>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6BEE833E" w14:textId="77777777">
        <w:trPr>
          <w:trHeight w:val="415"/>
        </w:trPr>
        <w:tc>
          <w:tcPr>
            <w:tcW w:w="3325" w:type="dxa"/>
            <w:tcBorders>
              <w:bottom w:val="single" w:sz="12" w:space="0" w:color="DDDDDD"/>
            </w:tcBorders>
          </w:tcPr>
          <w:p w14:paraId="47F54C4A"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Spring Environment</w:t>
            </w:r>
          </w:p>
        </w:tc>
        <w:tc>
          <w:tcPr>
            <w:tcW w:w="3325" w:type="dxa"/>
            <w:tcBorders>
              <w:bottom w:val="single" w:sz="12" w:space="0" w:color="DDDDDD"/>
            </w:tcBorders>
          </w:tcPr>
          <w:p w14:paraId="287C7EF0" w14:textId="77777777" w:rsidR="00A720EB" w:rsidRDefault="0030286B">
            <w:pPr>
              <w:pStyle w:val="TableParagraph"/>
              <w:spacing w:before="71"/>
              <w:rPr>
                <w:rFonts w:ascii="Palatino Linotype"/>
                <w:b/>
                <w:sz w:val="21"/>
              </w:rPr>
            </w:pPr>
            <w:r>
              <w:rPr>
                <w:rFonts w:ascii="Palatino Linotype"/>
                <w:b/>
                <w:color w:val="333333"/>
                <w:w w:val="110"/>
                <w:sz w:val="21"/>
              </w:rPr>
              <w:t>System Property</w:t>
            </w:r>
          </w:p>
        </w:tc>
        <w:tc>
          <w:tcPr>
            <w:tcW w:w="3325" w:type="dxa"/>
            <w:tcBorders>
              <w:bottom w:val="single" w:sz="12" w:space="0" w:color="DDDDDD"/>
            </w:tcBorders>
          </w:tcPr>
          <w:p w14:paraId="4B1E7EAD" w14:textId="77777777" w:rsidR="00A720EB" w:rsidRDefault="0030286B">
            <w:pPr>
              <w:pStyle w:val="TableParagraph"/>
              <w:spacing w:before="71"/>
              <w:rPr>
                <w:rFonts w:ascii="Palatino Linotype"/>
                <w:b/>
                <w:sz w:val="21"/>
              </w:rPr>
            </w:pPr>
            <w:r>
              <w:rPr>
                <w:rFonts w:ascii="Palatino Linotype"/>
                <w:b/>
                <w:color w:val="333333"/>
                <w:w w:val="110"/>
                <w:sz w:val="21"/>
              </w:rPr>
              <w:t>Comments</w:t>
            </w:r>
          </w:p>
        </w:tc>
      </w:tr>
      <w:tr w:rsidR="00A720EB" w14:paraId="6385F9E4" w14:textId="77777777">
        <w:trPr>
          <w:trHeight w:val="731"/>
        </w:trPr>
        <w:tc>
          <w:tcPr>
            <w:tcW w:w="3325" w:type="dxa"/>
            <w:tcBorders>
              <w:top w:val="single" w:sz="12" w:space="0" w:color="DDDDDD"/>
            </w:tcBorders>
          </w:tcPr>
          <w:p w14:paraId="382DDDE8" w14:textId="77777777" w:rsidR="00A720EB" w:rsidRDefault="0030286B">
            <w:pPr>
              <w:pStyle w:val="TableParagraph"/>
              <w:spacing w:before="27"/>
              <w:rPr>
                <w:sz w:val="21"/>
              </w:rPr>
            </w:pPr>
            <w:proofErr w:type="gramStart"/>
            <w:r>
              <w:rPr>
                <w:color w:val="B02045"/>
                <w:sz w:val="21"/>
              </w:rPr>
              <w:t>logging.file</w:t>
            </w:r>
            <w:proofErr w:type="gramEnd"/>
            <w:r>
              <w:rPr>
                <w:color w:val="B02045"/>
                <w:sz w:val="21"/>
              </w:rPr>
              <w:t>.path</w:t>
            </w:r>
          </w:p>
        </w:tc>
        <w:tc>
          <w:tcPr>
            <w:tcW w:w="3325" w:type="dxa"/>
            <w:tcBorders>
              <w:top w:val="single" w:sz="12" w:space="0" w:color="DDDDDD"/>
            </w:tcBorders>
          </w:tcPr>
          <w:p w14:paraId="52A6D4D6" w14:textId="77777777" w:rsidR="00A720EB" w:rsidRDefault="0030286B">
            <w:pPr>
              <w:pStyle w:val="TableParagraph"/>
              <w:spacing w:before="27"/>
              <w:rPr>
                <w:sz w:val="21"/>
              </w:rPr>
            </w:pPr>
            <w:r>
              <w:rPr>
                <w:color w:val="B02045"/>
                <w:sz w:val="21"/>
              </w:rPr>
              <w:t>LOG_PATH</w:t>
            </w:r>
          </w:p>
        </w:tc>
        <w:tc>
          <w:tcPr>
            <w:tcW w:w="3325" w:type="dxa"/>
            <w:tcBorders>
              <w:top w:val="single" w:sz="12" w:space="0" w:color="DDDDDD"/>
            </w:tcBorders>
          </w:tcPr>
          <w:p w14:paraId="6540017D" w14:textId="77777777" w:rsidR="00A720EB" w:rsidRDefault="0030286B">
            <w:pPr>
              <w:pStyle w:val="TableParagraph"/>
              <w:spacing w:before="18" w:line="310" w:lineRule="atLeast"/>
              <w:ind w:right="190"/>
              <w:rPr>
                <w:rFonts w:ascii="Cambria"/>
                <w:sz w:val="21"/>
              </w:rPr>
            </w:pPr>
            <w:r>
              <w:rPr>
                <w:rFonts w:ascii="Cambria"/>
                <w:color w:val="333333"/>
                <w:w w:val="110"/>
                <w:sz w:val="21"/>
              </w:rPr>
              <w:t>If defined, it is used in the default log configuration.</w:t>
            </w:r>
          </w:p>
        </w:tc>
      </w:tr>
      <w:tr w:rsidR="00A720EB" w14:paraId="513CA496" w14:textId="77777777">
        <w:trPr>
          <w:trHeight w:val="1372"/>
        </w:trPr>
        <w:tc>
          <w:tcPr>
            <w:tcW w:w="3325" w:type="dxa"/>
          </w:tcPr>
          <w:p w14:paraId="25D085BC" w14:textId="77777777" w:rsidR="00A720EB" w:rsidRDefault="0030286B">
            <w:pPr>
              <w:pStyle w:val="TableParagraph"/>
              <w:spacing w:before="37"/>
              <w:rPr>
                <w:sz w:val="21"/>
              </w:rPr>
            </w:pPr>
            <w:proofErr w:type="gramStart"/>
            <w:r>
              <w:rPr>
                <w:color w:val="B02045"/>
                <w:sz w:val="21"/>
              </w:rPr>
              <w:t>logging.file</w:t>
            </w:r>
            <w:proofErr w:type="gramEnd"/>
            <w:r>
              <w:rPr>
                <w:color w:val="B02045"/>
                <w:sz w:val="21"/>
              </w:rPr>
              <w:t>.total-size-cap</w:t>
            </w:r>
          </w:p>
        </w:tc>
        <w:tc>
          <w:tcPr>
            <w:tcW w:w="3325" w:type="dxa"/>
          </w:tcPr>
          <w:p w14:paraId="4BA731F9" w14:textId="77777777" w:rsidR="00A720EB" w:rsidRDefault="0030286B">
            <w:pPr>
              <w:pStyle w:val="TableParagraph"/>
              <w:spacing w:before="37"/>
              <w:rPr>
                <w:sz w:val="21"/>
              </w:rPr>
            </w:pPr>
            <w:r>
              <w:rPr>
                <w:color w:val="B02045"/>
                <w:sz w:val="21"/>
              </w:rPr>
              <w:t>LOG_FILE_TOTAL_SIZE_CAP</w:t>
            </w:r>
          </w:p>
        </w:tc>
        <w:tc>
          <w:tcPr>
            <w:tcW w:w="3325" w:type="dxa"/>
          </w:tcPr>
          <w:p w14:paraId="6834EB88" w14:textId="77777777" w:rsidR="00A720EB" w:rsidRDefault="0030286B">
            <w:pPr>
              <w:pStyle w:val="TableParagraph"/>
              <w:spacing w:before="28" w:line="310" w:lineRule="atLeast"/>
              <w:ind w:right="190"/>
              <w:rPr>
                <w:rFonts w:ascii="Cambria"/>
                <w:sz w:val="21"/>
              </w:rPr>
            </w:pPr>
            <w:r>
              <w:rPr>
                <w:rFonts w:ascii="Cambria"/>
                <w:color w:val="333333"/>
                <w:w w:val="110"/>
                <w:sz w:val="21"/>
              </w:rPr>
              <w:t>Total size of log backups to be kept (if LOG_FILE enabled). (Only supported with the default Logback setup.)</w:t>
            </w:r>
          </w:p>
        </w:tc>
      </w:tr>
      <w:tr w:rsidR="00A720EB" w14:paraId="36F1AE0E" w14:textId="77777777">
        <w:trPr>
          <w:trHeight w:val="1372"/>
        </w:trPr>
        <w:tc>
          <w:tcPr>
            <w:tcW w:w="3325" w:type="dxa"/>
          </w:tcPr>
          <w:p w14:paraId="1E82E2B7" w14:textId="77777777" w:rsidR="00A720EB" w:rsidRDefault="0030286B">
            <w:pPr>
              <w:pStyle w:val="TableParagraph"/>
              <w:spacing w:before="37"/>
              <w:rPr>
                <w:sz w:val="21"/>
              </w:rPr>
            </w:pPr>
            <w:proofErr w:type="gramStart"/>
            <w:r>
              <w:rPr>
                <w:color w:val="B02045"/>
                <w:sz w:val="21"/>
              </w:rPr>
              <w:t>logging.pattern</w:t>
            </w:r>
            <w:proofErr w:type="gramEnd"/>
            <w:r>
              <w:rPr>
                <w:color w:val="B02045"/>
                <w:sz w:val="21"/>
              </w:rPr>
              <w:t>.console</w:t>
            </w:r>
          </w:p>
        </w:tc>
        <w:tc>
          <w:tcPr>
            <w:tcW w:w="3325" w:type="dxa"/>
          </w:tcPr>
          <w:p w14:paraId="1E404041" w14:textId="77777777" w:rsidR="00A720EB" w:rsidRDefault="0030286B">
            <w:pPr>
              <w:pStyle w:val="TableParagraph"/>
              <w:spacing w:before="37"/>
              <w:rPr>
                <w:sz w:val="21"/>
              </w:rPr>
            </w:pPr>
            <w:r>
              <w:rPr>
                <w:color w:val="B02045"/>
                <w:sz w:val="21"/>
              </w:rPr>
              <w:t>CONSOLE_LOG_PATTERN</w:t>
            </w:r>
          </w:p>
        </w:tc>
        <w:tc>
          <w:tcPr>
            <w:tcW w:w="3325" w:type="dxa"/>
          </w:tcPr>
          <w:p w14:paraId="21EDB2D1" w14:textId="77777777" w:rsidR="00A720EB" w:rsidRDefault="0030286B">
            <w:pPr>
              <w:pStyle w:val="TableParagraph"/>
              <w:spacing w:before="28" w:line="310" w:lineRule="atLeast"/>
              <w:rPr>
                <w:rFonts w:ascii="Cambria"/>
                <w:sz w:val="21"/>
              </w:rPr>
            </w:pPr>
            <w:r>
              <w:rPr>
                <w:rFonts w:ascii="Cambria"/>
                <w:color w:val="333333"/>
                <w:w w:val="110"/>
                <w:sz w:val="21"/>
              </w:rPr>
              <w:t>The log pattern to use on the console (stdout). (Only supported with the default Logback setup.)</w:t>
            </w:r>
          </w:p>
        </w:tc>
      </w:tr>
      <w:tr w:rsidR="00A720EB" w14:paraId="0A4AAE05" w14:textId="77777777">
        <w:trPr>
          <w:trHeight w:val="1056"/>
        </w:trPr>
        <w:tc>
          <w:tcPr>
            <w:tcW w:w="3325" w:type="dxa"/>
          </w:tcPr>
          <w:p w14:paraId="70AF166A" w14:textId="77777777" w:rsidR="00A720EB" w:rsidRDefault="0030286B">
            <w:pPr>
              <w:pStyle w:val="TableParagraph"/>
              <w:spacing w:before="37"/>
              <w:rPr>
                <w:sz w:val="21"/>
              </w:rPr>
            </w:pPr>
            <w:proofErr w:type="gramStart"/>
            <w:r>
              <w:rPr>
                <w:color w:val="B02045"/>
                <w:sz w:val="21"/>
              </w:rPr>
              <w:t>logging.pattern</w:t>
            </w:r>
            <w:proofErr w:type="gramEnd"/>
            <w:r>
              <w:rPr>
                <w:color w:val="B02045"/>
                <w:sz w:val="21"/>
              </w:rPr>
              <w:t>.dateformat</w:t>
            </w:r>
          </w:p>
        </w:tc>
        <w:tc>
          <w:tcPr>
            <w:tcW w:w="3325" w:type="dxa"/>
          </w:tcPr>
          <w:p w14:paraId="07FBDDB7" w14:textId="77777777" w:rsidR="00A720EB" w:rsidRDefault="0030286B">
            <w:pPr>
              <w:pStyle w:val="TableParagraph"/>
              <w:spacing w:before="37"/>
              <w:rPr>
                <w:sz w:val="21"/>
              </w:rPr>
            </w:pPr>
            <w:r>
              <w:rPr>
                <w:color w:val="B02045"/>
                <w:sz w:val="21"/>
              </w:rPr>
              <w:t>LOG_DATEFORMAT_PATTERN</w:t>
            </w:r>
          </w:p>
        </w:tc>
        <w:tc>
          <w:tcPr>
            <w:tcW w:w="3325" w:type="dxa"/>
          </w:tcPr>
          <w:p w14:paraId="64757D09" w14:textId="77777777" w:rsidR="00A720EB" w:rsidRDefault="0030286B">
            <w:pPr>
              <w:pStyle w:val="TableParagraph"/>
              <w:spacing w:before="28" w:line="310" w:lineRule="atLeast"/>
              <w:ind w:right="272"/>
              <w:jc w:val="both"/>
              <w:rPr>
                <w:rFonts w:ascii="Cambria"/>
                <w:sz w:val="21"/>
              </w:rPr>
            </w:pPr>
            <w:r>
              <w:rPr>
                <w:rFonts w:ascii="Cambria"/>
                <w:color w:val="333333"/>
                <w:w w:val="110"/>
                <w:sz w:val="21"/>
              </w:rPr>
              <w:t>Appender pattern for log date format. (Only supported with the default Logback setup.)</w:t>
            </w:r>
          </w:p>
        </w:tc>
      </w:tr>
      <w:tr w:rsidR="00A720EB" w14:paraId="6DB616D2" w14:textId="77777777">
        <w:trPr>
          <w:trHeight w:val="1372"/>
        </w:trPr>
        <w:tc>
          <w:tcPr>
            <w:tcW w:w="3325" w:type="dxa"/>
          </w:tcPr>
          <w:p w14:paraId="6E02B0EF" w14:textId="77777777" w:rsidR="00A720EB" w:rsidRDefault="0030286B">
            <w:pPr>
              <w:pStyle w:val="TableParagraph"/>
              <w:spacing w:before="37"/>
              <w:rPr>
                <w:sz w:val="21"/>
              </w:rPr>
            </w:pPr>
            <w:proofErr w:type="gramStart"/>
            <w:r>
              <w:rPr>
                <w:color w:val="B02045"/>
                <w:sz w:val="21"/>
              </w:rPr>
              <w:t>logging.pattern</w:t>
            </w:r>
            <w:proofErr w:type="gramEnd"/>
            <w:r>
              <w:rPr>
                <w:color w:val="B02045"/>
                <w:sz w:val="21"/>
              </w:rPr>
              <w:t>.file</w:t>
            </w:r>
          </w:p>
        </w:tc>
        <w:tc>
          <w:tcPr>
            <w:tcW w:w="3325" w:type="dxa"/>
          </w:tcPr>
          <w:p w14:paraId="784AA6B9" w14:textId="77777777" w:rsidR="00A720EB" w:rsidRDefault="0030286B">
            <w:pPr>
              <w:pStyle w:val="TableParagraph"/>
              <w:spacing w:before="37"/>
              <w:rPr>
                <w:sz w:val="21"/>
              </w:rPr>
            </w:pPr>
            <w:r>
              <w:rPr>
                <w:color w:val="B02045"/>
                <w:sz w:val="21"/>
              </w:rPr>
              <w:t>FILE_LOG_PATTERN</w:t>
            </w:r>
          </w:p>
        </w:tc>
        <w:tc>
          <w:tcPr>
            <w:tcW w:w="3325" w:type="dxa"/>
          </w:tcPr>
          <w:p w14:paraId="62EB089B" w14:textId="77777777" w:rsidR="00A720EB" w:rsidRDefault="0030286B">
            <w:pPr>
              <w:pStyle w:val="TableParagraph"/>
              <w:spacing w:before="92" w:line="297" w:lineRule="auto"/>
              <w:ind w:right="270"/>
              <w:rPr>
                <w:rFonts w:ascii="Cambria"/>
                <w:sz w:val="21"/>
              </w:rPr>
            </w:pPr>
            <w:r>
              <w:rPr>
                <w:rFonts w:ascii="Cambria"/>
                <w:color w:val="333333"/>
                <w:w w:val="110"/>
                <w:sz w:val="21"/>
              </w:rPr>
              <w:t xml:space="preserve">The log pattern to use in a file (if </w:t>
            </w:r>
            <w:r>
              <w:rPr>
                <w:color w:val="B02045"/>
                <w:w w:val="110"/>
                <w:sz w:val="21"/>
              </w:rPr>
              <w:t>LOG_FILE</w:t>
            </w:r>
            <w:r>
              <w:rPr>
                <w:color w:val="B02045"/>
                <w:spacing w:val="-80"/>
                <w:w w:val="110"/>
                <w:sz w:val="21"/>
              </w:rPr>
              <w:t xml:space="preserve"> </w:t>
            </w:r>
            <w:r>
              <w:rPr>
                <w:rFonts w:ascii="Cambria"/>
                <w:color w:val="333333"/>
                <w:w w:val="110"/>
                <w:sz w:val="21"/>
              </w:rPr>
              <w:t>is enabled). (Only supported with the default Logback setup.)</w:t>
            </w:r>
          </w:p>
        </w:tc>
      </w:tr>
      <w:tr w:rsidR="00A720EB" w14:paraId="3EEA612C" w14:textId="77777777">
        <w:trPr>
          <w:trHeight w:val="1372"/>
        </w:trPr>
        <w:tc>
          <w:tcPr>
            <w:tcW w:w="3325" w:type="dxa"/>
          </w:tcPr>
          <w:p w14:paraId="7D96616F" w14:textId="77777777" w:rsidR="00A720EB" w:rsidRDefault="0030286B">
            <w:pPr>
              <w:pStyle w:val="TableParagraph"/>
              <w:spacing w:before="37"/>
              <w:rPr>
                <w:sz w:val="21"/>
              </w:rPr>
            </w:pPr>
            <w:proofErr w:type="gramStart"/>
            <w:r>
              <w:rPr>
                <w:color w:val="B02045"/>
                <w:sz w:val="21"/>
              </w:rPr>
              <w:t>logging.pattern</w:t>
            </w:r>
            <w:proofErr w:type="gramEnd"/>
            <w:r>
              <w:rPr>
                <w:color w:val="B02045"/>
                <w:sz w:val="21"/>
              </w:rPr>
              <w:t>.level</w:t>
            </w:r>
          </w:p>
        </w:tc>
        <w:tc>
          <w:tcPr>
            <w:tcW w:w="3325" w:type="dxa"/>
          </w:tcPr>
          <w:p w14:paraId="0D24D5F0" w14:textId="77777777" w:rsidR="00A720EB" w:rsidRDefault="0030286B">
            <w:pPr>
              <w:pStyle w:val="TableParagraph"/>
              <w:spacing w:before="37"/>
              <w:rPr>
                <w:sz w:val="21"/>
              </w:rPr>
            </w:pPr>
            <w:r>
              <w:rPr>
                <w:color w:val="B02045"/>
                <w:sz w:val="21"/>
              </w:rPr>
              <w:t>LOG_LEVEL_PATTERN</w:t>
            </w:r>
          </w:p>
        </w:tc>
        <w:tc>
          <w:tcPr>
            <w:tcW w:w="3325" w:type="dxa"/>
          </w:tcPr>
          <w:p w14:paraId="59302058" w14:textId="77777777" w:rsidR="00A720EB" w:rsidRDefault="0030286B">
            <w:pPr>
              <w:pStyle w:val="TableParagraph"/>
              <w:spacing w:before="92" w:line="307" w:lineRule="auto"/>
              <w:rPr>
                <w:rFonts w:ascii="Cambria"/>
                <w:sz w:val="21"/>
              </w:rPr>
            </w:pPr>
            <w:r>
              <w:rPr>
                <w:rFonts w:ascii="Cambria"/>
                <w:color w:val="333333"/>
                <w:w w:val="110"/>
                <w:sz w:val="21"/>
              </w:rPr>
              <w:t>The format to use when rendering the log level (default</w:t>
            </w:r>
          </w:p>
          <w:p w14:paraId="2655A6BD" w14:textId="77777777" w:rsidR="00A720EB" w:rsidRDefault="0030286B">
            <w:pPr>
              <w:pStyle w:val="TableParagraph"/>
              <w:spacing w:before="0" w:line="290" w:lineRule="auto"/>
              <w:rPr>
                <w:rFonts w:ascii="Cambria"/>
                <w:sz w:val="21"/>
              </w:rPr>
            </w:pPr>
            <w:r>
              <w:rPr>
                <w:color w:val="B02045"/>
                <w:w w:val="110"/>
                <w:sz w:val="21"/>
              </w:rPr>
              <w:t>%5p</w:t>
            </w:r>
            <w:r>
              <w:rPr>
                <w:rFonts w:ascii="Cambria"/>
                <w:color w:val="333333"/>
                <w:w w:val="110"/>
                <w:sz w:val="21"/>
              </w:rPr>
              <w:t>). (Only supported with the default Logback setup.)</w:t>
            </w:r>
          </w:p>
        </w:tc>
      </w:tr>
      <w:tr w:rsidR="00A720EB" w14:paraId="7A610720" w14:textId="77777777">
        <w:trPr>
          <w:trHeight w:val="1631"/>
        </w:trPr>
        <w:tc>
          <w:tcPr>
            <w:tcW w:w="3325" w:type="dxa"/>
          </w:tcPr>
          <w:p w14:paraId="409EBDE2" w14:textId="77777777" w:rsidR="00A720EB" w:rsidRDefault="0030286B">
            <w:pPr>
              <w:pStyle w:val="TableParagraph"/>
              <w:spacing w:before="46" w:line="230" w:lineRule="auto"/>
              <w:ind w:right="190"/>
              <w:rPr>
                <w:sz w:val="21"/>
              </w:rPr>
            </w:pPr>
            <w:proofErr w:type="gramStart"/>
            <w:r>
              <w:rPr>
                <w:color w:val="B02045"/>
                <w:sz w:val="21"/>
              </w:rPr>
              <w:t>logging.pattern</w:t>
            </w:r>
            <w:proofErr w:type="gramEnd"/>
            <w:r>
              <w:rPr>
                <w:color w:val="B02045"/>
                <w:sz w:val="21"/>
              </w:rPr>
              <w:t>.rolling-file- name</w:t>
            </w:r>
          </w:p>
        </w:tc>
        <w:tc>
          <w:tcPr>
            <w:tcW w:w="3325" w:type="dxa"/>
          </w:tcPr>
          <w:p w14:paraId="24E76C55" w14:textId="77777777" w:rsidR="00A720EB" w:rsidRDefault="0030286B">
            <w:pPr>
              <w:pStyle w:val="TableParagraph"/>
              <w:spacing w:before="37"/>
              <w:rPr>
                <w:sz w:val="21"/>
              </w:rPr>
            </w:pPr>
            <w:r>
              <w:rPr>
                <w:color w:val="B02045"/>
                <w:sz w:val="21"/>
              </w:rPr>
              <w:t>ROLLING_FILE_NAME_PATTERN</w:t>
            </w:r>
          </w:p>
        </w:tc>
        <w:tc>
          <w:tcPr>
            <w:tcW w:w="3325" w:type="dxa"/>
          </w:tcPr>
          <w:p w14:paraId="5D33BB90" w14:textId="77777777" w:rsidR="00A720EB" w:rsidRDefault="0030286B">
            <w:pPr>
              <w:pStyle w:val="TableParagraph"/>
              <w:spacing w:before="28" w:line="310" w:lineRule="atLeast"/>
              <w:rPr>
                <w:rFonts w:ascii="Cambria"/>
                <w:sz w:val="21"/>
              </w:rPr>
            </w:pPr>
            <w:r>
              <w:rPr>
                <w:rFonts w:ascii="Cambria"/>
                <w:color w:val="333333"/>
                <w:w w:val="110"/>
                <w:sz w:val="21"/>
              </w:rPr>
              <w:t>Pattern for rolled-over log file names (default</w:t>
            </w:r>
          </w:p>
          <w:p w14:paraId="24AF767B" w14:textId="77777777" w:rsidR="00A720EB" w:rsidRDefault="0030286B">
            <w:pPr>
              <w:pStyle w:val="TableParagraph"/>
              <w:spacing w:before="8" w:line="285" w:lineRule="auto"/>
              <w:rPr>
                <w:rFonts w:ascii="Cambria"/>
                <w:sz w:val="21"/>
              </w:rPr>
            </w:pPr>
            <w:r>
              <w:rPr>
                <w:color w:val="B02045"/>
                <w:w w:val="110"/>
                <w:sz w:val="21"/>
              </w:rPr>
              <w:t>${LOG_FILE</w:t>
            </w:r>
            <w:proofErr w:type="gramStart"/>
            <w:r>
              <w:rPr>
                <w:color w:val="B02045"/>
                <w:w w:val="110"/>
                <w:sz w:val="21"/>
              </w:rPr>
              <w:t>}.%</w:t>
            </w:r>
            <w:proofErr w:type="gramEnd"/>
            <w:r>
              <w:rPr>
                <w:color w:val="B02045"/>
                <w:w w:val="110"/>
                <w:sz w:val="21"/>
              </w:rPr>
              <w:t>d{yyyy-MM- dd}.%i.gz</w:t>
            </w:r>
            <w:r>
              <w:rPr>
                <w:rFonts w:ascii="Cambria"/>
                <w:color w:val="333333"/>
                <w:w w:val="110"/>
                <w:sz w:val="21"/>
              </w:rPr>
              <w:t>). (Only supported with the default Logback setup.)</w:t>
            </w:r>
          </w:p>
        </w:tc>
      </w:tr>
      <w:tr w:rsidR="00A720EB" w14:paraId="58ED763F" w14:textId="77777777">
        <w:trPr>
          <w:trHeight w:val="1372"/>
        </w:trPr>
        <w:tc>
          <w:tcPr>
            <w:tcW w:w="3325" w:type="dxa"/>
          </w:tcPr>
          <w:p w14:paraId="775B4A89" w14:textId="77777777" w:rsidR="00A720EB" w:rsidRDefault="0030286B">
            <w:pPr>
              <w:pStyle w:val="TableParagraph"/>
              <w:spacing w:before="37"/>
              <w:rPr>
                <w:sz w:val="21"/>
              </w:rPr>
            </w:pPr>
            <w:r>
              <w:rPr>
                <w:color w:val="B02045"/>
                <w:sz w:val="21"/>
              </w:rPr>
              <w:t>PID</w:t>
            </w:r>
          </w:p>
        </w:tc>
        <w:tc>
          <w:tcPr>
            <w:tcW w:w="3325" w:type="dxa"/>
          </w:tcPr>
          <w:p w14:paraId="044769FA" w14:textId="77777777" w:rsidR="00A720EB" w:rsidRDefault="0030286B">
            <w:pPr>
              <w:pStyle w:val="TableParagraph"/>
              <w:spacing w:before="37"/>
              <w:rPr>
                <w:sz w:val="21"/>
              </w:rPr>
            </w:pPr>
            <w:r>
              <w:rPr>
                <w:color w:val="B02045"/>
                <w:sz w:val="21"/>
              </w:rPr>
              <w:t>PID</w:t>
            </w:r>
          </w:p>
        </w:tc>
        <w:tc>
          <w:tcPr>
            <w:tcW w:w="3325" w:type="dxa"/>
          </w:tcPr>
          <w:p w14:paraId="42B94734" w14:textId="77777777" w:rsidR="00A720EB" w:rsidRDefault="0030286B">
            <w:pPr>
              <w:pStyle w:val="TableParagraph"/>
              <w:spacing w:before="28" w:line="310" w:lineRule="atLeast"/>
              <w:ind w:right="127"/>
              <w:rPr>
                <w:rFonts w:ascii="Cambria"/>
                <w:sz w:val="21"/>
              </w:rPr>
            </w:pPr>
            <w:r>
              <w:rPr>
                <w:rFonts w:ascii="Cambria"/>
                <w:color w:val="333333"/>
                <w:w w:val="110"/>
                <w:sz w:val="21"/>
              </w:rPr>
              <w:t>The current process ID (discovered if possible and when not already defined as an OS environment variable).</w:t>
            </w:r>
          </w:p>
        </w:tc>
      </w:tr>
    </w:tbl>
    <w:p w14:paraId="28DE3F5B" w14:textId="77777777" w:rsidR="00A720EB" w:rsidRDefault="00A720EB">
      <w:pPr>
        <w:pStyle w:val="a3"/>
        <w:spacing w:before="6"/>
        <w:rPr>
          <w:sz w:val="12"/>
        </w:rPr>
      </w:pPr>
    </w:p>
    <w:p w14:paraId="7131522F" w14:textId="77777777" w:rsidR="00A720EB" w:rsidRDefault="0030286B">
      <w:pPr>
        <w:pStyle w:val="a3"/>
        <w:spacing w:before="125" w:line="297" w:lineRule="auto"/>
        <w:ind w:left="124" w:right="359"/>
      </w:pPr>
      <w:r>
        <w:rPr>
          <w:color w:val="333333"/>
          <w:w w:val="110"/>
        </w:rPr>
        <w:t xml:space="preserve">All the supported logging systems can consult System properties when parsing their configuration files. See the default configurations in </w:t>
      </w:r>
      <w:r>
        <w:rPr>
          <w:rFonts w:ascii="MS Gothic"/>
          <w:color w:val="B02045"/>
          <w:w w:val="110"/>
        </w:rPr>
        <w:t xml:space="preserve">spring-boot.jar </w:t>
      </w:r>
      <w:r>
        <w:rPr>
          <w:color w:val="333333"/>
          <w:w w:val="110"/>
        </w:rPr>
        <w:t>for examples:</w:t>
      </w:r>
    </w:p>
    <w:p w14:paraId="0C2AC3E6" w14:textId="77777777" w:rsidR="00A720EB" w:rsidRDefault="00E10349">
      <w:pPr>
        <w:pStyle w:val="a6"/>
        <w:numPr>
          <w:ilvl w:val="0"/>
          <w:numId w:val="53"/>
        </w:numPr>
        <w:tabs>
          <w:tab w:val="left" w:pos="485"/>
        </w:tabs>
        <w:spacing w:before="232"/>
        <w:rPr>
          <w:sz w:val="21"/>
        </w:rPr>
      </w:pPr>
      <w:hyperlink r:id="rId116">
        <w:r w:rsidR="0030286B">
          <w:rPr>
            <w:color w:val="418BCA"/>
            <w:w w:val="110"/>
            <w:sz w:val="21"/>
          </w:rPr>
          <w:t>Logback</w:t>
        </w:r>
      </w:hyperlink>
    </w:p>
    <w:p w14:paraId="5FA9F48B" w14:textId="77777777" w:rsidR="00A720EB" w:rsidRDefault="00E10349">
      <w:pPr>
        <w:pStyle w:val="a6"/>
        <w:numPr>
          <w:ilvl w:val="0"/>
          <w:numId w:val="53"/>
        </w:numPr>
        <w:tabs>
          <w:tab w:val="left" w:pos="485"/>
        </w:tabs>
        <w:spacing w:before="190"/>
        <w:rPr>
          <w:sz w:val="21"/>
        </w:rPr>
      </w:pPr>
      <w:hyperlink r:id="rId117">
        <w:r w:rsidR="0030286B">
          <w:rPr>
            <w:color w:val="418BCA"/>
            <w:w w:val="105"/>
            <w:sz w:val="21"/>
          </w:rPr>
          <w:t>Log4j</w:t>
        </w:r>
        <w:r w:rsidR="0030286B">
          <w:rPr>
            <w:color w:val="418BCA"/>
            <w:spacing w:val="5"/>
            <w:w w:val="105"/>
            <w:sz w:val="21"/>
          </w:rPr>
          <w:t xml:space="preserve"> </w:t>
        </w:r>
        <w:r w:rsidR="0030286B">
          <w:rPr>
            <w:color w:val="418BCA"/>
            <w:w w:val="105"/>
            <w:sz w:val="21"/>
          </w:rPr>
          <w:t>2</w:t>
        </w:r>
      </w:hyperlink>
    </w:p>
    <w:p w14:paraId="161755DC" w14:textId="77777777" w:rsidR="00A720EB" w:rsidRDefault="00E10349">
      <w:pPr>
        <w:pStyle w:val="a6"/>
        <w:numPr>
          <w:ilvl w:val="0"/>
          <w:numId w:val="53"/>
        </w:numPr>
        <w:tabs>
          <w:tab w:val="left" w:pos="485"/>
        </w:tabs>
        <w:spacing w:before="189"/>
        <w:rPr>
          <w:sz w:val="21"/>
        </w:rPr>
      </w:pPr>
      <w:hyperlink r:id="rId118">
        <w:r w:rsidR="0030286B">
          <w:rPr>
            <w:color w:val="418BCA"/>
            <w:w w:val="110"/>
            <w:sz w:val="21"/>
          </w:rPr>
          <w:t>Java Util</w:t>
        </w:r>
        <w:r w:rsidR="0030286B">
          <w:rPr>
            <w:color w:val="418BCA"/>
            <w:spacing w:val="4"/>
            <w:w w:val="110"/>
            <w:sz w:val="21"/>
          </w:rPr>
          <w:t xml:space="preserve"> </w:t>
        </w:r>
        <w:r w:rsidR="0030286B">
          <w:rPr>
            <w:color w:val="418BCA"/>
            <w:w w:val="110"/>
            <w:sz w:val="21"/>
          </w:rPr>
          <w:t>logging</w:t>
        </w:r>
      </w:hyperlink>
    </w:p>
    <w:p w14:paraId="184598D7" w14:textId="77777777" w:rsidR="00A720EB" w:rsidRDefault="00A720EB">
      <w:pPr>
        <w:pStyle w:val="a3"/>
        <w:spacing w:before="6"/>
        <w:rPr>
          <w:sz w:val="22"/>
        </w:rPr>
      </w:pPr>
    </w:p>
    <w:p w14:paraId="41052142" w14:textId="77777777" w:rsidR="00A720EB" w:rsidRDefault="00E10349">
      <w:pPr>
        <w:pStyle w:val="a3"/>
        <w:spacing w:before="126" w:line="295" w:lineRule="auto"/>
        <w:ind w:left="1564" w:right="363"/>
        <w:jc w:val="both"/>
      </w:pPr>
      <w:r>
        <w:pict w14:anchorId="1161F2E4">
          <v:line id="_x0000_s4423" style="position:absolute;left:0;text-align:left;z-index:15896064;mso-position-horizontal-relative:page" from="108.25pt,.3pt" to="108.25pt,71.45pt" strokecolor="#ededed" strokeweight=".5pt">
            <w10:wrap anchorx="page"/>
          </v:line>
        </w:pict>
      </w:r>
      <w:r w:rsidR="0030286B">
        <w:rPr>
          <w:noProof/>
        </w:rPr>
        <w:drawing>
          <wp:anchor distT="0" distB="0" distL="0" distR="0" simplePos="0" relativeHeight="15896576" behindDoc="0" locked="0" layoutInCell="1" allowOverlap="1" wp14:anchorId="75AFC800" wp14:editId="7398AA86">
            <wp:simplePos x="0" y="0"/>
            <wp:positionH relativeFrom="page">
              <wp:posOffset>888949</wp:posOffset>
            </wp:positionH>
            <wp:positionV relativeFrom="paragraph">
              <wp:posOffset>303187</wp:posOffset>
            </wp:positionV>
            <wp:extent cx="209550" cy="304800"/>
            <wp:effectExtent l="0" t="0" r="0" b="0"/>
            <wp:wrapNone/>
            <wp:docPr id="2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want to use a placeholder in a logging </w:t>
      </w:r>
      <w:r w:rsidR="0030286B">
        <w:rPr>
          <w:color w:val="333333"/>
          <w:spacing w:val="-3"/>
          <w:w w:val="110"/>
        </w:rPr>
        <w:t xml:space="preserve">property, </w:t>
      </w:r>
      <w:r w:rsidR="0030286B">
        <w:rPr>
          <w:color w:val="333333"/>
          <w:w w:val="110"/>
        </w:rPr>
        <w:t xml:space="preserve">you  should  use  </w:t>
      </w:r>
      <w:hyperlink w:anchor="_bookmark107" w:history="1">
        <w:r w:rsidR="0030286B">
          <w:rPr>
            <w:color w:val="418BCA"/>
            <w:w w:val="110"/>
          </w:rPr>
          <w:t>Spring</w:t>
        </w:r>
      </w:hyperlink>
      <w:r w:rsidR="0030286B">
        <w:rPr>
          <w:color w:val="418BCA"/>
          <w:w w:val="110"/>
        </w:rPr>
        <w:t xml:space="preserve">  </w:t>
      </w:r>
      <w:hyperlink w:anchor="_bookmark107" w:history="1">
        <w:r w:rsidR="0030286B">
          <w:rPr>
            <w:color w:val="418BCA"/>
            <w:w w:val="110"/>
          </w:rPr>
          <w:t xml:space="preserve">Boot’s syntax </w:t>
        </w:r>
      </w:hyperlink>
      <w:r w:rsidR="0030286B">
        <w:rPr>
          <w:color w:val="333333"/>
          <w:w w:val="110"/>
        </w:rPr>
        <w:t xml:space="preserve">and not the syntax of the underlying framework. </w:t>
      </w:r>
      <w:r w:rsidR="0030286B">
        <w:rPr>
          <w:color w:val="333333"/>
          <w:spacing w:val="-4"/>
          <w:w w:val="110"/>
        </w:rPr>
        <w:t xml:space="preserve">Notably, </w:t>
      </w:r>
      <w:r w:rsidR="0030286B">
        <w:rPr>
          <w:color w:val="333333"/>
          <w:w w:val="110"/>
        </w:rPr>
        <w:t xml:space="preserve">if you use Logback, you should </w:t>
      </w:r>
      <w:proofErr w:type="gramStart"/>
      <w:r w:rsidR="0030286B">
        <w:rPr>
          <w:color w:val="333333"/>
          <w:w w:val="110"/>
        </w:rPr>
        <w:t xml:space="preserve">use </w:t>
      </w:r>
      <w:r w:rsidR="0030286B">
        <w:rPr>
          <w:rFonts w:ascii="MS Gothic" w:hAnsi="MS Gothic"/>
          <w:color w:val="B02045"/>
          <w:w w:val="110"/>
        </w:rPr>
        <w:t>:</w:t>
      </w:r>
      <w:proofErr w:type="gramEnd"/>
      <w:r w:rsidR="0030286B">
        <w:rPr>
          <w:rFonts w:ascii="MS Gothic" w:hAnsi="MS Gothic"/>
          <w:color w:val="B02045"/>
          <w:w w:val="110"/>
        </w:rPr>
        <w:t xml:space="preserve"> </w:t>
      </w:r>
      <w:r w:rsidR="0030286B">
        <w:rPr>
          <w:color w:val="333333"/>
          <w:w w:val="110"/>
        </w:rPr>
        <w:t xml:space="preserve">as the delimiter between a property name and its  </w:t>
      </w:r>
      <w:r w:rsidR="0030286B">
        <w:rPr>
          <w:color w:val="333333"/>
          <w:w w:val="110"/>
        </w:rPr>
        <w:lastRenderedPageBreak/>
        <w:t>default value and not use</w:t>
      </w:r>
      <w:r w:rsidR="0030286B">
        <w:rPr>
          <w:color w:val="333333"/>
          <w:spacing w:val="17"/>
          <w:w w:val="110"/>
        </w:rPr>
        <w:t xml:space="preserve"> </w:t>
      </w:r>
      <w:r w:rsidR="0030286B">
        <w:rPr>
          <w:rFonts w:ascii="MS Gothic" w:hAnsi="MS Gothic"/>
          <w:color w:val="B02045"/>
          <w:w w:val="110"/>
        </w:rPr>
        <w:t>:-</w:t>
      </w:r>
      <w:r w:rsidR="0030286B">
        <w:rPr>
          <w:color w:val="333333"/>
          <w:w w:val="110"/>
        </w:rPr>
        <w:t>.</w:t>
      </w:r>
    </w:p>
    <w:p w14:paraId="7CD9C0CE" w14:textId="77777777" w:rsidR="00A720EB" w:rsidRDefault="00A720EB">
      <w:pPr>
        <w:spacing w:line="295" w:lineRule="auto"/>
        <w:jc w:val="both"/>
        <w:sectPr w:rsidR="00A720EB">
          <w:pgSz w:w="11910" w:h="16840"/>
          <w:pgMar w:top="700" w:right="840" w:bottom="520" w:left="840" w:header="0" w:footer="323" w:gutter="0"/>
          <w:cols w:space="720"/>
        </w:sectPr>
      </w:pPr>
    </w:p>
    <w:p w14:paraId="48C6AB40" w14:textId="77777777" w:rsidR="00A720EB" w:rsidRDefault="00E10349">
      <w:pPr>
        <w:pStyle w:val="a3"/>
        <w:spacing w:before="122" w:line="290" w:lineRule="auto"/>
        <w:ind w:left="1564" w:right="364"/>
        <w:jc w:val="both"/>
      </w:pPr>
      <w:r>
        <w:lastRenderedPageBreak/>
        <w:pict w14:anchorId="42D2C0B4">
          <v:line id="_x0000_s4422" style="position:absolute;left:0;text-align:left;z-index:15898112;mso-position-horizontal-relative:page" from="108.25pt,.1pt" to="108.25pt,149.45pt" strokecolor="#ededed" strokeweight=".5pt">
            <w10:wrap anchorx="page"/>
          </v:line>
        </w:pict>
      </w:r>
      <w:r w:rsidR="0030286B">
        <w:rPr>
          <w:noProof/>
        </w:rPr>
        <w:drawing>
          <wp:anchor distT="0" distB="0" distL="0" distR="0" simplePos="0" relativeHeight="15898624" behindDoc="0" locked="0" layoutInCell="1" allowOverlap="1" wp14:anchorId="2A379421" wp14:editId="313A8E8E">
            <wp:simplePos x="0" y="0"/>
            <wp:positionH relativeFrom="page">
              <wp:posOffset>888949</wp:posOffset>
            </wp:positionH>
            <wp:positionV relativeFrom="paragraph">
              <wp:posOffset>797345</wp:posOffset>
            </wp:positionV>
            <wp:extent cx="209550" cy="304800"/>
            <wp:effectExtent l="0" t="0" r="0" b="0"/>
            <wp:wrapNone/>
            <wp:docPr id="2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 xml:space="preserve">You </w:t>
      </w:r>
      <w:r w:rsidR="0030286B">
        <w:rPr>
          <w:color w:val="333333"/>
          <w:w w:val="110"/>
        </w:rPr>
        <w:t xml:space="preserve">can add MDC and other ad-hoc content to log lines </w:t>
      </w:r>
      <w:r w:rsidR="0030286B">
        <w:rPr>
          <w:color w:val="333333"/>
          <w:spacing w:val="-3"/>
          <w:w w:val="110"/>
        </w:rPr>
        <w:t xml:space="preserve">by </w:t>
      </w:r>
      <w:r w:rsidR="0030286B">
        <w:rPr>
          <w:color w:val="333333"/>
          <w:w w:val="110"/>
        </w:rPr>
        <w:t xml:space="preserve">overriding only the </w:t>
      </w:r>
      <w:r w:rsidR="0030286B">
        <w:rPr>
          <w:rFonts w:ascii="MS Gothic"/>
          <w:color w:val="B02045"/>
          <w:w w:val="105"/>
        </w:rPr>
        <w:t xml:space="preserve">LOG_LEVEL_PATTERN </w:t>
      </w:r>
      <w:r w:rsidR="0030286B">
        <w:rPr>
          <w:color w:val="333333"/>
          <w:w w:val="105"/>
        </w:rPr>
        <w:t xml:space="preserve">(or </w:t>
      </w:r>
      <w:proofErr w:type="gramStart"/>
      <w:r w:rsidR="0030286B">
        <w:rPr>
          <w:rFonts w:ascii="MS Gothic"/>
          <w:color w:val="B02045"/>
          <w:w w:val="105"/>
        </w:rPr>
        <w:t>logging.pattern</w:t>
      </w:r>
      <w:proofErr w:type="gramEnd"/>
      <w:r w:rsidR="0030286B">
        <w:rPr>
          <w:rFonts w:ascii="MS Gothic"/>
          <w:color w:val="B02045"/>
          <w:w w:val="105"/>
        </w:rPr>
        <w:t>.level</w:t>
      </w:r>
      <w:r w:rsidR="0030286B">
        <w:rPr>
          <w:rFonts w:ascii="MS Gothic"/>
          <w:color w:val="B02045"/>
          <w:spacing w:val="-74"/>
          <w:w w:val="105"/>
        </w:rPr>
        <w:t xml:space="preserve"> </w:t>
      </w:r>
      <w:r w:rsidR="0030286B">
        <w:rPr>
          <w:color w:val="333333"/>
          <w:w w:val="105"/>
        </w:rPr>
        <w:t xml:space="preserve">with Logback). </w:t>
      </w:r>
      <w:r w:rsidR="0030286B">
        <w:rPr>
          <w:color w:val="333333"/>
          <w:spacing w:val="-4"/>
          <w:w w:val="105"/>
        </w:rPr>
        <w:t xml:space="preserve">For </w:t>
      </w:r>
      <w:r w:rsidR="0030286B">
        <w:rPr>
          <w:color w:val="333333"/>
          <w:w w:val="105"/>
        </w:rPr>
        <w:t xml:space="preserve">example, if you use </w:t>
      </w:r>
      <w:proofErr w:type="gramStart"/>
      <w:r w:rsidR="0030286B">
        <w:rPr>
          <w:rFonts w:ascii="MS Gothic"/>
          <w:color w:val="B02045"/>
          <w:w w:val="110"/>
        </w:rPr>
        <w:t>logging.pattern</w:t>
      </w:r>
      <w:proofErr w:type="gramEnd"/>
      <w:r w:rsidR="0030286B">
        <w:rPr>
          <w:rFonts w:ascii="MS Gothic"/>
          <w:color w:val="B02045"/>
          <w:w w:val="110"/>
        </w:rPr>
        <w:t>.level=user:%X{user}</w:t>
      </w:r>
      <w:r w:rsidR="0030286B">
        <w:rPr>
          <w:rFonts w:ascii="MS Gothic"/>
          <w:color w:val="B02045"/>
          <w:spacing w:val="-51"/>
          <w:w w:val="110"/>
        </w:rPr>
        <w:t xml:space="preserve"> </w:t>
      </w:r>
      <w:r w:rsidR="0030286B">
        <w:rPr>
          <w:rFonts w:ascii="MS Gothic"/>
          <w:color w:val="B02045"/>
          <w:w w:val="110"/>
        </w:rPr>
        <w:t>%5p</w:t>
      </w:r>
      <w:r w:rsidR="0030286B">
        <w:rPr>
          <w:color w:val="333333"/>
          <w:w w:val="110"/>
        </w:rPr>
        <w:t>,</w:t>
      </w:r>
      <w:r w:rsidR="0030286B">
        <w:rPr>
          <w:color w:val="333333"/>
          <w:spacing w:val="-11"/>
          <w:w w:val="110"/>
        </w:rPr>
        <w:t xml:space="preserve"> </w:t>
      </w:r>
      <w:r w:rsidR="0030286B">
        <w:rPr>
          <w:color w:val="333333"/>
          <w:w w:val="110"/>
        </w:rPr>
        <w:t>then</w:t>
      </w:r>
      <w:r w:rsidR="0030286B">
        <w:rPr>
          <w:color w:val="333333"/>
          <w:spacing w:val="-11"/>
          <w:w w:val="110"/>
        </w:rPr>
        <w:t xml:space="preserve"> </w:t>
      </w:r>
      <w:r w:rsidR="0030286B">
        <w:rPr>
          <w:color w:val="333333"/>
          <w:w w:val="110"/>
        </w:rPr>
        <w:t>the</w:t>
      </w:r>
      <w:r w:rsidR="0030286B">
        <w:rPr>
          <w:color w:val="333333"/>
          <w:spacing w:val="-12"/>
          <w:w w:val="110"/>
        </w:rPr>
        <w:t xml:space="preserve"> </w:t>
      </w:r>
      <w:r w:rsidR="0030286B">
        <w:rPr>
          <w:color w:val="333333"/>
          <w:w w:val="110"/>
        </w:rPr>
        <w:t>default</w:t>
      </w:r>
      <w:r w:rsidR="0030286B">
        <w:rPr>
          <w:color w:val="333333"/>
          <w:spacing w:val="-12"/>
          <w:w w:val="110"/>
        </w:rPr>
        <w:t xml:space="preserve"> </w:t>
      </w:r>
      <w:r w:rsidR="0030286B">
        <w:rPr>
          <w:color w:val="333333"/>
          <w:w w:val="110"/>
        </w:rPr>
        <w:t>log</w:t>
      </w:r>
      <w:r w:rsidR="0030286B">
        <w:rPr>
          <w:color w:val="333333"/>
          <w:spacing w:val="-11"/>
          <w:w w:val="110"/>
        </w:rPr>
        <w:t xml:space="preserve"> </w:t>
      </w:r>
      <w:r w:rsidR="0030286B">
        <w:rPr>
          <w:color w:val="333333"/>
          <w:w w:val="110"/>
        </w:rPr>
        <w:t>format</w:t>
      </w:r>
      <w:r w:rsidR="0030286B">
        <w:rPr>
          <w:color w:val="333333"/>
          <w:spacing w:val="-11"/>
          <w:w w:val="110"/>
        </w:rPr>
        <w:t xml:space="preserve"> </w:t>
      </w:r>
      <w:r w:rsidR="0030286B">
        <w:rPr>
          <w:color w:val="333333"/>
          <w:w w:val="110"/>
        </w:rPr>
        <w:t>contains</w:t>
      </w:r>
      <w:r w:rsidR="0030286B">
        <w:rPr>
          <w:color w:val="333333"/>
          <w:spacing w:val="-11"/>
          <w:w w:val="110"/>
        </w:rPr>
        <w:t xml:space="preserve"> </w:t>
      </w:r>
      <w:r w:rsidR="0030286B">
        <w:rPr>
          <w:color w:val="333333"/>
          <w:w w:val="110"/>
        </w:rPr>
        <w:t>an MDC entry for "user", if it exists, as shown in the following</w:t>
      </w:r>
      <w:r w:rsidR="0030286B">
        <w:rPr>
          <w:color w:val="333333"/>
          <w:spacing w:val="2"/>
          <w:w w:val="110"/>
        </w:rPr>
        <w:t xml:space="preserve"> </w:t>
      </w:r>
      <w:r w:rsidR="0030286B">
        <w:rPr>
          <w:color w:val="333333"/>
          <w:w w:val="110"/>
        </w:rPr>
        <w:t>example.</w:t>
      </w:r>
    </w:p>
    <w:p w14:paraId="08A49F61" w14:textId="77777777" w:rsidR="00A720EB" w:rsidRDefault="00E10349">
      <w:pPr>
        <w:pStyle w:val="a3"/>
        <w:spacing w:before="4"/>
        <w:rPr>
          <w:sz w:val="14"/>
        </w:rPr>
      </w:pPr>
      <w:r>
        <w:pict w14:anchorId="2E7BABE3">
          <v:group id="_x0000_s4418" style="position:absolute;margin-left:119.85pt;margin-top:10.4pt;width:415.55pt;height:67pt;z-index:-15560192;mso-wrap-distance-left:0;mso-wrap-distance-right:0;mso-position-horizontal-relative:page" coordorigin="2397,208" coordsize="8311,1340">
            <v:shape id="_x0000_s4421" style="position:absolute;left:2404;top:215;width:8296;height:1325" coordorigin="2405,216" coordsize="8296,1325" path="m10621,216r-8136,l2454,222r-26,17l2411,265r-6,31l2405,1460r6,31l2428,1517r26,17l2485,1540r8136,l10652,1534r25,-17l10695,1491r6,-31l10701,296r-6,-31l10677,239r-25,-17l10621,216xe" fillcolor="#f5f5f5" stroked="f">
              <v:path arrowok="t"/>
            </v:shape>
            <v:shape id="_x0000_s4420" style="position:absolute;left:2404;top:215;width:8296;height:1325" coordorigin="2405,216" coordsize="8296,1325" path="m2485,216r8136,l10652,222r25,17l10695,265r6,31l10701,1460r-6,31l10677,1517r-25,17l10621,1540r-8136,l2454,1534r-26,-17l2411,1491r-6,-31l2405,296r6,-31l2428,239r26,-17l2485,216xe" filled="f" strokecolor="#ccc">
              <v:path arrowok="t"/>
            </v:shape>
            <v:shape id="_x0000_s4419" type="#_x0000_t202" style="position:absolute;left:2424;top:231;width:8258;height:1294" filled="f" stroked="f">
              <v:textbox inset="0,0,0,0">
                <w:txbxContent>
                  <w:p w14:paraId="597BA86F" w14:textId="77777777" w:rsidR="00711A16" w:rsidRDefault="00711A16">
                    <w:pPr>
                      <w:tabs>
                        <w:tab w:val="left" w:pos="6250"/>
                      </w:tabs>
                      <w:spacing w:before="221"/>
                      <w:ind w:left="200"/>
                      <w:rPr>
                        <w:rFonts w:ascii="MS Gothic"/>
                      </w:rPr>
                    </w:pPr>
                    <w:r>
                      <w:rPr>
                        <w:rFonts w:ascii="MS Gothic"/>
                        <w:color w:val="333333"/>
                      </w:rPr>
                      <w:t xml:space="preserve">2019-08-30 12:30:04.031 </w:t>
                    </w:r>
                    <w:proofErr w:type="gramStart"/>
                    <w:r>
                      <w:rPr>
                        <w:rFonts w:ascii="MS Gothic"/>
                        <w:color w:val="333333"/>
                      </w:rPr>
                      <w:t>user:someone</w:t>
                    </w:r>
                    <w:proofErr w:type="gramEnd"/>
                    <w:r>
                      <w:rPr>
                        <w:rFonts w:ascii="MS Gothic"/>
                        <w:color w:val="333333"/>
                      </w:rPr>
                      <w:t xml:space="preserve"> INFO 22174 --- [</w:t>
                    </w:r>
                    <w:r>
                      <w:rPr>
                        <w:rFonts w:ascii="MS Gothic"/>
                        <w:color w:val="333333"/>
                      </w:rPr>
                      <w:tab/>
                      <w:t>nio-8080-exec-0]</w:t>
                    </w:r>
                  </w:p>
                  <w:p w14:paraId="77F9A175" w14:textId="77777777" w:rsidR="00711A16" w:rsidRDefault="00711A16">
                    <w:pPr>
                      <w:spacing w:before="13"/>
                      <w:ind w:left="200"/>
                      <w:rPr>
                        <w:rFonts w:ascii="MS Gothic"/>
                      </w:rPr>
                    </w:pPr>
                    <w:proofErr w:type="gramStart"/>
                    <w:r>
                      <w:rPr>
                        <w:rFonts w:ascii="MS Gothic"/>
                        <w:color w:val="333333"/>
                      </w:rPr>
                      <w:t>demo.Controller</w:t>
                    </w:r>
                    <w:proofErr w:type="gramEnd"/>
                  </w:p>
                  <w:p w14:paraId="3EB3FE5D" w14:textId="77777777" w:rsidR="00711A16" w:rsidRDefault="00711A16">
                    <w:pPr>
                      <w:spacing w:before="13"/>
                      <w:ind w:left="200"/>
                      <w:rPr>
                        <w:rFonts w:ascii="MS Gothic"/>
                      </w:rPr>
                    </w:pPr>
                    <w:r>
                      <w:rPr>
                        <w:rFonts w:ascii="MS Gothic"/>
                        <w:color w:val="333333"/>
                      </w:rPr>
                      <w:t>Handling authenticated request</w:t>
                    </w:r>
                  </w:p>
                </w:txbxContent>
              </v:textbox>
            </v:shape>
            <w10:wrap type="topAndBottom" anchorx="page"/>
          </v:group>
        </w:pict>
      </w:r>
    </w:p>
    <w:p w14:paraId="2E82F9A5" w14:textId="77777777" w:rsidR="00A720EB" w:rsidRDefault="00A720EB">
      <w:pPr>
        <w:pStyle w:val="a3"/>
        <w:spacing w:before="9"/>
        <w:rPr>
          <w:sz w:val="23"/>
        </w:rPr>
      </w:pPr>
    </w:p>
    <w:p w14:paraId="71B00BA0" w14:textId="77777777" w:rsidR="00A720EB" w:rsidRDefault="0030286B">
      <w:pPr>
        <w:pStyle w:val="3"/>
        <w:numPr>
          <w:ilvl w:val="2"/>
          <w:numId w:val="68"/>
        </w:numPr>
        <w:tabs>
          <w:tab w:val="left" w:pos="858"/>
        </w:tabs>
        <w:spacing w:before="105"/>
        <w:ind w:hanging="734"/>
      </w:pPr>
      <w:bookmarkStart w:id="229" w:name="4.4.7._Logback_Extensions"/>
      <w:bookmarkStart w:id="230" w:name="_Toc54423742"/>
      <w:bookmarkEnd w:id="229"/>
      <w:r>
        <w:rPr>
          <w:color w:val="333333"/>
          <w:w w:val="110"/>
        </w:rPr>
        <w:t>Logback</w:t>
      </w:r>
      <w:r>
        <w:rPr>
          <w:color w:val="333333"/>
          <w:spacing w:val="-6"/>
          <w:w w:val="110"/>
        </w:rPr>
        <w:t xml:space="preserve"> </w:t>
      </w:r>
      <w:r>
        <w:rPr>
          <w:color w:val="333333"/>
          <w:w w:val="110"/>
        </w:rPr>
        <w:t>Extensions</w:t>
      </w:r>
      <w:bookmarkEnd w:id="230"/>
    </w:p>
    <w:p w14:paraId="09BAED6B" w14:textId="77777777" w:rsidR="00A720EB" w:rsidRDefault="0030286B">
      <w:pPr>
        <w:pStyle w:val="a3"/>
        <w:spacing w:before="254" w:line="297" w:lineRule="auto"/>
        <w:ind w:left="124" w:right="45"/>
      </w:pPr>
      <w:r>
        <w:rPr>
          <w:color w:val="333333"/>
          <w:w w:val="110"/>
        </w:rPr>
        <w:t xml:space="preserve">Spring Boot includes a number of extensions to Logback that can help with advanced configuration. </w:t>
      </w:r>
      <w:r>
        <w:rPr>
          <w:color w:val="333333"/>
          <w:spacing w:val="-6"/>
          <w:w w:val="110"/>
        </w:rPr>
        <w:t xml:space="preserve">You </w:t>
      </w:r>
      <w:r>
        <w:rPr>
          <w:color w:val="333333"/>
          <w:w w:val="110"/>
        </w:rPr>
        <w:t xml:space="preserve">can use these extensions in your </w:t>
      </w:r>
      <w:r>
        <w:rPr>
          <w:rFonts w:ascii="MS Gothic"/>
          <w:color w:val="B02045"/>
          <w:w w:val="110"/>
        </w:rPr>
        <w:t>logback-spring.xml</w:t>
      </w:r>
      <w:r>
        <w:rPr>
          <w:rFonts w:ascii="MS Gothic"/>
          <w:color w:val="B02045"/>
          <w:spacing w:val="-51"/>
          <w:w w:val="110"/>
        </w:rPr>
        <w:t xml:space="preserve"> </w:t>
      </w:r>
      <w:r>
        <w:rPr>
          <w:color w:val="333333"/>
          <w:w w:val="110"/>
        </w:rPr>
        <w:t>configuration file.</w:t>
      </w:r>
    </w:p>
    <w:p w14:paraId="6332D1C0" w14:textId="77777777" w:rsidR="00A720EB" w:rsidRDefault="00A720EB">
      <w:pPr>
        <w:pStyle w:val="a3"/>
        <w:spacing w:before="10"/>
        <w:rPr>
          <w:sz w:val="15"/>
        </w:rPr>
      </w:pPr>
    </w:p>
    <w:p w14:paraId="2FA58F36" w14:textId="77777777" w:rsidR="00A720EB" w:rsidRDefault="00E10349">
      <w:pPr>
        <w:pStyle w:val="a3"/>
        <w:spacing w:before="116" w:line="280" w:lineRule="auto"/>
        <w:ind w:left="1564" w:right="364"/>
        <w:jc w:val="both"/>
      </w:pPr>
      <w:r>
        <w:pict w14:anchorId="597DF62F">
          <v:line id="_x0000_s4417" style="position:absolute;left:0;text-align:left;z-index:15899136;mso-position-horizontal-relative:page" from="108.25pt,.35pt" to="108.25pt,55.7pt" strokecolor="#ededed" strokeweight=".5pt">
            <w10:wrap anchorx="page"/>
          </v:line>
        </w:pict>
      </w:r>
      <w:r w:rsidR="0030286B">
        <w:rPr>
          <w:noProof/>
        </w:rPr>
        <w:drawing>
          <wp:anchor distT="0" distB="0" distL="0" distR="0" simplePos="0" relativeHeight="15899648" behindDoc="0" locked="0" layoutInCell="1" allowOverlap="1" wp14:anchorId="505A574B" wp14:editId="34D3B981">
            <wp:simplePos x="0" y="0"/>
            <wp:positionH relativeFrom="page">
              <wp:posOffset>844422</wp:posOffset>
            </wp:positionH>
            <wp:positionV relativeFrom="paragraph">
              <wp:posOffset>206450</wp:posOffset>
            </wp:positionV>
            <wp:extent cx="298450" cy="298450"/>
            <wp:effectExtent l="0" t="0" r="0" b="0"/>
            <wp:wrapNone/>
            <wp:docPr id="2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Because the standard </w:t>
      </w:r>
      <w:r w:rsidR="0030286B">
        <w:rPr>
          <w:rFonts w:ascii="MS Gothic"/>
          <w:color w:val="B02045"/>
          <w:w w:val="110"/>
        </w:rPr>
        <w:t xml:space="preserve">logback.xml </w:t>
      </w:r>
      <w:r w:rsidR="0030286B">
        <w:rPr>
          <w:color w:val="333333"/>
          <w:w w:val="110"/>
        </w:rPr>
        <w:t xml:space="preserve">configuration file is loaded too </w:t>
      </w:r>
      <w:r w:rsidR="0030286B">
        <w:rPr>
          <w:color w:val="333333"/>
          <w:spacing w:val="-4"/>
          <w:w w:val="110"/>
        </w:rPr>
        <w:t xml:space="preserve">early, </w:t>
      </w:r>
      <w:r w:rsidR="0030286B">
        <w:rPr>
          <w:color w:val="333333"/>
          <w:w w:val="110"/>
        </w:rPr>
        <w:t xml:space="preserve">you cannot use extensions in it. </w:t>
      </w:r>
      <w:r w:rsidR="0030286B">
        <w:rPr>
          <w:color w:val="333333"/>
          <w:spacing w:val="-6"/>
          <w:w w:val="110"/>
        </w:rPr>
        <w:t xml:space="preserve">You </w:t>
      </w:r>
      <w:r w:rsidR="0030286B">
        <w:rPr>
          <w:color w:val="333333"/>
          <w:w w:val="110"/>
        </w:rPr>
        <w:t xml:space="preserve">need to either use </w:t>
      </w:r>
      <w:r w:rsidR="0030286B">
        <w:rPr>
          <w:rFonts w:ascii="MS Gothic"/>
          <w:color w:val="B02045"/>
          <w:w w:val="110"/>
        </w:rPr>
        <w:t xml:space="preserve">logback-spring.xml </w:t>
      </w:r>
      <w:r w:rsidR="0030286B">
        <w:rPr>
          <w:color w:val="333333"/>
          <w:w w:val="110"/>
        </w:rPr>
        <w:t xml:space="preserve">or define a </w:t>
      </w:r>
      <w:r w:rsidR="0030286B">
        <w:rPr>
          <w:rFonts w:ascii="MS Gothic"/>
          <w:color w:val="B02045"/>
          <w:w w:val="110"/>
        </w:rPr>
        <w:t>logging.config</w:t>
      </w:r>
      <w:r w:rsidR="0030286B">
        <w:rPr>
          <w:rFonts w:ascii="MS Gothic"/>
          <w:color w:val="B02045"/>
          <w:spacing w:val="-63"/>
          <w:w w:val="110"/>
        </w:rPr>
        <w:t xml:space="preserve"> </w:t>
      </w:r>
      <w:r w:rsidR="0030286B">
        <w:rPr>
          <w:color w:val="333333"/>
          <w:spacing w:val="-3"/>
          <w:w w:val="110"/>
        </w:rPr>
        <w:t>property.</w:t>
      </w:r>
    </w:p>
    <w:p w14:paraId="7D73E9FF" w14:textId="77777777" w:rsidR="00A720EB" w:rsidRDefault="00A720EB">
      <w:pPr>
        <w:pStyle w:val="a3"/>
        <w:spacing w:before="6"/>
        <w:rPr>
          <w:sz w:val="24"/>
        </w:rPr>
      </w:pPr>
    </w:p>
    <w:p w14:paraId="62E4E49B" w14:textId="77777777" w:rsidR="00A720EB" w:rsidRDefault="00E10349">
      <w:pPr>
        <w:pStyle w:val="a3"/>
        <w:spacing w:before="125" w:line="307" w:lineRule="auto"/>
        <w:ind w:left="1564" w:right="363"/>
        <w:jc w:val="both"/>
      </w:pPr>
      <w:r>
        <w:pict w14:anchorId="39805ADD">
          <v:line id="_x0000_s4416" style="position:absolute;left:0;text-align:left;z-index:15900160;mso-position-horizontal-relative:page" from="108.25pt,.25pt" to="108.25pt,55.6pt" strokecolor="#ededed" strokeweight=".5pt">
            <w10:wrap anchorx="page"/>
          </v:line>
        </w:pict>
      </w:r>
      <w:r w:rsidR="0030286B">
        <w:rPr>
          <w:noProof/>
        </w:rPr>
        <w:drawing>
          <wp:anchor distT="0" distB="0" distL="0" distR="0" simplePos="0" relativeHeight="15900672" behindDoc="0" locked="0" layoutInCell="1" allowOverlap="1" wp14:anchorId="0C2A9154" wp14:editId="5815EA1A">
            <wp:simplePos x="0" y="0"/>
            <wp:positionH relativeFrom="page">
              <wp:posOffset>815847</wp:posOffset>
            </wp:positionH>
            <wp:positionV relativeFrom="paragraph">
              <wp:posOffset>202349</wp:posOffset>
            </wp:positionV>
            <wp:extent cx="355600" cy="304800"/>
            <wp:effectExtent l="0" t="0" r="0" b="0"/>
            <wp:wrapNone/>
            <wp:docPr id="2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 xml:space="preserve">The extensions cannot be used with Logback’s </w:t>
      </w:r>
      <w:hyperlink r:id="rId119" w:anchor="autoScan">
        <w:r w:rsidR="0030286B">
          <w:rPr>
            <w:color w:val="418BCA"/>
            <w:w w:val="110"/>
          </w:rPr>
          <w:t>configuration scanning</w:t>
        </w:r>
      </w:hyperlink>
      <w:r w:rsidR="0030286B">
        <w:rPr>
          <w:color w:val="333333"/>
          <w:w w:val="110"/>
        </w:rPr>
        <w:t xml:space="preserve">. If you attempt to do so, making changes to the configuration file results in </w:t>
      </w:r>
      <w:proofErr w:type="gramStart"/>
      <w:r w:rsidR="0030286B">
        <w:rPr>
          <w:color w:val="333333"/>
          <w:w w:val="110"/>
        </w:rPr>
        <w:t>an  error</w:t>
      </w:r>
      <w:proofErr w:type="gramEnd"/>
      <w:r w:rsidR="0030286B">
        <w:rPr>
          <w:color w:val="333333"/>
          <w:w w:val="110"/>
        </w:rPr>
        <w:t xml:space="preserve">  similar to one of the following being</w:t>
      </w:r>
      <w:r w:rsidR="0030286B">
        <w:rPr>
          <w:color w:val="333333"/>
          <w:spacing w:val="24"/>
          <w:w w:val="110"/>
        </w:rPr>
        <w:t xml:space="preserve"> </w:t>
      </w:r>
      <w:r w:rsidR="0030286B">
        <w:rPr>
          <w:color w:val="333333"/>
          <w:w w:val="110"/>
        </w:rPr>
        <w:t>logged:</w:t>
      </w:r>
    </w:p>
    <w:p w14:paraId="0222E9A6" w14:textId="77777777" w:rsidR="00A720EB" w:rsidRDefault="00E10349">
      <w:pPr>
        <w:pStyle w:val="a3"/>
        <w:rPr>
          <w:sz w:val="20"/>
        </w:rPr>
      </w:pPr>
      <w:r>
        <w:pict w14:anchorId="5BC2D630">
          <v:group id="_x0000_s4412" style="position:absolute;margin-left:47.85pt;margin-top:13.75pt;width:499.55pt;height:81.75pt;z-index:-15559680;mso-wrap-distance-left:0;mso-wrap-distance-right:0;mso-position-horizontal-relative:page" coordorigin="957,275" coordsize="9991,1635">
            <v:shape id="_x0000_s4415" style="position:absolute;left:964;top:282;width:9976;height:1620" coordorigin="965,282" coordsize="9976,1620" path="m10861,282r-9816,l1014,288r-26,17l971,331r-6,31l965,1821r6,31l988,1878r26,17l1045,1901r9816,l10892,1895r25,-17l10935,1852r6,-31l10941,362r-6,-31l10917,305r-25,-17l10861,282xe" fillcolor="#f5f5f5" stroked="f">
              <v:path arrowok="t"/>
            </v:shape>
            <v:shape id="_x0000_s4414" style="position:absolute;left:964;top:282;width:9976;height:1620" coordorigin="965,282" coordsize="9976,1620" path="m1045,282r9816,l10892,288r25,17l10935,331r6,31l10941,1821r-6,31l10917,1878r-25,17l10861,1901r-9816,l1014,1895r-26,-17l971,1852r-6,-31l965,362r6,-31l988,305r26,-17l1045,282xe" filled="f" strokecolor="#ccc">
              <v:path arrowok="t"/>
            </v:shape>
            <v:shape id="_x0000_s4413" type="#_x0000_t202" style="position:absolute;left:984;top:297;width:9938;height:1589" filled="f" stroked="f">
              <v:textbox inset="0,0,0,0">
                <w:txbxContent>
                  <w:p w14:paraId="0D7CFF94" w14:textId="77777777" w:rsidR="00711A16" w:rsidRDefault="00711A16">
                    <w:pPr>
                      <w:spacing w:before="221" w:line="252" w:lineRule="auto"/>
                      <w:ind w:left="200" w:right="698"/>
                      <w:rPr>
                        <w:rFonts w:ascii="MS Gothic"/>
                      </w:rPr>
                    </w:pPr>
                    <w:r>
                      <w:rPr>
                        <w:rFonts w:ascii="MS Gothic"/>
                        <w:color w:val="333333"/>
                      </w:rPr>
                      <w:t xml:space="preserve">ERROR in </w:t>
                    </w:r>
                    <w:proofErr w:type="gramStart"/>
                    <w:r>
                      <w:rPr>
                        <w:rFonts w:ascii="MS Gothic"/>
                        <w:color w:val="333333"/>
                      </w:rPr>
                      <w:t>ch.qos.logback.core.joran.spi.Interpreter</w:t>
                    </w:r>
                    <w:proofErr w:type="gramEnd"/>
                    <w:r>
                      <w:rPr>
                        <w:rFonts w:ascii="MS Gothic"/>
                        <w:color w:val="333333"/>
                      </w:rPr>
                      <w:t>@4:71 - no applicable action for [springProperty], current ElementPath is [[configuration][springProperty]]</w:t>
                    </w:r>
                  </w:p>
                  <w:p w14:paraId="0F657628" w14:textId="77777777" w:rsidR="00711A16" w:rsidRDefault="00711A16">
                    <w:pPr>
                      <w:spacing w:line="252" w:lineRule="auto"/>
                      <w:ind w:left="200" w:right="698"/>
                      <w:rPr>
                        <w:rFonts w:ascii="MS Gothic"/>
                      </w:rPr>
                    </w:pPr>
                    <w:r>
                      <w:rPr>
                        <w:rFonts w:ascii="MS Gothic"/>
                        <w:color w:val="333333"/>
                      </w:rPr>
                      <w:t xml:space="preserve">ERROR in </w:t>
                    </w:r>
                    <w:proofErr w:type="gramStart"/>
                    <w:r>
                      <w:rPr>
                        <w:rFonts w:ascii="MS Gothic"/>
                        <w:color w:val="333333"/>
                      </w:rPr>
                      <w:t>ch.qos.logback.core.joran.spi.Interpreter</w:t>
                    </w:r>
                    <w:proofErr w:type="gramEnd"/>
                    <w:r>
                      <w:rPr>
                        <w:rFonts w:ascii="MS Gothic"/>
                        <w:color w:val="333333"/>
                      </w:rPr>
                      <w:t>@4:71 - no applicable action for [springProfile], current ElementPath is [[configuration][springProfile]]</w:t>
                    </w:r>
                  </w:p>
                </w:txbxContent>
              </v:textbox>
            </v:shape>
            <w10:wrap type="topAndBottom" anchorx="page"/>
          </v:group>
        </w:pict>
      </w:r>
    </w:p>
    <w:p w14:paraId="106A48E5" w14:textId="77777777" w:rsidR="00A720EB" w:rsidRDefault="00A720EB">
      <w:pPr>
        <w:pStyle w:val="a3"/>
        <w:spacing w:before="11"/>
        <w:rPr>
          <w:sz w:val="16"/>
        </w:rPr>
      </w:pPr>
    </w:p>
    <w:p w14:paraId="587B2686" w14:textId="77777777" w:rsidR="00A720EB" w:rsidRDefault="0030286B">
      <w:pPr>
        <w:pStyle w:val="4"/>
        <w:spacing w:before="104"/>
      </w:pPr>
      <w:bookmarkStart w:id="231" w:name="Profile-specific_Configuration"/>
      <w:bookmarkEnd w:id="231"/>
      <w:r>
        <w:rPr>
          <w:color w:val="333333"/>
          <w:w w:val="110"/>
        </w:rPr>
        <w:t>Profile-specific Configuration</w:t>
      </w:r>
    </w:p>
    <w:p w14:paraId="0781CF68" w14:textId="77777777" w:rsidR="00A720EB" w:rsidRDefault="0030286B">
      <w:pPr>
        <w:pStyle w:val="a3"/>
        <w:spacing w:before="244" w:line="280" w:lineRule="auto"/>
        <w:ind w:left="124" w:right="122"/>
        <w:jc w:val="both"/>
      </w:pPr>
      <w:r>
        <w:rPr>
          <w:color w:val="333333"/>
          <w:w w:val="110"/>
        </w:rPr>
        <w:t xml:space="preserve">The </w:t>
      </w:r>
      <w:r>
        <w:rPr>
          <w:rFonts w:ascii="MS Gothic"/>
          <w:color w:val="B02045"/>
          <w:w w:val="110"/>
        </w:rPr>
        <w:t xml:space="preserve">&lt;springProfile&gt; </w:t>
      </w:r>
      <w:r>
        <w:rPr>
          <w:color w:val="333333"/>
          <w:w w:val="110"/>
        </w:rPr>
        <w:t xml:space="preserve">tag lets you optionally include or exclude sections of configuration based on the active Spring profiles. Profile sections are supported anywhere within the </w:t>
      </w:r>
      <w:r>
        <w:rPr>
          <w:rFonts w:ascii="MS Gothic"/>
          <w:color w:val="B02045"/>
          <w:w w:val="110"/>
        </w:rPr>
        <w:t xml:space="preserve">&lt;configuration&gt; </w:t>
      </w:r>
      <w:r>
        <w:rPr>
          <w:color w:val="333333"/>
          <w:w w:val="110"/>
        </w:rPr>
        <w:t xml:space="preserve">element. Use the </w:t>
      </w:r>
      <w:r>
        <w:rPr>
          <w:rFonts w:ascii="MS Gothic"/>
          <w:color w:val="B02045"/>
          <w:w w:val="110"/>
        </w:rPr>
        <w:t>name</w:t>
      </w:r>
      <w:r>
        <w:rPr>
          <w:rFonts w:ascii="MS Gothic"/>
          <w:color w:val="B02045"/>
          <w:spacing w:val="59"/>
          <w:w w:val="110"/>
        </w:rPr>
        <w:t xml:space="preserve"> </w:t>
      </w:r>
      <w:r>
        <w:rPr>
          <w:color w:val="333333"/>
          <w:w w:val="110"/>
        </w:rPr>
        <w:t>attribute to specify which profile accepts the configuration. The</w:t>
      </w:r>
    </w:p>
    <w:p w14:paraId="19FE6B67" w14:textId="77777777" w:rsidR="00A720EB" w:rsidRDefault="0030286B">
      <w:pPr>
        <w:pStyle w:val="a3"/>
        <w:spacing w:before="2" w:line="292" w:lineRule="auto"/>
        <w:ind w:left="124" w:right="125"/>
        <w:jc w:val="both"/>
      </w:pPr>
      <w:r>
        <w:rPr>
          <w:rFonts w:ascii="MS Gothic"/>
          <w:color w:val="B02045"/>
          <w:w w:val="110"/>
        </w:rPr>
        <w:t xml:space="preserve">&lt;springProfile&gt; </w:t>
      </w:r>
      <w:r>
        <w:rPr>
          <w:color w:val="333333"/>
          <w:w w:val="110"/>
        </w:rPr>
        <w:t xml:space="preserve">tag can contain a profile name (for example </w:t>
      </w:r>
      <w:r>
        <w:rPr>
          <w:rFonts w:ascii="MS Gothic"/>
          <w:color w:val="B02045"/>
          <w:w w:val="110"/>
        </w:rPr>
        <w:t>staging</w:t>
      </w:r>
      <w:r>
        <w:rPr>
          <w:color w:val="333333"/>
          <w:w w:val="110"/>
        </w:rPr>
        <w:t xml:space="preserve">) or a profile expression. A profile expression allows for more complicated profile logic to </w:t>
      </w:r>
      <w:proofErr w:type="gramStart"/>
      <w:r>
        <w:rPr>
          <w:color w:val="333333"/>
          <w:w w:val="110"/>
        </w:rPr>
        <w:t>be  expressed</w:t>
      </w:r>
      <w:proofErr w:type="gramEnd"/>
      <w:r>
        <w:rPr>
          <w:color w:val="333333"/>
          <w:w w:val="110"/>
        </w:rPr>
        <w:t xml:space="preserve">,  for  example </w:t>
      </w:r>
      <w:r>
        <w:rPr>
          <w:rFonts w:ascii="MS Gothic"/>
          <w:color w:val="B02045"/>
          <w:w w:val="110"/>
        </w:rPr>
        <w:t>production &amp; (eu-central | eu-west)</w:t>
      </w:r>
      <w:r>
        <w:rPr>
          <w:color w:val="333333"/>
          <w:w w:val="110"/>
        </w:rPr>
        <w:t xml:space="preserve">. Check the </w:t>
      </w:r>
      <w:hyperlink r:id="rId120" w:anchor="beans-definition-profiles-java">
        <w:r>
          <w:rPr>
            <w:color w:val="418BCA"/>
            <w:w w:val="110"/>
          </w:rPr>
          <w:t>reference guide</w:t>
        </w:r>
      </w:hyperlink>
      <w:r>
        <w:rPr>
          <w:color w:val="418BCA"/>
          <w:w w:val="110"/>
        </w:rPr>
        <w:t xml:space="preserve"> </w:t>
      </w:r>
      <w:r>
        <w:rPr>
          <w:color w:val="333333"/>
          <w:w w:val="110"/>
        </w:rPr>
        <w:t>for more details. The following listing shows three sample profiles:</w:t>
      </w:r>
    </w:p>
    <w:p w14:paraId="506AFEBF" w14:textId="77777777" w:rsidR="00A720EB" w:rsidRDefault="00A720EB">
      <w:pPr>
        <w:spacing w:line="292" w:lineRule="auto"/>
        <w:jc w:val="both"/>
        <w:sectPr w:rsidR="00A720EB">
          <w:pgSz w:w="11910" w:h="16840"/>
          <w:pgMar w:top="700" w:right="840" w:bottom="520" w:left="840" w:header="0" w:footer="323" w:gutter="0"/>
          <w:cols w:space="720"/>
        </w:sectPr>
      </w:pPr>
    </w:p>
    <w:p w14:paraId="33BBC54C" w14:textId="77777777" w:rsidR="00A720EB" w:rsidRDefault="00E10349">
      <w:pPr>
        <w:pStyle w:val="a3"/>
        <w:ind w:left="116"/>
        <w:rPr>
          <w:sz w:val="20"/>
        </w:rPr>
      </w:pPr>
      <w:r>
        <w:rPr>
          <w:sz w:val="20"/>
        </w:rPr>
      </w:r>
      <w:r>
        <w:rPr>
          <w:sz w:val="20"/>
        </w:rPr>
        <w:pict w14:anchorId="7BA59BAF">
          <v:group id="_x0000_s4408" style="width:499.55pt;height:199.65pt;mso-position-horizontal-relative:char;mso-position-vertical-relative:line" coordsize="9991,3993">
            <v:shape id="_x0000_s4411" style="position:absolute;left:7;top:7;width:9976;height:3978" coordorigin="8,8" coordsize="9976,3978" path="m9904,8l88,8,56,14,31,31,14,56,8,88r,3817l14,3936r17,26l56,3979r32,6l9904,3985r31,-6l9960,3962r17,-26l9984,3905r,-3817l9977,56,9960,31,9935,14,9904,8xe" fillcolor="#f5f5f5" stroked="f">
              <v:path arrowok="t"/>
            </v:shape>
            <v:shape id="_x0000_s4410" style="position:absolute;left:7;top:7;width:9976;height:3978" coordorigin="8,8" coordsize="9976,3978" path="m88,8r9816,l9935,14r25,17l9977,56r7,32l9984,3905r-7,31l9960,3962r-25,17l9904,3985r-9816,l56,3979,31,3962,14,3936,8,3905,8,88,14,56,31,31,56,14,88,8xe" filled="f" strokecolor="#ccc">
              <v:path arrowok="t"/>
            </v:shape>
            <v:shape id="_x0000_s4409" type="#_x0000_t202" style="position:absolute;left:26;top:22;width:9938;height:3947" filled="f" stroked="f">
              <v:textbox inset="0,0,0,0">
                <w:txbxContent>
                  <w:p w14:paraId="43B7641C" w14:textId="77777777" w:rsidR="00711A16" w:rsidRDefault="00711A16">
                    <w:pPr>
                      <w:spacing w:before="221"/>
                      <w:ind w:left="200"/>
                      <w:rPr>
                        <w:rFonts w:ascii="MS Gothic"/>
                      </w:rPr>
                    </w:pPr>
                    <w:r>
                      <w:rPr>
                        <w:rFonts w:ascii="MS Gothic"/>
                        <w:color w:val="333333"/>
                      </w:rPr>
                      <w:t>&lt;springProfile name="staging"&gt;</w:t>
                    </w:r>
                  </w:p>
                  <w:p w14:paraId="6D885AB0" w14:textId="77777777" w:rsidR="00711A16" w:rsidRDefault="00711A16">
                    <w:pPr>
                      <w:spacing w:before="13"/>
                      <w:ind w:left="640"/>
                      <w:rPr>
                        <w:rFonts w:ascii="MS Gothic"/>
                      </w:rPr>
                    </w:pPr>
                    <w:proofErr w:type="gramStart"/>
                    <w:r>
                      <w:rPr>
                        <w:rFonts w:ascii="MS Gothic"/>
                        <w:color w:val="333333"/>
                      </w:rPr>
                      <w:t>&lt;!--</w:t>
                    </w:r>
                    <w:proofErr w:type="gramEnd"/>
                    <w:r>
                      <w:rPr>
                        <w:rFonts w:ascii="MS Gothic"/>
                        <w:color w:val="333333"/>
                      </w:rPr>
                      <w:t xml:space="preserve"> configuration to be enabled when the "staging" profile is active --&gt;</w:t>
                    </w:r>
                  </w:p>
                  <w:p w14:paraId="230C0DF2" w14:textId="77777777" w:rsidR="00711A16" w:rsidRDefault="00711A16">
                    <w:pPr>
                      <w:spacing w:before="13"/>
                      <w:ind w:left="200"/>
                      <w:rPr>
                        <w:rFonts w:ascii="MS Gothic"/>
                      </w:rPr>
                    </w:pPr>
                    <w:r>
                      <w:rPr>
                        <w:rFonts w:ascii="MS Gothic"/>
                        <w:color w:val="333333"/>
                      </w:rPr>
                      <w:t>&lt;/springProfile&gt;</w:t>
                    </w:r>
                  </w:p>
                  <w:p w14:paraId="207FC812" w14:textId="77777777" w:rsidR="00711A16" w:rsidRDefault="00711A16">
                    <w:pPr>
                      <w:rPr>
                        <w:rFonts w:ascii="MS Gothic"/>
                        <w:sz w:val="24"/>
                      </w:rPr>
                    </w:pPr>
                  </w:p>
                  <w:p w14:paraId="612B1522" w14:textId="77777777" w:rsidR="00711A16" w:rsidRDefault="00711A16">
                    <w:pPr>
                      <w:ind w:left="200"/>
                      <w:rPr>
                        <w:rFonts w:ascii="MS Gothic"/>
                      </w:rPr>
                    </w:pPr>
                    <w:r>
                      <w:rPr>
                        <w:rFonts w:ascii="MS Gothic"/>
                        <w:color w:val="333333"/>
                      </w:rPr>
                      <w:t>&lt;springProfile name="dev | staging"&gt;</w:t>
                    </w:r>
                  </w:p>
                  <w:p w14:paraId="4CD694D7" w14:textId="77777777" w:rsidR="00711A16" w:rsidRDefault="00711A16">
                    <w:pPr>
                      <w:spacing w:before="13"/>
                      <w:ind w:left="640"/>
                      <w:rPr>
                        <w:rFonts w:ascii="MS Gothic"/>
                      </w:rPr>
                    </w:pPr>
                    <w:proofErr w:type="gramStart"/>
                    <w:r>
                      <w:rPr>
                        <w:rFonts w:ascii="MS Gothic"/>
                        <w:color w:val="333333"/>
                      </w:rPr>
                      <w:t>&lt;!--</w:t>
                    </w:r>
                    <w:proofErr w:type="gramEnd"/>
                    <w:r>
                      <w:rPr>
                        <w:rFonts w:ascii="MS Gothic"/>
                        <w:color w:val="333333"/>
                      </w:rPr>
                      <w:t xml:space="preserve"> configuration to be enabled when the "dev" or "staging" profiles are active</w:t>
                    </w:r>
                  </w:p>
                  <w:p w14:paraId="5F18CDA0" w14:textId="77777777" w:rsidR="00711A16" w:rsidRDefault="00711A16">
                    <w:pPr>
                      <w:spacing w:before="13"/>
                      <w:ind w:left="200"/>
                      <w:rPr>
                        <w:rFonts w:ascii="MS Gothic"/>
                      </w:rPr>
                    </w:pPr>
                    <w:r>
                      <w:rPr>
                        <w:rFonts w:ascii="MS Gothic"/>
                        <w:color w:val="333333"/>
                      </w:rPr>
                      <w:t>--&gt;</w:t>
                    </w:r>
                  </w:p>
                  <w:p w14:paraId="559564F1" w14:textId="77777777" w:rsidR="00711A16" w:rsidRDefault="00711A16">
                    <w:pPr>
                      <w:spacing w:before="13"/>
                      <w:ind w:left="200"/>
                      <w:rPr>
                        <w:rFonts w:ascii="MS Gothic"/>
                      </w:rPr>
                    </w:pPr>
                    <w:r>
                      <w:rPr>
                        <w:rFonts w:ascii="MS Gothic"/>
                        <w:color w:val="333333"/>
                      </w:rPr>
                      <w:t>&lt;/springProfile&gt;</w:t>
                    </w:r>
                  </w:p>
                  <w:p w14:paraId="5F4E4804" w14:textId="77777777" w:rsidR="00711A16" w:rsidRDefault="00711A16">
                    <w:pPr>
                      <w:rPr>
                        <w:rFonts w:ascii="MS Gothic"/>
                        <w:sz w:val="24"/>
                      </w:rPr>
                    </w:pPr>
                  </w:p>
                  <w:p w14:paraId="592DB2D2" w14:textId="77777777" w:rsidR="00711A16" w:rsidRDefault="00711A16">
                    <w:pPr>
                      <w:ind w:left="200"/>
                      <w:rPr>
                        <w:rFonts w:ascii="MS Gothic"/>
                      </w:rPr>
                    </w:pPr>
                    <w:r>
                      <w:rPr>
                        <w:rFonts w:ascii="MS Gothic"/>
                        <w:color w:val="333333"/>
                      </w:rPr>
                      <w:t>&lt;springProfile name=</w:t>
                    </w:r>
                    <w:proofErr w:type="gramStart"/>
                    <w:r>
                      <w:rPr>
                        <w:rFonts w:ascii="MS Gothic"/>
                        <w:color w:val="333333"/>
                      </w:rPr>
                      <w:t>"!production</w:t>
                    </w:r>
                    <w:proofErr w:type="gramEnd"/>
                    <w:r>
                      <w:rPr>
                        <w:rFonts w:ascii="MS Gothic"/>
                        <w:color w:val="333333"/>
                      </w:rPr>
                      <w:t>"&gt;</w:t>
                    </w:r>
                  </w:p>
                  <w:p w14:paraId="4931F54F" w14:textId="77777777" w:rsidR="00711A16" w:rsidRDefault="00711A16">
                    <w:pPr>
                      <w:spacing w:before="13"/>
                      <w:ind w:left="640"/>
                      <w:rPr>
                        <w:rFonts w:ascii="MS Gothic"/>
                      </w:rPr>
                    </w:pPr>
                    <w:proofErr w:type="gramStart"/>
                    <w:r>
                      <w:rPr>
                        <w:rFonts w:ascii="MS Gothic"/>
                        <w:color w:val="333333"/>
                      </w:rPr>
                      <w:t>&lt;!--</w:t>
                    </w:r>
                    <w:proofErr w:type="gramEnd"/>
                    <w:r>
                      <w:rPr>
                        <w:rFonts w:ascii="MS Gothic"/>
                        <w:color w:val="333333"/>
                      </w:rPr>
                      <w:t xml:space="preserve"> configuration to be enabled when the "production" profile is not active --&gt;</w:t>
                    </w:r>
                  </w:p>
                  <w:p w14:paraId="1C9CBB6E" w14:textId="77777777" w:rsidR="00711A16" w:rsidRDefault="00711A16">
                    <w:pPr>
                      <w:spacing w:before="13"/>
                      <w:ind w:left="200"/>
                      <w:rPr>
                        <w:rFonts w:ascii="MS Gothic"/>
                      </w:rPr>
                    </w:pPr>
                    <w:r>
                      <w:rPr>
                        <w:rFonts w:ascii="MS Gothic"/>
                        <w:color w:val="333333"/>
                      </w:rPr>
                      <w:t>&lt;/springProfile&gt;</w:t>
                    </w:r>
                  </w:p>
                </w:txbxContent>
              </v:textbox>
            </v:shape>
            <w10:anchorlock/>
          </v:group>
        </w:pict>
      </w:r>
    </w:p>
    <w:p w14:paraId="458CBB44" w14:textId="77777777" w:rsidR="00A720EB" w:rsidRDefault="00A720EB">
      <w:pPr>
        <w:pStyle w:val="a3"/>
        <w:spacing w:before="3"/>
        <w:rPr>
          <w:sz w:val="16"/>
        </w:rPr>
      </w:pPr>
    </w:p>
    <w:p w14:paraId="42F9048F" w14:textId="77777777" w:rsidR="00A720EB" w:rsidRDefault="0030286B">
      <w:pPr>
        <w:pStyle w:val="4"/>
        <w:spacing w:before="104"/>
      </w:pPr>
      <w:bookmarkStart w:id="232" w:name="Environment_Properties"/>
      <w:bookmarkEnd w:id="232"/>
      <w:r>
        <w:rPr>
          <w:color w:val="333333"/>
          <w:w w:val="115"/>
        </w:rPr>
        <w:t>Environment Properties</w:t>
      </w:r>
    </w:p>
    <w:p w14:paraId="6630A828" w14:textId="77777777" w:rsidR="00A720EB" w:rsidRDefault="0030286B">
      <w:pPr>
        <w:pStyle w:val="a3"/>
        <w:spacing w:before="243" w:line="283" w:lineRule="auto"/>
        <w:ind w:left="124" w:right="122"/>
        <w:jc w:val="both"/>
      </w:pPr>
      <w:r>
        <w:rPr>
          <w:color w:val="333333"/>
          <w:w w:val="110"/>
        </w:rPr>
        <w:t xml:space="preserve">The </w:t>
      </w:r>
      <w:r>
        <w:rPr>
          <w:rFonts w:ascii="MS Gothic" w:hAnsi="MS Gothic"/>
          <w:color w:val="B02045"/>
          <w:w w:val="110"/>
        </w:rPr>
        <w:t xml:space="preserve">&lt;springProperty&gt; </w:t>
      </w:r>
      <w:r>
        <w:rPr>
          <w:color w:val="333333"/>
          <w:w w:val="110"/>
        </w:rPr>
        <w:t xml:space="preserve">tag lets you expose properties from the Spring </w:t>
      </w:r>
      <w:r>
        <w:rPr>
          <w:rFonts w:ascii="MS Gothic" w:hAnsi="MS Gothic"/>
          <w:color w:val="B02045"/>
          <w:w w:val="110"/>
        </w:rPr>
        <w:t xml:space="preserve">Environment </w:t>
      </w:r>
      <w:r>
        <w:rPr>
          <w:color w:val="333333"/>
          <w:w w:val="110"/>
        </w:rPr>
        <w:t xml:space="preserve">for use within Logback. Doing so can be useful if you want to access values from your </w:t>
      </w:r>
      <w:proofErr w:type="gramStart"/>
      <w:r>
        <w:rPr>
          <w:rFonts w:ascii="MS Gothic" w:hAnsi="MS Gothic"/>
          <w:color w:val="B02045"/>
          <w:w w:val="110"/>
        </w:rPr>
        <w:t>application.properties</w:t>
      </w:r>
      <w:proofErr w:type="gramEnd"/>
      <w:r>
        <w:rPr>
          <w:rFonts w:ascii="MS Gothic" w:hAnsi="MS Gothic"/>
          <w:color w:val="B02045"/>
          <w:w w:val="110"/>
        </w:rPr>
        <w:t xml:space="preserve"> </w:t>
      </w:r>
      <w:r>
        <w:rPr>
          <w:color w:val="333333"/>
          <w:w w:val="110"/>
        </w:rPr>
        <w:t xml:space="preserve">file in your Logback configuration. The tag works in a similar way to Logback’s standard </w:t>
      </w:r>
      <w:r>
        <w:rPr>
          <w:rFonts w:ascii="MS Gothic" w:hAnsi="MS Gothic"/>
          <w:color w:val="B02045"/>
          <w:w w:val="110"/>
        </w:rPr>
        <w:t xml:space="preserve">&lt;property&gt; </w:t>
      </w:r>
      <w:r>
        <w:rPr>
          <w:color w:val="333333"/>
          <w:w w:val="110"/>
        </w:rPr>
        <w:t xml:space="preserve">tag. However, rather than specifying a direct </w:t>
      </w:r>
      <w:r>
        <w:rPr>
          <w:rFonts w:ascii="MS Gothic" w:hAnsi="MS Gothic"/>
          <w:color w:val="B02045"/>
          <w:w w:val="110"/>
        </w:rPr>
        <w:t>value</w:t>
      </w:r>
      <w:r>
        <w:rPr>
          <w:color w:val="333333"/>
          <w:w w:val="110"/>
        </w:rPr>
        <w:t xml:space="preserve">, you specify the </w:t>
      </w:r>
      <w:r>
        <w:rPr>
          <w:rFonts w:ascii="MS Gothic" w:hAnsi="MS Gothic"/>
          <w:color w:val="B02045"/>
          <w:w w:val="110"/>
        </w:rPr>
        <w:t xml:space="preserve">source </w:t>
      </w:r>
      <w:r>
        <w:rPr>
          <w:color w:val="333333"/>
          <w:w w:val="110"/>
        </w:rPr>
        <w:t xml:space="preserve">of the property (from </w:t>
      </w:r>
      <w:proofErr w:type="gramStart"/>
      <w:r>
        <w:rPr>
          <w:color w:val="333333"/>
          <w:w w:val="110"/>
        </w:rPr>
        <w:t xml:space="preserve">the  </w:t>
      </w:r>
      <w:r>
        <w:rPr>
          <w:rFonts w:ascii="MS Gothic" w:hAnsi="MS Gothic"/>
          <w:color w:val="B02045"/>
          <w:w w:val="110"/>
        </w:rPr>
        <w:t>Environment</w:t>
      </w:r>
      <w:proofErr w:type="gramEnd"/>
      <w:r>
        <w:rPr>
          <w:color w:val="333333"/>
          <w:w w:val="110"/>
        </w:rPr>
        <w:t xml:space="preserve">). If you need to store the property somewhere other than in </w:t>
      </w:r>
      <w:r>
        <w:rPr>
          <w:rFonts w:ascii="MS Gothic" w:hAnsi="MS Gothic"/>
          <w:color w:val="B02045"/>
          <w:w w:val="110"/>
        </w:rPr>
        <w:t xml:space="preserve">local </w:t>
      </w:r>
      <w:r>
        <w:rPr>
          <w:color w:val="333333"/>
          <w:w w:val="110"/>
        </w:rPr>
        <w:t xml:space="preserve">scope, you can use the </w:t>
      </w:r>
      <w:r>
        <w:rPr>
          <w:rFonts w:ascii="MS Gothic" w:hAnsi="MS Gothic"/>
          <w:color w:val="B02045"/>
          <w:w w:val="110"/>
        </w:rPr>
        <w:t xml:space="preserve">scope </w:t>
      </w:r>
      <w:r>
        <w:rPr>
          <w:color w:val="333333"/>
          <w:w w:val="110"/>
        </w:rPr>
        <w:t xml:space="preserve">attribute. If you need a fallback value (in case the property is not set in the </w:t>
      </w:r>
      <w:r>
        <w:rPr>
          <w:rFonts w:ascii="MS Gothic" w:hAnsi="MS Gothic"/>
          <w:color w:val="B02045"/>
          <w:w w:val="110"/>
        </w:rPr>
        <w:t>Environment</w:t>
      </w:r>
      <w:r>
        <w:rPr>
          <w:color w:val="333333"/>
          <w:w w:val="110"/>
        </w:rPr>
        <w:t xml:space="preserve">), you can use the </w:t>
      </w:r>
      <w:r>
        <w:rPr>
          <w:rFonts w:ascii="MS Gothic" w:hAnsi="MS Gothic"/>
          <w:color w:val="B02045"/>
          <w:w w:val="110"/>
        </w:rPr>
        <w:t xml:space="preserve">defaultValue </w:t>
      </w:r>
      <w:r>
        <w:rPr>
          <w:color w:val="333333"/>
          <w:w w:val="110"/>
        </w:rPr>
        <w:t>attribute. The following example shows how to expose properties for use within Logback:</w:t>
      </w:r>
    </w:p>
    <w:p w14:paraId="73AFE7EF" w14:textId="77777777" w:rsidR="00A720EB" w:rsidRDefault="00E10349">
      <w:pPr>
        <w:pStyle w:val="a3"/>
        <w:rPr>
          <w:sz w:val="15"/>
        </w:rPr>
      </w:pPr>
      <w:r>
        <w:pict w14:anchorId="1B52729A">
          <v:group id="_x0000_s4404" style="position:absolute;margin-left:47.85pt;margin-top:10.8pt;width:499.55pt;height:111.2pt;z-index:-15555584;mso-wrap-distance-left:0;mso-wrap-distance-right:0;mso-position-horizontal-relative:page" coordorigin="957,216" coordsize="9991,2224">
            <v:shape id="_x0000_s4407" style="position:absolute;left:964;top:223;width:9976;height:2209" coordorigin="965,223" coordsize="9976,2209" path="m10861,223r-9816,l1014,230r-26,17l971,272r-6,31l965,2352r6,31l988,2409r26,17l1045,2432r9816,l10892,2426r25,-17l10935,2383r6,-31l10941,303r-6,-31l10917,247r-25,-17l10861,223xe" fillcolor="#f5f5f5" stroked="f">
              <v:path arrowok="t"/>
            </v:shape>
            <v:shape id="_x0000_s4406" style="position:absolute;left:964;top:223;width:9976;height:2209" coordorigin="965,223" coordsize="9976,2209" path="m1045,223r9816,l10892,230r25,17l10935,272r6,31l10941,2352r-6,31l10917,2409r-25,17l10861,2432r-9816,l1014,2426r-26,-17l971,2383r-6,-31l965,303r6,-31l988,247r26,-17l1045,223xe" filled="f" strokecolor="#ccc">
              <v:path arrowok="t"/>
            </v:shape>
            <v:shape id="_x0000_s4405" type="#_x0000_t202" style="position:absolute;left:984;top:238;width:9938;height:2178" filled="f" stroked="f">
              <v:textbox inset="0,0,0,0">
                <w:txbxContent>
                  <w:p w14:paraId="00336DCC" w14:textId="77777777" w:rsidR="00711A16" w:rsidRDefault="00711A16">
                    <w:pPr>
                      <w:spacing w:before="221" w:line="252" w:lineRule="auto"/>
                      <w:ind w:left="1080" w:right="1248" w:hanging="880"/>
                      <w:rPr>
                        <w:rFonts w:ascii="MS Gothic"/>
                      </w:rPr>
                    </w:pPr>
                    <w:r>
                      <w:rPr>
                        <w:rFonts w:ascii="MS Gothic"/>
                        <w:color w:val="333333"/>
                      </w:rPr>
                      <w:t>&lt;springProperty scope="context" name="fluentHost" source="</w:t>
                    </w:r>
                    <w:proofErr w:type="gramStart"/>
                    <w:r>
                      <w:rPr>
                        <w:rFonts w:ascii="MS Gothic"/>
                        <w:color w:val="333333"/>
                      </w:rPr>
                      <w:t>myapp.fluentd</w:t>
                    </w:r>
                    <w:proofErr w:type="gramEnd"/>
                    <w:r>
                      <w:rPr>
                        <w:rFonts w:ascii="MS Gothic"/>
                        <w:color w:val="333333"/>
                      </w:rPr>
                      <w:t>.host" defaultValue="localhost"/&gt;</w:t>
                    </w:r>
                  </w:p>
                  <w:p w14:paraId="5007DE0F" w14:textId="77777777" w:rsidR="00711A16" w:rsidRDefault="00711A16">
                    <w:pPr>
                      <w:spacing w:line="280" w:lineRule="exact"/>
                      <w:ind w:left="200"/>
                      <w:rPr>
                        <w:rFonts w:ascii="MS Gothic"/>
                      </w:rPr>
                    </w:pPr>
                    <w:r>
                      <w:rPr>
                        <w:rFonts w:ascii="MS Gothic"/>
                        <w:color w:val="333333"/>
                      </w:rPr>
                      <w:t>&lt;appender name="FLUENT" class="</w:t>
                    </w:r>
                    <w:proofErr w:type="gramStart"/>
                    <w:r>
                      <w:rPr>
                        <w:rFonts w:ascii="MS Gothic"/>
                        <w:color w:val="333333"/>
                      </w:rPr>
                      <w:t>ch.qos.logback</w:t>
                    </w:r>
                    <w:proofErr w:type="gramEnd"/>
                    <w:r>
                      <w:rPr>
                        <w:rFonts w:ascii="MS Gothic"/>
                        <w:color w:val="333333"/>
                      </w:rPr>
                      <w:t>.more.appenders.DataFluentAppender"&gt;</w:t>
                    </w:r>
                  </w:p>
                  <w:p w14:paraId="58DED312" w14:textId="77777777" w:rsidR="00711A16" w:rsidRDefault="00711A16">
                    <w:pPr>
                      <w:spacing w:before="13"/>
                      <w:ind w:left="640"/>
                      <w:rPr>
                        <w:rFonts w:ascii="MS Gothic"/>
                      </w:rPr>
                    </w:pPr>
                    <w:r>
                      <w:rPr>
                        <w:rFonts w:ascii="MS Gothic"/>
                        <w:color w:val="333333"/>
                      </w:rPr>
                      <w:t>&lt;remoteHost&gt;${fluentHost}&lt;/remoteHost&gt;</w:t>
                    </w:r>
                  </w:p>
                  <w:p w14:paraId="775437CC" w14:textId="77777777" w:rsidR="00711A16" w:rsidRDefault="00711A16">
                    <w:pPr>
                      <w:spacing w:before="13"/>
                      <w:ind w:left="640"/>
                      <w:rPr>
                        <w:rFonts w:ascii="MS Gothic"/>
                      </w:rPr>
                    </w:pPr>
                    <w:r>
                      <w:rPr>
                        <w:rFonts w:ascii="MS Gothic"/>
                        <w:color w:val="333333"/>
                      </w:rPr>
                      <w:t>...</w:t>
                    </w:r>
                  </w:p>
                  <w:p w14:paraId="74ED7A47" w14:textId="77777777" w:rsidR="00711A16" w:rsidRDefault="00711A16">
                    <w:pPr>
                      <w:spacing w:before="13"/>
                      <w:ind w:left="200"/>
                      <w:rPr>
                        <w:rFonts w:ascii="MS Gothic"/>
                      </w:rPr>
                    </w:pPr>
                    <w:r>
                      <w:rPr>
                        <w:rFonts w:ascii="MS Gothic"/>
                        <w:color w:val="333333"/>
                      </w:rPr>
                      <w:t>&lt;/appender&gt;</w:t>
                    </w:r>
                  </w:p>
                </w:txbxContent>
              </v:textbox>
            </v:shape>
            <w10:wrap type="topAndBottom" anchorx="page"/>
          </v:group>
        </w:pict>
      </w:r>
    </w:p>
    <w:p w14:paraId="3E61C11F" w14:textId="77777777" w:rsidR="00A720EB" w:rsidRDefault="00A720EB">
      <w:pPr>
        <w:pStyle w:val="a3"/>
        <w:spacing w:before="8"/>
        <w:rPr>
          <w:sz w:val="16"/>
        </w:rPr>
      </w:pPr>
    </w:p>
    <w:p w14:paraId="473AA17F" w14:textId="77777777" w:rsidR="00A720EB" w:rsidRDefault="00E10349">
      <w:pPr>
        <w:pStyle w:val="a3"/>
        <w:spacing w:before="116" w:line="280" w:lineRule="auto"/>
        <w:ind w:left="1564" w:right="359"/>
      </w:pPr>
      <w:r>
        <w:pict w14:anchorId="45033252">
          <v:line id="_x0000_s4403" style="position:absolute;left:0;text-align:left;z-index:15902208;mso-position-horizontal-relative:page" from="108.25pt,.35pt" to="108.25pt,39.9pt" strokecolor="#ededed" strokeweight=".5pt">
            <w10:wrap anchorx="page"/>
          </v:line>
        </w:pict>
      </w:r>
      <w:r w:rsidR="0030286B">
        <w:rPr>
          <w:noProof/>
        </w:rPr>
        <w:drawing>
          <wp:anchor distT="0" distB="0" distL="0" distR="0" simplePos="0" relativeHeight="15902720" behindDoc="0" locked="0" layoutInCell="1" allowOverlap="1" wp14:anchorId="26AE4C5B" wp14:editId="07B40D5D">
            <wp:simplePos x="0" y="0"/>
            <wp:positionH relativeFrom="page">
              <wp:posOffset>844422</wp:posOffset>
            </wp:positionH>
            <wp:positionV relativeFrom="paragraph">
              <wp:posOffset>106248</wp:posOffset>
            </wp:positionV>
            <wp:extent cx="298450" cy="298450"/>
            <wp:effectExtent l="0" t="0" r="0" b="0"/>
            <wp:wrapNone/>
            <wp:docPr id="2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source </w:t>
      </w:r>
      <w:r w:rsidR="0030286B">
        <w:rPr>
          <w:color w:val="333333"/>
          <w:w w:val="110"/>
        </w:rPr>
        <w:t xml:space="preserve">must be specified in kebab case (such as </w:t>
      </w:r>
      <w:proofErr w:type="gramStart"/>
      <w:r w:rsidR="0030286B">
        <w:rPr>
          <w:rFonts w:ascii="MS Gothic"/>
          <w:color w:val="B02045"/>
          <w:w w:val="110"/>
        </w:rPr>
        <w:t>my.property</w:t>
      </w:r>
      <w:proofErr w:type="gramEnd"/>
      <w:r w:rsidR="0030286B">
        <w:rPr>
          <w:rFonts w:ascii="MS Gothic"/>
          <w:color w:val="B02045"/>
          <w:w w:val="110"/>
        </w:rPr>
        <w:t>-name</w:t>
      </w:r>
      <w:r w:rsidR="0030286B">
        <w:rPr>
          <w:color w:val="333333"/>
          <w:w w:val="110"/>
        </w:rPr>
        <w:t xml:space="preserve">). However, properties can be added to the </w:t>
      </w:r>
      <w:r w:rsidR="0030286B">
        <w:rPr>
          <w:rFonts w:ascii="MS Gothic"/>
          <w:color w:val="B02045"/>
          <w:w w:val="110"/>
        </w:rPr>
        <w:t>Environment</w:t>
      </w:r>
      <w:r w:rsidR="0030286B">
        <w:rPr>
          <w:rFonts w:ascii="MS Gothic"/>
          <w:color w:val="B02045"/>
          <w:spacing w:val="-51"/>
          <w:w w:val="110"/>
        </w:rPr>
        <w:t xml:space="preserve"> </w:t>
      </w:r>
      <w:r w:rsidR="0030286B">
        <w:rPr>
          <w:color w:val="333333"/>
          <w:spacing w:val="-3"/>
          <w:w w:val="110"/>
        </w:rPr>
        <w:t xml:space="preserve">by </w:t>
      </w:r>
      <w:r w:rsidR="0030286B">
        <w:rPr>
          <w:color w:val="333333"/>
          <w:w w:val="110"/>
        </w:rPr>
        <w:t>using the relaxed rules.</w:t>
      </w:r>
    </w:p>
    <w:p w14:paraId="2F5259CF" w14:textId="77777777" w:rsidR="00A720EB" w:rsidRDefault="00A720EB">
      <w:pPr>
        <w:pStyle w:val="a3"/>
        <w:spacing w:before="8"/>
        <w:rPr>
          <w:sz w:val="33"/>
        </w:rPr>
      </w:pPr>
    </w:p>
    <w:p w14:paraId="054C176B" w14:textId="77777777" w:rsidR="00A720EB" w:rsidRDefault="0030286B">
      <w:pPr>
        <w:pStyle w:val="2"/>
        <w:numPr>
          <w:ilvl w:val="1"/>
          <w:numId w:val="68"/>
        </w:numPr>
        <w:tabs>
          <w:tab w:val="left" w:pos="832"/>
        </w:tabs>
      </w:pPr>
      <w:bookmarkStart w:id="233" w:name="4.5._Internationalization"/>
      <w:bookmarkStart w:id="234" w:name="_Toc54423743"/>
      <w:bookmarkEnd w:id="233"/>
      <w:r>
        <w:rPr>
          <w:color w:val="333333"/>
          <w:w w:val="115"/>
        </w:rPr>
        <w:t>Internationalization</w:t>
      </w:r>
      <w:bookmarkEnd w:id="234"/>
    </w:p>
    <w:p w14:paraId="532B26B5" w14:textId="77777777" w:rsidR="00A720EB" w:rsidRDefault="0030286B">
      <w:pPr>
        <w:pStyle w:val="a3"/>
        <w:spacing w:before="253" w:line="295" w:lineRule="auto"/>
        <w:ind w:left="124" w:right="123"/>
        <w:jc w:val="both"/>
      </w:pPr>
      <w:r>
        <w:rPr>
          <w:color w:val="333333"/>
          <w:w w:val="110"/>
        </w:rPr>
        <w:t xml:space="preserve">Spring Boot supports localized messages so that your application can cater to users of different language preferences. </w:t>
      </w:r>
      <w:r>
        <w:rPr>
          <w:color w:val="333333"/>
          <w:spacing w:val="-3"/>
          <w:w w:val="110"/>
        </w:rPr>
        <w:t xml:space="preserve">By </w:t>
      </w:r>
      <w:r>
        <w:rPr>
          <w:color w:val="333333"/>
          <w:w w:val="110"/>
        </w:rPr>
        <w:t xml:space="preserve">default, Spring Boot looks for the presence of a </w:t>
      </w:r>
      <w:r>
        <w:rPr>
          <w:rFonts w:ascii="MS Gothic"/>
          <w:color w:val="B02045"/>
          <w:w w:val="110"/>
        </w:rPr>
        <w:t xml:space="preserve">messages </w:t>
      </w:r>
      <w:r>
        <w:rPr>
          <w:color w:val="333333"/>
          <w:w w:val="110"/>
        </w:rPr>
        <w:t>resource bundle at the root of the</w:t>
      </w:r>
      <w:r>
        <w:rPr>
          <w:color w:val="333333"/>
          <w:spacing w:val="15"/>
          <w:w w:val="110"/>
        </w:rPr>
        <w:t xml:space="preserve"> </w:t>
      </w:r>
      <w:r>
        <w:rPr>
          <w:color w:val="333333"/>
          <w:w w:val="110"/>
        </w:rPr>
        <w:t>classpath.</w:t>
      </w:r>
    </w:p>
    <w:p w14:paraId="3978C87E" w14:textId="77777777" w:rsidR="00A720EB" w:rsidRDefault="00A720EB">
      <w:pPr>
        <w:pStyle w:val="a3"/>
        <w:spacing w:before="6"/>
        <w:rPr>
          <w:sz w:val="17"/>
        </w:rPr>
      </w:pPr>
    </w:p>
    <w:p w14:paraId="69B06256" w14:textId="77777777" w:rsidR="00A720EB" w:rsidRDefault="00E10349">
      <w:pPr>
        <w:pStyle w:val="a3"/>
        <w:spacing w:before="125" w:line="297" w:lineRule="auto"/>
        <w:ind w:left="1564" w:right="366"/>
        <w:jc w:val="both"/>
      </w:pPr>
      <w:r>
        <w:pict w14:anchorId="21715525">
          <v:line id="_x0000_s4402" style="position:absolute;left:0;text-align:left;z-index:15903232;mso-position-horizontal-relative:page" from="108.25pt,.25pt" to="108.25pt,87.15pt" strokecolor="#ededed" strokeweight=".5pt">
            <w10:wrap anchorx="page"/>
          </v:line>
        </w:pict>
      </w:r>
      <w:r w:rsidR="0030286B">
        <w:rPr>
          <w:noProof/>
        </w:rPr>
        <w:drawing>
          <wp:anchor distT="0" distB="0" distL="0" distR="0" simplePos="0" relativeHeight="15903744" behindDoc="0" locked="0" layoutInCell="1" allowOverlap="1" wp14:anchorId="13DC344D" wp14:editId="01CF28DF">
            <wp:simplePos x="0" y="0"/>
            <wp:positionH relativeFrom="page">
              <wp:posOffset>844422</wp:posOffset>
            </wp:positionH>
            <wp:positionV relativeFrom="paragraph">
              <wp:posOffset>405930</wp:posOffset>
            </wp:positionV>
            <wp:extent cx="298450" cy="298450"/>
            <wp:effectExtent l="0" t="0" r="0" b="0"/>
            <wp:wrapNone/>
            <wp:docPr id="2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auto-configuration applies when the default properties file for the configured resource bundle is available (i.e. </w:t>
      </w:r>
      <w:proofErr w:type="gramStart"/>
      <w:r w:rsidR="0030286B">
        <w:rPr>
          <w:rFonts w:ascii="MS Gothic"/>
          <w:color w:val="B02045"/>
          <w:w w:val="110"/>
        </w:rPr>
        <w:t>messages.properties</w:t>
      </w:r>
      <w:proofErr w:type="gramEnd"/>
      <w:r w:rsidR="0030286B">
        <w:rPr>
          <w:rFonts w:ascii="MS Gothic"/>
          <w:color w:val="B02045"/>
          <w:w w:val="110"/>
        </w:rPr>
        <w:t xml:space="preserve"> </w:t>
      </w:r>
      <w:r w:rsidR="0030286B">
        <w:rPr>
          <w:color w:val="333333"/>
          <w:spacing w:val="-3"/>
          <w:w w:val="110"/>
        </w:rPr>
        <w:t xml:space="preserve">by </w:t>
      </w:r>
      <w:r w:rsidR="0030286B">
        <w:rPr>
          <w:color w:val="333333"/>
          <w:w w:val="110"/>
        </w:rPr>
        <w:t xml:space="preserve">default). If your resource bundle contains only language-specific properties files, you </w:t>
      </w:r>
      <w:proofErr w:type="gramStart"/>
      <w:r w:rsidR="0030286B">
        <w:rPr>
          <w:color w:val="333333"/>
          <w:w w:val="110"/>
        </w:rPr>
        <w:t>are  required</w:t>
      </w:r>
      <w:proofErr w:type="gramEnd"/>
      <w:r w:rsidR="0030286B">
        <w:rPr>
          <w:color w:val="333333"/>
          <w:w w:val="110"/>
        </w:rPr>
        <w:t xml:space="preserve">  to  add the default. If no properties file is found that matches any of the configured base names, there will be no auto-configured</w:t>
      </w:r>
      <w:r w:rsidR="0030286B">
        <w:rPr>
          <w:color w:val="333333"/>
          <w:spacing w:val="13"/>
          <w:w w:val="110"/>
        </w:rPr>
        <w:t xml:space="preserve"> </w:t>
      </w:r>
      <w:r w:rsidR="0030286B">
        <w:rPr>
          <w:rFonts w:ascii="MS Gothic"/>
          <w:color w:val="B02045"/>
          <w:w w:val="110"/>
        </w:rPr>
        <w:t>MessageSource</w:t>
      </w:r>
      <w:r w:rsidR="0030286B">
        <w:rPr>
          <w:color w:val="333333"/>
          <w:w w:val="110"/>
        </w:rPr>
        <w:t>.</w:t>
      </w:r>
    </w:p>
    <w:p w14:paraId="2EB971E8" w14:textId="77777777" w:rsidR="00A720EB" w:rsidRDefault="00A720EB">
      <w:pPr>
        <w:spacing w:line="297" w:lineRule="auto"/>
        <w:jc w:val="both"/>
        <w:sectPr w:rsidR="00A720EB">
          <w:pgSz w:w="11910" w:h="16840"/>
          <w:pgMar w:top="700" w:right="840" w:bottom="520" w:left="840" w:header="0" w:footer="323" w:gutter="0"/>
          <w:cols w:space="720"/>
        </w:sectPr>
      </w:pPr>
    </w:p>
    <w:p w14:paraId="1B53A401" w14:textId="77777777" w:rsidR="00A720EB" w:rsidRDefault="0030286B">
      <w:pPr>
        <w:pStyle w:val="a3"/>
        <w:spacing w:before="107" w:line="297" w:lineRule="auto"/>
        <w:ind w:left="124" w:right="462"/>
      </w:pPr>
      <w:r>
        <w:rPr>
          <w:color w:val="333333"/>
          <w:w w:val="110"/>
        </w:rPr>
        <w:lastRenderedPageBreak/>
        <w:t xml:space="preserve">The basename of the resource bundle as well as several other attributes can be configured using     the </w:t>
      </w:r>
      <w:proofErr w:type="gramStart"/>
      <w:r>
        <w:rPr>
          <w:rFonts w:ascii="MS Gothic"/>
          <w:color w:val="B02045"/>
          <w:w w:val="110"/>
        </w:rPr>
        <w:t>spring.messages</w:t>
      </w:r>
      <w:proofErr w:type="gramEnd"/>
      <w:r>
        <w:rPr>
          <w:rFonts w:ascii="MS Gothic"/>
          <w:color w:val="B02045"/>
          <w:spacing w:val="-52"/>
          <w:w w:val="110"/>
        </w:rPr>
        <w:t xml:space="preserve"> </w:t>
      </w:r>
      <w:r>
        <w:rPr>
          <w:color w:val="333333"/>
          <w:w w:val="110"/>
        </w:rPr>
        <w:t>namespace, as shown in the following example:</w:t>
      </w:r>
    </w:p>
    <w:p w14:paraId="72C78237" w14:textId="77777777" w:rsidR="00A720EB" w:rsidRDefault="00E10349">
      <w:pPr>
        <w:pStyle w:val="a3"/>
        <w:spacing w:before="4"/>
        <w:rPr>
          <w:sz w:val="12"/>
        </w:rPr>
      </w:pPr>
      <w:r>
        <w:pict w14:anchorId="035F9DA6">
          <v:group id="_x0000_s4398" style="position:absolute;margin-left:47.85pt;margin-top:9.25pt;width:499.55pt;height:52.25pt;z-index:-15553024;mso-wrap-distance-left:0;mso-wrap-distance-right:0;mso-position-horizontal-relative:page" coordorigin="957,185" coordsize="9991,1045">
            <v:shape id="_x0000_s4401" style="position:absolute;left:964;top:192;width:9976;height:1030" coordorigin="965,192" coordsize="9976,1030" path="m10861,192r-9816,l1014,199r-26,17l971,241r-6,31l965,1142r6,31l988,1199r26,17l1045,1222r9816,l10892,1216r25,-17l10935,1173r6,-31l10941,272r-6,-31l10917,216r-25,-17l10861,192xe" fillcolor="#f5f5f5" stroked="f">
              <v:path arrowok="t"/>
            </v:shape>
            <v:shape id="_x0000_s4400" style="position:absolute;left:964;top:192;width:9976;height:1030" coordorigin="965,192" coordsize="9976,1030" path="m1045,192r9816,l10892,199r25,17l10935,241r6,31l10941,1142r-6,31l10917,1199r-25,17l10861,1222r-9816,l1014,1216r-26,-17l971,1173r-6,-31l965,272r6,-31l988,216r26,-17l1045,192xe" filled="f" strokecolor="#ccc">
              <v:path arrowok="t"/>
            </v:shape>
            <v:shape id="_x0000_s4399" type="#_x0000_t202" style="position:absolute;left:984;top:207;width:9938;height:999" filled="f" stroked="f">
              <v:textbox inset="0,0,0,0">
                <w:txbxContent>
                  <w:p w14:paraId="1A826068" w14:textId="77777777" w:rsidR="00711A16" w:rsidRDefault="00711A16">
                    <w:pPr>
                      <w:spacing w:before="221" w:line="252" w:lineRule="auto"/>
                      <w:ind w:left="200" w:right="3794"/>
                      <w:rPr>
                        <w:rFonts w:ascii="MS Gothic"/>
                      </w:rPr>
                    </w:pPr>
                    <w:proofErr w:type="gramStart"/>
                    <w:r>
                      <w:rPr>
                        <w:rFonts w:ascii="MS Gothic"/>
                        <w:color w:val="333333"/>
                      </w:rPr>
                      <w:t>spring.messages</w:t>
                    </w:r>
                    <w:proofErr w:type="gramEnd"/>
                    <w:r>
                      <w:rPr>
                        <w:rFonts w:ascii="MS Gothic"/>
                        <w:color w:val="333333"/>
                      </w:rPr>
                      <w:t>.basename=messages,config.i18n.messages spring.messages.fallback-to-system-locale=false</w:t>
                    </w:r>
                  </w:p>
                </w:txbxContent>
              </v:textbox>
            </v:shape>
            <w10:wrap type="topAndBottom" anchorx="page"/>
          </v:group>
        </w:pict>
      </w:r>
    </w:p>
    <w:p w14:paraId="6ADB7F99" w14:textId="77777777" w:rsidR="00A720EB" w:rsidRDefault="00A720EB">
      <w:pPr>
        <w:pStyle w:val="a3"/>
        <w:spacing w:before="8"/>
        <w:rPr>
          <w:sz w:val="16"/>
        </w:rPr>
      </w:pPr>
    </w:p>
    <w:p w14:paraId="01BB0819" w14:textId="77777777" w:rsidR="00A720EB" w:rsidRDefault="00E10349">
      <w:pPr>
        <w:pStyle w:val="a3"/>
        <w:spacing w:before="116" w:line="290" w:lineRule="auto"/>
        <w:ind w:left="1564"/>
      </w:pPr>
      <w:r>
        <w:pict w14:anchorId="062FAA59">
          <v:line id="_x0000_s4397" style="position:absolute;left:0;text-align:left;z-index:15904768;mso-position-horizontal-relative:page" from="108.25pt,.35pt" to="108.25pt,39.9pt" strokecolor="#ededed" strokeweight=".5pt">
            <w10:wrap anchorx="page"/>
          </v:line>
        </w:pict>
      </w:r>
      <w:r w:rsidR="0030286B">
        <w:rPr>
          <w:noProof/>
        </w:rPr>
        <w:drawing>
          <wp:anchor distT="0" distB="0" distL="0" distR="0" simplePos="0" relativeHeight="15905280" behindDoc="0" locked="0" layoutInCell="1" allowOverlap="1" wp14:anchorId="6DA6D5E9" wp14:editId="3469486E">
            <wp:simplePos x="0" y="0"/>
            <wp:positionH relativeFrom="page">
              <wp:posOffset>888949</wp:posOffset>
            </wp:positionH>
            <wp:positionV relativeFrom="paragraph">
              <wp:posOffset>103073</wp:posOffset>
            </wp:positionV>
            <wp:extent cx="209550" cy="304800"/>
            <wp:effectExtent l="0" t="0" r="0" b="0"/>
            <wp:wrapNone/>
            <wp:docPr id="2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8.png"/>
                    <pic:cNvPicPr/>
                  </pic:nvPicPr>
                  <pic:blipFill>
                    <a:blip r:embed="rId31" cstate="print"/>
                    <a:stretch>
                      <a:fillRect/>
                    </a:stretch>
                  </pic:blipFill>
                  <pic:spPr>
                    <a:xfrm>
                      <a:off x="0" y="0"/>
                      <a:ext cx="209550" cy="304800"/>
                    </a:xfrm>
                    <a:prstGeom prst="rect">
                      <a:avLst/>
                    </a:prstGeom>
                  </pic:spPr>
                </pic:pic>
              </a:graphicData>
            </a:graphic>
          </wp:anchor>
        </w:drawing>
      </w:r>
      <w:proofErr w:type="gramStart"/>
      <w:r w:rsidR="0030286B">
        <w:rPr>
          <w:rFonts w:ascii="MS Gothic"/>
          <w:color w:val="B02045"/>
          <w:w w:val="110"/>
        </w:rPr>
        <w:t>spring.messages</w:t>
      </w:r>
      <w:proofErr w:type="gramEnd"/>
      <w:r w:rsidR="0030286B">
        <w:rPr>
          <w:rFonts w:ascii="MS Gothic"/>
          <w:color w:val="B02045"/>
          <w:w w:val="110"/>
        </w:rPr>
        <w:t xml:space="preserve">.basename </w:t>
      </w:r>
      <w:r w:rsidR="0030286B">
        <w:rPr>
          <w:color w:val="333333"/>
          <w:w w:val="110"/>
        </w:rPr>
        <w:t>supports comma-separated list of locations, either a package qualifier or a resource resolved from the classpath root.</w:t>
      </w:r>
    </w:p>
    <w:p w14:paraId="7F324FC4" w14:textId="77777777" w:rsidR="00A720EB" w:rsidRDefault="00A720EB">
      <w:pPr>
        <w:pStyle w:val="a3"/>
        <w:spacing w:before="1"/>
        <w:rPr>
          <w:sz w:val="18"/>
        </w:rPr>
      </w:pPr>
    </w:p>
    <w:p w14:paraId="482B043F" w14:textId="77777777" w:rsidR="00A720EB" w:rsidRDefault="0030286B">
      <w:pPr>
        <w:pStyle w:val="a3"/>
        <w:spacing w:before="116"/>
        <w:ind w:left="124"/>
      </w:pPr>
      <w:r>
        <w:rPr>
          <w:color w:val="333333"/>
          <w:w w:val="110"/>
        </w:rPr>
        <w:t xml:space="preserve">See </w:t>
      </w:r>
      <w:hyperlink r:id="rId121">
        <w:r>
          <w:rPr>
            <w:rFonts w:ascii="MS Gothic"/>
            <w:color w:val="B02045"/>
            <w:w w:val="110"/>
          </w:rPr>
          <w:t>MessageSourceProperties</w:t>
        </w:r>
        <w:r>
          <w:rPr>
            <w:rFonts w:ascii="MS Gothic"/>
            <w:color w:val="B02045"/>
            <w:spacing w:val="-63"/>
            <w:w w:val="110"/>
          </w:rPr>
          <w:t xml:space="preserve"> </w:t>
        </w:r>
      </w:hyperlink>
      <w:r>
        <w:rPr>
          <w:color w:val="333333"/>
          <w:w w:val="110"/>
        </w:rPr>
        <w:t>for more supported options.</w:t>
      </w:r>
    </w:p>
    <w:p w14:paraId="354EC0F9" w14:textId="77777777" w:rsidR="00A720EB" w:rsidRDefault="00A720EB">
      <w:pPr>
        <w:pStyle w:val="a3"/>
        <w:spacing w:before="8"/>
        <w:rPr>
          <w:sz w:val="30"/>
        </w:rPr>
      </w:pPr>
    </w:p>
    <w:p w14:paraId="294DF35D" w14:textId="77777777" w:rsidR="00A720EB" w:rsidRDefault="0030286B">
      <w:pPr>
        <w:pStyle w:val="2"/>
        <w:numPr>
          <w:ilvl w:val="1"/>
          <w:numId w:val="68"/>
        </w:numPr>
        <w:tabs>
          <w:tab w:val="left" w:pos="832"/>
        </w:tabs>
      </w:pPr>
      <w:bookmarkStart w:id="235" w:name="4.6._JSON"/>
      <w:bookmarkStart w:id="236" w:name="_Toc54423744"/>
      <w:bookmarkEnd w:id="235"/>
      <w:r>
        <w:rPr>
          <w:color w:val="333333"/>
        </w:rPr>
        <w:t>JSON</w:t>
      </w:r>
      <w:bookmarkEnd w:id="236"/>
    </w:p>
    <w:p w14:paraId="2E7E07A2" w14:textId="77777777" w:rsidR="00A720EB" w:rsidRDefault="0030286B">
      <w:pPr>
        <w:pStyle w:val="a3"/>
        <w:spacing w:before="253"/>
        <w:ind w:left="124"/>
      </w:pPr>
      <w:r>
        <w:rPr>
          <w:color w:val="333333"/>
          <w:w w:val="110"/>
        </w:rPr>
        <w:t>Spring Boot provides integration with three JSON mapping libraries:</w:t>
      </w:r>
    </w:p>
    <w:p w14:paraId="33F7AB51" w14:textId="77777777" w:rsidR="00A720EB" w:rsidRDefault="00A720EB">
      <w:pPr>
        <w:pStyle w:val="a3"/>
        <w:spacing w:before="5"/>
        <w:rPr>
          <w:sz w:val="26"/>
        </w:rPr>
      </w:pPr>
    </w:p>
    <w:p w14:paraId="3F74179F" w14:textId="77777777" w:rsidR="00A720EB" w:rsidRDefault="0030286B">
      <w:pPr>
        <w:pStyle w:val="a6"/>
        <w:numPr>
          <w:ilvl w:val="0"/>
          <w:numId w:val="52"/>
        </w:numPr>
        <w:tabs>
          <w:tab w:val="left" w:pos="485"/>
        </w:tabs>
        <w:rPr>
          <w:sz w:val="21"/>
        </w:rPr>
      </w:pPr>
      <w:r>
        <w:rPr>
          <w:color w:val="333333"/>
          <w:w w:val="110"/>
          <w:sz w:val="21"/>
        </w:rPr>
        <w:t>Gson</w:t>
      </w:r>
    </w:p>
    <w:p w14:paraId="63BAF664" w14:textId="77777777" w:rsidR="00A720EB" w:rsidRDefault="0030286B">
      <w:pPr>
        <w:pStyle w:val="a6"/>
        <w:numPr>
          <w:ilvl w:val="0"/>
          <w:numId w:val="52"/>
        </w:numPr>
        <w:tabs>
          <w:tab w:val="left" w:pos="485"/>
        </w:tabs>
        <w:spacing w:before="189"/>
        <w:rPr>
          <w:sz w:val="21"/>
        </w:rPr>
      </w:pPr>
      <w:r>
        <w:rPr>
          <w:color w:val="333333"/>
          <w:w w:val="110"/>
          <w:sz w:val="21"/>
        </w:rPr>
        <w:t>Jackson</w:t>
      </w:r>
    </w:p>
    <w:p w14:paraId="168B4D0C" w14:textId="77777777" w:rsidR="00A720EB" w:rsidRDefault="0030286B">
      <w:pPr>
        <w:pStyle w:val="a6"/>
        <w:numPr>
          <w:ilvl w:val="0"/>
          <w:numId w:val="52"/>
        </w:numPr>
        <w:tabs>
          <w:tab w:val="left" w:pos="485"/>
        </w:tabs>
        <w:spacing w:before="190"/>
        <w:rPr>
          <w:sz w:val="21"/>
        </w:rPr>
      </w:pPr>
      <w:r>
        <w:rPr>
          <w:color w:val="333333"/>
          <w:w w:val="110"/>
          <w:sz w:val="21"/>
        </w:rPr>
        <w:t>JSON-B</w:t>
      </w:r>
    </w:p>
    <w:p w14:paraId="79177C5B" w14:textId="77777777" w:rsidR="00A720EB" w:rsidRDefault="00A720EB">
      <w:pPr>
        <w:pStyle w:val="a3"/>
        <w:spacing w:before="4"/>
        <w:rPr>
          <w:sz w:val="26"/>
        </w:rPr>
      </w:pPr>
    </w:p>
    <w:p w14:paraId="150A9557" w14:textId="77777777" w:rsidR="00A720EB" w:rsidRDefault="0030286B">
      <w:pPr>
        <w:pStyle w:val="a3"/>
        <w:ind w:left="124"/>
      </w:pPr>
      <w:r>
        <w:rPr>
          <w:color w:val="333333"/>
          <w:w w:val="110"/>
        </w:rPr>
        <w:t>Jackson is the preferred and default library.</w:t>
      </w:r>
    </w:p>
    <w:p w14:paraId="520FDBD5" w14:textId="77777777" w:rsidR="00A720EB" w:rsidRDefault="00A720EB">
      <w:pPr>
        <w:pStyle w:val="a3"/>
        <w:spacing w:before="7"/>
        <w:rPr>
          <w:sz w:val="31"/>
        </w:rPr>
      </w:pPr>
    </w:p>
    <w:p w14:paraId="4571612E" w14:textId="77777777" w:rsidR="00A720EB" w:rsidRDefault="0030286B">
      <w:pPr>
        <w:pStyle w:val="3"/>
        <w:numPr>
          <w:ilvl w:val="2"/>
          <w:numId w:val="68"/>
        </w:numPr>
        <w:tabs>
          <w:tab w:val="left" w:pos="858"/>
        </w:tabs>
        <w:ind w:hanging="734"/>
      </w:pPr>
      <w:bookmarkStart w:id="237" w:name="4.6.1._Jackson"/>
      <w:bookmarkStart w:id="238" w:name="_Toc54423745"/>
      <w:bookmarkEnd w:id="237"/>
      <w:r>
        <w:rPr>
          <w:color w:val="333333"/>
          <w:w w:val="110"/>
        </w:rPr>
        <w:t>Jackson</w:t>
      </w:r>
      <w:bookmarkEnd w:id="238"/>
    </w:p>
    <w:p w14:paraId="29AA03A5" w14:textId="77777777" w:rsidR="00A720EB" w:rsidRDefault="0030286B">
      <w:pPr>
        <w:pStyle w:val="a3"/>
        <w:spacing w:before="244" w:line="280" w:lineRule="auto"/>
        <w:ind w:left="124" w:right="123"/>
        <w:jc w:val="both"/>
      </w:pPr>
      <w:r>
        <w:rPr>
          <w:color w:val="333333"/>
          <w:w w:val="110"/>
        </w:rPr>
        <w:t xml:space="preserve">Auto-configuration for Jackson is provided and Jackson is part of </w:t>
      </w:r>
      <w:r>
        <w:rPr>
          <w:rFonts w:ascii="MS Gothic"/>
          <w:color w:val="B02045"/>
          <w:w w:val="110"/>
        </w:rPr>
        <w:t>spring-boot-starter-json</w:t>
      </w:r>
      <w:r>
        <w:rPr>
          <w:color w:val="333333"/>
          <w:w w:val="110"/>
        </w:rPr>
        <w:t xml:space="preserve">. When Jackson is on the classpath an </w:t>
      </w:r>
      <w:r>
        <w:rPr>
          <w:rFonts w:ascii="MS Gothic"/>
          <w:color w:val="B02045"/>
          <w:w w:val="110"/>
        </w:rPr>
        <w:t xml:space="preserve">ObjectMapper </w:t>
      </w:r>
      <w:r>
        <w:rPr>
          <w:color w:val="333333"/>
          <w:w w:val="110"/>
        </w:rPr>
        <w:t xml:space="preserve">bean is automatically configured. Several configuration properties are provided for </w:t>
      </w:r>
      <w:hyperlink w:anchor="_bookmark571" w:history="1">
        <w:r>
          <w:rPr>
            <w:color w:val="418BCA"/>
            <w:w w:val="110"/>
          </w:rPr>
          <w:t xml:space="preserve">customizing the configuration of the </w:t>
        </w:r>
      </w:hyperlink>
      <w:hyperlink w:anchor="_bookmark571" w:history="1">
        <w:r>
          <w:rPr>
            <w:rFonts w:ascii="MS Gothic"/>
            <w:color w:val="B02045"/>
            <w:w w:val="110"/>
          </w:rPr>
          <w:t>ObjectMapper</w:t>
        </w:r>
      </w:hyperlink>
      <w:r>
        <w:rPr>
          <w:color w:val="333333"/>
          <w:w w:val="110"/>
        </w:rPr>
        <w:t>.</w:t>
      </w:r>
    </w:p>
    <w:p w14:paraId="7A5A93ED" w14:textId="77777777" w:rsidR="00A720EB" w:rsidRDefault="00A720EB">
      <w:pPr>
        <w:pStyle w:val="a3"/>
        <w:spacing w:before="8"/>
        <w:rPr>
          <w:sz w:val="26"/>
        </w:rPr>
      </w:pPr>
    </w:p>
    <w:p w14:paraId="7FE9D3C5" w14:textId="77777777" w:rsidR="00A720EB" w:rsidRDefault="0030286B">
      <w:pPr>
        <w:pStyle w:val="3"/>
        <w:numPr>
          <w:ilvl w:val="2"/>
          <w:numId w:val="68"/>
        </w:numPr>
        <w:tabs>
          <w:tab w:val="left" w:pos="858"/>
        </w:tabs>
        <w:spacing w:before="1"/>
        <w:ind w:hanging="734"/>
      </w:pPr>
      <w:bookmarkStart w:id="239" w:name="4.6.2._Gson"/>
      <w:bookmarkStart w:id="240" w:name="_Toc54423746"/>
      <w:bookmarkEnd w:id="239"/>
      <w:r>
        <w:rPr>
          <w:color w:val="333333"/>
          <w:w w:val="105"/>
        </w:rPr>
        <w:t>Gson</w:t>
      </w:r>
      <w:bookmarkEnd w:id="240"/>
    </w:p>
    <w:p w14:paraId="486E2354" w14:textId="77777777" w:rsidR="00A720EB" w:rsidRDefault="0030286B">
      <w:pPr>
        <w:pStyle w:val="a3"/>
        <w:spacing w:before="243" w:line="280" w:lineRule="auto"/>
        <w:ind w:left="124" w:right="125"/>
        <w:jc w:val="both"/>
      </w:pPr>
      <w:r>
        <w:rPr>
          <w:color w:val="333333"/>
          <w:w w:val="110"/>
        </w:rPr>
        <w:t xml:space="preserve">Auto-configuration for Gson is provided. When Gson is on the classpath a </w:t>
      </w:r>
      <w:r>
        <w:rPr>
          <w:rFonts w:ascii="MS Gothic"/>
          <w:color w:val="B02045"/>
          <w:w w:val="110"/>
        </w:rPr>
        <w:t xml:space="preserve">Gson </w:t>
      </w:r>
      <w:r>
        <w:rPr>
          <w:color w:val="333333"/>
          <w:w w:val="110"/>
        </w:rPr>
        <w:t xml:space="preserve">bean is automatically configured. Several </w:t>
      </w:r>
      <w:proofErr w:type="gramStart"/>
      <w:r>
        <w:rPr>
          <w:rFonts w:ascii="MS Gothic"/>
          <w:color w:val="B02045"/>
          <w:w w:val="110"/>
        </w:rPr>
        <w:t>spring.gson</w:t>
      </w:r>
      <w:proofErr w:type="gramEnd"/>
      <w:r>
        <w:rPr>
          <w:rFonts w:ascii="MS Gothic"/>
          <w:color w:val="B02045"/>
          <w:w w:val="110"/>
        </w:rPr>
        <w:t xml:space="preserve">.* </w:t>
      </w:r>
      <w:r>
        <w:rPr>
          <w:color w:val="333333"/>
          <w:w w:val="110"/>
        </w:rPr>
        <w:t xml:space="preserve">configuration properties are provided for customizing the configuration. </w:t>
      </w:r>
      <w:r>
        <w:rPr>
          <w:color w:val="333333"/>
          <w:spacing w:val="-4"/>
          <w:w w:val="110"/>
        </w:rPr>
        <w:t xml:space="preserve">To </w:t>
      </w:r>
      <w:r>
        <w:rPr>
          <w:color w:val="333333"/>
          <w:w w:val="110"/>
        </w:rPr>
        <w:t xml:space="preserve">take more control, one or more </w:t>
      </w:r>
      <w:r>
        <w:rPr>
          <w:rFonts w:ascii="MS Gothic"/>
          <w:color w:val="B02045"/>
          <w:w w:val="110"/>
        </w:rPr>
        <w:t>GsonBuilderCustomizer</w:t>
      </w:r>
      <w:r>
        <w:rPr>
          <w:rFonts w:ascii="MS Gothic"/>
          <w:color w:val="B02045"/>
          <w:spacing w:val="-91"/>
          <w:w w:val="110"/>
        </w:rPr>
        <w:t xml:space="preserve"> </w:t>
      </w:r>
      <w:r>
        <w:rPr>
          <w:color w:val="333333"/>
          <w:w w:val="110"/>
        </w:rPr>
        <w:t>beans can be used.</w:t>
      </w:r>
    </w:p>
    <w:p w14:paraId="444E239C" w14:textId="77777777" w:rsidR="00A720EB" w:rsidRDefault="00A720EB">
      <w:pPr>
        <w:pStyle w:val="a3"/>
        <w:spacing w:before="9"/>
        <w:rPr>
          <w:sz w:val="26"/>
        </w:rPr>
      </w:pPr>
    </w:p>
    <w:p w14:paraId="04B8E633" w14:textId="77777777" w:rsidR="00A720EB" w:rsidRDefault="0030286B">
      <w:pPr>
        <w:pStyle w:val="3"/>
        <w:numPr>
          <w:ilvl w:val="2"/>
          <w:numId w:val="68"/>
        </w:numPr>
        <w:tabs>
          <w:tab w:val="left" w:pos="858"/>
        </w:tabs>
        <w:ind w:hanging="734"/>
      </w:pPr>
      <w:bookmarkStart w:id="241" w:name="4.6.3._JSON-B"/>
      <w:bookmarkStart w:id="242" w:name="_Toc54423747"/>
      <w:bookmarkEnd w:id="241"/>
      <w:r>
        <w:rPr>
          <w:color w:val="333333"/>
        </w:rPr>
        <w:t>JSON-B</w:t>
      </w:r>
      <w:bookmarkEnd w:id="242"/>
    </w:p>
    <w:p w14:paraId="4463F3CA" w14:textId="77777777" w:rsidR="00A720EB" w:rsidRDefault="0030286B">
      <w:pPr>
        <w:pStyle w:val="a3"/>
        <w:spacing w:before="254" w:line="295" w:lineRule="auto"/>
        <w:ind w:left="124" w:right="137"/>
        <w:jc w:val="both"/>
      </w:pPr>
      <w:r>
        <w:rPr>
          <w:color w:val="333333"/>
          <w:w w:val="110"/>
        </w:rPr>
        <w:t xml:space="preserve">Auto-configuration for JSON-B is provided. When the JSON-B API and an implementation are on the classpath a </w:t>
      </w:r>
      <w:r>
        <w:rPr>
          <w:rFonts w:ascii="MS Gothic"/>
          <w:color w:val="B02045"/>
          <w:w w:val="110"/>
        </w:rPr>
        <w:t xml:space="preserve">Jsonb </w:t>
      </w:r>
      <w:r>
        <w:rPr>
          <w:color w:val="333333"/>
          <w:w w:val="110"/>
        </w:rPr>
        <w:t>bean will be automatically configured. The preferred JSON-B implementation is Apache Johnzon for which dependency management is provided.</w:t>
      </w:r>
    </w:p>
    <w:p w14:paraId="498C6E3D" w14:textId="77777777" w:rsidR="00A720EB" w:rsidRDefault="00A720EB">
      <w:pPr>
        <w:pStyle w:val="a3"/>
        <w:spacing w:before="8"/>
        <w:rPr>
          <w:sz w:val="26"/>
        </w:rPr>
      </w:pPr>
    </w:p>
    <w:p w14:paraId="2B6DFC8B" w14:textId="77777777" w:rsidR="00A720EB" w:rsidRDefault="0030286B">
      <w:pPr>
        <w:pStyle w:val="2"/>
        <w:numPr>
          <w:ilvl w:val="1"/>
          <w:numId w:val="68"/>
        </w:numPr>
        <w:tabs>
          <w:tab w:val="left" w:pos="832"/>
        </w:tabs>
      </w:pPr>
      <w:bookmarkStart w:id="243" w:name="4.7._Developing_Web_Applications"/>
      <w:bookmarkStart w:id="244" w:name="_Toc54423748"/>
      <w:bookmarkEnd w:id="243"/>
      <w:r>
        <w:rPr>
          <w:color w:val="333333"/>
          <w:w w:val="110"/>
        </w:rPr>
        <w:t xml:space="preserve">Developing </w:t>
      </w:r>
      <w:r>
        <w:rPr>
          <w:color w:val="333333"/>
          <w:spacing w:val="-8"/>
          <w:w w:val="110"/>
        </w:rPr>
        <w:t>Web</w:t>
      </w:r>
      <w:r>
        <w:rPr>
          <w:color w:val="333333"/>
          <w:spacing w:val="-20"/>
          <w:w w:val="110"/>
        </w:rPr>
        <w:t xml:space="preserve"> </w:t>
      </w:r>
      <w:r>
        <w:rPr>
          <w:color w:val="333333"/>
          <w:w w:val="110"/>
        </w:rPr>
        <w:t>Applications</w:t>
      </w:r>
      <w:bookmarkEnd w:id="244"/>
    </w:p>
    <w:p w14:paraId="357E26EE" w14:textId="77777777" w:rsidR="00A720EB" w:rsidRDefault="0030286B">
      <w:pPr>
        <w:pStyle w:val="a3"/>
        <w:spacing w:before="253" w:line="288" w:lineRule="auto"/>
        <w:ind w:left="124" w:right="122"/>
        <w:jc w:val="both"/>
      </w:pPr>
      <w:r>
        <w:rPr>
          <w:color w:val="333333"/>
          <w:w w:val="110"/>
        </w:rPr>
        <w:t xml:space="preserve">Spring Boot is well suited for web application development. </w:t>
      </w:r>
      <w:r>
        <w:rPr>
          <w:color w:val="333333"/>
          <w:spacing w:val="-6"/>
          <w:w w:val="110"/>
        </w:rPr>
        <w:t xml:space="preserve">You </w:t>
      </w:r>
      <w:r>
        <w:rPr>
          <w:color w:val="333333"/>
          <w:w w:val="110"/>
        </w:rPr>
        <w:t xml:space="preserve">can create a self-contained HTTP server </w:t>
      </w:r>
      <w:r>
        <w:rPr>
          <w:color w:val="333333"/>
          <w:spacing w:val="-3"/>
          <w:w w:val="110"/>
        </w:rPr>
        <w:t xml:space="preserve">by </w:t>
      </w:r>
      <w:r>
        <w:rPr>
          <w:color w:val="333333"/>
          <w:w w:val="110"/>
        </w:rPr>
        <w:t xml:space="preserve">using embedded Tomcat, </w:t>
      </w:r>
      <w:r>
        <w:rPr>
          <w:color w:val="333333"/>
          <w:spacing w:val="-4"/>
          <w:w w:val="110"/>
        </w:rPr>
        <w:t xml:space="preserve">Jetty, </w:t>
      </w:r>
      <w:r>
        <w:rPr>
          <w:color w:val="333333"/>
          <w:spacing w:val="-3"/>
          <w:w w:val="110"/>
        </w:rPr>
        <w:t xml:space="preserve">Undertow, </w:t>
      </w:r>
      <w:r>
        <w:rPr>
          <w:color w:val="333333"/>
          <w:w w:val="110"/>
        </w:rPr>
        <w:t xml:space="preserve">or </w:t>
      </w:r>
      <w:r>
        <w:rPr>
          <w:color w:val="333333"/>
          <w:spacing w:val="-4"/>
          <w:w w:val="110"/>
        </w:rPr>
        <w:t xml:space="preserve">Netty. </w:t>
      </w:r>
      <w:r>
        <w:rPr>
          <w:color w:val="333333"/>
          <w:w w:val="110"/>
        </w:rPr>
        <w:t xml:space="preserve">Most web applications use the </w:t>
      </w:r>
      <w:r>
        <w:rPr>
          <w:rFonts w:ascii="MS Gothic"/>
          <w:color w:val="B02045"/>
          <w:w w:val="110"/>
        </w:rPr>
        <w:t xml:space="preserve">spring- boot-starter-web </w:t>
      </w:r>
      <w:r>
        <w:rPr>
          <w:color w:val="333333"/>
          <w:w w:val="110"/>
        </w:rPr>
        <w:t xml:space="preserve">module to get up and running </w:t>
      </w:r>
      <w:r>
        <w:rPr>
          <w:color w:val="333333"/>
          <w:spacing w:val="-4"/>
          <w:w w:val="110"/>
        </w:rPr>
        <w:t xml:space="preserve">quickly. </w:t>
      </w:r>
      <w:r>
        <w:rPr>
          <w:color w:val="333333"/>
          <w:spacing w:val="-6"/>
          <w:w w:val="110"/>
        </w:rPr>
        <w:t xml:space="preserve">You </w:t>
      </w:r>
      <w:r>
        <w:rPr>
          <w:color w:val="333333"/>
          <w:w w:val="110"/>
        </w:rPr>
        <w:t xml:space="preserve">can also choose to build reactive web applications </w:t>
      </w:r>
      <w:r>
        <w:rPr>
          <w:color w:val="333333"/>
          <w:spacing w:val="-3"/>
          <w:w w:val="110"/>
        </w:rPr>
        <w:t xml:space="preserve">by </w:t>
      </w:r>
      <w:r>
        <w:rPr>
          <w:color w:val="333333"/>
          <w:w w:val="110"/>
        </w:rPr>
        <w:t xml:space="preserve">using the </w:t>
      </w:r>
      <w:r>
        <w:rPr>
          <w:rFonts w:ascii="MS Gothic"/>
          <w:color w:val="B02045"/>
          <w:w w:val="110"/>
        </w:rPr>
        <w:t>spring-boot-starter-webflux</w:t>
      </w:r>
      <w:r>
        <w:rPr>
          <w:rFonts w:ascii="MS Gothic"/>
          <w:color w:val="B02045"/>
          <w:spacing w:val="-61"/>
          <w:w w:val="110"/>
        </w:rPr>
        <w:t xml:space="preserve"> </w:t>
      </w:r>
      <w:r>
        <w:rPr>
          <w:color w:val="333333"/>
          <w:w w:val="110"/>
        </w:rPr>
        <w:t>module.</w:t>
      </w:r>
    </w:p>
    <w:p w14:paraId="43A84869" w14:textId="77777777" w:rsidR="00A720EB" w:rsidRDefault="00A720EB">
      <w:pPr>
        <w:spacing w:line="288" w:lineRule="auto"/>
        <w:jc w:val="both"/>
        <w:sectPr w:rsidR="00A720EB">
          <w:pgSz w:w="11910" w:h="16840"/>
          <w:pgMar w:top="620" w:right="840" w:bottom="520" w:left="840" w:header="0" w:footer="323" w:gutter="0"/>
          <w:cols w:space="720"/>
        </w:sectPr>
      </w:pPr>
    </w:p>
    <w:p w14:paraId="29EEB6B8" w14:textId="77777777" w:rsidR="00A720EB" w:rsidRDefault="0030286B">
      <w:pPr>
        <w:pStyle w:val="a3"/>
        <w:spacing w:before="107" w:line="288" w:lineRule="auto"/>
        <w:ind w:left="124" w:right="136"/>
        <w:jc w:val="both"/>
      </w:pPr>
      <w:r>
        <w:rPr>
          <w:color w:val="333333"/>
          <w:w w:val="110"/>
        </w:rPr>
        <w:lastRenderedPageBreak/>
        <w:t xml:space="preserve">If you have not yet developed a Spring Boot web application, you can follow the "Hello World!" example in the </w:t>
      </w:r>
      <w:hyperlink w:anchor="_bookmark26" w:history="1">
        <w:r>
          <w:rPr>
            <w:rFonts w:ascii="Palatino Linotype"/>
            <w:i/>
            <w:color w:val="418BCA"/>
            <w:w w:val="110"/>
          </w:rPr>
          <w:t xml:space="preserve">Getting started </w:t>
        </w:r>
      </w:hyperlink>
      <w:r>
        <w:rPr>
          <w:color w:val="333333"/>
          <w:w w:val="110"/>
        </w:rPr>
        <w:t>section.</w:t>
      </w:r>
    </w:p>
    <w:p w14:paraId="45E46AC3" w14:textId="77777777" w:rsidR="00A720EB" w:rsidRDefault="00A720EB">
      <w:pPr>
        <w:pStyle w:val="a3"/>
        <w:spacing w:before="3"/>
        <w:rPr>
          <w:sz w:val="25"/>
        </w:rPr>
      </w:pPr>
    </w:p>
    <w:p w14:paraId="66E0A456" w14:textId="77777777" w:rsidR="00A720EB" w:rsidRDefault="0030286B">
      <w:pPr>
        <w:pStyle w:val="3"/>
        <w:numPr>
          <w:ilvl w:val="2"/>
          <w:numId w:val="68"/>
        </w:numPr>
        <w:tabs>
          <w:tab w:val="left" w:pos="858"/>
        </w:tabs>
        <w:ind w:hanging="734"/>
      </w:pPr>
      <w:bookmarkStart w:id="245" w:name="4.7.1._The_“Spring_Web_MVC_Framework”"/>
      <w:bookmarkStart w:id="246" w:name="_Toc54423749"/>
      <w:bookmarkEnd w:id="245"/>
      <w:r>
        <w:rPr>
          <w:color w:val="333333"/>
          <w:w w:val="105"/>
        </w:rPr>
        <w:t xml:space="preserve">The “Spring </w:t>
      </w:r>
      <w:r>
        <w:rPr>
          <w:color w:val="333333"/>
          <w:spacing w:val="-6"/>
          <w:w w:val="105"/>
        </w:rPr>
        <w:t xml:space="preserve">Web </w:t>
      </w:r>
      <w:r>
        <w:rPr>
          <w:color w:val="333333"/>
          <w:spacing w:val="-3"/>
          <w:w w:val="105"/>
        </w:rPr>
        <w:t>MVC</w:t>
      </w:r>
      <w:r>
        <w:rPr>
          <w:color w:val="333333"/>
          <w:spacing w:val="-2"/>
          <w:w w:val="105"/>
        </w:rPr>
        <w:t xml:space="preserve"> </w:t>
      </w:r>
      <w:r>
        <w:rPr>
          <w:color w:val="333333"/>
          <w:w w:val="105"/>
        </w:rPr>
        <w:t>Framework”</w:t>
      </w:r>
      <w:bookmarkEnd w:id="246"/>
    </w:p>
    <w:p w14:paraId="530D6DDA" w14:textId="77777777" w:rsidR="00A720EB" w:rsidRDefault="0030286B">
      <w:pPr>
        <w:pStyle w:val="a3"/>
        <w:spacing w:before="254" w:line="295" w:lineRule="auto"/>
        <w:ind w:left="124" w:right="122"/>
        <w:jc w:val="both"/>
      </w:pPr>
      <w:r>
        <w:rPr>
          <w:color w:val="333333"/>
          <w:w w:val="110"/>
        </w:rPr>
        <w:t xml:space="preserve">The </w:t>
      </w:r>
      <w:hyperlink r:id="rId122" w:anchor="mvc">
        <w:r>
          <w:rPr>
            <w:color w:val="418BCA"/>
            <w:w w:val="110"/>
          </w:rPr>
          <w:t xml:space="preserve">Spring </w:t>
        </w:r>
        <w:r>
          <w:rPr>
            <w:color w:val="418BCA"/>
            <w:spacing w:val="-5"/>
            <w:w w:val="110"/>
          </w:rPr>
          <w:t xml:space="preserve">Web </w:t>
        </w:r>
        <w:r>
          <w:rPr>
            <w:color w:val="418BCA"/>
            <w:w w:val="110"/>
          </w:rPr>
          <w:t>MVC framework</w:t>
        </w:r>
      </w:hyperlink>
      <w:r>
        <w:rPr>
          <w:color w:val="418BCA"/>
          <w:w w:val="110"/>
        </w:rPr>
        <w:t xml:space="preserve"> </w:t>
      </w:r>
      <w:r>
        <w:rPr>
          <w:color w:val="333333"/>
          <w:w w:val="110"/>
        </w:rPr>
        <w:t xml:space="preserve">(often referred to as “Spring MVC”) is a rich “model view  controller” web framework. Spring MVC lets you create special </w:t>
      </w:r>
      <w:r>
        <w:rPr>
          <w:rFonts w:ascii="MS Gothic" w:hAnsi="MS Gothic"/>
          <w:color w:val="B02045"/>
          <w:w w:val="110"/>
        </w:rPr>
        <w:t xml:space="preserve">@Controller </w:t>
      </w:r>
      <w:r>
        <w:rPr>
          <w:color w:val="333333"/>
          <w:w w:val="110"/>
        </w:rPr>
        <w:t xml:space="preserve">or </w:t>
      </w:r>
      <w:r>
        <w:rPr>
          <w:rFonts w:ascii="MS Gothic" w:hAnsi="MS Gothic"/>
          <w:color w:val="B02045"/>
          <w:w w:val="110"/>
        </w:rPr>
        <w:t xml:space="preserve">@RestController </w:t>
      </w:r>
      <w:r>
        <w:rPr>
          <w:color w:val="333333"/>
          <w:w w:val="110"/>
        </w:rPr>
        <w:t xml:space="preserve">beans to handle incoming HTTP requests. Methods in your controller are mapped to HTTP </w:t>
      </w:r>
      <w:r>
        <w:rPr>
          <w:color w:val="333333"/>
          <w:spacing w:val="-3"/>
          <w:w w:val="110"/>
        </w:rPr>
        <w:t xml:space="preserve">by </w:t>
      </w:r>
      <w:r>
        <w:rPr>
          <w:color w:val="333333"/>
          <w:w w:val="110"/>
        </w:rPr>
        <w:t xml:space="preserve">using </w:t>
      </w:r>
      <w:r>
        <w:rPr>
          <w:rFonts w:ascii="MS Gothic" w:hAnsi="MS Gothic"/>
          <w:color w:val="B02045"/>
          <w:w w:val="110"/>
        </w:rPr>
        <w:t>@RequestMapping</w:t>
      </w:r>
      <w:r>
        <w:rPr>
          <w:rFonts w:ascii="MS Gothic" w:hAnsi="MS Gothic"/>
          <w:color w:val="B02045"/>
          <w:spacing w:val="-63"/>
          <w:w w:val="110"/>
        </w:rPr>
        <w:t xml:space="preserve"> </w:t>
      </w:r>
      <w:r>
        <w:rPr>
          <w:color w:val="333333"/>
          <w:w w:val="110"/>
        </w:rPr>
        <w:t>annotations.</w:t>
      </w:r>
    </w:p>
    <w:p w14:paraId="453C32A4" w14:textId="77777777" w:rsidR="00A720EB" w:rsidRDefault="0030286B">
      <w:pPr>
        <w:pStyle w:val="a3"/>
        <w:spacing w:before="225"/>
        <w:ind w:left="124"/>
        <w:jc w:val="both"/>
      </w:pPr>
      <w:r>
        <w:rPr>
          <w:color w:val="333333"/>
          <w:w w:val="110"/>
        </w:rPr>
        <w:t xml:space="preserve">The following code shows a typical </w:t>
      </w:r>
      <w:r>
        <w:rPr>
          <w:rFonts w:ascii="MS Gothic"/>
          <w:color w:val="B02045"/>
          <w:w w:val="110"/>
        </w:rPr>
        <w:t>@RestController</w:t>
      </w:r>
      <w:r>
        <w:rPr>
          <w:rFonts w:ascii="MS Gothic"/>
          <w:color w:val="B02045"/>
          <w:spacing w:val="-58"/>
          <w:w w:val="110"/>
        </w:rPr>
        <w:t xml:space="preserve"> </w:t>
      </w:r>
      <w:r>
        <w:rPr>
          <w:color w:val="333333"/>
          <w:w w:val="110"/>
        </w:rPr>
        <w:t>that serves JSON data:</w:t>
      </w:r>
    </w:p>
    <w:p w14:paraId="316F8D61" w14:textId="77777777" w:rsidR="00A720EB" w:rsidRDefault="00E10349">
      <w:pPr>
        <w:pStyle w:val="a3"/>
        <w:spacing w:before="10"/>
        <w:rPr>
          <w:sz w:val="17"/>
        </w:rPr>
      </w:pPr>
      <w:r>
        <w:pict w14:anchorId="460C6F6A">
          <v:group id="_x0000_s4393" style="position:absolute;margin-left:47.85pt;margin-top:12.5pt;width:499.55pt;height:317.55pt;z-index:-15551488;mso-wrap-distance-left:0;mso-wrap-distance-right:0;mso-position-horizontal-relative:page" coordorigin="957,250" coordsize="9991,6351">
            <v:shape id="_x0000_s4396" style="position:absolute;left:964;top:257;width:9976;height:6336" coordorigin="965,257" coordsize="9976,6336" path="m10861,257r-9816,l1014,263r-26,18l971,306r-6,31l965,6513r6,31l988,6570r26,17l1045,6593r9816,l10892,6587r25,-17l10935,6544r6,-31l10941,337r-6,-31l10917,281r-25,-18l10861,257xe" fillcolor="#f5f5f5" stroked="f">
              <v:path arrowok="t"/>
            </v:shape>
            <v:shape id="_x0000_s4395" style="position:absolute;left:964;top:257;width:9976;height:6336" coordorigin="965,257" coordsize="9976,6336" path="m1045,257r9816,l10892,263r25,18l10935,306r6,31l10941,6513r-6,31l10917,6570r-25,17l10861,6593r-9816,l1014,6587r-26,-17l971,6544r-6,-31l965,337r6,-31l988,281r26,-18l1045,257xe" filled="f" strokecolor="#ccc">
              <v:path arrowok="t"/>
            </v:shape>
            <v:shape id="_x0000_s4394" type="#_x0000_t202" style="position:absolute;left:984;top:272;width:9938;height:6306" filled="f" stroked="f">
              <v:textbox inset="0,0,0,0">
                <w:txbxContent>
                  <w:p w14:paraId="5A1CE761" w14:textId="77777777" w:rsidR="00711A16" w:rsidRDefault="00711A16">
                    <w:pPr>
                      <w:spacing w:before="221" w:line="252" w:lineRule="auto"/>
                      <w:ind w:left="200" w:right="6308"/>
                      <w:rPr>
                        <w:rFonts w:ascii="MS Gothic"/>
                      </w:rPr>
                    </w:pPr>
                    <w:r>
                      <w:rPr>
                        <w:rFonts w:ascii="MS Gothic"/>
                        <w:color w:val="333333"/>
                      </w:rPr>
                      <w:t>@RestController @RequestMapping(value="/users") public class MyRestController {</w:t>
                    </w:r>
                  </w:p>
                  <w:p w14:paraId="21E54D68" w14:textId="77777777" w:rsidR="00711A16" w:rsidRDefault="00711A16">
                    <w:pPr>
                      <w:spacing w:before="9"/>
                      <w:rPr>
                        <w:rFonts w:ascii="MS Gothic"/>
                      </w:rPr>
                    </w:pPr>
                  </w:p>
                  <w:p w14:paraId="74D74819" w14:textId="77777777" w:rsidR="00711A16" w:rsidRDefault="00711A16">
                    <w:pPr>
                      <w:spacing w:line="252" w:lineRule="auto"/>
                      <w:ind w:left="640" w:right="2898"/>
                      <w:rPr>
                        <w:rFonts w:ascii="MS Gothic"/>
                      </w:rPr>
                    </w:pPr>
                    <w:r>
                      <w:rPr>
                        <w:rFonts w:ascii="MS Gothic"/>
                        <w:color w:val="333333"/>
                      </w:rPr>
                      <w:t xml:space="preserve">@RequestMapping(value="/{user}", method=RequestMethod.GET) public User </w:t>
                    </w:r>
                    <w:proofErr w:type="gramStart"/>
                    <w:r>
                      <w:rPr>
                        <w:rFonts w:ascii="MS Gothic"/>
                        <w:color w:val="333333"/>
                      </w:rPr>
                      <w:t>getUser(</w:t>
                    </w:r>
                    <w:proofErr w:type="gramEnd"/>
                    <w:r>
                      <w:rPr>
                        <w:rFonts w:ascii="MS Gothic"/>
                        <w:color w:val="333333"/>
                      </w:rPr>
                      <w:t>@PathVariable Long user) {</w:t>
                    </w:r>
                  </w:p>
                  <w:p w14:paraId="01F5E591" w14:textId="77777777" w:rsidR="00711A16" w:rsidRDefault="00711A16">
                    <w:pPr>
                      <w:spacing w:line="280" w:lineRule="exact"/>
                      <w:ind w:left="1080"/>
                      <w:rPr>
                        <w:rFonts w:ascii="MS Gothic"/>
                      </w:rPr>
                    </w:pPr>
                    <w:r>
                      <w:rPr>
                        <w:rFonts w:ascii="MS Gothic"/>
                        <w:color w:val="333333"/>
                      </w:rPr>
                      <w:t>// ...</w:t>
                    </w:r>
                  </w:p>
                  <w:p w14:paraId="5174902A" w14:textId="77777777" w:rsidR="00711A16" w:rsidRDefault="00711A16">
                    <w:pPr>
                      <w:spacing w:before="13"/>
                      <w:ind w:left="640"/>
                      <w:rPr>
                        <w:rFonts w:ascii="MS Gothic"/>
                      </w:rPr>
                    </w:pPr>
                    <w:r>
                      <w:rPr>
                        <w:rFonts w:ascii="MS Gothic"/>
                        <w:color w:val="333333"/>
                      </w:rPr>
                      <w:t>}</w:t>
                    </w:r>
                  </w:p>
                  <w:p w14:paraId="7FCB86B4" w14:textId="77777777" w:rsidR="00711A16" w:rsidRDefault="00711A16">
                    <w:pPr>
                      <w:rPr>
                        <w:rFonts w:ascii="MS Gothic"/>
                        <w:sz w:val="24"/>
                      </w:rPr>
                    </w:pPr>
                  </w:p>
                  <w:p w14:paraId="3DFBAA5E" w14:textId="77777777" w:rsidR="00711A16" w:rsidRDefault="00711A16">
                    <w:pPr>
                      <w:spacing w:line="252" w:lineRule="auto"/>
                      <w:ind w:left="640" w:right="1798"/>
                      <w:rPr>
                        <w:rFonts w:ascii="MS Gothic"/>
                      </w:rPr>
                    </w:pPr>
                    <w:r>
                      <w:rPr>
                        <w:rFonts w:ascii="MS Gothic"/>
                        <w:color w:val="333333"/>
                      </w:rPr>
                      <w:t xml:space="preserve">@RequestMapping(value="/{user}/customers", method=RequestMethod.GET) List&lt;Customer&gt; </w:t>
                    </w:r>
                    <w:proofErr w:type="gramStart"/>
                    <w:r>
                      <w:rPr>
                        <w:rFonts w:ascii="MS Gothic"/>
                        <w:color w:val="333333"/>
                      </w:rPr>
                      <w:t>getUserCustomers(</w:t>
                    </w:r>
                    <w:proofErr w:type="gramEnd"/>
                    <w:r>
                      <w:rPr>
                        <w:rFonts w:ascii="MS Gothic"/>
                        <w:color w:val="333333"/>
                      </w:rPr>
                      <w:t>@PathVariable Long user) {</w:t>
                    </w:r>
                  </w:p>
                  <w:p w14:paraId="7AC39F1A" w14:textId="77777777" w:rsidR="00711A16" w:rsidRDefault="00711A16">
                    <w:pPr>
                      <w:spacing w:line="280" w:lineRule="exact"/>
                      <w:ind w:left="1080"/>
                      <w:rPr>
                        <w:rFonts w:ascii="MS Gothic"/>
                      </w:rPr>
                    </w:pPr>
                    <w:r>
                      <w:rPr>
                        <w:rFonts w:ascii="MS Gothic"/>
                        <w:color w:val="333333"/>
                      </w:rPr>
                      <w:t>// ...</w:t>
                    </w:r>
                  </w:p>
                  <w:p w14:paraId="3DBBA92C" w14:textId="77777777" w:rsidR="00711A16" w:rsidRDefault="00711A16">
                    <w:pPr>
                      <w:spacing w:before="13"/>
                      <w:ind w:left="640"/>
                      <w:rPr>
                        <w:rFonts w:ascii="MS Gothic"/>
                      </w:rPr>
                    </w:pPr>
                    <w:r>
                      <w:rPr>
                        <w:rFonts w:ascii="MS Gothic"/>
                        <w:color w:val="333333"/>
                      </w:rPr>
                      <w:t>}</w:t>
                    </w:r>
                  </w:p>
                  <w:p w14:paraId="6355D938" w14:textId="77777777" w:rsidR="00711A16" w:rsidRDefault="00711A16">
                    <w:pPr>
                      <w:rPr>
                        <w:rFonts w:ascii="MS Gothic"/>
                        <w:sz w:val="24"/>
                      </w:rPr>
                    </w:pPr>
                  </w:p>
                  <w:p w14:paraId="6F7B2A2F" w14:textId="77777777" w:rsidR="00711A16" w:rsidRDefault="00711A16">
                    <w:pPr>
                      <w:spacing w:line="252" w:lineRule="auto"/>
                      <w:ind w:left="640" w:right="2568"/>
                      <w:rPr>
                        <w:rFonts w:ascii="MS Gothic"/>
                      </w:rPr>
                    </w:pPr>
                    <w:r>
                      <w:rPr>
                        <w:rFonts w:ascii="MS Gothic"/>
                        <w:color w:val="333333"/>
                      </w:rPr>
                      <w:t xml:space="preserve">@RequestMapping(value="/{user}", method=RequestMethod.DELETE) public User </w:t>
                    </w:r>
                    <w:proofErr w:type="gramStart"/>
                    <w:r>
                      <w:rPr>
                        <w:rFonts w:ascii="MS Gothic"/>
                        <w:color w:val="333333"/>
                      </w:rPr>
                      <w:t>deleteUser(</w:t>
                    </w:r>
                    <w:proofErr w:type="gramEnd"/>
                    <w:r>
                      <w:rPr>
                        <w:rFonts w:ascii="MS Gothic"/>
                        <w:color w:val="333333"/>
                      </w:rPr>
                      <w:t>@PathVariable Long user) {</w:t>
                    </w:r>
                  </w:p>
                  <w:p w14:paraId="630E3C0B" w14:textId="77777777" w:rsidR="00711A16" w:rsidRDefault="00711A16">
                    <w:pPr>
                      <w:spacing w:line="280" w:lineRule="exact"/>
                      <w:ind w:left="1080"/>
                      <w:rPr>
                        <w:rFonts w:ascii="MS Gothic"/>
                      </w:rPr>
                    </w:pPr>
                    <w:r>
                      <w:rPr>
                        <w:rFonts w:ascii="MS Gothic"/>
                        <w:color w:val="333333"/>
                      </w:rPr>
                      <w:t>// ...</w:t>
                    </w:r>
                  </w:p>
                  <w:p w14:paraId="34224C49" w14:textId="77777777" w:rsidR="00711A16" w:rsidRDefault="00711A16">
                    <w:pPr>
                      <w:spacing w:before="13"/>
                      <w:ind w:left="640"/>
                      <w:rPr>
                        <w:rFonts w:ascii="MS Gothic"/>
                      </w:rPr>
                    </w:pPr>
                    <w:r>
                      <w:rPr>
                        <w:rFonts w:ascii="MS Gothic"/>
                        <w:color w:val="333333"/>
                      </w:rPr>
                      <w:t>}</w:t>
                    </w:r>
                  </w:p>
                  <w:p w14:paraId="22D561A4" w14:textId="77777777" w:rsidR="00711A16" w:rsidRDefault="00711A16">
                    <w:pPr>
                      <w:rPr>
                        <w:rFonts w:ascii="MS Gothic"/>
                        <w:sz w:val="24"/>
                      </w:rPr>
                    </w:pPr>
                  </w:p>
                  <w:p w14:paraId="6F0F913D"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1F8F86E0" w14:textId="77777777" w:rsidR="00A720EB" w:rsidRDefault="00A720EB">
      <w:pPr>
        <w:pStyle w:val="a3"/>
        <w:rPr>
          <w:sz w:val="10"/>
        </w:rPr>
      </w:pPr>
    </w:p>
    <w:p w14:paraId="60360189" w14:textId="77777777" w:rsidR="00A720EB" w:rsidRDefault="0030286B">
      <w:pPr>
        <w:pStyle w:val="a3"/>
        <w:spacing w:before="125" w:line="307" w:lineRule="auto"/>
        <w:ind w:left="124" w:right="131"/>
        <w:jc w:val="both"/>
      </w:pPr>
      <w:r>
        <w:rPr>
          <w:color w:val="333333"/>
          <w:w w:val="110"/>
        </w:rPr>
        <w:t xml:space="preserve">Spring MVC is part of the core Spring Framework, and detailed information is available in the </w:t>
      </w:r>
      <w:hyperlink r:id="rId123" w:anchor="mvc">
        <w:r>
          <w:rPr>
            <w:color w:val="418BCA"/>
            <w:w w:val="110"/>
          </w:rPr>
          <w:t>reference documentation</w:t>
        </w:r>
      </w:hyperlink>
      <w:r>
        <w:rPr>
          <w:color w:val="333333"/>
          <w:w w:val="110"/>
        </w:rPr>
        <w:t xml:space="preserve">. There are also several guides that cover Spring MVC available at </w:t>
      </w:r>
      <w:hyperlink r:id="rId124">
        <w:r>
          <w:rPr>
            <w:color w:val="418BCA"/>
            <w:w w:val="110"/>
          </w:rPr>
          <w:t>spring.io/guides</w:t>
        </w:r>
      </w:hyperlink>
      <w:r>
        <w:rPr>
          <w:color w:val="333333"/>
          <w:w w:val="110"/>
        </w:rPr>
        <w:t>.</w:t>
      </w:r>
    </w:p>
    <w:p w14:paraId="12E5CD86" w14:textId="77777777" w:rsidR="00A720EB" w:rsidRDefault="00A720EB">
      <w:pPr>
        <w:pStyle w:val="a3"/>
        <w:spacing w:before="8"/>
        <w:rPr>
          <w:sz w:val="25"/>
        </w:rPr>
      </w:pPr>
    </w:p>
    <w:p w14:paraId="150A3E9C" w14:textId="77777777" w:rsidR="00A720EB" w:rsidRDefault="0030286B">
      <w:pPr>
        <w:pStyle w:val="4"/>
        <w:spacing w:before="1"/>
      </w:pPr>
      <w:bookmarkStart w:id="247" w:name="Spring_MVC_Auto-configuration"/>
      <w:bookmarkEnd w:id="247"/>
      <w:r>
        <w:rPr>
          <w:color w:val="333333"/>
          <w:w w:val="105"/>
        </w:rPr>
        <w:t>Spring MVC Auto-configuration</w:t>
      </w:r>
    </w:p>
    <w:p w14:paraId="4510B19A" w14:textId="77777777" w:rsidR="00A720EB" w:rsidRDefault="00A720EB">
      <w:pPr>
        <w:pStyle w:val="a3"/>
        <w:spacing w:before="11"/>
        <w:rPr>
          <w:rFonts w:ascii="Palatino Linotype"/>
          <w:b/>
          <w:sz w:val="18"/>
        </w:rPr>
      </w:pPr>
    </w:p>
    <w:p w14:paraId="2C7A2D00" w14:textId="77777777" w:rsidR="00A720EB" w:rsidRDefault="0030286B">
      <w:pPr>
        <w:pStyle w:val="a3"/>
        <w:spacing w:line="542" w:lineRule="auto"/>
        <w:ind w:left="124" w:right="462"/>
      </w:pPr>
      <w:r>
        <w:rPr>
          <w:color w:val="333333"/>
          <w:w w:val="110"/>
        </w:rPr>
        <w:t>Spring Boot provides auto-configuration for Spring MVC that works well with most applications. The auto-configuration adds the following features on top of Spring’s defaults:</w:t>
      </w:r>
    </w:p>
    <w:p w14:paraId="661D1A7C" w14:textId="77777777" w:rsidR="00A720EB" w:rsidRDefault="0030286B">
      <w:pPr>
        <w:pStyle w:val="a6"/>
        <w:numPr>
          <w:ilvl w:val="0"/>
          <w:numId w:val="51"/>
        </w:numPr>
        <w:tabs>
          <w:tab w:val="left" w:pos="485"/>
        </w:tabs>
        <w:spacing w:line="257" w:lineRule="exact"/>
        <w:rPr>
          <w:sz w:val="21"/>
        </w:rPr>
      </w:pPr>
      <w:r>
        <w:rPr>
          <w:color w:val="333333"/>
          <w:w w:val="110"/>
          <w:sz w:val="21"/>
        </w:rPr>
        <w:t>Inclusion</w:t>
      </w:r>
      <w:r>
        <w:rPr>
          <w:color w:val="333333"/>
          <w:spacing w:val="-8"/>
          <w:w w:val="110"/>
          <w:sz w:val="21"/>
        </w:rPr>
        <w:t xml:space="preserve"> </w:t>
      </w:r>
      <w:r>
        <w:rPr>
          <w:color w:val="333333"/>
          <w:w w:val="110"/>
          <w:sz w:val="21"/>
        </w:rPr>
        <w:t>of</w:t>
      </w:r>
      <w:r>
        <w:rPr>
          <w:color w:val="333333"/>
          <w:spacing w:val="-8"/>
          <w:w w:val="110"/>
          <w:sz w:val="21"/>
        </w:rPr>
        <w:t xml:space="preserve"> </w:t>
      </w:r>
      <w:r>
        <w:rPr>
          <w:rFonts w:ascii="MS Gothic" w:hAnsi="MS Gothic"/>
          <w:color w:val="B02045"/>
          <w:w w:val="110"/>
          <w:sz w:val="21"/>
        </w:rPr>
        <w:t>ContentNegotiatingViewResolver</w:t>
      </w:r>
      <w:r>
        <w:rPr>
          <w:rFonts w:ascii="MS Gothic" w:hAnsi="MS Gothic"/>
          <w:color w:val="B02045"/>
          <w:spacing w:val="-73"/>
          <w:w w:val="110"/>
          <w:sz w:val="21"/>
        </w:rPr>
        <w:t xml:space="preserve"> </w:t>
      </w:r>
      <w:r>
        <w:rPr>
          <w:color w:val="333333"/>
          <w:w w:val="110"/>
          <w:sz w:val="21"/>
        </w:rPr>
        <w:t>and</w:t>
      </w:r>
      <w:r>
        <w:rPr>
          <w:color w:val="333333"/>
          <w:spacing w:val="-8"/>
          <w:w w:val="110"/>
          <w:sz w:val="21"/>
        </w:rPr>
        <w:t xml:space="preserve"> </w:t>
      </w:r>
      <w:r>
        <w:rPr>
          <w:rFonts w:ascii="MS Gothic" w:hAnsi="MS Gothic"/>
          <w:color w:val="B02045"/>
          <w:w w:val="110"/>
          <w:sz w:val="21"/>
        </w:rPr>
        <w:t>BeanNameViewResolver</w:t>
      </w:r>
      <w:r>
        <w:rPr>
          <w:rFonts w:ascii="MS Gothic" w:hAnsi="MS Gothic"/>
          <w:color w:val="B02045"/>
          <w:spacing w:val="-72"/>
          <w:w w:val="110"/>
          <w:sz w:val="21"/>
        </w:rPr>
        <w:t xml:space="preserve"> </w:t>
      </w:r>
      <w:r>
        <w:rPr>
          <w:color w:val="333333"/>
          <w:w w:val="110"/>
          <w:sz w:val="21"/>
        </w:rPr>
        <w:t>beans.</w:t>
      </w:r>
    </w:p>
    <w:p w14:paraId="058DFDD0" w14:textId="77777777" w:rsidR="00A720EB" w:rsidRDefault="0030286B">
      <w:pPr>
        <w:pStyle w:val="a6"/>
        <w:numPr>
          <w:ilvl w:val="0"/>
          <w:numId w:val="51"/>
        </w:numPr>
        <w:tabs>
          <w:tab w:val="left" w:pos="485"/>
        </w:tabs>
        <w:spacing w:before="177" w:line="307" w:lineRule="auto"/>
        <w:ind w:right="122"/>
        <w:rPr>
          <w:sz w:val="21"/>
        </w:rPr>
      </w:pPr>
      <w:r>
        <w:rPr>
          <w:color w:val="333333"/>
          <w:w w:val="110"/>
          <w:sz w:val="21"/>
        </w:rPr>
        <w:t xml:space="preserve">Support for serving static resources, including support for </w:t>
      </w:r>
      <w:r>
        <w:rPr>
          <w:color w:val="333333"/>
          <w:spacing w:val="-3"/>
          <w:w w:val="110"/>
          <w:sz w:val="21"/>
        </w:rPr>
        <w:t xml:space="preserve">WebJars </w:t>
      </w:r>
      <w:r>
        <w:rPr>
          <w:color w:val="333333"/>
          <w:w w:val="110"/>
          <w:sz w:val="21"/>
        </w:rPr>
        <w:t xml:space="preserve">(covered </w:t>
      </w:r>
      <w:hyperlink w:anchor="_bookmark152" w:history="1">
        <w:r>
          <w:rPr>
            <w:color w:val="418BCA"/>
            <w:w w:val="110"/>
            <w:sz w:val="21"/>
          </w:rPr>
          <w:t>later in this</w:t>
        </w:r>
      </w:hyperlink>
      <w:r>
        <w:rPr>
          <w:color w:val="418BCA"/>
          <w:w w:val="110"/>
          <w:sz w:val="21"/>
        </w:rPr>
        <w:t xml:space="preserve"> </w:t>
      </w:r>
      <w:hyperlink w:anchor="_bookmark152" w:history="1">
        <w:r>
          <w:rPr>
            <w:color w:val="418BCA"/>
            <w:w w:val="110"/>
            <w:sz w:val="21"/>
          </w:rPr>
          <w:t>document</w:t>
        </w:r>
      </w:hyperlink>
      <w:r>
        <w:rPr>
          <w:color w:val="333333"/>
          <w:w w:val="110"/>
          <w:sz w:val="21"/>
        </w:rPr>
        <w:t>)).</w:t>
      </w:r>
    </w:p>
    <w:p w14:paraId="334EC438" w14:textId="77777777" w:rsidR="00A720EB" w:rsidRDefault="0030286B">
      <w:pPr>
        <w:pStyle w:val="a6"/>
        <w:numPr>
          <w:ilvl w:val="0"/>
          <w:numId w:val="51"/>
        </w:numPr>
        <w:tabs>
          <w:tab w:val="left" w:pos="485"/>
        </w:tabs>
        <w:spacing w:before="110"/>
        <w:rPr>
          <w:sz w:val="21"/>
        </w:rPr>
      </w:pPr>
      <w:r>
        <w:rPr>
          <w:color w:val="333333"/>
          <w:w w:val="110"/>
          <w:sz w:val="21"/>
        </w:rPr>
        <w:t xml:space="preserve">Automatic registration of </w:t>
      </w:r>
      <w:r>
        <w:rPr>
          <w:rFonts w:ascii="MS Gothic" w:hAnsi="MS Gothic"/>
          <w:color w:val="B02045"/>
          <w:w w:val="110"/>
          <w:sz w:val="21"/>
        </w:rPr>
        <w:t>Converter</w:t>
      </w:r>
      <w:r>
        <w:rPr>
          <w:color w:val="333333"/>
          <w:w w:val="110"/>
          <w:sz w:val="21"/>
        </w:rPr>
        <w:t xml:space="preserve">, </w:t>
      </w:r>
      <w:r>
        <w:rPr>
          <w:rFonts w:ascii="MS Gothic" w:hAnsi="MS Gothic"/>
          <w:color w:val="B02045"/>
          <w:w w:val="110"/>
          <w:sz w:val="21"/>
        </w:rPr>
        <w:t>GenericConverter</w:t>
      </w:r>
      <w:r>
        <w:rPr>
          <w:color w:val="333333"/>
          <w:w w:val="110"/>
          <w:sz w:val="21"/>
        </w:rPr>
        <w:t xml:space="preserve">, and </w:t>
      </w:r>
      <w:r>
        <w:rPr>
          <w:rFonts w:ascii="MS Gothic" w:hAnsi="MS Gothic"/>
          <w:color w:val="B02045"/>
          <w:w w:val="110"/>
          <w:sz w:val="21"/>
        </w:rPr>
        <w:t>Formatter</w:t>
      </w:r>
      <w:r>
        <w:rPr>
          <w:rFonts w:ascii="MS Gothic" w:hAnsi="MS Gothic"/>
          <w:color w:val="B02045"/>
          <w:spacing w:val="-87"/>
          <w:w w:val="110"/>
          <w:sz w:val="21"/>
        </w:rPr>
        <w:t xml:space="preserve"> </w:t>
      </w:r>
      <w:r>
        <w:rPr>
          <w:color w:val="333333"/>
          <w:w w:val="110"/>
          <w:sz w:val="21"/>
        </w:rPr>
        <w:t>beans.</w:t>
      </w:r>
    </w:p>
    <w:p w14:paraId="6FCA5FE6" w14:textId="77777777" w:rsidR="00A720EB" w:rsidRDefault="0030286B">
      <w:pPr>
        <w:pStyle w:val="a6"/>
        <w:numPr>
          <w:ilvl w:val="0"/>
          <w:numId w:val="51"/>
        </w:numPr>
        <w:tabs>
          <w:tab w:val="left" w:pos="485"/>
        </w:tabs>
        <w:spacing w:before="167"/>
        <w:rPr>
          <w:sz w:val="21"/>
        </w:rPr>
      </w:pPr>
      <w:r>
        <w:rPr>
          <w:color w:val="333333"/>
          <w:w w:val="110"/>
          <w:sz w:val="21"/>
        </w:rPr>
        <w:t xml:space="preserve">Support for </w:t>
      </w:r>
      <w:r>
        <w:rPr>
          <w:rFonts w:ascii="MS Gothic" w:hAnsi="MS Gothic"/>
          <w:color w:val="B02045"/>
          <w:w w:val="110"/>
          <w:sz w:val="21"/>
        </w:rPr>
        <w:t>HttpMessageConverters</w:t>
      </w:r>
      <w:r>
        <w:rPr>
          <w:rFonts w:ascii="MS Gothic" w:hAnsi="MS Gothic"/>
          <w:color w:val="B02045"/>
          <w:spacing w:val="-67"/>
          <w:w w:val="110"/>
          <w:sz w:val="21"/>
        </w:rPr>
        <w:t xml:space="preserve"> </w:t>
      </w:r>
      <w:r>
        <w:rPr>
          <w:color w:val="333333"/>
          <w:w w:val="110"/>
          <w:sz w:val="21"/>
        </w:rPr>
        <w:t xml:space="preserve">(covered </w:t>
      </w:r>
      <w:hyperlink w:anchor="_bookmark149" w:history="1">
        <w:r>
          <w:rPr>
            <w:color w:val="418BCA"/>
            <w:w w:val="110"/>
            <w:sz w:val="21"/>
          </w:rPr>
          <w:t>later in this document</w:t>
        </w:r>
      </w:hyperlink>
      <w:r>
        <w:rPr>
          <w:color w:val="333333"/>
          <w:w w:val="110"/>
          <w:sz w:val="21"/>
        </w:rPr>
        <w:t>).</w:t>
      </w:r>
    </w:p>
    <w:p w14:paraId="41CDE64D" w14:textId="77777777" w:rsidR="00A720EB" w:rsidRDefault="00A720EB">
      <w:pPr>
        <w:rPr>
          <w:sz w:val="21"/>
        </w:rPr>
        <w:sectPr w:rsidR="00A720EB">
          <w:pgSz w:w="11910" w:h="16840"/>
          <w:pgMar w:top="620" w:right="840" w:bottom="520" w:left="840" w:header="0" w:footer="323" w:gutter="0"/>
          <w:cols w:space="720"/>
        </w:sectPr>
      </w:pPr>
    </w:p>
    <w:p w14:paraId="1308F99B" w14:textId="77777777" w:rsidR="00A720EB" w:rsidRDefault="0030286B">
      <w:pPr>
        <w:pStyle w:val="a6"/>
        <w:numPr>
          <w:ilvl w:val="0"/>
          <w:numId w:val="51"/>
        </w:numPr>
        <w:tabs>
          <w:tab w:val="left" w:pos="485"/>
        </w:tabs>
        <w:spacing w:before="91"/>
        <w:rPr>
          <w:sz w:val="21"/>
        </w:rPr>
      </w:pPr>
      <w:r>
        <w:rPr>
          <w:color w:val="333333"/>
          <w:w w:val="110"/>
          <w:sz w:val="21"/>
        </w:rPr>
        <w:lastRenderedPageBreak/>
        <w:t xml:space="preserve">Automatic registration of </w:t>
      </w:r>
      <w:r>
        <w:rPr>
          <w:rFonts w:ascii="MS Gothic" w:hAnsi="MS Gothic"/>
          <w:color w:val="B02045"/>
          <w:w w:val="110"/>
          <w:sz w:val="21"/>
        </w:rPr>
        <w:t>MessageCodesResolver</w:t>
      </w:r>
      <w:r>
        <w:rPr>
          <w:rFonts w:ascii="MS Gothic" w:hAnsi="MS Gothic"/>
          <w:color w:val="B02045"/>
          <w:spacing w:val="-80"/>
          <w:w w:val="110"/>
          <w:sz w:val="21"/>
        </w:rPr>
        <w:t xml:space="preserve"> </w:t>
      </w:r>
      <w:r>
        <w:rPr>
          <w:color w:val="333333"/>
          <w:w w:val="110"/>
          <w:sz w:val="21"/>
        </w:rPr>
        <w:t xml:space="preserve">(covered </w:t>
      </w:r>
      <w:hyperlink w:anchor="_bookmark151" w:history="1">
        <w:r>
          <w:rPr>
            <w:color w:val="418BCA"/>
            <w:w w:val="110"/>
            <w:sz w:val="21"/>
          </w:rPr>
          <w:t>later in this document</w:t>
        </w:r>
      </w:hyperlink>
      <w:r>
        <w:rPr>
          <w:color w:val="333333"/>
          <w:w w:val="110"/>
          <w:sz w:val="21"/>
        </w:rPr>
        <w:t>).</w:t>
      </w:r>
    </w:p>
    <w:p w14:paraId="5A5C7CC8" w14:textId="77777777" w:rsidR="00A720EB" w:rsidRDefault="0030286B">
      <w:pPr>
        <w:pStyle w:val="a6"/>
        <w:numPr>
          <w:ilvl w:val="0"/>
          <w:numId w:val="51"/>
        </w:numPr>
        <w:tabs>
          <w:tab w:val="left" w:pos="485"/>
        </w:tabs>
        <w:spacing w:before="167"/>
        <w:rPr>
          <w:sz w:val="21"/>
        </w:rPr>
      </w:pPr>
      <w:r>
        <w:rPr>
          <w:color w:val="333333"/>
          <w:w w:val="110"/>
          <w:sz w:val="21"/>
        </w:rPr>
        <w:t xml:space="preserve">Static </w:t>
      </w:r>
      <w:r>
        <w:rPr>
          <w:rFonts w:ascii="MS Gothic" w:hAnsi="MS Gothic"/>
          <w:color w:val="B02045"/>
          <w:w w:val="110"/>
          <w:sz w:val="21"/>
        </w:rPr>
        <w:t>index.html</w:t>
      </w:r>
      <w:r>
        <w:rPr>
          <w:rFonts w:ascii="MS Gothic" w:hAnsi="MS Gothic"/>
          <w:color w:val="B02045"/>
          <w:spacing w:val="-59"/>
          <w:w w:val="110"/>
          <w:sz w:val="21"/>
        </w:rPr>
        <w:t xml:space="preserve"> </w:t>
      </w:r>
      <w:r>
        <w:rPr>
          <w:color w:val="333333"/>
          <w:w w:val="110"/>
          <w:sz w:val="21"/>
        </w:rPr>
        <w:t>support.</w:t>
      </w:r>
    </w:p>
    <w:p w14:paraId="292BFDD1" w14:textId="77777777" w:rsidR="00A720EB" w:rsidRDefault="0030286B">
      <w:pPr>
        <w:pStyle w:val="a6"/>
        <w:numPr>
          <w:ilvl w:val="0"/>
          <w:numId w:val="51"/>
        </w:numPr>
        <w:tabs>
          <w:tab w:val="left" w:pos="485"/>
        </w:tabs>
        <w:spacing w:before="166"/>
        <w:rPr>
          <w:sz w:val="21"/>
        </w:rPr>
      </w:pPr>
      <w:r>
        <w:rPr>
          <w:color w:val="333333"/>
          <w:w w:val="110"/>
          <w:sz w:val="21"/>
        </w:rPr>
        <w:t xml:space="preserve">Custom </w:t>
      </w:r>
      <w:r>
        <w:rPr>
          <w:rFonts w:ascii="MS Gothic" w:hAnsi="MS Gothic"/>
          <w:color w:val="B02045"/>
          <w:w w:val="110"/>
          <w:sz w:val="21"/>
        </w:rPr>
        <w:t>Favicon</w:t>
      </w:r>
      <w:r>
        <w:rPr>
          <w:rFonts w:ascii="MS Gothic" w:hAnsi="MS Gothic"/>
          <w:color w:val="B02045"/>
          <w:spacing w:val="-50"/>
          <w:w w:val="110"/>
          <w:sz w:val="21"/>
        </w:rPr>
        <w:t xml:space="preserve"> </w:t>
      </w:r>
      <w:r>
        <w:rPr>
          <w:color w:val="333333"/>
          <w:w w:val="110"/>
          <w:sz w:val="21"/>
        </w:rPr>
        <w:t xml:space="preserve">support (covered </w:t>
      </w:r>
      <w:hyperlink w:anchor="_bookmark154" w:history="1">
        <w:r>
          <w:rPr>
            <w:color w:val="418BCA"/>
            <w:w w:val="110"/>
            <w:sz w:val="21"/>
          </w:rPr>
          <w:t>later in this document</w:t>
        </w:r>
      </w:hyperlink>
      <w:r>
        <w:rPr>
          <w:color w:val="333333"/>
          <w:w w:val="110"/>
          <w:sz w:val="21"/>
        </w:rPr>
        <w:t>).</w:t>
      </w:r>
    </w:p>
    <w:p w14:paraId="17B509C1" w14:textId="77777777" w:rsidR="00A720EB" w:rsidRDefault="0030286B">
      <w:pPr>
        <w:pStyle w:val="a6"/>
        <w:numPr>
          <w:ilvl w:val="0"/>
          <w:numId w:val="51"/>
        </w:numPr>
        <w:tabs>
          <w:tab w:val="left" w:pos="485"/>
        </w:tabs>
        <w:spacing w:before="167"/>
        <w:rPr>
          <w:sz w:val="21"/>
        </w:rPr>
      </w:pPr>
      <w:r>
        <w:rPr>
          <w:color w:val="333333"/>
          <w:w w:val="110"/>
          <w:sz w:val="21"/>
        </w:rPr>
        <w:t>Automatic</w:t>
      </w:r>
      <w:r>
        <w:rPr>
          <w:color w:val="333333"/>
          <w:spacing w:val="-14"/>
          <w:w w:val="110"/>
          <w:sz w:val="21"/>
        </w:rPr>
        <w:t xml:space="preserve"> </w:t>
      </w:r>
      <w:r>
        <w:rPr>
          <w:color w:val="333333"/>
          <w:w w:val="110"/>
          <w:sz w:val="21"/>
        </w:rPr>
        <w:t>use</w:t>
      </w:r>
      <w:r>
        <w:rPr>
          <w:color w:val="333333"/>
          <w:spacing w:val="-14"/>
          <w:w w:val="110"/>
          <w:sz w:val="21"/>
        </w:rPr>
        <w:t xml:space="preserve"> </w:t>
      </w:r>
      <w:r>
        <w:rPr>
          <w:color w:val="333333"/>
          <w:w w:val="110"/>
          <w:sz w:val="21"/>
        </w:rPr>
        <w:t>of</w:t>
      </w:r>
      <w:r>
        <w:rPr>
          <w:color w:val="333333"/>
          <w:spacing w:val="-13"/>
          <w:w w:val="110"/>
          <w:sz w:val="21"/>
        </w:rPr>
        <w:t xml:space="preserve"> </w:t>
      </w:r>
      <w:r>
        <w:rPr>
          <w:color w:val="333333"/>
          <w:w w:val="110"/>
          <w:sz w:val="21"/>
        </w:rPr>
        <w:t>a</w:t>
      </w:r>
      <w:r>
        <w:rPr>
          <w:color w:val="333333"/>
          <w:spacing w:val="-12"/>
          <w:w w:val="110"/>
          <w:sz w:val="21"/>
        </w:rPr>
        <w:t xml:space="preserve"> </w:t>
      </w:r>
      <w:r>
        <w:rPr>
          <w:rFonts w:ascii="MS Gothic" w:hAnsi="MS Gothic"/>
          <w:color w:val="B02045"/>
          <w:w w:val="110"/>
          <w:sz w:val="21"/>
        </w:rPr>
        <w:t>ConfigurableWebBindingInitializer</w:t>
      </w:r>
      <w:r>
        <w:rPr>
          <w:rFonts w:ascii="MS Gothic" w:hAnsi="MS Gothic"/>
          <w:color w:val="B02045"/>
          <w:spacing w:val="-78"/>
          <w:w w:val="110"/>
          <w:sz w:val="21"/>
        </w:rPr>
        <w:t xml:space="preserve"> </w:t>
      </w:r>
      <w:r>
        <w:rPr>
          <w:color w:val="333333"/>
          <w:w w:val="110"/>
          <w:sz w:val="21"/>
        </w:rPr>
        <w:t>bean</w:t>
      </w:r>
      <w:r>
        <w:rPr>
          <w:color w:val="333333"/>
          <w:spacing w:val="-14"/>
          <w:w w:val="110"/>
          <w:sz w:val="21"/>
        </w:rPr>
        <w:t xml:space="preserve"> </w:t>
      </w:r>
      <w:r>
        <w:rPr>
          <w:color w:val="333333"/>
          <w:w w:val="110"/>
          <w:sz w:val="21"/>
        </w:rPr>
        <w:t>(covered</w:t>
      </w:r>
      <w:r>
        <w:rPr>
          <w:color w:val="333333"/>
          <w:spacing w:val="-12"/>
          <w:w w:val="110"/>
          <w:sz w:val="21"/>
        </w:rPr>
        <w:t xml:space="preserve"> </w:t>
      </w:r>
      <w:hyperlink w:anchor="_bookmark156" w:history="1">
        <w:r>
          <w:rPr>
            <w:color w:val="418BCA"/>
            <w:w w:val="110"/>
            <w:sz w:val="21"/>
          </w:rPr>
          <w:t>later</w:t>
        </w:r>
        <w:r>
          <w:rPr>
            <w:color w:val="418BCA"/>
            <w:spacing w:val="-13"/>
            <w:w w:val="110"/>
            <w:sz w:val="21"/>
          </w:rPr>
          <w:t xml:space="preserve"> </w:t>
        </w:r>
        <w:r>
          <w:rPr>
            <w:color w:val="418BCA"/>
            <w:w w:val="110"/>
            <w:sz w:val="21"/>
          </w:rPr>
          <w:t>in</w:t>
        </w:r>
        <w:r>
          <w:rPr>
            <w:color w:val="418BCA"/>
            <w:spacing w:val="-14"/>
            <w:w w:val="110"/>
            <w:sz w:val="21"/>
          </w:rPr>
          <w:t xml:space="preserve"> </w:t>
        </w:r>
        <w:r>
          <w:rPr>
            <w:color w:val="418BCA"/>
            <w:w w:val="110"/>
            <w:sz w:val="21"/>
          </w:rPr>
          <w:t>this</w:t>
        </w:r>
        <w:r>
          <w:rPr>
            <w:color w:val="418BCA"/>
            <w:spacing w:val="-13"/>
            <w:w w:val="110"/>
            <w:sz w:val="21"/>
          </w:rPr>
          <w:t xml:space="preserve"> </w:t>
        </w:r>
        <w:r>
          <w:rPr>
            <w:color w:val="418BCA"/>
            <w:w w:val="110"/>
            <w:sz w:val="21"/>
          </w:rPr>
          <w:t>document</w:t>
        </w:r>
      </w:hyperlink>
      <w:r>
        <w:rPr>
          <w:color w:val="333333"/>
          <w:w w:val="110"/>
          <w:sz w:val="21"/>
        </w:rPr>
        <w:t>).</w:t>
      </w:r>
    </w:p>
    <w:p w14:paraId="1743E7E4" w14:textId="77777777" w:rsidR="00A720EB" w:rsidRDefault="00A720EB">
      <w:pPr>
        <w:pStyle w:val="a3"/>
        <w:spacing w:before="4"/>
        <w:rPr>
          <w:sz w:val="25"/>
        </w:rPr>
      </w:pPr>
    </w:p>
    <w:p w14:paraId="2323C0D7" w14:textId="77777777" w:rsidR="00A720EB" w:rsidRDefault="0030286B">
      <w:pPr>
        <w:pStyle w:val="a3"/>
        <w:spacing w:line="297" w:lineRule="auto"/>
        <w:ind w:left="124" w:right="122"/>
        <w:jc w:val="both"/>
      </w:pPr>
      <w:r>
        <w:rPr>
          <w:color w:val="333333"/>
          <w:w w:val="110"/>
        </w:rPr>
        <w:t xml:space="preserve">If you want to keep those Spring Boot MVC customizations and make more </w:t>
      </w:r>
      <w:hyperlink r:id="rId125" w:anchor="mvc">
        <w:r>
          <w:rPr>
            <w:color w:val="418BCA"/>
            <w:w w:val="110"/>
          </w:rPr>
          <w:t>MVC customizations</w:t>
        </w:r>
      </w:hyperlink>
      <w:r>
        <w:rPr>
          <w:color w:val="418BCA"/>
          <w:w w:val="110"/>
        </w:rPr>
        <w:t xml:space="preserve"> </w:t>
      </w:r>
      <w:r>
        <w:rPr>
          <w:color w:val="333333"/>
          <w:w w:val="110"/>
        </w:rPr>
        <w:t xml:space="preserve">(interceptors, formatters, view controllers, and other features), you can add your  own </w:t>
      </w:r>
      <w:r>
        <w:rPr>
          <w:rFonts w:ascii="MS Gothic"/>
          <w:color w:val="B02045"/>
          <w:w w:val="110"/>
        </w:rPr>
        <w:t>@Configuration</w:t>
      </w:r>
      <w:r>
        <w:rPr>
          <w:rFonts w:ascii="MS Gothic"/>
          <w:color w:val="B02045"/>
          <w:spacing w:val="-70"/>
          <w:w w:val="110"/>
        </w:rPr>
        <w:t xml:space="preserve"> </w:t>
      </w:r>
      <w:r>
        <w:rPr>
          <w:color w:val="333333"/>
          <w:w w:val="110"/>
        </w:rPr>
        <w:t xml:space="preserve">class of type </w:t>
      </w:r>
      <w:r>
        <w:rPr>
          <w:rFonts w:ascii="MS Gothic"/>
          <w:color w:val="B02045"/>
          <w:w w:val="110"/>
        </w:rPr>
        <w:t>WebMvcConfigurer</w:t>
      </w:r>
      <w:r>
        <w:rPr>
          <w:rFonts w:ascii="MS Gothic"/>
          <w:color w:val="B02045"/>
          <w:spacing w:val="-69"/>
          <w:w w:val="110"/>
        </w:rPr>
        <w:t xml:space="preserve"> </w:t>
      </w:r>
      <w:r>
        <w:rPr>
          <w:color w:val="333333"/>
          <w:w w:val="110"/>
        </w:rPr>
        <w:t xml:space="preserve">but </w:t>
      </w:r>
      <w:r>
        <w:rPr>
          <w:rFonts w:ascii="Palatino Linotype"/>
          <w:b/>
          <w:color w:val="333333"/>
          <w:w w:val="110"/>
        </w:rPr>
        <w:t xml:space="preserve">without </w:t>
      </w:r>
      <w:r>
        <w:rPr>
          <w:rFonts w:ascii="MS Gothic"/>
          <w:color w:val="B02045"/>
          <w:w w:val="110"/>
        </w:rPr>
        <w:t>@EnableWebMvc</w:t>
      </w:r>
      <w:r>
        <w:rPr>
          <w:color w:val="333333"/>
          <w:w w:val="110"/>
        </w:rPr>
        <w:t>.</w:t>
      </w:r>
    </w:p>
    <w:p w14:paraId="2DA9B59F" w14:textId="77777777" w:rsidR="00A720EB" w:rsidRDefault="0030286B">
      <w:pPr>
        <w:pStyle w:val="a3"/>
        <w:spacing w:before="214" w:line="285" w:lineRule="auto"/>
        <w:ind w:left="124" w:right="122"/>
        <w:jc w:val="both"/>
      </w:pPr>
      <w:proofErr w:type="gramStart"/>
      <w:r>
        <w:rPr>
          <w:color w:val="333333"/>
          <w:w w:val="110"/>
        </w:rPr>
        <w:t>If  you</w:t>
      </w:r>
      <w:proofErr w:type="gramEnd"/>
      <w:r>
        <w:rPr>
          <w:color w:val="333333"/>
          <w:w w:val="110"/>
        </w:rPr>
        <w:t xml:space="preserve">  want  to  provide  custom  instances  of  </w:t>
      </w:r>
      <w:r>
        <w:rPr>
          <w:rFonts w:ascii="MS Gothic"/>
          <w:color w:val="B02045"/>
          <w:w w:val="110"/>
        </w:rPr>
        <w:t>RequestMappingHandlerMapping</w:t>
      </w:r>
      <w:r>
        <w:rPr>
          <w:color w:val="333333"/>
          <w:w w:val="110"/>
        </w:rPr>
        <w:t xml:space="preserve">, </w:t>
      </w:r>
      <w:r>
        <w:rPr>
          <w:rFonts w:ascii="MS Gothic"/>
          <w:color w:val="B02045"/>
          <w:w w:val="105"/>
        </w:rPr>
        <w:t>RequestMappingHandlerAdapter</w:t>
      </w:r>
      <w:r>
        <w:rPr>
          <w:color w:val="333333"/>
          <w:w w:val="105"/>
        </w:rPr>
        <w:t xml:space="preserve">, or </w:t>
      </w:r>
      <w:r>
        <w:rPr>
          <w:rFonts w:ascii="MS Gothic"/>
          <w:color w:val="B02045"/>
          <w:w w:val="105"/>
        </w:rPr>
        <w:t>ExceptionHandlerExceptionResolver</w:t>
      </w:r>
      <w:r>
        <w:rPr>
          <w:color w:val="333333"/>
          <w:w w:val="105"/>
        </w:rPr>
        <w:t xml:space="preserve">, and still keep the Spring Boot </w:t>
      </w:r>
      <w:r>
        <w:rPr>
          <w:color w:val="333333"/>
          <w:w w:val="110"/>
        </w:rPr>
        <w:t xml:space="preserve">MVC customizations, you can declare a bean of type </w:t>
      </w:r>
      <w:r>
        <w:rPr>
          <w:rFonts w:ascii="MS Gothic"/>
          <w:color w:val="B02045"/>
          <w:w w:val="110"/>
        </w:rPr>
        <w:t xml:space="preserve">WebMvcRegistrations </w:t>
      </w:r>
      <w:r>
        <w:rPr>
          <w:color w:val="333333"/>
          <w:w w:val="110"/>
        </w:rPr>
        <w:t>and use it to provide custom instances of those components.</w:t>
      </w:r>
    </w:p>
    <w:p w14:paraId="62A97378" w14:textId="77777777" w:rsidR="00A720EB" w:rsidRDefault="0030286B">
      <w:pPr>
        <w:pStyle w:val="a3"/>
        <w:spacing w:before="249" w:line="280" w:lineRule="auto"/>
        <w:ind w:left="124" w:right="122"/>
        <w:jc w:val="both"/>
      </w:pPr>
      <w:r>
        <w:rPr>
          <w:color w:val="333333"/>
          <w:w w:val="110"/>
        </w:rPr>
        <w:t xml:space="preserve">If you want to take complete control of Spring MVC, you can add your own </w:t>
      </w:r>
      <w:r>
        <w:rPr>
          <w:rFonts w:ascii="MS Gothic"/>
          <w:color w:val="B02045"/>
          <w:w w:val="110"/>
        </w:rPr>
        <w:t xml:space="preserve">@Configuration </w:t>
      </w:r>
      <w:r>
        <w:rPr>
          <w:color w:val="333333"/>
          <w:w w:val="110"/>
        </w:rPr>
        <w:t xml:space="preserve">annotated with </w:t>
      </w:r>
      <w:r>
        <w:rPr>
          <w:rFonts w:ascii="MS Gothic"/>
          <w:color w:val="B02045"/>
          <w:w w:val="110"/>
        </w:rPr>
        <w:t>@EnableWebMvc</w:t>
      </w:r>
      <w:r>
        <w:rPr>
          <w:color w:val="333333"/>
          <w:w w:val="110"/>
        </w:rPr>
        <w:t xml:space="preserve">, or alternatively add your own </w:t>
      </w:r>
      <w:r>
        <w:rPr>
          <w:rFonts w:ascii="MS Gothic"/>
          <w:color w:val="B02045"/>
          <w:w w:val="110"/>
        </w:rPr>
        <w:t>@Configuration</w:t>
      </w:r>
      <w:r>
        <w:rPr>
          <w:color w:val="333333"/>
          <w:w w:val="110"/>
        </w:rPr>
        <w:t xml:space="preserve">-annotated </w:t>
      </w:r>
      <w:r>
        <w:rPr>
          <w:rFonts w:ascii="MS Gothic"/>
          <w:color w:val="B02045"/>
          <w:w w:val="110"/>
        </w:rPr>
        <w:t>DelegatingWebMvcConfiguration</w:t>
      </w:r>
      <w:r>
        <w:rPr>
          <w:rFonts w:ascii="MS Gothic"/>
          <w:color w:val="B02045"/>
          <w:spacing w:val="-95"/>
          <w:w w:val="110"/>
        </w:rPr>
        <w:t xml:space="preserve"> </w:t>
      </w:r>
      <w:r>
        <w:rPr>
          <w:color w:val="333333"/>
          <w:w w:val="110"/>
        </w:rPr>
        <w:t xml:space="preserve">as described in the Javadoc of </w:t>
      </w:r>
      <w:r>
        <w:rPr>
          <w:rFonts w:ascii="MS Gothic"/>
          <w:color w:val="B02045"/>
          <w:w w:val="110"/>
        </w:rPr>
        <w:t>@EnableWebMvc</w:t>
      </w:r>
      <w:r>
        <w:rPr>
          <w:color w:val="333333"/>
          <w:w w:val="110"/>
        </w:rPr>
        <w:t>.</w:t>
      </w:r>
    </w:p>
    <w:p w14:paraId="19BFB337" w14:textId="77777777" w:rsidR="00A720EB" w:rsidRDefault="00A720EB">
      <w:pPr>
        <w:pStyle w:val="a3"/>
        <w:spacing w:before="8"/>
        <w:rPr>
          <w:sz w:val="26"/>
        </w:rPr>
      </w:pPr>
    </w:p>
    <w:p w14:paraId="6A4AF8AE" w14:textId="77777777" w:rsidR="00A720EB" w:rsidRDefault="0030286B">
      <w:pPr>
        <w:pStyle w:val="4"/>
        <w:jc w:val="left"/>
      </w:pPr>
      <w:bookmarkStart w:id="248" w:name="HttpMessageConverters"/>
      <w:bookmarkEnd w:id="248"/>
      <w:r>
        <w:rPr>
          <w:color w:val="333333"/>
          <w:w w:val="110"/>
        </w:rPr>
        <w:t>HttpMessageConverters</w:t>
      </w:r>
    </w:p>
    <w:p w14:paraId="593311C9" w14:textId="77777777" w:rsidR="00A720EB" w:rsidRDefault="0030286B">
      <w:pPr>
        <w:pStyle w:val="a3"/>
        <w:spacing w:before="244" w:line="295" w:lineRule="auto"/>
        <w:ind w:left="124" w:right="122"/>
        <w:jc w:val="both"/>
      </w:pPr>
      <w:r>
        <w:rPr>
          <w:color w:val="333333"/>
          <w:w w:val="110"/>
        </w:rPr>
        <w:t xml:space="preserve">Spring MVC uses the </w:t>
      </w:r>
      <w:r>
        <w:rPr>
          <w:rFonts w:ascii="MS Gothic"/>
          <w:color w:val="B02045"/>
          <w:w w:val="110"/>
        </w:rPr>
        <w:t xml:space="preserve">HttpMessageConverter </w:t>
      </w:r>
      <w:r>
        <w:rPr>
          <w:color w:val="333333"/>
          <w:w w:val="110"/>
        </w:rPr>
        <w:t xml:space="preserve">interface to convert HTTP requests and responses. Sensible defaults are included out of the box. </w:t>
      </w:r>
      <w:proofErr w:type="gramStart"/>
      <w:r>
        <w:rPr>
          <w:color w:val="333333"/>
          <w:spacing w:val="-4"/>
          <w:w w:val="110"/>
        </w:rPr>
        <w:t xml:space="preserve">For  </w:t>
      </w:r>
      <w:r>
        <w:rPr>
          <w:color w:val="333333"/>
          <w:w w:val="110"/>
        </w:rPr>
        <w:t>example</w:t>
      </w:r>
      <w:proofErr w:type="gramEnd"/>
      <w:r>
        <w:rPr>
          <w:color w:val="333333"/>
          <w:w w:val="110"/>
        </w:rPr>
        <w:t xml:space="preserve">, objects can be automatically converted    to JSON (by using the Jackson library) or XML (by using the Jackson XML extension, if available, or   </w:t>
      </w:r>
      <w:r>
        <w:rPr>
          <w:color w:val="333333"/>
          <w:spacing w:val="-3"/>
          <w:w w:val="110"/>
        </w:rPr>
        <w:t xml:space="preserve">by </w:t>
      </w:r>
      <w:r>
        <w:rPr>
          <w:color w:val="333333"/>
          <w:w w:val="110"/>
        </w:rPr>
        <w:t xml:space="preserve">using JAXB if the Jackson XML extension is not available). </w:t>
      </w:r>
      <w:r>
        <w:rPr>
          <w:color w:val="333333"/>
          <w:spacing w:val="-3"/>
          <w:w w:val="110"/>
        </w:rPr>
        <w:t xml:space="preserve">By </w:t>
      </w:r>
      <w:r>
        <w:rPr>
          <w:color w:val="333333"/>
          <w:w w:val="110"/>
        </w:rPr>
        <w:t xml:space="preserve">default, strings are encoded in </w:t>
      </w:r>
      <w:r>
        <w:rPr>
          <w:rFonts w:ascii="MS Gothic"/>
          <w:color w:val="B02045"/>
          <w:w w:val="110"/>
        </w:rPr>
        <w:t>UTF- 8</w:t>
      </w:r>
      <w:r>
        <w:rPr>
          <w:color w:val="333333"/>
          <w:w w:val="110"/>
        </w:rPr>
        <w:t>.</w:t>
      </w:r>
    </w:p>
    <w:p w14:paraId="173E3F69" w14:textId="77777777" w:rsidR="00A720EB" w:rsidRDefault="0030286B">
      <w:pPr>
        <w:pStyle w:val="a3"/>
        <w:spacing w:before="219" w:line="290" w:lineRule="auto"/>
        <w:ind w:left="124" w:right="122"/>
        <w:jc w:val="both"/>
      </w:pPr>
      <w:r>
        <w:rPr>
          <w:color w:val="333333"/>
          <w:w w:val="110"/>
        </w:rPr>
        <w:t xml:space="preserve">If you need to add or customize converters, you can use Spring Boot’s </w:t>
      </w:r>
      <w:r>
        <w:rPr>
          <w:rFonts w:ascii="MS Gothic" w:hAnsi="MS Gothic"/>
          <w:color w:val="B02045"/>
          <w:w w:val="110"/>
        </w:rPr>
        <w:t xml:space="preserve">HttpMessageConverters </w:t>
      </w:r>
      <w:r>
        <w:rPr>
          <w:color w:val="333333"/>
          <w:w w:val="110"/>
        </w:rPr>
        <w:t>class, as shown in the following listing:</w:t>
      </w:r>
    </w:p>
    <w:p w14:paraId="4A136E7E" w14:textId="77777777" w:rsidR="00A720EB" w:rsidRDefault="00E10349">
      <w:pPr>
        <w:pStyle w:val="a3"/>
        <w:spacing w:before="8"/>
        <w:rPr>
          <w:sz w:val="14"/>
        </w:rPr>
      </w:pPr>
      <w:r>
        <w:pict w14:anchorId="661B0BF9">
          <v:group id="_x0000_s4389" style="position:absolute;margin-left:47.85pt;margin-top:10.6pt;width:499.55pt;height:243.85pt;z-index:-15550976;mso-wrap-distance-left:0;mso-wrap-distance-right:0;mso-position-horizontal-relative:page" coordorigin="957,212" coordsize="9991,4877">
            <v:shape id="_x0000_s4392" style="position:absolute;left:964;top:219;width:9976;height:4862" coordorigin="965,219" coordsize="9976,4862" path="m10861,219r-9816,l1014,225r-26,18l971,268r-6,31l965,5001r6,31l988,5058r26,17l1045,5081r9816,l10892,5075r25,-17l10935,5032r6,-31l10941,299r-6,-31l10917,243r-25,-18l10861,219xe" fillcolor="#f5f5f5" stroked="f">
              <v:path arrowok="t"/>
            </v:shape>
            <v:shape id="_x0000_s4391" style="position:absolute;left:964;top:219;width:9976;height:4862" coordorigin="965,219" coordsize="9976,4862" path="m1045,219r9816,l10892,225r25,18l10935,268r6,31l10941,5001r-6,31l10917,5058r-25,17l10861,5081r-9816,l1014,5075r-26,-17l971,5032r-6,-31l965,299r6,-31l988,243r26,-18l1045,219xe" filled="f" strokecolor="#ccc">
              <v:path arrowok="t"/>
            </v:shape>
            <v:shape id="_x0000_s4390" type="#_x0000_t202" style="position:absolute;left:984;top:234;width:9938;height:4832" filled="f" stroked="f">
              <v:textbox inset="0,0,0,0">
                <w:txbxContent>
                  <w:p w14:paraId="1A5C5EC6" w14:textId="77777777" w:rsidR="00711A16" w:rsidRDefault="00711A16">
                    <w:pPr>
                      <w:spacing w:before="221" w:line="252" w:lineRule="auto"/>
                      <w:ind w:left="200" w:right="168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.boot.autoconfigure.http.HttpMessageConverters; import org.springframework.context.annotation.*;</w:t>
                    </w:r>
                  </w:p>
                  <w:p w14:paraId="64ACA34D"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.http.converter.*;</w:t>
                    </w:r>
                  </w:p>
                  <w:p w14:paraId="4E01A4DA" w14:textId="77777777" w:rsidR="00711A16" w:rsidRDefault="00711A16">
                    <w:pPr>
                      <w:rPr>
                        <w:rFonts w:ascii="MS Gothic"/>
                        <w:sz w:val="24"/>
                      </w:rPr>
                    </w:pPr>
                  </w:p>
                  <w:p w14:paraId="301E1DE8" w14:textId="77777777" w:rsidR="00711A16" w:rsidRDefault="00711A16">
                    <w:pPr>
                      <w:spacing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public class MyConfiguration {</w:t>
                    </w:r>
                  </w:p>
                  <w:p w14:paraId="0E6E178A" w14:textId="77777777" w:rsidR="00711A16" w:rsidRDefault="00711A16">
                    <w:pPr>
                      <w:spacing w:before="10"/>
                      <w:rPr>
                        <w:rFonts w:ascii="MS Gothic"/>
                      </w:rPr>
                    </w:pPr>
                  </w:p>
                  <w:p w14:paraId="3089BCD6" w14:textId="77777777" w:rsidR="00711A16" w:rsidRDefault="00711A16">
                    <w:pPr>
                      <w:spacing w:before="1"/>
                      <w:ind w:left="640"/>
                      <w:rPr>
                        <w:rFonts w:ascii="MS Gothic"/>
                      </w:rPr>
                    </w:pPr>
                    <w:r>
                      <w:rPr>
                        <w:rFonts w:ascii="MS Gothic"/>
                        <w:color w:val="333333"/>
                      </w:rPr>
                      <w:t>@Bean</w:t>
                    </w:r>
                  </w:p>
                  <w:p w14:paraId="2F1E1DF5" w14:textId="77777777" w:rsidR="00711A16" w:rsidRDefault="00711A16">
                    <w:pPr>
                      <w:spacing w:before="12" w:line="252" w:lineRule="auto"/>
                      <w:ind w:left="1080" w:right="3888" w:hanging="440"/>
                      <w:rPr>
                        <w:rFonts w:ascii="MS Gothic"/>
                      </w:rPr>
                    </w:pPr>
                    <w:r>
                      <w:rPr>
                        <w:rFonts w:ascii="MS Gothic"/>
                        <w:color w:val="333333"/>
                      </w:rPr>
                      <w:t xml:space="preserve">public HttpMessageConverters </w:t>
                    </w:r>
                    <w:proofErr w:type="gramStart"/>
                    <w:r>
                      <w:rPr>
                        <w:rFonts w:ascii="MS Gothic"/>
                        <w:color w:val="333333"/>
                      </w:rPr>
                      <w:t>customConverters(</w:t>
                    </w:r>
                    <w:proofErr w:type="gramEnd"/>
                    <w:r>
                      <w:rPr>
                        <w:rFonts w:ascii="MS Gothic"/>
                        <w:color w:val="333333"/>
                      </w:rPr>
                      <w:t>) { HttpMessageConverter&lt;?&gt; additional = ...</w:t>
                    </w:r>
                  </w:p>
                  <w:p w14:paraId="31700D08" w14:textId="77777777" w:rsidR="00711A16" w:rsidRDefault="00711A16">
                    <w:pPr>
                      <w:spacing w:line="280" w:lineRule="exact"/>
                      <w:ind w:left="1080"/>
                      <w:rPr>
                        <w:rFonts w:ascii="MS Gothic"/>
                      </w:rPr>
                    </w:pPr>
                    <w:r>
                      <w:rPr>
                        <w:rFonts w:ascii="MS Gothic"/>
                        <w:color w:val="333333"/>
                      </w:rPr>
                      <w:t>HttpMessageConverter&lt;?&gt; another = ...</w:t>
                    </w:r>
                  </w:p>
                  <w:p w14:paraId="32B0BB42" w14:textId="77777777" w:rsidR="00711A16" w:rsidRDefault="00711A16">
                    <w:pPr>
                      <w:spacing w:before="13"/>
                      <w:ind w:left="1080"/>
                      <w:rPr>
                        <w:rFonts w:ascii="MS Gothic"/>
                      </w:rPr>
                    </w:pPr>
                    <w:r>
                      <w:rPr>
                        <w:rFonts w:ascii="MS Gothic"/>
                        <w:color w:val="333333"/>
                      </w:rPr>
                      <w:t xml:space="preserve">return new </w:t>
                    </w:r>
                    <w:proofErr w:type="gramStart"/>
                    <w:r>
                      <w:rPr>
                        <w:rFonts w:ascii="MS Gothic"/>
                        <w:color w:val="333333"/>
                      </w:rPr>
                      <w:t>HttpMessageConverters(</w:t>
                    </w:r>
                    <w:proofErr w:type="gramEnd"/>
                    <w:r>
                      <w:rPr>
                        <w:rFonts w:ascii="MS Gothic"/>
                        <w:color w:val="333333"/>
                      </w:rPr>
                      <w:t>additional, another);</w:t>
                    </w:r>
                  </w:p>
                  <w:p w14:paraId="410C942A" w14:textId="77777777" w:rsidR="00711A16" w:rsidRDefault="00711A16">
                    <w:pPr>
                      <w:spacing w:before="13"/>
                      <w:ind w:left="640"/>
                      <w:rPr>
                        <w:rFonts w:ascii="MS Gothic"/>
                      </w:rPr>
                    </w:pPr>
                    <w:r>
                      <w:rPr>
                        <w:rFonts w:ascii="MS Gothic"/>
                        <w:color w:val="333333"/>
                      </w:rPr>
                      <w:t>}</w:t>
                    </w:r>
                  </w:p>
                  <w:p w14:paraId="1A9CEA26" w14:textId="77777777" w:rsidR="00711A16" w:rsidRDefault="00711A16">
                    <w:pPr>
                      <w:rPr>
                        <w:rFonts w:ascii="MS Gothic"/>
                        <w:sz w:val="24"/>
                      </w:rPr>
                    </w:pPr>
                  </w:p>
                  <w:p w14:paraId="10CF73F2"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6682BF53" w14:textId="77777777" w:rsidR="00A720EB" w:rsidRDefault="00A720EB">
      <w:pPr>
        <w:pStyle w:val="a3"/>
        <w:spacing w:before="11"/>
        <w:rPr>
          <w:sz w:val="9"/>
        </w:rPr>
      </w:pPr>
    </w:p>
    <w:p w14:paraId="40F2AE0A" w14:textId="77777777" w:rsidR="00A720EB" w:rsidRDefault="0030286B">
      <w:pPr>
        <w:pStyle w:val="a3"/>
        <w:spacing w:before="115" w:line="290" w:lineRule="auto"/>
        <w:ind w:left="124"/>
      </w:pPr>
      <w:r>
        <w:rPr>
          <w:color w:val="333333"/>
          <w:w w:val="110"/>
        </w:rPr>
        <w:t xml:space="preserve">Any </w:t>
      </w:r>
      <w:r>
        <w:rPr>
          <w:rFonts w:ascii="MS Gothic"/>
          <w:color w:val="B02045"/>
          <w:w w:val="110"/>
        </w:rPr>
        <w:t xml:space="preserve">HttpMessageConverter </w:t>
      </w:r>
      <w:r>
        <w:rPr>
          <w:color w:val="333333"/>
          <w:w w:val="110"/>
        </w:rPr>
        <w:t>bean that is present in the context is added to the list of converters. You can also override default converters in the same way.</w:t>
      </w:r>
    </w:p>
    <w:p w14:paraId="390B9C23" w14:textId="77777777" w:rsidR="00A720EB" w:rsidRDefault="00A720EB">
      <w:pPr>
        <w:spacing w:line="290" w:lineRule="auto"/>
        <w:sectPr w:rsidR="00A720EB">
          <w:pgSz w:w="11910" w:h="16840"/>
          <w:pgMar w:top="640" w:right="840" w:bottom="520" w:left="840" w:header="0" w:footer="323" w:gutter="0"/>
          <w:cols w:space="720"/>
        </w:sectPr>
      </w:pPr>
    </w:p>
    <w:p w14:paraId="0D71B0C7" w14:textId="77777777" w:rsidR="00A720EB" w:rsidRDefault="0030286B">
      <w:pPr>
        <w:pStyle w:val="4"/>
        <w:spacing w:before="86"/>
      </w:pPr>
      <w:bookmarkStart w:id="249" w:name="Custom_JSON_Serializers_and_Deserializer"/>
      <w:bookmarkEnd w:id="249"/>
      <w:r>
        <w:rPr>
          <w:color w:val="333333"/>
          <w:w w:val="110"/>
        </w:rPr>
        <w:lastRenderedPageBreak/>
        <w:t>Custom JSON Serializers and Deserializers</w:t>
      </w:r>
    </w:p>
    <w:p w14:paraId="5D976F66" w14:textId="77777777" w:rsidR="00A720EB" w:rsidRDefault="00A720EB">
      <w:pPr>
        <w:pStyle w:val="a3"/>
        <w:spacing w:before="11"/>
        <w:rPr>
          <w:rFonts w:ascii="Palatino Linotype"/>
          <w:b/>
          <w:sz w:val="18"/>
        </w:rPr>
      </w:pPr>
    </w:p>
    <w:p w14:paraId="1599833C" w14:textId="77777777" w:rsidR="00A720EB" w:rsidRDefault="0030286B">
      <w:pPr>
        <w:pStyle w:val="a3"/>
        <w:spacing w:line="290" w:lineRule="auto"/>
        <w:ind w:left="124" w:right="124"/>
        <w:jc w:val="both"/>
      </w:pPr>
      <w:r>
        <w:rPr>
          <w:color w:val="333333"/>
          <w:w w:val="110"/>
        </w:rPr>
        <w:t xml:space="preserve">If you use Jackson to serialize and deserialize JSON data, you might want to write your own </w:t>
      </w:r>
      <w:r>
        <w:rPr>
          <w:rFonts w:ascii="MS Gothic"/>
          <w:color w:val="B02045"/>
          <w:w w:val="110"/>
        </w:rPr>
        <w:t>JsonSerializer</w:t>
      </w:r>
      <w:r>
        <w:rPr>
          <w:rFonts w:ascii="MS Gothic"/>
          <w:color w:val="B02045"/>
          <w:spacing w:val="-80"/>
          <w:w w:val="110"/>
        </w:rPr>
        <w:t xml:space="preserve"> </w:t>
      </w:r>
      <w:r>
        <w:rPr>
          <w:color w:val="333333"/>
          <w:w w:val="110"/>
        </w:rPr>
        <w:t>and</w:t>
      </w:r>
      <w:r>
        <w:rPr>
          <w:color w:val="333333"/>
          <w:spacing w:val="-15"/>
          <w:w w:val="110"/>
        </w:rPr>
        <w:t xml:space="preserve"> </w:t>
      </w:r>
      <w:r>
        <w:rPr>
          <w:rFonts w:ascii="MS Gothic"/>
          <w:color w:val="B02045"/>
          <w:w w:val="110"/>
        </w:rPr>
        <w:t>JsonDeserializer</w:t>
      </w:r>
      <w:r>
        <w:rPr>
          <w:rFonts w:ascii="MS Gothic"/>
          <w:color w:val="B02045"/>
          <w:spacing w:val="-80"/>
          <w:w w:val="110"/>
        </w:rPr>
        <w:t xml:space="preserve"> </w:t>
      </w:r>
      <w:r>
        <w:rPr>
          <w:color w:val="333333"/>
          <w:w w:val="110"/>
        </w:rPr>
        <w:t>classes.</w:t>
      </w:r>
      <w:r>
        <w:rPr>
          <w:color w:val="333333"/>
          <w:spacing w:val="-15"/>
          <w:w w:val="110"/>
        </w:rPr>
        <w:t xml:space="preserve"> </w:t>
      </w:r>
      <w:r>
        <w:rPr>
          <w:color w:val="333333"/>
          <w:w w:val="110"/>
        </w:rPr>
        <w:t>Custom</w:t>
      </w:r>
      <w:r>
        <w:rPr>
          <w:color w:val="333333"/>
          <w:spacing w:val="-16"/>
          <w:w w:val="110"/>
        </w:rPr>
        <w:t xml:space="preserve"> </w:t>
      </w:r>
      <w:r>
        <w:rPr>
          <w:color w:val="333333"/>
          <w:w w:val="110"/>
        </w:rPr>
        <w:t>serializers</w:t>
      </w:r>
      <w:r>
        <w:rPr>
          <w:color w:val="333333"/>
          <w:spacing w:val="-15"/>
          <w:w w:val="110"/>
        </w:rPr>
        <w:t xml:space="preserve"> </w:t>
      </w:r>
      <w:r>
        <w:rPr>
          <w:color w:val="333333"/>
          <w:w w:val="110"/>
        </w:rPr>
        <w:t>are</w:t>
      </w:r>
      <w:r>
        <w:rPr>
          <w:color w:val="333333"/>
          <w:spacing w:val="-15"/>
          <w:w w:val="110"/>
        </w:rPr>
        <w:t xml:space="preserve"> </w:t>
      </w:r>
      <w:r>
        <w:rPr>
          <w:color w:val="333333"/>
          <w:w w:val="110"/>
        </w:rPr>
        <w:t>usually</w:t>
      </w:r>
      <w:r>
        <w:rPr>
          <w:color w:val="333333"/>
          <w:spacing w:val="-13"/>
          <w:w w:val="110"/>
        </w:rPr>
        <w:t xml:space="preserve"> </w:t>
      </w:r>
      <w:hyperlink r:id="rId126">
        <w:r>
          <w:rPr>
            <w:color w:val="418BCA"/>
            <w:w w:val="110"/>
          </w:rPr>
          <w:t>registered</w:t>
        </w:r>
        <w:r>
          <w:rPr>
            <w:color w:val="418BCA"/>
            <w:spacing w:val="-15"/>
            <w:w w:val="110"/>
          </w:rPr>
          <w:t xml:space="preserve"> </w:t>
        </w:r>
        <w:r>
          <w:rPr>
            <w:color w:val="418BCA"/>
            <w:w w:val="110"/>
          </w:rPr>
          <w:t>with</w:t>
        </w:r>
        <w:r>
          <w:rPr>
            <w:color w:val="418BCA"/>
            <w:spacing w:val="-16"/>
            <w:w w:val="110"/>
          </w:rPr>
          <w:t xml:space="preserve"> </w:t>
        </w:r>
        <w:r>
          <w:rPr>
            <w:color w:val="418BCA"/>
            <w:w w:val="110"/>
          </w:rPr>
          <w:t>Jackson</w:t>
        </w:r>
      </w:hyperlink>
      <w:r>
        <w:rPr>
          <w:color w:val="418BCA"/>
          <w:w w:val="110"/>
        </w:rPr>
        <w:t xml:space="preserve"> </w:t>
      </w:r>
      <w:hyperlink r:id="rId127">
        <w:r>
          <w:rPr>
            <w:color w:val="418BCA"/>
            <w:w w:val="110"/>
          </w:rPr>
          <w:t>through a module</w:t>
        </w:r>
      </w:hyperlink>
      <w:r>
        <w:rPr>
          <w:color w:val="333333"/>
          <w:w w:val="110"/>
        </w:rPr>
        <w:t xml:space="preserve">, but Spring Boot provides an alternative </w:t>
      </w:r>
      <w:r>
        <w:rPr>
          <w:rFonts w:ascii="MS Gothic"/>
          <w:color w:val="B02045"/>
          <w:w w:val="110"/>
        </w:rPr>
        <w:t xml:space="preserve">@JsonComponent </w:t>
      </w:r>
      <w:r>
        <w:rPr>
          <w:color w:val="333333"/>
          <w:w w:val="110"/>
        </w:rPr>
        <w:t>annotation that makes it easier to directly register Spring</w:t>
      </w:r>
      <w:r>
        <w:rPr>
          <w:color w:val="333333"/>
          <w:spacing w:val="14"/>
          <w:w w:val="110"/>
        </w:rPr>
        <w:t xml:space="preserve"> </w:t>
      </w:r>
      <w:r>
        <w:rPr>
          <w:color w:val="333333"/>
          <w:w w:val="110"/>
        </w:rPr>
        <w:t>Beans.</w:t>
      </w:r>
    </w:p>
    <w:p w14:paraId="3D4C4CD8" w14:textId="77777777" w:rsidR="00A720EB" w:rsidRDefault="0030286B">
      <w:pPr>
        <w:pStyle w:val="a3"/>
        <w:spacing w:before="245" w:line="285" w:lineRule="auto"/>
        <w:ind w:left="124" w:right="122"/>
        <w:jc w:val="both"/>
      </w:pPr>
      <w:r>
        <w:rPr>
          <w:color w:val="333333"/>
          <w:w w:val="110"/>
        </w:rPr>
        <w:t xml:space="preserve">You can use the </w:t>
      </w:r>
      <w:r>
        <w:rPr>
          <w:rFonts w:ascii="MS Gothic"/>
          <w:color w:val="B02045"/>
          <w:w w:val="110"/>
        </w:rPr>
        <w:t xml:space="preserve">@JsonComponent </w:t>
      </w:r>
      <w:r>
        <w:rPr>
          <w:color w:val="333333"/>
          <w:w w:val="110"/>
        </w:rPr>
        <w:t xml:space="preserve">annotation directly on </w:t>
      </w:r>
      <w:r>
        <w:rPr>
          <w:rFonts w:ascii="MS Gothic"/>
          <w:color w:val="B02045"/>
          <w:w w:val="110"/>
        </w:rPr>
        <w:t>JsonSerializer</w:t>
      </w:r>
      <w:r>
        <w:rPr>
          <w:color w:val="333333"/>
          <w:w w:val="110"/>
        </w:rPr>
        <w:t xml:space="preserve">, </w:t>
      </w:r>
      <w:r>
        <w:rPr>
          <w:rFonts w:ascii="MS Gothic"/>
          <w:color w:val="B02045"/>
          <w:w w:val="110"/>
        </w:rPr>
        <w:t xml:space="preserve">JsonDeserializer </w:t>
      </w:r>
      <w:r>
        <w:rPr>
          <w:color w:val="333333"/>
          <w:w w:val="110"/>
        </w:rPr>
        <w:t xml:space="preserve">or </w:t>
      </w:r>
      <w:r>
        <w:rPr>
          <w:rFonts w:ascii="MS Gothic"/>
          <w:color w:val="B02045"/>
          <w:w w:val="110"/>
        </w:rPr>
        <w:t xml:space="preserve">KeyDeserializer </w:t>
      </w:r>
      <w:r>
        <w:rPr>
          <w:color w:val="333333"/>
          <w:w w:val="110"/>
        </w:rPr>
        <w:t>implementations. You can also use it on classes that contain serializers/deserializers as inner classes, as shown in the following example:</w:t>
      </w:r>
    </w:p>
    <w:p w14:paraId="332CCF37" w14:textId="77777777" w:rsidR="00A720EB" w:rsidRDefault="00E10349">
      <w:pPr>
        <w:pStyle w:val="a3"/>
        <w:spacing w:before="1"/>
        <w:rPr>
          <w:sz w:val="15"/>
        </w:rPr>
      </w:pPr>
      <w:r>
        <w:pict w14:anchorId="36A740D3">
          <v:group id="_x0000_s4385" style="position:absolute;margin-left:47.85pt;margin-top:10.85pt;width:499.55pt;height:273.35pt;z-index:-15550464;mso-wrap-distance-left:0;mso-wrap-distance-right:0;mso-position-horizontal-relative:page" coordorigin="957,217" coordsize="9991,5467">
            <v:shape id="_x0000_s4388" style="position:absolute;left:964;top:224;width:9976;height:5452" coordorigin="965,225" coordsize="9976,5452" path="m10861,225r-9816,l1014,231r-26,17l971,273r-6,32l965,5596r6,31l988,5653r26,17l1045,5676r9816,l10892,5670r25,-17l10935,5627r6,-31l10941,305r-6,-32l10917,248r-25,-17l10861,225xe" fillcolor="#f5f5f5" stroked="f">
              <v:path arrowok="t"/>
            </v:shape>
            <v:shape id="_x0000_s4387" style="position:absolute;left:964;top:224;width:9976;height:5452" coordorigin="965,225" coordsize="9976,5452" path="m1045,225r9816,l10892,231r25,17l10935,273r6,32l10941,5596r-6,31l10917,5653r-25,17l10861,5676r-9816,l1014,5670r-26,-17l971,5627r-6,-31l965,305r6,-32l988,248r26,-17l1045,225xe" filled="f" strokecolor="#ccc">
              <v:path arrowok="t"/>
            </v:shape>
            <v:shape id="_x0000_s4386" type="#_x0000_t202" style="position:absolute;left:984;top:240;width:9938;height:5421" filled="f" stroked="f">
              <v:textbox inset="0,0,0,0">
                <w:txbxContent>
                  <w:p w14:paraId="6B20B3ED"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java.io.*</w:t>
                    </w:r>
                    <w:proofErr w:type="gramEnd"/>
                    <w:r>
                      <w:rPr>
                        <w:rFonts w:ascii="MS Gothic"/>
                        <w:color w:val="333333"/>
                      </w:rPr>
                      <w:t>;</w:t>
                    </w:r>
                  </w:p>
                  <w:p w14:paraId="60A37246" w14:textId="77777777" w:rsidR="00711A16" w:rsidRDefault="00711A16">
                    <w:pPr>
                      <w:spacing w:before="13" w:line="252" w:lineRule="auto"/>
                      <w:ind w:left="200" w:right="5114"/>
                      <w:rPr>
                        <w:rFonts w:ascii="MS Gothic"/>
                      </w:rPr>
                    </w:pPr>
                    <w:r>
                      <w:rPr>
                        <w:rFonts w:ascii="MS Gothic"/>
                        <w:color w:val="333333"/>
                      </w:rPr>
                      <w:t xml:space="preserve">import </w:t>
                    </w:r>
                    <w:proofErr w:type="gramStart"/>
                    <w:r>
                      <w:rPr>
                        <w:rFonts w:ascii="MS Gothic"/>
                        <w:color w:val="333333"/>
                      </w:rPr>
                      <w:t>com.fasterxml</w:t>
                    </w:r>
                    <w:proofErr w:type="gramEnd"/>
                    <w:r>
                      <w:rPr>
                        <w:rFonts w:ascii="MS Gothic"/>
                        <w:color w:val="333333"/>
                      </w:rPr>
                      <w:t>.jackson.core.*; import com.fasterxml.jackson.databind.*; import</w:t>
                    </w:r>
                    <w:r>
                      <w:rPr>
                        <w:rFonts w:ascii="MS Gothic"/>
                        <w:color w:val="333333"/>
                        <w:spacing w:val="-14"/>
                      </w:rPr>
                      <w:t xml:space="preserve"> </w:t>
                    </w:r>
                    <w:r>
                      <w:rPr>
                        <w:rFonts w:ascii="MS Gothic"/>
                        <w:color w:val="333333"/>
                      </w:rPr>
                      <w:t>org.springframework.boot.jackson.*;</w:t>
                    </w:r>
                  </w:p>
                  <w:p w14:paraId="7963D173" w14:textId="77777777" w:rsidR="00711A16" w:rsidRDefault="00711A16">
                    <w:pPr>
                      <w:spacing w:before="9"/>
                      <w:rPr>
                        <w:rFonts w:ascii="MS Gothic"/>
                      </w:rPr>
                    </w:pPr>
                  </w:p>
                  <w:p w14:paraId="056729CF" w14:textId="77777777" w:rsidR="00711A16" w:rsidRDefault="00711A16">
                    <w:pPr>
                      <w:ind w:left="200"/>
                      <w:rPr>
                        <w:rFonts w:ascii="MS Gothic"/>
                      </w:rPr>
                    </w:pPr>
                    <w:r>
                      <w:rPr>
                        <w:rFonts w:ascii="MS Gothic"/>
                        <w:color w:val="333333"/>
                      </w:rPr>
                      <w:t>@JsonComponent</w:t>
                    </w:r>
                  </w:p>
                  <w:p w14:paraId="61BB9595" w14:textId="77777777" w:rsidR="00711A16" w:rsidRDefault="00711A16">
                    <w:pPr>
                      <w:spacing w:before="13"/>
                      <w:ind w:left="200"/>
                      <w:rPr>
                        <w:rFonts w:ascii="MS Gothic"/>
                      </w:rPr>
                    </w:pPr>
                    <w:r>
                      <w:rPr>
                        <w:rFonts w:ascii="MS Gothic"/>
                        <w:color w:val="333333"/>
                      </w:rPr>
                      <w:t>public class Example {</w:t>
                    </w:r>
                  </w:p>
                  <w:p w14:paraId="7466557C" w14:textId="77777777" w:rsidR="00711A16" w:rsidRDefault="00711A16">
                    <w:pPr>
                      <w:rPr>
                        <w:rFonts w:ascii="MS Gothic"/>
                        <w:sz w:val="24"/>
                      </w:rPr>
                    </w:pPr>
                  </w:p>
                  <w:p w14:paraId="14EA6684" w14:textId="77777777" w:rsidR="00711A16" w:rsidRDefault="00711A16">
                    <w:pPr>
                      <w:ind w:left="640"/>
                      <w:rPr>
                        <w:rFonts w:ascii="MS Gothic"/>
                      </w:rPr>
                    </w:pPr>
                    <w:r>
                      <w:rPr>
                        <w:rFonts w:ascii="MS Gothic"/>
                        <w:color w:val="333333"/>
                      </w:rPr>
                      <w:t>public static class Serializer extends JsonSerializer&lt;SomeObject&gt; {</w:t>
                    </w:r>
                  </w:p>
                  <w:p w14:paraId="7F6BA227" w14:textId="77777777" w:rsidR="00711A16" w:rsidRDefault="00711A16">
                    <w:pPr>
                      <w:spacing w:before="13"/>
                      <w:ind w:left="1080"/>
                      <w:rPr>
                        <w:rFonts w:ascii="MS Gothic"/>
                      </w:rPr>
                    </w:pPr>
                    <w:r>
                      <w:rPr>
                        <w:rFonts w:ascii="MS Gothic"/>
                        <w:color w:val="333333"/>
                      </w:rPr>
                      <w:t>// ...</w:t>
                    </w:r>
                  </w:p>
                  <w:p w14:paraId="5F38A7F4" w14:textId="77777777" w:rsidR="00711A16" w:rsidRDefault="00711A16">
                    <w:pPr>
                      <w:spacing w:before="13"/>
                      <w:ind w:left="640"/>
                      <w:rPr>
                        <w:rFonts w:ascii="MS Gothic"/>
                      </w:rPr>
                    </w:pPr>
                    <w:r>
                      <w:rPr>
                        <w:rFonts w:ascii="MS Gothic"/>
                        <w:color w:val="333333"/>
                      </w:rPr>
                      <w:t>}</w:t>
                    </w:r>
                  </w:p>
                  <w:p w14:paraId="1B902A2A" w14:textId="77777777" w:rsidR="00711A16" w:rsidRDefault="00711A16">
                    <w:pPr>
                      <w:rPr>
                        <w:rFonts w:ascii="MS Gothic"/>
                        <w:sz w:val="24"/>
                      </w:rPr>
                    </w:pPr>
                  </w:p>
                  <w:p w14:paraId="04AE3DAA" w14:textId="77777777" w:rsidR="00711A16" w:rsidRDefault="00711A16">
                    <w:pPr>
                      <w:ind w:left="640"/>
                      <w:rPr>
                        <w:rFonts w:ascii="MS Gothic"/>
                      </w:rPr>
                    </w:pPr>
                    <w:r>
                      <w:rPr>
                        <w:rFonts w:ascii="MS Gothic"/>
                        <w:color w:val="333333"/>
                      </w:rPr>
                      <w:t>public static class Deserializer extends JsonDeserializer&lt;SomeObject&gt; {</w:t>
                    </w:r>
                  </w:p>
                  <w:p w14:paraId="2B806346" w14:textId="77777777" w:rsidR="00711A16" w:rsidRDefault="00711A16">
                    <w:pPr>
                      <w:spacing w:before="13"/>
                      <w:ind w:left="1080"/>
                      <w:rPr>
                        <w:rFonts w:ascii="MS Gothic"/>
                      </w:rPr>
                    </w:pPr>
                    <w:r>
                      <w:rPr>
                        <w:rFonts w:ascii="MS Gothic"/>
                        <w:color w:val="333333"/>
                      </w:rPr>
                      <w:t>// ...</w:t>
                    </w:r>
                  </w:p>
                  <w:p w14:paraId="776D36F7" w14:textId="77777777" w:rsidR="00711A16" w:rsidRDefault="00711A16">
                    <w:pPr>
                      <w:spacing w:before="13"/>
                      <w:ind w:left="640"/>
                      <w:rPr>
                        <w:rFonts w:ascii="MS Gothic"/>
                      </w:rPr>
                    </w:pPr>
                    <w:r>
                      <w:rPr>
                        <w:rFonts w:ascii="MS Gothic"/>
                        <w:color w:val="333333"/>
                      </w:rPr>
                      <w:t>}</w:t>
                    </w:r>
                  </w:p>
                  <w:p w14:paraId="33E286F6" w14:textId="77777777" w:rsidR="00711A16" w:rsidRDefault="00711A16">
                    <w:pPr>
                      <w:rPr>
                        <w:rFonts w:ascii="MS Gothic"/>
                        <w:sz w:val="24"/>
                      </w:rPr>
                    </w:pPr>
                  </w:p>
                  <w:p w14:paraId="14604E22" w14:textId="77777777" w:rsidR="00711A16" w:rsidRDefault="00711A16">
                    <w:pPr>
                      <w:ind w:left="200"/>
                      <w:rPr>
                        <w:rFonts w:ascii="MS Gothic"/>
                      </w:rPr>
                    </w:pPr>
                    <w:r>
                      <w:rPr>
                        <w:rFonts w:ascii="MS Gothic"/>
                        <w:color w:val="333333"/>
                      </w:rPr>
                      <w:t>}</w:t>
                    </w:r>
                  </w:p>
                </w:txbxContent>
              </v:textbox>
            </v:shape>
            <w10:wrap type="topAndBottom" anchorx="page"/>
          </v:group>
        </w:pict>
      </w:r>
    </w:p>
    <w:p w14:paraId="5916352A" w14:textId="77777777" w:rsidR="00A720EB" w:rsidRDefault="00A720EB">
      <w:pPr>
        <w:pStyle w:val="a3"/>
        <w:spacing w:before="11"/>
        <w:rPr>
          <w:sz w:val="9"/>
        </w:rPr>
      </w:pPr>
    </w:p>
    <w:p w14:paraId="44027156" w14:textId="77777777" w:rsidR="00A720EB" w:rsidRDefault="0030286B">
      <w:pPr>
        <w:pStyle w:val="a3"/>
        <w:spacing w:before="115" w:line="285" w:lineRule="auto"/>
        <w:ind w:left="124" w:right="124"/>
        <w:jc w:val="both"/>
      </w:pPr>
      <w:r>
        <w:rPr>
          <w:color w:val="333333"/>
          <w:w w:val="110"/>
        </w:rPr>
        <w:t xml:space="preserve">All </w:t>
      </w:r>
      <w:r>
        <w:rPr>
          <w:rFonts w:ascii="MS Gothic"/>
          <w:color w:val="B02045"/>
          <w:w w:val="110"/>
        </w:rPr>
        <w:t xml:space="preserve">@JsonComponent </w:t>
      </w:r>
      <w:r>
        <w:rPr>
          <w:color w:val="333333"/>
          <w:w w:val="110"/>
        </w:rPr>
        <w:t xml:space="preserve">beans in the </w:t>
      </w:r>
      <w:r>
        <w:rPr>
          <w:rFonts w:ascii="MS Gothic"/>
          <w:color w:val="B02045"/>
          <w:w w:val="110"/>
        </w:rPr>
        <w:t xml:space="preserve">ApplicationContext </w:t>
      </w:r>
      <w:r>
        <w:rPr>
          <w:color w:val="333333"/>
          <w:w w:val="110"/>
        </w:rPr>
        <w:t xml:space="preserve">are automatically registered with Jackson.  Because </w:t>
      </w:r>
      <w:r>
        <w:rPr>
          <w:rFonts w:ascii="MS Gothic"/>
          <w:color w:val="B02045"/>
          <w:w w:val="110"/>
        </w:rPr>
        <w:t xml:space="preserve">@JsonComponent </w:t>
      </w:r>
      <w:r>
        <w:rPr>
          <w:color w:val="333333"/>
          <w:w w:val="110"/>
        </w:rPr>
        <w:t xml:space="preserve">is meta-annotated with </w:t>
      </w:r>
      <w:r>
        <w:rPr>
          <w:rFonts w:ascii="MS Gothic"/>
          <w:color w:val="B02045"/>
          <w:w w:val="110"/>
        </w:rPr>
        <w:t>@Component</w:t>
      </w:r>
      <w:r>
        <w:rPr>
          <w:color w:val="333333"/>
          <w:w w:val="110"/>
        </w:rPr>
        <w:t>, the usual component-scanning rules apply.</w:t>
      </w:r>
    </w:p>
    <w:p w14:paraId="2CC2CB5B" w14:textId="77777777" w:rsidR="00A720EB" w:rsidRDefault="00A720EB">
      <w:pPr>
        <w:pStyle w:val="a3"/>
        <w:spacing w:before="8"/>
      </w:pPr>
    </w:p>
    <w:p w14:paraId="4800371A" w14:textId="77777777" w:rsidR="00A720EB" w:rsidRDefault="0030286B">
      <w:pPr>
        <w:pStyle w:val="a3"/>
        <w:spacing w:line="295" w:lineRule="auto"/>
        <w:ind w:left="124" w:right="123"/>
        <w:jc w:val="both"/>
      </w:pPr>
      <w:r>
        <w:rPr>
          <w:color w:val="333333"/>
          <w:w w:val="110"/>
        </w:rPr>
        <w:t xml:space="preserve">Spring Boot also provides </w:t>
      </w:r>
      <w:hyperlink r:id="rId128">
        <w:r>
          <w:rPr>
            <w:rFonts w:ascii="MS Gothic"/>
            <w:color w:val="B02045"/>
            <w:w w:val="110"/>
          </w:rPr>
          <w:t xml:space="preserve">JsonObjectSerializer </w:t>
        </w:r>
      </w:hyperlink>
      <w:r>
        <w:rPr>
          <w:color w:val="333333"/>
          <w:w w:val="110"/>
        </w:rPr>
        <w:t xml:space="preserve">and </w:t>
      </w:r>
      <w:hyperlink r:id="rId129">
        <w:r>
          <w:rPr>
            <w:rFonts w:ascii="MS Gothic"/>
            <w:color w:val="B02045"/>
            <w:w w:val="110"/>
          </w:rPr>
          <w:t xml:space="preserve">JsonObjectDeserializer </w:t>
        </w:r>
      </w:hyperlink>
      <w:r>
        <w:rPr>
          <w:color w:val="333333"/>
          <w:w w:val="110"/>
        </w:rPr>
        <w:t xml:space="preserve">base classes that provide useful alternatives to the standard Jackson versions when serializing objects. See </w:t>
      </w:r>
      <w:hyperlink r:id="rId130">
        <w:r>
          <w:rPr>
            <w:rFonts w:ascii="MS Gothic"/>
            <w:color w:val="B02045"/>
            <w:w w:val="110"/>
          </w:rPr>
          <w:t>JsonObjectSerializer</w:t>
        </w:r>
        <w:r>
          <w:rPr>
            <w:rFonts w:ascii="MS Gothic"/>
            <w:color w:val="B02045"/>
            <w:spacing w:val="-69"/>
            <w:w w:val="110"/>
          </w:rPr>
          <w:t xml:space="preserve"> </w:t>
        </w:r>
      </w:hyperlink>
      <w:r>
        <w:rPr>
          <w:color w:val="333333"/>
          <w:w w:val="110"/>
        </w:rPr>
        <w:t xml:space="preserve">and </w:t>
      </w:r>
      <w:hyperlink r:id="rId131">
        <w:r>
          <w:rPr>
            <w:rFonts w:ascii="MS Gothic"/>
            <w:color w:val="B02045"/>
            <w:w w:val="110"/>
          </w:rPr>
          <w:t>JsonObjectDeserializer</w:t>
        </w:r>
        <w:r>
          <w:rPr>
            <w:rFonts w:ascii="MS Gothic"/>
            <w:color w:val="B02045"/>
            <w:spacing w:val="-69"/>
            <w:w w:val="110"/>
          </w:rPr>
          <w:t xml:space="preserve"> </w:t>
        </w:r>
      </w:hyperlink>
      <w:r>
        <w:rPr>
          <w:color w:val="333333"/>
          <w:w w:val="110"/>
        </w:rPr>
        <w:t>in the Javadoc for details.</w:t>
      </w:r>
    </w:p>
    <w:p w14:paraId="4B4EC081" w14:textId="77777777" w:rsidR="00A720EB" w:rsidRDefault="00A720EB">
      <w:pPr>
        <w:pStyle w:val="a3"/>
        <w:spacing w:before="11"/>
        <w:rPr>
          <w:sz w:val="24"/>
        </w:rPr>
      </w:pPr>
    </w:p>
    <w:p w14:paraId="273BE976" w14:textId="77777777" w:rsidR="00A720EB" w:rsidRDefault="0030286B">
      <w:pPr>
        <w:pStyle w:val="4"/>
        <w:jc w:val="left"/>
      </w:pPr>
      <w:bookmarkStart w:id="250" w:name="MessageCodesResolver"/>
      <w:bookmarkEnd w:id="250"/>
      <w:r>
        <w:rPr>
          <w:color w:val="333333"/>
          <w:w w:val="110"/>
        </w:rPr>
        <w:t>MessageCodesResolver</w:t>
      </w:r>
    </w:p>
    <w:p w14:paraId="40780A1E" w14:textId="77777777" w:rsidR="00A720EB" w:rsidRDefault="00A720EB">
      <w:pPr>
        <w:pStyle w:val="a3"/>
        <w:spacing w:before="11"/>
        <w:rPr>
          <w:rFonts w:ascii="Palatino Linotype"/>
          <w:b/>
          <w:sz w:val="18"/>
        </w:rPr>
      </w:pPr>
    </w:p>
    <w:p w14:paraId="5828E7DB" w14:textId="77777777" w:rsidR="00A720EB" w:rsidRDefault="0030286B">
      <w:pPr>
        <w:pStyle w:val="a3"/>
        <w:spacing w:line="288" w:lineRule="auto"/>
        <w:ind w:left="124" w:right="123"/>
        <w:jc w:val="both"/>
      </w:pPr>
      <w:r>
        <w:rPr>
          <w:color w:val="333333"/>
          <w:w w:val="110"/>
        </w:rPr>
        <w:t>Spring MVC has a strategy for generating error codes for rendering error messages from binding errors:</w:t>
      </w:r>
      <w:r>
        <w:rPr>
          <w:color w:val="333333"/>
          <w:spacing w:val="-6"/>
          <w:w w:val="110"/>
        </w:rPr>
        <w:t xml:space="preserve"> </w:t>
      </w:r>
      <w:r>
        <w:rPr>
          <w:rFonts w:ascii="MS Gothic"/>
          <w:color w:val="B02045"/>
          <w:w w:val="110"/>
        </w:rPr>
        <w:t>MessageCodesResolver</w:t>
      </w:r>
      <w:r>
        <w:rPr>
          <w:color w:val="333333"/>
          <w:w w:val="110"/>
        </w:rPr>
        <w:t>.</w:t>
      </w:r>
      <w:r>
        <w:rPr>
          <w:color w:val="333333"/>
          <w:spacing w:val="-6"/>
          <w:w w:val="110"/>
        </w:rPr>
        <w:t xml:space="preserve"> </w:t>
      </w:r>
      <w:r>
        <w:rPr>
          <w:color w:val="333333"/>
          <w:w w:val="110"/>
        </w:rPr>
        <w:t>If</w:t>
      </w:r>
      <w:r>
        <w:rPr>
          <w:color w:val="333333"/>
          <w:spacing w:val="-6"/>
          <w:w w:val="110"/>
        </w:rPr>
        <w:t xml:space="preserve"> </w:t>
      </w:r>
      <w:r>
        <w:rPr>
          <w:color w:val="333333"/>
          <w:w w:val="110"/>
        </w:rPr>
        <w:t>you</w:t>
      </w:r>
      <w:r>
        <w:rPr>
          <w:color w:val="333333"/>
          <w:spacing w:val="-6"/>
          <w:w w:val="110"/>
        </w:rPr>
        <w:t xml:space="preserve"> </w:t>
      </w:r>
      <w:r>
        <w:rPr>
          <w:color w:val="333333"/>
          <w:w w:val="110"/>
        </w:rPr>
        <w:t>set</w:t>
      </w:r>
      <w:r>
        <w:rPr>
          <w:color w:val="333333"/>
          <w:spacing w:val="-5"/>
          <w:w w:val="110"/>
        </w:rPr>
        <w:t xml:space="preserve"> </w:t>
      </w:r>
      <w:r>
        <w:rPr>
          <w:color w:val="333333"/>
          <w:w w:val="110"/>
        </w:rPr>
        <w:t>the</w:t>
      </w:r>
      <w:r>
        <w:rPr>
          <w:color w:val="333333"/>
          <w:spacing w:val="-6"/>
          <w:w w:val="110"/>
        </w:rPr>
        <w:t xml:space="preserve"> </w:t>
      </w:r>
      <w:r>
        <w:rPr>
          <w:rFonts w:ascii="MS Gothic"/>
          <w:color w:val="B02045"/>
          <w:w w:val="110"/>
        </w:rPr>
        <w:t>spring.mvc.message-codes-resolver-format</w:t>
      </w:r>
      <w:r>
        <w:rPr>
          <w:rFonts w:ascii="MS Gothic"/>
          <w:color w:val="B02045"/>
          <w:spacing w:val="-70"/>
          <w:w w:val="110"/>
        </w:rPr>
        <w:t xml:space="preserve"> </w:t>
      </w:r>
      <w:r>
        <w:rPr>
          <w:color w:val="333333"/>
          <w:w w:val="110"/>
        </w:rPr>
        <w:t xml:space="preserve">property </w:t>
      </w:r>
      <w:r>
        <w:rPr>
          <w:rFonts w:ascii="MS Gothic"/>
          <w:color w:val="B02045"/>
          <w:w w:val="110"/>
        </w:rPr>
        <w:t>PREFIX_ERROR_CODE</w:t>
      </w:r>
      <w:r>
        <w:rPr>
          <w:rFonts w:ascii="MS Gothic"/>
          <w:color w:val="B02045"/>
          <w:spacing w:val="-74"/>
          <w:w w:val="110"/>
        </w:rPr>
        <w:t xml:space="preserve"> </w:t>
      </w:r>
      <w:r>
        <w:rPr>
          <w:color w:val="333333"/>
          <w:w w:val="110"/>
        </w:rPr>
        <w:t xml:space="preserve">or </w:t>
      </w:r>
      <w:r>
        <w:rPr>
          <w:rFonts w:ascii="MS Gothic"/>
          <w:color w:val="B02045"/>
          <w:w w:val="110"/>
        </w:rPr>
        <w:t>POSTFIX_ERROR_CODE</w:t>
      </w:r>
      <w:r>
        <w:rPr>
          <w:color w:val="333333"/>
          <w:w w:val="110"/>
        </w:rPr>
        <w:t xml:space="preserve">, Spring Boot creates one for you (see the enumeration in </w:t>
      </w:r>
      <w:hyperlink r:id="rId132">
        <w:r>
          <w:rPr>
            <w:rFonts w:ascii="MS Gothic"/>
            <w:color w:val="B02045"/>
            <w:w w:val="110"/>
          </w:rPr>
          <w:t>DefaultMessageCodesResolver.Format</w:t>
        </w:r>
      </w:hyperlink>
      <w:r>
        <w:rPr>
          <w:color w:val="333333"/>
          <w:w w:val="110"/>
        </w:rPr>
        <w:t>).</w:t>
      </w:r>
    </w:p>
    <w:p w14:paraId="345396EC" w14:textId="77777777" w:rsidR="00A720EB" w:rsidRDefault="00A720EB">
      <w:pPr>
        <w:pStyle w:val="a3"/>
        <w:spacing w:before="5"/>
        <w:rPr>
          <w:sz w:val="25"/>
        </w:rPr>
      </w:pPr>
    </w:p>
    <w:p w14:paraId="05D1B7D3" w14:textId="77777777" w:rsidR="00A720EB" w:rsidRDefault="0030286B">
      <w:pPr>
        <w:pStyle w:val="4"/>
        <w:spacing w:before="1"/>
        <w:jc w:val="left"/>
      </w:pPr>
      <w:r>
        <w:rPr>
          <w:color w:val="333333"/>
          <w:w w:val="110"/>
        </w:rPr>
        <w:t>Static Content</w:t>
      </w:r>
    </w:p>
    <w:p w14:paraId="5985D631" w14:textId="77777777" w:rsidR="00A720EB" w:rsidRDefault="0030286B">
      <w:pPr>
        <w:pStyle w:val="a3"/>
        <w:spacing w:before="243"/>
        <w:ind w:left="124"/>
        <w:jc w:val="both"/>
      </w:pPr>
      <w:proofErr w:type="gramStart"/>
      <w:r>
        <w:rPr>
          <w:color w:val="333333"/>
          <w:spacing w:val="-3"/>
          <w:w w:val="110"/>
        </w:rPr>
        <w:t xml:space="preserve">By </w:t>
      </w:r>
      <w:r>
        <w:rPr>
          <w:color w:val="333333"/>
          <w:spacing w:val="19"/>
          <w:w w:val="110"/>
        </w:rPr>
        <w:t xml:space="preserve"> </w:t>
      </w:r>
      <w:r>
        <w:rPr>
          <w:color w:val="333333"/>
          <w:w w:val="110"/>
        </w:rPr>
        <w:t>default</w:t>
      </w:r>
      <w:proofErr w:type="gramEnd"/>
      <w:r>
        <w:rPr>
          <w:color w:val="333333"/>
          <w:w w:val="110"/>
        </w:rPr>
        <w:t xml:space="preserve">, </w:t>
      </w:r>
      <w:r>
        <w:rPr>
          <w:color w:val="333333"/>
          <w:spacing w:val="17"/>
          <w:w w:val="110"/>
        </w:rPr>
        <w:t xml:space="preserve"> </w:t>
      </w:r>
      <w:r>
        <w:rPr>
          <w:color w:val="333333"/>
          <w:w w:val="110"/>
        </w:rPr>
        <w:t xml:space="preserve">Spring </w:t>
      </w:r>
      <w:r>
        <w:rPr>
          <w:color w:val="333333"/>
          <w:spacing w:val="17"/>
          <w:w w:val="110"/>
        </w:rPr>
        <w:t xml:space="preserve"> </w:t>
      </w:r>
      <w:r>
        <w:rPr>
          <w:color w:val="333333"/>
          <w:w w:val="110"/>
        </w:rPr>
        <w:t xml:space="preserve">Boot </w:t>
      </w:r>
      <w:r>
        <w:rPr>
          <w:color w:val="333333"/>
          <w:spacing w:val="17"/>
          <w:w w:val="110"/>
        </w:rPr>
        <w:t xml:space="preserve"> </w:t>
      </w:r>
      <w:r>
        <w:rPr>
          <w:color w:val="333333"/>
          <w:w w:val="110"/>
        </w:rPr>
        <w:t xml:space="preserve">serves </w:t>
      </w:r>
      <w:r>
        <w:rPr>
          <w:color w:val="333333"/>
          <w:spacing w:val="17"/>
          <w:w w:val="110"/>
        </w:rPr>
        <w:t xml:space="preserve"> </w:t>
      </w:r>
      <w:r>
        <w:rPr>
          <w:color w:val="333333"/>
          <w:w w:val="110"/>
        </w:rPr>
        <w:t xml:space="preserve">static </w:t>
      </w:r>
      <w:r>
        <w:rPr>
          <w:color w:val="333333"/>
          <w:spacing w:val="18"/>
          <w:w w:val="110"/>
        </w:rPr>
        <w:t xml:space="preserve"> </w:t>
      </w:r>
      <w:r>
        <w:rPr>
          <w:color w:val="333333"/>
          <w:w w:val="110"/>
        </w:rPr>
        <w:t xml:space="preserve">content </w:t>
      </w:r>
      <w:r>
        <w:rPr>
          <w:color w:val="333333"/>
          <w:spacing w:val="18"/>
          <w:w w:val="110"/>
        </w:rPr>
        <w:t xml:space="preserve"> </w:t>
      </w:r>
      <w:r>
        <w:rPr>
          <w:color w:val="333333"/>
          <w:w w:val="110"/>
        </w:rPr>
        <w:t xml:space="preserve">from </w:t>
      </w:r>
      <w:r>
        <w:rPr>
          <w:color w:val="333333"/>
          <w:spacing w:val="17"/>
          <w:w w:val="110"/>
        </w:rPr>
        <w:t xml:space="preserve"> </w:t>
      </w:r>
      <w:r>
        <w:rPr>
          <w:color w:val="333333"/>
          <w:w w:val="110"/>
        </w:rPr>
        <w:t xml:space="preserve">a </w:t>
      </w:r>
      <w:r>
        <w:rPr>
          <w:color w:val="333333"/>
          <w:spacing w:val="17"/>
          <w:w w:val="110"/>
        </w:rPr>
        <w:t xml:space="preserve"> </w:t>
      </w:r>
      <w:r>
        <w:rPr>
          <w:color w:val="333333"/>
          <w:w w:val="110"/>
        </w:rPr>
        <w:t xml:space="preserve">directory </w:t>
      </w:r>
      <w:r>
        <w:rPr>
          <w:color w:val="333333"/>
          <w:spacing w:val="17"/>
          <w:w w:val="110"/>
        </w:rPr>
        <w:t xml:space="preserve"> </w:t>
      </w:r>
      <w:r>
        <w:rPr>
          <w:color w:val="333333"/>
          <w:w w:val="110"/>
        </w:rPr>
        <w:t xml:space="preserve">called </w:t>
      </w:r>
      <w:r>
        <w:rPr>
          <w:color w:val="333333"/>
          <w:spacing w:val="25"/>
          <w:w w:val="110"/>
        </w:rPr>
        <w:t xml:space="preserve"> </w:t>
      </w:r>
      <w:r>
        <w:rPr>
          <w:rFonts w:ascii="MS Gothic"/>
          <w:color w:val="B02045"/>
          <w:w w:val="110"/>
        </w:rPr>
        <w:t>/static</w:t>
      </w:r>
      <w:r>
        <w:rPr>
          <w:rFonts w:ascii="MS Gothic"/>
          <w:color w:val="B02045"/>
          <w:spacing w:val="3"/>
          <w:w w:val="110"/>
        </w:rPr>
        <w:t xml:space="preserve"> </w:t>
      </w:r>
      <w:r>
        <w:rPr>
          <w:color w:val="333333"/>
          <w:w w:val="110"/>
        </w:rPr>
        <w:t xml:space="preserve">(or </w:t>
      </w:r>
      <w:r>
        <w:rPr>
          <w:color w:val="333333"/>
          <w:spacing w:val="18"/>
          <w:w w:val="110"/>
        </w:rPr>
        <w:t xml:space="preserve"> </w:t>
      </w:r>
      <w:r>
        <w:rPr>
          <w:rFonts w:ascii="MS Gothic"/>
          <w:color w:val="B02045"/>
          <w:w w:val="110"/>
        </w:rPr>
        <w:t>/public</w:t>
      </w:r>
      <w:r>
        <w:rPr>
          <w:rFonts w:ascii="MS Gothic"/>
          <w:color w:val="B02045"/>
          <w:spacing w:val="3"/>
          <w:w w:val="110"/>
        </w:rPr>
        <w:t xml:space="preserve"> </w:t>
      </w:r>
      <w:r>
        <w:rPr>
          <w:color w:val="333333"/>
          <w:w w:val="110"/>
        </w:rPr>
        <w:t>or</w:t>
      </w:r>
    </w:p>
    <w:p w14:paraId="7E770D02" w14:textId="77777777" w:rsidR="00A720EB" w:rsidRDefault="0030286B">
      <w:pPr>
        <w:pStyle w:val="a3"/>
        <w:spacing w:before="47" w:line="280" w:lineRule="auto"/>
        <w:ind w:left="124" w:right="123"/>
        <w:jc w:val="both"/>
      </w:pPr>
      <w:r>
        <w:rPr>
          <w:rFonts w:ascii="MS Gothic"/>
          <w:color w:val="B02045"/>
          <w:w w:val="110"/>
        </w:rPr>
        <w:t>/resources</w:t>
      </w:r>
      <w:r>
        <w:rPr>
          <w:rFonts w:ascii="MS Gothic"/>
          <w:color w:val="B02045"/>
          <w:spacing w:val="-68"/>
          <w:w w:val="110"/>
        </w:rPr>
        <w:t xml:space="preserve"> </w:t>
      </w:r>
      <w:r>
        <w:rPr>
          <w:color w:val="333333"/>
          <w:w w:val="110"/>
        </w:rPr>
        <w:t>or</w:t>
      </w:r>
      <w:r>
        <w:rPr>
          <w:color w:val="333333"/>
          <w:spacing w:val="-4"/>
          <w:w w:val="110"/>
        </w:rPr>
        <w:t xml:space="preserve"> </w:t>
      </w:r>
      <w:r>
        <w:rPr>
          <w:rFonts w:ascii="MS Gothic"/>
          <w:color w:val="B02045"/>
          <w:w w:val="110"/>
        </w:rPr>
        <w:t>/META-INF/resources</w:t>
      </w:r>
      <w:r>
        <w:rPr>
          <w:color w:val="333333"/>
          <w:w w:val="110"/>
        </w:rPr>
        <w:t>)</w:t>
      </w:r>
      <w:r>
        <w:rPr>
          <w:color w:val="333333"/>
          <w:spacing w:val="-3"/>
          <w:w w:val="110"/>
        </w:rPr>
        <w:t xml:space="preserve"> </w:t>
      </w:r>
      <w:r>
        <w:rPr>
          <w:color w:val="333333"/>
          <w:w w:val="110"/>
        </w:rPr>
        <w:t>in</w:t>
      </w:r>
      <w:r>
        <w:rPr>
          <w:color w:val="333333"/>
          <w:spacing w:val="-4"/>
          <w:w w:val="110"/>
        </w:rPr>
        <w:t xml:space="preserve"> </w:t>
      </w:r>
      <w:r>
        <w:rPr>
          <w:color w:val="333333"/>
          <w:w w:val="110"/>
        </w:rPr>
        <w:t>the</w:t>
      </w:r>
      <w:r>
        <w:rPr>
          <w:color w:val="333333"/>
          <w:spacing w:val="-3"/>
          <w:w w:val="110"/>
        </w:rPr>
        <w:t xml:space="preserve"> </w:t>
      </w:r>
      <w:r>
        <w:rPr>
          <w:color w:val="333333"/>
          <w:w w:val="110"/>
        </w:rPr>
        <w:t>classpath</w:t>
      </w:r>
      <w:r>
        <w:rPr>
          <w:color w:val="333333"/>
          <w:spacing w:val="-4"/>
          <w:w w:val="110"/>
        </w:rPr>
        <w:t xml:space="preserve"> </w:t>
      </w:r>
      <w:r>
        <w:rPr>
          <w:color w:val="333333"/>
          <w:w w:val="110"/>
        </w:rPr>
        <w:t>or</w:t>
      </w:r>
      <w:r>
        <w:rPr>
          <w:color w:val="333333"/>
          <w:spacing w:val="-3"/>
          <w:w w:val="110"/>
        </w:rPr>
        <w:t xml:space="preserve"> </w:t>
      </w:r>
      <w:r>
        <w:rPr>
          <w:color w:val="333333"/>
          <w:w w:val="110"/>
        </w:rPr>
        <w:t>from</w:t>
      </w:r>
      <w:r>
        <w:rPr>
          <w:color w:val="333333"/>
          <w:spacing w:val="-4"/>
          <w:w w:val="110"/>
        </w:rPr>
        <w:t xml:space="preserve"> </w:t>
      </w:r>
      <w:r>
        <w:rPr>
          <w:color w:val="333333"/>
          <w:w w:val="110"/>
        </w:rPr>
        <w:t>the</w:t>
      </w:r>
      <w:r>
        <w:rPr>
          <w:color w:val="333333"/>
          <w:spacing w:val="-3"/>
          <w:w w:val="110"/>
        </w:rPr>
        <w:t xml:space="preserve"> </w:t>
      </w:r>
      <w:r>
        <w:rPr>
          <w:color w:val="333333"/>
          <w:w w:val="110"/>
        </w:rPr>
        <w:t>root</w:t>
      </w:r>
      <w:r>
        <w:rPr>
          <w:color w:val="333333"/>
          <w:spacing w:val="-4"/>
          <w:w w:val="110"/>
        </w:rPr>
        <w:t xml:space="preserve"> </w:t>
      </w:r>
      <w:r>
        <w:rPr>
          <w:color w:val="333333"/>
          <w:w w:val="110"/>
        </w:rPr>
        <w:t>of</w:t>
      </w:r>
      <w:r>
        <w:rPr>
          <w:color w:val="333333"/>
          <w:spacing w:val="-3"/>
          <w:w w:val="110"/>
        </w:rPr>
        <w:t xml:space="preserve"> </w:t>
      </w:r>
      <w:r>
        <w:rPr>
          <w:color w:val="333333"/>
          <w:w w:val="110"/>
        </w:rPr>
        <w:t>the</w:t>
      </w:r>
      <w:r>
        <w:rPr>
          <w:color w:val="333333"/>
          <w:spacing w:val="-3"/>
          <w:w w:val="110"/>
        </w:rPr>
        <w:t xml:space="preserve"> </w:t>
      </w:r>
      <w:r>
        <w:rPr>
          <w:rFonts w:ascii="MS Gothic"/>
          <w:color w:val="B02045"/>
          <w:w w:val="110"/>
        </w:rPr>
        <w:t>ServletContext</w:t>
      </w:r>
      <w:r>
        <w:rPr>
          <w:color w:val="333333"/>
          <w:w w:val="110"/>
        </w:rPr>
        <w:t>.</w:t>
      </w:r>
      <w:r>
        <w:rPr>
          <w:color w:val="333333"/>
          <w:spacing w:val="-3"/>
          <w:w w:val="110"/>
        </w:rPr>
        <w:t xml:space="preserve"> </w:t>
      </w:r>
      <w:r>
        <w:rPr>
          <w:color w:val="333333"/>
          <w:w w:val="110"/>
        </w:rPr>
        <w:t>It</w:t>
      </w:r>
      <w:r>
        <w:rPr>
          <w:color w:val="333333"/>
          <w:spacing w:val="-4"/>
          <w:w w:val="110"/>
        </w:rPr>
        <w:t xml:space="preserve"> </w:t>
      </w:r>
      <w:r>
        <w:rPr>
          <w:color w:val="333333"/>
          <w:w w:val="110"/>
        </w:rPr>
        <w:t>uses the</w:t>
      </w:r>
      <w:r>
        <w:rPr>
          <w:color w:val="333333"/>
          <w:spacing w:val="11"/>
          <w:w w:val="110"/>
        </w:rPr>
        <w:t xml:space="preserve"> </w:t>
      </w:r>
      <w:r>
        <w:rPr>
          <w:rFonts w:ascii="MS Gothic"/>
          <w:color w:val="B02045"/>
          <w:w w:val="110"/>
        </w:rPr>
        <w:t>ResourceHttpRequestHandler</w:t>
      </w:r>
      <w:r>
        <w:rPr>
          <w:rFonts w:ascii="MS Gothic"/>
          <w:color w:val="B02045"/>
          <w:spacing w:val="-53"/>
          <w:w w:val="110"/>
        </w:rPr>
        <w:t xml:space="preserve"> </w:t>
      </w:r>
      <w:r>
        <w:rPr>
          <w:color w:val="333333"/>
          <w:w w:val="110"/>
        </w:rPr>
        <w:t>from</w:t>
      </w:r>
      <w:r>
        <w:rPr>
          <w:color w:val="333333"/>
          <w:spacing w:val="13"/>
          <w:w w:val="110"/>
        </w:rPr>
        <w:t xml:space="preserve"> </w:t>
      </w:r>
      <w:r>
        <w:rPr>
          <w:color w:val="333333"/>
          <w:w w:val="110"/>
        </w:rPr>
        <w:t>Spring</w:t>
      </w:r>
      <w:r>
        <w:rPr>
          <w:color w:val="333333"/>
          <w:spacing w:val="11"/>
          <w:w w:val="110"/>
        </w:rPr>
        <w:t xml:space="preserve"> </w:t>
      </w:r>
      <w:r>
        <w:rPr>
          <w:color w:val="333333"/>
          <w:w w:val="110"/>
        </w:rPr>
        <w:t>MVC</w:t>
      </w:r>
      <w:r>
        <w:rPr>
          <w:color w:val="333333"/>
          <w:spacing w:val="12"/>
          <w:w w:val="110"/>
        </w:rPr>
        <w:t xml:space="preserve"> </w:t>
      </w:r>
      <w:r>
        <w:rPr>
          <w:color w:val="333333"/>
          <w:w w:val="110"/>
        </w:rPr>
        <w:t>so</w:t>
      </w:r>
      <w:r>
        <w:rPr>
          <w:color w:val="333333"/>
          <w:spacing w:val="12"/>
          <w:w w:val="110"/>
        </w:rPr>
        <w:t xml:space="preserve"> </w:t>
      </w:r>
      <w:r>
        <w:rPr>
          <w:color w:val="333333"/>
          <w:w w:val="110"/>
        </w:rPr>
        <w:t>that</w:t>
      </w:r>
      <w:r>
        <w:rPr>
          <w:color w:val="333333"/>
          <w:spacing w:val="13"/>
          <w:w w:val="110"/>
        </w:rPr>
        <w:t xml:space="preserve"> </w:t>
      </w:r>
      <w:r>
        <w:rPr>
          <w:color w:val="333333"/>
          <w:w w:val="110"/>
        </w:rPr>
        <w:t>you</w:t>
      </w:r>
      <w:r>
        <w:rPr>
          <w:color w:val="333333"/>
          <w:spacing w:val="11"/>
          <w:w w:val="110"/>
        </w:rPr>
        <w:t xml:space="preserve"> </w:t>
      </w:r>
      <w:r>
        <w:rPr>
          <w:color w:val="333333"/>
          <w:w w:val="110"/>
        </w:rPr>
        <w:t>can</w:t>
      </w:r>
      <w:r>
        <w:rPr>
          <w:color w:val="333333"/>
          <w:spacing w:val="13"/>
          <w:w w:val="110"/>
        </w:rPr>
        <w:t xml:space="preserve"> </w:t>
      </w:r>
      <w:r>
        <w:rPr>
          <w:color w:val="333333"/>
          <w:w w:val="110"/>
        </w:rPr>
        <w:t>modify</w:t>
      </w:r>
      <w:r>
        <w:rPr>
          <w:color w:val="333333"/>
          <w:spacing w:val="11"/>
          <w:w w:val="110"/>
        </w:rPr>
        <w:t xml:space="preserve"> </w:t>
      </w:r>
      <w:r>
        <w:rPr>
          <w:color w:val="333333"/>
          <w:w w:val="110"/>
        </w:rPr>
        <w:t>that</w:t>
      </w:r>
      <w:r>
        <w:rPr>
          <w:color w:val="333333"/>
          <w:spacing w:val="13"/>
          <w:w w:val="110"/>
        </w:rPr>
        <w:t xml:space="preserve"> </w:t>
      </w:r>
      <w:r>
        <w:rPr>
          <w:color w:val="333333"/>
          <w:w w:val="110"/>
        </w:rPr>
        <w:t>behavior</w:t>
      </w:r>
      <w:r>
        <w:rPr>
          <w:color w:val="333333"/>
          <w:spacing w:val="11"/>
          <w:w w:val="110"/>
        </w:rPr>
        <w:t xml:space="preserve"> </w:t>
      </w:r>
      <w:r>
        <w:rPr>
          <w:color w:val="333333"/>
          <w:spacing w:val="-3"/>
          <w:w w:val="110"/>
        </w:rPr>
        <w:t>by</w:t>
      </w:r>
      <w:r>
        <w:rPr>
          <w:color w:val="333333"/>
          <w:spacing w:val="12"/>
          <w:w w:val="110"/>
        </w:rPr>
        <w:t xml:space="preserve"> </w:t>
      </w:r>
      <w:r>
        <w:rPr>
          <w:color w:val="333333"/>
          <w:w w:val="110"/>
        </w:rPr>
        <w:t>adding</w:t>
      </w:r>
    </w:p>
    <w:p w14:paraId="383B058E" w14:textId="77777777" w:rsidR="00A720EB" w:rsidRDefault="00A720EB">
      <w:pPr>
        <w:spacing w:line="280" w:lineRule="auto"/>
        <w:jc w:val="both"/>
        <w:sectPr w:rsidR="00A720EB">
          <w:pgSz w:w="11910" w:h="16840"/>
          <w:pgMar w:top="620" w:right="840" w:bottom="520" w:left="840" w:header="0" w:footer="323" w:gutter="0"/>
          <w:cols w:space="720"/>
        </w:sectPr>
      </w:pPr>
    </w:p>
    <w:p w14:paraId="4B50EDEE" w14:textId="77777777" w:rsidR="00A720EB" w:rsidRDefault="0030286B">
      <w:pPr>
        <w:pStyle w:val="a3"/>
        <w:spacing w:before="96"/>
        <w:ind w:left="124"/>
        <w:jc w:val="both"/>
      </w:pPr>
      <w:r>
        <w:rPr>
          <w:color w:val="333333"/>
          <w:w w:val="110"/>
        </w:rPr>
        <w:lastRenderedPageBreak/>
        <w:t xml:space="preserve">your own </w:t>
      </w:r>
      <w:r>
        <w:rPr>
          <w:rFonts w:ascii="MS Gothic"/>
          <w:color w:val="B02045"/>
          <w:w w:val="110"/>
        </w:rPr>
        <w:t>WebMvcConfigurer</w:t>
      </w:r>
      <w:r>
        <w:rPr>
          <w:rFonts w:ascii="MS Gothic"/>
          <w:color w:val="B02045"/>
          <w:spacing w:val="-67"/>
          <w:w w:val="110"/>
        </w:rPr>
        <w:t xml:space="preserve"> </w:t>
      </w:r>
      <w:r>
        <w:rPr>
          <w:color w:val="333333"/>
          <w:w w:val="110"/>
        </w:rPr>
        <w:t xml:space="preserve">and overriding the </w:t>
      </w:r>
      <w:r>
        <w:rPr>
          <w:rFonts w:ascii="MS Gothic"/>
          <w:color w:val="B02045"/>
          <w:w w:val="110"/>
        </w:rPr>
        <w:t>addResourceHandlers</w:t>
      </w:r>
      <w:r>
        <w:rPr>
          <w:rFonts w:ascii="MS Gothic"/>
          <w:color w:val="B02045"/>
          <w:spacing w:val="-67"/>
          <w:w w:val="110"/>
        </w:rPr>
        <w:t xml:space="preserve"> </w:t>
      </w:r>
      <w:r>
        <w:rPr>
          <w:color w:val="333333"/>
          <w:w w:val="110"/>
        </w:rPr>
        <w:t>method.</w:t>
      </w:r>
    </w:p>
    <w:p w14:paraId="7AC49907" w14:textId="77777777" w:rsidR="00A720EB" w:rsidRDefault="00A720EB">
      <w:pPr>
        <w:pStyle w:val="a3"/>
        <w:spacing w:before="4"/>
        <w:rPr>
          <w:sz w:val="25"/>
        </w:rPr>
      </w:pPr>
    </w:p>
    <w:p w14:paraId="632F8C04" w14:textId="77777777" w:rsidR="00A720EB" w:rsidRDefault="0030286B">
      <w:pPr>
        <w:pStyle w:val="a3"/>
        <w:spacing w:line="295" w:lineRule="auto"/>
        <w:ind w:left="124" w:right="128"/>
        <w:jc w:val="both"/>
      </w:pPr>
      <w:r>
        <w:rPr>
          <w:color w:val="333333"/>
          <w:w w:val="110"/>
        </w:rPr>
        <w:t xml:space="preserve">In a stand-alone web application, the default servlet from the container is also enabled and acts as     a fallback, serving content from the root of the </w:t>
      </w:r>
      <w:r>
        <w:rPr>
          <w:rFonts w:ascii="MS Gothic"/>
          <w:color w:val="B02045"/>
          <w:w w:val="110"/>
        </w:rPr>
        <w:t xml:space="preserve">ServletContext </w:t>
      </w:r>
      <w:r>
        <w:rPr>
          <w:color w:val="333333"/>
          <w:w w:val="110"/>
        </w:rPr>
        <w:t>if Spring decides not to handle it. Most of the time, this does not happen (unless you modify the default MVC configuration), because Spring can always handle requests through the</w:t>
      </w:r>
      <w:r>
        <w:rPr>
          <w:color w:val="333333"/>
          <w:spacing w:val="9"/>
          <w:w w:val="110"/>
        </w:rPr>
        <w:t xml:space="preserve"> </w:t>
      </w:r>
      <w:r>
        <w:rPr>
          <w:rFonts w:ascii="MS Gothic"/>
          <w:color w:val="B02045"/>
          <w:w w:val="110"/>
        </w:rPr>
        <w:t>DispatcherServlet</w:t>
      </w:r>
      <w:r>
        <w:rPr>
          <w:color w:val="333333"/>
          <w:w w:val="110"/>
        </w:rPr>
        <w:t>.</w:t>
      </w:r>
    </w:p>
    <w:p w14:paraId="321B53A4" w14:textId="77777777" w:rsidR="00A720EB" w:rsidRDefault="0030286B">
      <w:pPr>
        <w:pStyle w:val="a3"/>
        <w:spacing w:before="224" w:line="280" w:lineRule="auto"/>
        <w:ind w:left="124" w:right="122"/>
        <w:jc w:val="both"/>
      </w:pPr>
      <w:r>
        <w:rPr>
          <w:color w:val="333333"/>
          <w:spacing w:val="-3"/>
          <w:w w:val="110"/>
        </w:rPr>
        <w:t xml:space="preserve">By </w:t>
      </w:r>
      <w:r>
        <w:rPr>
          <w:color w:val="333333"/>
          <w:w w:val="110"/>
        </w:rPr>
        <w:t xml:space="preserve">default, resources are mapped on </w:t>
      </w:r>
      <w:r>
        <w:rPr>
          <w:rFonts w:ascii="MS Gothic"/>
          <w:color w:val="B02045"/>
          <w:w w:val="110"/>
        </w:rPr>
        <w:t>/**</w:t>
      </w:r>
      <w:r>
        <w:rPr>
          <w:color w:val="333333"/>
          <w:w w:val="110"/>
        </w:rPr>
        <w:t xml:space="preserve">, but you can tune that with the </w:t>
      </w:r>
      <w:proofErr w:type="gramStart"/>
      <w:r>
        <w:rPr>
          <w:rFonts w:ascii="MS Gothic"/>
          <w:color w:val="B02045"/>
          <w:w w:val="110"/>
        </w:rPr>
        <w:t>spring.mvc.static</w:t>
      </w:r>
      <w:proofErr w:type="gramEnd"/>
      <w:r>
        <w:rPr>
          <w:rFonts w:ascii="MS Gothic"/>
          <w:color w:val="B02045"/>
          <w:w w:val="110"/>
        </w:rPr>
        <w:t>-path- pattern</w:t>
      </w:r>
      <w:r>
        <w:rPr>
          <w:rFonts w:ascii="MS Gothic"/>
          <w:color w:val="B02045"/>
          <w:spacing w:val="-72"/>
          <w:w w:val="110"/>
        </w:rPr>
        <w:t xml:space="preserve"> </w:t>
      </w:r>
      <w:r>
        <w:rPr>
          <w:color w:val="333333"/>
          <w:spacing w:val="-3"/>
          <w:w w:val="110"/>
        </w:rPr>
        <w:t xml:space="preserve">property. </w:t>
      </w:r>
      <w:r>
        <w:rPr>
          <w:color w:val="333333"/>
          <w:spacing w:val="-4"/>
          <w:w w:val="110"/>
        </w:rPr>
        <w:t xml:space="preserve">For </w:t>
      </w:r>
      <w:r>
        <w:rPr>
          <w:color w:val="333333"/>
          <w:w w:val="110"/>
        </w:rPr>
        <w:t xml:space="preserve">instance, relocating all resources to </w:t>
      </w:r>
      <w:r>
        <w:rPr>
          <w:rFonts w:ascii="MS Gothic"/>
          <w:color w:val="B02045"/>
          <w:w w:val="110"/>
        </w:rPr>
        <w:t>/resources/**</w:t>
      </w:r>
      <w:r>
        <w:rPr>
          <w:rFonts w:ascii="MS Gothic"/>
          <w:color w:val="B02045"/>
          <w:spacing w:val="-71"/>
          <w:w w:val="110"/>
        </w:rPr>
        <w:t xml:space="preserve"> </w:t>
      </w:r>
      <w:r>
        <w:rPr>
          <w:color w:val="333333"/>
          <w:w w:val="110"/>
        </w:rPr>
        <w:t>can be achieved as follows:</w:t>
      </w:r>
    </w:p>
    <w:p w14:paraId="5D647A6A" w14:textId="77777777" w:rsidR="00A720EB" w:rsidRDefault="00E10349">
      <w:pPr>
        <w:pStyle w:val="a3"/>
        <w:spacing w:before="1"/>
        <w:rPr>
          <w:sz w:val="14"/>
        </w:rPr>
      </w:pPr>
      <w:r>
        <w:pict w14:anchorId="496EB1AC">
          <v:group id="_x0000_s4381" style="position:absolute;margin-left:47.85pt;margin-top:10.3pt;width:499.55pt;height:37.5pt;z-index:-15549952;mso-wrap-distance-left:0;mso-wrap-distance-right:0;mso-position-horizontal-relative:page" coordorigin="957,206" coordsize="9991,750">
            <v:shape id="_x0000_s4384" style="position:absolute;left:964;top:213;width:9976;height:735" coordorigin="965,213" coordsize="9976,735" path="m10861,213r-9816,l1014,219r-26,18l971,262r-6,31l965,868r6,31l988,924r26,18l1045,948r9816,l10892,942r25,-18l10935,899r6,-31l10941,293r-6,-31l10917,237r-25,-18l10861,213xe" fillcolor="#f5f5f5" stroked="f">
              <v:path arrowok="t"/>
            </v:shape>
            <v:shape id="_x0000_s4383" style="position:absolute;left:964;top:213;width:9976;height:735" coordorigin="965,213" coordsize="9976,735" path="m1045,213r9816,l10892,219r25,18l10935,262r6,31l10941,868r-6,31l10917,924r-25,18l10861,948r-9816,l1014,942,988,924,971,899r-6,-31l965,293r6,-31l988,237r26,-18l1045,213xe" filled="f" strokecolor="#ccc">
              <v:path arrowok="t"/>
            </v:shape>
            <v:shape id="_x0000_s4382" type="#_x0000_t202" style="position:absolute;left:984;top:228;width:9938;height:704" filled="f" stroked="f">
              <v:textbox inset="0,0,0,0">
                <w:txbxContent>
                  <w:p w14:paraId="5F0FBE29" w14:textId="77777777" w:rsidR="00711A16" w:rsidRDefault="00711A16">
                    <w:pPr>
                      <w:spacing w:before="221"/>
                      <w:ind w:left="200"/>
                      <w:rPr>
                        <w:rFonts w:ascii="MS Gothic"/>
                      </w:rPr>
                    </w:pPr>
                    <w:proofErr w:type="gramStart"/>
                    <w:r>
                      <w:rPr>
                        <w:rFonts w:ascii="MS Gothic"/>
                        <w:color w:val="333333"/>
                      </w:rPr>
                      <w:t>spring.mvc.static</w:t>
                    </w:r>
                    <w:proofErr w:type="gramEnd"/>
                    <w:r>
                      <w:rPr>
                        <w:rFonts w:ascii="MS Gothic"/>
                        <w:color w:val="333333"/>
                      </w:rPr>
                      <w:t>-path-pattern=/resources/**</w:t>
                    </w:r>
                  </w:p>
                </w:txbxContent>
              </v:textbox>
            </v:shape>
            <w10:wrap type="topAndBottom" anchorx="page"/>
          </v:group>
        </w:pict>
      </w:r>
    </w:p>
    <w:p w14:paraId="72B92B6B" w14:textId="77777777" w:rsidR="00A720EB" w:rsidRDefault="00A720EB">
      <w:pPr>
        <w:pStyle w:val="a3"/>
        <w:spacing w:before="11"/>
        <w:rPr>
          <w:sz w:val="9"/>
        </w:rPr>
      </w:pPr>
    </w:p>
    <w:p w14:paraId="44C38BD3" w14:textId="77777777" w:rsidR="00A720EB" w:rsidRDefault="0030286B">
      <w:pPr>
        <w:pStyle w:val="a3"/>
        <w:spacing w:before="115" w:line="295" w:lineRule="auto"/>
        <w:ind w:left="124" w:right="122"/>
        <w:jc w:val="both"/>
      </w:pPr>
      <w:r>
        <w:rPr>
          <w:color w:val="333333"/>
          <w:spacing w:val="-6"/>
          <w:w w:val="110"/>
        </w:rPr>
        <w:t>You</w:t>
      </w:r>
      <w:r>
        <w:rPr>
          <w:color w:val="333333"/>
          <w:spacing w:val="-21"/>
          <w:w w:val="110"/>
        </w:rPr>
        <w:t xml:space="preserve"> </w:t>
      </w:r>
      <w:r>
        <w:rPr>
          <w:color w:val="333333"/>
          <w:w w:val="110"/>
        </w:rPr>
        <w:t>can</w:t>
      </w:r>
      <w:r>
        <w:rPr>
          <w:color w:val="333333"/>
          <w:spacing w:val="-20"/>
          <w:w w:val="110"/>
        </w:rPr>
        <w:t xml:space="preserve"> </w:t>
      </w:r>
      <w:r>
        <w:rPr>
          <w:color w:val="333333"/>
          <w:w w:val="110"/>
        </w:rPr>
        <w:t>also</w:t>
      </w:r>
      <w:r>
        <w:rPr>
          <w:color w:val="333333"/>
          <w:spacing w:val="-21"/>
          <w:w w:val="110"/>
        </w:rPr>
        <w:t xml:space="preserve"> </w:t>
      </w:r>
      <w:r>
        <w:rPr>
          <w:color w:val="333333"/>
          <w:w w:val="110"/>
        </w:rPr>
        <w:t>customize</w:t>
      </w:r>
      <w:r>
        <w:rPr>
          <w:color w:val="333333"/>
          <w:spacing w:val="-20"/>
          <w:w w:val="110"/>
        </w:rPr>
        <w:t xml:space="preserve"> </w:t>
      </w:r>
      <w:r>
        <w:rPr>
          <w:color w:val="333333"/>
          <w:w w:val="110"/>
        </w:rPr>
        <w:t>the</w:t>
      </w:r>
      <w:r>
        <w:rPr>
          <w:color w:val="333333"/>
          <w:spacing w:val="-21"/>
          <w:w w:val="110"/>
        </w:rPr>
        <w:t xml:space="preserve"> </w:t>
      </w:r>
      <w:r>
        <w:rPr>
          <w:color w:val="333333"/>
          <w:w w:val="110"/>
        </w:rPr>
        <w:t>static</w:t>
      </w:r>
      <w:r>
        <w:rPr>
          <w:color w:val="333333"/>
          <w:spacing w:val="-20"/>
          <w:w w:val="110"/>
        </w:rPr>
        <w:t xml:space="preserve"> </w:t>
      </w:r>
      <w:r>
        <w:rPr>
          <w:color w:val="333333"/>
          <w:w w:val="110"/>
        </w:rPr>
        <w:t>resource</w:t>
      </w:r>
      <w:r>
        <w:rPr>
          <w:color w:val="333333"/>
          <w:spacing w:val="-20"/>
          <w:w w:val="110"/>
        </w:rPr>
        <w:t xml:space="preserve"> </w:t>
      </w:r>
      <w:r>
        <w:rPr>
          <w:color w:val="333333"/>
          <w:w w:val="110"/>
        </w:rPr>
        <w:t>locations</w:t>
      </w:r>
      <w:r>
        <w:rPr>
          <w:color w:val="333333"/>
          <w:spacing w:val="-21"/>
          <w:w w:val="110"/>
        </w:rPr>
        <w:t xml:space="preserve"> </w:t>
      </w:r>
      <w:r>
        <w:rPr>
          <w:color w:val="333333"/>
          <w:spacing w:val="-3"/>
          <w:w w:val="110"/>
        </w:rPr>
        <w:t>by</w:t>
      </w:r>
      <w:r>
        <w:rPr>
          <w:color w:val="333333"/>
          <w:spacing w:val="-21"/>
          <w:w w:val="110"/>
        </w:rPr>
        <w:t xml:space="preserve"> </w:t>
      </w:r>
      <w:r>
        <w:rPr>
          <w:color w:val="333333"/>
          <w:w w:val="110"/>
        </w:rPr>
        <w:t>using</w:t>
      </w:r>
      <w:r>
        <w:rPr>
          <w:color w:val="333333"/>
          <w:spacing w:val="-21"/>
          <w:w w:val="110"/>
        </w:rPr>
        <w:t xml:space="preserve"> </w:t>
      </w:r>
      <w:r>
        <w:rPr>
          <w:color w:val="333333"/>
          <w:w w:val="110"/>
        </w:rPr>
        <w:t>the</w:t>
      </w:r>
      <w:r>
        <w:rPr>
          <w:color w:val="333333"/>
          <w:spacing w:val="-19"/>
          <w:w w:val="110"/>
        </w:rPr>
        <w:t xml:space="preserve"> </w:t>
      </w:r>
      <w:r>
        <w:rPr>
          <w:rFonts w:ascii="MS Gothic"/>
          <w:color w:val="B02045"/>
          <w:w w:val="110"/>
        </w:rPr>
        <w:t>spring.</w:t>
      </w:r>
      <w:proofErr w:type="gramStart"/>
      <w:r>
        <w:rPr>
          <w:rFonts w:ascii="MS Gothic"/>
          <w:color w:val="B02045"/>
          <w:w w:val="110"/>
        </w:rPr>
        <w:t>resources.static</w:t>
      </w:r>
      <w:proofErr w:type="gramEnd"/>
      <w:r>
        <w:rPr>
          <w:rFonts w:ascii="MS Gothic"/>
          <w:color w:val="B02045"/>
          <w:w w:val="110"/>
        </w:rPr>
        <w:t xml:space="preserve">-locations </w:t>
      </w:r>
      <w:r>
        <w:rPr>
          <w:color w:val="333333"/>
          <w:w w:val="110"/>
        </w:rPr>
        <w:t xml:space="preserve">property (replacing the default values with a list of directory locations). The root Servlet context path, </w:t>
      </w:r>
      <w:r>
        <w:rPr>
          <w:rFonts w:ascii="MS Gothic"/>
          <w:color w:val="B02045"/>
          <w:w w:val="110"/>
        </w:rPr>
        <w:t>"/"</w:t>
      </w:r>
      <w:r>
        <w:rPr>
          <w:color w:val="333333"/>
          <w:w w:val="110"/>
        </w:rPr>
        <w:t>, is automatically added as a location as</w:t>
      </w:r>
      <w:r>
        <w:rPr>
          <w:color w:val="333333"/>
          <w:spacing w:val="26"/>
          <w:w w:val="110"/>
        </w:rPr>
        <w:t xml:space="preserve"> </w:t>
      </w:r>
      <w:r>
        <w:rPr>
          <w:color w:val="333333"/>
          <w:w w:val="110"/>
        </w:rPr>
        <w:t>well.</w:t>
      </w:r>
    </w:p>
    <w:p w14:paraId="1CD8037B" w14:textId="77777777" w:rsidR="00A720EB" w:rsidRDefault="0030286B">
      <w:pPr>
        <w:pStyle w:val="a3"/>
        <w:spacing w:before="233" w:line="295" w:lineRule="auto"/>
        <w:ind w:left="124" w:right="124"/>
        <w:jc w:val="both"/>
      </w:pPr>
      <w:r>
        <w:rPr>
          <w:color w:val="333333"/>
          <w:w w:val="110"/>
        </w:rPr>
        <w:t xml:space="preserve">In addition to the “standard” static resource locations mentioned earlier, a special case is made for </w:t>
      </w:r>
      <w:hyperlink r:id="rId133">
        <w:r>
          <w:rPr>
            <w:color w:val="418BCA"/>
            <w:w w:val="110"/>
          </w:rPr>
          <w:t>Webjars content</w:t>
        </w:r>
      </w:hyperlink>
      <w:r>
        <w:rPr>
          <w:color w:val="333333"/>
          <w:w w:val="110"/>
        </w:rPr>
        <w:t xml:space="preserve">. Any resources with a path in </w:t>
      </w:r>
      <w:r>
        <w:rPr>
          <w:rFonts w:ascii="MS Gothic" w:hAnsi="MS Gothic"/>
          <w:color w:val="B02045"/>
          <w:w w:val="110"/>
        </w:rPr>
        <w:t xml:space="preserve">/webjars/** </w:t>
      </w:r>
      <w:r>
        <w:rPr>
          <w:color w:val="333333"/>
          <w:w w:val="110"/>
        </w:rPr>
        <w:t>are served from jar files if they are packaged in the Webjars format.</w:t>
      </w:r>
    </w:p>
    <w:p w14:paraId="260A59C1" w14:textId="77777777" w:rsidR="00A720EB" w:rsidRDefault="00A720EB">
      <w:pPr>
        <w:pStyle w:val="a3"/>
        <w:spacing w:before="5"/>
        <w:rPr>
          <w:sz w:val="17"/>
        </w:rPr>
      </w:pPr>
    </w:p>
    <w:p w14:paraId="7622134E" w14:textId="77777777" w:rsidR="00A720EB" w:rsidRDefault="00E10349">
      <w:pPr>
        <w:pStyle w:val="a3"/>
        <w:spacing w:before="115" w:line="278" w:lineRule="auto"/>
        <w:ind w:left="1564" w:right="364"/>
        <w:jc w:val="both"/>
      </w:pPr>
      <w:r>
        <w:pict w14:anchorId="36A2F737">
          <v:line id="_x0000_s4380" style="position:absolute;left:0;text-align:left;z-index:15908352;mso-position-horizontal-relative:page" from="108.25pt,.3pt" to="108.25pt,55.65pt" strokecolor="#ededed" strokeweight=".5pt">
            <w10:wrap anchorx="page"/>
          </v:line>
        </w:pict>
      </w:r>
      <w:r w:rsidR="0030286B">
        <w:rPr>
          <w:noProof/>
        </w:rPr>
        <w:drawing>
          <wp:anchor distT="0" distB="0" distL="0" distR="0" simplePos="0" relativeHeight="15908864" behindDoc="0" locked="0" layoutInCell="1" allowOverlap="1" wp14:anchorId="24F2C9C1" wp14:editId="1132C39D">
            <wp:simplePos x="0" y="0"/>
            <wp:positionH relativeFrom="page">
              <wp:posOffset>888949</wp:posOffset>
            </wp:positionH>
            <wp:positionV relativeFrom="paragraph">
              <wp:posOffset>202641</wp:posOffset>
            </wp:positionV>
            <wp:extent cx="209550" cy="304800"/>
            <wp:effectExtent l="0" t="0" r="0" b="0"/>
            <wp:wrapNone/>
            <wp:docPr id="22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Do not use the </w:t>
      </w:r>
      <w:r w:rsidR="0030286B">
        <w:rPr>
          <w:rFonts w:ascii="MS Gothic"/>
          <w:color w:val="B02045"/>
          <w:w w:val="110"/>
        </w:rPr>
        <w:t xml:space="preserve">src/main/webapp </w:t>
      </w:r>
      <w:r w:rsidR="0030286B">
        <w:rPr>
          <w:color w:val="333333"/>
          <w:w w:val="110"/>
        </w:rPr>
        <w:t xml:space="preserve">directory if your application is packaged as a jar. Although this directory is a common standard, it works </w:t>
      </w:r>
      <w:r w:rsidR="0030286B">
        <w:rPr>
          <w:rFonts w:ascii="Palatino Linotype"/>
          <w:b/>
          <w:color w:val="333333"/>
          <w:w w:val="110"/>
        </w:rPr>
        <w:t xml:space="preserve">only </w:t>
      </w:r>
      <w:r w:rsidR="0030286B">
        <w:rPr>
          <w:color w:val="333333"/>
          <w:w w:val="110"/>
        </w:rPr>
        <w:t>with war packaging, and it is silently ignored by most build tools if you generate a jar.</w:t>
      </w:r>
    </w:p>
    <w:p w14:paraId="144BA182" w14:textId="77777777" w:rsidR="00A720EB" w:rsidRDefault="00A720EB">
      <w:pPr>
        <w:pStyle w:val="a3"/>
        <w:spacing w:before="4"/>
        <w:rPr>
          <w:sz w:val="19"/>
        </w:rPr>
      </w:pPr>
    </w:p>
    <w:p w14:paraId="347FA99B" w14:textId="77777777" w:rsidR="00A720EB" w:rsidRDefault="0030286B">
      <w:pPr>
        <w:pStyle w:val="a3"/>
        <w:spacing w:before="125" w:line="307" w:lineRule="auto"/>
        <w:ind w:left="124" w:right="131"/>
        <w:jc w:val="both"/>
      </w:pPr>
      <w:r>
        <w:rPr>
          <w:color w:val="333333"/>
          <w:w w:val="110"/>
        </w:rPr>
        <w:t xml:space="preserve">Spring Boot also supports the advanced resource handling features provided </w:t>
      </w:r>
      <w:r>
        <w:rPr>
          <w:color w:val="333333"/>
          <w:spacing w:val="-3"/>
          <w:w w:val="110"/>
        </w:rPr>
        <w:t xml:space="preserve">by </w:t>
      </w:r>
      <w:r>
        <w:rPr>
          <w:color w:val="333333"/>
          <w:w w:val="110"/>
        </w:rPr>
        <w:t xml:space="preserve">Spring MVC, allowing use cases such as cache-busting static resources or using version agnostic URLs </w:t>
      </w:r>
      <w:proofErr w:type="gramStart"/>
      <w:r>
        <w:rPr>
          <w:color w:val="333333"/>
          <w:w w:val="110"/>
        </w:rPr>
        <w:t xml:space="preserve">for  </w:t>
      </w:r>
      <w:r>
        <w:rPr>
          <w:color w:val="333333"/>
          <w:spacing w:val="-3"/>
          <w:w w:val="110"/>
        </w:rPr>
        <w:t>Webjars</w:t>
      </w:r>
      <w:proofErr w:type="gramEnd"/>
      <w:r>
        <w:rPr>
          <w:color w:val="333333"/>
          <w:spacing w:val="-3"/>
          <w:w w:val="110"/>
        </w:rPr>
        <w:t>.</w:t>
      </w:r>
    </w:p>
    <w:p w14:paraId="209A6DB0" w14:textId="77777777" w:rsidR="00A720EB" w:rsidRDefault="0030286B">
      <w:pPr>
        <w:pStyle w:val="a3"/>
        <w:spacing w:before="231" w:line="280" w:lineRule="auto"/>
        <w:ind w:left="124" w:right="123"/>
        <w:jc w:val="both"/>
      </w:pPr>
      <w:r>
        <w:rPr>
          <w:color w:val="333333"/>
          <w:spacing w:val="-4"/>
          <w:w w:val="110"/>
        </w:rPr>
        <w:t xml:space="preserve">To </w:t>
      </w:r>
      <w:r>
        <w:rPr>
          <w:color w:val="333333"/>
          <w:w w:val="110"/>
        </w:rPr>
        <w:t xml:space="preserve">use version agnostic URLs for </w:t>
      </w:r>
      <w:r>
        <w:rPr>
          <w:color w:val="333333"/>
          <w:spacing w:val="-3"/>
          <w:w w:val="110"/>
        </w:rPr>
        <w:t xml:space="preserve">Webjars, </w:t>
      </w:r>
      <w:r>
        <w:rPr>
          <w:color w:val="333333"/>
          <w:w w:val="110"/>
        </w:rPr>
        <w:t xml:space="preserve">add the </w:t>
      </w:r>
      <w:r>
        <w:rPr>
          <w:rFonts w:ascii="MS Gothic"/>
          <w:color w:val="B02045"/>
          <w:w w:val="110"/>
        </w:rPr>
        <w:t xml:space="preserve">webjars-locator-core </w:t>
      </w:r>
      <w:r>
        <w:rPr>
          <w:color w:val="333333"/>
          <w:spacing w:val="-3"/>
          <w:w w:val="110"/>
        </w:rPr>
        <w:t xml:space="preserve">dependency. </w:t>
      </w:r>
      <w:r>
        <w:rPr>
          <w:color w:val="333333"/>
          <w:w w:val="110"/>
        </w:rPr>
        <w:t xml:space="preserve">Then declare your </w:t>
      </w:r>
      <w:r>
        <w:rPr>
          <w:color w:val="333333"/>
          <w:spacing w:val="-3"/>
          <w:w w:val="110"/>
        </w:rPr>
        <w:t xml:space="preserve">Webjar. </w:t>
      </w:r>
      <w:r>
        <w:rPr>
          <w:color w:val="333333"/>
          <w:w w:val="110"/>
        </w:rPr>
        <w:t xml:space="preserve">Using jQuery as an example, adding </w:t>
      </w:r>
      <w:r>
        <w:rPr>
          <w:rFonts w:ascii="MS Gothic"/>
          <w:color w:val="B02045"/>
          <w:w w:val="110"/>
        </w:rPr>
        <w:t xml:space="preserve">"/webjars/jquery/jquery.min.js" </w:t>
      </w:r>
      <w:r>
        <w:rPr>
          <w:color w:val="333333"/>
          <w:w w:val="110"/>
        </w:rPr>
        <w:t xml:space="preserve">results in </w:t>
      </w:r>
      <w:r>
        <w:rPr>
          <w:rFonts w:ascii="MS Gothic"/>
          <w:color w:val="B02045"/>
          <w:w w:val="110"/>
        </w:rPr>
        <w:t>"/webjars/jquery/x.y.z/jquery.min.js"</w:t>
      </w:r>
      <w:r>
        <w:rPr>
          <w:rFonts w:ascii="MS Gothic"/>
          <w:color w:val="B02045"/>
          <w:spacing w:val="-69"/>
          <w:w w:val="110"/>
        </w:rPr>
        <w:t xml:space="preserve"> </w:t>
      </w:r>
      <w:r>
        <w:rPr>
          <w:color w:val="333333"/>
          <w:w w:val="110"/>
        </w:rPr>
        <w:t xml:space="preserve">where </w:t>
      </w:r>
      <w:r>
        <w:rPr>
          <w:rFonts w:ascii="MS Gothic"/>
          <w:color w:val="B02045"/>
          <w:w w:val="110"/>
        </w:rPr>
        <w:t>x.y.z</w:t>
      </w:r>
      <w:r>
        <w:rPr>
          <w:rFonts w:ascii="MS Gothic"/>
          <w:color w:val="B02045"/>
          <w:spacing w:val="-69"/>
          <w:w w:val="110"/>
        </w:rPr>
        <w:t xml:space="preserve"> </w:t>
      </w:r>
      <w:r>
        <w:rPr>
          <w:color w:val="333333"/>
          <w:w w:val="110"/>
        </w:rPr>
        <w:t xml:space="preserve">is the </w:t>
      </w:r>
      <w:r>
        <w:rPr>
          <w:color w:val="333333"/>
          <w:spacing w:val="-3"/>
          <w:w w:val="110"/>
        </w:rPr>
        <w:t xml:space="preserve">Webjar </w:t>
      </w:r>
      <w:r>
        <w:rPr>
          <w:color w:val="333333"/>
          <w:w w:val="110"/>
        </w:rPr>
        <w:t>version.</w:t>
      </w:r>
    </w:p>
    <w:p w14:paraId="5F6EAC43" w14:textId="77777777" w:rsidR="00A720EB" w:rsidRDefault="00A720EB">
      <w:pPr>
        <w:pStyle w:val="a3"/>
        <w:spacing w:before="5"/>
        <w:rPr>
          <w:sz w:val="27"/>
        </w:rPr>
      </w:pPr>
    </w:p>
    <w:p w14:paraId="33D37070" w14:textId="77777777" w:rsidR="00A720EB" w:rsidRDefault="00E10349">
      <w:pPr>
        <w:pStyle w:val="a3"/>
        <w:spacing w:line="280" w:lineRule="auto"/>
        <w:ind w:left="1564"/>
      </w:pPr>
      <w:r>
        <w:pict w14:anchorId="638710FC">
          <v:line id="_x0000_s4379" style="position:absolute;left:0;text-align:left;z-index:15909376;mso-position-horizontal-relative:page" from="108.25pt,-5.45pt" to="108.25pt,34.1pt" strokecolor="#ededed" strokeweight=".5pt">
            <w10:wrap anchorx="page"/>
          </v:line>
        </w:pict>
      </w:r>
      <w:r w:rsidR="0030286B">
        <w:rPr>
          <w:noProof/>
        </w:rPr>
        <w:drawing>
          <wp:anchor distT="0" distB="0" distL="0" distR="0" simplePos="0" relativeHeight="15909888" behindDoc="0" locked="0" layoutInCell="1" allowOverlap="1" wp14:anchorId="4FA3812B" wp14:editId="4E9F1E7E">
            <wp:simplePos x="0" y="0"/>
            <wp:positionH relativeFrom="page">
              <wp:posOffset>844422</wp:posOffset>
            </wp:positionH>
            <wp:positionV relativeFrom="paragraph">
              <wp:posOffset>32588</wp:posOffset>
            </wp:positionV>
            <wp:extent cx="298450" cy="298450"/>
            <wp:effectExtent l="0" t="0" r="0" b="0"/>
            <wp:wrapNone/>
            <wp:docPr id="2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use JBoss, you need to declare the </w:t>
      </w:r>
      <w:r w:rsidR="0030286B">
        <w:rPr>
          <w:rFonts w:ascii="MS Gothic"/>
          <w:color w:val="B02045"/>
          <w:w w:val="110"/>
        </w:rPr>
        <w:t xml:space="preserve">webjars-locator-jboss-vfs </w:t>
      </w:r>
      <w:r w:rsidR="0030286B">
        <w:rPr>
          <w:color w:val="333333"/>
          <w:w w:val="110"/>
        </w:rPr>
        <w:t xml:space="preserve">dependency instead of the </w:t>
      </w:r>
      <w:r w:rsidR="0030286B">
        <w:rPr>
          <w:rFonts w:ascii="MS Gothic"/>
          <w:color w:val="B02045"/>
          <w:w w:val="110"/>
        </w:rPr>
        <w:t>webjars-locator-core</w:t>
      </w:r>
      <w:r w:rsidR="0030286B">
        <w:rPr>
          <w:color w:val="333333"/>
          <w:w w:val="110"/>
        </w:rPr>
        <w:t xml:space="preserve">. Otherwise, all Webjars resolve as a </w:t>
      </w:r>
      <w:r w:rsidR="0030286B">
        <w:rPr>
          <w:rFonts w:ascii="MS Gothic"/>
          <w:color w:val="B02045"/>
          <w:w w:val="110"/>
        </w:rPr>
        <w:t>404</w:t>
      </w:r>
      <w:r w:rsidR="0030286B">
        <w:rPr>
          <w:color w:val="333333"/>
          <w:w w:val="110"/>
        </w:rPr>
        <w:t>.</w:t>
      </w:r>
    </w:p>
    <w:p w14:paraId="518D5A51" w14:textId="77777777" w:rsidR="00A720EB" w:rsidRDefault="00A720EB">
      <w:pPr>
        <w:pStyle w:val="a3"/>
        <w:spacing w:before="4"/>
        <w:rPr>
          <w:sz w:val="28"/>
        </w:rPr>
      </w:pPr>
    </w:p>
    <w:p w14:paraId="36CEC944" w14:textId="77777777" w:rsidR="00A720EB" w:rsidRDefault="0030286B">
      <w:pPr>
        <w:pStyle w:val="a3"/>
        <w:spacing w:line="290" w:lineRule="auto"/>
        <w:ind w:left="124" w:right="122"/>
        <w:jc w:val="both"/>
      </w:pPr>
      <w:r>
        <w:rPr>
          <w:color w:val="333333"/>
          <w:w w:val="110"/>
        </w:rPr>
        <w:t xml:space="preserve">To use cache busting, the following configuration configures a cache busting solution for all </w:t>
      </w:r>
      <w:proofErr w:type="gramStart"/>
      <w:r>
        <w:rPr>
          <w:color w:val="333333"/>
          <w:w w:val="110"/>
        </w:rPr>
        <w:t>static  resources</w:t>
      </w:r>
      <w:proofErr w:type="gramEnd"/>
      <w:r>
        <w:rPr>
          <w:color w:val="333333"/>
          <w:w w:val="110"/>
        </w:rPr>
        <w:t xml:space="preserve">, effectively adding a content hash, such as </w:t>
      </w:r>
      <w:r>
        <w:rPr>
          <w:rFonts w:ascii="MS Gothic"/>
          <w:color w:val="B02045"/>
          <w:w w:val="110"/>
        </w:rPr>
        <w:t>&lt;link href="/css/spring- 2a2d595e6ed9a0b24f027f2b63b134d6.css"/&gt;</w:t>
      </w:r>
      <w:r>
        <w:rPr>
          <w:color w:val="333333"/>
          <w:w w:val="110"/>
        </w:rPr>
        <w:t>, in URLs:</w:t>
      </w:r>
    </w:p>
    <w:p w14:paraId="360C0880" w14:textId="77777777" w:rsidR="00A720EB" w:rsidRDefault="00E10349">
      <w:pPr>
        <w:pStyle w:val="a3"/>
        <w:spacing w:before="10"/>
        <w:rPr>
          <w:sz w:val="12"/>
        </w:rPr>
      </w:pPr>
      <w:r>
        <w:pict w14:anchorId="4961B9BD">
          <v:group id="_x0000_s4375" style="position:absolute;margin-left:47.85pt;margin-top:9.5pt;width:499.55pt;height:52.25pt;z-index:-15549440;mso-wrap-distance-left:0;mso-wrap-distance-right:0;mso-position-horizontal-relative:page" coordorigin="957,190" coordsize="9991,1045">
            <v:shape id="_x0000_s4378" style="position:absolute;left:964;top:197;width:9976;height:1030" coordorigin="965,198" coordsize="9976,1030" path="m10861,198r-9816,l1014,204r-26,17l971,247r-6,31l965,1147r6,31l988,1204r26,17l1045,1227r9816,l10892,1221r25,-17l10935,1178r6,-31l10941,278r-6,-31l10917,221r-25,-17l10861,198xe" fillcolor="#f5f5f5" stroked="f">
              <v:path arrowok="t"/>
            </v:shape>
            <v:shape id="_x0000_s4377" style="position:absolute;left:964;top:197;width:9976;height:1030" coordorigin="965,198" coordsize="9976,1030" path="m1045,198r9816,l10892,204r25,17l10935,247r6,31l10941,1147r-6,31l10917,1204r-25,17l10861,1227r-9816,l1014,1221r-26,-17l971,1178r-6,-31l965,278r6,-31l988,221r26,-17l1045,198xe" filled="f" strokecolor="#ccc">
              <v:path arrowok="t"/>
            </v:shape>
            <v:shape id="_x0000_s4376" type="#_x0000_t202" style="position:absolute;left:984;top:213;width:9938;height:999" filled="f" stroked="f">
              <v:textbox inset="0,0,0,0">
                <w:txbxContent>
                  <w:p w14:paraId="4B5C2451" w14:textId="77777777" w:rsidR="00711A16" w:rsidRDefault="00711A16">
                    <w:pPr>
                      <w:spacing w:before="221" w:line="252" w:lineRule="auto"/>
                      <w:ind w:left="200" w:right="3998"/>
                      <w:rPr>
                        <w:rFonts w:ascii="MS Gothic"/>
                      </w:rPr>
                    </w:pPr>
                    <w:r>
                      <w:rPr>
                        <w:rFonts w:ascii="MS Gothic"/>
                        <w:color w:val="333333"/>
                      </w:rPr>
                      <w:t>spring.</w:t>
                    </w:r>
                    <w:proofErr w:type="gramStart"/>
                    <w:r>
                      <w:rPr>
                        <w:rFonts w:ascii="MS Gothic"/>
                        <w:color w:val="333333"/>
                      </w:rPr>
                      <w:t>resources.chain</w:t>
                    </w:r>
                    <w:proofErr w:type="gramEnd"/>
                    <w:r>
                      <w:rPr>
                        <w:rFonts w:ascii="MS Gothic"/>
                        <w:color w:val="333333"/>
                      </w:rPr>
                      <w:t>.strategy.content.enabled=true spring.resources.chain.strategy.content.paths=/**</w:t>
                    </w:r>
                  </w:p>
                </w:txbxContent>
              </v:textbox>
            </v:shape>
            <w10:wrap type="topAndBottom" anchorx="page"/>
          </v:group>
        </w:pict>
      </w:r>
    </w:p>
    <w:p w14:paraId="06AEE554" w14:textId="77777777" w:rsidR="00A720EB" w:rsidRDefault="00A720EB">
      <w:pPr>
        <w:rPr>
          <w:sz w:val="12"/>
        </w:rPr>
        <w:sectPr w:rsidR="00A720EB">
          <w:pgSz w:w="11910" w:h="16840"/>
          <w:pgMar w:top="620" w:right="840" w:bottom="520" w:left="840" w:header="0" w:footer="323" w:gutter="0"/>
          <w:cols w:space="720"/>
        </w:sectPr>
      </w:pPr>
    </w:p>
    <w:p w14:paraId="7EA07E49" w14:textId="77777777" w:rsidR="00A720EB" w:rsidRDefault="00E10349">
      <w:pPr>
        <w:pStyle w:val="a3"/>
        <w:spacing w:before="122" w:line="297" w:lineRule="auto"/>
        <w:ind w:left="1564" w:right="363"/>
        <w:jc w:val="both"/>
      </w:pPr>
      <w:r>
        <w:lastRenderedPageBreak/>
        <w:pict w14:anchorId="451F6C10">
          <v:line id="_x0000_s4374" style="position:absolute;left:0;text-align:left;z-index:15910912;mso-position-horizontal-relative:page" from="108.25pt,.1pt" to="108.25pt,87pt" strokecolor="#ededed" strokeweight=".5pt">
            <w10:wrap anchorx="page"/>
          </v:line>
        </w:pict>
      </w:r>
      <w:r w:rsidR="0030286B">
        <w:rPr>
          <w:noProof/>
        </w:rPr>
        <w:drawing>
          <wp:anchor distT="0" distB="0" distL="0" distR="0" simplePos="0" relativeHeight="15911424" behindDoc="0" locked="0" layoutInCell="1" allowOverlap="1" wp14:anchorId="61818AEF" wp14:editId="41BBECF5">
            <wp:simplePos x="0" y="0"/>
            <wp:positionH relativeFrom="page">
              <wp:posOffset>844422</wp:posOffset>
            </wp:positionH>
            <wp:positionV relativeFrom="paragraph">
              <wp:posOffset>404026</wp:posOffset>
            </wp:positionV>
            <wp:extent cx="298450" cy="298450"/>
            <wp:effectExtent l="0" t="0" r="0" b="0"/>
            <wp:wrapNone/>
            <wp:docPr id="2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Links to resources are rewritten in templates at runtime, thanks to a </w:t>
      </w:r>
      <w:r w:rsidR="0030286B">
        <w:rPr>
          <w:rFonts w:ascii="MS Gothic"/>
          <w:color w:val="B02045"/>
          <w:w w:val="110"/>
        </w:rPr>
        <w:t>ResourceUrlEncodingFilter</w:t>
      </w:r>
      <w:r w:rsidR="0030286B">
        <w:rPr>
          <w:rFonts w:ascii="MS Gothic"/>
          <w:color w:val="B02045"/>
          <w:spacing w:val="-98"/>
          <w:w w:val="110"/>
        </w:rPr>
        <w:t xml:space="preserve"> </w:t>
      </w:r>
      <w:r w:rsidR="0030286B">
        <w:rPr>
          <w:color w:val="333333"/>
          <w:w w:val="110"/>
        </w:rPr>
        <w:t xml:space="preserve">that is auto-configured for Thymeleaf and FreeMarker. </w:t>
      </w:r>
      <w:proofErr w:type="gramStart"/>
      <w:r w:rsidR="0030286B">
        <w:rPr>
          <w:color w:val="333333"/>
          <w:spacing w:val="-6"/>
          <w:w w:val="110"/>
        </w:rPr>
        <w:t xml:space="preserve">You  </w:t>
      </w:r>
      <w:r w:rsidR="0030286B">
        <w:rPr>
          <w:color w:val="333333"/>
          <w:w w:val="110"/>
        </w:rPr>
        <w:t>should</w:t>
      </w:r>
      <w:proofErr w:type="gramEnd"/>
      <w:r w:rsidR="0030286B">
        <w:rPr>
          <w:color w:val="333333"/>
          <w:w w:val="110"/>
        </w:rPr>
        <w:t xml:space="preserve"> manually declare this filter when using JSPs. Other template engines   are currently not automatically supported but can be with custom template  macros/helpers and the use of the</w:t>
      </w:r>
      <w:r w:rsidR="0030286B">
        <w:rPr>
          <w:color w:val="333333"/>
          <w:spacing w:val="-2"/>
          <w:w w:val="110"/>
        </w:rPr>
        <w:t xml:space="preserve"> </w:t>
      </w:r>
      <w:hyperlink r:id="rId134">
        <w:r w:rsidR="0030286B">
          <w:rPr>
            <w:rFonts w:ascii="MS Gothic"/>
            <w:color w:val="B02045"/>
            <w:w w:val="110"/>
          </w:rPr>
          <w:t>ResourceUrlProvider</w:t>
        </w:r>
      </w:hyperlink>
      <w:r w:rsidR="0030286B">
        <w:rPr>
          <w:color w:val="333333"/>
          <w:w w:val="110"/>
        </w:rPr>
        <w:t>.</w:t>
      </w:r>
    </w:p>
    <w:p w14:paraId="6E19AE41" w14:textId="77777777" w:rsidR="00A720EB" w:rsidRDefault="00A720EB">
      <w:pPr>
        <w:pStyle w:val="a3"/>
        <w:spacing w:before="2"/>
        <w:rPr>
          <w:sz w:val="16"/>
        </w:rPr>
      </w:pPr>
    </w:p>
    <w:p w14:paraId="6A3ED7A4" w14:textId="77777777" w:rsidR="00A720EB" w:rsidRDefault="0030286B">
      <w:pPr>
        <w:pStyle w:val="a3"/>
        <w:spacing w:before="125" w:line="307" w:lineRule="auto"/>
        <w:ind w:left="124" w:right="128"/>
        <w:jc w:val="both"/>
      </w:pPr>
      <w:r>
        <w:rPr>
          <w:color w:val="333333"/>
          <w:w w:val="110"/>
        </w:rPr>
        <w:t>When loading resources dynamically with, for example, a JavaScript module loader, renaming files    is not an option. That is why other strategies are also supported and can be combined. A "fixed" strategy adds a static version string in the URL without changing the file name, as shown in the following</w:t>
      </w:r>
      <w:r>
        <w:rPr>
          <w:color w:val="333333"/>
          <w:spacing w:val="3"/>
          <w:w w:val="110"/>
        </w:rPr>
        <w:t xml:space="preserve"> </w:t>
      </w:r>
      <w:r>
        <w:rPr>
          <w:color w:val="333333"/>
          <w:w w:val="110"/>
        </w:rPr>
        <w:t>example:</w:t>
      </w:r>
    </w:p>
    <w:p w14:paraId="07E39B4E" w14:textId="77777777" w:rsidR="00A720EB" w:rsidRDefault="00E10349">
      <w:pPr>
        <w:pStyle w:val="a3"/>
        <w:spacing w:before="2"/>
        <w:rPr>
          <w:sz w:val="13"/>
        </w:rPr>
      </w:pPr>
      <w:r>
        <w:pict w14:anchorId="617E4FB0">
          <v:group id="_x0000_s4370" style="position:absolute;margin-left:47.85pt;margin-top:9.75pt;width:499.55pt;height:96.45pt;z-index:-15546880;mso-wrap-distance-left:0;mso-wrap-distance-right:0;mso-position-horizontal-relative:page" coordorigin="957,195" coordsize="9991,1929">
            <v:shape id="_x0000_s4373" style="position:absolute;left:964;top:202;width:9976;height:1914" coordorigin="965,202" coordsize="9976,1914" path="m10861,202r-9816,l1014,209r-26,17l971,251r-6,31l965,2036r6,32l988,2093r26,17l1045,2116r9816,l10892,2110r25,-17l10935,2068r6,-32l10941,282r-6,-31l10917,226r-25,-17l10861,202xe" fillcolor="#f5f5f5" stroked="f">
              <v:path arrowok="t"/>
            </v:shape>
            <v:shape id="_x0000_s4372" style="position:absolute;left:964;top:202;width:9976;height:1914" coordorigin="965,202" coordsize="9976,1914" path="m1045,202r9816,l10892,209r25,17l10935,251r6,31l10941,2036r-6,32l10917,2093r-25,17l10861,2116r-9816,l1014,2110r-26,-17l971,2068r-6,-32l965,282r6,-31l988,226r26,-17l1045,202xe" filled="f" strokecolor="#ccc">
              <v:path arrowok="t"/>
            </v:shape>
            <v:shape id="_x0000_s4371" type="#_x0000_t202" style="position:absolute;left:984;top:217;width:9938;height:1884" filled="f" stroked="f">
              <v:textbox inset="0,0,0,0">
                <w:txbxContent>
                  <w:p w14:paraId="370CAAB8" w14:textId="77777777" w:rsidR="00711A16" w:rsidRDefault="00711A16">
                    <w:pPr>
                      <w:spacing w:before="221" w:line="252" w:lineRule="auto"/>
                      <w:ind w:left="200" w:right="3998"/>
                      <w:rPr>
                        <w:rFonts w:ascii="MS Gothic"/>
                      </w:rPr>
                    </w:pPr>
                    <w:r>
                      <w:rPr>
                        <w:rFonts w:ascii="MS Gothic"/>
                        <w:color w:val="333333"/>
                      </w:rPr>
                      <w:t>spring.</w:t>
                    </w:r>
                    <w:proofErr w:type="gramStart"/>
                    <w:r>
                      <w:rPr>
                        <w:rFonts w:ascii="MS Gothic"/>
                        <w:color w:val="333333"/>
                      </w:rPr>
                      <w:t>resources.chain</w:t>
                    </w:r>
                    <w:proofErr w:type="gramEnd"/>
                    <w:r>
                      <w:rPr>
                        <w:rFonts w:ascii="MS Gothic"/>
                        <w:color w:val="333333"/>
                      </w:rPr>
                      <w:t>.strategy.content.enabled=true spring.resources.chain.strategy.content.paths=/** spring.resources.chain.strategy.fixed.enabled=true spring.resources.chain.strategy.fixed.paths=/js/lib/ spring.resources.chain.strategy.fixed.version=v12</w:t>
                    </w:r>
                  </w:p>
                </w:txbxContent>
              </v:textbox>
            </v:shape>
            <w10:wrap type="topAndBottom" anchorx="page"/>
          </v:group>
        </w:pict>
      </w:r>
    </w:p>
    <w:p w14:paraId="41C9A1F4" w14:textId="77777777" w:rsidR="00A720EB" w:rsidRDefault="00A720EB">
      <w:pPr>
        <w:pStyle w:val="a3"/>
        <w:spacing w:before="11"/>
        <w:rPr>
          <w:sz w:val="9"/>
        </w:rPr>
      </w:pPr>
    </w:p>
    <w:p w14:paraId="6F56E455" w14:textId="77777777" w:rsidR="00A720EB" w:rsidRDefault="0030286B">
      <w:pPr>
        <w:pStyle w:val="a3"/>
        <w:spacing w:before="115" w:line="280" w:lineRule="auto"/>
        <w:ind w:left="124" w:right="122"/>
        <w:jc w:val="both"/>
      </w:pPr>
      <w:r>
        <w:rPr>
          <w:color w:val="333333"/>
          <w:w w:val="110"/>
        </w:rPr>
        <w:t xml:space="preserve">With this configuration, JavaScript modules located under </w:t>
      </w:r>
      <w:r>
        <w:rPr>
          <w:rFonts w:ascii="MS Gothic"/>
          <w:color w:val="B02045"/>
          <w:w w:val="110"/>
        </w:rPr>
        <w:t xml:space="preserve">"/js/lib/" </w:t>
      </w:r>
      <w:r>
        <w:rPr>
          <w:color w:val="333333"/>
          <w:w w:val="110"/>
        </w:rPr>
        <w:t>use a fixed versioning strategy (</w:t>
      </w:r>
      <w:r>
        <w:rPr>
          <w:rFonts w:ascii="MS Gothic"/>
          <w:color w:val="B02045"/>
          <w:w w:val="110"/>
        </w:rPr>
        <w:t>"/v12/js/lib/mymodule.js"</w:t>
      </w:r>
      <w:r>
        <w:rPr>
          <w:color w:val="333333"/>
          <w:w w:val="110"/>
        </w:rPr>
        <w:t>), while other resources still use the content one (</w:t>
      </w:r>
      <w:r>
        <w:rPr>
          <w:rFonts w:ascii="MS Gothic"/>
          <w:color w:val="B02045"/>
          <w:w w:val="110"/>
        </w:rPr>
        <w:t>&lt;link href="/css/spring-2a2d595e6ed9a0b24f027f2b63b134d6.css"/&gt;</w:t>
      </w:r>
      <w:r>
        <w:rPr>
          <w:color w:val="333333"/>
          <w:w w:val="110"/>
        </w:rPr>
        <w:t>).</w:t>
      </w:r>
    </w:p>
    <w:p w14:paraId="738270C9" w14:textId="77777777" w:rsidR="00A720EB" w:rsidRDefault="0030286B">
      <w:pPr>
        <w:pStyle w:val="a3"/>
        <w:spacing w:before="243"/>
        <w:ind w:left="124"/>
        <w:jc w:val="both"/>
      </w:pPr>
      <w:r>
        <w:rPr>
          <w:color w:val="333333"/>
          <w:w w:val="110"/>
        </w:rPr>
        <w:t xml:space="preserve">See </w:t>
      </w:r>
      <w:hyperlink r:id="rId135">
        <w:r>
          <w:rPr>
            <w:rFonts w:ascii="MS Gothic"/>
            <w:color w:val="B02045"/>
            <w:w w:val="110"/>
          </w:rPr>
          <w:t>ResourceProperties</w:t>
        </w:r>
        <w:r>
          <w:rPr>
            <w:rFonts w:ascii="MS Gothic"/>
            <w:color w:val="B02045"/>
            <w:spacing w:val="-59"/>
            <w:w w:val="110"/>
          </w:rPr>
          <w:t xml:space="preserve"> </w:t>
        </w:r>
      </w:hyperlink>
      <w:r>
        <w:rPr>
          <w:color w:val="333333"/>
          <w:w w:val="110"/>
        </w:rPr>
        <w:t>for more supported options.</w:t>
      </w:r>
    </w:p>
    <w:p w14:paraId="6E2DBC0A" w14:textId="77777777" w:rsidR="00A720EB" w:rsidRDefault="00A720EB">
      <w:pPr>
        <w:pStyle w:val="a3"/>
        <w:spacing w:before="2"/>
        <w:rPr>
          <w:sz w:val="32"/>
        </w:rPr>
      </w:pPr>
    </w:p>
    <w:p w14:paraId="6B93B08F" w14:textId="77777777" w:rsidR="00A720EB" w:rsidRDefault="00E10349">
      <w:pPr>
        <w:pStyle w:val="a3"/>
        <w:spacing w:line="307" w:lineRule="auto"/>
        <w:ind w:left="1564" w:right="359"/>
      </w:pPr>
      <w:r>
        <w:pict w14:anchorId="45C4073A">
          <v:line id="_x0000_s4369" style="position:absolute;left:0;text-align:left;z-index:15911936;mso-position-horizontal-relative:page" from="108.25pt,-6pt" to="108.25pt,33.55pt" strokecolor="#ededed" strokeweight=".5pt">
            <w10:wrap anchorx="page"/>
          </v:line>
        </w:pict>
      </w:r>
      <w:r w:rsidR="0030286B">
        <w:rPr>
          <w:noProof/>
        </w:rPr>
        <w:drawing>
          <wp:anchor distT="0" distB="0" distL="0" distR="0" simplePos="0" relativeHeight="15912448" behindDoc="0" locked="0" layoutInCell="1" allowOverlap="1" wp14:anchorId="0C561251" wp14:editId="5D096386">
            <wp:simplePos x="0" y="0"/>
            <wp:positionH relativeFrom="page">
              <wp:posOffset>888949</wp:posOffset>
            </wp:positionH>
            <wp:positionV relativeFrom="paragraph">
              <wp:posOffset>22771</wp:posOffset>
            </wp:positionV>
            <wp:extent cx="209550" cy="304800"/>
            <wp:effectExtent l="0" t="0" r="0" b="0"/>
            <wp:wrapNone/>
            <wp:docPr id="2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This feature has been thoroughly described in a dedicated </w:t>
      </w:r>
      <w:hyperlink r:id="rId136">
        <w:r w:rsidR="0030286B">
          <w:rPr>
            <w:color w:val="418BCA"/>
            <w:w w:val="110"/>
          </w:rPr>
          <w:t xml:space="preserve">blog post </w:t>
        </w:r>
      </w:hyperlink>
      <w:r w:rsidR="0030286B">
        <w:rPr>
          <w:color w:val="333333"/>
          <w:w w:val="110"/>
        </w:rPr>
        <w:t xml:space="preserve">and in Spring Framework’s </w:t>
      </w:r>
      <w:hyperlink r:id="rId137" w:anchor="mvc-config-static-resources">
        <w:r w:rsidR="0030286B">
          <w:rPr>
            <w:color w:val="418BCA"/>
            <w:w w:val="110"/>
          </w:rPr>
          <w:t>reference documentation</w:t>
        </w:r>
      </w:hyperlink>
      <w:r w:rsidR="0030286B">
        <w:rPr>
          <w:color w:val="333333"/>
          <w:w w:val="110"/>
        </w:rPr>
        <w:t>.</w:t>
      </w:r>
    </w:p>
    <w:p w14:paraId="1BE95191" w14:textId="77777777" w:rsidR="00A720EB" w:rsidRDefault="00A720EB">
      <w:pPr>
        <w:pStyle w:val="a3"/>
        <w:spacing w:before="5"/>
        <w:rPr>
          <w:sz w:val="32"/>
        </w:rPr>
      </w:pPr>
    </w:p>
    <w:p w14:paraId="60EAE5A4" w14:textId="77777777" w:rsidR="00A720EB" w:rsidRDefault="0030286B">
      <w:pPr>
        <w:pStyle w:val="4"/>
        <w:spacing w:before="1"/>
        <w:jc w:val="left"/>
      </w:pPr>
      <w:r>
        <w:rPr>
          <w:color w:val="333333"/>
          <w:w w:val="110"/>
        </w:rPr>
        <w:t>Welcome Page</w:t>
      </w:r>
    </w:p>
    <w:p w14:paraId="2E78A6BC" w14:textId="77777777" w:rsidR="00A720EB" w:rsidRDefault="0030286B">
      <w:pPr>
        <w:pStyle w:val="a3"/>
        <w:spacing w:before="243" w:line="285" w:lineRule="auto"/>
        <w:ind w:left="124" w:right="122"/>
        <w:jc w:val="both"/>
      </w:pPr>
      <w:r>
        <w:rPr>
          <w:color w:val="333333"/>
          <w:w w:val="110"/>
        </w:rPr>
        <w:t xml:space="preserve">Spring Boot supports both static and templated welcome pages. It first looks for an </w:t>
      </w:r>
      <w:r>
        <w:rPr>
          <w:rFonts w:ascii="MS Gothic"/>
          <w:color w:val="B02045"/>
          <w:w w:val="110"/>
        </w:rPr>
        <w:t>index.html</w:t>
      </w:r>
      <w:r>
        <w:rPr>
          <w:rFonts w:ascii="MS Gothic"/>
          <w:color w:val="B02045"/>
          <w:spacing w:val="-86"/>
          <w:w w:val="110"/>
        </w:rPr>
        <w:t xml:space="preserve"> </w:t>
      </w:r>
      <w:r>
        <w:rPr>
          <w:color w:val="333333"/>
          <w:w w:val="110"/>
        </w:rPr>
        <w:t xml:space="preserve">file in the configured static content locations. If one is not found, it then looks for an </w:t>
      </w:r>
      <w:r>
        <w:rPr>
          <w:rFonts w:ascii="MS Gothic"/>
          <w:color w:val="B02045"/>
          <w:w w:val="110"/>
        </w:rPr>
        <w:t xml:space="preserve">index </w:t>
      </w:r>
      <w:r>
        <w:rPr>
          <w:color w:val="333333"/>
          <w:w w:val="110"/>
        </w:rPr>
        <w:t>template. If either is found, it is automatically used as the welcome page of the application.</w:t>
      </w:r>
    </w:p>
    <w:p w14:paraId="65A15230" w14:textId="77777777" w:rsidR="00A720EB" w:rsidRDefault="00A720EB">
      <w:pPr>
        <w:pStyle w:val="a3"/>
        <w:spacing w:before="8"/>
        <w:rPr>
          <w:sz w:val="27"/>
        </w:rPr>
      </w:pPr>
    </w:p>
    <w:p w14:paraId="78DAD7BF" w14:textId="77777777" w:rsidR="00A720EB" w:rsidRDefault="0030286B">
      <w:pPr>
        <w:pStyle w:val="4"/>
        <w:jc w:val="left"/>
      </w:pPr>
      <w:bookmarkStart w:id="251" w:name="Custom_Favicon"/>
      <w:bookmarkEnd w:id="251"/>
      <w:r>
        <w:rPr>
          <w:color w:val="333333"/>
          <w:w w:val="110"/>
        </w:rPr>
        <w:t>Custom Favicon</w:t>
      </w:r>
    </w:p>
    <w:p w14:paraId="7E93B232" w14:textId="77777777" w:rsidR="00A720EB" w:rsidRDefault="0030286B">
      <w:pPr>
        <w:pStyle w:val="a3"/>
        <w:spacing w:before="244" w:line="290" w:lineRule="auto"/>
        <w:ind w:left="124" w:right="123"/>
        <w:jc w:val="both"/>
      </w:pPr>
      <w:r>
        <w:rPr>
          <w:color w:val="333333"/>
          <w:w w:val="110"/>
        </w:rPr>
        <w:t xml:space="preserve">As with other static resources, Spring Boot looks for a </w:t>
      </w:r>
      <w:r>
        <w:rPr>
          <w:rFonts w:ascii="MS Gothic"/>
          <w:color w:val="B02045"/>
          <w:w w:val="110"/>
        </w:rPr>
        <w:t xml:space="preserve">favicon.ico </w:t>
      </w:r>
      <w:r>
        <w:rPr>
          <w:color w:val="333333"/>
          <w:w w:val="110"/>
        </w:rPr>
        <w:t>in the configured static content locations. If such a file is present, it is automatically used as the favicon of the application.</w:t>
      </w:r>
    </w:p>
    <w:p w14:paraId="03281317" w14:textId="77777777" w:rsidR="00A720EB" w:rsidRDefault="00A720EB">
      <w:pPr>
        <w:pStyle w:val="a3"/>
        <w:spacing w:before="1"/>
        <w:rPr>
          <w:sz w:val="27"/>
        </w:rPr>
      </w:pPr>
    </w:p>
    <w:p w14:paraId="337114A0" w14:textId="77777777" w:rsidR="00A720EB" w:rsidRDefault="0030286B">
      <w:pPr>
        <w:pStyle w:val="4"/>
        <w:jc w:val="left"/>
      </w:pPr>
      <w:bookmarkStart w:id="252" w:name="Path_Matching_and_Content_Negotiation"/>
      <w:bookmarkEnd w:id="252"/>
      <w:r>
        <w:rPr>
          <w:color w:val="333333"/>
          <w:w w:val="110"/>
        </w:rPr>
        <w:t>Path Matching and Content Negotiation</w:t>
      </w:r>
    </w:p>
    <w:p w14:paraId="14310B9B" w14:textId="77777777" w:rsidR="00A720EB" w:rsidRDefault="00A720EB">
      <w:pPr>
        <w:pStyle w:val="a3"/>
        <w:spacing w:before="11"/>
        <w:rPr>
          <w:rFonts w:ascii="Palatino Linotype"/>
          <w:b/>
          <w:sz w:val="18"/>
        </w:rPr>
      </w:pPr>
    </w:p>
    <w:p w14:paraId="3896FCBF" w14:textId="77777777" w:rsidR="00A720EB" w:rsidRDefault="0030286B">
      <w:pPr>
        <w:pStyle w:val="a3"/>
        <w:spacing w:before="1" w:line="295" w:lineRule="auto"/>
        <w:ind w:left="124" w:right="126"/>
        <w:jc w:val="both"/>
      </w:pPr>
      <w:r>
        <w:rPr>
          <w:color w:val="333333"/>
          <w:w w:val="110"/>
        </w:rPr>
        <w:t xml:space="preserve">Spring MVC can map incoming HTTP requests to handlers by looking at the request path and matching it to the mappings defined in your application (for example, </w:t>
      </w:r>
      <w:r>
        <w:rPr>
          <w:rFonts w:ascii="MS Gothic"/>
          <w:color w:val="B02045"/>
          <w:w w:val="110"/>
        </w:rPr>
        <w:t xml:space="preserve">@GetMapping </w:t>
      </w:r>
      <w:r>
        <w:rPr>
          <w:color w:val="333333"/>
          <w:w w:val="110"/>
        </w:rPr>
        <w:t>annotations on Controller methods).</w:t>
      </w:r>
    </w:p>
    <w:p w14:paraId="136AF126" w14:textId="77777777" w:rsidR="00A720EB" w:rsidRDefault="0030286B">
      <w:pPr>
        <w:pStyle w:val="a3"/>
        <w:spacing w:before="250" w:line="300" w:lineRule="auto"/>
        <w:ind w:left="124" w:right="122"/>
        <w:jc w:val="both"/>
      </w:pPr>
      <w:r>
        <w:rPr>
          <w:color w:val="333333"/>
          <w:w w:val="110"/>
        </w:rPr>
        <w:t xml:space="preserve">Spring Boot chooses to disable suffix pattern matching </w:t>
      </w:r>
      <w:r>
        <w:rPr>
          <w:color w:val="333333"/>
          <w:spacing w:val="-3"/>
          <w:w w:val="110"/>
        </w:rPr>
        <w:t xml:space="preserve">by </w:t>
      </w:r>
      <w:r>
        <w:rPr>
          <w:color w:val="333333"/>
          <w:w w:val="110"/>
        </w:rPr>
        <w:t xml:space="preserve">default, which means that requests </w:t>
      </w:r>
      <w:proofErr w:type="gramStart"/>
      <w:r>
        <w:rPr>
          <w:color w:val="333333"/>
          <w:w w:val="110"/>
        </w:rPr>
        <w:t xml:space="preserve">like  </w:t>
      </w:r>
      <w:r>
        <w:rPr>
          <w:rFonts w:ascii="MS Gothic" w:hAnsi="MS Gothic"/>
          <w:color w:val="B02045"/>
          <w:w w:val="110"/>
        </w:rPr>
        <w:t>"</w:t>
      </w:r>
      <w:proofErr w:type="gramEnd"/>
      <w:r>
        <w:rPr>
          <w:rFonts w:ascii="MS Gothic" w:hAnsi="MS Gothic"/>
          <w:color w:val="B02045"/>
          <w:w w:val="110"/>
        </w:rPr>
        <w:t>GET /projects/spring-boot.json"</w:t>
      </w:r>
      <w:r>
        <w:rPr>
          <w:rFonts w:ascii="MS Gothic" w:hAnsi="MS Gothic"/>
          <w:color w:val="B02045"/>
          <w:spacing w:val="-48"/>
          <w:w w:val="110"/>
        </w:rPr>
        <w:t xml:space="preserve"> </w:t>
      </w:r>
      <w:r>
        <w:rPr>
          <w:color w:val="333333"/>
          <w:w w:val="110"/>
        </w:rPr>
        <w:t xml:space="preserve">won’t be matched to </w:t>
      </w:r>
      <w:r>
        <w:rPr>
          <w:rFonts w:ascii="MS Gothic" w:hAnsi="MS Gothic"/>
          <w:color w:val="B02045"/>
          <w:w w:val="110"/>
        </w:rPr>
        <w:t xml:space="preserve">@GetMapping("/projects/spring-boot") </w:t>
      </w:r>
      <w:r>
        <w:rPr>
          <w:color w:val="333333"/>
          <w:w w:val="110"/>
        </w:rPr>
        <w:t xml:space="preserve">mappings. This is considered as a </w:t>
      </w:r>
      <w:hyperlink r:id="rId138" w:anchor="mvc-ann-requestmapping-suffix-pattern-match">
        <w:r>
          <w:rPr>
            <w:color w:val="418BCA"/>
            <w:w w:val="110"/>
          </w:rPr>
          <w:t>best practice for Spring MVC applications</w:t>
        </w:r>
      </w:hyperlink>
      <w:r>
        <w:rPr>
          <w:color w:val="333333"/>
          <w:w w:val="110"/>
        </w:rPr>
        <w:t xml:space="preserve">. </w:t>
      </w:r>
      <w:proofErr w:type="gramStart"/>
      <w:r>
        <w:rPr>
          <w:color w:val="333333"/>
          <w:w w:val="110"/>
        </w:rPr>
        <w:t>This  feature</w:t>
      </w:r>
      <w:proofErr w:type="gramEnd"/>
      <w:r>
        <w:rPr>
          <w:color w:val="333333"/>
          <w:w w:val="110"/>
        </w:rPr>
        <w:t xml:space="preserve">  was  mainly useful in the past for HTTP clients which did not send proper </w:t>
      </w:r>
      <w:r>
        <w:rPr>
          <w:color w:val="333333"/>
          <w:spacing w:val="-4"/>
          <w:w w:val="110"/>
        </w:rPr>
        <w:t xml:space="preserve">"Accept" </w:t>
      </w:r>
      <w:r>
        <w:rPr>
          <w:color w:val="333333"/>
          <w:w w:val="110"/>
        </w:rPr>
        <w:t>request headers; we needed</w:t>
      </w:r>
      <w:r>
        <w:rPr>
          <w:color w:val="333333"/>
          <w:spacing w:val="10"/>
          <w:w w:val="110"/>
        </w:rPr>
        <w:t xml:space="preserve"> </w:t>
      </w:r>
      <w:r>
        <w:rPr>
          <w:color w:val="333333"/>
          <w:w w:val="110"/>
        </w:rPr>
        <w:t>to</w:t>
      </w:r>
      <w:r>
        <w:rPr>
          <w:color w:val="333333"/>
          <w:spacing w:val="10"/>
          <w:w w:val="110"/>
        </w:rPr>
        <w:t xml:space="preserve"> </w:t>
      </w:r>
      <w:r>
        <w:rPr>
          <w:color w:val="333333"/>
          <w:w w:val="110"/>
        </w:rPr>
        <w:t>make</w:t>
      </w:r>
      <w:r>
        <w:rPr>
          <w:color w:val="333333"/>
          <w:spacing w:val="11"/>
          <w:w w:val="110"/>
        </w:rPr>
        <w:t xml:space="preserve"> </w:t>
      </w:r>
      <w:r>
        <w:rPr>
          <w:color w:val="333333"/>
          <w:w w:val="110"/>
        </w:rPr>
        <w:t>sure</w:t>
      </w:r>
      <w:r>
        <w:rPr>
          <w:color w:val="333333"/>
          <w:spacing w:val="10"/>
          <w:w w:val="110"/>
        </w:rPr>
        <w:t xml:space="preserve"> </w:t>
      </w:r>
      <w:r>
        <w:rPr>
          <w:color w:val="333333"/>
          <w:w w:val="110"/>
        </w:rPr>
        <w:t>to</w:t>
      </w:r>
      <w:r>
        <w:rPr>
          <w:color w:val="333333"/>
          <w:spacing w:val="11"/>
          <w:w w:val="110"/>
        </w:rPr>
        <w:t xml:space="preserve"> </w:t>
      </w:r>
      <w:r>
        <w:rPr>
          <w:color w:val="333333"/>
          <w:w w:val="110"/>
        </w:rPr>
        <w:t>send</w:t>
      </w:r>
      <w:r>
        <w:rPr>
          <w:color w:val="333333"/>
          <w:spacing w:val="10"/>
          <w:w w:val="110"/>
        </w:rPr>
        <w:t xml:space="preserve"> </w:t>
      </w:r>
      <w:r>
        <w:rPr>
          <w:color w:val="333333"/>
          <w:w w:val="110"/>
        </w:rPr>
        <w:t>the</w:t>
      </w:r>
      <w:r>
        <w:rPr>
          <w:color w:val="333333"/>
          <w:spacing w:val="11"/>
          <w:w w:val="110"/>
        </w:rPr>
        <w:t xml:space="preserve"> </w:t>
      </w:r>
      <w:r>
        <w:rPr>
          <w:color w:val="333333"/>
          <w:w w:val="110"/>
        </w:rPr>
        <w:t>correct</w:t>
      </w:r>
      <w:r>
        <w:rPr>
          <w:color w:val="333333"/>
          <w:spacing w:val="10"/>
          <w:w w:val="110"/>
        </w:rPr>
        <w:t xml:space="preserve"> </w:t>
      </w:r>
      <w:r>
        <w:rPr>
          <w:color w:val="333333"/>
          <w:w w:val="110"/>
        </w:rPr>
        <w:t>Content</w:t>
      </w:r>
      <w:r>
        <w:rPr>
          <w:color w:val="333333"/>
          <w:spacing w:val="10"/>
          <w:w w:val="110"/>
        </w:rPr>
        <w:t xml:space="preserve"> </w:t>
      </w:r>
      <w:r>
        <w:rPr>
          <w:color w:val="333333"/>
          <w:w w:val="110"/>
        </w:rPr>
        <w:t>Type</w:t>
      </w:r>
      <w:r>
        <w:rPr>
          <w:color w:val="333333"/>
          <w:spacing w:val="11"/>
          <w:w w:val="110"/>
        </w:rPr>
        <w:t xml:space="preserve"> </w:t>
      </w:r>
      <w:r>
        <w:rPr>
          <w:color w:val="333333"/>
          <w:w w:val="110"/>
        </w:rPr>
        <w:t>to</w:t>
      </w:r>
      <w:r>
        <w:rPr>
          <w:color w:val="333333"/>
          <w:spacing w:val="10"/>
          <w:w w:val="110"/>
        </w:rPr>
        <w:t xml:space="preserve"> </w:t>
      </w:r>
      <w:r>
        <w:rPr>
          <w:color w:val="333333"/>
          <w:w w:val="110"/>
        </w:rPr>
        <w:t>the</w:t>
      </w:r>
      <w:r>
        <w:rPr>
          <w:color w:val="333333"/>
          <w:spacing w:val="11"/>
          <w:w w:val="110"/>
        </w:rPr>
        <w:t xml:space="preserve"> </w:t>
      </w:r>
      <w:r>
        <w:rPr>
          <w:color w:val="333333"/>
          <w:w w:val="110"/>
        </w:rPr>
        <w:t>client.</w:t>
      </w:r>
      <w:r>
        <w:rPr>
          <w:color w:val="333333"/>
          <w:spacing w:val="10"/>
          <w:w w:val="110"/>
        </w:rPr>
        <w:t xml:space="preserve"> </w:t>
      </w:r>
      <w:r>
        <w:rPr>
          <w:color w:val="333333"/>
          <w:w w:val="110"/>
        </w:rPr>
        <w:t>Nowadays,</w:t>
      </w:r>
      <w:r>
        <w:rPr>
          <w:color w:val="333333"/>
          <w:spacing w:val="11"/>
          <w:w w:val="110"/>
        </w:rPr>
        <w:t xml:space="preserve"> </w:t>
      </w:r>
      <w:r>
        <w:rPr>
          <w:color w:val="333333"/>
          <w:w w:val="110"/>
        </w:rPr>
        <w:t>Content</w:t>
      </w:r>
      <w:r>
        <w:rPr>
          <w:color w:val="333333"/>
          <w:spacing w:val="10"/>
          <w:w w:val="110"/>
        </w:rPr>
        <w:t xml:space="preserve"> </w:t>
      </w:r>
      <w:r>
        <w:rPr>
          <w:color w:val="333333"/>
          <w:w w:val="110"/>
        </w:rPr>
        <w:t>Negotiation</w:t>
      </w:r>
    </w:p>
    <w:p w14:paraId="08B1F668" w14:textId="77777777" w:rsidR="00A720EB" w:rsidRDefault="00A720EB">
      <w:pPr>
        <w:spacing w:line="300" w:lineRule="auto"/>
        <w:jc w:val="both"/>
        <w:sectPr w:rsidR="00A720EB">
          <w:pgSz w:w="11910" w:h="16840"/>
          <w:pgMar w:top="700" w:right="840" w:bottom="520" w:left="840" w:header="0" w:footer="323" w:gutter="0"/>
          <w:cols w:space="720"/>
        </w:sectPr>
      </w:pPr>
    </w:p>
    <w:p w14:paraId="2E469EB7" w14:textId="77777777" w:rsidR="00A720EB" w:rsidRDefault="0030286B">
      <w:pPr>
        <w:pStyle w:val="a3"/>
        <w:spacing w:before="107"/>
        <w:ind w:left="124"/>
        <w:jc w:val="both"/>
      </w:pPr>
      <w:r>
        <w:rPr>
          <w:color w:val="333333"/>
          <w:w w:val="110"/>
        </w:rPr>
        <w:lastRenderedPageBreak/>
        <w:t>is much more reliable.</w:t>
      </w:r>
    </w:p>
    <w:p w14:paraId="6643AF64" w14:textId="77777777" w:rsidR="00A720EB" w:rsidRDefault="00A720EB">
      <w:pPr>
        <w:pStyle w:val="a3"/>
        <w:spacing w:before="4"/>
        <w:rPr>
          <w:sz w:val="26"/>
        </w:rPr>
      </w:pPr>
    </w:p>
    <w:p w14:paraId="4DAC7228" w14:textId="77777777" w:rsidR="00A720EB" w:rsidRDefault="0030286B">
      <w:pPr>
        <w:pStyle w:val="a3"/>
        <w:spacing w:line="295" w:lineRule="auto"/>
        <w:ind w:left="124" w:right="122"/>
        <w:jc w:val="both"/>
      </w:pPr>
      <w:r>
        <w:rPr>
          <w:color w:val="333333"/>
          <w:w w:val="110"/>
        </w:rPr>
        <w:t xml:space="preserve">There are other ways to deal with HTTP clients that don’t consistently send proper </w:t>
      </w:r>
      <w:r>
        <w:rPr>
          <w:color w:val="333333"/>
          <w:spacing w:val="-4"/>
          <w:w w:val="110"/>
        </w:rPr>
        <w:t xml:space="preserve">"Accept" </w:t>
      </w:r>
      <w:r>
        <w:rPr>
          <w:color w:val="333333"/>
          <w:w w:val="110"/>
        </w:rPr>
        <w:t xml:space="preserve">request headers. Instead of using suffix matching, we can use a query parameter to ensure that requests   </w:t>
      </w:r>
      <w:r>
        <w:rPr>
          <w:color w:val="333333"/>
          <w:spacing w:val="50"/>
          <w:w w:val="110"/>
        </w:rPr>
        <w:t xml:space="preserve"> </w:t>
      </w:r>
      <w:r>
        <w:rPr>
          <w:color w:val="333333"/>
          <w:w w:val="105"/>
        </w:rPr>
        <w:t xml:space="preserve">like </w:t>
      </w:r>
      <w:r>
        <w:rPr>
          <w:rFonts w:ascii="MS Gothic" w:hAnsi="MS Gothic"/>
          <w:color w:val="B02045"/>
          <w:w w:val="105"/>
        </w:rPr>
        <w:t xml:space="preserve">"GET /projects/spring-boot?format=json" </w:t>
      </w:r>
      <w:r>
        <w:rPr>
          <w:color w:val="333333"/>
          <w:w w:val="105"/>
        </w:rPr>
        <w:t xml:space="preserve">will be mapped to </w:t>
      </w:r>
      <w:r>
        <w:rPr>
          <w:rFonts w:ascii="MS Gothic" w:hAnsi="MS Gothic"/>
          <w:color w:val="B02045"/>
          <w:w w:val="105"/>
        </w:rPr>
        <w:t>@</w:t>
      </w:r>
      <w:proofErr w:type="gramStart"/>
      <w:r>
        <w:rPr>
          <w:rFonts w:ascii="MS Gothic" w:hAnsi="MS Gothic"/>
          <w:color w:val="B02045"/>
          <w:w w:val="105"/>
        </w:rPr>
        <w:t>GetMapping(</w:t>
      </w:r>
      <w:proofErr w:type="gramEnd"/>
      <w:r>
        <w:rPr>
          <w:rFonts w:ascii="MS Gothic" w:hAnsi="MS Gothic"/>
          <w:color w:val="B02045"/>
          <w:w w:val="105"/>
        </w:rPr>
        <w:t xml:space="preserve">"/projects/spring- </w:t>
      </w:r>
      <w:r>
        <w:rPr>
          <w:rFonts w:ascii="MS Gothic" w:hAnsi="MS Gothic"/>
          <w:color w:val="B02045"/>
          <w:w w:val="110"/>
        </w:rPr>
        <w:t>boot")</w:t>
      </w:r>
      <w:r>
        <w:rPr>
          <w:color w:val="333333"/>
          <w:w w:val="110"/>
        </w:rPr>
        <w:t>:</w:t>
      </w:r>
    </w:p>
    <w:p w14:paraId="6BA458C6" w14:textId="77777777" w:rsidR="00A720EB" w:rsidRDefault="00E10349">
      <w:pPr>
        <w:pStyle w:val="a3"/>
        <w:spacing w:before="7"/>
        <w:rPr>
          <w:sz w:val="12"/>
        </w:rPr>
      </w:pPr>
      <w:r>
        <w:pict w14:anchorId="4C3BEB10">
          <v:group id="_x0000_s4365" style="position:absolute;margin-left:47.85pt;margin-top:9.4pt;width:499.55pt;height:125.95pt;z-index:-15544320;mso-wrap-distance-left:0;mso-wrap-distance-right:0;mso-position-horizontal-relative:page" coordorigin="957,188" coordsize="9991,2519">
            <v:shape id="_x0000_s4368" style="position:absolute;left:964;top:195;width:9976;height:2504" coordorigin="965,196" coordsize="9976,2504" path="m10861,196r-9816,l1014,202r-26,17l971,245r-6,31l965,2619r6,31l988,2676r26,17l1045,2699r9816,l10892,2693r25,-17l10935,2650r6,-31l10941,276r-6,-31l10917,219r-25,-17l10861,196xe" fillcolor="#f5f5f5" stroked="f">
              <v:path arrowok="t"/>
            </v:shape>
            <v:shape id="_x0000_s4367" style="position:absolute;left:964;top:195;width:9976;height:2504" coordorigin="965,196" coordsize="9976,2504" path="m1045,196r9816,l10892,202r25,17l10935,245r6,31l10941,2619r-6,31l10917,2676r-25,17l10861,2699r-9816,l1014,2693r-26,-17l971,2650r-6,-31l965,276r6,-31l988,219r26,-17l1045,196xe" filled="f" strokecolor="#ccc">
              <v:path arrowok="t"/>
            </v:shape>
            <v:shape id="_x0000_s4366" type="#_x0000_t202" style="position:absolute;left:984;top:211;width:9938;height:2473" filled="f" stroked="f">
              <v:textbox inset="0,0,0,0">
                <w:txbxContent>
                  <w:p w14:paraId="6203F93A" w14:textId="77777777" w:rsidR="00711A16" w:rsidRDefault="00711A16">
                    <w:pPr>
                      <w:spacing w:before="221"/>
                      <w:ind w:left="200"/>
                      <w:rPr>
                        <w:rFonts w:ascii="MS Gothic"/>
                      </w:rPr>
                    </w:pPr>
                    <w:proofErr w:type="gramStart"/>
                    <w:r>
                      <w:rPr>
                        <w:rFonts w:ascii="MS Gothic"/>
                        <w:color w:val="333333"/>
                      </w:rPr>
                      <w:t>spring.mvc.contentnegotiation</w:t>
                    </w:r>
                    <w:proofErr w:type="gramEnd"/>
                    <w:r>
                      <w:rPr>
                        <w:rFonts w:ascii="MS Gothic"/>
                        <w:color w:val="333333"/>
                      </w:rPr>
                      <w:t>.favor-parameter=true</w:t>
                    </w:r>
                  </w:p>
                  <w:p w14:paraId="4D7D0C7F" w14:textId="77777777" w:rsidR="00711A16" w:rsidRDefault="00711A16">
                    <w:pPr>
                      <w:rPr>
                        <w:rFonts w:ascii="MS Gothic"/>
                        <w:sz w:val="24"/>
                      </w:rPr>
                    </w:pPr>
                  </w:p>
                  <w:p w14:paraId="51554997" w14:textId="77777777" w:rsidR="00711A16" w:rsidRDefault="00711A16">
                    <w:pPr>
                      <w:spacing w:line="252" w:lineRule="auto"/>
                      <w:ind w:left="200" w:right="2568"/>
                      <w:rPr>
                        <w:rFonts w:ascii="MS Gothic"/>
                      </w:rPr>
                    </w:pPr>
                    <w:r>
                      <w:rPr>
                        <w:rFonts w:ascii="MS Gothic"/>
                        <w:color w:val="333333"/>
                      </w:rPr>
                      <w:t xml:space="preserve"># We can change the parameter name, which is "format" by default: # </w:t>
                    </w:r>
                    <w:proofErr w:type="gramStart"/>
                    <w:r>
                      <w:rPr>
                        <w:rFonts w:ascii="MS Gothic"/>
                        <w:color w:val="333333"/>
                      </w:rPr>
                      <w:t>spring.mvc.contentnegotiation</w:t>
                    </w:r>
                    <w:proofErr w:type="gramEnd"/>
                    <w:r>
                      <w:rPr>
                        <w:rFonts w:ascii="MS Gothic"/>
                        <w:color w:val="333333"/>
                      </w:rPr>
                      <w:t>.parameter-name=myparam</w:t>
                    </w:r>
                  </w:p>
                  <w:p w14:paraId="4FF4FD72" w14:textId="77777777" w:rsidR="00711A16" w:rsidRDefault="00711A16">
                    <w:pPr>
                      <w:spacing w:before="10"/>
                      <w:rPr>
                        <w:rFonts w:ascii="MS Gothic"/>
                      </w:rPr>
                    </w:pPr>
                  </w:p>
                  <w:p w14:paraId="04ABE538" w14:textId="77777777" w:rsidR="00711A16" w:rsidRDefault="00711A16">
                    <w:pPr>
                      <w:spacing w:before="1" w:line="252" w:lineRule="auto"/>
                      <w:ind w:left="200" w:right="2364"/>
                      <w:rPr>
                        <w:rFonts w:ascii="MS Gothic"/>
                      </w:rPr>
                    </w:pPr>
                    <w:r>
                      <w:rPr>
                        <w:rFonts w:ascii="MS Gothic"/>
                        <w:color w:val="333333"/>
                      </w:rPr>
                      <w:t xml:space="preserve"># We can also register additional file extensions/media types with: </w:t>
                    </w:r>
                    <w:proofErr w:type="gramStart"/>
                    <w:r>
                      <w:rPr>
                        <w:rFonts w:ascii="MS Gothic"/>
                        <w:color w:val="333333"/>
                      </w:rPr>
                      <w:t>spring.mvc.contentnegotiation</w:t>
                    </w:r>
                    <w:proofErr w:type="gramEnd"/>
                    <w:r>
                      <w:rPr>
                        <w:rFonts w:ascii="MS Gothic"/>
                        <w:color w:val="333333"/>
                      </w:rPr>
                      <w:t>.media-types.markdown=text/markdown</w:t>
                    </w:r>
                  </w:p>
                </w:txbxContent>
              </v:textbox>
            </v:shape>
            <w10:wrap type="topAndBottom" anchorx="page"/>
          </v:group>
        </w:pict>
      </w:r>
    </w:p>
    <w:p w14:paraId="1AEE8185" w14:textId="77777777" w:rsidR="00A720EB" w:rsidRDefault="00A720EB">
      <w:pPr>
        <w:pStyle w:val="a3"/>
        <w:rPr>
          <w:sz w:val="10"/>
        </w:rPr>
      </w:pPr>
    </w:p>
    <w:p w14:paraId="4AEB79D9" w14:textId="77777777" w:rsidR="00A720EB" w:rsidRDefault="0030286B">
      <w:pPr>
        <w:pStyle w:val="a3"/>
        <w:spacing w:before="125" w:line="307" w:lineRule="auto"/>
        <w:ind w:left="124" w:right="133"/>
        <w:jc w:val="both"/>
      </w:pPr>
      <w:r>
        <w:rPr>
          <w:color w:val="333333"/>
          <w:w w:val="110"/>
        </w:rPr>
        <w:t xml:space="preserve">Suffix pattern matching is deprecated and will be removed in a future release. If you understand   </w:t>
      </w:r>
      <w:r>
        <w:rPr>
          <w:color w:val="333333"/>
          <w:spacing w:val="50"/>
          <w:w w:val="110"/>
        </w:rPr>
        <w:t xml:space="preserve"> </w:t>
      </w:r>
      <w:r>
        <w:rPr>
          <w:color w:val="333333"/>
          <w:w w:val="110"/>
        </w:rPr>
        <w:t>the caveats and would still like your application to use suffix pattern matching, the following configuration is</w:t>
      </w:r>
      <w:r>
        <w:rPr>
          <w:color w:val="333333"/>
          <w:spacing w:val="5"/>
          <w:w w:val="110"/>
        </w:rPr>
        <w:t xml:space="preserve"> </w:t>
      </w:r>
      <w:r>
        <w:rPr>
          <w:color w:val="333333"/>
          <w:w w:val="110"/>
        </w:rPr>
        <w:t>required:</w:t>
      </w:r>
    </w:p>
    <w:p w14:paraId="46AE4BF4" w14:textId="77777777" w:rsidR="00A720EB" w:rsidRDefault="00E10349">
      <w:pPr>
        <w:pStyle w:val="a3"/>
        <w:spacing w:before="2"/>
        <w:rPr>
          <w:sz w:val="13"/>
        </w:rPr>
      </w:pPr>
      <w:r>
        <w:pict w14:anchorId="31B5A76B">
          <v:group id="_x0000_s4361" style="position:absolute;margin-left:47.85pt;margin-top:9.75pt;width:499.55pt;height:52.25pt;z-index:-15543808;mso-wrap-distance-left:0;mso-wrap-distance-right:0;mso-position-horizontal-relative:page" coordorigin="957,195" coordsize="9991,1045">
            <v:shape id="_x0000_s4364" style="position:absolute;left:964;top:202;width:9976;height:1030" coordorigin="965,202" coordsize="9976,1030" path="m10861,202r-9816,l1014,208r-26,18l971,251r-6,31l965,1152r6,31l988,1208r26,17l1045,1232r9816,l10892,1225r25,-17l10935,1183r6,-31l10941,282r-6,-31l10917,226r-25,-18l10861,202xe" fillcolor="#f5f5f5" stroked="f">
              <v:path arrowok="t"/>
            </v:shape>
            <v:shape id="_x0000_s4363" style="position:absolute;left:964;top:202;width:9976;height:1030" coordorigin="965,202" coordsize="9976,1030" path="m1045,202r9816,l10892,208r25,18l10935,251r6,31l10941,1152r-6,31l10917,1208r-25,17l10861,1232r-9816,l1014,1225r-26,-17l971,1183r-6,-31l965,282r6,-31l988,226r26,-18l1045,202xe" filled="f" strokecolor="#ccc">
              <v:path arrowok="t"/>
            </v:shape>
            <v:shape id="_x0000_s4362" type="#_x0000_t202" style="position:absolute;left:984;top:217;width:9938;height:999" filled="f" stroked="f">
              <v:textbox inset="0,0,0,0">
                <w:txbxContent>
                  <w:p w14:paraId="027DE3FF" w14:textId="77777777" w:rsidR="00711A16" w:rsidRDefault="00711A16">
                    <w:pPr>
                      <w:spacing w:before="221" w:line="252" w:lineRule="auto"/>
                      <w:ind w:left="200" w:right="3684"/>
                      <w:rPr>
                        <w:rFonts w:ascii="MS Gothic"/>
                      </w:rPr>
                    </w:pPr>
                    <w:proofErr w:type="gramStart"/>
                    <w:r>
                      <w:rPr>
                        <w:rFonts w:ascii="MS Gothic"/>
                        <w:color w:val="333333"/>
                      </w:rPr>
                      <w:t>spring.mvc.contentnegotiation</w:t>
                    </w:r>
                    <w:proofErr w:type="gramEnd"/>
                    <w:r>
                      <w:rPr>
                        <w:rFonts w:ascii="MS Gothic"/>
                        <w:color w:val="333333"/>
                      </w:rPr>
                      <w:t>.favor-path-extension=true spring.mvc.pathmatch.use-suffix-pattern=true</w:t>
                    </w:r>
                  </w:p>
                </w:txbxContent>
              </v:textbox>
            </v:shape>
            <w10:wrap type="topAndBottom" anchorx="page"/>
          </v:group>
        </w:pict>
      </w:r>
    </w:p>
    <w:p w14:paraId="27A4AC7B" w14:textId="77777777" w:rsidR="00A720EB" w:rsidRDefault="00A720EB">
      <w:pPr>
        <w:pStyle w:val="a3"/>
        <w:rPr>
          <w:sz w:val="10"/>
        </w:rPr>
      </w:pPr>
    </w:p>
    <w:p w14:paraId="7379A02E" w14:textId="77777777" w:rsidR="00A720EB" w:rsidRDefault="0030286B">
      <w:pPr>
        <w:pStyle w:val="a3"/>
        <w:spacing w:before="125" w:line="307" w:lineRule="auto"/>
        <w:ind w:left="124" w:right="359"/>
      </w:pPr>
      <w:r>
        <w:rPr>
          <w:color w:val="333333"/>
          <w:w w:val="110"/>
        </w:rPr>
        <w:t>Alternatively, rather than open all suffix patterns, it’s more secure to only support registered suffix patterns:</w:t>
      </w:r>
    </w:p>
    <w:p w14:paraId="1C02F914" w14:textId="77777777" w:rsidR="00A720EB" w:rsidRDefault="00E10349">
      <w:pPr>
        <w:pStyle w:val="a3"/>
        <w:spacing w:before="2"/>
        <w:rPr>
          <w:sz w:val="13"/>
        </w:rPr>
      </w:pPr>
      <w:r>
        <w:pict w14:anchorId="20E48F36">
          <v:group id="_x0000_s4357" style="position:absolute;margin-left:47.85pt;margin-top:9.7pt;width:499.55pt;height:96.45pt;z-index:-15543296;mso-wrap-distance-left:0;mso-wrap-distance-right:0;mso-position-horizontal-relative:page" coordorigin="957,194" coordsize="9991,1929">
            <v:shape id="_x0000_s4360" style="position:absolute;left:964;top:201;width:9976;height:1914" coordorigin="965,202" coordsize="9976,1914" path="m10861,202r-9816,l1014,208r-26,17l971,251r-6,31l965,2036r6,31l988,2092r26,17l1045,2116r9816,l10892,2109r25,-17l10935,2067r6,-31l10941,282r-6,-31l10917,225r-25,-17l10861,202xe" fillcolor="#f5f5f5" stroked="f">
              <v:path arrowok="t"/>
            </v:shape>
            <v:shape id="_x0000_s4359" style="position:absolute;left:964;top:201;width:9976;height:1914" coordorigin="965,202" coordsize="9976,1914" path="m1045,202r9816,l10892,208r25,17l10935,251r6,31l10941,2036r-6,31l10917,2092r-25,17l10861,2116r-9816,l1014,2109r-26,-17l971,2067r-6,-31l965,282r6,-31l988,225r26,-17l1045,202xe" filled="f" strokecolor="#ccc">
              <v:path arrowok="t"/>
            </v:shape>
            <v:shape id="_x0000_s4358" type="#_x0000_t202" style="position:absolute;left:984;top:217;width:9938;height:1884" filled="f" stroked="f">
              <v:textbox inset="0,0,0,0">
                <w:txbxContent>
                  <w:p w14:paraId="4FF38D9A" w14:textId="77777777" w:rsidR="00711A16" w:rsidRDefault="00711A16">
                    <w:pPr>
                      <w:spacing w:before="221" w:line="252" w:lineRule="auto"/>
                      <w:ind w:left="200" w:right="3684"/>
                      <w:rPr>
                        <w:rFonts w:ascii="MS Gothic"/>
                      </w:rPr>
                    </w:pPr>
                    <w:proofErr w:type="gramStart"/>
                    <w:r>
                      <w:rPr>
                        <w:rFonts w:ascii="MS Gothic"/>
                        <w:color w:val="333333"/>
                      </w:rPr>
                      <w:t>spring.mvc.contentnegotiation</w:t>
                    </w:r>
                    <w:proofErr w:type="gramEnd"/>
                    <w:r>
                      <w:rPr>
                        <w:rFonts w:ascii="MS Gothic"/>
                        <w:color w:val="333333"/>
                      </w:rPr>
                      <w:t>.favor-path-extension=true spring.mvc.pathmatch.use-registered-suffix-pattern=true</w:t>
                    </w:r>
                  </w:p>
                  <w:p w14:paraId="4D8C32FF" w14:textId="77777777" w:rsidR="00711A16" w:rsidRDefault="00711A16">
                    <w:pPr>
                      <w:spacing w:before="10"/>
                      <w:rPr>
                        <w:rFonts w:ascii="MS Gothic"/>
                      </w:rPr>
                    </w:pPr>
                  </w:p>
                  <w:p w14:paraId="168D499D" w14:textId="77777777" w:rsidR="00711A16" w:rsidRDefault="00711A16">
                    <w:pPr>
                      <w:spacing w:line="252" w:lineRule="auto"/>
                      <w:ind w:left="200" w:right="2238"/>
                      <w:rPr>
                        <w:rFonts w:ascii="MS Gothic"/>
                      </w:rPr>
                    </w:pPr>
                    <w:r>
                      <w:rPr>
                        <w:rFonts w:ascii="MS Gothic"/>
                        <w:color w:val="333333"/>
                      </w:rPr>
                      <w:t xml:space="preserve"># You can also register additional file extensions/media types with: # </w:t>
                    </w:r>
                    <w:proofErr w:type="gramStart"/>
                    <w:r>
                      <w:rPr>
                        <w:rFonts w:ascii="MS Gothic"/>
                        <w:color w:val="333333"/>
                      </w:rPr>
                      <w:t>spring.mvc.contentnegotiation</w:t>
                    </w:r>
                    <w:proofErr w:type="gramEnd"/>
                    <w:r>
                      <w:rPr>
                        <w:rFonts w:ascii="MS Gothic"/>
                        <w:color w:val="333333"/>
                      </w:rPr>
                      <w:t>.media-types.adoc=text/asciidoc</w:t>
                    </w:r>
                  </w:p>
                </w:txbxContent>
              </v:textbox>
            </v:shape>
            <w10:wrap type="topAndBottom" anchorx="page"/>
          </v:group>
        </w:pict>
      </w:r>
    </w:p>
    <w:p w14:paraId="391A2B30" w14:textId="77777777" w:rsidR="00A720EB" w:rsidRDefault="00A720EB">
      <w:pPr>
        <w:pStyle w:val="a3"/>
        <w:spacing w:before="11"/>
        <w:rPr>
          <w:sz w:val="16"/>
        </w:rPr>
      </w:pPr>
    </w:p>
    <w:p w14:paraId="3BF7AFBF" w14:textId="77777777" w:rsidR="00A720EB" w:rsidRDefault="0030286B">
      <w:pPr>
        <w:pStyle w:val="4"/>
        <w:spacing w:before="104"/>
        <w:jc w:val="left"/>
      </w:pPr>
      <w:bookmarkStart w:id="253" w:name="ConfigurableWebBindingInitializer"/>
      <w:bookmarkEnd w:id="253"/>
      <w:r>
        <w:rPr>
          <w:color w:val="333333"/>
          <w:w w:val="110"/>
        </w:rPr>
        <w:t>ConfigurableWebBindingInitializer</w:t>
      </w:r>
    </w:p>
    <w:p w14:paraId="281E0E07" w14:textId="77777777" w:rsidR="00A720EB" w:rsidRDefault="0030286B">
      <w:pPr>
        <w:pStyle w:val="a3"/>
        <w:spacing w:before="244" w:line="285" w:lineRule="auto"/>
        <w:ind w:left="124" w:right="125"/>
        <w:jc w:val="both"/>
      </w:pPr>
      <w:r>
        <w:rPr>
          <w:color w:val="333333"/>
          <w:w w:val="110"/>
        </w:rPr>
        <w:t>Spring</w:t>
      </w:r>
      <w:r>
        <w:rPr>
          <w:color w:val="333333"/>
          <w:spacing w:val="-15"/>
          <w:w w:val="110"/>
        </w:rPr>
        <w:t xml:space="preserve"> </w:t>
      </w:r>
      <w:r>
        <w:rPr>
          <w:color w:val="333333"/>
          <w:w w:val="110"/>
        </w:rPr>
        <w:t>MVC</w:t>
      </w:r>
      <w:r>
        <w:rPr>
          <w:color w:val="333333"/>
          <w:spacing w:val="-16"/>
          <w:w w:val="110"/>
        </w:rPr>
        <w:t xml:space="preserve"> </w:t>
      </w:r>
      <w:r>
        <w:rPr>
          <w:color w:val="333333"/>
          <w:w w:val="110"/>
        </w:rPr>
        <w:t>uses</w:t>
      </w:r>
      <w:r>
        <w:rPr>
          <w:color w:val="333333"/>
          <w:spacing w:val="-15"/>
          <w:w w:val="110"/>
        </w:rPr>
        <w:t xml:space="preserve"> </w:t>
      </w:r>
      <w:r>
        <w:rPr>
          <w:color w:val="333333"/>
          <w:w w:val="110"/>
        </w:rPr>
        <w:t>a</w:t>
      </w:r>
      <w:r>
        <w:rPr>
          <w:color w:val="333333"/>
          <w:spacing w:val="-13"/>
          <w:w w:val="110"/>
        </w:rPr>
        <w:t xml:space="preserve"> </w:t>
      </w:r>
      <w:r>
        <w:rPr>
          <w:rFonts w:ascii="MS Gothic"/>
          <w:color w:val="B02045"/>
          <w:w w:val="110"/>
        </w:rPr>
        <w:t>WebBindingInitializer</w:t>
      </w:r>
      <w:r>
        <w:rPr>
          <w:rFonts w:ascii="MS Gothic"/>
          <w:color w:val="B02045"/>
          <w:spacing w:val="-79"/>
          <w:w w:val="110"/>
        </w:rPr>
        <w:t xml:space="preserve"> </w:t>
      </w:r>
      <w:r>
        <w:rPr>
          <w:color w:val="333333"/>
          <w:w w:val="110"/>
        </w:rPr>
        <w:t>to</w:t>
      </w:r>
      <w:r>
        <w:rPr>
          <w:color w:val="333333"/>
          <w:spacing w:val="-15"/>
          <w:w w:val="110"/>
        </w:rPr>
        <w:t xml:space="preserve"> </w:t>
      </w:r>
      <w:r>
        <w:rPr>
          <w:color w:val="333333"/>
          <w:w w:val="110"/>
        </w:rPr>
        <w:t>initialize</w:t>
      </w:r>
      <w:r>
        <w:rPr>
          <w:color w:val="333333"/>
          <w:spacing w:val="-15"/>
          <w:w w:val="110"/>
        </w:rPr>
        <w:t xml:space="preserve"> </w:t>
      </w:r>
      <w:r>
        <w:rPr>
          <w:color w:val="333333"/>
          <w:w w:val="110"/>
        </w:rPr>
        <w:t>a</w:t>
      </w:r>
      <w:r>
        <w:rPr>
          <w:color w:val="333333"/>
          <w:spacing w:val="-13"/>
          <w:w w:val="110"/>
        </w:rPr>
        <w:t xml:space="preserve"> </w:t>
      </w:r>
      <w:r>
        <w:rPr>
          <w:rFonts w:ascii="MS Gothic"/>
          <w:color w:val="B02045"/>
          <w:w w:val="110"/>
        </w:rPr>
        <w:t>WebDataBinder</w:t>
      </w:r>
      <w:r>
        <w:rPr>
          <w:rFonts w:ascii="MS Gothic"/>
          <w:color w:val="B02045"/>
          <w:spacing w:val="-79"/>
          <w:w w:val="110"/>
        </w:rPr>
        <w:t xml:space="preserve"> </w:t>
      </w:r>
      <w:r>
        <w:rPr>
          <w:color w:val="333333"/>
          <w:w w:val="110"/>
        </w:rPr>
        <w:t>for</w:t>
      </w:r>
      <w:r>
        <w:rPr>
          <w:color w:val="333333"/>
          <w:spacing w:val="-15"/>
          <w:w w:val="110"/>
        </w:rPr>
        <w:t xml:space="preserve"> </w:t>
      </w:r>
      <w:r>
        <w:rPr>
          <w:color w:val="333333"/>
          <w:w w:val="110"/>
        </w:rPr>
        <w:t>a</w:t>
      </w:r>
      <w:r>
        <w:rPr>
          <w:color w:val="333333"/>
          <w:spacing w:val="-15"/>
          <w:w w:val="110"/>
        </w:rPr>
        <w:t xml:space="preserve"> </w:t>
      </w:r>
      <w:r>
        <w:rPr>
          <w:color w:val="333333"/>
          <w:w w:val="110"/>
        </w:rPr>
        <w:t>particular</w:t>
      </w:r>
      <w:r>
        <w:rPr>
          <w:color w:val="333333"/>
          <w:spacing w:val="-15"/>
          <w:w w:val="110"/>
        </w:rPr>
        <w:t xml:space="preserve"> </w:t>
      </w:r>
      <w:r>
        <w:rPr>
          <w:color w:val="333333"/>
          <w:w w:val="110"/>
        </w:rPr>
        <w:t>request.</w:t>
      </w:r>
      <w:r>
        <w:rPr>
          <w:color w:val="333333"/>
          <w:spacing w:val="-15"/>
          <w:w w:val="110"/>
        </w:rPr>
        <w:t xml:space="preserve"> </w:t>
      </w:r>
      <w:r>
        <w:rPr>
          <w:color w:val="333333"/>
          <w:w w:val="110"/>
        </w:rPr>
        <w:t>If</w:t>
      </w:r>
      <w:r>
        <w:rPr>
          <w:color w:val="333333"/>
          <w:spacing w:val="-15"/>
          <w:w w:val="110"/>
        </w:rPr>
        <w:t xml:space="preserve"> </w:t>
      </w:r>
      <w:r>
        <w:rPr>
          <w:color w:val="333333"/>
          <w:w w:val="110"/>
        </w:rPr>
        <w:t xml:space="preserve">you create your own </w:t>
      </w:r>
      <w:r>
        <w:rPr>
          <w:rFonts w:ascii="MS Gothic"/>
          <w:color w:val="B02045"/>
          <w:w w:val="110"/>
        </w:rPr>
        <w:t>ConfigurableWebBindingInitializer @Bean</w:t>
      </w:r>
      <w:r>
        <w:rPr>
          <w:color w:val="333333"/>
          <w:w w:val="110"/>
        </w:rPr>
        <w:t>, Spring Boot automatically configures Spring MVC to use</w:t>
      </w:r>
      <w:r>
        <w:rPr>
          <w:color w:val="333333"/>
          <w:spacing w:val="10"/>
          <w:w w:val="110"/>
        </w:rPr>
        <w:t xml:space="preserve"> </w:t>
      </w:r>
      <w:r>
        <w:rPr>
          <w:color w:val="333333"/>
          <w:w w:val="110"/>
        </w:rPr>
        <w:t>it.</w:t>
      </w:r>
    </w:p>
    <w:p w14:paraId="240CDBA4" w14:textId="77777777" w:rsidR="00A720EB" w:rsidRDefault="00A720EB">
      <w:pPr>
        <w:pStyle w:val="a3"/>
        <w:spacing w:before="7"/>
        <w:rPr>
          <w:sz w:val="27"/>
        </w:rPr>
      </w:pPr>
    </w:p>
    <w:p w14:paraId="1C52E5CB" w14:textId="77777777" w:rsidR="00A720EB" w:rsidRDefault="0030286B">
      <w:pPr>
        <w:pStyle w:val="4"/>
        <w:jc w:val="left"/>
      </w:pPr>
      <w:r>
        <w:rPr>
          <w:color w:val="333333"/>
          <w:w w:val="110"/>
        </w:rPr>
        <w:t>Template Engines</w:t>
      </w:r>
    </w:p>
    <w:p w14:paraId="33464D9A" w14:textId="77777777" w:rsidR="00A720EB" w:rsidRDefault="00A720EB">
      <w:pPr>
        <w:pStyle w:val="a3"/>
        <w:spacing w:before="11"/>
        <w:rPr>
          <w:rFonts w:ascii="Palatino Linotype"/>
          <w:b/>
          <w:sz w:val="18"/>
        </w:rPr>
      </w:pPr>
    </w:p>
    <w:p w14:paraId="2B1BD0E8" w14:textId="77777777" w:rsidR="00A720EB" w:rsidRDefault="0030286B">
      <w:pPr>
        <w:pStyle w:val="a3"/>
        <w:spacing w:before="1" w:line="307" w:lineRule="auto"/>
        <w:ind w:left="124" w:right="128"/>
        <w:jc w:val="both"/>
      </w:pPr>
      <w:r>
        <w:rPr>
          <w:color w:val="333333"/>
          <w:w w:val="110"/>
        </w:rPr>
        <w:t xml:space="preserve">As well as REST web services, you can also use Spring MVC to serve dynamic HTML content. Spring MVC supports a variety of templating technologies, including </w:t>
      </w:r>
      <w:proofErr w:type="gramStart"/>
      <w:r>
        <w:rPr>
          <w:color w:val="333333"/>
          <w:w w:val="110"/>
        </w:rPr>
        <w:t>Thymeleaf,  FreeMarker</w:t>
      </w:r>
      <w:proofErr w:type="gramEnd"/>
      <w:r>
        <w:rPr>
          <w:color w:val="333333"/>
          <w:w w:val="110"/>
        </w:rPr>
        <w:t>,  and  JSPs. Also, many other templating engines include their own Spring MVC</w:t>
      </w:r>
      <w:r>
        <w:rPr>
          <w:color w:val="333333"/>
          <w:spacing w:val="41"/>
          <w:w w:val="110"/>
        </w:rPr>
        <w:t xml:space="preserve"> </w:t>
      </w:r>
      <w:r>
        <w:rPr>
          <w:color w:val="333333"/>
          <w:w w:val="110"/>
        </w:rPr>
        <w:t>integrations.</w:t>
      </w:r>
    </w:p>
    <w:p w14:paraId="652A2474" w14:textId="77777777" w:rsidR="00A720EB" w:rsidRDefault="0030286B">
      <w:pPr>
        <w:pStyle w:val="a3"/>
        <w:spacing w:before="241"/>
        <w:ind w:left="124"/>
        <w:jc w:val="both"/>
      </w:pPr>
      <w:r>
        <w:rPr>
          <w:color w:val="333333"/>
          <w:w w:val="110"/>
        </w:rPr>
        <w:t>Spring Boot includes auto-configuration support for the following templating engines:</w:t>
      </w:r>
    </w:p>
    <w:p w14:paraId="1CC55D9E" w14:textId="77777777" w:rsidR="00A720EB" w:rsidRDefault="00A720EB">
      <w:pPr>
        <w:pStyle w:val="a3"/>
        <w:spacing w:before="4"/>
        <w:rPr>
          <w:sz w:val="26"/>
        </w:rPr>
      </w:pPr>
    </w:p>
    <w:p w14:paraId="5AA54A51" w14:textId="77777777" w:rsidR="00A720EB" w:rsidRDefault="00E10349">
      <w:pPr>
        <w:pStyle w:val="a6"/>
        <w:numPr>
          <w:ilvl w:val="0"/>
          <w:numId w:val="51"/>
        </w:numPr>
        <w:tabs>
          <w:tab w:val="left" w:pos="485"/>
        </w:tabs>
        <w:spacing w:before="1"/>
        <w:rPr>
          <w:sz w:val="21"/>
        </w:rPr>
      </w:pPr>
      <w:hyperlink r:id="rId139">
        <w:r w:rsidR="0030286B">
          <w:rPr>
            <w:color w:val="418BCA"/>
            <w:w w:val="110"/>
            <w:sz w:val="21"/>
          </w:rPr>
          <w:t>FreeMarker</w:t>
        </w:r>
      </w:hyperlink>
    </w:p>
    <w:p w14:paraId="1220F00D" w14:textId="77777777" w:rsidR="00A720EB" w:rsidRDefault="00E10349">
      <w:pPr>
        <w:pStyle w:val="a6"/>
        <w:numPr>
          <w:ilvl w:val="0"/>
          <w:numId w:val="51"/>
        </w:numPr>
        <w:tabs>
          <w:tab w:val="left" w:pos="485"/>
        </w:tabs>
        <w:spacing w:before="189"/>
        <w:rPr>
          <w:sz w:val="21"/>
        </w:rPr>
      </w:pPr>
      <w:hyperlink r:id="rId140" w:anchor="_the_markuptemplateengine">
        <w:r w:rsidR="0030286B">
          <w:rPr>
            <w:color w:val="418BCA"/>
            <w:w w:val="115"/>
            <w:sz w:val="21"/>
          </w:rPr>
          <w:t>Groovy</w:t>
        </w:r>
      </w:hyperlink>
    </w:p>
    <w:p w14:paraId="14A5E869" w14:textId="77777777" w:rsidR="00A720EB" w:rsidRDefault="00A720EB">
      <w:pPr>
        <w:rPr>
          <w:sz w:val="21"/>
        </w:rPr>
        <w:sectPr w:rsidR="00A720EB">
          <w:pgSz w:w="11910" w:h="16840"/>
          <w:pgMar w:top="620" w:right="840" w:bottom="520" w:left="840" w:header="0" w:footer="323" w:gutter="0"/>
          <w:cols w:space="720"/>
        </w:sectPr>
      </w:pPr>
    </w:p>
    <w:p w14:paraId="3BD1B4C6" w14:textId="77777777" w:rsidR="00A720EB" w:rsidRDefault="00E10349">
      <w:pPr>
        <w:pStyle w:val="a6"/>
        <w:numPr>
          <w:ilvl w:val="0"/>
          <w:numId w:val="51"/>
        </w:numPr>
        <w:tabs>
          <w:tab w:val="left" w:pos="485"/>
        </w:tabs>
        <w:spacing w:before="102"/>
        <w:rPr>
          <w:sz w:val="21"/>
        </w:rPr>
      </w:pPr>
      <w:hyperlink r:id="rId141">
        <w:r w:rsidR="0030286B">
          <w:rPr>
            <w:color w:val="418BCA"/>
            <w:w w:val="110"/>
            <w:sz w:val="21"/>
          </w:rPr>
          <w:t>Thymeleaf</w:t>
        </w:r>
      </w:hyperlink>
    </w:p>
    <w:p w14:paraId="7710E558" w14:textId="77777777" w:rsidR="00A720EB" w:rsidRDefault="00E10349">
      <w:pPr>
        <w:pStyle w:val="a6"/>
        <w:numPr>
          <w:ilvl w:val="0"/>
          <w:numId w:val="51"/>
        </w:numPr>
        <w:tabs>
          <w:tab w:val="left" w:pos="485"/>
        </w:tabs>
        <w:spacing w:before="189"/>
        <w:rPr>
          <w:sz w:val="21"/>
        </w:rPr>
      </w:pPr>
      <w:hyperlink r:id="rId142">
        <w:r w:rsidR="0030286B">
          <w:rPr>
            <w:color w:val="418BCA"/>
            <w:w w:val="110"/>
            <w:sz w:val="21"/>
          </w:rPr>
          <w:t>Mustache</w:t>
        </w:r>
      </w:hyperlink>
    </w:p>
    <w:p w14:paraId="5E3B63DE" w14:textId="77777777" w:rsidR="00A720EB" w:rsidRDefault="00A720EB">
      <w:pPr>
        <w:pStyle w:val="a3"/>
        <w:spacing w:before="2"/>
        <w:rPr>
          <w:sz w:val="33"/>
        </w:rPr>
      </w:pPr>
    </w:p>
    <w:p w14:paraId="27732214" w14:textId="77777777" w:rsidR="00A720EB" w:rsidRDefault="00E10349">
      <w:pPr>
        <w:pStyle w:val="a3"/>
        <w:spacing w:before="1" w:line="307" w:lineRule="auto"/>
        <w:ind w:left="1564" w:right="462"/>
      </w:pPr>
      <w:r>
        <w:pict w14:anchorId="7B56CE33">
          <v:line id="_x0000_s4356" style="position:absolute;left:0;text-align:left;z-index:15914496;mso-position-horizontal-relative:page" from="108.25pt,-5.95pt" to="108.25pt,33.6pt" strokecolor="#ededed" strokeweight=".5pt">
            <w10:wrap anchorx="page"/>
          </v:line>
        </w:pict>
      </w:r>
      <w:r w:rsidR="0030286B">
        <w:rPr>
          <w:noProof/>
        </w:rPr>
        <w:drawing>
          <wp:anchor distT="0" distB="0" distL="0" distR="0" simplePos="0" relativeHeight="15915008" behindDoc="0" locked="0" layoutInCell="1" allowOverlap="1" wp14:anchorId="4C317496" wp14:editId="2052744A">
            <wp:simplePos x="0" y="0"/>
            <wp:positionH relativeFrom="page">
              <wp:posOffset>888949</wp:posOffset>
            </wp:positionH>
            <wp:positionV relativeFrom="paragraph">
              <wp:posOffset>23407</wp:posOffset>
            </wp:positionV>
            <wp:extent cx="209550" cy="304800"/>
            <wp:effectExtent l="0" t="0" r="0" b="0"/>
            <wp:wrapNone/>
            <wp:docPr id="23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possible, JSPs should be avoided. There are several </w:t>
      </w:r>
      <w:hyperlink w:anchor="_bookmark178" w:history="1">
        <w:proofErr w:type="gramStart"/>
        <w:r w:rsidR="0030286B">
          <w:rPr>
            <w:color w:val="418BCA"/>
            <w:w w:val="110"/>
          </w:rPr>
          <w:t>known  limitations</w:t>
        </w:r>
        <w:proofErr w:type="gramEnd"/>
      </w:hyperlink>
      <w:r w:rsidR="0030286B">
        <w:rPr>
          <w:color w:val="418BCA"/>
          <w:w w:val="110"/>
        </w:rPr>
        <w:t xml:space="preserve">  </w:t>
      </w:r>
      <w:r w:rsidR="0030286B">
        <w:rPr>
          <w:color w:val="333333"/>
          <w:w w:val="110"/>
        </w:rPr>
        <w:t>when using them with embedded servlet</w:t>
      </w:r>
      <w:r w:rsidR="0030286B">
        <w:rPr>
          <w:color w:val="333333"/>
          <w:spacing w:val="16"/>
          <w:w w:val="110"/>
        </w:rPr>
        <w:t xml:space="preserve"> </w:t>
      </w:r>
      <w:r w:rsidR="0030286B">
        <w:rPr>
          <w:color w:val="333333"/>
          <w:w w:val="110"/>
        </w:rPr>
        <w:t>containers.</w:t>
      </w:r>
    </w:p>
    <w:p w14:paraId="06EF185C" w14:textId="77777777" w:rsidR="00A720EB" w:rsidRDefault="00A720EB">
      <w:pPr>
        <w:pStyle w:val="a3"/>
        <w:spacing w:before="8"/>
        <w:rPr>
          <w:sz w:val="16"/>
        </w:rPr>
      </w:pPr>
    </w:p>
    <w:p w14:paraId="1D8632A7" w14:textId="77777777" w:rsidR="00A720EB" w:rsidRDefault="0030286B">
      <w:pPr>
        <w:pStyle w:val="a3"/>
        <w:spacing w:before="125" w:line="297" w:lineRule="auto"/>
        <w:ind w:left="124"/>
      </w:pPr>
      <w:r>
        <w:rPr>
          <w:color w:val="333333"/>
          <w:w w:val="110"/>
        </w:rPr>
        <w:t xml:space="preserve">When you use one of these templating engines with the default configuration, your templates are picked up automatically from </w:t>
      </w:r>
      <w:r>
        <w:rPr>
          <w:rFonts w:ascii="MS Gothic"/>
          <w:color w:val="B02045"/>
          <w:w w:val="110"/>
        </w:rPr>
        <w:t>src/main/resources/templates</w:t>
      </w:r>
      <w:r>
        <w:rPr>
          <w:color w:val="333333"/>
          <w:w w:val="110"/>
        </w:rPr>
        <w:t>.</w:t>
      </w:r>
    </w:p>
    <w:p w14:paraId="4051F11B" w14:textId="77777777" w:rsidR="00A720EB" w:rsidRDefault="00A720EB">
      <w:pPr>
        <w:pStyle w:val="a3"/>
        <w:rPr>
          <w:sz w:val="16"/>
        </w:rPr>
      </w:pPr>
    </w:p>
    <w:p w14:paraId="229B7ABE" w14:textId="77777777" w:rsidR="00A720EB" w:rsidRDefault="00E10349">
      <w:pPr>
        <w:pStyle w:val="a3"/>
        <w:spacing w:before="125" w:line="302" w:lineRule="auto"/>
        <w:ind w:left="1564" w:right="365"/>
        <w:jc w:val="both"/>
      </w:pPr>
      <w:r>
        <w:pict w14:anchorId="1643ED8A">
          <v:line id="_x0000_s4355" style="position:absolute;left:0;text-align:left;z-index:15915520;mso-position-horizontal-relative:page" from="108.25pt,.25pt" to="108.25pt,134.5pt" strokecolor="#ededed" strokeweight=".5pt">
            <w10:wrap anchorx="page"/>
          </v:line>
        </w:pict>
      </w:r>
      <w:r w:rsidR="0030286B">
        <w:rPr>
          <w:noProof/>
        </w:rPr>
        <w:drawing>
          <wp:anchor distT="0" distB="0" distL="0" distR="0" simplePos="0" relativeHeight="15916032" behindDoc="0" locked="0" layoutInCell="1" allowOverlap="1" wp14:anchorId="46FC7284" wp14:editId="5DC2124F">
            <wp:simplePos x="0" y="0"/>
            <wp:positionH relativeFrom="page">
              <wp:posOffset>888949</wp:posOffset>
            </wp:positionH>
            <wp:positionV relativeFrom="paragraph">
              <wp:posOffset>703364</wp:posOffset>
            </wp:positionV>
            <wp:extent cx="209550" cy="304800"/>
            <wp:effectExtent l="0" t="0" r="0" b="0"/>
            <wp:wrapNone/>
            <wp:docPr id="23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Depending on how you run your application, IntelliJ IDEA orders the classpath </w:t>
      </w:r>
      <w:r w:rsidR="0030286B">
        <w:rPr>
          <w:color w:val="333333"/>
          <w:spacing w:val="-3"/>
          <w:w w:val="110"/>
        </w:rPr>
        <w:t xml:space="preserve">differently. </w:t>
      </w:r>
      <w:r w:rsidR="0030286B">
        <w:rPr>
          <w:color w:val="333333"/>
          <w:w w:val="110"/>
        </w:rPr>
        <w:t xml:space="preserve">Running your application in the IDE from its main method results in a different ordering than when you run your application </w:t>
      </w:r>
      <w:proofErr w:type="gramStart"/>
      <w:r w:rsidR="0030286B">
        <w:rPr>
          <w:color w:val="333333"/>
          <w:spacing w:val="-3"/>
          <w:w w:val="110"/>
        </w:rPr>
        <w:t xml:space="preserve">by  </w:t>
      </w:r>
      <w:r w:rsidR="0030286B">
        <w:rPr>
          <w:color w:val="333333"/>
          <w:w w:val="110"/>
        </w:rPr>
        <w:t>using</w:t>
      </w:r>
      <w:proofErr w:type="gramEnd"/>
      <w:r w:rsidR="0030286B">
        <w:rPr>
          <w:color w:val="333333"/>
          <w:w w:val="110"/>
        </w:rPr>
        <w:t xml:space="preserve"> Maven or Gradle   or from its packaged jar. This can cause Spring Boot to fail to find the templates on the classpath. If you have this problem, you can reorder the classpath in the IDE to place the module’s classes and resources first. </w:t>
      </w:r>
      <w:r w:rsidR="0030286B">
        <w:rPr>
          <w:color w:val="333333"/>
          <w:spacing w:val="-3"/>
          <w:w w:val="110"/>
        </w:rPr>
        <w:t xml:space="preserve">Alternatively, </w:t>
      </w:r>
      <w:r w:rsidR="0030286B">
        <w:rPr>
          <w:color w:val="333333"/>
          <w:w w:val="110"/>
        </w:rPr>
        <w:t xml:space="preserve">you can configure the template prefix to search every </w:t>
      </w:r>
      <w:r w:rsidR="0030286B">
        <w:rPr>
          <w:rFonts w:ascii="MS Gothic" w:hAnsi="MS Gothic"/>
          <w:color w:val="B02045"/>
          <w:w w:val="110"/>
        </w:rPr>
        <w:t xml:space="preserve">templates </w:t>
      </w:r>
      <w:r w:rsidR="0030286B">
        <w:rPr>
          <w:color w:val="333333"/>
          <w:w w:val="110"/>
        </w:rPr>
        <w:t xml:space="preserve">directory on the classpath, as follows: </w:t>
      </w:r>
      <w:r w:rsidR="0030286B">
        <w:rPr>
          <w:rFonts w:ascii="MS Gothic" w:hAnsi="MS Gothic"/>
          <w:color w:val="B02045"/>
          <w:w w:val="110"/>
        </w:rPr>
        <w:t>classpath*:/templates/</w:t>
      </w:r>
      <w:r w:rsidR="0030286B">
        <w:rPr>
          <w:color w:val="333333"/>
          <w:w w:val="110"/>
        </w:rPr>
        <w:t>.</w:t>
      </w:r>
    </w:p>
    <w:p w14:paraId="41C08E02" w14:textId="77777777" w:rsidR="00A720EB" w:rsidRDefault="00A720EB">
      <w:pPr>
        <w:pStyle w:val="a3"/>
        <w:spacing w:before="3"/>
        <w:rPr>
          <w:sz w:val="22"/>
        </w:rPr>
      </w:pPr>
    </w:p>
    <w:p w14:paraId="1314CB68" w14:textId="77777777" w:rsidR="00A720EB" w:rsidRDefault="0030286B">
      <w:pPr>
        <w:pStyle w:val="4"/>
        <w:spacing w:before="104"/>
      </w:pPr>
      <w:r>
        <w:rPr>
          <w:color w:val="333333"/>
          <w:w w:val="115"/>
        </w:rPr>
        <w:t>Error Handling</w:t>
      </w:r>
    </w:p>
    <w:p w14:paraId="1FCBFEBE" w14:textId="77777777" w:rsidR="00A720EB" w:rsidRDefault="0030286B">
      <w:pPr>
        <w:pStyle w:val="a3"/>
        <w:spacing w:before="244" w:line="295" w:lineRule="auto"/>
        <w:ind w:left="124" w:right="122"/>
        <w:jc w:val="both"/>
      </w:pPr>
      <w:r>
        <w:rPr>
          <w:color w:val="333333"/>
          <w:spacing w:val="-3"/>
          <w:w w:val="110"/>
        </w:rPr>
        <w:t xml:space="preserve">By </w:t>
      </w:r>
      <w:r>
        <w:rPr>
          <w:color w:val="333333"/>
          <w:w w:val="110"/>
        </w:rPr>
        <w:t xml:space="preserve">default, Spring Boot provides an </w:t>
      </w:r>
      <w:r>
        <w:rPr>
          <w:rFonts w:ascii="MS Gothic" w:hAnsi="MS Gothic"/>
          <w:color w:val="B02045"/>
          <w:w w:val="110"/>
        </w:rPr>
        <w:t xml:space="preserve">/error </w:t>
      </w:r>
      <w:r>
        <w:rPr>
          <w:color w:val="333333"/>
          <w:w w:val="110"/>
        </w:rPr>
        <w:t xml:space="preserve">mapping that handles all errors in a sensible </w:t>
      </w:r>
      <w:r>
        <w:rPr>
          <w:color w:val="333333"/>
          <w:spacing w:val="-7"/>
          <w:w w:val="110"/>
        </w:rPr>
        <w:t xml:space="preserve">way, </w:t>
      </w:r>
      <w:r>
        <w:rPr>
          <w:color w:val="333333"/>
          <w:w w:val="110"/>
        </w:rPr>
        <w:t xml:space="preserve">and it is registered as a “global” error page in the servlet container. </w:t>
      </w:r>
      <w:proofErr w:type="gramStart"/>
      <w:r>
        <w:rPr>
          <w:color w:val="333333"/>
          <w:spacing w:val="-4"/>
          <w:w w:val="110"/>
        </w:rPr>
        <w:t xml:space="preserve">For  </w:t>
      </w:r>
      <w:r>
        <w:rPr>
          <w:color w:val="333333"/>
          <w:w w:val="110"/>
        </w:rPr>
        <w:t>machine</w:t>
      </w:r>
      <w:proofErr w:type="gramEnd"/>
      <w:r>
        <w:rPr>
          <w:color w:val="333333"/>
          <w:w w:val="110"/>
        </w:rPr>
        <w:t xml:space="preserve"> clients, it produces a </w:t>
      </w:r>
      <w:r>
        <w:rPr>
          <w:color w:val="333333"/>
          <w:spacing w:val="50"/>
          <w:w w:val="110"/>
        </w:rPr>
        <w:t xml:space="preserve"> </w:t>
      </w:r>
      <w:r>
        <w:rPr>
          <w:color w:val="333333"/>
          <w:w w:val="110"/>
        </w:rPr>
        <w:t xml:space="preserve">JSON response with details of the error, the HTTP status, and the exception message. </w:t>
      </w:r>
      <w:r>
        <w:rPr>
          <w:color w:val="333333"/>
          <w:spacing w:val="-4"/>
          <w:w w:val="110"/>
        </w:rPr>
        <w:t xml:space="preserve">For </w:t>
      </w:r>
      <w:r>
        <w:rPr>
          <w:color w:val="333333"/>
          <w:w w:val="110"/>
        </w:rPr>
        <w:t xml:space="preserve">browser clients, there is a “whitelabel” error view that renders the same data in HTML format (to </w:t>
      </w:r>
      <w:proofErr w:type="gramStart"/>
      <w:r>
        <w:rPr>
          <w:color w:val="333333"/>
          <w:w w:val="110"/>
        </w:rPr>
        <w:t>customize  it</w:t>
      </w:r>
      <w:proofErr w:type="gramEnd"/>
      <w:r>
        <w:rPr>
          <w:color w:val="333333"/>
          <w:w w:val="110"/>
        </w:rPr>
        <w:t xml:space="preserve">, add a </w:t>
      </w:r>
      <w:r>
        <w:rPr>
          <w:rFonts w:ascii="MS Gothic" w:hAnsi="MS Gothic"/>
          <w:color w:val="B02045"/>
          <w:w w:val="110"/>
        </w:rPr>
        <w:t xml:space="preserve">View </w:t>
      </w:r>
      <w:r>
        <w:rPr>
          <w:color w:val="333333"/>
          <w:w w:val="110"/>
        </w:rPr>
        <w:t xml:space="preserve">that resolves to </w:t>
      </w:r>
      <w:r>
        <w:rPr>
          <w:rFonts w:ascii="MS Gothic" w:hAnsi="MS Gothic"/>
          <w:color w:val="B02045"/>
          <w:w w:val="110"/>
        </w:rPr>
        <w:t>error</w:t>
      </w:r>
      <w:r>
        <w:rPr>
          <w:color w:val="333333"/>
          <w:w w:val="110"/>
        </w:rPr>
        <w:t xml:space="preserve">). </w:t>
      </w:r>
      <w:r>
        <w:rPr>
          <w:color w:val="333333"/>
          <w:spacing w:val="-4"/>
          <w:w w:val="110"/>
        </w:rPr>
        <w:t xml:space="preserve">To </w:t>
      </w:r>
      <w:r>
        <w:rPr>
          <w:color w:val="333333"/>
          <w:w w:val="110"/>
        </w:rPr>
        <w:t xml:space="preserve">replace the default behavior </w:t>
      </w:r>
      <w:r>
        <w:rPr>
          <w:color w:val="333333"/>
          <w:spacing w:val="-3"/>
          <w:w w:val="110"/>
        </w:rPr>
        <w:t xml:space="preserve">completely, </w:t>
      </w:r>
      <w:r>
        <w:rPr>
          <w:color w:val="333333"/>
          <w:w w:val="110"/>
        </w:rPr>
        <w:t xml:space="preserve">you can implement </w:t>
      </w:r>
      <w:r>
        <w:rPr>
          <w:rFonts w:ascii="MS Gothic" w:hAnsi="MS Gothic"/>
          <w:color w:val="B02045"/>
          <w:w w:val="110"/>
        </w:rPr>
        <w:t>ErrorController</w:t>
      </w:r>
      <w:r>
        <w:rPr>
          <w:rFonts w:ascii="MS Gothic" w:hAnsi="MS Gothic"/>
          <w:color w:val="B02045"/>
          <w:spacing w:val="-69"/>
          <w:w w:val="110"/>
        </w:rPr>
        <w:t xml:space="preserve"> </w:t>
      </w:r>
      <w:r>
        <w:rPr>
          <w:color w:val="333333"/>
          <w:w w:val="110"/>
        </w:rPr>
        <w:t>and</w:t>
      </w:r>
      <w:r>
        <w:rPr>
          <w:color w:val="333333"/>
          <w:spacing w:val="-4"/>
          <w:w w:val="110"/>
        </w:rPr>
        <w:t xml:space="preserve"> </w:t>
      </w:r>
      <w:r>
        <w:rPr>
          <w:color w:val="333333"/>
          <w:w w:val="110"/>
        </w:rPr>
        <w:t>register</w:t>
      </w:r>
      <w:r>
        <w:rPr>
          <w:color w:val="333333"/>
          <w:spacing w:val="-4"/>
          <w:w w:val="110"/>
        </w:rPr>
        <w:t xml:space="preserve"> </w:t>
      </w:r>
      <w:r>
        <w:rPr>
          <w:color w:val="333333"/>
          <w:w w:val="110"/>
        </w:rPr>
        <w:t>a</w:t>
      </w:r>
      <w:r>
        <w:rPr>
          <w:color w:val="333333"/>
          <w:spacing w:val="-5"/>
          <w:w w:val="110"/>
        </w:rPr>
        <w:t xml:space="preserve"> </w:t>
      </w:r>
      <w:r>
        <w:rPr>
          <w:color w:val="333333"/>
          <w:w w:val="110"/>
        </w:rPr>
        <w:t>bean</w:t>
      </w:r>
      <w:r>
        <w:rPr>
          <w:color w:val="333333"/>
          <w:spacing w:val="-4"/>
          <w:w w:val="110"/>
        </w:rPr>
        <w:t xml:space="preserve"> </w:t>
      </w:r>
      <w:r>
        <w:rPr>
          <w:color w:val="333333"/>
          <w:w w:val="110"/>
        </w:rPr>
        <w:t>definition</w:t>
      </w:r>
      <w:r>
        <w:rPr>
          <w:color w:val="333333"/>
          <w:spacing w:val="-4"/>
          <w:w w:val="110"/>
        </w:rPr>
        <w:t xml:space="preserve"> </w:t>
      </w:r>
      <w:r>
        <w:rPr>
          <w:color w:val="333333"/>
          <w:w w:val="110"/>
        </w:rPr>
        <w:t>of</w:t>
      </w:r>
      <w:r>
        <w:rPr>
          <w:color w:val="333333"/>
          <w:spacing w:val="-5"/>
          <w:w w:val="110"/>
        </w:rPr>
        <w:t xml:space="preserve"> </w:t>
      </w:r>
      <w:r>
        <w:rPr>
          <w:color w:val="333333"/>
          <w:w w:val="110"/>
        </w:rPr>
        <w:t>that</w:t>
      </w:r>
      <w:r>
        <w:rPr>
          <w:color w:val="333333"/>
          <w:spacing w:val="-4"/>
          <w:w w:val="110"/>
        </w:rPr>
        <w:t xml:space="preserve"> </w:t>
      </w:r>
      <w:r>
        <w:rPr>
          <w:color w:val="333333"/>
          <w:w w:val="110"/>
        </w:rPr>
        <w:t>type</w:t>
      </w:r>
      <w:r>
        <w:rPr>
          <w:color w:val="333333"/>
          <w:spacing w:val="-4"/>
          <w:w w:val="110"/>
        </w:rPr>
        <w:t xml:space="preserve"> </w:t>
      </w:r>
      <w:r>
        <w:rPr>
          <w:color w:val="333333"/>
          <w:w w:val="110"/>
        </w:rPr>
        <w:t>or</w:t>
      </w:r>
      <w:r>
        <w:rPr>
          <w:color w:val="333333"/>
          <w:spacing w:val="-4"/>
          <w:w w:val="110"/>
        </w:rPr>
        <w:t xml:space="preserve"> </w:t>
      </w:r>
      <w:r>
        <w:rPr>
          <w:color w:val="333333"/>
          <w:w w:val="110"/>
        </w:rPr>
        <w:t>add</w:t>
      </w:r>
      <w:r>
        <w:rPr>
          <w:color w:val="333333"/>
          <w:spacing w:val="-5"/>
          <w:w w:val="110"/>
        </w:rPr>
        <w:t xml:space="preserve"> </w:t>
      </w:r>
      <w:r>
        <w:rPr>
          <w:color w:val="333333"/>
          <w:w w:val="110"/>
        </w:rPr>
        <w:t>a</w:t>
      </w:r>
      <w:r>
        <w:rPr>
          <w:color w:val="333333"/>
          <w:spacing w:val="-4"/>
          <w:w w:val="110"/>
        </w:rPr>
        <w:t xml:space="preserve"> </w:t>
      </w:r>
      <w:r>
        <w:rPr>
          <w:color w:val="333333"/>
          <w:w w:val="110"/>
        </w:rPr>
        <w:t>bean</w:t>
      </w:r>
      <w:r>
        <w:rPr>
          <w:color w:val="333333"/>
          <w:spacing w:val="-4"/>
          <w:w w:val="110"/>
        </w:rPr>
        <w:t xml:space="preserve"> </w:t>
      </w:r>
      <w:r>
        <w:rPr>
          <w:color w:val="333333"/>
          <w:w w:val="110"/>
        </w:rPr>
        <w:t>of</w:t>
      </w:r>
      <w:r>
        <w:rPr>
          <w:color w:val="333333"/>
          <w:spacing w:val="-5"/>
          <w:w w:val="110"/>
        </w:rPr>
        <w:t xml:space="preserve"> </w:t>
      </w:r>
      <w:r>
        <w:rPr>
          <w:color w:val="333333"/>
          <w:w w:val="110"/>
        </w:rPr>
        <w:t>type</w:t>
      </w:r>
      <w:r>
        <w:rPr>
          <w:color w:val="333333"/>
          <w:spacing w:val="1"/>
          <w:w w:val="110"/>
        </w:rPr>
        <w:t xml:space="preserve"> </w:t>
      </w:r>
      <w:r>
        <w:rPr>
          <w:rFonts w:ascii="MS Gothic" w:hAnsi="MS Gothic"/>
          <w:color w:val="B02045"/>
          <w:w w:val="110"/>
        </w:rPr>
        <w:t>ErrorAttributes</w:t>
      </w:r>
      <w:r>
        <w:rPr>
          <w:rFonts w:ascii="MS Gothic" w:hAnsi="MS Gothic"/>
          <w:color w:val="B02045"/>
          <w:spacing w:val="-69"/>
          <w:w w:val="110"/>
        </w:rPr>
        <w:t xml:space="preserve"> </w:t>
      </w:r>
      <w:r>
        <w:rPr>
          <w:color w:val="333333"/>
          <w:w w:val="110"/>
        </w:rPr>
        <w:t>to use the existing mechanism but replace the</w:t>
      </w:r>
      <w:r>
        <w:rPr>
          <w:color w:val="333333"/>
          <w:spacing w:val="22"/>
          <w:w w:val="110"/>
        </w:rPr>
        <w:t xml:space="preserve"> </w:t>
      </w:r>
      <w:r>
        <w:rPr>
          <w:color w:val="333333"/>
          <w:w w:val="110"/>
        </w:rPr>
        <w:t>contents.</w:t>
      </w:r>
    </w:p>
    <w:p w14:paraId="6FF88E12" w14:textId="77777777" w:rsidR="00A720EB" w:rsidRDefault="00A720EB">
      <w:pPr>
        <w:pStyle w:val="a3"/>
        <w:spacing w:before="10"/>
        <w:rPr>
          <w:sz w:val="17"/>
        </w:rPr>
      </w:pPr>
    </w:p>
    <w:p w14:paraId="2D6F3A95" w14:textId="77777777" w:rsidR="00A720EB" w:rsidRDefault="00E10349">
      <w:pPr>
        <w:pStyle w:val="a3"/>
        <w:spacing w:before="116" w:line="288" w:lineRule="auto"/>
        <w:ind w:left="1564" w:right="362"/>
        <w:jc w:val="both"/>
      </w:pPr>
      <w:r>
        <w:pict w14:anchorId="7945512A">
          <v:line id="_x0000_s4354" style="position:absolute;left:0;text-align:left;z-index:15916544;mso-position-horizontal-relative:page" from="108.25pt,.35pt" to="108.25pt,87.25pt" strokecolor="#ededed" strokeweight=".5pt">
            <w10:wrap anchorx="page"/>
          </v:line>
        </w:pict>
      </w:r>
      <w:r w:rsidR="0030286B">
        <w:rPr>
          <w:noProof/>
        </w:rPr>
        <w:drawing>
          <wp:anchor distT="0" distB="0" distL="0" distR="0" simplePos="0" relativeHeight="15917056" behindDoc="0" locked="0" layoutInCell="1" allowOverlap="1" wp14:anchorId="7347AABF" wp14:editId="1F6E5035">
            <wp:simplePos x="0" y="0"/>
            <wp:positionH relativeFrom="page">
              <wp:posOffset>888949</wp:posOffset>
            </wp:positionH>
            <wp:positionV relativeFrom="paragraph">
              <wp:posOffset>403682</wp:posOffset>
            </wp:positionV>
            <wp:extent cx="209550" cy="304800"/>
            <wp:effectExtent l="0" t="0" r="0" b="0"/>
            <wp:wrapNone/>
            <wp:docPr id="2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The</w:t>
      </w:r>
      <w:r w:rsidR="0030286B">
        <w:rPr>
          <w:color w:val="333333"/>
          <w:spacing w:val="-18"/>
          <w:w w:val="110"/>
        </w:rPr>
        <w:t xml:space="preserve"> </w:t>
      </w:r>
      <w:r w:rsidR="0030286B">
        <w:rPr>
          <w:rFonts w:ascii="MS Gothic"/>
          <w:color w:val="B02045"/>
          <w:w w:val="110"/>
        </w:rPr>
        <w:t>BasicErrorController</w:t>
      </w:r>
      <w:r w:rsidR="0030286B">
        <w:rPr>
          <w:rFonts w:ascii="MS Gothic"/>
          <w:color w:val="B02045"/>
          <w:spacing w:val="-83"/>
          <w:w w:val="110"/>
        </w:rPr>
        <w:t xml:space="preserve"> </w:t>
      </w:r>
      <w:r w:rsidR="0030286B">
        <w:rPr>
          <w:color w:val="333333"/>
          <w:w w:val="110"/>
        </w:rPr>
        <w:t>can</w:t>
      </w:r>
      <w:r w:rsidR="0030286B">
        <w:rPr>
          <w:color w:val="333333"/>
          <w:spacing w:val="-18"/>
          <w:w w:val="110"/>
        </w:rPr>
        <w:t xml:space="preserve"> </w:t>
      </w:r>
      <w:r w:rsidR="0030286B">
        <w:rPr>
          <w:color w:val="333333"/>
          <w:w w:val="110"/>
        </w:rPr>
        <w:t>be</w:t>
      </w:r>
      <w:r w:rsidR="0030286B">
        <w:rPr>
          <w:color w:val="333333"/>
          <w:spacing w:val="-18"/>
          <w:w w:val="110"/>
        </w:rPr>
        <w:t xml:space="preserve"> </w:t>
      </w:r>
      <w:r w:rsidR="0030286B">
        <w:rPr>
          <w:color w:val="333333"/>
          <w:w w:val="110"/>
        </w:rPr>
        <w:t>used</w:t>
      </w:r>
      <w:r w:rsidR="0030286B">
        <w:rPr>
          <w:color w:val="333333"/>
          <w:spacing w:val="-18"/>
          <w:w w:val="110"/>
        </w:rPr>
        <w:t xml:space="preserve"> </w:t>
      </w:r>
      <w:r w:rsidR="0030286B">
        <w:rPr>
          <w:color w:val="333333"/>
          <w:w w:val="110"/>
        </w:rPr>
        <w:t>as</w:t>
      </w:r>
      <w:r w:rsidR="0030286B">
        <w:rPr>
          <w:color w:val="333333"/>
          <w:spacing w:val="-19"/>
          <w:w w:val="110"/>
        </w:rPr>
        <w:t xml:space="preserve"> </w:t>
      </w:r>
      <w:r w:rsidR="0030286B">
        <w:rPr>
          <w:color w:val="333333"/>
          <w:w w:val="110"/>
        </w:rPr>
        <w:t>a</w:t>
      </w:r>
      <w:r w:rsidR="0030286B">
        <w:rPr>
          <w:color w:val="333333"/>
          <w:spacing w:val="-18"/>
          <w:w w:val="110"/>
        </w:rPr>
        <w:t xml:space="preserve"> </w:t>
      </w:r>
      <w:r w:rsidR="0030286B">
        <w:rPr>
          <w:color w:val="333333"/>
          <w:w w:val="110"/>
        </w:rPr>
        <w:t>base</w:t>
      </w:r>
      <w:r w:rsidR="0030286B">
        <w:rPr>
          <w:color w:val="333333"/>
          <w:spacing w:val="-18"/>
          <w:w w:val="110"/>
        </w:rPr>
        <w:t xml:space="preserve"> </w:t>
      </w:r>
      <w:r w:rsidR="0030286B">
        <w:rPr>
          <w:color w:val="333333"/>
          <w:w w:val="110"/>
        </w:rPr>
        <w:t>class</w:t>
      </w:r>
      <w:r w:rsidR="0030286B">
        <w:rPr>
          <w:color w:val="333333"/>
          <w:spacing w:val="-18"/>
          <w:w w:val="110"/>
        </w:rPr>
        <w:t xml:space="preserve"> </w:t>
      </w:r>
      <w:r w:rsidR="0030286B">
        <w:rPr>
          <w:color w:val="333333"/>
          <w:w w:val="110"/>
        </w:rPr>
        <w:t>for</w:t>
      </w:r>
      <w:r w:rsidR="0030286B">
        <w:rPr>
          <w:color w:val="333333"/>
          <w:spacing w:val="-18"/>
          <w:w w:val="110"/>
        </w:rPr>
        <w:t xml:space="preserve"> </w:t>
      </w:r>
      <w:r w:rsidR="0030286B">
        <w:rPr>
          <w:color w:val="333333"/>
          <w:w w:val="110"/>
        </w:rPr>
        <w:t>a</w:t>
      </w:r>
      <w:r w:rsidR="0030286B">
        <w:rPr>
          <w:color w:val="333333"/>
          <w:spacing w:val="-19"/>
          <w:w w:val="110"/>
        </w:rPr>
        <w:t xml:space="preserve"> </w:t>
      </w:r>
      <w:r w:rsidR="0030286B">
        <w:rPr>
          <w:color w:val="333333"/>
          <w:w w:val="110"/>
        </w:rPr>
        <w:t>custom</w:t>
      </w:r>
      <w:r w:rsidR="0030286B">
        <w:rPr>
          <w:color w:val="333333"/>
          <w:spacing w:val="-16"/>
          <w:w w:val="110"/>
        </w:rPr>
        <w:t xml:space="preserve"> </w:t>
      </w:r>
      <w:r w:rsidR="0030286B">
        <w:rPr>
          <w:rFonts w:ascii="MS Gothic"/>
          <w:color w:val="B02045"/>
          <w:w w:val="110"/>
        </w:rPr>
        <w:t>ErrorController</w:t>
      </w:r>
      <w:r w:rsidR="0030286B">
        <w:rPr>
          <w:color w:val="333333"/>
          <w:w w:val="110"/>
        </w:rPr>
        <w:t xml:space="preserve">. This is particularly useful if you want to add a handler for a new content type (the default is to handle </w:t>
      </w:r>
      <w:r w:rsidR="0030286B">
        <w:rPr>
          <w:rFonts w:ascii="MS Gothic"/>
          <w:color w:val="B02045"/>
          <w:w w:val="110"/>
        </w:rPr>
        <w:t xml:space="preserve">text/html </w:t>
      </w:r>
      <w:r w:rsidR="0030286B">
        <w:rPr>
          <w:color w:val="333333"/>
          <w:w w:val="110"/>
        </w:rPr>
        <w:t xml:space="preserve">specifically and provide a fallback for </w:t>
      </w:r>
      <w:proofErr w:type="gramStart"/>
      <w:r w:rsidR="0030286B">
        <w:rPr>
          <w:color w:val="333333"/>
          <w:w w:val="110"/>
        </w:rPr>
        <w:t>everything  else</w:t>
      </w:r>
      <w:proofErr w:type="gramEnd"/>
      <w:r w:rsidR="0030286B">
        <w:rPr>
          <w:color w:val="333333"/>
          <w:w w:val="110"/>
        </w:rPr>
        <w:t xml:space="preserve">). </w:t>
      </w:r>
      <w:r w:rsidR="0030286B">
        <w:rPr>
          <w:color w:val="333333"/>
          <w:spacing w:val="-4"/>
          <w:w w:val="110"/>
        </w:rPr>
        <w:t xml:space="preserve">To </w:t>
      </w:r>
      <w:r w:rsidR="0030286B">
        <w:rPr>
          <w:color w:val="333333"/>
          <w:w w:val="110"/>
        </w:rPr>
        <w:t xml:space="preserve">do so, extend </w:t>
      </w:r>
      <w:r w:rsidR="0030286B">
        <w:rPr>
          <w:rFonts w:ascii="MS Gothic"/>
          <w:color w:val="B02045"/>
          <w:w w:val="110"/>
        </w:rPr>
        <w:t>BasicErrorController</w:t>
      </w:r>
      <w:r w:rsidR="0030286B">
        <w:rPr>
          <w:color w:val="333333"/>
          <w:w w:val="110"/>
        </w:rPr>
        <w:t xml:space="preserve">, add a public method with a </w:t>
      </w:r>
      <w:r w:rsidR="0030286B">
        <w:rPr>
          <w:rFonts w:ascii="MS Gothic"/>
          <w:color w:val="B02045"/>
          <w:w w:val="110"/>
        </w:rPr>
        <w:t>@RequestMapping</w:t>
      </w:r>
      <w:r w:rsidR="0030286B">
        <w:rPr>
          <w:rFonts w:ascii="MS Gothic"/>
          <w:color w:val="B02045"/>
          <w:spacing w:val="-73"/>
          <w:w w:val="110"/>
        </w:rPr>
        <w:t xml:space="preserve"> </w:t>
      </w:r>
      <w:r w:rsidR="0030286B">
        <w:rPr>
          <w:color w:val="333333"/>
          <w:w w:val="110"/>
        </w:rPr>
        <w:t>that</w:t>
      </w:r>
      <w:r w:rsidR="0030286B">
        <w:rPr>
          <w:color w:val="333333"/>
          <w:spacing w:val="-7"/>
          <w:w w:val="110"/>
        </w:rPr>
        <w:t xml:space="preserve"> </w:t>
      </w:r>
      <w:r w:rsidR="0030286B">
        <w:rPr>
          <w:color w:val="333333"/>
          <w:w w:val="110"/>
        </w:rPr>
        <w:t>has</w:t>
      </w:r>
      <w:r w:rsidR="0030286B">
        <w:rPr>
          <w:color w:val="333333"/>
          <w:spacing w:val="-8"/>
          <w:w w:val="110"/>
        </w:rPr>
        <w:t xml:space="preserve"> </w:t>
      </w:r>
      <w:r w:rsidR="0030286B">
        <w:rPr>
          <w:color w:val="333333"/>
          <w:w w:val="110"/>
        </w:rPr>
        <w:t>a</w:t>
      </w:r>
      <w:r w:rsidR="0030286B">
        <w:rPr>
          <w:color w:val="333333"/>
          <w:spacing w:val="-7"/>
          <w:w w:val="110"/>
        </w:rPr>
        <w:t xml:space="preserve"> </w:t>
      </w:r>
      <w:r w:rsidR="0030286B">
        <w:rPr>
          <w:rFonts w:ascii="MS Gothic"/>
          <w:color w:val="B02045"/>
          <w:w w:val="110"/>
        </w:rPr>
        <w:t>produces</w:t>
      </w:r>
      <w:r w:rsidR="0030286B">
        <w:rPr>
          <w:rFonts w:ascii="MS Gothic"/>
          <w:color w:val="B02045"/>
          <w:spacing w:val="-72"/>
          <w:w w:val="110"/>
        </w:rPr>
        <w:t xml:space="preserve"> </w:t>
      </w:r>
      <w:r w:rsidR="0030286B">
        <w:rPr>
          <w:color w:val="333333"/>
          <w:w w:val="110"/>
        </w:rPr>
        <w:t>attribute,</w:t>
      </w:r>
      <w:r w:rsidR="0030286B">
        <w:rPr>
          <w:color w:val="333333"/>
          <w:spacing w:val="-9"/>
          <w:w w:val="110"/>
        </w:rPr>
        <w:t xml:space="preserve"> </w:t>
      </w:r>
      <w:r w:rsidR="0030286B">
        <w:rPr>
          <w:color w:val="333333"/>
          <w:w w:val="110"/>
        </w:rPr>
        <w:t>and</w:t>
      </w:r>
      <w:r w:rsidR="0030286B">
        <w:rPr>
          <w:color w:val="333333"/>
          <w:spacing w:val="-8"/>
          <w:w w:val="110"/>
        </w:rPr>
        <w:t xml:space="preserve"> </w:t>
      </w:r>
      <w:r w:rsidR="0030286B">
        <w:rPr>
          <w:color w:val="333333"/>
          <w:w w:val="110"/>
        </w:rPr>
        <w:t>create</w:t>
      </w:r>
      <w:r w:rsidR="0030286B">
        <w:rPr>
          <w:color w:val="333333"/>
          <w:spacing w:val="-7"/>
          <w:w w:val="110"/>
        </w:rPr>
        <w:t xml:space="preserve"> </w:t>
      </w:r>
      <w:r w:rsidR="0030286B">
        <w:rPr>
          <w:color w:val="333333"/>
          <w:w w:val="110"/>
        </w:rPr>
        <w:t>a</w:t>
      </w:r>
      <w:r w:rsidR="0030286B">
        <w:rPr>
          <w:color w:val="333333"/>
          <w:spacing w:val="-8"/>
          <w:w w:val="110"/>
        </w:rPr>
        <w:t xml:space="preserve"> </w:t>
      </w:r>
      <w:r w:rsidR="0030286B">
        <w:rPr>
          <w:color w:val="333333"/>
          <w:w w:val="110"/>
        </w:rPr>
        <w:t>bean</w:t>
      </w:r>
      <w:r w:rsidR="0030286B">
        <w:rPr>
          <w:color w:val="333333"/>
          <w:spacing w:val="-8"/>
          <w:w w:val="110"/>
        </w:rPr>
        <w:t xml:space="preserve"> </w:t>
      </w:r>
      <w:r w:rsidR="0030286B">
        <w:rPr>
          <w:color w:val="333333"/>
          <w:w w:val="110"/>
        </w:rPr>
        <w:t>of</w:t>
      </w:r>
      <w:r w:rsidR="0030286B">
        <w:rPr>
          <w:color w:val="333333"/>
          <w:spacing w:val="-7"/>
          <w:w w:val="110"/>
        </w:rPr>
        <w:t xml:space="preserve"> </w:t>
      </w:r>
      <w:r w:rsidR="0030286B">
        <w:rPr>
          <w:color w:val="333333"/>
          <w:w w:val="110"/>
        </w:rPr>
        <w:t>your</w:t>
      </w:r>
      <w:r w:rsidR="0030286B">
        <w:rPr>
          <w:color w:val="333333"/>
          <w:spacing w:val="-9"/>
          <w:w w:val="110"/>
        </w:rPr>
        <w:t xml:space="preserve"> </w:t>
      </w:r>
      <w:r w:rsidR="0030286B">
        <w:rPr>
          <w:color w:val="333333"/>
          <w:w w:val="110"/>
        </w:rPr>
        <w:t>new</w:t>
      </w:r>
      <w:r w:rsidR="0030286B">
        <w:rPr>
          <w:color w:val="333333"/>
          <w:spacing w:val="-7"/>
          <w:w w:val="110"/>
        </w:rPr>
        <w:t xml:space="preserve"> </w:t>
      </w:r>
      <w:r w:rsidR="0030286B">
        <w:rPr>
          <w:color w:val="333333"/>
          <w:w w:val="110"/>
        </w:rPr>
        <w:t>type.</w:t>
      </w:r>
    </w:p>
    <w:p w14:paraId="1F272B4A" w14:textId="77777777" w:rsidR="00A720EB" w:rsidRDefault="00A720EB">
      <w:pPr>
        <w:pStyle w:val="a3"/>
        <w:spacing w:before="7"/>
        <w:rPr>
          <w:sz w:val="16"/>
        </w:rPr>
      </w:pPr>
    </w:p>
    <w:p w14:paraId="3CB48276" w14:textId="77777777" w:rsidR="00A720EB" w:rsidRDefault="0030286B">
      <w:pPr>
        <w:pStyle w:val="a3"/>
        <w:spacing w:before="116" w:line="290" w:lineRule="auto"/>
        <w:ind w:left="124"/>
      </w:pPr>
      <w:r>
        <w:rPr>
          <w:color w:val="333333"/>
          <w:w w:val="110"/>
        </w:rPr>
        <w:t xml:space="preserve">You can also define a class annotated with </w:t>
      </w:r>
      <w:r>
        <w:rPr>
          <w:rFonts w:ascii="MS Gothic"/>
          <w:color w:val="B02045"/>
          <w:w w:val="110"/>
        </w:rPr>
        <w:t xml:space="preserve">@ControllerAdvice </w:t>
      </w:r>
      <w:r>
        <w:rPr>
          <w:color w:val="333333"/>
          <w:w w:val="110"/>
        </w:rPr>
        <w:t>to customize the JSON document to return for a particular controller and/or exception type, as shown in the following example:</w:t>
      </w:r>
    </w:p>
    <w:p w14:paraId="73FDB4C4" w14:textId="77777777" w:rsidR="00A720EB" w:rsidRDefault="00A720EB">
      <w:pPr>
        <w:spacing w:line="290" w:lineRule="auto"/>
        <w:sectPr w:rsidR="00A720EB">
          <w:pgSz w:w="11910" w:h="16840"/>
          <w:pgMar w:top="640" w:right="840" w:bottom="520" w:left="840" w:header="0" w:footer="323" w:gutter="0"/>
          <w:cols w:space="720"/>
        </w:sectPr>
      </w:pPr>
    </w:p>
    <w:p w14:paraId="670CC37A" w14:textId="77777777" w:rsidR="00A720EB" w:rsidRDefault="00A720EB">
      <w:pPr>
        <w:pStyle w:val="a3"/>
        <w:spacing w:before="4"/>
        <w:rPr>
          <w:sz w:val="10"/>
        </w:rPr>
      </w:pPr>
    </w:p>
    <w:p w14:paraId="6FB41E52" w14:textId="77777777" w:rsidR="00A720EB" w:rsidRDefault="00E10349">
      <w:pPr>
        <w:spacing w:before="117"/>
        <w:ind w:left="344"/>
        <w:rPr>
          <w:rFonts w:ascii="MS Gothic"/>
        </w:rPr>
      </w:pPr>
      <w:r>
        <w:pict w14:anchorId="6607CD9B">
          <v:group id="_x0000_s4351" style="position:absolute;left:0;text-align:left;margin-left:47.85pt;margin-top:-6.35pt;width:499.55pt;height:347.05pt;z-index:-41616384;mso-position-horizontal-relative:page" coordorigin="957,-127" coordsize="9991,6941">
            <v:shape id="_x0000_s4353" style="position:absolute;left:964;top:-120;width:9976;height:6926" coordorigin="965,-119" coordsize="9976,6926" path="m10861,-119r-9816,l1014,-113r-26,17l971,-71r-6,32l965,6726r6,31l988,6783r26,17l1045,6806r9816,l10892,6800r25,-17l10935,6757r6,-31l10941,-39r-6,-32l10917,-96r-25,-17l10861,-119xe" fillcolor="#f5f5f5" stroked="f">
              <v:path arrowok="t"/>
            </v:shape>
            <v:shape id="_x0000_s4352" style="position:absolute;left:964;top:-120;width:9976;height:6926" coordorigin="965,-119" coordsize="9976,6926" path="m1045,-119r9816,l10892,-113r25,17l10935,-71r6,32l10941,6726r-6,31l10917,6783r-25,17l10861,6806r-9816,l1014,6800r-26,-17l971,6757r-6,-31l965,-39r6,-32l988,-96r26,-17l1045,-119xe" filled="f" strokecolor="#ccc">
              <v:path arrowok="t"/>
            </v:shape>
            <w10:wrap anchorx="page"/>
          </v:group>
        </w:pict>
      </w:r>
      <w:r w:rsidR="0030286B">
        <w:rPr>
          <w:rFonts w:ascii="MS Gothic"/>
          <w:color w:val="333333"/>
        </w:rPr>
        <w:t>@</w:t>
      </w:r>
      <w:proofErr w:type="gramStart"/>
      <w:r w:rsidR="0030286B">
        <w:rPr>
          <w:rFonts w:ascii="MS Gothic"/>
          <w:color w:val="333333"/>
        </w:rPr>
        <w:t>ControllerAdvice(</w:t>
      </w:r>
      <w:proofErr w:type="gramEnd"/>
      <w:r w:rsidR="0030286B">
        <w:rPr>
          <w:rFonts w:ascii="MS Gothic"/>
          <w:color w:val="333333"/>
        </w:rPr>
        <w:t>basePackageClasses = AcmeController.class)</w:t>
      </w:r>
    </w:p>
    <w:p w14:paraId="6BFC2B6B" w14:textId="77777777" w:rsidR="00A720EB" w:rsidRDefault="0030286B">
      <w:pPr>
        <w:spacing w:before="13"/>
        <w:ind w:left="344"/>
        <w:rPr>
          <w:rFonts w:ascii="MS Gothic"/>
        </w:rPr>
      </w:pPr>
      <w:r>
        <w:rPr>
          <w:rFonts w:ascii="MS Gothic"/>
          <w:color w:val="333333"/>
        </w:rPr>
        <w:t>public class AcmeControllerAdvice extends ResponseEntityExceptionHandler {</w:t>
      </w:r>
    </w:p>
    <w:p w14:paraId="441A9CFC" w14:textId="77777777" w:rsidR="00A720EB" w:rsidRDefault="00A720EB">
      <w:pPr>
        <w:pStyle w:val="a3"/>
        <w:rPr>
          <w:rFonts w:ascii="MS Gothic"/>
          <w:sz w:val="24"/>
        </w:rPr>
      </w:pPr>
    </w:p>
    <w:p w14:paraId="4C0545CA" w14:textId="77777777" w:rsidR="00A720EB" w:rsidRDefault="0030286B">
      <w:pPr>
        <w:spacing w:line="252" w:lineRule="auto"/>
        <w:ind w:left="784" w:right="5246"/>
        <w:rPr>
          <w:rFonts w:ascii="MS Gothic"/>
        </w:rPr>
      </w:pPr>
      <w:r>
        <w:rPr>
          <w:rFonts w:ascii="MS Gothic"/>
          <w:color w:val="333333"/>
        </w:rPr>
        <w:t>@</w:t>
      </w:r>
      <w:proofErr w:type="gramStart"/>
      <w:r>
        <w:rPr>
          <w:rFonts w:ascii="MS Gothic"/>
          <w:color w:val="333333"/>
        </w:rPr>
        <w:t>ExceptionHandler(</w:t>
      </w:r>
      <w:proofErr w:type="gramEnd"/>
      <w:r>
        <w:rPr>
          <w:rFonts w:ascii="MS Gothic"/>
          <w:color w:val="333333"/>
        </w:rPr>
        <w:t>YourException.class) @ResponseBody</w:t>
      </w:r>
    </w:p>
    <w:p w14:paraId="015332D9" w14:textId="77777777" w:rsidR="00A720EB" w:rsidRDefault="0030286B">
      <w:pPr>
        <w:spacing w:line="252" w:lineRule="auto"/>
        <w:ind w:left="344" w:right="516" w:firstLine="440"/>
        <w:rPr>
          <w:rFonts w:ascii="MS Gothic"/>
        </w:rPr>
      </w:pPr>
      <w:r>
        <w:rPr>
          <w:rFonts w:ascii="MS Gothic"/>
          <w:color w:val="333333"/>
        </w:rPr>
        <w:t xml:space="preserve">ResponseEntity&lt;?&gt; </w:t>
      </w:r>
      <w:proofErr w:type="gramStart"/>
      <w:r>
        <w:rPr>
          <w:rFonts w:ascii="MS Gothic"/>
          <w:color w:val="333333"/>
        </w:rPr>
        <w:t>handleControllerException(</w:t>
      </w:r>
      <w:proofErr w:type="gramEnd"/>
      <w:r>
        <w:rPr>
          <w:rFonts w:ascii="MS Gothic"/>
          <w:color w:val="333333"/>
        </w:rPr>
        <w:t>HttpServletRequest request, Throwable ex) {</w:t>
      </w:r>
    </w:p>
    <w:p w14:paraId="6FD267DA" w14:textId="77777777" w:rsidR="00A720EB" w:rsidRDefault="0030286B">
      <w:pPr>
        <w:spacing w:line="278" w:lineRule="exact"/>
        <w:ind w:left="1224"/>
        <w:rPr>
          <w:rFonts w:ascii="MS Gothic"/>
        </w:rPr>
      </w:pPr>
      <w:r>
        <w:rPr>
          <w:rFonts w:ascii="MS Gothic"/>
          <w:color w:val="333333"/>
        </w:rPr>
        <w:t>HttpStatus status = getStatus(request);</w:t>
      </w:r>
    </w:p>
    <w:p w14:paraId="75E6F8CD" w14:textId="77777777" w:rsidR="00A720EB" w:rsidRDefault="0030286B">
      <w:pPr>
        <w:spacing w:before="13" w:line="252" w:lineRule="auto"/>
        <w:ind w:left="344" w:right="2056" w:firstLine="880"/>
        <w:rPr>
          <w:rFonts w:ascii="MS Gothic"/>
        </w:rPr>
      </w:pPr>
      <w:r>
        <w:rPr>
          <w:rFonts w:ascii="MS Gothic"/>
          <w:color w:val="333333"/>
        </w:rPr>
        <w:t>return new ResponseEntity&lt;</w:t>
      </w:r>
      <w:proofErr w:type="gramStart"/>
      <w:r>
        <w:rPr>
          <w:rFonts w:ascii="MS Gothic"/>
          <w:color w:val="333333"/>
        </w:rPr>
        <w:t>&gt;(</w:t>
      </w:r>
      <w:proofErr w:type="gramEnd"/>
      <w:r>
        <w:rPr>
          <w:rFonts w:ascii="MS Gothic"/>
          <w:color w:val="333333"/>
        </w:rPr>
        <w:t>new CustomErrorType(status.value(), ex.getMessage()), status);</w:t>
      </w:r>
    </w:p>
    <w:p w14:paraId="38E3B75A" w14:textId="77777777" w:rsidR="00A720EB" w:rsidRDefault="0030286B">
      <w:pPr>
        <w:spacing w:line="280" w:lineRule="exact"/>
        <w:ind w:left="784"/>
        <w:rPr>
          <w:rFonts w:ascii="MS Gothic"/>
        </w:rPr>
      </w:pPr>
      <w:r>
        <w:rPr>
          <w:rFonts w:ascii="MS Gothic"/>
          <w:color w:val="333333"/>
        </w:rPr>
        <w:t>}</w:t>
      </w:r>
    </w:p>
    <w:p w14:paraId="12FDBA4F" w14:textId="77777777" w:rsidR="00A720EB" w:rsidRDefault="00A720EB">
      <w:pPr>
        <w:pStyle w:val="a3"/>
        <w:rPr>
          <w:rFonts w:ascii="MS Gothic"/>
          <w:sz w:val="24"/>
        </w:rPr>
      </w:pPr>
    </w:p>
    <w:p w14:paraId="2AE12E89" w14:textId="77777777" w:rsidR="00A720EB" w:rsidRDefault="0030286B">
      <w:pPr>
        <w:spacing w:line="252" w:lineRule="auto"/>
        <w:ind w:left="1224" w:right="3046" w:hanging="440"/>
        <w:rPr>
          <w:rFonts w:ascii="MS Gothic"/>
        </w:rPr>
      </w:pPr>
      <w:r>
        <w:rPr>
          <w:rFonts w:ascii="MS Gothic"/>
          <w:color w:val="333333"/>
        </w:rPr>
        <w:t xml:space="preserve">private HttpStatus </w:t>
      </w:r>
      <w:proofErr w:type="gramStart"/>
      <w:r>
        <w:rPr>
          <w:rFonts w:ascii="MS Gothic"/>
          <w:color w:val="333333"/>
        </w:rPr>
        <w:t>getStatus(</w:t>
      </w:r>
      <w:proofErr w:type="gramEnd"/>
      <w:r>
        <w:rPr>
          <w:rFonts w:ascii="MS Gothic"/>
          <w:color w:val="333333"/>
        </w:rPr>
        <w:t>HttpServletRequest request) { Integer statusCode = (Integer)</w:t>
      </w:r>
    </w:p>
    <w:p w14:paraId="1BC2FC56" w14:textId="77777777" w:rsidR="00A720EB" w:rsidRDefault="0030286B">
      <w:pPr>
        <w:spacing w:line="252" w:lineRule="auto"/>
        <w:ind w:left="1224" w:right="3706" w:hanging="880"/>
        <w:rPr>
          <w:rFonts w:ascii="MS Gothic"/>
        </w:rPr>
      </w:pPr>
      <w:proofErr w:type="gramStart"/>
      <w:r>
        <w:rPr>
          <w:rFonts w:ascii="MS Gothic"/>
          <w:color w:val="333333"/>
        </w:rPr>
        <w:t>request.getAttribute</w:t>
      </w:r>
      <w:proofErr w:type="gramEnd"/>
      <w:r>
        <w:rPr>
          <w:rFonts w:ascii="MS Gothic"/>
          <w:color w:val="333333"/>
        </w:rPr>
        <w:t>("javax.servlet.error.status_code"); if (statusCode == null) {</w:t>
      </w:r>
    </w:p>
    <w:p w14:paraId="22573C6C" w14:textId="77777777" w:rsidR="00A720EB" w:rsidRDefault="0030286B">
      <w:pPr>
        <w:spacing w:line="276" w:lineRule="exact"/>
        <w:ind w:left="1664"/>
        <w:rPr>
          <w:rFonts w:ascii="MS Gothic"/>
        </w:rPr>
      </w:pPr>
      <w:r>
        <w:rPr>
          <w:rFonts w:ascii="MS Gothic"/>
          <w:color w:val="333333"/>
        </w:rPr>
        <w:t>return HttpStatus.INTERNAL_SERVER_ERROR;</w:t>
      </w:r>
    </w:p>
    <w:p w14:paraId="07B5B229" w14:textId="77777777" w:rsidR="00A720EB" w:rsidRDefault="0030286B">
      <w:pPr>
        <w:spacing w:before="14"/>
        <w:ind w:left="1224"/>
        <w:rPr>
          <w:rFonts w:ascii="MS Gothic"/>
        </w:rPr>
      </w:pPr>
      <w:r>
        <w:rPr>
          <w:rFonts w:ascii="MS Gothic"/>
          <w:color w:val="333333"/>
        </w:rPr>
        <w:t>}</w:t>
      </w:r>
    </w:p>
    <w:p w14:paraId="608087D7" w14:textId="77777777" w:rsidR="00A720EB" w:rsidRDefault="0030286B">
      <w:pPr>
        <w:spacing w:before="13"/>
        <w:ind w:left="1224"/>
        <w:rPr>
          <w:rFonts w:ascii="MS Gothic"/>
        </w:rPr>
      </w:pPr>
      <w:r>
        <w:rPr>
          <w:rFonts w:ascii="MS Gothic"/>
          <w:color w:val="333333"/>
        </w:rPr>
        <w:t>return HttpStatus.valueOf(statusCode);</w:t>
      </w:r>
    </w:p>
    <w:p w14:paraId="3DE81EBE" w14:textId="77777777" w:rsidR="00A720EB" w:rsidRDefault="0030286B">
      <w:pPr>
        <w:spacing w:before="13"/>
        <w:ind w:left="784"/>
        <w:rPr>
          <w:rFonts w:ascii="MS Gothic"/>
        </w:rPr>
      </w:pPr>
      <w:r>
        <w:rPr>
          <w:rFonts w:ascii="MS Gothic"/>
          <w:color w:val="333333"/>
        </w:rPr>
        <w:t>}</w:t>
      </w:r>
    </w:p>
    <w:p w14:paraId="0CF03E7C" w14:textId="77777777" w:rsidR="00A720EB" w:rsidRDefault="00A720EB">
      <w:pPr>
        <w:pStyle w:val="a3"/>
        <w:rPr>
          <w:rFonts w:ascii="MS Gothic"/>
          <w:sz w:val="24"/>
        </w:rPr>
      </w:pPr>
    </w:p>
    <w:p w14:paraId="7799DE41" w14:textId="77777777" w:rsidR="00A720EB" w:rsidRDefault="0030286B">
      <w:pPr>
        <w:ind w:left="344"/>
        <w:rPr>
          <w:rFonts w:ascii="MS Gothic"/>
        </w:rPr>
      </w:pPr>
      <w:r>
        <w:rPr>
          <w:rFonts w:ascii="MS Gothic"/>
          <w:color w:val="333333"/>
        </w:rPr>
        <w:t>}</w:t>
      </w:r>
    </w:p>
    <w:p w14:paraId="64F06131" w14:textId="77777777" w:rsidR="00A720EB" w:rsidRDefault="00A720EB">
      <w:pPr>
        <w:pStyle w:val="a3"/>
        <w:spacing w:before="11"/>
        <w:rPr>
          <w:rFonts w:ascii="MS Gothic"/>
          <w:sz w:val="28"/>
        </w:rPr>
      </w:pPr>
    </w:p>
    <w:p w14:paraId="74CD7F1F" w14:textId="77777777" w:rsidR="00A720EB" w:rsidRDefault="0030286B">
      <w:pPr>
        <w:pStyle w:val="a3"/>
        <w:spacing w:before="116" w:line="280" w:lineRule="auto"/>
        <w:ind w:left="124" w:right="125"/>
        <w:jc w:val="both"/>
      </w:pPr>
      <w:r>
        <w:rPr>
          <w:color w:val="333333"/>
          <w:w w:val="110"/>
        </w:rPr>
        <w:t xml:space="preserve">In the preceding example, if </w:t>
      </w:r>
      <w:r>
        <w:rPr>
          <w:rFonts w:ascii="MS Gothic"/>
          <w:color w:val="B02045"/>
          <w:w w:val="110"/>
        </w:rPr>
        <w:t xml:space="preserve">YourException </w:t>
      </w:r>
      <w:r>
        <w:rPr>
          <w:color w:val="333333"/>
          <w:w w:val="110"/>
        </w:rPr>
        <w:t xml:space="preserve">is thrown </w:t>
      </w:r>
      <w:r>
        <w:rPr>
          <w:color w:val="333333"/>
          <w:spacing w:val="-3"/>
          <w:w w:val="110"/>
        </w:rPr>
        <w:t xml:space="preserve">by </w:t>
      </w:r>
      <w:r>
        <w:rPr>
          <w:color w:val="333333"/>
          <w:w w:val="110"/>
        </w:rPr>
        <w:t xml:space="preserve">a controller defined in the same package as </w:t>
      </w:r>
      <w:r>
        <w:rPr>
          <w:rFonts w:ascii="MS Gothic"/>
          <w:color w:val="B02045"/>
          <w:w w:val="110"/>
        </w:rPr>
        <w:t>AcmeController</w:t>
      </w:r>
      <w:r>
        <w:rPr>
          <w:color w:val="333333"/>
          <w:w w:val="110"/>
        </w:rPr>
        <w:t xml:space="preserve">, a JSON representation of the </w:t>
      </w:r>
      <w:r>
        <w:rPr>
          <w:rFonts w:ascii="MS Gothic"/>
          <w:color w:val="B02045"/>
          <w:w w:val="110"/>
        </w:rPr>
        <w:t xml:space="preserve">CustomErrorType </w:t>
      </w:r>
      <w:r>
        <w:rPr>
          <w:color w:val="333333"/>
          <w:w w:val="110"/>
        </w:rPr>
        <w:t xml:space="preserve">POJO is used instead of </w:t>
      </w:r>
      <w:proofErr w:type="gramStart"/>
      <w:r>
        <w:rPr>
          <w:color w:val="333333"/>
          <w:w w:val="110"/>
        </w:rPr>
        <w:t xml:space="preserve">the  </w:t>
      </w:r>
      <w:r>
        <w:rPr>
          <w:rFonts w:ascii="MS Gothic"/>
          <w:color w:val="B02045"/>
          <w:w w:val="110"/>
        </w:rPr>
        <w:t>ErrorAttributes</w:t>
      </w:r>
      <w:proofErr w:type="gramEnd"/>
      <w:r>
        <w:rPr>
          <w:rFonts w:ascii="MS Gothic"/>
          <w:color w:val="B02045"/>
          <w:spacing w:val="-63"/>
          <w:w w:val="110"/>
        </w:rPr>
        <w:t xml:space="preserve"> </w:t>
      </w:r>
      <w:r>
        <w:rPr>
          <w:color w:val="333333"/>
          <w:w w:val="110"/>
        </w:rPr>
        <w:t>representation.</w:t>
      </w:r>
    </w:p>
    <w:p w14:paraId="0A92BECD" w14:textId="77777777" w:rsidR="00A720EB" w:rsidRDefault="00A720EB">
      <w:pPr>
        <w:pStyle w:val="a3"/>
        <w:spacing w:before="7"/>
        <w:rPr>
          <w:sz w:val="26"/>
        </w:rPr>
      </w:pPr>
    </w:p>
    <w:p w14:paraId="3AAE7FBC" w14:textId="77777777" w:rsidR="00A720EB" w:rsidRDefault="0030286B">
      <w:pPr>
        <w:spacing w:before="1"/>
        <w:ind w:left="124"/>
        <w:jc w:val="both"/>
        <w:rPr>
          <w:rFonts w:ascii="Palatino Linotype"/>
          <w:b/>
          <w:sz w:val="18"/>
        </w:rPr>
      </w:pPr>
      <w:bookmarkStart w:id="254" w:name="_bookmark159"/>
      <w:bookmarkEnd w:id="254"/>
      <w:r>
        <w:rPr>
          <w:rFonts w:ascii="Palatino Linotype"/>
          <w:b/>
          <w:color w:val="333333"/>
          <w:w w:val="110"/>
          <w:sz w:val="18"/>
        </w:rPr>
        <w:t>Custom Error Pages</w:t>
      </w:r>
    </w:p>
    <w:p w14:paraId="53673127" w14:textId="77777777" w:rsidR="00A720EB" w:rsidRDefault="00A720EB">
      <w:pPr>
        <w:pStyle w:val="a3"/>
        <w:spacing w:before="11"/>
        <w:rPr>
          <w:rFonts w:ascii="Palatino Linotype"/>
          <w:b/>
          <w:sz w:val="18"/>
        </w:rPr>
      </w:pPr>
    </w:p>
    <w:p w14:paraId="38D5878D" w14:textId="77777777" w:rsidR="00A720EB" w:rsidRDefault="0030286B">
      <w:pPr>
        <w:pStyle w:val="a3"/>
        <w:ind w:left="124"/>
        <w:jc w:val="both"/>
      </w:pPr>
      <w:r>
        <w:rPr>
          <w:color w:val="333333"/>
          <w:w w:val="110"/>
        </w:rPr>
        <w:t>If you want to display a custom HTML error page for a given status code, you can add a file to an</w:t>
      </w:r>
    </w:p>
    <w:p w14:paraId="72BDF2A7" w14:textId="77777777" w:rsidR="00A720EB" w:rsidRDefault="0030286B">
      <w:pPr>
        <w:pStyle w:val="a3"/>
        <w:spacing w:before="59" w:line="300" w:lineRule="auto"/>
        <w:ind w:left="124" w:right="128"/>
        <w:jc w:val="both"/>
      </w:pPr>
      <w:r>
        <w:rPr>
          <w:rFonts w:ascii="MS Gothic"/>
          <w:color w:val="B02045"/>
          <w:w w:val="110"/>
        </w:rPr>
        <w:t xml:space="preserve">/error </w:t>
      </w:r>
      <w:r>
        <w:rPr>
          <w:color w:val="333333"/>
          <w:w w:val="110"/>
        </w:rPr>
        <w:t>directory. Error pages can either be static HTML (that is, added under any of the static resource directories) or be built by using templates. The name of the file should be the exact status code or a series mask.</w:t>
      </w:r>
    </w:p>
    <w:p w14:paraId="7C12E6FA" w14:textId="77777777" w:rsidR="00A720EB" w:rsidRDefault="0030286B">
      <w:pPr>
        <w:pStyle w:val="a3"/>
        <w:spacing w:before="235"/>
        <w:ind w:left="124"/>
        <w:jc w:val="both"/>
      </w:pPr>
      <w:r>
        <w:rPr>
          <w:color w:val="333333"/>
          <w:w w:val="110"/>
        </w:rPr>
        <w:t xml:space="preserve">For example, to map </w:t>
      </w:r>
      <w:r>
        <w:rPr>
          <w:rFonts w:ascii="MS Gothic"/>
          <w:color w:val="B02045"/>
          <w:w w:val="110"/>
        </w:rPr>
        <w:t xml:space="preserve">404 </w:t>
      </w:r>
      <w:r>
        <w:rPr>
          <w:color w:val="333333"/>
          <w:w w:val="110"/>
        </w:rPr>
        <w:t>to a static HTML file, your directory structure would be as follows:</w:t>
      </w:r>
    </w:p>
    <w:p w14:paraId="7C33FDD3" w14:textId="77777777" w:rsidR="00A720EB" w:rsidRDefault="00E10349">
      <w:pPr>
        <w:pStyle w:val="a3"/>
        <w:spacing w:before="11"/>
        <w:rPr>
          <w:sz w:val="17"/>
        </w:rPr>
      </w:pPr>
      <w:r>
        <w:pict w14:anchorId="546790AB">
          <v:group id="_x0000_s4347" style="position:absolute;margin-left:47.85pt;margin-top:12.5pt;width:499.55pt;height:155.45pt;z-index:-15539712;mso-wrap-distance-left:0;mso-wrap-distance-right:0;mso-position-horizontal-relative:page" coordorigin="957,250" coordsize="9991,3109">
            <v:shape id="_x0000_s4350" style="position:absolute;left:964;top:257;width:9976;height:3094" coordorigin="965,258" coordsize="9976,3094" path="m10861,258r-9816,l1014,264r-26,17l971,307r-6,31l965,3271r6,31l988,3327r26,18l1045,3351r9816,l10892,3345r25,-18l10935,3302r6,-31l10941,338r-6,-31l10917,281r-25,-17l10861,258xe" fillcolor="#f5f5f5" stroked="f">
              <v:path arrowok="t"/>
            </v:shape>
            <v:shape id="_x0000_s4349" style="position:absolute;left:964;top:257;width:9976;height:3094" coordorigin="965,258" coordsize="9976,3094" path="m1045,258r9816,l10892,264r25,17l10935,307r6,31l10941,3271r-6,31l10917,3327r-25,18l10861,3351r-9816,l1014,3345r-26,-18l971,3302r-6,-31l965,338r6,-31l988,281r26,-17l1045,258xe" filled="f" strokecolor="#ccc">
              <v:path arrowok="t"/>
            </v:shape>
            <v:shape id="_x0000_s4348" type="#_x0000_t202" style="position:absolute;left:984;top:273;width:9938;height:3063" filled="f" stroked="f">
              <v:textbox inset="0,0,0,0">
                <w:txbxContent>
                  <w:p w14:paraId="55791693" w14:textId="77777777" w:rsidR="00711A16" w:rsidRDefault="00711A16">
                    <w:pPr>
                      <w:spacing w:before="221"/>
                      <w:ind w:left="200"/>
                      <w:rPr>
                        <w:rFonts w:ascii="MS Gothic"/>
                      </w:rPr>
                    </w:pPr>
                    <w:r>
                      <w:rPr>
                        <w:rFonts w:ascii="MS Gothic"/>
                        <w:color w:val="333333"/>
                      </w:rPr>
                      <w:t>src/</w:t>
                    </w:r>
                  </w:p>
                  <w:p w14:paraId="2163F8F2" w14:textId="77777777" w:rsidR="00711A16" w:rsidRDefault="00711A16">
                    <w:pPr>
                      <w:spacing w:before="13"/>
                      <w:ind w:left="310"/>
                      <w:rPr>
                        <w:rFonts w:ascii="MS Gothic"/>
                      </w:rPr>
                    </w:pPr>
                    <w:r>
                      <w:rPr>
                        <w:rFonts w:ascii="MS Gothic"/>
                        <w:color w:val="333333"/>
                      </w:rPr>
                      <w:t>+- main/</w:t>
                    </w:r>
                  </w:p>
                  <w:p w14:paraId="135212D7" w14:textId="77777777" w:rsidR="00711A16" w:rsidRDefault="00711A16">
                    <w:pPr>
                      <w:spacing w:before="13"/>
                      <w:ind w:left="750"/>
                      <w:rPr>
                        <w:rFonts w:ascii="MS Gothic"/>
                      </w:rPr>
                    </w:pPr>
                    <w:r>
                      <w:rPr>
                        <w:rFonts w:ascii="MS Gothic"/>
                        <w:color w:val="333333"/>
                      </w:rPr>
                      <w:t>+- java/</w:t>
                    </w:r>
                  </w:p>
                  <w:p w14:paraId="4EA97B0D" w14:textId="77777777" w:rsidR="00711A16" w:rsidRDefault="00711A16">
                    <w:pPr>
                      <w:tabs>
                        <w:tab w:val="left" w:pos="1190"/>
                      </w:tabs>
                      <w:spacing w:before="13"/>
                      <w:ind w:left="750"/>
                      <w:rPr>
                        <w:rFonts w:ascii="MS Gothic"/>
                      </w:rPr>
                    </w:pPr>
                    <w:r>
                      <w:rPr>
                        <w:rFonts w:ascii="MS Gothic"/>
                        <w:color w:val="333333"/>
                      </w:rPr>
                      <w:t>|</w:t>
                    </w:r>
                    <w:r>
                      <w:rPr>
                        <w:rFonts w:ascii="MS Gothic"/>
                        <w:color w:val="333333"/>
                      </w:rPr>
                      <w:tab/>
                      <w:t>+ &lt;source code&gt;</w:t>
                    </w:r>
                  </w:p>
                  <w:p w14:paraId="56E27D5C" w14:textId="77777777" w:rsidR="00711A16" w:rsidRDefault="00711A16">
                    <w:pPr>
                      <w:spacing w:before="12"/>
                      <w:ind w:left="750"/>
                      <w:rPr>
                        <w:rFonts w:ascii="MS Gothic"/>
                      </w:rPr>
                    </w:pPr>
                    <w:r>
                      <w:rPr>
                        <w:rFonts w:ascii="MS Gothic"/>
                        <w:color w:val="333333"/>
                      </w:rPr>
                      <w:t>+- resources/</w:t>
                    </w:r>
                  </w:p>
                  <w:p w14:paraId="49F011E1" w14:textId="77777777" w:rsidR="00711A16" w:rsidRDefault="00711A16">
                    <w:pPr>
                      <w:spacing w:before="13"/>
                      <w:ind w:left="1190"/>
                      <w:rPr>
                        <w:rFonts w:ascii="MS Gothic"/>
                      </w:rPr>
                    </w:pPr>
                    <w:r>
                      <w:rPr>
                        <w:rFonts w:ascii="MS Gothic"/>
                        <w:color w:val="333333"/>
                      </w:rPr>
                      <w:t>+- public/</w:t>
                    </w:r>
                  </w:p>
                  <w:p w14:paraId="19EACE51" w14:textId="77777777" w:rsidR="00711A16" w:rsidRDefault="00711A16">
                    <w:pPr>
                      <w:spacing w:before="13"/>
                      <w:ind w:left="1630"/>
                      <w:rPr>
                        <w:rFonts w:ascii="MS Gothic"/>
                      </w:rPr>
                    </w:pPr>
                    <w:r>
                      <w:rPr>
                        <w:rFonts w:ascii="MS Gothic"/>
                        <w:color w:val="333333"/>
                      </w:rPr>
                      <w:t>+- error/</w:t>
                    </w:r>
                  </w:p>
                  <w:p w14:paraId="5FF9AA47" w14:textId="77777777" w:rsidR="00711A16" w:rsidRDefault="00711A16">
                    <w:pPr>
                      <w:tabs>
                        <w:tab w:val="left" w:pos="2070"/>
                      </w:tabs>
                      <w:spacing w:before="13"/>
                      <w:ind w:left="1630"/>
                      <w:rPr>
                        <w:rFonts w:ascii="MS Gothic"/>
                      </w:rPr>
                    </w:pPr>
                    <w:r>
                      <w:rPr>
                        <w:rFonts w:ascii="MS Gothic"/>
                        <w:color w:val="333333"/>
                      </w:rPr>
                      <w:t>|</w:t>
                    </w:r>
                    <w:r>
                      <w:rPr>
                        <w:rFonts w:ascii="MS Gothic"/>
                        <w:color w:val="333333"/>
                      </w:rPr>
                      <w:tab/>
                      <w:t>+- 404.html</w:t>
                    </w:r>
                  </w:p>
                  <w:p w14:paraId="0806501F" w14:textId="77777777" w:rsidR="00711A16" w:rsidRDefault="00711A16">
                    <w:pPr>
                      <w:spacing w:before="13"/>
                      <w:ind w:left="1630"/>
                      <w:rPr>
                        <w:rFonts w:ascii="MS Gothic"/>
                      </w:rPr>
                    </w:pPr>
                    <w:r>
                      <w:rPr>
                        <w:rFonts w:ascii="MS Gothic"/>
                        <w:color w:val="333333"/>
                      </w:rPr>
                      <w:t>+- &lt;other public assets&gt;</w:t>
                    </w:r>
                  </w:p>
                </w:txbxContent>
              </v:textbox>
            </v:shape>
            <w10:wrap type="topAndBottom" anchorx="page"/>
          </v:group>
        </w:pict>
      </w:r>
    </w:p>
    <w:p w14:paraId="719D9557" w14:textId="77777777" w:rsidR="00A720EB" w:rsidRDefault="00A720EB">
      <w:pPr>
        <w:pStyle w:val="a3"/>
        <w:spacing w:before="11"/>
        <w:rPr>
          <w:sz w:val="9"/>
        </w:rPr>
      </w:pPr>
    </w:p>
    <w:p w14:paraId="45771707" w14:textId="77777777" w:rsidR="00A720EB" w:rsidRDefault="0030286B">
      <w:pPr>
        <w:pStyle w:val="a3"/>
        <w:spacing w:before="115"/>
        <w:ind w:left="124"/>
      </w:pPr>
      <w:r>
        <w:rPr>
          <w:color w:val="333333"/>
          <w:w w:val="110"/>
        </w:rPr>
        <w:t xml:space="preserve">To map all </w:t>
      </w:r>
      <w:r>
        <w:rPr>
          <w:rFonts w:ascii="MS Gothic"/>
          <w:color w:val="B02045"/>
          <w:w w:val="110"/>
        </w:rPr>
        <w:t xml:space="preserve">5xx </w:t>
      </w:r>
      <w:r>
        <w:rPr>
          <w:color w:val="333333"/>
          <w:w w:val="110"/>
        </w:rPr>
        <w:t>errors by using a FreeMarker template, your directory structure would be as follows:</w:t>
      </w:r>
    </w:p>
    <w:p w14:paraId="04BB3B18" w14:textId="77777777" w:rsidR="00A720EB" w:rsidRDefault="00A720EB">
      <w:pPr>
        <w:sectPr w:rsidR="00A720EB">
          <w:pgSz w:w="11910" w:h="16840"/>
          <w:pgMar w:top="700" w:right="840" w:bottom="520" w:left="840" w:header="0" w:footer="323" w:gutter="0"/>
          <w:cols w:space="720"/>
        </w:sectPr>
      </w:pPr>
    </w:p>
    <w:p w14:paraId="1DD6A924" w14:textId="77777777" w:rsidR="00A720EB" w:rsidRDefault="00E10349">
      <w:pPr>
        <w:pStyle w:val="a3"/>
        <w:ind w:left="116"/>
        <w:rPr>
          <w:sz w:val="20"/>
        </w:rPr>
      </w:pPr>
      <w:r>
        <w:rPr>
          <w:sz w:val="20"/>
        </w:rPr>
      </w:r>
      <w:r>
        <w:rPr>
          <w:sz w:val="20"/>
        </w:rPr>
        <w:pict w14:anchorId="5A9EDE92">
          <v:group id="_x0000_s4343" style="width:499.55pt;height:155.45pt;mso-position-horizontal-relative:char;mso-position-vertical-relative:line" coordsize="9991,3109">
            <v:shape id="_x0000_s4346" style="position:absolute;left:7;top:7;width:9976;height:3094" coordorigin="8,8" coordsize="9976,3094" path="m9904,8l88,8,56,14,31,31,14,56,8,88r,2933l14,3052r17,25l56,3094r32,7l9904,3101r31,-7l9960,3077r17,-25l9984,3021r,-2933l9977,56,9960,31,9935,14,9904,8xe" fillcolor="#f5f5f5" stroked="f">
              <v:path arrowok="t"/>
            </v:shape>
            <v:shape id="_x0000_s4345" style="position:absolute;left:7;top:7;width:9976;height:3094" coordorigin="8,8" coordsize="9976,3094" path="m88,8r9816,l9935,14r25,17l9977,56r7,32l9984,3021r-7,31l9960,3077r-25,17l9904,3101r-9816,l56,3094,31,3077,14,3052,8,3021,8,88,14,56,31,31,56,14,88,8xe" filled="f" strokecolor="#ccc">
              <v:path arrowok="t"/>
            </v:shape>
            <v:shape id="_x0000_s4344" type="#_x0000_t202" style="position:absolute;left:26;top:22;width:9938;height:3063" filled="f" stroked="f">
              <v:textbox inset="0,0,0,0">
                <w:txbxContent>
                  <w:p w14:paraId="28181D04" w14:textId="77777777" w:rsidR="00711A16" w:rsidRDefault="00711A16">
                    <w:pPr>
                      <w:spacing w:before="221"/>
                      <w:ind w:left="200"/>
                      <w:rPr>
                        <w:rFonts w:ascii="MS Gothic"/>
                      </w:rPr>
                    </w:pPr>
                    <w:r>
                      <w:rPr>
                        <w:rFonts w:ascii="MS Gothic"/>
                        <w:color w:val="333333"/>
                      </w:rPr>
                      <w:t>src/</w:t>
                    </w:r>
                  </w:p>
                  <w:p w14:paraId="401DF673" w14:textId="77777777" w:rsidR="00711A16" w:rsidRDefault="00711A16">
                    <w:pPr>
                      <w:spacing w:before="13"/>
                      <w:ind w:left="310"/>
                      <w:rPr>
                        <w:rFonts w:ascii="MS Gothic"/>
                      </w:rPr>
                    </w:pPr>
                    <w:r>
                      <w:rPr>
                        <w:rFonts w:ascii="MS Gothic"/>
                        <w:color w:val="333333"/>
                      </w:rPr>
                      <w:t>+- main/</w:t>
                    </w:r>
                  </w:p>
                  <w:p w14:paraId="58846501" w14:textId="77777777" w:rsidR="00711A16" w:rsidRDefault="00711A16">
                    <w:pPr>
                      <w:spacing w:before="13"/>
                      <w:ind w:left="750"/>
                      <w:rPr>
                        <w:rFonts w:ascii="MS Gothic"/>
                      </w:rPr>
                    </w:pPr>
                    <w:r>
                      <w:rPr>
                        <w:rFonts w:ascii="MS Gothic"/>
                        <w:color w:val="333333"/>
                      </w:rPr>
                      <w:t>+- java/</w:t>
                    </w:r>
                  </w:p>
                  <w:p w14:paraId="6A23BF49" w14:textId="77777777" w:rsidR="00711A16" w:rsidRDefault="00711A16">
                    <w:pPr>
                      <w:tabs>
                        <w:tab w:val="left" w:pos="1190"/>
                      </w:tabs>
                      <w:spacing w:before="13"/>
                      <w:ind w:left="750"/>
                      <w:rPr>
                        <w:rFonts w:ascii="MS Gothic"/>
                      </w:rPr>
                    </w:pPr>
                    <w:r>
                      <w:rPr>
                        <w:rFonts w:ascii="MS Gothic"/>
                        <w:color w:val="333333"/>
                      </w:rPr>
                      <w:t>|</w:t>
                    </w:r>
                    <w:r>
                      <w:rPr>
                        <w:rFonts w:ascii="MS Gothic"/>
                        <w:color w:val="333333"/>
                      </w:rPr>
                      <w:tab/>
                      <w:t>+ &lt;source code&gt;</w:t>
                    </w:r>
                  </w:p>
                  <w:p w14:paraId="786E513F" w14:textId="77777777" w:rsidR="00711A16" w:rsidRDefault="00711A16">
                    <w:pPr>
                      <w:spacing w:before="12"/>
                      <w:ind w:left="750"/>
                      <w:rPr>
                        <w:rFonts w:ascii="MS Gothic"/>
                      </w:rPr>
                    </w:pPr>
                    <w:r>
                      <w:rPr>
                        <w:rFonts w:ascii="MS Gothic"/>
                        <w:color w:val="333333"/>
                      </w:rPr>
                      <w:t>+- resources/</w:t>
                    </w:r>
                  </w:p>
                  <w:p w14:paraId="3B2FD626" w14:textId="77777777" w:rsidR="00711A16" w:rsidRDefault="00711A16">
                    <w:pPr>
                      <w:spacing w:before="13"/>
                      <w:ind w:right="7314"/>
                      <w:jc w:val="right"/>
                      <w:rPr>
                        <w:rFonts w:ascii="MS Gothic"/>
                      </w:rPr>
                    </w:pPr>
                    <w:r>
                      <w:rPr>
                        <w:rFonts w:ascii="MS Gothic"/>
                        <w:color w:val="333333"/>
                      </w:rPr>
                      <w:t>+- templates/</w:t>
                    </w:r>
                  </w:p>
                  <w:p w14:paraId="353737D0" w14:textId="77777777" w:rsidR="00711A16" w:rsidRDefault="00711A16">
                    <w:pPr>
                      <w:spacing w:before="13"/>
                      <w:ind w:right="7314"/>
                      <w:jc w:val="right"/>
                      <w:rPr>
                        <w:rFonts w:ascii="MS Gothic"/>
                      </w:rPr>
                    </w:pPr>
                    <w:r>
                      <w:rPr>
                        <w:rFonts w:ascii="MS Gothic"/>
                        <w:color w:val="333333"/>
                      </w:rPr>
                      <w:t>+- error/</w:t>
                    </w:r>
                  </w:p>
                  <w:p w14:paraId="2264EF65" w14:textId="77777777" w:rsidR="00711A16" w:rsidRDefault="00711A16">
                    <w:pPr>
                      <w:tabs>
                        <w:tab w:val="left" w:pos="2070"/>
                      </w:tabs>
                      <w:spacing w:before="13"/>
                      <w:ind w:left="1630"/>
                      <w:rPr>
                        <w:rFonts w:ascii="MS Gothic"/>
                      </w:rPr>
                    </w:pPr>
                    <w:r>
                      <w:rPr>
                        <w:rFonts w:ascii="MS Gothic"/>
                        <w:color w:val="333333"/>
                      </w:rPr>
                      <w:t>|</w:t>
                    </w:r>
                    <w:r>
                      <w:rPr>
                        <w:rFonts w:ascii="MS Gothic"/>
                        <w:color w:val="333333"/>
                      </w:rPr>
                      <w:tab/>
                      <w:t>+- 5xx.ftlh</w:t>
                    </w:r>
                  </w:p>
                  <w:p w14:paraId="1540BE73" w14:textId="77777777" w:rsidR="00711A16" w:rsidRDefault="00711A16">
                    <w:pPr>
                      <w:spacing w:before="13"/>
                      <w:ind w:left="1630"/>
                      <w:rPr>
                        <w:rFonts w:ascii="MS Gothic"/>
                      </w:rPr>
                    </w:pPr>
                    <w:r>
                      <w:rPr>
                        <w:rFonts w:ascii="MS Gothic"/>
                        <w:color w:val="333333"/>
                      </w:rPr>
                      <w:t>+- &lt;other templates&gt;</w:t>
                    </w:r>
                  </w:p>
                </w:txbxContent>
              </v:textbox>
            </v:shape>
            <w10:anchorlock/>
          </v:group>
        </w:pict>
      </w:r>
    </w:p>
    <w:p w14:paraId="4F237E01" w14:textId="77777777" w:rsidR="00A720EB" w:rsidRDefault="00A720EB">
      <w:pPr>
        <w:pStyle w:val="a3"/>
        <w:spacing w:before="3"/>
        <w:rPr>
          <w:sz w:val="9"/>
        </w:rPr>
      </w:pPr>
    </w:p>
    <w:p w14:paraId="1FA5C17C" w14:textId="77777777" w:rsidR="00A720EB" w:rsidRDefault="0030286B">
      <w:pPr>
        <w:pStyle w:val="a3"/>
        <w:spacing w:before="116"/>
        <w:ind w:left="124"/>
        <w:rPr>
          <w:rFonts w:ascii="MS Gothic"/>
        </w:rPr>
      </w:pPr>
      <w:r>
        <w:rPr>
          <w:color w:val="333333"/>
          <w:w w:val="110"/>
        </w:rPr>
        <w:t xml:space="preserve">For more complex mappings, you can also add beans that implement the </w:t>
      </w:r>
      <w:r>
        <w:rPr>
          <w:rFonts w:ascii="MS Gothic"/>
          <w:color w:val="B02045"/>
          <w:w w:val="110"/>
        </w:rPr>
        <w:t>ErrorViewResolver</w:t>
      </w:r>
    </w:p>
    <w:p w14:paraId="34FC72B6" w14:textId="77777777" w:rsidR="00A720EB" w:rsidRDefault="0030286B">
      <w:pPr>
        <w:pStyle w:val="a3"/>
        <w:spacing w:before="57"/>
        <w:ind w:left="124"/>
      </w:pPr>
      <w:r>
        <w:rPr>
          <w:color w:val="333333"/>
          <w:w w:val="110"/>
        </w:rPr>
        <w:t>interface, as shown in the following example:</w:t>
      </w:r>
    </w:p>
    <w:p w14:paraId="53C98097" w14:textId="77777777" w:rsidR="00A720EB" w:rsidRDefault="00E10349">
      <w:pPr>
        <w:pStyle w:val="a3"/>
        <w:rPr>
          <w:sz w:val="19"/>
        </w:rPr>
      </w:pPr>
      <w:r>
        <w:pict w14:anchorId="1BCD66E0">
          <v:group id="_x0000_s4339" style="position:absolute;margin-left:47.85pt;margin-top:13.1pt;width:499.55pt;height:170.15pt;z-index:-15538176;mso-wrap-distance-left:0;mso-wrap-distance-right:0;mso-position-horizontal-relative:page" coordorigin="957,262" coordsize="9991,3403">
            <v:shape id="_x0000_s4342" style="position:absolute;left:964;top:269;width:9976;height:3388" coordorigin="965,270" coordsize="9976,3388" path="m10861,270r-9816,l1014,276r-26,17l971,319r-6,31l965,3578r6,31l988,3634r26,18l1045,3658r9816,l10892,3652r25,-18l10935,3609r6,-31l10941,350r-6,-31l10917,293r-25,-17l10861,270xe" fillcolor="#f5f5f5" stroked="f">
              <v:path arrowok="t"/>
            </v:shape>
            <v:shape id="_x0000_s4341" style="position:absolute;left:964;top:269;width:9976;height:3388" coordorigin="965,270" coordsize="9976,3388" path="m1045,270r9816,l10892,276r25,17l10935,319r6,31l10941,3578r-6,31l10917,3634r-25,18l10861,3658r-9816,l1014,3652r-26,-18l971,3609r-6,-31l965,350r6,-31l988,293r26,-17l1045,270xe" filled="f" strokecolor="#ccc">
              <v:path arrowok="t"/>
            </v:shape>
            <v:shape id="_x0000_s4340" type="#_x0000_t202" style="position:absolute;left:984;top:285;width:9938;height:3358" filled="f" stroked="f">
              <v:textbox inset="0,0,0,0">
                <w:txbxContent>
                  <w:p w14:paraId="26B09796" w14:textId="77777777" w:rsidR="00711A16" w:rsidRDefault="00711A16">
                    <w:pPr>
                      <w:spacing w:before="221"/>
                      <w:ind w:left="200"/>
                      <w:rPr>
                        <w:rFonts w:ascii="MS Gothic"/>
                      </w:rPr>
                    </w:pPr>
                    <w:r>
                      <w:rPr>
                        <w:rFonts w:ascii="MS Gothic"/>
                        <w:color w:val="333333"/>
                      </w:rPr>
                      <w:t>public class MyErrorViewResolver implements ErrorViewResolver {</w:t>
                    </w:r>
                  </w:p>
                  <w:p w14:paraId="5FB41B19" w14:textId="77777777" w:rsidR="00711A16" w:rsidRDefault="00711A16">
                    <w:pPr>
                      <w:rPr>
                        <w:rFonts w:ascii="MS Gothic"/>
                        <w:sz w:val="24"/>
                      </w:rPr>
                    </w:pPr>
                  </w:p>
                  <w:p w14:paraId="1B808479" w14:textId="77777777" w:rsidR="00711A16" w:rsidRDefault="00711A16">
                    <w:pPr>
                      <w:ind w:left="640"/>
                      <w:rPr>
                        <w:rFonts w:ascii="MS Gothic"/>
                      </w:rPr>
                    </w:pPr>
                    <w:r>
                      <w:rPr>
                        <w:rFonts w:ascii="MS Gothic"/>
                        <w:color w:val="333333"/>
                      </w:rPr>
                      <w:t>@Override</w:t>
                    </w:r>
                  </w:p>
                  <w:p w14:paraId="2C66C922" w14:textId="77777777" w:rsidR="00711A16" w:rsidRDefault="00711A16">
                    <w:pPr>
                      <w:spacing w:before="13" w:line="252" w:lineRule="auto"/>
                      <w:ind w:left="1520" w:right="2238" w:hanging="880"/>
                      <w:rPr>
                        <w:rFonts w:ascii="MS Gothic"/>
                      </w:rPr>
                    </w:pPr>
                    <w:r>
                      <w:rPr>
                        <w:rFonts w:ascii="MS Gothic"/>
                        <w:color w:val="333333"/>
                      </w:rPr>
                      <w:t xml:space="preserve">public ModelAndView </w:t>
                    </w:r>
                    <w:proofErr w:type="gramStart"/>
                    <w:r>
                      <w:rPr>
                        <w:rFonts w:ascii="MS Gothic"/>
                        <w:color w:val="333333"/>
                      </w:rPr>
                      <w:t>resolveErrorView(</w:t>
                    </w:r>
                    <w:proofErr w:type="gramEnd"/>
                    <w:r>
                      <w:rPr>
                        <w:rFonts w:ascii="MS Gothic"/>
                        <w:color w:val="333333"/>
                      </w:rPr>
                      <w:t>HttpServletRequest request, HttpStatus status, Map&lt;String, Object&gt; model) {</w:t>
                    </w:r>
                  </w:p>
                  <w:p w14:paraId="7E3EF983" w14:textId="77777777" w:rsidR="00711A16" w:rsidRDefault="00711A16">
                    <w:pPr>
                      <w:spacing w:line="252" w:lineRule="auto"/>
                      <w:ind w:left="1080" w:right="1798"/>
                      <w:rPr>
                        <w:rFonts w:ascii="MS Gothic"/>
                      </w:rPr>
                    </w:pPr>
                    <w:r>
                      <w:rPr>
                        <w:rFonts w:ascii="MS Gothic"/>
                        <w:color w:val="333333"/>
                      </w:rPr>
                      <w:t>// Use the request or status to optionally return a ModelAndView return ...</w:t>
                    </w:r>
                  </w:p>
                  <w:p w14:paraId="50F70076" w14:textId="77777777" w:rsidR="00711A16" w:rsidRDefault="00711A16">
                    <w:pPr>
                      <w:spacing w:line="280" w:lineRule="exact"/>
                      <w:ind w:left="640"/>
                      <w:rPr>
                        <w:rFonts w:ascii="MS Gothic"/>
                      </w:rPr>
                    </w:pPr>
                    <w:r>
                      <w:rPr>
                        <w:rFonts w:ascii="MS Gothic"/>
                        <w:color w:val="333333"/>
                      </w:rPr>
                      <w:t>}</w:t>
                    </w:r>
                  </w:p>
                  <w:p w14:paraId="2ED9A209" w14:textId="77777777" w:rsidR="00711A16" w:rsidRDefault="00711A16">
                    <w:pPr>
                      <w:spacing w:before="10"/>
                      <w:rPr>
                        <w:rFonts w:ascii="MS Gothic"/>
                        <w:sz w:val="23"/>
                      </w:rPr>
                    </w:pPr>
                  </w:p>
                  <w:p w14:paraId="6E29EDB6"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7456FDD7" w14:textId="77777777" w:rsidR="00A720EB" w:rsidRDefault="00A720EB">
      <w:pPr>
        <w:pStyle w:val="a3"/>
        <w:spacing w:before="11"/>
        <w:rPr>
          <w:sz w:val="9"/>
        </w:rPr>
      </w:pPr>
    </w:p>
    <w:p w14:paraId="48550AE7" w14:textId="77777777" w:rsidR="00A720EB" w:rsidRDefault="0030286B">
      <w:pPr>
        <w:pStyle w:val="a3"/>
        <w:spacing w:before="115"/>
        <w:ind w:left="124"/>
        <w:jc w:val="both"/>
      </w:pPr>
      <w:r>
        <w:rPr>
          <w:color w:val="333333"/>
          <w:w w:val="110"/>
        </w:rPr>
        <w:t xml:space="preserve">You can also use regular Spring MVC features such as </w:t>
      </w:r>
      <w:hyperlink r:id="rId143" w:anchor="mvc-exceptionhandlers">
        <w:r>
          <w:rPr>
            <w:rFonts w:ascii="MS Gothic"/>
            <w:color w:val="B02045"/>
            <w:w w:val="110"/>
          </w:rPr>
          <w:t>@ExceptionHandler</w:t>
        </w:r>
      </w:hyperlink>
      <w:r>
        <w:rPr>
          <w:rFonts w:ascii="MS Gothic"/>
          <w:color w:val="B02045"/>
          <w:w w:val="110"/>
        </w:rPr>
        <w:t xml:space="preserve"> </w:t>
      </w:r>
      <w:hyperlink r:id="rId144" w:anchor="mvc-exceptionhandlers">
        <w:r>
          <w:rPr>
            <w:color w:val="418BCA"/>
            <w:w w:val="110"/>
          </w:rPr>
          <w:t>methods</w:t>
        </w:r>
      </w:hyperlink>
      <w:r>
        <w:rPr>
          <w:color w:val="418BCA"/>
          <w:w w:val="110"/>
        </w:rPr>
        <w:t xml:space="preserve"> </w:t>
      </w:r>
      <w:r>
        <w:rPr>
          <w:color w:val="333333"/>
          <w:w w:val="110"/>
        </w:rPr>
        <w:t>and</w:t>
      </w:r>
    </w:p>
    <w:p w14:paraId="01902C0B" w14:textId="77777777" w:rsidR="00A720EB" w:rsidRDefault="00E10349">
      <w:pPr>
        <w:pStyle w:val="a3"/>
        <w:spacing w:before="47"/>
        <w:ind w:left="124"/>
        <w:jc w:val="both"/>
      </w:pPr>
      <w:hyperlink r:id="rId145" w:anchor="mvc-ann-controller-advice">
        <w:r w:rsidR="0030286B">
          <w:rPr>
            <w:rFonts w:ascii="MS Gothic"/>
            <w:color w:val="B02045"/>
            <w:w w:val="110"/>
          </w:rPr>
          <w:t>@ControllerAdvice</w:t>
        </w:r>
      </w:hyperlink>
      <w:r w:rsidR="0030286B">
        <w:rPr>
          <w:color w:val="333333"/>
          <w:w w:val="110"/>
        </w:rPr>
        <w:t xml:space="preserve">. The </w:t>
      </w:r>
      <w:r w:rsidR="0030286B">
        <w:rPr>
          <w:rFonts w:ascii="MS Gothic"/>
          <w:color w:val="B02045"/>
          <w:w w:val="110"/>
        </w:rPr>
        <w:t>ErrorController</w:t>
      </w:r>
      <w:r w:rsidR="0030286B">
        <w:rPr>
          <w:rFonts w:ascii="MS Gothic"/>
          <w:color w:val="B02045"/>
          <w:spacing w:val="-91"/>
          <w:w w:val="110"/>
        </w:rPr>
        <w:t xml:space="preserve"> </w:t>
      </w:r>
      <w:r w:rsidR="0030286B">
        <w:rPr>
          <w:color w:val="333333"/>
          <w:w w:val="110"/>
        </w:rPr>
        <w:t>then picks up any unhandled exceptions.</w:t>
      </w:r>
    </w:p>
    <w:p w14:paraId="12F65999" w14:textId="77777777" w:rsidR="00A720EB" w:rsidRDefault="00A720EB">
      <w:pPr>
        <w:pStyle w:val="a3"/>
        <w:spacing w:before="5"/>
        <w:rPr>
          <w:sz w:val="30"/>
        </w:rPr>
      </w:pPr>
    </w:p>
    <w:p w14:paraId="0FD7ED85" w14:textId="77777777" w:rsidR="00A720EB" w:rsidRDefault="0030286B">
      <w:pPr>
        <w:ind w:left="124"/>
        <w:jc w:val="both"/>
        <w:rPr>
          <w:rFonts w:ascii="Palatino Linotype"/>
          <w:b/>
          <w:sz w:val="18"/>
        </w:rPr>
      </w:pPr>
      <w:r>
        <w:rPr>
          <w:rFonts w:ascii="Palatino Linotype"/>
          <w:b/>
          <w:color w:val="333333"/>
          <w:w w:val="110"/>
          <w:sz w:val="18"/>
        </w:rPr>
        <w:t>Mapping Error Pages outside of Spring MVC</w:t>
      </w:r>
    </w:p>
    <w:p w14:paraId="69BFC95D" w14:textId="77777777" w:rsidR="00A720EB" w:rsidRDefault="00A720EB">
      <w:pPr>
        <w:pStyle w:val="a3"/>
        <w:spacing w:before="1"/>
        <w:rPr>
          <w:rFonts w:ascii="Palatino Linotype"/>
          <w:b/>
          <w:sz w:val="18"/>
        </w:rPr>
      </w:pPr>
    </w:p>
    <w:p w14:paraId="7D9CE643" w14:textId="77777777" w:rsidR="00A720EB" w:rsidRDefault="0030286B">
      <w:pPr>
        <w:pStyle w:val="a3"/>
        <w:spacing w:line="280" w:lineRule="auto"/>
        <w:ind w:left="124" w:right="125"/>
        <w:jc w:val="both"/>
      </w:pPr>
      <w:r>
        <w:rPr>
          <w:color w:val="333333"/>
          <w:w w:val="110"/>
        </w:rPr>
        <w:t xml:space="preserve">For applications that do not use Spring MVC, you can use the </w:t>
      </w:r>
      <w:r>
        <w:rPr>
          <w:rFonts w:ascii="MS Gothic"/>
          <w:color w:val="B02045"/>
          <w:w w:val="110"/>
        </w:rPr>
        <w:t xml:space="preserve">ErrorPageRegistrar </w:t>
      </w:r>
      <w:r>
        <w:rPr>
          <w:color w:val="333333"/>
          <w:w w:val="110"/>
        </w:rPr>
        <w:t xml:space="preserve">interface to directly register </w:t>
      </w:r>
      <w:r>
        <w:rPr>
          <w:rFonts w:ascii="MS Gothic"/>
          <w:color w:val="B02045"/>
          <w:w w:val="110"/>
        </w:rPr>
        <w:t>ErrorPages</w:t>
      </w:r>
      <w:r>
        <w:rPr>
          <w:color w:val="333333"/>
          <w:w w:val="110"/>
        </w:rPr>
        <w:t xml:space="preserve">. This abstraction works directly with the underlying embedded servlet container and works even if you do not have a Spring MVC </w:t>
      </w:r>
      <w:r>
        <w:rPr>
          <w:rFonts w:ascii="MS Gothic"/>
          <w:color w:val="B02045"/>
          <w:w w:val="110"/>
        </w:rPr>
        <w:t>DispatcherServlet</w:t>
      </w:r>
      <w:r>
        <w:rPr>
          <w:color w:val="333333"/>
          <w:w w:val="110"/>
        </w:rPr>
        <w:t>.</w:t>
      </w:r>
    </w:p>
    <w:p w14:paraId="073A8909" w14:textId="77777777" w:rsidR="00A720EB" w:rsidRDefault="00A720EB">
      <w:pPr>
        <w:spacing w:line="280" w:lineRule="auto"/>
        <w:jc w:val="both"/>
        <w:sectPr w:rsidR="00A720EB">
          <w:pgSz w:w="11910" w:h="16840"/>
          <w:pgMar w:top="700" w:right="840" w:bottom="520" w:left="840" w:header="0" w:footer="323" w:gutter="0"/>
          <w:cols w:space="720"/>
        </w:sectPr>
      </w:pPr>
    </w:p>
    <w:p w14:paraId="6BA7D8F0" w14:textId="77777777" w:rsidR="00A720EB" w:rsidRDefault="00E10349">
      <w:pPr>
        <w:pStyle w:val="a3"/>
        <w:ind w:left="116"/>
        <w:rPr>
          <w:sz w:val="20"/>
        </w:rPr>
      </w:pPr>
      <w:r>
        <w:rPr>
          <w:sz w:val="20"/>
        </w:rPr>
      </w:r>
      <w:r>
        <w:rPr>
          <w:sz w:val="20"/>
        </w:rPr>
        <w:pict w14:anchorId="6D7BD1C9">
          <v:group id="_x0000_s4335" style="width:499.55pt;height:243.85pt;mso-position-horizontal-relative:char;mso-position-vertical-relative:line" coordsize="9991,4877">
            <v:shape id="_x0000_s4338" style="position:absolute;left:7;top:7;width:9976;height:4862" coordorigin="8,8" coordsize="9976,4862" path="m9904,8l88,8,56,14,31,31,14,56,8,88r,4702l14,4821r17,25l56,4863r32,7l9904,4870r31,-7l9960,4846r17,-25l9984,4790r,-4702l9977,56,9960,31,9935,14,9904,8xe" fillcolor="#f5f5f5" stroked="f">
              <v:path arrowok="t"/>
            </v:shape>
            <v:shape id="_x0000_s4337" style="position:absolute;left:7;top:7;width:9976;height:4862" coordorigin="8,8" coordsize="9976,4862" path="m88,8r9816,l9935,14r25,17l9977,56r7,32l9984,4790r-7,31l9960,4846r-25,17l9904,4870r-9816,l56,4863,31,4846,14,4821,8,4790,8,88,14,56,31,31,56,14,88,8xe" filled="f" strokecolor="#ccc">
              <v:path arrowok="t"/>
            </v:shape>
            <v:shape id="_x0000_s4336" type="#_x0000_t202" style="position:absolute;left:26;top:22;width:9938;height:4832" filled="f" stroked="f">
              <v:textbox inset="0,0,0,0">
                <w:txbxContent>
                  <w:p w14:paraId="372B33BF" w14:textId="77777777" w:rsidR="00711A16" w:rsidRDefault="00711A16">
                    <w:pPr>
                      <w:spacing w:before="221"/>
                      <w:ind w:left="200"/>
                      <w:rPr>
                        <w:rFonts w:ascii="MS Gothic"/>
                      </w:rPr>
                    </w:pPr>
                    <w:r>
                      <w:rPr>
                        <w:rFonts w:ascii="MS Gothic"/>
                        <w:color w:val="333333"/>
                      </w:rPr>
                      <w:t>@Bean</w:t>
                    </w:r>
                  </w:p>
                  <w:p w14:paraId="0F6CF810" w14:textId="77777777" w:rsidR="00711A16" w:rsidRDefault="00711A16">
                    <w:pPr>
                      <w:spacing w:before="13" w:line="252" w:lineRule="auto"/>
                      <w:ind w:left="640" w:right="4548" w:hanging="440"/>
                      <w:rPr>
                        <w:rFonts w:ascii="MS Gothic"/>
                      </w:rPr>
                    </w:pPr>
                    <w:r>
                      <w:rPr>
                        <w:rFonts w:ascii="MS Gothic"/>
                        <w:color w:val="333333"/>
                      </w:rPr>
                      <w:t xml:space="preserve">public ErrorPageRegistrar </w:t>
                    </w:r>
                    <w:proofErr w:type="gramStart"/>
                    <w:r>
                      <w:rPr>
                        <w:rFonts w:ascii="MS Gothic"/>
                        <w:color w:val="333333"/>
                      </w:rPr>
                      <w:t>errorPageRegistrar(</w:t>
                    </w:r>
                    <w:proofErr w:type="gramEnd"/>
                    <w:r>
                      <w:rPr>
                        <w:rFonts w:ascii="MS Gothic"/>
                        <w:color w:val="333333"/>
                      </w:rPr>
                      <w:t>){ return new MyErrorPageRegistrar();</w:t>
                    </w:r>
                  </w:p>
                  <w:p w14:paraId="627530D6" w14:textId="77777777" w:rsidR="00711A16" w:rsidRDefault="00711A16">
                    <w:pPr>
                      <w:spacing w:line="280" w:lineRule="exact"/>
                      <w:ind w:left="200"/>
                      <w:rPr>
                        <w:rFonts w:ascii="MS Gothic"/>
                      </w:rPr>
                    </w:pPr>
                    <w:r>
                      <w:rPr>
                        <w:rFonts w:ascii="MS Gothic"/>
                        <w:color w:val="333333"/>
                      </w:rPr>
                      <w:t>}</w:t>
                    </w:r>
                  </w:p>
                  <w:p w14:paraId="44DF7655" w14:textId="77777777" w:rsidR="00711A16" w:rsidRDefault="00711A16">
                    <w:pPr>
                      <w:rPr>
                        <w:rFonts w:ascii="MS Gothic"/>
                        <w:sz w:val="24"/>
                      </w:rPr>
                    </w:pPr>
                  </w:p>
                  <w:p w14:paraId="4BCB66A2" w14:textId="77777777" w:rsidR="00711A16" w:rsidRDefault="00711A16">
                    <w:pPr>
                      <w:ind w:left="200"/>
                      <w:rPr>
                        <w:rFonts w:ascii="MS Gothic"/>
                      </w:rPr>
                    </w:pPr>
                    <w:r>
                      <w:rPr>
                        <w:rFonts w:ascii="MS Gothic"/>
                        <w:color w:val="333333"/>
                      </w:rPr>
                      <w:t>// ...</w:t>
                    </w:r>
                  </w:p>
                  <w:p w14:paraId="552D20D4" w14:textId="77777777" w:rsidR="00711A16" w:rsidRDefault="00711A16">
                    <w:pPr>
                      <w:spacing w:line="590" w:lineRule="atLeast"/>
                      <w:ind w:left="640" w:right="1688" w:hanging="440"/>
                      <w:rPr>
                        <w:rFonts w:ascii="MS Gothic"/>
                      </w:rPr>
                    </w:pPr>
                    <w:r>
                      <w:rPr>
                        <w:rFonts w:ascii="MS Gothic"/>
                        <w:color w:val="333333"/>
                      </w:rPr>
                      <w:t xml:space="preserve">private static class MyErrorPageRegistrar implements ErrorPageRegistrar </w:t>
                    </w:r>
                    <w:proofErr w:type="gramStart"/>
                    <w:r>
                      <w:rPr>
                        <w:rFonts w:ascii="MS Gothic"/>
                        <w:color w:val="333333"/>
                      </w:rPr>
                      <w:t>{ @</w:t>
                    </w:r>
                    <w:proofErr w:type="gramEnd"/>
                    <w:r>
                      <w:rPr>
                        <w:rFonts w:ascii="MS Gothic"/>
                        <w:color w:val="333333"/>
                      </w:rPr>
                      <w:t>Override</w:t>
                    </w:r>
                  </w:p>
                  <w:p w14:paraId="3F5145E6" w14:textId="77777777" w:rsidR="00711A16" w:rsidRDefault="00711A16">
                    <w:pPr>
                      <w:spacing w:before="12" w:line="252" w:lineRule="auto"/>
                      <w:ind w:left="1080" w:right="1138" w:hanging="440"/>
                      <w:rPr>
                        <w:rFonts w:ascii="MS Gothic"/>
                      </w:rPr>
                    </w:pPr>
                    <w:r>
                      <w:rPr>
                        <w:rFonts w:ascii="MS Gothic"/>
                        <w:color w:val="333333"/>
                      </w:rPr>
                      <w:t xml:space="preserve">public void </w:t>
                    </w:r>
                    <w:proofErr w:type="gramStart"/>
                    <w:r>
                      <w:rPr>
                        <w:rFonts w:ascii="MS Gothic"/>
                        <w:color w:val="333333"/>
                      </w:rPr>
                      <w:t>registerErrorPages(</w:t>
                    </w:r>
                    <w:proofErr w:type="gramEnd"/>
                    <w:r>
                      <w:rPr>
                        <w:rFonts w:ascii="MS Gothic"/>
                        <w:color w:val="333333"/>
                      </w:rPr>
                      <w:t>ErrorPageRegistry registry) { registry.addErrorPages(new ErrorPage(HttpStatus.BAD_REQUEST, "/400"));</w:t>
                    </w:r>
                  </w:p>
                  <w:p w14:paraId="2BF35D13" w14:textId="77777777" w:rsidR="00711A16" w:rsidRDefault="00711A16">
                    <w:pPr>
                      <w:spacing w:line="280" w:lineRule="exact"/>
                      <w:ind w:left="640"/>
                      <w:rPr>
                        <w:rFonts w:ascii="MS Gothic"/>
                      </w:rPr>
                    </w:pPr>
                    <w:r>
                      <w:rPr>
                        <w:rFonts w:ascii="MS Gothic"/>
                        <w:color w:val="333333"/>
                      </w:rPr>
                      <w:t>}</w:t>
                    </w:r>
                  </w:p>
                  <w:p w14:paraId="3246778C" w14:textId="77777777" w:rsidR="00711A16" w:rsidRDefault="00711A16">
                    <w:pPr>
                      <w:rPr>
                        <w:rFonts w:ascii="MS Gothic"/>
                        <w:sz w:val="24"/>
                      </w:rPr>
                    </w:pPr>
                  </w:p>
                  <w:p w14:paraId="546500F0" w14:textId="77777777" w:rsidR="00711A16" w:rsidRDefault="00711A16">
                    <w:pPr>
                      <w:ind w:left="200"/>
                      <w:rPr>
                        <w:rFonts w:ascii="MS Gothic"/>
                      </w:rPr>
                    </w:pPr>
                    <w:r>
                      <w:rPr>
                        <w:rFonts w:ascii="MS Gothic"/>
                        <w:color w:val="333333"/>
                      </w:rPr>
                      <w:t>}</w:t>
                    </w:r>
                  </w:p>
                </w:txbxContent>
              </v:textbox>
            </v:shape>
            <w10:anchorlock/>
          </v:group>
        </w:pict>
      </w:r>
    </w:p>
    <w:p w14:paraId="213A51A5" w14:textId="77777777" w:rsidR="00A720EB" w:rsidRDefault="00A720EB">
      <w:pPr>
        <w:pStyle w:val="a3"/>
        <w:rPr>
          <w:sz w:val="16"/>
        </w:rPr>
      </w:pPr>
    </w:p>
    <w:p w14:paraId="555AF47E" w14:textId="77777777" w:rsidR="00A720EB" w:rsidRDefault="00E10349">
      <w:pPr>
        <w:pStyle w:val="a3"/>
        <w:spacing w:before="116" w:line="292" w:lineRule="auto"/>
        <w:ind w:left="1564" w:right="362"/>
        <w:jc w:val="both"/>
      </w:pPr>
      <w:r>
        <w:pict w14:anchorId="422BF837">
          <v:line id="_x0000_s4334" style="position:absolute;left:0;text-align:left;z-index:15920640;mso-position-horizontal-relative:page" from="108.25pt,.35pt" to="108.25pt,71.45pt" strokecolor="#ededed" strokeweight=".5pt">
            <w10:wrap anchorx="page"/>
          </v:line>
        </w:pict>
      </w:r>
      <w:r w:rsidR="0030286B">
        <w:rPr>
          <w:noProof/>
        </w:rPr>
        <w:drawing>
          <wp:anchor distT="0" distB="0" distL="0" distR="0" simplePos="0" relativeHeight="15921152" behindDoc="0" locked="0" layoutInCell="1" allowOverlap="1" wp14:anchorId="2BDE3AE9" wp14:editId="0786C9D3">
            <wp:simplePos x="0" y="0"/>
            <wp:positionH relativeFrom="page">
              <wp:posOffset>844422</wp:posOffset>
            </wp:positionH>
            <wp:positionV relativeFrom="paragraph">
              <wp:posOffset>306654</wp:posOffset>
            </wp:positionV>
            <wp:extent cx="298450" cy="298450"/>
            <wp:effectExtent l="0" t="0" r="0" b="0"/>
            <wp:wrapNone/>
            <wp:docPr id="2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register an </w:t>
      </w:r>
      <w:r w:rsidR="0030286B">
        <w:rPr>
          <w:rFonts w:ascii="MS Gothic"/>
          <w:color w:val="B02045"/>
          <w:w w:val="110"/>
        </w:rPr>
        <w:t xml:space="preserve">ErrorPage </w:t>
      </w:r>
      <w:r w:rsidR="0030286B">
        <w:rPr>
          <w:color w:val="333333"/>
          <w:w w:val="110"/>
        </w:rPr>
        <w:t xml:space="preserve">with a path that ends up being handled </w:t>
      </w:r>
      <w:r w:rsidR="0030286B">
        <w:rPr>
          <w:color w:val="333333"/>
          <w:spacing w:val="-3"/>
          <w:w w:val="110"/>
        </w:rPr>
        <w:t xml:space="preserve">by </w:t>
      </w:r>
      <w:r w:rsidR="0030286B">
        <w:rPr>
          <w:color w:val="333333"/>
          <w:w w:val="110"/>
        </w:rPr>
        <w:t xml:space="preserve">a </w:t>
      </w:r>
      <w:r w:rsidR="0030286B">
        <w:rPr>
          <w:rFonts w:ascii="MS Gothic"/>
          <w:color w:val="B02045"/>
          <w:w w:val="110"/>
        </w:rPr>
        <w:t>Filter</w:t>
      </w:r>
      <w:r w:rsidR="0030286B">
        <w:rPr>
          <w:rFonts w:ascii="MS Gothic"/>
          <w:color w:val="B02045"/>
          <w:spacing w:val="-62"/>
          <w:w w:val="110"/>
        </w:rPr>
        <w:t xml:space="preserve"> </w:t>
      </w:r>
      <w:r w:rsidR="0030286B">
        <w:rPr>
          <w:color w:val="333333"/>
          <w:w w:val="110"/>
        </w:rPr>
        <w:t xml:space="preserve">(as is common with some non-Spring web frameworks, like Jersey and Wicket), </w:t>
      </w:r>
      <w:proofErr w:type="gramStart"/>
      <w:r w:rsidR="0030286B">
        <w:rPr>
          <w:color w:val="333333"/>
          <w:w w:val="110"/>
        </w:rPr>
        <w:t>then  the</w:t>
      </w:r>
      <w:proofErr w:type="gramEnd"/>
      <w:r w:rsidR="0030286B">
        <w:rPr>
          <w:color w:val="333333"/>
          <w:w w:val="110"/>
        </w:rPr>
        <w:t xml:space="preserve"> </w:t>
      </w:r>
      <w:r w:rsidR="0030286B">
        <w:rPr>
          <w:rFonts w:ascii="MS Gothic"/>
          <w:color w:val="B02045"/>
          <w:w w:val="110"/>
        </w:rPr>
        <w:t xml:space="preserve">Filter </w:t>
      </w:r>
      <w:r w:rsidR="0030286B">
        <w:rPr>
          <w:color w:val="333333"/>
          <w:w w:val="110"/>
        </w:rPr>
        <w:t xml:space="preserve">has to be explicitly registered as an </w:t>
      </w:r>
      <w:r w:rsidR="0030286B">
        <w:rPr>
          <w:rFonts w:ascii="MS Gothic"/>
          <w:color w:val="B02045"/>
          <w:w w:val="110"/>
        </w:rPr>
        <w:t xml:space="preserve">ERROR </w:t>
      </w:r>
      <w:r w:rsidR="0030286B">
        <w:rPr>
          <w:color w:val="333333"/>
          <w:w w:val="110"/>
        </w:rPr>
        <w:t>dispatcher, as shown in the following</w:t>
      </w:r>
      <w:r w:rsidR="0030286B">
        <w:rPr>
          <w:color w:val="333333"/>
          <w:spacing w:val="3"/>
          <w:w w:val="110"/>
        </w:rPr>
        <w:t xml:space="preserve"> </w:t>
      </w:r>
      <w:r w:rsidR="0030286B">
        <w:rPr>
          <w:color w:val="333333"/>
          <w:w w:val="110"/>
        </w:rPr>
        <w:t>example:</w:t>
      </w:r>
    </w:p>
    <w:p w14:paraId="1D625F8A" w14:textId="77777777" w:rsidR="00A720EB" w:rsidRDefault="00E10349">
      <w:pPr>
        <w:pStyle w:val="a3"/>
        <w:spacing w:before="2"/>
      </w:pPr>
      <w:r>
        <w:pict w14:anchorId="58F95A93">
          <v:group id="_x0000_s4330" style="position:absolute;margin-left:47.85pt;margin-top:14.4pt;width:499.55pt;height:140.7pt;z-index:-15537152;mso-wrap-distance-left:0;mso-wrap-distance-right:0;mso-position-horizontal-relative:page" coordorigin="957,288" coordsize="9991,2814">
            <v:shape id="_x0000_s4333" style="position:absolute;left:964;top:295;width:9976;height:2799" coordorigin="965,296" coordsize="9976,2799" path="m10861,296r-9816,l1014,302r-26,17l971,345r-6,31l965,3014r6,31l988,3071r26,17l1045,3094r9816,l10892,3088r25,-17l10935,3045r6,-31l10941,376r-6,-31l10917,319r-25,-17l10861,296xe" fillcolor="#f5f5f5" stroked="f">
              <v:path arrowok="t"/>
            </v:shape>
            <v:shape id="_x0000_s4332" style="position:absolute;left:964;top:295;width:9976;height:2799" coordorigin="965,296" coordsize="9976,2799" path="m1045,296r9816,l10892,302r25,17l10935,345r6,31l10941,3014r-6,31l10917,3071r-25,17l10861,3094r-9816,l1014,3088r-26,-17l971,3045r-6,-31l965,376r6,-31l988,319r26,-17l1045,296xe" filled="f" strokecolor="#ccc">
              <v:path arrowok="t"/>
            </v:shape>
            <v:shape id="_x0000_s4331" type="#_x0000_t202" style="position:absolute;left:984;top:311;width:9938;height:2768" filled="f" stroked="f">
              <v:textbox inset="0,0,0,0">
                <w:txbxContent>
                  <w:p w14:paraId="0F228AF6" w14:textId="77777777" w:rsidR="00711A16" w:rsidRDefault="00711A16">
                    <w:pPr>
                      <w:spacing w:before="221"/>
                      <w:ind w:left="200"/>
                      <w:rPr>
                        <w:rFonts w:ascii="MS Gothic"/>
                      </w:rPr>
                    </w:pPr>
                    <w:r>
                      <w:rPr>
                        <w:rFonts w:ascii="MS Gothic"/>
                        <w:color w:val="333333"/>
                      </w:rPr>
                      <w:t>@Bean</w:t>
                    </w:r>
                  </w:p>
                  <w:p w14:paraId="3B39AA27" w14:textId="77777777" w:rsidR="00711A16" w:rsidRDefault="00711A16">
                    <w:pPr>
                      <w:spacing w:before="13"/>
                      <w:ind w:left="200"/>
                      <w:rPr>
                        <w:rFonts w:ascii="MS Gothic"/>
                      </w:rPr>
                    </w:pPr>
                    <w:r>
                      <w:rPr>
                        <w:rFonts w:ascii="MS Gothic"/>
                        <w:color w:val="333333"/>
                      </w:rPr>
                      <w:t xml:space="preserve">public FilterRegistrationBean </w:t>
                    </w:r>
                    <w:proofErr w:type="gramStart"/>
                    <w:r>
                      <w:rPr>
                        <w:rFonts w:ascii="MS Gothic"/>
                        <w:color w:val="333333"/>
                      </w:rPr>
                      <w:t>myFilter(</w:t>
                    </w:r>
                    <w:proofErr w:type="gramEnd"/>
                    <w:r>
                      <w:rPr>
                        <w:rFonts w:ascii="MS Gothic"/>
                        <w:color w:val="333333"/>
                      </w:rPr>
                      <w:t>) {</w:t>
                    </w:r>
                  </w:p>
                  <w:p w14:paraId="2E416925" w14:textId="77777777" w:rsidR="00711A16" w:rsidRDefault="00711A16">
                    <w:pPr>
                      <w:spacing w:before="13" w:line="252" w:lineRule="auto"/>
                      <w:ind w:left="640" w:right="1908"/>
                      <w:rPr>
                        <w:rFonts w:ascii="MS Gothic"/>
                      </w:rPr>
                    </w:pPr>
                    <w:r>
                      <w:rPr>
                        <w:rFonts w:ascii="MS Gothic"/>
                        <w:color w:val="333333"/>
                      </w:rPr>
                      <w:t xml:space="preserve">FilterRegistrationBean registration = new </w:t>
                    </w:r>
                    <w:proofErr w:type="gramStart"/>
                    <w:r>
                      <w:rPr>
                        <w:rFonts w:ascii="MS Gothic"/>
                        <w:color w:val="333333"/>
                      </w:rPr>
                      <w:t>FilterRegistrationBean(</w:t>
                    </w:r>
                    <w:proofErr w:type="gramEnd"/>
                    <w:r>
                      <w:rPr>
                        <w:rFonts w:ascii="MS Gothic"/>
                        <w:color w:val="333333"/>
                      </w:rPr>
                      <w:t>); registration.setFilter(new MyFilter());</w:t>
                    </w:r>
                  </w:p>
                  <w:p w14:paraId="1E6B7527" w14:textId="77777777" w:rsidR="00711A16" w:rsidRDefault="00711A16">
                    <w:pPr>
                      <w:spacing w:line="280" w:lineRule="exact"/>
                      <w:ind w:left="640"/>
                      <w:rPr>
                        <w:rFonts w:ascii="MS Gothic"/>
                      </w:rPr>
                    </w:pPr>
                    <w:r>
                      <w:rPr>
                        <w:rFonts w:ascii="MS Gothic"/>
                        <w:color w:val="333333"/>
                      </w:rPr>
                      <w:t>...</w:t>
                    </w:r>
                  </w:p>
                  <w:p w14:paraId="1B7A224D" w14:textId="77777777" w:rsidR="00711A16" w:rsidRDefault="00711A16">
                    <w:pPr>
                      <w:spacing w:before="13" w:line="252" w:lineRule="auto"/>
                      <w:ind w:left="640" w:right="1688"/>
                      <w:rPr>
                        <w:rFonts w:ascii="MS Gothic"/>
                      </w:rPr>
                    </w:pPr>
                    <w:proofErr w:type="gramStart"/>
                    <w:r>
                      <w:rPr>
                        <w:rFonts w:ascii="MS Gothic"/>
                        <w:color w:val="333333"/>
                      </w:rPr>
                      <w:t>registration.setDispatcherTypes</w:t>
                    </w:r>
                    <w:proofErr w:type="gramEnd"/>
                    <w:r>
                      <w:rPr>
                        <w:rFonts w:ascii="MS Gothic"/>
                        <w:color w:val="333333"/>
                      </w:rPr>
                      <w:t>(EnumSet.allOf(DispatcherType.class)); return registration;</w:t>
                    </w:r>
                  </w:p>
                  <w:p w14:paraId="3782A23D"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61F7FBD6" w14:textId="77777777" w:rsidR="00A720EB" w:rsidRDefault="00A720EB">
      <w:pPr>
        <w:pStyle w:val="a3"/>
        <w:spacing w:before="11"/>
        <w:rPr>
          <w:sz w:val="9"/>
        </w:rPr>
      </w:pPr>
    </w:p>
    <w:p w14:paraId="01851E42" w14:textId="77777777" w:rsidR="00A720EB" w:rsidRDefault="0030286B">
      <w:pPr>
        <w:pStyle w:val="a3"/>
        <w:spacing w:before="115"/>
        <w:ind w:left="124"/>
        <w:jc w:val="both"/>
      </w:pPr>
      <w:r>
        <w:rPr>
          <w:color w:val="333333"/>
          <w:w w:val="110"/>
        </w:rPr>
        <w:t xml:space="preserve">Note that the default </w:t>
      </w:r>
      <w:r>
        <w:rPr>
          <w:rFonts w:ascii="MS Gothic"/>
          <w:color w:val="B02045"/>
          <w:w w:val="110"/>
        </w:rPr>
        <w:t>FilterRegistrationBean</w:t>
      </w:r>
      <w:r>
        <w:rPr>
          <w:rFonts w:ascii="MS Gothic"/>
          <w:color w:val="B02045"/>
          <w:spacing w:val="-68"/>
          <w:w w:val="110"/>
        </w:rPr>
        <w:t xml:space="preserve"> </w:t>
      </w:r>
      <w:r>
        <w:rPr>
          <w:color w:val="333333"/>
          <w:w w:val="110"/>
        </w:rPr>
        <w:t xml:space="preserve">does not include the </w:t>
      </w:r>
      <w:r>
        <w:rPr>
          <w:rFonts w:ascii="MS Gothic"/>
          <w:color w:val="B02045"/>
          <w:w w:val="110"/>
        </w:rPr>
        <w:t>ERROR</w:t>
      </w:r>
      <w:r>
        <w:rPr>
          <w:rFonts w:ascii="MS Gothic"/>
          <w:color w:val="B02045"/>
          <w:spacing w:val="-69"/>
          <w:w w:val="110"/>
        </w:rPr>
        <w:t xml:space="preserve"> </w:t>
      </w:r>
      <w:r>
        <w:rPr>
          <w:color w:val="333333"/>
          <w:w w:val="110"/>
        </w:rPr>
        <w:t>dispatcher type.</w:t>
      </w:r>
    </w:p>
    <w:p w14:paraId="6AE67176" w14:textId="77777777" w:rsidR="00A720EB" w:rsidRDefault="00A720EB">
      <w:pPr>
        <w:pStyle w:val="a3"/>
        <w:spacing w:before="5"/>
        <w:rPr>
          <w:sz w:val="30"/>
        </w:rPr>
      </w:pPr>
    </w:p>
    <w:p w14:paraId="259BB182" w14:textId="77777777" w:rsidR="00A720EB" w:rsidRDefault="0030286B">
      <w:pPr>
        <w:ind w:left="124"/>
        <w:jc w:val="both"/>
        <w:rPr>
          <w:rFonts w:ascii="Palatino Linotype"/>
          <w:b/>
          <w:sz w:val="18"/>
        </w:rPr>
      </w:pPr>
      <w:r>
        <w:rPr>
          <w:rFonts w:ascii="Palatino Linotype"/>
          <w:b/>
          <w:color w:val="333333"/>
          <w:w w:val="110"/>
          <w:sz w:val="18"/>
        </w:rPr>
        <w:t>Error handling in a war deployment</w:t>
      </w:r>
    </w:p>
    <w:p w14:paraId="60F58DFC" w14:textId="77777777" w:rsidR="00A720EB" w:rsidRDefault="00A720EB">
      <w:pPr>
        <w:pStyle w:val="a3"/>
        <w:spacing w:before="12"/>
        <w:rPr>
          <w:rFonts w:ascii="Palatino Linotype"/>
          <w:b/>
          <w:sz w:val="18"/>
        </w:rPr>
      </w:pPr>
    </w:p>
    <w:p w14:paraId="4754DA82" w14:textId="77777777" w:rsidR="00A720EB" w:rsidRDefault="0030286B">
      <w:pPr>
        <w:pStyle w:val="a3"/>
        <w:spacing w:line="307" w:lineRule="auto"/>
        <w:ind w:left="124" w:right="128"/>
        <w:jc w:val="both"/>
      </w:pPr>
      <w:r>
        <w:rPr>
          <w:color w:val="333333"/>
          <w:w w:val="110"/>
        </w:rPr>
        <w:t xml:space="preserve">When deployed to a servlet container, Spring Boot uses its error page filter to forward a </w:t>
      </w:r>
      <w:proofErr w:type="gramStart"/>
      <w:r>
        <w:rPr>
          <w:color w:val="333333"/>
          <w:w w:val="110"/>
        </w:rPr>
        <w:t xml:space="preserve">request </w:t>
      </w:r>
      <w:r>
        <w:rPr>
          <w:color w:val="333333"/>
          <w:spacing w:val="50"/>
          <w:w w:val="110"/>
        </w:rPr>
        <w:t xml:space="preserve"> </w:t>
      </w:r>
      <w:r>
        <w:rPr>
          <w:color w:val="333333"/>
          <w:w w:val="110"/>
        </w:rPr>
        <w:t>with</w:t>
      </w:r>
      <w:proofErr w:type="gramEnd"/>
      <w:r>
        <w:rPr>
          <w:color w:val="333333"/>
          <w:w w:val="110"/>
        </w:rPr>
        <w:t xml:space="preserve"> an error status to the appropriate error page. This is necessary as the Servlet specification  </w:t>
      </w:r>
      <w:r>
        <w:rPr>
          <w:color w:val="333333"/>
          <w:spacing w:val="50"/>
          <w:w w:val="110"/>
        </w:rPr>
        <w:t xml:space="preserve"> </w:t>
      </w:r>
      <w:r>
        <w:rPr>
          <w:color w:val="333333"/>
          <w:w w:val="110"/>
        </w:rPr>
        <w:t xml:space="preserve">does not provide an API for registering error pages. Depending on the container that you are deploying your war file to and the technologies that your application uses, some </w:t>
      </w:r>
      <w:proofErr w:type="gramStart"/>
      <w:r>
        <w:rPr>
          <w:color w:val="333333"/>
          <w:w w:val="110"/>
        </w:rPr>
        <w:t>additional  configuration</w:t>
      </w:r>
      <w:proofErr w:type="gramEnd"/>
      <w:r>
        <w:rPr>
          <w:color w:val="333333"/>
          <w:w w:val="110"/>
        </w:rPr>
        <w:t xml:space="preserve"> may be</w:t>
      </w:r>
      <w:r>
        <w:rPr>
          <w:color w:val="333333"/>
          <w:spacing w:val="8"/>
          <w:w w:val="110"/>
        </w:rPr>
        <w:t xml:space="preserve"> </w:t>
      </w:r>
      <w:r>
        <w:rPr>
          <w:color w:val="333333"/>
          <w:w w:val="110"/>
        </w:rPr>
        <w:t>required.</w:t>
      </w:r>
    </w:p>
    <w:p w14:paraId="1D4F7E87" w14:textId="77777777" w:rsidR="00A720EB" w:rsidRDefault="0030286B">
      <w:pPr>
        <w:pStyle w:val="a3"/>
        <w:spacing w:before="242" w:line="304" w:lineRule="auto"/>
        <w:ind w:left="124" w:right="126"/>
        <w:jc w:val="both"/>
      </w:pPr>
      <w:r>
        <w:rPr>
          <w:color w:val="333333"/>
          <w:w w:val="110"/>
        </w:rPr>
        <w:t xml:space="preserve">The error page filter can only forward the request to the correct error page if the response has not already been committed. </w:t>
      </w:r>
      <w:r>
        <w:rPr>
          <w:color w:val="333333"/>
          <w:spacing w:val="-3"/>
          <w:w w:val="110"/>
        </w:rPr>
        <w:t xml:space="preserve">By </w:t>
      </w:r>
      <w:r>
        <w:rPr>
          <w:color w:val="333333"/>
          <w:w w:val="110"/>
        </w:rPr>
        <w:t xml:space="preserve">default, </w:t>
      </w:r>
      <w:r>
        <w:rPr>
          <w:color w:val="333333"/>
          <w:spacing w:val="-3"/>
          <w:w w:val="110"/>
        </w:rPr>
        <w:t xml:space="preserve">WebSphere </w:t>
      </w:r>
      <w:r>
        <w:rPr>
          <w:color w:val="333333"/>
          <w:w w:val="110"/>
        </w:rPr>
        <w:t xml:space="preserve">Application Server 8.0 and later commits the response upon successful completion of a servlet’s service method. </w:t>
      </w:r>
      <w:r>
        <w:rPr>
          <w:color w:val="333333"/>
          <w:spacing w:val="-6"/>
          <w:w w:val="110"/>
        </w:rPr>
        <w:t xml:space="preserve">You </w:t>
      </w:r>
      <w:r>
        <w:rPr>
          <w:color w:val="333333"/>
          <w:w w:val="110"/>
        </w:rPr>
        <w:t xml:space="preserve">should disable this behavior </w:t>
      </w:r>
      <w:r>
        <w:rPr>
          <w:color w:val="333333"/>
          <w:spacing w:val="-3"/>
          <w:w w:val="110"/>
        </w:rPr>
        <w:t xml:space="preserve">by </w:t>
      </w:r>
      <w:r>
        <w:rPr>
          <w:color w:val="333333"/>
          <w:w w:val="110"/>
        </w:rPr>
        <w:t xml:space="preserve">setting </w:t>
      </w:r>
      <w:proofErr w:type="gramStart"/>
      <w:r>
        <w:rPr>
          <w:rFonts w:ascii="MS Gothic" w:hAnsi="MS Gothic"/>
          <w:color w:val="B02045"/>
          <w:w w:val="110"/>
        </w:rPr>
        <w:t>com.ibm.ws.webcontainer</w:t>
      </w:r>
      <w:proofErr w:type="gramEnd"/>
      <w:r>
        <w:rPr>
          <w:rFonts w:ascii="MS Gothic" w:hAnsi="MS Gothic"/>
          <w:color w:val="B02045"/>
          <w:w w:val="110"/>
        </w:rPr>
        <w:t>.invokeFlushAfterService</w:t>
      </w:r>
      <w:r>
        <w:rPr>
          <w:rFonts w:ascii="MS Gothic" w:hAnsi="MS Gothic"/>
          <w:color w:val="B02045"/>
          <w:spacing w:val="-85"/>
          <w:w w:val="110"/>
        </w:rPr>
        <w:t xml:space="preserve"> </w:t>
      </w:r>
      <w:r>
        <w:rPr>
          <w:color w:val="333333"/>
          <w:w w:val="110"/>
        </w:rPr>
        <w:t xml:space="preserve">to </w:t>
      </w:r>
      <w:r>
        <w:rPr>
          <w:rFonts w:ascii="MS Gothic" w:hAnsi="MS Gothic"/>
          <w:color w:val="B02045"/>
          <w:w w:val="110"/>
        </w:rPr>
        <w:t>false</w:t>
      </w:r>
      <w:r>
        <w:rPr>
          <w:color w:val="333333"/>
          <w:w w:val="110"/>
        </w:rPr>
        <w:t>.</w:t>
      </w:r>
    </w:p>
    <w:p w14:paraId="0DB5B798" w14:textId="77777777" w:rsidR="00A720EB" w:rsidRDefault="0030286B">
      <w:pPr>
        <w:pStyle w:val="a3"/>
        <w:spacing w:before="223" w:line="307" w:lineRule="auto"/>
        <w:ind w:left="124" w:right="132"/>
        <w:jc w:val="both"/>
      </w:pPr>
      <w:r>
        <w:rPr>
          <w:color w:val="333333"/>
          <w:w w:val="110"/>
        </w:rPr>
        <w:t xml:space="preserve">If you are using Spring Security and want to access the principal in an error page, </w:t>
      </w:r>
      <w:proofErr w:type="gramStart"/>
      <w:r>
        <w:rPr>
          <w:color w:val="333333"/>
          <w:w w:val="110"/>
        </w:rPr>
        <w:t>you  must</w:t>
      </w:r>
      <w:proofErr w:type="gramEnd"/>
      <w:r>
        <w:rPr>
          <w:color w:val="333333"/>
          <w:w w:val="110"/>
        </w:rPr>
        <w:t xml:space="preserve">  configure</w:t>
      </w:r>
      <w:r>
        <w:rPr>
          <w:color w:val="333333"/>
          <w:spacing w:val="19"/>
          <w:w w:val="110"/>
        </w:rPr>
        <w:t xml:space="preserve"> </w:t>
      </w:r>
      <w:r>
        <w:rPr>
          <w:color w:val="333333"/>
          <w:w w:val="110"/>
        </w:rPr>
        <w:t>Spring</w:t>
      </w:r>
      <w:r>
        <w:rPr>
          <w:color w:val="333333"/>
          <w:spacing w:val="18"/>
          <w:w w:val="110"/>
        </w:rPr>
        <w:t xml:space="preserve"> </w:t>
      </w:r>
      <w:r>
        <w:rPr>
          <w:color w:val="333333"/>
          <w:w w:val="110"/>
        </w:rPr>
        <w:t>Security’s</w:t>
      </w:r>
      <w:r>
        <w:rPr>
          <w:color w:val="333333"/>
          <w:spacing w:val="18"/>
          <w:w w:val="110"/>
        </w:rPr>
        <w:t xml:space="preserve"> </w:t>
      </w:r>
      <w:r>
        <w:rPr>
          <w:color w:val="333333"/>
          <w:w w:val="110"/>
        </w:rPr>
        <w:t>filter</w:t>
      </w:r>
      <w:r>
        <w:rPr>
          <w:color w:val="333333"/>
          <w:spacing w:val="19"/>
          <w:w w:val="110"/>
        </w:rPr>
        <w:t xml:space="preserve"> </w:t>
      </w:r>
      <w:r>
        <w:rPr>
          <w:color w:val="333333"/>
          <w:w w:val="110"/>
        </w:rPr>
        <w:t>to</w:t>
      </w:r>
      <w:r>
        <w:rPr>
          <w:color w:val="333333"/>
          <w:spacing w:val="19"/>
          <w:w w:val="110"/>
        </w:rPr>
        <w:t xml:space="preserve"> </w:t>
      </w:r>
      <w:r>
        <w:rPr>
          <w:color w:val="333333"/>
          <w:w w:val="110"/>
        </w:rPr>
        <w:t>be</w:t>
      </w:r>
      <w:r>
        <w:rPr>
          <w:color w:val="333333"/>
          <w:spacing w:val="18"/>
          <w:w w:val="110"/>
        </w:rPr>
        <w:t xml:space="preserve"> </w:t>
      </w:r>
      <w:r>
        <w:rPr>
          <w:color w:val="333333"/>
          <w:w w:val="110"/>
        </w:rPr>
        <w:t>invoked</w:t>
      </w:r>
      <w:r>
        <w:rPr>
          <w:color w:val="333333"/>
          <w:spacing w:val="19"/>
          <w:w w:val="110"/>
        </w:rPr>
        <w:t xml:space="preserve"> </w:t>
      </w:r>
      <w:r>
        <w:rPr>
          <w:color w:val="333333"/>
          <w:w w:val="110"/>
        </w:rPr>
        <w:t>on</w:t>
      </w:r>
      <w:r>
        <w:rPr>
          <w:color w:val="333333"/>
          <w:spacing w:val="20"/>
          <w:w w:val="110"/>
        </w:rPr>
        <w:t xml:space="preserve"> </w:t>
      </w:r>
      <w:r>
        <w:rPr>
          <w:color w:val="333333"/>
          <w:w w:val="110"/>
        </w:rPr>
        <w:t>error</w:t>
      </w:r>
      <w:r>
        <w:rPr>
          <w:color w:val="333333"/>
          <w:spacing w:val="19"/>
          <w:w w:val="110"/>
        </w:rPr>
        <w:t xml:space="preserve"> </w:t>
      </w:r>
      <w:r>
        <w:rPr>
          <w:color w:val="333333"/>
          <w:w w:val="110"/>
        </w:rPr>
        <w:t>dispatches.</w:t>
      </w:r>
      <w:r>
        <w:rPr>
          <w:color w:val="333333"/>
          <w:spacing w:val="18"/>
          <w:w w:val="110"/>
        </w:rPr>
        <w:t xml:space="preserve"> </w:t>
      </w:r>
      <w:r>
        <w:rPr>
          <w:color w:val="333333"/>
          <w:spacing w:val="-4"/>
          <w:w w:val="110"/>
        </w:rPr>
        <w:t>To</w:t>
      </w:r>
      <w:r>
        <w:rPr>
          <w:color w:val="333333"/>
          <w:spacing w:val="27"/>
          <w:w w:val="110"/>
        </w:rPr>
        <w:t xml:space="preserve"> </w:t>
      </w:r>
      <w:r>
        <w:rPr>
          <w:color w:val="333333"/>
          <w:w w:val="110"/>
        </w:rPr>
        <w:t>do</w:t>
      </w:r>
      <w:r>
        <w:rPr>
          <w:color w:val="333333"/>
          <w:spacing w:val="18"/>
          <w:w w:val="110"/>
        </w:rPr>
        <w:t xml:space="preserve"> </w:t>
      </w:r>
      <w:r>
        <w:rPr>
          <w:color w:val="333333"/>
          <w:w w:val="110"/>
        </w:rPr>
        <w:t>so,</w:t>
      </w:r>
      <w:r>
        <w:rPr>
          <w:color w:val="333333"/>
          <w:spacing w:val="19"/>
          <w:w w:val="110"/>
        </w:rPr>
        <w:t xml:space="preserve"> </w:t>
      </w:r>
      <w:r>
        <w:rPr>
          <w:color w:val="333333"/>
          <w:w w:val="110"/>
        </w:rPr>
        <w:t>set</w:t>
      </w:r>
      <w:r>
        <w:rPr>
          <w:color w:val="333333"/>
          <w:spacing w:val="19"/>
          <w:w w:val="110"/>
        </w:rPr>
        <w:t xml:space="preserve"> </w:t>
      </w:r>
      <w:r>
        <w:rPr>
          <w:color w:val="333333"/>
          <w:w w:val="110"/>
        </w:rPr>
        <w:t>the</w:t>
      </w:r>
    </w:p>
    <w:p w14:paraId="0F50FEB0" w14:textId="77777777" w:rsidR="00A720EB" w:rsidRDefault="00A720EB">
      <w:pPr>
        <w:spacing w:line="307" w:lineRule="auto"/>
        <w:jc w:val="both"/>
        <w:sectPr w:rsidR="00A720EB">
          <w:pgSz w:w="11910" w:h="16840"/>
          <w:pgMar w:top="700" w:right="840" w:bottom="520" w:left="840" w:header="0" w:footer="323" w:gutter="0"/>
          <w:cols w:space="720"/>
        </w:sectPr>
      </w:pPr>
    </w:p>
    <w:p w14:paraId="31476FD1" w14:textId="77777777" w:rsidR="00A720EB" w:rsidRDefault="0030286B">
      <w:pPr>
        <w:pStyle w:val="a3"/>
        <w:spacing w:before="96"/>
        <w:ind w:left="124"/>
      </w:pPr>
      <w:proofErr w:type="gramStart"/>
      <w:r>
        <w:rPr>
          <w:rFonts w:ascii="MS Gothic"/>
          <w:color w:val="B02045"/>
        </w:rPr>
        <w:lastRenderedPageBreak/>
        <w:t>spring.security</w:t>
      </w:r>
      <w:proofErr w:type="gramEnd"/>
      <w:r>
        <w:rPr>
          <w:rFonts w:ascii="MS Gothic"/>
          <w:color w:val="B02045"/>
        </w:rPr>
        <w:t xml:space="preserve">.filter.dispatcher-types </w:t>
      </w:r>
      <w:r>
        <w:rPr>
          <w:color w:val="333333"/>
        </w:rPr>
        <w:t xml:space="preserve">property to </w:t>
      </w:r>
      <w:r>
        <w:rPr>
          <w:rFonts w:ascii="MS Gothic"/>
          <w:color w:val="B02045"/>
        </w:rPr>
        <w:t>async, error, forward, request</w:t>
      </w:r>
      <w:r>
        <w:rPr>
          <w:color w:val="333333"/>
        </w:rPr>
        <w:t>.</w:t>
      </w:r>
    </w:p>
    <w:p w14:paraId="1C998284" w14:textId="77777777" w:rsidR="00A720EB" w:rsidRDefault="00A720EB">
      <w:pPr>
        <w:pStyle w:val="a3"/>
        <w:spacing w:before="5"/>
        <w:rPr>
          <w:sz w:val="30"/>
        </w:rPr>
      </w:pPr>
    </w:p>
    <w:p w14:paraId="4830B069" w14:textId="77777777" w:rsidR="00A720EB" w:rsidRDefault="0030286B">
      <w:pPr>
        <w:pStyle w:val="4"/>
        <w:spacing w:before="1"/>
        <w:jc w:val="left"/>
      </w:pPr>
      <w:bookmarkStart w:id="255" w:name="Spring_HATEOAS"/>
      <w:bookmarkEnd w:id="255"/>
      <w:r>
        <w:rPr>
          <w:color w:val="333333"/>
          <w:w w:val="105"/>
        </w:rPr>
        <w:t>Spring HATEOAS</w:t>
      </w:r>
    </w:p>
    <w:p w14:paraId="0EEC774D" w14:textId="77777777" w:rsidR="00A720EB" w:rsidRDefault="00A720EB">
      <w:pPr>
        <w:pStyle w:val="a3"/>
        <w:spacing w:before="11"/>
        <w:rPr>
          <w:rFonts w:ascii="Palatino Linotype"/>
          <w:b/>
          <w:sz w:val="18"/>
        </w:rPr>
      </w:pPr>
    </w:p>
    <w:p w14:paraId="20A97F92" w14:textId="77777777" w:rsidR="00A720EB" w:rsidRDefault="0030286B">
      <w:pPr>
        <w:pStyle w:val="a3"/>
        <w:spacing w:line="288" w:lineRule="auto"/>
        <w:ind w:left="124" w:right="124"/>
        <w:jc w:val="both"/>
      </w:pPr>
      <w:r>
        <w:rPr>
          <w:color w:val="333333"/>
          <w:w w:val="110"/>
        </w:rPr>
        <w:t>If you develop a RESTful API that makes use of hypermedia, Spring Boot provides auto-</w:t>
      </w:r>
      <w:r>
        <w:rPr>
          <w:color w:val="333333"/>
          <w:spacing w:val="50"/>
          <w:w w:val="110"/>
        </w:rPr>
        <w:t xml:space="preserve"> </w:t>
      </w:r>
      <w:r>
        <w:rPr>
          <w:color w:val="333333"/>
          <w:w w:val="110"/>
        </w:rPr>
        <w:t xml:space="preserve">configuration for Spring </w:t>
      </w:r>
      <w:r>
        <w:rPr>
          <w:color w:val="333333"/>
          <w:spacing w:val="-4"/>
          <w:w w:val="110"/>
        </w:rPr>
        <w:t xml:space="preserve">HATEOAS </w:t>
      </w:r>
      <w:r>
        <w:rPr>
          <w:color w:val="333333"/>
          <w:w w:val="110"/>
        </w:rPr>
        <w:t>that works well with most applications. The auto-configuration replaces</w:t>
      </w:r>
      <w:r>
        <w:rPr>
          <w:color w:val="333333"/>
          <w:spacing w:val="-5"/>
          <w:w w:val="110"/>
        </w:rPr>
        <w:t xml:space="preserve"> </w:t>
      </w:r>
      <w:r>
        <w:rPr>
          <w:color w:val="333333"/>
          <w:w w:val="110"/>
        </w:rPr>
        <w:t>the</w:t>
      </w:r>
      <w:r>
        <w:rPr>
          <w:color w:val="333333"/>
          <w:spacing w:val="-5"/>
          <w:w w:val="110"/>
        </w:rPr>
        <w:t xml:space="preserve"> </w:t>
      </w:r>
      <w:r>
        <w:rPr>
          <w:color w:val="333333"/>
          <w:w w:val="110"/>
        </w:rPr>
        <w:t>need</w:t>
      </w:r>
      <w:r>
        <w:rPr>
          <w:color w:val="333333"/>
          <w:spacing w:val="-5"/>
          <w:w w:val="110"/>
        </w:rPr>
        <w:t xml:space="preserve"> </w:t>
      </w:r>
      <w:r>
        <w:rPr>
          <w:color w:val="333333"/>
          <w:w w:val="110"/>
        </w:rPr>
        <w:t>to</w:t>
      </w:r>
      <w:r>
        <w:rPr>
          <w:color w:val="333333"/>
          <w:spacing w:val="-5"/>
          <w:w w:val="110"/>
        </w:rPr>
        <w:t xml:space="preserve"> </w:t>
      </w:r>
      <w:r>
        <w:rPr>
          <w:color w:val="333333"/>
          <w:w w:val="110"/>
        </w:rPr>
        <w:t>use</w:t>
      </w:r>
      <w:r>
        <w:rPr>
          <w:color w:val="333333"/>
          <w:spacing w:val="-5"/>
          <w:w w:val="110"/>
        </w:rPr>
        <w:t xml:space="preserve"> </w:t>
      </w:r>
      <w:r>
        <w:rPr>
          <w:rFonts w:ascii="MS Gothic"/>
          <w:color w:val="B02045"/>
          <w:w w:val="110"/>
        </w:rPr>
        <w:t>@EnableHypermediaSupport</w:t>
      </w:r>
      <w:r>
        <w:rPr>
          <w:rFonts w:ascii="MS Gothic"/>
          <w:color w:val="B02045"/>
          <w:spacing w:val="-69"/>
          <w:w w:val="110"/>
        </w:rPr>
        <w:t xml:space="preserve"> </w:t>
      </w:r>
      <w:r>
        <w:rPr>
          <w:color w:val="333333"/>
          <w:w w:val="110"/>
        </w:rPr>
        <w:t>and</w:t>
      </w:r>
      <w:r>
        <w:rPr>
          <w:color w:val="333333"/>
          <w:spacing w:val="-6"/>
          <w:w w:val="110"/>
        </w:rPr>
        <w:t xml:space="preserve"> </w:t>
      </w:r>
      <w:r>
        <w:rPr>
          <w:color w:val="333333"/>
          <w:w w:val="110"/>
        </w:rPr>
        <w:t>registers</w:t>
      </w:r>
      <w:r>
        <w:rPr>
          <w:color w:val="333333"/>
          <w:spacing w:val="-5"/>
          <w:w w:val="110"/>
        </w:rPr>
        <w:t xml:space="preserve"> </w:t>
      </w:r>
      <w:r>
        <w:rPr>
          <w:color w:val="333333"/>
          <w:w w:val="110"/>
        </w:rPr>
        <w:t>a</w:t>
      </w:r>
      <w:r>
        <w:rPr>
          <w:color w:val="333333"/>
          <w:spacing w:val="-5"/>
          <w:w w:val="110"/>
        </w:rPr>
        <w:t xml:space="preserve"> </w:t>
      </w:r>
      <w:r>
        <w:rPr>
          <w:color w:val="333333"/>
          <w:w w:val="110"/>
        </w:rPr>
        <w:t>number</w:t>
      </w:r>
      <w:r>
        <w:rPr>
          <w:color w:val="333333"/>
          <w:spacing w:val="-5"/>
          <w:w w:val="110"/>
        </w:rPr>
        <w:t xml:space="preserve"> </w:t>
      </w:r>
      <w:r>
        <w:rPr>
          <w:color w:val="333333"/>
          <w:w w:val="110"/>
        </w:rPr>
        <w:t>of</w:t>
      </w:r>
      <w:r>
        <w:rPr>
          <w:color w:val="333333"/>
          <w:spacing w:val="-5"/>
          <w:w w:val="110"/>
        </w:rPr>
        <w:t xml:space="preserve"> </w:t>
      </w:r>
      <w:r>
        <w:rPr>
          <w:color w:val="333333"/>
          <w:w w:val="110"/>
        </w:rPr>
        <w:t>beans</w:t>
      </w:r>
      <w:r>
        <w:rPr>
          <w:color w:val="333333"/>
          <w:spacing w:val="-6"/>
          <w:w w:val="110"/>
        </w:rPr>
        <w:t xml:space="preserve"> </w:t>
      </w:r>
      <w:r>
        <w:rPr>
          <w:color w:val="333333"/>
          <w:w w:val="110"/>
        </w:rPr>
        <w:t>to</w:t>
      </w:r>
      <w:r>
        <w:rPr>
          <w:color w:val="333333"/>
          <w:spacing w:val="-4"/>
          <w:w w:val="110"/>
        </w:rPr>
        <w:t xml:space="preserve"> </w:t>
      </w:r>
      <w:r>
        <w:rPr>
          <w:color w:val="333333"/>
          <w:w w:val="110"/>
        </w:rPr>
        <w:t>ease</w:t>
      </w:r>
      <w:r>
        <w:rPr>
          <w:color w:val="333333"/>
          <w:spacing w:val="-5"/>
          <w:w w:val="110"/>
        </w:rPr>
        <w:t xml:space="preserve"> </w:t>
      </w:r>
      <w:r>
        <w:rPr>
          <w:color w:val="333333"/>
          <w:w w:val="110"/>
        </w:rPr>
        <w:t xml:space="preserve">building hypermedia-based applications, including a </w:t>
      </w:r>
      <w:r>
        <w:rPr>
          <w:rFonts w:ascii="MS Gothic"/>
          <w:color w:val="B02045"/>
          <w:w w:val="110"/>
        </w:rPr>
        <w:t xml:space="preserve">LinkDiscoverers </w:t>
      </w:r>
      <w:r>
        <w:rPr>
          <w:color w:val="333333"/>
          <w:w w:val="110"/>
        </w:rPr>
        <w:t xml:space="preserve">(for </w:t>
      </w:r>
      <w:proofErr w:type="gramStart"/>
      <w:r>
        <w:rPr>
          <w:color w:val="333333"/>
          <w:w w:val="110"/>
        </w:rPr>
        <w:t>client side</w:t>
      </w:r>
      <w:proofErr w:type="gramEnd"/>
      <w:r>
        <w:rPr>
          <w:color w:val="333333"/>
          <w:w w:val="110"/>
        </w:rPr>
        <w:t xml:space="preserve"> support) and an </w:t>
      </w:r>
      <w:r>
        <w:rPr>
          <w:rFonts w:ascii="MS Gothic"/>
          <w:color w:val="B02045"/>
          <w:w w:val="110"/>
        </w:rPr>
        <w:t xml:space="preserve">ObjectMapper </w:t>
      </w:r>
      <w:r>
        <w:rPr>
          <w:color w:val="333333"/>
          <w:w w:val="110"/>
        </w:rPr>
        <w:t xml:space="preserve">configured to correctly marshal responses into the desired representation. The </w:t>
      </w:r>
      <w:r>
        <w:rPr>
          <w:rFonts w:ascii="MS Gothic"/>
          <w:color w:val="B02045"/>
          <w:w w:val="110"/>
        </w:rPr>
        <w:t>ObjectMapper</w:t>
      </w:r>
      <w:r>
        <w:rPr>
          <w:rFonts w:ascii="MS Gothic"/>
          <w:color w:val="B02045"/>
          <w:spacing w:val="-67"/>
          <w:w w:val="110"/>
        </w:rPr>
        <w:t xml:space="preserve"> </w:t>
      </w:r>
      <w:r>
        <w:rPr>
          <w:color w:val="333333"/>
          <w:w w:val="110"/>
        </w:rPr>
        <w:t>is</w:t>
      </w:r>
      <w:r>
        <w:rPr>
          <w:color w:val="333333"/>
          <w:spacing w:val="-3"/>
          <w:w w:val="110"/>
        </w:rPr>
        <w:t xml:space="preserve"> </w:t>
      </w:r>
      <w:r>
        <w:rPr>
          <w:color w:val="333333"/>
          <w:w w:val="110"/>
        </w:rPr>
        <w:t>customized</w:t>
      </w:r>
      <w:r>
        <w:rPr>
          <w:color w:val="333333"/>
          <w:spacing w:val="-2"/>
          <w:w w:val="110"/>
        </w:rPr>
        <w:t xml:space="preserve"> </w:t>
      </w:r>
      <w:r>
        <w:rPr>
          <w:color w:val="333333"/>
          <w:spacing w:val="-3"/>
          <w:w w:val="110"/>
        </w:rPr>
        <w:t>by</w:t>
      </w:r>
      <w:r>
        <w:rPr>
          <w:color w:val="333333"/>
          <w:spacing w:val="-2"/>
          <w:w w:val="110"/>
        </w:rPr>
        <w:t xml:space="preserve"> </w:t>
      </w:r>
      <w:r>
        <w:rPr>
          <w:color w:val="333333"/>
          <w:w w:val="110"/>
        </w:rPr>
        <w:t>setting</w:t>
      </w:r>
      <w:r>
        <w:rPr>
          <w:color w:val="333333"/>
          <w:spacing w:val="-2"/>
          <w:w w:val="110"/>
        </w:rPr>
        <w:t xml:space="preserve"> </w:t>
      </w:r>
      <w:r>
        <w:rPr>
          <w:color w:val="333333"/>
          <w:w w:val="110"/>
        </w:rPr>
        <w:t>the</w:t>
      </w:r>
      <w:r>
        <w:rPr>
          <w:color w:val="333333"/>
          <w:spacing w:val="-2"/>
          <w:w w:val="110"/>
        </w:rPr>
        <w:t xml:space="preserve"> </w:t>
      </w:r>
      <w:r>
        <w:rPr>
          <w:color w:val="333333"/>
          <w:w w:val="110"/>
        </w:rPr>
        <w:t>various</w:t>
      </w:r>
      <w:r>
        <w:rPr>
          <w:color w:val="333333"/>
          <w:spacing w:val="-2"/>
          <w:w w:val="110"/>
        </w:rPr>
        <w:t xml:space="preserve"> </w:t>
      </w:r>
      <w:proofErr w:type="gramStart"/>
      <w:r>
        <w:rPr>
          <w:rFonts w:ascii="MS Gothic"/>
          <w:color w:val="B02045"/>
          <w:w w:val="110"/>
        </w:rPr>
        <w:t>spring.jackson</w:t>
      </w:r>
      <w:proofErr w:type="gramEnd"/>
      <w:r>
        <w:rPr>
          <w:rFonts w:ascii="MS Gothic"/>
          <w:color w:val="B02045"/>
          <w:w w:val="110"/>
        </w:rPr>
        <w:t>.*</w:t>
      </w:r>
      <w:r>
        <w:rPr>
          <w:rFonts w:ascii="MS Gothic"/>
          <w:color w:val="B02045"/>
          <w:spacing w:val="-67"/>
          <w:w w:val="110"/>
        </w:rPr>
        <w:t xml:space="preserve"> </w:t>
      </w:r>
      <w:r>
        <w:rPr>
          <w:color w:val="333333"/>
          <w:w w:val="110"/>
        </w:rPr>
        <w:t>properties</w:t>
      </w:r>
      <w:r>
        <w:rPr>
          <w:color w:val="333333"/>
          <w:spacing w:val="-2"/>
          <w:w w:val="110"/>
        </w:rPr>
        <w:t xml:space="preserve"> </w:t>
      </w:r>
      <w:r>
        <w:rPr>
          <w:color w:val="333333"/>
          <w:w w:val="110"/>
        </w:rPr>
        <w:t>or,</w:t>
      </w:r>
      <w:r>
        <w:rPr>
          <w:color w:val="333333"/>
          <w:spacing w:val="-2"/>
          <w:w w:val="110"/>
        </w:rPr>
        <w:t xml:space="preserve"> </w:t>
      </w:r>
      <w:r>
        <w:rPr>
          <w:color w:val="333333"/>
          <w:w w:val="110"/>
        </w:rPr>
        <w:t>if</w:t>
      </w:r>
      <w:r>
        <w:rPr>
          <w:color w:val="333333"/>
          <w:spacing w:val="-3"/>
          <w:w w:val="110"/>
        </w:rPr>
        <w:t xml:space="preserve"> </w:t>
      </w:r>
      <w:r>
        <w:rPr>
          <w:color w:val="333333"/>
          <w:w w:val="110"/>
        </w:rPr>
        <w:t>one</w:t>
      </w:r>
      <w:r>
        <w:rPr>
          <w:color w:val="333333"/>
          <w:spacing w:val="-2"/>
          <w:w w:val="110"/>
        </w:rPr>
        <w:t xml:space="preserve"> </w:t>
      </w:r>
      <w:r>
        <w:rPr>
          <w:color w:val="333333"/>
          <w:w w:val="110"/>
        </w:rPr>
        <w:t>exists,</w:t>
      </w:r>
      <w:r>
        <w:rPr>
          <w:color w:val="333333"/>
          <w:spacing w:val="-2"/>
          <w:w w:val="110"/>
        </w:rPr>
        <w:t xml:space="preserve"> </w:t>
      </w:r>
      <w:r>
        <w:rPr>
          <w:color w:val="333333"/>
          <w:spacing w:val="-3"/>
          <w:w w:val="110"/>
        </w:rPr>
        <w:t>by</w:t>
      </w:r>
      <w:r>
        <w:rPr>
          <w:color w:val="333333"/>
          <w:spacing w:val="-2"/>
          <w:w w:val="110"/>
        </w:rPr>
        <w:t xml:space="preserve"> </w:t>
      </w:r>
      <w:r>
        <w:rPr>
          <w:color w:val="333333"/>
          <w:w w:val="110"/>
        </w:rPr>
        <w:t xml:space="preserve">a </w:t>
      </w:r>
      <w:r>
        <w:rPr>
          <w:rFonts w:ascii="MS Gothic"/>
          <w:color w:val="B02045"/>
          <w:w w:val="110"/>
        </w:rPr>
        <w:t>Jackson2ObjectMapperBuilder</w:t>
      </w:r>
      <w:r>
        <w:rPr>
          <w:rFonts w:ascii="MS Gothic"/>
          <w:color w:val="B02045"/>
          <w:spacing w:val="-64"/>
          <w:w w:val="110"/>
        </w:rPr>
        <w:t xml:space="preserve"> </w:t>
      </w:r>
      <w:r>
        <w:rPr>
          <w:color w:val="333333"/>
          <w:w w:val="110"/>
        </w:rPr>
        <w:t>bean.</w:t>
      </w:r>
    </w:p>
    <w:p w14:paraId="218FB92A" w14:textId="77777777" w:rsidR="00A720EB" w:rsidRDefault="0030286B">
      <w:pPr>
        <w:pStyle w:val="a3"/>
        <w:spacing w:before="233" w:line="280" w:lineRule="auto"/>
        <w:ind w:left="124" w:right="122"/>
        <w:jc w:val="both"/>
      </w:pPr>
      <w:r>
        <w:rPr>
          <w:color w:val="333333"/>
          <w:spacing w:val="-6"/>
          <w:w w:val="110"/>
        </w:rPr>
        <w:t xml:space="preserve">You </w:t>
      </w:r>
      <w:r>
        <w:rPr>
          <w:color w:val="333333"/>
          <w:w w:val="110"/>
        </w:rPr>
        <w:t xml:space="preserve">can take control of Spring </w:t>
      </w:r>
      <w:r>
        <w:rPr>
          <w:color w:val="333333"/>
          <w:spacing w:val="-3"/>
          <w:w w:val="110"/>
        </w:rPr>
        <w:t xml:space="preserve">HATEOAS’s </w:t>
      </w:r>
      <w:r>
        <w:rPr>
          <w:color w:val="333333"/>
          <w:w w:val="110"/>
        </w:rPr>
        <w:t xml:space="preserve">configuration </w:t>
      </w:r>
      <w:r>
        <w:rPr>
          <w:color w:val="333333"/>
          <w:spacing w:val="-3"/>
          <w:w w:val="110"/>
        </w:rPr>
        <w:t xml:space="preserve">by </w:t>
      </w:r>
      <w:r>
        <w:rPr>
          <w:color w:val="333333"/>
          <w:w w:val="110"/>
        </w:rPr>
        <w:t xml:space="preserve">using </w:t>
      </w:r>
      <w:r>
        <w:rPr>
          <w:rFonts w:ascii="MS Gothic" w:hAnsi="MS Gothic"/>
          <w:color w:val="B02045"/>
          <w:w w:val="110"/>
        </w:rPr>
        <w:t>@EnableHypermediaSupport</w:t>
      </w:r>
      <w:r>
        <w:rPr>
          <w:color w:val="333333"/>
          <w:w w:val="110"/>
        </w:rPr>
        <w:t xml:space="preserve">. Note that doing so disables the </w:t>
      </w:r>
      <w:r>
        <w:rPr>
          <w:rFonts w:ascii="MS Gothic" w:hAnsi="MS Gothic"/>
          <w:color w:val="B02045"/>
          <w:w w:val="110"/>
        </w:rPr>
        <w:t>ObjectMapper</w:t>
      </w:r>
      <w:r>
        <w:rPr>
          <w:rFonts w:ascii="MS Gothic" w:hAnsi="MS Gothic"/>
          <w:color w:val="B02045"/>
          <w:spacing w:val="-54"/>
          <w:w w:val="110"/>
        </w:rPr>
        <w:t xml:space="preserve"> </w:t>
      </w:r>
      <w:r>
        <w:rPr>
          <w:color w:val="333333"/>
          <w:w w:val="110"/>
        </w:rPr>
        <w:t>customization described earlier.</w:t>
      </w:r>
    </w:p>
    <w:p w14:paraId="21BF51C8" w14:textId="77777777" w:rsidR="00A720EB" w:rsidRDefault="00A720EB">
      <w:pPr>
        <w:pStyle w:val="a3"/>
        <w:spacing w:before="8"/>
        <w:rPr>
          <w:sz w:val="26"/>
        </w:rPr>
      </w:pPr>
    </w:p>
    <w:p w14:paraId="43B1311C" w14:textId="77777777" w:rsidR="00A720EB" w:rsidRDefault="0030286B">
      <w:pPr>
        <w:pStyle w:val="4"/>
      </w:pPr>
      <w:bookmarkStart w:id="256" w:name="CORS_Support"/>
      <w:bookmarkEnd w:id="256"/>
      <w:r>
        <w:rPr>
          <w:color w:val="333333"/>
          <w:w w:val="105"/>
        </w:rPr>
        <w:t>CORS Support</w:t>
      </w:r>
    </w:p>
    <w:p w14:paraId="7FB5D5A3" w14:textId="77777777" w:rsidR="00A720EB" w:rsidRDefault="00A720EB">
      <w:pPr>
        <w:pStyle w:val="a3"/>
        <w:spacing w:before="11"/>
        <w:rPr>
          <w:rFonts w:ascii="Palatino Linotype"/>
          <w:b/>
          <w:sz w:val="18"/>
        </w:rPr>
      </w:pPr>
    </w:p>
    <w:p w14:paraId="7DD1BF94" w14:textId="77777777" w:rsidR="00A720EB" w:rsidRDefault="00E10349">
      <w:pPr>
        <w:pStyle w:val="a3"/>
        <w:spacing w:line="307" w:lineRule="auto"/>
        <w:ind w:left="124" w:right="122"/>
        <w:jc w:val="both"/>
      </w:pPr>
      <w:hyperlink r:id="rId146">
        <w:r w:rsidR="0030286B">
          <w:rPr>
            <w:color w:val="418BCA"/>
            <w:w w:val="110"/>
          </w:rPr>
          <w:t>Cross-origin resource sharing</w:t>
        </w:r>
      </w:hyperlink>
      <w:r w:rsidR="0030286B">
        <w:rPr>
          <w:color w:val="418BCA"/>
          <w:w w:val="110"/>
        </w:rPr>
        <w:t xml:space="preserve"> </w:t>
      </w:r>
      <w:r w:rsidR="0030286B">
        <w:rPr>
          <w:color w:val="333333"/>
          <w:w w:val="110"/>
        </w:rPr>
        <w:t xml:space="preserve">(CORS) is a </w:t>
      </w:r>
      <w:hyperlink r:id="rId147">
        <w:r w:rsidR="0030286B">
          <w:rPr>
            <w:color w:val="418BCA"/>
            <w:w w:val="110"/>
          </w:rPr>
          <w:t>W3C specification</w:t>
        </w:r>
      </w:hyperlink>
      <w:r w:rsidR="0030286B">
        <w:rPr>
          <w:color w:val="418BCA"/>
          <w:w w:val="110"/>
        </w:rPr>
        <w:t xml:space="preserve"> </w:t>
      </w:r>
      <w:r w:rsidR="0030286B">
        <w:rPr>
          <w:color w:val="333333"/>
          <w:w w:val="110"/>
        </w:rPr>
        <w:t xml:space="preserve">implemented </w:t>
      </w:r>
      <w:r w:rsidR="0030286B">
        <w:rPr>
          <w:color w:val="333333"/>
          <w:spacing w:val="-3"/>
          <w:w w:val="110"/>
        </w:rPr>
        <w:t xml:space="preserve">by </w:t>
      </w:r>
      <w:hyperlink r:id="rId148" w:anchor="feat%3Dcors">
        <w:r w:rsidR="0030286B">
          <w:rPr>
            <w:color w:val="418BCA"/>
            <w:w w:val="110"/>
          </w:rPr>
          <w:t>most browsers</w:t>
        </w:r>
      </w:hyperlink>
      <w:r w:rsidR="0030286B">
        <w:rPr>
          <w:color w:val="418BCA"/>
          <w:w w:val="110"/>
        </w:rPr>
        <w:t xml:space="preserve"> </w:t>
      </w:r>
      <w:r w:rsidR="0030286B">
        <w:rPr>
          <w:color w:val="333333"/>
          <w:w w:val="110"/>
        </w:rPr>
        <w:t xml:space="preserve">that   lets you specify in a flexible way what kind of cross-domain requests are authorized., instead of </w:t>
      </w:r>
      <w:r w:rsidR="0030286B">
        <w:rPr>
          <w:color w:val="333333"/>
          <w:spacing w:val="50"/>
          <w:w w:val="110"/>
        </w:rPr>
        <w:t xml:space="preserve"> </w:t>
      </w:r>
      <w:r w:rsidR="0030286B">
        <w:rPr>
          <w:color w:val="333333"/>
          <w:w w:val="110"/>
        </w:rPr>
        <w:t>using some less secure and less powerful approaches such as IFRAME or</w:t>
      </w:r>
      <w:r w:rsidR="0030286B">
        <w:rPr>
          <w:color w:val="333333"/>
          <w:spacing w:val="43"/>
          <w:w w:val="110"/>
        </w:rPr>
        <w:t xml:space="preserve"> </w:t>
      </w:r>
      <w:r w:rsidR="0030286B">
        <w:rPr>
          <w:color w:val="333333"/>
          <w:spacing w:val="-5"/>
          <w:w w:val="110"/>
        </w:rPr>
        <w:t>JSONP.</w:t>
      </w:r>
    </w:p>
    <w:p w14:paraId="72AF8A39" w14:textId="77777777" w:rsidR="00A720EB" w:rsidRDefault="0030286B">
      <w:pPr>
        <w:pStyle w:val="a3"/>
        <w:spacing w:before="241" w:line="288" w:lineRule="auto"/>
        <w:ind w:left="124" w:right="122"/>
        <w:jc w:val="both"/>
      </w:pPr>
      <w:r>
        <w:rPr>
          <w:color w:val="333333"/>
          <w:w w:val="110"/>
        </w:rPr>
        <w:t xml:space="preserve">As of version 4.2, Spring MVC </w:t>
      </w:r>
      <w:hyperlink r:id="rId149" w:anchor="mvc-cors">
        <w:r>
          <w:rPr>
            <w:color w:val="418BCA"/>
            <w:w w:val="110"/>
          </w:rPr>
          <w:t>supports CORS</w:t>
        </w:r>
      </w:hyperlink>
      <w:r>
        <w:rPr>
          <w:color w:val="333333"/>
          <w:w w:val="110"/>
        </w:rPr>
        <w:t xml:space="preserve">. Using </w:t>
      </w:r>
      <w:hyperlink r:id="rId150" w:anchor="mvc-cors-controller">
        <w:r>
          <w:rPr>
            <w:color w:val="418BCA"/>
            <w:w w:val="110"/>
          </w:rPr>
          <w:t>controller method CORS configuration</w:t>
        </w:r>
      </w:hyperlink>
      <w:r>
        <w:rPr>
          <w:color w:val="418BCA"/>
          <w:w w:val="110"/>
        </w:rPr>
        <w:t xml:space="preserve"> </w:t>
      </w:r>
      <w:r>
        <w:rPr>
          <w:color w:val="333333"/>
          <w:w w:val="110"/>
        </w:rPr>
        <w:t xml:space="preserve">with </w:t>
      </w:r>
      <w:hyperlink r:id="rId151">
        <w:r>
          <w:rPr>
            <w:rFonts w:ascii="MS Gothic"/>
            <w:color w:val="B02045"/>
            <w:w w:val="110"/>
          </w:rPr>
          <w:t>@CrossOrigin</w:t>
        </w:r>
      </w:hyperlink>
      <w:r>
        <w:rPr>
          <w:rFonts w:ascii="MS Gothic"/>
          <w:color w:val="B02045"/>
          <w:w w:val="110"/>
        </w:rPr>
        <w:t xml:space="preserve"> </w:t>
      </w:r>
      <w:r>
        <w:rPr>
          <w:color w:val="333333"/>
          <w:w w:val="110"/>
        </w:rPr>
        <w:t xml:space="preserve">annotations in your Spring Boot application does not require any specific configuration. </w:t>
      </w:r>
      <w:hyperlink r:id="rId152" w:anchor="mvc-cors-global">
        <w:r>
          <w:rPr>
            <w:color w:val="418BCA"/>
            <w:w w:val="110"/>
          </w:rPr>
          <w:t>Global CORS configuration</w:t>
        </w:r>
      </w:hyperlink>
      <w:r>
        <w:rPr>
          <w:color w:val="418BCA"/>
          <w:w w:val="110"/>
        </w:rPr>
        <w:t xml:space="preserve"> </w:t>
      </w:r>
      <w:r>
        <w:rPr>
          <w:color w:val="333333"/>
          <w:w w:val="110"/>
        </w:rPr>
        <w:t xml:space="preserve">can be defined </w:t>
      </w:r>
      <w:r>
        <w:rPr>
          <w:color w:val="333333"/>
          <w:spacing w:val="-3"/>
          <w:w w:val="110"/>
        </w:rPr>
        <w:t xml:space="preserve">by </w:t>
      </w:r>
      <w:r>
        <w:rPr>
          <w:color w:val="333333"/>
          <w:w w:val="110"/>
        </w:rPr>
        <w:t xml:space="preserve">registering a </w:t>
      </w:r>
      <w:r>
        <w:rPr>
          <w:rFonts w:ascii="MS Gothic"/>
          <w:color w:val="B02045"/>
          <w:w w:val="110"/>
        </w:rPr>
        <w:t xml:space="preserve">WebMvcConfigurer </w:t>
      </w:r>
      <w:r>
        <w:rPr>
          <w:color w:val="333333"/>
          <w:w w:val="110"/>
        </w:rPr>
        <w:t xml:space="preserve">bean with a customized </w:t>
      </w:r>
      <w:proofErr w:type="gramStart"/>
      <w:r>
        <w:rPr>
          <w:rFonts w:ascii="MS Gothic"/>
          <w:color w:val="B02045"/>
          <w:w w:val="110"/>
        </w:rPr>
        <w:t>addCorsMappings(</w:t>
      </w:r>
      <w:proofErr w:type="gramEnd"/>
      <w:r>
        <w:rPr>
          <w:rFonts w:ascii="MS Gothic"/>
          <w:color w:val="B02045"/>
          <w:w w:val="110"/>
        </w:rPr>
        <w:t>CorsRegistry)</w:t>
      </w:r>
      <w:r>
        <w:rPr>
          <w:rFonts w:ascii="MS Gothic"/>
          <w:color w:val="B02045"/>
          <w:spacing w:val="-73"/>
          <w:w w:val="110"/>
        </w:rPr>
        <w:t xml:space="preserve"> </w:t>
      </w:r>
      <w:r>
        <w:rPr>
          <w:color w:val="333333"/>
          <w:w w:val="110"/>
        </w:rPr>
        <w:t>method, as shown in the following example:</w:t>
      </w:r>
    </w:p>
    <w:p w14:paraId="5356977B" w14:textId="77777777" w:rsidR="00A720EB" w:rsidRDefault="00E10349">
      <w:pPr>
        <w:pStyle w:val="a3"/>
        <w:spacing w:before="11"/>
        <w:rPr>
          <w:sz w:val="12"/>
        </w:rPr>
      </w:pPr>
      <w:r>
        <w:pict w14:anchorId="711498B5">
          <v:group id="_x0000_s4326" style="position:absolute;margin-left:47.85pt;margin-top:9.6pt;width:499.55pt;height:214.4pt;z-index:-15535616;mso-wrap-distance-left:0;mso-wrap-distance-right:0;mso-position-horizontal-relative:page" coordorigin="957,192" coordsize="9991,4288">
            <v:shape id="_x0000_s4329" style="position:absolute;left:964;top:199;width:9976;height:4273" coordorigin="965,199" coordsize="9976,4273" path="m10861,199r-9816,l1014,206r-26,17l971,248r-6,31l965,4392r6,31l988,4448r26,18l1045,4472r9816,l10892,4466r25,-18l10935,4423r6,-31l10941,279r-6,-31l10917,223r-25,-17l10861,199xe" fillcolor="#f5f5f5" stroked="f">
              <v:path arrowok="t"/>
            </v:shape>
            <v:shape id="_x0000_s4328" style="position:absolute;left:964;top:199;width:9976;height:4273" coordorigin="965,199" coordsize="9976,4273" path="m1045,199r9816,l10892,206r25,17l10935,248r6,31l10941,4392r-6,31l10917,4448r-25,18l10861,4472r-9816,l1014,4466r-26,-18l971,4423r-6,-31l965,279r6,-31l988,223r26,-17l1045,199xe" filled="f" strokecolor="#ccc">
              <v:path arrowok="t"/>
            </v:shape>
            <v:shape id="_x0000_s4327" type="#_x0000_t202" style="position:absolute;left:984;top:214;width:9938;height:4242" filled="f" stroked="f">
              <v:textbox inset="0,0,0,0">
                <w:txbxContent>
                  <w:p w14:paraId="1A95ED6D"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public class MyConfiguration {</w:t>
                    </w:r>
                  </w:p>
                  <w:p w14:paraId="04C2260C" w14:textId="77777777" w:rsidR="00711A16" w:rsidRDefault="00711A16">
                    <w:pPr>
                      <w:spacing w:before="10"/>
                      <w:rPr>
                        <w:rFonts w:ascii="MS Gothic"/>
                      </w:rPr>
                    </w:pPr>
                  </w:p>
                  <w:p w14:paraId="273A5DB9" w14:textId="77777777" w:rsidR="00711A16" w:rsidRDefault="00711A16">
                    <w:pPr>
                      <w:ind w:left="640"/>
                      <w:rPr>
                        <w:rFonts w:ascii="MS Gothic"/>
                      </w:rPr>
                    </w:pPr>
                    <w:r>
                      <w:rPr>
                        <w:rFonts w:ascii="MS Gothic"/>
                        <w:color w:val="333333"/>
                      </w:rPr>
                      <w:t>@Bean</w:t>
                    </w:r>
                  </w:p>
                  <w:p w14:paraId="052A4100" w14:textId="77777777" w:rsidR="00711A16" w:rsidRDefault="00711A16">
                    <w:pPr>
                      <w:spacing w:before="13" w:line="252" w:lineRule="auto"/>
                      <w:ind w:left="1080" w:right="4658" w:hanging="440"/>
                      <w:rPr>
                        <w:rFonts w:ascii="MS Gothic"/>
                      </w:rPr>
                    </w:pPr>
                    <w:r>
                      <w:rPr>
                        <w:rFonts w:ascii="MS Gothic"/>
                        <w:color w:val="333333"/>
                      </w:rPr>
                      <w:t xml:space="preserve">public WebMvcConfigurer </w:t>
                    </w:r>
                    <w:proofErr w:type="gramStart"/>
                    <w:r>
                      <w:rPr>
                        <w:rFonts w:ascii="MS Gothic"/>
                        <w:color w:val="333333"/>
                      </w:rPr>
                      <w:t>corsConfigurer(</w:t>
                    </w:r>
                    <w:proofErr w:type="gramEnd"/>
                    <w:r>
                      <w:rPr>
                        <w:rFonts w:ascii="MS Gothic"/>
                        <w:color w:val="333333"/>
                      </w:rPr>
                      <w:t>) { return new WebMvcConfigurer() {</w:t>
                    </w:r>
                  </w:p>
                  <w:p w14:paraId="410C58B8" w14:textId="77777777" w:rsidR="00711A16" w:rsidRDefault="00711A16">
                    <w:pPr>
                      <w:spacing w:line="280" w:lineRule="exact"/>
                      <w:ind w:left="1520"/>
                      <w:rPr>
                        <w:rFonts w:ascii="MS Gothic"/>
                      </w:rPr>
                    </w:pPr>
                    <w:r>
                      <w:rPr>
                        <w:rFonts w:ascii="MS Gothic"/>
                        <w:color w:val="333333"/>
                      </w:rPr>
                      <w:t>@Override</w:t>
                    </w:r>
                  </w:p>
                  <w:p w14:paraId="11B45BC5" w14:textId="77777777" w:rsidR="00711A16" w:rsidRDefault="00711A16">
                    <w:pPr>
                      <w:spacing w:before="13" w:line="252" w:lineRule="auto"/>
                      <w:ind w:left="1960" w:right="2678" w:hanging="440"/>
                      <w:rPr>
                        <w:rFonts w:ascii="MS Gothic"/>
                      </w:rPr>
                    </w:pPr>
                    <w:r>
                      <w:rPr>
                        <w:rFonts w:ascii="MS Gothic"/>
                        <w:color w:val="333333"/>
                      </w:rPr>
                      <w:t xml:space="preserve">public void </w:t>
                    </w:r>
                    <w:proofErr w:type="gramStart"/>
                    <w:r>
                      <w:rPr>
                        <w:rFonts w:ascii="MS Gothic"/>
                        <w:color w:val="333333"/>
                      </w:rPr>
                      <w:t>addCorsMappings(</w:t>
                    </w:r>
                    <w:proofErr w:type="gramEnd"/>
                    <w:r>
                      <w:rPr>
                        <w:rFonts w:ascii="MS Gothic"/>
                        <w:color w:val="333333"/>
                      </w:rPr>
                      <w:t>CorsRegistry registry) { registry.addMapping("/api/**");</w:t>
                    </w:r>
                  </w:p>
                  <w:p w14:paraId="4F314EA3" w14:textId="77777777" w:rsidR="00711A16" w:rsidRDefault="00711A16">
                    <w:pPr>
                      <w:spacing w:line="280" w:lineRule="exact"/>
                      <w:ind w:left="1520"/>
                      <w:rPr>
                        <w:rFonts w:ascii="MS Gothic"/>
                      </w:rPr>
                    </w:pPr>
                    <w:r>
                      <w:rPr>
                        <w:rFonts w:ascii="MS Gothic"/>
                        <w:color w:val="333333"/>
                      </w:rPr>
                      <w:t>}</w:t>
                    </w:r>
                  </w:p>
                  <w:p w14:paraId="31A2944A" w14:textId="77777777" w:rsidR="00711A16" w:rsidRDefault="00711A16">
                    <w:pPr>
                      <w:spacing w:before="13"/>
                      <w:ind w:left="1080"/>
                      <w:rPr>
                        <w:rFonts w:ascii="MS Gothic"/>
                      </w:rPr>
                    </w:pPr>
                    <w:r>
                      <w:rPr>
                        <w:rFonts w:ascii="MS Gothic"/>
                        <w:color w:val="333333"/>
                      </w:rPr>
                      <w:t>};</w:t>
                    </w:r>
                  </w:p>
                  <w:p w14:paraId="451FA2E4" w14:textId="77777777" w:rsidR="00711A16" w:rsidRDefault="00711A16">
                    <w:pPr>
                      <w:spacing w:before="13"/>
                      <w:ind w:left="640"/>
                      <w:rPr>
                        <w:rFonts w:ascii="MS Gothic"/>
                      </w:rPr>
                    </w:pPr>
                    <w:r>
                      <w:rPr>
                        <w:rFonts w:ascii="MS Gothic"/>
                        <w:color w:val="333333"/>
                      </w:rPr>
                      <w:t>}</w:t>
                    </w:r>
                  </w:p>
                  <w:p w14:paraId="69B8CDA8"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3BFE1D61" w14:textId="77777777" w:rsidR="00A720EB" w:rsidRDefault="00A720EB">
      <w:pPr>
        <w:pStyle w:val="a3"/>
        <w:spacing w:before="11"/>
        <w:rPr>
          <w:sz w:val="16"/>
        </w:rPr>
      </w:pPr>
    </w:p>
    <w:p w14:paraId="1EB9E7F5" w14:textId="77777777" w:rsidR="00A720EB" w:rsidRDefault="0030286B">
      <w:pPr>
        <w:pStyle w:val="3"/>
        <w:numPr>
          <w:ilvl w:val="2"/>
          <w:numId w:val="68"/>
        </w:numPr>
        <w:tabs>
          <w:tab w:val="left" w:pos="858"/>
        </w:tabs>
        <w:spacing w:before="105"/>
        <w:ind w:hanging="734"/>
      </w:pPr>
      <w:bookmarkStart w:id="257" w:name="4.7.2._The_“Spring_WebFlux_Framework”"/>
      <w:bookmarkStart w:id="258" w:name="_Toc54423750"/>
      <w:bookmarkEnd w:id="257"/>
      <w:r>
        <w:rPr>
          <w:color w:val="333333"/>
          <w:w w:val="110"/>
        </w:rPr>
        <w:t xml:space="preserve">The “Spring </w:t>
      </w:r>
      <w:r>
        <w:rPr>
          <w:color w:val="333333"/>
          <w:spacing w:val="-3"/>
          <w:w w:val="110"/>
        </w:rPr>
        <w:t>WebFlux</w:t>
      </w:r>
      <w:r>
        <w:rPr>
          <w:color w:val="333333"/>
          <w:spacing w:val="-18"/>
          <w:w w:val="110"/>
        </w:rPr>
        <w:t xml:space="preserve"> </w:t>
      </w:r>
      <w:r>
        <w:rPr>
          <w:color w:val="333333"/>
          <w:w w:val="110"/>
        </w:rPr>
        <w:t>Framework”</w:t>
      </w:r>
      <w:bookmarkEnd w:id="258"/>
    </w:p>
    <w:p w14:paraId="5D04740D" w14:textId="77777777" w:rsidR="00A720EB" w:rsidRDefault="0030286B">
      <w:pPr>
        <w:pStyle w:val="a3"/>
        <w:spacing w:before="254" w:line="307" w:lineRule="auto"/>
        <w:ind w:left="124" w:right="133"/>
        <w:jc w:val="both"/>
      </w:pPr>
      <w:r>
        <w:rPr>
          <w:color w:val="333333"/>
          <w:w w:val="110"/>
        </w:rPr>
        <w:t xml:space="preserve">Spring WebFlux is the new reactive web framework introduced in Spring Framework 5.0. Unlike Spring MVC, it does not require the Servlet API, is fully asynchronous and non-blocking, and implements the </w:t>
      </w:r>
      <w:hyperlink r:id="rId153">
        <w:r>
          <w:rPr>
            <w:color w:val="418BCA"/>
            <w:w w:val="110"/>
          </w:rPr>
          <w:t xml:space="preserve">Reactive Streams </w:t>
        </w:r>
      </w:hyperlink>
      <w:r>
        <w:rPr>
          <w:color w:val="333333"/>
          <w:w w:val="110"/>
        </w:rPr>
        <w:t xml:space="preserve">specification through </w:t>
      </w:r>
      <w:hyperlink r:id="rId154">
        <w:r>
          <w:rPr>
            <w:color w:val="418BCA"/>
            <w:w w:val="110"/>
          </w:rPr>
          <w:t>the Reactor project</w:t>
        </w:r>
      </w:hyperlink>
      <w:r>
        <w:rPr>
          <w:color w:val="333333"/>
          <w:w w:val="110"/>
        </w:rPr>
        <w:t>.</w:t>
      </w:r>
    </w:p>
    <w:p w14:paraId="0EE4EC98" w14:textId="77777777" w:rsidR="00A720EB" w:rsidRDefault="0030286B">
      <w:pPr>
        <w:pStyle w:val="a3"/>
        <w:spacing w:before="241" w:line="307" w:lineRule="auto"/>
        <w:ind w:left="124" w:right="137"/>
        <w:jc w:val="both"/>
      </w:pPr>
      <w:r>
        <w:rPr>
          <w:color w:val="333333"/>
          <w:w w:val="110"/>
        </w:rPr>
        <w:t xml:space="preserve">Spring </w:t>
      </w:r>
      <w:proofErr w:type="gramStart"/>
      <w:r>
        <w:rPr>
          <w:color w:val="333333"/>
          <w:spacing w:val="-3"/>
          <w:w w:val="110"/>
        </w:rPr>
        <w:t xml:space="preserve">WebFlux  </w:t>
      </w:r>
      <w:r>
        <w:rPr>
          <w:color w:val="333333"/>
          <w:w w:val="110"/>
        </w:rPr>
        <w:t>comes</w:t>
      </w:r>
      <w:proofErr w:type="gramEnd"/>
      <w:r>
        <w:rPr>
          <w:color w:val="333333"/>
          <w:w w:val="110"/>
        </w:rPr>
        <w:t xml:space="preserve"> in two flavors: functional and annotation-based. The annotation-based one   is quite close to the Spring MVC model, as shown in the following</w:t>
      </w:r>
      <w:r>
        <w:rPr>
          <w:color w:val="333333"/>
          <w:spacing w:val="46"/>
          <w:w w:val="110"/>
        </w:rPr>
        <w:t xml:space="preserve"> </w:t>
      </w:r>
      <w:r>
        <w:rPr>
          <w:color w:val="333333"/>
          <w:w w:val="110"/>
        </w:rPr>
        <w:t>example:</w:t>
      </w:r>
    </w:p>
    <w:p w14:paraId="7F553CD6" w14:textId="77777777" w:rsidR="00A720EB" w:rsidRDefault="00A720EB">
      <w:pPr>
        <w:spacing w:line="307" w:lineRule="auto"/>
        <w:jc w:val="both"/>
        <w:sectPr w:rsidR="00A720EB">
          <w:pgSz w:w="11910" w:h="16840"/>
          <w:pgMar w:top="620" w:right="840" w:bottom="520" w:left="840" w:header="0" w:footer="323" w:gutter="0"/>
          <w:cols w:space="720"/>
        </w:sectPr>
      </w:pPr>
    </w:p>
    <w:p w14:paraId="040BD1BC" w14:textId="77777777" w:rsidR="00A720EB" w:rsidRDefault="00E10349">
      <w:pPr>
        <w:pStyle w:val="a3"/>
        <w:ind w:left="116"/>
        <w:rPr>
          <w:sz w:val="20"/>
        </w:rPr>
      </w:pPr>
      <w:r>
        <w:rPr>
          <w:sz w:val="20"/>
        </w:rPr>
      </w:r>
      <w:r>
        <w:rPr>
          <w:sz w:val="20"/>
        </w:rPr>
        <w:pict w14:anchorId="530720A5">
          <v:group id="_x0000_s4322" style="width:499.55pt;height:317.55pt;mso-position-horizontal-relative:char;mso-position-vertical-relative:line" coordsize="9991,6351">
            <v:shape id="_x0000_s4325" style="position:absolute;left:7;top:7;width:9976;height:6336" coordorigin="8,8" coordsize="9976,6336" path="m9904,8l88,8,56,14,31,31,14,56,8,88r,6176l14,6295r17,25l56,6337r32,7l9904,6344r31,-7l9960,6320r17,-25l9984,6264r,-6176l9977,56,9960,31,9935,14,9904,8xe" fillcolor="#f5f5f5" stroked="f">
              <v:path arrowok="t"/>
            </v:shape>
            <v:shape id="_x0000_s4324" style="position:absolute;left:7;top:7;width:9976;height:6336" coordorigin="8,8" coordsize="9976,6336" path="m88,8r9816,l9935,14r25,17l9977,56r7,32l9984,6264r-7,31l9960,6320r-25,17l9904,6344r-9816,l56,6337,31,6320,14,6295,8,6264,8,88,14,56,31,31,56,14,88,8xe" filled="f" strokecolor="#ccc">
              <v:path arrowok="t"/>
            </v:shape>
            <v:shape id="_x0000_s4323" type="#_x0000_t202" style="position:absolute;left:26;top:22;width:9938;height:6306" filled="f" stroked="f">
              <v:textbox inset="0,0,0,0">
                <w:txbxContent>
                  <w:p w14:paraId="0484BAF5" w14:textId="77777777" w:rsidR="00711A16" w:rsidRDefault="00711A16">
                    <w:pPr>
                      <w:spacing w:before="221" w:line="252" w:lineRule="auto"/>
                      <w:ind w:left="200" w:right="6324"/>
                      <w:rPr>
                        <w:rFonts w:ascii="MS Gothic"/>
                      </w:rPr>
                    </w:pPr>
                    <w:r>
                      <w:rPr>
                        <w:rFonts w:ascii="MS Gothic"/>
                        <w:color w:val="333333"/>
                      </w:rPr>
                      <w:t xml:space="preserve">@RestController @RequestMapping("/users") public class MyRestController </w:t>
                    </w:r>
                    <w:r>
                      <w:rPr>
                        <w:rFonts w:ascii="MS Gothic"/>
                        <w:color w:val="333333"/>
                        <w:spacing w:val="-17"/>
                      </w:rPr>
                      <w:t>{</w:t>
                    </w:r>
                  </w:p>
                  <w:p w14:paraId="73050F0F" w14:textId="77777777" w:rsidR="00711A16" w:rsidRDefault="00711A16">
                    <w:pPr>
                      <w:spacing w:before="9"/>
                      <w:rPr>
                        <w:rFonts w:ascii="MS Gothic"/>
                      </w:rPr>
                    </w:pPr>
                  </w:p>
                  <w:p w14:paraId="241FAC49" w14:textId="77777777" w:rsidR="00711A16" w:rsidRDefault="00711A16">
                    <w:pPr>
                      <w:ind w:left="640"/>
                      <w:rPr>
                        <w:rFonts w:ascii="MS Gothic"/>
                      </w:rPr>
                    </w:pPr>
                    <w:r>
                      <w:rPr>
                        <w:rFonts w:ascii="MS Gothic"/>
                        <w:color w:val="333333"/>
                      </w:rPr>
                      <w:t>@GetMapping("/{user}")</w:t>
                    </w:r>
                  </w:p>
                  <w:p w14:paraId="6E212D7B" w14:textId="77777777" w:rsidR="00711A16" w:rsidRDefault="00711A16">
                    <w:pPr>
                      <w:spacing w:before="13"/>
                      <w:ind w:left="640"/>
                      <w:rPr>
                        <w:rFonts w:ascii="MS Gothic"/>
                      </w:rPr>
                    </w:pPr>
                    <w:r>
                      <w:rPr>
                        <w:rFonts w:ascii="MS Gothic"/>
                        <w:color w:val="333333"/>
                      </w:rPr>
                      <w:t xml:space="preserve">public Mono&lt;User&gt; </w:t>
                    </w:r>
                    <w:proofErr w:type="gramStart"/>
                    <w:r>
                      <w:rPr>
                        <w:rFonts w:ascii="MS Gothic"/>
                        <w:color w:val="333333"/>
                      </w:rPr>
                      <w:t>getUser(</w:t>
                    </w:r>
                    <w:proofErr w:type="gramEnd"/>
                    <w:r>
                      <w:rPr>
                        <w:rFonts w:ascii="MS Gothic"/>
                        <w:color w:val="333333"/>
                      </w:rPr>
                      <w:t>@PathVariable Long user) {</w:t>
                    </w:r>
                  </w:p>
                  <w:p w14:paraId="09DAB409" w14:textId="77777777" w:rsidR="00711A16" w:rsidRDefault="00711A16">
                    <w:pPr>
                      <w:spacing w:before="13"/>
                      <w:ind w:left="1080"/>
                      <w:rPr>
                        <w:rFonts w:ascii="MS Gothic"/>
                      </w:rPr>
                    </w:pPr>
                    <w:r>
                      <w:rPr>
                        <w:rFonts w:ascii="MS Gothic"/>
                        <w:color w:val="333333"/>
                      </w:rPr>
                      <w:t>// ...</w:t>
                    </w:r>
                  </w:p>
                  <w:p w14:paraId="2639638F" w14:textId="77777777" w:rsidR="00711A16" w:rsidRDefault="00711A16">
                    <w:pPr>
                      <w:spacing w:before="13"/>
                      <w:ind w:left="640"/>
                      <w:rPr>
                        <w:rFonts w:ascii="MS Gothic"/>
                      </w:rPr>
                    </w:pPr>
                    <w:r>
                      <w:rPr>
                        <w:rFonts w:ascii="MS Gothic"/>
                        <w:color w:val="333333"/>
                      </w:rPr>
                      <w:t>}</w:t>
                    </w:r>
                  </w:p>
                  <w:p w14:paraId="02AD37D3" w14:textId="77777777" w:rsidR="00711A16" w:rsidRDefault="00711A16">
                    <w:pPr>
                      <w:rPr>
                        <w:rFonts w:ascii="MS Gothic"/>
                        <w:sz w:val="24"/>
                      </w:rPr>
                    </w:pPr>
                  </w:p>
                  <w:p w14:paraId="4A434915" w14:textId="77777777" w:rsidR="00711A16" w:rsidRDefault="00711A16">
                    <w:pPr>
                      <w:ind w:left="640"/>
                      <w:rPr>
                        <w:rFonts w:ascii="MS Gothic"/>
                      </w:rPr>
                    </w:pPr>
                    <w:r>
                      <w:rPr>
                        <w:rFonts w:ascii="MS Gothic"/>
                        <w:color w:val="333333"/>
                      </w:rPr>
                      <w:t>@GetMapping("/{user}/customers")</w:t>
                    </w:r>
                  </w:p>
                  <w:p w14:paraId="125783A6" w14:textId="77777777" w:rsidR="00711A16" w:rsidRDefault="00711A16">
                    <w:pPr>
                      <w:spacing w:before="13"/>
                      <w:ind w:left="640"/>
                      <w:rPr>
                        <w:rFonts w:ascii="MS Gothic"/>
                      </w:rPr>
                    </w:pPr>
                    <w:r>
                      <w:rPr>
                        <w:rFonts w:ascii="MS Gothic"/>
                        <w:color w:val="333333"/>
                      </w:rPr>
                      <w:t xml:space="preserve">public Flux&lt;Customer&gt; </w:t>
                    </w:r>
                    <w:proofErr w:type="gramStart"/>
                    <w:r>
                      <w:rPr>
                        <w:rFonts w:ascii="MS Gothic"/>
                        <w:color w:val="333333"/>
                      </w:rPr>
                      <w:t>getUserCustomers(</w:t>
                    </w:r>
                    <w:proofErr w:type="gramEnd"/>
                    <w:r>
                      <w:rPr>
                        <w:rFonts w:ascii="MS Gothic"/>
                        <w:color w:val="333333"/>
                      </w:rPr>
                      <w:t>@PathVariable Long user) {</w:t>
                    </w:r>
                  </w:p>
                  <w:p w14:paraId="426239B1" w14:textId="77777777" w:rsidR="00711A16" w:rsidRDefault="00711A16">
                    <w:pPr>
                      <w:spacing w:before="13"/>
                      <w:ind w:left="1080"/>
                      <w:rPr>
                        <w:rFonts w:ascii="MS Gothic"/>
                      </w:rPr>
                    </w:pPr>
                    <w:r>
                      <w:rPr>
                        <w:rFonts w:ascii="MS Gothic"/>
                        <w:color w:val="333333"/>
                      </w:rPr>
                      <w:t>// ...</w:t>
                    </w:r>
                  </w:p>
                  <w:p w14:paraId="4D4C1297" w14:textId="77777777" w:rsidR="00711A16" w:rsidRDefault="00711A16">
                    <w:pPr>
                      <w:spacing w:before="13"/>
                      <w:ind w:left="640"/>
                      <w:rPr>
                        <w:rFonts w:ascii="MS Gothic"/>
                      </w:rPr>
                    </w:pPr>
                    <w:r>
                      <w:rPr>
                        <w:rFonts w:ascii="MS Gothic"/>
                        <w:color w:val="333333"/>
                      </w:rPr>
                      <w:t>}</w:t>
                    </w:r>
                  </w:p>
                  <w:p w14:paraId="7A721C25" w14:textId="77777777" w:rsidR="00711A16" w:rsidRDefault="00711A16">
                    <w:pPr>
                      <w:rPr>
                        <w:rFonts w:ascii="MS Gothic"/>
                        <w:sz w:val="24"/>
                      </w:rPr>
                    </w:pPr>
                  </w:p>
                  <w:p w14:paraId="06AEA9DC" w14:textId="77777777" w:rsidR="00711A16" w:rsidRDefault="00711A16">
                    <w:pPr>
                      <w:ind w:left="640"/>
                      <w:rPr>
                        <w:rFonts w:ascii="MS Gothic"/>
                      </w:rPr>
                    </w:pPr>
                    <w:r>
                      <w:rPr>
                        <w:rFonts w:ascii="MS Gothic"/>
                        <w:color w:val="333333"/>
                      </w:rPr>
                      <w:t>@DeleteMapping("/{user}")</w:t>
                    </w:r>
                  </w:p>
                  <w:p w14:paraId="75B71E7B" w14:textId="77777777" w:rsidR="00711A16" w:rsidRDefault="00711A16">
                    <w:pPr>
                      <w:spacing w:before="13"/>
                      <w:ind w:left="640"/>
                      <w:rPr>
                        <w:rFonts w:ascii="MS Gothic"/>
                      </w:rPr>
                    </w:pPr>
                    <w:r>
                      <w:rPr>
                        <w:rFonts w:ascii="MS Gothic"/>
                        <w:color w:val="333333"/>
                      </w:rPr>
                      <w:t xml:space="preserve">public Mono&lt;User&gt; </w:t>
                    </w:r>
                    <w:proofErr w:type="gramStart"/>
                    <w:r>
                      <w:rPr>
                        <w:rFonts w:ascii="MS Gothic"/>
                        <w:color w:val="333333"/>
                      </w:rPr>
                      <w:t>deleteUser(</w:t>
                    </w:r>
                    <w:proofErr w:type="gramEnd"/>
                    <w:r>
                      <w:rPr>
                        <w:rFonts w:ascii="MS Gothic"/>
                        <w:color w:val="333333"/>
                      </w:rPr>
                      <w:t>@PathVariable Long user) {</w:t>
                    </w:r>
                  </w:p>
                  <w:p w14:paraId="0D19526B" w14:textId="77777777" w:rsidR="00711A16" w:rsidRDefault="00711A16">
                    <w:pPr>
                      <w:spacing w:before="13"/>
                      <w:ind w:left="1080"/>
                      <w:rPr>
                        <w:rFonts w:ascii="MS Gothic"/>
                      </w:rPr>
                    </w:pPr>
                    <w:r>
                      <w:rPr>
                        <w:rFonts w:ascii="MS Gothic"/>
                        <w:color w:val="333333"/>
                      </w:rPr>
                      <w:t>// ...</w:t>
                    </w:r>
                  </w:p>
                  <w:p w14:paraId="1F7B7E8E" w14:textId="77777777" w:rsidR="00711A16" w:rsidRDefault="00711A16">
                    <w:pPr>
                      <w:spacing w:before="13"/>
                      <w:ind w:left="640"/>
                      <w:rPr>
                        <w:rFonts w:ascii="MS Gothic"/>
                      </w:rPr>
                    </w:pPr>
                    <w:r>
                      <w:rPr>
                        <w:rFonts w:ascii="MS Gothic"/>
                        <w:color w:val="333333"/>
                      </w:rPr>
                      <w:t>}</w:t>
                    </w:r>
                  </w:p>
                  <w:p w14:paraId="5FB2E374" w14:textId="77777777" w:rsidR="00711A16" w:rsidRDefault="00711A16">
                    <w:pPr>
                      <w:rPr>
                        <w:rFonts w:ascii="MS Gothic"/>
                        <w:sz w:val="24"/>
                      </w:rPr>
                    </w:pPr>
                  </w:p>
                  <w:p w14:paraId="6CCCB91F" w14:textId="77777777" w:rsidR="00711A16" w:rsidRDefault="00711A16">
                    <w:pPr>
                      <w:ind w:left="200"/>
                      <w:rPr>
                        <w:rFonts w:ascii="MS Gothic"/>
                      </w:rPr>
                    </w:pPr>
                    <w:r>
                      <w:rPr>
                        <w:rFonts w:ascii="MS Gothic"/>
                        <w:color w:val="333333"/>
                      </w:rPr>
                      <w:t>}</w:t>
                    </w:r>
                  </w:p>
                </w:txbxContent>
              </v:textbox>
            </v:shape>
            <w10:anchorlock/>
          </v:group>
        </w:pict>
      </w:r>
    </w:p>
    <w:p w14:paraId="5479D3AA" w14:textId="77777777" w:rsidR="00A720EB" w:rsidRDefault="00A720EB">
      <w:pPr>
        <w:pStyle w:val="a3"/>
        <w:spacing w:before="7"/>
        <w:rPr>
          <w:sz w:val="9"/>
        </w:rPr>
      </w:pPr>
    </w:p>
    <w:p w14:paraId="60BA0DB4" w14:textId="77777777" w:rsidR="00A720EB" w:rsidRDefault="0030286B">
      <w:pPr>
        <w:pStyle w:val="a3"/>
        <w:spacing w:before="125" w:line="307" w:lineRule="auto"/>
        <w:ind w:left="124" w:right="462"/>
      </w:pPr>
      <w:r>
        <w:rPr>
          <w:color w:val="333333"/>
          <w:w w:val="110"/>
        </w:rPr>
        <w:t>“WebFlux.fn”, the functional variant, separates the routing configuration from the actual handling     of the requests, as shown in the following</w:t>
      </w:r>
      <w:r>
        <w:rPr>
          <w:color w:val="333333"/>
          <w:spacing w:val="28"/>
          <w:w w:val="110"/>
        </w:rPr>
        <w:t xml:space="preserve"> </w:t>
      </w:r>
      <w:r>
        <w:rPr>
          <w:color w:val="333333"/>
          <w:w w:val="110"/>
        </w:rPr>
        <w:t>example:</w:t>
      </w:r>
    </w:p>
    <w:p w14:paraId="5CAC9046" w14:textId="77777777" w:rsidR="00A720EB" w:rsidRDefault="00A720EB">
      <w:pPr>
        <w:spacing w:line="307" w:lineRule="auto"/>
        <w:sectPr w:rsidR="00A720EB">
          <w:pgSz w:w="11910" w:h="16840"/>
          <w:pgMar w:top="700" w:right="840" w:bottom="520" w:left="840" w:header="0" w:footer="323" w:gutter="0"/>
          <w:cols w:space="720"/>
        </w:sectPr>
      </w:pPr>
    </w:p>
    <w:p w14:paraId="6327BE1F" w14:textId="77777777" w:rsidR="00A720EB" w:rsidRDefault="00E10349">
      <w:pPr>
        <w:pStyle w:val="a3"/>
        <w:ind w:left="116"/>
        <w:rPr>
          <w:sz w:val="20"/>
        </w:rPr>
      </w:pPr>
      <w:r>
        <w:rPr>
          <w:sz w:val="20"/>
        </w:rPr>
      </w:r>
      <w:r>
        <w:rPr>
          <w:sz w:val="20"/>
        </w:rPr>
        <w:pict w14:anchorId="62424A24">
          <v:group id="_x0000_s4318" style="width:499.55pt;height:479.7pt;mso-position-horizontal-relative:char;mso-position-vertical-relative:line" coordsize="9991,9594">
            <v:shape id="_x0000_s4321" style="position:absolute;left:7;top:7;width:9976;height:9579" coordorigin="8,8" coordsize="9976,9579" path="m9904,8l88,8,56,14,31,31,14,56,8,88r,9418l14,9537r17,26l56,9580r32,6l9904,9586r31,-6l9960,9563r17,-26l9984,9506r,-9418l9977,56,9960,31,9935,14,9904,8xe" fillcolor="#f5f5f5" stroked="f">
              <v:path arrowok="t"/>
            </v:shape>
            <v:shape id="_x0000_s4320" style="position:absolute;left:7;top:7;width:9976;height:9579" coordorigin="8,8" coordsize="9976,9579" path="m88,8r9816,l9935,14r25,17l9977,56r7,32l9984,9506r-7,31l9960,9563r-25,17l9904,9586r-9816,l56,9580,31,9563,14,9537,8,9506,8,88,14,56,31,31,56,14,88,8xe" filled="f" strokecolor="#ccc">
              <v:path arrowok="t"/>
            </v:shape>
            <v:shape id="_x0000_s4319" type="#_x0000_t202" style="position:absolute;left:26;top:22;width:9938;height:9548" filled="f" stroked="f">
              <v:textbox inset="0,0,0,0">
                <w:txbxContent>
                  <w:p w14:paraId="25834DFC"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public class RoutingConfiguration {</w:t>
                    </w:r>
                  </w:p>
                  <w:p w14:paraId="39538321" w14:textId="77777777" w:rsidR="00711A16" w:rsidRDefault="00711A16">
                    <w:pPr>
                      <w:spacing w:before="10"/>
                      <w:rPr>
                        <w:rFonts w:ascii="MS Gothic"/>
                      </w:rPr>
                    </w:pPr>
                  </w:p>
                  <w:p w14:paraId="53DA66DF" w14:textId="77777777" w:rsidR="00711A16" w:rsidRDefault="00711A16">
                    <w:pPr>
                      <w:ind w:left="640"/>
                      <w:rPr>
                        <w:rFonts w:ascii="MS Gothic"/>
                      </w:rPr>
                    </w:pPr>
                    <w:r>
                      <w:rPr>
                        <w:rFonts w:ascii="MS Gothic"/>
                        <w:color w:val="333333"/>
                      </w:rPr>
                      <w:t>@Bean</w:t>
                    </w:r>
                  </w:p>
                  <w:p w14:paraId="7CA969B3" w14:textId="77777777" w:rsidR="00711A16" w:rsidRDefault="00711A16">
                    <w:pPr>
                      <w:spacing w:before="13"/>
                      <w:ind w:left="640"/>
                      <w:rPr>
                        <w:rFonts w:ascii="MS Gothic"/>
                      </w:rPr>
                    </w:pPr>
                    <w:r>
                      <w:rPr>
                        <w:rFonts w:ascii="MS Gothic"/>
                        <w:color w:val="333333"/>
                      </w:rPr>
                      <w:t xml:space="preserve">public RouterFunction&lt;ServerResponse&gt; </w:t>
                    </w:r>
                    <w:proofErr w:type="gramStart"/>
                    <w:r>
                      <w:rPr>
                        <w:rFonts w:ascii="MS Gothic"/>
                        <w:color w:val="333333"/>
                      </w:rPr>
                      <w:t>monoRouterFunction(</w:t>
                    </w:r>
                    <w:proofErr w:type="gramEnd"/>
                    <w:r>
                      <w:rPr>
                        <w:rFonts w:ascii="MS Gothic"/>
                        <w:color w:val="333333"/>
                      </w:rPr>
                      <w:t>UserHandler userHandler)</w:t>
                    </w:r>
                  </w:p>
                  <w:p w14:paraId="0A48FF6D" w14:textId="77777777" w:rsidR="00711A16" w:rsidRDefault="00711A16">
                    <w:pPr>
                      <w:spacing w:before="13"/>
                      <w:ind w:left="200"/>
                      <w:rPr>
                        <w:rFonts w:ascii="MS Gothic"/>
                      </w:rPr>
                    </w:pPr>
                    <w:r>
                      <w:rPr>
                        <w:rFonts w:ascii="MS Gothic"/>
                        <w:color w:val="333333"/>
                      </w:rPr>
                      <w:t>{</w:t>
                    </w:r>
                  </w:p>
                  <w:p w14:paraId="2D7BB4C4" w14:textId="77777777" w:rsidR="00711A16" w:rsidRDefault="00711A16">
                    <w:pPr>
                      <w:spacing w:before="13" w:line="252" w:lineRule="auto"/>
                      <w:ind w:left="200" w:right="2458" w:firstLine="880"/>
                      <w:rPr>
                        <w:rFonts w:ascii="MS Gothic"/>
                      </w:rPr>
                    </w:pPr>
                    <w:r>
                      <w:rPr>
                        <w:rFonts w:ascii="MS Gothic"/>
                        <w:color w:val="333333"/>
                      </w:rPr>
                      <w:t xml:space="preserve">return </w:t>
                    </w:r>
                    <w:proofErr w:type="gramStart"/>
                    <w:r>
                      <w:rPr>
                        <w:rFonts w:ascii="MS Gothic"/>
                        <w:color w:val="333333"/>
                      </w:rPr>
                      <w:t>route(</w:t>
                    </w:r>
                    <w:proofErr w:type="gramEnd"/>
                    <w:r>
                      <w:rPr>
                        <w:rFonts w:ascii="MS Gothic"/>
                        <w:color w:val="333333"/>
                      </w:rPr>
                      <w:t>GET("/{user}").and(accept(APPLICATION_JSON)), userHandler::getUser)</w:t>
                    </w:r>
                  </w:p>
                  <w:p w14:paraId="7DD29792" w14:textId="77777777" w:rsidR="00711A16" w:rsidRDefault="00711A16">
                    <w:pPr>
                      <w:spacing w:line="252" w:lineRule="auto"/>
                      <w:ind w:left="200" w:right="808" w:firstLine="1760"/>
                      <w:rPr>
                        <w:rFonts w:ascii="MS Gothic"/>
                      </w:rPr>
                    </w:pPr>
                    <w:proofErr w:type="gramStart"/>
                    <w:r>
                      <w:rPr>
                        <w:rFonts w:ascii="MS Gothic"/>
                        <w:color w:val="333333"/>
                      </w:rPr>
                      <w:t>.andRoute</w:t>
                    </w:r>
                    <w:proofErr w:type="gramEnd"/>
                    <w:r>
                      <w:rPr>
                        <w:rFonts w:ascii="MS Gothic"/>
                        <w:color w:val="333333"/>
                      </w:rPr>
                      <w:t>(GET("/{user}/customers").and(accept(APPLICATION_JSON)), userHandler::getUserCustomers)</w:t>
                    </w:r>
                  </w:p>
                  <w:p w14:paraId="130DAA1D" w14:textId="77777777" w:rsidR="00711A16" w:rsidRDefault="00711A16">
                    <w:pPr>
                      <w:spacing w:line="252" w:lineRule="auto"/>
                      <w:ind w:left="200" w:right="1578" w:firstLine="1760"/>
                      <w:rPr>
                        <w:rFonts w:ascii="MS Gothic"/>
                      </w:rPr>
                    </w:pPr>
                    <w:proofErr w:type="gramStart"/>
                    <w:r>
                      <w:rPr>
                        <w:rFonts w:ascii="MS Gothic"/>
                        <w:color w:val="333333"/>
                      </w:rPr>
                      <w:t>.andRoute</w:t>
                    </w:r>
                    <w:proofErr w:type="gramEnd"/>
                    <w:r>
                      <w:rPr>
                        <w:rFonts w:ascii="MS Gothic"/>
                        <w:color w:val="333333"/>
                      </w:rPr>
                      <w:t>(DELETE("/{user}").and(accept(APPLICATION_JSON)), userHandler::deleteUser);</w:t>
                    </w:r>
                  </w:p>
                  <w:p w14:paraId="0E43C792" w14:textId="77777777" w:rsidR="00711A16" w:rsidRDefault="00711A16">
                    <w:pPr>
                      <w:spacing w:line="280" w:lineRule="exact"/>
                      <w:ind w:left="640"/>
                      <w:rPr>
                        <w:rFonts w:ascii="MS Gothic"/>
                      </w:rPr>
                    </w:pPr>
                    <w:r>
                      <w:rPr>
                        <w:rFonts w:ascii="MS Gothic"/>
                        <w:color w:val="333333"/>
                      </w:rPr>
                      <w:t>}</w:t>
                    </w:r>
                  </w:p>
                  <w:p w14:paraId="594BE5E2" w14:textId="77777777" w:rsidR="00711A16" w:rsidRDefault="00711A16">
                    <w:pPr>
                      <w:spacing w:before="8"/>
                      <w:rPr>
                        <w:rFonts w:ascii="MS Gothic"/>
                        <w:sz w:val="23"/>
                      </w:rPr>
                    </w:pPr>
                  </w:p>
                  <w:p w14:paraId="4FBEF1A2" w14:textId="77777777" w:rsidR="00711A16" w:rsidRDefault="00711A16">
                    <w:pPr>
                      <w:ind w:left="200"/>
                      <w:rPr>
                        <w:rFonts w:ascii="MS Gothic"/>
                      </w:rPr>
                    </w:pPr>
                    <w:r>
                      <w:rPr>
                        <w:rFonts w:ascii="MS Gothic"/>
                        <w:color w:val="333333"/>
                      </w:rPr>
                      <w:t>}</w:t>
                    </w:r>
                  </w:p>
                  <w:p w14:paraId="6B48A838" w14:textId="77777777" w:rsidR="00711A16" w:rsidRDefault="00711A16">
                    <w:pPr>
                      <w:rPr>
                        <w:rFonts w:ascii="MS Gothic"/>
                        <w:sz w:val="24"/>
                      </w:rPr>
                    </w:pPr>
                  </w:p>
                  <w:p w14:paraId="5D6A5A69" w14:textId="77777777" w:rsidR="00711A16" w:rsidRDefault="00711A16">
                    <w:pPr>
                      <w:spacing w:before="1"/>
                      <w:ind w:left="200"/>
                      <w:rPr>
                        <w:rFonts w:ascii="MS Gothic"/>
                      </w:rPr>
                    </w:pPr>
                    <w:r>
                      <w:rPr>
                        <w:rFonts w:ascii="MS Gothic"/>
                        <w:color w:val="333333"/>
                      </w:rPr>
                      <w:t>@Component</w:t>
                    </w:r>
                  </w:p>
                  <w:p w14:paraId="541B67E7" w14:textId="77777777" w:rsidR="00711A16" w:rsidRDefault="00711A16">
                    <w:pPr>
                      <w:spacing w:before="13"/>
                      <w:ind w:left="200"/>
                      <w:rPr>
                        <w:rFonts w:ascii="MS Gothic"/>
                      </w:rPr>
                    </w:pPr>
                    <w:r>
                      <w:rPr>
                        <w:rFonts w:ascii="MS Gothic"/>
                        <w:color w:val="333333"/>
                      </w:rPr>
                      <w:t>public class UserHandler {</w:t>
                    </w:r>
                  </w:p>
                  <w:p w14:paraId="3A6DE920" w14:textId="77777777" w:rsidR="00711A16" w:rsidRDefault="00711A16">
                    <w:pPr>
                      <w:rPr>
                        <w:rFonts w:ascii="MS Gothic"/>
                        <w:sz w:val="24"/>
                      </w:rPr>
                    </w:pPr>
                  </w:p>
                  <w:p w14:paraId="25955328" w14:textId="77777777" w:rsidR="00711A16" w:rsidRDefault="00711A16">
                    <w:pPr>
                      <w:ind w:left="640"/>
                      <w:rPr>
                        <w:rFonts w:ascii="MS Gothic"/>
                      </w:rPr>
                    </w:pPr>
                    <w:r>
                      <w:rPr>
                        <w:rFonts w:ascii="MS Gothic"/>
                        <w:color w:val="333333"/>
                      </w:rPr>
                      <w:t xml:space="preserve">public Mono&lt;ServerResponse&gt; </w:t>
                    </w:r>
                    <w:proofErr w:type="gramStart"/>
                    <w:r>
                      <w:rPr>
                        <w:rFonts w:ascii="MS Gothic"/>
                        <w:color w:val="333333"/>
                      </w:rPr>
                      <w:t>getUser(</w:t>
                    </w:r>
                    <w:proofErr w:type="gramEnd"/>
                    <w:r>
                      <w:rPr>
                        <w:rFonts w:ascii="MS Gothic"/>
                        <w:color w:val="333333"/>
                      </w:rPr>
                      <w:t>ServerRequest request) {</w:t>
                    </w:r>
                  </w:p>
                  <w:p w14:paraId="6CA3F9E6" w14:textId="77777777" w:rsidR="00711A16" w:rsidRDefault="00711A16">
                    <w:pPr>
                      <w:spacing w:before="13"/>
                      <w:ind w:left="1080"/>
                      <w:rPr>
                        <w:rFonts w:ascii="MS Gothic"/>
                      </w:rPr>
                    </w:pPr>
                    <w:r>
                      <w:rPr>
                        <w:rFonts w:ascii="MS Gothic"/>
                        <w:color w:val="333333"/>
                      </w:rPr>
                      <w:t>// ...</w:t>
                    </w:r>
                  </w:p>
                  <w:p w14:paraId="69B6DA9F" w14:textId="77777777" w:rsidR="00711A16" w:rsidRDefault="00711A16">
                    <w:pPr>
                      <w:spacing w:before="13"/>
                      <w:ind w:left="640"/>
                      <w:rPr>
                        <w:rFonts w:ascii="MS Gothic"/>
                      </w:rPr>
                    </w:pPr>
                    <w:r>
                      <w:rPr>
                        <w:rFonts w:ascii="MS Gothic"/>
                        <w:color w:val="333333"/>
                      </w:rPr>
                      <w:t>}</w:t>
                    </w:r>
                  </w:p>
                  <w:p w14:paraId="26EDFF86" w14:textId="77777777" w:rsidR="00711A16" w:rsidRDefault="00711A16">
                    <w:pPr>
                      <w:rPr>
                        <w:rFonts w:ascii="MS Gothic"/>
                        <w:sz w:val="24"/>
                      </w:rPr>
                    </w:pPr>
                  </w:p>
                  <w:p w14:paraId="13707187" w14:textId="77777777" w:rsidR="00711A16" w:rsidRDefault="00711A16">
                    <w:pPr>
                      <w:ind w:left="640"/>
                      <w:rPr>
                        <w:rFonts w:ascii="MS Gothic"/>
                      </w:rPr>
                    </w:pPr>
                    <w:r>
                      <w:rPr>
                        <w:rFonts w:ascii="MS Gothic"/>
                        <w:color w:val="333333"/>
                      </w:rPr>
                      <w:t xml:space="preserve">public Mono&lt;ServerResponse&gt; </w:t>
                    </w:r>
                    <w:proofErr w:type="gramStart"/>
                    <w:r>
                      <w:rPr>
                        <w:rFonts w:ascii="MS Gothic"/>
                        <w:color w:val="333333"/>
                      </w:rPr>
                      <w:t>getUserCustomers(</w:t>
                    </w:r>
                    <w:proofErr w:type="gramEnd"/>
                    <w:r>
                      <w:rPr>
                        <w:rFonts w:ascii="MS Gothic"/>
                        <w:color w:val="333333"/>
                      </w:rPr>
                      <w:t>ServerRequest request) {</w:t>
                    </w:r>
                  </w:p>
                  <w:p w14:paraId="5BC00436" w14:textId="77777777" w:rsidR="00711A16" w:rsidRDefault="00711A16">
                    <w:pPr>
                      <w:spacing w:before="13"/>
                      <w:ind w:left="1080"/>
                      <w:rPr>
                        <w:rFonts w:ascii="MS Gothic"/>
                      </w:rPr>
                    </w:pPr>
                    <w:r>
                      <w:rPr>
                        <w:rFonts w:ascii="MS Gothic"/>
                        <w:color w:val="333333"/>
                      </w:rPr>
                      <w:t>// ...</w:t>
                    </w:r>
                  </w:p>
                  <w:p w14:paraId="706E5FFC" w14:textId="77777777" w:rsidR="00711A16" w:rsidRDefault="00711A16">
                    <w:pPr>
                      <w:spacing w:before="13"/>
                      <w:ind w:left="640"/>
                      <w:rPr>
                        <w:rFonts w:ascii="MS Gothic"/>
                      </w:rPr>
                    </w:pPr>
                    <w:r>
                      <w:rPr>
                        <w:rFonts w:ascii="MS Gothic"/>
                        <w:color w:val="333333"/>
                      </w:rPr>
                      <w:t>}</w:t>
                    </w:r>
                  </w:p>
                  <w:p w14:paraId="5565349E" w14:textId="77777777" w:rsidR="00711A16" w:rsidRDefault="00711A16">
                    <w:pPr>
                      <w:rPr>
                        <w:rFonts w:ascii="MS Gothic"/>
                        <w:sz w:val="24"/>
                      </w:rPr>
                    </w:pPr>
                  </w:p>
                  <w:p w14:paraId="26A064CC" w14:textId="77777777" w:rsidR="00711A16" w:rsidRDefault="00711A16">
                    <w:pPr>
                      <w:ind w:left="640"/>
                      <w:rPr>
                        <w:rFonts w:ascii="MS Gothic"/>
                      </w:rPr>
                    </w:pPr>
                    <w:r>
                      <w:rPr>
                        <w:rFonts w:ascii="MS Gothic"/>
                        <w:color w:val="333333"/>
                      </w:rPr>
                      <w:t xml:space="preserve">public Mono&lt;ServerResponse&gt; </w:t>
                    </w:r>
                    <w:proofErr w:type="gramStart"/>
                    <w:r>
                      <w:rPr>
                        <w:rFonts w:ascii="MS Gothic"/>
                        <w:color w:val="333333"/>
                      </w:rPr>
                      <w:t>deleteUser(</w:t>
                    </w:r>
                    <w:proofErr w:type="gramEnd"/>
                    <w:r>
                      <w:rPr>
                        <w:rFonts w:ascii="MS Gothic"/>
                        <w:color w:val="333333"/>
                      </w:rPr>
                      <w:t>ServerRequest request) {</w:t>
                    </w:r>
                  </w:p>
                  <w:p w14:paraId="72479FF4" w14:textId="77777777" w:rsidR="00711A16" w:rsidRDefault="00711A16">
                    <w:pPr>
                      <w:spacing w:before="13"/>
                      <w:ind w:left="1080"/>
                      <w:rPr>
                        <w:rFonts w:ascii="MS Gothic"/>
                      </w:rPr>
                    </w:pPr>
                    <w:r>
                      <w:rPr>
                        <w:rFonts w:ascii="MS Gothic"/>
                        <w:color w:val="333333"/>
                      </w:rPr>
                      <w:t>// ...</w:t>
                    </w:r>
                  </w:p>
                  <w:p w14:paraId="40D0362C" w14:textId="77777777" w:rsidR="00711A16" w:rsidRDefault="00711A16">
                    <w:pPr>
                      <w:spacing w:before="13"/>
                      <w:ind w:left="640"/>
                      <w:rPr>
                        <w:rFonts w:ascii="MS Gothic"/>
                      </w:rPr>
                    </w:pPr>
                    <w:r>
                      <w:rPr>
                        <w:rFonts w:ascii="MS Gothic"/>
                        <w:color w:val="333333"/>
                      </w:rPr>
                      <w:t>}</w:t>
                    </w:r>
                  </w:p>
                  <w:p w14:paraId="0EBB0A6F" w14:textId="77777777" w:rsidR="00711A16" w:rsidRDefault="00711A16">
                    <w:pPr>
                      <w:spacing w:before="13"/>
                      <w:ind w:left="200"/>
                      <w:rPr>
                        <w:rFonts w:ascii="MS Gothic"/>
                      </w:rPr>
                    </w:pPr>
                    <w:r>
                      <w:rPr>
                        <w:rFonts w:ascii="MS Gothic"/>
                        <w:color w:val="333333"/>
                      </w:rPr>
                      <w:t>}</w:t>
                    </w:r>
                  </w:p>
                </w:txbxContent>
              </v:textbox>
            </v:shape>
            <w10:anchorlock/>
          </v:group>
        </w:pict>
      </w:r>
    </w:p>
    <w:p w14:paraId="06B58C4C" w14:textId="77777777" w:rsidR="00A720EB" w:rsidRDefault="00A720EB">
      <w:pPr>
        <w:pStyle w:val="a3"/>
        <w:spacing w:before="10"/>
        <w:rPr>
          <w:sz w:val="9"/>
        </w:rPr>
      </w:pPr>
    </w:p>
    <w:p w14:paraId="7DD3FBB3" w14:textId="77777777" w:rsidR="00A720EB" w:rsidRDefault="0030286B">
      <w:pPr>
        <w:pStyle w:val="a3"/>
        <w:spacing w:before="125" w:line="307" w:lineRule="auto"/>
        <w:ind w:left="124"/>
      </w:pPr>
      <w:r>
        <w:rPr>
          <w:color w:val="333333"/>
          <w:w w:val="110"/>
        </w:rPr>
        <w:t xml:space="preserve">WebFlux is part of the Spring Framework and detailed information is available in its </w:t>
      </w:r>
      <w:hyperlink r:id="rId155" w:anchor="webflux-fn">
        <w:r>
          <w:rPr>
            <w:color w:val="418BCA"/>
            <w:w w:val="110"/>
          </w:rPr>
          <w:t>reference</w:t>
        </w:r>
      </w:hyperlink>
      <w:r>
        <w:rPr>
          <w:color w:val="418BCA"/>
          <w:w w:val="110"/>
        </w:rPr>
        <w:t xml:space="preserve"> </w:t>
      </w:r>
      <w:hyperlink r:id="rId156" w:anchor="webflux-fn">
        <w:r>
          <w:rPr>
            <w:color w:val="418BCA"/>
            <w:w w:val="110"/>
          </w:rPr>
          <w:t>documentation</w:t>
        </w:r>
      </w:hyperlink>
      <w:r>
        <w:rPr>
          <w:color w:val="333333"/>
          <w:w w:val="110"/>
        </w:rPr>
        <w:t>.</w:t>
      </w:r>
    </w:p>
    <w:p w14:paraId="486BF5CB" w14:textId="77777777" w:rsidR="00A720EB" w:rsidRDefault="00A720EB">
      <w:pPr>
        <w:pStyle w:val="a3"/>
        <w:spacing w:before="5"/>
        <w:rPr>
          <w:sz w:val="26"/>
        </w:rPr>
      </w:pPr>
    </w:p>
    <w:p w14:paraId="70C138A5" w14:textId="77777777" w:rsidR="00A720EB" w:rsidRDefault="00E10349">
      <w:pPr>
        <w:pStyle w:val="a3"/>
        <w:spacing w:before="1" w:line="290" w:lineRule="auto"/>
        <w:ind w:left="1564" w:right="462"/>
      </w:pPr>
      <w:r>
        <w:pict w14:anchorId="242331C7">
          <v:line id="_x0000_s4317" style="position:absolute;left:0;text-align:left;z-index:15923200;mso-position-horizontal-relative:page" from="108.25pt,-5.4pt" to="108.25pt,34.15pt" strokecolor="#ededed" strokeweight=".5pt">
            <w10:wrap anchorx="page"/>
          </v:line>
        </w:pict>
      </w:r>
      <w:r w:rsidR="0030286B">
        <w:rPr>
          <w:noProof/>
        </w:rPr>
        <w:drawing>
          <wp:anchor distT="0" distB="0" distL="0" distR="0" simplePos="0" relativeHeight="15923712" behindDoc="0" locked="0" layoutInCell="1" allowOverlap="1" wp14:anchorId="75396BF1" wp14:editId="36EEF5C9">
            <wp:simplePos x="0" y="0"/>
            <wp:positionH relativeFrom="page">
              <wp:posOffset>888949</wp:posOffset>
            </wp:positionH>
            <wp:positionV relativeFrom="paragraph">
              <wp:posOffset>30048</wp:posOffset>
            </wp:positionV>
            <wp:extent cx="209550" cy="304800"/>
            <wp:effectExtent l="0" t="0" r="0" b="0"/>
            <wp:wrapNone/>
            <wp:docPr id="24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You can define as many </w:t>
      </w:r>
      <w:r w:rsidR="0030286B">
        <w:rPr>
          <w:rFonts w:ascii="MS Gothic"/>
          <w:color w:val="B02045"/>
          <w:w w:val="110"/>
        </w:rPr>
        <w:t xml:space="preserve">RouterFunction </w:t>
      </w:r>
      <w:r w:rsidR="0030286B">
        <w:rPr>
          <w:color w:val="333333"/>
          <w:w w:val="110"/>
        </w:rPr>
        <w:t>beans as you like to modularize the definition of the router. Beans can be ordered if you need to apply a precedence.</w:t>
      </w:r>
    </w:p>
    <w:p w14:paraId="3FA71238" w14:textId="77777777" w:rsidR="00A720EB" w:rsidRDefault="00A720EB">
      <w:pPr>
        <w:pStyle w:val="a3"/>
        <w:spacing w:before="11"/>
        <w:rPr>
          <w:sz w:val="27"/>
        </w:rPr>
      </w:pPr>
    </w:p>
    <w:p w14:paraId="0772C6FD" w14:textId="77777777" w:rsidR="00A720EB" w:rsidRDefault="0030286B">
      <w:pPr>
        <w:pStyle w:val="a3"/>
        <w:ind w:left="124"/>
      </w:pPr>
      <w:r>
        <w:rPr>
          <w:color w:val="333333"/>
          <w:spacing w:val="-4"/>
          <w:w w:val="110"/>
        </w:rPr>
        <w:t xml:space="preserve">To </w:t>
      </w:r>
      <w:r>
        <w:rPr>
          <w:color w:val="333333"/>
          <w:w w:val="110"/>
        </w:rPr>
        <w:t xml:space="preserve">get started, add the </w:t>
      </w:r>
      <w:r>
        <w:rPr>
          <w:rFonts w:ascii="MS Gothic"/>
          <w:color w:val="B02045"/>
          <w:w w:val="110"/>
        </w:rPr>
        <w:t>spring-boot-starter-webflux</w:t>
      </w:r>
      <w:r>
        <w:rPr>
          <w:rFonts w:ascii="MS Gothic"/>
          <w:color w:val="B02045"/>
          <w:spacing w:val="-84"/>
          <w:w w:val="110"/>
        </w:rPr>
        <w:t xml:space="preserve"> </w:t>
      </w:r>
      <w:r>
        <w:rPr>
          <w:color w:val="333333"/>
          <w:w w:val="110"/>
        </w:rPr>
        <w:t>module to your application.</w:t>
      </w:r>
    </w:p>
    <w:p w14:paraId="594886D0" w14:textId="77777777" w:rsidR="00A720EB" w:rsidRDefault="00A720EB">
      <w:pPr>
        <w:pStyle w:val="a3"/>
        <w:spacing w:before="4"/>
      </w:pPr>
    </w:p>
    <w:p w14:paraId="4E68CE86" w14:textId="77777777" w:rsidR="00A720EB" w:rsidRDefault="00E10349">
      <w:pPr>
        <w:pStyle w:val="a3"/>
        <w:spacing w:before="116" w:line="292" w:lineRule="auto"/>
        <w:ind w:left="1564" w:right="362"/>
        <w:jc w:val="both"/>
      </w:pPr>
      <w:r>
        <w:pict w14:anchorId="0857F5F7">
          <v:line id="_x0000_s4316" style="position:absolute;left:0;text-align:left;z-index:15924224;mso-position-horizontal-relative:page" from="108.25pt,.35pt" to="108.25pt,103pt" strokecolor="#ededed" strokeweight=".5pt">
            <w10:wrap anchorx="page"/>
          </v:line>
        </w:pict>
      </w:r>
      <w:r w:rsidR="0030286B">
        <w:rPr>
          <w:noProof/>
        </w:rPr>
        <w:drawing>
          <wp:anchor distT="0" distB="0" distL="0" distR="0" simplePos="0" relativeHeight="15924736" behindDoc="0" locked="0" layoutInCell="1" allowOverlap="1" wp14:anchorId="3183C552" wp14:editId="2735A44C">
            <wp:simplePos x="0" y="0"/>
            <wp:positionH relativeFrom="page">
              <wp:posOffset>844422</wp:posOffset>
            </wp:positionH>
            <wp:positionV relativeFrom="paragraph">
              <wp:posOffset>507060</wp:posOffset>
            </wp:positionV>
            <wp:extent cx="298450" cy="298450"/>
            <wp:effectExtent l="0" t="0" r="0" b="0"/>
            <wp:wrapNone/>
            <wp:docPr id="2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05"/>
        </w:rPr>
        <w:t xml:space="preserve">Adding both </w:t>
      </w:r>
      <w:r w:rsidR="0030286B">
        <w:rPr>
          <w:rFonts w:ascii="MS Gothic"/>
          <w:color w:val="B02045"/>
          <w:w w:val="105"/>
        </w:rPr>
        <w:t>spring-boot-starter-web</w:t>
      </w:r>
      <w:r w:rsidR="0030286B">
        <w:rPr>
          <w:rFonts w:ascii="MS Gothic"/>
          <w:color w:val="B02045"/>
          <w:spacing w:val="-57"/>
          <w:w w:val="105"/>
        </w:rPr>
        <w:t xml:space="preserve"> </w:t>
      </w:r>
      <w:r w:rsidR="0030286B">
        <w:rPr>
          <w:color w:val="333333"/>
          <w:w w:val="105"/>
        </w:rPr>
        <w:t xml:space="preserve">and </w:t>
      </w:r>
      <w:r w:rsidR="0030286B">
        <w:rPr>
          <w:rFonts w:ascii="MS Gothic"/>
          <w:color w:val="B02045"/>
          <w:w w:val="105"/>
        </w:rPr>
        <w:t>spring-boot-starter-webflux</w:t>
      </w:r>
      <w:r w:rsidR="0030286B">
        <w:rPr>
          <w:rFonts w:ascii="MS Gothic"/>
          <w:color w:val="B02045"/>
          <w:spacing w:val="-57"/>
          <w:w w:val="105"/>
        </w:rPr>
        <w:t xml:space="preserve"> </w:t>
      </w:r>
      <w:r w:rsidR="0030286B">
        <w:rPr>
          <w:color w:val="333333"/>
          <w:w w:val="105"/>
        </w:rPr>
        <w:t xml:space="preserve">modules in </w:t>
      </w:r>
      <w:r w:rsidR="0030286B">
        <w:rPr>
          <w:color w:val="333333"/>
          <w:w w:val="110"/>
        </w:rPr>
        <w:t xml:space="preserve">your application results in Spring Boot auto-configuring Spring MVC, not </w:t>
      </w:r>
      <w:r w:rsidR="0030286B">
        <w:rPr>
          <w:color w:val="333333"/>
          <w:spacing w:val="-3"/>
          <w:w w:val="110"/>
        </w:rPr>
        <w:t xml:space="preserve">WebFlux. </w:t>
      </w:r>
      <w:r w:rsidR="0030286B">
        <w:rPr>
          <w:color w:val="333333"/>
          <w:w w:val="110"/>
        </w:rPr>
        <w:t xml:space="preserve">This behavior has been chosen because many Spring developers add </w:t>
      </w:r>
      <w:r w:rsidR="0030286B">
        <w:rPr>
          <w:rFonts w:ascii="MS Gothic"/>
          <w:color w:val="B02045"/>
          <w:w w:val="110"/>
        </w:rPr>
        <w:t>spring-boot- starter-webflux</w:t>
      </w:r>
      <w:r w:rsidR="0030286B">
        <w:rPr>
          <w:rFonts w:ascii="MS Gothic"/>
          <w:color w:val="B02045"/>
          <w:spacing w:val="-77"/>
          <w:w w:val="110"/>
        </w:rPr>
        <w:t xml:space="preserve"> </w:t>
      </w:r>
      <w:r w:rsidR="0030286B">
        <w:rPr>
          <w:color w:val="333333"/>
          <w:w w:val="110"/>
        </w:rPr>
        <w:t xml:space="preserve">to their Spring MVC application to use the reactive </w:t>
      </w:r>
      <w:r w:rsidR="0030286B">
        <w:rPr>
          <w:rFonts w:ascii="MS Gothic"/>
          <w:color w:val="B02045"/>
          <w:w w:val="110"/>
        </w:rPr>
        <w:t>WebClient</w:t>
      </w:r>
      <w:r w:rsidR="0030286B">
        <w:rPr>
          <w:color w:val="333333"/>
          <w:w w:val="110"/>
        </w:rPr>
        <w:t xml:space="preserve">. </w:t>
      </w:r>
      <w:r w:rsidR="0030286B">
        <w:rPr>
          <w:color w:val="333333"/>
          <w:spacing w:val="-6"/>
          <w:w w:val="110"/>
        </w:rPr>
        <w:t xml:space="preserve">You </w:t>
      </w:r>
      <w:r w:rsidR="0030286B">
        <w:rPr>
          <w:color w:val="333333"/>
          <w:w w:val="110"/>
        </w:rPr>
        <w:t xml:space="preserve">can still enforce your choice </w:t>
      </w:r>
      <w:r w:rsidR="0030286B">
        <w:rPr>
          <w:color w:val="333333"/>
          <w:spacing w:val="-3"/>
          <w:w w:val="110"/>
        </w:rPr>
        <w:t xml:space="preserve">by </w:t>
      </w:r>
      <w:r w:rsidR="0030286B">
        <w:rPr>
          <w:color w:val="333333"/>
          <w:w w:val="110"/>
        </w:rPr>
        <w:t xml:space="preserve">setting the chosen application type </w:t>
      </w:r>
      <w:proofErr w:type="gramStart"/>
      <w:r w:rsidR="0030286B">
        <w:rPr>
          <w:color w:val="333333"/>
          <w:w w:val="110"/>
        </w:rPr>
        <w:t xml:space="preserve">to  </w:t>
      </w:r>
      <w:r w:rsidR="0030286B">
        <w:rPr>
          <w:rFonts w:ascii="MS Gothic"/>
          <w:color w:val="B02045"/>
          <w:w w:val="110"/>
        </w:rPr>
        <w:t>SpringApplication.setWebApplicationType</w:t>
      </w:r>
      <w:proofErr w:type="gramEnd"/>
      <w:r w:rsidR="0030286B">
        <w:rPr>
          <w:rFonts w:ascii="MS Gothic"/>
          <w:color w:val="B02045"/>
          <w:w w:val="110"/>
        </w:rPr>
        <w:t>(WebApplicationType.REACTIVE)</w:t>
      </w:r>
      <w:r w:rsidR="0030286B">
        <w:rPr>
          <w:color w:val="333333"/>
          <w:w w:val="110"/>
        </w:rPr>
        <w:t>.</w:t>
      </w:r>
    </w:p>
    <w:p w14:paraId="25C7D947" w14:textId="77777777" w:rsidR="00A720EB" w:rsidRDefault="00A720EB">
      <w:pPr>
        <w:spacing w:line="292" w:lineRule="auto"/>
        <w:jc w:val="both"/>
        <w:sectPr w:rsidR="00A720EB">
          <w:pgSz w:w="11910" w:h="16840"/>
          <w:pgMar w:top="700" w:right="840" w:bottom="520" w:left="840" w:header="0" w:footer="323" w:gutter="0"/>
          <w:cols w:space="720"/>
        </w:sectPr>
      </w:pPr>
    </w:p>
    <w:p w14:paraId="7EE73029" w14:textId="77777777" w:rsidR="00A720EB" w:rsidRDefault="0030286B">
      <w:pPr>
        <w:pStyle w:val="4"/>
        <w:spacing w:before="86"/>
      </w:pPr>
      <w:bookmarkStart w:id="259" w:name="Spring_WebFlux_Auto-configuration"/>
      <w:bookmarkEnd w:id="259"/>
      <w:r>
        <w:rPr>
          <w:color w:val="333333"/>
          <w:w w:val="110"/>
        </w:rPr>
        <w:lastRenderedPageBreak/>
        <w:t>Spring WebFlux Auto-configuration</w:t>
      </w:r>
    </w:p>
    <w:p w14:paraId="062F9E04" w14:textId="77777777" w:rsidR="00A720EB" w:rsidRDefault="00A720EB">
      <w:pPr>
        <w:pStyle w:val="a3"/>
        <w:spacing w:before="11"/>
        <w:rPr>
          <w:rFonts w:ascii="Palatino Linotype"/>
          <w:b/>
          <w:sz w:val="18"/>
        </w:rPr>
      </w:pPr>
    </w:p>
    <w:p w14:paraId="6BCDC283" w14:textId="77777777" w:rsidR="00A720EB" w:rsidRDefault="0030286B">
      <w:pPr>
        <w:pStyle w:val="a3"/>
        <w:spacing w:line="307" w:lineRule="auto"/>
        <w:ind w:left="124" w:right="136"/>
        <w:jc w:val="both"/>
      </w:pPr>
      <w:r>
        <w:rPr>
          <w:color w:val="333333"/>
          <w:w w:val="110"/>
        </w:rPr>
        <w:t xml:space="preserve">Spring Boot provides auto-configuration for Spring </w:t>
      </w:r>
      <w:r>
        <w:rPr>
          <w:color w:val="333333"/>
          <w:spacing w:val="-3"/>
          <w:w w:val="110"/>
        </w:rPr>
        <w:t xml:space="preserve">WebFlux </w:t>
      </w:r>
      <w:r>
        <w:rPr>
          <w:color w:val="333333"/>
          <w:w w:val="110"/>
        </w:rPr>
        <w:t xml:space="preserve">that works </w:t>
      </w:r>
      <w:proofErr w:type="gramStart"/>
      <w:r>
        <w:rPr>
          <w:color w:val="333333"/>
          <w:w w:val="110"/>
        </w:rPr>
        <w:t>well  with</w:t>
      </w:r>
      <w:proofErr w:type="gramEnd"/>
      <w:r>
        <w:rPr>
          <w:color w:val="333333"/>
          <w:w w:val="110"/>
        </w:rPr>
        <w:t xml:space="preserve">  most  applications.</w:t>
      </w:r>
    </w:p>
    <w:p w14:paraId="4FAC0B3B" w14:textId="77777777" w:rsidR="00A720EB" w:rsidRDefault="0030286B">
      <w:pPr>
        <w:pStyle w:val="a3"/>
        <w:spacing w:before="241"/>
        <w:ind w:left="124"/>
      </w:pPr>
      <w:r>
        <w:rPr>
          <w:color w:val="333333"/>
          <w:w w:val="110"/>
        </w:rPr>
        <w:t>The auto-configuration adds the following features on top of Spring’s defaults:</w:t>
      </w:r>
    </w:p>
    <w:p w14:paraId="1637C927" w14:textId="77777777" w:rsidR="00A720EB" w:rsidRDefault="00A720EB">
      <w:pPr>
        <w:pStyle w:val="a3"/>
        <w:spacing w:before="6"/>
        <w:rPr>
          <w:sz w:val="25"/>
        </w:rPr>
      </w:pPr>
    </w:p>
    <w:p w14:paraId="752C942A" w14:textId="77777777" w:rsidR="00A720EB" w:rsidRDefault="0030286B">
      <w:pPr>
        <w:pStyle w:val="a6"/>
        <w:numPr>
          <w:ilvl w:val="0"/>
          <w:numId w:val="50"/>
        </w:numPr>
        <w:tabs>
          <w:tab w:val="left" w:pos="485"/>
        </w:tabs>
        <w:spacing w:line="290" w:lineRule="auto"/>
        <w:ind w:right="122"/>
        <w:rPr>
          <w:sz w:val="21"/>
        </w:rPr>
      </w:pPr>
      <w:r>
        <w:rPr>
          <w:color w:val="333333"/>
          <w:w w:val="110"/>
          <w:sz w:val="21"/>
        </w:rPr>
        <w:t xml:space="preserve">Configuring codecs for </w:t>
      </w:r>
      <w:r>
        <w:rPr>
          <w:rFonts w:ascii="MS Gothic" w:hAnsi="MS Gothic"/>
          <w:color w:val="B02045"/>
          <w:w w:val="110"/>
          <w:sz w:val="21"/>
        </w:rPr>
        <w:t xml:space="preserve">HttpMessageReader </w:t>
      </w:r>
      <w:r>
        <w:rPr>
          <w:color w:val="333333"/>
          <w:w w:val="110"/>
          <w:sz w:val="21"/>
        </w:rPr>
        <w:t xml:space="preserve">and </w:t>
      </w:r>
      <w:r>
        <w:rPr>
          <w:rFonts w:ascii="MS Gothic" w:hAnsi="MS Gothic"/>
          <w:color w:val="B02045"/>
          <w:w w:val="110"/>
          <w:sz w:val="21"/>
        </w:rPr>
        <w:t>HttpMessageWriter</w:t>
      </w:r>
      <w:r>
        <w:rPr>
          <w:rFonts w:ascii="MS Gothic" w:hAnsi="MS Gothic"/>
          <w:color w:val="B02045"/>
          <w:spacing w:val="-43"/>
          <w:w w:val="110"/>
          <w:sz w:val="21"/>
        </w:rPr>
        <w:t xml:space="preserve"> </w:t>
      </w:r>
      <w:r>
        <w:rPr>
          <w:color w:val="333333"/>
          <w:w w:val="110"/>
          <w:sz w:val="21"/>
        </w:rPr>
        <w:t xml:space="preserve">instances (described </w:t>
      </w:r>
      <w:hyperlink w:anchor="_bookmark164" w:history="1">
        <w:r>
          <w:rPr>
            <w:color w:val="418BCA"/>
            <w:w w:val="110"/>
            <w:sz w:val="21"/>
          </w:rPr>
          <w:t>later in</w:t>
        </w:r>
      </w:hyperlink>
      <w:r>
        <w:rPr>
          <w:color w:val="418BCA"/>
          <w:w w:val="110"/>
          <w:sz w:val="21"/>
        </w:rPr>
        <w:t xml:space="preserve"> </w:t>
      </w:r>
      <w:hyperlink w:anchor="_bookmark164" w:history="1">
        <w:r>
          <w:rPr>
            <w:color w:val="418BCA"/>
            <w:w w:val="110"/>
            <w:sz w:val="21"/>
          </w:rPr>
          <w:t>this</w:t>
        </w:r>
        <w:r>
          <w:rPr>
            <w:color w:val="418BCA"/>
            <w:spacing w:val="3"/>
            <w:w w:val="110"/>
            <w:sz w:val="21"/>
          </w:rPr>
          <w:t xml:space="preserve"> </w:t>
        </w:r>
        <w:r>
          <w:rPr>
            <w:color w:val="418BCA"/>
            <w:w w:val="110"/>
            <w:sz w:val="21"/>
          </w:rPr>
          <w:t>document</w:t>
        </w:r>
      </w:hyperlink>
      <w:r>
        <w:rPr>
          <w:color w:val="333333"/>
          <w:w w:val="110"/>
          <w:sz w:val="21"/>
        </w:rPr>
        <w:t>).</w:t>
      </w:r>
    </w:p>
    <w:p w14:paraId="4A3CF589" w14:textId="77777777" w:rsidR="00A720EB" w:rsidRDefault="0030286B">
      <w:pPr>
        <w:pStyle w:val="a6"/>
        <w:numPr>
          <w:ilvl w:val="0"/>
          <w:numId w:val="50"/>
        </w:numPr>
        <w:tabs>
          <w:tab w:val="left" w:pos="485"/>
        </w:tabs>
        <w:spacing w:before="138" w:line="307" w:lineRule="auto"/>
        <w:ind w:right="122"/>
        <w:rPr>
          <w:sz w:val="21"/>
        </w:rPr>
      </w:pPr>
      <w:r>
        <w:rPr>
          <w:color w:val="333333"/>
          <w:w w:val="110"/>
          <w:sz w:val="21"/>
        </w:rPr>
        <w:t xml:space="preserve">Support for serving static resources, including support for </w:t>
      </w:r>
      <w:r>
        <w:rPr>
          <w:color w:val="333333"/>
          <w:spacing w:val="-3"/>
          <w:w w:val="110"/>
          <w:sz w:val="21"/>
        </w:rPr>
        <w:t xml:space="preserve">WebJars </w:t>
      </w:r>
      <w:r>
        <w:rPr>
          <w:color w:val="333333"/>
          <w:w w:val="110"/>
          <w:sz w:val="21"/>
        </w:rPr>
        <w:t xml:space="preserve">(described </w:t>
      </w:r>
      <w:hyperlink w:anchor="_bookmark152" w:history="1">
        <w:r>
          <w:rPr>
            <w:color w:val="418BCA"/>
            <w:w w:val="110"/>
            <w:sz w:val="21"/>
          </w:rPr>
          <w:t>later in this</w:t>
        </w:r>
      </w:hyperlink>
      <w:r>
        <w:rPr>
          <w:color w:val="418BCA"/>
          <w:w w:val="110"/>
          <w:sz w:val="21"/>
        </w:rPr>
        <w:t xml:space="preserve"> </w:t>
      </w:r>
      <w:hyperlink w:anchor="_bookmark152" w:history="1">
        <w:r>
          <w:rPr>
            <w:color w:val="418BCA"/>
            <w:w w:val="110"/>
            <w:sz w:val="21"/>
          </w:rPr>
          <w:t>document</w:t>
        </w:r>
      </w:hyperlink>
      <w:r>
        <w:rPr>
          <w:color w:val="333333"/>
          <w:w w:val="110"/>
          <w:sz w:val="21"/>
        </w:rPr>
        <w:t>).</w:t>
      </w:r>
    </w:p>
    <w:p w14:paraId="1FA4605D" w14:textId="77777777" w:rsidR="00A720EB" w:rsidRDefault="0030286B">
      <w:pPr>
        <w:pStyle w:val="a3"/>
        <w:spacing w:before="241" w:line="280" w:lineRule="auto"/>
        <w:ind w:left="124" w:right="122"/>
        <w:jc w:val="both"/>
      </w:pPr>
      <w:r>
        <w:rPr>
          <w:color w:val="333333"/>
          <w:w w:val="110"/>
        </w:rPr>
        <w:t xml:space="preserve">If you want to keep Spring Boot WebFlux features and you want to add additional </w:t>
      </w:r>
      <w:hyperlink r:id="rId157" w:anchor="webflux-config">
        <w:r>
          <w:rPr>
            <w:color w:val="418BCA"/>
            <w:w w:val="110"/>
          </w:rPr>
          <w:t>WebFlux</w:t>
        </w:r>
      </w:hyperlink>
      <w:r>
        <w:rPr>
          <w:color w:val="418BCA"/>
          <w:w w:val="110"/>
        </w:rPr>
        <w:t xml:space="preserve"> </w:t>
      </w:r>
      <w:hyperlink r:id="rId158" w:anchor="webflux-config">
        <w:r>
          <w:rPr>
            <w:color w:val="418BCA"/>
            <w:w w:val="110"/>
          </w:rPr>
          <w:t>configuration</w:t>
        </w:r>
      </w:hyperlink>
      <w:r>
        <w:rPr>
          <w:color w:val="333333"/>
          <w:w w:val="110"/>
        </w:rPr>
        <w:t xml:space="preserve">, you can add your own </w:t>
      </w:r>
      <w:r>
        <w:rPr>
          <w:rFonts w:ascii="MS Gothic"/>
          <w:color w:val="B02045"/>
          <w:w w:val="110"/>
        </w:rPr>
        <w:t xml:space="preserve">@Configuration </w:t>
      </w:r>
      <w:r>
        <w:rPr>
          <w:color w:val="333333"/>
          <w:w w:val="110"/>
        </w:rPr>
        <w:t xml:space="preserve">class of type </w:t>
      </w:r>
      <w:r>
        <w:rPr>
          <w:rFonts w:ascii="MS Gothic"/>
          <w:color w:val="B02045"/>
          <w:w w:val="110"/>
        </w:rPr>
        <w:t xml:space="preserve">WebFluxConfigurer </w:t>
      </w:r>
      <w:r>
        <w:rPr>
          <w:color w:val="333333"/>
          <w:w w:val="110"/>
        </w:rPr>
        <w:t xml:space="preserve">but </w:t>
      </w:r>
      <w:r>
        <w:rPr>
          <w:rFonts w:ascii="Palatino Linotype"/>
          <w:b/>
          <w:color w:val="333333"/>
          <w:w w:val="110"/>
        </w:rPr>
        <w:t xml:space="preserve">without </w:t>
      </w:r>
      <w:r>
        <w:rPr>
          <w:rFonts w:ascii="MS Gothic"/>
          <w:color w:val="B02045"/>
          <w:w w:val="110"/>
        </w:rPr>
        <w:t>@EnableWebFlux</w:t>
      </w:r>
      <w:r>
        <w:rPr>
          <w:color w:val="333333"/>
          <w:w w:val="110"/>
        </w:rPr>
        <w:t>.</w:t>
      </w:r>
    </w:p>
    <w:p w14:paraId="0011903A" w14:textId="77777777" w:rsidR="00A720EB" w:rsidRDefault="0030286B">
      <w:pPr>
        <w:pStyle w:val="a3"/>
        <w:spacing w:before="242"/>
        <w:ind w:left="124"/>
        <w:rPr>
          <w:rFonts w:ascii="MS Gothic"/>
        </w:rPr>
      </w:pPr>
      <w:r>
        <w:rPr>
          <w:color w:val="333333"/>
          <w:w w:val="110"/>
        </w:rPr>
        <w:t xml:space="preserve">If you want to take complete control of Spring WebFlux, you can add your own </w:t>
      </w:r>
      <w:r>
        <w:rPr>
          <w:rFonts w:ascii="MS Gothic"/>
          <w:color w:val="B02045"/>
          <w:w w:val="110"/>
        </w:rPr>
        <w:t>@Configuration</w:t>
      </w:r>
    </w:p>
    <w:p w14:paraId="3CD6BCA4" w14:textId="77777777" w:rsidR="00A720EB" w:rsidRDefault="0030286B">
      <w:pPr>
        <w:pStyle w:val="a3"/>
        <w:spacing w:before="47"/>
        <w:ind w:left="124"/>
      </w:pPr>
      <w:r>
        <w:rPr>
          <w:color w:val="333333"/>
          <w:w w:val="110"/>
        </w:rPr>
        <w:t xml:space="preserve">annotated with </w:t>
      </w:r>
      <w:r>
        <w:rPr>
          <w:rFonts w:ascii="MS Gothic"/>
          <w:color w:val="B02045"/>
          <w:w w:val="110"/>
        </w:rPr>
        <w:t>@EnableWebFlux</w:t>
      </w:r>
      <w:r>
        <w:rPr>
          <w:color w:val="333333"/>
          <w:w w:val="110"/>
        </w:rPr>
        <w:t>.</w:t>
      </w:r>
    </w:p>
    <w:p w14:paraId="150FA291" w14:textId="77777777" w:rsidR="00A720EB" w:rsidRDefault="00A720EB">
      <w:pPr>
        <w:pStyle w:val="a3"/>
        <w:spacing w:before="5"/>
        <w:rPr>
          <w:sz w:val="30"/>
        </w:rPr>
      </w:pPr>
    </w:p>
    <w:p w14:paraId="13DC64A1" w14:textId="77777777" w:rsidR="00A720EB" w:rsidRDefault="0030286B">
      <w:pPr>
        <w:pStyle w:val="4"/>
        <w:jc w:val="left"/>
      </w:pPr>
      <w:bookmarkStart w:id="260" w:name="HTTP_Codecs_with_HttpMessageReaders_and_"/>
      <w:bookmarkEnd w:id="260"/>
      <w:r>
        <w:rPr>
          <w:color w:val="333333"/>
          <w:w w:val="110"/>
        </w:rPr>
        <w:t>HTTP Codecs with HttpMessageReaders and HttpMessageWriters</w:t>
      </w:r>
    </w:p>
    <w:p w14:paraId="090D20B3" w14:textId="77777777" w:rsidR="00A720EB" w:rsidRDefault="0030286B">
      <w:pPr>
        <w:pStyle w:val="a3"/>
        <w:spacing w:before="244" w:line="285" w:lineRule="auto"/>
        <w:ind w:left="124" w:right="125"/>
        <w:jc w:val="both"/>
      </w:pPr>
      <w:r>
        <w:rPr>
          <w:color w:val="333333"/>
          <w:w w:val="110"/>
        </w:rPr>
        <w:t xml:space="preserve">Spring WebFlux uses the </w:t>
      </w:r>
      <w:r>
        <w:rPr>
          <w:rFonts w:ascii="MS Gothic"/>
          <w:color w:val="B02045"/>
          <w:w w:val="110"/>
        </w:rPr>
        <w:t xml:space="preserve">HttpMessageReader </w:t>
      </w:r>
      <w:r>
        <w:rPr>
          <w:color w:val="333333"/>
          <w:w w:val="110"/>
        </w:rPr>
        <w:t xml:space="preserve">and </w:t>
      </w:r>
      <w:r>
        <w:rPr>
          <w:rFonts w:ascii="MS Gothic"/>
          <w:color w:val="B02045"/>
          <w:w w:val="110"/>
        </w:rPr>
        <w:t xml:space="preserve">HttpMessageWriter </w:t>
      </w:r>
      <w:r>
        <w:rPr>
          <w:color w:val="333333"/>
          <w:w w:val="110"/>
        </w:rPr>
        <w:t xml:space="preserve">interfaces to convert HTTP requests and responses. They are configured with </w:t>
      </w:r>
      <w:r>
        <w:rPr>
          <w:rFonts w:ascii="MS Gothic"/>
          <w:color w:val="B02045"/>
          <w:w w:val="110"/>
        </w:rPr>
        <w:t xml:space="preserve">CodecConfigurer </w:t>
      </w:r>
      <w:r>
        <w:rPr>
          <w:color w:val="333333"/>
          <w:w w:val="110"/>
        </w:rPr>
        <w:t>to have sensible defaults by looking at the libraries available in your classpath.</w:t>
      </w:r>
    </w:p>
    <w:p w14:paraId="57AC2CF2" w14:textId="77777777" w:rsidR="00A720EB" w:rsidRDefault="00A720EB">
      <w:pPr>
        <w:pStyle w:val="a3"/>
        <w:spacing w:before="7"/>
      </w:pPr>
    </w:p>
    <w:p w14:paraId="0345296B" w14:textId="77777777" w:rsidR="00A720EB" w:rsidRDefault="0030286B">
      <w:pPr>
        <w:pStyle w:val="a3"/>
        <w:spacing w:line="285" w:lineRule="auto"/>
        <w:ind w:left="124" w:right="122"/>
        <w:jc w:val="both"/>
      </w:pPr>
      <w:r>
        <w:rPr>
          <w:color w:val="333333"/>
          <w:w w:val="110"/>
        </w:rPr>
        <w:t xml:space="preserve">Spring Boot provides dedicated configuration properties for codecs, </w:t>
      </w:r>
      <w:proofErr w:type="gramStart"/>
      <w:r>
        <w:rPr>
          <w:rFonts w:ascii="MS Gothic"/>
          <w:color w:val="B02045"/>
          <w:w w:val="110"/>
        </w:rPr>
        <w:t>spring.codec</w:t>
      </w:r>
      <w:proofErr w:type="gramEnd"/>
      <w:r>
        <w:rPr>
          <w:rFonts w:ascii="MS Gothic"/>
          <w:color w:val="B02045"/>
          <w:w w:val="110"/>
        </w:rPr>
        <w:t>.*</w:t>
      </w:r>
      <w:r>
        <w:rPr>
          <w:color w:val="333333"/>
          <w:w w:val="110"/>
        </w:rPr>
        <w:t xml:space="preserve">. It also applies further customization by using </w:t>
      </w:r>
      <w:r>
        <w:rPr>
          <w:rFonts w:ascii="MS Gothic"/>
          <w:color w:val="B02045"/>
          <w:w w:val="110"/>
        </w:rPr>
        <w:t xml:space="preserve">CodecCustomizer </w:t>
      </w:r>
      <w:r>
        <w:rPr>
          <w:color w:val="333333"/>
          <w:w w:val="110"/>
        </w:rPr>
        <w:t xml:space="preserve">instances. For example, </w:t>
      </w:r>
      <w:proofErr w:type="gramStart"/>
      <w:r>
        <w:rPr>
          <w:rFonts w:ascii="MS Gothic"/>
          <w:color w:val="B02045"/>
          <w:w w:val="110"/>
        </w:rPr>
        <w:t>spring.jackson</w:t>
      </w:r>
      <w:proofErr w:type="gramEnd"/>
      <w:r>
        <w:rPr>
          <w:rFonts w:ascii="MS Gothic"/>
          <w:color w:val="B02045"/>
          <w:w w:val="110"/>
        </w:rPr>
        <w:t xml:space="preserve">.* </w:t>
      </w:r>
      <w:r>
        <w:rPr>
          <w:color w:val="333333"/>
          <w:w w:val="110"/>
        </w:rPr>
        <w:t>configuration keys are applied to the Jackson codec.</w:t>
      </w:r>
    </w:p>
    <w:p w14:paraId="0F5297C2" w14:textId="77777777" w:rsidR="00A720EB" w:rsidRDefault="00A720EB">
      <w:pPr>
        <w:pStyle w:val="a3"/>
        <w:spacing w:before="7"/>
      </w:pPr>
    </w:p>
    <w:p w14:paraId="6E94B58F" w14:textId="77777777" w:rsidR="00A720EB" w:rsidRDefault="0030286B">
      <w:pPr>
        <w:pStyle w:val="a3"/>
        <w:spacing w:line="290" w:lineRule="auto"/>
        <w:ind w:left="124" w:right="123"/>
        <w:jc w:val="both"/>
      </w:pPr>
      <w:r>
        <w:rPr>
          <w:color w:val="333333"/>
          <w:w w:val="110"/>
        </w:rPr>
        <w:t xml:space="preserve">If you need to add or customize codecs, you can create a custom </w:t>
      </w:r>
      <w:r>
        <w:rPr>
          <w:rFonts w:ascii="MS Gothic"/>
          <w:color w:val="B02045"/>
          <w:w w:val="110"/>
        </w:rPr>
        <w:t xml:space="preserve">CodecCustomizer </w:t>
      </w:r>
      <w:r>
        <w:rPr>
          <w:color w:val="333333"/>
          <w:w w:val="110"/>
        </w:rPr>
        <w:t>component, as shown in the following example:</w:t>
      </w:r>
    </w:p>
    <w:p w14:paraId="5A0615C0" w14:textId="77777777" w:rsidR="00A720EB" w:rsidRDefault="00E10349">
      <w:pPr>
        <w:pStyle w:val="a3"/>
        <w:spacing w:before="7"/>
        <w:rPr>
          <w:sz w:val="14"/>
        </w:rPr>
      </w:pPr>
      <w:r>
        <w:pict w14:anchorId="4FECB25A">
          <v:group id="_x0000_s4312" style="position:absolute;margin-left:47.85pt;margin-top:10.55pt;width:499.55pt;height:214.4pt;z-index:-15532032;mso-wrap-distance-left:0;mso-wrap-distance-right:0;mso-position-horizontal-relative:page" coordorigin="957,211" coordsize="9991,4288">
            <v:shape id="_x0000_s4315" style="position:absolute;left:964;top:218;width:9976;height:4273" coordorigin="965,219" coordsize="9976,4273" path="m10861,219r-9816,l1014,225r-26,17l971,268r-6,31l965,4411r6,31l988,4468r26,17l1045,4491r9816,l10892,4485r25,-17l10935,4442r6,-31l10941,299r-6,-31l10917,242r-25,-17l10861,219xe" fillcolor="#f5f5f5" stroked="f">
              <v:path arrowok="t"/>
            </v:shape>
            <v:shape id="_x0000_s4314" style="position:absolute;left:964;top:218;width:9976;height:4273" coordorigin="965,219" coordsize="9976,4273" path="m1045,219r9816,l10892,225r25,17l10935,268r6,31l10941,4411r-6,31l10917,4468r-25,17l10861,4491r-9816,l1014,4485r-26,-17l971,4442r-6,-31l965,299r6,-31l988,242r26,-17l1045,219xe" filled="f" strokecolor="#ccc">
              <v:path arrowok="t"/>
            </v:shape>
            <v:shape id="_x0000_s4313" type="#_x0000_t202" style="position:absolute;left:984;top:234;width:9938;height:4242" filled="f" stroked="f">
              <v:textbox inset="0,0,0,0">
                <w:txbxContent>
                  <w:p w14:paraId="6B01F869"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org.springframework.boot.web.codec</w:t>
                    </w:r>
                    <w:proofErr w:type="gramEnd"/>
                    <w:r>
                      <w:rPr>
                        <w:rFonts w:ascii="MS Gothic"/>
                        <w:color w:val="333333"/>
                      </w:rPr>
                      <w:t>.CodecCustomizer;</w:t>
                    </w:r>
                  </w:p>
                  <w:p w14:paraId="45A3D41F" w14:textId="77777777" w:rsidR="00711A16" w:rsidRDefault="00711A16">
                    <w:pPr>
                      <w:rPr>
                        <w:rFonts w:ascii="MS Gothic"/>
                        <w:sz w:val="24"/>
                      </w:rPr>
                    </w:pPr>
                  </w:p>
                  <w:p w14:paraId="390D8C65" w14:textId="77777777" w:rsidR="00711A16" w:rsidRDefault="00711A16">
                    <w:pPr>
                      <w:spacing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public class MyConfiguration {</w:t>
                    </w:r>
                  </w:p>
                  <w:p w14:paraId="57CFBE14" w14:textId="77777777" w:rsidR="00711A16" w:rsidRDefault="00711A16">
                    <w:pPr>
                      <w:spacing w:before="10"/>
                      <w:rPr>
                        <w:rFonts w:ascii="MS Gothic"/>
                      </w:rPr>
                    </w:pPr>
                  </w:p>
                  <w:p w14:paraId="57BBF8BB" w14:textId="77777777" w:rsidR="00711A16" w:rsidRDefault="00711A16">
                    <w:pPr>
                      <w:spacing w:before="1"/>
                      <w:ind w:left="640"/>
                      <w:rPr>
                        <w:rFonts w:ascii="MS Gothic"/>
                      </w:rPr>
                    </w:pPr>
                    <w:r>
                      <w:rPr>
                        <w:rFonts w:ascii="MS Gothic"/>
                        <w:color w:val="333333"/>
                      </w:rPr>
                      <w:t>@Bean</w:t>
                    </w:r>
                  </w:p>
                  <w:p w14:paraId="6141F440" w14:textId="77777777" w:rsidR="00711A16" w:rsidRDefault="00711A16">
                    <w:pPr>
                      <w:spacing w:before="12" w:line="252" w:lineRule="auto"/>
                      <w:ind w:left="1080" w:right="4438" w:hanging="440"/>
                      <w:rPr>
                        <w:rFonts w:ascii="MS Gothic"/>
                      </w:rPr>
                    </w:pPr>
                    <w:r>
                      <w:rPr>
                        <w:rFonts w:ascii="MS Gothic"/>
                        <w:color w:val="333333"/>
                      </w:rPr>
                      <w:t xml:space="preserve">public CodecCustomizer </w:t>
                    </w:r>
                    <w:proofErr w:type="gramStart"/>
                    <w:r>
                      <w:rPr>
                        <w:rFonts w:ascii="MS Gothic"/>
                        <w:color w:val="333333"/>
                      </w:rPr>
                      <w:t>myCodecCustomizer(</w:t>
                    </w:r>
                    <w:proofErr w:type="gramEnd"/>
                    <w:r>
                      <w:rPr>
                        <w:rFonts w:ascii="MS Gothic"/>
                        <w:color w:val="333333"/>
                      </w:rPr>
                      <w:t>) { return codecConfigurer -&gt; {</w:t>
                    </w:r>
                  </w:p>
                  <w:p w14:paraId="3A441EAE" w14:textId="77777777" w:rsidR="00711A16" w:rsidRDefault="00711A16">
                    <w:pPr>
                      <w:spacing w:line="280" w:lineRule="exact"/>
                      <w:ind w:left="1520"/>
                      <w:rPr>
                        <w:rFonts w:ascii="MS Gothic"/>
                      </w:rPr>
                    </w:pPr>
                    <w:r>
                      <w:rPr>
                        <w:rFonts w:ascii="MS Gothic"/>
                        <w:color w:val="333333"/>
                      </w:rPr>
                      <w:t>// ...</w:t>
                    </w:r>
                  </w:p>
                  <w:p w14:paraId="6259D479" w14:textId="77777777" w:rsidR="00711A16" w:rsidRDefault="00711A16">
                    <w:pPr>
                      <w:spacing w:before="13"/>
                      <w:ind w:left="1080"/>
                      <w:rPr>
                        <w:rFonts w:ascii="MS Gothic"/>
                      </w:rPr>
                    </w:pPr>
                    <w:r>
                      <w:rPr>
                        <w:rFonts w:ascii="MS Gothic"/>
                        <w:color w:val="333333"/>
                      </w:rPr>
                      <w:t>};</w:t>
                    </w:r>
                  </w:p>
                  <w:p w14:paraId="2B3908F0" w14:textId="77777777" w:rsidR="00711A16" w:rsidRDefault="00711A16">
                    <w:pPr>
                      <w:spacing w:before="13"/>
                      <w:ind w:left="640"/>
                      <w:rPr>
                        <w:rFonts w:ascii="MS Gothic"/>
                      </w:rPr>
                    </w:pPr>
                    <w:r>
                      <w:rPr>
                        <w:rFonts w:ascii="MS Gothic"/>
                        <w:color w:val="333333"/>
                      </w:rPr>
                      <w:t>}</w:t>
                    </w:r>
                  </w:p>
                  <w:p w14:paraId="4618B701" w14:textId="77777777" w:rsidR="00711A16" w:rsidRDefault="00711A16">
                    <w:pPr>
                      <w:rPr>
                        <w:rFonts w:ascii="MS Gothic"/>
                        <w:sz w:val="24"/>
                      </w:rPr>
                    </w:pPr>
                  </w:p>
                  <w:p w14:paraId="3D3176B5"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367D48AF" w14:textId="77777777" w:rsidR="00A720EB" w:rsidRDefault="00A720EB">
      <w:pPr>
        <w:pStyle w:val="a3"/>
        <w:rPr>
          <w:sz w:val="10"/>
        </w:rPr>
      </w:pPr>
    </w:p>
    <w:p w14:paraId="7F5A248E" w14:textId="77777777" w:rsidR="00A720EB" w:rsidRDefault="0030286B">
      <w:pPr>
        <w:pStyle w:val="a3"/>
        <w:spacing w:before="125"/>
        <w:ind w:left="124"/>
      </w:pPr>
      <w:r>
        <w:rPr>
          <w:color w:val="333333"/>
          <w:w w:val="110"/>
        </w:rPr>
        <w:t xml:space="preserve">You can also leverage </w:t>
      </w:r>
      <w:hyperlink w:anchor="_bookmark150" w:history="1">
        <w:r>
          <w:rPr>
            <w:color w:val="418BCA"/>
            <w:w w:val="110"/>
          </w:rPr>
          <w:t>Boot’s custom JSON serializers and deserializers</w:t>
        </w:r>
      </w:hyperlink>
      <w:r>
        <w:rPr>
          <w:color w:val="333333"/>
          <w:w w:val="110"/>
        </w:rPr>
        <w:t>.</w:t>
      </w:r>
    </w:p>
    <w:p w14:paraId="40396AA0" w14:textId="77777777" w:rsidR="00A720EB" w:rsidRDefault="00A720EB">
      <w:pPr>
        <w:sectPr w:rsidR="00A720EB">
          <w:pgSz w:w="11910" w:h="16840"/>
          <w:pgMar w:top="620" w:right="840" w:bottom="520" w:left="840" w:header="0" w:footer="323" w:gutter="0"/>
          <w:cols w:space="720"/>
        </w:sectPr>
      </w:pPr>
    </w:p>
    <w:p w14:paraId="75BC4C85" w14:textId="77777777" w:rsidR="00A720EB" w:rsidRDefault="0030286B">
      <w:pPr>
        <w:pStyle w:val="4"/>
        <w:spacing w:before="86"/>
      </w:pPr>
      <w:bookmarkStart w:id="261" w:name="Static_Content"/>
      <w:bookmarkEnd w:id="261"/>
      <w:r>
        <w:rPr>
          <w:color w:val="333333"/>
          <w:w w:val="110"/>
        </w:rPr>
        <w:lastRenderedPageBreak/>
        <w:t>Static Content</w:t>
      </w:r>
    </w:p>
    <w:p w14:paraId="53D086B2" w14:textId="77777777" w:rsidR="00A720EB" w:rsidRDefault="0030286B">
      <w:pPr>
        <w:pStyle w:val="a3"/>
        <w:spacing w:before="243"/>
        <w:ind w:left="124"/>
        <w:jc w:val="both"/>
      </w:pPr>
      <w:r>
        <w:rPr>
          <w:color w:val="333333"/>
          <w:w w:val="110"/>
        </w:rPr>
        <w:t xml:space="preserve">By default, Spring Boot serves static content from a directory called </w:t>
      </w:r>
      <w:r>
        <w:rPr>
          <w:rFonts w:ascii="MS Gothic"/>
          <w:color w:val="B02045"/>
          <w:w w:val="110"/>
        </w:rPr>
        <w:t xml:space="preserve">/static </w:t>
      </w:r>
      <w:r>
        <w:rPr>
          <w:color w:val="333333"/>
          <w:w w:val="110"/>
        </w:rPr>
        <w:t xml:space="preserve">(or </w:t>
      </w:r>
      <w:r>
        <w:rPr>
          <w:rFonts w:ascii="MS Gothic"/>
          <w:color w:val="B02045"/>
          <w:w w:val="110"/>
        </w:rPr>
        <w:t xml:space="preserve">/public </w:t>
      </w:r>
      <w:r>
        <w:rPr>
          <w:color w:val="333333"/>
          <w:w w:val="110"/>
        </w:rPr>
        <w:t>or</w:t>
      </w:r>
    </w:p>
    <w:p w14:paraId="01CC4897" w14:textId="77777777" w:rsidR="00A720EB" w:rsidRDefault="0030286B">
      <w:pPr>
        <w:pStyle w:val="a3"/>
        <w:spacing w:before="47" w:line="280" w:lineRule="auto"/>
        <w:ind w:left="124" w:right="123"/>
        <w:jc w:val="both"/>
      </w:pPr>
      <w:r>
        <w:rPr>
          <w:rFonts w:ascii="MS Gothic"/>
          <w:color w:val="B02045"/>
          <w:w w:val="110"/>
        </w:rPr>
        <w:t xml:space="preserve">/resources </w:t>
      </w:r>
      <w:r>
        <w:rPr>
          <w:color w:val="333333"/>
          <w:w w:val="110"/>
        </w:rPr>
        <w:t xml:space="preserve">or </w:t>
      </w:r>
      <w:r>
        <w:rPr>
          <w:rFonts w:ascii="MS Gothic"/>
          <w:color w:val="B02045"/>
          <w:w w:val="110"/>
        </w:rPr>
        <w:t>/META-INF/resources</w:t>
      </w:r>
      <w:r>
        <w:rPr>
          <w:color w:val="333333"/>
          <w:w w:val="110"/>
        </w:rPr>
        <w:t xml:space="preserve">) in the classpath. It uses the </w:t>
      </w:r>
      <w:r>
        <w:rPr>
          <w:rFonts w:ascii="MS Gothic"/>
          <w:color w:val="B02045"/>
          <w:w w:val="110"/>
        </w:rPr>
        <w:t xml:space="preserve">ResourceWebHandler </w:t>
      </w:r>
      <w:r>
        <w:rPr>
          <w:color w:val="333333"/>
          <w:w w:val="110"/>
        </w:rPr>
        <w:t xml:space="preserve">from Spring </w:t>
      </w:r>
      <w:r>
        <w:rPr>
          <w:color w:val="333333"/>
          <w:spacing w:val="-3"/>
          <w:w w:val="110"/>
        </w:rPr>
        <w:t xml:space="preserve">WebFlux </w:t>
      </w:r>
      <w:r>
        <w:rPr>
          <w:color w:val="333333"/>
          <w:w w:val="110"/>
        </w:rPr>
        <w:t xml:space="preserve">so that you can modify that behavior </w:t>
      </w:r>
      <w:r>
        <w:rPr>
          <w:color w:val="333333"/>
          <w:spacing w:val="-3"/>
          <w:w w:val="110"/>
        </w:rPr>
        <w:t xml:space="preserve">by </w:t>
      </w:r>
      <w:r>
        <w:rPr>
          <w:color w:val="333333"/>
          <w:w w:val="110"/>
        </w:rPr>
        <w:t xml:space="preserve">adding your own </w:t>
      </w:r>
      <w:r>
        <w:rPr>
          <w:rFonts w:ascii="MS Gothic"/>
          <w:color w:val="B02045"/>
          <w:w w:val="110"/>
        </w:rPr>
        <w:t xml:space="preserve">WebFluxConfigurer </w:t>
      </w:r>
      <w:r>
        <w:rPr>
          <w:color w:val="333333"/>
          <w:w w:val="110"/>
        </w:rPr>
        <w:t xml:space="preserve">and overriding the </w:t>
      </w:r>
      <w:r>
        <w:rPr>
          <w:rFonts w:ascii="MS Gothic"/>
          <w:color w:val="B02045"/>
          <w:w w:val="110"/>
        </w:rPr>
        <w:t>addResourceHandlers</w:t>
      </w:r>
      <w:r>
        <w:rPr>
          <w:rFonts w:ascii="MS Gothic"/>
          <w:color w:val="B02045"/>
          <w:spacing w:val="-61"/>
          <w:w w:val="110"/>
        </w:rPr>
        <w:t xml:space="preserve"> </w:t>
      </w:r>
      <w:r>
        <w:rPr>
          <w:color w:val="333333"/>
          <w:w w:val="110"/>
        </w:rPr>
        <w:t>method.</w:t>
      </w:r>
    </w:p>
    <w:p w14:paraId="150967E1" w14:textId="77777777" w:rsidR="00A720EB" w:rsidRDefault="0030286B">
      <w:pPr>
        <w:pStyle w:val="a3"/>
        <w:spacing w:before="242" w:line="285" w:lineRule="auto"/>
        <w:ind w:left="124" w:right="122"/>
        <w:jc w:val="both"/>
      </w:pPr>
      <w:r>
        <w:rPr>
          <w:color w:val="333333"/>
          <w:w w:val="110"/>
        </w:rPr>
        <w:t xml:space="preserve">By default, resources are mapped on </w:t>
      </w:r>
      <w:r>
        <w:rPr>
          <w:rFonts w:ascii="MS Gothic"/>
          <w:color w:val="B02045"/>
          <w:w w:val="110"/>
        </w:rPr>
        <w:t>/**</w:t>
      </w:r>
      <w:r>
        <w:rPr>
          <w:color w:val="333333"/>
          <w:w w:val="110"/>
        </w:rPr>
        <w:t xml:space="preserve">, but you can tune that by setting the </w:t>
      </w:r>
      <w:proofErr w:type="gramStart"/>
      <w:r>
        <w:rPr>
          <w:rFonts w:ascii="MS Gothic"/>
          <w:color w:val="B02045"/>
          <w:w w:val="105"/>
        </w:rPr>
        <w:t>spring.webflux</w:t>
      </w:r>
      <w:proofErr w:type="gramEnd"/>
      <w:r>
        <w:rPr>
          <w:rFonts w:ascii="MS Gothic"/>
          <w:color w:val="B02045"/>
          <w:w w:val="105"/>
        </w:rPr>
        <w:t xml:space="preserve">.static-path-pattern </w:t>
      </w:r>
      <w:r>
        <w:rPr>
          <w:color w:val="333333"/>
          <w:w w:val="105"/>
        </w:rPr>
        <w:t xml:space="preserve">property. For instance, relocating all resources to </w:t>
      </w:r>
      <w:r>
        <w:rPr>
          <w:rFonts w:ascii="MS Gothic"/>
          <w:color w:val="B02045"/>
          <w:w w:val="105"/>
        </w:rPr>
        <w:t xml:space="preserve">/resources/** </w:t>
      </w:r>
      <w:r>
        <w:rPr>
          <w:color w:val="333333"/>
          <w:w w:val="110"/>
        </w:rPr>
        <w:t>can be achieved as follows:</w:t>
      </w:r>
    </w:p>
    <w:p w14:paraId="24E2DDDC" w14:textId="77777777" w:rsidR="00A720EB" w:rsidRDefault="00E10349">
      <w:pPr>
        <w:pStyle w:val="a3"/>
        <w:spacing w:before="2"/>
        <w:rPr>
          <w:sz w:val="15"/>
        </w:rPr>
      </w:pPr>
      <w:r>
        <w:pict w14:anchorId="4683101F">
          <v:group id="_x0000_s4308" style="position:absolute;margin-left:47.85pt;margin-top:10.85pt;width:499.55pt;height:37.5pt;z-index:-15531520;mso-wrap-distance-left:0;mso-wrap-distance-right:0;mso-position-horizontal-relative:page" coordorigin="957,217" coordsize="9991,750">
            <v:shape id="_x0000_s4311" style="position:absolute;left:964;top:224;width:9976;height:735" coordorigin="965,225" coordsize="9976,735" path="m10861,225r-9816,l1014,231r-26,17l971,274r-6,31l965,880r6,31l988,936r26,17l1045,960r9816,l10892,953r25,-17l10935,911r6,-31l10941,305r-6,-31l10917,248r-25,-17l10861,225xe" fillcolor="#f5f5f5" stroked="f">
              <v:path arrowok="t"/>
            </v:shape>
            <v:shape id="_x0000_s4310" style="position:absolute;left:964;top:224;width:9976;height:735" coordorigin="965,225" coordsize="9976,735" path="m1045,225r9816,l10892,231r25,17l10935,274r6,31l10941,880r-6,31l10917,936r-25,17l10861,960r-9816,l1014,953,988,936,971,911r-6,-31l965,305r6,-31l988,248r26,-17l1045,225xe" filled="f" strokecolor="#ccc">
              <v:path arrowok="t"/>
            </v:shape>
            <v:shape id="_x0000_s4309" type="#_x0000_t202" style="position:absolute;left:984;top:240;width:9938;height:704" filled="f" stroked="f">
              <v:textbox inset="0,0,0,0">
                <w:txbxContent>
                  <w:p w14:paraId="00EEDB44" w14:textId="77777777" w:rsidR="00711A16" w:rsidRDefault="00711A16">
                    <w:pPr>
                      <w:spacing w:before="221"/>
                      <w:ind w:left="200"/>
                      <w:rPr>
                        <w:rFonts w:ascii="MS Gothic"/>
                      </w:rPr>
                    </w:pPr>
                    <w:proofErr w:type="gramStart"/>
                    <w:r>
                      <w:rPr>
                        <w:rFonts w:ascii="MS Gothic"/>
                        <w:color w:val="333333"/>
                      </w:rPr>
                      <w:t>spring.webflux</w:t>
                    </w:r>
                    <w:proofErr w:type="gramEnd"/>
                    <w:r>
                      <w:rPr>
                        <w:rFonts w:ascii="MS Gothic"/>
                        <w:color w:val="333333"/>
                      </w:rPr>
                      <w:t>.static-path-pattern=/resources/**</w:t>
                    </w:r>
                  </w:p>
                </w:txbxContent>
              </v:textbox>
            </v:shape>
            <w10:wrap type="topAndBottom" anchorx="page"/>
          </v:group>
        </w:pict>
      </w:r>
    </w:p>
    <w:p w14:paraId="2E661777" w14:textId="77777777" w:rsidR="00A720EB" w:rsidRDefault="00A720EB">
      <w:pPr>
        <w:pStyle w:val="a3"/>
        <w:spacing w:before="11"/>
        <w:rPr>
          <w:sz w:val="9"/>
        </w:rPr>
      </w:pPr>
    </w:p>
    <w:p w14:paraId="1D9F0234" w14:textId="77777777" w:rsidR="00A720EB" w:rsidRDefault="0030286B">
      <w:pPr>
        <w:pStyle w:val="a3"/>
        <w:spacing w:before="115" w:line="292" w:lineRule="auto"/>
        <w:ind w:left="124" w:right="122"/>
        <w:jc w:val="both"/>
      </w:pPr>
      <w:r>
        <w:rPr>
          <w:color w:val="333333"/>
          <w:spacing w:val="-6"/>
          <w:w w:val="110"/>
        </w:rPr>
        <w:t xml:space="preserve">You </w:t>
      </w:r>
      <w:r>
        <w:rPr>
          <w:color w:val="333333"/>
          <w:w w:val="110"/>
        </w:rPr>
        <w:t xml:space="preserve">can also customize the static resource locations </w:t>
      </w:r>
      <w:r>
        <w:rPr>
          <w:color w:val="333333"/>
          <w:spacing w:val="-3"/>
          <w:w w:val="110"/>
        </w:rPr>
        <w:t xml:space="preserve">by </w:t>
      </w:r>
      <w:r>
        <w:rPr>
          <w:color w:val="333333"/>
          <w:w w:val="110"/>
        </w:rPr>
        <w:t xml:space="preserve">using </w:t>
      </w:r>
      <w:r>
        <w:rPr>
          <w:rFonts w:ascii="MS Gothic"/>
          <w:color w:val="B02045"/>
          <w:w w:val="110"/>
        </w:rPr>
        <w:t>spring.</w:t>
      </w:r>
      <w:proofErr w:type="gramStart"/>
      <w:r>
        <w:rPr>
          <w:rFonts w:ascii="MS Gothic"/>
          <w:color w:val="B02045"/>
          <w:w w:val="110"/>
        </w:rPr>
        <w:t>resources.static</w:t>
      </w:r>
      <w:proofErr w:type="gramEnd"/>
      <w:r>
        <w:rPr>
          <w:rFonts w:ascii="MS Gothic"/>
          <w:color w:val="B02045"/>
          <w:w w:val="110"/>
        </w:rPr>
        <w:t>-locations</w:t>
      </w:r>
      <w:r>
        <w:rPr>
          <w:color w:val="333333"/>
          <w:w w:val="110"/>
        </w:rPr>
        <w:t xml:space="preserve">. Doing so replaces the default values with a list of directory locations. If you do so, the default welcome page detection switches to your custom locations. So, if there is an </w:t>
      </w:r>
      <w:r>
        <w:rPr>
          <w:rFonts w:ascii="MS Gothic"/>
          <w:color w:val="B02045"/>
          <w:w w:val="110"/>
        </w:rPr>
        <w:t xml:space="preserve">index.html </w:t>
      </w:r>
      <w:r>
        <w:rPr>
          <w:color w:val="333333"/>
          <w:w w:val="110"/>
        </w:rPr>
        <w:t>in any of your locations on startup, it is the home page of the</w:t>
      </w:r>
      <w:r>
        <w:rPr>
          <w:color w:val="333333"/>
          <w:spacing w:val="36"/>
          <w:w w:val="110"/>
        </w:rPr>
        <w:t xml:space="preserve"> </w:t>
      </w:r>
      <w:r>
        <w:rPr>
          <w:color w:val="333333"/>
          <w:w w:val="110"/>
        </w:rPr>
        <w:t>application.</w:t>
      </w:r>
    </w:p>
    <w:p w14:paraId="782453C9" w14:textId="77777777" w:rsidR="00A720EB" w:rsidRDefault="00A720EB">
      <w:pPr>
        <w:pStyle w:val="a3"/>
        <w:spacing w:before="10"/>
      </w:pPr>
    </w:p>
    <w:p w14:paraId="24AF507D" w14:textId="77777777" w:rsidR="00A720EB" w:rsidRDefault="0030286B">
      <w:pPr>
        <w:pStyle w:val="a3"/>
        <w:spacing w:line="295" w:lineRule="auto"/>
        <w:ind w:left="124" w:right="124"/>
        <w:jc w:val="both"/>
      </w:pPr>
      <w:r>
        <w:rPr>
          <w:color w:val="333333"/>
          <w:w w:val="110"/>
        </w:rPr>
        <w:t xml:space="preserve">In addition to the “standard” static resource locations listed earlier, a special case is made for </w:t>
      </w:r>
      <w:hyperlink r:id="rId159">
        <w:r>
          <w:rPr>
            <w:color w:val="418BCA"/>
            <w:spacing w:val="-3"/>
            <w:w w:val="110"/>
          </w:rPr>
          <w:t xml:space="preserve">Webjars </w:t>
        </w:r>
        <w:r>
          <w:rPr>
            <w:color w:val="418BCA"/>
            <w:w w:val="110"/>
          </w:rPr>
          <w:t>content</w:t>
        </w:r>
      </w:hyperlink>
      <w:r>
        <w:rPr>
          <w:color w:val="333333"/>
          <w:w w:val="110"/>
        </w:rPr>
        <w:t xml:space="preserve">. Any resources with a path in </w:t>
      </w:r>
      <w:r>
        <w:rPr>
          <w:rFonts w:ascii="MS Gothic" w:hAnsi="MS Gothic"/>
          <w:color w:val="B02045"/>
          <w:w w:val="110"/>
        </w:rPr>
        <w:t xml:space="preserve">/webjars/** </w:t>
      </w:r>
      <w:r>
        <w:rPr>
          <w:color w:val="333333"/>
          <w:w w:val="110"/>
        </w:rPr>
        <w:t xml:space="preserve">are served from jar files if they are packaged in the </w:t>
      </w:r>
      <w:r>
        <w:rPr>
          <w:color w:val="333333"/>
          <w:spacing w:val="-3"/>
          <w:w w:val="110"/>
        </w:rPr>
        <w:t>Webjars</w:t>
      </w:r>
      <w:r>
        <w:rPr>
          <w:color w:val="333333"/>
          <w:spacing w:val="12"/>
          <w:w w:val="110"/>
        </w:rPr>
        <w:t xml:space="preserve"> </w:t>
      </w:r>
      <w:r>
        <w:rPr>
          <w:color w:val="333333"/>
          <w:w w:val="110"/>
        </w:rPr>
        <w:t>format.</w:t>
      </w:r>
    </w:p>
    <w:p w14:paraId="74AF98A9" w14:textId="77777777" w:rsidR="00A720EB" w:rsidRDefault="00A720EB">
      <w:pPr>
        <w:pStyle w:val="a3"/>
        <w:spacing w:before="2"/>
        <w:rPr>
          <w:sz w:val="28"/>
        </w:rPr>
      </w:pPr>
    </w:p>
    <w:p w14:paraId="0F806FA7" w14:textId="77777777" w:rsidR="00A720EB" w:rsidRDefault="00E10349">
      <w:pPr>
        <w:pStyle w:val="a3"/>
        <w:spacing w:line="297" w:lineRule="auto"/>
        <w:ind w:left="1564" w:right="462"/>
      </w:pPr>
      <w:r>
        <w:pict w14:anchorId="2D0E3E8B">
          <v:line id="_x0000_s4307" style="position:absolute;left:0;text-align:left;z-index:15926272;mso-position-horizontal-relative:page" from="108.25pt,-6pt" to="108.25pt,33.55pt" strokecolor="#ededed" strokeweight=".5pt">
            <w10:wrap anchorx="page"/>
          </v:line>
        </w:pict>
      </w:r>
      <w:r w:rsidR="0030286B">
        <w:rPr>
          <w:noProof/>
        </w:rPr>
        <w:drawing>
          <wp:anchor distT="0" distB="0" distL="0" distR="0" simplePos="0" relativeHeight="15926784" behindDoc="0" locked="0" layoutInCell="1" allowOverlap="1" wp14:anchorId="168226B3" wp14:editId="1A137074">
            <wp:simplePos x="0" y="0"/>
            <wp:positionH relativeFrom="page">
              <wp:posOffset>888949</wp:posOffset>
            </wp:positionH>
            <wp:positionV relativeFrom="paragraph">
              <wp:posOffset>22771</wp:posOffset>
            </wp:positionV>
            <wp:extent cx="209550" cy="304800"/>
            <wp:effectExtent l="0" t="0" r="0" b="0"/>
            <wp:wrapNone/>
            <wp:docPr id="24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Spring </w:t>
      </w:r>
      <w:r w:rsidR="0030286B">
        <w:rPr>
          <w:color w:val="333333"/>
          <w:spacing w:val="-3"/>
          <w:w w:val="110"/>
        </w:rPr>
        <w:t xml:space="preserve">WebFlux </w:t>
      </w:r>
      <w:r w:rsidR="0030286B">
        <w:rPr>
          <w:color w:val="333333"/>
          <w:w w:val="110"/>
        </w:rPr>
        <w:t xml:space="preserve">applications do not strictly depend on the Servlet API, so they cannot be deployed as war files and do not use the </w:t>
      </w:r>
      <w:r w:rsidR="0030286B">
        <w:rPr>
          <w:rFonts w:ascii="MS Gothic"/>
          <w:color w:val="B02045"/>
          <w:w w:val="110"/>
        </w:rPr>
        <w:t>src/main/webapp</w:t>
      </w:r>
      <w:r w:rsidR="0030286B">
        <w:rPr>
          <w:rFonts w:ascii="MS Gothic"/>
          <w:color w:val="B02045"/>
          <w:spacing w:val="-85"/>
          <w:w w:val="110"/>
        </w:rPr>
        <w:t xml:space="preserve"> </w:t>
      </w:r>
      <w:r w:rsidR="0030286B">
        <w:rPr>
          <w:color w:val="333333"/>
          <w:spacing w:val="-3"/>
          <w:w w:val="110"/>
        </w:rPr>
        <w:t>directory.</w:t>
      </w:r>
    </w:p>
    <w:p w14:paraId="4D480EA4" w14:textId="77777777" w:rsidR="00A720EB" w:rsidRDefault="00A720EB">
      <w:pPr>
        <w:pStyle w:val="a3"/>
        <w:spacing w:before="9"/>
        <w:rPr>
          <w:sz w:val="31"/>
        </w:rPr>
      </w:pPr>
    </w:p>
    <w:p w14:paraId="60669386" w14:textId="77777777" w:rsidR="00A720EB" w:rsidRDefault="0030286B">
      <w:pPr>
        <w:pStyle w:val="4"/>
      </w:pPr>
      <w:bookmarkStart w:id="262" w:name="Welcome_Page"/>
      <w:bookmarkEnd w:id="262"/>
      <w:r>
        <w:rPr>
          <w:color w:val="333333"/>
          <w:w w:val="110"/>
        </w:rPr>
        <w:t>Welcome Page</w:t>
      </w:r>
    </w:p>
    <w:p w14:paraId="5A3675BD" w14:textId="77777777" w:rsidR="00A720EB" w:rsidRDefault="0030286B">
      <w:pPr>
        <w:pStyle w:val="a3"/>
        <w:spacing w:before="244" w:line="285" w:lineRule="auto"/>
        <w:ind w:left="124" w:right="122"/>
        <w:jc w:val="both"/>
      </w:pPr>
      <w:r>
        <w:rPr>
          <w:color w:val="333333"/>
          <w:w w:val="110"/>
        </w:rPr>
        <w:t xml:space="preserve">Spring Boot supports both static and templated welcome pages. It first looks for an </w:t>
      </w:r>
      <w:r>
        <w:rPr>
          <w:rFonts w:ascii="MS Gothic"/>
          <w:color w:val="B02045"/>
          <w:w w:val="110"/>
        </w:rPr>
        <w:t>index.html</w:t>
      </w:r>
      <w:r>
        <w:rPr>
          <w:rFonts w:ascii="MS Gothic"/>
          <w:color w:val="B02045"/>
          <w:spacing w:val="-86"/>
          <w:w w:val="110"/>
        </w:rPr>
        <w:t xml:space="preserve"> </w:t>
      </w:r>
      <w:r>
        <w:rPr>
          <w:color w:val="333333"/>
          <w:w w:val="110"/>
        </w:rPr>
        <w:t xml:space="preserve">file in the configured static content locations. If one is not found, it then looks for an </w:t>
      </w:r>
      <w:r>
        <w:rPr>
          <w:rFonts w:ascii="MS Gothic"/>
          <w:color w:val="B02045"/>
          <w:w w:val="110"/>
        </w:rPr>
        <w:t xml:space="preserve">index </w:t>
      </w:r>
      <w:r>
        <w:rPr>
          <w:color w:val="333333"/>
          <w:w w:val="110"/>
        </w:rPr>
        <w:t>template. If either is found, it is automatically used as the welcome page of the application.</w:t>
      </w:r>
    </w:p>
    <w:p w14:paraId="764FA960" w14:textId="77777777" w:rsidR="00A720EB" w:rsidRDefault="00A720EB">
      <w:pPr>
        <w:pStyle w:val="a3"/>
        <w:spacing w:before="7"/>
        <w:rPr>
          <w:sz w:val="27"/>
        </w:rPr>
      </w:pPr>
    </w:p>
    <w:p w14:paraId="6921C048" w14:textId="77777777" w:rsidR="00A720EB" w:rsidRDefault="0030286B">
      <w:pPr>
        <w:pStyle w:val="4"/>
      </w:pPr>
      <w:bookmarkStart w:id="263" w:name="Template_Engines"/>
      <w:bookmarkEnd w:id="263"/>
      <w:r>
        <w:rPr>
          <w:color w:val="333333"/>
          <w:w w:val="110"/>
        </w:rPr>
        <w:t>Template Engines</w:t>
      </w:r>
    </w:p>
    <w:p w14:paraId="4EDA8676" w14:textId="77777777" w:rsidR="00A720EB" w:rsidRDefault="00A720EB">
      <w:pPr>
        <w:pStyle w:val="a3"/>
        <w:spacing w:before="11"/>
        <w:rPr>
          <w:rFonts w:ascii="Palatino Linotype"/>
          <w:b/>
          <w:sz w:val="18"/>
        </w:rPr>
      </w:pPr>
    </w:p>
    <w:p w14:paraId="306543D2" w14:textId="77777777" w:rsidR="00A720EB" w:rsidRDefault="0030286B">
      <w:pPr>
        <w:pStyle w:val="a3"/>
        <w:spacing w:line="307" w:lineRule="auto"/>
        <w:ind w:left="124" w:right="128"/>
        <w:jc w:val="both"/>
      </w:pPr>
      <w:r>
        <w:rPr>
          <w:color w:val="333333"/>
          <w:w w:val="110"/>
        </w:rPr>
        <w:t xml:space="preserve">As well as REST web services, you can also use Spring </w:t>
      </w:r>
      <w:r>
        <w:rPr>
          <w:color w:val="333333"/>
          <w:spacing w:val="-3"/>
          <w:w w:val="110"/>
        </w:rPr>
        <w:t xml:space="preserve">WebFlux </w:t>
      </w:r>
      <w:r>
        <w:rPr>
          <w:color w:val="333333"/>
          <w:w w:val="110"/>
        </w:rPr>
        <w:t xml:space="preserve">to serve dynamic HTML content. Spring </w:t>
      </w:r>
      <w:proofErr w:type="gramStart"/>
      <w:r>
        <w:rPr>
          <w:color w:val="333333"/>
          <w:spacing w:val="-3"/>
          <w:w w:val="110"/>
        </w:rPr>
        <w:t xml:space="preserve">WebFlux  </w:t>
      </w:r>
      <w:r>
        <w:rPr>
          <w:color w:val="333333"/>
          <w:w w:val="110"/>
        </w:rPr>
        <w:t>supports</w:t>
      </w:r>
      <w:proofErr w:type="gramEnd"/>
      <w:r>
        <w:rPr>
          <w:color w:val="333333"/>
          <w:w w:val="110"/>
        </w:rPr>
        <w:t xml:space="preserve"> a variety of templating technologies, including Thymeleaf, FreeMarker,  and</w:t>
      </w:r>
      <w:r>
        <w:rPr>
          <w:color w:val="333333"/>
          <w:spacing w:val="2"/>
          <w:w w:val="110"/>
        </w:rPr>
        <w:t xml:space="preserve"> </w:t>
      </w:r>
      <w:r>
        <w:rPr>
          <w:color w:val="333333"/>
          <w:w w:val="110"/>
        </w:rPr>
        <w:t>Mustache.</w:t>
      </w:r>
    </w:p>
    <w:p w14:paraId="37E798CB" w14:textId="77777777" w:rsidR="00A720EB" w:rsidRDefault="0030286B">
      <w:pPr>
        <w:pStyle w:val="a3"/>
        <w:spacing w:before="242"/>
        <w:ind w:left="124"/>
        <w:jc w:val="both"/>
      </w:pPr>
      <w:r>
        <w:rPr>
          <w:color w:val="333333"/>
          <w:w w:val="110"/>
        </w:rPr>
        <w:t>Spring Boot includes auto-configuration support for the following templating engines:</w:t>
      </w:r>
    </w:p>
    <w:p w14:paraId="4ADD84DA" w14:textId="77777777" w:rsidR="00A720EB" w:rsidRDefault="00A720EB">
      <w:pPr>
        <w:pStyle w:val="a3"/>
        <w:spacing w:before="4"/>
        <w:rPr>
          <w:sz w:val="26"/>
        </w:rPr>
      </w:pPr>
    </w:p>
    <w:p w14:paraId="2F3E889F" w14:textId="77777777" w:rsidR="00A720EB" w:rsidRDefault="00E10349">
      <w:pPr>
        <w:pStyle w:val="a6"/>
        <w:numPr>
          <w:ilvl w:val="0"/>
          <w:numId w:val="50"/>
        </w:numPr>
        <w:tabs>
          <w:tab w:val="left" w:pos="485"/>
        </w:tabs>
        <w:rPr>
          <w:sz w:val="21"/>
        </w:rPr>
      </w:pPr>
      <w:hyperlink r:id="rId160">
        <w:r w:rsidR="0030286B">
          <w:rPr>
            <w:color w:val="418BCA"/>
            <w:w w:val="110"/>
            <w:sz w:val="21"/>
          </w:rPr>
          <w:t>FreeMarker</w:t>
        </w:r>
      </w:hyperlink>
    </w:p>
    <w:p w14:paraId="0D0C050C" w14:textId="77777777" w:rsidR="00A720EB" w:rsidRDefault="00E10349">
      <w:pPr>
        <w:pStyle w:val="a6"/>
        <w:numPr>
          <w:ilvl w:val="0"/>
          <w:numId w:val="50"/>
        </w:numPr>
        <w:tabs>
          <w:tab w:val="left" w:pos="485"/>
        </w:tabs>
        <w:spacing w:before="190"/>
        <w:rPr>
          <w:sz w:val="21"/>
        </w:rPr>
      </w:pPr>
      <w:hyperlink r:id="rId161">
        <w:r w:rsidR="0030286B">
          <w:rPr>
            <w:color w:val="418BCA"/>
            <w:w w:val="110"/>
            <w:sz w:val="21"/>
          </w:rPr>
          <w:t>Thymeleaf</w:t>
        </w:r>
      </w:hyperlink>
    </w:p>
    <w:p w14:paraId="212A4333" w14:textId="77777777" w:rsidR="00A720EB" w:rsidRDefault="00E10349">
      <w:pPr>
        <w:pStyle w:val="a6"/>
        <w:numPr>
          <w:ilvl w:val="0"/>
          <w:numId w:val="50"/>
        </w:numPr>
        <w:tabs>
          <w:tab w:val="left" w:pos="485"/>
        </w:tabs>
        <w:spacing w:before="189"/>
        <w:rPr>
          <w:sz w:val="21"/>
        </w:rPr>
      </w:pPr>
      <w:hyperlink r:id="rId162">
        <w:r w:rsidR="0030286B">
          <w:rPr>
            <w:color w:val="418BCA"/>
            <w:w w:val="110"/>
            <w:sz w:val="21"/>
          </w:rPr>
          <w:t>Mustache</w:t>
        </w:r>
      </w:hyperlink>
    </w:p>
    <w:p w14:paraId="6D60CAF3" w14:textId="77777777" w:rsidR="00A720EB" w:rsidRDefault="00A720EB">
      <w:pPr>
        <w:pStyle w:val="a3"/>
        <w:spacing w:before="5"/>
        <w:rPr>
          <w:sz w:val="26"/>
        </w:rPr>
      </w:pPr>
    </w:p>
    <w:p w14:paraId="3556BACC" w14:textId="77777777" w:rsidR="00A720EB" w:rsidRDefault="0030286B">
      <w:pPr>
        <w:pStyle w:val="a3"/>
        <w:spacing w:line="297" w:lineRule="auto"/>
        <w:ind w:left="124" w:right="130"/>
        <w:jc w:val="both"/>
      </w:pPr>
      <w:r>
        <w:rPr>
          <w:color w:val="333333"/>
          <w:w w:val="110"/>
        </w:rPr>
        <w:t xml:space="preserve">When you use one of these templating engines with the default configuration, your templates are picked up automatically from </w:t>
      </w:r>
      <w:r>
        <w:rPr>
          <w:rFonts w:ascii="MS Gothic"/>
          <w:color w:val="B02045"/>
          <w:w w:val="110"/>
        </w:rPr>
        <w:t>src/main/resources/templates</w:t>
      </w:r>
      <w:r>
        <w:rPr>
          <w:color w:val="333333"/>
          <w:w w:val="110"/>
        </w:rPr>
        <w:t>.</w:t>
      </w:r>
    </w:p>
    <w:p w14:paraId="5B48FAF3" w14:textId="77777777" w:rsidR="00A720EB" w:rsidRDefault="00A720EB">
      <w:pPr>
        <w:spacing w:line="297" w:lineRule="auto"/>
        <w:jc w:val="both"/>
        <w:sectPr w:rsidR="00A720EB">
          <w:pgSz w:w="11910" w:h="16840"/>
          <w:pgMar w:top="620" w:right="840" w:bottom="520" w:left="840" w:header="0" w:footer="323" w:gutter="0"/>
          <w:cols w:space="720"/>
        </w:sectPr>
      </w:pPr>
    </w:p>
    <w:p w14:paraId="19D02A20" w14:textId="77777777" w:rsidR="00A720EB" w:rsidRDefault="0030286B">
      <w:pPr>
        <w:pStyle w:val="4"/>
        <w:spacing w:before="86"/>
      </w:pPr>
      <w:bookmarkStart w:id="264" w:name="Error_Handling"/>
      <w:bookmarkEnd w:id="264"/>
      <w:r>
        <w:rPr>
          <w:color w:val="333333"/>
          <w:w w:val="115"/>
        </w:rPr>
        <w:lastRenderedPageBreak/>
        <w:t>Error Handling</w:t>
      </w:r>
    </w:p>
    <w:p w14:paraId="61ECCC0A" w14:textId="77777777" w:rsidR="00A720EB" w:rsidRDefault="0030286B">
      <w:pPr>
        <w:pStyle w:val="a3"/>
        <w:spacing w:before="243" w:line="304" w:lineRule="auto"/>
        <w:ind w:left="124" w:right="128"/>
        <w:jc w:val="both"/>
      </w:pPr>
      <w:r>
        <w:rPr>
          <w:color w:val="333333"/>
          <w:w w:val="110"/>
        </w:rPr>
        <w:t xml:space="preserve">Spring Boot provides a </w:t>
      </w:r>
      <w:r>
        <w:rPr>
          <w:rFonts w:ascii="MS Gothic" w:hAnsi="MS Gothic"/>
          <w:color w:val="B02045"/>
          <w:w w:val="110"/>
        </w:rPr>
        <w:t xml:space="preserve">WebExceptionHandler </w:t>
      </w:r>
      <w:r>
        <w:rPr>
          <w:color w:val="333333"/>
          <w:w w:val="110"/>
        </w:rPr>
        <w:t xml:space="preserve">that handles all errors in a sensible </w:t>
      </w:r>
      <w:r>
        <w:rPr>
          <w:color w:val="333333"/>
          <w:spacing w:val="-7"/>
          <w:w w:val="110"/>
        </w:rPr>
        <w:t xml:space="preserve">way. </w:t>
      </w:r>
      <w:r>
        <w:rPr>
          <w:color w:val="333333"/>
          <w:w w:val="110"/>
        </w:rPr>
        <w:t xml:space="preserve">Its position in the processing order is immediately before the handlers provided </w:t>
      </w:r>
      <w:proofErr w:type="gramStart"/>
      <w:r>
        <w:rPr>
          <w:color w:val="333333"/>
          <w:spacing w:val="-3"/>
          <w:w w:val="110"/>
        </w:rPr>
        <w:t>by  WebFlux</w:t>
      </w:r>
      <w:proofErr w:type="gramEnd"/>
      <w:r>
        <w:rPr>
          <w:color w:val="333333"/>
          <w:spacing w:val="-3"/>
          <w:w w:val="110"/>
        </w:rPr>
        <w:t xml:space="preserve">,  </w:t>
      </w:r>
      <w:r>
        <w:rPr>
          <w:color w:val="333333"/>
          <w:w w:val="110"/>
        </w:rPr>
        <w:t xml:space="preserve">which  are considered last. </w:t>
      </w:r>
      <w:r>
        <w:rPr>
          <w:color w:val="333333"/>
          <w:spacing w:val="-4"/>
          <w:w w:val="110"/>
        </w:rPr>
        <w:t xml:space="preserve">For </w:t>
      </w:r>
      <w:r>
        <w:rPr>
          <w:color w:val="333333"/>
          <w:w w:val="110"/>
        </w:rPr>
        <w:t xml:space="preserve">machine clients, it produces a JSON response with details of the error, the HTTP status, and the exception message. </w:t>
      </w:r>
      <w:r>
        <w:rPr>
          <w:color w:val="333333"/>
          <w:spacing w:val="-4"/>
          <w:w w:val="110"/>
        </w:rPr>
        <w:t xml:space="preserve">For </w:t>
      </w:r>
      <w:r>
        <w:rPr>
          <w:color w:val="333333"/>
          <w:w w:val="110"/>
        </w:rPr>
        <w:t xml:space="preserve">browser clients, there is a “whitelabel” error handler that renders the same data in HTML format. </w:t>
      </w:r>
      <w:r>
        <w:rPr>
          <w:color w:val="333333"/>
          <w:spacing w:val="-6"/>
          <w:w w:val="110"/>
        </w:rPr>
        <w:t xml:space="preserve">You </w:t>
      </w:r>
      <w:r>
        <w:rPr>
          <w:color w:val="333333"/>
          <w:w w:val="110"/>
        </w:rPr>
        <w:t xml:space="preserve">can also provide your own HTML templates to display errors (see the </w:t>
      </w:r>
      <w:hyperlink w:anchor="_bookmark169" w:history="1">
        <w:r>
          <w:rPr>
            <w:color w:val="418BCA"/>
            <w:w w:val="110"/>
          </w:rPr>
          <w:t>next</w:t>
        </w:r>
        <w:r>
          <w:rPr>
            <w:color w:val="418BCA"/>
            <w:spacing w:val="12"/>
            <w:w w:val="110"/>
          </w:rPr>
          <w:t xml:space="preserve"> </w:t>
        </w:r>
        <w:r>
          <w:rPr>
            <w:color w:val="418BCA"/>
            <w:w w:val="110"/>
          </w:rPr>
          <w:t>section</w:t>
        </w:r>
      </w:hyperlink>
      <w:r>
        <w:rPr>
          <w:color w:val="333333"/>
          <w:w w:val="110"/>
        </w:rPr>
        <w:t>).</w:t>
      </w:r>
    </w:p>
    <w:p w14:paraId="545C813C" w14:textId="77777777" w:rsidR="00A720EB" w:rsidRDefault="0030286B">
      <w:pPr>
        <w:pStyle w:val="a3"/>
        <w:spacing w:before="239" w:line="297" w:lineRule="auto"/>
        <w:ind w:left="124" w:right="129"/>
        <w:jc w:val="both"/>
      </w:pPr>
      <w:r>
        <w:rPr>
          <w:color w:val="333333"/>
          <w:w w:val="110"/>
        </w:rPr>
        <w:t xml:space="preserve">The first step to customizing this feature often involves using the existing mechanism but replacing or augmenting the error contents. </w:t>
      </w:r>
      <w:r>
        <w:rPr>
          <w:color w:val="333333"/>
          <w:spacing w:val="-4"/>
          <w:w w:val="110"/>
        </w:rPr>
        <w:t xml:space="preserve">For </w:t>
      </w:r>
      <w:r>
        <w:rPr>
          <w:color w:val="333333"/>
          <w:w w:val="110"/>
        </w:rPr>
        <w:t>that, you can add a bean of type</w:t>
      </w:r>
      <w:r>
        <w:rPr>
          <w:color w:val="333333"/>
          <w:spacing w:val="20"/>
          <w:w w:val="110"/>
        </w:rPr>
        <w:t xml:space="preserve"> </w:t>
      </w:r>
      <w:r>
        <w:rPr>
          <w:rFonts w:ascii="MS Gothic"/>
          <w:color w:val="B02045"/>
          <w:w w:val="110"/>
        </w:rPr>
        <w:t>ErrorAttributes</w:t>
      </w:r>
      <w:r>
        <w:rPr>
          <w:color w:val="333333"/>
          <w:w w:val="110"/>
        </w:rPr>
        <w:t>.</w:t>
      </w:r>
    </w:p>
    <w:p w14:paraId="7BD6C052" w14:textId="77777777" w:rsidR="00A720EB" w:rsidRDefault="0030286B">
      <w:pPr>
        <w:pStyle w:val="a3"/>
        <w:spacing w:before="222" w:line="285" w:lineRule="auto"/>
        <w:ind w:left="124" w:right="123"/>
        <w:jc w:val="both"/>
      </w:pPr>
      <w:r>
        <w:rPr>
          <w:color w:val="333333"/>
          <w:spacing w:val="-4"/>
          <w:w w:val="110"/>
        </w:rPr>
        <w:t>To</w:t>
      </w:r>
      <w:r>
        <w:rPr>
          <w:color w:val="333333"/>
          <w:spacing w:val="-6"/>
          <w:w w:val="110"/>
        </w:rPr>
        <w:t xml:space="preserve"> </w:t>
      </w:r>
      <w:r>
        <w:rPr>
          <w:color w:val="333333"/>
          <w:w w:val="110"/>
        </w:rPr>
        <w:t>change</w:t>
      </w:r>
      <w:r>
        <w:rPr>
          <w:color w:val="333333"/>
          <w:spacing w:val="-5"/>
          <w:w w:val="110"/>
        </w:rPr>
        <w:t xml:space="preserve"> </w:t>
      </w:r>
      <w:r>
        <w:rPr>
          <w:color w:val="333333"/>
          <w:w w:val="110"/>
        </w:rPr>
        <w:t>the</w:t>
      </w:r>
      <w:r>
        <w:rPr>
          <w:color w:val="333333"/>
          <w:spacing w:val="-5"/>
          <w:w w:val="110"/>
        </w:rPr>
        <w:t xml:space="preserve"> </w:t>
      </w:r>
      <w:r>
        <w:rPr>
          <w:color w:val="333333"/>
          <w:w w:val="110"/>
        </w:rPr>
        <w:t>error</w:t>
      </w:r>
      <w:r>
        <w:rPr>
          <w:color w:val="333333"/>
          <w:spacing w:val="-6"/>
          <w:w w:val="110"/>
        </w:rPr>
        <w:t xml:space="preserve"> </w:t>
      </w:r>
      <w:r>
        <w:rPr>
          <w:color w:val="333333"/>
          <w:w w:val="110"/>
        </w:rPr>
        <w:t>handling</w:t>
      </w:r>
      <w:r>
        <w:rPr>
          <w:color w:val="333333"/>
          <w:spacing w:val="-5"/>
          <w:w w:val="110"/>
        </w:rPr>
        <w:t xml:space="preserve"> </w:t>
      </w:r>
      <w:r>
        <w:rPr>
          <w:color w:val="333333"/>
          <w:w w:val="110"/>
        </w:rPr>
        <w:t>behavior,</w:t>
      </w:r>
      <w:r>
        <w:rPr>
          <w:color w:val="333333"/>
          <w:spacing w:val="-5"/>
          <w:w w:val="110"/>
        </w:rPr>
        <w:t xml:space="preserve"> </w:t>
      </w:r>
      <w:r>
        <w:rPr>
          <w:color w:val="333333"/>
          <w:w w:val="110"/>
        </w:rPr>
        <w:t>you</w:t>
      </w:r>
      <w:r>
        <w:rPr>
          <w:color w:val="333333"/>
          <w:spacing w:val="-6"/>
          <w:w w:val="110"/>
        </w:rPr>
        <w:t xml:space="preserve"> </w:t>
      </w:r>
      <w:r>
        <w:rPr>
          <w:color w:val="333333"/>
          <w:w w:val="110"/>
        </w:rPr>
        <w:t>can</w:t>
      </w:r>
      <w:r>
        <w:rPr>
          <w:color w:val="333333"/>
          <w:spacing w:val="-5"/>
          <w:w w:val="110"/>
        </w:rPr>
        <w:t xml:space="preserve"> </w:t>
      </w:r>
      <w:r>
        <w:rPr>
          <w:color w:val="333333"/>
          <w:w w:val="110"/>
        </w:rPr>
        <w:t xml:space="preserve">implement </w:t>
      </w:r>
      <w:r>
        <w:rPr>
          <w:rFonts w:ascii="MS Gothic"/>
          <w:color w:val="B02045"/>
          <w:w w:val="110"/>
        </w:rPr>
        <w:t>ErrorWebExceptionHandler</w:t>
      </w:r>
      <w:r>
        <w:rPr>
          <w:rFonts w:ascii="MS Gothic"/>
          <w:color w:val="B02045"/>
          <w:spacing w:val="-70"/>
          <w:w w:val="110"/>
        </w:rPr>
        <w:t xml:space="preserve"> </w:t>
      </w:r>
      <w:r>
        <w:rPr>
          <w:color w:val="333333"/>
          <w:w w:val="110"/>
        </w:rPr>
        <w:t>and</w:t>
      </w:r>
      <w:r>
        <w:rPr>
          <w:color w:val="333333"/>
          <w:spacing w:val="-5"/>
          <w:w w:val="110"/>
        </w:rPr>
        <w:t xml:space="preserve"> </w:t>
      </w:r>
      <w:r>
        <w:rPr>
          <w:color w:val="333333"/>
          <w:w w:val="110"/>
        </w:rPr>
        <w:t>register</w:t>
      </w:r>
      <w:r>
        <w:rPr>
          <w:color w:val="333333"/>
          <w:spacing w:val="-5"/>
          <w:w w:val="110"/>
        </w:rPr>
        <w:t xml:space="preserve"> </w:t>
      </w:r>
      <w:r>
        <w:rPr>
          <w:color w:val="333333"/>
          <w:w w:val="110"/>
        </w:rPr>
        <w:t xml:space="preserve">a bean definition of that type. Because a </w:t>
      </w:r>
      <w:r>
        <w:rPr>
          <w:rFonts w:ascii="MS Gothic"/>
          <w:color w:val="B02045"/>
          <w:w w:val="110"/>
        </w:rPr>
        <w:t xml:space="preserve">WebExceptionHandler </w:t>
      </w:r>
      <w:r>
        <w:rPr>
          <w:color w:val="333333"/>
          <w:w w:val="110"/>
        </w:rPr>
        <w:t xml:space="preserve">is quite low-level, Spring Boot also provides a convenient </w:t>
      </w:r>
      <w:r>
        <w:rPr>
          <w:rFonts w:ascii="MS Gothic"/>
          <w:color w:val="B02045"/>
          <w:w w:val="110"/>
        </w:rPr>
        <w:t xml:space="preserve">AbstractErrorWebExceptionHandler </w:t>
      </w:r>
      <w:r>
        <w:rPr>
          <w:color w:val="333333"/>
          <w:w w:val="110"/>
        </w:rPr>
        <w:t xml:space="preserve">to let you handle errors in a </w:t>
      </w:r>
      <w:r>
        <w:rPr>
          <w:color w:val="333333"/>
          <w:spacing w:val="-3"/>
          <w:w w:val="110"/>
        </w:rPr>
        <w:t xml:space="preserve">WebFlux </w:t>
      </w:r>
      <w:r>
        <w:rPr>
          <w:color w:val="333333"/>
          <w:w w:val="110"/>
        </w:rPr>
        <w:t xml:space="preserve">functional </w:t>
      </w:r>
      <w:r>
        <w:rPr>
          <w:color w:val="333333"/>
          <w:spacing w:val="-7"/>
          <w:w w:val="110"/>
        </w:rPr>
        <w:t xml:space="preserve">way, </w:t>
      </w:r>
      <w:r>
        <w:rPr>
          <w:color w:val="333333"/>
          <w:w w:val="110"/>
        </w:rPr>
        <w:t>as shown in the following</w:t>
      </w:r>
      <w:r>
        <w:rPr>
          <w:color w:val="333333"/>
          <w:spacing w:val="34"/>
          <w:w w:val="110"/>
        </w:rPr>
        <w:t xml:space="preserve"> </w:t>
      </w:r>
      <w:r>
        <w:rPr>
          <w:color w:val="333333"/>
          <w:w w:val="110"/>
        </w:rPr>
        <w:t>example:</w:t>
      </w:r>
    </w:p>
    <w:p w14:paraId="789D0EB5" w14:textId="77777777" w:rsidR="00A720EB" w:rsidRDefault="00E10349">
      <w:pPr>
        <w:pStyle w:val="a3"/>
        <w:spacing w:before="9"/>
        <w:rPr>
          <w:sz w:val="14"/>
        </w:rPr>
      </w:pPr>
      <w:r>
        <w:pict w14:anchorId="76CDDA4B">
          <v:group id="_x0000_s4303" style="position:absolute;margin-left:47.85pt;margin-top:10.65pt;width:499.55pt;height:229.15pt;z-index:-15529984;mso-wrap-distance-left:0;mso-wrap-distance-right:0;mso-position-horizontal-relative:page" coordorigin="957,213" coordsize="9991,4583">
            <v:shape id="_x0000_s4306" style="position:absolute;left:964;top:220;width:9976;height:4568" coordorigin="965,220" coordsize="9976,4568" path="m10861,220r-9816,l1014,226r-26,18l971,269r-6,31l965,4707r6,32l988,4764r26,17l1045,4787r9816,l10892,4781r25,-17l10935,4739r6,-32l10941,300r-6,-31l10917,244r-25,-18l10861,220xe" fillcolor="#f5f5f5" stroked="f">
              <v:path arrowok="t"/>
            </v:shape>
            <v:shape id="_x0000_s4305" style="position:absolute;left:964;top:220;width:9976;height:4568" coordorigin="965,220" coordsize="9976,4568" path="m1045,220r9816,l10892,226r25,18l10935,269r6,31l10941,4707r-6,32l10917,4764r-25,17l10861,4787r-9816,l1014,4781r-26,-17l971,4739r-6,-32l965,300r6,-31l988,244r26,-18l1045,220xe" filled="f" strokecolor="#ccc">
              <v:path arrowok="t"/>
            </v:shape>
            <v:shape id="_x0000_s4304" type="#_x0000_t202" style="position:absolute;left:984;top:235;width:9938;height:4537" filled="f" stroked="f">
              <v:textbox inset="0,0,0,0">
                <w:txbxContent>
                  <w:p w14:paraId="51195603" w14:textId="77777777" w:rsidR="00711A16" w:rsidRDefault="00711A16">
                    <w:pPr>
                      <w:spacing w:before="221"/>
                      <w:ind w:left="200"/>
                      <w:rPr>
                        <w:rFonts w:ascii="MS Gothic"/>
                      </w:rPr>
                    </w:pPr>
                    <w:r>
                      <w:rPr>
                        <w:rFonts w:ascii="MS Gothic"/>
                        <w:color w:val="333333"/>
                      </w:rPr>
                      <w:t>public class CustomErrorWebExceptionHandler extends AbstractErrorWebExceptionHandler {</w:t>
                    </w:r>
                  </w:p>
                  <w:p w14:paraId="54059139" w14:textId="77777777" w:rsidR="00711A16" w:rsidRDefault="00711A16">
                    <w:pPr>
                      <w:spacing w:line="590" w:lineRule="atLeast"/>
                      <w:ind w:left="640" w:right="6418"/>
                      <w:rPr>
                        <w:rFonts w:ascii="MS Gothic"/>
                      </w:rPr>
                    </w:pPr>
                    <w:r>
                      <w:rPr>
                        <w:rFonts w:ascii="MS Gothic"/>
                        <w:color w:val="333333"/>
                      </w:rPr>
                      <w:t>// Define constructor here @Override</w:t>
                    </w:r>
                  </w:p>
                  <w:p w14:paraId="74A11344" w14:textId="77777777" w:rsidR="00711A16" w:rsidRDefault="00711A16">
                    <w:pPr>
                      <w:spacing w:before="12" w:line="252" w:lineRule="auto"/>
                      <w:ind w:left="200" w:right="1028" w:firstLine="440"/>
                      <w:rPr>
                        <w:rFonts w:ascii="MS Gothic"/>
                      </w:rPr>
                    </w:pPr>
                    <w:r>
                      <w:rPr>
                        <w:rFonts w:ascii="MS Gothic"/>
                        <w:color w:val="333333"/>
                      </w:rPr>
                      <w:t xml:space="preserve">protected RouterFunction&lt;ServerResponse&gt; </w:t>
                    </w:r>
                    <w:proofErr w:type="gramStart"/>
                    <w:r>
                      <w:rPr>
                        <w:rFonts w:ascii="MS Gothic"/>
                        <w:color w:val="333333"/>
                      </w:rPr>
                      <w:t>getRoutingFunction(</w:t>
                    </w:r>
                    <w:proofErr w:type="gramEnd"/>
                    <w:r>
                      <w:rPr>
                        <w:rFonts w:ascii="MS Gothic"/>
                        <w:color w:val="333333"/>
                      </w:rPr>
                      <w:t>ErrorAttributes errorAttributes) {</w:t>
                    </w:r>
                  </w:p>
                  <w:p w14:paraId="626D168E" w14:textId="77777777" w:rsidR="00711A16" w:rsidRDefault="00711A16">
                    <w:pPr>
                      <w:spacing w:before="10"/>
                      <w:rPr>
                        <w:rFonts w:ascii="MS Gothic"/>
                      </w:rPr>
                    </w:pPr>
                  </w:p>
                  <w:p w14:paraId="0E07335C" w14:textId="77777777" w:rsidR="00711A16" w:rsidRDefault="00711A16">
                    <w:pPr>
                      <w:ind w:left="1080"/>
                      <w:rPr>
                        <w:rFonts w:ascii="MS Gothic"/>
                      </w:rPr>
                    </w:pPr>
                    <w:r>
                      <w:rPr>
                        <w:rFonts w:ascii="MS Gothic"/>
                        <w:color w:val="333333"/>
                      </w:rPr>
                      <w:t>return RouterFunctions</w:t>
                    </w:r>
                  </w:p>
                  <w:p w14:paraId="454A07DE" w14:textId="77777777" w:rsidR="00711A16" w:rsidRDefault="00711A16">
                    <w:pPr>
                      <w:spacing w:before="13"/>
                      <w:ind w:left="1960"/>
                      <w:rPr>
                        <w:rFonts w:ascii="MS Gothic"/>
                      </w:rPr>
                    </w:pPr>
                    <w:proofErr w:type="gramStart"/>
                    <w:r>
                      <w:rPr>
                        <w:rFonts w:ascii="MS Gothic"/>
                        <w:color w:val="333333"/>
                      </w:rPr>
                      <w:t>.route</w:t>
                    </w:r>
                    <w:proofErr w:type="gramEnd"/>
                    <w:r>
                      <w:rPr>
                        <w:rFonts w:ascii="MS Gothic"/>
                        <w:color w:val="333333"/>
                      </w:rPr>
                      <w:t>(aPredicate, aHandler)</w:t>
                    </w:r>
                  </w:p>
                  <w:p w14:paraId="441CB95F" w14:textId="77777777" w:rsidR="00711A16" w:rsidRDefault="00711A16">
                    <w:pPr>
                      <w:spacing w:before="13"/>
                      <w:ind w:left="1960"/>
                      <w:rPr>
                        <w:rFonts w:ascii="MS Gothic"/>
                      </w:rPr>
                    </w:pPr>
                    <w:proofErr w:type="gramStart"/>
                    <w:r>
                      <w:rPr>
                        <w:rFonts w:ascii="MS Gothic"/>
                        <w:color w:val="333333"/>
                      </w:rPr>
                      <w:t>.andRoute</w:t>
                    </w:r>
                    <w:proofErr w:type="gramEnd"/>
                    <w:r>
                      <w:rPr>
                        <w:rFonts w:ascii="MS Gothic"/>
                        <w:color w:val="333333"/>
                      </w:rPr>
                      <w:t>(anotherPredicate, anotherHandler);</w:t>
                    </w:r>
                  </w:p>
                  <w:p w14:paraId="1D0056AB" w14:textId="77777777" w:rsidR="00711A16" w:rsidRDefault="00711A16">
                    <w:pPr>
                      <w:spacing w:before="13"/>
                      <w:ind w:left="640"/>
                      <w:rPr>
                        <w:rFonts w:ascii="MS Gothic"/>
                      </w:rPr>
                    </w:pPr>
                    <w:r>
                      <w:rPr>
                        <w:rFonts w:ascii="MS Gothic"/>
                        <w:color w:val="333333"/>
                      </w:rPr>
                      <w:t>}</w:t>
                    </w:r>
                  </w:p>
                  <w:p w14:paraId="310999D7" w14:textId="77777777" w:rsidR="00711A16" w:rsidRDefault="00711A16">
                    <w:pPr>
                      <w:rPr>
                        <w:rFonts w:ascii="MS Gothic"/>
                        <w:sz w:val="24"/>
                      </w:rPr>
                    </w:pPr>
                  </w:p>
                  <w:p w14:paraId="585F9E07" w14:textId="77777777" w:rsidR="00711A16" w:rsidRDefault="00711A16">
                    <w:pPr>
                      <w:ind w:left="200"/>
                      <w:rPr>
                        <w:rFonts w:ascii="MS Gothic"/>
                      </w:rPr>
                    </w:pPr>
                    <w:r>
                      <w:rPr>
                        <w:rFonts w:ascii="MS Gothic"/>
                        <w:color w:val="333333"/>
                      </w:rPr>
                      <w:t>}</w:t>
                    </w:r>
                  </w:p>
                </w:txbxContent>
              </v:textbox>
            </v:shape>
            <w10:wrap type="topAndBottom" anchorx="page"/>
          </v:group>
        </w:pict>
      </w:r>
    </w:p>
    <w:p w14:paraId="3C4A3EF3" w14:textId="77777777" w:rsidR="00A720EB" w:rsidRDefault="00A720EB">
      <w:pPr>
        <w:pStyle w:val="a3"/>
        <w:spacing w:before="11"/>
        <w:rPr>
          <w:sz w:val="9"/>
        </w:rPr>
      </w:pPr>
    </w:p>
    <w:p w14:paraId="075DBA3C" w14:textId="77777777" w:rsidR="00A720EB" w:rsidRDefault="0030286B">
      <w:pPr>
        <w:pStyle w:val="a3"/>
        <w:spacing w:before="115" w:line="290" w:lineRule="auto"/>
        <w:ind w:left="124" w:right="124"/>
        <w:jc w:val="both"/>
      </w:pPr>
      <w:r>
        <w:rPr>
          <w:color w:val="333333"/>
          <w:w w:val="110"/>
        </w:rPr>
        <w:t xml:space="preserve">For a more complete picture, you can also subclass </w:t>
      </w:r>
      <w:r>
        <w:rPr>
          <w:rFonts w:ascii="MS Gothic"/>
          <w:color w:val="B02045"/>
          <w:w w:val="110"/>
        </w:rPr>
        <w:t xml:space="preserve">DefaultErrorWebExceptionHandler </w:t>
      </w:r>
      <w:r>
        <w:rPr>
          <w:color w:val="333333"/>
          <w:w w:val="110"/>
        </w:rPr>
        <w:t>directly and override specific methods.</w:t>
      </w:r>
    </w:p>
    <w:p w14:paraId="31BE4DFD" w14:textId="77777777" w:rsidR="00A720EB" w:rsidRDefault="00A720EB">
      <w:pPr>
        <w:pStyle w:val="a3"/>
        <w:spacing w:before="1"/>
        <w:rPr>
          <w:sz w:val="27"/>
        </w:rPr>
      </w:pPr>
    </w:p>
    <w:p w14:paraId="6CC2B39B" w14:textId="77777777" w:rsidR="00A720EB" w:rsidRDefault="0030286B">
      <w:pPr>
        <w:spacing w:before="1"/>
        <w:ind w:left="124"/>
        <w:jc w:val="both"/>
        <w:rPr>
          <w:rFonts w:ascii="Palatino Linotype"/>
          <w:b/>
          <w:sz w:val="18"/>
        </w:rPr>
      </w:pPr>
      <w:bookmarkStart w:id="265" w:name="_bookmark169"/>
      <w:bookmarkEnd w:id="265"/>
      <w:r>
        <w:rPr>
          <w:rFonts w:ascii="Palatino Linotype"/>
          <w:b/>
          <w:color w:val="333333"/>
          <w:w w:val="110"/>
          <w:sz w:val="18"/>
        </w:rPr>
        <w:t>Custom Error Pages</w:t>
      </w:r>
    </w:p>
    <w:p w14:paraId="04713334" w14:textId="77777777" w:rsidR="00A720EB" w:rsidRDefault="00A720EB">
      <w:pPr>
        <w:pStyle w:val="a3"/>
        <w:spacing w:before="11"/>
        <w:rPr>
          <w:rFonts w:ascii="Palatino Linotype"/>
          <w:b/>
          <w:sz w:val="18"/>
        </w:rPr>
      </w:pPr>
    </w:p>
    <w:p w14:paraId="05C608F8" w14:textId="77777777" w:rsidR="00A720EB" w:rsidRDefault="0030286B">
      <w:pPr>
        <w:pStyle w:val="a3"/>
        <w:ind w:left="124"/>
        <w:jc w:val="both"/>
      </w:pPr>
      <w:r>
        <w:rPr>
          <w:color w:val="333333"/>
          <w:w w:val="110"/>
        </w:rPr>
        <w:t>If you want to display a custom HTML error page for a given status code, you can add a file to an</w:t>
      </w:r>
    </w:p>
    <w:p w14:paraId="1952B29E" w14:textId="77777777" w:rsidR="00A720EB" w:rsidRDefault="0030286B">
      <w:pPr>
        <w:pStyle w:val="a3"/>
        <w:spacing w:before="59" w:line="300" w:lineRule="auto"/>
        <w:ind w:left="124" w:right="128"/>
        <w:jc w:val="both"/>
      </w:pPr>
      <w:r>
        <w:rPr>
          <w:rFonts w:ascii="MS Gothic"/>
          <w:color w:val="B02045"/>
          <w:w w:val="110"/>
        </w:rPr>
        <w:t xml:space="preserve">/error </w:t>
      </w:r>
      <w:r>
        <w:rPr>
          <w:color w:val="333333"/>
          <w:spacing w:val="-3"/>
          <w:w w:val="110"/>
        </w:rPr>
        <w:t xml:space="preserve">directory. </w:t>
      </w:r>
      <w:r>
        <w:rPr>
          <w:color w:val="333333"/>
          <w:w w:val="110"/>
        </w:rPr>
        <w:t xml:space="preserve">Error pages can either be static HTML (that is, added under any of the static resource directories) or built with templates. The name of the file should be the exact status code </w:t>
      </w:r>
      <w:proofErr w:type="gramStart"/>
      <w:r>
        <w:rPr>
          <w:color w:val="333333"/>
          <w:w w:val="110"/>
        </w:rPr>
        <w:t>or  a</w:t>
      </w:r>
      <w:proofErr w:type="gramEnd"/>
      <w:r>
        <w:rPr>
          <w:color w:val="333333"/>
          <w:w w:val="110"/>
        </w:rPr>
        <w:t xml:space="preserve"> series</w:t>
      </w:r>
      <w:r>
        <w:rPr>
          <w:color w:val="333333"/>
          <w:spacing w:val="5"/>
          <w:w w:val="110"/>
        </w:rPr>
        <w:t xml:space="preserve"> </w:t>
      </w:r>
      <w:r>
        <w:rPr>
          <w:color w:val="333333"/>
          <w:w w:val="110"/>
        </w:rPr>
        <w:t>mask.</w:t>
      </w:r>
    </w:p>
    <w:p w14:paraId="149B046F" w14:textId="77777777" w:rsidR="00A720EB" w:rsidRDefault="0030286B">
      <w:pPr>
        <w:pStyle w:val="a3"/>
        <w:spacing w:before="235"/>
        <w:ind w:left="124"/>
        <w:jc w:val="both"/>
      </w:pPr>
      <w:r>
        <w:rPr>
          <w:color w:val="333333"/>
          <w:w w:val="110"/>
        </w:rPr>
        <w:t xml:space="preserve">For example, to map </w:t>
      </w:r>
      <w:r>
        <w:rPr>
          <w:rFonts w:ascii="MS Gothic"/>
          <w:color w:val="B02045"/>
          <w:w w:val="110"/>
        </w:rPr>
        <w:t xml:space="preserve">404 </w:t>
      </w:r>
      <w:r>
        <w:rPr>
          <w:color w:val="333333"/>
          <w:w w:val="110"/>
        </w:rPr>
        <w:t>to a static HTML file, your directory structure would be as follows:</w:t>
      </w:r>
    </w:p>
    <w:p w14:paraId="1A05D02C" w14:textId="77777777" w:rsidR="00A720EB" w:rsidRDefault="00A720EB">
      <w:pPr>
        <w:jc w:val="both"/>
        <w:sectPr w:rsidR="00A720EB">
          <w:pgSz w:w="11910" w:h="16840"/>
          <w:pgMar w:top="620" w:right="840" w:bottom="520" w:left="840" w:header="0" w:footer="323" w:gutter="0"/>
          <w:cols w:space="720"/>
        </w:sectPr>
      </w:pPr>
    </w:p>
    <w:p w14:paraId="6C0FE426" w14:textId="77777777" w:rsidR="00A720EB" w:rsidRDefault="00E10349">
      <w:pPr>
        <w:pStyle w:val="a3"/>
        <w:ind w:left="116"/>
        <w:rPr>
          <w:sz w:val="20"/>
        </w:rPr>
      </w:pPr>
      <w:r>
        <w:rPr>
          <w:sz w:val="20"/>
        </w:rPr>
      </w:r>
      <w:r>
        <w:rPr>
          <w:sz w:val="20"/>
        </w:rPr>
        <w:pict w14:anchorId="731685E6">
          <v:group id="_x0000_s4299" style="width:499.55pt;height:155.45pt;mso-position-horizontal-relative:char;mso-position-vertical-relative:line" coordsize="9991,3109">
            <v:shape id="_x0000_s4302" style="position:absolute;left:7;top:7;width:9976;height:3094" coordorigin="8,8" coordsize="9976,3094" path="m9904,8l88,8,56,14,31,31,14,56,8,88r,2933l14,3052r17,25l56,3094r32,7l9904,3101r31,-7l9960,3077r17,-25l9984,3021r,-2933l9977,56,9960,31,9935,14,9904,8xe" fillcolor="#f5f5f5" stroked="f">
              <v:path arrowok="t"/>
            </v:shape>
            <v:shape id="_x0000_s4301" style="position:absolute;left:7;top:7;width:9976;height:3094" coordorigin="8,8" coordsize="9976,3094" path="m88,8r9816,l9935,14r25,17l9977,56r7,32l9984,3021r-7,31l9960,3077r-25,17l9904,3101r-9816,l56,3094,31,3077,14,3052,8,3021,8,88,14,56,31,31,56,14,88,8xe" filled="f" strokecolor="#ccc">
              <v:path arrowok="t"/>
            </v:shape>
            <v:shape id="_x0000_s4300" type="#_x0000_t202" style="position:absolute;left:26;top:22;width:9938;height:3063" filled="f" stroked="f">
              <v:textbox inset="0,0,0,0">
                <w:txbxContent>
                  <w:p w14:paraId="5D0211E4" w14:textId="77777777" w:rsidR="00711A16" w:rsidRDefault="00711A16">
                    <w:pPr>
                      <w:spacing w:before="221"/>
                      <w:ind w:left="200"/>
                      <w:rPr>
                        <w:rFonts w:ascii="MS Gothic"/>
                      </w:rPr>
                    </w:pPr>
                    <w:r>
                      <w:rPr>
                        <w:rFonts w:ascii="MS Gothic"/>
                        <w:color w:val="333333"/>
                      </w:rPr>
                      <w:t>src/</w:t>
                    </w:r>
                  </w:p>
                  <w:p w14:paraId="33754633" w14:textId="77777777" w:rsidR="00711A16" w:rsidRDefault="00711A16">
                    <w:pPr>
                      <w:spacing w:before="13"/>
                      <w:ind w:left="310"/>
                      <w:rPr>
                        <w:rFonts w:ascii="MS Gothic"/>
                      </w:rPr>
                    </w:pPr>
                    <w:r>
                      <w:rPr>
                        <w:rFonts w:ascii="MS Gothic"/>
                        <w:color w:val="333333"/>
                      </w:rPr>
                      <w:t>+- main/</w:t>
                    </w:r>
                  </w:p>
                  <w:p w14:paraId="3512DB5C" w14:textId="77777777" w:rsidR="00711A16" w:rsidRDefault="00711A16">
                    <w:pPr>
                      <w:spacing w:before="13"/>
                      <w:ind w:left="750"/>
                      <w:rPr>
                        <w:rFonts w:ascii="MS Gothic"/>
                      </w:rPr>
                    </w:pPr>
                    <w:r>
                      <w:rPr>
                        <w:rFonts w:ascii="MS Gothic"/>
                        <w:color w:val="333333"/>
                      </w:rPr>
                      <w:t>+- java/</w:t>
                    </w:r>
                  </w:p>
                  <w:p w14:paraId="2F76212E" w14:textId="77777777" w:rsidR="00711A16" w:rsidRDefault="00711A16">
                    <w:pPr>
                      <w:tabs>
                        <w:tab w:val="left" w:pos="1190"/>
                      </w:tabs>
                      <w:spacing w:before="13"/>
                      <w:ind w:left="750"/>
                      <w:rPr>
                        <w:rFonts w:ascii="MS Gothic"/>
                      </w:rPr>
                    </w:pPr>
                    <w:r>
                      <w:rPr>
                        <w:rFonts w:ascii="MS Gothic"/>
                        <w:color w:val="333333"/>
                      </w:rPr>
                      <w:t>|</w:t>
                    </w:r>
                    <w:r>
                      <w:rPr>
                        <w:rFonts w:ascii="MS Gothic"/>
                        <w:color w:val="333333"/>
                      </w:rPr>
                      <w:tab/>
                      <w:t>+ &lt;source code&gt;</w:t>
                    </w:r>
                  </w:p>
                  <w:p w14:paraId="61E3A37F" w14:textId="77777777" w:rsidR="00711A16" w:rsidRDefault="00711A16">
                    <w:pPr>
                      <w:spacing w:before="12"/>
                      <w:ind w:left="750"/>
                      <w:rPr>
                        <w:rFonts w:ascii="MS Gothic"/>
                      </w:rPr>
                    </w:pPr>
                    <w:r>
                      <w:rPr>
                        <w:rFonts w:ascii="MS Gothic"/>
                        <w:color w:val="333333"/>
                      </w:rPr>
                      <w:t>+- resources/</w:t>
                    </w:r>
                  </w:p>
                  <w:p w14:paraId="75042B68" w14:textId="77777777" w:rsidR="00711A16" w:rsidRDefault="00711A16">
                    <w:pPr>
                      <w:spacing w:before="13"/>
                      <w:ind w:left="1190"/>
                      <w:rPr>
                        <w:rFonts w:ascii="MS Gothic"/>
                      </w:rPr>
                    </w:pPr>
                    <w:r>
                      <w:rPr>
                        <w:rFonts w:ascii="MS Gothic"/>
                        <w:color w:val="333333"/>
                      </w:rPr>
                      <w:t>+- public/</w:t>
                    </w:r>
                  </w:p>
                  <w:p w14:paraId="3C0220AE" w14:textId="77777777" w:rsidR="00711A16" w:rsidRDefault="00711A16">
                    <w:pPr>
                      <w:spacing w:before="13"/>
                      <w:ind w:left="1630"/>
                      <w:rPr>
                        <w:rFonts w:ascii="MS Gothic"/>
                      </w:rPr>
                    </w:pPr>
                    <w:r>
                      <w:rPr>
                        <w:rFonts w:ascii="MS Gothic"/>
                        <w:color w:val="333333"/>
                      </w:rPr>
                      <w:t>+- error/</w:t>
                    </w:r>
                  </w:p>
                  <w:p w14:paraId="38AC7C44" w14:textId="77777777" w:rsidR="00711A16" w:rsidRDefault="00711A16">
                    <w:pPr>
                      <w:tabs>
                        <w:tab w:val="left" w:pos="2070"/>
                      </w:tabs>
                      <w:spacing w:before="13"/>
                      <w:ind w:left="1630"/>
                      <w:rPr>
                        <w:rFonts w:ascii="MS Gothic"/>
                      </w:rPr>
                    </w:pPr>
                    <w:r>
                      <w:rPr>
                        <w:rFonts w:ascii="MS Gothic"/>
                        <w:color w:val="333333"/>
                      </w:rPr>
                      <w:t>|</w:t>
                    </w:r>
                    <w:r>
                      <w:rPr>
                        <w:rFonts w:ascii="MS Gothic"/>
                        <w:color w:val="333333"/>
                      </w:rPr>
                      <w:tab/>
                      <w:t>+- 404.html</w:t>
                    </w:r>
                  </w:p>
                  <w:p w14:paraId="4C281A5D" w14:textId="77777777" w:rsidR="00711A16" w:rsidRDefault="00711A16">
                    <w:pPr>
                      <w:spacing w:before="13"/>
                      <w:ind w:left="1630"/>
                      <w:rPr>
                        <w:rFonts w:ascii="MS Gothic"/>
                      </w:rPr>
                    </w:pPr>
                    <w:r>
                      <w:rPr>
                        <w:rFonts w:ascii="MS Gothic"/>
                        <w:color w:val="333333"/>
                      </w:rPr>
                      <w:t>+- &lt;other public assets&gt;</w:t>
                    </w:r>
                  </w:p>
                </w:txbxContent>
              </v:textbox>
            </v:shape>
            <w10:anchorlock/>
          </v:group>
        </w:pict>
      </w:r>
    </w:p>
    <w:p w14:paraId="38B0808A" w14:textId="77777777" w:rsidR="00A720EB" w:rsidRDefault="00A720EB">
      <w:pPr>
        <w:pStyle w:val="a3"/>
        <w:spacing w:before="3"/>
        <w:rPr>
          <w:sz w:val="9"/>
        </w:rPr>
      </w:pPr>
    </w:p>
    <w:p w14:paraId="663FF5FD" w14:textId="77777777" w:rsidR="00A720EB" w:rsidRDefault="0030286B">
      <w:pPr>
        <w:pStyle w:val="a3"/>
        <w:spacing w:before="116"/>
        <w:ind w:left="124"/>
      </w:pPr>
      <w:r>
        <w:rPr>
          <w:color w:val="333333"/>
          <w:w w:val="110"/>
        </w:rPr>
        <w:t xml:space="preserve">To map all </w:t>
      </w:r>
      <w:r>
        <w:rPr>
          <w:rFonts w:ascii="MS Gothic"/>
          <w:color w:val="B02045"/>
          <w:w w:val="110"/>
        </w:rPr>
        <w:t xml:space="preserve">5xx </w:t>
      </w:r>
      <w:r>
        <w:rPr>
          <w:color w:val="333333"/>
          <w:w w:val="110"/>
        </w:rPr>
        <w:t>errors by using a Mustache template, your directory structure would be as follows:</w:t>
      </w:r>
    </w:p>
    <w:p w14:paraId="3ECCCC2B" w14:textId="77777777" w:rsidR="00A720EB" w:rsidRDefault="00E10349">
      <w:pPr>
        <w:pStyle w:val="a3"/>
        <w:spacing w:before="11"/>
        <w:rPr>
          <w:sz w:val="17"/>
        </w:rPr>
      </w:pPr>
      <w:r>
        <w:pict w14:anchorId="421BBF64">
          <v:group id="_x0000_s4295" style="position:absolute;margin-left:47.85pt;margin-top:12.5pt;width:499.55pt;height:155.45pt;z-index:-15528960;mso-wrap-distance-left:0;mso-wrap-distance-right:0;mso-position-horizontal-relative:page" coordorigin="957,250" coordsize="9991,3109">
            <v:shape id="_x0000_s4298" style="position:absolute;left:964;top:257;width:9976;height:3094" coordorigin="965,257" coordsize="9976,3094" path="m10861,257r-9816,l1014,264r-26,17l971,306r-6,31l965,3271r6,31l988,3327r26,17l1045,3351r9816,l10892,3344r25,-17l10935,3302r6,-31l10941,337r-6,-31l10917,281r-25,-17l10861,257xe" fillcolor="#f5f5f5" stroked="f">
              <v:path arrowok="t"/>
            </v:shape>
            <v:shape id="_x0000_s4297" style="position:absolute;left:964;top:257;width:9976;height:3094" coordorigin="965,257" coordsize="9976,3094" path="m1045,257r9816,l10892,264r25,17l10935,306r6,31l10941,3271r-6,31l10917,3327r-25,17l10861,3351r-9816,l1014,3344r-26,-17l971,3302r-6,-31l965,337r6,-31l988,281r26,-17l1045,257xe" filled="f" strokecolor="#ccc">
              <v:path arrowok="t"/>
            </v:shape>
            <v:shape id="_x0000_s4296" type="#_x0000_t202" style="position:absolute;left:984;top:272;width:9938;height:3063" filled="f" stroked="f">
              <v:textbox inset="0,0,0,0">
                <w:txbxContent>
                  <w:p w14:paraId="3AAEF76F" w14:textId="77777777" w:rsidR="00711A16" w:rsidRDefault="00711A16">
                    <w:pPr>
                      <w:spacing w:before="221"/>
                      <w:ind w:left="200"/>
                      <w:rPr>
                        <w:rFonts w:ascii="MS Gothic"/>
                      </w:rPr>
                    </w:pPr>
                    <w:r>
                      <w:rPr>
                        <w:rFonts w:ascii="MS Gothic"/>
                        <w:color w:val="333333"/>
                      </w:rPr>
                      <w:t>src/</w:t>
                    </w:r>
                  </w:p>
                  <w:p w14:paraId="65573EA7" w14:textId="77777777" w:rsidR="00711A16" w:rsidRDefault="00711A16">
                    <w:pPr>
                      <w:spacing w:before="13"/>
                      <w:ind w:left="310"/>
                      <w:rPr>
                        <w:rFonts w:ascii="MS Gothic"/>
                      </w:rPr>
                    </w:pPr>
                    <w:r>
                      <w:rPr>
                        <w:rFonts w:ascii="MS Gothic"/>
                        <w:color w:val="333333"/>
                      </w:rPr>
                      <w:t>+- main/</w:t>
                    </w:r>
                  </w:p>
                  <w:p w14:paraId="5F0B8AFF" w14:textId="77777777" w:rsidR="00711A16" w:rsidRDefault="00711A16">
                    <w:pPr>
                      <w:spacing w:before="13"/>
                      <w:ind w:left="750"/>
                      <w:rPr>
                        <w:rFonts w:ascii="MS Gothic"/>
                      </w:rPr>
                    </w:pPr>
                    <w:r>
                      <w:rPr>
                        <w:rFonts w:ascii="MS Gothic"/>
                        <w:color w:val="333333"/>
                      </w:rPr>
                      <w:t>+- java/</w:t>
                    </w:r>
                  </w:p>
                  <w:p w14:paraId="58E03BEA" w14:textId="77777777" w:rsidR="00711A16" w:rsidRDefault="00711A16">
                    <w:pPr>
                      <w:tabs>
                        <w:tab w:val="left" w:pos="1190"/>
                      </w:tabs>
                      <w:spacing w:before="13"/>
                      <w:ind w:left="750"/>
                      <w:rPr>
                        <w:rFonts w:ascii="MS Gothic"/>
                      </w:rPr>
                    </w:pPr>
                    <w:r>
                      <w:rPr>
                        <w:rFonts w:ascii="MS Gothic"/>
                        <w:color w:val="333333"/>
                      </w:rPr>
                      <w:t>|</w:t>
                    </w:r>
                    <w:r>
                      <w:rPr>
                        <w:rFonts w:ascii="MS Gothic"/>
                        <w:color w:val="333333"/>
                      </w:rPr>
                      <w:tab/>
                      <w:t>+ &lt;source code&gt;</w:t>
                    </w:r>
                  </w:p>
                  <w:p w14:paraId="2D6773B3" w14:textId="77777777" w:rsidR="00711A16" w:rsidRDefault="00711A16">
                    <w:pPr>
                      <w:spacing w:before="12"/>
                      <w:ind w:left="750"/>
                      <w:rPr>
                        <w:rFonts w:ascii="MS Gothic"/>
                      </w:rPr>
                    </w:pPr>
                    <w:r>
                      <w:rPr>
                        <w:rFonts w:ascii="MS Gothic"/>
                        <w:color w:val="333333"/>
                      </w:rPr>
                      <w:t>+- resources/</w:t>
                    </w:r>
                  </w:p>
                  <w:p w14:paraId="74CE5EE2" w14:textId="77777777" w:rsidR="00711A16" w:rsidRDefault="00711A16">
                    <w:pPr>
                      <w:spacing w:before="13"/>
                      <w:ind w:right="7314"/>
                      <w:jc w:val="right"/>
                      <w:rPr>
                        <w:rFonts w:ascii="MS Gothic"/>
                      </w:rPr>
                    </w:pPr>
                    <w:r>
                      <w:rPr>
                        <w:rFonts w:ascii="MS Gothic"/>
                        <w:color w:val="333333"/>
                      </w:rPr>
                      <w:t>+- templates/</w:t>
                    </w:r>
                  </w:p>
                  <w:p w14:paraId="2C1B0188" w14:textId="77777777" w:rsidR="00711A16" w:rsidRDefault="00711A16">
                    <w:pPr>
                      <w:spacing w:before="13"/>
                      <w:ind w:right="7314"/>
                      <w:jc w:val="right"/>
                      <w:rPr>
                        <w:rFonts w:ascii="MS Gothic"/>
                      </w:rPr>
                    </w:pPr>
                    <w:r>
                      <w:rPr>
                        <w:rFonts w:ascii="MS Gothic"/>
                        <w:color w:val="333333"/>
                      </w:rPr>
                      <w:t>+- error/</w:t>
                    </w:r>
                  </w:p>
                  <w:p w14:paraId="23169AF2" w14:textId="77777777" w:rsidR="00711A16" w:rsidRDefault="00711A16">
                    <w:pPr>
                      <w:tabs>
                        <w:tab w:val="left" w:pos="2070"/>
                      </w:tabs>
                      <w:spacing w:before="13"/>
                      <w:ind w:left="1630"/>
                      <w:rPr>
                        <w:rFonts w:ascii="MS Gothic"/>
                      </w:rPr>
                    </w:pPr>
                    <w:r>
                      <w:rPr>
                        <w:rFonts w:ascii="MS Gothic"/>
                        <w:color w:val="333333"/>
                      </w:rPr>
                      <w:t>|</w:t>
                    </w:r>
                    <w:r>
                      <w:rPr>
                        <w:rFonts w:ascii="MS Gothic"/>
                        <w:color w:val="333333"/>
                      </w:rPr>
                      <w:tab/>
                      <w:t>+- 5xx.mustache</w:t>
                    </w:r>
                  </w:p>
                  <w:p w14:paraId="3542F5E7" w14:textId="77777777" w:rsidR="00711A16" w:rsidRDefault="00711A16">
                    <w:pPr>
                      <w:spacing w:before="13"/>
                      <w:ind w:left="1630"/>
                      <w:rPr>
                        <w:rFonts w:ascii="MS Gothic"/>
                      </w:rPr>
                    </w:pPr>
                    <w:r>
                      <w:rPr>
                        <w:rFonts w:ascii="MS Gothic"/>
                        <w:color w:val="333333"/>
                      </w:rPr>
                      <w:t>+- &lt;other templates&gt;</w:t>
                    </w:r>
                  </w:p>
                </w:txbxContent>
              </v:textbox>
            </v:shape>
            <w10:wrap type="topAndBottom" anchorx="page"/>
          </v:group>
        </w:pict>
      </w:r>
    </w:p>
    <w:p w14:paraId="51C15E9E" w14:textId="77777777" w:rsidR="00A720EB" w:rsidRDefault="00A720EB">
      <w:pPr>
        <w:pStyle w:val="a3"/>
        <w:spacing w:before="11"/>
        <w:rPr>
          <w:sz w:val="16"/>
        </w:rPr>
      </w:pPr>
    </w:p>
    <w:p w14:paraId="0257BACE" w14:textId="77777777" w:rsidR="00A720EB" w:rsidRDefault="0030286B">
      <w:pPr>
        <w:pStyle w:val="4"/>
        <w:spacing w:before="104"/>
      </w:pPr>
      <w:bookmarkStart w:id="266" w:name="Web_Filters"/>
      <w:bookmarkEnd w:id="266"/>
      <w:r>
        <w:rPr>
          <w:color w:val="333333"/>
          <w:w w:val="110"/>
        </w:rPr>
        <w:t>Web Filters</w:t>
      </w:r>
    </w:p>
    <w:p w14:paraId="7AA6176C" w14:textId="77777777" w:rsidR="00A720EB" w:rsidRDefault="0030286B">
      <w:pPr>
        <w:pStyle w:val="a3"/>
        <w:spacing w:before="244" w:line="285" w:lineRule="auto"/>
        <w:ind w:left="124" w:right="129"/>
        <w:jc w:val="both"/>
      </w:pPr>
      <w:r>
        <w:rPr>
          <w:color w:val="333333"/>
          <w:w w:val="110"/>
        </w:rPr>
        <w:t xml:space="preserve">Spring WebFlux provides a </w:t>
      </w:r>
      <w:r>
        <w:rPr>
          <w:rFonts w:ascii="MS Gothic"/>
          <w:color w:val="B02045"/>
          <w:w w:val="110"/>
        </w:rPr>
        <w:t xml:space="preserve">WebFilter </w:t>
      </w:r>
      <w:r>
        <w:rPr>
          <w:color w:val="333333"/>
          <w:w w:val="110"/>
        </w:rPr>
        <w:t>interface that can be implemented to filter HTTP request</w:t>
      </w:r>
      <w:proofErr w:type="gramStart"/>
      <w:r>
        <w:rPr>
          <w:color w:val="333333"/>
          <w:w w:val="110"/>
        </w:rPr>
        <w:t>-  response</w:t>
      </w:r>
      <w:proofErr w:type="gramEnd"/>
      <w:r>
        <w:rPr>
          <w:color w:val="333333"/>
          <w:w w:val="110"/>
        </w:rPr>
        <w:t xml:space="preserve"> exchanges. </w:t>
      </w:r>
      <w:r>
        <w:rPr>
          <w:rFonts w:ascii="MS Gothic"/>
          <w:color w:val="B02045"/>
          <w:w w:val="110"/>
        </w:rPr>
        <w:t xml:space="preserve">WebFilter </w:t>
      </w:r>
      <w:r>
        <w:rPr>
          <w:color w:val="333333"/>
          <w:w w:val="110"/>
        </w:rPr>
        <w:t>beans found in the application context will be automatically used to filter each exchange.</w:t>
      </w:r>
    </w:p>
    <w:p w14:paraId="50DD78FB" w14:textId="77777777" w:rsidR="00A720EB" w:rsidRDefault="00A720EB">
      <w:pPr>
        <w:pStyle w:val="a3"/>
        <w:spacing w:before="7"/>
      </w:pPr>
    </w:p>
    <w:p w14:paraId="5B771192" w14:textId="77777777" w:rsidR="00A720EB" w:rsidRDefault="0030286B">
      <w:pPr>
        <w:pStyle w:val="a3"/>
        <w:spacing w:line="300" w:lineRule="auto"/>
        <w:ind w:left="124" w:right="122"/>
        <w:jc w:val="both"/>
      </w:pPr>
      <w:r>
        <w:rPr>
          <w:color w:val="333333"/>
          <w:w w:val="110"/>
        </w:rPr>
        <w:t xml:space="preserve">Where the order of the filters is </w:t>
      </w:r>
      <w:proofErr w:type="gramStart"/>
      <w:r>
        <w:rPr>
          <w:color w:val="333333"/>
          <w:w w:val="110"/>
        </w:rPr>
        <w:t>important</w:t>
      </w:r>
      <w:proofErr w:type="gramEnd"/>
      <w:r>
        <w:rPr>
          <w:color w:val="333333"/>
          <w:w w:val="110"/>
        </w:rPr>
        <w:t xml:space="preserve"> they can implement </w:t>
      </w:r>
      <w:r>
        <w:rPr>
          <w:rFonts w:ascii="MS Gothic"/>
          <w:color w:val="B02045"/>
          <w:w w:val="110"/>
        </w:rPr>
        <w:t xml:space="preserve">Ordered </w:t>
      </w:r>
      <w:r>
        <w:rPr>
          <w:color w:val="333333"/>
          <w:w w:val="110"/>
        </w:rPr>
        <w:t xml:space="preserve">or be annotated with </w:t>
      </w:r>
      <w:r>
        <w:rPr>
          <w:rFonts w:ascii="MS Gothic"/>
          <w:color w:val="B02045"/>
          <w:w w:val="110"/>
        </w:rPr>
        <w:t>@Order</w:t>
      </w:r>
      <w:r>
        <w:rPr>
          <w:color w:val="333333"/>
          <w:w w:val="110"/>
        </w:rPr>
        <w:t xml:space="preserve">. Spring Boot auto-configuration may configure web filters for you. When it </w:t>
      </w:r>
      <w:proofErr w:type="gramStart"/>
      <w:r>
        <w:rPr>
          <w:color w:val="333333"/>
          <w:w w:val="110"/>
        </w:rPr>
        <w:t>does  so</w:t>
      </w:r>
      <w:proofErr w:type="gramEnd"/>
      <w:r>
        <w:rPr>
          <w:color w:val="333333"/>
          <w:w w:val="110"/>
        </w:rPr>
        <w:t>,  the  orders shown in the following table will be</w:t>
      </w:r>
      <w:r>
        <w:rPr>
          <w:color w:val="333333"/>
          <w:spacing w:val="22"/>
          <w:w w:val="110"/>
        </w:rPr>
        <w:t xml:space="preserve"> </w:t>
      </w:r>
      <w:r>
        <w:rPr>
          <w:color w:val="333333"/>
          <w:w w:val="110"/>
        </w:rPr>
        <w:t>used:</w:t>
      </w:r>
    </w:p>
    <w:p w14:paraId="01E9E675" w14:textId="77777777" w:rsidR="00A720EB" w:rsidRDefault="00A720EB">
      <w:pPr>
        <w:pStyle w:val="a3"/>
        <w:spacing w:before="1"/>
        <w:rPr>
          <w:sz w:val="17"/>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08AFAE24" w14:textId="77777777">
        <w:trPr>
          <w:trHeight w:val="415"/>
        </w:trPr>
        <w:tc>
          <w:tcPr>
            <w:tcW w:w="4988" w:type="dxa"/>
            <w:tcBorders>
              <w:bottom w:val="single" w:sz="12" w:space="0" w:color="DDDDDD"/>
            </w:tcBorders>
          </w:tcPr>
          <w:p w14:paraId="053AD6DF" w14:textId="77777777" w:rsidR="00A720EB" w:rsidRDefault="0030286B">
            <w:pPr>
              <w:pStyle w:val="TableParagraph"/>
              <w:spacing w:before="74"/>
              <w:rPr>
                <w:rFonts w:ascii="Palatino Linotype"/>
                <w:b/>
                <w:sz w:val="21"/>
              </w:rPr>
            </w:pPr>
            <w:r>
              <w:rPr>
                <w:rFonts w:ascii="Palatino Linotype"/>
                <w:b/>
                <w:color w:val="333333"/>
                <w:w w:val="110"/>
                <w:sz w:val="21"/>
              </w:rPr>
              <w:t>Web Filter</w:t>
            </w:r>
          </w:p>
        </w:tc>
        <w:tc>
          <w:tcPr>
            <w:tcW w:w="4988" w:type="dxa"/>
            <w:tcBorders>
              <w:bottom w:val="single" w:sz="12" w:space="0" w:color="DDDDDD"/>
            </w:tcBorders>
          </w:tcPr>
          <w:p w14:paraId="3D51DD9D" w14:textId="77777777" w:rsidR="00A720EB" w:rsidRDefault="0030286B">
            <w:pPr>
              <w:pStyle w:val="TableParagraph"/>
              <w:spacing w:before="74"/>
              <w:rPr>
                <w:rFonts w:ascii="Palatino Linotype"/>
                <w:b/>
                <w:sz w:val="21"/>
              </w:rPr>
            </w:pPr>
            <w:r>
              <w:rPr>
                <w:rFonts w:ascii="Palatino Linotype"/>
                <w:b/>
                <w:color w:val="333333"/>
                <w:w w:val="110"/>
                <w:sz w:val="21"/>
              </w:rPr>
              <w:t>Order</w:t>
            </w:r>
          </w:p>
        </w:tc>
      </w:tr>
      <w:tr w:rsidR="00A720EB" w14:paraId="042C76CD" w14:textId="77777777">
        <w:trPr>
          <w:trHeight w:val="358"/>
        </w:trPr>
        <w:tc>
          <w:tcPr>
            <w:tcW w:w="4988" w:type="dxa"/>
            <w:tcBorders>
              <w:top w:val="single" w:sz="12" w:space="0" w:color="DDDDDD"/>
            </w:tcBorders>
          </w:tcPr>
          <w:p w14:paraId="56B844AA" w14:textId="77777777" w:rsidR="00A720EB" w:rsidRDefault="0030286B">
            <w:pPr>
              <w:pStyle w:val="TableParagraph"/>
              <w:spacing w:before="30"/>
              <w:rPr>
                <w:sz w:val="21"/>
              </w:rPr>
            </w:pPr>
            <w:r>
              <w:rPr>
                <w:color w:val="B02045"/>
                <w:sz w:val="21"/>
              </w:rPr>
              <w:t>MetricsWebFilter</w:t>
            </w:r>
          </w:p>
        </w:tc>
        <w:tc>
          <w:tcPr>
            <w:tcW w:w="4988" w:type="dxa"/>
            <w:tcBorders>
              <w:top w:val="single" w:sz="12" w:space="0" w:color="DDDDDD"/>
            </w:tcBorders>
          </w:tcPr>
          <w:p w14:paraId="762F0053" w14:textId="77777777" w:rsidR="00A720EB" w:rsidRDefault="0030286B">
            <w:pPr>
              <w:pStyle w:val="TableParagraph"/>
              <w:spacing w:before="30"/>
              <w:rPr>
                <w:sz w:val="21"/>
              </w:rPr>
            </w:pPr>
            <w:r>
              <w:rPr>
                <w:color w:val="B02045"/>
                <w:sz w:val="21"/>
              </w:rPr>
              <w:t>Ordered.HIGHEST_PRECEDENCE + 1</w:t>
            </w:r>
          </w:p>
        </w:tc>
      </w:tr>
      <w:tr w:rsidR="00A720EB" w14:paraId="0BBCE0B6" w14:textId="77777777">
        <w:trPr>
          <w:trHeight w:val="425"/>
        </w:trPr>
        <w:tc>
          <w:tcPr>
            <w:tcW w:w="4988" w:type="dxa"/>
          </w:tcPr>
          <w:p w14:paraId="38D659AF" w14:textId="77777777" w:rsidR="00A720EB" w:rsidRDefault="0030286B">
            <w:pPr>
              <w:pStyle w:val="TableParagraph"/>
              <w:spacing w:before="84"/>
              <w:rPr>
                <w:rFonts w:ascii="Cambria"/>
                <w:sz w:val="21"/>
              </w:rPr>
            </w:pPr>
            <w:r>
              <w:rPr>
                <w:color w:val="B02045"/>
                <w:w w:val="105"/>
                <w:sz w:val="21"/>
              </w:rPr>
              <w:t>WebFilterChainProxy</w:t>
            </w:r>
            <w:r>
              <w:rPr>
                <w:color w:val="B02045"/>
                <w:spacing w:val="-55"/>
                <w:w w:val="105"/>
                <w:sz w:val="21"/>
              </w:rPr>
              <w:t xml:space="preserve"> </w:t>
            </w:r>
            <w:r>
              <w:rPr>
                <w:rFonts w:ascii="Cambria"/>
                <w:color w:val="333333"/>
                <w:w w:val="105"/>
                <w:sz w:val="21"/>
              </w:rPr>
              <w:t>(Spring Security)</w:t>
            </w:r>
          </w:p>
        </w:tc>
        <w:tc>
          <w:tcPr>
            <w:tcW w:w="4988" w:type="dxa"/>
          </w:tcPr>
          <w:p w14:paraId="123B65CB" w14:textId="77777777" w:rsidR="00A720EB" w:rsidRDefault="0030286B">
            <w:pPr>
              <w:pStyle w:val="TableParagraph"/>
              <w:spacing w:before="40"/>
              <w:rPr>
                <w:sz w:val="21"/>
              </w:rPr>
            </w:pPr>
            <w:r>
              <w:rPr>
                <w:color w:val="B02045"/>
                <w:sz w:val="21"/>
              </w:rPr>
              <w:t>-100</w:t>
            </w:r>
          </w:p>
        </w:tc>
      </w:tr>
      <w:tr w:rsidR="00A720EB" w14:paraId="3419C153" w14:textId="77777777">
        <w:trPr>
          <w:trHeight w:val="368"/>
        </w:trPr>
        <w:tc>
          <w:tcPr>
            <w:tcW w:w="4988" w:type="dxa"/>
          </w:tcPr>
          <w:p w14:paraId="68054FED" w14:textId="77777777" w:rsidR="00A720EB" w:rsidRDefault="0030286B">
            <w:pPr>
              <w:pStyle w:val="TableParagraph"/>
              <w:spacing w:before="40"/>
              <w:rPr>
                <w:sz w:val="21"/>
              </w:rPr>
            </w:pPr>
            <w:r>
              <w:rPr>
                <w:color w:val="B02045"/>
                <w:sz w:val="21"/>
              </w:rPr>
              <w:t>HttpTraceWebFilter</w:t>
            </w:r>
          </w:p>
        </w:tc>
        <w:tc>
          <w:tcPr>
            <w:tcW w:w="4988" w:type="dxa"/>
          </w:tcPr>
          <w:p w14:paraId="2ED81E93" w14:textId="77777777" w:rsidR="00A720EB" w:rsidRDefault="0030286B">
            <w:pPr>
              <w:pStyle w:val="TableParagraph"/>
              <w:spacing w:before="40"/>
              <w:rPr>
                <w:sz w:val="21"/>
              </w:rPr>
            </w:pPr>
            <w:r>
              <w:rPr>
                <w:color w:val="B02045"/>
                <w:sz w:val="21"/>
              </w:rPr>
              <w:t>Ordered.LOWEST_PRECEDENCE - 10</w:t>
            </w:r>
          </w:p>
        </w:tc>
      </w:tr>
    </w:tbl>
    <w:p w14:paraId="5B1A5169" w14:textId="77777777" w:rsidR="00A720EB" w:rsidRDefault="00A720EB">
      <w:pPr>
        <w:pStyle w:val="a3"/>
        <w:spacing w:before="7"/>
        <w:rPr>
          <w:sz w:val="28"/>
        </w:rPr>
      </w:pPr>
    </w:p>
    <w:p w14:paraId="1BB21532" w14:textId="77777777" w:rsidR="00A720EB" w:rsidRDefault="0030286B">
      <w:pPr>
        <w:pStyle w:val="3"/>
        <w:numPr>
          <w:ilvl w:val="2"/>
          <w:numId w:val="68"/>
        </w:numPr>
        <w:tabs>
          <w:tab w:val="left" w:pos="858"/>
        </w:tabs>
        <w:ind w:hanging="734"/>
      </w:pPr>
      <w:bookmarkStart w:id="267" w:name="4.7.3._JAX-RS_and_Jersey"/>
      <w:bookmarkStart w:id="268" w:name="_Toc54423751"/>
      <w:bookmarkEnd w:id="267"/>
      <w:r>
        <w:rPr>
          <w:color w:val="333333"/>
          <w:w w:val="105"/>
        </w:rPr>
        <w:t>JAX-RS and</w:t>
      </w:r>
      <w:r>
        <w:rPr>
          <w:color w:val="333333"/>
          <w:spacing w:val="-3"/>
          <w:w w:val="105"/>
        </w:rPr>
        <w:t xml:space="preserve"> </w:t>
      </w:r>
      <w:r>
        <w:rPr>
          <w:color w:val="333333"/>
          <w:w w:val="105"/>
        </w:rPr>
        <w:t>Jersey</w:t>
      </w:r>
      <w:bookmarkEnd w:id="268"/>
    </w:p>
    <w:p w14:paraId="19E3CFCC" w14:textId="77777777" w:rsidR="00A720EB" w:rsidRDefault="0030286B">
      <w:pPr>
        <w:pStyle w:val="a3"/>
        <w:spacing w:before="254" w:line="300" w:lineRule="auto"/>
        <w:ind w:left="124" w:right="127"/>
        <w:jc w:val="both"/>
      </w:pPr>
      <w:r>
        <w:rPr>
          <w:color w:val="333333"/>
          <w:w w:val="110"/>
        </w:rPr>
        <w:t xml:space="preserve">If you prefer the JAX-RS programming model for REST endpoints, you can use one of the </w:t>
      </w:r>
      <w:proofErr w:type="gramStart"/>
      <w:r>
        <w:rPr>
          <w:color w:val="333333"/>
          <w:w w:val="110"/>
        </w:rPr>
        <w:t>available  implementations</w:t>
      </w:r>
      <w:proofErr w:type="gramEnd"/>
      <w:r>
        <w:rPr>
          <w:color w:val="333333"/>
          <w:w w:val="110"/>
        </w:rPr>
        <w:t xml:space="preserve"> instead of Spring MVC. </w:t>
      </w:r>
      <w:hyperlink r:id="rId163">
        <w:r>
          <w:rPr>
            <w:color w:val="418BCA"/>
            <w:w w:val="110"/>
          </w:rPr>
          <w:t xml:space="preserve">Jersey </w:t>
        </w:r>
      </w:hyperlink>
      <w:r>
        <w:rPr>
          <w:color w:val="333333"/>
          <w:w w:val="110"/>
        </w:rPr>
        <w:t xml:space="preserve">and </w:t>
      </w:r>
      <w:hyperlink r:id="rId164">
        <w:r>
          <w:rPr>
            <w:color w:val="418BCA"/>
            <w:w w:val="110"/>
          </w:rPr>
          <w:t xml:space="preserve">Apache CXF </w:t>
        </w:r>
      </w:hyperlink>
      <w:r>
        <w:rPr>
          <w:color w:val="333333"/>
          <w:w w:val="110"/>
        </w:rPr>
        <w:t xml:space="preserve">work quite well out of the box. CXF requires you to register its </w:t>
      </w:r>
      <w:r>
        <w:rPr>
          <w:rFonts w:ascii="MS Gothic"/>
          <w:color w:val="B02045"/>
          <w:w w:val="110"/>
        </w:rPr>
        <w:t>Servlet</w:t>
      </w:r>
      <w:r>
        <w:rPr>
          <w:rFonts w:ascii="MS Gothic"/>
          <w:color w:val="B02045"/>
          <w:spacing w:val="-65"/>
          <w:w w:val="110"/>
        </w:rPr>
        <w:t xml:space="preserve"> </w:t>
      </w:r>
      <w:r>
        <w:rPr>
          <w:color w:val="333333"/>
          <w:w w:val="110"/>
        </w:rPr>
        <w:t xml:space="preserve">or </w:t>
      </w:r>
      <w:r>
        <w:rPr>
          <w:rFonts w:ascii="MS Gothic"/>
          <w:color w:val="B02045"/>
          <w:w w:val="110"/>
        </w:rPr>
        <w:t>Filter</w:t>
      </w:r>
      <w:r>
        <w:rPr>
          <w:rFonts w:ascii="MS Gothic"/>
          <w:color w:val="B02045"/>
          <w:spacing w:val="-64"/>
          <w:w w:val="110"/>
        </w:rPr>
        <w:t xml:space="preserve"> </w:t>
      </w:r>
      <w:r>
        <w:rPr>
          <w:color w:val="333333"/>
          <w:w w:val="110"/>
        </w:rPr>
        <w:t xml:space="preserve">as a </w:t>
      </w:r>
      <w:r>
        <w:rPr>
          <w:rFonts w:ascii="MS Gothic"/>
          <w:color w:val="B02045"/>
          <w:w w:val="110"/>
        </w:rPr>
        <w:t>@Bean</w:t>
      </w:r>
      <w:r>
        <w:rPr>
          <w:rFonts w:ascii="MS Gothic"/>
          <w:color w:val="B02045"/>
          <w:spacing w:val="-64"/>
          <w:w w:val="110"/>
        </w:rPr>
        <w:t xml:space="preserve"> </w:t>
      </w:r>
      <w:r>
        <w:rPr>
          <w:color w:val="333333"/>
          <w:w w:val="110"/>
        </w:rPr>
        <w:t>in your application context. Jersey has some native Spring support, so we also provide auto-configuration support for it in Spring Boot, together with a starter.</w:t>
      </w:r>
    </w:p>
    <w:p w14:paraId="53A7742A" w14:textId="77777777" w:rsidR="00A720EB" w:rsidRDefault="0030286B">
      <w:pPr>
        <w:pStyle w:val="a3"/>
        <w:spacing w:before="240"/>
        <w:ind w:left="124"/>
        <w:jc w:val="both"/>
      </w:pPr>
      <w:r>
        <w:rPr>
          <w:color w:val="333333"/>
          <w:w w:val="110"/>
        </w:rPr>
        <w:t xml:space="preserve">To get started with Jersey, include the </w:t>
      </w:r>
      <w:r>
        <w:rPr>
          <w:rFonts w:ascii="MS Gothic"/>
          <w:color w:val="B02045"/>
          <w:w w:val="110"/>
        </w:rPr>
        <w:t xml:space="preserve">spring-boot-starter-jersey </w:t>
      </w:r>
      <w:r>
        <w:rPr>
          <w:color w:val="333333"/>
          <w:w w:val="110"/>
        </w:rPr>
        <w:t>as a dependency and then you</w:t>
      </w:r>
    </w:p>
    <w:p w14:paraId="5A204BCB" w14:textId="77777777" w:rsidR="00A720EB" w:rsidRDefault="00A720EB">
      <w:pPr>
        <w:jc w:val="both"/>
        <w:sectPr w:rsidR="00A720EB">
          <w:pgSz w:w="11910" w:h="16840"/>
          <w:pgMar w:top="700" w:right="840" w:bottom="520" w:left="840" w:header="0" w:footer="323" w:gutter="0"/>
          <w:cols w:space="720"/>
        </w:sectPr>
      </w:pPr>
    </w:p>
    <w:p w14:paraId="2408911A" w14:textId="77777777" w:rsidR="00A720EB" w:rsidRDefault="0030286B">
      <w:pPr>
        <w:pStyle w:val="a3"/>
        <w:spacing w:before="96" w:line="290" w:lineRule="auto"/>
        <w:ind w:left="124"/>
      </w:pPr>
      <w:r>
        <w:rPr>
          <w:color w:val="333333"/>
          <w:w w:val="110"/>
        </w:rPr>
        <w:lastRenderedPageBreak/>
        <w:t xml:space="preserve">need one </w:t>
      </w:r>
      <w:r>
        <w:rPr>
          <w:rFonts w:ascii="MS Gothic"/>
          <w:color w:val="B02045"/>
          <w:w w:val="110"/>
        </w:rPr>
        <w:t xml:space="preserve">@Bean </w:t>
      </w:r>
      <w:r>
        <w:rPr>
          <w:color w:val="333333"/>
          <w:w w:val="110"/>
        </w:rPr>
        <w:t xml:space="preserve">of type </w:t>
      </w:r>
      <w:r>
        <w:rPr>
          <w:rFonts w:ascii="MS Gothic"/>
          <w:color w:val="B02045"/>
          <w:w w:val="110"/>
        </w:rPr>
        <w:t xml:space="preserve">ResourceConfig </w:t>
      </w:r>
      <w:r>
        <w:rPr>
          <w:color w:val="333333"/>
          <w:w w:val="110"/>
        </w:rPr>
        <w:t>in which you register all the endpoints, as shown in the following example:</w:t>
      </w:r>
    </w:p>
    <w:p w14:paraId="77B34A90" w14:textId="77777777" w:rsidR="00A720EB" w:rsidRDefault="00E10349">
      <w:pPr>
        <w:pStyle w:val="a3"/>
        <w:spacing w:before="7"/>
        <w:rPr>
          <w:sz w:val="14"/>
        </w:rPr>
      </w:pPr>
      <w:r>
        <w:pict w14:anchorId="3D8A3C77">
          <v:group id="_x0000_s4291" style="position:absolute;margin-left:47.85pt;margin-top:10.55pt;width:499.55pt;height:140.7pt;z-index:-15528448;mso-wrap-distance-left:0;mso-wrap-distance-right:0;mso-position-horizontal-relative:page" coordorigin="957,211" coordsize="9991,2814">
            <v:shape id="_x0000_s4294" style="position:absolute;left:964;top:218;width:9976;height:2799" coordorigin="965,219" coordsize="9976,2799" path="m10861,219r-9816,l1014,225r-26,17l971,268r-6,31l965,2937r6,31l988,2994r26,17l1045,3017r9816,l10892,3011r25,-17l10935,2968r6,-31l10941,299r-6,-31l10917,242r-25,-17l10861,219xe" fillcolor="#f5f5f5" stroked="f">
              <v:path arrowok="t"/>
            </v:shape>
            <v:shape id="_x0000_s4293" style="position:absolute;left:964;top:218;width:9976;height:2799" coordorigin="965,219" coordsize="9976,2799" path="m1045,219r9816,l10892,225r25,17l10935,268r6,31l10941,2937r-6,31l10917,2994r-25,17l10861,3017r-9816,l1014,3011r-26,-17l971,2968r-6,-31l965,299r6,-31l988,242r26,-17l1045,219xe" filled="f" strokecolor="#ccc">
              <v:path arrowok="t"/>
            </v:shape>
            <v:shape id="_x0000_s4292" type="#_x0000_t202" style="position:absolute;left:984;top:234;width:9938;height:2768" filled="f" stroked="f">
              <v:textbox inset="0,0,0,0">
                <w:txbxContent>
                  <w:p w14:paraId="1337B422" w14:textId="77777777" w:rsidR="00711A16" w:rsidRDefault="00711A16">
                    <w:pPr>
                      <w:spacing w:before="221"/>
                      <w:ind w:left="200"/>
                      <w:rPr>
                        <w:rFonts w:ascii="MS Gothic"/>
                      </w:rPr>
                    </w:pPr>
                    <w:r>
                      <w:rPr>
                        <w:rFonts w:ascii="MS Gothic"/>
                        <w:color w:val="333333"/>
                      </w:rPr>
                      <w:t>@Component</w:t>
                    </w:r>
                  </w:p>
                  <w:p w14:paraId="5B063C6A" w14:textId="77777777" w:rsidR="00711A16" w:rsidRDefault="00711A16">
                    <w:pPr>
                      <w:spacing w:before="13"/>
                      <w:ind w:left="200"/>
                      <w:rPr>
                        <w:rFonts w:ascii="MS Gothic"/>
                      </w:rPr>
                    </w:pPr>
                    <w:r>
                      <w:rPr>
                        <w:rFonts w:ascii="MS Gothic"/>
                        <w:color w:val="333333"/>
                      </w:rPr>
                      <w:t>public class JerseyConfig extends ResourceConfig {</w:t>
                    </w:r>
                  </w:p>
                  <w:p w14:paraId="194893F7" w14:textId="77777777" w:rsidR="00711A16" w:rsidRDefault="00711A16">
                    <w:pPr>
                      <w:rPr>
                        <w:rFonts w:ascii="MS Gothic"/>
                        <w:sz w:val="24"/>
                      </w:rPr>
                    </w:pPr>
                  </w:p>
                  <w:p w14:paraId="10611BF6" w14:textId="77777777" w:rsidR="00711A16" w:rsidRDefault="00711A16">
                    <w:pPr>
                      <w:spacing w:line="252" w:lineRule="auto"/>
                      <w:ind w:left="1080" w:right="6088" w:hanging="440"/>
                      <w:rPr>
                        <w:rFonts w:ascii="MS Gothic"/>
                      </w:rPr>
                    </w:pPr>
                    <w:r>
                      <w:rPr>
                        <w:rFonts w:ascii="MS Gothic"/>
                        <w:color w:val="333333"/>
                      </w:rPr>
                      <w:t xml:space="preserve">public </w:t>
                    </w:r>
                    <w:proofErr w:type="gramStart"/>
                    <w:r>
                      <w:rPr>
                        <w:rFonts w:ascii="MS Gothic"/>
                        <w:color w:val="333333"/>
                      </w:rPr>
                      <w:t>JerseyConfig(</w:t>
                    </w:r>
                    <w:proofErr w:type="gramEnd"/>
                    <w:r>
                      <w:rPr>
                        <w:rFonts w:ascii="MS Gothic"/>
                        <w:color w:val="333333"/>
                      </w:rPr>
                      <w:t>) { register(Endpoint.class);</w:t>
                    </w:r>
                  </w:p>
                  <w:p w14:paraId="787A6CCD" w14:textId="77777777" w:rsidR="00711A16" w:rsidRDefault="00711A16">
                    <w:pPr>
                      <w:spacing w:line="280" w:lineRule="exact"/>
                      <w:ind w:left="640"/>
                      <w:rPr>
                        <w:rFonts w:ascii="MS Gothic"/>
                      </w:rPr>
                    </w:pPr>
                    <w:r>
                      <w:rPr>
                        <w:rFonts w:ascii="MS Gothic"/>
                        <w:color w:val="333333"/>
                      </w:rPr>
                      <w:t>}</w:t>
                    </w:r>
                  </w:p>
                  <w:p w14:paraId="0BACFCC5" w14:textId="77777777" w:rsidR="00711A16" w:rsidRDefault="00711A16">
                    <w:pPr>
                      <w:rPr>
                        <w:rFonts w:ascii="MS Gothic"/>
                        <w:sz w:val="24"/>
                      </w:rPr>
                    </w:pPr>
                  </w:p>
                  <w:p w14:paraId="0669D4A2" w14:textId="77777777" w:rsidR="00711A16" w:rsidRDefault="00711A16">
                    <w:pPr>
                      <w:ind w:left="200"/>
                      <w:rPr>
                        <w:rFonts w:ascii="MS Gothic"/>
                      </w:rPr>
                    </w:pPr>
                    <w:r>
                      <w:rPr>
                        <w:rFonts w:ascii="MS Gothic"/>
                        <w:color w:val="333333"/>
                      </w:rPr>
                      <w:t>}</w:t>
                    </w:r>
                  </w:p>
                </w:txbxContent>
              </v:textbox>
            </v:shape>
            <w10:wrap type="topAndBottom" anchorx="page"/>
          </v:group>
        </w:pict>
      </w:r>
    </w:p>
    <w:p w14:paraId="34407864" w14:textId="77777777" w:rsidR="00A720EB" w:rsidRDefault="00A720EB">
      <w:pPr>
        <w:pStyle w:val="a3"/>
        <w:spacing w:before="10"/>
        <w:rPr>
          <w:sz w:val="16"/>
        </w:rPr>
      </w:pPr>
    </w:p>
    <w:p w14:paraId="28575465" w14:textId="77777777" w:rsidR="00A720EB" w:rsidRDefault="00E10349">
      <w:pPr>
        <w:pStyle w:val="a3"/>
        <w:spacing w:before="125" w:line="292" w:lineRule="auto"/>
        <w:ind w:left="1564" w:right="363"/>
        <w:jc w:val="both"/>
      </w:pPr>
      <w:r>
        <w:pict w14:anchorId="7B3E7299">
          <v:line id="_x0000_s4290" style="position:absolute;left:0;text-align:left;z-index:15929856;mso-position-horizontal-relative:page" from="108.25pt,.25pt" to="108.25pt,87.15pt" strokecolor="#ededed" strokeweight=".5pt">
            <w10:wrap anchorx="page"/>
          </v:line>
        </w:pict>
      </w:r>
      <w:r w:rsidR="0030286B">
        <w:rPr>
          <w:noProof/>
        </w:rPr>
        <w:drawing>
          <wp:anchor distT="0" distB="0" distL="0" distR="0" simplePos="0" relativeHeight="15930368" behindDoc="0" locked="0" layoutInCell="1" allowOverlap="1" wp14:anchorId="25BF61D4" wp14:editId="3A18BA70">
            <wp:simplePos x="0" y="0"/>
            <wp:positionH relativeFrom="page">
              <wp:posOffset>815847</wp:posOffset>
            </wp:positionH>
            <wp:positionV relativeFrom="paragraph">
              <wp:posOffset>402755</wp:posOffset>
            </wp:positionV>
            <wp:extent cx="355600" cy="304800"/>
            <wp:effectExtent l="0" t="0" r="0" b="0"/>
            <wp:wrapNone/>
            <wp:docPr id="2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 xml:space="preserve">Jersey’s support for scanning executable archives is rather limited. For example, it cannot scan for endpoints in a package found in a </w:t>
      </w:r>
      <w:hyperlink w:anchor="_bookmark483" w:history="1">
        <w:r w:rsidR="0030286B">
          <w:rPr>
            <w:color w:val="418BCA"/>
            <w:w w:val="110"/>
          </w:rPr>
          <w:t>fully executable jar file</w:t>
        </w:r>
      </w:hyperlink>
      <w:r w:rsidR="0030286B">
        <w:rPr>
          <w:color w:val="418BCA"/>
          <w:w w:val="110"/>
        </w:rPr>
        <w:t xml:space="preserve"> </w:t>
      </w:r>
      <w:r w:rsidR="0030286B">
        <w:rPr>
          <w:color w:val="333333"/>
          <w:w w:val="110"/>
        </w:rPr>
        <w:t xml:space="preserve">or in </w:t>
      </w:r>
      <w:r w:rsidR="0030286B">
        <w:rPr>
          <w:rFonts w:ascii="MS Gothic" w:hAnsi="MS Gothic"/>
          <w:color w:val="B02045"/>
          <w:w w:val="110"/>
        </w:rPr>
        <w:t xml:space="preserve">WEB-INF/classes </w:t>
      </w:r>
      <w:r w:rsidR="0030286B">
        <w:rPr>
          <w:color w:val="333333"/>
          <w:w w:val="110"/>
        </w:rPr>
        <w:t xml:space="preserve">when running an executable war file. To avoid this limitation, the </w:t>
      </w:r>
      <w:r w:rsidR="0030286B">
        <w:rPr>
          <w:rFonts w:ascii="MS Gothic" w:hAnsi="MS Gothic"/>
          <w:color w:val="B02045"/>
          <w:w w:val="110"/>
        </w:rPr>
        <w:t xml:space="preserve">packages </w:t>
      </w:r>
      <w:r w:rsidR="0030286B">
        <w:rPr>
          <w:color w:val="333333"/>
          <w:w w:val="110"/>
        </w:rPr>
        <w:t xml:space="preserve">method should not be used, and endpoints should be registered individually by using the </w:t>
      </w:r>
      <w:r w:rsidR="0030286B">
        <w:rPr>
          <w:rFonts w:ascii="MS Gothic" w:hAnsi="MS Gothic"/>
          <w:color w:val="B02045"/>
          <w:w w:val="110"/>
        </w:rPr>
        <w:t xml:space="preserve">register </w:t>
      </w:r>
      <w:r w:rsidR="0030286B">
        <w:rPr>
          <w:color w:val="333333"/>
          <w:w w:val="110"/>
        </w:rPr>
        <w:t>method, as shown in the preceding example.</w:t>
      </w:r>
    </w:p>
    <w:p w14:paraId="394D65C8" w14:textId="77777777" w:rsidR="00A720EB" w:rsidRDefault="00A720EB">
      <w:pPr>
        <w:pStyle w:val="a3"/>
        <w:rPr>
          <w:sz w:val="16"/>
        </w:rPr>
      </w:pPr>
    </w:p>
    <w:p w14:paraId="6946813F" w14:textId="77777777" w:rsidR="00A720EB" w:rsidRDefault="0030286B">
      <w:pPr>
        <w:pStyle w:val="a3"/>
        <w:spacing w:before="125" w:line="297" w:lineRule="auto"/>
        <w:ind w:left="124" w:right="462"/>
      </w:pPr>
      <w:r>
        <w:rPr>
          <w:color w:val="333333"/>
          <w:w w:val="110"/>
        </w:rPr>
        <w:t xml:space="preserve">For more advanced customizations, you can also register an arbitrary number of beans that implement </w:t>
      </w:r>
      <w:r>
        <w:rPr>
          <w:rFonts w:ascii="MS Gothic"/>
          <w:color w:val="B02045"/>
          <w:w w:val="110"/>
        </w:rPr>
        <w:t>ResourceConfigCustomizer</w:t>
      </w:r>
      <w:r>
        <w:rPr>
          <w:color w:val="333333"/>
          <w:w w:val="110"/>
        </w:rPr>
        <w:t>.</w:t>
      </w:r>
    </w:p>
    <w:p w14:paraId="50D934B0" w14:textId="77777777" w:rsidR="00A720EB" w:rsidRDefault="0030286B">
      <w:pPr>
        <w:pStyle w:val="a3"/>
        <w:spacing w:before="222" w:line="290" w:lineRule="auto"/>
        <w:ind w:left="124"/>
      </w:pPr>
      <w:r>
        <w:rPr>
          <w:color w:val="333333"/>
          <w:w w:val="110"/>
        </w:rPr>
        <w:t xml:space="preserve">All the registered endpoints should be </w:t>
      </w:r>
      <w:r>
        <w:rPr>
          <w:rFonts w:ascii="MS Gothic"/>
          <w:color w:val="B02045"/>
          <w:w w:val="110"/>
        </w:rPr>
        <w:t xml:space="preserve">@Components </w:t>
      </w:r>
      <w:r>
        <w:rPr>
          <w:color w:val="333333"/>
          <w:w w:val="110"/>
        </w:rPr>
        <w:t>with HTTP resource annotations (</w:t>
      </w:r>
      <w:r>
        <w:rPr>
          <w:rFonts w:ascii="MS Gothic"/>
          <w:color w:val="B02045"/>
          <w:w w:val="110"/>
        </w:rPr>
        <w:t xml:space="preserve">@GET </w:t>
      </w:r>
      <w:r>
        <w:rPr>
          <w:color w:val="333333"/>
          <w:w w:val="110"/>
        </w:rPr>
        <w:t>and others), as shown in the following example:</w:t>
      </w:r>
    </w:p>
    <w:p w14:paraId="37C725DF" w14:textId="77777777" w:rsidR="00A720EB" w:rsidRDefault="00E10349">
      <w:pPr>
        <w:pStyle w:val="a3"/>
        <w:spacing w:before="7"/>
        <w:rPr>
          <w:sz w:val="14"/>
        </w:rPr>
      </w:pPr>
      <w:r>
        <w:pict w14:anchorId="61B52BE8">
          <v:group id="_x0000_s4286" style="position:absolute;margin-left:47.85pt;margin-top:10.55pt;width:499.55pt;height:170.15pt;z-index:-15527936;mso-wrap-distance-left:0;mso-wrap-distance-right:0;mso-position-horizontal-relative:page" coordorigin="957,211" coordsize="9991,3403">
            <v:shape id="_x0000_s4289" style="position:absolute;left:964;top:218;width:9976;height:3388" coordorigin="965,218" coordsize="9976,3388" path="m10861,218r-9816,l1014,225r-26,17l971,267r-6,31l965,3526r6,32l988,3583r26,17l1045,3606r9816,l10892,3600r25,-17l10935,3558r6,-32l10941,298r-6,-31l10917,242r-25,-17l10861,218xe" fillcolor="#f5f5f5" stroked="f">
              <v:path arrowok="t"/>
            </v:shape>
            <v:shape id="_x0000_s4288" style="position:absolute;left:964;top:218;width:9976;height:3388" coordorigin="965,218" coordsize="9976,3388" path="m1045,218r9816,l10892,225r25,17l10935,267r6,31l10941,3526r-6,32l10917,3583r-25,17l10861,3606r-9816,l1014,3600r-26,-17l971,3558r-6,-32l965,298r6,-31l988,242r26,-17l1045,218xe" filled="f" strokecolor="#ccc">
              <v:path arrowok="t"/>
            </v:shape>
            <v:shape id="_x0000_s4287" type="#_x0000_t202" style="position:absolute;left:984;top:233;width:9938;height:3358" filled="f" stroked="f">
              <v:textbox inset="0,0,0,0">
                <w:txbxContent>
                  <w:p w14:paraId="48C46AC5" w14:textId="77777777" w:rsidR="00711A16" w:rsidRDefault="00711A16">
                    <w:pPr>
                      <w:spacing w:before="221" w:line="252" w:lineRule="auto"/>
                      <w:ind w:left="200" w:right="8068"/>
                      <w:rPr>
                        <w:rFonts w:ascii="MS Gothic"/>
                      </w:rPr>
                    </w:pPr>
                    <w:r>
                      <w:rPr>
                        <w:rFonts w:ascii="MS Gothic"/>
                        <w:color w:val="333333"/>
                      </w:rPr>
                      <w:t>@Component @Path("/hello")</w:t>
                    </w:r>
                  </w:p>
                  <w:p w14:paraId="3240D6FE" w14:textId="77777777" w:rsidR="00711A16" w:rsidRDefault="00711A16">
                    <w:pPr>
                      <w:spacing w:line="280" w:lineRule="exact"/>
                      <w:ind w:left="200"/>
                      <w:rPr>
                        <w:rFonts w:ascii="MS Gothic"/>
                      </w:rPr>
                    </w:pPr>
                    <w:r>
                      <w:rPr>
                        <w:rFonts w:ascii="MS Gothic"/>
                        <w:color w:val="333333"/>
                      </w:rPr>
                      <w:t>public class Endpoint {</w:t>
                    </w:r>
                  </w:p>
                  <w:p w14:paraId="7C84966D" w14:textId="77777777" w:rsidR="00711A16" w:rsidRDefault="00711A16">
                    <w:pPr>
                      <w:rPr>
                        <w:rFonts w:ascii="MS Gothic"/>
                        <w:sz w:val="24"/>
                      </w:rPr>
                    </w:pPr>
                  </w:p>
                  <w:p w14:paraId="058BD0BB" w14:textId="77777777" w:rsidR="00711A16" w:rsidRDefault="00711A16">
                    <w:pPr>
                      <w:ind w:left="640"/>
                      <w:rPr>
                        <w:rFonts w:ascii="MS Gothic"/>
                      </w:rPr>
                    </w:pPr>
                    <w:r>
                      <w:rPr>
                        <w:rFonts w:ascii="MS Gothic"/>
                        <w:color w:val="333333"/>
                      </w:rPr>
                      <w:t>@GET</w:t>
                    </w:r>
                  </w:p>
                  <w:p w14:paraId="5FD35698" w14:textId="77777777" w:rsidR="00711A16" w:rsidRDefault="00711A16">
                    <w:pPr>
                      <w:spacing w:before="13" w:line="252" w:lineRule="auto"/>
                      <w:ind w:left="1080" w:right="6528" w:hanging="440"/>
                      <w:rPr>
                        <w:rFonts w:ascii="MS Gothic"/>
                      </w:rPr>
                    </w:pPr>
                    <w:r>
                      <w:rPr>
                        <w:rFonts w:ascii="MS Gothic"/>
                        <w:color w:val="333333"/>
                      </w:rPr>
                      <w:t xml:space="preserve">public String </w:t>
                    </w:r>
                    <w:proofErr w:type="gramStart"/>
                    <w:r>
                      <w:rPr>
                        <w:rFonts w:ascii="MS Gothic"/>
                        <w:color w:val="333333"/>
                      </w:rPr>
                      <w:t>message(</w:t>
                    </w:r>
                    <w:proofErr w:type="gramEnd"/>
                    <w:r>
                      <w:rPr>
                        <w:rFonts w:ascii="MS Gothic"/>
                        <w:color w:val="333333"/>
                      </w:rPr>
                      <w:t>) { return "Hello";</w:t>
                    </w:r>
                  </w:p>
                  <w:p w14:paraId="49ADFC0E" w14:textId="77777777" w:rsidR="00711A16" w:rsidRDefault="00711A16">
                    <w:pPr>
                      <w:spacing w:line="280" w:lineRule="exact"/>
                      <w:ind w:left="640"/>
                      <w:rPr>
                        <w:rFonts w:ascii="MS Gothic"/>
                      </w:rPr>
                    </w:pPr>
                    <w:r>
                      <w:rPr>
                        <w:rFonts w:ascii="MS Gothic"/>
                        <w:color w:val="333333"/>
                      </w:rPr>
                      <w:t>}</w:t>
                    </w:r>
                  </w:p>
                  <w:p w14:paraId="32AB8213" w14:textId="77777777" w:rsidR="00711A16" w:rsidRDefault="00711A16">
                    <w:pPr>
                      <w:rPr>
                        <w:rFonts w:ascii="MS Gothic"/>
                        <w:sz w:val="24"/>
                      </w:rPr>
                    </w:pPr>
                  </w:p>
                  <w:p w14:paraId="78A9D656" w14:textId="77777777" w:rsidR="00711A16" w:rsidRDefault="00711A16">
                    <w:pPr>
                      <w:ind w:left="200"/>
                      <w:rPr>
                        <w:rFonts w:ascii="MS Gothic"/>
                      </w:rPr>
                    </w:pPr>
                    <w:r>
                      <w:rPr>
                        <w:rFonts w:ascii="MS Gothic"/>
                        <w:color w:val="333333"/>
                      </w:rPr>
                      <w:t>}</w:t>
                    </w:r>
                  </w:p>
                </w:txbxContent>
              </v:textbox>
            </v:shape>
            <w10:wrap type="topAndBottom" anchorx="page"/>
          </v:group>
        </w:pict>
      </w:r>
    </w:p>
    <w:p w14:paraId="6E049EFF" w14:textId="77777777" w:rsidR="00A720EB" w:rsidRDefault="00A720EB">
      <w:pPr>
        <w:pStyle w:val="a3"/>
        <w:spacing w:before="11"/>
        <w:rPr>
          <w:sz w:val="9"/>
        </w:rPr>
      </w:pPr>
    </w:p>
    <w:p w14:paraId="42548550" w14:textId="77777777" w:rsidR="00A720EB" w:rsidRDefault="0030286B">
      <w:pPr>
        <w:pStyle w:val="a3"/>
        <w:spacing w:before="115" w:line="280" w:lineRule="auto"/>
        <w:ind w:left="124" w:right="122"/>
        <w:jc w:val="both"/>
      </w:pPr>
      <w:r>
        <w:rPr>
          <w:color w:val="333333"/>
          <w:w w:val="110"/>
        </w:rPr>
        <w:t xml:space="preserve">Since the </w:t>
      </w:r>
      <w:r>
        <w:rPr>
          <w:rFonts w:ascii="MS Gothic"/>
          <w:color w:val="B02045"/>
          <w:w w:val="110"/>
        </w:rPr>
        <w:t xml:space="preserve">Endpoint </w:t>
      </w:r>
      <w:r>
        <w:rPr>
          <w:color w:val="333333"/>
          <w:w w:val="110"/>
        </w:rPr>
        <w:t xml:space="preserve">is a Spring </w:t>
      </w:r>
      <w:r>
        <w:rPr>
          <w:rFonts w:ascii="MS Gothic"/>
          <w:color w:val="B02045"/>
          <w:w w:val="110"/>
        </w:rPr>
        <w:t>@Component</w:t>
      </w:r>
      <w:r>
        <w:rPr>
          <w:color w:val="333333"/>
          <w:w w:val="110"/>
        </w:rPr>
        <w:t xml:space="preserve">, its lifecycle is managed </w:t>
      </w:r>
      <w:r>
        <w:rPr>
          <w:color w:val="333333"/>
          <w:spacing w:val="-3"/>
          <w:w w:val="110"/>
        </w:rPr>
        <w:t xml:space="preserve">by </w:t>
      </w:r>
      <w:r>
        <w:rPr>
          <w:color w:val="333333"/>
          <w:w w:val="110"/>
        </w:rPr>
        <w:t xml:space="preserve">Spring and you can use </w:t>
      </w:r>
      <w:proofErr w:type="gramStart"/>
      <w:r>
        <w:rPr>
          <w:color w:val="333333"/>
          <w:w w:val="110"/>
        </w:rPr>
        <w:t xml:space="preserve">the  </w:t>
      </w:r>
      <w:r>
        <w:rPr>
          <w:rFonts w:ascii="MS Gothic"/>
          <w:color w:val="B02045"/>
          <w:w w:val="110"/>
        </w:rPr>
        <w:t>@</w:t>
      </w:r>
      <w:proofErr w:type="gramEnd"/>
      <w:r>
        <w:rPr>
          <w:rFonts w:ascii="MS Gothic"/>
          <w:color w:val="B02045"/>
          <w:w w:val="110"/>
        </w:rPr>
        <w:t xml:space="preserve">Autowired </w:t>
      </w:r>
      <w:r>
        <w:rPr>
          <w:color w:val="333333"/>
          <w:w w:val="110"/>
        </w:rPr>
        <w:t xml:space="preserve">annotation to inject dependencies and use the </w:t>
      </w:r>
      <w:r>
        <w:rPr>
          <w:rFonts w:ascii="MS Gothic"/>
          <w:color w:val="B02045"/>
          <w:w w:val="110"/>
        </w:rPr>
        <w:t xml:space="preserve">@Value </w:t>
      </w:r>
      <w:r>
        <w:rPr>
          <w:color w:val="333333"/>
          <w:w w:val="110"/>
        </w:rPr>
        <w:t xml:space="preserve">annotation to inject external configuration. </w:t>
      </w:r>
      <w:r>
        <w:rPr>
          <w:color w:val="333333"/>
          <w:spacing w:val="-3"/>
          <w:w w:val="110"/>
        </w:rPr>
        <w:t xml:space="preserve">By </w:t>
      </w:r>
      <w:r>
        <w:rPr>
          <w:color w:val="333333"/>
          <w:w w:val="110"/>
        </w:rPr>
        <w:t xml:space="preserve">default, the Jersey servlet is registered and mapped to </w:t>
      </w:r>
      <w:r>
        <w:rPr>
          <w:rFonts w:ascii="MS Gothic"/>
          <w:color w:val="B02045"/>
          <w:w w:val="110"/>
        </w:rPr>
        <w:t>/*</w:t>
      </w:r>
      <w:r>
        <w:rPr>
          <w:color w:val="333333"/>
          <w:w w:val="110"/>
        </w:rPr>
        <w:t xml:space="preserve">. </w:t>
      </w:r>
      <w:r>
        <w:rPr>
          <w:color w:val="333333"/>
          <w:spacing w:val="-6"/>
          <w:w w:val="110"/>
        </w:rPr>
        <w:t xml:space="preserve">You </w:t>
      </w:r>
      <w:r>
        <w:rPr>
          <w:color w:val="333333"/>
          <w:w w:val="110"/>
        </w:rPr>
        <w:t xml:space="preserve">can change the mapping </w:t>
      </w:r>
      <w:r>
        <w:rPr>
          <w:color w:val="333333"/>
          <w:spacing w:val="-3"/>
          <w:w w:val="110"/>
        </w:rPr>
        <w:t xml:space="preserve">by </w:t>
      </w:r>
      <w:r>
        <w:rPr>
          <w:color w:val="333333"/>
          <w:w w:val="110"/>
        </w:rPr>
        <w:t xml:space="preserve">adding </w:t>
      </w:r>
      <w:r>
        <w:rPr>
          <w:rFonts w:ascii="MS Gothic"/>
          <w:color w:val="B02045"/>
          <w:w w:val="110"/>
        </w:rPr>
        <w:t>@ApplicationPath</w:t>
      </w:r>
      <w:r>
        <w:rPr>
          <w:rFonts w:ascii="MS Gothic"/>
          <w:color w:val="B02045"/>
          <w:spacing w:val="-62"/>
          <w:w w:val="110"/>
        </w:rPr>
        <w:t xml:space="preserve"> </w:t>
      </w:r>
      <w:r>
        <w:rPr>
          <w:color w:val="333333"/>
          <w:w w:val="110"/>
        </w:rPr>
        <w:t xml:space="preserve">to your </w:t>
      </w:r>
      <w:r>
        <w:rPr>
          <w:rFonts w:ascii="MS Gothic"/>
          <w:color w:val="B02045"/>
          <w:w w:val="110"/>
        </w:rPr>
        <w:t>ResourceConfig</w:t>
      </w:r>
      <w:r>
        <w:rPr>
          <w:color w:val="333333"/>
          <w:w w:val="110"/>
        </w:rPr>
        <w:t>.</w:t>
      </w:r>
    </w:p>
    <w:p w14:paraId="3F8B1E76" w14:textId="77777777" w:rsidR="00A720EB" w:rsidRDefault="0030286B">
      <w:pPr>
        <w:pStyle w:val="a3"/>
        <w:spacing w:before="244" w:line="285" w:lineRule="auto"/>
        <w:ind w:left="124" w:right="122"/>
        <w:jc w:val="both"/>
      </w:pPr>
      <w:r>
        <w:rPr>
          <w:color w:val="333333"/>
          <w:spacing w:val="-3"/>
          <w:w w:val="110"/>
        </w:rPr>
        <w:t xml:space="preserve">By </w:t>
      </w:r>
      <w:r>
        <w:rPr>
          <w:color w:val="333333"/>
          <w:w w:val="110"/>
        </w:rPr>
        <w:t xml:space="preserve">default, Jersey is set up as a Servlet in a </w:t>
      </w:r>
      <w:r>
        <w:rPr>
          <w:rFonts w:ascii="MS Gothic"/>
          <w:color w:val="B02045"/>
          <w:w w:val="110"/>
        </w:rPr>
        <w:t xml:space="preserve">@Bean </w:t>
      </w:r>
      <w:r>
        <w:rPr>
          <w:color w:val="333333"/>
          <w:w w:val="110"/>
        </w:rPr>
        <w:t xml:space="preserve">of type </w:t>
      </w:r>
      <w:r>
        <w:rPr>
          <w:rFonts w:ascii="MS Gothic"/>
          <w:color w:val="B02045"/>
          <w:w w:val="110"/>
        </w:rPr>
        <w:t xml:space="preserve">ServletRegistrationBean </w:t>
      </w:r>
      <w:r>
        <w:rPr>
          <w:color w:val="333333"/>
          <w:w w:val="110"/>
        </w:rPr>
        <w:t xml:space="preserve">named </w:t>
      </w:r>
      <w:r>
        <w:rPr>
          <w:rFonts w:ascii="MS Gothic"/>
          <w:color w:val="B02045"/>
          <w:w w:val="110"/>
        </w:rPr>
        <w:t>jerseyServletRegistration</w:t>
      </w:r>
      <w:r>
        <w:rPr>
          <w:color w:val="333333"/>
          <w:w w:val="110"/>
        </w:rPr>
        <w:t xml:space="preserve">. </w:t>
      </w:r>
      <w:r>
        <w:rPr>
          <w:color w:val="333333"/>
          <w:spacing w:val="-3"/>
          <w:w w:val="110"/>
        </w:rPr>
        <w:t xml:space="preserve">By </w:t>
      </w:r>
      <w:r>
        <w:rPr>
          <w:color w:val="333333"/>
          <w:w w:val="110"/>
        </w:rPr>
        <w:t xml:space="preserve">default, the servlet is initialized </w:t>
      </w:r>
      <w:r>
        <w:rPr>
          <w:color w:val="333333"/>
          <w:spacing w:val="-4"/>
          <w:w w:val="110"/>
        </w:rPr>
        <w:t xml:space="preserve">lazily, </w:t>
      </w:r>
      <w:r>
        <w:rPr>
          <w:color w:val="333333"/>
          <w:w w:val="110"/>
        </w:rPr>
        <w:t xml:space="preserve">but you can customize that behavior </w:t>
      </w:r>
      <w:r>
        <w:rPr>
          <w:color w:val="333333"/>
          <w:spacing w:val="-3"/>
          <w:w w:val="110"/>
        </w:rPr>
        <w:t xml:space="preserve">by </w:t>
      </w:r>
      <w:r>
        <w:rPr>
          <w:color w:val="333333"/>
          <w:w w:val="110"/>
        </w:rPr>
        <w:t xml:space="preserve">setting </w:t>
      </w:r>
      <w:proofErr w:type="gramStart"/>
      <w:r>
        <w:rPr>
          <w:rFonts w:ascii="MS Gothic"/>
          <w:color w:val="B02045"/>
          <w:w w:val="110"/>
        </w:rPr>
        <w:t>spring.jersey</w:t>
      </w:r>
      <w:proofErr w:type="gramEnd"/>
      <w:r>
        <w:rPr>
          <w:rFonts w:ascii="MS Gothic"/>
          <w:color w:val="B02045"/>
          <w:w w:val="110"/>
        </w:rPr>
        <w:t>.servlet.load-on-startup</w:t>
      </w:r>
      <w:r>
        <w:rPr>
          <w:color w:val="333333"/>
          <w:w w:val="110"/>
        </w:rPr>
        <w:t xml:space="preserve">. </w:t>
      </w:r>
      <w:r>
        <w:rPr>
          <w:color w:val="333333"/>
          <w:spacing w:val="-6"/>
          <w:w w:val="110"/>
        </w:rPr>
        <w:t xml:space="preserve">You </w:t>
      </w:r>
      <w:r>
        <w:rPr>
          <w:color w:val="333333"/>
          <w:w w:val="110"/>
        </w:rPr>
        <w:t xml:space="preserve">can disable or override that bean </w:t>
      </w:r>
      <w:r>
        <w:rPr>
          <w:color w:val="333333"/>
          <w:spacing w:val="-3"/>
          <w:w w:val="110"/>
        </w:rPr>
        <w:t xml:space="preserve">by </w:t>
      </w:r>
      <w:r>
        <w:rPr>
          <w:color w:val="333333"/>
          <w:w w:val="110"/>
        </w:rPr>
        <w:t xml:space="preserve">creating one of your own with the same name. </w:t>
      </w:r>
      <w:r>
        <w:rPr>
          <w:color w:val="333333"/>
          <w:spacing w:val="-6"/>
          <w:w w:val="110"/>
        </w:rPr>
        <w:t xml:space="preserve">You </w:t>
      </w:r>
      <w:r>
        <w:rPr>
          <w:color w:val="333333"/>
          <w:w w:val="110"/>
        </w:rPr>
        <w:t xml:space="preserve">can also use a filter instead of a servlet </w:t>
      </w:r>
      <w:r>
        <w:rPr>
          <w:color w:val="333333"/>
          <w:spacing w:val="-3"/>
          <w:w w:val="110"/>
        </w:rPr>
        <w:t xml:space="preserve">by </w:t>
      </w:r>
      <w:r>
        <w:rPr>
          <w:color w:val="333333"/>
          <w:w w:val="110"/>
        </w:rPr>
        <w:t xml:space="preserve">setting </w:t>
      </w:r>
      <w:proofErr w:type="gramStart"/>
      <w:r>
        <w:rPr>
          <w:rFonts w:ascii="MS Gothic"/>
          <w:color w:val="B02045"/>
          <w:w w:val="110"/>
        </w:rPr>
        <w:t>spring.jersey</w:t>
      </w:r>
      <w:proofErr w:type="gramEnd"/>
      <w:r>
        <w:rPr>
          <w:rFonts w:ascii="MS Gothic"/>
          <w:color w:val="B02045"/>
          <w:w w:val="110"/>
        </w:rPr>
        <w:t xml:space="preserve">.type=filter </w:t>
      </w:r>
      <w:r>
        <w:rPr>
          <w:color w:val="333333"/>
          <w:w w:val="110"/>
        </w:rPr>
        <w:t xml:space="preserve">(in which case, the </w:t>
      </w:r>
      <w:r>
        <w:rPr>
          <w:rFonts w:ascii="MS Gothic"/>
          <w:color w:val="B02045"/>
          <w:w w:val="110"/>
        </w:rPr>
        <w:t xml:space="preserve">@Bean </w:t>
      </w:r>
      <w:r>
        <w:rPr>
          <w:color w:val="333333"/>
          <w:w w:val="110"/>
        </w:rPr>
        <w:t xml:space="preserve">to replace or override is </w:t>
      </w:r>
      <w:r>
        <w:rPr>
          <w:rFonts w:ascii="MS Gothic"/>
          <w:color w:val="B02045"/>
          <w:w w:val="110"/>
        </w:rPr>
        <w:t>jerseyFilterRegistration</w:t>
      </w:r>
      <w:r>
        <w:rPr>
          <w:color w:val="333333"/>
          <w:w w:val="110"/>
        </w:rPr>
        <w:t xml:space="preserve">). The filter has an </w:t>
      </w:r>
      <w:r>
        <w:rPr>
          <w:rFonts w:ascii="MS Gothic"/>
          <w:color w:val="B02045"/>
          <w:w w:val="110"/>
        </w:rPr>
        <w:t>@Order</w:t>
      </w:r>
      <w:r>
        <w:rPr>
          <w:color w:val="333333"/>
          <w:w w:val="110"/>
        </w:rPr>
        <w:t xml:space="preserve">, which you can set with </w:t>
      </w:r>
      <w:proofErr w:type="gramStart"/>
      <w:r>
        <w:rPr>
          <w:rFonts w:ascii="MS Gothic"/>
          <w:color w:val="B02045"/>
          <w:w w:val="110"/>
        </w:rPr>
        <w:t>spring.jersey</w:t>
      </w:r>
      <w:proofErr w:type="gramEnd"/>
      <w:r>
        <w:rPr>
          <w:rFonts w:ascii="MS Gothic"/>
          <w:color w:val="B02045"/>
          <w:w w:val="110"/>
        </w:rPr>
        <w:t>.filter.order</w:t>
      </w:r>
      <w:r>
        <w:rPr>
          <w:color w:val="333333"/>
          <w:w w:val="110"/>
        </w:rPr>
        <w:t>. Both the servlet and the filter registrations can be given init</w:t>
      </w:r>
    </w:p>
    <w:p w14:paraId="571C6AE2" w14:textId="77777777" w:rsidR="00A720EB" w:rsidRDefault="00A720EB">
      <w:pPr>
        <w:spacing w:line="285" w:lineRule="auto"/>
        <w:jc w:val="both"/>
        <w:sectPr w:rsidR="00A720EB">
          <w:pgSz w:w="11910" w:h="16840"/>
          <w:pgMar w:top="620" w:right="840" w:bottom="520" w:left="840" w:header="0" w:footer="323" w:gutter="0"/>
          <w:cols w:space="720"/>
        </w:sectPr>
      </w:pPr>
    </w:p>
    <w:p w14:paraId="783D4E05" w14:textId="77777777" w:rsidR="00A720EB" w:rsidRDefault="0030286B">
      <w:pPr>
        <w:pStyle w:val="a3"/>
        <w:spacing w:before="96"/>
        <w:ind w:left="124"/>
        <w:jc w:val="both"/>
      </w:pPr>
      <w:r>
        <w:rPr>
          <w:color w:val="333333"/>
          <w:w w:val="110"/>
        </w:rPr>
        <w:lastRenderedPageBreak/>
        <w:t xml:space="preserve">parameters </w:t>
      </w:r>
      <w:r>
        <w:rPr>
          <w:color w:val="333333"/>
          <w:spacing w:val="-3"/>
          <w:w w:val="110"/>
        </w:rPr>
        <w:t xml:space="preserve">by </w:t>
      </w:r>
      <w:r>
        <w:rPr>
          <w:color w:val="333333"/>
          <w:w w:val="110"/>
        </w:rPr>
        <w:t xml:space="preserve">using </w:t>
      </w:r>
      <w:r>
        <w:rPr>
          <w:rFonts w:ascii="MS Gothic"/>
          <w:color w:val="B02045"/>
          <w:w w:val="110"/>
        </w:rPr>
        <w:t>spring.jersey.init.*</w:t>
      </w:r>
      <w:r>
        <w:rPr>
          <w:rFonts w:ascii="MS Gothic"/>
          <w:color w:val="B02045"/>
          <w:spacing w:val="-60"/>
          <w:w w:val="110"/>
        </w:rPr>
        <w:t xml:space="preserve"> </w:t>
      </w:r>
      <w:r>
        <w:rPr>
          <w:color w:val="333333"/>
          <w:w w:val="110"/>
        </w:rPr>
        <w:t>to specify a map of properties.</w:t>
      </w:r>
    </w:p>
    <w:p w14:paraId="62E70190" w14:textId="77777777" w:rsidR="00A720EB" w:rsidRDefault="00A720EB">
      <w:pPr>
        <w:pStyle w:val="a3"/>
        <w:spacing w:before="6"/>
        <w:rPr>
          <w:sz w:val="30"/>
        </w:rPr>
      </w:pPr>
    </w:p>
    <w:p w14:paraId="5333D2F1" w14:textId="77777777" w:rsidR="00A720EB" w:rsidRDefault="0030286B">
      <w:pPr>
        <w:pStyle w:val="3"/>
        <w:numPr>
          <w:ilvl w:val="2"/>
          <w:numId w:val="68"/>
        </w:numPr>
        <w:tabs>
          <w:tab w:val="left" w:pos="858"/>
        </w:tabs>
        <w:ind w:hanging="734"/>
      </w:pPr>
      <w:bookmarkStart w:id="269" w:name="4.7.4._Embedded_Servlet_Container_Suppor"/>
      <w:bookmarkStart w:id="270" w:name="_Toc54423752"/>
      <w:bookmarkEnd w:id="269"/>
      <w:r>
        <w:rPr>
          <w:color w:val="333333"/>
          <w:w w:val="110"/>
        </w:rPr>
        <w:t>Embedded Servlet Container</w:t>
      </w:r>
      <w:r>
        <w:rPr>
          <w:color w:val="333333"/>
          <w:spacing w:val="-18"/>
          <w:w w:val="110"/>
        </w:rPr>
        <w:t xml:space="preserve"> </w:t>
      </w:r>
      <w:r>
        <w:rPr>
          <w:color w:val="333333"/>
          <w:w w:val="110"/>
        </w:rPr>
        <w:t>Support</w:t>
      </w:r>
      <w:bookmarkEnd w:id="270"/>
    </w:p>
    <w:p w14:paraId="06305B65" w14:textId="77777777" w:rsidR="00A720EB" w:rsidRDefault="0030286B">
      <w:pPr>
        <w:pStyle w:val="a3"/>
        <w:spacing w:before="254" w:line="302" w:lineRule="auto"/>
        <w:ind w:left="124" w:right="125"/>
        <w:jc w:val="both"/>
      </w:pPr>
      <w:r>
        <w:rPr>
          <w:color w:val="333333"/>
          <w:w w:val="110"/>
        </w:rPr>
        <w:t xml:space="preserve">Spring Boot includes support for embedded </w:t>
      </w:r>
      <w:hyperlink r:id="rId165">
        <w:r>
          <w:rPr>
            <w:color w:val="418BCA"/>
            <w:w w:val="110"/>
          </w:rPr>
          <w:t>Tomcat</w:t>
        </w:r>
      </w:hyperlink>
      <w:r>
        <w:rPr>
          <w:color w:val="333333"/>
          <w:w w:val="110"/>
        </w:rPr>
        <w:t xml:space="preserve">, </w:t>
      </w:r>
      <w:hyperlink r:id="rId166">
        <w:r>
          <w:rPr>
            <w:color w:val="418BCA"/>
            <w:w w:val="110"/>
          </w:rPr>
          <w:t>Jetty</w:t>
        </w:r>
      </w:hyperlink>
      <w:r>
        <w:rPr>
          <w:color w:val="333333"/>
          <w:w w:val="110"/>
        </w:rPr>
        <w:t xml:space="preserve">, and </w:t>
      </w:r>
      <w:hyperlink r:id="rId167">
        <w:r>
          <w:rPr>
            <w:color w:val="418BCA"/>
            <w:w w:val="110"/>
          </w:rPr>
          <w:t>Undertow</w:t>
        </w:r>
      </w:hyperlink>
      <w:r>
        <w:rPr>
          <w:color w:val="418BCA"/>
          <w:w w:val="110"/>
        </w:rPr>
        <w:t xml:space="preserve"> </w:t>
      </w:r>
      <w:r>
        <w:rPr>
          <w:color w:val="333333"/>
          <w:w w:val="110"/>
        </w:rPr>
        <w:t xml:space="preserve">servers. Most developers use the appropriate “Starter” to obtain a fully configured instance. By default, the embedded server listens for HTTP requests on port </w:t>
      </w:r>
      <w:r>
        <w:rPr>
          <w:rFonts w:ascii="MS Gothic" w:hAnsi="MS Gothic"/>
          <w:color w:val="B02045"/>
          <w:w w:val="110"/>
        </w:rPr>
        <w:t>8080</w:t>
      </w:r>
      <w:r>
        <w:rPr>
          <w:color w:val="333333"/>
          <w:w w:val="110"/>
        </w:rPr>
        <w:t>.</w:t>
      </w:r>
    </w:p>
    <w:p w14:paraId="082EDE21" w14:textId="77777777" w:rsidR="00A720EB" w:rsidRDefault="00A720EB">
      <w:pPr>
        <w:pStyle w:val="a3"/>
        <w:spacing w:before="6"/>
        <w:rPr>
          <w:sz w:val="24"/>
        </w:rPr>
      </w:pPr>
    </w:p>
    <w:p w14:paraId="090C4074" w14:textId="77777777" w:rsidR="00A720EB" w:rsidRDefault="0030286B">
      <w:pPr>
        <w:pStyle w:val="4"/>
      </w:pPr>
      <w:bookmarkStart w:id="271" w:name="Servlets,_Filters,_and_listeners"/>
      <w:bookmarkEnd w:id="271"/>
      <w:r>
        <w:rPr>
          <w:color w:val="333333"/>
          <w:w w:val="115"/>
        </w:rPr>
        <w:t>Servlets, Filters, and listeners</w:t>
      </w:r>
    </w:p>
    <w:p w14:paraId="361158EA" w14:textId="77777777" w:rsidR="00A720EB" w:rsidRDefault="00A720EB">
      <w:pPr>
        <w:pStyle w:val="a3"/>
        <w:spacing w:before="12"/>
        <w:rPr>
          <w:rFonts w:ascii="Palatino Linotype"/>
          <w:b/>
          <w:sz w:val="18"/>
        </w:rPr>
      </w:pPr>
    </w:p>
    <w:p w14:paraId="528CDA61" w14:textId="77777777" w:rsidR="00A720EB" w:rsidRDefault="0030286B">
      <w:pPr>
        <w:pStyle w:val="a3"/>
        <w:spacing w:line="295" w:lineRule="auto"/>
        <w:ind w:left="124" w:right="128"/>
        <w:jc w:val="both"/>
      </w:pPr>
      <w:r>
        <w:rPr>
          <w:color w:val="333333"/>
          <w:w w:val="110"/>
        </w:rPr>
        <w:t>When using an embedded servlet container, you can register servlets, filters, and all the listeners (such</w:t>
      </w:r>
      <w:r>
        <w:rPr>
          <w:color w:val="333333"/>
          <w:spacing w:val="-4"/>
          <w:w w:val="110"/>
        </w:rPr>
        <w:t xml:space="preserve"> </w:t>
      </w:r>
      <w:r>
        <w:rPr>
          <w:color w:val="333333"/>
          <w:w w:val="110"/>
        </w:rPr>
        <w:t>as</w:t>
      </w:r>
      <w:r>
        <w:rPr>
          <w:color w:val="333333"/>
          <w:spacing w:val="-4"/>
          <w:w w:val="110"/>
        </w:rPr>
        <w:t xml:space="preserve"> </w:t>
      </w:r>
      <w:r>
        <w:rPr>
          <w:rFonts w:ascii="MS Gothic"/>
          <w:color w:val="B02045"/>
          <w:w w:val="110"/>
        </w:rPr>
        <w:t>HttpSessionListener</w:t>
      </w:r>
      <w:r>
        <w:rPr>
          <w:color w:val="333333"/>
          <w:w w:val="110"/>
        </w:rPr>
        <w:t>)</w:t>
      </w:r>
      <w:r>
        <w:rPr>
          <w:color w:val="333333"/>
          <w:spacing w:val="-4"/>
          <w:w w:val="110"/>
        </w:rPr>
        <w:t xml:space="preserve"> </w:t>
      </w:r>
      <w:r>
        <w:rPr>
          <w:color w:val="333333"/>
          <w:w w:val="110"/>
        </w:rPr>
        <w:t>from</w:t>
      </w:r>
      <w:r>
        <w:rPr>
          <w:color w:val="333333"/>
          <w:spacing w:val="-3"/>
          <w:w w:val="110"/>
        </w:rPr>
        <w:t xml:space="preserve"> </w:t>
      </w:r>
      <w:r>
        <w:rPr>
          <w:color w:val="333333"/>
          <w:w w:val="110"/>
        </w:rPr>
        <w:t>the</w:t>
      </w:r>
      <w:r>
        <w:rPr>
          <w:color w:val="333333"/>
          <w:spacing w:val="-4"/>
          <w:w w:val="110"/>
        </w:rPr>
        <w:t xml:space="preserve"> </w:t>
      </w:r>
      <w:r>
        <w:rPr>
          <w:color w:val="333333"/>
          <w:w w:val="110"/>
        </w:rPr>
        <w:t>Servlet</w:t>
      </w:r>
      <w:r>
        <w:rPr>
          <w:color w:val="333333"/>
          <w:spacing w:val="-4"/>
          <w:w w:val="110"/>
        </w:rPr>
        <w:t xml:space="preserve"> </w:t>
      </w:r>
      <w:r>
        <w:rPr>
          <w:color w:val="333333"/>
          <w:w w:val="110"/>
        </w:rPr>
        <w:t>spec,</w:t>
      </w:r>
      <w:r>
        <w:rPr>
          <w:color w:val="333333"/>
          <w:spacing w:val="-4"/>
          <w:w w:val="110"/>
        </w:rPr>
        <w:t xml:space="preserve"> </w:t>
      </w:r>
      <w:r>
        <w:rPr>
          <w:color w:val="333333"/>
          <w:w w:val="110"/>
        </w:rPr>
        <w:t>either</w:t>
      </w:r>
      <w:r>
        <w:rPr>
          <w:color w:val="333333"/>
          <w:spacing w:val="-4"/>
          <w:w w:val="110"/>
        </w:rPr>
        <w:t xml:space="preserve"> </w:t>
      </w:r>
      <w:r>
        <w:rPr>
          <w:color w:val="333333"/>
          <w:spacing w:val="-3"/>
          <w:w w:val="110"/>
        </w:rPr>
        <w:t>by</w:t>
      </w:r>
      <w:r>
        <w:rPr>
          <w:color w:val="333333"/>
          <w:spacing w:val="-4"/>
          <w:w w:val="110"/>
        </w:rPr>
        <w:t xml:space="preserve"> </w:t>
      </w:r>
      <w:r>
        <w:rPr>
          <w:color w:val="333333"/>
          <w:w w:val="110"/>
        </w:rPr>
        <w:t>using</w:t>
      </w:r>
      <w:r>
        <w:rPr>
          <w:color w:val="333333"/>
          <w:spacing w:val="-5"/>
          <w:w w:val="110"/>
        </w:rPr>
        <w:t xml:space="preserve"> </w:t>
      </w:r>
      <w:r>
        <w:rPr>
          <w:color w:val="333333"/>
          <w:w w:val="110"/>
        </w:rPr>
        <w:t>Spring</w:t>
      </w:r>
      <w:r>
        <w:rPr>
          <w:color w:val="333333"/>
          <w:spacing w:val="-4"/>
          <w:w w:val="110"/>
        </w:rPr>
        <w:t xml:space="preserve"> </w:t>
      </w:r>
      <w:r>
        <w:rPr>
          <w:color w:val="333333"/>
          <w:w w:val="110"/>
        </w:rPr>
        <w:t>beans</w:t>
      </w:r>
      <w:r>
        <w:rPr>
          <w:color w:val="333333"/>
          <w:spacing w:val="-5"/>
          <w:w w:val="110"/>
        </w:rPr>
        <w:t xml:space="preserve"> </w:t>
      </w:r>
      <w:r>
        <w:rPr>
          <w:color w:val="333333"/>
          <w:w w:val="110"/>
        </w:rPr>
        <w:t>or</w:t>
      </w:r>
      <w:r>
        <w:rPr>
          <w:color w:val="333333"/>
          <w:spacing w:val="-4"/>
          <w:w w:val="110"/>
        </w:rPr>
        <w:t xml:space="preserve"> </w:t>
      </w:r>
      <w:r>
        <w:rPr>
          <w:color w:val="333333"/>
          <w:spacing w:val="-3"/>
          <w:w w:val="110"/>
        </w:rPr>
        <w:t>by</w:t>
      </w:r>
      <w:r>
        <w:rPr>
          <w:color w:val="333333"/>
          <w:spacing w:val="-4"/>
          <w:w w:val="110"/>
        </w:rPr>
        <w:t xml:space="preserve"> </w:t>
      </w:r>
      <w:r>
        <w:rPr>
          <w:color w:val="333333"/>
          <w:w w:val="110"/>
        </w:rPr>
        <w:t>scanning</w:t>
      </w:r>
      <w:r>
        <w:rPr>
          <w:color w:val="333333"/>
          <w:spacing w:val="-4"/>
          <w:w w:val="110"/>
        </w:rPr>
        <w:t xml:space="preserve"> </w:t>
      </w:r>
      <w:r>
        <w:rPr>
          <w:color w:val="333333"/>
          <w:w w:val="110"/>
        </w:rPr>
        <w:t>for Servlet</w:t>
      </w:r>
      <w:r>
        <w:rPr>
          <w:color w:val="333333"/>
          <w:spacing w:val="2"/>
          <w:w w:val="110"/>
        </w:rPr>
        <w:t xml:space="preserve"> </w:t>
      </w:r>
      <w:r>
        <w:rPr>
          <w:color w:val="333333"/>
          <w:w w:val="110"/>
        </w:rPr>
        <w:t>components.</w:t>
      </w:r>
    </w:p>
    <w:p w14:paraId="00A29F1F" w14:textId="77777777" w:rsidR="00A720EB" w:rsidRDefault="00A720EB">
      <w:pPr>
        <w:pStyle w:val="a3"/>
        <w:spacing w:before="4"/>
        <w:rPr>
          <w:sz w:val="26"/>
        </w:rPr>
      </w:pPr>
    </w:p>
    <w:p w14:paraId="79BF209B" w14:textId="77777777" w:rsidR="00A720EB" w:rsidRDefault="0030286B">
      <w:pPr>
        <w:spacing w:before="1"/>
        <w:ind w:left="124"/>
        <w:jc w:val="both"/>
        <w:rPr>
          <w:rFonts w:ascii="Palatino Linotype"/>
          <w:b/>
          <w:sz w:val="18"/>
        </w:rPr>
      </w:pPr>
      <w:bookmarkStart w:id="272" w:name="_bookmark174"/>
      <w:bookmarkEnd w:id="272"/>
      <w:r>
        <w:rPr>
          <w:rFonts w:ascii="Palatino Linotype"/>
          <w:b/>
          <w:color w:val="333333"/>
          <w:w w:val="110"/>
          <w:sz w:val="18"/>
        </w:rPr>
        <w:t>Registering Servlets, Filters, and Listeners as Spring Beans</w:t>
      </w:r>
    </w:p>
    <w:p w14:paraId="3452CAEE" w14:textId="77777777" w:rsidR="00A720EB" w:rsidRDefault="00A720EB">
      <w:pPr>
        <w:pStyle w:val="a3"/>
        <w:spacing w:before="1"/>
        <w:rPr>
          <w:rFonts w:ascii="Palatino Linotype"/>
          <w:b/>
          <w:sz w:val="18"/>
        </w:rPr>
      </w:pPr>
    </w:p>
    <w:p w14:paraId="673FCBC6" w14:textId="77777777" w:rsidR="00A720EB" w:rsidRDefault="0030286B">
      <w:pPr>
        <w:pStyle w:val="a3"/>
        <w:spacing w:line="295" w:lineRule="auto"/>
        <w:ind w:left="124" w:right="129"/>
        <w:jc w:val="both"/>
      </w:pPr>
      <w:r>
        <w:rPr>
          <w:color w:val="333333"/>
          <w:w w:val="110"/>
        </w:rPr>
        <w:t xml:space="preserve">Any </w:t>
      </w:r>
      <w:r>
        <w:rPr>
          <w:rFonts w:ascii="MS Gothic"/>
          <w:color w:val="B02045"/>
          <w:w w:val="110"/>
        </w:rPr>
        <w:t>Servlet</w:t>
      </w:r>
      <w:r>
        <w:rPr>
          <w:color w:val="333333"/>
          <w:w w:val="110"/>
        </w:rPr>
        <w:t xml:space="preserve">, </w:t>
      </w:r>
      <w:r>
        <w:rPr>
          <w:rFonts w:ascii="MS Gothic"/>
          <w:color w:val="B02045"/>
          <w:w w:val="110"/>
        </w:rPr>
        <w:t>Filter</w:t>
      </w:r>
      <w:r>
        <w:rPr>
          <w:color w:val="333333"/>
          <w:w w:val="110"/>
        </w:rPr>
        <w:t xml:space="preserve">, or servlet </w:t>
      </w:r>
      <w:r>
        <w:rPr>
          <w:rFonts w:ascii="MS Gothic"/>
          <w:color w:val="B02045"/>
          <w:w w:val="110"/>
        </w:rPr>
        <w:t xml:space="preserve">*Listener </w:t>
      </w:r>
      <w:r>
        <w:rPr>
          <w:color w:val="333333"/>
          <w:w w:val="110"/>
        </w:rPr>
        <w:t xml:space="preserve">instance that is a Spring bean is registered with the embedded container. This can be particularly convenient if you want to refer to a value from </w:t>
      </w:r>
      <w:proofErr w:type="gramStart"/>
      <w:r>
        <w:rPr>
          <w:color w:val="333333"/>
          <w:w w:val="110"/>
        </w:rPr>
        <w:t xml:space="preserve">your  </w:t>
      </w:r>
      <w:r>
        <w:rPr>
          <w:rFonts w:ascii="MS Gothic"/>
          <w:color w:val="B02045"/>
          <w:w w:val="110"/>
        </w:rPr>
        <w:t>application</w:t>
      </w:r>
      <w:proofErr w:type="gramEnd"/>
      <w:r>
        <w:rPr>
          <w:rFonts w:ascii="MS Gothic"/>
          <w:color w:val="B02045"/>
          <w:w w:val="110"/>
        </w:rPr>
        <w:t>.properties</w:t>
      </w:r>
      <w:r>
        <w:rPr>
          <w:rFonts w:ascii="MS Gothic"/>
          <w:color w:val="B02045"/>
          <w:spacing w:val="-63"/>
          <w:w w:val="110"/>
        </w:rPr>
        <w:t xml:space="preserve"> </w:t>
      </w:r>
      <w:r>
        <w:rPr>
          <w:color w:val="333333"/>
          <w:w w:val="110"/>
        </w:rPr>
        <w:t>during configuration.</w:t>
      </w:r>
    </w:p>
    <w:p w14:paraId="1579576E" w14:textId="77777777" w:rsidR="00A720EB" w:rsidRDefault="0030286B">
      <w:pPr>
        <w:pStyle w:val="a3"/>
        <w:spacing w:before="222" w:line="280" w:lineRule="auto"/>
        <w:ind w:left="124" w:right="123"/>
        <w:jc w:val="both"/>
      </w:pPr>
      <w:r>
        <w:rPr>
          <w:color w:val="333333"/>
          <w:spacing w:val="-3"/>
          <w:w w:val="110"/>
        </w:rPr>
        <w:t xml:space="preserve">By </w:t>
      </w:r>
      <w:r>
        <w:rPr>
          <w:color w:val="333333"/>
          <w:w w:val="110"/>
        </w:rPr>
        <w:t xml:space="preserve">default, if the context contains only a single Servlet, it is mapped to </w:t>
      </w:r>
      <w:r>
        <w:rPr>
          <w:rFonts w:ascii="MS Gothic"/>
          <w:color w:val="B02045"/>
          <w:w w:val="110"/>
        </w:rPr>
        <w:t>/</w:t>
      </w:r>
      <w:r>
        <w:rPr>
          <w:color w:val="333333"/>
          <w:w w:val="110"/>
        </w:rPr>
        <w:t>. In the case of multiple servlet beans, the bean name is used as a path prefix. Filters map to</w:t>
      </w:r>
      <w:r>
        <w:rPr>
          <w:color w:val="333333"/>
          <w:spacing w:val="4"/>
          <w:w w:val="110"/>
        </w:rPr>
        <w:t xml:space="preserve"> </w:t>
      </w:r>
      <w:r>
        <w:rPr>
          <w:rFonts w:ascii="MS Gothic"/>
          <w:color w:val="B02045"/>
          <w:w w:val="110"/>
        </w:rPr>
        <w:t>/*</w:t>
      </w:r>
      <w:r>
        <w:rPr>
          <w:color w:val="333333"/>
          <w:w w:val="110"/>
        </w:rPr>
        <w:t>.</w:t>
      </w:r>
    </w:p>
    <w:p w14:paraId="6B1BCB09" w14:textId="77777777" w:rsidR="00A720EB" w:rsidRDefault="0030286B">
      <w:pPr>
        <w:pStyle w:val="a3"/>
        <w:spacing w:before="241" w:line="280" w:lineRule="auto"/>
        <w:ind w:left="124" w:right="122"/>
        <w:jc w:val="both"/>
      </w:pPr>
      <w:r>
        <w:rPr>
          <w:color w:val="333333"/>
          <w:w w:val="110"/>
        </w:rPr>
        <w:t xml:space="preserve">If convention-based mapping is not flexible enough, you can use the </w:t>
      </w:r>
      <w:r>
        <w:rPr>
          <w:rFonts w:ascii="MS Gothic"/>
          <w:color w:val="B02045"/>
          <w:w w:val="110"/>
        </w:rPr>
        <w:t>ServletRegistrationBean</w:t>
      </w:r>
      <w:r>
        <w:rPr>
          <w:color w:val="333333"/>
          <w:w w:val="110"/>
        </w:rPr>
        <w:t xml:space="preserve">, </w:t>
      </w:r>
      <w:r>
        <w:rPr>
          <w:rFonts w:ascii="MS Gothic"/>
          <w:color w:val="B02045"/>
          <w:w w:val="110"/>
        </w:rPr>
        <w:t>FilterRegistrationBean</w:t>
      </w:r>
      <w:r>
        <w:rPr>
          <w:color w:val="333333"/>
          <w:w w:val="110"/>
        </w:rPr>
        <w:t xml:space="preserve">, and </w:t>
      </w:r>
      <w:r>
        <w:rPr>
          <w:rFonts w:ascii="MS Gothic"/>
          <w:color w:val="B02045"/>
          <w:w w:val="110"/>
        </w:rPr>
        <w:t>ServletListenerRegistrationBean</w:t>
      </w:r>
      <w:r>
        <w:rPr>
          <w:rFonts w:ascii="MS Gothic"/>
          <w:color w:val="B02045"/>
          <w:spacing w:val="-83"/>
          <w:w w:val="110"/>
        </w:rPr>
        <w:t xml:space="preserve"> </w:t>
      </w:r>
      <w:r>
        <w:rPr>
          <w:color w:val="333333"/>
          <w:w w:val="110"/>
        </w:rPr>
        <w:t>classes for complete control.</w:t>
      </w:r>
    </w:p>
    <w:p w14:paraId="2448FB54" w14:textId="77777777" w:rsidR="00A720EB" w:rsidRDefault="00A720EB">
      <w:pPr>
        <w:pStyle w:val="a3"/>
        <w:spacing w:before="6"/>
      </w:pPr>
    </w:p>
    <w:p w14:paraId="1EDE7E17" w14:textId="77777777" w:rsidR="00A720EB" w:rsidRDefault="0030286B">
      <w:pPr>
        <w:pStyle w:val="a3"/>
        <w:spacing w:line="288" w:lineRule="auto"/>
        <w:ind w:left="124" w:right="122"/>
        <w:jc w:val="both"/>
      </w:pPr>
      <w:r>
        <w:rPr>
          <w:color w:val="333333"/>
          <w:w w:val="110"/>
        </w:rPr>
        <w:t xml:space="preserve">It is usually safe to leave Filter beans unordered. If a specific order is required, you should annotate the </w:t>
      </w:r>
      <w:r>
        <w:rPr>
          <w:rFonts w:ascii="MS Gothic" w:hAnsi="MS Gothic"/>
          <w:color w:val="B02045"/>
          <w:w w:val="110"/>
        </w:rPr>
        <w:t>Filter</w:t>
      </w:r>
      <w:r>
        <w:rPr>
          <w:rFonts w:ascii="MS Gothic" w:hAnsi="MS Gothic"/>
          <w:color w:val="B02045"/>
          <w:spacing w:val="-64"/>
          <w:w w:val="110"/>
        </w:rPr>
        <w:t xml:space="preserve"> </w:t>
      </w:r>
      <w:r>
        <w:rPr>
          <w:color w:val="333333"/>
          <w:w w:val="110"/>
        </w:rPr>
        <w:t>with</w:t>
      </w:r>
      <w:r>
        <w:rPr>
          <w:color w:val="333333"/>
          <w:spacing w:val="1"/>
          <w:w w:val="110"/>
        </w:rPr>
        <w:t xml:space="preserve"> </w:t>
      </w:r>
      <w:r>
        <w:rPr>
          <w:rFonts w:ascii="MS Gothic" w:hAnsi="MS Gothic"/>
          <w:color w:val="B02045"/>
          <w:w w:val="110"/>
        </w:rPr>
        <w:t>@Order</w:t>
      </w:r>
      <w:r>
        <w:rPr>
          <w:rFonts w:ascii="MS Gothic" w:hAnsi="MS Gothic"/>
          <w:color w:val="B02045"/>
          <w:spacing w:val="-64"/>
          <w:w w:val="110"/>
        </w:rPr>
        <w:t xml:space="preserve"> </w:t>
      </w:r>
      <w:r>
        <w:rPr>
          <w:color w:val="333333"/>
          <w:w w:val="110"/>
        </w:rPr>
        <w:t>or</w:t>
      </w:r>
      <w:r>
        <w:rPr>
          <w:color w:val="333333"/>
          <w:spacing w:val="1"/>
          <w:w w:val="110"/>
        </w:rPr>
        <w:t xml:space="preserve"> </w:t>
      </w:r>
      <w:r>
        <w:rPr>
          <w:color w:val="333333"/>
          <w:w w:val="110"/>
        </w:rPr>
        <w:t>make</w:t>
      </w:r>
      <w:r>
        <w:rPr>
          <w:color w:val="333333"/>
          <w:spacing w:val="1"/>
          <w:w w:val="110"/>
        </w:rPr>
        <w:t xml:space="preserve"> </w:t>
      </w:r>
      <w:r>
        <w:rPr>
          <w:color w:val="333333"/>
          <w:w w:val="110"/>
        </w:rPr>
        <w:t>it</w:t>
      </w:r>
      <w:r>
        <w:rPr>
          <w:color w:val="333333"/>
          <w:spacing w:val="1"/>
          <w:w w:val="110"/>
        </w:rPr>
        <w:t xml:space="preserve"> </w:t>
      </w:r>
      <w:r>
        <w:rPr>
          <w:color w:val="333333"/>
          <w:w w:val="110"/>
        </w:rPr>
        <w:t>implement</w:t>
      </w:r>
      <w:r>
        <w:rPr>
          <w:color w:val="333333"/>
          <w:spacing w:val="2"/>
          <w:w w:val="110"/>
        </w:rPr>
        <w:t xml:space="preserve"> </w:t>
      </w:r>
      <w:r>
        <w:rPr>
          <w:rFonts w:ascii="MS Gothic" w:hAnsi="MS Gothic"/>
          <w:color w:val="B02045"/>
          <w:w w:val="110"/>
        </w:rPr>
        <w:t>Ordered</w:t>
      </w:r>
      <w:r>
        <w:rPr>
          <w:color w:val="333333"/>
          <w:w w:val="110"/>
        </w:rPr>
        <w:t>.</w:t>
      </w:r>
      <w:r>
        <w:rPr>
          <w:color w:val="333333"/>
          <w:spacing w:val="1"/>
          <w:w w:val="110"/>
        </w:rPr>
        <w:t xml:space="preserve"> </w:t>
      </w:r>
      <w:r>
        <w:rPr>
          <w:color w:val="333333"/>
          <w:spacing w:val="-6"/>
          <w:w w:val="110"/>
        </w:rPr>
        <w:t>You</w:t>
      </w:r>
      <w:r>
        <w:rPr>
          <w:color w:val="333333"/>
          <w:spacing w:val="1"/>
          <w:w w:val="110"/>
        </w:rPr>
        <w:t xml:space="preserve"> </w:t>
      </w:r>
      <w:r>
        <w:rPr>
          <w:color w:val="333333"/>
          <w:w w:val="110"/>
        </w:rPr>
        <w:t>cannot</w:t>
      </w:r>
      <w:r>
        <w:rPr>
          <w:color w:val="333333"/>
          <w:spacing w:val="1"/>
          <w:w w:val="110"/>
        </w:rPr>
        <w:t xml:space="preserve"> </w:t>
      </w:r>
      <w:r>
        <w:rPr>
          <w:color w:val="333333"/>
          <w:w w:val="110"/>
        </w:rPr>
        <w:t>configure the</w:t>
      </w:r>
      <w:r>
        <w:rPr>
          <w:color w:val="333333"/>
          <w:spacing w:val="1"/>
          <w:w w:val="110"/>
        </w:rPr>
        <w:t xml:space="preserve"> </w:t>
      </w:r>
      <w:r>
        <w:rPr>
          <w:color w:val="333333"/>
          <w:w w:val="110"/>
        </w:rPr>
        <w:t>order</w:t>
      </w:r>
      <w:r>
        <w:rPr>
          <w:color w:val="333333"/>
          <w:spacing w:val="1"/>
          <w:w w:val="110"/>
        </w:rPr>
        <w:t xml:space="preserve"> </w:t>
      </w:r>
      <w:r>
        <w:rPr>
          <w:color w:val="333333"/>
          <w:w w:val="110"/>
        </w:rPr>
        <w:t>of</w:t>
      </w:r>
      <w:r>
        <w:rPr>
          <w:color w:val="333333"/>
          <w:spacing w:val="1"/>
          <w:w w:val="110"/>
        </w:rPr>
        <w:t xml:space="preserve"> </w:t>
      </w:r>
      <w:r>
        <w:rPr>
          <w:color w:val="333333"/>
          <w:w w:val="110"/>
        </w:rPr>
        <w:t>a</w:t>
      </w:r>
      <w:r>
        <w:rPr>
          <w:color w:val="333333"/>
          <w:spacing w:val="1"/>
          <w:w w:val="110"/>
        </w:rPr>
        <w:t xml:space="preserve"> </w:t>
      </w:r>
      <w:r>
        <w:rPr>
          <w:rFonts w:ascii="MS Gothic" w:hAnsi="MS Gothic"/>
          <w:color w:val="B02045"/>
          <w:w w:val="110"/>
        </w:rPr>
        <w:t>Filter</w:t>
      </w:r>
      <w:r>
        <w:rPr>
          <w:rFonts w:ascii="MS Gothic" w:hAnsi="MS Gothic"/>
          <w:color w:val="B02045"/>
          <w:spacing w:val="-64"/>
          <w:w w:val="110"/>
        </w:rPr>
        <w:t xml:space="preserve"> </w:t>
      </w:r>
      <w:r>
        <w:rPr>
          <w:color w:val="333333"/>
          <w:spacing w:val="-3"/>
          <w:w w:val="110"/>
        </w:rPr>
        <w:t xml:space="preserve">by </w:t>
      </w:r>
      <w:r>
        <w:rPr>
          <w:color w:val="333333"/>
          <w:w w:val="110"/>
        </w:rPr>
        <w:t xml:space="preserve">annotating its bean method with </w:t>
      </w:r>
      <w:r>
        <w:rPr>
          <w:rFonts w:ascii="MS Gothic" w:hAnsi="MS Gothic"/>
          <w:color w:val="B02045"/>
          <w:w w:val="110"/>
        </w:rPr>
        <w:t>@Order</w:t>
      </w:r>
      <w:r>
        <w:rPr>
          <w:color w:val="333333"/>
          <w:w w:val="110"/>
        </w:rPr>
        <w:t xml:space="preserve">. If you cannot change the </w:t>
      </w:r>
      <w:r>
        <w:rPr>
          <w:rFonts w:ascii="MS Gothic" w:hAnsi="MS Gothic"/>
          <w:color w:val="B02045"/>
          <w:w w:val="110"/>
        </w:rPr>
        <w:t xml:space="preserve">Filter </w:t>
      </w:r>
      <w:r>
        <w:rPr>
          <w:color w:val="333333"/>
          <w:w w:val="110"/>
        </w:rPr>
        <w:t xml:space="preserve">class to add </w:t>
      </w:r>
      <w:r>
        <w:rPr>
          <w:rFonts w:ascii="MS Gothic" w:hAnsi="MS Gothic"/>
          <w:color w:val="B02045"/>
          <w:w w:val="110"/>
        </w:rPr>
        <w:t xml:space="preserve">@Order </w:t>
      </w:r>
      <w:proofErr w:type="gramStart"/>
      <w:r>
        <w:rPr>
          <w:color w:val="333333"/>
          <w:w w:val="110"/>
        </w:rPr>
        <w:t>or  implement</w:t>
      </w:r>
      <w:proofErr w:type="gramEnd"/>
      <w:r>
        <w:rPr>
          <w:color w:val="333333"/>
          <w:spacing w:val="-16"/>
          <w:w w:val="110"/>
        </w:rPr>
        <w:t xml:space="preserve"> </w:t>
      </w:r>
      <w:r>
        <w:rPr>
          <w:rFonts w:ascii="MS Gothic" w:hAnsi="MS Gothic"/>
          <w:color w:val="B02045"/>
          <w:w w:val="110"/>
        </w:rPr>
        <w:t>Ordered</w:t>
      </w:r>
      <w:r>
        <w:rPr>
          <w:color w:val="333333"/>
          <w:w w:val="110"/>
        </w:rPr>
        <w:t>,</w:t>
      </w:r>
      <w:r>
        <w:rPr>
          <w:color w:val="333333"/>
          <w:spacing w:val="-16"/>
          <w:w w:val="110"/>
        </w:rPr>
        <w:t xml:space="preserve"> </w:t>
      </w:r>
      <w:r>
        <w:rPr>
          <w:color w:val="333333"/>
          <w:w w:val="110"/>
        </w:rPr>
        <w:t>you</w:t>
      </w:r>
      <w:r>
        <w:rPr>
          <w:color w:val="333333"/>
          <w:spacing w:val="-16"/>
          <w:w w:val="110"/>
        </w:rPr>
        <w:t xml:space="preserve"> </w:t>
      </w:r>
      <w:r>
        <w:rPr>
          <w:color w:val="333333"/>
          <w:w w:val="110"/>
        </w:rPr>
        <w:t>must</w:t>
      </w:r>
      <w:r>
        <w:rPr>
          <w:color w:val="333333"/>
          <w:spacing w:val="-17"/>
          <w:w w:val="110"/>
        </w:rPr>
        <w:t xml:space="preserve"> </w:t>
      </w:r>
      <w:r>
        <w:rPr>
          <w:color w:val="333333"/>
          <w:w w:val="110"/>
        </w:rPr>
        <w:t>define</w:t>
      </w:r>
      <w:r>
        <w:rPr>
          <w:color w:val="333333"/>
          <w:spacing w:val="-16"/>
          <w:w w:val="110"/>
        </w:rPr>
        <w:t xml:space="preserve"> </w:t>
      </w:r>
      <w:r>
        <w:rPr>
          <w:color w:val="333333"/>
          <w:w w:val="110"/>
        </w:rPr>
        <w:t>a</w:t>
      </w:r>
      <w:r>
        <w:rPr>
          <w:color w:val="333333"/>
          <w:spacing w:val="-15"/>
          <w:w w:val="110"/>
        </w:rPr>
        <w:t xml:space="preserve"> </w:t>
      </w:r>
      <w:r>
        <w:rPr>
          <w:rFonts w:ascii="MS Gothic" w:hAnsi="MS Gothic"/>
          <w:color w:val="B02045"/>
          <w:w w:val="110"/>
        </w:rPr>
        <w:t>FilterRegistrationBean</w:t>
      </w:r>
      <w:r>
        <w:rPr>
          <w:rFonts w:ascii="MS Gothic" w:hAnsi="MS Gothic"/>
          <w:color w:val="B02045"/>
          <w:spacing w:val="-81"/>
          <w:w w:val="110"/>
        </w:rPr>
        <w:t xml:space="preserve"> </w:t>
      </w:r>
      <w:r>
        <w:rPr>
          <w:color w:val="333333"/>
          <w:w w:val="110"/>
        </w:rPr>
        <w:t>for</w:t>
      </w:r>
      <w:r>
        <w:rPr>
          <w:color w:val="333333"/>
          <w:spacing w:val="-16"/>
          <w:w w:val="110"/>
        </w:rPr>
        <w:t xml:space="preserve"> </w:t>
      </w:r>
      <w:r>
        <w:rPr>
          <w:color w:val="333333"/>
          <w:w w:val="110"/>
        </w:rPr>
        <w:t>the</w:t>
      </w:r>
      <w:r>
        <w:rPr>
          <w:color w:val="333333"/>
          <w:spacing w:val="-17"/>
          <w:w w:val="110"/>
        </w:rPr>
        <w:t xml:space="preserve"> </w:t>
      </w:r>
      <w:r>
        <w:rPr>
          <w:rFonts w:ascii="MS Gothic" w:hAnsi="MS Gothic"/>
          <w:color w:val="B02045"/>
          <w:w w:val="110"/>
        </w:rPr>
        <w:t>Filter</w:t>
      </w:r>
      <w:r>
        <w:rPr>
          <w:rFonts w:ascii="MS Gothic" w:hAnsi="MS Gothic"/>
          <w:color w:val="B02045"/>
          <w:spacing w:val="-81"/>
          <w:w w:val="110"/>
        </w:rPr>
        <w:t xml:space="preserve"> </w:t>
      </w:r>
      <w:r>
        <w:rPr>
          <w:color w:val="333333"/>
          <w:w w:val="110"/>
        </w:rPr>
        <w:t>and</w:t>
      </w:r>
      <w:r>
        <w:rPr>
          <w:color w:val="333333"/>
          <w:spacing w:val="-16"/>
          <w:w w:val="110"/>
        </w:rPr>
        <w:t xml:space="preserve"> </w:t>
      </w:r>
      <w:r>
        <w:rPr>
          <w:color w:val="333333"/>
          <w:w w:val="110"/>
        </w:rPr>
        <w:t>set</w:t>
      </w:r>
      <w:r>
        <w:rPr>
          <w:color w:val="333333"/>
          <w:spacing w:val="-17"/>
          <w:w w:val="110"/>
        </w:rPr>
        <w:t xml:space="preserve"> </w:t>
      </w:r>
      <w:r>
        <w:rPr>
          <w:color w:val="333333"/>
          <w:w w:val="110"/>
        </w:rPr>
        <w:t>the</w:t>
      </w:r>
      <w:r>
        <w:rPr>
          <w:color w:val="333333"/>
          <w:spacing w:val="-16"/>
          <w:w w:val="110"/>
        </w:rPr>
        <w:t xml:space="preserve"> </w:t>
      </w:r>
      <w:r>
        <w:rPr>
          <w:color w:val="333333"/>
          <w:w w:val="110"/>
        </w:rPr>
        <w:t xml:space="preserve">registration bean’s order using the </w:t>
      </w:r>
      <w:r>
        <w:rPr>
          <w:rFonts w:ascii="MS Gothic" w:hAnsi="MS Gothic"/>
          <w:color w:val="B02045"/>
          <w:w w:val="110"/>
        </w:rPr>
        <w:t xml:space="preserve">setOrder(int) </w:t>
      </w:r>
      <w:r>
        <w:rPr>
          <w:color w:val="333333"/>
          <w:w w:val="110"/>
        </w:rPr>
        <w:t xml:space="preserve">method. </w:t>
      </w:r>
      <w:r>
        <w:rPr>
          <w:color w:val="333333"/>
          <w:spacing w:val="-4"/>
          <w:w w:val="110"/>
        </w:rPr>
        <w:t xml:space="preserve">Avoid </w:t>
      </w:r>
      <w:r>
        <w:rPr>
          <w:color w:val="333333"/>
          <w:w w:val="110"/>
        </w:rPr>
        <w:t xml:space="preserve">configuring a Filter that reads the request body at </w:t>
      </w:r>
      <w:r>
        <w:rPr>
          <w:rFonts w:ascii="MS Gothic" w:hAnsi="MS Gothic"/>
          <w:color w:val="B02045"/>
          <w:w w:val="110"/>
        </w:rPr>
        <w:t>Ordered.HIGHEST_PRECEDENCE</w:t>
      </w:r>
      <w:r>
        <w:rPr>
          <w:color w:val="333333"/>
          <w:w w:val="110"/>
        </w:rPr>
        <w:t xml:space="preserve">, since it might go against the character encoding configuration of your application. If a Servlet filter wraps the request, it should be configured with an order that </w:t>
      </w:r>
      <w:proofErr w:type="gramStart"/>
      <w:r>
        <w:rPr>
          <w:color w:val="333333"/>
          <w:w w:val="110"/>
        </w:rPr>
        <w:t>is  less</w:t>
      </w:r>
      <w:proofErr w:type="gramEnd"/>
      <w:r>
        <w:rPr>
          <w:color w:val="333333"/>
          <w:w w:val="110"/>
        </w:rPr>
        <w:t xml:space="preserve"> than or equal to</w:t>
      </w:r>
      <w:r>
        <w:rPr>
          <w:color w:val="333333"/>
          <w:spacing w:val="-23"/>
          <w:w w:val="110"/>
        </w:rPr>
        <w:t xml:space="preserve"> </w:t>
      </w:r>
      <w:r>
        <w:rPr>
          <w:rFonts w:ascii="MS Gothic" w:hAnsi="MS Gothic"/>
          <w:color w:val="B02045"/>
          <w:w w:val="110"/>
        </w:rPr>
        <w:t>OrderedFilter.REQUEST_WRAPPER_FILTER_MAX_ORDER</w:t>
      </w:r>
      <w:r>
        <w:rPr>
          <w:color w:val="333333"/>
          <w:w w:val="110"/>
        </w:rPr>
        <w:t>.</w:t>
      </w:r>
    </w:p>
    <w:p w14:paraId="5897F126" w14:textId="77777777" w:rsidR="00A720EB" w:rsidRDefault="00A720EB">
      <w:pPr>
        <w:pStyle w:val="a3"/>
        <w:spacing w:before="3"/>
        <w:rPr>
          <w:sz w:val="16"/>
        </w:rPr>
      </w:pPr>
    </w:p>
    <w:p w14:paraId="580B32DE" w14:textId="77777777" w:rsidR="00A720EB" w:rsidRDefault="00E10349">
      <w:pPr>
        <w:pStyle w:val="a3"/>
        <w:spacing w:before="116" w:line="285" w:lineRule="auto"/>
        <w:ind w:left="1564" w:right="362"/>
        <w:jc w:val="both"/>
      </w:pPr>
      <w:r>
        <w:pict w14:anchorId="7E625F95">
          <v:line id="_x0000_s4285" style="position:absolute;left:0;text-align:left;z-index:15930880;mso-position-horizontal-relative:page" from="108.25pt,.35pt" to="108.25pt,55.7pt" strokecolor="#ededed" strokeweight=".5pt">
            <w10:wrap anchorx="page"/>
          </v:line>
        </w:pict>
      </w:r>
      <w:r w:rsidR="0030286B">
        <w:rPr>
          <w:noProof/>
        </w:rPr>
        <w:drawing>
          <wp:anchor distT="0" distB="0" distL="0" distR="0" simplePos="0" relativeHeight="15931392" behindDoc="0" locked="0" layoutInCell="1" allowOverlap="1" wp14:anchorId="1EF9E472" wp14:editId="73BDB311">
            <wp:simplePos x="0" y="0"/>
            <wp:positionH relativeFrom="page">
              <wp:posOffset>888949</wp:posOffset>
            </wp:positionH>
            <wp:positionV relativeFrom="paragraph">
              <wp:posOffset>203276</wp:posOffset>
            </wp:positionV>
            <wp:extent cx="209550" cy="304800"/>
            <wp:effectExtent l="0" t="0" r="0" b="0"/>
            <wp:wrapNone/>
            <wp:docPr id="25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To see the order of every </w:t>
      </w:r>
      <w:r w:rsidR="0030286B">
        <w:rPr>
          <w:rFonts w:ascii="MS Gothic"/>
          <w:color w:val="B02045"/>
          <w:w w:val="110"/>
        </w:rPr>
        <w:t xml:space="preserve">Filter </w:t>
      </w:r>
      <w:r w:rsidR="0030286B">
        <w:rPr>
          <w:color w:val="333333"/>
          <w:w w:val="110"/>
        </w:rPr>
        <w:t xml:space="preserve">in your application, enable debug level logging for the </w:t>
      </w:r>
      <w:r w:rsidR="0030286B">
        <w:rPr>
          <w:rFonts w:ascii="MS Gothic"/>
          <w:color w:val="B02045"/>
          <w:w w:val="110"/>
        </w:rPr>
        <w:t xml:space="preserve">web </w:t>
      </w:r>
      <w:hyperlink w:anchor="_bookmark136" w:history="1">
        <w:r w:rsidR="0030286B">
          <w:rPr>
            <w:color w:val="418BCA"/>
            <w:w w:val="110"/>
          </w:rPr>
          <w:t>logging group</w:t>
        </w:r>
      </w:hyperlink>
      <w:r w:rsidR="0030286B">
        <w:rPr>
          <w:color w:val="418BCA"/>
          <w:w w:val="110"/>
        </w:rPr>
        <w:t xml:space="preserve"> </w:t>
      </w:r>
      <w:r w:rsidR="0030286B">
        <w:rPr>
          <w:color w:val="333333"/>
          <w:w w:val="110"/>
        </w:rPr>
        <w:t>(</w:t>
      </w:r>
      <w:r w:rsidR="0030286B">
        <w:rPr>
          <w:rFonts w:ascii="MS Gothic"/>
          <w:color w:val="B02045"/>
          <w:w w:val="110"/>
        </w:rPr>
        <w:t>logging.level.web=debug</w:t>
      </w:r>
      <w:r w:rsidR="0030286B">
        <w:rPr>
          <w:color w:val="333333"/>
          <w:w w:val="110"/>
        </w:rPr>
        <w:t>). Details of the registered filters, including their order and URL patterns, will then be logged at startup.</w:t>
      </w:r>
    </w:p>
    <w:p w14:paraId="40AB5659" w14:textId="77777777" w:rsidR="00A720EB" w:rsidRDefault="00A720EB">
      <w:pPr>
        <w:pStyle w:val="a3"/>
        <w:spacing w:before="4"/>
        <w:rPr>
          <w:sz w:val="25"/>
        </w:rPr>
      </w:pPr>
    </w:p>
    <w:p w14:paraId="081C7D29" w14:textId="77777777" w:rsidR="00A720EB" w:rsidRDefault="00E10349">
      <w:pPr>
        <w:pStyle w:val="a3"/>
        <w:spacing w:before="116" w:line="280" w:lineRule="auto"/>
        <w:ind w:left="1564" w:right="365"/>
        <w:jc w:val="both"/>
      </w:pPr>
      <w:r>
        <w:pict w14:anchorId="4F8B8238">
          <v:line id="_x0000_s4284" style="position:absolute;left:0;text-align:left;z-index:15931904;mso-position-horizontal-relative:page" from="108.25pt,.35pt" to="108.25pt,55.7pt" strokecolor="#ededed" strokeweight=".5pt">
            <w10:wrap anchorx="page"/>
          </v:line>
        </w:pict>
      </w:r>
      <w:r w:rsidR="0030286B">
        <w:rPr>
          <w:noProof/>
        </w:rPr>
        <w:drawing>
          <wp:anchor distT="0" distB="0" distL="0" distR="0" simplePos="0" relativeHeight="15932416" behindDoc="0" locked="0" layoutInCell="1" allowOverlap="1" wp14:anchorId="360F7FAD" wp14:editId="0BA1E7D1">
            <wp:simplePos x="0" y="0"/>
            <wp:positionH relativeFrom="page">
              <wp:posOffset>815847</wp:posOffset>
            </wp:positionH>
            <wp:positionV relativeFrom="paragraph">
              <wp:posOffset>203276</wp:posOffset>
            </wp:positionV>
            <wp:extent cx="355600" cy="304800"/>
            <wp:effectExtent l="0" t="0" r="0" b="0"/>
            <wp:wrapNone/>
            <wp:docPr id="2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spacing w:val="-4"/>
          <w:w w:val="110"/>
        </w:rPr>
        <w:t xml:space="preserve">Take </w:t>
      </w:r>
      <w:r w:rsidR="0030286B">
        <w:rPr>
          <w:color w:val="333333"/>
          <w:w w:val="110"/>
        </w:rPr>
        <w:t xml:space="preserve">care when registering </w:t>
      </w:r>
      <w:r w:rsidR="0030286B">
        <w:rPr>
          <w:rFonts w:ascii="MS Gothic"/>
          <w:color w:val="B02045"/>
          <w:w w:val="110"/>
        </w:rPr>
        <w:t xml:space="preserve">Filter </w:t>
      </w:r>
      <w:r w:rsidR="0030286B">
        <w:rPr>
          <w:color w:val="333333"/>
          <w:w w:val="110"/>
        </w:rPr>
        <w:t xml:space="preserve">beans since they are initialized very early in the application lifectyle. If you need to register a </w:t>
      </w:r>
      <w:r w:rsidR="0030286B">
        <w:rPr>
          <w:rFonts w:ascii="MS Gothic"/>
          <w:color w:val="B02045"/>
          <w:w w:val="110"/>
        </w:rPr>
        <w:t xml:space="preserve">Filter </w:t>
      </w:r>
      <w:r w:rsidR="0030286B">
        <w:rPr>
          <w:color w:val="333333"/>
          <w:w w:val="110"/>
        </w:rPr>
        <w:t>that interacts with other beans,</w:t>
      </w:r>
      <w:r w:rsidR="0030286B">
        <w:rPr>
          <w:color w:val="333333"/>
          <w:spacing w:val="-11"/>
          <w:w w:val="110"/>
        </w:rPr>
        <w:t xml:space="preserve"> </w:t>
      </w:r>
      <w:r w:rsidR="0030286B">
        <w:rPr>
          <w:color w:val="333333"/>
          <w:w w:val="110"/>
        </w:rPr>
        <w:t>consider</w:t>
      </w:r>
      <w:r w:rsidR="0030286B">
        <w:rPr>
          <w:color w:val="333333"/>
          <w:spacing w:val="-10"/>
          <w:w w:val="110"/>
        </w:rPr>
        <w:t xml:space="preserve"> </w:t>
      </w:r>
      <w:r w:rsidR="0030286B">
        <w:rPr>
          <w:color w:val="333333"/>
          <w:w w:val="110"/>
        </w:rPr>
        <w:t>using</w:t>
      </w:r>
      <w:r w:rsidR="0030286B">
        <w:rPr>
          <w:color w:val="333333"/>
          <w:spacing w:val="-10"/>
          <w:w w:val="110"/>
        </w:rPr>
        <w:t xml:space="preserve"> </w:t>
      </w:r>
      <w:r w:rsidR="0030286B">
        <w:rPr>
          <w:color w:val="333333"/>
          <w:w w:val="110"/>
        </w:rPr>
        <w:t>a</w:t>
      </w:r>
      <w:r w:rsidR="0030286B">
        <w:rPr>
          <w:color w:val="333333"/>
          <w:spacing w:val="-9"/>
          <w:w w:val="110"/>
        </w:rPr>
        <w:t xml:space="preserve"> </w:t>
      </w:r>
      <w:hyperlink r:id="rId168">
        <w:r w:rsidR="0030286B">
          <w:rPr>
            <w:rFonts w:ascii="MS Gothic"/>
            <w:color w:val="B02045"/>
            <w:w w:val="110"/>
          </w:rPr>
          <w:t>DelegatingFilterProxyRegistrationBean</w:t>
        </w:r>
        <w:r w:rsidR="0030286B">
          <w:rPr>
            <w:rFonts w:ascii="MS Gothic"/>
            <w:color w:val="B02045"/>
            <w:spacing w:val="-74"/>
            <w:w w:val="110"/>
          </w:rPr>
          <w:t xml:space="preserve"> </w:t>
        </w:r>
      </w:hyperlink>
      <w:r w:rsidR="0030286B">
        <w:rPr>
          <w:color w:val="333333"/>
          <w:w w:val="110"/>
        </w:rPr>
        <w:t>instead.</w:t>
      </w:r>
    </w:p>
    <w:p w14:paraId="47FA45CA" w14:textId="77777777" w:rsidR="00A720EB" w:rsidRDefault="00A720EB">
      <w:pPr>
        <w:pStyle w:val="a3"/>
        <w:spacing w:before="8"/>
        <w:rPr>
          <w:sz w:val="24"/>
        </w:rPr>
      </w:pPr>
    </w:p>
    <w:p w14:paraId="6754438D" w14:textId="77777777" w:rsidR="00A720EB" w:rsidRDefault="0030286B">
      <w:pPr>
        <w:pStyle w:val="4"/>
        <w:spacing w:before="104"/>
      </w:pPr>
      <w:bookmarkStart w:id="273" w:name="Servlet_Context_Initialization"/>
      <w:bookmarkEnd w:id="273"/>
      <w:r>
        <w:rPr>
          <w:color w:val="333333"/>
          <w:w w:val="110"/>
        </w:rPr>
        <w:t>Servlet Context Initialization</w:t>
      </w:r>
    </w:p>
    <w:p w14:paraId="26B06B04" w14:textId="77777777" w:rsidR="00A720EB" w:rsidRDefault="00A720EB">
      <w:pPr>
        <w:pStyle w:val="a3"/>
        <w:spacing w:before="11"/>
        <w:rPr>
          <w:rFonts w:ascii="Palatino Linotype"/>
          <w:b/>
          <w:sz w:val="18"/>
        </w:rPr>
      </w:pPr>
    </w:p>
    <w:p w14:paraId="5906366B" w14:textId="77777777" w:rsidR="00A720EB" w:rsidRDefault="0030286B">
      <w:pPr>
        <w:pStyle w:val="a3"/>
        <w:tabs>
          <w:tab w:val="left" w:pos="5678"/>
          <w:tab w:val="left" w:pos="7824"/>
          <w:tab w:val="left" w:pos="9293"/>
        </w:tabs>
        <w:spacing w:line="290" w:lineRule="auto"/>
        <w:ind w:left="124" w:right="126"/>
        <w:jc w:val="both"/>
      </w:pPr>
      <w:proofErr w:type="gramStart"/>
      <w:r>
        <w:rPr>
          <w:color w:val="333333"/>
          <w:w w:val="110"/>
        </w:rPr>
        <w:t>Embedded  servlet</w:t>
      </w:r>
      <w:proofErr w:type="gramEnd"/>
      <w:r>
        <w:rPr>
          <w:color w:val="333333"/>
          <w:w w:val="110"/>
        </w:rPr>
        <w:t xml:space="preserve">  containers  do  not  directly  execute  the  Servlet  3.0+ </w:t>
      </w:r>
      <w:r>
        <w:rPr>
          <w:rFonts w:ascii="MS Gothic" w:hAnsi="MS Gothic"/>
          <w:color w:val="B02045"/>
        </w:rPr>
        <w:t>javax.servlet.ServletContainerInitializer</w:t>
      </w:r>
      <w:r>
        <w:rPr>
          <w:rFonts w:ascii="MS Gothic" w:hAnsi="MS Gothic"/>
          <w:color w:val="B02045"/>
        </w:rPr>
        <w:tab/>
      </w:r>
      <w:r>
        <w:rPr>
          <w:color w:val="333333"/>
          <w:w w:val="110"/>
        </w:rPr>
        <w:t>interface</w:t>
      </w:r>
      <w:r>
        <w:rPr>
          <w:color w:val="333333"/>
          <w:w w:val="110"/>
        </w:rPr>
        <w:tab/>
        <w:t>or</w:t>
      </w:r>
      <w:r>
        <w:rPr>
          <w:color w:val="333333"/>
          <w:w w:val="110"/>
        </w:rPr>
        <w:tab/>
      </w:r>
      <w:r>
        <w:rPr>
          <w:color w:val="333333"/>
          <w:spacing w:val="-3"/>
          <w:w w:val="110"/>
        </w:rPr>
        <w:t xml:space="preserve">Spring’s </w:t>
      </w:r>
      <w:r>
        <w:rPr>
          <w:rFonts w:ascii="MS Gothic" w:hAnsi="MS Gothic"/>
          <w:color w:val="B02045"/>
          <w:w w:val="105"/>
        </w:rPr>
        <w:t xml:space="preserve">org.springframework.web.WebApplicationInitializer </w:t>
      </w:r>
      <w:r>
        <w:rPr>
          <w:color w:val="333333"/>
          <w:w w:val="105"/>
        </w:rPr>
        <w:t xml:space="preserve">interface. This is an intentional design decision </w:t>
      </w:r>
      <w:r>
        <w:rPr>
          <w:color w:val="333333"/>
          <w:w w:val="110"/>
        </w:rPr>
        <w:t>intended</w:t>
      </w:r>
      <w:r>
        <w:rPr>
          <w:color w:val="333333"/>
          <w:spacing w:val="8"/>
          <w:w w:val="110"/>
        </w:rPr>
        <w:t xml:space="preserve"> </w:t>
      </w:r>
      <w:r>
        <w:rPr>
          <w:color w:val="333333"/>
          <w:w w:val="110"/>
        </w:rPr>
        <w:t>to</w:t>
      </w:r>
      <w:r>
        <w:rPr>
          <w:color w:val="333333"/>
          <w:spacing w:val="9"/>
          <w:w w:val="110"/>
        </w:rPr>
        <w:t xml:space="preserve"> </w:t>
      </w:r>
      <w:r>
        <w:rPr>
          <w:color w:val="333333"/>
          <w:w w:val="110"/>
        </w:rPr>
        <w:t>reduce</w:t>
      </w:r>
      <w:r>
        <w:rPr>
          <w:color w:val="333333"/>
          <w:spacing w:val="9"/>
          <w:w w:val="110"/>
        </w:rPr>
        <w:t xml:space="preserve"> </w:t>
      </w:r>
      <w:r>
        <w:rPr>
          <w:color w:val="333333"/>
          <w:w w:val="110"/>
        </w:rPr>
        <w:t>the</w:t>
      </w:r>
      <w:r>
        <w:rPr>
          <w:color w:val="333333"/>
          <w:spacing w:val="9"/>
          <w:w w:val="110"/>
        </w:rPr>
        <w:t xml:space="preserve"> </w:t>
      </w:r>
      <w:r>
        <w:rPr>
          <w:color w:val="333333"/>
          <w:w w:val="110"/>
        </w:rPr>
        <w:t>risk</w:t>
      </w:r>
      <w:r>
        <w:rPr>
          <w:color w:val="333333"/>
          <w:spacing w:val="9"/>
          <w:w w:val="110"/>
        </w:rPr>
        <w:t xml:space="preserve"> </w:t>
      </w:r>
      <w:r>
        <w:rPr>
          <w:color w:val="333333"/>
          <w:w w:val="110"/>
        </w:rPr>
        <w:t>that</w:t>
      </w:r>
      <w:r>
        <w:rPr>
          <w:color w:val="333333"/>
          <w:spacing w:val="9"/>
          <w:w w:val="110"/>
        </w:rPr>
        <w:t xml:space="preserve"> </w:t>
      </w:r>
      <w:proofErr w:type="gramStart"/>
      <w:r>
        <w:rPr>
          <w:color w:val="333333"/>
          <w:w w:val="110"/>
        </w:rPr>
        <w:t>third</w:t>
      </w:r>
      <w:r>
        <w:rPr>
          <w:color w:val="333333"/>
          <w:spacing w:val="9"/>
          <w:w w:val="110"/>
        </w:rPr>
        <w:t xml:space="preserve"> </w:t>
      </w:r>
      <w:r>
        <w:rPr>
          <w:color w:val="333333"/>
          <w:w w:val="110"/>
        </w:rPr>
        <w:t>party</w:t>
      </w:r>
      <w:proofErr w:type="gramEnd"/>
      <w:r>
        <w:rPr>
          <w:color w:val="333333"/>
          <w:spacing w:val="9"/>
          <w:w w:val="110"/>
        </w:rPr>
        <w:t xml:space="preserve"> </w:t>
      </w:r>
      <w:r>
        <w:rPr>
          <w:color w:val="333333"/>
          <w:w w:val="110"/>
        </w:rPr>
        <w:t>libraries</w:t>
      </w:r>
      <w:r>
        <w:rPr>
          <w:color w:val="333333"/>
          <w:spacing w:val="8"/>
          <w:w w:val="110"/>
        </w:rPr>
        <w:t xml:space="preserve"> </w:t>
      </w:r>
      <w:r>
        <w:rPr>
          <w:color w:val="333333"/>
          <w:w w:val="110"/>
        </w:rPr>
        <w:t>designed</w:t>
      </w:r>
      <w:r>
        <w:rPr>
          <w:color w:val="333333"/>
          <w:spacing w:val="9"/>
          <w:w w:val="110"/>
        </w:rPr>
        <w:t xml:space="preserve"> </w:t>
      </w:r>
      <w:r>
        <w:rPr>
          <w:color w:val="333333"/>
          <w:w w:val="110"/>
        </w:rPr>
        <w:t>to</w:t>
      </w:r>
      <w:r>
        <w:rPr>
          <w:color w:val="333333"/>
          <w:spacing w:val="9"/>
          <w:w w:val="110"/>
        </w:rPr>
        <w:t xml:space="preserve"> </w:t>
      </w:r>
      <w:r>
        <w:rPr>
          <w:color w:val="333333"/>
          <w:w w:val="110"/>
        </w:rPr>
        <w:t>run</w:t>
      </w:r>
      <w:r>
        <w:rPr>
          <w:color w:val="333333"/>
          <w:spacing w:val="9"/>
          <w:w w:val="110"/>
        </w:rPr>
        <w:t xml:space="preserve"> </w:t>
      </w:r>
      <w:r>
        <w:rPr>
          <w:color w:val="333333"/>
          <w:w w:val="110"/>
        </w:rPr>
        <w:t>inside</w:t>
      </w:r>
      <w:r>
        <w:rPr>
          <w:color w:val="333333"/>
          <w:spacing w:val="9"/>
          <w:w w:val="110"/>
        </w:rPr>
        <w:t xml:space="preserve"> </w:t>
      </w:r>
      <w:r>
        <w:rPr>
          <w:color w:val="333333"/>
          <w:w w:val="110"/>
        </w:rPr>
        <w:t>a</w:t>
      </w:r>
      <w:r>
        <w:rPr>
          <w:color w:val="333333"/>
          <w:spacing w:val="9"/>
          <w:w w:val="110"/>
        </w:rPr>
        <w:t xml:space="preserve"> </w:t>
      </w:r>
      <w:r>
        <w:rPr>
          <w:color w:val="333333"/>
          <w:w w:val="110"/>
        </w:rPr>
        <w:t>war</w:t>
      </w:r>
      <w:r>
        <w:rPr>
          <w:color w:val="333333"/>
          <w:spacing w:val="9"/>
          <w:w w:val="110"/>
        </w:rPr>
        <w:t xml:space="preserve"> </w:t>
      </w:r>
      <w:r>
        <w:rPr>
          <w:color w:val="333333"/>
          <w:w w:val="110"/>
        </w:rPr>
        <w:t>may</w:t>
      </w:r>
      <w:r>
        <w:rPr>
          <w:color w:val="333333"/>
          <w:spacing w:val="9"/>
          <w:w w:val="110"/>
        </w:rPr>
        <w:t xml:space="preserve"> </w:t>
      </w:r>
      <w:r>
        <w:rPr>
          <w:color w:val="333333"/>
          <w:w w:val="110"/>
        </w:rPr>
        <w:t>break</w:t>
      </w:r>
      <w:r>
        <w:rPr>
          <w:color w:val="333333"/>
          <w:spacing w:val="8"/>
          <w:w w:val="110"/>
        </w:rPr>
        <w:t xml:space="preserve"> </w:t>
      </w:r>
      <w:r>
        <w:rPr>
          <w:color w:val="333333"/>
          <w:w w:val="110"/>
        </w:rPr>
        <w:t>Spring</w:t>
      </w:r>
    </w:p>
    <w:p w14:paraId="5E628907" w14:textId="77777777" w:rsidR="00A720EB" w:rsidRDefault="00A720EB">
      <w:pPr>
        <w:spacing w:line="290" w:lineRule="auto"/>
        <w:jc w:val="both"/>
        <w:sectPr w:rsidR="00A720EB">
          <w:pgSz w:w="11910" w:h="16840"/>
          <w:pgMar w:top="620" w:right="840" w:bottom="520" w:left="840" w:header="0" w:footer="323" w:gutter="0"/>
          <w:cols w:space="720"/>
        </w:sectPr>
      </w:pPr>
    </w:p>
    <w:p w14:paraId="052FA970" w14:textId="77777777" w:rsidR="00A720EB" w:rsidRDefault="0030286B">
      <w:pPr>
        <w:pStyle w:val="a3"/>
        <w:spacing w:before="107"/>
        <w:ind w:left="124"/>
        <w:jc w:val="both"/>
      </w:pPr>
      <w:r>
        <w:rPr>
          <w:color w:val="333333"/>
          <w:w w:val="110"/>
        </w:rPr>
        <w:lastRenderedPageBreak/>
        <w:t>Boot applications.</w:t>
      </w:r>
    </w:p>
    <w:p w14:paraId="1083E3A4" w14:textId="77777777" w:rsidR="00A720EB" w:rsidRDefault="00A720EB">
      <w:pPr>
        <w:pStyle w:val="a3"/>
        <w:spacing w:before="4"/>
        <w:rPr>
          <w:sz w:val="26"/>
        </w:rPr>
      </w:pPr>
    </w:p>
    <w:p w14:paraId="2EC0B5AA" w14:textId="77777777" w:rsidR="00A720EB" w:rsidRDefault="0030286B">
      <w:pPr>
        <w:pStyle w:val="a3"/>
        <w:tabs>
          <w:tab w:val="left" w:pos="2233"/>
          <w:tab w:val="left" w:pos="3688"/>
          <w:tab w:val="left" w:pos="5519"/>
          <w:tab w:val="left" w:pos="7256"/>
          <w:tab w:val="left" w:pos="9777"/>
        </w:tabs>
        <w:spacing w:line="292" w:lineRule="auto"/>
        <w:ind w:left="124" w:right="122"/>
        <w:jc w:val="both"/>
      </w:pPr>
      <w:r>
        <w:rPr>
          <w:color w:val="333333"/>
          <w:w w:val="110"/>
        </w:rPr>
        <w:t xml:space="preserve">If you need to perform servlet context initialization in a Spring </w:t>
      </w:r>
      <w:proofErr w:type="gramStart"/>
      <w:r>
        <w:rPr>
          <w:color w:val="333333"/>
          <w:w w:val="110"/>
        </w:rPr>
        <w:t>Boot  application</w:t>
      </w:r>
      <w:proofErr w:type="gramEnd"/>
      <w:r>
        <w:rPr>
          <w:color w:val="333333"/>
          <w:w w:val="110"/>
        </w:rPr>
        <w:t>,  you  should  register</w:t>
      </w:r>
      <w:r>
        <w:rPr>
          <w:color w:val="333333"/>
          <w:w w:val="110"/>
        </w:rPr>
        <w:tab/>
        <w:t>a</w:t>
      </w:r>
      <w:r>
        <w:rPr>
          <w:color w:val="333333"/>
          <w:w w:val="110"/>
        </w:rPr>
        <w:tab/>
        <w:t>bean</w:t>
      </w:r>
      <w:r>
        <w:rPr>
          <w:color w:val="333333"/>
          <w:w w:val="110"/>
        </w:rPr>
        <w:tab/>
        <w:t>that</w:t>
      </w:r>
      <w:r>
        <w:rPr>
          <w:color w:val="333333"/>
          <w:w w:val="110"/>
        </w:rPr>
        <w:tab/>
        <w:t>implements</w:t>
      </w:r>
      <w:r>
        <w:rPr>
          <w:color w:val="333333"/>
          <w:w w:val="110"/>
        </w:rPr>
        <w:tab/>
      </w:r>
      <w:r>
        <w:rPr>
          <w:color w:val="333333"/>
          <w:spacing w:val="-5"/>
          <w:w w:val="110"/>
        </w:rPr>
        <w:t xml:space="preserve">the </w:t>
      </w:r>
      <w:r>
        <w:rPr>
          <w:rFonts w:ascii="MS Gothic"/>
          <w:color w:val="B02045"/>
          <w:w w:val="105"/>
        </w:rPr>
        <w:t xml:space="preserve">org.springframework.boot.web.servlet.ServletContextInitializer </w:t>
      </w:r>
      <w:r>
        <w:rPr>
          <w:color w:val="333333"/>
          <w:w w:val="105"/>
        </w:rPr>
        <w:t xml:space="preserve">interface. The single </w:t>
      </w:r>
      <w:r>
        <w:rPr>
          <w:rFonts w:ascii="MS Gothic"/>
          <w:color w:val="B02045"/>
          <w:w w:val="105"/>
        </w:rPr>
        <w:t xml:space="preserve">onStartup </w:t>
      </w:r>
      <w:r>
        <w:rPr>
          <w:color w:val="333333"/>
          <w:w w:val="110"/>
        </w:rPr>
        <w:t xml:space="preserve">method provides access to the </w:t>
      </w:r>
      <w:r>
        <w:rPr>
          <w:rFonts w:ascii="MS Gothic"/>
          <w:color w:val="B02045"/>
          <w:w w:val="110"/>
        </w:rPr>
        <w:t xml:space="preserve">ServletContext </w:t>
      </w:r>
      <w:r>
        <w:rPr>
          <w:color w:val="333333"/>
          <w:w w:val="110"/>
        </w:rPr>
        <w:t>and, if necessary, can easily be used as an adapter to an existing</w:t>
      </w:r>
      <w:r>
        <w:rPr>
          <w:color w:val="333333"/>
          <w:spacing w:val="1"/>
          <w:w w:val="110"/>
        </w:rPr>
        <w:t xml:space="preserve"> </w:t>
      </w:r>
      <w:r>
        <w:rPr>
          <w:rFonts w:ascii="MS Gothic"/>
          <w:color w:val="B02045"/>
          <w:w w:val="110"/>
        </w:rPr>
        <w:t>WebApplicationInitializer</w:t>
      </w:r>
      <w:r>
        <w:rPr>
          <w:color w:val="333333"/>
          <w:w w:val="110"/>
        </w:rPr>
        <w:t>.</w:t>
      </w:r>
    </w:p>
    <w:p w14:paraId="3205FF3E" w14:textId="77777777" w:rsidR="00A720EB" w:rsidRDefault="00A720EB">
      <w:pPr>
        <w:pStyle w:val="a3"/>
        <w:spacing w:before="11"/>
        <w:rPr>
          <w:sz w:val="24"/>
        </w:rPr>
      </w:pPr>
    </w:p>
    <w:p w14:paraId="2B1DC81D" w14:textId="77777777" w:rsidR="00A720EB" w:rsidRDefault="0030286B">
      <w:pPr>
        <w:ind w:left="124"/>
        <w:jc w:val="both"/>
        <w:rPr>
          <w:rFonts w:ascii="Palatino Linotype"/>
          <w:b/>
          <w:sz w:val="18"/>
        </w:rPr>
      </w:pPr>
      <w:r>
        <w:rPr>
          <w:rFonts w:ascii="Palatino Linotype"/>
          <w:b/>
          <w:color w:val="333333"/>
          <w:w w:val="115"/>
          <w:sz w:val="18"/>
        </w:rPr>
        <w:t>Scanning for Servlets, Filters, and listeners</w:t>
      </w:r>
    </w:p>
    <w:p w14:paraId="3092CB2A" w14:textId="77777777" w:rsidR="00A720EB" w:rsidRDefault="00A720EB">
      <w:pPr>
        <w:pStyle w:val="a3"/>
        <w:spacing w:before="1"/>
        <w:rPr>
          <w:rFonts w:ascii="Palatino Linotype"/>
          <w:b/>
          <w:sz w:val="18"/>
        </w:rPr>
      </w:pPr>
    </w:p>
    <w:p w14:paraId="0A88E0CE" w14:textId="77777777" w:rsidR="00A720EB" w:rsidRDefault="0030286B">
      <w:pPr>
        <w:pStyle w:val="a3"/>
        <w:spacing w:line="280" w:lineRule="auto"/>
        <w:ind w:left="124" w:right="122"/>
        <w:jc w:val="both"/>
      </w:pPr>
      <w:r>
        <w:rPr>
          <w:color w:val="333333"/>
          <w:w w:val="110"/>
        </w:rPr>
        <w:t xml:space="preserve">When using an embedded container, automatic registration of classes annotated with </w:t>
      </w:r>
      <w:r>
        <w:rPr>
          <w:rFonts w:ascii="MS Gothic"/>
          <w:color w:val="B02045"/>
          <w:w w:val="110"/>
        </w:rPr>
        <w:t>@WebServlet</w:t>
      </w:r>
      <w:r>
        <w:rPr>
          <w:color w:val="333333"/>
          <w:w w:val="110"/>
        </w:rPr>
        <w:t xml:space="preserve">, </w:t>
      </w:r>
      <w:r>
        <w:rPr>
          <w:rFonts w:ascii="MS Gothic"/>
          <w:color w:val="B02045"/>
          <w:w w:val="110"/>
        </w:rPr>
        <w:t>@WebFilter</w:t>
      </w:r>
      <w:r>
        <w:rPr>
          <w:color w:val="333333"/>
          <w:w w:val="110"/>
        </w:rPr>
        <w:t xml:space="preserve">, and </w:t>
      </w:r>
      <w:r>
        <w:rPr>
          <w:rFonts w:ascii="MS Gothic"/>
          <w:color w:val="B02045"/>
          <w:w w:val="110"/>
        </w:rPr>
        <w:t>@WebListener</w:t>
      </w:r>
      <w:r>
        <w:rPr>
          <w:rFonts w:ascii="MS Gothic"/>
          <w:color w:val="B02045"/>
          <w:spacing w:val="-97"/>
          <w:w w:val="110"/>
        </w:rPr>
        <w:t xml:space="preserve"> </w:t>
      </w:r>
      <w:r>
        <w:rPr>
          <w:color w:val="333333"/>
          <w:w w:val="110"/>
        </w:rPr>
        <w:t xml:space="preserve">can be enabled </w:t>
      </w:r>
      <w:r>
        <w:rPr>
          <w:color w:val="333333"/>
          <w:spacing w:val="-3"/>
          <w:w w:val="110"/>
        </w:rPr>
        <w:t xml:space="preserve">by </w:t>
      </w:r>
      <w:r>
        <w:rPr>
          <w:color w:val="333333"/>
          <w:w w:val="110"/>
        </w:rPr>
        <w:t xml:space="preserve">using </w:t>
      </w:r>
      <w:r>
        <w:rPr>
          <w:rFonts w:ascii="MS Gothic"/>
          <w:color w:val="B02045"/>
          <w:w w:val="110"/>
        </w:rPr>
        <w:t>@ServletComponentScan</w:t>
      </w:r>
      <w:r>
        <w:rPr>
          <w:color w:val="333333"/>
          <w:w w:val="110"/>
        </w:rPr>
        <w:t>.</w:t>
      </w:r>
    </w:p>
    <w:p w14:paraId="4024EA72" w14:textId="77777777" w:rsidR="00A720EB" w:rsidRDefault="00A720EB">
      <w:pPr>
        <w:pStyle w:val="a3"/>
        <w:spacing w:before="5"/>
        <w:rPr>
          <w:sz w:val="27"/>
        </w:rPr>
      </w:pPr>
    </w:p>
    <w:p w14:paraId="6342E650" w14:textId="77777777" w:rsidR="00A720EB" w:rsidRDefault="00E10349">
      <w:pPr>
        <w:pStyle w:val="a3"/>
        <w:spacing w:line="290" w:lineRule="auto"/>
        <w:ind w:left="1564" w:right="462"/>
      </w:pPr>
      <w:r>
        <w:pict w14:anchorId="5D46F9D7">
          <v:line id="_x0000_s4283" style="position:absolute;left:0;text-align:left;z-index:15932928;mso-position-horizontal-relative:page" from="108.25pt,-5.45pt" to="108.25pt,34.1pt" strokecolor="#ededed" strokeweight=".5pt">
            <w10:wrap anchorx="page"/>
          </v:line>
        </w:pict>
      </w:r>
      <w:r w:rsidR="0030286B">
        <w:rPr>
          <w:noProof/>
        </w:rPr>
        <w:drawing>
          <wp:anchor distT="0" distB="0" distL="0" distR="0" simplePos="0" relativeHeight="15933440" behindDoc="0" locked="0" layoutInCell="1" allowOverlap="1" wp14:anchorId="06EBA0CC" wp14:editId="188476F9">
            <wp:simplePos x="0" y="0"/>
            <wp:positionH relativeFrom="page">
              <wp:posOffset>888949</wp:posOffset>
            </wp:positionH>
            <wp:positionV relativeFrom="paragraph">
              <wp:posOffset>29413</wp:posOffset>
            </wp:positionV>
            <wp:extent cx="209550" cy="304800"/>
            <wp:effectExtent l="0" t="0" r="0" b="0"/>
            <wp:wrapNone/>
            <wp:docPr id="25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rFonts w:ascii="MS Gothic" w:hAnsi="MS Gothic"/>
          <w:color w:val="B02045"/>
          <w:w w:val="110"/>
        </w:rPr>
        <w:t xml:space="preserve">@ServletComponentScan </w:t>
      </w:r>
      <w:r w:rsidR="0030286B">
        <w:rPr>
          <w:color w:val="333333"/>
          <w:w w:val="110"/>
        </w:rPr>
        <w:t>has no effect in a standalone container, where the container’s built-in discovery mechanisms are used instead.</w:t>
      </w:r>
    </w:p>
    <w:p w14:paraId="188A6F2B" w14:textId="77777777" w:rsidR="00A720EB" w:rsidRDefault="00A720EB">
      <w:pPr>
        <w:pStyle w:val="a3"/>
        <w:rPr>
          <w:sz w:val="34"/>
        </w:rPr>
      </w:pPr>
    </w:p>
    <w:p w14:paraId="11D791E0" w14:textId="77777777" w:rsidR="00A720EB" w:rsidRDefault="0030286B">
      <w:pPr>
        <w:pStyle w:val="4"/>
      </w:pPr>
      <w:bookmarkStart w:id="274" w:name="The_ServletWebServerApplicationContext"/>
      <w:bookmarkEnd w:id="274"/>
      <w:r>
        <w:rPr>
          <w:color w:val="333333"/>
          <w:w w:val="110"/>
        </w:rPr>
        <w:t>The ServletWebServerApplicationContext</w:t>
      </w:r>
    </w:p>
    <w:p w14:paraId="1603FC45" w14:textId="77777777" w:rsidR="00A720EB" w:rsidRDefault="0030286B">
      <w:pPr>
        <w:pStyle w:val="a3"/>
        <w:tabs>
          <w:tab w:val="left" w:pos="1568"/>
          <w:tab w:val="left" w:pos="2389"/>
          <w:tab w:val="left" w:pos="6187"/>
          <w:tab w:val="left" w:pos="9880"/>
        </w:tabs>
        <w:spacing w:before="244" w:line="280" w:lineRule="auto"/>
        <w:ind w:left="124" w:right="122"/>
        <w:jc w:val="both"/>
      </w:pPr>
      <w:r>
        <w:rPr>
          <w:color w:val="333333"/>
          <w:w w:val="110"/>
        </w:rPr>
        <w:t xml:space="preserve">Under the hood, Spring Boot uses a different type of </w:t>
      </w:r>
      <w:r>
        <w:rPr>
          <w:rFonts w:ascii="MS Gothic"/>
          <w:color w:val="B02045"/>
          <w:w w:val="110"/>
        </w:rPr>
        <w:t xml:space="preserve">ApplicationContext </w:t>
      </w:r>
      <w:r>
        <w:rPr>
          <w:color w:val="333333"/>
          <w:w w:val="110"/>
        </w:rPr>
        <w:t xml:space="preserve">for embedded servlet container support. The </w:t>
      </w:r>
      <w:r>
        <w:rPr>
          <w:rFonts w:ascii="MS Gothic"/>
          <w:color w:val="B02045"/>
          <w:w w:val="110"/>
        </w:rPr>
        <w:t xml:space="preserve">ServletWebServerApplicationContext </w:t>
      </w:r>
      <w:r>
        <w:rPr>
          <w:color w:val="333333"/>
          <w:w w:val="110"/>
        </w:rPr>
        <w:t xml:space="preserve">is a special type of </w:t>
      </w:r>
      <w:r>
        <w:rPr>
          <w:rFonts w:ascii="MS Gothic"/>
          <w:color w:val="B02045"/>
          <w:w w:val="110"/>
        </w:rPr>
        <w:t>WebApplicationContext</w:t>
      </w:r>
      <w:r>
        <w:rPr>
          <w:rFonts w:ascii="MS Gothic"/>
          <w:color w:val="B02045"/>
          <w:spacing w:val="-93"/>
          <w:w w:val="110"/>
        </w:rPr>
        <w:t xml:space="preserve"> </w:t>
      </w:r>
      <w:r>
        <w:rPr>
          <w:color w:val="333333"/>
          <w:w w:val="110"/>
        </w:rPr>
        <w:t>that</w:t>
      </w:r>
      <w:r>
        <w:rPr>
          <w:color w:val="333333"/>
          <w:spacing w:val="-27"/>
          <w:w w:val="110"/>
        </w:rPr>
        <w:t xml:space="preserve"> </w:t>
      </w:r>
      <w:r>
        <w:rPr>
          <w:color w:val="333333"/>
          <w:w w:val="110"/>
        </w:rPr>
        <w:t>bootstraps</w:t>
      </w:r>
      <w:r>
        <w:rPr>
          <w:color w:val="333333"/>
          <w:spacing w:val="-28"/>
          <w:w w:val="110"/>
        </w:rPr>
        <w:t xml:space="preserve"> </w:t>
      </w:r>
      <w:r>
        <w:rPr>
          <w:color w:val="333333"/>
          <w:w w:val="110"/>
        </w:rPr>
        <w:t>itself</w:t>
      </w:r>
      <w:r>
        <w:rPr>
          <w:color w:val="333333"/>
          <w:spacing w:val="-27"/>
          <w:w w:val="110"/>
        </w:rPr>
        <w:t xml:space="preserve"> </w:t>
      </w:r>
      <w:r>
        <w:rPr>
          <w:color w:val="333333"/>
          <w:spacing w:val="-3"/>
          <w:w w:val="110"/>
        </w:rPr>
        <w:t>by</w:t>
      </w:r>
      <w:r>
        <w:rPr>
          <w:color w:val="333333"/>
          <w:spacing w:val="-28"/>
          <w:w w:val="110"/>
        </w:rPr>
        <w:t xml:space="preserve"> </w:t>
      </w:r>
      <w:r>
        <w:rPr>
          <w:color w:val="333333"/>
          <w:w w:val="110"/>
        </w:rPr>
        <w:t>searching</w:t>
      </w:r>
      <w:r>
        <w:rPr>
          <w:color w:val="333333"/>
          <w:spacing w:val="-27"/>
          <w:w w:val="110"/>
        </w:rPr>
        <w:t xml:space="preserve"> </w:t>
      </w:r>
      <w:r>
        <w:rPr>
          <w:color w:val="333333"/>
          <w:w w:val="110"/>
        </w:rPr>
        <w:t>for</w:t>
      </w:r>
      <w:r>
        <w:rPr>
          <w:color w:val="333333"/>
          <w:spacing w:val="-28"/>
          <w:w w:val="110"/>
        </w:rPr>
        <w:t xml:space="preserve"> </w:t>
      </w:r>
      <w:r>
        <w:rPr>
          <w:color w:val="333333"/>
          <w:w w:val="110"/>
        </w:rPr>
        <w:t>a</w:t>
      </w:r>
      <w:r>
        <w:rPr>
          <w:color w:val="333333"/>
          <w:spacing w:val="-27"/>
          <w:w w:val="110"/>
        </w:rPr>
        <w:t xml:space="preserve"> </w:t>
      </w:r>
      <w:r>
        <w:rPr>
          <w:color w:val="333333"/>
          <w:w w:val="110"/>
        </w:rPr>
        <w:t>single</w:t>
      </w:r>
      <w:r>
        <w:rPr>
          <w:color w:val="333333"/>
          <w:spacing w:val="-27"/>
          <w:w w:val="110"/>
        </w:rPr>
        <w:t xml:space="preserve"> </w:t>
      </w:r>
      <w:r>
        <w:rPr>
          <w:rFonts w:ascii="MS Gothic"/>
          <w:color w:val="B02045"/>
          <w:w w:val="110"/>
        </w:rPr>
        <w:t>ServletWebServerFactory</w:t>
      </w:r>
      <w:r>
        <w:rPr>
          <w:rFonts w:ascii="MS Gothic"/>
          <w:color w:val="B02045"/>
          <w:spacing w:val="-92"/>
          <w:w w:val="110"/>
        </w:rPr>
        <w:t xml:space="preserve"> </w:t>
      </w:r>
      <w:r>
        <w:rPr>
          <w:color w:val="333333"/>
          <w:w w:val="110"/>
        </w:rPr>
        <w:t>bean. Usually</w:t>
      </w:r>
      <w:r>
        <w:rPr>
          <w:color w:val="333333"/>
          <w:w w:val="110"/>
        </w:rPr>
        <w:tab/>
        <w:t>a</w:t>
      </w:r>
      <w:r>
        <w:rPr>
          <w:color w:val="333333"/>
          <w:w w:val="110"/>
        </w:rPr>
        <w:tab/>
      </w:r>
      <w:r>
        <w:rPr>
          <w:rFonts w:ascii="MS Gothic"/>
          <w:color w:val="B02045"/>
        </w:rPr>
        <w:t>TomcatServletWebServerFactory</w:t>
      </w:r>
      <w:r>
        <w:rPr>
          <w:color w:val="333333"/>
        </w:rPr>
        <w:t>,</w:t>
      </w:r>
      <w:r>
        <w:rPr>
          <w:color w:val="333333"/>
        </w:rPr>
        <w:tab/>
      </w:r>
      <w:r>
        <w:rPr>
          <w:rFonts w:ascii="MS Gothic"/>
          <w:color w:val="B02045"/>
        </w:rPr>
        <w:t>JettyServletWebServerFactory</w:t>
      </w:r>
      <w:r>
        <w:rPr>
          <w:color w:val="333333"/>
        </w:rPr>
        <w:t>,</w:t>
      </w:r>
      <w:r>
        <w:rPr>
          <w:color w:val="333333"/>
        </w:rPr>
        <w:tab/>
      </w:r>
      <w:r>
        <w:rPr>
          <w:color w:val="333333"/>
          <w:spacing w:val="-9"/>
          <w:w w:val="110"/>
        </w:rPr>
        <w:t xml:space="preserve">or </w:t>
      </w:r>
      <w:r>
        <w:rPr>
          <w:rFonts w:ascii="MS Gothic"/>
          <w:color w:val="B02045"/>
          <w:w w:val="110"/>
        </w:rPr>
        <w:t>UndertowServletWebServerFactory</w:t>
      </w:r>
      <w:r>
        <w:rPr>
          <w:rFonts w:ascii="MS Gothic"/>
          <w:color w:val="B02045"/>
          <w:spacing w:val="-69"/>
          <w:w w:val="110"/>
        </w:rPr>
        <w:t xml:space="preserve"> </w:t>
      </w:r>
      <w:r>
        <w:rPr>
          <w:color w:val="333333"/>
          <w:w w:val="110"/>
        </w:rPr>
        <w:t>has been auto-configured.</w:t>
      </w:r>
    </w:p>
    <w:p w14:paraId="31F197E4" w14:textId="77777777" w:rsidR="00A720EB" w:rsidRDefault="00A720EB">
      <w:pPr>
        <w:pStyle w:val="a3"/>
        <w:spacing w:before="10"/>
        <w:rPr>
          <w:sz w:val="17"/>
        </w:rPr>
      </w:pPr>
    </w:p>
    <w:p w14:paraId="1C5CE1D8" w14:textId="77777777" w:rsidR="00A720EB" w:rsidRDefault="00E10349">
      <w:pPr>
        <w:pStyle w:val="a3"/>
        <w:spacing w:before="125" w:line="290" w:lineRule="auto"/>
        <w:ind w:left="1564" w:right="363"/>
        <w:jc w:val="both"/>
      </w:pPr>
      <w:r>
        <w:pict w14:anchorId="2CD4DF29">
          <v:line id="_x0000_s4282" style="position:absolute;left:0;text-align:left;z-index:15933952;mso-position-horizontal-relative:page" from="108.25pt,.25pt" to="108.25pt,55.6pt" strokecolor="#ededed" strokeweight=".5pt">
            <w10:wrap anchorx="page"/>
          </v:line>
        </w:pict>
      </w:r>
      <w:r w:rsidR="0030286B">
        <w:rPr>
          <w:noProof/>
        </w:rPr>
        <w:drawing>
          <wp:anchor distT="0" distB="0" distL="0" distR="0" simplePos="0" relativeHeight="15934464" behindDoc="0" locked="0" layoutInCell="1" allowOverlap="1" wp14:anchorId="7D820447" wp14:editId="7FEB1691">
            <wp:simplePos x="0" y="0"/>
            <wp:positionH relativeFrom="page">
              <wp:posOffset>844422</wp:posOffset>
            </wp:positionH>
            <wp:positionV relativeFrom="paragraph">
              <wp:posOffset>205524</wp:posOffset>
            </wp:positionV>
            <wp:extent cx="298450" cy="298450"/>
            <wp:effectExtent l="0" t="0" r="0" b="0"/>
            <wp:wrapNone/>
            <wp:docPr id="2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6"/>
          <w:w w:val="110"/>
        </w:rPr>
        <w:t xml:space="preserve">You </w:t>
      </w:r>
      <w:r w:rsidR="0030286B">
        <w:rPr>
          <w:color w:val="333333"/>
          <w:w w:val="110"/>
        </w:rPr>
        <w:t xml:space="preserve">usually do not need to be aware of these implementation classes. Most applications are auto-configured, and the appropriate </w:t>
      </w:r>
      <w:r w:rsidR="0030286B">
        <w:rPr>
          <w:rFonts w:ascii="MS Gothic"/>
          <w:color w:val="B02045"/>
          <w:w w:val="110"/>
        </w:rPr>
        <w:t xml:space="preserve">ApplicationContext </w:t>
      </w:r>
      <w:r w:rsidR="0030286B">
        <w:rPr>
          <w:color w:val="333333"/>
          <w:w w:val="110"/>
        </w:rPr>
        <w:t xml:space="preserve">and </w:t>
      </w:r>
      <w:r w:rsidR="0030286B">
        <w:rPr>
          <w:rFonts w:ascii="MS Gothic"/>
          <w:color w:val="B02045"/>
          <w:w w:val="110"/>
        </w:rPr>
        <w:t>ServletWebServerFactory</w:t>
      </w:r>
      <w:r w:rsidR="0030286B">
        <w:rPr>
          <w:rFonts w:ascii="MS Gothic"/>
          <w:color w:val="B02045"/>
          <w:spacing w:val="-66"/>
          <w:w w:val="110"/>
        </w:rPr>
        <w:t xml:space="preserve"> </w:t>
      </w:r>
      <w:r w:rsidR="0030286B">
        <w:rPr>
          <w:color w:val="333333"/>
          <w:w w:val="110"/>
        </w:rPr>
        <w:t>are created on your behalf.</w:t>
      </w:r>
    </w:p>
    <w:p w14:paraId="3250D10B" w14:textId="77777777" w:rsidR="00A720EB" w:rsidRDefault="00A720EB">
      <w:pPr>
        <w:pStyle w:val="a3"/>
        <w:spacing w:before="4"/>
        <w:rPr>
          <w:sz w:val="23"/>
        </w:rPr>
      </w:pPr>
    </w:p>
    <w:p w14:paraId="617067F7" w14:textId="77777777" w:rsidR="00A720EB" w:rsidRDefault="0030286B">
      <w:pPr>
        <w:pStyle w:val="4"/>
        <w:spacing w:before="104"/>
      </w:pPr>
      <w:bookmarkStart w:id="275" w:name="Customizing_Embedded_Servlet_Containers"/>
      <w:bookmarkEnd w:id="275"/>
      <w:r>
        <w:rPr>
          <w:color w:val="333333"/>
          <w:w w:val="110"/>
        </w:rPr>
        <w:t>Customizing Embedded Servlet Containers</w:t>
      </w:r>
    </w:p>
    <w:p w14:paraId="305147D2" w14:textId="77777777" w:rsidR="00A720EB" w:rsidRDefault="0030286B">
      <w:pPr>
        <w:pStyle w:val="a3"/>
        <w:spacing w:before="244" w:line="280" w:lineRule="auto"/>
        <w:ind w:left="124" w:right="123"/>
        <w:jc w:val="both"/>
      </w:pPr>
      <w:r>
        <w:rPr>
          <w:color w:val="333333"/>
          <w:w w:val="110"/>
        </w:rPr>
        <w:t xml:space="preserve">Common servlet container settings can be configured </w:t>
      </w:r>
      <w:r>
        <w:rPr>
          <w:color w:val="333333"/>
          <w:spacing w:val="-3"/>
          <w:w w:val="110"/>
        </w:rPr>
        <w:t xml:space="preserve">by </w:t>
      </w:r>
      <w:r>
        <w:rPr>
          <w:color w:val="333333"/>
          <w:w w:val="110"/>
        </w:rPr>
        <w:t xml:space="preserve">using Spring </w:t>
      </w:r>
      <w:r>
        <w:rPr>
          <w:rFonts w:ascii="MS Gothic"/>
          <w:color w:val="B02045"/>
          <w:w w:val="110"/>
        </w:rPr>
        <w:t xml:space="preserve">Environment </w:t>
      </w:r>
      <w:r>
        <w:rPr>
          <w:color w:val="333333"/>
          <w:w w:val="110"/>
        </w:rPr>
        <w:t xml:space="preserve">properties. </w:t>
      </w:r>
      <w:r>
        <w:rPr>
          <w:color w:val="333333"/>
          <w:spacing w:val="-4"/>
          <w:w w:val="110"/>
        </w:rPr>
        <w:t xml:space="preserve">Usually, </w:t>
      </w:r>
      <w:r>
        <w:rPr>
          <w:color w:val="333333"/>
          <w:w w:val="110"/>
        </w:rPr>
        <w:t xml:space="preserve">you would define the properties in your </w:t>
      </w:r>
      <w:proofErr w:type="gramStart"/>
      <w:r>
        <w:rPr>
          <w:rFonts w:ascii="MS Gothic"/>
          <w:color w:val="B02045"/>
          <w:w w:val="110"/>
        </w:rPr>
        <w:t>application.properties</w:t>
      </w:r>
      <w:proofErr w:type="gramEnd"/>
      <w:r>
        <w:rPr>
          <w:rFonts w:ascii="MS Gothic"/>
          <w:color w:val="B02045"/>
          <w:spacing w:val="-57"/>
          <w:w w:val="110"/>
        </w:rPr>
        <w:t xml:space="preserve"> </w:t>
      </w:r>
      <w:r>
        <w:rPr>
          <w:color w:val="333333"/>
          <w:w w:val="110"/>
        </w:rPr>
        <w:t>file.</w:t>
      </w:r>
    </w:p>
    <w:p w14:paraId="393D1C01" w14:textId="77777777" w:rsidR="00A720EB" w:rsidRDefault="0030286B">
      <w:pPr>
        <w:pStyle w:val="a3"/>
        <w:spacing w:before="252"/>
        <w:ind w:left="124"/>
        <w:jc w:val="both"/>
      </w:pPr>
      <w:r>
        <w:rPr>
          <w:color w:val="333333"/>
          <w:w w:val="110"/>
        </w:rPr>
        <w:t>Common server settings include:</w:t>
      </w:r>
    </w:p>
    <w:p w14:paraId="78682E99" w14:textId="77777777" w:rsidR="00A720EB" w:rsidRDefault="00A720EB">
      <w:pPr>
        <w:pStyle w:val="a3"/>
        <w:spacing w:before="5"/>
        <w:rPr>
          <w:sz w:val="25"/>
        </w:rPr>
      </w:pPr>
    </w:p>
    <w:p w14:paraId="4FD0946C" w14:textId="77777777" w:rsidR="00A720EB" w:rsidRDefault="0030286B">
      <w:pPr>
        <w:pStyle w:val="a6"/>
        <w:numPr>
          <w:ilvl w:val="0"/>
          <w:numId w:val="49"/>
        </w:numPr>
        <w:tabs>
          <w:tab w:val="left" w:pos="485"/>
        </w:tabs>
        <w:spacing w:before="1" w:line="280" w:lineRule="auto"/>
        <w:ind w:right="127"/>
        <w:jc w:val="both"/>
        <w:rPr>
          <w:sz w:val="21"/>
        </w:rPr>
      </w:pPr>
      <w:r>
        <w:rPr>
          <w:color w:val="333333"/>
          <w:w w:val="110"/>
          <w:sz w:val="21"/>
        </w:rPr>
        <w:t>Network settings: Listen port for incoming HTTP requests (</w:t>
      </w:r>
      <w:proofErr w:type="gramStart"/>
      <w:r>
        <w:rPr>
          <w:rFonts w:ascii="MS Gothic" w:hAnsi="MS Gothic"/>
          <w:color w:val="B02045"/>
          <w:w w:val="110"/>
          <w:sz w:val="21"/>
        </w:rPr>
        <w:t>server.port</w:t>
      </w:r>
      <w:proofErr w:type="gramEnd"/>
      <w:r>
        <w:rPr>
          <w:color w:val="333333"/>
          <w:w w:val="110"/>
          <w:sz w:val="21"/>
        </w:rPr>
        <w:t xml:space="preserve">), interface address to  bind to </w:t>
      </w:r>
      <w:r>
        <w:rPr>
          <w:rFonts w:ascii="MS Gothic" w:hAnsi="MS Gothic"/>
          <w:color w:val="B02045"/>
          <w:w w:val="110"/>
          <w:sz w:val="21"/>
        </w:rPr>
        <w:t>server.address</w:t>
      </w:r>
      <w:r>
        <w:rPr>
          <w:color w:val="333333"/>
          <w:w w:val="110"/>
          <w:sz w:val="21"/>
        </w:rPr>
        <w:t>, and so</w:t>
      </w:r>
      <w:r>
        <w:rPr>
          <w:color w:val="333333"/>
          <w:spacing w:val="9"/>
          <w:w w:val="110"/>
          <w:sz w:val="21"/>
        </w:rPr>
        <w:t xml:space="preserve"> </w:t>
      </w:r>
      <w:r>
        <w:rPr>
          <w:color w:val="333333"/>
          <w:w w:val="110"/>
          <w:sz w:val="21"/>
        </w:rPr>
        <w:t>on.</w:t>
      </w:r>
    </w:p>
    <w:p w14:paraId="0FDAE25B" w14:textId="77777777" w:rsidR="00A720EB" w:rsidRDefault="0030286B">
      <w:pPr>
        <w:pStyle w:val="a6"/>
        <w:numPr>
          <w:ilvl w:val="0"/>
          <w:numId w:val="49"/>
        </w:numPr>
        <w:tabs>
          <w:tab w:val="left" w:pos="485"/>
          <w:tab w:val="left" w:pos="1930"/>
          <w:tab w:val="left" w:pos="5003"/>
          <w:tab w:val="left" w:pos="5942"/>
          <w:tab w:val="left" w:pos="6345"/>
          <w:tab w:val="left" w:pos="7413"/>
          <w:tab w:val="left" w:pos="8276"/>
          <w:tab w:val="left" w:pos="8738"/>
          <w:tab w:val="left" w:pos="9661"/>
        </w:tabs>
        <w:spacing w:before="121" w:line="280" w:lineRule="auto"/>
        <w:ind w:right="122"/>
        <w:jc w:val="both"/>
        <w:rPr>
          <w:sz w:val="21"/>
        </w:rPr>
      </w:pPr>
      <w:r>
        <w:rPr>
          <w:color w:val="333333"/>
          <w:w w:val="110"/>
          <w:sz w:val="21"/>
        </w:rPr>
        <w:t>Session</w:t>
      </w:r>
      <w:r>
        <w:rPr>
          <w:color w:val="333333"/>
          <w:spacing w:val="-27"/>
          <w:w w:val="110"/>
          <w:sz w:val="21"/>
        </w:rPr>
        <w:t xml:space="preserve"> </w:t>
      </w:r>
      <w:r>
        <w:rPr>
          <w:color w:val="333333"/>
          <w:w w:val="110"/>
          <w:sz w:val="21"/>
        </w:rPr>
        <w:t>settings:</w:t>
      </w:r>
      <w:r>
        <w:rPr>
          <w:color w:val="333333"/>
          <w:spacing w:val="-26"/>
          <w:w w:val="110"/>
          <w:sz w:val="21"/>
        </w:rPr>
        <w:t xml:space="preserve"> </w:t>
      </w:r>
      <w:r>
        <w:rPr>
          <w:color w:val="333333"/>
          <w:w w:val="110"/>
          <w:sz w:val="21"/>
        </w:rPr>
        <w:t>Whether</w:t>
      </w:r>
      <w:r>
        <w:rPr>
          <w:color w:val="333333"/>
          <w:spacing w:val="-26"/>
          <w:w w:val="110"/>
          <w:sz w:val="21"/>
        </w:rPr>
        <w:t xml:space="preserve"> </w:t>
      </w:r>
      <w:r>
        <w:rPr>
          <w:color w:val="333333"/>
          <w:w w:val="110"/>
          <w:sz w:val="21"/>
        </w:rPr>
        <w:t>the</w:t>
      </w:r>
      <w:r>
        <w:rPr>
          <w:color w:val="333333"/>
          <w:spacing w:val="-26"/>
          <w:w w:val="110"/>
          <w:sz w:val="21"/>
        </w:rPr>
        <w:t xml:space="preserve"> </w:t>
      </w:r>
      <w:r>
        <w:rPr>
          <w:color w:val="333333"/>
          <w:w w:val="110"/>
          <w:sz w:val="21"/>
        </w:rPr>
        <w:t>session</w:t>
      </w:r>
      <w:r>
        <w:rPr>
          <w:color w:val="333333"/>
          <w:spacing w:val="-27"/>
          <w:w w:val="110"/>
          <w:sz w:val="21"/>
        </w:rPr>
        <w:t xml:space="preserve"> </w:t>
      </w:r>
      <w:r>
        <w:rPr>
          <w:color w:val="333333"/>
          <w:w w:val="110"/>
          <w:sz w:val="21"/>
        </w:rPr>
        <w:t>is</w:t>
      </w:r>
      <w:r>
        <w:rPr>
          <w:color w:val="333333"/>
          <w:spacing w:val="-26"/>
          <w:w w:val="110"/>
          <w:sz w:val="21"/>
        </w:rPr>
        <w:t xml:space="preserve"> </w:t>
      </w:r>
      <w:r>
        <w:rPr>
          <w:color w:val="333333"/>
          <w:w w:val="110"/>
          <w:sz w:val="21"/>
        </w:rPr>
        <w:t>persistent</w:t>
      </w:r>
      <w:r>
        <w:rPr>
          <w:color w:val="333333"/>
          <w:spacing w:val="-26"/>
          <w:w w:val="110"/>
          <w:sz w:val="21"/>
        </w:rPr>
        <w:t xml:space="preserve"> </w:t>
      </w:r>
      <w:r>
        <w:rPr>
          <w:color w:val="333333"/>
          <w:w w:val="110"/>
          <w:sz w:val="21"/>
        </w:rPr>
        <w:t>(</w:t>
      </w:r>
      <w:proofErr w:type="gramStart"/>
      <w:r>
        <w:rPr>
          <w:rFonts w:ascii="MS Gothic" w:hAnsi="MS Gothic"/>
          <w:color w:val="B02045"/>
          <w:w w:val="110"/>
          <w:sz w:val="21"/>
        </w:rPr>
        <w:t>server.servlet</w:t>
      </w:r>
      <w:proofErr w:type="gramEnd"/>
      <w:r>
        <w:rPr>
          <w:rFonts w:ascii="MS Gothic" w:hAnsi="MS Gothic"/>
          <w:color w:val="B02045"/>
          <w:w w:val="110"/>
          <w:sz w:val="21"/>
        </w:rPr>
        <w:t>.session.persistent</w:t>
      </w:r>
      <w:r>
        <w:rPr>
          <w:color w:val="333333"/>
          <w:w w:val="110"/>
          <w:sz w:val="21"/>
        </w:rPr>
        <w:t>),</w:t>
      </w:r>
      <w:r>
        <w:rPr>
          <w:color w:val="333333"/>
          <w:spacing w:val="-26"/>
          <w:w w:val="110"/>
          <w:sz w:val="21"/>
        </w:rPr>
        <w:t xml:space="preserve"> </w:t>
      </w:r>
      <w:r>
        <w:rPr>
          <w:color w:val="333333"/>
          <w:w w:val="110"/>
          <w:sz w:val="21"/>
        </w:rPr>
        <w:t>session timeout</w:t>
      </w:r>
      <w:r>
        <w:rPr>
          <w:color w:val="333333"/>
          <w:w w:val="110"/>
          <w:sz w:val="21"/>
        </w:rPr>
        <w:tab/>
      </w:r>
      <w:r>
        <w:rPr>
          <w:color w:val="333333"/>
          <w:sz w:val="21"/>
        </w:rPr>
        <w:t>(</w:t>
      </w:r>
      <w:r>
        <w:rPr>
          <w:rFonts w:ascii="MS Gothic" w:hAnsi="MS Gothic"/>
          <w:color w:val="B02045"/>
          <w:sz w:val="21"/>
        </w:rPr>
        <w:t>server.servlet.session.timeout</w:t>
      </w:r>
      <w:r>
        <w:rPr>
          <w:color w:val="333333"/>
          <w:sz w:val="21"/>
        </w:rPr>
        <w:t>),</w:t>
      </w:r>
      <w:r>
        <w:rPr>
          <w:color w:val="333333"/>
          <w:sz w:val="21"/>
        </w:rPr>
        <w:tab/>
      </w:r>
      <w:r>
        <w:rPr>
          <w:color w:val="333333"/>
          <w:w w:val="110"/>
          <w:sz w:val="21"/>
        </w:rPr>
        <w:t>location</w:t>
      </w:r>
      <w:r>
        <w:rPr>
          <w:color w:val="333333"/>
          <w:w w:val="110"/>
          <w:sz w:val="21"/>
        </w:rPr>
        <w:tab/>
        <w:t>of</w:t>
      </w:r>
      <w:r>
        <w:rPr>
          <w:color w:val="333333"/>
          <w:w w:val="110"/>
          <w:sz w:val="21"/>
        </w:rPr>
        <w:tab/>
        <w:t>session</w:t>
      </w:r>
      <w:r>
        <w:rPr>
          <w:color w:val="333333"/>
          <w:w w:val="110"/>
          <w:sz w:val="21"/>
        </w:rPr>
        <w:tab/>
      </w:r>
      <w:r>
        <w:rPr>
          <w:color w:val="333333"/>
          <w:spacing w:val="-5"/>
          <w:w w:val="110"/>
          <w:sz w:val="21"/>
        </w:rPr>
        <w:t xml:space="preserve">data </w:t>
      </w:r>
      <w:r>
        <w:rPr>
          <w:color w:val="333333"/>
          <w:sz w:val="21"/>
        </w:rPr>
        <w:t>(</w:t>
      </w:r>
      <w:r>
        <w:rPr>
          <w:rFonts w:ascii="MS Gothic" w:hAnsi="MS Gothic"/>
          <w:color w:val="B02045"/>
          <w:sz w:val="21"/>
        </w:rPr>
        <w:t>server.servlet.session.store-dir</w:t>
      </w:r>
      <w:r>
        <w:rPr>
          <w:color w:val="333333"/>
          <w:sz w:val="21"/>
        </w:rPr>
        <w:t>),</w:t>
      </w:r>
      <w:r>
        <w:rPr>
          <w:color w:val="333333"/>
          <w:sz w:val="21"/>
        </w:rPr>
        <w:tab/>
      </w:r>
      <w:r>
        <w:rPr>
          <w:color w:val="333333"/>
          <w:w w:val="110"/>
          <w:sz w:val="21"/>
        </w:rPr>
        <w:t>and</w:t>
      </w:r>
      <w:r>
        <w:rPr>
          <w:color w:val="333333"/>
          <w:w w:val="110"/>
          <w:sz w:val="21"/>
        </w:rPr>
        <w:tab/>
      </w:r>
      <w:r>
        <w:rPr>
          <w:color w:val="333333"/>
          <w:w w:val="110"/>
          <w:sz w:val="21"/>
        </w:rPr>
        <w:tab/>
        <w:t>session-cookie</w:t>
      </w:r>
      <w:r>
        <w:rPr>
          <w:color w:val="333333"/>
          <w:w w:val="110"/>
          <w:sz w:val="21"/>
        </w:rPr>
        <w:tab/>
      </w:r>
      <w:r>
        <w:rPr>
          <w:color w:val="333333"/>
          <w:w w:val="110"/>
          <w:sz w:val="21"/>
        </w:rPr>
        <w:tab/>
      </w:r>
      <w:r>
        <w:rPr>
          <w:color w:val="333333"/>
          <w:spacing w:val="-1"/>
          <w:w w:val="110"/>
          <w:sz w:val="21"/>
        </w:rPr>
        <w:t xml:space="preserve">configuration </w:t>
      </w:r>
      <w:r>
        <w:rPr>
          <w:color w:val="333333"/>
          <w:w w:val="110"/>
          <w:sz w:val="21"/>
        </w:rPr>
        <w:t>(</w:t>
      </w:r>
      <w:r>
        <w:rPr>
          <w:rFonts w:ascii="MS Gothic" w:hAnsi="MS Gothic"/>
          <w:color w:val="B02045"/>
          <w:w w:val="110"/>
          <w:sz w:val="21"/>
        </w:rPr>
        <w:t>server.servlet.session.cookie.*</w:t>
      </w:r>
      <w:r>
        <w:rPr>
          <w:color w:val="333333"/>
          <w:w w:val="110"/>
          <w:sz w:val="21"/>
        </w:rPr>
        <w:t>).</w:t>
      </w:r>
    </w:p>
    <w:p w14:paraId="5B2A7ED8" w14:textId="77777777" w:rsidR="00A720EB" w:rsidRDefault="0030286B">
      <w:pPr>
        <w:pStyle w:val="a6"/>
        <w:numPr>
          <w:ilvl w:val="0"/>
          <w:numId w:val="49"/>
        </w:numPr>
        <w:tabs>
          <w:tab w:val="left" w:pos="485"/>
        </w:tabs>
        <w:spacing w:before="123"/>
        <w:rPr>
          <w:sz w:val="21"/>
        </w:rPr>
      </w:pPr>
      <w:r>
        <w:rPr>
          <w:color w:val="333333"/>
          <w:w w:val="110"/>
          <w:sz w:val="21"/>
        </w:rPr>
        <w:t>Error management: Location of the error page (</w:t>
      </w:r>
      <w:proofErr w:type="gramStart"/>
      <w:r>
        <w:rPr>
          <w:rFonts w:ascii="MS Gothic" w:hAnsi="MS Gothic"/>
          <w:color w:val="B02045"/>
          <w:w w:val="110"/>
          <w:sz w:val="21"/>
        </w:rPr>
        <w:t>server.error</w:t>
      </w:r>
      <w:proofErr w:type="gramEnd"/>
      <w:r>
        <w:rPr>
          <w:rFonts w:ascii="MS Gothic" w:hAnsi="MS Gothic"/>
          <w:color w:val="B02045"/>
          <w:w w:val="110"/>
          <w:sz w:val="21"/>
        </w:rPr>
        <w:t>.path</w:t>
      </w:r>
      <w:r>
        <w:rPr>
          <w:color w:val="333333"/>
          <w:w w:val="110"/>
          <w:sz w:val="21"/>
        </w:rPr>
        <w:t>) and so</w:t>
      </w:r>
      <w:r>
        <w:rPr>
          <w:color w:val="333333"/>
          <w:spacing w:val="-1"/>
          <w:w w:val="110"/>
          <w:sz w:val="21"/>
        </w:rPr>
        <w:t xml:space="preserve"> </w:t>
      </w:r>
      <w:r>
        <w:rPr>
          <w:color w:val="333333"/>
          <w:w w:val="110"/>
          <w:sz w:val="21"/>
        </w:rPr>
        <w:t>on.</w:t>
      </w:r>
    </w:p>
    <w:p w14:paraId="085110BE" w14:textId="77777777" w:rsidR="00A720EB" w:rsidRDefault="00E10349">
      <w:pPr>
        <w:pStyle w:val="a6"/>
        <w:numPr>
          <w:ilvl w:val="0"/>
          <w:numId w:val="49"/>
        </w:numPr>
        <w:tabs>
          <w:tab w:val="left" w:pos="485"/>
        </w:tabs>
        <w:spacing w:before="177"/>
        <w:rPr>
          <w:sz w:val="21"/>
        </w:rPr>
      </w:pPr>
      <w:hyperlink w:anchor="_bookmark550" w:history="1">
        <w:r w:rsidR="0030286B">
          <w:rPr>
            <w:color w:val="418BCA"/>
            <w:w w:val="110"/>
            <w:sz w:val="21"/>
          </w:rPr>
          <w:t>SSL</w:t>
        </w:r>
      </w:hyperlink>
    </w:p>
    <w:p w14:paraId="28FC0E8F" w14:textId="77777777" w:rsidR="00A720EB" w:rsidRDefault="00E10349">
      <w:pPr>
        <w:pStyle w:val="a6"/>
        <w:numPr>
          <w:ilvl w:val="0"/>
          <w:numId w:val="49"/>
        </w:numPr>
        <w:tabs>
          <w:tab w:val="left" w:pos="485"/>
        </w:tabs>
        <w:spacing w:before="190"/>
        <w:rPr>
          <w:sz w:val="21"/>
        </w:rPr>
      </w:pPr>
      <w:hyperlink w:anchor="_bookmark549" w:history="1">
        <w:r w:rsidR="0030286B">
          <w:rPr>
            <w:color w:val="418BCA"/>
            <w:w w:val="110"/>
            <w:sz w:val="21"/>
          </w:rPr>
          <w:t>HTTP</w:t>
        </w:r>
        <w:r w:rsidR="0030286B">
          <w:rPr>
            <w:color w:val="418BCA"/>
            <w:spacing w:val="2"/>
            <w:w w:val="110"/>
            <w:sz w:val="21"/>
          </w:rPr>
          <w:t xml:space="preserve"> </w:t>
        </w:r>
        <w:r w:rsidR="0030286B">
          <w:rPr>
            <w:color w:val="418BCA"/>
            <w:w w:val="110"/>
            <w:sz w:val="21"/>
          </w:rPr>
          <w:t>compression</w:t>
        </w:r>
      </w:hyperlink>
    </w:p>
    <w:p w14:paraId="68C74D01" w14:textId="77777777" w:rsidR="00A720EB" w:rsidRDefault="00A720EB">
      <w:pPr>
        <w:pStyle w:val="a3"/>
        <w:spacing w:before="4"/>
        <w:rPr>
          <w:sz w:val="26"/>
        </w:rPr>
      </w:pPr>
    </w:p>
    <w:p w14:paraId="40E1FD06" w14:textId="77777777" w:rsidR="00A720EB" w:rsidRDefault="0030286B">
      <w:pPr>
        <w:pStyle w:val="a3"/>
        <w:spacing w:line="290" w:lineRule="auto"/>
        <w:ind w:left="124" w:right="123"/>
        <w:jc w:val="both"/>
      </w:pPr>
      <w:r>
        <w:rPr>
          <w:color w:val="333333"/>
          <w:w w:val="110"/>
        </w:rPr>
        <w:t xml:space="preserve">Spring Boot tries as much as possible to expose common settings, but this is not always possible. For those cases, dedicated namespaces offer server-specific customizations (see </w:t>
      </w:r>
      <w:proofErr w:type="gramStart"/>
      <w:r>
        <w:rPr>
          <w:rFonts w:ascii="MS Gothic"/>
          <w:color w:val="B02045"/>
          <w:w w:val="110"/>
        </w:rPr>
        <w:t>server.tomcat</w:t>
      </w:r>
      <w:proofErr w:type="gramEnd"/>
      <w:r>
        <w:rPr>
          <w:rFonts w:ascii="MS Gothic"/>
          <w:color w:val="B02045"/>
          <w:w w:val="110"/>
        </w:rPr>
        <w:t xml:space="preserve"> </w:t>
      </w:r>
      <w:r>
        <w:rPr>
          <w:color w:val="333333"/>
          <w:w w:val="110"/>
        </w:rPr>
        <w:t xml:space="preserve">and </w:t>
      </w:r>
      <w:r>
        <w:rPr>
          <w:rFonts w:ascii="MS Gothic"/>
          <w:color w:val="B02045"/>
          <w:w w:val="110"/>
        </w:rPr>
        <w:t>server.undertow</w:t>
      </w:r>
      <w:r>
        <w:rPr>
          <w:color w:val="333333"/>
          <w:w w:val="110"/>
        </w:rPr>
        <w:t xml:space="preserve">). For instance, </w:t>
      </w:r>
      <w:hyperlink w:anchor="_bookmark560" w:history="1">
        <w:r>
          <w:rPr>
            <w:color w:val="418BCA"/>
            <w:w w:val="110"/>
          </w:rPr>
          <w:t xml:space="preserve">access logs </w:t>
        </w:r>
      </w:hyperlink>
      <w:r>
        <w:rPr>
          <w:color w:val="333333"/>
          <w:w w:val="110"/>
        </w:rPr>
        <w:t>can be configured with specific features of the embedded</w:t>
      </w:r>
    </w:p>
    <w:p w14:paraId="38B4AAF8" w14:textId="77777777" w:rsidR="00A720EB" w:rsidRDefault="00A720EB">
      <w:pPr>
        <w:spacing w:line="290" w:lineRule="auto"/>
        <w:jc w:val="both"/>
        <w:sectPr w:rsidR="00A720EB">
          <w:pgSz w:w="11910" w:h="16840"/>
          <w:pgMar w:top="620" w:right="840" w:bottom="520" w:left="840" w:header="0" w:footer="323" w:gutter="0"/>
          <w:cols w:space="720"/>
        </w:sectPr>
      </w:pPr>
    </w:p>
    <w:p w14:paraId="060FB321" w14:textId="77777777" w:rsidR="00A720EB" w:rsidRDefault="0030286B">
      <w:pPr>
        <w:pStyle w:val="a3"/>
        <w:spacing w:before="107"/>
        <w:ind w:left="124"/>
        <w:jc w:val="both"/>
      </w:pPr>
      <w:r>
        <w:rPr>
          <w:color w:val="333333"/>
          <w:w w:val="110"/>
        </w:rPr>
        <w:lastRenderedPageBreak/>
        <w:t>servlet container.</w:t>
      </w:r>
    </w:p>
    <w:p w14:paraId="2357B3F5" w14:textId="77777777" w:rsidR="00A720EB" w:rsidRDefault="00A720EB">
      <w:pPr>
        <w:pStyle w:val="a3"/>
        <w:spacing w:before="7"/>
        <w:rPr>
          <w:sz w:val="22"/>
        </w:rPr>
      </w:pPr>
    </w:p>
    <w:p w14:paraId="769F95F7" w14:textId="77777777" w:rsidR="00A720EB" w:rsidRDefault="00E10349">
      <w:pPr>
        <w:spacing w:before="1"/>
        <w:ind w:left="561"/>
        <w:rPr>
          <w:sz w:val="21"/>
        </w:rPr>
      </w:pPr>
      <w:r>
        <w:pict w14:anchorId="78CDC5C3">
          <v:line id="_x0000_s4281" style="position:absolute;left:0;text-align:left;z-index:-41598464;mso-position-horizontal-relative:page" from="108.25pt,.25pt" to="108.25pt,24pt" strokecolor="#ededed" strokeweight=".5pt">
            <w10:wrap anchorx="page"/>
          </v:line>
        </w:pict>
      </w:r>
      <w:r w:rsidR="0030286B">
        <w:rPr>
          <w:noProof/>
          <w:position w:val="-15"/>
        </w:rPr>
        <w:drawing>
          <wp:inline distT="0" distB="0" distL="0" distR="0" wp14:anchorId="0928CB3F" wp14:editId="7D09D7AC">
            <wp:extent cx="209550" cy="304800"/>
            <wp:effectExtent l="0" t="0" r="0" b="0"/>
            <wp:docPr id="26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9.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sz w:val="21"/>
        </w:rPr>
        <w:t xml:space="preserve">See the </w:t>
      </w:r>
      <w:hyperlink r:id="rId169">
        <w:r w:rsidR="0030286B">
          <w:rPr>
            <w:rFonts w:ascii="MS Gothic"/>
            <w:color w:val="B02045"/>
            <w:w w:val="110"/>
            <w:sz w:val="21"/>
          </w:rPr>
          <w:t>ServerProperties</w:t>
        </w:r>
        <w:r w:rsidR="0030286B">
          <w:rPr>
            <w:rFonts w:ascii="MS Gothic"/>
            <w:color w:val="B02045"/>
            <w:spacing w:val="-59"/>
            <w:w w:val="110"/>
            <w:sz w:val="21"/>
          </w:rPr>
          <w:t xml:space="preserve"> </w:t>
        </w:r>
      </w:hyperlink>
      <w:r w:rsidR="0030286B">
        <w:rPr>
          <w:color w:val="333333"/>
          <w:w w:val="110"/>
          <w:sz w:val="21"/>
        </w:rPr>
        <w:t>class for a complete list.</w:t>
      </w:r>
    </w:p>
    <w:p w14:paraId="63492E5F" w14:textId="77777777" w:rsidR="00A720EB" w:rsidRDefault="0030286B">
      <w:pPr>
        <w:spacing w:before="338"/>
        <w:ind w:left="124"/>
        <w:jc w:val="both"/>
        <w:rPr>
          <w:rFonts w:ascii="Palatino Linotype"/>
          <w:b/>
          <w:sz w:val="18"/>
        </w:rPr>
      </w:pPr>
      <w:r>
        <w:rPr>
          <w:rFonts w:ascii="Palatino Linotype"/>
          <w:b/>
          <w:color w:val="333333"/>
          <w:w w:val="110"/>
          <w:sz w:val="18"/>
        </w:rPr>
        <w:t>Programmatic Customization</w:t>
      </w:r>
    </w:p>
    <w:p w14:paraId="0984E648" w14:textId="77777777" w:rsidR="00A720EB" w:rsidRDefault="00A720EB">
      <w:pPr>
        <w:pStyle w:val="a3"/>
        <w:spacing w:before="12"/>
        <w:rPr>
          <w:rFonts w:ascii="Palatino Linotype"/>
          <w:b/>
          <w:sz w:val="18"/>
        </w:rPr>
      </w:pPr>
    </w:p>
    <w:p w14:paraId="4A82FD9F" w14:textId="77777777" w:rsidR="00A720EB" w:rsidRDefault="0030286B">
      <w:pPr>
        <w:pStyle w:val="a3"/>
        <w:spacing w:line="290" w:lineRule="auto"/>
        <w:ind w:left="124" w:right="122"/>
        <w:jc w:val="both"/>
      </w:pPr>
      <w:r>
        <w:rPr>
          <w:color w:val="333333"/>
          <w:w w:val="110"/>
        </w:rPr>
        <w:t xml:space="preserve">If you need to programmatically configure your embedded servlet container, you can register a </w:t>
      </w:r>
      <w:r>
        <w:rPr>
          <w:color w:val="333333"/>
          <w:w w:val="105"/>
        </w:rPr>
        <w:t xml:space="preserve">Spring bean that implements the </w:t>
      </w:r>
      <w:r>
        <w:rPr>
          <w:rFonts w:ascii="MS Gothic"/>
          <w:color w:val="B02045"/>
          <w:w w:val="105"/>
        </w:rPr>
        <w:t xml:space="preserve">WebServerFactoryCustomizer </w:t>
      </w:r>
      <w:r>
        <w:rPr>
          <w:color w:val="333333"/>
          <w:w w:val="105"/>
        </w:rPr>
        <w:t xml:space="preserve">interface. </w:t>
      </w:r>
      <w:r>
        <w:rPr>
          <w:rFonts w:ascii="MS Gothic"/>
          <w:color w:val="B02045"/>
          <w:w w:val="105"/>
        </w:rPr>
        <w:t xml:space="preserve">WebServerFactoryCustomizer </w:t>
      </w:r>
      <w:r>
        <w:rPr>
          <w:color w:val="333333"/>
          <w:w w:val="110"/>
        </w:rPr>
        <w:t xml:space="preserve">provides access to the </w:t>
      </w:r>
      <w:r>
        <w:rPr>
          <w:rFonts w:ascii="MS Gothic"/>
          <w:color w:val="B02045"/>
          <w:w w:val="110"/>
        </w:rPr>
        <w:t>ConfigurableServletWebServerFactory</w:t>
      </w:r>
      <w:r>
        <w:rPr>
          <w:color w:val="333333"/>
          <w:w w:val="110"/>
        </w:rPr>
        <w:t>, which includes numerous customization setter methods. The following example shows programmatically setting the</w:t>
      </w:r>
      <w:r>
        <w:rPr>
          <w:color w:val="333333"/>
          <w:spacing w:val="36"/>
          <w:w w:val="110"/>
        </w:rPr>
        <w:t xml:space="preserve"> </w:t>
      </w:r>
      <w:r>
        <w:rPr>
          <w:color w:val="333333"/>
          <w:w w:val="110"/>
        </w:rPr>
        <w:t>port:</w:t>
      </w:r>
    </w:p>
    <w:p w14:paraId="1E488FB6" w14:textId="77777777" w:rsidR="00A720EB" w:rsidRDefault="00E10349">
      <w:pPr>
        <w:pStyle w:val="a3"/>
        <w:spacing w:before="4"/>
        <w:rPr>
          <w:sz w:val="14"/>
        </w:rPr>
      </w:pPr>
      <w:r>
        <w:pict w14:anchorId="7DA3CCA1">
          <v:group id="_x0000_s4277" style="position:absolute;margin-left:47.85pt;margin-top:10.4pt;width:499.55pt;height:243.85pt;z-index:-15522304;mso-wrap-distance-left:0;mso-wrap-distance-right:0;mso-position-horizontal-relative:page" coordorigin="957,208" coordsize="9991,4877">
            <v:shape id="_x0000_s4280" style="position:absolute;left:964;top:215;width:9976;height:4862" coordorigin="965,216" coordsize="9976,4862" path="m10861,216r-9816,l1014,222r-26,17l971,265r-6,31l965,4998r6,31l988,5054r26,18l1045,5078r9816,l10892,5072r25,-18l10935,5029r6,-31l10941,296r-6,-31l10917,239r-25,-17l10861,216xe" fillcolor="#f5f5f5" stroked="f">
              <v:path arrowok="t"/>
            </v:shape>
            <v:shape id="_x0000_s4279" style="position:absolute;left:964;top:215;width:9976;height:4862" coordorigin="965,216" coordsize="9976,4862" path="m1045,216r9816,l10892,222r25,17l10935,265r6,31l10941,4998r-6,31l10917,5054r-25,18l10861,5078r-9816,l1014,5072r-26,-18l971,5029r-6,-31l965,296r6,-31l988,239r26,-17l1045,216xe" filled="f" strokecolor="#ccc">
              <v:path arrowok="t"/>
            </v:shape>
            <v:shape id="_x0000_s4278" type="#_x0000_t202" style="position:absolute;left:984;top:231;width:9938;height:4832" filled="f" stroked="f">
              <v:textbox inset="0,0,0,0">
                <w:txbxContent>
                  <w:p w14:paraId="128C06D3" w14:textId="77777777" w:rsidR="00711A16" w:rsidRDefault="00711A16">
                    <w:pPr>
                      <w:spacing w:before="221" w:line="252" w:lineRule="auto"/>
                      <w:ind w:left="200" w:right="2018"/>
                      <w:rPr>
                        <w:rFonts w:ascii="MS Gothic"/>
                      </w:rPr>
                    </w:pPr>
                    <w:r>
                      <w:rPr>
                        <w:rFonts w:ascii="MS Gothic"/>
                        <w:color w:val="333333"/>
                      </w:rPr>
                      <w:t xml:space="preserve">import </w:t>
                    </w:r>
                    <w:proofErr w:type="gramStart"/>
                    <w:r>
                      <w:rPr>
                        <w:rFonts w:ascii="MS Gothic"/>
                        <w:color w:val="333333"/>
                      </w:rPr>
                      <w:t>org.springframework.boot.web.server</w:t>
                    </w:r>
                    <w:proofErr w:type="gramEnd"/>
                    <w:r>
                      <w:rPr>
                        <w:rFonts w:ascii="MS Gothic"/>
                        <w:color w:val="333333"/>
                      </w:rPr>
                      <w:t>.WebServerFactoryCustomizer; import</w:t>
                    </w:r>
                  </w:p>
                  <w:p w14:paraId="20EE7E8F" w14:textId="77777777" w:rsidR="00711A16" w:rsidRDefault="00711A16">
                    <w:pPr>
                      <w:spacing w:line="252" w:lineRule="auto"/>
                      <w:ind w:left="200" w:right="918"/>
                      <w:rPr>
                        <w:rFonts w:ascii="MS Gothic"/>
                      </w:rPr>
                    </w:pPr>
                    <w:proofErr w:type="gramStart"/>
                    <w:r>
                      <w:rPr>
                        <w:rFonts w:ascii="MS Gothic"/>
                        <w:color w:val="333333"/>
                      </w:rPr>
                      <w:t>org.springframework.boot.web.servlet</w:t>
                    </w:r>
                    <w:proofErr w:type="gramEnd"/>
                    <w:r>
                      <w:rPr>
                        <w:rFonts w:ascii="MS Gothic"/>
                        <w:color w:val="333333"/>
                      </w:rPr>
                      <w:t>.server.ConfigurableServletWebServerFactory; import org.springframework.stereotype.Component;</w:t>
                    </w:r>
                  </w:p>
                  <w:p w14:paraId="7879E65F" w14:textId="77777777" w:rsidR="00711A16" w:rsidRDefault="00711A16">
                    <w:pPr>
                      <w:spacing w:before="8"/>
                      <w:rPr>
                        <w:rFonts w:ascii="MS Gothic"/>
                      </w:rPr>
                    </w:pPr>
                  </w:p>
                  <w:p w14:paraId="7787D414" w14:textId="77777777" w:rsidR="00711A16" w:rsidRDefault="00711A16">
                    <w:pPr>
                      <w:ind w:left="200"/>
                      <w:rPr>
                        <w:rFonts w:ascii="MS Gothic"/>
                      </w:rPr>
                    </w:pPr>
                    <w:r>
                      <w:rPr>
                        <w:rFonts w:ascii="MS Gothic"/>
                        <w:color w:val="333333"/>
                      </w:rPr>
                      <w:t>@Component</w:t>
                    </w:r>
                  </w:p>
                  <w:p w14:paraId="30DFEFFD" w14:textId="77777777" w:rsidR="00711A16" w:rsidRDefault="00711A16">
                    <w:pPr>
                      <w:spacing w:before="13" w:line="252" w:lineRule="auto"/>
                      <w:ind w:left="200" w:right="2568"/>
                      <w:rPr>
                        <w:rFonts w:ascii="MS Gothic"/>
                      </w:rPr>
                    </w:pPr>
                    <w:r>
                      <w:rPr>
                        <w:rFonts w:ascii="MS Gothic"/>
                        <w:color w:val="333333"/>
                      </w:rPr>
                      <w:t>public class CustomizationBean implements WebServerFactoryCustomizer&lt;ConfigurableServletWebServerFactory&gt; {</w:t>
                    </w:r>
                  </w:p>
                  <w:p w14:paraId="1A0685F8" w14:textId="77777777" w:rsidR="00711A16" w:rsidRDefault="00711A16">
                    <w:pPr>
                      <w:spacing w:before="10"/>
                      <w:rPr>
                        <w:rFonts w:ascii="MS Gothic"/>
                      </w:rPr>
                    </w:pPr>
                  </w:p>
                  <w:p w14:paraId="074E3265" w14:textId="77777777" w:rsidR="00711A16" w:rsidRDefault="00711A16">
                    <w:pPr>
                      <w:ind w:left="640"/>
                      <w:rPr>
                        <w:rFonts w:ascii="MS Gothic"/>
                      </w:rPr>
                    </w:pPr>
                    <w:r>
                      <w:rPr>
                        <w:rFonts w:ascii="MS Gothic"/>
                        <w:color w:val="333333"/>
                      </w:rPr>
                      <w:t>@Override</w:t>
                    </w:r>
                  </w:p>
                  <w:p w14:paraId="5DF0021D" w14:textId="77777777" w:rsidR="00711A16" w:rsidRDefault="00711A16">
                    <w:pPr>
                      <w:spacing w:before="13" w:line="252" w:lineRule="auto"/>
                      <w:ind w:left="1080" w:right="1908" w:hanging="4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ConfigurableServletWebServerFactory server) { server.setPort(9000);</w:t>
                    </w:r>
                  </w:p>
                  <w:p w14:paraId="5B8DFFEE" w14:textId="77777777" w:rsidR="00711A16" w:rsidRDefault="00711A16">
                    <w:pPr>
                      <w:spacing w:line="280" w:lineRule="exact"/>
                      <w:ind w:left="640"/>
                      <w:rPr>
                        <w:rFonts w:ascii="MS Gothic"/>
                      </w:rPr>
                    </w:pPr>
                    <w:r>
                      <w:rPr>
                        <w:rFonts w:ascii="MS Gothic"/>
                        <w:color w:val="333333"/>
                      </w:rPr>
                      <w:t>}</w:t>
                    </w:r>
                  </w:p>
                  <w:p w14:paraId="71A02ECA" w14:textId="77777777" w:rsidR="00711A16" w:rsidRDefault="00711A16">
                    <w:pPr>
                      <w:rPr>
                        <w:rFonts w:ascii="MS Gothic"/>
                        <w:sz w:val="24"/>
                      </w:rPr>
                    </w:pPr>
                  </w:p>
                  <w:p w14:paraId="292FF9B7"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60BDEF83" w14:textId="77777777" w:rsidR="00A720EB" w:rsidRDefault="00A720EB">
      <w:pPr>
        <w:pStyle w:val="a3"/>
        <w:spacing w:before="8"/>
        <w:rPr>
          <w:sz w:val="16"/>
        </w:rPr>
      </w:pPr>
    </w:p>
    <w:p w14:paraId="719A6FD8" w14:textId="77777777" w:rsidR="00A720EB" w:rsidRDefault="00E10349">
      <w:pPr>
        <w:pStyle w:val="a3"/>
        <w:tabs>
          <w:tab w:val="left" w:pos="5600"/>
          <w:tab w:val="left" w:pos="6504"/>
          <w:tab w:val="left" w:pos="8153"/>
          <w:tab w:val="left" w:pos="9659"/>
        </w:tabs>
        <w:spacing w:before="116" w:line="285" w:lineRule="auto"/>
        <w:ind w:left="1564" w:right="363"/>
        <w:jc w:val="both"/>
      </w:pPr>
      <w:r>
        <w:pict w14:anchorId="0FEE331A">
          <v:line id="_x0000_s4276" style="position:absolute;left:0;text-align:left;z-index:15936512;mso-position-horizontal-relative:page" from="108.25pt,.35pt" to="108.25pt,71.45pt" strokecolor="#ededed" strokeweight=".5pt">
            <w10:wrap anchorx="page"/>
          </v:line>
        </w:pict>
      </w:r>
      <w:r w:rsidR="0030286B">
        <w:rPr>
          <w:noProof/>
        </w:rPr>
        <w:drawing>
          <wp:anchor distT="0" distB="0" distL="0" distR="0" simplePos="0" relativeHeight="15937024" behindDoc="0" locked="0" layoutInCell="1" allowOverlap="1" wp14:anchorId="402B349A" wp14:editId="548DCEB6">
            <wp:simplePos x="0" y="0"/>
            <wp:positionH relativeFrom="page">
              <wp:posOffset>844422</wp:posOffset>
            </wp:positionH>
            <wp:positionV relativeFrom="paragraph">
              <wp:posOffset>306654</wp:posOffset>
            </wp:positionV>
            <wp:extent cx="298450" cy="298450"/>
            <wp:effectExtent l="0" t="0" r="0" b="0"/>
            <wp:wrapNone/>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rPr>
        <w:t>TomcatServletWebServerFactory</w:t>
      </w:r>
      <w:r w:rsidR="0030286B">
        <w:rPr>
          <w:color w:val="333333"/>
        </w:rPr>
        <w:t>,</w:t>
      </w:r>
      <w:r w:rsidR="0030286B">
        <w:rPr>
          <w:color w:val="333333"/>
        </w:rPr>
        <w:tab/>
      </w:r>
      <w:r w:rsidR="0030286B">
        <w:rPr>
          <w:rFonts w:ascii="MS Gothic"/>
          <w:color w:val="B02045"/>
          <w:w w:val="110"/>
        </w:rPr>
        <w:t xml:space="preserve">JettyServletWebServerFactory </w:t>
      </w:r>
      <w:r w:rsidR="0030286B">
        <w:rPr>
          <w:color w:val="333333"/>
          <w:spacing w:val="-6"/>
          <w:w w:val="110"/>
        </w:rPr>
        <w:t xml:space="preserve">and </w:t>
      </w:r>
      <w:r w:rsidR="0030286B">
        <w:rPr>
          <w:rFonts w:ascii="MS Gothic"/>
          <w:color w:val="B02045"/>
          <w:w w:val="110"/>
        </w:rPr>
        <w:t xml:space="preserve">UndertowServletWebServerFactory  </w:t>
      </w:r>
      <w:r w:rsidR="0030286B">
        <w:rPr>
          <w:rFonts w:ascii="MS Gothic"/>
          <w:color w:val="B02045"/>
          <w:spacing w:val="76"/>
          <w:w w:val="110"/>
        </w:rPr>
        <w:t xml:space="preserve"> </w:t>
      </w:r>
      <w:r w:rsidR="0030286B">
        <w:rPr>
          <w:color w:val="333333"/>
          <w:w w:val="110"/>
        </w:rPr>
        <w:t>are</w:t>
      </w:r>
      <w:r w:rsidR="0030286B">
        <w:rPr>
          <w:color w:val="333333"/>
          <w:w w:val="110"/>
        </w:rPr>
        <w:tab/>
        <w:t>dedicated</w:t>
      </w:r>
      <w:r w:rsidR="0030286B">
        <w:rPr>
          <w:color w:val="333333"/>
          <w:w w:val="110"/>
        </w:rPr>
        <w:tab/>
        <w:t>variants</w:t>
      </w:r>
      <w:r w:rsidR="0030286B">
        <w:rPr>
          <w:color w:val="333333"/>
          <w:w w:val="110"/>
        </w:rPr>
        <w:tab/>
      </w:r>
      <w:r w:rsidR="0030286B">
        <w:rPr>
          <w:color w:val="333333"/>
          <w:spacing w:val="-8"/>
          <w:w w:val="110"/>
        </w:rPr>
        <w:t xml:space="preserve">of </w:t>
      </w:r>
      <w:r w:rsidR="0030286B">
        <w:rPr>
          <w:rFonts w:ascii="MS Gothic"/>
          <w:color w:val="B02045"/>
          <w:w w:val="110"/>
        </w:rPr>
        <w:t xml:space="preserve">ConfigurableServletWebServerFactory </w:t>
      </w:r>
      <w:r w:rsidR="0030286B">
        <w:rPr>
          <w:color w:val="333333"/>
          <w:w w:val="110"/>
        </w:rPr>
        <w:t>that have additional customization setter methods for Tomcat, Jetty and Undertow</w:t>
      </w:r>
      <w:r w:rsidR="0030286B">
        <w:rPr>
          <w:color w:val="333333"/>
          <w:spacing w:val="18"/>
          <w:w w:val="110"/>
        </w:rPr>
        <w:t xml:space="preserve"> </w:t>
      </w:r>
      <w:r w:rsidR="0030286B">
        <w:rPr>
          <w:color w:val="333333"/>
          <w:spacing w:val="-3"/>
          <w:w w:val="110"/>
        </w:rPr>
        <w:t>respectively.</w:t>
      </w:r>
    </w:p>
    <w:p w14:paraId="4CC1A9F4" w14:textId="77777777" w:rsidR="00A720EB" w:rsidRDefault="00A720EB">
      <w:pPr>
        <w:pStyle w:val="a3"/>
        <w:spacing w:before="3"/>
        <w:rPr>
          <w:sz w:val="25"/>
        </w:rPr>
      </w:pPr>
    </w:p>
    <w:p w14:paraId="3CA1D27A" w14:textId="77777777" w:rsidR="00A720EB" w:rsidRDefault="0030286B">
      <w:pPr>
        <w:spacing w:before="103"/>
        <w:ind w:left="124"/>
        <w:jc w:val="both"/>
        <w:rPr>
          <w:rFonts w:ascii="Palatino Linotype"/>
          <w:b/>
          <w:sz w:val="18"/>
        </w:rPr>
      </w:pPr>
      <w:r>
        <w:rPr>
          <w:rFonts w:ascii="Palatino Linotype"/>
          <w:b/>
          <w:color w:val="333333"/>
          <w:w w:val="110"/>
          <w:sz w:val="18"/>
        </w:rPr>
        <w:t>Customizing ConfigurableServletWebServerFactory Directly</w:t>
      </w:r>
    </w:p>
    <w:p w14:paraId="27146E2F" w14:textId="77777777" w:rsidR="00A720EB" w:rsidRDefault="00A720EB">
      <w:pPr>
        <w:pStyle w:val="a3"/>
        <w:spacing w:before="12"/>
        <w:rPr>
          <w:rFonts w:ascii="Palatino Linotype"/>
          <w:b/>
          <w:sz w:val="18"/>
        </w:rPr>
      </w:pPr>
    </w:p>
    <w:p w14:paraId="55D3CF13" w14:textId="77777777" w:rsidR="00A720EB" w:rsidRDefault="0030286B">
      <w:pPr>
        <w:pStyle w:val="a3"/>
        <w:spacing w:line="295" w:lineRule="auto"/>
        <w:ind w:left="124" w:right="122"/>
        <w:jc w:val="both"/>
      </w:pPr>
      <w:r>
        <w:rPr>
          <w:color w:val="333333"/>
          <w:w w:val="110"/>
        </w:rPr>
        <w:t xml:space="preserve">If the preceding customization techniques are too limited, you can register the </w:t>
      </w:r>
      <w:r>
        <w:rPr>
          <w:rFonts w:ascii="MS Gothic"/>
          <w:color w:val="B02045"/>
        </w:rPr>
        <w:t>TomcatServletWebServerFactory</w:t>
      </w:r>
      <w:r>
        <w:rPr>
          <w:color w:val="333333"/>
        </w:rPr>
        <w:t xml:space="preserve">, </w:t>
      </w:r>
      <w:r>
        <w:rPr>
          <w:rFonts w:ascii="MS Gothic"/>
          <w:color w:val="B02045"/>
        </w:rPr>
        <w:t>JettyServletWebServerFactory</w:t>
      </w:r>
      <w:r>
        <w:rPr>
          <w:color w:val="333333"/>
        </w:rPr>
        <w:t xml:space="preserve">, or </w:t>
      </w:r>
      <w:r>
        <w:rPr>
          <w:rFonts w:ascii="MS Gothic"/>
          <w:color w:val="B02045"/>
        </w:rPr>
        <w:t xml:space="preserve">UndertowServletWebServerFactory </w:t>
      </w:r>
      <w:r>
        <w:rPr>
          <w:color w:val="333333"/>
          <w:w w:val="110"/>
        </w:rPr>
        <w:t>bean yourself.</w:t>
      </w:r>
    </w:p>
    <w:p w14:paraId="39BBE91D" w14:textId="77777777" w:rsidR="00A720EB" w:rsidRDefault="00E10349">
      <w:pPr>
        <w:pStyle w:val="a3"/>
        <w:spacing w:before="11"/>
        <w:rPr>
          <w:sz w:val="13"/>
        </w:rPr>
      </w:pPr>
      <w:r>
        <w:pict w14:anchorId="5F4002FE">
          <v:group id="_x0000_s4272" style="position:absolute;margin-left:47.85pt;margin-top:10.15pt;width:499.55pt;height:140.7pt;z-index:-15521792;mso-wrap-distance-left:0;mso-wrap-distance-right:0;mso-position-horizontal-relative:page" coordorigin="957,203" coordsize="9991,2814">
            <v:shape id="_x0000_s4275" style="position:absolute;left:964;top:210;width:9976;height:2799" coordorigin="965,211" coordsize="9976,2799" path="m10861,211r-9816,l1014,217r-26,17l971,259r-6,32l965,2929r6,31l988,2985r26,18l1045,3009r9816,l10892,3003r25,-18l10935,2960r6,-31l10941,291r-6,-32l10917,234r-25,-17l10861,211xe" fillcolor="#f5f5f5" stroked="f">
              <v:path arrowok="t"/>
            </v:shape>
            <v:shape id="_x0000_s4274" style="position:absolute;left:964;top:210;width:9976;height:2799" coordorigin="965,211" coordsize="9976,2799" path="m1045,211r9816,l10892,217r25,17l10935,259r6,32l10941,2929r-6,31l10917,2985r-25,18l10861,3009r-9816,l1014,3003r-26,-18l971,2960r-6,-31l965,291r6,-32l988,234r26,-17l1045,211xe" filled="f" strokecolor="#ccc">
              <v:path arrowok="t"/>
            </v:shape>
            <v:shape id="_x0000_s4273" type="#_x0000_t202" style="position:absolute;left:984;top:226;width:9938;height:2768" filled="f" stroked="f">
              <v:textbox inset="0,0,0,0">
                <w:txbxContent>
                  <w:p w14:paraId="774E3C1E" w14:textId="77777777" w:rsidR="00711A16" w:rsidRDefault="00711A16">
                    <w:pPr>
                      <w:spacing w:before="221"/>
                      <w:ind w:left="200"/>
                      <w:rPr>
                        <w:rFonts w:ascii="MS Gothic"/>
                      </w:rPr>
                    </w:pPr>
                    <w:r>
                      <w:rPr>
                        <w:rFonts w:ascii="MS Gothic"/>
                        <w:color w:val="333333"/>
                      </w:rPr>
                      <w:t>@Bean</w:t>
                    </w:r>
                  </w:p>
                  <w:p w14:paraId="0F65543F" w14:textId="77777777" w:rsidR="00711A16" w:rsidRDefault="00711A16">
                    <w:pPr>
                      <w:spacing w:before="13" w:line="252" w:lineRule="auto"/>
                      <w:ind w:left="640" w:right="918" w:hanging="440"/>
                      <w:rPr>
                        <w:rFonts w:ascii="MS Gothic"/>
                      </w:rPr>
                    </w:pPr>
                    <w:r>
                      <w:rPr>
                        <w:rFonts w:ascii="MS Gothic"/>
                        <w:color w:val="333333"/>
                      </w:rPr>
                      <w:t xml:space="preserve">public ConfigurableServletWebServerFactory </w:t>
                    </w:r>
                    <w:proofErr w:type="gramStart"/>
                    <w:r>
                      <w:rPr>
                        <w:rFonts w:ascii="MS Gothic"/>
                        <w:color w:val="333333"/>
                      </w:rPr>
                      <w:t>webServerFactory(</w:t>
                    </w:r>
                    <w:proofErr w:type="gramEnd"/>
                    <w:r>
                      <w:rPr>
                        <w:rFonts w:ascii="MS Gothic"/>
                        <w:color w:val="333333"/>
                      </w:rPr>
                      <w:t>) { TomcatServletWebServerFactory factory = new TomcatServletWebServerFactory(); factory.setPort(9000);</w:t>
                    </w:r>
                  </w:p>
                  <w:p w14:paraId="3D5DA66A" w14:textId="77777777" w:rsidR="00711A16" w:rsidRDefault="00711A16">
                    <w:pPr>
                      <w:spacing w:line="278" w:lineRule="exact"/>
                      <w:ind w:left="640"/>
                      <w:rPr>
                        <w:rFonts w:ascii="MS Gothic"/>
                      </w:rPr>
                    </w:pPr>
                    <w:proofErr w:type="gramStart"/>
                    <w:r>
                      <w:rPr>
                        <w:rFonts w:ascii="MS Gothic"/>
                        <w:color w:val="333333"/>
                      </w:rPr>
                      <w:t>factory.setSessionTimeout</w:t>
                    </w:r>
                    <w:proofErr w:type="gramEnd"/>
                    <w:r>
                      <w:rPr>
                        <w:rFonts w:ascii="MS Gothic"/>
                        <w:color w:val="333333"/>
                      </w:rPr>
                      <w:t>(10, TimeUnit.MINUTES);</w:t>
                    </w:r>
                  </w:p>
                  <w:p w14:paraId="4CC60CD2" w14:textId="77777777" w:rsidR="00711A16" w:rsidRDefault="00711A16">
                    <w:pPr>
                      <w:spacing w:before="13" w:line="252" w:lineRule="auto"/>
                      <w:ind w:left="640" w:right="808"/>
                      <w:rPr>
                        <w:rFonts w:ascii="MS Gothic"/>
                      </w:rPr>
                    </w:pPr>
                    <w:proofErr w:type="gramStart"/>
                    <w:r>
                      <w:rPr>
                        <w:rFonts w:ascii="MS Gothic"/>
                        <w:color w:val="333333"/>
                      </w:rPr>
                      <w:t>factory.addErrorPages</w:t>
                    </w:r>
                    <w:proofErr w:type="gramEnd"/>
                    <w:r>
                      <w:rPr>
                        <w:rFonts w:ascii="MS Gothic"/>
                        <w:color w:val="333333"/>
                      </w:rPr>
                      <w:t>(new ErrorPage(HttpStatus.NOT_FOUND, "/notfound.html")); return factory;</w:t>
                    </w:r>
                  </w:p>
                  <w:p w14:paraId="64E6A5BC"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78EAD5DF" w14:textId="77777777" w:rsidR="00A720EB" w:rsidRDefault="00A720EB">
      <w:pPr>
        <w:rPr>
          <w:sz w:val="13"/>
        </w:rPr>
        <w:sectPr w:rsidR="00A720EB">
          <w:pgSz w:w="11910" w:h="16840"/>
          <w:pgMar w:top="620" w:right="840" w:bottom="520" w:left="840" w:header="0" w:footer="323" w:gutter="0"/>
          <w:cols w:space="720"/>
        </w:sectPr>
      </w:pPr>
    </w:p>
    <w:p w14:paraId="641BD222" w14:textId="77777777" w:rsidR="00A720EB" w:rsidRDefault="0030286B">
      <w:pPr>
        <w:pStyle w:val="a3"/>
        <w:spacing w:before="107" w:line="307" w:lineRule="auto"/>
        <w:ind w:left="124" w:right="122"/>
        <w:jc w:val="both"/>
      </w:pPr>
      <w:r>
        <w:rPr>
          <w:color w:val="333333"/>
          <w:w w:val="110"/>
        </w:rPr>
        <w:lastRenderedPageBreak/>
        <w:t xml:space="preserve">Setters are provided for many configuration options. Several protected method “hooks” are also provided should you need to do something more exotic. See the </w:t>
      </w:r>
      <w:hyperlink r:id="rId170">
        <w:r>
          <w:rPr>
            <w:color w:val="418BCA"/>
            <w:w w:val="110"/>
          </w:rPr>
          <w:t>source code documentation</w:t>
        </w:r>
      </w:hyperlink>
      <w:r>
        <w:rPr>
          <w:color w:val="418BCA"/>
          <w:w w:val="110"/>
        </w:rPr>
        <w:t xml:space="preserve"> </w:t>
      </w:r>
      <w:r>
        <w:rPr>
          <w:color w:val="333333"/>
          <w:w w:val="110"/>
        </w:rPr>
        <w:t>for details.</w:t>
      </w:r>
    </w:p>
    <w:p w14:paraId="1A594197" w14:textId="77777777" w:rsidR="00A720EB" w:rsidRDefault="00A720EB">
      <w:pPr>
        <w:pStyle w:val="a3"/>
        <w:spacing w:before="8"/>
        <w:rPr>
          <w:sz w:val="25"/>
        </w:rPr>
      </w:pPr>
    </w:p>
    <w:p w14:paraId="6D35EC29" w14:textId="77777777" w:rsidR="00A720EB" w:rsidRDefault="0030286B">
      <w:pPr>
        <w:pStyle w:val="4"/>
      </w:pPr>
      <w:bookmarkStart w:id="276" w:name="JSP_Limitations"/>
      <w:bookmarkEnd w:id="276"/>
      <w:r>
        <w:rPr>
          <w:color w:val="333333"/>
          <w:w w:val="110"/>
        </w:rPr>
        <w:t>JSP Limitations</w:t>
      </w:r>
    </w:p>
    <w:p w14:paraId="48B1C479" w14:textId="77777777" w:rsidR="00A720EB" w:rsidRDefault="00A720EB">
      <w:pPr>
        <w:pStyle w:val="a3"/>
        <w:spacing w:before="11"/>
        <w:rPr>
          <w:rFonts w:ascii="Palatino Linotype"/>
          <w:b/>
          <w:sz w:val="18"/>
        </w:rPr>
      </w:pPr>
    </w:p>
    <w:p w14:paraId="66CB3F3B" w14:textId="77777777" w:rsidR="00A720EB" w:rsidRDefault="0030286B">
      <w:pPr>
        <w:pStyle w:val="a3"/>
        <w:spacing w:line="307" w:lineRule="auto"/>
        <w:ind w:left="124" w:right="132"/>
        <w:jc w:val="both"/>
      </w:pPr>
      <w:r>
        <w:rPr>
          <w:color w:val="333333"/>
          <w:w w:val="110"/>
        </w:rPr>
        <w:t xml:space="preserve">When running a Spring Boot application that uses an embedded servlet container (and is </w:t>
      </w:r>
      <w:proofErr w:type="gramStart"/>
      <w:r>
        <w:rPr>
          <w:color w:val="333333"/>
          <w:w w:val="110"/>
        </w:rPr>
        <w:t>packaged  as</w:t>
      </w:r>
      <w:proofErr w:type="gramEnd"/>
      <w:r>
        <w:rPr>
          <w:color w:val="333333"/>
          <w:w w:val="110"/>
        </w:rPr>
        <w:t xml:space="preserve"> an executable archive), there are some limitations in the JSP</w:t>
      </w:r>
      <w:r>
        <w:rPr>
          <w:color w:val="333333"/>
          <w:spacing w:val="38"/>
          <w:w w:val="110"/>
        </w:rPr>
        <w:t xml:space="preserve"> </w:t>
      </w:r>
      <w:r>
        <w:rPr>
          <w:color w:val="333333"/>
          <w:w w:val="110"/>
        </w:rPr>
        <w:t>support.</w:t>
      </w:r>
    </w:p>
    <w:p w14:paraId="1E459C24" w14:textId="77777777" w:rsidR="00A720EB" w:rsidRDefault="0030286B">
      <w:pPr>
        <w:pStyle w:val="a6"/>
        <w:numPr>
          <w:ilvl w:val="0"/>
          <w:numId w:val="49"/>
        </w:numPr>
        <w:tabs>
          <w:tab w:val="left" w:pos="485"/>
        </w:tabs>
        <w:spacing w:before="241" w:line="295" w:lineRule="auto"/>
        <w:ind w:right="130"/>
        <w:jc w:val="both"/>
        <w:rPr>
          <w:sz w:val="21"/>
        </w:rPr>
      </w:pPr>
      <w:r>
        <w:rPr>
          <w:color w:val="333333"/>
          <w:w w:val="110"/>
          <w:sz w:val="21"/>
        </w:rPr>
        <w:t xml:space="preserve">With Jetty and Tomcat, it should work if you use war packaging. An executable war will work when launched with </w:t>
      </w:r>
      <w:r>
        <w:rPr>
          <w:rFonts w:ascii="MS Gothic" w:hAnsi="MS Gothic"/>
          <w:color w:val="B02045"/>
          <w:w w:val="110"/>
          <w:sz w:val="21"/>
        </w:rPr>
        <w:t>java -jar</w:t>
      </w:r>
      <w:r>
        <w:rPr>
          <w:color w:val="333333"/>
          <w:w w:val="110"/>
          <w:sz w:val="21"/>
        </w:rPr>
        <w:t>, and will also be deployable to any standard container. JSPs are not supported when using an executable</w:t>
      </w:r>
      <w:r>
        <w:rPr>
          <w:color w:val="333333"/>
          <w:spacing w:val="19"/>
          <w:w w:val="110"/>
          <w:sz w:val="21"/>
        </w:rPr>
        <w:t xml:space="preserve"> </w:t>
      </w:r>
      <w:r>
        <w:rPr>
          <w:color w:val="333333"/>
          <w:w w:val="110"/>
          <w:sz w:val="21"/>
        </w:rPr>
        <w:t>jar.</w:t>
      </w:r>
    </w:p>
    <w:p w14:paraId="6F83E585" w14:textId="77777777" w:rsidR="00A720EB" w:rsidRDefault="0030286B">
      <w:pPr>
        <w:pStyle w:val="a6"/>
        <w:numPr>
          <w:ilvl w:val="0"/>
          <w:numId w:val="49"/>
        </w:numPr>
        <w:tabs>
          <w:tab w:val="left" w:pos="485"/>
        </w:tabs>
        <w:spacing w:before="131"/>
        <w:jc w:val="both"/>
        <w:rPr>
          <w:sz w:val="21"/>
        </w:rPr>
      </w:pPr>
      <w:r>
        <w:rPr>
          <w:color w:val="333333"/>
          <w:w w:val="110"/>
          <w:sz w:val="21"/>
        </w:rPr>
        <w:t>Undertow does not support</w:t>
      </w:r>
      <w:r>
        <w:rPr>
          <w:color w:val="333333"/>
          <w:spacing w:val="10"/>
          <w:w w:val="110"/>
          <w:sz w:val="21"/>
        </w:rPr>
        <w:t xml:space="preserve"> </w:t>
      </w:r>
      <w:r>
        <w:rPr>
          <w:color w:val="333333"/>
          <w:w w:val="110"/>
          <w:sz w:val="21"/>
        </w:rPr>
        <w:t>JSPs.</w:t>
      </w:r>
    </w:p>
    <w:p w14:paraId="3209145B" w14:textId="77777777" w:rsidR="00A720EB" w:rsidRDefault="0030286B">
      <w:pPr>
        <w:pStyle w:val="a6"/>
        <w:numPr>
          <w:ilvl w:val="0"/>
          <w:numId w:val="49"/>
        </w:numPr>
        <w:tabs>
          <w:tab w:val="left" w:pos="485"/>
        </w:tabs>
        <w:spacing w:before="178" w:line="290" w:lineRule="auto"/>
        <w:ind w:right="123"/>
        <w:jc w:val="both"/>
        <w:rPr>
          <w:sz w:val="21"/>
        </w:rPr>
      </w:pPr>
      <w:r>
        <w:rPr>
          <w:color w:val="333333"/>
          <w:w w:val="110"/>
          <w:sz w:val="21"/>
        </w:rPr>
        <w:t xml:space="preserve">Creating a custom </w:t>
      </w:r>
      <w:r>
        <w:rPr>
          <w:rFonts w:ascii="MS Gothic" w:hAnsi="MS Gothic"/>
          <w:color w:val="B02045"/>
          <w:w w:val="110"/>
          <w:sz w:val="21"/>
        </w:rPr>
        <w:t xml:space="preserve">error.jsp </w:t>
      </w:r>
      <w:r>
        <w:rPr>
          <w:color w:val="333333"/>
          <w:w w:val="110"/>
          <w:sz w:val="21"/>
        </w:rPr>
        <w:t xml:space="preserve">page does not override the default view for </w:t>
      </w:r>
      <w:hyperlink w:anchor="_bookmark158" w:history="1">
        <w:r>
          <w:rPr>
            <w:color w:val="418BCA"/>
            <w:w w:val="110"/>
            <w:sz w:val="21"/>
          </w:rPr>
          <w:t>error handling</w:t>
        </w:r>
      </w:hyperlink>
      <w:r>
        <w:rPr>
          <w:color w:val="333333"/>
          <w:w w:val="110"/>
          <w:sz w:val="21"/>
        </w:rPr>
        <w:t xml:space="preserve">. </w:t>
      </w:r>
      <w:hyperlink w:anchor="_bookmark159" w:history="1">
        <w:r>
          <w:rPr>
            <w:color w:val="418BCA"/>
            <w:w w:val="110"/>
            <w:sz w:val="21"/>
          </w:rPr>
          <w:t>Custom</w:t>
        </w:r>
      </w:hyperlink>
      <w:r>
        <w:rPr>
          <w:color w:val="418BCA"/>
          <w:w w:val="110"/>
          <w:sz w:val="21"/>
        </w:rPr>
        <w:t xml:space="preserve"> </w:t>
      </w:r>
      <w:hyperlink w:anchor="_bookmark159" w:history="1">
        <w:r>
          <w:rPr>
            <w:color w:val="418BCA"/>
            <w:w w:val="110"/>
            <w:sz w:val="21"/>
          </w:rPr>
          <w:t xml:space="preserve">error pages </w:t>
        </w:r>
      </w:hyperlink>
      <w:r>
        <w:rPr>
          <w:color w:val="333333"/>
          <w:w w:val="110"/>
          <w:sz w:val="21"/>
        </w:rPr>
        <w:t>should be used</w:t>
      </w:r>
      <w:r>
        <w:rPr>
          <w:color w:val="333333"/>
          <w:spacing w:val="15"/>
          <w:w w:val="110"/>
          <w:sz w:val="21"/>
        </w:rPr>
        <w:t xml:space="preserve"> </w:t>
      </w:r>
      <w:r>
        <w:rPr>
          <w:color w:val="333333"/>
          <w:w w:val="110"/>
          <w:sz w:val="21"/>
        </w:rPr>
        <w:t>instead.</w:t>
      </w:r>
    </w:p>
    <w:p w14:paraId="215EB669" w14:textId="77777777" w:rsidR="00A720EB" w:rsidRDefault="00A720EB">
      <w:pPr>
        <w:pStyle w:val="a3"/>
        <w:spacing w:before="3"/>
        <w:rPr>
          <w:sz w:val="27"/>
        </w:rPr>
      </w:pPr>
    </w:p>
    <w:p w14:paraId="49889B55" w14:textId="77777777" w:rsidR="00A720EB" w:rsidRDefault="0030286B">
      <w:pPr>
        <w:pStyle w:val="3"/>
        <w:numPr>
          <w:ilvl w:val="2"/>
          <w:numId w:val="68"/>
        </w:numPr>
        <w:tabs>
          <w:tab w:val="left" w:pos="858"/>
        </w:tabs>
        <w:ind w:hanging="734"/>
      </w:pPr>
      <w:bookmarkStart w:id="277" w:name="4.7.5._Embedded_Reactive_Server_Support"/>
      <w:bookmarkStart w:id="278" w:name="_Toc54423753"/>
      <w:bookmarkEnd w:id="277"/>
      <w:r>
        <w:rPr>
          <w:color w:val="333333"/>
          <w:w w:val="110"/>
        </w:rPr>
        <w:t>Embedded Reactive Server</w:t>
      </w:r>
      <w:r>
        <w:rPr>
          <w:color w:val="333333"/>
          <w:spacing w:val="-16"/>
          <w:w w:val="110"/>
        </w:rPr>
        <w:t xml:space="preserve"> </w:t>
      </w:r>
      <w:r>
        <w:rPr>
          <w:color w:val="333333"/>
          <w:w w:val="110"/>
        </w:rPr>
        <w:t>Support</w:t>
      </w:r>
      <w:bookmarkEnd w:id="278"/>
    </w:p>
    <w:p w14:paraId="18BBE6C5" w14:textId="77777777" w:rsidR="00A720EB" w:rsidRDefault="0030286B">
      <w:pPr>
        <w:pStyle w:val="a3"/>
        <w:spacing w:before="254" w:line="307" w:lineRule="auto"/>
        <w:ind w:left="124" w:right="130"/>
        <w:jc w:val="both"/>
      </w:pPr>
      <w:r>
        <w:rPr>
          <w:color w:val="333333"/>
          <w:w w:val="110"/>
        </w:rPr>
        <w:t>Spring Boot includes support for the following embedded reactive web servers: Reactor Netty, Tomcat, Jetty, and Undertow. Most developers use the appropriate “Starter” to obtain a fully configured instance. By default, the embedded server listens for HTTP requests on port 8080.</w:t>
      </w:r>
    </w:p>
    <w:p w14:paraId="7B90D3B4" w14:textId="77777777" w:rsidR="00A720EB" w:rsidRDefault="00A720EB">
      <w:pPr>
        <w:pStyle w:val="a3"/>
        <w:spacing w:before="9"/>
        <w:rPr>
          <w:sz w:val="25"/>
        </w:rPr>
      </w:pPr>
    </w:p>
    <w:p w14:paraId="7E168CCF" w14:textId="77777777" w:rsidR="00A720EB" w:rsidRDefault="0030286B">
      <w:pPr>
        <w:pStyle w:val="3"/>
        <w:numPr>
          <w:ilvl w:val="2"/>
          <w:numId w:val="68"/>
        </w:numPr>
        <w:tabs>
          <w:tab w:val="left" w:pos="858"/>
        </w:tabs>
        <w:ind w:hanging="734"/>
      </w:pPr>
      <w:bookmarkStart w:id="279" w:name="4.7.6._Reactive_Server_Resources_Configu"/>
      <w:bookmarkStart w:id="280" w:name="_Toc54423754"/>
      <w:bookmarkEnd w:id="279"/>
      <w:r>
        <w:rPr>
          <w:color w:val="333333"/>
          <w:w w:val="110"/>
        </w:rPr>
        <w:t>Reactive Server Resources</w:t>
      </w:r>
      <w:r>
        <w:rPr>
          <w:color w:val="333333"/>
          <w:spacing w:val="-14"/>
          <w:w w:val="110"/>
        </w:rPr>
        <w:t xml:space="preserve"> </w:t>
      </w:r>
      <w:r>
        <w:rPr>
          <w:color w:val="333333"/>
          <w:w w:val="110"/>
        </w:rPr>
        <w:t>Configuration</w:t>
      </w:r>
      <w:bookmarkEnd w:id="280"/>
    </w:p>
    <w:p w14:paraId="4224DB1C" w14:textId="77777777" w:rsidR="00A720EB" w:rsidRDefault="0030286B">
      <w:pPr>
        <w:pStyle w:val="a3"/>
        <w:spacing w:before="254" w:line="297" w:lineRule="auto"/>
        <w:ind w:left="124" w:right="138"/>
        <w:jc w:val="both"/>
      </w:pPr>
      <w:r>
        <w:rPr>
          <w:color w:val="333333"/>
          <w:w w:val="110"/>
        </w:rPr>
        <w:t xml:space="preserve">When auto-configuring a Reactor Netty or Jetty server, Spring Boot will create specific beans </w:t>
      </w:r>
      <w:proofErr w:type="gramStart"/>
      <w:r>
        <w:rPr>
          <w:color w:val="333333"/>
          <w:w w:val="110"/>
        </w:rPr>
        <w:t xml:space="preserve">that  </w:t>
      </w:r>
      <w:r>
        <w:rPr>
          <w:color w:val="333333"/>
          <w:w w:val="105"/>
        </w:rPr>
        <w:t>will</w:t>
      </w:r>
      <w:proofErr w:type="gramEnd"/>
      <w:r>
        <w:rPr>
          <w:color w:val="333333"/>
          <w:w w:val="105"/>
        </w:rPr>
        <w:t xml:space="preserve"> provide HTTP resources to the server instance: </w:t>
      </w:r>
      <w:r>
        <w:rPr>
          <w:rFonts w:ascii="MS Gothic"/>
          <w:color w:val="B02045"/>
          <w:w w:val="105"/>
        </w:rPr>
        <w:t xml:space="preserve">ReactorResourceFactory </w:t>
      </w:r>
      <w:r>
        <w:rPr>
          <w:color w:val="333333"/>
          <w:w w:val="105"/>
        </w:rPr>
        <w:t xml:space="preserve">or </w:t>
      </w:r>
      <w:r>
        <w:rPr>
          <w:rFonts w:ascii="MS Gothic"/>
          <w:color w:val="B02045"/>
          <w:w w:val="105"/>
        </w:rPr>
        <w:t>JettyResourceFactory</w:t>
      </w:r>
      <w:r>
        <w:rPr>
          <w:color w:val="333333"/>
          <w:w w:val="105"/>
        </w:rPr>
        <w:t>.</w:t>
      </w:r>
    </w:p>
    <w:p w14:paraId="1AF68908" w14:textId="77777777" w:rsidR="00A720EB" w:rsidRDefault="0030286B">
      <w:pPr>
        <w:pStyle w:val="a3"/>
        <w:spacing w:before="232" w:line="307" w:lineRule="auto"/>
        <w:ind w:left="124" w:right="132"/>
        <w:jc w:val="both"/>
      </w:pPr>
      <w:r>
        <w:rPr>
          <w:color w:val="333333"/>
          <w:w w:val="110"/>
        </w:rPr>
        <w:t>By default, those resources will be also shared with the Reactor Netty and Jetty clients for optimal performances, given:</w:t>
      </w:r>
    </w:p>
    <w:p w14:paraId="7EF3B2CC" w14:textId="77777777" w:rsidR="00A720EB" w:rsidRDefault="0030286B">
      <w:pPr>
        <w:pStyle w:val="a6"/>
        <w:numPr>
          <w:ilvl w:val="0"/>
          <w:numId w:val="48"/>
        </w:numPr>
        <w:tabs>
          <w:tab w:val="left" w:pos="485"/>
        </w:tabs>
        <w:spacing w:before="241"/>
        <w:jc w:val="both"/>
        <w:rPr>
          <w:sz w:val="21"/>
        </w:rPr>
      </w:pPr>
      <w:r>
        <w:rPr>
          <w:color w:val="333333"/>
          <w:w w:val="110"/>
          <w:sz w:val="21"/>
        </w:rPr>
        <w:t>the same technology is used for server and</w:t>
      </w:r>
      <w:r>
        <w:rPr>
          <w:color w:val="333333"/>
          <w:spacing w:val="25"/>
          <w:w w:val="110"/>
          <w:sz w:val="21"/>
        </w:rPr>
        <w:t xml:space="preserve"> </w:t>
      </w:r>
      <w:r>
        <w:rPr>
          <w:color w:val="333333"/>
          <w:w w:val="110"/>
          <w:sz w:val="21"/>
        </w:rPr>
        <w:t>client</w:t>
      </w:r>
    </w:p>
    <w:p w14:paraId="661F3378" w14:textId="77777777" w:rsidR="00A720EB" w:rsidRDefault="0030286B">
      <w:pPr>
        <w:pStyle w:val="a6"/>
        <w:numPr>
          <w:ilvl w:val="0"/>
          <w:numId w:val="48"/>
        </w:numPr>
        <w:tabs>
          <w:tab w:val="left" w:pos="485"/>
        </w:tabs>
        <w:spacing w:before="179"/>
        <w:rPr>
          <w:sz w:val="21"/>
        </w:rPr>
      </w:pPr>
      <w:r>
        <w:rPr>
          <w:color w:val="333333"/>
          <w:w w:val="110"/>
          <w:sz w:val="21"/>
        </w:rPr>
        <w:t xml:space="preserve">the client instance is built using the </w:t>
      </w:r>
      <w:r>
        <w:rPr>
          <w:rFonts w:ascii="MS Gothic" w:hAnsi="MS Gothic"/>
          <w:color w:val="B02045"/>
          <w:w w:val="110"/>
          <w:sz w:val="21"/>
        </w:rPr>
        <w:t>WebClient.Builder</w:t>
      </w:r>
      <w:r>
        <w:rPr>
          <w:rFonts w:ascii="MS Gothic" w:hAnsi="MS Gothic"/>
          <w:color w:val="B02045"/>
          <w:spacing w:val="-95"/>
          <w:w w:val="110"/>
          <w:sz w:val="21"/>
        </w:rPr>
        <w:t xml:space="preserve"> </w:t>
      </w:r>
      <w:r>
        <w:rPr>
          <w:color w:val="333333"/>
          <w:w w:val="110"/>
          <w:sz w:val="21"/>
        </w:rPr>
        <w:t xml:space="preserve">bean auto-configured </w:t>
      </w:r>
      <w:r>
        <w:rPr>
          <w:color w:val="333333"/>
          <w:spacing w:val="-3"/>
          <w:w w:val="110"/>
          <w:sz w:val="21"/>
        </w:rPr>
        <w:t xml:space="preserve">by </w:t>
      </w:r>
      <w:r>
        <w:rPr>
          <w:color w:val="333333"/>
          <w:w w:val="110"/>
          <w:sz w:val="21"/>
        </w:rPr>
        <w:t>Spring Boot</w:t>
      </w:r>
    </w:p>
    <w:p w14:paraId="56066A12" w14:textId="77777777" w:rsidR="00A720EB" w:rsidRDefault="00A720EB">
      <w:pPr>
        <w:pStyle w:val="a3"/>
        <w:spacing w:before="4"/>
        <w:rPr>
          <w:sz w:val="25"/>
        </w:rPr>
      </w:pPr>
    </w:p>
    <w:p w14:paraId="4F200875" w14:textId="77777777" w:rsidR="00A720EB" w:rsidRDefault="0030286B">
      <w:pPr>
        <w:pStyle w:val="a3"/>
        <w:spacing w:line="295" w:lineRule="auto"/>
        <w:ind w:left="124" w:right="127"/>
        <w:jc w:val="both"/>
      </w:pPr>
      <w:r>
        <w:rPr>
          <w:color w:val="333333"/>
          <w:w w:val="110"/>
        </w:rPr>
        <w:t xml:space="preserve">Developers can override the resource configuration for Jetty and Reactor Netty </w:t>
      </w:r>
      <w:r>
        <w:rPr>
          <w:color w:val="333333"/>
          <w:spacing w:val="-3"/>
          <w:w w:val="110"/>
        </w:rPr>
        <w:t xml:space="preserve">by </w:t>
      </w:r>
      <w:r>
        <w:rPr>
          <w:color w:val="333333"/>
          <w:w w:val="110"/>
        </w:rPr>
        <w:t>providing a custom</w:t>
      </w:r>
      <w:r>
        <w:rPr>
          <w:color w:val="333333"/>
          <w:spacing w:val="-2"/>
          <w:w w:val="110"/>
        </w:rPr>
        <w:t xml:space="preserve"> </w:t>
      </w:r>
      <w:r>
        <w:rPr>
          <w:rFonts w:ascii="MS Gothic"/>
          <w:color w:val="B02045"/>
          <w:w w:val="110"/>
        </w:rPr>
        <w:t>ReactorResourceFactory</w:t>
      </w:r>
      <w:r>
        <w:rPr>
          <w:rFonts w:ascii="MS Gothic"/>
          <w:color w:val="B02045"/>
          <w:spacing w:val="-66"/>
          <w:w w:val="110"/>
        </w:rPr>
        <w:t xml:space="preserve"> </w:t>
      </w:r>
      <w:r>
        <w:rPr>
          <w:color w:val="333333"/>
          <w:w w:val="110"/>
        </w:rPr>
        <w:t>or</w:t>
      </w:r>
      <w:r>
        <w:rPr>
          <w:color w:val="333333"/>
          <w:spacing w:val="-2"/>
          <w:w w:val="110"/>
        </w:rPr>
        <w:t xml:space="preserve"> </w:t>
      </w:r>
      <w:r>
        <w:rPr>
          <w:rFonts w:ascii="MS Gothic"/>
          <w:color w:val="B02045"/>
          <w:w w:val="110"/>
        </w:rPr>
        <w:t>JettyResourceFactory</w:t>
      </w:r>
      <w:r>
        <w:rPr>
          <w:rFonts w:ascii="MS Gothic"/>
          <w:color w:val="B02045"/>
          <w:spacing w:val="-66"/>
          <w:w w:val="110"/>
        </w:rPr>
        <w:t xml:space="preserve"> </w:t>
      </w:r>
      <w:r>
        <w:rPr>
          <w:color w:val="333333"/>
          <w:w w:val="110"/>
        </w:rPr>
        <w:t>bean</w:t>
      </w:r>
      <w:r>
        <w:rPr>
          <w:color w:val="333333"/>
          <w:spacing w:val="-2"/>
          <w:w w:val="110"/>
        </w:rPr>
        <w:t xml:space="preserve"> </w:t>
      </w:r>
      <w:r>
        <w:rPr>
          <w:color w:val="333333"/>
          <w:w w:val="110"/>
        </w:rPr>
        <w:t>-</w:t>
      </w:r>
      <w:r>
        <w:rPr>
          <w:color w:val="333333"/>
          <w:spacing w:val="-1"/>
          <w:w w:val="110"/>
        </w:rPr>
        <w:t xml:space="preserve"> </w:t>
      </w:r>
      <w:r>
        <w:rPr>
          <w:color w:val="333333"/>
          <w:w w:val="110"/>
        </w:rPr>
        <w:t>this</w:t>
      </w:r>
      <w:r>
        <w:rPr>
          <w:color w:val="333333"/>
          <w:spacing w:val="-2"/>
          <w:w w:val="110"/>
        </w:rPr>
        <w:t xml:space="preserve"> </w:t>
      </w:r>
      <w:r>
        <w:rPr>
          <w:color w:val="333333"/>
          <w:w w:val="110"/>
        </w:rPr>
        <w:t>will</w:t>
      </w:r>
      <w:r>
        <w:rPr>
          <w:color w:val="333333"/>
          <w:spacing w:val="-2"/>
          <w:w w:val="110"/>
        </w:rPr>
        <w:t xml:space="preserve"> </w:t>
      </w:r>
      <w:r>
        <w:rPr>
          <w:color w:val="333333"/>
          <w:w w:val="110"/>
        </w:rPr>
        <w:t>be</w:t>
      </w:r>
      <w:r>
        <w:rPr>
          <w:color w:val="333333"/>
          <w:spacing w:val="-1"/>
          <w:w w:val="110"/>
        </w:rPr>
        <w:t xml:space="preserve"> </w:t>
      </w:r>
      <w:r>
        <w:rPr>
          <w:color w:val="333333"/>
          <w:w w:val="110"/>
        </w:rPr>
        <w:t>applied</w:t>
      </w:r>
      <w:r>
        <w:rPr>
          <w:color w:val="333333"/>
          <w:spacing w:val="-2"/>
          <w:w w:val="110"/>
        </w:rPr>
        <w:t xml:space="preserve"> </w:t>
      </w:r>
      <w:r>
        <w:rPr>
          <w:color w:val="333333"/>
          <w:w w:val="110"/>
        </w:rPr>
        <w:t>to</w:t>
      </w:r>
      <w:r>
        <w:rPr>
          <w:color w:val="333333"/>
          <w:spacing w:val="-2"/>
          <w:w w:val="110"/>
        </w:rPr>
        <w:t xml:space="preserve"> </w:t>
      </w:r>
      <w:r>
        <w:rPr>
          <w:color w:val="333333"/>
          <w:w w:val="110"/>
        </w:rPr>
        <w:t>both</w:t>
      </w:r>
      <w:r>
        <w:rPr>
          <w:color w:val="333333"/>
          <w:spacing w:val="-2"/>
          <w:w w:val="110"/>
        </w:rPr>
        <w:t xml:space="preserve"> </w:t>
      </w:r>
      <w:r>
        <w:rPr>
          <w:color w:val="333333"/>
          <w:w w:val="110"/>
        </w:rPr>
        <w:t>clients and</w:t>
      </w:r>
      <w:r>
        <w:rPr>
          <w:color w:val="333333"/>
          <w:spacing w:val="2"/>
          <w:w w:val="110"/>
        </w:rPr>
        <w:t xml:space="preserve"> </w:t>
      </w:r>
      <w:r>
        <w:rPr>
          <w:color w:val="333333"/>
          <w:w w:val="110"/>
        </w:rPr>
        <w:t>servers.</w:t>
      </w:r>
    </w:p>
    <w:p w14:paraId="1AF15B21" w14:textId="77777777" w:rsidR="00A720EB" w:rsidRDefault="0030286B">
      <w:pPr>
        <w:pStyle w:val="a3"/>
        <w:spacing w:before="250" w:line="307" w:lineRule="auto"/>
        <w:ind w:left="124" w:right="123"/>
        <w:jc w:val="both"/>
      </w:pPr>
      <w:r>
        <w:rPr>
          <w:color w:val="333333"/>
          <w:w w:val="110"/>
        </w:rPr>
        <w:t xml:space="preserve">You can learn more about the resource configuration on the client side in the </w:t>
      </w:r>
      <w:hyperlink w:anchor="_bookmark287" w:history="1">
        <w:r>
          <w:rPr>
            <w:color w:val="418BCA"/>
            <w:w w:val="110"/>
          </w:rPr>
          <w:t>WebClient Runtime</w:t>
        </w:r>
      </w:hyperlink>
      <w:r>
        <w:rPr>
          <w:color w:val="418BCA"/>
          <w:w w:val="110"/>
        </w:rPr>
        <w:t xml:space="preserve"> </w:t>
      </w:r>
      <w:hyperlink w:anchor="_bookmark287" w:history="1">
        <w:r>
          <w:rPr>
            <w:color w:val="418BCA"/>
            <w:w w:val="110"/>
          </w:rPr>
          <w:t>section</w:t>
        </w:r>
      </w:hyperlink>
      <w:r>
        <w:rPr>
          <w:color w:val="333333"/>
          <w:w w:val="110"/>
        </w:rPr>
        <w:t>.</w:t>
      </w:r>
    </w:p>
    <w:p w14:paraId="3841C6AC" w14:textId="77777777" w:rsidR="00A720EB" w:rsidRDefault="00A720EB">
      <w:pPr>
        <w:pStyle w:val="a3"/>
        <w:spacing w:before="11"/>
        <w:rPr>
          <w:sz w:val="25"/>
        </w:rPr>
      </w:pPr>
    </w:p>
    <w:p w14:paraId="4E6F8B7A" w14:textId="77777777" w:rsidR="00A720EB" w:rsidRDefault="0030286B">
      <w:pPr>
        <w:pStyle w:val="2"/>
        <w:numPr>
          <w:ilvl w:val="1"/>
          <w:numId w:val="68"/>
        </w:numPr>
        <w:tabs>
          <w:tab w:val="left" w:pos="832"/>
        </w:tabs>
      </w:pPr>
      <w:bookmarkStart w:id="281" w:name="4.8._Graceful_shutdown"/>
      <w:bookmarkStart w:id="282" w:name="_Toc54423755"/>
      <w:bookmarkEnd w:id="281"/>
      <w:r>
        <w:rPr>
          <w:color w:val="333333"/>
          <w:w w:val="110"/>
        </w:rPr>
        <w:t>Graceful</w:t>
      </w:r>
      <w:r>
        <w:rPr>
          <w:color w:val="333333"/>
          <w:spacing w:val="-7"/>
          <w:w w:val="110"/>
        </w:rPr>
        <w:t xml:space="preserve"> </w:t>
      </w:r>
      <w:r>
        <w:rPr>
          <w:color w:val="333333"/>
          <w:w w:val="110"/>
        </w:rPr>
        <w:t>shutdown</w:t>
      </w:r>
      <w:bookmarkEnd w:id="282"/>
    </w:p>
    <w:p w14:paraId="28469CBE" w14:textId="77777777" w:rsidR="00A720EB" w:rsidRDefault="0030286B">
      <w:pPr>
        <w:pStyle w:val="a3"/>
        <w:spacing w:before="253" w:line="302" w:lineRule="auto"/>
        <w:ind w:left="124" w:right="122"/>
        <w:jc w:val="both"/>
      </w:pPr>
      <w:r>
        <w:rPr>
          <w:color w:val="333333"/>
          <w:w w:val="110"/>
        </w:rPr>
        <w:t xml:space="preserve">Graceful shutdown is supported with all four embedded web servers </w:t>
      </w:r>
      <w:r>
        <w:rPr>
          <w:color w:val="333333"/>
          <w:spacing w:val="-4"/>
          <w:w w:val="110"/>
        </w:rPr>
        <w:t xml:space="preserve">(Jetty, </w:t>
      </w:r>
      <w:r>
        <w:rPr>
          <w:color w:val="333333"/>
          <w:w w:val="110"/>
        </w:rPr>
        <w:t xml:space="preserve">Reactor </w:t>
      </w:r>
      <w:r>
        <w:rPr>
          <w:color w:val="333333"/>
          <w:spacing w:val="-4"/>
          <w:w w:val="110"/>
        </w:rPr>
        <w:t xml:space="preserve">Netty, </w:t>
      </w:r>
      <w:r>
        <w:rPr>
          <w:color w:val="333333"/>
          <w:w w:val="110"/>
        </w:rPr>
        <w:t xml:space="preserve">Tomcat, and Undertow) and with both reactive and Servlet-based web applications. It occurs as part of closing the application context and is performed in the earliest phase of stopping </w:t>
      </w:r>
      <w:r>
        <w:rPr>
          <w:rFonts w:ascii="MS Gothic"/>
          <w:color w:val="B02045"/>
          <w:w w:val="110"/>
        </w:rPr>
        <w:t xml:space="preserve">SmartLifecycle </w:t>
      </w:r>
      <w:r>
        <w:rPr>
          <w:color w:val="333333"/>
          <w:w w:val="110"/>
        </w:rPr>
        <w:t>beans. This stop processing uses a timeout which provides a grace period during which existing requests will be allowed to complete but no new requests will be permitted. The exact way in which new</w:t>
      </w:r>
      <w:r>
        <w:rPr>
          <w:color w:val="333333"/>
          <w:spacing w:val="7"/>
          <w:w w:val="110"/>
        </w:rPr>
        <w:t xml:space="preserve"> </w:t>
      </w:r>
      <w:r>
        <w:rPr>
          <w:color w:val="333333"/>
          <w:w w:val="110"/>
        </w:rPr>
        <w:t>requests</w:t>
      </w:r>
      <w:r>
        <w:rPr>
          <w:color w:val="333333"/>
          <w:spacing w:val="7"/>
          <w:w w:val="110"/>
        </w:rPr>
        <w:t xml:space="preserve"> </w:t>
      </w:r>
      <w:r>
        <w:rPr>
          <w:color w:val="333333"/>
          <w:w w:val="110"/>
        </w:rPr>
        <w:t>are</w:t>
      </w:r>
      <w:r>
        <w:rPr>
          <w:color w:val="333333"/>
          <w:spacing w:val="7"/>
          <w:w w:val="110"/>
        </w:rPr>
        <w:t xml:space="preserve"> </w:t>
      </w:r>
      <w:r>
        <w:rPr>
          <w:color w:val="333333"/>
          <w:w w:val="110"/>
        </w:rPr>
        <w:t>not</w:t>
      </w:r>
      <w:r>
        <w:rPr>
          <w:color w:val="333333"/>
          <w:spacing w:val="7"/>
          <w:w w:val="110"/>
        </w:rPr>
        <w:t xml:space="preserve"> </w:t>
      </w:r>
      <w:r>
        <w:rPr>
          <w:color w:val="333333"/>
          <w:w w:val="110"/>
        </w:rPr>
        <w:t>permitted</w:t>
      </w:r>
      <w:r>
        <w:rPr>
          <w:color w:val="333333"/>
          <w:spacing w:val="7"/>
          <w:w w:val="110"/>
        </w:rPr>
        <w:t xml:space="preserve"> </w:t>
      </w:r>
      <w:r>
        <w:rPr>
          <w:color w:val="333333"/>
          <w:w w:val="110"/>
        </w:rPr>
        <w:t>varies</w:t>
      </w:r>
      <w:r>
        <w:rPr>
          <w:color w:val="333333"/>
          <w:spacing w:val="7"/>
          <w:w w:val="110"/>
        </w:rPr>
        <w:t xml:space="preserve"> </w:t>
      </w:r>
      <w:r>
        <w:rPr>
          <w:color w:val="333333"/>
          <w:w w:val="110"/>
        </w:rPr>
        <w:t>depending</w:t>
      </w:r>
      <w:r>
        <w:rPr>
          <w:color w:val="333333"/>
          <w:spacing w:val="7"/>
          <w:w w:val="110"/>
        </w:rPr>
        <w:t xml:space="preserve"> </w:t>
      </w:r>
      <w:r>
        <w:rPr>
          <w:color w:val="333333"/>
          <w:w w:val="110"/>
        </w:rPr>
        <w:t>on</w:t>
      </w:r>
      <w:r>
        <w:rPr>
          <w:color w:val="333333"/>
          <w:spacing w:val="7"/>
          <w:w w:val="110"/>
        </w:rPr>
        <w:t xml:space="preserve"> </w:t>
      </w:r>
      <w:r>
        <w:rPr>
          <w:color w:val="333333"/>
          <w:w w:val="110"/>
        </w:rPr>
        <w:t>the</w:t>
      </w:r>
      <w:r>
        <w:rPr>
          <w:color w:val="333333"/>
          <w:spacing w:val="7"/>
          <w:w w:val="110"/>
        </w:rPr>
        <w:t xml:space="preserve"> </w:t>
      </w:r>
      <w:r>
        <w:rPr>
          <w:color w:val="333333"/>
          <w:w w:val="110"/>
        </w:rPr>
        <w:t>web</w:t>
      </w:r>
      <w:r>
        <w:rPr>
          <w:color w:val="333333"/>
          <w:spacing w:val="7"/>
          <w:w w:val="110"/>
        </w:rPr>
        <w:t xml:space="preserve"> </w:t>
      </w:r>
      <w:r>
        <w:rPr>
          <w:color w:val="333333"/>
          <w:w w:val="110"/>
        </w:rPr>
        <w:t>server</w:t>
      </w:r>
      <w:r>
        <w:rPr>
          <w:color w:val="333333"/>
          <w:spacing w:val="7"/>
          <w:w w:val="110"/>
        </w:rPr>
        <w:t xml:space="preserve"> </w:t>
      </w:r>
      <w:r>
        <w:rPr>
          <w:color w:val="333333"/>
          <w:w w:val="110"/>
        </w:rPr>
        <w:t>that</w:t>
      </w:r>
      <w:r>
        <w:rPr>
          <w:color w:val="333333"/>
          <w:spacing w:val="7"/>
          <w:w w:val="110"/>
        </w:rPr>
        <w:t xml:space="preserve"> </w:t>
      </w:r>
      <w:r>
        <w:rPr>
          <w:color w:val="333333"/>
          <w:w w:val="110"/>
        </w:rPr>
        <w:t>is</w:t>
      </w:r>
      <w:r>
        <w:rPr>
          <w:color w:val="333333"/>
          <w:spacing w:val="7"/>
          <w:w w:val="110"/>
        </w:rPr>
        <w:t xml:space="preserve"> </w:t>
      </w:r>
      <w:r>
        <w:rPr>
          <w:color w:val="333333"/>
          <w:w w:val="110"/>
        </w:rPr>
        <w:t>being</w:t>
      </w:r>
      <w:r>
        <w:rPr>
          <w:color w:val="333333"/>
          <w:spacing w:val="7"/>
          <w:w w:val="110"/>
        </w:rPr>
        <w:t xml:space="preserve"> </w:t>
      </w:r>
      <w:r>
        <w:rPr>
          <w:color w:val="333333"/>
          <w:w w:val="110"/>
        </w:rPr>
        <w:t>used.</w:t>
      </w:r>
      <w:r>
        <w:rPr>
          <w:color w:val="333333"/>
          <w:spacing w:val="7"/>
          <w:w w:val="110"/>
        </w:rPr>
        <w:t xml:space="preserve"> </w:t>
      </w:r>
      <w:r>
        <w:rPr>
          <w:color w:val="333333"/>
          <w:spacing w:val="-4"/>
          <w:w w:val="110"/>
        </w:rPr>
        <w:t>Jetty,</w:t>
      </w:r>
    </w:p>
    <w:p w14:paraId="37F7DB33" w14:textId="77777777" w:rsidR="00A720EB" w:rsidRDefault="00A720EB">
      <w:pPr>
        <w:spacing w:line="302" w:lineRule="auto"/>
        <w:jc w:val="both"/>
        <w:sectPr w:rsidR="00A720EB">
          <w:pgSz w:w="11910" w:h="16840"/>
          <w:pgMar w:top="620" w:right="840" w:bottom="520" w:left="840" w:header="0" w:footer="323" w:gutter="0"/>
          <w:cols w:space="720"/>
        </w:sectPr>
      </w:pPr>
    </w:p>
    <w:p w14:paraId="3AA0F384" w14:textId="77777777" w:rsidR="00A720EB" w:rsidRDefault="0030286B">
      <w:pPr>
        <w:pStyle w:val="a3"/>
        <w:spacing w:before="107" w:line="307" w:lineRule="auto"/>
        <w:ind w:left="124" w:right="359"/>
      </w:pPr>
      <w:r>
        <w:rPr>
          <w:color w:val="333333"/>
          <w:w w:val="110"/>
        </w:rPr>
        <w:lastRenderedPageBreak/>
        <w:t>Reactor Netty, and Tomcat will stop accepting requests at the network layer. Undertow will accept requests but respond immediately with a service unavailable (503) response.</w:t>
      </w:r>
    </w:p>
    <w:p w14:paraId="4BAAED70" w14:textId="77777777" w:rsidR="00A720EB" w:rsidRDefault="00E10349">
      <w:pPr>
        <w:pStyle w:val="a3"/>
        <w:spacing w:before="207"/>
        <w:ind w:left="491"/>
      </w:pPr>
      <w:r>
        <w:pict w14:anchorId="35BFB32D">
          <v:line id="_x0000_s4271" style="position:absolute;left:0;text-align:left;z-index:-41595904;mso-position-horizontal-relative:page" from="108.25pt,10.05pt" to="108.25pt,33.8pt" strokecolor="#ededed" strokeweight=".5pt">
            <w10:wrap anchorx="page"/>
          </v:line>
        </w:pict>
      </w:r>
      <w:r w:rsidR="0030286B">
        <w:rPr>
          <w:noProof/>
          <w:position w:val="-14"/>
        </w:rPr>
        <w:drawing>
          <wp:inline distT="0" distB="0" distL="0" distR="0" wp14:anchorId="16498437" wp14:editId="1D61F4AB">
            <wp:extent cx="295275" cy="295275"/>
            <wp:effectExtent l="0" t="0" r="0" b="0"/>
            <wp:docPr id="26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6.png"/>
                    <pic:cNvPicPr/>
                  </pic:nvPicPr>
                  <pic:blipFill>
                    <a:blip r:embed="rId100" cstate="print"/>
                    <a:stretch>
                      <a:fillRect/>
                    </a:stretch>
                  </pic:blipFill>
                  <pic:spPr>
                    <a:xfrm>
                      <a:off x="0" y="0"/>
                      <a:ext cx="295275" cy="295275"/>
                    </a:xfrm>
                    <a:prstGeom prst="rect">
                      <a:avLst/>
                    </a:prstGeom>
                  </pic:spPr>
                </pic:pic>
              </a:graphicData>
            </a:graphic>
          </wp:inline>
        </w:drawing>
      </w:r>
      <w:r w:rsidR="0030286B">
        <w:rPr>
          <w:rFonts w:ascii="Times New Roman"/>
          <w:sz w:val="20"/>
        </w:rPr>
        <w:t xml:space="preserve">           </w:t>
      </w:r>
      <w:r w:rsidR="0030286B">
        <w:rPr>
          <w:rFonts w:ascii="Times New Roman"/>
          <w:spacing w:val="7"/>
          <w:sz w:val="20"/>
        </w:rPr>
        <w:t xml:space="preserve"> </w:t>
      </w:r>
      <w:r w:rsidR="0030286B">
        <w:rPr>
          <w:color w:val="333333"/>
          <w:w w:val="110"/>
        </w:rPr>
        <w:t>Graceful shutdown with Tomcat requires Tomcat 9.0.33 or</w:t>
      </w:r>
      <w:r w:rsidR="0030286B">
        <w:rPr>
          <w:color w:val="333333"/>
          <w:spacing w:val="22"/>
          <w:w w:val="110"/>
        </w:rPr>
        <w:t xml:space="preserve"> </w:t>
      </w:r>
      <w:r w:rsidR="0030286B">
        <w:rPr>
          <w:color w:val="333333"/>
          <w:w w:val="110"/>
        </w:rPr>
        <w:t>later.</w:t>
      </w:r>
    </w:p>
    <w:p w14:paraId="7763BD66" w14:textId="77777777" w:rsidR="00A720EB" w:rsidRDefault="0030286B">
      <w:pPr>
        <w:pStyle w:val="a3"/>
        <w:spacing w:before="274" w:line="290" w:lineRule="auto"/>
        <w:ind w:left="124" w:right="359"/>
      </w:pPr>
      <w:r>
        <w:rPr>
          <w:color w:val="333333"/>
          <w:w w:val="110"/>
        </w:rPr>
        <w:t xml:space="preserve">To enable graceful shutdown, configure the </w:t>
      </w:r>
      <w:proofErr w:type="gramStart"/>
      <w:r>
        <w:rPr>
          <w:rFonts w:ascii="MS Gothic"/>
          <w:color w:val="B02045"/>
          <w:w w:val="110"/>
        </w:rPr>
        <w:t>server.shutdown</w:t>
      </w:r>
      <w:proofErr w:type="gramEnd"/>
      <w:r>
        <w:rPr>
          <w:rFonts w:ascii="MS Gothic"/>
          <w:color w:val="B02045"/>
          <w:w w:val="110"/>
        </w:rPr>
        <w:t xml:space="preserve"> </w:t>
      </w:r>
      <w:r>
        <w:rPr>
          <w:color w:val="333333"/>
          <w:w w:val="110"/>
        </w:rPr>
        <w:t>property, as shown in the following example:</w:t>
      </w:r>
    </w:p>
    <w:p w14:paraId="4865D87B" w14:textId="77777777" w:rsidR="00A720EB" w:rsidRDefault="00E10349">
      <w:pPr>
        <w:pStyle w:val="a3"/>
        <w:spacing w:before="7"/>
        <w:rPr>
          <w:sz w:val="14"/>
        </w:rPr>
      </w:pPr>
      <w:r>
        <w:pict w14:anchorId="51F410EC">
          <v:group id="_x0000_s4267" style="position:absolute;margin-left:47.85pt;margin-top:10.55pt;width:499.55pt;height:37.5pt;z-index:-15519744;mso-wrap-distance-left:0;mso-wrap-distance-right:0;mso-position-horizontal-relative:page" coordorigin="957,211" coordsize="9991,750">
            <v:shape id="_x0000_s4270" style="position:absolute;left:964;top:218;width:9976;height:735" coordorigin="965,218" coordsize="9976,735" path="m10861,218r-9816,l1014,225r-26,17l971,267r-6,31l965,873r6,31l988,930r26,17l1045,953r9816,l10892,947r25,-17l10935,904r6,-31l10941,298r-6,-31l10917,242r-25,-17l10861,218xe" fillcolor="#f5f5f5" stroked="f">
              <v:path arrowok="t"/>
            </v:shape>
            <v:shape id="_x0000_s4269" style="position:absolute;left:964;top:218;width:9976;height:735" coordorigin="965,218" coordsize="9976,735" path="m1045,218r9816,l10892,225r25,17l10935,267r6,31l10941,873r-6,31l10917,930r-25,17l10861,953r-9816,l1014,947,988,930,971,904r-6,-31l965,298r6,-31l988,242r26,-17l1045,218xe" filled="f" strokecolor="#ccc">
              <v:path arrowok="t"/>
            </v:shape>
            <v:shape id="_x0000_s4268" type="#_x0000_t202" style="position:absolute;left:984;top:233;width:9938;height:704" filled="f" stroked="f">
              <v:textbox inset="0,0,0,0">
                <w:txbxContent>
                  <w:p w14:paraId="2E524E08" w14:textId="77777777" w:rsidR="00711A16" w:rsidRDefault="00711A16">
                    <w:pPr>
                      <w:spacing w:before="221"/>
                      <w:ind w:left="200"/>
                      <w:rPr>
                        <w:rFonts w:ascii="MS Gothic"/>
                      </w:rPr>
                    </w:pPr>
                    <w:proofErr w:type="gramStart"/>
                    <w:r>
                      <w:rPr>
                        <w:rFonts w:ascii="MS Gothic"/>
                        <w:color w:val="333333"/>
                      </w:rPr>
                      <w:t>server.shutdown</w:t>
                    </w:r>
                    <w:proofErr w:type="gramEnd"/>
                    <w:r>
                      <w:rPr>
                        <w:rFonts w:ascii="MS Gothic"/>
                        <w:color w:val="333333"/>
                      </w:rPr>
                      <w:t>=graceful</w:t>
                    </w:r>
                  </w:p>
                </w:txbxContent>
              </v:textbox>
            </v:shape>
            <w10:wrap type="topAndBottom" anchorx="page"/>
          </v:group>
        </w:pict>
      </w:r>
    </w:p>
    <w:p w14:paraId="062ECC37" w14:textId="77777777" w:rsidR="00A720EB" w:rsidRDefault="00A720EB">
      <w:pPr>
        <w:pStyle w:val="a3"/>
        <w:spacing w:before="11"/>
        <w:rPr>
          <w:sz w:val="9"/>
        </w:rPr>
      </w:pPr>
    </w:p>
    <w:p w14:paraId="4C5D122D" w14:textId="77777777" w:rsidR="00A720EB" w:rsidRDefault="0030286B">
      <w:pPr>
        <w:pStyle w:val="a3"/>
        <w:spacing w:before="115"/>
        <w:ind w:left="124"/>
        <w:rPr>
          <w:rFonts w:ascii="MS Gothic"/>
        </w:rPr>
      </w:pPr>
      <w:r>
        <w:rPr>
          <w:color w:val="333333"/>
          <w:w w:val="110"/>
        </w:rPr>
        <w:t xml:space="preserve">To configure the timeout period, configure the </w:t>
      </w:r>
      <w:proofErr w:type="gramStart"/>
      <w:r>
        <w:rPr>
          <w:rFonts w:ascii="MS Gothic"/>
          <w:color w:val="B02045"/>
          <w:w w:val="110"/>
        </w:rPr>
        <w:t>spring.lifecycle</w:t>
      </w:r>
      <w:proofErr w:type="gramEnd"/>
      <w:r>
        <w:rPr>
          <w:rFonts w:ascii="MS Gothic"/>
          <w:color w:val="B02045"/>
          <w:w w:val="110"/>
        </w:rPr>
        <w:t>.timeout-per-shutdown-phase</w:t>
      </w:r>
    </w:p>
    <w:p w14:paraId="298F2B08" w14:textId="77777777" w:rsidR="00A720EB" w:rsidRDefault="0030286B">
      <w:pPr>
        <w:pStyle w:val="a3"/>
        <w:spacing w:before="57"/>
        <w:ind w:left="124"/>
      </w:pPr>
      <w:r>
        <w:rPr>
          <w:color w:val="333333"/>
          <w:w w:val="110"/>
        </w:rPr>
        <w:t>property, as shown in the following example:</w:t>
      </w:r>
    </w:p>
    <w:p w14:paraId="74728DD9" w14:textId="77777777" w:rsidR="00A720EB" w:rsidRDefault="00E10349">
      <w:pPr>
        <w:pStyle w:val="a3"/>
        <w:rPr>
          <w:sz w:val="19"/>
        </w:rPr>
      </w:pPr>
      <w:r>
        <w:pict w14:anchorId="1B3A0E8B">
          <v:group id="_x0000_s4263" style="position:absolute;margin-left:47.85pt;margin-top:13.15pt;width:499.55pt;height:37.5pt;z-index:-15519232;mso-wrap-distance-left:0;mso-wrap-distance-right:0;mso-position-horizontal-relative:page" coordorigin="957,263" coordsize="9991,750">
            <v:shape id="_x0000_s4266" style="position:absolute;left:964;top:270;width:9976;height:735" coordorigin="965,270" coordsize="9976,735" path="m10861,270r-9816,l1014,277r-26,17l971,319r-6,31l965,925r6,31l988,982r26,17l1045,1005r9816,l10892,999r25,-17l10935,956r6,-31l10941,350r-6,-31l10917,294r-25,-17l10861,270xe" fillcolor="#f5f5f5" stroked="f">
              <v:path arrowok="t"/>
            </v:shape>
            <v:shape id="_x0000_s4265" style="position:absolute;left:964;top:270;width:9976;height:735" coordorigin="965,270" coordsize="9976,735" path="m1045,270r9816,l10892,277r25,17l10935,319r6,31l10941,925r-6,31l10917,982r-25,17l10861,1005r-9816,l1014,999,988,982,971,956r-6,-31l965,350r6,-31l988,294r26,-17l1045,270xe" filled="f" strokecolor="#ccc">
              <v:path arrowok="t"/>
            </v:shape>
            <v:shape id="_x0000_s4264" type="#_x0000_t202" style="position:absolute;left:984;top:285;width:9938;height:704" filled="f" stroked="f">
              <v:textbox inset="0,0,0,0">
                <w:txbxContent>
                  <w:p w14:paraId="56FC652E" w14:textId="77777777" w:rsidR="00711A16" w:rsidRDefault="00711A16">
                    <w:pPr>
                      <w:spacing w:before="221"/>
                      <w:ind w:left="200"/>
                      <w:rPr>
                        <w:rFonts w:ascii="MS Gothic"/>
                      </w:rPr>
                    </w:pPr>
                    <w:proofErr w:type="gramStart"/>
                    <w:r>
                      <w:rPr>
                        <w:rFonts w:ascii="MS Gothic"/>
                        <w:color w:val="333333"/>
                      </w:rPr>
                      <w:t>spring.lifecycle</w:t>
                    </w:r>
                    <w:proofErr w:type="gramEnd"/>
                    <w:r>
                      <w:rPr>
                        <w:rFonts w:ascii="MS Gothic"/>
                        <w:color w:val="333333"/>
                      </w:rPr>
                      <w:t>.timeout-per-shutdown-phase=20s</w:t>
                    </w:r>
                  </w:p>
                </w:txbxContent>
              </v:textbox>
            </v:shape>
            <w10:wrap type="topAndBottom" anchorx="page"/>
          </v:group>
        </w:pict>
      </w:r>
    </w:p>
    <w:p w14:paraId="69B8A3A8" w14:textId="77777777" w:rsidR="00A720EB" w:rsidRDefault="00A720EB">
      <w:pPr>
        <w:pStyle w:val="a3"/>
        <w:spacing w:before="10"/>
        <w:rPr>
          <w:sz w:val="16"/>
        </w:rPr>
      </w:pPr>
    </w:p>
    <w:p w14:paraId="6B6B5E89" w14:textId="77777777" w:rsidR="00A720EB" w:rsidRDefault="00E10349">
      <w:pPr>
        <w:pStyle w:val="a3"/>
        <w:spacing w:before="125" w:line="297" w:lineRule="auto"/>
        <w:ind w:left="1564" w:right="462"/>
      </w:pPr>
      <w:r>
        <w:pict w14:anchorId="1D4CB80D">
          <v:line id="_x0000_s4262" style="position:absolute;left:0;text-align:left;z-index:15939072;mso-position-horizontal-relative:page" from="108.25pt,.25pt" to="108.25pt,39.8pt" strokecolor="#ededed" strokeweight=".5pt">
            <w10:wrap anchorx="page"/>
          </v:line>
        </w:pict>
      </w:r>
      <w:r w:rsidR="0030286B">
        <w:rPr>
          <w:noProof/>
        </w:rPr>
        <w:drawing>
          <wp:anchor distT="0" distB="0" distL="0" distR="0" simplePos="0" relativeHeight="15939584" behindDoc="0" locked="0" layoutInCell="1" allowOverlap="1" wp14:anchorId="233D7E20" wp14:editId="091C5C55">
            <wp:simplePos x="0" y="0"/>
            <wp:positionH relativeFrom="page">
              <wp:posOffset>844422</wp:posOffset>
            </wp:positionH>
            <wp:positionV relativeFrom="paragraph">
              <wp:posOffset>105322</wp:posOffset>
            </wp:positionV>
            <wp:extent cx="298450" cy="298450"/>
            <wp:effectExtent l="0" t="0" r="0" b="0"/>
            <wp:wrapNone/>
            <wp:docPr id="26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0.png"/>
                    <pic:cNvPicPr/>
                  </pic:nvPicPr>
                  <pic:blipFill>
                    <a:blip r:embed="rId171" cstate="print"/>
                    <a:stretch>
                      <a:fillRect/>
                    </a:stretch>
                  </pic:blipFill>
                  <pic:spPr>
                    <a:xfrm>
                      <a:off x="0" y="0"/>
                      <a:ext cx="298450" cy="298450"/>
                    </a:xfrm>
                    <a:prstGeom prst="rect">
                      <a:avLst/>
                    </a:prstGeom>
                  </pic:spPr>
                </pic:pic>
              </a:graphicData>
            </a:graphic>
          </wp:anchor>
        </w:drawing>
      </w:r>
      <w:r w:rsidR="0030286B">
        <w:rPr>
          <w:color w:val="333333"/>
          <w:w w:val="110"/>
        </w:rPr>
        <w:t xml:space="preserve">Using graceful shutdown with your </w:t>
      </w:r>
      <w:proofErr w:type="gramStart"/>
      <w:r w:rsidR="0030286B">
        <w:rPr>
          <w:color w:val="333333"/>
          <w:w w:val="110"/>
        </w:rPr>
        <w:t>IDE  may</w:t>
      </w:r>
      <w:proofErr w:type="gramEnd"/>
      <w:r w:rsidR="0030286B">
        <w:rPr>
          <w:color w:val="333333"/>
          <w:w w:val="110"/>
        </w:rPr>
        <w:t xml:space="preserve"> not  work properly if it does not  send a proper </w:t>
      </w:r>
      <w:r w:rsidR="0030286B">
        <w:rPr>
          <w:rFonts w:ascii="MS Gothic"/>
          <w:color w:val="B02045"/>
          <w:w w:val="110"/>
        </w:rPr>
        <w:t>SIGTERM</w:t>
      </w:r>
      <w:r w:rsidR="0030286B">
        <w:rPr>
          <w:rFonts w:ascii="MS Gothic"/>
          <w:color w:val="B02045"/>
          <w:spacing w:val="-45"/>
          <w:w w:val="110"/>
        </w:rPr>
        <w:t xml:space="preserve"> </w:t>
      </w:r>
      <w:r w:rsidR="0030286B">
        <w:rPr>
          <w:color w:val="333333"/>
          <w:w w:val="110"/>
        </w:rPr>
        <w:t>signal. Refer to the documentation of your IDE for more details.</w:t>
      </w:r>
    </w:p>
    <w:p w14:paraId="1116AD4D" w14:textId="77777777" w:rsidR="00A720EB" w:rsidRDefault="00A720EB">
      <w:pPr>
        <w:pStyle w:val="a3"/>
        <w:rPr>
          <w:sz w:val="32"/>
        </w:rPr>
      </w:pPr>
    </w:p>
    <w:p w14:paraId="2E031C72" w14:textId="77777777" w:rsidR="00A720EB" w:rsidRDefault="0030286B">
      <w:pPr>
        <w:pStyle w:val="2"/>
        <w:numPr>
          <w:ilvl w:val="1"/>
          <w:numId w:val="68"/>
        </w:numPr>
        <w:tabs>
          <w:tab w:val="left" w:pos="832"/>
        </w:tabs>
      </w:pPr>
      <w:bookmarkStart w:id="283" w:name="4.9._RSocket"/>
      <w:bookmarkStart w:id="284" w:name="_Toc54423756"/>
      <w:bookmarkEnd w:id="283"/>
      <w:r>
        <w:rPr>
          <w:color w:val="333333"/>
          <w:w w:val="110"/>
        </w:rPr>
        <w:t>RSocket</w:t>
      </w:r>
      <w:bookmarkEnd w:id="284"/>
    </w:p>
    <w:p w14:paraId="4867011A" w14:textId="77777777" w:rsidR="00A720EB" w:rsidRDefault="00E10349">
      <w:pPr>
        <w:pStyle w:val="a3"/>
        <w:spacing w:before="253" w:line="307" w:lineRule="auto"/>
        <w:ind w:left="124" w:right="133"/>
        <w:jc w:val="both"/>
      </w:pPr>
      <w:hyperlink r:id="rId172">
        <w:r w:rsidR="0030286B">
          <w:rPr>
            <w:color w:val="418BCA"/>
            <w:w w:val="110"/>
          </w:rPr>
          <w:t>RSocket</w:t>
        </w:r>
      </w:hyperlink>
      <w:r w:rsidR="0030286B">
        <w:rPr>
          <w:color w:val="418BCA"/>
          <w:w w:val="110"/>
        </w:rPr>
        <w:t xml:space="preserve"> </w:t>
      </w:r>
      <w:r w:rsidR="0030286B">
        <w:rPr>
          <w:color w:val="333333"/>
          <w:w w:val="110"/>
        </w:rPr>
        <w:t>is a binary protocol for use on byte stream transports. It enables symmetric interaction models via async message passing over a single connection.</w:t>
      </w:r>
    </w:p>
    <w:p w14:paraId="32A22B6C" w14:textId="77777777" w:rsidR="00A720EB" w:rsidRDefault="0030286B">
      <w:pPr>
        <w:pStyle w:val="a3"/>
        <w:spacing w:before="230" w:line="300" w:lineRule="auto"/>
        <w:ind w:left="124" w:right="123"/>
        <w:jc w:val="both"/>
      </w:pPr>
      <w:r>
        <w:rPr>
          <w:color w:val="333333"/>
          <w:w w:val="110"/>
        </w:rPr>
        <w:t xml:space="preserve">The </w:t>
      </w:r>
      <w:r>
        <w:rPr>
          <w:rFonts w:ascii="MS Gothic"/>
          <w:color w:val="B02045"/>
          <w:w w:val="110"/>
        </w:rPr>
        <w:t xml:space="preserve">spring-messaging </w:t>
      </w:r>
      <w:r>
        <w:rPr>
          <w:color w:val="333333"/>
          <w:w w:val="110"/>
        </w:rPr>
        <w:t xml:space="preserve">module of the Spring Framework provides support for RSocket requesters and responders, both on the client and on the server side. See the </w:t>
      </w:r>
      <w:hyperlink r:id="rId173" w:anchor="rsocket-spring">
        <w:r>
          <w:rPr>
            <w:color w:val="418BCA"/>
            <w:w w:val="110"/>
          </w:rPr>
          <w:t>RSocket section</w:t>
        </w:r>
      </w:hyperlink>
      <w:r>
        <w:rPr>
          <w:color w:val="418BCA"/>
          <w:w w:val="110"/>
        </w:rPr>
        <w:t xml:space="preserve"> </w:t>
      </w:r>
      <w:r>
        <w:rPr>
          <w:color w:val="333333"/>
          <w:w w:val="110"/>
        </w:rPr>
        <w:t>of the Spring Framework reference for more details, including an overview of the RSocket protocol.</w:t>
      </w:r>
    </w:p>
    <w:p w14:paraId="12689412" w14:textId="77777777" w:rsidR="00A720EB" w:rsidRDefault="00A720EB">
      <w:pPr>
        <w:pStyle w:val="a3"/>
        <w:spacing w:before="2"/>
        <w:rPr>
          <w:sz w:val="26"/>
        </w:rPr>
      </w:pPr>
    </w:p>
    <w:p w14:paraId="5105351A" w14:textId="77777777" w:rsidR="00A720EB" w:rsidRDefault="0030286B">
      <w:pPr>
        <w:pStyle w:val="3"/>
        <w:numPr>
          <w:ilvl w:val="2"/>
          <w:numId w:val="68"/>
        </w:numPr>
        <w:tabs>
          <w:tab w:val="left" w:pos="858"/>
        </w:tabs>
        <w:ind w:hanging="734"/>
      </w:pPr>
      <w:bookmarkStart w:id="285" w:name="4.9.1._RSocket_Strategies_Auto-configura"/>
      <w:bookmarkStart w:id="286" w:name="_Toc54423757"/>
      <w:bookmarkEnd w:id="285"/>
      <w:r>
        <w:rPr>
          <w:color w:val="333333"/>
          <w:w w:val="110"/>
        </w:rPr>
        <w:t>RSocket Strategies</w:t>
      </w:r>
      <w:r>
        <w:rPr>
          <w:color w:val="333333"/>
          <w:spacing w:val="-12"/>
          <w:w w:val="110"/>
        </w:rPr>
        <w:t xml:space="preserve"> </w:t>
      </w:r>
      <w:r>
        <w:rPr>
          <w:color w:val="333333"/>
          <w:w w:val="110"/>
        </w:rPr>
        <w:t>Auto-configuration</w:t>
      </w:r>
      <w:bookmarkEnd w:id="286"/>
    </w:p>
    <w:p w14:paraId="4FD319FC" w14:textId="77777777" w:rsidR="00A720EB" w:rsidRDefault="0030286B">
      <w:pPr>
        <w:pStyle w:val="a3"/>
        <w:spacing w:before="243" w:line="300" w:lineRule="auto"/>
        <w:ind w:left="124" w:right="127"/>
        <w:jc w:val="both"/>
      </w:pPr>
      <w:r>
        <w:rPr>
          <w:color w:val="333333"/>
          <w:w w:val="110"/>
        </w:rPr>
        <w:t xml:space="preserve">Spring Boot auto-configures an </w:t>
      </w:r>
      <w:r>
        <w:rPr>
          <w:rFonts w:ascii="MS Gothic"/>
          <w:color w:val="B02045"/>
          <w:w w:val="110"/>
        </w:rPr>
        <w:t>RSocketStrategies</w:t>
      </w:r>
      <w:r>
        <w:rPr>
          <w:rFonts w:ascii="MS Gothic"/>
          <w:color w:val="B02045"/>
          <w:spacing w:val="-70"/>
          <w:w w:val="110"/>
        </w:rPr>
        <w:t xml:space="preserve"> </w:t>
      </w:r>
      <w:r>
        <w:rPr>
          <w:color w:val="333333"/>
          <w:w w:val="110"/>
        </w:rPr>
        <w:t xml:space="preserve">bean that provides all the required infrastructure for encoding and decoding RSocket payloads. </w:t>
      </w:r>
      <w:r>
        <w:rPr>
          <w:color w:val="333333"/>
          <w:spacing w:val="-3"/>
          <w:w w:val="110"/>
        </w:rPr>
        <w:t xml:space="preserve">By </w:t>
      </w:r>
      <w:r>
        <w:rPr>
          <w:color w:val="333333"/>
          <w:w w:val="110"/>
        </w:rPr>
        <w:t>default, the auto-configuration will try to configure the following (in order):</w:t>
      </w:r>
    </w:p>
    <w:p w14:paraId="7098B5D4" w14:textId="77777777" w:rsidR="00A720EB" w:rsidRDefault="00E10349">
      <w:pPr>
        <w:pStyle w:val="a6"/>
        <w:numPr>
          <w:ilvl w:val="3"/>
          <w:numId w:val="68"/>
        </w:numPr>
        <w:tabs>
          <w:tab w:val="left" w:pos="485"/>
        </w:tabs>
        <w:spacing w:before="246"/>
        <w:rPr>
          <w:sz w:val="21"/>
        </w:rPr>
      </w:pPr>
      <w:hyperlink r:id="rId174">
        <w:r w:rsidR="0030286B">
          <w:rPr>
            <w:color w:val="418BCA"/>
            <w:w w:val="110"/>
            <w:sz w:val="21"/>
          </w:rPr>
          <w:t xml:space="preserve">CBOR </w:t>
        </w:r>
      </w:hyperlink>
      <w:r w:rsidR="0030286B">
        <w:rPr>
          <w:color w:val="333333"/>
          <w:w w:val="110"/>
          <w:sz w:val="21"/>
        </w:rPr>
        <w:t>codecs with</w:t>
      </w:r>
      <w:r w:rsidR="0030286B">
        <w:rPr>
          <w:color w:val="333333"/>
          <w:spacing w:val="9"/>
          <w:w w:val="110"/>
          <w:sz w:val="21"/>
        </w:rPr>
        <w:t xml:space="preserve"> </w:t>
      </w:r>
      <w:r w:rsidR="0030286B">
        <w:rPr>
          <w:color w:val="333333"/>
          <w:w w:val="110"/>
          <w:sz w:val="21"/>
        </w:rPr>
        <w:t>Jackson</w:t>
      </w:r>
    </w:p>
    <w:p w14:paraId="2D848BB0" w14:textId="77777777" w:rsidR="00A720EB" w:rsidRDefault="0030286B">
      <w:pPr>
        <w:pStyle w:val="a6"/>
        <w:numPr>
          <w:ilvl w:val="3"/>
          <w:numId w:val="68"/>
        </w:numPr>
        <w:tabs>
          <w:tab w:val="left" w:pos="485"/>
        </w:tabs>
        <w:spacing w:before="189"/>
        <w:rPr>
          <w:sz w:val="21"/>
        </w:rPr>
      </w:pPr>
      <w:r>
        <w:rPr>
          <w:color w:val="333333"/>
          <w:w w:val="110"/>
          <w:sz w:val="21"/>
        </w:rPr>
        <w:t>JSON codecs with</w:t>
      </w:r>
      <w:r>
        <w:rPr>
          <w:color w:val="333333"/>
          <w:spacing w:val="8"/>
          <w:w w:val="110"/>
          <w:sz w:val="21"/>
        </w:rPr>
        <w:t xml:space="preserve"> </w:t>
      </w:r>
      <w:r>
        <w:rPr>
          <w:color w:val="333333"/>
          <w:w w:val="110"/>
          <w:sz w:val="21"/>
        </w:rPr>
        <w:t>Jackson</w:t>
      </w:r>
    </w:p>
    <w:p w14:paraId="50EFBA93" w14:textId="77777777" w:rsidR="00A720EB" w:rsidRDefault="00A720EB">
      <w:pPr>
        <w:pStyle w:val="a3"/>
        <w:spacing w:before="6"/>
        <w:rPr>
          <w:sz w:val="25"/>
        </w:rPr>
      </w:pPr>
    </w:p>
    <w:p w14:paraId="17D578DD" w14:textId="77777777" w:rsidR="00A720EB" w:rsidRDefault="0030286B">
      <w:pPr>
        <w:pStyle w:val="a3"/>
        <w:spacing w:line="290" w:lineRule="auto"/>
        <w:ind w:left="124" w:right="124"/>
        <w:jc w:val="both"/>
      </w:pPr>
      <w:r>
        <w:rPr>
          <w:color w:val="333333"/>
          <w:w w:val="110"/>
        </w:rPr>
        <w:t>The</w:t>
      </w:r>
      <w:r>
        <w:rPr>
          <w:color w:val="333333"/>
          <w:spacing w:val="-23"/>
          <w:w w:val="110"/>
        </w:rPr>
        <w:t xml:space="preserve"> </w:t>
      </w:r>
      <w:r>
        <w:rPr>
          <w:rFonts w:ascii="MS Gothic"/>
          <w:color w:val="B02045"/>
          <w:w w:val="110"/>
        </w:rPr>
        <w:t>spring-boot-starter-rsocket</w:t>
      </w:r>
      <w:r>
        <w:rPr>
          <w:rFonts w:ascii="MS Gothic"/>
          <w:color w:val="B02045"/>
          <w:spacing w:val="-88"/>
          <w:w w:val="110"/>
        </w:rPr>
        <w:t xml:space="preserve"> </w:t>
      </w:r>
      <w:r>
        <w:rPr>
          <w:color w:val="333333"/>
          <w:w w:val="110"/>
        </w:rPr>
        <w:t>starter</w:t>
      </w:r>
      <w:r>
        <w:rPr>
          <w:color w:val="333333"/>
          <w:spacing w:val="-23"/>
          <w:w w:val="110"/>
        </w:rPr>
        <w:t xml:space="preserve"> </w:t>
      </w:r>
      <w:r>
        <w:rPr>
          <w:color w:val="333333"/>
          <w:w w:val="110"/>
        </w:rPr>
        <w:t>provides</w:t>
      </w:r>
      <w:r>
        <w:rPr>
          <w:color w:val="333333"/>
          <w:spacing w:val="-23"/>
          <w:w w:val="110"/>
        </w:rPr>
        <w:t xml:space="preserve"> </w:t>
      </w:r>
      <w:r>
        <w:rPr>
          <w:color w:val="333333"/>
          <w:w w:val="110"/>
        </w:rPr>
        <w:t>both</w:t>
      </w:r>
      <w:r>
        <w:rPr>
          <w:color w:val="333333"/>
          <w:spacing w:val="-23"/>
          <w:w w:val="110"/>
        </w:rPr>
        <w:t xml:space="preserve"> </w:t>
      </w:r>
      <w:r>
        <w:rPr>
          <w:color w:val="333333"/>
          <w:w w:val="110"/>
        </w:rPr>
        <w:t>dependencies.</w:t>
      </w:r>
      <w:r>
        <w:rPr>
          <w:color w:val="333333"/>
          <w:spacing w:val="-23"/>
          <w:w w:val="110"/>
        </w:rPr>
        <w:t xml:space="preserve"> </w:t>
      </w:r>
      <w:r>
        <w:rPr>
          <w:color w:val="333333"/>
          <w:w w:val="110"/>
        </w:rPr>
        <w:t>Check</w:t>
      </w:r>
      <w:r>
        <w:rPr>
          <w:color w:val="333333"/>
          <w:spacing w:val="-24"/>
          <w:w w:val="110"/>
        </w:rPr>
        <w:t xml:space="preserve"> </w:t>
      </w:r>
      <w:r>
        <w:rPr>
          <w:color w:val="333333"/>
          <w:w w:val="110"/>
        </w:rPr>
        <w:t>out</w:t>
      </w:r>
      <w:r>
        <w:rPr>
          <w:color w:val="333333"/>
          <w:spacing w:val="-22"/>
          <w:w w:val="110"/>
        </w:rPr>
        <w:t xml:space="preserve"> </w:t>
      </w:r>
      <w:r>
        <w:rPr>
          <w:color w:val="333333"/>
          <w:w w:val="110"/>
        </w:rPr>
        <w:t>the</w:t>
      </w:r>
      <w:r>
        <w:rPr>
          <w:color w:val="333333"/>
          <w:spacing w:val="-20"/>
          <w:w w:val="110"/>
        </w:rPr>
        <w:t xml:space="preserve"> </w:t>
      </w:r>
      <w:hyperlink w:anchor="_bookmark143" w:history="1">
        <w:r>
          <w:rPr>
            <w:color w:val="418BCA"/>
            <w:w w:val="110"/>
          </w:rPr>
          <w:t>Jackson</w:t>
        </w:r>
        <w:r>
          <w:rPr>
            <w:color w:val="418BCA"/>
            <w:spacing w:val="-23"/>
            <w:w w:val="110"/>
          </w:rPr>
          <w:t xml:space="preserve"> </w:t>
        </w:r>
        <w:r>
          <w:rPr>
            <w:color w:val="418BCA"/>
            <w:w w:val="110"/>
          </w:rPr>
          <w:t>support</w:t>
        </w:r>
      </w:hyperlink>
      <w:r>
        <w:rPr>
          <w:color w:val="418BCA"/>
          <w:w w:val="110"/>
        </w:rPr>
        <w:t xml:space="preserve"> </w:t>
      </w:r>
      <w:hyperlink w:anchor="_bookmark143" w:history="1">
        <w:r>
          <w:rPr>
            <w:color w:val="418BCA"/>
            <w:w w:val="110"/>
          </w:rPr>
          <w:t xml:space="preserve">section </w:t>
        </w:r>
      </w:hyperlink>
      <w:r>
        <w:rPr>
          <w:color w:val="333333"/>
          <w:w w:val="110"/>
        </w:rPr>
        <w:t>to know more about customization</w:t>
      </w:r>
      <w:r>
        <w:rPr>
          <w:color w:val="333333"/>
          <w:spacing w:val="17"/>
          <w:w w:val="110"/>
        </w:rPr>
        <w:t xml:space="preserve"> </w:t>
      </w:r>
      <w:r>
        <w:rPr>
          <w:color w:val="333333"/>
          <w:w w:val="110"/>
        </w:rPr>
        <w:t>possibilities.</w:t>
      </w:r>
    </w:p>
    <w:p w14:paraId="738A797E" w14:textId="77777777" w:rsidR="00A720EB" w:rsidRDefault="0030286B">
      <w:pPr>
        <w:pStyle w:val="a3"/>
        <w:spacing w:before="248" w:line="285" w:lineRule="auto"/>
        <w:ind w:left="124" w:right="126"/>
        <w:jc w:val="both"/>
      </w:pPr>
      <w:r>
        <w:rPr>
          <w:color w:val="333333"/>
          <w:w w:val="110"/>
        </w:rPr>
        <w:t xml:space="preserve">Developers can customize the </w:t>
      </w:r>
      <w:r>
        <w:rPr>
          <w:rFonts w:ascii="MS Gothic"/>
          <w:color w:val="B02045"/>
          <w:w w:val="110"/>
        </w:rPr>
        <w:t xml:space="preserve">RSocketStrategies </w:t>
      </w:r>
      <w:r>
        <w:rPr>
          <w:color w:val="333333"/>
          <w:w w:val="110"/>
        </w:rPr>
        <w:t xml:space="preserve">component by creating beans that implement the </w:t>
      </w:r>
      <w:r>
        <w:rPr>
          <w:rFonts w:ascii="MS Gothic"/>
          <w:color w:val="B02045"/>
          <w:w w:val="110"/>
        </w:rPr>
        <w:t xml:space="preserve">RSocketStrategiesCustomizer </w:t>
      </w:r>
      <w:r>
        <w:rPr>
          <w:color w:val="333333"/>
          <w:w w:val="110"/>
        </w:rPr>
        <w:t xml:space="preserve">interface. Note that </w:t>
      </w:r>
      <w:proofErr w:type="gramStart"/>
      <w:r>
        <w:rPr>
          <w:color w:val="333333"/>
          <w:w w:val="110"/>
        </w:rPr>
        <w:t>their</w:t>
      </w:r>
      <w:proofErr w:type="gramEnd"/>
      <w:r>
        <w:rPr>
          <w:color w:val="333333"/>
          <w:w w:val="110"/>
        </w:rPr>
        <w:t xml:space="preserve"> </w:t>
      </w:r>
      <w:r>
        <w:rPr>
          <w:rFonts w:ascii="MS Gothic"/>
          <w:color w:val="B02045"/>
          <w:w w:val="110"/>
        </w:rPr>
        <w:t xml:space="preserve">@Order </w:t>
      </w:r>
      <w:r>
        <w:rPr>
          <w:color w:val="333333"/>
          <w:w w:val="110"/>
        </w:rPr>
        <w:t>is important, as it determines the order of codecs.</w:t>
      </w:r>
    </w:p>
    <w:p w14:paraId="2263D45B" w14:textId="77777777" w:rsidR="00A720EB" w:rsidRDefault="00A720EB">
      <w:pPr>
        <w:pStyle w:val="a3"/>
        <w:spacing w:before="8"/>
        <w:rPr>
          <w:sz w:val="27"/>
        </w:rPr>
      </w:pPr>
    </w:p>
    <w:p w14:paraId="6AD66B04" w14:textId="77777777" w:rsidR="00A720EB" w:rsidRDefault="0030286B">
      <w:pPr>
        <w:pStyle w:val="3"/>
        <w:numPr>
          <w:ilvl w:val="2"/>
          <w:numId w:val="68"/>
        </w:numPr>
        <w:tabs>
          <w:tab w:val="left" w:pos="858"/>
        </w:tabs>
        <w:ind w:hanging="734"/>
      </w:pPr>
      <w:bookmarkStart w:id="287" w:name="4.9.2._RSocket_server_Auto-configuration"/>
      <w:bookmarkStart w:id="288" w:name="_Toc54423758"/>
      <w:bookmarkEnd w:id="287"/>
      <w:r>
        <w:rPr>
          <w:color w:val="333333"/>
          <w:w w:val="110"/>
        </w:rPr>
        <w:t>RSocket server</w:t>
      </w:r>
      <w:r>
        <w:rPr>
          <w:color w:val="333333"/>
          <w:spacing w:val="-12"/>
          <w:w w:val="110"/>
        </w:rPr>
        <w:t xml:space="preserve"> </w:t>
      </w:r>
      <w:r>
        <w:rPr>
          <w:color w:val="333333"/>
          <w:w w:val="110"/>
        </w:rPr>
        <w:t>Auto-configuration</w:t>
      </w:r>
      <w:bookmarkEnd w:id="288"/>
    </w:p>
    <w:p w14:paraId="3ED46EFD" w14:textId="77777777" w:rsidR="00A720EB" w:rsidRDefault="0030286B">
      <w:pPr>
        <w:pStyle w:val="a3"/>
        <w:spacing w:before="254"/>
        <w:ind w:left="124"/>
        <w:jc w:val="both"/>
      </w:pPr>
      <w:r>
        <w:rPr>
          <w:color w:val="333333"/>
          <w:w w:val="110"/>
        </w:rPr>
        <w:t>Spring Boot provides RSocket server auto-configuration. The required dependencies are provided</w:t>
      </w:r>
    </w:p>
    <w:p w14:paraId="76B2C788" w14:textId="77777777" w:rsidR="00A720EB" w:rsidRDefault="00A720EB">
      <w:pPr>
        <w:jc w:val="both"/>
        <w:sectPr w:rsidR="00A720EB">
          <w:pgSz w:w="11910" w:h="16840"/>
          <w:pgMar w:top="620" w:right="840" w:bottom="520" w:left="840" w:header="0" w:footer="323" w:gutter="0"/>
          <w:cols w:space="720"/>
        </w:sectPr>
      </w:pPr>
    </w:p>
    <w:p w14:paraId="439DB4A0" w14:textId="77777777" w:rsidR="00A720EB" w:rsidRDefault="0030286B">
      <w:pPr>
        <w:pStyle w:val="a3"/>
        <w:spacing w:before="96"/>
        <w:ind w:left="124"/>
      </w:pPr>
      <w:r>
        <w:rPr>
          <w:color w:val="333333"/>
          <w:w w:val="105"/>
        </w:rPr>
        <w:lastRenderedPageBreak/>
        <w:t xml:space="preserve">by the </w:t>
      </w:r>
      <w:r>
        <w:rPr>
          <w:rFonts w:ascii="MS Gothic"/>
          <w:color w:val="B02045"/>
          <w:w w:val="105"/>
        </w:rPr>
        <w:t>spring-boot-starter-rsocket</w:t>
      </w:r>
      <w:r>
        <w:rPr>
          <w:color w:val="333333"/>
          <w:w w:val="105"/>
        </w:rPr>
        <w:t>.</w:t>
      </w:r>
    </w:p>
    <w:p w14:paraId="142740A9" w14:textId="77777777" w:rsidR="00A720EB" w:rsidRDefault="00A720EB">
      <w:pPr>
        <w:pStyle w:val="a3"/>
        <w:spacing w:before="4"/>
        <w:rPr>
          <w:sz w:val="25"/>
        </w:rPr>
      </w:pPr>
    </w:p>
    <w:p w14:paraId="40E84167" w14:textId="77777777" w:rsidR="00A720EB" w:rsidRDefault="0030286B">
      <w:pPr>
        <w:pStyle w:val="a3"/>
        <w:spacing w:line="307" w:lineRule="auto"/>
        <w:ind w:left="124"/>
      </w:pPr>
      <w:r>
        <w:rPr>
          <w:color w:val="333333"/>
          <w:w w:val="110"/>
        </w:rPr>
        <w:t>Spring Boot allows exposing RSocket over WebSocket from a WebFlux server, or standing up an independent RSocket server. This depends on the type of application and its configuration.</w:t>
      </w:r>
    </w:p>
    <w:p w14:paraId="2921D420" w14:textId="77777777" w:rsidR="00A720EB" w:rsidRDefault="0030286B">
      <w:pPr>
        <w:pStyle w:val="a3"/>
        <w:spacing w:before="231" w:line="290" w:lineRule="auto"/>
        <w:ind w:left="124" w:right="359"/>
      </w:pPr>
      <w:r>
        <w:rPr>
          <w:color w:val="333333"/>
          <w:w w:val="110"/>
        </w:rPr>
        <w:t xml:space="preserve">For WebFlux application (i.e. of type </w:t>
      </w:r>
      <w:r>
        <w:rPr>
          <w:rFonts w:ascii="MS Gothic"/>
          <w:color w:val="B02045"/>
          <w:w w:val="110"/>
        </w:rPr>
        <w:t>WebApplicationType.REACTIVE</w:t>
      </w:r>
      <w:r>
        <w:rPr>
          <w:color w:val="333333"/>
          <w:w w:val="110"/>
        </w:rPr>
        <w:t>), the RSocket server will be plugged into the Web Server only if the following properties match:</w:t>
      </w:r>
    </w:p>
    <w:p w14:paraId="11D3A2F3" w14:textId="77777777" w:rsidR="00A720EB" w:rsidRDefault="00E10349">
      <w:pPr>
        <w:pStyle w:val="a3"/>
        <w:spacing w:before="7"/>
        <w:rPr>
          <w:sz w:val="14"/>
        </w:rPr>
      </w:pPr>
      <w:r>
        <w:pict w14:anchorId="200EE007">
          <v:group id="_x0000_s4258" style="position:absolute;margin-left:47.85pt;margin-top:10.55pt;width:499.55pt;height:67pt;z-index:-15517184;mso-wrap-distance-left:0;mso-wrap-distance-right:0;mso-position-horizontal-relative:page" coordorigin="957,211" coordsize="9991,1340">
            <v:shape id="_x0000_s4261" style="position:absolute;left:964;top:218;width:9976;height:1325" coordorigin="965,218" coordsize="9976,1325" path="m10861,218r-9816,l1014,225r-26,17l971,267r-6,31l965,1463r6,31l988,1519r26,17l1045,1543r9816,l10892,1536r25,-17l10935,1494r6,-31l10941,298r-6,-31l10917,242r-25,-17l10861,218xe" fillcolor="#f5f5f5" stroked="f">
              <v:path arrowok="t"/>
            </v:shape>
            <v:shape id="_x0000_s4260" style="position:absolute;left:964;top:218;width:9976;height:1325" coordorigin="965,218" coordsize="9976,1325" path="m1045,218r9816,l10892,225r25,17l10935,267r6,31l10941,1463r-6,31l10917,1519r-25,17l10861,1543r-9816,l1014,1536r-26,-17l971,1494r-6,-31l965,298r6,-31l988,242r26,-17l1045,218xe" filled="f" strokecolor="#ccc">
              <v:path arrowok="t"/>
            </v:shape>
            <v:shape id="_x0000_s4259" type="#_x0000_t202" style="position:absolute;left:984;top:233;width:9938;height:1294" filled="f" stroked="f">
              <v:textbox inset="0,0,0,0">
                <w:txbxContent>
                  <w:p w14:paraId="6132185F" w14:textId="77777777" w:rsidR="00711A16" w:rsidRDefault="00711A16">
                    <w:pPr>
                      <w:spacing w:before="221" w:line="252" w:lineRule="auto"/>
                      <w:ind w:left="200" w:right="1138"/>
                      <w:rPr>
                        <w:rFonts w:ascii="MS Gothic"/>
                      </w:rPr>
                    </w:pPr>
                    <w:proofErr w:type="gramStart"/>
                    <w:r>
                      <w:rPr>
                        <w:rFonts w:ascii="MS Gothic"/>
                        <w:color w:val="333333"/>
                      </w:rPr>
                      <w:t>spring.rsocket</w:t>
                    </w:r>
                    <w:proofErr w:type="gramEnd"/>
                    <w:r>
                      <w:rPr>
                        <w:rFonts w:ascii="MS Gothic"/>
                        <w:color w:val="333333"/>
                      </w:rPr>
                      <w:t>.server.mapping-path=/rsocket # a mapping path is defined spring.rsocket.server.transport=websocket # websocket is chosen as a transport #spring.rsocket.server.port= # no port is defined</w:t>
                    </w:r>
                  </w:p>
                </w:txbxContent>
              </v:textbox>
            </v:shape>
            <w10:wrap type="topAndBottom" anchorx="page"/>
          </v:group>
        </w:pict>
      </w:r>
    </w:p>
    <w:p w14:paraId="7F1EF726" w14:textId="77777777" w:rsidR="00A720EB" w:rsidRDefault="00A720EB">
      <w:pPr>
        <w:pStyle w:val="a3"/>
        <w:spacing w:before="10"/>
        <w:rPr>
          <w:sz w:val="16"/>
        </w:rPr>
      </w:pPr>
    </w:p>
    <w:p w14:paraId="61FC79D1" w14:textId="77777777" w:rsidR="00A720EB" w:rsidRDefault="00E10349">
      <w:pPr>
        <w:pStyle w:val="a3"/>
        <w:spacing w:before="125" w:line="307" w:lineRule="auto"/>
        <w:ind w:left="1564" w:right="462"/>
      </w:pPr>
      <w:r>
        <w:pict w14:anchorId="75B53A64">
          <v:line id="_x0000_s4257" style="position:absolute;left:0;text-align:left;z-index:15941120;mso-position-horizontal-relative:page" from="108.25pt,.25pt" to="108.25pt,39.8pt" strokecolor="#ededed" strokeweight=".5pt">
            <w10:wrap anchorx="page"/>
          </v:line>
        </w:pict>
      </w:r>
      <w:r w:rsidR="0030286B">
        <w:rPr>
          <w:noProof/>
        </w:rPr>
        <w:drawing>
          <wp:anchor distT="0" distB="0" distL="0" distR="0" simplePos="0" relativeHeight="15941632" behindDoc="0" locked="0" layoutInCell="1" allowOverlap="1" wp14:anchorId="448E03F7" wp14:editId="173AFB77">
            <wp:simplePos x="0" y="0"/>
            <wp:positionH relativeFrom="page">
              <wp:posOffset>815847</wp:posOffset>
            </wp:positionH>
            <wp:positionV relativeFrom="paragraph">
              <wp:posOffset>102147</wp:posOffset>
            </wp:positionV>
            <wp:extent cx="355600" cy="304800"/>
            <wp:effectExtent l="0" t="0" r="0" b="0"/>
            <wp:wrapNone/>
            <wp:docPr id="2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 xml:space="preserve">Plugging RSocket into a web server is only supported with Reactor </w:t>
      </w:r>
      <w:r w:rsidR="0030286B">
        <w:rPr>
          <w:color w:val="333333"/>
          <w:spacing w:val="-4"/>
          <w:w w:val="110"/>
        </w:rPr>
        <w:t xml:space="preserve">Netty, </w:t>
      </w:r>
      <w:proofErr w:type="gramStart"/>
      <w:r w:rsidR="0030286B">
        <w:rPr>
          <w:color w:val="333333"/>
          <w:w w:val="110"/>
        </w:rPr>
        <w:t>as  RSocket</w:t>
      </w:r>
      <w:proofErr w:type="gramEnd"/>
      <w:r w:rsidR="0030286B">
        <w:rPr>
          <w:color w:val="333333"/>
          <w:w w:val="110"/>
        </w:rPr>
        <w:t xml:space="preserve"> itself is built with that</w:t>
      </w:r>
      <w:r w:rsidR="0030286B">
        <w:rPr>
          <w:color w:val="333333"/>
          <w:spacing w:val="17"/>
          <w:w w:val="110"/>
        </w:rPr>
        <w:t xml:space="preserve"> </w:t>
      </w:r>
      <w:r w:rsidR="0030286B">
        <w:rPr>
          <w:color w:val="333333"/>
          <w:spacing w:val="-4"/>
          <w:w w:val="110"/>
        </w:rPr>
        <w:t>library.</w:t>
      </w:r>
    </w:p>
    <w:p w14:paraId="2DDA416F" w14:textId="77777777" w:rsidR="00A720EB" w:rsidRDefault="00A720EB">
      <w:pPr>
        <w:pStyle w:val="a3"/>
        <w:spacing w:before="8"/>
        <w:rPr>
          <w:sz w:val="16"/>
        </w:rPr>
      </w:pPr>
    </w:p>
    <w:p w14:paraId="290D187E" w14:textId="77777777" w:rsidR="00A720EB" w:rsidRDefault="0030286B">
      <w:pPr>
        <w:pStyle w:val="a3"/>
        <w:spacing w:before="125" w:line="307" w:lineRule="auto"/>
        <w:ind w:left="124" w:right="129"/>
        <w:jc w:val="both"/>
      </w:pPr>
      <w:r>
        <w:rPr>
          <w:color w:val="333333"/>
          <w:w w:val="110"/>
        </w:rPr>
        <w:t>Alternatively, an RSocket TCP or websocket server is started as an independent, embedded server. Besides the dependency requirements, the only required configuration is to define a port for that server:</w:t>
      </w:r>
    </w:p>
    <w:p w14:paraId="76715317" w14:textId="77777777" w:rsidR="00A720EB" w:rsidRDefault="00E10349">
      <w:pPr>
        <w:pStyle w:val="a3"/>
        <w:spacing w:before="2"/>
        <w:rPr>
          <w:sz w:val="13"/>
        </w:rPr>
      </w:pPr>
      <w:r>
        <w:pict w14:anchorId="4CCDCAD0">
          <v:group id="_x0000_s4253" style="position:absolute;margin-left:47.85pt;margin-top:9.75pt;width:499.55pt;height:52.25pt;z-index:-15516672;mso-wrap-distance-left:0;mso-wrap-distance-right:0;mso-position-horizontal-relative:page" coordorigin="957,195" coordsize="9991,1045">
            <v:shape id="_x0000_s4256" style="position:absolute;left:964;top:202;width:9976;height:1030" coordorigin="965,202" coordsize="9976,1030" path="m10861,202r-9816,l1014,208r-26,18l971,251r-6,31l965,1152r6,31l988,1208r26,18l1045,1232r9816,l10892,1226r25,-18l10935,1183r6,-31l10941,282r-6,-31l10917,226r-25,-18l10861,202xe" fillcolor="#f5f5f5" stroked="f">
              <v:path arrowok="t"/>
            </v:shape>
            <v:shape id="_x0000_s4255" style="position:absolute;left:964;top:202;width:9976;height:1030" coordorigin="965,202" coordsize="9976,1030" path="m1045,202r9816,l10892,208r25,18l10935,251r6,31l10941,1152r-6,31l10917,1208r-25,18l10861,1232r-9816,l1014,1226r-26,-18l971,1183r-6,-31l965,282r6,-31l988,226r26,-18l1045,202xe" filled="f" strokecolor="#ccc">
              <v:path arrowok="t"/>
            </v:shape>
            <v:shape id="_x0000_s4254" type="#_x0000_t202" style="position:absolute;left:984;top:217;width:9938;height:999" filled="f" stroked="f">
              <v:textbox inset="0,0,0,0">
                <w:txbxContent>
                  <w:p w14:paraId="2E44D8BB" w14:textId="77777777" w:rsidR="00711A16" w:rsidRDefault="00711A16">
                    <w:pPr>
                      <w:spacing w:before="221" w:line="252" w:lineRule="auto"/>
                      <w:ind w:left="200" w:right="1028"/>
                      <w:rPr>
                        <w:rFonts w:ascii="MS Gothic"/>
                      </w:rPr>
                    </w:pPr>
                    <w:proofErr w:type="gramStart"/>
                    <w:r>
                      <w:rPr>
                        <w:rFonts w:ascii="MS Gothic"/>
                        <w:color w:val="333333"/>
                      </w:rPr>
                      <w:t>spring.rsocket</w:t>
                    </w:r>
                    <w:proofErr w:type="gramEnd"/>
                    <w:r>
                      <w:rPr>
                        <w:rFonts w:ascii="MS Gothic"/>
                        <w:color w:val="333333"/>
                      </w:rPr>
                      <w:t>.server.port=9898 # the only required configuration spring.rsocket.server.transport=tcp # you're free to configure other properties</w:t>
                    </w:r>
                  </w:p>
                </w:txbxContent>
              </v:textbox>
            </v:shape>
            <w10:wrap type="topAndBottom" anchorx="page"/>
          </v:group>
        </w:pict>
      </w:r>
    </w:p>
    <w:p w14:paraId="748D97D5" w14:textId="77777777" w:rsidR="00A720EB" w:rsidRDefault="00A720EB">
      <w:pPr>
        <w:pStyle w:val="a3"/>
        <w:spacing w:before="11"/>
        <w:rPr>
          <w:sz w:val="16"/>
        </w:rPr>
      </w:pPr>
    </w:p>
    <w:p w14:paraId="7706B798" w14:textId="77777777" w:rsidR="00A720EB" w:rsidRDefault="0030286B">
      <w:pPr>
        <w:pStyle w:val="3"/>
        <w:numPr>
          <w:ilvl w:val="2"/>
          <w:numId w:val="68"/>
        </w:numPr>
        <w:tabs>
          <w:tab w:val="left" w:pos="858"/>
        </w:tabs>
        <w:spacing w:before="105"/>
        <w:ind w:hanging="734"/>
      </w:pPr>
      <w:bookmarkStart w:id="289" w:name="4.9.3._Spring_Messaging_RSocket_support"/>
      <w:bookmarkStart w:id="290" w:name="_Toc54423759"/>
      <w:bookmarkEnd w:id="289"/>
      <w:r>
        <w:rPr>
          <w:color w:val="333333"/>
          <w:w w:val="110"/>
        </w:rPr>
        <w:t>Spring Messaging RSocket</w:t>
      </w:r>
      <w:r>
        <w:rPr>
          <w:color w:val="333333"/>
          <w:spacing w:val="-20"/>
          <w:w w:val="110"/>
        </w:rPr>
        <w:t xml:space="preserve"> </w:t>
      </w:r>
      <w:r>
        <w:rPr>
          <w:color w:val="333333"/>
          <w:w w:val="110"/>
        </w:rPr>
        <w:t>support</w:t>
      </w:r>
      <w:bookmarkEnd w:id="290"/>
    </w:p>
    <w:p w14:paraId="57BE2DBD" w14:textId="77777777" w:rsidR="00A720EB" w:rsidRDefault="0030286B">
      <w:pPr>
        <w:pStyle w:val="a3"/>
        <w:spacing w:before="254"/>
        <w:ind w:left="124"/>
        <w:jc w:val="both"/>
      </w:pPr>
      <w:r>
        <w:rPr>
          <w:color w:val="333333"/>
          <w:w w:val="110"/>
        </w:rPr>
        <w:t>Spring Boot will auto-configure the Spring Messaging infrastructure for RSocket.</w:t>
      </w:r>
    </w:p>
    <w:p w14:paraId="35ED9EAD" w14:textId="77777777" w:rsidR="00A720EB" w:rsidRDefault="00A720EB">
      <w:pPr>
        <w:pStyle w:val="a3"/>
        <w:spacing w:before="5"/>
        <w:rPr>
          <w:sz w:val="25"/>
        </w:rPr>
      </w:pPr>
    </w:p>
    <w:p w14:paraId="77ED25B7" w14:textId="77777777" w:rsidR="00A720EB" w:rsidRDefault="0030286B">
      <w:pPr>
        <w:pStyle w:val="a3"/>
        <w:spacing w:before="1" w:line="290" w:lineRule="auto"/>
        <w:ind w:left="124" w:right="125"/>
        <w:jc w:val="both"/>
      </w:pPr>
      <w:r>
        <w:rPr>
          <w:color w:val="333333"/>
          <w:w w:val="110"/>
        </w:rPr>
        <w:t xml:space="preserve">This means that Spring Boot will create a </w:t>
      </w:r>
      <w:r>
        <w:rPr>
          <w:rFonts w:ascii="MS Gothic"/>
          <w:color w:val="B02045"/>
          <w:w w:val="110"/>
        </w:rPr>
        <w:t xml:space="preserve">RSocketMessageHandler </w:t>
      </w:r>
      <w:r>
        <w:rPr>
          <w:color w:val="333333"/>
          <w:w w:val="110"/>
        </w:rPr>
        <w:t xml:space="preserve">bean that will handle </w:t>
      </w:r>
      <w:proofErr w:type="gramStart"/>
      <w:r>
        <w:rPr>
          <w:color w:val="333333"/>
          <w:w w:val="110"/>
        </w:rPr>
        <w:t>RSocket  requests</w:t>
      </w:r>
      <w:proofErr w:type="gramEnd"/>
      <w:r>
        <w:rPr>
          <w:color w:val="333333"/>
          <w:w w:val="110"/>
        </w:rPr>
        <w:t xml:space="preserve"> to your application.</w:t>
      </w:r>
    </w:p>
    <w:p w14:paraId="5FCCD9A3" w14:textId="77777777" w:rsidR="00A720EB" w:rsidRDefault="00A720EB">
      <w:pPr>
        <w:pStyle w:val="a3"/>
        <w:spacing w:before="2"/>
        <w:rPr>
          <w:sz w:val="27"/>
        </w:rPr>
      </w:pPr>
    </w:p>
    <w:p w14:paraId="50C61B4E" w14:textId="77777777" w:rsidR="00A720EB" w:rsidRDefault="0030286B">
      <w:pPr>
        <w:pStyle w:val="3"/>
        <w:numPr>
          <w:ilvl w:val="2"/>
          <w:numId w:val="68"/>
        </w:numPr>
        <w:tabs>
          <w:tab w:val="left" w:pos="858"/>
        </w:tabs>
        <w:ind w:hanging="734"/>
      </w:pPr>
      <w:bookmarkStart w:id="291" w:name="4.9.4._Calling_RSocket_Services_with_RSo"/>
      <w:bookmarkStart w:id="292" w:name="_Toc54423760"/>
      <w:bookmarkEnd w:id="291"/>
      <w:r>
        <w:rPr>
          <w:color w:val="333333"/>
          <w:w w:val="110"/>
        </w:rPr>
        <w:t>Calling RSocket Services with</w:t>
      </w:r>
      <w:r>
        <w:rPr>
          <w:color w:val="333333"/>
          <w:spacing w:val="-31"/>
          <w:w w:val="110"/>
        </w:rPr>
        <w:t xml:space="preserve"> </w:t>
      </w:r>
      <w:r>
        <w:rPr>
          <w:color w:val="333333"/>
          <w:w w:val="110"/>
        </w:rPr>
        <w:t>RSocketRequester</w:t>
      </w:r>
      <w:bookmarkEnd w:id="292"/>
    </w:p>
    <w:p w14:paraId="5B12580D" w14:textId="77777777" w:rsidR="00A720EB" w:rsidRDefault="0030286B">
      <w:pPr>
        <w:pStyle w:val="a3"/>
        <w:spacing w:before="244" w:line="290" w:lineRule="auto"/>
        <w:ind w:left="124" w:right="127"/>
        <w:jc w:val="both"/>
      </w:pPr>
      <w:r>
        <w:rPr>
          <w:color w:val="333333"/>
          <w:w w:val="110"/>
        </w:rPr>
        <w:t xml:space="preserve">Once the </w:t>
      </w:r>
      <w:r>
        <w:rPr>
          <w:rFonts w:ascii="MS Gothic"/>
          <w:color w:val="B02045"/>
          <w:w w:val="110"/>
        </w:rPr>
        <w:t xml:space="preserve">RSocket </w:t>
      </w:r>
      <w:r>
        <w:rPr>
          <w:color w:val="333333"/>
          <w:w w:val="110"/>
        </w:rPr>
        <w:t xml:space="preserve">channel is established between server and client, any party can send or </w:t>
      </w:r>
      <w:proofErr w:type="gramStart"/>
      <w:r>
        <w:rPr>
          <w:color w:val="333333"/>
          <w:w w:val="110"/>
        </w:rPr>
        <w:t>receive  requests</w:t>
      </w:r>
      <w:proofErr w:type="gramEnd"/>
      <w:r>
        <w:rPr>
          <w:color w:val="333333"/>
          <w:w w:val="110"/>
        </w:rPr>
        <w:t xml:space="preserve"> to the other.</w:t>
      </w:r>
    </w:p>
    <w:p w14:paraId="69C8C6F5" w14:textId="77777777" w:rsidR="00A720EB" w:rsidRDefault="0030286B">
      <w:pPr>
        <w:pStyle w:val="a3"/>
        <w:spacing w:before="247" w:line="280" w:lineRule="auto"/>
        <w:ind w:left="124" w:right="125"/>
        <w:jc w:val="both"/>
      </w:pPr>
      <w:r>
        <w:rPr>
          <w:color w:val="333333"/>
          <w:w w:val="110"/>
        </w:rPr>
        <w:t xml:space="preserve">As a server, you can get injected with an </w:t>
      </w:r>
      <w:r>
        <w:rPr>
          <w:rFonts w:ascii="MS Gothic"/>
          <w:color w:val="B02045"/>
          <w:w w:val="110"/>
        </w:rPr>
        <w:t xml:space="preserve">RSocketRequester </w:t>
      </w:r>
      <w:r>
        <w:rPr>
          <w:color w:val="333333"/>
          <w:w w:val="110"/>
        </w:rPr>
        <w:t xml:space="preserve">instance on any handler method of an RSocket </w:t>
      </w:r>
      <w:r>
        <w:rPr>
          <w:rFonts w:ascii="MS Gothic"/>
          <w:color w:val="B02045"/>
          <w:w w:val="110"/>
        </w:rPr>
        <w:t>@Controller</w:t>
      </w:r>
      <w:r>
        <w:rPr>
          <w:color w:val="333333"/>
          <w:w w:val="110"/>
        </w:rPr>
        <w:t xml:space="preserve">. As a client, you need to configure and establish an RSocket connection first.  Spring Boot auto-configures an </w:t>
      </w:r>
      <w:r>
        <w:rPr>
          <w:rFonts w:ascii="MS Gothic"/>
          <w:color w:val="B02045"/>
          <w:w w:val="110"/>
        </w:rPr>
        <w:t>RSocketRequester.Builder</w:t>
      </w:r>
      <w:r>
        <w:rPr>
          <w:rFonts w:ascii="MS Gothic"/>
          <w:color w:val="B02045"/>
          <w:spacing w:val="-76"/>
          <w:w w:val="110"/>
        </w:rPr>
        <w:t xml:space="preserve"> </w:t>
      </w:r>
      <w:r>
        <w:rPr>
          <w:color w:val="333333"/>
          <w:w w:val="110"/>
        </w:rPr>
        <w:t>for such cases with the expected codecs.</w:t>
      </w:r>
    </w:p>
    <w:p w14:paraId="568595D8" w14:textId="77777777" w:rsidR="00A720EB" w:rsidRDefault="0030286B">
      <w:pPr>
        <w:pStyle w:val="a3"/>
        <w:spacing w:before="243" w:line="300" w:lineRule="auto"/>
        <w:ind w:left="124" w:right="134"/>
        <w:jc w:val="both"/>
      </w:pPr>
      <w:r>
        <w:rPr>
          <w:color w:val="333333"/>
          <w:w w:val="110"/>
        </w:rPr>
        <w:t xml:space="preserve">The </w:t>
      </w:r>
      <w:r>
        <w:rPr>
          <w:rFonts w:ascii="MS Gothic" w:hAnsi="MS Gothic"/>
          <w:color w:val="B02045"/>
          <w:w w:val="110"/>
        </w:rPr>
        <w:t xml:space="preserve">RSocketRequester.Builder </w:t>
      </w:r>
      <w:r>
        <w:rPr>
          <w:color w:val="333333"/>
          <w:w w:val="110"/>
        </w:rPr>
        <w:t xml:space="preserve">instance is a prototype bean, meaning each injection point will provide you with a new </w:t>
      </w:r>
      <w:proofErr w:type="gramStart"/>
      <w:r>
        <w:rPr>
          <w:color w:val="333333"/>
          <w:w w:val="110"/>
        </w:rPr>
        <w:t>instance .</w:t>
      </w:r>
      <w:proofErr w:type="gramEnd"/>
      <w:r>
        <w:rPr>
          <w:color w:val="333333"/>
          <w:w w:val="110"/>
        </w:rPr>
        <w:t xml:space="preserve"> This is done on purpose since this builder is stateful and you shouldn’t create requesters with different setups using the same instance.</w:t>
      </w:r>
    </w:p>
    <w:p w14:paraId="5DD26E70" w14:textId="77777777" w:rsidR="00A720EB" w:rsidRDefault="0030286B">
      <w:pPr>
        <w:pStyle w:val="a3"/>
        <w:spacing w:before="245"/>
        <w:ind w:left="124"/>
        <w:jc w:val="both"/>
      </w:pPr>
      <w:r>
        <w:rPr>
          <w:color w:val="333333"/>
          <w:w w:val="110"/>
        </w:rPr>
        <w:t>The following code shows a typical example:</w:t>
      </w:r>
    </w:p>
    <w:p w14:paraId="6CE398E6" w14:textId="77777777" w:rsidR="00A720EB" w:rsidRDefault="00A720EB">
      <w:pPr>
        <w:jc w:val="both"/>
        <w:sectPr w:rsidR="00A720EB">
          <w:pgSz w:w="11910" w:h="16840"/>
          <w:pgMar w:top="620" w:right="840" w:bottom="520" w:left="840" w:header="0" w:footer="323" w:gutter="0"/>
          <w:cols w:space="720"/>
        </w:sectPr>
      </w:pPr>
    </w:p>
    <w:p w14:paraId="726DA411" w14:textId="77777777" w:rsidR="00A720EB" w:rsidRDefault="00E10349">
      <w:pPr>
        <w:pStyle w:val="a3"/>
        <w:ind w:left="116"/>
        <w:rPr>
          <w:sz w:val="20"/>
        </w:rPr>
      </w:pPr>
      <w:r>
        <w:rPr>
          <w:sz w:val="20"/>
        </w:rPr>
      </w:r>
      <w:r>
        <w:rPr>
          <w:sz w:val="20"/>
        </w:rPr>
        <w:pict w14:anchorId="7528E51A">
          <v:group id="_x0000_s4249" style="width:499.55pt;height:258.6pt;mso-position-horizontal-relative:char;mso-position-vertical-relative:line" coordsize="9991,5172">
            <v:shape id="_x0000_s4252" style="position:absolute;left:7;top:7;width:9976;height:5157" coordorigin="8,8" coordsize="9976,5157" path="m9904,8l88,8,56,14,31,31,14,56,8,88r,4996l14,5115r17,26l56,5158r32,6l9904,5164r31,-6l9960,5141r17,-26l9984,5084r,-4996l9977,56,9960,31,9935,14,9904,8xe" fillcolor="#f5f5f5" stroked="f">
              <v:path arrowok="t"/>
            </v:shape>
            <v:shape id="_x0000_s4251" style="position:absolute;left:7;top:7;width:9976;height:5157" coordorigin="8,8" coordsize="9976,5157" path="m88,8r9816,l9935,14r25,17l9977,56r7,32l9984,5084r-7,31l9960,5141r-25,17l9904,5164r-9816,l56,5158,31,5141,14,5115,8,5084,8,88,14,56,31,31,56,14,88,8xe" filled="f" strokecolor="#ccc">
              <v:path arrowok="t"/>
            </v:shape>
            <v:shape id="_x0000_s4250" type="#_x0000_t202" style="position:absolute;left:26;top:22;width:9938;height:5126" filled="f" stroked="f">
              <v:textbox inset="0,0,0,0">
                <w:txbxContent>
                  <w:p w14:paraId="55BAC59B" w14:textId="77777777" w:rsidR="00711A16" w:rsidRDefault="00711A16">
                    <w:pPr>
                      <w:spacing w:before="221"/>
                      <w:ind w:left="200"/>
                      <w:rPr>
                        <w:rFonts w:ascii="MS Gothic"/>
                      </w:rPr>
                    </w:pPr>
                    <w:r>
                      <w:rPr>
                        <w:rFonts w:ascii="MS Gothic"/>
                        <w:color w:val="333333"/>
                      </w:rPr>
                      <w:t>@Service</w:t>
                    </w:r>
                  </w:p>
                  <w:p w14:paraId="793BB361" w14:textId="77777777" w:rsidR="00711A16" w:rsidRDefault="00711A16">
                    <w:pPr>
                      <w:spacing w:before="13"/>
                      <w:ind w:left="200"/>
                      <w:rPr>
                        <w:rFonts w:ascii="MS Gothic"/>
                      </w:rPr>
                    </w:pPr>
                    <w:r>
                      <w:rPr>
                        <w:rFonts w:ascii="MS Gothic"/>
                        <w:color w:val="333333"/>
                      </w:rPr>
                      <w:t>public class MyService {</w:t>
                    </w:r>
                  </w:p>
                  <w:p w14:paraId="025D9BE9" w14:textId="77777777" w:rsidR="00711A16" w:rsidRDefault="00711A16">
                    <w:pPr>
                      <w:rPr>
                        <w:rFonts w:ascii="MS Gothic"/>
                        <w:sz w:val="24"/>
                      </w:rPr>
                    </w:pPr>
                  </w:p>
                  <w:p w14:paraId="5C32DCEF" w14:textId="77777777" w:rsidR="00711A16" w:rsidRDefault="00711A16">
                    <w:pPr>
                      <w:ind w:left="640"/>
                      <w:rPr>
                        <w:rFonts w:ascii="MS Gothic"/>
                      </w:rPr>
                    </w:pPr>
                    <w:r>
                      <w:rPr>
                        <w:rFonts w:ascii="MS Gothic"/>
                        <w:color w:val="333333"/>
                      </w:rPr>
                      <w:t>private final Mono&lt;RSocketRequester&gt; rsocketRequester;</w:t>
                    </w:r>
                  </w:p>
                  <w:p w14:paraId="2652ABDF" w14:textId="77777777" w:rsidR="00711A16" w:rsidRDefault="00711A16">
                    <w:pPr>
                      <w:rPr>
                        <w:rFonts w:ascii="MS Gothic"/>
                        <w:sz w:val="24"/>
                      </w:rPr>
                    </w:pPr>
                  </w:p>
                  <w:p w14:paraId="4C985BD5" w14:textId="77777777" w:rsidR="00711A16" w:rsidRDefault="00711A16">
                    <w:pPr>
                      <w:spacing w:line="252" w:lineRule="auto"/>
                      <w:ind w:left="1080" w:right="1798" w:hanging="440"/>
                      <w:rPr>
                        <w:rFonts w:ascii="MS Gothic"/>
                      </w:rPr>
                    </w:pPr>
                    <w:r>
                      <w:rPr>
                        <w:rFonts w:ascii="MS Gothic"/>
                        <w:color w:val="333333"/>
                      </w:rPr>
                      <w:t xml:space="preserve">public </w:t>
                    </w:r>
                    <w:proofErr w:type="gramStart"/>
                    <w:r>
                      <w:rPr>
                        <w:rFonts w:ascii="MS Gothic"/>
                        <w:color w:val="333333"/>
                      </w:rPr>
                      <w:t>MyService(</w:t>
                    </w:r>
                    <w:proofErr w:type="gramEnd"/>
                    <w:r>
                      <w:rPr>
                        <w:rFonts w:ascii="MS Gothic"/>
                        <w:color w:val="333333"/>
                      </w:rPr>
                      <w:t>RSocketRequester.Builder rsocketRequesterBuilder) { this.rsocketRequester = rsocketRequesterBuilder</w:t>
                    </w:r>
                  </w:p>
                  <w:p w14:paraId="0C07E1B5" w14:textId="77777777" w:rsidR="00711A16" w:rsidRDefault="00711A16">
                    <w:pPr>
                      <w:spacing w:line="280" w:lineRule="exact"/>
                      <w:ind w:left="1960"/>
                      <w:rPr>
                        <w:rFonts w:ascii="MS Gothic"/>
                      </w:rPr>
                    </w:pPr>
                    <w:proofErr w:type="gramStart"/>
                    <w:r>
                      <w:rPr>
                        <w:rFonts w:ascii="MS Gothic"/>
                        <w:color w:val="333333"/>
                      </w:rPr>
                      <w:t>.connectTcp</w:t>
                    </w:r>
                    <w:proofErr w:type="gramEnd"/>
                    <w:r>
                      <w:rPr>
                        <w:rFonts w:ascii="MS Gothic"/>
                        <w:color w:val="333333"/>
                      </w:rPr>
                      <w:t>("example.org", 9898).cache();</w:t>
                    </w:r>
                  </w:p>
                  <w:p w14:paraId="256AA2BD" w14:textId="77777777" w:rsidR="00711A16" w:rsidRDefault="00711A16">
                    <w:pPr>
                      <w:spacing w:before="13"/>
                      <w:ind w:left="640"/>
                      <w:rPr>
                        <w:rFonts w:ascii="MS Gothic"/>
                      </w:rPr>
                    </w:pPr>
                    <w:r>
                      <w:rPr>
                        <w:rFonts w:ascii="MS Gothic"/>
                        <w:color w:val="333333"/>
                      </w:rPr>
                      <w:t>}</w:t>
                    </w:r>
                  </w:p>
                  <w:p w14:paraId="06F1F92A" w14:textId="77777777" w:rsidR="00711A16" w:rsidRDefault="00711A16">
                    <w:pPr>
                      <w:rPr>
                        <w:rFonts w:ascii="MS Gothic"/>
                        <w:sz w:val="24"/>
                      </w:rPr>
                    </w:pPr>
                  </w:p>
                  <w:p w14:paraId="0BF08532" w14:textId="77777777" w:rsidR="00711A16" w:rsidRDefault="00711A16">
                    <w:pPr>
                      <w:spacing w:line="252" w:lineRule="auto"/>
                      <w:ind w:left="1080" w:right="3998" w:hanging="440"/>
                      <w:rPr>
                        <w:rFonts w:ascii="MS Gothic"/>
                      </w:rPr>
                    </w:pPr>
                    <w:r>
                      <w:rPr>
                        <w:rFonts w:ascii="MS Gothic"/>
                        <w:color w:val="333333"/>
                      </w:rPr>
                      <w:t xml:space="preserve">public Mono&lt;User&gt; </w:t>
                    </w:r>
                    <w:proofErr w:type="gramStart"/>
                    <w:r>
                      <w:rPr>
                        <w:rFonts w:ascii="MS Gothic"/>
                        <w:color w:val="333333"/>
                      </w:rPr>
                      <w:t>someRSocketCall(</w:t>
                    </w:r>
                    <w:proofErr w:type="gramEnd"/>
                    <w:r>
                      <w:rPr>
                        <w:rFonts w:ascii="MS Gothic"/>
                        <w:color w:val="333333"/>
                      </w:rPr>
                      <w:t>String name) { return this.rsocketRequester.flatMap(req -&gt;</w:t>
                    </w:r>
                  </w:p>
                  <w:p w14:paraId="253286D6" w14:textId="77777777" w:rsidR="00711A16" w:rsidRDefault="00711A16">
                    <w:pPr>
                      <w:spacing w:line="280" w:lineRule="exact"/>
                      <w:ind w:left="2400"/>
                      <w:rPr>
                        <w:rFonts w:ascii="MS Gothic"/>
                      </w:rPr>
                    </w:pPr>
                    <w:proofErr w:type="gramStart"/>
                    <w:r>
                      <w:rPr>
                        <w:rFonts w:ascii="MS Gothic"/>
                        <w:color w:val="333333"/>
                      </w:rPr>
                      <w:t>req.route</w:t>
                    </w:r>
                    <w:proofErr w:type="gramEnd"/>
                    <w:r>
                      <w:rPr>
                        <w:rFonts w:ascii="MS Gothic"/>
                        <w:color w:val="333333"/>
                      </w:rPr>
                      <w:t>("user").data(name).retrieveMono(User.class));</w:t>
                    </w:r>
                  </w:p>
                  <w:p w14:paraId="1E6B9803" w14:textId="77777777" w:rsidR="00711A16" w:rsidRDefault="00711A16">
                    <w:pPr>
                      <w:spacing w:before="13"/>
                      <w:ind w:left="640"/>
                      <w:rPr>
                        <w:rFonts w:ascii="MS Gothic"/>
                      </w:rPr>
                    </w:pPr>
                    <w:r>
                      <w:rPr>
                        <w:rFonts w:ascii="MS Gothic"/>
                        <w:color w:val="333333"/>
                      </w:rPr>
                      <w:t>}</w:t>
                    </w:r>
                  </w:p>
                  <w:p w14:paraId="20B35D85" w14:textId="77777777" w:rsidR="00711A16" w:rsidRDefault="00711A16">
                    <w:pPr>
                      <w:rPr>
                        <w:rFonts w:ascii="MS Gothic"/>
                        <w:sz w:val="24"/>
                      </w:rPr>
                    </w:pPr>
                  </w:p>
                  <w:p w14:paraId="1C177429" w14:textId="77777777" w:rsidR="00711A16" w:rsidRDefault="00711A16">
                    <w:pPr>
                      <w:ind w:left="200"/>
                      <w:rPr>
                        <w:rFonts w:ascii="MS Gothic"/>
                      </w:rPr>
                    </w:pPr>
                    <w:r>
                      <w:rPr>
                        <w:rFonts w:ascii="MS Gothic"/>
                        <w:color w:val="333333"/>
                      </w:rPr>
                      <w:t>}</w:t>
                    </w:r>
                  </w:p>
                </w:txbxContent>
              </v:textbox>
            </v:shape>
            <w10:anchorlock/>
          </v:group>
        </w:pict>
      </w:r>
    </w:p>
    <w:p w14:paraId="733C0B65" w14:textId="77777777" w:rsidR="00A720EB" w:rsidRDefault="00A720EB">
      <w:pPr>
        <w:pStyle w:val="a3"/>
        <w:rPr>
          <w:sz w:val="17"/>
        </w:rPr>
      </w:pPr>
    </w:p>
    <w:p w14:paraId="618E1F32" w14:textId="77777777" w:rsidR="00A720EB" w:rsidRDefault="0030286B">
      <w:pPr>
        <w:pStyle w:val="2"/>
        <w:numPr>
          <w:ilvl w:val="1"/>
          <w:numId w:val="68"/>
        </w:numPr>
        <w:tabs>
          <w:tab w:val="left" w:pos="1034"/>
        </w:tabs>
        <w:spacing w:before="107"/>
        <w:ind w:left="1033" w:hanging="910"/>
      </w:pPr>
      <w:bookmarkStart w:id="293" w:name="4.10._Security"/>
      <w:bookmarkStart w:id="294" w:name="_Toc54423761"/>
      <w:bookmarkEnd w:id="293"/>
      <w:r>
        <w:rPr>
          <w:color w:val="333333"/>
          <w:w w:val="110"/>
        </w:rPr>
        <w:t>Security</w:t>
      </w:r>
      <w:bookmarkEnd w:id="294"/>
    </w:p>
    <w:p w14:paraId="244FA499" w14:textId="77777777" w:rsidR="00A720EB" w:rsidRDefault="0030286B">
      <w:pPr>
        <w:pStyle w:val="a3"/>
        <w:spacing w:before="253" w:line="288" w:lineRule="auto"/>
        <w:ind w:left="124" w:right="122"/>
        <w:jc w:val="both"/>
      </w:pPr>
      <w:r>
        <w:rPr>
          <w:color w:val="333333"/>
          <w:w w:val="110"/>
        </w:rPr>
        <w:t xml:space="preserve">If </w:t>
      </w:r>
      <w:hyperlink r:id="rId175">
        <w:r>
          <w:rPr>
            <w:color w:val="418BCA"/>
            <w:w w:val="110"/>
          </w:rPr>
          <w:t>Spring Security</w:t>
        </w:r>
      </w:hyperlink>
      <w:r>
        <w:rPr>
          <w:color w:val="418BCA"/>
          <w:w w:val="110"/>
        </w:rPr>
        <w:t xml:space="preserve"> </w:t>
      </w:r>
      <w:r>
        <w:rPr>
          <w:color w:val="333333"/>
          <w:w w:val="110"/>
        </w:rPr>
        <w:t xml:space="preserve">is on the classpath, then web applications are secured </w:t>
      </w:r>
      <w:r>
        <w:rPr>
          <w:color w:val="333333"/>
          <w:spacing w:val="-3"/>
          <w:w w:val="110"/>
        </w:rPr>
        <w:t xml:space="preserve">by </w:t>
      </w:r>
      <w:r>
        <w:rPr>
          <w:color w:val="333333"/>
          <w:w w:val="110"/>
        </w:rPr>
        <w:t xml:space="preserve">default. Spring Boot   relies on Spring Security’s content-negotiation strategy to determine whether to use </w:t>
      </w:r>
      <w:r>
        <w:rPr>
          <w:rFonts w:ascii="MS Gothic" w:hAnsi="MS Gothic"/>
          <w:color w:val="B02045"/>
          <w:w w:val="110"/>
        </w:rPr>
        <w:t xml:space="preserve">httpBasic </w:t>
      </w:r>
      <w:r>
        <w:rPr>
          <w:color w:val="333333"/>
          <w:w w:val="110"/>
        </w:rPr>
        <w:t xml:space="preserve">or </w:t>
      </w:r>
      <w:r>
        <w:rPr>
          <w:rFonts w:ascii="MS Gothic" w:hAnsi="MS Gothic"/>
          <w:color w:val="B02045"/>
          <w:w w:val="110"/>
        </w:rPr>
        <w:t>formLogin</w:t>
      </w:r>
      <w:r>
        <w:rPr>
          <w:color w:val="333333"/>
          <w:w w:val="110"/>
        </w:rPr>
        <w:t xml:space="preserve">. </w:t>
      </w:r>
      <w:r>
        <w:rPr>
          <w:color w:val="333333"/>
          <w:spacing w:val="-4"/>
          <w:w w:val="110"/>
        </w:rPr>
        <w:t xml:space="preserve">To </w:t>
      </w:r>
      <w:r>
        <w:rPr>
          <w:color w:val="333333"/>
          <w:w w:val="110"/>
        </w:rPr>
        <w:t xml:space="preserve">add method-level security to a web application, you can also add </w:t>
      </w:r>
      <w:r>
        <w:rPr>
          <w:rFonts w:ascii="MS Gothic" w:hAnsi="MS Gothic"/>
          <w:color w:val="B02045"/>
          <w:w w:val="110"/>
        </w:rPr>
        <w:t>@EnableGlobalMethodSecurity</w:t>
      </w:r>
      <w:r>
        <w:rPr>
          <w:rFonts w:ascii="MS Gothic" w:hAnsi="MS Gothic"/>
          <w:color w:val="B02045"/>
          <w:spacing w:val="-74"/>
          <w:w w:val="110"/>
        </w:rPr>
        <w:t xml:space="preserve"> </w:t>
      </w:r>
      <w:r>
        <w:rPr>
          <w:color w:val="333333"/>
          <w:w w:val="110"/>
        </w:rPr>
        <w:t>with</w:t>
      </w:r>
      <w:r>
        <w:rPr>
          <w:color w:val="333333"/>
          <w:spacing w:val="-9"/>
          <w:w w:val="110"/>
        </w:rPr>
        <w:t xml:space="preserve"> </w:t>
      </w:r>
      <w:r>
        <w:rPr>
          <w:color w:val="333333"/>
          <w:w w:val="110"/>
        </w:rPr>
        <w:t>your</w:t>
      </w:r>
      <w:r>
        <w:rPr>
          <w:color w:val="333333"/>
          <w:spacing w:val="-8"/>
          <w:w w:val="110"/>
        </w:rPr>
        <w:t xml:space="preserve"> </w:t>
      </w:r>
      <w:r>
        <w:rPr>
          <w:color w:val="333333"/>
          <w:w w:val="110"/>
        </w:rPr>
        <w:t>desired</w:t>
      </w:r>
      <w:r>
        <w:rPr>
          <w:color w:val="333333"/>
          <w:spacing w:val="-9"/>
          <w:w w:val="110"/>
        </w:rPr>
        <w:t xml:space="preserve"> </w:t>
      </w:r>
      <w:r>
        <w:rPr>
          <w:color w:val="333333"/>
          <w:w w:val="110"/>
        </w:rPr>
        <w:t>settings.</w:t>
      </w:r>
      <w:r>
        <w:rPr>
          <w:color w:val="333333"/>
          <w:spacing w:val="-9"/>
          <w:w w:val="110"/>
        </w:rPr>
        <w:t xml:space="preserve"> </w:t>
      </w:r>
      <w:r>
        <w:rPr>
          <w:color w:val="333333"/>
          <w:w w:val="110"/>
        </w:rPr>
        <w:t>Additional</w:t>
      </w:r>
      <w:r>
        <w:rPr>
          <w:color w:val="333333"/>
          <w:spacing w:val="-9"/>
          <w:w w:val="110"/>
        </w:rPr>
        <w:t xml:space="preserve"> </w:t>
      </w:r>
      <w:r>
        <w:rPr>
          <w:color w:val="333333"/>
          <w:w w:val="110"/>
        </w:rPr>
        <w:t>information</w:t>
      </w:r>
      <w:r>
        <w:rPr>
          <w:color w:val="333333"/>
          <w:spacing w:val="-9"/>
          <w:w w:val="110"/>
        </w:rPr>
        <w:t xml:space="preserve"> </w:t>
      </w:r>
      <w:r>
        <w:rPr>
          <w:color w:val="333333"/>
          <w:w w:val="110"/>
        </w:rPr>
        <w:t>can</w:t>
      </w:r>
      <w:r>
        <w:rPr>
          <w:color w:val="333333"/>
          <w:spacing w:val="-8"/>
          <w:w w:val="110"/>
        </w:rPr>
        <w:t xml:space="preserve"> </w:t>
      </w:r>
      <w:r>
        <w:rPr>
          <w:color w:val="333333"/>
          <w:w w:val="110"/>
        </w:rPr>
        <w:t>be</w:t>
      </w:r>
      <w:r>
        <w:rPr>
          <w:color w:val="333333"/>
          <w:spacing w:val="-9"/>
          <w:w w:val="110"/>
        </w:rPr>
        <w:t xml:space="preserve"> </w:t>
      </w:r>
      <w:r>
        <w:rPr>
          <w:color w:val="333333"/>
          <w:w w:val="110"/>
        </w:rPr>
        <w:t>found</w:t>
      </w:r>
      <w:r>
        <w:rPr>
          <w:color w:val="333333"/>
          <w:spacing w:val="-8"/>
          <w:w w:val="110"/>
        </w:rPr>
        <w:t xml:space="preserve"> </w:t>
      </w:r>
      <w:r>
        <w:rPr>
          <w:color w:val="333333"/>
          <w:w w:val="110"/>
        </w:rPr>
        <w:t>in</w:t>
      </w:r>
      <w:r>
        <w:rPr>
          <w:color w:val="333333"/>
          <w:spacing w:val="-9"/>
          <w:w w:val="110"/>
        </w:rPr>
        <w:t xml:space="preserve"> </w:t>
      </w:r>
      <w:r>
        <w:rPr>
          <w:color w:val="333333"/>
          <w:w w:val="110"/>
        </w:rPr>
        <w:t xml:space="preserve">the </w:t>
      </w:r>
      <w:hyperlink r:id="rId176" w:anchor="jc-method">
        <w:r>
          <w:rPr>
            <w:color w:val="418BCA"/>
            <w:w w:val="110"/>
          </w:rPr>
          <w:t>Spring Security Reference</w:t>
        </w:r>
        <w:r>
          <w:rPr>
            <w:color w:val="418BCA"/>
            <w:spacing w:val="8"/>
            <w:w w:val="110"/>
          </w:rPr>
          <w:t xml:space="preserve"> </w:t>
        </w:r>
        <w:r>
          <w:rPr>
            <w:color w:val="418BCA"/>
            <w:w w:val="110"/>
          </w:rPr>
          <w:t>Guide</w:t>
        </w:r>
      </w:hyperlink>
      <w:r>
        <w:rPr>
          <w:color w:val="333333"/>
          <w:w w:val="110"/>
        </w:rPr>
        <w:t>.</w:t>
      </w:r>
    </w:p>
    <w:p w14:paraId="1E6A367C" w14:textId="77777777" w:rsidR="00A720EB" w:rsidRDefault="0030286B">
      <w:pPr>
        <w:pStyle w:val="a3"/>
        <w:spacing w:before="248" w:line="300" w:lineRule="auto"/>
        <w:ind w:left="124" w:right="125"/>
        <w:jc w:val="both"/>
      </w:pPr>
      <w:r>
        <w:rPr>
          <w:color w:val="333333"/>
          <w:w w:val="110"/>
        </w:rPr>
        <w:t xml:space="preserve">The default </w:t>
      </w:r>
      <w:r>
        <w:rPr>
          <w:rFonts w:ascii="MS Gothic"/>
          <w:color w:val="B02045"/>
          <w:w w:val="110"/>
        </w:rPr>
        <w:t xml:space="preserve">UserDetailsService </w:t>
      </w:r>
      <w:r>
        <w:rPr>
          <w:color w:val="333333"/>
          <w:w w:val="110"/>
        </w:rPr>
        <w:t xml:space="preserve">has a single user. The user name is </w:t>
      </w:r>
      <w:r>
        <w:rPr>
          <w:rFonts w:ascii="MS Gothic"/>
          <w:color w:val="B02045"/>
          <w:w w:val="110"/>
        </w:rPr>
        <w:t>user</w:t>
      </w:r>
      <w:r>
        <w:rPr>
          <w:color w:val="333333"/>
          <w:w w:val="110"/>
        </w:rPr>
        <w:t xml:space="preserve">, and the password is random and is printed at INFO level when the application starts, as </w:t>
      </w:r>
      <w:proofErr w:type="gramStart"/>
      <w:r>
        <w:rPr>
          <w:color w:val="333333"/>
          <w:w w:val="110"/>
        </w:rPr>
        <w:t>shown  in</w:t>
      </w:r>
      <w:proofErr w:type="gramEnd"/>
      <w:r>
        <w:rPr>
          <w:color w:val="333333"/>
          <w:w w:val="110"/>
        </w:rPr>
        <w:t xml:space="preserve">  the  following  example:</w:t>
      </w:r>
    </w:p>
    <w:p w14:paraId="6BB8EFA9" w14:textId="77777777" w:rsidR="00A720EB" w:rsidRDefault="00E10349">
      <w:pPr>
        <w:pStyle w:val="a3"/>
        <w:spacing w:before="6"/>
        <w:rPr>
          <w:sz w:val="13"/>
        </w:rPr>
      </w:pPr>
      <w:r>
        <w:pict w14:anchorId="3CEA1DD7">
          <v:group id="_x0000_s4245" style="position:absolute;margin-left:47.85pt;margin-top:9.95pt;width:499.55pt;height:37.5pt;z-index:-15514624;mso-wrap-distance-left:0;mso-wrap-distance-right:0;mso-position-horizontal-relative:page" coordorigin="957,199" coordsize="9991,750">
            <v:shape id="_x0000_s4248" style="position:absolute;left:964;top:206;width:9976;height:735" coordorigin="965,206" coordsize="9976,735" path="m10861,206r-9816,l1014,212r-26,18l971,255r-6,31l965,861r6,31l988,917r26,18l1045,941r9816,l10892,935r25,-18l10935,892r6,-31l10941,286r-6,-31l10917,230r-25,-18l10861,206xe" fillcolor="#f5f5f5" stroked="f">
              <v:path arrowok="t"/>
            </v:shape>
            <v:shape id="_x0000_s4247" style="position:absolute;left:964;top:206;width:9976;height:735" coordorigin="965,206" coordsize="9976,735" path="m1045,206r9816,l10892,212r25,18l10935,255r6,31l10941,861r-6,31l10917,917r-25,18l10861,941r-9816,l1014,935,988,917,971,892r-6,-31l965,286r6,-31l988,230r26,-18l1045,206xe" filled="f" strokecolor="#ccc">
              <v:path arrowok="t"/>
            </v:shape>
            <v:shape id="_x0000_s4246" type="#_x0000_t202" style="position:absolute;left:984;top:221;width:9938;height:704" filled="f" stroked="f">
              <v:textbox inset="0,0,0,0">
                <w:txbxContent>
                  <w:p w14:paraId="2AE5F998" w14:textId="77777777" w:rsidR="00711A16" w:rsidRDefault="00711A16">
                    <w:pPr>
                      <w:spacing w:before="221"/>
                      <w:ind w:left="200"/>
                      <w:rPr>
                        <w:rFonts w:ascii="MS Gothic"/>
                      </w:rPr>
                    </w:pPr>
                    <w:r>
                      <w:rPr>
                        <w:rFonts w:ascii="MS Gothic"/>
                        <w:color w:val="333333"/>
                      </w:rPr>
                      <w:t>Using generated security password: 78fa095d-3f4c-48b1-ad50-e24c31d5cf35</w:t>
                    </w:r>
                  </w:p>
                </w:txbxContent>
              </v:textbox>
            </v:shape>
            <w10:wrap type="topAndBottom" anchorx="page"/>
          </v:group>
        </w:pict>
      </w:r>
    </w:p>
    <w:p w14:paraId="30CF2493" w14:textId="77777777" w:rsidR="00A720EB" w:rsidRDefault="00A720EB">
      <w:pPr>
        <w:pStyle w:val="a3"/>
        <w:spacing w:before="10"/>
        <w:rPr>
          <w:sz w:val="16"/>
        </w:rPr>
      </w:pPr>
    </w:p>
    <w:p w14:paraId="15BAF0C0" w14:textId="77777777" w:rsidR="00A720EB" w:rsidRDefault="00E10349">
      <w:pPr>
        <w:pStyle w:val="a3"/>
        <w:spacing w:before="125" w:line="295" w:lineRule="auto"/>
        <w:ind w:left="1564" w:right="362"/>
        <w:jc w:val="both"/>
      </w:pPr>
      <w:r>
        <w:pict w14:anchorId="7C87A3A2">
          <v:line id="_x0000_s4244" style="position:absolute;left:0;text-align:left;z-index:15943168;mso-position-horizontal-relative:page" from="108.25pt,.25pt" to="108.25pt,55.6pt" strokecolor="#ededed" strokeweight=".5pt">
            <w10:wrap anchorx="page"/>
          </v:line>
        </w:pict>
      </w:r>
      <w:r w:rsidR="0030286B">
        <w:rPr>
          <w:noProof/>
        </w:rPr>
        <w:drawing>
          <wp:anchor distT="0" distB="0" distL="0" distR="0" simplePos="0" relativeHeight="15943680" behindDoc="0" locked="0" layoutInCell="1" allowOverlap="1" wp14:anchorId="7A9D7895" wp14:editId="0627DA5A">
            <wp:simplePos x="0" y="0"/>
            <wp:positionH relativeFrom="page">
              <wp:posOffset>844422</wp:posOffset>
            </wp:positionH>
            <wp:positionV relativeFrom="paragraph">
              <wp:posOffset>205524</wp:posOffset>
            </wp:positionV>
            <wp:extent cx="298450" cy="298450"/>
            <wp:effectExtent l="0" t="0" r="0" b="0"/>
            <wp:wrapNone/>
            <wp:docPr id="2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24" cstate="print"/>
                    <a:stretch>
                      <a:fillRect/>
                    </a:stretch>
                  </pic:blipFill>
                  <pic:spPr>
                    <a:xfrm>
                      <a:off x="0" y="0"/>
                      <a:ext cx="298450" cy="298450"/>
                    </a:xfrm>
                    <a:prstGeom prst="rect">
                      <a:avLst/>
                    </a:prstGeom>
                  </pic:spPr>
                </pic:pic>
              </a:graphicData>
            </a:graphic>
          </wp:anchor>
        </w:drawing>
      </w:r>
      <w:proofErr w:type="gramStart"/>
      <w:r w:rsidR="0030286B">
        <w:rPr>
          <w:color w:val="333333"/>
          <w:w w:val="110"/>
        </w:rPr>
        <w:t>If  you</w:t>
      </w:r>
      <w:proofErr w:type="gramEnd"/>
      <w:r w:rsidR="0030286B">
        <w:rPr>
          <w:color w:val="333333"/>
          <w:w w:val="110"/>
        </w:rPr>
        <w:t xml:space="preserve">  fine-tune  your  logging  configuration,  ensure  that  the </w:t>
      </w:r>
      <w:r w:rsidR="0030286B">
        <w:rPr>
          <w:rFonts w:ascii="MS Gothic"/>
          <w:color w:val="B02045"/>
          <w:w w:val="105"/>
        </w:rPr>
        <w:t xml:space="preserve">org.springframework.boot.autoconfigure.security </w:t>
      </w:r>
      <w:r w:rsidR="0030286B">
        <w:rPr>
          <w:color w:val="333333"/>
          <w:w w:val="105"/>
        </w:rPr>
        <w:t xml:space="preserve">category is set to log </w:t>
      </w:r>
      <w:r w:rsidR="0030286B">
        <w:rPr>
          <w:rFonts w:ascii="MS Gothic"/>
          <w:color w:val="B02045"/>
          <w:w w:val="105"/>
        </w:rPr>
        <w:t>INFO</w:t>
      </w:r>
      <w:r w:rsidR="0030286B">
        <w:rPr>
          <w:color w:val="333333"/>
          <w:w w:val="105"/>
        </w:rPr>
        <w:t xml:space="preserve">-level </w:t>
      </w:r>
      <w:r w:rsidR="0030286B">
        <w:rPr>
          <w:color w:val="333333"/>
          <w:w w:val="110"/>
        </w:rPr>
        <w:t>messages. Otherwise, the default password is not printed.</w:t>
      </w:r>
    </w:p>
    <w:p w14:paraId="3FB2A4F5" w14:textId="77777777" w:rsidR="00A720EB" w:rsidRDefault="00A720EB">
      <w:pPr>
        <w:pStyle w:val="a3"/>
        <w:spacing w:before="4"/>
        <w:rPr>
          <w:sz w:val="17"/>
        </w:rPr>
      </w:pPr>
    </w:p>
    <w:p w14:paraId="436F0F1D" w14:textId="77777777" w:rsidR="00A720EB" w:rsidRDefault="0030286B">
      <w:pPr>
        <w:pStyle w:val="a3"/>
        <w:spacing w:before="116"/>
        <w:ind w:left="124"/>
      </w:pPr>
      <w:r>
        <w:rPr>
          <w:color w:val="333333"/>
          <w:spacing w:val="-6"/>
          <w:w w:val="110"/>
        </w:rPr>
        <w:t xml:space="preserve">You </w:t>
      </w:r>
      <w:r>
        <w:rPr>
          <w:color w:val="333333"/>
          <w:w w:val="110"/>
        </w:rPr>
        <w:t xml:space="preserve">can change the username and password </w:t>
      </w:r>
      <w:r>
        <w:rPr>
          <w:color w:val="333333"/>
          <w:spacing w:val="-3"/>
          <w:w w:val="110"/>
        </w:rPr>
        <w:t xml:space="preserve">by </w:t>
      </w:r>
      <w:r>
        <w:rPr>
          <w:color w:val="333333"/>
          <w:w w:val="110"/>
        </w:rPr>
        <w:t xml:space="preserve">providing a </w:t>
      </w:r>
      <w:r>
        <w:rPr>
          <w:rFonts w:ascii="MS Gothic"/>
          <w:color w:val="B02045"/>
          <w:w w:val="110"/>
        </w:rPr>
        <w:t>spring.security.user.name</w:t>
      </w:r>
      <w:r>
        <w:rPr>
          <w:rFonts w:ascii="MS Gothic"/>
          <w:color w:val="B02045"/>
          <w:spacing w:val="90"/>
          <w:w w:val="110"/>
        </w:rPr>
        <w:t xml:space="preserve"> </w:t>
      </w:r>
      <w:r>
        <w:rPr>
          <w:color w:val="333333"/>
          <w:w w:val="110"/>
        </w:rPr>
        <w:t>and</w:t>
      </w:r>
    </w:p>
    <w:p w14:paraId="16A3A9A6" w14:textId="77777777" w:rsidR="00A720EB" w:rsidRDefault="0030286B">
      <w:pPr>
        <w:pStyle w:val="a3"/>
        <w:spacing w:before="47"/>
        <w:ind w:left="124"/>
      </w:pPr>
      <w:proofErr w:type="gramStart"/>
      <w:r>
        <w:rPr>
          <w:rFonts w:ascii="MS Gothic"/>
          <w:color w:val="B02045"/>
        </w:rPr>
        <w:t>spring.security</w:t>
      </w:r>
      <w:proofErr w:type="gramEnd"/>
      <w:r>
        <w:rPr>
          <w:rFonts w:ascii="MS Gothic"/>
          <w:color w:val="B02045"/>
        </w:rPr>
        <w:t>.user.password</w:t>
      </w:r>
      <w:r>
        <w:rPr>
          <w:color w:val="333333"/>
        </w:rPr>
        <w:t>.</w:t>
      </w:r>
    </w:p>
    <w:p w14:paraId="1FAFFE2D" w14:textId="77777777" w:rsidR="00A720EB" w:rsidRDefault="00A720EB">
      <w:pPr>
        <w:pStyle w:val="a3"/>
        <w:spacing w:before="4"/>
        <w:rPr>
          <w:sz w:val="25"/>
        </w:rPr>
      </w:pPr>
    </w:p>
    <w:p w14:paraId="3DB6D904" w14:textId="77777777" w:rsidR="00A720EB" w:rsidRDefault="0030286B">
      <w:pPr>
        <w:pStyle w:val="a3"/>
        <w:ind w:left="124"/>
      </w:pPr>
      <w:r>
        <w:rPr>
          <w:color w:val="333333"/>
          <w:w w:val="110"/>
        </w:rPr>
        <w:t>The basic features you get by default in a web application are:</w:t>
      </w:r>
    </w:p>
    <w:p w14:paraId="2AB05209" w14:textId="77777777" w:rsidR="00A720EB" w:rsidRDefault="00A720EB">
      <w:pPr>
        <w:pStyle w:val="a3"/>
        <w:spacing w:before="5"/>
        <w:rPr>
          <w:sz w:val="25"/>
        </w:rPr>
      </w:pPr>
    </w:p>
    <w:p w14:paraId="4947E61B" w14:textId="77777777" w:rsidR="00A720EB" w:rsidRDefault="0030286B">
      <w:pPr>
        <w:pStyle w:val="a6"/>
        <w:numPr>
          <w:ilvl w:val="0"/>
          <w:numId w:val="47"/>
        </w:numPr>
        <w:tabs>
          <w:tab w:val="left" w:pos="485"/>
        </w:tabs>
        <w:spacing w:before="1" w:line="285" w:lineRule="auto"/>
        <w:ind w:right="122"/>
        <w:jc w:val="both"/>
        <w:rPr>
          <w:sz w:val="21"/>
        </w:rPr>
      </w:pPr>
      <w:r>
        <w:rPr>
          <w:color w:val="333333"/>
          <w:w w:val="110"/>
          <w:sz w:val="21"/>
        </w:rPr>
        <w:t xml:space="preserve">A </w:t>
      </w:r>
      <w:r>
        <w:rPr>
          <w:rFonts w:ascii="MS Gothic" w:hAnsi="MS Gothic"/>
          <w:color w:val="B02045"/>
          <w:w w:val="110"/>
          <w:sz w:val="21"/>
        </w:rPr>
        <w:t xml:space="preserve">UserDetailsService </w:t>
      </w:r>
      <w:r>
        <w:rPr>
          <w:color w:val="333333"/>
          <w:w w:val="110"/>
          <w:sz w:val="21"/>
        </w:rPr>
        <w:t xml:space="preserve">(or </w:t>
      </w:r>
      <w:r>
        <w:rPr>
          <w:rFonts w:ascii="MS Gothic" w:hAnsi="MS Gothic"/>
          <w:color w:val="B02045"/>
          <w:w w:val="110"/>
          <w:sz w:val="21"/>
        </w:rPr>
        <w:t xml:space="preserve">ReactiveUserDetailsService </w:t>
      </w:r>
      <w:r>
        <w:rPr>
          <w:color w:val="333333"/>
          <w:w w:val="110"/>
          <w:sz w:val="21"/>
        </w:rPr>
        <w:t xml:space="preserve">in case of a </w:t>
      </w:r>
      <w:r>
        <w:rPr>
          <w:color w:val="333333"/>
          <w:spacing w:val="-3"/>
          <w:w w:val="110"/>
          <w:sz w:val="21"/>
        </w:rPr>
        <w:t xml:space="preserve">WebFlux </w:t>
      </w:r>
      <w:r>
        <w:rPr>
          <w:color w:val="333333"/>
          <w:w w:val="110"/>
          <w:sz w:val="21"/>
        </w:rPr>
        <w:t>application)</w:t>
      </w:r>
      <w:r>
        <w:rPr>
          <w:color w:val="333333"/>
          <w:spacing w:val="-23"/>
          <w:w w:val="110"/>
          <w:sz w:val="21"/>
        </w:rPr>
        <w:t xml:space="preserve"> </w:t>
      </w:r>
      <w:r>
        <w:rPr>
          <w:color w:val="333333"/>
          <w:w w:val="110"/>
          <w:sz w:val="21"/>
        </w:rPr>
        <w:t>bean with</w:t>
      </w:r>
      <w:r>
        <w:rPr>
          <w:color w:val="333333"/>
          <w:spacing w:val="-15"/>
          <w:w w:val="110"/>
          <w:sz w:val="21"/>
        </w:rPr>
        <w:t xml:space="preserve"> </w:t>
      </w:r>
      <w:r>
        <w:rPr>
          <w:color w:val="333333"/>
          <w:w w:val="110"/>
          <w:sz w:val="21"/>
        </w:rPr>
        <w:t>in-memory</w:t>
      </w:r>
      <w:r>
        <w:rPr>
          <w:color w:val="333333"/>
          <w:spacing w:val="-14"/>
          <w:w w:val="110"/>
          <w:sz w:val="21"/>
        </w:rPr>
        <w:t xml:space="preserve"> </w:t>
      </w:r>
      <w:r>
        <w:rPr>
          <w:color w:val="333333"/>
          <w:w w:val="110"/>
          <w:sz w:val="21"/>
        </w:rPr>
        <w:t>store</w:t>
      </w:r>
      <w:r>
        <w:rPr>
          <w:color w:val="333333"/>
          <w:spacing w:val="-15"/>
          <w:w w:val="110"/>
          <w:sz w:val="21"/>
        </w:rPr>
        <w:t xml:space="preserve"> </w:t>
      </w:r>
      <w:r>
        <w:rPr>
          <w:color w:val="333333"/>
          <w:w w:val="110"/>
          <w:sz w:val="21"/>
        </w:rPr>
        <w:t>and</w:t>
      </w:r>
      <w:r>
        <w:rPr>
          <w:color w:val="333333"/>
          <w:spacing w:val="-14"/>
          <w:w w:val="110"/>
          <w:sz w:val="21"/>
        </w:rPr>
        <w:t xml:space="preserve"> </w:t>
      </w:r>
      <w:r>
        <w:rPr>
          <w:color w:val="333333"/>
          <w:w w:val="110"/>
          <w:sz w:val="21"/>
        </w:rPr>
        <w:t>a</w:t>
      </w:r>
      <w:r>
        <w:rPr>
          <w:color w:val="333333"/>
          <w:spacing w:val="-15"/>
          <w:w w:val="110"/>
          <w:sz w:val="21"/>
        </w:rPr>
        <w:t xml:space="preserve"> </w:t>
      </w:r>
      <w:r>
        <w:rPr>
          <w:color w:val="333333"/>
          <w:w w:val="110"/>
          <w:sz w:val="21"/>
        </w:rPr>
        <w:t>single</w:t>
      </w:r>
      <w:r>
        <w:rPr>
          <w:color w:val="333333"/>
          <w:spacing w:val="-14"/>
          <w:w w:val="110"/>
          <w:sz w:val="21"/>
        </w:rPr>
        <w:t xml:space="preserve"> </w:t>
      </w:r>
      <w:r>
        <w:rPr>
          <w:color w:val="333333"/>
          <w:w w:val="110"/>
          <w:sz w:val="21"/>
        </w:rPr>
        <w:t>user</w:t>
      </w:r>
      <w:r>
        <w:rPr>
          <w:color w:val="333333"/>
          <w:spacing w:val="-15"/>
          <w:w w:val="110"/>
          <w:sz w:val="21"/>
        </w:rPr>
        <w:t xml:space="preserve"> </w:t>
      </w:r>
      <w:r>
        <w:rPr>
          <w:color w:val="333333"/>
          <w:w w:val="110"/>
          <w:sz w:val="21"/>
        </w:rPr>
        <w:t>with</w:t>
      </w:r>
      <w:r>
        <w:rPr>
          <w:color w:val="333333"/>
          <w:spacing w:val="-14"/>
          <w:w w:val="110"/>
          <w:sz w:val="21"/>
        </w:rPr>
        <w:t xml:space="preserve"> </w:t>
      </w:r>
      <w:r>
        <w:rPr>
          <w:color w:val="333333"/>
          <w:w w:val="110"/>
          <w:sz w:val="21"/>
        </w:rPr>
        <w:t>a</w:t>
      </w:r>
      <w:r>
        <w:rPr>
          <w:color w:val="333333"/>
          <w:spacing w:val="-15"/>
          <w:w w:val="110"/>
          <w:sz w:val="21"/>
        </w:rPr>
        <w:t xml:space="preserve"> </w:t>
      </w:r>
      <w:r>
        <w:rPr>
          <w:color w:val="333333"/>
          <w:w w:val="110"/>
          <w:sz w:val="21"/>
        </w:rPr>
        <w:t>generated</w:t>
      </w:r>
      <w:r>
        <w:rPr>
          <w:color w:val="333333"/>
          <w:spacing w:val="-14"/>
          <w:w w:val="110"/>
          <w:sz w:val="21"/>
        </w:rPr>
        <w:t xml:space="preserve"> </w:t>
      </w:r>
      <w:r>
        <w:rPr>
          <w:color w:val="333333"/>
          <w:w w:val="110"/>
          <w:sz w:val="21"/>
        </w:rPr>
        <w:t>password</w:t>
      </w:r>
      <w:r>
        <w:rPr>
          <w:color w:val="333333"/>
          <w:spacing w:val="-15"/>
          <w:w w:val="110"/>
          <w:sz w:val="21"/>
        </w:rPr>
        <w:t xml:space="preserve"> </w:t>
      </w:r>
      <w:r>
        <w:rPr>
          <w:color w:val="333333"/>
          <w:w w:val="110"/>
          <w:sz w:val="21"/>
        </w:rPr>
        <w:t>(see</w:t>
      </w:r>
      <w:r>
        <w:rPr>
          <w:color w:val="333333"/>
          <w:spacing w:val="-8"/>
          <w:w w:val="110"/>
          <w:sz w:val="21"/>
        </w:rPr>
        <w:t xml:space="preserve"> </w:t>
      </w:r>
      <w:hyperlink r:id="rId177">
        <w:r>
          <w:rPr>
            <w:rFonts w:ascii="MS Gothic" w:hAnsi="MS Gothic"/>
            <w:color w:val="B02045"/>
            <w:w w:val="110"/>
            <w:sz w:val="21"/>
          </w:rPr>
          <w:t>SecurityProperties.User</w:t>
        </w:r>
      </w:hyperlink>
      <w:r>
        <w:rPr>
          <w:rFonts w:ascii="MS Gothic" w:hAnsi="MS Gothic"/>
          <w:color w:val="B02045"/>
          <w:w w:val="110"/>
          <w:sz w:val="21"/>
        </w:rPr>
        <w:t xml:space="preserve"> </w:t>
      </w:r>
      <w:r>
        <w:rPr>
          <w:color w:val="333333"/>
          <w:w w:val="110"/>
          <w:sz w:val="21"/>
        </w:rPr>
        <w:t>for the properties of the</w:t>
      </w:r>
      <w:r>
        <w:rPr>
          <w:color w:val="333333"/>
          <w:spacing w:val="15"/>
          <w:w w:val="110"/>
          <w:sz w:val="21"/>
        </w:rPr>
        <w:t xml:space="preserve"> </w:t>
      </w:r>
      <w:r>
        <w:rPr>
          <w:color w:val="333333"/>
          <w:w w:val="110"/>
          <w:sz w:val="21"/>
        </w:rPr>
        <w:t>user).</w:t>
      </w:r>
    </w:p>
    <w:p w14:paraId="6653748B" w14:textId="77777777" w:rsidR="00A720EB" w:rsidRDefault="0030286B">
      <w:pPr>
        <w:pStyle w:val="a6"/>
        <w:numPr>
          <w:ilvl w:val="0"/>
          <w:numId w:val="47"/>
        </w:numPr>
        <w:tabs>
          <w:tab w:val="left" w:pos="485"/>
        </w:tabs>
        <w:spacing w:before="133" w:line="290" w:lineRule="auto"/>
        <w:ind w:right="124"/>
        <w:jc w:val="both"/>
        <w:rPr>
          <w:sz w:val="21"/>
        </w:rPr>
      </w:pPr>
      <w:r>
        <w:rPr>
          <w:color w:val="333333"/>
          <w:w w:val="110"/>
          <w:sz w:val="21"/>
        </w:rPr>
        <w:t xml:space="preserve">Form-based login or HTTP Basic security (depending on the </w:t>
      </w:r>
      <w:r>
        <w:rPr>
          <w:rFonts w:ascii="MS Gothic" w:hAnsi="MS Gothic"/>
          <w:color w:val="B02045"/>
          <w:w w:val="110"/>
          <w:sz w:val="21"/>
        </w:rPr>
        <w:t>Accept</w:t>
      </w:r>
      <w:r>
        <w:rPr>
          <w:rFonts w:ascii="MS Gothic" w:hAnsi="MS Gothic"/>
          <w:color w:val="B02045"/>
          <w:spacing w:val="-89"/>
          <w:w w:val="110"/>
          <w:sz w:val="21"/>
        </w:rPr>
        <w:t xml:space="preserve"> </w:t>
      </w:r>
      <w:r>
        <w:rPr>
          <w:color w:val="333333"/>
          <w:w w:val="110"/>
          <w:sz w:val="21"/>
        </w:rPr>
        <w:t>header in the request) for the entire application (including actuator endpoints if actuator is on the</w:t>
      </w:r>
      <w:r>
        <w:rPr>
          <w:color w:val="333333"/>
          <w:spacing w:val="34"/>
          <w:w w:val="110"/>
          <w:sz w:val="21"/>
        </w:rPr>
        <w:t xml:space="preserve"> </w:t>
      </w:r>
      <w:r>
        <w:rPr>
          <w:color w:val="333333"/>
          <w:w w:val="110"/>
          <w:sz w:val="21"/>
        </w:rPr>
        <w:t>classpath).</w:t>
      </w:r>
    </w:p>
    <w:p w14:paraId="2AAAF76D" w14:textId="77777777" w:rsidR="00A720EB" w:rsidRDefault="0030286B">
      <w:pPr>
        <w:pStyle w:val="a6"/>
        <w:numPr>
          <w:ilvl w:val="0"/>
          <w:numId w:val="47"/>
        </w:numPr>
        <w:tabs>
          <w:tab w:val="left" w:pos="485"/>
        </w:tabs>
        <w:spacing w:before="128"/>
        <w:jc w:val="both"/>
        <w:rPr>
          <w:sz w:val="21"/>
        </w:rPr>
      </w:pPr>
      <w:r>
        <w:rPr>
          <w:color w:val="333333"/>
          <w:w w:val="110"/>
          <w:sz w:val="21"/>
        </w:rPr>
        <w:t xml:space="preserve">A </w:t>
      </w:r>
      <w:r>
        <w:rPr>
          <w:rFonts w:ascii="MS Gothic" w:hAnsi="MS Gothic"/>
          <w:color w:val="B02045"/>
          <w:w w:val="110"/>
          <w:sz w:val="21"/>
        </w:rPr>
        <w:t>DefaultAuthenticationEventPublisher</w:t>
      </w:r>
      <w:r>
        <w:rPr>
          <w:rFonts w:ascii="MS Gothic" w:hAnsi="MS Gothic"/>
          <w:color w:val="B02045"/>
          <w:spacing w:val="-87"/>
          <w:w w:val="110"/>
          <w:sz w:val="21"/>
        </w:rPr>
        <w:t xml:space="preserve"> </w:t>
      </w:r>
      <w:r>
        <w:rPr>
          <w:color w:val="333333"/>
          <w:w w:val="110"/>
          <w:sz w:val="21"/>
        </w:rPr>
        <w:t>for publishing authentication events.</w:t>
      </w:r>
    </w:p>
    <w:p w14:paraId="7BE2DEE5" w14:textId="77777777" w:rsidR="00A720EB" w:rsidRDefault="00A720EB">
      <w:pPr>
        <w:jc w:val="both"/>
        <w:rPr>
          <w:sz w:val="21"/>
        </w:rPr>
        <w:sectPr w:rsidR="00A720EB">
          <w:pgSz w:w="11910" w:h="16840"/>
          <w:pgMar w:top="700" w:right="840" w:bottom="520" w:left="840" w:header="0" w:footer="323" w:gutter="0"/>
          <w:cols w:space="720"/>
        </w:sectPr>
      </w:pPr>
    </w:p>
    <w:p w14:paraId="498DF046" w14:textId="77777777" w:rsidR="00A720EB" w:rsidRDefault="0030286B">
      <w:pPr>
        <w:pStyle w:val="a3"/>
        <w:spacing w:before="91"/>
        <w:ind w:left="124"/>
      </w:pPr>
      <w:r>
        <w:rPr>
          <w:color w:val="333333"/>
          <w:spacing w:val="-6"/>
          <w:w w:val="110"/>
        </w:rPr>
        <w:lastRenderedPageBreak/>
        <w:t xml:space="preserve">You </w:t>
      </w:r>
      <w:r>
        <w:rPr>
          <w:color w:val="333333"/>
          <w:w w:val="110"/>
        </w:rPr>
        <w:t xml:space="preserve">can provide a different </w:t>
      </w:r>
      <w:r>
        <w:rPr>
          <w:rFonts w:ascii="MS Gothic"/>
          <w:color w:val="B02045"/>
          <w:w w:val="110"/>
        </w:rPr>
        <w:t>AuthenticationEventPublisher</w:t>
      </w:r>
      <w:r>
        <w:rPr>
          <w:rFonts w:ascii="MS Gothic"/>
          <w:color w:val="B02045"/>
          <w:spacing w:val="-69"/>
          <w:w w:val="110"/>
        </w:rPr>
        <w:t xml:space="preserve"> </w:t>
      </w:r>
      <w:r>
        <w:rPr>
          <w:color w:val="333333"/>
          <w:spacing w:val="-3"/>
          <w:w w:val="110"/>
        </w:rPr>
        <w:t xml:space="preserve">by </w:t>
      </w:r>
      <w:r>
        <w:rPr>
          <w:color w:val="333333"/>
          <w:w w:val="110"/>
        </w:rPr>
        <w:t>adding a bean for it.</w:t>
      </w:r>
    </w:p>
    <w:p w14:paraId="65479BA6" w14:textId="77777777" w:rsidR="00A720EB" w:rsidRDefault="00A720EB">
      <w:pPr>
        <w:pStyle w:val="a3"/>
        <w:spacing w:before="6"/>
        <w:rPr>
          <w:sz w:val="30"/>
        </w:rPr>
      </w:pPr>
    </w:p>
    <w:p w14:paraId="072B1091" w14:textId="77777777" w:rsidR="00A720EB" w:rsidRDefault="0030286B">
      <w:pPr>
        <w:pStyle w:val="3"/>
        <w:numPr>
          <w:ilvl w:val="2"/>
          <w:numId w:val="68"/>
        </w:numPr>
        <w:tabs>
          <w:tab w:val="left" w:pos="1003"/>
        </w:tabs>
        <w:ind w:left="1002" w:hanging="879"/>
      </w:pPr>
      <w:bookmarkStart w:id="295" w:name="4.10.1._MVC_Security"/>
      <w:bookmarkStart w:id="296" w:name="_Toc54423762"/>
      <w:bookmarkEnd w:id="295"/>
      <w:r>
        <w:rPr>
          <w:color w:val="333333"/>
          <w:spacing w:val="-3"/>
          <w:w w:val="105"/>
        </w:rPr>
        <w:t xml:space="preserve">MVC </w:t>
      </w:r>
      <w:r>
        <w:rPr>
          <w:color w:val="333333"/>
          <w:w w:val="105"/>
        </w:rPr>
        <w:t>Security</w:t>
      </w:r>
      <w:bookmarkEnd w:id="296"/>
    </w:p>
    <w:p w14:paraId="1A273550" w14:textId="77777777" w:rsidR="00A720EB" w:rsidRDefault="0030286B">
      <w:pPr>
        <w:pStyle w:val="a3"/>
        <w:tabs>
          <w:tab w:val="left" w:pos="5272"/>
          <w:tab w:val="left" w:pos="9318"/>
        </w:tabs>
        <w:spacing w:before="244" w:line="292" w:lineRule="auto"/>
        <w:ind w:left="124" w:right="122"/>
        <w:jc w:val="both"/>
      </w:pPr>
      <w:r>
        <w:rPr>
          <w:color w:val="333333"/>
          <w:w w:val="110"/>
        </w:rPr>
        <w:t xml:space="preserve">The default security configuration is implemented in </w:t>
      </w:r>
      <w:r>
        <w:rPr>
          <w:rFonts w:ascii="MS Gothic" w:hAnsi="MS Gothic"/>
          <w:color w:val="B02045"/>
          <w:w w:val="110"/>
        </w:rPr>
        <w:t xml:space="preserve">SecurityAutoConfiguration </w:t>
      </w:r>
      <w:r>
        <w:rPr>
          <w:color w:val="333333"/>
          <w:w w:val="110"/>
        </w:rPr>
        <w:t xml:space="preserve">and </w:t>
      </w:r>
      <w:r>
        <w:rPr>
          <w:rFonts w:ascii="MS Gothic" w:hAnsi="MS Gothic"/>
          <w:color w:val="B02045"/>
        </w:rPr>
        <w:t>UserDetailsServiceAutoConfiguration</w:t>
      </w:r>
      <w:r>
        <w:rPr>
          <w:color w:val="333333"/>
        </w:rPr>
        <w:t>.</w:t>
      </w:r>
      <w:r>
        <w:rPr>
          <w:color w:val="333333"/>
        </w:rPr>
        <w:tab/>
      </w:r>
      <w:r>
        <w:rPr>
          <w:rFonts w:ascii="MS Gothic" w:hAnsi="MS Gothic"/>
          <w:color w:val="B02045"/>
        </w:rPr>
        <w:t>SecurityAutoConfiguration</w:t>
      </w:r>
      <w:r>
        <w:rPr>
          <w:rFonts w:ascii="MS Gothic" w:hAnsi="MS Gothic"/>
          <w:color w:val="B02045"/>
        </w:rPr>
        <w:tab/>
      </w:r>
      <w:r>
        <w:rPr>
          <w:color w:val="333333"/>
          <w:spacing w:val="-3"/>
          <w:w w:val="110"/>
        </w:rPr>
        <w:t xml:space="preserve">imports </w:t>
      </w:r>
      <w:r>
        <w:rPr>
          <w:rFonts w:ascii="MS Gothic" w:hAnsi="MS Gothic"/>
          <w:color w:val="B02045"/>
          <w:w w:val="105"/>
        </w:rPr>
        <w:t xml:space="preserve">SpringBootWebSecurityConfiguration </w:t>
      </w:r>
      <w:r>
        <w:rPr>
          <w:color w:val="333333"/>
          <w:w w:val="105"/>
        </w:rPr>
        <w:t xml:space="preserve">for web security and </w:t>
      </w:r>
      <w:r>
        <w:rPr>
          <w:rFonts w:ascii="MS Gothic" w:hAnsi="MS Gothic"/>
          <w:color w:val="B02045"/>
          <w:w w:val="105"/>
        </w:rPr>
        <w:t xml:space="preserve">UserDetailsServiceAutoConfiguration </w:t>
      </w:r>
      <w:r>
        <w:rPr>
          <w:color w:val="333333"/>
          <w:w w:val="110"/>
        </w:rPr>
        <w:t xml:space="preserve">configures authentication, which is also relevant in non-web applications. </w:t>
      </w:r>
      <w:r>
        <w:rPr>
          <w:color w:val="333333"/>
          <w:spacing w:val="-4"/>
          <w:w w:val="110"/>
        </w:rPr>
        <w:t xml:space="preserve">To </w:t>
      </w:r>
      <w:r>
        <w:rPr>
          <w:color w:val="333333"/>
          <w:w w:val="110"/>
        </w:rPr>
        <w:t xml:space="preserve">switch off the default web application security configuration completely or to combine multiple Spring Security components such as </w:t>
      </w:r>
      <w:r>
        <w:rPr>
          <w:color w:val="333333"/>
          <w:spacing w:val="-3"/>
          <w:w w:val="110"/>
        </w:rPr>
        <w:t xml:space="preserve">OAuth </w:t>
      </w:r>
      <w:r>
        <w:rPr>
          <w:color w:val="333333"/>
          <w:w w:val="110"/>
        </w:rPr>
        <w:t xml:space="preserve">2 Client and Resource Server, add a bean of type </w:t>
      </w:r>
      <w:r>
        <w:rPr>
          <w:rFonts w:ascii="MS Gothic" w:hAnsi="MS Gothic"/>
          <w:color w:val="B02045"/>
          <w:w w:val="110"/>
        </w:rPr>
        <w:t>WebSecurityConfigurerAdapter</w:t>
      </w:r>
      <w:r>
        <w:rPr>
          <w:rFonts w:ascii="MS Gothic" w:hAnsi="MS Gothic"/>
          <w:color w:val="B02045"/>
          <w:spacing w:val="-70"/>
          <w:w w:val="110"/>
        </w:rPr>
        <w:t xml:space="preserve"> </w:t>
      </w:r>
      <w:r>
        <w:rPr>
          <w:color w:val="333333"/>
          <w:w w:val="110"/>
        </w:rPr>
        <w:t>(doing</w:t>
      </w:r>
      <w:r>
        <w:rPr>
          <w:color w:val="333333"/>
          <w:spacing w:val="-4"/>
          <w:w w:val="110"/>
        </w:rPr>
        <w:t xml:space="preserve"> </w:t>
      </w:r>
      <w:r>
        <w:rPr>
          <w:color w:val="333333"/>
          <w:w w:val="110"/>
        </w:rPr>
        <w:t>so</w:t>
      </w:r>
      <w:r>
        <w:rPr>
          <w:color w:val="333333"/>
          <w:spacing w:val="-5"/>
          <w:w w:val="110"/>
        </w:rPr>
        <w:t xml:space="preserve"> </w:t>
      </w:r>
      <w:r>
        <w:rPr>
          <w:color w:val="333333"/>
          <w:w w:val="110"/>
        </w:rPr>
        <w:t>does</w:t>
      </w:r>
      <w:r>
        <w:rPr>
          <w:color w:val="333333"/>
          <w:spacing w:val="-4"/>
          <w:w w:val="110"/>
        </w:rPr>
        <w:t xml:space="preserve"> </w:t>
      </w:r>
      <w:r>
        <w:rPr>
          <w:color w:val="333333"/>
          <w:w w:val="110"/>
        </w:rPr>
        <w:t>not</w:t>
      </w:r>
      <w:r>
        <w:rPr>
          <w:color w:val="333333"/>
          <w:spacing w:val="-4"/>
          <w:w w:val="110"/>
        </w:rPr>
        <w:t xml:space="preserve"> </w:t>
      </w:r>
      <w:r>
        <w:rPr>
          <w:color w:val="333333"/>
          <w:w w:val="110"/>
        </w:rPr>
        <w:t>disable</w:t>
      </w:r>
      <w:r>
        <w:rPr>
          <w:color w:val="333333"/>
          <w:spacing w:val="-5"/>
          <w:w w:val="110"/>
        </w:rPr>
        <w:t xml:space="preserve"> </w:t>
      </w:r>
      <w:r>
        <w:rPr>
          <w:color w:val="333333"/>
          <w:w w:val="110"/>
        </w:rPr>
        <w:t>the</w:t>
      </w:r>
      <w:r>
        <w:rPr>
          <w:color w:val="333333"/>
          <w:spacing w:val="-3"/>
          <w:w w:val="110"/>
        </w:rPr>
        <w:t xml:space="preserve"> </w:t>
      </w:r>
      <w:r>
        <w:rPr>
          <w:rFonts w:ascii="MS Gothic" w:hAnsi="MS Gothic"/>
          <w:color w:val="B02045"/>
          <w:w w:val="110"/>
        </w:rPr>
        <w:t>UserDetailsService</w:t>
      </w:r>
      <w:r>
        <w:rPr>
          <w:rFonts w:ascii="MS Gothic" w:hAnsi="MS Gothic"/>
          <w:color w:val="B02045"/>
          <w:spacing w:val="-70"/>
          <w:w w:val="110"/>
        </w:rPr>
        <w:t xml:space="preserve"> </w:t>
      </w:r>
      <w:r>
        <w:rPr>
          <w:color w:val="333333"/>
          <w:w w:val="110"/>
        </w:rPr>
        <w:t>configuration</w:t>
      </w:r>
      <w:r>
        <w:rPr>
          <w:color w:val="333333"/>
          <w:spacing w:val="-5"/>
          <w:w w:val="110"/>
        </w:rPr>
        <w:t xml:space="preserve"> </w:t>
      </w:r>
      <w:r>
        <w:rPr>
          <w:color w:val="333333"/>
          <w:w w:val="110"/>
        </w:rPr>
        <w:t>or Actuator’s</w:t>
      </w:r>
      <w:r>
        <w:rPr>
          <w:color w:val="333333"/>
          <w:spacing w:val="3"/>
          <w:w w:val="110"/>
        </w:rPr>
        <w:t xml:space="preserve"> </w:t>
      </w:r>
      <w:r>
        <w:rPr>
          <w:color w:val="333333"/>
          <w:w w:val="110"/>
        </w:rPr>
        <w:t>security).</w:t>
      </w:r>
    </w:p>
    <w:p w14:paraId="6D34FF19" w14:textId="77777777" w:rsidR="00A720EB" w:rsidRDefault="0030286B">
      <w:pPr>
        <w:pStyle w:val="a3"/>
        <w:spacing w:before="250"/>
        <w:ind w:left="124"/>
      </w:pPr>
      <w:r>
        <w:rPr>
          <w:color w:val="333333"/>
          <w:w w:val="110"/>
        </w:rPr>
        <w:t xml:space="preserve">To also switch off the </w:t>
      </w:r>
      <w:r>
        <w:rPr>
          <w:rFonts w:ascii="MS Gothic"/>
          <w:color w:val="B02045"/>
          <w:w w:val="110"/>
        </w:rPr>
        <w:t xml:space="preserve">UserDetailsService </w:t>
      </w:r>
      <w:r>
        <w:rPr>
          <w:color w:val="333333"/>
          <w:w w:val="110"/>
        </w:rPr>
        <w:t>configuration, you can add a bean of type</w:t>
      </w:r>
    </w:p>
    <w:p w14:paraId="252B5566" w14:textId="77777777" w:rsidR="00A720EB" w:rsidRDefault="0030286B">
      <w:pPr>
        <w:pStyle w:val="a3"/>
        <w:spacing w:before="47"/>
        <w:ind w:left="124"/>
        <w:jc w:val="both"/>
      </w:pPr>
      <w:r>
        <w:rPr>
          <w:rFonts w:ascii="MS Gothic"/>
          <w:color w:val="B02045"/>
        </w:rPr>
        <w:t>UserDetailsService</w:t>
      </w:r>
      <w:r>
        <w:rPr>
          <w:color w:val="333333"/>
        </w:rPr>
        <w:t xml:space="preserve">, </w:t>
      </w:r>
      <w:r>
        <w:rPr>
          <w:rFonts w:ascii="MS Gothic"/>
          <w:color w:val="B02045"/>
        </w:rPr>
        <w:t>AuthenticationProvider</w:t>
      </w:r>
      <w:r>
        <w:rPr>
          <w:color w:val="333333"/>
        </w:rPr>
        <w:t xml:space="preserve">, or </w:t>
      </w:r>
      <w:r>
        <w:rPr>
          <w:rFonts w:ascii="MS Gothic"/>
          <w:color w:val="B02045"/>
        </w:rPr>
        <w:t>AuthenticationManager</w:t>
      </w:r>
      <w:r>
        <w:rPr>
          <w:color w:val="333333"/>
        </w:rPr>
        <w:t>.</w:t>
      </w:r>
    </w:p>
    <w:p w14:paraId="0A77F284" w14:textId="77777777" w:rsidR="00A720EB" w:rsidRDefault="00A720EB">
      <w:pPr>
        <w:pStyle w:val="a3"/>
        <w:spacing w:before="5"/>
        <w:rPr>
          <w:sz w:val="24"/>
        </w:rPr>
      </w:pPr>
    </w:p>
    <w:p w14:paraId="369F57DE" w14:textId="77777777" w:rsidR="00A720EB" w:rsidRDefault="0030286B">
      <w:pPr>
        <w:pStyle w:val="a3"/>
        <w:spacing w:line="290" w:lineRule="auto"/>
        <w:ind w:left="124" w:right="122"/>
        <w:jc w:val="both"/>
      </w:pPr>
      <w:r>
        <w:rPr>
          <w:color w:val="333333"/>
          <w:w w:val="110"/>
        </w:rPr>
        <w:t xml:space="preserve">Access rules can be overridden </w:t>
      </w:r>
      <w:r>
        <w:rPr>
          <w:color w:val="333333"/>
          <w:spacing w:val="-3"/>
          <w:w w:val="110"/>
        </w:rPr>
        <w:t xml:space="preserve">by </w:t>
      </w:r>
      <w:r>
        <w:rPr>
          <w:color w:val="333333"/>
          <w:w w:val="110"/>
        </w:rPr>
        <w:t xml:space="preserve">adding a custom </w:t>
      </w:r>
      <w:r>
        <w:rPr>
          <w:rFonts w:ascii="MS Gothic"/>
          <w:color w:val="B02045"/>
          <w:w w:val="110"/>
        </w:rPr>
        <w:t>WebSecurityConfigurerAdapter</w:t>
      </w:r>
      <w:r>
        <w:rPr>
          <w:color w:val="333333"/>
          <w:w w:val="110"/>
        </w:rPr>
        <w:t xml:space="preserve">. Spring Boot provides convenience methods that can be used to override access rules for actuator endpoints and static resources. </w:t>
      </w:r>
      <w:r>
        <w:rPr>
          <w:rFonts w:ascii="MS Gothic"/>
          <w:color w:val="B02045"/>
          <w:w w:val="110"/>
        </w:rPr>
        <w:t xml:space="preserve">EndpointRequest </w:t>
      </w:r>
      <w:r>
        <w:rPr>
          <w:color w:val="333333"/>
          <w:w w:val="110"/>
        </w:rPr>
        <w:t xml:space="preserve">can be used to create a </w:t>
      </w:r>
      <w:r>
        <w:rPr>
          <w:rFonts w:ascii="MS Gothic"/>
          <w:color w:val="B02045"/>
          <w:w w:val="110"/>
        </w:rPr>
        <w:t xml:space="preserve">RequestMatcher </w:t>
      </w:r>
      <w:r>
        <w:rPr>
          <w:color w:val="333333"/>
          <w:w w:val="110"/>
        </w:rPr>
        <w:t xml:space="preserve">that is based on the </w:t>
      </w:r>
      <w:proofErr w:type="gramStart"/>
      <w:r>
        <w:rPr>
          <w:rFonts w:ascii="MS Gothic"/>
          <w:color w:val="B02045"/>
          <w:w w:val="105"/>
        </w:rPr>
        <w:t>management.endpoints.web.base</w:t>
      </w:r>
      <w:proofErr w:type="gramEnd"/>
      <w:r>
        <w:rPr>
          <w:rFonts w:ascii="MS Gothic"/>
          <w:color w:val="B02045"/>
          <w:w w:val="105"/>
        </w:rPr>
        <w:t>-path</w:t>
      </w:r>
      <w:r>
        <w:rPr>
          <w:rFonts w:ascii="MS Gothic"/>
          <w:color w:val="B02045"/>
          <w:spacing w:val="-68"/>
          <w:w w:val="105"/>
        </w:rPr>
        <w:t xml:space="preserve"> </w:t>
      </w:r>
      <w:r>
        <w:rPr>
          <w:color w:val="333333"/>
          <w:spacing w:val="-3"/>
          <w:w w:val="105"/>
        </w:rPr>
        <w:t>property.</w:t>
      </w:r>
      <w:r>
        <w:rPr>
          <w:color w:val="333333"/>
          <w:spacing w:val="-4"/>
          <w:w w:val="105"/>
        </w:rPr>
        <w:t xml:space="preserve"> </w:t>
      </w:r>
      <w:r>
        <w:rPr>
          <w:rFonts w:ascii="MS Gothic"/>
          <w:color w:val="B02045"/>
          <w:w w:val="105"/>
        </w:rPr>
        <w:t>PathRequest</w:t>
      </w:r>
      <w:r>
        <w:rPr>
          <w:rFonts w:ascii="MS Gothic"/>
          <w:color w:val="B02045"/>
          <w:spacing w:val="-67"/>
          <w:w w:val="105"/>
        </w:rPr>
        <w:t xml:space="preserve"> </w:t>
      </w:r>
      <w:r>
        <w:rPr>
          <w:color w:val="333333"/>
          <w:w w:val="105"/>
        </w:rPr>
        <w:t>can</w:t>
      </w:r>
      <w:r>
        <w:rPr>
          <w:color w:val="333333"/>
          <w:spacing w:val="-6"/>
          <w:w w:val="105"/>
        </w:rPr>
        <w:t xml:space="preserve"> </w:t>
      </w:r>
      <w:r>
        <w:rPr>
          <w:color w:val="333333"/>
          <w:w w:val="105"/>
        </w:rPr>
        <w:t>be</w:t>
      </w:r>
      <w:r>
        <w:rPr>
          <w:color w:val="333333"/>
          <w:spacing w:val="-5"/>
          <w:w w:val="105"/>
        </w:rPr>
        <w:t xml:space="preserve"> </w:t>
      </w:r>
      <w:r>
        <w:rPr>
          <w:color w:val="333333"/>
          <w:w w:val="105"/>
        </w:rPr>
        <w:t>used</w:t>
      </w:r>
      <w:r>
        <w:rPr>
          <w:color w:val="333333"/>
          <w:spacing w:val="-5"/>
          <w:w w:val="105"/>
        </w:rPr>
        <w:t xml:space="preserve"> </w:t>
      </w:r>
      <w:r>
        <w:rPr>
          <w:color w:val="333333"/>
          <w:w w:val="105"/>
        </w:rPr>
        <w:t>to</w:t>
      </w:r>
      <w:r>
        <w:rPr>
          <w:color w:val="333333"/>
          <w:spacing w:val="-6"/>
          <w:w w:val="105"/>
        </w:rPr>
        <w:t xml:space="preserve"> </w:t>
      </w:r>
      <w:r>
        <w:rPr>
          <w:color w:val="333333"/>
          <w:w w:val="105"/>
        </w:rPr>
        <w:t>create</w:t>
      </w:r>
      <w:r>
        <w:rPr>
          <w:color w:val="333333"/>
          <w:spacing w:val="-5"/>
          <w:w w:val="105"/>
        </w:rPr>
        <w:t xml:space="preserve"> </w:t>
      </w:r>
      <w:r>
        <w:rPr>
          <w:color w:val="333333"/>
          <w:w w:val="105"/>
        </w:rPr>
        <w:t>a</w:t>
      </w:r>
      <w:r>
        <w:rPr>
          <w:color w:val="333333"/>
          <w:spacing w:val="-5"/>
          <w:w w:val="105"/>
        </w:rPr>
        <w:t xml:space="preserve"> </w:t>
      </w:r>
      <w:r>
        <w:rPr>
          <w:rFonts w:ascii="MS Gothic"/>
          <w:color w:val="B02045"/>
          <w:w w:val="105"/>
        </w:rPr>
        <w:t>RequestMatcher</w:t>
      </w:r>
      <w:r>
        <w:rPr>
          <w:rFonts w:ascii="MS Gothic"/>
          <w:color w:val="B02045"/>
          <w:spacing w:val="-67"/>
          <w:w w:val="105"/>
        </w:rPr>
        <w:t xml:space="preserve"> </w:t>
      </w:r>
      <w:r>
        <w:rPr>
          <w:color w:val="333333"/>
          <w:w w:val="105"/>
        </w:rPr>
        <w:t xml:space="preserve">for </w:t>
      </w:r>
      <w:r>
        <w:rPr>
          <w:color w:val="333333"/>
          <w:w w:val="110"/>
        </w:rPr>
        <w:t>resources in commonly used</w:t>
      </w:r>
      <w:r>
        <w:rPr>
          <w:color w:val="333333"/>
          <w:spacing w:val="12"/>
          <w:w w:val="110"/>
        </w:rPr>
        <w:t xml:space="preserve"> </w:t>
      </w:r>
      <w:r>
        <w:rPr>
          <w:color w:val="333333"/>
          <w:w w:val="110"/>
        </w:rPr>
        <w:t>locations.</w:t>
      </w:r>
    </w:p>
    <w:p w14:paraId="19FAB60B" w14:textId="77777777" w:rsidR="00A720EB" w:rsidRDefault="00A720EB">
      <w:pPr>
        <w:pStyle w:val="a3"/>
        <w:rPr>
          <w:sz w:val="27"/>
        </w:rPr>
      </w:pPr>
    </w:p>
    <w:p w14:paraId="42268808" w14:textId="77777777" w:rsidR="00A720EB" w:rsidRDefault="0030286B">
      <w:pPr>
        <w:pStyle w:val="3"/>
        <w:numPr>
          <w:ilvl w:val="2"/>
          <w:numId w:val="68"/>
        </w:numPr>
        <w:tabs>
          <w:tab w:val="left" w:pos="1003"/>
        </w:tabs>
        <w:ind w:left="1002" w:hanging="879"/>
      </w:pPr>
      <w:bookmarkStart w:id="297" w:name="4.10.2._WebFlux_Security"/>
      <w:bookmarkStart w:id="298" w:name="_Toc54423763"/>
      <w:bookmarkEnd w:id="297"/>
      <w:r>
        <w:rPr>
          <w:color w:val="333333"/>
          <w:spacing w:val="-3"/>
          <w:w w:val="110"/>
        </w:rPr>
        <w:t>WebFlux</w:t>
      </w:r>
      <w:r>
        <w:rPr>
          <w:color w:val="333333"/>
          <w:spacing w:val="-6"/>
          <w:w w:val="110"/>
        </w:rPr>
        <w:t xml:space="preserve"> </w:t>
      </w:r>
      <w:r>
        <w:rPr>
          <w:color w:val="333333"/>
          <w:w w:val="110"/>
        </w:rPr>
        <w:t>Security</w:t>
      </w:r>
      <w:bookmarkEnd w:id="298"/>
    </w:p>
    <w:p w14:paraId="5B3D720C" w14:textId="77777777" w:rsidR="00A720EB" w:rsidRDefault="0030286B">
      <w:pPr>
        <w:pStyle w:val="a3"/>
        <w:tabs>
          <w:tab w:val="left" w:pos="4790"/>
          <w:tab w:val="left" w:pos="6373"/>
        </w:tabs>
        <w:spacing w:before="254" w:line="288" w:lineRule="auto"/>
        <w:ind w:left="124" w:right="122"/>
        <w:jc w:val="both"/>
      </w:pPr>
      <w:r>
        <w:rPr>
          <w:color w:val="333333"/>
          <w:w w:val="110"/>
        </w:rPr>
        <w:t xml:space="preserve">Similar to Spring MVC applications, you can secure your </w:t>
      </w:r>
      <w:r>
        <w:rPr>
          <w:color w:val="333333"/>
          <w:spacing w:val="-3"/>
          <w:w w:val="110"/>
        </w:rPr>
        <w:t xml:space="preserve">WebFlux </w:t>
      </w:r>
      <w:r>
        <w:rPr>
          <w:color w:val="333333"/>
          <w:w w:val="110"/>
        </w:rPr>
        <w:t xml:space="preserve">applications </w:t>
      </w:r>
      <w:r>
        <w:rPr>
          <w:color w:val="333333"/>
          <w:spacing w:val="-3"/>
          <w:w w:val="110"/>
        </w:rPr>
        <w:t xml:space="preserve">by </w:t>
      </w:r>
      <w:r>
        <w:rPr>
          <w:color w:val="333333"/>
          <w:w w:val="110"/>
        </w:rPr>
        <w:t xml:space="preserve">adding the </w:t>
      </w:r>
      <w:r>
        <w:rPr>
          <w:rFonts w:ascii="MS Gothic" w:hAnsi="MS Gothic"/>
          <w:color w:val="B02045"/>
          <w:w w:val="110"/>
        </w:rPr>
        <w:t xml:space="preserve">spring-boot-starter-security </w:t>
      </w:r>
      <w:r>
        <w:rPr>
          <w:color w:val="333333"/>
          <w:spacing w:val="-3"/>
          <w:w w:val="110"/>
        </w:rPr>
        <w:t xml:space="preserve">dependency. </w:t>
      </w:r>
      <w:r>
        <w:rPr>
          <w:color w:val="333333"/>
          <w:w w:val="110"/>
        </w:rPr>
        <w:t xml:space="preserve">The default security configuration is implemented in </w:t>
      </w:r>
      <w:r>
        <w:rPr>
          <w:rFonts w:ascii="MS Gothic" w:hAnsi="MS Gothic"/>
          <w:color w:val="B02045"/>
        </w:rPr>
        <w:t>ReactiveSecurityAutoConfiguration</w:t>
      </w:r>
      <w:r>
        <w:rPr>
          <w:rFonts w:ascii="MS Gothic" w:hAnsi="MS Gothic"/>
          <w:color w:val="B02045"/>
        </w:rPr>
        <w:tab/>
      </w:r>
      <w:r>
        <w:rPr>
          <w:color w:val="333333"/>
          <w:w w:val="110"/>
        </w:rPr>
        <w:t>and</w:t>
      </w:r>
      <w:r>
        <w:rPr>
          <w:color w:val="333333"/>
          <w:w w:val="110"/>
        </w:rPr>
        <w:tab/>
      </w:r>
      <w:r>
        <w:rPr>
          <w:rFonts w:ascii="MS Gothic" w:hAnsi="MS Gothic"/>
          <w:color w:val="B02045"/>
          <w:spacing w:val="-1"/>
        </w:rPr>
        <w:t>UserDetailsServiceAutoConfiguration</w:t>
      </w:r>
      <w:r>
        <w:rPr>
          <w:color w:val="333333"/>
          <w:spacing w:val="-1"/>
        </w:rPr>
        <w:t xml:space="preserve">. </w:t>
      </w:r>
      <w:r>
        <w:rPr>
          <w:rFonts w:ascii="MS Gothic" w:hAnsi="MS Gothic"/>
          <w:color w:val="B02045"/>
          <w:w w:val="105"/>
        </w:rPr>
        <w:t xml:space="preserve">ReactiveSecurityAutoConfiguration </w:t>
      </w:r>
      <w:r>
        <w:rPr>
          <w:color w:val="333333"/>
          <w:w w:val="105"/>
        </w:rPr>
        <w:t xml:space="preserve">imports </w:t>
      </w:r>
      <w:r>
        <w:rPr>
          <w:rFonts w:ascii="MS Gothic" w:hAnsi="MS Gothic"/>
          <w:color w:val="B02045"/>
          <w:w w:val="105"/>
        </w:rPr>
        <w:t xml:space="preserve">WebFluxSecurityConfiguration </w:t>
      </w:r>
      <w:r>
        <w:rPr>
          <w:color w:val="333333"/>
          <w:w w:val="105"/>
        </w:rPr>
        <w:t xml:space="preserve">for web security and </w:t>
      </w:r>
      <w:r>
        <w:rPr>
          <w:rFonts w:ascii="MS Gothic" w:hAnsi="MS Gothic"/>
          <w:color w:val="B02045"/>
          <w:w w:val="110"/>
        </w:rPr>
        <w:t>UserDetailsServiceAutoConfiguration</w:t>
      </w:r>
      <w:r>
        <w:rPr>
          <w:rFonts w:ascii="MS Gothic" w:hAnsi="MS Gothic"/>
          <w:color w:val="B02045"/>
          <w:spacing w:val="-73"/>
          <w:w w:val="110"/>
        </w:rPr>
        <w:t xml:space="preserve"> </w:t>
      </w:r>
      <w:r>
        <w:rPr>
          <w:color w:val="333333"/>
          <w:w w:val="110"/>
        </w:rPr>
        <w:t>configures</w:t>
      </w:r>
      <w:r>
        <w:rPr>
          <w:color w:val="333333"/>
          <w:spacing w:val="-8"/>
          <w:w w:val="110"/>
        </w:rPr>
        <w:t xml:space="preserve"> </w:t>
      </w:r>
      <w:r>
        <w:rPr>
          <w:color w:val="333333"/>
          <w:w w:val="110"/>
        </w:rPr>
        <w:t>authentication,</w:t>
      </w:r>
      <w:r>
        <w:rPr>
          <w:color w:val="333333"/>
          <w:spacing w:val="-8"/>
          <w:w w:val="110"/>
        </w:rPr>
        <w:t xml:space="preserve"> </w:t>
      </w:r>
      <w:r>
        <w:rPr>
          <w:color w:val="333333"/>
          <w:w w:val="110"/>
        </w:rPr>
        <w:t>which</w:t>
      </w:r>
      <w:r>
        <w:rPr>
          <w:color w:val="333333"/>
          <w:spacing w:val="-8"/>
          <w:w w:val="110"/>
        </w:rPr>
        <w:t xml:space="preserve"> </w:t>
      </w:r>
      <w:r>
        <w:rPr>
          <w:color w:val="333333"/>
          <w:w w:val="110"/>
        </w:rPr>
        <w:t>is</w:t>
      </w:r>
      <w:r>
        <w:rPr>
          <w:color w:val="333333"/>
          <w:spacing w:val="-8"/>
          <w:w w:val="110"/>
        </w:rPr>
        <w:t xml:space="preserve"> </w:t>
      </w:r>
      <w:r>
        <w:rPr>
          <w:color w:val="333333"/>
          <w:w w:val="110"/>
        </w:rPr>
        <w:t>also</w:t>
      </w:r>
      <w:r>
        <w:rPr>
          <w:color w:val="333333"/>
          <w:spacing w:val="-8"/>
          <w:w w:val="110"/>
        </w:rPr>
        <w:t xml:space="preserve"> </w:t>
      </w:r>
      <w:r>
        <w:rPr>
          <w:color w:val="333333"/>
          <w:w w:val="110"/>
        </w:rPr>
        <w:t>relevant</w:t>
      </w:r>
      <w:r>
        <w:rPr>
          <w:color w:val="333333"/>
          <w:spacing w:val="-8"/>
          <w:w w:val="110"/>
        </w:rPr>
        <w:t xml:space="preserve"> </w:t>
      </w:r>
      <w:r>
        <w:rPr>
          <w:color w:val="333333"/>
          <w:w w:val="110"/>
        </w:rPr>
        <w:t>in</w:t>
      </w:r>
      <w:r>
        <w:rPr>
          <w:color w:val="333333"/>
          <w:spacing w:val="-8"/>
          <w:w w:val="110"/>
        </w:rPr>
        <w:t xml:space="preserve"> </w:t>
      </w:r>
      <w:r>
        <w:rPr>
          <w:color w:val="333333"/>
          <w:w w:val="110"/>
        </w:rPr>
        <w:t xml:space="preserve">non-web applications. </w:t>
      </w:r>
      <w:r>
        <w:rPr>
          <w:color w:val="333333"/>
          <w:spacing w:val="-4"/>
          <w:w w:val="110"/>
        </w:rPr>
        <w:t xml:space="preserve">To </w:t>
      </w:r>
      <w:r>
        <w:rPr>
          <w:color w:val="333333"/>
          <w:w w:val="110"/>
        </w:rPr>
        <w:t xml:space="preserve">switch off the default web application security configuration </w:t>
      </w:r>
      <w:proofErr w:type="gramStart"/>
      <w:r>
        <w:rPr>
          <w:color w:val="333333"/>
          <w:spacing w:val="-3"/>
          <w:w w:val="110"/>
        </w:rPr>
        <w:t xml:space="preserve">completely,  </w:t>
      </w:r>
      <w:r>
        <w:rPr>
          <w:color w:val="333333"/>
          <w:w w:val="110"/>
        </w:rPr>
        <w:t>you</w:t>
      </w:r>
      <w:proofErr w:type="gramEnd"/>
      <w:r>
        <w:rPr>
          <w:color w:val="333333"/>
          <w:w w:val="110"/>
        </w:rPr>
        <w:t xml:space="preserve"> can  add a bean of type </w:t>
      </w:r>
      <w:r>
        <w:rPr>
          <w:rFonts w:ascii="MS Gothic" w:hAnsi="MS Gothic"/>
          <w:color w:val="B02045"/>
          <w:w w:val="110"/>
        </w:rPr>
        <w:t xml:space="preserve">WebFilterChainProxy </w:t>
      </w:r>
      <w:r>
        <w:rPr>
          <w:color w:val="333333"/>
          <w:w w:val="110"/>
        </w:rPr>
        <w:t xml:space="preserve">(doing so does not disable the </w:t>
      </w:r>
      <w:r>
        <w:rPr>
          <w:rFonts w:ascii="MS Gothic" w:hAnsi="MS Gothic"/>
          <w:color w:val="B02045"/>
          <w:w w:val="110"/>
        </w:rPr>
        <w:t xml:space="preserve">UserDetailsService </w:t>
      </w:r>
      <w:r>
        <w:rPr>
          <w:color w:val="333333"/>
          <w:w w:val="110"/>
        </w:rPr>
        <w:t>configuration or Actuator’s</w:t>
      </w:r>
      <w:r>
        <w:rPr>
          <w:color w:val="333333"/>
          <w:spacing w:val="9"/>
          <w:w w:val="110"/>
        </w:rPr>
        <w:t xml:space="preserve"> </w:t>
      </w:r>
      <w:r>
        <w:rPr>
          <w:color w:val="333333"/>
          <w:w w:val="110"/>
        </w:rPr>
        <w:t>security).</w:t>
      </w:r>
    </w:p>
    <w:p w14:paraId="5F4D19B6" w14:textId="77777777" w:rsidR="00A720EB" w:rsidRDefault="00A720EB">
      <w:pPr>
        <w:pStyle w:val="a3"/>
        <w:spacing w:before="7"/>
      </w:pPr>
    </w:p>
    <w:p w14:paraId="2BE055C7" w14:textId="77777777" w:rsidR="00A720EB" w:rsidRDefault="0030286B">
      <w:pPr>
        <w:pStyle w:val="a3"/>
        <w:spacing w:before="1"/>
        <w:ind w:left="124"/>
      </w:pPr>
      <w:r>
        <w:rPr>
          <w:color w:val="333333"/>
          <w:w w:val="110"/>
        </w:rPr>
        <w:t xml:space="preserve">To also switch off the </w:t>
      </w:r>
      <w:r>
        <w:rPr>
          <w:rFonts w:ascii="MS Gothic"/>
          <w:color w:val="B02045"/>
          <w:w w:val="110"/>
        </w:rPr>
        <w:t xml:space="preserve">UserDetailsService </w:t>
      </w:r>
      <w:r>
        <w:rPr>
          <w:color w:val="333333"/>
          <w:w w:val="110"/>
        </w:rPr>
        <w:t>configuration, you can add a bean of type</w:t>
      </w:r>
    </w:p>
    <w:p w14:paraId="58477408" w14:textId="77777777" w:rsidR="00A720EB" w:rsidRDefault="0030286B">
      <w:pPr>
        <w:pStyle w:val="a3"/>
        <w:spacing w:before="46"/>
        <w:ind w:left="124"/>
        <w:jc w:val="both"/>
      </w:pPr>
      <w:r>
        <w:rPr>
          <w:rFonts w:ascii="MS Gothic"/>
          <w:color w:val="B02045"/>
        </w:rPr>
        <w:t xml:space="preserve">ReactiveUserDetailsService </w:t>
      </w:r>
      <w:r>
        <w:rPr>
          <w:color w:val="333333"/>
        </w:rPr>
        <w:t xml:space="preserve">or </w:t>
      </w:r>
      <w:r>
        <w:rPr>
          <w:rFonts w:ascii="MS Gothic"/>
          <w:color w:val="B02045"/>
        </w:rPr>
        <w:t>ReactiveAuthenticationManager</w:t>
      </w:r>
      <w:r>
        <w:rPr>
          <w:color w:val="333333"/>
        </w:rPr>
        <w:t>.</w:t>
      </w:r>
    </w:p>
    <w:p w14:paraId="483B2E59" w14:textId="77777777" w:rsidR="00A720EB" w:rsidRDefault="00A720EB">
      <w:pPr>
        <w:pStyle w:val="a3"/>
        <w:spacing w:before="4"/>
        <w:rPr>
          <w:sz w:val="25"/>
        </w:rPr>
      </w:pPr>
    </w:p>
    <w:p w14:paraId="216DE533" w14:textId="77777777" w:rsidR="00A720EB" w:rsidRDefault="0030286B">
      <w:pPr>
        <w:pStyle w:val="a3"/>
        <w:spacing w:line="292" w:lineRule="auto"/>
        <w:ind w:left="124" w:right="124"/>
        <w:jc w:val="both"/>
      </w:pPr>
      <w:r>
        <w:rPr>
          <w:color w:val="333333"/>
          <w:w w:val="110"/>
        </w:rPr>
        <w:t xml:space="preserve">Access rules and the use of multiple Spring Security components such as </w:t>
      </w:r>
      <w:r>
        <w:rPr>
          <w:color w:val="333333"/>
          <w:spacing w:val="-3"/>
          <w:w w:val="110"/>
        </w:rPr>
        <w:t xml:space="preserve">OAuth </w:t>
      </w:r>
      <w:r>
        <w:rPr>
          <w:color w:val="333333"/>
          <w:w w:val="110"/>
        </w:rPr>
        <w:t xml:space="preserve">2 Client </w:t>
      </w:r>
      <w:proofErr w:type="gramStart"/>
      <w:r>
        <w:rPr>
          <w:color w:val="333333"/>
          <w:w w:val="110"/>
        </w:rPr>
        <w:t>and  Resource</w:t>
      </w:r>
      <w:proofErr w:type="gramEnd"/>
      <w:r>
        <w:rPr>
          <w:color w:val="333333"/>
          <w:w w:val="110"/>
        </w:rPr>
        <w:t xml:space="preserve"> Server can be configured </w:t>
      </w:r>
      <w:r>
        <w:rPr>
          <w:color w:val="333333"/>
          <w:spacing w:val="-3"/>
          <w:w w:val="110"/>
        </w:rPr>
        <w:t xml:space="preserve">by </w:t>
      </w:r>
      <w:r>
        <w:rPr>
          <w:color w:val="333333"/>
          <w:w w:val="110"/>
        </w:rPr>
        <w:t xml:space="preserve">adding a custom </w:t>
      </w:r>
      <w:r>
        <w:rPr>
          <w:rFonts w:ascii="MS Gothic"/>
          <w:color w:val="B02045"/>
          <w:w w:val="110"/>
        </w:rPr>
        <w:t xml:space="preserve">SecurityWebFilterChain </w:t>
      </w:r>
      <w:r>
        <w:rPr>
          <w:color w:val="333333"/>
          <w:w w:val="110"/>
        </w:rPr>
        <w:t>bean. Spring Boot provides convenience methods that can be used to override access rules for actuator endpoints and static</w:t>
      </w:r>
      <w:r>
        <w:rPr>
          <w:color w:val="333333"/>
          <w:spacing w:val="-11"/>
          <w:w w:val="110"/>
        </w:rPr>
        <w:t xml:space="preserve"> </w:t>
      </w:r>
      <w:r>
        <w:rPr>
          <w:color w:val="333333"/>
          <w:w w:val="110"/>
        </w:rPr>
        <w:t>resources.</w:t>
      </w:r>
      <w:r>
        <w:rPr>
          <w:color w:val="333333"/>
          <w:spacing w:val="-9"/>
          <w:w w:val="110"/>
        </w:rPr>
        <w:t xml:space="preserve"> </w:t>
      </w:r>
      <w:r>
        <w:rPr>
          <w:rFonts w:ascii="MS Gothic"/>
          <w:color w:val="B02045"/>
          <w:w w:val="110"/>
        </w:rPr>
        <w:t>EndpointRequest</w:t>
      </w:r>
      <w:r>
        <w:rPr>
          <w:rFonts w:ascii="MS Gothic"/>
          <w:color w:val="B02045"/>
          <w:spacing w:val="-74"/>
          <w:w w:val="110"/>
        </w:rPr>
        <w:t xml:space="preserve"> </w:t>
      </w:r>
      <w:r>
        <w:rPr>
          <w:color w:val="333333"/>
          <w:w w:val="110"/>
        </w:rPr>
        <w:t>can</w:t>
      </w:r>
      <w:r>
        <w:rPr>
          <w:color w:val="333333"/>
          <w:spacing w:val="-10"/>
          <w:w w:val="110"/>
        </w:rPr>
        <w:t xml:space="preserve"> </w:t>
      </w:r>
      <w:r>
        <w:rPr>
          <w:color w:val="333333"/>
          <w:w w:val="110"/>
        </w:rPr>
        <w:t>be</w:t>
      </w:r>
      <w:r>
        <w:rPr>
          <w:color w:val="333333"/>
          <w:spacing w:val="-11"/>
          <w:w w:val="110"/>
        </w:rPr>
        <w:t xml:space="preserve"> </w:t>
      </w:r>
      <w:r>
        <w:rPr>
          <w:color w:val="333333"/>
          <w:w w:val="110"/>
        </w:rPr>
        <w:t>used</w:t>
      </w:r>
      <w:r>
        <w:rPr>
          <w:color w:val="333333"/>
          <w:spacing w:val="-10"/>
          <w:w w:val="110"/>
        </w:rPr>
        <w:t xml:space="preserve"> </w:t>
      </w:r>
      <w:r>
        <w:rPr>
          <w:color w:val="333333"/>
          <w:w w:val="110"/>
        </w:rPr>
        <w:t>to</w:t>
      </w:r>
      <w:r>
        <w:rPr>
          <w:color w:val="333333"/>
          <w:spacing w:val="-10"/>
          <w:w w:val="110"/>
        </w:rPr>
        <w:t xml:space="preserve"> </w:t>
      </w:r>
      <w:r>
        <w:rPr>
          <w:color w:val="333333"/>
          <w:w w:val="110"/>
        </w:rPr>
        <w:t>create</w:t>
      </w:r>
      <w:r>
        <w:rPr>
          <w:color w:val="333333"/>
          <w:spacing w:val="-10"/>
          <w:w w:val="110"/>
        </w:rPr>
        <w:t xml:space="preserve"> </w:t>
      </w:r>
      <w:r>
        <w:rPr>
          <w:color w:val="333333"/>
          <w:w w:val="110"/>
        </w:rPr>
        <w:t>a</w:t>
      </w:r>
      <w:r>
        <w:rPr>
          <w:color w:val="333333"/>
          <w:spacing w:val="-9"/>
          <w:w w:val="110"/>
        </w:rPr>
        <w:t xml:space="preserve"> </w:t>
      </w:r>
      <w:r>
        <w:rPr>
          <w:rFonts w:ascii="MS Gothic"/>
          <w:color w:val="B02045"/>
          <w:w w:val="110"/>
        </w:rPr>
        <w:t>ServerWebExchangeMatcher</w:t>
      </w:r>
      <w:r>
        <w:rPr>
          <w:rFonts w:ascii="MS Gothic"/>
          <w:color w:val="B02045"/>
          <w:spacing w:val="-74"/>
          <w:w w:val="110"/>
        </w:rPr>
        <w:t xml:space="preserve"> </w:t>
      </w:r>
      <w:r>
        <w:rPr>
          <w:color w:val="333333"/>
          <w:w w:val="110"/>
        </w:rPr>
        <w:t>that</w:t>
      </w:r>
      <w:r>
        <w:rPr>
          <w:color w:val="333333"/>
          <w:spacing w:val="-10"/>
          <w:w w:val="110"/>
        </w:rPr>
        <w:t xml:space="preserve"> </w:t>
      </w:r>
      <w:r>
        <w:rPr>
          <w:color w:val="333333"/>
          <w:w w:val="110"/>
        </w:rPr>
        <w:t>is</w:t>
      </w:r>
      <w:r>
        <w:rPr>
          <w:color w:val="333333"/>
          <w:spacing w:val="-10"/>
          <w:w w:val="110"/>
        </w:rPr>
        <w:t xml:space="preserve"> </w:t>
      </w:r>
      <w:r>
        <w:rPr>
          <w:color w:val="333333"/>
          <w:w w:val="110"/>
        </w:rPr>
        <w:t>based</w:t>
      </w:r>
      <w:r>
        <w:rPr>
          <w:color w:val="333333"/>
          <w:spacing w:val="-10"/>
          <w:w w:val="110"/>
        </w:rPr>
        <w:t xml:space="preserve"> </w:t>
      </w:r>
      <w:r>
        <w:rPr>
          <w:color w:val="333333"/>
          <w:w w:val="110"/>
        </w:rPr>
        <w:t xml:space="preserve">on the </w:t>
      </w:r>
      <w:proofErr w:type="gramStart"/>
      <w:r>
        <w:rPr>
          <w:rFonts w:ascii="MS Gothic"/>
          <w:color w:val="B02045"/>
          <w:w w:val="110"/>
        </w:rPr>
        <w:t>management.endpoints.web.base</w:t>
      </w:r>
      <w:proofErr w:type="gramEnd"/>
      <w:r>
        <w:rPr>
          <w:rFonts w:ascii="MS Gothic"/>
          <w:color w:val="B02045"/>
          <w:w w:val="110"/>
        </w:rPr>
        <w:t>-path</w:t>
      </w:r>
      <w:r>
        <w:rPr>
          <w:rFonts w:ascii="MS Gothic"/>
          <w:color w:val="B02045"/>
          <w:spacing w:val="-67"/>
          <w:w w:val="110"/>
        </w:rPr>
        <w:t xml:space="preserve"> </w:t>
      </w:r>
      <w:r>
        <w:rPr>
          <w:color w:val="333333"/>
          <w:spacing w:val="-3"/>
          <w:w w:val="110"/>
        </w:rPr>
        <w:t>property.</w:t>
      </w:r>
    </w:p>
    <w:p w14:paraId="0FFE9957" w14:textId="77777777" w:rsidR="00A720EB" w:rsidRDefault="0030286B">
      <w:pPr>
        <w:pStyle w:val="a3"/>
        <w:spacing w:before="222" w:line="290" w:lineRule="auto"/>
        <w:ind w:left="124" w:right="123"/>
        <w:jc w:val="both"/>
      </w:pPr>
      <w:r>
        <w:rPr>
          <w:rFonts w:ascii="MS Gothic"/>
          <w:color w:val="B02045"/>
          <w:w w:val="110"/>
        </w:rPr>
        <w:t xml:space="preserve">PathRequest </w:t>
      </w:r>
      <w:r>
        <w:rPr>
          <w:color w:val="333333"/>
          <w:w w:val="110"/>
        </w:rPr>
        <w:t xml:space="preserve">can be used to create a </w:t>
      </w:r>
      <w:r>
        <w:rPr>
          <w:rFonts w:ascii="MS Gothic"/>
          <w:color w:val="B02045"/>
          <w:w w:val="110"/>
        </w:rPr>
        <w:t xml:space="preserve">ServerWebExchangeMatcher </w:t>
      </w:r>
      <w:r>
        <w:rPr>
          <w:color w:val="333333"/>
          <w:w w:val="110"/>
        </w:rPr>
        <w:t>for resources in commonly used locations.</w:t>
      </w:r>
    </w:p>
    <w:p w14:paraId="354D60D8" w14:textId="77777777" w:rsidR="00A720EB" w:rsidRDefault="00A720EB">
      <w:pPr>
        <w:pStyle w:val="a3"/>
        <w:rPr>
          <w:sz w:val="22"/>
        </w:rPr>
      </w:pPr>
    </w:p>
    <w:p w14:paraId="748907D2" w14:textId="77777777" w:rsidR="00A720EB" w:rsidRDefault="0030286B">
      <w:pPr>
        <w:pStyle w:val="a3"/>
        <w:ind w:left="124"/>
      </w:pPr>
      <w:r>
        <w:rPr>
          <w:color w:val="333333"/>
          <w:w w:val="110"/>
        </w:rPr>
        <w:t>For example, you can customize your security configuration by adding something like:</w:t>
      </w:r>
    </w:p>
    <w:p w14:paraId="47FDFCD3" w14:textId="77777777" w:rsidR="00A720EB" w:rsidRDefault="00A720EB">
      <w:pPr>
        <w:sectPr w:rsidR="00A720EB">
          <w:pgSz w:w="11910" w:h="16840"/>
          <w:pgMar w:top="640" w:right="840" w:bottom="520" w:left="840" w:header="0" w:footer="323" w:gutter="0"/>
          <w:cols w:space="720"/>
        </w:sectPr>
      </w:pPr>
    </w:p>
    <w:p w14:paraId="75D8F61A" w14:textId="77777777" w:rsidR="00A720EB" w:rsidRDefault="00E10349">
      <w:pPr>
        <w:pStyle w:val="a3"/>
        <w:ind w:left="116"/>
        <w:rPr>
          <w:sz w:val="20"/>
        </w:rPr>
      </w:pPr>
      <w:r>
        <w:rPr>
          <w:sz w:val="20"/>
        </w:rPr>
      </w:r>
      <w:r>
        <w:rPr>
          <w:sz w:val="20"/>
        </w:rPr>
        <w:pict w14:anchorId="3F1276B9">
          <v:group id="_x0000_s4240" style="width:499.55pt;height:170.15pt;mso-position-horizontal-relative:char;mso-position-vertical-relative:line" coordsize="9991,3403">
            <v:shape id="_x0000_s4243" style="position:absolute;left:7;top:7;width:9976;height:3388" coordorigin="8,8" coordsize="9976,3388" path="m9904,8l88,8,56,14,31,31,14,56,8,88r,3227l14,3347r17,25l56,3389r32,6l9904,3395r31,-6l9960,3372r17,-25l9984,3315r,-3227l9977,56,9960,31,9935,14,9904,8xe" fillcolor="#f5f5f5" stroked="f">
              <v:path arrowok="t"/>
            </v:shape>
            <v:shape id="_x0000_s4242" style="position:absolute;left:7;top:7;width:9976;height:3388" coordorigin="8,8" coordsize="9976,3388" path="m88,8r9816,l9935,14r25,17l9977,56r7,32l9984,3315r-7,32l9960,3372r-25,17l9904,3395r-9816,l56,3389,31,3372,14,3347,8,3315,8,88,14,56,31,31,56,14,88,8xe" filled="f" strokecolor="#ccc">
              <v:path arrowok="t"/>
            </v:shape>
            <v:shape id="_x0000_s4241" type="#_x0000_t202" style="position:absolute;left:26;top:22;width:9938;height:3358" filled="f" stroked="f">
              <v:textbox inset="0,0,0,0">
                <w:txbxContent>
                  <w:p w14:paraId="7ED3548D" w14:textId="77777777" w:rsidR="00711A16" w:rsidRDefault="00711A16">
                    <w:pPr>
                      <w:spacing w:before="221"/>
                      <w:ind w:left="200"/>
                      <w:rPr>
                        <w:rFonts w:ascii="MS Gothic"/>
                      </w:rPr>
                    </w:pPr>
                    <w:r>
                      <w:rPr>
                        <w:rFonts w:ascii="MS Gothic"/>
                        <w:color w:val="333333"/>
                      </w:rPr>
                      <w:t>@Bean</w:t>
                    </w:r>
                  </w:p>
                  <w:p w14:paraId="0C5F923F" w14:textId="77777777" w:rsidR="00711A16" w:rsidRDefault="00711A16">
                    <w:pPr>
                      <w:spacing w:before="13" w:line="252" w:lineRule="auto"/>
                      <w:ind w:left="640" w:right="698" w:hanging="440"/>
                      <w:rPr>
                        <w:rFonts w:ascii="MS Gothic"/>
                      </w:rPr>
                    </w:pPr>
                    <w:r>
                      <w:rPr>
                        <w:rFonts w:ascii="MS Gothic"/>
                        <w:color w:val="333333"/>
                      </w:rPr>
                      <w:t xml:space="preserve">public SecurityWebFilterChain </w:t>
                    </w:r>
                    <w:proofErr w:type="gramStart"/>
                    <w:r>
                      <w:rPr>
                        <w:rFonts w:ascii="MS Gothic"/>
                        <w:color w:val="333333"/>
                      </w:rPr>
                      <w:t>springSecurityFilterChain(</w:t>
                    </w:r>
                    <w:proofErr w:type="gramEnd"/>
                    <w:r>
                      <w:rPr>
                        <w:rFonts w:ascii="MS Gothic"/>
                        <w:color w:val="333333"/>
                      </w:rPr>
                      <w:t>ServerHttpSecurity http) { return http</w:t>
                    </w:r>
                  </w:p>
                  <w:p w14:paraId="497A3974" w14:textId="77777777" w:rsidR="00711A16" w:rsidRDefault="00711A16">
                    <w:pPr>
                      <w:spacing w:line="280" w:lineRule="exact"/>
                      <w:ind w:left="1080"/>
                      <w:rPr>
                        <w:rFonts w:ascii="MS Gothic"/>
                      </w:rPr>
                    </w:pPr>
                    <w:proofErr w:type="gramStart"/>
                    <w:r>
                      <w:rPr>
                        <w:rFonts w:ascii="MS Gothic"/>
                        <w:color w:val="333333"/>
                      </w:rPr>
                      <w:t>.authorizeExchange</w:t>
                    </w:r>
                    <w:proofErr w:type="gramEnd"/>
                    <w:r>
                      <w:rPr>
                        <w:rFonts w:ascii="MS Gothic"/>
                        <w:color w:val="333333"/>
                      </w:rPr>
                      <w:t>()</w:t>
                    </w:r>
                  </w:p>
                  <w:p w14:paraId="70FAE450" w14:textId="77777777" w:rsidR="00711A16" w:rsidRDefault="00711A16">
                    <w:pPr>
                      <w:spacing w:before="13"/>
                      <w:ind w:left="1520"/>
                      <w:rPr>
                        <w:rFonts w:ascii="MS Gothic"/>
                      </w:rPr>
                    </w:pPr>
                    <w:proofErr w:type="gramStart"/>
                    <w:r>
                      <w:rPr>
                        <w:rFonts w:ascii="MS Gothic"/>
                        <w:color w:val="333333"/>
                      </w:rPr>
                      <w:t>.matchers</w:t>
                    </w:r>
                    <w:proofErr w:type="gramEnd"/>
                    <w:r>
                      <w:rPr>
                        <w:rFonts w:ascii="MS Gothic"/>
                        <w:color w:val="333333"/>
                      </w:rPr>
                      <w:t>(PathRequest.toStaticResources().atCommonLocations()).permitAll()</w:t>
                    </w:r>
                  </w:p>
                  <w:p w14:paraId="6415D4B6" w14:textId="77777777" w:rsidR="00711A16" w:rsidRDefault="00711A16">
                    <w:pPr>
                      <w:spacing w:before="13"/>
                      <w:ind w:left="1520"/>
                      <w:rPr>
                        <w:rFonts w:ascii="MS Gothic"/>
                      </w:rPr>
                    </w:pPr>
                    <w:proofErr w:type="gramStart"/>
                    <w:r>
                      <w:rPr>
                        <w:rFonts w:ascii="MS Gothic"/>
                        <w:color w:val="333333"/>
                      </w:rPr>
                      <w:t>.pathMatchers</w:t>
                    </w:r>
                    <w:proofErr w:type="gramEnd"/>
                    <w:r>
                      <w:rPr>
                        <w:rFonts w:ascii="MS Gothic"/>
                        <w:color w:val="333333"/>
                      </w:rPr>
                      <w:t>("/foo", "/bar")</w:t>
                    </w:r>
                  </w:p>
                  <w:p w14:paraId="348E2980" w14:textId="77777777" w:rsidR="00711A16" w:rsidRDefault="00711A16">
                    <w:pPr>
                      <w:spacing w:before="12"/>
                      <w:ind w:left="1960"/>
                      <w:rPr>
                        <w:rFonts w:ascii="MS Gothic"/>
                      </w:rPr>
                    </w:pPr>
                    <w:proofErr w:type="gramStart"/>
                    <w:r>
                      <w:rPr>
                        <w:rFonts w:ascii="MS Gothic"/>
                        <w:color w:val="333333"/>
                      </w:rPr>
                      <w:t>.authenticated</w:t>
                    </w:r>
                    <w:proofErr w:type="gramEnd"/>
                    <w:r>
                      <w:rPr>
                        <w:rFonts w:ascii="MS Gothic"/>
                        <w:color w:val="333333"/>
                      </w:rPr>
                      <w:t>().and()</w:t>
                    </w:r>
                  </w:p>
                  <w:p w14:paraId="4CDAF61B" w14:textId="77777777" w:rsidR="00711A16" w:rsidRDefault="00711A16">
                    <w:pPr>
                      <w:spacing w:before="13"/>
                      <w:ind w:left="1520"/>
                      <w:rPr>
                        <w:rFonts w:ascii="MS Gothic"/>
                      </w:rPr>
                    </w:pPr>
                    <w:proofErr w:type="gramStart"/>
                    <w:r>
                      <w:rPr>
                        <w:rFonts w:ascii="MS Gothic"/>
                        <w:color w:val="333333"/>
                      </w:rPr>
                      <w:t>.formLogin</w:t>
                    </w:r>
                    <w:proofErr w:type="gramEnd"/>
                    <w:r>
                      <w:rPr>
                        <w:rFonts w:ascii="MS Gothic"/>
                        <w:color w:val="333333"/>
                      </w:rPr>
                      <w:t>().and()</w:t>
                    </w:r>
                  </w:p>
                  <w:p w14:paraId="07204526" w14:textId="77777777" w:rsidR="00711A16" w:rsidRDefault="00711A16">
                    <w:pPr>
                      <w:spacing w:before="13"/>
                      <w:ind w:left="1080"/>
                      <w:rPr>
                        <w:rFonts w:ascii="MS Gothic"/>
                      </w:rPr>
                    </w:pPr>
                    <w:proofErr w:type="gramStart"/>
                    <w:r>
                      <w:rPr>
                        <w:rFonts w:ascii="MS Gothic"/>
                        <w:color w:val="333333"/>
                      </w:rPr>
                      <w:t>.build</w:t>
                    </w:r>
                    <w:proofErr w:type="gramEnd"/>
                    <w:r>
                      <w:rPr>
                        <w:rFonts w:ascii="MS Gothic"/>
                        <w:color w:val="333333"/>
                      </w:rPr>
                      <w:t>();</w:t>
                    </w:r>
                  </w:p>
                  <w:p w14:paraId="7C098663" w14:textId="77777777" w:rsidR="00711A16" w:rsidRDefault="00711A16">
                    <w:pPr>
                      <w:spacing w:before="13"/>
                      <w:ind w:left="200"/>
                      <w:rPr>
                        <w:rFonts w:ascii="MS Gothic"/>
                      </w:rPr>
                    </w:pPr>
                    <w:r>
                      <w:rPr>
                        <w:rFonts w:ascii="MS Gothic"/>
                        <w:color w:val="333333"/>
                      </w:rPr>
                      <w:t>}</w:t>
                    </w:r>
                  </w:p>
                </w:txbxContent>
              </v:textbox>
            </v:shape>
            <w10:anchorlock/>
          </v:group>
        </w:pict>
      </w:r>
    </w:p>
    <w:p w14:paraId="1F664047" w14:textId="77777777" w:rsidR="00A720EB" w:rsidRDefault="00A720EB">
      <w:pPr>
        <w:pStyle w:val="a3"/>
        <w:spacing w:before="1"/>
        <w:rPr>
          <w:sz w:val="17"/>
        </w:rPr>
      </w:pPr>
    </w:p>
    <w:p w14:paraId="30BCAEF3" w14:textId="77777777" w:rsidR="00A720EB" w:rsidRDefault="0030286B">
      <w:pPr>
        <w:pStyle w:val="3"/>
        <w:numPr>
          <w:ilvl w:val="2"/>
          <w:numId w:val="68"/>
        </w:numPr>
        <w:tabs>
          <w:tab w:val="left" w:pos="1003"/>
        </w:tabs>
        <w:spacing w:before="105"/>
        <w:ind w:left="1002" w:hanging="879"/>
      </w:pPr>
      <w:bookmarkStart w:id="299" w:name="4.10.3._OAuth2"/>
      <w:bookmarkStart w:id="300" w:name="_Toc54423764"/>
      <w:bookmarkEnd w:id="299"/>
      <w:r>
        <w:rPr>
          <w:color w:val="333333"/>
          <w:spacing w:val="-3"/>
          <w:w w:val="105"/>
        </w:rPr>
        <w:t>OAuth2</w:t>
      </w:r>
      <w:bookmarkEnd w:id="300"/>
    </w:p>
    <w:p w14:paraId="51905ADF" w14:textId="77777777" w:rsidR="00A720EB" w:rsidRDefault="00E10349">
      <w:pPr>
        <w:pStyle w:val="a3"/>
        <w:spacing w:before="254"/>
        <w:ind w:left="124"/>
      </w:pPr>
      <w:hyperlink r:id="rId178">
        <w:r w:rsidR="0030286B">
          <w:rPr>
            <w:color w:val="418BCA"/>
            <w:w w:val="110"/>
          </w:rPr>
          <w:t xml:space="preserve">OAuth2 </w:t>
        </w:r>
      </w:hyperlink>
      <w:r w:rsidR="0030286B">
        <w:rPr>
          <w:color w:val="333333"/>
          <w:w w:val="110"/>
        </w:rPr>
        <w:t>is a widely used authorization framework that is supported by Spring.</w:t>
      </w:r>
    </w:p>
    <w:p w14:paraId="29FAF880" w14:textId="77777777" w:rsidR="00A720EB" w:rsidRDefault="00A720EB">
      <w:pPr>
        <w:pStyle w:val="a3"/>
        <w:spacing w:before="6"/>
        <w:rPr>
          <w:sz w:val="31"/>
        </w:rPr>
      </w:pPr>
    </w:p>
    <w:p w14:paraId="1C1C1806" w14:textId="77777777" w:rsidR="00A720EB" w:rsidRDefault="0030286B">
      <w:pPr>
        <w:pStyle w:val="4"/>
        <w:jc w:val="left"/>
      </w:pPr>
      <w:bookmarkStart w:id="301" w:name="Client"/>
      <w:bookmarkEnd w:id="301"/>
      <w:r>
        <w:rPr>
          <w:color w:val="333333"/>
          <w:w w:val="105"/>
        </w:rPr>
        <w:t>Client</w:t>
      </w:r>
    </w:p>
    <w:p w14:paraId="7CD269A1" w14:textId="77777777" w:rsidR="00A720EB" w:rsidRDefault="0030286B">
      <w:pPr>
        <w:pStyle w:val="a3"/>
        <w:spacing w:before="244" w:line="292" w:lineRule="auto"/>
        <w:ind w:left="124" w:right="127"/>
        <w:jc w:val="both"/>
      </w:pPr>
      <w:r>
        <w:rPr>
          <w:color w:val="333333"/>
          <w:w w:val="110"/>
        </w:rPr>
        <w:t>If</w:t>
      </w:r>
      <w:r>
        <w:rPr>
          <w:color w:val="333333"/>
          <w:spacing w:val="-10"/>
          <w:w w:val="110"/>
        </w:rPr>
        <w:t xml:space="preserve"> </w:t>
      </w:r>
      <w:r>
        <w:rPr>
          <w:color w:val="333333"/>
          <w:w w:val="110"/>
        </w:rPr>
        <w:t>you</w:t>
      </w:r>
      <w:r>
        <w:rPr>
          <w:color w:val="333333"/>
          <w:spacing w:val="-9"/>
          <w:w w:val="110"/>
        </w:rPr>
        <w:t xml:space="preserve"> </w:t>
      </w:r>
      <w:r>
        <w:rPr>
          <w:color w:val="333333"/>
          <w:w w:val="110"/>
        </w:rPr>
        <w:t>have</w:t>
      </w:r>
      <w:r>
        <w:rPr>
          <w:color w:val="333333"/>
          <w:spacing w:val="-8"/>
          <w:w w:val="110"/>
        </w:rPr>
        <w:t xml:space="preserve"> </w:t>
      </w:r>
      <w:r>
        <w:rPr>
          <w:rFonts w:ascii="MS Gothic"/>
          <w:color w:val="B02045"/>
          <w:w w:val="110"/>
        </w:rPr>
        <w:t>spring-security-oauth2-client</w:t>
      </w:r>
      <w:r>
        <w:rPr>
          <w:rFonts w:ascii="MS Gothic"/>
          <w:color w:val="B02045"/>
          <w:spacing w:val="-73"/>
          <w:w w:val="110"/>
        </w:rPr>
        <w:t xml:space="preserve"> </w:t>
      </w:r>
      <w:r>
        <w:rPr>
          <w:color w:val="333333"/>
          <w:w w:val="110"/>
        </w:rPr>
        <w:t>on</w:t>
      </w:r>
      <w:r>
        <w:rPr>
          <w:color w:val="333333"/>
          <w:spacing w:val="-10"/>
          <w:w w:val="110"/>
        </w:rPr>
        <w:t xml:space="preserve"> </w:t>
      </w:r>
      <w:r>
        <w:rPr>
          <w:color w:val="333333"/>
          <w:w w:val="110"/>
        </w:rPr>
        <w:t>your</w:t>
      </w:r>
      <w:r>
        <w:rPr>
          <w:color w:val="333333"/>
          <w:spacing w:val="-9"/>
          <w:w w:val="110"/>
        </w:rPr>
        <w:t xml:space="preserve"> </w:t>
      </w:r>
      <w:r>
        <w:rPr>
          <w:color w:val="333333"/>
          <w:w w:val="110"/>
        </w:rPr>
        <w:t>classpath,</w:t>
      </w:r>
      <w:r>
        <w:rPr>
          <w:color w:val="333333"/>
          <w:spacing w:val="-9"/>
          <w:w w:val="110"/>
        </w:rPr>
        <w:t xml:space="preserve"> </w:t>
      </w:r>
      <w:r>
        <w:rPr>
          <w:color w:val="333333"/>
          <w:w w:val="110"/>
        </w:rPr>
        <w:t>you</w:t>
      </w:r>
      <w:r>
        <w:rPr>
          <w:color w:val="333333"/>
          <w:spacing w:val="-10"/>
          <w:w w:val="110"/>
        </w:rPr>
        <w:t xml:space="preserve"> </w:t>
      </w:r>
      <w:r>
        <w:rPr>
          <w:color w:val="333333"/>
          <w:w w:val="110"/>
        </w:rPr>
        <w:t>can</w:t>
      </w:r>
      <w:r>
        <w:rPr>
          <w:color w:val="333333"/>
          <w:spacing w:val="-9"/>
          <w:w w:val="110"/>
        </w:rPr>
        <w:t xml:space="preserve"> </w:t>
      </w:r>
      <w:r>
        <w:rPr>
          <w:color w:val="333333"/>
          <w:w w:val="110"/>
        </w:rPr>
        <w:t>take</w:t>
      </w:r>
      <w:r>
        <w:rPr>
          <w:color w:val="333333"/>
          <w:spacing w:val="-9"/>
          <w:w w:val="110"/>
        </w:rPr>
        <w:t xml:space="preserve"> </w:t>
      </w:r>
      <w:r>
        <w:rPr>
          <w:color w:val="333333"/>
          <w:w w:val="110"/>
        </w:rPr>
        <w:t>advantage</w:t>
      </w:r>
      <w:r>
        <w:rPr>
          <w:color w:val="333333"/>
          <w:spacing w:val="-10"/>
          <w:w w:val="110"/>
        </w:rPr>
        <w:t xml:space="preserve"> </w:t>
      </w:r>
      <w:r>
        <w:rPr>
          <w:color w:val="333333"/>
          <w:w w:val="110"/>
        </w:rPr>
        <w:t>of</w:t>
      </w:r>
      <w:r>
        <w:rPr>
          <w:color w:val="333333"/>
          <w:spacing w:val="-9"/>
          <w:w w:val="110"/>
        </w:rPr>
        <w:t xml:space="preserve"> </w:t>
      </w:r>
      <w:r>
        <w:rPr>
          <w:color w:val="333333"/>
          <w:w w:val="110"/>
        </w:rPr>
        <w:t>some</w:t>
      </w:r>
      <w:r>
        <w:rPr>
          <w:color w:val="333333"/>
          <w:spacing w:val="-9"/>
          <w:w w:val="110"/>
        </w:rPr>
        <w:t xml:space="preserve"> </w:t>
      </w:r>
      <w:r>
        <w:rPr>
          <w:color w:val="333333"/>
          <w:w w:val="110"/>
        </w:rPr>
        <w:t xml:space="preserve">auto- configuration to set up an OAuth2/Open ID Connect clients. This configuration makes use of the properties under </w:t>
      </w:r>
      <w:r>
        <w:rPr>
          <w:rFonts w:ascii="MS Gothic"/>
          <w:color w:val="B02045"/>
          <w:w w:val="110"/>
        </w:rPr>
        <w:t>OAuth2ClientProperties</w:t>
      </w:r>
      <w:r>
        <w:rPr>
          <w:color w:val="333333"/>
          <w:w w:val="110"/>
        </w:rPr>
        <w:t>. The same properties are applicable to both servlet and reactive</w:t>
      </w:r>
      <w:r>
        <w:rPr>
          <w:color w:val="333333"/>
          <w:spacing w:val="3"/>
          <w:w w:val="110"/>
        </w:rPr>
        <w:t xml:space="preserve"> </w:t>
      </w:r>
      <w:r>
        <w:rPr>
          <w:color w:val="333333"/>
          <w:w w:val="110"/>
        </w:rPr>
        <w:t>applications.</w:t>
      </w:r>
    </w:p>
    <w:p w14:paraId="2F2B4252" w14:textId="77777777" w:rsidR="00A720EB" w:rsidRDefault="0030286B">
      <w:pPr>
        <w:pStyle w:val="a3"/>
        <w:spacing w:before="245"/>
        <w:ind w:left="124"/>
        <w:rPr>
          <w:rFonts w:ascii="MS Gothic"/>
        </w:rPr>
      </w:pPr>
      <w:r>
        <w:rPr>
          <w:color w:val="333333"/>
          <w:w w:val="110"/>
        </w:rPr>
        <w:t xml:space="preserve">You can register multiple OAuth2 clients and providers under the </w:t>
      </w:r>
      <w:proofErr w:type="gramStart"/>
      <w:r>
        <w:rPr>
          <w:rFonts w:ascii="MS Gothic"/>
          <w:color w:val="B02045"/>
          <w:w w:val="110"/>
        </w:rPr>
        <w:t>spring.security</w:t>
      </w:r>
      <w:proofErr w:type="gramEnd"/>
      <w:r>
        <w:rPr>
          <w:rFonts w:ascii="MS Gothic"/>
          <w:color w:val="B02045"/>
          <w:w w:val="110"/>
        </w:rPr>
        <w:t>.oauth2.client</w:t>
      </w:r>
    </w:p>
    <w:p w14:paraId="299C0EF2" w14:textId="77777777" w:rsidR="00A720EB" w:rsidRDefault="0030286B">
      <w:pPr>
        <w:pStyle w:val="a3"/>
        <w:spacing w:before="57"/>
        <w:ind w:left="124"/>
      </w:pPr>
      <w:r>
        <w:rPr>
          <w:color w:val="333333"/>
          <w:w w:val="115"/>
        </w:rPr>
        <w:t>prefix, as shown in the following example:</w:t>
      </w:r>
    </w:p>
    <w:p w14:paraId="62F61482" w14:textId="77777777" w:rsidR="00A720EB" w:rsidRDefault="00A720EB">
      <w:pPr>
        <w:sectPr w:rsidR="00A720EB">
          <w:pgSz w:w="11910" w:h="16840"/>
          <w:pgMar w:top="700" w:right="840" w:bottom="520" w:left="840" w:header="0" w:footer="323" w:gutter="0"/>
          <w:cols w:space="720"/>
        </w:sectPr>
      </w:pPr>
    </w:p>
    <w:p w14:paraId="157D9AB8" w14:textId="77777777" w:rsidR="00A720EB" w:rsidRDefault="00A720EB">
      <w:pPr>
        <w:pStyle w:val="a3"/>
        <w:spacing w:before="4"/>
        <w:rPr>
          <w:sz w:val="10"/>
        </w:rPr>
      </w:pPr>
    </w:p>
    <w:p w14:paraId="0EA53001" w14:textId="77777777" w:rsidR="00A720EB" w:rsidRDefault="00E10349">
      <w:pPr>
        <w:spacing w:before="117" w:line="252" w:lineRule="auto"/>
        <w:ind w:left="344" w:right="858"/>
        <w:rPr>
          <w:rFonts w:ascii="MS Gothic"/>
        </w:rPr>
      </w:pPr>
      <w:r>
        <w:pict w14:anchorId="42617A7D">
          <v:group id="_x0000_s4237" style="position:absolute;left:0;text-align:left;margin-left:47.85pt;margin-top:-6.35pt;width:499.55pt;height:568.15pt;z-index:-41589248;mso-position-horizontal-relative:page" coordorigin="957,-127" coordsize="9991,11363">
            <v:shape id="_x0000_s4239" style="position:absolute;left:964;top:-120;width:9976;height:11348" coordorigin="965,-119" coordsize="9976,11348" path="m10861,-119r-9816,l1014,-113r-26,17l971,-71r-6,32l965,11148r6,31l988,11205r26,17l1045,11228r9816,l10892,11222r25,-17l10935,11179r6,-31l10941,-39r-6,-32l10917,-96r-25,-17l10861,-119xe" fillcolor="#f5f5f5" stroked="f">
              <v:path arrowok="t"/>
            </v:shape>
            <v:shape id="_x0000_s4238" style="position:absolute;left:964;top:-120;width:9976;height:11348" coordorigin="965,-119" coordsize="9976,11348" path="m1045,-119r9816,l10892,-113r25,17l10935,-71r6,32l10941,11148r-6,31l10917,11205r-25,17l10861,11228r-9816,l1014,11222r-26,-17l971,11179r-6,-31l965,-39r6,-32l988,-96r26,-17l1045,-119xe" filled="f" strokecolor="#ccc">
              <v:path arrowok="t"/>
            </v:shape>
            <w10:wrap anchorx="page"/>
          </v:group>
        </w:pict>
      </w:r>
      <w:r w:rsidR="0030286B">
        <w:rPr>
          <w:rFonts w:ascii="MS Gothic"/>
          <w:color w:val="333333"/>
        </w:rPr>
        <w:t>spring.security.oauth2.client.registration.my-client-</w:t>
      </w:r>
      <w:proofErr w:type="gramStart"/>
      <w:r w:rsidR="0030286B">
        <w:rPr>
          <w:rFonts w:ascii="MS Gothic"/>
          <w:color w:val="333333"/>
        </w:rPr>
        <w:t>1.client</w:t>
      </w:r>
      <w:proofErr w:type="gramEnd"/>
      <w:r w:rsidR="0030286B">
        <w:rPr>
          <w:rFonts w:ascii="MS Gothic"/>
          <w:color w:val="333333"/>
        </w:rPr>
        <w:t>-id=abcd spring.security.oauth2.client.registration.my-client-1.client-secret=password spring.security.oauth2.client.registration.my-client-1.client-name=Client for user scope</w:t>
      </w:r>
    </w:p>
    <w:p w14:paraId="722F61D0" w14:textId="77777777" w:rsidR="00A720EB" w:rsidRDefault="0030286B">
      <w:pPr>
        <w:spacing w:line="252" w:lineRule="auto"/>
        <w:ind w:left="344" w:right="968"/>
        <w:rPr>
          <w:rFonts w:ascii="MS Gothic"/>
        </w:rPr>
      </w:pPr>
      <w:r>
        <w:rPr>
          <w:rFonts w:ascii="MS Gothic"/>
          <w:color w:val="333333"/>
        </w:rPr>
        <w:t>spring.security.oauth2.client.registration.my-client-</w:t>
      </w:r>
      <w:proofErr w:type="gramStart"/>
      <w:r>
        <w:rPr>
          <w:rFonts w:ascii="MS Gothic"/>
          <w:color w:val="333333"/>
        </w:rPr>
        <w:t>1.provider</w:t>
      </w:r>
      <w:proofErr w:type="gramEnd"/>
      <w:r>
        <w:rPr>
          <w:rFonts w:ascii="MS Gothic"/>
          <w:color w:val="333333"/>
        </w:rPr>
        <w:t>=my-oauth-provider spring.security.oauth2.client.registration.my-client-1.scope=user spring.security.oauth2.client.registration.my-client-1.redirect-uri=https://my- redirect-uri.com</w:t>
      </w:r>
    </w:p>
    <w:p w14:paraId="1EC86565" w14:textId="77777777" w:rsidR="00A720EB" w:rsidRDefault="0030286B">
      <w:pPr>
        <w:spacing w:line="252" w:lineRule="auto"/>
        <w:ind w:left="344" w:right="1396"/>
        <w:rPr>
          <w:rFonts w:ascii="MS Gothic"/>
        </w:rPr>
      </w:pPr>
      <w:r>
        <w:rPr>
          <w:rFonts w:ascii="MS Gothic"/>
          <w:color w:val="333333"/>
        </w:rPr>
        <w:t>spring.security.oauth2.client.registration.my-client-</w:t>
      </w:r>
      <w:proofErr w:type="gramStart"/>
      <w:r>
        <w:rPr>
          <w:rFonts w:ascii="MS Gothic"/>
          <w:color w:val="333333"/>
        </w:rPr>
        <w:t>1.client</w:t>
      </w:r>
      <w:proofErr w:type="gramEnd"/>
      <w:r>
        <w:rPr>
          <w:rFonts w:ascii="MS Gothic"/>
          <w:color w:val="333333"/>
        </w:rPr>
        <w:t>-authentication- method=basic</w:t>
      </w:r>
    </w:p>
    <w:p w14:paraId="08E69ED9" w14:textId="77777777" w:rsidR="00A720EB" w:rsidRDefault="0030286B">
      <w:pPr>
        <w:spacing w:line="252" w:lineRule="auto"/>
        <w:ind w:left="344" w:right="1616"/>
        <w:rPr>
          <w:rFonts w:ascii="MS Gothic"/>
        </w:rPr>
      </w:pPr>
      <w:r>
        <w:rPr>
          <w:rFonts w:ascii="MS Gothic"/>
          <w:color w:val="333333"/>
        </w:rPr>
        <w:t>spring.security.oauth2.client.registration.my-client-</w:t>
      </w:r>
      <w:proofErr w:type="gramStart"/>
      <w:r>
        <w:rPr>
          <w:rFonts w:ascii="MS Gothic"/>
          <w:color w:val="333333"/>
        </w:rPr>
        <w:t>1.authorization</w:t>
      </w:r>
      <w:proofErr w:type="gramEnd"/>
      <w:r>
        <w:rPr>
          <w:rFonts w:ascii="MS Gothic"/>
          <w:color w:val="333333"/>
        </w:rPr>
        <w:t>-grant- type=authorization_code</w:t>
      </w:r>
    </w:p>
    <w:p w14:paraId="1268A56E" w14:textId="77777777" w:rsidR="00A720EB" w:rsidRDefault="00A720EB">
      <w:pPr>
        <w:pStyle w:val="a3"/>
        <w:spacing w:before="12"/>
        <w:rPr>
          <w:rFonts w:ascii="MS Gothic"/>
        </w:rPr>
      </w:pPr>
    </w:p>
    <w:p w14:paraId="539F2216" w14:textId="77777777" w:rsidR="00A720EB" w:rsidRDefault="0030286B">
      <w:pPr>
        <w:spacing w:line="252" w:lineRule="auto"/>
        <w:ind w:left="344" w:right="748"/>
        <w:rPr>
          <w:rFonts w:ascii="MS Gothic"/>
        </w:rPr>
      </w:pPr>
      <w:r>
        <w:rPr>
          <w:rFonts w:ascii="MS Gothic"/>
          <w:color w:val="333333"/>
        </w:rPr>
        <w:t>spring.security.oauth2.client.registration.my-client-</w:t>
      </w:r>
      <w:proofErr w:type="gramStart"/>
      <w:r>
        <w:rPr>
          <w:rFonts w:ascii="MS Gothic"/>
          <w:color w:val="333333"/>
        </w:rPr>
        <w:t>2.client</w:t>
      </w:r>
      <w:proofErr w:type="gramEnd"/>
      <w:r>
        <w:rPr>
          <w:rFonts w:ascii="MS Gothic"/>
          <w:color w:val="333333"/>
        </w:rPr>
        <w:t>-id=abcd spring.security.oauth2.client.registration.my-client-2.client-secret=password spring.security.oauth2.client.registration.my-client-2.client-name=Client for email scope</w:t>
      </w:r>
    </w:p>
    <w:p w14:paraId="1AEB7784" w14:textId="77777777" w:rsidR="00A720EB" w:rsidRDefault="0030286B">
      <w:pPr>
        <w:spacing w:line="252" w:lineRule="auto"/>
        <w:ind w:left="344" w:right="968"/>
        <w:rPr>
          <w:rFonts w:ascii="MS Gothic"/>
        </w:rPr>
      </w:pPr>
      <w:r>
        <w:rPr>
          <w:rFonts w:ascii="MS Gothic"/>
          <w:color w:val="333333"/>
        </w:rPr>
        <w:t>spring.security.oauth2.client.registration.my-client-</w:t>
      </w:r>
      <w:proofErr w:type="gramStart"/>
      <w:r>
        <w:rPr>
          <w:rFonts w:ascii="MS Gothic"/>
          <w:color w:val="333333"/>
        </w:rPr>
        <w:t>2.provider</w:t>
      </w:r>
      <w:proofErr w:type="gramEnd"/>
      <w:r>
        <w:rPr>
          <w:rFonts w:ascii="MS Gothic"/>
          <w:color w:val="333333"/>
        </w:rPr>
        <w:t>=my-oauth-provider spring.security.oauth2.client.registration.my-client-2.scope=email spring.security.oauth2.client.registration.my-client-2.redirect-uri=https://my- redirect-uri.com</w:t>
      </w:r>
    </w:p>
    <w:p w14:paraId="5654CE68" w14:textId="77777777" w:rsidR="00A720EB" w:rsidRDefault="0030286B">
      <w:pPr>
        <w:spacing w:line="252" w:lineRule="auto"/>
        <w:ind w:left="344" w:right="1396"/>
        <w:rPr>
          <w:rFonts w:ascii="MS Gothic"/>
        </w:rPr>
      </w:pPr>
      <w:r>
        <w:rPr>
          <w:rFonts w:ascii="MS Gothic"/>
          <w:color w:val="333333"/>
        </w:rPr>
        <w:t>spring.security.oauth2.client.registration.my-client-</w:t>
      </w:r>
      <w:proofErr w:type="gramStart"/>
      <w:r>
        <w:rPr>
          <w:rFonts w:ascii="MS Gothic"/>
          <w:color w:val="333333"/>
        </w:rPr>
        <w:t>2.client</w:t>
      </w:r>
      <w:proofErr w:type="gramEnd"/>
      <w:r>
        <w:rPr>
          <w:rFonts w:ascii="MS Gothic"/>
          <w:color w:val="333333"/>
        </w:rPr>
        <w:t>-authentication- method=basic</w:t>
      </w:r>
    </w:p>
    <w:p w14:paraId="0E7F4240" w14:textId="77777777" w:rsidR="00A720EB" w:rsidRDefault="0030286B">
      <w:pPr>
        <w:spacing w:line="252" w:lineRule="auto"/>
        <w:ind w:left="344" w:right="1616"/>
        <w:rPr>
          <w:rFonts w:ascii="MS Gothic"/>
        </w:rPr>
      </w:pPr>
      <w:r>
        <w:rPr>
          <w:rFonts w:ascii="MS Gothic"/>
          <w:color w:val="333333"/>
        </w:rPr>
        <w:t>spring.security.oauth2.client.registration.my-client-</w:t>
      </w:r>
      <w:proofErr w:type="gramStart"/>
      <w:r>
        <w:rPr>
          <w:rFonts w:ascii="MS Gothic"/>
          <w:color w:val="333333"/>
        </w:rPr>
        <w:t>2.authorization</w:t>
      </w:r>
      <w:proofErr w:type="gramEnd"/>
      <w:r>
        <w:rPr>
          <w:rFonts w:ascii="MS Gothic"/>
          <w:color w:val="333333"/>
        </w:rPr>
        <w:t>-grant- type=authorization_code</w:t>
      </w:r>
    </w:p>
    <w:p w14:paraId="431D5C41" w14:textId="77777777" w:rsidR="00A720EB" w:rsidRDefault="00A720EB">
      <w:pPr>
        <w:pStyle w:val="a3"/>
        <w:spacing w:before="11"/>
        <w:rPr>
          <w:rFonts w:ascii="MS Gothic"/>
        </w:rPr>
      </w:pPr>
    </w:p>
    <w:p w14:paraId="5868FCA2" w14:textId="77777777" w:rsidR="00A720EB" w:rsidRDefault="0030286B">
      <w:pPr>
        <w:spacing w:before="1" w:line="252" w:lineRule="auto"/>
        <w:ind w:left="344" w:right="418"/>
        <w:rPr>
          <w:rFonts w:ascii="MS Gothic"/>
        </w:rPr>
      </w:pPr>
      <w:r>
        <w:rPr>
          <w:rFonts w:ascii="MS Gothic"/>
          <w:color w:val="333333"/>
        </w:rPr>
        <w:t>spring.security.oauth2.client.provider.my-oauth-</w:t>
      </w:r>
      <w:proofErr w:type="gramStart"/>
      <w:r>
        <w:rPr>
          <w:rFonts w:ascii="MS Gothic"/>
          <w:color w:val="333333"/>
        </w:rPr>
        <w:t>provider.authorization</w:t>
      </w:r>
      <w:proofErr w:type="gramEnd"/>
      <w:r>
        <w:rPr>
          <w:rFonts w:ascii="MS Gothic"/>
          <w:color w:val="333333"/>
        </w:rPr>
        <w:t>-uri=https://my- auth-server/oauth/authorize</w:t>
      </w:r>
    </w:p>
    <w:p w14:paraId="4EB0B695" w14:textId="77777777" w:rsidR="00A720EB" w:rsidRDefault="0030286B">
      <w:pPr>
        <w:spacing w:line="252" w:lineRule="auto"/>
        <w:ind w:left="344" w:right="736"/>
        <w:rPr>
          <w:rFonts w:ascii="MS Gothic"/>
        </w:rPr>
      </w:pPr>
      <w:r>
        <w:rPr>
          <w:rFonts w:ascii="MS Gothic"/>
          <w:color w:val="333333"/>
        </w:rPr>
        <w:t>spring.security.oauth2.client.provider.my-oauth-</w:t>
      </w:r>
      <w:proofErr w:type="gramStart"/>
      <w:r>
        <w:rPr>
          <w:rFonts w:ascii="MS Gothic"/>
          <w:color w:val="333333"/>
        </w:rPr>
        <w:t>provider.token</w:t>
      </w:r>
      <w:proofErr w:type="gramEnd"/>
      <w:r>
        <w:rPr>
          <w:rFonts w:ascii="MS Gothic"/>
          <w:color w:val="333333"/>
        </w:rPr>
        <w:t>-uri=https://my-auth- server/oauth/token</w:t>
      </w:r>
    </w:p>
    <w:p w14:paraId="6C5942E6" w14:textId="77777777" w:rsidR="00A720EB" w:rsidRDefault="0030286B">
      <w:pPr>
        <w:spacing w:line="252" w:lineRule="auto"/>
        <w:ind w:left="344" w:right="858"/>
        <w:rPr>
          <w:rFonts w:ascii="MS Gothic"/>
        </w:rPr>
      </w:pPr>
      <w:r>
        <w:rPr>
          <w:rFonts w:ascii="MS Gothic"/>
          <w:color w:val="333333"/>
        </w:rPr>
        <w:t>spring.security.oauth2.client.provider.my-oauth-provider.user-info-uri=https://my- auth-server/userinfo</w:t>
      </w:r>
    </w:p>
    <w:p w14:paraId="37686A6A" w14:textId="77777777" w:rsidR="00A720EB" w:rsidRDefault="0030286B">
      <w:pPr>
        <w:spacing w:line="252" w:lineRule="auto"/>
        <w:ind w:left="344" w:right="846"/>
        <w:rPr>
          <w:rFonts w:ascii="MS Gothic"/>
        </w:rPr>
      </w:pPr>
      <w:r>
        <w:rPr>
          <w:rFonts w:ascii="MS Gothic"/>
          <w:color w:val="333333"/>
        </w:rPr>
        <w:t>spring.security.oauth2.client.provider.my-oauth-provider.user-info-authentication- method=header</w:t>
      </w:r>
    </w:p>
    <w:p w14:paraId="3BC73DE6" w14:textId="77777777" w:rsidR="00A720EB" w:rsidRDefault="0030286B">
      <w:pPr>
        <w:spacing w:line="252" w:lineRule="auto"/>
        <w:ind w:left="344" w:right="516"/>
        <w:rPr>
          <w:rFonts w:ascii="MS Gothic"/>
        </w:rPr>
      </w:pPr>
      <w:r>
        <w:rPr>
          <w:rFonts w:ascii="MS Gothic"/>
          <w:color w:val="333333"/>
        </w:rPr>
        <w:t>spring.security.oauth2.client.provider.my-oauth-provider.jwk-set-uri=https://my-auth- server/token_keys</w:t>
      </w:r>
    </w:p>
    <w:p w14:paraId="659E6EC7" w14:textId="77777777" w:rsidR="00A720EB" w:rsidRDefault="0030286B">
      <w:pPr>
        <w:spacing w:line="280" w:lineRule="exact"/>
        <w:ind w:left="344"/>
        <w:rPr>
          <w:rFonts w:ascii="MS Gothic"/>
        </w:rPr>
      </w:pPr>
      <w:r>
        <w:rPr>
          <w:rFonts w:ascii="MS Gothic"/>
          <w:color w:val="333333"/>
        </w:rPr>
        <w:t>spring.security.oauth2.client.provider.my-oauth-provider.user-name-attribute=name</w:t>
      </w:r>
    </w:p>
    <w:p w14:paraId="0A0CBA6A" w14:textId="77777777" w:rsidR="00A720EB" w:rsidRDefault="00A720EB">
      <w:pPr>
        <w:pStyle w:val="a3"/>
        <w:spacing w:before="12"/>
        <w:rPr>
          <w:rFonts w:ascii="MS Gothic"/>
          <w:sz w:val="37"/>
        </w:rPr>
      </w:pPr>
    </w:p>
    <w:p w14:paraId="25581A20" w14:textId="77777777" w:rsidR="00A720EB" w:rsidRDefault="0030286B">
      <w:pPr>
        <w:pStyle w:val="a3"/>
        <w:spacing w:line="283" w:lineRule="auto"/>
        <w:ind w:left="124" w:right="122"/>
        <w:jc w:val="both"/>
      </w:pPr>
      <w:r>
        <w:rPr>
          <w:color w:val="333333"/>
          <w:spacing w:val="-4"/>
          <w:w w:val="110"/>
        </w:rPr>
        <w:t xml:space="preserve">For </w:t>
      </w:r>
      <w:r>
        <w:rPr>
          <w:color w:val="333333"/>
          <w:w w:val="110"/>
        </w:rPr>
        <w:t xml:space="preserve">OpenID Connect providers that support </w:t>
      </w:r>
      <w:hyperlink r:id="rId179">
        <w:r>
          <w:rPr>
            <w:color w:val="418BCA"/>
            <w:w w:val="110"/>
          </w:rPr>
          <w:t>OpenID Connect discovery</w:t>
        </w:r>
      </w:hyperlink>
      <w:r>
        <w:rPr>
          <w:color w:val="333333"/>
          <w:w w:val="110"/>
        </w:rPr>
        <w:t xml:space="preserve">, the configuration can be further simplified. The provider needs to be configured with an </w:t>
      </w:r>
      <w:r>
        <w:rPr>
          <w:rFonts w:ascii="MS Gothic"/>
          <w:color w:val="B02045"/>
          <w:w w:val="110"/>
        </w:rPr>
        <w:t xml:space="preserve">issuer-uri </w:t>
      </w:r>
      <w:r>
        <w:rPr>
          <w:color w:val="333333"/>
          <w:w w:val="110"/>
        </w:rPr>
        <w:t xml:space="preserve">which is the URI that the it asserts as its Issuer Identifier. </w:t>
      </w:r>
      <w:r>
        <w:rPr>
          <w:color w:val="333333"/>
          <w:spacing w:val="-4"/>
          <w:w w:val="110"/>
        </w:rPr>
        <w:t xml:space="preserve">For </w:t>
      </w:r>
      <w:r>
        <w:rPr>
          <w:color w:val="333333"/>
          <w:w w:val="110"/>
        </w:rPr>
        <w:t xml:space="preserve">example, if the </w:t>
      </w:r>
      <w:r>
        <w:rPr>
          <w:rFonts w:ascii="MS Gothic"/>
          <w:color w:val="B02045"/>
          <w:w w:val="110"/>
        </w:rPr>
        <w:t xml:space="preserve">issuer-uri </w:t>
      </w:r>
      <w:r>
        <w:rPr>
          <w:color w:val="333333"/>
          <w:w w:val="110"/>
        </w:rPr>
        <w:t xml:space="preserve">provided is "https://example.com", then an </w:t>
      </w:r>
      <w:r>
        <w:rPr>
          <w:rFonts w:ascii="MS Gothic"/>
          <w:color w:val="B02045"/>
          <w:w w:val="110"/>
        </w:rPr>
        <w:t xml:space="preserve">OpenID Provider Configuration Request </w:t>
      </w:r>
      <w:r>
        <w:rPr>
          <w:color w:val="333333"/>
          <w:w w:val="110"/>
        </w:rPr>
        <w:t xml:space="preserve">will be made to "https://example.com/.well- known/openid-configuration". The result is expected to be an </w:t>
      </w:r>
      <w:r>
        <w:rPr>
          <w:rFonts w:ascii="MS Gothic"/>
          <w:color w:val="B02045"/>
          <w:w w:val="110"/>
        </w:rPr>
        <w:t>OpenID Provider Configuration Response</w:t>
      </w:r>
      <w:r>
        <w:rPr>
          <w:color w:val="333333"/>
          <w:w w:val="110"/>
        </w:rPr>
        <w:t xml:space="preserve">. The following example shows how an OpenID Connect Provider can be configured </w:t>
      </w:r>
      <w:proofErr w:type="gramStart"/>
      <w:r>
        <w:rPr>
          <w:color w:val="333333"/>
          <w:w w:val="110"/>
        </w:rPr>
        <w:t>with  the</w:t>
      </w:r>
      <w:proofErr w:type="gramEnd"/>
      <w:r>
        <w:rPr>
          <w:color w:val="333333"/>
          <w:spacing w:val="1"/>
          <w:w w:val="110"/>
        </w:rPr>
        <w:t xml:space="preserve"> </w:t>
      </w:r>
      <w:r>
        <w:rPr>
          <w:rFonts w:ascii="MS Gothic"/>
          <w:color w:val="B02045"/>
          <w:w w:val="110"/>
        </w:rPr>
        <w:t>issuer-uri</w:t>
      </w:r>
      <w:r>
        <w:rPr>
          <w:color w:val="333333"/>
          <w:w w:val="110"/>
        </w:rPr>
        <w:t>:</w:t>
      </w:r>
    </w:p>
    <w:p w14:paraId="3FEEF825" w14:textId="77777777" w:rsidR="00A720EB" w:rsidRDefault="00E10349">
      <w:pPr>
        <w:pStyle w:val="a3"/>
        <w:spacing w:before="3"/>
        <w:rPr>
          <w:sz w:val="14"/>
        </w:rPr>
      </w:pPr>
      <w:r>
        <w:pict w14:anchorId="30A4DABD">
          <v:group id="_x0000_s4233" style="position:absolute;margin-left:47.85pt;margin-top:10.35pt;width:499.55pt;height:52.25pt;z-index:-15512576;mso-wrap-distance-left:0;mso-wrap-distance-right:0;mso-position-horizontal-relative:page" coordorigin="957,207" coordsize="9991,1045">
            <v:shape id="_x0000_s4236" style="position:absolute;left:964;top:214;width:9976;height:1030" coordorigin="965,214" coordsize="9976,1030" path="m10861,214r-9816,l1014,220r-26,18l971,263r-6,31l965,1164r6,31l988,1220r26,17l1045,1244r9816,l10892,1237r25,-17l10935,1195r6,-31l10941,294r-6,-31l10917,238r-25,-18l10861,214xe" fillcolor="#f5f5f5" stroked="f">
              <v:path arrowok="t"/>
            </v:shape>
            <v:shape id="_x0000_s4235" style="position:absolute;left:964;top:214;width:9976;height:1030" coordorigin="965,214" coordsize="9976,1030" path="m1045,214r9816,l10892,220r25,18l10935,263r6,31l10941,1164r-6,31l10917,1220r-25,17l10861,1244r-9816,l1014,1237r-26,-17l971,1195r-6,-31l965,294r6,-31l988,238r26,-18l1045,214xe" filled="f" strokecolor="#ccc">
              <v:path arrowok="t"/>
            </v:shape>
            <v:shape id="_x0000_s4234" type="#_x0000_t202" style="position:absolute;left:984;top:229;width:9938;height:999" filled="f" stroked="f">
              <v:textbox inset="0,0,0,0">
                <w:txbxContent>
                  <w:p w14:paraId="7A7081F8" w14:textId="77777777" w:rsidR="00711A16" w:rsidRDefault="00711A16">
                    <w:pPr>
                      <w:spacing w:before="221" w:line="252" w:lineRule="auto"/>
                      <w:ind w:left="200" w:right="1358"/>
                      <w:rPr>
                        <w:rFonts w:ascii="MS Gothic"/>
                      </w:rPr>
                    </w:pPr>
                    <w:proofErr w:type="gramStart"/>
                    <w:r>
                      <w:rPr>
                        <w:rFonts w:ascii="MS Gothic"/>
                        <w:color w:val="333333"/>
                      </w:rPr>
                      <w:t>spring.security</w:t>
                    </w:r>
                    <w:proofErr w:type="gramEnd"/>
                    <w:r>
                      <w:rPr>
                        <w:rFonts w:ascii="MS Gothic"/>
                        <w:color w:val="333333"/>
                      </w:rPr>
                      <w:t>.oauth2.client.provider.oidc-provider.issuer-uri=https://dev- 123456.oktapreview.com/oauth2/default/</w:t>
                    </w:r>
                  </w:p>
                </w:txbxContent>
              </v:textbox>
            </v:shape>
            <w10:wrap type="topAndBottom" anchorx="page"/>
          </v:group>
        </w:pict>
      </w:r>
    </w:p>
    <w:p w14:paraId="4DB277F6" w14:textId="77777777" w:rsidR="00A720EB" w:rsidRDefault="00A720EB">
      <w:pPr>
        <w:rPr>
          <w:sz w:val="14"/>
        </w:rPr>
        <w:sectPr w:rsidR="00A720EB">
          <w:pgSz w:w="11910" w:h="16840"/>
          <w:pgMar w:top="700" w:right="840" w:bottom="520" w:left="840" w:header="0" w:footer="323" w:gutter="0"/>
          <w:cols w:space="720"/>
        </w:sectPr>
      </w:pPr>
    </w:p>
    <w:p w14:paraId="52B0EE02" w14:textId="77777777" w:rsidR="00A720EB" w:rsidRDefault="0030286B">
      <w:pPr>
        <w:pStyle w:val="a3"/>
        <w:spacing w:before="91"/>
        <w:ind w:left="124"/>
        <w:jc w:val="both"/>
      </w:pPr>
      <w:r>
        <w:rPr>
          <w:color w:val="333333"/>
          <w:w w:val="110"/>
        </w:rPr>
        <w:lastRenderedPageBreak/>
        <w:t xml:space="preserve">By default, Spring Security’s </w:t>
      </w:r>
      <w:r>
        <w:rPr>
          <w:rFonts w:ascii="MS Gothic" w:hAnsi="MS Gothic"/>
          <w:color w:val="B02045"/>
          <w:w w:val="110"/>
        </w:rPr>
        <w:t xml:space="preserve">OAuth2LoginAuthenticationFilter </w:t>
      </w:r>
      <w:r>
        <w:rPr>
          <w:color w:val="333333"/>
          <w:w w:val="110"/>
        </w:rPr>
        <w:t>only processes URLs matching</w:t>
      </w:r>
    </w:p>
    <w:p w14:paraId="68A7B42A" w14:textId="77777777" w:rsidR="00A720EB" w:rsidRDefault="0030286B">
      <w:pPr>
        <w:pStyle w:val="a3"/>
        <w:spacing w:before="47" w:line="295" w:lineRule="auto"/>
        <w:ind w:left="124" w:right="128"/>
        <w:jc w:val="both"/>
      </w:pPr>
      <w:r>
        <w:rPr>
          <w:rFonts w:ascii="MS Gothic"/>
          <w:color w:val="B02045"/>
          <w:w w:val="110"/>
        </w:rPr>
        <w:t>/login/oauth2/code/*</w:t>
      </w:r>
      <w:r>
        <w:rPr>
          <w:color w:val="333333"/>
          <w:w w:val="110"/>
        </w:rPr>
        <w:t>.</w:t>
      </w:r>
      <w:r>
        <w:rPr>
          <w:color w:val="333333"/>
          <w:spacing w:val="-14"/>
          <w:w w:val="110"/>
        </w:rPr>
        <w:t xml:space="preserve"> </w:t>
      </w:r>
      <w:r>
        <w:rPr>
          <w:color w:val="333333"/>
          <w:w w:val="110"/>
        </w:rPr>
        <w:t>If</w:t>
      </w:r>
      <w:r>
        <w:rPr>
          <w:color w:val="333333"/>
          <w:spacing w:val="-13"/>
          <w:w w:val="110"/>
        </w:rPr>
        <w:t xml:space="preserve"> </w:t>
      </w:r>
      <w:r>
        <w:rPr>
          <w:color w:val="333333"/>
          <w:w w:val="110"/>
        </w:rPr>
        <w:t>you</w:t>
      </w:r>
      <w:r>
        <w:rPr>
          <w:color w:val="333333"/>
          <w:spacing w:val="-13"/>
          <w:w w:val="110"/>
        </w:rPr>
        <w:t xml:space="preserve"> </w:t>
      </w:r>
      <w:r>
        <w:rPr>
          <w:color w:val="333333"/>
          <w:w w:val="110"/>
        </w:rPr>
        <w:t>want</w:t>
      </w:r>
      <w:r>
        <w:rPr>
          <w:color w:val="333333"/>
          <w:spacing w:val="-13"/>
          <w:w w:val="110"/>
        </w:rPr>
        <w:t xml:space="preserve"> </w:t>
      </w:r>
      <w:r>
        <w:rPr>
          <w:color w:val="333333"/>
          <w:w w:val="110"/>
        </w:rPr>
        <w:t>to</w:t>
      </w:r>
      <w:r>
        <w:rPr>
          <w:color w:val="333333"/>
          <w:spacing w:val="-13"/>
          <w:w w:val="110"/>
        </w:rPr>
        <w:t xml:space="preserve"> </w:t>
      </w:r>
      <w:r>
        <w:rPr>
          <w:color w:val="333333"/>
          <w:w w:val="110"/>
        </w:rPr>
        <w:t>customize</w:t>
      </w:r>
      <w:r>
        <w:rPr>
          <w:color w:val="333333"/>
          <w:spacing w:val="-13"/>
          <w:w w:val="110"/>
        </w:rPr>
        <w:t xml:space="preserve"> </w:t>
      </w:r>
      <w:r>
        <w:rPr>
          <w:color w:val="333333"/>
          <w:w w:val="110"/>
        </w:rPr>
        <w:t>the</w:t>
      </w:r>
      <w:r>
        <w:rPr>
          <w:color w:val="333333"/>
          <w:spacing w:val="-12"/>
          <w:w w:val="110"/>
        </w:rPr>
        <w:t xml:space="preserve"> </w:t>
      </w:r>
      <w:r>
        <w:rPr>
          <w:rFonts w:ascii="MS Gothic"/>
          <w:color w:val="B02045"/>
          <w:w w:val="110"/>
        </w:rPr>
        <w:t>redirect-uri</w:t>
      </w:r>
      <w:r>
        <w:rPr>
          <w:rFonts w:ascii="MS Gothic"/>
          <w:color w:val="B02045"/>
          <w:spacing w:val="-78"/>
          <w:w w:val="110"/>
        </w:rPr>
        <w:t xml:space="preserve"> </w:t>
      </w:r>
      <w:r>
        <w:rPr>
          <w:color w:val="333333"/>
          <w:w w:val="110"/>
        </w:rPr>
        <w:t>to</w:t>
      </w:r>
      <w:r>
        <w:rPr>
          <w:color w:val="333333"/>
          <w:spacing w:val="-13"/>
          <w:w w:val="110"/>
        </w:rPr>
        <w:t xml:space="preserve"> </w:t>
      </w:r>
      <w:r>
        <w:rPr>
          <w:color w:val="333333"/>
          <w:w w:val="110"/>
        </w:rPr>
        <w:t>use</w:t>
      </w:r>
      <w:r>
        <w:rPr>
          <w:color w:val="333333"/>
          <w:spacing w:val="-13"/>
          <w:w w:val="110"/>
        </w:rPr>
        <w:t xml:space="preserve"> </w:t>
      </w:r>
      <w:r>
        <w:rPr>
          <w:color w:val="333333"/>
          <w:w w:val="110"/>
        </w:rPr>
        <w:t>a</w:t>
      </w:r>
      <w:r>
        <w:rPr>
          <w:color w:val="333333"/>
          <w:spacing w:val="-13"/>
          <w:w w:val="110"/>
        </w:rPr>
        <w:t xml:space="preserve"> </w:t>
      </w:r>
      <w:r>
        <w:rPr>
          <w:color w:val="333333"/>
          <w:w w:val="110"/>
        </w:rPr>
        <w:t>different</w:t>
      </w:r>
      <w:r>
        <w:rPr>
          <w:color w:val="333333"/>
          <w:spacing w:val="-13"/>
          <w:w w:val="110"/>
        </w:rPr>
        <w:t xml:space="preserve"> </w:t>
      </w:r>
      <w:r>
        <w:rPr>
          <w:color w:val="333333"/>
          <w:w w:val="110"/>
        </w:rPr>
        <w:t>pattern,</w:t>
      </w:r>
      <w:r>
        <w:rPr>
          <w:color w:val="333333"/>
          <w:spacing w:val="-13"/>
          <w:w w:val="110"/>
        </w:rPr>
        <w:t xml:space="preserve"> </w:t>
      </w:r>
      <w:r>
        <w:rPr>
          <w:color w:val="333333"/>
          <w:w w:val="110"/>
        </w:rPr>
        <w:t>you</w:t>
      </w:r>
      <w:r>
        <w:rPr>
          <w:color w:val="333333"/>
          <w:spacing w:val="-13"/>
          <w:w w:val="110"/>
        </w:rPr>
        <w:t xml:space="preserve"> </w:t>
      </w:r>
      <w:r>
        <w:rPr>
          <w:color w:val="333333"/>
          <w:w w:val="110"/>
        </w:rPr>
        <w:t xml:space="preserve">need to provide configuration to process that custom pattern. </w:t>
      </w:r>
      <w:r>
        <w:rPr>
          <w:color w:val="333333"/>
          <w:spacing w:val="-4"/>
          <w:w w:val="110"/>
        </w:rPr>
        <w:t xml:space="preserve">For </w:t>
      </w:r>
      <w:r>
        <w:rPr>
          <w:color w:val="333333"/>
          <w:w w:val="110"/>
        </w:rPr>
        <w:t xml:space="preserve">example, for servlet applications, you can add your own </w:t>
      </w:r>
      <w:r>
        <w:rPr>
          <w:rFonts w:ascii="MS Gothic"/>
          <w:color w:val="B02045"/>
          <w:w w:val="110"/>
        </w:rPr>
        <w:t>WebSecurityConfigurerAdapter</w:t>
      </w:r>
      <w:r>
        <w:rPr>
          <w:rFonts w:ascii="MS Gothic"/>
          <w:color w:val="B02045"/>
          <w:spacing w:val="-81"/>
          <w:w w:val="110"/>
        </w:rPr>
        <w:t xml:space="preserve"> </w:t>
      </w:r>
      <w:r>
        <w:rPr>
          <w:color w:val="333333"/>
          <w:w w:val="110"/>
        </w:rPr>
        <w:t>that resembles the following:</w:t>
      </w:r>
    </w:p>
    <w:p w14:paraId="04B7AF9D" w14:textId="77777777" w:rsidR="00A720EB" w:rsidRDefault="00E10349">
      <w:pPr>
        <w:pStyle w:val="a3"/>
        <w:spacing w:before="5"/>
        <w:rPr>
          <w:sz w:val="12"/>
        </w:rPr>
      </w:pPr>
      <w:r>
        <w:pict w14:anchorId="3F684985">
          <v:group id="_x0000_s4229" style="position:absolute;margin-left:47.85pt;margin-top:9.25pt;width:499.55pt;height:214.4pt;z-index:-15511552;mso-wrap-distance-left:0;mso-wrap-distance-right:0;mso-position-horizontal-relative:page" coordorigin="957,185" coordsize="9991,4288">
            <v:shape id="_x0000_s4232" style="position:absolute;left:964;top:192;width:9976;height:4273" coordorigin="965,193" coordsize="9976,4273" path="m10861,193r-9816,l1014,199r-26,17l971,242r-6,31l965,4385r6,31l988,4442r26,17l1045,4465r9816,l10892,4459r25,-17l10935,4416r6,-31l10941,273r-6,-31l10917,216r-25,-17l10861,193xe" fillcolor="#f5f5f5" stroked="f">
              <v:path arrowok="t"/>
            </v:shape>
            <v:shape id="_x0000_s4231" style="position:absolute;left:964;top:192;width:9976;height:4273" coordorigin="965,193" coordsize="9976,4273" path="m1045,193r9816,l10892,199r25,17l10935,242r6,31l10941,4385r-6,31l10917,4442r-25,17l10861,4465r-9816,l1014,4459r-26,-17l971,4416r-6,-31l965,273r6,-31l988,216r26,-17l1045,193xe" filled="f" strokecolor="#ccc">
              <v:path arrowok="t"/>
            </v:shape>
            <v:shape id="_x0000_s4230" type="#_x0000_t202" style="position:absolute;left:984;top:208;width:9938;height:4242" filled="f" stroked="f">
              <v:textbox inset="0,0,0,0">
                <w:txbxContent>
                  <w:p w14:paraId="5F0021B4" w14:textId="77777777" w:rsidR="00711A16" w:rsidRDefault="00711A16">
                    <w:pPr>
                      <w:spacing w:before="221"/>
                      <w:ind w:left="200"/>
                      <w:rPr>
                        <w:rFonts w:ascii="MS Gothic"/>
                      </w:rPr>
                    </w:pPr>
                    <w:r>
                      <w:rPr>
                        <w:rFonts w:ascii="MS Gothic"/>
                        <w:color w:val="333333"/>
                      </w:rPr>
                      <w:t>public class OAuth2LoginSecurityConfig extends WebSecurityConfigurerAdapter {</w:t>
                    </w:r>
                  </w:p>
                  <w:p w14:paraId="2319D6C0" w14:textId="77777777" w:rsidR="00711A16" w:rsidRDefault="00711A16">
                    <w:pPr>
                      <w:rPr>
                        <w:rFonts w:ascii="MS Gothic"/>
                        <w:sz w:val="24"/>
                      </w:rPr>
                    </w:pPr>
                  </w:p>
                  <w:p w14:paraId="31504DDB" w14:textId="77777777" w:rsidR="00711A16" w:rsidRDefault="00711A16">
                    <w:pPr>
                      <w:ind w:left="640"/>
                      <w:rPr>
                        <w:rFonts w:ascii="MS Gothic"/>
                      </w:rPr>
                    </w:pPr>
                    <w:r>
                      <w:rPr>
                        <w:rFonts w:ascii="MS Gothic"/>
                        <w:color w:val="333333"/>
                      </w:rPr>
                      <w:t>@Override</w:t>
                    </w:r>
                  </w:p>
                  <w:p w14:paraId="70C796AF" w14:textId="77777777" w:rsidR="00711A16" w:rsidRDefault="00711A16">
                    <w:pPr>
                      <w:spacing w:before="13" w:line="252" w:lineRule="auto"/>
                      <w:ind w:left="1080" w:right="2348" w:hanging="440"/>
                      <w:rPr>
                        <w:rFonts w:ascii="MS Gothic"/>
                      </w:rPr>
                    </w:pPr>
                    <w:r>
                      <w:rPr>
                        <w:rFonts w:ascii="MS Gothic"/>
                        <w:color w:val="333333"/>
                      </w:rPr>
                      <w:t xml:space="preserve">protected void </w:t>
                    </w:r>
                    <w:proofErr w:type="gramStart"/>
                    <w:r>
                      <w:rPr>
                        <w:rFonts w:ascii="MS Gothic"/>
                        <w:color w:val="333333"/>
                      </w:rPr>
                      <w:t>configure(</w:t>
                    </w:r>
                    <w:proofErr w:type="gramEnd"/>
                    <w:r>
                      <w:rPr>
                        <w:rFonts w:ascii="MS Gothic"/>
                        <w:color w:val="333333"/>
                      </w:rPr>
                      <w:t xml:space="preserve">HttpSecurity http) throws Exception </w:t>
                    </w:r>
                    <w:r>
                      <w:rPr>
                        <w:rFonts w:ascii="MS Gothic"/>
                        <w:color w:val="333333"/>
                        <w:spacing w:val="-17"/>
                      </w:rPr>
                      <w:t xml:space="preserve">{ </w:t>
                    </w:r>
                    <w:r>
                      <w:rPr>
                        <w:rFonts w:ascii="MS Gothic"/>
                        <w:color w:val="333333"/>
                      </w:rPr>
                      <w:t>http</w:t>
                    </w:r>
                  </w:p>
                  <w:p w14:paraId="33ECA665" w14:textId="77777777" w:rsidR="00711A16" w:rsidRDefault="00711A16">
                    <w:pPr>
                      <w:spacing w:line="280" w:lineRule="exact"/>
                      <w:ind w:left="1520"/>
                      <w:rPr>
                        <w:rFonts w:ascii="MS Gothic"/>
                      </w:rPr>
                    </w:pPr>
                    <w:proofErr w:type="gramStart"/>
                    <w:r>
                      <w:rPr>
                        <w:rFonts w:ascii="MS Gothic"/>
                        <w:color w:val="333333"/>
                      </w:rPr>
                      <w:t>.authorizeRequests</w:t>
                    </w:r>
                    <w:proofErr w:type="gramEnd"/>
                    <w:r>
                      <w:rPr>
                        <w:rFonts w:ascii="MS Gothic"/>
                        <w:color w:val="333333"/>
                      </w:rPr>
                      <w:t>()</w:t>
                    </w:r>
                  </w:p>
                  <w:p w14:paraId="18B83D0C" w14:textId="77777777" w:rsidR="00711A16" w:rsidRDefault="00711A16">
                    <w:pPr>
                      <w:spacing w:before="13"/>
                      <w:ind w:left="1960"/>
                      <w:rPr>
                        <w:rFonts w:ascii="MS Gothic"/>
                      </w:rPr>
                    </w:pPr>
                    <w:proofErr w:type="gramStart"/>
                    <w:r>
                      <w:rPr>
                        <w:rFonts w:ascii="MS Gothic"/>
                        <w:color w:val="333333"/>
                      </w:rPr>
                      <w:t>.anyRequest</w:t>
                    </w:r>
                    <w:proofErr w:type="gramEnd"/>
                    <w:r>
                      <w:rPr>
                        <w:rFonts w:ascii="MS Gothic"/>
                        <w:color w:val="333333"/>
                      </w:rPr>
                      <w:t>().authenticated()</w:t>
                    </w:r>
                  </w:p>
                  <w:p w14:paraId="6F0AAC5B" w14:textId="77777777" w:rsidR="00711A16" w:rsidRDefault="00711A16">
                    <w:pPr>
                      <w:spacing w:before="13"/>
                      <w:ind w:left="1960"/>
                      <w:rPr>
                        <w:rFonts w:ascii="MS Gothic"/>
                      </w:rPr>
                    </w:pPr>
                    <w:r>
                      <w:rPr>
                        <w:rFonts w:ascii="MS Gothic"/>
                        <w:color w:val="333333"/>
                      </w:rPr>
                      <w:t>.</w:t>
                    </w:r>
                    <w:proofErr w:type="gramStart"/>
                    <w:r>
                      <w:rPr>
                        <w:rFonts w:ascii="MS Gothic"/>
                        <w:color w:val="333333"/>
                      </w:rPr>
                      <w:t>and(</w:t>
                    </w:r>
                    <w:proofErr w:type="gramEnd"/>
                    <w:r>
                      <w:rPr>
                        <w:rFonts w:ascii="MS Gothic"/>
                        <w:color w:val="333333"/>
                      </w:rPr>
                      <w:t>)</w:t>
                    </w:r>
                  </w:p>
                  <w:p w14:paraId="07830557" w14:textId="77777777" w:rsidR="00711A16" w:rsidRDefault="00711A16">
                    <w:pPr>
                      <w:spacing w:before="13"/>
                      <w:ind w:left="1520"/>
                      <w:rPr>
                        <w:rFonts w:ascii="MS Gothic"/>
                      </w:rPr>
                    </w:pPr>
                    <w:proofErr w:type="gramStart"/>
                    <w:r>
                      <w:rPr>
                        <w:rFonts w:ascii="MS Gothic"/>
                        <w:color w:val="333333"/>
                      </w:rPr>
                      <w:t>.oauth</w:t>
                    </w:r>
                    <w:proofErr w:type="gramEnd"/>
                    <w:r>
                      <w:rPr>
                        <w:rFonts w:ascii="MS Gothic"/>
                        <w:color w:val="333333"/>
                      </w:rPr>
                      <w:t>2Login()</w:t>
                    </w:r>
                  </w:p>
                  <w:p w14:paraId="48708BD5" w14:textId="77777777" w:rsidR="00711A16" w:rsidRDefault="00711A16">
                    <w:pPr>
                      <w:spacing w:before="13"/>
                      <w:ind w:left="1960"/>
                      <w:rPr>
                        <w:rFonts w:ascii="MS Gothic"/>
                      </w:rPr>
                    </w:pPr>
                    <w:proofErr w:type="gramStart"/>
                    <w:r>
                      <w:rPr>
                        <w:rFonts w:ascii="MS Gothic"/>
                        <w:color w:val="333333"/>
                      </w:rPr>
                      <w:t>.redirectionEndpoint</w:t>
                    </w:r>
                    <w:proofErr w:type="gramEnd"/>
                    <w:r>
                      <w:rPr>
                        <w:rFonts w:ascii="MS Gothic"/>
                        <w:color w:val="333333"/>
                      </w:rPr>
                      <w:t>()</w:t>
                    </w:r>
                  </w:p>
                  <w:p w14:paraId="20B1512F" w14:textId="77777777" w:rsidR="00711A16" w:rsidRDefault="00711A16">
                    <w:pPr>
                      <w:spacing w:before="13"/>
                      <w:ind w:left="2400"/>
                      <w:rPr>
                        <w:rFonts w:ascii="MS Gothic"/>
                      </w:rPr>
                    </w:pPr>
                    <w:proofErr w:type="gramStart"/>
                    <w:r>
                      <w:rPr>
                        <w:rFonts w:ascii="MS Gothic"/>
                        <w:color w:val="333333"/>
                      </w:rPr>
                      <w:t>.baseUri</w:t>
                    </w:r>
                    <w:proofErr w:type="gramEnd"/>
                    <w:r>
                      <w:rPr>
                        <w:rFonts w:ascii="MS Gothic"/>
                        <w:color w:val="333333"/>
                      </w:rPr>
                      <w:t>("/custom-callback");</w:t>
                    </w:r>
                  </w:p>
                  <w:p w14:paraId="4D8433A4" w14:textId="77777777" w:rsidR="00711A16" w:rsidRDefault="00711A16">
                    <w:pPr>
                      <w:spacing w:before="12"/>
                      <w:ind w:left="640"/>
                      <w:rPr>
                        <w:rFonts w:ascii="MS Gothic"/>
                      </w:rPr>
                    </w:pPr>
                    <w:r>
                      <w:rPr>
                        <w:rFonts w:ascii="MS Gothic"/>
                        <w:color w:val="333333"/>
                      </w:rPr>
                      <w:t>}</w:t>
                    </w:r>
                  </w:p>
                  <w:p w14:paraId="63BE03ED"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15D8D349" w14:textId="77777777" w:rsidR="00A720EB" w:rsidRDefault="00A720EB">
      <w:pPr>
        <w:pStyle w:val="a3"/>
        <w:spacing w:before="11"/>
        <w:rPr>
          <w:sz w:val="16"/>
        </w:rPr>
      </w:pPr>
    </w:p>
    <w:p w14:paraId="3A2E424E" w14:textId="77777777" w:rsidR="00A720EB" w:rsidRDefault="0030286B">
      <w:pPr>
        <w:spacing w:before="103"/>
        <w:ind w:left="124"/>
        <w:jc w:val="both"/>
        <w:rPr>
          <w:rFonts w:ascii="Palatino Linotype"/>
          <w:b/>
          <w:sz w:val="18"/>
        </w:rPr>
      </w:pPr>
      <w:r>
        <w:rPr>
          <w:rFonts w:ascii="Palatino Linotype"/>
          <w:b/>
          <w:color w:val="333333"/>
          <w:w w:val="115"/>
          <w:sz w:val="18"/>
        </w:rPr>
        <w:t>OAuth2 client registration for common providers</w:t>
      </w:r>
    </w:p>
    <w:p w14:paraId="1BB27950" w14:textId="77777777" w:rsidR="00A720EB" w:rsidRDefault="00A720EB">
      <w:pPr>
        <w:pStyle w:val="a3"/>
        <w:spacing w:before="12"/>
        <w:rPr>
          <w:rFonts w:ascii="Palatino Linotype"/>
          <w:b/>
          <w:sz w:val="18"/>
        </w:rPr>
      </w:pPr>
    </w:p>
    <w:p w14:paraId="28E4B6C6" w14:textId="77777777" w:rsidR="00A720EB" w:rsidRDefault="0030286B">
      <w:pPr>
        <w:pStyle w:val="a3"/>
        <w:spacing w:line="297" w:lineRule="auto"/>
        <w:ind w:left="124" w:right="137"/>
        <w:jc w:val="both"/>
      </w:pPr>
      <w:r>
        <w:rPr>
          <w:color w:val="333333"/>
          <w:spacing w:val="-4"/>
          <w:w w:val="110"/>
        </w:rPr>
        <w:t xml:space="preserve">For </w:t>
      </w:r>
      <w:r>
        <w:rPr>
          <w:color w:val="333333"/>
          <w:w w:val="110"/>
        </w:rPr>
        <w:t xml:space="preserve">common </w:t>
      </w:r>
      <w:r>
        <w:rPr>
          <w:color w:val="333333"/>
          <w:spacing w:val="-3"/>
          <w:w w:val="110"/>
        </w:rPr>
        <w:t xml:space="preserve">OAuth2 </w:t>
      </w:r>
      <w:r>
        <w:rPr>
          <w:color w:val="333333"/>
          <w:w w:val="110"/>
        </w:rPr>
        <w:t>and OpenID providers, including Google, Github, Facebook, and Okta, we provide a set of provider defaults (</w:t>
      </w:r>
      <w:r>
        <w:rPr>
          <w:rFonts w:ascii="MS Gothic"/>
          <w:color w:val="B02045"/>
          <w:w w:val="110"/>
        </w:rPr>
        <w:t>google</w:t>
      </w:r>
      <w:r>
        <w:rPr>
          <w:color w:val="333333"/>
          <w:w w:val="110"/>
        </w:rPr>
        <w:t xml:space="preserve">, </w:t>
      </w:r>
      <w:r>
        <w:rPr>
          <w:rFonts w:ascii="MS Gothic"/>
          <w:color w:val="B02045"/>
          <w:w w:val="110"/>
        </w:rPr>
        <w:t>github</w:t>
      </w:r>
      <w:r>
        <w:rPr>
          <w:color w:val="333333"/>
          <w:w w:val="110"/>
        </w:rPr>
        <w:t xml:space="preserve">, </w:t>
      </w:r>
      <w:r>
        <w:rPr>
          <w:rFonts w:ascii="MS Gothic"/>
          <w:color w:val="B02045"/>
          <w:w w:val="110"/>
        </w:rPr>
        <w:t>facebook</w:t>
      </w:r>
      <w:r>
        <w:rPr>
          <w:color w:val="333333"/>
          <w:w w:val="110"/>
        </w:rPr>
        <w:t xml:space="preserve">, and </w:t>
      </w:r>
      <w:r>
        <w:rPr>
          <w:rFonts w:ascii="MS Gothic"/>
          <w:color w:val="B02045"/>
          <w:w w:val="110"/>
        </w:rPr>
        <w:t>okta</w:t>
      </w:r>
      <w:r>
        <w:rPr>
          <w:color w:val="333333"/>
          <w:w w:val="110"/>
        </w:rPr>
        <w:t>,</w:t>
      </w:r>
      <w:r>
        <w:rPr>
          <w:color w:val="333333"/>
          <w:spacing w:val="-23"/>
          <w:w w:val="110"/>
        </w:rPr>
        <w:t xml:space="preserve"> </w:t>
      </w:r>
      <w:r>
        <w:rPr>
          <w:color w:val="333333"/>
          <w:w w:val="110"/>
        </w:rPr>
        <w:t>respectively).</w:t>
      </w:r>
    </w:p>
    <w:p w14:paraId="6944930F" w14:textId="77777777" w:rsidR="00A720EB" w:rsidRDefault="0030286B">
      <w:pPr>
        <w:pStyle w:val="a3"/>
        <w:spacing w:before="222" w:line="300" w:lineRule="auto"/>
        <w:ind w:left="124" w:right="125"/>
        <w:jc w:val="both"/>
      </w:pPr>
      <w:r>
        <w:rPr>
          <w:color w:val="333333"/>
          <w:w w:val="110"/>
        </w:rPr>
        <w:t xml:space="preserve">If you do not need to customize these providers, you can set the </w:t>
      </w:r>
      <w:r>
        <w:rPr>
          <w:rFonts w:ascii="MS Gothic"/>
          <w:color w:val="B02045"/>
          <w:w w:val="110"/>
        </w:rPr>
        <w:t xml:space="preserve">provider </w:t>
      </w:r>
      <w:r>
        <w:rPr>
          <w:color w:val="333333"/>
          <w:w w:val="110"/>
        </w:rPr>
        <w:t>attribute to the one for which you need to infer defaults. Also, if the key for the client registration matches a default supported provider, Spring Boot infers that as well.</w:t>
      </w:r>
    </w:p>
    <w:p w14:paraId="06CA8B15" w14:textId="77777777" w:rsidR="00A720EB" w:rsidRDefault="0030286B">
      <w:pPr>
        <w:pStyle w:val="a3"/>
        <w:spacing w:before="245"/>
        <w:ind w:left="124"/>
        <w:jc w:val="both"/>
      </w:pPr>
      <w:r>
        <w:rPr>
          <w:color w:val="333333"/>
          <w:w w:val="110"/>
        </w:rPr>
        <w:t>In other words, the two configurations in the following example use the Google provider:</w:t>
      </w:r>
    </w:p>
    <w:p w14:paraId="234655EF" w14:textId="77777777" w:rsidR="00A720EB" w:rsidRDefault="00E10349">
      <w:pPr>
        <w:pStyle w:val="a3"/>
        <w:rPr>
          <w:sz w:val="19"/>
        </w:rPr>
      </w:pPr>
      <w:r>
        <w:pict w14:anchorId="1ED94A63">
          <v:group id="_x0000_s4225" style="position:absolute;margin-left:47.85pt;margin-top:13.15pt;width:499.55pt;height:111.2pt;z-index:-15511040;mso-wrap-distance-left:0;mso-wrap-distance-right:0;mso-position-horizontal-relative:page" coordorigin="957,263" coordsize="9991,2224">
            <v:shape id="_x0000_s4228" style="position:absolute;left:964;top:270;width:9976;height:2209" coordorigin="965,270" coordsize="9976,2209" path="m10861,270r-9816,l1014,276r-26,18l971,319r-6,31l965,2399r6,31l988,2456r26,17l1045,2479r9816,l10892,2473r25,-17l10935,2430r6,-31l10941,350r-6,-31l10917,294r-25,-18l10861,270xe" fillcolor="#f5f5f5" stroked="f">
              <v:path arrowok="t"/>
            </v:shape>
            <v:shape id="_x0000_s4227" style="position:absolute;left:964;top:270;width:9976;height:2209" coordorigin="965,270" coordsize="9976,2209" path="m1045,270r9816,l10892,276r25,18l10935,319r6,31l10941,2399r-6,31l10917,2456r-25,17l10861,2479r-9816,l1014,2473r-26,-17l971,2430r-6,-31l965,350r6,-31l988,294r26,-18l1045,270xe" filled="f" strokecolor="#ccc">
              <v:path arrowok="t"/>
            </v:shape>
            <v:shape id="_x0000_s4226" type="#_x0000_t202" style="position:absolute;left:984;top:285;width:9938;height:2178" filled="f" stroked="f">
              <v:textbox inset="0,0,0,0">
                <w:txbxContent>
                  <w:p w14:paraId="01311342" w14:textId="77777777" w:rsidR="00711A16" w:rsidRDefault="00711A16">
                    <w:pPr>
                      <w:spacing w:before="221" w:line="252" w:lineRule="auto"/>
                      <w:ind w:left="200" w:right="1484"/>
                      <w:rPr>
                        <w:rFonts w:ascii="MS Gothic"/>
                      </w:rPr>
                    </w:pPr>
                    <w:r>
                      <w:rPr>
                        <w:rFonts w:ascii="MS Gothic"/>
                        <w:color w:val="333333"/>
                      </w:rPr>
                      <w:t>spring.security.oauth2.client.registration.my-</w:t>
                    </w:r>
                    <w:proofErr w:type="gramStart"/>
                    <w:r>
                      <w:rPr>
                        <w:rFonts w:ascii="MS Gothic"/>
                        <w:color w:val="333333"/>
                      </w:rPr>
                      <w:t>client.client</w:t>
                    </w:r>
                    <w:proofErr w:type="gramEnd"/>
                    <w:r>
                      <w:rPr>
                        <w:rFonts w:ascii="MS Gothic"/>
                        <w:color w:val="333333"/>
                      </w:rPr>
                      <w:t>-id=abcd spring.security.oauth2.client.registration.my-client.client-secret=password spring.security.oauth2.client.registration.my-client.provider=google</w:t>
                    </w:r>
                  </w:p>
                  <w:p w14:paraId="52BC73A9" w14:textId="77777777" w:rsidR="00711A16" w:rsidRDefault="00711A16">
                    <w:pPr>
                      <w:spacing w:before="9"/>
                      <w:rPr>
                        <w:rFonts w:ascii="MS Gothic"/>
                      </w:rPr>
                    </w:pPr>
                  </w:p>
                  <w:p w14:paraId="22AE0C70" w14:textId="77777777" w:rsidR="00711A16" w:rsidRDefault="00711A16">
                    <w:pPr>
                      <w:spacing w:line="252" w:lineRule="auto"/>
                      <w:ind w:left="200" w:right="1814"/>
                      <w:rPr>
                        <w:rFonts w:ascii="MS Gothic"/>
                      </w:rPr>
                    </w:pPr>
                    <w:proofErr w:type="gramStart"/>
                    <w:r>
                      <w:rPr>
                        <w:rFonts w:ascii="MS Gothic"/>
                        <w:color w:val="333333"/>
                      </w:rPr>
                      <w:t>spring.security</w:t>
                    </w:r>
                    <w:proofErr w:type="gramEnd"/>
                    <w:r>
                      <w:rPr>
                        <w:rFonts w:ascii="MS Gothic"/>
                        <w:color w:val="333333"/>
                      </w:rPr>
                      <w:t>.oauth2.client.registration.google.client-id=abcd spring.security.oauth2.client.registration.google.client-secret=password</w:t>
                    </w:r>
                  </w:p>
                </w:txbxContent>
              </v:textbox>
            </v:shape>
            <w10:wrap type="topAndBottom" anchorx="page"/>
          </v:group>
        </w:pict>
      </w:r>
    </w:p>
    <w:p w14:paraId="5C5B793B" w14:textId="77777777" w:rsidR="00A720EB" w:rsidRDefault="00A720EB">
      <w:pPr>
        <w:pStyle w:val="a3"/>
        <w:spacing w:before="11"/>
        <w:rPr>
          <w:sz w:val="16"/>
        </w:rPr>
      </w:pPr>
    </w:p>
    <w:p w14:paraId="3C46AA3F" w14:textId="77777777" w:rsidR="00A720EB" w:rsidRDefault="0030286B">
      <w:pPr>
        <w:pStyle w:val="4"/>
        <w:spacing w:before="104"/>
      </w:pPr>
      <w:bookmarkStart w:id="302" w:name="Resource_Server"/>
      <w:bookmarkEnd w:id="302"/>
      <w:r>
        <w:rPr>
          <w:color w:val="333333"/>
          <w:w w:val="115"/>
        </w:rPr>
        <w:t>Resource Server</w:t>
      </w:r>
    </w:p>
    <w:p w14:paraId="7DFDF63E" w14:textId="77777777" w:rsidR="00A720EB" w:rsidRDefault="0030286B">
      <w:pPr>
        <w:pStyle w:val="a3"/>
        <w:spacing w:before="244" w:line="300" w:lineRule="auto"/>
        <w:ind w:left="124" w:right="127"/>
        <w:jc w:val="both"/>
      </w:pPr>
      <w:r>
        <w:rPr>
          <w:color w:val="333333"/>
          <w:w w:val="110"/>
        </w:rPr>
        <w:t xml:space="preserve">If you have </w:t>
      </w:r>
      <w:r>
        <w:rPr>
          <w:rFonts w:ascii="MS Gothic"/>
          <w:color w:val="B02045"/>
          <w:w w:val="110"/>
        </w:rPr>
        <w:t xml:space="preserve">spring-security-oauth2-resource-server </w:t>
      </w:r>
      <w:r>
        <w:rPr>
          <w:color w:val="333333"/>
          <w:w w:val="110"/>
        </w:rPr>
        <w:t>on your classpath, Spring Boot can set up an OAuth2 Resource Server. For JWT configuration, a JWK Set URI or OIDC Issuer URI needs to be specified, as shown in the following examples:</w:t>
      </w:r>
    </w:p>
    <w:p w14:paraId="12DCB40B" w14:textId="77777777" w:rsidR="00A720EB" w:rsidRDefault="00E10349">
      <w:pPr>
        <w:pStyle w:val="a3"/>
        <w:spacing w:before="6"/>
        <w:rPr>
          <w:sz w:val="13"/>
        </w:rPr>
      </w:pPr>
      <w:r>
        <w:pict w14:anchorId="11076DFE">
          <v:group id="_x0000_s4221" style="position:absolute;margin-left:47.85pt;margin-top:9.9pt;width:499.55pt;height:52.25pt;z-index:-15510528;mso-wrap-distance-left:0;mso-wrap-distance-right:0;mso-position-horizontal-relative:page" coordorigin="957,198" coordsize="9991,1045">
            <v:shape id="_x0000_s4224" style="position:absolute;left:964;top:205;width:9976;height:1030" coordorigin="965,205" coordsize="9976,1030" path="m10861,205r-9816,l1014,212r-26,17l971,254r-6,31l965,1155r6,31l988,1212r26,17l1045,1235r9816,l10892,1229r25,-17l10935,1186r6,-31l10941,285r-6,-31l10917,229r-25,-17l10861,205xe" fillcolor="#f5f5f5" stroked="f">
              <v:path arrowok="t"/>
            </v:shape>
            <v:shape id="_x0000_s4223" style="position:absolute;left:964;top:205;width:9976;height:1030" coordorigin="965,205" coordsize="9976,1030" path="m1045,205r9816,l10892,212r25,17l10935,254r6,31l10941,1155r-6,31l10917,1212r-25,17l10861,1235r-9816,l1014,1229r-26,-17l971,1186r-6,-31l965,285r6,-31l988,229r26,-17l1045,205xe" filled="f" strokecolor="#ccc">
              <v:path arrowok="t"/>
            </v:shape>
            <v:shape id="_x0000_s4222" type="#_x0000_t202" style="position:absolute;left:984;top:220;width:9938;height:999" filled="f" stroked="f">
              <v:textbox inset="0,0,0,0">
                <w:txbxContent>
                  <w:p w14:paraId="070D02E2" w14:textId="77777777" w:rsidR="00711A16" w:rsidRDefault="00711A16">
                    <w:pPr>
                      <w:spacing w:before="221" w:line="252" w:lineRule="auto"/>
                      <w:ind w:left="200" w:right="4218"/>
                      <w:rPr>
                        <w:rFonts w:ascii="MS Gothic"/>
                      </w:rPr>
                    </w:pPr>
                    <w:r>
                      <w:rPr>
                        <w:rFonts w:ascii="MS Gothic"/>
                        <w:color w:val="333333"/>
                      </w:rPr>
                      <w:t>spring.security.oauth2.resourceserver.jwt.jwk-set- uri=https://example.com/oauth2/default/v1/keys</w:t>
                    </w:r>
                  </w:p>
                </w:txbxContent>
              </v:textbox>
            </v:shape>
            <w10:wrap type="topAndBottom" anchorx="page"/>
          </v:group>
        </w:pict>
      </w:r>
    </w:p>
    <w:p w14:paraId="37F3C5DD" w14:textId="77777777" w:rsidR="00A720EB" w:rsidRDefault="00A720EB">
      <w:pPr>
        <w:rPr>
          <w:sz w:val="13"/>
        </w:rPr>
        <w:sectPr w:rsidR="00A720EB">
          <w:pgSz w:w="11910" w:h="16840"/>
          <w:pgMar w:top="640" w:right="840" w:bottom="520" w:left="840" w:header="0" w:footer="323" w:gutter="0"/>
          <w:cols w:space="720"/>
        </w:sectPr>
      </w:pPr>
    </w:p>
    <w:p w14:paraId="1DFA8E26" w14:textId="77777777" w:rsidR="00A720EB" w:rsidRDefault="00E10349">
      <w:pPr>
        <w:pStyle w:val="a3"/>
        <w:ind w:left="116"/>
        <w:rPr>
          <w:sz w:val="20"/>
        </w:rPr>
      </w:pPr>
      <w:r>
        <w:rPr>
          <w:sz w:val="20"/>
        </w:rPr>
      </w:r>
      <w:r>
        <w:rPr>
          <w:sz w:val="20"/>
        </w:rPr>
        <w:pict w14:anchorId="32A365E1">
          <v:group id="_x0000_s4217" style="width:499.55pt;height:52.25pt;mso-position-horizontal-relative:char;mso-position-vertical-relative:line" coordsize="9991,1045">
            <v:shape id="_x0000_s4220" style="position:absolute;left:7;top:7;width:9976;height:1030" coordorigin="8,8" coordsize="9976,1030" path="m9904,8l88,8,56,14,31,31,14,56,8,88r,869l14,988r17,26l56,1031r32,6l9904,1037r31,-6l9960,1014r17,-26l9984,957r,-869l9977,56,9960,31,9935,14,9904,8xe" fillcolor="#f5f5f5" stroked="f">
              <v:path arrowok="t"/>
            </v:shape>
            <v:shape id="_x0000_s4219" style="position:absolute;left:7;top:7;width:9976;height:1030" coordorigin="8,8" coordsize="9976,1030" path="m88,8r9816,l9935,14r25,17l9977,56r7,32l9984,957r-7,31l9960,1014r-25,17l9904,1037r-9816,l56,1031,31,1014,14,988,8,957,8,88,14,56,31,31,56,14,88,8xe" filled="f" strokecolor="#ccc">
              <v:path arrowok="t"/>
            </v:shape>
            <v:shape id="_x0000_s4218" type="#_x0000_t202" style="position:absolute;left:26;top:22;width:9938;height:999" filled="f" stroked="f">
              <v:textbox inset="0,0,0,0">
                <w:txbxContent>
                  <w:p w14:paraId="08A882E5" w14:textId="77777777" w:rsidR="00711A16" w:rsidRDefault="00711A16">
                    <w:pPr>
                      <w:spacing w:before="221" w:line="252" w:lineRule="auto"/>
                      <w:ind w:left="200" w:right="2568"/>
                      <w:rPr>
                        <w:rFonts w:ascii="MS Gothic"/>
                      </w:rPr>
                    </w:pPr>
                    <w:r>
                      <w:rPr>
                        <w:rFonts w:ascii="MS Gothic"/>
                        <w:color w:val="333333"/>
                      </w:rPr>
                      <w:t>spring.security.oauth2.resourceserver.jwt.issuer-uri=https://dev- 123456.oktapreview.com/oauth2/default/</w:t>
                    </w:r>
                  </w:p>
                </w:txbxContent>
              </v:textbox>
            </v:shape>
            <w10:anchorlock/>
          </v:group>
        </w:pict>
      </w:r>
    </w:p>
    <w:p w14:paraId="302BF9A2" w14:textId="77777777" w:rsidR="00A720EB" w:rsidRDefault="00A720EB">
      <w:pPr>
        <w:pStyle w:val="a3"/>
        <w:spacing w:before="9"/>
        <w:rPr>
          <w:sz w:val="16"/>
        </w:rPr>
      </w:pPr>
    </w:p>
    <w:p w14:paraId="22148DAD" w14:textId="77777777" w:rsidR="00A720EB" w:rsidRDefault="00E10349">
      <w:pPr>
        <w:pStyle w:val="a3"/>
        <w:spacing w:before="125" w:line="295" w:lineRule="auto"/>
        <w:ind w:left="1564" w:right="362"/>
        <w:jc w:val="both"/>
      </w:pPr>
      <w:r>
        <w:pict w14:anchorId="418843B4">
          <v:line id="_x0000_s4216" style="position:absolute;left:0;text-align:left;z-index:15948288;mso-position-horizontal-relative:page" from="108.25pt,.25pt" to="108.25pt,87.15pt" strokecolor="#ededed" strokeweight=".5pt">
            <w10:wrap anchorx="page"/>
          </v:line>
        </w:pict>
      </w:r>
      <w:r w:rsidR="0030286B">
        <w:rPr>
          <w:noProof/>
        </w:rPr>
        <w:drawing>
          <wp:anchor distT="0" distB="0" distL="0" distR="0" simplePos="0" relativeHeight="15948800" behindDoc="0" locked="0" layoutInCell="1" allowOverlap="1" wp14:anchorId="239A1780" wp14:editId="69844B6F">
            <wp:simplePos x="0" y="0"/>
            <wp:positionH relativeFrom="page">
              <wp:posOffset>844422</wp:posOffset>
            </wp:positionH>
            <wp:positionV relativeFrom="paragraph">
              <wp:posOffset>405930</wp:posOffset>
            </wp:positionV>
            <wp:extent cx="298450" cy="298450"/>
            <wp:effectExtent l="0" t="0" r="0" b="0"/>
            <wp:wrapNone/>
            <wp:docPr id="2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the authorization server does not support a JWK Set URI, you can configure the resource server with the Public Key used for verifying the signature of the </w:t>
      </w:r>
      <w:r w:rsidR="0030286B">
        <w:rPr>
          <w:color w:val="333333"/>
          <w:spacing w:val="-6"/>
          <w:w w:val="110"/>
        </w:rPr>
        <w:t xml:space="preserve">JWT.  </w:t>
      </w:r>
      <w:r w:rsidR="0030286B">
        <w:rPr>
          <w:color w:val="333333"/>
          <w:spacing w:val="38"/>
          <w:w w:val="110"/>
        </w:rPr>
        <w:t xml:space="preserve"> </w:t>
      </w:r>
      <w:r w:rsidR="0030286B">
        <w:rPr>
          <w:color w:val="333333"/>
          <w:w w:val="105"/>
        </w:rPr>
        <w:t>This</w:t>
      </w:r>
      <w:r w:rsidR="0030286B">
        <w:rPr>
          <w:color w:val="333333"/>
          <w:spacing w:val="-16"/>
          <w:w w:val="105"/>
        </w:rPr>
        <w:t xml:space="preserve"> </w:t>
      </w:r>
      <w:r w:rsidR="0030286B">
        <w:rPr>
          <w:color w:val="333333"/>
          <w:w w:val="105"/>
        </w:rPr>
        <w:t>can</w:t>
      </w:r>
      <w:r w:rsidR="0030286B">
        <w:rPr>
          <w:color w:val="333333"/>
          <w:spacing w:val="-16"/>
          <w:w w:val="105"/>
        </w:rPr>
        <w:t xml:space="preserve"> </w:t>
      </w:r>
      <w:r w:rsidR="0030286B">
        <w:rPr>
          <w:color w:val="333333"/>
          <w:w w:val="105"/>
        </w:rPr>
        <w:t>be</w:t>
      </w:r>
      <w:r w:rsidR="0030286B">
        <w:rPr>
          <w:color w:val="333333"/>
          <w:spacing w:val="-16"/>
          <w:w w:val="105"/>
        </w:rPr>
        <w:t xml:space="preserve"> </w:t>
      </w:r>
      <w:r w:rsidR="0030286B">
        <w:rPr>
          <w:color w:val="333333"/>
          <w:w w:val="105"/>
        </w:rPr>
        <w:t>done</w:t>
      </w:r>
      <w:r w:rsidR="0030286B">
        <w:rPr>
          <w:color w:val="333333"/>
          <w:spacing w:val="-15"/>
          <w:w w:val="105"/>
        </w:rPr>
        <w:t xml:space="preserve"> </w:t>
      </w:r>
      <w:r w:rsidR="0030286B">
        <w:rPr>
          <w:color w:val="333333"/>
          <w:w w:val="105"/>
        </w:rPr>
        <w:t>using</w:t>
      </w:r>
      <w:r w:rsidR="0030286B">
        <w:rPr>
          <w:color w:val="333333"/>
          <w:spacing w:val="-16"/>
          <w:w w:val="105"/>
        </w:rPr>
        <w:t xml:space="preserve"> </w:t>
      </w:r>
      <w:r w:rsidR="0030286B">
        <w:rPr>
          <w:color w:val="333333"/>
          <w:w w:val="105"/>
        </w:rPr>
        <w:t>the</w:t>
      </w:r>
      <w:r w:rsidR="0030286B">
        <w:rPr>
          <w:color w:val="333333"/>
          <w:spacing w:val="-14"/>
          <w:w w:val="105"/>
        </w:rPr>
        <w:t xml:space="preserve"> </w:t>
      </w:r>
      <w:r w:rsidR="0030286B">
        <w:rPr>
          <w:rFonts w:ascii="MS Gothic"/>
          <w:color w:val="B02045"/>
          <w:w w:val="105"/>
        </w:rPr>
        <w:t xml:space="preserve">spring.security.oauth2.resourceserver.jwt.public-key- </w:t>
      </w:r>
      <w:r w:rsidR="0030286B">
        <w:rPr>
          <w:rFonts w:ascii="MS Gothic"/>
          <w:color w:val="B02045"/>
          <w:w w:val="110"/>
        </w:rPr>
        <w:t xml:space="preserve">location </w:t>
      </w:r>
      <w:r w:rsidR="0030286B">
        <w:rPr>
          <w:color w:val="333333"/>
          <w:spacing w:val="-3"/>
          <w:w w:val="110"/>
        </w:rPr>
        <w:t xml:space="preserve">property, </w:t>
      </w:r>
      <w:r w:rsidR="0030286B">
        <w:rPr>
          <w:color w:val="333333"/>
          <w:w w:val="110"/>
        </w:rPr>
        <w:t>where the value needs to point to a file containing the public key in the PEM-encoded x509</w:t>
      </w:r>
      <w:r w:rsidR="0030286B">
        <w:rPr>
          <w:color w:val="333333"/>
          <w:spacing w:val="15"/>
          <w:w w:val="110"/>
        </w:rPr>
        <w:t xml:space="preserve"> </w:t>
      </w:r>
      <w:r w:rsidR="0030286B">
        <w:rPr>
          <w:color w:val="333333"/>
          <w:w w:val="110"/>
        </w:rPr>
        <w:t>format.</w:t>
      </w:r>
    </w:p>
    <w:p w14:paraId="098BE6D0" w14:textId="77777777" w:rsidR="00A720EB" w:rsidRDefault="00A720EB">
      <w:pPr>
        <w:pStyle w:val="a3"/>
        <w:spacing w:before="3"/>
        <w:rPr>
          <w:sz w:val="17"/>
        </w:rPr>
      </w:pPr>
    </w:p>
    <w:p w14:paraId="57227F8B" w14:textId="77777777" w:rsidR="00A720EB" w:rsidRDefault="0030286B">
      <w:pPr>
        <w:pStyle w:val="a3"/>
        <w:spacing w:before="125"/>
        <w:ind w:left="124"/>
      </w:pPr>
      <w:r>
        <w:rPr>
          <w:color w:val="333333"/>
          <w:w w:val="110"/>
        </w:rPr>
        <w:t>The same properties are applicable for both servlet and reactive applications.</w:t>
      </w:r>
    </w:p>
    <w:p w14:paraId="6183EA5C" w14:textId="77777777" w:rsidR="00A720EB" w:rsidRDefault="00A720EB">
      <w:pPr>
        <w:pStyle w:val="a3"/>
        <w:spacing w:before="6"/>
        <w:rPr>
          <w:sz w:val="25"/>
        </w:rPr>
      </w:pPr>
    </w:p>
    <w:p w14:paraId="1CC2B6B9" w14:textId="77777777" w:rsidR="00A720EB" w:rsidRDefault="0030286B">
      <w:pPr>
        <w:pStyle w:val="a3"/>
        <w:ind w:left="124"/>
      </w:pPr>
      <w:r>
        <w:rPr>
          <w:color w:val="333333"/>
          <w:w w:val="115"/>
        </w:rPr>
        <w:t xml:space="preserve">Alternatively, you can define your own </w:t>
      </w:r>
      <w:r>
        <w:rPr>
          <w:rFonts w:ascii="MS Gothic"/>
          <w:color w:val="B02045"/>
          <w:w w:val="115"/>
        </w:rPr>
        <w:t xml:space="preserve">JwtDecoder </w:t>
      </w:r>
      <w:r>
        <w:rPr>
          <w:color w:val="333333"/>
          <w:w w:val="115"/>
        </w:rPr>
        <w:t>bean for servlet applications or a</w:t>
      </w:r>
    </w:p>
    <w:p w14:paraId="74E88EE0" w14:textId="77777777" w:rsidR="00A720EB" w:rsidRDefault="0030286B">
      <w:pPr>
        <w:pStyle w:val="a3"/>
        <w:spacing w:before="46"/>
        <w:ind w:left="124"/>
      </w:pPr>
      <w:r>
        <w:rPr>
          <w:rFonts w:ascii="MS Gothic"/>
          <w:color w:val="B02045"/>
          <w:w w:val="110"/>
        </w:rPr>
        <w:t>ReactiveJwtDecoder</w:t>
      </w:r>
      <w:r>
        <w:rPr>
          <w:rFonts w:ascii="MS Gothic"/>
          <w:color w:val="B02045"/>
          <w:spacing w:val="-60"/>
          <w:w w:val="110"/>
        </w:rPr>
        <w:t xml:space="preserve"> </w:t>
      </w:r>
      <w:r>
        <w:rPr>
          <w:color w:val="333333"/>
          <w:w w:val="110"/>
        </w:rPr>
        <w:t>for reactive applications.</w:t>
      </w:r>
    </w:p>
    <w:p w14:paraId="18BE2602" w14:textId="77777777" w:rsidR="00A720EB" w:rsidRDefault="00A720EB">
      <w:pPr>
        <w:pStyle w:val="a3"/>
        <w:spacing w:before="4"/>
        <w:rPr>
          <w:sz w:val="25"/>
        </w:rPr>
      </w:pPr>
    </w:p>
    <w:p w14:paraId="51C4CD4D" w14:textId="77777777" w:rsidR="00A720EB" w:rsidRDefault="0030286B">
      <w:pPr>
        <w:pStyle w:val="a3"/>
        <w:spacing w:line="307" w:lineRule="auto"/>
        <w:ind w:left="124" w:right="300"/>
      </w:pPr>
      <w:r>
        <w:rPr>
          <w:color w:val="333333"/>
          <w:w w:val="110"/>
        </w:rPr>
        <w:t xml:space="preserve">In cases where opaque tokens are used instead of JWTs, you can configure the following </w:t>
      </w:r>
      <w:proofErr w:type="gramStart"/>
      <w:r>
        <w:rPr>
          <w:color w:val="333333"/>
          <w:w w:val="110"/>
        </w:rPr>
        <w:t>properties  to</w:t>
      </w:r>
      <w:proofErr w:type="gramEnd"/>
      <w:r>
        <w:rPr>
          <w:color w:val="333333"/>
          <w:w w:val="110"/>
        </w:rPr>
        <w:t xml:space="preserve"> validate tokens via</w:t>
      </w:r>
      <w:r>
        <w:rPr>
          <w:color w:val="333333"/>
          <w:spacing w:val="13"/>
          <w:w w:val="110"/>
        </w:rPr>
        <w:t xml:space="preserve"> </w:t>
      </w:r>
      <w:r>
        <w:rPr>
          <w:color w:val="333333"/>
          <w:w w:val="110"/>
        </w:rPr>
        <w:t>introspection:</w:t>
      </w:r>
    </w:p>
    <w:p w14:paraId="0604F41E" w14:textId="77777777" w:rsidR="00A720EB" w:rsidRDefault="00E10349">
      <w:pPr>
        <w:pStyle w:val="a3"/>
        <w:spacing w:before="2"/>
        <w:rPr>
          <w:sz w:val="13"/>
        </w:rPr>
      </w:pPr>
      <w:r>
        <w:pict w14:anchorId="134EDB89">
          <v:group id="_x0000_s4212" style="position:absolute;margin-left:47.85pt;margin-top:9.7pt;width:499.55pt;height:81.75pt;z-index:-15509504;mso-wrap-distance-left:0;mso-wrap-distance-right:0;mso-position-horizontal-relative:page" coordorigin="957,194" coordsize="9991,1635">
            <v:shape id="_x0000_s4215" style="position:absolute;left:964;top:201;width:9976;height:1620" coordorigin="965,202" coordsize="9976,1620" path="m10861,202r-9816,l1014,208r-26,17l971,251r-6,31l965,1741r6,31l988,1798r26,17l1045,1821r9816,l10892,1815r25,-17l10935,1772r6,-31l10941,282r-6,-31l10917,225r-25,-17l10861,202xe" fillcolor="#f5f5f5" stroked="f">
              <v:path arrowok="t"/>
            </v:shape>
            <v:shape id="_x0000_s4214" style="position:absolute;left:964;top:201;width:9976;height:1620" coordorigin="965,202" coordsize="9976,1620" path="m1045,202r9816,l10892,208r25,17l10935,251r6,31l10941,1741r-6,31l10917,1798r-25,17l10861,1821r-9816,l1014,1815r-26,-17l971,1772r-6,-31l965,282r6,-31l988,225r26,-17l1045,202xe" filled="f" strokecolor="#ccc">
              <v:path arrowok="t"/>
            </v:shape>
            <v:shape id="_x0000_s4213" type="#_x0000_t202" style="position:absolute;left:984;top:217;width:9938;height:1589" filled="f" stroked="f">
              <v:textbox inset="0,0,0,0">
                <w:txbxContent>
                  <w:p w14:paraId="28B910AF" w14:textId="77777777" w:rsidR="00711A16" w:rsidRDefault="00711A16">
                    <w:pPr>
                      <w:spacing w:before="221" w:line="252" w:lineRule="auto"/>
                      <w:ind w:left="200" w:right="934"/>
                      <w:rPr>
                        <w:rFonts w:ascii="MS Gothic"/>
                      </w:rPr>
                    </w:pPr>
                    <w:proofErr w:type="gramStart"/>
                    <w:r>
                      <w:rPr>
                        <w:rFonts w:ascii="MS Gothic"/>
                        <w:color w:val="333333"/>
                      </w:rPr>
                      <w:t>spring.security</w:t>
                    </w:r>
                    <w:proofErr w:type="gramEnd"/>
                    <w:r>
                      <w:rPr>
                        <w:rFonts w:ascii="MS Gothic"/>
                        <w:color w:val="333333"/>
                      </w:rPr>
                      <w:t>.oauth2.resourceserver.opaquetoken.introspection- uri=https://example.com/check-token spring.security.oauth2.resourceserver.opaquetoken.client-id=my-client-id spring.security.oauth2.resourceserver.opaquetoken.client-secret=my-client-secret</w:t>
                    </w:r>
                  </w:p>
                </w:txbxContent>
              </v:textbox>
            </v:shape>
            <w10:wrap type="topAndBottom" anchorx="page"/>
          </v:group>
        </w:pict>
      </w:r>
    </w:p>
    <w:p w14:paraId="0715E105" w14:textId="77777777" w:rsidR="00A720EB" w:rsidRDefault="00A720EB">
      <w:pPr>
        <w:pStyle w:val="a3"/>
        <w:rPr>
          <w:sz w:val="10"/>
        </w:rPr>
      </w:pPr>
    </w:p>
    <w:p w14:paraId="6D66202E" w14:textId="77777777" w:rsidR="00A720EB" w:rsidRDefault="0030286B">
      <w:pPr>
        <w:pStyle w:val="a3"/>
        <w:spacing w:before="125"/>
        <w:ind w:left="124"/>
        <w:jc w:val="both"/>
      </w:pPr>
      <w:r>
        <w:rPr>
          <w:color w:val="333333"/>
          <w:w w:val="110"/>
        </w:rPr>
        <w:t>Again, the same properties are applicable for both servlet and reactive applications.</w:t>
      </w:r>
    </w:p>
    <w:p w14:paraId="01ED7ABA" w14:textId="77777777" w:rsidR="00A720EB" w:rsidRDefault="00A720EB">
      <w:pPr>
        <w:pStyle w:val="a3"/>
        <w:spacing w:before="6"/>
        <w:rPr>
          <w:sz w:val="25"/>
        </w:rPr>
      </w:pPr>
    </w:p>
    <w:p w14:paraId="0E89E859" w14:textId="77777777" w:rsidR="00A720EB" w:rsidRDefault="0030286B">
      <w:pPr>
        <w:pStyle w:val="a3"/>
        <w:ind w:left="124"/>
        <w:jc w:val="both"/>
      </w:pPr>
      <w:r>
        <w:rPr>
          <w:color w:val="333333"/>
          <w:w w:val="110"/>
        </w:rPr>
        <w:t xml:space="preserve">Alternatively, you can define your own </w:t>
      </w:r>
      <w:r>
        <w:rPr>
          <w:rFonts w:ascii="MS Gothic"/>
          <w:color w:val="B02045"/>
          <w:w w:val="110"/>
        </w:rPr>
        <w:t xml:space="preserve">OpaqueTokenIntrospector </w:t>
      </w:r>
      <w:r>
        <w:rPr>
          <w:color w:val="333333"/>
          <w:w w:val="110"/>
        </w:rPr>
        <w:t>bean for servlet applications or a</w:t>
      </w:r>
    </w:p>
    <w:p w14:paraId="5BA34958" w14:textId="77777777" w:rsidR="00A720EB" w:rsidRDefault="0030286B">
      <w:pPr>
        <w:pStyle w:val="a3"/>
        <w:spacing w:before="47"/>
        <w:ind w:left="124"/>
        <w:jc w:val="both"/>
      </w:pPr>
      <w:r>
        <w:rPr>
          <w:rFonts w:ascii="MS Gothic"/>
          <w:color w:val="B02045"/>
          <w:w w:val="110"/>
        </w:rPr>
        <w:t>ReactiveOpaqueTokenIntrospector</w:t>
      </w:r>
      <w:r>
        <w:rPr>
          <w:rFonts w:ascii="MS Gothic"/>
          <w:color w:val="B02045"/>
          <w:spacing w:val="-66"/>
          <w:w w:val="110"/>
        </w:rPr>
        <w:t xml:space="preserve"> </w:t>
      </w:r>
      <w:r>
        <w:rPr>
          <w:color w:val="333333"/>
          <w:w w:val="110"/>
        </w:rPr>
        <w:t>for reactive applications.</w:t>
      </w:r>
    </w:p>
    <w:p w14:paraId="2241897D" w14:textId="77777777" w:rsidR="00A720EB" w:rsidRDefault="00A720EB">
      <w:pPr>
        <w:pStyle w:val="a3"/>
        <w:spacing w:before="5"/>
        <w:rPr>
          <w:sz w:val="30"/>
        </w:rPr>
      </w:pPr>
    </w:p>
    <w:p w14:paraId="4744560E" w14:textId="77777777" w:rsidR="00A720EB" w:rsidRDefault="0030286B">
      <w:pPr>
        <w:pStyle w:val="4"/>
      </w:pPr>
      <w:bookmarkStart w:id="303" w:name="Authorization_Server"/>
      <w:bookmarkEnd w:id="303"/>
      <w:r>
        <w:rPr>
          <w:color w:val="333333"/>
          <w:w w:val="115"/>
        </w:rPr>
        <w:t>Authorization Server</w:t>
      </w:r>
    </w:p>
    <w:p w14:paraId="23A6222B" w14:textId="77777777" w:rsidR="00A720EB" w:rsidRDefault="00A720EB">
      <w:pPr>
        <w:pStyle w:val="a3"/>
        <w:spacing w:before="11"/>
        <w:rPr>
          <w:rFonts w:ascii="Palatino Linotype"/>
          <w:b/>
          <w:sz w:val="18"/>
        </w:rPr>
      </w:pPr>
    </w:p>
    <w:p w14:paraId="37797F3F" w14:textId="77777777" w:rsidR="00A720EB" w:rsidRDefault="0030286B">
      <w:pPr>
        <w:pStyle w:val="a3"/>
        <w:spacing w:line="295" w:lineRule="auto"/>
        <w:ind w:left="124" w:right="122"/>
        <w:jc w:val="both"/>
      </w:pPr>
      <w:r>
        <w:rPr>
          <w:color w:val="333333"/>
          <w:w w:val="110"/>
        </w:rPr>
        <w:t xml:space="preserve">Currently, Spring Security does not provide support for implementing an OAuth 2.0 Authorization Server. However, this functionality is available from the </w:t>
      </w:r>
      <w:hyperlink r:id="rId180">
        <w:r>
          <w:rPr>
            <w:color w:val="418BCA"/>
            <w:w w:val="110"/>
          </w:rPr>
          <w:t>Spring Security OAuth</w:t>
        </w:r>
      </w:hyperlink>
      <w:r>
        <w:rPr>
          <w:color w:val="418BCA"/>
          <w:w w:val="110"/>
        </w:rPr>
        <w:t xml:space="preserve"> </w:t>
      </w:r>
      <w:r>
        <w:rPr>
          <w:color w:val="333333"/>
          <w:w w:val="110"/>
        </w:rPr>
        <w:t xml:space="preserve">project, which will eventually be superseded by Spring Security completely. Until then, you can use the </w:t>
      </w:r>
      <w:r>
        <w:rPr>
          <w:rFonts w:ascii="MS Gothic"/>
          <w:color w:val="B02045"/>
          <w:w w:val="110"/>
        </w:rPr>
        <w:t xml:space="preserve">spring- security-oauth2-autoconfigure </w:t>
      </w:r>
      <w:r>
        <w:rPr>
          <w:color w:val="333333"/>
          <w:w w:val="110"/>
        </w:rPr>
        <w:t xml:space="preserve">module to easily set up an OAuth 2.0 authorization server; see its </w:t>
      </w:r>
      <w:hyperlink r:id="rId181">
        <w:r>
          <w:rPr>
            <w:color w:val="418BCA"/>
            <w:w w:val="110"/>
          </w:rPr>
          <w:t xml:space="preserve">documentation </w:t>
        </w:r>
      </w:hyperlink>
      <w:r>
        <w:rPr>
          <w:color w:val="333333"/>
          <w:w w:val="110"/>
        </w:rPr>
        <w:t>for instructions.</w:t>
      </w:r>
    </w:p>
    <w:p w14:paraId="4B13737F" w14:textId="77777777" w:rsidR="00A720EB" w:rsidRDefault="00A720EB">
      <w:pPr>
        <w:pStyle w:val="a3"/>
        <w:spacing w:before="4"/>
        <w:rPr>
          <w:sz w:val="26"/>
        </w:rPr>
      </w:pPr>
    </w:p>
    <w:p w14:paraId="4442A049" w14:textId="77777777" w:rsidR="00A720EB" w:rsidRDefault="0030286B">
      <w:pPr>
        <w:pStyle w:val="3"/>
        <w:numPr>
          <w:ilvl w:val="2"/>
          <w:numId w:val="68"/>
        </w:numPr>
        <w:tabs>
          <w:tab w:val="left" w:pos="1003"/>
        </w:tabs>
        <w:ind w:left="1002" w:hanging="879"/>
      </w:pPr>
      <w:bookmarkStart w:id="304" w:name="4.10.4._SAML_2.0"/>
      <w:bookmarkStart w:id="305" w:name="_Toc54423765"/>
      <w:bookmarkEnd w:id="304"/>
      <w:r>
        <w:rPr>
          <w:color w:val="333333"/>
          <w:w w:val="105"/>
        </w:rPr>
        <w:t>SAML</w:t>
      </w:r>
      <w:r>
        <w:rPr>
          <w:color w:val="333333"/>
          <w:spacing w:val="-3"/>
          <w:w w:val="105"/>
        </w:rPr>
        <w:t xml:space="preserve"> </w:t>
      </w:r>
      <w:r>
        <w:rPr>
          <w:color w:val="333333"/>
          <w:w w:val="105"/>
        </w:rPr>
        <w:t>2.0</w:t>
      </w:r>
      <w:bookmarkEnd w:id="305"/>
    </w:p>
    <w:p w14:paraId="4B0BDF7E" w14:textId="77777777" w:rsidR="00A720EB" w:rsidRDefault="00A720EB">
      <w:pPr>
        <w:pStyle w:val="a3"/>
        <w:spacing w:before="4"/>
        <w:rPr>
          <w:rFonts w:ascii="Palatino Linotype"/>
          <w:b/>
          <w:sz w:val="23"/>
        </w:rPr>
      </w:pPr>
    </w:p>
    <w:p w14:paraId="2189CFD9" w14:textId="77777777" w:rsidR="00A720EB" w:rsidRDefault="0030286B">
      <w:pPr>
        <w:pStyle w:val="4"/>
      </w:pPr>
      <w:bookmarkStart w:id="306" w:name="Relying_Party"/>
      <w:bookmarkEnd w:id="306"/>
      <w:r>
        <w:rPr>
          <w:color w:val="333333"/>
          <w:w w:val="110"/>
        </w:rPr>
        <w:t>Relying Party</w:t>
      </w:r>
    </w:p>
    <w:p w14:paraId="3EF780F6" w14:textId="77777777" w:rsidR="00A720EB" w:rsidRDefault="0030286B">
      <w:pPr>
        <w:pStyle w:val="a3"/>
        <w:spacing w:before="244" w:line="295" w:lineRule="auto"/>
        <w:ind w:left="124" w:right="127"/>
        <w:jc w:val="both"/>
      </w:pPr>
      <w:r>
        <w:rPr>
          <w:color w:val="333333"/>
          <w:w w:val="110"/>
        </w:rPr>
        <w:t xml:space="preserve">If you have </w:t>
      </w:r>
      <w:r>
        <w:rPr>
          <w:rFonts w:ascii="MS Gothic"/>
          <w:color w:val="B02045"/>
          <w:w w:val="110"/>
        </w:rPr>
        <w:t>spring-security-saml2-service-provider</w:t>
      </w:r>
      <w:r>
        <w:rPr>
          <w:rFonts w:ascii="MS Gothic"/>
          <w:color w:val="B02045"/>
          <w:spacing w:val="-70"/>
          <w:w w:val="110"/>
        </w:rPr>
        <w:t xml:space="preserve"> </w:t>
      </w:r>
      <w:r>
        <w:rPr>
          <w:color w:val="333333"/>
          <w:w w:val="110"/>
        </w:rPr>
        <w:t xml:space="preserve">on your classpath, you can take advantage of some auto-configuration to set up a SAML 2.0 Relying </w:t>
      </w:r>
      <w:r>
        <w:rPr>
          <w:color w:val="333333"/>
          <w:spacing w:val="-4"/>
          <w:w w:val="110"/>
        </w:rPr>
        <w:t xml:space="preserve">Party. </w:t>
      </w:r>
      <w:r>
        <w:rPr>
          <w:color w:val="333333"/>
          <w:w w:val="110"/>
        </w:rPr>
        <w:t xml:space="preserve">This configuration makes use of the properties under </w:t>
      </w:r>
      <w:r>
        <w:rPr>
          <w:rFonts w:ascii="MS Gothic"/>
          <w:color w:val="B02045"/>
          <w:w w:val="110"/>
        </w:rPr>
        <w:t>Saml2RelyingPartyProperties</w:t>
      </w:r>
      <w:r>
        <w:rPr>
          <w:color w:val="333333"/>
          <w:w w:val="110"/>
        </w:rPr>
        <w:t>.</w:t>
      </w:r>
    </w:p>
    <w:p w14:paraId="381B41FF" w14:textId="77777777" w:rsidR="00A720EB" w:rsidRDefault="0030286B">
      <w:pPr>
        <w:pStyle w:val="a3"/>
        <w:spacing w:before="232" w:line="302" w:lineRule="auto"/>
        <w:ind w:left="124" w:right="130"/>
        <w:jc w:val="both"/>
      </w:pPr>
      <w:r>
        <w:rPr>
          <w:color w:val="333333"/>
          <w:w w:val="110"/>
        </w:rPr>
        <w:t xml:space="preserve">A relying party registration represents a paired configuration between an Identity Provider, </w:t>
      </w:r>
      <w:proofErr w:type="gramStart"/>
      <w:r>
        <w:rPr>
          <w:color w:val="333333"/>
          <w:spacing w:val="-7"/>
          <w:w w:val="110"/>
        </w:rPr>
        <w:t xml:space="preserve">IDP,   </w:t>
      </w:r>
      <w:proofErr w:type="gramEnd"/>
      <w:r>
        <w:rPr>
          <w:color w:val="333333"/>
          <w:spacing w:val="-7"/>
          <w:w w:val="110"/>
        </w:rPr>
        <w:t xml:space="preserve"> </w:t>
      </w:r>
      <w:r>
        <w:rPr>
          <w:color w:val="333333"/>
          <w:w w:val="110"/>
        </w:rPr>
        <w:t xml:space="preserve">and a Service Provider, </w:t>
      </w:r>
      <w:r>
        <w:rPr>
          <w:color w:val="333333"/>
          <w:spacing w:val="-9"/>
          <w:w w:val="110"/>
        </w:rPr>
        <w:t xml:space="preserve">SP. </w:t>
      </w:r>
      <w:r>
        <w:rPr>
          <w:color w:val="333333"/>
          <w:spacing w:val="-6"/>
          <w:w w:val="110"/>
        </w:rPr>
        <w:t xml:space="preserve">You </w:t>
      </w:r>
      <w:r>
        <w:rPr>
          <w:color w:val="333333"/>
          <w:w w:val="110"/>
        </w:rPr>
        <w:t xml:space="preserve">can register multiple relying parties under the </w:t>
      </w:r>
      <w:proofErr w:type="gramStart"/>
      <w:r>
        <w:rPr>
          <w:rFonts w:ascii="MS Gothic"/>
          <w:color w:val="B02045"/>
          <w:w w:val="110"/>
        </w:rPr>
        <w:t>spring.security</w:t>
      </w:r>
      <w:proofErr w:type="gramEnd"/>
      <w:r>
        <w:rPr>
          <w:rFonts w:ascii="MS Gothic"/>
          <w:color w:val="B02045"/>
          <w:w w:val="110"/>
        </w:rPr>
        <w:t>.saml2.relyingparty</w:t>
      </w:r>
      <w:r>
        <w:rPr>
          <w:rFonts w:ascii="MS Gothic"/>
          <w:color w:val="B02045"/>
          <w:spacing w:val="-89"/>
          <w:w w:val="110"/>
        </w:rPr>
        <w:t xml:space="preserve"> </w:t>
      </w:r>
      <w:r>
        <w:rPr>
          <w:color w:val="333333"/>
          <w:w w:val="110"/>
        </w:rPr>
        <w:t>prefix, as shown in the following example:</w:t>
      </w:r>
    </w:p>
    <w:p w14:paraId="08BFAB4E" w14:textId="77777777" w:rsidR="00A720EB" w:rsidRDefault="00A720EB">
      <w:pPr>
        <w:spacing w:line="302" w:lineRule="auto"/>
        <w:jc w:val="both"/>
        <w:sectPr w:rsidR="00A720EB">
          <w:pgSz w:w="11910" w:h="16840"/>
          <w:pgMar w:top="700" w:right="840" w:bottom="520" w:left="840" w:header="0" w:footer="323" w:gutter="0"/>
          <w:cols w:space="720"/>
        </w:sectPr>
      </w:pPr>
    </w:p>
    <w:p w14:paraId="3C1B96BE" w14:textId="77777777" w:rsidR="00A720EB" w:rsidRDefault="00A720EB">
      <w:pPr>
        <w:pStyle w:val="a3"/>
        <w:spacing w:before="4"/>
        <w:rPr>
          <w:sz w:val="10"/>
        </w:rPr>
      </w:pPr>
    </w:p>
    <w:p w14:paraId="0972D4D6" w14:textId="77777777" w:rsidR="00A720EB" w:rsidRDefault="00E10349">
      <w:pPr>
        <w:spacing w:before="117" w:line="252" w:lineRule="auto"/>
        <w:ind w:left="344" w:right="968"/>
        <w:rPr>
          <w:rFonts w:ascii="MS Gothic"/>
        </w:rPr>
      </w:pPr>
      <w:r>
        <w:pict w14:anchorId="5348D40F">
          <v:group id="_x0000_s4209" style="position:absolute;left:0;text-align:left;margin-left:47.85pt;margin-top:-6.35pt;width:499.55pt;height:361.8pt;z-index:-41585152;mso-position-horizontal-relative:page" coordorigin="957,-127" coordsize="9991,7236">
            <v:shape id="_x0000_s4211" style="position:absolute;left:964;top:-120;width:9976;height:7221" coordorigin="965,-119" coordsize="9976,7221" path="m10861,-119r-9816,l1014,-113r-26,17l971,-71r-6,32l965,7021r6,31l988,7077r26,18l1045,7101r9816,l10892,7095r25,-18l10935,7052r6,-31l10941,-39r-6,-32l10917,-96r-25,-17l10861,-119xe" fillcolor="#f5f5f5" stroked="f">
              <v:path arrowok="t"/>
            </v:shape>
            <v:shape id="_x0000_s4210" style="position:absolute;left:964;top:-120;width:9976;height:7221" coordorigin="965,-119" coordsize="9976,7221" path="m1045,-119r9816,l10892,-113r25,17l10935,-71r6,32l10941,7021r-6,31l10917,7077r-25,18l10861,7101r-9816,l1014,7095r-26,-18l971,7052r-6,-31l965,-39r6,-32l988,-96r26,-17l1045,-119xe" filled="f" strokecolor="#ccc">
              <v:path arrowok="t"/>
            </v:shape>
            <w10:wrap anchorx="page"/>
          </v:group>
        </w:pict>
      </w:r>
      <w:r w:rsidR="0030286B">
        <w:rPr>
          <w:rFonts w:ascii="MS Gothic"/>
          <w:color w:val="333333"/>
        </w:rPr>
        <w:t xml:space="preserve">spring.security.saml2.relyingparty.registration.my-relying- </w:t>
      </w:r>
      <w:proofErr w:type="gramStart"/>
      <w:r w:rsidR="0030286B">
        <w:rPr>
          <w:rFonts w:ascii="MS Gothic"/>
          <w:color w:val="333333"/>
        </w:rPr>
        <w:t>party1.signing.credentials</w:t>
      </w:r>
      <w:proofErr w:type="gramEnd"/>
      <w:r w:rsidR="0030286B">
        <w:rPr>
          <w:rFonts w:ascii="MS Gothic"/>
          <w:color w:val="333333"/>
        </w:rPr>
        <w:t>[0].private-key-location=path-to-private-key spring.security.saml2.relyingparty.registration.my-relying- party1.signing.credentials[0].certificate-location=path-to-certificate spring.security.saml2.relyingparty.registration.my-relying- party1.identityprovider.verification.credentials[0].certificate-location=path-to- verification-cert</w:t>
      </w:r>
    </w:p>
    <w:p w14:paraId="155BD91B" w14:textId="77777777" w:rsidR="00A720EB" w:rsidRDefault="0030286B">
      <w:pPr>
        <w:spacing w:line="252" w:lineRule="auto"/>
        <w:ind w:left="344" w:right="3388"/>
        <w:rPr>
          <w:rFonts w:ascii="MS Gothic"/>
        </w:rPr>
      </w:pPr>
      <w:r>
        <w:rPr>
          <w:rFonts w:ascii="MS Gothic"/>
          <w:color w:val="333333"/>
        </w:rPr>
        <w:t xml:space="preserve">spring.security.saml2.relyingparty.registration.my-relying- </w:t>
      </w:r>
      <w:proofErr w:type="gramStart"/>
      <w:r>
        <w:rPr>
          <w:rFonts w:ascii="MS Gothic"/>
          <w:color w:val="333333"/>
        </w:rPr>
        <w:t>party1.identityprovider.entity</w:t>
      </w:r>
      <w:proofErr w:type="gramEnd"/>
      <w:r>
        <w:rPr>
          <w:rFonts w:ascii="MS Gothic"/>
          <w:color w:val="333333"/>
        </w:rPr>
        <w:t>-id=remote-idp-entity-id1 spring.security.saml2.relyingparty.registration.my-relying- party1.identityprovider.sso-url=https://remoteidp1.sso.url</w:t>
      </w:r>
    </w:p>
    <w:p w14:paraId="7FA49F98" w14:textId="77777777" w:rsidR="00A720EB" w:rsidRDefault="00A720EB">
      <w:pPr>
        <w:pStyle w:val="a3"/>
        <w:rPr>
          <w:rFonts w:ascii="MS Gothic"/>
          <w:sz w:val="22"/>
        </w:rPr>
      </w:pPr>
    </w:p>
    <w:p w14:paraId="698B92A9" w14:textId="77777777" w:rsidR="00A720EB" w:rsidRDefault="0030286B">
      <w:pPr>
        <w:spacing w:line="252" w:lineRule="auto"/>
        <w:ind w:left="344" w:right="968"/>
        <w:rPr>
          <w:rFonts w:ascii="MS Gothic"/>
        </w:rPr>
      </w:pPr>
      <w:r>
        <w:rPr>
          <w:rFonts w:ascii="MS Gothic"/>
          <w:color w:val="333333"/>
        </w:rPr>
        <w:t xml:space="preserve">spring.security.saml2.relyingparty.registration.my-relying- </w:t>
      </w:r>
      <w:proofErr w:type="gramStart"/>
      <w:r>
        <w:rPr>
          <w:rFonts w:ascii="MS Gothic"/>
          <w:color w:val="333333"/>
        </w:rPr>
        <w:t>party2.signing.credentials</w:t>
      </w:r>
      <w:proofErr w:type="gramEnd"/>
      <w:r>
        <w:rPr>
          <w:rFonts w:ascii="MS Gothic"/>
          <w:color w:val="333333"/>
        </w:rPr>
        <w:t>[0].private-key-location=path-to-private-key spring.security.saml2.relyingparty.registration.my-relying- party2.signing.credentials[0].certificate-location=path-to-certificate spring.security.saml2.relyingparty.registration.my-relying- party2.identityprovider.verification.credentials[0].certificate-location=path-to- other-verification-cert</w:t>
      </w:r>
    </w:p>
    <w:p w14:paraId="2A8654C2" w14:textId="77777777" w:rsidR="00A720EB" w:rsidRDefault="0030286B">
      <w:pPr>
        <w:spacing w:line="252" w:lineRule="auto"/>
        <w:ind w:left="344" w:right="3388"/>
        <w:rPr>
          <w:rFonts w:ascii="MS Gothic"/>
        </w:rPr>
      </w:pPr>
      <w:r>
        <w:rPr>
          <w:rFonts w:ascii="MS Gothic"/>
          <w:color w:val="333333"/>
        </w:rPr>
        <w:t xml:space="preserve">spring.security.saml2.relyingparty.registration.my-relying- </w:t>
      </w:r>
      <w:proofErr w:type="gramStart"/>
      <w:r>
        <w:rPr>
          <w:rFonts w:ascii="MS Gothic"/>
          <w:color w:val="333333"/>
        </w:rPr>
        <w:t>party2.identityprovider.entity</w:t>
      </w:r>
      <w:proofErr w:type="gramEnd"/>
      <w:r>
        <w:rPr>
          <w:rFonts w:ascii="MS Gothic"/>
          <w:color w:val="333333"/>
        </w:rPr>
        <w:t>-id=remote-idp-entity-id2 spring.security.saml2.relyingparty.registration.my-relying- party2.identityprovider.sso-url=https://remoteidp2.sso.url</w:t>
      </w:r>
    </w:p>
    <w:p w14:paraId="7E6E5783" w14:textId="77777777" w:rsidR="00A720EB" w:rsidRDefault="00A720EB">
      <w:pPr>
        <w:pStyle w:val="a3"/>
        <w:spacing w:before="6"/>
        <w:rPr>
          <w:rFonts w:ascii="MS Gothic"/>
          <w:sz w:val="41"/>
        </w:rPr>
      </w:pPr>
    </w:p>
    <w:p w14:paraId="6A202FE7" w14:textId="77777777" w:rsidR="00A720EB" w:rsidRDefault="0030286B">
      <w:pPr>
        <w:pStyle w:val="3"/>
        <w:numPr>
          <w:ilvl w:val="2"/>
          <w:numId w:val="68"/>
        </w:numPr>
        <w:tabs>
          <w:tab w:val="left" w:pos="1003"/>
        </w:tabs>
        <w:ind w:left="1002" w:hanging="879"/>
      </w:pPr>
      <w:bookmarkStart w:id="307" w:name="4.10.5._Actuator_Security"/>
      <w:bookmarkStart w:id="308" w:name="_Toc54423766"/>
      <w:bookmarkEnd w:id="307"/>
      <w:r>
        <w:rPr>
          <w:color w:val="333333"/>
          <w:w w:val="115"/>
        </w:rPr>
        <w:t>Actuator</w:t>
      </w:r>
      <w:r>
        <w:rPr>
          <w:color w:val="333333"/>
          <w:spacing w:val="-10"/>
          <w:w w:val="115"/>
        </w:rPr>
        <w:t xml:space="preserve"> </w:t>
      </w:r>
      <w:r>
        <w:rPr>
          <w:color w:val="333333"/>
          <w:w w:val="115"/>
        </w:rPr>
        <w:t>Security</w:t>
      </w:r>
      <w:bookmarkEnd w:id="308"/>
    </w:p>
    <w:p w14:paraId="6FDA9FBC" w14:textId="77777777" w:rsidR="00A720EB" w:rsidRDefault="0030286B">
      <w:pPr>
        <w:pStyle w:val="a3"/>
        <w:spacing w:before="244"/>
        <w:ind w:left="124"/>
        <w:jc w:val="both"/>
      </w:pPr>
      <w:r>
        <w:rPr>
          <w:color w:val="333333"/>
          <w:w w:val="110"/>
        </w:rPr>
        <w:t xml:space="preserve">For security purposes, all actuators other than </w:t>
      </w:r>
      <w:r>
        <w:rPr>
          <w:rFonts w:ascii="MS Gothic"/>
          <w:color w:val="B02045"/>
          <w:w w:val="110"/>
        </w:rPr>
        <w:t xml:space="preserve">/health </w:t>
      </w:r>
      <w:r>
        <w:rPr>
          <w:color w:val="333333"/>
          <w:w w:val="110"/>
        </w:rPr>
        <w:t xml:space="preserve">and </w:t>
      </w:r>
      <w:r>
        <w:rPr>
          <w:rFonts w:ascii="MS Gothic"/>
          <w:color w:val="B02045"/>
          <w:w w:val="110"/>
        </w:rPr>
        <w:t xml:space="preserve">/info </w:t>
      </w:r>
      <w:r>
        <w:rPr>
          <w:color w:val="333333"/>
          <w:w w:val="110"/>
        </w:rPr>
        <w:t>are disabled by default. The</w:t>
      </w:r>
    </w:p>
    <w:p w14:paraId="312EE1F0" w14:textId="77777777" w:rsidR="00A720EB" w:rsidRDefault="0030286B">
      <w:pPr>
        <w:pStyle w:val="a3"/>
        <w:spacing w:before="46"/>
        <w:ind w:left="124"/>
        <w:jc w:val="both"/>
      </w:pPr>
      <w:proofErr w:type="gramStart"/>
      <w:r>
        <w:rPr>
          <w:rFonts w:ascii="MS Gothic"/>
          <w:color w:val="B02045"/>
          <w:w w:val="110"/>
        </w:rPr>
        <w:t>management.endpoints.web.exposure</w:t>
      </w:r>
      <w:proofErr w:type="gramEnd"/>
      <w:r>
        <w:rPr>
          <w:rFonts w:ascii="MS Gothic"/>
          <w:color w:val="B02045"/>
          <w:w w:val="110"/>
        </w:rPr>
        <w:t>.include</w:t>
      </w:r>
      <w:r>
        <w:rPr>
          <w:rFonts w:ascii="MS Gothic"/>
          <w:color w:val="B02045"/>
          <w:spacing w:val="-75"/>
          <w:w w:val="110"/>
        </w:rPr>
        <w:t xml:space="preserve"> </w:t>
      </w:r>
      <w:r>
        <w:rPr>
          <w:color w:val="333333"/>
          <w:w w:val="110"/>
        </w:rPr>
        <w:t>property can be used to enable the actuators.</w:t>
      </w:r>
    </w:p>
    <w:p w14:paraId="6E9E8ABA" w14:textId="77777777" w:rsidR="00A720EB" w:rsidRDefault="00A720EB">
      <w:pPr>
        <w:pStyle w:val="a3"/>
        <w:spacing w:before="4"/>
        <w:rPr>
          <w:sz w:val="25"/>
        </w:rPr>
      </w:pPr>
    </w:p>
    <w:p w14:paraId="533CF9E8" w14:textId="77777777" w:rsidR="00A720EB" w:rsidRDefault="0030286B">
      <w:pPr>
        <w:pStyle w:val="a3"/>
        <w:spacing w:line="290" w:lineRule="auto"/>
        <w:ind w:left="124" w:right="131"/>
        <w:jc w:val="both"/>
      </w:pPr>
      <w:r>
        <w:rPr>
          <w:color w:val="333333"/>
          <w:w w:val="110"/>
        </w:rPr>
        <w:t xml:space="preserve">If Spring Security is on the classpath and no other WebSecurityConfigurerAdapter is present, all actuators other than </w:t>
      </w:r>
      <w:r>
        <w:rPr>
          <w:rFonts w:ascii="MS Gothic"/>
          <w:color w:val="B02045"/>
          <w:w w:val="110"/>
        </w:rPr>
        <w:t xml:space="preserve">/health </w:t>
      </w:r>
      <w:r>
        <w:rPr>
          <w:color w:val="333333"/>
          <w:w w:val="110"/>
        </w:rPr>
        <w:t xml:space="preserve">and </w:t>
      </w:r>
      <w:r>
        <w:rPr>
          <w:rFonts w:ascii="MS Gothic"/>
          <w:color w:val="B02045"/>
          <w:w w:val="110"/>
        </w:rPr>
        <w:t>/info</w:t>
      </w:r>
      <w:r>
        <w:rPr>
          <w:rFonts w:ascii="MS Gothic"/>
          <w:color w:val="B02045"/>
          <w:spacing w:val="-61"/>
          <w:w w:val="110"/>
        </w:rPr>
        <w:t xml:space="preserve"> </w:t>
      </w:r>
      <w:r>
        <w:rPr>
          <w:color w:val="333333"/>
          <w:w w:val="110"/>
        </w:rPr>
        <w:t xml:space="preserve">are secured </w:t>
      </w:r>
      <w:r>
        <w:rPr>
          <w:color w:val="333333"/>
          <w:spacing w:val="-3"/>
          <w:w w:val="110"/>
        </w:rPr>
        <w:t xml:space="preserve">by </w:t>
      </w:r>
      <w:r>
        <w:rPr>
          <w:color w:val="333333"/>
          <w:w w:val="110"/>
        </w:rPr>
        <w:t>Spring Boot auto-configuration. If you define a</w:t>
      </w:r>
      <w:r>
        <w:rPr>
          <w:color w:val="333333"/>
          <w:spacing w:val="-15"/>
          <w:w w:val="110"/>
        </w:rPr>
        <w:t xml:space="preserve"> </w:t>
      </w:r>
      <w:r>
        <w:rPr>
          <w:color w:val="333333"/>
          <w:w w:val="110"/>
        </w:rPr>
        <w:t>custom</w:t>
      </w:r>
      <w:r>
        <w:rPr>
          <w:color w:val="333333"/>
          <w:spacing w:val="-15"/>
          <w:w w:val="110"/>
        </w:rPr>
        <w:t xml:space="preserve"> </w:t>
      </w:r>
      <w:r>
        <w:rPr>
          <w:rFonts w:ascii="MS Gothic"/>
          <w:color w:val="B02045"/>
          <w:w w:val="110"/>
        </w:rPr>
        <w:t>WebSecurityConfigurerAdapter</w:t>
      </w:r>
      <w:r>
        <w:rPr>
          <w:color w:val="333333"/>
          <w:w w:val="110"/>
        </w:rPr>
        <w:t>,</w:t>
      </w:r>
      <w:r>
        <w:rPr>
          <w:color w:val="333333"/>
          <w:spacing w:val="-15"/>
          <w:w w:val="110"/>
        </w:rPr>
        <w:t xml:space="preserve"> </w:t>
      </w:r>
      <w:r>
        <w:rPr>
          <w:color w:val="333333"/>
          <w:w w:val="110"/>
        </w:rPr>
        <w:t>Spring</w:t>
      </w:r>
      <w:r>
        <w:rPr>
          <w:color w:val="333333"/>
          <w:spacing w:val="-15"/>
          <w:w w:val="110"/>
        </w:rPr>
        <w:t xml:space="preserve"> </w:t>
      </w:r>
      <w:r>
        <w:rPr>
          <w:color w:val="333333"/>
          <w:w w:val="110"/>
        </w:rPr>
        <w:t>Boot</w:t>
      </w:r>
      <w:r>
        <w:rPr>
          <w:color w:val="333333"/>
          <w:spacing w:val="-15"/>
          <w:w w:val="110"/>
        </w:rPr>
        <w:t xml:space="preserve"> </w:t>
      </w:r>
      <w:r>
        <w:rPr>
          <w:color w:val="333333"/>
          <w:w w:val="110"/>
        </w:rPr>
        <w:t>auto-configuration</w:t>
      </w:r>
      <w:r>
        <w:rPr>
          <w:color w:val="333333"/>
          <w:spacing w:val="-15"/>
          <w:w w:val="110"/>
        </w:rPr>
        <w:t xml:space="preserve"> </w:t>
      </w:r>
      <w:r>
        <w:rPr>
          <w:color w:val="333333"/>
          <w:w w:val="110"/>
        </w:rPr>
        <w:t>will</w:t>
      </w:r>
      <w:r>
        <w:rPr>
          <w:color w:val="333333"/>
          <w:spacing w:val="-15"/>
          <w:w w:val="110"/>
        </w:rPr>
        <w:t xml:space="preserve"> </w:t>
      </w:r>
      <w:r>
        <w:rPr>
          <w:color w:val="333333"/>
          <w:w w:val="110"/>
        </w:rPr>
        <w:t>back</w:t>
      </w:r>
      <w:r>
        <w:rPr>
          <w:color w:val="333333"/>
          <w:spacing w:val="-15"/>
          <w:w w:val="110"/>
        </w:rPr>
        <w:t xml:space="preserve"> </w:t>
      </w:r>
      <w:r>
        <w:rPr>
          <w:color w:val="333333"/>
          <w:w w:val="110"/>
        </w:rPr>
        <w:t>off</w:t>
      </w:r>
      <w:r>
        <w:rPr>
          <w:color w:val="333333"/>
          <w:spacing w:val="-15"/>
          <w:w w:val="110"/>
        </w:rPr>
        <w:t xml:space="preserve"> </w:t>
      </w:r>
      <w:r>
        <w:rPr>
          <w:color w:val="333333"/>
          <w:w w:val="110"/>
        </w:rPr>
        <w:t>and</w:t>
      </w:r>
      <w:r>
        <w:rPr>
          <w:color w:val="333333"/>
          <w:spacing w:val="-15"/>
          <w:w w:val="110"/>
        </w:rPr>
        <w:t xml:space="preserve"> </w:t>
      </w:r>
      <w:r>
        <w:rPr>
          <w:color w:val="333333"/>
          <w:w w:val="110"/>
        </w:rPr>
        <w:t>you</w:t>
      </w:r>
      <w:r>
        <w:rPr>
          <w:color w:val="333333"/>
          <w:spacing w:val="-15"/>
          <w:w w:val="110"/>
        </w:rPr>
        <w:t xml:space="preserve"> </w:t>
      </w:r>
      <w:r>
        <w:rPr>
          <w:color w:val="333333"/>
          <w:w w:val="110"/>
        </w:rPr>
        <w:t>will</w:t>
      </w:r>
      <w:r>
        <w:rPr>
          <w:color w:val="333333"/>
          <w:spacing w:val="-15"/>
          <w:w w:val="110"/>
        </w:rPr>
        <w:t xml:space="preserve"> </w:t>
      </w:r>
      <w:r>
        <w:rPr>
          <w:color w:val="333333"/>
          <w:w w:val="110"/>
        </w:rPr>
        <w:t>be in full control of actuator access</w:t>
      </w:r>
      <w:r>
        <w:rPr>
          <w:color w:val="333333"/>
          <w:spacing w:val="18"/>
          <w:w w:val="110"/>
        </w:rPr>
        <w:t xml:space="preserve"> </w:t>
      </w:r>
      <w:r>
        <w:rPr>
          <w:color w:val="333333"/>
          <w:w w:val="110"/>
        </w:rPr>
        <w:t>rules.</w:t>
      </w:r>
    </w:p>
    <w:p w14:paraId="654C0854" w14:textId="77777777" w:rsidR="00A720EB" w:rsidRDefault="00A720EB">
      <w:pPr>
        <w:pStyle w:val="a3"/>
        <w:spacing w:before="10"/>
        <w:rPr>
          <w:sz w:val="17"/>
        </w:rPr>
      </w:pPr>
    </w:p>
    <w:p w14:paraId="30E8708F" w14:textId="77777777" w:rsidR="00A720EB" w:rsidRDefault="00E10349">
      <w:pPr>
        <w:pStyle w:val="a3"/>
        <w:spacing w:before="116" w:line="300" w:lineRule="auto"/>
        <w:ind w:left="1564" w:right="362"/>
        <w:jc w:val="both"/>
      </w:pPr>
      <w:r>
        <w:pict w14:anchorId="2BFC339E">
          <v:line id="_x0000_s4208" style="position:absolute;left:0;text-align:left;z-index:15949824;mso-position-horizontal-relative:page" from="108.25pt,.35pt" to="108.25pt,55.7pt" strokecolor="#ededed" strokeweight=".5pt">
            <w10:wrap anchorx="page"/>
          </v:line>
        </w:pict>
      </w:r>
      <w:r w:rsidR="0030286B">
        <w:rPr>
          <w:noProof/>
        </w:rPr>
        <w:drawing>
          <wp:anchor distT="0" distB="0" distL="0" distR="0" simplePos="0" relativeHeight="15950336" behindDoc="0" locked="0" layoutInCell="1" allowOverlap="1" wp14:anchorId="05550B05" wp14:editId="2A947165">
            <wp:simplePos x="0" y="0"/>
            <wp:positionH relativeFrom="page">
              <wp:posOffset>844422</wp:posOffset>
            </wp:positionH>
            <wp:positionV relativeFrom="paragraph">
              <wp:posOffset>206451</wp:posOffset>
            </wp:positionV>
            <wp:extent cx="298450" cy="298450"/>
            <wp:effectExtent l="0" t="0" r="0" b="0"/>
            <wp:wrapNone/>
            <wp:docPr id="2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Before setting the </w:t>
      </w:r>
      <w:proofErr w:type="gramStart"/>
      <w:r w:rsidR="0030286B">
        <w:rPr>
          <w:rFonts w:ascii="MS Gothic"/>
          <w:color w:val="B02045"/>
          <w:w w:val="110"/>
        </w:rPr>
        <w:t>management.endpoints.web.exposure</w:t>
      </w:r>
      <w:proofErr w:type="gramEnd"/>
      <w:r w:rsidR="0030286B">
        <w:rPr>
          <w:rFonts w:ascii="MS Gothic"/>
          <w:color w:val="B02045"/>
          <w:w w:val="110"/>
        </w:rPr>
        <w:t>.include</w:t>
      </w:r>
      <w:r w:rsidR="0030286B">
        <w:rPr>
          <w:color w:val="333333"/>
          <w:w w:val="110"/>
        </w:rPr>
        <w:t>, ensure that the exposed actuators do not contain sensitive information and/or are secured by placing them behind a firewall or by something like Spring Security.</w:t>
      </w:r>
    </w:p>
    <w:p w14:paraId="6032E2F5" w14:textId="77777777" w:rsidR="00A720EB" w:rsidRDefault="00A720EB">
      <w:pPr>
        <w:pStyle w:val="a3"/>
        <w:rPr>
          <w:sz w:val="24"/>
        </w:rPr>
      </w:pPr>
    </w:p>
    <w:p w14:paraId="1B39B603" w14:textId="77777777" w:rsidR="00A720EB" w:rsidRDefault="0030286B">
      <w:pPr>
        <w:pStyle w:val="4"/>
        <w:spacing w:before="104"/>
      </w:pPr>
      <w:bookmarkStart w:id="309" w:name="Cross_Site_Request_Forgery_Protection"/>
      <w:bookmarkEnd w:id="309"/>
      <w:r>
        <w:rPr>
          <w:color w:val="333333"/>
          <w:w w:val="110"/>
        </w:rPr>
        <w:t>Cross Site Request Forgery Protection</w:t>
      </w:r>
    </w:p>
    <w:p w14:paraId="10083EE0" w14:textId="77777777" w:rsidR="00A720EB" w:rsidRDefault="00A720EB">
      <w:pPr>
        <w:pStyle w:val="a3"/>
        <w:spacing w:before="11"/>
        <w:rPr>
          <w:rFonts w:ascii="Palatino Linotype"/>
          <w:b/>
          <w:sz w:val="18"/>
        </w:rPr>
      </w:pPr>
    </w:p>
    <w:p w14:paraId="2760CA2E" w14:textId="77777777" w:rsidR="00A720EB" w:rsidRDefault="0030286B">
      <w:pPr>
        <w:pStyle w:val="a3"/>
        <w:spacing w:line="290" w:lineRule="auto"/>
        <w:ind w:left="124" w:right="122"/>
        <w:jc w:val="both"/>
      </w:pPr>
      <w:r>
        <w:rPr>
          <w:color w:val="333333"/>
          <w:w w:val="110"/>
        </w:rPr>
        <w:t xml:space="preserve">Since Spring Boot relies on Spring Security’s defaults, CSRF protection is turned on by default. This means that the actuator endpoints that require a </w:t>
      </w:r>
      <w:r>
        <w:rPr>
          <w:rFonts w:ascii="MS Gothic" w:hAnsi="MS Gothic"/>
          <w:color w:val="B02045"/>
          <w:w w:val="110"/>
        </w:rPr>
        <w:t xml:space="preserve">POST </w:t>
      </w:r>
      <w:r>
        <w:rPr>
          <w:color w:val="333333"/>
          <w:w w:val="110"/>
        </w:rPr>
        <w:t xml:space="preserve">(shutdown and loggers endpoints), </w:t>
      </w:r>
      <w:r>
        <w:rPr>
          <w:rFonts w:ascii="MS Gothic" w:hAnsi="MS Gothic"/>
          <w:color w:val="B02045"/>
          <w:w w:val="110"/>
        </w:rPr>
        <w:t xml:space="preserve">PUT </w:t>
      </w:r>
      <w:proofErr w:type="gramStart"/>
      <w:r>
        <w:rPr>
          <w:color w:val="333333"/>
          <w:w w:val="110"/>
        </w:rPr>
        <w:t xml:space="preserve">or  </w:t>
      </w:r>
      <w:r>
        <w:rPr>
          <w:rFonts w:ascii="MS Gothic" w:hAnsi="MS Gothic"/>
          <w:color w:val="B02045"/>
          <w:w w:val="110"/>
        </w:rPr>
        <w:t>DELETE</w:t>
      </w:r>
      <w:proofErr w:type="gramEnd"/>
      <w:r>
        <w:rPr>
          <w:rFonts w:ascii="MS Gothic" w:hAnsi="MS Gothic"/>
          <w:color w:val="B02045"/>
          <w:w w:val="110"/>
        </w:rPr>
        <w:t xml:space="preserve"> </w:t>
      </w:r>
      <w:r>
        <w:rPr>
          <w:color w:val="333333"/>
          <w:w w:val="110"/>
        </w:rPr>
        <w:t>will get a 403 forbidden error when the default security configuration is in use.</w:t>
      </w:r>
    </w:p>
    <w:p w14:paraId="47390008" w14:textId="77777777" w:rsidR="00A720EB" w:rsidRDefault="00A720EB">
      <w:pPr>
        <w:pStyle w:val="a3"/>
        <w:spacing w:before="1"/>
        <w:rPr>
          <w:sz w:val="27"/>
        </w:rPr>
      </w:pPr>
    </w:p>
    <w:p w14:paraId="70C30B05" w14:textId="77777777" w:rsidR="00A720EB" w:rsidRDefault="00E10349">
      <w:pPr>
        <w:pStyle w:val="a3"/>
        <w:spacing w:before="1" w:line="307" w:lineRule="auto"/>
        <w:ind w:left="1564" w:right="462"/>
      </w:pPr>
      <w:r>
        <w:pict w14:anchorId="1BCEFA79">
          <v:line id="_x0000_s4207" style="position:absolute;left:0;text-align:left;z-index:15950848;mso-position-horizontal-relative:page" from="108.25pt,-5.95pt" to="108.25pt,33.6pt" strokecolor="#ededed" strokeweight=".5pt">
            <w10:wrap anchorx="page"/>
          </v:line>
        </w:pict>
      </w:r>
      <w:r w:rsidR="0030286B">
        <w:rPr>
          <w:noProof/>
        </w:rPr>
        <w:drawing>
          <wp:anchor distT="0" distB="0" distL="0" distR="0" simplePos="0" relativeHeight="15951360" behindDoc="0" locked="0" layoutInCell="1" allowOverlap="1" wp14:anchorId="6E6BB212" wp14:editId="349B4CA2">
            <wp:simplePos x="0" y="0"/>
            <wp:positionH relativeFrom="page">
              <wp:posOffset>844422</wp:posOffset>
            </wp:positionH>
            <wp:positionV relativeFrom="paragraph">
              <wp:posOffset>26581</wp:posOffset>
            </wp:positionV>
            <wp:extent cx="298450" cy="298450"/>
            <wp:effectExtent l="0" t="0" r="0" b="0"/>
            <wp:wrapNone/>
            <wp:docPr id="2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We recommend disabling CSRF protection completely only if you are creating a service that is used by non-browser clients.</w:t>
      </w:r>
    </w:p>
    <w:p w14:paraId="058AB009" w14:textId="77777777" w:rsidR="00A720EB" w:rsidRDefault="00A720EB">
      <w:pPr>
        <w:pStyle w:val="a3"/>
        <w:spacing w:before="4"/>
        <w:rPr>
          <w:sz w:val="27"/>
        </w:rPr>
      </w:pPr>
    </w:p>
    <w:p w14:paraId="34900E6E" w14:textId="77777777" w:rsidR="00A720EB" w:rsidRDefault="0030286B">
      <w:pPr>
        <w:pStyle w:val="a3"/>
        <w:ind w:left="124"/>
        <w:jc w:val="both"/>
      </w:pPr>
      <w:r>
        <w:rPr>
          <w:color w:val="333333"/>
          <w:w w:val="110"/>
        </w:rPr>
        <w:t xml:space="preserve">Additional information about CSRF protection can be found in the </w:t>
      </w:r>
      <w:hyperlink r:id="rId182" w:anchor="csrf">
        <w:r>
          <w:rPr>
            <w:color w:val="418BCA"/>
            <w:w w:val="110"/>
          </w:rPr>
          <w:t>Spring Security Reference Guide</w:t>
        </w:r>
      </w:hyperlink>
      <w:r>
        <w:rPr>
          <w:color w:val="333333"/>
          <w:w w:val="110"/>
        </w:rPr>
        <w:t>.</w:t>
      </w:r>
    </w:p>
    <w:p w14:paraId="15865E8A" w14:textId="77777777" w:rsidR="00A720EB" w:rsidRDefault="00A720EB">
      <w:pPr>
        <w:jc w:val="both"/>
        <w:sectPr w:rsidR="00A720EB">
          <w:pgSz w:w="11910" w:h="16840"/>
          <w:pgMar w:top="700" w:right="840" w:bottom="520" w:left="840" w:header="0" w:footer="323" w:gutter="0"/>
          <w:cols w:space="720"/>
        </w:sectPr>
      </w:pPr>
    </w:p>
    <w:p w14:paraId="5EE5A009" w14:textId="77777777" w:rsidR="00A720EB" w:rsidRDefault="0030286B">
      <w:pPr>
        <w:pStyle w:val="2"/>
        <w:numPr>
          <w:ilvl w:val="1"/>
          <w:numId w:val="68"/>
        </w:numPr>
        <w:tabs>
          <w:tab w:val="left" w:pos="1034"/>
        </w:tabs>
        <w:spacing w:before="88"/>
        <w:ind w:left="1033" w:hanging="910"/>
      </w:pPr>
      <w:bookmarkStart w:id="310" w:name="4.11._Working_with_SQL_Databases"/>
      <w:bookmarkStart w:id="311" w:name="_Toc54423767"/>
      <w:bookmarkEnd w:id="310"/>
      <w:r>
        <w:rPr>
          <w:color w:val="333333"/>
          <w:spacing w:val="-4"/>
          <w:w w:val="110"/>
        </w:rPr>
        <w:lastRenderedPageBreak/>
        <w:t xml:space="preserve">Working </w:t>
      </w:r>
      <w:r>
        <w:rPr>
          <w:color w:val="333333"/>
          <w:w w:val="110"/>
        </w:rPr>
        <w:t>with SQL</w:t>
      </w:r>
      <w:r>
        <w:rPr>
          <w:color w:val="333333"/>
          <w:spacing w:val="-25"/>
          <w:w w:val="110"/>
        </w:rPr>
        <w:t xml:space="preserve"> </w:t>
      </w:r>
      <w:r>
        <w:rPr>
          <w:color w:val="333333"/>
          <w:w w:val="110"/>
        </w:rPr>
        <w:t>Databases</w:t>
      </w:r>
      <w:bookmarkEnd w:id="311"/>
    </w:p>
    <w:p w14:paraId="2A39532F" w14:textId="77777777" w:rsidR="00A720EB" w:rsidRDefault="0030286B">
      <w:pPr>
        <w:pStyle w:val="a3"/>
        <w:spacing w:before="254" w:line="295" w:lineRule="auto"/>
        <w:ind w:left="124" w:right="122"/>
        <w:jc w:val="both"/>
      </w:pPr>
      <w:r>
        <w:rPr>
          <w:color w:val="333333"/>
          <w:w w:val="110"/>
        </w:rPr>
        <w:t xml:space="preserve">The </w:t>
      </w:r>
      <w:hyperlink r:id="rId183">
        <w:r>
          <w:rPr>
            <w:color w:val="418BCA"/>
            <w:w w:val="110"/>
          </w:rPr>
          <w:t>Spring Framework</w:t>
        </w:r>
      </w:hyperlink>
      <w:r>
        <w:rPr>
          <w:color w:val="418BCA"/>
          <w:w w:val="110"/>
        </w:rPr>
        <w:t xml:space="preserve"> </w:t>
      </w:r>
      <w:r>
        <w:rPr>
          <w:color w:val="333333"/>
          <w:w w:val="110"/>
        </w:rPr>
        <w:t xml:space="preserve">provides extensive support for working with SQL databases, from direct  JDBC access using </w:t>
      </w:r>
      <w:r>
        <w:rPr>
          <w:rFonts w:ascii="MS Gothic" w:hAnsi="MS Gothic"/>
          <w:color w:val="B02045"/>
          <w:w w:val="110"/>
        </w:rPr>
        <w:t xml:space="preserve">JdbcTemplate </w:t>
      </w:r>
      <w:r>
        <w:rPr>
          <w:color w:val="333333"/>
          <w:w w:val="110"/>
        </w:rPr>
        <w:t xml:space="preserve">to complete “object relational mapping” technologies such as Hibernate. </w:t>
      </w:r>
      <w:hyperlink r:id="rId184">
        <w:r>
          <w:rPr>
            <w:color w:val="418BCA"/>
            <w:w w:val="110"/>
          </w:rPr>
          <w:t>Spring Data</w:t>
        </w:r>
      </w:hyperlink>
      <w:r>
        <w:rPr>
          <w:color w:val="418BCA"/>
          <w:w w:val="110"/>
        </w:rPr>
        <w:t xml:space="preserve"> </w:t>
      </w:r>
      <w:r>
        <w:rPr>
          <w:color w:val="333333"/>
          <w:w w:val="110"/>
        </w:rPr>
        <w:t xml:space="preserve">provides an additional level of functionality: creating </w:t>
      </w:r>
      <w:r>
        <w:rPr>
          <w:rFonts w:ascii="MS Gothic" w:hAnsi="MS Gothic"/>
          <w:color w:val="B02045"/>
          <w:w w:val="110"/>
        </w:rPr>
        <w:t xml:space="preserve">Repository </w:t>
      </w:r>
      <w:r>
        <w:rPr>
          <w:color w:val="333333"/>
          <w:w w:val="110"/>
        </w:rPr>
        <w:t>implementations directly from interfaces and using conventions to generate queries from your method</w:t>
      </w:r>
      <w:r>
        <w:rPr>
          <w:color w:val="333333"/>
          <w:spacing w:val="2"/>
          <w:w w:val="110"/>
        </w:rPr>
        <w:t xml:space="preserve"> </w:t>
      </w:r>
      <w:r>
        <w:rPr>
          <w:color w:val="333333"/>
          <w:w w:val="110"/>
        </w:rPr>
        <w:t>names.</w:t>
      </w:r>
    </w:p>
    <w:p w14:paraId="74390AB6" w14:textId="77777777" w:rsidR="00A720EB" w:rsidRDefault="00A720EB">
      <w:pPr>
        <w:pStyle w:val="a3"/>
        <w:spacing w:before="3"/>
        <w:rPr>
          <w:sz w:val="26"/>
        </w:rPr>
      </w:pPr>
    </w:p>
    <w:p w14:paraId="4B5CE3C0" w14:textId="77777777" w:rsidR="00A720EB" w:rsidRDefault="0030286B">
      <w:pPr>
        <w:pStyle w:val="3"/>
        <w:numPr>
          <w:ilvl w:val="2"/>
          <w:numId w:val="68"/>
        </w:numPr>
        <w:tabs>
          <w:tab w:val="left" w:pos="1003"/>
        </w:tabs>
        <w:ind w:left="1002" w:hanging="879"/>
      </w:pPr>
      <w:bookmarkStart w:id="312" w:name="4.11.1._Configure_a_DataSource"/>
      <w:bookmarkStart w:id="313" w:name="_Toc54423768"/>
      <w:bookmarkEnd w:id="312"/>
      <w:r>
        <w:rPr>
          <w:color w:val="333333"/>
          <w:w w:val="110"/>
        </w:rPr>
        <w:t>Configure a</w:t>
      </w:r>
      <w:r>
        <w:rPr>
          <w:color w:val="333333"/>
          <w:spacing w:val="-11"/>
          <w:w w:val="110"/>
        </w:rPr>
        <w:t xml:space="preserve"> </w:t>
      </w:r>
      <w:r>
        <w:rPr>
          <w:color w:val="333333"/>
          <w:w w:val="110"/>
        </w:rPr>
        <w:t>DataSource</w:t>
      </w:r>
      <w:bookmarkEnd w:id="313"/>
    </w:p>
    <w:p w14:paraId="459A0B80" w14:textId="77777777" w:rsidR="00A720EB" w:rsidRDefault="0030286B">
      <w:pPr>
        <w:pStyle w:val="a3"/>
        <w:spacing w:before="244" w:line="285" w:lineRule="auto"/>
        <w:ind w:left="124" w:right="125"/>
        <w:jc w:val="both"/>
      </w:pPr>
      <w:r>
        <w:rPr>
          <w:color w:val="333333"/>
          <w:w w:val="110"/>
        </w:rPr>
        <w:t xml:space="preserve">Java’s </w:t>
      </w:r>
      <w:proofErr w:type="gramStart"/>
      <w:r>
        <w:rPr>
          <w:rFonts w:ascii="MS Gothic" w:hAnsi="MS Gothic"/>
          <w:color w:val="B02045"/>
          <w:w w:val="110"/>
        </w:rPr>
        <w:t>javax.sql.DataSource</w:t>
      </w:r>
      <w:proofErr w:type="gramEnd"/>
      <w:r>
        <w:rPr>
          <w:rFonts w:ascii="MS Gothic" w:hAnsi="MS Gothic"/>
          <w:color w:val="B02045"/>
          <w:w w:val="110"/>
        </w:rPr>
        <w:t xml:space="preserve"> </w:t>
      </w:r>
      <w:r>
        <w:rPr>
          <w:color w:val="333333"/>
          <w:w w:val="110"/>
        </w:rPr>
        <w:t xml:space="preserve">interface provides a standard method of working with database connections. Traditionally, a 'DataSource' uses a </w:t>
      </w:r>
      <w:r>
        <w:rPr>
          <w:rFonts w:ascii="MS Gothic" w:hAnsi="MS Gothic"/>
          <w:color w:val="B02045"/>
          <w:w w:val="110"/>
        </w:rPr>
        <w:t xml:space="preserve">URL </w:t>
      </w:r>
      <w:r>
        <w:rPr>
          <w:color w:val="333333"/>
          <w:w w:val="110"/>
        </w:rPr>
        <w:t>along with some credentials to establish a database connection.</w:t>
      </w:r>
    </w:p>
    <w:p w14:paraId="41B803AB" w14:textId="77777777" w:rsidR="00A720EB" w:rsidRDefault="00A720EB">
      <w:pPr>
        <w:pStyle w:val="a3"/>
        <w:spacing w:before="3"/>
        <w:rPr>
          <w:sz w:val="29"/>
        </w:rPr>
      </w:pPr>
    </w:p>
    <w:p w14:paraId="4B718C9D" w14:textId="77777777" w:rsidR="00A720EB" w:rsidRDefault="00E10349">
      <w:pPr>
        <w:pStyle w:val="a3"/>
        <w:spacing w:before="1" w:line="307" w:lineRule="auto"/>
        <w:ind w:left="1564" w:right="462"/>
      </w:pPr>
      <w:r>
        <w:pict w14:anchorId="44D7B280">
          <v:line id="_x0000_s4206" style="position:absolute;left:0;text-align:left;z-index:15952384;mso-position-horizontal-relative:page" from="108.25pt,-5.95pt" to="108.25pt,33.6pt" strokecolor="#ededed" strokeweight=".5pt">
            <w10:wrap anchorx="page"/>
          </v:line>
        </w:pict>
      </w:r>
      <w:r w:rsidR="0030286B">
        <w:rPr>
          <w:noProof/>
        </w:rPr>
        <w:drawing>
          <wp:anchor distT="0" distB="0" distL="0" distR="0" simplePos="0" relativeHeight="15952896" behindDoc="0" locked="0" layoutInCell="1" allowOverlap="1" wp14:anchorId="21E7B590" wp14:editId="512D1FB7">
            <wp:simplePos x="0" y="0"/>
            <wp:positionH relativeFrom="page">
              <wp:posOffset>888949</wp:posOffset>
            </wp:positionH>
            <wp:positionV relativeFrom="paragraph">
              <wp:posOffset>23406</wp:posOffset>
            </wp:positionV>
            <wp:extent cx="209550" cy="304800"/>
            <wp:effectExtent l="0" t="0" r="0" b="0"/>
            <wp:wrapNone/>
            <wp:docPr id="2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1.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See </w:t>
      </w:r>
      <w:hyperlink w:anchor="_bookmark590" w:history="1">
        <w:r w:rsidR="0030286B">
          <w:rPr>
            <w:color w:val="418BCA"/>
            <w:w w:val="110"/>
          </w:rPr>
          <w:t xml:space="preserve">the “How-to” section </w:t>
        </w:r>
      </w:hyperlink>
      <w:r w:rsidR="0030286B">
        <w:rPr>
          <w:color w:val="333333"/>
          <w:w w:val="110"/>
        </w:rPr>
        <w:t>for more advanced examples, typically to take full control over the configuration of the DataSource.</w:t>
      </w:r>
    </w:p>
    <w:p w14:paraId="5E2C468A" w14:textId="77777777" w:rsidR="00A720EB" w:rsidRDefault="00A720EB">
      <w:pPr>
        <w:pStyle w:val="a3"/>
        <w:spacing w:before="5"/>
        <w:rPr>
          <w:sz w:val="32"/>
        </w:rPr>
      </w:pPr>
    </w:p>
    <w:p w14:paraId="639AFE5D" w14:textId="77777777" w:rsidR="00A720EB" w:rsidRDefault="0030286B">
      <w:pPr>
        <w:pStyle w:val="4"/>
        <w:spacing w:before="1"/>
      </w:pPr>
      <w:r>
        <w:rPr>
          <w:color w:val="333333"/>
          <w:w w:val="110"/>
        </w:rPr>
        <w:t>Embedded Database Support</w:t>
      </w:r>
    </w:p>
    <w:p w14:paraId="4C1D14A5" w14:textId="77777777" w:rsidR="00A720EB" w:rsidRDefault="00A720EB">
      <w:pPr>
        <w:pStyle w:val="a3"/>
        <w:spacing w:before="11"/>
        <w:rPr>
          <w:rFonts w:ascii="Palatino Linotype"/>
          <w:b/>
          <w:sz w:val="18"/>
        </w:rPr>
      </w:pPr>
    </w:p>
    <w:p w14:paraId="12ADD623" w14:textId="77777777" w:rsidR="00A720EB" w:rsidRDefault="0030286B">
      <w:pPr>
        <w:pStyle w:val="a3"/>
        <w:spacing w:line="307" w:lineRule="auto"/>
        <w:ind w:left="124" w:right="133"/>
        <w:jc w:val="both"/>
      </w:pPr>
      <w:r>
        <w:rPr>
          <w:color w:val="333333"/>
          <w:w w:val="110"/>
        </w:rPr>
        <w:t xml:space="preserve">It is often convenient to develop applications </w:t>
      </w:r>
      <w:r>
        <w:rPr>
          <w:color w:val="333333"/>
          <w:spacing w:val="-3"/>
          <w:w w:val="110"/>
        </w:rPr>
        <w:t xml:space="preserve">by </w:t>
      </w:r>
      <w:r>
        <w:rPr>
          <w:color w:val="333333"/>
          <w:w w:val="110"/>
        </w:rPr>
        <w:t>using an in-</w:t>
      </w:r>
      <w:proofErr w:type="gramStart"/>
      <w:r>
        <w:rPr>
          <w:color w:val="333333"/>
          <w:w w:val="110"/>
        </w:rPr>
        <w:t>memory  embedded</w:t>
      </w:r>
      <w:proofErr w:type="gramEnd"/>
      <w:r>
        <w:rPr>
          <w:color w:val="333333"/>
          <w:w w:val="110"/>
        </w:rPr>
        <w:t xml:space="preserve">  database.  </w:t>
      </w:r>
      <w:r>
        <w:rPr>
          <w:color w:val="333333"/>
          <w:spacing w:val="-3"/>
          <w:w w:val="110"/>
        </w:rPr>
        <w:t xml:space="preserve">Obviously, </w:t>
      </w:r>
      <w:r>
        <w:rPr>
          <w:color w:val="333333"/>
          <w:w w:val="110"/>
        </w:rPr>
        <w:t xml:space="preserve">in-memory databases do not provide persistent storage. </w:t>
      </w:r>
      <w:r>
        <w:rPr>
          <w:color w:val="333333"/>
          <w:spacing w:val="-6"/>
          <w:w w:val="110"/>
        </w:rPr>
        <w:t xml:space="preserve">You </w:t>
      </w:r>
      <w:r>
        <w:rPr>
          <w:color w:val="333333"/>
          <w:w w:val="110"/>
        </w:rPr>
        <w:t>need to populate your database when your application starts and be prepared to throw away data when your application ends.</w:t>
      </w:r>
    </w:p>
    <w:p w14:paraId="31FCA82D" w14:textId="77777777" w:rsidR="00A720EB" w:rsidRDefault="00A720EB">
      <w:pPr>
        <w:pStyle w:val="a3"/>
        <w:spacing w:before="9"/>
        <w:rPr>
          <w:sz w:val="16"/>
        </w:rPr>
      </w:pPr>
    </w:p>
    <w:p w14:paraId="44CC874F" w14:textId="77777777" w:rsidR="00A720EB" w:rsidRDefault="00E10349">
      <w:pPr>
        <w:pStyle w:val="a3"/>
        <w:spacing w:before="2"/>
        <w:ind w:left="561"/>
      </w:pPr>
      <w:r>
        <w:pict w14:anchorId="4B26977B">
          <v:line id="_x0000_s4205" style="position:absolute;left:0;text-align:left;z-index:-41581056;mso-position-horizontal-relative:page" from="108.25pt,.3pt" to="108.25pt,24.05pt" strokecolor="#ededed" strokeweight=".5pt">
            <w10:wrap anchorx="page"/>
          </v:line>
        </w:pict>
      </w:r>
      <w:r w:rsidR="0030286B">
        <w:rPr>
          <w:noProof/>
          <w:position w:val="-15"/>
        </w:rPr>
        <w:drawing>
          <wp:inline distT="0" distB="0" distL="0" distR="0" wp14:anchorId="228E2805" wp14:editId="42A21598">
            <wp:extent cx="209550" cy="304800"/>
            <wp:effectExtent l="0" t="0" r="0" b="0"/>
            <wp:docPr id="28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2.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hAnsi="Times New Roman"/>
          <w:sz w:val="20"/>
        </w:rPr>
        <w:t xml:space="preserve">            </w:t>
      </w:r>
      <w:r w:rsidR="0030286B">
        <w:rPr>
          <w:rFonts w:ascii="Times New Roman" w:hAnsi="Times New Roman"/>
          <w:spacing w:val="23"/>
          <w:sz w:val="20"/>
        </w:rPr>
        <w:t xml:space="preserve"> </w:t>
      </w:r>
      <w:r w:rsidR="0030286B">
        <w:rPr>
          <w:color w:val="333333"/>
          <w:w w:val="110"/>
        </w:rPr>
        <w:t xml:space="preserve">The “How-to” section includes a </w:t>
      </w:r>
      <w:hyperlink w:anchor="_bookmark606" w:history="1">
        <w:r w:rsidR="0030286B">
          <w:rPr>
            <w:color w:val="418BCA"/>
            <w:w w:val="110"/>
          </w:rPr>
          <w:t>section on how to initialize a</w:t>
        </w:r>
        <w:r w:rsidR="0030286B">
          <w:rPr>
            <w:color w:val="418BCA"/>
            <w:spacing w:val="43"/>
            <w:w w:val="110"/>
          </w:rPr>
          <w:t xml:space="preserve"> </w:t>
        </w:r>
        <w:r w:rsidR="0030286B">
          <w:rPr>
            <w:color w:val="418BCA"/>
            <w:w w:val="110"/>
          </w:rPr>
          <w:t>database</w:t>
        </w:r>
      </w:hyperlink>
      <w:r w:rsidR="0030286B">
        <w:rPr>
          <w:color w:val="333333"/>
          <w:w w:val="110"/>
        </w:rPr>
        <w:t>.</w:t>
      </w:r>
    </w:p>
    <w:p w14:paraId="756FCE0B" w14:textId="77777777" w:rsidR="00A720EB" w:rsidRDefault="0030286B">
      <w:pPr>
        <w:pStyle w:val="a3"/>
        <w:spacing w:before="279" w:line="307" w:lineRule="auto"/>
        <w:ind w:left="124" w:right="125"/>
        <w:jc w:val="both"/>
      </w:pPr>
      <w:r>
        <w:rPr>
          <w:color w:val="333333"/>
          <w:w w:val="110"/>
        </w:rPr>
        <w:t xml:space="preserve">Spring Boot can auto-configure embedded </w:t>
      </w:r>
      <w:hyperlink r:id="rId185">
        <w:r>
          <w:rPr>
            <w:color w:val="418BCA"/>
            <w:w w:val="110"/>
          </w:rPr>
          <w:t>H2</w:t>
        </w:r>
      </w:hyperlink>
      <w:r>
        <w:rPr>
          <w:color w:val="333333"/>
          <w:w w:val="110"/>
        </w:rPr>
        <w:t xml:space="preserve">, </w:t>
      </w:r>
      <w:hyperlink r:id="rId186">
        <w:r>
          <w:rPr>
            <w:color w:val="418BCA"/>
            <w:w w:val="110"/>
          </w:rPr>
          <w:t>HSQL</w:t>
        </w:r>
      </w:hyperlink>
      <w:r>
        <w:rPr>
          <w:color w:val="333333"/>
          <w:w w:val="110"/>
        </w:rPr>
        <w:t xml:space="preserve">, and </w:t>
      </w:r>
      <w:hyperlink r:id="rId187">
        <w:r>
          <w:rPr>
            <w:color w:val="418BCA"/>
            <w:w w:val="110"/>
          </w:rPr>
          <w:t>Derby</w:t>
        </w:r>
      </w:hyperlink>
      <w:r>
        <w:rPr>
          <w:color w:val="418BCA"/>
          <w:w w:val="110"/>
        </w:rPr>
        <w:t xml:space="preserve"> </w:t>
      </w:r>
      <w:r>
        <w:rPr>
          <w:color w:val="333333"/>
          <w:w w:val="110"/>
        </w:rPr>
        <w:t xml:space="preserve">databases. </w:t>
      </w:r>
      <w:r>
        <w:rPr>
          <w:color w:val="333333"/>
          <w:spacing w:val="-6"/>
          <w:w w:val="110"/>
        </w:rPr>
        <w:t xml:space="preserve">You </w:t>
      </w:r>
      <w:r>
        <w:rPr>
          <w:color w:val="333333"/>
          <w:w w:val="110"/>
        </w:rPr>
        <w:t xml:space="preserve">need not provide   any connection URLs. </w:t>
      </w:r>
      <w:proofErr w:type="gramStart"/>
      <w:r>
        <w:rPr>
          <w:color w:val="333333"/>
          <w:spacing w:val="-6"/>
          <w:w w:val="110"/>
        </w:rPr>
        <w:t xml:space="preserve">You  </w:t>
      </w:r>
      <w:r>
        <w:rPr>
          <w:color w:val="333333"/>
          <w:w w:val="110"/>
        </w:rPr>
        <w:t>need</w:t>
      </w:r>
      <w:proofErr w:type="gramEnd"/>
      <w:r>
        <w:rPr>
          <w:color w:val="333333"/>
          <w:w w:val="110"/>
        </w:rPr>
        <w:t xml:space="preserve"> only include a build dependency to the embedded database that  </w:t>
      </w:r>
      <w:r>
        <w:rPr>
          <w:color w:val="333333"/>
          <w:spacing w:val="50"/>
          <w:w w:val="110"/>
        </w:rPr>
        <w:t xml:space="preserve"> </w:t>
      </w:r>
      <w:r>
        <w:rPr>
          <w:color w:val="333333"/>
          <w:w w:val="110"/>
        </w:rPr>
        <w:t>you want to</w:t>
      </w:r>
      <w:r>
        <w:rPr>
          <w:color w:val="333333"/>
          <w:spacing w:val="8"/>
          <w:w w:val="110"/>
        </w:rPr>
        <w:t xml:space="preserve"> </w:t>
      </w:r>
      <w:r>
        <w:rPr>
          <w:color w:val="333333"/>
          <w:w w:val="110"/>
        </w:rPr>
        <w:t>use.</w:t>
      </w:r>
    </w:p>
    <w:p w14:paraId="5D406EDC" w14:textId="77777777" w:rsidR="00A720EB" w:rsidRDefault="00A720EB">
      <w:pPr>
        <w:pStyle w:val="a3"/>
        <w:spacing w:before="9"/>
        <w:rPr>
          <w:sz w:val="16"/>
        </w:rPr>
      </w:pPr>
    </w:p>
    <w:p w14:paraId="0BE9D94C" w14:textId="77777777" w:rsidR="00A720EB" w:rsidRDefault="00E10349">
      <w:pPr>
        <w:pStyle w:val="a3"/>
        <w:spacing w:before="125" w:line="304" w:lineRule="auto"/>
        <w:ind w:left="1564" w:right="366"/>
        <w:jc w:val="both"/>
      </w:pPr>
      <w:r>
        <w:pict w14:anchorId="5F233086">
          <v:line id="_x0000_s4204" style="position:absolute;left:0;text-align:left;z-index:15953920;mso-position-horizontal-relative:page" from="108.25pt,.25pt" to="108.25pt,71.4pt" strokecolor="#ededed" strokeweight=".5pt">
            <w10:wrap anchorx="page"/>
          </v:line>
        </w:pict>
      </w:r>
      <w:r w:rsidR="0030286B">
        <w:rPr>
          <w:noProof/>
        </w:rPr>
        <w:drawing>
          <wp:anchor distT="0" distB="0" distL="0" distR="0" simplePos="0" relativeHeight="15954432" behindDoc="0" locked="0" layoutInCell="1" allowOverlap="1" wp14:anchorId="64096962" wp14:editId="581CB33C">
            <wp:simplePos x="0" y="0"/>
            <wp:positionH relativeFrom="page">
              <wp:posOffset>844422</wp:posOffset>
            </wp:positionH>
            <wp:positionV relativeFrom="paragraph">
              <wp:posOffset>305727</wp:posOffset>
            </wp:positionV>
            <wp:extent cx="298450" cy="298450"/>
            <wp:effectExtent l="0" t="0" r="0" b="0"/>
            <wp:wrapNone/>
            <wp:docPr id="2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are using this feature in your tests, you may notice that the same database is reused </w:t>
      </w:r>
      <w:r w:rsidR="0030286B">
        <w:rPr>
          <w:color w:val="333333"/>
          <w:spacing w:val="-3"/>
          <w:w w:val="110"/>
        </w:rPr>
        <w:t xml:space="preserve">by </w:t>
      </w:r>
      <w:r w:rsidR="0030286B">
        <w:rPr>
          <w:color w:val="333333"/>
          <w:w w:val="110"/>
        </w:rPr>
        <w:t>your whole test suite regardless of the number of application contexts that you use. If you want to make sure that each context has a separate embedded database,</w:t>
      </w:r>
      <w:r w:rsidR="0030286B">
        <w:rPr>
          <w:color w:val="333333"/>
          <w:spacing w:val="-15"/>
          <w:w w:val="110"/>
        </w:rPr>
        <w:t xml:space="preserve"> </w:t>
      </w:r>
      <w:r w:rsidR="0030286B">
        <w:rPr>
          <w:color w:val="333333"/>
          <w:w w:val="110"/>
        </w:rPr>
        <w:t>you</w:t>
      </w:r>
      <w:r w:rsidR="0030286B">
        <w:rPr>
          <w:color w:val="333333"/>
          <w:spacing w:val="-14"/>
          <w:w w:val="110"/>
        </w:rPr>
        <w:t xml:space="preserve"> </w:t>
      </w:r>
      <w:r w:rsidR="0030286B">
        <w:rPr>
          <w:color w:val="333333"/>
          <w:w w:val="110"/>
        </w:rPr>
        <w:t>should</w:t>
      </w:r>
      <w:r w:rsidR="0030286B">
        <w:rPr>
          <w:color w:val="333333"/>
          <w:spacing w:val="-14"/>
          <w:w w:val="110"/>
        </w:rPr>
        <w:t xml:space="preserve"> </w:t>
      </w:r>
      <w:r w:rsidR="0030286B">
        <w:rPr>
          <w:color w:val="333333"/>
          <w:w w:val="110"/>
        </w:rPr>
        <w:t>set</w:t>
      </w:r>
      <w:r w:rsidR="0030286B">
        <w:rPr>
          <w:color w:val="333333"/>
          <w:spacing w:val="-13"/>
          <w:w w:val="110"/>
        </w:rPr>
        <w:t xml:space="preserve"> </w:t>
      </w:r>
      <w:proofErr w:type="gramStart"/>
      <w:r w:rsidR="0030286B">
        <w:rPr>
          <w:rFonts w:ascii="MS Gothic"/>
          <w:color w:val="B02045"/>
          <w:w w:val="110"/>
        </w:rPr>
        <w:t>spring.datasource</w:t>
      </w:r>
      <w:proofErr w:type="gramEnd"/>
      <w:r w:rsidR="0030286B">
        <w:rPr>
          <w:rFonts w:ascii="MS Gothic"/>
          <w:color w:val="B02045"/>
          <w:w w:val="110"/>
        </w:rPr>
        <w:t>.generate-unique-name</w:t>
      </w:r>
      <w:r w:rsidR="0030286B">
        <w:rPr>
          <w:rFonts w:ascii="MS Gothic"/>
          <w:color w:val="B02045"/>
          <w:spacing w:val="-78"/>
          <w:w w:val="110"/>
        </w:rPr>
        <w:t xml:space="preserve"> </w:t>
      </w:r>
      <w:r w:rsidR="0030286B">
        <w:rPr>
          <w:color w:val="333333"/>
          <w:w w:val="110"/>
        </w:rPr>
        <w:t>to</w:t>
      </w:r>
      <w:r w:rsidR="0030286B">
        <w:rPr>
          <w:color w:val="333333"/>
          <w:spacing w:val="-14"/>
          <w:w w:val="110"/>
        </w:rPr>
        <w:t xml:space="preserve"> </w:t>
      </w:r>
      <w:r w:rsidR="0030286B">
        <w:rPr>
          <w:rFonts w:ascii="MS Gothic"/>
          <w:color w:val="B02045"/>
          <w:w w:val="110"/>
        </w:rPr>
        <w:t>true</w:t>
      </w:r>
      <w:r w:rsidR="0030286B">
        <w:rPr>
          <w:color w:val="333333"/>
          <w:w w:val="110"/>
        </w:rPr>
        <w:t>.</w:t>
      </w:r>
    </w:p>
    <w:p w14:paraId="2541F740" w14:textId="77777777" w:rsidR="00A720EB" w:rsidRDefault="00A720EB">
      <w:pPr>
        <w:pStyle w:val="a3"/>
        <w:spacing w:before="1"/>
        <w:rPr>
          <w:sz w:val="15"/>
        </w:rPr>
      </w:pPr>
    </w:p>
    <w:p w14:paraId="6EB72664" w14:textId="77777777" w:rsidR="00A720EB" w:rsidRDefault="0030286B">
      <w:pPr>
        <w:pStyle w:val="a3"/>
        <w:spacing w:before="125"/>
        <w:ind w:left="124"/>
      </w:pPr>
      <w:r>
        <w:rPr>
          <w:color w:val="333333"/>
          <w:w w:val="110"/>
        </w:rPr>
        <w:t>For example, the typical POM dependencies would be as follows:</w:t>
      </w:r>
    </w:p>
    <w:p w14:paraId="0348C9DC" w14:textId="77777777" w:rsidR="00A720EB" w:rsidRDefault="00E10349">
      <w:pPr>
        <w:pStyle w:val="a3"/>
        <w:rPr>
          <w:sz w:val="19"/>
        </w:rPr>
      </w:pPr>
      <w:r>
        <w:pict w14:anchorId="6014EE72">
          <v:group id="_x0000_s4200" style="position:absolute;margin-left:47.85pt;margin-top:13.1pt;width:499.55pt;height:155.45pt;z-index:-15505408;mso-wrap-distance-left:0;mso-wrap-distance-right:0;mso-position-horizontal-relative:page" coordorigin="957,262" coordsize="9991,3109">
            <v:shape id="_x0000_s4203" style="position:absolute;left:964;top:269;width:9976;height:3094" coordorigin="965,270" coordsize="9976,3094" path="m10861,270r-9816,l1014,276r-26,17l971,319r-6,31l965,3283r6,31l988,3340r26,17l1045,3363r9816,l10892,3357r25,-17l10935,3314r6,-31l10941,350r-6,-31l10917,293r-25,-17l10861,270xe" fillcolor="#f5f5f5" stroked="f">
              <v:path arrowok="t"/>
            </v:shape>
            <v:shape id="_x0000_s4202" style="position:absolute;left:964;top:269;width:9976;height:3094" coordorigin="965,270" coordsize="9976,3094" path="m1045,270r9816,l10892,276r25,17l10935,319r6,31l10941,3283r-6,31l10917,3340r-25,17l10861,3363r-9816,l1014,3357r-26,-17l971,3314r-6,-31l965,350r6,-31l988,293r26,-17l1045,270xe" filled="f" strokecolor="#ccc">
              <v:path arrowok="t"/>
            </v:shape>
            <v:shape id="_x0000_s4201" type="#_x0000_t202" style="position:absolute;left:984;top:285;width:9938;height:3063" filled="f" stroked="f">
              <v:textbox inset="0,0,0,0">
                <w:txbxContent>
                  <w:p w14:paraId="49F44818" w14:textId="77777777" w:rsidR="00711A16" w:rsidRDefault="00711A16">
                    <w:pPr>
                      <w:spacing w:before="221"/>
                      <w:ind w:left="200"/>
                      <w:rPr>
                        <w:rFonts w:ascii="MS Gothic"/>
                      </w:rPr>
                    </w:pPr>
                    <w:r>
                      <w:rPr>
                        <w:rFonts w:ascii="MS Gothic"/>
                        <w:color w:val="333333"/>
                      </w:rPr>
                      <w:t>&lt;dependency&gt;</w:t>
                    </w:r>
                  </w:p>
                  <w:p w14:paraId="3B7E8A99"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0097ED2C" w14:textId="77777777" w:rsidR="00711A16" w:rsidRDefault="00711A16">
                    <w:pPr>
                      <w:spacing w:before="13"/>
                      <w:ind w:left="640"/>
                      <w:rPr>
                        <w:rFonts w:ascii="MS Gothic"/>
                      </w:rPr>
                    </w:pPr>
                    <w:r>
                      <w:rPr>
                        <w:rFonts w:ascii="MS Gothic"/>
                        <w:color w:val="333333"/>
                      </w:rPr>
                      <w:t>&lt;artifactId&gt;spring-boot-starter-data-jpa&lt;/artifactId&gt;</w:t>
                    </w:r>
                  </w:p>
                  <w:p w14:paraId="5F725F70" w14:textId="77777777" w:rsidR="00711A16" w:rsidRDefault="00711A16">
                    <w:pPr>
                      <w:spacing w:before="13"/>
                      <w:ind w:left="200"/>
                      <w:rPr>
                        <w:rFonts w:ascii="MS Gothic"/>
                      </w:rPr>
                    </w:pPr>
                    <w:r>
                      <w:rPr>
                        <w:rFonts w:ascii="MS Gothic"/>
                        <w:color w:val="333333"/>
                      </w:rPr>
                      <w:t>&lt;/dependency&gt;</w:t>
                    </w:r>
                  </w:p>
                  <w:p w14:paraId="41C43D35" w14:textId="77777777" w:rsidR="00711A16" w:rsidRDefault="00711A16">
                    <w:pPr>
                      <w:spacing w:before="12"/>
                      <w:ind w:left="200"/>
                      <w:rPr>
                        <w:rFonts w:ascii="MS Gothic"/>
                      </w:rPr>
                    </w:pPr>
                    <w:r>
                      <w:rPr>
                        <w:rFonts w:ascii="MS Gothic"/>
                        <w:color w:val="333333"/>
                      </w:rPr>
                      <w:t>&lt;dependency&gt;</w:t>
                    </w:r>
                  </w:p>
                  <w:p w14:paraId="206CE050" w14:textId="77777777" w:rsidR="00711A16" w:rsidRDefault="00711A16">
                    <w:pPr>
                      <w:spacing w:before="13"/>
                      <w:ind w:left="640"/>
                      <w:rPr>
                        <w:rFonts w:ascii="MS Gothic"/>
                      </w:rPr>
                    </w:pPr>
                    <w:r>
                      <w:rPr>
                        <w:rFonts w:ascii="MS Gothic"/>
                        <w:color w:val="333333"/>
                      </w:rPr>
                      <w:t>&lt;groupId&gt;org.hsqldb&lt;/groupId&gt;</w:t>
                    </w:r>
                  </w:p>
                  <w:p w14:paraId="0BE63089" w14:textId="77777777" w:rsidR="00711A16" w:rsidRDefault="00711A16">
                    <w:pPr>
                      <w:spacing w:before="13"/>
                      <w:ind w:left="640"/>
                      <w:rPr>
                        <w:rFonts w:ascii="MS Gothic"/>
                      </w:rPr>
                    </w:pPr>
                    <w:r>
                      <w:rPr>
                        <w:rFonts w:ascii="MS Gothic"/>
                        <w:color w:val="333333"/>
                      </w:rPr>
                      <w:t>&lt;artifactId&gt;hsqldb&lt;/artifactId&gt;</w:t>
                    </w:r>
                  </w:p>
                  <w:p w14:paraId="18E0B896" w14:textId="77777777" w:rsidR="00711A16" w:rsidRDefault="00711A16">
                    <w:pPr>
                      <w:spacing w:before="13"/>
                      <w:ind w:left="640"/>
                      <w:rPr>
                        <w:rFonts w:ascii="MS Gothic"/>
                      </w:rPr>
                    </w:pPr>
                    <w:r>
                      <w:rPr>
                        <w:rFonts w:ascii="MS Gothic"/>
                        <w:color w:val="333333"/>
                      </w:rPr>
                      <w:t>&lt;scope&gt;runtime&lt;/scope&gt;</w:t>
                    </w:r>
                  </w:p>
                  <w:p w14:paraId="00160A8B"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1A74B665" w14:textId="77777777" w:rsidR="00A720EB" w:rsidRDefault="00A720EB">
      <w:pPr>
        <w:rPr>
          <w:sz w:val="19"/>
        </w:rPr>
        <w:sectPr w:rsidR="00A720EB">
          <w:pgSz w:w="11910" w:h="16840"/>
          <w:pgMar w:top="620" w:right="840" w:bottom="520" w:left="840" w:header="0" w:footer="323" w:gutter="0"/>
          <w:cols w:space="720"/>
        </w:sectPr>
      </w:pPr>
    </w:p>
    <w:p w14:paraId="0A860063" w14:textId="77777777" w:rsidR="00A720EB" w:rsidRDefault="00E10349">
      <w:pPr>
        <w:pStyle w:val="a3"/>
        <w:spacing w:before="111" w:line="280" w:lineRule="auto"/>
        <w:ind w:left="1564" w:right="362"/>
        <w:jc w:val="both"/>
      </w:pPr>
      <w:r>
        <w:lastRenderedPageBreak/>
        <w:pict w14:anchorId="1E0C699A">
          <v:line id="_x0000_s4199" style="position:absolute;left:0;text-align:left;z-index:15955456;mso-position-horizontal-relative:page" from="108.25pt,.1pt" to="108.25pt,55.45pt" strokecolor="#ededed" strokeweight=".5pt">
            <w10:wrap anchorx="page"/>
          </v:line>
        </w:pict>
      </w:r>
      <w:r w:rsidR="0030286B">
        <w:rPr>
          <w:noProof/>
        </w:rPr>
        <w:drawing>
          <wp:anchor distT="0" distB="0" distL="0" distR="0" simplePos="0" relativeHeight="15955968" behindDoc="0" locked="0" layoutInCell="1" allowOverlap="1" wp14:anchorId="5D3BF8C8" wp14:editId="60C40791">
            <wp:simplePos x="0" y="0"/>
            <wp:positionH relativeFrom="page">
              <wp:posOffset>844422</wp:posOffset>
            </wp:positionH>
            <wp:positionV relativeFrom="paragraph">
              <wp:posOffset>203276</wp:posOffset>
            </wp:positionV>
            <wp:extent cx="298450" cy="298450"/>
            <wp:effectExtent l="0" t="0" r="0" b="0"/>
            <wp:wrapNone/>
            <wp:docPr id="2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You need a dependency on </w:t>
      </w:r>
      <w:r w:rsidR="0030286B">
        <w:rPr>
          <w:rFonts w:ascii="MS Gothic"/>
          <w:color w:val="B02045"/>
          <w:w w:val="110"/>
        </w:rPr>
        <w:t xml:space="preserve">spring-jdbc </w:t>
      </w:r>
      <w:r w:rsidR="0030286B">
        <w:rPr>
          <w:color w:val="333333"/>
          <w:w w:val="110"/>
        </w:rPr>
        <w:t xml:space="preserve">for an embedded database to be auto- configured. In this example, it is pulled in transitively through </w:t>
      </w:r>
      <w:r w:rsidR="0030286B">
        <w:rPr>
          <w:rFonts w:ascii="MS Gothic"/>
          <w:color w:val="B02045"/>
          <w:w w:val="110"/>
        </w:rPr>
        <w:t>spring-boot- starter-data-jpa</w:t>
      </w:r>
      <w:r w:rsidR="0030286B">
        <w:rPr>
          <w:color w:val="333333"/>
          <w:w w:val="110"/>
        </w:rPr>
        <w:t>.</w:t>
      </w:r>
    </w:p>
    <w:p w14:paraId="51C98937" w14:textId="77777777" w:rsidR="00A720EB" w:rsidRDefault="00A720EB">
      <w:pPr>
        <w:pStyle w:val="a3"/>
        <w:spacing w:before="7"/>
        <w:rPr>
          <w:sz w:val="24"/>
        </w:rPr>
      </w:pPr>
    </w:p>
    <w:p w14:paraId="3BA1E61C" w14:textId="77777777" w:rsidR="00A720EB" w:rsidRDefault="00E10349">
      <w:pPr>
        <w:pStyle w:val="a3"/>
        <w:spacing w:before="125" w:line="297" w:lineRule="auto"/>
        <w:ind w:left="1564" w:right="364"/>
        <w:jc w:val="both"/>
      </w:pPr>
      <w:r>
        <w:pict w14:anchorId="5B6329A1">
          <v:line id="_x0000_s4198" style="position:absolute;left:0;text-align:left;z-index:15956480;mso-position-horizontal-relative:page" from="108.25pt,.25pt" to="108.25pt,102.95pt" strokecolor="#ededed" strokeweight=".5pt">
            <w10:wrap anchorx="page"/>
          </v:line>
        </w:pict>
      </w:r>
      <w:r w:rsidR="0030286B">
        <w:rPr>
          <w:noProof/>
        </w:rPr>
        <w:drawing>
          <wp:anchor distT="0" distB="0" distL="0" distR="0" simplePos="0" relativeHeight="15956992" behindDoc="0" locked="0" layoutInCell="1" allowOverlap="1" wp14:anchorId="0640EB2B" wp14:editId="038A96C2">
            <wp:simplePos x="0" y="0"/>
            <wp:positionH relativeFrom="page">
              <wp:posOffset>888949</wp:posOffset>
            </wp:positionH>
            <wp:positionV relativeFrom="paragraph">
              <wp:posOffset>502958</wp:posOffset>
            </wp:positionV>
            <wp:extent cx="209550" cy="304800"/>
            <wp:effectExtent l="0" t="0" r="0" b="0"/>
            <wp:wrapNone/>
            <wp:docPr id="28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3.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for whatever reason, you do configure the connection URL for an embedded database, take care to ensure that the database’s automatic shutdown is disabled.    If you use H2, you should use </w:t>
      </w:r>
      <w:r w:rsidR="0030286B">
        <w:rPr>
          <w:rFonts w:ascii="MS Gothic" w:hAnsi="MS Gothic"/>
          <w:color w:val="B02045"/>
          <w:w w:val="110"/>
        </w:rPr>
        <w:t>DB_CLOSE_ON_EXIT=FALSE</w:t>
      </w:r>
      <w:r w:rsidR="0030286B">
        <w:rPr>
          <w:rFonts w:ascii="MS Gothic" w:hAnsi="MS Gothic"/>
          <w:color w:val="B02045"/>
          <w:spacing w:val="-69"/>
          <w:w w:val="110"/>
        </w:rPr>
        <w:t xml:space="preserve"> </w:t>
      </w:r>
      <w:r w:rsidR="0030286B">
        <w:rPr>
          <w:color w:val="333333"/>
          <w:w w:val="110"/>
        </w:rPr>
        <w:t xml:space="preserve">to do so. If you use HSQLDB, you should ensure that </w:t>
      </w:r>
      <w:r w:rsidR="0030286B">
        <w:rPr>
          <w:rFonts w:ascii="MS Gothic" w:hAnsi="MS Gothic"/>
          <w:color w:val="B02045"/>
          <w:w w:val="110"/>
        </w:rPr>
        <w:t xml:space="preserve">shutdown=true </w:t>
      </w:r>
      <w:r w:rsidR="0030286B">
        <w:rPr>
          <w:color w:val="333333"/>
          <w:w w:val="110"/>
        </w:rPr>
        <w:t xml:space="preserve">is not used. Disabling the </w:t>
      </w:r>
      <w:proofErr w:type="gramStart"/>
      <w:r w:rsidR="0030286B">
        <w:rPr>
          <w:color w:val="333333"/>
          <w:w w:val="110"/>
        </w:rPr>
        <w:t>database’s  automatic</w:t>
      </w:r>
      <w:proofErr w:type="gramEnd"/>
      <w:r w:rsidR="0030286B">
        <w:rPr>
          <w:color w:val="333333"/>
          <w:w w:val="110"/>
        </w:rPr>
        <w:t xml:space="preserve"> shutdown lets Spring Boot control when the database is closed, thereby ensuring that it happens once access to the database is no longer</w:t>
      </w:r>
      <w:r w:rsidR="0030286B">
        <w:rPr>
          <w:color w:val="333333"/>
          <w:spacing w:val="47"/>
          <w:w w:val="110"/>
        </w:rPr>
        <w:t xml:space="preserve"> </w:t>
      </w:r>
      <w:r w:rsidR="0030286B">
        <w:rPr>
          <w:color w:val="333333"/>
          <w:w w:val="110"/>
        </w:rPr>
        <w:t>needed.</w:t>
      </w:r>
    </w:p>
    <w:p w14:paraId="4D05A5ED" w14:textId="77777777" w:rsidR="00A720EB" w:rsidRDefault="00A720EB">
      <w:pPr>
        <w:pStyle w:val="a3"/>
        <w:spacing w:before="11"/>
        <w:rPr>
          <w:sz w:val="23"/>
        </w:rPr>
      </w:pPr>
    </w:p>
    <w:p w14:paraId="6CBB4232" w14:textId="77777777" w:rsidR="00A720EB" w:rsidRDefault="0030286B">
      <w:pPr>
        <w:pStyle w:val="4"/>
        <w:spacing w:before="104"/>
        <w:jc w:val="left"/>
      </w:pPr>
      <w:bookmarkStart w:id="314" w:name="Connection_to_a_Production_Database"/>
      <w:bookmarkEnd w:id="314"/>
      <w:r>
        <w:rPr>
          <w:color w:val="333333"/>
          <w:w w:val="115"/>
        </w:rPr>
        <w:t>Connection to a Production Database</w:t>
      </w:r>
    </w:p>
    <w:p w14:paraId="66E774D8" w14:textId="77777777" w:rsidR="00A720EB" w:rsidRDefault="0030286B">
      <w:pPr>
        <w:pStyle w:val="a3"/>
        <w:spacing w:before="244" w:line="290" w:lineRule="auto"/>
        <w:ind w:left="124"/>
      </w:pPr>
      <w:r>
        <w:rPr>
          <w:color w:val="333333"/>
          <w:w w:val="110"/>
        </w:rPr>
        <w:t xml:space="preserve">Production database connections can also be auto-configured by using a pooling </w:t>
      </w:r>
      <w:r>
        <w:rPr>
          <w:rFonts w:ascii="MS Gothic"/>
          <w:color w:val="B02045"/>
          <w:w w:val="110"/>
        </w:rPr>
        <w:t>DataSource</w:t>
      </w:r>
      <w:r>
        <w:rPr>
          <w:color w:val="333333"/>
          <w:w w:val="110"/>
        </w:rPr>
        <w:t>. Spring Boot uses the following algorithm for choosing a specific implementation:</w:t>
      </w:r>
    </w:p>
    <w:p w14:paraId="587A65E6" w14:textId="77777777" w:rsidR="00A720EB" w:rsidRDefault="00A720EB">
      <w:pPr>
        <w:pStyle w:val="a3"/>
        <w:rPr>
          <w:sz w:val="22"/>
        </w:rPr>
      </w:pPr>
    </w:p>
    <w:p w14:paraId="6AA403D1" w14:textId="77777777" w:rsidR="00A720EB" w:rsidRDefault="0030286B">
      <w:pPr>
        <w:pStyle w:val="a6"/>
        <w:numPr>
          <w:ilvl w:val="3"/>
          <w:numId w:val="68"/>
        </w:numPr>
        <w:tabs>
          <w:tab w:val="left" w:pos="485"/>
        </w:tabs>
        <w:spacing w:line="307" w:lineRule="auto"/>
        <w:ind w:right="133"/>
        <w:rPr>
          <w:sz w:val="21"/>
        </w:rPr>
      </w:pPr>
      <w:r>
        <w:rPr>
          <w:color w:val="333333"/>
          <w:spacing w:val="-7"/>
          <w:w w:val="115"/>
          <w:sz w:val="21"/>
        </w:rPr>
        <w:t xml:space="preserve">We </w:t>
      </w:r>
      <w:r>
        <w:rPr>
          <w:color w:val="333333"/>
          <w:w w:val="115"/>
          <w:sz w:val="21"/>
        </w:rPr>
        <w:t xml:space="preserve">prefer </w:t>
      </w:r>
      <w:hyperlink r:id="rId188">
        <w:r>
          <w:rPr>
            <w:color w:val="418BCA"/>
            <w:w w:val="115"/>
            <w:sz w:val="21"/>
          </w:rPr>
          <w:t>HikariCP</w:t>
        </w:r>
      </w:hyperlink>
      <w:r>
        <w:rPr>
          <w:color w:val="418BCA"/>
          <w:w w:val="115"/>
          <w:sz w:val="21"/>
        </w:rPr>
        <w:t xml:space="preserve"> </w:t>
      </w:r>
      <w:r>
        <w:rPr>
          <w:color w:val="333333"/>
          <w:w w:val="115"/>
          <w:sz w:val="21"/>
        </w:rPr>
        <w:t xml:space="preserve">for its performance and </w:t>
      </w:r>
      <w:r>
        <w:rPr>
          <w:color w:val="333333"/>
          <w:spacing w:val="-3"/>
          <w:w w:val="115"/>
          <w:sz w:val="21"/>
        </w:rPr>
        <w:t xml:space="preserve">concurrency. </w:t>
      </w:r>
      <w:r>
        <w:rPr>
          <w:color w:val="333333"/>
          <w:w w:val="115"/>
          <w:sz w:val="21"/>
        </w:rPr>
        <w:t>If HikariCP is available, we always choose it.</w:t>
      </w:r>
    </w:p>
    <w:p w14:paraId="31334BE8" w14:textId="77777777" w:rsidR="00A720EB" w:rsidRDefault="0030286B">
      <w:pPr>
        <w:pStyle w:val="a6"/>
        <w:numPr>
          <w:ilvl w:val="3"/>
          <w:numId w:val="68"/>
        </w:numPr>
        <w:tabs>
          <w:tab w:val="left" w:pos="485"/>
        </w:tabs>
        <w:spacing w:before="111"/>
        <w:rPr>
          <w:sz w:val="21"/>
        </w:rPr>
      </w:pPr>
      <w:r>
        <w:rPr>
          <w:color w:val="333333"/>
          <w:w w:val="110"/>
          <w:sz w:val="21"/>
        </w:rPr>
        <w:t xml:space="preserve">Otherwise, if the Tomcat pooling </w:t>
      </w:r>
      <w:r>
        <w:rPr>
          <w:rFonts w:ascii="MS Gothic"/>
          <w:color w:val="B02045"/>
          <w:w w:val="110"/>
          <w:sz w:val="21"/>
        </w:rPr>
        <w:t>DataSource</w:t>
      </w:r>
      <w:r>
        <w:rPr>
          <w:rFonts w:ascii="MS Gothic"/>
          <w:color w:val="B02045"/>
          <w:spacing w:val="-46"/>
          <w:w w:val="110"/>
          <w:sz w:val="21"/>
        </w:rPr>
        <w:t xml:space="preserve"> </w:t>
      </w:r>
      <w:r>
        <w:rPr>
          <w:color w:val="333333"/>
          <w:w w:val="110"/>
          <w:sz w:val="21"/>
        </w:rPr>
        <w:t>is available, we use it.</w:t>
      </w:r>
    </w:p>
    <w:p w14:paraId="17F3DB1A" w14:textId="77777777" w:rsidR="00A720EB" w:rsidRDefault="0030286B">
      <w:pPr>
        <w:pStyle w:val="a6"/>
        <w:numPr>
          <w:ilvl w:val="3"/>
          <w:numId w:val="68"/>
        </w:numPr>
        <w:tabs>
          <w:tab w:val="left" w:pos="485"/>
        </w:tabs>
        <w:spacing w:before="177" w:line="307" w:lineRule="auto"/>
        <w:ind w:right="122"/>
        <w:rPr>
          <w:sz w:val="21"/>
        </w:rPr>
      </w:pPr>
      <w:r>
        <w:rPr>
          <w:color w:val="333333"/>
          <w:w w:val="110"/>
          <w:sz w:val="21"/>
        </w:rPr>
        <w:t xml:space="preserve">If neither HikariCP nor the Tomcat pooling datasource are available and if </w:t>
      </w:r>
      <w:hyperlink r:id="rId189">
        <w:r>
          <w:rPr>
            <w:color w:val="418BCA"/>
            <w:w w:val="110"/>
            <w:sz w:val="21"/>
          </w:rPr>
          <w:t>Commons DBCP2</w:t>
        </w:r>
      </w:hyperlink>
      <w:r>
        <w:rPr>
          <w:color w:val="418BCA"/>
          <w:w w:val="110"/>
          <w:sz w:val="21"/>
        </w:rPr>
        <w:t xml:space="preserve"> </w:t>
      </w:r>
      <w:r>
        <w:rPr>
          <w:color w:val="333333"/>
          <w:w w:val="110"/>
          <w:sz w:val="21"/>
        </w:rPr>
        <w:t>is available, we use</w:t>
      </w:r>
      <w:r>
        <w:rPr>
          <w:color w:val="333333"/>
          <w:spacing w:val="7"/>
          <w:w w:val="110"/>
          <w:sz w:val="21"/>
        </w:rPr>
        <w:t xml:space="preserve"> </w:t>
      </w:r>
      <w:r>
        <w:rPr>
          <w:color w:val="333333"/>
          <w:w w:val="110"/>
          <w:sz w:val="21"/>
        </w:rPr>
        <w:t>it.</w:t>
      </w:r>
    </w:p>
    <w:p w14:paraId="0129236E" w14:textId="77777777" w:rsidR="00A720EB" w:rsidRDefault="0030286B">
      <w:pPr>
        <w:pStyle w:val="a3"/>
        <w:tabs>
          <w:tab w:val="left" w:pos="495"/>
          <w:tab w:val="left" w:pos="1083"/>
          <w:tab w:val="left" w:pos="1639"/>
          <w:tab w:val="left" w:pos="2176"/>
          <w:tab w:val="left" w:pos="5348"/>
          <w:tab w:val="left" w:pos="9727"/>
        </w:tabs>
        <w:spacing w:before="230" w:line="280" w:lineRule="auto"/>
        <w:ind w:left="124" w:right="123"/>
      </w:pPr>
      <w:r>
        <w:rPr>
          <w:color w:val="333333"/>
          <w:w w:val="110"/>
        </w:rPr>
        <w:t>If</w:t>
      </w:r>
      <w:r>
        <w:rPr>
          <w:color w:val="333333"/>
          <w:w w:val="110"/>
        </w:rPr>
        <w:tab/>
        <w:t>you</w:t>
      </w:r>
      <w:r>
        <w:rPr>
          <w:color w:val="333333"/>
          <w:w w:val="110"/>
        </w:rPr>
        <w:tab/>
        <w:t>use</w:t>
      </w:r>
      <w:r>
        <w:rPr>
          <w:color w:val="333333"/>
          <w:w w:val="110"/>
        </w:rPr>
        <w:tab/>
        <w:t>the</w:t>
      </w:r>
      <w:r>
        <w:rPr>
          <w:color w:val="333333"/>
          <w:w w:val="110"/>
        </w:rPr>
        <w:tab/>
      </w:r>
      <w:r>
        <w:rPr>
          <w:rFonts w:ascii="MS Gothic" w:hAnsi="MS Gothic"/>
          <w:color w:val="B02045"/>
          <w:w w:val="110"/>
        </w:rPr>
        <w:t>spring-boot-starter-jdbc</w:t>
      </w:r>
      <w:r>
        <w:rPr>
          <w:rFonts w:ascii="MS Gothic" w:hAnsi="MS Gothic"/>
          <w:color w:val="B02045"/>
          <w:spacing w:val="-40"/>
          <w:w w:val="110"/>
        </w:rPr>
        <w:t xml:space="preserve"> </w:t>
      </w:r>
      <w:r>
        <w:rPr>
          <w:color w:val="333333"/>
          <w:w w:val="110"/>
        </w:rPr>
        <w:t>or</w:t>
      </w:r>
      <w:r>
        <w:rPr>
          <w:color w:val="333333"/>
          <w:w w:val="110"/>
        </w:rPr>
        <w:tab/>
      </w:r>
      <w:r>
        <w:rPr>
          <w:rFonts w:ascii="MS Gothic" w:hAnsi="MS Gothic"/>
          <w:color w:val="B02045"/>
          <w:w w:val="105"/>
        </w:rPr>
        <w:t>spring-boot-starter-data-jpa</w:t>
      </w:r>
      <w:r>
        <w:rPr>
          <w:rFonts w:ascii="MS Gothic" w:hAnsi="MS Gothic"/>
          <w:color w:val="B02045"/>
          <w:spacing w:val="51"/>
          <w:w w:val="105"/>
        </w:rPr>
        <w:t xml:space="preserve"> </w:t>
      </w:r>
      <w:r>
        <w:rPr>
          <w:color w:val="333333"/>
          <w:w w:val="105"/>
        </w:rPr>
        <w:t>“starters”,</w:t>
      </w:r>
      <w:r>
        <w:rPr>
          <w:color w:val="333333"/>
          <w:w w:val="105"/>
        </w:rPr>
        <w:tab/>
      </w:r>
      <w:r>
        <w:rPr>
          <w:color w:val="333333"/>
          <w:spacing w:val="-6"/>
          <w:w w:val="110"/>
        </w:rPr>
        <w:t xml:space="preserve">you </w:t>
      </w:r>
      <w:r>
        <w:rPr>
          <w:color w:val="333333"/>
          <w:w w:val="110"/>
        </w:rPr>
        <w:t>automatically get a dependency to</w:t>
      </w:r>
      <w:r>
        <w:rPr>
          <w:color w:val="333333"/>
          <w:spacing w:val="17"/>
          <w:w w:val="110"/>
        </w:rPr>
        <w:t xml:space="preserve"> </w:t>
      </w:r>
      <w:r>
        <w:rPr>
          <w:rFonts w:ascii="MS Gothic" w:hAnsi="MS Gothic"/>
          <w:color w:val="B02045"/>
          <w:w w:val="110"/>
        </w:rPr>
        <w:t>HikariCP</w:t>
      </w:r>
      <w:r>
        <w:rPr>
          <w:color w:val="333333"/>
          <w:w w:val="110"/>
        </w:rPr>
        <w:t>.</w:t>
      </w:r>
    </w:p>
    <w:p w14:paraId="2240E22B" w14:textId="77777777" w:rsidR="00A720EB" w:rsidRDefault="00A720EB">
      <w:pPr>
        <w:pStyle w:val="a3"/>
        <w:spacing w:before="8"/>
        <w:rPr>
          <w:sz w:val="17"/>
        </w:rPr>
      </w:pPr>
    </w:p>
    <w:p w14:paraId="2E314FBC" w14:textId="77777777" w:rsidR="00A720EB" w:rsidRDefault="00E10349">
      <w:pPr>
        <w:pStyle w:val="a3"/>
        <w:spacing w:before="125" w:line="290" w:lineRule="auto"/>
        <w:ind w:left="1564" w:right="367"/>
        <w:jc w:val="both"/>
      </w:pPr>
      <w:r>
        <w:pict w14:anchorId="76C6448C">
          <v:line id="_x0000_s4197" style="position:absolute;left:0;text-align:left;z-index:15957504;mso-position-horizontal-relative:page" from="108.25pt,.25pt" to="108.25pt,55.6pt" strokecolor="#ededed" strokeweight=".5pt">
            <w10:wrap anchorx="page"/>
          </v:line>
        </w:pict>
      </w:r>
      <w:r w:rsidR="0030286B">
        <w:rPr>
          <w:noProof/>
        </w:rPr>
        <w:drawing>
          <wp:anchor distT="0" distB="0" distL="0" distR="0" simplePos="0" relativeHeight="15958016" behindDoc="0" locked="0" layoutInCell="1" allowOverlap="1" wp14:anchorId="2F40B847" wp14:editId="60EA5ABA">
            <wp:simplePos x="0" y="0"/>
            <wp:positionH relativeFrom="page">
              <wp:posOffset>844422</wp:posOffset>
            </wp:positionH>
            <wp:positionV relativeFrom="paragraph">
              <wp:posOffset>205524</wp:posOffset>
            </wp:positionV>
            <wp:extent cx="298450" cy="298450"/>
            <wp:effectExtent l="0" t="0" r="0" b="0"/>
            <wp:wrapNone/>
            <wp:docPr id="2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png"/>
                    <pic:cNvPicPr/>
                  </pic:nvPicPr>
                  <pic:blipFill>
                    <a:blip r:embed="rId24" cstate="print"/>
                    <a:stretch>
                      <a:fillRect/>
                    </a:stretch>
                  </pic:blipFill>
                  <pic:spPr>
                    <a:xfrm>
                      <a:off x="0" y="0"/>
                      <a:ext cx="298450" cy="298450"/>
                    </a:xfrm>
                    <a:prstGeom prst="rect">
                      <a:avLst/>
                    </a:prstGeom>
                  </pic:spPr>
                </pic:pic>
              </a:graphicData>
            </a:graphic>
          </wp:anchor>
        </w:drawing>
      </w:r>
      <w:proofErr w:type="gramStart"/>
      <w:r w:rsidR="0030286B">
        <w:rPr>
          <w:color w:val="333333"/>
          <w:spacing w:val="-6"/>
          <w:w w:val="110"/>
        </w:rPr>
        <w:t xml:space="preserve">You  </w:t>
      </w:r>
      <w:r w:rsidR="0030286B">
        <w:rPr>
          <w:color w:val="333333"/>
          <w:w w:val="110"/>
        </w:rPr>
        <w:t>can</w:t>
      </w:r>
      <w:proofErr w:type="gramEnd"/>
      <w:r w:rsidR="0030286B">
        <w:rPr>
          <w:color w:val="333333"/>
          <w:w w:val="110"/>
        </w:rPr>
        <w:t xml:space="preserve"> bypass that algorithm completely and specify the connection pool to use   </w:t>
      </w:r>
      <w:r w:rsidR="0030286B">
        <w:rPr>
          <w:color w:val="333333"/>
          <w:spacing w:val="-3"/>
          <w:w w:val="110"/>
        </w:rPr>
        <w:t xml:space="preserve">by </w:t>
      </w:r>
      <w:r w:rsidR="0030286B">
        <w:rPr>
          <w:color w:val="333333"/>
          <w:w w:val="110"/>
        </w:rPr>
        <w:t xml:space="preserve">setting the </w:t>
      </w:r>
      <w:r w:rsidR="0030286B">
        <w:rPr>
          <w:rFonts w:ascii="MS Gothic"/>
          <w:color w:val="B02045"/>
          <w:w w:val="110"/>
        </w:rPr>
        <w:t>spring.datasource.type</w:t>
      </w:r>
      <w:r w:rsidR="0030286B">
        <w:rPr>
          <w:rFonts w:ascii="MS Gothic"/>
          <w:color w:val="B02045"/>
          <w:spacing w:val="-39"/>
          <w:w w:val="110"/>
        </w:rPr>
        <w:t xml:space="preserve"> </w:t>
      </w:r>
      <w:r w:rsidR="0030286B">
        <w:rPr>
          <w:color w:val="333333"/>
          <w:spacing w:val="-3"/>
          <w:w w:val="110"/>
        </w:rPr>
        <w:t xml:space="preserve">property. </w:t>
      </w:r>
      <w:r w:rsidR="0030286B">
        <w:rPr>
          <w:color w:val="333333"/>
          <w:w w:val="110"/>
        </w:rPr>
        <w:t xml:space="preserve">This is especially important if you run your application in a Tomcat container, as </w:t>
      </w:r>
      <w:r w:rsidR="0030286B">
        <w:rPr>
          <w:rFonts w:ascii="MS Gothic"/>
          <w:color w:val="B02045"/>
          <w:w w:val="110"/>
        </w:rPr>
        <w:t>tomcat-jdbc</w:t>
      </w:r>
      <w:r w:rsidR="0030286B">
        <w:rPr>
          <w:rFonts w:ascii="MS Gothic"/>
          <w:color w:val="B02045"/>
          <w:spacing w:val="-55"/>
          <w:w w:val="110"/>
        </w:rPr>
        <w:t xml:space="preserve"> </w:t>
      </w:r>
      <w:r w:rsidR="0030286B">
        <w:rPr>
          <w:color w:val="333333"/>
          <w:w w:val="110"/>
        </w:rPr>
        <w:t xml:space="preserve">is provided </w:t>
      </w:r>
      <w:r w:rsidR="0030286B">
        <w:rPr>
          <w:color w:val="333333"/>
          <w:spacing w:val="-3"/>
          <w:w w:val="110"/>
        </w:rPr>
        <w:t xml:space="preserve">by </w:t>
      </w:r>
      <w:r w:rsidR="0030286B">
        <w:rPr>
          <w:color w:val="333333"/>
          <w:w w:val="110"/>
        </w:rPr>
        <w:t>default.</w:t>
      </w:r>
    </w:p>
    <w:p w14:paraId="34CCA28C" w14:textId="77777777" w:rsidR="00A720EB" w:rsidRDefault="00A720EB">
      <w:pPr>
        <w:pStyle w:val="a3"/>
        <w:spacing w:before="11"/>
        <w:rPr>
          <w:sz w:val="33"/>
        </w:rPr>
      </w:pPr>
    </w:p>
    <w:p w14:paraId="29849C61" w14:textId="77777777" w:rsidR="00A720EB" w:rsidRDefault="00E10349">
      <w:pPr>
        <w:pStyle w:val="a3"/>
        <w:spacing w:line="297" w:lineRule="auto"/>
        <w:ind w:left="1564" w:right="371"/>
        <w:jc w:val="both"/>
      </w:pPr>
      <w:r>
        <w:pict w14:anchorId="19A770BB">
          <v:line id="_x0000_s4196" style="position:absolute;left:0;text-align:left;z-index:15958528;mso-position-horizontal-relative:page" from="108.25pt,-6pt" to="108.25pt,33.55pt" strokecolor="#ededed" strokeweight=".5pt">
            <w10:wrap anchorx="page"/>
          </v:line>
        </w:pict>
      </w:r>
      <w:r w:rsidR="0030286B">
        <w:rPr>
          <w:noProof/>
        </w:rPr>
        <w:drawing>
          <wp:anchor distT="0" distB="0" distL="0" distR="0" simplePos="0" relativeHeight="15959040" behindDoc="0" locked="0" layoutInCell="1" allowOverlap="1" wp14:anchorId="479C83A2" wp14:editId="5A72C58D">
            <wp:simplePos x="0" y="0"/>
            <wp:positionH relativeFrom="page">
              <wp:posOffset>888949</wp:posOffset>
            </wp:positionH>
            <wp:positionV relativeFrom="paragraph">
              <wp:posOffset>22771</wp:posOffset>
            </wp:positionV>
            <wp:extent cx="209550" cy="304800"/>
            <wp:effectExtent l="0" t="0" r="0" b="0"/>
            <wp:wrapNone/>
            <wp:docPr id="29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3.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Additional connection pools can always be configured </w:t>
      </w:r>
      <w:r w:rsidR="0030286B">
        <w:rPr>
          <w:color w:val="333333"/>
          <w:spacing w:val="-3"/>
          <w:w w:val="110"/>
        </w:rPr>
        <w:t xml:space="preserve">manually. </w:t>
      </w:r>
      <w:r w:rsidR="0030286B">
        <w:rPr>
          <w:color w:val="333333"/>
          <w:w w:val="110"/>
        </w:rPr>
        <w:t xml:space="preserve">If you define your own </w:t>
      </w:r>
      <w:r w:rsidR="0030286B">
        <w:rPr>
          <w:rFonts w:ascii="MS Gothic"/>
          <w:color w:val="B02045"/>
          <w:w w:val="110"/>
        </w:rPr>
        <w:t>DataSource</w:t>
      </w:r>
      <w:r w:rsidR="0030286B">
        <w:rPr>
          <w:rFonts w:ascii="MS Gothic"/>
          <w:color w:val="B02045"/>
          <w:spacing w:val="-56"/>
          <w:w w:val="110"/>
        </w:rPr>
        <w:t xml:space="preserve"> </w:t>
      </w:r>
      <w:r w:rsidR="0030286B">
        <w:rPr>
          <w:color w:val="333333"/>
          <w:w w:val="110"/>
        </w:rPr>
        <w:t>bean, auto-configuration does not occur.</w:t>
      </w:r>
    </w:p>
    <w:p w14:paraId="5F700A51" w14:textId="77777777" w:rsidR="00A720EB" w:rsidRDefault="00A720EB">
      <w:pPr>
        <w:pStyle w:val="a3"/>
        <w:spacing w:before="10"/>
        <w:rPr>
          <w:sz w:val="15"/>
        </w:rPr>
      </w:pPr>
    </w:p>
    <w:p w14:paraId="6848BC26" w14:textId="77777777" w:rsidR="00A720EB" w:rsidRDefault="0030286B">
      <w:pPr>
        <w:pStyle w:val="a3"/>
        <w:spacing w:before="116" w:line="280" w:lineRule="auto"/>
        <w:ind w:left="124"/>
      </w:pPr>
      <w:r>
        <w:rPr>
          <w:color w:val="333333"/>
          <w:w w:val="110"/>
        </w:rPr>
        <w:t xml:space="preserve">DataSource configuration is controlled by external configuration properties in </w:t>
      </w:r>
      <w:proofErr w:type="gramStart"/>
      <w:r>
        <w:rPr>
          <w:rFonts w:ascii="MS Gothic"/>
          <w:color w:val="B02045"/>
          <w:w w:val="110"/>
        </w:rPr>
        <w:t>spring.datasource</w:t>
      </w:r>
      <w:proofErr w:type="gramEnd"/>
      <w:r>
        <w:rPr>
          <w:rFonts w:ascii="MS Gothic"/>
          <w:color w:val="B02045"/>
          <w:w w:val="110"/>
        </w:rPr>
        <w:t>.*</w:t>
      </w:r>
      <w:r>
        <w:rPr>
          <w:color w:val="333333"/>
          <w:w w:val="110"/>
        </w:rPr>
        <w:t xml:space="preserve">. For example, you might declare the following section in </w:t>
      </w:r>
      <w:proofErr w:type="gramStart"/>
      <w:r>
        <w:rPr>
          <w:rFonts w:ascii="MS Gothic"/>
          <w:color w:val="B02045"/>
          <w:w w:val="110"/>
        </w:rPr>
        <w:t>application.properties</w:t>
      </w:r>
      <w:proofErr w:type="gramEnd"/>
      <w:r>
        <w:rPr>
          <w:color w:val="333333"/>
          <w:w w:val="110"/>
        </w:rPr>
        <w:t>:</w:t>
      </w:r>
    </w:p>
    <w:p w14:paraId="4966E38F" w14:textId="77777777" w:rsidR="00A720EB" w:rsidRDefault="00E10349">
      <w:pPr>
        <w:pStyle w:val="a3"/>
        <w:spacing w:before="1"/>
        <w:rPr>
          <w:sz w:val="14"/>
        </w:rPr>
      </w:pPr>
      <w:r>
        <w:pict w14:anchorId="00119B0D">
          <v:group id="_x0000_s4192" style="position:absolute;margin-left:47.85pt;margin-top:10.25pt;width:499.55pt;height:81.75pt;z-index:-15502336;mso-wrap-distance-left:0;mso-wrap-distance-right:0;mso-position-horizontal-relative:page" coordorigin="957,205" coordsize="9991,1635">
            <v:shape id="_x0000_s4195" style="position:absolute;left:964;top:212;width:9976;height:1620" coordorigin="965,212" coordsize="9976,1620" path="m10861,212r-9816,l1014,219r-26,17l971,261r-6,31l965,1752r6,31l988,1808r26,17l1045,1832r9816,l10892,1825r25,-17l10935,1783r6,-31l10941,292r-6,-31l10917,236r-25,-17l10861,212xe" fillcolor="#f5f5f5" stroked="f">
              <v:path arrowok="t"/>
            </v:shape>
            <v:shape id="_x0000_s4194" style="position:absolute;left:964;top:212;width:9976;height:1620" coordorigin="965,212" coordsize="9976,1620" path="m1045,212r9816,l10892,219r25,17l10935,261r6,31l10941,1752r-6,31l10917,1808r-25,17l10861,1832r-9816,l1014,1825r-26,-17l971,1783r-6,-31l965,292r6,-31l988,236r26,-17l1045,212xe" filled="f" strokecolor="#ccc">
              <v:path arrowok="t"/>
            </v:shape>
            <v:shape id="_x0000_s4193" type="#_x0000_t202" style="position:absolute;left:984;top:227;width:9938;height:1589" filled="f" stroked="f">
              <v:textbox inset="0,0,0,0">
                <w:txbxContent>
                  <w:p w14:paraId="3C568FED" w14:textId="77777777" w:rsidR="00711A16" w:rsidRDefault="00711A16">
                    <w:pPr>
                      <w:spacing w:before="221" w:line="252" w:lineRule="auto"/>
                      <w:ind w:left="200" w:right="3464"/>
                      <w:rPr>
                        <w:rFonts w:ascii="MS Gothic"/>
                      </w:rPr>
                    </w:pPr>
                    <w:r>
                      <w:rPr>
                        <w:rFonts w:ascii="MS Gothic"/>
                        <w:color w:val="333333"/>
                      </w:rPr>
                      <w:t>spring.datasource.url=</w:t>
                    </w:r>
                    <w:proofErr w:type="gramStart"/>
                    <w:r>
                      <w:rPr>
                        <w:rFonts w:ascii="MS Gothic"/>
                        <w:color w:val="333333"/>
                      </w:rPr>
                      <w:t>jdbc:mysql://localhost/test</w:t>
                    </w:r>
                    <w:proofErr w:type="gramEnd"/>
                    <w:r>
                      <w:rPr>
                        <w:rFonts w:ascii="MS Gothic"/>
                        <w:color w:val="333333"/>
                      </w:rPr>
                      <w:t xml:space="preserve"> spring.datasource.username=dbuser spring.datasource.password=dbpass spring.datasource.driver-class-name=com.mysql.jdbc.Driver</w:t>
                    </w:r>
                  </w:p>
                </w:txbxContent>
              </v:textbox>
            </v:shape>
            <w10:wrap type="topAndBottom" anchorx="page"/>
          </v:group>
        </w:pict>
      </w:r>
    </w:p>
    <w:p w14:paraId="0B34B20E" w14:textId="77777777" w:rsidR="00A720EB" w:rsidRDefault="00A720EB">
      <w:pPr>
        <w:pStyle w:val="a3"/>
        <w:spacing w:before="8"/>
        <w:rPr>
          <w:sz w:val="16"/>
        </w:rPr>
      </w:pPr>
    </w:p>
    <w:p w14:paraId="7F9F7309" w14:textId="77777777" w:rsidR="00A720EB" w:rsidRDefault="00E10349">
      <w:pPr>
        <w:pStyle w:val="a3"/>
        <w:spacing w:before="116" w:line="290" w:lineRule="auto"/>
        <w:ind w:left="1564" w:right="300"/>
      </w:pPr>
      <w:r>
        <w:pict w14:anchorId="3E75F99F">
          <v:line id="_x0000_s4191" style="position:absolute;left:0;text-align:left;z-index:15959552;mso-position-horizontal-relative:page" from="108.25pt,.35pt" to="108.25pt,39.9pt" strokecolor="#ededed" strokeweight=".5pt">
            <w10:wrap anchorx="page"/>
          </v:line>
        </w:pict>
      </w:r>
      <w:r w:rsidR="0030286B">
        <w:rPr>
          <w:noProof/>
        </w:rPr>
        <w:drawing>
          <wp:anchor distT="0" distB="0" distL="0" distR="0" simplePos="0" relativeHeight="15960064" behindDoc="0" locked="0" layoutInCell="1" allowOverlap="1" wp14:anchorId="4EF60F92" wp14:editId="50C02E1A">
            <wp:simplePos x="0" y="0"/>
            <wp:positionH relativeFrom="page">
              <wp:posOffset>844422</wp:posOffset>
            </wp:positionH>
            <wp:positionV relativeFrom="paragraph">
              <wp:posOffset>106248</wp:posOffset>
            </wp:positionV>
            <wp:extent cx="298450" cy="298449"/>
            <wp:effectExtent l="0" t="0" r="0" b="0"/>
            <wp:wrapNone/>
            <wp:docPr id="2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png"/>
                    <pic:cNvPicPr/>
                  </pic:nvPicPr>
                  <pic:blipFill>
                    <a:blip r:embed="rId24" cstate="print"/>
                    <a:stretch>
                      <a:fillRect/>
                    </a:stretch>
                  </pic:blipFill>
                  <pic:spPr>
                    <a:xfrm>
                      <a:off x="0" y="0"/>
                      <a:ext cx="298450" cy="298449"/>
                    </a:xfrm>
                    <a:prstGeom prst="rect">
                      <a:avLst/>
                    </a:prstGeom>
                  </pic:spPr>
                </pic:pic>
              </a:graphicData>
            </a:graphic>
          </wp:anchor>
        </w:drawing>
      </w:r>
      <w:r w:rsidR="0030286B">
        <w:rPr>
          <w:color w:val="333333"/>
          <w:w w:val="110"/>
        </w:rPr>
        <w:t xml:space="preserve">You should at least specify the URL by setting the </w:t>
      </w:r>
      <w:r w:rsidR="0030286B">
        <w:rPr>
          <w:rFonts w:ascii="MS Gothic"/>
          <w:color w:val="B02045"/>
          <w:w w:val="110"/>
        </w:rPr>
        <w:t xml:space="preserve">spring.datasource.url </w:t>
      </w:r>
      <w:r w:rsidR="0030286B">
        <w:rPr>
          <w:color w:val="333333"/>
          <w:w w:val="110"/>
        </w:rPr>
        <w:t>property. Otherwise, Spring Boot tries to auto-configure an embedded database.</w:t>
      </w:r>
    </w:p>
    <w:p w14:paraId="230D2A11" w14:textId="77777777" w:rsidR="00A720EB" w:rsidRDefault="00A720EB">
      <w:pPr>
        <w:pStyle w:val="a3"/>
        <w:spacing w:before="9"/>
        <w:rPr>
          <w:sz w:val="34"/>
        </w:rPr>
      </w:pPr>
    </w:p>
    <w:p w14:paraId="4B138326" w14:textId="77777777" w:rsidR="00A720EB" w:rsidRDefault="00E10349">
      <w:pPr>
        <w:pStyle w:val="a3"/>
        <w:spacing w:before="1" w:line="280" w:lineRule="auto"/>
        <w:ind w:left="1564" w:right="462"/>
      </w:pPr>
      <w:r>
        <w:pict w14:anchorId="77B58205">
          <v:line id="_x0000_s4190" style="position:absolute;left:0;text-align:left;z-index:15960576;mso-position-horizontal-relative:page" from="108.25pt,-5.4pt" to="108.25pt,34.15pt" strokecolor="#ededed" strokeweight=".5pt">
            <w10:wrap anchorx="page"/>
          </v:line>
        </w:pict>
      </w:r>
      <w:r w:rsidR="0030286B">
        <w:rPr>
          <w:noProof/>
        </w:rPr>
        <w:drawing>
          <wp:anchor distT="0" distB="0" distL="0" distR="0" simplePos="0" relativeHeight="15961088" behindDoc="0" locked="0" layoutInCell="1" allowOverlap="1" wp14:anchorId="0949ED36" wp14:editId="741DD99A">
            <wp:simplePos x="0" y="0"/>
            <wp:positionH relativeFrom="page">
              <wp:posOffset>888949</wp:posOffset>
            </wp:positionH>
            <wp:positionV relativeFrom="paragraph">
              <wp:posOffset>30048</wp:posOffset>
            </wp:positionV>
            <wp:extent cx="209550" cy="304800"/>
            <wp:effectExtent l="0" t="0" r="0" b="0"/>
            <wp:wrapNone/>
            <wp:docPr id="29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3.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You often do not need to specify the </w:t>
      </w:r>
      <w:r w:rsidR="0030286B">
        <w:rPr>
          <w:rFonts w:ascii="MS Gothic"/>
          <w:color w:val="B02045"/>
          <w:w w:val="110"/>
        </w:rPr>
        <w:t>driver-class-name</w:t>
      </w:r>
      <w:r w:rsidR="0030286B">
        <w:rPr>
          <w:color w:val="333333"/>
          <w:w w:val="110"/>
        </w:rPr>
        <w:t xml:space="preserve">, since Spring Boot can deduce it for most databases from the </w:t>
      </w:r>
      <w:r w:rsidR="0030286B">
        <w:rPr>
          <w:rFonts w:ascii="MS Gothic"/>
          <w:color w:val="B02045"/>
          <w:w w:val="110"/>
        </w:rPr>
        <w:t>url</w:t>
      </w:r>
      <w:r w:rsidR="0030286B">
        <w:rPr>
          <w:color w:val="333333"/>
          <w:w w:val="110"/>
        </w:rPr>
        <w:t>.</w:t>
      </w:r>
    </w:p>
    <w:p w14:paraId="469B32C1" w14:textId="77777777" w:rsidR="00A720EB" w:rsidRDefault="00A720EB">
      <w:pPr>
        <w:spacing w:line="280" w:lineRule="auto"/>
        <w:sectPr w:rsidR="00A720EB">
          <w:pgSz w:w="11910" w:h="16840"/>
          <w:pgMar w:top="700" w:right="840" w:bottom="520" w:left="840" w:header="0" w:footer="323" w:gutter="0"/>
          <w:cols w:space="720"/>
        </w:sectPr>
      </w:pPr>
    </w:p>
    <w:p w14:paraId="4AF6E9CF" w14:textId="77777777" w:rsidR="00A720EB" w:rsidRDefault="00E10349">
      <w:pPr>
        <w:pStyle w:val="a3"/>
        <w:spacing w:before="111" w:line="285" w:lineRule="auto"/>
        <w:ind w:left="1564" w:right="362"/>
        <w:jc w:val="both"/>
      </w:pPr>
      <w:r>
        <w:lastRenderedPageBreak/>
        <w:pict w14:anchorId="3831D07F">
          <v:line id="_x0000_s4189" style="position:absolute;left:0;text-align:left;z-index:15962624;mso-position-horizontal-relative:page" from="108.25pt,.1pt" to="108.25pt,71.2pt" strokecolor="#ededed" strokeweight=".5pt">
            <w10:wrap anchorx="page"/>
          </v:line>
        </w:pict>
      </w:r>
      <w:r w:rsidR="0030286B">
        <w:rPr>
          <w:noProof/>
        </w:rPr>
        <w:drawing>
          <wp:anchor distT="0" distB="0" distL="0" distR="0" simplePos="0" relativeHeight="15963136" behindDoc="0" locked="0" layoutInCell="1" allowOverlap="1" wp14:anchorId="6A18732C" wp14:editId="4707536C">
            <wp:simplePos x="0" y="0"/>
            <wp:positionH relativeFrom="page">
              <wp:posOffset>844422</wp:posOffset>
            </wp:positionH>
            <wp:positionV relativeFrom="paragraph">
              <wp:posOffset>303479</wp:posOffset>
            </wp:positionV>
            <wp:extent cx="298450" cy="298450"/>
            <wp:effectExtent l="0" t="0" r="0" b="0"/>
            <wp:wrapNone/>
            <wp:docPr id="2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4"/>
          <w:w w:val="110"/>
        </w:rPr>
        <w:t xml:space="preserve">For </w:t>
      </w:r>
      <w:r w:rsidR="0030286B">
        <w:rPr>
          <w:color w:val="333333"/>
          <w:w w:val="110"/>
        </w:rPr>
        <w:t xml:space="preserve">a pooling </w:t>
      </w:r>
      <w:r w:rsidR="0030286B">
        <w:rPr>
          <w:rFonts w:ascii="MS Gothic"/>
          <w:color w:val="B02045"/>
          <w:w w:val="110"/>
        </w:rPr>
        <w:t xml:space="preserve">DataSource </w:t>
      </w:r>
      <w:r w:rsidR="0030286B">
        <w:rPr>
          <w:color w:val="333333"/>
          <w:w w:val="110"/>
        </w:rPr>
        <w:t xml:space="preserve">to be created, we need to be able to verify that a valid </w:t>
      </w:r>
      <w:r w:rsidR="0030286B">
        <w:rPr>
          <w:rFonts w:ascii="MS Gothic"/>
          <w:color w:val="B02045"/>
          <w:w w:val="110"/>
        </w:rPr>
        <w:t xml:space="preserve">Driver </w:t>
      </w:r>
      <w:r w:rsidR="0030286B">
        <w:rPr>
          <w:color w:val="333333"/>
          <w:w w:val="110"/>
        </w:rPr>
        <w:t xml:space="preserve">class is available, so we check for that before doing anything. </w:t>
      </w:r>
      <w:proofErr w:type="gramStart"/>
      <w:r w:rsidR="0030286B">
        <w:rPr>
          <w:color w:val="333333"/>
          <w:w w:val="110"/>
        </w:rPr>
        <w:t>In  other</w:t>
      </w:r>
      <w:proofErr w:type="gramEnd"/>
      <w:r w:rsidR="0030286B">
        <w:rPr>
          <w:color w:val="333333"/>
          <w:w w:val="110"/>
        </w:rPr>
        <w:t xml:space="preserve"> </w:t>
      </w:r>
      <w:r w:rsidR="0030286B">
        <w:rPr>
          <w:color w:val="333333"/>
          <w:w w:val="105"/>
        </w:rPr>
        <w:t>words,</w:t>
      </w:r>
      <w:r w:rsidR="0030286B">
        <w:rPr>
          <w:color w:val="333333"/>
          <w:spacing w:val="-21"/>
          <w:w w:val="105"/>
        </w:rPr>
        <w:t xml:space="preserve"> </w:t>
      </w:r>
      <w:r w:rsidR="0030286B">
        <w:rPr>
          <w:color w:val="333333"/>
          <w:w w:val="105"/>
        </w:rPr>
        <w:t>if</w:t>
      </w:r>
      <w:r w:rsidR="0030286B">
        <w:rPr>
          <w:color w:val="333333"/>
          <w:spacing w:val="-20"/>
          <w:w w:val="105"/>
        </w:rPr>
        <w:t xml:space="preserve"> </w:t>
      </w:r>
      <w:r w:rsidR="0030286B">
        <w:rPr>
          <w:color w:val="333333"/>
          <w:w w:val="105"/>
        </w:rPr>
        <w:t>you</w:t>
      </w:r>
      <w:r w:rsidR="0030286B">
        <w:rPr>
          <w:color w:val="333333"/>
          <w:spacing w:val="-20"/>
          <w:w w:val="105"/>
        </w:rPr>
        <w:t xml:space="preserve"> </w:t>
      </w:r>
      <w:r w:rsidR="0030286B">
        <w:rPr>
          <w:color w:val="333333"/>
          <w:w w:val="105"/>
        </w:rPr>
        <w:t>set</w:t>
      </w:r>
      <w:r w:rsidR="0030286B">
        <w:rPr>
          <w:color w:val="333333"/>
          <w:spacing w:val="-19"/>
          <w:w w:val="105"/>
        </w:rPr>
        <w:t xml:space="preserve"> </w:t>
      </w:r>
      <w:r w:rsidR="0030286B">
        <w:rPr>
          <w:rFonts w:ascii="MS Gothic"/>
          <w:color w:val="B02045"/>
          <w:w w:val="105"/>
        </w:rPr>
        <w:t>spring.datasource.driver-class-name=com.mysql.jdbc.Driver</w:t>
      </w:r>
      <w:r w:rsidR="0030286B">
        <w:rPr>
          <w:color w:val="333333"/>
          <w:w w:val="105"/>
        </w:rPr>
        <w:t>,</w:t>
      </w:r>
      <w:r w:rsidR="0030286B">
        <w:rPr>
          <w:color w:val="333333"/>
          <w:spacing w:val="-20"/>
          <w:w w:val="105"/>
        </w:rPr>
        <w:t xml:space="preserve"> </w:t>
      </w:r>
      <w:r w:rsidR="0030286B">
        <w:rPr>
          <w:color w:val="333333"/>
          <w:w w:val="105"/>
        </w:rPr>
        <w:t xml:space="preserve">then </w:t>
      </w:r>
      <w:r w:rsidR="0030286B">
        <w:rPr>
          <w:color w:val="333333"/>
          <w:w w:val="110"/>
        </w:rPr>
        <w:t>that class has to be</w:t>
      </w:r>
      <w:r w:rsidR="0030286B">
        <w:rPr>
          <w:color w:val="333333"/>
          <w:spacing w:val="15"/>
          <w:w w:val="110"/>
        </w:rPr>
        <w:t xml:space="preserve"> </w:t>
      </w:r>
      <w:r w:rsidR="0030286B">
        <w:rPr>
          <w:color w:val="333333"/>
          <w:w w:val="110"/>
        </w:rPr>
        <w:t>loadable.</w:t>
      </w:r>
    </w:p>
    <w:p w14:paraId="7D747FEA" w14:textId="77777777" w:rsidR="00A720EB" w:rsidRDefault="00A720EB">
      <w:pPr>
        <w:pStyle w:val="a3"/>
        <w:spacing w:before="2"/>
        <w:rPr>
          <w:sz w:val="18"/>
        </w:rPr>
      </w:pPr>
    </w:p>
    <w:p w14:paraId="795C2C6A" w14:textId="77777777" w:rsidR="00A720EB" w:rsidRDefault="0030286B">
      <w:pPr>
        <w:pStyle w:val="a3"/>
        <w:spacing w:before="116" w:line="290" w:lineRule="auto"/>
        <w:ind w:left="124" w:right="122"/>
        <w:jc w:val="both"/>
      </w:pPr>
      <w:r>
        <w:rPr>
          <w:color w:val="333333"/>
          <w:w w:val="110"/>
        </w:rPr>
        <w:t xml:space="preserve">See </w:t>
      </w:r>
      <w:hyperlink r:id="rId190">
        <w:r>
          <w:rPr>
            <w:rFonts w:ascii="MS Gothic"/>
            <w:color w:val="B02045"/>
            <w:w w:val="110"/>
          </w:rPr>
          <w:t xml:space="preserve">DataSourceProperties </w:t>
        </w:r>
      </w:hyperlink>
      <w:r>
        <w:rPr>
          <w:color w:val="333333"/>
          <w:w w:val="110"/>
        </w:rPr>
        <w:t>for more of the supported options. These are the standard options that work regardless of the actual implementation. It is also possible to fine-tune implementation</w:t>
      </w:r>
      <w:proofErr w:type="gramStart"/>
      <w:r>
        <w:rPr>
          <w:color w:val="333333"/>
          <w:w w:val="110"/>
        </w:rPr>
        <w:t>-  specific</w:t>
      </w:r>
      <w:proofErr w:type="gramEnd"/>
      <w:r>
        <w:rPr>
          <w:color w:val="333333"/>
          <w:w w:val="110"/>
        </w:rPr>
        <w:t xml:space="preserve">  settings  </w:t>
      </w:r>
      <w:r>
        <w:rPr>
          <w:color w:val="333333"/>
          <w:spacing w:val="-3"/>
          <w:w w:val="110"/>
        </w:rPr>
        <w:t xml:space="preserve">by </w:t>
      </w:r>
      <w:r>
        <w:rPr>
          <w:color w:val="333333"/>
          <w:w w:val="110"/>
        </w:rPr>
        <w:t>using  their  respective  prefix  (</w:t>
      </w:r>
      <w:r>
        <w:rPr>
          <w:rFonts w:ascii="MS Gothic"/>
          <w:color w:val="B02045"/>
          <w:w w:val="110"/>
        </w:rPr>
        <w:t>spring.datasource.hikari.*</w:t>
      </w:r>
      <w:r>
        <w:rPr>
          <w:color w:val="333333"/>
          <w:w w:val="110"/>
        </w:rPr>
        <w:t xml:space="preserve">, </w:t>
      </w:r>
      <w:r>
        <w:rPr>
          <w:rFonts w:ascii="MS Gothic"/>
          <w:color w:val="B02045"/>
          <w:w w:val="110"/>
        </w:rPr>
        <w:t>spring.datasource.tomcat.*</w:t>
      </w:r>
      <w:r>
        <w:rPr>
          <w:color w:val="333333"/>
          <w:w w:val="110"/>
        </w:rPr>
        <w:t xml:space="preserve">, and </w:t>
      </w:r>
      <w:r>
        <w:rPr>
          <w:rFonts w:ascii="MS Gothic"/>
          <w:color w:val="B02045"/>
          <w:w w:val="110"/>
        </w:rPr>
        <w:t>spring.datasource.dbcp2.*</w:t>
      </w:r>
      <w:r>
        <w:rPr>
          <w:color w:val="333333"/>
          <w:w w:val="110"/>
        </w:rPr>
        <w:t>). Refer to the documentation of the connection pool implementation you are using for more</w:t>
      </w:r>
      <w:r>
        <w:rPr>
          <w:color w:val="333333"/>
          <w:spacing w:val="26"/>
          <w:w w:val="110"/>
        </w:rPr>
        <w:t xml:space="preserve"> </w:t>
      </w:r>
      <w:r>
        <w:rPr>
          <w:color w:val="333333"/>
          <w:w w:val="110"/>
        </w:rPr>
        <w:t>details.</w:t>
      </w:r>
    </w:p>
    <w:p w14:paraId="6020DAD0" w14:textId="77777777" w:rsidR="00A720EB" w:rsidRDefault="00A720EB">
      <w:pPr>
        <w:pStyle w:val="a3"/>
        <w:spacing w:before="10"/>
      </w:pPr>
    </w:p>
    <w:p w14:paraId="67774496" w14:textId="77777777" w:rsidR="00A720EB" w:rsidRDefault="0030286B">
      <w:pPr>
        <w:pStyle w:val="a3"/>
        <w:spacing w:line="307" w:lineRule="auto"/>
        <w:ind w:left="124" w:right="126"/>
        <w:jc w:val="both"/>
      </w:pPr>
      <w:r>
        <w:rPr>
          <w:color w:val="333333"/>
          <w:spacing w:val="-4"/>
          <w:w w:val="110"/>
        </w:rPr>
        <w:t xml:space="preserve">For </w:t>
      </w:r>
      <w:r>
        <w:rPr>
          <w:color w:val="333333"/>
          <w:w w:val="110"/>
        </w:rPr>
        <w:t xml:space="preserve">instance, if you use the </w:t>
      </w:r>
      <w:hyperlink r:id="rId191" w:anchor="Common_Attributes">
        <w:r>
          <w:rPr>
            <w:color w:val="418BCA"/>
            <w:w w:val="110"/>
          </w:rPr>
          <w:t>Tomcat connection pool</w:t>
        </w:r>
      </w:hyperlink>
      <w:r>
        <w:rPr>
          <w:color w:val="333333"/>
          <w:w w:val="110"/>
        </w:rPr>
        <w:t>, you could customize many additional settings,  as shown in the following</w:t>
      </w:r>
      <w:r>
        <w:rPr>
          <w:color w:val="333333"/>
          <w:spacing w:val="16"/>
          <w:w w:val="110"/>
        </w:rPr>
        <w:t xml:space="preserve"> </w:t>
      </w:r>
      <w:r>
        <w:rPr>
          <w:color w:val="333333"/>
          <w:w w:val="110"/>
        </w:rPr>
        <w:t>example:</w:t>
      </w:r>
    </w:p>
    <w:p w14:paraId="658F2554" w14:textId="77777777" w:rsidR="00A720EB" w:rsidRDefault="00E10349">
      <w:pPr>
        <w:pStyle w:val="a3"/>
        <w:spacing w:before="1"/>
        <w:rPr>
          <w:sz w:val="13"/>
        </w:rPr>
      </w:pPr>
      <w:r>
        <w:pict w14:anchorId="7F183A69">
          <v:group id="_x0000_s4185" style="position:absolute;margin-left:47.85pt;margin-top:9.7pt;width:499.55pt;height:155.45pt;z-index:-15495680;mso-wrap-distance-left:0;mso-wrap-distance-right:0;mso-position-horizontal-relative:page" coordorigin="957,194" coordsize="9991,3109">
            <v:shape id="_x0000_s4188" style="position:absolute;left:964;top:201;width:9976;height:3094" coordorigin="965,201" coordsize="9976,3094" path="m10861,201r-9816,l1014,208r-26,17l971,250r-6,31l965,3214r6,32l988,3271r26,17l1045,3294r9816,l10892,3288r25,-17l10935,3246r6,-32l10941,281r-6,-31l10917,225r-25,-17l10861,201xe" fillcolor="#f5f5f5" stroked="f">
              <v:path arrowok="t"/>
            </v:shape>
            <v:shape id="_x0000_s4187" style="position:absolute;left:964;top:201;width:9976;height:3094" coordorigin="965,201" coordsize="9976,3094" path="m1045,201r9816,l10892,208r25,17l10935,250r6,31l10941,3214r-6,32l10917,3271r-25,17l10861,3294r-9816,l1014,3288r-26,-17l971,3246r-6,-32l965,281r6,-31l988,225r26,-17l1045,201xe" filled="f" strokecolor="#ccc">
              <v:path arrowok="t"/>
            </v:shape>
            <v:shape id="_x0000_s4186" type="#_x0000_t202" style="position:absolute;left:984;top:216;width:9938;height:3063" filled="f" stroked="f">
              <v:textbox inset="0,0,0,0">
                <w:txbxContent>
                  <w:p w14:paraId="20147024" w14:textId="77777777" w:rsidR="00711A16" w:rsidRDefault="00711A16">
                    <w:pPr>
                      <w:spacing w:before="221" w:line="252" w:lineRule="auto"/>
                      <w:ind w:left="200" w:right="714"/>
                      <w:rPr>
                        <w:rFonts w:ascii="MS Gothic"/>
                      </w:rPr>
                    </w:pPr>
                    <w:r>
                      <w:rPr>
                        <w:rFonts w:ascii="MS Gothic"/>
                        <w:color w:val="333333"/>
                      </w:rPr>
                      <w:t># Number of ms to wait before throwing an exception if no connection is available. spring.datasource.tomcat.max-wait=10000</w:t>
                    </w:r>
                  </w:p>
                  <w:p w14:paraId="4B1ED4FE" w14:textId="77777777" w:rsidR="00711A16" w:rsidRDefault="00711A16">
                    <w:pPr>
                      <w:spacing w:before="10"/>
                      <w:rPr>
                        <w:rFonts w:ascii="MS Gothic"/>
                      </w:rPr>
                    </w:pPr>
                  </w:p>
                  <w:p w14:paraId="78DDEBC9" w14:textId="77777777" w:rsidR="00711A16" w:rsidRDefault="00711A16">
                    <w:pPr>
                      <w:spacing w:line="252" w:lineRule="auto"/>
                      <w:ind w:left="200" w:right="698"/>
                      <w:rPr>
                        <w:rFonts w:ascii="MS Gothic"/>
                      </w:rPr>
                    </w:pPr>
                    <w:r>
                      <w:rPr>
                        <w:rFonts w:ascii="MS Gothic"/>
                        <w:color w:val="333333"/>
                      </w:rPr>
                      <w:t># Maximum number of active connections that can be allocated from this pool at the same time.</w:t>
                    </w:r>
                  </w:p>
                  <w:p w14:paraId="74AB8437" w14:textId="77777777" w:rsidR="00711A16" w:rsidRDefault="00711A16">
                    <w:pPr>
                      <w:spacing w:line="280" w:lineRule="exact"/>
                      <w:ind w:left="200"/>
                      <w:rPr>
                        <w:rFonts w:ascii="MS Gothic"/>
                      </w:rPr>
                    </w:pPr>
                    <w:r>
                      <w:rPr>
                        <w:rFonts w:ascii="MS Gothic"/>
                        <w:color w:val="333333"/>
                      </w:rPr>
                      <w:t>spring.datasource.tomcat.max-active=50</w:t>
                    </w:r>
                  </w:p>
                  <w:p w14:paraId="72FC181B" w14:textId="77777777" w:rsidR="00711A16" w:rsidRDefault="00711A16">
                    <w:pPr>
                      <w:rPr>
                        <w:rFonts w:ascii="MS Gothic"/>
                        <w:sz w:val="24"/>
                      </w:rPr>
                    </w:pPr>
                  </w:p>
                  <w:p w14:paraId="4C35B3D3" w14:textId="77777777" w:rsidR="00711A16" w:rsidRDefault="00711A16">
                    <w:pPr>
                      <w:spacing w:before="1" w:line="252" w:lineRule="auto"/>
                      <w:ind w:left="200" w:right="3134"/>
                      <w:rPr>
                        <w:rFonts w:ascii="MS Gothic"/>
                      </w:rPr>
                    </w:pPr>
                    <w:r>
                      <w:rPr>
                        <w:rFonts w:ascii="MS Gothic"/>
                        <w:color w:val="333333"/>
                      </w:rPr>
                      <w:t xml:space="preserve"># Validate the connection before borrowing it from the pool. </w:t>
                    </w:r>
                    <w:proofErr w:type="gramStart"/>
                    <w:r>
                      <w:rPr>
                        <w:rFonts w:ascii="MS Gothic"/>
                        <w:color w:val="333333"/>
                      </w:rPr>
                      <w:t>spring.datasource</w:t>
                    </w:r>
                    <w:proofErr w:type="gramEnd"/>
                    <w:r>
                      <w:rPr>
                        <w:rFonts w:ascii="MS Gothic"/>
                        <w:color w:val="333333"/>
                      </w:rPr>
                      <w:t>.tomcat.test-on-borrow=true</w:t>
                    </w:r>
                  </w:p>
                </w:txbxContent>
              </v:textbox>
            </v:shape>
            <w10:wrap type="topAndBottom" anchorx="page"/>
          </v:group>
        </w:pict>
      </w:r>
    </w:p>
    <w:p w14:paraId="3F97E481" w14:textId="77777777" w:rsidR="00A720EB" w:rsidRDefault="00A720EB">
      <w:pPr>
        <w:pStyle w:val="a3"/>
        <w:spacing w:before="11"/>
        <w:rPr>
          <w:sz w:val="16"/>
        </w:rPr>
      </w:pPr>
    </w:p>
    <w:p w14:paraId="4125EC4D" w14:textId="77777777" w:rsidR="00A720EB" w:rsidRDefault="0030286B">
      <w:pPr>
        <w:pStyle w:val="4"/>
        <w:spacing w:before="104"/>
      </w:pPr>
      <w:bookmarkStart w:id="315" w:name="Connection_to_a_JNDI_DataSource"/>
      <w:bookmarkEnd w:id="315"/>
      <w:r>
        <w:rPr>
          <w:color w:val="333333"/>
          <w:w w:val="110"/>
        </w:rPr>
        <w:t>Connection to a JNDI DataSource</w:t>
      </w:r>
    </w:p>
    <w:p w14:paraId="66E70BBB" w14:textId="77777777" w:rsidR="00A720EB" w:rsidRDefault="00A720EB">
      <w:pPr>
        <w:pStyle w:val="a3"/>
        <w:spacing w:before="11"/>
        <w:rPr>
          <w:rFonts w:ascii="Palatino Linotype"/>
          <w:b/>
          <w:sz w:val="18"/>
        </w:rPr>
      </w:pPr>
    </w:p>
    <w:p w14:paraId="48B9E2E5" w14:textId="77777777" w:rsidR="00A720EB" w:rsidRDefault="0030286B">
      <w:pPr>
        <w:pStyle w:val="a3"/>
        <w:spacing w:line="307" w:lineRule="auto"/>
        <w:ind w:left="124" w:right="133"/>
        <w:jc w:val="both"/>
      </w:pPr>
      <w:r>
        <w:rPr>
          <w:color w:val="333333"/>
          <w:w w:val="110"/>
        </w:rPr>
        <w:t xml:space="preserve">If you deploy your Spring Boot application to an Application Server, you might want to configure   and manage your DataSource </w:t>
      </w:r>
      <w:r>
        <w:rPr>
          <w:color w:val="333333"/>
          <w:spacing w:val="-3"/>
          <w:w w:val="110"/>
        </w:rPr>
        <w:t xml:space="preserve">by </w:t>
      </w:r>
      <w:r>
        <w:rPr>
          <w:color w:val="333333"/>
          <w:w w:val="110"/>
        </w:rPr>
        <w:t xml:space="preserve">using your Application Server’s built-in features and access it </w:t>
      </w:r>
      <w:r>
        <w:rPr>
          <w:color w:val="333333"/>
          <w:spacing w:val="-3"/>
          <w:w w:val="110"/>
        </w:rPr>
        <w:t xml:space="preserve">by </w:t>
      </w:r>
      <w:r>
        <w:rPr>
          <w:color w:val="333333"/>
          <w:w w:val="110"/>
        </w:rPr>
        <w:t>using</w:t>
      </w:r>
      <w:r>
        <w:rPr>
          <w:color w:val="333333"/>
          <w:spacing w:val="2"/>
          <w:w w:val="110"/>
        </w:rPr>
        <w:t xml:space="preserve"> </w:t>
      </w:r>
      <w:r>
        <w:rPr>
          <w:color w:val="333333"/>
          <w:w w:val="110"/>
        </w:rPr>
        <w:t>JNDI.</w:t>
      </w:r>
    </w:p>
    <w:p w14:paraId="1E423C7E" w14:textId="77777777" w:rsidR="00A720EB" w:rsidRDefault="0030286B">
      <w:pPr>
        <w:pStyle w:val="a3"/>
        <w:spacing w:before="231" w:line="280" w:lineRule="auto"/>
        <w:ind w:left="124" w:right="124"/>
        <w:jc w:val="both"/>
      </w:pPr>
      <w:r>
        <w:rPr>
          <w:color w:val="333333"/>
          <w:w w:val="110"/>
        </w:rPr>
        <w:t xml:space="preserve">The </w:t>
      </w:r>
      <w:proofErr w:type="gramStart"/>
      <w:r>
        <w:rPr>
          <w:rFonts w:ascii="MS Gothic"/>
          <w:color w:val="B02045"/>
          <w:w w:val="110"/>
        </w:rPr>
        <w:t>spring.datasource</w:t>
      </w:r>
      <w:proofErr w:type="gramEnd"/>
      <w:r>
        <w:rPr>
          <w:rFonts w:ascii="MS Gothic"/>
          <w:color w:val="B02045"/>
          <w:w w:val="110"/>
        </w:rPr>
        <w:t xml:space="preserve">.jndi-name </w:t>
      </w:r>
      <w:r>
        <w:rPr>
          <w:color w:val="333333"/>
          <w:w w:val="110"/>
        </w:rPr>
        <w:t xml:space="preserve">property can be used as an alternative to the </w:t>
      </w:r>
      <w:r>
        <w:rPr>
          <w:rFonts w:ascii="MS Gothic"/>
          <w:color w:val="B02045"/>
          <w:w w:val="105"/>
        </w:rPr>
        <w:t>spring.datasource.url</w:t>
      </w:r>
      <w:r>
        <w:rPr>
          <w:color w:val="333333"/>
          <w:w w:val="105"/>
        </w:rPr>
        <w:t xml:space="preserve">, </w:t>
      </w:r>
      <w:r>
        <w:rPr>
          <w:rFonts w:ascii="MS Gothic"/>
          <w:color w:val="B02045"/>
          <w:w w:val="105"/>
        </w:rPr>
        <w:t>spring.datasource.username</w:t>
      </w:r>
      <w:r>
        <w:rPr>
          <w:color w:val="333333"/>
          <w:w w:val="105"/>
        </w:rPr>
        <w:t xml:space="preserve">, and </w:t>
      </w:r>
      <w:r>
        <w:rPr>
          <w:rFonts w:ascii="MS Gothic"/>
          <w:color w:val="B02045"/>
          <w:w w:val="105"/>
        </w:rPr>
        <w:t xml:space="preserve">spring.datasource.password </w:t>
      </w:r>
      <w:r>
        <w:rPr>
          <w:color w:val="333333"/>
          <w:w w:val="105"/>
        </w:rPr>
        <w:t xml:space="preserve">properties to </w:t>
      </w:r>
      <w:r>
        <w:rPr>
          <w:color w:val="333333"/>
          <w:w w:val="110"/>
        </w:rPr>
        <w:t xml:space="preserve">access the </w:t>
      </w:r>
      <w:r>
        <w:rPr>
          <w:rFonts w:ascii="MS Gothic"/>
          <w:color w:val="B02045"/>
          <w:w w:val="110"/>
        </w:rPr>
        <w:t xml:space="preserve">DataSource </w:t>
      </w:r>
      <w:r>
        <w:rPr>
          <w:color w:val="333333"/>
          <w:w w:val="110"/>
        </w:rPr>
        <w:t xml:space="preserve">from a specific JNDI location. </w:t>
      </w:r>
      <w:r>
        <w:rPr>
          <w:color w:val="333333"/>
          <w:spacing w:val="-4"/>
          <w:w w:val="110"/>
        </w:rPr>
        <w:t xml:space="preserve">For </w:t>
      </w:r>
      <w:r>
        <w:rPr>
          <w:color w:val="333333"/>
          <w:w w:val="110"/>
        </w:rPr>
        <w:t xml:space="preserve">example, the following section in </w:t>
      </w:r>
      <w:proofErr w:type="gramStart"/>
      <w:r>
        <w:rPr>
          <w:rFonts w:ascii="MS Gothic"/>
          <w:color w:val="B02045"/>
          <w:w w:val="110"/>
        </w:rPr>
        <w:t>application.properties</w:t>
      </w:r>
      <w:proofErr w:type="gramEnd"/>
      <w:r>
        <w:rPr>
          <w:rFonts w:ascii="MS Gothic"/>
          <w:color w:val="B02045"/>
          <w:spacing w:val="-101"/>
          <w:w w:val="110"/>
        </w:rPr>
        <w:t xml:space="preserve"> </w:t>
      </w:r>
      <w:r>
        <w:rPr>
          <w:color w:val="333333"/>
          <w:w w:val="110"/>
        </w:rPr>
        <w:t xml:space="preserve">shows how you can access a JBoss AS defined </w:t>
      </w:r>
      <w:r>
        <w:rPr>
          <w:rFonts w:ascii="MS Gothic"/>
          <w:color w:val="B02045"/>
          <w:w w:val="110"/>
        </w:rPr>
        <w:t>DataSource</w:t>
      </w:r>
      <w:r>
        <w:rPr>
          <w:color w:val="333333"/>
          <w:w w:val="110"/>
        </w:rPr>
        <w:t>:</w:t>
      </w:r>
    </w:p>
    <w:p w14:paraId="6E176452" w14:textId="77777777" w:rsidR="00A720EB" w:rsidRDefault="00E10349">
      <w:pPr>
        <w:pStyle w:val="a3"/>
        <w:spacing w:before="3"/>
        <w:rPr>
          <w:sz w:val="14"/>
        </w:rPr>
      </w:pPr>
      <w:r>
        <w:pict w14:anchorId="5F85C8BA">
          <v:group id="_x0000_s4181" style="position:absolute;margin-left:47.85pt;margin-top:10.35pt;width:499.55pt;height:37.5pt;z-index:-15495168;mso-wrap-distance-left:0;mso-wrap-distance-right:0;mso-position-horizontal-relative:page" coordorigin="957,207" coordsize="9991,750">
            <v:shape id="_x0000_s4184" style="position:absolute;left:964;top:214;width:9976;height:735" coordorigin="965,214" coordsize="9976,735" path="m10861,214r-9816,l1014,221r-26,17l971,263r-6,31l965,869r6,31l988,926r26,17l1045,949r9816,l10892,943r25,-17l10935,900r6,-31l10941,294r-6,-31l10917,238r-25,-17l10861,214xe" fillcolor="#f5f5f5" stroked="f">
              <v:path arrowok="t"/>
            </v:shape>
            <v:shape id="_x0000_s4183" style="position:absolute;left:964;top:214;width:9976;height:735" coordorigin="965,214" coordsize="9976,735" path="m1045,214r9816,l10892,221r25,17l10935,263r6,31l10941,869r-6,31l10917,926r-25,17l10861,949r-9816,l1014,943,988,926,971,900r-6,-31l965,294r6,-31l988,238r26,-17l1045,214xe" filled="f" strokecolor="#ccc">
              <v:path arrowok="t"/>
            </v:shape>
            <v:shape id="_x0000_s4182" type="#_x0000_t202" style="position:absolute;left:984;top:229;width:9938;height:704" filled="f" stroked="f">
              <v:textbox inset="0,0,0,0">
                <w:txbxContent>
                  <w:p w14:paraId="1F9831B8" w14:textId="77777777" w:rsidR="00711A16" w:rsidRDefault="00711A16">
                    <w:pPr>
                      <w:spacing w:before="221"/>
                      <w:ind w:left="200"/>
                      <w:rPr>
                        <w:rFonts w:ascii="MS Gothic"/>
                      </w:rPr>
                    </w:pPr>
                    <w:proofErr w:type="gramStart"/>
                    <w:r>
                      <w:rPr>
                        <w:rFonts w:ascii="MS Gothic"/>
                        <w:color w:val="333333"/>
                      </w:rPr>
                      <w:t>spring.datasource</w:t>
                    </w:r>
                    <w:proofErr w:type="gramEnd"/>
                    <w:r>
                      <w:rPr>
                        <w:rFonts w:ascii="MS Gothic"/>
                        <w:color w:val="333333"/>
                      </w:rPr>
                      <w:t>.jndi-name=java:jboss/datasources/customers</w:t>
                    </w:r>
                  </w:p>
                </w:txbxContent>
              </v:textbox>
            </v:shape>
            <w10:wrap type="topAndBottom" anchorx="page"/>
          </v:group>
        </w:pict>
      </w:r>
    </w:p>
    <w:p w14:paraId="1270809F" w14:textId="77777777" w:rsidR="00A720EB" w:rsidRDefault="00A720EB">
      <w:pPr>
        <w:pStyle w:val="a3"/>
        <w:spacing w:before="11"/>
        <w:rPr>
          <w:sz w:val="16"/>
        </w:rPr>
      </w:pPr>
    </w:p>
    <w:p w14:paraId="01031DB8" w14:textId="77777777" w:rsidR="00A720EB" w:rsidRDefault="0030286B">
      <w:pPr>
        <w:pStyle w:val="3"/>
        <w:numPr>
          <w:ilvl w:val="2"/>
          <w:numId w:val="68"/>
        </w:numPr>
        <w:tabs>
          <w:tab w:val="left" w:pos="1003"/>
        </w:tabs>
        <w:spacing w:before="105"/>
        <w:ind w:left="1002" w:hanging="879"/>
      </w:pPr>
      <w:bookmarkStart w:id="316" w:name="4.11.2._Using_JdbcTemplate"/>
      <w:bookmarkStart w:id="317" w:name="_Toc54423769"/>
      <w:bookmarkEnd w:id="316"/>
      <w:r>
        <w:rPr>
          <w:color w:val="333333"/>
          <w:w w:val="105"/>
        </w:rPr>
        <w:t>Using</w:t>
      </w:r>
      <w:r>
        <w:rPr>
          <w:color w:val="333333"/>
          <w:spacing w:val="-1"/>
          <w:w w:val="105"/>
        </w:rPr>
        <w:t xml:space="preserve"> </w:t>
      </w:r>
      <w:r>
        <w:rPr>
          <w:color w:val="333333"/>
          <w:w w:val="105"/>
        </w:rPr>
        <w:t>JdbcTemplate</w:t>
      </w:r>
      <w:bookmarkEnd w:id="317"/>
    </w:p>
    <w:p w14:paraId="6F97DA08" w14:textId="77777777" w:rsidR="00A720EB" w:rsidRDefault="0030286B">
      <w:pPr>
        <w:pStyle w:val="a3"/>
        <w:spacing w:before="243"/>
        <w:ind w:left="124"/>
      </w:pPr>
      <w:r>
        <w:rPr>
          <w:color w:val="333333"/>
          <w:w w:val="110"/>
        </w:rPr>
        <w:t xml:space="preserve">Spring’s </w:t>
      </w:r>
      <w:r>
        <w:rPr>
          <w:rFonts w:ascii="MS Gothic" w:hAnsi="MS Gothic"/>
          <w:color w:val="B02045"/>
          <w:w w:val="110"/>
        </w:rPr>
        <w:t xml:space="preserve">JdbcTemplate </w:t>
      </w:r>
      <w:r>
        <w:rPr>
          <w:color w:val="333333"/>
          <w:w w:val="110"/>
        </w:rPr>
        <w:t xml:space="preserve">and </w:t>
      </w:r>
      <w:r>
        <w:rPr>
          <w:rFonts w:ascii="MS Gothic" w:hAnsi="MS Gothic"/>
          <w:color w:val="B02045"/>
          <w:w w:val="110"/>
        </w:rPr>
        <w:t xml:space="preserve">NamedParameterJdbcTemplate </w:t>
      </w:r>
      <w:r>
        <w:rPr>
          <w:color w:val="333333"/>
          <w:w w:val="110"/>
        </w:rPr>
        <w:t>classes are auto-configured, and you can</w:t>
      </w:r>
    </w:p>
    <w:p w14:paraId="2F945BF8" w14:textId="77777777" w:rsidR="00A720EB" w:rsidRDefault="0030286B">
      <w:pPr>
        <w:pStyle w:val="a3"/>
        <w:spacing w:before="47"/>
        <w:ind w:left="124"/>
      </w:pPr>
      <w:r>
        <w:rPr>
          <w:rFonts w:ascii="MS Gothic"/>
          <w:color w:val="B02045"/>
          <w:w w:val="110"/>
        </w:rPr>
        <w:t xml:space="preserve">@Autowire </w:t>
      </w:r>
      <w:r>
        <w:rPr>
          <w:color w:val="333333"/>
          <w:w w:val="110"/>
        </w:rPr>
        <w:t>them directly into your own beans, as shown in the following example:</w:t>
      </w:r>
    </w:p>
    <w:p w14:paraId="6999103C" w14:textId="77777777" w:rsidR="00A720EB" w:rsidRDefault="00A720EB">
      <w:pPr>
        <w:sectPr w:rsidR="00A720EB">
          <w:pgSz w:w="11910" w:h="16840"/>
          <w:pgMar w:top="700" w:right="840" w:bottom="520" w:left="840" w:header="0" w:footer="323" w:gutter="0"/>
          <w:cols w:space="720"/>
        </w:sectPr>
      </w:pPr>
    </w:p>
    <w:p w14:paraId="3010B127" w14:textId="77777777" w:rsidR="00A720EB" w:rsidRDefault="00E10349">
      <w:pPr>
        <w:pStyle w:val="a3"/>
        <w:ind w:left="116"/>
        <w:rPr>
          <w:sz w:val="20"/>
        </w:rPr>
      </w:pPr>
      <w:r>
        <w:rPr>
          <w:sz w:val="20"/>
        </w:rPr>
      </w:r>
      <w:r>
        <w:rPr>
          <w:sz w:val="20"/>
        </w:rPr>
        <w:pict w14:anchorId="02013FF5">
          <v:group id="_x0000_s4177" style="width:499.55pt;height:273.35pt;mso-position-horizontal-relative:char;mso-position-vertical-relative:line" coordsize="9991,5467">
            <v:shape id="_x0000_s4180" style="position:absolute;left:7;top:7;width:9976;height:5452" coordorigin="8,8" coordsize="9976,5452" path="m9904,8l88,8,56,14,31,31,14,56,8,88r,5291l14,5410r17,26l56,5453r32,6l9904,5459r31,-6l9960,5436r17,-26l9984,5379r,-5291l9977,56,9960,31,9935,14,9904,8xe" fillcolor="#f5f5f5" stroked="f">
              <v:path arrowok="t"/>
            </v:shape>
            <v:shape id="_x0000_s4179" style="position:absolute;left:7;top:7;width:9976;height:5452" coordorigin="8,8" coordsize="9976,5452" path="m88,8r9816,l9935,14r25,17l9977,56r7,32l9984,5379r-7,31l9960,5436r-25,17l9904,5459r-9816,l56,5453,31,5436,14,5410,8,5379,8,88,14,56,31,31,56,14,88,8xe" filled="f" strokecolor="#ccc">
              <v:path arrowok="t"/>
            </v:shape>
            <v:shape id="_x0000_s4178" type="#_x0000_t202" style="position:absolute;left:26;top:22;width:9938;height:5421" filled="f" stroked="f">
              <v:textbox inset="0,0,0,0">
                <w:txbxContent>
                  <w:p w14:paraId="2F8D22A6" w14:textId="77777777" w:rsidR="00711A16" w:rsidRDefault="00711A16">
                    <w:pPr>
                      <w:spacing w:before="221" w:line="252" w:lineRule="auto"/>
                      <w:ind w:left="200" w:right="289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 import org.springframework.jdbc.core.JdbcTemplate;</w:t>
                    </w:r>
                  </w:p>
                  <w:p w14:paraId="5477035C"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.stereotype.Component;</w:t>
                    </w:r>
                  </w:p>
                  <w:p w14:paraId="74C8BE14" w14:textId="77777777" w:rsidR="00711A16" w:rsidRDefault="00711A16">
                    <w:pPr>
                      <w:rPr>
                        <w:rFonts w:ascii="MS Gothic"/>
                        <w:sz w:val="24"/>
                      </w:rPr>
                    </w:pPr>
                  </w:p>
                  <w:p w14:paraId="5431076A" w14:textId="77777777" w:rsidR="00711A16" w:rsidRDefault="00711A16">
                    <w:pPr>
                      <w:ind w:left="200"/>
                      <w:rPr>
                        <w:rFonts w:ascii="MS Gothic"/>
                      </w:rPr>
                    </w:pPr>
                    <w:r>
                      <w:rPr>
                        <w:rFonts w:ascii="MS Gothic"/>
                        <w:color w:val="333333"/>
                      </w:rPr>
                      <w:t>@Component</w:t>
                    </w:r>
                  </w:p>
                  <w:p w14:paraId="77F65AFA" w14:textId="77777777" w:rsidR="00711A16" w:rsidRDefault="00711A16">
                    <w:pPr>
                      <w:spacing w:before="13"/>
                      <w:ind w:left="200"/>
                      <w:rPr>
                        <w:rFonts w:ascii="MS Gothic"/>
                      </w:rPr>
                    </w:pPr>
                    <w:r>
                      <w:rPr>
                        <w:rFonts w:ascii="MS Gothic"/>
                        <w:color w:val="333333"/>
                      </w:rPr>
                      <w:t>public class MyBean {</w:t>
                    </w:r>
                  </w:p>
                  <w:p w14:paraId="410D111F" w14:textId="77777777" w:rsidR="00711A16" w:rsidRDefault="00711A16">
                    <w:pPr>
                      <w:spacing w:line="590" w:lineRule="atLeast"/>
                      <w:ind w:left="640" w:right="4878"/>
                      <w:rPr>
                        <w:rFonts w:ascii="MS Gothic"/>
                      </w:rPr>
                    </w:pPr>
                    <w:r>
                      <w:rPr>
                        <w:rFonts w:ascii="MS Gothic"/>
                        <w:color w:val="333333"/>
                      </w:rPr>
                      <w:t>private final JdbcTemplate jdbcTemplate; @Autowired</w:t>
                    </w:r>
                  </w:p>
                  <w:p w14:paraId="2D56A61C" w14:textId="77777777" w:rsidR="00711A16" w:rsidRDefault="00711A16">
                    <w:pPr>
                      <w:spacing w:before="12" w:line="252" w:lineRule="auto"/>
                      <w:ind w:left="1080" w:right="465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JdbcTemplate jdbcTemplate) { this.jdbcTemplate = jdbcTemplate;</w:t>
                    </w:r>
                  </w:p>
                  <w:p w14:paraId="702F3D76" w14:textId="77777777" w:rsidR="00711A16" w:rsidRDefault="00711A16">
                    <w:pPr>
                      <w:spacing w:line="280" w:lineRule="exact"/>
                      <w:ind w:left="640"/>
                      <w:rPr>
                        <w:rFonts w:ascii="MS Gothic"/>
                      </w:rPr>
                    </w:pPr>
                    <w:r>
                      <w:rPr>
                        <w:rFonts w:ascii="MS Gothic"/>
                        <w:color w:val="333333"/>
                      </w:rPr>
                      <w:t>}</w:t>
                    </w:r>
                  </w:p>
                  <w:p w14:paraId="5F55C809" w14:textId="77777777" w:rsidR="00711A16" w:rsidRDefault="00711A16">
                    <w:pPr>
                      <w:rPr>
                        <w:rFonts w:ascii="MS Gothic"/>
                        <w:sz w:val="24"/>
                      </w:rPr>
                    </w:pPr>
                  </w:p>
                  <w:p w14:paraId="78E7D7F5" w14:textId="77777777" w:rsidR="00711A16" w:rsidRDefault="00711A16">
                    <w:pPr>
                      <w:ind w:left="640"/>
                      <w:rPr>
                        <w:rFonts w:ascii="MS Gothic"/>
                      </w:rPr>
                    </w:pPr>
                    <w:r>
                      <w:rPr>
                        <w:rFonts w:ascii="MS Gothic"/>
                        <w:color w:val="333333"/>
                      </w:rPr>
                      <w:t>// ...</w:t>
                    </w:r>
                  </w:p>
                  <w:p w14:paraId="7154D846" w14:textId="77777777" w:rsidR="00711A16" w:rsidRDefault="00711A16">
                    <w:pPr>
                      <w:rPr>
                        <w:rFonts w:ascii="MS Gothic"/>
                        <w:sz w:val="24"/>
                      </w:rPr>
                    </w:pPr>
                  </w:p>
                  <w:p w14:paraId="5EF9E273" w14:textId="77777777" w:rsidR="00711A16" w:rsidRDefault="00711A16">
                    <w:pPr>
                      <w:ind w:left="200"/>
                      <w:rPr>
                        <w:rFonts w:ascii="MS Gothic"/>
                      </w:rPr>
                    </w:pPr>
                    <w:r>
                      <w:rPr>
                        <w:rFonts w:ascii="MS Gothic"/>
                        <w:color w:val="333333"/>
                      </w:rPr>
                      <w:t>}</w:t>
                    </w:r>
                  </w:p>
                </w:txbxContent>
              </v:textbox>
            </v:shape>
            <w10:anchorlock/>
          </v:group>
        </w:pict>
      </w:r>
    </w:p>
    <w:p w14:paraId="0B68F977" w14:textId="77777777" w:rsidR="00A720EB" w:rsidRDefault="00A720EB">
      <w:pPr>
        <w:pStyle w:val="a3"/>
        <w:spacing w:before="6"/>
        <w:rPr>
          <w:sz w:val="9"/>
        </w:rPr>
      </w:pPr>
    </w:p>
    <w:p w14:paraId="55370AF8" w14:textId="77777777" w:rsidR="00A720EB" w:rsidRDefault="0030286B">
      <w:pPr>
        <w:pStyle w:val="a3"/>
        <w:spacing w:before="116" w:line="290" w:lineRule="auto"/>
        <w:ind w:left="124" w:right="108"/>
      </w:pPr>
      <w:r>
        <w:rPr>
          <w:color w:val="333333"/>
          <w:spacing w:val="-6"/>
          <w:w w:val="110"/>
        </w:rPr>
        <w:t xml:space="preserve">You </w:t>
      </w:r>
      <w:r>
        <w:rPr>
          <w:color w:val="333333"/>
          <w:w w:val="110"/>
        </w:rPr>
        <w:t xml:space="preserve">can customize some properties of the template </w:t>
      </w:r>
      <w:r>
        <w:rPr>
          <w:color w:val="333333"/>
          <w:spacing w:val="-3"/>
          <w:w w:val="110"/>
        </w:rPr>
        <w:t xml:space="preserve">by </w:t>
      </w:r>
      <w:r>
        <w:rPr>
          <w:color w:val="333333"/>
          <w:w w:val="110"/>
        </w:rPr>
        <w:t xml:space="preserve">using the </w:t>
      </w:r>
      <w:proofErr w:type="gramStart"/>
      <w:r>
        <w:rPr>
          <w:rFonts w:ascii="MS Gothic"/>
          <w:color w:val="B02045"/>
          <w:w w:val="110"/>
        </w:rPr>
        <w:t>spring.jdbc</w:t>
      </w:r>
      <w:proofErr w:type="gramEnd"/>
      <w:r>
        <w:rPr>
          <w:rFonts w:ascii="MS Gothic"/>
          <w:color w:val="B02045"/>
          <w:w w:val="110"/>
        </w:rPr>
        <w:t>.template.*</w:t>
      </w:r>
      <w:r>
        <w:rPr>
          <w:rFonts w:ascii="MS Gothic"/>
          <w:color w:val="B02045"/>
          <w:spacing w:val="-68"/>
          <w:w w:val="110"/>
        </w:rPr>
        <w:t xml:space="preserve"> </w:t>
      </w:r>
      <w:r>
        <w:rPr>
          <w:color w:val="333333"/>
          <w:w w:val="110"/>
        </w:rPr>
        <w:t>properties, as shown in the following example:</w:t>
      </w:r>
    </w:p>
    <w:p w14:paraId="3BACA389" w14:textId="77777777" w:rsidR="00A720EB" w:rsidRDefault="00E10349">
      <w:pPr>
        <w:pStyle w:val="a3"/>
        <w:spacing w:before="7"/>
        <w:rPr>
          <w:sz w:val="14"/>
        </w:rPr>
      </w:pPr>
      <w:r>
        <w:pict w14:anchorId="04FF4C23">
          <v:group id="_x0000_s4173" style="position:absolute;margin-left:47.85pt;margin-top:10.6pt;width:499.55pt;height:37.5pt;z-index:-15493120;mso-wrap-distance-left:0;mso-wrap-distance-right:0;mso-position-horizontal-relative:page" coordorigin="957,212" coordsize="9991,750">
            <v:shape id="_x0000_s4176" style="position:absolute;left:964;top:219;width:9976;height:735" coordorigin="965,219" coordsize="9976,735" path="m10861,219r-9816,l1014,225r-26,17l971,268r-6,31l965,874r6,31l988,930r26,18l1045,954r9816,l10892,948r25,-18l10935,905r6,-31l10941,299r-6,-31l10917,242r-25,-17l10861,219xe" fillcolor="#f5f5f5" stroked="f">
              <v:path arrowok="t"/>
            </v:shape>
            <v:shape id="_x0000_s4175" style="position:absolute;left:964;top:219;width:9976;height:735" coordorigin="965,219" coordsize="9976,735" path="m1045,219r9816,l10892,225r25,17l10935,268r6,31l10941,874r-6,31l10917,930r-25,18l10861,954r-9816,l1014,948,988,930,971,905r-6,-31l965,299r6,-31l988,242r26,-17l1045,219xe" filled="f" strokecolor="#ccc">
              <v:path arrowok="t"/>
            </v:shape>
            <v:shape id="_x0000_s4174" type="#_x0000_t202" style="position:absolute;left:984;top:234;width:9938;height:704" filled="f" stroked="f">
              <v:textbox inset="0,0,0,0">
                <w:txbxContent>
                  <w:p w14:paraId="19E5FEEF" w14:textId="77777777" w:rsidR="00711A16" w:rsidRDefault="00711A16">
                    <w:pPr>
                      <w:spacing w:before="221"/>
                      <w:ind w:left="200"/>
                      <w:rPr>
                        <w:rFonts w:ascii="MS Gothic"/>
                      </w:rPr>
                    </w:pPr>
                    <w:r>
                      <w:rPr>
                        <w:rFonts w:ascii="MS Gothic"/>
                        <w:color w:val="333333"/>
                      </w:rPr>
                      <w:t>spring.jdbc.template.max-rows=500</w:t>
                    </w:r>
                  </w:p>
                </w:txbxContent>
              </v:textbox>
            </v:shape>
            <w10:wrap type="topAndBottom" anchorx="page"/>
          </v:group>
        </w:pict>
      </w:r>
    </w:p>
    <w:p w14:paraId="690A97A2" w14:textId="77777777" w:rsidR="00A720EB" w:rsidRDefault="00A720EB">
      <w:pPr>
        <w:pStyle w:val="a3"/>
        <w:spacing w:before="8"/>
        <w:rPr>
          <w:sz w:val="16"/>
        </w:rPr>
      </w:pPr>
    </w:p>
    <w:p w14:paraId="56680C06" w14:textId="77777777" w:rsidR="00A720EB" w:rsidRDefault="00E10349">
      <w:pPr>
        <w:pStyle w:val="a3"/>
        <w:spacing w:before="116" w:line="280" w:lineRule="auto"/>
        <w:ind w:left="1564" w:right="366"/>
        <w:jc w:val="both"/>
      </w:pPr>
      <w:r>
        <w:pict w14:anchorId="51187BAF">
          <v:line id="_x0000_s4172" style="position:absolute;left:0;text-align:left;z-index:15964672;mso-position-horizontal-relative:page" from="108.25pt,.35pt" to="108.25pt,55.7pt" strokecolor="#ededed" strokeweight=".5pt">
            <w10:wrap anchorx="page"/>
          </v:line>
        </w:pict>
      </w:r>
      <w:r w:rsidR="0030286B">
        <w:rPr>
          <w:noProof/>
        </w:rPr>
        <w:drawing>
          <wp:anchor distT="0" distB="0" distL="0" distR="0" simplePos="0" relativeHeight="15965184" behindDoc="0" locked="0" layoutInCell="1" allowOverlap="1" wp14:anchorId="334DD669" wp14:editId="4C274FA3">
            <wp:simplePos x="0" y="0"/>
            <wp:positionH relativeFrom="page">
              <wp:posOffset>844422</wp:posOffset>
            </wp:positionH>
            <wp:positionV relativeFrom="paragraph">
              <wp:posOffset>206451</wp:posOffset>
            </wp:positionV>
            <wp:extent cx="298450" cy="298450"/>
            <wp:effectExtent l="0" t="0" r="0" b="0"/>
            <wp:wrapNone/>
            <wp:docPr id="2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The</w:t>
      </w:r>
      <w:r w:rsidR="0030286B">
        <w:rPr>
          <w:color w:val="333333"/>
          <w:spacing w:val="-25"/>
          <w:w w:val="110"/>
        </w:rPr>
        <w:t xml:space="preserve"> </w:t>
      </w:r>
      <w:r w:rsidR="0030286B">
        <w:rPr>
          <w:rFonts w:ascii="MS Gothic"/>
          <w:color w:val="B02045"/>
          <w:w w:val="110"/>
        </w:rPr>
        <w:t>NamedParameterJdbcTemplate</w:t>
      </w:r>
      <w:r w:rsidR="0030286B">
        <w:rPr>
          <w:rFonts w:ascii="MS Gothic"/>
          <w:color w:val="B02045"/>
          <w:spacing w:val="-90"/>
          <w:w w:val="110"/>
        </w:rPr>
        <w:t xml:space="preserve"> </w:t>
      </w:r>
      <w:r w:rsidR="0030286B">
        <w:rPr>
          <w:color w:val="333333"/>
          <w:w w:val="110"/>
        </w:rPr>
        <w:t>reuses</w:t>
      </w:r>
      <w:r w:rsidR="0030286B">
        <w:rPr>
          <w:color w:val="333333"/>
          <w:spacing w:val="-25"/>
          <w:w w:val="110"/>
        </w:rPr>
        <w:t xml:space="preserve"> </w:t>
      </w:r>
      <w:r w:rsidR="0030286B">
        <w:rPr>
          <w:color w:val="333333"/>
          <w:w w:val="110"/>
        </w:rPr>
        <w:t>the</w:t>
      </w:r>
      <w:r w:rsidR="0030286B">
        <w:rPr>
          <w:color w:val="333333"/>
          <w:spacing w:val="-25"/>
          <w:w w:val="110"/>
        </w:rPr>
        <w:t xml:space="preserve"> </w:t>
      </w:r>
      <w:r w:rsidR="0030286B">
        <w:rPr>
          <w:color w:val="333333"/>
          <w:w w:val="110"/>
        </w:rPr>
        <w:t>same</w:t>
      </w:r>
      <w:r w:rsidR="0030286B">
        <w:rPr>
          <w:color w:val="333333"/>
          <w:spacing w:val="-25"/>
          <w:w w:val="110"/>
        </w:rPr>
        <w:t xml:space="preserve"> </w:t>
      </w:r>
      <w:r w:rsidR="0030286B">
        <w:rPr>
          <w:rFonts w:ascii="MS Gothic"/>
          <w:color w:val="B02045"/>
          <w:w w:val="110"/>
        </w:rPr>
        <w:t>JdbcTemplate</w:t>
      </w:r>
      <w:r w:rsidR="0030286B">
        <w:rPr>
          <w:rFonts w:ascii="MS Gothic"/>
          <w:color w:val="B02045"/>
          <w:spacing w:val="-89"/>
          <w:w w:val="110"/>
        </w:rPr>
        <w:t xml:space="preserve"> </w:t>
      </w:r>
      <w:r w:rsidR="0030286B">
        <w:rPr>
          <w:color w:val="333333"/>
          <w:w w:val="110"/>
        </w:rPr>
        <w:t>instance</w:t>
      </w:r>
      <w:r w:rsidR="0030286B">
        <w:rPr>
          <w:color w:val="333333"/>
          <w:spacing w:val="-25"/>
          <w:w w:val="110"/>
        </w:rPr>
        <w:t xml:space="preserve"> </w:t>
      </w:r>
      <w:r w:rsidR="0030286B">
        <w:rPr>
          <w:color w:val="333333"/>
          <w:w w:val="110"/>
        </w:rPr>
        <w:t>behind</w:t>
      </w:r>
      <w:r w:rsidR="0030286B">
        <w:rPr>
          <w:color w:val="333333"/>
          <w:spacing w:val="-26"/>
          <w:w w:val="110"/>
        </w:rPr>
        <w:t xml:space="preserve"> </w:t>
      </w:r>
      <w:r w:rsidR="0030286B">
        <w:rPr>
          <w:color w:val="333333"/>
          <w:w w:val="110"/>
        </w:rPr>
        <w:t xml:space="preserve">the scenes. If more than one </w:t>
      </w:r>
      <w:r w:rsidR="0030286B">
        <w:rPr>
          <w:rFonts w:ascii="MS Gothic"/>
          <w:color w:val="B02045"/>
          <w:w w:val="110"/>
        </w:rPr>
        <w:t xml:space="preserve">JdbcTemplate </w:t>
      </w:r>
      <w:r w:rsidR="0030286B">
        <w:rPr>
          <w:color w:val="333333"/>
          <w:w w:val="110"/>
        </w:rPr>
        <w:t xml:space="preserve">is defined and no primary candidate exists, the </w:t>
      </w:r>
      <w:r w:rsidR="0030286B">
        <w:rPr>
          <w:rFonts w:ascii="MS Gothic"/>
          <w:color w:val="B02045"/>
          <w:w w:val="110"/>
        </w:rPr>
        <w:t>NamedParameterJdbcTemplate</w:t>
      </w:r>
      <w:r w:rsidR="0030286B">
        <w:rPr>
          <w:rFonts w:ascii="MS Gothic"/>
          <w:color w:val="B02045"/>
          <w:spacing w:val="-72"/>
          <w:w w:val="110"/>
        </w:rPr>
        <w:t xml:space="preserve"> </w:t>
      </w:r>
      <w:r w:rsidR="0030286B">
        <w:rPr>
          <w:color w:val="333333"/>
          <w:w w:val="110"/>
        </w:rPr>
        <w:t>is not auto-configured.</w:t>
      </w:r>
    </w:p>
    <w:p w14:paraId="70A22AC7" w14:textId="77777777" w:rsidR="00A720EB" w:rsidRDefault="00A720EB">
      <w:pPr>
        <w:pStyle w:val="a3"/>
        <w:spacing w:before="8"/>
        <w:rPr>
          <w:sz w:val="24"/>
        </w:rPr>
      </w:pPr>
    </w:p>
    <w:p w14:paraId="18500404" w14:textId="77777777" w:rsidR="00A720EB" w:rsidRDefault="0030286B">
      <w:pPr>
        <w:pStyle w:val="3"/>
        <w:numPr>
          <w:ilvl w:val="2"/>
          <w:numId w:val="68"/>
        </w:numPr>
        <w:tabs>
          <w:tab w:val="left" w:pos="1003"/>
        </w:tabs>
        <w:spacing w:before="105"/>
        <w:ind w:left="1002" w:hanging="879"/>
      </w:pPr>
      <w:bookmarkStart w:id="318" w:name="4.11.3._JPA_and_Spring_Data_JPA"/>
      <w:bookmarkStart w:id="319" w:name="_Toc54423770"/>
      <w:bookmarkEnd w:id="318"/>
      <w:r>
        <w:rPr>
          <w:color w:val="333333"/>
          <w:spacing w:val="-5"/>
          <w:w w:val="105"/>
        </w:rPr>
        <w:t xml:space="preserve">JPA </w:t>
      </w:r>
      <w:r>
        <w:rPr>
          <w:color w:val="333333"/>
          <w:w w:val="105"/>
        </w:rPr>
        <w:t>and Spring Data</w:t>
      </w:r>
      <w:r>
        <w:rPr>
          <w:color w:val="333333"/>
          <w:spacing w:val="-2"/>
          <w:w w:val="105"/>
        </w:rPr>
        <w:t xml:space="preserve"> </w:t>
      </w:r>
      <w:r>
        <w:rPr>
          <w:color w:val="333333"/>
          <w:spacing w:val="-5"/>
          <w:w w:val="105"/>
        </w:rPr>
        <w:t>JPA</w:t>
      </w:r>
      <w:bookmarkEnd w:id="319"/>
    </w:p>
    <w:p w14:paraId="50B6BA56" w14:textId="77777777" w:rsidR="00A720EB" w:rsidRDefault="0030286B">
      <w:pPr>
        <w:pStyle w:val="a3"/>
        <w:spacing w:before="254" w:line="295" w:lineRule="auto"/>
        <w:ind w:left="124" w:right="124"/>
        <w:jc w:val="both"/>
      </w:pPr>
      <w:r>
        <w:rPr>
          <w:color w:val="333333"/>
          <w:w w:val="110"/>
        </w:rPr>
        <w:t xml:space="preserve">The Java Persistence API is a standard technology that lets you “map” objects </w:t>
      </w:r>
      <w:proofErr w:type="gramStart"/>
      <w:r>
        <w:rPr>
          <w:color w:val="333333"/>
          <w:w w:val="110"/>
        </w:rPr>
        <w:t>to  relational</w:t>
      </w:r>
      <w:proofErr w:type="gramEnd"/>
      <w:r>
        <w:rPr>
          <w:color w:val="333333"/>
          <w:w w:val="110"/>
        </w:rPr>
        <w:t xml:space="preserve">  databases. The </w:t>
      </w:r>
      <w:r>
        <w:rPr>
          <w:rFonts w:ascii="MS Gothic" w:hAnsi="MS Gothic"/>
          <w:color w:val="B02045"/>
          <w:w w:val="110"/>
        </w:rPr>
        <w:t>spring-boot-starter-data-jpa</w:t>
      </w:r>
      <w:r>
        <w:rPr>
          <w:rFonts w:ascii="MS Gothic" w:hAnsi="MS Gothic"/>
          <w:color w:val="B02045"/>
          <w:spacing w:val="-44"/>
          <w:w w:val="110"/>
        </w:rPr>
        <w:t xml:space="preserve"> </w:t>
      </w:r>
      <w:r>
        <w:rPr>
          <w:color w:val="333333"/>
          <w:w w:val="110"/>
        </w:rPr>
        <w:t>POM provides a quick way to get started. It provides the following key</w:t>
      </w:r>
      <w:r>
        <w:rPr>
          <w:color w:val="333333"/>
          <w:spacing w:val="10"/>
          <w:w w:val="110"/>
        </w:rPr>
        <w:t xml:space="preserve"> </w:t>
      </w:r>
      <w:r>
        <w:rPr>
          <w:color w:val="333333"/>
          <w:w w:val="110"/>
        </w:rPr>
        <w:t>dependencies:</w:t>
      </w:r>
    </w:p>
    <w:p w14:paraId="0D174784" w14:textId="77777777" w:rsidR="00A720EB" w:rsidRDefault="0030286B">
      <w:pPr>
        <w:pStyle w:val="a6"/>
        <w:numPr>
          <w:ilvl w:val="0"/>
          <w:numId w:val="46"/>
        </w:numPr>
        <w:tabs>
          <w:tab w:val="left" w:pos="485"/>
        </w:tabs>
        <w:spacing w:before="250"/>
        <w:rPr>
          <w:sz w:val="21"/>
        </w:rPr>
      </w:pPr>
      <w:r>
        <w:rPr>
          <w:color w:val="333333"/>
          <w:w w:val="110"/>
          <w:sz w:val="21"/>
        </w:rPr>
        <w:t xml:space="preserve">Hibernate: One of the most popular </w:t>
      </w:r>
      <w:r>
        <w:rPr>
          <w:color w:val="333333"/>
          <w:spacing w:val="-4"/>
          <w:w w:val="110"/>
          <w:sz w:val="21"/>
        </w:rPr>
        <w:t>JPA</w:t>
      </w:r>
      <w:r>
        <w:rPr>
          <w:color w:val="333333"/>
          <w:spacing w:val="24"/>
          <w:w w:val="110"/>
          <w:sz w:val="21"/>
        </w:rPr>
        <w:t xml:space="preserve"> </w:t>
      </w:r>
      <w:r>
        <w:rPr>
          <w:color w:val="333333"/>
          <w:w w:val="110"/>
          <w:sz w:val="21"/>
        </w:rPr>
        <w:t>implementations.</w:t>
      </w:r>
    </w:p>
    <w:p w14:paraId="511F575D" w14:textId="77777777" w:rsidR="00A720EB" w:rsidRDefault="0030286B">
      <w:pPr>
        <w:pStyle w:val="a6"/>
        <w:numPr>
          <w:ilvl w:val="0"/>
          <w:numId w:val="46"/>
        </w:numPr>
        <w:tabs>
          <w:tab w:val="left" w:pos="485"/>
        </w:tabs>
        <w:spacing w:before="189"/>
        <w:rPr>
          <w:sz w:val="21"/>
        </w:rPr>
      </w:pPr>
      <w:r>
        <w:rPr>
          <w:color w:val="333333"/>
          <w:w w:val="110"/>
          <w:sz w:val="21"/>
        </w:rPr>
        <w:t xml:space="preserve">Spring Data </w:t>
      </w:r>
      <w:r>
        <w:rPr>
          <w:color w:val="333333"/>
          <w:spacing w:val="-4"/>
          <w:w w:val="110"/>
          <w:sz w:val="21"/>
        </w:rPr>
        <w:t xml:space="preserve">JPA: </w:t>
      </w:r>
      <w:r>
        <w:rPr>
          <w:color w:val="333333"/>
          <w:w w:val="110"/>
          <w:sz w:val="21"/>
        </w:rPr>
        <w:t xml:space="preserve">Helps you to implement </w:t>
      </w:r>
      <w:r>
        <w:rPr>
          <w:color w:val="333333"/>
          <w:spacing w:val="-2"/>
          <w:w w:val="110"/>
          <w:sz w:val="21"/>
        </w:rPr>
        <w:t>JPA-based</w:t>
      </w:r>
      <w:r>
        <w:rPr>
          <w:color w:val="333333"/>
          <w:spacing w:val="28"/>
          <w:w w:val="110"/>
          <w:sz w:val="21"/>
        </w:rPr>
        <w:t xml:space="preserve"> </w:t>
      </w:r>
      <w:r>
        <w:rPr>
          <w:color w:val="333333"/>
          <w:w w:val="110"/>
          <w:sz w:val="21"/>
        </w:rPr>
        <w:t>repositories.</w:t>
      </w:r>
    </w:p>
    <w:p w14:paraId="3A675E68" w14:textId="77777777" w:rsidR="00A720EB" w:rsidRDefault="0030286B">
      <w:pPr>
        <w:pStyle w:val="a6"/>
        <w:numPr>
          <w:ilvl w:val="0"/>
          <w:numId w:val="46"/>
        </w:numPr>
        <w:tabs>
          <w:tab w:val="left" w:pos="485"/>
        </w:tabs>
        <w:spacing w:before="190"/>
        <w:rPr>
          <w:sz w:val="21"/>
        </w:rPr>
      </w:pPr>
      <w:r>
        <w:rPr>
          <w:color w:val="333333"/>
          <w:w w:val="110"/>
          <w:sz w:val="21"/>
        </w:rPr>
        <w:t>Spring ORM: Core ORM support from the Spring</w:t>
      </w:r>
      <w:r>
        <w:rPr>
          <w:color w:val="333333"/>
          <w:spacing w:val="28"/>
          <w:w w:val="110"/>
          <w:sz w:val="21"/>
        </w:rPr>
        <w:t xml:space="preserve"> </w:t>
      </w:r>
      <w:r>
        <w:rPr>
          <w:color w:val="333333"/>
          <w:w w:val="110"/>
          <w:sz w:val="21"/>
        </w:rPr>
        <w:t>Framework.</w:t>
      </w:r>
    </w:p>
    <w:p w14:paraId="2A9D8A88" w14:textId="77777777" w:rsidR="00A720EB" w:rsidRDefault="00A720EB">
      <w:pPr>
        <w:pStyle w:val="a3"/>
        <w:spacing w:before="6"/>
        <w:rPr>
          <w:sz w:val="22"/>
        </w:rPr>
      </w:pPr>
    </w:p>
    <w:p w14:paraId="78D85992" w14:textId="77777777" w:rsidR="00A720EB" w:rsidRDefault="00E10349">
      <w:pPr>
        <w:pStyle w:val="a3"/>
        <w:spacing w:before="125" w:line="307" w:lineRule="auto"/>
        <w:ind w:left="1564" w:right="363"/>
        <w:jc w:val="both"/>
      </w:pPr>
      <w:r>
        <w:pict w14:anchorId="1B2703B9">
          <v:line id="_x0000_s4171" style="position:absolute;left:0;text-align:left;z-index:15965696;mso-position-horizontal-relative:page" from="108.25pt,.25pt" to="108.25pt,55.6pt" strokecolor="#ededed" strokeweight=".5pt">
            <w10:wrap anchorx="page"/>
          </v:line>
        </w:pict>
      </w:r>
      <w:r w:rsidR="0030286B">
        <w:rPr>
          <w:noProof/>
        </w:rPr>
        <w:drawing>
          <wp:anchor distT="0" distB="0" distL="0" distR="0" simplePos="0" relativeHeight="15966208" behindDoc="0" locked="0" layoutInCell="1" allowOverlap="1" wp14:anchorId="42C68C13" wp14:editId="55F893C3">
            <wp:simplePos x="0" y="0"/>
            <wp:positionH relativeFrom="page">
              <wp:posOffset>888949</wp:posOffset>
            </wp:positionH>
            <wp:positionV relativeFrom="paragraph">
              <wp:posOffset>202349</wp:posOffset>
            </wp:positionV>
            <wp:extent cx="209550" cy="304800"/>
            <wp:effectExtent l="0" t="0" r="0" b="0"/>
            <wp:wrapNone/>
            <wp:docPr id="30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3.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We do not go into too many details of JPA or </w:t>
      </w:r>
      <w:hyperlink r:id="rId192">
        <w:r w:rsidR="0030286B">
          <w:rPr>
            <w:color w:val="418BCA"/>
            <w:w w:val="110"/>
          </w:rPr>
          <w:t>Spring Data</w:t>
        </w:r>
      </w:hyperlink>
      <w:r w:rsidR="0030286B">
        <w:rPr>
          <w:color w:val="418BCA"/>
          <w:w w:val="110"/>
        </w:rPr>
        <w:t xml:space="preserve"> </w:t>
      </w:r>
      <w:r w:rsidR="0030286B">
        <w:rPr>
          <w:color w:val="333333"/>
          <w:w w:val="110"/>
        </w:rPr>
        <w:t xml:space="preserve">here. You can follow the </w:t>
      </w:r>
      <w:hyperlink r:id="rId193">
        <w:r w:rsidR="0030286B">
          <w:rPr>
            <w:color w:val="418BCA"/>
            <w:w w:val="110"/>
          </w:rPr>
          <w:t>“Accessing Data with JPA”</w:t>
        </w:r>
      </w:hyperlink>
      <w:r w:rsidR="0030286B">
        <w:rPr>
          <w:color w:val="418BCA"/>
          <w:w w:val="110"/>
        </w:rPr>
        <w:t xml:space="preserve"> </w:t>
      </w:r>
      <w:r w:rsidR="0030286B">
        <w:rPr>
          <w:color w:val="333333"/>
          <w:w w:val="110"/>
        </w:rPr>
        <w:t xml:space="preserve">guide from </w:t>
      </w:r>
      <w:hyperlink r:id="rId194">
        <w:r w:rsidR="0030286B">
          <w:rPr>
            <w:color w:val="418BCA"/>
            <w:w w:val="110"/>
          </w:rPr>
          <w:t>spring.io</w:t>
        </w:r>
      </w:hyperlink>
      <w:r w:rsidR="0030286B">
        <w:rPr>
          <w:color w:val="418BCA"/>
          <w:w w:val="110"/>
        </w:rPr>
        <w:t xml:space="preserve"> </w:t>
      </w:r>
      <w:r w:rsidR="0030286B">
        <w:rPr>
          <w:color w:val="333333"/>
          <w:w w:val="110"/>
        </w:rPr>
        <w:t xml:space="preserve">and read the </w:t>
      </w:r>
      <w:hyperlink r:id="rId195">
        <w:r w:rsidR="0030286B">
          <w:rPr>
            <w:color w:val="418BCA"/>
            <w:w w:val="110"/>
          </w:rPr>
          <w:t>Spring Data JPA</w:t>
        </w:r>
      </w:hyperlink>
      <w:r w:rsidR="0030286B">
        <w:rPr>
          <w:color w:val="418BCA"/>
          <w:w w:val="110"/>
        </w:rPr>
        <w:t xml:space="preserve"> </w:t>
      </w:r>
      <w:r w:rsidR="0030286B">
        <w:rPr>
          <w:color w:val="333333"/>
          <w:w w:val="110"/>
        </w:rPr>
        <w:t xml:space="preserve">and </w:t>
      </w:r>
      <w:hyperlink r:id="rId196">
        <w:r w:rsidR="0030286B">
          <w:rPr>
            <w:color w:val="418BCA"/>
            <w:w w:val="110"/>
          </w:rPr>
          <w:t xml:space="preserve">Hibernate </w:t>
        </w:r>
      </w:hyperlink>
      <w:r w:rsidR="0030286B">
        <w:rPr>
          <w:color w:val="333333"/>
          <w:w w:val="110"/>
        </w:rPr>
        <w:t>reference documentation.</w:t>
      </w:r>
    </w:p>
    <w:p w14:paraId="1EF131E6" w14:textId="77777777" w:rsidR="00A720EB" w:rsidRDefault="00A720EB">
      <w:pPr>
        <w:pStyle w:val="a3"/>
        <w:spacing w:before="8"/>
        <w:rPr>
          <w:sz w:val="23"/>
        </w:rPr>
      </w:pPr>
    </w:p>
    <w:p w14:paraId="261401C6" w14:textId="77777777" w:rsidR="00A720EB" w:rsidRDefault="0030286B">
      <w:pPr>
        <w:pStyle w:val="4"/>
        <w:spacing w:before="104"/>
      </w:pPr>
      <w:bookmarkStart w:id="320" w:name="Entity_Classes"/>
      <w:bookmarkEnd w:id="320"/>
      <w:r>
        <w:rPr>
          <w:color w:val="333333"/>
          <w:w w:val="110"/>
        </w:rPr>
        <w:t>Entity Classes</w:t>
      </w:r>
    </w:p>
    <w:p w14:paraId="6894CBC3" w14:textId="77777777" w:rsidR="00A720EB" w:rsidRDefault="0030286B">
      <w:pPr>
        <w:pStyle w:val="a3"/>
        <w:spacing w:before="244" w:line="295" w:lineRule="auto"/>
        <w:ind w:left="124" w:right="122"/>
        <w:jc w:val="both"/>
      </w:pPr>
      <w:r>
        <w:rPr>
          <w:color w:val="333333"/>
          <w:spacing w:val="-3"/>
          <w:w w:val="110"/>
        </w:rPr>
        <w:t xml:space="preserve">Traditionally, </w:t>
      </w:r>
      <w:r>
        <w:rPr>
          <w:color w:val="333333"/>
          <w:spacing w:val="-4"/>
          <w:w w:val="110"/>
        </w:rPr>
        <w:t xml:space="preserve">JPA </w:t>
      </w:r>
      <w:r>
        <w:rPr>
          <w:color w:val="333333"/>
          <w:w w:val="110"/>
        </w:rPr>
        <w:t xml:space="preserve">“Entity” classes are specified in a </w:t>
      </w:r>
      <w:r>
        <w:rPr>
          <w:rFonts w:ascii="MS Gothic" w:hAnsi="MS Gothic"/>
          <w:color w:val="B02045"/>
          <w:w w:val="110"/>
        </w:rPr>
        <w:t>persistence.xml</w:t>
      </w:r>
      <w:r>
        <w:rPr>
          <w:rFonts w:ascii="MS Gothic" w:hAnsi="MS Gothic"/>
          <w:color w:val="B02045"/>
          <w:spacing w:val="-66"/>
          <w:w w:val="110"/>
        </w:rPr>
        <w:t xml:space="preserve"> </w:t>
      </w:r>
      <w:r>
        <w:rPr>
          <w:color w:val="333333"/>
          <w:w w:val="110"/>
        </w:rPr>
        <w:t xml:space="preserve">file. With Spring Boot, this file is not necessary and “Entity Scanning” is used instead. </w:t>
      </w:r>
      <w:r>
        <w:rPr>
          <w:color w:val="333333"/>
          <w:spacing w:val="-3"/>
          <w:w w:val="110"/>
        </w:rPr>
        <w:t xml:space="preserve">By </w:t>
      </w:r>
      <w:r>
        <w:rPr>
          <w:color w:val="333333"/>
          <w:w w:val="110"/>
        </w:rPr>
        <w:t>default, all packages below your main configuration</w:t>
      </w:r>
      <w:r>
        <w:rPr>
          <w:color w:val="333333"/>
          <w:spacing w:val="-12"/>
          <w:w w:val="110"/>
        </w:rPr>
        <w:t xml:space="preserve"> </w:t>
      </w:r>
      <w:r>
        <w:rPr>
          <w:color w:val="333333"/>
          <w:w w:val="110"/>
        </w:rPr>
        <w:t>class</w:t>
      </w:r>
      <w:r>
        <w:rPr>
          <w:color w:val="333333"/>
          <w:spacing w:val="-11"/>
          <w:w w:val="110"/>
        </w:rPr>
        <w:t xml:space="preserve"> </w:t>
      </w:r>
      <w:r>
        <w:rPr>
          <w:color w:val="333333"/>
          <w:w w:val="110"/>
        </w:rPr>
        <w:t>(the</w:t>
      </w:r>
      <w:r>
        <w:rPr>
          <w:color w:val="333333"/>
          <w:spacing w:val="-11"/>
          <w:w w:val="110"/>
        </w:rPr>
        <w:t xml:space="preserve"> </w:t>
      </w:r>
      <w:r>
        <w:rPr>
          <w:color w:val="333333"/>
          <w:w w:val="110"/>
        </w:rPr>
        <w:t>one</w:t>
      </w:r>
      <w:r>
        <w:rPr>
          <w:color w:val="333333"/>
          <w:spacing w:val="-11"/>
          <w:w w:val="110"/>
        </w:rPr>
        <w:t xml:space="preserve"> </w:t>
      </w:r>
      <w:r>
        <w:rPr>
          <w:color w:val="333333"/>
          <w:w w:val="110"/>
        </w:rPr>
        <w:t>annotated</w:t>
      </w:r>
      <w:r>
        <w:rPr>
          <w:color w:val="333333"/>
          <w:spacing w:val="-11"/>
          <w:w w:val="110"/>
        </w:rPr>
        <w:t xml:space="preserve"> </w:t>
      </w:r>
      <w:r>
        <w:rPr>
          <w:color w:val="333333"/>
          <w:w w:val="110"/>
        </w:rPr>
        <w:t>with</w:t>
      </w:r>
      <w:r>
        <w:rPr>
          <w:color w:val="333333"/>
          <w:spacing w:val="-9"/>
          <w:w w:val="110"/>
        </w:rPr>
        <w:t xml:space="preserve"> </w:t>
      </w:r>
      <w:r>
        <w:rPr>
          <w:rFonts w:ascii="MS Gothic" w:hAnsi="MS Gothic"/>
          <w:color w:val="B02045"/>
          <w:w w:val="110"/>
        </w:rPr>
        <w:t>@EnableAutoConfiguration</w:t>
      </w:r>
      <w:r>
        <w:rPr>
          <w:rFonts w:ascii="MS Gothic" w:hAnsi="MS Gothic"/>
          <w:color w:val="B02045"/>
          <w:spacing w:val="-76"/>
          <w:w w:val="110"/>
        </w:rPr>
        <w:t xml:space="preserve"> </w:t>
      </w:r>
      <w:r>
        <w:rPr>
          <w:color w:val="333333"/>
          <w:w w:val="110"/>
        </w:rPr>
        <w:t>or</w:t>
      </w:r>
      <w:r>
        <w:rPr>
          <w:color w:val="333333"/>
          <w:spacing w:val="-11"/>
          <w:w w:val="110"/>
        </w:rPr>
        <w:t xml:space="preserve"> </w:t>
      </w:r>
      <w:r>
        <w:rPr>
          <w:rFonts w:ascii="MS Gothic" w:hAnsi="MS Gothic"/>
          <w:color w:val="B02045"/>
          <w:w w:val="110"/>
        </w:rPr>
        <w:t>@SpringBootApplication</w:t>
      </w:r>
      <w:r>
        <w:rPr>
          <w:color w:val="333333"/>
          <w:w w:val="110"/>
        </w:rPr>
        <w:t>)</w:t>
      </w:r>
    </w:p>
    <w:p w14:paraId="2F59F8F1" w14:textId="77777777" w:rsidR="00A720EB" w:rsidRDefault="00A720EB">
      <w:pPr>
        <w:spacing w:line="295" w:lineRule="auto"/>
        <w:jc w:val="both"/>
        <w:sectPr w:rsidR="00A720EB">
          <w:pgSz w:w="11910" w:h="16840"/>
          <w:pgMar w:top="700" w:right="840" w:bottom="520" w:left="840" w:header="0" w:footer="323" w:gutter="0"/>
          <w:cols w:space="720"/>
        </w:sectPr>
      </w:pPr>
    </w:p>
    <w:p w14:paraId="29B00E1E" w14:textId="77777777" w:rsidR="00A720EB" w:rsidRDefault="0030286B">
      <w:pPr>
        <w:pStyle w:val="a3"/>
        <w:spacing w:before="107"/>
        <w:ind w:left="124"/>
      </w:pPr>
      <w:r>
        <w:rPr>
          <w:color w:val="333333"/>
          <w:w w:val="110"/>
        </w:rPr>
        <w:lastRenderedPageBreak/>
        <w:t>are searched.</w:t>
      </w:r>
    </w:p>
    <w:p w14:paraId="621A6332" w14:textId="77777777" w:rsidR="00A720EB" w:rsidRDefault="00A720EB">
      <w:pPr>
        <w:pStyle w:val="a3"/>
        <w:spacing w:before="5"/>
        <w:rPr>
          <w:sz w:val="25"/>
        </w:rPr>
      </w:pPr>
    </w:p>
    <w:p w14:paraId="295C6E40" w14:textId="77777777" w:rsidR="00A720EB" w:rsidRDefault="0030286B">
      <w:pPr>
        <w:pStyle w:val="a3"/>
        <w:spacing w:line="290" w:lineRule="auto"/>
        <w:ind w:left="124"/>
      </w:pPr>
      <w:r>
        <w:rPr>
          <w:color w:val="333333"/>
          <w:w w:val="110"/>
        </w:rPr>
        <w:t xml:space="preserve">Any classes annotated with </w:t>
      </w:r>
      <w:r>
        <w:rPr>
          <w:rFonts w:ascii="MS Gothic"/>
          <w:color w:val="B02045"/>
          <w:w w:val="110"/>
        </w:rPr>
        <w:t>@Entity</w:t>
      </w:r>
      <w:r>
        <w:rPr>
          <w:color w:val="333333"/>
          <w:w w:val="110"/>
        </w:rPr>
        <w:t xml:space="preserve">, </w:t>
      </w:r>
      <w:r>
        <w:rPr>
          <w:rFonts w:ascii="MS Gothic"/>
          <w:color w:val="B02045"/>
          <w:w w:val="110"/>
        </w:rPr>
        <w:t>@Embeddable</w:t>
      </w:r>
      <w:r>
        <w:rPr>
          <w:color w:val="333333"/>
          <w:w w:val="110"/>
        </w:rPr>
        <w:t xml:space="preserve">, or </w:t>
      </w:r>
      <w:r>
        <w:rPr>
          <w:rFonts w:ascii="MS Gothic"/>
          <w:color w:val="B02045"/>
          <w:w w:val="110"/>
        </w:rPr>
        <w:t xml:space="preserve">@MappedSuperclass </w:t>
      </w:r>
      <w:r>
        <w:rPr>
          <w:color w:val="333333"/>
          <w:w w:val="110"/>
        </w:rPr>
        <w:t>are considered. A typical entity class resembles the following example:</w:t>
      </w:r>
    </w:p>
    <w:p w14:paraId="59FE551B" w14:textId="77777777" w:rsidR="00A720EB" w:rsidRDefault="00A720EB">
      <w:pPr>
        <w:pStyle w:val="a3"/>
        <w:spacing w:before="10"/>
        <w:rPr>
          <w:sz w:val="28"/>
        </w:rPr>
      </w:pPr>
    </w:p>
    <w:p w14:paraId="0D13CE12" w14:textId="77777777" w:rsidR="00A720EB" w:rsidRDefault="00E10349">
      <w:pPr>
        <w:spacing w:before="117"/>
        <w:ind w:left="344"/>
        <w:rPr>
          <w:rFonts w:ascii="MS Gothic"/>
        </w:rPr>
      </w:pPr>
      <w:r>
        <w:pict w14:anchorId="3C497808">
          <v:group id="_x0000_s4168" style="position:absolute;left:0;text-align:left;margin-left:47.85pt;margin-top:-6.35pt;width:499.55pt;height:627.1pt;z-index:-41567744;mso-position-horizontal-relative:page" coordorigin="957,-127" coordsize="9991,12542">
            <v:shape id="_x0000_s4170" style="position:absolute;left:964;top:-120;width:9976;height:12527" coordorigin="965,-120" coordsize="9976,12527" path="m10861,-120r-9816,l1014,-113r-26,17l971,-71r-6,31l965,12327r6,31l988,12384r26,17l1045,12407r9816,l10892,12401r25,-17l10935,12358r6,-31l10941,-40r-6,-31l10917,-96r-25,-17l10861,-120xe" fillcolor="#f5f5f5" stroked="f">
              <v:path arrowok="t"/>
            </v:shape>
            <v:shape id="_x0000_s4169" style="position:absolute;left:964;top:-120;width:9976;height:12527" coordorigin="965,-120" coordsize="9976,12527" path="m1045,-120r9816,l10892,-113r25,17l10935,-71r6,31l10941,12327r-6,31l10917,12384r-25,17l10861,12407r-9816,l1014,12401r-26,-17l971,12358r-6,-31l965,-40r6,-31l988,-96r26,-17l1045,-120xe" filled="f" strokecolor="#ccc">
              <v:path arrowok="t"/>
            </v:shape>
            <w10:wrap anchorx="page"/>
          </v:group>
        </w:pict>
      </w:r>
      <w:r w:rsidR="0030286B">
        <w:rPr>
          <w:rFonts w:ascii="MS Gothic"/>
          <w:color w:val="333333"/>
        </w:rPr>
        <w:t>package com.</w:t>
      </w:r>
      <w:proofErr w:type="gramStart"/>
      <w:r w:rsidR="0030286B">
        <w:rPr>
          <w:rFonts w:ascii="MS Gothic"/>
          <w:color w:val="333333"/>
        </w:rPr>
        <w:t>example.myapp</w:t>
      </w:r>
      <w:proofErr w:type="gramEnd"/>
      <w:r w:rsidR="0030286B">
        <w:rPr>
          <w:rFonts w:ascii="MS Gothic"/>
          <w:color w:val="333333"/>
        </w:rPr>
        <w:t>.domain;</w:t>
      </w:r>
    </w:p>
    <w:p w14:paraId="4BD5332C" w14:textId="77777777" w:rsidR="00A720EB" w:rsidRDefault="00A720EB">
      <w:pPr>
        <w:pStyle w:val="a3"/>
        <w:rPr>
          <w:rFonts w:ascii="MS Gothic"/>
          <w:sz w:val="24"/>
        </w:rPr>
      </w:pPr>
    </w:p>
    <w:p w14:paraId="4D190663" w14:textId="77777777" w:rsidR="00A720EB" w:rsidRDefault="0030286B">
      <w:pPr>
        <w:spacing w:line="252" w:lineRule="auto"/>
        <w:ind w:left="344" w:right="6786"/>
        <w:rPr>
          <w:rFonts w:ascii="MS Gothic"/>
        </w:rPr>
      </w:pPr>
      <w:r>
        <w:rPr>
          <w:rFonts w:ascii="MS Gothic"/>
          <w:color w:val="333333"/>
        </w:rPr>
        <w:t xml:space="preserve">import </w:t>
      </w:r>
      <w:proofErr w:type="gramStart"/>
      <w:r>
        <w:rPr>
          <w:rFonts w:ascii="MS Gothic"/>
          <w:color w:val="333333"/>
        </w:rPr>
        <w:t>java.io.Serializable</w:t>
      </w:r>
      <w:proofErr w:type="gramEnd"/>
      <w:r>
        <w:rPr>
          <w:rFonts w:ascii="MS Gothic"/>
          <w:color w:val="333333"/>
        </w:rPr>
        <w:t>; import javax.persistence.*;</w:t>
      </w:r>
    </w:p>
    <w:p w14:paraId="5416D0EA" w14:textId="77777777" w:rsidR="00A720EB" w:rsidRDefault="00A720EB">
      <w:pPr>
        <w:pStyle w:val="a3"/>
        <w:spacing w:before="11"/>
        <w:rPr>
          <w:rFonts w:ascii="MS Gothic"/>
          <w:sz w:val="22"/>
        </w:rPr>
      </w:pPr>
    </w:p>
    <w:p w14:paraId="0A598FC1" w14:textId="77777777" w:rsidR="00A720EB" w:rsidRDefault="0030286B">
      <w:pPr>
        <w:ind w:left="344"/>
        <w:rPr>
          <w:rFonts w:ascii="MS Gothic"/>
        </w:rPr>
      </w:pPr>
      <w:r>
        <w:rPr>
          <w:rFonts w:ascii="MS Gothic"/>
          <w:color w:val="333333"/>
        </w:rPr>
        <w:t>@Entity</w:t>
      </w:r>
    </w:p>
    <w:p w14:paraId="28ECA46C" w14:textId="77777777" w:rsidR="00A720EB" w:rsidRDefault="0030286B">
      <w:pPr>
        <w:spacing w:before="13"/>
        <w:ind w:left="344"/>
        <w:rPr>
          <w:rFonts w:ascii="MS Gothic"/>
        </w:rPr>
      </w:pPr>
      <w:r>
        <w:rPr>
          <w:rFonts w:ascii="MS Gothic"/>
          <w:color w:val="333333"/>
        </w:rPr>
        <w:t>public class City implements Serializable {</w:t>
      </w:r>
    </w:p>
    <w:p w14:paraId="196C9DC0" w14:textId="77777777" w:rsidR="00A720EB" w:rsidRDefault="00A720EB">
      <w:pPr>
        <w:pStyle w:val="a3"/>
        <w:rPr>
          <w:rFonts w:ascii="MS Gothic"/>
          <w:sz w:val="24"/>
        </w:rPr>
      </w:pPr>
    </w:p>
    <w:p w14:paraId="76EC9268" w14:textId="77777777" w:rsidR="00A720EB" w:rsidRDefault="0030286B">
      <w:pPr>
        <w:spacing w:line="252" w:lineRule="auto"/>
        <w:ind w:left="784" w:right="7666"/>
        <w:rPr>
          <w:rFonts w:ascii="MS Gothic"/>
        </w:rPr>
      </w:pPr>
      <w:r>
        <w:rPr>
          <w:rFonts w:ascii="MS Gothic"/>
          <w:color w:val="333333"/>
        </w:rPr>
        <w:t>@Id @GeneratedValue private Long id;</w:t>
      </w:r>
    </w:p>
    <w:p w14:paraId="6CB9A0CE" w14:textId="77777777" w:rsidR="00A720EB" w:rsidRDefault="00A720EB">
      <w:pPr>
        <w:pStyle w:val="a3"/>
        <w:spacing w:before="9"/>
        <w:rPr>
          <w:rFonts w:ascii="MS Gothic"/>
          <w:sz w:val="22"/>
        </w:rPr>
      </w:pPr>
    </w:p>
    <w:p w14:paraId="285AF6F3" w14:textId="77777777" w:rsidR="00A720EB" w:rsidRDefault="0030286B">
      <w:pPr>
        <w:spacing w:before="1" w:line="252" w:lineRule="auto"/>
        <w:ind w:left="784" w:right="6676"/>
        <w:rPr>
          <w:rFonts w:ascii="MS Gothic"/>
        </w:rPr>
      </w:pPr>
      <w:r>
        <w:rPr>
          <w:rFonts w:ascii="MS Gothic"/>
          <w:color w:val="333333"/>
        </w:rPr>
        <w:t>@</w:t>
      </w:r>
      <w:proofErr w:type="gramStart"/>
      <w:r>
        <w:rPr>
          <w:rFonts w:ascii="MS Gothic"/>
          <w:color w:val="333333"/>
        </w:rPr>
        <w:t>Column(</w:t>
      </w:r>
      <w:proofErr w:type="gramEnd"/>
      <w:r>
        <w:rPr>
          <w:rFonts w:ascii="MS Gothic"/>
          <w:color w:val="333333"/>
        </w:rPr>
        <w:t xml:space="preserve">nullable = </w:t>
      </w:r>
      <w:r>
        <w:rPr>
          <w:rFonts w:ascii="MS Gothic"/>
          <w:color w:val="333333"/>
          <w:spacing w:val="-3"/>
        </w:rPr>
        <w:t xml:space="preserve">false) </w:t>
      </w:r>
      <w:r>
        <w:rPr>
          <w:rFonts w:ascii="MS Gothic"/>
          <w:color w:val="333333"/>
        </w:rPr>
        <w:t>private String name;</w:t>
      </w:r>
    </w:p>
    <w:p w14:paraId="44C08259" w14:textId="77777777" w:rsidR="00A720EB" w:rsidRDefault="00A720EB">
      <w:pPr>
        <w:pStyle w:val="a3"/>
        <w:spacing w:before="10"/>
        <w:rPr>
          <w:rFonts w:ascii="MS Gothic"/>
          <w:sz w:val="22"/>
        </w:rPr>
      </w:pPr>
    </w:p>
    <w:p w14:paraId="28556168" w14:textId="77777777" w:rsidR="00A720EB" w:rsidRDefault="0030286B">
      <w:pPr>
        <w:spacing w:line="252" w:lineRule="auto"/>
        <w:ind w:left="784" w:right="6676"/>
        <w:rPr>
          <w:rFonts w:ascii="MS Gothic"/>
        </w:rPr>
      </w:pPr>
      <w:r>
        <w:rPr>
          <w:rFonts w:ascii="MS Gothic"/>
          <w:color w:val="333333"/>
        </w:rPr>
        <w:t>@</w:t>
      </w:r>
      <w:proofErr w:type="gramStart"/>
      <w:r>
        <w:rPr>
          <w:rFonts w:ascii="MS Gothic"/>
          <w:color w:val="333333"/>
        </w:rPr>
        <w:t>Column(</w:t>
      </w:r>
      <w:proofErr w:type="gramEnd"/>
      <w:r>
        <w:rPr>
          <w:rFonts w:ascii="MS Gothic"/>
          <w:color w:val="333333"/>
        </w:rPr>
        <w:t xml:space="preserve">nullable = </w:t>
      </w:r>
      <w:r>
        <w:rPr>
          <w:rFonts w:ascii="MS Gothic"/>
          <w:color w:val="333333"/>
          <w:spacing w:val="-3"/>
        </w:rPr>
        <w:t xml:space="preserve">false) </w:t>
      </w:r>
      <w:r>
        <w:rPr>
          <w:rFonts w:ascii="MS Gothic"/>
          <w:color w:val="333333"/>
        </w:rPr>
        <w:t>private String state;</w:t>
      </w:r>
    </w:p>
    <w:p w14:paraId="6E869AC9" w14:textId="77777777" w:rsidR="00A720EB" w:rsidRDefault="0030286B">
      <w:pPr>
        <w:spacing w:before="41" w:line="590" w:lineRule="exact"/>
        <w:ind w:left="784" w:right="2826"/>
        <w:rPr>
          <w:rFonts w:ascii="MS Gothic"/>
        </w:rPr>
      </w:pPr>
      <w:r>
        <w:rPr>
          <w:rFonts w:ascii="MS Gothic"/>
          <w:color w:val="333333"/>
        </w:rPr>
        <w:t xml:space="preserve">// ... additional members, often include @OneToMany mappings protected </w:t>
      </w:r>
      <w:proofErr w:type="gramStart"/>
      <w:r>
        <w:rPr>
          <w:rFonts w:ascii="MS Gothic"/>
          <w:color w:val="333333"/>
        </w:rPr>
        <w:t>City(</w:t>
      </w:r>
      <w:proofErr w:type="gramEnd"/>
      <w:r>
        <w:rPr>
          <w:rFonts w:ascii="MS Gothic"/>
          <w:color w:val="333333"/>
        </w:rPr>
        <w:t>) {</w:t>
      </w:r>
    </w:p>
    <w:p w14:paraId="3CED0037" w14:textId="77777777" w:rsidR="00A720EB" w:rsidRDefault="0030286B">
      <w:pPr>
        <w:spacing w:line="238" w:lineRule="exact"/>
        <w:ind w:left="1224"/>
        <w:rPr>
          <w:rFonts w:ascii="MS Gothic"/>
        </w:rPr>
      </w:pPr>
      <w:r>
        <w:rPr>
          <w:rFonts w:ascii="MS Gothic"/>
          <w:color w:val="333333"/>
        </w:rPr>
        <w:t>// no-args constructor required by JPA spec</w:t>
      </w:r>
    </w:p>
    <w:p w14:paraId="6B2E06BC" w14:textId="77777777" w:rsidR="00A720EB" w:rsidRDefault="0030286B">
      <w:pPr>
        <w:spacing w:before="13" w:line="278" w:lineRule="exact"/>
        <w:ind w:left="1224"/>
        <w:rPr>
          <w:rFonts w:ascii="MS Gothic"/>
        </w:rPr>
      </w:pPr>
      <w:r>
        <w:rPr>
          <w:rFonts w:ascii="MS Gothic"/>
          <w:color w:val="333333"/>
        </w:rPr>
        <w:t>// this one is protected since it shouldn't be used directly</w:t>
      </w:r>
    </w:p>
    <w:p w14:paraId="5FC54272" w14:textId="77777777" w:rsidR="00A720EB" w:rsidRDefault="0030286B">
      <w:pPr>
        <w:spacing w:before="16"/>
        <w:ind w:left="784"/>
        <w:rPr>
          <w:rFonts w:ascii="MS Gothic"/>
        </w:rPr>
      </w:pPr>
      <w:r>
        <w:rPr>
          <w:rFonts w:ascii="MS Gothic"/>
          <w:color w:val="333333"/>
        </w:rPr>
        <w:t>}</w:t>
      </w:r>
    </w:p>
    <w:p w14:paraId="2D92FBD6" w14:textId="77777777" w:rsidR="00A720EB" w:rsidRDefault="00A720EB">
      <w:pPr>
        <w:pStyle w:val="a3"/>
        <w:rPr>
          <w:rFonts w:ascii="MS Gothic"/>
          <w:sz w:val="24"/>
        </w:rPr>
      </w:pPr>
    </w:p>
    <w:p w14:paraId="7AD41436" w14:textId="77777777" w:rsidR="00A720EB" w:rsidRDefault="0030286B">
      <w:pPr>
        <w:spacing w:line="252" w:lineRule="auto"/>
        <w:ind w:left="1224" w:right="5026" w:hanging="440"/>
        <w:rPr>
          <w:rFonts w:ascii="MS Gothic"/>
        </w:rPr>
      </w:pPr>
      <w:r>
        <w:rPr>
          <w:rFonts w:ascii="MS Gothic"/>
          <w:color w:val="333333"/>
        </w:rPr>
        <w:t xml:space="preserve">public </w:t>
      </w:r>
      <w:proofErr w:type="gramStart"/>
      <w:r>
        <w:rPr>
          <w:rFonts w:ascii="MS Gothic"/>
          <w:color w:val="333333"/>
        </w:rPr>
        <w:t>City(</w:t>
      </w:r>
      <w:proofErr w:type="gramEnd"/>
      <w:r>
        <w:rPr>
          <w:rFonts w:ascii="MS Gothic"/>
          <w:color w:val="333333"/>
        </w:rPr>
        <w:t>String name, String state) { this.name = name;</w:t>
      </w:r>
    </w:p>
    <w:p w14:paraId="351842CB" w14:textId="77777777" w:rsidR="00A720EB" w:rsidRDefault="0030286B">
      <w:pPr>
        <w:spacing w:line="276" w:lineRule="exact"/>
        <w:ind w:left="1224"/>
        <w:rPr>
          <w:rFonts w:ascii="MS Gothic"/>
        </w:rPr>
      </w:pPr>
      <w:proofErr w:type="gramStart"/>
      <w:r>
        <w:rPr>
          <w:rFonts w:ascii="MS Gothic"/>
          <w:color w:val="333333"/>
        </w:rPr>
        <w:t>this.state</w:t>
      </w:r>
      <w:proofErr w:type="gramEnd"/>
      <w:r>
        <w:rPr>
          <w:rFonts w:ascii="MS Gothic"/>
          <w:color w:val="333333"/>
        </w:rPr>
        <w:t xml:space="preserve"> = state;</w:t>
      </w:r>
    </w:p>
    <w:p w14:paraId="7EC7443A" w14:textId="77777777" w:rsidR="00A720EB" w:rsidRDefault="0030286B">
      <w:pPr>
        <w:spacing w:before="17"/>
        <w:ind w:left="784"/>
        <w:rPr>
          <w:rFonts w:ascii="MS Gothic"/>
        </w:rPr>
      </w:pPr>
      <w:r>
        <w:rPr>
          <w:rFonts w:ascii="MS Gothic"/>
          <w:color w:val="333333"/>
        </w:rPr>
        <w:t>}</w:t>
      </w:r>
    </w:p>
    <w:p w14:paraId="3D916725" w14:textId="77777777" w:rsidR="00A720EB" w:rsidRDefault="00A720EB">
      <w:pPr>
        <w:pStyle w:val="a3"/>
        <w:spacing w:before="8"/>
        <w:rPr>
          <w:rFonts w:ascii="MS Gothic"/>
          <w:sz w:val="23"/>
        </w:rPr>
      </w:pPr>
    </w:p>
    <w:p w14:paraId="0E2EDCDF" w14:textId="77777777" w:rsidR="00A720EB" w:rsidRDefault="0030286B">
      <w:pPr>
        <w:spacing w:before="1" w:line="252" w:lineRule="auto"/>
        <w:ind w:left="1224" w:right="6676" w:hanging="440"/>
        <w:rPr>
          <w:rFonts w:ascii="MS Gothic"/>
        </w:rPr>
      </w:pPr>
      <w:r>
        <w:rPr>
          <w:rFonts w:ascii="MS Gothic"/>
          <w:color w:val="333333"/>
        </w:rPr>
        <w:t xml:space="preserve">public String </w:t>
      </w:r>
      <w:proofErr w:type="gramStart"/>
      <w:r>
        <w:rPr>
          <w:rFonts w:ascii="MS Gothic"/>
          <w:color w:val="333333"/>
        </w:rPr>
        <w:t>getName(</w:t>
      </w:r>
      <w:proofErr w:type="gramEnd"/>
      <w:r>
        <w:rPr>
          <w:rFonts w:ascii="MS Gothic"/>
          <w:color w:val="333333"/>
        </w:rPr>
        <w:t xml:space="preserve">) </w:t>
      </w:r>
      <w:r>
        <w:rPr>
          <w:rFonts w:ascii="MS Gothic"/>
          <w:color w:val="333333"/>
          <w:spacing w:val="-17"/>
        </w:rPr>
        <w:t xml:space="preserve">{ </w:t>
      </w:r>
      <w:r>
        <w:rPr>
          <w:rFonts w:ascii="MS Gothic"/>
          <w:color w:val="333333"/>
        </w:rPr>
        <w:t>return this.name;</w:t>
      </w:r>
    </w:p>
    <w:p w14:paraId="36DC161A" w14:textId="77777777" w:rsidR="00A720EB" w:rsidRDefault="0030286B">
      <w:pPr>
        <w:spacing w:before="1"/>
        <w:ind w:left="784"/>
        <w:rPr>
          <w:rFonts w:ascii="MS Gothic"/>
        </w:rPr>
      </w:pPr>
      <w:r>
        <w:rPr>
          <w:rFonts w:ascii="MS Gothic"/>
          <w:color w:val="333333"/>
        </w:rPr>
        <w:t>}</w:t>
      </w:r>
    </w:p>
    <w:p w14:paraId="3448BB0A" w14:textId="77777777" w:rsidR="00A720EB" w:rsidRDefault="00A720EB">
      <w:pPr>
        <w:pStyle w:val="a3"/>
        <w:spacing w:before="9"/>
        <w:rPr>
          <w:rFonts w:ascii="MS Gothic"/>
          <w:sz w:val="23"/>
        </w:rPr>
      </w:pPr>
    </w:p>
    <w:p w14:paraId="653C2F12" w14:textId="77777777" w:rsidR="00A720EB" w:rsidRDefault="0030286B">
      <w:pPr>
        <w:spacing w:line="252" w:lineRule="auto"/>
        <w:ind w:left="1224" w:right="6126" w:hanging="440"/>
        <w:rPr>
          <w:rFonts w:ascii="MS Gothic"/>
        </w:rPr>
      </w:pPr>
      <w:r>
        <w:rPr>
          <w:rFonts w:ascii="MS Gothic"/>
          <w:color w:val="333333"/>
        </w:rPr>
        <w:t xml:space="preserve">public String </w:t>
      </w:r>
      <w:proofErr w:type="gramStart"/>
      <w:r>
        <w:rPr>
          <w:rFonts w:ascii="MS Gothic"/>
          <w:color w:val="333333"/>
        </w:rPr>
        <w:t>getState(</w:t>
      </w:r>
      <w:proofErr w:type="gramEnd"/>
      <w:r>
        <w:rPr>
          <w:rFonts w:ascii="MS Gothic"/>
          <w:color w:val="333333"/>
        </w:rPr>
        <w:t xml:space="preserve">) </w:t>
      </w:r>
      <w:r>
        <w:rPr>
          <w:rFonts w:ascii="MS Gothic"/>
          <w:color w:val="333333"/>
          <w:spacing w:val="-17"/>
        </w:rPr>
        <w:t xml:space="preserve">{ </w:t>
      </w:r>
      <w:r>
        <w:rPr>
          <w:rFonts w:ascii="MS Gothic"/>
          <w:color w:val="333333"/>
        </w:rPr>
        <w:t>return this.state;</w:t>
      </w:r>
    </w:p>
    <w:p w14:paraId="50E6A778" w14:textId="77777777" w:rsidR="00A720EB" w:rsidRDefault="0030286B">
      <w:pPr>
        <w:spacing w:before="2"/>
        <w:ind w:left="784"/>
        <w:rPr>
          <w:rFonts w:ascii="MS Gothic"/>
        </w:rPr>
      </w:pPr>
      <w:r>
        <w:rPr>
          <w:rFonts w:ascii="MS Gothic"/>
          <w:color w:val="333333"/>
        </w:rPr>
        <w:t>}</w:t>
      </w:r>
    </w:p>
    <w:p w14:paraId="3BB38FF2" w14:textId="77777777" w:rsidR="00A720EB" w:rsidRDefault="00A720EB">
      <w:pPr>
        <w:pStyle w:val="a3"/>
        <w:rPr>
          <w:rFonts w:ascii="MS Gothic"/>
          <w:sz w:val="24"/>
        </w:rPr>
      </w:pPr>
    </w:p>
    <w:p w14:paraId="72A5F939" w14:textId="77777777" w:rsidR="00A720EB" w:rsidRDefault="0030286B">
      <w:pPr>
        <w:ind w:left="784"/>
        <w:rPr>
          <w:rFonts w:ascii="MS Gothic"/>
        </w:rPr>
      </w:pPr>
      <w:r>
        <w:rPr>
          <w:rFonts w:ascii="MS Gothic"/>
          <w:color w:val="333333"/>
        </w:rPr>
        <w:t>// ... etc</w:t>
      </w:r>
    </w:p>
    <w:p w14:paraId="6456F664" w14:textId="77777777" w:rsidR="00A720EB" w:rsidRDefault="00A720EB">
      <w:pPr>
        <w:pStyle w:val="a3"/>
        <w:rPr>
          <w:rFonts w:ascii="MS Gothic"/>
          <w:sz w:val="24"/>
        </w:rPr>
      </w:pPr>
    </w:p>
    <w:p w14:paraId="77374FBD" w14:textId="77777777" w:rsidR="00A720EB" w:rsidRDefault="0030286B">
      <w:pPr>
        <w:spacing w:before="1"/>
        <w:ind w:left="344"/>
        <w:rPr>
          <w:rFonts w:ascii="MS Gothic"/>
        </w:rPr>
      </w:pPr>
      <w:r>
        <w:rPr>
          <w:rFonts w:ascii="MS Gothic"/>
          <w:color w:val="333333"/>
        </w:rPr>
        <w:t>}</w:t>
      </w:r>
    </w:p>
    <w:p w14:paraId="1FFAF7B4" w14:textId="77777777" w:rsidR="00A720EB" w:rsidRDefault="00A720EB">
      <w:pPr>
        <w:pStyle w:val="a3"/>
        <w:spacing w:before="1"/>
        <w:rPr>
          <w:rFonts w:ascii="MS Gothic"/>
          <w:sz w:val="44"/>
        </w:rPr>
      </w:pPr>
    </w:p>
    <w:p w14:paraId="79FD798C" w14:textId="77777777" w:rsidR="00A720EB" w:rsidRDefault="00E10349">
      <w:pPr>
        <w:pStyle w:val="a3"/>
        <w:spacing w:before="1" w:line="290" w:lineRule="auto"/>
        <w:ind w:left="1564" w:right="359"/>
      </w:pPr>
      <w:r>
        <w:pict w14:anchorId="698E9CBA">
          <v:line id="_x0000_s4167" style="position:absolute;left:0;text-align:left;z-index:15967232;mso-position-horizontal-relative:page" from="108.25pt,-5.4pt" to="108.25pt,34.15pt" strokecolor="#ededed" strokeweight=".5pt">
            <w10:wrap anchorx="page"/>
          </v:line>
        </w:pict>
      </w:r>
      <w:r w:rsidR="0030286B">
        <w:rPr>
          <w:noProof/>
        </w:rPr>
        <w:drawing>
          <wp:anchor distT="0" distB="0" distL="0" distR="0" simplePos="0" relativeHeight="15967744" behindDoc="0" locked="0" layoutInCell="1" allowOverlap="1" wp14:anchorId="1F1F72E6" wp14:editId="1487A78A">
            <wp:simplePos x="0" y="0"/>
            <wp:positionH relativeFrom="page">
              <wp:posOffset>888949</wp:posOffset>
            </wp:positionH>
            <wp:positionV relativeFrom="paragraph">
              <wp:posOffset>30048</wp:posOffset>
            </wp:positionV>
            <wp:extent cx="209550" cy="304800"/>
            <wp:effectExtent l="0" t="0" r="0" b="0"/>
            <wp:wrapNone/>
            <wp:docPr id="30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3.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You can customize entity scanning locations by using the </w:t>
      </w:r>
      <w:r w:rsidR="0030286B">
        <w:rPr>
          <w:rFonts w:ascii="MS Gothic" w:hAnsi="MS Gothic"/>
          <w:color w:val="B02045"/>
          <w:w w:val="110"/>
        </w:rPr>
        <w:t xml:space="preserve">@EntityScan </w:t>
      </w:r>
      <w:r w:rsidR="0030286B">
        <w:rPr>
          <w:color w:val="333333"/>
          <w:w w:val="110"/>
        </w:rPr>
        <w:t>annotation. See the “</w:t>
      </w:r>
      <w:hyperlink w:anchor="_bookmark593" w:history="1">
        <w:r w:rsidR="0030286B">
          <w:rPr>
            <w:color w:val="418BCA"/>
            <w:w w:val="110"/>
          </w:rPr>
          <w:t>Separate @Entity Definitions from Spring Configuration</w:t>
        </w:r>
      </w:hyperlink>
      <w:r w:rsidR="0030286B">
        <w:rPr>
          <w:color w:val="333333"/>
          <w:w w:val="110"/>
        </w:rPr>
        <w:t>” how-to.</w:t>
      </w:r>
    </w:p>
    <w:p w14:paraId="0C2CE2CE" w14:textId="77777777" w:rsidR="00A720EB" w:rsidRDefault="00A720EB">
      <w:pPr>
        <w:spacing w:line="290" w:lineRule="auto"/>
        <w:sectPr w:rsidR="00A720EB">
          <w:pgSz w:w="11910" w:h="16840"/>
          <w:pgMar w:top="620" w:right="840" w:bottom="520" w:left="840" w:header="0" w:footer="323" w:gutter="0"/>
          <w:cols w:space="720"/>
        </w:sectPr>
      </w:pPr>
    </w:p>
    <w:p w14:paraId="31059E87" w14:textId="77777777" w:rsidR="00A720EB" w:rsidRDefault="0030286B">
      <w:pPr>
        <w:pStyle w:val="4"/>
        <w:spacing w:before="86"/>
      </w:pPr>
      <w:bookmarkStart w:id="321" w:name="Spring_Data_JPA_Repositories"/>
      <w:bookmarkEnd w:id="321"/>
      <w:r>
        <w:rPr>
          <w:color w:val="333333"/>
          <w:w w:val="110"/>
        </w:rPr>
        <w:lastRenderedPageBreak/>
        <w:t>Spring Data JPA Repositories</w:t>
      </w:r>
    </w:p>
    <w:p w14:paraId="3F9F6288" w14:textId="77777777" w:rsidR="00A720EB" w:rsidRDefault="00A720EB">
      <w:pPr>
        <w:pStyle w:val="a3"/>
        <w:spacing w:before="11"/>
        <w:rPr>
          <w:rFonts w:ascii="Palatino Linotype"/>
          <w:b/>
          <w:sz w:val="18"/>
        </w:rPr>
      </w:pPr>
    </w:p>
    <w:p w14:paraId="6093CBCD" w14:textId="77777777" w:rsidR="00A720EB" w:rsidRDefault="00E10349">
      <w:pPr>
        <w:pStyle w:val="a3"/>
        <w:spacing w:line="290" w:lineRule="auto"/>
        <w:ind w:left="124" w:right="125"/>
        <w:jc w:val="both"/>
      </w:pPr>
      <w:hyperlink r:id="rId197">
        <w:r w:rsidR="0030286B">
          <w:rPr>
            <w:color w:val="418BCA"/>
            <w:w w:val="110"/>
          </w:rPr>
          <w:t xml:space="preserve">Spring Data </w:t>
        </w:r>
        <w:r w:rsidR="0030286B">
          <w:rPr>
            <w:color w:val="418BCA"/>
            <w:spacing w:val="-4"/>
            <w:w w:val="110"/>
          </w:rPr>
          <w:t>JPA</w:t>
        </w:r>
      </w:hyperlink>
      <w:r w:rsidR="0030286B">
        <w:rPr>
          <w:color w:val="418BCA"/>
          <w:spacing w:val="-4"/>
          <w:w w:val="110"/>
        </w:rPr>
        <w:t xml:space="preserve"> </w:t>
      </w:r>
      <w:r w:rsidR="0030286B">
        <w:rPr>
          <w:color w:val="333333"/>
          <w:w w:val="110"/>
        </w:rPr>
        <w:t xml:space="preserve">repositories are interfaces that you can define to access data. </w:t>
      </w:r>
      <w:proofErr w:type="gramStart"/>
      <w:r w:rsidR="0030286B">
        <w:rPr>
          <w:color w:val="333333"/>
          <w:spacing w:val="-4"/>
          <w:w w:val="110"/>
        </w:rPr>
        <w:t xml:space="preserve">JPA  </w:t>
      </w:r>
      <w:r w:rsidR="0030286B">
        <w:rPr>
          <w:color w:val="333333"/>
          <w:w w:val="110"/>
        </w:rPr>
        <w:t>queries</w:t>
      </w:r>
      <w:proofErr w:type="gramEnd"/>
      <w:r w:rsidR="0030286B">
        <w:rPr>
          <w:color w:val="333333"/>
          <w:w w:val="110"/>
        </w:rPr>
        <w:t xml:space="preserve">  are created automatically from your method names. </w:t>
      </w:r>
      <w:r w:rsidR="0030286B">
        <w:rPr>
          <w:color w:val="333333"/>
          <w:spacing w:val="-4"/>
          <w:w w:val="110"/>
        </w:rPr>
        <w:t xml:space="preserve">For </w:t>
      </w:r>
      <w:r w:rsidR="0030286B">
        <w:rPr>
          <w:color w:val="333333"/>
          <w:w w:val="110"/>
        </w:rPr>
        <w:t xml:space="preserve">example, a </w:t>
      </w:r>
      <w:r w:rsidR="0030286B">
        <w:rPr>
          <w:rFonts w:ascii="MS Gothic"/>
          <w:color w:val="B02045"/>
          <w:w w:val="110"/>
        </w:rPr>
        <w:t xml:space="preserve">CityRepository </w:t>
      </w:r>
      <w:r w:rsidR="0030286B">
        <w:rPr>
          <w:color w:val="333333"/>
          <w:w w:val="110"/>
        </w:rPr>
        <w:t xml:space="preserve">interface </w:t>
      </w:r>
      <w:proofErr w:type="gramStart"/>
      <w:r w:rsidR="0030286B">
        <w:rPr>
          <w:color w:val="333333"/>
          <w:w w:val="110"/>
        </w:rPr>
        <w:t>might  declare</w:t>
      </w:r>
      <w:proofErr w:type="gramEnd"/>
      <w:r w:rsidR="0030286B">
        <w:rPr>
          <w:color w:val="333333"/>
          <w:spacing w:val="-3"/>
          <w:w w:val="110"/>
        </w:rPr>
        <w:t xml:space="preserve"> </w:t>
      </w:r>
      <w:r w:rsidR="0030286B">
        <w:rPr>
          <w:color w:val="333333"/>
          <w:w w:val="110"/>
        </w:rPr>
        <w:t>a</w:t>
      </w:r>
      <w:r w:rsidR="0030286B">
        <w:rPr>
          <w:color w:val="333333"/>
          <w:spacing w:val="-2"/>
          <w:w w:val="110"/>
        </w:rPr>
        <w:t xml:space="preserve"> </w:t>
      </w:r>
      <w:r w:rsidR="0030286B">
        <w:rPr>
          <w:rFonts w:ascii="MS Gothic"/>
          <w:color w:val="B02045"/>
          <w:w w:val="110"/>
        </w:rPr>
        <w:t>findAllByState(String</w:t>
      </w:r>
      <w:r w:rsidR="0030286B">
        <w:rPr>
          <w:rFonts w:ascii="MS Gothic"/>
          <w:color w:val="B02045"/>
          <w:spacing w:val="-20"/>
          <w:w w:val="110"/>
        </w:rPr>
        <w:t xml:space="preserve"> </w:t>
      </w:r>
      <w:r w:rsidR="0030286B">
        <w:rPr>
          <w:rFonts w:ascii="MS Gothic"/>
          <w:color w:val="B02045"/>
          <w:w w:val="110"/>
        </w:rPr>
        <w:t>state)</w:t>
      </w:r>
      <w:r w:rsidR="0030286B">
        <w:rPr>
          <w:rFonts w:ascii="MS Gothic"/>
          <w:color w:val="B02045"/>
          <w:spacing w:val="-67"/>
          <w:w w:val="110"/>
        </w:rPr>
        <w:t xml:space="preserve"> </w:t>
      </w:r>
      <w:r w:rsidR="0030286B">
        <w:rPr>
          <w:color w:val="333333"/>
          <w:w w:val="110"/>
        </w:rPr>
        <w:t>method</w:t>
      </w:r>
      <w:r w:rsidR="0030286B">
        <w:rPr>
          <w:color w:val="333333"/>
          <w:spacing w:val="-3"/>
          <w:w w:val="110"/>
        </w:rPr>
        <w:t xml:space="preserve"> </w:t>
      </w:r>
      <w:r w:rsidR="0030286B">
        <w:rPr>
          <w:color w:val="333333"/>
          <w:w w:val="110"/>
        </w:rPr>
        <w:t>to</w:t>
      </w:r>
      <w:r w:rsidR="0030286B">
        <w:rPr>
          <w:color w:val="333333"/>
          <w:spacing w:val="-2"/>
          <w:w w:val="110"/>
        </w:rPr>
        <w:t xml:space="preserve"> </w:t>
      </w:r>
      <w:r w:rsidR="0030286B">
        <w:rPr>
          <w:color w:val="333333"/>
          <w:w w:val="110"/>
        </w:rPr>
        <w:t>find</w:t>
      </w:r>
      <w:r w:rsidR="0030286B">
        <w:rPr>
          <w:color w:val="333333"/>
          <w:spacing w:val="-2"/>
          <w:w w:val="110"/>
        </w:rPr>
        <w:t xml:space="preserve"> </w:t>
      </w:r>
      <w:r w:rsidR="0030286B">
        <w:rPr>
          <w:color w:val="333333"/>
          <w:w w:val="110"/>
        </w:rPr>
        <w:t>all</w:t>
      </w:r>
      <w:r w:rsidR="0030286B">
        <w:rPr>
          <w:color w:val="333333"/>
          <w:spacing w:val="-3"/>
          <w:w w:val="110"/>
        </w:rPr>
        <w:t xml:space="preserve"> </w:t>
      </w:r>
      <w:r w:rsidR="0030286B">
        <w:rPr>
          <w:color w:val="333333"/>
          <w:w w:val="110"/>
        </w:rPr>
        <w:t>the</w:t>
      </w:r>
      <w:r w:rsidR="0030286B">
        <w:rPr>
          <w:color w:val="333333"/>
          <w:spacing w:val="-2"/>
          <w:w w:val="110"/>
        </w:rPr>
        <w:t xml:space="preserve"> </w:t>
      </w:r>
      <w:r w:rsidR="0030286B">
        <w:rPr>
          <w:color w:val="333333"/>
          <w:w w:val="110"/>
        </w:rPr>
        <w:t>cities</w:t>
      </w:r>
      <w:r w:rsidR="0030286B">
        <w:rPr>
          <w:color w:val="333333"/>
          <w:spacing w:val="-2"/>
          <w:w w:val="110"/>
        </w:rPr>
        <w:t xml:space="preserve"> </w:t>
      </w:r>
      <w:r w:rsidR="0030286B">
        <w:rPr>
          <w:color w:val="333333"/>
          <w:w w:val="110"/>
        </w:rPr>
        <w:t>in</w:t>
      </w:r>
      <w:r w:rsidR="0030286B">
        <w:rPr>
          <w:color w:val="333333"/>
          <w:spacing w:val="-3"/>
          <w:w w:val="110"/>
        </w:rPr>
        <w:t xml:space="preserve"> </w:t>
      </w:r>
      <w:r w:rsidR="0030286B">
        <w:rPr>
          <w:color w:val="333333"/>
          <w:w w:val="110"/>
        </w:rPr>
        <w:t>a</w:t>
      </w:r>
      <w:r w:rsidR="0030286B">
        <w:rPr>
          <w:color w:val="333333"/>
          <w:spacing w:val="-3"/>
          <w:w w:val="110"/>
        </w:rPr>
        <w:t xml:space="preserve"> </w:t>
      </w:r>
      <w:r w:rsidR="0030286B">
        <w:rPr>
          <w:color w:val="333333"/>
          <w:w w:val="110"/>
        </w:rPr>
        <w:t>given</w:t>
      </w:r>
      <w:r w:rsidR="0030286B">
        <w:rPr>
          <w:color w:val="333333"/>
          <w:spacing w:val="-2"/>
          <w:w w:val="110"/>
        </w:rPr>
        <w:t xml:space="preserve"> </w:t>
      </w:r>
      <w:r w:rsidR="0030286B">
        <w:rPr>
          <w:color w:val="333333"/>
          <w:w w:val="110"/>
        </w:rPr>
        <w:t>state.</w:t>
      </w:r>
    </w:p>
    <w:p w14:paraId="20FE73DB" w14:textId="77777777" w:rsidR="00A720EB" w:rsidRDefault="0030286B">
      <w:pPr>
        <w:pStyle w:val="a3"/>
        <w:spacing w:before="227"/>
        <w:ind w:left="124"/>
        <w:jc w:val="both"/>
      </w:pPr>
      <w:r>
        <w:rPr>
          <w:color w:val="333333"/>
          <w:w w:val="110"/>
        </w:rPr>
        <w:t xml:space="preserve">For more complex queries, you can annotate your method with Spring Data’s </w:t>
      </w:r>
      <w:hyperlink r:id="rId198">
        <w:r>
          <w:rPr>
            <w:rFonts w:ascii="MS Gothic" w:hAnsi="MS Gothic"/>
            <w:color w:val="B02045"/>
            <w:w w:val="110"/>
          </w:rPr>
          <w:t xml:space="preserve">Query </w:t>
        </w:r>
      </w:hyperlink>
      <w:r>
        <w:rPr>
          <w:color w:val="333333"/>
          <w:w w:val="110"/>
        </w:rPr>
        <w:t>annotation.</w:t>
      </w:r>
    </w:p>
    <w:p w14:paraId="5CAF601D" w14:textId="77777777" w:rsidR="00A720EB" w:rsidRDefault="00A720EB">
      <w:pPr>
        <w:pStyle w:val="a3"/>
        <w:spacing w:before="5"/>
        <w:rPr>
          <w:sz w:val="24"/>
        </w:rPr>
      </w:pPr>
    </w:p>
    <w:p w14:paraId="4F072448" w14:textId="77777777" w:rsidR="00A720EB" w:rsidRDefault="0030286B">
      <w:pPr>
        <w:pStyle w:val="a3"/>
        <w:spacing w:before="1" w:line="295" w:lineRule="auto"/>
        <w:ind w:left="124" w:right="127"/>
        <w:jc w:val="both"/>
      </w:pPr>
      <w:r>
        <w:rPr>
          <w:color w:val="333333"/>
          <w:w w:val="110"/>
        </w:rPr>
        <w:t>Spring</w:t>
      </w:r>
      <w:r>
        <w:rPr>
          <w:color w:val="333333"/>
          <w:spacing w:val="-6"/>
          <w:w w:val="110"/>
        </w:rPr>
        <w:t xml:space="preserve"> </w:t>
      </w:r>
      <w:r>
        <w:rPr>
          <w:color w:val="333333"/>
          <w:w w:val="110"/>
        </w:rPr>
        <w:t>Data</w:t>
      </w:r>
      <w:r>
        <w:rPr>
          <w:color w:val="333333"/>
          <w:spacing w:val="-5"/>
          <w:w w:val="110"/>
        </w:rPr>
        <w:t xml:space="preserve"> </w:t>
      </w:r>
      <w:r>
        <w:rPr>
          <w:color w:val="333333"/>
          <w:w w:val="110"/>
        </w:rPr>
        <w:t>repositories</w:t>
      </w:r>
      <w:r>
        <w:rPr>
          <w:color w:val="333333"/>
          <w:spacing w:val="-5"/>
          <w:w w:val="110"/>
        </w:rPr>
        <w:t xml:space="preserve"> </w:t>
      </w:r>
      <w:r>
        <w:rPr>
          <w:color w:val="333333"/>
          <w:w w:val="110"/>
        </w:rPr>
        <w:t>usually</w:t>
      </w:r>
      <w:r>
        <w:rPr>
          <w:color w:val="333333"/>
          <w:spacing w:val="-6"/>
          <w:w w:val="110"/>
        </w:rPr>
        <w:t xml:space="preserve"> </w:t>
      </w:r>
      <w:r>
        <w:rPr>
          <w:color w:val="333333"/>
          <w:w w:val="110"/>
        </w:rPr>
        <w:t>extend</w:t>
      </w:r>
      <w:r>
        <w:rPr>
          <w:color w:val="333333"/>
          <w:spacing w:val="-5"/>
          <w:w w:val="110"/>
        </w:rPr>
        <w:t xml:space="preserve"> </w:t>
      </w:r>
      <w:r>
        <w:rPr>
          <w:color w:val="333333"/>
          <w:w w:val="110"/>
        </w:rPr>
        <w:t>from</w:t>
      </w:r>
      <w:r>
        <w:rPr>
          <w:color w:val="333333"/>
          <w:spacing w:val="-4"/>
          <w:w w:val="110"/>
        </w:rPr>
        <w:t xml:space="preserve"> </w:t>
      </w:r>
      <w:r>
        <w:rPr>
          <w:color w:val="333333"/>
          <w:w w:val="110"/>
        </w:rPr>
        <w:t>the</w:t>
      </w:r>
      <w:r>
        <w:rPr>
          <w:color w:val="333333"/>
          <w:spacing w:val="-3"/>
          <w:w w:val="110"/>
        </w:rPr>
        <w:t xml:space="preserve"> </w:t>
      </w:r>
      <w:hyperlink r:id="rId199">
        <w:r>
          <w:rPr>
            <w:rFonts w:ascii="MS Gothic"/>
            <w:color w:val="B02045"/>
            <w:w w:val="110"/>
          </w:rPr>
          <w:t>Repository</w:t>
        </w:r>
        <w:r>
          <w:rPr>
            <w:rFonts w:ascii="MS Gothic"/>
            <w:color w:val="B02045"/>
            <w:spacing w:val="-70"/>
            <w:w w:val="110"/>
          </w:rPr>
          <w:t xml:space="preserve"> </w:t>
        </w:r>
      </w:hyperlink>
      <w:r>
        <w:rPr>
          <w:color w:val="333333"/>
          <w:w w:val="110"/>
        </w:rPr>
        <w:t>or</w:t>
      </w:r>
      <w:r>
        <w:rPr>
          <w:color w:val="333333"/>
          <w:spacing w:val="-5"/>
          <w:w w:val="110"/>
        </w:rPr>
        <w:t xml:space="preserve"> </w:t>
      </w:r>
      <w:hyperlink r:id="rId200">
        <w:r>
          <w:rPr>
            <w:rFonts w:ascii="MS Gothic"/>
            <w:color w:val="B02045"/>
            <w:w w:val="110"/>
          </w:rPr>
          <w:t>CrudRepository</w:t>
        </w:r>
        <w:r>
          <w:rPr>
            <w:rFonts w:ascii="MS Gothic"/>
            <w:color w:val="B02045"/>
            <w:spacing w:val="-69"/>
            <w:w w:val="110"/>
          </w:rPr>
          <w:t xml:space="preserve"> </w:t>
        </w:r>
      </w:hyperlink>
      <w:r>
        <w:rPr>
          <w:color w:val="333333"/>
          <w:w w:val="110"/>
        </w:rPr>
        <w:t>interfaces.</w:t>
      </w:r>
      <w:r>
        <w:rPr>
          <w:color w:val="333333"/>
          <w:spacing w:val="-6"/>
          <w:w w:val="110"/>
        </w:rPr>
        <w:t xml:space="preserve"> </w:t>
      </w:r>
      <w:r>
        <w:rPr>
          <w:color w:val="333333"/>
          <w:w w:val="110"/>
        </w:rPr>
        <w:t>If</w:t>
      </w:r>
      <w:r>
        <w:rPr>
          <w:color w:val="333333"/>
          <w:spacing w:val="-5"/>
          <w:w w:val="110"/>
        </w:rPr>
        <w:t xml:space="preserve"> </w:t>
      </w:r>
      <w:r>
        <w:rPr>
          <w:color w:val="333333"/>
          <w:w w:val="110"/>
        </w:rPr>
        <w:t>you</w:t>
      </w:r>
      <w:r>
        <w:rPr>
          <w:color w:val="333333"/>
          <w:spacing w:val="-6"/>
          <w:w w:val="110"/>
        </w:rPr>
        <w:t xml:space="preserve"> </w:t>
      </w:r>
      <w:r>
        <w:rPr>
          <w:color w:val="333333"/>
          <w:w w:val="110"/>
        </w:rPr>
        <w:t>use auto-configuration, repositories are searched from the package containing your main configuration class</w:t>
      </w:r>
      <w:r>
        <w:rPr>
          <w:color w:val="333333"/>
          <w:spacing w:val="-14"/>
          <w:w w:val="110"/>
        </w:rPr>
        <w:t xml:space="preserve"> </w:t>
      </w:r>
      <w:r>
        <w:rPr>
          <w:color w:val="333333"/>
          <w:w w:val="110"/>
        </w:rPr>
        <w:t>(the</w:t>
      </w:r>
      <w:r>
        <w:rPr>
          <w:color w:val="333333"/>
          <w:spacing w:val="-14"/>
          <w:w w:val="110"/>
        </w:rPr>
        <w:t xml:space="preserve"> </w:t>
      </w:r>
      <w:r>
        <w:rPr>
          <w:color w:val="333333"/>
          <w:w w:val="110"/>
        </w:rPr>
        <w:t>one</w:t>
      </w:r>
      <w:r>
        <w:rPr>
          <w:color w:val="333333"/>
          <w:spacing w:val="-14"/>
          <w:w w:val="110"/>
        </w:rPr>
        <w:t xml:space="preserve"> </w:t>
      </w:r>
      <w:r>
        <w:rPr>
          <w:color w:val="333333"/>
          <w:w w:val="110"/>
        </w:rPr>
        <w:t>annotated</w:t>
      </w:r>
      <w:r>
        <w:rPr>
          <w:color w:val="333333"/>
          <w:spacing w:val="-15"/>
          <w:w w:val="110"/>
        </w:rPr>
        <w:t xml:space="preserve"> </w:t>
      </w:r>
      <w:r>
        <w:rPr>
          <w:color w:val="333333"/>
          <w:w w:val="110"/>
        </w:rPr>
        <w:t>with</w:t>
      </w:r>
      <w:r>
        <w:rPr>
          <w:color w:val="333333"/>
          <w:spacing w:val="-12"/>
          <w:w w:val="110"/>
        </w:rPr>
        <w:t xml:space="preserve"> </w:t>
      </w:r>
      <w:r>
        <w:rPr>
          <w:rFonts w:ascii="MS Gothic"/>
          <w:color w:val="B02045"/>
          <w:w w:val="110"/>
        </w:rPr>
        <w:t>@EnableAutoConfiguration</w:t>
      </w:r>
      <w:r>
        <w:rPr>
          <w:rFonts w:ascii="MS Gothic"/>
          <w:color w:val="B02045"/>
          <w:spacing w:val="-79"/>
          <w:w w:val="110"/>
        </w:rPr>
        <w:t xml:space="preserve"> </w:t>
      </w:r>
      <w:r>
        <w:rPr>
          <w:color w:val="333333"/>
          <w:w w:val="110"/>
        </w:rPr>
        <w:t>or</w:t>
      </w:r>
      <w:r>
        <w:rPr>
          <w:color w:val="333333"/>
          <w:spacing w:val="-14"/>
          <w:w w:val="110"/>
        </w:rPr>
        <w:t xml:space="preserve"> </w:t>
      </w:r>
      <w:r>
        <w:rPr>
          <w:rFonts w:ascii="MS Gothic"/>
          <w:color w:val="B02045"/>
          <w:w w:val="110"/>
        </w:rPr>
        <w:t>@SpringBootApplication</w:t>
      </w:r>
      <w:r>
        <w:rPr>
          <w:color w:val="333333"/>
          <w:w w:val="110"/>
        </w:rPr>
        <w:t>)</w:t>
      </w:r>
      <w:r>
        <w:rPr>
          <w:color w:val="333333"/>
          <w:spacing w:val="-14"/>
          <w:w w:val="110"/>
        </w:rPr>
        <w:t xml:space="preserve"> </w:t>
      </w:r>
      <w:r>
        <w:rPr>
          <w:color w:val="333333"/>
          <w:w w:val="110"/>
        </w:rPr>
        <w:t>down.</w:t>
      </w:r>
    </w:p>
    <w:p w14:paraId="6007BFA3" w14:textId="77777777" w:rsidR="00A720EB" w:rsidRDefault="0030286B">
      <w:pPr>
        <w:pStyle w:val="a3"/>
        <w:spacing w:before="232"/>
        <w:ind w:left="124"/>
        <w:jc w:val="both"/>
      </w:pPr>
      <w:r>
        <w:rPr>
          <w:color w:val="333333"/>
          <w:w w:val="110"/>
        </w:rPr>
        <w:t>The following example shows a typical Spring Data repository interface definition:</w:t>
      </w:r>
    </w:p>
    <w:p w14:paraId="244FB61F" w14:textId="77777777" w:rsidR="00A720EB" w:rsidRDefault="00E10349">
      <w:pPr>
        <w:pStyle w:val="a3"/>
        <w:rPr>
          <w:sz w:val="19"/>
        </w:rPr>
      </w:pPr>
      <w:r>
        <w:pict w14:anchorId="333325A3">
          <v:group id="_x0000_s4163" style="position:absolute;margin-left:47.85pt;margin-top:13.15pt;width:499.55pt;height:199.65pt;z-index:-15489024;mso-wrap-distance-left:0;mso-wrap-distance-right:0;mso-position-horizontal-relative:page" coordorigin="957,263" coordsize="9991,3993">
            <v:shape id="_x0000_s4166" style="position:absolute;left:964;top:270;width:9976;height:3978" coordorigin="965,270" coordsize="9976,3978" path="m10861,270r-9816,l1014,276r-26,18l971,319r-6,31l965,4168r6,31l988,4224r26,17l1045,4248r9816,l10892,4241r25,-17l10935,4199r6,-31l10941,350r-6,-31l10917,294r-25,-18l10861,270xe" fillcolor="#f5f5f5" stroked="f">
              <v:path arrowok="t"/>
            </v:shape>
            <v:shape id="_x0000_s4165" style="position:absolute;left:964;top:270;width:9976;height:3978" coordorigin="965,270" coordsize="9976,3978" path="m1045,270r9816,l10892,276r25,18l10935,319r6,31l10941,4168r-6,31l10917,4224r-25,17l10861,4248r-9816,l1014,4241r-26,-17l971,4199r-6,-31l965,350r6,-31l988,294r26,-18l1045,270xe" filled="f" strokecolor="#ccc">
              <v:path arrowok="t"/>
            </v:shape>
            <v:shape id="_x0000_s4164" type="#_x0000_t202" style="position:absolute;left:984;top:285;width:9938;height:3947" filled="f" stroked="f">
              <v:textbox inset="0,0,0,0">
                <w:txbxContent>
                  <w:p w14:paraId="53EEF7B2" w14:textId="77777777" w:rsidR="00711A16" w:rsidRDefault="00711A16">
                    <w:pPr>
                      <w:spacing w:before="221"/>
                      <w:ind w:left="200"/>
                      <w:rPr>
                        <w:rFonts w:ascii="MS Gothic"/>
                      </w:rPr>
                    </w:pPr>
                    <w:r>
                      <w:rPr>
                        <w:rFonts w:ascii="MS Gothic"/>
                        <w:color w:val="333333"/>
                      </w:rPr>
                      <w:t>package com.</w:t>
                    </w:r>
                    <w:proofErr w:type="gramStart"/>
                    <w:r>
                      <w:rPr>
                        <w:rFonts w:ascii="MS Gothic"/>
                        <w:color w:val="333333"/>
                      </w:rPr>
                      <w:t>example.myapp</w:t>
                    </w:r>
                    <w:proofErr w:type="gramEnd"/>
                    <w:r>
                      <w:rPr>
                        <w:rFonts w:ascii="MS Gothic"/>
                        <w:color w:val="333333"/>
                      </w:rPr>
                      <w:t>.domain;</w:t>
                    </w:r>
                  </w:p>
                  <w:p w14:paraId="11A1434E" w14:textId="77777777" w:rsidR="00711A16" w:rsidRDefault="00711A16">
                    <w:pPr>
                      <w:rPr>
                        <w:rFonts w:ascii="MS Gothic"/>
                        <w:sz w:val="24"/>
                      </w:rPr>
                    </w:pPr>
                  </w:p>
                  <w:p w14:paraId="729FC06E" w14:textId="77777777" w:rsidR="00711A16" w:rsidRDefault="00711A16">
                    <w:pPr>
                      <w:spacing w:line="252" w:lineRule="auto"/>
                      <w:ind w:left="200" w:right="476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.data.domain.*; import org.springframework.data.repository.*;</w:t>
                    </w:r>
                  </w:p>
                  <w:p w14:paraId="75A62588" w14:textId="77777777" w:rsidR="00711A16" w:rsidRDefault="00711A16">
                    <w:pPr>
                      <w:spacing w:before="10"/>
                      <w:rPr>
                        <w:rFonts w:ascii="MS Gothic"/>
                      </w:rPr>
                    </w:pPr>
                  </w:p>
                  <w:p w14:paraId="01FAD011" w14:textId="77777777" w:rsidR="00711A16" w:rsidRDefault="00711A16">
                    <w:pPr>
                      <w:spacing w:before="1" w:line="501" w:lineRule="auto"/>
                      <w:ind w:left="640" w:right="2678" w:hanging="440"/>
                      <w:rPr>
                        <w:rFonts w:ascii="MS Gothic"/>
                      </w:rPr>
                    </w:pPr>
                    <w:r>
                      <w:rPr>
                        <w:rFonts w:ascii="MS Gothic"/>
                        <w:color w:val="333333"/>
                      </w:rPr>
                      <w:t xml:space="preserve">public interface CityRepository extends Repository&lt;City, Long&gt; </w:t>
                    </w:r>
                    <w:proofErr w:type="gramStart"/>
                    <w:r>
                      <w:rPr>
                        <w:rFonts w:ascii="MS Gothic"/>
                        <w:color w:val="333333"/>
                      </w:rPr>
                      <w:t>{ Page</w:t>
                    </w:r>
                    <w:proofErr w:type="gramEnd"/>
                    <w:r>
                      <w:rPr>
                        <w:rFonts w:ascii="MS Gothic"/>
                        <w:color w:val="333333"/>
                      </w:rPr>
                      <w:t>&lt;City&gt; findAll(Pageable pageable);</w:t>
                    </w:r>
                  </w:p>
                  <w:p w14:paraId="0E0CC0D2" w14:textId="77777777" w:rsidR="00711A16" w:rsidRDefault="00711A16">
                    <w:pPr>
                      <w:spacing w:before="1"/>
                      <w:ind w:left="640"/>
                      <w:rPr>
                        <w:rFonts w:ascii="MS Gothic"/>
                      </w:rPr>
                    </w:pPr>
                    <w:r>
                      <w:rPr>
                        <w:rFonts w:ascii="MS Gothic"/>
                        <w:color w:val="333333"/>
                      </w:rPr>
                      <w:t xml:space="preserve">City </w:t>
                    </w:r>
                    <w:proofErr w:type="gramStart"/>
                    <w:r>
                      <w:rPr>
                        <w:rFonts w:ascii="MS Gothic"/>
                        <w:color w:val="333333"/>
                      </w:rPr>
                      <w:t>findByNameAndStateAllIgnoringCase(</w:t>
                    </w:r>
                    <w:proofErr w:type="gramEnd"/>
                    <w:r>
                      <w:rPr>
                        <w:rFonts w:ascii="MS Gothic"/>
                        <w:color w:val="333333"/>
                      </w:rPr>
                      <w:t>String name, String state);</w:t>
                    </w:r>
                  </w:p>
                  <w:p w14:paraId="1A4DE4F4" w14:textId="77777777" w:rsidR="00711A16" w:rsidRDefault="00711A16">
                    <w:pPr>
                      <w:rPr>
                        <w:rFonts w:ascii="MS Gothic"/>
                        <w:sz w:val="24"/>
                      </w:rPr>
                    </w:pPr>
                  </w:p>
                  <w:p w14:paraId="395512A6" w14:textId="77777777" w:rsidR="00711A16" w:rsidRDefault="00711A16">
                    <w:pPr>
                      <w:ind w:left="200"/>
                      <w:rPr>
                        <w:rFonts w:ascii="MS Gothic"/>
                      </w:rPr>
                    </w:pPr>
                    <w:r>
                      <w:rPr>
                        <w:rFonts w:ascii="MS Gothic"/>
                        <w:color w:val="333333"/>
                      </w:rPr>
                      <w:t>}</w:t>
                    </w:r>
                  </w:p>
                </w:txbxContent>
              </v:textbox>
            </v:shape>
            <w10:wrap type="topAndBottom" anchorx="page"/>
          </v:group>
        </w:pict>
      </w:r>
    </w:p>
    <w:p w14:paraId="210A77F0" w14:textId="77777777" w:rsidR="00A720EB" w:rsidRDefault="00A720EB">
      <w:pPr>
        <w:pStyle w:val="a3"/>
        <w:rPr>
          <w:sz w:val="10"/>
        </w:rPr>
      </w:pPr>
    </w:p>
    <w:p w14:paraId="29A80044" w14:textId="77777777" w:rsidR="00A720EB" w:rsidRDefault="0030286B">
      <w:pPr>
        <w:pStyle w:val="a3"/>
        <w:spacing w:before="125" w:line="285" w:lineRule="auto"/>
        <w:ind w:left="124" w:right="122"/>
        <w:jc w:val="both"/>
      </w:pPr>
      <w:r>
        <w:rPr>
          <w:color w:val="333333"/>
          <w:w w:val="110"/>
        </w:rPr>
        <w:t xml:space="preserve">Spring Data </w:t>
      </w:r>
      <w:r>
        <w:rPr>
          <w:color w:val="333333"/>
          <w:spacing w:val="-4"/>
          <w:w w:val="110"/>
        </w:rPr>
        <w:t xml:space="preserve">JPA </w:t>
      </w:r>
      <w:r>
        <w:rPr>
          <w:color w:val="333333"/>
          <w:w w:val="110"/>
        </w:rPr>
        <w:t xml:space="preserve">repositories support three different modes of bootstrapping: default, deferred, and </w:t>
      </w:r>
      <w:r>
        <w:rPr>
          <w:color w:val="333333"/>
          <w:spacing w:val="-5"/>
          <w:w w:val="105"/>
        </w:rPr>
        <w:t xml:space="preserve">lazy. </w:t>
      </w:r>
      <w:r>
        <w:rPr>
          <w:color w:val="333333"/>
          <w:spacing w:val="-4"/>
          <w:w w:val="105"/>
        </w:rPr>
        <w:t xml:space="preserve">To </w:t>
      </w:r>
      <w:r>
        <w:rPr>
          <w:color w:val="333333"/>
          <w:w w:val="105"/>
        </w:rPr>
        <w:t xml:space="preserve">enable deferred or lazy bootstrapping, set the </w:t>
      </w:r>
      <w:proofErr w:type="gramStart"/>
      <w:r>
        <w:rPr>
          <w:rFonts w:ascii="MS Gothic" w:hAnsi="MS Gothic"/>
          <w:color w:val="B02045"/>
          <w:w w:val="105"/>
        </w:rPr>
        <w:t>spring.data.jpa.repositories</w:t>
      </w:r>
      <w:proofErr w:type="gramEnd"/>
      <w:r>
        <w:rPr>
          <w:rFonts w:ascii="MS Gothic" w:hAnsi="MS Gothic"/>
          <w:color w:val="B02045"/>
          <w:w w:val="105"/>
        </w:rPr>
        <w:t xml:space="preserve">.bootstrap-mode </w:t>
      </w:r>
      <w:r>
        <w:rPr>
          <w:color w:val="333333"/>
          <w:w w:val="110"/>
        </w:rPr>
        <w:t xml:space="preserve">property to </w:t>
      </w:r>
      <w:r>
        <w:rPr>
          <w:rFonts w:ascii="MS Gothic" w:hAnsi="MS Gothic"/>
          <w:color w:val="B02045"/>
          <w:w w:val="110"/>
        </w:rPr>
        <w:t xml:space="preserve">deferred </w:t>
      </w:r>
      <w:r>
        <w:rPr>
          <w:color w:val="333333"/>
          <w:w w:val="110"/>
        </w:rPr>
        <w:t xml:space="preserve">or </w:t>
      </w:r>
      <w:r>
        <w:rPr>
          <w:rFonts w:ascii="MS Gothic" w:hAnsi="MS Gothic"/>
          <w:color w:val="B02045"/>
          <w:w w:val="110"/>
        </w:rPr>
        <w:t xml:space="preserve">lazy </w:t>
      </w:r>
      <w:r>
        <w:rPr>
          <w:color w:val="333333"/>
          <w:spacing w:val="-3"/>
          <w:w w:val="110"/>
        </w:rPr>
        <w:t xml:space="preserve">respectively. </w:t>
      </w:r>
      <w:r>
        <w:rPr>
          <w:color w:val="333333"/>
          <w:w w:val="110"/>
        </w:rPr>
        <w:t xml:space="preserve">When using deferred or lazy bootstrapping, the auto- configured </w:t>
      </w:r>
      <w:r>
        <w:rPr>
          <w:rFonts w:ascii="MS Gothic" w:hAnsi="MS Gothic"/>
          <w:color w:val="B02045"/>
          <w:w w:val="110"/>
        </w:rPr>
        <w:t xml:space="preserve">EntityManagerFactoryBuilder </w:t>
      </w:r>
      <w:r>
        <w:rPr>
          <w:color w:val="333333"/>
          <w:w w:val="110"/>
        </w:rPr>
        <w:t xml:space="preserve">will use the context’s </w:t>
      </w:r>
      <w:r>
        <w:rPr>
          <w:rFonts w:ascii="MS Gothic" w:hAnsi="MS Gothic"/>
          <w:color w:val="B02045"/>
          <w:w w:val="110"/>
        </w:rPr>
        <w:t>AsyncTaskExecutor</w:t>
      </w:r>
      <w:r>
        <w:rPr>
          <w:color w:val="333333"/>
          <w:w w:val="110"/>
        </w:rPr>
        <w:t xml:space="preserve">, if </w:t>
      </w:r>
      <w:r>
        <w:rPr>
          <w:color w:val="333333"/>
          <w:spacing w:val="-7"/>
          <w:w w:val="110"/>
        </w:rPr>
        <w:t xml:space="preserve">any, </w:t>
      </w:r>
      <w:r>
        <w:rPr>
          <w:color w:val="333333"/>
          <w:w w:val="110"/>
        </w:rPr>
        <w:t xml:space="preserve">as the bootstrap executor. If more than one exists, the one named </w:t>
      </w:r>
      <w:r>
        <w:rPr>
          <w:rFonts w:ascii="MS Gothic" w:hAnsi="MS Gothic"/>
          <w:color w:val="B02045"/>
          <w:w w:val="110"/>
        </w:rPr>
        <w:t>applicationTaskExecutor</w:t>
      </w:r>
      <w:r>
        <w:rPr>
          <w:rFonts w:ascii="MS Gothic" w:hAnsi="MS Gothic"/>
          <w:color w:val="B02045"/>
          <w:spacing w:val="-71"/>
          <w:w w:val="110"/>
        </w:rPr>
        <w:t xml:space="preserve"> </w:t>
      </w:r>
      <w:r>
        <w:rPr>
          <w:color w:val="333333"/>
          <w:w w:val="110"/>
        </w:rPr>
        <w:t>will be used.</w:t>
      </w:r>
    </w:p>
    <w:p w14:paraId="2D1EEE85" w14:textId="77777777" w:rsidR="00A720EB" w:rsidRDefault="00A720EB">
      <w:pPr>
        <w:pStyle w:val="a3"/>
        <w:spacing w:before="8"/>
        <w:rPr>
          <w:sz w:val="27"/>
        </w:rPr>
      </w:pPr>
    </w:p>
    <w:p w14:paraId="16B1388A" w14:textId="77777777" w:rsidR="00A720EB" w:rsidRDefault="00E10349">
      <w:pPr>
        <w:pStyle w:val="a3"/>
        <w:spacing w:line="307" w:lineRule="auto"/>
        <w:ind w:left="1564" w:right="462"/>
      </w:pPr>
      <w:r>
        <w:pict w14:anchorId="4C37A326">
          <v:line id="_x0000_s4162" style="position:absolute;left:0;text-align:left;z-index:15969280;mso-position-horizontal-relative:page" from="108.25pt,-6pt" to="108.25pt,33.55pt" strokecolor="#ededed" strokeweight=".5pt">
            <w10:wrap anchorx="page"/>
          </v:line>
        </w:pict>
      </w:r>
      <w:r w:rsidR="0030286B">
        <w:rPr>
          <w:noProof/>
        </w:rPr>
        <w:drawing>
          <wp:anchor distT="0" distB="0" distL="0" distR="0" simplePos="0" relativeHeight="15969792" behindDoc="0" locked="0" layoutInCell="1" allowOverlap="1" wp14:anchorId="0D7AC6D8" wp14:editId="3A2AFE5F">
            <wp:simplePos x="0" y="0"/>
            <wp:positionH relativeFrom="page">
              <wp:posOffset>888949</wp:posOffset>
            </wp:positionH>
            <wp:positionV relativeFrom="paragraph">
              <wp:posOffset>22771</wp:posOffset>
            </wp:positionV>
            <wp:extent cx="209550" cy="304800"/>
            <wp:effectExtent l="0" t="0" r="0" b="0"/>
            <wp:wrapNone/>
            <wp:docPr id="30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3.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We have barely scratched the surface of Spring Data JPA. For complete details, see the </w:t>
      </w:r>
      <w:hyperlink r:id="rId201">
        <w:r w:rsidR="0030286B">
          <w:rPr>
            <w:color w:val="418BCA"/>
            <w:w w:val="110"/>
          </w:rPr>
          <w:t>Spring Data JPA reference documentation</w:t>
        </w:r>
      </w:hyperlink>
      <w:r w:rsidR="0030286B">
        <w:rPr>
          <w:color w:val="333333"/>
          <w:w w:val="110"/>
        </w:rPr>
        <w:t>.</w:t>
      </w:r>
    </w:p>
    <w:p w14:paraId="27D2BFE8" w14:textId="77777777" w:rsidR="00A720EB" w:rsidRDefault="00A720EB">
      <w:pPr>
        <w:pStyle w:val="a3"/>
        <w:spacing w:before="6"/>
        <w:rPr>
          <w:sz w:val="32"/>
        </w:rPr>
      </w:pPr>
    </w:p>
    <w:p w14:paraId="5B18DC7B" w14:textId="77777777" w:rsidR="00A720EB" w:rsidRDefault="0030286B">
      <w:pPr>
        <w:pStyle w:val="4"/>
      </w:pPr>
      <w:bookmarkStart w:id="322" w:name="Creating_and_Dropping_JPA_Databases"/>
      <w:bookmarkEnd w:id="322"/>
      <w:r>
        <w:rPr>
          <w:color w:val="333333"/>
          <w:w w:val="105"/>
        </w:rPr>
        <w:t>Creating and Dropping JPA Databases</w:t>
      </w:r>
    </w:p>
    <w:p w14:paraId="63CF332C" w14:textId="77777777" w:rsidR="00A720EB" w:rsidRDefault="0030286B">
      <w:pPr>
        <w:pStyle w:val="a3"/>
        <w:spacing w:before="233" w:line="278" w:lineRule="auto"/>
        <w:ind w:left="124" w:right="125"/>
        <w:jc w:val="both"/>
      </w:pPr>
      <w:r>
        <w:rPr>
          <w:color w:val="333333"/>
          <w:spacing w:val="-3"/>
          <w:w w:val="110"/>
        </w:rPr>
        <w:t xml:space="preserve">By </w:t>
      </w:r>
      <w:r>
        <w:rPr>
          <w:color w:val="333333"/>
          <w:w w:val="110"/>
        </w:rPr>
        <w:t xml:space="preserve">default, </w:t>
      </w:r>
      <w:r>
        <w:rPr>
          <w:color w:val="333333"/>
          <w:spacing w:val="-4"/>
          <w:w w:val="110"/>
        </w:rPr>
        <w:t xml:space="preserve">JPA </w:t>
      </w:r>
      <w:r>
        <w:rPr>
          <w:color w:val="333333"/>
          <w:w w:val="110"/>
        </w:rPr>
        <w:t xml:space="preserve">databases are automatically created </w:t>
      </w:r>
      <w:r>
        <w:rPr>
          <w:rFonts w:ascii="Palatino Linotype"/>
          <w:b/>
          <w:color w:val="333333"/>
          <w:w w:val="110"/>
        </w:rPr>
        <w:t xml:space="preserve">only </w:t>
      </w:r>
      <w:r>
        <w:rPr>
          <w:color w:val="333333"/>
          <w:w w:val="110"/>
        </w:rPr>
        <w:t>if you use an embedded database (H</w:t>
      </w:r>
      <w:proofErr w:type="gramStart"/>
      <w:r>
        <w:rPr>
          <w:color w:val="333333"/>
          <w:w w:val="110"/>
        </w:rPr>
        <w:t>2,  HSQL</w:t>
      </w:r>
      <w:proofErr w:type="gramEnd"/>
      <w:r>
        <w:rPr>
          <w:color w:val="333333"/>
          <w:w w:val="110"/>
        </w:rPr>
        <w:t xml:space="preserve">, or Derby). </w:t>
      </w:r>
      <w:r>
        <w:rPr>
          <w:color w:val="333333"/>
          <w:spacing w:val="-6"/>
          <w:w w:val="110"/>
        </w:rPr>
        <w:t xml:space="preserve">You </w:t>
      </w:r>
      <w:r>
        <w:rPr>
          <w:color w:val="333333"/>
          <w:w w:val="110"/>
        </w:rPr>
        <w:t xml:space="preserve">can explicitly configure </w:t>
      </w:r>
      <w:r>
        <w:rPr>
          <w:color w:val="333333"/>
          <w:spacing w:val="-4"/>
          <w:w w:val="110"/>
        </w:rPr>
        <w:t xml:space="preserve">JPA </w:t>
      </w:r>
      <w:r>
        <w:rPr>
          <w:color w:val="333333"/>
          <w:w w:val="110"/>
        </w:rPr>
        <w:t xml:space="preserve">settings </w:t>
      </w:r>
      <w:r>
        <w:rPr>
          <w:color w:val="333333"/>
          <w:spacing w:val="-3"/>
          <w:w w:val="110"/>
        </w:rPr>
        <w:t xml:space="preserve">by </w:t>
      </w:r>
      <w:r>
        <w:rPr>
          <w:color w:val="333333"/>
          <w:w w:val="110"/>
        </w:rPr>
        <w:t xml:space="preserve">using </w:t>
      </w:r>
      <w:proofErr w:type="gramStart"/>
      <w:r>
        <w:rPr>
          <w:rFonts w:ascii="MS Gothic"/>
          <w:color w:val="B02045"/>
          <w:w w:val="110"/>
        </w:rPr>
        <w:t>spring.jpa.*</w:t>
      </w:r>
      <w:proofErr w:type="gramEnd"/>
      <w:r>
        <w:rPr>
          <w:rFonts w:ascii="MS Gothic"/>
          <w:color w:val="B02045"/>
          <w:w w:val="110"/>
        </w:rPr>
        <w:t xml:space="preserve"> </w:t>
      </w:r>
      <w:r>
        <w:rPr>
          <w:color w:val="333333"/>
          <w:w w:val="110"/>
        </w:rPr>
        <w:t xml:space="preserve">properties. </w:t>
      </w:r>
      <w:r>
        <w:rPr>
          <w:color w:val="333333"/>
          <w:spacing w:val="-4"/>
          <w:w w:val="110"/>
        </w:rPr>
        <w:t xml:space="preserve">For </w:t>
      </w:r>
      <w:r>
        <w:rPr>
          <w:color w:val="333333"/>
          <w:w w:val="110"/>
        </w:rPr>
        <w:t>example,</w:t>
      </w:r>
      <w:r>
        <w:rPr>
          <w:color w:val="333333"/>
          <w:spacing w:val="-6"/>
          <w:w w:val="110"/>
        </w:rPr>
        <w:t xml:space="preserve"> </w:t>
      </w:r>
      <w:r>
        <w:rPr>
          <w:color w:val="333333"/>
          <w:w w:val="110"/>
        </w:rPr>
        <w:t>to</w:t>
      </w:r>
      <w:r>
        <w:rPr>
          <w:color w:val="333333"/>
          <w:spacing w:val="-5"/>
          <w:w w:val="110"/>
        </w:rPr>
        <w:t xml:space="preserve"> </w:t>
      </w:r>
      <w:r>
        <w:rPr>
          <w:color w:val="333333"/>
          <w:w w:val="110"/>
        </w:rPr>
        <w:t>create</w:t>
      </w:r>
      <w:r>
        <w:rPr>
          <w:color w:val="333333"/>
          <w:spacing w:val="-5"/>
          <w:w w:val="110"/>
        </w:rPr>
        <w:t xml:space="preserve"> </w:t>
      </w:r>
      <w:r>
        <w:rPr>
          <w:color w:val="333333"/>
          <w:w w:val="110"/>
        </w:rPr>
        <w:t>and</w:t>
      </w:r>
      <w:r>
        <w:rPr>
          <w:color w:val="333333"/>
          <w:spacing w:val="-6"/>
          <w:w w:val="110"/>
        </w:rPr>
        <w:t xml:space="preserve"> </w:t>
      </w:r>
      <w:r>
        <w:rPr>
          <w:color w:val="333333"/>
          <w:w w:val="110"/>
        </w:rPr>
        <w:t>drop</w:t>
      </w:r>
      <w:r>
        <w:rPr>
          <w:color w:val="333333"/>
          <w:spacing w:val="-6"/>
          <w:w w:val="110"/>
        </w:rPr>
        <w:t xml:space="preserve"> </w:t>
      </w:r>
      <w:r>
        <w:rPr>
          <w:color w:val="333333"/>
          <w:w w:val="110"/>
        </w:rPr>
        <w:t>tables</w:t>
      </w:r>
      <w:r>
        <w:rPr>
          <w:color w:val="333333"/>
          <w:spacing w:val="-5"/>
          <w:w w:val="110"/>
        </w:rPr>
        <w:t xml:space="preserve"> </w:t>
      </w:r>
      <w:r>
        <w:rPr>
          <w:color w:val="333333"/>
          <w:w w:val="110"/>
        </w:rPr>
        <w:t>you</w:t>
      </w:r>
      <w:r>
        <w:rPr>
          <w:color w:val="333333"/>
          <w:spacing w:val="-7"/>
          <w:w w:val="110"/>
        </w:rPr>
        <w:t xml:space="preserve"> </w:t>
      </w:r>
      <w:r>
        <w:rPr>
          <w:color w:val="333333"/>
          <w:w w:val="110"/>
        </w:rPr>
        <w:t>can</w:t>
      </w:r>
      <w:r>
        <w:rPr>
          <w:color w:val="333333"/>
          <w:spacing w:val="-5"/>
          <w:w w:val="110"/>
        </w:rPr>
        <w:t xml:space="preserve"> </w:t>
      </w:r>
      <w:r>
        <w:rPr>
          <w:color w:val="333333"/>
          <w:w w:val="110"/>
        </w:rPr>
        <w:t>add</w:t>
      </w:r>
      <w:r>
        <w:rPr>
          <w:color w:val="333333"/>
          <w:spacing w:val="-6"/>
          <w:w w:val="110"/>
        </w:rPr>
        <w:t xml:space="preserve"> </w:t>
      </w:r>
      <w:r>
        <w:rPr>
          <w:color w:val="333333"/>
          <w:w w:val="110"/>
        </w:rPr>
        <w:t>the</w:t>
      </w:r>
      <w:r>
        <w:rPr>
          <w:color w:val="333333"/>
          <w:spacing w:val="-5"/>
          <w:w w:val="110"/>
        </w:rPr>
        <w:t xml:space="preserve"> </w:t>
      </w:r>
      <w:r>
        <w:rPr>
          <w:color w:val="333333"/>
          <w:w w:val="110"/>
        </w:rPr>
        <w:t>following</w:t>
      </w:r>
      <w:r>
        <w:rPr>
          <w:color w:val="333333"/>
          <w:spacing w:val="-5"/>
          <w:w w:val="110"/>
        </w:rPr>
        <w:t xml:space="preserve"> </w:t>
      </w:r>
      <w:r>
        <w:rPr>
          <w:color w:val="333333"/>
          <w:w w:val="110"/>
        </w:rPr>
        <w:t>line</w:t>
      </w:r>
      <w:r>
        <w:rPr>
          <w:color w:val="333333"/>
          <w:spacing w:val="-5"/>
          <w:w w:val="110"/>
        </w:rPr>
        <w:t xml:space="preserve"> </w:t>
      </w:r>
      <w:r>
        <w:rPr>
          <w:color w:val="333333"/>
          <w:w w:val="110"/>
        </w:rPr>
        <w:t>to</w:t>
      </w:r>
      <w:r>
        <w:rPr>
          <w:color w:val="333333"/>
          <w:spacing w:val="-6"/>
          <w:w w:val="110"/>
        </w:rPr>
        <w:t xml:space="preserve"> </w:t>
      </w:r>
      <w:r>
        <w:rPr>
          <w:color w:val="333333"/>
          <w:w w:val="110"/>
        </w:rPr>
        <w:t>your</w:t>
      </w:r>
      <w:r>
        <w:rPr>
          <w:color w:val="333333"/>
          <w:spacing w:val="-2"/>
          <w:w w:val="110"/>
        </w:rPr>
        <w:t xml:space="preserve"> </w:t>
      </w:r>
      <w:proofErr w:type="gramStart"/>
      <w:r>
        <w:rPr>
          <w:rFonts w:ascii="MS Gothic"/>
          <w:color w:val="B02045"/>
          <w:w w:val="110"/>
        </w:rPr>
        <w:t>application.properties</w:t>
      </w:r>
      <w:proofErr w:type="gramEnd"/>
      <w:r>
        <w:rPr>
          <w:color w:val="333333"/>
          <w:w w:val="110"/>
        </w:rPr>
        <w:t>:</w:t>
      </w:r>
    </w:p>
    <w:p w14:paraId="1EEB0CAF" w14:textId="77777777" w:rsidR="00A720EB" w:rsidRDefault="00E10349">
      <w:pPr>
        <w:pStyle w:val="a3"/>
        <w:spacing w:before="4"/>
        <w:rPr>
          <w:sz w:val="14"/>
        </w:rPr>
      </w:pPr>
      <w:r>
        <w:pict w14:anchorId="1E6D5B4E">
          <v:group id="_x0000_s4158" style="position:absolute;margin-left:47.85pt;margin-top:10.4pt;width:499.55pt;height:37.5pt;z-index:-15488512;mso-wrap-distance-left:0;mso-wrap-distance-right:0;mso-position-horizontal-relative:page" coordorigin="957,208" coordsize="9991,750">
            <v:shape id="_x0000_s4161" style="position:absolute;left:964;top:215;width:9976;height:735" coordorigin="965,215" coordsize="9976,735" path="m10861,215r-9816,l1014,221r-26,18l971,264r-6,31l965,870r6,31l988,926r26,18l1045,950r9816,l10892,944r25,-18l10935,901r6,-31l10941,295r-6,-31l10917,239r-25,-18l10861,215xe" fillcolor="#f5f5f5" stroked="f">
              <v:path arrowok="t"/>
            </v:shape>
            <v:shape id="_x0000_s4160" style="position:absolute;left:964;top:215;width:9976;height:735" coordorigin="965,215" coordsize="9976,735" path="m1045,215r9816,l10892,221r25,18l10935,264r6,31l10941,870r-6,31l10917,926r-25,18l10861,950r-9816,l1014,944,988,926,971,901r-6,-31l965,295r6,-31l988,239r26,-18l1045,215xe" filled="f" strokecolor="#ccc">
              <v:path arrowok="t"/>
            </v:shape>
            <v:shape id="_x0000_s4159" type="#_x0000_t202" style="position:absolute;left:984;top:230;width:9938;height:704" filled="f" stroked="f">
              <v:textbox inset="0,0,0,0">
                <w:txbxContent>
                  <w:p w14:paraId="4EC07069" w14:textId="77777777" w:rsidR="00711A16" w:rsidRDefault="00711A16">
                    <w:pPr>
                      <w:spacing w:before="221"/>
                      <w:ind w:left="200"/>
                      <w:rPr>
                        <w:rFonts w:ascii="MS Gothic"/>
                      </w:rPr>
                    </w:pPr>
                    <w:r>
                      <w:rPr>
                        <w:rFonts w:ascii="MS Gothic"/>
                        <w:color w:val="333333"/>
                      </w:rPr>
                      <w:t>spring.jpa.hibernate.ddl-auto=create-drop</w:t>
                    </w:r>
                  </w:p>
                </w:txbxContent>
              </v:textbox>
            </v:shape>
            <w10:wrap type="topAndBottom" anchorx="page"/>
          </v:group>
        </w:pict>
      </w:r>
    </w:p>
    <w:p w14:paraId="3A52460E" w14:textId="77777777" w:rsidR="00A720EB" w:rsidRDefault="00A720EB">
      <w:pPr>
        <w:rPr>
          <w:sz w:val="14"/>
        </w:rPr>
        <w:sectPr w:rsidR="00A720EB">
          <w:pgSz w:w="11910" w:h="16840"/>
          <w:pgMar w:top="620" w:right="840" w:bottom="520" w:left="840" w:header="0" w:footer="323" w:gutter="0"/>
          <w:cols w:space="720"/>
        </w:sectPr>
      </w:pPr>
    </w:p>
    <w:p w14:paraId="01564E92" w14:textId="77777777" w:rsidR="00A720EB" w:rsidRDefault="00E10349">
      <w:pPr>
        <w:pStyle w:val="a3"/>
        <w:spacing w:before="122" w:line="295" w:lineRule="auto"/>
        <w:ind w:left="1564" w:right="366"/>
        <w:jc w:val="both"/>
      </w:pPr>
      <w:r>
        <w:lastRenderedPageBreak/>
        <w:pict w14:anchorId="64547C2D">
          <v:line id="_x0000_s4157" style="position:absolute;left:0;text-align:left;z-index:15970816;mso-position-horizontal-relative:page" from="108.25pt,.1pt" to="108.25pt,87pt" strokecolor="#ededed" strokeweight=".5pt">
            <w10:wrap anchorx="page"/>
          </v:line>
        </w:pict>
      </w:r>
      <w:r w:rsidR="0030286B">
        <w:rPr>
          <w:noProof/>
        </w:rPr>
        <w:drawing>
          <wp:anchor distT="0" distB="0" distL="0" distR="0" simplePos="0" relativeHeight="15971328" behindDoc="0" locked="0" layoutInCell="1" allowOverlap="1" wp14:anchorId="182CB712" wp14:editId="0677F686">
            <wp:simplePos x="0" y="0"/>
            <wp:positionH relativeFrom="page">
              <wp:posOffset>844422</wp:posOffset>
            </wp:positionH>
            <wp:positionV relativeFrom="paragraph">
              <wp:posOffset>404026</wp:posOffset>
            </wp:positionV>
            <wp:extent cx="298450" cy="298450"/>
            <wp:effectExtent l="0" t="0" r="0" b="0"/>
            <wp:wrapNone/>
            <wp:docPr id="3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Hibernate’s own internal property name for this (if you happen to remember it better)</w:t>
      </w:r>
      <w:r w:rsidR="0030286B">
        <w:rPr>
          <w:color w:val="333333"/>
          <w:spacing w:val="-5"/>
          <w:w w:val="110"/>
        </w:rPr>
        <w:t xml:space="preserve"> </w:t>
      </w:r>
      <w:r w:rsidR="0030286B">
        <w:rPr>
          <w:color w:val="333333"/>
          <w:w w:val="110"/>
        </w:rPr>
        <w:t>is</w:t>
      </w:r>
      <w:r w:rsidR="0030286B">
        <w:rPr>
          <w:color w:val="333333"/>
          <w:spacing w:val="-3"/>
          <w:w w:val="110"/>
        </w:rPr>
        <w:t xml:space="preserve"> </w:t>
      </w:r>
      <w:proofErr w:type="gramStart"/>
      <w:r w:rsidR="0030286B">
        <w:rPr>
          <w:rFonts w:ascii="MS Gothic" w:hAnsi="MS Gothic"/>
          <w:color w:val="B02045"/>
          <w:w w:val="110"/>
        </w:rPr>
        <w:t>hibernate.hbm2ddl.auto</w:t>
      </w:r>
      <w:proofErr w:type="gramEnd"/>
      <w:r w:rsidR="0030286B">
        <w:rPr>
          <w:color w:val="333333"/>
          <w:w w:val="110"/>
        </w:rPr>
        <w:t>.</w:t>
      </w:r>
      <w:r w:rsidR="0030286B">
        <w:rPr>
          <w:color w:val="333333"/>
          <w:spacing w:val="-4"/>
          <w:w w:val="110"/>
        </w:rPr>
        <w:t xml:space="preserve"> </w:t>
      </w:r>
      <w:r w:rsidR="0030286B">
        <w:rPr>
          <w:color w:val="333333"/>
          <w:spacing w:val="-6"/>
          <w:w w:val="110"/>
        </w:rPr>
        <w:t>You</w:t>
      </w:r>
      <w:r w:rsidR="0030286B">
        <w:rPr>
          <w:color w:val="333333"/>
          <w:spacing w:val="-4"/>
          <w:w w:val="110"/>
        </w:rPr>
        <w:t xml:space="preserve"> </w:t>
      </w:r>
      <w:r w:rsidR="0030286B">
        <w:rPr>
          <w:color w:val="333333"/>
          <w:w w:val="110"/>
        </w:rPr>
        <w:t>can</w:t>
      </w:r>
      <w:r w:rsidR="0030286B">
        <w:rPr>
          <w:color w:val="333333"/>
          <w:spacing w:val="-5"/>
          <w:w w:val="110"/>
        </w:rPr>
        <w:t xml:space="preserve"> </w:t>
      </w:r>
      <w:r w:rsidR="0030286B">
        <w:rPr>
          <w:color w:val="333333"/>
          <w:w w:val="110"/>
        </w:rPr>
        <w:t>set</w:t>
      </w:r>
      <w:r w:rsidR="0030286B">
        <w:rPr>
          <w:color w:val="333333"/>
          <w:spacing w:val="-4"/>
          <w:w w:val="110"/>
        </w:rPr>
        <w:t xml:space="preserve"> </w:t>
      </w:r>
      <w:r w:rsidR="0030286B">
        <w:rPr>
          <w:color w:val="333333"/>
          <w:w w:val="110"/>
        </w:rPr>
        <w:t>it,</w:t>
      </w:r>
      <w:r w:rsidR="0030286B">
        <w:rPr>
          <w:color w:val="333333"/>
          <w:spacing w:val="-5"/>
          <w:w w:val="110"/>
        </w:rPr>
        <w:t xml:space="preserve"> </w:t>
      </w:r>
      <w:r w:rsidR="0030286B">
        <w:rPr>
          <w:color w:val="333333"/>
          <w:w w:val="110"/>
        </w:rPr>
        <w:t>along</w:t>
      </w:r>
      <w:r w:rsidR="0030286B">
        <w:rPr>
          <w:color w:val="333333"/>
          <w:spacing w:val="-5"/>
          <w:w w:val="110"/>
        </w:rPr>
        <w:t xml:space="preserve"> </w:t>
      </w:r>
      <w:r w:rsidR="0030286B">
        <w:rPr>
          <w:color w:val="333333"/>
          <w:w w:val="110"/>
        </w:rPr>
        <w:t>with</w:t>
      </w:r>
      <w:r w:rsidR="0030286B">
        <w:rPr>
          <w:color w:val="333333"/>
          <w:spacing w:val="-4"/>
          <w:w w:val="110"/>
        </w:rPr>
        <w:t xml:space="preserve"> </w:t>
      </w:r>
      <w:r w:rsidR="0030286B">
        <w:rPr>
          <w:color w:val="333333"/>
          <w:w w:val="110"/>
        </w:rPr>
        <w:t>other</w:t>
      </w:r>
      <w:r w:rsidR="0030286B">
        <w:rPr>
          <w:color w:val="333333"/>
          <w:spacing w:val="-5"/>
          <w:w w:val="110"/>
        </w:rPr>
        <w:t xml:space="preserve"> </w:t>
      </w:r>
      <w:r w:rsidR="0030286B">
        <w:rPr>
          <w:color w:val="333333"/>
          <w:w w:val="110"/>
        </w:rPr>
        <w:t>Hibernate</w:t>
      </w:r>
      <w:r w:rsidR="0030286B">
        <w:rPr>
          <w:color w:val="333333"/>
          <w:spacing w:val="-4"/>
          <w:w w:val="110"/>
        </w:rPr>
        <w:t xml:space="preserve"> </w:t>
      </w:r>
      <w:r w:rsidR="0030286B">
        <w:rPr>
          <w:color w:val="333333"/>
          <w:w w:val="110"/>
        </w:rPr>
        <w:t xml:space="preserve">native properties, </w:t>
      </w:r>
      <w:r w:rsidR="0030286B">
        <w:rPr>
          <w:color w:val="333333"/>
          <w:spacing w:val="-3"/>
          <w:w w:val="110"/>
        </w:rPr>
        <w:t xml:space="preserve">by </w:t>
      </w:r>
      <w:r w:rsidR="0030286B">
        <w:rPr>
          <w:color w:val="333333"/>
          <w:w w:val="110"/>
        </w:rPr>
        <w:t xml:space="preserve">using </w:t>
      </w:r>
      <w:proofErr w:type="gramStart"/>
      <w:r w:rsidR="0030286B">
        <w:rPr>
          <w:rFonts w:ascii="MS Gothic" w:hAnsi="MS Gothic"/>
          <w:color w:val="B02045"/>
          <w:w w:val="110"/>
        </w:rPr>
        <w:t>spring.jpa.properties</w:t>
      </w:r>
      <w:proofErr w:type="gramEnd"/>
      <w:r w:rsidR="0030286B">
        <w:rPr>
          <w:rFonts w:ascii="MS Gothic" w:hAnsi="MS Gothic"/>
          <w:color w:val="B02045"/>
          <w:w w:val="110"/>
        </w:rPr>
        <w:t>.*</w:t>
      </w:r>
      <w:r w:rsidR="0030286B">
        <w:rPr>
          <w:rFonts w:ascii="MS Gothic" w:hAnsi="MS Gothic"/>
          <w:color w:val="B02045"/>
          <w:spacing w:val="-67"/>
          <w:w w:val="110"/>
        </w:rPr>
        <w:t xml:space="preserve"> </w:t>
      </w:r>
      <w:r w:rsidR="0030286B">
        <w:rPr>
          <w:color w:val="333333"/>
          <w:w w:val="110"/>
        </w:rPr>
        <w:t xml:space="preserve">(the prefix is stripped before adding them to the entity manager). The following line shows an example of setting </w:t>
      </w:r>
      <w:r w:rsidR="0030286B">
        <w:rPr>
          <w:color w:val="333333"/>
          <w:spacing w:val="-4"/>
          <w:w w:val="110"/>
        </w:rPr>
        <w:t xml:space="preserve">JPA </w:t>
      </w:r>
      <w:r w:rsidR="0030286B">
        <w:rPr>
          <w:color w:val="333333"/>
          <w:w w:val="110"/>
        </w:rPr>
        <w:t>properties for</w:t>
      </w:r>
      <w:r w:rsidR="0030286B">
        <w:rPr>
          <w:color w:val="333333"/>
          <w:spacing w:val="5"/>
          <w:w w:val="110"/>
        </w:rPr>
        <w:t xml:space="preserve"> </w:t>
      </w:r>
      <w:r w:rsidR="0030286B">
        <w:rPr>
          <w:color w:val="333333"/>
          <w:w w:val="110"/>
        </w:rPr>
        <w:t>Hibernate:</w:t>
      </w:r>
    </w:p>
    <w:p w14:paraId="6710F574" w14:textId="77777777" w:rsidR="00A720EB" w:rsidRDefault="00E10349">
      <w:pPr>
        <w:pStyle w:val="a3"/>
        <w:spacing w:before="6"/>
        <w:rPr>
          <w:sz w:val="20"/>
        </w:rPr>
      </w:pPr>
      <w:r>
        <w:pict w14:anchorId="43392302">
          <v:group id="_x0000_s4153" style="position:absolute;margin-left:47.85pt;margin-top:14pt;width:499.55pt;height:37.5pt;z-index:-15486976;mso-wrap-distance-left:0;mso-wrap-distance-right:0;mso-position-horizontal-relative:page" coordorigin="957,280" coordsize="9991,750">
            <v:shape id="_x0000_s4156" style="position:absolute;left:964;top:287;width:9976;height:735" coordorigin="965,288" coordsize="9976,735" path="m10861,288r-9816,l1014,294r-26,17l971,337r-6,31l965,943r6,31l988,999r26,17l1045,1023r9816,l10892,1016r25,-17l10935,974r6,-31l10941,368r-6,-31l10917,311r-25,-17l10861,288xe" fillcolor="#f5f5f5" stroked="f">
              <v:path arrowok="t"/>
            </v:shape>
            <v:shape id="_x0000_s4155" style="position:absolute;left:964;top:287;width:9976;height:735" coordorigin="965,288" coordsize="9976,735" path="m1045,288r9816,l10892,294r25,17l10935,337r6,31l10941,943r-6,31l10917,999r-25,17l10861,1023r-9816,l1014,1016,988,999,971,974r-6,-31l965,368r6,-31l988,311r26,-17l1045,288xe" filled="f" strokecolor="#ccc">
              <v:path arrowok="t"/>
            </v:shape>
            <v:shape id="_x0000_s4154" type="#_x0000_t202" style="position:absolute;left:984;top:303;width:9938;height:704" filled="f" stroked="f">
              <v:textbox inset="0,0,0,0">
                <w:txbxContent>
                  <w:p w14:paraId="2A63A741" w14:textId="77777777" w:rsidR="00711A16" w:rsidRDefault="00711A16">
                    <w:pPr>
                      <w:spacing w:before="221"/>
                      <w:ind w:left="200"/>
                      <w:rPr>
                        <w:rFonts w:ascii="MS Gothic"/>
                      </w:rPr>
                    </w:pPr>
                    <w:proofErr w:type="gramStart"/>
                    <w:r>
                      <w:rPr>
                        <w:rFonts w:ascii="MS Gothic"/>
                        <w:color w:val="333333"/>
                      </w:rPr>
                      <w:t>spring.jpa.properties</w:t>
                    </w:r>
                    <w:proofErr w:type="gramEnd"/>
                    <w:r>
                      <w:rPr>
                        <w:rFonts w:ascii="MS Gothic"/>
                        <w:color w:val="333333"/>
                      </w:rPr>
                      <w:t>.hibernate.globally_quoted_identifiers=true</w:t>
                    </w:r>
                  </w:p>
                </w:txbxContent>
              </v:textbox>
            </v:shape>
            <w10:wrap type="topAndBottom" anchorx="page"/>
          </v:group>
        </w:pict>
      </w:r>
    </w:p>
    <w:p w14:paraId="10A548BF" w14:textId="77777777" w:rsidR="00A720EB" w:rsidRDefault="00A720EB">
      <w:pPr>
        <w:pStyle w:val="a3"/>
        <w:spacing w:before="11"/>
        <w:rPr>
          <w:sz w:val="9"/>
        </w:rPr>
      </w:pPr>
    </w:p>
    <w:p w14:paraId="2FE49204" w14:textId="77777777" w:rsidR="00A720EB" w:rsidRDefault="0030286B">
      <w:pPr>
        <w:pStyle w:val="a3"/>
        <w:spacing w:before="115"/>
        <w:ind w:left="124"/>
        <w:jc w:val="both"/>
      </w:pPr>
      <w:proofErr w:type="gramStart"/>
      <w:r>
        <w:rPr>
          <w:color w:val="333333"/>
          <w:w w:val="110"/>
        </w:rPr>
        <w:t>The  line</w:t>
      </w:r>
      <w:proofErr w:type="gramEnd"/>
      <w:r>
        <w:rPr>
          <w:color w:val="333333"/>
          <w:w w:val="110"/>
        </w:rPr>
        <w:t xml:space="preserve">  in  the  preceding  example  passes  a  value  of  </w:t>
      </w:r>
      <w:r>
        <w:rPr>
          <w:rFonts w:ascii="MS Gothic"/>
          <w:color w:val="B02045"/>
          <w:w w:val="110"/>
        </w:rPr>
        <w:t xml:space="preserve">true </w:t>
      </w:r>
      <w:r>
        <w:rPr>
          <w:color w:val="333333"/>
          <w:w w:val="110"/>
        </w:rPr>
        <w:t>for  the</w:t>
      </w:r>
    </w:p>
    <w:p w14:paraId="6EC279FE" w14:textId="77777777" w:rsidR="00A720EB" w:rsidRDefault="0030286B">
      <w:pPr>
        <w:pStyle w:val="a3"/>
        <w:spacing w:before="47"/>
        <w:ind w:left="124"/>
        <w:jc w:val="both"/>
      </w:pPr>
      <w:proofErr w:type="gramStart"/>
      <w:r>
        <w:rPr>
          <w:rFonts w:ascii="MS Gothic"/>
          <w:color w:val="B02045"/>
          <w:w w:val="110"/>
        </w:rPr>
        <w:t>hibernate.globally</w:t>
      </w:r>
      <w:proofErr w:type="gramEnd"/>
      <w:r>
        <w:rPr>
          <w:rFonts w:ascii="MS Gothic"/>
          <w:color w:val="B02045"/>
          <w:w w:val="110"/>
        </w:rPr>
        <w:t>_quoted_identifiers</w:t>
      </w:r>
      <w:r>
        <w:rPr>
          <w:rFonts w:ascii="MS Gothic"/>
          <w:color w:val="B02045"/>
          <w:spacing w:val="-98"/>
          <w:w w:val="110"/>
        </w:rPr>
        <w:t xml:space="preserve"> </w:t>
      </w:r>
      <w:r>
        <w:rPr>
          <w:color w:val="333333"/>
          <w:w w:val="110"/>
        </w:rPr>
        <w:t>property to the Hibernate entity manager.</w:t>
      </w:r>
    </w:p>
    <w:p w14:paraId="35CEFD9C" w14:textId="77777777" w:rsidR="00A720EB" w:rsidRDefault="00A720EB">
      <w:pPr>
        <w:pStyle w:val="a3"/>
        <w:spacing w:before="5"/>
        <w:rPr>
          <w:sz w:val="24"/>
        </w:rPr>
      </w:pPr>
    </w:p>
    <w:p w14:paraId="60E418B8" w14:textId="77777777" w:rsidR="00A720EB" w:rsidRDefault="0030286B">
      <w:pPr>
        <w:pStyle w:val="a3"/>
        <w:spacing w:line="280" w:lineRule="auto"/>
        <w:ind w:left="124" w:right="123"/>
        <w:jc w:val="both"/>
      </w:pPr>
      <w:r>
        <w:rPr>
          <w:color w:val="333333"/>
          <w:w w:val="110"/>
        </w:rPr>
        <w:t xml:space="preserve">By default, the DDL execution (or validation) is deferred until the </w:t>
      </w:r>
      <w:r>
        <w:rPr>
          <w:rFonts w:ascii="MS Gothic"/>
          <w:color w:val="B02045"/>
          <w:w w:val="110"/>
        </w:rPr>
        <w:t xml:space="preserve">ApplicationContext </w:t>
      </w:r>
      <w:r>
        <w:rPr>
          <w:color w:val="333333"/>
          <w:w w:val="110"/>
        </w:rPr>
        <w:t xml:space="preserve">has started. There is also a </w:t>
      </w:r>
      <w:proofErr w:type="gramStart"/>
      <w:r>
        <w:rPr>
          <w:rFonts w:ascii="MS Gothic"/>
          <w:color w:val="B02045"/>
          <w:w w:val="110"/>
        </w:rPr>
        <w:t>spring.jpa.generate</w:t>
      </w:r>
      <w:proofErr w:type="gramEnd"/>
      <w:r>
        <w:rPr>
          <w:rFonts w:ascii="MS Gothic"/>
          <w:color w:val="B02045"/>
          <w:w w:val="110"/>
        </w:rPr>
        <w:t xml:space="preserve">-ddl </w:t>
      </w:r>
      <w:r>
        <w:rPr>
          <w:color w:val="333333"/>
          <w:w w:val="110"/>
        </w:rPr>
        <w:t xml:space="preserve">flag, but it is not used if Hibernate auto-configuration is active, because the </w:t>
      </w:r>
      <w:r>
        <w:rPr>
          <w:rFonts w:ascii="MS Gothic"/>
          <w:color w:val="B02045"/>
          <w:w w:val="110"/>
        </w:rPr>
        <w:t xml:space="preserve">ddl-auto </w:t>
      </w:r>
      <w:r>
        <w:rPr>
          <w:color w:val="333333"/>
          <w:w w:val="110"/>
        </w:rPr>
        <w:t>settings are more fine-grained.</w:t>
      </w:r>
    </w:p>
    <w:p w14:paraId="29953CE3" w14:textId="77777777" w:rsidR="00A720EB" w:rsidRDefault="00A720EB">
      <w:pPr>
        <w:pStyle w:val="a3"/>
        <w:spacing w:before="8"/>
        <w:rPr>
          <w:sz w:val="26"/>
        </w:rPr>
      </w:pPr>
    </w:p>
    <w:p w14:paraId="5D4D9579" w14:textId="77777777" w:rsidR="00A720EB" w:rsidRDefault="0030286B">
      <w:pPr>
        <w:pStyle w:val="4"/>
      </w:pPr>
      <w:bookmarkStart w:id="323" w:name="Open_EntityManager_in_View"/>
      <w:bookmarkEnd w:id="323"/>
      <w:r>
        <w:rPr>
          <w:color w:val="333333"/>
          <w:w w:val="105"/>
        </w:rPr>
        <w:t>Open EntityManager in View</w:t>
      </w:r>
    </w:p>
    <w:p w14:paraId="046C27F7" w14:textId="77777777" w:rsidR="00A720EB" w:rsidRDefault="00A720EB">
      <w:pPr>
        <w:pStyle w:val="a3"/>
        <w:spacing w:before="11"/>
        <w:rPr>
          <w:rFonts w:ascii="Palatino Linotype"/>
          <w:b/>
          <w:sz w:val="18"/>
        </w:rPr>
      </w:pPr>
    </w:p>
    <w:p w14:paraId="4445DC83" w14:textId="77777777" w:rsidR="00A720EB" w:rsidRDefault="0030286B">
      <w:pPr>
        <w:pStyle w:val="a3"/>
        <w:spacing w:before="1" w:line="288" w:lineRule="auto"/>
        <w:ind w:left="124" w:right="122"/>
        <w:jc w:val="both"/>
      </w:pPr>
      <w:r>
        <w:rPr>
          <w:color w:val="333333"/>
          <w:w w:val="110"/>
        </w:rPr>
        <w:t xml:space="preserve">If you are running a web application, Spring Boot </w:t>
      </w:r>
      <w:r>
        <w:rPr>
          <w:color w:val="333333"/>
          <w:spacing w:val="-3"/>
          <w:w w:val="110"/>
        </w:rPr>
        <w:t xml:space="preserve">by </w:t>
      </w:r>
      <w:r>
        <w:rPr>
          <w:color w:val="333333"/>
          <w:w w:val="110"/>
        </w:rPr>
        <w:t xml:space="preserve">default registers  </w:t>
      </w:r>
      <w:hyperlink r:id="rId202">
        <w:r>
          <w:rPr>
            <w:rFonts w:ascii="MS Gothic" w:hAnsi="MS Gothic"/>
            <w:color w:val="B02045"/>
            <w:w w:val="110"/>
          </w:rPr>
          <w:t xml:space="preserve">OpenEntityManagerInViewInterceptor </w:t>
        </w:r>
      </w:hyperlink>
      <w:r>
        <w:rPr>
          <w:color w:val="333333"/>
          <w:w w:val="110"/>
        </w:rPr>
        <w:t xml:space="preserve">to apply the “Open EntityManager in View” pattern, to allow for lazy loading in web views. If you do not want this behavior, you should set </w:t>
      </w:r>
      <w:proofErr w:type="gramStart"/>
      <w:r>
        <w:rPr>
          <w:rFonts w:ascii="MS Gothic" w:hAnsi="MS Gothic"/>
          <w:color w:val="B02045"/>
          <w:w w:val="110"/>
        </w:rPr>
        <w:t>spring.jpa.open</w:t>
      </w:r>
      <w:proofErr w:type="gramEnd"/>
      <w:r>
        <w:rPr>
          <w:rFonts w:ascii="MS Gothic" w:hAnsi="MS Gothic"/>
          <w:color w:val="B02045"/>
          <w:w w:val="110"/>
        </w:rPr>
        <w:t>-in- view</w:t>
      </w:r>
      <w:r>
        <w:rPr>
          <w:rFonts w:ascii="MS Gothic" w:hAnsi="MS Gothic"/>
          <w:color w:val="B02045"/>
          <w:spacing w:val="-65"/>
          <w:w w:val="110"/>
        </w:rPr>
        <w:t xml:space="preserve"> </w:t>
      </w:r>
      <w:r>
        <w:rPr>
          <w:color w:val="333333"/>
          <w:w w:val="110"/>
        </w:rPr>
        <w:t xml:space="preserve">to </w:t>
      </w:r>
      <w:r>
        <w:rPr>
          <w:rFonts w:ascii="MS Gothic" w:hAnsi="MS Gothic"/>
          <w:color w:val="B02045"/>
          <w:w w:val="110"/>
        </w:rPr>
        <w:t>false</w:t>
      </w:r>
      <w:r>
        <w:rPr>
          <w:rFonts w:ascii="MS Gothic" w:hAnsi="MS Gothic"/>
          <w:color w:val="B02045"/>
          <w:spacing w:val="-65"/>
          <w:w w:val="110"/>
        </w:rPr>
        <w:t xml:space="preserve"> </w:t>
      </w:r>
      <w:r>
        <w:rPr>
          <w:color w:val="333333"/>
          <w:w w:val="110"/>
        </w:rPr>
        <w:t xml:space="preserve">in your </w:t>
      </w:r>
      <w:r>
        <w:rPr>
          <w:rFonts w:ascii="MS Gothic" w:hAnsi="MS Gothic"/>
          <w:color w:val="B02045"/>
          <w:w w:val="110"/>
        </w:rPr>
        <w:t>application.properties</w:t>
      </w:r>
      <w:r>
        <w:rPr>
          <w:color w:val="333333"/>
          <w:w w:val="110"/>
        </w:rPr>
        <w:t>.</w:t>
      </w:r>
    </w:p>
    <w:p w14:paraId="472966C1" w14:textId="77777777" w:rsidR="00A720EB" w:rsidRDefault="00A720EB">
      <w:pPr>
        <w:pStyle w:val="a3"/>
        <w:spacing w:before="6"/>
        <w:rPr>
          <w:sz w:val="25"/>
        </w:rPr>
      </w:pPr>
    </w:p>
    <w:p w14:paraId="1A57D9CD" w14:textId="77777777" w:rsidR="00A720EB" w:rsidRDefault="0030286B">
      <w:pPr>
        <w:pStyle w:val="3"/>
        <w:numPr>
          <w:ilvl w:val="2"/>
          <w:numId w:val="68"/>
        </w:numPr>
        <w:tabs>
          <w:tab w:val="left" w:pos="1003"/>
        </w:tabs>
        <w:ind w:left="1002" w:hanging="879"/>
      </w:pPr>
      <w:bookmarkStart w:id="324" w:name="4.11.4._Spring_Data_JDBC"/>
      <w:bookmarkStart w:id="325" w:name="_Toc54423771"/>
      <w:bookmarkEnd w:id="324"/>
      <w:r>
        <w:rPr>
          <w:color w:val="333333"/>
          <w:w w:val="105"/>
        </w:rPr>
        <w:t>Spring Data</w:t>
      </w:r>
      <w:r>
        <w:rPr>
          <w:color w:val="333333"/>
          <w:spacing w:val="-5"/>
          <w:w w:val="105"/>
        </w:rPr>
        <w:t xml:space="preserve"> </w:t>
      </w:r>
      <w:r>
        <w:rPr>
          <w:color w:val="333333"/>
          <w:w w:val="105"/>
        </w:rPr>
        <w:t>JDBC</w:t>
      </w:r>
      <w:bookmarkEnd w:id="325"/>
    </w:p>
    <w:p w14:paraId="374B3F3A" w14:textId="77777777" w:rsidR="00A720EB" w:rsidRDefault="0030286B">
      <w:pPr>
        <w:pStyle w:val="a3"/>
        <w:spacing w:before="254" w:line="297" w:lineRule="auto"/>
        <w:ind w:left="124" w:right="135"/>
        <w:jc w:val="both"/>
      </w:pPr>
      <w:r>
        <w:rPr>
          <w:color w:val="333333"/>
          <w:w w:val="110"/>
        </w:rPr>
        <w:t xml:space="preserve">Spring Data includes repository support for JDBC and will automatically generate SQL for the methods on </w:t>
      </w:r>
      <w:r>
        <w:rPr>
          <w:rFonts w:ascii="MS Gothic"/>
          <w:color w:val="B02045"/>
          <w:w w:val="110"/>
        </w:rPr>
        <w:t>CrudRepository</w:t>
      </w:r>
      <w:r>
        <w:rPr>
          <w:color w:val="333333"/>
          <w:w w:val="110"/>
        </w:rPr>
        <w:t xml:space="preserve">. </w:t>
      </w:r>
      <w:r>
        <w:rPr>
          <w:color w:val="333333"/>
          <w:spacing w:val="-4"/>
          <w:w w:val="110"/>
        </w:rPr>
        <w:t xml:space="preserve">For </w:t>
      </w:r>
      <w:r>
        <w:rPr>
          <w:color w:val="333333"/>
          <w:w w:val="110"/>
        </w:rPr>
        <w:t xml:space="preserve">more advanced queries, a </w:t>
      </w:r>
      <w:r>
        <w:rPr>
          <w:rFonts w:ascii="MS Gothic"/>
          <w:color w:val="B02045"/>
          <w:w w:val="110"/>
        </w:rPr>
        <w:t>@Query</w:t>
      </w:r>
      <w:r>
        <w:rPr>
          <w:rFonts w:ascii="MS Gothic"/>
          <w:color w:val="B02045"/>
          <w:spacing w:val="-73"/>
          <w:w w:val="110"/>
        </w:rPr>
        <w:t xml:space="preserve"> </w:t>
      </w:r>
      <w:r>
        <w:rPr>
          <w:color w:val="333333"/>
          <w:w w:val="110"/>
        </w:rPr>
        <w:t>annotation is provided.</w:t>
      </w:r>
    </w:p>
    <w:p w14:paraId="5CC55EEC" w14:textId="77777777" w:rsidR="00A720EB" w:rsidRDefault="0030286B">
      <w:pPr>
        <w:pStyle w:val="a3"/>
        <w:spacing w:before="232" w:line="288" w:lineRule="auto"/>
        <w:ind w:left="124" w:right="122"/>
        <w:jc w:val="both"/>
      </w:pPr>
      <w:r>
        <w:rPr>
          <w:color w:val="333333"/>
          <w:w w:val="110"/>
        </w:rPr>
        <w:t xml:space="preserve">Spring Boot will auto-configure Spring Data’s JDBC repositories when the necessary dependencies are on the classpath. They can be added to your project with a single dependency on </w:t>
      </w:r>
      <w:r>
        <w:rPr>
          <w:rFonts w:ascii="MS Gothic" w:hAnsi="MS Gothic"/>
          <w:color w:val="B02045"/>
          <w:w w:val="110"/>
        </w:rPr>
        <w:t>spring-boot- starter-data-jdbc</w:t>
      </w:r>
      <w:r>
        <w:rPr>
          <w:color w:val="333333"/>
          <w:w w:val="110"/>
        </w:rPr>
        <w:t xml:space="preserve">. If necessary, you can take control of Spring Data JDBC’s configuration </w:t>
      </w:r>
      <w:r>
        <w:rPr>
          <w:color w:val="333333"/>
          <w:spacing w:val="-3"/>
          <w:w w:val="110"/>
        </w:rPr>
        <w:t xml:space="preserve">by </w:t>
      </w:r>
      <w:r>
        <w:rPr>
          <w:color w:val="333333"/>
          <w:w w:val="110"/>
        </w:rPr>
        <w:t>adding the</w:t>
      </w:r>
      <w:r>
        <w:rPr>
          <w:color w:val="333333"/>
          <w:spacing w:val="-13"/>
          <w:w w:val="110"/>
        </w:rPr>
        <w:t xml:space="preserve"> </w:t>
      </w:r>
      <w:r>
        <w:rPr>
          <w:rFonts w:ascii="MS Gothic" w:hAnsi="MS Gothic"/>
          <w:color w:val="B02045"/>
          <w:w w:val="110"/>
        </w:rPr>
        <w:t>@EnableJdbcRepositories</w:t>
      </w:r>
      <w:r>
        <w:rPr>
          <w:rFonts w:ascii="MS Gothic" w:hAnsi="MS Gothic"/>
          <w:color w:val="B02045"/>
          <w:spacing w:val="-77"/>
          <w:w w:val="110"/>
        </w:rPr>
        <w:t xml:space="preserve"> </w:t>
      </w:r>
      <w:r>
        <w:rPr>
          <w:color w:val="333333"/>
          <w:w w:val="110"/>
        </w:rPr>
        <w:t>annotation</w:t>
      </w:r>
      <w:r>
        <w:rPr>
          <w:color w:val="333333"/>
          <w:spacing w:val="-12"/>
          <w:w w:val="110"/>
        </w:rPr>
        <w:t xml:space="preserve"> </w:t>
      </w:r>
      <w:r>
        <w:rPr>
          <w:color w:val="333333"/>
          <w:w w:val="110"/>
        </w:rPr>
        <w:t>or</w:t>
      </w:r>
      <w:r>
        <w:rPr>
          <w:color w:val="333333"/>
          <w:spacing w:val="-12"/>
          <w:w w:val="110"/>
        </w:rPr>
        <w:t xml:space="preserve"> </w:t>
      </w:r>
      <w:r>
        <w:rPr>
          <w:color w:val="333333"/>
          <w:w w:val="110"/>
        </w:rPr>
        <w:t>a</w:t>
      </w:r>
      <w:r>
        <w:rPr>
          <w:color w:val="333333"/>
          <w:spacing w:val="-10"/>
          <w:w w:val="110"/>
        </w:rPr>
        <w:t xml:space="preserve"> </w:t>
      </w:r>
      <w:r>
        <w:rPr>
          <w:rFonts w:ascii="MS Gothic" w:hAnsi="MS Gothic"/>
          <w:color w:val="B02045"/>
          <w:w w:val="110"/>
        </w:rPr>
        <w:t>JdbcConfiguration</w:t>
      </w:r>
      <w:r>
        <w:rPr>
          <w:rFonts w:ascii="MS Gothic" w:hAnsi="MS Gothic"/>
          <w:color w:val="B02045"/>
          <w:spacing w:val="-77"/>
          <w:w w:val="110"/>
        </w:rPr>
        <w:t xml:space="preserve"> </w:t>
      </w:r>
      <w:r>
        <w:rPr>
          <w:color w:val="333333"/>
          <w:w w:val="110"/>
        </w:rPr>
        <w:t>subclass</w:t>
      </w:r>
      <w:r>
        <w:rPr>
          <w:color w:val="333333"/>
          <w:spacing w:val="-12"/>
          <w:w w:val="110"/>
        </w:rPr>
        <w:t xml:space="preserve"> </w:t>
      </w:r>
      <w:r>
        <w:rPr>
          <w:color w:val="333333"/>
          <w:w w:val="110"/>
        </w:rPr>
        <w:t>to</w:t>
      </w:r>
      <w:r>
        <w:rPr>
          <w:color w:val="333333"/>
          <w:spacing w:val="-11"/>
          <w:w w:val="110"/>
        </w:rPr>
        <w:t xml:space="preserve"> </w:t>
      </w:r>
      <w:r>
        <w:rPr>
          <w:color w:val="333333"/>
          <w:w w:val="110"/>
        </w:rPr>
        <w:t>your</w:t>
      </w:r>
      <w:r>
        <w:rPr>
          <w:color w:val="333333"/>
          <w:spacing w:val="-13"/>
          <w:w w:val="110"/>
        </w:rPr>
        <w:t xml:space="preserve"> </w:t>
      </w:r>
      <w:r>
        <w:rPr>
          <w:color w:val="333333"/>
          <w:w w:val="110"/>
        </w:rPr>
        <w:t>application.</w:t>
      </w:r>
    </w:p>
    <w:p w14:paraId="1AD76F2F" w14:textId="77777777" w:rsidR="00A720EB" w:rsidRDefault="00A720EB">
      <w:pPr>
        <w:pStyle w:val="a3"/>
        <w:spacing w:before="2"/>
        <w:rPr>
          <w:sz w:val="27"/>
        </w:rPr>
      </w:pPr>
    </w:p>
    <w:p w14:paraId="55D123AE" w14:textId="77777777" w:rsidR="00A720EB" w:rsidRDefault="00E10349">
      <w:pPr>
        <w:pStyle w:val="a3"/>
        <w:spacing w:line="307" w:lineRule="auto"/>
        <w:ind w:left="1564" w:right="462"/>
      </w:pPr>
      <w:r>
        <w:pict w14:anchorId="0200E3A4">
          <v:line id="_x0000_s4152" style="position:absolute;left:0;text-align:left;z-index:15971840;mso-position-horizontal-relative:page" from="108.25pt,-6pt" to="108.25pt,33.55pt" strokecolor="#ededed" strokeweight=".5pt">
            <w10:wrap anchorx="page"/>
          </v:line>
        </w:pict>
      </w:r>
      <w:r w:rsidR="0030286B">
        <w:rPr>
          <w:noProof/>
        </w:rPr>
        <w:drawing>
          <wp:anchor distT="0" distB="0" distL="0" distR="0" simplePos="0" relativeHeight="15972352" behindDoc="0" locked="0" layoutInCell="1" allowOverlap="1" wp14:anchorId="7729AADF" wp14:editId="148D11DF">
            <wp:simplePos x="0" y="0"/>
            <wp:positionH relativeFrom="page">
              <wp:posOffset>888949</wp:posOffset>
            </wp:positionH>
            <wp:positionV relativeFrom="paragraph">
              <wp:posOffset>22771</wp:posOffset>
            </wp:positionV>
            <wp:extent cx="209550" cy="304800"/>
            <wp:effectExtent l="0" t="0" r="0" b="0"/>
            <wp:wrapNone/>
            <wp:docPr id="30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3.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For complete details of Spring Data JDBC, please refer to the </w:t>
      </w:r>
      <w:hyperlink r:id="rId203">
        <w:r w:rsidR="0030286B">
          <w:rPr>
            <w:color w:val="418BCA"/>
            <w:w w:val="110"/>
          </w:rPr>
          <w:t>reference</w:t>
        </w:r>
      </w:hyperlink>
      <w:r w:rsidR="0030286B">
        <w:rPr>
          <w:color w:val="418BCA"/>
          <w:w w:val="110"/>
        </w:rPr>
        <w:t xml:space="preserve"> </w:t>
      </w:r>
      <w:hyperlink r:id="rId204">
        <w:r w:rsidR="0030286B">
          <w:rPr>
            <w:color w:val="418BCA"/>
            <w:w w:val="110"/>
          </w:rPr>
          <w:t>documentation</w:t>
        </w:r>
      </w:hyperlink>
      <w:r w:rsidR="0030286B">
        <w:rPr>
          <w:color w:val="333333"/>
          <w:w w:val="110"/>
        </w:rPr>
        <w:t>.</w:t>
      </w:r>
    </w:p>
    <w:p w14:paraId="5352C099" w14:textId="77777777" w:rsidR="00A720EB" w:rsidRDefault="00A720EB">
      <w:pPr>
        <w:pStyle w:val="a3"/>
        <w:spacing w:before="6"/>
        <w:rPr>
          <w:sz w:val="32"/>
        </w:rPr>
      </w:pPr>
    </w:p>
    <w:p w14:paraId="28B38720" w14:textId="77777777" w:rsidR="00A720EB" w:rsidRDefault="0030286B">
      <w:pPr>
        <w:pStyle w:val="3"/>
        <w:numPr>
          <w:ilvl w:val="2"/>
          <w:numId w:val="68"/>
        </w:numPr>
        <w:tabs>
          <w:tab w:val="left" w:pos="1003"/>
        </w:tabs>
        <w:spacing w:before="1"/>
        <w:ind w:left="1002" w:hanging="879"/>
      </w:pPr>
      <w:bookmarkStart w:id="326" w:name="4.11.5._Using_H2’s_Web_Console"/>
      <w:bookmarkStart w:id="327" w:name="_Toc54423772"/>
      <w:bookmarkEnd w:id="326"/>
      <w:r>
        <w:rPr>
          <w:color w:val="333333"/>
          <w:w w:val="105"/>
        </w:rPr>
        <w:t xml:space="preserve">Using H2’s </w:t>
      </w:r>
      <w:r>
        <w:rPr>
          <w:color w:val="333333"/>
          <w:spacing w:val="-6"/>
          <w:w w:val="105"/>
        </w:rPr>
        <w:t xml:space="preserve">Web </w:t>
      </w:r>
      <w:r>
        <w:rPr>
          <w:color w:val="333333"/>
          <w:w w:val="105"/>
        </w:rPr>
        <w:t>Console</w:t>
      </w:r>
      <w:bookmarkEnd w:id="327"/>
    </w:p>
    <w:p w14:paraId="0A538C6D" w14:textId="77777777" w:rsidR="00A720EB" w:rsidRDefault="0030286B">
      <w:pPr>
        <w:pStyle w:val="a3"/>
        <w:spacing w:before="253" w:line="307" w:lineRule="auto"/>
        <w:ind w:left="124" w:right="131"/>
        <w:jc w:val="both"/>
      </w:pPr>
      <w:r>
        <w:rPr>
          <w:color w:val="333333"/>
          <w:w w:val="110"/>
        </w:rPr>
        <w:t xml:space="preserve">The </w:t>
      </w:r>
      <w:hyperlink r:id="rId205">
        <w:r>
          <w:rPr>
            <w:color w:val="418BCA"/>
            <w:w w:val="110"/>
          </w:rPr>
          <w:t xml:space="preserve">H2 database </w:t>
        </w:r>
      </w:hyperlink>
      <w:r>
        <w:rPr>
          <w:color w:val="333333"/>
          <w:w w:val="110"/>
        </w:rPr>
        <w:t xml:space="preserve">provides a </w:t>
      </w:r>
      <w:hyperlink r:id="rId206" w:anchor="h2_console">
        <w:r>
          <w:rPr>
            <w:color w:val="418BCA"/>
            <w:w w:val="110"/>
          </w:rPr>
          <w:t xml:space="preserve">browser-based console </w:t>
        </w:r>
      </w:hyperlink>
      <w:r>
        <w:rPr>
          <w:color w:val="333333"/>
          <w:w w:val="110"/>
        </w:rPr>
        <w:t>that Spring Boot can auto-configure for you. The console is auto-configured when the following conditions are met:</w:t>
      </w:r>
    </w:p>
    <w:p w14:paraId="423EF51C" w14:textId="77777777" w:rsidR="00A720EB" w:rsidRDefault="0030286B">
      <w:pPr>
        <w:pStyle w:val="a6"/>
        <w:numPr>
          <w:ilvl w:val="0"/>
          <w:numId w:val="45"/>
        </w:numPr>
        <w:tabs>
          <w:tab w:val="left" w:pos="485"/>
        </w:tabs>
        <w:spacing w:before="241"/>
        <w:rPr>
          <w:sz w:val="21"/>
        </w:rPr>
      </w:pPr>
      <w:r>
        <w:rPr>
          <w:color w:val="333333"/>
          <w:spacing w:val="-6"/>
          <w:w w:val="110"/>
          <w:sz w:val="21"/>
        </w:rPr>
        <w:t xml:space="preserve">You </w:t>
      </w:r>
      <w:r>
        <w:rPr>
          <w:color w:val="333333"/>
          <w:w w:val="110"/>
          <w:sz w:val="21"/>
        </w:rPr>
        <w:t>are developing a servlet-based web</w:t>
      </w:r>
      <w:r>
        <w:rPr>
          <w:color w:val="333333"/>
          <w:spacing w:val="23"/>
          <w:w w:val="110"/>
          <w:sz w:val="21"/>
        </w:rPr>
        <w:t xml:space="preserve"> </w:t>
      </w:r>
      <w:r>
        <w:rPr>
          <w:color w:val="333333"/>
          <w:w w:val="110"/>
          <w:sz w:val="21"/>
        </w:rPr>
        <w:t>application.</w:t>
      </w:r>
    </w:p>
    <w:p w14:paraId="044DFFE7" w14:textId="77777777" w:rsidR="00A720EB" w:rsidRDefault="0030286B">
      <w:pPr>
        <w:pStyle w:val="a6"/>
        <w:numPr>
          <w:ilvl w:val="0"/>
          <w:numId w:val="45"/>
        </w:numPr>
        <w:tabs>
          <w:tab w:val="left" w:pos="485"/>
        </w:tabs>
        <w:spacing w:before="179"/>
        <w:rPr>
          <w:sz w:val="21"/>
        </w:rPr>
      </w:pPr>
      <w:r>
        <w:rPr>
          <w:rFonts w:ascii="MS Gothic" w:hAnsi="MS Gothic"/>
          <w:color w:val="B02045"/>
          <w:w w:val="110"/>
          <w:sz w:val="21"/>
        </w:rPr>
        <w:t>com.h2database:h2</w:t>
      </w:r>
      <w:r>
        <w:rPr>
          <w:rFonts w:ascii="MS Gothic" w:hAnsi="MS Gothic"/>
          <w:color w:val="B02045"/>
          <w:spacing w:val="-59"/>
          <w:w w:val="110"/>
          <w:sz w:val="21"/>
        </w:rPr>
        <w:t xml:space="preserve"> </w:t>
      </w:r>
      <w:r>
        <w:rPr>
          <w:color w:val="333333"/>
          <w:w w:val="110"/>
          <w:sz w:val="21"/>
        </w:rPr>
        <w:t>is on the classpath.</w:t>
      </w:r>
    </w:p>
    <w:p w14:paraId="3F5EF465" w14:textId="77777777" w:rsidR="00A720EB" w:rsidRDefault="0030286B">
      <w:pPr>
        <w:pStyle w:val="a6"/>
        <w:numPr>
          <w:ilvl w:val="0"/>
          <w:numId w:val="45"/>
        </w:numPr>
        <w:tabs>
          <w:tab w:val="left" w:pos="485"/>
        </w:tabs>
        <w:spacing w:before="177"/>
        <w:rPr>
          <w:sz w:val="21"/>
        </w:rPr>
      </w:pPr>
      <w:r>
        <w:rPr>
          <w:color w:val="333333"/>
          <w:spacing w:val="-6"/>
          <w:w w:val="110"/>
          <w:sz w:val="21"/>
        </w:rPr>
        <w:t xml:space="preserve">You </w:t>
      </w:r>
      <w:r>
        <w:rPr>
          <w:color w:val="333333"/>
          <w:w w:val="110"/>
          <w:sz w:val="21"/>
        </w:rPr>
        <w:t xml:space="preserve">are using </w:t>
      </w:r>
      <w:hyperlink w:anchor="_bookmark65" w:history="1">
        <w:r>
          <w:rPr>
            <w:color w:val="418BCA"/>
            <w:w w:val="110"/>
            <w:sz w:val="21"/>
          </w:rPr>
          <w:t>Spring Boot’s developer</w:t>
        </w:r>
        <w:r>
          <w:rPr>
            <w:color w:val="418BCA"/>
            <w:spacing w:val="23"/>
            <w:w w:val="110"/>
            <w:sz w:val="21"/>
          </w:rPr>
          <w:t xml:space="preserve"> </w:t>
        </w:r>
        <w:r>
          <w:rPr>
            <w:color w:val="418BCA"/>
            <w:w w:val="110"/>
            <w:sz w:val="21"/>
          </w:rPr>
          <w:t>tools</w:t>
        </w:r>
      </w:hyperlink>
      <w:r>
        <w:rPr>
          <w:color w:val="333333"/>
          <w:w w:val="110"/>
          <w:sz w:val="21"/>
        </w:rPr>
        <w:t>.</w:t>
      </w:r>
    </w:p>
    <w:p w14:paraId="38D2985D" w14:textId="77777777" w:rsidR="00A720EB" w:rsidRDefault="00A720EB">
      <w:pPr>
        <w:rPr>
          <w:sz w:val="21"/>
        </w:rPr>
        <w:sectPr w:rsidR="00A720EB">
          <w:pgSz w:w="11910" w:h="16840"/>
          <w:pgMar w:top="700" w:right="840" w:bottom="520" w:left="840" w:header="0" w:footer="323" w:gutter="0"/>
          <w:cols w:space="720"/>
        </w:sectPr>
      </w:pPr>
    </w:p>
    <w:p w14:paraId="022C012E" w14:textId="77777777" w:rsidR="00A720EB" w:rsidRDefault="00E10349">
      <w:pPr>
        <w:pStyle w:val="a3"/>
        <w:spacing w:before="122" w:line="290" w:lineRule="auto"/>
        <w:ind w:left="1564" w:right="365"/>
        <w:jc w:val="both"/>
      </w:pPr>
      <w:r>
        <w:lastRenderedPageBreak/>
        <w:pict w14:anchorId="02F34EF0">
          <v:line id="_x0000_s4151" style="position:absolute;left:0;text-align:left;z-index:15972864;mso-position-horizontal-relative:page" from="108.25pt,.1pt" to="108.25pt,55.45pt" strokecolor="#ededed" strokeweight=".5pt">
            <w10:wrap anchorx="page"/>
          </v:line>
        </w:pict>
      </w:r>
      <w:r w:rsidR="0030286B">
        <w:rPr>
          <w:noProof/>
        </w:rPr>
        <w:drawing>
          <wp:anchor distT="0" distB="0" distL="0" distR="0" simplePos="0" relativeHeight="15973376" behindDoc="0" locked="0" layoutInCell="1" allowOverlap="1" wp14:anchorId="4B280622" wp14:editId="598021FD">
            <wp:simplePos x="0" y="0"/>
            <wp:positionH relativeFrom="page">
              <wp:posOffset>888949</wp:posOffset>
            </wp:positionH>
            <wp:positionV relativeFrom="paragraph">
              <wp:posOffset>200445</wp:posOffset>
            </wp:positionV>
            <wp:extent cx="209550" cy="304800"/>
            <wp:effectExtent l="0" t="0" r="0" b="0"/>
            <wp:wrapNone/>
            <wp:docPr id="3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3.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are not using Spring Boot’s developer tools but would still like to make use   of H2’s console, you can configure the </w:t>
      </w:r>
      <w:r w:rsidR="0030286B">
        <w:rPr>
          <w:rFonts w:ascii="MS Gothic" w:hAnsi="MS Gothic"/>
          <w:color w:val="B02045"/>
          <w:w w:val="110"/>
        </w:rPr>
        <w:t>spring.h</w:t>
      </w:r>
      <w:proofErr w:type="gramStart"/>
      <w:r w:rsidR="0030286B">
        <w:rPr>
          <w:rFonts w:ascii="MS Gothic" w:hAnsi="MS Gothic"/>
          <w:color w:val="B02045"/>
          <w:w w:val="110"/>
        </w:rPr>
        <w:t>2.console</w:t>
      </w:r>
      <w:proofErr w:type="gramEnd"/>
      <w:r w:rsidR="0030286B">
        <w:rPr>
          <w:rFonts w:ascii="MS Gothic" w:hAnsi="MS Gothic"/>
          <w:color w:val="B02045"/>
          <w:w w:val="110"/>
        </w:rPr>
        <w:t xml:space="preserve">.enabled </w:t>
      </w:r>
      <w:r w:rsidR="0030286B">
        <w:rPr>
          <w:color w:val="333333"/>
          <w:w w:val="110"/>
        </w:rPr>
        <w:t>property with a value of</w:t>
      </w:r>
      <w:r w:rsidR="0030286B">
        <w:rPr>
          <w:color w:val="333333"/>
          <w:spacing w:val="5"/>
          <w:w w:val="110"/>
        </w:rPr>
        <w:t xml:space="preserve"> </w:t>
      </w:r>
      <w:r w:rsidR="0030286B">
        <w:rPr>
          <w:rFonts w:ascii="MS Gothic" w:hAnsi="MS Gothic"/>
          <w:color w:val="B02045"/>
          <w:w w:val="110"/>
        </w:rPr>
        <w:t>true</w:t>
      </w:r>
      <w:r w:rsidR="0030286B">
        <w:rPr>
          <w:color w:val="333333"/>
          <w:w w:val="110"/>
        </w:rPr>
        <w:t>.</w:t>
      </w:r>
    </w:p>
    <w:p w14:paraId="6D35E992" w14:textId="77777777" w:rsidR="00A720EB" w:rsidRDefault="00A720EB">
      <w:pPr>
        <w:pStyle w:val="a3"/>
        <w:spacing w:before="10"/>
        <w:rPr>
          <w:sz w:val="33"/>
        </w:rPr>
      </w:pPr>
    </w:p>
    <w:p w14:paraId="484E7828" w14:textId="77777777" w:rsidR="00A720EB" w:rsidRDefault="00E10349">
      <w:pPr>
        <w:pStyle w:val="a3"/>
        <w:spacing w:before="1" w:line="297" w:lineRule="auto"/>
        <w:ind w:left="1564" w:right="372"/>
        <w:jc w:val="both"/>
      </w:pPr>
      <w:r>
        <w:pict w14:anchorId="23A4DD60">
          <v:line id="_x0000_s4150" style="position:absolute;left:0;text-align:left;z-index:15973888;mso-position-horizontal-relative:page" from="108.25pt,-5.95pt" to="108.25pt,33.6pt" strokecolor="#ededed" strokeweight=".5pt">
            <w10:wrap anchorx="page"/>
          </v:line>
        </w:pict>
      </w:r>
      <w:r w:rsidR="0030286B">
        <w:rPr>
          <w:noProof/>
        </w:rPr>
        <w:drawing>
          <wp:anchor distT="0" distB="0" distL="0" distR="0" simplePos="0" relativeHeight="15974400" behindDoc="0" locked="0" layoutInCell="1" allowOverlap="1" wp14:anchorId="06CD6606" wp14:editId="10CFA5DC">
            <wp:simplePos x="0" y="0"/>
            <wp:positionH relativeFrom="page">
              <wp:posOffset>844422</wp:posOffset>
            </wp:positionH>
            <wp:positionV relativeFrom="paragraph">
              <wp:posOffset>26581</wp:posOffset>
            </wp:positionV>
            <wp:extent cx="298450" cy="298450"/>
            <wp:effectExtent l="0" t="0" r="0" b="0"/>
            <wp:wrapNone/>
            <wp:docPr id="3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The H2 console is only intended for use during development, so you should take care</w:t>
      </w:r>
      <w:r w:rsidR="0030286B">
        <w:rPr>
          <w:color w:val="333333"/>
          <w:spacing w:val="-10"/>
          <w:w w:val="110"/>
        </w:rPr>
        <w:t xml:space="preserve"> </w:t>
      </w:r>
      <w:r w:rsidR="0030286B">
        <w:rPr>
          <w:color w:val="333333"/>
          <w:w w:val="110"/>
        </w:rPr>
        <w:t>to</w:t>
      </w:r>
      <w:r w:rsidR="0030286B">
        <w:rPr>
          <w:color w:val="333333"/>
          <w:spacing w:val="-10"/>
          <w:w w:val="110"/>
        </w:rPr>
        <w:t xml:space="preserve"> </w:t>
      </w:r>
      <w:r w:rsidR="0030286B">
        <w:rPr>
          <w:color w:val="333333"/>
          <w:w w:val="110"/>
        </w:rPr>
        <w:t>ensure</w:t>
      </w:r>
      <w:r w:rsidR="0030286B">
        <w:rPr>
          <w:color w:val="333333"/>
          <w:spacing w:val="-10"/>
          <w:w w:val="110"/>
        </w:rPr>
        <w:t xml:space="preserve"> </w:t>
      </w:r>
      <w:r w:rsidR="0030286B">
        <w:rPr>
          <w:color w:val="333333"/>
          <w:w w:val="110"/>
        </w:rPr>
        <w:t>that</w:t>
      </w:r>
      <w:r w:rsidR="0030286B">
        <w:rPr>
          <w:color w:val="333333"/>
          <w:spacing w:val="-11"/>
          <w:w w:val="110"/>
        </w:rPr>
        <w:t xml:space="preserve"> </w:t>
      </w:r>
      <w:r w:rsidR="0030286B">
        <w:rPr>
          <w:rFonts w:ascii="MS Gothic"/>
          <w:color w:val="B02045"/>
          <w:w w:val="110"/>
        </w:rPr>
        <w:t>spring.h</w:t>
      </w:r>
      <w:proofErr w:type="gramStart"/>
      <w:r w:rsidR="0030286B">
        <w:rPr>
          <w:rFonts w:ascii="MS Gothic"/>
          <w:color w:val="B02045"/>
          <w:w w:val="110"/>
        </w:rPr>
        <w:t>2.console</w:t>
      </w:r>
      <w:proofErr w:type="gramEnd"/>
      <w:r w:rsidR="0030286B">
        <w:rPr>
          <w:rFonts w:ascii="MS Gothic"/>
          <w:color w:val="B02045"/>
          <w:w w:val="110"/>
        </w:rPr>
        <w:t>.enabled</w:t>
      </w:r>
      <w:r w:rsidR="0030286B">
        <w:rPr>
          <w:rFonts w:ascii="MS Gothic"/>
          <w:color w:val="B02045"/>
          <w:spacing w:val="-75"/>
          <w:w w:val="110"/>
        </w:rPr>
        <w:t xml:space="preserve"> </w:t>
      </w:r>
      <w:r w:rsidR="0030286B">
        <w:rPr>
          <w:color w:val="333333"/>
          <w:w w:val="110"/>
        </w:rPr>
        <w:t>is</w:t>
      </w:r>
      <w:r w:rsidR="0030286B">
        <w:rPr>
          <w:color w:val="333333"/>
          <w:spacing w:val="-10"/>
          <w:w w:val="110"/>
        </w:rPr>
        <w:t xml:space="preserve"> </w:t>
      </w:r>
      <w:r w:rsidR="0030286B">
        <w:rPr>
          <w:color w:val="333333"/>
          <w:w w:val="110"/>
        </w:rPr>
        <w:t>not</w:t>
      </w:r>
      <w:r w:rsidR="0030286B">
        <w:rPr>
          <w:color w:val="333333"/>
          <w:spacing w:val="-10"/>
          <w:w w:val="110"/>
        </w:rPr>
        <w:t xml:space="preserve"> </w:t>
      </w:r>
      <w:r w:rsidR="0030286B">
        <w:rPr>
          <w:color w:val="333333"/>
          <w:w w:val="110"/>
        </w:rPr>
        <w:t>set</w:t>
      </w:r>
      <w:r w:rsidR="0030286B">
        <w:rPr>
          <w:color w:val="333333"/>
          <w:spacing w:val="-10"/>
          <w:w w:val="110"/>
        </w:rPr>
        <w:t xml:space="preserve"> </w:t>
      </w:r>
      <w:r w:rsidR="0030286B">
        <w:rPr>
          <w:color w:val="333333"/>
          <w:w w:val="110"/>
        </w:rPr>
        <w:t>to</w:t>
      </w:r>
      <w:r w:rsidR="0030286B">
        <w:rPr>
          <w:color w:val="333333"/>
          <w:spacing w:val="-10"/>
          <w:w w:val="110"/>
        </w:rPr>
        <w:t xml:space="preserve"> </w:t>
      </w:r>
      <w:r w:rsidR="0030286B">
        <w:rPr>
          <w:rFonts w:ascii="MS Gothic"/>
          <w:color w:val="B02045"/>
          <w:w w:val="110"/>
        </w:rPr>
        <w:t>true</w:t>
      </w:r>
      <w:r w:rsidR="0030286B">
        <w:rPr>
          <w:rFonts w:ascii="MS Gothic"/>
          <w:color w:val="B02045"/>
          <w:spacing w:val="-75"/>
          <w:w w:val="110"/>
        </w:rPr>
        <w:t xml:space="preserve"> </w:t>
      </w:r>
      <w:r w:rsidR="0030286B">
        <w:rPr>
          <w:color w:val="333333"/>
          <w:w w:val="110"/>
        </w:rPr>
        <w:t>in</w:t>
      </w:r>
      <w:r w:rsidR="0030286B">
        <w:rPr>
          <w:color w:val="333333"/>
          <w:spacing w:val="-11"/>
          <w:w w:val="110"/>
        </w:rPr>
        <w:t xml:space="preserve"> </w:t>
      </w:r>
      <w:r w:rsidR="0030286B">
        <w:rPr>
          <w:color w:val="333333"/>
          <w:w w:val="110"/>
        </w:rPr>
        <w:t>production.</w:t>
      </w:r>
    </w:p>
    <w:p w14:paraId="05647984" w14:textId="77777777" w:rsidR="00A720EB" w:rsidRDefault="00A720EB">
      <w:pPr>
        <w:pStyle w:val="a3"/>
        <w:spacing w:before="10"/>
        <w:rPr>
          <w:sz w:val="22"/>
        </w:rPr>
      </w:pPr>
    </w:p>
    <w:p w14:paraId="7A966E67" w14:textId="77777777" w:rsidR="00A720EB" w:rsidRDefault="0030286B">
      <w:pPr>
        <w:pStyle w:val="4"/>
        <w:spacing w:before="104"/>
      </w:pPr>
      <w:bookmarkStart w:id="328" w:name="Changing_the_H2_Console’s_Path"/>
      <w:bookmarkEnd w:id="328"/>
      <w:r>
        <w:rPr>
          <w:color w:val="333333"/>
          <w:w w:val="110"/>
        </w:rPr>
        <w:t>Changing the H2 Console’s Path</w:t>
      </w:r>
    </w:p>
    <w:p w14:paraId="7816611F" w14:textId="77777777" w:rsidR="00A720EB" w:rsidRDefault="0030286B">
      <w:pPr>
        <w:pStyle w:val="a3"/>
        <w:spacing w:before="244"/>
        <w:ind w:left="124"/>
        <w:jc w:val="both"/>
      </w:pPr>
      <w:r>
        <w:rPr>
          <w:color w:val="333333"/>
          <w:w w:val="110"/>
        </w:rPr>
        <w:t xml:space="preserve">By default, the console is available at </w:t>
      </w:r>
      <w:r>
        <w:rPr>
          <w:rFonts w:ascii="MS Gothic" w:hAnsi="MS Gothic"/>
          <w:color w:val="B02045"/>
          <w:w w:val="110"/>
        </w:rPr>
        <w:t>/h2-console</w:t>
      </w:r>
      <w:r>
        <w:rPr>
          <w:color w:val="333333"/>
          <w:w w:val="110"/>
        </w:rPr>
        <w:t>. You can customize the console’s path by using the</w:t>
      </w:r>
    </w:p>
    <w:p w14:paraId="0D98DE45" w14:textId="77777777" w:rsidR="00A720EB" w:rsidRDefault="0030286B">
      <w:pPr>
        <w:pStyle w:val="a3"/>
        <w:spacing w:before="46"/>
        <w:ind w:left="124"/>
        <w:jc w:val="both"/>
      </w:pPr>
      <w:r>
        <w:rPr>
          <w:rFonts w:ascii="MS Gothic"/>
          <w:color w:val="B02045"/>
          <w:w w:val="105"/>
        </w:rPr>
        <w:t>spring.h</w:t>
      </w:r>
      <w:proofErr w:type="gramStart"/>
      <w:r>
        <w:rPr>
          <w:rFonts w:ascii="MS Gothic"/>
          <w:color w:val="B02045"/>
          <w:w w:val="105"/>
        </w:rPr>
        <w:t>2.console</w:t>
      </w:r>
      <w:proofErr w:type="gramEnd"/>
      <w:r>
        <w:rPr>
          <w:rFonts w:ascii="MS Gothic"/>
          <w:color w:val="B02045"/>
          <w:w w:val="105"/>
        </w:rPr>
        <w:t>.path</w:t>
      </w:r>
      <w:r>
        <w:rPr>
          <w:rFonts w:ascii="MS Gothic"/>
          <w:color w:val="B02045"/>
          <w:spacing w:val="-57"/>
          <w:w w:val="105"/>
        </w:rPr>
        <w:t xml:space="preserve"> </w:t>
      </w:r>
      <w:r>
        <w:rPr>
          <w:color w:val="333333"/>
          <w:spacing w:val="-3"/>
          <w:w w:val="105"/>
        </w:rPr>
        <w:t>property.</w:t>
      </w:r>
    </w:p>
    <w:p w14:paraId="3C93C838" w14:textId="77777777" w:rsidR="00A720EB" w:rsidRDefault="00A720EB">
      <w:pPr>
        <w:pStyle w:val="a3"/>
        <w:spacing w:before="6"/>
        <w:rPr>
          <w:sz w:val="30"/>
        </w:rPr>
      </w:pPr>
    </w:p>
    <w:p w14:paraId="0C74ED4E" w14:textId="77777777" w:rsidR="00A720EB" w:rsidRDefault="0030286B">
      <w:pPr>
        <w:pStyle w:val="3"/>
        <w:numPr>
          <w:ilvl w:val="2"/>
          <w:numId w:val="68"/>
        </w:numPr>
        <w:tabs>
          <w:tab w:val="left" w:pos="1003"/>
        </w:tabs>
        <w:spacing w:before="1"/>
        <w:ind w:left="1002" w:hanging="879"/>
      </w:pPr>
      <w:bookmarkStart w:id="329" w:name="4.11.6._Using_jOOQ"/>
      <w:bookmarkStart w:id="330" w:name="_Toc54423773"/>
      <w:bookmarkEnd w:id="329"/>
      <w:r>
        <w:rPr>
          <w:color w:val="333333"/>
        </w:rPr>
        <w:t>Using</w:t>
      </w:r>
      <w:r>
        <w:rPr>
          <w:color w:val="333333"/>
          <w:spacing w:val="1"/>
        </w:rPr>
        <w:t xml:space="preserve"> </w:t>
      </w:r>
      <w:r>
        <w:rPr>
          <w:color w:val="333333"/>
        </w:rPr>
        <w:t>jOOQ</w:t>
      </w:r>
      <w:bookmarkEnd w:id="330"/>
    </w:p>
    <w:p w14:paraId="7CC07E75" w14:textId="77777777" w:rsidR="00A720EB" w:rsidRDefault="0030286B">
      <w:pPr>
        <w:pStyle w:val="a3"/>
        <w:spacing w:before="253" w:line="307" w:lineRule="auto"/>
        <w:ind w:left="124" w:right="124"/>
        <w:jc w:val="both"/>
      </w:pPr>
      <w:r>
        <w:rPr>
          <w:color w:val="333333"/>
          <w:w w:val="110"/>
        </w:rPr>
        <w:t>jOOQ Object Oriented Querying (</w:t>
      </w:r>
      <w:hyperlink r:id="rId207">
        <w:r>
          <w:rPr>
            <w:color w:val="418BCA"/>
            <w:w w:val="110"/>
          </w:rPr>
          <w:t>jOOQ</w:t>
        </w:r>
      </w:hyperlink>
      <w:r>
        <w:rPr>
          <w:color w:val="333333"/>
          <w:w w:val="110"/>
        </w:rPr>
        <w:t xml:space="preserve">) is a popular product from  </w:t>
      </w:r>
      <w:hyperlink r:id="rId208">
        <w:r>
          <w:rPr>
            <w:color w:val="418BCA"/>
            <w:w w:val="110"/>
          </w:rPr>
          <w:t>Data Geekery</w:t>
        </w:r>
      </w:hyperlink>
      <w:r>
        <w:rPr>
          <w:color w:val="418BCA"/>
          <w:w w:val="110"/>
        </w:rPr>
        <w:t xml:space="preserve"> </w:t>
      </w:r>
      <w:r>
        <w:rPr>
          <w:color w:val="333333"/>
          <w:w w:val="110"/>
        </w:rPr>
        <w:t>which generates  Java code from your database and lets you build type-safe SQL queries through its fluent API. Both the commercial and open source editions can be used with Spring</w:t>
      </w:r>
      <w:r>
        <w:rPr>
          <w:color w:val="333333"/>
          <w:spacing w:val="38"/>
          <w:w w:val="110"/>
        </w:rPr>
        <w:t xml:space="preserve"> </w:t>
      </w:r>
      <w:r>
        <w:rPr>
          <w:color w:val="333333"/>
          <w:w w:val="110"/>
        </w:rPr>
        <w:t>Boot.</w:t>
      </w:r>
    </w:p>
    <w:p w14:paraId="7FC04663" w14:textId="77777777" w:rsidR="00A720EB" w:rsidRDefault="00A720EB">
      <w:pPr>
        <w:pStyle w:val="a3"/>
        <w:spacing w:before="9"/>
        <w:rPr>
          <w:sz w:val="25"/>
        </w:rPr>
      </w:pPr>
    </w:p>
    <w:p w14:paraId="0E5935C9" w14:textId="77777777" w:rsidR="00A720EB" w:rsidRDefault="0030286B">
      <w:pPr>
        <w:pStyle w:val="4"/>
      </w:pPr>
      <w:bookmarkStart w:id="331" w:name="Code_Generation"/>
      <w:bookmarkEnd w:id="331"/>
      <w:r>
        <w:rPr>
          <w:color w:val="333333"/>
          <w:w w:val="110"/>
        </w:rPr>
        <w:t>Code Generation</w:t>
      </w:r>
    </w:p>
    <w:p w14:paraId="0F711034" w14:textId="77777777" w:rsidR="00A720EB" w:rsidRDefault="00A720EB">
      <w:pPr>
        <w:pStyle w:val="a3"/>
        <w:spacing w:before="11"/>
        <w:rPr>
          <w:rFonts w:ascii="Palatino Linotype"/>
          <w:b/>
          <w:sz w:val="18"/>
        </w:rPr>
      </w:pPr>
    </w:p>
    <w:p w14:paraId="7F87467F" w14:textId="77777777" w:rsidR="00A720EB" w:rsidRDefault="0030286B">
      <w:pPr>
        <w:pStyle w:val="a3"/>
        <w:spacing w:line="288" w:lineRule="auto"/>
        <w:ind w:left="124" w:right="122"/>
        <w:jc w:val="both"/>
      </w:pPr>
      <w:r>
        <w:rPr>
          <w:color w:val="333333"/>
          <w:w w:val="110"/>
        </w:rPr>
        <w:t xml:space="preserve">In order to use jOOQ type-safe queries, you need to generate Java classes from </w:t>
      </w:r>
      <w:proofErr w:type="gramStart"/>
      <w:r>
        <w:rPr>
          <w:color w:val="333333"/>
          <w:w w:val="110"/>
        </w:rPr>
        <w:t>your  database</w:t>
      </w:r>
      <w:proofErr w:type="gramEnd"/>
      <w:r>
        <w:rPr>
          <w:color w:val="333333"/>
          <w:w w:val="110"/>
        </w:rPr>
        <w:t xml:space="preserve"> schema. </w:t>
      </w:r>
      <w:r>
        <w:rPr>
          <w:color w:val="333333"/>
          <w:spacing w:val="-6"/>
          <w:w w:val="110"/>
        </w:rPr>
        <w:t xml:space="preserve">You </w:t>
      </w:r>
      <w:r>
        <w:rPr>
          <w:color w:val="333333"/>
          <w:w w:val="110"/>
        </w:rPr>
        <w:t xml:space="preserve">can follow the instructions in the </w:t>
      </w:r>
      <w:hyperlink r:id="rId209" w:anchor="jooq-in-7-steps-step3">
        <w:r>
          <w:rPr>
            <w:color w:val="418BCA"/>
            <w:w w:val="110"/>
          </w:rPr>
          <w:t>jOOQ user manual</w:t>
        </w:r>
      </w:hyperlink>
      <w:r>
        <w:rPr>
          <w:color w:val="333333"/>
          <w:w w:val="110"/>
        </w:rPr>
        <w:t xml:space="preserve">. If you use the </w:t>
      </w:r>
      <w:r>
        <w:rPr>
          <w:rFonts w:ascii="MS Gothic" w:hAnsi="MS Gothic"/>
          <w:color w:val="B02045"/>
          <w:w w:val="110"/>
        </w:rPr>
        <w:t xml:space="preserve">jooq-codegen-maven </w:t>
      </w:r>
      <w:r>
        <w:rPr>
          <w:color w:val="333333"/>
          <w:w w:val="110"/>
        </w:rPr>
        <w:t xml:space="preserve">plugin and you also use the </w:t>
      </w:r>
      <w:r>
        <w:rPr>
          <w:rFonts w:ascii="MS Gothic" w:hAnsi="MS Gothic"/>
          <w:color w:val="B02045"/>
          <w:w w:val="110"/>
        </w:rPr>
        <w:t xml:space="preserve">spring-boot-starter-parent </w:t>
      </w:r>
      <w:r>
        <w:rPr>
          <w:color w:val="333333"/>
          <w:w w:val="110"/>
        </w:rPr>
        <w:t xml:space="preserve">“parent POM”, you can safely omit the plugin’s </w:t>
      </w:r>
      <w:r>
        <w:rPr>
          <w:rFonts w:ascii="MS Gothic" w:hAnsi="MS Gothic"/>
          <w:color w:val="B02045"/>
          <w:w w:val="110"/>
        </w:rPr>
        <w:t xml:space="preserve">&lt;version&gt; </w:t>
      </w:r>
      <w:r>
        <w:rPr>
          <w:color w:val="333333"/>
          <w:w w:val="110"/>
        </w:rPr>
        <w:t xml:space="preserve">tag. </w:t>
      </w:r>
      <w:r>
        <w:rPr>
          <w:color w:val="333333"/>
          <w:spacing w:val="-6"/>
          <w:w w:val="110"/>
        </w:rPr>
        <w:t xml:space="preserve">You </w:t>
      </w:r>
      <w:r>
        <w:rPr>
          <w:color w:val="333333"/>
          <w:w w:val="110"/>
        </w:rPr>
        <w:t xml:space="preserve">can also use Spring Boot-defined version variables (such as </w:t>
      </w:r>
      <w:r>
        <w:rPr>
          <w:rFonts w:ascii="MS Gothic" w:hAnsi="MS Gothic"/>
          <w:color w:val="B02045"/>
          <w:w w:val="110"/>
        </w:rPr>
        <w:t>h</w:t>
      </w:r>
      <w:proofErr w:type="gramStart"/>
      <w:r>
        <w:rPr>
          <w:rFonts w:ascii="MS Gothic" w:hAnsi="MS Gothic"/>
          <w:color w:val="B02045"/>
          <w:w w:val="110"/>
        </w:rPr>
        <w:t>2.version</w:t>
      </w:r>
      <w:proofErr w:type="gramEnd"/>
      <w:r>
        <w:rPr>
          <w:color w:val="333333"/>
          <w:w w:val="110"/>
        </w:rPr>
        <w:t xml:space="preserve">) to declare the plugin’s database </w:t>
      </w:r>
      <w:r>
        <w:rPr>
          <w:color w:val="333333"/>
          <w:spacing w:val="-3"/>
          <w:w w:val="110"/>
        </w:rPr>
        <w:t xml:space="preserve">dependency. </w:t>
      </w:r>
      <w:r>
        <w:rPr>
          <w:color w:val="333333"/>
          <w:w w:val="110"/>
        </w:rPr>
        <w:t>The following listing shows an</w:t>
      </w:r>
      <w:r>
        <w:rPr>
          <w:color w:val="333333"/>
          <w:spacing w:val="1"/>
          <w:w w:val="110"/>
        </w:rPr>
        <w:t xml:space="preserve"> </w:t>
      </w:r>
      <w:r>
        <w:rPr>
          <w:color w:val="333333"/>
          <w:w w:val="110"/>
        </w:rPr>
        <w:t>example:</w:t>
      </w:r>
    </w:p>
    <w:p w14:paraId="03A86B67" w14:textId="77777777" w:rsidR="00A720EB" w:rsidRDefault="00A720EB">
      <w:pPr>
        <w:spacing w:line="288" w:lineRule="auto"/>
        <w:jc w:val="both"/>
        <w:sectPr w:rsidR="00A720EB">
          <w:pgSz w:w="11910" w:h="16840"/>
          <w:pgMar w:top="700" w:right="840" w:bottom="520" w:left="840" w:header="0" w:footer="323" w:gutter="0"/>
          <w:cols w:space="720"/>
        </w:sectPr>
      </w:pPr>
    </w:p>
    <w:p w14:paraId="6F2D0C3B" w14:textId="77777777" w:rsidR="00A720EB" w:rsidRDefault="00E10349">
      <w:pPr>
        <w:pStyle w:val="a3"/>
        <w:ind w:left="116"/>
        <w:rPr>
          <w:sz w:val="20"/>
        </w:rPr>
      </w:pPr>
      <w:r>
        <w:rPr>
          <w:sz w:val="20"/>
        </w:rPr>
      </w:r>
      <w:r>
        <w:rPr>
          <w:sz w:val="20"/>
        </w:rPr>
        <w:pict w14:anchorId="5F644A67">
          <v:group id="_x0000_s4146" style="width:499.55pt;height:361.8pt;mso-position-horizontal-relative:char;mso-position-vertical-relative:line" coordsize="9991,7236">
            <v:shape id="_x0000_s4149" style="position:absolute;left:7;top:7;width:9976;height:7221" coordorigin="8,8" coordsize="9976,7221" path="m9904,8l88,8,56,14,31,31,14,56,8,88r,7060l14,7179r17,25l56,7222r32,6l9904,7228r31,-6l9960,7204r17,-25l9984,7148r,-7060l9977,56,9960,31,9935,14,9904,8xe" fillcolor="#f5f5f5" stroked="f">
              <v:path arrowok="t"/>
            </v:shape>
            <v:shape id="_x0000_s4148" style="position:absolute;left:7;top:7;width:9976;height:7221" coordorigin="8,8" coordsize="9976,7221" path="m88,8r9816,l9935,14r25,17l9977,56r7,32l9984,7148r-7,31l9960,7204r-25,18l9904,7228r-9816,l56,7222,31,7204,14,7179,8,7148,8,88,14,56,31,31,56,14,88,8xe" filled="f" strokecolor="#ccc">
              <v:path arrowok="t"/>
            </v:shape>
            <v:shape id="_x0000_s4147" type="#_x0000_t202" style="position:absolute;left:26;top:22;width:9938;height:7190" filled="f" stroked="f">
              <v:textbox inset="0,0,0,0">
                <w:txbxContent>
                  <w:p w14:paraId="3F65F7E6" w14:textId="77777777" w:rsidR="00711A16" w:rsidRDefault="00711A16">
                    <w:pPr>
                      <w:spacing w:before="221"/>
                      <w:ind w:left="200"/>
                      <w:rPr>
                        <w:rFonts w:ascii="MS Gothic"/>
                      </w:rPr>
                    </w:pPr>
                    <w:r>
                      <w:rPr>
                        <w:rFonts w:ascii="MS Gothic"/>
                        <w:color w:val="333333"/>
                      </w:rPr>
                      <w:t>&lt;plugin&gt;</w:t>
                    </w:r>
                  </w:p>
                  <w:p w14:paraId="45E41A7B" w14:textId="77777777" w:rsidR="00711A16" w:rsidRDefault="00711A16">
                    <w:pPr>
                      <w:spacing w:before="13"/>
                      <w:ind w:left="640"/>
                      <w:rPr>
                        <w:rFonts w:ascii="MS Gothic"/>
                      </w:rPr>
                    </w:pPr>
                    <w:r>
                      <w:rPr>
                        <w:rFonts w:ascii="MS Gothic"/>
                        <w:color w:val="333333"/>
                      </w:rPr>
                      <w:t>&lt;groupId&gt;org.jooq&lt;/groupId&gt;</w:t>
                    </w:r>
                  </w:p>
                  <w:p w14:paraId="5AD8B80C" w14:textId="77777777" w:rsidR="00711A16" w:rsidRDefault="00711A16">
                    <w:pPr>
                      <w:spacing w:before="13"/>
                      <w:ind w:left="640"/>
                      <w:rPr>
                        <w:rFonts w:ascii="MS Gothic"/>
                      </w:rPr>
                    </w:pPr>
                    <w:r>
                      <w:rPr>
                        <w:rFonts w:ascii="MS Gothic"/>
                        <w:color w:val="333333"/>
                      </w:rPr>
                      <w:t>&lt;artifactId&gt;jooq-codegen-maven&lt;/artifactId&gt;</w:t>
                    </w:r>
                  </w:p>
                  <w:p w14:paraId="47199C9F" w14:textId="77777777" w:rsidR="00711A16" w:rsidRDefault="00711A16">
                    <w:pPr>
                      <w:spacing w:before="13"/>
                      <w:ind w:left="640"/>
                      <w:rPr>
                        <w:rFonts w:ascii="MS Gothic"/>
                      </w:rPr>
                    </w:pPr>
                    <w:r>
                      <w:rPr>
                        <w:rFonts w:ascii="MS Gothic"/>
                        <w:color w:val="333333"/>
                      </w:rPr>
                      <w:t>&lt;executions&gt;</w:t>
                    </w:r>
                  </w:p>
                  <w:p w14:paraId="3C9A47B2" w14:textId="77777777" w:rsidR="00711A16" w:rsidRDefault="00711A16">
                    <w:pPr>
                      <w:spacing w:before="12"/>
                      <w:ind w:left="1080"/>
                      <w:rPr>
                        <w:rFonts w:ascii="MS Gothic"/>
                      </w:rPr>
                    </w:pPr>
                    <w:r>
                      <w:rPr>
                        <w:rFonts w:ascii="MS Gothic"/>
                        <w:color w:val="333333"/>
                      </w:rPr>
                      <w:t>...</w:t>
                    </w:r>
                  </w:p>
                  <w:p w14:paraId="05BD3988" w14:textId="77777777" w:rsidR="00711A16" w:rsidRDefault="00711A16">
                    <w:pPr>
                      <w:spacing w:before="13"/>
                      <w:ind w:left="640"/>
                      <w:rPr>
                        <w:rFonts w:ascii="MS Gothic"/>
                      </w:rPr>
                    </w:pPr>
                    <w:r>
                      <w:rPr>
                        <w:rFonts w:ascii="MS Gothic"/>
                        <w:color w:val="333333"/>
                      </w:rPr>
                      <w:t>&lt;/executions&gt;</w:t>
                    </w:r>
                  </w:p>
                  <w:p w14:paraId="4754BCEB" w14:textId="77777777" w:rsidR="00711A16" w:rsidRDefault="00711A16">
                    <w:pPr>
                      <w:spacing w:before="13"/>
                      <w:ind w:left="640"/>
                      <w:rPr>
                        <w:rFonts w:ascii="MS Gothic"/>
                      </w:rPr>
                    </w:pPr>
                    <w:r>
                      <w:rPr>
                        <w:rFonts w:ascii="MS Gothic"/>
                        <w:color w:val="333333"/>
                      </w:rPr>
                      <w:t>&lt;dependencies&gt;</w:t>
                    </w:r>
                  </w:p>
                  <w:p w14:paraId="18E06B26" w14:textId="77777777" w:rsidR="00711A16" w:rsidRDefault="00711A16">
                    <w:pPr>
                      <w:spacing w:before="13"/>
                      <w:ind w:left="1080"/>
                      <w:rPr>
                        <w:rFonts w:ascii="MS Gothic"/>
                      </w:rPr>
                    </w:pPr>
                    <w:r>
                      <w:rPr>
                        <w:rFonts w:ascii="MS Gothic"/>
                        <w:color w:val="333333"/>
                      </w:rPr>
                      <w:t>&lt;dependency&gt;</w:t>
                    </w:r>
                  </w:p>
                  <w:p w14:paraId="747B5A3B" w14:textId="77777777" w:rsidR="00711A16" w:rsidRDefault="00711A16">
                    <w:pPr>
                      <w:spacing w:before="13"/>
                      <w:ind w:left="1520"/>
                      <w:rPr>
                        <w:rFonts w:ascii="MS Gothic"/>
                      </w:rPr>
                    </w:pPr>
                    <w:r>
                      <w:rPr>
                        <w:rFonts w:ascii="MS Gothic"/>
                        <w:color w:val="333333"/>
                      </w:rPr>
                      <w:t>&lt;groupId&gt;com.h2database&lt;/groupId&gt;</w:t>
                    </w:r>
                  </w:p>
                  <w:p w14:paraId="3B4189F0" w14:textId="77777777" w:rsidR="00711A16" w:rsidRDefault="00711A16">
                    <w:pPr>
                      <w:spacing w:before="13"/>
                      <w:ind w:left="1520"/>
                      <w:rPr>
                        <w:rFonts w:ascii="MS Gothic"/>
                      </w:rPr>
                    </w:pPr>
                    <w:r>
                      <w:rPr>
                        <w:rFonts w:ascii="MS Gothic"/>
                        <w:color w:val="333333"/>
                      </w:rPr>
                      <w:t>&lt;artifactId&gt;h2&lt;/artifactId&gt;</w:t>
                    </w:r>
                  </w:p>
                  <w:p w14:paraId="5C558371" w14:textId="77777777" w:rsidR="00711A16" w:rsidRDefault="00711A16">
                    <w:pPr>
                      <w:spacing w:before="13"/>
                      <w:ind w:left="1520"/>
                      <w:rPr>
                        <w:rFonts w:ascii="MS Gothic"/>
                      </w:rPr>
                    </w:pPr>
                    <w:r>
                      <w:rPr>
                        <w:rFonts w:ascii="MS Gothic"/>
                        <w:color w:val="333333"/>
                      </w:rPr>
                      <w:t>&lt;version&gt;${h</w:t>
                    </w:r>
                    <w:proofErr w:type="gramStart"/>
                    <w:r>
                      <w:rPr>
                        <w:rFonts w:ascii="MS Gothic"/>
                        <w:color w:val="333333"/>
                      </w:rPr>
                      <w:t>2.version</w:t>
                    </w:r>
                    <w:proofErr w:type="gramEnd"/>
                    <w:r>
                      <w:rPr>
                        <w:rFonts w:ascii="MS Gothic"/>
                        <w:color w:val="333333"/>
                      </w:rPr>
                      <w:t>}&lt;/version&gt;</w:t>
                    </w:r>
                  </w:p>
                  <w:p w14:paraId="57A07C49" w14:textId="77777777" w:rsidR="00711A16" w:rsidRDefault="00711A16">
                    <w:pPr>
                      <w:spacing w:before="13"/>
                      <w:ind w:left="1080"/>
                      <w:rPr>
                        <w:rFonts w:ascii="MS Gothic"/>
                      </w:rPr>
                    </w:pPr>
                    <w:r>
                      <w:rPr>
                        <w:rFonts w:ascii="MS Gothic"/>
                        <w:color w:val="333333"/>
                      </w:rPr>
                      <w:t>&lt;/dependency&gt;</w:t>
                    </w:r>
                  </w:p>
                  <w:p w14:paraId="42CCEE7C" w14:textId="77777777" w:rsidR="00711A16" w:rsidRDefault="00711A16">
                    <w:pPr>
                      <w:spacing w:before="13"/>
                      <w:ind w:left="640"/>
                      <w:rPr>
                        <w:rFonts w:ascii="MS Gothic"/>
                      </w:rPr>
                    </w:pPr>
                    <w:r>
                      <w:rPr>
                        <w:rFonts w:ascii="MS Gothic"/>
                        <w:color w:val="333333"/>
                      </w:rPr>
                      <w:t>&lt;/dependencies&gt;</w:t>
                    </w:r>
                  </w:p>
                  <w:p w14:paraId="4AE5EF73" w14:textId="77777777" w:rsidR="00711A16" w:rsidRDefault="00711A16">
                    <w:pPr>
                      <w:spacing w:before="13"/>
                      <w:ind w:left="640"/>
                      <w:rPr>
                        <w:rFonts w:ascii="MS Gothic"/>
                      </w:rPr>
                    </w:pPr>
                    <w:r>
                      <w:rPr>
                        <w:rFonts w:ascii="MS Gothic"/>
                        <w:color w:val="333333"/>
                      </w:rPr>
                      <w:t>&lt;configuration&gt;</w:t>
                    </w:r>
                  </w:p>
                  <w:p w14:paraId="721FF7E6" w14:textId="77777777" w:rsidR="00711A16" w:rsidRDefault="00711A16">
                    <w:pPr>
                      <w:spacing w:before="13"/>
                      <w:ind w:left="1080"/>
                      <w:rPr>
                        <w:rFonts w:ascii="MS Gothic"/>
                      </w:rPr>
                    </w:pPr>
                    <w:r>
                      <w:rPr>
                        <w:rFonts w:ascii="MS Gothic"/>
                        <w:color w:val="333333"/>
                      </w:rPr>
                      <w:t>&lt;jdbc&gt;</w:t>
                    </w:r>
                  </w:p>
                  <w:p w14:paraId="4F762CB0" w14:textId="77777777" w:rsidR="00711A16" w:rsidRDefault="00711A16">
                    <w:pPr>
                      <w:spacing w:before="13"/>
                      <w:ind w:left="1520"/>
                      <w:rPr>
                        <w:rFonts w:ascii="MS Gothic"/>
                      </w:rPr>
                    </w:pPr>
                    <w:r>
                      <w:rPr>
                        <w:rFonts w:ascii="MS Gothic"/>
                        <w:color w:val="333333"/>
                      </w:rPr>
                      <w:t>&lt;driver&gt;org.h</w:t>
                    </w:r>
                    <w:proofErr w:type="gramStart"/>
                    <w:r>
                      <w:rPr>
                        <w:rFonts w:ascii="MS Gothic"/>
                        <w:color w:val="333333"/>
                      </w:rPr>
                      <w:t>2.Driver</w:t>
                    </w:r>
                    <w:proofErr w:type="gramEnd"/>
                    <w:r>
                      <w:rPr>
                        <w:rFonts w:ascii="MS Gothic"/>
                        <w:color w:val="333333"/>
                      </w:rPr>
                      <w:t>&lt;/driver&gt;</w:t>
                    </w:r>
                  </w:p>
                  <w:p w14:paraId="039D38C7" w14:textId="77777777" w:rsidR="00711A16" w:rsidRDefault="00711A16">
                    <w:pPr>
                      <w:spacing w:before="13"/>
                      <w:ind w:left="1520"/>
                      <w:rPr>
                        <w:rFonts w:ascii="MS Gothic"/>
                      </w:rPr>
                    </w:pPr>
                    <w:r>
                      <w:rPr>
                        <w:rFonts w:ascii="MS Gothic"/>
                        <w:color w:val="333333"/>
                      </w:rPr>
                      <w:t>&lt;url&gt;jdbc:h</w:t>
                    </w:r>
                    <w:proofErr w:type="gramStart"/>
                    <w:r>
                      <w:rPr>
                        <w:rFonts w:ascii="MS Gothic"/>
                        <w:color w:val="333333"/>
                      </w:rPr>
                      <w:t>2:~</w:t>
                    </w:r>
                    <w:proofErr w:type="gramEnd"/>
                    <w:r>
                      <w:rPr>
                        <w:rFonts w:ascii="MS Gothic"/>
                        <w:color w:val="333333"/>
                      </w:rPr>
                      <w:t>/yourdatabase&lt;/url&gt;</w:t>
                    </w:r>
                  </w:p>
                  <w:p w14:paraId="4197DFCB" w14:textId="77777777" w:rsidR="00711A16" w:rsidRDefault="00711A16">
                    <w:pPr>
                      <w:spacing w:before="12"/>
                      <w:ind w:left="1080"/>
                      <w:rPr>
                        <w:rFonts w:ascii="MS Gothic"/>
                      </w:rPr>
                    </w:pPr>
                    <w:r>
                      <w:rPr>
                        <w:rFonts w:ascii="MS Gothic"/>
                        <w:color w:val="333333"/>
                      </w:rPr>
                      <w:t>&lt;/jdbc&gt;</w:t>
                    </w:r>
                  </w:p>
                  <w:p w14:paraId="7A713CBE" w14:textId="77777777" w:rsidR="00711A16" w:rsidRDefault="00711A16">
                    <w:pPr>
                      <w:spacing w:before="13"/>
                      <w:ind w:left="1080"/>
                      <w:rPr>
                        <w:rFonts w:ascii="MS Gothic"/>
                      </w:rPr>
                    </w:pPr>
                    <w:r>
                      <w:rPr>
                        <w:rFonts w:ascii="MS Gothic"/>
                        <w:color w:val="333333"/>
                      </w:rPr>
                      <w:t>&lt;generator&gt;</w:t>
                    </w:r>
                  </w:p>
                  <w:p w14:paraId="65344898" w14:textId="77777777" w:rsidR="00711A16" w:rsidRDefault="00711A16">
                    <w:pPr>
                      <w:spacing w:before="13"/>
                      <w:ind w:left="1520"/>
                      <w:rPr>
                        <w:rFonts w:ascii="MS Gothic"/>
                      </w:rPr>
                    </w:pPr>
                    <w:r>
                      <w:rPr>
                        <w:rFonts w:ascii="MS Gothic"/>
                        <w:color w:val="333333"/>
                      </w:rPr>
                      <w:t>...</w:t>
                    </w:r>
                  </w:p>
                  <w:p w14:paraId="21D1EDED" w14:textId="77777777" w:rsidR="00711A16" w:rsidRDefault="00711A16">
                    <w:pPr>
                      <w:spacing w:before="13"/>
                      <w:ind w:right="7534"/>
                      <w:jc w:val="right"/>
                      <w:rPr>
                        <w:rFonts w:ascii="MS Gothic"/>
                      </w:rPr>
                    </w:pPr>
                    <w:r>
                      <w:rPr>
                        <w:rFonts w:ascii="MS Gothic"/>
                        <w:color w:val="333333"/>
                      </w:rPr>
                      <w:t>&lt;/generator&gt;</w:t>
                    </w:r>
                  </w:p>
                  <w:p w14:paraId="0DA1567F" w14:textId="77777777" w:rsidR="00711A16" w:rsidRDefault="00711A16">
                    <w:pPr>
                      <w:spacing w:before="13"/>
                      <w:ind w:right="7534"/>
                      <w:jc w:val="right"/>
                      <w:rPr>
                        <w:rFonts w:ascii="MS Gothic"/>
                      </w:rPr>
                    </w:pPr>
                    <w:r>
                      <w:rPr>
                        <w:rFonts w:ascii="MS Gothic"/>
                        <w:color w:val="333333"/>
                      </w:rPr>
                      <w:t>&lt;/configuration&gt;</w:t>
                    </w:r>
                  </w:p>
                  <w:p w14:paraId="017FFEDD" w14:textId="77777777" w:rsidR="00711A16" w:rsidRDefault="00711A16">
                    <w:pPr>
                      <w:spacing w:before="13"/>
                      <w:ind w:left="200"/>
                      <w:rPr>
                        <w:rFonts w:ascii="MS Gothic"/>
                      </w:rPr>
                    </w:pPr>
                    <w:r>
                      <w:rPr>
                        <w:rFonts w:ascii="MS Gothic"/>
                        <w:color w:val="333333"/>
                      </w:rPr>
                      <w:t>&lt;/plugin&gt;</w:t>
                    </w:r>
                  </w:p>
                </w:txbxContent>
              </v:textbox>
            </v:shape>
            <w10:anchorlock/>
          </v:group>
        </w:pict>
      </w:r>
    </w:p>
    <w:p w14:paraId="2E3B2E05" w14:textId="77777777" w:rsidR="00A720EB" w:rsidRDefault="00A720EB">
      <w:pPr>
        <w:pStyle w:val="a3"/>
        <w:spacing w:before="5"/>
        <w:rPr>
          <w:sz w:val="16"/>
        </w:rPr>
      </w:pPr>
    </w:p>
    <w:p w14:paraId="2F612F96" w14:textId="77777777" w:rsidR="00A720EB" w:rsidRDefault="0030286B">
      <w:pPr>
        <w:pStyle w:val="4"/>
        <w:spacing w:before="105"/>
      </w:pPr>
      <w:bookmarkStart w:id="332" w:name="Using_DSLContext"/>
      <w:bookmarkEnd w:id="332"/>
      <w:r>
        <w:rPr>
          <w:color w:val="333333"/>
          <w:w w:val="105"/>
        </w:rPr>
        <w:t>Using DSLContext</w:t>
      </w:r>
    </w:p>
    <w:p w14:paraId="3E6B690E" w14:textId="77777777" w:rsidR="00A720EB" w:rsidRDefault="0030286B">
      <w:pPr>
        <w:pStyle w:val="a3"/>
        <w:spacing w:before="243" w:line="280" w:lineRule="auto"/>
        <w:ind w:left="124" w:right="123"/>
        <w:jc w:val="both"/>
      </w:pPr>
      <w:r>
        <w:rPr>
          <w:color w:val="333333"/>
          <w:w w:val="110"/>
        </w:rPr>
        <w:t xml:space="preserve">The fluent API offered </w:t>
      </w:r>
      <w:r>
        <w:rPr>
          <w:color w:val="333333"/>
          <w:spacing w:val="-3"/>
          <w:w w:val="110"/>
        </w:rPr>
        <w:t xml:space="preserve">by </w:t>
      </w:r>
      <w:r>
        <w:rPr>
          <w:color w:val="333333"/>
          <w:w w:val="110"/>
        </w:rPr>
        <w:t xml:space="preserve">jOOQ is initiated through the </w:t>
      </w:r>
      <w:proofErr w:type="gramStart"/>
      <w:r>
        <w:rPr>
          <w:rFonts w:ascii="MS Gothic"/>
          <w:color w:val="B02045"/>
          <w:w w:val="110"/>
        </w:rPr>
        <w:t>org.jooq</w:t>
      </w:r>
      <w:proofErr w:type="gramEnd"/>
      <w:r>
        <w:rPr>
          <w:rFonts w:ascii="MS Gothic"/>
          <w:color w:val="B02045"/>
          <w:w w:val="110"/>
        </w:rPr>
        <w:t xml:space="preserve">.DSLContext </w:t>
      </w:r>
      <w:r>
        <w:rPr>
          <w:color w:val="333333"/>
          <w:w w:val="110"/>
        </w:rPr>
        <w:t>interface. Spring Boot auto-configures</w:t>
      </w:r>
      <w:r>
        <w:rPr>
          <w:color w:val="333333"/>
          <w:spacing w:val="-5"/>
          <w:w w:val="110"/>
        </w:rPr>
        <w:t xml:space="preserve"> </w:t>
      </w:r>
      <w:r>
        <w:rPr>
          <w:color w:val="333333"/>
          <w:w w:val="110"/>
        </w:rPr>
        <w:t xml:space="preserve">a </w:t>
      </w:r>
      <w:r>
        <w:rPr>
          <w:rFonts w:ascii="MS Gothic"/>
          <w:color w:val="B02045"/>
          <w:w w:val="110"/>
        </w:rPr>
        <w:t>DSLContext</w:t>
      </w:r>
      <w:r>
        <w:rPr>
          <w:rFonts w:ascii="MS Gothic"/>
          <w:color w:val="B02045"/>
          <w:spacing w:val="-69"/>
          <w:w w:val="110"/>
        </w:rPr>
        <w:t xml:space="preserve"> </w:t>
      </w:r>
      <w:r>
        <w:rPr>
          <w:color w:val="333333"/>
          <w:w w:val="110"/>
        </w:rPr>
        <w:t>as</w:t>
      </w:r>
      <w:r>
        <w:rPr>
          <w:color w:val="333333"/>
          <w:spacing w:val="-5"/>
          <w:w w:val="110"/>
        </w:rPr>
        <w:t xml:space="preserve"> </w:t>
      </w:r>
      <w:r>
        <w:rPr>
          <w:color w:val="333333"/>
          <w:w w:val="110"/>
        </w:rPr>
        <w:t>a</w:t>
      </w:r>
      <w:r>
        <w:rPr>
          <w:color w:val="333333"/>
          <w:spacing w:val="-4"/>
          <w:w w:val="110"/>
        </w:rPr>
        <w:t xml:space="preserve"> </w:t>
      </w:r>
      <w:r>
        <w:rPr>
          <w:color w:val="333333"/>
          <w:w w:val="110"/>
        </w:rPr>
        <w:t>Spring</w:t>
      </w:r>
      <w:r>
        <w:rPr>
          <w:color w:val="333333"/>
          <w:spacing w:val="-5"/>
          <w:w w:val="110"/>
        </w:rPr>
        <w:t xml:space="preserve"> </w:t>
      </w:r>
      <w:r>
        <w:rPr>
          <w:color w:val="333333"/>
          <w:w w:val="110"/>
        </w:rPr>
        <w:t>Bean</w:t>
      </w:r>
      <w:r>
        <w:rPr>
          <w:color w:val="333333"/>
          <w:spacing w:val="-4"/>
          <w:w w:val="110"/>
        </w:rPr>
        <w:t xml:space="preserve"> </w:t>
      </w:r>
      <w:r>
        <w:rPr>
          <w:color w:val="333333"/>
          <w:w w:val="110"/>
        </w:rPr>
        <w:t>and</w:t>
      </w:r>
      <w:r>
        <w:rPr>
          <w:color w:val="333333"/>
          <w:spacing w:val="-4"/>
          <w:w w:val="110"/>
        </w:rPr>
        <w:t xml:space="preserve"> </w:t>
      </w:r>
      <w:r>
        <w:rPr>
          <w:color w:val="333333"/>
          <w:w w:val="110"/>
        </w:rPr>
        <w:t>connects</w:t>
      </w:r>
      <w:r>
        <w:rPr>
          <w:color w:val="333333"/>
          <w:spacing w:val="-5"/>
          <w:w w:val="110"/>
        </w:rPr>
        <w:t xml:space="preserve"> </w:t>
      </w:r>
      <w:r>
        <w:rPr>
          <w:color w:val="333333"/>
          <w:w w:val="110"/>
        </w:rPr>
        <w:t>it</w:t>
      </w:r>
      <w:r>
        <w:rPr>
          <w:color w:val="333333"/>
          <w:spacing w:val="-4"/>
          <w:w w:val="110"/>
        </w:rPr>
        <w:t xml:space="preserve"> </w:t>
      </w:r>
      <w:r>
        <w:rPr>
          <w:color w:val="333333"/>
          <w:w w:val="110"/>
        </w:rPr>
        <w:t>to</w:t>
      </w:r>
      <w:r>
        <w:rPr>
          <w:color w:val="333333"/>
          <w:spacing w:val="-5"/>
          <w:w w:val="110"/>
        </w:rPr>
        <w:t xml:space="preserve"> </w:t>
      </w:r>
      <w:r>
        <w:rPr>
          <w:color w:val="333333"/>
          <w:w w:val="110"/>
        </w:rPr>
        <w:t>your</w:t>
      </w:r>
      <w:r>
        <w:rPr>
          <w:color w:val="333333"/>
          <w:spacing w:val="-4"/>
          <w:w w:val="110"/>
        </w:rPr>
        <w:t xml:space="preserve"> </w:t>
      </w:r>
      <w:r>
        <w:rPr>
          <w:color w:val="333333"/>
          <w:w w:val="110"/>
        </w:rPr>
        <w:t>application</w:t>
      </w:r>
      <w:r>
        <w:rPr>
          <w:color w:val="333333"/>
          <w:spacing w:val="4"/>
          <w:w w:val="110"/>
        </w:rPr>
        <w:t xml:space="preserve"> </w:t>
      </w:r>
      <w:r>
        <w:rPr>
          <w:rFonts w:ascii="MS Gothic"/>
          <w:color w:val="B02045"/>
          <w:w w:val="110"/>
        </w:rPr>
        <w:t>DataSource</w:t>
      </w:r>
      <w:r>
        <w:rPr>
          <w:color w:val="333333"/>
          <w:w w:val="110"/>
        </w:rPr>
        <w:t>.</w:t>
      </w:r>
      <w:r>
        <w:rPr>
          <w:color w:val="333333"/>
          <w:spacing w:val="-5"/>
          <w:w w:val="110"/>
        </w:rPr>
        <w:t xml:space="preserve"> </w:t>
      </w:r>
      <w:r>
        <w:rPr>
          <w:color w:val="333333"/>
          <w:spacing w:val="-4"/>
          <w:w w:val="110"/>
        </w:rPr>
        <w:t xml:space="preserve">To </w:t>
      </w:r>
      <w:r>
        <w:rPr>
          <w:color w:val="333333"/>
          <w:w w:val="110"/>
        </w:rPr>
        <w:t xml:space="preserve">use the </w:t>
      </w:r>
      <w:r>
        <w:rPr>
          <w:rFonts w:ascii="MS Gothic"/>
          <w:color w:val="B02045"/>
          <w:w w:val="110"/>
        </w:rPr>
        <w:t>DSLContext</w:t>
      </w:r>
      <w:r>
        <w:rPr>
          <w:color w:val="333333"/>
          <w:w w:val="110"/>
        </w:rPr>
        <w:t xml:space="preserve">, you can </w:t>
      </w:r>
      <w:r>
        <w:rPr>
          <w:rFonts w:ascii="MS Gothic"/>
          <w:color w:val="B02045"/>
          <w:w w:val="110"/>
        </w:rPr>
        <w:t>@Autowire</w:t>
      </w:r>
      <w:r>
        <w:rPr>
          <w:rFonts w:ascii="MS Gothic"/>
          <w:color w:val="B02045"/>
          <w:spacing w:val="-57"/>
          <w:w w:val="110"/>
        </w:rPr>
        <w:t xml:space="preserve"> </w:t>
      </w:r>
      <w:r>
        <w:rPr>
          <w:color w:val="333333"/>
          <w:w w:val="110"/>
        </w:rPr>
        <w:t>it, as shown in the following example:</w:t>
      </w:r>
    </w:p>
    <w:p w14:paraId="39AA1694" w14:textId="77777777" w:rsidR="00A720EB" w:rsidRDefault="00E10349">
      <w:pPr>
        <w:pStyle w:val="a3"/>
        <w:spacing w:before="2"/>
        <w:rPr>
          <w:sz w:val="14"/>
        </w:rPr>
      </w:pPr>
      <w:r>
        <w:pict w14:anchorId="25873D04">
          <v:group id="_x0000_s4142" style="position:absolute;margin-left:47.85pt;margin-top:10.3pt;width:499.55pt;height:184.9pt;z-index:-15481856;mso-wrap-distance-left:0;mso-wrap-distance-right:0;mso-position-horizontal-relative:page" coordorigin="957,206" coordsize="9991,3698">
            <v:shape id="_x0000_s4145" style="position:absolute;left:964;top:213;width:9976;height:3683" coordorigin="965,214" coordsize="9976,3683" path="m10861,214r-9816,l1014,220r-26,17l971,263r-6,31l965,3816r6,32l988,3873r26,17l1045,3896r9816,l10892,3890r25,-17l10935,3848r6,-32l10941,294r-6,-31l10917,237r-25,-17l10861,214xe" fillcolor="#f5f5f5" stroked="f">
              <v:path arrowok="t"/>
            </v:shape>
            <v:shape id="_x0000_s4144" style="position:absolute;left:964;top:213;width:9976;height:3683" coordorigin="965,214" coordsize="9976,3683" path="m1045,214r9816,l10892,220r25,17l10935,263r6,31l10941,3816r-6,32l10917,3873r-25,17l10861,3896r-9816,l1014,3890r-26,-17l971,3848r-6,-32l965,294r6,-31l988,237r26,-17l1045,214xe" filled="f" strokecolor="#ccc">
              <v:path arrowok="t"/>
            </v:shape>
            <v:shape id="_x0000_s4143" type="#_x0000_t202" style="position:absolute;left:984;top:229;width:9938;height:3652" filled="f" stroked="f">
              <v:textbox inset="0,0,0,0">
                <w:txbxContent>
                  <w:p w14:paraId="72FC667D" w14:textId="77777777" w:rsidR="00711A16" w:rsidRDefault="00711A16">
                    <w:pPr>
                      <w:spacing w:before="221"/>
                      <w:ind w:left="200"/>
                      <w:rPr>
                        <w:rFonts w:ascii="MS Gothic"/>
                      </w:rPr>
                    </w:pPr>
                    <w:r>
                      <w:rPr>
                        <w:rFonts w:ascii="MS Gothic"/>
                        <w:color w:val="333333"/>
                      </w:rPr>
                      <w:t>@Component</w:t>
                    </w:r>
                  </w:p>
                  <w:p w14:paraId="57F4BD5C" w14:textId="77777777" w:rsidR="00711A16" w:rsidRDefault="00711A16">
                    <w:pPr>
                      <w:spacing w:before="13" w:line="501" w:lineRule="auto"/>
                      <w:ind w:left="640" w:right="3668" w:hanging="440"/>
                      <w:rPr>
                        <w:rFonts w:ascii="MS Gothic"/>
                      </w:rPr>
                    </w:pPr>
                    <w:r>
                      <w:rPr>
                        <w:rFonts w:ascii="MS Gothic"/>
                        <w:color w:val="333333"/>
                      </w:rPr>
                      <w:t xml:space="preserve">public class JooqExample implements CommandLineRunner </w:t>
                    </w:r>
                    <w:proofErr w:type="gramStart"/>
                    <w:r>
                      <w:rPr>
                        <w:rFonts w:ascii="MS Gothic"/>
                        <w:color w:val="333333"/>
                      </w:rPr>
                      <w:t>{ private</w:t>
                    </w:r>
                    <w:proofErr w:type="gramEnd"/>
                    <w:r>
                      <w:rPr>
                        <w:rFonts w:ascii="MS Gothic"/>
                        <w:color w:val="333333"/>
                      </w:rPr>
                      <w:t xml:space="preserve"> final DSLContext create;</w:t>
                    </w:r>
                  </w:p>
                  <w:p w14:paraId="631162E3" w14:textId="77777777" w:rsidR="00711A16" w:rsidRDefault="00711A16">
                    <w:pPr>
                      <w:spacing w:before="1"/>
                      <w:ind w:left="640"/>
                      <w:rPr>
                        <w:rFonts w:ascii="MS Gothic"/>
                      </w:rPr>
                    </w:pPr>
                    <w:r>
                      <w:rPr>
                        <w:rFonts w:ascii="MS Gothic"/>
                        <w:color w:val="333333"/>
                      </w:rPr>
                      <w:t>@Autowired</w:t>
                    </w:r>
                  </w:p>
                  <w:p w14:paraId="2D0B90F5" w14:textId="77777777" w:rsidR="00711A16" w:rsidRDefault="00711A16">
                    <w:pPr>
                      <w:spacing w:before="13" w:line="252" w:lineRule="auto"/>
                      <w:ind w:left="1080" w:right="4548" w:hanging="440"/>
                      <w:rPr>
                        <w:rFonts w:ascii="MS Gothic"/>
                      </w:rPr>
                    </w:pPr>
                    <w:r>
                      <w:rPr>
                        <w:rFonts w:ascii="MS Gothic"/>
                        <w:color w:val="333333"/>
                      </w:rPr>
                      <w:t xml:space="preserve">public </w:t>
                    </w:r>
                    <w:proofErr w:type="gramStart"/>
                    <w:r>
                      <w:rPr>
                        <w:rFonts w:ascii="MS Gothic"/>
                        <w:color w:val="333333"/>
                      </w:rPr>
                      <w:t>JooqExample(</w:t>
                    </w:r>
                    <w:proofErr w:type="gramEnd"/>
                    <w:r>
                      <w:rPr>
                        <w:rFonts w:ascii="MS Gothic"/>
                        <w:color w:val="333333"/>
                      </w:rPr>
                      <w:t>DSLContext dslContext) { this.create = dslContext;</w:t>
                    </w:r>
                  </w:p>
                  <w:p w14:paraId="2FC4CF76" w14:textId="77777777" w:rsidR="00711A16" w:rsidRDefault="00711A16">
                    <w:pPr>
                      <w:spacing w:line="280" w:lineRule="exact"/>
                      <w:ind w:left="640"/>
                      <w:rPr>
                        <w:rFonts w:ascii="MS Gothic"/>
                      </w:rPr>
                    </w:pPr>
                    <w:r>
                      <w:rPr>
                        <w:rFonts w:ascii="MS Gothic"/>
                        <w:color w:val="333333"/>
                      </w:rPr>
                      <w:t>}</w:t>
                    </w:r>
                  </w:p>
                  <w:p w14:paraId="2C57AE25" w14:textId="77777777" w:rsidR="00711A16" w:rsidRDefault="00711A16">
                    <w:pPr>
                      <w:rPr>
                        <w:rFonts w:ascii="MS Gothic"/>
                        <w:sz w:val="24"/>
                      </w:rPr>
                    </w:pPr>
                  </w:p>
                  <w:p w14:paraId="3AC097D6" w14:textId="77777777" w:rsidR="00711A16" w:rsidRDefault="00711A16">
                    <w:pPr>
                      <w:ind w:left="200"/>
                      <w:rPr>
                        <w:rFonts w:ascii="MS Gothic"/>
                      </w:rPr>
                    </w:pPr>
                    <w:r>
                      <w:rPr>
                        <w:rFonts w:ascii="MS Gothic"/>
                        <w:color w:val="333333"/>
                      </w:rPr>
                      <w:t>}</w:t>
                    </w:r>
                  </w:p>
                </w:txbxContent>
              </v:textbox>
            </v:shape>
            <w10:wrap type="topAndBottom" anchorx="page"/>
          </v:group>
        </w:pict>
      </w:r>
    </w:p>
    <w:p w14:paraId="4D30F319" w14:textId="77777777" w:rsidR="00A720EB" w:rsidRDefault="00A720EB">
      <w:pPr>
        <w:pStyle w:val="a3"/>
        <w:spacing w:before="9"/>
        <w:rPr>
          <w:sz w:val="8"/>
        </w:rPr>
      </w:pPr>
    </w:p>
    <w:p w14:paraId="69EADCEC" w14:textId="77777777" w:rsidR="00A720EB" w:rsidRDefault="00E10349">
      <w:pPr>
        <w:pStyle w:val="a3"/>
        <w:spacing w:before="96" w:line="374" w:lineRule="auto"/>
        <w:ind w:left="124" w:right="462" w:firstLine="436"/>
      </w:pPr>
      <w:r>
        <w:pict w14:anchorId="503C95FF">
          <v:line id="_x0000_s4141" style="position:absolute;left:0;text-align:left;z-index:-41558528;mso-position-horizontal-relative:page" from="108.25pt,5pt" to="108.25pt,28.75pt" strokecolor="#ededed" strokeweight=".5pt">
            <w10:wrap anchorx="page"/>
          </v:line>
        </w:pict>
      </w:r>
      <w:r w:rsidR="0030286B">
        <w:rPr>
          <w:noProof/>
          <w:position w:val="-15"/>
        </w:rPr>
        <w:drawing>
          <wp:inline distT="0" distB="0" distL="0" distR="0" wp14:anchorId="3F5345C8" wp14:editId="78A8E3F1">
            <wp:extent cx="209550" cy="304799"/>
            <wp:effectExtent l="0" t="0" r="0" b="0"/>
            <wp:docPr id="3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4.png"/>
                    <pic:cNvPicPr/>
                  </pic:nvPicPr>
                  <pic:blipFill>
                    <a:blip r:embed="rId73" cstate="print"/>
                    <a:stretch>
                      <a:fillRect/>
                    </a:stretch>
                  </pic:blipFill>
                  <pic:spPr>
                    <a:xfrm>
                      <a:off x="0" y="0"/>
                      <a:ext cx="209550" cy="304799"/>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The jOOQ manual tends to use a variable named </w:t>
      </w:r>
      <w:r w:rsidR="0030286B">
        <w:rPr>
          <w:rFonts w:ascii="MS Gothic"/>
          <w:color w:val="B02045"/>
          <w:w w:val="110"/>
        </w:rPr>
        <w:t xml:space="preserve">create </w:t>
      </w:r>
      <w:r w:rsidR="0030286B">
        <w:rPr>
          <w:color w:val="333333"/>
          <w:w w:val="110"/>
        </w:rPr>
        <w:t xml:space="preserve">to hold the </w:t>
      </w:r>
      <w:r w:rsidR="0030286B">
        <w:rPr>
          <w:rFonts w:ascii="MS Gothic"/>
          <w:color w:val="B02045"/>
          <w:w w:val="110"/>
        </w:rPr>
        <w:t>DSLContext</w:t>
      </w:r>
      <w:r w:rsidR="0030286B">
        <w:rPr>
          <w:color w:val="333333"/>
          <w:w w:val="110"/>
        </w:rPr>
        <w:t xml:space="preserve">. </w:t>
      </w:r>
      <w:r w:rsidR="0030286B">
        <w:rPr>
          <w:color w:val="333333"/>
          <w:spacing w:val="-6"/>
          <w:w w:val="110"/>
        </w:rPr>
        <w:t xml:space="preserve">You </w:t>
      </w:r>
      <w:r w:rsidR="0030286B">
        <w:rPr>
          <w:color w:val="333333"/>
          <w:w w:val="110"/>
        </w:rPr>
        <w:t xml:space="preserve">can then use the </w:t>
      </w:r>
      <w:r w:rsidR="0030286B">
        <w:rPr>
          <w:rFonts w:ascii="MS Gothic"/>
          <w:color w:val="B02045"/>
          <w:w w:val="110"/>
        </w:rPr>
        <w:t>DSLContext</w:t>
      </w:r>
      <w:r w:rsidR="0030286B">
        <w:rPr>
          <w:rFonts w:ascii="MS Gothic"/>
          <w:color w:val="B02045"/>
          <w:spacing w:val="-52"/>
          <w:w w:val="110"/>
        </w:rPr>
        <w:t xml:space="preserve"> </w:t>
      </w:r>
      <w:r w:rsidR="0030286B">
        <w:rPr>
          <w:color w:val="333333"/>
          <w:w w:val="110"/>
        </w:rPr>
        <w:t>to construct your queries, as shown in the following example:</w:t>
      </w:r>
    </w:p>
    <w:p w14:paraId="722A3794" w14:textId="77777777" w:rsidR="00A720EB" w:rsidRDefault="00A720EB">
      <w:pPr>
        <w:spacing w:line="374" w:lineRule="auto"/>
        <w:sectPr w:rsidR="00A720EB">
          <w:pgSz w:w="11910" w:h="16840"/>
          <w:pgMar w:top="700" w:right="840" w:bottom="520" w:left="840" w:header="0" w:footer="323" w:gutter="0"/>
          <w:cols w:space="720"/>
        </w:sectPr>
      </w:pPr>
    </w:p>
    <w:p w14:paraId="58A30D8B" w14:textId="77777777" w:rsidR="00A720EB" w:rsidRDefault="00E10349">
      <w:pPr>
        <w:pStyle w:val="a3"/>
        <w:ind w:left="116"/>
        <w:rPr>
          <w:sz w:val="20"/>
        </w:rPr>
      </w:pPr>
      <w:r>
        <w:rPr>
          <w:sz w:val="20"/>
        </w:rPr>
      </w:r>
      <w:r>
        <w:rPr>
          <w:sz w:val="20"/>
        </w:rPr>
        <w:pict w14:anchorId="0ECB69F0">
          <v:group id="_x0000_s4137" style="width:499.55pt;height:96.45pt;mso-position-horizontal-relative:char;mso-position-vertical-relative:line" coordsize="9991,1929">
            <v:shape id="_x0000_s4140" style="position:absolute;left:7;top:7;width:9976;height:1914" coordorigin="8,8" coordsize="9976,1914" path="m9904,8l88,8,56,14,31,31,14,56,8,88r,1753l14,1873r17,25l56,1915r32,6l9904,1921r31,-6l9960,1898r17,-25l9984,1841r,-1753l9977,56,9960,31,9935,14,9904,8xe" fillcolor="#f5f5f5" stroked="f">
              <v:path arrowok="t"/>
            </v:shape>
            <v:shape id="_x0000_s4139" style="position:absolute;left:7;top:7;width:9976;height:1914" coordorigin="8,8" coordsize="9976,1914" path="m88,8r9816,l9935,14r25,17l9977,56r7,32l9984,1841r-7,32l9960,1898r-25,17l9904,1921r-9816,l56,1915,31,1898,14,1873,8,1841,8,88,14,56,31,31,56,14,88,8xe" filled="f" strokecolor="#ccc">
              <v:path arrowok="t"/>
            </v:shape>
            <v:shape id="_x0000_s4138" type="#_x0000_t202" style="position:absolute;left:26;top:22;width:9938;height:1884" filled="f" stroked="f">
              <v:textbox inset="0,0,0,0">
                <w:txbxContent>
                  <w:p w14:paraId="1BC39970" w14:textId="77777777" w:rsidR="00711A16" w:rsidRDefault="00711A16">
                    <w:pPr>
                      <w:spacing w:before="221" w:line="252" w:lineRule="auto"/>
                      <w:ind w:left="640" w:right="3668" w:hanging="440"/>
                      <w:rPr>
                        <w:rFonts w:ascii="MS Gothic"/>
                      </w:rPr>
                    </w:pPr>
                    <w:r>
                      <w:rPr>
                        <w:rFonts w:ascii="MS Gothic"/>
                        <w:color w:val="333333"/>
                      </w:rPr>
                      <w:t xml:space="preserve">public List&lt;GregorianCalendar&gt; authorsBornAfter1980() </w:t>
                    </w:r>
                    <w:proofErr w:type="gramStart"/>
                    <w:r>
                      <w:rPr>
                        <w:rFonts w:ascii="MS Gothic"/>
                        <w:color w:val="333333"/>
                      </w:rPr>
                      <w:t>{ return</w:t>
                    </w:r>
                    <w:proofErr w:type="gramEnd"/>
                    <w:r>
                      <w:rPr>
                        <w:rFonts w:ascii="MS Gothic"/>
                        <w:color w:val="333333"/>
                      </w:rPr>
                      <w:t xml:space="preserve"> this.create.selectFrom(AUTHOR)</w:t>
                    </w:r>
                  </w:p>
                  <w:p w14:paraId="39E21AAE" w14:textId="77777777" w:rsidR="00711A16" w:rsidRDefault="00711A16">
                    <w:pPr>
                      <w:spacing w:line="280" w:lineRule="exact"/>
                      <w:ind w:left="1080"/>
                      <w:rPr>
                        <w:rFonts w:ascii="MS Gothic"/>
                      </w:rPr>
                    </w:pPr>
                    <w:proofErr w:type="gramStart"/>
                    <w:r>
                      <w:rPr>
                        <w:rFonts w:ascii="MS Gothic"/>
                        <w:color w:val="333333"/>
                      </w:rPr>
                      <w:t>.where</w:t>
                    </w:r>
                    <w:proofErr w:type="gramEnd"/>
                    <w:r>
                      <w:rPr>
                        <w:rFonts w:ascii="MS Gothic"/>
                        <w:color w:val="333333"/>
                      </w:rPr>
                      <w:t>(AUTHOR.DATE_OF_BIRTH.greaterThan(new GregorianCalendar(1980, 0, 1)))</w:t>
                    </w:r>
                  </w:p>
                  <w:p w14:paraId="32265982" w14:textId="77777777" w:rsidR="00711A16" w:rsidRDefault="00711A16">
                    <w:pPr>
                      <w:spacing w:before="13"/>
                      <w:ind w:left="1080"/>
                      <w:rPr>
                        <w:rFonts w:ascii="MS Gothic"/>
                      </w:rPr>
                    </w:pPr>
                    <w:proofErr w:type="gramStart"/>
                    <w:r>
                      <w:rPr>
                        <w:rFonts w:ascii="MS Gothic"/>
                        <w:color w:val="333333"/>
                      </w:rPr>
                      <w:t>.fetch</w:t>
                    </w:r>
                    <w:proofErr w:type="gramEnd"/>
                    <w:r>
                      <w:rPr>
                        <w:rFonts w:ascii="MS Gothic"/>
                        <w:color w:val="333333"/>
                      </w:rPr>
                      <w:t>(AUTHOR.DATE_OF_BIRTH);</w:t>
                    </w:r>
                  </w:p>
                  <w:p w14:paraId="044490F8" w14:textId="77777777" w:rsidR="00711A16" w:rsidRDefault="00711A16">
                    <w:pPr>
                      <w:spacing w:before="13"/>
                      <w:ind w:left="200"/>
                      <w:rPr>
                        <w:rFonts w:ascii="MS Gothic"/>
                      </w:rPr>
                    </w:pPr>
                    <w:r>
                      <w:rPr>
                        <w:rFonts w:ascii="MS Gothic"/>
                        <w:color w:val="333333"/>
                      </w:rPr>
                      <w:t>}</w:t>
                    </w:r>
                  </w:p>
                </w:txbxContent>
              </v:textbox>
            </v:shape>
            <w10:anchorlock/>
          </v:group>
        </w:pict>
      </w:r>
    </w:p>
    <w:p w14:paraId="024B732E" w14:textId="77777777" w:rsidR="00A720EB" w:rsidRDefault="00A720EB">
      <w:pPr>
        <w:pStyle w:val="a3"/>
        <w:spacing w:before="9"/>
        <w:rPr>
          <w:sz w:val="16"/>
        </w:rPr>
      </w:pPr>
    </w:p>
    <w:p w14:paraId="238E4B7C" w14:textId="77777777" w:rsidR="00A720EB" w:rsidRDefault="0030286B">
      <w:pPr>
        <w:pStyle w:val="4"/>
        <w:spacing w:before="104"/>
      </w:pPr>
      <w:bookmarkStart w:id="333" w:name="jOOQ_SQL_Dialect"/>
      <w:bookmarkEnd w:id="333"/>
      <w:r>
        <w:rPr>
          <w:color w:val="333333"/>
        </w:rPr>
        <w:t>jOOQ SQL Dialect</w:t>
      </w:r>
    </w:p>
    <w:p w14:paraId="24F28820" w14:textId="77777777" w:rsidR="00A720EB" w:rsidRDefault="0030286B">
      <w:pPr>
        <w:pStyle w:val="a3"/>
        <w:spacing w:before="244" w:line="280" w:lineRule="auto"/>
        <w:ind w:left="124" w:right="132"/>
        <w:jc w:val="both"/>
      </w:pPr>
      <w:r>
        <w:rPr>
          <w:color w:val="333333"/>
          <w:w w:val="110"/>
        </w:rPr>
        <w:t xml:space="preserve">Unless the </w:t>
      </w:r>
      <w:r>
        <w:rPr>
          <w:rFonts w:ascii="MS Gothic"/>
          <w:color w:val="B02045"/>
          <w:w w:val="110"/>
        </w:rPr>
        <w:t>spring.jooq.sql-dialect</w:t>
      </w:r>
      <w:r>
        <w:rPr>
          <w:rFonts w:ascii="MS Gothic"/>
          <w:color w:val="B02045"/>
          <w:spacing w:val="-67"/>
          <w:w w:val="110"/>
        </w:rPr>
        <w:t xml:space="preserve"> </w:t>
      </w:r>
      <w:r>
        <w:rPr>
          <w:color w:val="333333"/>
          <w:w w:val="110"/>
        </w:rPr>
        <w:t xml:space="preserve">property has been configured, Spring Boot determines the SQL dialect to use for your datasource. If Spring Boot could not detect the dialect, it uses </w:t>
      </w:r>
      <w:r>
        <w:rPr>
          <w:rFonts w:ascii="MS Gothic"/>
          <w:color w:val="B02045"/>
          <w:w w:val="110"/>
        </w:rPr>
        <w:t>DEFAULT</w:t>
      </w:r>
      <w:r>
        <w:rPr>
          <w:color w:val="333333"/>
          <w:w w:val="110"/>
        </w:rPr>
        <w:t>.</w:t>
      </w:r>
    </w:p>
    <w:p w14:paraId="075D0753" w14:textId="77777777" w:rsidR="00A720EB" w:rsidRDefault="00A720EB">
      <w:pPr>
        <w:pStyle w:val="a3"/>
        <w:spacing w:before="3"/>
        <w:rPr>
          <w:sz w:val="28"/>
        </w:rPr>
      </w:pPr>
    </w:p>
    <w:p w14:paraId="16EEAA83" w14:textId="77777777" w:rsidR="00A720EB" w:rsidRDefault="00E10349">
      <w:pPr>
        <w:pStyle w:val="a3"/>
        <w:spacing w:before="1" w:line="307" w:lineRule="auto"/>
        <w:ind w:left="1564" w:right="462"/>
      </w:pPr>
      <w:r>
        <w:pict w14:anchorId="2CABC64D">
          <v:line id="_x0000_s4136" style="position:absolute;left:0;text-align:left;z-index:15976960;mso-position-horizontal-relative:page" from="108.25pt,-5.95pt" to="108.25pt,33.6pt" strokecolor="#ededed" strokeweight=".5pt">
            <w10:wrap anchorx="page"/>
          </v:line>
        </w:pict>
      </w:r>
      <w:r w:rsidR="0030286B">
        <w:rPr>
          <w:noProof/>
        </w:rPr>
        <w:drawing>
          <wp:anchor distT="0" distB="0" distL="0" distR="0" simplePos="0" relativeHeight="15977472" behindDoc="0" locked="0" layoutInCell="1" allowOverlap="1" wp14:anchorId="54E34599" wp14:editId="2DF1DF51">
            <wp:simplePos x="0" y="0"/>
            <wp:positionH relativeFrom="page">
              <wp:posOffset>844422</wp:posOffset>
            </wp:positionH>
            <wp:positionV relativeFrom="paragraph">
              <wp:posOffset>26581</wp:posOffset>
            </wp:positionV>
            <wp:extent cx="298450" cy="298450"/>
            <wp:effectExtent l="0" t="0" r="0" b="0"/>
            <wp:wrapNone/>
            <wp:docPr id="3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Spring Boot can only auto-configure dialects supported by the open source version of jOOQ.</w:t>
      </w:r>
    </w:p>
    <w:p w14:paraId="5D100F46" w14:textId="77777777" w:rsidR="00A720EB" w:rsidRDefault="00A720EB">
      <w:pPr>
        <w:pStyle w:val="a3"/>
        <w:spacing w:before="5"/>
        <w:rPr>
          <w:sz w:val="32"/>
        </w:rPr>
      </w:pPr>
    </w:p>
    <w:p w14:paraId="4C26C64C" w14:textId="77777777" w:rsidR="00A720EB" w:rsidRDefault="0030286B">
      <w:pPr>
        <w:pStyle w:val="4"/>
        <w:spacing w:before="1"/>
      </w:pPr>
      <w:bookmarkStart w:id="334" w:name="Customizing_jOOQ"/>
      <w:bookmarkEnd w:id="334"/>
      <w:r>
        <w:rPr>
          <w:color w:val="333333"/>
          <w:w w:val="105"/>
        </w:rPr>
        <w:t>Customizing jOOQ</w:t>
      </w:r>
    </w:p>
    <w:p w14:paraId="06923199" w14:textId="77777777" w:rsidR="00A720EB" w:rsidRDefault="0030286B">
      <w:pPr>
        <w:pStyle w:val="a3"/>
        <w:spacing w:before="243" w:line="280" w:lineRule="auto"/>
        <w:ind w:left="124" w:right="128"/>
        <w:jc w:val="both"/>
      </w:pPr>
      <w:r>
        <w:rPr>
          <w:color w:val="333333"/>
          <w:w w:val="110"/>
        </w:rPr>
        <w:t xml:space="preserve">More advanced customizations can be achieved </w:t>
      </w:r>
      <w:r>
        <w:rPr>
          <w:color w:val="333333"/>
          <w:spacing w:val="-3"/>
          <w:w w:val="110"/>
        </w:rPr>
        <w:t xml:space="preserve">by </w:t>
      </w:r>
      <w:r>
        <w:rPr>
          <w:color w:val="333333"/>
          <w:w w:val="110"/>
        </w:rPr>
        <w:t xml:space="preserve">defining your own </w:t>
      </w:r>
      <w:r>
        <w:rPr>
          <w:rFonts w:ascii="MS Gothic"/>
          <w:color w:val="B02045"/>
          <w:w w:val="110"/>
        </w:rPr>
        <w:t xml:space="preserve">@Bean </w:t>
      </w:r>
      <w:r>
        <w:rPr>
          <w:color w:val="333333"/>
          <w:w w:val="110"/>
        </w:rPr>
        <w:t xml:space="preserve">definitions, which is used when the jOOQ </w:t>
      </w:r>
      <w:r>
        <w:rPr>
          <w:rFonts w:ascii="MS Gothic"/>
          <w:color w:val="B02045"/>
          <w:w w:val="110"/>
        </w:rPr>
        <w:t>Configuration</w:t>
      </w:r>
      <w:r>
        <w:rPr>
          <w:rFonts w:ascii="MS Gothic"/>
          <w:color w:val="B02045"/>
          <w:spacing w:val="-57"/>
          <w:w w:val="110"/>
        </w:rPr>
        <w:t xml:space="preserve"> </w:t>
      </w:r>
      <w:r>
        <w:rPr>
          <w:color w:val="333333"/>
          <w:w w:val="110"/>
        </w:rPr>
        <w:t xml:space="preserve">is created. </w:t>
      </w:r>
      <w:r>
        <w:rPr>
          <w:color w:val="333333"/>
          <w:spacing w:val="-6"/>
          <w:w w:val="110"/>
        </w:rPr>
        <w:t xml:space="preserve">You </w:t>
      </w:r>
      <w:r>
        <w:rPr>
          <w:color w:val="333333"/>
          <w:w w:val="110"/>
        </w:rPr>
        <w:t>can define beans for the following jOOQ Types:</w:t>
      </w:r>
    </w:p>
    <w:p w14:paraId="318561D8" w14:textId="77777777" w:rsidR="00A720EB" w:rsidRDefault="0030286B">
      <w:pPr>
        <w:pStyle w:val="a6"/>
        <w:numPr>
          <w:ilvl w:val="0"/>
          <w:numId w:val="44"/>
        </w:numPr>
        <w:tabs>
          <w:tab w:val="left" w:pos="485"/>
        </w:tabs>
        <w:spacing w:before="242"/>
        <w:rPr>
          <w:rFonts w:ascii="MS Gothic" w:hAnsi="MS Gothic"/>
          <w:sz w:val="21"/>
        </w:rPr>
      </w:pPr>
      <w:r>
        <w:rPr>
          <w:rFonts w:ascii="MS Gothic" w:hAnsi="MS Gothic"/>
          <w:color w:val="B02045"/>
          <w:sz w:val="21"/>
        </w:rPr>
        <w:t>ConnectionProvider</w:t>
      </w:r>
    </w:p>
    <w:p w14:paraId="65077C33" w14:textId="77777777" w:rsidR="00A720EB" w:rsidRDefault="0030286B">
      <w:pPr>
        <w:pStyle w:val="a6"/>
        <w:numPr>
          <w:ilvl w:val="0"/>
          <w:numId w:val="44"/>
        </w:numPr>
        <w:tabs>
          <w:tab w:val="left" w:pos="485"/>
        </w:tabs>
        <w:spacing w:before="166"/>
        <w:rPr>
          <w:rFonts w:ascii="MS Gothic" w:hAnsi="MS Gothic"/>
          <w:sz w:val="21"/>
        </w:rPr>
      </w:pPr>
      <w:r>
        <w:rPr>
          <w:rFonts w:ascii="MS Gothic" w:hAnsi="MS Gothic"/>
          <w:color w:val="B02045"/>
          <w:sz w:val="21"/>
        </w:rPr>
        <w:t>ExecutorProvider</w:t>
      </w:r>
    </w:p>
    <w:p w14:paraId="6B349D79" w14:textId="77777777" w:rsidR="00A720EB" w:rsidRDefault="0030286B">
      <w:pPr>
        <w:pStyle w:val="a6"/>
        <w:numPr>
          <w:ilvl w:val="0"/>
          <w:numId w:val="44"/>
        </w:numPr>
        <w:tabs>
          <w:tab w:val="left" w:pos="485"/>
        </w:tabs>
        <w:spacing w:before="167"/>
        <w:rPr>
          <w:rFonts w:ascii="MS Gothic" w:hAnsi="MS Gothic"/>
          <w:sz w:val="21"/>
        </w:rPr>
      </w:pPr>
      <w:r>
        <w:rPr>
          <w:rFonts w:ascii="MS Gothic" w:hAnsi="MS Gothic"/>
          <w:color w:val="B02045"/>
          <w:sz w:val="21"/>
        </w:rPr>
        <w:t>TransactionProvider</w:t>
      </w:r>
    </w:p>
    <w:p w14:paraId="5C8A08D7" w14:textId="77777777" w:rsidR="00A720EB" w:rsidRDefault="0030286B">
      <w:pPr>
        <w:pStyle w:val="a6"/>
        <w:numPr>
          <w:ilvl w:val="0"/>
          <w:numId w:val="44"/>
        </w:numPr>
        <w:tabs>
          <w:tab w:val="left" w:pos="485"/>
        </w:tabs>
        <w:spacing w:before="166"/>
        <w:rPr>
          <w:rFonts w:ascii="MS Gothic" w:hAnsi="MS Gothic"/>
          <w:sz w:val="21"/>
        </w:rPr>
      </w:pPr>
      <w:r>
        <w:rPr>
          <w:rFonts w:ascii="MS Gothic" w:hAnsi="MS Gothic"/>
          <w:color w:val="B02045"/>
          <w:sz w:val="21"/>
        </w:rPr>
        <w:t>RecordMapperProvider</w:t>
      </w:r>
    </w:p>
    <w:p w14:paraId="368210E0" w14:textId="77777777" w:rsidR="00A720EB" w:rsidRDefault="0030286B">
      <w:pPr>
        <w:pStyle w:val="a6"/>
        <w:numPr>
          <w:ilvl w:val="0"/>
          <w:numId w:val="44"/>
        </w:numPr>
        <w:tabs>
          <w:tab w:val="left" w:pos="485"/>
        </w:tabs>
        <w:spacing w:before="167"/>
        <w:rPr>
          <w:rFonts w:ascii="MS Gothic" w:hAnsi="MS Gothic"/>
          <w:sz w:val="21"/>
        </w:rPr>
      </w:pPr>
      <w:r>
        <w:rPr>
          <w:rFonts w:ascii="MS Gothic" w:hAnsi="MS Gothic"/>
          <w:color w:val="B02045"/>
          <w:sz w:val="21"/>
        </w:rPr>
        <w:t>RecordUnmapperProvider</w:t>
      </w:r>
    </w:p>
    <w:p w14:paraId="36CE2303" w14:textId="77777777" w:rsidR="00A720EB" w:rsidRDefault="0030286B">
      <w:pPr>
        <w:pStyle w:val="a6"/>
        <w:numPr>
          <w:ilvl w:val="0"/>
          <w:numId w:val="44"/>
        </w:numPr>
        <w:tabs>
          <w:tab w:val="left" w:pos="485"/>
        </w:tabs>
        <w:spacing w:before="167"/>
        <w:rPr>
          <w:rFonts w:ascii="MS Gothic" w:hAnsi="MS Gothic"/>
          <w:sz w:val="21"/>
        </w:rPr>
      </w:pPr>
      <w:r>
        <w:rPr>
          <w:rFonts w:ascii="MS Gothic" w:hAnsi="MS Gothic"/>
          <w:color w:val="B02045"/>
          <w:sz w:val="21"/>
        </w:rPr>
        <w:t>Settings</w:t>
      </w:r>
    </w:p>
    <w:p w14:paraId="1D22086D" w14:textId="77777777" w:rsidR="00A720EB" w:rsidRDefault="0030286B">
      <w:pPr>
        <w:pStyle w:val="a6"/>
        <w:numPr>
          <w:ilvl w:val="0"/>
          <w:numId w:val="44"/>
        </w:numPr>
        <w:tabs>
          <w:tab w:val="left" w:pos="485"/>
        </w:tabs>
        <w:spacing w:before="166"/>
        <w:rPr>
          <w:rFonts w:ascii="MS Gothic" w:hAnsi="MS Gothic"/>
          <w:sz w:val="21"/>
        </w:rPr>
      </w:pPr>
      <w:r>
        <w:rPr>
          <w:rFonts w:ascii="MS Gothic" w:hAnsi="MS Gothic"/>
          <w:color w:val="B02045"/>
          <w:sz w:val="21"/>
        </w:rPr>
        <w:t>RecordListenerProvider</w:t>
      </w:r>
    </w:p>
    <w:p w14:paraId="3DAA0B60" w14:textId="77777777" w:rsidR="00A720EB" w:rsidRDefault="0030286B">
      <w:pPr>
        <w:pStyle w:val="a6"/>
        <w:numPr>
          <w:ilvl w:val="0"/>
          <w:numId w:val="44"/>
        </w:numPr>
        <w:tabs>
          <w:tab w:val="left" w:pos="485"/>
        </w:tabs>
        <w:spacing w:before="167"/>
        <w:rPr>
          <w:rFonts w:ascii="MS Gothic" w:hAnsi="MS Gothic"/>
          <w:sz w:val="21"/>
        </w:rPr>
      </w:pPr>
      <w:r>
        <w:rPr>
          <w:rFonts w:ascii="MS Gothic" w:hAnsi="MS Gothic"/>
          <w:color w:val="B02045"/>
          <w:sz w:val="21"/>
        </w:rPr>
        <w:t>ExecuteListenerProvider</w:t>
      </w:r>
    </w:p>
    <w:p w14:paraId="3F832A2E" w14:textId="77777777" w:rsidR="00A720EB" w:rsidRDefault="0030286B">
      <w:pPr>
        <w:pStyle w:val="a6"/>
        <w:numPr>
          <w:ilvl w:val="0"/>
          <w:numId w:val="44"/>
        </w:numPr>
        <w:tabs>
          <w:tab w:val="left" w:pos="485"/>
        </w:tabs>
        <w:spacing w:before="166"/>
        <w:rPr>
          <w:rFonts w:ascii="MS Gothic" w:hAnsi="MS Gothic"/>
          <w:sz w:val="21"/>
        </w:rPr>
      </w:pPr>
      <w:r>
        <w:rPr>
          <w:rFonts w:ascii="MS Gothic" w:hAnsi="MS Gothic"/>
          <w:color w:val="B02045"/>
          <w:sz w:val="21"/>
        </w:rPr>
        <w:t>VisitListenerProvider</w:t>
      </w:r>
    </w:p>
    <w:p w14:paraId="25F60B6B" w14:textId="77777777" w:rsidR="00A720EB" w:rsidRDefault="0030286B">
      <w:pPr>
        <w:pStyle w:val="a6"/>
        <w:numPr>
          <w:ilvl w:val="0"/>
          <w:numId w:val="44"/>
        </w:numPr>
        <w:tabs>
          <w:tab w:val="left" w:pos="485"/>
        </w:tabs>
        <w:spacing w:before="167"/>
        <w:rPr>
          <w:rFonts w:ascii="MS Gothic" w:hAnsi="MS Gothic"/>
          <w:sz w:val="21"/>
        </w:rPr>
      </w:pPr>
      <w:r>
        <w:rPr>
          <w:rFonts w:ascii="MS Gothic" w:hAnsi="MS Gothic"/>
          <w:color w:val="B02045"/>
          <w:sz w:val="21"/>
        </w:rPr>
        <w:t>TransactionListenerProvider</w:t>
      </w:r>
    </w:p>
    <w:p w14:paraId="6B20C024" w14:textId="77777777" w:rsidR="00A720EB" w:rsidRDefault="00A720EB">
      <w:pPr>
        <w:pStyle w:val="a3"/>
        <w:spacing w:before="4"/>
        <w:rPr>
          <w:rFonts w:ascii="MS Gothic"/>
          <w:sz w:val="22"/>
        </w:rPr>
      </w:pPr>
    </w:p>
    <w:p w14:paraId="62780EBA" w14:textId="77777777" w:rsidR="00A720EB" w:rsidRDefault="0030286B">
      <w:pPr>
        <w:pStyle w:val="a3"/>
        <w:spacing w:line="290" w:lineRule="auto"/>
        <w:ind w:left="124" w:right="125"/>
        <w:jc w:val="both"/>
      </w:pPr>
      <w:r>
        <w:rPr>
          <w:color w:val="333333"/>
          <w:spacing w:val="-6"/>
          <w:w w:val="110"/>
        </w:rPr>
        <w:t>You</w:t>
      </w:r>
      <w:r>
        <w:rPr>
          <w:color w:val="333333"/>
          <w:w w:val="110"/>
        </w:rPr>
        <w:t xml:space="preserve"> can also create your own </w:t>
      </w:r>
      <w:proofErr w:type="gramStart"/>
      <w:r>
        <w:rPr>
          <w:rFonts w:ascii="MS Gothic"/>
          <w:color w:val="B02045"/>
          <w:w w:val="110"/>
        </w:rPr>
        <w:t>org.jooq</w:t>
      </w:r>
      <w:proofErr w:type="gramEnd"/>
      <w:r>
        <w:rPr>
          <w:rFonts w:ascii="MS Gothic"/>
          <w:color w:val="B02045"/>
          <w:w w:val="110"/>
        </w:rPr>
        <w:t>.Configuration</w:t>
      </w:r>
      <w:r>
        <w:rPr>
          <w:rFonts w:ascii="MS Gothic"/>
          <w:color w:val="B02045"/>
          <w:spacing w:val="-64"/>
          <w:w w:val="110"/>
        </w:rPr>
        <w:t xml:space="preserve"> </w:t>
      </w:r>
      <w:r>
        <w:rPr>
          <w:rFonts w:ascii="MS Gothic"/>
          <w:color w:val="B02045"/>
          <w:w w:val="110"/>
        </w:rPr>
        <w:t>@Bean</w:t>
      </w:r>
      <w:r>
        <w:rPr>
          <w:rFonts w:ascii="MS Gothic"/>
          <w:color w:val="B02045"/>
          <w:spacing w:val="-64"/>
          <w:w w:val="110"/>
        </w:rPr>
        <w:t xml:space="preserve"> </w:t>
      </w:r>
      <w:r>
        <w:rPr>
          <w:color w:val="333333"/>
          <w:w w:val="110"/>
        </w:rPr>
        <w:t>if you want to take complete control of the jOOQ configuration.</w:t>
      </w:r>
    </w:p>
    <w:p w14:paraId="32D9D3E8" w14:textId="77777777" w:rsidR="00A720EB" w:rsidRDefault="00A720EB">
      <w:pPr>
        <w:pStyle w:val="a3"/>
        <w:spacing w:before="3"/>
        <w:rPr>
          <w:sz w:val="27"/>
        </w:rPr>
      </w:pPr>
    </w:p>
    <w:p w14:paraId="69A3390E" w14:textId="77777777" w:rsidR="00A720EB" w:rsidRDefault="0030286B">
      <w:pPr>
        <w:pStyle w:val="3"/>
        <w:numPr>
          <w:ilvl w:val="2"/>
          <w:numId w:val="68"/>
        </w:numPr>
        <w:tabs>
          <w:tab w:val="left" w:pos="1003"/>
        </w:tabs>
        <w:ind w:left="1002" w:hanging="879"/>
      </w:pPr>
      <w:bookmarkStart w:id="335" w:name="4.11.7._Using_R2DBC"/>
      <w:bookmarkStart w:id="336" w:name="_Toc54423774"/>
      <w:bookmarkEnd w:id="335"/>
      <w:r>
        <w:rPr>
          <w:color w:val="333333"/>
        </w:rPr>
        <w:t>Using</w:t>
      </w:r>
      <w:r>
        <w:rPr>
          <w:color w:val="333333"/>
          <w:spacing w:val="2"/>
        </w:rPr>
        <w:t xml:space="preserve"> </w:t>
      </w:r>
      <w:r>
        <w:rPr>
          <w:color w:val="333333"/>
        </w:rPr>
        <w:t>R2DBC</w:t>
      </w:r>
      <w:bookmarkEnd w:id="336"/>
    </w:p>
    <w:p w14:paraId="35D0BCC2" w14:textId="77777777" w:rsidR="00A720EB" w:rsidRDefault="0030286B">
      <w:pPr>
        <w:pStyle w:val="a3"/>
        <w:spacing w:before="254" w:line="288" w:lineRule="auto"/>
        <w:ind w:left="124" w:right="122"/>
        <w:jc w:val="both"/>
      </w:pPr>
      <w:r>
        <w:rPr>
          <w:color w:val="333333"/>
          <w:w w:val="110"/>
        </w:rPr>
        <w:t>The Reactive Relational Database Connectivity (</w:t>
      </w:r>
      <w:hyperlink r:id="rId210">
        <w:r>
          <w:rPr>
            <w:color w:val="418BCA"/>
            <w:w w:val="110"/>
          </w:rPr>
          <w:t>R2DBC</w:t>
        </w:r>
      </w:hyperlink>
      <w:r>
        <w:rPr>
          <w:color w:val="333333"/>
          <w:w w:val="110"/>
        </w:rPr>
        <w:t xml:space="preserve">) project brings reactive programming APIs   to relational databases. R2DBC’s </w:t>
      </w:r>
      <w:r>
        <w:rPr>
          <w:rFonts w:ascii="MS Gothic" w:hAnsi="MS Gothic"/>
          <w:color w:val="B02045"/>
          <w:w w:val="110"/>
        </w:rPr>
        <w:t xml:space="preserve">io.r2dbc.spi.Connection </w:t>
      </w:r>
      <w:r>
        <w:rPr>
          <w:color w:val="333333"/>
          <w:w w:val="110"/>
        </w:rPr>
        <w:t xml:space="preserve">provides a standard method of working with non-blocking database connections. Connections are provided via a </w:t>
      </w:r>
      <w:r>
        <w:rPr>
          <w:rFonts w:ascii="MS Gothic" w:hAnsi="MS Gothic"/>
          <w:color w:val="B02045"/>
          <w:w w:val="110"/>
        </w:rPr>
        <w:t>ConnectionFactory</w:t>
      </w:r>
      <w:r>
        <w:rPr>
          <w:color w:val="333333"/>
          <w:w w:val="110"/>
        </w:rPr>
        <w:t xml:space="preserve">, similar to a </w:t>
      </w:r>
      <w:r>
        <w:rPr>
          <w:rFonts w:ascii="MS Gothic" w:hAnsi="MS Gothic"/>
          <w:color w:val="B02045"/>
          <w:w w:val="110"/>
        </w:rPr>
        <w:t>DataSource</w:t>
      </w:r>
      <w:r>
        <w:rPr>
          <w:rFonts w:ascii="MS Gothic" w:hAnsi="MS Gothic"/>
          <w:color w:val="B02045"/>
          <w:spacing w:val="-57"/>
          <w:w w:val="110"/>
        </w:rPr>
        <w:t xml:space="preserve"> </w:t>
      </w:r>
      <w:r>
        <w:rPr>
          <w:color w:val="333333"/>
          <w:w w:val="110"/>
        </w:rPr>
        <w:t>with jdbc.</w:t>
      </w:r>
    </w:p>
    <w:p w14:paraId="23E61CD2" w14:textId="77777777" w:rsidR="00A720EB" w:rsidRDefault="0030286B">
      <w:pPr>
        <w:pStyle w:val="a3"/>
        <w:spacing w:before="228"/>
        <w:ind w:left="124"/>
        <w:jc w:val="both"/>
      </w:pPr>
      <w:r>
        <w:rPr>
          <w:rFonts w:ascii="MS Gothic"/>
          <w:color w:val="B02045"/>
          <w:w w:val="110"/>
        </w:rPr>
        <w:t xml:space="preserve">ConnectionFactory </w:t>
      </w:r>
      <w:r>
        <w:rPr>
          <w:color w:val="333333"/>
          <w:w w:val="110"/>
        </w:rPr>
        <w:t>configuration is controlled by external configuration properties in</w:t>
      </w:r>
    </w:p>
    <w:p w14:paraId="4DEC5C8F" w14:textId="77777777" w:rsidR="00A720EB" w:rsidRDefault="0030286B">
      <w:pPr>
        <w:pStyle w:val="a3"/>
        <w:spacing w:before="46"/>
        <w:ind w:left="124"/>
        <w:jc w:val="both"/>
      </w:pPr>
      <w:proofErr w:type="gramStart"/>
      <w:r>
        <w:rPr>
          <w:rFonts w:ascii="MS Gothic"/>
          <w:color w:val="B02045"/>
          <w:w w:val="110"/>
        </w:rPr>
        <w:t>spring.r</w:t>
      </w:r>
      <w:proofErr w:type="gramEnd"/>
      <w:r>
        <w:rPr>
          <w:rFonts w:ascii="MS Gothic"/>
          <w:color w:val="B02045"/>
          <w:w w:val="110"/>
        </w:rPr>
        <w:t>2dbc.*</w:t>
      </w:r>
      <w:r>
        <w:rPr>
          <w:color w:val="333333"/>
          <w:w w:val="110"/>
        </w:rPr>
        <w:t xml:space="preserve">. For example, you might declare the following section in </w:t>
      </w:r>
      <w:proofErr w:type="gramStart"/>
      <w:r>
        <w:rPr>
          <w:rFonts w:ascii="MS Gothic"/>
          <w:color w:val="B02045"/>
          <w:w w:val="110"/>
        </w:rPr>
        <w:t>application.properties</w:t>
      </w:r>
      <w:proofErr w:type="gramEnd"/>
      <w:r>
        <w:rPr>
          <w:color w:val="333333"/>
          <w:w w:val="110"/>
        </w:rPr>
        <w:t>:</w:t>
      </w:r>
    </w:p>
    <w:p w14:paraId="7FA7C398" w14:textId="77777777" w:rsidR="00A720EB" w:rsidRDefault="00A720EB">
      <w:pPr>
        <w:jc w:val="both"/>
        <w:sectPr w:rsidR="00A720EB">
          <w:pgSz w:w="11910" w:h="16840"/>
          <w:pgMar w:top="700" w:right="840" w:bottom="520" w:left="840" w:header="0" w:footer="323" w:gutter="0"/>
          <w:cols w:space="720"/>
        </w:sectPr>
      </w:pPr>
    </w:p>
    <w:p w14:paraId="6207A2C4" w14:textId="77777777" w:rsidR="00A720EB" w:rsidRDefault="00E10349">
      <w:pPr>
        <w:pStyle w:val="a3"/>
        <w:ind w:left="116"/>
        <w:rPr>
          <w:sz w:val="20"/>
        </w:rPr>
      </w:pPr>
      <w:r>
        <w:rPr>
          <w:sz w:val="20"/>
        </w:rPr>
      </w:r>
      <w:r>
        <w:rPr>
          <w:sz w:val="20"/>
        </w:rPr>
        <w:pict w14:anchorId="2B61439D">
          <v:group id="_x0000_s4132" style="width:499.55pt;height:67pt;mso-position-horizontal-relative:char;mso-position-vertical-relative:line" coordsize="9991,1340">
            <v:shape id="_x0000_s4135" style="position:absolute;left:7;top:7;width:9976;height:1325" coordorigin="8,8" coordsize="9976,1325" path="m9904,8l88,8,56,14,31,31,14,56,8,88r,1164l14,1283r17,25l56,1326r32,6l9904,1332r31,-6l9960,1308r17,-25l9984,1252r,-1164l9977,56,9960,31,9935,14,9904,8xe" fillcolor="#f5f5f5" stroked="f">
              <v:path arrowok="t"/>
            </v:shape>
            <v:shape id="_x0000_s4134" style="position:absolute;left:7;top:7;width:9976;height:1325" coordorigin="8,8" coordsize="9976,1325" path="m88,8r9816,l9935,14r25,17l9977,56r7,32l9984,1252r-7,31l9960,1308r-25,18l9904,1332r-9816,l56,1326,31,1308,14,1283,8,1252,8,88,14,56,31,31,56,14,88,8xe" filled="f" strokecolor="#ccc">
              <v:path arrowok="t"/>
            </v:shape>
            <v:shape id="_x0000_s4133" type="#_x0000_t202" style="position:absolute;left:26;top:22;width:9938;height:1294" filled="f" stroked="f">
              <v:textbox inset="0,0,0,0">
                <w:txbxContent>
                  <w:p w14:paraId="4AD70FD9" w14:textId="77777777" w:rsidR="00711A16" w:rsidRDefault="00711A16">
                    <w:pPr>
                      <w:spacing w:before="221" w:line="252" w:lineRule="auto"/>
                      <w:ind w:left="200" w:right="4218"/>
                      <w:rPr>
                        <w:rFonts w:ascii="MS Gothic"/>
                      </w:rPr>
                    </w:pPr>
                    <w:r>
                      <w:rPr>
                        <w:rFonts w:ascii="MS Gothic"/>
                        <w:color w:val="333333"/>
                      </w:rPr>
                      <w:t>spring.r2dbc.url=r2</w:t>
                    </w:r>
                    <w:proofErr w:type="gramStart"/>
                    <w:r>
                      <w:rPr>
                        <w:rFonts w:ascii="MS Gothic"/>
                        <w:color w:val="333333"/>
                      </w:rPr>
                      <w:t>dbc:postgresql://localhost/test</w:t>
                    </w:r>
                    <w:proofErr w:type="gramEnd"/>
                    <w:r>
                      <w:rPr>
                        <w:rFonts w:ascii="MS Gothic"/>
                        <w:color w:val="333333"/>
                      </w:rPr>
                      <w:t xml:space="preserve"> spring.r2dbc.username=dbuser spring.r2dbc.password=dbpass</w:t>
                    </w:r>
                  </w:p>
                </w:txbxContent>
              </v:textbox>
            </v:shape>
            <w10:anchorlock/>
          </v:group>
        </w:pict>
      </w:r>
    </w:p>
    <w:p w14:paraId="59FC1F7B" w14:textId="77777777" w:rsidR="00A720EB" w:rsidRDefault="00A720EB">
      <w:pPr>
        <w:pStyle w:val="a3"/>
        <w:spacing w:before="3"/>
        <w:rPr>
          <w:sz w:val="16"/>
        </w:rPr>
      </w:pPr>
    </w:p>
    <w:p w14:paraId="38508933" w14:textId="77777777" w:rsidR="00A720EB" w:rsidRDefault="00E10349">
      <w:pPr>
        <w:pStyle w:val="a3"/>
        <w:spacing w:before="125" w:line="307" w:lineRule="auto"/>
        <w:ind w:left="1564" w:right="462"/>
      </w:pPr>
      <w:r>
        <w:pict w14:anchorId="4D6BA85D">
          <v:line id="_x0000_s4131" style="position:absolute;left:0;text-align:left;z-index:15979520;mso-position-horizontal-relative:page" from="108.25pt,.25pt" to="108.25pt,39.8pt" strokecolor="#ededed" strokeweight=".5pt">
            <w10:wrap anchorx="page"/>
          </v:line>
        </w:pict>
      </w:r>
      <w:r w:rsidR="0030286B">
        <w:rPr>
          <w:noProof/>
        </w:rPr>
        <w:drawing>
          <wp:anchor distT="0" distB="0" distL="0" distR="0" simplePos="0" relativeHeight="15980032" behindDoc="0" locked="0" layoutInCell="1" allowOverlap="1" wp14:anchorId="3626D8D1" wp14:editId="0B58AC63">
            <wp:simplePos x="0" y="0"/>
            <wp:positionH relativeFrom="page">
              <wp:posOffset>888949</wp:posOffset>
            </wp:positionH>
            <wp:positionV relativeFrom="paragraph">
              <wp:posOffset>102146</wp:posOffset>
            </wp:positionV>
            <wp:extent cx="209550" cy="304800"/>
            <wp:effectExtent l="0" t="0" r="0" b="0"/>
            <wp:wrapNone/>
            <wp:docPr id="3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5.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 xml:space="preserve">You </w:t>
      </w:r>
      <w:r w:rsidR="0030286B">
        <w:rPr>
          <w:color w:val="333333"/>
          <w:w w:val="110"/>
        </w:rPr>
        <w:t>do not need to specify a driver class name, since Spring</w:t>
      </w:r>
      <w:r w:rsidR="0030286B">
        <w:rPr>
          <w:color w:val="333333"/>
          <w:spacing w:val="50"/>
          <w:w w:val="110"/>
        </w:rPr>
        <w:t xml:space="preserve"> </w:t>
      </w:r>
      <w:proofErr w:type="gramStart"/>
      <w:r w:rsidR="0030286B">
        <w:rPr>
          <w:color w:val="333333"/>
          <w:w w:val="110"/>
        </w:rPr>
        <w:t>Boot  obtains</w:t>
      </w:r>
      <w:proofErr w:type="gramEnd"/>
      <w:r w:rsidR="0030286B">
        <w:rPr>
          <w:color w:val="333333"/>
          <w:w w:val="110"/>
        </w:rPr>
        <w:t xml:space="preserve">  the driver from R2DBC’s Connection Factory</w:t>
      </w:r>
      <w:r w:rsidR="0030286B">
        <w:rPr>
          <w:color w:val="333333"/>
          <w:spacing w:val="13"/>
          <w:w w:val="110"/>
        </w:rPr>
        <w:t xml:space="preserve"> </w:t>
      </w:r>
      <w:r w:rsidR="0030286B">
        <w:rPr>
          <w:color w:val="333333"/>
          <w:spacing w:val="-3"/>
          <w:w w:val="110"/>
        </w:rPr>
        <w:t>discovery.</w:t>
      </w:r>
    </w:p>
    <w:p w14:paraId="04AC495D" w14:textId="77777777" w:rsidR="00A720EB" w:rsidRDefault="00A720EB">
      <w:pPr>
        <w:pStyle w:val="a3"/>
        <w:spacing w:before="7"/>
        <w:rPr>
          <w:sz w:val="23"/>
        </w:rPr>
      </w:pPr>
    </w:p>
    <w:p w14:paraId="60873479" w14:textId="77777777" w:rsidR="00A720EB" w:rsidRDefault="00E10349">
      <w:pPr>
        <w:pStyle w:val="a3"/>
        <w:spacing w:before="151" w:line="208" w:lineRule="auto"/>
        <w:ind w:left="489" w:right="359" w:firstLine="1075"/>
      </w:pPr>
      <w:r>
        <w:pict w14:anchorId="63D9F900">
          <v:line id="_x0000_s4130" style="position:absolute;left:0;text-align:left;z-index:-41553920;mso-position-horizontal-relative:page" from="108.25pt,.25pt" to="108.25pt,55.6pt" strokecolor="#ededed" strokeweight=".5pt">
            <w10:wrap anchorx="page"/>
          </v:line>
        </w:pict>
      </w:r>
      <w:r w:rsidR="0030286B">
        <w:rPr>
          <w:color w:val="333333"/>
          <w:w w:val="110"/>
        </w:rPr>
        <w:t>At</w:t>
      </w:r>
      <w:r w:rsidR="0030286B">
        <w:rPr>
          <w:color w:val="333333"/>
          <w:spacing w:val="29"/>
          <w:w w:val="110"/>
        </w:rPr>
        <w:t xml:space="preserve"> </w:t>
      </w:r>
      <w:r w:rsidR="0030286B">
        <w:rPr>
          <w:color w:val="333333"/>
          <w:w w:val="110"/>
        </w:rPr>
        <w:t>least</w:t>
      </w:r>
      <w:r w:rsidR="0030286B">
        <w:rPr>
          <w:color w:val="333333"/>
          <w:spacing w:val="29"/>
          <w:w w:val="110"/>
        </w:rPr>
        <w:t xml:space="preserve"> </w:t>
      </w:r>
      <w:r w:rsidR="0030286B">
        <w:rPr>
          <w:color w:val="333333"/>
          <w:w w:val="110"/>
        </w:rPr>
        <w:t>the</w:t>
      </w:r>
      <w:r w:rsidR="0030286B">
        <w:rPr>
          <w:color w:val="333333"/>
          <w:spacing w:val="30"/>
          <w:w w:val="110"/>
        </w:rPr>
        <w:t xml:space="preserve"> </w:t>
      </w:r>
      <w:r w:rsidR="0030286B">
        <w:rPr>
          <w:color w:val="333333"/>
          <w:w w:val="110"/>
        </w:rPr>
        <w:t>url</w:t>
      </w:r>
      <w:r w:rsidR="0030286B">
        <w:rPr>
          <w:color w:val="333333"/>
          <w:spacing w:val="29"/>
          <w:w w:val="110"/>
        </w:rPr>
        <w:t xml:space="preserve"> </w:t>
      </w:r>
      <w:r w:rsidR="0030286B">
        <w:rPr>
          <w:color w:val="333333"/>
          <w:w w:val="110"/>
        </w:rPr>
        <w:t>should</w:t>
      </w:r>
      <w:r w:rsidR="0030286B">
        <w:rPr>
          <w:color w:val="333333"/>
          <w:spacing w:val="29"/>
          <w:w w:val="110"/>
        </w:rPr>
        <w:t xml:space="preserve"> </w:t>
      </w:r>
      <w:r w:rsidR="0030286B">
        <w:rPr>
          <w:color w:val="333333"/>
          <w:w w:val="110"/>
        </w:rPr>
        <w:t>be</w:t>
      </w:r>
      <w:r w:rsidR="0030286B">
        <w:rPr>
          <w:color w:val="333333"/>
          <w:spacing w:val="30"/>
          <w:w w:val="110"/>
        </w:rPr>
        <w:t xml:space="preserve"> </w:t>
      </w:r>
      <w:r w:rsidR="0030286B">
        <w:rPr>
          <w:color w:val="333333"/>
          <w:w w:val="110"/>
        </w:rPr>
        <w:t>provided.</w:t>
      </w:r>
      <w:r w:rsidR="0030286B">
        <w:rPr>
          <w:color w:val="333333"/>
          <w:spacing w:val="29"/>
          <w:w w:val="110"/>
        </w:rPr>
        <w:t xml:space="preserve"> </w:t>
      </w:r>
      <w:r w:rsidR="0030286B">
        <w:rPr>
          <w:color w:val="333333"/>
          <w:w w:val="110"/>
        </w:rPr>
        <w:t>Information</w:t>
      </w:r>
      <w:r w:rsidR="0030286B">
        <w:rPr>
          <w:color w:val="333333"/>
          <w:spacing w:val="29"/>
          <w:w w:val="110"/>
        </w:rPr>
        <w:t xml:space="preserve"> </w:t>
      </w:r>
      <w:r w:rsidR="0030286B">
        <w:rPr>
          <w:color w:val="333333"/>
          <w:w w:val="110"/>
        </w:rPr>
        <w:t>specified</w:t>
      </w:r>
      <w:r w:rsidR="0030286B">
        <w:rPr>
          <w:color w:val="333333"/>
          <w:spacing w:val="30"/>
          <w:w w:val="110"/>
        </w:rPr>
        <w:t xml:space="preserve"> </w:t>
      </w:r>
      <w:r w:rsidR="0030286B">
        <w:rPr>
          <w:color w:val="333333"/>
          <w:w w:val="110"/>
        </w:rPr>
        <w:t>in</w:t>
      </w:r>
      <w:r w:rsidR="0030286B">
        <w:rPr>
          <w:color w:val="333333"/>
          <w:spacing w:val="29"/>
          <w:w w:val="110"/>
        </w:rPr>
        <w:t xml:space="preserve"> </w:t>
      </w:r>
      <w:r w:rsidR="0030286B">
        <w:rPr>
          <w:color w:val="333333"/>
          <w:w w:val="110"/>
        </w:rPr>
        <w:t>the</w:t>
      </w:r>
      <w:r w:rsidR="0030286B">
        <w:rPr>
          <w:color w:val="333333"/>
          <w:spacing w:val="29"/>
          <w:w w:val="110"/>
        </w:rPr>
        <w:t xml:space="preserve"> </w:t>
      </w:r>
      <w:r w:rsidR="0030286B">
        <w:rPr>
          <w:color w:val="333333"/>
          <w:w w:val="110"/>
        </w:rPr>
        <w:t>URL</w:t>
      </w:r>
      <w:r w:rsidR="0030286B">
        <w:rPr>
          <w:color w:val="333333"/>
          <w:spacing w:val="30"/>
          <w:w w:val="110"/>
        </w:rPr>
        <w:t xml:space="preserve"> </w:t>
      </w:r>
      <w:r w:rsidR="0030286B">
        <w:rPr>
          <w:color w:val="333333"/>
          <w:w w:val="110"/>
        </w:rPr>
        <w:t>takes</w:t>
      </w:r>
      <w:r w:rsidR="0030286B">
        <w:rPr>
          <w:color w:val="333333"/>
          <w:spacing w:val="-1"/>
          <w:w w:val="107"/>
        </w:rPr>
        <w:t xml:space="preserve"> </w:t>
      </w:r>
      <w:r w:rsidR="0030286B">
        <w:rPr>
          <w:noProof/>
          <w:color w:val="333333"/>
          <w:spacing w:val="-1"/>
          <w:w w:val="107"/>
          <w:position w:val="-14"/>
        </w:rPr>
        <w:drawing>
          <wp:inline distT="0" distB="0" distL="0" distR="0" wp14:anchorId="3C326731" wp14:editId="74AD95BE">
            <wp:extent cx="298450" cy="298450"/>
            <wp:effectExtent l="0" t="0" r="0" b="0"/>
            <wp:docPr id="3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png"/>
                    <pic:cNvPicPr/>
                  </pic:nvPicPr>
                  <pic:blipFill>
                    <a:blip r:embed="rId24" cstate="print"/>
                    <a:stretch>
                      <a:fillRect/>
                    </a:stretch>
                  </pic:blipFill>
                  <pic:spPr>
                    <a:xfrm>
                      <a:off x="0" y="0"/>
                      <a:ext cx="298450" cy="298450"/>
                    </a:xfrm>
                    <a:prstGeom prst="rect">
                      <a:avLst/>
                    </a:prstGeom>
                  </pic:spPr>
                </pic:pic>
              </a:graphicData>
            </a:graphic>
          </wp:inline>
        </w:drawing>
      </w:r>
      <w:r w:rsidR="0030286B">
        <w:rPr>
          <w:rFonts w:ascii="Times New Roman"/>
          <w:color w:val="333333"/>
          <w:spacing w:val="-1"/>
          <w:w w:val="107"/>
        </w:rPr>
        <w:t xml:space="preserve">          </w:t>
      </w:r>
      <w:r w:rsidR="0030286B">
        <w:rPr>
          <w:rFonts w:ascii="Times New Roman"/>
          <w:color w:val="333333"/>
          <w:spacing w:val="-5"/>
          <w:w w:val="107"/>
        </w:rPr>
        <w:t xml:space="preserve"> </w:t>
      </w:r>
      <w:r w:rsidR="0030286B">
        <w:rPr>
          <w:color w:val="333333"/>
          <w:w w:val="110"/>
        </w:rPr>
        <w:t xml:space="preserve">precedence over individual properties, i.e. </w:t>
      </w:r>
      <w:r w:rsidR="0030286B">
        <w:rPr>
          <w:rFonts w:ascii="MS Gothic"/>
          <w:color w:val="B02045"/>
          <w:w w:val="110"/>
        </w:rPr>
        <w:t>name</w:t>
      </w:r>
      <w:r w:rsidR="0030286B">
        <w:rPr>
          <w:color w:val="333333"/>
          <w:w w:val="110"/>
        </w:rPr>
        <w:t xml:space="preserve">, </w:t>
      </w:r>
      <w:r w:rsidR="0030286B">
        <w:rPr>
          <w:rFonts w:ascii="MS Gothic"/>
          <w:color w:val="B02045"/>
          <w:w w:val="110"/>
        </w:rPr>
        <w:t>username</w:t>
      </w:r>
      <w:r w:rsidR="0030286B">
        <w:rPr>
          <w:color w:val="333333"/>
          <w:w w:val="110"/>
        </w:rPr>
        <w:t xml:space="preserve">, </w:t>
      </w:r>
      <w:r w:rsidR="0030286B">
        <w:rPr>
          <w:rFonts w:ascii="MS Gothic"/>
          <w:color w:val="B02045"/>
          <w:w w:val="110"/>
        </w:rPr>
        <w:t xml:space="preserve">password </w:t>
      </w:r>
      <w:r w:rsidR="0030286B">
        <w:rPr>
          <w:color w:val="333333"/>
          <w:w w:val="110"/>
        </w:rPr>
        <w:t>and</w:t>
      </w:r>
      <w:r w:rsidR="0030286B">
        <w:rPr>
          <w:color w:val="333333"/>
          <w:spacing w:val="34"/>
          <w:w w:val="110"/>
        </w:rPr>
        <w:t xml:space="preserve"> </w:t>
      </w:r>
      <w:r w:rsidR="0030286B">
        <w:rPr>
          <w:color w:val="333333"/>
          <w:w w:val="110"/>
        </w:rPr>
        <w:t>pooling</w:t>
      </w:r>
    </w:p>
    <w:p w14:paraId="3DF4EEEF" w14:textId="77777777" w:rsidR="00A720EB" w:rsidRDefault="0030286B">
      <w:pPr>
        <w:pStyle w:val="a3"/>
        <w:spacing w:line="228" w:lineRule="exact"/>
        <w:ind w:left="1564"/>
      </w:pPr>
      <w:r>
        <w:rPr>
          <w:color w:val="333333"/>
          <w:w w:val="110"/>
        </w:rPr>
        <w:t>options.</w:t>
      </w:r>
    </w:p>
    <w:p w14:paraId="787F0CA7" w14:textId="77777777" w:rsidR="00A720EB" w:rsidRDefault="00A720EB">
      <w:pPr>
        <w:pStyle w:val="a3"/>
        <w:spacing w:before="5"/>
        <w:rPr>
          <w:sz w:val="29"/>
        </w:rPr>
      </w:pPr>
    </w:p>
    <w:p w14:paraId="3D156DF6" w14:textId="77777777" w:rsidR="00A720EB" w:rsidRDefault="00E10349">
      <w:pPr>
        <w:pStyle w:val="a3"/>
        <w:spacing w:before="1"/>
        <w:ind w:left="561"/>
      </w:pPr>
      <w:r>
        <w:pict w14:anchorId="42569D26">
          <v:line id="_x0000_s4129" style="position:absolute;left:0;text-align:left;z-index:-41553408;mso-position-horizontal-relative:page" from="108.25pt,.25pt" to="108.25pt,24pt" strokecolor="#ededed" strokeweight=".5pt">
            <w10:wrap anchorx="page"/>
          </v:line>
        </w:pict>
      </w:r>
      <w:r w:rsidR="0030286B">
        <w:rPr>
          <w:noProof/>
          <w:position w:val="-15"/>
        </w:rPr>
        <w:drawing>
          <wp:inline distT="0" distB="0" distL="0" distR="0" wp14:anchorId="0FD78FDA" wp14:editId="5BB657E4">
            <wp:extent cx="209550" cy="304800"/>
            <wp:effectExtent l="0" t="0" r="0" b="0"/>
            <wp:docPr id="3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6.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hAnsi="Times New Roman"/>
          <w:sz w:val="20"/>
        </w:rPr>
        <w:t xml:space="preserve">            </w:t>
      </w:r>
      <w:r w:rsidR="0030286B">
        <w:rPr>
          <w:rFonts w:ascii="Times New Roman" w:hAnsi="Times New Roman"/>
          <w:spacing w:val="23"/>
          <w:sz w:val="20"/>
        </w:rPr>
        <w:t xml:space="preserve"> </w:t>
      </w:r>
      <w:r w:rsidR="0030286B">
        <w:rPr>
          <w:color w:val="333333"/>
          <w:w w:val="110"/>
        </w:rPr>
        <w:t xml:space="preserve">The “How-to” section includes a </w:t>
      </w:r>
      <w:hyperlink w:anchor="_bookmark610" w:history="1">
        <w:r w:rsidR="0030286B">
          <w:rPr>
            <w:color w:val="418BCA"/>
            <w:w w:val="110"/>
          </w:rPr>
          <w:t>section on how to initialize a</w:t>
        </w:r>
        <w:r w:rsidR="0030286B">
          <w:rPr>
            <w:color w:val="418BCA"/>
            <w:spacing w:val="43"/>
            <w:w w:val="110"/>
          </w:rPr>
          <w:t xml:space="preserve"> </w:t>
        </w:r>
        <w:r w:rsidR="0030286B">
          <w:rPr>
            <w:color w:val="418BCA"/>
            <w:w w:val="110"/>
          </w:rPr>
          <w:t>database</w:t>
        </w:r>
      </w:hyperlink>
      <w:r w:rsidR="0030286B">
        <w:rPr>
          <w:color w:val="333333"/>
          <w:w w:val="110"/>
        </w:rPr>
        <w:t>.</w:t>
      </w:r>
    </w:p>
    <w:p w14:paraId="7A28439D" w14:textId="77777777" w:rsidR="00A720EB" w:rsidRDefault="0030286B">
      <w:pPr>
        <w:pStyle w:val="a3"/>
        <w:spacing w:before="268" w:line="292" w:lineRule="auto"/>
        <w:ind w:left="124" w:right="124"/>
        <w:jc w:val="both"/>
      </w:pPr>
      <w:r>
        <w:rPr>
          <w:color w:val="333333"/>
          <w:spacing w:val="-4"/>
          <w:w w:val="110"/>
        </w:rPr>
        <w:t xml:space="preserve">To </w:t>
      </w:r>
      <w:r>
        <w:rPr>
          <w:color w:val="333333"/>
          <w:w w:val="110"/>
        </w:rPr>
        <w:t xml:space="preserve">customize the connections created </w:t>
      </w:r>
      <w:r>
        <w:rPr>
          <w:color w:val="333333"/>
          <w:spacing w:val="-3"/>
          <w:w w:val="110"/>
        </w:rPr>
        <w:t xml:space="preserve">by </w:t>
      </w:r>
      <w:r>
        <w:rPr>
          <w:color w:val="333333"/>
          <w:w w:val="110"/>
        </w:rPr>
        <w:t xml:space="preserve">a </w:t>
      </w:r>
      <w:r>
        <w:rPr>
          <w:rFonts w:ascii="MS Gothic"/>
          <w:color w:val="B02045"/>
          <w:w w:val="110"/>
        </w:rPr>
        <w:t>ConnectionFactory</w:t>
      </w:r>
      <w:r>
        <w:rPr>
          <w:color w:val="333333"/>
          <w:w w:val="110"/>
        </w:rPr>
        <w:t xml:space="preserve">, i.e., set specific parameters that you do not want (or cannot) configure in your central database configuration, you can use a </w:t>
      </w:r>
      <w:r>
        <w:rPr>
          <w:rFonts w:ascii="MS Gothic"/>
          <w:color w:val="B02045"/>
          <w:w w:val="110"/>
        </w:rPr>
        <w:t>ConnectionFactoryOptionsBuilderCustomizer</w:t>
      </w:r>
      <w:r>
        <w:rPr>
          <w:rFonts w:ascii="MS Gothic"/>
          <w:color w:val="B02045"/>
          <w:spacing w:val="-79"/>
          <w:w w:val="110"/>
        </w:rPr>
        <w:t xml:space="preserve"> </w:t>
      </w:r>
      <w:r>
        <w:rPr>
          <w:rFonts w:ascii="MS Gothic"/>
          <w:color w:val="B02045"/>
          <w:w w:val="110"/>
        </w:rPr>
        <w:t>@Bean</w:t>
      </w:r>
      <w:r>
        <w:rPr>
          <w:color w:val="333333"/>
          <w:w w:val="110"/>
        </w:rPr>
        <w:t>.</w:t>
      </w:r>
      <w:r>
        <w:rPr>
          <w:color w:val="333333"/>
          <w:spacing w:val="-14"/>
          <w:w w:val="110"/>
        </w:rPr>
        <w:t xml:space="preserve"> </w:t>
      </w:r>
      <w:r>
        <w:rPr>
          <w:color w:val="333333"/>
          <w:w w:val="110"/>
        </w:rPr>
        <w:t>The</w:t>
      </w:r>
      <w:r>
        <w:rPr>
          <w:color w:val="333333"/>
          <w:spacing w:val="-14"/>
          <w:w w:val="110"/>
        </w:rPr>
        <w:t xml:space="preserve"> </w:t>
      </w:r>
      <w:r>
        <w:rPr>
          <w:color w:val="333333"/>
          <w:w w:val="110"/>
        </w:rPr>
        <w:t>following</w:t>
      </w:r>
      <w:r>
        <w:rPr>
          <w:color w:val="333333"/>
          <w:spacing w:val="-14"/>
          <w:w w:val="110"/>
        </w:rPr>
        <w:t xml:space="preserve"> </w:t>
      </w:r>
      <w:r>
        <w:rPr>
          <w:color w:val="333333"/>
          <w:w w:val="110"/>
        </w:rPr>
        <w:t>example</w:t>
      </w:r>
      <w:r>
        <w:rPr>
          <w:color w:val="333333"/>
          <w:spacing w:val="-14"/>
          <w:w w:val="110"/>
        </w:rPr>
        <w:t xml:space="preserve"> </w:t>
      </w:r>
      <w:r>
        <w:rPr>
          <w:color w:val="333333"/>
          <w:w w:val="110"/>
        </w:rPr>
        <w:t>shows</w:t>
      </w:r>
      <w:r>
        <w:rPr>
          <w:color w:val="333333"/>
          <w:spacing w:val="-13"/>
          <w:w w:val="110"/>
        </w:rPr>
        <w:t xml:space="preserve"> </w:t>
      </w:r>
      <w:r>
        <w:rPr>
          <w:color w:val="333333"/>
          <w:w w:val="110"/>
        </w:rPr>
        <w:t>how</w:t>
      </w:r>
      <w:r>
        <w:rPr>
          <w:color w:val="333333"/>
          <w:spacing w:val="-14"/>
          <w:w w:val="110"/>
        </w:rPr>
        <w:t xml:space="preserve"> </w:t>
      </w:r>
      <w:r>
        <w:rPr>
          <w:color w:val="333333"/>
          <w:w w:val="110"/>
        </w:rPr>
        <w:t>to</w:t>
      </w:r>
      <w:r>
        <w:rPr>
          <w:color w:val="333333"/>
          <w:spacing w:val="-14"/>
          <w:w w:val="110"/>
        </w:rPr>
        <w:t xml:space="preserve"> </w:t>
      </w:r>
      <w:r>
        <w:rPr>
          <w:color w:val="333333"/>
          <w:w w:val="110"/>
        </w:rPr>
        <w:t>manually override</w:t>
      </w:r>
      <w:r>
        <w:rPr>
          <w:color w:val="333333"/>
          <w:spacing w:val="5"/>
          <w:w w:val="110"/>
        </w:rPr>
        <w:t xml:space="preserve"> </w:t>
      </w:r>
      <w:r>
        <w:rPr>
          <w:color w:val="333333"/>
          <w:w w:val="110"/>
        </w:rPr>
        <w:t>the</w:t>
      </w:r>
      <w:r>
        <w:rPr>
          <w:color w:val="333333"/>
          <w:spacing w:val="6"/>
          <w:w w:val="110"/>
        </w:rPr>
        <w:t xml:space="preserve"> </w:t>
      </w:r>
      <w:r>
        <w:rPr>
          <w:color w:val="333333"/>
          <w:w w:val="110"/>
        </w:rPr>
        <w:t>database</w:t>
      </w:r>
      <w:r>
        <w:rPr>
          <w:color w:val="333333"/>
          <w:spacing w:val="4"/>
          <w:w w:val="110"/>
        </w:rPr>
        <w:t xml:space="preserve"> </w:t>
      </w:r>
      <w:r>
        <w:rPr>
          <w:color w:val="333333"/>
          <w:w w:val="110"/>
        </w:rPr>
        <w:t>port</w:t>
      </w:r>
      <w:r>
        <w:rPr>
          <w:color w:val="333333"/>
          <w:spacing w:val="5"/>
          <w:w w:val="110"/>
        </w:rPr>
        <w:t xml:space="preserve"> </w:t>
      </w:r>
      <w:r>
        <w:rPr>
          <w:color w:val="333333"/>
          <w:w w:val="110"/>
        </w:rPr>
        <w:t>while</w:t>
      </w:r>
      <w:r>
        <w:rPr>
          <w:color w:val="333333"/>
          <w:spacing w:val="5"/>
          <w:w w:val="110"/>
        </w:rPr>
        <w:t xml:space="preserve"> </w:t>
      </w:r>
      <w:r>
        <w:rPr>
          <w:color w:val="333333"/>
          <w:w w:val="110"/>
        </w:rPr>
        <w:t>the</w:t>
      </w:r>
      <w:r>
        <w:rPr>
          <w:color w:val="333333"/>
          <w:spacing w:val="5"/>
          <w:w w:val="110"/>
        </w:rPr>
        <w:t xml:space="preserve"> </w:t>
      </w:r>
      <w:r>
        <w:rPr>
          <w:color w:val="333333"/>
          <w:w w:val="110"/>
        </w:rPr>
        <w:t>rest</w:t>
      </w:r>
      <w:r>
        <w:rPr>
          <w:color w:val="333333"/>
          <w:spacing w:val="6"/>
          <w:w w:val="110"/>
        </w:rPr>
        <w:t xml:space="preserve"> </w:t>
      </w:r>
      <w:r>
        <w:rPr>
          <w:color w:val="333333"/>
          <w:w w:val="110"/>
        </w:rPr>
        <w:t>of</w:t>
      </w:r>
      <w:r>
        <w:rPr>
          <w:color w:val="333333"/>
          <w:spacing w:val="6"/>
          <w:w w:val="110"/>
        </w:rPr>
        <w:t xml:space="preserve"> </w:t>
      </w:r>
      <w:r>
        <w:rPr>
          <w:color w:val="333333"/>
          <w:w w:val="110"/>
        </w:rPr>
        <w:t>the</w:t>
      </w:r>
      <w:r>
        <w:rPr>
          <w:color w:val="333333"/>
          <w:spacing w:val="5"/>
          <w:w w:val="110"/>
        </w:rPr>
        <w:t xml:space="preserve"> </w:t>
      </w:r>
      <w:r>
        <w:rPr>
          <w:color w:val="333333"/>
          <w:w w:val="110"/>
        </w:rPr>
        <w:t>options</w:t>
      </w:r>
      <w:r>
        <w:rPr>
          <w:color w:val="333333"/>
          <w:spacing w:val="6"/>
          <w:w w:val="110"/>
        </w:rPr>
        <w:t xml:space="preserve"> </w:t>
      </w:r>
      <w:r>
        <w:rPr>
          <w:color w:val="333333"/>
          <w:w w:val="110"/>
        </w:rPr>
        <w:t>is</w:t>
      </w:r>
      <w:r>
        <w:rPr>
          <w:color w:val="333333"/>
          <w:spacing w:val="5"/>
          <w:w w:val="110"/>
        </w:rPr>
        <w:t xml:space="preserve"> </w:t>
      </w:r>
      <w:r>
        <w:rPr>
          <w:color w:val="333333"/>
          <w:w w:val="110"/>
        </w:rPr>
        <w:t>taken</w:t>
      </w:r>
      <w:r>
        <w:rPr>
          <w:color w:val="333333"/>
          <w:spacing w:val="5"/>
          <w:w w:val="110"/>
        </w:rPr>
        <w:t xml:space="preserve"> </w:t>
      </w:r>
      <w:r>
        <w:rPr>
          <w:color w:val="333333"/>
          <w:w w:val="110"/>
        </w:rPr>
        <w:t>from</w:t>
      </w:r>
      <w:r>
        <w:rPr>
          <w:color w:val="333333"/>
          <w:spacing w:val="6"/>
          <w:w w:val="110"/>
        </w:rPr>
        <w:t xml:space="preserve"> </w:t>
      </w:r>
      <w:r>
        <w:rPr>
          <w:color w:val="333333"/>
          <w:w w:val="110"/>
        </w:rPr>
        <w:t>the</w:t>
      </w:r>
      <w:r>
        <w:rPr>
          <w:color w:val="333333"/>
          <w:spacing w:val="6"/>
          <w:w w:val="110"/>
        </w:rPr>
        <w:t xml:space="preserve"> </w:t>
      </w:r>
      <w:r>
        <w:rPr>
          <w:color w:val="333333"/>
          <w:w w:val="110"/>
        </w:rPr>
        <w:t>application</w:t>
      </w:r>
      <w:r>
        <w:rPr>
          <w:color w:val="333333"/>
          <w:spacing w:val="4"/>
          <w:w w:val="110"/>
        </w:rPr>
        <w:t xml:space="preserve"> </w:t>
      </w:r>
      <w:r>
        <w:rPr>
          <w:color w:val="333333"/>
          <w:w w:val="110"/>
        </w:rPr>
        <w:t>configuration:</w:t>
      </w:r>
    </w:p>
    <w:p w14:paraId="75B6E8A6" w14:textId="77777777" w:rsidR="00A720EB" w:rsidRDefault="00E10349">
      <w:pPr>
        <w:pStyle w:val="a3"/>
        <w:spacing w:before="5"/>
        <w:rPr>
          <w:sz w:val="14"/>
        </w:rPr>
      </w:pPr>
      <w:r>
        <w:pict w14:anchorId="7D569A6B">
          <v:group id="_x0000_s4125" style="position:absolute;margin-left:47.85pt;margin-top:10.45pt;width:499.55pt;height:81.75pt;z-index:-15478784;mso-wrap-distance-left:0;mso-wrap-distance-right:0;mso-position-horizontal-relative:page" coordorigin="957,209" coordsize="9991,1635">
            <v:shape id="_x0000_s4128" style="position:absolute;left:964;top:216;width:9976;height:1620" coordorigin="965,216" coordsize="9976,1620" path="m10861,216r-9816,l1014,223r-26,17l971,265r-6,31l965,1756r6,31l988,1812r26,17l1045,1836r9816,l10892,1829r25,-17l10935,1787r6,-31l10941,296r-6,-31l10917,240r-25,-17l10861,216xe" fillcolor="#f5f5f5" stroked="f">
              <v:path arrowok="t"/>
            </v:shape>
            <v:shape id="_x0000_s4127" style="position:absolute;left:964;top:216;width:9976;height:1620" coordorigin="965,216" coordsize="9976,1620" path="m1045,216r9816,l10892,223r25,17l10935,265r6,31l10941,1756r-6,31l10917,1812r-25,17l10861,1836r-9816,l1014,1829r-26,-17l971,1787r-6,-31l965,296r6,-31l988,240r26,-17l1045,216xe" filled="f" strokecolor="#ccc">
              <v:path arrowok="t"/>
            </v:shape>
            <v:shape id="_x0000_s4126" type="#_x0000_t202" style="position:absolute;left:984;top:231;width:9938;height:1589" filled="f" stroked="f">
              <v:textbox inset="0,0,0,0">
                <w:txbxContent>
                  <w:p w14:paraId="72F628F6" w14:textId="77777777" w:rsidR="00711A16" w:rsidRDefault="00711A16">
                    <w:pPr>
                      <w:spacing w:before="221"/>
                      <w:ind w:left="200"/>
                      <w:rPr>
                        <w:rFonts w:ascii="MS Gothic"/>
                      </w:rPr>
                    </w:pPr>
                    <w:r>
                      <w:rPr>
                        <w:rFonts w:ascii="MS Gothic"/>
                        <w:color w:val="333333"/>
                      </w:rPr>
                      <w:t>@Bean</w:t>
                    </w:r>
                  </w:p>
                  <w:p w14:paraId="688E5515" w14:textId="77777777" w:rsidR="00711A16" w:rsidRDefault="00711A16">
                    <w:pPr>
                      <w:spacing w:before="13" w:line="252" w:lineRule="auto"/>
                      <w:ind w:left="640" w:right="478" w:hanging="440"/>
                      <w:rPr>
                        <w:rFonts w:ascii="MS Gothic"/>
                      </w:rPr>
                    </w:pPr>
                    <w:r>
                      <w:rPr>
                        <w:rFonts w:ascii="MS Gothic"/>
                        <w:color w:val="333333"/>
                      </w:rPr>
                      <w:t xml:space="preserve">public ConnectionFactoryOptionsBuilderCustomizer </w:t>
                    </w:r>
                    <w:proofErr w:type="gramStart"/>
                    <w:r>
                      <w:rPr>
                        <w:rFonts w:ascii="MS Gothic"/>
                        <w:color w:val="333333"/>
                      </w:rPr>
                      <w:t>connectionFactoryPortCustomizer(</w:t>
                    </w:r>
                    <w:proofErr w:type="gramEnd"/>
                    <w:r>
                      <w:rPr>
                        <w:rFonts w:ascii="MS Gothic"/>
                        <w:color w:val="333333"/>
                      </w:rPr>
                      <w:t>) { return (builder) -&gt; builder.option(PORT, 5432);</w:t>
                    </w:r>
                  </w:p>
                  <w:p w14:paraId="3763003D"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05082A02" w14:textId="77777777" w:rsidR="00A720EB" w:rsidRDefault="00A720EB">
      <w:pPr>
        <w:pStyle w:val="a3"/>
        <w:rPr>
          <w:sz w:val="10"/>
        </w:rPr>
      </w:pPr>
    </w:p>
    <w:p w14:paraId="25405264" w14:textId="77777777" w:rsidR="00A720EB" w:rsidRDefault="0030286B">
      <w:pPr>
        <w:pStyle w:val="a3"/>
        <w:spacing w:before="125"/>
        <w:ind w:left="124"/>
      </w:pPr>
      <w:r>
        <w:rPr>
          <w:color w:val="333333"/>
          <w:w w:val="110"/>
        </w:rPr>
        <w:t>The following examples shows how to set some PostgreSQL connection options:</w:t>
      </w:r>
    </w:p>
    <w:p w14:paraId="2FA57AA1" w14:textId="77777777" w:rsidR="00A720EB" w:rsidRDefault="00E10349">
      <w:pPr>
        <w:pStyle w:val="a3"/>
        <w:rPr>
          <w:sz w:val="19"/>
        </w:rPr>
      </w:pPr>
      <w:r>
        <w:pict w14:anchorId="7E6EFDD8">
          <v:group id="_x0000_s4121" style="position:absolute;margin-left:47.85pt;margin-top:13.15pt;width:499.55pt;height:125.95pt;z-index:-15478272;mso-wrap-distance-left:0;mso-wrap-distance-right:0;mso-position-horizontal-relative:page" coordorigin="957,263" coordsize="9991,2519">
            <v:shape id="_x0000_s4124" style="position:absolute;left:964;top:270;width:9976;height:2504" coordorigin="965,270" coordsize="9976,2504" path="m10861,270r-9816,l1014,276r-26,18l971,319r-6,31l965,2694r6,31l988,2750r26,17l1045,2774r9816,l10892,2767r25,-17l10935,2725r6,-31l10941,350r-6,-31l10917,294r-25,-18l10861,270xe" fillcolor="#f5f5f5" stroked="f">
              <v:path arrowok="t"/>
            </v:shape>
            <v:shape id="_x0000_s4123" style="position:absolute;left:964;top:270;width:9976;height:2504" coordorigin="965,270" coordsize="9976,2504" path="m1045,270r9816,l10892,276r25,18l10935,319r6,31l10941,2694r-6,31l10917,2750r-25,17l10861,2774r-9816,l1014,2767r-26,-17l971,2725r-6,-31l965,350r6,-31l988,294r26,-18l1045,270xe" filled="f" strokecolor="#ccc">
              <v:path arrowok="t"/>
            </v:shape>
            <v:shape id="_x0000_s4122" type="#_x0000_t202" style="position:absolute;left:984;top:285;width:9938;height:2473" filled="f" stroked="f">
              <v:textbox inset="0,0,0,0">
                <w:txbxContent>
                  <w:p w14:paraId="4856C4BC" w14:textId="77777777" w:rsidR="00711A16" w:rsidRDefault="00711A16">
                    <w:pPr>
                      <w:spacing w:before="221"/>
                      <w:ind w:left="200"/>
                      <w:rPr>
                        <w:rFonts w:ascii="MS Gothic"/>
                      </w:rPr>
                    </w:pPr>
                    <w:r>
                      <w:rPr>
                        <w:rFonts w:ascii="MS Gothic"/>
                        <w:color w:val="333333"/>
                      </w:rPr>
                      <w:t>@Bean</w:t>
                    </w:r>
                  </w:p>
                  <w:p w14:paraId="43C633FE" w14:textId="77777777" w:rsidR="00711A16" w:rsidRDefault="00711A16">
                    <w:pPr>
                      <w:spacing w:before="13" w:line="252" w:lineRule="auto"/>
                      <w:ind w:left="640" w:right="1924" w:hanging="440"/>
                      <w:rPr>
                        <w:rFonts w:ascii="MS Gothic"/>
                      </w:rPr>
                    </w:pPr>
                    <w:r>
                      <w:rPr>
                        <w:rFonts w:ascii="MS Gothic"/>
                        <w:color w:val="333333"/>
                      </w:rPr>
                      <w:t xml:space="preserve">public ConnectionFactoryOptionsBuilderCustomizer </w:t>
                    </w:r>
                    <w:proofErr w:type="gramStart"/>
                    <w:r>
                      <w:rPr>
                        <w:rFonts w:ascii="MS Gothic"/>
                        <w:color w:val="333333"/>
                      </w:rPr>
                      <w:t>postgresCustomizer(</w:t>
                    </w:r>
                    <w:proofErr w:type="gramEnd"/>
                    <w:r>
                      <w:rPr>
                        <w:rFonts w:ascii="MS Gothic"/>
                        <w:color w:val="333333"/>
                      </w:rPr>
                      <w:t xml:space="preserve">) </w:t>
                    </w:r>
                    <w:r>
                      <w:rPr>
                        <w:rFonts w:ascii="MS Gothic"/>
                        <w:color w:val="333333"/>
                        <w:spacing w:val="-17"/>
                      </w:rPr>
                      <w:t xml:space="preserve">{ </w:t>
                    </w:r>
                    <w:r>
                      <w:rPr>
                        <w:rFonts w:ascii="MS Gothic"/>
                        <w:color w:val="333333"/>
                      </w:rPr>
                      <w:t>Map&lt;String, String&gt; options = new HashMap&lt;&gt;(); options.put("lock_timeout", "30s"); options.put("statement_timeout", "60s");</w:t>
                    </w:r>
                  </w:p>
                  <w:p w14:paraId="25C56CFE" w14:textId="77777777" w:rsidR="00711A16" w:rsidRDefault="00711A16">
                    <w:pPr>
                      <w:spacing w:line="277" w:lineRule="exact"/>
                      <w:ind w:left="640"/>
                      <w:rPr>
                        <w:rFonts w:ascii="MS Gothic"/>
                      </w:rPr>
                    </w:pPr>
                    <w:r>
                      <w:rPr>
                        <w:rFonts w:ascii="MS Gothic"/>
                        <w:color w:val="333333"/>
                      </w:rPr>
                      <w:t xml:space="preserve">return (builder) -&gt; </w:t>
                    </w:r>
                    <w:proofErr w:type="gramStart"/>
                    <w:r>
                      <w:rPr>
                        <w:rFonts w:ascii="MS Gothic"/>
                        <w:color w:val="333333"/>
                      </w:rPr>
                      <w:t>builder.option</w:t>
                    </w:r>
                    <w:proofErr w:type="gramEnd"/>
                    <w:r>
                      <w:rPr>
                        <w:rFonts w:ascii="MS Gothic"/>
                        <w:color w:val="333333"/>
                      </w:rPr>
                      <w:t>(OPTIONS, options);</w:t>
                    </w:r>
                  </w:p>
                  <w:p w14:paraId="21F31E52"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7A5E4415" w14:textId="77777777" w:rsidR="00A720EB" w:rsidRDefault="00A720EB">
      <w:pPr>
        <w:pStyle w:val="a3"/>
        <w:spacing w:before="11"/>
        <w:rPr>
          <w:sz w:val="9"/>
        </w:rPr>
      </w:pPr>
    </w:p>
    <w:p w14:paraId="0D66D26B" w14:textId="77777777" w:rsidR="00A720EB" w:rsidRDefault="0030286B">
      <w:pPr>
        <w:pStyle w:val="a3"/>
        <w:spacing w:before="115" w:line="290" w:lineRule="auto"/>
        <w:ind w:left="124" w:right="126"/>
        <w:jc w:val="both"/>
      </w:pPr>
      <w:r>
        <w:rPr>
          <w:color w:val="333333"/>
          <w:w w:val="110"/>
        </w:rPr>
        <w:t xml:space="preserve">When a </w:t>
      </w:r>
      <w:r>
        <w:rPr>
          <w:rFonts w:ascii="MS Gothic"/>
          <w:color w:val="B02045"/>
          <w:w w:val="110"/>
        </w:rPr>
        <w:t xml:space="preserve">ConnectionFactory </w:t>
      </w:r>
      <w:r>
        <w:rPr>
          <w:color w:val="333333"/>
          <w:w w:val="110"/>
        </w:rPr>
        <w:t xml:space="preserve">bean is available, the regular JDBC </w:t>
      </w:r>
      <w:r>
        <w:rPr>
          <w:rFonts w:ascii="MS Gothic"/>
          <w:color w:val="B02045"/>
          <w:w w:val="110"/>
        </w:rPr>
        <w:t>DataSource</w:t>
      </w:r>
      <w:r>
        <w:rPr>
          <w:rFonts w:ascii="MS Gothic"/>
          <w:color w:val="B02045"/>
          <w:spacing w:val="-80"/>
          <w:w w:val="110"/>
        </w:rPr>
        <w:t xml:space="preserve"> </w:t>
      </w:r>
      <w:r>
        <w:rPr>
          <w:color w:val="333333"/>
          <w:w w:val="110"/>
        </w:rPr>
        <w:t xml:space="preserve">auto-configuration backs off. If you want to retain the JDBC </w:t>
      </w:r>
      <w:r>
        <w:rPr>
          <w:rFonts w:ascii="MS Gothic"/>
          <w:color w:val="B02045"/>
          <w:w w:val="110"/>
        </w:rPr>
        <w:t xml:space="preserve">DataSource </w:t>
      </w:r>
      <w:r>
        <w:rPr>
          <w:color w:val="333333"/>
          <w:w w:val="110"/>
        </w:rPr>
        <w:t xml:space="preserve">auto-configuration, and are comfortable with the risk of using the blocking JDBC API in a reactive application, add </w:t>
      </w:r>
      <w:r>
        <w:rPr>
          <w:rFonts w:ascii="MS Gothic"/>
          <w:color w:val="B02045"/>
          <w:w w:val="110"/>
        </w:rPr>
        <w:t>@</w:t>
      </w:r>
      <w:proofErr w:type="gramStart"/>
      <w:r>
        <w:rPr>
          <w:rFonts w:ascii="MS Gothic"/>
          <w:color w:val="B02045"/>
          <w:w w:val="110"/>
        </w:rPr>
        <w:t>Import(</w:t>
      </w:r>
      <w:proofErr w:type="gramEnd"/>
      <w:r>
        <w:rPr>
          <w:rFonts w:ascii="MS Gothic"/>
          <w:color w:val="B02045"/>
          <w:w w:val="110"/>
        </w:rPr>
        <w:t>DataSourceAutoConfiguration.class)</w:t>
      </w:r>
      <w:r>
        <w:rPr>
          <w:rFonts w:ascii="MS Gothic"/>
          <w:color w:val="B02045"/>
          <w:spacing w:val="-70"/>
          <w:w w:val="110"/>
        </w:rPr>
        <w:t xml:space="preserve"> </w:t>
      </w:r>
      <w:r>
        <w:rPr>
          <w:color w:val="333333"/>
          <w:w w:val="110"/>
        </w:rPr>
        <w:t>on</w:t>
      </w:r>
      <w:r>
        <w:rPr>
          <w:color w:val="333333"/>
          <w:spacing w:val="-5"/>
          <w:w w:val="110"/>
        </w:rPr>
        <w:t xml:space="preserve"> </w:t>
      </w:r>
      <w:r>
        <w:rPr>
          <w:color w:val="333333"/>
          <w:w w:val="110"/>
        </w:rPr>
        <w:t>a</w:t>
      </w:r>
      <w:r>
        <w:rPr>
          <w:color w:val="333333"/>
          <w:spacing w:val="-5"/>
          <w:w w:val="110"/>
        </w:rPr>
        <w:t xml:space="preserve"> </w:t>
      </w:r>
      <w:r>
        <w:rPr>
          <w:rFonts w:ascii="MS Gothic"/>
          <w:color w:val="B02045"/>
          <w:w w:val="110"/>
        </w:rPr>
        <w:t>@Configuration</w:t>
      </w:r>
      <w:r>
        <w:rPr>
          <w:rFonts w:ascii="MS Gothic"/>
          <w:color w:val="B02045"/>
          <w:spacing w:val="-69"/>
          <w:w w:val="110"/>
        </w:rPr>
        <w:t xml:space="preserve"> </w:t>
      </w:r>
      <w:r>
        <w:rPr>
          <w:color w:val="333333"/>
          <w:w w:val="110"/>
        </w:rPr>
        <w:t>class</w:t>
      </w:r>
      <w:r>
        <w:rPr>
          <w:color w:val="333333"/>
          <w:spacing w:val="-5"/>
          <w:w w:val="110"/>
        </w:rPr>
        <w:t xml:space="preserve"> </w:t>
      </w:r>
      <w:r>
        <w:rPr>
          <w:color w:val="333333"/>
          <w:w w:val="110"/>
        </w:rPr>
        <w:t>in</w:t>
      </w:r>
      <w:r>
        <w:rPr>
          <w:color w:val="333333"/>
          <w:spacing w:val="-5"/>
          <w:w w:val="110"/>
        </w:rPr>
        <w:t xml:space="preserve"> </w:t>
      </w:r>
      <w:r>
        <w:rPr>
          <w:color w:val="333333"/>
          <w:w w:val="110"/>
        </w:rPr>
        <w:t>your</w:t>
      </w:r>
      <w:r>
        <w:rPr>
          <w:color w:val="333333"/>
          <w:spacing w:val="-5"/>
          <w:w w:val="110"/>
        </w:rPr>
        <w:t xml:space="preserve"> </w:t>
      </w:r>
      <w:r>
        <w:rPr>
          <w:color w:val="333333"/>
          <w:w w:val="110"/>
        </w:rPr>
        <w:t>application</w:t>
      </w:r>
      <w:r>
        <w:rPr>
          <w:color w:val="333333"/>
          <w:spacing w:val="-5"/>
          <w:w w:val="110"/>
        </w:rPr>
        <w:t xml:space="preserve"> </w:t>
      </w:r>
      <w:r>
        <w:rPr>
          <w:color w:val="333333"/>
          <w:w w:val="110"/>
        </w:rPr>
        <w:t>to</w:t>
      </w:r>
      <w:r>
        <w:rPr>
          <w:color w:val="333333"/>
          <w:spacing w:val="-5"/>
          <w:w w:val="110"/>
        </w:rPr>
        <w:t xml:space="preserve"> </w:t>
      </w:r>
      <w:r>
        <w:rPr>
          <w:color w:val="333333"/>
          <w:w w:val="110"/>
        </w:rPr>
        <w:t>re- enable</w:t>
      </w:r>
      <w:r>
        <w:rPr>
          <w:color w:val="333333"/>
          <w:spacing w:val="3"/>
          <w:w w:val="110"/>
        </w:rPr>
        <w:t xml:space="preserve"> </w:t>
      </w:r>
      <w:r>
        <w:rPr>
          <w:color w:val="333333"/>
          <w:w w:val="110"/>
        </w:rPr>
        <w:t>it.</w:t>
      </w:r>
    </w:p>
    <w:p w14:paraId="3CA2FEDB" w14:textId="77777777" w:rsidR="00A720EB" w:rsidRDefault="00A720EB">
      <w:pPr>
        <w:pStyle w:val="a3"/>
        <w:rPr>
          <w:sz w:val="27"/>
        </w:rPr>
      </w:pPr>
    </w:p>
    <w:p w14:paraId="5417E2F0" w14:textId="77777777" w:rsidR="00A720EB" w:rsidRDefault="0030286B">
      <w:pPr>
        <w:pStyle w:val="4"/>
      </w:pPr>
      <w:bookmarkStart w:id="337" w:name="Embedded_Database_Support"/>
      <w:bookmarkEnd w:id="337"/>
      <w:r>
        <w:rPr>
          <w:color w:val="333333"/>
          <w:w w:val="110"/>
        </w:rPr>
        <w:t>Embedded Database Support</w:t>
      </w:r>
    </w:p>
    <w:p w14:paraId="3369E0B0" w14:textId="77777777" w:rsidR="00A720EB" w:rsidRDefault="00A720EB">
      <w:pPr>
        <w:pStyle w:val="a3"/>
        <w:spacing w:before="11"/>
        <w:rPr>
          <w:rFonts w:ascii="Palatino Linotype"/>
          <w:b/>
          <w:sz w:val="18"/>
        </w:rPr>
      </w:pPr>
    </w:p>
    <w:p w14:paraId="7FDD8F0F" w14:textId="77777777" w:rsidR="00A720EB" w:rsidRDefault="0030286B">
      <w:pPr>
        <w:pStyle w:val="a3"/>
        <w:spacing w:line="307" w:lineRule="auto"/>
        <w:ind w:left="124" w:right="129"/>
        <w:jc w:val="both"/>
      </w:pPr>
      <w:r>
        <w:rPr>
          <w:color w:val="333333"/>
          <w:w w:val="110"/>
        </w:rPr>
        <w:t xml:space="preserve">Similarly to </w:t>
      </w:r>
      <w:hyperlink w:anchor="_bookmark200" w:history="1">
        <w:r>
          <w:rPr>
            <w:color w:val="418BCA"/>
            <w:w w:val="110"/>
          </w:rPr>
          <w:t>the JDBC support</w:t>
        </w:r>
      </w:hyperlink>
      <w:r>
        <w:rPr>
          <w:color w:val="333333"/>
          <w:w w:val="110"/>
        </w:rPr>
        <w:t xml:space="preserve">, Spring Boot can automatically configure an embedded database </w:t>
      </w:r>
      <w:proofErr w:type="gramStart"/>
      <w:r>
        <w:rPr>
          <w:color w:val="333333"/>
          <w:w w:val="110"/>
        </w:rPr>
        <w:t>for  reactive</w:t>
      </w:r>
      <w:proofErr w:type="gramEnd"/>
      <w:r>
        <w:rPr>
          <w:color w:val="333333"/>
          <w:w w:val="110"/>
        </w:rPr>
        <w:t xml:space="preserve"> usage. </w:t>
      </w:r>
      <w:r>
        <w:rPr>
          <w:color w:val="333333"/>
          <w:spacing w:val="-6"/>
          <w:w w:val="110"/>
        </w:rPr>
        <w:t xml:space="preserve">You </w:t>
      </w:r>
      <w:r>
        <w:rPr>
          <w:color w:val="333333"/>
          <w:w w:val="110"/>
        </w:rPr>
        <w:t xml:space="preserve">need not provide any connection URLs. </w:t>
      </w:r>
      <w:r>
        <w:rPr>
          <w:color w:val="333333"/>
          <w:spacing w:val="-6"/>
          <w:w w:val="110"/>
        </w:rPr>
        <w:t xml:space="preserve">You </w:t>
      </w:r>
      <w:r>
        <w:rPr>
          <w:color w:val="333333"/>
          <w:w w:val="110"/>
        </w:rPr>
        <w:t>need only include a build</w:t>
      </w:r>
      <w:r>
        <w:rPr>
          <w:color w:val="333333"/>
          <w:spacing w:val="50"/>
          <w:w w:val="110"/>
        </w:rPr>
        <w:t xml:space="preserve"> </w:t>
      </w:r>
      <w:r>
        <w:rPr>
          <w:color w:val="333333"/>
          <w:w w:val="110"/>
        </w:rPr>
        <w:t>dependency</w:t>
      </w:r>
      <w:r>
        <w:rPr>
          <w:color w:val="333333"/>
          <w:spacing w:val="4"/>
          <w:w w:val="110"/>
        </w:rPr>
        <w:t xml:space="preserve"> </w:t>
      </w:r>
      <w:r>
        <w:rPr>
          <w:color w:val="333333"/>
          <w:w w:val="110"/>
        </w:rPr>
        <w:t>to</w:t>
      </w:r>
      <w:r>
        <w:rPr>
          <w:color w:val="333333"/>
          <w:spacing w:val="6"/>
          <w:w w:val="110"/>
        </w:rPr>
        <w:t xml:space="preserve"> </w:t>
      </w:r>
      <w:r>
        <w:rPr>
          <w:color w:val="333333"/>
          <w:w w:val="110"/>
        </w:rPr>
        <w:t>the</w:t>
      </w:r>
      <w:r>
        <w:rPr>
          <w:color w:val="333333"/>
          <w:spacing w:val="6"/>
          <w:w w:val="110"/>
        </w:rPr>
        <w:t xml:space="preserve"> </w:t>
      </w:r>
      <w:r>
        <w:rPr>
          <w:color w:val="333333"/>
          <w:w w:val="110"/>
        </w:rPr>
        <w:t>embedded</w:t>
      </w:r>
      <w:r>
        <w:rPr>
          <w:color w:val="333333"/>
          <w:spacing w:val="6"/>
          <w:w w:val="110"/>
        </w:rPr>
        <w:t xml:space="preserve"> </w:t>
      </w:r>
      <w:r>
        <w:rPr>
          <w:color w:val="333333"/>
          <w:w w:val="110"/>
        </w:rPr>
        <w:t>database</w:t>
      </w:r>
      <w:r>
        <w:rPr>
          <w:color w:val="333333"/>
          <w:spacing w:val="4"/>
          <w:w w:val="110"/>
        </w:rPr>
        <w:t xml:space="preserve"> </w:t>
      </w:r>
      <w:r>
        <w:rPr>
          <w:color w:val="333333"/>
          <w:w w:val="110"/>
        </w:rPr>
        <w:t>that</w:t>
      </w:r>
      <w:r>
        <w:rPr>
          <w:color w:val="333333"/>
          <w:spacing w:val="6"/>
          <w:w w:val="110"/>
        </w:rPr>
        <w:t xml:space="preserve"> </w:t>
      </w:r>
      <w:r>
        <w:rPr>
          <w:color w:val="333333"/>
          <w:w w:val="110"/>
        </w:rPr>
        <w:t>you</w:t>
      </w:r>
      <w:r>
        <w:rPr>
          <w:color w:val="333333"/>
          <w:spacing w:val="5"/>
          <w:w w:val="110"/>
        </w:rPr>
        <w:t xml:space="preserve"> </w:t>
      </w:r>
      <w:r>
        <w:rPr>
          <w:color w:val="333333"/>
          <w:w w:val="110"/>
        </w:rPr>
        <w:t>want</w:t>
      </w:r>
      <w:r>
        <w:rPr>
          <w:color w:val="333333"/>
          <w:spacing w:val="5"/>
          <w:w w:val="110"/>
        </w:rPr>
        <w:t xml:space="preserve"> </w:t>
      </w:r>
      <w:r>
        <w:rPr>
          <w:color w:val="333333"/>
          <w:w w:val="110"/>
        </w:rPr>
        <w:t>to</w:t>
      </w:r>
      <w:r>
        <w:rPr>
          <w:color w:val="333333"/>
          <w:spacing w:val="5"/>
          <w:w w:val="110"/>
        </w:rPr>
        <w:t xml:space="preserve"> </w:t>
      </w:r>
      <w:r>
        <w:rPr>
          <w:color w:val="333333"/>
          <w:w w:val="110"/>
        </w:rPr>
        <w:t>use,</w:t>
      </w:r>
      <w:r>
        <w:rPr>
          <w:color w:val="333333"/>
          <w:spacing w:val="5"/>
          <w:w w:val="110"/>
        </w:rPr>
        <w:t xml:space="preserve"> </w:t>
      </w:r>
      <w:r>
        <w:rPr>
          <w:color w:val="333333"/>
          <w:w w:val="110"/>
        </w:rPr>
        <w:t>as</w:t>
      </w:r>
      <w:r>
        <w:rPr>
          <w:color w:val="333333"/>
          <w:spacing w:val="5"/>
          <w:w w:val="110"/>
        </w:rPr>
        <w:t xml:space="preserve"> </w:t>
      </w:r>
      <w:r>
        <w:rPr>
          <w:color w:val="333333"/>
          <w:w w:val="110"/>
        </w:rPr>
        <w:t>shown</w:t>
      </w:r>
      <w:r>
        <w:rPr>
          <w:color w:val="333333"/>
          <w:spacing w:val="6"/>
          <w:w w:val="110"/>
        </w:rPr>
        <w:t xml:space="preserve"> </w:t>
      </w:r>
      <w:r>
        <w:rPr>
          <w:color w:val="333333"/>
          <w:w w:val="110"/>
        </w:rPr>
        <w:t>in</w:t>
      </w:r>
      <w:r>
        <w:rPr>
          <w:color w:val="333333"/>
          <w:spacing w:val="5"/>
          <w:w w:val="110"/>
        </w:rPr>
        <w:t xml:space="preserve"> </w:t>
      </w:r>
      <w:r>
        <w:rPr>
          <w:color w:val="333333"/>
          <w:w w:val="110"/>
        </w:rPr>
        <w:t>the</w:t>
      </w:r>
      <w:r>
        <w:rPr>
          <w:color w:val="333333"/>
          <w:spacing w:val="5"/>
          <w:w w:val="110"/>
        </w:rPr>
        <w:t xml:space="preserve"> </w:t>
      </w:r>
      <w:r>
        <w:rPr>
          <w:color w:val="333333"/>
          <w:w w:val="110"/>
        </w:rPr>
        <w:t>following</w:t>
      </w:r>
      <w:r>
        <w:rPr>
          <w:color w:val="333333"/>
          <w:spacing w:val="6"/>
          <w:w w:val="110"/>
        </w:rPr>
        <w:t xml:space="preserve"> </w:t>
      </w:r>
      <w:r>
        <w:rPr>
          <w:color w:val="333333"/>
          <w:w w:val="110"/>
        </w:rPr>
        <w:t>example:</w:t>
      </w:r>
    </w:p>
    <w:p w14:paraId="71C62B75" w14:textId="77777777" w:rsidR="00A720EB" w:rsidRDefault="00A720EB">
      <w:pPr>
        <w:spacing w:line="307" w:lineRule="auto"/>
        <w:jc w:val="both"/>
        <w:sectPr w:rsidR="00A720EB">
          <w:pgSz w:w="11910" w:h="16840"/>
          <w:pgMar w:top="700" w:right="840" w:bottom="520" w:left="840" w:header="0" w:footer="323" w:gutter="0"/>
          <w:cols w:space="720"/>
        </w:sectPr>
      </w:pPr>
    </w:p>
    <w:p w14:paraId="5A7E0ED4" w14:textId="77777777" w:rsidR="00A720EB" w:rsidRDefault="00E10349">
      <w:pPr>
        <w:pStyle w:val="a3"/>
        <w:ind w:left="116"/>
        <w:rPr>
          <w:sz w:val="20"/>
        </w:rPr>
      </w:pPr>
      <w:r>
        <w:rPr>
          <w:sz w:val="20"/>
        </w:rPr>
      </w:r>
      <w:r>
        <w:rPr>
          <w:sz w:val="20"/>
        </w:rPr>
        <w:pict w14:anchorId="2CAF03D3">
          <v:group id="_x0000_s4117" style="width:499.55pt;height:96.45pt;mso-position-horizontal-relative:char;mso-position-vertical-relative:line" coordsize="9991,1929">
            <v:shape id="_x0000_s4120" style="position:absolute;left:7;top:7;width:9976;height:1914" coordorigin="8,8" coordsize="9976,1914" path="m9904,8l88,8,56,14,31,31,14,56,8,88r,1753l14,1873r17,25l56,1915r32,6l9904,1921r31,-6l9960,1898r17,-25l9984,1841r,-1753l9977,56,9960,31,9935,14,9904,8xe" fillcolor="#f5f5f5" stroked="f">
              <v:path arrowok="t"/>
            </v:shape>
            <v:shape id="_x0000_s4119" style="position:absolute;left:7;top:7;width:9976;height:1914" coordorigin="8,8" coordsize="9976,1914" path="m88,8r9816,l9935,14r25,17l9977,56r7,32l9984,1841r-7,32l9960,1898r-25,17l9904,1921r-9816,l56,1915,31,1898,14,1873,8,1841,8,88,14,56,31,31,56,14,88,8xe" filled="f" strokecolor="#ccc">
              <v:path arrowok="t"/>
            </v:shape>
            <v:shape id="_x0000_s4118" type="#_x0000_t202" style="position:absolute;left:26;top:22;width:9938;height:1884" filled="f" stroked="f">
              <v:textbox inset="0,0,0,0">
                <w:txbxContent>
                  <w:p w14:paraId="34E8DE04" w14:textId="77777777" w:rsidR="00711A16" w:rsidRDefault="00711A16">
                    <w:pPr>
                      <w:spacing w:before="221"/>
                      <w:ind w:left="200"/>
                      <w:rPr>
                        <w:rFonts w:ascii="MS Gothic"/>
                      </w:rPr>
                    </w:pPr>
                    <w:r>
                      <w:rPr>
                        <w:rFonts w:ascii="MS Gothic"/>
                        <w:color w:val="333333"/>
                      </w:rPr>
                      <w:t>&lt;dependency&gt;</w:t>
                    </w:r>
                  </w:p>
                  <w:p w14:paraId="649A0D14" w14:textId="77777777" w:rsidR="00711A16" w:rsidRDefault="00711A16">
                    <w:pPr>
                      <w:spacing w:before="13"/>
                      <w:ind w:left="640"/>
                      <w:rPr>
                        <w:rFonts w:ascii="MS Gothic"/>
                      </w:rPr>
                    </w:pPr>
                    <w:r>
                      <w:rPr>
                        <w:rFonts w:ascii="MS Gothic"/>
                        <w:color w:val="333333"/>
                      </w:rPr>
                      <w:t>&lt;groupId&gt;io.r2dbc&lt;/groupId&gt;</w:t>
                    </w:r>
                  </w:p>
                  <w:p w14:paraId="04F49901" w14:textId="77777777" w:rsidR="00711A16" w:rsidRDefault="00711A16">
                    <w:pPr>
                      <w:spacing w:before="13"/>
                      <w:ind w:left="640"/>
                      <w:rPr>
                        <w:rFonts w:ascii="MS Gothic"/>
                      </w:rPr>
                    </w:pPr>
                    <w:r>
                      <w:rPr>
                        <w:rFonts w:ascii="MS Gothic"/>
                        <w:color w:val="333333"/>
                      </w:rPr>
                      <w:t>&lt;artifactId&gt;r2dbc-h2&lt;/artifactId&gt;</w:t>
                    </w:r>
                  </w:p>
                  <w:p w14:paraId="369E5B95" w14:textId="77777777" w:rsidR="00711A16" w:rsidRDefault="00711A16">
                    <w:pPr>
                      <w:spacing w:before="13"/>
                      <w:ind w:left="640"/>
                      <w:rPr>
                        <w:rFonts w:ascii="MS Gothic"/>
                      </w:rPr>
                    </w:pPr>
                    <w:r>
                      <w:rPr>
                        <w:rFonts w:ascii="MS Gothic"/>
                        <w:color w:val="333333"/>
                      </w:rPr>
                      <w:t>&lt;scope&gt;runtime&lt;/scope&gt;</w:t>
                    </w:r>
                  </w:p>
                  <w:p w14:paraId="742C4103" w14:textId="77777777" w:rsidR="00711A16" w:rsidRDefault="00711A16">
                    <w:pPr>
                      <w:spacing w:before="12"/>
                      <w:ind w:left="200"/>
                      <w:rPr>
                        <w:rFonts w:ascii="MS Gothic"/>
                      </w:rPr>
                    </w:pPr>
                    <w:r>
                      <w:rPr>
                        <w:rFonts w:ascii="MS Gothic"/>
                        <w:color w:val="333333"/>
                      </w:rPr>
                      <w:t>&lt;/dependency&gt;</w:t>
                    </w:r>
                  </w:p>
                </w:txbxContent>
              </v:textbox>
            </v:shape>
            <w10:anchorlock/>
          </v:group>
        </w:pict>
      </w:r>
    </w:p>
    <w:p w14:paraId="310BC770" w14:textId="77777777" w:rsidR="00A720EB" w:rsidRDefault="00A720EB">
      <w:pPr>
        <w:pStyle w:val="a3"/>
        <w:spacing w:before="8"/>
        <w:rPr>
          <w:sz w:val="16"/>
        </w:rPr>
      </w:pPr>
    </w:p>
    <w:p w14:paraId="2BEEE729" w14:textId="77777777" w:rsidR="00A720EB" w:rsidRDefault="00E10349">
      <w:pPr>
        <w:pStyle w:val="a3"/>
        <w:spacing w:before="125" w:line="304" w:lineRule="auto"/>
        <w:ind w:left="1564" w:right="366"/>
        <w:jc w:val="both"/>
      </w:pPr>
      <w:r>
        <w:pict w14:anchorId="51327259">
          <v:line id="_x0000_s4116" style="position:absolute;left:0;text-align:left;z-index:15982592;mso-position-horizontal-relative:page" from="108.25pt,.25pt" to="108.25pt,71.4pt" strokecolor="#ededed" strokeweight=".5pt">
            <w10:wrap anchorx="page"/>
          </v:line>
        </w:pict>
      </w:r>
      <w:r w:rsidR="0030286B">
        <w:rPr>
          <w:noProof/>
        </w:rPr>
        <w:drawing>
          <wp:anchor distT="0" distB="0" distL="0" distR="0" simplePos="0" relativeHeight="15983104" behindDoc="0" locked="0" layoutInCell="1" allowOverlap="1" wp14:anchorId="17598FC2" wp14:editId="61ECCDA1">
            <wp:simplePos x="0" y="0"/>
            <wp:positionH relativeFrom="page">
              <wp:posOffset>844422</wp:posOffset>
            </wp:positionH>
            <wp:positionV relativeFrom="paragraph">
              <wp:posOffset>305727</wp:posOffset>
            </wp:positionV>
            <wp:extent cx="298450" cy="298450"/>
            <wp:effectExtent l="0" t="0" r="0" b="0"/>
            <wp:wrapNone/>
            <wp:docPr id="3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are using this feature in your tests, you may notice that the same database is reused </w:t>
      </w:r>
      <w:r w:rsidR="0030286B">
        <w:rPr>
          <w:color w:val="333333"/>
          <w:spacing w:val="-3"/>
          <w:w w:val="110"/>
        </w:rPr>
        <w:t xml:space="preserve">by </w:t>
      </w:r>
      <w:r w:rsidR="0030286B">
        <w:rPr>
          <w:color w:val="333333"/>
          <w:w w:val="110"/>
        </w:rPr>
        <w:t>your whole test suite regardless of the number of application contexts that you use. If you want to make sure that each context has a separate embedded database,</w:t>
      </w:r>
      <w:r w:rsidR="0030286B">
        <w:rPr>
          <w:color w:val="333333"/>
          <w:spacing w:val="-9"/>
          <w:w w:val="110"/>
        </w:rPr>
        <w:t xml:space="preserve"> </w:t>
      </w:r>
      <w:r w:rsidR="0030286B">
        <w:rPr>
          <w:color w:val="333333"/>
          <w:w w:val="110"/>
        </w:rPr>
        <w:t>you</w:t>
      </w:r>
      <w:r w:rsidR="0030286B">
        <w:rPr>
          <w:color w:val="333333"/>
          <w:spacing w:val="-8"/>
          <w:w w:val="110"/>
        </w:rPr>
        <w:t xml:space="preserve"> </w:t>
      </w:r>
      <w:r w:rsidR="0030286B">
        <w:rPr>
          <w:color w:val="333333"/>
          <w:w w:val="110"/>
        </w:rPr>
        <w:t>should</w:t>
      </w:r>
      <w:r w:rsidR="0030286B">
        <w:rPr>
          <w:color w:val="333333"/>
          <w:spacing w:val="-8"/>
          <w:w w:val="110"/>
        </w:rPr>
        <w:t xml:space="preserve"> </w:t>
      </w:r>
      <w:r w:rsidR="0030286B">
        <w:rPr>
          <w:color w:val="333333"/>
          <w:w w:val="110"/>
        </w:rPr>
        <w:t>set</w:t>
      </w:r>
      <w:r w:rsidR="0030286B">
        <w:rPr>
          <w:color w:val="333333"/>
          <w:spacing w:val="-6"/>
          <w:w w:val="110"/>
        </w:rPr>
        <w:t xml:space="preserve"> </w:t>
      </w:r>
      <w:proofErr w:type="gramStart"/>
      <w:r w:rsidR="0030286B">
        <w:rPr>
          <w:rFonts w:ascii="MS Gothic"/>
          <w:color w:val="B02045"/>
          <w:w w:val="110"/>
        </w:rPr>
        <w:t>spring.r2dbc.generate</w:t>
      </w:r>
      <w:proofErr w:type="gramEnd"/>
      <w:r w:rsidR="0030286B">
        <w:rPr>
          <w:rFonts w:ascii="MS Gothic"/>
          <w:color w:val="B02045"/>
          <w:w w:val="110"/>
        </w:rPr>
        <w:t>-unique-name</w:t>
      </w:r>
      <w:r w:rsidR="0030286B">
        <w:rPr>
          <w:rFonts w:ascii="MS Gothic"/>
          <w:color w:val="B02045"/>
          <w:spacing w:val="-72"/>
          <w:w w:val="110"/>
        </w:rPr>
        <w:t xml:space="preserve"> </w:t>
      </w:r>
      <w:r w:rsidR="0030286B">
        <w:rPr>
          <w:color w:val="333333"/>
          <w:w w:val="110"/>
        </w:rPr>
        <w:t>to</w:t>
      </w:r>
      <w:r w:rsidR="0030286B">
        <w:rPr>
          <w:color w:val="333333"/>
          <w:spacing w:val="-8"/>
          <w:w w:val="110"/>
        </w:rPr>
        <w:t xml:space="preserve"> </w:t>
      </w:r>
      <w:r w:rsidR="0030286B">
        <w:rPr>
          <w:rFonts w:ascii="MS Gothic"/>
          <w:color w:val="B02045"/>
          <w:w w:val="110"/>
        </w:rPr>
        <w:t>true</w:t>
      </w:r>
      <w:r w:rsidR="0030286B">
        <w:rPr>
          <w:color w:val="333333"/>
          <w:w w:val="110"/>
        </w:rPr>
        <w:t>.</w:t>
      </w:r>
    </w:p>
    <w:p w14:paraId="0726D0B6" w14:textId="77777777" w:rsidR="00A720EB" w:rsidRDefault="00A720EB">
      <w:pPr>
        <w:pStyle w:val="a3"/>
        <w:spacing w:before="1"/>
        <w:rPr>
          <w:sz w:val="22"/>
        </w:rPr>
      </w:pPr>
    </w:p>
    <w:p w14:paraId="77218E29" w14:textId="77777777" w:rsidR="00A720EB" w:rsidRDefault="0030286B">
      <w:pPr>
        <w:pStyle w:val="4"/>
        <w:spacing w:before="104"/>
        <w:jc w:val="left"/>
      </w:pPr>
      <w:bookmarkStart w:id="338" w:name="Using_DatabaseClient"/>
      <w:bookmarkEnd w:id="338"/>
      <w:r>
        <w:rPr>
          <w:color w:val="333333"/>
          <w:w w:val="105"/>
        </w:rPr>
        <w:t>Using DatabaseClient</w:t>
      </w:r>
    </w:p>
    <w:p w14:paraId="5D57B600" w14:textId="77777777" w:rsidR="00A720EB" w:rsidRDefault="0030286B">
      <w:pPr>
        <w:pStyle w:val="a3"/>
        <w:spacing w:before="244" w:line="290" w:lineRule="auto"/>
        <w:ind w:left="124"/>
      </w:pPr>
      <w:r>
        <w:rPr>
          <w:color w:val="333333"/>
          <w:w w:val="110"/>
        </w:rPr>
        <w:t xml:space="preserve">Spring Data’s </w:t>
      </w:r>
      <w:r>
        <w:rPr>
          <w:rFonts w:ascii="MS Gothic" w:hAnsi="MS Gothic"/>
          <w:color w:val="B02045"/>
          <w:w w:val="110"/>
        </w:rPr>
        <w:t xml:space="preserve">DatabaseClient </w:t>
      </w:r>
      <w:r>
        <w:rPr>
          <w:color w:val="333333"/>
          <w:w w:val="110"/>
        </w:rPr>
        <w:t xml:space="preserve">class is auto-configured, and you can </w:t>
      </w:r>
      <w:r>
        <w:rPr>
          <w:rFonts w:ascii="MS Gothic" w:hAnsi="MS Gothic"/>
          <w:color w:val="B02045"/>
          <w:w w:val="110"/>
        </w:rPr>
        <w:t xml:space="preserve">@Autowire </w:t>
      </w:r>
      <w:r>
        <w:rPr>
          <w:color w:val="333333"/>
          <w:w w:val="110"/>
        </w:rPr>
        <w:t>it directly into your own beans, as shown in the following example:</w:t>
      </w:r>
    </w:p>
    <w:p w14:paraId="08EE08A0" w14:textId="77777777" w:rsidR="00A720EB" w:rsidRDefault="00E10349">
      <w:pPr>
        <w:pStyle w:val="a3"/>
        <w:spacing w:before="7"/>
        <w:rPr>
          <w:sz w:val="14"/>
        </w:rPr>
      </w:pPr>
      <w:r>
        <w:pict w14:anchorId="5499969E">
          <v:group id="_x0000_s4112" style="position:absolute;margin-left:47.85pt;margin-top:10.55pt;width:499.55pt;height:273.35pt;z-index:-15475200;mso-wrap-distance-left:0;mso-wrap-distance-right:0;mso-position-horizontal-relative:page" coordorigin="957,211" coordsize="9991,5467">
            <v:shape id="_x0000_s4115" style="position:absolute;left:964;top:218;width:9976;height:5452" coordorigin="965,218" coordsize="9976,5452" path="m10861,218r-9816,l1014,225r-26,17l971,267r-6,31l965,5590r6,31l988,5647r26,17l1045,5670r9816,l10892,5664r25,-17l10935,5621r6,-31l10941,298r-6,-31l10917,242r-25,-17l10861,218xe" fillcolor="#f5f5f5" stroked="f">
              <v:path arrowok="t"/>
            </v:shape>
            <v:shape id="_x0000_s4114" style="position:absolute;left:964;top:218;width:9976;height:5452" coordorigin="965,218" coordsize="9976,5452" path="m1045,218r9816,l10892,225r25,17l10935,267r6,31l10941,5590r-6,31l10917,5647r-25,17l10861,5670r-9816,l1014,5664r-26,-17l971,5621r-6,-31l965,298r6,-31l988,242r26,-17l1045,218xe" filled="f" strokecolor="#ccc">
              <v:path arrowok="t"/>
            </v:shape>
            <v:shape id="_x0000_s4113" type="#_x0000_t202" style="position:absolute;left:984;top:233;width:9938;height:5421" filled="f" stroked="f">
              <v:textbox inset="0,0,0,0">
                <w:txbxContent>
                  <w:p w14:paraId="4D75D9B0" w14:textId="77777777" w:rsidR="00711A16" w:rsidRDefault="00711A16">
                    <w:pPr>
                      <w:spacing w:before="221" w:line="252" w:lineRule="auto"/>
                      <w:ind w:left="200" w:right="2914"/>
                      <w:jc w:val="both"/>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 import org.springframework.data.r2dbc.function.DatabaseClient; import org.springframework.stereotype.Component;</w:t>
                    </w:r>
                  </w:p>
                  <w:p w14:paraId="3D2D1765" w14:textId="77777777" w:rsidR="00711A16" w:rsidRDefault="00711A16">
                    <w:pPr>
                      <w:spacing w:before="9"/>
                      <w:rPr>
                        <w:rFonts w:ascii="MS Gothic"/>
                      </w:rPr>
                    </w:pPr>
                  </w:p>
                  <w:p w14:paraId="05E74B19" w14:textId="77777777" w:rsidR="00711A16" w:rsidRDefault="00711A16">
                    <w:pPr>
                      <w:ind w:left="200"/>
                      <w:rPr>
                        <w:rFonts w:ascii="MS Gothic"/>
                      </w:rPr>
                    </w:pPr>
                    <w:r>
                      <w:rPr>
                        <w:rFonts w:ascii="MS Gothic"/>
                        <w:color w:val="333333"/>
                      </w:rPr>
                      <w:t>@Component</w:t>
                    </w:r>
                  </w:p>
                  <w:p w14:paraId="1538A38D" w14:textId="77777777" w:rsidR="00711A16" w:rsidRDefault="00711A16">
                    <w:pPr>
                      <w:spacing w:before="13"/>
                      <w:ind w:left="200"/>
                      <w:rPr>
                        <w:rFonts w:ascii="MS Gothic"/>
                      </w:rPr>
                    </w:pPr>
                    <w:r>
                      <w:rPr>
                        <w:rFonts w:ascii="MS Gothic"/>
                        <w:color w:val="333333"/>
                      </w:rPr>
                      <w:t>public class MyBean {</w:t>
                    </w:r>
                  </w:p>
                  <w:p w14:paraId="38E704CE" w14:textId="77777777" w:rsidR="00711A16" w:rsidRDefault="00711A16">
                    <w:pPr>
                      <w:spacing w:line="590" w:lineRule="atLeast"/>
                      <w:ind w:left="640" w:right="4438"/>
                      <w:rPr>
                        <w:rFonts w:ascii="MS Gothic"/>
                      </w:rPr>
                    </w:pPr>
                    <w:r>
                      <w:rPr>
                        <w:rFonts w:ascii="MS Gothic"/>
                        <w:color w:val="333333"/>
                      </w:rPr>
                      <w:t>private final DatabaseClient databaseClient; @Autowired</w:t>
                    </w:r>
                  </w:p>
                  <w:p w14:paraId="11B02F9A" w14:textId="77777777" w:rsidR="00711A16" w:rsidRDefault="00711A16">
                    <w:pPr>
                      <w:spacing w:before="12" w:line="252" w:lineRule="auto"/>
                      <w:ind w:left="1080" w:right="421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DatabaseClient databaseClient) { this.databaseClient = databaseClient;</w:t>
                    </w:r>
                  </w:p>
                  <w:p w14:paraId="2F1ED57A" w14:textId="77777777" w:rsidR="00711A16" w:rsidRDefault="00711A16">
                    <w:pPr>
                      <w:spacing w:line="280" w:lineRule="exact"/>
                      <w:ind w:left="640"/>
                      <w:rPr>
                        <w:rFonts w:ascii="MS Gothic"/>
                      </w:rPr>
                    </w:pPr>
                    <w:r>
                      <w:rPr>
                        <w:rFonts w:ascii="MS Gothic"/>
                        <w:color w:val="333333"/>
                      </w:rPr>
                      <w:t>}</w:t>
                    </w:r>
                  </w:p>
                  <w:p w14:paraId="4CF07B71" w14:textId="77777777" w:rsidR="00711A16" w:rsidRDefault="00711A16">
                    <w:pPr>
                      <w:rPr>
                        <w:rFonts w:ascii="MS Gothic"/>
                        <w:sz w:val="24"/>
                      </w:rPr>
                    </w:pPr>
                  </w:p>
                  <w:p w14:paraId="40BC7AE3" w14:textId="77777777" w:rsidR="00711A16" w:rsidRDefault="00711A16">
                    <w:pPr>
                      <w:ind w:left="640"/>
                      <w:rPr>
                        <w:rFonts w:ascii="MS Gothic"/>
                      </w:rPr>
                    </w:pPr>
                    <w:r>
                      <w:rPr>
                        <w:rFonts w:ascii="MS Gothic"/>
                        <w:color w:val="333333"/>
                      </w:rPr>
                      <w:t>// ...</w:t>
                    </w:r>
                  </w:p>
                  <w:p w14:paraId="19C33254" w14:textId="77777777" w:rsidR="00711A16" w:rsidRDefault="00711A16">
                    <w:pPr>
                      <w:rPr>
                        <w:rFonts w:ascii="MS Gothic"/>
                        <w:sz w:val="24"/>
                      </w:rPr>
                    </w:pPr>
                  </w:p>
                  <w:p w14:paraId="706E8E83"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2ECDA7CF" w14:textId="77777777" w:rsidR="00A720EB" w:rsidRDefault="00A720EB">
      <w:pPr>
        <w:pStyle w:val="a3"/>
        <w:spacing w:before="11"/>
        <w:rPr>
          <w:sz w:val="16"/>
        </w:rPr>
      </w:pPr>
    </w:p>
    <w:p w14:paraId="22AB8731" w14:textId="77777777" w:rsidR="00A720EB" w:rsidRDefault="0030286B">
      <w:pPr>
        <w:pStyle w:val="4"/>
        <w:spacing w:before="104"/>
      </w:pPr>
      <w:bookmarkStart w:id="339" w:name="Spring_Data_R2DBC_Repositories"/>
      <w:bookmarkEnd w:id="339"/>
      <w:r>
        <w:rPr>
          <w:color w:val="333333"/>
          <w:w w:val="110"/>
        </w:rPr>
        <w:t>Spring Data R2DBC Repositories</w:t>
      </w:r>
    </w:p>
    <w:p w14:paraId="296E3839" w14:textId="77777777" w:rsidR="00A720EB" w:rsidRDefault="00A720EB">
      <w:pPr>
        <w:pStyle w:val="a3"/>
        <w:spacing w:before="11"/>
        <w:rPr>
          <w:rFonts w:ascii="Palatino Linotype"/>
          <w:b/>
          <w:sz w:val="18"/>
        </w:rPr>
      </w:pPr>
    </w:p>
    <w:p w14:paraId="046F98E2" w14:textId="77777777" w:rsidR="00A720EB" w:rsidRDefault="00E10349">
      <w:pPr>
        <w:pStyle w:val="a3"/>
        <w:spacing w:line="290" w:lineRule="auto"/>
        <w:ind w:left="124" w:right="125"/>
        <w:jc w:val="both"/>
      </w:pPr>
      <w:hyperlink r:id="rId211">
        <w:r w:rsidR="0030286B">
          <w:rPr>
            <w:color w:val="418BCA"/>
            <w:w w:val="110"/>
          </w:rPr>
          <w:t>Spring Data R2DBC</w:t>
        </w:r>
      </w:hyperlink>
      <w:r w:rsidR="0030286B">
        <w:rPr>
          <w:color w:val="418BCA"/>
          <w:w w:val="110"/>
        </w:rPr>
        <w:t xml:space="preserve"> </w:t>
      </w:r>
      <w:r w:rsidR="0030286B">
        <w:rPr>
          <w:color w:val="333333"/>
          <w:w w:val="110"/>
        </w:rPr>
        <w:t xml:space="preserve">repositories are interfaces that you can define to access data. </w:t>
      </w:r>
      <w:proofErr w:type="gramStart"/>
      <w:r w:rsidR="0030286B">
        <w:rPr>
          <w:color w:val="333333"/>
          <w:w w:val="110"/>
        </w:rPr>
        <w:t>Queries  are</w:t>
      </w:r>
      <w:proofErr w:type="gramEnd"/>
      <w:r w:rsidR="0030286B">
        <w:rPr>
          <w:color w:val="333333"/>
          <w:w w:val="110"/>
        </w:rPr>
        <w:t xml:space="preserve">  created automatically from your method names. </w:t>
      </w:r>
      <w:r w:rsidR="0030286B">
        <w:rPr>
          <w:color w:val="333333"/>
          <w:spacing w:val="-4"/>
          <w:w w:val="110"/>
        </w:rPr>
        <w:t xml:space="preserve">For </w:t>
      </w:r>
      <w:r w:rsidR="0030286B">
        <w:rPr>
          <w:color w:val="333333"/>
          <w:w w:val="110"/>
        </w:rPr>
        <w:t xml:space="preserve">example, a </w:t>
      </w:r>
      <w:r w:rsidR="0030286B">
        <w:rPr>
          <w:rFonts w:ascii="MS Gothic"/>
          <w:color w:val="B02045"/>
          <w:w w:val="110"/>
        </w:rPr>
        <w:t xml:space="preserve">CityRepository </w:t>
      </w:r>
      <w:r w:rsidR="0030286B">
        <w:rPr>
          <w:color w:val="333333"/>
          <w:w w:val="110"/>
        </w:rPr>
        <w:t xml:space="preserve">interface </w:t>
      </w:r>
      <w:proofErr w:type="gramStart"/>
      <w:r w:rsidR="0030286B">
        <w:rPr>
          <w:color w:val="333333"/>
          <w:w w:val="110"/>
        </w:rPr>
        <w:t>might  declare</w:t>
      </w:r>
      <w:proofErr w:type="gramEnd"/>
      <w:r w:rsidR="0030286B">
        <w:rPr>
          <w:color w:val="333333"/>
          <w:spacing w:val="-3"/>
          <w:w w:val="110"/>
        </w:rPr>
        <w:t xml:space="preserve"> </w:t>
      </w:r>
      <w:r w:rsidR="0030286B">
        <w:rPr>
          <w:color w:val="333333"/>
          <w:w w:val="110"/>
        </w:rPr>
        <w:t>a</w:t>
      </w:r>
      <w:r w:rsidR="0030286B">
        <w:rPr>
          <w:color w:val="333333"/>
          <w:spacing w:val="-2"/>
          <w:w w:val="110"/>
        </w:rPr>
        <w:t xml:space="preserve"> </w:t>
      </w:r>
      <w:r w:rsidR="0030286B">
        <w:rPr>
          <w:rFonts w:ascii="MS Gothic"/>
          <w:color w:val="B02045"/>
          <w:w w:val="110"/>
        </w:rPr>
        <w:t>findAllByState(String</w:t>
      </w:r>
      <w:r w:rsidR="0030286B">
        <w:rPr>
          <w:rFonts w:ascii="MS Gothic"/>
          <w:color w:val="B02045"/>
          <w:spacing w:val="-20"/>
          <w:w w:val="110"/>
        </w:rPr>
        <w:t xml:space="preserve"> </w:t>
      </w:r>
      <w:r w:rsidR="0030286B">
        <w:rPr>
          <w:rFonts w:ascii="MS Gothic"/>
          <w:color w:val="B02045"/>
          <w:w w:val="110"/>
        </w:rPr>
        <w:t>state)</w:t>
      </w:r>
      <w:r w:rsidR="0030286B">
        <w:rPr>
          <w:rFonts w:ascii="MS Gothic"/>
          <w:color w:val="B02045"/>
          <w:spacing w:val="-67"/>
          <w:w w:val="110"/>
        </w:rPr>
        <w:t xml:space="preserve"> </w:t>
      </w:r>
      <w:r w:rsidR="0030286B">
        <w:rPr>
          <w:color w:val="333333"/>
          <w:w w:val="110"/>
        </w:rPr>
        <w:t>method</w:t>
      </w:r>
      <w:r w:rsidR="0030286B">
        <w:rPr>
          <w:color w:val="333333"/>
          <w:spacing w:val="-3"/>
          <w:w w:val="110"/>
        </w:rPr>
        <w:t xml:space="preserve"> </w:t>
      </w:r>
      <w:r w:rsidR="0030286B">
        <w:rPr>
          <w:color w:val="333333"/>
          <w:w w:val="110"/>
        </w:rPr>
        <w:t>to</w:t>
      </w:r>
      <w:r w:rsidR="0030286B">
        <w:rPr>
          <w:color w:val="333333"/>
          <w:spacing w:val="-2"/>
          <w:w w:val="110"/>
        </w:rPr>
        <w:t xml:space="preserve"> </w:t>
      </w:r>
      <w:r w:rsidR="0030286B">
        <w:rPr>
          <w:color w:val="333333"/>
          <w:w w:val="110"/>
        </w:rPr>
        <w:t>find</w:t>
      </w:r>
      <w:r w:rsidR="0030286B">
        <w:rPr>
          <w:color w:val="333333"/>
          <w:spacing w:val="-2"/>
          <w:w w:val="110"/>
        </w:rPr>
        <w:t xml:space="preserve"> </w:t>
      </w:r>
      <w:r w:rsidR="0030286B">
        <w:rPr>
          <w:color w:val="333333"/>
          <w:w w:val="110"/>
        </w:rPr>
        <w:t>all</w:t>
      </w:r>
      <w:r w:rsidR="0030286B">
        <w:rPr>
          <w:color w:val="333333"/>
          <w:spacing w:val="-3"/>
          <w:w w:val="110"/>
        </w:rPr>
        <w:t xml:space="preserve"> </w:t>
      </w:r>
      <w:r w:rsidR="0030286B">
        <w:rPr>
          <w:color w:val="333333"/>
          <w:w w:val="110"/>
        </w:rPr>
        <w:t>the</w:t>
      </w:r>
      <w:r w:rsidR="0030286B">
        <w:rPr>
          <w:color w:val="333333"/>
          <w:spacing w:val="-2"/>
          <w:w w:val="110"/>
        </w:rPr>
        <w:t xml:space="preserve"> </w:t>
      </w:r>
      <w:r w:rsidR="0030286B">
        <w:rPr>
          <w:color w:val="333333"/>
          <w:w w:val="110"/>
        </w:rPr>
        <w:t>cities</w:t>
      </w:r>
      <w:r w:rsidR="0030286B">
        <w:rPr>
          <w:color w:val="333333"/>
          <w:spacing w:val="-2"/>
          <w:w w:val="110"/>
        </w:rPr>
        <w:t xml:space="preserve"> </w:t>
      </w:r>
      <w:r w:rsidR="0030286B">
        <w:rPr>
          <w:color w:val="333333"/>
          <w:w w:val="110"/>
        </w:rPr>
        <w:t>in</w:t>
      </w:r>
      <w:r w:rsidR="0030286B">
        <w:rPr>
          <w:color w:val="333333"/>
          <w:spacing w:val="-3"/>
          <w:w w:val="110"/>
        </w:rPr>
        <w:t xml:space="preserve"> </w:t>
      </w:r>
      <w:r w:rsidR="0030286B">
        <w:rPr>
          <w:color w:val="333333"/>
          <w:w w:val="110"/>
        </w:rPr>
        <w:t>a</w:t>
      </w:r>
      <w:r w:rsidR="0030286B">
        <w:rPr>
          <w:color w:val="333333"/>
          <w:spacing w:val="-3"/>
          <w:w w:val="110"/>
        </w:rPr>
        <w:t xml:space="preserve"> </w:t>
      </w:r>
      <w:r w:rsidR="0030286B">
        <w:rPr>
          <w:color w:val="333333"/>
          <w:w w:val="110"/>
        </w:rPr>
        <w:t>given</w:t>
      </w:r>
      <w:r w:rsidR="0030286B">
        <w:rPr>
          <w:color w:val="333333"/>
          <w:spacing w:val="-2"/>
          <w:w w:val="110"/>
        </w:rPr>
        <w:t xml:space="preserve"> </w:t>
      </w:r>
      <w:r w:rsidR="0030286B">
        <w:rPr>
          <w:color w:val="333333"/>
          <w:w w:val="110"/>
        </w:rPr>
        <w:t>state.</w:t>
      </w:r>
    </w:p>
    <w:p w14:paraId="4848D617" w14:textId="77777777" w:rsidR="00A720EB" w:rsidRDefault="0030286B">
      <w:pPr>
        <w:pStyle w:val="a3"/>
        <w:spacing w:before="228"/>
        <w:ind w:left="124"/>
        <w:jc w:val="both"/>
      </w:pPr>
      <w:r>
        <w:rPr>
          <w:color w:val="333333"/>
          <w:w w:val="110"/>
        </w:rPr>
        <w:t xml:space="preserve">For more complex queries, you can annotate your method with Spring Data’s </w:t>
      </w:r>
      <w:hyperlink r:id="rId212">
        <w:r>
          <w:rPr>
            <w:rFonts w:ascii="MS Gothic" w:hAnsi="MS Gothic"/>
            <w:color w:val="B02045"/>
            <w:w w:val="110"/>
          </w:rPr>
          <w:t xml:space="preserve">Query </w:t>
        </w:r>
      </w:hyperlink>
      <w:r>
        <w:rPr>
          <w:color w:val="333333"/>
          <w:w w:val="110"/>
        </w:rPr>
        <w:t>annotation.</w:t>
      </w:r>
    </w:p>
    <w:p w14:paraId="2D4A0ED7" w14:textId="77777777" w:rsidR="00A720EB" w:rsidRDefault="00A720EB">
      <w:pPr>
        <w:pStyle w:val="a3"/>
        <w:spacing w:before="5"/>
        <w:rPr>
          <w:sz w:val="24"/>
        </w:rPr>
      </w:pPr>
    </w:p>
    <w:p w14:paraId="0D2829D2" w14:textId="77777777" w:rsidR="00A720EB" w:rsidRDefault="0030286B">
      <w:pPr>
        <w:pStyle w:val="a3"/>
        <w:spacing w:line="295" w:lineRule="auto"/>
        <w:ind w:left="124" w:right="127"/>
        <w:jc w:val="both"/>
      </w:pPr>
      <w:r>
        <w:rPr>
          <w:color w:val="333333"/>
          <w:w w:val="110"/>
        </w:rPr>
        <w:t>Spring</w:t>
      </w:r>
      <w:r>
        <w:rPr>
          <w:color w:val="333333"/>
          <w:spacing w:val="-6"/>
          <w:w w:val="110"/>
        </w:rPr>
        <w:t xml:space="preserve"> </w:t>
      </w:r>
      <w:r>
        <w:rPr>
          <w:color w:val="333333"/>
          <w:w w:val="110"/>
        </w:rPr>
        <w:t>Data</w:t>
      </w:r>
      <w:r>
        <w:rPr>
          <w:color w:val="333333"/>
          <w:spacing w:val="-5"/>
          <w:w w:val="110"/>
        </w:rPr>
        <w:t xml:space="preserve"> </w:t>
      </w:r>
      <w:r>
        <w:rPr>
          <w:color w:val="333333"/>
          <w:w w:val="110"/>
        </w:rPr>
        <w:t>repositories</w:t>
      </w:r>
      <w:r>
        <w:rPr>
          <w:color w:val="333333"/>
          <w:spacing w:val="-5"/>
          <w:w w:val="110"/>
        </w:rPr>
        <w:t xml:space="preserve"> </w:t>
      </w:r>
      <w:r>
        <w:rPr>
          <w:color w:val="333333"/>
          <w:w w:val="110"/>
        </w:rPr>
        <w:t>usually</w:t>
      </w:r>
      <w:r>
        <w:rPr>
          <w:color w:val="333333"/>
          <w:spacing w:val="-6"/>
          <w:w w:val="110"/>
        </w:rPr>
        <w:t xml:space="preserve"> </w:t>
      </w:r>
      <w:r>
        <w:rPr>
          <w:color w:val="333333"/>
          <w:w w:val="110"/>
        </w:rPr>
        <w:t>extend</w:t>
      </w:r>
      <w:r>
        <w:rPr>
          <w:color w:val="333333"/>
          <w:spacing w:val="-5"/>
          <w:w w:val="110"/>
        </w:rPr>
        <w:t xml:space="preserve"> </w:t>
      </w:r>
      <w:r>
        <w:rPr>
          <w:color w:val="333333"/>
          <w:w w:val="110"/>
        </w:rPr>
        <w:t>from</w:t>
      </w:r>
      <w:r>
        <w:rPr>
          <w:color w:val="333333"/>
          <w:spacing w:val="-4"/>
          <w:w w:val="110"/>
        </w:rPr>
        <w:t xml:space="preserve"> </w:t>
      </w:r>
      <w:r>
        <w:rPr>
          <w:color w:val="333333"/>
          <w:w w:val="110"/>
        </w:rPr>
        <w:t>the</w:t>
      </w:r>
      <w:r>
        <w:rPr>
          <w:color w:val="333333"/>
          <w:spacing w:val="-3"/>
          <w:w w:val="110"/>
        </w:rPr>
        <w:t xml:space="preserve"> </w:t>
      </w:r>
      <w:hyperlink r:id="rId213">
        <w:r>
          <w:rPr>
            <w:rFonts w:ascii="MS Gothic"/>
            <w:color w:val="B02045"/>
            <w:w w:val="110"/>
          </w:rPr>
          <w:t>Repository</w:t>
        </w:r>
        <w:r>
          <w:rPr>
            <w:rFonts w:ascii="MS Gothic"/>
            <w:color w:val="B02045"/>
            <w:spacing w:val="-70"/>
            <w:w w:val="110"/>
          </w:rPr>
          <w:t xml:space="preserve"> </w:t>
        </w:r>
      </w:hyperlink>
      <w:r>
        <w:rPr>
          <w:color w:val="333333"/>
          <w:w w:val="110"/>
        </w:rPr>
        <w:t>or</w:t>
      </w:r>
      <w:r>
        <w:rPr>
          <w:color w:val="333333"/>
          <w:spacing w:val="-5"/>
          <w:w w:val="110"/>
        </w:rPr>
        <w:t xml:space="preserve"> </w:t>
      </w:r>
      <w:hyperlink r:id="rId214">
        <w:r>
          <w:rPr>
            <w:rFonts w:ascii="MS Gothic"/>
            <w:color w:val="B02045"/>
            <w:w w:val="110"/>
          </w:rPr>
          <w:t>CrudRepository</w:t>
        </w:r>
        <w:r>
          <w:rPr>
            <w:rFonts w:ascii="MS Gothic"/>
            <w:color w:val="B02045"/>
            <w:spacing w:val="-69"/>
            <w:w w:val="110"/>
          </w:rPr>
          <w:t xml:space="preserve"> </w:t>
        </w:r>
      </w:hyperlink>
      <w:r>
        <w:rPr>
          <w:color w:val="333333"/>
          <w:w w:val="110"/>
        </w:rPr>
        <w:t>interfaces.</w:t>
      </w:r>
      <w:r>
        <w:rPr>
          <w:color w:val="333333"/>
          <w:spacing w:val="-6"/>
          <w:w w:val="110"/>
        </w:rPr>
        <w:t xml:space="preserve"> </w:t>
      </w:r>
      <w:r>
        <w:rPr>
          <w:color w:val="333333"/>
          <w:w w:val="110"/>
        </w:rPr>
        <w:t>If</w:t>
      </w:r>
      <w:r>
        <w:rPr>
          <w:color w:val="333333"/>
          <w:spacing w:val="-5"/>
          <w:w w:val="110"/>
        </w:rPr>
        <w:t xml:space="preserve"> </w:t>
      </w:r>
      <w:r>
        <w:rPr>
          <w:color w:val="333333"/>
          <w:w w:val="110"/>
        </w:rPr>
        <w:t>you</w:t>
      </w:r>
      <w:r>
        <w:rPr>
          <w:color w:val="333333"/>
          <w:spacing w:val="-6"/>
          <w:w w:val="110"/>
        </w:rPr>
        <w:t xml:space="preserve"> </w:t>
      </w:r>
      <w:r>
        <w:rPr>
          <w:color w:val="333333"/>
          <w:w w:val="110"/>
        </w:rPr>
        <w:t>use auto-configuration, repositories are searched from the package containing your main configuration class</w:t>
      </w:r>
      <w:r>
        <w:rPr>
          <w:color w:val="333333"/>
          <w:spacing w:val="-14"/>
          <w:w w:val="110"/>
        </w:rPr>
        <w:t xml:space="preserve"> </w:t>
      </w:r>
      <w:r>
        <w:rPr>
          <w:color w:val="333333"/>
          <w:w w:val="110"/>
        </w:rPr>
        <w:t>(the</w:t>
      </w:r>
      <w:r>
        <w:rPr>
          <w:color w:val="333333"/>
          <w:spacing w:val="-14"/>
          <w:w w:val="110"/>
        </w:rPr>
        <w:t xml:space="preserve"> </w:t>
      </w:r>
      <w:r>
        <w:rPr>
          <w:color w:val="333333"/>
          <w:w w:val="110"/>
        </w:rPr>
        <w:t>one</w:t>
      </w:r>
      <w:r>
        <w:rPr>
          <w:color w:val="333333"/>
          <w:spacing w:val="-14"/>
          <w:w w:val="110"/>
        </w:rPr>
        <w:t xml:space="preserve"> </w:t>
      </w:r>
      <w:r>
        <w:rPr>
          <w:color w:val="333333"/>
          <w:w w:val="110"/>
        </w:rPr>
        <w:t>annotated</w:t>
      </w:r>
      <w:r>
        <w:rPr>
          <w:color w:val="333333"/>
          <w:spacing w:val="-15"/>
          <w:w w:val="110"/>
        </w:rPr>
        <w:t xml:space="preserve"> </w:t>
      </w:r>
      <w:r>
        <w:rPr>
          <w:color w:val="333333"/>
          <w:w w:val="110"/>
        </w:rPr>
        <w:t>with</w:t>
      </w:r>
      <w:r>
        <w:rPr>
          <w:color w:val="333333"/>
          <w:spacing w:val="-12"/>
          <w:w w:val="110"/>
        </w:rPr>
        <w:t xml:space="preserve"> </w:t>
      </w:r>
      <w:r>
        <w:rPr>
          <w:rFonts w:ascii="MS Gothic"/>
          <w:color w:val="B02045"/>
          <w:w w:val="110"/>
        </w:rPr>
        <w:t>@EnableAutoConfiguration</w:t>
      </w:r>
      <w:r>
        <w:rPr>
          <w:rFonts w:ascii="MS Gothic"/>
          <w:color w:val="B02045"/>
          <w:spacing w:val="-79"/>
          <w:w w:val="110"/>
        </w:rPr>
        <w:t xml:space="preserve"> </w:t>
      </w:r>
      <w:r>
        <w:rPr>
          <w:color w:val="333333"/>
          <w:w w:val="110"/>
        </w:rPr>
        <w:t>or</w:t>
      </w:r>
      <w:r>
        <w:rPr>
          <w:color w:val="333333"/>
          <w:spacing w:val="-14"/>
          <w:w w:val="110"/>
        </w:rPr>
        <w:t xml:space="preserve"> </w:t>
      </w:r>
      <w:r>
        <w:rPr>
          <w:rFonts w:ascii="MS Gothic"/>
          <w:color w:val="B02045"/>
          <w:w w:val="110"/>
        </w:rPr>
        <w:t>@SpringBootApplication</w:t>
      </w:r>
      <w:r>
        <w:rPr>
          <w:color w:val="333333"/>
          <w:w w:val="110"/>
        </w:rPr>
        <w:t>)</w:t>
      </w:r>
      <w:r>
        <w:rPr>
          <w:color w:val="333333"/>
          <w:spacing w:val="-14"/>
          <w:w w:val="110"/>
        </w:rPr>
        <w:t xml:space="preserve"> </w:t>
      </w:r>
      <w:r>
        <w:rPr>
          <w:color w:val="333333"/>
          <w:w w:val="110"/>
        </w:rPr>
        <w:t>down.</w:t>
      </w:r>
    </w:p>
    <w:p w14:paraId="58D91D5A" w14:textId="77777777" w:rsidR="00A720EB" w:rsidRDefault="0030286B">
      <w:pPr>
        <w:pStyle w:val="a3"/>
        <w:spacing w:before="232"/>
        <w:ind w:left="124"/>
        <w:jc w:val="both"/>
      </w:pPr>
      <w:r>
        <w:rPr>
          <w:color w:val="333333"/>
          <w:w w:val="110"/>
        </w:rPr>
        <w:t>The following example shows a typical Spring Data repository interface definition:</w:t>
      </w:r>
    </w:p>
    <w:p w14:paraId="1C47EB27" w14:textId="77777777" w:rsidR="00A720EB" w:rsidRDefault="00A720EB">
      <w:pPr>
        <w:jc w:val="both"/>
        <w:sectPr w:rsidR="00A720EB">
          <w:pgSz w:w="11910" w:h="16840"/>
          <w:pgMar w:top="700" w:right="840" w:bottom="520" w:left="840" w:header="0" w:footer="323" w:gutter="0"/>
          <w:cols w:space="720"/>
        </w:sectPr>
      </w:pPr>
    </w:p>
    <w:p w14:paraId="0E14E866" w14:textId="77777777" w:rsidR="00A720EB" w:rsidRDefault="00E10349">
      <w:pPr>
        <w:pStyle w:val="a3"/>
        <w:ind w:left="116"/>
        <w:rPr>
          <w:sz w:val="20"/>
        </w:rPr>
      </w:pPr>
      <w:r>
        <w:rPr>
          <w:sz w:val="20"/>
        </w:rPr>
      </w:r>
      <w:r>
        <w:rPr>
          <w:sz w:val="20"/>
        </w:rPr>
        <w:pict w14:anchorId="1FADF055">
          <v:group id="_x0000_s4108" style="width:499.55pt;height:184.9pt;mso-position-horizontal-relative:char;mso-position-vertical-relative:line" coordsize="9991,3698">
            <v:shape id="_x0000_s4111" style="position:absolute;left:7;top:7;width:9976;height:3683" coordorigin="8,8" coordsize="9976,3683" path="m9904,8l88,8,56,14,31,31,14,56,8,88r,3522l14,3641r17,26l56,3684r32,6l9904,3690r31,-6l9960,3667r17,-26l9984,3610r,-3522l9977,56,9960,31,9935,14,9904,8xe" fillcolor="#f5f5f5" stroked="f">
              <v:path arrowok="t"/>
            </v:shape>
            <v:shape id="_x0000_s4110" style="position:absolute;left:7;top:7;width:9976;height:3683" coordorigin="8,8" coordsize="9976,3683" path="m88,8r9816,l9935,14r25,17l9977,56r7,32l9984,3610r-7,31l9960,3667r-25,17l9904,3690r-9816,l56,3684,31,3667,14,3641,8,3610,8,88,14,56,31,31,56,14,88,8xe" filled="f" strokecolor="#ccc">
              <v:path arrowok="t"/>
            </v:shape>
            <v:shape id="_x0000_s4109" type="#_x0000_t202" style="position:absolute;left:26;top:22;width:9938;height:3652" filled="f" stroked="f">
              <v:textbox inset="0,0,0,0">
                <w:txbxContent>
                  <w:p w14:paraId="2610929A" w14:textId="77777777" w:rsidR="00711A16" w:rsidRDefault="00711A16">
                    <w:pPr>
                      <w:spacing w:before="221"/>
                      <w:ind w:left="200"/>
                      <w:rPr>
                        <w:rFonts w:ascii="MS Gothic"/>
                      </w:rPr>
                    </w:pPr>
                    <w:r>
                      <w:rPr>
                        <w:rFonts w:ascii="MS Gothic"/>
                        <w:color w:val="333333"/>
                      </w:rPr>
                      <w:t>package com.</w:t>
                    </w:r>
                    <w:proofErr w:type="gramStart"/>
                    <w:r>
                      <w:rPr>
                        <w:rFonts w:ascii="MS Gothic"/>
                        <w:color w:val="333333"/>
                      </w:rPr>
                      <w:t>example.myapp</w:t>
                    </w:r>
                    <w:proofErr w:type="gramEnd"/>
                    <w:r>
                      <w:rPr>
                        <w:rFonts w:ascii="MS Gothic"/>
                        <w:color w:val="333333"/>
                      </w:rPr>
                      <w:t>.domain;</w:t>
                    </w:r>
                  </w:p>
                  <w:p w14:paraId="64D4D757" w14:textId="77777777" w:rsidR="00711A16" w:rsidRDefault="00711A16">
                    <w:pPr>
                      <w:rPr>
                        <w:rFonts w:ascii="MS Gothic"/>
                        <w:sz w:val="24"/>
                      </w:rPr>
                    </w:pPr>
                  </w:p>
                  <w:p w14:paraId="545603B0" w14:textId="77777777" w:rsidR="00711A16" w:rsidRDefault="00711A16">
                    <w:pPr>
                      <w:spacing w:line="252" w:lineRule="auto"/>
                      <w:ind w:left="200" w:right="476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.data.domain.*; import org.springframework.data.repository.*; import reactor.core.publisher.Mono;</w:t>
                    </w:r>
                  </w:p>
                  <w:p w14:paraId="02D8640A" w14:textId="77777777" w:rsidR="00711A16" w:rsidRDefault="00711A16">
                    <w:pPr>
                      <w:spacing w:before="9"/>
                      <w:rPr>
                        <w:rFonts w:ascii="MS Gothic"/>
                      </w:rPr>
                    </w:pPr>
                  </w:p>
                  <w:p w14:paraId="428272BA" w14:textId="77777777" w:rsidR="00711A16" w:rsidRDefault="00711A16">
                    <w:pPr>
                      <w:ind w:left="200"/>
                      <w:rPr>
                        <w:rFonts w:ascii="MS Gothic"/>
                      </w:rPr>
                    </w:pPr>
                    <w:r>
                      <w:rPr>
                        <w:rFonts w:ascii="MS Gothic"/>
                        <w:color w:val="333333"/>
                      </w:rPr>
                      <w:t>public interface CityRepository extends Repository&lt;City, Long&gt; {</w:t>
                    </w:r>
                  </w:p>
                  <w:p w14:paraId="21783206" w14:textId="77777777" w:rsidR="00711A16" w:rsidRDefault="00711A16">
                    <w:pPr>
                      <w:rPr>
                        <w:rFonts w:ascii="MS Gothic"/>
                        <w:sz w:val="24"/>
                      </w:rPr>
                    </w:pPr>
                  </w:p>
                  <w:p w14:paraId="1B23E29A" w14:textId="77777777" w:rsidR="00711A16" w:rsidRDefault="00711A16">
                    <w:pPr>
                      <w:spacing w:before="1"/>
                      <w:ind w:left="640"/>
                      <w:rPr>
                        <w:rFonts w:ascii="MS Gothic"/>
                      </w:rPr>
                    </w:pPr>
                    <w:r>
                      <w:rPr>
                        <w:rFonts w:ascii="MS Gothic"/>
                        <w:color w:val="333333"/>
                      </w:rPr>
                      <w:t xml:space="preserve">Mono&lt;City&gt; </w:t>
                    </w:r>
                    <w:proofErr w:type="gramStart"/>
                    <w:r>
                      <w:rPr>
                        <w:rFonts w:ascii="MS Gothic"/>
                        <w:color w:val="333333"/>
                      </w:rPr>
                      <w:t>findByNameAndStateAllIgnoringCase(</w:t>
                    </w:r>
                    <w:proofErr w:type="gramEnd"/>
                    <w:r>
                      <w:rPr>
                        <w:rFonts w:ascii="MS Gothic"/>
                        <w:color w:val="333333"/>
                      </w:rPr>
                      <w:t>String name, String state);</w:t>
                    </w:r>
                  </w:p>
                  <w:p w14:paraId="4AB9004B" w14:textId="77777777" w:rsidR="00711A16" w:rsidRDefault="00711A16">
                    <w:pPr>
                      <w:rPr>
                        <w:rFonts w:ascii="MS Gothic"/>
                        <w:sz w:val="24"/>
                      </w:rPr>
                    </w:pPr>
                  </w:p>
                  <w:p w14:paraId="364D08A0" w14:textId="77777777" w:rsidR="00711A16" w:rsidRDefault="00711A16">
                    <w:pPr>
                      <w:ind w:left="200"/>
                      <w:rPr>
                        <w:rFonts w:ascii="MS Gothic"/>
                      </w:rPr>
                    </w:pPr>
                    <w:r>
                      <w:rPr>
                        <w:rFonts w:ascii="MS Gothic"/>
                        <w:color w:val="333333"/>
                      </w:rPr>
                      <w:t>}</w:t>
                    </w:r>
                  </w:p>
                </w:txbxContent>
              </v:textbox>
            </v:shape>
            <w10:anchorlock/>
          </v:group>
        </w:pict>
      </w:r>
    </w:p>
    <w:p w14:paraId="5324517E" w14:textId="77777777" w:rsidR="00A720EB" w:rsidRDefault="00A720EB">
      <w:pPr>
        <w:pStyle w:val="a3"/>
        <w:spacing w:before="7"/>
        <w:rPr>
          <w:sz w:val="16"/>
        </w:rPr>
      </w:pPr>
    </w:p>
    <w:p w14:paraId="335730B5" w14:textId="77777777" w:rsidR="00A720EB" w:rsidRDefault="00E10349">
      <w:pPr>
        <w:pStyle w:val="a3"/>
        <w:spacing w:before="125" w:line="307" w:lineRule="auto"/>
        <w:ind w:left="1564" w:right="462"/>
      </w:pPr>
      <w:r>
        <w:pict w14:anchorId="6EE9ABBE">
          <v:line id="_x0000_s4107" style="position:absolute;left:0;text-align:left;z-index:15984128;mso-position-horizontal-relative:page" from="108.25pt,.25pt" to="108.25pt,39.8pt" strokecolor="#ededed" strokeweight=".5pt">
            <w10:wrap anchorx="page"/>
          </v:line>
        </w:pict>
      </w:r>
      <w:r w:rsidR="0030286B">
        <w:rPr>
          <w:noProof/>
        </w:rPr>
        <w:drawing>
          <wp:anchor distT="0" distB="0" distL="0" distR="0" simplePos="0" relativeHeight="15984640" behindDoc="0" locked="0" layoutInCell="1" allowOverlap="1" wp14:anchorId="156E8113" wp14:editId="4B5A82DA">
            <wp:simplePos x="0" y="0"/>
            <wp:positionH relativeFrom="page">
              <wp:posOffset>888949</wp:posOffset>
            </wp:positionH>
            <wp:positionV relativeFrom="paragraph">
              <wp:posOffset>102146</wp:posOffset>
            </wp:positionV>
            <wp:extent cx="209550" cy="304800"/>
            <wp:effectExtent l="0" t="0" r="0" b="0"/>
            <wp:wrapNone/>
            <wp:docPr id="3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We have barely scratched the surface of Spring Data R2DBC. For complete details, see the </w:t>
      </w:r>
      <w:hyperlink r:id="rId215">
        <w:r w:rsidR="0030286B">
          <w:rPr>
            <w:color w:val="418BCA"/>
            <w:w w:val="110"/>
          </w:rPr>
          <w:t>Spring Data R2DBC reference documentation</w:t>
        </w:r>
      </w:hyperlink>
      <w:r w:rsidR="0030286B">
        <w:rPr>
          <w:color w:val="333333"/>
          <w:w w:val="110"/>
        </w:rPr>
        <w:t>.</w:t>
      </w:r>
    </w:p>
    <w:p w14:paraId="32F452BE" w14:textId="77777777" w:rsidR="00A720EB" w:rsidRDefault="00A720EB">
      <w:pPr>
        <w:pStyle w:val="a3"/>
        <w:spacing w:before="8"/>
        <w:rPr>
          <w:sz w:val="32"/>
        </w:rPr>
      </w:pPr>
    </w:p>
    <w:p w14:paraId="62170555" w14:textId="77777777" w:rsidR="00A720EB" w:rsidRDefault="0030286B">
      <w:pPr>
        <w:pStyle w:val="2"/>
        <w:numPr>
          <w:ilvl w:val="1"/>
          <w:numId w:val="68"/>
        </w:numPr>
        <w:tabs>
          <w:tab w:val="left" w:pos="1034"/>
        </w:tabs>
        <w:ind w:left="1033" w:hanging="910"/>
      </w:pPr>
      <w:bookmarkStart w:id="340" w:name="4.12._Working_with_NoSQL_Technologies"/>
      <w:bookmarkStart w:id="341" w:name="_Toc54423775"/>
      <w:bookmarkEnd w:id="340"/>
      <w:r>
        <w:rPr>
          <w:color w:val="333333"/>
          <w:spacing w:val="-4"/>
          <w:w w:val="110"/>
        </w:rPr>
        <w:t xml:space="preserve">Working </w:t>
      </w:r>
      <w:r>
        <w:rPr>
          <w:color w:val="333333"/>
          <w:w w:val="110"/>
        </w:rPr>
        <w:t>with NoSQL</w:t>
      </w:r>
      <w:r>
        <w:rPr>
          <w:color w:val="333333"/>
          <w:spacing w:val="-35"/>
          <w:w w:val="110"/>
        </w:rPr>
        <w:t xml:space="preserve"> </w:t>
      </w:r>
      <w:r>
        <w:rPr>
          <w:color w:val="333333"/>
          <w:w w:val="110"/>
        </w:rPr>
        <w:t>Technologies</w:t>
      </w:r>
      <w:bookmarkEnd w:id="341"/>
    </w:p>
    <w:p w14:paraId="28348491" w14:textId="77777777" w:rsidR="00A720EB" w:rsidRDefault="0030286B">
      <w:pPr>
        <w:pStyle w:val="a3"/>
        <w:spacing w:before="254" w:line="307" w:lineRule="auto"/>
        <w:ind w:left="124" w:right="359"/>
      </w:pPr>
      <w:r>
        <w:rPr>
          <w:color w:val="333333"/>
          <w:w w:val="110"/>
        </w:rPr>
        <w:t>Spring Data provides additional projects that help you access a variety of NoSQL technologies, including:</w:t>
      </w:r>
    </w:p>
    <w:p w14:paraId="01CE7DBB" w14:textId="77777777" w:rsidR="00A720EB" w:rsidRDefault="00E10349">
      <w:pPr>
        <w:pStyle w:val="a6"/>
        <w:numPr>
          <w:ilvl w:val="0"/>
          <w:numId w:val="43"/>
        </w:numPr>
        <w:tabs>
          <w:tab w:val="left" w:pos="485"/>
        </w:tabs>
        <w:spacing w:before="240"/>
        <w:rPr>
          <w:sz w:val="21"/>
        </w:rPr>
      </w:pPr>
      <w:hyperlink r:id="rId216">
        <w:r w:rsidR="0030286B">
          <w:rPr>
            <w:color w:val="418BCA"/>
            <w:w w:val="110"/>
            <w:sz w:val="21"/>
          </w:rPr>
          <w:t>MongoDB</w:t>
        </w:r>
      </w:hyperlink>
    </w:p>
    <w:p w14:paraId="69BA143F" w14:textId="77777777" w:rsidR="00A720EB" w:rsidRDefault="00E10349">
      <w:pPr>
        <w:pStyle w:val="a6"/>
        <w:numPr>
          <w:ilvl w:val="0"/>
          <w:numId w:val="43"/>
        </w:numPr>
        <w:tabs>
          <w:tab w:val="left" w:pos="485"/>
        </w:tabs>
        <w:spacing w:before="190"/>
        <w:rPr>
          <w:sz w:val="21"/>
        </w:rPr>
      </w:pPr>
      <w:hyperlink r:id="rId217">
        <w:r w:rsidR="0030286B">
          <w:rPr>
            <w:color w:val="418BCA"/>
            <w:w w:val="110"/>
            <w:sz w:val="21"/>
          </w:rPr>
          <w:t>Neo4J</w:t>
        </w:r>
      </w:hyperlink>
    </w:p>
    <w:p w14:paraId="22A7A043" w14:textId="77777777" w:rsidR="00A720EB" w:rsidRDefault="00E10349">
      <w:pPr>
        <w:pStyle w:val="a6"/>
        <w:numPr>
          <w:ilvl w:val="0"/>
          <w:numId w:val="43"/>
        </w:numPr>
        <w:tabs>
          <w:tab w:val="left" w:pos="485"/>
        </w:tabs>
        <w:spacing w:before="189"/>
        <w:rPr>
          <w:sz w:val="21"/>
        </w:rPr>
      </w:pPr>
      <w:hyperlink r:id="rId218">
        <w:r w:rsidR="0030286B">
          <w:rPr>
            <w:color w:val="418BCA"/>
            <w:w w:val="110"/>
            <w:sz w:val="21"/>
          </w:rPr>
          <w:t>Elasticsearch</w:t>
        </w:r>
      </w:hyperlink>
    </w:p>
    <w:p w14:paraId="13BBFFFC" w14:textId="77777777" w:rsidR="00A720EB" w:rsidRDefault="00E10349">
      <w:pPr>
        <w:pStyle w:val="a6"/>
        <w:numPr>
          <w:ilvl w:val="0"/>
          <w:numId w:val="43"/>
        </w:numPr>
        <w:tabs>
          <w:tab w:val="left" w:pos="485"/>
        </w:tabs>
        <w:spacing w:before="190"/>
        <w:rPr>
          <w:sz w:val="21"/>
        </w:rPr>
      </w:pPr>
      <w:hyperlink r:id="rId219">
        <w:r w:rsidR="0030286B">
          <w:rPr>
            <w:color w:val="418BCA"/>
            <w:w w:val="110"/>
            <w:sz w:val="21"/>
          </w:rPr>
          <w:t>Solr</w:t>
        </w:r>
      </w:hyperlink>
    </w:p>
    <w:p w14:paraId="2E5831A0" w14:textId="77777777" w:rsidR="00A720EB" w:rsidRDefault="00E10349">
      <w:pPr>
        <w:pStyle w:val="a6"/>
        <w:numPr>
          <w:ilvl w:val="0"/>
          <w:numId w:val="43"/>
        </w:numPr>
        <w:tabs>
          <w:tab w:val="left" w:pos="485"/>
        </w:tabs>
        <w:spacing w:before="189"/>
        <w:rPr>
          <w:sz w:val="21"/>
        </w:rPr>
      </w:pPr>
      <w:hyperlink r:id="rId220">
        <w:r w:rsidR="0030286B">
          <w:rPr>
            <w:color w:val="418BCA"/>
            <w:w w:val="110"/>
            <w:sz w:val="21"/>
          </w:rPr>
          <w:t>Redis</w:t>
        </w:r>
      </w:hyperlink>
    </w:p>
    <w:p w14:paraId="0874A11E" w14:textId="77777777" w:rsidR="00A720EB" w:rsidRDefault="00E10349">
      <w:pPr>
        <w:pStyle w:val="a6"/>
        <w:numPr>
          <w:ilvl w:val="0"/>
          <w:numId w:val="43"/>
        </w:numPr>
        <w:tabs>
          <w:tab w:val="left" w:pos="485"/>
        </w:tabs>
        <w:spacing w:before="190"/>
        <w:rPr>
          <w:sz w:val="21"/>
        </w:rPr>
      </w:pPr>
      <w:hyperlink r:id="rId221">
        <w:r w:rsidR="0030286B">
          <w:rPr>
            <w:color w:val="418BCA"/>
            <w:w w:val="110"/>
            <w:sz w:val="21"/>
          </w:rPr>
          <w:t xml:space="preserve">GemFire </w:t>
        </w:r>
      </w:hyperlink>
      <w:r w:rsidR="0030286B">
        <w:rPr>
          <w:color w:val="333333"/>
          <w:w w:val="110"/>
          <w:sz w:val="21"/>
        </w:rPr>
        <w:t>or</w:t>
      </w:r>
      <w:r w:rsidR="0030286B">
        <w:rPr>
          <w:color w:val="333333"/>
          <w:spacing w:val="7"/>
          <w:w w:val="110"/>
          <w:sz w:val="21"/>
        </w:rPr>
        <w:t xml:space="preserve"> </w:t>
      </w:r>
      <w:hyperlink r:id="rId222">
        <w:r w:rsidR="0030286B">
          <w:rPr>
            <w:color w:val="418BCA"/>
            <w:w w:val="110"/>
            <w:sz w:val="21"/>
          </w:rPr>
          <w:t>Geode</w:t>
        </w:r>
      </w:hyperlink>
    </w:p>
    <w:p w14:paraId="7D55B524" w14:textId="77777777" w:rsidR="00A720EB" w:rsidRDefault="00E10349">
      <w:pPr>
        <w:pStyle w:val="a6"/>
        <w:numPr>
          <w:ilvl w:val="0"/>
          <w:numId w:val="43"/>
        </w:numPr>
        <w:tabs>
          <w:tab w:val="left" w:pos="485"/>
        </w:tabs>
        <w:spacing w:before="189"/>
        <w:rPr>
          <w:sz w:val="21"/>
        </w:rPr>
      </w:pPr>
      <w:hyperlink r:id="rId223">
        <w:r w:rsidR="0030286B">
          <w:rPr>
            <w:color w:val="418BCA"/>
            <w:w w:val="110"/>
            <w:sz w:val="21"/>
          </w:rPr>
          <w:t>Cassandra</w:t>
        </w:r>
      </w:hyperlink>
    </w:p>
    <w:p w14:paraId="5C131D96" w14:textId="77777777" w:rsidR="00A720EB" w:rsidRDefault="00E10349">
      <w:pPr>
        <w:pStyle w:val="a6"/>
        <w:numPr>
          <w:ilvl w:val="0"/>
          <w:numId w:val="43"/>
        </w:numPr>
        <w:tabs>
          <w:tab w:val="left" w:pos="485"/>
        </w:tabs>
        <w:spacing w:before="189"/>
        <w:rPr>
          <w:sz w:val="21"/>
        </w:rPr>
      </w:pPr>
      <w:hyperlink r:id="rId224">
        <w:r w:rsidR="0030286B">
          <w:rPr>
            <w:color w:val="418BCA"/>
            <w:w w:val="110"/>
            <w:sz w:val="21"/>
          </w:rPr>
          <w:t>Couchbase</w:t>
        </w:r>
      </w:hyperlink>
    </w:p>
    <w:p w14:paraId="6462F8E7" w14:textId="77777777" w:rsidR="00A720EB" w:rsidRDefault="00E10349">
      <w:pPr>
        <w:pStyle w:val="a6"/>
        <w:numPr>
          <w:ilvl w:val="0"/>
          <w:numId w:val="43"/>
        </w:numPr>
        <w:tabs>
          <w:tab w:val="left" w:pos="485"/>
        </w:tabs>
        <w:spacing w:before="190"/>
        <w:rPr>
          <w:sz w:val="21"/>
        </w:rPr>
      </w:pPr>
      <w:hyperlink r:id="rId225">
        <w:r w:rsidR="0030286B">
          <w:rPr>
            <w:color w:val="418BCA"/>
            <w:w w:val="110"/>
            <w:sz w:val="21"/>
          </w:rPr>
          <w:t>LDAP</w:t>
        </w:r>
      </w:hyperlink>
    </w:p>
    <w:p w14:paraId="43F3A7F5" w14:textId="77777777" w:rsidR="00A720EB" w:rsidRDefault="00A720EB">
      <w:pPr>
        <w:pStyle w:val="a3"/>
        <w:spacing w:before="4"/>
        <w:rPr>
          <w:sz w:val="26"/>
        </w:rPr>
      </w:pPr>
    </w:p>
    <w:p w14:paraId="757F4D60" w14:textId="77777777" w:rsidR="00A720EB" w:rsidRDefault="0030286B">
      <w:pPr>
        <w:pStyle w:val="a3"/>
        <w:ind w:left="124"/>
      </w:pPr>
      <w:r>
        <w:rPr>
          <w:color w:val="333333"/>
          <w:w w:val="110"/>
        </w:rPr>
        <w:t>Spring Boot provides auto-configuration for Redis, MongoDB, Neo4j, Elasticsearch, Solr Cassandra,</w:t>
      </w:r>
    </w:p>
    <w:p w14:paraId="2FC840E1" w14:textId="77777777" w:rsidR="00A720EB" w:rsidRDefault="0030286B">
      <w:pPr>
        <w:pStyle w:val="a3"/>
        <w:spacing w:before="70" w:line="307" w:lineRule="auto"/>
        <w:ind w:left="124" w:right="131"/>
        <w:jc w:val="both"/>
      </w:pPr>
      <w:r>
        <w:rPr>
          <w:color w:val="333333"/>
          <w:w w:val="110"/>
        </w:rPr>
        <w:t xml:space="preserve">Couchbase, and </w:t>
      </w:r>
      <w:r>
        <w:rPr>
          <w:color w:val="333333"/>
          <w:spacing w:val="-7"/>
          <w:w w:val="110"/>
        </w:rPr>
        <w:t xml:space="preserve">LDAP. </w:t>
      </w:r>
      <w:r>
        <w:rPr>
          <w:color w:val="333333"/>
          <w:spacing w:val="-6"/>
          <w:w w:val="110"/>
        </w:rPr>
        <w:t xml:space="preserve">You </w:t>
      </w:r>
      <w:r>
        <w:rPr>
          <w:color w:val="333333"/>
          <w:w w:val="110"/>
        </w:rPr>
        <w:t>can make use of the other projects, but you</w:t>
      </w:r>
      <w:r>
        <w:rPr>
          <w:color w:val="333333"/>
          <w:spacing w:val="50"/>
          <w:w w:val="110"/>
        </w:rPr>
        <w:t xml:space="preserve"> </w:t>
      </w:r>
      <w:proofErr w:type="gramStart"/>
      <w:r>
        <w:rPr>
          <w:color w:val="333333"/>
          <w:w w:val="110"/>
        </w:rPr>
        <w:t>must  configure</w:t>
      </w:r>
      <w:proofErr w:type="gramEnd"/>
      <w:r>
        <w:rPr>
          <w:color w:val="333333"/>
          <w:w w:val="110"/>
        </w:rPr>
        <w:t xml:space="preserve">  them  yourself. Refer to the appropriate reference documentation at</w:t>
      </w:r>
      <w:r>
        <w:rPr>
          <w:color w:val="333333"/>
          <w:spacing w:val="6"/>
          <w:w w:val="110"/>
        </w:rPr>
        <w:t xml:space="preserve"> </w:t>
      </w:r>
      <w:hyperlink r:id="rId226">
        <w:r>
          <w:rPr>
            <w:color w:val="418BCA"/>
            <w:w w:val="110"/>
          </w:rPr>
          <w:t>spring.io/projects/spring-data</w:t>
        </w:r>
      </w:hyperlink>
      <w:r>
        <w:rPr>
          <w:color w:val="333333"/>
          <w:w w:val="110"/>
        </w:rPr>
        <w:t>.</w:t>
      </w:r>
    </w:p>
    <w:p w14:paraId="306DCBE2" w14:textId="77777777" w:rsidR="00A720EB" w:rsidRDefault="00A720EB">
      <w:pPr>
        <w:pStyle w:val="a3"/>
        <w:spacing w:before="8"/>
        <w:rPr>
          <w:sz w:val="25"/>
        </w:rPr>
      </w:pPr>
    </w:p>
    <w:p w14:paraId="7F337643" w14:textId="77777777" w:rsidR="00A720EB" w:rsidRDefault="0030286B">
      <w:pPr>
        <w:pStyle w:val="3"/>
        <w:numPr>
          <w:ilvl w:val="2"/>
          <w:numId w:val="68"/>
        </w:numPr>
        <w:tabs>
          <w:tab w:val="left" w:pos="1003"/>
        </w:tabs>
        <w:spacing w:before="1"/>
        <w:ind w:left="1002" w:hanging="879"/>
      </w:pPr>
      <w:bookmarkStart w:id="342" w:name="4.12.1._Redis"/>
      <w:bookmarkStart w:id="343" w:name="_Toc54423776"/>
      <w:bookmarkEnd w:id="342"/>
      <w:r>
        <w:rPr>
          <w:color w:val="333333"/>
          <w:w w:val="105"/>
        </w:rPr>
        <w:t>Redis</w:t>
      </w:r>
      <w:bookmarkEnd w:id="343"/>
    </w:p>
    <w:p w14:paraId="744CEE62" w14:textId="77777777" w:rsidR="00A720EB" w:rsidRDefault="00E10349">
      <w:pPr>
        <w:pStyle w:val="a3"/>
        <w:spacing w:before="253" w:line="307" w:lineRule="auto"/>
        <w:ind w:left="124" w:right="128"/>
        <w:jc w:val="both"/>
      </w:pPr>
      <w:hyperlink r:id="rId227">
        <w:r w:rsidR="0030286B">
          <w:rPr>
            <w:color w:val="418BCA"/>
            <w:w w:val="110"/>
          </w:rPr>
          <w:t xml:space="preserve">Redis </w:t>
        </w:r>
      </w:hyperlink>
      <w:r w:rsidR="0030286B">
        <w:rPr>
          <w:color w:val="333333"/>
          <w:w w:val="110"/>
        </w:rPr>
        <w:t xml:space="preserve">is a cache, message broker, and richly-featured key-value store. Spring Boot offers basic auto- configuration for the </w:t>
      </w:r>
      <w:hyperlink r:id="rId228">
        <w:r w:rsidR="0030286B">
          <w:rPr>
            <w:color w:val="418BCA"/>
            <w:w w:val="110"/>
          </w:rPr>
          <w:t xml:space="preserve">Lettuce </w:t>
        </w:r>
      </w:hyperlink>
      <w:r w:rsidR="0030286B">
        <w:rPr>
          <w:color w:val="333333"/>
          <w:w w:val="110"/>
        </w:rPr>
        <w:t xml:space="preserve">and </w:t>
      </w:r>
      <w:hyperlink r:id="rId229">
        <w:r w:rsidR="0030286B">
          <w:rPr>
            <w:color w:val="418BCA"/>
            <w:w w:val="110"/>
          </w:rPr>
          <w:t xml:space="preserve">Jedis </w:t>
        </w:r>
      </w:hyperlink>
      <w:r w:rsidR="0030286B">
        <w:rPr>
          <w:color w:val="333333"/>
          <w:w w:val="110"/>
        </w:rPr>
        <w:t xml:space="preserve">client libraries and the abstractions on top of them provided by </w:t>
      </w:r>
      <w:hyperlink r:id="rId230">
        <w:r w:rsidR="0030286B">
          <w:rPr>
            <w:color w:val="418BCA"/>
            <w:w w:val="110"/>
          </w:rPr>
          <w:t>Spring Data Redis</w:t>
        </w:r>
      </w:hyperlink>
      <w:r w:rsidR="0030286B">
        <w:rPr>
          <w:color w:val="333333"/>
          <w:w w:val="110"/>
        </w:rPr>
        <w:t>.</w:t>
      </w:r>
    </w:p>
    <w:p w14:paraId="46622428" w14:textId="77777777" w:rsidR="00A720EB" w:rsidRDefault="0030286B">
      <w:pPr>
        <w:pStyle w:val="a3"/>
        <w:spacing w:before="231" w:line="290" w:lineRule="auto"/>
        <w:ind w:left="124" w:right="126"/>
        <w:jc w:val="both"/>
      </w:pPr>
      <w:r>
        <w:rPr>
          <w:color w:val="333333"/>
          <w:w w:val="110"/>
        </w:rPr>
        <w:t>There</w:t>
      </w:r>
      <w:r>
        <w:rPr>
          <w:color w:val="333333"/>
          <w:spacing w:val="-11"/>
          <w:w w:val="110"/>
        </w:rPr>
        <w:t xml:space="preserve"> </w:t>
      </w:r>
      <w:r>
        <w:rPr>
          <w:color w:val="333333"/>
          <w:w w:val="110"/>
        </w:rPr>
        <w:t>is</w:t>
      </w:r>
      <w:r>
        <w:rPr>
          <w:color w:val="333333"/>
          <w:spacing w:val="-11"/>
          <w:w w:val="110"/>
        </w:rPr>
        <w:t xml:space="preserve"> </w:t>
      </w:r>
      <w:r>
        <w:rPr>
          <w:color w:val="333333"/>
          <w:w w:val="110"/>
        </w:rPr>
        <w:t>a</w:t>
      </w:r>
      <w:r>
        <w:rPr>
          <w:color w:val="333333"/>
          <w:spacing w:val="-10"/>
          <w:w w:val="110"/>
        </w:rPr>
        <w:t xml:space="preserve"> </w:t>
      </w:r>
      <w:r>
        <w:rPr>
          <w:rFonts w:ascii="MS Gothic" w:hAnsi="MS Gothic"/>
          <w:color w:val="B02045"/>
          <w:w w:val="110"/>
        </w:rPr>
        <w:t>spring-boot-starter-data-redis</w:t>
      </w:r>
      <w:r>
        <w:rPr>
          <w:rFonts w:ascii="MS Gothic" w:hAnsi="MS Gothic"/>
          <w:color w:val="B02045"/>
          <w:spacing w:val="-75"/>
          <w:w w:val="110"/>
        </w:rPr>
        <w:t xml:space="preserve"> </w:t>
      </w:r>
      <w:r>
        <w:rPr>
          <w:color w:val="333333"/>
          <w:w w:val="110"/>
        </w:rPr>
        <w:t>“Starter”</w:t>
      </w:r>
      <w:r>
        <w:rPr>
          <w:color w:val="333333"/>
          <w:spacing w:val="-11"/>
          <w:w w:val="110"/>
        </w:rPr>
        <w:t xml:space="preserve"> </w:t>
      </w:r>
      <w:r>
        <w:rPr>
          <w:color w:val="333333"/>
          <w:w w:val="110"/>
        </w:rPr>
        <w:t>for</w:t>
      </w:r>
      <w:r>
        <w:rPr>
          <w:color w:val="333333"/>
          <w:spacing w:val="-10"/>
          <w:w w:val="110"/>
        </w:rPr>
        <w:t xml:space="preserve"> </w:t>
      </w:r>
      <w:r>
        <w:rPr>
          <w:color w:val="333333"/>
          <w:w w:val="110"/>
        </w:rPr>
        <w:t>collecting</w:t>
      </w:r>
      <w:r>
        <w:rPr>
          <w:color w:val="333333"/>
          <w:spacing w:val="-11"/>
          <w:w w:val="110"/>
        </w:rPr>
        <w:t xml:space="preserve"> </w:t>
      </w:r>
      <w:r>
        <w:rPr>
          <w:color w:val="333333"/>
          <w:w w:val="110"/>
        </w:rPr>
        <w:t>the</w:t>
      </w:r>
      <w:r>
        <w:rPr>
          <w:color w:val="333333"/>
          <w:spacing w:val="-10"/>
          <w:w w:val="110"/>
        </w:rPr>
        <w:t xml:space="preserve"> </w:t>
      </w:r>
      <w:r>
        <w:rPr>
          <w:color w:val="333333"/>
          <w:w w:val="110"/>
        </w:rPr>
        <w:t>dependencies</w:t>
      </w:r>
      <w:r>
        <w:rPr>
          <w:color w:val="333333"/>
          <w:spacing w:val="-11"/>
          <w:w w:val="110"/>
        </w:rPr>
        <w:t xml:space="preserve"> </w:t>
      </w:r>
      <w:r>
        <w:rPr>
          <w:color w:val="333333"/>
          <w:w w:val="110"/>
        </w:rPr>
        <w:t>in</w:t>
      </w:r>
      <w:r>
        <w:rPr>
          <w:color w:val="333333"/>
          <w:spacing w:val="-11"/>
          <w:w w:val="110"/>
        </w:rPr>
        <w:t xml:space="preserve"> </w:t>
      </w:r>
      <w:r>
        <w:rPr>
          <w:color w:val="333333"/>
          <w:w w:val="110"/>
        </w:rPr>
        <w:t>a</w:t>
      </w:r>
      <w:r>
        <w:rPr>
          <w:color w:val="333333"/>
          <w:spacing w:val="-11"/>
          <w:w w:val="110"/>
        </w:rPr>
        <w:t xml:space="preserve"> </w:t>
      </w:r>
      <w:r>
        <w:rPr>
          <w:color w:val="333333"/>
          <w:w w:val="110"/>
        </w:rPr>
        <w:t xml:space="preserve">convenient </w:t>
      </w:r>
      <w:r>
        <w:rPr>
          <w:color w:val="333333"/>
          <w:spacing w:val="-7"/>
          <w:w w:val="110"/>
        </w:rPr>
        <w:t>way.</w:t>
      </w:r>
      <w:r>
        <w:rPr>
          <w:color w:val="333333"/>
          <w:spacing w:val="6"/>
          <w:w w:val="110"/>
        </w:rPr>
        <w:t xml:space="preserve"> </w:t>
      </w:r>
      <w:r>
        <w:rPr>
          <w:color w:val="333333"/>
          <w:spacing w:val="-3"/>
          <w:w w:val="110"/>
        </w:rPr>
        <w:t>By</w:t>
      </w:r>
      <w:r>
        <w:rPr>
          <w:color w:val="333333"/>
          <w:spacing w:val="5"/>
          <w:w w:val="110"/>
        </w:rPr>
        <w:t xml:space="preserve"> </w:t>
      </w:r>
      <w:r>
        <w:rPr>
          <w:color w:val="333333"/>
          <w:w w:val="110"/>
        </w:rPr>
        <w:t>default,</w:t>
      </w:r>
      <w:r>
        <w:rPr>
          <w:color w:val="333333"/>
          <w:spacing w:val="4"/>
          <w:w w:val="110"/>
        </w:rPr>
        <w:t xml:space="preserve"> </w:t>
      </w:r>
      <w:r>
        <w:rPr>
          <w:color w:val="333333"/>
          <w:w w:val="110"/>
        </w:rPr>
        <w:t>it</w:t>
      </w:r>
      <w:r>
        <w:rPr>
          <w:color w:val="333333"/>
          <w:spacing w:val="5"/>
          <w:w w:val="110"/>
        </w:rPr>
        <w:t xml:space="preserve"> </w:t>
      </w:r>
      <w:r>
        <w:rPr>
          <w:color w:val="333333"/>
          <w:w w:val="110"/>
        </w:rPr>
        <w:t>uses</w:t>
      </w:r>
      <w:r>
        <w:rPr>
          <w:color w:val="333333"/>
          <w:spacing w:val="10"/>
          <w:w w:val="110"/>
        </w:rPr>
        <w:t xml:space="preserve"> </w:t>
      </w:r>
      <w:hyperlink r:id="rId231">
        <w:r>
          <w:rPr>
            <w:color w:val="418BCA"/>
            <w:w w:val="110"/>
          </w:rPr>
          <w:t>Lettuce</w:t>
        </w:r>
      </w:hyperlink>
      <w:r>
        <w:rPr>
          <w:color w:val="333333"/>
          <w:w w:val="110"/>
        </w:rPr>
        <w:t>.</w:t>
      </w:r>
      <w:r>
        <w:rPr>
          <w:color w:val="333333"/>
          <w:spacing w:val="6"/>
          <w:w w:val="110"/>
        </w:rPr>
        <w:t xml:space="preserve"> </w:t>
      </w:r>
      <w:r>
        <w:rPr>
          <w:color w:val="333333"/>
          <w:w w:val="110"/>
        </w:rPr>
        <w:t>That</w:t>
      </w:r>
      <w:r>
        <w:rPr>
          <w:color w:val="333333"/>
          <w:spacing w:val="5"/>
          <w:w w:val="110"/>
        </w:rPr>
        <w:t xml:space="preserve"> </w:t>
      </w:r>
      <w:r>
        <w:rPr>
          <w:color w:val="333333"/>
          <w:w w:val="110"/>
        </w:rPr>
        <w:t>starter</w:t>
      </w:r>
      <w:r>
        <w:rPr>
          <w:color w:val="333333"/>
          <w:spacing w:val="6"/>
          <w:w w:val="110"/>
        </w:rPr>
        <w:t xml:space="preserve"> </w:t>
      </w:r>
      <w:r>
        <w:rPr>
          <w:color w:val="333333"/>
          <w:w w:val="110"/>
        </w:rPr>
        <w:t>handles</w:t>
      </w:r>
      <w:r>
        <w:rPr>
          <w:color w:val="333333"/>
          <w:spacing w:val="5"/>
          <w:w w:val="110"/>
        </w:rPr>
        <w:t xml:space="preserve"> </w:t>
      </w:r>
      <w:r>
        <w:rPr>
          <w:color w:val="333333"/>
          <w:w w:val="110"/>
        </w:rPr>
        <w:t>both</w:t>
      </w:r>
      <w:r>
        <w:rPr>
          <w:color w:val="333333"/>
          <w:spacing w:val="5"/>
          <w:w w:val="110"/>
        </w:rPr>
        <w:t xml:space="preserve"> </w:t>
      </w:r>
      <w:r>
        <w:rPr>
          <w:color w:val="333333"/>
          <w:w w:val="110"/>
        </w:rPr>
        <w:t>traditional</w:t>
      </w:r>
      <w:r>
        <w:rPr>
          <w:color w:val="333333"/>
          <w:spacing w:val="5"/>
          <w:w w:val="110"/>
        </w:rPr>
        <w:t xml:space="preserve"> </w:t>
      </w:r>
      <w:r>
        <w:rPr>
          <w:color w:val="333333"/>
          <w:w w:val="110"/>
        </w:rPr>
        <w:t>and</w:t>
      </w:r>
      <w:r>
        <w:rPr>
          <w:color w:val="333333"/>
          <w:spacing w:val="5"/>
          <w:w w:val="110"/>
        </w:rPr>
        <w:t xml:space="preserve"> </w:t>
      </w:r>
      <w:r>
        <w:rPr>
          <w:color w:val="333333"/>
          <w:w w:val="110"/>
        </w:rPr>
        <w:t>reactive</w:t>
      </w:r>
      <w:r>
        <w:rPr>
          <w:color w:val="333333"/>
          <w:spacing w:val="6"/>
          <w:w w:val="110"/>
        </w:rPr>
        <w:t xml:space="preserve"> </w:t>
      </w:r>
      <w:r>
        <w:rPr>
          <w:color w:val="333333"/>
          <w:w w:val="110"/>
        </w:rPr>
        <w:t>applications.</w:t>
      </w:r>
    </w:p>
    <w:p w14:paraId="3E11E46E" w14:textId="77777777" w:rsidR="00A720EB" w:rsidRDefault="00A720EB">
      <w:pPr>
        <w:spacing w:line="290" w:lineRule="auto"/>
        <w:jc w:val="both"/>
        <w:sectPr w:rsidR="00A720EB">
          <w:pgSz w:w="11910" w:h="16840"/>
          <w:pgMar w:top="700" w:right="840" w:bottom="520" w:left="840" w:header="0" w:footer="323" w:gutter="0"/>
          <w:cols w:space="720"/>
        </w:sectPr>
      </w:pPr>
    </w:p>
    <w:p w14:paraId="4F7517E4" w14:textId="77777777" w:rsidR="00A720EB" w:rsidRDefault="00E10349">
      <w:pPr>
        <w:pStyle w:val="a3"/>
        <w:tabs>
          <w:tab w:val="left" w:pos="2095"/>
          <w:tab w:val="left" w:pos="2731"/>
          <w:tab w:val="left" w:pos="3746"/>
          <w:tab w:val="left" w:pos="4106"/>
          <w:tab w:val="left" w:pos="9563"/>
        </w:tabs>
        <w:spacing w:before="111" w:line="290" w:lineRule="auto"/>
        <w:ind w:left="1564" w:right="362"/>
      </w:pPr>
      <w:r>
        <w:lastRenderedPageBreak/>
        <w:pict w14:anchorId="6A5AD3F0">
          <v:line id="_x0000_s4106" style="position:absolute;left:0;text-align:left;z-index:15985664;mso-position-horizontal-relative:page" from="108.25pt,.1pt" to="108.25pt,39.65pt" strokecolor="#ededed" strokeweight=".5pt">
            <w10:wrap anchorx="page"/>
          </v:line>
        </w:pict>
      </w:r>
      <w:r w:rsidR="0030286B">
        <w:rPr>
          <w:noProof/>
        </w:rPr>
        <w:drawing>
          <wp:anchor distT="0" distB="0" distL="0" distR="0" simplePos="0" relativeHeight="15986176" behindDoc="0" locked="0" layoutInCell="1" allowOverlap="1" wp14:anchorId="398189DC" wp14:editId="39929770">
            <wp:simplePos x="0" y="0"/>
            <wp:positionH relativeFrom="page">
              <wp:posOffset>888949</wp:posOffset>
            </wp:positionH>
            <wp:positionV relativeFrom="paragraph">
              <wp:posOffset>99898</wp:posOffset>
            </wp:positionV>
            <wp:extent cx="209550" cy="304800"/>
            <wp:effectExtent l="0" t="0" r="0" b="0"/>
            <wp:wrapNone/>
            <wp:docPr id="3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we</w:t>
      </w:r>
      <w:r w:rsidR="0030286B">
        <w:rPr>
          <w:color w:val="333333"/>
          <w:w w:val="110"/>
        </w:rPr>
        <w:tab/>
        <w:t>also</w:t>
      </w:r>
      <w:r w:rsidR="0030286B">
        <w:rPr>
          <w:color w:val="333333"/>
          <w:w w:val="110"/>
        </w:rPr>
        <w:tab/>
        <w:t>provide</w:t>
      </w:r>
      <w:r w:rsidR="0030286B">
        <w:rPr>
          <w:color w:val="333333"/>
          <w:w w:val="110"/>
        </w:rPr>
        <w:tab/>
        <w:t>a</w:t>
      </w:r>
      <w:r w:rsidR="0030286B">
        <w:rPr>
          <w:color w:val="333333"/>
          <w:w w:val="110"/>
        </w:rPr>
        <w:tab/>
      </w:r>
      <w:r w:rsidR="0030286B">
        <w:rPr>
          <w:rFonts w:ascii="MS Gothic" w:hAnsi="MS Gothic"/>
          <w:color w:val="B02045"/>
          <w:w w:val="105"/>
        </w:rPr>
        <w:t>spring-boot-starter-data-redis-reactive</w:t>
      </w:r>
      <w:r w:rsidR="0030286B">
        <w:rPr>
          <w:rFonts w:ascii="MS Gothic" w:hAnsi="MS Gothic"/>
          <w:color w:val="B02045"/>
          <w:spacing w:val="41"/>
          <w:w w:val="105"/>
        </w:rPr>
        <w:t xml:space="preserve"> </w:t>
      </w:r>
      <w:r w:rsidR="0030286B">
        <w:rPr>
          <w:color w:val="333333"/>
          <w:w w:val="105"/>
        </w:rPr>
        <w:t>“Starter”</w:t>
      </w:r>
      <w:r w:rsidR="0030286B">
        <w:rPr>
          <w:color w:val="333333"/>
          <w:w w:val="105"/>
        </w:rPr>
        <w:tab/>
      </w:r>
      <w:r w:rsidR="0030286B">
        <w:rPr>
          <w:color w:val="333333"/>
          <w:spacing w:val="-6"/>
          <w:w w:val="110"/>
        </w:rPr>
        <w:t xml:space="preserve">for </w:t>
      </w:r>
      <w:r w:rsidR="0030286B">
        <w:rPr>
          <w:color w:val="333333"/>
          <w:w w:val="110"/>
        </w:rPr>
        <w:t>consistency with the other stores with reactive</w:t>
      </w:r>
      <w:r w:rsidR="0030286B">
        <w:rPr>
          <w:color w:val="333333"/>
          <w:spacing w:val="20"/>
          <w:w w:val="110"/>
        </w:rPr>
        <w:t xml:space="preserve"> </w:t>
      </w:r>
      <w:r w:rsidR="0030286B">
        <w:rPr>
          <w:color w:val="333333"/>
          <w:w w:val="110"/>
        </w:rPr>
        <w:t>support.</w:t>
      </w:r>
    </w:p>
    <w:p w14:paraId="5A226E0D" w14:textId="77777777" w:rsidR="00A720EB" w:rsidRDefault="00A720EB">
      <w:pPr>
        <w:pStyle w:val="a3"/>
        <w:spacing w:before="1"/>
        <w:rPr>
          <w:sz w:val="25"/>
        </w:rPr>
      </w:pPr>
    </w:p>
    <w:p w14:paraId="75E4DBF6" w14:textId="77777777" w:rsidR="00A720EB" w:rsidRDefault="0030286B">
      <w:pPr>
        <w:pStyle w:val="4"/>
        <w:spacing w:before="104"/>
      </w:pPr>
      <w:bookmarkStart w:id="344" w:name="Connecting_to_Redis"/>
      <w:bookmarkEnd w:id="344"/>
      <w:r>
        <w:rPr>
          <w:color w:val="333333"/>
          <w:w w:val="110"/>
        </w:rPr>
        <w:t>Connecting to Redis</w:t>
      </w:r>
    </w:p>
    <w:p w14:paraId="67D75424" w14:textId="77777777" w:rsidR="00A720EB" w:rsidRDefault="0030286B">
      <w:pPr>
        <w:pStyle w:val="a3"/>
        <w:spacing w:before="244" w:line="280" w:lineRule="auto"/>
        <w:ind w:left="124" w:right="122"/>
        <w:jc w:val="both"/>
      </w:pPr>
      <w:r>
        <w:rPr>
          <w:color w:val="333333"/>
          <w:spacing w:val="-6"/>
          <w:w w:val="110"/>
        </w:rPr>
        <w:t xml:space="preserve">You </w:t>
      </w:r>
      <w:r>
        <w:rPr>
          <w:color w:val="333333"/>
          <w:w w:val="110"/>
        </w:rPr>
        <w:t xml:space="preserve">can inject an auto-configured </w:t>
      </w:r>
      <w:r>
        <w:rPr>
          <w:rFonts w:ascii="MS Gothic"/>
          <w:color w:val="B02045"/>
          <w:w w:val="110"/>
        </w:rPr>
        <w:t>RedisConnectionFactory</w:t>
      </w:r>
      <w:r>
        <w:rPr>
          <w:color w:val="333333"/>
          <w:w w:val="110"/>
        </w:rPr>
        <w:t xml:space="preserve">, </w:t>
      </w:r>
      <w:r>
        <w:rPr>
          <w:rFonts w:ascii="MS Gothic"/>
          <w:color w:val="B02045"/>
          <w:w w:val="110"/>
        </w:rPr>
        <w:t>StringRedisTemplate</w:t>
      </w:r>
      <w:r>
        <w:rPr>
          <w:color w:val="333333"/>
          <w:w w:val="110"/>
        </w:rPr>
        <w:t xml:space="preserve">, or vanilla </w:t>
      </w:r>
      <w:r>
        <w:rPr>
          <w:rFonts w:ascii="MS Gothic"/>
          <w:color w:val="B02045"/>
          <w:w w:val="110"/>
        </w:rPr>
        <w:t>RedisTemplate</w:t>
      </w:r>
      <w:r>
        <w:rPr>
          <w:rFonts w:ascii="MS Gothic"/>
          <w:color w:val="B02045"/>
          <w:spacing w:val="-75"/>
          <w:w w:val="110"/>
        </w:rPr>
        <w:t xml:space="preserve"> </w:t>
      </w:r>
      <w:r>
        <w:rPr>
          <w:color w:val="333333"/>
          <w:w w:val="110"/>
        </w:rPr>
        <w:t xml:space="preserve">instance as you would any other Spring Bean. </w:t>
      </w:r>
      <w:r>
        <w:rPr>
          <w:color w:val="333333"/>
          <w:spacing w:val="-3"/>
          <w:w w:val="110"/>
        </w:rPr>
        <w:t xml:space="preserve">By </w:t>
      </w:r>
      <w:r>
        <w:rPr>
          <w:color w:val="333333"/>
          <w:w w:val="110"/>
        </w:rPr>
        <w:t xml:space="preserve">default, the instance tries to connect to a Redis server at </w:t>
      </w:r>
      <w:r>
        <w:rPr>
          <w:rFonts w:ascii="MS Gothic"/>
          <w:color w:val="B02045"/>
          <w:w w:val="110"/>
        </w:rPr>
        <w:t>localhost:6379</w:t>
      </w:r>
      <w:r>
        <w:rPr>
          <w:color w:val="333333"/>
          <w:w w:val="110"/>
        </w:rPr>
        <w:t>. The following listing shows an example of such a bean:</w:t>
      </w:r>
    </w:p>
    <w:p w14:paraId="4AC3D8F2" w14:textId="77777777" w:rsidR="00A720EB" w:rsidRDefault="00E10349">
      <w:pPr>
        <w:pStyle w:val="a3"/>
        <w:spacing w:before="2"/>
        <w:rPr>
          <w:sz w:val="14"/>
        </w:rPr>
      </w:pPr>
      <w:r>
        <w:pict w14:anchorId="47C86759">
          <v:group id="_x0000_s4102" style="position:absolute;margin-left:47.85pt;margin-top:10.3pt;width:499.55pt;height:214.4pt;z-index:-15472128;mso-wrap-distance-left:0;mso-wrap-distance-right:0;mso-position-horizontal-relative:page" coordorigin="957,206" coordsize="9991,4288">
            <v:shape id="_x0000_s4105" style="position:absolute;left:964;top:213;width:9976;height:4273" coordorigin="965,214" coordsize="9976,4273" path="m10861,214r-9816,l1014,220r-26,17l971,262r-6,32l965,4406r6,31l988,4462r26,18l1045,4486r9816,l10892,4480r25,-18l10935,4437r6,-31l10941,294r-6,-32l10917,237r-25,-17l10861,214xe" fillcolor="#f5f5f5" stroked="f">
              <v:path arrowok="t"/>
            </v:shape>
            <v:shape id="_x0000_s4104" style="position:absolute;left:964;top:213;width:9976;height:4273" coordorigin="965,214" coordsize="9976,4273" path="m1045,214r9816,l10892,220r25,17l10935,262r6,32l10941,4406r-6,31l10917,4462r-25,18l10861,4486r-9816,l1014,4480r-26,-18l971,4437r-6,-31l965,294r6,-32l988,237r26,-17l1045,214xe" filled="f" strokecolor="#ccc">
              <v:path arrowok="t"/>
            </v:shape>
            <v:shape id="_x0000_s4103" type="#_x0000_t202" style="position:absolute;left:984;top:228;width:9938;height:4242" filled="f" stroked="f">
              <v:textbox inset="0,0,0,0">
                <w:txbxContent>
                  <w:p w14:paraId="66BB163F" w14:textId="77777777" w:rsidR="00711A16" w:rsidRDefault="00711A16">
                    <w:pPr>
                      <w:spacing w:before="221"/>
                      <w:ind w:left="200"/>
                      <w:rPr>
                        <w:rFonts w:ascii="MS Gothic"/>
                      </w:rPr>
                    </w:pPr>
                    <w:r>
                      <w:rPr>
                        <w:rFonts w:ascii="MS Gothic"/>
                        <w:color w:val="333333"/>
                      </w:rPr>
                      <w:t>@Component</w:t>
                    </w:r>
                  </w:p>
                  <w:p w14:paraId="325167E6" w14:textId="77777777" w:rsidR="00711A16" w:rsidRDefault="00711A16">
                    <w:pPr>
                      <w:spacing w:before="13"/>
                      <w:ind w:left="200"/>
                      <w:rPr>
                        <w:rFonts w:ascii="MS Gothic"/>
                      </w:rPr>
                    </w:pPr>
                    <w:r>
                      <w:rPr>
                        <w:rFonts w:ascii="MS Gothic"/>
                        <w:color w:val="333333"/>
                      </w:rPr>
                      <w:t>public class MyBean {</w:t>
                    </w:r>
                  </w:p>
                  <w:p w14:paraId="780BA371" w14:textId="77777777" w:rsidR="00711A16" w:rsidRDefault="00711A16">
                    <w:pPr>
                      <w:spacing w:line="590" w:lineRule="atLeast"/>
                      <w:ind w:left="640" w:right="5208"/>
                      <w:rPr>
                        <w:rFonts w:ascii="MS Gothic"/>
                      </w:rPr>
                    </w:pPr>
                    <w:r>
                      <w:rPr>
                        <w:rFonts w:ascii="MS Gothic"/>
                        <w:color w:val="333333"/>
                      </w:rPr>
                      <w:t>private StringRedisTemplate template; @Autowired</w:t>
                    </w:r>
                  </w:p>
                  <w:p w14:paraId="718A0B6D" w14:textId="77777777" w:rsidR="00711A16" w:rsidRDefault="00711A16">
                    <w:pPr>
                      <w:spacing w:before="12" w:line="252" w:lineRule="auto"/>
                      <w:ind w:left="1080" w:right="432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StringRedisTemplate template) { this.template = template;</w:t>
                    </w:r>
                  </w:p>
                  <w:p w14:paraId="57E54BA8" w14:textId="77777777" w:rsidR="00711A16" w:rsidRDefault="00711A16">
                    <w:pPr>
                      <w:spacing w:line="280" w:lineRule="exact"/>
                      <w:ind w:left="640"/>
                      <w:rPr>
                        <w:rFonts w:ascii="MS Gothic"/>
                      </w:rPr>
                    </w:pPr>
                    <w:r>
                      <w:rPr>
                        <w:rFonts w:ascii="MS Gothic"/>
                        <w:color w:val="333333"/>
                      </w:rPr>
                      <w:t>}</w:t>
                    </w:r>
                  </w:p>
                  <w:p w14:paraId="12945E00" w14:textId="77777777" w:rsidR="00711A16" w:rsidRDefault="00711A16">
                    <w:pPr>
                      <w:rPr>
                        <w:rFonts w:ascii="MS Gothic"/>
                        <w:sz w:val="24"/>
                      </w:rPr>
                    </w:pPr>
                  </w:p>
                  <w:p w14:paraId="60E6E40A" w14:textId="77777777" w:rsidR="00711A16" w:rsidRDefault="00711A16">
                    <w:pPr>
                      <w:ind w:left="640"/>
                      <w:rPr>
                        <w:rFonts w:ascii="MS Gothic"/>
                      </w:rPr>
                    </w:pPr>
                    <w:r>
                      <w:rPr>
                        <w:rFonts w:ascii="MS Gothic"/>
                        <w:color w:val="333333"/>
                      </w:rPr>
                      <w:t>// ...</w:t>
                    </w:r>
                  </w:p>
                  <w:p w14:paraId="14C73CC3" w14:textId="77777777" w:rsidR="00711A16" w:rsidRDefault="00711A16">
                    <w:pPr>
                      <w:rPr>
                        <w:rFonts w:ascii="MS Gothic"/>
                        <w:sz w:val="24"/>
                      </w:rPr>
                    </w:pPr>
                  </w:p>
                  <w:p w14:paraId="3A72B23F" w14:textId="77777777" w:rsidR="00711A16" w:rsidRDefault="00711A16">
                    <w:pPr>
                      <w:ind w:left="200"/>
                      <w:rPr>
                        <w:rFonts w:ascii="MS Gothic"/>
                      </w:rPr>
                    </w:pPr>
                    <w:r>
                      <w:rPr>
                        <w:rFonts w:ascii="MS Gothic"/>
                        <w:color w:val="333333"/>
                      </w:rPr>
                      <w:t>}</w:t>
                    </w:r>
                  </w:p>
                </w:txbxContent>
              </v:textbox>
            </v:shape>
            <w10:wrap type="topAndBottom" anchorx="page"/>
          </v:group>
        </w:pict>
      </w:r>
    </w:p>
    <w:p w14:paraId="56669D05" w14:textId="77777777" w:rsidR="00A720EB" w:rsidRDefault="00A720EB">
      <w:pPr>
        <w:pStyle w:val="a3"/>
        <w:spacing w:before="10"/>
        <w:rPr>
          <w:sz w:val="16"/>
        </w:rPr>
      </w:pPr>
    </w:p>
    <w:p w14:paraId="39A2B23E" w14:textId="77777777" w:rsidR="00A720EB" w:rsidRDefault="00E10349">
      <w:pPr>
        <w:pStyle w:val="a3"/>
        <w:spacing w:before="125" w:line="290" w:lineRule="auto"/>
        <w:ind w:left="1564" w:right="365"/>
        <w:jc w:val="both"/>
      </w:pPr>
      <w:r>
        <w:pict w14:anchorId="6E319BFE">
          <v:line id="_x0000_s4101" style="position:absolute;left:0;text-align:left;z-index:15986688;mso-position-horizontal-relative:page" from="108.25pt,.25pt" to="108.25pt,55.6pt" strokecolor="#ededed" strokeweight=".5pt">
            <w10:wrap anchorx="page"/>
          </v:line>
        </w:pict>
      </w:r>
      <w:r w:rsidR="0030286B">
        <w:rPr>
          <w:noProof/>
        </w:rPr>
        <w:drawing>
          <wp:anchor distT="0" distB="0" distL="0" distR="0" simplePos="0" relativeHeight="15987200" behindDoc="0" locked="0" layoutInCell="1" allowOverlap="1" wp14:anchorId="003A573D" wp14:editId="59316B4B">
            <wp:simplePos x="0" y="0"/>
            <wp:positionH relativeFrom="page">
              <wp:posOffset>888949</wp:posOffset>
            </wp:positionH>
            <wp:positionV relativeFrom="paragraph">
              <wp:posOffset>202349</wp:posOffset>
            </wp:positionV>
            <wp:extent cx="209550" cy="304800"/>
            <wp:effectExtent l="0" t="0" r="0" b="0"/>
            <wp:wrapNone/>
            <wp:docPr id="3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 xml:space="preserve">You </w:t>
      </w:r>
      <w:r w:rsidR="0030286B">
        <w:rPr>
          <w:color w:val="333333"/>
          <w:w w:val="110"/>
        </w:rPr>
        <w:t xml:space="preserve">can also register an arbitrary number of beans that implement </w:t>
      </w:r>
      <w:r w:rsidR="0030286B">
        <w:rPr>
          <w:rFonts w:ascii="MS Gothic"/>
          <w:color w:val="B02045"/>
          <w:w w:val="105"/>
        </w:rPr>
        <w:t xml:space="preserve">LettuceClientConfigurationBuilderCustomizer </w:t>
      </w:r>
      <w:r w:rsidR="0030286B">
        <w:rPr>
          <w:color w:val="333333"/>
          <w:w w:val="105"/>
        </w:rPr>
        <w:t xml:space="preserve">for more advanced customizations. </w:t>
      </w:r>
      <w:r w:rsidR="0030286B">
        <w:rPr>
          <w:color w:val="333333"/>
          <w:w w:val="110"/>
        </w:rPr>
        <w:t>If</w:t>
      </w:r>
      <w:r w:rsidR="0030286B">
        <w:rPr>
          <w:color w:val="333333"/>
          <w:spacing w:val="-17"/>
          <w:w w:val="110"/>
        </w:rPr>
        <w:t xml:space="preserve"> </w:t>
      </w:r>
      <w:r w:rsidR="0030286B">
        <w:rPr>
          <w:color w:val="333333"/>
          <w:w w:val="110"/>
        </w:rPr>
        <w:t>you</w:t>
      </w:r>
      <w:r w:rsidR="0030286B">
        <w:rPr>
          <w:color w:val="333333"/>
          <w:spacing w:val="-16"/>
          <w:w w:val="110"/>
        </w:rPr>
        <w:t xml:space="preserve"> </w:t>
      </w:r>
      <w:r w:rsidR="0030286B">
        <w:rPr>
          <w:color w:val="333333"/>
          <w:w w:val="110"/>
        </w:rPr>
        <w:t>use</w:t>
      </w:r>
      <w:r w:rsidR="0030286B">
        <w:rPr>
          <w:color w:val="333333"/>
          <w:spacing w:val="-17"/>
          <w:w w:val="110"/>
        </w:rPr>
        <w:t xml:space="preserve"> </w:t>
      </w:r>
      <w:r w:rsidR="0030286B">
        <w:rPr>
          <w:color w:val="333333"/>
          <w:w w:val="110"/>
        </w:rPr>
        <w:t>Jedis,</w:t>
      </w:r>
      <w:r w:rsidR="0030286B">
        <w:rPr>
          <w:color w:val="333333"/>
          <w:spacing w:val="-14"/>
          <w:w w:val="110"/>
        </w:rPr>
        <w:t xml:space="preserve"> </w:t>
      </w:r>
      <w:r w:rsidR="0030286B">
        <w:rPr>
          <w:rFonts w:ascii="MS Gothic"/>
          <w:color w:val="B02045"/>
          <w:w w:val="110"/>
        </w:rPr>
        <w:t>JedisClientConfigurationBuilderCustomizer</w:t>
      </w:r>
      <w:r w:rsidR="0030286B">
        <w:rPr>
          <w:rFonts w:ascii="MS Gothic"/>
          <w:color w:val="B02045"/>
          <w:spacing w:val="-81"/>
          <w:w w:val="110"/>
        </w:rPr>
        <w:t xml:space="preserve"> </w:t>
      </w:r>
      <w:r w:rsidR="0030286B">
        <w:rPr>
          <w:color w:val="333333"/>
          <w:w w:val="110"/>
        </w:rPr>
        <w:t>is</w:t>
      </w:r>
      <w:r w:rsidR="0030286B">
        <w:rPr>
          <w:color w:val="333333"/>
          <w:spacing w:val="-17"/>
          <w:w w:val="110"/>
        </w:rPr>
        <w:t xml:space="preserve"> </w:t>
      </w:r>
      <w:r w:rsidR="0030286B">
        <w:rPr>
          <w:color w:val="333333"/>
          <w:w w:val="110"/>
        </w:rPr>
        <w:t>also</w:t>
      </w:r>
      <w:r w:rsidR="0030286B">
        <w:rPr>
          <w:color w:val="333333"/>
          <w:spacing w:val="-17"/>
          <w:w w:val="110"/>
        </w:rPr>
        <w:t xml:space="preserve"> </w:t>
      </w:r>
      <w:r w:rsidR="0030286B">
        <w:rPr>
          <w:color w:val="333333"/>
          <w:w w:val="110"/>
        </w:rPr>
        <w:t>available.</w:t>
      </w:r>
    </w:p>
    <w:p w14:paraId="319CBDCE" w14:textId="77777777" w:rsidR="00A720EB" w:rsidRDefault="00A720EB">
      <w:pPr>
        <w:pStyle w:val="a3"/>
        <w:spacing w:before="4"/>
        <w:rPr>
          <w:sz w:val="16"/>
        </w:rPr>
      </w:pPr>
    </w:p>
    <w:p w14:paraId="652A5409" w14:textId="77777777" w:rsidR="00A720EB" w:rsidRDefault="0030286B">
      <w:pPr>
        <w:pStyle w:val="a3"/>
        <w:spacing w:before="116" w:line="280" w:lineRule="auto"/>
        <w:ind w:left="124" w:right="123"/>
        <w:jc w:val="both"/>
      </w:pPr>
      <w:r>
        <w:rPr>
          <w:color w:val="333333"/>
          <w:w w:val="110"/>
        </w:rPr>
        <w:t xml:space="preserve">If you add your own </w:t>
      </w:r>
      <w:r>
        <w:rPr>
          <w:rFonts w:ascii="MS Gothic"/>
          <w:color w:val="B02045"/>
          <w:w w:val="110"/>
        </w:rPr>
        <w:t xml:space="preserve">@Bean </w:t>
      </w:r>
      <w:r>
        <w:rPr>
          <w:color w:val="333333"/>
          <w:w w:val="110"/>
        </w:rPr>
        <w:t>of any of the auto-configured types, it replaces the default (except in the case</w:t>
      </w:r>
      <w:r>
        <w:rPr>
          <w:color w:val="333333"/>
          <w:spacing w:val="-10"/>
          <w:w w:val="110"/>
        </w:rPr>
        <w:t xml:space="preserve"> </w:t>
      </w:r>
      <w:r>
        <w:rPr>
          <w:color w:val="333333"/>
          <w:w w:val="110"/>
        </w:rPr>
        <w:t>of</w:t>
      </w:r>
      <w:r>
        <w:rPr>
          <w:color w:val="333333"/>
          <w:spacing w:val="-10"/>
          <w:w w:val="110"/>
        </w:rPr>
        <w:t xml:space="preserve"> </w:t>
      </w:r>
      <w:r>
        <w:rPr>
          <w:rFonts w:ascii="MS Gothic"/>
          <w:color w:val="B02045"/>
          <w:w w:val="110"/>
        </w:rPr>
        <w:t>RedisTemplate</w:t>
      </w:r>
      <w:r>
        <w:rPr>
          <w:color w:val="333333"/>
          <w:w w:val="110"/>
        </w:rPr>
        <w:t>,</w:t>
      </w:r>
      <w:r>
        <w:rPr>
          <w:color w:val="333333"/>
          <w:spacing w:val="-10"/>
          <w:w w:val="110"/>
        </w:rPr>
        <w:t xml:space="preserve"> </w:t>
      </w:r>
      <w:r>
        <w:rPr>
          <w:color w:val="333333"/>
          <w:w w:val="110"/>
        </w:rPr>
        <w:t>when</w:t>
      </w:r>
      <w:r>
        <w:rPr>
          <w:color w:val="333333"/>
          <w:spacing w:val="-11"/>
          <w:w w:val="110"/>
        </w:rPr>
        <w:t xml:space="preserve"> </w:t>
      </w:r>
      <w:r>
        <w:rPr>
          <w:color w:val="333333"/>
          <w:w w:val="110"/>
        </w:rPr>
        <w:t>the</w:t>
      </w:r>
      <w:r>
        <w:rPr>
          <w:color w:val="333333"/>
          <w:spacing w:val="-10"/>
          <w:w w:val="110"/>
        </w:rPr>
        <w:t xml:space="preserve"> </w:t>
      </w:r>
      <w:r>
        <w:rPr>
          <w:color w:val="333333"/>
          <w:w w:val="110"/>
        </w:rPr>
        <w:t>exclusion</w:t>
      </w:r>
      <w:r>
        <w:rPr>
          <w:color w:val="333333"/>
          <w:spacing w:val="-10"/>
          <w:w w:val="110"/>
        </w:rPr>
        <w:t xml:space="preserve"> </w:t>
      </w:r>
      <w:r>
        <w:rPr>
          <w:color w:val="333333"/>
          <w:w w:val="110"/>
        </w:rPr>
        <w:t>is</w:t>
      </w:r>
      <w:r>
        <w:rPr>
          <w:color w:val="333333"/>
          <w:spacing w:val="-10"/>
          <w:w w:val="110"/>
        </w:rPr>
        <w:t xml:space="preserve"> </w:t>
      </w:r>
      <w:r>
        <w:rPr>
          <w:color w:val="333333"/>
          <w:w w:val="110"/>
        </w:rPr>
        <w:t>based</w:t>
      </w:r>
      <w:r>
        <w:rPr>
          <w:color w:val="333333"/>
          <w:spacing w:val="-11"/>
          <w:w w:val="110"/>
        </w:rPr>
        <w:t xml:space="preserve"> </w:t>
      </w:r>
      <w:r>
        <w:rPr>
          <w:color w:val="333333"/>
          <w:w w:val="110"/>
        </w:rPr>
        <w:t>on</w:t>
      </w:r>
      <w:r>
        <w:rPr>
          <w:color w:val="333333"/>
          <w:spacing w:val="-10"/>
          <w:w w:val="110"/>
        </w:rPr>
        <w:t xml:space="preserve"> </w:t>
      </w:r>
      <w:r>
        <w:rPr>
          <w:color w:val="333333"/>
          <w:w w:val="110"/>
        </w:rPr>
        <w:t>the</w:t>
      </w:r>
      <w:r>
        <w:rPr>
          <w:color w:val="333333"/>
          <w:spacing w:val="-10"/>
          <w:w w:val="110"/>
        </w:rPr>
        <w:t xml:space="preserve"> </w:t>
      </w:r>
      <w:r>
        <w:rPr>
          <w:color w:val="333333"/>
          <w:w w:val="110"/>
        </w:rPr>
        <w:t>bean</w:t>
      </w:r>
      <w:r>
        <w:rPr>
          <w:color w:val="333333"/>
          <w:spacing w:val="-11"/>
          <w:w w:val="110"/>
        </w:rPr>
        <w:t xml:space="preserve"> </w:t>
      </w:r>
      <w:r>
        <w:rPr>
          <w:color w:val="333333"/>
          <w:w w:val="110"/>
        </w:rPr>
        <w:t>name,</w:t>
      </w:r>
      <w:r>
        <w:rPr>
          <w:color w:val="333333"/>
          <w:spacing w:val="-7"/>
          <w:w w:val="110"/>
        </w:rPr>
        <w:t xml:space="preserve"> </w:t>
      </w:r>
      <w:r>
        <w:rPr>
          <w:rFonts w:ascii="MS Gothic"/>
          <w:color w:val="B02045"/>
          <w:w w:val="110"/>
        </w:rPr>
        <w:t>redisTemplate</w:t>
      </w:r>
      <w:r>
        <w:rPr>
          <w:color w:val="333333"/>
          <w:w w:val="110"/>
        </w:rPr>
        <w:t>,</w:t>
      </w:r>
      <w:r>
        <w:rPr>
          <w:color w:val="333333"/>
          <w:spacing w:val="-10"/>
          <w:w w:val="110"/>
        </w:rPr>
        <w:t xml:space="preserve"> </w:t>
      </w:r>
      <w:r>
        <w:rPr>
          <w:color w:val="333333"/>
          <w:w w:val="110"/>
        </w:rPr>
        <w:t>not</w:t>
      </w:r>
      <w:r>
        <w:rPr>
          <w:color w:val="333333"/>
          <w:spacing w:val="-10"/>
          <w:w w:val="110"/>
        </w:rPr>
        <w:t xml:space="preserve"> </w:t>
      </w:r>
      <w:r>
        <w:rPr>
          <w:color w:val="333333"/>
          <w:w w:val="110"/>
        </w:rPr>
        <w:t>its</w:t>
      </w:r>
      <w:r>
        <w:rPr>
          <w:color w:val="333333"/>
          <w:spacing w:val="-11"/>
          <w:w w:val="110"/>
        </w:rPr>
        <w:t xml:space="preserve"> </w:t>
      </w:r>
      <w:r>
        <w:rPr>
          <w:color w:val="333333"/>
          <w:w w:val="110"/>
        </w:rPr>
        <w:t>type).</w:t>
      </w:r>
      <w:r>
        <w:rPr>
          <w:color w:val="333333"/>
          <w:spacing w:val="-10"/>
          <w:w w:val="110"/>
        </w:rPr>
        <w:t xml:space="preserve"> </w:t>
      </w:r>
      <w:r>
        <w:rPr>
          <w:color w:val="333333"/>
          <w:spacing w:val="-3"/>
          <w:w w:val="110"/>
        </w:rPr>
        <w:t xml:space="preserve">By </w:t>
      </w:r>
      <w:r>
        <w:rPr>
          <w:color w:val="333333"/>
          <w:w w:val="110"/>
        </w:rPr>
        <w:t xml:space="preserve">default, if </w:t>
      </w:r>
      <w:r>
        <w:rPr>
          <w:rFonts w:ascii="MS Gothic"/>
          <w:color w:val="B02045"/>
          <w:w w:val="110"/>
        </w:rPr>
        <w:t>commons-pool2</w:t>
      </w:r>
      <w:r>
        <w:rPr>
          <w:rFonts w:ascii="MS Gothic"/>
          <w:color w:val="B02045"/>
          <w:spacing w:val="-45"/>
          <w:w w:val="110"/>
        </w:rPr>
        <w:t xml:space="preserve"> </w:t>
      </w:r>
      <w:r>
        <w:rPr>
          <w:color w:val="333333"/>
          <w:w w:val="110"/>
        </w:rPr>
        <w:t xml:space="preserve">is on the classpath, you get a pooled connection </w:t>
      </w:r>
      <w:r>
        <w:rPr>
          <w:color w:val="333333"/>
          <w:spacing w:val="-4"/>
          <w:w w:val="110"/>
        </w:rPr>
        <w:t>factory.</w:t>
      </w:r>
    </w:p>
    <w:p w14:paraId="23E6D30F" w14:textId="77777777" w:rsidR="00A720EB" w:rsidRDefault="00A720EB">
      <w:pPr>
        <w:pStyle w:val="a3"/>
        <w:spacing w:before="8"/>
        <w:rPr>
          <w:sz w:val="26"/>
        </w:rPr>
      </w:pPr>
    </w:p>
    <w:p w14:paraId="693BAE9A" w14:textId="77777777" w:rsidR="00A720EB" w:rsidRDefault="0030286B">
      <w:pPr>
        <w:pStyle w:val="3"/>
        <w:numPr>
          <w:ilvl w:val="2"/>
          <w:numId w:val="68"/>
        </w:numPr>
        <w:tabs>
          <w:tab w:val="left" w:pos="1003"/>
        </w:tabs>
        <w:spacing w:before="1"/>
        <w:ind w:left="1002" w:hanging="879"/>
      </w:pPr>
      <w:bookmarkStart w:id="345" w:name="4.12.2._MongoDB"/>
      <w:bookmarkStart w:id="346" w:name="_Toc54423777"/>
      <w:bookmarkEnd w:id="345"/>
      <w:r>
        <w:rPr>
          <w:color w:val="333333"/>
        </w:rPr>
        <w:t>MongoDB</w:t>
      </w:r>
      <w:bookmarkEnd w:id="346"/>
    </w:p>
    <w:p w14:paraId="31A64714" w14:textId="77777777" w:rsidR="00A720EB" w:rsidRDefault="00E10349">
      <w:pPr>
        <w:pStyle w:val="a3"/>
        <w:spacing w:before="253" w:line="295" w:lineRule="auto"/>
        <w:ind w:left="124" w:right="122"/>
        <w:jc w:val="both"/>
      </w:pPr>
      <w:hyperlink r:id="rId232">
        <w:r w:rsidR="0030286B">
          <w:rPr>
            <w:color w:val="418BCA"/>
            <w:w w:val="110"/>
          </w:rPr>
          <w:t>MongoDB</w:t>
        </w:r>
      </w:hyperlink>
      <w:r w:rsidR="0030286B">
        <w:rPr>
          <w:color w:val="418BCA"/>
          <w:w w:val="110"/>
        </w:rPr>
        <w:t xml:space="preserve"> </w:t>
      </w:r>
      <w:r w:rsidR="0030286B">
        <w:rPr>
          <w:color w:val="333333"/>
          <w:w w:val="110"/>
        </w:rPr>
        <w:t xml:space="preserve">is an open-source NoSQL document database that uses a JSON-like schema instead of traditional table-based relational data. Spring Boot offers several conveniences for working with </w:t>
      </w:r>
      <w:r w:rsidR="0030286B">
        <w:rPr>
          <w:color w:val="333333"/>
          <w:w w:val="105"/>
        </w:rPr>
        <w:t xml:space="preserve">MongoDB, including the </w:t>
      </w:r>
      <w:r w:rsidR="0030286B">
        <w:rPr>
          <w:rFonts w:ascii="MS Gothic" w:hAnsi="MS Gothic"/>
          <w:color w:val="B02045"/>
          <w:w w:val="105"/>
        </w:rPr>
        <w:t xml:space="preserve">spring-boot-starter-data-mongodb </w:t>
      </w:r>
      <w:r w:rsidR="0030286B">
        <w:rPr>
          <w:color w:val="333333"/>
          <w:w w:val="105"/>
        </w:rPr>
        <w:t xml:space="preserve">and </w:t>
      </w:r>
      <w:r w:rsidR="0030286B">
        <w:rPr>
          <w:rFonts w:ascii="MS Gothic" w:hAnsi="MS Gothic"/>
          <w:color w:val="B02045"/>
          <w:w w:val="105"/>
        </w:rPr>
        <w:t xml:space="preserve">spring-boot-starter-data-mongodb- </w:t>
      </w:r>
      <w:r w:rsidR="0030286B">
        <w:rPr>
          <w:rFonts w:ascii="MS Gothic" w:hAnsi="MS Gothic"/>
          <w:color w:val="B02045"/>
          <w:w w:val="110"/>
        </w:rPr>
        <w:t>reactive</w:t>
      </w:r>
      <w:r w:rsidR="0030286B">
        <w:rPr>
          <w:rFonts w:ascii="MS Gothic" w:hAnsi="MS Gothic"/>
          <w:color w:val="B02045"/>
          <w:spacing w:val="-62"/>
          <w:w w:val="110"/>
        </w:rPr>
        <w:t xml:space="preserve"> </w:t>
      </w:r>
      <w:r w:rsidR="0030286B">
        <w:rPr>
          <w:color w:val="333333"/>
          <w:w w:val="110"/>
        </w:rPr>
        <w:t>“Starters”.</w:t>
      </w:r>
    </w:p>
    <w:p w14:paraId="53018AC7" w14:textId="77777777" w:rsidR="00A720EB" w:rsidRDefault="00A720EB">
      <w:pPr>
        <w:pStyle w:val="a3"/>
        <w:spacing w:before="2"/>
        <w:rPr>
          <w:sz w:val="25"/>
        </w:rPr>
      </w:pPr>
    </w:p>
    <w:p w14:paraId="7D35DD30" w14:textId="77777777" w:rsidR="00A720EB" w:rsidRDefault="0030286B">
      <w:pPr>
        <w:pStyle w:val="4"/>
      </w:pPr>
      <w:bookmarkStart w:id="347" w:name="Connecting_to_a_MongoDB_Database"/>
      <w:bookmarkEnd w:id="347"/>
      <w:r>
        <w:rPr>
          <w:color w:val="333333"/>
          <w:w w:val="110"/>
        </w:rPr>
        <w:t>Connecting to a MongoDB Database</w:t>
      </w:r>
    </w:p>
    <w:p w14:paraId="16738608" w14:textId="77777777" w:rsidR="00A720EB" w:rsidRDefault="00A720EB">
      <w:pPr>
        <w:pStyle w:val="a3"/>
        <w:spacing w:before="11"/>
        <w:rPr>
          <w:rFonts w:ascii="Palatino Linotype"/>
          <w:b/>
          <w:sz w:val="18"/>
        </w:rPr>
      </w:pPr>
    </w:p>
    <w:p w14:paraId="68E9A3AA" w14:textId="77777777" w:rsidR="00A720EB" w:rsidRDefault="0030286B">
      <w:pPr>
        <w:pStyle w:val="a3"/>
        <w:tabs>
          <w:tab w:val="left" w:pos="861"/>
          <w:tab w:val="left" w:pos="1979"/>
          <w:tab w:val="left" w:pos="3448"/>
          <w:tab w:val="left" w:pos="4979"/>
          <w:tab w:val="left" w:pos="5845"/>
          <w:tab w:val="left" w:pos="6695"/>
          <w:tab w:val="left" w:pos="7742"/>
          <w:tab w:val="left" w:pos="8489"/>
        </w:tabs>
        <w:spacing w:before="1" w:line="290" w:lineRule="auto"/>
        <w:ind w:left="124" w:right="124"/>
        <w:jc w:val="both"/>
      </w:pPr>
      <w:r>
        <w:rPr>
          <w:color w:val="333333"/>
          <w:spacing w:val="-4"/>
          <w:w w:val="110"/>
        </w:rPr>
        <w:t>To</w:t>
      </w:r>
      <w:r>
        <w:rPr>
          <w:color w:val="333333"/>
          <w:spacing w:val="-4"/>
          <w:w w:val="110"/>
        </w:rPr>
        <w:tab/>
      </w:r>
      <w:r>
        <w:rPr>
          <w:color w:val="333333"/>
          <w:w w:val="110"/>
        </w:rPr>
        <w:t>access</w:t>
      </w:r>
      <w:r>
        <w:rPr>
          <w:color w:val="333333"/>
          <w:w w:val="110"/>
        </w:rPr>
        <w:tab/>
        <w:t>MongoDB</w:t>
      </w:r>
      <w:r>
        <w:rPr>
          <w:color w:val="333333"/>
          <w:w w:val="110"/>
        </w:rPr>
        <w:tab/>
        <w:t>databases,</w:t>
      </w:r>
      <w:r>
        <w:rPr>
          <w:color w:val="333333"/>
          <w:w w:val="110"/>
        </w:rPr>
        <w:tab/>
        <w:t>you</w:t>
      </w:r>
      <w:r>
        <w:rPr>
          <w:color w:val="333333"/>
          <w:w w:val="110"/>
        </w:rPr>
        <w:tab/>
        <w:t>can</w:t>
      </w:r>
      <w:r>
        <w:rPr>
          <w:color w:val="333333"/>
          <w:w w:val="110"/>
        </w:rPr>
        <w:tab/>
        <w:t>inject</w:t>
      </w:r>
      <w:r>
        <w:rPr>
          <w:color w:val="333333"/>
          <w:w w:val="110"/>
        </w:rPr>
        <w:tab/>
        <w:t>an</w:t>
      </w:r>
      <w:r>
        <w:rPr>
          <w:color w:val="333333"/>
          <w:w w:val="110"/>
        </w:rPr>
        <w:tab/>
        <w:t xml:space="preserve">auto-configured </w:t>
      </w:r>
      <w:proofErr w:type="gramStart"/>
      <w:r>
        <w:rPr>
          <w:rFonts w:ascii="MS Gothic"/>
          <w:color w:val="B02045"/>
          <w:w w:val="105"/>
        </w:rPr>
        <w:t>org.springframework</w:t>
      </w:r>
      <w:proofErr w:type="gramEnd"/>
      <w:r>
        <w:rPr>
          <w:rFonts w:ascii="MS Gothic"/>
          <w:color w:val="B02045"/>
          <w:w w:val="105"/>
        </w:rPr>
        <w:t>.data.mongodb.MongoDatabaseFactory</w:t>
      </w:r>
      <w:r>
        <w:rPr>
          <w:color w:val="333333"/>
          <w:w w:val="105"/>
        </w:rPr>
        <w:t xml:space="preserve">. </w:t>
      </w:r>
      <w:r>
        <w:rPr>
          <w:color w:val="333333"/>
          <w:spacing w:val="-3"/>
          <w:w w:val="105"/>
        </w:rPr>
        <w:t xml:space="preserve">By </w:t>
      </w:r>
      <w:r>
        <w:rPr>
          <w:color w:val="333333"/>
          <w:w w:val="105"/>
        </w:rPr>
        <w:t xml:space="preserve">default, the instance tries to connect to </w:t>
      </w:r>
      <w:r>
        <w:rPr>
          <w:color w:val="333333"/>
          <w:w w:val="110"/>
        </w:rPr>
        <w:t xml:space="preserve">a MongoDB server at </w:t>
      </w:r>
      <w:r>
        <w:rPr>
          <w:rFonts w:ascii="MS Gothic"/>
          <w:color w:val="B02045"/>
          <w:w w:val="110"/>
        </w:rPr>
        <w:t>mongodb://localhost/test</w:t>
      </w:r>
      <w:r>
        <w:rPr>
          <w:color w:val="333333"/>
          <w:w w:val="110"/>
        </w:rPr>
        <w:t>. The following example shows how to connect to a MongoDB</w:t>
      </w:r>
      <w:r>
        <w:rPr>
          <w:color w:val="333333"/>
          <w:spacing w:val="2"/>
          <w:w w:val="110"/>
        </w:rPr>
        <w:t xml:space="preserve"> </w:t>
      </w:r>
      <w:r>
        <w:rPr>
          <w:color w:val="333333"/>
          <w:w w:val="110"/>
        </w:rPr>
        <w:t>database:</w:t>
      </w:r>
    </w:p>
    <w:p w14:paraId="6638AAE4" w14:textId="77777777" w:rsidR="00A720EB" w:rsidRDefault="00A720EB">
      <w:pPr>
        <w:spacing w:line="290" w:lineRule="auto"/>
        <w:jc w:val="both"/>
        <w:sectPr w:rsidR="00A720EB">
          <w:pgSz w:w="11910" w:h="16840"/>
          <w:pgMar w:top="700" w:right="840" w:bottom="520" w:left="840" w:header="0" w:footer="323" w:gutter="0"/>
          <w:cols w:space="720"/>
        </w:sectPr>
      </w:pPr>
    </w:p>
    <w:p w14:paraId="2700C984" w14:textId="77777777" w:rsidR="00A720EB" w:rsidRDefault="00E10349">
      <w:pPr>
        <w:pStyle w:val="a3"/>
        <w:ind w:left="116"/>
        <w:rPr>
          <w:sz w:val="20"/>
        </w:rPr>
      </w:pPr>
      <w:r>
        <w:rPr>
          <w:sz w:val="20"/>
        </w:rPr>
      </w:r>
      <w:r>
        <w:rPr>
          <w:sz w:val="20"/>
        </w:rPr>
        <w:pict w14:anchorId="5EF26AF4">
          <v:group id="_x0000_s4097" style="width:499.55pt;height:332.3pt;mso-position-horizontal-relative:char;mso-position-vertical-relative:line" coordsize="9991,6646">
            <v:shape id="_x0000_s4100" style="position:absolute;left:7;top:7;width:9976;height:6631" coordorigin="8,8" coordsize="9976,6631" path="m9904,8l88,8,56,14,31,31,14,56,8,88r,6470l14,6589r17,26l56,6632r32,6l9904,6638r31,-6l9960,6615r17,-26l9984,6558r,-6470l9977,56,9960,31,9935,14,9904,8xe" fillcolor="#f5f5f5" stroked="f">
              <v:path arrowok="t"/>
            </v:shape>
            <v:shape id="_x0000_s4099" style="position:absolute;left:7;top:7;width:9976;height:6631" coordorigin="8,8" coordsize="9976,6631" path="m88,8r9816,l9935,14r25,17l9977,56r7,32l9984,6558r-7,31l9960,6615r-25,17l9904,6638r-9816,l56,6632,31,6615,14,6589,8,6558,8,88,14,56,31,31,56,14,88,8xe" filled="f" strokecolor="#ccc">
              <v:path arrowok="t"/>
            </v:shape>
            <v:shape id="_x0000_s4098" type="#_x0000_t202" style="position:absolute;left:26;top:22;width:9938;height:6600" filled="f" stroked="f">
              <v:textbox inset="0,0,0,0">
                <w:txbxContent>
                  <w:p w14:paraId="21229054" w14:textId="77777777" w:rsidR="00711A16" w:rsidRDefault="00711A16">
                    <w:pPr>
                      <w:spacing w:before="221" w:line="252" w:lineRule="auto"/>
                      <w:ind w:left="200" w:right="300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.data.mongodb.MongoDatabaseFactory; import com.mongodb.client.MongoDatabase;</w:t>
                    </w:r>
                  </w:p>
                  <w:p w14:paraId="4607BCC2" w14:textId="77777777" w:rsidR="00711A16" w:rsidRDefault="00711A16">
                    <w:pPr>
                      <w:spacing w:before="10"/>
                      <w:rPr>
                        <w:rFonts w:ascii="MS Gothic"/>
                      </w:rPr>
                    </w:pPr>
                  </w:p>
                  <w:p w14:paraId="31E13AF0" w14:textId="77777777" w:rsidR="00711A16" w:rsidRDefault="00711A16">
                    <w:pPr>
                      <w:ind w:left="200"/>
                      <w:rPr>
                        <w:rFonts w:ascii="MS Gothic"/>
                      </w:rPr>
                    </w:pPr>
                    <w:r>
                      <w:rPr>
                        <w:rFonts w:ascii="MS Gothic"/>
                        <w:color w:val="333333"/>
                      </w:rPr>
                      <w:t>@Component</w:t>
                    </w:r>
                  </w:p>
                  <w:p w14:paraId="289EE893" w14:textId="77777777" w:rsidR="00711A16" w:rsidRDefault="00711A16">
                    <w:pPr>
                      <w:spacing w:before="13"/>
                      <w:ind w:left="200"/>
                      <w:rPr>
                        <w:rFonts w:ascii="MS Gothic"/>
                      </w:rPr>
                    </w:pPr>
                    <w:r>
                      <w:rPr>
                        <w:rFonts w:ascii="MS Gothic"/>
                        <w:color w:val="333333"/>
                      </w:rPr>
                      <w:t>public class MyBean {</w:t>
                    </w:r>
                  </w:p>
                  <w:p w14:paraId="734D0BA4" w14:textId="77777777" w:rsidR="00711A16" w:rsidRDefault="00711A16">
                    <w:pPr>
                      <w:spacing w:line="590" w:lineRule="atLeast"/>
                      <w:ind w:left="640" w:right="4768"/>
                      <w:rPr>
                        <w:rFonts w:ascii="MS Gothic"/>
                      </w:rPr>
                    </w:pPr>
                    <w:r>
                      <w:rPr>
                        <w:rFonts w:ascii="MS Gothic"/>
                        <w:color w:val="333333"/>
                      </w:rPr>
                      <w:t>private final MongoDatabaseFactory mongo; @Autowired</w:t>
                    </w:r>
                  </w:p>
                  <w:p w14:paraId="6DC49447" w14:textId="77777777" w:rsidR="00711A16" w:rsidRDefault="00711A16">
                    <w:pPr>
                      <w:spacing w:before="12" w:line="252" w:lineRule="auto"/>
                      <w:ind w:left="1080" w:right="454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MongoDatabaseFactory mongo) { this.mongo = mongo;</w:t>
                    </w:r>
                  </w:p>
                  <w:p w14:paraId="297951D1" w14:textId="77777777" w:rsidR="00711A16" w:rsidRDefault="00711A16">
                    <w:pPr>
                      <w:spacing w:line="280" w:lineRule="exact"/>
                      <w:ind w:left="640"/>
                      <w:rPr>
                        <w:rFonts w:ascii="MS Gothic"/>
                      </w:rPr>
                    </w:pPr>
                    <w:r>
                      <w:rPr>
                        <w:rFonts w:ascii="MS Gothic"/>
                        <w:color w:val="333333"/>
                      </w:rPr>
                      <w:t>}</w:t>
                    </w:r>
                  </w:p>
                  <w:p w14:paraId="2E4499AA" w14:textId="77777777" w:rsidR="00711A16" w:rsidRDefault="00711A16">
                    <w:pPr>
                      <w:rPr>
                        <w:rFonts w:ascii="MS Gothic"/>
                        <w:sz w:val="24"/>
                      </w:rPr>
                    </w:pPr>
                  </w:p>
                  <w:p w14:paraId="18C7E753" w14:textId="77777777" w:rsidR="00711A16" w:rsidRDefault="00711A16">
                    <w:pPr>
                      <w:spacing w:before="1"/>
                      <w:ind w:left="640"/>
                      <w:rPr>
                        <w:rFonts w:ascii="MS Gothic"/>
                      </w:rPr>
                    </w:pPr>
                    <w:r>
                      <w:rPr>
                        <w:rFonts w:ascii="MS Gothic"/>
                        <w:color w:val="333333"/>
                      </w:rPr>
                      <w:t>// ...</w:t>
                    </w:r>
                  </w:p>
                  <w:p w14:paraId="48022974" w14:textId="77777777" w:rsidR="00711A16" w:rsidRDefault="00711A16">
                    <w:pPr>
                      <w:rPr>
                        <w:rFonts w:ascii="MS Gothic"/>
                        <w:sz w:val="24"/>
                      </w:rPr>
                    </w:pPr>
                  </w:p>
                  <w:p w14:paraId="15FD19DD" w14:textId="77777777" w:rsidR="00711A16" w:rsidRDefault="00711A16">
                    <w:pPr>
                      <w:ind w:left="640"/>
                      <w:rPr>
                        <w:rFonts w:ascii="MS Gothic"/>
                      </w:rPr>
                    </w:pPr>
                    <w:r>
                      <w:rPr>
                        <w:rFonts w:ascii="MS Gothic"/>
                        <w:color w:val="333333"/>
                      </w:rPr>
                      <w:t xml:space="preserve">public void </w:t>
                    </w:r>
                    <w:proofErr w:type="gramStart"/>
                    <w:r>
                      <w:rPr>
                        <w:rFonts w:ascii="MS Gothic"/>
                        <w:color w:val="333333"/>
                      </w:rPr>
                      <w:t>example(</w:t>
                    </w:r>
                    <w:proofErr w:type="gramEnd"/>
                    <w:r>
                      <w:rPr>
                        <w:rFonts w:ascii="MS Gothic"/>
                        <w:color w:val="333333"/>
                      </w:rPr>
                      <w:t>) {</w:t>
                    </w:r>
                  </w:p>
                  <w:p w14:paraId="29D5FB25" w14:textId="77777777" w:rsidR="00711A16" w:rsidRDefault="00711A16">
                    <w:pPr>
                      <w:spacing w:before="13"/>
                      <w:ind w:left="1080"/>
                      <w:rPr>
                        <w:rFonts w:ascii="MS Gothic"/>
                      </w:rPr>
                    </w:pPr>
                    <w:r>
                      <w:rPr>
                        <w:rFonts w:ascii="MS Gothic"/>
                        <w:color w:val="333333"/>
                      </w:rPr>
                      <w:t xml:space="preserve">MongoDatabase db = </w:t>
                    </w:r>
                    <w:proofErr w:type="gramStart"/>
                    <w:r>
                      <w:rPr>
                        <w:rFonts w:ascii="MS Gothic"/>
                        <w:color w:val="333333"/>
                      </w:rPr>
                      <w:t>mongo.getMongoDatabase</w:t>
                    </w:r>
                    <w:proofErr w:type="gramEnd"/>
                    <w:r>
                      <w:rPr>
                        <w:rFonts w:ascii="MS Gothic"/>
                        <w:color w:val="333333"/>
                      </w:rPr>
                      <w:t>();</w:t>
                    </w:r>
                  </w:p>
                  <w:p w14:paraId="11107557" w14:textId="77777777" w:rsidR="00711A16" w:rsidRDefault="00711A16">
                    <w:pPr>
                      <w:spacing w:before="13"/>
                      <w:ind w:left="1080"/>
                      <w:rPr>
                        <w:rFonts w:ascii="MS Gothic"/>
                      </w:rPr>
                    </w:pPr>
                    <w:r>
                      <w:rPr>
                        <w:rFonts w:ascii="MS Gothic"/>
                        <w:color w:val="333333"/>
                      </w:rPr>
                      <w:t>// ...</w:t>
                    </w:r>
                  </w:p>
                  <w:p w14:paraId="3F72353D" w14:textId="77777777" w:rsidR="00711A16" w:rsidRDefault="00711A16">
                    <w:pPr>
                      <w:spacing w:before="13"/>
                      <w:ind w:left="640"/>
                      <w:rPr>
                        <w:rFonts w:ascii="MS Gothic"/>
                      </w:rPr>
                    </w:pPr>
                    <w:r>
                      <w:rPr>
                        <w:rFonts w:ascii="MS Gothic"/>
                        <w:color w:val="333333"/>
                      </w:rPr>
                      <w:t>}</w:t>
                    </w:r>
                  </w:p>
                  <w:p w14:paraId="1B714C90" w14:textId="77777777" w:rsidR="00711A16" w:rsidRDefault="00711A16">
                    <w:pPr>
                      <w:rPr>
                        <w:rFonts w:ascii="MS Gothic"/>
                        <w:sz w:val="24"/>
                      </w:rPr>
                    </w:pPr>
                  </w:p>
                  <w:p w14:paraId="6492FD43" w14:textId="77777777" w:rsidR="00711A16" w:rsidRDefault="00711A16">
                    <w:pPr>
                      <w:ind w:left="200"/>
                      <w:rPr>
                        <w:rFonts w:ascii="MS Gothic"/>
                      </w:rPr>
                    </w:pPr>
                    <w:r>
                      <w:rPr>
                        <w:rFonts w:ascii="MS Gothic"/>
                        <w:color w:val="333333"/>
                      </w:rPr>
                      <w:t>}</w:t>
                    </w:r>
                  </w:p>
                </w:txbxContent>
              </v:textbox>
            </v:shape>
            <w10:anchorlock/>
          </v:group>
        </w:pict>
      </w:r>
    </w:p>
    <w:p w14:paraId="643F9AE0" w14:textId="77777777" w:rsidR="00A720EB" w:rsidRDefault="00A720EB">
      <w:pPr>
        <w:pStyle w:val="a3"/>
        <w:spacing w:before="1"/>
        <w:rPr>
          <w:sz w:val="9"/>
        </w:rPr>
      </w:pPr>
    </w:p>
    <w:p w14:paraId="77257FFA" w14:textId="77777777" w:rsidR="00A720EB" w:rsidRDefault="0030286B">
      <w:pPr>
        <w:pStyle w:val="a3"/>
        <w:spacing w:before="115" w:line="271" w:lineRule="auto"/>
        <w:ind w:left="124"/>
      </w:pPr>
      <w:r>
        <w:rPr>
          <w:color w:val="333333"/>
          <w:w w:val="115"/>
        </w:rPr>
        <w:t xml:space="preserve">You can set the </w:t>
      </w:r>
      <w:r>
        <w:rPr>
          <w:rFonts w:ascii="MS Gothic"/>
          <w:color w:val="B02045"/>
          <w:w w:val="115"/>
        </w:rPr>
        <w:t xml:space="preserve">spring.data.mongodb.uri </w:t>
      </w:r>
      <w:r>
        <w:rPr>
          <w:color w:val="333333"/>
          <w:w w:val="115"/>
        </w:rPr>
        <w:t xml:space="preserve">property to change the URL and configure additional settings such as the </w:t>
      </w:r>
      <w:r>
        <w:rPr>
          <w:rFonts w:ascii="Palatino Linotype"/>
          <w:i/>
          <w:color w:val="333333"/>
          <w:w w:val="115"/>
        </w:rPr>
        <w:t>replica set</w:t>
      </w:r>
      <w:r>
        <w:rPr>
          <w:color w:val="333333"/>
          <w:w w:val="115"/>
        </w:rPr>
        <w:t>, as shown in the following example:</w:t>
      </w:r>
    </w:p>
    <w:p w14:paraId="74AB9CA4" w14:textId="77777777" w:rsidR="00A720EB" w:rsidRDefault="00E10349">
      <w:pPr>
        <w:pStyle w:val="a3"/>
        <w:spacing w:before="7"/>
        <w:rPr>
          <w:sz w:val="14"/>
        </w:rPr>
      </w:pPr>
      <w:r>
        <w:pict w14:anchorId="14FE0416">
          <v:group id="_x0000_s4093" style="position:absolute;margin-left:47.85pt;margin-top:10.55pt;width:499.55pt;height:52.25pt;z-index:-15469056;mso-wrap-distance-left:0;mso-wrap-distance-right:0;mso-position-horizontal-relative:page" coordorigin="957,211" coordsize="9991,1045">
            <v:shape id="_x0000_s4096" style="position:absolute;left:964;top:218;width:9976;height:1030" coordorigin="965,219" coordsize="9976,1030" path="m10861,219r-9816,l1014,225r-26,17l971,267r-6,32l965,1168r6,31l988,1225r26,17l1045,1248r9816,l10892,1242r25,-17l10935,1199r6,-31l10941,299r-6,-32l10917,242r-25,-17l10861,219xe" fillcolor="#f5f5f5" stroked="f">
              <v:path arrowok="t"/>
            </v:shape>
            <v:shape id="_x0000_s4095" style="position:absolute;left:964;top:218;width:9976;height:1030" coordorigin="965,219" coordsize="9976,1030" path="m1045,219r9816,l10892,225r25,17l10935,267r6,32l10941,1168r-6,31l10917,1225r-25,17l10861,1248r-9816,l1014,1242r-26,-17l971,1199r-6,-31l965,299r6,-32l988,242r26,-17l1045,219xe" filled="f" strokecolor="#ccc">
              <v:path arrowok="t"/>
            </v:shape>
            <v:shape id="_x0000_s4094" type="#_x0000_t202" style="position:absolute;left:984;top:233;width:9938;height:999" filled="f" stroked="f">
              <v:textbox inset="0,0,0,0">
                <w:txbxContent>
                  <w:p w14:paraId="1A902B4E" w14:textId="77777777" w:rsidR="00711A16" w:rsidRDefault="00711A16">
                    <w:pPr>
                      <w:spacing w:before="221" w:line="252" w:lineRule="auto"/>
                      <w:ind w:left="200" w:right="258"/>
                      <w:rPr>
                        <w:rFonts w:ascii="MS Gothic"/>
                      </w:rPr>
                    </w:pPr>
                    <w:r>
                      <w:rPr>
                        <w:rFonts w:ascii="MS Gothic"/>
                        <w:color w:val="333333"/>
                      </w:rPr>
                      <w:t>spring.data.mongodb.uri=mongodb://user:secret@mongo1.example.com:12345,mongo2.example. com:23456/test</w:t>
                    </w:r>
                  </w:p>
                </w:txbxContent>
              </v:textbox>
            </v:shape>
            <w10:wrap type="topAndBottom" anchorx="page"/>
          </v:group>
        </w:pict>
      </w:r>
    </w:p>
    <w:p w14:paraId="76A54579" w14:textId="77777777" w:rsidR="00A720EB" w:rsidRDefault="00A720EB">
      <w:pPr>
        <w:pStyle w:val="a3"/>
        <w:rPr>
          <w:sz w:val="10"/>
        </w:rPr>
      </w:pPr>
    </w:p>
    <w:p w14:paraId="3D672393" w14:textId="77777777" w:rsidR="00A720EB" w:rsidRDefault="0030286B">
      <w:pPr>
        <w:pStyle w:val="a3"/>
        <w:spacing w:before="125" w:line="297" w:lineRule="auto"/>
        <w:ind w:left="124"/>
      </w:pPr>
      <w:r>
        <w:rPr>
          <w:color w:val="333333"/>
          <w:w w:val="110"/>
        </w:rPr>
        <w:t xml:space="preserve">Alternatively, you can specify connection details using discrete properties. For example, you might declare the following settings in your </w:t>
      </w:r>
      <w:proofErr w:type="gramStart"/>
      <w:r>
        <w:rPr>
          <w:rFonts w:ascii="MS Gothic"/>
          <w:color w:val="B02045"/>
          <w:w w:val="110"/>
        </w:rPr>
        <w:t>application.properties</w:t>
      </w:r>
      <w:proofErr w:type="gramEnd"/>
      <w:r>
        <w:rPr>
          <w:color w:val="333333"/>
          <w:w w:val="110"/>
        </w:rPr>
        <w:t>:</w:t>
      </w:r>
    </w:p>
    <w:p w14:paraId="38CC988B" w14:textId="77777777" w:rsidR="00A720EB" w:rsidRDefault="00E10349">
      <w:pPr>
        <w:pStyle w:val="a3"/>
        <w:spacing w:before="5"/>
        <w:rPr>
          <w:sz w:val="12"/>
        </w:rPr>
      </w:pPr>
      <w:r>
        <w:pict w14:anchorId="6FEF739D">
          <v:group id="_x0000_s4089" style="position:absolute;margin-left:47.85pt;margin-top:9.3pt;width:499.55pt;height:96.45pt;z-index:-15468544;mso-wrap-distance-left:0;mso-wrap-distance-right:0;mso-position-horizontal-relative:page" coordorigin="957,186" coordsize="9991,1929">
            <v:shape id="_x0000_s4092" style="position:absolute;left:964;top:193;width:9976;height:1914" coordorigin="965,193" coordsize="9976,1914" path="m10861,193r-9816,l1014,199r-26,17l971,242r-6,31l965,2027r6,31l988,2084r26,17l1045,2107r9816,l10892,2101r25,-17l10935,2058r6,-31l10941,273r-6,-31l10917,216r-25,-17l10861,193xe" fillcolor="#f5f5f5" stroked="f">
              <v:path arrowok="t"/>
            </v:shape>
            <v:shape id="_x0000_s4091" style="position:absolute;left:964;top:193;width:9976;height:1914" coordorigin="965,193" coordsize="9976,1914" path="m1045,193r9816,l10892,199r25,17l10935,242r6,31l10941,2027r-6,31l10917,2084r-25,17l10861,2107r-9816,l1014,2101r-26,-17l971,2058r-6,-31l965,273r6,-31l988,216r26,-17l1045,193xe" filled="f" strokecolor="#ccc">
              <v:path arrowok="t"/>
            </v:shape>
            <v:shape id="_x0000_s4090" type="#_x0000_t202" style="position:absolute;left:984;top:208;width:9938;height:1884" filled="f" stroked="f">
              <v:textbox inset="0,0,0,0">
                <w:txbxContent>
                  <w:p w14:paraId="71C775F0" w14:textId="77777777" w:rsidR="00711A16" w:rsidRDefault="00711A16">
                    <w:pPr>
                      <w:spacing w:before="221" w:line="252" w:lineRule="auto"/>
                      <w:ind w:left="200" w:right="4438"/>
                      <w:rPr>
                        <w:rFonts w:ascii="MS Gothic"/>
                      </w:rPr>
                    </w:pPr>
                    <w:r>
                      <w:rPr>
                        <w:rFonts w:ascii="MS Gothic"/>
                        <w:color w:val="333333"/>
                      </w:rPr>
                      <w:t>spring.data.mongodb.host=mongoserver.example.com spring.</w:t>
                    </w:r>
                    <w:proofErr w:type="gramStart"/>
                    <w:r>
                      <w:rPr>
                        <w:rFonts w:ascii="MS Gothic"/>
                        <w:color w:val="333333"/>
                      </w:rPr>
                      <w:t>data.mongodb</w:t>
                    </w:r>
                    <w:proofErr w:type="gramEnd"/>
                    <w:r>
                      <w:rPr>
                        <w:rFonts w:ascii="MS Gothic"/>
                        <w:color w:val="333333"/>
                      </w:rPr>
                      <w:t>.port=27017 spring.data.mongodb.database=test spring.data.mongodb.username=user spring.data.mongodb.password=secret</w:t>
                    </w:r>
                  </w:p>
                </w:txbxContent>
              </v:textbox>
            </v:shape>
            <w10:wrap type="topAndBottom" anchorx="page"/>
          </v:group>
        </w:pict>
      </w:r>
    </w:p>
    <w:p w14:paraId="1C04D3AE" w14:textId="77777777" w:rsidR="00A720EB" w:rsidRDefault="00A720EB">
      <w:pPr>
        <w:pStyle w:val="a3"/>
        <w:spacing w:before="11"/>
        <w:rPr>
          <w:sz w:val="9"/>
        </w:rPr>
      </w:pPr>
    </w:p>
    <w:p w14:paraId="0039831F" w14:textId="77777777" w:rsidR="00A720EB" w:rsidRDefault="0030286B">
      <w:pPr>
        <w:pStyle w:val="a3"/>
        <w:spacing w:before="115"/>
        <w:ind w:left="124"/>
        <w:jc w:val="both"/>
      </w:pPr>
      <w:r>
        <w:rPr>
          <w:color w:val="333333"/>
          <w:w w:val="110"/>
        </w:rPr>
        <w:t xml:space="preserve">If you have defined your own </w:t>
      </w:r>
      <w:r>
        <w:rPr>
          <w:rFonts w:ascii="MS Gothic"/>
          <w:color w:val="B02045"/>
          <w:w w:val="110"/>
        </w:rPr>
        <w:t>MongoClient</w:t>
      </w:r>
      <w:r>
        <w:rPr>
          <w:color w:val="333333"/>
          <w:w w:val="110"/>
        </w:rPr>
        <w:t>, it will be used to auto-configure a suitable</w:t>
      </w:r>
    </w:p>
    <w:p w14:paraId="3967E59F" w14:textId="77777777" w:rsidR="00A720EB" w:rsidRDefault="0030286B">
      <w:pPr>
        <w:pStyle w:val="a3"/>
        <w:spacing w:before="47"/>
        <w:ind w:left="124"/>
      </w:pPr>
      <w:r>
        <w:rPr>
          <w:rFonts w:ascii="MS Gothic"/>
          <w:color w:val="B02045"/>
        </w:rPr>
        <w:t>MongoDatabaseFactory</w:t>
      </w:r>
      <w:r>
        <w:rPr>
          <w:color w:val="333333"/>
        </w:rPr>
        <w:t>.</w:t>
      </w:r>
    </w:p>
    <w:p w14:paraId="61E0E8CA" w14:textId="77777777" w:rsidR="00A720EB" w:rsidRDefault="00A720EB">
      <w:pPr>
        <w:pStyle w:val="a3"/>
        <w:spacing w:before="5"/>
        <w:rPr>
          <w:sz w:val="24"/>
        </w:rPr>
      </w:pPr>
    </w:p>
    <w:p w14:paraId="0C4F886B" w14:textId="77777777" w:rsidR="00A720EB" w:rsidRDefault="0030286B">
      <w:pPr>
        <w:pStyle w:val="a3"/>
        <w:spacing w:line="280" w:lineRule="auto"/>
        <w:ind w:left="124" w:right="123"/>
        <w:jc w:val="both"/>
      </w:pPr>
      <w:r>
        <w:rPr>
          <w:color w:val="333333"/>
          <w:w w:val="110"/>
        </w:rPr>
        <w:t xml:space="preserve">The auto-configured </w:t>
      </w:r>
      <w:r>
        <w:rPr>
          <w:rFonts w:ascii="MS Gothic"/>
          <w:color w:val="B02045"/>
          <w:w w:val="110"/>
        </w:rPr>
        <w:t xml:space="preserve">MongoClient </w:t>
      </w:r>
      <w:r>
        <w:rPr>
          <w:color w:val="333333"/>
          <w:w w:val="110"/>
        </w:rPr>
        <w:t xml:space="preserve">is created using </w:t>
      </w:r>
      <w:r>
        <w:rPr>
          <w:rFonts w:ascii="MS Gothic"/>
          <w:color w:val="B02045"/>
          <w:w w:val="110"/>
        </w:rPr>
        <w:t>MongoClientSettings</w:t>
      </w:r>
      <w:r>
        <w:rPr>
          <w:color w:val="333333"/>
          <w:w w:val="110"/>
        </w:rPr>
        <w:t xml:space="preserve">. </w:t>
      </w:r>
      <w:r>
        <w:rPr>
          <w:color w:val="333333"/>
          <w:spacing w:val="-4"/>
          <w:w w:val="110"/>
        </w:rPr>
        <w:t xml:space="preserve">To </w:t>
      </w:r>
      <w:r>
        <w:rPr>
          <w:color w:val="333333"/>
          <w:w w:val="110"/>
        </w:rPr>
        <w:t>fine-tune its configuration,</w:t>
      </w:r>
      <w:r>
        <w:rPr>
          <w:color w:val="333333"/>
          <w:spacing w:val="-22"/>
          <w:w w:val="110"/>
        </w:rPr>
        <w:t xml:space="preserve"> </w:t>
      </w:r>
      <w:r>
        <w:rPr>
          <w:color w:val="333333"/>
          <w:w w:val="110"/>
        </w:rPr>
        <w:t>declare</w:t>
      </w:r>
      <w:r>
        <w:rPr>
          <w:color w:val="333333"/>
          <w:spacing w:val="-22"/>
          <w:w w:val="110"/>
        </w:rPr>
        <w:t xml:space="preserve"> </w:t>
      </w:r>
      <w:r>
        <w:rPr>
          <w:color w:val="333333"/>
          <w:w w:val="110"/>
        </w:rPr>
        <w:t>one</w:t>
      </w:r>
      <w:r>
        <w:rPr>
          <w:color w:val="333333"/>
          <w:spacing w:val="-21"/>
          <w:w w:val="110"/>
        </w:rPr>
        <w:t xml:space="preserve"> </w:t>
      </w:r>
      <w:r>
        <w:rPr>
          <w:color w:val="333333"/>
          <w:w w:val="110"/>
        </w:rPr>
        <w:t>or</w:t>
      </w:r>
      <w:r>
        <w:rPr>
          <w:color w:val="333333"/>
          <w:spacing w:val="-21"/>
          <w:w w:val="110"/>
        </w:rPr>
        <w:t xml:space="preserve"> </w:t>
      </w:r>
      <w:r>
        <w:rPr>
          <w:color w:val="333333"/>
          <w:w w:val="110"/>
        </w:rPr>
        <w:t>more</w:t>
      </w:r>
      <w:r>
        <w:rPr>
          <w:color w:val="333333"/>
          <w:spacing w:val="-19"/>
          <w:w w:val="110"/>
        </w:rPr>
        <w:t xml:space="preserve"> </w:t>
      </w:r>
      <w:r>
        <w:rPr>
          <w:rFonts w:ascii="MS Gothic"/>
          <w:color w:val="B02045"/>
          <w:w w:val="110"/>
        </w:rPr>
        <w:t>MongoClientSettingsBuilderCustomizer</w:t>
      </w:r>
      <w:r>
        <w:rPr>
          <w:rFonts w:ascii="MS Gothic"/>
          <w:color w:val="B02045"/>
          <w:spacing w:val="-85"/>
          <w:w w:val="110"/>
        </w:rPr>
        <w:t xml:space="preserve"> </w:t>
      </w:r>
      <w:r>
        <w:rPr>
          <w:color w:val="333333"/>
          <w:w w:val="110"/>
        </w:rPr>
        <w:t>beans.</w:t>
      </w:r>
      <w:r>
        <w:rPr>
          <w:color w:val="333333"/>
          <w:spacing w:val="-22"/>
          <w:w w:val="110"/>
        </w:rPr>
        <w:t xml:space="preserve"> </w:t>
      </w:r>
      <w:r>
        <w:rPr>
          <w:color w:val="333333"/>
          <w:w w:val="110"/>
        </w:rPr>
        <w:t>Each</w:t>
      </w:r>
      <w:r>
        <w:rPr>
          <w:color w:val="333333"/>
          <w:spacing w:val="-21"/>
          <w:w w:val="110"/>
        </w:rPr>
        <w:t xml:space="preserve"> </w:t>
      </w:r>
      <w:r>
        <w:rPr>
          <w:color w:val="333333"/>
          <w:w w:val="110"/>
        </w:rPr>
        <w:t>will</w:t>
      </w:r>
      <w:r>
        <w:rPr>
          <w:color w:val="333333"/>
          <w:spacing w:val="-22"/>
          <w:w w:val="110"/>
        </w:rPr>
        <w:t xml:space="preserve"> </w:t>
      </w:r>
      <w:r>
        <w:rPr>
          <w:color w:val="333333"/>
          <w:w w:val="110"/>
        </w:rPr>
        <w:t>be</w:t>
      </w:r>
      <w:r>
        <w:rPr>
          <w:color w:val="333333"/>
          <w:spacing w:val="-21"/>
          <w:w w:val="110"/>
        </w:rPr>
        <w:t xml:space="preserve"> </w:t>
      </w:r>
      <w:r>
        <w:rPr>
          <w:color w:val="333333"/>
          <w:w w:val="110"/>
        </w:rPr>
        <w:t>called in</w:t>
      </w:r>
      <w:r>
        <w:rPr>
          <w:color w:val="333333"/>
          <w:spacing w:val="-14"/>
          <w:w w:val="110"/>
        </w:rPr>
        <w:t xml:space="preserve"> </w:t>
      </w:r>
      <w:r>
        <w:rPr>
          <w:color w:val="333333"/>
          <w:w w:val="110"/>
        </w:rPr>
        <w:t>order</w:t>
      </w:r>
      <w:r>
        <w:rPr>
          <w:color w:val="333333"/>
          <w:spacing w:val="-14"/>
          <w:w w:val="110"/>
        </w:rPr>
        <w:t xml:space="preserve"> </w:t>
      </w:r>
      <w:r>
        <w:rPr>
          <w:color w:val="333333"/>
          <w:w w:val="110"/>
        </w:rPr>
        <w:t>with</w:t>
      </w:r>
      <w:r>
        <w:rPr>
          <w:color w:val="333333"/>
          <w:spacing w:val="-14"/>
          <w:w w:val="110"/>
        </w:rPr>
        <w:t xml:space="preserve"> </w:t>
      </w:r>
      <w:r>
        <w:rPr>
          <w:color w:val="333333"/>
          <w:w w:val="110"/>
        </w:rPr>
        <w:t>the</w:t>
      </w:r>
      <w:r>
        <w:rPr>
          <w:color w:val="333333"/>
          <w:spacing w:val="-12"/>
          <w:w w:val="110"/>
        </w:rPr>
        <w:t xml:space="preserve"> </w:t>
      </w:r>
      <w:r>
        <w:rPr>
          <w:rFonts w:ascii="MS Gothic"/>
          <w:color w:val="B02045"/>
          <w:w w:val="110"/>
        </w:rPr>
        <w:t>MongoClientSettings.Builder</w:t>
      </w:r>
      <w:r>
        <w:rPr>
          <w:rFonts w:ascii="MS Gothic"/>
          <w:color w:val="B02045"/>
          <w:spacing w:val="-78"/>
          <w:w w:val="110"/>
        </w:rPr>
        <w:t xml:space="preserve"> </w:t>
      </w:r>
      <w:r>
        <w:rPr>
          <w:color w:val="333333"/>
          <w:w w:val="110"/>
        </w:rPr>
        <w:t>that</w:t>
      </w:r>
      <w:r>
        <w:rPr>
          <w:color w:val="333333"/>
          <w:spacing w:val="-14"/>
          <w:w w:val="110"/>
        </w:rPr>
        <w:t xml:space="preserve"> </w:t>
      </w:r>
      <w:r>
        <w:rPr>
          <w:color w:val="333333"/>
          <w:w w:val="110"/>
        </w:rPr>
        <w:t>is</w:t>
      </w:r>
      <w:r>
        <w:rPr>
          <w:color w:val="333333"/>
          <w:spacing w:val="-14"/>
          <w:w w:val="110"/>
        </w:rPr>
        <w:t xml:space="preserve"> </w:t>
      </w:r>
      <w:r>
        <w:rPr>
          <w:color w:val="333333"/>
          <w:w w:val="110"/>
        </w:rPr>
        <w:t>used</w:t>
      </w:r>
      <w:r>
        <w:rPr>
          <w:color w:val="333333"/>
          <w:spacing w:val="-13"/>
          <w:w w:val="110"/>
        </w:rPr>
        <w:t xml:space="preserve"> </w:t>
      </w:r>
      <w:r>
        <w:rPr>
          <w:color w:val="333333"/>
          <w:w w:val="110"/>
        </w:rPr>
        <w:t>to</w:t>
      </w:r>
      <w:r>
        <w:rPr>
          <w:color w:val="333333"/>
          <w:spacing w:val="-14"/>
          <w:w w:val="110"/>
        </w:rPr>
        <w:t xml:space="preserve"> </w:t>
      </w:r>
      <w:r>
        <w:rPr>
          <w:color w:val="333333"/>
          <w:w w:val="110"/>
        </w:rPr>
        <w:t>build</w:t>
      </w:r>
      <w:r>
        <w:rPr>
          <w:color w:val="333333"/>
          <w:spacing w:val="-14"/>
          <w:w w:val="110"/>
        </w:rPr>
        <w:t xml:space="preserve"> </w:t>
      </w:r>
      <w:r>
        <w:rPr>
          <w:color w:val="333333"/>
          <w:w w:val="110"/>
        </w:rPr>
        <w:t>the</w:t>
      </w:r>
      <w:r>
        <w:rPr>
          <w:color w:val="333333"/>
          <w:spacing w:val="-12"/>
          <w:w w:val="110"/>
        </w:rPr>
        <w:t xml:space="preserve"> </w:t>
      </w:r>
      <w:r>
        <w:rPr>
          <w:rFonts w:ascii="MS Gothic"/>
          <w:color w:val="B02045"/>
          <w:w w:val="110"/>
        </w:rPr>
        <w:t>MongoClientSettings</w:t>
      </w:r>
      <w:r>
        <w:rPr>
          <w:color w:val="333333"/>
          <w:w w:val="110"/>
        </w:rPr>
        <w:t>.</w:t>
      </w:r>
    </w:p>
    <w:p w14:paraId="62312E16" w14:textId="77777777" w:rsidR="00A720EB" w:rsidRDefault="00A720EB">
      <w:pPr>
        <w:pStyle w:val="a3"/>
        <w:spacing w:before="6"/>
        <w:rPr>
          <w:sz w:val="27"/>
        </w:rPr>
      </w:pPr>
    </w:p>
    <w:p w14:paraId="13C1EB32" w14:textId="77777777" w:rsidR="00A720EB" w:rsidRDefault="00E10349">
      <w:pPr>
        <w:pStyle w:val="a3"/>
        <w:spacing w:line="290" w:lineRule="auto"/>
        <w:ind w:left="1564" w:right="344"/>
      </w:pPr>
      <w:r>
        <w:pict w14:anchorId="50335402">
          <v:line id="_x0000_s4088" style="position:absolute;left:0;text-align:left;z-index:15989248;mso-position-horizontal-relative:page" from="108.25pt,-5.45pt" to="108.25pt,34.1pt" strokecolor="#ededed" strokeweight=".5pt">
            <w10:wrap anchorx="page"/>
          </v:line>
        </w:pict>
      </w:r>
      <w:r w:rsidR="0030286B">
        <w:rPr>
          <w:noProof/>
        </w:rPr>
        <w:drawing>
          <wp:anchor distT="0" distB="0" distL="0" distR="0" simplePos="0" relativeHeight="15989760" behindDoc="0" locked="0" layoutInCell="1" allowOverlap="1" wp14:anchorId="5C2AA1DF" wp14:editId="6A90DD59">
            <wp:simplePos x="0" y="0"/>
            <wp:positionH relativeFrom="page">
              <wp:posOffset>888949</wp:posOffset>
            </wp:positionH>
            <wp:positionV relativeFrom="paragraph">
              <wp:posOffset>29413</wp:posOffset>
            </wp:positionV>
            <wp:extent cx="209550" cy="304800"/>
            <wp:effectExtent l="0" t="0" r="0" b="0"/>
            <wp:wrapNone/>
            <wp:docPr id="3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w:t>
      </w:r>
      <w:r w:rsidR="0030286B">
        <w:rPr>
          <w:rFonts w:ascii="MS Gothic"/>
          <w:color w:val="B02045"/>
          <w:w w:val="110"/>
        </w:rPr>
        <w:t>spring.</w:t>
      </w:r>
      <w:proofErr w:type="gramStart"/>
      <w:r w:rsidR="0030286B">
        <w:rPr>
          <w:rFonts w:ascii="MS Gothic"/>
          <w:color w:val="B02045"/>
          <w:w w:val="110"/>
        </w:rPr>
        <w:t>data.mongodb</w:t>
      </w:r>
      <w:proofErr w:type="gramEnd"/>
      <w:r w:rsidR="0030286B">
        <w:rPr>
          <w:rFonts w:ascii="MS Gothic"/>
          <w:color w:val="B02045"/>
          <w:w w:val="110"/>
        </w:rPr>
        <w:t>.port</w:t>
      </w:r>
      <w:r w:rsidR="0030286B">
        <w:rPr>
          <w:rFonts w:ascii="MS Gothic"/>
          <w:color w:val="B02045"/>
          <w:spacing w:val="-68"/>
          <w:w w:val="110"/>
        </w:rPr>
        <w:t xml:space="preserve"> </w:t>
      </w:r>
      <w:r w:rsidR="0030286B">
        <w:rPr>
          <w:color w:val="333333"/>
          <w:w w:val="110"/>
        </w:rPr>
        <w:t xml:space="preserve">is not specified, the default of </w:t>
      </w:r>
      <w:r w:rsidR="0030286B">
        <w:rPr>
          <w:rFonts w:ascii="MS Gothic"/>
          <w:color w:val="B02045"/>
          <w:w w:val="110"/>
        </w:rPr>
        <w:t>27017</w:t>
      </w:r>
      <w:r w:rsidR="0030286B">
        <w:rPr>
          <w:rFonts w:ascii="MS Gothic"/>
          <w:color w:val="B02045"/>
          <w:spacing w:val="-68"/>
          <w:w w:val="110"/>
        </w:rPr>
        <w:t xml:space="preserve"> </w:t>
      </w:r>
      <w:r w:rsidR="0030286B">
        <w:rPr>
          <w:color w:val="333333"/>
          <w:w w:val="110"/>
        </w:rPr>
        <w:t xml:space="preserve">is used. </w:t>
      </w:r>
      <w:r w:rsidR="0030286B">
        <w:rPr>
          <w:color w:val="333333"/>
          <w:spacing w:val="-6"/>
          <w:w w:val="110"/>
        </w:rPr>
        <w:t xml:space="preserve">You </w:t>
      </w:r>
      <w:r w:rsidR="0030286B">
        <w:rPr>
          <w:color w:val="333333"/>
          <w:w w:val="110"/>
        </w:rPr>
        <w:t>could delete this line from the example shown earlier.</w:t>
      </w:r>
    </w:p>
    <w:p w14:paraId="1168918B" w14:textId="77777777" w:rsidR="00A720EB" w:rsidRDefault="00A720EB">
      <w:pPr>
        <w:spacing w:line="290" w:lineRule="auto"/>
        <w:sectPr w:rsidR="00A720EB">
          <w:pgSz w:w="11910" w:h="16840"/>
          <w:pgMar w:top="700" w:right="840" w:bottom="520" w:left="840" w:header="0" w:footer="323" w:gutter="0"/>
          <w:cols w:space="720"/>
        </w:sectPr>
      </w:pPr>
    </w:p>
    <w:p w14:paraId="73A433B2" w14:textId="77777777" w:rsidR="00A720EB" w:rsidRDefault="00E10349">
      <w:pPr>
        <w:pStyle w:val="a3"/>
        <w:spacing w:before="111" w:line="280" w:lineRule="auto"/>
        <w:ind w:left="1564" w:right="362"/>
        <w:jc w:val="both"/>
      </w:pPr>
      <w:r>
        <w:lastRenderedPageBreak/>
        <w:pict w14:anchorId="52888A67">
          <v:line id="_x0000_s4087" style="position:absolute;left:0;text-align:left;z-index:15990784;mso-position-horizontal-relative:page" from="108.25pt,.1pt" to="108.25pt,71.2pt" strokecolor="#ededed" strokeweight=".5pt">
            <w10:wrap anchorx="page"/>
          </v:line>
        </w:pict>
      </w:r>
      <w:r w:rsidR="0030286B">
        <w:rPr>
          <w:noProof/>
        </w:rPr>
        <w:drawing>
          <wp:anchor distT="0" distB="0" distL="0" distR="0" simplePos="0" relativeHeight="15991296" behindDoc="0" locked="0" layoutInCell="1" allowOverlap="1" wp14:anchorId="5B3280E9" wp14:editId="3B884F46">
            <wp:simplePos x="0" y="0"/>
            <wp:positionH relativeFrom="page">
              <wp:posOffset>888949</wp:posOffset>
            </wp:positionH>
            <wp:positionV relativeFrom="paragraph">
              <wp:posOffset>300304</wp:posOffset>
            </wp:positionV>
            <wp:extent cx="209550" cy="304800"/>
            <wp:effectExtent l="0" t="0" r="0" b="0"/>
            <wp:wrapNone/>
            <wp:docPr id="3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do not use Spring Data MongoDB, you can inject a </w:t>
      </w:r>
      <w:r w:rsidR="0030286B">
        <w:rPr>
          <w:rFonts w:ascii="MS Gothic"/>
          <w:color w:val="B02045"/>
          <w:w w:val="110"/>
        </w:rPr>
        <w:t xml:space="preserve">MongoClient </w:t>
      </w:r>
      <w:r w:rsidR="0030286B">
        <w:rPr>
          <w:color w:val="333333"/>
          <w:w w:val="110"/>
        </w:rPr>
        <w:t xml:space="preserve">bean instead of using </w:t>
      </w:r>
      <w:r w:rsidR="0030286B">
        <w:rPr>
          <w:rFonts w:ascii="MS Gothic"/>
          <w:color w:val="B02045"/>
          <w:w w:val="110"/>
        </w:rPr>
        <w:t>MongoDatabaseFactory</w:t>
      </w:r>
      <w:r w:rsidR="0030286B">
        <w:rPr>
          <w:color w:val="333333"/>
          <w:w w:val="110"/>
        </w:rPr>
        <w:t xml:space="preserve">. If you want to take complete control of establishing the MongoDB connection, you can also declare your own </w:t>
      </w:r>
      <w:r w:rsidR="0030286B">
        <w:rPr>
          <w:rFonts w:ascii="MS Gothic"/>
          <w:color w:val="B02045"/>
          <w:w w:val="110"/>
        </w:rPr>
        <w:t xml:space="preserve">MongoDatabaseFactory </w:t>
      </w:r>
      <w:r w:rsidR="0030286B">
        <w:rPr>
          <w:color w:val="333333"/>
          <w:w w:val="110"/>
        </w:rPr>
        <w:t xml:space="preserve">or </w:t>
      </w:r>
      <w:r w:rsidR="0030286B">
        <w:rPr>
          <w:rFonts w:ascii="MS Gothic"/>
          <w:color w:val="B02045"/>
          <w:w w:val="110"/>
        </w:rPr>
        <w:t>MongoClient</w:t>
      </w:r>
      <w:r w:rsidR="0030286B">
        <w:rPr>
          <w:rFonts w:ascii="MS Gothic"/>
          <w:color w:val="B02045"/>
          <w:spacing w:val="-63"/>
          <w:w w:val="110"/>
        </w:rPr>
        <w:t xml:space="preserve"> </w:t>
      </w:r>
      <w:r w:rsidR="0030286B">
        <w:rPr>
          <w:color w:val="333333"/>
          <w:w w:val="110"/>
        </w:rPr>
        <w:t>bean.</w:t>
      </w:r>
    </w:p>
    <w:p w14:paraId="7D602853" w14:textId="77777777" w:rsidR="00A720EB" w:rsidRDefault="00A720EB">
      <w:pPr>
        <w:pStyle w:val="a3"/>
        <w:spacing w:before="7"/>
        <w:rPr>
          <w:sz w:val="24"/>
        </w:rPr>
      </w:pPr>
    </w:p>
    <w:p w14:paraId="6CF7F14F" w14:textId="77777777" w:rsidR="00A720EB" w:rsidRDefault="00E10349">
      <w:pPr>
        <w:pStyle w:val="a3"/>
        <w:spacing w:before="125" w:line="307" w:lineRule="auto"/>
        <w:ind w:left="1564" w:right="370"/>
        <w:jc w:val="both"/>
      </w:pPr>
      <w:r>
        <w:pict w14:anchorId="77560818">
          <v:line id="_x0000_s4086" style="position:absolute;left:0;text-align:left;z-index:15991808;mso-position-horizontal-relative:page" from="108.25pt,.25pt" to="108.25pt,55.6pt" strokecolor="#ededed" strokeweight=".5pt">
            <w10:wrap anchorx="page"/>
          </v:line>
        </w:pict>
      </w:r>
      <w:r w:rsidR="0030286B">
        <w:rPr>
          <w:noProof/>
        </w:rPr>
        <w:drawing>
          <wp:anchor distT="0" distB="0" distL="0" distR="0" simplePos="0" relativeHeight="15992320" behindDoc="0" locked="0" layoutInCell="1" allowOverlap="1" wp14:anchorId="3A816E7D" wp14:editId="12788F4C">
            <wp:simplePos x="0" y="0"/>
            <wp:positionH relativeFrom="page">
              <wp:posOffset>844422</wp:posOffset>
            </wp:positionH>
            <wp:positionV relativeFrom="paragraph">
              <wp:posOffset>205525</wp:posOffset>
            </wp:positionV>
            <wp:extent cx="298450" cy="298450"/>
            <wp:effectExtent l="0" t="0" r="0" b="0"/>
            <wp:wrapNone/>
            <wp:docPr id="3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 you are using the reactive driver, Netty is required for SSL. The auto- configuration configures this factory automatically if Netty is available and the factory to use hasn’t been customized</w:t>
      </w:r>
      <w:r w:rsidR="0030286B">
        <w:rPr>
          <w:color w:val="333333"/>
          <w:spacing w:val="20"/>
          <w:w w:val="110"/>
        </w:rPr>
        <w:t xml:space="preserve"> </w:t>
      </w:r>
      <w:r w:rsidR="0030286B">
        <w:rPr>
          <w:color w:val="333333"/>
          <w:spacing w:val="-4"/>
          <w:w w:val="110"/>
        </w:rPr>
        <w:t>already.</w:t>
      </w:r>
    </w:p>
    <w:p w14:paraId="7EF158F5" w14:textId="77777777" w:rsidR="00A720EB" w:rsidRDefault="00A720EB">
      <w:pPr>
        <w:pStyle w:val="a3"/>
        <w:spacing w:before="8"/>
        <w:rPr>
          <w:sz w:val="23"/>
        </w:rPr>
      </w:pPr>
    </w:p>
    <w:p w14:paraId="0BEEB98D" w14:textId="77777777" w:rsidR="00A720EB" w:rsidRDefault="0030286B">
      <w:pPr>
        <w:pStyle w:val="4"/>
        <w:spacing w:before="104"/>
        <w:jc w:val="left"/>
      </w:pPr>
      <w:bookmarkStart w:id="348" w:name="MongoTemplate"/>
      <w:bookmarkEnd w:id="348"/>
      <w:r>
        <w:rPr>
          <w:color w:val="333333"/>
          <w:w w:val="110"/>
        </w:rPr>
        <w:t>MongoTemplate</w:t>
      </w:r>
    </w:p>
    <w:p w14:paraId="60510427" w14:textId="77777777" w:rsidR="00A720EB" w:rsidRDefault="00E10349">
      <w:pPr>
        <w:pStyle w:val="a3"/>
        <w:spacing w:before="244" w:line="285" w:lineRule="auto"/>
        <w:ind w:left="124" w:right="126"/>
        <w:jc w:val="both"/>
      </w:pPr>
      <w:hyperlink r:id="rId233">
        <w:r w:rsidR="0030286B">
          <w:rPr>
            <w:color w:val="418BCA"/>
            <w:w w:val="110"/>
          </w:rPr>
          <w:t>Spring Data MongoDB</w:t>
        </w:r>
      </w:hyperlink>
      <w:r w:rsidR="0030286B">
        <w:rPr>
          <w:color w:val="418BCA"/>
          <w:w w:val="110"/>
        </w:rPr>
        <w:t xml:space="preserve"> </w:t>
      </w:r>
      <w:r w:rsidR="0030286B">
        <w:rPr>
          <w:color w:val="333333"/>
          <w:w w:val="110"/>
        </w:rPr>
        <w:t xml:space="preserve">provides a </w:t>
      </w:r>
      <w:hyperlink r:id="rId234">
        <w:r w:rsidR="0030286B">
          <w:rPr>
            <w:rFonts w:ascii="MS Gothic" w:hAnsi="MS Gothic"/>
            <w:color w:val="B02045"/>
            <w:w w:val="110"/>
          </w:rPr>
          <w:t xml:space="preserve">MongoTemplate </w:t>
        </w:r>
      </w:hyperlink>
      <w:r w:rsidR="0030286B">
        <w:rPr>
          <w:color w:val="333333"/>
          <w:w w:val="110"/>
        </w:rPr>
        <w:t xml:space="preserve">class that is very similar in its design to Spring’s </w:t>
      </w:r>
      <w:r w:rsidR="0030286B">
        <w:rPr>
          <w:rFonts w:ascii="MS Gothic" w:hAnsi="MS Gothic"/>
          <w:color w:val="B02045"/>
          <w:w w:val="110"/>
        </w:rPr>
        <w:t>JdbcTemplate</w:t>
      </w:r>
      <w:r w:rsidR="0030286B">
        <w:rPr>
          <w:color w:val="333333"/>
          <w:w w:val="110"/>
        </w:rPr>
        <w:t xml:space="preserve">. As with </w:t>
      </w:r>
      <w:r w:rsidR="0030286B">
        <w:rPr>
          <w:rFonts w:ascii="MS Gothic" w:hAnsi="MS Gothic"/>
          <w:color w:val="B02045"/>
          <w:w w:val="110"/>
        </w:rPr>
        <w:t>JdbcTemplate</w:t>
      </w:r>
      <w:r w:rsidR="0030286B">
        <w:rPr>
          <w:color w:val="333333"/>
          <w:w w:val="110"/>
        </w:rPr>
        <w:t>, Spring Boot auto-configures a bean for you to inject the template, as follows:</w:t>
      </w:r>
    </w:p>
    <w:p w14:paraId="1F193346" w14:textId="77777777" w:rsidR="00A720EB" w:rsidRDefault="00E10349">
      <w:pPr>
        <w:pStyle w:val="a3"/>
        <w:spacing w:before="1"/>
        <w:rPr>
          <w:sz w:val="15"/>
        </w:rPr>
      </w:pPr>
      <w:r>
        <w:pict w14:anchorId="361E20F0">
          <v:group id="_x0000_s4082" style="position:absolute;margin-left:47.85pt;margin-top:10.85pt;width:499.55pt;height:243.85pt;z-index:-15467008;mso-wrap-distance-left:0;mso-wrap-distance-right:0;mso-position-horizontal-relative:page" coordorigin="957,217" coordsize="9991,4877">
            <v:shape id="_x0000_s4085" style="position:absolute;left:964;top:224;width:9976;height:4862" coordorigin="965,225" coordsize="9976,4862" path="m10861,225r-9816,l1014,231r-26,17l971,273r-6,32l965,5007r6,31l988,5063r26,17l1045,5087r9816,l10892,5080r25,-17l10935,5038r6,-31l10941,305r-6,-32l10917,248r-25,-17l10861,225xe" fillcolor="#f5f5f5" stroked="f">
              <v:path arrowok="t"/>
            </v:shape>
            <v:shape id="_x0000_s4084" style="position:absolute;left:964;top:224;width:9976;height:4862" coordorigin="965,225" coordsize="9976,4862" path="m1045,225r9816,l10892,231r25,17l10935,273r6,32l10941,5007r-6,31l10917,5063r-25,17l10861,5087r-9816,l1014,5080r-26,-17l971,5038r-6,-31l965,305r6,-32l988,248r26,-17l1045,225xe" filled="f" strokecolor="#ccc">
              <v:path arrowok="t"/>
            </v:shape>
            <v:shape id="_x0000_s4083" type="#_x0000_t202" style="position:absolute;left:984;top:240;width:9938;height:4832" filled="f" stroked="f">
              <v:textbox inset="0,0,0,0">
                <w:txbxContent>
                  <w:p w14:paraId="220CEBC4" w14:textId="77777777" w:rsidR="00711A16" w:rsidRDefault="00711A16">
                    <w:pPr>
                      <w:spacing w:before="221" w:line="252" w:lineRule="auto"/>
                      <w:ind w:left="200" w:right="322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.data.mongodb.core.MongoTemplate; import org.springframework.stereotype.Component;</w:t>
                    </w:r>
                  </w:p>
                  <w:p w14:paraId="64BD9412" w14:textId="77777777" w:rsidR="00711A16" w:rsidRDefault="00711A16">
                    <w:pPr>
                      <w:spacing w:before="10"/>
                      <w:rPr>
                        <w:rFonts w:ascii="MS Gothic"/>
                      </w:rPr>
                    </w:pPr>
                  </w:p>
                  <w:p w14:paraId="57E65685" w14:textId="77777777" w:rsidR="00711A16" w:rsidRDefault="00711A16">
                    <w:pPr>
                      <w:ind w:left="200"/>
                      <w:rPr>
                        <w:rFonts w:ascii="MS Gothic"/>
                      </w:rPr>
                    </w:pPr>
                    <w:r>
                      <w:rPr>
                        <w:rFonts w:ascii="MS Gothic"/>
                        <w:color w:val="333333"/>
                      </w:rPr>
                      <w:t>@Component</w:t>
                    </w:r>
                  </w:p>
                  <w:p w14:paraId="3A92204E" w14:textId="77777777" w:rsidR="00711A16" w:rsidRDefault="00711A16">
                    <w:pPr>
                      <w:spacing w:before="13"/>
                      <w:ind w:left="200"/>
                      <w:rPr>
                        <w:rFonts w:ascii="MS Gothic"/>
                      </w:rPr>
                    </w:pPr>
                    <w:r>
                      <w:rPr>
                        <w:rFonts w:ascii="MS Gothic"/>
                        <w:color w:val="333333"/>
                      </w:rPr>
                      <w:t>public class MyBean {</w:t>
                    </w:r>
                  </w:p>
                  <w:p w14:paraId="12EE3112" w14:textId="77777777" w:rsidR="00711A16" w:rsidRDefault="00711A16">
                    <w:pPr>
                      <w:spacing w:line="590" w:lineRule="atLeast"/>
                      <w:ind w:left="640" w:right="4438"/>
                      <w:rPr>
                        <w:rFonts w:ascii="MS Gothic"/>
                      </w:rPr>
                    </w:pPr>
                    <w:r>
                      <w:rPr>
                        <w:rFonts w:ascii="MS Gothic"/>
                        <w:color w:val="333333"/>
                      </w:rPr>
                      <w:t xml:space="preserve">private final MongoTemplate mongoTemplate; public </w:t>
                    </w:r>
                    <w:proofErr w:type="gramStart"/>
                    <w:r>
                      <w:rPr>
                        <w:rFonts w:ascii="MS Gothic"/>
                        <w:color w:val="333333"/>
                      </w:rPr>
                      <w:t>MyBean(</w:t>
                    </w:r>
                    <w:proofErr w:type="gramEnd"/>
                    <w:r>
                      <w:rPr>
                        <w:rFonts w:ascii="MS Gothic"/>
                        <w:color w:val="333333"/>
                      </w:rPr>
                      <w:t>MongoTemplate mongoTemplate) {</w:t>
                    </w:r>
                  </w:p>
                  <w:p w14:paraId="56DD461F" w14:textId="77777777" w:rsidR="00711A16" w:rsidRDefault="00711A16">
                    <w:pPr>
                      <w:spacing w:before="12"/>
                      <w:ind w:left="1080"/>
                      <w:rPr>
                        <w:rFonts w:ascii="MS Gothic"/>
                      </w:rPr>
                    </w:pPr>
                    <w:proofErr w:type="gramStart"/>
                    <w:r>
                      <w:rPr>
                        <w:rFonts w:ascii="MS Gothic"/>
                        <w:color w:val="333333"/>
                      </w:rPr>
                      <w:t>this.mongoTemplate</w:t>
                    </w:r>
                    <w:proofErr w:type="gramEnd"/>
                    <w:r>
                      <w:rPr>
                        <w:rFonts w:ascii="MS Gothic"/>
                        <w:color w:val="333333"/>
                      </w:rPr>
                      <w:t xml:space="preserve"> = mongoTemplate;</w:t>
                    </w:r>
                  </w:p>
                  <w:p w14:paraId="01D7F127" w14:textId="77777777" w:rsidR="00711A16" w:rsidRDefault="00711A16">
                    <w:pPr>
                      <w:spacing w:before="13"/>
                      <w:ind w:left="640"/>
                      <w:rPr>
                        <w:rFonts w:ascii="MS Gothic"/>
                      </w:rPr>
                    </w:pPr>
                    <w:r>
                      <w:rPr>
                        <w:rFonts w:ascii="MS Gothic"/>
                        <w:color w:val="333333"/>
                      </w:rPr>
                      <w:t>}</w:t>
                    </w:r>
                  </w:p>
                  <w:p w14:paraId="544B0922" w14:textId="77777777" w:rsidR="00711A16" w:rsidRDefault="00711A16">
                    <w:pPr>
                      <w:rPr>
                        <w:rFonts w:ascii="MS Gothic"/>
                        <w:sz w:val="24"/>
                      </w:rPr>
                    </w:pPr>
                  </w:p>
                  <w:p w14:paraId="5DAA3E62" w14:textId="77777777" w:rsidR="00711A16" w:rsidRDefault="00711A16">
                    <w:pPr>
                      <w:spacing w:before="1"/>
                      <w:ind w:left="640"/>
                      <w:rPr>
                        <w:rFonts w:ascii="MS Gothic"/>
                      </w:rPr>
                    </w:pPr>
                    <w:r>
                      <w:rPr>
                        <w:rFonts w:ascii="MS Gothic"/>
                        <w:color w:val="333333"/>
                      </w:rPr>
                      <w:t>// ...</w:t>
                    </w:r>
                  </w:p>
                  <w:p w14:paraId="67282F0F" w14:textId="77777777" w:rsidR="00711A16" w:rsidRDefault="00711A16">
                    <w:pPr>
                      <w:rPr>
                        <w:rFonts w:ascii="MS Gothic"/>
                        <w:sz w:val="24"/>
                      </w:rPr>
                    </w:pPr>
                  </w:p>
                  <w:p w14:paraId="0BA23D27" w14:textId="77777777" w:rsidR="00711A16" w:rsidRDefault="00711A16">
                    <w:pPr>
                      <w:ind w:left="200"/>
                      <w:rPr>
                        <w:rFonts w:ascii="MS Gothic"/>
                      </w:rPr>
                    </w:pPr>
                    <w:r>
                      <w:rPr>
                        <w:rFonts w:ascii="MS Gothic"/>
                        <w:color w:val="333333"/>
                      </w:rPr>
                      <w:t>}</w:t>
                    </w:r>
                  </w:p>
                </w:txbxContent>
              </v:textbox>
            </v:shape>
            <w10:wrap type="topAndBottom" anchorx="page"/>
          </v:group>
        </w:pict>
      </w:r>
    </w:p>
    <w:p w14:paraId="24D0B582" w14:textId="77777777" w:rsidR="00A720EB" w:rsidRDefault="00A720EB">
      <w:pPr>
        <w:pStyle w:val="a3"/>
        <w:spacing w:before="11"/>
        <w:rPr>
          <w:sz w:val="9"/>
        </w:rPr>
      </w:pPr>
    </w:p>
    <w:p w14:paraId="75D01517" w14:textId="77777777" w:rsidR="00A720EB" w:rsidRDefault="0030286B">
      <w:pPr>
        <w:pStyle w:val="a3"/>
        <w:spacing w:before="115"/>
        <w:ind w:left="124"/>
        <w:jc w:val="both"/>
      </w:pPr>
      <w:r>
        <w:rPr>
          <w:color w:val="333333"/>
          <w:w w:val="110"/>
        </w:rPr>
        <w:t xml:space="preserve">See the </w:t>
      </w:r>
      <w:hyperlink r:id="rId235">
        <w:r>
          <w:rPr>
            <w:rFonts w:ascii="MS Gothic"/>
            <w:color w:val="B02045"/>
            <w:w w:val="110"/>
          </w:rPr>
          <w:t>MongoOperations</w:t>
        </w:r>
        <w:r>
          <w:rPr>
            <w:rFonts w:ascii="MS Gothic"/>
            <w:color w:val="B02045"/>
            <w:spacing w:val="-55"/>
            <w:w w:val="110"/>
          </w:rPr>
          <w:t xml:space="preserve"> </w:t>
        </w:r>
      </w:hyperlink>
      <w:hyperlink r:id="rId236">
        <w:r>
          <w:rPr>
            <w:color w:val="418BCA"/>
            <w:w w:val="110"/>
          </w:rPr>
          <w:t xml:space="preserve">Javadoc </w:t>
        </w:r>
      </w:hyperlink>
      <w:r>
        <w:rPr>
          <w:color w:val="333333"/>
          <w:w w:val="110"/>
        </w:rPr>
        <w:t>for complete details.</w:t>
      </w:r>
    </w:p>
    <w:p w14:paraId="4AC5FD87" w14:textId="77777777" w:rsidR="00A720EB" w:rsidRDefault="00A720EB">
      <w:pPr>
        <w:pStyle w:val="a3"/>
        <w:spacing w:before="6"/>
        <w:rPr>
          <w:sz w:val="30"/>
        </w:rPr>
      </w:pPr>
    </w:p>
    <w:p w14:paraId="289C0CB8" w14:textId="77777777" w:rsidR="00A720EB" w:rsidRDefault="0030286B">
      <w:pPr>
        <w:pStyle w:val="4"/>
      </w:pPr>
      <w:bookmarkStart w:id="349" w:name="Spring_Data_MongoDB_Repositories"/>
      <w:bookmarkEnd w:id="349"/>
      <w:r>
        <w:rPr>
          <w:color w:val="333333"/>
          <w:w w:val="110"/>
        </w:rPr>
        <w:t>Spring Data MongoDB Repositories</w:t>
      </w:r>
    </w:p>
    <w:p w14:paraId="05A0BF2C" w14:textId="77777777" w:rsidR="00A720EB" w:rsidRDefault="00A720EB">
      <w:pPr>
        <w:pStyle w:val="a3"/>
        <w:spacing w:before="11"/>
        <w:rPr>
          <w:rFonts w:ascii="Palatino Linotype"/>
          <w:b/>
          <w:sz w:val="18"/>
        </w:rPr>
      </w:pPr>
    </w:p>
    <w:p w14:paraId="02D2A3AD" w14:textId="77777777" w:rsidR="00A720EB" w:rsidRDefault="0030286B">
      <w:pPr>
        <w:pStyle w:val="a3"/>
        <w:spacing w:line="307" w:lineRule="auto"/>
        <w:ind w:left="124" w:right="130"/>
        <w:jc w:val="both"/>
      </w:pPr>
      <w:r>
        <w:rPr>
          <w:color w:val="333333"/>
          <w:w w:val="110"/>
        </w:rPr>
        <w:t xml:space="preserve">Spring Data includes repository support for MongoDB. As with the </w:t>
      </w:r>
      <w:r>
        <w:rPr>
          <w:color w:val="333333"/>
          <w:spacing w:val="-4"/>
          <w:w w:val="110"/>
        </w:rPr>
        <w:t xml:space="preserve">JPA </w:t>
      </w:r>
      <w:r>
        <w:rPr>
          <w:color w:val="333333"/>
          <w:w w:val="110"/>
        </w:rPr>
        <w:t>repositories</w:t>
      </w:r>
      <w:r>
        <w:rPr>
          <w:color w:val="333333"/>
          <w:spacing w:val="50"/>
          <w:w w:val="110"/>
        </w:rPr>
        <w:t xml:space="preserve"> </w:t>
      </w:r>
      <w:proofErr w:type="gramStart"/>
      <w:r>
        <w:rPr>
          <w:color w:val="333333"/>
          <w:w w:val="110"/>
        </w:rPr>
        <w:t>discussed  earlier</w:t>
      </w:r>
      <w:proofErr w:type="gramEnd"/>
      <w:r>
        <w:rPr>
          <w:color w:val="333333"/>
          <w:w w:val="110"/>
        </w:rPr>
        <w:t>,</w:t>
      </w:r>
      <w:r>
        <w:rPr>
          <w:color w:val="333333"/>
          <w:spacing w:val="8"/>
          <w:w w:val="110"/>
        </w:rPr>
        <w:t xml:space="preserve"> </w:t>
      </w:r>
      <w:r>
        <w:rPr>
          <w:color w:val="333333"/>
          <w:w w:val="110"/>
        </w:rPr>
        <w:t>the</w:t>
      </w:r>
      <w:r>
        <w:rPr>
          <w:color w:val="333333"/>
          <w:spacing w:val="9"/>
          <w:w w:val="110"/>
        </w:rPr>
        <w:t xml:space="preserve"> </w:t>
      </w:r>
      <w:r>
        <w:rPr>
          <w:color w:val="333333"/>
          <w:w w:val="110"/>
        </w:rPr>
        <w:t>basic</w:t>
      </w:r>
      <w:r>
        <w:rPr>
          <w:color w:val="333333"/>
          <w:spacing w:val="8"/>
          <w:w w:val="110"/>
        </w:rPr>
        <w:t xml:space="preserve"> </w:t>
      </w:r>
      <w:r>
        <w:rPr>
          <w:color w:val="333333"/>
          <w:w w:val="110"/>
        </w:rPr>
        <w:t>principle</w:t>
      </w:r>
      <w:r>
        <w:rPr>
          <w:color w:val="333333"/>
          <w:spacing w:val="7"/>
          <w:w w:val="110"/>
        </w:rPr>
        <w:t xml:space="preserve"> </w:t>
      </w:r>
      <w:r>
        <w:rPr>
          <w:color w:val="333333"/>
          <w:w w:val="110"/>
        </w:rPr>
        <w:t>is</w:t>
      </w:r>
      <w:r>
        <w:rPr>
          <w:color w:val="333333"/>
          <w:spacing w:val="8"/>
          <w:w w:val="110"/>
        </w:rPr>
        <w:t xml:space="preserve"> </w:t>
      </w:r>
      <w:r>
        <w:rPr>
          <w:color w:val="333333"/>
          <w:w w:val="110"/>
        </w:rPr>
        <w:t>that</w:t>
      </w:r>
      <w:r>
        <w:rPr>
          <w:color w:val="333333"/>
          <w:spacing w:val="9"/>
          <w:w w:val="110"/>
        </w:rPr>
        <w:t xml:space="preserve"> </w:t>
      </w:r>
      <w:r>
        <w:rPr>
          <w:color w:val="333333"/>
          <w:w w:val="110"/>
        </w:rPr>
        <w:t>queries</w:t>
      </w:r>
      <w:r>
        <w:rPr>
          <w:color w:val="333333"/>
          <w:spacing w:val="7"/>
          <w:w w:val="110"/>
        </w:rPr>
        <w:t xml:space="preserve"> </w:t>
      </w:r>
      <w:r>
        <w:rPr>
          <w:color w:val="333333"/>
          <w:w w:val="110"/>
        </w:rPr>
        <w:t>are</w:t>
      </w:r>
      <w:r>
        <w:rPr>
          <w:color w:val="333333"/>
          <w:spacing w:val="8"/>
          <w:w w:val="110"/>
        </w:rPr>
        <w:t xml:space="preserve"> </w:t>
      </w:r>
      <w:r>
        <w:rPr>
          <w:color w:val="333333"/>
          <w:w w:val="110"/>
        </w:rPr>
        <w:t>constructed</w:t>
      </w:r>
      <w:r>
        <w:rPr>
          <w:color w:val="333333"/>
          <w:spacing w:val="9"/>
          <w:w w:val="110"/>
        </w:rPr>
        <w:t xml:space="preserve"> </w:t>
      </w:r>
      <w:r>
        <w:rPr>
          <w:color w:val="333333"/>
          <w:spacing w:val="-3"/>
          <w:w w:val="110"/>
        </w:rPr>
        <w:t>automatically,</w:t>
      </w:r>
      <w:r>
        <w:rPr>
          <w:color w:val="333333"/>
          <w:spacing w:val="9"/>
          <w:w w:val="110"/>
        </w:rPr>
        <w:t xml:space="preserve"> </w:t>
      </w:r>
      <w:r>
        <w:rPr>
          <w:color w:val="333333"/>
          <w:w w:val="110"/>
        </w:rPr>
        <w:t>based</w:t>
      </w:r>
      <w:r>
        <w:rPr>
          <w:color w:val="333333"/>
          <w:spacing w:val="7"/>
          <w:w w:val="110"/>
        </w:rPr>
        <w:t xml:space="preserve"> </w:t>
      </w:r>
      <w:r>
        <w:rPr>
          <w:color w:val="333333"/>
          <w:w w:val="110"/>
        </w:rPr>
        <w:t>on</w:t>
      </w:r>
      <w:r>
        <w:rPr>
          <w:color w:val="333333"/>
          <w:spacing w:val="9"/>
          <w:w w:val="110"/>
        </w:rPr>
        <w:t xml:space="preserve"> </w:t>
      </w:r>
      <w:r>
        <w:rPr>
          <w:color w:val="333333"/>
          <w:w w:val="110"/>
        </w:rPr>
        <w:t>method</w:t>
      </w:r>
      <w:r>
        <w:rPr>
          <w:color w:val="333333"/>
          <w:spacing w:val="8"/>
          <w:w w:val="110"/>
        </w:rPr>
        <w:t xml:space="preserve"> </w:t>
      </w:r>
      <w:r>
        <w:rPr>
          <w:color w:val="333333"/>
          <w:w w:val="110"/>
        </w:rPr>
        <w:t>names.</w:t>
      </w:r>
    </w:p>
    <w:p w14:paraId="65DDC929" w14:textId="77777777" w:rsidR="00A720EB" w:rsidRDefault="0030286B">
      <w:pPr>
        <w:pStyle w:val="a3"/>
        <w:spacing w:before="241" w:line="290" w:lineRule="auto"/>
        <w:ind w:left="124" w:right="126"/>
        <w:jc w:val="both"/>
      </w:pPr>
      <w:r>
        <w:rPr>
          <w:color w:val="333333"/>
          <w:w w:val="115"/>
        </w:rPr>
        <w:t>In</w:t>
      </w:r>
      <w:r>
        <w:rPr>
          <w:color w:val="333333"/>
          <w:spacing w:val="-18"/>
          <w:w w:val="115"/>
        </w:rPr>
        <w:t xml:space="preserve"> </w:t>
      </w:r>
      <w:r>
        <w:rPr>
          <w:color w:val="333333"/>
          <w:w w:val="115"/>
        </w:rPr>
        <w:t>fact,</w:t>
      </w:r>
      <w:r>
        <w:rPr>
          <w:color w:val="333333"/>
          <w:spacing w:val="-18"/>
          <w:w w:val="115"/>
        </w:rPr>
        <w:t xml:space="preserve"> </w:t>
      </w:r>
      <w:r>
        <w:rPr>
          <w:color w:val="333333"/>
          <w:w w:val="115"/>
        </w:rPr>
        <w:t>both</w:t>
      </w:r>
      <w:r>
        <w:rPr>
          <w:color w:val="333333"/>
          <w:spacing w:val="-18"/>
          <w:w w:val="115"/>
        </w:rPr>
        <w:t xml:space="preserve"> </w:t>
      </w:r>
      <w:r>
        <w:rPr>
          <w:color w:val="333333"/>
          <w:w w:val="115"/>
        </w:rPr>
        <w:t>Spring</w:t>
      </w:r>
      <w:r>
        <w:rPr>
          <w:color w:val="333333"/>
          <w:spacing w:val="-18"/>
          <w:w w:val="115"/>
        </w:rPr>
        <w:t xml:space="preserve"> </w:t>
      </w:r>
      <w:r>
        <w:rPr>
          <w:color w:val="333333"/>
          <w:w w:val="115"/>
        </w:rPr>
        <w:t>Data</w:t>
      </w:r>
      <w:r>
        <w:rPr>
          <w:color w:val="333333"/>
          <w:spacing w:val="-17"/>
          <w:w w:val="115"/>
        </w:rPr>
        <w:t xml:space="preserve"> </w:t>
      </w:r>
      <w:r>
        <w:rPr>
          <w:color w:val="333333"/>
          <w:spacing w:val="-4"/>
          <w:w w:val="115"/>
        </w:rPr>
        <w:t>JPA</w:t>
      </w:r>
      <w:r>
        <w:rPr>
          <w:color w:val="333333"/>
          <w:spacing w:val="-18"/>
          <w:w w:val="115"/>
        </w:rPr>
        <w:t xml:space="preserve"> </w:t>
      </w:r>
      <w:r>
        <w:rPr>
          <w:color w:val="333333"/>
          <w:w w:val="115"/>
        </w:rPr>
        <w:t>and</w:t>
      </w:r>
      <w:r>
        <w:rPr>
          <w:color w:val="333333"/>
          <w:spacing w:val="-18"/>
          <w:w w:val="115"/>
        </w:rPr>
        <w:t xml:space="preserve"> </w:t>
      </w:r>
      <w:r>
        <w:rPr>
          <w:color w:val="333333"/>
          <w:w w:val="115"/>
        </w:rPr>
        <w:t>Spring</w:t>
      </w:r>
      <w:r>
        <w:rPr>
          <w:color w:val="333333"/>
          <w:spacing w:val="-18"/>
          <w:w w:val="115"/>
        </w:rPr>
        <w:t xml:space="preserve"> </w:t>
      </w:r>
      <w:r>
        <w:rPr>
          <w:color w:val="333333"/>
          <w:w w:val="115"/>
        </w:rPr>
        <w:t>Data</w:t>
      </w:r>
      <w:r>
        <w:rPr>
          <w:color w:val="333333"/>
          <w:spacing w:val="-18"/>
          <w:w w:val="115"/>
        </w:rPr>
        <w:t xml:space="preserve"> </w:t>
      </w:r>
      <w:r>
        <w:rPr>
          <w:color w:val="333333"/>
          <w:w w:val="115"/>
        </w:rPr>
        <w:t>MongoDB</w:t>
      </w:r>
      <w:r>
        <w:rPr>
          <w:color w:val="333333"/>
          <w:spacing w:val="-17"/>
          <w:w w:val="115"/>
        </w:rPr>
        <w:t xml:space="preserve"> </w:t>
      </w:r>
      <w:r>
        <w:rPr>
          <w:color w:val="333333"/>
          <w:w w:val="115"/>
        </w:rPr>
        <w:t>share</w:t>
      </w:r>
      <w:r>
        <w:rPr>
          <w:color w:val="333333"/>
          <w:spacing w:val="-18"/>
          <w:w w:val="115"/>
        </w:rPr>
        <w:t xml:space="preserve"> </w:t>
      </w:r>
      <w:r>
        <w:rPr>
          <w:color w:val="333333"/>
          <w:w w:val="115"/>
        </w:rPr>
        <w:t>the</w:t>
      </w:r>
      <w:r>
        <w:rPr>
          <w:color w:val="333333"/>
          <w:spacing w:val="-18"/>
          <w:w w:val="115"/>
        </w:rPr>
        <w:t xml:space="preserve"> </w:t>
      </w:r>
      <w:r>
        <w:rPr>
          <w:color w:val="333333"/>
          <w:w w:val="115"/>
        </w:rPr>
        <w:t>same</w:t>
      </w:r>
      <w:r>
        <w:rPr>
          <w:color w:val="333333"/>
          <w:spacing w:val="-18"/>
          <w:w w:val="115"/>
        </w:rPr>
        <w:t xml:space="preserve"> </w:t>
      </w:r>
      <w:r>
        <w:rPr>
          <w:color w:val="333333"/>
          <w:w w:val="115"/>
        </w:rPr>
        <w:t>common</w:t>
      </w:r>
      <w:r>
        <w:rPr>
          <w:color w:val="333333"/>
          <w:spacing w:val="-17"/>
          <w:w w:val="115"/>
        </w:rPr>
        <w:t xml:space="preserve"> </w:t>
      </w:r>
      <w:r>
        <w:rPr>
          <w:color w:val="333333"/>
          <w:w w:val="115"/>
        </w:rPr>
        <w:t>infrastructure.</w:t>
      </w:r>
      <w:r>
        <w:rPr>
          <w:color w:val="333333"/>
          <w:spacing w:val="-18"/>
          <w:w w:val="115"/>
        </w:rPr>
        <w:t xml:space="preserve"> </w:t>
      </w:r>
      <w:r>
        <w:rPr>
          <w:color w:val="333333"/>
          <w:spacing w:val="-6"/>
          <w:w w:val="115"/>
        </w:rPr>
        <w:t xml:space="preserve">You </w:t>
      </w:r>
      <w:r>
        <w:rPr>
          <w:color w:val="333333"/>
          <w:w w:val="115"/>
        </w:rPr>
        <w:t xml:space="preserve">could take the </w:t>
      </w:r>
      <w:r>
        <w:rPr>
          <w:color w:val="333333"/>
          <w:spacing w:val="-4"/>
          <w:w w:val="115"/>
        </w:rPr>
        <w:t xml:space="preserve">JPA </w:t>
      </w:r>
      <w:r>
        <w:rPr>
          <w:color w:val="333333"/>
          <w:w w:val="115"/>
        </w:rPr>
        <w:t xml:space="preserve">example from earlier and, assuming that </w:t>
      </w:r>
      <w:r>
        <w:rPr>
          <w:rFonts w:ascii="MS Gothic"/>
          <w:color w:val="B02045"/>
          <w:w w:val="115"/>
        </w:rPr>
        <w:t xml:space="preserve">City </w:t>
      </w:r>
      <w:r>
        <w:rPr>
          <w:color w:val="333333"/>
          <w:w w:val="115"/>
        </w:rPr>
        <w:t>is now a MongoDB data class rather</w:t>
      </w:r>
      <w:r>
        <w:rPr>
          <w:color w:val="333333"/>
          <w:spacing w:val="-9"/>
          <w:w w:val="115"/>
        </w:rPr>
        <w:t xml:space="preserve"> </w:t>
      </w:r>
      <w:r>
        <w:rPr>
          <w:color w:val="333333"/>
          <w:w w:val="115"/>
        </w:rPr>
        <w:t>than</w:t>
      </w:r>
      <w:r>
        <w:rPr>
          <w:color w:val="333333"/>
          <w:spacing w:val="-7"/>
          <w:w w:val="115"/>
        </w:rPr>
        <w:t xml:space="preserve"> </w:t>
      </w:r>
      <w:r>
        <w:rPr>
          <w:color w:val="333333"/>
          <w:w w:val="115"/>
        </w:rPr>
        <w:t>a</w:t>
      </w:r>
      <w:r>
        <w:rPr>
          <w:color w:val="333333"/>
          <w:spacing w:val="-8"/>
          <w:w w:val="115"/>
        </w:rPr>
        <w:t xml:space="preserve"> </w:t>
      </w:r>
      <w:r>
        <w:rPr>
          <w:color w:val="333333"/>
          <w:spacing w:val="-4"/>
          <w:w w:val="115"/>
        </w:rPr>
        <w:t>JPA</w:t>
      </w:r>
      <w:r>
        <w:rPr>
          <w:color w:val="333333"/>
          <w:spacing w:val="-7"/>
          <w:w w:val="115"/>
        </w:rPr>
        <w:t xml:space="preserve"> </w:t>
      </w:r>
      <w:r>
        <w:rPr>
          <w:rFonts w:ascii="MS Gothic"/>
          <w:color w:val="B02045"/>
          <w:w w:val="115"/>
        </w:rPr>
        <w:t>@Entity</w:t>
      </w:r>
      <w:r>
        <w:rPr>
          <w:color w:val="333333"/>
          <w:w w:val="115"/>
        </w:rPr>
        <w:t>,</w:t>
      </w:r>
      <w:r>
        <w:rPr>
          <w:color w:val="333333"/>
          <w:spacing w:val="-7"/>
          <w:w w:val="115"/>
        </w:rPr>
        <w:t xml:space="preserve"> </w:t>
      </w:r>
      <w:r>
        <w:rPr>
          <w:color w:val="333333"/>
          <w:w w:val="115"/>
        </w:rPr>
        <w:t>it</w:t>
      </w:r>
      <w:r>
        <w:rPr>
          <w:color w:val="333333"/>
          <w:spacing w:val="-8"/>
          <w:w w:val="115"/>
        </w:rPr>
        <w:t xml:space="preserve"> </w:t>
      </w:r>
      <w:r>
        <w:rPr>
          <w:color w:val="333333"/>
          <w:w w:val="115"/>
        </w:rPr>
        <w:t>works</w:t>
      </w:r>
      <w:r>
        <w:rPr>
          <w:color w:val="333333"/>
          <w:spacing w:val="-8"/>
          <w:w w:val="115"/>
        </w:rPr>
        <w:t xml:space="preserve"> </w:t>
      </w:r>
      <w:r>
        <w:rPr>
          <w:color w:val="333333"/>
          <w:w w:val="115"/>
        </w:rPr>
        <w:t>in</w:t>
      </w:r>
      <w:r>
        <w:rPr>
          <w:color w:val="333333"/>
          <w:spacing w:val="-9"/>
          <w:w w:val="115"/>
        </w:rPr>
        <w:t xml:space="preserve"> </w:t>
      </w:r>
      <w:r>
        <w:rPr>
          <w:color w:val="333333"/>
          <w:w w:val="115"/>
        </w:rPr>
        <w:t>the</w:t>
      </w:r>
      <w:r>
        <w:rPr>
          <w:color w:val="333333"/>
          <w:spacing w:val="-7"/>
          <w:w w:val="115"/>
        </w:rPr>
        <w:t xml:space="preserve"> </w:t>
      </w:r>
      <w:r>
        <w:rPr>
          <w:color w:val="333333"/>
          <w:w w:val="115"/>
        </w:rPr>
        <w:t>same</w:t>
      </w:r>
      <w:r>
        <w:rPr>
          <w:color w:val="333333"/>
          <w:spacing w:val="-7"/>
          <w:w w:val="115"/>
        </w:rPr>
        <w:t xml:space="preserve"> way,</w:t>
      </w:r>
      <w:r>
        <w:rPr>
          <w:color w:val="333333"/>
          <w:spacing w:val="-8"/>
          <w:w w:val="115"/>
        </w:rPr>
        <w:t xml:space="preserve"> </w:t>
      </w:r>
      <w:r>
        <w:rPr>
          <w:color w:val="333333"/>
          <w:w w:val="115"/>
        </w:rPr>
        <w:t>as</w:t>
      </w:r>
      <w:r>
        <w:rPr>
          <w:color w:val="333333"/>
          <w:spacing w:val="-8"/>
          <w:w w:val="115"/>
        </w:rPr>
        <w:t xml:space="preserve"> </w:t>
      </w:r>
      <w:r>
        <w:rPr>
          <w:color w:val="333333"/>
          <w:w w:val="115"/>
        </w:rPr>
        <w:t>shown</w:t>
      </w:r>
      <w:r>
        <w:rPr>
          <w:color w:val="333333"/>
          <w:spacing w:val="-7"/>
          <w:w w:val="115"/>
        </w:rPr>
        <w:t xml:space="preserve"> </w:t>
      </w:r>
      <w:r>
        <w:rPr>
          <w:color w:val="333333"/>
          <w:w w:val="115"/>
        </w:rPr>
        <w:t>in</w:t>
      </w:r>
      <w:r>
        <w:rPr>
          <w:color w:val="333333"/>
          <w:spacing w:val="-9"/>
          <w:w w:val="115"/>
        </w:rPr>
        <w:t xml:space="preserve"> </w:t>
      </w:r>
      <w:r>
        <w:rPr>
          <w:color w:val="333333"/>
          <w:w w:val="115"/>
        </w:rPr>
        <w:t>the</w:t>
      </w:r>
      <w:r>
        <w:rPr>
          <w:color w:val="333333"/>
          <w:spacing w:val="-7"/>
          <w:w w:val="115"/>
        </w:rPr>
        <w:t xml:space="preserve"> </w:t>
      </w:r>
      <w:r>
        <w:rPr>
          <w:color w:val="333333"/>
          <w:w w:val="115"/>
        </w:rPr>
        <w:t>following</w:t>
      </w:r>
      <w:r>
        <w:rPr>
          <w:color w:val="333333"/>
          <w:spacing w:val="-7"/>
          <w:w w:val="115"/>
        </w:rPr>
        <w:t xml:space="preserve"> </w:t>
      </w:r>
      <w:r>
        <w:rPr>
          <w:color w:val="333333"/>
          <w:w w:val="115"/>
        </w:rPr>
        <w:t>example:</w:t>
      </w:r>
    </w:p>
    <w:p w14:paraId="087B1546" w14:textId="77777777" w:rsidR="00A720EB" w:rsidRDefault="00A720EB">
      <w:pPr>
        <w:spacing w:line="290" w:lineRule="auto"/>
        <w:jc w:val="both"/>
        <w:sectPr w:rsidR="00A720EB">
          <w:pgSz w:w="11910" w:h="16840"/>
          <w:pgMar w:top="700" w:right="840" w:bottom="520" w:left="840" w:header="0" w:footer="323" w:gutter="0"/>
          <w:cols w:space="720"/>
        </w:sectPr>
      </w:pPr>
    </w:p>
    <w:p w14:paraId="74EBCDB5" w14:textId="77777777" w:rsidR="00A720EB" w:rsidRDefault="00E10349">
      <w:pPr>
        <w:pStyle w:val="a3"/>
        <w:ind w:left="116"/>
        <w:rPr>
          <w:sz w:val="20"/>
        </w:rPr>
      </w:pPr>
      <w:r>
        <w:rPr>
          <w:sz w:val="20"/>
        </w:rPr>
      </w:r>
      <w:r>
        <w:rPr>
          <w:sz w:val="20"/>
        </w:rPr>
        <w:pict w14:anchorId="572ADECC">
          <v:group id="_x0000_s4078" style="width:499.55pt;height:199.65pt;mso-position-horizontal-relative:char;mso-position-vertical-relative:line" coordsize="9991,3993">
            <v:shape id="_x0000_s4081" style="position:absolute;left:7;top:7;width:9976;height:3978" coordorigin="8,8" coordsize="9976,3978" path="m9904,8l88,8,56,14,31,31,14,56,8,88r,3817l14,3936r17,26l56,3979r32,6l9904,3985r31,-6l9960,3962r17,-26l9984,3905r,-3817l9977,56,9960,31,9935,14,9904,8xe" fillcolor="#f5f5f5" stroked="f">
              <v:path arrowok="t"/>
            </v:shape>
            <v:shape id="_x0000_s4080" style="position:absolute;left:7;top:7;width:9976;height:3978" coordorigin="8,8" coordsize="9976,3978" path="m88,8r9816,l9935,14r25,17l9977,56r7,32l9984,3905r-7,31l9960,3962r-25,17l9904,3985r-9816,l56,3979,31,3962,14,3936,8,3905,8,88,14,56,31,31,56,14,88,8xe" filled="f" strokecolor="#ccc">
              <v:path arrowok="t"/>
            </v:shape>
            <v:shape id="_x0000_s4079" type="#_x0000_t202" style="position:absolute;left:26;top:22;width:9938;height:3947" filled="f" stroked="f">
              <v:textbox inset="0,0,0,0">
                <w:txbxContent>
                  <w:p w14:paraId="1BF50661" w14:textId="77777777" w:rsidR="00711A16" w:rsidRDefault="00711A16">
                    <w:pPr>
                      <w:spacing w:before="221"/>
                      <w:ind w:left="200"/>
                      <w:rPr>
                        <w:rFonts w:ascii="MS Gothic"/>
                      </w:rPr>
                    </w:pPr>
                    <w:r>
                      <w:rPr>
                        <w:rFonts w:ascii="MS Gothic"/>
                        <w:color w:val="333333"/>
                      </w:rPr>
                      <w:t>package com.</w:t>
                    </w:r>
                    <w:proofErr w:type="gramStart"/>
                    <w:r>
                      <w:rPr>
                        <w:rFonts w:ascii="MS Gothic"/>
                        <w:color w:val="333333"/>
                      </w:rPr>
                      <w:t>example.myapp</w:t>
                    </w:r>
                    <w:proofErr w:type="gramEnd"/>
                    <w:r>
                      <w:rPr>
                        <w:rFonts w:ascii="MS Gothic"/>
                        <w:color w:val="333333"/>
                      </w:rPr>
                      <w:t>.domain;</w:t>
                    </w:r>
                  </w:p>
                  <w:p w14:paraId="220266AC" w14:textId="77777777" w:rsidR="00711A16" w:rsidRDefault="00711A16">
                    <w:pPr>
                      <w:rPr>
                        <w:rFonts w:ascii="MS Gothic"/>
                        <w:sz w:val="24"/>
                      </w:rPr>
                    </w:pPr>
                  </w:p>
                  <w:p w14:paraId="51298723" w14:textId="77777777" w:rsidR="00711A16" w:rsidRDefault="00711A16">
                    <w:pPr>
                      <w:spacing w:line="252" w:lineRule="auto"/>
                      <w:ind w:left="200" w:right="476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.data.domain.*; import org.springframework.data.repository.*;</w:t>
                    </w:r>
                  </w:p>
                  <w:p w14:paraId="41321B76" w14:textId="77777777" w:rsidR="00711A16" w:rsidRDefault="00711A16">
                    <w:pPr>
                      <w:spacing w:before="10"/>
                      <w:rPr>
                        <w:rFonts w:ascii="MS Gothic"/>
                      </w:rPr>
                    </w:pPr>
                  </w:p>
                  <w:p w14:paraId="3A545E3A" w14:textId="77777777" w:rsidR="00711A16" w:rsidRDefault="00711A16">
                    <w:pPr>
                      <w:spacing w:before="1" w:line="501" w:lineRule="auto"/>
                      <w:ind w:left="640" w:right="2678" w:hanging="440"/>
                      <w:rPr>
                        <w:rFonts w:ascii="MS Gothic"/>
                      </w:rPr>
                    </w:pPr>
                    <w:r>
                      <w:rPr>
                        <w:rFonts w:ascii="MS Gothic"/>
                        <w:color w:val="333333"/>
                      </w:rPr>
                      <w:t xml:space="preserve">public interface CityRepository extends Repository&lt;City, Long&gt; </w:t>
                    </w:r>
                    <w:proofErr w:type="gramStart"/>
                    <w:r>
                      <w:rPr>
                        <w:rFonts w:ascii="MS Gothic"/>
                        <w:color w:val="333333"/>
                      </w:rPr>
                      <w:t>{ Page</w:t>
                    </w:r>
                    <w:proofErr w:type="gramEnd"/>
                    <w:r>
                      <w:rPr>
                        <w:rFonts w:ascii="MS Gothic"/>
                        <w:color w:val="333333"/>
                      </w:rPr>
                      <w:t>&lt;City&gt; findAll(Pageable pageable);</w:t>
                    </w:r>
                  </w:p>
                  <w:p w14:paraId="51AFA12C" w14:textId="77777777" w:rsidR="00711A16" w:rsidRDefault="00711A16">
                    <w:pPr>
                      <w:spacing w:before="1"/>
                      <w:ind w:left="640"/>
                      <w:rPr>
                        <w:rFonts w:ascii="MS Gothic"/>
                      </w:rPr>
                    </w:pPr>
                    <w:r>
                      <w:rPr>
                        <w:rFonts w:ascii="MS Gothic"/>
                        <w:color w:val="333333"/>
                      </w:rPr>
                      <w:t xml:space="preserve">City </w:t>
                    </w:r>
                    <w:proofErr w:type="gramStart"/>
                    <w:r>
                      <w:rPr>
                        <w:rFonts w:ascii="MS Gothic"/>
                        <w:color w:val="333333"/>
                      </w:rPr>
                      <w:t>findByNameAndStateAllIgnoringCase(</w:t>
                    </w:r>
                    <w:proofErr w:type="gramEnd"/>
                    <w:r>
                      <w:rPr>
                        <w:rFonts w:ascii="MS Gothic"/>
                        <w:color w:val="333333"/>
                      </w:rPr>
                      <w:t>String name, String state);</w:t>
                    </w:r>
                  </w:p>
                  <w:p w14:paraId="59C70779" w14:textId="77777777" w:rsidR="00711A16" w:rsidRDefault="00711A16">
                    <w:pPr>
                      <w:rPr>
                        <w:rFonts w:ascii="MS Gothic"/>
                        <w:sz w:val="24"/>
                      </w:rPr>
                    </w:pPr>
                  </w:p>
                  <w:p w14:paraId="43769BC7" w14:textId="77777777" w:rsidR="00711A16" w:rsidRDefault="00711A16">
                    <w:pPr>
                      <w:ind w:left="200"/>
                      <w:rPr>
                        <w:rFonts w:ascii="MS Gothic"/>
                      </w:rPr>
                    </w:pPr>
                    <w:r>
                      <w:rPr>
                        <w:rFonts w:ascii="MS Gothic"/>
                        <w:color w:val="333333"/>
                      </w:rPr>
                      <w:t>}</w:t>
                    </w:r>
                  </w:p>
                </w:txbxContent>
              </v:textbox>
            </v:shape>
            <w10:anchorlock/>
          </v:group>
        </w:pict>
      </w:r>
    </w:p>
    <w:p w14:paraId="153F8A33" w14:textId="77777777" w:rsidR="00A720EB" w:rsidRDefault="00A720EB">
      <w:pPr>
        <w:pStyle w:val="a3"/>
        <w:rPr>
          <w:sz w:val="16"/>
        </w:rPr>
      </w:pPr>
    </w:p>
    <w:p w14:paraId="41A57A4E" w14:textId="77777777" w:rsidR="00A720EB" w:rsidRDefault="00E10349">
      <w:pPr>
        <w:pStyle w:val="a3"/>
        <w:spacing w:before="116"/>
        <w:ind w:left="1564"/>
        <w:rPr>
          <w:rFonts w:ascii="MS Gothic"/>
        </w:rPr>
      </w:pPr>
      <w:r>
        <w:pict w14:anchorId="22B22BE0">
          <v:line id="_x0000_s4077" style="position:absolute;left:0;text-align:left;z-index:15993344;mso-position-horizontal-relative:page" from="108.25pt,.35pt" to="108.25pt,39.9pt" strokecolor="#ededed" strokeweight=".5pt">
            <w10:wrap anchorx="page"/>
          </v:line>
        </w:pict>
      </w:r>
      <w:r w:rsidR="0030286B">
        <w:rPr>
          <w:noProof/>
        </w:rPr>
        <w:drawing>
          <wp:anchor distT="0" distB="0" distL="0" distR="0" simplePos="0" relativeHeight="15993856" behindDoc="0" locked="0" layoutInCell="1" allowOverlap="1" wp14:anchorId="2849FC34" wp14:editId="395D29D6">
            <wp:simplePos x="0" y="0"/>
            <wp:positionH relativeFrom="page">
              <wp:posOffset>888949</wp:posOffset>
            </wp:positionH>
            <wp:positionV relativeFrom="paragraph">
              <wp:posOffset>103073</wp:posOffset>
            </wp:positionV>
            <wp:extent cx="209550" cy="304800"/>
            <wp:effectExtent l="0" t="0" r="0" b="0"/>
            <wp:wrapNone/>
            <wp:docPr id="3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You can customize document scanning locations by using the </w:t>
      </w:r>
      <w:r w:rsidR="0030286B">
        <w:rPr>
          <w:rFonts w:ascii="MS Gothic"/>
          <w:color w:val="B02045"/>
          <w:w w:val="110"/>
        </w:rPr>
        <w:t>@EntityScan</w:t>
      </w:r>
    </w:p>
    <w:p w14:paraId="0451C986" w14:textId="77777777" w:rsidR="00A720EB" w:rsidRDefault="0030286B">
      <w:pPr>
        <w:pStyle w:val="a3"/>
        <w:spacing w:before="57"/>
        <w:ind w:left="1564"/>
      </w:pPr>
      <w:r>
        <w:rPr>
          <w:color w:val="333333"/>
          <w:w w:val="115"/>
        </w:rPr>
        <w:t>annotation.</w:t>
      </w:r>
    </w:p>
    <w:p w14:paraId="50ACBC39" w14:textId="77777777" w:rsidR="00A720EB" w:rsidRDefault="00A720EB">
      <w:pPr>
        <w:pStyle w:val="a3"/>
        <w:rPr>
          <w:sz w:val="40"/>
        </w:rPr>
      </w:pPr>
    </w:p>
    <w:p w14:paraId="0DBDA66F" w14:textId="77777777" w:rsidR="00A720EB" w:rsidRDefault="00E10349">
      <w:pPr>
        <w:pStyle w:val="a3"/>
        <w:spacing w:before="1" w:line="307" w:lineRule="auto"/>
        <w:ind w:left="1564"/>
      </w:pPr>
      <w:r>
        <w:pict w14:anchorId="461AD381">
          <v:line id="_x0000_s4076" style="position:absolute;left:0;text-align:left;z-index:15994368;mso-position-horizontal-relative:page" from="108.25pt,-5.95pt" to="108.25pt,33.6pt" strokecolor="#ededed" strokeweight=".5pt">
            <w10:wrap anchorx="page"/>
          </v:line>
        </w:pict>
      </w:r>
      <w:r w:rsidR="0030286B">
        <w:rPr>
          <w:noProof/>
        </w:rPr>
        <w:drawing>
          <wp:anchor distT="0" distB="0" distL="0" distR="0" simplePos="0" relativeHeight="15994880" behindDoc="0" locked="0" layoutInCell="1" allowOverlap="1" wp14:anchorId="0E30D0C3" wp14:editId="01C5749A">
            <wp:simplePos x="0" y="0"/>
            <wp:positionH relativeFrom="page">
              <wp:posOffset>888949</wp:posOffset>
            </wp:positionH>
            <wp:positionV relativeFrom="paragraph">
              <wp:posOffset>23407</wp:posOffset>
            </wp:positionV>
            <wp:extent cx="209550" cy="304800"/>
            <wp:effectExtent l="0" t="0" r="0" b="0"/>
            <wp:wrapNone/>
            <wp:docPr id="3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For complete details of Spring Data MongoDB, including its rich object mapping technologies, refer to its </w:t>
      </w:r>
      <w:hyperlink r:id="rId237">
        <w:r w:rsidR="0030286B">
          <w:rPr>
            <w:color w:val="418BCA"/>
            <w:w w:val="110"/>
          </w:rPr>
          <w:t>reference documentation</w:t>
        </w:r>
      </w:hyperlink>
      <w:r w:rsidR="0030286B">
        <w:rPr>
          <w:color w:val="333333"/>
          <w:w w:val="110"/>
        </w:rPr>
        <w:t>.</w:t>
      </w:r>
    </w:p>
    <w:p w14:paraId="3FA6ADFE" w14:textId="77777777" w:rsidR="00A720EB" w:rsidRDefault="00A720EB">
      <w:pPr>
        <w:pStyle w:val="a3"/>
        <w:spacing w:before="7"/>
        <w:rPr>
          <w:sz w:val="23"/>
        </w:rPr>
      </w:pPr>
    </w:p>
    <w:p w14:paraId="786DAF8E" w14:textId="77777777" w:rsidR="00A720EB" w:rsidRDefault="0030286B">
      <w:pPr>
        <w:pStyle w:val="4"/>
        <w:spacing w:before="104"/>
      </w:pPr>
      <w:bookmarkStart w:id="350" w:name="Embedded_Mongo"/>
      <w:bookmarkEnd w:id="350"/>
      <w:r>
        <w:rPr>
          <w:color w:val="333333"/>
          <w:w w:val="105"/>
        </w:rPr>
        <w:t>Embedded Mongo</w:t>
      </w:r>
    </w:p>
    <w:p w14:paraId="22F4C2F7" w14:textId="77777777" w:rsidR="00A720EB" w:rsidRDefault="00A720EB">
      <w:pPr>
        <w:pStyle w:val="a3"/>
        <w:spacing w:before="11"/>
        <w:rPr>
          <w:rFonts w:ascii="Palatino Linotype"/>
          <w:b/>
          <w:sz w:val="18"/>
        </w:rPr>
      </w:pPr>
    </w:p>
    <w:p w14:paraId="22E83242" w14:textId="77777777" w:rsidR="00A720EB" w:rsidRDefault="0030286B">
      <w:pPr>
        <w:pStyle w:val="a3"/>
        <w:spacing w:line="297" w:lineRule="auto"/>
        <w:ind w:left="124" w:right="127"/>
        <w:jc w:val="both"/>
      </w:pPr>
      <w:r>
        <w:rPr>
          <w:color w:val="333333"/>
          <w:w w:val="110"/>
        </w:rPr>
        <w:t xml:space="preserve">Spring Boot offers auto-configuration for </w:t>
      </w:r>
      <w:hyperlink r:id="rId238">
        <w:r>
          <w:rPr>
            <w:color w:val="418BCA"/>
            <w:w w:val="110"/>
          </w:rPr>
          <w:t>Embedded Mongo</w:t>
        </w:r>
      </w:hyperlink>
      <w:r>
        <w:rPr>
          <w:color w:val="333333"/>
          <w:w w:val="110"/>
        </w:rPr>
        <w:t xml:space="preserve">. </w:t>
      </w:r>
      <w:r>
        <w:rPr>
          <w:color w:val="333333"/>
          <w:spacing w:val="-4"/>
          <w:w w:val="110"/>
        </w:rPr>
        <w:t xml:space="preserve">To </w:t>
      </w:r>
      <w:r>
        <w:rPr>
          <w:color w:val="333333"/>
          <w:w w:val="110"/>
        </w:rPr>
        <w:t xml:space="preserve">use it in your Spring </w:t>
      </w:r>
      <w:proofErr w:type="gramStart"/>
      <w:r>
        <w:rPr>
          <w:color w:val="333333"/>
          <w:w w:val="110"/>
        </w:rPr>
        <w:t>Boot  application</w:t>
      </w:r>
      <w:proofErr w:type="gramEnd"/>
      <w:r>
        <w:rPr>
          <w:color w:val="333333"/>
          <w:w w:val="110"/>
        </w:rPr>
        <w:t>, add a dependency</w:t>
      </w:r>
      <w:r>
        <w:rPr>
          <w:color w:val="333333"/>
          <w:spacing w:val="-37"/>
          <w:w w:val="110"/>
        </w:rPr>
        <w:t xml:space="preserve"> </w:t>
      </w:r>
      <w:r>
        <w:rPr>
          <w:color w:val="333333"/>
          <w:w w:val="110"/>
        </w:rPr>
        <w:t xml:space="preserve">on </w:t>
      </w:r>
      <w:r>
        <w:rPr>
          <w:rFonts w:ascii="MS Gothic"/>
          <w:color w:val="B02045"/>
          <w:w w:val="110"/>
        </w:rPr>
        <w:t>de.flapdoodle.embed:de.flapdoodle.embed.mongo</w:t>
      </w:r>
      <w:r>
        <w:rPr>
          <w:color w:val="333333"/>
          <w:w w:val="110"/>
        </w:rPr>
        <w:t>.</w:t>
      </w:r>
    </w:p>
    <w:p w14:paraId="40DCCE1E" w14:textId="77777777" w:rsidR="00A720EB" w:rsidRDefault="0030286B">
      <w:pPr>
        <w:pStyle w:val="a3"/>
        <w:spacing w:before="222" w:line="280" w:lineRule="auto"/>
        <w:ind w:left="124" w:right="122"/>
        <w:jc w:val="both"/>
      </w:pPr>
      <w:r>
        <w:rPr>
          <w:color w:val="333333"/>
          <w:w w:val="110"/>
        </w:rPr>
        <w:t xml:space="preserve">The port that Mongo listens on can be configured </w:t>
      </w:r>
      <w:r>
        <w:rPr>
          <w:color w:val="333333"/>
          <w:spacing w:val="-3"/>
          <w:w w:val="110"/>
        </w:rPr>
        <w:t xml:space="preserve">by </w:t>
      </w:r>
      <w:r>
        <w:rPr>
          <w:color w:val="333333"/>
          <w:w w:val="110"/>
        </w:rPr>
        <w:t xml:space="preserve">setting the </w:t>
      </w:r>
      <w:r>
        <w:rPr>
          <w:rFonts w:ascii="MS Gothic"/>
          <w:color w:val="B02045"/>
          <w:w w:val="110"/>
        </w:rPr>
        <w:t>spring.</w:t>
      </w:r>
      <w:proofErr w:type="gramStart"/>
      <w:r>
        <w:rPr>
          <w:rFonts w:ascii="MS Gothic"/>
          <w:color w:val="B02045"/>
          <w:w w:val="110"/>
        </w:rPr>
        <w:t>data.mongodb</w:t>
      </w:r>
      <w:proofErr w:type="gramEnd"/>
      <w:r>
        <w:rPr>
          <w:rFonts w:ascii="MS Gothic"/>
          <w:color w:val="B02045"/>
          <w:w w:val="110"/>
        </w:rPr>
        <w:t>.port</w:t>
      </w:r>
      <w:r>
        <w:rPr>
          <w:rFonts w:ascii="MS Gothic"/>
          <w:color w:val="B02045"/>
          <w:spacing w:val="-101"/>
          <w:w w:val="110"/>
        </w:rPr>
        <w:t xml:space="preserve"> </w:t>
      </w:r>
      <w:r>
        <w:rPr>
          <w:color w:val="333333"/>
          <w:spacing w:val="-3"/>
          <w:w w:val="110"/>
        </w:rPr>
        <w:t xml:space="preserve">property. </w:t>
      </w:r>
      <w:r>
        <w:rPr>
          <w:color w:val="333333"/>
          <w:spacing w:val="-4"/>
          <w:w w:val="110"/>
        </w:rPr>
        <w:t xml:space="preserve">To </w:t>
      </w:r>
      <w:r>
        <w:rPr>
          <w:color w:val="333333"/>
          <w:w w:val="110"/>
        </w:rPr>
        <w:t xml:space="preserve">use a randomly allocated free port, use a value of 0. The </w:t>
      </w:r>
      <w:r>
        <w:rPr>
          <w:rFonts w:ascii="MS Gothic"/>
          <w:color w:val="B02045"/>
          <w:w w:val="110"/>
        </w:rPr>
        <w:t xml:space="preserve">MongoClient </w:t>
      </w:r>
      <w:r>
        <w:rPr>
          <w:color w:val="333333"/>
          <w:w w:val="110"/>
        </w:rPr>
        <w:t xml:space="preserve">created </w:t>
      </w:r>
      <w:r>
        <w:rPr>
          <w:color w:val="333333"/>
          <w:spacing w:val="-3"/>
          <w:w w:val="110"/>
        </w:rPr>
        <w:t xml:space="preserve">by </w:t>
      </w:r>
      <w:r>
        <w:rPr>
          <w:rFonts w:ascii="MS Gothic"/>
          <w:color w:val="B02045"/>
          <w:w w:val="110"/>
        </w:rPr>
        <w:t>MongoAutoConfiguration</w:t>
      </w:r>
      <w:r>
        <w:rPr>
          <w:rFonts w:ascii="MS Gothic"/>
          <w:color w:val="B02045"/>
          <w:spacing w:val="-89"/>
          <w:w w:val="110"/>
        </w:rPr>
        <w:t xml:space="preserve"> </w:t>
      </w:r>
      <w:r>
        <w:rPr>
          <w:color w:val="333333"/>
          <w:w w:val="110"/>
        </w:rPr>
        <w:t>is automatically configured to use the randomly allocated port.</w:t>
      </w:r>
    </w:p>
    <w:p w14:paraId="71DC1AF4" w14:textId="77777777" w:rsidR="00A720EB" w:rsidRDefault="00A720EB">
      <w:pPr>
        <w:pStyle w:val="a3"/>
        <w:spacing w:before="5"/>
        <w:rPr>
          <w:sz w:val="28"/>
        </w:rPr>
      </w:pPr>
    </w:p>
    <w:p w14:paraId="2402FC7A" w14:textId="77777777" w:rsidR="00A720EB" w:rsidRDefault="00E10349">
      <w:pPr>
        <w:pStyle w:val="a3"/>
        <w:spacing w:line="307" w:lineRule="auto"/>
        <w:ind w:left="1564" w:right="462"/>
      </w:pPr>
      <w:r>
        <w:pict w14:anchorId="0F16EE6C">
          <v:line id="_x0000_s4075" style="position:absolute;left:0;text-align:left;z-index:15995392;mso-position-horizontal-relative:page" from="108.25pt,-6pt" to="108.25pt,33.55pt" strokecolor="#ededed" strokeweight=".5pt">
            <w10:wrap anchorx="page"/>
          </v:line>
        </w:pict>
      </w:r>
      <w:r w:rsidR="0030286B">
        <w:rPr>
          <w:noProof/>
        </w:rPr>
        <w:drawing>
          <wp:anchor distT="0" distB="0" distL="0" distR="0" simplePos="0" relativeHeight="15995904" behindDoc="0" locked="0" layoutInCell="1" allowOverlap="1" wp14:anchorId="7DC55ABB" wp14:editId="1736C34E">
            <wp:simplePos x="0" y="0"/>
            <wp:positionH relativeFrom="page">
              <wp:posOffset>844422</wp:posOffset>
            </wp:positionH>
            <wp:positionV relativeFrom="paragraph">
              <wp:posOffset>25946</wp:posOffset>
            </wp:positionV>
            <wp:extent cx="298450" cy="298450"/>
            <wp:effectExtent l="0" t="0" r="0" b="0"/>
            <wp:wrapNone/>
            <wp:docPr id="3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 you do not configure a custom port, the embedded support uses a random port (rather than 27017) by default.</w:t>
      </w:r>
    </w:p>
    <w:p w14:paraId="219C9549" w14:textId="77777777" w:rsidR="00A720EB" w:rsidRDefault="00A720EB">
      <w:pPr>
        <w:pStyle w:val="a3"/>
        <w:spacing w:before="4"/>
        <w:rPr>
          <w:sz w:val="27"/>
        </w:rPr>
      </w:pPr>
    </w:p>
    <w:p w14:paraId="0F17D782" w14:textId="77777777" w:rsidR="00A720EB" w:rsidRDefault="0030286B">
      <w:pPr>
        <w:pStyle w:val="a3"/>
        <w:spacing w:line="297" w:lineRule="auto"/>
        <w:ind w:left="124" w:right="133"/>
        <w:jc w:val="both"/>
      </w:pPr>
      <w:r>
        <w:rPr>
          <w:color w:val="333333"/>
          <w:w w:val="110"/>
        </w:rPr>
        <w:t xml:space="preserve">If you have SLF4J on the classpath, the output produced </w:t>
      </w:r>
      <w:proofErr w:type="gramStart"/>
      <w:r>
        <w:rPr>
          <w:color w:val="333333"/>
          <w:spacing w:val="-3"/>
          <w:w w:val="110"/>
        </w:rPr>
        <w:t xml:space="preserve">by  </w:t>
      </w:r>
      <w:r>
        <w:rPr>
          <w:color w:val="333333"/>
          <w:w w:val="110"/>
        </w:rPr>
        <w:t>Mongo</w:t>
      </w:r>
      <w:proofErr w:type="gramEnd"/>
      <w:r>
        <w:rPr>
          <w:color w:val="333333"/>
          <w:w w:val="110"/>
        </w:rPr>
        <w:t xml:space="preserve"> is automatically routed to a</w:t>
      </w:r>
      <w:r>
        <w:rPr>
          <w:color w:val="333333"/>
          <w:spacing w:val="50"/>
          <w:w w:val="110"/>
        </w:rPr>
        <w:t xml:space="preserve"> </w:t>
      </w:r>
      <w:r>
        <w:rPr>
          <w:color w:val="333333"/>
          <w:w w:val="110"/>
        </w:rPr>
        <w:t>logger named</w:t>
      </w:r>
      <w:r>
        <w:rPr>
          <w:color w:val="333333"/>
          <w:spacing w:val="-41"/>
          <w:w w:val="110"/>
        </w:rPr>
        <w:t xml:space="preserve"> </w:t>
      </w:r>
      <w:r>
        <w:rPr>
          <w:rFonts w:ascii="MS Gothic"/>
          <w:color w:val="B02045"/>
          <w:w w:val="110"/>
        </w:rPr>
        <w:t>org.springframework.boot.autoconfigure.mongo.embedded.EmbeddedMongo</w:t>
      </w:r>
      <w:r>
        <w:rPr>
          <w:color w:val="333333"/>
          <w:w w:val="110"/>
        </w:rPr>
        <w:t>.</w:t>
      </w:r>
    </w:p>
    <w:p w14:paraId="20B33C5E" w14:textId="77777777" w:rsidR="00A720EB" w:rsidRDefault="0030286B">
      <w:pPr>
        <w:pStyle w:val="a3"/>
        <w:spacing w:before="222" w:line="295" w:lineRule="auto"/>
        <w:ind w:left="124" w:right="124"/>
        <w:jc w:val="both"/>
      </w:pPr>
      <w:r>
        <w:rPr>
          <w:color w:val="333333"/>
          <w:spacing w:val="-6"/>
          <w:w w:val="110"/>
        </w:rPr>
        <w:t xml:space="preserve">You </w:t>
      </w:r>
      <w:r>
        <w:rPr>
          <w:color w:val="333333"/>
          <w:w w:val="110"/>
        </w:rPr>
        <w:t xml:space="preserve">can declare your own </w:t>
      </w:r>
      <w:r>
        <w:rPr>
          <w:rFonts w:ascii="MS Gothic" w:hAnsi="MS Gothic"/>
          <w:color w:val="B02045"/>
          <w:w w:val="110"/>
        </w:rPr>
        <w:t xml:space="preserve">IMongodConfig </w:t>
      </w:r>
      <w:r>
        <w:rPr>
          <w:color w:val="333333"/>
          <w:w w:val="110"/>
        </w:rPr>
        <w:t xml:space="preserve">and </w:t>
      </w:r>
      <w:r>
        <w:rPr>
          <w:rFonts w:ascii="MS Gothic" w:hAnsi="MS Gothic"/>
          <w:color w:val="B02045"/>
          <w:w w:val="110"/>
        </w:rPr>
        <w:t xml:space="preserve">IRuntimeConfig </w:t>
      </w:r>
      <w:r>
        <w:rPr>
          <w:color w:val="333333"/>
          <w:w w:val="110"/>
        </w:rPr>
        <w:t xml:space="preserve">beans to take control of the Mongo instance’s configuration and logging routing. The download configuration can be customized </w:t>
      </w:r>
      <w:r>
        <w:rPr>
          <w:color w:val="333333"/>
          <w:spacing w:val="-3"/>
          <w:w w:val="110"/>
        </w:rPr>
        <w:t xml:space="preserve">by </w:t>
      </w:r>
      <w:r>
        <w:rPr>
          <w:color w:val="333333"/>
          <w:w w:val="110"/>
        </w:rPr>
        <w:t xml:space="preserve">declaring a </w:t>
      </w:r>
      <w:r>
        <w:rPr>
          <w:rFonts w:ascii="MS Gothic" w:hAnsi="MS Gothic"/>
          <w:color w:val="B02045"/>
          <w:w w:val="110"/>
        </w:rPr>
        <w:t>DownloadConfigBuilderCustomizer</w:t>
      </w:r>
      <w:r>
        <w:rPr>
          <w:rFonts w:ascii="MS Gothic" w:hAnsi="MS Gothic"/>
          <w:color w:val="B02045"/>
          <w:spacing w:val="-64"/>
          <w:w w:val="110"/>
        </w:rPr>
        <w:t xml:space="preserve"> </w:t>
      </w:r>
      <w:r>
        <w:rPr>
          <w:color w:val="333333"/>
          <w:w w:val="110"/>
        </w:rPr>
        <w:t>bean.</w:t>
      </w:r>
    </w:p>
    <w:p w14:paraId="171FA716" w14:textId="77777777" w:rsidR="00A720EB" w:rsidRDefault="00A720EB">
      <w:pPr>
        <w:pStyle w:val="a3"/>
        <w:rPr>
          <w:sz w:val="25"/>
        </w:rPr>
      </w:pPr>
    </w:p>
    <w:p w14:paraId="3459AEAA" w14:textId="77777777" w:rsidR="00A720EB" w:rsidRDefault="0030286B">
      <w:pPr>
        <w:pStyle w:val="3"/>
        <w:numPr>
          <w:ilvl w:val="2"/>
          <w:numId w:val="68"/>
        </w:numPr>
        <w:tabs>
          <w:tab w:val="left" w:pos="1003"/>
        </w:tabs>
        <w:ind w:left="1002" w:hanging="879"/>
      </w:pPr>
      <w:bookmarkStart w:id="351" w:name="4.12.3._Neo4j"/>
      <w:bookmarkStart w:id="352" w:name="_Toc54423778"/>
      <w:bookmarkEnd w:id="351"/>
      <w:r>
        <w:rPr>
          <w:color w:val="333333"/>
          <w:w w:val="105"/>
        </w:rPr>
        <w:t>Neo4j</w:t>
      </w:r>
      <w:bookmarkEnd w:id="352"/>
    </w:p>
    <w:p w14:paraId="6F8E8805" w14:textId="77777777" w:rsidR="00A720EB" w:rsidRDefault="00E10349">
      <w:pPr>
        <w:pStyle w:val="a3"/>
        <w:spacing w:before="254" w:line="295" w:lineRule="auto"/>
        <w:ind w:left="124" w:right="122"/>
        <w:jc w:val="both"/>
      </w:pPr>
      <w:hyperlink r:id="rId239">
        <w:r w:rsidR="0030286B">
          <w:rPr>
            <w:color w:val="418BCA"/>
            <w:w w:val="110"/>
          </w:rPr>
          <w:t>Neo4j</w:t>
        </w:r>
      </w:hyperlink>
      <w:r w:rsidR="0030286B">
        <w:rPr>
          <w:color w:val="418BCA"/>
          <w:w w:val="110"/>
        </w:rPr>
        <w:t xml:space="preserve"> </w:t>
      </w:r>
      <w:r w:rsidR="0030286B">
        <w:rPr>
          <w:color w:val="333333"/>
          <w:w w:val="110"/>
        </w:rPr>
        <w:t xml:space="preserve">is an open-source NoSQL graph database that uses a rich data model of nodes connected </w:t>
      </w:r>
      <w:r w:rsidR="0030286B">
        <w:rPr>
          <w:color w:val="333333"/>
          <w:spacing w:val="-3"/>
          <w:w w:val="110"/>
        </w:rPr>
        <w:t xml:space="preserve">by </w:t>
      </w:r>
      <w:r w:rsidR="0030286B">
        <w:rPr>
          <w:color w:val="333333"/>
          <w:w w:val="110"/>
        </w:rPr>
        <w:t xml:space="preserve">first class relationships, which is better suited for connected big data than traditional RDBMS approaches. Spring Boot offers several conveniences for working with Neo4j, including the </w:t>
      </w:r>
      <w:r w:rsidR="0030286B">
        <w:rPr>
          <w:rFonts w:ascii="MS Gothic" w:hAnsi="MS Gothic"/>
          <w:color w:val="B02045"/>
          <w:w w:val="110"/>
        </w:rPr>
        <w:t>spring- boot-starter-data-neo4j</w:t>
      </w:r>
      <w:r w:rsidR="0030286B">
        <w:rPr>
          <w:rFonts w:ascii="MS Gothic" w:hAnsi="MS Gothic"/>
          <w:color w:val="B02045"/>
          <w:spacing w:val="-64"/>
          <w:w w:val="110"/>
        </w:rPr>
        <w:t xml:space="preserve"> </w:t>
      </w:r>
      <w:r w:rsidR="0030286B">
        <w:rPr>
          <w:color w:val="333333"/>
          <w:w w:val="110"/>
        </w:rPr>
        <w:t>“Starter”.</w:t>
      </w:r>
    </w:p>
    <w:p w14:paraId="4A0526F8" w14:textId="77777777" w:rsidR="00A720EB" w:rsidRDefault="00A720EB">
      <w:pPr>
        <w:pStyle w:val="a3"/>
        <w:spacing w:before="2"/>
        <w:rPr>
          <w:sz w:val="25"/>
        </w:rPr>
      </w:pPr>
    </w:p>
    <w:p w14:paraId="42B4DB60" w14:textId="77777777" w:rsidR="00A720EB" w:rsidRDefault="0030286B">
      <w:pPr>
        <w:pStyle w:val="4"/>
      </w:pPr>
      <w:bookmarkStart w:id="353" w:name="Connecting_to_a_Neo4j_Database"/>
      <w:bookmarkEnd w:id="353"/>
      <w:r>
        <w:rPr>
          <w:color w:val="333333"/>
          <w:w w:val="110"/>
        </w:rPr>
        <w:t>Connecting to a Neo4j Database</w:t>
      </w:r>
    </w:p>
    <w:p w14:paraId="2F50BF34" w14:textId="77777777" w:rsidR="00A720EB" w:rsidRDefault="0030286B">
      <w:pPr>
        <w:pStyle w:val="a3"/>
        <w:spacing w:before="244"/>
        <w:ind w:left="124"/>
        <w:jc w:val="both"/>
      </w:pPr>
      <w:r>
        <w:rPr>
          <w:color w:val="333333"/>
          <w:w w:val="110"/>
        </w:rPr>
        <w:t xml:space="preserve">To access a Neo4j server, you can inject an auto-configured </w:t>
      </w:r>
      <w:proofErr w:type="gramStart"/>
      <w:r>
        <w:rPr>
          <w:rFonts w:ascii="MS Gothic"/>
          <w:color w:val="B02045"/>
          <w:w w:val="110"/>
        </w:rPr>
        <w:t>org.neo4j.ogm.session.Session</w:t>
      </w:r>
      <w:proofErr w:type="gramEnd"/>
      <w:r>
        <w:rPr>
          <w:color w:val="333333"/>
          <w:w w:val="110"/>
        </w:rPr>
        <w:t>. By</w:t>
      </w:r>
    </w:p>
    <w:p w14:paraId="47C3F2C0" w14:textId="77777777" w:rsidR="00A720EB" w:rsidRDefault="00A720EB">
      <w:pPr>
        <w:jc w:val="both"/>
        <w:sectPr w:rsidR="00A720EB">
          <w:pgSz w:w="11910" w:h="16840"/>
          <w:pgMar w:top="700" w:right="840" w:bottom="520" w:left="840" w:header="0" w:footer="323" w:gutter="0"/>
          <w:cols w:space="720"/>
        </w:sectPr>
      </w:pPr>
    </w:p>
    <w:p w14:paraId="434486D1" w14:textId="77777777" w:rsidR="00A720EB" w:rsidRDefault="0030286B">
      <w:pPr>
        <w:pStyle w:val="a3"/>
        <w:spacing w:before="96" w:line="280" w:lineRule="auto"/>
        <w:ind w:left="124" w:right="112"/>
      </w:pPr>
      <w:r>
        <w:rPr>
          <w:color w:val="333333"/>
          <w:w w:val="110"/>
        </w:rPr>
        <w:lastRenderedPageBreak/>
        <w:t xml:space="preserve">default, the instance tries to connect to a Neo4j server at </w:t>
      </w:r>
      <w:r>
        <w:rPr>
          <w:rFonts w:ascii="MS Gothic"/>
          <w:color w:val="B02045"/>
          <w:w w:val="110"/>
        </w:rPr>
        <w:t>localhost:7687</w:t>
      </w:r>
      <w:r>
        <w:rPr>
          <w:rFonts w:ascii="MS Gothic"/>
          <w:color w:val="B02045"/>
          <w:spacing w:val="-67"/>
          <w:w w:val="110"/>
        </w:rPr>
        <w:t xml:space="preserve"> </w:t>
      </w:r>
      <w:r>
        <w:rPr>
          <w:color w:val="333333"/>
          <w:w w:val="110"/>
        </w:rPr>
        <w:t xml:space="preserve">using the Bolt protocol. The following example shows how to inject a Neo4j </w:t>
      </w:r>
      <w:r>
        <w:rPr>
          <w:rFonts w:ascii="MS Gothic"/>
          <w:color w:val="B02045"/>
          <w:w w:val="110"/>
        </w:rPr>
        <w:t>Session</w:t>
      </w:r>
      <w:r>
        <w:rPr>
          <w:color w:val="333333"/>
          <w:w w:val="110"/>
        </w:rPr>
        <w:t>:</w:t>
      </w:r>
    </w:p>
    <w:p w14:paraId="36F4DC50" w14:textId="77777777" w:rsidR="00A720EB" w:rsidRDefault="00E10349">
      <w:pPr>
        <w:pStyle w:val="a3"/>
        <w:spacing w:before="1"/>
        <w:rPr>
          <w:sz w:val="14"/>
        </w:rPr>
      </w:pPr>
      <w:r>
        <w:pict w14:anchorId="2AEF351E">
          <v:group id="_x0000_s4071" style="position:absolute;margin-left:47.85pt;margin-top:10.25pt;width:499.55pt;height:214.4pt;z-index:-15460864;mso-wrap-distance-left:0;mso-wrap-distance-right:0;mso-position-horizontal-relative:page" coordorigin="957,205" coordsize="9991,4288">
            <v:shape id="_x0000_s4074" style="position:absolute;left:964;top:212;width:9976;height:4273" coordorigin="965,213" coordsize="9976,4273" path="m10861,213r-9816,l1014,219r-26,17l971,262r-6,31l965,4405r6,31l988,4462r26,17l1045,4485r9816,l10892,4479r25,-17l10935,4436r6,-31l10941,293r-6,-31l10917,236r-25,-17l10861,213xe" fillcolor="#f5f5f5" stroked="f">
              <v:path arrowok="t"/>
            </v:shape>
            <v:shape id="_x0000_s4073" style="position:absolute;left:964;top:212;width:9976;height:4273" coordorigin="965,213" coordsize="9976,4273" path="m1045,213r9816,l10892,219r25,17l10935,262r6,31l10941,4405r-6,31l10917,4462r-25,17l10861,4485r-9816,l1014,4479r-26,-17l971,4436r-6,-31l965,293r6,-31l988,236r26,-17l1045,213xe" filled="f" strokecolor="#ccc">
              <v:path arrowok="t"/>
            </v:shape>
            <v:shape id="_x0000_s4072" type="#_x0000_t202" style="position:absolute;left:984;top:228;width:9938;height:4242" filled="f" stroked="f">
              <v:textbox inset="0,0,0,0">
                <w:txbxContent>
                  <w:p w14:paraId="7AA0D06E" w14:textId="77777777" w:rsidR="00711A16" w:rsidRDefault="00711A16">
                    <w:pPr>
                      <w:spacing w:before="221"/>
                      <w:ind w:left="200"/>
                      <w:rPr>
                        <w:rFonts w:ascii="MS Gothic"/>
                      </w:rPr>
                    </w:pPr>
                    <w:r>
                      <w:rPr>
                        <w:rFonts w:ascii="MS Gothic"/>
                        <w:color w:val="333333"/>
                      </w:rPr>
                      <w:t>@Component</w:t>
                    </w:r>
                  </w:p>
                  <w:p w14:paraId="0668F65D" w14:textId="77777777" w:rsidR="00711A16" w:rsidRDefault="00711A16">
                    <w:pPr>
                      <w:spacing w:before="13"/>
                      <w:ind w:left="200"/>
                      <w:rPr>
                        <w:rFonts w:ascii="MS Gothic"/>
                      </w:rPr>
                    </w:pPr>
                    <w:r>
                      <w:rPr>
                        <w:rFonts w:ascii="MS Gothic"/>
                        <w:color w:val="333333"/>
                      </w:rPr>
                      <w:t>public class MyBean {</w:t>
                    </w:r>
                  </w:p>
                  <w:p w14:paraId="03BFFE91" w14:textId="77777777" w:rsidR="00711A16" w:rsidRDefault="00711A16">
                    <w:pPr>
                      <w:spacing w:line="590" w:lineRule="atLeast"/>
                      <w:ind w:left="640" w:right="5978"/>
                      <w:rPr>
                        <w:rFonts w:ascii="MS Gothic"/>
                      </w:rPr>
                    </w:pPr>
                    <w:r>
                      <w:rPr>
                        <w:rFonts w:ascii="MS Gothic"/>
                        <w:color w:val="333333"/>
                      </w:rPr>
                      <w:t>private final Session session; @Autowired</w:t>
                    </w:r>
                  </w:p>
                  <w:p w14:paraId="7795BDAA" w14:textId="77777777" w:rsidR="00711A16" w:rsidRDefault="00711A16">
                    <w:pPr>
                      <w:spacing w:before="12" w:line="252" w:lineRule="auto"/>
                      <w:ind w:left="1080" w:right="575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Session session) { this.session = session;</w:t>
                    </w:r>
                  </w:p>
                  <w:p w14:paraId="469A1D6A" w14:textId="77777777" w:rsidR="00711A16" w:rsidRDefault="00711A16">
                    <w:pPr>
                      <w:spacing w:line="280" w:lineRule="exact"/>
                      <w:ind w:left="640"/>
                      <w:rPr>
                        <w:rFonts w:ascii="MS Gothic"/>
                      </w:rPr>
                    </w:pPr>
                    <w:r>
                      <w:rPr>
                        <w:rFonts w:ascii="MS Gothic"/>
                        <w:color w:val="333333"/>
                      </w:rPr>
                      <w:t>}</w:t>
                    </w:r>
                  </w:p>
                  <w:p w14:paraId="216752B0" w14:textId="77777777" w:rsidR="00711A16" w:rsidRDefault="00711A16">
                    <w:pPr>
                      <w:rPr>
                        <w:rFonts w:ascii="MS Gothic"/>
                        <w:sz w:val="24"/>
                      </w:rPr>
                    </w:pPr>
                  </w:p>
                  <w:p w14:paraId="13DBE1FD" w14:textId="77777777" w:rsidR="00711A16" w:rsidRDefault="00711A16">
                    <w:pPr>
                      <w:ind w:left="640"/>
                      <w:rPr>
                        <w:rFonts w:ascii="MS Gothic"/>
                      </w:rPr>
                    </w:pPr>
                    <w:r>
                      <w:rPr>
                        <w:rFonts w:ascii="MS Gothic"/>
                        <w:color w:val="333333"/>
                      </w:rPr>
                      <w:t>// ...</w:t>
                    </w:r>
                  </w:p>
                  <w:p w14:paraId="7579554A" w14:textId="77777777" w:rsidR="00711A16" w:rsidRDefault="00711A16">
                    <w:pPr>
                      <w:rPr>
                        <w:rFonts w:ascii="MS Gothic"/>
                        <w:sz w:val="24"/>
                      </w:rPr>
                    </w:pPr>
                  </w:p>
                  <w:p w14:paraId="4AC9E26E" w14:textId="77777777" w:rsidR="00711A16" w:rsidRDefault="00711A16">
                    <w:pPr>
                      <w:ind w:left="200"/>
                      <w:rPr>
                        <w:rFonts w:ascii="MS Gothic"/>
                      </w:rPr>
                    </w:pPr>
                    <w:r>
                      <w:rPr>
                        <w:rFonts w:ascii="MS Gothic"/>
                        <w:color w:val="333333"/>
                      </w:rPr>
                      <w:t>}</w:t>
                    </w:r>
                  </w:p>
                </w:txbxContent>
              </v:textbox>
            </v:shape>
            <w10:wrap type="topAndBottom" anchorx="page"/>
          </v:group>
        </w:pict>
      </w:r>
    </w:p>
    <w:p w14:paraId="6AB4C17A" w14:textId="77777777" w:rsidR="00A720EB" w:rsidRDefault="00A720EB">
      <w:pPr>
        <w:pStyle w:val="a3"/>
        <w:spacing w:before="11"/>
        <w:rPr>
          <w:sz w:val="9"/>
        </w:rPr>
      </w:pPr>
    </w:p>
    <w:p w14:paraId="336F4C0C" w14:textId="77777777" w:rsidR="00A720EB" w:rsidRDefault="0030286B">
      <w:pPr>
        <w:pStyle w:val="a3"/>
        <w:spacing w:before="115" w:line="290" w:lineRule="auto"/>
        <w:ind w:left="124"/>
      </w:pPr>
      <w:r>
        <w:rPr>
          <w:color w:val="333333"/>
          <w:w w:val="110"/>
        </w:rPr>
        <w:t xml:space="preserve">You can configure the uri and credentials to use by setting the </w:t>
      </w:r>
      <w:r>
        <w:rPr>
          <w:rFonts w:ascii="MS Gothic"/>
          <w:color w:val="B02045"/>
          <w:w w:val="110"/>
        </w:rPr>
        <w:t>spring.</w:t>
      </w:r>
      <w:proofErr w:type="gramStart"/>
      <w:r>
        <w:rPr>
          <w:rFonts w:ascii="MS Gothic"/>
          <w:color w:val="B02045"/>
          <w:w w:val="110"/>
        </w:rPr>
        <w:t>data.neo</w:t>
      </w:r>
      <w:proofErr w:type="gramEnd"/>
      <w:r>
        <w:rPr>
          <w:rFonts w:ascii="MS Gothic"/>
          <w:color w:val="B02045"/>
          <w:w w:val="110"/>
        </w:rPr>
        <w:t xml:space="preserve">4j.* </w:t>
      </w:r>
      <w:r>
        <w:rPr>
          <w:color w:val="333333"/>
          <w:w w:val="110"/>
        </w:rPr>
        <w:t>properties, as shown in the following example:</w:t>
      </w:r>
    </w:p>
    <w:p w14:paraId="4FC54352" w14:textId="77777777" w:rsidR="00A720EB" w:rsidRDefault="00E10349">
      <w:pPr>
        <w:pStyle w:val="a3"/>
        <w:spacing w:before="8"/>
        <w:rPr>
          <w:sz w:val="14"/>
        </w:rPr>
      </w:pPr>
      <w:r>
        <w:pict w14:anchorId="35D59910">
          <v:group id="_x0000_s4067" style="position:absolute;margin-left:47.85pt;margin-top:10.6pt;width:499.55pt;height:67pt;z-index:-15460352;mso-wrap-distance-left:0;mso-wrap-distance-right:0;mso-position-horizontal-relative:page" coordorigin="957,212" coordsize="9991,1340">
            <v:shape id="_x0000_s4070" style="position:absolute;left:964;top:219;width:9976;height:1325" coordorigin="965,219" coordsize="9976,1325" path="m10861,219r-9816,l1014,226r-26,17l971,268r-6,31l965,1464r6,31l988,1520r26,17l1045,1544r9816,l10892,1537r25,-17l10935,1495r6,-31l10941,299r-6,-31l10917,243r-25,-17l10861,219xe" fillcolor="#f5f5f5" stroked="f">
              <v:path arrowok="t"/>
            </v:shape>
            <v:shape id="_x0000_s4069" style="position:absolute;left:964;top:219;width:9976;height:1325" coordorigin="965,219" coordsize="9976,1325" path="m1045,219r9816,l10892,226r25,17l10935,268r6,31l10941,1464r-6,31l10917,1520r-25,17l10861,1544r-9816,l1014,1537r-26,-17l971,1495r-6,-31l965,299r6,-31l988,243r26,-17l1045,219xe" filled="f" strokecolor="#ccc">
              <v:path arrowok="t"/>
            </v:shape>
            <v:shape id="_x0000_s4068" type="#_x0000_t202" style="position:absolute;left:984;top:234;width:9938;height:1294" filled="f" stroked="f">
              <v:textbox inset="0,0,0,0">
                <w:txbxContent>
                  <w:p w14:paraId="3382C97D" w14:textId="77777777" w:rsidR="00711A16" w:rsidRDefault="00711A16">
                    <w:pPr>
                      <w:spacing w:before="221" w:line="252" w:lineRule="auto"/>
                      <w:ind w:left="200" w:right="4988"/>
                      <w:rPr>
                        <w:rFonts w:ascii="MS Gothic"/>
                      </w:rPr>
                    </w:pPr>
                    <w:r>
                      <w:rPr>
                        <w:rFonts w:ascii="MS Gothic"/>
                        <w:color w:val="333333"/>
                      </w:rPr>
                      <w:t>spring.data.neo4j.uri=bolt://my-server:7687 spring.</w:t>
                    </w:r>
                    <w:proofErr w:type="gramStart"/>
                    <w:r>
                      <w:rPr>
                        <w:rFonts w:ascii="MS Gothic"/>
                        <w:color w:val="333333"/>
                      </w:rPr>
                      <w:t>data.neo4j.username</w:t>
                    </w:r>
                    <w:proofErr w:type="gramEnd"/>
                    <w:r>
                      <w:rPr>
                        <w:rFonts w:ascii="MS Gothic"/>
                        <w:color w:val="333333"/>
                      </w:rPr>
                      <w:t>=neo4j spring.data.neo4j.password=secret</w:t>
                    </w:r>
                  </w:p>
                </w:txbxContent>
              </v:textbox>
            </v:shape>
            <w10:wrap type="topAndBottom" anchorx="page"/>
          </v:group>
        </w:pict>
      </w:r>
    </w:p>
    <w:p w14:paraId="5DB48E42" w14:textId="77777777" w:rsidR="00A720EB" w:rsidRDefault="00A720EB">
      <w:pPr>
        <w:pStyle w:val="a3"/>
        <w:rPr>
          <w:sz w:val="10"/>
        </w:rPr>
      </w:pPr>
    </w:p>
    <w:p w14:paraId="72C26246" w14:textId="77777777" w:rsidR="00A720EB" w:rsidRDefault="0030286B">
      <w:pPr>
        <w:pStyle w:val="a3"/>
        <w:spacing w:before="125"/>
        <w:ind w:left="124"/>
        <w:jc w:val="both"/>
      </w:pPr>
      <w:r>
        <w:rPr>
          <w:color w:val="333333"/>
          <w:w w:val="110"/>
        </w:rPr>
        <w:t>You can take full control over the session creation by adding either an</w:t>
      </w:r>
    </w:p>
    <w:p w14:paraId="264111A4" w14:textId="77777777" w:rsidR="00A720EB" w:rsidRDefault="0030286B">
      <w:pPr>
        <w:pStyle w:val="a3"/>
        <w:spacing w:before="59"/>
        <w:ind w:left="124"/>
        <w:jc w:val="both"/>
      </w:pPr>
      <w:proofErr w:type="gramStart"/>
      <w:r>
        <w:rPr>
          <w:rFonts w:ascii="MS Gothic"/>
          <w:color w:val="B02045"/>
          <w:w w:val="110"/>
        </w:rPr>
        <w:t>org.neo4j.ogm.config.Configuration</w:t>
      </w:r>
      <w:proofErr w:type="gramEnd"/>
      <w:r>
        <w:rPr>
          <w:rFonts w:ascii="MS Gothic"/>
          <w:color w:val="B02045"/>
          <w:spacing w:val="-92"/>
          <w:w w:val="110"/>
        </w:rPr>
        <w:t xml:space="preserve"> </w:t>
      </w:r>
      <w:r>
        <w:rPr>
          <w:color w:val="333333"/>
          <w:w w:val="110"/>
        </w:rPr>
        <w:t xml:space="preserve">bean or an </w:t>
      </w:r>
      <w:r>
        <w:rPr>
          <w:rFonts w:ascii="MS Gothic"/>
          <w:color w:val="B02045"/>
          <w:w w:val="110"/>
        </w:rPr>
        <w:t>org.neo4j.ogm.session.SessionFactory</w:t>
      </w:r>
      <w:r>
        <w:rPr>
          <w:rFonts w:ascii="MS Gothic"/>
          <w:color w:val="B02045"/>
          <w:spacing w:val="-91"/>
          <w:w w:val="110"/>
        </w:rPr>
        <w:t xml:space="preserve"> </w:t>
      </w:r>
      <w:r>
        <w:rPr>
          <w:color w:val="333333"/>
          <w:w w:val="110"/>
        </w:rPr>
        <w:t>bean.</w:t>
      </w:r>
    </w:p>
    <w:p w14:paraId="294E7DF2" w14:textId="77777777" w:rsidR="00A720EB" w:rsidRDefault="00A720EB">
      <w:pPr>
        <w:pStyle w:val="a3"/>
        <w:spacing w:before="5"/>
        <w:rPr>
          <w:sz w:val="30"/>
        </w:rPr>
      </w:pPr>
    </w:p>
    <w:p w14:paraId="43427DB0" w14:textId="77777777" w:rsidR="00A720EB" w:rsidRDefault="0030286B">
      <w:pPr>
        <w:pStyle w:val="4"/>
        <w:spacing w:before="1"/>
      </w:pPr>
      <w:bookmarkStart w:id="354" w:name="Using_the_Embedded_Mode"/>
      <w:bookmarkEnd w:id="354"/>
      <w:r>
        <w:rPr>
          <w:color w:val="333333"/>
          <w:w w:val="110"/>
        </w:rPr>
        <w:t>Using the Embedded Mode</w:t>
      </w:r>
    </w:p>
    <w:p w14:paraId="68DC9B6E" w14:textId="77777777" w:rsidR="00A720EB" w:rsidRDefault="0030286B">
      <w:pPr>
        <w:pStyle w:val="a3"/>
        <w:spacing w:before="243" w:line="300" w:lineRule="auto"/>
        <w:ind w:left="124" w:right="131"/>
        <w:jc w:val="both"/>
      </w:pPr>
      <w:r>
        <w:rPr>
          <w:color w:val="333333"/>
          <w:w w:val="110"/>
        </w:rPr>
        <w:t xml:space="preserve">If you add </w:t>
      </w:r>
      <w:proofErr w:type="gramStart"/>
      <w:r>
        <w:rPr>
          <w:rFonts w:ascii="MS Gothic"/>
          <w:color w:val="B02045"/>
          <w:w w:val="110"/>
        </w:rPr>
        <w:t>org.neo</w:t>
      </w:r>
      <w:proofErr w:type="gramEnd"/>
      <w:r>
        <w:rPr>
          <w:rFonts w:ascii="MS Gothic"/>
          <w:color w:val="B02045"/>
          <w:w w:val="110"/>
        </w:rPr>
        <w:t xml:space="preserve">4j:neo4j-ogm-embedded-driver </w:t>
      </w:r>
      <w:r>
        <w:rPr>
          <w:color w:val="333333"/>
          <w:w w:val="110"/>
        </w:rPr>
        <w:t>to the dependencies of your application, Spring Boot automatically configures an in-process embedded instance of Neo4j that does not persist any data when your application shuts down.</w:t>
      </w:r>
    </w:p>
    <w:p w14:paraId="7243CAA3" w14:textId="77777777" w:rsidR="00A720EB" w:rsidRDefault="00A720EB">
      <w:pPr>
        <w:pStyle w:val="a3"/>
        <w:spacing w:before="1"/>
        <w:rPr>
          <w:sz w:val="17"/>
        </w:rPr>
      </w:pPr>
    </w:p>
    <w:p w14:paraId="2DC1BCD6" w14:textId="77777777" w:rsidR="00A720EB" w:rsidRDefault="00E10349">
      <w:pPr>
        <w:pStyle w:val="a3"/>
        <w:spacing w:before="125" w:line="295" w:lineRule="auto"/>
        <w:ind w:left="1564" w:right="362"/>
        <w:jc w:val="both"/>
      </w:pPr>
      <w:r>
        <w:pict w14:anchorId="5E5DDA7F">
          <v:line id="_x0000_s4066" style="position:absolute;left:0;text-align:left;z-index:15997440;mso-position-horizontal-relative:page" from="108.25pt,.25pt" to="108.25pt,55.6pt" strokecolor="#ededed" strokeweight=".5pt">
            <w10:wrap anchorx="page"/>
          </v:line>
        </w:pict>
      </w:r>
      <w:r w:rsidR="0030286B">
        <w:rPr>
          <w:noProof/>
        </w:rPr>
        <w:drawing>
          <wp:anchor distT="0" distB="0" distL="0" distR="0" simplePos="0" relativeHeight="15997952" behindDoc="0" locked="0" layoutInCell="1" allowOverlap="1" wp14:anchorId="51941240" wp14:editId="388D1278">
            <wp:simplePos x="0" y="0"/>
            <wp:positionH relativeFrom="page">
              <wp:posOffset>844422</wp:posOffset>
            </wp:positionH>
            <wp:positionV relativeFrom="paragraph">
              <wp:posOffset>205524</wp:posOffset>
            </wp:positionV>
            <wp:extent cx="298450" cy="298450"/>
            <wp:effectExtent l="0" t="0" r="0" b="0"/>
            <wp:wrapNone/>
            <wp:docPr id="3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As the embedded Neo4j OGM driver does not provide the Neo4j kernel itself, </w:t>
      </w:r>
      <w:proofErr w:type="gramStart"/>
      <w:r w:rsidR="0030286B">
        <w:rPr>
          <w:color w:val="333333"/>
          <w:w w:val="110"/>
        </w:rPr>
        <w:t>you  have</w:t>
      </w:r>
      <w:proofErr w:type="gramEnd"/>
      <w:r w:rsidR="0030286B">
        <w:rPr>
          <w:color w:val="333333"/>
          <w:w w:val="110"/>
        </w:rPr>
        <w:t xml:space="preserve"> to declare </w:t>
      </w:r>
      <w:r w:rsidR="0030286B">
        <w:rPr>
          <w:rFonts w:ascii="MS Gothic"/>
          <w:color w:val="B02045"/>
          <w:w w:val="110"/>
        </w:rPr>
        <w:t xml:space="preserve">org.neo4j:neo4j </w:t>
      </w:r>
      <w:r w:rsidR="0030286B">
        <w:rPr>
          <w:color w:val="333333"/>
          <w:w w:val="110"/>
        </w:rPr>
        <w:t xml:space="preserve">as dependency yourself. Refer to </w:t>
      </w:r>
      <w:hyperlink r:id="rId240" w:anchor="reference%3Agetting-started">
        <w:r w:rsidR="0030286B">
          <w:rPr>
            <w:color w:val="418BCA"/>
            <w:w w:val="110"/>
          </w:rPr>
          <w:t>the Neo4j OGM</w:t>
        </w:r>
      </w:hyperlink>
      <w:r w:rsidR="0030286B">
        <w:rPr>
          <w:color w:val="418BCA"/>
          <w:w w:val="110"/>
        </w:rPr>
        <w:t xml:space="preserve"> </w:t>
      </w:r>
      <w:hyperlink r:id="rId241" w:anchor="reference%3Agetting-started">
        <w:r w:rsidR="0030286B">
          <w:rPr>
            <w:color w:val="418BCA"/>
            <w:w w:val="110"/>
          </w:rPr>
          <w:t xml:space="preserve">documentation </w:t>
        </w:r>
      </w:hyperlink>
      <w:r w:rsidR="0030286B">
        <w:rPr>
          <w:color w:val="333333"/>
          <w:w w:val="110"/>
        </w:rPr>
        <w:t>for a list of compatible versions.</w:t>
      </w:r>
    </w:p>
    <w:p w14:paraId="7C762DB0" w14:textId="77777777" w:rsidR="00A720EB" w:rsidRDefault="00A720EB">
      <w:pPr>
        <w:pStyle w:val="a3"/>
        <w:spacing w:before="6"/>
        <w:rPr>
          <w:sz w:val="17"/>
        </w:rPr>
      </w:pPr>
    </w:p>
    <w:p w14:paraId="5CC3B1DF" w14:textId="77777777" w:rsidR="00A720EB" w:rsidRDefault="0030286B">
      <w:pPr>
        <w:pStyle w:val="a3"/>
        <w:spacing w:before="125" w:line="302" w:lineRule="auto"/>
        <w:ind w:left="124" w:right="124"/>
        <w:jc w:val="both"/>
      </w:pPr>
      <w:r>
        <w:rPr>
          <w:color w:val="333333"/>
          <w:w w:val="110"/>
        </w:rPr>
        <w:t xml:space="preserve">The embedded driver takes precedence over the other drivers when there are multiple drivers </w:t>
      </w:r>
      <w:proofErr w:type="gramStart"/>
      <w:r>
        <w:rPr>
          <w:color w:val="333333"/>
          <w:w w:val="110"/>
        </w:rPr>
        <w:t>on  the</w:t>
      </w:r>
      <w:proofErr w:type="gramEnd"/>
      <w:r>
        <w:rPr>
          <w:color w:val="333333"/>
          <w:w w:val="110"/>
        </w:rPr>
        <w:t xml:space="preserve">  classpath.  </w:t>
      </w:r>
      <w:r>
        <w:rPr>
          <w:color w:val="333333"/>
          <w:spacing w:val="-6"/>
          <w:w w:val="110"/>
        </w:rPr>
        <w:t xml:space="preserve">You </w:t>
      </w:r>
      <w:proofErr w:type="gramStart"/>
      <w:r>
        <w:rPr>
          <w:color w:val="333333"/>
          <w:w w:val="110"/>
        </w:rPr>
        <w:t>can  explicitly</w:t>
      </w:r>
      <w:proofErr w:type="gramEnd"/>
      <w:r>
        <w:rPr>
          <w:color w:val="333333"/>
          <w:w w:val="110"/>
        </w:rPr>
        <w:t xml:space="preserve">  disable  the  embedded  mode  </w:t>
      </w:r>
      <w:r>
        <w:rPr>
          <w:color w:val="333333"/>
          <w:spacing w:val="-3"/>
          <w:w w:val="110"/>
        </w:rPr>
        <w:t xml:space="preserve">by </w:t>
      </w:r>
      <w:r>
        <w:rPr>
          <w:color w:val="333333"/>
          <w:w w:val="110"/>
        </w:rPr>
        <w:t xml:space="preserve">setting </w:t>
      </w:r>
      <w:r>
        <w:rPr>
          <w:rFonts w:ascii="MS Gothic"/>
          <w:color w:val="B02045"/>
          <w:w w:val="110"/>
        </w:rPr>
        <w:t>spring.data.neo4j.embedded.enabled=false</w:t>
      </w:r>
      <w:r>
        <w:rPr>
          <w:color w:val="333333"/>
          <w:w w:val="110"/>
        </w:rPr>
        <w:t>.</w:t>
      </w:r>
    </w:p>
    <w:p w14:paraId="5A8B9871" w14:textId="77777777" w:rsidR="00A720EB" w:rsidRDefault="00E10349">
      <w:pPr>
        <w:pStyle w:val="a3"/>
        <w:spacing w:before="228" w:line="307" w:lineRule="auto"/>
        <w:ind w:left="124" w:right="130"/>
        <w:jc w:val="both"/>
      </w:pPr>
      <w:hyperlink w:anchor="_bookmark325" w:history="1">
        <w:r w:rsidR="0030286B">
          <w:rPr>
            <w:color w:val="418BCA"/>
            <w:w w:val="110"/>
          </w:rPr>
          <w:t>Data Neo4j Tests</w:t>
        </w:r>
      </w:hyperlink>
      <w:r w:rsidR="0030286B">
        <w:rPr>
          <w:color w:val="418BCA"/>
          <w:w w:val="110"/>
        </w:rPr>
        <w:t xml:space="preserve"> </w:t>
      </w:r>
      <w:r w:rsidR="0030286B">
        <w:rPr>
          <w:color w:val="333333"/>
          <w:w w:val="110"/>
        </w:rPr>
        <w:t>automatically make use of an embedded Neo4j instance if the embedded driver   and Neo4j kernel are on the classpath as described</w:t>
      </w:r>
      <w:r w:rsidR="0030286B">
        <w:rPr>
          <w:color w:val="333333"/>
          <w:spacing w:val="28"/>
          <w:w w:val="110"/>
        </w:rPr>
        <w:t xml:space="preserve"> </w:t>
      </w:r>
      <w:r w:rsidR="0030286B">
        <w:rPr>
          <w:color w:val="333333"/>
          <w:w w:val="110"/>
        </w:rPr>
        <w:t>above.</w:t>
      </w:r>
    </w:p>
    <w:p w14:paraId="38641E7D" w14:textId="77777777" w:rsidR="00A720EB" w:rsidRDefault="00A720EB">
      <w:pPr>
        <w:pStyle w:val="a3"/>
        <w:spacing w:before="8"/>
        <w:rPr>
          <w:sz w:val="16"/>
        </w:rPr>
      </w:pPr>
    </w:p>
    <w:p w14:paraId="73F2696A" w14:textId="77777777" w:rsidR="00A720EB" w:rsidRDefault="00E10349">
      <w:pPr>
        <w:pStyle w:val="a3"/>
        <w:tabs>
          <w:tab w:val="left" w:pos="3388"/>
          <w:tab w:val="left" w:pos="4643"/>
          <w:tab w:val="left" w:pos="5777"/>
          <w:tab w:val="left" w:pos="7181"/>
          <w:tab w:val="left" w:pos="9525"/>
        </w:tabs>
        <w:spacing w:before="125" w:line="302" w:lineRule="auto"/>
        <w:ind w:left="1564" w:right="367"/>
        <w:jc w:val="both"/>
      </w:pPr>
      <w:r>
        <w:pict w14:anchorId="170A4AAE">
          <v:line id="_x0000_s4065" style="position:absolute;left:0;text-align:left;z-index:15998464;mso-position-horizontal-relative:page" from="108.25pt,.25pt" to="108.25pt,55.6pt" strokecolor="#ededed" strokeweight=".5pt">
            <w10:wrap anchorx="page"/>
          </v:line>
        </w:pict>
      </w:r>
      <w:r w:rsidR="0030286B">
        <w:rPr>
          <w:noProof/>
        </w:rPr>
        <w:drawing>
          <wp:anchor distT="0" distB="0" distL="0" distR="0" simplePos="0" relativeHeight="15998976" behindDoc="0" locked="0" layoutInCell="1" allowOverlap="1" wp14:anchorId="00DFBAD3" wp14:editId="220EDA51">
            <wp:simplePos x="0" y="0"/>
            <wp:positionH relativeFrom="page">
              <wp:posOffset>844422</wp:posOffset>
            </wp:positionH>
            <wp:positionV relativeFrom="paragraph">
              <wp:posOffset>205524</wp:posOffset>
            </wp:positionV>
            <wp:extent cx="298450" cy="298450"/>
            <wp:effectExtent l="0" t="0" r="0" b="0"/>
            <wp:wrapNone/>
            <wp:docPr id="3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6"/>
          <w:w w:val="110"/>
        </w:rPr>
        <w:t xml:space="preserve">You </w:t>
      </w:r>
      <w:r w:rsidR="0030286B">
        <w:rPr>
          <w:color w:val="333333"/>
          <w:w w:val="110"/>
        </w:rPr>
        <w:t xml:space="preserve">can enable persistence for the embedded mode </w:t>
      </w:r>
      <w:r w:rsidR="0030286B">
        <w:rPr>
          <w:color w:val="333333"/>
          <w:spacing w:val="-3"/>
          <w:w w:val="110"/>
        </w:rPr>
        <w:t xml:space="preserve">by </w:t>
      </w:r>
      <w:r w:rsidR="0030286B">
        <w:rPr>
          <w:color w:val="333333"/>
          <w:w w:val="110"/>
        </w:rPr>
        <w:t>providing a path to a database</w:t>
      </w:r>
      <w:r w:rsidR="0030286B">
        <w:rPr>
          <w:color w:val="333333"/>
          <w:w w:val="110"/>
        </w:rPr>
        <w:tab/>
        <w:t>file</w:t>
      </w:r>
      <w:r w:rsidR="0030286B">
        <w:rPr>
          <w:color w:val="333333"/>
          <w:w w:val="110"/>
        </w:rPr>
        <w:tab/>
        <w:t>in</w:t>
      </w:r>
      <w:r w:rsidR="0030286B">
        <w:rPr>
          <w:color w:val="333333"/>
          <w:w w:val="110"/>
        </w:rPr>
        <w:tab/>
        <w:t>your</w:t>
      </w:r>
      <w:r w:rsidR="0030286B">
        <w:rPr>
          <w:color w:val="333333"/>
          <w:w w:val="110"/>
        </w:rPr>
        <w:tab/>
        <w:t>configuration,</w:t>
      </w:r>
      <w:r w:rsidR="0030286B">
        <w:rPr>
          <w:color w:val="333333"/>
          <w:w w:val="110"/>
        </w:rPr>
        <w:tab/>
      </w:r>
      <w:r w:rsidR="0030286B">
        <w:rPr>
          <w:color w:val="333333"/>
          <w:spacing w:val="-5"/>
          <w:w w:val="110"/>
        </w:rPr>
        <w:t xml:space="preserve">e.g. </w:t>
      </w:r>
      <w:r w:rsidR="0030286B">
        <w:rPr>
          <w:rFonts w:ascii="MS Gothic"/>
          <w:color w:val="B02045"/>
          <w:w w:val="110"/>
        </w:rPr>
        <w:t>spring.data.neo4j.uri=file://var/tmp/graph.db</w:t>
      </w:r>
      <w:r w:rsidR="0030286B">
        <w:rPr>
          <w:color w:val="333333"/>
          <w:w w:val="110"/>
        </w:rPr>
        <w:t>.</w:t>
      </w:r>
    </w:p>
    <w:p w14:paraId="35C2F6B4" w14:textId="77777777" w:rsidR="00A720EB" w:rsidRDefault="00A720EB">
      <w:pPr>
        <w:spacing w:line="302" w:lineRule="auto"/>
        <w:jc w:val="both"/>
        <w:sectPr w:rsidR="00A720EB">
          <w:pgSz w:w="11910" w:h="16840"/>
          <w:pgMar w:top="620" w:right="840" w:bottom="520" w:left="840" w:header="0" w:footer="323" w:gutter="0"/>
          <w:cols w:space="720"/>
        </w:sectPr>
      </w:pPr>
    </w:p>
    <w:p w14:paraId="137F2026" w14:textId="77777777" w:rsidR="00A720EB" w:rsidRDefault="0030286B">
      <w:pPr>
        <w:pStyle w:val="4"/>
        <w:spacing w:before="86"/>
      </w:pPr>
      <w:bookmarkStart w:id="355" w:name="Using_Native_Types"/>
      <w:bookmarkEnd w:id="355"/>
      <w:r>
        <w:rPr>
          <w:color w:val="333333"/>
          <w:w w:val="105"/>
        </w:rPr>
        <w:lastRenderedPageBreak/>
        <w:t>Using Native Types</w:t>
      </w:r>
    </w:p>
    <w:p w14:paraId="0F011398" w14:textId="77777777" w:rsidR="00A720EB" w:rsidRDefault="0030286B">
      <w:pPr>
        <w:pStyle w:val="a3"/>
        <w:spacing w:before="243" w:line="288" w:lineRule="auto"/>
        <w:ind w:left="124" w:right="123"/>
        <w:jc w:val="both"/>
      </w:pPr>
      <w:r>
        <w:rPr>
          <w:color w:val="333333"/>
          <w:w w:val="110"/>
        </w:rPr>
        <w:t xml:space="preserve">Neo4j-OGM can map some types, like those in </w:t>
      </w:r>
      <w:proofErr w:type="gramStart"/>
      <w:r>
        <w:rPr>
          <w:rFonts w:ascii="MS Gothic"/>
          <w:color w:val="B02045"/>
          <w:w w:val="110"/>
        </w:rPr>
        <w:t>java.time</w:t>
      </w:r>
      <w:proofErr w:type="gramEnd"/>
      <w:r>
        <w:rPr>
          <w:rFonts w:ascii="MS Gothic"/>
          <w:color w:val="B02045"/>
          <w:w w:val="110"/>
        </w:rPr>
        <w:t>.*</w:t>
      </w:r>
      <w:r>
        <w:rPr>
          <w:color w:val="333333"/>
          <w:w w:val="110"/>
        </w:rPr>
        <w:t xml:space="preserve">, to </w:t>
      </w:r>
      <w:r>
        <w:rPr>
          <w:rFonts w:ascii="MS Gothic"/>
          <w:color w:val="B02045"/>
          <w:w w:val="110"/>
        </w:rPr>
        <w:t>String</w:t>
      </w:r>
      <w:r>
        <w:rPr>
          <w:color w:val="333333"/>
          <w:w w:val="110"/>
        </w:rPr>
        <w:t xml:space="preserve">-based properties or to one of the native types that Neo4j provides. </w:t>
      </w:r>
      <w:r>
        <w:rPr>
          <w:color w:val="333333"/>
          <w:spacing w:val="-4"/>
          <w:w w:val="110"/>
        </w:rPr>
        <w:t xml:space="preserve">For </w:t>
      </w:r>
      <w:r>
        <w:rPr>
          <w:color w:val="333333"/>
          <w:w w:val="110"/>
        </w:rPr>
        <w:t xml:space="preserve">backwards compatibility reasons the default for Neo4j- OGM is to use a </w:t>
      </w:r>
      <w:r>
        <w:rPr>
          <w:rFonts w:ascii="MS Gothic"/>
          <w:color w:val="B02045"/>
          <w:w w:val="110"/>
        </w:rPr>
        <w:t>String</w:t>
      </w:r>
      <w:r>
        <w:rPr>
          <w:color w:val="333333"/>
          <w:w w:val="110"/>
        </w:rPr>
        <w:t xml:space="preserve">-based representation. </w:t>
      </w:r>
      <w:r>
        <w:rPr>
          <w:color w:val="333333"/>
          <w:spacing w:val="-4"/>
          <w:w w:val="110"/>
        </w:rPr>
        <w:t xml:space="preserve">To </w:t>
      </w:r>
      <w:r>
        <w:rPr>
          <w:color w:val="333333"/>
          <w:w w:val="110"/>
        </w:rPr>
        <w:t xml:space="preserve">use native types, add a dependency on either </w:t>
      </w:r>
      <w:proofErr w:type="gramStart"/>
      <w:r>
        <w:rPr>
          <w:rFonts w:ascii="MS Gothic"/>
          <w:color w:val="B02045"/>
          <w:w w:val="105"/>
        </w:rPr>
        <w:t>org.neo</w:t>
      </w:r>
      <w:proofErr w:type="gramEnd"/>
      <w:r>
        <w:rPr>
          <w:rFonts w:ascii="MS Gothic"/>
          <w:color w:val="B02045"/>
          <w:w w:val="105"/>
        </w:rPr>
        <w:t xml:space="preserve">4j:neo4j-ogm-bolt-native-types </w:t>
      </w:r>
      <w:r>
        <w:rPr>
          <w:color w:val="333333"/>
          <w:w w:val="105"/>
        </w:rPr>
        <w:t xml:space="preserve">or </w:t>
      </w:r>
      <w:r>
        <w:rPr>
          <w:rFonts w:ascii="MS Gothic"/>
          <w:color w:val="B02045"/>
          <w:w w:val="105"/>
        </w:rPr>
        <w:t>org.neo4j:neo4j-ogm-embedded-native-types</w:t>
      </w:r>
      <w:r>
        <w:rPr>
          <w:color w:val="333333"/>
          <w:w w:val="105"/>
        </w:rPr>
        <w:t xml:space="preserve">, </w:t>
      </w:r>
      <w:r>
        <w:rPr>
          <w:color w:val="333333"/>
          <w:spacing w:val="-6"/>
          <w:w w:val="105"/>
        </w:rPr>
        <w:t xml:space="preserve">and </w:t>
      </w:r>
      <w:r>
        <w:rPr>
          <w:color w:val="333333"/>
          <w:w w:val="110"/>
        </w:rPr>
        <w:t>configure</w:t>
      </w:r>
      <w:r>
        <w:rPr>
          <w:color w:val="333333"/>
          <w:spacing w:val="-13"/>
          <w:w w:val="110"/>
        </w:rPr>
        <w:t xml:space="preserve"> </w:t>
      </w:r>
      <w:r>
        <w:rPr>
          <w:color w:val="333333"/>
          <w:w w:val="110"/>
        </w:rPr>
        <w:t>the</w:t>
      </w:r>
      <w:r>
        <w:rPr>
          <w:color w:val="333333"/>
          <w:spacing w:val="-13"/>
          <w:w w:val="110"/>
        </w:rPr>
        <w:t xml:space="preserve"> </w:t>
      </w:r>
      <w:r>
        <w:rPr>
          <w:rFonts w:ascii="MS Gothic"/>
          <w:color w:val="B02045"/>
          <w:w w:val="110"/>
        </w:rPr>
        <w:t>spring.data.neo4j.use-native-types</w:t>
      </w:r>
      <w:r>
        <w:rPr>
          <w:rFonts w:ascii="MS Gothic"/>
          <w:color w:val="B02045"/>
          <w:spacing w:val="-78"/>
          <w:w w:val="110"/>
        </w:rPr>
        <w:t xml:space="preserve"> </w:t>
      </w:r>
      <w:r>
        <w:rPr>
          <w:color w:val="333333"/>
          <w:w w:val="110"/>
        </w:rPr>
        <w:t>property</w:t>
      </w:r>
      <w:r>
        <w:rPr>
          <w:color w:val="333333"/>
          <w:spacing w:val="-13"/>
          <w:w w:val="110"/>
        </w:rPr>
        <w:t xml:space="preserve"> </w:t>
      </w:r>
      <w:r>
        <w:rPr>
          <w:color w:val="333333"/>
          <w:w w:val="110"/>
        </w:rPr>
        <w:t>as</w:t>
      </w:r>
      <w:r>
        <w:rPr>
          <w:color w:val="333333"/>
          <w:spacing w:val="-13"/>
          <w:w w:val="110"/>
        </w:rPr>
        <w:t xml:space="preserve"> </w:t>
      </w:r>
      <w:r>
        <w:rPr>
          <w:color w:val="333333"/>
          <w:w w:val="110"/>
        </w:rPr>
        <w:t>shown</w:t>
      </w:r>
      <w:r>
        <w:rPr>
          <w:color w:val="333333"/>
          <w:spacing w:val="-13"/>
          <w:w w:val="110"/>
        </w:rPr>
        <w:t xml:space="preserve"> </w:t>
      </w:r>
      <w:r>
        <w:rPr>
          <w:color w:val="333333"/>
          <w:w w:val="110"/>
        </w:rPr>
        <w:t>in</w:t>
      </w:r>
      <w:r>
        <w:rPr>
          <w:color w:val="333333"/>
          <w:spacing w:val="-14"/>
          <w:w w:val="110"/>
        </w:rPr>
        <w:t xml:space="preserve"> </w:t>
      </w:r>
      <w:r>
        <w:rPr>
          <w:color w:val="333333"/>
          <w:w w:val="110"/>
        </w:rPr>
        <w:t>the</w:t>
      </w:r>
      <w:r>
        <w:rPr>
          <w:color w:val="333333"/>
          <w:spacing w:val="-12"/>
          <w:w w:val="110"/>
        </w:rPr>
        <w:t xml:space="preserve"> </w:t>
      </w:r>
      <w:r>
        <w:rPr>
          <w:color w:val="333333"/>
          <w:w w:val="110"/>
        </w:rPr>
        <w:t>following</w:t>
      </w:r>
      <w:r>
        <w:rPr>
          <w:color w:val="333333"/>
          <w:spacing w:val="-13"/>
          <w:w w:val="110"/>
        </w:rPr>
        <w:t xml:space="preserve"> </w:t>
      </w:r>
      <w:r>
        <w:rPr>
          <w:color w:val="333333"/>
          <w:w w:val="110"/>
        </w:rPr>
        <w:t>example:</w:t>
      </w:r>
    </w:p>
    <w:p w14:paraId="37597421" w14:textId="77777777" w:rsidR="00A720EB" w:rsidRDefault="00E10349">
      <w:pPr>
        <w:pStyle w:val="a3"/>
        <w:spacing w:before="3"/>
        <w:rPr>
          <w:sz w:val="13"/>
        </w:rPr>
      </w:pPr>
      <w:r>
        <w:pict w14:anchorId="2EDA089B">
          <v:group id="_x0000_s4061" style="position:absolute;margin-left:47.85pt;margin-top:9.75pt;width:499.55pt;height:37.5pt;z-index:-15457792;mso-wrap-distance-left:0;mso-wrap-distance-right:0;mso-position-horizontal-relative:page" coordorigin="957,195" coordsize="9991,750">
            <v:shape id="_x0000_s4064" style="position:absolute;left:964;top:202;width:9976;height:735" coordorigin="965,203" coordsize="9976,735" path="m10861,203r-9816,l1014,209r-26,17l971,251r-6,32l965,857r6,31l988,914r26,17l1045,937r9816,l10892,931r25,-17l10935,888r6,-31l10941,283r-6,-32l10917,226r-25,-17l10861,203xe" fillcolor="#f5f5f5" stroked="f">
              <v:path arrowok="t"/>
            </v:shape>
            <v:shape id="_x0000_s4063" style="position:absolute;left:964;top:202;width:9976;height:735" coordorigin="965,203" coordsize="9976,735" path="m1045,203r9816,l10892,209r25,17l10935,251r6,32l10941,857r-6,31l10917,914r-25,17l10861,937r-9816,l1014,931,988,914,971,888r-6,-31l965,283r6,-32l988,226r26,-17l1045,203xe" filled="f" strokecolor="#ccc">
              <v:path arrowok="t"/>
            </v:shape>
            <v:shape id="_x0000_s4062" type="#_x0000_t202" style="position:absolute;left:984;top:218;width:9938;height:704" filled="f" stroked="f">
              <v:textbox inset="0,0,0,0">
                <w:txbxContent>
                  <w:p w14:paraId="1ACE316D" w14:textId="77777777" w:rsidR="00711A16" w:rsidRDefault="00711A16">
                    <w:pPr>
                      <w:spacing w:before="221"/>
                      <w:ind w:left="200"/>
                      <w:rPr>
                        <w:rFonts w:ascii="MS Gothic"/>
                      </w:rPr>
                    </w:pPr>
                    <w:r>
                      <w:rPr>
                        <w:rFonts w:ascii="MS Gothic"/>
                        <w:color w:val="333333"/>
                      </w:rPr>
                      <w:t>spring.data.neo4j.use-native-types=true</w:t>
                    </w:r>
                  </w:p>
                </w:txbxContent>
              </v:textbox>
            </v:shape>
            <w10:wrap type="topAndBottom" anchorx="page"/>
          </v:group>
        </w:pict>
      </w:r>
    </w:p>
    <w:p w14:paraId="7DC8DB85" w14:textId="77777777" w:rsidR="00A720EB" w:rsidRDefault="00A720EB">
      <w:pPr>
        <w:pStyle w:val="a3"/>
        <w:spacing w:before="11"/>
        <w:rPr>
          <w:sz w:val="16"/>
        </w:rPr>
      </w:pPr>
    </w:p>
    <w:p w14:paraId="1D9A6CBD" w14:textId="77777777" w:rsidR="00A720EB" w:rsidRDefault="0030286B">
      <w:pPr>
        <w:pStyle w:val="4"/>
        <w:spacing w:before="104"/>
        <w:jc w:val="left"/>
      </w:pPr>
      <w:bookmarkStart w:id="356" w:name="Neo4jSession"/>
      <w:bookmarkEnd w:id="356"/>
      <w:r>
        <w:rPr>
          <w:color w:val="333333"/>
          <w:w w:val="105"/>
        </w:rPr>
        <w:t>Neo4jSession</w:t>
      </w:r>
    </w:p>
    <w:p w14:paraId="484A4608" w14:textId="77777777" w:rsidR="00A720EB" w:rsidRDefault="00A720EB">
      <w:pPr>
        <w:pStyle w:val="a3"/>
        <w:spacing w:before="11"/>
        <w:rPr>
          <w:rFonts w:ascii="Palatino Linotype"/>
          <w:b/>
          <w:sz w:val="18"/>
        </w:rPr>
      </w:pPr>
    </w:p>
    <w:p w14:paraId="646D83A9" w14:textId="77777777" w:rsidR="00A720EB" w:rsidRDefault="0030286B">
      <w:pPr>
        <w:pStyle w:val="a3"/>
        <w:spacing w:line="302" w:lineRule="auto"/>
        <w:ind w:left="124" w:right="132"/>
        <w:jc w:val="both"/>
      </w:pPr>
      <w:r>
        <w:rPr>
          <w:color w:val="333333"/>
          <w:spacing w:val="-3"/>
          <w:w w:val="110"/>
        </w:rPr>
        <w:t xml:space="preserve">By </w:t>
      </w:r>
      <w:r>
        <w:rPr>
          <w:color w:val="333333"/>
          <w:w w:val="110"/>
        </w:rPr>
        <w:t xml:space="preserve">default, if you are running a web application, the session is bound to the thread for the entire processing of the request (that is, it uses the "Open Session in View" pattern). If you do not want this behavior, add the following line to your </w:t>
      </w:r>
      <w:proofErr w:type="gramStart"/>
      <w:r>
        <w:rPr>
          <w:rFonts w:ascii="MS Gothic"/>
          <w:color w:val="B02045"/>
          <w:w w:val="110"/>
        </w:rPr>
        <w:t>application.properties</w:t>
      </w:r>
      <w:proofErr w:type="gramEnd"/>
      <w:r>
        <w:rPr>
          <w:rFonts w:ascii="MS Gothic"/>
          <w:color w:val="B02045"/>
          <w:spacing w:val="-58"/>
          <w:w w:val="110"/>
        </w:rPr>
        <w:t xml:space="preserve"> </w:t>
      </w:r>
      <w:r>
        <w:rPr>
          <w:color w:val="333333"/>
          <w:w w:val="110"/>
        </w:rPr>
        <w:t>file:</w:t>
      </w:r>
    </w:p>
    <w:p w14:paraId="5860D3AB" w14:textId="77777777" w:rsidR="00A720EB" w:rsidRDefault="00E10349">
      <w:pPr>
        <w:pStyle w:val="a3"/>
        <w:rPr>
          <w:sz w:val="12"/>
        </w:rPr>
      </w:pPr>
      <w:r>
        <w:pict w14:anchorId="7D88E39B">
          <v:group id="_x0000_s4057" style="position:absolute;margin-left:47.85pt;margin-top:9.05pt;width:499.55pt;height:37.5pt;z-index:-15457280;mso-wrap-distance-left:0;mso-wrap-distance-right:0;mso-position-horizontal-relative:page" coordorigin="957,181" coordsize="9991,750">
            <v:shape id="_x0000_s4060" style="position:absolute;left:964;top:188;width:9976;height:735" coordorigin="965,188" coordsize="9976,735" path="m10861,188r-9816,l1014,195r-26,17l971,237r-6,31l965,843r6,31l988,900r26,17l1045,923r9816,l10892,917r25,-17l10935,874r6,-31l10941,268r-6,-31l10917,212r-25,-17l10861,188xe" fillcolor="#f5f5f5" stroked="f">
              <v:path arrowok="t"/>
            </v:shape>
            <v:shape id="_x0000_s4059" style="position:absolute;left:964;top:188;width:9976;height:735" coordorigin="965,188" coordsize="9976,735" path="m1045,188r9816,l10892,195r25,17l10935,237r6,31l10941,843r-6,31l10917,900r-25,17l10861,923r-9816,l1014,917,988,900,971,874r-6,-31l965,268r6,-31l988,212r26,-17l1045,188xe" filled="f" strokecolor="#ccc">
              <v:path arrowok="t"/>
            </v:shape>
            <v:shape id="_x0000_s4058" type="#_x0000_t202" style="position:absolute;left:984;top:203;width:9938;height:704" filled="f" stroked="f">
              <v:textbox inset="0,0,0,0">
                <w:txbxContent>
                  <w:p w14:paraId="1CEBBB92" w14:textId="77777777" w:rsidR="00711A16" w:rsidRDefault="00711A16">
                    <w:pPr>
                      <w:spacing w:before="221"/>
                      <w:ind w:left="200"/>
                      <w:rPr>
                        <w:rFonts w:ascii="MS Gothic"/>
                      </w:rPr>
                    </w:pPr>
                    <w:r>
                      <w:rPr>
                        <w:rFonts w:ascii="MS Gothic"/>
                        <w:color w:val="333333"/>
                      </w:rPr>
                      <w:t>spring.</w:t>
                    </w:r>
                    <w:proofErr w:type="gramStart"/>
                    <w:r>
                      <w:rPr>
                        <w:rFonts w:ascii="MS Gothic"/>
                        <w:color w:val="333333"/>
                      </w:rPr>
                      <w:t>data.neo4j.open</w:t>
                    </w:r>
                    <w:proofErr w:type="gramEnd"/>
                    <w:r>
                      <w:rPr>
                        <w:rFonts w:ascii="MS Gothic"/>
                        <w:color w:val="333333"/>
                      </w:rPr>
                      <w:t>-in-view=false</w:t>
                    </w:r>
                  </w:p>
                </w:txbxContent>
              </v:textbox>
            </v:shape>
            <w10:wrap type="topAndBottom" anchorx="page"/>
          </v:group>
        </w:pict>
      </w:r>
    </w:p>
    <w:p w14:paraId="15A528D5" w14:textId="77777777" w:rsidR="00A720EB" w:rsidRDefault="00A720EB">
      <w:pPr>
        <w:pStyle w:val="a3"/>
        <w:spacing w:before="11"/>
        <w:rPr>
          <w:sz w:val="16"/>
        </w:rPr>
      </w:pPr>
    </w:p>
    <w:p w14:paraId="7C1C2175" w14:textId="77777777" w:rsidR="00A720EB" w:rsidRDefault="0030286B">
      <w:pPr>
        <w:pStyle w:val="4"/>
        <w:spacing w:before="104"/>
      </w:pPr>
      <w:bookmarkStart w:id="357" w:name="Spring_Data_Neo4j_Repositories"/>
      <w:bookmarkEnd w:id="357"/>
      <w:r>
        <w:rPr>
          <w:color w:val="333333"/>
          <w:w w:val="110"/>
        </w:rPr>
        <w:t>Spring Data Neo4j Repositories</w:t>
      </w:r>
    </w:p>
    <w:p w14:paraId="5E3C7A8A" w14:textId="77777777" w:rsidR="00A720EB" w:rsidRDefault="00A720EB">
      <w:pPr>
        <w:pStyle w:val="a3"/>
        <w:spacing w:before="11"/>
        <w:rPr>
          <w:rFonts w:ascii="Palatino Linotype"/>
          <w:b/>
          <w:sz w:val="18"/>
        </w:rPr>
      </w:pPr>
    </w:p>
    <w:p w14:paraId="5135F5D8" w14:textId="77777777" w:rsidR="00A720EB" w:rsidRDefault="0030286B">
      <w:pPr>
        <w:pStyle w:val="a3"/>
        <w:ind w:left="124"/>
        <w:jc w:val="both"/>
      </w:pPr>
      <w:r>
        <w:rPr>
          <w:color w:val="333333"/>
          <w:w w:val="110"/>
        </w:rPr>
        <w:t>Spring Data includes repository support for Neo4j.</w:t>
      </w:r>
    </w:p>
    <w:p w14:paraId="1E254706" w14:textId="77777777" w:rsidR="00A720EB" w:rsidRDefault="00A720EB">
      <w:pPr>
        <w:pStyle w:val="a3"/>
        <w:spacing w:before="5"/>
        <w:rPr>
          <w:sz w:val="26"/>
        </w:rPr>
      </w:pPr>
    </w:p>
    <w:p w14:paraId="172265B5" w14:textId="77777777" w:rsidR="00A720EB" w:rsidRDefault="0030286B">
      <w:pPr>
        <w:pStyle w:val="a3"/>
        <w:spacing w:line="290" w:lineRule="auto"/>
        <w:ind w:left="124" w:right="123"/>
        <w:jc w:val="both"/>
      </w:pPr>
      <w:r>
        <w:rPr>
          <w:color w:val="333333"/>
          <w:w w:val="110"/>
        </w:rPr>
        <w:t xml:space="preserve">Spring Data Neo4j shares the common infrastructure with Spring Data </w:t>
      </w:r>
      <w:r>
        <w:rPr>
          <w:color w:val="333333"/>
          <w:spacing w:val="-4"/>
          <w:w w:val="110"/>
        </w:rPr>
        <w:t xml:space="preserve">JPA </w:t>
      </w:r>
      <w:r>
        <w:rPr>
          <w:color w:val="333333"/>
          <w:w w:val="110"/>
        </w:rPr>
        <w:t xml:space="preserve">as many other </w:t>
      </w:r>
      <w:proofErr w:type="gramStart"/>
      <w:r>
        <w:rPr>
          <w:color w:val="333333"/>
          <w:w w:val="110"/>
        </w:rPr>
        <w:t>Spring  Data</w:t>
      </w:r>
      <w:proofErr w:type="gramEnd"/>
      <w:r>
        <w:rPr>
          <w:color w:val="333333"/>
          <w:w w:val="110"/>
        </w:rPr>
        <w:t xml:space="preserve"> modules do. </w:t>
      </w:r>
      <w:r>
        <w:rPr>
          <w:color w:val="333333"/>
          <w:spacing w:val="-6"/>
          <w:w w:val="110"/>
        </w:rPr>
        <w:t xml:space="preserve">You </w:t>
      </w:r>
      <w:r>
        <w:rPr>
          <w:color w:val="333333"/>
          <w:w w:val="110"/>
        </w:rPr>
        <w:t xml:space="preserve">could take the </w:t>
      </w:r>
      <w:r>
        <w:rPr>
          <w:color w:val="333333"/>
          <w:spacing w:val="-4"/>
          <w:w w:val="110"/>
        </w:rPr>
        <w:t xml:space="preserve">JPA </w:t>
      </w:r>
      <w:r>
        <w:rPr>
          <w:color w:val="333333"/>
          <w:w w:val="110"/>
        </w:rPr>
        <w:t xml:space="preserve">example from earlier and define </w:t>
      </w:r>
      <w:r>
        <w:rPr>
          <w:rFonts w:ascii="MS Gothic"/>
          <w:color w:val="B02045"/>
          <w:w w:val="110"/>
        </w:rPr>
        <w:t xml:space="preserve">City </w:t>
      </w:r>
      <w:r>
        <w:rPr>
          <w:color w:val="333333"/>
          <w:w w:val="110"/>
        </w:rPr>
        <w:t xml:space="preserve">as Neo4j OGM </w:t>
      </w:r>
      <w:r>
        <w:rPr>
          <w:rFonts w:ascii="MS Gothic"/>
          <w:color w:val="B02045"/>
          <w:w w:val="110"/>
        </w:rPr>
        <w:t xml:space="preserve">@NodeEntity </w:t>
      </w:r>
      <w:r>
        <w:rPr>
          <w:color w:val="333333"/>
          <w:w w:val="110"/>
        </w:rPr>
        <w:t xml:space="preserve">rather than </w:t>
      </w:r>
      <w:r>
        <w:rPr>
          <w:color w:val="333333"/>
          <w:spacing w:val="-4"/>
          <w:w w:val="110"/>
        </w:rPr>
        <w:t xml:space="preserve">JPA </w:t>
      </w:r>
      <w:r>
        <w:rPr>
          <w:rFonts w:ascii="MS Gothic"/>
          <w:color w:val="B02045"/>
          <w:w w:val="110"/>
        </w:rPr>
        <w:t xml:space="preserve">@Entity </w:t>
      </w:r>
      <w:r>
        <w:rPr>
          <w:color w:val="333333"/>
          <w:w w:val="110"/>
        </w:rPr>
        <w:t xml:space="preserve">and the repository abstraction works in the same </w:t>
      </w:r>
      <w:r>
        <w:rPr>
          <w:color w:val="333333"/>
          <w:spacing w:val="-7"/>
          <w:w w:val="110"/>
        </w:rPr>
        <w:t xml:space="preserve">way, </w:t>
      </w:r>
      <w:r>
        <w:rPr>
          <w:color w:val="333333"/>
          <w:w w:val="110"/>
        </w:rPr>
        <w:t>as shown in the following</w:t>
      </w:r>
      <w:r>
        <w:rPr>
          <w:color w:val="333333"/>
          <w:spacing w:val="13"/>
          <w:w w:val="110"/>
        </w:rPr>
        <w:t xml:space="preserve"> </w:t>
      </w:r>
      <w:r>
        <w:rPr>
          <w:color w:val="333333"/>
          <w:w w:val="110"/>
        </w:rPr>
        <w:t>example:</w:t>
      </w:r>
    </w:p>
    <w:p w14:paraId="1DA490E5" w14:textId="77777777" w:rsidR="00A720EB" w:rsidRDefault="00E10349">
      <w:pPr>
        <w:pStyle w:val="a3"/>
        <w:spacing w:before="4"/>
        <w:rPr>
          <w:sz w:val="14"/>
        </w:rPr>
      </w:pPr>
      <w:r>
        <w:pict w14:anchorId="0790A9D6">
          <v:group id="_x0000_s4053" style="position:absolute;margin-left:47.85pt;margin-top:10.4pt;width:499.55pt;height:184.9pt;z-index:-15456768;mso-wrap-distance-left:0;mso-wrap-distance-right:0;mso-position-horizontal-relative:page" coordorigin="957,208" coordsize="9991,3698">
            <v:shape id="_x0000_s4056" style="position:absolute;left:964;top:215;width:9976;height:3683" coordorigin="965,216" coordsize="9976,3683" path="m10861,216r-9816,l1014,222r-26,17l971,265r-6,31l965,3819r6,31l988,3875r26,17l1045,3899r9816,l10892,3892r25,-17l10935,3850r6,-31l10941,296r-6,-31l10917,239r-25,-17l10861,216xe" fillcolor="#f5f5f5" stroked="f">
              <v:path arrowok="t"/>
            </v:shape>
            <v:shape id="_x0000_s4055" style="position:absolute;left:964;top:215;width:9976;height:3683" coordorigin="965,216" coordsize="9976,3683" path="m1045,216r9816,l10892,222r25,17l10935,265r6,31l10941,3819r-6,31l10917,3875r-25,17l10861,3899r-9816,l1014,3892r-26,-17l971,3850r-6,-31l965,296r6,-31l988,239r26,-17l1045,216xe" filled="f" strokecolor="#ccc">
              <v:path arrowok="t"/>
            </v:shape>
            <v:shape id="_x0000_s4054" type="#_x0000_t202" style="position:absolute;left:984;top:231;width:9938;height:3652" filled="f" stroked="f">
              <v:textbox inset="0,0,0,0">
                <w:txbxContent>
                  <w:p w14:paraId="5F4E0846" w14:textId="77777777" w:rsidR="00711A16" w:rsidRDefault="00711A16">
                    <w:pPr>
                      <w:spacing w:before="221" w:line="501" w:lineRule="auto"/>
                      <w:ind w:left="200" w:right="6088"/>
                      <w:rPr>
                        <w:rFonts w:ascii="MS Gothic"/>
                      </w:rPr>
                    </w:pPr>
                    <w:r>
                      <w:rPr>
                        <w:rFonts w:ascii="MS Gothic"/>
                        <w:color w:val="333333"/>
                      </w:rPr>
                      <w:t>package com.</w:t>
                    </w:r>
                    <w:proofErr w:type="gramStart"/>
                    <w:r>
                      <w:rPr>
                        <w:rFonts w:ascii="MS Gothic"/>
                        <w:color w:val="333333"/>
                      </w:rPr>
                      <w:t>example.myapp</w:t>
                    </w:r>
                    <w:proofErr w:type="gramEnd"/>
                    <w:r>
                      <w:rPr>
                        <w:rFonts w:ascii="MS Gothic"/>
                        <w:color w:val="333333"/>
                      </w:rPr>
                      <w:t>.domain; import java.util.Optional;</w:t>
                    </w:r>
                  </w:p>
                  <w:p w14:paraId="4FA05167" w14:textId="77777777" w:rsidR="00711A16" w:rsidRDefault="00711A16">
                    <w:pPr>
                      <w:spacing w:before="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.data.neo4j.repository.*;</w:t>
                    </w:r>
                  </w:p>
                  <w:p w14:paraId="545FAC71" w14:textId="77777777" w:rsidR="00711A16" w:rsidRDefault="00711A16">
                    <w:pPr>
                      <w:rPr>
                        <w:rFonts w:ascii="MS Gothic"/>
                        <w:sz w:val="24"/>
                      </w:rPr>
                    </w:pPr>
                  </w:p>
                  <w:p w14:paraId="75674496" w14:textId="77777777" w:rsidR="00711A16" w:rsidRDefault="00711A16">
                    <w:pPr>
                      <w:spacing w:line="501" w:lineRule="auto"/>
                      <w:ind w:left="640" w:right="2128" w:hanging="440"/>
                      <w:rPr>
                        <w:rFonts w:ascii="MS Gothic"/>
                      </w:rPr>
                    </w:pPr>
                    <w:r>
                      <w:rPr>
                        <w:rFonts w:ascii="MS Gothic"/>
                        <w:color w:val="333333"/>
                      </w:rPr>
                      <w:t xml:space="preserve">public interface CityRepository extends Neo4jRepository&lt;City, Long&gt; </w:t>
                    </w:r>
                    <w:proofErr w:type="gramStart"/>
                    <w:r>
                      <w:rPr>
                        <w:rFonts w:ascii="MS Gothic"/>
                        <w:color w:val="333333"/>
                      </w:rPr>
                      <w:t>{ Optional</w:t>
                    </w:r>
                    <w:proofErr w:type="gramEnd"/>
                    <w:r>
                      <w:rPr>
                        <w:rFonts w:ascii="MS Gothic"/>
                        <w:color w:val="333333"/>
                      </w:rPr>
                      <w:t>&lt;City&gt; findOneByNameAndState(String name, String state);</w:t>
                    </w:r>
                  </w:p>
                  <w:p w14:paraId="15BF3105"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4D576740" w14:textId="77777777" w:rsidR="00A720EB" w:rsidRDefault="00A720EB">
      <w:pPr>
        <w:pStyle w:val="a3"/>
        <w:spacing w:before="11"/>
        <w:rPr>
          <w:sz w:val="9"/>
        </w:rPr>
      </w:pPr>
    </w:p>
    <w:p w14:paraId="2D20D5B9" w14:textId="77777777" w:rsidR="00A720EB" w:rsidRDefault="0030286B">
      <w:pPr>
        <w:pStyle w:val="a3"/>
        <w:spacing w:before="115" w:line="295" w:lineRule="auto"/>
        <w:ind w:left="124" w:right="125"/>
        <w:jc w:val="both"/>
      </w:pPr>
      <w:r>
        <w:rPr>
          <w:color w:val="333333"/>
          <w:w w:val="110"/>
        </w:rPr>
        <w:t>The</w:t>
      </w:r>
      <w:r>
        <w:rPr>
          <w:color w:val="333333"/>
          <w:spacing w:val="-12"/>
          <w:w w:val="110"/>
        </w:rPr>
        <w:t xml:space="preserve"> </w:t>
      </w:r>
      <w:r>
        <w:rPr>
          <w:rFonts w:ascii="MS Gothic" w:hAnsi="MS Gothic"/>
          <w:color w:val="B02045"/>
          <w:w w:val="110"/>
        </w:rPr>
        <w:t>spring-boot-starter-data-neo4j</w:t>
      </w:r>
      <w:r>
        <w:rPr>
          <w:rFonts w:ascii="MS Gothic" w:hAnsi="MS Gothic"/>
          <w:color w:val="B02045"/>
          <w:spacing w:val="-76"/>
          <w:w w:val="110"/>
        </w:rPr>
        <w:t xml:space="preserve"> </w:t>
      </w:r>
      <w:r>
        <w:rPr>
          <w:color w:val="333333"/>
          <w:w w:val="110"/>
        </w:rPr>
        <w:t>“Starter”</w:t>
      </w:r>
      <w:r>
        <w:rPr>
          <w:color w:val="333333"/>
          <w:spacing w:val="-11"/>
          <w:w w:val="110"/>
        </w:rPr>
        <w:t xml:space="preserve"> </w:t>
      </w:r>
      <w:r>
        <w:rPr>
          <w:color w:val="333333"/>
          <w:w w:val="110"/>
        </w:rPr>
        <w:t>enables</w:t>
      </w:r>
      <w:r>
        <w:rPr>
          <w:color w:val="333333"/>
          <w:spacing w:val="-12"/>
          <w:w w:val="110"/>
        </w:rPr>
        <w:t xml:space="preserve"> </w:t>
      </w:r>
      <w:r>
        <w:rPr>
          <w:color w:val="333333"/>
          <w:w w:val="110"/>
        </w:rPr>
        <w:t>the</w:t>
      </w:r>
      <w:r>
        <w:rPr>
          <w:color w:val="333333"/>
          <w:spacing w:val="-12"/>
          <w:w w:val="110"/>
        </w:rPr>
        <w:t xml:space="preserve"> </w:t>
      </w:r>
      <w:r>
        <w:rPr>
          <w:color w:val="333333"/>
          <w:w w:val="110"/>
        </w:rPr>
        <w:t>repository</w:t>
      </w:r>
      <w:r>
        <w:rPr>
          <w:color w:val="333333"/>
          <w:spacing w:val="-12"/>
          <w:w w:val="110"/>
        </w:rPr>
        <w:t xml:space="preserve"> </w:t>
      </w:r>
      <w:r>
        <w:rPr>
          <w:color w:val="333333"/>
          <w:w w:val="110"/>
        </w:rPr>
        <w:t>support</w:t>
      </w:r>
      <w:r>
        <w:rPr>
          <w:color w:val="333333"/>
          <w:spacing w:val="-12"/>
          <w:w w:val="110"/>
        </w:rPr>
        <w:t xml:space="preserve"> </w:t>
      </w:r>
      <w:r>
        <w:rPr>
          <w:color w:val="333333"/>
          <w:w w:val="110"/>
        </w:rPr>
        <w:t>as</w:t>
      </w:r>
      <w:r>
        <w:rPr>
          <w:color w:val="333333"/>
          <w:spacing w:val="-11"/>
          <w:w w:val="110"/>
        </w:rPr>
        <w:t xml:space="preserve"> </w:t>
      </w:r>
      <w:r>
        <w:rPr>
          <w:color w:val="333333"/>
          <w:w w:val="110"/>
        </w:rPr>
        <w:t>well</w:t>
      </w:r>
      <w:r>
        <w:rPr>
          <w:color w:val="333333"/>
          <w:spacing w:val="-12"/>
          <w:w w:val="110"/>
        </w:rPr>
        <w:t xml:space="preserve"> </w:t>
      </w:r>
      <w:r>
        <w:rPr>
          <w:color w:val="333333"/>
          <w:w w:val="110"/>
        </w:rPr>
        <w:t>as</w:t>
      </w:r>
      <w:r>
        <w:rPr>
          <w:color w:val="333333"/>
          <w:spacing w:val="-12"/>
          <w:w w:val="110"/>
        </w:rPr>
        <w:t xml:space="preserve"> </w:t>
      </w:r>
      <w:r>
        <w:rPr>
          <w:color w:val="333333"/>
          <w:w w:val="110"/>
        </w:rPr>
        <w:t xml:space="preserve">transaction management. </w:t>
      </w:r>
      <w:r>
        <w:rPr>
          <w:color w:val="333333"/>
          <w:spacing w:val="-6"/>
          <w:w w:val="110"/>
        </w:rPr>
        <w:t xml:space="preserve">You </w:t>
      </w:r>
      <w:r>
        <w:rPr>
          <w:color w:val="333333"/>
          <w:w w:val="110"/>
        </w:rPr>
        <w:t xml:space="preserve">can customize the locations to look for repositories and entities </w:t>
      </w:r>
      <w:r>
        <w:rPr>
          <w:color w:val="333333"/>
          <w:spacing w:val="-3"/>
          <w:w w:val="110"/>
        </w:rPr>
        <w:t xml:space="preserve">by </w:t>
      </w:r>
      <w:r>
        <w:rPr>
          <w:color w:val="333333"/>
          <w:w w:val="110"/>
        </w:rPr>
        <w:t xml:space="preserve">using </w:t>
      </w:r>
      <w:r>
        <w:rPr>
          <w:rFonts w:ascii="MS Gothic" w:hAnsi="MS Gothic"/>
          <w:color w:val="B02045"/>
          <w:w w:val="110"/>
        </w:rPr>
        <w:t>@EnableNeo4jRepositories</w:t>
      </w:r>
      <w:r>
        <w:rPr>
          <w:rFonts w:ascii="MS Gothic" w:hAnsi="MS Gothic"/>
          <w:color w:val="B02045"/>
          <w:spacing w:val="-74"/>
          <w:w w:val="110"/>
        </w:rPr>
        <w:t xml:space="preserve"> </w:t>
      </w:r>
      <w:r>
        <w:rPr>
          <w:color w:val="333333"/>
          <w:w w:val="110"/>
        </w:rPr>
        <w:t>and</w:t>
      </w:r>
      <w:r>
        <w:rPr>
          <w:color w:val="333333"/>
          <w:spacing w:val="-8"/>
          <w:w w:val="110"/>
        </w:rPr>
        <w:t xml:space="preserve"> </w:t>
      </w:r>
      <w:r>
        <w:rPr>
          <w:rFonts w:ascii="MS Gothic" w:hAnsi="MS Gothic"/>
          <w:color w:val="B02045"/>
          <w:w w:val="110"/>
        </w:rPr>
        <w:t>@EntityScan</w:t>
      </w:r>
      <w:r>
        <w:rPr>
          <w:rFonts w:ascii="MS Gothic" w:hAnsi="MS Gothic"/>
          <w:color w:val="B02045"/>
          <w:spacing w:val="-73"/>
          <w:w w:val="110"/>
        </w:rPr>
        <w:t xml:space="preserve"> </w:t>
      </w:r>
      <w:r>
        <w:rPr>
          <w:color w:val="333333"/>
          <w:w w:val="110"/>
        </w:rPr>
        <w:t>respectively</w:t>
      </w:r>
      <w:r>
        <w:rPr>
          <w:color w:val="333333"/>
          <w:spacing w:val="-9"/>
          <w:w w:val="110"/>
        </w:rPr>
        <w:t xml:space="preserve"> </w:t>
      </w:r>
      <w:r>
        <w:rPr>
          <w:color w:val="333333"/>
          <w:w w:val="110"/>
        </w:rPr>
        <w:t>on</w:t>
      </w:r>
      <w:r>
        <w:rPr>
          <w:color w:val="333333"/>
          <w:spacing w:val="-8"/>
          <w:w w:val="110"/>
        </w:rPr>
        <w:t xml:space="preserve"> </w:t>
      </w:r>
      <w:r>
        <w:rPr>
          <w:color w:val="333333"/>
          <w:w w:val="110"/>
        </w:rPr>
        <w:t>a</w:t>
      </w:r>
      <w:r>
        <w:rPr>
          <w:color w:val="333333"/>
          <w:spacing w:val="-9"/>
          <w:w w:val="110"/>
        </w:rPr>
        <w:t xml:space="preserve"> </w:t>
      </w:r>
      <w:r>
        <w:rPr>
          <w:rFonts w:ascii="MS Gothic" w:hAnsi="MS Gothic"/>
          <w:color w:val="B02045"/>
          <w:w w:val="110"/>
        </w:rPr>
        <w:t>@Configuration</w:t>
      </w:r>
      <w:r>
        <w:rPr>
          <w:color w:val="333333"/>
          <w:w w:val="110"/>
        </w:rPr>
        <w:t>-bean.</w:t>
      </w:r>
    </w:p>
    <w:p w14:paraId="5FB3DB05" w14:textId="77777777" w:rsidR="00A720EB" w:rsidRDefault="00A720EB">
      <w:pPr>
        <w:pStyle w:val="a3"/>
        <w:spacing w:before="8"/>
        <w:rPr>
          <w:sz w:val="26"/>
        </w:rPr>
      </w:pPr>
    </w:p>
    <w:p w14:paraId="11E62D3B" w14:textId="77777777" w:rsidR="00A720EB" w:rsidRDefault="00E10349">
      <w:pPr>
        <w:pStyle w:val="a3"/>
        <w:spacing w:line="307" w:lineRule="auto"/>
        <w:ind w:left="1564" w:right="408"/>
      </w:pPr>
      <w:r>
        <w:pict w14:anchorId="53D01DA1">
          <v:line id="_x0000_s4052" style="position:absolute;left:0;text-align:left;z-index:16001024;mso-position-horizontal-relative:page" from="108.25pt,-6pt" to="108.25pt,33.55pt" strokecolor="#ededed" strokeweight=".5pt">
            <w10:wrap anchorx="page"/>
          </v:line>
        </w:pict>
      </w:r>
      <w:r w:rsidR="0030286B">
        <w:rPr>
          <w:noProof/>
        </w:rPr>
        <w:drawing>
          <wp:anchor distT="0" distB="0" distL="0" distR="0" simplePos="0" relativeHeight="16001536" behindDoc="0" locked="0" layoutInCell="1" allowOverlap="1" wp14:anchorId="720D8DBD" wp14:editId="0D038D37">
            <wp:simplePos x="0" y="0"/>
            <wp:positionH relativeFrom="page">
              <wp:posOffset>888949</wp:posOffset>
            </wp:positionH>
            <wp:positionV relativeFrom="paragraph">
              <wp:posOffset>22771</wp:posOffset>
            </wp:positionV>
            <wp:extent cx="209550" cy="304800"/>
            <wp:effectExtent l="0" t="0" r="0" b="0"/>
            <wp:wrapNone/>
            <wp:docPr id="34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4"/>
          <w:w w:val="110"/>
        </w:rPr>
        <w:t xml:space="preserve">For </w:t>
      </w:r>
      <w:r w:rsidR="0030286B">
        <w:rPr>
          <w:color w:val="333333"/>
          <w:w w:val="110"/>
        </w:rPr>
        <w:t xml:space="preserve">complete details of Spring Data Neo4j, including its object mapping technologies, refer to the </w:t>
      </w:r>
      <w:hyperlink r:id="rId242">
        <w:r w:rsidR="0030286B">
          <w:rPr>
            <w:color w:val="418BCA"/>
            <w:w w:val="110"/>
          </w:rPr>
          <w:t>reference</w:t>
        </w:r>
        <w:r w:rsidR="0030286B">
          <w:rPr>
            <w:color w:val="418BCA"/>
            <w:spacing w:val="18"/>
            <w:w w:val="110"/>
          </w:rPr>
          <w:t xml:space="preserve"> </w:t>
        </w:r>
        <w:r w:rsidR="0030286B">
          <w:rPr>
            <w:color w:val="418BCA"/>
            <w:w w:val="110"/>
          </w:rPr>
          <w:t>documentation</w:t>
        </w:r>
      </w:hyperlink>
      <w:r w:rsidR="0030286B">
        <w:rPr>
          <w:color w:val="333333"/>
          <w:w w:val="110"/>
        </w:rPr>
        <w:t>.</w:t>
      </w:r>
    </w:p>
    <w:p w14:paraId="4661DED0" w14:textId="77777777" w:rsidR="00A720EB" w:rsidRDefault="00A720EB">
      <w:pPr>
        <w:spacing w:line="307" w:lineRule="auto"/>
        <w:sectPr w:rsidR="00A720EB">
          <w:pgSz w:w="11910" w:h="16840"/>
          <w:pgMar w:top="620" w:right="840" w:bottom="520" w:left="840" w:header="0" w:footer="323" w:gutter="0"/>
          <w:cols w:space="720"/>
        </w:sectPr>
      </w:pPr>
    </w:p>
    <w:p w14:paraId="33ADBC1D" w14:textId="77777777" w:rsidR="00A720EB" w:rsidRDefault="0030286B">
      <w:pPr>
        <w:pStyle w:val="3"/>
        <w:numPr>
          <w:ilvl w:val="2"/>
          <w:numId w:val="68"/>
        </w:numPr>
        <w:tabs>
          <w:tab w:val="left" w:pos="1003"/>
        </w:tabs>
        <w:spacing w:before="87"/>
        <w:ind w:left="1002" w:hanging="879"/>
      </w:pPr>
      <w:bookmarkStart w:id="358" w:name="4.12.4._Solr"/>
      <w:bookmarkStart w:id="359" w:name="_Toc54423779"/>
      <w:bookmarkEnd w:id="358"/>
      <w:r>
        <w:rPr>
          <w:color w:val="333333"/>
          <w:w w:val="110"/>
        </w:rPr>
        <w:lastRenderedPageBreak/>
        <w:t>Solr</w:t>
      </w:r>
      <w:bookmarkEnd w:id="359"/>
    </w:p>
    <w:p w14:paraId="2B166340" w14:textId="77777777" w:rsidR="00A720EB" w:rsidRDefault="00E10349">
      <w:pPr>
        <w:pStyle w:val="a3"/>
        <w:spacing w:before="253" w:line="290" w:lineRule="auto"/>
        <w:ind w:left="124" w:right="122"/>
        <w:jc w:val="both"/>
      </w:pPr>
      <w:hyperlink r:id="rId243">
        <w:r w:rsidR="0030286B">
          <w:rPr>
            <w:color w:val="418BCA"/>
            <w:w w:val="110"/>
          </w:rPr>
          <w:t>Apache Solr</w:t>
        </w:r>
      </w:hyperlink>
      <w:r w:rsidR="0030286B">
        <w:rPr>
          <w:color w:val="418BCA"/>
          <w:w w:val="110"/>
        </w:rPr>
        <w:t xml:space="preserve"> </w:t>
      </w:r>
      <w:r w:rsidR="0030286B">
        <w:rPr>
          <w:color w:val="333333"/>
          <w:w w:val="110"/>
        </w:rPr>
        <w:t>is a search engine. Spring Boot offers basic auto-configuration for the Solr 5 client</w:t>
      </w:r>
      <w:r w:rsidR="0030286B">
        <w:rPr>
          <w:color w:val="333333"/>
          <w:spacing w:val="50"/>
          <w:w w:val="110"/>
        </w:rPr>
        <w:t xml:space="preserve"> </w:t>
      </w:r>
      <w:r w:rsidR="0030286B">
        <w:rPr>
          <w:color w:val="333333"/>
          <w:w w:val="110"/>
        </w:rPr>
        <w:t xml:space="preserve">library and the abstractions on top of it provided </w:t>
      </w:r>
      <w:r w:rsidR="0030286B">
        <w:rPr>
          <w:color w:val="333333"/>
          <w:spacing w:val="-3"/>
          <w:w w:val="110"/>
        </w:rPr>
        <w:t xml:space="preserve">by </w:t>
      </w:r>
      <w:hyperlink r:id="rId244">
        <w:r w:rsidR="0030286B">
          <w:rPr>
            <w:color w:val="418BCA"/>
            <w:w w:val="110"/>
          </w:rPr>
          <w:t>Spring Data Solr</w:t>
        </w:r>
      </w:hyperlink>
      <w:r w:rsidR="0030286B">
        <w:rPr>
          <w:color w:val="333333"/>
          <w:w w:val="110"/>
        </w:rPr>
        <w:t xml:space="preserve">. There is a </w:t>
      </w:r>
      <w:r w:rsidR="0030286B">
        <w:rPr>
          <w:rFonts w:ascii="MS Gothic" w:hAnsi="MS Gothic"/>
          <w:color w:val="B02045"/>
          <w:w w:val="110"/>
        </w:rPr>
        <w:t>spring-boot- starter-data-solr</w:t>
      </w:r>
      <w:r w:rsidR="0030286B">
        <w:rPr>
          <w:rFonts w:ascii="MS Gothic" w:hAnsi="MS Gothic"/>
          <w:color w:val="B02045"/>
          <w:spacing w:val="-58"/>
          <w:w w:val="110"/>
        </w:rPr>
        <w:t xml:space="preserve"> </w:t>
      </w:r>
      <w:r w:rsidR="0030286B">
        <w:rPr>
          <w:color w:val="333333"/>
          <w:w w:val="110"/>
        </w:rPr>
        <w:t xml:space="preserve">“Starter” for collecting the dependencies in a convenient </w:t>
      </w:r>
      <w:r w:rsidR="0030286B">
        <w:rPr>
          <w:color w:val="333333"/>
          <w:spacing w:val="-7"/>
          <w:w w:val="110"/>
        </w:rPr>
        <w:t>way.</w:t>
      </w:r>
    </w:p>
    <w:p w14:paraId="14EA695E" w14:textId="77777777" w:rsidR="00A720EB" w:rsidRDefault="00A720EB">
      <w:pPr>
        <w:pStyle w:val="a3"/>
        <w:spacing w:before="5"/>
        <w:rPr>
          <w:sz w:val="25"/>
        </w:rPr>
      </w:pPr>
    </w:p>
    <w:p w14:paraId="7FD8E9D3" w14:textId="77777777" w:rsidR="00A720EB" w:rsidRDefault="0030286B">
      <w:pPr>
        <w:pStyle w:val="4"/>
      </w:pPr>
      <w:bookmarkStart w:id="360" w:name="Connecting_to_Solr"/>
      <w:bookmarkEnd w:id="360"/>
      <w:r>
        <w:rPr>
          <w:color w:val="333333"/>
          <w:w w:val="110"/>
        </w:rPr>
        <w:t>Connecting to Solr</w:t>
      </w:r>
    </w:p>
    <w:p w14:paraId="3F8F4A13" w14:textId="77777777" w:rsidR="00A720EB" w:rsidRDefault="0030286B">
      <w:pPr>
        <w:pStyle w:val="a3"/>
        <w:spacing w:before="244" w:line="285" w:lineRule="auto"/>
        <w:ind w:left="124" w:right="123"/>
        <w:jc w:val="both"/>
      </w:pPr>
      <w:r>
        <w:rPr>
          <w:color w:val="333333"/>
          <w:w w:val="110"/>
        </w:rPr>
        <w:t xml:space="preserve">You can inject an auto-configured </w:t>
      </w:r>
      <w:r>
        <w:rPr>
          <w:rFonts w:ascii="MS Gothic"/>
          <w:color w:val="B02045"/>
          <w:w w:val="110"/>
        </w:rPr>
        <w:t xml:space="preserve">SolrClient </w:t>
      </w:r>
      <w:r>
        <w:rPr>
          <w:color w:val="333333"/>
          <w:w w:val="110"/>
        </w:rPr>
        <w:t xml:space="preserve">instance as you would any other Spring bean. By default, the instance tries to connect to a server at </w:t>
      </w:r>
      <w:r>
        <w:rPr>
          <w:rFonts w:ascii="MS Gothic"/>
          <w:color w:val="418BCA"/>
          <w:w w:val="110"/>
        </w:rPr>
        <w:t>localhost:8983/solr</w:t>
      </w:r>
      <w:r>
        <w:rPr>
          <w:color w:val="333333"/>
          <w:w w:val="110"/>
        </w:rPr>
        <w:t>. The following example shows how to inject a Solr bean:</w:t>
      </w:r>
    </w:p>
    <w:p w14:paraId="77198FA5" w14:textId="77777777" w:rsidR="00A720EB" w:rsidRDefault="00E10349">
      <w:pPr>
        <w:pStyle w:val="a3"/>
        <w:spacing w:before="1"/>
        <w:rPr>
          <w:sz w:val="15"/>
        </w:rPr>
      </w:pPr>
      <w:r>
        <w:pict w14:anchorId="5C4D2CB4">
          <v:group id="_x0000_s4048" style="position:absolute;margin-left:47.85pt;margin-top:10.85pt;width:499.55pt;height:214.4pt;z-index:-15455232;mso-wrap-distance-left:0;mso-wrap-distance-right:0;mso-position-horizontal-relative:page" coordorigin="957,217" coordsize="9991,4288">
            <v:shape id="_x0000_s4051" style="position:absolute;left:964;top:224;width:9976;height:4273" coordorigin="965,224" coordsize="9976,4273" path="m10861,224r-9816,l1014,231r-26,17l971,273r-6,31l965,4417r6,31l988,4473r26,18l1045,4497r9816,l10892,4491r25,-18l10935,4448r6,-31l10941,304r-6,-31l10917,248r-25,-17l10861,224xe" fillcolor="#f5f5f5" stroked="f">
              <v:path arrowok="t"/>
            </v:shape>
            <v:shape id="_x0000_s4050" style="position:absolute;left:964;top:224;width:9976;height:4273" coordorigin="965,224" coordsize="9976,4273" path="m1045,224r9816,l10892,231r25,17l10935,273r6,31l10941,4417r-6,31l10917,4473r-25,18l10861,4497r-9816,l1014,4491r-26,-18l971,4448r-6,-31l965,304r6,-31l988,248r26,-17l1045,224xe" filled="f" strokecolor="#ccc">
              <v:path arrowok="t"/>
            </v:shape>
            <v:shape id="_x0000_s4049" type="#_x0000_t202" style="position:absolute;left:984;top:239;width:9938;height:4242" filled="f" stroked="f">
              <v:textbox inset="0,0,0,0">
                <w:txbxContent>
                  <w:p w14:paraId="39C432FC" w14:textId="77777777" w:rsidR="00711A16" w:rsidRDefault="00711A16">
                    <w:pPr>
                      <w:spacing w:before="221"/>
                      <w:ind w:left="200"/>
                      <w:rPr>
                        <w:rFonts w:ascii="MS Gothic"/>
                      </w:rPr>
                    </w:pPr>
                    <w:r>
                      <w:rPr>
                        <w:rFonts w:ascii="MS Gothic"/>
                        <w:color w:val="333333"/>
                      </w:rPr>
                      <w:t>@Component</w:t>
                    </w:r>
                  </w:p>
                  <w:p w14:paraId="36E4BF25" w14:textId="77777777" w:rsidR="00711A16" w:rsidRDefault="00711A16">
                    <w:pPr>
                      <w:spacing w:before="13" w:line="501" w:lineRule="auto"/>
                      <w:ind w:left="640" w:right="6654" w:hanging="440"/>
                      <w:rPr>
                        <w:rFonts w:ascii="MS Gothic"/>
                      </w:rPr>
                    </w:pPr>
                    <w:r>
                      <w:rPr>
                        <w:rFonts w:ascii="MS Gothic"/>
                        <w:color w:val="333333"/>
                      </w:rPr>
                      <w:t xml:space="preserve">public class MyBean </w:t>
                    </w:r>
                    <w:proofErr w:type="gramStart"/>
                    <w:r>
                      <w:rPr>
                        <w:rFonts w:ascii="MS Gothic"/>
                        <w:color w:val="333333"/>
                      </w:rPr>
                      <w:t>{ private</w:t>
                    </w:r>
                    <w:proofErr w:type="gramEnd"/>
                    <w:r>
                      <w:rPr>
                        <w:rFonts w:ascii="MS Gothic"/>
                        <w:color w:val="333333"/>
                      </w:rPr>
                      <w:t xml:space="preserve"> SolrClient</w:t>
                    </w:r>
                    <w:r>
                      <w:rPr>
                        <w:rFonts w:ascii="MS Gothic"/>
                        <w:color w:val="333333"/>
                        <w:spacing w:val="3"/>
                      </w:rPr>
                      <w:t xml:space="preserve"> </w:t>
                    </w:r>
                    <w:r>
                      <w:rPr>
                        <w:rFonts w:ascii="MS Gothic"/>
                        <w:color w:val="333333"/>
                        <w:spacing w:val="-4"/>
                      </w:rPr>
                      <w:t>solr;</w:t>
                    </w:r>
                  </w:p>
                  <w:p w14:paraId="0085C0DE" w14:textId="77777777" w:rsidR="00711A16" w:rsidRDefault="00711A16">
                    <w:pPr>
                      <w:spacing w:before="1"/>
                      <w:ind w:left="640"/>
                      <w:rPr>
                        <w:rFonts w:ascii="MS Gothic"/>
                      </w:rPr>
                    </w:pPr>
                    <w:r>
                      <w:rPr>
                        <w:rFonts w:ascii="MS Gothic"/>
                        <w:color w:val="333333"/>
                      </w:rPr>
                      <w:t>@Autowired</w:t>
                    </w:r>
                  </w:p>
                  <w:p w14:paraId="2644B0A2" w14:textId="77777777" w:rsidR="00711A16" w:rsidRDefault="00711A16">
                    <w:pPr>
                      <w:spacing w:before="13" w:line="252" w:lineRule="auto"/>
                      <w:ind w:left="1080" w:right="575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SolrClient solr) { this.solr = solr;</w:t>
                    </w:r>
                  </w:p>
                  <w:p w14:paraId="3439023B" w14:textId="77777777" w:rsidR="00711A16" w:rsidRDefault="00711A16">
                    <w:pPr>
                      <w:spacing w:line="280" w:lineRule="exact"/>
                      <w:ind w:left="640"/>
                      <w:rPr>
                        <w:rFonts w:ascii="MS Gothic"/>
                      </w:rPr>
                    </w:pPr>
                    <w:r>
                      <w:rPr>
                        <w:rFonts w:ascii="MS Gothic"/>
                        <w:color w:val="333333"/>
                      </w:rPr>
                      <w:t>}</w:t>
                    </w:r>
                  </w:p>
                  <w:p w14:paraId="0A176C70" w14:textId="77777777" w:rsidR="00711A16" w:rsidRDefault="00711A16">
                    <w:pPr>
                      <w:rPr>
                        <w:rFonts w:ascii="MS Gothic"/>
                        <w:sz w:val="24"/>
                      </w:rPr>
                    </w:pPr>
                  </w:p>
                  <w:p w14:paraId="3FA7BC19" w14:textId="77777777" w:rsidR="00711A16" w:rsidRDefault="00711A16">
                    <w:pPr>
                      <w:ind w:left="640"/>
                      <w:rPr>
                        <w:rFonts w:ascii="MS Gothic"/>
                      </w:rPr>
                    </w:pPr>
                    <w:r>
                      <w:rPr>
                        <w:rFonts w:ascii="MS Gothic"/>
                        <w:color w:val="333333"/>
                      </w:rPr>
                      <w:t>// ...</w:t>
                    </w:r>
                  </w:p>
                  <w:p w14:paraId="20E7DE24" w14:textId="77777777" w:rsidR="00711A16" w:rsidRDefault="00711A16">
                    <w:pPr>
                      <w:rPr>
                        <w:rFonts w:ascii="MS Gothic"/>
                        <w:sz w:val="24"/>
                      </w:rPr>
                    </w:pPr>
                  </w:p>
                  <w:p w14:paraId="7A41DF25" w14:textId="77777777" w:rsidR="00711A16" w:rsidRDefault="00711A16">
                    <w:pPr>
                      <w:ind w:left="200"/>
                      <w:rPr>
                        <w:rFonts w:ascii="MS Gothic"/>
                      </w:rPr>
                    </w:pPr>
                    <w:r>
                      <w:rPr>
                        <w:rFonts w:ascii="MS Gothic"/>
                        <w:color w:val="333333"/>
                      </w:rPr>
                      <w:t>}</w:t>
                    </w:r>
                  </w:p>
                </w:txbxContent>
              </v:textbox>
            </v:shape>
            <w10:wrap type="topAndBottom" anchorx="page"/>
          </v:group>
        </w:pict>
      </w:r>
    </w:p>
    <w:p w14:paraId="2AA8977E" w14:textId="77777777" w:rsidR="00A720EB" w:rsidRDefault="00A720EB">
      <w:pPr>
        <w:pStyle w:val="a3"/>
        <w:spacing w:before="11"/>
        <w:rPr>
          <w:sz w:val="9"/>
        </w:rPr>
      </w:pPr>
    </w:p>
    <w:p w14:paraId="20C87BA4" w14:textId="77777777" w:rsidR="00A720EB" w:rsidRDefault="0030286B">
      <w:pPr>
        <w:pStyle w:val="a3"/>
        <w:spacing w:before="115"/>
        <w:ind w:left="124"/>
      </w:pPr>
      <w:r>
        <w:rPr>
          <w:color w:val="333333"/>
          <w:w w:val="110"/>
        </w:rPr>
        <w:t xml:space="preserve">If you add your own </w:t>
      </w:r>
      <w:r>
        <w:rPr>
          <w:rFonts w:ascii="MS Gothic"/>
          <w:color w:val="B02045"/>
          <w:w w:val="110"/>
        </w:rPr>
        <w:t xml:space="preserve">@Bean </w:t>
      </w:r>
      <w:r>
        <w:rPr>
          <w:color w:val="333333"/>
          <w:w w:val="110"/>
        </w:rPr>
        <w:t xml:space="preserve">of type </w:t>
      </w:r>
      <w:r>
        <w:rPr>
          <w:rFonts w:ascii="MS Gothic"/>
          <w:color w:val="B02045"/>
          <w:w w:val="110"/>
        </w:rPr>
        <w:t>SolrClient</w:t>
      </w:r>
      <w:r>
        <w:rPr>
          <w:color w:val="333333"/>
          <w:w w:val="110"/>
        </w:rPr>
        <w:t>, it replaces the default.</w:t>
      </w:r>
    </w:p>
    <w:p w14:paraId="463C0544" w14:textId="77777777" w:rsidR="00A720EB" w:rsidRDefault="00A720EB">
      <w:pPr>
        <w:pStyle w:val="a3"/>
        <w:spacing w:before="6"/>
        <w:rPr>
          <w:sz w:val="30"/>
        </w:rPr>
      </w:pPr>
    </w:p>
    <w:p w14:paraId="07A2CE82" w14:textId="77777777" w:rsidR="00A720EB" w:rsidRDefault="0030286B">
      <w:pPr>
        <w:pStyle w:val="4"/>
        <w:jc w:val="left"/>
      </w:pPr>
      <w:bookmarkStart w:id="361" w:name="Spring_Data_Solr_Repositories"/>
      <w:bookmarkEnd w:id="361"/>
      <w:r>
        <w:rPr>
          <w:color w:val="333333"/>
          <w:w w:val="110"/>
        </w:rPr>
        <w:t>Spring Data Solr Repositories</w:t>
      </w:r>
    </w:p>
    <w:p w14:paraId="0BD90BAD" w14:textId="77777777" w:rsidR="00A720EB" w:rsidRDefault="00A720EB">
      <w:pPr>
        <w:pStyle w:val="a3"/>
        <w:spacing w:before="11"/>
        <w:rPr>
          <w:rFonts w:ascii="Palatino Linotype"/>
          <w:b/>
          <w:sz w:val="18"/>
        </w:rPr>
      </w:pPr>
    </w:p>
    <w:p w14:paraId="20A1930A" w14:textId="77777777" w:rsidR="00A720EB" w:rsidRDefault="0030286B">
      <w:pPr>
        <w:pStyle w:val="a3"/>
        <w:spacing w:line="307" w:lineRule="auto"/>
        <w:ind w:left="124" w:right="129"/>
        <w:jc w:val="both"/>
      </w:pPr>
      <w:r>
        <w:rPr>
          <w:color w:val="333333"/>
          <w:w w:val="110"/>
        </w:rPr>
        <w:t>Spring Data includes repository support for Apache Solr. As with the JPA repositories discussed earlier, the basic principle is that queries are automatically constructed for you based on method names.</w:t>
      </w:r>
    </w:p>
    <w:p w14:paraId="71929A08" w14:textId="77777777" w:rsidR="00A720EB" w:rsidRDefault="0030286B">
      <w:pPr>
        <w:pStyle w:val="a3"/>
        <w:spacing w:before="242" w:line="290" w:lineRule="auto"/>
        <w:ind w:left="124" w:right="123"/>
        <w:jc w:val="both"/>
      </w:pPr>
      <w:r>
        <w:rPr>
          <w:color w:val="333333"/>
          <w:w w:val="110"/>
        </w:rPr>
        <w:t xml:space="preserve">In fact, both Spring Data </w:t>
      </w:r>
      <w:r>
        <w:rPr>
          <w:color w:val="333333"/>
          <w:spacing w:val="-4"/>
          <w:w w:val="110"/>
        </w:rPr>
        <w:t xml:space="preserve">JPA </w:t>
      </w:r>
      <w:r>
        <w:rPr>
          <w:color w:val="333333"/>
          <w:w w:val="110"/>
        </w:rPr>
        <w:t xml:space="preserve">and Spring Data Solr </w:t>
      </w:r>
      <w:proofErr w:type="gramStart"/>
      <w:r>
        <w:rPr>
          <w:color w:val="333333"/>
          <w:w w:val="110"/>
        </w:rPr>
        <w:t>share  the</w:t>
      </w:r>
      <w:proofErr w:type="gramEnd"/>
      <w:r>
        <w:rPr>
          <w:color w:val="333333"/>
          <w:w w:val="110"/>
        </w:rPr>
        <w:t xml:space="preserve">  same  common  infrastructure.  </w:t>
      </w:r>
      <w:r>
        <w:rPr>
          <w:color w:val="333333"/>
          <w:spacing w:val="-6"/>
          <w:w w:val="110"/>
        </w:rPr>
        <w:t xml:space="preserve">You </w:t>
      </w:r>
      <w:r>
        <w:rPr>
          <w:color w:val="333333"/>
          <w:w w:val="110"/>
        </w:rPr>
        <w:t>could take</w:t>
      </w:r>
      <w:r>
        <w:rPr>
          <w:color w:val="333333"/>
          <w:spacing w:val="1"/>
          <w:w w:val="110"/>
        </w:rPr>
        <w:t xml:space="preserve"> </w:t>
      </w:r>
      <w:r>
        <w:rPr>
          <w:color w:val="333333"/>
          <w:w w:val="110"/>
        </w:rPr>
        <w:t xml:space="preserve">the </w:t>
      </w:r>
      <w:r>
        <w:rPr>
          <w:color w:val="333333"/>
          <w:spacing w:val="-4"/>
          <w:w w:val="110"/>
        </w:rPr>
        <w:t>JPA</w:t>
      </w:r>
      <w:r>
        <w:rPr>
          <w:color w:val="333333"/>
          <w:spacing w:val="1"/>
          <w:w w:val="110"/>
        </w:rPr>
        <w:t xml:space="preserve"> </w:t>
      </w:r>
      <w:r>
        <w:rPr>
          <w:color w:val="333333"/>
          <w:w w:val="110"/>
        </w:rPr>
        <w:t>example from</w:t>
      </w:r>
      <w:r>
        <w:rPr>
          <w:color w:val="333333"/>
          <w:spacing w:val="1"/>
          <w:w w:val="110"/>
        </w:rPr>
        <w:t xml:space="preserve"> </w:t>
      </w:r>
      <w:r>
        <w:rPr>
          <w:color w:val="333333"/>
          <w:w w:val="110"/>
        </w:rPr>
        <w:t>earlier and, assuming that</w:t>
      </w:r>
      <w:r>
        <w:rPr>
          <w:color w:val="333333"/>
          <w:spacing w:val="3"/>
          <w:w w:val="110"/>
        </w:rPr>
        <w:t xml:space="preserve"> </w:t>
      </w:r>
      <w:r>
        <w:rPr>
          <w:rFonts w:ascii="MS Gothic"/>
          <w:color w:val="B02045"/>
          <w:w w:val="110"/>
        </w:rPr>
        <w:t>City</w:t>
      </w:r>
      <w:r>
        <w:rPr>
          <w:rFonts w:ascii="MS Gothic"/>
          <w:color w:val="B02045"/>
          <w:spacing w:val="-64"/>
          <w:w w:val="110"/>
        </w:rPr>
        <w:t xml:space="preserve"> </w:t>
      </w:r>
      <w:r>
        <w:rPr>
          <w:color w:val="333333"/>
          <w:w w:val="110"/>
        </w:rPr>
        <w:t>is now</w:t>
      </w:r>
      <w:r>
        <w:rPr>
          <w:color w:val="333333"/>
          <w:spacing w:val="1"/>
          <w:w w:val="110"/>
        </w:rPr>
        <w:t xml:space="preserve"> </w:t>
      </w:r>
      <w:r>
        <w:rPr>
          <w:color w:val="333333"/>
          <w:w w:val="110"/>
        </w:rPr>
        <w:t xml:space="preserve">a </w:t>
      </w:r>
      <w:r>
        <w:rPr>
          <w:rFonts w:ascii="MS Gothic"/>
          <w:color w:val="B02045"/>
          <w:w w:val="110"/>
        </w:rPr>
        <w:t>@SolrDocument</w:t>
      </w:r>
      <w:r>
        <w:rPr>
          <w:rFonts w:ascii="MS Gothic"/>
          <w:color w:val="B02045"/>
          <w:spacing w:val="-64"/>
          <w:w w:val="110"/>
        </w:rPr>
        <w:t xml:space="preserve"> </w:t>
      </w:r>
      <w:r>
        <w:rPr>
          <w:color w:val="333333"/>
          <w:w w:val="110"/>
        </w:rPr>
        <w:t>class</w:t>
      </w:r>
      <w:r>
        <w:rPr>
          <w:color w:val="333333"/>
          <w:spacing w:val="1"/>
          <w:w w:val="110"/>
        </w:rPr>
        <w:t xml:space="preserve"> </w:t>
      </w:r>
      <w:r>
        <w:rPr>
          <w:color w:val="333333"/>
          <w:w w:val="110"/>
        </w:rPr>
        <w:t xml:space="preserve">rather than a </w:t>
      </w:r>
      <w:r>
        <w:rPr>
          <w:color w:val="333333"/>
          <w:spacing w:val="-4"/>
          <w:w w:val="110"/>
        </w:rPr>
        <w:t xml:space="preserve">JPA </w:t>
      </w:r>
      <w:r>
        <w:rPr>
          <w:rFonts w:ascii="MS Gothic"/>
          <w:color w:val="B02045"/>
          <w:w w:val="110"/>
        </w:rPr>
        <w:t>@Entity</w:t>
      </w:r>
      <w:r>
        <w:rPr>
          <w:color w:val="333333"/>
          <w:w w:val="110"/>
        </w:rPr>
        <w:t>, it works in the same</w:t>
      </w:r>
      <w:r>
        <w:rPr>
          <w:color w:val="333333"/>
          <w:spacing w:val="28"/>
          <w:w w:val="110"/>
        </w:rPr>
        <w:t xml:space="preserve"> </w:t>
      </w:r>
      <w:r>
        <w:rPr>
          <w:color w:val="333333"/>
          <w:spacing w:val="-7"/>
          <w:w w:val="110"/>
        </w:rPr>
        <w:t>way.</w:t>
      </w:r>
    </w:p>
    <w:p w14:paraId="202C15FA" w14:textId="77777777" w:rsidR="00A720EB" w:rsidRDefault="0030286B">
      <w:pPr>
        <w:pStyle w:val="a3"/>
        <w:spacing w:before="237"/>
        <w:ind w:left="124"/>
      </w:pPr>
      <w:r>
        <w:rPr>
          <w:color w:val="333333"/>
          <w:w w:val="110"/>
        </w:rPr>
        <w:t xml:space="preserve">IP: For complete details of Spring Data Solr, refer to the </w:t>
      </w:r>
      <w:hyperlink r:id="rId245">
        <w:r>
          <w:rPr>
            <w:color w:val="418BCA"/>
            <w:w w:val="110"/>
          </w:rPr>
          <w:t>reference documentation</w:t>
        </w:r>
      </w:hyperlink>
      <w:r>
        <w:rPr>
          <w:color w:val="333333"/>
          <w:w w:val="110"/>
        </w:rPr>
        <w:t>.</w:t>
      </w:r>
    </w:p>
    <w:p w14:paraId="5653CF0B" w14:textId="77777777" w:rsidR="00A720EB" w:rsidRDefault="00A720EB">
      <w:pPr>
        <w:pStyle w:val="a3"/>
        <w:spacing w:before="7"/>
        <w:rPr>
          <w:sz w:val="31"/>
        </w:rPr>
      </w:pPr>
    </w:p>
    <w:p w14:paraId="683AADD0" w14:textId="77777777" w:rsidR="00A720EB" w:rsidRDefault="0030286B">
      <w:pPr>
        <w:pStyle w:val="3"/>
        <w:numPr>
          <w:ilvl w:val="2"/>
          <w:numId w:val="68"/>
        </w:numPr>
        <w:tabs>
          <w:tab w:val="left" w:pos="1003"/>
        </w:tabs>
        <w:ind w:left="1002" w:hanging="879"/>
      </w:pPr>
      <w:bookmarkStart w:id="362" w:name="4.12.5._Elasticsearch"/>
      <w:bookmarkStart w:id="363" w:name="_Toc54423780"/>
      <w:bookmarkEnd w:id="362"/>
      <w:r>
        <w:rPr>
          <w:color w:val="333333"/>
          <w:w w:val="115"/>
        </w:rPr>
        <w:t>Elasticsearch</w:t>
      </w:r>
      <w:bookmarkEnd w:id="363"/>
    </w:p>
    <w:p w14:paraId="2E2AF615" w14:textId="77777777" w:rsidR="00A720EB" w:rsidRDefault="00E10349">
      <w:pPr>
        <w:pStyle w:val="a3"/>
        <w:spacing w:before="254" w:line="307" w:lineRule="auto"/>
        <w:ind w:left="124" w:right="134"/>
        <w:jc w:val="both"/>
      </w:pPr>
      <w:hyperlink r:id="rId246">
        <w:r w:rsidR="0030286B">
          <w:rPr>
            <w:color w:val="418BCA"/>
            <w:w w:val="110"/>
          </w:rPr>
          <w:t xml:space="preserve">Elasticsearch </w:t>
        </w:r>
      </w:hyperlink>
      <w:r w:rsidR="0030286B">
        <w:rPr>
          <w:color w:val="333333"/>
          <w:w w:val="110"/>
        </w:rPr>
        <w:t>is an open source, distributed, RESTful search and analytics engine. Spring Boot offers basic auto-configuration for Elasticsearch.</w:t>
      </w:r>
    </w:p>
    <w:p w14:paraId="412F3E39" w14:textId="77777777" w:rsidR="00A720EB" w:rsidRDefault="0030286B">
      <w:pPr>
        <w:pStyle w:val="a3"/>
        <w:spacing w:before="241"/>
        <w:ind w:left="124"/>
      </w:pPr>
      <w:r>
        <w:rPr>
          <w:color w:val="333333"/>
          <w:w w:val="110"/>
        </w:rPr>
        <w:t>Spring Boot supports several clients:</w:t>
      </w:r>
    </w:p>
    <w:p w14:paraId="4C72EC32" w14:textId="77777777" w:rsidR="00A720EB" w:rsidRDefault="00A720EB">
      <w:pPr>
        <w:pStyle w:val="a3"/>
        <w:spacing w:before="5"/>
        <w:rPr>
          <w:sz w:val="26"/>
        </w:rPr>
      </w:pPr>
    </w:p>
    <w:p w14:paraId="6FDC0BAF" w14:textId="77777777" w:rsidR="00A720EB" w:rsidRDefault="0030286B">
      <w:pPr>
        <w:pStyle w:val="a6"/>
        <w:numPr>
          <w:ilvl w:val="0"/>
          <w:numId w:val="42"/>
        </w:numPr>
        <w:tabs>
          <w:tab w:val="left" w:pos="485"/>
        </w:tabs>
        <w:rPr>
          <w:sz w:val="21"/>
        </w:rPr>
      </w:pPr>
      <w:r>
        <w:rPr>
          <w:color w:val="333333"/>
          <w:w w:val="110"/>
          <w:sz w:val="21"/>
        </w:rPr>
        <w:t>The official Java "Low Level" and "High Level" REST</w:t>
      </w:r>
      <w:r>
        <w:rPr>
          <w:color w:val="333333"/>
          <w:spacing w:val="30"/>
          <w:w w:val="110"/>
          <w:sz w:val="21"/>
        </w:rPr>
        <w:t xml:space="preserve"> </w:t>
      </w:r>
      <w:r>
        <w:rPr>
          <w:color w:val="333333"/>
          <w:w w:val="110"/>
          <w:sz w:val="21"/>
        </w:rPr>
        <w:t>clients</w:t>
      </w:r>
    </w:p>
    <w:p w14:paraId="67B92A63" w14:textId="77777777" w:rsidR="00A720EB" w:rsidRDefault="0030286B">
      <w:pPr>
        <w:pStyle w:val="a6"/>
        <w:numPr>
          <w:ilvl w:val="0"/>
          <w:numId w:val="42"/>
        </w:numPr>
        <w:tabs>
          <w:tab w:val="left" w:pos="485"/>
        </w:tabs>
        <w:spacing w:before="179"/>
        <w:rPr>
          <w:sz w:val="21"/>
        </w:rPr>
      </w:pPr>
      <w:r>
        <w:rPr>
          <w:color w:val="333333"/>
          <w:w w:val="110"/>
          <w:sz w:val="21"/>
        </w:rPr>
        <w:t xml:space="preserve">The </w:t>
      </w:r>
      <w:r>
        <w:rPr>
          <w:rFonts w:ascii="MS Gothic" w:hAnsi="MS Gothic"/>
          <w:color w:val="B02045"/>
          <w:w w:val="110"/>
          <w:sz w:val="21"/>
        </w:rPr>
        <w:t>ReactiveElasticsearchClient</w:t>
      </w:r>
      <w:r>
        <w:rPr>
          <w:rFonts w:ascii="MS Gothic" w:hAnsi="MS Gothic"/>
          <w:color w:val="B02045"/>
          <w:spacing w:val="-73"/>
          <w:w w:val="110"/>
          <w:sz w:val="21"/>
        </w:rPr>
        <w:t xml:space="preserve"> </w:t>
      </w:r>
      <w:r>
        <w:rPr>
          <w:color w:val="333333"/>
          <w:w w:val="110"/>
          <w:sz w:val="21"/>
        </w:rPr>
        <w:t xml:space="preserve">provided </w:t>
      </w:r>
      <w:r>
        <w:rPr>
          <w:color w:val="333333"/>
          <w:spacing w:val="-3"/>
          <w:w w:val="110"/>
          <w:sz w:val="21"/>
        </w:rPr>
        <w:t xml:space="preserve">by </w:t>
      </w:r>
      <w:r>
        <w:rPr>
          <w:color w:val="333333"/>
          <w:w w:val="110"/>
          <w:sz w:val="21"/>
        </w:rPr>
        <w:t>Spring Data Elasticsearch</w:t>
      </w:r>
    </w:p>
    <w:p w14:paraId="459C14DF" w14:textId="77777777" w:rsidR="00A720EB" w:rsidRDefault="00A720EB">
      <w:pPr>
        <w:rPr>
          <w:sz w:val="21"/>
        </w:rPr>
        <w:sectPr w:rsidR="00A720EB">
          <w:pgSz w:w="11910" w:h="16840"/>
          <w:pgMar w:top="620" w:right="840" w:bottom="520" w:left="840" w:header="0" w:footer="323" w:gutter="0"/>
          <w:cols w:space="720"/>
        </w:sectPr>
      </w:pPr>
    </w:p>
    <w:p w14:paraId="0FD980FD" w14:textId="77777777" w:rsidR="00A720EB" w:rsidRDefault="0030286B">
      <w:pPr>
        <w:pStyle w:val="a3"/>
        <w:spacing w:before="91"/>
        <w:ind w:left="124"/>
        <w:jc w:val="both"/>
      </w:pPr>
      <w:r>
        <w:rPr>
          <w:color w:val="333333"/>
          <w:w w:val="110"/>
        </w:rPr>
        <w:lastRenderedPageBreak/>
        <w:t xml:space="preserve">Spring Boot provides a dedicated “Starter”, </w:t>
      </w:r>
      <w:r>
        <w:rPr>
          <w:rFonts w:ascii="MS Gothic" w:hAnsi="MS Gothic"/>
          <w:color w:val="B02045"/>
          <w:w w:val="110"/>
        </w:rPr>
        <w:t>spring-boot-starter-data-elasticsearch</w:t>
      </w:r>
      <w:r>
        <w:rPr>
          <w:color w:val="333333"/>
          <w:w w:val="110"/>
        </w:rPr>
        <w:t>.</w:t>
      </w:r>
    </w:p>
    <w:p w14:paraId="26361273" w14:textId="77777777" w:rsidR="00A720EB" w:rsidRDefault="00A720EB">
      <w:pPr>
        <w:pStyle w:val="a3"/>
        <w:spacing w:before="5"/>
        <w:rPr>
          <w:sz w:val="30"/>
        </w:rPr>
      </w:pPr>
    </w:p>
    <w:p w14:paraId="036E8386" w14:textId="77777777" w:rsidR="00A720EB" w:rsidRDefault="0030286B">
      <w:pPr>
        <w:pStyle w:val="4"/>
        <w:spacing w:before="1"/>
      </w:pPr>
      <w:bookmarkStart w:id="364" w:name="Connecting_to_Elasticsearch_using_REST_c"/>
      <w:bookmarkEnd w:id="364"/>
      <w:r>
        <w:rPr>
          <w:color w:val="333333"/>
          <w:w w:val="110"/>
        </w:rPr>
        <w:t>Connecting to Elasticsearch using REST clients</w:t>
      </w:r>
    </w:p>
    <w:p w14:paraId="41B85291" w14:textId="77777777" w:rsidR="00A720EB" w:rsidRDefault="00A720EB">
      <w:pPr>
        <w:pStyle w:val="a3"/>
        <w:spacing w:before="11"/>
        <w:rPr>
          <w:rFonts w:ascii="Palatino Linotype"/>
          <w:b/>
          <w:sz w:val="18"/>
        </w:rPr>
      </w:pPr>
    </w:p>
    <w:p w14:paraId="574468EE" w14:textId="77777777" w:rsidR="00A720EB" w:rsidRDefault="0030286B">
      <w:pPr>
        <w:pStyle w:val="a3"/>
        <w:spacing w:line="307" w:lineRule="auto"/>
        <w:ind w:left="124" w:right="125"/>
        <w:jc w:val="both"/>
      </w:pPr>
      <w:r>
        <w:rPr>
          <w:color w:val="333333"/>
          <w:w w:val="110"/>
        </w:rPr>
        <w:t xml:space="preserve">Elasticsearch ships </w:t>
      </w:r>
      <w:hyperlink r:id="rId247">
        <w:r>
          <w:rPr>
            <w:color w:val="418BCA"/>
            <w:w w:val="110"/>
          </w:rPr>
          <w:t>two different REST clients</w:t>
        </w:r>
      </w:hyperlink>
      <w:r>
        <w:rPr>
          <w:color w:val="418BCA"/>
          <w:w w:val="110"/>
        </w:rPr>
        <w:t xml:space="preserve"> </w:t>
      </w:r>
      <w:r>
        <w:rPr>
          <w:color w:val="333333"/>
          <w:w w:val="110"/>
        </w:rPr>
        <w:t>that you can use to query a cluster: the "Low Level"  client and the "High Level" client.</w:t>
      </w:r>
    </w:p>
    <w:p w14:paraId="767A4DA5" w14:textId="77777777" w:rsidR="00A720EB" w:rsidRDefault="0030286B">
      <w:pPr>
        <w:pStyle w:val="a3"/>
        <w:spacing w:before="230" w:line="285" w:lineRule="auto"/>
        <w:ind w:left="124" w:right="124"/>
        <w:jc w:val="both"/>
      </w:pPr>
      <w:r>
        <w:rPr>
          <w:color w:val="333333"/>
          <w:w w:val="105"/>
        </w:rPr>
        <w:t xml:space="preserve">If you have the </w:t>
      </w:r>
      <w:proofErr w:type="gramStart"/>
      <w:r>
        <w:rPr>
          <w:rFonts w:ascii="MS Gothic"/>
          <w:color w:val="B02045"/>
          <w:w w:val="105"/>
        </w:rPr>
        <w:t>org.elasticsearch</w:t>
      </w:r>
      <w:proofErr w:type="gramEnd"/>
      <w:r>
        <w:rPr>
          <w:rFonts w:ascii="MS Gothic"/>
          <w:color w:val="B02045"/>
          <w:w w:val="105"/>
        </w:rPr>
        <w:t xml:space="preserve">.client:elasticsearch-rest-client </w:t>
      </w:r>
      <w:r>
        <w:rPr>
          <w:color w:val="333333"/>
          <w:w w:val="105"/>
        </w:rPr>
        <w:t xml:space="preserve">dependency on the classpath, </w:t>
      </w:r>
      <w:r>
        <w:rPr>
          <w:color w:val="333333"/>
          <w:w w:val="110"/>
        </w:rPr>
        <w:t xml:space="preserve">Spring Boot will auto-configure and register a </w:t>
      </w:r>
      <w:r>
        <w:rPr>
          <w:rFonts w:ascii="MS Gothic"/>
          <w:color w:val="B02045"/>
          <w:w w:val="110"/>
        </w:rPr>
        <w:t xml:space="preserve">RestClient </w:t>
      </w:r>
      <w:r>
        <w:rPr>
          <w:color w:val="333333"/>
          <w:w w:val="110"/>
        </w:rPr>
        <w:t xml:space="preserve">bean that by default targets </w:t>
      </w:r>
      <w:r>
        <w:rPr>
          <w:rFonts w:ascii="MS Gothic"/>
          <w:color w:val="418BCA"/>
          <w:w w:val="110"/>
        </w:rPr>
        <w:t>localhost:9200</w:t>
      </w:r>
      <w:r>
        <w:rPr>
          <w:color w:val="333333"/>
          <w:w w:val="110"/>
        </w:rPr>
        <w:t xml:space="preserve">. You can further tune how </w:t>
      </w:r>
      <w:r>
        <w:rPr>
          <w:rFonts w:ascii="MS Gothic"/>
          <w:color w:val="B02045"/>
          <w:w w:val="110"/>
        </w:rPr>
        <w:t xml:space="preserve">RestClient </w:t>
      </w:r>
      <w:r>
        <w:rPr>
          <w:color w:val="333333"/>
          <w:w w:val="110"/>
        </w:rPr>
        <w:t>is configured, as shown in the following example:</w:t>
      </w:r>
    </w:p>
    <w:p w14:paraId="4D01B551" w14:textId="77777777" w:rsidR="00A720EB" w:rsidRDefault="00E10349">
      <w:pPr>
        <w:pStyle w:val="a3"/>
        <w:spacing w:before="9"/>
        <w:rPr>
          <w:sz w:val="14"/>
        </w:rPr>
      </w:pPr>
      <w:r>
        <w:pict w14:anchorId="17B8D84C">
          <v:group id="_x0000_s4044" style="position:absolute;margin-left:47.85pt;margin-top:10.65pt;width:499.55pt;height:81.75pt;z-index:-15454720;mso-wrap-distance-left:0;mso-wrap-distance-right:0;mso-position-horizontal-relative:page" coordorigin="957,213" coordsize="9991,1635">
            <v:shape id="_x0000_s4047" style="position:absolute;left:964;top:220;width:9976;height:1620" coordorigin="965,220" coordsize="9976,1620" path="m10861,220r-9816,l1014,227r-26,17l971,269r-6,31l965,1759r6,32l988,1816r26,17l1045,1839r9816,l10892,1833r25,-17l10935,1791r6,-32l10941,300r-6,-31l10917,244r-25,-17l10861,220xe" fillcolor="#f5f5f5" stroked="f">
              <v:path arrowok="t"/>
            </v:shape>
            <v:shape id="_x0000_s4046" style="position:absolute;left:964;top:220;width:9976;height:1620" coordorigin="965,220" coordsize="9976,1620" path="m1045,220r9816,l10892,227r25,17l10935,269r6,31l10941,1759r-6,32l10917,1816r-25,17l10861,1839r-9816,l1014,1833r-26,-17l971,1791r-6,-32l965,300r6,-31l988,244r26,-17l1045,220xe" filled="f" strokecolor="#ccc">
              <v:path arrowok="t"/>
            </v:shape>
            <v:shape id="_x0000_s4045" type="#_x0000_t202" style="position:absolute;left:984;top:235;width:9938;height:1589" filled="f" stroked="f">
              <v:textbox inset="0,0,0,0">
                <w:txbxContent>
                  <w:p w14:paraId="30B9EEE1" w14:textId="77777777" w:rsidR="00711A16" w:rsidRDefault="00711A16">
                    <w:pPr>
                      <w:spacing w:before="221" w:line="252" w:lineRule="auto"/>
                      <w:ind w:left="200" w:right="2914"/>
                      <w:rPr>
                        <w:rFonts w:ascii="MS Gothic"/>
                      </w:rPr>
                    </w:pPr>
                    <w:proofErr w:type="gramStart"/>
                    <w:r>
                      <w:rPr>
                        <w:rFonts w:ascii="MS Gothic"/>
                        <w:color w:val="333333"/>
                      </w:rPr>
                      <w:t>spring.elasticsearch</w:t>
                    </w:r>
                    <w:proofErr w:type="gramEnd"/>
                    <w:r>
                      <w:rPr>
                        <w:rFonts w:ascii="MS Gothic"/>
                        <w:color w:val="333333"/>
                      </w:rPr>
                      <w:t>.rest.uris=https://search.example.com:9200 spring.elasticsearch.rest.read-timeout=10s spring.elasticsearch.rest.username=user spring.elasticsearch.rest.password=secret</w:t>
                    </w:r>
                  </w:p>
                </w:txbxContent>
              </v:textbox>
            </v:shape>
            <w10:wrap type="topAndBottom" anchorx="page"/>
          </v:group>
        </w:pict>
      </w:r>
    </w:p>
    <w:p w14:paraId="5595C05D" w14:textId="77777777" w:rsidR="00A720EB" w:rsidRDefault="00A720EB">
      <w:pPr>
        <w:pStyle w:val="a3"/>
        <w:spacing w:before="11"/>
        <w:rPr>
          <w:sz w:val="9"/>
        </w:rPr>
      </w:pPr>
    </w:p>
    <w:p w14:paraId="6D0184C0" w14:textId="77777777" w:rsidR="00A720EB" w:rsidRDefault="0030286B">
      <w:pPr>
        <w:pStyle w:val="a3"/>
        <w:spacing w:before="115" w:line="285" w:lineRule="auto"/>
        <w:ind w:left="124" w:right="122"/>
        <w:jc w:val="both"/>
      </w:pPr>
      <w:r>
        <w:rPr>
          <w:color w:val="333333"/>
          <w:spacing w:val="-6"/>
          <w:w w:val="110"/>
        </w:rPr>
        <w:t>You</w:t>
      </w:r>
      <w:r>
        <w:rPr>
          <w:color w:val="333333"/>
          <w:spacing w:val="-10"/>
          <w:w w:val="110"/>
        </w:rPr>
        <w:t xml:space="preserve"> </w:t>
      </w:r>
      <w:r>
        <w:rPr>
          <w:color w:val="333333"/>
          <w:w w:val="110"/>
        </w:rPr>
        <w:t>can</w:t>
      </w:r>
      <w:r>
        <w:rPr>
          <w:color w:val="333333"/>
          <w:spacing w:val="-9"/>
          <w:w w:val="110"/>
        </w:rPr>
        <w:t xml:space="preserve"> </w:t>
      </w:r>
      <w:r>
        <w:rPr>
          <w:color w:val="333333"/>
          <w:w w:val="110"/>
        </w:rPr>
        <w:t>also</w:t>
      </w:r>
      <w:r>
        <w:rPr>
          <w:color w:val="333333"/>
          <w:spacing w:val="-9"/>
          <w:w w:val="110"/>
        </w:rPr>
        <w:t xml:space="preserve"> </w:t>
      </w:r>
      <w:r>
        <w:rPr>
          <w:color w:val="333333"/>
          <w:w w:val="110"/>
        </w:rPr>
        <w:t>register</w:t>
      </w:r>
      <w:r>
        <w:rPr>
          <w:color w:val="333333"/>
          <w:spacing w:val="-9"/>
          <w:w w:val="110"/>
        </w:rPr>
        <w:t xml:space="preserve"> </w:t>
      </w:r>
      <w:r>
        <w:rPr>
          <w:color w:val="333333"/>
          <w:w w:val="110"/>
        </w:rPr>
        <w:t>an</w:t>
      </w:r>
      <w:r>
        <w:rPr>
          <w:color w:val="333333"/>
          <w:spacing w:val="-10"/>
          <w:w w:val="110"/>
        </w:rPr>
        <w:t xml:space="preserve"> </w:t>
      </w:r>
      <w:r>
        <w:rPr>
          <w:color w:val="333333"/>
          <w:w w:val="110"/>
        </w:rPr>
        <w:t>arbitrary</w:t>
      </w:r>
      <w:r>
        <w:rPr>
          <w:color w:val="333333"/>
          <w:spacing w:val="-10"/>
          <w:w w:val="110"/>
        </w:rPr>
        <w:t xml:space="preserve"> </w:t>
      </w:r>
      <w:r>
        <w:rPr>
          <w:color w:val="333333"/>
          <w:w w:val="110"/>
        </w:rPr>
        <w:t>number</w:t>
      </w:r>
      <w:r>
        <w:rPr>
          <w:color w:val="333333"/>
          <w:spacing w:val="-9"/>
          <w:w w:val="110"/>
        </w:rPr>
        <w:t xml:space="preserve"> </w:t>
      </w:r>
      <w:r>
        <w:rPr>
          <w:color w:val="333333"/>
          <w:w w:val="110"/>
        </w:rPr>
        <w:t>of</w:t>
      </w:r>
      <w:r>
        <w:rPr>
          <w:color w:val="333333"/>
          <w:spacing w:val="-9"/>
          <w:w w:val="110"/>
        </w:rPr>
        <w:t xml:space="preserve"> </w:t>
      </w:r>
      <w:r>
        <w:rPr>
          <w:color w:val="333333"/>
          <w:w w:val="110"/>
        </w:rPr>
        <w:t>beans</w:t>
      </w:r>
      <w:r>
        <w:rPr>
          <w:color w:val="333333"/>
          <w:spacing w:val="-10"/>
          <w:w w:val="110"/>
        </w:rPr>
        <w:t xml:space="preserve"> </w:t>
      </w:r>
      <w:r>
        <w:rPr>
          <w:color w:val="333333"/>
          <w:w w:val="110"/>
        </w:rPr>
        <w:t>that</w:t>
      </w:r>
      <w:r>
        <w:rPr>
          <w:color w:val="333333"/>
          <w:spacing w:val="-9"/>
          <w:w w:val="110"/>
        </w:rPr>
        <w:t xml:space="preserve"> </w:t>
      </w:r>
      <w:r>
        <w:rPr>
          <w:color w:val="333333"/>
          <w:w w:val="110"/>
        </w:rPr>
        <w:t>implement</w:t>
      </w:r>
      <w:r>
        <w:rPr>
          <w:color w:val="333333"/>
          <w:spacing w:val="-5"/>
          <w:w w:val="110"/>
        </w:rPr>
        <w:t xml:space="preserve"> </w:t>
      </w:r>
      <w:r>
        <w:rPr>
          <w:rFonts w:ascii="MS Gothic"/>
          <w:color w:val="B02045"/>
          <w:w w:val="110"/>
        </w:rPr>
        <w:t>RestClientBuilderCustomizer</w:t>
      </w:r>
      <w:r>
        <w:rPr>
          <w:rFonts w:ascii="MS Gothic"/>
          <w:color w:val="B02045"/>
          <w:spacing w:val="-74"/>
          <w:w w:val="110"/>
        </w:rPr>
        <w:t xml:space="preserve"> </w:t>
      </w:r>
      <w:r>
        <w:rPr>
          <w:color w:val="333333"/>
          <w:w w:val="110"/>
        </w:rPr>
        <w:t>for more</w:t>
      </w:r>
      <w:r>
        <w:rPr>
          <w:color w:val="333333"/>
          <w:spacing w:val="-7"/>
          <w:w w:val="110"/>
        </w:rPr>
        <w:t xml:space="preserve"> </w:t>
      </w:r>
      <w:r>
        <w:rPr>
          <w:color w:val="333333"/>
          <w:w w:val="110"/>
        </w:rPr>
        <w:t>advanced</w:t>
      </w:r>
      <w:r>
        <w:rPr>
          <w:color w:val="333333"/>
          <w:spacing w:val="-6"/>
          <w:w w:val="110"/>
        </w:rPr>
        <w:t xml:space="preserve"> </w:t>
      </w:r>
      <w:r>
        <w:rPr>
          <w:color w:val="333333"/>
          <w:w w:val="110"/>
        </w:rPr>
        <w:t>customizations.</w:t>
      </w:r>
      <w:r>
        <w:rPr>
          <w:color w:val="333333"/>
          <w:spacing w:val="-6"/>
          <w:w w:val="110"/>
        </w:rPr>
        <w:t xml:space="preserve"> </w:t>
      </w:r>
      <w:r>
        <w:rPr>
          <w:color w:val="333333"/>
          <w:spacing w:val="-4"/>
          <w:w w:val="110"/>
        </w:rPr>
        <w:t>To</w:t>
      </w:r>
      <w:r>
        <w:rPr>
          <w:color w:val="333333"/>
          <w:spacing w:val="-7"/>
          <w:w w:val="110"/>
        </w:rPr>
        <w:t xml:space="preserve"> </w:t>
      </w:r>
      <w:r>
        <w:rPr>
          <w:color w:val="333333"/>
          <w:w w:val="110"/>
        </w:rPr>
        <w:t>take</w:t>
      </w:r>
      <w:r>
        <w:rPr>
          <w:color w:val="333333"/>
          <w:spacing w:val="-6"/>
          <w:w w:val="110"/>
        </w:rPr>
        <w:t xml:space="preserve"> </w:t>
      </w:r>
      <w:r>
        <w:rPr>
          <w:color w:val="333333"/>
          <w:w w:val="110"/>
        </w:rPr>
        <w:t>full</w:t>
      </w:r>
      <w:r>
        <w:rPr>
          <w:color w:val="333333"/>
          <w:spacing w:val="-6"/>
          <w:w w:val="110"/>
        </w:rPr>
        <w:t xml:space="preserve"> </w:t>
      </w:r>
      <w:r>
        <w:rPr>
          <w:color w:val="333333"/>
          <w:w w:val="110"/>
        </w:rPr>
        <w:t>control</w:t>
      </w:r>
      <w:r>
        <w:rPr>
          <w:color w:val="333333"/>
          <w:spacing w:val="-7"/>
          <w:w w:val="110"/>
        </w:rPr>
        <w:t xml:space="preserve"> </w:t>
      </w:r>
      <w:r>
        <w:rPr>
          <w:color w:val="333333"/>
          <w:w w:val="110"/>
        </w:rPr>
        <w:t>over</w:t>
      </w:r>
      <w:r>
        <w:rPr>
          <w:color w:val="333333"/>
          <w:spacing w:val="-6"/>
          <w:w w:val="110"/>
        </w:rPr>
        <w:t xml:space="preserve"> </w:t>
      </w:r>
      <w:r>
        <w:rPr>
          <w:color w:val="333333"/>
          <w:w w:val="110"/>
        </w:rPr>
        <w:t>the</w:t>
      </w:r>
      <w:r>
        <w:rPr>
          <w:color w:val="333333"/>
          <w:spacing w:val="-6"/>
          <w:w w:val="110"/>
        </w:rPr>
        <w:t xml:space="preserve"> </w:t>
      </w:r>
      <w:r>
        <w:rPr>
          <w:color w:val="333333"/>
          <w:w w:val="110"/>
        </w:rPr>
        <w:t>registration,</w:t>
      </w:r>
      <w:r>
        <w:rPr>
          <w:color w:val="333333"/>
          <w:spacing w:val="-7"/>
          <w:w w:val="110"/>
        </w:rPr>
        <w:t xml:space="preserve"> </w:t>
      </w:r>
      <w:r>
        <w:rPr>
          <w:color w:val="333333"/>
          <w:w w:val="110"/>
        </w:rPr>
        <w:t>define</w:t>
      </w:r>
      <w:r>
        <w:rPr>
          <w:color w:val="333333"/>
          <w:spacing w:val="-6"/>
          <w:w w:val="110"/>
        </w:rPr>
        <w:t xml:space="preserve"> </w:t>
      </w:r>
      <w:r>
        <w:rPr>
          <w:color w:val="333333"/>
          <w:w w:val="110"/>
        </w:rPr>
        <w:t>a</w:t>
      </w:r>
      <w:r>
        <w:rPr>
          <w:color w:val="333333"/>
          <w:spacing w:val="-1"/>
          <w:w w:val="110"/>
        </w:rPr>
        <w:t xml:space="preserve"> </w:t>
      </w:r>
      <w:r>
        <w:rPr>
          <w:rFonts w:ascii="MS Gothic"/>
          <w:color w:val="B02045"/>
          <w:w w:val="110"/>
        </w:rPr>
        <w:t xml:space="preserve">RestClientBuilder </w:t>
      </w:r>
      <w:r>
        <w:rPr>
          <w:color w:val="333333"/>
          <w:w w:val="110"/>
        </w:rPr>
        <w:t>bean.</w:t>
      </w:r>
    </w:p>
    <w:p w14:paraId="6E4EB933" w14:textId="77777777" w:rsidR="00A720EB" w:rsidRDefault="00A720EB">
      <w:pPr>
        <w:pStyle w:val="a3"/>
        <w:spacing w:before="8"/>
      </w:pPr>
    </w:p>
    <w:p w14:paraId="5D23D8AE" w14:textId="77777777" w:rsidR="00A720EB" w:rsidRDefault="0030286B">
      <w:pPr>
        <w:pStyle w:val="a3"/>
        <w:spacing w:line="280" w:lineRule="auto"/>
        <w:ind w:left="124" w:right="125"/>
        <w:jc w:val="both"/>
      </w:pPr>
      <w:r>
        <w:rPr>
          <w:color w:val="333333"/>
          <w:w w:val="105"/>
        </w:rPr>
        <w:t xml:space="preserve">If you have the </w:t>
      </w:r>
      <w:proofErr w:type="gramStart"/>
      <w:r>
        <w:rPr>
          <w:rFonts w:ascii="MS Gothic"/>
          <w:color w:val="B02045"/>
          <w:w w:val="105"/>
        </w:rPr>
        <w:t>org.elasticsearch</w:t>
      </w:r>
      <w:proofErr w:type="gramEnd"/>
      <w:r>
        <w:rPr>
          <w:rFonts w:ascii="MS Gothic"/>
          <w:color w:val="B02045"/>
          <w:w w:val="105"/>
        </w:rPr>
        <w:t>.client:elasticsearch-rest-high-level-client</w:t>
      </w:r>
      <w:r>
        <w:rPr>
          <w:rFonts w:ascii="MS Gothic"/>
          <w:color w:val="B02045"/>
          <w:spacing w:val="-93"/>
          <w:w w:val="105"/>
        </w:rPr>
        <w:t xml:space="preserve"> </w:t>
      </w:r>
      <w:r>
        <w:rPr>
          <w:color w:val="333333"/>
          <w:w w:val="105"/>
        </w:rPr>
        <w:t xml:space="preserve">dependency on the </w:t>
      </w:r>
      <w:r>
        <w:rPr>
          <w:color w:val="333333"/>
          <w:w w:val="110"/>
        </w:rPr>
        <w:t xml:space="preserve">classpath, Spring Boot will auto-configure a </w:t>
      </w:r>
      <w:r>
        <w:rPr>
          <w:rFonts w:ascii="MS Gothic"/>
          <w:color w:val="B02045"/>
          <w:w w:val="110"/>
        </w:rPr>
        <w:t>RestHighLevelClient</w:t>
      </w:r>
      <w:r>
        <w:rPr>
          <w:color w:val="333333"/>
          <w:w w:val="110"/>
        </w:rPr>
        <w:t xml:space="preserve">, which leverages any existing </w:t>
      </w:r>
      <w:r>
        <w:rPr>
          <w:rFonts w:ascii="MS Gothic"/>
          <w:color w:val="B02045"/>
          <w:w w:val="110"/>
        </w:rPr>
        <w:t>RestClientBuilder</w:t>
      </w:r>
      <w:r>
        <w:rPr>
          <w:rFonts w:ascii="MS Gothic"/>
          <w:color w:val="B02045"/>
          <w:spacing w:val="-60"/>
          <w:w w:val="110"/>
        </w:rPr>
        <w:t xml:space="preserve"> </w:t>
      </w:r>
      <w:r>
        <w:rPr>
          <w:color w:val="333333"/>
          <w:w w:val="110"/>
        </w:rPr>
        <w:t>bean, reusing its HTTP configuration.</w:t>
      </w:r>
    </w:p>
    <w:p w14:paraId="433C6E7E" w14:textId="77777777" w:rsidR="00A720EB" w:rsidRDefault="00A720EB">
      <w:pPr>
        <w:pStyle w:val="a3"/>
        <w:spacing w:before="8"/>
        <w:rPr>
          <w:sz w:val="26"/>
        </w:rPr>
      </w:pPr>
    </w:p>
    <w:p w14:paraId="0067A51B" w14:textId="77777777" w:rsidR="00A720EB" w:rsidRDefault="0030286B">
      <w:pPr>
        <w:pStyle w:val="4"/>
      </w:pPr>
      <w:bookmarkStart w:id="365" w:name="Connecting_to_Elasticsearch_using_Reacti"/>
      <w:bookmarkEnd w:id="365"/>
      <w:r>
        <w:rPr>
          <w:color w:val="333333"/>
          <w:w w:val="115"/>
        </w:rPr>
        <w:t>Connecting to Elasticsearch using Reactive REST clients</w:t>
      </w:r>
    </w:p>
    <w:p w14:paraId="23359B4E" w14:textId="77777777" w:rsidR="00A720EB" w:rsidRDefault="00E10349">
      <w:pPr>
        <w:pStyle w:val="a3"/>
        <w:spacing w:before="244" w:line="280" w:lineRule="auto"/>
        <w:ind w:left="124" w:right="122"/>
        <w:jc w:val="both"/>
      </w:pPr>
      <w:hyperlink r:id="rId248">
        <w:r w:rsidR="0030286B">
          <w:rPr>
            <w:color w:val="418BCA"/>
            <w:w w:val="110"/>
          </w:rPr>
          <w:t>Spring</w:t>
        </w:r>
        <w:r w:rsidR="0030286B">
          <w:rPr>
            <w:color w:val="418BCA"/>
            <w:spacing w:val="-16"/>
            <w:w w:val="110"/>
          </w:rPr>
          <w:t xml:space="preserve"> </w:t>
        </w:r>
        <w:r w:rsidR="0030286B">
          <w:rPr>
            <w:color w:val="418BCA"/>
            <w:w w:val="110"/>
          </w:rPr>
          <w:t>Data</w:t>
        </w:r>
        <w:r w:rsidR="0030286B">
          <w:rPr>
            <w:color w:val="418BCA"/>
            <w:spacing w:val="-16"/>
            <w:w w:val="110"/>
          </w:rPr>
          <w:t xml:space="preserve"> </w:t>
        </w:r>
        <w:r w:rsidR="0030286B">
          <w:rPr>
            <w:color w:val="418BCA"/>
            <w:w w:val="110"/>
          </w:rPr>
          <w:t>Elasticsearch</w:t>
        </w:r>
        <w:r w:rsidR="0030286B">
          <w:rPr>
            <w:color w:val="418BCA"/>
            <w:spacing w:val="-15"/>
            <w:w w:val="110"/>
          </w:rPr>
          <w:t xml:space="preserve"> </w:t>
        </w:r>
      </w:hyperlink>
      <w:r w:rsidR="0030286B">
        <w:rPr>
          <w:color w:val="333333"/>
          <w:w w:val="110"/>
        </w:rPr>
        <w:t>ships</w:t>
      </w:r>
      <w:r w:rsidR="0030286B">
        <w:rPr>
          <w:color w:val="333333"/>
          <w:spacing w:val="-16"/>
          <w:w w:val="110"/>
        </w:rPr>
        <w:t xml:space="preserve"> </w:t>
      </w:r>
      <w:r w:rsidR="0030286B">
        <w:rPr>
          <w:rFonts w:ascii="MS Gothic" w:hAnsi="MS Gothic"/>
          <w:color w:val="B02045"/>
          <w:w w:val="110"/>
        </w:rPr>
        <w:t>ReactiveElasticsearchClient</w:t>
      </w:r>
      <w:r w:rsidR="0030286B">
        <w:rPr>
          <w:rFonts w:ascii="MS Gothic" w:hAnsi="MS Gothic"/>
          <w:color w:val="B02045"/>
          <w:spacing w:val="-80"/>
          <w:w w:val="110"/>
        </w:rPr>
        <w:t xml:space="preserve"> </w:t>
      </w:r>
      <w:r w:rsidR="0030286B">
        <w:rPr>
          <w:color w:val="333333"/>
          <w:w w:val="110"/>
        </w:rPr>
        <w:t>for</w:t>
      </w:r>
      <w:r w:rsidR="0030286B">
        <w:rPr>
          <w:color w:val="333333"/>
          <w:spacing w:val="-15"/>
          <w:w w:val="110"/>
        </w:rPr>
        <w:t xml:space="preserve"> </w:t>
      </w:r>
      <w:r w:rsidR="0030286B">
        <w:rPr>
          <w:color w:val="333333"/>
          <w:w w:val="110"/>
        </w:rPr>
        <w:t>querying</w:t>
      </w:r>
      <w:r w:rsidR="0030286B">
        <w:rPr>
          <w:color w:val="333333"/>
          <w:spacing w:val="-16"/>
          <w:w w:val="110"/>
        </w:rPr>
        <w:t xml:space="preserve"> </w:t>
      </w:r>
      <w:r w:rsidR="0030286B">
        <w:rPr>
          <w:color w:val="333333"/>
          <w:w w:val="110"/>
        </w:rPr>
        <w:t>Elasticsearch</w:t>
      </w:r>
      <w:r w:rsidR="0030286B">
        <w:rPr>
          <w:color w:val="333333"/>
          <w:spacing w:val="-15"/>
          <w:w w:val="110"/>
        </w:rPr>
        <w:t xml:space="preserve"> </w:t>
      </w:r>
      <w:r w:rsidR="0030286B">
        <w:rPr>
          <w:color w:val="333333"/>
          <w:w w:val="110"/>
        </w:rPr>
        <w:t>instances</w:t>
      </w:r>
      <w:r w:rsidR="0030286B">
        <w:rPr>
          <w:color w:val="333333"/>
          <w:spacing w:val="-16"/>
          <w:w w:val="110"/>
        </w:rPr>
        <w:t xml:space="preserve"> </w:t>
      </w:r>
      <w:r w:rsidR="0030286B">
        <w:rPr>
          <w:color w:val="333333"/>
          <w:w w:val="110"/>
        </w:rPr>
        <w:t xml:space="preserve">in a reactive fashion. It is built on top of </w:t>
      </w:r>
      <w:r w:rsidR="0030286B">
        <w:rPr>
          <w:color w:val="333333"/>
          <w:spacing w:val="-3"/>
          <w:w w:val="110"/>
        </w:rPr>
        <w:t xml:space="preserve">WebFlux’s </w:t>
      </w:r>
      <w:r w:rsidR="0030286B">
        <w:rPr>
          <w:rFonts w:ascii="MS Gothic" w:hAnsi="MS Gothic"/>
          <w:color w:val="B02045"/>
          <w:w w:val="110"/>
        </w:rPr>
        <w:t>WebClient</w:t>
      </w:r>
      <w:r w:rsidR="0030286B">
        <w:rPr>
          <w:color w:val="333333"/>
          <w:w w:val="110"/>
        </w:rPr>
        <w:t xml:space="preserve">, so both </w:t>
      </w:r>
      <w:r w:rsidR="0030286B">
        <w:rPr>
          <w:rFonts w:ascii="MS Gothic" w:hAnsi="MS Gothic"/>
          <w:color w:val="B02045"/>
          <w:w w:val="110"/>
        </w:rPr>
        <w:t>spring-boot-starter- elasticsearch</w:t>
      </w:r>
      <w:r w:rsidR="0030286B">
        <w:rPr>
          <w:rFonts w:ascii="MS Gothic" w:hAnsi="MS Gothic"/>
          <w:color w:val="B02045"/>
          <w:spacing w:val="-82"/>
          <w:w w:val="110"/>
        </w:rPr>
        <w:t xml:space="preserve"> </w:t>
      </w:r>
      <w:r w:rsidR="0030286B">
        <w:rPr>
          <w:color w:val="333333"/>
          <w:w w:val="110"/>
        </w:rPr>
        <w:t>and</w:t>
      </w:r>
      <w:r w:rsidR="0030286B">
        <w:rPr>
          <w:color w:val="333333"/>
          <w:spacing w:val="-17"/>
          <w:w w:val="110"/>
        </w:rPr>
        <w:t xml:space="preserve"> </w:t>
      </w:r>
      <w:r w:rsidR="0030286B">
        <w:rPr>
          <w:rFonts w:ascii="MS Gothic" w:hAnsi="MS Gothic"/>
          <w:color w:val="B02045"/>
          <w:w w:val="110"/>
        </w:rPr>
        <w:t>spring-boot-starter-webflux</w:t>
      </w:r>
      <w:r w:rsidR="0030286B">
        <w:rPr>
          <w:rFonts w:ascii="MS Gothic" w:hAnsi="MS Gothic"/>
          <w:color w:val="B02045"/>
          <w:spacing w:val="-81"/>
          <w:w w:val="110"/>
        </w:rPr>
        <w:t xml:space="preserve"> </w:t>
      </w:r>
      <w:r w:rsidR="0030286B">
        <w:rPr>
          <w:color w:val="333333"/>
          <w:w w:val="110"/>
        </w:rPr>
        <w:t>dependencies</w:t>
      </w:r>
      <w:r w:rsidR="0030286B">
        <w:rPr>
          <w:color w:val="333333"/>
          <w:spacing w:val="-18"/>
          <w:w w:val="110"/>
        </w:rPr>
        <w:t xml:space="preserve"> </w:t>
      </w:r>
      <w:r w:rsidR="0030286B">
        <w:rPr>
          <w:color w:val="333333"/>
          <w:w w:val="110"/>
        </w:rPr>
        <w:t>are</w:t>
      </w:r>
      <w:r w:rsidR="0030286B">
        <w:rPr>
          <w:color w:val="333333"/>
          <w:spacing w:val="-17"/>
          <w:w w:val="110"/>
        </w:rPr>
        <w:t xml:space="preserve"> </w:t>
      </w:r>
      <w:r w:rsidR="0030286B">
        <w:rPr>
          <w:color w:val="333333"/>
          <w:w w:val="110"/>
        </w:rPr>
        <w:t>useful</w:t>
      </w:r>
      <w:r w:rsidR="0030286B">
        <w:rPr>
          <w:color w:val="333333"/>
          <w:spacing w:val="-17"/>
          <w:w w:val="110"/>
        </w:rPr>
        <w:t xml:space="preserve"> </w:t>
      </w:r>
      <w:r w:rsidR="0030286B">
        <w:rPr>
          <w:color w:val="333333"/>
          <w:w w:val="110"/>
        </w:rPr>
        <w:t>to</w:t>
      </w:r>
      <w:r w:rsidR="0030286B">
        <w:rPr>
          <w:color w:val="333333"/>
          <w:spacing w:val="-17"/>
          <w:w w:val="110"/>
        </w:rPr>
        <w:t xml:space="preserve"> </w:t>
      </w:r>
      <w:r w:rsidR="0030286B">
        <w:rPr>
          <w:color w:val="333333"/>
          <w:w w:val="110"/>
        </w:rPr>
        <w:t>enable</w:t>
      </w:r>
      <w:r w:rsidR="0030286B">
        <w:rPr>
          <w:color w:val="333333"/>
          <w:spacing w:val="-17"/>
          <w:w w:val="110"/>
        </w:rPr>
        <w:t xml:space="preserve"> </w:t>
      </w:r>
      <w:r w:rsidR="0030286B">
        <w:rPr>
          <w:color w:val="333333"/>
          <w:w w:val="110"/>
        </w:rPr>
        <w:t>this</w:t>
      </w:r>
      <w:r w:rsidR="0030286B">
        <w:rPr>
          <w:color w:val="333333"/>
          <w:spacing w:val="-17"/>
          <w:w w:val="110"/>
        </w:rPr>
        <w:t xml:space="preserve"> </w:t>
      </w:r>
      <w:r w:rsidR="0030286B">
        <w:rPr>
          <w:color w:val="333333"/>
          <w:w w:val="110"/>
        </w:rPr>
        <w:t>support.</w:t>
      </w:r>
    </w:p>
    <w:p w14:paraId="5A93D667" w14:textId="77777777" w:rsidR="00A720EB" w:rsidRDefault="0030286B">
      <w:pPr>
        <w:pStyle w:val="a3"/>
        <w:spacing w:before="242" w:line="285" w:lineRule="auto"/>
        <w:ind w:left="124" w:right="123"/>
        <w:jc w:val="both"/>
      </w:pPr>
      <w:r>
        <w:rPr>
          <w:color w:val="333333"/>
          <w:spacing w:val="-3"/>
          <w:w w:val="110"/>
        </w:rPr>
        <w:t xml:space="preserve">By </w:t>
      </w:r>
      <w:r>
        <w:rPr>
          <w:color w:val="333333"/>
          <w:w w:val="110"/>
        </w:rPr>
        <w:t xml:space="preserve">default, Spring Boot will auto-configure and register a </w:t>
      </w:r>
      <w:r>
        <w:rPr>
          <w:rFonts w:ascii="MS Gothic"/>
          <w:color w:val="B02045"/>
          <w:w w:val="110"/>
        </w:rPr>
        <w:t xml:space="preserve">ReactiveElasticsearchClient </w:t>
      </w:r>
      <w:r>
        <w:rPr>
          <w:color w:val="333333"/>
          <w:w w:val="110"/>
        </w:rPr>
        <w:t xml:space="preserve">bean that targets </w:t>
      </w:r>
      <w:r>
        <w:rPr>
          <w:rFonts w:ascii="MS Gothic"/>
          <w:color w:val="418BCA"/>
          <w:w w:val="110"/>
        </w:rPr>
        <w:t>localhost:9200</w:t>
      </w:r>
      <w:r>
        <w:rPr>
          <w:color w:val="333333"/>
          <w:w w:val="110"/>
        </w:rPr>
        <w:t xml:space="preserve">. </w:t>
      </w:r>
      <w:r>
        <w:rPr>
          <w:color w:val="333333"/>
          <w:spacing w:val="-6"/>
          <w:w w:val="110"/>
        </w:rPr>
        <w:t xml:space="preserve">You </w:t>
      </w:r>
      <w:r>
        <w:rPr>
          <w:color w:val="333333"/>
          <w:w w:val="110"/>
        </w:rPr>
        <w:t>can further tune how it is configured, as shown in the following example:</w:t>
      </w:r>
    </w:p>
    <w:p w14:paraId="74951830" w14:textId="77777777" w:rsidR="00A720EB" w:rsidRDefault="00E10349">
      <w:pPr>
        <w:pStyle w:val="a3"/>
        <w:spacing w:before="1"/>
        <w:rPr>
          <w:sz w:val="15"/>
        </w:rPr>
      </w:pPr>
      <w:r>
        <w:pict w14:anchorId="294EAC75">
          <v:group id="_x0000_s4040" style="position:absolute;margin-left:47.85pt;margin-top:10.85pt;width:499.55pt;height:96.45pt;z-index:-15454208;mso-wrap-distance-left:0;mso-wrap-distance-right:0;mso-position-horizontal-relative:page" coordorigin="957,217" coordsize="9991,1929">
            <v:shape id="_x0000_s4043" style="position:absolute;left:964;top:224;width:9976;height:1914" coordorigin="965,224" coordsize="9976,1914" path="m10861,224r-9816,l1014,231r-26,17l971,273r-6,31l965,2058r6,32l988,2115r26,17l1045,2138r9816,l10892,2132r25,-17l10935,2090r6,-32l10941,304r-6,-31l10917,248r-25,-17l10861,224xe" fillcolor="#f5f5f5" stroked="f">
              <v:path arrowok="t"/>
            </v:shape>
            <v:shape id="_x0000_s4042" style="position:absolute;left:964;top:224;width:9976;height:1914" coordorigin="965,224" coordsize="9976,1914" path="m1045,224r9816,l10892,231r25,17l10935,273r6,31l10941,2058r-6,32l10917,2115r-25,17l10861,2138r-9816,l1014,2132r-26,-17l971,2090r-6,-32l965,304r6,-31l988,248r26,-17l1045,224xe" filled="f" strokecolor="#ccc">
              <v:path arrowok="t"/>
            </v:shape>
            <v:shape id="_x0000_s4041" type="#_x0000_t202" style="position:absolute;left:984;top:239;width:9938;height:1884" filled="f" stroked="f">
              <v:textbox inset="0,0,0,0">
                <w:txbxContent>
                  <w:p w14:paraId="7E006207" w14:textId="77777777" w:rsidR="00711A16" w:rsidRDefault="00711A16">
                    <w:pPr>
                      <w:spacing w:before="221" w:line="252" w:lineRule="auto"/>
                      <w:ind w:left="200" w:right="1484"/>
                      <w:rPr>
                        <w:rFonts w:ascii="MS Gothic"/>
                      </w:rPr>
                    </w:pPr>
                    <w:r>
                      <w:rPr>
                        <w:rFonts w:ascii="MS Gothic"/>
                        <w:color w:val="333333"/>
                      </w:rPr>
                      <w:t>spring.data.elasticsearch.client.reactive.endpoints=search.example.com:9200 spring.data.elasticsearch.client.reactive.use-ssl=true spring.</w:t>
                    </w:r>
                    <w:proofErr w:type="gramStart"/>
                    <w:r>
                      <w:rPr>
                        <w:rFonts w:ascii="MS Gothic"/>
                        <w:color w:val="333333"/>
                      </w:rPr>
                      <w:t>data.elasticsearch</w:t>
                    </w:r>
                    <w:proofErr w:type="gramEnd"/>
                    <w:r>
                      <w:rPr>
                        <w:rFonts w:ascii="MS Gothic"/>
                        <w:color w:val="333333"/>
                      </w:rPr>
                      <w:t>.client.reactive.socket-timeout=10s spring.data.elasticsearch.client.reactive.username=user spring.data.elasticsearch.client.reactive.password=secret</w:t>
                    </w:r>
                  </w:p>
                </w:txbxContent>
              </v:textbox>
            </v:shape>
            <w10:wrap type="topAndBottom" anchorx="page"/>
          </v:group>
        </w:pict>
      </w:r>
    </w:p>
    <w:p w14:paraId="16CDE36C" w14:textId="77777777" w:rsidR="00A720EB" w:rsidRDefault="00A720EB">
      <w:pPr>
        <w:pStyle w:val="a3"/>
        <w:rPr>
          <w:sz w:val="10"/>
        </w:rPr>
      </w:pPr>
    </w:p>
    <w:p w14:paraId="739A74FB" w14:textId="77777777" w:rsidR="00A720EB" w:rsidRDefault="0030286B">
      <w:pPr>
        <w:pStyle w:val="a3"/>
        <w:spacing w:before="125" w:line="297" w:lineRule="auto"/>
        <w:ind w:left="124" w:right="359"/>
      </w:pPr>
      <w:r>
        <w:rPr>
          <w:color w:val="333333"/>
          <w:w w:val="110"/>
        </w:rPr>
        <w:t xml:space="preserve">If the configuration properties are not enough and you’d like to fully </w:t>
      </w:r>
      <w:proofErr w:type="gramStart"/>
      <w:r>
        <w:rPr>
          <w:color w:val="333333"/>
          <w:w w:val="110"/>
        </w:rPr>
        <w:t>control  the</w:t>
      </w:r>
      <w:proofErr w:type="gramEnd"/>
      <w:r>
        <w:rPr>
          <w:color w:val="333333"/>
          <w:w w:val="110"/>
        </w:rPr>
        <w:t xml:space="preserve">  client  configuration, you can register a custom </w:t>
      </w:r>
      <w:r>
        <w:rPr>
          <w:rFonts w:ascii="MS Gothic" w:hAnsi="MS Gothic"/>
          <w:color w:val="B02045"/>
          <w:w w:val="110"/>
        </w:rPr>
        <w:t>ClientConfiguration</w:t>
      </w:r>
      <w:r>
        <w:rPr>
          <w:rFonts w:ascii="MS Gothic" w:hAnsi="MS Gothic"/>
          <w:color w:val="B02045"/>
          <w:spacing w:val="-57"/>
          <w:w w:val="110"/>
        </w:rPr>
        <w:t xml:space="preserve"> </w:t>
      </w:r>
      <w:r>
        <w:rPr>
          <w:color w:val="333333"/>
          <w:w w:val="110"/>
        </w:rPr>
        <w:t>bean.</w:t>
      </w:r>
    </w:p>
    <w:p w14:paraId="0786BDB8" w14:textId="77777777" w:rsidR="00A720EB" w:rsidRDefault="00A720EB">
      <w:pPr>
        <w:pStyle w:val="a3"/>
        <w:spacing w:before="11"/>
        <w:rPr>
          <w:sz w:val="24"/>
        </w:rPr>
      </w:pPr>
    </w:p>
    <w:p w14:paraId="5728EB1F" w14:textId="77777777" w:rsidR="00A720EB" w:rsidRDefault="0030286B">
      <w:pPr>
        <w:pStyle w:val="4"/>
        <w:jc w:val="left"/>
      </w:pPr>
      <w:bookmarkStart w:id="366" w:name="Connecting_to_Elasticsearch_by_Using_Spr"/>
      <w:bookmarkEnd w:id="366"/>
      <w:r>
        <w:rPr>
          <w:color w:val="333333"/>
          <w:w w:val="110"/>
        </w:rPr>
        <w:t>Connecting to Elasticsearch by Using Spring Data</w:t>
      </w:r>
    </w:p>
    <w:p w14:paraId="57D0F5B4" w14:textId="77777777" w:rsidR="00A720EB" w:rsidRDefault="0030286B">
      <w:pPr>
        <w:pStyle w:val="a3"/>
        <w:spacing w:before="244" w:line="290" w:lineRule="auto"/>
        <w:ind w:left="124"/>
      </w:pPr>
      <w:r>
        <w:rPr>
          <w:color w:val="333333"/>
          <w:spacing w:val="-4"/>
          <w:w w:val="110"/>
        </w:rPr>
        <w:t xml:space="preserve">To </w:t>
      </w:r>
      <w:r>
        <w:rPr>
          <w:color w:val="333333"/>
          <w:w w:val="110"/>
        </w:rPr>
        <w:t xml:space="preserve">connect to Elasticsearch, a </w:t>
      </w:r>
      <w:r>
        <w:rPr>
          <w:rFonts w:ascii="MS Gothic"/>
          <w:color w:val="B02045"/>
          <w:w w:val="110"/>
        </w:rPr>
        <w:t>RestHighLevelClient</w:t>
      </w:r>
      <w:r>
        <w:rPr>
          <w:rFonts w:ascii="MS Gothic"/>
          <w:color w:val="B02045"/>
          <w:spacing w:val="-100"/>
          <w:w w:val="110"/>
        </w:rPr>
        <w:t xml:space="preserve"> </w:t>
      </w:r>
      <w:r>
        <w:rPr>
          <w:color w:val="333333"/>
          <w:w w:val="110"/>
        </w:rPr>
        <w:t xml:space="preserve">bean must be defined, auto-configured </w:t>
      </w:r>
      <w:r>
        <w:rPr>
          <w:color w:val="333333"/>
          <w:spacing w:val="-3"/>
          <w:w w:val="110"/>
        </w:rPr>
        <w:t xml:space="preserve">by </w:t>
      </w:r>
      <w:r>
        <w:rPr>
          <w:color w:val="333333"/>
          <w:w w:val="110"/>
        </w:rPr>
        <w:t xml:space="preserve">Spring Boot or manually provided </w:t>
      </w:r>
      <w:r>
        <w:rPr>
          <w:color w:val="333333"/>
          <w:spacing w:val="-3"/>
          <w:w w:val="110"/>
        </w:rPr>
        <w:t xml:space="preserve">by </w:t>
      </w:r>
      <w:r>
        <w:rPr>
          <w:color w:val="333333"/>
          <w:w w:val="110"/>
        </w:rPr>
        <w:t>the application (see previous sections). With this configuration in</w:t>
      </w:r>
    </w:p>
    <w:p w14:paraId="066ED462" w14:textId="77777777" w:rsidR="00A720EB" w:rsidRDefault="00A720EB">
      <w:pPr>
        <w:spacing w:line="290" w:lineRule="auto"/>
        <w:sectPr w:rsidR="00A720EB">
          <w:pgSz w:w="11910" w:h="16840"/>
          <w:pgMar w:top="640" w:right="840" w:bottom="520" w:left="840" w:header="0" w:footer="323" w:gutter="0"/>
          <w:cols w:space="720"/>
        </w:sectPr>
      </w:pPr>
    </w:p>
    <w:p w14:paraId="64D66CD8" w14:textId="77777777" w:rsidR="00A720EB" w:rsidRDefault="0030286B">
      <w:pPr>
        <w:pStyle w:val="a3"/>
        <w:spacing w:before="96" w:line="290" w:lineRule="auto"/>
        <w:ind w:left="124" w:right="359"/>
      </w:pPr>
      <w:r>
        <w:rPr>
          <w:color w:val="333333"/>
          <w:w w:val="110"/>
        </w:rPr>
        <w:lastRenderedPageBreak/>
        <w:t xml:space="preserve">place, an </w:t>
      </w:r>
      <w:r>
        <w:rPr>
          <w:rFonts w:ascii="MS Gothic"/>
          <w:color w:val="B02045"/>
          <w:w w:val="110"/>
        </w:rPr>
        <w:t xml:space="preserve">ElasticsearchRestTemplate </w:t>
      </w:r>
      <w:r>
        <w:rPr>
          <w:color w:val="333333"/>
          <w:w w:val="110"/>
        </w:rPr>
        <w:t>can be injected like any other Spring bean, as shown in the following example:</w:t>
      </w:r>
    </w:p>
    <w:p w14:paraId="111A91FC" w14:textId="77777777" w:rsidR="00A720EB" w:rsidRDefault="00E10349">
      <w:pPr>
        <w:pStyle w:val="a3"/>
        <w:spacing w:before="7"/>
        <w:rPr>
          <w:sz w:val="14"/>
        </w:rPr>
      </w:pPr>
      <w:r>
        <w:pict w14:anchorId="4A3ADDF8">
          <v:group id="_x0000_s4036" style="position:absolute;margin-left:47.85pt;margin-top:10.55pt;width:499.55pt;height:199.65pt;z-index:-15453696;mso-wrap-distance-left:0;mso-wrap-distance-right:0;mso-position-horizontal-relative:page" coordorigin="957,211" coordsize="9991,3993">
            <v:shape id="_x0000_s4039" style="position:absolute;left:964;top:218;width:9976;height:3978" coordorigin="965,219" coordsize="9976,3978" path="m10861,219r-9816,l1014,225r-26,17l971,268r-6,31l965,4117r6,31l988,4173r26,17l1045,4197r9816,l10892,4190r25,-17l10935,4148r6,-31l10941,299r-6,-31l10917,242r-25,-17l10861,219xe" fillcolor="#f5f5f5" stroked="f">
              <v:path arrowok="t"/>
            </v:shape>
            <v:shape id="_x0000_s4038" style="position:absolute;left:964;top:218;width:9976;height:3978" coordorigin="965,219" coordsize="9976,3978" path="m1045,219r9816,l10892,225r25,17l10935,268r6,31l10941,4117r-6,31l10917,4173r-25,17l10861,4197r-9816,l1014,4190r-26,-17l971,4148r-6,-31l965,299r6,-31l988,242r26,-17l1045,219xe" filled="f" strokecolor="#ccc">
              <v:path arrowok="t"/>
            </v:shape>
            <v:shape id="_x0000_s4037" type="#_x0000_t202" style="position:absolute;left:984;top:234;width:9938;height:3947" filled="f" stroked="f">
              <v:textbox inset="0,0,0,0">
                <w:txbxContent>
                  <w:p w14:paraId="59BB5ED2" w14:textId="77777777" w:rsidR="00711A16" w:rsidRDefault="00711A16">
                    <w:pPr>
                      <w:spacing w:before="221"/>
                      <w:ind w:left="200"/>
                      <w:rPr>
                        <w:rFonts w:ascii="MS Gothic"/>
                      </w:rPr>
                    </w:pPr>
                    <w:r>
                      <w:rPr>
                        <w:rFonts w:ascii="MS Gothic"/>
                        <w:color w:val="333333"/>
                      </w:rPr>
                      <w:t>@Component</w:t>
                    </w:r>
                  </w:p>
                  <w:p w14:paraId="04317955" w14:textId="77777777" w:rsidR="00711A16" w:rsidRDefault="00711A16">
                    <w:pPr>
                      <w:spacing w:before="13"/>
                      <w:ind w:left="200"/>
                      <w:rPr>
                        <w:rFonts w:ascii="MS Gothic"/>
                      </w:rPr>
                    </w:pPr>
                    <w:r>
                      <w:rPr>
                        <w:rFonts w:ascii="MS Gothic"/>
                        <w:color w:val="333333"/>
                      </w:rPr>
                      <w:t>public class MyBean {</w:t>
                    </w:r>
                  </w:p>
                  <w:p w14:paraId="79085996" w14:textId="77777777" w:rsidR="00711A16" w:rsidRDefault="00711A16">
                    <w:pPr>
                      <w:spacing w:line="590" w:lineRule="atLeast"/>
                      <w:ind w:left="640" w:right="3668"/>
                      <w:rPr>
                        <w:rFonts w:ascii="MS Gothic"/>
                      </w:rPr>
                    </w:pPr>
                    <w:r>
                      <w:rPr>
                        <w:rFonts w:ascii="MS Gothic"/>
                        <w:color w:val="333333"/>
                      </w:rPr>
                      <w:t xml:space="preserve">private final ElasticsearchRestTemplate template; public </w:t>
                    </w:r>
                    <w:proofErr w:type="gramStart"/>
                    <w:r>
                      <w:rPr>
                        <w:rFonts w:ascii="MS Gothic"/>
                        <w:color w:val="333333"/>
                      </w:rPr>
                      <w:t>MyBean(</w:t>
                    </w:r>
                    <w:proofErr w:type="gramEnd"/>
                    <w:r>
                      <w:rPr>
                        <w:rFonts w:ascii="MS Gothic"/>
                        <w:color w:val="333333"/>
                      </w:rPr>
                      <w:t>ElasticsearchRestTemplate template) {</w:t>
                    </w:r>
                  </w:p>
                  <w:p w14:paraId="5061DA09" w14:textId="77777777" w:rsidR="00711A16" w:rsidRDefault="00711A16">
                    <w:pPr>
                      <w:spacing w:before="12"/>
                      <w:ind w:left="1080"/>
                      <w:rPr>
                        <w:rFonts w:ascii="MS Gothic"/>
                      </w:rPr>
                    </w:pPr>
                    <w:proofErr w:type="gramStart"/>
                    <w:r>
                      <w:rPr>
                        <w:rFonts w:ascii="MS Gothic"/>
                        <w:color w:val="333333"/>
                      </w:rPr>
                      <w:t>this.template</w:t>
                    </w:r>
                    <w:proofErr w:type="gramEnd"/>
                    <w:r>
                      <w:rPr>
                        <w:rFonts w:ascii="MS Gothic"/>
                        <w:color w:val="333333"/>
                      </w:rPr>
                      <w:t xml:space="preserve"> = template;</w:t>
                    </w:r>
                  </w:p>
                  <w:p w14:paraId="54F65F90" w14:textId="77777777" w:rsidR="00711A16" w:rsidRDefault="00711A16">
                    <w:pPr>
                      <w:spacing w:before="13"/>
                      <w:ind w:left="640"/>
                      <w:rPr>
                        <w:rFonts w:ascii="MS Gothic"/>
                      </w:rPr>
                    </w:pPr>
                    <w:r>
                      <w:rPr>
                        <w:rFonts w:ascii="MS Gothic"/>
                        <w:color w:val="333333"/>
                      </w:rPr>
                      <w:t>}</w:t>
                    </w:r>
                  </w:p>
                  <w:p w14:paraId="0ABCFE6B" w14:textId="77777777" w:rsidR="00711A16" w:rsidRDefault="00711A16">
                    <w:pPr>
                      <w:rPr>
                        <w:rFonts w:ascii="MS Gothic"/>
                        <w:sz w:val="24"/>
                      </w:rPr>
                    </w:pPr>
                  </w:p>
                  <w:p w14:paraId="0F78FFF4" w14:textId="77777777" w:rsidR="00711A16" w:rsidRDefault="00711A16">
                    <w:pPr>
                      <w:ind w:left="640"/>
                      <w:rPr>
                        <w:rFonts w:ascii="MS Gothic"/>
                      </w:rPr>
                    </w:pPr>
                    <w:r>
                      <w:rPr>
                        <w:rFonts w:ascii="MS Gothic"/>
                        <w:color w:val="333333"/>
                      </w:rPr>
                      <w:t>// ...</w:t>
                    </w:r>
                  </w:p>
                  <w:p w14:paraId="2FFFE625" w14:textId="77777777" w:rsidR="00711A16" w:rsidRDefault="00711A16">
                    <w:pPr>
                      <w:rPr>
                        <w:rFonts w:ascii="MS Gothic"/>
                        <w:sz w:val="24"/>
                      </w:rPr>
                    </w:pPr>
                  </w:p>
                  <w:p w14:paraId="072CDD41" w14:textId="77777777" w:rsidR="00711A16" w:rsidRDefault="00711A16">
                    <w:pPr>
                      <w:ind w:left="200"/>
                      <w:rPr>
                        <w:rFonts w:ascii="MS Gothic"/>
                      </w:rPr>
                    </w:pPr>
                    <w:r>
                      <w:rPr>
                        <w:rFonts w:ascii="MS Gothic"/>
                        <w:color w:val="333333"/>
                      </w:rPr>
                      <w:t>}</w:t>
                    </w:r>
                  </w:p>
                </w:txbxContent>
              </v:textbox>
            </v:shape>
            <w10:wrap type="topAndBottom" anchorx="page"/>
          </v:group>
        </w:pict>
      </w:r>
    </w:p>
    <w:p w14:paraId="435F1928" w14:textId="77777777" w:rsidR="00A720EB" w:rsidRDefault="00A720EB">
      <w:pPr>
        <w:pStyle w:val="a3"/>
        <w:spacing w:before="11"/>
        <w:rPr>
          <w:sz w:val="9"/>
        </w:rPr>
      </w:pPr>
    </w:p>
    <w:p w14:paraId="3254FE9B" w14:textId="77777777" w:rsidR="00A720EB" w:rsidRDefault="0030286B">
      <w:pPr>
        <w:pStyle w:val="a3"/>
        <w:spacing w:before="115" w:line="285" w:lineRule="auto"/>
        <w:ind w:left="124" w:right="122"/>
        <w:jc w:val="both"/>
      </w:pPr>
      <w:r>
        <w:rPr>
          <w:color w:val="333333"/>
          <w:w w:val="110"/>
        </w:rPr>
        <w:t xml:space="preserve">In the presence of </w:t>
      </w:r>
      <w:r>
        <w:rPr>
          <w:rFonts w:ascii="MS Gothic"/>
          <w:color w:val="B02045"/>
          <w:w w:val="110"/>
        </w:rPr>
        <w:t>spring-data-elasticsearch</w:t>
      </w:r>
      <w:r>
        <w:rPr>
          <w:rFonts w:ascii="MS Gothic"/>
          <w:color w:val="B02045"/>
          <w:spacing w:val="-98"/>
          <w:w w:val="110"/>
        </w:rPr>
        <w:t xml:space="preserve"> </w:t>
      </w:r>
      <w:r>
        <w:rPr>
          <w:color w:val="333333"/>
          <w:w w:val="110"/>
        </w:rPr>
        <w:t xml:space="preserve">and the required dependencies for using a </w:t>
      </w:r>
      <w:r>
        <w:rPr>
          <w:rFonts w:ascii="MS Gothic"/>
          <w:color w:val="B02045"/>
          <w:w w:val="110"/>
        </w:rPr>
        <w:t xml:space="preserve">WebClient </w:t>
      </w:r>
      <w:r>
        <w:rPr>
          <w:color w:val="333333"/>
          <w:w w:val="110"/>
        </w:rPr>
        <w:t xml:space="preserve">(typically </w:t>
      </w:r>
      <w:r>
        <w:rPr>
          <w:rFonts w:ascii="MS Gothic"/>
          <w:color w:val="B02045"/>
          <w:w w:val="110"/>
        </w:rPr>
        <w:t>spring-boot-starter-webflux</w:t>
      </w:r>
      <w:r>
        <w:rPr>
          <w:color w:val="333333"/>
          <w:w w:val="110"/>
        </w:rPr>
        <w:t xml:space="preserve">), Spring Boot can also auto-configure a </w:t>
      </w:r>
      <w:hyperlink w:anchor="_bookmark240" w:history="1">
        <w:r>
          <w:rPr>
            <w:color w:val="418BCA"/>
            <w:w w:val="110"/>
          </w:rPr>
          <w:t>ReactiveElasticsearchClient</w:t>
        </w:r>
      </w:hyperlink>
      <w:r>
        <w:rPr>
          <w:color w:val="418BCA"/>
          <w:w w:val="110"/>
        </w:rPr>
        <w:t xml:space="preserve"> </w:t>
      </w:r>
      <w:r>
        <w:rPr>
          <w:color w:val="333333"/>
          <w:w w:val="110"/>
        </w:rPr>
        <w:t xml:space="preserve">and a </w:t>
      </w:r>
      <w:r>
        <w:rPr>
          <w:rFonts w:ascii="MS Gothic"/>
          <w:color w:val="B02045"/>
          <w:w w:val="110"/>
        </w:rPr>
        <w:t xml:space="preserve">ReactiveElasticsearchTemplate </w:t>
      </w:r>
      <w:r>
        <w:rPr>
          <w:color w:val="333333"/>
          <w:w w:val="110"/>
        </w:rPr>
        <w:t>as beans. They are the reactive equivalent of the other REST clients.</w:t>
      </w:r>
    </w:p>
    <w:p w14:paraId="01B84971" w14:textId="77777777" w:rsidR="00A720EB" w:rsidRDefault="00A720EB">
      <w:pPr>
        <w:pStyle w:val="a3"/>
        <w:spacing w:before="3"/>
        <w:rPr>
          <w:sz w:val="27"/>
        </w:rPr>
      </w:pPr>
    </w:p>
    <w:p w14:paraId="15E63252" w14:textId="77777777" w:rsidR="00A720EB" w:rsidRDefault="0030286B">
      <w:pPr>
        <w:pStyle w:val="4"/>
      </w:pPr>
      <w:bookmarkStart w:id="367" w:name="Spring_Data_Elasticsearch_Repositories"/>
      <w:bookmarkEnd w:id="367"/>
      <w:r>
        <w:rPr>
          <w:color w:val="333333"/>
          <w:w w:val="110"/>
        </w:rPr>
        <w:t>Spring Data Elasticsearch Repositories</w:t>
      </w:r>
    </w:p>
    <w:p w14:paraId="3B252518" w14:textId="77777777" w:rsidR="00A720EB" w:rsidRDefault="00A720EB">
      <w:pPr>
        <w:pStyle w:val="a3"/>
        <w:spacing w:before="12"/>
        <w:rPr>
          <w:rFonts w:ascii="Palatino Linotype"/>
          <w:b/>
          <w:sz w:val="18"/>
        </w:rPr>
      </w:pPr>
    </w:p>
    <w:p w14:paraId="1B0CE822" w14:textId="77777777" w:rsidR="00A720EB" w:rsidRDefault="0030286B">
      <w:pPr>
        <w:pStyle w:val="a3"/>
        <w:spacing w:line="307" w:lineRule="auto"/>
        <w:ind w:left="124" w:right="127"/>
        <w:jc w:val="both"/>
      </w:pPr>
      <w:r>
        <w:rPr>
          <w:color w:val="333333"/>
          <w:w w:val="110"/>
        </w:rPr>
        <w:t>Spring Data includes repository support for Elasticsearch. As with the JPA repositories discussed earlier, the basic principle is that queries are constructed for you automatically based on method names.</w:t>
      </w:r>
    </w:p>
    <w:p w14:paraId="59320EBB" w14:textId="77777777" w:rsidR="00A720EB" w:rsidRDefault="0030286B">
      <w:pPr>
        <w:pStyle w:val="a3"/>
        <w:spacing w:before="241" w:line="290" w:lineRule="auto"/>
        <w:ind w:left="124" w:right="122"/>
        <w:jc w:val="both"/>
      </w:pPr>
      <w:r>
        <w:rPr>
          <w:color w:val="333333"/>
          <w:w w:val="110"/>
        </w:rPr>
        <w:t xml:space="preserve">In fact, both Spring Data JPA and Spring Data Elasticsearch share the same common infrastructure. You could take the JPA example from earlier and, assuming that </w:t>
      </w:r>
      <w:r>
        <w:rPr>
          <w:rFonts w:ascii="MS Gothic"/>
          <w:color w:val="B02045"/>
          <w:w w:val="110"/>
        </w:rPr>
        <w:t xml:space="preserve">City </w:t>
      </w:r>
      <w:r>
        <w:rPr>
          <w:color w:val="333333"/>
          <w:w w:val="110"/>
        </w:rPr>
        <w:t xml:space="preserve">is now an Elasticsearch </w:t>
      </w:r>
      <w:r>
        <w:rPr>
          <w:rFonts w:ascii="MS Gothic"/>
          <w:color w:val="B02045"/>
          <w:w w:val="110"/>
        </w:rPr>
        <w:t xml:space="preserve">@Document </w:t>
      </w:r>
      <w:r>
        <w:rPr>
          <w:color w:val="333333"/>
          <w:w w:val="110"/>
        </w:rPr>
        <w:t xml:space="preserve">class rather than a JPA </w:t>
      </w:r>
      <w:r>
        <w:rPr>
          <w:rFonts w:ascii="MS Gothic"/>
          <w:color w:val="B02045"/>
          <w:w w:val="110"/>
        </w:rPr>
        <w:t>@Entity</w:t>
      </w:r>
      <w:r>
        <w:rPr>
          <w:color w:val="333333"/>
          <w:w w:val="110"/>
        </w:rPr>
        <w:t>, it works in the same way.</w:t>
      </w:r>
    </w:p>
    <w:p w14:paraId="706C067B" w14:textId="77777777" w:rsidR="00A720EB" w:rsidRDefault="00A720EB">
      <w:pPr>
        <w:pStyle w:val="a3"/>
        <w:spacing w:before="1"/>
        <w:rPr>
          <w:sz w:val="27"/>
        </w:rPr>
      </w:pPr>
    </w:p>
    <w:p w14:paraId="7B4181C2" w14:textId="77777777" w:rsidR="00A720EB" w:rsidRDefault="00E10349">
      <w:pPr>
        <w:pStyle w:val="a3"/>
        <w:spacing w:line="307" w:lineRule="auto"/>
        <w:ind w:left="1564" w:right="462"/>
      </w:pPr>
      <w:r>
        <w:pict w14:anchorId="4F624849">
          <v:line id="_x0000_s4035" style="position:absolute;left:0;text-align:left;z-index:16004608;mso-position-horizontal-relative:page" from="108.25pt,-6pt" to="108.25pt,33.55pt" strokecolor="#ededed" strokeweight=".5pt">
            <w10:wrap anchorx="page"/>
          </v:line>
        </w:pict>
      </w:r>
      <w:r w:rsidR="0030286B">
        <w:rPr>
          <w:noProof/>
        </w:rPr>
        <w:drawing>
          <wp:anchor distT="0" distB="0" distL="0" distR="0" simplePos="0" relativeHeight="16005120" behindDoc="0" locked="0" layoutInCell="1" allowOverlap="1" wp14:anchorId="087C0685" wp14:editId="1912C24F">
            <wp:simplePos x="0" y="0"/>
            <wp:positionH relativeFrom="page">
              <wp:posOffset>888949</wp:posOffset>
            </wp:positionH>
            <wp:positionV relativeFrom="paragraph">
              <wp:posOffset>22771</wp:posOffset>
            </wp:positionV>
            <wp:extent cx="209550" cy="304800"/>
            <wp:effectExtent l="0" t="0" r="0" b="0"/>
            <wp:wrapNone/>
            <wp:docPr id="35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For complete details of Spring Data Elasticsearch, refer to the </w:t>
      </w:r>
      <w:hyperlink r:id="rId249">
        <w:r w:rsidR="0030286B">
          <w:rPr>
            <w:color w:val="418BCA"/>
            <w:w w:val="110"/>
          </w:rPr>
          <w:t>reference</w:t>
        </w:r>
      </w:hyperlink>
      <w:r w:rsidR="0030286B">
        <w:rPr>
          <w:color w:val="418BCA"/>
          <w:w w:val="110"/>
        </w:rPr>
        <w:t xml:space="preserve"> </w:t>
      </w:r>
      <w:hyperlink r:id="rId250">
        <w:r w:rsidR="0030286B">
          <w:rPr>
            <w:color w:val="418BCA"/>
            <w:w w:val="110"/>
          </w:rPr>
          <w:t>documentation</w:t>
        </w:r>
      </w:hyperlink>
      <w:r w:rsidR="0030286B">
        <w:rPr>
          <w:color w:val="333333"/>
          <w:w w:val="110"/>
        </w:rPr>
        <w:t>.</w:t>
      </w:r>
    </w:p>
    <w:p w14:paraId="1B1BF108" w14:textId="77777777" w:rsidR="00A720EB" w:rsidRDefault="00A720EB">
      <w:pPr>
        <w:pStyle w:val="a3"/>
        <w:spacing w:before="5"/>
        <w:rPr>
          <w:sz w:val="27"/>
        </w:rPr>
      </w:pPr>
    </w:p>
    <w:p w14:paraId="19FA75A2" w14:textId="77777777" w:rsidR="00A720EB" w:rsidRDefault="0030286B">
      <w:pPr>
        <w:pStyle w:val="a3"/>
        <w:spacing w:line="295" w:lineRule="auto"/>
        <w:ind w:left="124" w:right="126"/>
        <w:jc w:val="both"/>
      </w:pPr>
      <w:r>
        <w:rPr>
          <w:color w:val="333333"/>
          <w:w w:val="110"/>
        </w:rPr>
        <w:t xml:space="preserve">Spring Boot supports both classic and reactive Elasticsearch repositories, using the </w:t>
      </w:r>
      <w:r>
        <w:rPr>
          <w:rFonts w:ascii="MS Gothic"/>
          <w:color w:val="B02045"/>
          <w:w w:val="110"/>
        </w:rPr>
        <w:t>ElasticsearchRestTemplate</w:t>
      </w:r>
      <w:r>
        <w:rPr>
          <w:rFonts w:ascii="MS Gothic"/>
          <w:color w:val="B02045"/>
          <w:spacing w:val="-64"/>
          <w:w w:val="110"/>
        </w:rPr>
        <w:t xml:space="preserve"> </w:t>
      </w:r>
      <w:r>
        <w:rPr>
          <w:color w:val="333333"/>
          <w:w w:val="110"/>
        </w:rPr>
        <w:t xml:space="preserve">or </w:t>
      </w:r>
      <w:r>
        <w:rPr>
          <w:rFonts w:ascii="MS Gothic"/>
          <w:color w:val="B02045"/>
          <w:w w:val="110"/>
        </w:rPr>
        <w:t>ReactiveElasticsearchTemplate</w:t>
      </w:r>
      <w:r>
        <w:rPr>
          <w:rFonts w:ascii="MS Gothic"/>
          <w:color w:val="B02045"/>
          <w:spacing w:val="-64"/>
          <w:w w:val="110"/>
        </w:rPr>
        <w:t xml:space="preserve"> </w:t>
      </w:r>
      <w:r>
        <w:rPr>
          <w:color w:val="333333"/>
          <w:w w:val="110"/>
        </w:rPr>
        <w:t xml:space="preserve">beans. Most likely those beans are auto-configured </w:t>
      </w:r>
      <w:r>
        <w:rPr>
          <w:color w:val="333333"/>
          <w:spacing w:val="-3"/>
          <w:w w:val="110"/>
        </w:rPr>
        <w:t xml:space="preserve">by </w:t>
      </w:r>
      <w:r>
        <w:rPr>
          <w:color w:val="333333"/>
          <w:w w:val="110"/>
        </w:rPr>
        <w:t>Spring Boot given the required dependencies are present.</w:t>
      </w:r>
    </w:p>
    <w:p w14:paraId="387F8465" w14:textId="77777777" w:rsidR="00A720EB" w:rsidRDefault="0030286B">
      <w:pPr>
        <w:pStyle w:val="a3"/>
        <w:tabs>
          <w:tab w:val="left" w:pos="3117"/>
          <w:tab w:val="left" w:pos="4185"/>
          <w:tab w:val="left" w:pos="5423"/>
          <w:tab w:val="left" w:pos="6147"/>
        </w:tabs>
        <w:spacing w:before="250" w:line="288" w:lineRule="auto"/>
        <w:ind w:left="124" w:right="123"/>
        <w:jc w:val="both"/>
      </w:pPr>
      <w:r>
        <w:rPr>
          <w:color w:val="333333"/>
          <w:w w:val="110"/>
        </w:rPr>
        <w:t xml:space="preserve">If you wish to use your own template for backing the Elasticsearch repositories, you can add </w:t>
      </w:r>
      <w:proofErr w:type="gramStart"/>
      <w:r>
        <w:rPr>
          <w:color w:val="333333"/>
          <w:w w:val="110"/>
        </w:rPr>
        <w:t>your  own</w:t>
      </w:r>
      <w:proofErr w:type="gramEnd"/>
      <w:r>
        <w:rPr>
          <w:color w:val="333333"/>
          <w:w w:val="110"/>
        </w:rPr>
        <w:t xml:space="preserve"> </w:t>
      </w:r>
      <w:r>
        <w:rPr>
          <w:rFonts w:ascii="MS Gothic"/>
          <w:color w:val="B02045"/>
          <w:w w:val="110"/>
        </w:rPr>
        <w:t xml:space="preserve">ElasticsearchRestTemplate </w:t>
      </w:r>
      <w:r>
        <w:rPr>
          <w:color w:val="333333"/>
          <w:w w:val="110"/>
        </w:rPr>
        <w:t xml:space="preserve">or </w:t>
      </w:r>
      <w:r>
        <w:rPr>
          <w:rFonts w:ascii="MS Gothic"/>
          <w:color w:val="B02045"/>
          <w:w w:val="110"/>
        </w:rPr>
        <w:t>ElasticsearchOperations @Bean</w:t>
      </w:r>
      <w:r>
        <w:rPr>
          <w:color w:val="333333"/>
          <w:w w:val="110"/>
        </w:rPr>
        <w:t xml:space="preserve">, as long as it is named </w:t>
      </w:r>
      <w:r>
        <w:rPr>
          <w:rFonts w:ascii="MS Gothic"/>
          <w:color w:val="B02045"/>
          <w:w w:val="105"/>
        </w:rPr>
        <w:t>"elasticsearchTemplate"</w:t>
      </w:r>
      <w:r>
        <w:rPr>
          <w:color w:val="333333"/>
          <w:w w:val="105"/>
        </w:rPr>
        <w:t>.</w:t>
      </w:r>
      <w:r>
        <w:rPr>
          <w:color w:val="333333"/>
          <w:w w:val="105"/>
        </w:rPr>
        <w:tab/>
      </w:r>
      <w:r>
        <w:rPr>
          <w:color w:val="333333"/>
          <w:w w:val="110"/>
        </w:rPr>
        <w:t>Same</w:t>
      </w:r>
      <w:r>
        <w:rPr>
          <w:color w:val="333333"/>
          <w:w w:val="110"/>
        </w:rPr>
        <w:tab/>
        <w:t>applies</w:t>
      </w:r>
      <w:r>
        <w:rPr>
          <w:color w:val="333333"/>
          <w:w w:val="110"/>
        </w:rPr>
        <w:tab/>
        <w:t>to</w:t>
      </w:r>
      <w:r>
        <w:rPr>
          <w:color w:val="333333"/>
          <w:w w:val="110"/>
        </w:rPr>
        <w:tab/>
      </w:r>
      <w:r>
        <w:rPr>
          <w:rFonts w:ascii="MS Gothic"/>
          <w:color w:val="B02045"/>
          <w:w w:val="110"/>
        </w:rPr>
        <w:t xml:space="preserve">ReactiveElasticsearchTemplate </w:t>
      </w:r>
      <w:r>
        <w:rPr>
          <w:color w:val="333333"/>
          <w:spacing w:val="-6"/>
          <w:w w:val="110"/>
        </w:rPr>
        <w:t xml:space="preserve">and </w:t>
      </w:r>
      <w:r>
        <w:rPr>
          <w:rFonts w:ascii="MS Gothic"/>
          <w:color w:val="B02045"/>
          <w:w w:val="110"/>
        </w:rPr>
        <w:t>ReactiveElasticsearchOperations</w:t>
      </w:r>
      <w:r>
        <w:rPr>
          <w:color w:val="333333"/>
          <w:w w:val="110"/>
        </w:rPr>
        <w:t>,</w:t>
      </w:r>
      <w:r>
        <w:rPr>
          <w:color w:val="333333"/>
          <w:spacing w:val="-19"/>
          <w:w w:val="110"/>
        </w:rPr>
        <w:t xml:space="preserve"> </w:t>
      </w:r>
      <w:r>
        <w:rPr>
          <w:color w:val="333333"/>
          <w:w w:val="110"/>
        </w:rPr>
        <w:t>with</w:t>
      </w:r>
      <w:r>
        <w:rPr>
          <w:color w:val="333333"/>
          <w:spacing w:val="-18"/>
          <w:w w:val="110"/>
        </w:rPr>
        <w:t xml:space="preserve"> </w:t>
      </w:r>
      <w:r>
        <w:rPr>
          <w:color w:val="333333"/>
          <w:w w:val="110"/>
        </w:rPr>
        <w:t>the</w:t>
      </w:r>
      <w:r>
        <w:rPr>
          <w:color w:val="333333"/>
          <w:spacing w:val="-18"/>
          <w:w w:val="110"/>
        </w:rPr>
        <w:t xml:space="preserve"> </w:t>
      </w:r>
      <w:r>
        <w:rPr>
          <w:color w:val="333333"/>
          <w:w w:val="110"/>
        </w:rPr>
        <w:t>bean</w:t>
      </w:r>
      <w:r>
        <w:rPr>
          <w:color w:val="333333"/>
          <w:spacing w:val="-19"/>
          <w:w w:val="110"/>
        </w:rPr>
        <w:t xml:space="preserve"> </w:t>
      </w:r>
      <w:r>
        <w:rPr>
          <w:color w:val="333333"/>
          <w:w w:val="110"/>
        </w:rPr>
        <w:t>name</w:t>
      </w:r>
      <w:r>
        <w:rPr>
          <w:color w:val="333333"/>
          <w:spacing w:val="-17"/>
          <w:w w:val="110"/>
        </w:rPr>
        <w:t xml:space="preserve"> </w:t>
      </w:r>
      <w:r>
        <w:rPr>
          <w:rFonts w:ascii="MS Gothic"/>
          <w:color w:val="B02045"/>
          <w:w w:val="110"/>
        </w:rPr>
        <w:t>"reactiveElasticsearchTemplate"</w:t>
      </w:r>
      <w:r>
        <w:rPr>
          <w:color w:val="333333"/>
          <w:w w:val="110"/>
        </w:rPr>
        <w:t>.</w:t>
      </w:r>
    </w:p>
    <w:p w14:paraId="0F06E78B" w14:textId="77777777" w:rsidR="00A720EB" w:rsidRDefault="0030286B">
      <w:pPr>
        <w:pStyle w:val="a3"/>
        <w:spacing w:before="238"/>
        <w:ind w:left="124"/>
        <w:jc w:val="both"/>
      </w:pPr>
      <w:r>
        <w:rPr>
          <w:color w:val="333333"/>
          <w:w w:val="110"/>
        </w:rPr>
        <w:t>You can choose to disable the repositories support with the following property:</w:t>
      </w:r>
    </w:p>
    <w:p w14:paraId="16ED729A" w14:textId="77777777" w:rsidR="00A720EB" w:rsidRDefault="00E10349">
      <w:pPr>
        <w:pStyle w:val="a3"/>
        <w:rPr>
          <w:sz w:val="19"/>
        </w:rPr>
      </w:pPr>
      <w:r>
        <w:pict w14:anchorId="7FB507B1">
          <v:group id="_x0000_s4031" style="position:absolute;margin-left:47.85pt;margin-top:13.1pt;width:499.55pt;height:37.5pt;z-index:-15453184;mso-wrap-distance-left:0;mso-wrap-distance-right:0;mso-position-horizontal-relative:page" coordorigin="957,262" coordsize="9991,750">
            <v:shape id="_x0000_s4034" style="position:absolute;left:964;top:269;width:9976;height:735" coordorigin="965,270" coordsize="9976,735" path="m10861,270r-9816,l1014,276r-26,17l971,319r-6,31l965,925r6,31l988,981r26,17l1045,1005r9816,l10892,998r25,-17l10935,956r6,-31l10941,350r-6,-31l10917,293r-25,-17l10861,270xe" fillcolor="#f5f5f5" stroked="f">
              <v:path arrowok="t"/>
            </v:shape>
            <v:shape id="_x0000_s4033" style="position:absolute;left:964;top:269;width:9976;height:735" coordorigin="965,270" coordsize="9976,735" path="m1045,270r9816,l10892,276r25,17l10935,319r6,31l10941,925r-6,31l10917,981r-25,17l10861,1005r-9816,l1014,998,988,981,971,956r-6,-31l965,350r6,-31l988,293r26,-17l1045,270xe" filled="f" strokecolor="#ccc">
              <v:path arrowok="t"/>
            </v:shape>
            <v:shape id="_x0000_s4032" type="#_x0000_t202" style="position:absolute;left:984;top:285;width:9938;height:704" filled="f" stroked="f">
              <v:textbox inset="0,0,0,0">
                <w:txbxContent>
                  <w:p w14:paraId="6D961C8C" w14:textId="77777777" w:rsidR="00711A16" w:rsidRDefault="00711A16">
                    <w:pPr>
                      <w:spacing w:before="221"/>
                      <w:ind w:left="200"/>
                      <w:rPr>
                        <w:rFonts w:ascii="MS Gothic"/>
                      </w:rPr>
                    </w:pPr>
                    <w:r>
                      <w:rPr>
                        <w:rFonts w:ascii="MS Gothic"/>
                        <w:color w:val="333333"/>
                      </w:rPr>
                      <w:t>spring.</w:t>
                    </w:r>
                    <w:proofErr w:type="gramStart"/>
                    <w:r>
                      <w:rPr>
                        <w:rFonts w:ascii="MS Gothic"/>
                        <w:color w:val="333333"/>
                      </w:rPr>
                      <w:t>data.elasticsearch</w:t>
                    </w:r>
                    <w:proofErr w:type="gramEnd"/>
                    <w:r>
                      <w:rPr>
                        <w:rFonts w:ascii="MS Gothic"/>
                        <w:color w:val="333333"/>
                      </w:rPr>
                      <w:t>.repositories.enabled=false</w:t>
                    </w:r>
                  </w:p>
                </w:txbxContent>
              </v:textbox>
            </v:shape>
            <w10:wrap type="topAndBottom" anchorx="page"/>
          </v:group>
        </w:pict>
      </w:r>
    </w:p>
    <w:p w14:paraId="2E522CC7" w14:textId="77777777" w:rsidR="00A720EB" w:rsidRDefault="00A720EB">
      <w:pPr>
        <w:rPr>
          <w:sz w:val="19"/>
        </w:rPr>
        <w:sectPr w:rsidR="00A720EB">
          <w:pgSz w:w="11910" w:h="16840"/>
          <w:pgMar w:top="620" w:right="840" w:bottom="520" w:left="840" w:header="0" w:footer="323" w:gutter="0"/>
          <w:cols w:space="720"/>
        </w:sectPr>
      </w:pPr>
    </w:p>
    <w:p w14:paraId="218C95ED" w14:textId="77777777" w:rsidR="00A720EB" w:rsidRDefault="0030286B">
      <w:pPr>
        <w:pStyle w:val="3"/>
        <w:numPr>
          <w:ilvl w:val="2"/>
          <w:numId w:val="68"/>
        </w:numPr>
        <w:tabs>
          <w:tab w:val="left" w:pos="1003"/>
        </w:tabs>
        <w:spacing w:before="87"/>
        <w:ind w:left="1002" w:hanging="879"/>
      </w:pPr>
      <w:bookmarkStart w:id="368" w:name="4.12.6._Cassandra"/>
      <w:bookmarkStart w:id="369" w:name="_Toc54423781"/>
      <w:bookmarkEnd w:id="368"/>
      <w:r>
        <w:rPr>
          <w:color w:val="333333"/>
          <w:w w:val="110"/>
        </w:rPr>
        <w:lastRenderedPageBreak/>
        <w:t>Cassandra</w:t>
      </w:r>
      <w:bookmarkEnd w:id="369"/>
    </w:p>
    <w:p w14:paraId="29607174" w14:textId="77777777" w:rsidR="00A720EB" w:rsidRDefault="00E10349">
      <w:pPr>
        <w:pStyle w:val="a3"/>
        <w:spacing w:before="253" w:line="295" w:lineRule="auto"/>
        <w:ind w:left="124" w:right="122"/>
        <w:jc w:val="both"/>
      </w:pPr>
      <w:hyperlink r:id="rId251">
        <w:r w:rsidR="0030286B">
          <w:rPr>
            <w:color w:val="418BCA"/>
            <w:w w:val="110"/>
          </w:rPr>
          <w:t>Cassandra</w:t>
        </w:r>
      </w:hyperlink>
      <w:r w:rsidR="0030286B">
        <w:rPr>
          <w:color w:val="418BCA"/>
          <w:w w:val="110"/>
        </w:rPr>
        <w:t xml:space="preserve"> </w:t>
      </w:r>
      <w:r w:rsidR="0030286B">
        <w:rPr>
          <w:color w:val="333333"/>
          <w:w w:val="110"/>
        </w:rPr>
        <w:t xml:space="preserve">is an open source, distributed database management system designed to handle large amounts of data across many commodity servers. Spring Boot offers auto-configuration for Cassandra and the abstractions on top of it provided </w:t>
      </w:r>
      <w:r w:rsidR="0030286B">
        <w:rPr>
          <w:color w:val="333333"/>
          <w:spacing w:val="-3"/>
          <w:w w:val="110"/>
        </w:rPr>
        <w:t xml:space="preserve">by </w:t>
      </w:r>
      <w:hyperlink r:id="rId252">
        <w:r w:rsidR="0030286B">
          <w:rPr>
            <w:color w:val="418BCA"/>
            <w:w w:val="110"/>
          </w:rPr>
          <w:t>Spring Data Cassandra</w:t>
        </w:r>
      </w:hyperlink>
      <w:r w:rsidR="0030286B">
        <w:rPr>
          <w:color w:val="333333"/>
          <w:w w:val="110"/>
        </w:rPr>
        <w:t xml:space="preserve">. There is a </w:t>
      </w:r>
      <w:r w:rsidR="0030286B">
        <w:rPr>
          <w:rFonts w:ascii="MS Gothic" w:hAnsi="MS Gothic"/>
          <w:color w:val="B02045"/>
          <w:w w:val="110"/>
        </w:rPr>
        <w:t>spring- boot-starter-data-cassandra</w:t>
      </w:r>
      <w:r w:rsidR="0030286B">
        <w:rPr>
          <w:rFonts w:ascii="MS Gothic" w:hAnsi="MS Gothic"/>
          <w:color w:val="B02045"/>
          <w:spacing w:val="-70"/>
          <w:w w:val="110"/>
        </w:rPr>
        <w:t xml:space="preserve"> </w:t>
      </w:r>
      <w:r w:rsidR="0030286B">
        <w:rPr>
          <w:color w:val="333333"/>
          <w:w w:val="110"/>
        </w:rPr>
        <w:t>“Starter”</w:t>
      </w:r>
      <w:r w:rsidR="0030286B">
        <w:rPr>
          <w:color w:val="333333"/>
          <w:spacing w:val="-4"/>
          <w:w w:val="110"/>
        </w:rPr>
        <w:t xml:space="preserve"> </w:t>
      </w:r>
      <w:r w:rsidR="0030286B">
        <w:rPr>
          <w:color w:val="333333"/>
          <w:w w:val="110"/>
        </w:rPr>
        <w:t>for</w:t>
      </w:r>
      <w:r w:rsidR="0030286B">
        <w:rPr>
          <w:color w:val="333333"/>
          <w:spacing w:val="-4"/>
          <w:w w:val="110"/>
        </w:rPr>
        <w:t xml:space="preserve"> </w:t>
      </w:r>
      <w:r w:rsidR="0030286B">
        <w:rPr>
          <w:color w:val="333333"/>
          <w:w w:val="110"/>
        </w:rPr>
        <w:t>collecting</w:t>
      </w:r>
      <w:r w:rsidR="0030286B">
        <w:rPr>
          <w:color w:val="333333"/>
          <w:spacing w:val="-5"/>
          <w:w w:val="110"/>
        </w:rPr>
        <w:t xml:space="preserve"> </w:t>
      </w:r>
      <w:r w:rsidR="0030286B">
        <w:rPr>
          <w:color w:val="333333"/>
          <w:w w:val="110"/>
        </w:rPr>
        <w:t>the</w:t>
      </w:r>
      <w:r w:rsidR="0030286B">
        <w:rPr>
          <w:color w:val="333333"/>
          <w:spacing w:val="-4"/>
          <w:w w:val="110"/>
        </w:rPr>
        <w:t xml:space="preserve"> </w:t>
      </w:r>
      <w:r w:rsidR="0030286B">
        <w:rPr>
          <w:color w:val="333333"/>
          <w:w w:val="110"/>
        </w:rPr>
        <w:t>dependencies</w:t>
      </w:r>
      <w:r w:rsidR="0030286B">
        <w:rPr>
          <w:color w:val="333333"/>
          <w:spacing w:val="-5"/>
          <w:w w:val="110"/>
        </w:rPr>
        <w:t xml:space="preserve"> </w:t>
      </w:r>
      <w:r w:rsidR="0030286B">
        <w:rPr>
          <w:color w:val="333333"/>
          <w:w w:val="110"/>
        </w:rPr>
        <w:t>in</w:t>
      </w:r>
      <w:r w:rsidR="0030286B">
        <w:rPr>
          <w:color w:val="333333"/>
          <w:spacing w:val="-6"/>
          <w:w w:val="110"/>
        </w:rPr>
        <w:t xml:space="preserve"> </w:t>
      </w:r>
      <w:r w:rsidR="0030286B">
        <w:rPr>
          <w:color w:val="333333"/>
          <w:w w:val="110"/>
        </w:rPr>
        <w:t>a</w:t>
      </w:r>
      <w:r w:rsidR="0030286B">
        <w:rPr>
          <w:color w:val="333333"/>
          <w:spacing w:val="-5"/>
          <w:w w:val="110"/>
        </w:rPr>
        <w:t xml:space="preserve"> </w:t>
      </w:r>
      <w:r w:rsidR="0030286B">
        <w:rPr>
          <w:color w:val="333333"/>
          <w:w w:val="110"/>
        </w:rPr>
        <w:t>convenient</w:t>
      </w:r>
      <w:r w:rsidR="0030286B">
        <w:rPr>
          <w:color w:val="333333"/>
          <w:spacing w:val="-4"/>
          <w:w w:val="110"/>
        </w:rPr>
        <w:t xml:space="preserve"> </w:t>
      </w:r>
      <w:r w:rsidR="0030286B">
        <w:rPr>
          <w:color w:val="333333"/>
          <w:spacing w:val="-7"/>
          <w:w w:val="110"/>
        </w:rPr>
        <w:t>way.</w:t>
      </w:r>
    </w:p>
    <w:p w14:paraId="73ED2623" w14:textId="77777777" w:rsidR="00A720EB" w:rsidRDefault="00A720EB">
      <w:pPr>
        <w:pStyle w:val="a3"/>
        <w:spacing w:before="2"/>
        <w:rPr>
          <w:sz w:val="25"/>
        </w:rPr>
      </w:pPr>
    </w:p>
    <w:p w14:paraId="6BDCF2FD" w14:textId="77777777" w:rsidR="00A720EB" w:rsidRDefault="0030286B">
      <w:pPr>
        <w:pStyle w:val="4"/>
      </w:pPr>
      <w:bookmarkStart w:id="370" w:name="Connecting_to_Cassandra"/>
      <w:bookmarkEnd w:id="370"/>
      <w:r>
        <w:rPr>
          <w:color w:val="333333"/>
          <w:w w:val="110"/>
        </w:rPr>
        <w:t>Connecting to Cassandra</w:t>
      </w:r>
    </w:p>
    <w:p w14:paraId="1662D1DE" w14:textId="77777777" w:rsidR="00A720EB" w:rsidRDefault="0030286B">
      <w:pPr>
        <w:pStyle w:val="a3"/>
        <w:spacing w:before="244" w:line="285" w:lineRule="auto"/>
        <w:ind w:left="124" w:right="124"/>
        <w:jc w:val="both"/>
      </w:pPr>
      <w:r>
        <w:rPr>
          <w:color w:val="333333"/>
          <w:spacing w:val="-6"/>
          <w:w w:val="110"/>
        </w:rPr>
        <w:t xml:space="preserve">You </w:t>
      </w:r>
      <w:r>
        <w:rPr>
          <w:color w:val="333333"/>
          <w:w w:val="110"/>
        </w:rPr>
        <w:t xml:space="preserve">can inject an auto-configured </w:t>
      </w:r>
      <w:r>
        <w:rPr>
          <w:rFonts w:ascii="MS Gothic"/>
          <w:color w:val="B02045"/>
          <w:w w:val="110"/>
        </w:rPr>
        <w:t xml:space="preserve">CassandraTemplate </w:t>
      </w:r>
      <w:r>
        <w:rPr>
          <w:color w:val="333333"/>
          <w:w w:val="110"/>
        </w:rPr>
        <w:t xml:space="preserve">or a Cassandra </w:t>
      </w:r>
      <w:r>
        <w:rPr>
          <w:rFonts w:ascii="MS Gothic"/>
          <w:color w:val="B02045"/>
          <w:w w:val="110"/>
        </w:rPr>
        <w:t xml:space="preserve">CqlSession </w:t>
      </w:r>
      <w:r>
        <w:rPr>
          <w:color w:val="333333"/>
          <w:w w:val="110"/>
        </w:rPr>
        <w:t xml:space="preserve">instance as you would with any other Spring Bean. The </w:t>
      </w:r>
      <w:r>
        <w:rPr>
          <w:rFonts w:ascii="MS Gothic"/>
          <w:color w:val="B02045"/>
          <w:w w:val="110"/>
        </w:rPr>
        <w:t>spring.</w:t>
      </w:r>
      <w:proofErr w:type="gramStart"/>
      <w:r>
        <w:rPr>
          <w:rFonts w:ascii="MS Gothic"/>
          <w:color w:val="B02045"/>
          <w:w w:val="110"/>
        </w:rPr>
        <w:t>data.cassandra</w:t>
      </w:r>
      <w:proofErr w:type="gramEnd"/>
      <w:r>
        <w:rPr>
          <w:rFonts w:ascii="MS Gothic"/>
          <w:color w:val="B02045"/>
          <w:w w:val="110"/>
        </w:rPr>
        <w:t xml:space="preserve">.* </w:t>
      </w:r>
      <w:r>
        <w:rPr>
          <w:color w:val="333333"/>
          <w:w w:val="110"/>
        </w:rPr>
        <w:t>properties can be used to customize</w:t>
      </w:r>
      <w:r>
        <w:rPr>
          <w:color w:val="333333"/>
          <w:spacing w:val="-10"/>
          <w:w w:val="110"/>
        </w:rPr>
        <w:t xml:space="preserve"> </w:t>
      </w:r>
      <w:r>
        <w:rPr>
          <w:color w:val="333333"/>
          <w:w w:val="110"/>
        </w:rPr>
        <w:t>the</w:t>
      </w:r>
      <w:r>
        <w:rPr>
          <w:color w:val="333333"/>
          <w:spacing w:val="-10"/>
          <w:w w:val="110"/>
        </w:rPr>
        <w:t xml:space="preserve"> </w:t>
      </w:r>
      <w:r>
        <w:rPr>
          <w:color w:val="333333"/>
          <w:w w:val="110"/>
        </w:rPr>
        <w:t>connection.</w:t>
      </w:r>
      <w:r>
        <w:rPr>
          <w:color w:val="333333"/>
          <w:spacing w:val="-10"/>
          <w:w w:val="110"/>
        </w:rPr>
        <w:t xml:space="preserve"> </w:t>
      </w:r>
      <w:r>
        <w:rPr>
          <w:color w:val="333333"/>
          <w:spacing w:val="-4"/>
          <w:w w:val="110"/>
        </w:rPr>
        <w:t>Generally,</w:t>
      </w:r>
      <w:r>
        <w:rPr>
          <w:color w:val="333333"/>
          <w:spacing w:val="-10"/>
          <w:w w:val="110"/>
        </w:rPr>
        <w:t xml:space="preserve"> </w:t>
      </w:r>
      <w:r>
        <w:rPr>
          <w:color w:val="333333"/>
          <w:w w:val="110"/>
        </w:rPr>
        <w:t>you</w:t>
      </w:r>
      <w:r>
        <w:rPr>
          <w:color w:val="333333"/>
          <w:spacing w:val="-9"/>
          <w:w w:val="110"/>
        </w:rPr>
        <w:t xml:space="preserve"> </w:t>
      </w:r>
      <w:r>
        <w:rPr>
          <w:color w:val="333333"/>
          <w:w w:val="110"/>
        </w:rPr>
        <w:t>provide</w:t>
      </w:r>
      <w:r>
        <w:rPr>
          <w:color w:val="333333"/>
          <w:spacing w:val="-7"/>
          <w:w w:val="110"/>
        </w:rPr>
        <w:t xml:space="preserve"> </w:t>
      </w:r>
      <w:r>
        <w:rPr>
          <w:rFonts w:ascii="MS Gothic"/>
          <w:color w:val="B02045"/>
          <w:w w:val="110"/>
        </w:rPr>
        <w:t>keyspace-name</w:t>
      </w:r>
      <w:r>
        <w:rPr>
          <w:rFonts w:ascii="MS Gothic"/>
          <w:color w:val="B02045"/>
          <w:spacing w:val="-75"/>
          <w:w w:val="110"/>
        </w:rPr>
        <w:t xml:space="preserve"> </w:t>
      </w:r>
      <w:r>
        <w:rPr>
          <w:color w:val="333333"/>
          <w:w w:val="110"/>
        </w:rPr>
        <w:t>and</w:t>
      </w:r>
      <w:r>
        <w:rPr>
          <w:color w:val="333333"/>
          <w:spacing w:val="-9"/>
          <w:w w:val="110"/>
        </w:rPr>
        <w:t xml:space="preserve"> </w:t>
      </w:r>
      <w:r>
        <w:rPr>
          <w:rFonts w:ascii="MS Gothic"/>
          <w:color w:val="B02045"/>
          <w:w w:val="110"/>
        </w:rPr>
        <w:t>contact-points</w:t>
      </w:r>
      <w:r>
        <w:rPr>
          <w:rFonts w:ascii="MS Gothic"/>
          <w:color w:val="B02045"/>
          <w:spacing w:val="-75"/>
          <w:w w:val="110"/>
        </w:rPr>
        <w:t xml:space="preserve"> </w:t>
      </w:r>
      <w:r>
        <w:rPr>
          <w:color w:val="333333"/>
          <w:w w:val="110"/>
        </w:rPr>
        <w:t>as</w:t>
      </w:r>
      <w:r>
        <w:rPr>
          <w:color w:val="333333"/>
          <w:spacing w:val="-9"/>
          <w:w w:val="110"/>
        </w:rPr>
        <w:t xml:space="preserve"> </w:t>
      </w:r>
      <w:r>
        <w:rPr>
          <w:color w:val="333333"/>
          <w:w w:val="110"/>
        </w:rPr>
        <w:t>well</w:t>
      </w:r>
      <w:r>
        <w:rPr>
          <w:color w:val="333333"/>
          <w:spacing w:val="-10"/>
          <w:w w:val="110"/>
        </w:rPr>
        <w:t xml:space="preserve"> </w:t>
      </w:r>
      <w:r>
        <w:rPr>
          <w:color w:val="333333"/>
          <w:w w:val="110"/>
        </w:rPr>
        <w:t>the</w:t>
      </w:r>
      <w:r>
        <w:rPr>
          <w:color w:val="333333"/>
          <w:spacing w:val="-10"/>
          <w:w w:val="110"/>
        </w:rPr>
        <w:t xml:space="preserve"> </w:t>
      </w:r>
      <w:r>
        <w:rPr>
          <w:color w:val="333333"/>
          <w:w w:val="110"/>
        </w:rPr>
        <w:t>local datacenter name, as shown in the following</w:t>
      </w:r>
      <w:r>
        <w:rPr>
          <w:color w:val="333333"/>
          <w:spacing w:val="25"/>
          <w:w w:val="110"/>
        </w:rPr>
        <w:t xml:space="preserve"> </w:t>
      </w:r>
      <w:r>
        <w:rPr>
          <w:color w:val="333333"/>
          <w:w w:val="110"/>
        </w:rPr>
        <w:t>example:</w:t>
      </w:r>
    </w:p>
    <w:p w14:paraId="6819F229" w14:textId="77777777" w:rsidR="00A720EB" w:rsidRDefault="00E10349">
      <w:pPr>
        <w:pStyle w:val="a3"/>
        <w:spacing w:before="8"/>
        <w:rPr>
          <w:sz w:val="14"/>
        </w:rPr>
      </w:pPr>
      <w:r>
        <w:pict w14:anchorId="5EF51DF1">
          <v:group id="_x0000_s4027" style="position:absolute;margin-left:47.85pt;margin-top:10.6pt;width:499.55pt;height:67pt;z-index:-15451648;mso-wrap-distance-left:0;mso-wrap-distance-right:0;mso-position-horizontal-relative:page" coordorigin="957,212" coordsize="9991,1340">
            <v:shape id="_x0000_s4030" style="position:absolute;left:964;top:219;width:9976;height:1325" coordorigin="965,220" coordsize="9976,1325" path="m10861,220r-9816,l1014,226r-26,17l971,269r-6,31l965,1464r6,31l988,1521r26,17l1045,1544r9816,l10892,1538r25,-17l10935,1495r6,-31l10941,300r-6,-31l10917,243r-25,-17l10861,220xe" fillcolor="#f5f5f5" stroked="f">
              <v:path arrowok="t"/>
            </v:shape>
            <v:shape id="_x0000_s4029" style="position:absolute;left:964;top:219;width:9976;height:1325" coordorigin="965,220" coordsize="9976,1325" path="m1045,220r9816,l10892,226r25,17l10935,269r6,31l10941,1464r-6,31l10917,1521r-25,17l10861,1544r-9816,l1014,1538r-26,-17l971,1495r-6,-31l965,300r6,-31l988,243r26,-17l1045,220xe" filled="f" strokecolor="#ccc">
              <v:path arrowok="t"/>
            </v:shape>
            <v:shape id="_x0000_s4028" type="#_x0000_t202" style="position:absolute;left:984;top:235;width:9938;height:1294" filled="f" stroked="f">
              <v:textbox inset="0,0,0,0">
                <w:txbxContent>
                  <w:p w14:paraId="42318E25" w14:textId="77777777" w:rsidR="00711A16" w:rsidRDefault="00711A16">
                    <w:pPr>
                      <w:spacing w:before="221"/>
                      <w:ind w:left="200"/>
                      <w:rPr>
                        <w:rFonts w:ascii="MS Gothic"/>
                      </w:rPr>
                    </w:pPr>
                    <w:r>
                      <w:rPr>
                        <w:rFonts w:ascii="MS Gothic"/>
                        <w:color w:val="333333"/>
                      </w:rPr>
                      <w:t>spring.</w:t>
                    </w:r>
                    <w:proofErr w:type="gramStart"/>
                    <w:r>
                      <w:rPr>
                        <w:rFonts w:ascii="MS Gothic"/>
                        <w:color w:val="333333"/>
                      </w:rPr>
                      <w:t>data.cassandra</w:t>
                    </w:r>
                    <w:proofErr w:type="gramEnd"/>
                    <w:r>
                      <w:rPr>
                        <w:rFonts w:ascii="MS Gothic"/>
                        <w:color w:val="333333"/>
                      </w:rPr>
                      <w:t>.keyspace-name=mykeyspace</w:t>
                    </w:r>
                  </w:p>
                  <w:p w14:paraId="0226F7EA" w14:textId="77777777" w:rsidR="00711A16" w:rsidRDefault="00711A16">
                    <w:pPr>
                      <w:spacing w:before="13" w:line="252" w:lineRule="auto"/>
                      <w:ind w:left="200" w:right="1374"/>
                      <w:rPr>
                        <w:rFonts w:ascii="MS Gothic"/>
                      </w:rPr>
                    </w:pPr>
                    <w:r>
                      <w:rPr>
                        <w:rFonts w:ascii="MS Gothic"/>
                        <w:color w:val="333333"/>
                      </w:rPr>
                      <w:t>spring.</w:t>
                    </w:r>
                    <w:proofErr w:type="gramStart"/>
                    <w:r>
                      <w:rPr>
                        <w:rFonts w:ascii="MS Gothic"/>
                        <w:color w:val="333333"/>
                      </w:rPr>
                      <w:t>data.cassandra</w:t>
                    </w:r>
                    <w:proofErr w:type="gramEnd"/>
                    <w:r>
                      <w:rPr>
                        <w:rFonts w:ascii="MS Gothic"/>
                        <w:color w:val="333333"/>
                      </w:rPr>
                      <w:t>.contact-points=cassandrahost1:9042,cassandrahost2:9042 spring.data.cassandra.local-datacenter=datacenter1</w:t>
                    </w:r>
                  </w:p>
                </w:txbxContent>
              </v:textbox>
            </v:shape>
            <w10:wrap type="topAndBottom" anchorx="page"/>
          </v:group>
        </w:pict>
      </w:r>
    </w:p>
    <w:p w14:paraId="466BF7CB" w14:textId="77777777" w:rsidR="00A720EB" w:rsidRDefault="00A720EB">
      <w:pPr>
        <w:pStyle w:val="a3"/>
        <w:rPr>
          <w:sz w:val="10"/>
        </w:rPr>
      </w:pPr>
    </w:p>
    <w:p w14:paraId="370E0BFA" w14:textId="77777777" w:rsidR="00A720EB" w:rsidRDefault="0030286B">
      <w:pPr>
        <w:pStyle w:val="a3"/>
        <w:spacing w:before="125" w:line="307" w:lineRule="auto"/>
        <w:ind w:left="124"/>
      </w:pPr>
      <w:r>
        <w:rPr>
          <w:color w:val="333333"/>
          <w:w w:val="110"/>
        </w:rPr>
        <w:t>If the port is the same for all your contact points you can use a shortcut and only specify the host names, as shown in the following example:</w:t>
      </w:r>
    </w:p>
    <w:p w14:paraId="30EE3882" w14:textId="77777777" w:rsidR="00A720EB" w:rsidRDefault="00E10349">
      <w:pPr>
        <w:pStyle w:val="a3"/>
        <w:spacing w:before="2"/>
        <w:rPr>
          <w:sz w:val="13"/>
        </w:rPr>
      </w:pPr>
      <w:r>
        <w:pict w14:anchorId="7C8A7E23">
          <v:group id="_x0000_s4023" style="position:absolute;margin-left:47.85pt;margin-top:9.7pt;width:499.55pt;height:67pt;z-index:-15451136;mso-wrap-distance-left:0;mso-wrap-distance-right:0;mso-position-horizontal-relative:page" coordorigin="957,194" coordsize="9991,1340">
            <v:shape id="_x0000_s4026" style="position:absolute;left:964;top:201;width:9976;height:1325" coordorigin="965,202" coordsize="9976,1325" path="m10861,202r-9816,l1014,208r-26,17l971,251r-6,31l965,1446r6,31l988,1503r26,17l1045,1526r9816,l10892,1520r25,-17l10935,1477r6,-31l10941,282r-6,-31l10917,225r-25,-17l10861,202xe" fillcolor="#f5f5f5" stroked="f">
              <v:path arrowok="t"/>
            </v:shape>
            <v:shape id="_x0000_s4025" style="position:absolute;left:964;top:201;width:9976;height:1325" coordorigin="965,202" coordsize="9976,1325" path="m1045,202r9816,l10892,208r25,17l10935,251r6,31l10941,1446r-6,31l10917,1503r-25,17l10861,1526r-9816,l1014,1520r-26,-17l971,1477r-6,-31l965,282r6,-31l988,225r26,-17l1045,202xe" filled="f" strokecolor="#ccc">
              <v:path arrowok="t"/>
            </v:shape>
            <v:shape id="_x0000_s4024" type="#_x0000_t202" style="position:absolute;left:984;top:217;width:9938;height:1294" filled="f" stroked="f">
              <v:textbox inset="0,0,0,0">
                <w:txbxContent>
                  <w:p w14:paraId="4E4B6354" w14:textId="77777777" w:rsidR="00711A16" w:rsidRDefault="00711A16">
                    <w:pPr>
                      <w:spacing w:before="221" w:line="252" w:lineRule="auto"/>
                      <w:ind w:left="200" w:right="2474"/>
                      <w:rPr>
                        <w:rFonts w:ascii="MS Gothic"/>
                      </w:rPr>
                    </w:pPr>
                    <w:r>
                      <w:rPr>
                        <w:rFonts w:ascii="MS Gothic"/>
                        <w:color w:val="333333"/>
                      </w:rPr>
                      <w:t>spring.</w:t>
                    </w:r>
                    <w:proofErr w:type="gramStart"/>
                    <w:r>
                      <w:rPr>
                        <w:rFonts w:ascii="MS Gothic"/>
                        <w:color w:val="333333"/>
                      </w:rPr>
                      <w:t>data.cassandra</w:t>
                    </w:r>
                    <w:proofErr w:type="gramEnd"/>
                    <w:r>
                      <w:rPr>
                        <w:rFonts w:ascii="MS Gothic"/>
                        <w:color w:val="333333"/>
                      </w:rPr>
                      <w:t>.keyspace-name=mykeyspace spring.data.cassandra.contact-points=cassandrahost1,cassandrahost2 spring.data.cassandra.local-datacenter=datacenter1</w:t>
                    </w:r>
                  </w:p>
                </w:txbxContent>
              </v:textbox>
            </v:shape>
            <w10:wrap type="topAndBottom" anchorx="page"/>
          </v:group>
        </w:pict>
      </w:r>
    </w:p>
    <w:p w14:paraId="3DFAA007" w14:textId="77777777" w:rsidR="00A720EB" w:rsidRDefault="00A720EB">
      <w:pPr>
        <w:pStyle w:val="a3"/>
        <w:spacing w:before="8"/>
        <w:rPr>
          <w:sz w:val="16"/>
        </w:rPr>
      </w:pPr>
    </w:p>
    <w:p w14:paraId="52DA0D59" w14:textId="77777777" w:rsidR="00A720EB" w:rsidRDefault="00E10349">
      <w:pPr>
        <w:pStyle w:val="a3"/>
        <w:spacing w:before="116" w:line="280" w:lineRule="auto"/>
        <w:ind w:left="1564" w:right="462"/>
      </w:pPr>
      <w:r>
        <w:pict w14:anchorId="681611E1">
          <v:line id="_x0000_s4022" style="position:absolute;left:0;text-align:left;z-index:16006656;mso-position-horizontal-relative:page" from="108.25pt,.35pt" to="108.25pt,39.9pt" strokecolor="#ededed" strokeweight=".5pt">
            <w10:wrap anchorx="page"/>
          </v:line>
        </w:pict>
      </w:r>
      <w:r w:rsidR="0030286B">
        <w:rPr>
          <w:noProof/>
        </w:rPr>
        <w:drawing>
          <wp:anchor distT="0" distB="0" distL="0" distR="0" simplePos="0" relativeHeight="16007168" behindDoc="0" locked="0" layoutInCell="1" allowOverlap="1" wp14:anchorId="31B8C6AC" wp14:editId="18AA7779">
            <wp:simplePos x="0" y="0"/>
            <wp:positionH relativeFrom="page">
              <wp:posOffset>888949</wp:posOffset>
            </wp:positionH>
            <wp:positionV relativeFrom="paragraph">
              <wp:posOffset>103073</wp:posOffset>
            </wp:positionV>
            <wp:extent cx="209550" cy="304800"/>
            <wp:effectExtent l="0" t="0" r="0" b="0"/>
            <wp:wrapNone/>
            <wp:docPr id="3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Those two examples are identical as the port default to </w:t>
      </w:r>
      <w:r w:rsidR="0030286B">
        <w:rPr>
          <w:rFonts w:ascii="MS Gothic"/>
          <w:color w:val="B02045"/>
          <w:w w:val="110"/>
        </w:rPr>
        <w:t>9042</w:t>
      </w:r>
      <w:r w:rsidR="0030286B">
        <w:rPr>
          <w:color w:val="333333"/>
          <w:w w:val="110"/>
        </w:rPr>
        <w:t>. If you need to configure the port, use</w:t>
      </w:r>
      <w:r w:rsidR="0030286B">
        <w:rPr>
          <w:color w:val="333333"/>
          <w:spacing w:val="-3"/>
          <w:w w:val="110"/>
        </w:rPr>
        <w:t xml:space="preserve"> </w:t>
      </w:r>
      <w:r w:rsidR="0030286B">
        <w:rPr>
          <w:rFonts w:ascii="MS Gothic"/>
          <w:color w:val="B02045"/>
          <w:w w:val="110"/>
        </w:rPr>
        <w:t>spring.</w:t>
      </w:r>
      <w:proofErr w:type="gramStart"/>
      <w:r w:rsidR="0030286B">
        <w:rPr>
          <w:rFonts w:ascii="MS Gothic"/>
          <w:color w:val="B02045"/>
          <w:w w:val="110"/>
        </w:rPr>
        <w:t>data.cassandra</w:t>
      </w:r>
      <w:proofErr w:type="gramEnd"/>
      <w:r w:rsidR="0030286B">
        <w:rPr>
          <w:rFonts w:ascii="MS Gothic"/>
          <w:color w:val="B02045"/>
          <w:w w:val="110"/>
        </w:rPr>
        <w:t>.port</w:t>
      </w:r>
      <w:r w:rsidR="0030286B">
        <w:rPr>
          <w:color w:val="333333"/>
          <w:w w:val="110"/>
        </w:rPr>
        <w:t>.</w:t>
      </w:r>
    </w:p>
    <w:p w14:paraId="123F0340" w14:textId="77777777" w:rsidR="00A720EB" w:rsidRDefault="00A720EB">
      <w:pPr>
        <w:pStyle w:val="a3"/>
        <w:spacing w:before="6"/>
        <w:rPr>
          <w:sz w:val="24"/>
        </w:rPr>
      </w:pPr>
    </w:p>
    <w:p w14:paraId="166C61A7" w14:textId="77777777" w:rsidR="00A720EB" w:rsidRDefault="00E10349">
      <w:pPr>
        <w:pStyle w:val="a3"/>
        <w:spacing w:before="125"/>
        <w:ind w:left="1564"/>
        <w:jc w:val="both"/>
      </w:pPr>
      <w:r>
        <w:pict w14:anchorId="5EB61F44">
          <v:line id="_x0000_s4021" style="position:absolute;left:0;text-align:left;z-index:16007680;mso-position-horizontal-relative:page" from="108.25pt,.25pt" to="108.25pt,130.7pt" strokecolor="#ededed" strokeweight=".5pt">
            <w10:wrap anchorx="page"/>
          </v:line>
        </w:pict>
      </w:r>
      <w:r w:rsidR="0030286B">
        <w:rPr>
          <w:color w:val="333333"/>
          <w:w w:val="110"/>
        </w:rPr>
        <w:t>The Cassandra driver has its own configuration infrastructure that loads an</w:t>
      </w:r>
    </w:p>
    <w:p w14:paraId="56EB0E5F" w14:textId="77777777" w:rsidR="00A720EB" w:rsidRDefault="0030286B">
      <w:pPr>
        <w:pStyle w:val="a3"/>
        <w:spacing w:before="59"/>
        <w:ind w:left="1564"/>
        <w:jc w:val="both"/>
      </w:pPr>
      <w:r>
        <w:rPr>
          <w:rFonts w:ascii="MS Gothic"/>
          <w:color w:val="B02045"/>
          <w:w w:val="110"/>
        </w:rPr>
        <w:t>application.conf</w:t>
      </w:r>
      <w:r>
        <w:rPr>
          <w:rFonts w:ascii="MS Gothic"/>
          <w:color w:val="B02045"/>
          <w:spacing w:val="-58"/>
          <w:w w:val="110"/>
        </w:rPr>
        <w:t xml:space="preserve"> </w:t>
      </w:r>
      <w:r>
        <w:rPr>
          <w:color w:val="333333"/>
          <w:w w:val="110"/>
        </w:rPr>
        <w:t>at the root of the classpath.</w:t>
      </w:r>
    </w:p>
    <w:p w14:paraId="12933006" w14:textId="77777777" w:rsidR="00A720EB" w:rsidRDefault="00A720EB">
      <w:pPr>
        <w:pStyle w:val="a3"/>
        <w:spacing w:before="4"/>
        <w:rPr>
          <w:sz w:val="25"/>
        </w:rPr>
      </w:pPr>
    </w:p>
    <w:p w14:paraId="33A62408" w14:textId="77777777" w:rsidR="00A720EB" w:rsidRDefault="0030286B">
      <w:pPr>
        <w:pStyle w:val="a3"/>
        <w:spacing w:line="292" w:lineRule="auto"/>
        <w:ind w:left="1564" w:right="362"/>
        <w:jc w:val="both"/>
      </w:pPr>
      <w:r>
        <w:rPr>
          <w:noProof/>
        </w:rPr>
        <w:drawing>
          <wp:anchor distT="0" distB="0" distL="0" distR="0" simplePos="0" relativeHeight="16008192" behindDoc="0" locked="0" layoutInCell="1" allowOverlap="1" wp14:anchorId="0BDA6A65" wp14:editId="55304D60">
            <wp:simplePos x="0" y="0"/>
            <wp:positionH relativeFrom="page">
              <wp:posOffset>844422</wp:posOffset>
            </wp:positionH>
            <wp:positionV relativeFrom="paragraph">
              <wp:posOffset>49949</wp:posOffset>
            </wp:positionV>
            <wp:extent cx="298450" cy="298450"/>
            <wp:effectExtent l="0" t="0" r="0" b="0"/>
            <wp:wrapNone/>
            <wp:docPr id="3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png"/>
                    <pic:cNvPicPr/>
                  </pic:nvPicPr>
                  <pic:blipFill>
                    <a:blip r:embed="rId24" cstate="print"/>
                    <a:stretch>
                      <a:fillRect/>
                    </a:stretch>
                  </pic:blipFill>
                  <pic:spPr>
                    <a:xfrm>
                      <a:off x="0" y="0"/>
                      <a:ext cx="298450" cy="298450"/>
                    </a:xfrm>
                    <a:prstGeom prst="rect">
                      <a:avLst/>
                    </a:prstGeom>
                  </pic:spPr>
                </pic:pic>
              </a:graphicData>
            </a:graphic>
          </wp:anchor>
        </w:drawing>
      </w:r>
      <w:r>
        <w:rPr>
          <w:color w:val="333333"/>
          <w:w w:val="110"/>
        </w:rPr>
        <w:t xml:space="preserve">Spring Boot does not look for such a file and rather provides a number of configuration properties via the </w:t>
      </w:r>
      <w:r>
        <w:rPr>
          <w:rFonts w:ascii="MS Gothic"/>
          <w:color w:val="B02045"/>
          <w:w w:val="110"/>
        </w:rPr>
        <w:t>spring.</w:t>
      </w:r>
      <w:proofErr w:type="gramStart"/>
      <w:r>
        <w:rPr>
          <w:rFonts w:ascii="MS Gothic"/>
          <w:color w:val="B02045"/>
          <w:w w:val="110"/>
        </w:rPr>
        <w:t>data.cassandra</w:t>
      </w:r>
      <w:proofErr w:type="gramEnd"/>
      <w:r>
        <w:rPr>
          <w:rFonts w:ascii="MS Gothic"/>
          <w:color w:val="B02045"/>
          <w:w w:val="110"/>
        </w:rPr>
        <w:t xml:space="preserve">.* </w:t>
      </w:r>
      <w:r>
        <w:rPr>
          <w:color w:val="333333"/>
          <w:w w:val="110"/>
        </w:rPr>
        <w:t xml:space="preserve">namespace. </w:t>
      </w:r>
      <w:r>
        <w:rPr>
          <w:color w:val="333333"/>
          <w:spacing w:val="-4"/>
          <w:w w:val="110"/>
        </w:rPr>
        <w:t xml:space="preserve">For </w:t>
      </w:r>
      <w:r>
        <w:rPr>
          <w:color w:val="333333"/>
          <w:w w:val="110"/>
        </w:rPr>
        <w:t xml:space="preserve">more advanced driver customizations, you can register an arbitrary </w:t>
      </w:r>
      <w:proofErr w:type="gramStart"/>
      <w:r>
        <w:rPr>
          <w:color w:val="333333"/>
          <w:w w:val="110"/>
        </w:rPr>
        <w:t>number  of</w:t>
      </w:r>
      <w:proofErr w:type="gramEnd"/>
      <w:r>
        <w:rPr>
          <w:color w:val="333333"/>
          <w:w w:val="110"/>
        </w:rPr>
        <w:t xml:space="preserve">  beans that implement </w:t>
      </w:r>
      <w:r>
        <w:rPr>
          <w:rFonts w:ascii="MS Gothic"/>
          <w:color w:val="B02045"/>
          <w:w w:val="110"/>
        </w:rPr>
        <w:t>DriverConfigLoaderBuilderCustomizer</w:t>
      </w:r>
      <w:r>
        <w:rPr>
          <w:color w:val="333333"/>
          <w:w w:val="110"/>
        </w:rPr>
        <w:t xml:space="preserve">. The </w:t>
      </w:r>
      <w:r>
        <w:rPr>
          <w:rFonts w:ascii="MS Gothic"/>
          <w:color w:val="B02045"/>
          <w:w w:val="110"/>
        </w:rPr>
        <w:t xml:space="preserve">CqlSession </w:t>
      </w:r>
      <w:r>
        <w:rPr>
          <w:color w:val="333333"/>
          <w:w w:val="110"/>
        </w:rPr>
        <w:t>can be customized with a bean of type</w:t>
      </w:r>
      <w:r>
        <w:rPr>
          <w:color w:val="333333"/>
          <w:spacing w:val="-14"/>
          <w:w w:val="110"/>
        </w:rPr>
        <w:t xml:space="preserve"> </w:t>
      </w:r>
      <w:r>
        <w:rPr>
          <w:rFonts w:ascii="MS Gothic"/>
          <w:color w:val="B02045"/>
          <w:w w:val="110"/>
        </w:rPr>
        <w:t>CqlSessionBuilderCustomizer</w:t>
      </w:r>
      <w:r>
        <w:rPr>
          <w:color w:val="333333"/>
          <w:w w:val="110"/>
        </w:rPr>
        <w:t>.</w:t>
      </w:r>
    </w:p>
    <w:p w14:paraId="07C1162F" w14:textId="77777777" w:rsidR="00A720EB" w:rsidRDefault="00A720EB">
      <w:pPr>
        <w:pStyle w:val="a3"/>
        <w:spacing w:before="7"/>
        <w:rPr>
          <w:sz w:val="32"/>
        </w:rPr>
      </w:pPr>
    </w:p>
    <w:p w14:paraId="157CC34C" w14:textId="77777777" w:rsidR="00A720EB" w:rsidRDefault="00E10349">
      <w:pPr>
        <w:pStyle w:val="a3"/>
        <w:spacing w:line="290" w:lineRule="auto"/>
        <w:ind w:left="1564" w:right="364"/>
        <w:jc w:val="both"/>
      </w:pPr>
      <w:r>
        <w:pict w14:anchorId="39154DEB">
          <v:line id="_x0000_s4020" style="position:absolute;left:0;text-align:left;z-index:16008704;mso-position-horizontal-relative:page" from="108.25pt,-5.45pt" to="108.25pt,34.1pt" strokecolor="#ededed" strokeweight=".5pt">
            <w10:wrap anchorx="page"/>
          </v:line>
        </w:pict>
      </w:r>
      <w:r w:rsidR="0030286B">
        <w:rPr>
          <w:noProof/>
        </w:rPr>
        <w:drawing>
          <wp:anchor distT="0" distB="0" distL="0" distR="0" simplePos="0" relativeHeight="16009216" behindDoc="0" locked="0" layoutInCell="1" allowOverlap="1" wp14:anchorId="015AF562" wp14:editId="19846F3F">
            <wp:simplePos x="0" y="0"/>
            <wp:positionH relativeFrom="page">
              <wp:posOffset>844422</wp:posOffset>
            </wp:positionH>
            <wp:positionV relativeFrom="paragraph">
              <wp:posOffset>32588</wp:posOffset>
            </wp:positionV>
            <wp:extent cx="298450" cy="298450"/>
            <wp:effectExtent l="0" t="0" r="0" b="0"/>
            <wp:wrapNone/>
            <wp:docPr id="3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w:t>
      </w:r>
      <w:r w:rsidR="0030286B">
        <w:rPr>
          <w:color w:val="333333"/>
          <w:spacing w:val="-15"/>
          <w:w w:val="110"/>
        </w:rPr>
        <w:t xml:space="preserve"> </w:t>
      </w:r>
      <w:r w:rsidR="0030286B">
        <w:rPr>
          <w:color w:val="333333"/>
          <w:w w:val="110"/>
        </w:rPr>
        <w:t>you’re</w:t>
      </w:r>
      <w:r w:rsidR="0030286B">
        <w:rPr>
          <w:color w:val="333333"/>
          <w:spacing w:val="-15"/>
          <w:w w:val="110"/>
        </w:rPr>
        <w:t xml:space="preserve"> </w:t>
      </w:r>
      <w:r w:rsidR="0030286B">
        <w:rPr>
          <w:color w:val="333333"/>
          <w:w w:val="110"/>
        </w:rPr>
        <w:t>using</w:t>
      </w:r>
      <w:r w:rsidR="0030286B">
        <w:rPr>
          <w:color w:val="333333"/>
          <w:spacing w:val="-12"/>
          <w:w w:val="110"/>
        </w:rPr>
        <w:t xml:space="preserve"> </w:t>
      </w:r>
      <w:r w:rsidR="0030286B">
        <w:rPr>
          <w:rFonts w:ascii="MS Gothic" w:hAnsi="MS Gothic"/>
          <w:color w:val="B02045"/>
          <w:w w:val="110"/>
        </w:rPr>
        <w:t>CqlSessionBuilder</w:t>
      </w:r>
      <w:r w:rsidR="0030286B">
        <w:rPr>
          <w:rFonts w:ascii="MS Gothic" w:hAnsi="MS Gothic"/>
          <w:color w:val="B02045"/>
          <w:spacing w:val="-80"/>
          <w:w w:val="110"/>
        </w:rPr>
        <w:t xml:space="preserve"> </w:t>
      </w:r>
      <w:r w:rsidR="0030286B">
        <w:rPr>
          <w:color w:val="333333"/>
          <w:w w:val="110"/>
        </w:rPr>
        <w:t>to</w:t>
      </w:r>
      <w:r w:rsidR="0030286B">
        <w:rPr>
          <w:color w:val="333333"/>
          <w:spacing w:val="-14"/>
          <w:w w:val="110"/>
        </w:rPr>
        <w:t xml:space="preserve"> </w:t>
      </w:r>
      <w:r w:rsidR="0030286B">
        <w:rPr>
          <w:color w:val="333333"/>
          <w:w w:val="110"/>
        </w:rPr>
        <w:t>create</w:t>
      </w:r>
      <w:r w:rsidR="0030286B">
        <w:rPr>
          <w:color w:val="333333"/>
          <w:spacing w:val="-15"/>
          <w:w w:val="110"/>
        </w:rPr>
        <w:t xml:space="preserve"> </w:t>
      </w:r>
      <w:r w:rsidR="0030286B">
        <w:rPr>
          <w:color w:val="333333"/>
          <w:w w:val="110"/>
        </w:rPr>
        <w:t>multiple</w:t>
      </w:r>
      <w:r w:rsidR="0030286B">
        <w:rPr>
          <w:color w:val="333333"/>
          <w:spacing w:val="-13"/>
          <w:w w:val="110"/>
        </w:rPr>
        <w:t xml:space="preserve"> </w:t>
      </w:r>
      <w:r w:rsidR="0030286B">
        <w:rPr>
          <w:rFonts w:ascii="MS Gothic" w:hAnsi="MS Gothic"/>
          <w:color w:val="B02045"/>
          <w:w w:val="110"/>
        </w:rPr>
        <w:t>CqlSession</w:t>
      </w:r>
      <w:r w:rsidR="0030286B">
        <w:rPr>
          <w:rFonts w:ascii="MS Gothic" w:hAnsi="MS Gothic"/>
          <w:color w:val="B02045"/>
          <w:spacing w:val="-80"/>
          <w:w w:val="110"/>
        </w:rPr>
        <w:t xml:space="preserve"> </w:t>
      </w:r>
      <w:r w:rsidR="0030286B">
        <w:rPr>
          <w:color w:val="333333"/>
          <w:w w:val="110"/>
        </w:rPr>
        <w:t>beans,</w:t>
      </w:r>
      <w:r w:rsidR="0030286B">
        <w:rPr>
          <w:color w:val="333333"/>
          <w:spacing w:val="-14"/>
          <w:w w:val="110"/>
        </w:rPr>
        <w:t xml:space="preserve"> </w:t>
      </w:r>
      <w:r w:rsidR="0030286B">
        <w:rPr>
          <w:color w:val="333333"/>
          <w:w w:val="110"/>
        </w:rPr>
        <w:t>keep</w:t>
      </w:r>
      <w:r w:rsidR="0030286B">
        <w:rPr>
          <w:color w:val="333333"/>
          <w:spacing w:val="-15"/>
          <w:w w:val="110"/>
        </w:rPr>
        <w:t xml:space="preserve"> </w:t>
      </w:r>
      <w:r w:rsidR="0030286B">
        <w:rPr>
          <w:color w:val="333333"/>
          <w:w w:val="110"/>
        </w:rPr>
        <w:t>in</w:t>
      </w:r>
      <w:r w:rsidR="0030286B">
        <w:rPr>
          <w:color w:val="333333"/>
          <w:spacing w:val="-15"/>
          <w:w w:val="110"/>
        </w:rPr>
        <w:t xml:space="preserve"> </w:t>
      </w:r>
      <w:r w:rsidR="0030286B">
        <w:rPr>
          <w:color w:val="333333"/>
          <w:w w:val="110"/>
        </w:rPr>
        <w:t>mind the builder is mutable so make sure to inject a fresh copy for each</w:t>
      </w:r>
      <w:r w:rsidR="0030286B">
        <w:rPr>
          <w:color w:val="333333"/>
          <w:spacing w:val="5"/>
          <w:w w:val="110"/>
        </w:rPr>
        <w:t xml:space="preserve"> </w:t>
      </w:r>
      <w:r w:rsidR="0030286B">
        <w:rPr>
          <w:color w:val="333333"/>
          <w:w w:val="110"/>
        </w:rPr>
        <w:t>session.</w:t>
      </w:r>
    </w:p>
    <w:p w14:paraId="6E5CF341" w14:textId="77777777" w:rsidR="00A720EB" w:rsidRDefault="00A720EB">
      <w:pPr>
        <w:pStyle w:val="a3"/>
        <w:spacing w:before="2"/>
        <w:rPr>
          <w:sz w:val="18"/>
        </w:rPr>
      </w:pPr>
    </w:p>
    <w:p w14:paraId="7EECEABD" w14:textId="77777777" w:rsidR="00A720EB" w:rsidRDefault="0030286B">
      <w:pPr>
        <w:pStyle w:val="a3"/>
        <w:spacing w:before="125"/>
        <w:ind w:left="124"/>
      </w:pPr>
      <w:r>
        <w:rPr>
          <w:color w:val="333333"/>
          <w:w w:val="110"/>
        </w:rPr>
        <w:t>The following code listing shows how to inject a Cassandra bean:</w:t>
      </w:r>
    </w:p>
    <w:p w14:paraId="61F644AD" w14:textId="77777777" w:rsidR="00A720EB" w:rsidRDefault="00A720EB">
      <w:pPr>
        <w:sectPr w:rsidR="00A720EB">
          <w:pgSz w:w="11910" w:h="16840"/>
          <w:pgMar w:top="620" w:right="840" w:bottom="520" w:left="840" w:header="0" w:footer="323" w:gutter="0"/>
          <w:cols w:space="720"/>
        </w:sectPr>
      </w:pPr>
    </w:p>
    <w:p w14:paraId="3FB58FF7" w14:textId="77777777" w:rsidR="00A720EB" w:rsidRDefault="00E10349">
      <w:pPr>
        <w:pStyle w:val="a3"/>
        <w:ind w:left="116"/>
        <w:rPr>
          <w:sz w:val="20"/>
        </w:rPr>
      </w:pPr>
      <w:r>
        <w:rPr>
          <w:sz w:val="20"/>
        </w:rPr>
      </w:r>
      <w:r>
        <w:rPr>
          <w:sz w:val="20"/>
        </w:rPr>
        <w:pict w14:anchorId="5A9191C9">
          <v:group id="_x0000_s4016" style="width:499.55pt;height:199.65pt;mso-position-horizontal-relative:char;mso-position-vertical-relative:line" coordsize="9991,3993">
            <v:shape id="_x0000_s4019" style="position:absolute;left:7;top:7;width:9976;height:3978" coordorigin="8,8" coordsize="9976,3978" path="m9904,8l88,8,56,14,31,31,14,56,8,88r,3817l14,3936r17,26l56,3979r32,6l9904,3985r31,-6l9960,3962r17,-26l9984,3905r,-3817l9977,56,9960,31,9935,14,9904,8xe" fillcolor="#f5f5f5" stroked="f">
              <v:path arrowok="t"/>
            </v:shape>
            <v:shape id="_x0000_s4018" style="position:absolute;left:7;top:7;width:9976;height:3978" coordorigin="8,8" coordsize="9976,3978" path="m88,8r9816,l9935,14r25,17l9977,56r7,32l9984,3905r-7,31l9960,3962r-25,17l9904,3985r-9816,l56,3979,31,3962,14,3936,8,3905,8,88,14,56,31,31,56,14,88,8xe" filled="f" strokecolor="#ccc">
              <v:path arrowok="t"/>
            </v:shape>
            <v:shape id="_x0000_s4017" type="#_x0000_t202" style="position:absolute;left:26;top:22;width:9938;height:3947" filled="f" stroked="f">
              <v:textbox inset="0,0,0,0">
                <w:txbxContent>
                  <w:p w14:paraId="376E092C" w14:textId="77777777" w:rsidR="00711A16" w:rsidRDefault="00711A16">
                    <w:pPr>
                      <w:spacing w:before="221"/>
                      <w:ind w:left="200"/>
                      <w:rPr>
                        <w:rFonts w:ascii="MS Gothic"/>
                      </w:rPr>
                    </w:pPr>
                    <w:r>
                      <w:rPr>
                        <w:rFonts w:ascii="MS Gothic"/>
                        <w:color w:val="333333"/>
                      </w:rPr>
                      <w:t>@Component</w:t>
                    </w:r>
                  </w:p>
                  <w:p w14:paraId="1362B04F" w14:textId="77777777" w:rsidR="00711A16" w:rsidRDefault="00711A16">
                    <w:pPr>
                      <w:spacing w:before="13"/>
                      <w:ind w:left="200"/>
                      <w:rPr>
                        <w:rFonts w:ascii="MS Gothic"/>
                      </w:rPr>
                    </w:pPr>
                    <w:r>
                      <w:rPr>
                        <w:rFonts w:ascii="MS Gothic"/>
                        <w:color w:val="333333"/>
                      </w:rPr>
                      <w:t>public class MyBean {</w:t>
                    </w:r>
                  </w:p>
                  <w:p w14:paraId="4C127993" w14:textId="77777777" w:rsidR="00711A16" w:rsidRDefault="00711A16">
                    <w:pPr>
                      <w:spacing w:line="590" w:lineRule="atLeast"/>
                      <w:ind w:left="640" w:right="4548"/>
                      <w:rPr>
                        <w:rFonts w:ascii="MS Gothic"/>
                      </w:rPr>
                    </w:pPr>
                    <w:r>
                      <w:rPr>
                        <w:rFonts w:ascii="MS Gothic"/>
                        <w:color w:val="333333"/>
                      </w:rPr>
                      <w:t xml:space="preserve">private final CassandraTemplate template; public </w:t>
                    </w:r>
                    <w:proofErr w:type="gramStart"/>
                    <w:r>
                      <w:rPr>
                        <w:rFonts w:ascii="MS Gothic"/>
                        <w:color w:val="333333"/>
                      </w:rPr>
                      <w:t>MyBean(</w:t>
                    </w:r>
                    <w:proofErr w:type="gramEnd"/>
                    <w:r>
                      <w:rPr>
                        <w:rFonts w:ascii="MS Gothic"/>
                        <w:color w:val="333333"/>
                      </w:rPr>
                      <w:t>CassandraTemplate template) {</w:t>
                    </w:r>
                  </w:p>
                  <w:p w14:paraId="7BCEE30D" w14:textId="77777777" w:rsidR="00711A16" w:rsidRDefault="00711A16">
                    <w:pPr>
                      <w:spacing w:before="12"/>
                      <w:ind w:left="1080"/>
                      <w:rPr>
                        <w:rFonts w:ascii="MS Gothic"/>
                      </w:rPr>
                    </w:pPr>
                    <w:proofErr w:type="gramStart"/>
                    <w:r>
                      <w:rPr>
                        <w:rFonts w:ascii="MS Gothic"/>
                        <w:color w:val="333333"/>
                      </w:rPr>
                      <w:t>this.template</w:t>
                    </w:r>
                    <w:proofErr w:type="gramEnd"/>
                    <w:r>
                      <w:rPr>
                        <w:rFonts w:ascii="MS Gothic"/>
                        <w:color w:val="333333"/>
                      </w:rPr>
                      <w:t xml:space="preserve"> = template;</w:t>
                    </w:r>
                  </w:p>
                  <w:p w14:paraId="4AE96415" w14:textId="77777777" w:rsidR="00711A16" w:rsidRDefault="00711A16">
                    <w:pPr>
                      <w:spacing w:before="13"/>
                      <w:ind w:left="640"/>
                      <w:rPr>
                        <w:rFonts w:ascii="MS Gothic"/>
                      </w:rPr>
                    </w:pPr>
                    <w:r>
                      <w:rPr>
                        <w:rFonts w:ascii="MS Gothic"/>
                        <w:color w:val="333333"/>
                      </w:rPr>
                      <w:t>}</w:t>
                    </w:r>
                  </w:p>
                  <w:p w14:paraId="76B144EE" w14:textId="77777777" w:rsidR="00711A16" w:rsidRDefault="00711A16">
                    <w:pPr>
                      <w:rPr>
                        <w:rFonts w:ascii="MS Gothic"/>
                        <w:sz w:val="24"/>
                      </w:rPr>
                    </w:pPr>
                  </w:p>
                  <w:p w14:paraId="09AE4D5C" w14:textId="77777777" w:rsidR="00711A16" w:rsidRDefault="00711A16">
                    <w:pPr>
                      <w:ind w:left="640"/>
                      <w:rPr>
                        <w:rFonts w:ascii="MS Gothic"/>
                      </w:rPr>
                    </w:pPr>
                    <w:r>
                      <w:rPr>
                        <w:rFonts w:ascii="MS Gothic"/>
                        <w:color w:val="333333"/>
                      </w:rPr>
                      <w:t>// ...</w:t>
                    </w:r>
                  </w:p>
                  <w:p w14:paraId="7EDA6F4D" w14:textId="77777777" w:rsidR="00711A16" w:rsidRDefault="00711A16">
                    <w:pPr>
                      <w:rPr>
                        <w:rFonts w:ascii="MS Gothic"/>
                        <w:sz w:val="24"/>
                      </w:rPr>
                    </w:pPr>
                  </w:p>
                  <w:p w14:paraId="1CECD59C" w14:textId="77777777" w:rsidR="00711A16" w:rsidRDefault="00711A16">
                    <w:pPr>
                      <w:ind w:left="200"/>
                      <w:rPr>
                        <w:rFonts w:ascii="MS Gothic"/>
                      </w:rPr>
                    </w:pPr>
                    <w:r>
                      <w:rPr>
                        <w:rFonts w:ascii="MS Gothic"/>
                        <w:color w:val="333333"/>
                      </w:rPr>
                      <w:t>}</w:t>
                    </w:r>
                  </w:p>
                </w:txbxContent>
              </v:textbox>
            </v:shape>
            <w10:anchorlock/>
          </v:group>
        </w:pict>
      </w:r>
    </w:p>
    <w:p w14:paraId="3360DEE2" w14:textId="77777777" w:rsidR="00A720EB" w:rsidRDefault="00A720EB">
      <w:pPr>
        <w:pStyle w:val="a3"/>
        <w:spacing w:before="2"/>
        <w:rPr>
          <w:sz w:val="9"/>
        </w:rPr>
      </w:pPr>
    </w:p>
    <w:p w14:paraId="26534A03" w14:textId="77777777" w:rsidR="00A720EB" w:rsidRDefault="0030286B">
      <w:pPr>
        <w:pStyle w:val="a3"/>
        <w:spacing w:before="116"/>
        <w:ind w:left="124"/>
        <w:jc w:val="both"/>
      </w:pPr>
      <w:r>
        <w:rPr>
          <w:color w:val="333333"/>
          <w:w w:val="110"/>
        </w:rPr>
        <w:t xml:space="preserve">If you add your own </w:t>
      </w:r>
      <w:r>
        <w:rPr>
          <w:rFonts w:ascii="MS Gothic"/>
          <w:color w:val="B02045"/>
          <w:w w:val="110"/>
        </w:rPr>
        <w:t>@Bean</w:t>
      </w:r>
      <w:r>
        <w:rPr>
          <w:rFonts w:ascii="MS Gothic"/>
          <w:color w:val="B02045"/>
          <w:spacing w:val="-64"/>
          <w:w w:val="110"/>
        </w:rPr>
        <w:t xml:space="preserve"> </w:t>
      </w:r>
      <w:r>
        <w:rPr>
          <w:color w:val="333333"/>
          <w:w w:val="110"/>
        </w:rPr>
        <w:t xml:space="preserve">of type </w:t>
      </w:r>
      <w:r>
        <w:rPr>
          <w:rFonts w:ascii="MS Gothic"/>
          <w:color w:val="B02045"/>
          <w:w w:val="110"/>
        </w:rPr>
        <w:t>CassandraTemplate</w:t>
      </w:r>
      <w:r>
        <w:rPr>
          <w:color w:val="333333"/>
          <w:w w:val="110"/>
        </w:rPr>
        <w:t>, it replaces the default.</w:t>
      </w:r>
    </w:p>
    <w:p w14:paraId="644B1A9F" w14:textId="77777777" w:rsidR="00A720EB" w:rsidRDefault="00A720EB">
      <w:pPr>
        <w:pStyle w:val="a3"/>
        <w:spacing w:before="5"/>
        <w:rPr>
          <w:sz w:val="30"/>
        </w:rPr>
      </w:pPr>
    </w:p>
    <w:p w14:paraId="3049352E" w14:textId="77777777" w:rsidR="00A720EB" w:rsidRDefault="0030286B">
      <w:pPr>
        <w:pStyle w:val="4"/>
        <w:spacing w:before="1"/>
      </w:pPr>
      <w:bookmarkStart w:id="371" w:name="Spring_Data_Cassandra_Repositories"/>
      <w:bookmarkEnd w:id="371"/>
      <w:r>
        <w:rPr>
          <w:color w:val="333333"/>
          <w:w w:val="110"/>
        </w:rPr>
        <w:t>Spring Data Cassandra Repositories</w:t>
      </w:r>
    </w:p>
    <w:p w14:paraId="038A0360" w14:textId="77777777" w:rsidR="00A720EB" w:rsidRDefault="00A720EB">
      <w:pPr>
        <w:pStyle w:val="a3"/>
        <w:spacing w:before="11"/>
        <w:rPr>
          <w:rFonts w:ascii="Palatino Linotype"/>
          <w:b/>
          <w:sz w:val="18"/>
        </w:rPr>
      </w:pPr>
    </w:p>
    <w:p w14:paraId="60B02F4C" w14:textId="77777777" w:rsidR="00A720EB" w:rsidRDefault="0030286B">
      <w:pPr>
        <w:pStyle w:val="a3"/>
        <w:spacing w:line="297" w:lineRule="auto"/>
        <w:ind w:left="124" w:right="129"/>
        <w:jc w:val="both"/>
      </w:pPr>
      <w:r>
        <w:rPr>
          <w:color w:val="333333"/>
          <w:w w:val="110"/>
        </w:rPr>
        <w:t xml:space="preserve">Spring Data includes basic repository support for Cassandra. </w:t>
      </w:r>
      <w:proofErr w:type="gramStart"/>
      <w:r>
        <w:rPr>
          <w:color w:val="333333"/>
          <w:spacing w:val="-3"/>
          <w:w w:val="110"/>
        </w:rPr>
        <w:t xml:space="preserve">Currently,  </w:t>
      </w:r>
      <w:r>
        <w:rPr>
          <w:color w:val="333333"/>
          <w:w w:val="110"/>
        </w:rPr>
        <w:t>this</w:t>
      </w:r>
      <w:proofErr w:type="gramEnd"/>
      <w:r>
        <w:rPr>
          <w:color w:val="333333"/>
          <w:w w:val="110"/>
        </w:rPr>
        <w:t xml:space="preserve">  is more limited  than  the </w:t>
      </w:r>
      <w:r>
        <w:rPr>
          <w:color w:val="333333"/>
          <w:spacing w:val="-4"/>
          <w:w w:val="110"/>
        </w:rPr>
        <w:t xml:space="preserve">JPA </w:t>
      </w:r>
      <w:r>
        <w:rPr>
          <w:color w:val="333333"/>
          <w:w w:val="110"/>
        </w:rPr>
        <w:t>repositories discussed earlier and needs to annotate finder methods with</w:t>
      </w:r>
      <w:r>
        <w:rPr>
          <w:color w:val="333333"/>
          <w:spacing w:val="34"/>
          <w:w w:val="110"/>
        </w:rPr>
        <w:t xml:space="preserve"> </w:t>
      </w:r>
      <w:r>
        <w:rPr>
          <w:rFonts w:ascii="MS Gothic"/>
          <w:color w:val="B02045"/>
          <w:w w:val="110"/>
        </w:rPr>
        <w:t>@Query</w:t>
      </w:r>
      <w:r>
        <w:rPr>
          <w:color w:val="333333"/>
          <w:w w:val="110"/>
        </w:rPr>
        <w:t>.</w:t>
      </w:r>
    </w:p>
    <w:p w14:paraId="62136401" w14:textId="77777777" w:rsidR="00A720EB" w:rsidRDefault="00A720EB">
      <w:pPr>
        <w:pStyle w:val="a3"/>
        <w:spacing w:before="7"/>
        <w:rPr>
          <w:sz w:val="26"/>
        </w:rPr>
      </w:pPr>
    </w:p>
    <w:p w14:paraId="1CF05BB3" w14:textId="77777777" w:rsidR="00A720EB" w:rsidRDefault="00E10349">
      <w:pPr>
        <w:pStyle w:val="a3"/>
        <w:tabs>
          <w:tab w:val="left" w:pos="2100"/>
          <w:tab w:val="left" w:pos="3216"/>
          <w:tab w:val="left" w:pos="4074"/>
          <w:tab w:val="left" w:pos="4474"/>
          <w:tab w:val="left" w:pos="5329"/>
          <w:tab w:val="left" w:pos="5993"/>
          <w:tab w:val="left" w:pos="7276"/>
          <w:tab w:val="left" w:pos="7976"/>
          <w:tab w:val="left" w:pos="8372"/>
          <w:tab w:val="left" w:pos="8897"/>
        </w:tabs>
        <w:spacing w:line="307" w:lineRule="auto"/>
        <w:ind w:left="1564" w:right="362"/>
      </w:pPr>
      <w:r>
        <w:pict w14:anchorId="1D92BA5B">
          <v:line id="_x0000_s4015" style="position:absolute;left:0;text-align:left;z-index:16010752;mso-position-horizontal-relative:page" from="108.25pt,-6pt" to="108.25pt,33.55pt" strokecolor="#ededed" strokeweight=".5pt">
            <w10:wrap anchorx="page"/>
          </v:line>
        </w:pict>
      </w:r>
      <w:r w:rsidR="0030286B">
        <w:rPr>
          <w:noProof/>
        </w:rPr>
        <w:drawing>
          <wp:anchor distT="0" distB="0" distL="0" distR="0" simplePos="0" relativeHeight="16011264" behindDoc="0" locked="0" layoutInCell="1" allowOverlap="1" wp14:anchorId="2103E743" wp14:editId="2DCBC3A4">
            <wp:simplePos x="0" y="0"/>
            <wp:positionH relativeFrom="page">
              <wp:posOffset>888949</wp:posOffset>
            </wp:positionH>
            <wp:positionV relativeFrom="paragraph">
              <wp:posOffset>22771</wp:posOffset>
            </wp:positionV>
            <wp:extent cx="209550" cy="304800"/>
            <wp:effectExtent l="0" t="0" r="0" b="0"/>
            <wp:wrapNone/>
            <wp:docPr id="35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4"/>
          <w:w w:val="110"/>
        </w:rPr>
        <w:t>For</w:t>
      </w:r>
      <w:r w:rsidR="0030286B">
        <w:rPr>
          <w:color w:val="333333"/>
          <w:spacing w:val="-4"/>
          <w:w w:val="110"/>
        </w:rPr>
        <w:tab/>
      </w:r>
      <w:r w:rsidR="0030286B">
        <w:rPr>
          <w:color w:val="333333"/>
          <w:w w:val="110"/>
        </w:rPr>
        <w:t>complete</w:t>
      </w:r>
      <w:r w:rsidR="0030286B">
        <w:rPr>
          <w:color w:val="333333"/>
          <w:w w:val="110"/>
        </w:rPr>
        <w:tab/>
        <w:t>details</w:t>
      </w:r>
      <w:r w:rsidR="0030286B">
        <w:rPr>
          <w:color w:val="333333"/>
          <w:w w:val="110"/>
        </w:rPr>
        <w:tab/>
        <w:t>of</w:t>
      </w:r>
      <w:r w:rsidR="0030286B">
        <w:rPr>
          <w:color w:val="333333"/>
          <w:w w:val="110"/>
        </w:rPr>
        <w:tab/>
        <w:t>Spring</w:t>
      </w:r>
      <w:r w:rsidR="0030286B">
        <w:rPr>
          <w:color w:val="333333"/>
          <w:w w:val="110"/>
        </w:rPr>
        <w:tab/>
        <w:t>Data</w:t>
      </w:r>
      <w:r w:rsidR="0030286B">
        <w:rPr>
          <w:color w:val="333333"/>
          <w:w w:val="110"/>
        </w:rPr>
        <w:tab/>
        <w:t>Cassandra,</w:t>
      </w:r>
      <w:r w:rsidR="0030286B">
        <w:rPr>
          <w:color w:val="333333"/>
          <w:w w:val="110"/>
        </w:rPr>
        <w:tab/>
        <w:t>refer</w:t>
      </w:r>
      <w:r w:rsidR="0030286B">
        <w:rPr>
          <w:color w:val="333333"/>
          <w:w w:val="110"/>
        </w:rPr>
        <w:tab/>
        <w:t>to</w:t>
      </w:r>
      <w:r w:rsidR="0030286B">
        <w:rPr>
          <w:color w:val="333333"/>
          <w:w w:val="110"/>
        </w:rPr>
        <w:tab/>
        <w:t>the</w:t>
      </w:r>
      <w:r w:rsidR="0030286B">
        <w:rPr>
          <w:color w:val="333333"/>
          <w:w w:val="110"/>
        </w:rPr>
        <w:tab/>
      </w:r>
      <w:hyperlink r:id="rId253">
        <w:r w:rsidR="0030286B">
          <w:rPr>
            <w:color w:val="418BCA"/>
            <w:w w:val="110"/>
          </w:rPr>
          <w:t>reference</w:t>
        </w:r>
      </w:hyperlink>
      <w:r w:rsidR="0030286B">
        <w:rPr>
          <w:color w:val="418BCA"/>
          <w:w w:val="110"/>
        </w:rPr>
        <w:t xml:space="preserve"> </w:t>
      </w:r>
      <w:hyperlink r:id="rId254">
        <w:r w:rsidR="0030286B">
          <w:rPr>
            <w:color w:val="418BCA"/>
            <w:w w:val="110"/>
          </w:rPr>
          <w:t>documentation</w:t>
        </w:r>
      </w:hyperlink>
      <w:r w:rsidR="0030286B">
        <w:rPr>
          <w:color w:val="333333"/>
          <w:w w:val="110"/>
        </w:rPr>
        <w:t>.</w:t>
      </w:r>
    </w:p>
    <w:p w14:paraId="4BFA93A1" w14:textId="77777777" w:rsidR="00A720EB" w:rsidRDefault="00A720EB">
      <w:pPr>
        <w:pStyle w:val="a3"/>
        <w:spacing w:before="7"/>
        <w:rPr>
          <w:sz w:val="32"/>
        </w:rPr>
      </w:pPr>
    </w:p>
    <w:p w14:paraId="66FE6AC4" w14:textId="77777777" w:rsidR="00A720EB" w:rsidRDefault="0030286B">
      <w:pPr>
        <w:pStyle w:val="3"/>
        <w:numPr>
          <w:ilvl w:val="2"/>
          <w:numId w:val="68"/>
        </w:numPr>
        <w:tabs>
          <w:tab w:val="left" w:pos="1003"/>
        </w:tabs>
        <w:ind w:left="1002" w:hanging="879"/>
      </w:pPr>
      <w:bookmarkStart w:id="372" w:name="4.12.7._Couchbase"/>
      <w:bookmarkStart w:id="373" w:name="_Toc54423782"/>
      <w:bookmarkEnd w:id="372"/>
      <w:r>
        <w:rPr>
          <w:color w:val="333333"/>
          <w:w w:val="110"/>
        </w:rPr>
        <w:t>Couchbase</w:t>
      </w:r>
      <w:bookmarkEnd w:id="373"/>
    </w:p>
    <w:p w14:paraId="4952D4E4" w14:textId="77777777" w:rsidR="00A720EB" w:rsidRDefault="00E10349">
      <w:pPr>
        <w:pStyle w:val="a3"/>
        <w:spacing w:before="254" w:line="295" w:lineRule="auto"/>
        <w:ind w:left="124" w:right="122"/>
        <w:jc w:val="both"/>
      </w:pPr>
      <w:hyperlink r:id="rId255">
        <w:r w:rsidR="0030286B">
          <w:rPr>
            <w:color w:val="418BCA"/>
            <w:w w:val="110"/>
          </w:rPr>
          <w:t>Couchbase</w:t>
        </w:r>
      </w:hyperlink>
      <w:r w:rsidR="0030286B">
        <w:rPr>
          <w:color w:val="418BCA"/>
          <w:w w:val="110"/>
        </w:rPr>
        <w:t xml:space="preserve"> </w:t>
      </w:r>
      <w:r w:rsidR="0030286B">
        <w:rPr>
          <w:color w:val="333333"/>
          <w:w w:val="110"/>
        </w:rPr>
        <w:t xml:space="preserve">is an open-source, distributed, multi-model NoSQL document-oriented database that is optimized for interactive applications. Spring Boot offers auto-configuration for Couchbase and the abstractions on top of it provided by </w:t>
      </w:r>
      <w:hyperlink r:id="rId256">
        <w:r w:rsidR="0030286B">
          <w:rPr>
            <w:color w:val="418BCA"/>
            <w:w w:val="110"/>
          </w:rPr>
          <w:t>Spring Data Couchbase</w:t>
        </w:r>
      </w:hyperlink>
      <w:r w:rsidR="0030286B">
        <w:rPr>
          <w:color w:val="333333"/>
          <w:w w:val="110"/>
        </w:rPr>
        <w:t xml:space="preserve">. There are </w:t>
      </w:r>
      <w:r w:rsidR="0030286B">
        <w:rPr>
          <w:rFonts w:ascii="MS Gothic" w:hAnsi="MS Gothic"/>
          <w:color w:val="B02045"/>
          <w:w w:val="110"/>
        </w:rPr>
        <w:t xml:space="preserve">spring-boot-starter-data- couchbase </w:t>
      </w:r>
      <w:r w:rsidR="0030286B">
        <w:rPr>
          <w:color w:val="333333"/>
          <w:w w:val="110"/>
        </w:rPr>
        <w:t xml:space="preserve">and </w:t>
      </w:r>
      <w:r w:rsidR="0030286B">
        <w:rPr>
          <w:rFonts w:ascii="MS Gothic" w:hAnsi="MS Gothic"/>
          <w:color w:val="B02045"/>
          <w:w w:val="110"/>
        </w:rPr>
        <w:t xml:space="preserve">spring-boot-starter-data-couchbase-reactive </w:t>
      </w:r>
      <w:r w:rsidR="0030286B">
        <w:rPr>
          <w:color w:val="333333"/>
          <w:w w:val="110"/>
        </w:rPr>
        <w:t>“Starters” for collecting the dependencies in a convenient way.</w:t>
      </w:r>
    </w:p>
    <w:p w14:paraId="09BE1A0E" w14:textId="77777777" w:rsidR="00A720EB" w:rsidRDefault="00A720EB">
      <w:pPr>
        <w:pStyle w:val="a3"/>
        <w:spacing w:before="3"/>
        <w:rPr>
          <w:sz w:val="26"/>
        </w:rPr>
      </w:pPr>
    </w:p>
    <w:p w14:paraId="5CFA3BCA" w14:textId="77777777" w:rsidR="00A720EB" w:rsidRDefault="0030286B">
      <w:pPr>
        <w:pStyle w:val="4"/>
      </w:pPr>
      <w:bookmarkStart w:id="374" w:name="Connecting_to_Couchbase"/>
      <w:bookmarkEnd w:id="374"/>
      <w:r>
        <w:rPr>
          <w:color w:val="333333"/>
          <w:w w:val="110"/>
        </w:rPr>
        <w:t>Connecting to Couchbase</w:t>
      </w:r>
    </w:p>
    <w:p w14:paraId="06D490C6" w14:textId="77777777" w:rsidR="00A720EB" w:rsidRDefault="0030286B">
      <w:pPr>
        <w:pStyle w:val="a3"/>
        <w:spacing w:before="244" w:line="300" w:lineRule="auto"/>
        <w:ind w:left="124" w:right="122"/>
        <w:jc w:val="both"/>
      </w:pPr>
      <w:r>
        <w:rPr>
          <w:color w:val="333333"/>
          <w:spacing w:val="-6"/>
          <w:w w:val="110"/>
        </w:rPr>
        <w:t>You</w:t>
      </w:r>
      <w:r>
        <w:rPr>
          <w:color w:val="333333"/>
          <w:spacing w:val="-11"/>
          <w:w w:val="110"/>
        </w:rPr>
        <w:t xml:space="preserve"> </w:t>
      </w:r>
      <w:r>
        <w:rPr>
          <w:color w:val="333333"/>
          <w:w w:val="110"/>
        </w:rPr>
        <w:t>can</w:t>
      </w:r>
      <w:r>
        <w:rPr>
          <w:color w:val="333333"/>
          <w:spacing w:val="-10"/>
          <w:w w:val="110"/>
        </w:rPr>
        <w:t xml:space="preserve"> </w:t>
      </w:r>
      <w:r>
        <w:rPr>
          <w:color w:val="333333"/>
          <w:w w:val="110"/>
        </w:rPr>
        <w:t>get</w:t>
      </w:r>
      <w:r>
        <w:rPr>
          <w:color w:val="333333"/>
          <w:spacing w:val="-10"/>
          <w:w w:val="110"/>
        </w:rPr>
        <w:t xml:space="preserve"> </w:t>
      </w:r>
      <w:r>
        <w:rPr>
          <w:color w:val="333333"/>
          <w:w w:val="110"/>
        </w:rPr>
        <w:t>a</w:t>
      </w:r>
      <w:r>
        <w:rPr>
          <w:color w:val="333333"/>
          <w:spacing w:val="-10"/>
          <w:w w:val="110"/>
        </w:rPr>
        <w:t xml:space="preserve"> </w:t>
      </w:r>
      <w:r>
        <w:rPr>
          <w:rFonts w:ascii="MS Gothic"/>
          <w:color w:val="B02045"/>
          <w:w w:val="110"/>
        </w:rPr>
        <w:t>Cluster</w:t>
      </w:r>
      <w:r>
        <w:rPr>
          <w:rFonts w:ascii="MS Gothic"/>
          <w:color w:val="B02045"/>
          <w:spacing w:val="-74"/>
          <w:w w:val="110"/>
        </w:rPr>
        <w:t xml:space="preserve"> </w:t>
      </w:r>
      <w:r>
        <w:rPr>
          <w:color w:val="333333"/>
          <w:spacing w:val="-3"/>
          <w:w w:val="110"/>
        </w:rPr>
        <w:t>by</w:t>
      </w:r>
      <w:r>
        <w:rPr>
          <w:color w:val="333333"/>
          <w:spacing w:val="-11"/>
          <w:w w:val="110"/>
        </w:rPr>
        <w:t xml:space="preserve"> </w:t>
      </w:r>
      <w:r>
        <w:rPr>
          <w:color w:val="333333"/>
          <w:w w:val="110"/>
        </w:rPr>
        <w:t>adding</w:t>
      </w:r>
      <w:r>
        <w:rPr>
          <w:color w:val="333333"/>
          <w:spacing w:val="-10"/>
          <w:w w:val="110"/>
        </w:rPr>
        <w:t xml:space="preserve"> </w:t>
      </w:r>
      <w:r>
        <w:rPr>
          <w:color w:val="333333"/>
          <w:w w:val="110"/>
        </w:rPr>
        <w:t>the</w:t>
      </w:r>
      <w:r>
        <w:rPr>
          <w:color w:val="333333"/>
          <w:spacing w:val="-10"/>
          <w:w w:val="110"/>
        </w:rPr>
        <w:t xml:space="preserve"> </w:t>
      </w:r>
      <w:r>
        <w:rPr>
          <w:color w:val="333333"/>
          <w:w w:val="110"/>
        </w:rPr>
        <w:t>Couchbase</w:t>
      </w:r>
      <w:r>
        <w:rPr>
          <w:color w:val="333333"/>
          <w:spacing w:val="-10"/>
          <w:w w:val="110"/>
        </w:rPr>
        <w:t xml:space="preserve"> </w:t>
      </w:r>
      <w:r>
        <w:rPr>
          <w:color w:val="333333"/>
          <w:w w:val="110"/>
        </w:rPr>
        <w:t>SDK</w:t>
      </w:r>
      <w:r>
        <w:rPr>
          <w:color w:val="333333"/>
          <w:spacing w:val="-10"/>
          <w:w w:val="110"/>
        </w:rPr>
        <w:t xml:space="preserve"> </w:t>
      </w:r>
      <w:r>
        <w:rPr>
          <w:color w:val="333333"/>
          <w:w w:val="110"/>
        </w:rPr>
        <w:t>and</w:t>
      </w:r>
      <w:r>
        <w:rPr>
          <w:color w:val="333333"/>
          <w:spacing w:val="-10"/>
          <w:w w:val="110"/>
        </w:rPr>
        <w:t xml:space="preserve"> </w:t>
      </w:r>
      <w:r>
        <w:rPr>
          <w:color w:val="333333"/>
          <w:w w:val="110"/>
        </w:rPr>
        <w:t>some</w:t>
      </w:r>
      <w:r>
        <w:rPr>
          <w:color w:val="333333"/>
          <w:spacing w:val="-10"/>
          <w:w w:val="110"/>
        </w:rPr>
        <w:t xml:space="preserve"> </w:t>
      </w:r>
      <w:r>
        <w:rPr>
          <w:color w:val="333333"/>
          <w:w w:val="110"/>
        </w:rPr>
        <w:t>configuration.</w:t>
      </w:r>
      <w:r>
        <w:rPr>
          <w:color w:val="333333"/>
          <w:spacing w:val="-10"/>
          <w:w w:val="110"/>
        </w:rPr>
        <w:t xml:space="preserve"> </w:t>
      </w:r>
      <w:r>
        <w:rPr>
          <w:color w:val="333333"/>
          <w:w w:val="110"/>
        </w:rPr>
        <w:t>The</w:t>
      </w:r>
      <w:r>
        <w:rPr>
          <w:color w:val="333333"/>
          <w:spacing w:val="-4"/>
          <w:w w:val="110"/>
        </w:rPr>
        <w:t xml:space="preserve"> </w:t>
      </w:r>
      <w:proofErr w:type="gramStart"/>
      <w:r>
        <w:rPr>
          <w:rFonts w:ascii="MS Gothic"/>
          <w:color w:val="B02045"/>
          <w:w w:val="110"/>
        </w:rPr>
        <w:t>spring.couchbase</w:t>
      </w:r>
      <w:proofErr w:type="gramEnd"/>
      <w:r>
        <w:rPr>
          <w:rFonts w:ascii="MS Gothic"/>
          <w:color w:val="B02045"/>
          <w:w w:val="110"/>
        </w:rPr>
        <w:t xml:space="preserve">.* </w:t>
      </w:r>
      <w:r>
        <w:rPr>
          <w:color w:val="333333"/>
          <w:w w:val="110"/>
        </w:rPr>
        <w:t xml:space="preserve">properties can be used to customize the connection. </w:t>
      </w:r>
      <w:r>
        <w:rPr>
          <w:color w:val="333333"/>
          <w:spacing w:val="-4"/>
          <w:w w:val="110"/>
        </w:rPr>
        <w:t xml:space="preserve">Generally, </w:t>
      </w:r>
      <w:r>
        <w:rPr>
          <w:color w:val="333333"/>
          <w:w w:val="110"/>
        </w:rPr>
        <w:t xml:space="preserve">you provide the </w:t>
      </w:r>
      <w:hyperlink r:id="rId257">
        <w:r>
          <w:rPr>
            <w:color w:val="418BCA"/>
            <w:w w:val="110"/>
          </w:rPr>
          <w:t>connection string</w:t>
        </w:r>
      </w:hyperlink>
      <w:r>
        <w:rPr>
          <w:color w:val="333333"/>
          <w:w w:val="110"/>
        </w:rPr>
        <w:t>, username, and password, as shown in the following</w:t>
      </w:r>
      <w:r>
        <w:rPr>
          <w:color w:val="333333"/>
          <w:spacing w:val="28"/>
          <w:w w:val="110"/>
        </w:rPr>
        <w:t xml:space="preserve"> </w:t>
      </w:r>
      <w:r>
        <w:rPr>
          <w:color w:val="333333"/>
          <w:w w:val="110"/>
        </w:rPr>
        <w:t>example:</w:t>
      </w:r>
    </w:p>
    <w:p w14:paraId="23C2ADFC" w14:textId="77777777" w:rsidR="00A720EB" w:rsidRDefault="00E10349">
      <w:pPr>
        <w:pStyle w:val="a3"/>
        <w:spacing w:before="6"/>
        <w:rPr>
          <w:sz w:val="13"/>
        </w:rPr>
      </w:pPr>
      <w:r>
        <w:pict w14:anchorId="7D1D3D4C">
          <v:group id="_x0000_s4011" style="position:absolute;margin-left:47.85pt;margin-top:9.9pt;width:499.55pt;height:67pt;z-index:-15447040;mso-wrap-distance-left:0;mso-wrap-distance-right:0;mso-position-horizontal-relative:page" coordorigin="957,198" coordsize="9991,1340">
            <v:shape id="_x0000_s4014" style="position:absolute;left:964;top:205;width:9976;height:1325" coordorigin="965,206" coordsize="9976,1325" path="m10861,206r-9816,l1014,212r-26,17l971,255r-6,31l965,1450r6,31l988,1507r26,17l1045,1530r9816,l10892,1524r25,-17l10935,1481r6,-31l10941,286r-6,-31l10917,229r-25,-17l10861,206xe" fillcolor="#f5f5f5" stroked="f">
              <v:path arrowok="t"/>
            </v:shape>
            <v:shape id="_x0000_s4013" style="position:absolute;left:964;top:205;width:9976;height:1325" coordorigin="965,206" coordsize="9976,1325" path="m1045,206r9816,l10892,212r25,17l10935,255r6,31l10941,1450r-6,31l10917,1507r-25,17l10861,1530r-9816,l1014,1524r-26,-17l971,1481r-6,-31l965,286r6,-31l988,229r26,-17l1045,206xe" filled="f" strokecolor="#ccc">
              <v:path arrowok="t"/>
            </v:shape>
            <v:shape id="_x0000_s4012" type="#_x0000_t202" style="position:absolute;left:984;top:221;width:9938;height:1294" filled="f" stroked="f">
              <v:textbox inset="0,0,0,0">
                <w:txbxContent>
                  <w:p w14:paraId="4EE966FD" w14:textId="77777777" w:rsidR="00711A16" w:rsidRDefault="00711A16">
                    <w:pPr>
                      <w:spacing w:before="221" w:line="252" w:lineRule="auto"/>
                      <w:ind w:left="200" w:right="3118"/>
                      <w:rPr>
                        <w:rFonts w:ascii="MS Gothic"/>
                      </w:rPr>
                    </w:pPr>
                    <w:proofErr w:type="gramStart"/>
                    <w:r>
                      <w:rPr>
                        <w:rFonts w:ascii="MS Gothic"/>
                        <w:color w:val="333333"/>
                      </w:rPr>
                      <w:t>spring.couchbase</w:t>
                    </w:r>
                    <w:proofErr w:type="gramEnd"/>
                    <w:r>
                      <w:rPr>
                        <w:rFonts w:ascii="MS Gothic"/>
                        <w:color w:val="333333"/>
                      </w:rPr>
                      <w:t>.connection-string=couchbase://192.168.1.123 spring.couchbase.username=user spring.couchbase.password=secret</w:t>
                    </w:r>
                  </w:p>
                </w:txbxContent>
              </v:textbox>
            </v:shape>
            <w10:wrap type="topAndBottom" anchorx="page"/>
          </v:group>
        </w:pict>
      </w:r>
    </w:p>
    <w:p w14:paraId="7E995CE8" w14:textId="77777777" w:rsidR="00A720EB" w:rsidRDefault="00A720EB">
      <w:pPr>
        <w:pStyle w:val="a3"/>
        <w:spacing w:before="11"/>
        <w:rPr>
          <w:sz w:val="9"/>
        </w:rPr>
      </w:pPr>
    </w:p>
    <w:p w14:paraId="5C8E319B" w14:textId="77777777" w:rsidR="00A720EB" w:rsidRDefault="0030286B">
      <w:pPr>
        <w:pStyle w:val="a3"/>
        <w:spacing w:before="115" w:line="280" w:lineRule="auto"/>
        <w:ind w:left="124"/>
      </w:pPr>
      <w:r>
        <w:rPr>
          <w:color w:val="333333"/>
          <w:w w:val="110"/>
        </w:rPr>
        <w:t xml:space="preserve">It is also possible to customize some of the </w:t>
      </w:r>
      <w:r>
        <w:rPr>
          <w:rFonts w:ascii="MS Gothic"/>
          <w:color w:val="B02045"/>
          <w:w w:val="110"/>
        </w:rPr>
        <w:t xml:space="preserve">ClusterEnvironment </w:t>
      </w:r>
      <w:r>
        <w:rPr>
          <w:color w:val="333333"/>
          <w:w w:val="110"/>
        </w:rPr>
        <w:t xml:space="preserve">settings. For instance, the following configuration changes the timeout to use to open a new </w:t>
      </w:r>
      <w:r>
        <w:rPr>
          <w:rFonts w:ascii="MS Gothic"/>
          <w:color w:val="B02045"/>
          <w:w w:val="110"/>
        </w:rPr>
        <w:t xml:space="preserve">Bucket </w:t>
      </w:r>
      <w:r>
        <w:rPr>
          <w:color w:val="333333"/>
          <w:w w:val="110"/>
        </w:rPr>
        <w:t>and enables SSL support:</w:t>
      </w:r>
    </w:p>
    <w:p w14:paraId="5611F4ED" w14:textId="77777777" w:rsidR="00A720EB" w:rsidRDefault="00A720EB">
      <w:pPr>
        <w:spacing w:line="280" w:lineRule="auto"/>
        <w:sectPr w:rsidR="00A720EB">
          <w:pgSz w:w="11910" w:h="16840"/>
          <w:pgMar w:top="700" w:right="840" w:bottom="520" w:left="840" w:header="0" w:footer="323" w:gutter="0"/>
          <w:cols w:space="720"/>
        </w:sectPr>
      </w:pPr>
    </w:p>
    <w:p w14:paraId="09EE1E57" w14:textId="77777777" w:rsidR="00A720EB" w:rsidRDefault="00E10349">
      <w:pPr>
        <w:pStyle w:val="a3"/>
        <w:ind w:left="116"/>
        <w:rPr>
          <w:sz w:val="20"/>
        </w:rPr>
      </w:pPr>
      <w:r>
        <w:rPr>
          <w:sz w:val="20"/>
        </w:rPr>
      </w:r>
      <w:r>
        <w:rPr>
          <w:sz w:val="20"/>
        </w:rPr>
        <w:pict w14:anchorId="6405F858">
          <v:group id="_x0000_s4007" style="width:499.55pt;height:67pt;mso-position-horizontal-relative:char;mso-position-vertical-relative:line" coordsize="9991,1340">
            <v:shape id="_x0000_s4010" style="position:absolute;left:7;top:7;width:9976;height:1325" coordorigin="8,8" coordsize="9976,1325" path="m9904,8l88,8,56,14,31,31,14,56,8,88r,1164l14,1283r17,25l56,1326r32,6l9904,1332r31,-6l9960,1308r17,-25l9984,1252r,-1164l9977,56,9960,31,9935,14,9904,8xe" fillcolor="#f5f5f5" stroked="f">
              <v:path arrowok="t"/>
            </v:shape>
            <v:shape id="_x0000_s4009" style="position:absolute;left:7;top:7;width:9976;height:1325" coordorigin="8,8" coordsize="9976,1325" path="m88,8r9816,l9935,14r25,17l9977,56r7,32l9984,1252r-7,31l9960,1308r-25,18l9904,1332r-9816,l56,1326,31,1308,14,1283,8,1252,8,88,14,56,31,31,56,14,88,8xe" filled="f" strokecolor="#ccc">
              <v:path arrowok="t"/>
            </v:shape>
            <v:shape id="_x0000_s4008" type="#_x0000_t202" style="position:absolute;left:26;top:22;width:9938;height:1294" filled="f" stroked="f">
              <v:textbox inset="0,0,0,0">
                <w:txbxContent>
                  <w:p w14:paraId="67F5A392" w14:textId="77777777" w:rsidR="00711A16" w:rsidRDefault="00711A16">
                    <w:pPr>
                      <w:spacing w:before="221" w:line="252" w:lineRule="auto"/>
                      <w:ind w:left="200" w:right="3134"/>
                      <w:rPr>
                        <w:rFonts w:ascii="MS Gothic"/>
                      </w:rPr>
                    </w:pPr>
                    <w:proofErr w:type="gramStart"/>
                    <w:r>
                      <w:rPr>
                        <w:rFonts w:ascii="MS Gothic"/>
                        <w:color w:val="333333"/>
                      </w:rPr>
                      <w:t>spring.couchbase.env.timeouts</w:t>
                    </w:r>
                    <w:proofErr w:type="gramEnd"/>
                    <w:r>
                      <w:rPr>
                        <w:rFonts w:ascii="MS Gothic"/>
                        <w:color w:val="333333"/>
                      </w:rPr>
                      <w:t>.connect=3000 spring.couchbase.env.ssl.key-store=/location/of/keystore.jks spring.couchbase.env.ssl.key-store-password=secret</w:t>
                    </w:r>
                  </w:p>
                </w:txbxContent>
              </v:textbox>
            </v:shape>
            <w10:anchorlock/>
          </v:group>
        </w:pict>
      </w:r>
    </w:p>
    <w:p w14:paraId="0F0E94D9" w14:textId="77777777" w:rsidR="00A720EB" w:rsidRDefault="00A720EB">
      <w:pPr>
        <w:pStyle w:val="a3"/>
        <w:spacing w:before="2"/>
        <w:rPr>
          <w:sz w:val="16"/>
        </w:rPr>
      </w:pPr>
    </w:p>
    <w:p w14:paraId="3D7106E0" w14:textId="77777777" w:rsidR="00A720EB" w:rsidRDefault="00E10349">
      <w:pPr>
        <w:pStyle w:val="a3"/>
        <w:spacing w:before="116" w:line="280" w:lineRule="auto"/>
        <w:ind w:left="1564" w:right="462"/>
      </w:pPr>
      <w:r>
        <w:pict w14:anchorId="5415464C">
          <v:line id="_x0000_s4006" style="position:absolute;left:0;text-align:left;z-index:16013312;mso-position-horizontal-relative:page" from="108.25pt,.35pt" to="108.25pt,39.9pt" strokecolor="#ededed" strokeweight=".5pt">
            <w10:wrap anchorx="page"/>
          </v:line>
        </w:pict>
      </w:r>
      <w:r w:rsidR="0030286B">
        <w:rPr>
          <w:noProof/>
        </w:rPr>
        <w:drawing>
          <wp:anchor distT="0" distB="0" distL="0" distR="0" simplePos="0" relativeHeight="16013824" behindDoc="0" locked="0" layoutInCell="1" allowOverlap="1" wp14:anchorId="4F36B4E4" wp14:editId="00C65C29">
            <wp:simplePos x="0" y="0"/>
            <wp:positionH relativeFrom="page">
              <wp:posOffset>888949</wp:posOffset>
            </wp:positionH>
            <wp:positionV relativeFrom="paragraph">
              <wp:posOffset>103073</wp:posOffset>
            </wp:positionV>
            <wp:extent cx="209550" cy="304800"/>
            <wp:effectExtent l="0" t="0" r="0" b="0"/>
            <wp:wrapNone/>
            <wp:docPr id="36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7.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Check the </w:t>
      </w:r>
      <w:proofErr w:type="gramStart"/>
      <w:r w:rsidR="0030286B">
        <w:rPr>
          <w:rFonts w:ascii="MS Gothic"/>
          <w:color w:val="B02045"/>
          <w:w w:val="110"/>
        </w:rPr>
        <w:t>spring.couchbase.env.*</w:t>
      </w:r>
      <w:proofErr w:type="gramEnd"/>
      <w:r w:rsidR="0030286B">
        <w:rPr>
          <w:rFonts w:ascii="MS Gothic"/>
          <w:color w:val="B02045"/>
          <w:w w:val="110"/>
        </w:rPr>
        <w:t xml:space="preserve"> </w:t>
      </w:r>
      <w:r w:rsidR="0030286B">
        <w:rPr>
          <w:color w:val="333333"/>
          <w:w w:val="110"/>
        </w:rPr>
        <w:t xml:space="preserve">properties for more details. </w:t>
      </w:r>
      <w:r w:rsidR="0030286B">
        <w:rPr>
          <w:color w:val="333333"/>
          <w:spacing w:val="-4"/>
          <w:w w:val="110"/>
        </w:rPr>
        <w:t xml:space="preserve">To </w:t>
      </w:r>
      <w:r w:rsidR="0030286B">
        <w:rPr>
          <w:color w:val="333333"/>
          <w:w w:val="110"/>
        </w:rPr>
        <w:t xml:space="preserve">take more control, one or more </w:t>
      </w:r>
      <w:r w:rsidR="0030286B">
        <w:rPr>
          <w:rFonts w:ascii="MS Gothic"/>
          <w:color w:val="B02045"/>
          <w:w w:val="110"/>
        </w:rPr>
        <w:t>ClusterEnvironmentBuilderCustomizer</w:t>
      </w:r>
      <w:r w:rsidR="0030286B">
        <w:rPr>
          <w:rFonts w:ascii="MS Gothic"/>
          <w:color w:val="B02045"/>
          <w:spacing w:val="-78"/>
          <w:w w:val="110"/>
        </w:rPr>
        <w:t xml:space="preserve"> </w:t>
      </w:r>
      <w:r w:rsidR="0030286B">
        <w:rPr>
          <w:color w:val="333333"/>
          <w:w w:val="110"/>
        </w:rPr>
        <w:t>beans can be used.</w:t>
      </w:r>
    </w:p>
    <w:p w14:paraId="34218223" w14:textId="77777777" w:rsidR="00A720EB" w:rsidRDefault="00A720EB">
      <w:pPr>
        <w:pStyle w:val="a3"/>
        <w:spacing w:before="7"/>
        <w:rPr>
          <w:sz w:val="24"/>
        </w:rPr>
      </w:pPr>
    </w:p>
    <w:p w14:paraId="048A4C7D" w14:textId="77777777" w:rsidR="00A720EB" w:rsidRDefault="0030286B">
      <w:pPr>
        <w:pStyle w:val="4"/>
        <w:spacing w:before="104"/>
      </w:pPr>
      <w:bookmarkStart w:id="375" w:name="Spring_Data_Couchbase_Repositories"/>
      <w:bookmarkEnd w:id="375"/>
      <w:r>
        <w:rPr>
          <w:color w:val="333333"/>
          <w:w w:val="110"/>
        </w:rPr>
        <w:t>Spring Data Couchbase Repositories</w:t>
      </w:r>
    </w:p>
    <w:p w14:paraId="48A50DBC" w14:textId="77777777" w:rsidR="00A720EB" w:rsidRDefault="00A720EB">
      <w:pPr>
        <w:pStyle w:val="a3"/>
        <w:spacing w:before="11"/>
        <w:rPr>
          <w:rFonts w:ascii="Palatino Linotype"/>
          <w:b/>
          <w:sz w:val="18"/>
        </w:rPr>
      </w:pPr>
    </w:p>
    <w:p w14:paraId="7F0CB338" w14:textId="77777777" w:rsidR="00A720EB" w:rsidRDefault="0030286B">
      <w:pPr>
        <w:pStyle w:val="a3"/>
        <w:spacing w:line="307" w:lineRule="auto"/>
        <w:ind w:left="124" w:right="131"/>
        <w:jc w:val="both"/>
      </w:pPr>
      <w:r>
        <w:rPr>
          <w:color w:val="333333"/>
          <w:w w:val="110"/>
        </w:rPr>
        <w:t xml:space="preserve">Spring Data includes repository support for Couchbase. For complete details of Spring Data  Couchbase, refer to the </w:t>
      </w:r>
      <w:hyperlink r:id="rId258">
        <w:r>
          <w:rPr>
            <w:color w:val="418BCA"/>
            <w:w w:val="110"/>
          </w:rPr>
          <w:t>reference documentation</w:t>
        </w:r>
      </w:hyperlink>
      <w:r>
        <w:rPr>
          <w:color w:val="333333"/>
          <w:w w:val="110"/>
        </w:rPr>
        <w:t>.</w:t>
      </w:r>
    </w:p>
    <w:p w14:paraId="254467F4" w14:textId="77777777" w:rsidR="00A720EB" w:rsidRDefault="0030286B">
      <w:pPr>
        <w:pStyle w:val="a3"/>
        <w:spacing w:before="231" w:line="285" w:lineRule="auto"/>
        <w:ind w:left="124" w:right="122"/>
        <w:jc w:val="both"/>
      </w:pPr>
      <w:r>
        <w:rPr>
          <w:color w:val="333333"/>
          <w:w w:val="110"/>
        </w:rPr>
        <w:t xml:space="preserve">You can inject an auto-configured </w:t>
      </w:r>
      <w:r>
        <w:rPr>
          <w:rFonts w:ascii="MS Gothic"/>
          <w:color w:val="B02045"/>
          <w:w w:val="110"/>
        </w:rPr>
        <w:t xml:space="preserve">CouchbaseTemplate </w:t>
      </w:r>
      <w:r>
        <w:rPr>
          <w:color w:val="333333"/>
          <w:w w:val="110"/>
        </w:rPr>
        <w:t xml:space="preserve">instance as you would with any other Spring Bean, provided a </w:t>
      </w:r>
      <w:r>
        <w:rPr>
          <w:rFonts w:ascii="MS Gothic"/>
          <w:color w:val="B02045"/>
          <w:w w:val="110"/>
        </w:rPr>
        <w:t xml:space="preserve">CouchbaseClientFactory </w:t>
      </w:r>
      <w:r>
        <w:rPr>
          <w:color w:val="333333"/>
          <w:w w:val="110"/>
        </w:rPr>
        <w:t xml:space="preserve">bean is available. This happens when a </w:t>
      </w:r>
      <w:r>
        <w:rPr>
          <w:rFonts w:ascii="MS Gothic"/>
          <w:color w:val="B02045"/>
          <w:w w:val="110"/>
        </w:rPr>
        <w:t xml:space="preserve">Cluster </w:t>
      </w:r>
      <w:r>
        <w:rPr>
          <w:color w:val="333333"/>
          <w:w w:val="110"/>
        </w:rPr>
        <w:t>is available, as described above, and a bucket name has been specified:</w:t>
      </w:r>
    </w:p>
    <w:p w14:paraId="4C54B1D0" w14:textId="77777777" w:rsidR="00A720EB" w:rsidRDefault="00E10349">
      <w:pPr>
        <w:pStyle w:val="a3"/>
        <w:spacing w:before="1"/>
        <w:rPr>
          <w:sz w:val="15"/>
        </w:rPr>
      </w:pPr>
      <w:r>
        <w:pict w14:anchorId="54CA2F64">
          <v:group id="_x0000_s4002" style="position:absolute;margin-left:47.85pt;margin-top:10.85pt;width:499.55pt;height:37.5pt;z-index:-15444992;mso-wrap-distance-left:0;mso-wrap-distance-right:0;mso-position-horizontal-relative:page" coordorigin="957,217" coordsize="9991,750">
            <v:shape id="_x0000_s4005" style="position:absolute;left:964;top:224;width:9976;height:735" coordorigin="965,224" coordsize="9976,735" path="m10861,224r-9816,l1014,230r-26,18l971,273r-6,31l965,879r6,31l988,935r26,18l1045,959r9816,l10892,953r25,-18l10935,910r6,-31l10941,304r-6,-31l10917,248r-25,-18l10861,224xe" fillcolor="#f5f5f5" stroked="f">
              <v:path arrowok="t"/>
            </v:shape>
            <v:shape id="_x0000_s4004" style="position:absolute;left:964;top:224;width:9976;height:735" coordorigin="965,224" coordsize="9976,735" path="m1045,224r9816,l10892,230r25,18l10935,273r6,31l10941,879r-6,31l10917,935r-25,18l10861,959r-9816,l1014,953,988,935,971,910r-6,-31l965,304r6,-31l988,248r26,-18l1045,224xe" filled="f" strokecolor="#ccc">
              <v:path arrowok="t"/>
            </v:shape>
            <v:shape id="_x0000_s4003" type="#_x0000_t202" style="position:absolute;left:984;top:239;width:9938;height:704" filled="f" stroked="f">
              <v:textbox inset="0,0,0,0">
                <w:txbxContent>
                  <w:p w14:paraId="38A6E7DB" w14:textId="77777777" w:rsidR="00711A16" w:rsidRDefault="00711A16">
                    <w:pPr>
                      <w:spacing w:before="221"/>
                      <w:ind w:left="200"/>
                      <w:rPr>
                        <w:rFonts w:ascii="MS Gothic"/>
                      </w:rPr>
                    </w:pPr>
                    <w:r>
                      <w:rPr>
                        <w:rFonts w:ascii="MS Gothic"/>
                        <w:color w:val="333333"/>
                      </w:rPr>
                      <w:t>spring.</w:t>
                    </w:r>
                    <w:proofErr w:type="gramStart"/>
                    <w:r>
                      <w:rPr>
                        <w:rFonts w:ascii="MS Gothic"/>
                        <w:color w:val="333333"/>
                      </w:rPr>
                      <w:t>data.couchbase</w:t>
                    </w:r>
                    <w:proofErr w:type="gramEnd"/>
                    <w:r>
                      <w:rPr>
                        <w:rFonts w:ascii="MS Gothic"/>
                        <w:color w:val="333333"/>
                      </w:rPr>
                      <w:t>.bucket-name=my-bucket</w:t>
                    </w:r>
                  </w:p>
                </w:txbxContent>
              </v:textbox>
            </v:shape>
            <w10:wrap type="topAndBottom" anchorx="page"/>
          </v:group>
        </w:pict>
      </w:r>
    </w:p>
    <w:p w14:paraId="68365EEA" w14:textId="77777777" w:rsidR="00A720EB" w:rsidRDefault="00A720EB">
      <w:pPr>
        <w:pStyle w:val="a3"/>
        <w:spacing w:before="11"/>
        <w:rPr>
          <w:sz w:val="9"/>
        </w:rPr>
      </w:pPr>
    </w:p>
    <w:p w14:paraId="08E4157F" w14:textId="77777777" w:rsidR="00A720EB" w:rsidRDefault="0030286B">
      <w:pPr>
        <w:pStyle w:val="a3"/>
        <w:spacing w:before="115"/>
        <w:ind w:left="124"/>
      </w:pPr>
      <w:r>
        <w:rPr>
          <w:color w:val="333333"/>
          <w:w w:val="110"/>
        </w:rPr>
        <w:t xml:space="preserve">The following examples shows how to inject a </w:t>
      </w:r>
      <w:r>
        <w:rPr>
          <w:rFonts w:ascii="MS Gothic"/>
          <w:color w:val="B02045"/>
          <w:w w:val="110"/>
        </w:rPr>
        <w:t>CouchbaseTemplate</w:t>
      </w:r>
      <w:r>
        <w:rPr>
          <w:rFonts w:ascii="MS Gothic"/>
          <w:color w:val="B02045"/>
          <w:spacing w:val="-56"/>
          <w:w w:val="110"/>
        </w:rPr>
        <w:t xml:space="preserve"> </w:t>
      </w:r>
      <w:r>
        <w:rPr>
          <w:color w:val="333333"/>
          <w:w w:val="110"/>
        </w:rPr>
        <w:t>bean:</w:t>
      </w:r>
    </w:p>
    <w:p w14:paraId="31195E7D" w14:textId="77777777" w:rsidR="00A720EB" w:rsidRDefault="00E10349">
      <w:pPr>
        <w:pStyle w:val="a3"/>
        <w:spacing w:before="11"/>
        <w:rPr>
          <w:sz w:val="17"/>
        </w:rPr>
      </w:pPr>
      <w:r>
        <w:pict w14:anchorId="6B88E665">
          <v:group id="_x0000_s3998" style="position:absolute;margin-left:47.85pt;margin-top:12.55pt;width:499.55pt;height:214.4pt;z-index:-15444480;mso-wrap-distance-left:0;mso-wrap-distance-right:0;mso-position-horizontal-relative:page" coordorigin="957,251" coordsize="9991,4288">
            <v:shape id="_x0000_s4001" style="position:absolute;left:964;top:258;width:9976;height:4273" coordorigin="965,258" coordsize="9976,4273" path="m10861,258r-9816,l1014,264r-26,17l971,307r-6,31l965,4450r6,32l988,4507r26,17l1045,4530r9816,l10892,4524r25,-17l10935,4482r6,-32l10941,338r-6,-31l10917,281r-25,-17l10861,258xe" fillcolor="#f5f5f5" stroked="f">
              <v:path arrowok="t"/>
            </v:shape>
            <v:shape id="_x0000_s4000" style="position:absolute;left:964;top:258;width:9976;height:4273" coordorigin="965,258" coordsize="9976,4273" path="m1045,258r9816,l10892,264r25,17l10935,307r6,31l10941,4450r-6,32l10917,4507r-25,17l10861,4530r-9816,l1014,4524r-26,-17l971,4482r-6,-32l965,338r6,-31l988,281r26,-17l1045,258xe" filled="f" strokecolor="#ccc">
              <v:path arrowok="t"/>
            </v:shape>
            <v:shape id="_x0000_s3999" type="#_x0000_t202" style="position:absolute;left:984;top:273;width:9938;height:4242" filled="f" stroked="f">
              <v:textbox inset="0,0,0,0">
                <w:txbxContent>
                  <w:p w14:paraId="4ABD85FE" w14:textId="77777777" w:rsidR="00711A16" w:rsidRDefault="00711A16">
                    <w:pPr>
                      <w:spacing w:before="221"/>
                      <w:ind w:left="200"/>
                      <w:rPr>
                        <w:rFonts w:ascii="MS Gothic"/>
                      </w:rPr>
                    </w:pPr>
                    <w:r>
                      <w:rPr>
                        <w:rFonts w:ascii="MS Gothic"/>
                        <w:color w:val="333333"/>
                      </w:rPr>
                      <w:t>@Component</w:t>
                    </w:r>
                  </w:p>
                  <w:p w14:paraId="63CA2B3A" w14:textId="77777777" w:rsidR="00711A16" w:rsidRDefault="00711A16">
                    <w:pPr>
                      <w:spacing w:before="13"/>
                      <w:ind w:left="200"/>
                      <w:rPr>
                        <w:rFonts w:ascii="MS Gothic"/>
                      </w:rPr>
                    </w:pPr>
                    <w:r>
                      <w:rPr>
                        <w:rFonts w:ascii="MS Gothic"/>
                        <w:color w:val="333333"/>
                      </w:rPr>
                      <w:t>public class MyBean {</w:t>
                    </w:r>
                  </w:p>
                  <w:p w14:paraId="5DE9349F" w14:textId="77777777" w:rsidR="00711A16" w:rsidRDefault="00711A16">
                    <w:pPr>
                      <w:spacing w:line="590" w:lineRule="atLeast"/>
                      <w:ind w:left="640" w:right="4768"/>
                      <w:rPr>
                        <w:rFonts w:ascii="MS Gothic"/>
                      </w:rPr>
                    </w:pPr>
                    <w:r>
                      <w:rPr>
                        <w:rFonts w:ascii="MS Gothic"/>
                        <w:color w:val="333333"/>
                      </w:rPr>
                      <w:t>private final CouchbaseTemplate template; @Autowired</w:t>
                    </w:r>
                  </w:p>
                  <w:p w14:paraId="5694AED2" w14:textId="77777777" w:rsidR="00711A16" w:rsidRDefault="00711A16">
                    <w:pPr>
                      <w:spacing w:before="12" w:line="252" w:lineRule="auto"/>
                      <w:ind w:left="1080" w:right="454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CouchbaseTemplate template) { this.template = template;</w:t>
                    </w:r>
                  </w:p>
                  <w:p w14:paraId="2103A02F" w14:textId="77777777" w:rsidR="00711A16" w:rsidRDefault="00711A16">
                    <w:pPr>
                      <w:spacing w:line="280" w:lineRule="exact"/>
                      <w:ind w:left="640"/>
                      <w:rPr>
                        <w:rFonts w:ascii="MS Gothic"/>
                      </w:rPr>
                    </w:pPr>
                    <w:r>
                      <w:rPr>
                        <w:rFonts w:ascii="MS Gothic"/>
                        <w:color w:val="333333"/>
                      </w:rPr>
                      <w:t>}</w:t>
                    </w:r>
                  </w:p>
                  <w:p w14:paraId="2324E226" w14:textId="77777777" w:rsidR="00711A16" w:rsidRDefault="00711A16">
                    <w:pPr>
                      <w:rPr>
                        <w:rFonts w:ascii="MS Gothic"/>
                        <w:sz w:val="24"/>
                      </w:rPr>
                    </w:pPr>
                  </w:p>
                  <w:p w14:paraId="590492B0" w14:textId="77777777" w:rsidR="00711A16" w:rsidRDefault="00711A16">
                    <w:pPr>
                      <w:ind w:left="640"/>
                      <w:rPr>
                        <w:rFonts w:ascii="MS Gothic"/>
                      </w:rPr>
                    </w:pPr>
                    <w:r>
                      <w:rPr>
                        <w:rFonts w:ascii="MS Gothic"/>
                        <w:color w:val="333333"/>
                      </w:rPr>
                      <w:t>// ...</w:t>
                    </w:r>
                  </w:p>
                  <w:p w14:paraId="1F7C3D56" w14:textId="77777777" w:rsidR="00711A16" w:rsidRDefault="00711A16">
                    <w:pPr>
                      <w:rPr>
                        <w:rFonts w:ascii="MS Gothic"/>
                        <w:sz w:val="24"/>
                      </w:rPr>
                    </w:pPr>
                  </w:p>
                  <w:p w14:paraId="7C49C615" w14:textId="77777777" w:rsidR="00711A16" w:rsidRDefault="00711A16">
                    <w:pPr>
                      <w:ind w:left="200"/>
                      <w:rPr>
                        <w:rFonts w:ascii="MS Gothic"/>
                      </w:rPr>
                    </w:pPr>
                    <w:r>
                      <w:rPr>
                        <w:rFonts w:ascii="MS Gothic"/>
                        <w:color w:val="333333"/>
                      </w:rPr>
                      <w:t>}</w:t>
                    </w:r>
                  </w:p>
                </w:txbxContent>
              </v:textbox>
            </v:shape>
            <w10:wrap type="topAndBottom" anchorx="page"/>
          </v:group>
        </w:pict>
      </w:r>
    </w:p>
    <w:p w14:paraId="354AA17A" w14:textId="77777777" w:rsidR="00A720EB" w:rsidRDefault="00A720EB">
      <w:pPr>
        <w:pStyle w:val="a3"/>
        <w:rPr>
          <w:sz w:val="10"/>
        </w:rPr>
      </w:pPr>
    </w:p>
    <w:p w14:paraId="0B21846A" w14:textId="77777777" w:rsidR="00A720EB" w:rsidRDefault="0030286B">
      <w:pPr>
        <w:pStyle w:val="a3"/>
        <w:spacing w:before="125" w:line="307" w:lineRule="auto"/>
        <w:ind w:left="124" w:right="359"/>
      </w:pPr>
      <w:r>
        <w:rPr>
          <w:color w:val="333333"/>
          <w:w w:val="110"/>
        </w:rPr>
        <w:t>There are a few beans that you can define in your own configuration to override those provided by the auto-configuration:</w:t>
      </w:r>
    </w:p>
    <w:p w14:paraId="1FE187BD" w14:textId="77777777" w:rsidR="00A720EB" w:rsidRDefault="0030286B">
      <w:pPr>
        <w:pStyle w:val="a6"/>
        <w:numPr>
          <w:ilvl w:val="0"/>
          <w:numId w:val="41"/>
        </w:numPr>
        <w:tabs>
          <w:tab w:val="left" w:pos="485"/>
        </w:tabs>
        <w:spacing w:before="231"/>
        <w:rPr>
          <w:sz w:val="21"/>
        </w:rPr>
      </w:pPr>
      <w:r>
        <w:rPr>
          <w:color w:val="333333"/>
          <w:w w:val="110"/>
          <w:sz w:val="21"/>
        </w:rPr>
        <w:t>A</w:t>
      </w:r>
      <w:r>
        <w:rPr>
          <w:color w:val="333333"/>
          <w:spacing w:val="-6"/>
          <w:w w:val="110"/>
          <w:sz w:val="21"/>
        </w:rPr>
        <w:t xml:space="preserve"> </w:t>
      </w:r>
      <w:r>
        <w:rPr>
          <w:rFonts w:ascii="MS Gothic" w:hAnsi="MS Gothic"/>
          <w:color w:val="B02045"/>
          <w:w w:val="110"/>
          <w:sz w:val="21"/>
        </w:rPr>
        <w:t>CouchbaseMappingContext</w:t>
      </w:r>
      <w:r>
        <w:rPr>
          <w:rFonts w:ascii="MS Gothic" w:hAnsi="MS Gothic"/>
          <w:color w:val="B02045"/>
          <w:spacing w:val="-71"/>
          <w:w w:val="110"/>
          <w:sz w:val="21"/>
        </w:rPr>
        <w:t xml:space="preserve"> </w:t>
      </w:r>
      <w:r>
        <w:rPr>
          <w:rFonts w:ascii="MS Gothic" w:hAnsi="MS Gothic"/>
          <w:color w:val="B02045"/>
          <w:w w:val="110"/>
          <w:sz w:val="21"/>
        </w:rPr>
        <w:t>@Bean</w:t>
      </w:r>
      <w:r>
        <w:rPr>
          <w:rFonts w:ascii="MS Gothic" w:hAnsi="MS Gothic"/>
          <w:color w:val="B02045"/>
          <w:spacing w:val="-71"/>
          <w:w w:val="110"/>
          <w:sz w:val="21"/>
        </w:rPr>
        <w:t xml:space="preserve"> </w:t>
      </w:r>
      <w:r>
        <w:rPr>
          <w:color w:val="333333"/>
          <w:w w:val="110"/>
          <w:sz w:val="21"/>
        </w:rPr>
        <w:t>with</w:t>
      </w:r>
      <w:r>
        <w:rPr>
          <w:color w:val="333333"/>
          <w:spacing w:val="-7"/>
          <w:w w:val="110"/>
          <w:sz w:val="21"/>
        </w:rPr>
        <w:t xml:space="preserve"> </w:t>
      </w:r>
      <w:r>
        <w:rPr>
          <w:color w:val="333333"/>
          <w:w w:val="110"/>
          <w:sz w:val="21"/>
        </w:rPr>
        <w:t>a</w:t>
      </w:r>
      <w:r>
        <w:rPr>
          <w:color w:val="333333"/>
          <w:spacing w:val="-7"/>
          <w:w w:val="110"/>
          <w:sz w:val="21"/>
        </w:rPr>
        <w:t xml:space="preserve"> </w:t>
      </w:r>
      <w:r>
        <w:rPr>
          <w:color w:val="333333"/>
          <w:w w:val="110"/>
          <w:sz w:val="21"/>
        </w:rPr>
        <w:t>name</w:t>
      </w:r>
      <w:r>
        <w:rPr>
          <w:color w:val="333333"/>
          <w:spacing w:val="-6"/>
          <w:w w:val="110"/>
          <w:sz w:val="21"/>
        </w:rPr>
        <w:t xml:space="preserve"> </w:t>
      </w:r>
      <w:r>
        <w:rPr>
          <w:color w:val="333333"/>
          <w:w w:val="110"/>
          <w:sz w:val="21"/>
        </w:rPr>
        <w:t>of</w:t>
      </w:r>
      <w:r>
        <w:rPr>
          <w:color w:val="333333"/>
          <w:spacing w:val="-6"/>
          <w:w w:val="110"/>
          <w:sz w:val="21"/>
        </w:rPr>
        <w:t xml:space="preserve"> </w:t>
      </w:r>
      <w:r>
        <w:rPr>
          <w:rFonts w:ascii="MS Gothic" w:hAnsi="MS Gothic"/>
          <w:color w:val="B02045"/>
          <w:w w:val="110"/>
          <w:sz w:val="21"/>
        </w:rPr>
        <w:t>couchbaseMappingContext</w:t>
      </w:r>
      <w:r>
        <w:rPr>
          <w:color w:val="333333"/>
          <w:w w:val="110"/>
          <w:sz w:val="21"/>
        </w:rPr>
        <w:t>.</w:t>
      </w:r>
    </w:p>
    <w:p w14:paraId="2A211E1A" w14:textId="77777777" w:rsidR="00A720EB" w:rsidRDefault="0030286B">
      <w:pPr>
        <w:pStyle w:val="a6"/>
        <w:numPr>
          <w:ilvl w:val="0"/>
          <w:numId w:val="41"/>
        </w:numPr>
        <w:tabs>
          <w:tab w:val="left" w:pos="485"/>
        </w:tabs>
        <w:spacing w:before="166"/>
        <w:rPr>
          <w:sz w:val="21"/>
        </w:rPr>
      </w:pPr>
      <w:r>
        <w:rPr>
          <w:color w:val="333333"/>
          <w:w w:val="110"/>
          <w:sz w:val="21"/>
        </w:rPr>
        <w:t>A</w:t>
      </w:r>
      <w:r>
        <w:rPr>
          <w:color w:val="333333"/>
          <w:spacing w:val="-5"/>
          <w:w w:val="110"/>
          <w:sz w:val="21"/>
        </w:rPr>
        <w:t xml:space="preserve"> </w:t>
      </w:r>
      <w:r>
        <w:rPr>
          <w:rFonts w:ascii="MS Gothic" w:hAnsi="MS Gothic"/>
          <w:color w:val="B02045"/>
          <w:w w:val="110"/>
          <w:sz w:val="21"/>
        </w:rPr>
        <w:t>CustomConversions</w:t>
      </w:r>
      <w:r>
        <w:rPr>
          <w:rFonts w:ascii="MS Gothic" w:hAnsi="MS Gothic"/>
          <w:color w:val="B02045"/>
          <w:spacing w:val="-69"/>
          <w:w w:val="110"/>
          <w:sz w:val="21"/>
        </w:rPr>
        <w:t xml:space="preserve"> </w:t>
      </w:r>
      <w:r>
        <w:rPr>
          <w:rFonts w:ascii="MS Gothic" w:hAnsi="MS Gothic"/>
          <w:color w:val="B02045"/>
          <w:w w:val="110"/>
          <w:sz w:val="21"/>
        </w:rPr>
        <w:t>@Bean</w:t>
      </w:r>
      <w:r>
        <w:rPr>
          <w:rFonts w:ascii="MS Gothic" w:hAnsi="MS Gothic"/>
          <w:color w:val="B02045"/>
          <w:spacing w:val="-70"/>
          <w:w w:val="110"/>
          <w:sz w:val="21"/>
        </w:rPr>
        <w:t xml:space="preserve"> </w:t>
      </w:r>
      <w:r>
        <w:rPr>
          <w:color w:val="333333"/>
          <w:w w:val="110"/>
          <w:sz w:val="21"/>
        </w:rPr>
        <w:t>with</w:t>
      </w:r>
      <w:r>
        <w:rPr>
          <w:color w:val="333333"/>
          <w:spacing w:val="-5"/>
          <w:w w:val="110"/>
          <w:sz w:val="21"/>
        </w:rPr>
        <w:t xml:space="preserve"> </w:t>
      </w:r>
      <w:r>
        <w:rPr>
          <w:color w:val="333333"/>
          <w:w w:val="110"/>
          <w:sz w:val="21"/>
        </w:rPr>
        <w:t>a</w:t>
      </w:r>
      <w:r>
        <w:rPr>
          <w:color w:val="333333"/>
          <w:spacing w:val="-6"/>
          <w:w w:val="110"/>
          <w:sz w:val="21"/>
        </w:rPr>
        <w:t xml:space="preserve"> </w:t>
      </w:r>
      <w:r>
        <w:rPr>
          <w:color w:val="333333"/>
          <w:w w:val="110"/>
          <w:sz w:val="21"/>
        </w:rPr>
        <w:t>name</w:t>
      </w:r>
      <w:r>
        <w:rPr>
          <w:color w:val="333333"/>
          <w:spacing w:val="-4"/>
          <w:w w:val="110"/>
          <w:sz w:val="21"/>
        </w:rPr>
        <w:t xml:space="preserve"> </w:t>
      </w:r>
      <w:r>
        <w:rPr>
          <w:color w:val="333333"/>
          <w:w w:val="110"/>
          <w:sz w:val="21"/>
        </w:rPr>
        <w:t>of</w:t>
      </w:r>
      <w:r>
        <w:rPr>
          <w:color w:val="333333"/>
          <w:spacing w:val="-5"/>
          <w:w w:val="110"/>
          <w:sz w:val="21"/>
        </w:rPr>
        <w:t xml:space="preserve"> </w:t>
      </w:r>
      <w:r>
        <w:rPr>
          <w:rFonts w:ascii="MS Gothic" w:hAnsi="MS Gothic"/>
          <w:color w:val="B02045"/>
          <w:w w:val="110"/>
          <w:sz w:val="21"/>
        </w:rPr>
        <w:t>couchbaseCustomConversions</w:t>
      </w:r>
      <w:r>
        <w:rPr>
          <w:color w:val="333333"/>
          <w:w w:val="110"/>
          <w:sz w:val="21"/>
        </w:rPr>
        <w:t>.</w:t>
      </w:r>
    </w:p>
    <w:p w14:paraId="538C8703" w14:textId="77777777" w:rsidR="00A720EB" w:rsidRDefault="0030286B">
      <w:pPr>
        <w:pStyle w:val="a6"/>
        <w:numPr>
          <w:ilvl w:val="0"/>
          <w:numId w:val="41"/>
        </w:numPr>
        <w:tabs>
          <w:tab w:val="left" w:pos="485"/>
        </w:tabs>
        <w:spacing w:before="167"/>
        <w:rPr>
          <w:sz w:val="21"/>
        </w:rPr>
      </w:pPr>
      <w:r>
        <w:rPr>
          <w:color w:val="333333"/>
          <w:w w:val="110"/>
          <w:sz w:val="21"/>
        </w:rPr>
        <w:t>A</w:t>
      </w:r>
      <w:r>
        <w:rPr>
          <w:color w:val="333333"/>
          <w:spacing w:val="-2"/>
          <w:w w:val="110"/>
          <w:sz w:val="21"/>
        </w:rPr>
        <w:t xml:space="preserve"> </w:t>
      </w:r>
      <w:r>
        <w:rPr>
          <w:rFonts w:ascii="MS Gothic" w:hAnsi="MS Gothic"/>
          <w:color w:val="B02045"/>
          <w:w w:val="110"/>
          <w:sz w:val="21"/>
        </w:rPr>
        <w:t>CouchbaseTemplate</w:t>
      </w:r>
      <w:r>
        <w:rPr>
          <w:rFonts w:ascii="MS Gothic" w:hAnsi="MS Gothic"/>
          <w:color w:val="B02045"/>
          <w:spacing w:val="-66"/>
          <w:w w:val="110"/>
          <w:sz w:val="21"/>
        </w:rPr>
        <w:t xml:space="preserve"> </w:t>
      </w:r>
      <w:r>
        <w:rPr>
          <w:rFonts w:ascii="MS Gothic" w:hAnsi="MS Gothic"/>
          <w:color w:val="B02045"/>
          <w:w w:val="110"/>
          <w:sz w:val="21"/>
        </w:rPr>
        <w:t>@Bean</w:t>
      </w:r>
      <w:r>
        <w:rPr>
          <w:rFonts w:ascii="MS Gothic" w:hAnsi="MS Gothic"/>
          <w:color w:val="B02045"/>
          <w:spacing w:val="-67"/>
          <w:w w:val="110"/>
          <w:sz w:val="21"/>
        </w:rPr>
        <w:t xml:space="preserve"> </w:t>
      </w:r>
      <w:r>
        <w:rPr>
          <w:color w:val="333333"/>
          <w:w w:val="110"/>
          <w:sz w:val="21"/>
        </w:rPr>
        <w:t>with</w:t>
      </w:r>
      <w:r>
        <w:rPr>
          <w:color w:val="333333"/>
          <w:spacing w:val="-2"/>
          <w:w w:val="110"/>
          <w:sz w:val="21"/>
        </w:rPr>
        <w:t xml:space="preserve"> </w:t>
      </w:r>
      <w:r>
        <w:rPr>
          <w:color w:val="333333"/>
          <w:w w:val="110"/>
          <w:sz w:val="21"/>
        </w:rPr>
        <w:t>a</w:t>
      </w:r>
      <w:r>
        <w:rPr>
          <w:color w:val="333333"/>
          <w:spacing w:val="-2"/>
          <w:w w:val="110"/>
          <w:sz w:val="21"/>
        </w:rPr>
        <w:t xml:space="preserve"> </w:t>
      </w:r>
      <w:r>
        <w:rPr>
          <w:color w:val="333333"/>
          <w:w w:val="110"/>
          <w:sz w:val="21"/>
        </w:rPr>
        <w:t>name</w:t>
      </w:r>
      <w:r>
        <w:rPr>
          <w:color w:val="333333"/>
          <w:spacing w:val="-2"/>
          <w:w w:val="110"/>
          <w:sz w:val="21"/>
        </w:rPr>
        <w:t xml:space="preserve"> </w:t>
      </w:r>
      <w:r>
        <w:rPr>
          <w:color w:val="333333"/>
          <w:w w:val="110"/>
          <w:sz w:val="21"/>
        </w:rPr>
        <w:t>of</w:t>
      </w:r>
      <w:r>
        <w:rPr>
          <w:color w:val="333333"/>
          <w:spacing w:val="-1"/>
          <w:w w:val="110"/>
          <w:sz w:val="21"/>
        </w:rPr>
        <w:t xml:space="preserve"> </w:t>
      </w:r>
      <w:r>
        <w:rPr>
          <w:rFonts w:ascii="MS Gothic" w:hAnsi="MS Gothic"/>
          <w:color w:val="B02045"/>
          <w:w w:val="110"/>
          <w:sz w:val="21"/>
        </w:rPr>
        <w:t>couchbaseTemplate</w:t>
      </w:r>
      <w:r>
        <w:rPr>
          <w:color w:val="333333"/>
          <w:w w:val="110"/>
          <w:sz w:val="21"/>
        </w:rPr>
        <w:t>.</w:t>
      </w:r>
    </w:p>
    <w:p w14:paraId="51246770" w14:textId="77777777" w:rsidR="00A720EB" w:rsidRDefault="00A720EB">
      <w:pPr>
        <w:pStyle w:val="a3"/>
        <w:spacing w:before="5"/>
        <w:rPr>
          <w:sz w:val="24"/>
        </w:rPr>
      </w:pPr>
    </w:p>
    <w:p w14:paraId="7CA11C5C" w14:textId="77777777" w:rsidR="00A720EB" w:rsidRDefault="0030286B">
      <w:pPr>
        <w:pStyle w:val="a3"/>
        <w:spacing w:line="290" w:lineRule="auto"/>
        <w:ind w:left="124"/>
      </w:pPr>
      <w:r>
        <w:rPr>
          <w:color w:val="333333"/>
          <w:w w:val="110"/>
        </w:rPr>
        <w:t xml:space="preserve">To avoid hard-coding those names in your own config, you can reuse </w:t>
      </w:r>
      <w:r>
        <w:rPr>
          <w:rFonts w:ascii="MS Gothic"/>
          <w:color w:val="B02045"/>
          <w:w w:val="110"/>
        </w:rPr>
        <w:t xml:space="preserve">BeanNames </w:t>
      </w:r>
      <w:r>
        <w:rPr>
          <w:color w:val="333333"/>
          <w:w w:val="110"/>
        </w:rPr>
        <w:t>provided by Spring Data Couchbase. For instance, you can customize the converters to use, as follows:</w:t>
      </w:r>
    </w:p>
    <w:p w14:paraId="4BC9EC1C" w14:textId="77777777" w:rsidR="00A720EB" w:rsidRDefault="00A720EB">
      <w:pPr>
        <w:spacing w:line="290" w:lineRule="auto"/>
        <w:sectPr w:rsidR="00A720EB">
          <w:pgSz w:w="11910" w:h="16840"/>
          <w:pgMar w:top="700" w:right="840" w:bottom="520" w:left="840" w:header="0" w:footer="323" w:gutter="0"/>
          <w:cols w:space="720"/>
        </w:sectPr>
      </w:pPr>
    </w:p>
    <w:p w14:paraId="1C73BD39" w14:textId="77777777" w:rsidR="00A720EB" w:rsidRDefault="00E10349">
      <w:pPr>
        <w:pStyle w:val="a3"/>
        <w:ind w:left="116"/>
        <w:rPr>
          <w:sz w:val="20"/>
        </w:rPr>
      </w:pPr>
      <w:r>
        <w:rPr>
          <w:sz w:val="20"/>
        </w:rPr>
      </w:r>
      <w:r>
        <w:rPr>
          <w:sz w:val="20"/>
        </w:rPr>
        <w:pict w14:anchorId="3817DD0B">
          <v:group id="_x0000_s3994" style="width:499.55pt;height:184.9pt;mso-position-horizontal-relative:char;mso-position-vertical-relative:line" coordsize="9991,3698">
            <v:shape id="_x0000_s3997" style="position:absolute;left:7;top:7;width:9976;height:3683" coordorigin="8,8" coordsize="9976,3683" path="m9904,8l88,8,56,14,31,31,14,56,8,88r,3522l14,3641r17,26l56,3684r32,6l9904,3690r31,-6l9960,3667r17,-26l9984,3610r,-3522l9977,56,9960,31,9935,14,9904,8xe" fillcolor="#f5f5f5" stroked="f">
              <v:path arrowok="t"/>
            </v:shape>
            <v:shape id="_x0000_s3996" style="position:absolute;left:7;top:7;width:9976;height:3683" coordorigin="8,8" coordsize="9976,3683" path="m88,8r9816,l9935,14r25,17l9977,56r7,32l9984,3610r-7,31l9960,3667r-25,17l9904,3690r-9816,l56,3684,31,3667,14,3641,8,3610,8,88,14,56,31,31,56,14,88,8xe" filled="f" strokecolor="#ccc">
              <v:path arrowok="t"/>
            </v:shape>
            <v:shape id="_x0000_s3995" type="#_x0000_t202" style="position:absolute;left:26;top:22;width:9938;height:3652" filled="f" stroked="f">
              <v:textbox inset="0,0,0,0">
                <w:txbxContent>
                  <w:p w14:paraId="1DF01520"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public class SomeConfiguration {</w:t>
                    </w:r>
                  </w:p>
                  <w:p w14:paraId="1E673B4D" w14:textId="77777777" w:rsidR="00711A16" w:rsidRDefault="00711A16">
                    <w:pPr>
                      <w:spacing w:before="10"/>
                      <w:rPr>
                        <w:rFonts w:ascii="MS Gothic"/>
                      </w:rPr>
                    </w:pPr>
                  </w:p>
                  <w:p w14:paraId="795AC82B" w14:textId="77777777" w:rsidR="00711A16" w:rsidRDefault="00711A16">
                    <w:pPr>
                      <w:ind w:left="640"/>
                      <w:rPr>
                        <w:rFonts w:ascii="MS Gothic"/>
                      </w:rPr>
                    </w:pPr>
                    <w:r>
                      <w:rPr>
                        <w:rFonts w:ascii="MS Gothic"/>
                        <w:color w:val="333333"/>
                      </w:rPr>
                      <w:t>@</w:t>
                    </w:r>
                    <w:proofErr w:type="gramStart"/>
                    <w:r>
                      <w:rPr>
                        <w:rFonts w:ascii="MS Gothic"/>
                        <w:color w:val="333333"/>
                      </w:rPr>
                      <w:t>Bean(</w:t>
                    </w:r>
                    <w:proofErr w:type="gramEnd"/>
                    <w:r>
                      <w:rPr>
                        <w:rFonts w:ascii="MS Gothic"/>
                        <w:color w:val="333333"/>
                      </w:rPr>
                      <w:t>BeanNames.COUCHBASE_CUSTOM_CONVERSIONS)</w:t>
                    </w:r>
                  </w:p>
                  <w:p w14:paraId="2ABE199A" w14:textId="77777777" w:rsidR="00711A16" w:rsidRDefault="00711A16">
                    <w:pPr>
                      <w:spacing w:before="13" w:line="252" w:lineRule="auto"/>
                      <w:ind w:left="1080" w:right="3998" w:hanging="440"/>
                      <w:rPr>
                        <w:rFonts w:ascii="MS Gothic"/>
                      </w:rPr>
                    </w:pPr>
                    <w:r>
                      <w:rPr>
                        <w:rFonts w:ascii="MS Gothic"/>
                        <w:color w:val="333333"/>
                      </w:rPr>
                      <w:t xml:space="preserve">public CustomConversions </w:t>
                    </w:r>
                    <w:proofErr w:type="gramStart"/>
                    <w:r>
                      <w:rPr>
                        <w:rFonts w:ascii="MS Gothic"/>
                        <w:color w:val="333333"/>
                      </w:rPr>
                      <w:t>myCustomConversions(</w:t>
                    </w:r>
                    <w:proofErr w:type="gramEnd"/>
                    <w:r>
                      <w:rPr>
                        <w:rFonts w:ascii="MS Gothic"/>
                        <w:color w:val="333333"/>
                      </w:rPr>
                      <w:t>) { return new CustomConversions(...);</w:t>
                    </w:r>
                  </w:p>
                  <w:p w14:paraId="59E8E5B6" w14:textId="77777777" w:rsidR="00711A16" w:rsidRDefault="00711A16">
                    <w:pPr>
                      <w:spacing w:line="280" w:lineRule="exact"/>
                      <w:ind w:left="640"/>
                      <w:rPr>
                        <w:rFonts w:ascii="MS Gothic"/>
                      </w:rPr>
                    </w:pPr>
                    <w:r>
                      <w:rPr>
                        <w:rFonts w:ascii="MS Gothic"/>
                        <w:color w:val="333333"/>
                      </w:rPr>
                      <w:t>}</w:t>
                    </w:r>
                  </w:p>
                  <w:p w14:paraId="56C15CDE" w14:textId="77777777" w:rsidR="00711A16" w:rsidRDefault="00711A16">
                    <w:pPr>
                      <w:rPr>
                        <w:rFonts w:ascii="MS Gothic"/>
                        <w:sz w:val="24"/>
                      </w:rPr>
                    </w:pPr>
                  </w:p>
                  <w:p w14:paraId="5314A41D" w14:textId="77777777" w:rsidR="00711A16" w:rsidRDefault="00711A16">
                    <w:pPr>
                      <w:ind w:left="640"/>
                      <w:rPr>
                        <w:rFonts w:ascii="MS Gothic"/>
                      </w:rPr>
                    </w:pPr>
                    <w:r>
                      <w:rPr>
                        <w:rFonts w:ascii="MS Gothic"/>
                        <w:color w:val="333333"/>
                      </w:rPr>
                      <w:t>// ...</w:t>
                    </w:r>
                  </w:p>
                  <w:p w14:paraId="59E8C2DA" w14:textId="77777777" w:rsidR="00711A16" w:rsidRDefault="00711A16">
                    <w:pPr>
                      <w:spacing w:before="1"/>
                      <w:rPr>
                        <w:rFonts w:ascii="MS Gothic"/>
                        <w:sz w:val="24"/>
                      </w:rPr>
                    </w:pPr>
                  </w:p>
                  <w:p w14:paraId="518808A0" w14:textId="77777777" w:rsidR="00711A16" w:rsidRDefault="00711A16">
                    <w:pPr>
                      <w:ind w:left="200"/>
                      <w:rPr>
                        <w:rFonts w:ascii="MS Gothic"/>
                      </w:rPr>
                    </w:pPr>
                    <w:r>
                      <w:rPr>
                        <w:rFonts w:ascii="MS Gothic"/>
                        <w:color w:val="333333"/>
                      </w:rPr>
                      <w:t>}</w:t>
                    </w:r>
                  </w:p>
                </w:txbxContent>
              </v:textbox>
            </v:shape>
            <w10:anchorlock/>
          </v:group>
        </w:pict>
      </w:r>
    </w:p>
    <w:p w14:paraId="1F2EFF63" w14:textId="77777777" w:rsidR="00A720EB" w:rsidRDefault="00A720EB">
      <w:pPr>
        <w:pStyle w:val="a3"/>
        <w:spacing w:before="8"/>
        <w:rPr>
          <w:sz w:val="16"/>
        </w:rPr>
      </w:pPr>
    </w:p>
    <w:p w14:paraId="69083DF9" w14:textId="77777777" w:rsidR="00A720EB" w:rsidRDefault="0030286B">
      <w:pPr>
        <w:pStyle w:val="3"/>
        <w:numPr>
          <w:ilvl w:val="2"/>
          <w:numId w:val="68"/>
        </w:numPr>
        <w:tabs>
          <w:tab w:val="left" w:pos="1003"/>
        </w:tabs>
        <w:spacing w:before="105"/>
        <w:ind w:left="1002" w:hanging="879"/>
      </w:pPr>
      <w:bookmarkStart w:id="376" w:name="4.12.8._LDAP"/>
      <w:bookmarkStart w:id="377" w:name="_Toc54423783"/>
      <w:bookmarkEnd w:id="376"/>
      <w:r>
        <w:rPr>
          <w:color w:val="333333"/>
          <w:spacing w:val="-3"/>
        </w:rPr>
        <w:t>LDAP</w:t>
      </w:r>
      <w:bookmarkEnd w:id="377"/>
    </w:p>
    <w:p w14:paraId="7C3E5E75" w14:textId="77777777" w:rsidR="00A720EB" w:rsidRDefault="00E10349">
      <w:pPr>
        <w:pStyle w:val="a3"/>
        <w:spacing w:before="254" w:line="307" w:lineRule="auto"/>
        <w:ind w:left="124" w:right="125"/>
        <w:jc w:val="both"/>
      </w:pPr>
      <w:hyperlink r:id="rId259">
        <w:r w:rsidR="0030286B">
          <w:rPr>
            <w:color w:val="418BCA"/>
            <w:w w:val="110"/>
          </w:rPr>
          <w:t>LDAP</w:t>
        </w:r>
      </w:hyperlink>
      <w:r w:rsidR="0030286B">
        <w:rPr>
          <w:color w:val="418BCA"/>
          <w:w w:val="110"/>
        </w:rPr>
        <w:t xml:space="preserve"> </w:t>
      </w:r>
      <w:r w:rsidR="0030286B">
        <w:rPr>
          <w:color w:val="333333"/>
          <w:w w:val="110"/>
        </w:rPr>
        <w:t xml:space="preserve">(Lightweight Directory Access Protocol) is an open, vendor-neutral, industry </w:t>
      </w:r>
      <w:proofErr w:type="gramStart"/>
      <w:r w:rsidR="0030286B">
        <w:rPr>
          <w:color w:val="333333"/>
          <w:w w:val="110"/>
        </w:rPr>
        <w:t>standard  application</w:t>
      </w:r>
      <w:proofErr w:type="gramEnd"/>
      <w:r w:rsidR="0030286B">
        <w:rPr>
          <w:color w:val="333333"/>
          <w:w w:val="110"/>
        </w:rPr>
        <w:t xml:space="preserve"> protocol for accessing and maintaining distributed directory information services over  an IP network. Spring Boot offers auto-configuration for any compliant LDAP server as well as support for the embedded in-memory LDAP server from</w:t>
      </w:r>
      <w:r w:rsidR="0030286B">
        <w:rPr>
          <w:color w:val="333333"/>
          <w:spacing w:val="33"/>
          <w:w w:val="110"/>
        </w:rPr>
        <w:t xml:space="preserve"> </w:t>
      </w:r>
      <w:hyperlink r:id="rId260">
        <w:r w:rsidR="0030286B">
          <w:rPr>
            <w:color w:val="418BCA"/>
            <w:w w:val="110"/>
          </w:rPr>
          <w:t>UnboundID</w:t>
        </w:r>
      </w:hyperlink>
      <w:r w:rsidR="0030286B">
        <w:rPr>
          <w:color w:val="333333"/>
          <w:w w:val="110"/>
        </w:rPr>
        <w:t>.</w:t>
      </w:r>
    </w:p>
    <w:p w14:paraId="7FBAA902" w14:textId="77777777" w:rsidR="00A720EB" w:rsidRDefault="0030286B">
      <w:pPr>
        <w:pStyle w:val="a3"/>
        <w:spacing w:before="231"/>
        <w:ind w:left="124"/>
        <w:jc w:val="both"/>
        <w:rPr>
          <w:rFonts w:ascii="MS Gothic"/>
        </w:rPr>
      </w:pPr>
      <w:r>
        <w:rPr>
          <w:color w:val="333333"/>
          <w:w w:val="110"/>
        </w:rPr>
        <w:t xml:space="preserve">LDAP abstractions are provided by </w:t>
      </w:r>
      <w:hyperlink r:id="rId261">
        <w:r>
          <w:rPr>
            <w:color w:val="418BCA"/>
            <w:w w:val="110"/>
          </w:rPr>
          <w:t>Spring Data LDAP</w:t>
        </w:r>
      </w:hyperlink>
      <w:r>
        <w:rPr>
          <w:color w:val="333333"/>
          <w:w w:val="110"/>
        </w:rPr>
        <w:t xml:space="preserve">. There is a </w:t>
      </w:r>
      <w:r>
        <w:rPr>
          <w:rFonts w:ascii="MS Gothic"/>
          <w:color w:val="B02045"/>
          <w:w w:val="110"/>
        </w:rPr>
        <w:t>spring-boot-starter-data-ldap</w:t>
      </w:r>
    </w:p>
    <w:p w14:paraId="36F2B155" w14:textId="77777777" w:rsidR="00A720EB" w:rsidRDefault="0030286B">
      <w:pPr>
        <w:pStyle w:val="a3"/>
        <w:spacing w:before="57"/>
        <w:ind w:left="124"/>
        <w:jc w:val="both"/>
      </w:pPr>
      <w:r>
        <w:rPr>
          <w:color w:val="333333"/>
          <w:w w:val="115"/>
        </w:rPr>
        <w:t>“Starter” for collecting the dependencies in a convenient way.</w:t>
      </w:r>
    </w:p>
    <w:p w14:paraId="1789CA3F" w14:textId="77777777" w:rsidR="00A720EB" w:rsidRDefault="00A720EB">
      <w:pPr>
        <w:pStyle w:val="a3"/>
        <w:spacing w:before="6"/>
        <w:rPr>
          <w:sz w:val="31"/>
        </w:rPr>
      </w:pPr>
    </w:p>
    <w:p w14:paraId="1C20877D" w14:textId="77777777" w:rsidR="00A720EB" w:rsidRDefault="0030286B">
      <w:pPr>
        <w:pStyle w:val="4"/>
      </w:pPr>
      <w:bookmarkStart w:id="378" w:name="Connecting_to_an_LDAP_Server"/>
      <w:bookmarkEnd w:id="378"/>
      <w:r>
        <w:rPr>
          <w:color w:val="333333"/>
          <w:w w:val="110"/>
        </w:rPr>
        <w:t>Connecting to an LDAP Server</w:t>
      </w:r>
    </w:p>
    <w:p w14:paraId="26FA8D85" w14:textId="77777777" w:rsidR="00A720EB" w:rsidRDefault="0030286B">
      <w:pPr>
        <w:pStyle w:val="a3"/>
        <w:spacing w:before="244" w:line="285" w:lineRule="auto"/>
        <w:ind w:left="124" w:right="122"/>
        <w:jc w:val="both"/>
      </w:pPr>
      <w:r>
        <w:rPr>
          <w:color w:val="333333"/>
          <w:w w:val="110"/>
        </w:rPr>
        <w:t xml:space="preserve">To connect to an LDAP server, make sure you declare a dependency on the </w:t>
      </w:r>
      <w:r>
        <w:rPr>
          <w:rFonts w:ascii="MS Gothic" w:hAnsi="MS Gothic"/>
          <w:color w:val="B02045"/>
          <w:w w:val="110"/>
        </w:rPr>
        <w:t xml:space="preserve">spring-boot-starter- data-ldap </w:t>
      </w:r>
      <w:r>
        <w:rPr>
          <w:color w:val="333333"/>
          <w:w w:val="110"/>
        </w:rPr>
        <w:t xml:space="preserve">“Starter” or </w:t>
      </w:r>
      <w:r>
        <w:rPr>
          <w:rFonts w:ascii="MS Gothic" w:hAnsi="MS Gothic"/>
          <w:color w:val="B02045"/>
          <w:w w:val="110"/>
        </w:rPr>
        <w:t xml:space="preserve">spring-ldap-core </w:t>
      </w:r>
      <w:r>
        <w:rPr>
          <w:color w:val="333333"/>
          <w:w w:val="110"/>
        </w:rPr>
        <w:t xml:space="preserve">and then declare the URLs of your server in your </w:t>
      </w:r>
      <w:proofErr w:type="gramStart"/>
      <w:r>
        <w:rPr>
          <w:color w:val="333333"/>
          <w:w w:val="110"/>
        </w:rPr>
        <w:t>application.properties</w:t>
      </w:r>
      <w:proofErr w:type="gramEnd"/>
      <w:r>
        <w:rPr>
          <w:color w:val="333333"/>
          <w:w w:val="110"/>
        </w:rPr>
        <w:t>, as shown in the following example:</w:t>
      </w:r>
    </w:p>
    <w:p w14:paraId="7513E940" w14:textId="77777777" w:rsidR="00A720EB" w:rsidRDefault="00E10349">
      <w:pPr>
        <w:pStyle w:val="a3"/>
        <w:spacing w:before="1"/>
        <w:rPr>
          <w:sz w:val="15"/>
        </w:rPr>
      </w:pPr>
      <w:r>
        <w:pict w14:anchorId="0687D307">
          <v:group id="_x0000_s3990" style="position:absolute;margin-left:47.85pt;margin-top:10.85pt;width:499.55pt;height:67pt;z-index:-15442432;mso-wrap-distance-left:0;mso-wrap-distance-right:0;mso-position-horizontal-relative:page" coordorigin="957,217" coordsize="9991,1340">
            <v:shape id="_x0000_s3993" style="position:absolute;left:964;top:224;width:9976;height:1325" coordorigin="965,224" coordsize="9976,1325" path="m10861,224r-9816,l1014,231r-26,17l971,273r-6,31l965,1469r6,31l988,1525r26,17l1045,1549r9816,l10892,1542r25,-17l10935,1500r6,-31l10941,304r-6,-31l10917,248r-25,-17l10861,224xe" fillcolor="#f5f5f5" stroked="f">
              <v:path arrowok="t"/>
            </v:shape>
            <v:shape id="_x0000_s3992" style="position:absolute;left:964;top:224;width:9976;height:1325" coordorigin="965,224" coordsize="9976,1325" path="m1045,224r9816,l10892,231r25,17l10935,273r6,31l10941,1469r-6,31l10917,1525r-25,17l10861,1549r-9816,l1014,1542r-26,-17l971,1500r-6,-31l965,304r6,-31l988,248r26,-17l1045,224xe" filled="f" strokecolor="#ccc">
              <v:path arrowok="t"/>
            </v:shape>
            <v:shape id="_x0000_s3991" type="#_x0000_t202" style="position:absolute;left:984;top:239;width:9938;height:1294" filled="f" stroked="f">
              <v:textbox inset="0,0,0,0">
                <w:txbxContent>
                  <w:p w14:paraId="58D161F2" w14:textId="77777777" w:rsidR="00711A16" w:rsidRDefault="00711A16">
                    <w:pPr>
                      <w:spacing w:before="221" w:line="252" w:lineRule="auto"/>
                      <w:ind w:left="200" w:right="5648"/>
                      <w:rPr>
                        <w:rFonts w:ascii="MS Gothic"/>
                      </w:rPr>
                    </w:pPr>
                    <w:proofErr w:type="gramStart"/>
                    <w:r>
                      <w:rPr>
                        <w:rFonts w:ascii="MS Gothic"/>
                        <w:color w:val="333333"/>
                      </w:rPr>
                      <w:t>spring.ldap</w:t>
                    </w:r>
                    <w:proofErr w:type="gramEnd"/>
                    <w:r>
                      <w:rPr>
                        <w:rFonts w:ascii="MS Gothic"/>
                        <w:color w:val="333333"/>
                      </w:rPr>
                      <w:t>.urls=ldap://myserver:1235 spring.ldap.username=admin spring.ldap.password=secret</w:t>
                    </w:r>
                  </w:p>
                </w:txbxContent>
              </v:textbox>
            </v:shape>
            <w10:wrap type="topAndBottom" anchorx="page"/>
          </v:group>
        </w:pict>
      </w:r>
    </w:p>
    <w:p w14:paraId="17E83676" w14:textId="77777777" w:rsidR="00A720EB" w:rsidRDefault="00A720EB">
      <w:pPr>
        <w:pStyle w:val="a3"/>
        <w:spacing w:before="11"/>
        <w:rPr>
          <w:sz w:val="9"/>
        </w:rPr>
      </w:pPr>
    </w:p>
    <w:p w14:paraId="427E0A3C" w14:textId="77777777" w:rsidR="00A720EB" w:rsidRDefault="0030286B">
      <w:pPr>
        <w:pStyle w:val="a3"/>
        <w:spacing w:before="115"/>
        <w:ind w:left="124"/>
        <w:jc w:val="both"/>
      </w:pPr>
      <w:r>
        <w:rPr>
          <w:color w:val="333333"/>
          <w:w w:val="110"/>
        </w:rPr>
        <w:t xml:space="preserve">If you need to customize connection settings, you can use the </w:t>
      </w:r>
      <w:proofErr w:type="gramStart"/>
      <w:r>
        <w:rPr>
          <w:rFonts w:ascii="MS Gothic"/>
          <w:color w:val="B02045"/>
          <w:w w:val="110"/>
        </w:rPr>
        <w:t>spring.ldap</w:t>
      </w:r>
      <w:proofErr w:type="gramEnd"/>
      <w:r>
        <w:rPr>
          <w:rFonts w:ascii="MS Gothic"/>
          <w:color w:val="B02045"/>
          <w:w w:val="110"/>
        </w:rPr>
        <w:t>.base</w:t>
      </w:r>
      <w:r>
        <w:rPr>
          <w:rFonts w:ascii="MS Gothic"/>
          <w:color w:val="B02045"/>
          <w:spacing w:val="72"/>
          <w:w w:val="110"/>
        </w:rPr>
        <w:t xml:space="preserve"> </w:t>
      </w:r>
      <w:r>
        <w:rPr>
          <w:color w:val="333333"/>
          <w:w w:val="110"/>
        </w:rPr>
        <w:t>and</w:t>
      </w:r>
    </w:p>
    <w:p w14:paraId="785B7091" w14:textId="77777777" w:rsidR="00A720EB" w:rsidRDefault="0030286B">
      <w:pPr>
        <w:pStyle w:val="a3"/>
        <w:spacing w:before="47"/>
        <w:ind w:left="124"/>
        <w:jc w:val="both"/>
      </w:pPr>
      <w:proofErr w:type="gramStart"/>
      <w:r>
        <w:rPr>
          <w:rFonts w:ascii="MS Gothic"/>
          <w:color w:val="B02045"/>
          <w:w w:val="105"/>
        </w:rPr>
        <w:t>spring.ldap</w:t>
      </w:r>
      <w:proofErr w:type="gramEnd"/>
      <w:r>
        <w:rPr>
          <w:rFonts w:ascii="MS Gothic"/>
          <w:color w:val="B02045"/>
          <w:w w:val="105"/>
        </w:rPr>
        <w:t>.base-environment</w:t>
      </w:r>
      <w:r>
        <w:rPr>
          <w:rFonts w:ascii="MS Gothic"/>
          <w:color w:val="B02045"/>
          <w:spacing w:val="-58"/>
          <w:w w:val="105"/>
        </w:rPr>
        <w:t xml:space="preserve"> </w:t>
      </w:r>
      <w:r>
        <w:rPr>
          <w:color w:val="333333"/>
          <w:w w:val="105"/>
        </w:rPr>
        <w:t>properties.</w:t>
      </w:r>
    </w:p>
    <w:p w14:paraId="66FA6388" w14:textId="77777777" w:rsidR="00A720EB" w:rsidRDefault="00A720EB">
      <w:pPr>
        <w:pStyle w:val="a3"/>
        <w:spacing w:before="5"/>
        <w:rPr>
          <w:sz w:val="24"/>
        </w:rPr>
      </w:pPr>
    </w:p>
    <w:p w14:paraId="2EC95829" w14:textId="77777777" w:rsidR="00A720EB" w:rsidRDefault="0030286B">
      <w:pPr>
        <w:pStyle w:val="a3"/>
        <w:spacing w:line="280" w:lineRule="auto"/>
        <w:ind w:left="124" w:right="122"/>
        <w:jc w:val="both"/>
      </w:pPr>
      <w:proofErr w:type="gramStart"/>
      <w:r>
        <w:rPr>
          <w:color w:val="333333"/>
          <w:w w:val="110"/>
        </w:rPr>
        <w:t xml:space="preserve">An  </w:t>
      </w:r>
      <w:r>
        <w:rPr>
          <w:rFonts w:ascii="MS Gothic"/>
          <w:color w:val="B02045"/>
          <w:w w:val="110"/>
        </w:rPr>
        <w:t>LdapContextSource</w:t>
      </w:r>
      <w:proofErr w:type="gramEnd"/>
      <w:r>
        <w:rPr>
          <w:rFonts w:ascii="MS Gothic"/>
          <w:color w:val="B02045"/>
          <w:w w:val="110"/>
        </w:rPr>
        <w:t xml:space="preserve"> </w:t>
      </w:r>
      <w:r>
        <w:rPr>
          <w:color w:val="333333"/>
          <w:w w:val="110"/>
        </w:rPr>
        <w:t xml:space="preserve">is  auto-configured  based  on  these  settings.  </w:t>
      </w:r>
      <w:proofErr w:type="gramStart"/>
      <w:r>
        <w:rPr>
          <w:color w:val="333333"/>
          <w:w w:val="110"/>
        </w:rPr>
        <w:t>If  a</w:t>
      </w:r>
      <w:proofErr w:type="gramEnd"/>
      <w:r>
        <w:rPr>
          <w:color w:val="333333"/>
          <w:w w:val="110"/>
        </w:rPr>
        <w:t xml:space="preserve">  </w:t>
      </w:r>
      <w:r>
        <w:rPr>
          <w:rFonts w:ascii="MS Gothic"/>
          <w:color w:val="B02045"/>
          <w:w w:val="110"/>
        </w:rPr>
        <w:t xml:space="preserve">DirContextAuthenticationStrategy </w:t>
      </w:r>
      <w:r>
        <w:rPr>
          <w:color w:val="333333"/>
          <w:w w:val="110"/>
        </w:rPr>
        <w:t xml:space="preserve">bean is available, it is associated to the auto-configured </w:t>
      </w:r>
      <w:r>
        <w:rPr>
          <w:rFonts w:ascii="MS Gothic"/>
          <w:color w:val="B02045"/>
          <w:w w:val="110"/>
        </w:rPr>
        <w:t>LdapContextSource</w:t>
      </w:r>
      <w:r>
        <w:rPr>
          <w:color w:val="333333"/>
          <w:w w:val="110"/>
        </w:rPr>
        <w:t xml:space="preserve">. If you need to customize it, for instance to use a </w:t>
      </w:r>
      <w:r>
        <w:rPr>
          <w:rFonts w:ascii="MS Gothic"/>
          <w:color w:val="B02045"/>
          <w:w w:val="110"/>
        </w:rPr>
        <w:t>PooledContextSource</w:t>
      </w:r>
      <w:r>
        <w:rPr>
          <w:color w:val="333333"/>
          <w:w w:val="110"/>
        </w:rPr>
        <w:t>, you can still</w:t>
      </w:r>
      <w:r>
        <w:rPr>
          <w:color w:val="333333"/>
          <w:spacing w:val="-6"/>
          <w:w w:val="110"/>
        </w:rPr>
        <w:t xml:space="preserve"> </w:t>
      </w:r>
      <w:r>
        <w:rPr>
          <w:color w:val="333333"/>
          <w:w w:val="110"/>
        </w:rPr>
        <w:t>inject</w:t>
      </w:r>
      <w:r>
        <w:rPr>
          <w:color w:val="333333"/>
          <w:spacing w:val="-6"/>
          <w:w w:val="110"/>
        </w:rPr>
        <w:t xml:space="preserve"> </w:t>
      </w:r>
      <w:r>
        <w:rPr>
          <w:color w:val="333333"/>
          <w:w w:val="110"/>
        </w:rPr>
        <w:t>the</w:t>
      </w:r>
      <w:r>
        <w:rPr>
          <w:color w:val="333333"/>
          <w:spacing w:val="-6"/>
          <w:w w:val="110"/>
        </w:rPr>
        <w:t xml:space="preserve"> </w:t>
      </w:r>
      <w:r>
        <w:rPr>
          <w:color w:val="333333"/>
          <w:w w:val="110"/>
        </w:rPr>
        <w:t>auto-configured</w:t>
      </w:r>
      <w:r>
        <w:rPr>
          <w:color w:val="333333"/>
          <w:spacing w:val="-1"/>
          <w:w w:val="110"/>
        </w:rPr>
        <w:t xml:space="preserve"> </w:t>
      </w:r>
      <w:r>
        <w:rPr>
          <w:rFonts w:ascii="MS Gothic"/>
          <w:color w:val="B02045"/>
          <w:w w:val="110"/>
        </w:rPr>
        <w:t>LdapContextSource</w:t>
      </w:r>
      <w:r>
        <w:rPr>
          <w:color w:val="333333"/>
          <w:w w:val="110"/>
        </w:rPr>
        <w:t>.</w:t>
      </w:r>
      <w:r>
        <w:rPr>
          <w:color w:val="333333"/>
          <w:spacing w:val="-6"/>
          <w:w w:val="110"/>
        </w:rPr>
        <w:t xml:space="preserve"> </w:t>
      </w:r>
      <w:r>
        <w:rPr>
          <w:color w:val="333333"/>
          <w:w w:val="110"/>
        </w:rPr>
        <w:t>Make</w:t>
      </w:r>
      <w:r>
        <w:rPr>
          <w:color w:val="333333"/>
          <w:spacing w:val="-6"/>
          <w:w w:val="110"/>
        </w:rPr>
        <w:t xml:space="preserve"> </w:t>
      </w:r>
      <w:r>
        <w:rPr>
          <w:color w:val="333333"/>
          <w:w w:val="110"/>
        </w:rPr>
        <w:t>sure</w:t>
      </w:r>
      <w:r>
        <w:rPr>
          <w:color w:val="333333"/>
          <w:spacing w:val="-5"/>
          <w:w w:val="110"/>
        </w:rPr>
        <w:t xml:space="preserve"> </w:t>
      </w:r>
      <w:r>
        <w:rPr>
          <w:color w:val="333333"/>
          <w:w w:val="110"/>
        </w:rPr>
        <w:t>to</w:t>
      </w:r>
      <w:r>
        <w:rPr>
          <w:color w:val="333333"/>
          <w:spacing w:val="-6"/>
          <w:w w:val="110"/>
        </w:rPr>
        <w:t xml:space="preserve"> </w:t>
      </w:r>
      <w:r>
        <w:rPr>
          <w:color w:val="333333"/>
          <w:w w:val="110"/>
        </w:rPr>
        <w:t>flag</w:t>
      </w:r>
      <w:r>
        <w:rPr>
          <w:color w:val="333333"/>
          <w:spacing w:val="-6"/>
          <w:w w:val="110"/>
        </w:rPr>
        <w:t xml:space="preserve"> </w:t>
      </w:r>
      <w:r>
        <w:rPr>
          <w:color w:val="333333"/>
          <w:w w:val="110"/>
        </w:rPr>
        <w:t>your</w:t>
      </w:r>
      <w:r>
        <w:rPr>
          <w:color w:val="333333"/>
          <w:spacing w:val="-6"/>
          <w:w w:val="110"/>
        </w:rPr>
        <w:t xml:space="preserve"> </w:t>
      </w:r>
      <w:r>
        <w:rPr>
          <w:color w:val="333333"/>
          <w:w w:val="110"/>
        </w:rPr>
        <w:t>customized</w:t>
      </w:r>
      <w:r>
        <w:rPr>
          <w:color w:val="333333"/>
          <w:spacing w:val="-5"/>
          <w:w w:val="110"/>
        </w:rPr>
        <w:t xml:space="preserve"> </w:t>
      </w:r>
      <w:r>
        <w:rPr>
          <w:rFonts w:ascii="MS Gothic"/>
          <w:color w:val="B02045"/>
          <w:w w:val="110"/>
        </w:rPr>
        <w:t xml:space="preserve">ContextSource </w:t>
      </w:r>
      <w:r>
        <w:rPr>
          <w:color w:val="333333"/>
          <w:w w:val="110"/>
        </w:rPr>
        <w:t xml:space="preserve">as </w:t>
      </w:r>
      <w:r>
        <w:rPr>
          <w:rFonts w:ascii="MS Gothic"/>
          <w:color w:val="B02045"/>
          <w:w w:val="110"/>
        </w:rPr>
        <w:t>@Primary</w:t>
      </w:r>
      <w:r>
        <w:rPr>
          <w:rFonts w:ascii="MS Gothic"/>
          <w:color w:val="B02045"/>
          <w:spacing w:val="-64"/>
          <w:w w:val="110"/>
        </w:rPr>
        <w:t xml:space="preserve"> </w:t>
      </w:r>
      <w:r>
        <w:rPr>
          <w:color w:val="333333"/>
          <w:w w:val="110"/>
        </w:rPr>
        <w:t>so</w:t>
      </w:r>
      <w:r>
        <w:rPr>
          <w:color w:val="333333"/>
          <w:spacing w:val="1"/>
          <w:w w:val="110"/>
        </w:rPr>
        <w:t xml:space="preserve"> </w:t>
      </w:r>
      <w:r>
        <w:rPr>
          <w:color w:val="333333"/>
          <w:w w:val="110"/>
        </w:rPr>
        <w:t>that</w:t>
      </w:r>
      <w:r>
        <w:rPr>
          <w:color w:val="333333"/>
          <w:spacing w:val="1"/>
          <w:w w:val="110"/>
        </w:rPr>
        <w:t xml:space="preserve"> </w:t>
      </w:r>
      <w:r>
        <w:rPr>
          <w:color w:val="333333"/>
          <w:w w:val="110"/>
        </w:rPr>
        <w:t>the auto-configured</w:t>
      </w:r>
      <w:r>
        <w:rPr>
          <w:color w:val="333333"/>
          <w:spacing w:val="5"/>
          <w:w w:val="110"/>
        </w:rPr>
        <w:t xml:space="preserve"> </w:t>
      </w:r>
      <w:r>
        <w:rPr>
          <w:rFonts w:ascii="MS Gothic"/>
          <w:color w:val="B02045"/>
          <w:w w:val="110"/>
        </w:rPr>
        <w:t>LdapTemplate</w:t>
      </w:r>
      <w:r>
        <w:rPr>
          <w:rFonts w:ascii="MS Gothic"/>
          <w:color w:val="B02045"/>
          <w:spacing w:val="-64"/>
          <w:w w:val="110"/>
        </w:rPr>
        <w:t xml:space="preserve"> </w:t>
      </w:r>
      <w:r>
        <w:rPr>
          <w:color w:val="333333"/>
          <w:w w:val="110"/>
        </w:rPr>
        <w:t>uses it.</w:t>
      </w:r>
    </w:p>
    <w:p w14:paraId="7D47EB1E" w14:textId="77777777" w:rsidR="00A720EB" w:rsidRDefault="00A720EB">
      <w:pPr>
        <w:pStyle w:val="a3"/>
        <w:spacing w:before="10"/>
        <w:rPr>
          <w:sz w:val="26"/>
        </w:rPr>
      </w:pPr>
    </w:p>
    <w:p w14:paraId="4B13D004" w14:textId="77777777" w:rsidR="00A720EB" w:rsidRDefault="0030286B">
      <w:pPr>
        <w:pStyle w:val="4"/>
      </w:pPr>
      <w:bookmarkStart w:id="379" w:name="Spring_Data_LDAP_Repositories"/>
      <w:bookmarkEnd w:id="379"/>
      <w:r>
        <w:rPr>
          <w:color w:val="333333"/>
          <w:w w:val="110"/>
        </w:rPr>
        <w:t>Spring Data LDAP Repositories</w:t>
      </w:r>
    </w:p>
    <w:p w14:paraId="521FF581" w14:textId="77777777" w:rsidR="00A720EB" w:rsidRDefault="00A720EB">
      <w:pPr>
        <w:pStyle w:val="a3"/>
        <w:spacing w:before="11"/>
        <w:rPr>
          <w:rFonts w:ascii="Palatino Linotype"/>
          <w:b/>
          <w:sz w:val="18"/>
        </w:rPr>
      </w:pPr>
    </w:p>
    <w:p w14:paraId="2F1A3DB7" w14:textId="77777777" w:rsidR="00A720EB" w:rsidRDefault="0030286B">
      <w:pPr>
        <w:pStyle w:val="a3"/>
        <w:spacing w:line="307" w:lineRule="auto"/>
        <w:ind w:left="124" w:right="129"/>
        <w:jc w:val="both"/>
      </w:pPr>
      <w:r>
        <w:rPr>
          <w:color w:val="333333"/>
          <w:w w:val="110"/>
        </w:rPr>
        <w:t xml:space="preserve">Spring Data includes repository support for LDAP. For complete details of Spring Data LDAP, refer to the </w:t>
      </w:r>
      <w:hyperlink r:id="rId262">
        <w:r>
          <w:rPr>
            <w:color w:val="418BCA"/>
            <w:w w:val="110"/>
          </w:rPr>
          <w:t>reference documentation</w:t>
        </w:r>
      </w:hyperlink>
      <w:r>
        <w:rPr>
          <w:color w:val="333333"/>
          <w:w w:val="110"/>
        </w:rPr>
        <w:t>.</w:t>
      </w:r>
    </w:p>
    <w:p w14:paraId="1CBE65E2" w14:textId="77777777" w:rsidR="00A720EB" w:rsidRDefault="0030286B">
      <w:pPr>
        <w:pStyle w:val="a3"/>
        <w:spacing w:before="231" w:line="290" w:lineRule="auto"/>
        <w:ind w:left="124" w:right="129"/>
        <w:jc w:val="both"/>
      </w:pPr>
      <w:r>
        <w:rPr>
          <w:color w:val="333333"/>
          <w:w w:val="110"/>
        </w:rPr>
        <w:t xml:space="preserve">You can also inject an auto-configured </w:t>
      </w:r>
      <w:r>
        <w:rPr>
          <w:rFonts w:ascii="MS Gothic"/>
          <w:color w:val="B02045"/>
          <w:w w:val="110"/>
        </w:rPr>
        <w:t xml:space="preserve">LdapTemplate </w:t>
      </w:r>
      <w:r>
        <w:rPr>
          <w:color w:val="333333"/>
          <w:w w:val="110"/>
        </w:rPr>
        <w:t>instance as you would with any other Spring Bean, as shown in the following example:</w:t>
      </w:r>
    </w:p>
    <w:p w14:paraId="4F573EC1" w14:textId="77777777" w:rsidR="00A720EB" w:rsidRDefault="00A720EB">
      <w:pPr>
        <w:spacing w:line="290" w:lineRule="auto"/>
        <w:jc w:val="both"/>
        <w:sectPr w:rsidR="00A720EB">
          <w:pgSz w:w="11910" w:h="16840"/>
          <w:pgMar w:top="700" w:right="840" w:bottom="520" w:left="840" w:header="0" w:footer="323" w:gutter="0"/>
          <w:cols w:space="720"/>
        </w:sectPr>
      </w:pPr>
    </w:p>
    <w:p w14:paraId="610F6008" w14:textId="77777777" w:rsidR="00A720EB" w:rsidRDefault="00E10349">
      <w:pPr>
        <w:pStyle w:val="a3"/>
        <w:ind w:left="116"/>
        <w:rPr>
          <w:sz w:val="20"/>
        </w:rPr>
      </w:pPr>
      <w:r>
        <w:rPr>
          <w:sz w:val="20"/>
        </w:rPr>
      </w:r>
      <w:r>
        <w:rPr>
          <w:sz w:val="20"/>
        </w:rPr>
        <w:pict w14:anchorId="50C97C07">
          <v:group id="_x0000_s3986" style="width:499.55pt;height:214.4pt;mso-position-horizontal-relative:char;mso-position-vertical-relative:line" coordsize="9991,4288">
            <v:shape id="_x0000_s3989" style="position:absolute;left:7;top:7;width:9976;height:4273" coordorigin="8,8" coordsize="9976,4273" path="m9904,8l88,8,56,14,31,31,14,56,8,88r,4112l14,4231r17,25l56,4274r32,6l9904,4280r31,-6l9960,4256r17,-25l9984,4200r,-4112l9977,56,9960,31,9935,14,9904,8xe" fillcolor="#f5f5f5" stroked="f">
              <v:path arrowok="t"/>
            </v:shape>
            <v:shape id="_x0000_s3988" style="position:absolute;left:7;top:7;width:9976;height:4273" coordorigin="8,8" coordsize="9976,4273" path="m88,8r9816,l9935,14r25,17l9977,56r7,32l9984,4200r-7,31l9960,4256r-25,18l9904,4280r-9816,l56,4274,31,4256,14,4231,8,4200,8,88,14,56,31,31,56,14,88,8xe" filled="f" strokecolor="#ccc">
              <v:path arrowok="t"/>
            </v:shape>
            <v:shape id="_x0000_s3987" type="#_x0000_t202" style="position:absolute;left:26;top:22;width:9938;height:4242" filled="f" stroked="f">
              <v:textbox inset="0,0,0,0">
                <w:txbxContent>
                  <w:p w14:paraId="7603D346" w14:textId="77777777" w:rsidR="00711A16" w:rsidRDefault="00711A16">
                    <w:pPr>
                      <w:spacing w:before="221"/>
                      <w:ind w:left="200"/>
                      <w:rPr>
                        <w:rFonts w:ascii="MS Gothic"/>
                      </w:rPr>
                    </w:pPr>
                    <w:r>
                      <w:rPr>
                        <w:rFonts w:ascii="MS Gothic"/>
                        <w:color w:val="333333"/>
                      </w:rPr>
                      <w:t>@Component</w:t>
                    </w:r>
                  </w:p>
                  <w:p w14:paraId="0BCD2071" w14:textId="77777777" w:rsidR="00711A16" w:rsidRDefault="00711A16">
                    <w:pPr>
                      <w:spacing w:before="13"/>
                      <w:ind w:left="200"/>
                      <w:rPr>
                        <w:rFonts w:ascii="MS Gothic"/>
                      </w:rPr>
                    </w:pPr>
                    <w:r>
                      <w:rPr>
                        <w:rFonts w:ascii="MS Gothic"/>
                        <w:color w:val="333333"/>
                      </w:rPr>
                      <w:t>public class MyBean {</w:t>
                    </w:r>
                  </w:p>
                  <w:p w14:paraId="576233D7" w14:textId="77777777" w:rsidR="00711A16" w:rsidRDefault="00711A16">
                    <w:pPr>
                      <w:spacing w:line="590" w:lineRule="atLeast"/>
                      <w:ind w:left="640" w:right="5318"/>
                      <w:rPr>
                        <w:rFonts w:ascii="MS Gothic"/>
                      </w:rPr>
                    </w:pPr>
                    <w:r>
                      <w:rPr>
                        <w:rFonts w:ascii="MS Gothic"/>
                        <w:color w:val="333333"/>
                      </w:rPr>
                      <w:t>private final LdapTemplate template; @Autowired</w:t>
                    </w:r>
                  </w:p>
                  <w:p w14:paraId="6D6BA00F" w14:textId="77777777" w:rsidR="00711A16" w:rsidRDefault="00711A16">
                    <w:pPr>
                      <w:spacing w:before="12" w:line="252" w:lineRule="auto"/>
                      <w:ind w:left="1080" w:right="509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LdapTemplate template) { this.template = template;</w:t>
                    </w:r>
                  </w:p>
                  <w:p w14:paraId="54E8614D" w14:textId="77777777" w:rsidR="00711A16" w:rsidRDefault="00711A16">
                    <w:pPr>
                      <w:spacing w:line="280" w:lineRule="exact"/>
                      <w:ind w:left="640"/>
                      <w:rPr>
                        <w:rFonts w:ascii="MS Gothic"/>
                      </w:rPr>
                    </w:pPr>
                    <w:r>
                      <w:rPr>
                        <w:rFonts w:ascii="MS Gothic"/>
                        <w:color w:val="333333"/>
                      </w:rPr>
                      <w:t>}</w:t>
                    </w:r>
                  </w:p>
                  <w:p w14:paraId="71E99891" w14:textId="77777777" w:rsidR="00711A16" w:rsidRDefault="00711A16">
                    <w:pPr>
                      <w:rPr>
                        <w:rFonts w:ascii="MS Gothic"/>
                        <w:sz w:val="24"/>
                      </w:rPr>
                    </w:pPr>
                  </w:p>
                  <w:p w14:paraId="298EEB76" w14:textId="77777777" w:rsidR="00711A16" w:rsidRDefault="00711A16">
                    <w:pPr>
                      <w:ind w:left="640"/>
                      <w:rPr>
                        <w:rFonts w:ascii="MS Gothic"/>
                      </w:rPr>
                    </w:pPr>
                    <w:r>
                      <w:rPr>
                        <w:rFonts w:ascii="MS Gothic"/>
                        <w:color w:val="333333"/>
                      </w:rPr>
                      <w:t>// ...</w:t>
                    </w:r>
                  </w:p>
                  <w:p w14:paraId="6AEBE036" w14:textId="77777777" w:rsidR="00711A16" w:rsidRDefault="00711A16">
                    <w:pPr>
                      <w:rPr>
                        <w:rFonts w:ascii="MS Gothic"/>
                        <w:sz w:val="24"/>
                      </w:rPr>
                    </w:pPr>
                  </w:p>
                  <w:p w14:paraId="7605695B" w14:textId="77777777" w:rsidR="00711A16" w:rsidRDefault="00711A16">
                    <w:pPr>
                      <w:ind w:left="200"/>
                      <w:rPr>
                        <w:rFonts w:ascii="MS Gothic"/>
                      </w:rPr>
                    </w:pPr>
                    <w:r>
                      <w:rPr>
                        <w:rFonts w:ascii="MS Gothic"/>
                        <w:color w:val="333333"/>
                      </w:rPr>
                      <w:t>}</w:t>
                    </w:r>
                  </w:p>
                </w:txbxContent>
              </v:textbox>
            </v:shape>
            <w10:anchorlock/>
          </v:group>
        </w:pict>
      </w:r>
    </w:p>
    <w:p w14:paraId="25E3FEA8" w14:textId="77777777" w:rsidR="00A720EB" w:rsidRDefault="00A720EB">
      <w:pPr>
        <w:pStyle w:val="a3"/>
        <w:spacing w:before="1"/>
        <w:rPr>
          <w:sz w:val="17"/>
        </w:rPr>
      </w:pPr>
    </w:p>
    <w:p w14:paraId="36AD2E27" w14:textId="77777777" w:rsidR="00A720EB" w:rsidRDefault="0030286B">
      <w:pPr>
        <w:pStyle w:val="4"/>
        <w:spacing w:before="104"/>
      </w:pPr>
      <w:bookmarkStart w:id="380" w:name="Embedded_In-memory_LDAP_Server"/>
      <w:bookmarkEnd w:id="380"/>
      <w:r>
        <w:rPr>
          <w:color w:val="333333"/>
          <w:w w:val="110"/>
        </w:rPr>
        <w:t>Embedded In-memory LDAP Server</w:t>
      </w:r>
    </w:p>
    <w:p w14:paraId="2CD04DB5" w14:textId="77777777" w:rsidR="00A720EB" w:rsidRDefault="00A720EB">
      <w:pPr>
        <w:pStyle w:val="a3"/>
        <w:spacing w:before="11"/>
        <w:rPr>
          <w:rFonts w:ascii="Palatino Linotype"/>
          <w:b/>
          <w:sz w:val="18"/>
        </w:rPr>
      </w:pPr>
    </w:p>
    <w:p w14:paraId="4E41F3CB" w14:textId="77777777" w:rsidR="00A720EB" w:rsidRDefault="0030286B">
      <w:pPr>
        <w:pStyle w:val="a3"/>
        <w:spacing w:line="290" w:lineRule="auto"/>
        <w:ind w:left="124" w:right="123"/>
        <w:jc w:val="both"/>
      </w:pPr>
      <w:r>
        <w:rPr>
          <w:color w:val="333333"/>
          <w:spacing w:val="-4"/>
          <w:w w:val="110"/>
        </w:rPr>
        <w:t xml:space="preserve">For </w:t>
      </w:r>
      <w:r>
        <w:rPr>
          <w:color w:val="333333"/>
          <w:w w:val="110"/>
        </w:rPr>
        <w:t xml:space="preserve">testing purposes, Spring Boot supports auto-configuration of an in-memory LDAP server from </w:t>
      </w:r>
      <w:hyperlink r:id="rId263">
        <w:r>
          <w:rPr>
            <w:color w:val="418BCA"/>
            <w:w w:val="110"/>
          </w:rPr>
          <w:t>UnboundID</w:t>
        </w:r>
      </w:hyperlink>
      <w:r>
        <w:rPr>
          <w:color w:val="333333"/>
          <w:w w:val="110"/>
        </w:rPr>
        <w:t xml:space="preserve">. </w:t>
      </w:r>
      <w:r>
        <w:rPr>
          <w:color w:val="333333"/>
          <w:spacing w:val="-4"/>
          <w:w w:val="110"/>
        </w:rPr>
        <w:t xml:space="preserve">To </w:t>
      </w:r>
      <w:r>
        <w:rPr>
          <w:color w:val="333333"/>
          <w:w w:val="110"/>
        </w:rPr>
        <w:t xml:space="preserve">configure the server, add a dependency to </w:t>
      </w:r>
      <w:proofErr w:type="gramStart"/>
      <w:r>
        <w:rPr>
          <w:rFonts w:ascii="MS Gothic"/>
          <w:color w:val="B02045"/>
          <w:w w:val="110"/>
        </w:rPr>
        <w:t>com.unboundid</w:t>
      </w:r>
      <w:proofErr w:type="gramEnd"/>
      <w:r>
        <w:rPr>
          <w:rFonts w:ascii="MS Gothic"/>
          <w:color w:val="B02045"/>
          <w:w w:val="110"/>
        </w:rPr>
        <w:t xml:space="preserve">:unboundid-ldapsdk </w:t>
      </w:r>
      <w:r>
        <w:rPr>
          <w:color w:val="333333"/>
          <w:w w:val="110"/>
        </w:rPr>
        <w:t xml:space="preserve">and declare a </w:t>
      </w:r>
      <w:r>
        <w:rPr>
          <w:rFonts w:ascii="MS Gothic"/>
          <w:color w:val="B02045"/>
          <w:w w:val="110"/>
        </w:rPr>
        <w:t>spring.ldap.embedded.base-dn</w:t>
      </w:r>
      <w:r>
        <w:rPr>
          <w:rFonts w:ascii="MS Gothic"/>
          <w:color w:val="B02045"/>
          <w:spacing w:val="-64"/>
          <w:w w:val="110"/>
        </w:rPr>
        <w:t xml:space="preserve"> </w:t>
      </w:r>
      <w:r>
        <w:rPr>
          <w:color w:val="333333"/>
          <w:spacing w:val="-3"/>
          <w:w w:val="110"/>
        </w:rPr>
        <w:t xml:space="preserve">property, </w:t>
      </w:r>
      <w:r>
        <w:rPr>
          <w:color w:val="333333"/>
          <w:w w:val="110"/>
        </w:rPr>
        <w:t>as follows:</w:t>
      </w:r>
    </w:p>
    <w:p w14:paraId="533280D2" w14:textId="77777777" w:rsidR="00A720EB" w:rsidRDefault="00E10349">
      <w:pPr>
        <w:pStyle w:val="a3"/>
        <w:spacing w:before="10"/>
        <w:rPr>
          <w:sz w:val="12"/>
        </w:rPr>
      </w:pPr>
      <w:r>
        <w:pict w14:anchorId="5CA7F35B">
          <v:group id="_x0000_s3982" style="position:absolute;margin-left:47.85pt;margin-top:9.55pt;width:499.55pt;height:37.5pt;z-index:-15441408;mso-wrap-distance-left:0;mso-wrap-distance-right:0;mso-position-horizontal-relative:page" coordorigin="957,191" coordsize="9991,750">
            <v:shape id="_x0000_s3985" style="position:absolute;left:964;top:198;width:9976;height:735" coordorigin="965,199" coordsize="9976,735" path="m10861,199r-9816,l1014,205r-26,17l971,247r-6,32l965,853r6,31l988,910r26,17l1045,933r9816,l10892,927r25,-17l10935,884r6,-31l10941,279r-6,-32l10917,222r-25,-17l10861,199xe" fillcolor="#f5f5f5" stroked="f">
              <v:path arrowok="t"/>
            </v:shape>
            <v:shape id="_x0000_s3984" style="position:absolute;left:964;top:198;width:9976;height:735" coordorigin="965,199" coordsize="9976,735" path="m1045,199r9816,l10892,205r25,17l10935,247r6,32l10941,853r-6,31l10917,910r-25,17l10861,933r-9816,l1014,927,988,910,971,884r-6,-31l965,279r6,-32l988,222r26,-17l1045,199xe" filled="f" strokecolor="#ccc">
              <v:path arrowok="t"/>
            </v:shape>
            <v:shape id="_x0000_s3983" type="#_x0000_t202" style="position:absolute;left:984;top:213;width:9938;height:704" filled="f" stroked="f">
              <v:textbox inset="0,0,0,0">
                <w:txbxContent>
                  <w:p w14:paraId="663395AC" w14:textId="77777777" w:rsidR="00711A16" w:rsidRDefault="00711A16">
                    <w:pPr>
                      <w:spacing w:before="221"/>
                      <w:ind w:left="200"/>
                      <w:rPr>
                        <w:rFonts w:ascii="MS Gothic"/>
                      </w:rPr>
                    </w:pPr>
                    <w:proofErr w:type="gramStart"/>
                    <w:r>
                      <w:rPr>
                        <w:rFonts w:ascii="MS Gothic"/>
                        <w:color w:val="333333"/>
                      </w:rPr>
                      <w:t>spring.ldap</w:t>
                    </w:r>
                    <w:proofErr w:type="gramEnd"/>
                    <w:r>
                      <w:rPr>
                        <w:rFonts w:ascii="MS Gothic"/>
                        <w:color w:val="333333"/>
                      </w:rPr>
                      <w:t>.embedded.base-dn=dc=spring,dc=io</w:t>
                    </w:r>
                  </w:p>
                </w:txbxContent>
              </v:textbox>
            </v:shape>
            <w10:wrap type="topAndBottom" anchorx="page"/>
          </v:group>
        </w:pict>
      </w:r>
    </w:p>
    <w:p w14:paraId="5384DC78" w14:textId="77777777" w:rsidR="00A720EB" w:rsidRDefault="00A720EB">
      <w:pPr>
        <w:pStyle w:val="a3"/>
        <w:spacing w:before="10"/>
        <w:rPr>
          <w:sz w:val="16"/>
        </w:rPr>
      </w:pPr>
    </w:p>
    <w:p w14:paraId="2B0ABBD1" w14:textId="77777777" w:rsidR="00A720EB" w:rsidRDefault="00E10349">
      <w:pPr>
        <w:pStyle w:val="a3"/>
        <w:spacing w:before="125" w:line="307" w:lineRule="auto"/>
        <w:ind w:left="1564" w:right="462"/>
      </w:pPr>
      <w:r>
        <w:pict w14:anchorId="322FC998">
          <v:line id="_x0000_s3981" style="position:absolute;left:0;text-align:left;z-index:16017920;mso-position-horizontal-relative:page" from="108.25pt,.25pt" to="108.25pt,237.1pt" strokecolor="#ededed" strokeweight=".5pt">
            <w10:wrap anchorx="page"/>
          </v:line>
        </w:pict>
      </w:r>
      <w:r w:rsidR="0030286B">
        <w:rPr>
          <w:color w:val="333333"/>
          <w:w w:val="110"/>
        </w:rPr>
        <w:t xml:space="preserve">It is possible to define multiple base-dn values, however, </w:t>
      </w:r>
      <w:proofErr w:type="gramStart"/>
      <w:r w:rsidR="0030286B">
        <w:rPr>
          <w:color w:val="333333"/>
          <w:w w:val="110"/>
        </w:rPr>
        <w:t>since  distinguished</w:t>
      </w:r>
      <w:proofErr w:type="gramEnd"/>
      <w:r w:rsidR="0030286B">
        <w:rPr>
          <w:color w:val="333333"/>
          <w:w w:val="110"/>
        </w:rPr>
        <w:t xml:space="preserve">  names</w:t>
      </w:r>
      <w:r w:rsidR="0030286B">
        <w:rPr>
          <w:color w:val="333333"/>
          <w:spacing w:val="8"/>
          <w:w w:val="110"/>
        </w:rPr>
        <w:t xml:space="preserve"> </w:t>
      </w:r>
      <w:r w:rsidR="0030286B">
        <w:rPr>
          <w:color w:val="333333"/>
          <w:w w:val="110"/>
        </w:rPr>
        <w:t>usually</w:t>
      </w:r>
      <w:r w:rsidR="0030286B">
        <w:rPr>
          <w:color w:val="333333"/>
          <w:spacing w:val="7"/>
          <w:w w:val="110"/>
        </w:rPr>
        <w:t xml:space="preserve"> </w:t>
      </w:r>
      <w:r w:rsidR="0030286B">
        <w:rPr>
          <w:color w:val="333333"/>
          <w:w w:val="110"/>
        </w:rPr>
        <w:t>contain</w:t>
      </w:r>
      <w:r w:rsidR="0030286B">
        <w:rPr>
          <w:color w:val="333333"/>
          <w:spacing w:val="9"/>
          <w:w w:val="110"/>
        </w:rPr>
        <w:t xml:space="preserve"> </w:t>
      </w:r>
      <w:r w:rsidR="0030286B">
        <w:rPr>
          <w:color w:val="333333"/>
          <w:w w:val="110"/>
        </w:rPr>
        <w:t>commas,</w:t>
      </w:r>
      <w:r w:rsidR="0030286B">
        <w:rPr>
          <w:color w:val="333333"/>
          <w:spacing w:val="8"/>
          <w:w w:val="110"/>
        </w:rPr>
        <w:t xml:space="preserve"> </w:t>
      </w:r>
      <w:r w:rsidR="0030286B">
        <w:rPr>
          <w:color w:val="333333"/>
          <w:w w:val="110"/>
        </w:rPr>
        <w:t>they</w:t>
      </w:r>
      <w:r w:rsidR="0030286B">
        <w:rPr>
          <w:color w:val="333333"/>
          <w:spacing w:val="9"/>
          <w:w w:val="110"/>
        </w:rPr>
        <w:t xml:space="preserve"> </w:t>
      </w:r>
      <w:r w:rsidR="0030286B">
        <w:rPr>
          <w:color w:val="333333"/>
          <w:w w:val="110"/>
        </w:rPr>
        <w:t>must</w:t>
      </w:r>
      <w:r w:rsidR="0030286B">
        <w:rPr>
          <w:color w:val="333333"/>
          <w:spacing w:val="7"/>
          <w:w w:val="110"/>
        </w:rPr>
        <w:t xml:space="preserve"> </w:t>
      </w:r>
      <w:r w:rsidR="0030286B">
        <w:rPr>
          <w:color w:val="333333"/>
          <w:w w:val="110"/>
        </w:rPr>
        <w:t>be</w:t>
      </w:r>
      <w:r w:rsidR="0030286B">
        <w:rPr>
          <w:color w:val="333333"/>
          <w:spacing w:val="7"/>
          <w:w w:val="110"/>
        </w:rPr>
        <w:t xml:space="preserve"> </w:t>
      </w:r>
      <w:r w:rsidR="0030286B">
        <w:rPr>
          <w:color w:val="333333"/>
          <w:w w:val="110"/>
        </w:rPr>
        <w:t>defined</w:t>
      </w:r>
      <w:r w:rsidR="0030286B">
        <w:rPr>
          <w:color w:val="333333"/>
          <w:spacing w:val="8"/>
          <w:w w:val="110"/>
        </w:rPr>
        <w:t xml:space="preserve"> </w:t>
      </w:r>
      <w:r w:rsidR="0030286B">
        <w:rPr>
          <w:color w:val="333333"/>
          <w:w w:val="110"/>
        </w:rPr>
        <w:t>using</w:t>
      </w:r>
      <w:r w:rsidR="0030286B">
        <w:rPr>
          <w:color w:val="333333"/>
          <w:spacing w:val="7"/>
          <w:w w:val="110"/>
        </w:rPr>
        <w:t xml:space="preserve"> </w:t>
      </w:r>
      <w:r w:rsidR="0030286B">
        <w:rPr>
          <w:color w:val="333333"/>
          <w:w w:val="110"/>
        </w:rPr>
        <w:t>the</w:t>
      </w:r>
      <w:r w:rsidR="0030286B">
        <w:rPr>
          <w:color w:val="333333"/>
          <w:spacing w:val="8"/>
          <w:w w:val="110"/>
        </w:rPr>
        <w:t xml:space="preserve"> </w:t>
      </w:r>
      <w:r w:rsidR="0030286B">
        <w:rPr>
          <w:color w:val="333333"/>
          <w:w w:val="110"/>
        </w:rPr>
        <w:t>correct</w:t>
      </w:r>
      <w:r w:rsidR="0030286B">
        <w:rPr>
          <w:color w:val="333333"/>
          <w:spacing w:val="9"/>
          <w:w w:val="110"/>
        </w:rPr>
        <w:t xml:space="preserve"> </w:t>
      </w:r>
      <w:r w:rsidR="0030286B">
        <w:rPr>
          <w:color w:val="333333"/>
          <w:w w:val="110"/>
        </w:rPr>
        <w:t>notation.</w:t>
      </w:r>
    </w:p>
    <w:p w14:paraId="55D3FAB2" w14:textId="77777777" w:rsidR="00A720EB" w:rsidRDefault="0030286B">
      <w:pPr>
        <w:pStyle w:val="a3"/>
        <w:spacing w:before="241"/>
        <w:ind w:left="1564"/>
      </w:pPr>
      <w:r>
        <w:rPr>
          <w:color w:val="333333"/>
          <w:w w:val="110"/>
        </w:rPr>
        <w:t>In yaml files, you can use the yaml list notation:</w:t>
      </w:r>
    </w:p>
    <w:p w14:paraId="40455A3A" w14:textId="77777777" w:rsidR="00A720EB" w:rsidRDefault="0030286B">
      <w:pPr>
        <w:pStyle w:val="a3"/>
        <w:rPr>
          <w:sz w:val="19"/>
        </w:rPr>
      </w:pPr>
      <w:r>
        <w:rPr>
          <w:noProof/>
        </w:rPr>
        <w:drawing>
          <wp:anchor distT="0" distB="0" distL="0" distR="0" simplePos="0" relativeHeight="562" behindDoc="0" locked="0" layoutInCell="1" allowOverlap="1" wp14:anchorId="6E559665" wp14:editId="64779A26">
            <wp:simplePos x="0" y="0"/>
            <wp:positionH relativeFrom="page">
              <wp:posOffset>844422</wp:posOffset>
            </wp:positionH>
            <wp:positionV relativeFrom="paragraph">
              <wp:posOffset>569063</wp:posOffset>
            </wp:positionV>
            <wp:extent cx="295465" cy="295465"/>
            <wp:effectExtent l="0" t="0" r="0" b="0"/>
            <wp:wrapTopAndBottom/>
            <wp:docPr id="3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png"/>
                    <pic:cNvPicPr/>
                  </pic:nvPicPr>
                  <pic:blipFill>
                    <a:blip r:embed="rId24" cstate="print"/>
                    <a:stretch>
                      <a:fillRect/>
                    </a:stretch>
                  </pic:blipFill>
                  <pic:spPr>
                    <a:xfrm>
                      <a:off x="0" y="0"/>
                      <a:ext cx="295465" cy="295465"/>
                    </a:xfrm>
                    <a:prstGeom prst="rect">
                      <a:avLst/>
                    </a:prstGeom>
                  </pic:spPr>
                </pic:pic>
              </a:graphicData>
            </a:graphic>
          </wp:anchor>
        </w:drawing>
      </w:r>
      <w:r w:rsidR="00E10349">
        <w:pict w14:anchorId="5B618E93">
          <v:group id="_x0000_s3977" style="position:absolute;margin-left:119.85pt;margin-top:13.1pt;width:415.55pt;height:67pt;z-index:-15440384;mso-wrap-distance-left:0;mso-wrap-distance-right:0;mso-position-horizontal-relative:page;mso-position-vertical-relative:text" coordorigin="2397,262" coordsize="8311,1340">
            <v:shape id="_x0000_s3980" style="position:absolute;left:2404;top:269;width:8296;height:1325" coordorigin="2405,270" coordsize="8296,1325" path="m10621,270r-8136,l2454,276r-26,17l2411,319r-6,31l2405,1514r6,31l2428,1571r26,17l2485,1594r8136,l10652,1588r25,-17l10695,1545r6,-31l10701,350r-6,-31l10677,293r-25,-17l10621,270xe" fillcolor="#f5f5f5" stroked="f">
              <v:path arrowok="t"/>
            </v:shape>
            <v:shape id="_x0000_s3979" style="position:absolute;left:2404;top:269;width:8296;height:1325" coordorigin="2405,270" coordsize="8296,1325" path="m2485,270r8136,l10652,276r25,17l10695,319r6,31l10701,1514r-6,31l10677,1571r-25,17l10621,1594r-8136,l2454,1588r-26,-17l2411,1545r-6,-31l2405,350r6,-31l2428,293r26,-17l2485,270xe" filled="f" strokecolor="#ccc">
              <v:path arrowok="t"/>
            </v:shape>
            <v:shape id="_x0000_s3978" type="#_x0000_t202" style="position:absolute;left:2424;top:285;width:8258;height:1294" filled="f" stroked="f">
              <v:textbox inset="0,0,0,0">
                <w:txbxContent>
                  <w:p w14:paraId="36DD4B39" w14:textId="77777777" w:rsidR="00711A16" w:rsidRDefault="00711A16">
                    <w:pPr>
                      <w:spacing w:before="221"/>
                      <w:ind w:left="200"/>
                      <w:rPr>
                        <w:rFonts w:ascii="MS Gothic"/>
                      </w:rPr>
                    </w:pPr>
                    <w:proofErr w:type="gramStart"/>
                    <w:r>
                      <w:rPr>
                        <w:rFonts w:ascii="MS Gothic"/>
                        <w:color w:val="333333"/>
                      </w:rPr>
                      <w:t>spring.ldap</w:t>
                    </w:r>
                    <w:proofErr w:type="gramEnd"/>
                    <w:r>
                      <w:rPr>
                        <w:rFonts w:ascii="MS Gothic"/>
                        <w:color w:val="333333"/>
                      </w:rPr>
                      <w:t>.embedded.base-dn:</w:t>
                    </w:r>
                  </w:p>
                  <w:p w14:paraId="629BA86A" w14:textId="77777777" w:rsidR="00711A16" w:rsidRDefault="00711A16">
                    <w:pPr>
                      <w:numPr>
                        <w:ilvl w:val="0"/>
                        <w:numId w:val="40"/>
                      </w:numPr>
                      <w:tabs>
                        <w:tab w:val="left" w:pos="641"/>
                      </w:tabs>
                      <w:spacing w:before="13"/>
                      <w:ind w:hanging="221"/>
                      <w:rPr>
                        <w:rFonts w:ascii="MS Gothic"/>
                      </w:rPr>
                    </w:pPr>
                    <w:r>
                      <w:rPr>
                        <w:rFonts w:ascii="MS Gothic"/>
                        <w:color w:val="333333"/>
                      </w:rPr>
                      <w:t>dc=</w:t>
                    </w:r>
                    <w:proofErr w:type="gramStart"/>
                    <w:r>
                      <w:rPr>
                        <w:rFonts w:ascii="MS Gothic"/>
                        <w:color w:val="333333"/>
                      </w:rPr>
                      <w:t>spring,dc</w:t>
                    </w:r>
                    <w:proofErr w:type="gramEnd"/>
                    <w:r>
                      <w:rPr>
                        <w:rFonts w:ascii="MS Gothic"/>
                        <w:color w:val="333333"/>
                      </w:rPr>
                      <w:t>=io</w:t>
                    </w:r>
                  </w:p>
                  <w:p w14:paraId="0898DB21" w14:textId="77777777" w:rsidR="00711A16" w:rsidRDefault="00711A16">
                    <w:pPr>
                      <w:numPr>
                        <w:ilvl w:val="0"/>
                        <w:numId w:val="40"/>
                      </w:numPr>
                      <w:tabs>
                        <w:tab w:val="left" w:pos="641"/>
                      </w:tabs>
                      <w:spacing w:before="13"/>
                      <w:ind w:hanging="221"/>
                      <w:rPr>
                        <w:rFonts w:ascii="MS Gothic"/>
                      </w:rPr>
                    </w:pPr>
                    <w:r>
                      <w:rPr>
                        <w:rFonts w:ascii="MS Gothic"/>
                        <w:color w:val="333333"/>
                      </w:rPr>
                      <w:t>dc=</w:t>
                    </w:r>
                    <w:proofErr w:type="gramStart"/>
                    <w:r>
                      <w:rPr>
                        <w:rFonts w:ascii="MS Gothic"/>
                        <w:color w:val="333333"/>
                      </w:rPr>
                      <w:t>pivotal,dc</w:t>
                    </w:r>
                    <w:proofErr w:type="gramEnd"/>
                    <w:r>
                      <w:rPr>
                        <w:rFonts w:ascii="MS Gothic"/>
                        <w:color w:val="333333"/>
                      </w:rPr>
                      <w:t>=io</w:t>
                    </w:r>
                  </w:p>
                </w:txbxContent>
              </v:textbox>
            </v:shape>
            <w10:wrap type="topAndBottom" anchorx="page"/>
          </v:group>
        </w:pict>
      </w:r>
    </w:p>
    <w:p w14:paraId="3FA33B90" w14:textId="77777777" w:rsidR="00A720EB" w:rsidRDefault="00A720EB">
      <w:pPr>
        <w:pStyle w:val="a3"/>
        <w:rPr>
          <w:sz w:val="10"/>
        </w:rPr>
      </w:pPr>
    </w:p>
    <w:p w14:paraId="7430CAA4" w14:textId="77777777" w:rsidR="00A720EB" w:rsidRDefault="0030286B">
      <w:pPr>
        <w:pStyle w:val="a3"/>
        <w:spacing w:before="125"/>
        <w:ind w:left="1615" w:right="1139"/>
        <w:jc w:val="center"/>
      </w:pPr>
      <w:r>
        <w:rPr>
          <w:color w:val="333333"/>
          <w:w w:val="110"/>
        </w:rPr>
        <w:t>In properties files, you must include the index as part of the property name:</w:t>
      </w:r>
    </w:p>
    <w:p w14:paraId="0EDAF2C9" w14:textId="77777777" w:rsidR="00A720EB" w:rsidRDefault="00E10349">
      <w:pPr>
        <w:pStyle w:val="a3"/>
        <w:rPr>
          <w:sz w:val="19"/>
        </w:rPr>
      </w:pPr>
      <w:r>
        <w:pict w14:anchorId="48A79763">
          <v:group id="_x0000_s3973" style="position:absolute;margin-left:119.85pt;margin-top:13.15pt;width:415.55pt;height:52.25pt;z-index:-15439872;mso-wrap-distance-left:0;mso-wrap-distance-right:0;mso-position-horizontal-relative:page" coordorigin="2397,263" coordsize="8311,1045">
            <v:shape id="_x0000_s3976" style="position:absolute;left:2404;top:270;width:8296;height:1030" coordorigin="2405,270" coordsize="8296,1030" path="m10621,270r-8136,l2454,276r-26,18l2411,319r-6,31l2405,1220r6,31l2428,1276r26,17l2485,1300r8136,l10652,1293r25,-17l10695,1251r6,-31l10701,350r-6,-31l10677,294r-25,-18l10621,270xe" fillcolor="#f5f5f5" stroked="f">
              <v:path arrowok="t"/>
            </v:shape>
            <v:shape id="_x0000_s3975" style="position:absolute;left:2404;top:270;width:8296;height:1030" coordorigin="2405,270" coordsize="8296,1030" path="m2485,270r8136,l10652,276r25,18l10695,319r6,31l10701,1220r-6,31l10677,1276r-25,17l10621,1300r-8136,l2454,1293r-26,-17l2411,1251r-6,-31l2405,350r6,-31l2428,294r26,-18l2485,270xe" filled="f" strokecolor="#ccc">
              <v:path arrowok="t"/>
            </v:shape>
            <v:shape id="_x0000_s3974" type="#_x0000_t202" style="position:absolute;left:2424;top:285;width:8258;height:999" filled="f" stroked="f">
              <v:textbox inset="0,0,0,0">
                <w:txbxContent>
                  <w:p w14:paraId="0DC12A85" w14:textId="77777777" w:rsidR="00711A16" w:rsidRDefault="00711A16">
                    <w:pPr>
                      <w:spacing w:before="221" w:line="252" w:lineRule="auto"/>
                      <w:ind w:left="200" w:right="2774"/>
                      <w:rPr>
                        <w:rFonts w:ascii="MS Gothic"/>
                      </w:rPr>
                    </w:pPr>
                    <w:proofErr w:type="gramStart"/>
                    <w:r>
                      <w:rPr>
                        <w:rFonts w:ascii="MS Gothic"/>
                        <w:color w:val="333333"/>
                      </w:rPr>
                      <w:t>spring.ldap</w:t>
                    </w:r>
                    <w:proofErr w:type="gramEnd"/>
                    <w:r>
                      <w:rPr>
                        <w:rFonts w:ascii="MS Gothic"/>
                        <w:color w:val="333333"/>
                      </w:rPr>
                      <w:t>.embedded.base-dn[0]=dc=spring,dc=io spring.ldap.embedded.base-dn[1]=dc=pivotal,dc=io</w:t>
                    </w:r>
                  </w:p>
                </w:txbxContent>
              </v:textbox>
            </v:shape>
            <w10:wrap type="topAndBottom" anchorx="page"/>
          </v:group>
        </w:pict>
      </w:r>
    </w:p>
    <w:p w14:paraId="00A0D095" w14:textId="77777777" w:rsidR="00A720EB" w:rsidRDefault="00A720EB">
      <w:pPr>
        <w:pStyle w:val="a3"/>
        <w:spacing w:before="10"/>
        <w:rPr>
          <w:sz w:val="16"/>
        </w:rPr>
      </w:pPr>
    </w:p>
    <w:p w14:paraId="346E8326" w14:textId="77777777" w:rsidR="00A720EB" w:rsidRDefault="0030286B">
      <w:pPr>
        <w:pStyle w:val="a3"/>
        <w:spacing w:before="125" w:line="297" w:lineRule="auto"/>
        <w:ind w:left="124" w:right="130"/>
        <w:jc w:val="both"/>
      </w:pPr>
      <w:r>
        <w:rPr>
          <w:color w:val="333333"/>
          <w:spacing w:val="-3"/>
          <w:w w:val="110"/>
        </w:rPr>
        <w:t xml:space="preserve">By </w:t>
      </w:r>
      <w:r>
        <w:rPr>
          <w:color w:val="333333"/>
          <w:w w:val="110"/>
        </w:rPr>
        <w:t xml:space="preserve">default, the server starts on a random port and triggers the regular LDAP support. There is no need to specify a </w:t>
      </w:r>
      <w:proofErr w:type="gramStart"/>
      <w:r>
        <w:rPr>
          <w:rFonts w:ascii="MS Gothic"/>
          <w:color w:val="B02045"/>
          <w:w w:val="110"/>
        </w:rPr>
        <w:t>spring.ldap</w:t>
      </w:r>
      <w:proofErr w:type="gramEnd"/>
      <w:r>
        <w:rPr>
          <w:rFonts w:ascii="MS Gothic"/>
          <w:color w:val="B02045"/>
          <w:w w:val="110"/>
        </w:rPr>
        <w:t>.urls</w:t>
      </w:r>
      <w:r>
        <w:rPr>
          <w:rFonts w:ascii="MS Gothic"/>
          <w:color w:val="B02045"/>
          <w:spacing w:val="-56"/>
          <w:w w:val="110"/>
        </w:rPr>
        <w:t xml:space="preserve"> </w:t>
      </w:r>
      <w:r>
        <w:rPr>
          <w:color w:val="333333"/>
          <w:spacing w:val="-3"/>
          <w:w w:val="110"/>
        </w:rPr>
        <w:t>property.</w:t>
      </w:r>
    </w:p>
    <w:p w14:paraId="0EAA2A4A" w14:textId="77777777" w:rsidR="00A720EB" w:rsidRDefault="0030286B">
      <w:pPr>
        <w:pStyle w:val="a3"/>
        <w:spacing w:before="222" w:line="285" w:lineRule="auto"/>
        <w:ind w:left="124" w:right="122"/>
        <w:jc w:val="both"/>
      </w:pPr>
      <w:r>
        <w:rPr>
          <w:color w:val="333333"/>
          <w:w w:val="110"/>
        </w:rPr>
        <w:t xml:space="preserve">If there is a </w:t>
      </w:r>
      <w:r>
        <w:rPr>
          <w:rFonts w:ascii="MS Gothic"/>
          <w:color w:val="B02045"/>
          <w:w w:val="110"/>
        </w:rPr>
        <w:t xml:space="preserve">schema.ldif </w:t>
      </w:r>
      <w:r>
        <w:rPr>
          <w:color w:val="333333"/>
          <w:w w:val="110"/>
        </w:rPr>
        <w:t xml:space="preserve">file on your classpath, it is used to initialize the server. If you want to load the initialization script from a different resource, you can also use the </w:t>
      </w:r>
      <w:proofErr w:type="gramStart"/>
      <w:r>
        <w:rPr>
          <w:rFonts w:ascii="MS Gothic"/>
          <w:color w:val="B02045"/>
          <w:w w:val="110"/>
        </w:rPr>
        <w:t>spring.ldap</w:t>
      </w:r>
      <w:proofErr w:type="gramEnd"/>
      <w:r>
        <w:rPr>
          <w:rFonts w:ascii="MS Gothic"/>
          <w:color w:val="B02045"/>
          <w:w w:val="110"/>
        </w:rPr>
        <w:t xml:space="preserve">.embedded.ldif </w:t>
      </w:r>
      <w:r>
        <w:rPr>
          <w:color w:val="333333"/>
          <w:w w:val="110"/>
        </w:rPr>
        <w:t>property.</w:t>
      </w:r>
    </w:p>
    <w:p w14:paraId="312523ED" w14:textId="77777777" w:rsidR="00A720EB" w:rsidRDefault="00A720EB">
      <w:pPr>
        <w:pStyle w:val="a3"/>
        <w:spacing w:before="7"/>
      </w:pPr>
    </w:p>
    <w:p w14:paraId="78DFFE6B" w14:textId="77777777" w:rsidR="00A720EB" w:rsidRDefault="0030286B">
      <w:pPr>
        <w:pStyle w:val="a3"/>
        <w:spacing w:line="280" w:lineRule="auto"/>
        <w:ind w:left="124" w:right="125"/>
        <w:jc w:val="both"/>
      </w:pPr>
      <w:r>
        <w:rPr>
          <w:color w:val="333333"/>
          <w:spacing w:val="-3"/>
          <w:w w:val="110"/>
        </w:rPr>
        <w:t xml:space="preserve">By </w:t>
      </w:r>
      <w:r>
        <w:rPr>
          <w:color w:val="333333"/>
          <w:w w:val="110"/>
        </w:rPr>
        <w:t xml:space="preserve">default, a standard schema is used to validate </w:t>
      </w:r>
      <w:r>
        <w:rPr>
          <w:rFonts w:ascii="MS Gothic"/>
          <w:color w:val="B02045"/>
          <w:w w:val="110"/>
        </w:rPr>
        <w:t xml:space="preserve">LDIF </w:t>
      </w:r>
      <w:r>
        <w:rPr>
          <w:color w:val="333333"/>
          <w:w w:val="110"/>
        </w:rPr>
        <w:t xml:space="preserve">files. </w:t>
      </w:r>
      <w:r>
        <w:rPr>
          <w:color w:val="333333"/>
          <w:spacing w:val="-6"/>
          <w:w w:val="110"/>
        </w:rPr>
        <w:t xml:space="preserve">You </w:t>
      </w:r>
      <w:r>
        <w:rPr>
          <w:color w:val="333333"/>
          <w:w w:val="110"/>
        </w:rPr>
        <w:t xml:space="preserve">can turn off validation altogether </w:t>
      </w:r>
      <w:r>
        <w:rPr>
          <w:color w:val="333333"/>
          <w:spacing w:val="-3"/>
          <w:w w:val="110"/>
        </w:rPr>
        <w:t xml:space="preserve">by </w:t>
      </w:r>
      <w:r>
        <w:rPr>
          <w:color w:val="333333"/>
          <w:w w:val="110"/>
        </w:rPr>
        <w:t xml:space="preserve">setting the </w:t>
      </w:r>
      <w:proofErr w:type="gramStart"/>
      <w:r>
        <w:rPr>
          <w:rFonts w:ascii="MS Gothic"/>
          <w:color w:val="B02045"/>
          <w:w w:val="110"/>
        </w:rPr>
        <w:t>spring.ldap</w:t>
      </w:r>
      <w:proofErr w:type="gramEnd"/>
      <w:r>
        <w:rPr>
          <w:rFonts w:ascii="MS Gothic"/>
          <w:color w:val="B02045"/>
          <w:w w:val="110"/>
        </w:rPr>
        <w:t>.embedded.validation.enabled</w:t>
      </w:r>
      <w:r>
        <w:rPr>
          <w:rFonts w:ascii="MS Gothic"/>
          <w:color w:val="B02045"/>
          <w:spacing w:val="-52"/>
          <w:w w:val="110"/>
        </w:rPr>
        <w:t xml:space="preserve"> </w:t>
      </w:r>
      <w:r>
        <w:rPr>
          <w:color w:val="333333"/>
          <w:spacing w:val="-3"/>
          <w:w w:val="110"/>
        </w:rPr>
        <w:t xml:space="preserve">property. </w:t>
      </w:r>
      <w:r>
        <w:rPr>
          <w:color w:val="333333"/>
          <w:w w:val="110"/>
        </w:rPr>
        <w:t>If you have custom attributes, you</w:t>
      </w:r>
    </w:p>
    <w:p w14:paraId="443043B9" w14:textId="77777777" w:rsidR="00A720EB" w:rsidRDefault="00A720EB">
      <w:pPr>
        <w:spacing w:line="280" w:lineRule="auto"/>
        <w:jc w:val="both"/>
        <w:sectPr w:rsidR="00A720EB">
          <w:pgSz w:w="11910" w:h="16840"/>
          <w:pgMar w:top="700" w:right="840" w:bottom="520" w:left="840" w:header="0" w:footer="323" w:gutter="0"/>
          <w:cols w:space="720"/>
        </w:sectPr>
      </w:pPr>
    </w:p>
    <w:p w14:paraId="0AA2E135" w14:textId="77777777" w:rsidR="00A720EB" w:rsidRDefault="0030286B">
      <w:pPr>
        <w:pStyle w:val="a3"/>
        <w:spacing w:before="96" w:line="290" w:lineRule="auto"/>
        <w:ind w:left="124" w:right="127"/>
        <w:jc w:val="both"/>
      </w:pPr>
      <w:r>
        <w:rPr>
          <w:color w:val="333333"/>
          <w:w w:val="110"/>
        </w:rPr>
        <w:lastRenderedPageBreak/>
        <w:t xml:space="preserve">can use </w:t>
      </w:r>
      <w:proofErr w:type="gramStart"/>
      <w:r>
        <w:rPr>
          <w:rFonts w:ascii="MS Gothic"/>
          <w:color w:val="B02045"/>
          <w:w w:val="110"/>
        </w:rPr>
        <w:t>spring.ldap</w:t>
      </w:r>
      <w:proofErr w:type="gramEnd"/>
      <w:r>
        <w:rPr>
          <w:rFonts w:ascii="MS Gothic"/>
          <w:color w:val="B02045"/>
          <w:w w:val="110"/>
        </w:rPr>
        <w:t xml:space="preserve">.embedded.validation.schema </w:t>
      </w:r>
      <w:r>
        <w:rPr>
          <w:color w:val="333333"/>
          <w:w w:val="110"/>
        </w:rPr>
        <w:t>to define your custom attribute types or object classes.</w:t>
      </w:r>
    </w:p>
    <w:p w14:paraId="25A66F4B" w14:textId="77777777" w:rsidR="00A720EB" w:rsidRDefault="00A720EB">
      <w:pPr>
        <w:pStyle w:val="a3"/>
        <w:spacing w:before="3"/>
        <w:rPr>
          <w:sz w:val="27"/>
        </w:rPr>
      </w:pPr>
    </w:p>
    <w:p w14:paraId="7D085D32" w14:textId="77777777" w:rsidR="00A720EB" w:rsidRDefault="0030286B">
      <w:pPr>
        <w:pStyle w:val="3"/>
        <w:numPr>
          <w:ilvl w:val="2"/>
          <w:numId w:val="68"/>
        </w:numPr>
        <w:tabs>
          <w:tab w:val="left" w:pos="1003"/>
        </w:tabs>
        <w:ind w:left="1002" w:hanging="879"/>
      </w:pPr>
      <w:bookmarkStart w:id="381" w:name="4.12.9._InfluxDB"/>
      <w:bookmarkStart w:id="382" w:name="_Toc54423784"/>
      <w:bookmarkEnd w:id="381"/>
      <w:r>
        <w:rPr>
          <w:color w:val="333333"/>
          <w:w w:val="105"/>
        </w:rPr>
        <w:t>InfluxDB</w:t>
      </w:r>
      <w:bookmarkEnd w:id="382"/>
    </w:p>
    <w:p w14:paraId="44EC35E8" w14:textId="77777777" w:rsidR="00A720EB" w:rsidRDefault="00E10349">
      <w:pPr>
        <w:pStyle w:val="a3"/>
        <w:spacing w:before="254" w:line="307" w:lineRule="auto"/>
        <w:ind w:left="124" w:right="129"/>
        <w:jc w:val="both"/>
      </w:pPr>
      <w:hyperlink r:id="rId264">
        <w:r w:rsidR="0030286B">
          <w:rPr>
            <w:color w:val="418BCA"/>
            <w:w w:val="110"/>
          </w:rPr>
          <w:t>InfluxDB</w:t>
        </w:r>
      </w:hyperlink>
      <w:r w:rsidR="0030286B">
        <w:rPr>
          <w:color w:val="418BCA"/>
          <w:w w:val="110"/>
        </w:rPr>
        <w:t xml:space="preserve"> </w:t>
      </w:r>
      <w:r w:rsidR="0030286B">
        <w:rPr>
          <w:color w:val="333333"/>
          <w:w w:val="110"/>
        </w:rPr>
        <w:t>is an open-source time series database optimized for fast, high-availability storage and retrieval of time series data in fields such as operations monitoring, application metrics, Internet</w:t>
      </w:r>
      <w:proofErr w:type="gramStart"/>
      <w:r w:rsidR="0030286B">
        <w:rPr>
          <w:color w:val="333333"/>
          <w:w w:val="110"/>
        </w:rPr>
        <w:t>-  of</w:t>
      </w:r>
      <w:proofErr w:type="gramEnd"/>
      <w:r w:rsidR="0030286B">
        <w:rPr>
          <w:color w:val="333333"/>
          <w:w w:val="110"/>
        </w:rPr>
        <w:t>-Things sensor data, and real-time analytics.</w:t>
      </w:r>
    </w:p>
    <w:p w14:paraId="34DCF11B" w14:textId="77777777" w:rsidR="00A720EB" w:rsidRDefault="00A720EB">
      <w:pPr>
        <w:pStyle w:val="a3"/>
        <w:spacing w:before="8"/>
        <w:rPr>
          <w:sz w:val="25"/>
        </w:rPr>
      </w:pPr>
    </w:p>
    <w:p w14:paraId="1B1A5AE6" w14:textId="77777777" w:rsidR="00A720EB" w:rsidRDefault="0030286B">
      <w:pPr>
        <w:pStyle w:val="4"/>
      </w:pPr>
      <w:bookmarkStart w:id="383" w:name="Connecting_to_InfluxDB"/>
      <w:bookmarkEnd w:id="383"/>
      <w:r>
        <w:rPr>
          <w:color w:val="333333"/>
          <w:w w:val="110"/>
        </w:rPr>
        <w:t>Connecting to InfluxDB</w:t>
      </w:r>
    </w:p>
    <w:p w14:paraId="5D1DE4F9" w14:textId="77777777" w:rsidR="00A720EB" w:rsidRDefault="0030286B">
      <w:pPr>
        <w:pStyle w:val="a3"/>
        <w:spacing w:before="244" w:line="290" w:lineRule="auto"/>
        <w:ind w:left="124" w:right="123"/>
        <w:jc w:val="both"/>
      </w:pPr>
      <w:r>
        <w:rPr>
          <w:color w:val="333333"/>
          <w:w w:val="110"/>
        </w:rPr>
        <w:t xml:space="preserve">Spring Boot auto-configures an </w:t>
      </w:r>
      <w:r>
        <w:rPr>
          <w:rFonts w:ascii="MS Gothic"/>
          <w:color w:val="B02045"/>
          <w:w w:val="110"/>
        </w:rPr>
        <w:t xml:space="preserve">InfluxDB </w:t>
      </w:r>
      <w:r>
        <w:rPr>
          <w:color w:val="333333"/>
          <w:w w:val="110"/>
        </w:rPr>
        <w:t xml:space="preserve">instance, provided the </w:t>
      </w:r>
      <w:r>
        <w:rPr>
          <w:rFonts w:ascii="MS Gothic"/>
          <w:color w:val="B02045"/>
          <w:w w:val="110"/>
        </w:rPr>
        <w:t xml:space="preserve">influxdb-java </w:t>
      </w:r>
      <w:r>
        <w:rPr>
          <w:color w:val="333333"/>
          <w:w w:val="110"/>
        </w:rPr>
        <w:t>client is on the classpath and the URL of the database is set, as shown in the following example:</w:t>
      </w:r>
    </w:p>
    <w:p w14:paraId="5EE5FFDE" w14:textId="77777777" w:rsidR="00A720EB" w:rsidRDefault="00E10349">
      <w:pPr>
        <w:pStyle w:val="a3"/>
        <w:spacing w:before="7"/>
        <w:rPr>
          <w:sz w:val="14"/>
        </w:rPr>
      </w:pPr>
      <w:r>
        <w:pict w14:anchorId="60677FB6">
          <v:group id="_x0000_s3969" style="position:absolute;margin-left:47.85pt;margin-top:10.55pt;width:499.55pt;height:37.5pt;z-index:-15438848;mso-wrap-distance-left:0;mso-wrap-distance-right:0;mso-position-horizontal-relative:page" coordorigin="957,211" coordsize="9991,750">
            <v:shape id="_x0000_s3972" style="position:absolute;left:964;top:218;width:9976;height:735" coordorigin="965,219" coordsize="9976,735" path="m10861,219r-9816,l1014,225r-26,17l971,267r-6,32l965,873r6,32l988,930r26,17l1045,953r9816,l10892,947r25,-17l10935,905r6,-32l10941,299r-6,-32l10917,242r-25,-17l10861,219xe" fillcolor="#f5f5f5" stroked="f">
              <v:path arrowok="t"/>
            </v:shape>
            <v:shape id="_x0000_s3971" style="position:absolute;left:964;top:218;width:9976;height:735" coordorigin="965,219" coordsize="9976,735" path="m1045,219r9816,l10892,225r25,17l10935,267r6,32l10941,873r-6,32l10917,930r-25,17l10861,953r-9816,l1014,947,988,930,971,905r-6,-32l965,299r6,-32l988,242r26,-17l1045,219xe" filled="f" strokecolor="#ccc">
              <v:path arrowok="t"/>
            </v:shape>
            <v:shape id="_x0000_s3970" type="#_x0000_t202" style="position:absolute;left:984;top:234;width:9938;height:704" filled="f" stroked="f">
              <v:textbox inset="0,0,0,0">
                <w:txbxContent>
                  <w:p w14:paraId="0AAF0A68" w14:textId="77777777" w:rsidR="00711A16" w:rsidRDefault="00711A16">
                    <w:pPr>
                      <w:spacing w:before="221"/>
                      <w:ind w:left="200"/>
                      <w:rPr>
                        <w:rFonts w:ascii="MS Gothic"/>
                      </w:rPr>
                    </w:pPr>
                    <w:r>
                      <w:rPr>
                        <w:rFonts w:ascii="MS Gothic"/>
                        <w:color w:val="333333"/>
                      </w:rPr>
                      <w:t>spring.influx.url=https://172.0.0.1:8086</w:t>
                    </w:r>
                  </w:p>
                </w:txbxContent>
              </v:textbox>
            </v:shape>
            <w10:wrap type="topAndBottom" anchorx="page"/>
          </v:group>
        </w:pict>
      </w:r>
    </w:p>
    <w:p w14:paraId="3895D891" w14:textId="77777777" w:rsidR="00A720EB" w:rsidRDefault="00A720EB">
      <w:pPr>
        <w:pStyle w:val="a3"/>
        <w:spacing w:before="11"/>
        <w:rPr>
          <w:sz w:val="9"/>
        </w:rPr>
      </w:pPr>
    </w:p>
    <w:p w14:paraId="67A2023F" w14:textId="77777777" w:rsidR="00A720EB" w:rsidRDefault="0030286B">
      <w:pPr>
        <w:pStyle w:val="a3"/>
        <w:spacing w:before="115"/>
        <w:ind w:left="124"/>
        <w:jc w:val="both"/>
      </w:pPr>
      <w:r>
        <w:rPr>
          <w:color w:val="333333"/>
          <w:w w:val="110"/>
        </w:rPr>
        <w:t xml:space="preserve">If the connection to InfluxDB requires a user and password, you can set the </w:t>
      </w:r>
      <w:proofErr w:type="gramStart"/>
      <w:r>
        <w:rPr>
          <w:rFonts w:ascii="MS Gothic"/>
          <w:color w:val="B02045"/>
          <w:w w:val="110"/>
        </w:rPr>
        <w:t>spring.influx</w:t>
      </w:r>
      <w:proofErr w:type="gramEnd"/>
      <w:r>
        <w:rPr>
          <w:rFonts w:ascii="MS Gothic"/>
          <w:color w:val="B02045"/>
          <w:w w:val="110"/>
        </w:rPr>
        <w:t xml:space="preserve">.user </w:t>
      </w:r>
      <w:r>
        <w:rPr>
          <w:color w:val="333333"/>
          <w:w w:val="110"/>
        </w:rPr>
        <w:t>and</w:t>
      </w:r>
    </w:p>
    <w:p w14:paraId="4D3D2758" w14:textId="77777777" w:rsidR="00A720EB" w:rsidRDefault="0030286B">
      <w:pPr>
        <w:pStyle w:val="a3"/>
        <w:spacing w:before="47"/>
        <w:ind w:left="124"/>
        <w:jc w:val="both"/>
      </w:pPr>
      <w:proofErr w:type="gramStart"/>
      <w:r>
        <w:rPr>
          <w:rFonts w:ascii="MS Gothic"/>
          <w:color w:val="B02045"/>
          <w:w w:val="110"/>
        </w:rPr>
        <w:t>spring.influx</w:t>
      </w:r>
      <w:proofErr w:type="gramEnd"/>
      <w:r>
        <w:rPr>
          <w:rFonts w:ascii="MS Gothic"/>
          <w:color w:val="B02045"/>
          <w:w w:val="110"/>
        </w:rPr>
        <w:t>.password</w:t>
      </w:r>
      <w:r>
        <w:rPr>
          <w:rFonts w:ascii="MS Gothic"/>
          <w:color w:val="B02045"/>
          <w:spacing w:val="-64"/>
          <w:w w:val="110"/>
        </w:rPr>
        <w:t xml:space="preserve"> </w:t>
      </w:r>
      <w:r>
        <w:rPr>
          <w:color w:val="333333"/>
          <w:w w:val="110"/>
        </w:rPr>
        <w:t xml:space="preserve">properties </w:t>
      </w:r>
      <w:r>
        <w:rPr>
          <w:color w:val="333333"/>
          <w:spacing w:val="-3"/>
          <w:w w:val="110"/>
        </w:rPr>
        <w:t>accordingly.</w:t>
      </w:r>
    </w:p>
    <w:p w14:paraId="3E1B297E" w14:textId="77777777" w:rsidR="00A720EB" w:rsidRDefault="00A720EB">
      <w:pPr>
        <w:pStyle w:val="a3"/>
        <w:spacing w:before="5"/>
        <w:rPr>
          <w:sz w:val="24"/>
        </w:rPr>
      </w:pPr>
    </w:p>
    <w:p w14:paraId="3313AE66" w14:textId="77777777" w:rsidR="00A720EB" w:rsidRDefault="0030286B">
      <w:pPr>
        <w:pStyle w:val="a3"/>
        <w:spacing w:line="280" w:lineRule="auto"/>
        <w:ind w:left="124" w:right="125"/>
        <w:jc w:val="both"/>
      </w:pPr>
      <w:r>
        <w:rPr>
          <w:color w:val="333333"/>
          <w:w w:val="110"/>
        </w:rPr>
        <w:t xml:space="preserve">InfluxDB relies on OkHttp. If you need to tune the http client </w:t>
      </w:r>
      <w:r>
        <w:rPr>
          <w:rFonts w:ascii="MS Gothic"/>
          <w:color w:val="B02045"/>
          <w:w w:val="110"/>
        </w:rPr>
        <w:t xml:space="preserve">InfluxDB </w:t>
      </w:r>
      <w:r>
        <w:rPr>
          <w:color w:val="333333"/>
          <w:w w:val="110"/>
        </w:rPr>
        <w:t xml:space="preserve">uses behind the scenes, you can register an </w:t>
      </w:r>
      <w:r>
        <w:rPr>
          <w:rFonts w:ascii="MS Gothic"/>
          <w:color w:val="B02045"/>
          <w:w w:val="110"/>
        </w:rPr>
        <w:t>InfluxDbOkHttpClientBuilderProvider</w:t>
      </w:r>
      <w:r>
        <w:rPr>
          <w:rFonts w:ascii="MS Gothic"/>
          <w:color w:val="B02045"/>
          <w:spacing w:val="-69"/>
          <w:w w:val="110"/>
        </w:rPr>
        <w:t xml:space="preserve"> </w:t>
      </w:r>
      <w:r>
        <w:rPr>
          <w:color w:val="333333"/>
          <w:w w:val="110"/>
        </w:rPr>
        <w:t>bean.</w:t>
      </w:r>
    </w:p>
    <w:p w14:paraId="151660EA" w14:textId="77777777" w:rsidR="00A720EB" w:rsidRDefault="00A720EB">
      <w:pPr>
        <w:pStyle w:val="a3"/>
        <w:spacing w:before="10"/>
        <w:rPr>
          <w:sz w:val="26"/>
        </w:rPr>
      </w:pPr>
    </w:p>
    <w:p w14:paraId="1690AD07" w14:textId="77777777" w:rsidR="00A720EB" w:rsidRDefault="0030286B">
      <w:pPr>
        <w:pStyle w:val="2"/>
        <w:numPr>
          <w:ilvl w:val="1"/>
          <w:numId w:val="68"/>
        </w:numPr>
        <w:tabs>
          <w:tab w:val="left" w:pos="1034"/>
        </w:tabs>
        <w:ind w:left="1033" w:hanging="910"/>
      </w:pPr>
      <w:bookmarkStart w:id="384" w:name="4.13._Caching"/>
      <w:bookmarkStart w:id="385" w:name="_Toc54423785"/>
      <w:bookmarkEnd w:id="384"/>
      <w:r>
        <w:rPr>
          <w:color w:val="333333"/>
          <w:w w:val="105"/>
        </w:rPr>
        <w:t>Caching</w:t>
      </w:r>
      <w:bookmarkEnd w:id="385"/>
    </w:p>
    <w:p w14:paraId="474AABFA" w14:textId="77777777" w:rsidR="00A720EB" w:rsidRDefault="0030286B">
      <w:pPr>
        <w:pStyle w:val="a3"/>
        <w:spacing w:before="253" w:line="304" w:lineRule="auto"/>
        <w:ind w:left="124" w:right="130"/>
        <w:jc w:val="both"/>
      </w:pPr>
      <w:r>
        <w:rPr>
          <w:color w:val="333333"/>
          <w:w w:val="110"/>
        </w:rPr>
        <w:t xml:space="preserve">The Spring Framework provides support for transparently adding caching to an application. At its core, the abstraction applies caching to methods, thus reducing the number of executions based on the information available in the cache. The caching logic is applied </w:t>
      </w:r>
      <w:r>
        <w:rPr>
          <w:color w:val="333333"/>
          <w:spacing w:val="-3"/>
          <w:w w:val="110"/>
        </w:rPr>
        <w:t xml:space="preserve">transparently, </w:t>
      </w:r>
      <w:r>
        <w:rPr>
          <w:color w:val="333333"/>
          <w:w w:val="110"/>
        </w:rPr>
        <w:t xml:space="preserve">without any interference to the invoker. Spring Boot auto-configures the cache infrastructure as long as caching support is enabled via the </w:t>
      </w:r>
      <w:r>
        <w:rPr>
          <w:rFonts w:ascii="MS Gothic"/>
          <w:color w:val="B02045"/>
          <w:w w:val="110"/>
        </w:rPr>
        <w:t>@EnableCaching</w:t>
      </w:r>
      <w:r>
        <w:rPr>
          <w:rFonts w:ascii="MS Gothic"/>
          <w:color w:val="B02045"/>
          <w:spacing w:val="-55"/>
          <w:w w:val="110"/>
        </w:rPr>
        <w:t xml:space="preserve"> </w:t>
      </w:r>
      <w:r>
        <w:rPr>
          <w:color w:val="333333"/>
          <w:w w:val="110"/>
        </w:rPr>
        <w:t>annotation.</w:t>
      </w:r>
    </w:p>
    <w:p w14:paraId="16B465C6" w14:textId="77777777" w:rsidR="00A720EB" w:rsidRDefault="00E10349">
      <w:pPr>
        <w:pStyle w:val="a3"/>
        <w:spacing w:before="192"/>
        <w:ind w:left="491"/>
      </w:pPr>
      <w:r>
        <w:pict w14:anchorId="7D9B65A5">
          <v:line id="_x0000_s3968" style="position:absolute;left:0;text-align:left;z-index:-41515008;mso-position-horizontal-relative:page" from="108.25pt,9.3pt" to="108.25pt,33.05pt" strokecolor="#ededed" strokeweight=".5pt">
            <w10:wrap anchorx="page"/>
          </v:line>
        </w:pict>
      </w:r>
      <w:r w:rsidR="0030286B">
        <w:rPr>
          <w:noProof/>
          <w:position w:val="-14"/>
        </w:rPr>
        <w:drawing>
          <wp:inline distT="0" distB="0" distL="0" distR="0" wp14:anchorId="4D9766CC" wp14:editId="444F83B0">
            <wp:extent cx="295275" cy="295275"/>
            <wp:effectExtent l="0" t="0" r="0" b="0"/>
            <wp:docPr id="36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6.png"/>
                    <pic:cNvPicPr/>
                  </pic:nvPicPr>
                  <pic:blipFill>
                    <a:blip r:embed="rId100" cstate="print"/>
                    <a:stretch>
                      <a:fillRect/>
                    </a:stretch>
                  </pic:blipFill>
                  <pic:spPr>
                    <a:xfrm>
                      <a:off x="0" y="0"/>
                      <a:ext cx="295275" cy="295275"/>
                    </a:xfrm>
                    <a:prstGeom prst="rect">
                      <a:avLst/>
                    </a:prstGeom>
                  </pic:spPr>
                </pic:pic>
              </a:graphicData>
            </a:graphic>
          </wp:inline>
        </w:drawing>
      </w:r>
      <w:r w:rsidR="0030286B">
        <w:rPr>
          <w:rFonts w:ascii="Times New Roman"/>
          <w:sz w:val="20"/>
        </w:rPr>
        <w:t xml:space="preserve">           </w:t>
      </w:r>
      <w:r w:rsidR="0030286B">
        <w:rPr>
          <w:rFonts w:ascii="Times New Roman"/>
          <w:spacing w:val="7"/>
          <w:sz w:val="20"/>
        </w:rPr>
        <w:t xml:space="preserve"> </w:t>
      </w:r>
      <w:r w:rsidR="0030286B">
        <w:rPr>
          <w:color w:val="333333"/>
          <w:w w:val="110"/>
        </w:rPr>
        <w:t xml:space="preserve">Check the </w:t>
      </w:r>
      <w:hyperlink r:id="rId265" w:anchor="cache">
        <w:r w:rsidR="0030286B">
          <w:rPr>
            <w:color w:val="418BCA"/>
            <w:w w:val="110"/>
          </w:rPr>
          <w:t xml:space="preserve">relevant section </w:t>
        </w:r>
      </w:hyperlink>
      <w:r w:rsidR="0030286B">
        <w:rPr>
          <w:color w:val="333333"/>
          <w:w w:val="110"/>
        </w:rPr>
        <w:t>of the Spring Framework reference for more</w:t>
      </w:r>
      <w:r w:rsidR="0030286B">
        <w:rPr>
          <w:color w:val="333333"/>
          <w:spacing w:val="6"/>
          <w:w w:val="110"/>
        </w:rPr>
        <w:t xml:space="preserve"> </w:t>
      </w:r>
      <w:r w:rsidR="0030286B">
        <w:rPr>
          <w:color w:val="333333"/>
          <w:w w:val="110"/>
        </w:rPr>
        <w:t>details.</w:t>
      </w:r>
    </w:p>
    <w:p w14:paraId="21B10924" w14:textId="77777777" w:rsidR="00A720EB" w:rsidRDefault="0030286B">
      <w:pPr>
        <w:pStyle w:val="a3"/>
        <w:spacing w:before="285" w:line="307" w:lineRule="auto"/>
        <w:ind w:left="124" w:right="131"/>
        <w:jc w:val="both"/>
      </w:pPr>
      <w:r>
        <w:rPr>
          <w:color w:val="333333"/>
          <w:w w:val="110"/>
        </w:rPr>
        <w:t>In a nutshell, to add caching to an operation of your service add the relevant annotation to its method, as shown in the following</w:t>
      </w:r>
      <w:r>
        <w:rPr>
          <w:color w:val="333333"/>
          <w:spacing w:val="19"/>
          <w:w w:val="110"/>
        </w:rPr>
        <w:t xml:space="preserve"> </w:t>
      </w:r>
      <w:r>
        <w:rPr>
          <w:color w:val="333333"/>
          <w:w w:val="110"/>
        </w:rPr>
        <w:t>example:</w:t>
      </w:r>
    </w:p>
    <w:p w14:paraId="1FB86400" w14:textId="77777777" w:rsidR="00A720EB" w:rsidRDefault="00E10349">
      <w:pPr>
        <w:pStyle w:val="a3"/>
        <w:spacing w:before="1"/>
        <w:rPr>
          <w:sz w:val="13"/>
        </w:rPr>
      </w:pPr>
      <w:r>
        <w:pict w14:anchorId="397BE023">
          <v:group id="_x0000_s3964" style="position:absolute;margin-left:47.85pt;margin-top:9.65pt;width:499.55pt;height:199.65pt;z-index:-15438336;mso-wrap-distance-left:0;mso-wrap-distance-right:0;mso-position-horizontal-relative:page" coordorigin="957,193" coordsize="9991,3993">
            <v:shape id="_x0000_s3967" style="position:absolute;left:964;top:200;width:9976;height:3978" coordorigin="965,200" coordsize="9976,3978" path="m10861,200r-9816,l1014,207r-26,17l971,249r-6,31l965,4098r6,31l988,4155r26,17l1045,4178r9816,l10892,4172r25,-17l10935,4129r6,-31l10941,280r-6,-31l10917,224r-25,-17l10861,200xe" fillcolor="#f5f5f5" stroked="f">
              <v:path arrowok="t"/>
            </v:shape>
            <v:shape id="_x0000_s3966" style="position:absolute;left:964;top:200;width:9976;height:3978" coordorigin="965,200" coordsize="9976,3978" path="m1045,200r9816,l10892,207r25,17l10935,249r6,31l10941,4098r-6,31l10917,4155r-25,17l10861,4178r-9816,l1014,4172r-26,-17l971,4129r-6,-31l965,280r6,-31l988,224r26,-17l1045,200xe" filled="f" strokecolor="#ccc">
              <v:path arrowok="t"/>
            </v:shape>
            <v:shape id="_x0000_s3965" type="#_x0000_t202" style="position:absolute;left:984;top:215;width:9938;height:3947" filled="f" stroked="f">
              <v:textbox inset="0,0,0,0">
                <w:txbxContent>
                  <w:p w14:paraId="3C740418" w14:textId="77777777" w:rsidR="00711A16" w:rsidRDefault="00711A16">
                    <w:pPr>
                      <w:spacing w:before="221" w:line="252" w:lineRule="auto"/>
                      <w:ind w:left="200" w:right="377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.cache.annotation.Cacheable; import org.springframework.stereotype.Component;</w:t>
                    </w:r>
                  </w:p>
                  <w:p w14:paraId="49CDEFD9" w14:textId="77777777" w:rsidR="00711A16" w:rsidRDefault="00711A16">
                    <w:pPr>
                      <w:spacing w:before="10"/>
                      <w:rPr>
                        <w:rFonts w:ascii="MS Gothic"/>
                      </w:rPr>
                    </w:pPr>
                  </w:p>
                  <w:p w14:paraId="7C773D95" w14:textId="77777777" w:rsidR="00711A16" w:rsidRDefault="00711A16">
                    <w:pPr>
                      <w:ind w:left="200"/>
                      <w:rPr>
                        <w:rFonts w:ascii="MS Gothic"/>
                      </w:rPr>
                    </w:pPr>
                    <w:r>
                      <w:rPr>
                        <w:rFonts w:ascii="MS Gothic"/>
                        <w:color w:val="333333"/>
                      </w:rPr>
                      <w:t>@Component</w:t>
                    </w:r>
                  </w:p>
                  <w:p w14:paraId="05827099" w14:textId="77777777" w:rsidR="00711A16" w:rsidRDefault="00711A16">
                    <w:pPr>
                      <w:spacing w:before="13"/>
                      <w:ind w:left="200"/>
                      <w:rPr>
                        <w:rFonts w:ascii="MS Gothic"/>
                      </w:rPr>
                    </w:pPr>
                    <w:r>
                      <w:rPr>
                        <w:rFonts w:ascii="MS Gothic"/>
                        <w:color w:val="333333"/>
                      </w:rPr>
                      <w:t>public class MathService {</w:t>
                    </w:r>
                  </w:p>
                  <w:p w14:paraId="78264D9C" w14:textId="77777777" w:rsidR="00711A16" w:rsidRDefault="00711A16">
                    <w:pPr>
                      <w:rPr>
                        <w:rFonts w:ascii="MS Gothic"/>
                        <w:sz w:val="24"/>
                      </w:rPr>
                    </w:pPr>
                  </w:p>
                  <w:p w14:paraId="707C4411" w14:textId="77777777" w:rsidR="00711A16" w:rsidRDefault="00711A16">
                    <w:pPr>
                      <w:ind w:left="640"/>
                      <w:rPr>
                        <w:rFonts w:ascii="MS Gothic"/>
                      </w:rPr>
                    </w:pPr>
                    <w:r>
                      <w:rPr>
                        <w:rFonts w:ascii="MS Gothic"/>
                        <w:color w:val="333333"/>
                      </w:rPr>
                      <w:t>@Cacheable("piDecimals")</w:t>
                    </w:r>
                  </w:p>
                  <w:p w14:paraId="6A4C3DAE" w14:textId="77777777" w:rsidR="00711A16" w:rsidRDefault="00711A16">
                    <w:pPr>
                      <w:spacing w:before="13"/>
                      <w:ind w:left="640"/>
                      <w:rPr>
                        <w:rFonts w:ascii="MS Gothic"/>
                      </w:rPr>
                    </w:pPr>
                    <w:r>
                      <w:rPr>
                        <w:rFonts w:ascii="MS Gothic"/>
                        <w:color w:val="333333"/>
                      </w:rPr>
                      <w:t xml:space="preserve">public int </w:t>
                    </w:r>
                    <w:proofErr w:type="gramStart"/>
                    <w:r>
                      <w:rPr>
                        <w:rFonts w:ascii="MS Gothic"/>
                        <w:color w:val="333333"/>
                      </w:rPr>
                      <w:t>computePiDecimal(</w:t>
                    </w:r>
                    <w:proofErr w:type="gramEnd"/>
                    <w:r>
                      <w:rPr>
                        <w:rFonts w:ascii="MS Gothic"/>
                        <w:color w:val="333333"/>
                      </w:rPr>
                      <w:t>int i) {</w:t>
                    </w:r>
                  </w:p>
                  <w:p w14:paraId="09E71FA5" w14:textId="77777777" w:rsidR="00711A16" w:rsidRDefault="00711A16">
                    <w:pPr>
                      <w:spacing w:before="13"/>
                      <w:ind w:left="1080"/>
                      <w:rPr>
                        <w:rFonts w:ascii="MS Gothic"/>
                      </w:rPr>
                    </w:pPr>
                    <w:r>
                      <w:rPr>
                        <w:rFonts w:ascii="MS Gothic"/>
                        <w:color w:val="333333"/>
                      </w:rPr>
                      <w:t>// ...</w:t>
                    </w:r>
                  </w:p>
                  <w:p w14:paraId="02B5B1D8" w14:textId="77777777" w:rsidR="00711A16" w:rsidRDefault="00711A16">
                    <w:pPr>
                      <w:spacing w:before="13"/>
                      <w:ind w:left="640"/>
                      <w:rPr>
                        <w:rFonts w:ascii="MS Gothic"/>
                      </w:rPr>
                    </w:pPr>
                    <w:r>
                      <w:rPr>
                        <w:rFonts w:ascii="MS Gothic"/>
                        <w:color w:val="333333"/>
                      </w:rPr>
                      <w:t>}</w:t>
                    </w:r>
                  </w:p>
                  <w:p w14:paraId="0F746817" w14:textId="77777777" w:rsidR="00711A16" w:rsidRDefault="00711A16">
                    <w:pPr>
                      <w:rPr>
                        <w:rFonts w:ascii="MS Gothic"/>
                        <w:sz w:val="24"/>
                      </w:rPr>
                    </w:pPr>
                  </w:p>
                  <w:p w14:paraId="7FC9EBCF" w14:textId="77777777" w:rsidR="00711A16" w:rsidRDefault="00711A16">
                    <w:pPr>
                      <w:ind w:left="200"/>
                      <w:rPr>
                        <w:rFonts w:ascii="MS Gothic"/>
                      </w:rPr>
                    </w:pPr>
                    <w:r>
                      <w:rPr>
                        <w:rFonts w:ascii="MS Gothic"/>
                        <w:color w:val="333333"/>
                      </w:rPr>
                      <w:t>}</w:t>
                    </w:r>
                  </w:p>
                </w:txbxContent>
              </v:textbox>
            </v:shape>
            <w10:wrap type="topAndBottom" anchorx="page"/>
          </v:group>
        </w:pict>
      </w:r>
    </w:p>
    <w:p w14:paraId="7FE11722" w14:textId="77777777" w:rsidR="00A720EB" w:rsidRDefault="00A720EB">
      <w:pPr>
        <w:rPr>
          <w:sz w:val="13"/>
        </w:rPr>
        <w:sectPr w:rsidR="00A720EB">
          <w:pgSz w:w="11910" w:h="16840"/>
          <w:pgMar w:top="620" w:right="840" w:bottom="520" w:left="840" w:header="0" w:footer="323" w:gutter="0"/>
          <w:cols w:space="720"/>
        </w:sectPr>
      </w:pPr>
    </w:p>
    <w:p w14:paraId="794169F6" w14:textId="77777777" w:rsidR="00A720EB" w:rsidRDefault="0030286B">
      <w:pPr>
        <w:pStyle w:val="a3"/>
        <w:spacing w:before="102" w:line="300" w:lineRule="auto"/>
        <w:ind w:left="124" w:right="122"/>
        <w:jc w:val="both"/>
      </w:pPr>
      <w:r>
        <w:rPr>
          <w:color w:val="333333"/>
          <w:w w:val="110"/>
        </w:rPr>
        <w:lastRenderedPageBreak/>
        <w:t xml:space="preserve">This example demonstrates the use of caching on a potentially costly operation. Before invoking </w:t>
      </w:r>
      <w:r>
        <w:rPr>
          <w:rFonts w:ascii="MS Gothic"/>
          <w:color w:val="B02045"/>
          <w:w w:val="110"/>
        </w:rPr>
        <w:t>computePiDecimal</w:t>
      </w:r>
      <w:r>
        <w:rPr>
          <w:color w:val="333333"/>
          <w:w w:val="110"/>
        </w:rPr>
        <w:t xml:space="preserve">, the abstraction looks for an entry in the </w:t>
      </w:r>
      <w:r>
        <w:rPr>
          <w:rFonts w:ascii="MS Gothic"/>
          <w:color w:val="B02045"/>
          <w:w w:val="110"/>
        </w:rPr>
        <w:t xml:space="preserve">piDecimals </w:t>
      </w:r>
      <w:r>
        <w:rPr>
          <w:color w:val="333333"/>
          <w:w w:val="110"/>
        </w:rPr>
        <w:t xml:space="preserve">cache that matches the </w:t>
      </w:r>
      <w:r>
        <w:rPr>
          <w:rFonts w:ascii="MS Gothic"/>
          <w:color w:val="B02045"/>
          <w:w w:val="110"/>
        </w:rPr>
        <w:t xml:space="preserve">i </w:t>
      </w:r>
      <w:r>
        <w:rPr>
          <w:color w:val="333333"/>
          <w:w w:val="110"/>
        </w:rPr>
        <w:t>argument. If an entry is found, the content in the cache is immediately returned to the caller, and    the method is not invoked. Otherwise, the method is invoked, and the cache is updated before returning the</w:t>
      </w:r>
      <w:r>
        <w:rPr>
          <w:color w:val="333333"/>
          <w:spacing w:val="7"/>
          <w:w w:val="110"/>
        </w:rPr>
        <w:t xml:space="preserve"> </w:t>
      </w:r>
      <w:r>
        <w:rPr>
          <w:color w:val="333333"/>
          <w:w w:val="110"/>
        </w:rPr>
        <w:t>value.</w:t>
      </w:r>
    </w:p>
    <w:p w14:paraId="5D8AF0E3" w14:textId="77777777" w:rsidR="00A720EB" w:rsidRDefault="00A720EB">
      <w:pPr>
        <w:pStyle w:val="a3"/>
        <w:spacing w:before="5"/>
        <w:rPr>
          <w:sz w:val="17"/>
        </w:rPr>
      </w:pPr>
    </w:p>
    <w:p w14:paraId="36480B4F" w14:textId="77777777" w:rsidR="00A720EB" w:rsidRDefault="00E10349">
      <w:pPr>
        <w:pStyle w:val="a3"/>
        <w:spacing w:before="116" w:line="300" w:lineRule="auto"/>
        <w:ind w:left="1564" w:right="362"/>
        <w:jc w:val="both"/>
      </w:pPr>
      <w:r>
        <w:pict w14:anchorId="60527974">
          <v:line id="_x0000_s3963" style="position:absolute;left:0;text-align:left;z-index:16019968;mso-position-horizontal-relative:page" from="108.25pt,.35pt" to="108.25pt,55.7pt" strokecolor="#ededed" strokeweight=".5pt">
            <w10:wrap anchorx="page"/>
          </v:line>
        </w:pict>
      </w:r>
      <w:r w:rsidR="0030286B">
        <w:rPr>
          <w:noProof/>
        </w:rPr>
        <w:drawing>
          <wp:anchor distT="0" distB="0" distL="0" distR="0" simplePos="0" relativeHeight="16020480" behindDoc="0" locked="0" layoutInCell="1" allowOverlap="1" wp14:anchorId="570A2FB4" wp14:editId="3CD5010E">
            <wp:simplePos x="0" y="0"/>
            <wp:positionH relativeFrom="page">
              <wp:posOffset>879347</wp:posOffset>
            </wp:positionH>
            <wp:positionV relativeFrom="paragraph">
              <wp:posOffset>200101</wp:posOffset>
            </wp:positionV>
            <wp:extent cx="228600" cy="307975"/>
            <wp:effectExtent l="0" t="0" r="0" b="0"/>
            <wp:wrapNone/>
            <wp:docPr id="36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8.png"/>
                    <pic:cNvPicPr/>
                  </pic:nvPicPr>
                  <pic:blipFill>
                    <a:blip r:embed="rId266" cstate="print"/>
                    <a:stretch>
                      <a:fillRect/>
                    </a:stretch>
                  </pic:blipFill>
                  <pic:spPr>
                    <a:xfrm>
                      <a:off x="0" y="0"/>
                      <a:ext cx="228600" cy="307975"/>
                    </a:xfrm>
                    <a:prstGeom prst="rect">
                      <a:avLst/>
                    </a:prstGeom>
                  </pic:spPr>
                </pic:pic>
              </a:graphicData>
            </a:graphic>
          </wp:anchor>
        </w:drawing>
      </w:r>
      <w:r w:rsidR="0030286B">
        <w:rPr>
          <w:color w:val="333333"/>
          <w:w w:val="110"/>
        </w:rPr>
        <w:t xml:space="preserve">You can also use the standard JSR-107 (JCache) annotations (such as </w:t>
      </w:r>
      <w:r w:rsidR="0030286B">
        <w:rPr>
          <w:rFonts w:ascii="MS Gothic"/>
          <w:color w:val="B02045"/>
          <w:w w:val="110"/>
        </w:rPr>
        <w:t>@CacheResult</w:t>
      </w:r>
      <w:r w:rsidR="0030286B">
        <w:rPr>
          <w:color w:val="333333"/>
          <w:w w:val="110"/>
        </w:rPr>
        <w:t xml:space="preserve">) transparently. However, we strongly advise you to not mix and match the </w:t>
      </w:r>
      <w:proofErr w:type="gramStart"/>
      <w:r w:rsidR="0030286B">
        <w:rPr>
          <w:color w:val="333333"/>
          <w:w w:val="110"/>
        </w:rPr>
        <w:t>Spring  Cache</w:t>
      </w:r>
      <w:proofErr w:type="gramEnd"/>
      <w:r w:rsidR="0030286B">
        <w:rPr>
          <w:color w:val="333333"/>
          <w:w w:val="110"/>
        </w:rPr>
        <w:t xml:space="preserve"> and JCache annotations.</w:t>
      </w:r>
    </w:p>
    <w:p w14:paraId="04E69D2F" w14:textId="77777777" w:rsidR="00A720EB" w:rsidRDefault="00A720EB">
      <w:pPr>
        <w:pStyle w:val="a3"/>
        <w:spacing w:before="1"/>
        <w:rPr>
          <w:sz w:val="17"/>
        </w:rPr>
      </w:pPr>
    </w:p>
    <w:p w14:paraId="1E28D27E" w14:textId="77777777" w:rsidR="00A720EB" w:rsidRDefault="0030286B">
      <w:pPr>
        <w:pStyle w:val="a3"/>
        <w:spacing w:before="125" w:line="302" w:lineRule="auto"/>
        <w:ind w:left="124" w:right="122"/>
        <w:jc w:val="both"/>
      </w:pPr>
      <w:r>
        <w:rPr>
          <w:color w:val="333333"/>
          <w:w w:val="110"/>
        </w:rPr>
        <w:t xml:space="preserve">If you do not add any specific cache </w:t>
      </w:r>
      <w:r>
        <w:rPr>
          <w:color w:val="333333"/>
          <w:spacing w:val="-4"/>
          <w:w w:val="110"/>
        </w:rPr>
        <w:t xml:space="preserve">library, </w:t>
      </w:r>
      <w:r>
        <w:rPr>
          <w:color w:val="333333"/>
          <w:w w:val="110"/>
        </w:rPr>
        <w:t xml:space="preserve">Spring Boot auto-configures a </w:t>
      </w:r>
      <w:hyperlink w:anchor="_bookmark265" w:history="1">
        <w:r>
          <w:rPr>
            <w:color w:val="418BCA"/>
            <w:w w:val="110"/>
          </w:rPr>
          <w:t xml:space="preserve">simple provider </w:t>
        </w:r>
      </w:hyperlink>
      <w:r>
        <w:rPr>
          <w:color w:val="333333"/>
          <w:w w:val="110"/>
        </w:rPr>
        <w:t xml:space="preserve">that uses concurrent maps in </w:t>
      </w:r>
      <w:r>
        <w:rPr>
          <w:color w:val="333333"/>
          <w:spacing w:val="-4"/>
          <w:w w:val="110"/>
        </w:rPr>
        <w:t xml:space="preserve">memory. </w:t>
      </w:r>
      <w:r>
        <w:rPr>
          <w:color w:val="333333"/>
          <w:w w:val="110"/>
        </w:rPr>
        <w:t xml:space="preserve">When a cache is required (such as </w:t>
      </w:r>
      <w:r>
        <w:rPr>
          <w:rFonts w:ascii="MS Gothic"/>
          <w:color w:val="B02045"/>
          <w:w w:val="110"/>
        </w:rPr>
        <w:t xml:space="preserve">piDecimals </w:t>
      </w:r>
      <w:r>
        <w:rPr>
          <w:color w:val="333333"/>
          <w:w w:val="110"/>
        </w:rPr>
        <w:t xml:space="preserve">in the preceding example), this provider creates it for you. The simple provider is not really recommended for production usage, but it is great for getting started and making sure that you understand </w:t>
      </w:r>
      <w:proofErr w:type="gramStart"/>
      <w:r>
        <w:rPr>
          <w:color w:val="333333"/>
          <w:w w:val="110"/>
        </w:rPr>
        <w:t>the  features</w:t>
      </w:r>
      <w:proofErr w:type="gramEnd"/>
      <w:r>
        <w:rPr>
          <w:color w:val="333333"/>
          <w:w w:val="110"/>
        </w:rPr>
        <w:t>. When you have made up your mind about the cache provider to use, please make sure to read its documentation to figure out how to configure the caches that your application uses. Nearly all providers require you to explicitly configure every cache that you use in the application. Some offer</w:t>
      </w:r>
      <w:r>
        <w:rPr>
          <w:color w:val="333333"/>
          <w:spacing w:val="-5"/>
          <w:w w:val="110"/>
        </w:rPr>
        <w:t xml:space="preserve"> </w:t>
      </w:r>
      <w:r>
        <w:rPr>
          <w:color w:val="333333"/>
          <w:w w:val="110"/>
        </w:rPr>
        <w:t>a</w:t>
      </w:r>
      <w:r>
        <w:rPr>
          <w:color w:val="333333"/>
          <w:spacing w:val="-5"/>
          <w:w w:val="110"/>
        </w:rPr>
        <w:t xml:space="preserve"> </w:t>
      </w:r>
      <w:r>
        <w:rPr>
          <w:color w:val="333333"/>
          <w:w w:val="110"/>
        </w:rPr>
        <w:t>way</w:t>
      </w:r>
      <w:r>
        <w:rPr>
          <w:color w:val="333333"/>
          <w:spacing w:val="-6"/>
          <w:w w:val="110"/>
        </w:rPr>
        <w:t xml:space="preserve"> </w:t>
      </w:r>
      <w:r>
        <w:rPr>
          <w:color w:val="333333"/>
          <w:w w:val="110"/>
        </w:rPr>
        <w:t>to</w:t>
      </w:r>
      <w:r>
        <w:rPr>
          <w:color w:val="333333"/>
          <w:spacing w:val="-4"/>
          <w:w w:val="110"/>
        </w:rPr>
        <w:t xml:space="preserve"> </w:t>
      </w:r>
      <w:r>
        <w:rPr>
          <w:color w:val="333333"/>
          <w:w w:val="110"/>
        </w:rPr>
        <w:t>customize</w:t>
      </w:r>
      <w:r>
        <w:rPr>
          <w:color w:val="333333"/>
          <w:spacing w:val="-5"/>
          <w:w w:val="110"/>
        </w:rPr>
        <w:t xml:space="preserve"> </w:t>
      </w:r>
      <w:r>
        <w:rPr>
          <w:color w:val="333333"/>
          <w:w w:val="110"/>
        </w:rPr>
        <w:t>the</w:t>
      </w:r>
      <w:r>
        <w:rPr>
          <w:color w:val="333333"/>
          <w:spacing w:val="-4"/>
          <w:w w:val="110"/>
        </w:rPr>
        <w:t xml:space="preserve"> </w:t>
      </w:r>
      <w:r>
        <w:rPr>
          <w:color w:val="333333"/>
          <w:w w:val="110"/>
        </w:rPr>
        <w:t>default</w:t>
      </w:r>
      <w:r>
        <w:rPr>
          <w:color w:val="333333"/>
          <w:spacing w:val="-5"/>
          <w:w w:val="110"/>
        </w:rPr>
        <w:t xml:space="preserve"> </w:t>
      </w:r>
      <w:r>
        <w:rPr>
          <w:color w:val="333333"/>
          <w:w w:val="110"/>
        </w:rPr>
        <w:t>caches</w:t>
      </w:r>
      <w:r>
        <w:rPr>
          <w:color w:val="333333"/>
          <w:spacing w:val="-5"/>
          <w:w w:val="110"/>
        </w:rPr>
        <w:t xml:space="preserve"> </w:t>
      </w:r>
      <w:r>
        <w:rPr>
          <w:color w:val="333333"/>
          <w:w w:val="110"/>
        </w:rPr>
        <w:t>defined</w:t>
      </w:r>
      <w:r>
        <w:rPr>
          <w:color w:val="333333"/>
          <w:spacing w:val="-5"/>
          <w:w w:val="110"/>
        </w:rPr>
        <w:t xml:space="preserve"> </w:t>
      </w:r>
      <w:r>
        <w:rPr>
          <w:color w:val="333333"/>
          <w:spacing w:val="-3"/>
          <w:w w:val="110"/>
        </w:rPr>
        <w:t>by</w:t>
      </w:r>
      <w:r>
        <w:rPr>
          <w:color w:val="333333"/>
          <w:spacing w:val="-6"/>
          <w:w w:val="110"/>
        </w:rPr>
        <w:t xml:space="preserve"> </w:t>
      </w:r>
      <w:r>
        <w:rPr>
          <w:color w:val="333333"/>
          <w:w w:val="110"/>
        </w:rPr>
        <w:t>the</w:t>
      </w:r>
      <w:r>
        <w:rPr>
          <w:color w:val="333333"/>
          <w:spacing w:val="-1"/>
          <w:w w:val="110"/>
        </w:rPr>
        <w:t xml:space="preserve"> </w:t>
      </w:r>
      <w:proofErr w:type="gramStart"/>
      <w:r>
        <w:rPr>
          <w:rFonts w:ascii="MS Gothic"/>
          <w:color w:val="B02045"/>
          <w:w w:val="110"/>
        </w:rPr>
        <w:t>spring.cache</w:t>
      </w:r>
      <w:proofErr w:type="gramEnd"/>
      <w:r>
        <w:rPr>
          <w:rFonts w:ascii="MS Gothic"/>
          <w:color w:val="B02045"/>
          <w:w w:val="110"/>
        </w:rPr>
        <w:t>.cache-names</w:t>
      </w:r>
      <w:r>
        <w:rPr>
          <w:rFonts w:ascii="MS Gothic"/>
          <w:color w:val="B02045"/>
          <w:spacing w:val="-70"/>
          <w:w w:val="110"/>
        </w:rPr>
        <w:t xml:space="preserve"> </w:t>
      </w:r>
      <w:r>
        <w:rPr>
          <w:color w:val="333333"/>
          <w:spacing w:val="-3"/>
          <w:w w:val="110"/>
        </w:rPr>
        <w:t>property.</w:t>
      </w:r>
    </w:p>
    <w:p w14:paraId="1F1FEB04" w14:textId="77777777" w:rsidR="00A720EB" w:rsidRDefault="00E10349">
      <w:pPr>
        <w:pStyle w:val="a3"/>
        <w:spacing w:before="182"/>
        <w:ind w:left="561"/>
      </w:pPr>
      <w:r>
        <w:pict w14:anchorId="529648CE">
          <v:line id="_x0000_s3962" style="position:absolute;left:0;text-align:left;z-index:-41513472;mso-position-horizontal-relative:page" from="108.25pt,9.3pt" to="108.25pt,33.05pt" strokecolor="#ededed" strokeweight=".5pt">
            <w10:wrap anchorx="page"/>
          </v:line>
        </w:pict>
      </w:r>
      <w:r w:rsidR="0030286B">
        <w:rPr>
          <w:noProof/>
          <w:position w:val="-15"/>
        </w:rPr>
        <w:drawing>
          <wp:inline distT="0" distB="0" distL="0" distR="0" wp14:anchorId="6A73F50E" wp14:editId="7D8CFB57">
            <wp:extent cx="209550" cy="304800"/>
            <wp:effectExtent l="0" t="0" r="0" b="0"/>
            <wp:docPr id="36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9.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It is also possible to transparently </w:t>
      </w:r>
      <w:hyperlink r:id="rId267" w:anchor="cache-annotations-put">
        <w:r w:rsidR="0030286B">
          <w:rPr>
            <w:color w:val="418BCA"/>
            <w:w w:val="110"/>
          </w:rPr>
          <w:t xml:space="preserve">update </w:t>
        </w:r>
      </w:hyperlink>
      <w:r w:rsidR="0030286B">
        <w:rPr>
          <w:color w:val="333333"/>
          <w:w w:val="110"/>
        </w:rPr>
        <w:t xml:space="preserve">or </w:t>
      </w:r>
      <w:hyperlink r:id="rId268" w:anchor="cache-annotations-evict">
        <w:r w:rsidR="0030286B">
          <w:rPr>
            <w:color w:val="418BCA"/>
            <w:w w:val="110"/>
          </w:rPr>
          <w:t xml:space="preserve">evict </w:t>
        </w:r>
      </w:hyperlink>
      <w:r w:rsidR="0030286B">
        <w:rPr>
          <w:color w:val="333333"/>
          <w:w w:val="110"/>
        </w:rPr>
        <w:t>data from the</w:t>
      </w:r>
      <w:r w:rsidR="0030286B">
        <w:rPr>
          <w:color w:val="333333"/>
          <w:spacing w:val="48"/>
          <w:w w:val="110"/>
        </w:rPr>
        <w:t xml:space="preserve"> </w:t>
      </w:r>
      <w:r w:rsidR="0030286B">
        <w:rPr>
          <w:color w:val="333333"/>
          <w:w w:val="110"/>
        </w:rPr>
        <w:t>cache.</w:t>
      </w:r>
    </w:p>
    <w:p w14:paraId="2687B79F" w14:textId="77777777" w:rsidR="00A720EB" w:rsidRDefault="0030286B">
      <w:pPr>
        <w:pStyle w:val="3"/>
        <w:numPr>
          <w:ilvl w:val="2"/>
          <w:numId w:val="68"/>
        </w:numPr>
        <w:tabs>
          <w:tab w:val="left" w:pos="1003"/>
        </w:tabs>
        <w:spacing w:before="340"/>
        <w:ind w:left="1002" w:hanging="879"/>
      </w:pPr>
      <w:bookmarkStart w:id="386" w:name="4.13.1._Supported_Cache_Providers"/>
      <w:bookmarkStart w:id="387" w:name="_Toc54423786"/>
      <w:bookmarkEnd w:id="386"/>
      <w:r>
        <w:rPr>
          <w:color w:val="333333"/>
          <w:w w:val="110"/>
        </w:rPr>
        <w:t>Supported Cache</w:t>
      </w:r>
      <w:r>
        <w:rPr>
          <w:color w:val="333333"/>
          <w:spacing w:val="-11"/>
          <w:w w:val="110"/>
        </w:rPr>
        <w:t xml:space="preserve"> </w:t>
      </w:r>
      <w:r>
        <w:rPr>
          <w:color w:val="333333"/>
          <w:w w:val="110"/>
        </w:rPr>
        <w:t>Providers</w:t>
      </w:r>
      <w:bookmarkEnd w:id="387"/>
    </w:p>
    <w:p w14:paraId="3F9C06F5" w14:textId="77777777" w:rsidR="00A720EB" w:rsidRDefault="0030286B">
      <w:pPr>
        <w:pStyle w:val="a3"/>
        <w:spacing w:before="254"/>
        <w:ind w:left="124"/>
      </w:pPr>
      <w:r>
        <w:rPr>
          <w:color w:val="333333"/>
          <w:w w:val="110"/>
        </w:rPr>
        <w:t>The cache abstraction does not provide an actual store and relies on abstraction materialized by the</w:t>
      </w:r>
    </w:p>
    <w:p w14:paraId="5FC3C7AF" w14:textId="77777777" w:rsidR="00A720EB" w:rsidRDefault="0030286B">
      <w:pPr>
        <w:pStyle w:val="a3"/>
        <w:spacing w:before="59"/>
        <w:ind w:left="124"/>
      </w:pPr>
      <w:proofErr w:type="gramStart"/>
      <w:r>
        <w:rPr>
          <w:rFonts w:ascii="MS Gothic"/>
          <w:color w:val="B02045"/>
          <w:w w:val="105"/>
        </w:rPr>
        <w:t>org.springframework</w:t>
      </w:r>
      <w:proofErr w:type="gramEnd"/>
      <w:r>
        <w:rPr>
          <w:rFonts w:ascii="MS Gothic"/>
          <w:color w:val="B02045"/>
          <w:w w:val="105"/>
        </w:rPr>
        <w:t>.cache.Cache</w:t>
      </w:r>
      <w:r>
        <w:rPr>
          <w:rFonts w:ascii="MS Gothic"/>
          <w:color w:val="B02045"/>
          <w:spacing w:val="-67"/>
          <w:w w:val="105"/>
        </w:rPr>
        <w:t xml:space="preserve"> </w:t>
      </w:r>
      <w:r>
        <w:rPr>
          <w:color w:val="333333"/>
          <w:w w:val="105"/>
        </w:rPr>
        <w:t xml:space="preserve">and </w:t>
      </w:r>
      <w:r>
        <w:rPr>
          <w:rFonts w:ascii="MS Gothic"/>
          <w:color w:val="B02045"/>
          <w:w w:val="105"/>
        </w:rPr>
        <w:t>org.springframework.cache.CacheManager</w:t>
      </w:r>
      <w:r>
        <w:rPr>
          <w:rFonts w:ascii="MS Gothic"/>
          <w:color w:val="B02045"/>
          <w:spacing w:val="-66"/>
          <w:w w:val="105"/>
        </w:rPr>
        <w:t xml:space="preserve"> </w:t>
      </w:r>
      <w:r>
        <w:rPr>
          <w:color w:val="333333"/>
          <w:w w:val="105"/>
        </w:rPr>
        <w:t>interfaces.</w:t>
      </w:r>
    </w:p>
    <w:p w14:paraId="74D066E1" w14:textId="77777777" w:rsidR="00A720EB" w:rsidRDefault="00A720EB">
      <w:pPr>
        <w:pStyle w:val="a3"/>
        <w:spacing w:before="5"/>
        <w:rPr>
          <w:sz w:val="24"/>
        </w:rPr>
      </w:pPr>
    </w:p>
    <w:p w14:paraId="7A07AB90" w14:textId="77777777" w:rsidR="00A720EB" w:rsidRDefault="0030286B">
      <w:pPr>
        <w:pStyle w:val="a3"/>
        <w:ind w:left="124"/>
      </w:pPr>
      <w:r>
        <w:rPr>
          <w:color w:val="333333"/>
          <w:w w:val="110"/>
        </w:rPr>
        <w:t xml:space="preserve">If you have not defined a bean of type </w:t>
      </w:r>
      <w:r>
        <w:rPr>
          <w:rFonts w:ascii="MS Gothic"/>
          <w:color w:val="B02045"/>
          <w:w w:val="110"/>
        </w:rPr>
        <w:t xml:space="preserve">CacheManager </w:t>
      </w:r>
      <w:r>
        <w:rPr>
          <w:color w:val="333333"/>
          <w:w w:val="110"/>
        </w:rPr>
        <w:t xml:space="preserve">or a </w:t>
      </w:r>
      <w:r>
        <w:rPr>
          <w:rFonts w:ascii="MS Gothic"/>
          <w:color w:val="B02045"/>
          <w:w w:val="110"/>
        </w:rPr>
        <w:t xml:space="preserve">CacheResolver </w:t>
      </w:r>
      <w:r>
        <w:rPr>
          <w:color w:val="333333"/>
          <w:w w:val="110"/>
        </w:rPr>
        <w:t xml:space="preserve">named </w:t>
      </w:r>
      <w:r>
        <w:rPr>
          <w:rFonts w:ascii="MS Gothic"/>
          <w:color w:val="B02045"/>
          <w:w w:val="110"/>
        </w:rPr>
        <w:t>cacheResolver</w:t>
      </w:r>
      <w:r>
        <w:rPr>
          <w:rFonts w:ascii="MS Gothic"/>
          <w:color w:val="B02045"/>
          <w:spacing w:val="-53"/>
          <w:w w:val="110"/>
        </w:rPr>
        <w:t xml:space="preserve"> </w:t>
      </w:r>
      <w:r>
        <w:rPr>
          <w:color w:val="333333"/>
          <w:w w:val="110"/>
        </w:rPr>
        <w:t>(see</w:t>
      </w:r>
    </w:p>
    <w:p w14:paraId="134DADD3" w14:textId="77777777" w:rsidR="00A720EB" w:rsidRDefault="00E10349">
      <w:pPr>
        <w:pStyle w:val="a3"/>
        <w:spacing w:before="46"/>
        <w:ind w:left="124"/>
      </w:pPr>
      <w:hyperlink r:id="rId269">
        <w:r w:rsidR="0030286B">
          <w:rPr>
            <w:rFonts w:ascii="MS Gothic"/>
            <w:color w:val="B02045"/>
            <w:w w:val="110"/>
          </w:rPr>
          <w:t>CachingConfigurer</w:t>
        </w:r>
      </w:hyperlink>
      <w:r w:rsidR="0030286B">
        <w:rPr>
          <w:color w:val="333333"/>
          <w:w w:val="110"/>
        </w:rPr>
        <w:t>), Spring Boot tries to detect the following providers (in the indicated order):</w:t>
      </w:r>
    </w:p>
    <w:p w14:paraId="26122A88" w14:textId="77777777" w:rsidR="00A720EB" w:rsidRDefault="00A720EB">
      <w:pPr>
        <w:pStyle w:val="a3"/>
        <w:spacing w:before="4"/>
        <w:rPr>
          <w:sz w:val="25"/>
        </w:rPr>
      </w:pPr>
    </w:p>
    <w:p w14:paraId="21F663B2" w14:textId="77777777" w:rsidR="00A720EB" w:rsidRDefault="00E10349">
      <w:pPr>
        <w:pStyle w:val="a6"/>
        <w:numPr>
          <w:ilvl w:val="3"/>
          <w:numId w:val="68"/>
        </w:numPr>
        <w:tabs>
          <w:tab w:val="left" w:pos="485"/>
        </w:tabs>
        <w:rPr>
          <w:sz w:val="21"/>
        </w:rPr>
      </w:pPr>
      <w:hyperlink w:anchor="_bookmark257" w:history="1">
        <w:r w:rsidR="0030286B">
          <w:rPr>
            <w:color w:val="418BCA"/>
            <w:w w:val="115"/>
            <w:sz w:val="21"/>
          </w:rPr>
          <w:t>Generic</w:t>
        </w:r>
      </w:hyperlink>
    </w:p>
    <w:p w14:paraId="045B77AA" w14:textId="77777777" w:rsidR="00A720EB" w:rsidRDefault="00E10349">
      <w:pPr>
        <w:pStyle w:val="a6"/>
        <w:numPr>
          <w:ilvl w:val="3"/>
          <w:numId w:val="68"/>
        </w:numPr>
        <w:tabs>
          <w:tab w:val="left" w:pos="485"/>
        </w:tabs>
        <w:spacing w:before="190"/>
        <w:rPr>
          <w:sz w:val="21"/>
        </w:rPr>
      </w:pPr>
      <w:hyperlink w:anchor="_bookmark258" w:history="1">
        <w:r w:rsidR="0030286B">
          <w:rPr>
            <w:color w:val="418BCA"/>
            <w:w w:val="110"/>
            <w:sz w:val="21"/>
          </w:rPr>
          <w:t xml:space="preserve">JCache (JSR-107) </w:t>
        </w:r>
      </w:hyperlink>
      <w:r w:rsidR="0030286B">
        <w:rPr>
          <w:color w:val="333333"/>
          <w:w w:val="110"/>
          <w:sz w:val="21"/>
        </w:rPr>
        <w:t>(EhCache 3, Hazelcast, Infinispan, and</w:t>
      </w:r>
      <w:r w:rsidR="0030286B">
        <w:rPr>
          <w:color w:val="333333"/>
          <w:spacing w:val="16"/>
          <w:w w:val="110"/>
          <w:sz w:val="21"/>
        </w:rPr>
        <w:t xml:space="preserve"> </w:t>
      </w:r>
      <w:r w:rsidR="0030286B">
        <w:rPr>
          <w:color w:val="333333"/>
          <w:w w:val="110"/>
          <w:sz w:val="21"/>
        </w:rPr>
        <w:t>others)</w:t>
      </w:r>
    </w:p>
    <w:p w14:paraId="440A599F" w14:textId="77777777" w:rsidR="00A720EB" w:rsidRDefault="00E10349">
      <w:pPr>
        <w:pStyle w:val="a6"/>
        <w:numPr>
          <w:ilvl w:val="3"/>
          <w:numId w:val="68"/>
        </w:numPr>
        <w:tabs>
          <w:tab w:val="left" w:pos="485"/>
        </w:tabs>
        <w:spacing w:before="189"/>
        <w:rPr>
          <w:sz w:val="21"/>
        </w:rPr>
      </w:pPr>
      <w:hyperlink w:anchor="_bookmark259" w:history="1">
        <w:r w:rsidR="0030286B">
          <w:rPr>
            <w:color w:val="418BCA"/>
            <w:w w:val="110"/>
            <w:sz w:val="21"/>
          </w:rPr>
          <w:t>EhCache</w:t>
        </w:r>
        <w:r w:rsidR="0030286B">
          <w:rPr>
            <w:color w:val="418BCA"/>
            <w:spacing w:val="3"/>
            <w:w w:val="110"/>
            <w:sz w:val="21"/>
          </w:rPr>
          <w:t xml:space="preserve"> </w:t>
        </w:r>
        <w:r w:rsidR="0030286B">
          <w:rPr>
            <w:color w:val="418BCA"/>
            <w:w w:val="110"/>
            <w:sz w:val="21"/>
          </w:rPr>
          <w:t>2.x</w:t>
        </w:r>
      </w:hyperlink>
    </w:p>
    <w:p w14:paraId="5C1D10B0" w14:textId="77777777" w:rsidR="00A720EB" w:rsidRDefault="00E10349">
      <w:pPr>
        <w:pStyle w:val="a6"/>
        <w:numPr>
          <w:ilvl w:val="3"/>
          <w:numId w:val="68"/>
        </w:numPr>
        <w:tabs>
          <w:tab w:val="left" w:pos="485"/>
        </w:tabs>
        <w:spacing w:before="189"/>
        <w:rPr>
          <w:sz w:val="21"/>
        </w:rPr>
      </w:pPr>
      <w:hyperlink w:anchor="_bookmark260" w:history="1">
        <w:r w:rsidR="0030286B">
          <w:rPr>
            <w:color w:val="418BCA"/>
            <w:w w:val="110"/>
            <w:sz w:val="21"/>
          </w:rPr>
          <w:t>Hazelcast</w:t>
        </w:r>
      </w:hyperlink>
    </w:p>
    <w:p w14:paraId="6216074D" w14:textId="77777777" w:rsidR="00A720EB" w:rsidRDefault="00E10349">
      <w:pPr>
        <w:pStyle w:val="a6"/>
        <w:numPr>
          <w:ilvl w:val="3"/>
          <w:numId w:val="68"/>
        </w:numPr>
        <w:tabs>
          <w:tab w:val="left" w:pos="485"/>
        </w:tabs>
        <w:spacing w:before="190"/>
        <w:rPr>
          <w:sz w:val="21"/>
        </w:rPr>
      </w:pPr>
      <w:hyperlink w:anchor="_bookmark261" w:history="1">
        <w:r w:rsidR="0030286B">
          <w:rPr>
            <w:color w:val="418BCA"/>
            <w:w w:val="115"/>
            <w:sz w:val="21"/>
          </w:rPr>
          <w:t>Infinispan</w:t>
        </w:r>
      </w:hyperlink>
    </w:p>
    <w:p w14:paraId="02230D3D" w14:textId="77777777" w:rsidR="00A720EB" w:rsidRDefault="00E10349">
      <w:pPr>
        <w:pStyle w:val="a6"/>
        <w:numPr>
          <w:ilvl w:val="3"/>
          <w:numId w:val="68"/>
        </w:numPr>
        <w:tabs>
          <w:tab w:val="left" w:pos="485"/>
        </w:tabs>
        <w:spacing w:before="189"/>
        <w:rPr>
          <w:sz w:val="21"/>
        </w:rPr>
      </w:pPr>
      <w:hyperlink w:anchor="_bookmark262" w:history="1">
        <w:r w:rsidR="0030286B">
          <w:rPr>
            <w:color w:val="418BCA"/>
            <w:w w:val="110"/>
            <w:sz w:val="21"/>
          </w:rPr>
          <w:t>Couchbase</w:t>
        </w:r>
      </w:hyperlink>
    </w:p>
    <w:p w14:paraId="15BF7EBB" w14:textId="77777777" w:rsidR="00A720EB" w:rsidRDefault="00E10349">
      <w:pPr>
        <w:pStyle w:val="a6"/>
        <w:numPr>
          <w:ilvl w:val="3"/>
          <w:numId w:val="68"/>
        </w:numPr>
        <w:tabs>
          <w:tab w:val="left" w:pos="485"/>
        </w:tabs>
        <w:spacing w:before="190"/>
        <w:rPr>
          <w:sz w:val="21"/>
        </w:rPr>
      </w:pPr>
      <w:hyperlink w:anchor="_bookmark263" w:history="1">
        <w:r w:rsidR="0030286B">
          <w:rPr>
            <w:color w:val="418BCA"/>
            <w:w w:val="110"/>
            <w:sz w:val="21"/>
          </w:rPr>
          <w:t>Redis</w:t>
        </w:r>
      </w:hyperlink>
    </w:p>
    <w:p w14:paraId="6E6D8DCC" w14:textId="77777777" w:rsidR="00A720EB" w:rsidRDefault="00E10349">
      <w:pPr>
        <w:pStyle w:val="a6"/>
        <w:numPr>
          <w:ilvl w:val="3"/>
          <w:numId w:val="68"/>
        </w:numPr>
        <w:tabs>
          <w:tab w:val="left" w:pos="485"/>
        </w:tabs>
        <w:spacing w:before="189"/>
        <w:rPr>
          <w:sz w:val="21"/>
        </w:rPr>
      </w:pPr>
      <w:hyperlink w:anchor="_bookmark264" w:history="1">
        <w:r w:rsidR="0030286B">
          <w:rPr>
            <w:color w:val="418BCA"/>
            <w:w w:val="115"/>
            <w:sz w:val="21"/>
          </w:rPr>
          <w:t>Caffeine</w:t>
        </w:r>
      </w:hyperlink>
    </w:p>
    <w:p w14:paraId="7BE5AEFC" w14:textId="77777777" w:rsidR="00A720EB" w:rsidRDefault="00E10349">
      <w:pPr>
        <w:pStyle w:val="a6"/>
        <w:numPr>
          <w:ilvl w:val="3"/>
          <w:numId w:val="68"/>
        </w:numPr>
        <w:tabs>
          <w:tab w:val="left" w:pos="485"/>
        </w:tabs>
        <w:spacing w:before="189"/>
        <w:rPr>
          <w:sz w:val="21"/>
        </w:rPr>
      </w:pPr>
      <w:hyperlink w:anchor="_bookmark265" w:history="1">
        <w:r w:rsidR="0030286B">
          <w:rPr>
            <w:color w:val="418BCA"/>
            <w:w w:val="110"/>
            <w:sz w:val="21"/>
          </w:rPr>
          <w:t>Simple</w:t>
        </w:r>
      </w:hyperlink>
    </w:p>
    <w:p w14:paraId="3576FEB2" w14:textId="77777777" w:rsidR="00A720EB" w:rsidRDefault="00A720EB">
      <w:pPr>
        <w:pStyle w:val="a3"/>
        <w:spacing w:before="7"/>
        <w:rPr>
          <w:sz w:val="22"/>
        </w:rPr>
      </w:pPr>
    </w:p>
    <w:p w14:paraId="3115C3F6" w14:textId="77777777" w:rsidR="00A720EB" w:rsidRDefault="00E10349">
      <w:pPr>
        <w:pStyle w:val="a3"/>
        <w:spacing w:before="104" w:line="283" w:lineRule="auto"/>
        <w:ind w:left="1564" w:right="363"/>
        <w:jc w:val="both"/>
      </w:pPr>
      <w:r>
        <w:pict w14:anchorId="24932FF8">
          <v:line id="_x0000_s3961" style="position:absolute;left:0;text-align:left;z-index:16021504;mso-position-horizontal-relative:page" from="108.25pt,.25pt" to="108.25pt,55.6pt" strokecolor="#ededed" strokeweight=".5pt">
            <w10:wrap anchorx="page"/>
          </v:line>
        </w:pict>
      </w:r>
      <w:r w:rsidR="0030286B">
        <w:rPr>
          <w:noProof/>
        </w:rPr>
        <w:drawing>
          <wp:anchor distT="0" distB="0" distL="0" distR="0" simplePos="0" relativeHeight="16022016" behindDoc="0" locked="0" layoutInCell="1" allowOverlap="1" wp14:anchorId="3DA3FE35" wp14:editId="575C0B2C">
            <wp:simplePos x="0" y="0"/>
            <wp:positionH relativeFrom="page">
              <wp:posOffset>888949</wp:posOffset>
            </wp:positionH>
            <wp:positionV relativeFrom="paragraph">
              <wp:posOffset>202297</wp:posOffset>
            </wp:positionV>
            <wp:extent cx="209550" cy="304800"/>
            <wp:effectExtent l="0" t="0" r="0" b="0"/>
            <wp:wrapNone/>
            <wp:docPr id="37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It is also possible to </w:t>
      </w:r>
      <w:r w:rsidR="0030286B">
        <w:rPr>
          <w:rFonts w:ascii="Palatino Linotype"/>
          <w:i/>
          <w:color w:val="333333"/>
          <w:w w:val="110"/>
        </w:rPr>
        <w:t xml:space="preserve">force </w:t>
      </w:r>
      <w:r w:rsidR="0030286B">
        <w:rPr>
          <w:color w:val="333333"/>
          <w:w w:val="110"/>
        </w:rPr>
        <w:t xml:space="preserve">a particular cache provider by setting the </w:t>
      </w:r>
      <w:proofErr w:type="gramStart"/>
      <w:r w:rsidR="0030286B">
        <w:rPr>
          <w:rFonts w:ascii="MS Gothic"/>
          <w:color w:val="B02045"/>
          <w:w w:val="110"/>
        </w:rPr>
        <w:t>spring.cache</w:t>
      </w:r>
      <w:proofErr w:type="gramEnd"/>
      <w:r w:rsidR="0030286B">
        <w:rPr>
          <w:rFonts w:ascii="MS Gothic"/>
          <w:color w:val="B02045"/>
          <w:w w:val="110"/>
        </w:rPr>
        <w:t xml:space="preserve">.type </w:t>
      </w:r>
      <w:r w:rsidR="0030286B">
        <w:rPr>
          <w:color w:val="333333"/>
          <w:w w:val="110"/>
        </w:rPr>
        <w:t xml:space="preserve">property. Use this property if you need to </w:t>
      </w:r>
      <w:hyperlink w:anchor="_bookmark266" w:history="1">
        <w:r w:rsidR="0030286B">
          <w:rPr>
            <w:color w:val="418BCA"/>
            <w:w w:val="110"/>
          </w:rPr>
          <w:t>disable caching</w:t>
        </w:r>
      </w:hyperlink>
      <w:r w:rsidR="0030286B">
        <w:rPr>
          <w:color w:val="418BCA"/>
          <w:w w:val="110"/>
        </w:rPr>
        <w:t xml:space="preserve"> </w:t>
      </w:r>
      <w:hyperlink w:anchor="_bookmark266" w:history="1">
        <w:r w:rsidR="0030286B">
          <w:rPr>
            <w:color w:val="418BCA"/>
            <w:w w:val="110"/>
          </w:rPr>
          <w:t xml:space="preserve">altogether </w:t>
        </w:r>
      </w:hyperlink>
      <w:r w:rsidR="0030286B">
        <w:rPr>
          <w:color w:val="333333"/>
          <w:w w:val="110"/>
        </w:rPr>
        <w:t>in certain environment (such as tests).</w:t>
      </w:r>
    </w:p>
    <w:p w14:paraId="2B0B9148" w14:textId="77777777" w:rsidR="00A720EB" w:rsidRDefault="00A720EB">
      <w:pPr>
        <w:spacing w:line="283" w:lineRule="auto"/>
        <w:jc w:val="both"/>
        <w:sectPr w:rsidR="00A720EB">
          <w:pgSz w:w="11910" w:h="16840"/>
          <w:pgMar w:top="640" w:right="840" w:bottom="520" w:left="840" w:header="0" w:footer="323" w:gutter="0"/>
          <w:cols w:space="720"/>
        </w:sectPr>
      </w:pPr>
    </w:p>
    <w:p w14:paraId="75D1339F" w14:textId="77777777" w:rsidR="00A720EB" w:rsidRDefault="00E10349">
      <w:pPr>
        <w:pStyle w:val="a3"/>
        <w:spacing w:before="111" w:line="285" w:lineRule="auto"/>
        <w:ind w:left="1564" w:right="363"/>
        <w:jc w:val="both"/>
      </w:pPr>
      <w:r>
        <w:lastRenderedPageBreak/>
        <w:pict w14:anchorId="0125819D">
          <v:line id="_x0000_s3960" style="position:absolute;left:0;text-align:left;z-index:16023552;mso-position-horizontal-relative:page" from="108.25pt,.1pt" to="108.25pt,71.2pt" strokecolor="#ededed" strokeweight=".5pt">
            <w10:wrap anchorx="page"/>
          </v:line>
        </w:pict>
      </w:r>
      <w:r w:rsidR="0030286B">
        <w:rPr>
          <w:noProof/>
        </w:rPr>
        <w:drawing>
          <wp:anchor distT="0" distB="0" distL="0" distR="0" simplePos="0" relativeHeight="16024064" behindDoc="0" locked="0" layoutInCell="1" allowOverlap="1" wp14:anchorId="16EA035C" wp14:editId="2A8F910E">
            <wp:simplePos x="0" y="0"/>
            <wp:positionH relativeFrom="page">
              <wp:posOffset>888949</wp:posOffset>
            </wp:positionH>
            <wp:positionV relativeFrom="paragraph">
              <wp:posOffset>300304</wp:posOffset>
            </wp:positionV>
            <wp:extent cx="209550" cy="304800"/>
            <wp:effectExtent l="0" t="0" r="0" b="0"/>
            <wp:wrapNone/>
            <wp:docPr id="3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Use the </w:t>
      </w:r>
      <w:r w:rsidR="0030286B">
        <w:rPr>
          <w:rFonts w:ascii="MS Gothic" w:hAnsi="MS Gothic"/>
          <w:color w:val="B02045"/>
          <w:w w:val="110"/>
        </w:rPr>
        <w:t xml:space="preserve">spring-boot-starter-cache </w:t>
      </w:r>
      <w:r w:rsidR="0030286B">
        <w:rPr>
          <w:color w:val="333333"/>
          <w:w w:val="110"/>
        </w:rPr>
        <w:t xml:space="preserve">“Starter” to quickly add basic caching dependencies. The starter brings in </w:t>
      </w:r>
      <w:r w:rsidR="0030286B">
        <w:rPr>
          <w:rFonts w:ascii="MS Gothic" w:hAnsi="MS Gothic"/>
          <w:color w:val="B02045"/>
          <w:w w:val="110"/>
        </w:rPr>
        <w:t>spring-context-support</w:t>
      </w:r>
      <w:r w:rsidR="0030286B">
        <w:rPr>
          <w:color w:val="333333"/>
          <w:w w:val="110"/>
        </w:rPr>
        <w:t xml:space="preserve">. If you add dependencies manually, you must include </w:t>
      </w:r>
      <w:r w:rsidR="0030286B">
        <w:rPr>
          <w:rFonts w:ascii="MS Gothic" w:hAnsi="MS Gothic"/>
          <w:color w:val="B02045"/>
          <w:w w:val="110"/>
        </w:rPr>
        <w:t xml:space="preserve">spring-context-support </w:t>
      </w:r>
      <w:r w:rsidR="0030286B">
        <w:rPr>
          <w:color w:val="333333"/>
          <w:w w:val="110"/>
        </w:rPr>
        <w:t>in order to use the JCache, EhCache 2.x, or Caffeine support.</w:t>
      </w:r>
    </w:p>
    <w:p w14:paraId="75B64B00" w14:textId="77777777" w:rsidR="00A720EB" w:rsidRDefault="00A720EB">
      <w:pPr>
        <w:pStyle w:val="a3"/>
        <w:spacing w:before="2"/>
        <w:rPr>
          <w:sz w:val="18"/>
        </w:rPr>
      </w:pPr>
    </w:p>
    <w:p w14:paraId="6D684319" w14:textId="77777777" w:rsidR="00A720EB" w:rsidRDefault="0030286B">
      <w:pPr>
        <w:pStyle w:val="a3"/>
        <w:spacing w:before="116" w:line="280" w:lineRule="auto"/>
        <w:ind w:left="124" w:right="125"/>
        <w:jc w:val="both"/>
      </w:pPr>
      <w:r>
        <w:rPr>
          <w:color w:val="333333"/>
          <w:w w:val="110"/>
        </w:rPr>
        <w:t xml:space="preserve">If the </w:t>
      </w:r>
      <w:r>
        <w:rPr>
          <w:rFonts w:ascii="MS Gothic"/>
          <w:color w:val="B02045"/>
          <w:w w:val="110"/>
        </w:rPr>
        <w:t xml:space="preserve">CacheManager </w:t>
      </w:r>
      <w:r>
        <w:rPr>
          <w:color w:val="333333"/>
          <w:w w:val="110"/>
        </w:rPr>
        <w:t xml:space="preserve">is auto-configured by Spring Boot, you can further tune its configuration before it is fully initialized by exposing a bean that implements the </w:t>
      </w:r>
      <w:r>
        <w:rPr>
          <w:rFonts w:ascii="MS Gothic"/>
          <w:color w:val="B02045"/>
          <w:w w:val="110"/>
        </w:rPr>
        <w:t xml:space="preserve">CacheManagerCustomizer </w:t>
      </w:r>
      <w:r>
        <w:rPr>
          <w:color w:val="333333"/>
          <w:w w:val="110"/>
        </w:rPr>
        <w:t xml:space="preserve">interface. The following example sets a flag to say that </w:t>
      </w:r>
      <w:r>
        <w:rPr>
          <w:rFonts w:ascii="MS Gothic"/>
          <w:color w:val="B02045"/>
          <w:w w:val="110"/>
        </w:rPr>
        <w:t xml:space="preserve">null </w:t>
      </w:r>
      <w:r>
        <w:rPr>
          <w:color w:val="333333"/>
          <w:w w:val="110"/>
        </w:rPr>
        <w:t>values should be passed down to the underlying map:</w:t>
      </w:r>
    </w:p>
    <w:p w14:paraId="53E2F8E9" w14:textId="77777777" w:rsidR="00A720EB" w:rsidRDefault="00E10349">
      <w:pPr>
        <w:pStyle w:val="a3"/>
        <w:spacing w:before="2"/>
        <w:rPr>
          <w:sz w:val="14"/>
        </w:rPr>
      </w:pPr>
      <w:r>
        <w:pict w14:anchorId="60BC80A4">
          <v:group id="_x0000_s3956" style="position:absolute;margin-left:47.85pt;margin-top:10.3pt;width:499.55pt;height:155.45pt;z-index:-15434752;mso-wrap-distance-left:0;mso-wrap-distance-right:0;mso-position-horizontal-relative:page" coordorigin="957,206" coordsize="9991,3109">
            <v:shape id="_x0000_s3959" style="position:absolute;left:964;top:213;width:9976;height:3094" coordorigin="965,213" coordsize="9976,3094" path="m10861,213r-9816,l1014,220r-26,17l971,262r-6,31l965,3227r6,31l988,3283r26,17l1045,3307r9816,l10892,3300r25,-17l10935,3258r6,-31l10941,293r-6,-31l10917,237r-25,-17l10861,213xe" fillcolor="#f5f5f5" stroked="f">
              <v:path arrowok="t"/>
            </v:shape>
            <v:shape id="_x0000_s3958" style="position:absolute;left:964;top:213;width:9976;height:3094" coordorigin="965,213" coordsize="9976,3094" path="m1045,213r9816,l10892,220r25,17l10935,262r6,31l10941,3227r-6,31l10917,3283r-25,17l10861,3307r-9816,l1014,3300r-26,-17l971,3258r-6,-31l965,293r6,-31l988,237r26,-17l1045,213xe" filled="f" strokecolor="#ccc">
              <v:path arrowok="t"/>
            </v:shape>
            <v:shape id="_x0000_s3957" type="#_x0000_t202" style="position:absolute;left:984;top:228;width:9938;height:3063" filled="f" stroked="f">
              <v:textbox inset="0,0,0,0">
                <w:txbxContent>
                  <w:p w14:paraId="3CE6D783" w14:textId="77777777" w:rsidR="00711A16" w:rsidRDefault="00711A16">
                    <w:pPr>
                      <w:spacing w:before="221"/>
                      <w:ind w:left="200"/>
                      <w:rPr>
                        <w:rFonts w:ascii="MS Gothic"/>
                      </w:rPr>
                    </w:pPr>
                    <w:r>
                      <w:rPr>
                        <w:rFonts w:ascii="MS Gothic"/>
                        <w:color w:val="333333"/>
                      </w:rPr>
                      <w:t>@Bean</w:t>
                    </w:r>
                  </w:p>
                  <w:p w14:paraId="7EE68F75" w14:textId="77777777" w:rsidR="00711A16" w:rsidRDefault="00711A16">
                    <w:pPr>
                      <w:spacing w:before="13" w:line="252" w:lineRule="auto"/>
                      <w:ind w:left="640" w:right="588" w:hanging="440"/>
                      <w:rPr>
                        <w:rFonts w:ascii="MS Gothic"/>
                      </w:rPr>
                    </w:pPr>
                    <w:r>
                      <w:rPr>
                        <w:rFonts w:ascii="MS Gothic"/>
                        <w:color w:val="333333"/>
                      </w:rPr>
                      <w:t xml:space="preserve">public CacheManagerCustomizer&lt;ConcurrentMapCacheManager&gt; </w:t>
                    </w:r>
                    <w:proofErr w:type="gramStart"/>
                    <w:r>
                      <w:rPr>
                        <w:rFonts w:ascii="MS Gothic"/>
                        <w:color w:val="333333"/>
                      </w:rPr>
                      <w:t>cacheManagerCustomizer(</w:t>
                    </w:r>
                    <w:proofErr w:type="gramEnd"/>
                    <w:r>
                      <w:rPr>
                        <w:rFonts w:ascii="MS Gothic"/>
                        <w:color w:val="333333"/>
                      </w:rPr>
                      <w:t>) { return new CacheManagerCustomizer&lt;ConcurrentMapCacheManager&gt;() {</w:t>
                    </w:r>
                  </w:p>
                  <w:p w14:paraId="6E1A860B" w14:textId="77777777" w:rsidR="00711A16" w:rsidRDefault="00711A16">
                    <w:pPr>
                      <w:spacing w:line="280" w:lineRule="exact"/>
                      <w:ind w:left="1080"/>
                      <w:rPr>
                        <w:rFonts w:ascii="MS Gothic"/>
                      </w:rPr>
                    </w:pPr>
                    <w:r>
                      <w:rPr>
                        <w:rFonts w:ascii="MS Gothic"/>
                        <w:color w:val="333333"/>
                      </w:rPr>
                      <w:t>@Override</w:t>
                    </w:r>
                  </w:p>
                  <w:p w14:paraId="0A954EA8" w14:textId="77777777" w:rsidR="00711A16" w:rsidRDefault="00711A16">
                    <w:pPr>
                      <w:spacing w:before="13" w:line="252" w:lineRule="auto"/>
                      <w:ind w:left="1520" w:right="1908" w:hanging="4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ConcurrentMapCacheManager cacheManager) { cacheManager.setAllowNullValues(false);</w:t>
                    </w:r>
                  </w:p>
                  <w:p w14:paraId="1CF743D9" w14:textId="77777777" w:rsidR="00711A16" w:rsidRDefault="00711A16">
                    <w:pPr>
                      <w:spacing w:line="280" w:lineRule="exact"/>
                      <w:ind w:left="1080"/>
                      <w:rPr>
                        <w:rFonts w:ascii="MS Gothic"/>
                      </w:rPr>
                    </w:pPr>
                    <w:r>
                      <w:rPr>
                        <w:rFonts w:ascii="MS Gothic"/>
                        <w:color w:val="333333"/>
                      </w:rPr>
                      <w:t>}</w:t>
                    </w:r>
                  </w:p>
                  <w:p w14:paraId="54F293E1" w14:textId="77777777" w:rsidR="00711A16" w:rsidRDefault="00711A16">
                    <w:pPr>
                      <w:spacing w:before="13"/>
                      <w:ind w:left="640"/>
                      <w:rPr>
                        <w:rFonts w:ascii="MS Gothic"/>
                      </w:rPr>
                    </w:pPr>
                    <w:r>
                      <w:rPr>
                        <w:rFonts w:ascii="MS Gothic"/>
                        <w:color w:val="333333"/>
                      </w:rPr>
                      <w:t>};</w:t>
                    </w:r>
                  </w:p>
                  <w:p w14:paraId="791FF37B" w14:textId="77777777" w:rsidR="00711A16" w:rsidRDefault="00711A16">
                    <w:pPr>
                      <w:spacing w:before="12"/>
                      <w:ind w:left="200"/>
                      <w:rPr>
                        <w:rFonts w:ascii="MS Gothic"/>
                      </w:rPr>
                    </w:pPr>
                    <w:r>
                      <w:rPr>
                        <w:rFonts w:ascii="MS Gothic"/>
                        <w:color w:val="333333"/>
                      </w:rPr>
                      <w:t>}</w:t>
                    </w:r>
                  </w:p>
                </w:txbxContent>
              </v:textbox>
            </v:shape>
            <w10:wrap type="topAndBottom" anchorx="page"/>
          </v:group>
        </w:pict>
      </w:r>
    </w:p>
    <w:p w14:paraId="4573F2F6" w14:textId="77777777" w:rsidR="00A720EB" w:rsidRDefault="00A720EB">
      <w:pPr>
        <w:pStyle w:val="a3"/>
        <w:spacing w:before="8"/>
        <w:rPr>
          <w:sz w:val="16"/>
        </w:rPr>
      </w:pPr>
    </w:p>
    <w:p w14:paraId="0C3CABED" w14:textId="77777777" w:rsidR="00A720EB" w:rsidRDefault="00E10349">
      <w:pPr>
        <w:pStyle w:val="a3"/>
        <w:spacing w:before="116" w:line="300" w:lineRule="auto"/>
        <w:ind w:left="1564" w:right="362"/>
        <w:jc w:val="both"/>
      </w:pPr>
      <w:r>
        <w:pict w14:anchorId="3A9FFEC4">
          <v:line id="_x0000_s3955" style="position:absolute;left:0;text-align:left;z-index:16024576;mso-position-horizontal-relative:page" from="108.25pt,.35pt" to="108.25pt,87.25pt" strokecolor="#ededed" strokeweight=".5pt">
            <w10:wrap anchorx="page"/>
          </v:line>
        </w:pict>
      </w:r>
      <w:r w:rsidR="0030286B">
        <w:rPr>
          <w:noProof/>
        </w:rPr>
        <w:drawing>
          <wp:anchor distT="0" distB="0" distL="0" distR="0" simplePos="0" relativeHeight="16025088" behindDoc="0" locked="0" layoutInCell="1" allowOverlap="1" wp14:anchorId="26FD65A5" wp14:editId="62312682">
            <wp:simplePos x="0" y="0"/>
            <wp:positionH relativeFrom="page">
              <wp:posOffset>844422</wp:posOffset>
            </wp:positionH>
            <wp:positionV relativeFrom="paragraph">
              <wp:posOffset>406857</wp:posOffset>
            </wp:positionV>
            <wp:extent cx="298450" cy="298450"/>
            <wp:effectExtent l="0" t="0" r="0" b="0"/>
            <wp:wrapNone/>
            <wp:docPr id="3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In the preceding example, an auto-configured </w:t>
      </w:r>
      <w:r w:rsidR="0030286B">
        <w:rPr>
          <w:rFonts w:ascii="MS Gothic"/>
          <w:color w:val="B02045"/>
          <w:w w:val="110"/>
        </w:rPr>
        <w:t xml:space="preserve">ConcurrentMapCacheManager </w:t>
      </w:r>
      <w:r w:rsidR="0030286B">
        <w:rPr>
          <w:color w:val="333333"/>
          <w:w w:val="110"/>
        </w:rPr>
        <w:t xml:space="preserve">is expected. If that is not the case (either you provided your own config or a different cache provider was auto-configured), the customizer is not invoked at all. </w:t>
      </w:r>
      <w:r w:rsidR="0030286B">
        <w:rPr>
          <w:color w:val="333333"/>
          <w:spacing w:val="-6"/>
          <w:w w:val="110"/>
        </w:rPr>
        <w:t xml:space="preserve">You </w:t>
      </w:r>
      <w:r w:rsidR="0030286B">
        <w:rPr>
          <w:color w:val="333333"/>
          <w:w w:val="110"/>
        </w:rPr>
        <w:t xml:space="preserve">can have as many customizers as you want, and you can also order them </w:t>
      </w:r>
      <w:proofErr w:type="gramStart"/>
      <w:r w:rsidR="0030286B">
        <w:rPr>
          <w:color w:val="333333"/>
          <w:spacing w:val="-3"/>
          <w:w w:val="110"/>
        </w:rPr>
        <w:t xml:space="preserve">by  </w:t>
      </w:r>
      <w:r w:rsidR="0030286B">
        <w:rPr>
          <w:color w:val="333333"/>
          <w:w w:val="110"/>
        </w:rPr>
        <w:t>using</w:t>
      </w:r>
      <w:proofErr w:type="gramEnd"/>
      <w:r w:rsidR="0030286B">
        <w:rPr>
          <w:color w:val="333333"/>
          <w:w w:val="110"/>
        </w:rPr>
        <w:t xml:space="preserve"> </w:t>
      </w:r>
      <w:r w:rsidR="0030286B">
        <w:rPr>
          <w:rFonts w:ascii="MS Gothic"/>
          <w:color w:val="B02045"/>
          <w:w w:val="110"/>
        </w:rPr>
        <w:t>@Order</w:t>
      </w:r>
      <w:r w:rsidR="0030286B">
        <w:rPr>
          <w:rFonts w:ascii="MS Gothic"/>
          <w:color w:val="B02045"/>
          <w:spacing w:val="-61"/>
          <w:w w:val="110"/>
        </w:rPr>
        <w:t xml:space="preserve"> </w:t>
      </w:r>
      <w:r w:rsidR="0030286B">
        <w:rPr>
          <w:color w:val="333333"/>
          <w:w w:val="110"/>
        </w:rPr>
        <w:t xml:space="preserve">or </w:t>
      </w:r>
      <w:r w:rsidR="0030286B">
        <w:rPr>
          <w:rFonts w:ascii="MS Gothic"/>
          <w:color w:val="B02045"/>
          <w:w w:val="110"/>
        </w:rPr>
        <w:t>Ordered</w:t>
      </w:r>
      <w:r w:rsidR="0030286B">
        <w:rPr>
          <w:color w:val="333333"/>
          <w:w w:val="110"/>
        </w:rPr>
        <w:t>.</w:t>
      </w:r>
    </w:p>
    <w:p w14:paraId="0E9C4D6F" w14:textId="77777777" w:rsidR="00A720EB" w:rsidRDefault="00A720EB">
      <w:pPr>
        <w:pStyle w:val="a3"/>
        <w:spacing w:before="11"/>
        <w:rPr>
          <w:sz w:val="22"/>
        </w:rPr>
      </w:pPr>
    </w:p>
    <w:p w14:paraId="1D5366DB" w14:textId="77777777" w:rsidR="00A720EB" w:rsidRDefault="0030286B">
      <w:pPr>
        <w:pStyle w:val="4"/>
        <w:spacing w:before="104"/>
        <w:jc w:val="left"/>
      </w:pPr>
      <w:bookmarkStart w:id="388" w:name="Generic"/>
      <w:bookmarkEnd w:id="388"/>
      <w:r>
        <w:rPr>
          <w:color w:val="333333"/>
          <w:w w:val="110"/>
        </w:rPr>
        <w:t>Generic</w:t>
      </w:r>
    </w:p>
    <w:p w14:paraId="239D96A2" w14:textId="77777777" w:rsidR="00A720EB" w:rsidRDefault="0030286B">
      <w:pPr>
        <w:pStyle w:val="a3"/>
        <w:spacing w:before="233"/>
        <w:ind w:left="124"/>
        <w:jc w:val="both"/>
      </w:pPr>
      <w:r>
        <w:rPr>
          <w:color w:val="333333"/>
          <w:w w:val="115"/>
        </w:rPr>
        <w:t>Generic</w:t>
      </w:r>
      <w:r>
        <w:rPr>
          <w:color w:val="333333"/>
          <w:spacing w:val="-27"/>
          <w:w w:val="115"/>
        </w:rPr>
        <w:t xml:space="preserve"> </w:t>
      </w:r>
      <w:r>
        <w:rPr>
          <w:color w:val="333333"/>
          <w:w w:val="115"/>
        </w:rPr>
        <w:t>caching</w:t>
      </w:r>
      <w:r>
        <w:rPr>
          <w:color w:val="333333"/>
          <w:spacing w:val="-26"/>
          <w:w w:val="115"/>
        </w:rPr>
        <w:t xml:space="preserve"> </w:t>
      </w:r>
      <w:r>
        <w:rPr>
          <w:color w:val="333333"/>
          <w:w w:val="115"/>
        </w:rPr>
        <w:t>is</w:t>
      </w:r>
      <w:r>
        <w:rPr>
          <w:color w:val="333333"/>
          <w:spacing w:val="-26"/>
          <w:w w:val="115"/>
        </w:rPr>
        <w:t xml:space="preserve"> </w:t>
      </w:r>
      <w:r>
        <w:rPr>
          <w:color w:val="333333"/>
          <w:w w:val="115"/>
        </w:rPr>
        <w:t>used</w:t>
      </w:r>
      <w:r>
        <w:rPr>
          <w:color w:val="333333"/>
          <w:spacing w:val="-26"/>
          <w:w w:val="115"/>
        </w:rPr>
        <w:t xml:space="preserve"> </w:t>
      </w:r>
      <w:r>
        <w:rPr>
          <w:color w:val="333333"/>
          <w:w w:val="115"/>
        </w:rPr>
        <w:t>if</w:t>
      </w:r>
      <w:r>
        <w:rPr>
          <w:color w:val="333333"/>
          <w:spacing w:val="-27"/>
          <w:w w:val="115"/>
        </w:rPr>
        <w:t xml:space="preserve"> </w:t>
      </w:r>
      <w:r>
        <w:rPr>
          <w:color w:val="333333"/>
          <w:w w:val="115"/>
        </w:rPr>
        <w:t>the</w:t>
      </w:r>
      <w:r>
        <w:rPr>
          <w:color w:val="333333"/>
          <w:spacing w:val="-26"/>
          <w:w w:val="115"/>
        </w:rPr>
        <w:t xml:space="preserve"> </w:t>
      </w:r>
      <w:r>
        <w:rPr>
          <w:color w:val="333333"/>
          <w:w w:val="115"/>
        </w:rPr>
        <w:t>context</w:t>
      </w:r>
      <w:r>
        <w:rPr>
          <w:color w:val="333333"/>
          <w:spacing w:val="-26"/>
          <w:w w:val="115"/>
        </w:rPr>
        <w:t xml:space="preserve"> </w:t>
      </w:r>
      <w:r>
        <w:rPr>
          <w:color w:val="333333"/>
          <w:w w:val="115"/>
        </w:rPr>
        <w:t>defines</w:t>
      </w:r>
      <w:r>
        <w:rPr>
          <w:color w:val="333333"/>
          <w:spacing w:val="-24"/>
          <w:w w:val="115"/>
        </w:rPr>
        <w:t xml:space="preserve"> </w:t>
      </w:r>
      <w:r>
        <w:rPr>
          <w:rFonts w:ascii="Palatino Linotype"/>
          <w:i/>
          <w:color w:val="333333"/>
          <w:w w:val="115"/>
        </w:rPr>
        <w:t>at</w:t>
      </w:r>
      <w:r>
        <w:rPr>
          <w:rFonts w:ascii="Palatino Linotype"/>
          <w:i/>
          <w:color w:val="333333"/>
          <w:spacing w:val="-33"/>
          <w:w w:val="115"/>
        </w:rPr>
        <w:t xml:space="preserve"> </w:t>
      </w:r>
      <w:r>
        <w:rPr>
          <w:rFonts w:ascii="Palatino Linotype"/>
          <w:i/>
          <w:color w:val="333333"/>
          <w:w w:val="115"/>
        </w:rPr>
        <w:t>least</w:t>
      </w:r>
      <w:r>
        <w:rPr>
          <w:rFonts w:ascii="Palatino Linotype"/>
          <w:i/>
          <w:color w:val="333333"/>
          <w:spacing w:val="-33"/>
          <w:w w:val="115"/>
        </w:rPr>
        <w:t xml:space="preserve"> </w:t>
      </w:r>
      <w:r>
        <w:rPr>
          <w:color w:val="333333"/>
          <w:w w:val="115"/>
        </w:rPr>
        <w:t>one</w:t>
      </w:r>
      <w:r>
        <w:rPr>
          <w:color w:val="333333"/>
          <w:spacing w:val="-26"/>
          <w:w w:val="115"/>
        </w:rPr>
        <w:t xml:space="preserve"> </w:t>
      </w:r>
      <w:proofErr w:type="gramStart"/>
      <w:r>
        <w:rPr>
          <w:rFonts w:ascii="MS Gothic"/>
          <w:color w:val="B02045"/>
          <w:w w:val="115"/>
        </w:rPr>
        <w:t>org.springframework</w:t>
      </w:r>
      <w:proofErr w:type="gramEnd"/>
      <w:r>
        <w:rPr>
          <w:rFonts w:ascii="MS Gothic"/>
          <w:color w:val="B02045"/>
          <w:w w:val="115"/>
        </w:rPr>
        <w:t>.cache.Cache</w:t>
      </w:r>
      <w:r>
        <w:rPr>
          <w:rFonts w:ascii="MS Gothic"/>
          <w:color w:val="B02045"/>
          <w:spacing w:val="-94"/>
          <w:w w:val="115"/>
        </w:rPr>
        <w:t xml:space="preserve"> </w:t>
      </w:r>
      <w:r>
        <w:rPr>
          <w:color w:val="333333"/>
          <w:w w:val="115"/>
        </w:rPr>
        <w:t>bean.</w:t>
      </w:r>
      <w:r>
        <w:rPr>
          <w:color w:val="333333"/>
          <w:spacing w:val="-26"/>
          <w:w w:val="115"/>
        </w:rPr>
        <w:t xml:space="preserve"> </w:t>
      </w:r>
      <w:r>
        <w:rPr>
          <w:color w:val="333333"/>
          <w:w w:val="115"/>
        </w:rPr>
        <w:t>A</w:t>
      </w:r>
    </w:p>
    <w:p w14:paraId="6FA88BBB" w14:textId="77777777" w:rsidR="00A720EB" w:rsidRDefault="0030286B">
      <w:pPr>
        <w:pStyle w:val="a3"/>
        <w:spacing w:before="43"/>
        <w:ind w:left="124"/>
        <w:jc w:val="both"/>
      </w:pPr>
      <w:r>
        <w:rPr>
          <w:rFonts w:ascii="MS Gothic"/>
          <w:color w:val="B02045"/>
          <w:w w:val="110"/>
        </w:rPr>
        <w:t>CacheManager</w:t>
      </w:r>
      <w:r>
        <w:rPr>
          <w:rFonts w:ascii="MS Gothic"/>
          <w:color w:val="B02045"/>
          <w:spacing w:val="-51"/>
          <w:w w:val="110"/>
        </w:rPr>
        <w:t xml:space="preserve"> </w:t>
      </w:r>
      <w:r>
        <w:rPr>
          <w:color w:val="333333"/>
          <w:w w:val="110"/>
        </w:rPr>
        <w:t>wrapping all beans of that type is created.</w:t>
      </w:r>
    </w:p>
    <w:p w14:paraId="30057EB2" w14:textId="77777777" w:rsidR="00A720EB" w:rsidRDefault="00A720EB">
      <w:pPr>
        <w:pStyle w:val="a3"/>
        <w:spacing w:before="5"/>
        <w:rPr>
          <w:sz w:val="30"/>
        </w:rPr>
      </w:pPr>
    </w:p>
    <w:p w14:paraId="5DDA2C95" w14:textId="77777777" w:rsidR="00A720EB" w:rsidRDefault="0030286B">
      <w:pPr>
        <w:pStyle w:val="4"/>
        <w:spacing w:before="1"/>
        <w:jc w:val="left"/>
      </w:pPr>
      <w:bookmarkStart w:id="389" w:name="JCache_(JSR-107)"/>
      <w:bookmarkEnd w:id="389"/>
      <w:r>
        <w:rPr>
          <w:color w:val="333333"/>
          <w:w w:val="105"/>
        </w:rPr>
        <w:t>JCache (JSR-107)</w:t>
      </w:r>
    </w:p>
    <w:p w14:paraId="15ED39A1" w14:textId="77777777" w:rsidR="00A720EB" w:rsidRDefault="00E10349">
      <w:pPr>
        <w:pStyle w:val="a3"/>
        <w:spacing w:before="243" w:line="290" w:lineRule="auto"/>
        <w:ind w:left="124" w:right="122"/>
        <w:jc w:val="both"/>
      </w:pPr>
      <w:hyperlink r:id="rId270">
        <w:r w:rsidR="0030286B">
          <w:rPr>
            <w:color w:val="418BCA"/>
            <w:w w:val="110"/>
          </w:rPr>
          <w:t>JCache</w:t>
        </w:r>
        <w:r w:rsidR="0030286B">
          <w:rPr>
            <w:color w:val="418BCA"/>
            <w:spacing w:val="-13"/>
            <w:w w:val="110"/>
          </w:rPr>
          <w:t xml:space="preserve"> </w:t>
        </w:r>
      </w:hyperlink>
      <w:r w:rsidR="0030286B">
        <w:rPr>
          <w:color w:val="333333"/>
          <w:w w:val="110"/>
        </w:rPr>
        <w:t>is</w:t>
      </w:r>
      <w:r w:rsidR="0030286B">
        <w:rPr>
          <w:color w:val="333333"/>
          <w:spacing w:val="-13"/>
          <w:w w:val="110"/>
        </w:rPr>
        <w:t xml:space="preserve"> </w:t>
      </w:r>
      <w:r w:rsidR="0030286B">
        <w:rPr>
          <w:color w:val="333333"/>
          <w:w w:val="110"/>
        </w:rPr>
        <w:t>bootstrapped</w:t>
      </w:r>
      <w:r w:rsidR="0030286B">
        <w:rPr>
          <w:color w:val="333333"/>
          <w:spacing w:val="-13"/>
          <w:w w:val="110"/>
        </w:rPr>
        <w:t xml:space="preserve"> </w:t>
      </w:r>
      <w:r w:rsidR="0030286B">
        <w:rPr>
          <w:color w:val="333333"/>
          <w:w w:val="110"/>
        </w:rPr>
        <w:t>through</w:t>
      </w:r>
      <w:r w:rsidR="0030286B">
        <w:rPr>
          <w:color w:val="333333"/>
          <w:spacing w:val="-13"/>
          <w:w w:val="110"/>
        </w:rPr>
        <w:t xml:space="preserve"> </w:t>
      </w:r>
      <w:r w:rsidR="0030286B">
        <w:rPr>
          <w:color w:val="333333"/>
          <w:w w:val="110"/>
        </w:rPr>
        <w:t>the</w:t>
      </w:r>
      <w:r w:rsidR="0030286B">
        <w:rPr>
          <w:color w:val="333333"/>
          <w:spacing w:val="-14"/>
          <w:w w:val="110"/>
        </w:rPr>
        <w:t xml:space="preserve"> </w:t>
      </w:r>
      <w:r w:rsidR="0030286B">
        <w:rPr>
          <w:color w:val="333333"/>
          <w:w w:val="110"/>
        </w:rPr>
        <w:t>presence</w:t>
      </w:r>
      <w:r w:rsidR="0030286B">
        <w:rPr>
          <w:color w:val="333333"/>
          <w:spacing w:val="-13"/>
          <w:w w:val="110"/>
        </w:rPr>
        <w:t xml:space="preserve"> </w:t>
      </w:r>
      <w:r w:rsidR="0030286B">
        <w:rPr>
          <w:color w:val="333333"/>
          <w:w w:val="110"/>
        </w:rPr>
        <w:t>of</w:t>
      </w:r>
      <w:r w:rsidR="0030286B">
        <w:rPr>
          <w:color w:val="333333"/>
          <w:spacing w:val="-13"/>
          <w:w w:val="110"/>
        </w:rPr>
        <w:t xml:space="preserve"> </w:t>
      </w:r>
      <w:r w:rsidR="0030286B">
        <w:rPr>
          <w:color w:val="333333"/>
          <w:w w:val="110"/>
        </w:rPr>
        <w:t>a</w:t>
      </w:r>
      <w:r w:rsidR="0030286B">
        <w:rPr>
          <w:color w:val="333333"/>
          <w:spacing w:val="-10"/>
          <w:w w:val="110"/>
        </w:rPr>
        <w:t xml:space="preserve"> </w:t>
      </w:r>
      <w:proofErr w:type="gramStart"/>
      <w:r w:rsidR="0030286B">
        <w:rPr>
          <w:rFonts w:ascii="MS Gothic" w:hAnsi="MS Gothic"/>
          <w:color w:val="B02045"/>
          <w:w w:val="110"/>
        </w:rPr>
        <w:t>javax.cache.spi.CachingProvider</w:t>
      </w:r>
      <w:proofErr w:type="gramEnd"/>
      <w:r w:rsidR="0030286B">
        <w:rPr>
          <w:rFonts w:ascii="MS Gothic" w:hAnsi="MS Gothic"/>
          <w:color w:val="B02045"/>
          <w:spacing w:val="-78"/>
          <w:w w:val="110"/>
        </w:rPr>
        <w:t xml:space="preserve"> </w:t>
      </w:r>
      <w:r w:rsidR="0030286B">
        <w:rPr>
          <w:color w:val="333333"/>
          <w:w w:val="110"/>
        </w:rPr>
        <w:t>on</w:t>
      </w:r>
      <w:r w:rsidR="0030286B">
        <w:rPr>
          <w:color w:val="333333"/>
          <w:spacing w:val="-13"/>
          <w:w w:val="110"/>
        </w:rPr>
        <w:t xml:space="preserve"> </w:t>
      </w:r>
      <w:r w:rsidR="0030286B">
        <w:rPr>
          <w:color w:val="333333"/>
          <w:w w:val="110"/>
        </w:rPr>
        <w:t>the</w:t>
      </w:r>
      <w:r w:rsidR="0030286B">
        <w:rPr>
          <w:color w:val="333333"/>
          <w:spacing w:val="-13"/>
          <w:w w:val="110"/>
        </w:rPr>
        <w:t xml:space="preserve"> </w:t>
      </w:r>
      <w:r w:rsidR="0030286B">
        <w:rPr>
          <w:color w:val="333333"/>
          <w:w w:val="110"/>
        </w:rPr>
        <w:t xml:space="preserve">classpath (that is, a JSR-107 compliant caching library exists on the classpath), and the </w:t>
      </w:r>
      <w:r w:rsidR="0030286B">
        <w:rPr>
          <w:rFonts w:ascii="MS Gothic" w:hAnsi="MS Gothic"/>
          <w:color w:val="B02045"/>
          <w:w w:val="110"/>
        </w:rPr>
        <w:t xml:space="preserve">JCacheCacheManager </w:t>
      </w:r>
      <w:r w:rsidR="0030286B">
        <w:rPr>
          <w:color w:val="333333"/>
          <w:w w:val="110"/>
        </w:rPr>
        <w:t xml:space="preserve">is provided </w:t>
      </w:r>
      <w:r w:rsidR="0030286B">
        <w:rPr>
          <w:color w:val="333333"/>
          <w:spacing w:val="-3"/>
          <w:w w:val="110"/>
        </w:rPr>
        <w:t xml:space="preserve">by </w:t>
      </w:r>
      <w:r w:rsidR="0030286B">
        <w:rPr>
          <w:color w:val="333333"/>
          <w:w w:val="110"/>
        </w:rPr>
        <w:t xml:space="preserve">the </w:t>
      </w:r>
      <w:r w:rsidR="0030286B">
        <w:rPr>
          <w:rFonts w:ascii="MS Gothic" w:hAnsi="MS Gothic"/>
          <w:color w:val="B02045"/>
          <w:w w:val="110"/>
        </w:rPr>
        <w:t>spring-boot-starter-cache</w:t>
      </w:r>
      <w:r w:rsidR="0030286B">
        <w:rPr>
          <w:rFonts w:ascii="MS Gothic" w:hAnsi="MS Gothic"/>
          <w:color w:val="B02045"/>
          <w:spacing w:val="-66"/>
          <w:w w:val="110"/>
        </w:rPr>
        <w:t xml:space="preserve"> </w:t>
      </w:r>
      <w:r w:rsidR="0030286B">
        <w:rPr>
          <w:color w:val="333333"/>
          <w:w w:val="110"/>
        </w:rPr>
        <w:t xml:space="preserve">“Starter”. </w:t>
      </w:r>
      <w:r w:rsidR="0030286B">
        <w:rPr>
          <w:color w:val="333333"/>
          <w:spacing w:val="-3"/>
          <w:w w:val="110"/>
        </w:rPr>
        <w:t xml:space="preserve">Various </w:t>
      </w:r>
      <w:r w:rsidR="0030286B">
        <w:rPr>
          <w:color w:val="333333"/>
          <w:w w:val="110"/>
        </w:rPr>
        <w:t>compliant libraries are available, and Spring Boot provides dependency management for Ehcache 3, Hazelcast, and Infinispan. Any other compliant library can be added as</w:t>
      </w:r>
      <w:r w:rsidR="0030286B">
        <w:rPr>
          <w:color w:val="333333"/>
          <w:spacing w:val="18"/>
          <w:w w:val="110"/>
        </w:rPr>
        <w:t xml:space="preserve"> </w:t>
      </w:r>
      <w:r w:rsidR="0030286B">
        <w:rPr>
          <w:color w:val="333333"/>
          <w:w w:val="110"/>
        </w:rPr>
        <w:t>well.</w:t>
      </w:r>
    </w:p>
    <w:p w14:paraId="48C8A5BC" w14:textId="77777777" w:rsidR="00A720EB" w:rsidRDefault="00A720EB">
      <w:pPr>
        <w:pStyle w:val="a3"/>
        <w:spacing w:before="10"/>
      </w:pPr>
    </w:p>
    <w:p w14:paraId="548B0BBE" w14:textId="77777777" w:rsidR="00A720EB" w:rsidRDefault="0030286B">
      <w:pPr>
        <w:pStyle w:val="a3"/>
        <w:spacing w:line="307" w:lineRule="auto"/>
        <w:ind w:left="124" w:right="127"/>
        <w:jc w:val="both"/>
      </w:pPr>
      <w:r>
        <w:rPr>
          <w:color w:val="333333"/>
          <w:w w:val="110"/>
        </w:rPr>
        <w:t xml:space="preserve">It might happen that more than one provider is present, in which case the provider must </w:t>
      </w:r>
      <w:proofErr w:type="gramStart"/>
      <w:r>
        <w:rPr>
          <w:color w:val="333333"/>
          <w:w w:val="110"/>
        </w:rPr>
        <w:t>be  explicitly</w:t>
      </w:r>
      <w:proofErr w:type="gramEnd"/>
      <w:r>
        <w:rPr>
          <w:color w:val="333333"/>
          <w:w w:val="110"/>
        </w:rPr>
        <w:t xml:space="preserve"> specified. Even if the JSR-107 standard does not enforce a standardized way to define the location of the configuration file, Spring Boot does its best to accommodate setting a cache with implementation details, as shown in the following</w:t>
      </w:r>
      <w:r>
        <w:rPr>
          <w:color w:val="333333"/>
          <w:spacing w:val="24"/>
          <w:w w:val="110"/>
        </w:rPr>
        <w:t xml:space="preserve"> </w:t>
      </w:r>
      <w:r>
        <w:rPr>
          <w:color w:val="333333"/>
          <w:w w:val="110"/>
        </w:rPr>
        <w:t>example:</w:t>
      </w:r>
    </w:p>
    <w:p w14:paraId="754E47D2" w14:textId="77777777" w:rsidR="00A720EB" w:rsidRDefault="00E10349">
      <w:pPr>
        <w:pStyle w:val="a3"/>
        <w:spacing w:before="3"/>
        <w:rPr>
          <w:sz w:val="13"/>
        </w:rPr>
      </w:pPr>
      <w:r>
        <w:pict w14:anchorId="129F3294">
          <v:group id="_x0000_s3951" style="position:absolute;margin-left:47.85pt;margin-top:9.75pt;width:499.55pt;height:67pt;z-index:-15434240;mso-wrap-distance-left:0;mso-wrap-distance-right:0;mso-position-horizontal-relative:page" coordorigin="957,195" coordsize="9991,1340">
            <v:shape id="_x0000_s3954" style="position:absolute;left:964;top:202;width:9976;height:1325" coordorigin="965,202" coordsize="9976,1325" path="m10861,202r-9816,l1014,209r-26,17l971,251r-6,31l965,1447r6,31l988,1503r26,18l1045,1527r9816,l10892,1521r25,-18l10935,1478r6,-31l10941,282r-6,-31l10917,226r-25,-17l10861,202xe" fillcolor="#f5f5f5" stroked="f">
              <v:path arrowok="t"/>
            </v:shape>
            <v:shape id="_x0000_s3953" style="position:absolute;left:964;top:202;width:9976;height:1325" coordorigin="965,202" coordsize="9976,1325" path="m1045,202r9816,l10892,209r25,17l10935,251r6,31l10941,1447r-6,31l10917,1503r-25,18l10861,1527r-9816,l1014,1521r-26,-18l971,1478r-6,-31l965,282r6,-31l988,226r26,-17l1045,202xe" filled="f" strokecolor="#ccc">
              <v:path arrowok="t"/>
            </v:shape>
            <v:shape id="_x0000_s3952" type="#_x0000_t202" style="position:absolute;left:984;top:217;width:9938;height:1294" filled="f" stroked="f">
              <v:textbox inset="0,0,0,0">
                <w:txbxContent>
                  <w:p w14:paraId="1A2BDCAA" w14:textId="77777777" w:rsidR="00711A16" w:rsidRDefault="00711A16">
                    <w:pPr>
                      <w:spacing w:before="221" w:line="252" w:lineRule="auto"/>
                      <w:ind w:left="200" w:right="3668"/>
                      <w:rPr>
                        <w:rFonts w:ascii="MS Gothic"/>
                      </w:rPr>
                    </w:pPr>
                    <w:r>
                      <w:rPr>
                        <w:rFonts w:ascii="MS Gothic"/>
                        <w:color w:val="333333"/>
                      </w:rPr>
                      <w:t xml:space="preserve"># Only necessary if more than one provider is present </w:t>
                    </w:r>
                    <w:proofErr w:type="gramStart"/>
                    <w:r>
                      <w:rPr>
                        <w:rFonts w:ascii="MS Gothic"/>
                        <w:color w:val="333333"/>
                      </w:rPr>
                      <w:t>spring.cache</w:t>
                    </w:r>
                    <w:proofErr w:type="gramEnd"/>
                    <w:r>
                      <w:rPr>
                        <w:rFonts w:ascii="MS Gothic"/>
                        <w:color w:val="333333"/>
                      </w:rPr>
                      <w:t>.jcache.provider=com.acme.MyCachingProvider spring.cache.jcache.config=classpath:acme.xml</w:t>
                    </w:r>
                  </w:p>
                </w:txbxContent>
              </v:textbox>
            </v:shape>
            <w10:wrap type="topAndBottom" anchorx="page"/>
          </v:group>
        </w:pict>
      </w:r>
    </w:p>
    <w:p w14:paraId="57262E49" w14:textId="77777777" w:rsidR="00A720EB" w:rsidRDefault="00A720EB">
      <w:pPr>
        <w:rPr>
          <w:sz w:val="13"/>
        </w:rPr>
        <w:sectPr w:rsidR="00A720EB">
          <w:pgSz w:w="11910" w:h="16840"/>
          <w:pgMar w:top="700" w:right="840" w:bottom="520" w:left="840" w:header="0" w:footer="323" w:gutter="0"/>
          <w:cols w:space="720"/>
        </w:sectPr>
      </w:pPr>
    </w:p>
    <w:p w14:paraId="6ECA8F0B" w14:textId="77777777" w:rsidR="00A720EB" w:rsidRDefault="00E10349">
      <w:pPr>
        <w:pStyle w:val="a3"/>
        <w:spacing w:before="122" w:line="307" w:lineRule="auto"/>
        <w:ind w:left="1564" w:right="371"/>
        <w:jc w:val="both"/>
      </w:pPr>
      <w:r>
        <w:lastRenderedPageBreak/>
        <w:pict w14:anchorId="00641A15">
          <v:line id="_x0000_s3950" style="position:absolute;left:0;text-align:left;z-index:16026624;mso-position-horizontal-relative:page" from="108.25pt,.1pt" to="108.25pt,55.45pt" strokecolor="#ededed" strokeweight=".5pt">
            <w10:wrap anchorx="page"/>
          </v:line>
        </w:pict>
      </w:r>
      <w:r w:rsidR="0030286B">
        <w:rPr>
          <w:noProof/>
        </w:rPr>
        <w:drawing>
          <wp:anchor distT="0" distB="0" distL="0" distR="0" simplePos="0" relativeHeight="16027136" behindDoc="0" locked="0" layoutInCell="1" allowOverlap="1" wp14:anchorId="1B494197" wp14:editId="64660CE8">
            <wp:simplePos x="0" y="0"/>
            <wp:positionH relativeFrom="page">
              <wp:posOffset>844422</wp:posOffset>
            </wp:positionH>
            <wp:positionV relativeFrom="paragraph">
              <wp:posOffset>203620</wp:posOffset>
            </wp:positionV>
            <wp:extent cx="298450" cy="298450"/>
            <wp:effectExtent l="0" t="0" r="0" b="0"/>
            <wp:wrapNone/>
            <wp:docPr id="3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When a cache library offers both a native implementation and JSR-107 support, Spring Boot prefers the JSR-107 support, so that the same features are available if you switch to a different JSR-107 implementation.</w:t>
      </w:r>
    </w:p>
    <w:p w14:paraId="6BDE81BE" w14:textId="77777777" w:rsidR="00A720EB" w:rsidRDefault="00A720EB">
      <w:pPr>
        <w:pStyle w:val="a3"/>
        <w:spacing w:before="5"/>
        <w:rPr>
          <w:sz w:val="23"/>
        </w:rPr>
      </w:pPr>
    </w:p>
    <w:p w14:paraId="522453D4" w14:textId="77777777" w:rsidR="00A720EB" w:rsidRDefault="00E10349">
      <w:pPr>
        <w:pStyle w:val="a3"/>
        <w:spacing w:before="116" w:line="280" w:lineRule="auto"/>
        <w:ind w:left="1564" w:right="362"/>
        <w:jc w:val="both"/>
      </w:pPr>
      <w:r>
        <w:pict w14:anchorId="3A09FA59">
          <v:line id="_x0000_s3949" style="position:absolute;left:0;text-align:left;z-index:16027648;mso-position-horizontal-relative:page" from="108.25pt,.35pt" to="108.25pt,55.7pt" strokecolor="#ededed" strokeweight=".5pt">
            <w10:wrap anchorx="page"/>
          </v:line>
        </w:pict>
      </w:r>
      <w:r w:rsidR="0030286B">
        <w:rPr>
          <w:noProof/>
        </w:rPr>
        <w:drawing>
          <wp:anchor distT="0" distB="0" distL="0" distR="0" simplePos="0" relativeHeight="16028160" behindDoc="0" locked="0" layoutInCell="1" allowOverlap="1" wp14:anchorId="2BD5E88C" wp14:editId="48470FE3">
            <wp:simplePos x="0" y="0"/>
            <wp:positionH relativeFrom="page">
              <wp:posOffset>888949</wp:posOffset>
            </wp:positionH>
            <wp:positionV relativeFrom="paragraph">
              <wp:posOffset>203276</wp:posOffset>
            </wp:positionV>
            <wp:extent cx="209550" cy="304800"/>
            <wp:effectExtent l="0" t="0" r="0" b="0"/>
            <wp:wrapNone/>
            <wp:docPr id="37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Spring Boot has </w:t>
      </w:r>
      <w:hyperlink w:anchor="_bookmark297" w:history="1">
        <w:r w:rsidR="0030286B">
          <w:rPr>
            <w:color w:val="418BCA"/>
            <w:w w:val="110"/>
          </w:rPr>
          <w:t>general support for Hazelcast</w:t>
        </w:r>
      </w:hyperlink>
      <w:r w:rsidR="0030286B">
        <w:rPr>
          <w:color w:val="333333"/>
          <w:w w:val="110"/>
        </w:rPr>
        <w:t xml:space="preserve">. If a single </w:t>
      </w:r>
      <w:r w:rsidR="0030286B">
        <w:rPr>
          <w:rFonts w:ascii="MS Gothic"/>
          <w:color w:val="B02045"/>
          <w:w w:val="110"/>
        </w:rPr>
        <w:t xml:space="preserve">HazelcastInstance </w:t>
      </w:r>
      <w:r w:rsidR="0030286B">
        <w:rPr>
          <w:color w:val="333333"/>
          <w:w w:val="110"/>
        </w:rPr>
        <w:t xml:space="preserve">is available, it is automatically reused for the </w:t>
      </w:r>
      <w:r w:rsidR="0030286B">
        <w:rPr>
          <w:rFonts w:ascii="MS Gothic"/>
          <w:color w:val="B02045"/>
          <w:w w:val="110"/>
        </w:rPr>
        <w:t xml:space="preserve">CacheManager </w:t>
      </w:r>
      <w:r w:rsidR="0030286B">
        <w:rPr>
          <w:color w:val="333333"/>
          <w:w w:val="110"/>
        </w:rPr>
        <w:t xml:space="preserve">as well, unless the </w:t>
      </w:r>
      <w:proofErr w:type="gramStart"/>
      <w:r w:rsidR="0030286B">
        <w:rPr>
          <w:rFonts w:ascii="MS Gothic"/>
          <w:color w:val="B02045"/>
          <w:w w:val="110"/>
        </w:rPr>
        <w:t>spring.cache</w:t>
      </w:r>
      <w:proofErr w:type="gramEnd"/>
      <w:r w:rsidR="0030286B">
        <w:rPr>
          <w:rFonts w:ascii="MS Gothic"/>
          <w:color w:val="B02045"/>
          <w:w w:val="110"/>
        </w:rPr>
        <w:t>.jcache.config</w:t>
      </w:r>
      <w:r w:rsidR="0030286B">
        <w:rPr>
          <w:rFonts w:ascii="MS Gothic"/>
          <w:color w:val="B02045"/>
          <w:spacing w:val="-69"/>
          <w:w w:val="110"/>
        </w:rPr>
        <w:t xml:space="preserve"> </w:t>
      </w:r>
      <w:r w:rsidR="0030286B">
        <w:rPr>
          <w:color w:val="333333"/>
          <w:w w:val="110"/>
        </w:rPr>
        <w:t>property is specified.</w:t>
      </w:r>
    </w:p>
    <w:p w14:paraId="56B0C4F4" w14:textId="77777777" w:rsidR="00A720EB" w:rsidRDefault="00A720EB">
      <w:pPr>
        <w:pStyle w:val="a3"/>
        <w:spacing w:before="7"/>
        <w:rPr>
          <w:sz w:val="17"/>
        </w:rPr>
      </w:pPr>
    </w:p>
    <w:p w14:paraId="5680B5C8" w14:textId="77777777" w:rsidR="00A720EB" w:rsidRDefault="0030286B">
      <w:pPr>
        <w:pStyle w:val="a3"/>
        <w:spacing w:before="116"/>
        <w:ind w:left="124"/>
      </w:pPr>
      <w:r>
        <w:rPr>
          <w:color w:val="333333"/>
          <w:w w:val="110"/>
        </w:rPr>
        <w:t xml:space="preserve">There are two ways to customize the underlying </w:t>
      </w:r>
      <w:proofErr w:type="gramStart"/>
      <w:r>
        <w:rPr>
          <w:rFonts w:ascii="MS Gothic"/>
          <w:color w:val="B02045"/>
          <w:w w:val="110"/>
        </w:rPr>
        <w:t>javax.cache</w:t>
      </w:r>
      <w:proofErr w:type="gramEnd"/>
      <w:r>
        <w:rPr>
          <w:rFonts w:ascii="MS Gothic"/>
          <w:color w:val="B02045"/>
          <w:w w:val="110"/>
        </w:rPr>
        <w:t>.cacheManager</w:t>
      </w:r>
      <w:r>
        <w:rPr>
          <w:color w:val="333333"/>
          <w:w w:val="110"/>
        </w:rPr>
        <w:t>:</w:t>
      </w:r>
    </w:p>
    <w:p w14:paraId="22CA9E23" w14:textId="77777777" w:rsidR="00A720EB" w:rsidRDefault="00A720EB">
      <w:pPr>
        <w:pStyle w:val="a3"/>
        <w:spacing w:before="5"/>
        <w:rPr>
          <w:sz w:val="24"/>
        </w:rPr>
      </w:pPr>
    </w:p>
    <w:p w14:paraId="52216E72" w14:textId="77777777" w:rsidR="00A720EB" w:rsidRDefault="0030286B">
      <w:pPr>
        <w:pStyle w:val="a6"/>
        <w:numPr>
          <w:ilvl w:val="0"/>
          <w:numId w:val="39"/>
        </w:numPr>
        <w:tabs>
          <w:tab w:val="left" w:pos="485"/>
        </w:tabs>
        <w:rPr>
          <w:sz w:val="21"/>
        </w:rPr>
      </w:pPr>
      <w:r>
        <w:rPr>
          <w:color w:val="333333"/>
          <w:w w:val="110"/>
          <w:sz w:val="21"/>
        </w:rPr>
        <w:t xml:space="preserve">Caches can be created on startup </w:t>
      </w:r>
      <w:r>
        <w:rPr>
          <w:color w:val="333333"/>
          <w:spacing w:val="-3"/>
          <w:w w:val="110"/>
          <w:sz w:val="21"/>
        </w:rPr>
        <w:t xml:space="preserve">by </w:t>
      </w:r>
      <w:r>
        <w:rPr>
          <w:color w:val="333333"/>
          <w:w w:val="110"/>
          <w:sz w:val="21"/>
        </w:rPr>
        <w:t xml:space="preserve">setting the </w:t>
      </w:r>
      <w:proofErr w:type="gramStart"/>
      <w:r>
        <w:rPr>
          <w:rFonts w:ascii="MS Gothic" w:hAnsi="MS Gothic"/>
          <w:color w:val="B02045"/>
          <w:w w:val="110"/>
          <w:sz w:val="21"/>
        </w:rPr>
        <w:t>spring.cache</w:t>
      </w:r>
      <w:proofErr w:type="gramEnd"/>
      <w:r>
        <w:rPr>
          <w:rFonts w:ascii="MS Gothic" w:hAnsi="MS Gothic"/>
          <w:color w:val="B02045"/>
          <w:w w:val="110"/>
          <w:sz w:val="21"/>
        </w:rPr>
        <w:t xml:space="preserve">.cache-names </w:t>
      </w:r>
      <w:r>
        <w:rPr>
          <w:color w:val="333333"/>
          <w:spacing w:val="-3"/>
          <w:w w:val="110"/>
          <w:sz w:val="21"/>
        </w:rPr>
        <w:t xml:space="preserve">property. </w:t>
      </w:r>
      <w:r>
        <w:rPr>
          <w:color w:val="333333"/>
          <w:w w:val="110"/>
          <w:sz w:val="21"/>
        </w:rPr>
        <w:t>If a</w:t>
      </w:r>
      <w:r>
        <w:rPr>
          <w:color w:val="333333"/>
          <w:spacing w:val="25"/>
          <w:w w:val="110"/>
          <w:sz w:val="21"/>
        </w:rPr>
        <w:t xml:space="preserve"> </w:t>
      </w:r>
      <w:r>
        <w:rPr>
          <w:color w:val="333333"/>
          <w:w w:val="110"/>
          <w:sz w:val="21"/>
        </w:rPr>
        <w:t>custom</w:t>
      </w:r>
    </w:p>
    <w:p w14:paraId="6796DB10" w14:textId="77777777" w:rsidR="00A720EB" w:rsidRDefault="0030286B">
      <w:pPr>
        <w:pStyle w:val="a3"/>
        <w:spacing w:before="47"/>
        <w:ind w:left="484"/>
      </w:pPr>
      <w:proofErr w:type="gramStart"/>
      <w:r>
        <w:rPr>
          <w:rFonts w:ascii="MS Gothic"/>
          <w:color w:val="B02045"/>
          <w:w w:val="110"/>
        </w:rPr>
        <w:t>javax.cache</w:t>
      </w:r>
      <w:proofErr w:type="gramEnd"/>
      <w:r>
        <w:rPr>
          <w:rFonts w:ascii="MS Gothic"/>
          <w:color w:val="B02045"/>
          <w:w w:val="110"/>
        </w:rPr>
        <w:t>.configuration.Configuration</w:t>
      </w:r>
      <w:r>
        <w:rPr>
          <w:rFonts w:ascii="MS Gothic"/>
          <w:color w:val="B02045"/>
          <w:spacing w:val="-75"/>
          <w:w w:val="110"/>
        </w:rPr>
        <w:t xml:space="preserve"> </w:t>
      </w:r>
      <w:r>
        <w:rPr>
          <w:color w:val="333333"/>
          <w:w w:val="110"/>
        </w:rPr>
        <w:t>bean is defined, it is used to customize them.</w:t>
      </w:r>
    </w:p>
    <w:p w14:paraId="215ED1E0" w14:textId="77777777" w:rsidR="00A720EB" w:rsidRDefault="0030286B">
      <w:pPr>
        <w:pStyle w:val="a6"/>
        <w:numPr>
          <w:ilvl w:val="0"/>
          <w:numId w:val="39"/>
        </w:numPr>
        <w:tabs>
          <w:tab w:val="left" w:pos="485"/>
        </w:tabs>
        <w:spacing w:before="166" w:line="280" w:lineRule="auto"/>
        <w:ind w:right="125"/>
        <w:rPr>
          <w:sz w:val="21"/>
        </w:rPr>
      </w:pPr>
      <w:proofErr w:type="gramStart"/>
      <w:r>
        <w:rPr>
          <w:rFonts w:ascii="MS Gothic" w:hAnsi="MS Gothic"/>
          <w:color w:val="B02045"/>
          <w:sz w:val="21"/>
        </w:rPr>
        <w:t>org.springframework</w:t>
      </w:r>
      <w:proofErr w:type="gramEnd"/>
      <w:r>
        <w:rPr>
          <w:rFonts w:ascii="MS Gothic" w:hAnsi="MS Gothic"/>
          <w:color w:val="B02045"/>
          <w:sz w:val="21"/>
        </w:rPr>
        <w:t xml:space="preserve">.boot.autoconfigure.cache.JCacheManagerCustomizer </w:t>
      </w:r>
      <w:r>
        <w:rPr>
          <w:color w:val="333333"/>
          <w:sz w:val="21"/>
        </w:rPr>
        <w:t xml:space="preserve">beans are invoked with </w:t>
      </w:r>
      <w:r>
        <w:rPr>
          <w:color w:val="333333"/>
          <w:w w:val="110"/>
          <w:sz w:val="21"/>
        </w:rPr>
        <w:t xml:space="preserve">the reference of the </w:t>
      </w:r>
      <w:r>
        <w:rPr>
          <w:rFonts w:ascii="MS Gothic" w:hAnsi="MS Gothic"/>
          <w:color w:val="B02045"/>
          <w:w w:val="110"/>
          <w:sz w:val="21"/>
        </w:rPr>
        <w:t>CacheManager</w:t>
      </w:r>
      <w:r>
        <w:rPr>
          <w:rFonts w:ascii="MS Gothic" w:hAnsi="MS Gothic"/>
          <w:color w:val="B02045"/>
          <w:spacing w:val="-48"/>
          <w:w w:val="110"/>
          <w:sz w:val="21"/>
        </w:rPr>
        <w:t xml:space="preserve"> </w:t>
      </w:r>
      <w:r>
        <w:rPr>
          <w:color w:val="333333"/>
          <w:w w:val="110"/>
          <w:sz w:val="21"/>
        </w:rPr>
        <w:t>for full customization.</w:t>
      </w:r>
    </w:p>
    <w:p w14:paraId="4DA648C7" w14:textId="77777777" w:rsidR="00A720EB" w:rsidRDefault="00A720EB">
      <w:pPr>
        <w:pStyle w:val="a3"/>
        <w:spacing w:before="7"/>
        <w:rPr>
          <w:sz w:val="17"/>
        </w:rPr>
      </w:pPr>
    </w:p>
    <w:p w14:paraId="7F42E24A" w14:textId="77777777" w:rsidR="00A720EB" w:rsidRDefault="00E10349">
      <w:pPr>
        <w:pStyle w:val="a3"/>
        <w:spacing w:before="116" w:line="285" w:lineRule="auto"/>
        <w:ind w:left="1564" w:right="367"/>
        <w:jc w:val="both"/>
      </w:pPr>
      <w:r>
        <w:pict w14:anchorId="693946D0">
          <v:line id="_x0000_s3948" style="position:absolute;left:0;text-align:left;z-index:16028672;mso-position-horizontal-relative:page" from="108.25pt,.35pt" to="108.25pt,55.7pt" strokecolor="#ededed" strokeweight=".5pt">
            <w10:wrap anchorx="page"/>
          </v:line>
        </w:pict>
      </w:r>
      <w:r w:rsidR="0030286B">
        <w:rPr>
          <w:noProof/>
        </w:rPr>
        <w:drawing>
          <wp:anchor distT="0" distB="0" distL="0" distR="0" simplePos="0" relativeHeight="16029184" behindDoc="0" locked="0" layoutInCell="1" allowOverlap="1" wp14:anchorId="555E811D" wp14:editId="258C106D">
            <wp:simplePos x="0" y="0"/>
            <wp:positionH relativeFrom="page">
              <wp:posOffset>888949</wp:posOffset>
            </wp:positionH>
            <wp:positionV relativeFrom="paragraph">
              <wp:posOffset>203276</wp:posOffset>
            </wp:positionV>
            <wp:extent cx="209550" cy="304800"/>
            <wp:effectExtent l="0" t="0" r="0" b="0"/>
            <wp:wrapNone/>
            <wp:docPr id="38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If</w:t>
      </w:r>
      <w:r w:rsidR="0030286B">
        <w:rPr>
          <w:color w:val="333333"/>
          <w:spacing w:val="-13"/>
          <w:w w:val="110"/>
        </w:rPr>
        <w:t xml:space="preserve"> </w:t>
      </w:r>
      <w:r w:rsidR="0030286B">
        <w:rPr>
          <w:color w:val="333333"/>
          <w:w w:val="110"/>
        </w:rPr>
        <w:t>a</w:t>
      </w:r>
      <w:r w:rsidR="0030286B">
        <w:rPr>
          <w:color w:val="333333"/>
          <w:spacing w:val="-12"/>
          <w:w w:val="110"/>
        </w:rPr>
        <w:t xml:space="preserve"> </w:t>
      </w:r>
      <w:r w:rsidR="0030286B">
        <w:rPr>
          <w:color w:val="333333"/>
          <w:w w:val="110"/>
        </w:rPr>
        <w:t>standard</w:t>
      </w:r>
      <w:r w:rsidR="0030286B">
        <w:rPr>
          <w:color w:val="333333"/>
          <w:spacing w:val="-13"/>
          <w:w w:val="110"/>
        </w:rPr>
        <w:t xml:space="preserve"> </w:t>
      </w:r>
      <w:proofErr w:type="gramStart"/>
      <w:r w:rsidR="0030286B">
        <w:rPr>
          <w:rFonts w:ascii="MS Gothic"/>
          <w:color w:val="B02045"/>
          <w:w w:val="110"/>
        </w:rPr>
        <w:t>javax.cache</w:t>
      </w:r>
      <w:proofErr w:type="gramEnd"/>
      <w:r w:rsidR="0030286B">
        <w:rPr>
          <w:rFonts w:ascii="MS Gothic"/>
          <w:color w:val="B02045"/>
          <w:w w:val="110"/>
        </w:rPr>
        <w:t>.CacheManager</w:t>
      </w:r>
      <w:r w:rsidR="0030286B">
        <w:rPr>
          <w:rFonts w:ascii="MS Gothic"/>
          <w:color w:val="B02045"/>
          <w:spacing w:val="-77"/>
          <w:w w:val="110"/>
        </w:rPr>
        <w:t xml:space="preserve"> </w:t>
      </w:r>
      <w:r w:rsidR="0030286B">
        <w:rPr>
          <w:color w:val="333333"/>
          <w:w w:val="110"/>
        </w:rPr>
        <w:t>bean</w:t>
      </w:r>
      <w:r w:rsidR="0030286B">
        <w:rPr>
          <w:color w:val="333333"/>
          <w:spacing w:val="-13"/>
          <w:w w:val="110"/>
        </w:rPr>
        <w:t xml:space="preserve"> </w:t>
      </w:r>
      <w:r w:rsidR="0030286B">
        <w:rPr>
          <w:color w:val="333333"/>
          <w:w w:val="110"/>
        </w:rPr>
        <w:t>is</w:t>
      </w:r>
      <w:r w:rsidR="0030286B">
        <w:rPr>
          <w:color w:val="333333"/>
          <w:spacing w:val="-12"/>
          <w:w w:val="110"/>
        </w:rPr>
        <w:t xml:space="preserve"> </w:t>
      </w:r>
      <w:r w:rsidR="0030286B">
        <w:rPr>
          <w:color w:val="333333"/>
          <w:w w:val="110"/>
        </w:rPr>
        <w:t>defined,</w:t>
      </w:r>
      <w:r w:rsidR="0030286B">
        <w:rPr>
          <w:color w:val="333333"/>
          <w:spacing w:val="-13"/>
          <w:w w:val="110"/>
        </w:rPr>
        <w:t xml:space="preserve"> </w:t>
      </w:r>
      <w:r w:rsidR="0030286B">
        <w:rPr>
          <w:color w:val="333333"/>
          <w:w w:val="110"/>
        </w:rPr>
        <w:t>it</w:t>
      </w:r>
      <w:r w:rsidR="0030286B">
        <w:rPr>
          <w:color w:val="333333"/>
          <w:spacing w:val="-12"/>
          <w:w w:val="110"/>
        </w:rPr>
        <w:t xml:space="preserve"> </w:t>
      </w:r>
      <w:r w:rsidR="0030286B">
        <w:rPr>
          <w:color w:val="333333"/>
          <w:w w:val="110"/>
        </w:rPr>
        <w:t>is</w:t>
      </w:r>
      <w:r w:rsidR="0030286B">
        <w:rPr>
          <w:color w:val="333333"/>
          <w:spacing w:val="-12"/>
          <w:w w:val="110"/>
        </w:rPr>
        <w:t xml:space="preserve"> </w:t>
      </w:r>
      <w:r w:rsidR="0030286B">
        <w:rPr>
          <w:color w:val="333333"/>
          <w:w w:val="110"/>
        </w:rPr>
        <w:t>wrapped</w:t>
      </w:r>
      <w:r w:rsidR="0030286B">
        <w:rPr>
          <w:color w:val="333333"/>
          <w:spacing w:val="-13"/>
          <w:w w:val="110"/>
        </w:rPr>
        <w:t xml:space="preserve"> </w:t>
      </w:r>
      <w:r w:rsidR="0030286B">
        <w:rPr>
          <w:color w:val="333333"/>
          <w:w w:val="110"/>
        </w:rPr>
        <w:t xml:space="preserve">automatically </w:t>
      </w:r>
      <w:r w:rsidR="0030286B">
        <w:rPr>
          <w:color w:val="333333"/>
          <w:w w:val="105"/>
        </w:rPr>
        <w:t xml:space="preserve">in an </w:t>
      </w:r>
      <w:r w:rsidR="0030286B">
        <w:rPr>
          <w:rFonts w:ascii="MS Gothic"/>
          <w:color w:val="B02045"/>
          <w:w w:val="105"/>
        </w:rPr>
        <w:t xml:space="preserve">org.springframework.cache.CacheManager </w:t>
      </w:r>
      <w:r w:rsidR="0030286B">
        <w:rPr>
          <w:color w:val="333333"/>
          <w:w w:val="105"/>
        </w:rPr>
        <w:t xml:space="preserve">implementation that the abstraction </w:t>
      </w:r>
      <w:r w:rsidR="0030286B">
        <w:rPr>
          <w:color w:val="333333"/>
          <w:w w:val="110"/>
        </w:rPr>
        <w:t>expects. No further customization is applied to</w:t>
      </w:r>
      <w:r w:rsidR="0030286B">
        <w:rPr>
          <w:color w:val="333333"/>
          <w:spacing w:val="23"/>
          <w:w w:val="110"/>
        </w:rPr>
        <w:t xml:space="preserve"> </w:t>
      </w:r>
      <w:r w:rsidR="0030286B">
        <w:rPr>
          <w:color w:val="333333"/>
          <w:w w:val="110"/>
        </w:rPr>
        <w:t>it.</w:t>
      </w:r>
    </w:p>
    <w:p w14:paraId="43F03595" w14:textId="77777777" w:rsidR="00A720EB" w:rsidRDefault="00A720EB">
      <w:pPr>
        <w:pStyle w:val="a3"/>
        <w:spacing w:before="6"/>
        <w:rPr>
          <w:sz w:val="25"/>
        </w:rPr>
      </w:pPr>
    </w:p>
    <w:p w14:paraId="714462FA" w14:textId="77777777" w:rsidR="00A720EB" w:rsidRDefault="0030286B">
      <w:pPr>
        <w:pStyle w:val="4"/>
        <w:spacing w:before="104"/>
      </w:pPr>
      <w:bookmarkStart w:id="390" w:name="EhCache_2.x"/>
      <w:bookmarkEnd w:id="390"/>
      <w:r>
        <w:rPr>
          <w:color w:val="333333"/>
          <w:w w:val="115"/>
        </w:rPr>
        <w:t>EhCache 2.x</w:t>
      </w:r>
    </w:p>
    <w:p w14:paraId="67960675" w14:textId="77777777" w:rsidR="00A720EB" w:rsidRDefault="00E10349">
      <w:pPr>
        <w:pStyle w:val="a3"/>
        <w:spacing w:before="244"/>
        <w:ind w:left="124"/>
        <w:jc w:val="both"/>
      </w:pPr>
      <w:hyperlink r:id="rId271">
        <w:r w:rsidR="0030286B">
          <w:rPr>
            <w:color w:val="418BCA"/>
            <w:w w:val="110"/>
          </w:rPr>
          <w:t xml:space="preserve">EhCache </w:t>
        </w:r>
      </w:hyperlink>
      <w:r w:rsidR="0030286B">
        <w:rPr>
          <w:color w:val="333333"/>
          <w:w w:val="110"/>
        </w:rPr>
        <w:t xml:space="preserve">2.x is used if a file named </w:t>
      </w:r>
      <w:r w:rsidR="0030286B">
        <w:rPr>
          <w:rFonts w:ascii="MS Gothic"/>
          <w:color w:val="B02045"/>
          <w:w w:val="110"/>
        </w:rPr>
        <w:t>ehcache.xml</w:t>
      </w:r>
      <w:r w:rsidR="0030286B">
        <w:rPr>
          <w:rFonts w:ascii="MS Gothic"/>
          <w:color w:val="B02045"/>
          <w:spacing w:val="-57"/>
          <w:w w:val="110"/>
        </w:rPr>
        <w:t xml:space="preserve"> </w:t>
      </w:r>
      <w:r w:rsidR="0030286B">
        <w:rPr>
          <w:color w:val="333333"/>
          <w:w w:val="110"/>
        </w:rPr>
        <w:t>can be found at the root of the classpath. If EhCache</w:t>
      </w:r>
    </w:p>
    <w:p w14:paraId="0182973E" w14:textId="77777777" w:rsidR="00A720EB" w:rsidRDefault="0030286B">
      <w:pPr>
        <w:pStyle w:val="a3"/>
        <w:spacing w:before="47" w:line="300" w:lineRule="auto"/>
        <w:ind w:left="124" w:right="123"/>
        <w:jc w:val="both"/>
      </w:pPr>
      <w:r>
        <w:rPr>
          <w:color w:val="333333"/>
          <w:w w:val="110"/>
        </w:rPr>
        <w:t>2.x</w:t>
      </w:r>
      <w:r>
        <w:rPr>
          <w:color w:val="333333"/>
          <w:spacing w:val="-23"/>
          <w:w w:val="110"/>
        </w:rPr>
        <w:t xml:space="preserve"> </w:t>
      </w:r>
      <w:r>
        <w:rPr>
          <w:color w:val="333333"/>
          <w:w w:val="110"/>
        </w:rPr>
        <w:t>is</w:t>
      </w:r>
      <w:r>
        <w:rPr>
          <w:color w:val="333333"/>
          <w:spacing w:val="-22"/>
          <w:w w:val="110"/>
        </w:rPr>
        <w:t xml:space="preserve"> </w:t>
      </w:r>
      <w:r>
        <w:rPr>
          <w:color w:val="333333"/>
          <w:w w:val="110"/>
        </w:rPr>
        <w:t>found,</w:t>
      </w:r>
      <w:r>
        <w:rPr>
          <w:color w:val="333333"/>
          <w:spacing w:val="-22"/>
          <w:w w:val="110"/>
        </w:rPr>
        <w:t xml:space="preserve"> </w:t>
      </w:r>
      <w:r>
        <w:rPr>
          <w:color w:val="333333"/>
          <w:w w:val="110"/>
        </w:rPr>
        <w:t>the</w:t>
      </w:r>
      <w:r>
        <w:rPr>
          <w:color w:val="333333"/>
          <w:spacing w:val="-23"/>
          <w:w w:val="110"/>
        </w:rPr>
        <w:t xml:space="preserve"> </w:t>
      </w:r>
      <w:r>
        <w:rPr>
          <w:rFonts w:ascii="MS Gothic" w:hAnsi="MS Gothic"/>
          <w:color w:val="B02045"/>
          <w:w w:val="110"/>
        </w:rPr>
        <w:t>EhCacheCacheManager</w:t>
      </w:r>
      <w:r>
        <w:rPr>
          <w:rFonts w:ascii="MS Gothic" w:hAnsi="MS Gothic"/>
          <w:color w:val="B02045"/>
          <w:spacing w:val="-87"/>
          <w:w w:val="110"/>
        </w:rPr>
        <w:t xml:space="preserve"> </w:t>
      </w:r>
      <w:r>
        <w:rPr>
          <w:color w:val="333333"/>
          <w:w w:val="110"/>
        </w:rPr>
        <w:t>provided</w:t>
      </w:r>
      <w:r>
        <w:rPr>
          <w:color w:val="333333"/>
          <w:spacing w:val="-22"/>
          <w:w w:val="110"/>
        </w:rPr>
        <w:t xml:space="preserve"> </w:t>
      </w:r>
      <w:r>
        <w:rPr>
          <w:color w:val="333333"/>
          <w:spacing w:val="-3"/>
          <w:w w:val="110"/>
        </w:rPr>
        <w:t>by</w:t>
      </w:r>
      <w:r>
        <w:rPr>
          <w:color w:val="333333"/>
          <w:spacing w:val="-22"/>
          <w:w w:val="110"/>
        </w:rPr>
        <w:t xml:space="preserve"> </w:t>
      </w:r>
      <w:r>
        <w:rPr>
          <w:color w:val="333333"/>
          <w:w w:val="110"/>
        </w:rPr>
        <w:t>the</w:t>
      </w:r>
      <w:r>
        <w:rPr>
          <w:color w:val="333333"/>
          <w:spacing w:val="-21"/>
          <w:w w:val="110"/>
        </w:rPr>
        <w:t xml:space="preserve"> </w:t>
      </w:r>
      <w:r>
        <w:rPr>
          <w:rFonts w:ascii="MS Gothic" w:hAnsi="MS Gothic"/>
          <w:color w:val="B02045"/>
          <w:w w:val="110"/>
        </w:rPr>
        <w:t>spring-boot-starter-cache</w:t>
      </w:r>
      <w:r>
        <w:rPr>
          <w:rFonts w:ascii="MS Gothic" w:hAnsi="MS Gothic"/>
          <w:color w:val="B02045"/>
          <w:spacing w:val="-87"/>
          <w:w w:val="110"/>
        </w:rPr>
        <w:t xml:space="preserve"> </w:t>
      </w:r>
      <w:r>
        <w:rPr>
          <w:color w:val="333333"/>
          <w:w w:val="110"/>
        </w:rPr>
        <w:t>“Starter”</w:t>
      </w:r>
      <w:r>
        <w:rPr>
          <w:color w:val="333333"/>
          <w:spacing w:val="-23"/>
          <w:w w:val="110"/>
        </w:rPr>
        <w:t xml:space="preserve"> </w:t>
      </w:r>
      <w:r>
        <w:rPr>
          <w:color w:val="333333"/>
          <w:w w:val="110"/>
        </w:rPr>
        <w:t>is</w:t>
      </w:r>
      <w:r>
        <w:rPr>
          <w:color w:val="333333"/>
          <w:spacing w:val="-22"/>
          <w:w w:val="110"/>
        </w:rPr>
        <w:t xml:space="preserve"> </w:t>
      </w:r>
      <w:r>
        <w:rPr>
          <w:color w:val="333333"/>
          <w:w w:val="110"/>
        </w:rPr>
        <w:t>used</w:t>
      </w:r>
      <w:r>
        <w:rPr>
          <w:color w:val="333333"/>
          <w:spacing w:val="-22"/>
          <w:w w:val="110"/>
        </w:rPr>
        <w:t xml:space="preserve"> </w:t>
      </w:r>
      <w:r>
        <w:rPr>
          <w:color w:val="333333"/>
          <w:w w:val="110"/>
        </w:rPr>
        <w:t>to bootstrap the cache manager. An alternate configuration file can be provided as well, as shown in   the following</w:t>
      </w:r>
      <w:r>
        <w:rPr>
          <w:color w:val="333333"/>
          <w:spacing w:val="7"/>
          <w:w w:val="110"/>
        </w:rPr>
        <w:t xml:space="preserve"> </w:t>
      </w:r>
      <w:r>
        <w:rPr>
          <w:color w:val="333333"/>
          <w:w w:val="110"/>
        </w:rPr>
        <w:t>example:</w:t>
      </w:r>
    </w:p>
    <w:p w14:paraId="09F0C5BF" w14:textId="77777777" w:rsidR="00A720EB" w:rsidRDefault="00E10349">
      <w:pPr>
        <w:pStyle w:val="a3"/>
        <w:spacing w:before="6"/>
        <w:rPr>
          <w:sz w:val="13"/>
        </w:rPr>
      </w:pPr>
      <w:r>
        <w:pict w14:anchorId="095EE5BD">
          <v:group id="_x0000_s3944" style="position:absolute;margin-left:47.85pt;margin-top:9.9pt;width:499.55pt;height:37.5pt;z-index:-15431680;mso-wrap-distance-left:0;mso-wrap-distance-right:0;mso-position-horizontal-relative:page" coordorigin="957,198" coordsize="9991,750">
            <v:shape id="_x0000_s3947" style="position:absolute;left:964;top:205;width:9976;height:735" coordorigin="965,206" coordsize="9976,735" path="m10861,206r-9816,l1014,212r-26,17l971,255r-6,31l965,861r6,31l988,917r26,17l1045,941r9816,l10892,934r25,-17l10935,892r6,-31l10941,286r-6,-31l10917,229r-25,-17l10861,206xe" fillcolor="#f5f5f5" stroked="f">
              <v:path arrowok="t"/>
            </v:shape>
            <v:shape id="_x0000_s3946" style="position:absolute;left:964;top:205;width:9976;height:735" coordorigin="965,206" coordsize="9976,735" path="m1045,206r9816,l10892,212r25,17l10935,255r6,31l10941,861r-6,31l10917,917r-25,17l10861,941r-9816,l1014,934,988,917,971,892r-6,-31l965,286r6,-31l988,229r26,-17l1045,206xe" filled="f" strokecolor="#ccc">
              <v:path arrowok="t"/>
            </v:shape>
            <v:shape id="_x0000_s3945" type="#_x0000_t202" style="position:absolute;left:984;top:221;width:9938;height:704" filled="f" stroked="f">
              <v:textbox inset="0,0,0,0">
                <w:txbxContent>
                  <w:p w14:paraId="36C56A37" w14:textId="77777777" w:rsidR="00711A16" w:rsidRDefault="00711A16">
                    <w:pPr>
                      <w:spacing w:before="221"/>
                      <w:ind w:left="200"/>
                      <w:rPr>
                        <w:rFonts w:ascii="MS Gothic"/>
                      </w:rPr>
                    </w:pPr>
                    <w:proofErr w:type="gramStart"/>
                    <w:r>
                      <w:rPr>
                        <w:rFonts w:ascii="MS Gothic"/>
                        <w:color w:val="333333"/>
                      </w:rPr>
                      <w:t>spring.cache</w:t>
                    </w:r>
                    <w:proofErr w:type="gramEnd"/>
                    <w:r>
                      <w:rPr>
                        <w:rFonts w:ascii="MS Gothic"/>
                        <w:color w:val="333333"/>
                      </w:rPr>
                      <w:t>.ehcache.config=classpath:config/another-config.xml</w:t>
                    </w:r>
                  </w:p>
                </w:txbxContent>
              </v:textbox>
            </v:shape>
            <w10:wrap type="topAndBottom" anchorx="page"/>
          </v:group>
        </w:pict>
      </w:r>
    </w:p>
    <w:p w14:paraId="74DEE7E8" w14:textId="77777777" w:rsidR="00A720EB" w:rsidRDefault="00A720EB">
      <w:pPr>
        <w:pStyle w:val="a3"/>
        <w:spacing w:before="11"/>
        <w:rPr>
          <w:sz w:val="16"/>
        </w:rPr>
      </w:pPr>
    </w:p>
    <w:p w14:paraId="2673AB7A" w14:textId="77777777" w:rsidR="00A720EB" w:rsidRDefault="0030286B">
      <w:pPr>
        <w:pStyle w:val="4"/>
        <w:spacing w:before="104"/>
        <w:jc w:val="left"/>
      </w:pPr>
      <w:bookmarkStart w:id="391" w:name="Hazelcast"/>
      <w:bookmarkEnd w:id="391"/>
      <w:r>
        <w:rPr>
          <w:color w:val="333333"/>
          <w:w w:val="110"/>
        </w:rPr>
        <w:t>Hazelcast</w:t>
      </w:r>
    </w:p>
    <w:p w14:paraId="3E8630AD" w14:textId="77777777" w:rsidR="00A720EB" w:rsidRDefault="0030286B">
      <w:pPr>
        <w:pStyle w:val="a3"/>
        <w:spacing w:before="244" w:line="280" w:lineRule="auto"/>
        <w:ind w:left="124"/>
      </w:pPr>
      <w:r>
        <w:rPr>
          <w:color w:val="333333"/>
          <w:w w:val="110"/>
        </w:rPr>
        <w:t xml:space="preserve">Spring Boot has </w:t>
      </w:r>
      <w:hyperlink w:anchor="_bookmark297" w:history="1">
        <w:r>
          <w:rPr>
            <w:color w:val="418BCA"/>
            <w:w w:val="110"/>
          </w:rPr>
          <w:t>general support for Hazelcast</w:t>
        </w:r>
      </w:hyperlink>
      <w:r>
        <w:rPr>
          <w:color w:val="333333"/>
          <w:w w:val="110"/>
        </w:rPr>
        <w:t xml:space="preserve">. If a </w:t>
      </w:r>
      <w:r>
        <w:rPr>
          <w:rFonts w:ascii="MS Gothic"/>
          <w:color w:val="B02045"/>
          <w:w w:val="110"/>
        </w:rPr>
        <w:t>HazelcastInstance</w:t>
      </w:r>
      <w:r>
        <w:rPr>
          <w:rFonts w:ascii="MS Gothic"/>
          <w:color w:val="B02045"/>
          <w:spacing w:val="-76"/>
          <w:w w:val="110"/>
        </w:rPr>
        <w:t xml:space="preserve"> </w:t>
      </w:r>
      <w:r>
        <w:rPr>
          <w:color w:val="333333"/>
          <w:w w:val="110"/>
        </w:rPr>
        <w:t xml:space="preserve">has been auto-configured, it is automatically wrapped in a </w:t>
      </w:r>
      <w:r>
        <w:rPr>
          <w:rFonts w:ascii="MS Gothic"/>
          <w:color w:val="B02045"/>
          <w:w w:val="110"/>
        </w:rPr>
        <w:t>CacheManager</w:t>
      </w:r>
      <w:r>
        <w:rPr>
          <w:color w:val="333333"/>
          <w:w w:val="110"/>
        </w:rPr>
        <w:t>.</w:t>
      </w:r>
    </w:p>
    <w:p w14:paraId="3D063005" w14:textId="77777777" w:rsidR="00A720EB" w:rsidRDefault="00A720EB">
      <w:pPr>
        <w:pStyle w:val="a3"/>
        <w:spacing w:before="7"/>
        <w:rPr>
          <w:sz w:val="26"/>
        </w:rPr>
      </w:pPr>
    </w:p>
    <w:p w14:paraId="316CFB1F" w14:textId="77777777" w:rsidR="00A720EB" w:rsidRDefault="0030286B">
      <w:pPr>
        <w:pStyle w:val="4"/>
        <w:jc w:val="left"/>
      </w:pPr>
      <w:bookmarkStart w:id="392" w:name="Infinispan"/>
      <w:bookmarkEnd w:id="392"/>
      <w:r>
        <w:rPr>
          <w:color w:val="333333"/>
          <w:w w:val="110"/>
        </w:rPr>
        <w:t>Infinispan</w:t>
      </w:r>
    </w:p>
    <w:p w14:paraId="3CEA9CCB" w14:textId="77777777" w:rsidR="00A720EB" w:rsidRDefault="00A720EB">
      <w:pPr>
        <w:pStyle w:val="a3"/>
        <w:spacing w:before="11"/>
        <w:rPr>
          <w:rFonts w:ascii="Palatino Linotype"/>
          <w:b/>
          <w:sz w:val="18"/>
        </w:rPr>
      </w:pPr>
    </w:p>
    <w:p w14:paraId="0F8DEAFF" w14:textId="77777777" w:rsidR="00A720EB" w:rsidRDefault="00E10349">
      <w:pPr>
        <w:pStyle w:val="a3"/>
        <w:spacing w:line="307" w:lineRule="auto"/>
        <w:ind w:left="124" w:right="462"/>
      </w:pPr>
      <w:hyperlink r:id="rId272">
        <w:r w:rsidR="0030286B">
          <w:rPr>
            <w:color w:val="418BCA"/>
            <w:w w:val="110"/>
          </w:rPr>
          <w:t>Infinispan</w:t>
        </w:r>
      </w:hyperlink>
      <w:r w:rsidR="0030286B">
        <w:rPr>
          <w:color w:val="418BCA"/>
          <w:w w:val="110"/>
        </w:rPr>
        <w:t xml:space="preserve"> </w:t>
      </w:r>
      <w:r w:rsidR="0030286B">
        <w:rPr>
          <w:color w:val="333333"/>
          <w:w w:val="110"/>
        </w:rPr>
        <w:t xml:space="preserve">has no default configuration file </w:t>
      </w:r>
      <w:proofErr w:type="gramStart"/>
      <w:r w:rsidR="0030286B">
        <w:rPr>
          <w:color w:val="333333"/>
          <w:w w:val="110"/>
        </w:rPr>
        <w:t>location,  so</w:t>
      </w:r>
      <w:proofErr w:type="gramEnd"/>
      <w:r w:rsidR="0030286B">
        <w:rPr>
          <w:color w:val="333333"/>
          <w:w w:val="110"/>
        </w:rPr>
        <w:t xml:space="preserve">  it must be specified  </w:t>
      </w:r>
      <w:r w:rsidR="0030286B">
        <w:rPr>
          <w:color w:val="333333"/>
          <w:spacing w:val="-3"/>
          <w:w w:val="110"/>
        </w:rPr>
        <w:t xml:space="preserve">explicitly.  </w:t>
      </w:r>
      <w:proofErr w:type="gramStart"/>
      <w:r w:rsidR="0030286B">
        <w:rPr>
          <w:color w:val="333333"/>
          <w:w w:val="110"/>
        </w:rPr>
        <w:t>Otherwise,  the</w:t>
      </w:r>
      <w:proofErr w:type="gramEnd"/>
      <w:r w:rsidR="0030286B">
        <w:rPr>
          <w:color w:val="333333"/>
          <w:w w:val="110"/>
        </w:rPr>
        <w:t xml:space="preserve"> default bootstrap is</w:t>
      </w:r>
      <w:r w:rsidR="0030286B">
        <w:rPr>
          <w:color w:val="333333"/>
          <w:spacing w:val="10"/>
          <w:w w:val="110"/>
        </w:rPr>
        <w:t xml:space="preserve"> </w:t>
      </w:r>
      <w:r w:rsidR="0030286B">
        <w:rPr>
          <w:color w:val="333333"/>
          <w:w w:val="110"/>
        </w:rPr>
        <w:t>used.</w:t>
      </w:r>
    </w:p>
    <w:p w14:paraId="527CE48B" w14:textId="77777777" w:rsidR="00A720EB" w:rsidRDefault="00E10349">
      <w:pPr>
        <w:pStyle w:val="a3"/>
        <w:spacing w:before="2"/>
        <w:rPr>
          <w:sz w:val="13"/>
        </w:rPr>
      </w:pPr>
      <w:r>
        <w:pict w14:anchorId="18A049B9">
          <v:group id="_x0000_s3940" style="position:absolute;margin-left:47.85pt;margin-top:9.7pt;width:499.55pt;height:37.5pt;z-index:-15431168;mso-wrap-distance-left:0;mso-wrap-distance-right:0;mso-position-horizontal-relative:page" coordorigin="957,194" coordsize="9991,750">
            <v:shape id="_x0000_s3943"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3942"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3941" type="#_x0000_t202" style="position:absolute;left:984;top:217;width:9938;height:704" filled="f" stroked="f">
              <v:textbox inset="0,0,0,0">
                <w:txbxContent>
                  <w:p w14:paraId="6A8D32EE" w14:textId="77777777" w:rsidR="00711A16" w:rsidRDefault="00711A16">
                    <w:pPr>
                      <w:spacing w:before="221"/>
                      <w:ind w:left="200"/>
                      <w:rPr>
                        <w:rFonts w:ascii="MS Gothic"/>
                      </w:rPr>
                    </w:pPr>
                    <w:proofErr w:type="gramStart"/>
                    <w:r>
                      <w:rPr>
                        <w:rFonts w:ascii="MS Gothic"/>
                        <w:color w:val="333333"/>
                      </w:rPr>
                      <w:t>spring.cache</w:t>
                    </w:r>
                    <w:proofErr w:type="gramEnd"/>
                    <w:r>
                      <w:rPr>
                        <w:rFonts w:ascii="MS Gothic"/>
                        <w:color w:val="333333"/>
                      </w:rPr>
                      <w:t>.infinispan.config=infinispan.xml</w:t>
                    </w:r>
                  </w:p>
                </w:txbxContent>
              </v:textbox>
            </v:shape>
            <w10:wrap type="topAndBottom" anchorx="page"/>
          </v:group>
        </w:pict>
      </w:r>
    </w:p>
    <w:p w14:paraId="1C589345" w14:textId="77777777" w:rsidR="00A720EB" w:rsidRDefault="00A720EB">
      <w:pPr>
        <w:pStyle w:val="a3"/>
        <w:spacing w:before="11"/>
        <w:rPr>
          <w:sz w:val="9"/>
        </w:rPr>
      </w:pPr>
    </w:p>
    <w:p w14:paraId="0D1691B1" w14:textId="77777777" w:rsidR="00A720EB" w:rsidRDefault="0030286B">
      <w:pPr>
        <w:pStyle w:val="a3"/>
        <w:spacing w:before="115"/>
        <w:ind w:left="124"/>
      </w:pPr>
      <w:r>
        <w:rPr>
          <w:color w:val="333333"/>
          <w:w w:val="110"/>
        </w:rPr>
        <w:t xml:space="preserve">Caches can be created on startup by setting the </w:t>
      </w:r>
      <w:proofErr w:type="gramStart"/>
      <w:r>
        <w:rPr>
          <w:rFonts w:ascii="MS Gothic"/>
          <w:color w:val="B02045"/>
          <w:w w:val="110"/>
        </w:rPr>
        <w:t>spring.cache</w:t>
      </w:r>
      <w:proofErr w:type="gramEnd"/>
      <w:r>
        <w:rPr>
          <w:rFonts w:ascii="MS Gothic"/>
          <w:color w:val="B02045"/>
          <w:w w:val="110"/>
        </w:rPr>
        <w:t xml:space="preserve">.cache-names </w:t>
      </w:r>
      <w:r>
        <w:rPr>
          <w:color w:val="333333"/>
          <w:w w:val="110"/>
        </w:rPr>
        <w:t>property. If a custom</w:t>
      </w:r>
    </w:p>
    <w:p w14:paraId="35DFDBB0" w14:textId="77777777" w:rsidR="00A720EB" w:rsidRDefault="0030286B">
      <w:pPr>
        <w:pStyle w:val="a3"/>
        <w:spacing w:before="47"/>
        <w:ind w:left="124"/>
      </w:pPr>
      <w:r>
        <w:rPr>
          <w:rFonts w:ascii="MS Gothic"/>
          <w:color w:val="B02045"/>
          <w:w w:val="110"/>
        </w:rPr>
        <w:t>ConfigurationBuilder</w:t>
      </w:r>
      <w:r>
        <w:rPr>
          <w:rFonts w:ascii="MS Gothic"/>
          <w:color w:val="B02045"/>
          <w:spacing w:val="-66"/>
          <w:w w:val="110"/>
        </w:rPr>
        <w:t xml:space="preserve"> </w:t>
      </w:r>
      <w:r>
        <w:rPr>
          <w:color w:val="333333"/>
          <w:w w:val="110"/>
        </w:rPr>
        <w:t>bean is defined, it is used to customize the caches.</w:t>
      </w:r>
    </w:p>
    <w:p w14:paraId="67FBC51A" w14:textId="77777777" w:rsidR="00A720EB" w:rsidRDefault="00A720EB">
      <w:pPr>
        <w:sectPr w:rsidR="00A720EB">
          <w:pgSz w:w="11910" w:h="16840"/>
          <w:pgMar w:top="700" w:right="840" w:bottom="520" w:left="840" w:header="0" w:footer="323" w:gutter="0"/>
          <w:cols w:space="720"/>
        </w:sectPr>
      </w:pPr>
    </w:p>
    <w:p w14:paraId="40C5724D" w14:textId="77777777" w:rsidR="00A720EB" w:rsidRDefault="00E10349">
      <w:pPr>
        <w:pStyle w:val="a3"/>
        <w:spacing w:before="122" w:line="307" w:lineRule="auto"/>
        <w:ind w:left="1564" w:right="368"/>
        <w:jc w:val="both"/>
      </w:pPr>
      <w:r>
        <w:lastRenderedPageBreak/>
        <w:pict w14:anchorId="5838EB50">
          <v:line id="_x0000_s3939" style="position:absolute;left:0;text-align:left;z-index:16031232;mso-position-horizontal-relative:page" from="108.25pt,.1pt" to="108.25pt,55.45pt" strokecolor="#ededed" strokeweight=".5pt">
            <w10:wrap anchorx="page"/>
          </v:line>
        </w:pict>
      </w:r>
      <w:r w:rsidR="0030286B">
        <w:rPr>
          <w:noProof/>
        </w:rPr>
        <w:drawing>
          <wp:anchor distT="0" distB="0" distL="0" distR="0" simplePos="0" relativeHeight="16031744" behindDoc="0" locked="0" layoutInCell="1" allowOverlap="1" wp14:anchorId="1AA8433E" wp14:editId="44285992">
            <wp:simplePos x="0" y="0"/>
            <wp:positionH relativeFrom="page">
              <wp:posOffset>844422</wp:posOffset>
            </wp:positionH>
            <wp:positionV relativeFrom="paragraph">
              <wp:posOffset>203620</wp:posOffset>
            </wp:positionV>
            <wp:extent cx="298450" cy="298450"/>
            <wp:effectExtent l="0" t="0" r="0" b="0"/>
            <wp:wrapNone/>
            <wp:docPr id="3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support of Infinispan in Spring Boot is restricted to the embedded mode and is quite basic. If you want more options, you should use the official Infinispan Spring Boot starter instead. See </w:t>
      </w:r>
      <w:hyperlink r:id="rId273">
        <w:r w:rsidR="0030286B">
          <w:rPr>
            <w:color w:val="418BCA"/>
            <w:w w:val="110"/>
          </w:rPr>
          <w:t xml:space="preserve">Infinispan’s documentation </w:t>
        </w:r>
      </w:hyperlink>
      <w:r w:rsidR="0030286B">
        <w:rPr>
          <w:color w:val="333333"/>
          <w:w w:val="110"/>
        </w:rPr>
        <w:t>for more details.</w:t>
      </w:r>
    </w:p>
    <w:p w14:paraId="71BED77A" w14:textId="77777777" w:rsidR="00A720EB" w:rsidRDefault="00A720EB">
      <w:pPr>
        <w:pStyle w:val="a3"/>
        <w:spacing w:before="7"/>
        <w:rPr>
          <w:sz w:val="23"/>
        </w:rPr>
      </w:pPr>
    </w:p>
    <w:p w14:paraId="415D458D" w14:textId="77777777" w:rsidR="00A720EB" w:rsidRDefault="0030286B">
      <w:pPr>
        <w:pStyle w:val="4"/>
        <w:spacing w:before="104"/>
        <w:jc w:val="left"/>
      </w:pPr>
      <w:bookmarkStart w:id="393" w:name="Couchbase"/>
      <w:bookmarkEnd w:id="393"/>
      <w:r>
        <w:rPr>
          <w:color w:val="333333"/>
          <w:w w:val="110"/>
        </w:rPr>
        <w:t>Couchbase</w:t>
      </w:r>
    </w:p>
    <w:p w14:paraId="32421128" w14:textId="77777777" w:rsidR="00A720EB" w:rsidRDefault="0030286B">
      <w:pPr>
        <w:pStyle w:val="a3"/>
        <w:spacing w:before="244" w:line="280" w:lineRule="auto"/>
        <w:ind w:left="124" w:right="122"/>
        <w:jc w:val="both"/>
      </w:pPr>
      <w:r>
        <w:rPr>
          <w:color w:val="333333"/>
          <w:w w:val="110"/>
        </w:rPr>
        <w:t xml:space="preserve">If Spring Data Couchbase is available and Couchbase is </w:t>
      </w:r>
      <w:hyperlink w:anchor="_bookmark246" w:history="1">
        <w:r>
          <w:rPr>
            <w:color w:val="418BCA"/>
            <w:w w:val="110"/>
          </w:rPr>
          <w:t>configured</w:t>
        </w:r>
      </w:hyperlink>
      <w:r>
        <w:rPr>
          <w:color w:val="333333"/>
          <w:w w:val="110"/>
        </w:rPr>
        <w:t xml:space="preserve">, a </w:t>
      </w:r>
      <w:r>
        <w:rPr>
          <w:rFonts w:ascii="MS Gothic"/>
          <w:color w:val="B02045"/>
          <w:w w:val="110"/>
        </w:rPr>
        <w:t>CouchbaseCacheManager</w:t>
      </w:r>
      <w:r>
        <w:rPr>
          <w:rFonts w:ascii="MS Gothic"/>
          <w:color w:val="B02045"/>
          <w:spacing w:val="-69"/>
          <w:w w:val="110"/>
        </w:rPr>
        <w:t xml:space="preserve"> </w:t>
      </w:r>
      <w:r>
        <w:rPr>
          <w:color w:val="333333"/>
          <w:w w:val="110"/>
        </w:rPr>
        <w:t xml:space="preserve">is auto- configured. It is possible to create additional caches on startup </w:t>
      </w:r>
      <w:r>
        <w:rPr>
          <w:color w:val="333333"/>
          <w:spacing w:val="-3"/>
          <w:w w:val="110"/>
        </w:rPr>
        <w:t xml:space="preserve">by </w:t>
      </w:r>
      <w:r>
        <w:rPr>
          <w:color w:val="333333"/>
          <w:w w:val="110"/>
        </w:rPr>
        <w:t xml:space="preserve">setting the </w:t>
      </w:r>
      <w:proofErr w:type="gramStart"/>
      <w:r>
        <w:rPr>
          <w:rFonts w:ascii="MS Gothic"/>
          <w:color w:val="B02045"/>
          <w:w w:val="110"/>
        </w:rPr>
        <w:t>spring.cache</w:t>
      </w:r>
      <w:proofErr w:type="gramEnd"/>
      <w:r>
        <w:rPr>
          <w:rFonts w:ascii="MS Gothic"/>
          <w:color w:val="B02045"/>
          <w:w w:val="110"/>
        </w:rPr>
        <w:t>.cache- names</w:t>
      </w:r>
      <w:r>
        <w:rPr>
          <w:rFonts w:ascii="MS Gothic"/>
          <w:color w:val="B02045"/>
          <w:spacing w:val="-71"/>
          <w:w w:val="110"/>
        </w:rPr>
        <w:t xml:space="preserve"> </w:t>
      </w:r>
      <w:r>
        <w:rPr>
          <w:color w:val="333333"/>
          <w:w w:val="110"/>
        </w:rPr>
        <w:t>property</w:t>
      </w:r>
      <w:r>
        <w:rPr>
          <w:color w:val="333333"/>
          <w:spacing w:val="-6"/>
          <w:w w:val="110"/>
        </w:rPr>
        <w:t xml:space="preserve"> </w:t>
      </w:r>
      <w:r>
        <w:rPr>
          <w:color w:val="333333"/>
          <w:w w:val="110"/>
        </w:rPr>
        <w:t>and</w:t>
      </w:r>
      <w:r>
        <w:rPr>
          <w:color w:val="333333"/>
          <w:spacing w:val="-6"/>
          <w:w w:val="110"/>
        </w:rPr>
        <w:t xml:space="preserve"> </w:t>
      </w:r>
      <w:r>
        <w:rPr>
          <w:color w:val="333333"/>
          <w:w w:val="110"/>
        </w:rPr>
        <w:t>cache</w:t>
      </w:r>
      <w:r>
        <w:rPr>
          <w:color w:val="333333"/>
          <w:spacing w:val="-6"/>
          <w:w w:val="110"/>
        </w:rPr>
        <w:t xml:space="preserve"> </w:t>
      </w:r>
      <w:r>
        <w:rPr>
          <w:color w:val="333333"/>
          <w:w w:val="110"/>
        </w:rPr>
        <w:t>defaults</w:t>
      </w:r>
      <w:r>
        <w:rPr>
          <w:color w:val="333333"/>
          <w:spacing w:val="-6"/>
          <w:w w:val="110"/>
        </w:rPr>
        <w:t xml:space="preserve"> </w:t>
      </w:r>
      <w:r>
        <w:rPr>
          <w:color w:val="333333"/>
          <w:w w:val="110"/>
        </w:rPr>
        <w:t>can</w:t>
      </w:r>
      <w:r>
        <w:rPr>
          <w:color w:val="333333"/>
          <w:spacing w:val="-5"/>
          <w:w w:val="110"/>
        </w:rPr>
        <w:t xml:space="preserve"> </w:t>
      </w:r>
      <w:r>
        <w:rPr>
          <w:color w:val="333333"/>
          <w:w w:val="110"/>
        </w:rPr>
        <w:t>be</w:t>
      </w:r>
      <w:r>
        <w:rPr>
          <w:color w:val="333333"/>
          <w:spacing w:val="-7"/>
          <w:w w:val="110"/>
        </w:rPr>
        <w:t xml:space="preserve"> </w:t>
      </w:r>
      <w:r>
        <w:rPr>
          <w:color w:val="333333"/>
          <w:w w:val="110"/>
        </w:rPr>
        <w:t>configured</w:t>
      </w:r>
      <w:r>
        <w:rPr>
          <w:color w:val="333333"/>
          <w:spacing w:val="-5"/>
          <w:w w:val="110"/>
        </w:rPr>
        <w:t xml:space="preserve"> </w:t>
      </w:r>
      <w:r>
        <w:rPr>
          <w:color w:val="333333"/>
          <w:spacing w:val="-3"/>
          <w:w w:val="110"/>
        </w:rPr>
        <w:t>by</w:t>
      </w:r>
      <w:r>
        <w:rPr>
          <w:color w:val="333333"/>
          <w:spacing w:val="-6"/>
          <w:w w:val="110"/>
        </w:rPr>
        <w:t xml:space="preserve"> </w:t>
      </w:r>
      <w:r>
        <w:rPr>
          <w:color w:val="333333"/>
          <w:w w:val="110"/>
        </w:rPr>
        <w:t>using</w:t>
      </w:r>
      <w:r>
        <w:rPr>
          <w:color w:val="333333"/>
          <w:spacing w:val="-2"/>
          <w:w w:val="110"/>
        </w:rPr>
        <w:t xml:space="preserve"> </w:t>
      </w:r>
      <w:r>
        <w:rPr>
          <w:rFonts w:ascii="MS Gothic"/>
          <w:color w:val="B02045"/>
          <w:w w:val="110"/>
        </w:rPr>
        <w:t>spring.cache.couchbase.*</w:t>
      </w:r>
      <w:r>
        <w:rPr>
          <w:rFonts w:ascii="MS Gothic"/>
          <w:color w:val="B02045"/>
          <w:spacing w:val="-70"/>
          <w:w w:val="110"/>
        </w:rPr>
        <w:t xml:space="preserve"> </w:t>
      </w:r>
      <w:r>
        <w:rPr>
          <w:color w:val="333333"/>
          <w:w w:val="110"/>
        </w:rPr>
        <w:t xml:space="preserve">properties. </w:t>
      </w:r>
      <w:r>
        <w:rPr>
          <w:color w:val="333333"/>
          <w:spacing w:val="-4"/>
          <w:w w:val="110"/>
        </w:rPr>
        <w:t xml:space="preserve">For </w:t>
      </w:r>
      <w:r>
        <w:rPr>
          <w:color w:val="333333"/>
          <w:w w:val="110"/>
        </w:rPr>
        <w:t xml:space="preserve">instance, the following configuration creates </w:t>
      </w:r>
      <w:r>
        <w:rPr>
          <w:rFonts w:ascii="MS Gothic"/>
          <w:color w:val="B02045"/>
          <w:w w:val="110"/>
        </w:rPr>
        <w:t xml:space="preserve">cache1 </w:t>
      </w:r>
      <w:r>
        <w:rPr>
          <w:color w:val="333333"/>
          <w:w w:val="110"/>
        </w:rPr>
        <w:t xml:space="preserve">and </w:t>
      </w:r>
      <w:r>
        <w:rPr>
          <w:rFonts w:ascii="MS Gothic"/>
          <w:color w:val="B02045"/>
          <w:w w:val="110"/>
        </w:rPr>
        <w:t xml:space="preserve">cache2 </w:t>
      </w:r>
      <w:r>
        <w:rPr>
          <w:color w:val="333333"/>
          <w:w w:val="110"/>
        </w:rPr>
        <w:t xml:space="preserve">caches with an entry </w:t>
      </w:r>
      <w:r>
        <w:rPr>
          <w:rFonts w:ascii="Palatino Linotype"/>
          <w:i/>
          <w:color w:val="333333"/>
          <w:w w:val="110"/>
        </w:rPr>
        <w:t xml:space="preserve">expiration </w:t>
      </w:r>
      <w:r>
        <w:rPr>
          <w:color w:val="333333"/>
          <w:w w:val="110"/>
        </w:rPr>
        <w:t>of 10</w:t>
      </w:r>
      <w:r>
        <w:rPr>
          <w:color w:val="333333"/>
          <w:spacing w:val="6"/>
          <w:w w:val="110"/>
        </w:rPr>
        <w:t xml:space="preserve"> </w:t>
      </w:r>
      <w:r>
        <w:rPr>
          <w:color w:val="333333"/>
          <w:w w:val="110"/>
        </w:rPr>
        <w:t>minutes:</w:t>
      </w:r>
    </w:p>
    <w:p w14:paraId="2B990AB1" w14:textId="77777777" w:rsidR="00A720EB" w:rsidRDefault="00E10349">
      <w:pPr>
        <w:pStyle w:val="a3"/>
        <w:spacing w:before="2"/>
        <w:rPr>
          <w:sz w:val="15"/>
        </w:rPr>
      </w:pPr>
      <w:r>
        <w:pict w14:anchorId="5B010AC8">
          <v:group id="_x0000_s3935" style="position:absolute;margin-left:47.85pt;margin-top:10.9pt;width:499.55pt;height:52.25pt;z-index:-15427584;mso-wrap-distance-left:0;mso-wrap-distance-right:0;mso-position-horizontal-relative:page" coordorigin="957,218" coordsize="9991,1045">
            <v:shape id="_x0000_s3938" style="position:absolute;left:964;top:225;width:9976;height:1030" coordorigin="965,225" coordsize="9976,1030" path="m10861,225r-9816,l1014,232r-26,17l971,274r-6,31l965,1175r6,31l988,1231r26,18l1045,1255r9816,l10892,1249r25,-18l10935,1206r6,-31l10941,305r-6,-31l10917,249r-25,-17l10861,225xe" fillcolor="#f5f5f5" stroked="f">
              <v:path arrowok="t"/>
            </v:shape>
            <v:shape id="_x0000_s3937" style="position:absolute;left:964;top:225;width:9976;height:1030" coordorigin="965,225" coordsize="9976,1030" path="m1045,225r9816,l10892,232r25,17l10935,274r6,31l10941,1175r-6,31l10917,1231r-25,18l10861,1255r-9816,l1014,1249r-26,-18l971,1206r-6,-31l965,305r6,-31l988,249r26,-17l1045,225xe" filled="f" strokecolor="#ccc">
              <v:path arrowok="t"/>
            </v:shape>
            <v:shape id="_x0000_s3936" type="#_x0000_t202" style="position:absolute;left:984;top:240;width:9938;height:999" filled="f" stroked="f">
              <v:textbox inset="0,0,0,0">
                <w:txbxContent>
                  <w:p w14:paraId="69D36F8F" w14:textId="77777777" w:rsidR="00711A16" w:rsidRDefault="00711A16">
                    <w:pPr>
                      <w:spacing w:before="221" w:line="252" w:lineRule="auto"/>
                      <w:ind w:left="200" w:right="5538"/>
                      <w:rPr>
                        <w:rFonts w:ascii="MS Gothic"/>
                      </w:rPr>
                    </w:pPr>
                    <w:proofErr w:type="gramStart"/>
                    <w:r>
                      <w:rPr>
                        <w:rFonts w:ascii="MS Gothic"/>
                        <w:color w:val="333333"/>
                      </w:rPr>
                      <w:t>spring.cache</w:t>
                    </w:r>
                    <w:proofErr w:type="gramEnd"/>
                    <w:r>
                      <w:rPr>
                        <w:rFonts w:ascii="MS Gothic"/>
                        <w:color w:val="333333"/>
                      </w:rPr>
                      <w:t>.cache-names=cache1,cache2 spring.cache.couchbase.expiration=10m</w:t>
                    </w:r>
                  </w:p>
                </w:txbxContent>
              </v:textbox>
            </v:shape>
            <w10:wrap type="topAndBottom" anchorx="page"/>
          </v:group>
        </w:pict>
      </w:r>
    </w:p>
    <w:p w14:paraId="293BF601" w14:textId="77777777" w:rsidR="00A720EB" w:rsidRDefault="00A720EB">
      <w:pPr>
        <w:pStyle w:val="a3"/>
        <w:rPr>
          <w:sz w:val="10"/>
        </w:rPr>
      </w:pPr>
    </w:p>
    <w:p w14:paraId="7C5945B3" w14:textId="77777777" w:rsidR="00A720EB" w:rsidRDefault="0030286B">
      <w:pPr>
        <w:pStyle w:val="a3"/>
        <w:spacing w:before="125" w:line="290" w:lineRule="auto"/>
        <w:ind w:left="124" w:right="124"/>
        <w:jc w:val="both"/>
      </w:pPr>
      <w:proofErr w:type="gramStart"/>
      <w:r>
        <w:rPr>
          <w:color w:val="333333"/>
          <w:w w:val="110"/>
        </w:rPr>
        <w:t>If  you</w:t>
      </w:r>
      <w:proofErr w:type="gramEnd"/>
      <w:r>
        <w:rPr>
          <w:color w:val="333333"/>
          <w:w w:val="110"/>
        </w:rPr>
        <w:t xml:space="preserve">  need  more  control  over  the  configuration,  consider  registering  a </w:t>
      </w:r>
      <w:r>
        <w:rPr>
          <w:rFonts w:ascii="MS Gothic"/>
          <w:color w:val="B02045"/>
          <w:w w:val="110"/>
        </w:rPr>
        <w:t xml:space="preserve">CouchbaseCacheManagerBuilderCustomizer </w:t>
      </w:r>
      <w:r>
        <w:rPr>
          <w:color w:val="333333"/>
          <w:w w:val="110"/>
        </w:rPr>
        <w:t xml:space="preserve">bean. The following example shows a customizer that configures a specific entry expiration for </w:t>
      </w:r>
      <w:r>
        <w:rPr>
          <w:rFonts w:ascii="MS Gothic"/>
          <w:color w:val="B02045"/>
          <w:w w:val="110"/>
        </w:rPr>
        <w:t xml:space="preserve">cache1 </w:t>
      </w:r>
      <w:r>
        <w:rPr>
          <w:color w:val="333333"/>
          <w:w w:val="110"/>
        </w:rPr>
        <w:t xml:space="preserve">and </w:t>
      </w:r>
      <w:r>
        <w:rPr>
          <w:rFonts w:ascii="MS Gothic"/>
          <w:color w:val="B02045"/>
          <w:w w:val="110"/>
        </w:rPr>
        <w:t>cache2</w:t>
      </w:r>
      <w:r>
        <w:rPr>
          <w:color w:val="333333"/>
          <w:w w:val="110"/>
        </w:rPr>
        <w:t>:</w:t>
      </w:r>
    </w:p>
    <w:p w14:paraId="07D3CCDB" w14:textId="77777777" w:rsidR="00A720EB" w:rsidRDefault="00E10349">
      <w:pPr>
        <w:pStyle w:val="a3"/>
        <w:spacing w:before="10"/>
        <w:rPr>
          <w:sz w:val="12"/>
        </w:rPr>
      </w:pPr>
      <w:r>
        <w:pict w14:anchorId="52078534">
          <v:group id="_x0000_s3931" style="position:absolute;margin-left:47.85pt;margin-top:9.55pt;width:499.55pt;height:199.65pt;z-index:-15427072;mso-wrap-distance-left:0;mso-wrap-distance-right:0;mso-position-horizontal-relative:page" coordorigin="957,191" coordsize="9991,3993">
            <v:shape id="_x0000_s3934" style="position:absolute;left:964;top:198;width:9976;height:3978" coordorigin="965,199" coordsize="9976,3978" path="m10861,199r-9816,l1014,205r-26,17l971,247r-6,32l965,4096r6,31l988,4153r26,17l1045,4176r9816,l10892,4170r25,-17l10935,4127r6,-31l10941,279r-6,-32l10917,222r-25,-17l10861,199xe" fillcolor="#f5f5f5" stroked="f">
              <v:path arrowok="t"/>
            </v:shape>
            <v:shape id="_x0000_s3933" style="position:absolute;left:964;top:198;width:9976;height:3978" coordorigin="965,199" coordsize="9976,3978" path="m1045,199r9816,l10892,205r25,17l10935,247r6,32l10941,4096r-6,31l10917,4153r-25,17l10861,4176r-9816,l1014,4170r-26,-17l971,4127r-6,-31l965,279r6,-32l988,222r26,-17l1045,199xe" filled="f" strokecolor="#ccc">
              <v:path arrowok="t"/>
            </v:shape>
            <v:shape id="_x0000_s3932" type="#_x0000_t202" style="position:absolute;left:984;top:214;width:9938;height:3947" filled="f" stroked="f">
              <v:textbox inset="0,0,0,0">
                <w:txbxContent>
                  <w:p w14:paraId="0EAAE2B9" w14:textId="77777777" w:rsidR="00711A16" w:rsidRDefault="00711A16">
                    <w:pPr>
                      <w:spacing w:before="221"/>
                      <w:ind w:left="200"/>
                      <w:rPr>
                        <w:rFonts w:ascii="MS Gothic"/>
                      </w:rPr>
                    </w:pPr>
                    <w:r>
                      <w:rPr>
                        <w:rFonts w:ascii="MS Gothic"/>
                        <w:color w:val="333333"/>
                      </w:rPr>
                      <w:t>@Bean</w:t>
                    </w:r>
                  </w:p>
                  <w:p w14:paraId="4CC87C31" w14:textId="77777777" w:rsidR="00711A16" w:rsidRDefault="00711A16">
                    <w:pPr>
                      <w:spacing w:before="13" w:line="252" w:lineRule="auto"/>
                      <w:ind w:left="200" w:right="4768"/>
                      <w:rPr>
                        <w:rFonts w:ascii="MS Gothic"/>
                      </w:rPr>
                    </w:pPr>
                    <w:r>
                      <w:rPr>
                        <w:rFonts w:ascii="MS Gothic"/>
                        <w:color w:val="333333"/>
                      </w:rPr>
                      <w:t xml:space="preserve">public CouchbaseCacheManagerBuilderCustomizer </w:t>
                    </w:r>
                    <w:proofErr w:type="gramStart"/>
                    <w:r>
                      <w:rPr>
                        <w:rFonts w:ascii="MS Gothic"/>
                        <w:color w:val="333333"/>
                      </w:rPr>
                      <w:t>myCouchbaseCacheManagerBuilderCustomizer(</w:t>
                    </w:r>
                    <w:proofErr w:type="gramEnd"/>
                    <w:r>
                      <w:rPr>
                        <w:rFonts w:ascii="MS Gothic"/>
                        <w:color w:val="333333"/>
                      </w:rPr>
                      <w:t>) {</w:t>
                    </w:r>
                  </w:p>
                  <w:p w14:paraId="42514B5A" w14:textId="77777777" w:rsidR="00711A16" w:rsidRDefault="00711A16">
                    <w:pPr>
                      <w:spacing w:line="280" w:lineRule="exact"/>
                      <w:ind w:left="640"/>
                      <w:rPr>
                        <w:rFonts w:ascii="MS Gothic"/>
                      </w:rPr>
                    </w:pPr>
                    <w:r>
                      <w:rPr>
                        <w:rFonts w:ascii="MS Gothic"/>
                        <w:color w:val="333333"/>
                      </w:rPr>
                      <w:t>return (builder) -&gt; builder</w:t>
                    </w:r>
                  </w:p>
                  <w:p w14:paraId="43C49695" w14:textId="77777777" w:rsidR="00711A16" w:rsidRDefault="00711A16">
                    <w:pPr>
                      <w:spacing w:before="13"/>
                      <w:ind w:left="1520"/>
                      <w:rPr>
                        <w:rFonts w:ascii="MS Gothic"/>
                      </w:rPr>
                    </w:pPr>
                    <w:proofErr w:type="gramStart"/>
                    <w:r>
                      <w:rPr>
                        <w:rFonts w:ascii="MS Gothic"/>
                        <w:color w:val="333333"/>
                      </w:rPr>
                      <w:t>.withCacheConfiguration</w:t>
                    </w:r>
                    <w:proofErr w:type="gramEnd"/>
                    <w:r>
                      <w:rPr>
                        <w:rFonts w:ascii="MS Gothic"/>
                        <w:color w:val="333333"/>
                      </w:rPr>
                      <w:t>("cache1",</w:t>
                    </w:r>
                  </w:p>
                  <w:p w14:paraId="67D1B8A1" w14:textId="77777777" w:rsidR="00711A16" w:rsidRDefault="00711A16">
                    <w:pPr>
                      <w:rPr>
                        <w:rFonts w:ascii="MS Gothic"/>
                        <w:sz w:val="24"/>
                      </w:rPr>
                    </w:pPr>
                  </w:p>
                  <w:p w14:paraId="73A4E4E8" w14:textId="77777777" w:rsidR="00711A16" w:rsidRDefault="00711A16">
                    <w:pPr>
                      <w:ind w:left="200"/>
                      <w:rPr>
                        <w:rFonts w:ascii="MS Gothic"/>
                      </w:rPr>
                    </w:pPr>
                    <w:r>
                      <w:rPr>
                        <w:rFonts w:ascii="MS Gothic"/>
                        <w:color w:val="333333"/>
                      </w:rPr>
                      <w:t>CouchbaseCacheConfiguration.defaultCacheConfig(</w:t>
                    </w:r>
                    <w:proofErr w:type="gramStart"/>
                    <w:r>
                      <w:rPr>
                        <w:rFonts w:ascii="MS Gothic"/>
                        <w:color w:val="333333"/>
                      </w:rPr>
                      <w:t>).entryExpiry</w:t>
                    </w:r>
                    <w:proofErr w:type="gramEnd"/>
                    <w:r>
                      <w:rPr>
                        <w:rFonts w:ascii="MS Gothic"/>
                        <w:color w:val="333333"/>
                      </w:rPr>
                      <w:t>(Duration.ofSeconds(10)))</w:t>
                    </w:r>
                  </w:p>
                  <w:p w14:paraId="17EE921E" w14:textId="77777777" w:rsidR="00711A16" w:rsidRDefault="00711A16">
                    <w:pPr>
                      <w:spacing w:before="13" w:line="501" w:lineRule="auto"/>
                      <w:ind w:left="200" w:right="368" w:firstLine="1320"/>
                      <w:rPr>
                        <w:rFonts w:ascii="MS Gothic"/>
                      </w:rPr>
                    </w:pPr>
                    <w:proofErr w:type="gramStart"/>
                    <w:r>
                      <w:rPr>
                        <w:rFonts w:ascii="MS Gothic"/>
                        <w:color w:val="333333"/>
                      </w:rPr>
                      <w:t>.withCacheConfiguration</w:t>
                    </w:r>
                    <w:proofErr w:type="gramEnd"/>
                    <w:r>
                      <w:rPr>
                        <w:rFonts w:ascii="MS Gothic"/>
                        <w:color w:val="333333"/>
                      </w:rPr>
                      <w:t>("cache2", CouchbaseCacheConfiguration.defaultCacheConfig().entryExpiry(Duration.ofMinutes(1)));</w:t>
                    </w:r>
                  </w:p>
                  <w:p w14:paraId="366849DD"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6366A587" w14:textId="77777777" w:rsidR="00A720EB" w:rsidRDefault="00A720EB">
      <w:pPr>
        <w:pStyle w:val="a3"/>
        <w:spacing w:before="11"/>
        <w:rPr>
          <w:sz w:val="16"/>
        </w:rPr>
      </w:pPr>
    </w:p>
    <w:p w14:paraId="73E9202E" w14:textId="77777777" w:rsidR="00A720EB" w:rsidRDefault="0030286B">
      <w:pPr>
        <w:pStyle w:val="4"/>
        <w:spacing w:before="104"/>
        <w:jc w:val="left"/>
      </w:pPr>
      <w:bookmarkStart w:id="394" w:name="Redis"/>
      <w:bookmarkEnd w:id="394"/>
      <w:r>
        <w:rPr>
          <w:color w:val="333333"/>
          <w:w w:val="105"/>
        </w:rPr>
        <w:t>Redis</w:t>
      </w:r>
    </w:p>
    <w:p w14:paraId="51847361" w14:textId="77777777" w:rsidR="00A720EB" w:rsidRDefault="0030286B">
      <w:pPr>
        <w:pStyle w:val="a3"/>
        <w:spacing w:before="244" w:line="278" w:lineRule="auto"/>
        <w:ind w:left="124" w:right="126"/>
        <w:jc w:val="both"/>
      </w:pPr>
      <w:r>
        <w:rPr>
          <w:color w:val="333333"/>
          <w:w w:val="110"/>
        </w:rPr>
        <w:t xml:space="preserve">If </w:t>
      </w:r>
      <w:hyperlink r:id="rId274">
        <w:r>
          <w:rPr>
            <w:color w:val="418BCA"/>
            <w:w w:val="110"/>
          </w:rPr>
          <w:t>Redis</w:t>
        </w:r>
      </w:hyperlink>
      <w:r>
        <w:rPr>
          <w:color w:val="418BCA"/>
          <w:w w:val="110"/>
        </w:rPr>
        <w:t xml:space="preserve"> </w:t>
      </w:r>
      <w:r>
        <w:rPr>
          <w:color w:val="333333"/>
          <w:w w:val="110"/>
        </w:rPr>
        <w:t xml:space="preserve">is available and configured, a </w:t>
      </w:r>
      <w:r>
        <w:rPr>
          <w:rFonts w:ascii="MS Gothic"/>
          <w:color w:val="B02045"/>
          <w:w w:val="110"/>
        </w:rPr>
        <w:t xml:space="preserve">RedisCacheManager </w:t>
      </w:r>
      <w:r>
        <w:rPr>
          <w:color w:val="333333"/>
          <w:w w:val="110"/>
        </w:rPr>
        <w:t xml:space="preserve">is auto-configured. It is possible to create additional caches on startup </w:t>
      </w:r>
      <w:r>
        <w:rPr>
          <w:color w:val="333333"/>
          <w:spacing w:val="-3"/>
          <w:w w:val="110"/>
        </w:rPr>
        <w:t xml:space="preserve">by </w:t>
      </w:r>
      <w:r>
        <w:rPr>
          <w:color w:val="333333"/>
          <w:w w:val="110"/>
        </w:rPr>
        <w:t xml:space="preserve">setting the </w:t>
      </w:r>
      <w:proofErr w:type="gramStart"/>
      <w:r>
        <w:rPr>
          <w:rFonts w:ascii="MS Gothic"/>
          <w:color w:val="B02045"/>
          <w:w w:val="110"/>
        </w:rPr>
        <w:t>spring.cache</w:t>
      </w:r>
      <w:proofErr w:type="gramEnd"/>
      <w:r>
        <w:rPr>
          <w:rFonts w:ascii="MS Gothic"/>
          <w:color w:val="B02045"/>
          <w:w w:val="110"/>
        </w:rPr>
        <w:t xml:space="preserve">.cache-names </w:t>
      </w:r>
      <w:r>
        <w:rPr>
          <w:color w:val="333333"/>
          <w:w w:val="110"/>
        </w:rPr>
        <w:t xml:space="preserve">property and cache defaults can be configured </w:t>
      </w:r>
      <w:r>
        <w:rPr>
          <w:color w:val="333333"/>
          <w:spacing w:val="-3"/>
          <w:w w:val="110"/>
        </w:rPr>
        <w:t xml:space="preserve">by </w:t>
      </w:r>
      <w:r>
        <w:rPr>
          <w:color w:val="333333"/>
          <w:w w:val="110"/>
        </w:rPr>
        <w:t xml:space="preserve">using </w:t>
      </w:r>
      <w:r>
        <w:rPr>
          <w:rFonts w:ascii="MS Gothic"/>
          <w:color w:val="B02045"/>
          <w:w w:val="110"/>
        </w:rPr>
        <w:t xml:space="preserve">spring.cache.redis.* </w:t>
      </w:r>
      <w:r>
        <w:rPr>
          <w:color w:val="333333"/>
          <w:w w:val="110"/>
        </w:rPr>
        <w:t xml:space="preserve">properties. </w:t>
      </w:r>
      <w:r>
        <w:rPr>
          <w:color w:val="333333"/>
          <w:spacing w:val="-4"/>
          <w:w w:val="110"/>
        </w:rPr>
        <w:t xml:space="preserve">For </w:t>
      </w:r>
      <w:r>
        <w:rPr>
          <w:color w:val="333333"/>
          <w:w w:val="110"/>
        </w:rPr>
        <w:t xml:space="preserve">instance, the following configuration creates </w:t>
      </w:r>
      <w:r>
        <w:rPr>
          <w:rFonts w:ascii="MS Gothic"/>
          <w:color w:val="B02045"/>
          <w:w w:val="110"/>
        </w:rPr>
        <w:t>cache1</w:t>
      </w:r>
      <w:r>
        <w:rPr>
          <w:rFonts w:ascii="MS Gothic"/>
          <w:color w:val="B02045"/>
          <w:spacing w:val="-63"/>
          <w:w w:val="110"/>
        </w:rPr>
        <w:t xml:space="preserve"> </w:t>
      </w:r>
      <w:r>
        <w:rPr>
          <w:color w:val="333333"/>
          <w:w w:val="110"/>
        </w:rPr>
        <w:t xml:space="preserve">and </w:t>
      </w:r>
      <w:r>
        <w:rPr>
          <w:rFonts w:ascii="MS Gothic"/>
          <w:color w:val="B02045"/>
          <w:w w:val="110"/>
        </w:rPr>
        <w:t>cache2</w:t>
      </w:r>
      <w:r>
        <w:rPr>
          <w:rFonts w:ascii="MS Gothic"/>
          <w:color w:val="B02045"/>
          <w:spacing w:val="-63"/>
          <w:w w:val="110"/>
        </w:rPr>
        <w:t xml:space="preserve"> </w:t>
      </w:r>
      <w:r>
        <w:rPr>
          <w:color w:val="333333"/>
          <w:w w:val="110"/>
        </w:rPr>
        <w:t xml:space="preserve">caches with a </w:t>
      </w:r>
      <w:r>
        <w:rPr>
          <w:rFonts w:ascii="Palatino Linotype"/>
          <w:i/>
          <w:color w:val="333333"/>
          <w:w w:val="110"/>
        </w:rPr>
        <w:t xml:space="preserve">time to live </w:t>
      </w:r>
      <w:r>
        <w:rPr>
          <w:color w:val="333333"/>
          <w:w w:val="110"/>
        </w:rPr>
        <w:t>of 10 minutes:</w:t>
      </w:r>
    </w:p>
    <w:p w14:paraId="614B3504" w14:textId="77777777" w:rsidR="00A720EB" w:rsidRDefault="00E10349">
      <w:pPr>
        <w:pStyle w:val="a3"/>
        <w:spacing w:before="8"/>
        <w:rPr>
          <w:sz w:val="13"/>
        </w:rPr>
      </w:pPr>
      <w:r>
        <w:pict w14:anchorId="058E00F9">
          <v:group id="_x0000_s3927" style="position:absolute;margin-left:47.85pt;margin-top:10pt;width:499.55pt;height:52.25pt;z-index:-15426560;mso-wrap-distance-left:0;mso-wrap-distance-right:0;mso-position-horizontal-relative:page" coordorigin="957,200" coordsize="9991,1045">
            <v:shape id="_x0000_s3930" style="position:absolute;left:964;top:207;width:9976;height:1030" coordorigin="965,207" coordsize="9976,1030" path="m10861,207r-9816,l1014,214r-26,17l971,256r-6,31l965,1157r6,31l988,1214r26,17l1045,1237r9816,l10892,1231r25,-17l10935,1188r6,-31l10941,287r-6,-31l10917,231r-25,-17l10861,207xe" fillcolor="#f5f5f5" stroked="f">
              <v:path arrowok="t"/>
            </v:shape>
            <v:shape id="_x0000_s3929" style="position:absolute;left:964;top:207;width:9976;height:1030" coordorigin="965,207" coordsize="9976,1030" path="m1045,207r9816,l10892,214r25,17l10935,256r6,31l10941,1157r-6,31l10917,1214r-25,17l10861,1237r-9816,l1014,1231r-26,-17l971,1188r-6,-31l965,287r6,-31l988,231r26,-17l1045,207xe" filled="f" strokecolor="#ccc">
              <v:path arrowok="t"/>
            </v:shape>
            <v:shape id="_x0000_s3928" type="#_x0000_t202" style="position:absolute;left:984;top:222;width:9938;height:999" filled="f" stroked="f">
              <v:textbox inset="0,0,0,0">
                <w:txbxContent>
                  <w:p w14:paraId="77614891" w14:textId="77777777" w:rsidR="00711A16" w:rsidRDefault="00711A16">
                    <w:pPr>
                      <w:spacing w:before="221" w:line="252" w:lineRule="auto"/>
                      <w:ind w:left="200" w:right="5554"/>
                      <w:rPr>
                        <w:rFonts w:ascii="MS Gothic"/>
                      </w:rPr>
                    </w:pPr>
                    <w:proofErr w:type="gramStart"/>
                    <w:r>
                      <w:rPr>
                        <w:rFonts w:ascii="MS Gothic"/>
                        <w:color w:val="333333"/>
                      </w:rPr>
                      <w:t>spring.cache</w:t>
                    </w:r>
                    <w:proofErr w:type="gramEnd"/>
                    <w:r>
                      <w:rPr>
                        <w:rFonts w:ascii="MS Gothic"/>
                        <w:color w:val="333333"/>
                      </w:rPr>
                      <w:t>.cache-names=cache1,cache2 spring.cache.redis.time-to-live=600000</w:t>
                    </w:r>
                  </w:p>
                </w:txbxContent>
              </v:textbox>
            </v:shape>
            <w10:wrap type="topAndBottom" anchorx="page"/>
          </v:group>
        </w:pict>
      </w:r>
    </w:p>
    <w:p w14:paraId="1D3DC00F" w14:textId="77777777" w:rsidR="00A720EB" w:rsidRDefault="00A720EB">
      <w:pPr>
        <w:rPr>
          <w:sz w:val="13"/>
        </w:rPr>
        <w:sectPr w:rsidR="00A720EB">
          <w:pgSz w:w="11910" w:h="16840"/>
          <w:pgMar w:top="700" w:right="840" w:bottom="520" w:left="840" w:header="0" w:footer="323" w:gutter="0"/>
          <w:cols w:space="720"/>
        </w:sectPr>
      </w:pPr>
    </w:p>
    <w:p w14:paraId="64FDBE9D" w14:textId="77777777" w:rsidR="00A720EB" w:rsidRDefault="00E10349">
      <w:pPr>
        <w:pStyle w:val="a3"/>
        <w:spacing w:before="122" w:line="304" w:lineRule="auto"/>
        <w:ind w:left="1564" w:right="365"/>
        <w:jc w:val="both"/>
      </w:pPr>
      <w:r>
        <w:lastRenderedPageBreak/>
        <w:pict w14:anchorId="33C80535">
          <v:line id="_x0000_s3926" style="position:absolute;left:0;text-align:left;z-index:16033280;mso-position-horizontal-relative:page" from="108.25pt,.1pt" to="108.25pt,71.25pt" strokecolor="#ededed" strokeweight=".5pt">
            <w10:wrap anchorx="page"/>
          </v:line>
        </w:pict>
      </w:r>
      <w:r w:rsidR="0030286B">
        <w:rPr>
          <w:noProof/>
        </w:rPr>
        <w:drawing>
          <wp:anchor distT="0" distB="0" distL="0" distR="0" simplePos="0" relativeHeight="16033792" behindDoc="0" locked="0" layoutInCell="1" allowOverlap="1" wp14:anchorId="1B7C974D" wp14:editId="15C51EAC">
            <wp:simplePos x="0" y="0"/>
            <wp:positionH relativeFrom="page">
              <wp:posOffset>844422</wp:posOffset>
            </wp:positionH>
            <wp:positionV relativeFrom="paragraph">
              <wp:posOffset>303823</wp:posOffset>
            </wp:positionV>
            <wp:extent cx="298450" cy="298450"/>
            <wp:effectExtent l="0" t="0" r="0" b="0"/>
            <wp:wrapNone/>
            <wp:docPr id="3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3"/>
          <w:w w:val="110"/>
        </w:rPr>
        <w:t xml:space="preserve">By </w:t>
      </w:r>
      <w:r w:rsidR="0030286B">
        <w:rPr>
          <w:color w:val="333333"/>
          <w:w w:val="110"/>
        </w:rPr>
        <w:t xml:space="preserve">default, a key prefix is added so that, if two separate caches use the same </w:t>
      </w:r>
      <w:r w:rsidR="0030286B">
        <w:rPr>
          <w:color w:val="333333"/>
          <w:spacing w:val="-7"/>
          <w:w w:val="110"/>
        </w:rPr>
        <w:t xml:space="preserve">key, </w:t>
      </w:r>
      <w:r w:rsidR="0030286B">
        <w:rPr>
          <w:color w:val="333333"/>
          <w:w w:val="110"/>
        </w:rPr>
        <w:t xml:space="preserve">Redis does not have overlapping keys and cannot return invalid values.  </w:t>
      </w:r>
      <w:proofErr w:type="gramStart"/>
      <w:r w:rsidR="0030286B">
        <w:rPr>
          <w:color w:val="333333"/>
          <w:spacing w:val="-7"/>
          <w:w w:val="110"/>
        </w:rPr>
        <w:t xml:space="preserve">We  </w:t>
      </w:r>
      <w:r w:rsidR="0030286B">
        <w:rPr>
          <w:color w:val="333333"/>
          <w:w w:val="110"/>
        </w:rPr>
        <w:t>strongly</w:t>
      </w:r>
      <w:proofErr w:type="gramEnd"/>
      <w:r w:rsidR="0030286B">
        <w:rPr>
          <w:color w:val="333333"/>
          <w:w w:val="110"/>
        </w:rPr>
        <w:t xml:space="preserve"> recommend keeping this setting enabled if you create your own </w:t>
      </w:r>
      <w:r w:rsidR="0030286B">
        <w:rPr>
          <w:rFonts w:ascii="MS Gothic"/>
          <w:color w:val="B02045"/>
          <w:w w:val="110"/>
        </w:rPr>
        <w:t>RedisCacheManager</w:t>
      </w:r>
      <w:r w:rsidR="0030286B">
        <w:rPr>
          <w:color w:val="333333"/>
          <w:w w:val="110"/>
        </w:rPr>
        <w:t>.</w:t>
      </w:r>
    </w:p>
    <w:p w14:paraId="75866B97" w14:textId="77777777" w:rsidR="00A720EB" w:rsidRDefault="00A720EB">
      <w:pPr>
        <w:pStyle w:val="a3"/>
        <w:spacing w:before="11"/>
      </w:pPr>
    </w:p>
    <w:p w14:paraId="40DA88E6" w14:textId="77777777" w:rsidR="00A720EB" w:rsidRDefault="00E10349">
      <w:pPr>
        <w:pStyle w:val="a3"/>
        <w:spacing w:before="125" w:line="295" w:lineRule="auto"/>
        <w:ind w:left="1564" w:right="367"/>
        <w:jc w:val="both"/>
      </w:pPr>
      <w:r>
        <w:pict w14:anchorId="46365AB7">
          <v:line id="_x0000_s3925" style="position:absolute;left:0;text-align:left;z-index:16034304;mso-position-horizontal-relative:page" from="108.25pt,.25pt" to="108.25pt,55.6pt" strokecolor="#ededed" strokeweight=".5pt">
            <w10:wrap anchorx="page"/>
          </v:line>
        </w:pict>
      </w:r>
      <w:r w:rsidR="0030286B">
        <w:rPr>
          <w:noProof/>
        </w:rPr>
        <w:drawing>
          <wp:anchor distT="0" distB="0" distL="0" distR="0" simplePos="0" relativeHeight="16034816" behindDoc="0" locked="0" layoutInCell="1" allowOverlap="1" wp14:anchorId="2E42FB18" wp14:editId="5AA78EAD">
            <wp:simplePos x="0" y="0"/>
            <wp:positionH relativeFrom="page">
              <wp:posOffset>888949</wp:posOffset>
            </wp:positionH>
            <wp:positionV relativeFrom="paragraph">
              <wp:posOffset>202350</wp:posOffset>
            </wp:positionV>
            <wp:extent cx="209550" cy="304800"/>
            <wp:effectExtent l="0" t="0" r="0" b="0"/>
            <wp:wrapNone/>
            <wp:docPr id="38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 xml:space="preserve">You </w:t>
      </w:r>
      <w:r w:rsidR="0030286B">
        <w:rPr>
          <w:color w:val="333333"/>
          <w:w w:val="110"/>
        </w:rPr>
        <w:t xml:space="preserve">can take full control of the default configuration </w:t>
      </w:r>
      <w:r w:rsidR="0030286B">
        <w:rPr>
          <w:color w:val="333333"/>
          <w:spacing w:val="-3"/>
          <w:w w:val="110"/>
        </w:rPr>
        <w:t xml:space="preserve">by </w:t>
      </w:r>
      <w:r w:rsidR="0030286B">
        <w:rPr>
          <w:color w:val="333333"/>
          <w:w w:val="110"/>
        </w:rPr>
        <w:t xml:space="preserve">adding a </w:t>
      </w:r>
      <w:r w:rsidR="0030286B">
        <w:rPr>
          <w:rFonts w:ascii="MS Gothic" w:hAnsi="MS Gothic"/>
          <w:color w:val="B02045"/>
          <w:w w:val="110"/>
        </w:rPr>
        <w:t>RedisCacheConfiguration</w:t>
      </w:r>
      <w:r w:rsidR="0030286B">
        <w:rPr>
          <w:rFonts w:ascii="MS Gothic" w:hAnsi="MS Gothic"/>
          <w:color w:val="B02045"/>
          <w:spacing w:val="-73"/>
          <w:w w:val="110"/>
        </w:rPr>
        <w:t xml:space="preserve"> </w:t>
      </w:r>
      <w:r w:rsidR="0030286B">
        <w:rPr>
          <w:rFonts w:ascii="MS Gothic" w:hAnsi="MS Gothic"/>
          <w:color w:val="B02045"/>
          <w:w w:val="110"/>
        </w:rPr>
        <w:t>@Bean</w:t>
      </w:r>
      <w:r w:rsidR="0030286B">
        <w:rPr>
          <w:rFonts w:ascii="MS Gothic" w:hAnsi="MS Gothic"/>
          <w:color w:val="B02045"/>
          <w:spacing w:val="-73"/>
          <w:w w:val="110"/>
        </w:rPr>
        <w:t xml:space="preserve"> </w:t>
      </w:r>
      <w:r w:rsidR="0030286B">
        <w:rPr>
          <w:color w:val="333333"/>
          <w:w w:val="110"/>
        </w:rPr>
        <w:t>of</w:t>
      </w:r>
      <w:r w:rsidR="0030286B">
        <w:rPr>
          <w:color w:val="333333"/>
          <w:spacing w:val="-9"/>
          <w:w w:val="110"/>
        </w:rPr>
        <w:t xml:space="preserve"> </w:t>
      </w:r>
      <w:r w:rsidR="0030286B">
        <w:rPr>
          <w:color w:val="333333"/>
          <w:w w:val="110"/>
        </w:rPr>
        <w:t>your</w:t>
      </w:r>
      <w:r w:rsidR="0030286B">
        <w:rPr>
          <w:color w:val="333333"/>
          <w:spacing w:val="-8"/>
          <w:w w:val="110"/>
        </w:rPr>
        <w:t xml:space="preserve"> </w:t>
      </w:r>
      <w:r w:rsidR="0030286B">
        <w:rPr>
          <w:color w:val="333333"/>
          <w:w w:val="110"/>
        </w:rPr>
        <w:t>own.</w:t>
      </w:r>
      <w:r w:rsidR="0030286B">
        <w:rPr>
          <w:color w:val="333333"/>
          <w:spacing w:val="-9"/>
          <w:w w:val="110"/>
        </w:rPr>
        <w:t xml:space="preserve"> </w:t>
      </w:r>
      <w:r w:rsidR="0030286B">
        <w:rPr>
          <w:color w:val="333333"/>
          <w:w w:val="110"/>
        </w:rPr>
        <w:t>This</w:t>
      </w:r>
      <w:r w:rsidR="0030286B">
        <w:rPr>
          <w:color w:val="333333"/>
          <w:spacing w:val="-8"/>
          <w:w w:val="110"/>
        </w:rPr>
        <w:t xml:space="preserve"> </w:t>
      </w:r>
      <w:r w:rsidR="0030286B">
        <w:rPr>
          <w:color w:val="333333"/>
          <w:w w:val="110"/>
        </w:rPr>
        <w:t>can</w:t>
      </w:r>
      <w:r w:rsidR="0030286B">
        <w:rPr>
          <w:color w:val="333333"/>
          <w:spacing w:val="-9"/>
          <w:w w:val="110"/>
        </w:rPr>
        <w:t xml:space="preserve"> </w:t>
      </w:r>
      <w:r w:rsidR="0030286B">
        <w:rPr>
          <w:color w:val="333333"/>
          <w:w w:val="110"/>
        </w:rPr>
        <w:t>be</w:t>
      </w:r>
      <w:r w:rsidR="0030286B">
        <w:rPr>
          <w:color w:val="333333"/>
          <w:spacing w:val="-9"/>
          <w:w w:val="110"/>
        </w:rPr>
        <w:t xml:space="preserve"> </w:t>
      </w:r>
      <w:r w:rsidR="0030286B">
        <w:rPr>
          <w:color w:val="333333"/>
          <w:w w:val="110"/>
        </w:rPr>
        <w:t>useful</w:t>
      </w:r>
      <w:r w:rsidR="0030286B">
        <w:rPr>
          <w:color w:val="333333"/>
          <w:spacing w:val="-8"/>
          <w:w w:val="110"/>
        </w:rPr>
        <w:t xml:space="preserve"> </w:t>
      </w:r>
      <w:r w:rsidR="0030286B">
        <w:rPr>
          <w:color w:val="333333"/>
          <w:w w:val="110"/>
        </w:rPr>
        <w:t>if</w:t>
      </w:r>
      <w:r w:rsidR="0030286B">
        <w:rPr>
          <w:color w:val="333333"/>
          <w:spacing w:val="-9"/>
          <w:w w:val="110"/>
        </w:rPr>
        <w:t xml:space="preserve"> </w:t>
      </w:r>
      <w:r w:rsidR="0030286B">
        <w:rPr>
          <w:color w:val="333333"/>
          <w:w w:val="110"/>
        </w:rPr>
        <w:t>you’re</w:t>
      </w:r>
      <w:r w:rsidR="0030286B">
        <w:rPr>
          <w:color w:val="333333"/>
          <w:spacing w:val="-9"/>
          <w:w w:val="110"/>
        </w:rPr>
        <w:t xml:space="preserve"> </w:t>
      </w:r>
      <w:r w:rsidR="0030286B">
        <w:rPr>
          <w:color w:val="333333"/>
          <w:w w:val="110"/>
        </w:rPr>
        <w:t>looking</w:t>
      </w:r>
      <w:r w:rsidR="0030286B">
        <w:rPr>
          <w:color w:val="333333"/>
          <w:spacing w:val="-8"/>
          <w:w w:val="110"/>
        </w:rPr>
        <w:t xml:space="preserve"> </w:t>
      </w:r>
      <w:r w:rsidR="0030286B">
        <w:rPr>
          <w:color w:val="333333"/>
          <w:w w:val="110"/>
        </w:rPr>
        <w:t>for customizing the default serialization</w:t>
      </w:r>
      <w:r w:rsidR="0030286B">
        <w:rPr>
          <w:color w:val="333333"/>
          <w:spacing w:val="14"/>
          <w:w w:val="110"/>
        </w:rPr>
        <w:t xml:space="preserve"> </w:t>
      </w:r>
      <w:r w:rsidR="0030286B">
        <w:rPr>
          <w:color w:val="333333"/>
          <w:spacing w:val="-4"/>
          <w:w w:val="110"/>
        </w:rPr>
        <w:t>strategy.</w:t>
      </w:r>
    </w:p>
    <w:p w14:paraId="1AC2C1F0" w14:textId="77777777" w:rsidR="00A720EB" w:rsidRDefault="00A720EB">
      <w:pPr>
        <w:pStyle w:val="a3"/>
        <w:spacing w:before="6"/>
        <w:rPr>
          <w:sz w:val="17"/>
        </w:rPr>
      </w:pPr>
    </w:p>
    <w:p w14:paraId="3C96DA9F" w14:textId="77777777" w:rsidR="00A720EB" w:rsidRDefault="0030286B">
      <w:pPr>
        <w:pStyle w:val="a3"/>
        <w:spacing w:before="125" w:line="290" w:lineRule="auto"/>
        <w:ind w:left="124" w:right="124"/>
        <w:jc w:val="both"/>
      </w:pPr>
      <w:proofErr w:type="gramStart"/>
      <w:r>
        <w:rPr>
          <w:color w:val="333333"/>
          <w:w w:val="110"/>
        </w:rPr>
        <w:t>If  you</w:t>
      </w:r>
      <w:proofErr w:type="gramEnd"/>
      <w:r>
        <w:rPr>
          <w:color w:val="333333"/>
          <w:w w:val="110"/>
        </w:rPr>
        <w:t xml:space="preserve">  need  more  control  over  the  configuration,  consider  registering  a </w:t>
      </w:r>
      <w:r>
        <w:rPr>
          <w:rFonts w:ascii="MS Gothic"/>
          <w:color w:val="B02045"/>
          <w:w w:val="110"/>
        </w:rPr>
        <w:t xml:space="preserve">RedisCacheManagerBuilderCustomizer </w:t>
      </w:r>
      <w:r>
        <w:rPr>
          <w:color w:val="333333"/>
          <w:w w:val="110"/>
        </w:rPr>
        <w:t xml:space="preserve">bean. The following example shows a customizer that configures a specific time to live for </w:t>
      </w:r>
      <w:r>
        <w:rPr>
          <w:rFonts w:ascii="MS Gothic"/>
          <w:color w:val="B02045"/>
          <w:w w:val="110"/>
        </w:rPr>
        <w:t xml:space="preserve">cache1 </w:t>
      </w:r>
      <w:r>
        <w:rPr>
          <w:color w:val="333333"/>
          <w:w w:val="110"/>
        </w:rPr>
        <w:t xml:space="preserve">and </w:t>
      </w:r>
      <w:r>
        <w:rPr>
          <w:rFonts w:ascii="MS Gothic"/>
          <w:color w:val="B02045"/>
          <w:w w:val="110"/>
        </w:rPr>
        <w:t>cache2</w:t>
      </w:r>
      <w:r>
        <w:rPr>
          <w:color w:val="333333"/>
          <w:w w:val="110"/>
        </w:rPr>
        <w:t>:</w:t>
      </w:r>
    </w:p>
    <w:p w14:paraId="024DD5B7" w14:textId="77777777" w:rsidR="00A720EB" w:rsidRDefault="00E10349">
      <w:pPr>
        <w:pStyle w:val="a3"/>
        <w:spacing w:before="10"/>
        <w:rPr>
          <w:sz w:val="12"/>
        </w:rPr>
      </w:pPr>
      <w:r>
        <w:pict w14:anchorId="69195D36">
          <v:group id="_x0000_s3921" style="position:absolute;margin-left:47.85pt;margin-top:9.55pt;width:499.55pt;height:184.9pt;z-index:-15425024;mso-wrap-distance-left:0;mso-wrap-distance-right:0;mso-position-horizontal-relative:page" coordorigin="957,191" coordsize="9991,3698">
            <v:shape id="_x0000_s3924" style="position:absolute;left:964;top:198;width:9976;height:3683" coordorigin="965,198" coordsize="9976,3683" path="m10861,198r-9816,l1014,205r-26,17l971,247r-6,31l965,3801r6,31l988,3858r26,17l1045,3881r9816,l10892,3875r25,-17l10935,3832r6,-31l10941,278r-6,-31l10917,222r-25,-17l10861,198xe" fillcolor="#f5f5f5" stroked="f">
              <v:path arrowok="t"/>
            </v:shape>
            <v:shape id="_x0000_s3923" style="position:absolute;left:964;top:198;width:9976;height:3683" coordorigin="965,198" coordsize="9976,3683" path="m1045,198r9816,l10892,205r25,17l10935,247r6,31l10941,3801r-6,31l10917,3858r-25,17l10861,3881r-9816,l1014,3875r-26,-17l971,3832r-6,-31l965,278r6,-31l988,222r26,-17l1045,198xe" filled="f" strokecolor="#ccc">
              <v:path arrowok="t"/>
            </v:shape>
            <v:shape id="_x0000_s3922" type="#_x0000_t202" style="position:absolute;left:984;top:213;width:9938;height:3652" filled="f" stroked="f">
              <v:textbox inset="0,0,0,0">
                <w:txbxContent>
                  <w:p w14:paraId="60CFA77E" w14:textId="77777777" w:rsidR="00711A16" w:rsidRDefault="00711A16">
                    <w:pPr>
                      <w:spacing w:before="221"/>
                      <w:ind w:left="200"/>
                      <w:rPr>
                        <w:rFonts w:ascii="MS Gothic"/>
                      </w:rPr>
                    </w:pPr>
                    <w:r>
                      <w:rPr>
                        <w:rFonts w:ascii="MS Gothic"/>
                        <w:color w:val="333333"/>
                      </w:rPr>
                      <w:t>@Bean</w:t>
                    </w:r>
                  </w:p>
                  <w:p w14:paraId="1959650B" w14:textId="77777777" w:rsidR="00711A16" w:rsidRDefault="00711A16">
                    <w:pPr>
                      <w:spacing w:before="13" w:line="252" w:lineRule="auto"/>
                      <w:ind w:left="640" w:right="698" w:hanging="440"/>
                      <w:rPr>
                        <w:rFonts w:ascii="MS Gothic"/>
                      </w:rPr>
                    </w:pPr>
                    <w:r>
                      <w:rPr>
                        <w:rFonts w:ascii="MS Gothic"/>
                        <w:color w:val="333333"/>
                      </w:rPr>
                      <w:t xml:space="preserve">public RedisCacheManagerBuilderCustomizer </w:t>
                    </w:r>
                    <w:proofErr w:type="gramStart"/>
                    <w:r>
                      <w:rPr>
                        <w:rFonts w:ascii="MS Gothic"/>
                        <w:color w:val="333333"/>
                      </w:rPr>
                      <w:t>myRedisCacheManagerBuilderCustomizer(</w:t>
                    </w:r>
                    <w:proofErr w:type="gramEnd"/>
                    <w:r>
                      <w:rPr>
                        <w:rFonts w:ascii="MS Gothic"/>
                        <w:color w:val="333333"/>
                      </w:rPr>
                      <w:t>) { return (builder) -&gt; builder</w:t>
                    </w:r>
                  </w:p>
                  <w:p w14:paraId="1586096D" w14:textId="77777777" w:rsidR="00711A16" w:rsidRDefault="00711A16">
                    <w:pPr>
                      <w:spacing w:line="280" w:lineRule="exact"/>
                      <w:ind w:left="1520"/>
                      <w:rPr>
                        <w:rFonts w:ascii="MS Gothic"/>
                      </w:rPr>
                    </w:pPr>
                    <w:proofErr w:type="gramStart"/>
                    <w:r>
                      <w:rPr>
                        <w:rFonts w:ascii="MS Gothic"/>
                        <w:color w:val="333333"/>
                      </w:rPr>
                      <w:t>.withCacheConfiguration</w:t>
                    </w:r>
                    <w:proofErr w:type="gramEnd"/>
                    <w:r>
                      <w:rPr>
                        <w:rFonts w:ascii="MS Gothic"/>
                        <w:color w:val="333333"/>
                      </w:rPr>
                      <w:t>("cache1",</w:t>
                    </w:r>
                  </w:p>
                  <w:p w14:paraId="52245770" w14:textId="77777777" w:rsidR="00711A16" w:rsidRDefault="00711A16">
                    <w:pPr>
                      <w:rPr>
                        <w:rFonts w:ascii="MS Gothic"/>
                        <w:sz w:val="24"/>
                      </w:rPr>
                    </w:pPr>
                  </w:p>
                  <w:p w14:paraId="573B5068" w14:textId="77777777" w:rsidR="00711A16" w:rsidRDefault="00711A16">
                    <w:pPr>
                      <w:ind w:left="200"/>
                      <w:rPr>
                        <w:rFonts w:ascii="MS Gothic"/>
                      </w:rPr>
                    </w:pPr>
                    <w:r>
                      <w:rPr>
                        <w:rFonts w:ascii="MS Gothic"/>
                        <w:color w:val="333333"/>
                      </w:rPr>
                      <w:t>RedisCacheConfiguration.defaultCacheConfig(</w:t>
                    </w:r>
                    <w:proofErr w:type="gramStart"/>
                    <w:r>
                      <w:rPr>
                        <w:rFonts w:ascii="MS Gothic"/>
                        <w:color w:val="333333"/>
                      </w:rPr>
                      <w:t>).entryTtl</w:t>
                    </w:r>
                    <w:proofErr w:type="gramEnd"/>
                    <w:r>
                      <w:rPr>
                        <w:rFonts w:ascii="MS Gothic"/>
                        <w:color w:val="333333"/>
                      </w:rPr>
                      <w:t>(Duration.ofSeconds(10)))</w:t>
                    </w:r>
                  </w:p>
                  <w:p w14:paraId="19889521" w14:textId="77777777" w:rsidR="00711A16" w:rsidRDefault="00711A16">
                    <w:pPr>
                      <w:spacing w:before="13" w:line="501" w:lineRule="auto"/>
                      <w:ind w:left="200" w:right="1138" w:firstLine="1320"/>
                      <w:rPr>
                        <w:rFonts w:ascii="MS Gothic"/>
                      </w:rPr>
                    </w:pPr>
                    <w:proofErr w:type="gramStart"/>
                    <w:r>
                      <w:rPr>
                        <w:rFonts w:ascii="MS Gothic"/>
                        <w:color w:val="333333"/>
                      </w:rPr>
                      <w:t>.withCacheConfiguration</w:t>
                    </w:r>
                    <w:proofErr w:type="gramEnd"/>
                    <w:r>
                      <w:rPr>
                        <w:rFonts w:ascii="MS Gothic"/>
                        <w:color w:val="333333"/>
                      </w:rPr>
                      <w:t>("cache2", RedisCacheConfiguration.defaultCacheConfig().entryTtl(Duration.ofMinutes(1)));</w:t>
                    </w:r>
                  </w:p>
                  <w:p w14:paraId="27CDC352"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7F0C79AF" w14:textId="77777777" w:rsidR="00A720EB" w:rsidRDefault="00A720EB">
      <w:pPr>
        <w:pStyle w:val="a3"/>
        <w:spacing w:before="11"/>
        <w:rPr>
          <w:sz w:val="16"/>
        </w:rPr>
      </w:pPr>
    </w:p>
    <w:p w14:paraId="1CA5353A" w14:textId="77777777" w:rsidR="00A720EB" w:rsidRDefault="0030286B">
      <w:pPr>
        <w:pStyle w:val="4"/>
        <w:spacing w:before="104"/>
        <w:jc w:val="left"/>
      </w:pPr>
      <w:bookmarkStart w:id="395" w:name="Caffeine"/>
      <w:bookmarkEnd w:id="395"/>
      <w:r>
        <w:rPr>
          <w:color w:val="333333"/>
          <w:w w:val="110"/>
        </w:rPr>
        <w:t>Caffeine</w:t>
      </w:r>
    </w:p>
    <w:p w14:paraId="08F7A5D9" w14:textId="77777777" w:rsidR="00A720EB" w:rsidRDefault="00A720EB">
      <w:pPr>
        <w:pStyle w:val="a3"/>
        <w:spacing w:before="11"/>
        <w:rPr>
          <w:rFonts w:ascii="Palatino Linotype"/>
          <w:b/>
          <w:sz w:val="18"/>
        </w:rPr>
      </w:pPr>
    </w:p>
    <w:p w14:paraId="1FA23D04" w14:textId="77777777" w:rsidR="00A720EB" w:rsidRDefault="00E10349">
      <w:pPr>
        <w:pStyle w:val="a3"/>
        <w:spacing w:line="290" w:lineRule="auto"/>
        <w:ind w:left="124" w:right="123"/>
        <w:jc w:val="both"/>
      </w:pPr>
      <w:hyperlink r:id="rId275">
        <w:r w:rsidR="0030286B">
          <w:rPr>
            <w:color w:val="418BCA"/>
            <w:w w:val="110"/>
          </w:rPr>
          <w:t>Caffeine</w:t>
        </w:r>
      </w:hyperlink>
      <w:r w:rsidR="0030286B">
        <w:rPr>
          <w:color w:val="418BCA"/>
          <w:w w:val="110"/>
        </w:rPr>
        <w:t xml:space="preserve"> </w:t>
      </w:r>
      <w:r w:rsidR="0030286B">
        <w:rPr>
          <w:color w:val="333333"/>
          <w:w w:val="110"/>
        </w:rPr>
        <w:t xml:space="preserve">is a Java 8 rewrite of Guava’s cache that supersedes support for Guava. </w:t>
      </w:r>
      <w:proofErr w:type="gramStart"/>
      <w:r w:rsidR="0030286B">
        <w:rPr>
          <w:color w:val="333333"/>
          <w:w w:val="110"/>
        </w:rPr>
        <w:t>If  Caffeine</w:t>
      </w:r>
      <w:proofErr w:type="gramEnd"/>
      <w:r w:rsidR="0030286B">
        <w:rPr>
          <w:color w:val="333333"/>
          <w:w w:val="110"/>
        </w:rPr>
        <w:t xml:space="preserve">  is  present, a </w:t>
      </w:r>
      <w:r w:rsidR="0030286B">
        <w:rPr>
          <w:rFonts w:ascii="MS Gothic" w:hAnsi="MS Gothic"/>
          <w:color w:val="B02045"/>
          <w:w w:val="110"/>
        </w:rPr>
        <w:t xml:space="preserve">CaffeineCacheManager </w:t>
      </w:r>
      <w:r w:rsidR="0030286B">
        <w:rPr>
          <w:color w:val="333333"/>
          <w:w w:val="110"/>
        </w:rPr>
        <w:t xml:space="preserve">(provided </w:t>
      </w:r>
      <w:r w:rsidR="0030286B">
        <w:rPr>
          <w:color w:val="333333"/>
          <w:spacing w:val="-3"/>
          <w:w w:val="110"/>
        </w:rPr>
        <w:t xml:space="preserve">by </w:t>
      </w:r>
      <w:r w:rsidR="0030286B">
        <w:rPr>
          <w:color w:val="333333"/>
          <w:w w:val="110"/>
        </w:rPr>
        <w:t xml:space="preserve">the </w:t>
      </w:r>
      <w:r w:rsidR="0030286B">
        <w:rPr>
          <w:rFonts w:ascii="MS Gothic" w:hAnsi="MS Gothic"/>
          <w:color w:val="B02045"/>
          <w:w w:val="110"/>
        </w:rPr>
        <w:t xml:space="preserve">spring-boot-starter-cache </w:t>
      </w:r>
      <w:r w:rsidR="0030286B">
        <w:rPr>
          <w:color w:val="333333"/>
          <w:w w:val="110"/>
        </w:rPr>
        <w:t xml:space="preserve">“Starter”) is auto- configured. Caches can be created on startup </w:t>
      </w:r>
      <w:r w:rsidR="0030286B">
        <w:rPr>
          <w:color w:val="333333"/>
          <w:spacing w:val="-3"/>
          <w:w w:val="110"/>
        </w:rPr>
        <w:t xml:space="preserve">by </w:t>
      </w:r>
      <w:r w:rsidR="0030286B">
        <w:rPr>
          <w:color w:val="333333"/>
          <w:w w:val="110"/>
        </w:rPr>
        <w:t xml:space="preserve">setting the </w:t>
      </w:r>
      <w:proofErr w:type="gramStart"/>
      <w:r w:rsidR="0030286B">
        <w:rPr>
          <w:rFonts w:ascii="MS Gothic" w:hAnsi="MS Gothic"/>
          <w:color w:val="B02045"/>
          <w:w w:val="110"/>
        </w:rPr>
        <w:t>spring.cache</w:t>
      </w:r>
      <w:proofErr w:type="gramEnd"/>
      <w:r w:rsidR="0030286B">
        <w:rPr>
          <w:rFonts w:ascii="MS Gothic" w:hAnsi="MS Gothic"/>
          <w:color w:val="B02045"/>
          <w:w w:val="110"/>
        </w:rPr>
        <w:t>.cache-names</w:t>
      </w:r>
      <w:r w:rsidR="0030286B">
        <w:rPr>
          <w:rFonts w:ascii="MS Gothic" w:hAnsi="MS Gothic"/>
          <w:color w:val="B02045"/>
          <w:spacing w:val="-77"/>
          <w:w w:val="110"/>
        </w:rPr>
        <w:t xml:space="preserve"> </w:t>
      </w:r>
      <w:r w:rsidR="0030286B">
        <w:rPr>
          <w:color w:val="333333"/>
          <w:w w:val="110"/>
        </w:rPr>
        <w:t xml:space="preserve">property and can be customized </w:t>
      </w:r>
      <w:r w:rsidR="0030286B">
        <w:rPr>
          <w:color w:val="333333"/>
          <w:spacing w:val="-3"/>
          <w:w w:val="110"/>
        </w:rPr>
        <w:t xml:space="preserve">by </w:t>
      </w:r>
      <w:r w:rsidR="0030286B">
        <w:rPr>
          <w:color w:val="333333"/>
          <w:w w:val="110"/>
        </w:rPr>
        <w:t>one of the following (in the indicated</w:t>
      </w:r>
      <w:r w:rsidR="0030286B">
        <w:rPr>
          <w:color w:val="333333"/>
          <w:spacing w:val="40"/>
          <w:w w:val="110"/>
        </w:rPr>
        <w:t xml:space="preserve"> </w:t>
      </w:r>
      <w:r w:rsidR="0030286B">
        <w:rPr>
          <w:color w:val="333333"/>
          <w:w w:val="110"/>
        </w:rPr>
        <w:t>order):</w:t>
      </w:r>
    </w:p>
    <w:p w14:paraId="2E0B8B5C" w14:textId="77777777" w:rsidR="00A720EB" w:rsidRDefault="0030286B">
      <w:pPr>
        <w:pStyle w:val="a6"/>
        <w:numPr>
          <w:ilvl w:val="0"/>
          <w:numId w:val="38"/>
        </w:numPr>
        <w:tabs>
          <w:tab w:val="left" w:pos="485"/>
        </w:tabs>
        <w:spacing w:before="245"/>
        <w:rPr>
          <w:rFonts w:ascii="MS Gothic"/>
          <w:sz w:val="21"/>
        </w:rPr>
      </w:pPr>
      <w:r>
        <w:rPr>
          <w:color w:val="333333"/>
          <w:w w:val="110"/>
          <w:sz w:val="21"/>
        </w:rPr>
        <w:t xml:space="preserve">A cache spec defined </w:t>
      </w:r>
      <w:r>
        <w:rPr>
          <w:color w:val="333333"/>
          <w:spacing w:val="-3"/>
          <w:w w:val="110"/>
          <w:sz w:val="21"/>
        </w:rPr>
        <w:t>by</w:t>
      </w:r>
      <w:r>
        <w:rPr>
          <w:color w:val="333333"/>
          <w:spacing w:val="3"/>
          <w:w w:val="110"/>
          <w:sz w:val="21"/>
        </w:rPr>
        <w:t xml:space="preserve"> </w:t>
      </w:r>
      <w:proofErr w:type="gramStart"/>
      <w:r>
        <w:rPr>
          <w:rFonts w:ascii="MS Gothic"/>
          <w:color w:val="B02045"/>
          <w:w w:val="110"/>
          <w:sz w:val="21"/>
        </w:rPr>
        <w:t>spring.cache</w:t>
      </w:r>
      <w:proofErr w:type="gramEnd"/>
      <w:r>
        <w:rPr>
          <w:rFonts w:ascii="MS Gothic"/>
          <w:color w:val="B02045"/>
          <w:w w:val="110"/>
          <w:sz w:val="21"/>
        </w:rPr>
        <w:t>.caffeine.spec</w:t>
      </w:r>
    </w:p>
    <w:p w14:paraId="0BEE1826" w14:textId="77777777" w:rsidR="00A720EB" w:rsidRDefault="0030286B">
      <w:pPr>
        <w:pStyle w:val="a6"/>
        <w:numPr>
          <w:ilvl w:val="0"/>
          <w:numId w:val="38"/>
        </w:numPr>
        <w:tabs>
          <w:tab w:val="left" w:pos="485"/>
        </w:tabs>
        <w:spacing w:before="167"/>
        <w:rPr>
          <w:sz w:val="21"/>
        </w:rPr>
      </w:pPr>
      <w:r>
        <w:rPr>
          <w:color w:val="333333"/>
          <w:w w:val="110"/>
          <w:sz w:val="21"/>
        </w:rPr>
        <w:t xml:space="preserve">A </w:t>
      </w:r>
      <w:proofErr w:type="gramStart"/>
      <w:r>
        <w:rPr>
          <w:rFonts w:ascii="MS Gothic"/>
          <w:color w:val="B02045"/>
          <w:w w:val="110"/>
          <w:sz w:val="21"/>
        </w:rPr>
        <w:t>com.github</w:t>
      </w:r>
      <w:proofErr w:type="gramEnd"/>
      <w:r>
        <w:rPr>
          <w:rFonts w:ascii="MS Gothic"/>
          <w:color w:val="B02045"/>
          <w:w w:val="110"/>
          <w:sz w:val="21"/>
        </w:rPr>
        <w:t>.benmanes.caffeine.cache.CaffeineSpec</w:t>
      </w:r>
      <w:r>
        <w:rPr>
          <w:rFonts w:ascii="MS Gothic"/>
          <w:color w:val="B02045"/>
          <w:spacing w:val="-85"/>
          <w:w w:val="110"/>
          <w:sz w:val="21"/>
        </w:rPr>
        <w:t xml:space="preserve"> </w:t>
      </w:r>
      <w:r>
        <w:rPr>
          <w:color w:val="333333"/>
          <w:w w:val="110"/>
          <w:sz w:val="21"/>
        </w:rPr>
        <w:t>bean is defined</w:t>
      </w:r>
    </w:p>
    <w:p w14:paraId="48212778" w14:textId="77777777" w:rsidR="00A720EB" w:rsidRDefault="0030286B">
      <w:pPr>
        <w:pStyle w:val="a6"/>
        <w:numPr>
          <w:ilvl w:val="0"/>
          <w:numId w:val="38"/>
        </w:numPr>
        <w:tabs>
          <w:tab w:val="left" w:pos="485"/>
        </w:tabs>
        <w:spacing w:before="166"/>
        <w:rPr>
          <w:sz w:val="21"/>
        </w:rPr>
      </w:pPr>
      <w:r>
        <w:rPr>
          <w:color w:val="333333"/>
          <w:w w:val="110"/>
          <w:sz w:val="21"/>
        </w:rPr>
        <w:t xml:space="preserve">A </w:t>
      </w:r>
      <w:proofErr w:type="gramStart"/>
      <w:r>
        <w:rPr>
          <w:rFonts w:ascii="MS Gothic"/>
          <w:color w:val="B02045"/>
          <w:w w:val="110"/>
          <w:sz w:val="21"/>
        </w:rPr>
        <w:t>com.github</w:t>
      </w:r>
      <w:proofErr w:type="gramEnd"/>
      <w:r>
        <w:rPr>
          <w:rFonts w:ascii="MS Gothic"/>
          <w:color w:val="B02045"/>
          <w:w w:val="110"/>
          <w:sz w:val="21"/>
        </w:rPr>
        <w:t>.benmanes.caffeine.cache.Caffeine</w:t>
      </w:r>
      <w:r>
        <w:rPr>
          <w:rFonts w:ascii="MS Gothic"/>
          <w:color w:val="B02045"/>
          <w:spacing w:val="-79"/>
          <w:w w:val="110"/>
          <w:sz w:val="21"/>
        </w:rPr>
        <w:t xml:space="preserve"> </w:t>
      </w:r>
      <w:r>
        <w:rPr>
          <w:color w:val="333333"/>
          <w:w w:val="110"/>
          <w:sz w:val="21"/>
        </w:rPr>
        <w:t>bean is defined</w:t>
      </w:r>
    </w:p>
    <w:p w14:paraId="3AF4133E" w14:textId="77777777" w:rsidR="00A720EB" w:rsidRDefault="00A720EB">
      <w:pPr>
        <w:pStyle w:val="a3"/>
        <w:spacing w:before="5"/>
        <w:rPr>
          <w:sz w:val="24"/>
        </w:rPr>
      </w:pPr>
    </w:p>
    <w:p w14:paraId="4092F389" w14:textId="77777777" w:rsidR="00A720EB" w:rsidRDefault="0030286B">
      <w:pPr>
        <w:pStyle w:val="a3"/>
        <w:spacing w:before="1" w:line="271" w:lineRule="auto"/>
        <w:ind w:left="124" w:right="125"/>
        <w:jc w:val="both"/>
      </w:pPr>
      <w:r>
        <w:rPr>
          <w:color w:val="333333"/>
          <w:spacing w:val="-4"/>
          <w:w w:val="115"/>
        </w:rPr>
        <w:t>For</w:t>
      </w:r>
      <w:r>
        <w:rPr>
          <w:color w:val="333333"/>
          <w:spacing w:val="-18"/>
          <w:w w:val="115"/>
        </w:rPr>
        <w:t xml:space="preserve"> </w:t>
      </w:r>
      <w:r>
        <w:rPr>
          <w:color w:val="333333"/>
          <w:w w:val="115"/>
        </w:rPr>
        <w:t>instance,</w:t>
      </w:r>
      <w:r>
        <w:rPr>
          <w:color w:val="333333"/>
          <w:spacing w:val="-18"/>
          <w:w w:val="115"/>
        </w:rPr>
        <w:t xml:space="preserve"> </w:t>
      </w:r>
      <w:r>
        <w:rPr>
          <w:color w:val="333333"/>
          <w:w w:val="115"/>
        </w:rPr>
        <w:t>the</w:t>
      </w:r>
      <w:r>
        <w:rPr>
          <w:color w:val="333333"/>
          <w:spacing w:val="-17"/>
          <w:w w:val="115"/>
        </w:rPr>
        <w:t xml:space="preserve"> </w:t>
      </w:r>
      <w:r>
        <w:rPr>
          <w:color w:val="333333"/>
          <w:w w:val="115"/>
        </w:rPr>
        <w:t>following</w:t>
      </w:r>
      <w:r>
        <w:rPr>
          <w:color w:val="333333"/>
          <w:spacing w:val="-18"/>
          <w:w w:val="115"/>
        </w:rPr>
        <w:t xml:space="preserve"> </w:t>
      </w:r>
      <w:r>
        <w:rPr>
          <w:color w:val="333333"/>
          <w:w w:val="115"/>
        </w:rPr>
        <w:t>configuration</w:t>
      </w:r>
      <w:r>
        <w:rPr>
          <w:color w:val="333333"/>
          <w:spacing w:val="-17"/>
          <w:w w:val="115"/>
        </w:rPr>
        <w:t xml:space="preserve"> </w:t>
      </w:r>
      <w:r>
        <w:rPr>
          <w:color w:val="333333"/>
          <w:w w:val="115"/>
        </w:rPr>
        <w:t>creates</w:t>
      </w:r>
      <w:r>
        <w:rPr>
          <w:color w:val="333333"/>
          <w:spacing w:val="-16"/>
          <w:w w:val="115"/>
        </w:rPr>
        <w:t xml:space="preserve"> </w:t>
      </w:r>
      <w:r>
        <w:rPr>
          <w:rFonts w:ascii="MS Gothic"/>
          <w:color w:val="B02045"/>
          <w:w w:val="115"/>
        </w:rPr>
        <w:t>cache1</w:t>
      </w:r>
      <w:r>
        <w:rPr>
          <w:rFonts w:ascii="MS Gothic"/>
          <w:color w:val="B02045"/>
          <w:spacing w:val="-85"/>
          <w:w w:val="115"/>
        </w:rPr>
        <w:t xml:space="preserve"> </w:t>
      </w:r>
      <w:r>
        <w:rPr>
          <w:color w:val="333333"/>
          <w:w w:val="115"/>
        </w:rPr>
        <w:t>and</w:t>
      </w:r>
      <w:r>
        <w:rPr>
          <w:color w:val="333333"/>
          <w:spacing w:val="-17"/>
          <w:w w:val="115"/>
        </w:rPr>
        <w:t xml:space="preserve"> </w:t>
      </w:r>
      <w:r>
        <w:rPr>
          <w:rFonts w:ascii="MS Gothic"/>
          <w:color w:val="B02045"/>
          <w:w w:val="115"/>
        </w:rPr>
        <w:t>cache2</w:t>
      </w:r>
      <w:r>
        <w:rPr>
          <w:rFonts w:ascii="MS Gothic"/>
          <w:color w:val="B02045"/>
          <w:spacing w:val="-85"/>
          <w:w w:val="115"/>
        </w:rPr>
        <w:t xml:space="preserve"> </w:t>
      </w:r>
      <w:r>
        <w:rPr>
          <w:color w:val="333333"/>
          <w:w w:val="115"/>
        </w:rPr>
        <w:t>caches</w:t>
      </w:r>
      <w:r>
        <w:rPr>
          <w:color w:val="333333"/>
          <w:spacing w:val="-17"/>
          <w:w w:val="115"/>
        </w:rPr>
        <w:t xml:space="preserve"> </w:t>
      </w:r>
      <w:r>
        <w:rPr>
          <w:color w:val="333333"/>
          <w:w w:val="115"/>
        </w:rPr>
        <w:t>with</w:t>
      </w:r>
      <w:r>
        <w:rPr>
          <w:color w:val="333333"/>
          <w:spacing w:val="-18"/>
          <w:w w:val="115"/>
        </w:rPr>
        <w:t xml:space="preserve"> </w:t>
      </w:r>
      <w:r>
        <w:rPr>
          <w:color w:val="333333"/>
          <w:w w:val="115"/>
        </w:rPr>
        <w:t>a</w:t>
      </w:r>
      <w:r>
        <w:rPr>
          <w:color w:val="333333"/>
          <w:spacing w:val="-18"/>
          <w:w w:val="115"/>
        </w:rPr>
        <w:t xml:space="preserve"> </w:t>
      </w:r>
      <w:r>
        <w:rPr>
          <w:color w:val="333333"/>
          <w:w w:val="115"/>
        </w:rPr>
        <w:t>maximum</w:t>
      </w:r>
      <w:r>
        <w:rPr>
          <w:color w:val="333333"/>
          <w:spacing w:val="-17"/>
          <w:w w:val="115"/>
        </w:rPr>
        <w:t xml:space="preserve"> </w:t>
      </w:r>
      <w:r>
        <w:rPr>
          <w:color w:val="333333"/>
          <w:w w:val="115"/>
        </w:rPr>
        <w:t>size</w:t>
      </w:r>
      <w:r>
        <w:rPr>
          <w:color w:val="333333"/>
          <w:spacing w:val="-18"/>
          <w:w w:val="115"/>
        </w:rPr>
        <w:t xml:space="preserve"> </w:t>
      </w:r>
      <w:r>
        <w:rPr>
          <w:color w:val="333333"/>
          <w:w w:val="115"/>
        </w:rPr>
        <w:t xml:space="preserve">of 500 and a </w:t>
      </w:r>
      <w:r>
        <w:rPr>
          <w:rFonts w:ascii="Palatino Linotype"/>
          <w:i/>
          <w:color w:val="333333"/>
          <w:w w:val="115"/>
        </w:rPr>
        <w:t xml:space="preserve">time to live </w:t>
      </w:r>
      <w:r>
        <w:rPr>
          <w:color w:val="333333"/>
          <w:w w:val="115"/>
        </w:rPr>
        <w:t>of 10</w:t>
      </w:r>
      <w:r>
        <w:rPr>
          <w:color w:val="333333"/>
          <w:spacing w:val="-24"/>
          <w:w w:val="115"/>
        </w:rPr>
        <w:t xml:space="preserve"> </w:t>
      </w:r>
      <w:r>
        <w:rPr>
          <w:color w:val="333333"/>
          <w:w w:val="115"/>
        </w:rPr>
        <w:t>minutes</w:t>
      </w:r>
    </w:p>
    <w:p w14:paraId="6095A995" w14:textId="77777777" w:rsidR="00A720EB" w:rsidRDefault="00E10349">
      <w:pPr>
        <w:pStyle w:val="a3"/>
        <w:spacing w:before="6"/>
        <w:rPr>
          <w:sz w:val="14"/>
        </w:rPr>
      </w:pPr>
      <w:r>
        <w:pict w14:anchorId="0D19BCB5">
          <v:group id="_x0000_s3917" style="position:absolute;margin-left:47.85pt;margin-top:10.5pt;width:499.55pt;height:52.25pt;z-index:-15424512;mso-wrap-distance-left:0;mso-wrap-distance-right:0;mso-position-horizontal-relative:page" coordorigin="957,210" coordsize="9991,1045">
            <v:shape id="_x0000_s3920" style="position:absolute;left:964;top:217;width:9976;height:1030" coordorigin="965,218" coordsize="9976,1030" path="m10861,218r-9816,l1014,224r-26,17l971,266r-6,32l965,1167r6,31l988,1224r26,17l1045,1247r9816,l10892,1241r25,-17l10935,1198r6,-31l10941,298r-6,-32l10917,241r-25,-17l10861,218xe" fillcolor="#f5f5f5" stroked="f">
              <v:path arrowok="t"/>
            </v:shape>
            <v:shape id="_x0000_s3919" style="position:absolute;left:964;top:217;width:9976;height:1030" coordorigin="965,218" coordsize="9976,1030" path="m1045,218r9816,l10892,224r25,17l10935,266r6,32l10941,1167r-6,31l10917,1224r-25,17l10861,1247r-9816,l1014,1241r-26,-17l971,1198r-6,-31l965,298r6,-32l988,241r26,-17l1045,218xe" filled="f" strokecolor="#ccc">
              <v:path arrowok="t"/>
            </v:shape>
            <v:shape id="_x0000_s3918" type="#_x0000_t202" style="position:absolute;left:984;top:233;width:9938;height:999" filled="f" stroked="f">
              <v:textbox inset="0,0,0,0">
                <w:txbxContent>
                  <w:p w14:paraId="5026DBE6" w14:textId="77777777" w:rsidR="00711A16" w:rsidRDefault="00711A16">
                    <w:pPr>
                      <w:spacing w:before="221" w:line="252" w:lineRule="auto"/>
                      <w:ind w:left="200" w:right="2568"/>
                      <w:rPr>
                        <w:rFonts w:ascii="MS Gothic"/>
                      </w:rPr>
                    </w:pPr>
                    <w:proofErr w:type="gramStart"/>
                    <w:r>
                      <w:rPr>
                        <w:rFonts w:ascii="MS Gothic"/>
                        <w:color w:val="333333"/>
                      </w:rPr>
                      <w:t>spring.cache</w:t>
                    </w:r>
                    <w:proofErr w:type="gramEnd"/>
                    <w:r>
                      <w:rPr>
                        <w:rFonts w:ascii="MS Gothic"/>
                        <w:color w:val="333333"/>
                      </w:rPr>
                      <w:t>.cache-names=cache1,cache2 spring.cache.caffeine.spec=maximumSize=500,expireAfterAccess=600s</w:t>
                    </w:r>
                  </w:p>
                </w:txbxContent>
              </v:textbox>
            </v:shape>
            <w10:wrap type="topAndBottom" anchorx="page"/>
          </v:group>
        </w:pict>
      </w:r>
    </w:p>
    <w:p w14:paraId="689798A9" w14:textId="77777777" w:rsidR="00A720EB" w:rsidRDefault="00A720EB">
      <w:pPr>
        <w:pStyle w:val="a3"/>
        <w:spacing w:before="11"/>
        <w:rPr>
          <w:sz w:val="9"/>
        </w:rPr>
      </w:pPr>
    </w:p>
    <w:p w14:paraId="1AC87BF0" w14:textId="77777777" w:rsidR="00A720EB" w:rsidRDefault="0030286B">
      <w:pPr>
        <w:pStyle w:val="a3"/>
        <w:spacing w:before="115" w:line="280" w:lineRule="auto"/>
        <w:ind w:left="124" w:right="123"/>
        <w:jc w:val="both"/>
      </w:pPr>
      <w:r>
        <w:rPr>
          <w:color w:val="333333"/>
          <w:w w:val="110"/>
        </w:rPr>
        <w:t>If</w:t>
      </w:r>
      <w:r>
        <w:rPr>
          <w:color w:val="333333"/>
          <w:spacing w:val="-21"/>
          <w:w w:val="110"/>
        </w:rPr>
        <w:t xml:space="preserve"> </w:t>
      </w:r>
      <w:r>
        <w:rPr>
          <w:color w:val="333333"/>
          <w:w w:val="110"/>
        </w:rPr>
        <w:t>a</w:t>
      </w:r>
      <w:r>
        <w:rPr>
          <w:color w:val="333333"/>
          <w:spacing w:val="-20"/>
          <w:w w:val="110"/>
        </w:rPr>
        <w:t xml:space="preserve"> </w:t>
      </w:r>
      <w:proofErr w:type="gramStart"/>
      <w:r>
        <w:rPr>
          <w:rFonts w:ascii="MS Gothic"/>
          <w:color w:val="B02045"/>
          <w:w w:val="110"/>
        </w:rPr>
        <w:t>com.github</w:t>
      </w:r>
      <w:proofErr w:type="gramEnd"/>
      <w:r>
        <w:rPr>
          <w:rFonts w:ascii="MS Gothic"/>
          <w:color w:val="B02045"/>
          <w:w w:val="110"/>
        </w:rPr>
        <w:t>.benmanes.caffeine.cache.CacheLoader</w:t>
      </w:r>
      <w:r>
        <w:rPr>
          <w:rFonts w:ascii="MS Gothic"/>
          <w:color w:val="B02045"/>
          <w:spacing w:val="-85"/>
          <w:w w:val="110"/>
        </w:rPr>
        <w:t xml:space="preserve"> </w:t>
      </w:r>
      <w:r>
        <w:rPr>
          <w:color w:val="333333"/>
          <w:w w:val="110"/>
        </w:rPr>
        <w:t>bean</w:t>
      </w:r>
      <w:r>
        <w:rPr>
          <w:color w:val="333333"/>
          <w:spacing w:val="-20"/>
          <w:w w:val="110"/>
        </w:rPr>
        <w:t xml:space="preserve"> </w:t>
      </w:r>
      <w:r>
        <w:rPr>
          <w:color w:val="333333"/>
          <w:w w:val="110"/>
        </w:rPr>
        <w:t>is</w:t>
      </w:r>
      <w:r>
        <w:rPr>
          <w:color w:val="333333"/>
          <w:spacing w:val="-20"/>
          <w:w w:val="110"/>
        </w:rPr>
        <w:t xml:space="preserve"> </w:t>
      </w:r>
      <w:r>
        <w:rPr>
          <w:color w:val="333333"/>
          <w:w w:val="110"/>
        </w:rPr>
        <w:t>defined,</w:t>
      </w:r>
      <w:r>
        <w:rPr>
          <w:color w:val="333333"/>
          <w:spacing w:val="-20"/>
          <w:w w:val="110"/>
        </w:rPr>
        <w:t xml:space="preserve"> </w:t>
      </w:r>
      <w:r>
        <w:rPr>
          <w:color w:val="333333"/>
          <w:w w:val="110"/>
        </w:rPr>
        <w:t>it</w:t>
      </w:r>
      <w:r>
        <w:rPr>
          <w:color w:val="333333"/>
          <w:spacing w:val="-21"/>
          <w:w w:val="110"/>
        </w:rPr>
        <w:t xml:space="preserve"> </w:t>
      </w:r>
      <w:r>
        <w:rPr>
          <w:color w:val="333333"/>
          <w:w w:val="110"/>
        </w:rPr>
        <w:t>is</w:t>
      </w:r>
      <w:r>
        <w:rPr>
          <w:color w:val="333333"/>
          <w:spacing w:val="-20"/>
          <w:w w:val="110"/>
        </w:rPr>
        <w:t xml:space="preserve"> </w:t>
      </w:r>
      <w:r>
        <w:rPr>
          <w:color w:val="333333"/>
          <w:w w:val="110"/>
        </w:rPr>
        <w:t>automatically</w:t>
      </w:r>
      <w:r>
        <w:rPr>
          <w:color w:val="333333"/>
          <w:spacing w:val="-20"/>
          <w:w w:val="110"/>
        </w:rPr>
        <w:t xml:space="preserve"> </w:t>
      </w:r>
      <w:r>
        <w:rPr>
          <w:color w:val="333333"/>
          <w:w w:val="110"/>
        </w:rPr>
        <w:t>associated to</w:t>
      </w:r>
      <w:r>
        <w:rPr>
          <w:color w:val="333333"/>
          <w:spacing w:val="-12"/>
          <w:w w:val="110"/>
        </w:rPr>
        <w:t xml:space="preserve"> </w:t>
      </w:r>
      <w:r>
        <w:rPr>
          <w:color w:val="333333"/>
          <w:w w:val="110"/>
        </w:rPr>
        <w:t>the</w:t>
      </w:r>
      <w:r>
        <w:rPr>
          <w:color w:val="333333"/>
          <w:spacing w:val="-12"/>
          <w:w w:val="110"/>
        </w:rPr>
        <w:t xml:space="preserve"> </w:t>
      </w:r>
      <w:r>
        <w:rPr>
          <w:rFonts w:ascii="MS Gothic"/>
          <w:color w:val="B02045"/>
          <w:w w:val="110"/>
        </w:rPr>
        <w:t>CaffeineCacheManager</w:t>
      </w:r>
      <w:r>
        <w:rPr>
          <w:color w:val="333333"/>
          <w:w w:val="110"/>
        </w:rPr>
        <w:t>.</w:t>
      </w:r>
      <w:r>
        <w:rPr>
          <w:color w:val="333333"/>
          <w:spacing w:val="-12"/>
          <w:w w:val="110"/>
        </w:rPr>
        <w:t xml:space="preserve"> </w:t>
      </w:r>
      <w:r>
        <w:rPr>
          <w:color w:val="333333"/>
          <w:w w:val="110"/>
        </w:rPr>
        <w:t>Since</w:t>
      </w:r>
      <w:r>
        <w:rPr>
          <w:color w:val="333333"/>
          <w:spacing w:val="-12"/>
          <w:w w:val="110"/>
        </w:rPr>
        <w:t xml:space="preserve"> </w:t>
      </w:r>
      <w:r>
        <w:rPr>
          <w:color w:val="333333"/>
          <w:w w:val="110"/>
        </w:rPr>
        <w:t>the</w:t>
      </w:r>
      <w:r>
        <w:rPr>
          <w:color w:val="333333"/>
          <w:spacing w:val="-11"/>
          <w:w w:val="110"/>
        </w:rPr>
        <w:t xml:space="preserve"> </w:t>
      </w:r>
      <w:r>
        <w:rPr>
          <w:rFonts w:ascii="MS Gothic"/>
          <w:color w:val="B02045"/>
          <w:w w:val="110"/>
        </w:rPr>
        <w:t>CacheLoader</w:t>
      </w:r>
      <w:r>
        <w:rPr>
          <w:rFonts w:ascii="MS Gothic"/>
          <w:color w:val="B02045"/>
          <w:spacing w:val="-77"/>
          <w:w w:val="110"/>
        </w:rPr>
        <w:t xml:space="preserve"> </w:t>
      </w:r>
      <w:r>
        <w:rPr>
          <w:color w:val="333333"/>
          <w:w w:val="110"/>
        </w:rPr>
        <w:t>is</w:t>
      </w:r>
      <w:r>
        <w:rPr>
          <w:color w:val="333333"/>
          <w:spacing w:val="-12"/>
          <w:w w:val="110"/>
        </w:rPr>
        <w:t xml:space="preserve"> </w:t>
      </w:r>
      <w:r>
        <w:rPr>
          <w:color w:val="333333"/>
          <w:w w:val="110"/>
        </w:rPr>
        <w:t>going</w:t>
      </w:r>
      <w:r>
        <w:rPr>
          <w:color w:val="333333"/>
          <w:spacing w:val="-12"/>
          <w:w w:val="110"/>
        </w:rPr>
        <w:t xml:space="preserve"> </w:t>
      </w:r>
      <w:r>
        <w:rPr>
          <w:color w:val="333333"/>
          <w:w w:val="110"/>
        </w:rPr>
        <w:t>to</w:t>
      </w:r>
      <w:r>
        <w:rPr>
          <w:color w:val="333333"/>
          <w:spacing w:val="-11"/>
          <w:w w:val="110"/>
        </w:rPr>
        <w:t xml:space="preserve"> </w:t>
      </w:r>
      <w:r>
        <w:rPr>
          <w:color w:val="333333"/>
          <w:w w:val="110"/>
        </w:rPr>
        <w:t>be</w:t>
      </w:r>
      <w:r>
        <w:rPr>
          <w:color w:val="333333"/>
          <w:spacing w:val="-13"/>
          <w:w w:val="110"/>
        </w:rPr>
        <w:t xml:space="preserve"> </w:t>
      </w:r>
      <w:r>
        <w:rPr>
          <w:color w:val="333333"/>
          <w:w w:val="110"/>
        </w:rPr>
        <w:t>associated</w:t>
      </w:r>
      <w:r>
        <w:rPr>
          <w:color w:val="333333"/>
          <w:spacing w:val="-12"/>
          <w:w w:val="110"/>
        </w:rPr>
        <w:t xml:space="preserve"> </w:t>
      </w:r>
      <w:r>
        <w:rPr>
          <w:color w:val="333333"/>
          <w:w w:val="110"/>
        </w:rPr>
        <w:t>with</w:t>
      </w:r>
      <w:r>
        <w:rPr>
          <w:color w:val="333333"/>
          <w:spacing w:val="-9"/>
          <w:w w:val="110"/>
        </w:rPr>
        <w:t xml:space="preserve"> </w:t>
      </w:r>
      <w:r>
        <w:rPr>
          <w:rFonts w:ascii="Palatino Linotype"/>
          <w:i/>
          <w:color w:val="333333"/>
          <w:w w:val="110"/>
        </w:rPr>
        <w:t>all</w:t>
      </w:r>
      <w:r>
        <w:rPr>
          <w:rFonts w:ascii="Palatino Linotype"/>
          <w:i/>
          <w:color w:val="333333"/>
          <w:spacing w:val="-19"/>
          <w:w w:val="110"/>
        </w:rPr>
        <w:t xml:space="preserve"> </w:t>
      </w:r>
      <w:r>
        <w:rPr>
          <w:color w:val="333333"/>
          <w:w w:val="110"/>
        </w:rPr>
        <w:t>caches</w:t>
      </w:r>
      <w:r>
        <w:rPr>
          <w:color w:val="333333"/>
          <w:spacing w:val="-12"/>
          <w:w w:val="110"/>
        </w:rPr>
        <w:t xml:space="preserve"> </w:t>
      </w:r>
      <w:r>
        <w:rPr>
          <w:color w:val="333333"/>
          <w:w w:val="110"/>
        </w:rPr>
        <w:t xml:space="preserve">managed </w:t>
      </w:r>
      <w:r>
        <w:rPr>
          <w:color w:val="333333"/>
          <w:spacing w:val="-3"/>
          <w:w w:val="110"/>
        </w:rPr>
        <w:t xml:space="preserve">by </w:t>
      </w:r>
      <w:r>
        <w:rPr>
          <w:color w:val="333333"/>
          <w:w w:val="110"/>
        </w:rPr>
        <w:t xml:space="preserve">the cache manager, it must be defined as </w:t>
      </w:r>
      <w:r>
        <w:rPr>
          <w:rFonts w:ascii="MS Gothic"/>
          <w:color w:val="B02045"/>
          <w:w w:val="110"/>
        </w:rPr>
        <w:t>CacheLoader&lt;Object, Object&gt;</w:t>
      </w:r>
      <w:r>
        <w:rPr>
          <w:color w:val="333333"/>
          <w:w w:val="110"/>
        </w:rPr>
        <w:t>. The auto-configuration ignores any other generic</w:t>
      </w:r>
      <w:r>
        <w:rPr>
          <w:color w:val="333333"/>
          <w:spacing w:val="11"/>
          <w:w w:val="110"/>
        </w:rPr>
        <w:t xml:space="preserve"> </w:t>
      </w:r>
      <w:r>
        <w:rPr>
          <w:color w:val="333333"/>
          <w:w w:val="110"/>
        </w:rPr>
        <w:t>type.</w:t>
      </w:r>
    </w:p>
    <w:p w14:paraId="18477949" w14:textId="77777777" w:rsidR="00A720EB" w:rsidRDefault="00A720EB">
      <w:pPr>
        <w:spacing w:line="280" w:lineRule="auto"/>
        <w:jc w:val="both"/>
        <w:sectPr w:rsidR="00A720EB">
          <w:pgSz w:w="11910" w:h="16840"/>
          <w:pgMar w:top="700" w:right="840" w:bottom="520" w:left="840" w:header="0" w:footer="323" w:gutter="0"/>
          <w:cols w:space="720"/>
        </w:sectPr>
      </w:pPr>
    </w:p>
    <w:p w14:paraId="0904A9DC" w14:textId="77777777" w:rsidR="00A720EB" w:rsidRDefault="0030286B">
      <w:pPr>
        <w:pStyle w:val="4"/>
        <w:spacing w:before="86"/>
        <w:jc w:val="left"/>
      </w:pPr>
      <w:r>
        <w:rPr>
          <w:color w:val="333333"/>
          <w:w w:val="105"/>
        </w:rPr>
        <w:lastRenderedPageBreak/>
        <w:t>Simple</w:t>
      </w:r>
    </w:p>
    <w:p w14:paraId="12F50337" w14:textId="77777777" w:rsidR="00A720EB" w:rsidRDefault="0030286B">
      <w:pPr>
        <w:pStyle w:val="a3"/>
        <w:spacing w:before="243" w:line="295" w:lineRule="auto"/>
        <w:ind w:left="124" w:right="122"/>
        <w:jc w:val="both"/>
      </w:pPr>
      <w:r>
        <w:rPr>
          <w:color w:val="333333"/>
          <w:w w:val="110"/>
        </w:rPr>
        <w:t xml:space="preserve">If none of the other providers can be found, a simple implementation using a </w:t>
      </w:r>
      <w:r>
        <w:rPr>
          <w:rFonts w:ascii="MS Gothic"/>
          <w:color w:val="B02045"/>
          <w:w w:val="110"/>
        </w:rPr>
        <w:t xml:space="preserve">ConcurrentHashMap </w:t>
      </w:r>
      <w:r>
        <w:rPr>
          <w:color w:val="333333"/>
          <w:w w:val="110"/>
        </w:rPr>
        <w:t xml:space="preserve">as the cache store is configured. This is the default if no caching library is present in your application.  </w:t>
      </w:r>
      <w:r>
        <w:rPr>
          <w:color w:val="333333"/>
          <w:spacing w:val="-3"/>
          <w:w w:val="110"/>
        </w:rPr>
        <w:t xml:space="preserve">By </w:t>
      </w:r>
      <w:r>
        <w:rPr>
          <w:color w:val="333333"/>
          <w:w w:val="110"/>
        </w:rPr>
        <w:t xml:space="preserve">default, caches are created as needed, but you can restrict the list of available caches </w:t>
      </w:r>
      <w:r>
        <w:rPr>
          <w:color w:val="333333"/>
          <w:spacing w:val="-3"/>
          <w:w w:val="110"/>
        </w:rPr>
        <w:t xml:space="preserve">by </w:t>
      </w:r>
      <w:proofErr w:type="gramStart"/>
      <w:r>
        <w:rPr>
          <w:color w:val="333333"/>
          <w:w w:val="110"/>
        </w:rPr>
        <w:t>setting  the</w:t>
      </w:r>
      <w:proofErr w:type="gramEnd"/>
      <w:r>
        <w:rPr>
          <w:color w:val="333333"/>
          <w:w w:val="110"/>
        </w:rPr>
        <w:t xml:space="preserve"> </w:t>
      </w:r>
      <w:r>
        <w:rPr>
          <w:rFonts w:ascii="MS Gothic"/>
          <w:color w:val="B02045"/>
          <w:w w:val="110"/>
        </w:rPr>
        <w:t xml:space="preserve">cache-names </w:t>
      </w:r>
      <w:r>
        <w:rPr>
          <w:color w:val="333333"/>
          <w:spacing w:val="-3"/>
          <w:w w:val="110"/>
        </w:rPr>
        <w:t xml:space="preserve">property. </w:t>
      </w:r>
      <w:r>
        <w:rPr>
          <w:color w:val="333333"/>
          <w:spacing w:val="-4"/>
          <w:w w:val="110"/>
        </w:rPr>
        <w:t xml:space="preserve">For </w:t>
      </w:r>
      <w:r>
        <w:rPr>
          <w:color w:val="333333"/>
          <w:w w:val="110"/>
        </w:rPr>
        <w:t xml:space="preserve">instance, if you want only </w:t>
      </w:r>
      <w:r>
        <w:rPr>
          <w:rFonts w:ascii="MS Gothic"/>
          <w:color w:val="B02045"/>
          <w:w w:val="110"/>
        </w:rPr>
        <w:t xml:space="preserve">cache1 </w:t>
      </w:r>
      <w:r>
        <w:rPr>
          <w:color w:val="333333"/>
          <w:w w:val="110"/>
        </w:rPr>
        <w:t xml:space="preserve">and </w:t>
      </w:r>
      <w:r>
        <w:rPr>
          <w:rFonts w:ascii="MS Gothic"/>
          <w:color w:val="B02045"/>
          <w:w w:val="110"/>
        </w:rPr>
        <w:t xml:space="preserve">cache2 </w:t>
      </w:r>
      <w:r>
        <w:rPr>
          <w:color w:val="333333"/>
          <w:w w:val="110"/>
        </w:rPr>
        <w:t xml:space="preserve">caches, set the </w:t>
      </w:r>
      <w:r>
        <w:rPr>
          <w:rFonts w:ascii="MS Gothic"/>
          <w:color w:val="B02045"/>
          <w:w w:val="110"/>
        </w:rPr>
        <w:t>cache- names</w:t>
      </w:r>
      <w:r>
        <w:rPr>
          <w:rFonts w:ascii="MS Gothic"/>
          <w:color w:val="B02045"/>
          <w:spacing w:val="-58"/>
          <w:w w:val="110"/>
        </w:rPr>
        <w:t xml:space="preserve"> </w:t>
      </w:r>
      <w:r>
        <w:rPr>
          <w:color w:val="333333"/>
          <w:w w:val="110"/>
        </w:rPr>
        <w:t>property as follows:</w:t>
      </w:r>
    </w:p>
    <w:p w14:paraId="5C89017D" w14:textId="77777777" w:rsidR="00A720EB" w:rsidRDefault="00E10349">
      <w:pPr>
        <w:pStyle w:val="a3"/>
        <w:spacing w:before="3"/>
        <w:rPr>
          <w:sz w:val="12"/>
        </w:rPr>
      </w:pPr>
      <w:r>
        <w:pict w14:anchorId="2F69284C">
          <v:group id="_x0000_s3913" style="position:absolute;margin-left:47.85pt;margin-top:9.2pt;width:499.55pt;height:37.5pt;z-index:-15421952;mso-wrap-distance-left:0;mso-wrap-distance-right:0;mso-position-horizontal-relative:page" coordorigin="957,184" coordsize="9991,750">
            <v:shape id="_x0000_s3916" style="position:absolute;left:964;top:191;width:9976;height:735" coordorigin="965,191" coordsize="9976,735" path="m10861,191r-9816,l1014,197r-26,17l971,240r-6,31l965,846r6,31l988,902r26,18l1045,926r9816,l10892,920r25,-18l10935,877r6,-31l10941,271r-6,-31l10917,214r-25,-17l10861,191xe" fillcolor="#f5f5f5" stroked="f">
              <v:path arrowok="t"/>
            </v:shape>
            <v:shape id="_x0000_s3915" style="position:absolute;left:964;top:191;width:9976;height:735" coordorigin="965,191" coordsize="9976,735" path="m1045,191r9816,l10892,197r25,17l10935,240r6,31l10941,846r-6,31l10917,902r-25,18l10861,926r-9816,l1014,920,988,902,971,877r-6,-31l965,271r6,-31l988,214r26,-17l1045,191xe" filled="f" strokecolor="#ccc">
              <v:path arrowok="t"/>
            </v:shape>
            <v:shape id="_x0000_s3914" type="#_x0000_t202" style="position:absolute;left:984;top:206;width:9938;height:704" filled="f" stroked="f">
              <v:textbox inset="0,0,0,0">
                <w:txbxContent>
                  <w:p w14:paraId="0629E15B" w14:textId="77777777" w:rsidR="00711A16" w:rsidRDefault="00711A16">
                    <w:pPr>
                      <w:spacing w:before="221"/>
                      <w:ind w:left="200"/>
                      <w:rPr>
                        <w:rFonts w:ascii="MS Gothic"/>
                      </w:rPr>
                    </w:pPr>
                    <w:proofErr w:type="gramStart"/>
                    <w:r>
                      <w:rPr>
                        <w:rFonts w:ascii="MS Gothic"/>
                        <w:color w:val="333333"/>
                      </w:rPr>
                      <w:t>spring.cache</w:t>
                    </w:r>
                    <w:proofErr w:type="gramEnd"/>
                    <w:r>
                      <w:rPr>
                        <w:rFonts w:ascii="MS Gothic"/>
                        <w:color w:val="333333"/>
                      </w:rPr>
                      <w:t>.cache-names=cache1,cache2</w:t>
                    </w:r>
                  </w:p>
                </w:txbxContent>
              </v:textbox>
            </v:shape>
            <w10:wrap type="topAndBottom" anchorx="page"/>
          </v:group>
        </w:pict>
      </w:r>
    </w:p>
    <w:p w14:paraId="0F0AEE35" w14:textId="77777777" w:rsidR="00A720EB" w:rsidRDefault="00A720EB">
      <w:pPr>
        <w:pStyle w:val="a3"/>
        <w:rPr>
          <w:sz w:val="10"/>
        </w:rPr>
      </w:pPr>
    </w:p>
    <w:p w14:paraId="316119E8" w14:textId="77777777" w:rsidR="00A720EB" w:rsidRDefault="0030286B">
      <w:pPr>
        <w:pStyle w:val="a3"/>
        <w:spacing w:before="125" w:line="307" w:lineRule="auto"/>
        <w:ind w:left="124" w:right="129"/>
        <w:jc w:val="both"/>
      </w:pPr>
      <w:r>
        <w:rPr>
          <w:color w:val="333333"/>
          <w:w w:val="110"/>
        </w:rPr>
        <w:t>If you do so and your application uses a cache not listed, then it fails at runtime when the cache is needed, but not on startup. This is similar to the way the "real" cache providers behave if you use     an undeclared</w:t>
      </w:r>
      <w:r>
        <w:rPr>
          <w:color w:val="333333"/>
          <w:spacing w:val="5"/>
          <w:w w:val="110"/>
        </w:rPr>
        <w:t xml:space="preserve"> </w:t>
      </w:r>
      <w:r>
        <w:rPr>
          <w:color w:val="333333"/>
          <w:w w:val="110"/>
        </w:rPr>
        <w:t>cache.</w:t>
      </w:r>
    </w:p>
    <w:p w14:paraId="752BAB06" w14:textId="77777777" w:rsidR="00A720EB" w:rsidRDefault="00A720EB">
      <w:pPr>
        <w:pStyle w:val="a3"/>
        <w:spacing w:before="8"/>
        <w:rPr>
          <w:sz w:val="25"/>
        </w:rPr>
      </w:pPr>
    </w:p>
    <w:p w14:paraId="274D0BE7" w14:textId="77777777" w:rsidR="00A720EB" w:rsidRDefault="0030286B">
      <w:pPr>
        <w:pStyle w:val="4"/>
        <w:spacing w:before="1"/>
        <w:jc w:val="left"/>
      </w:pPr>
      <w:bookmarkStart w:id="396" w:name="None"/>
      <w:bookmarkEnd w:id="396"/>
      <w:r>
        <w:rPr>
          <w:color w:val="333333"/>
          <w:w w:val="105"/>
        </w:rPr>
        <w:t>None</w:t>
      </w:r>
    </w:p>
    <w:p w14:paraId="51CE672C" w14:textId="77777777" w:rsidR="00A720EB" w:rsidRDefault="0030286B">
      <w:pPr>
        <w:pStyle w:val="a3"/>
        <w:spacing w:before="243" w:line="285" w:lineRule="auto"/>
        <w:ind w:left="124" w:right="122"/>
        <w:jc w:val="both"/>
      </w:pPr>
      <w:r>
        <w:rPr>
          <w:color w:val="333333"/>
          <w:w w:val="110"/>
        </w:rPr>
        <w:t xml:space="preserve">When </w:t>
      </w:r>
      <w:r>
        <w:rPr>
          <w:rFonts w:ascii="MS Gothic"/>
          <w:color w:val="B02045"/>
          <w:w w:val="110"/>
        </w:rPr>
        <w:t xml:space="preserve">@EnableCaching </w:t>
      </w:r>
      <w:r>
        <w:rPr>
          <w:color w:val="333333"/>
          <w:w w:val="110"/>
        </w:rPr>
        <w:t xml:space="preserve">is present in your configuration, a suitable cache configuration is expected as well. If you need to disable caching altogether in certain environments, force the cache type to </w:t>
      </w:r>
      <w:r>
        <w:rPr>
          <w:rFonts w:ascii="MS Gothic"/>
          <w:color w:val="B02045"/>
          <w:w w:val="110"/>
        </w:rPr>
        <w:t xml:space="preserve">none </w:t>
      </w:r>
      <w:r>
        <w:rPr>
          <w:color w:val="333333"/>
          <w:w w:val="110"/>
        </w:rPr>
        <w:t>to use a no-op implementation, as shown in the following</w:t>
      </w:r>
      <w:r>
        <w:rPr>
          <w:color w:val="333333"/>
          <w:spacing w:val="35"/>
          <w:w w:val="110"/>
        </w:rPr>
        <w:t xml:space="preserve"> </w:t>
      </w:r>
      <w:r>
        <w:rPr>
          <w:color w:val="333333"/>
          <w:w w:val="110"/>
        </w:rPr>
        <w:t>example:</w:t>
      </w:r>
    </w:p>
    <w:p w14:paraId="7658DD0C" w14:textId="77777777" w:rsidR="00A720EB" w:rsidRDefault="00E10349">
      <w:pPr>
        <w:pStyle w:val="a3"/>
        <w:spacing w:before="1"/>
        <w:rPr>
          <w:sz w:val="15"/>
        </w:rPr>
      </w:pPr>
      <w:r>
        <w:pict w14:anchorId="703BBC74">
          <v:group id="_x0000_s3909" style="position:absolute;margin-left:47.85pt;margin-top:10.85pt;width:499.55pt;height:37.5pt;z-index:-15421440;mso-wrap-distance-left:0;mso-wrap-distance-right:0;mso-position-horizontal-relative:page" coordorigin="957,217" coordsize="9991,750">
            <v:shape id="_x0000_s3912" style="position:absolute;left:964;top:224;width:9976;height:735" coordorigin="965,225" coordsize="9976,735" path="m10861,225r-9816,l1014,231r-26,17l971,274r-6,31l965,880r6,31l988,936r26,17l1045,960r9816,l10892,953r25,-17l10935,911r6,-31l10941,305r-6,-31l10917,248r-25,-17l10861,225xe" fillcolor="#f5f5f5" stroked="f">
              <v:path arrowok="t"/>
            </v:shape>
            <v:shape id="_x0000_s3911" style="position:absolute;left:964;top:224;width:9976;height:735" coordorigin="965,225" coordsize="9976,735" path="m1045,225r9816,l10892,231r25,17l10935,274r6,31l10941,880r-6,31l10917,936r-25,17l10861,960r-9816,l1014,953,988,936,971,911r-6,-31l965,305r6,-31l988,248r26,-17l1045,225xe" filled="f" strokecolor="#ccc">
              <v:path arrowok="t"/>
            </v:shape>
            <v:shape id="_x0000_s3910" type="#_x0000_t202" style="position:absolute;left:984;top:240;width:9938;height:704" filled="f" stroked="f">
              <v:textbox inset="0,0,0,0">
                <w:txbxContent>
                  <w:p w14:paraId="7E9A733F" w14:textId="77777777" w:rsidR="00711A16" w:rsidRDefault="00711A16">
                    <w:pPr>
                      <w:spacing w:before="221"/>
                      <w:ind w:left="200"/>
                      <w:rPr>
                        <w:rFonts w:ascii="MS Gothic"/>
                      </w:rPr>
                    </w:pPr>
                    <w:proofErr w:type="gramStart"/>
                    <w:r>
                      <w:rPr>
                        <w:rFonts w:ascii="MS Gothic"/>
                        <w:color w:val="333333"/>
                      </w:rPr>
                      <w:t>spring.cache</w:t>
                    </w:r>
                    <w:proofErr w:type="gramEnd"/>
                    <w:r>
                      <w:rPr>
                        <w:rFonts w:ascii="MS Gothic"/>
                        <w:color w:val="333333"/>
                      </w:rPr>
                      <w:t>.type=none</w:t>
                    </w:r>
                  </w:p>
                </w:txbxContent>
              </v:textbox>
            </v:shape>
            <w10:wrap type="topAndBottom" anchorx="page"/>
          </v:group>
        </w:pict>
      </w:r>
    </w:p>
    <w:p w14:paraId="4A24FBF0" w14:textId="77777777" w:rsidR="00A720EB" w:rsidRDefault="00A720EB">
      <w:pPr>
        <w:pStyle w:val="a3"/>
        <w:spacing w:before="11"/>
        <w:rPr>
          <w:sz w:val="16"/>
        </w:rPr>
      </w:pPr>
    </w:p>
    <w:p w14:paraId="07E1F34B" w14:textId="77777777" w:rsidR="00A720EB" w:rsidRDefault="0030286B">
      <w:pPr>
        <w:pStyle w:val="2"/>
        <w:numPr>
          <w:ilvl w:val="1"/>
          <w:numId w:val="68"/>
        </w:numPr>
        <w:tabs>
          <w:tab w:val="left" w:pos="1034"/>
        </w:tabs>
        <w:spacing w:before="107"/>
        <w:ind w:left="1033" w:hanging="910"/>
      </w:pPr>
      <w:bookmarkStart w:id="397" w:name="4.14._Messaging"/>
      <w:bookmarkStart w:id="398" w:name="_Toc54423787"/>
      <w:bookmarkEnd w:id="397"/>
      <w:r>
        <w:rPr>
          <w:color w:val="333333"/>
          <w:w w:val="105"/>
        </w:rPr>
        <w:t>Messaging</w:t>
      </w:r>
      <w:bookmarkEnd w:id="398"/>
    </w:p>
    <w:p w14:paraId="023F3434" w14:textId="77777777" w:rsidR="00A720EB" w:rsidRDefault="0030286B">
      <w:pPr>
        <w:pStyle w:val="a3"/>
        <w:spacing w:before="253" w:line="297" w:lineRule="auto"/>
        <w:ind w:left="124" w:right="123"/>
        <w:jc w:val="both"/>
      </w:pPr>
      <w:r>
        <w:rPr>
          <w:color w:val="333333"/>
          <w:w w:val="110"/>
        </w:rPr>
        <w:t xml:space="preserve">The Spring Framework provides extensive support for integrating with messaging systems, from simplified use of the JMS API using </w:t>
      </w:r>
      <w:r>
        <w:rPr>
          <w:rFonts w:ascii="MS Gothic"/>
          <w:color w:val="B02045"/>
          <w:w w:val="110"/>
        </w:rPr>
        <w:t xml:space="preserve">JmsTemplate </w:t>
      </w:r>
      <w:r>
        <w:rPr>
          <w:color w:val="333333"/>
          <w:w w:val="110"/>
        </w:rPr>
        <w:t xml:space="preserve">to a complete infrastructure to receive </w:t>
      </w:r>
      <w:proofErr w:type="gramStart"/>
      <w:r>
        <w:rPr>
          <w:color w:val="333333"/>
          <w:w w:val="110"/>
        </w:rPr>
        <w:t>messages  asynchronously</w:t>
      </w:r>
      <w:proofErr w:type="gramEnd"/>
      <w:r>
        <w:rPr>
          <w:color w:val="333333"/>
          <w:w w:val="110"/>
        </w:rPr>
        <w:t xml:space="preserve">. Spring AMQP provides a similar feature set for the Advanced Message Queuing Protocol. Spring Boot also provides auto-configuration options for </w:t>
      </w:r>
      <w:r>
        <w:rPr>
          <w:rFonts w:ascii="MS Gothic"/>
          <w:color w:val="B02045"/>
          <w:w w:val="110"/>
        </w:rPr>
        <w:t xml:space="preserve">RabbitTemplate </w:t>
      </w:r>
      <w:r>
        <w:rPr>
          <w:color w:val="333333"/>
          <w:w w:val="110"/>
        </w:rPr>
        <w:t>and RabbitMQ. Spring WebSocket natively includes support for STOMP messaging, and Spring Boot has support for that through starters and a small amount of auto-configuration. Spring Boot also has support for Apache Kafka.</w:t>
      </w:r>
    </w:p>
    <w:p w14:paraId="4DC26BF5" w14:textId="77777777" w:rsidR="00A720EB" w:rsidRDefault="00A720EB">
      <w:pPr>
        <w:pStyle w:val="a3"/>
        <w:rPr>
          <w:sz w:val="27"/>
        </w:rPr>
      </w:pPr>
    </w:p>
    <w:p w14:paraId="36B47145" w14:textId="77777777" w:rsidR="00A720EB" w:rsidRDefault="0030286B">
      <w:pPr>
        <w:pStyle w:val="3"/>
        <w:numPr>
          <w:ilvl w:val="2"/>
          <w:numId w:val="68"/>
        </w:numPr>
        <w:tabs>
          <w:tab w:val="left" w:pos="1003"/>
        </w:tabs>
        <w:ind w:left="1002" w:hanging="879"/>
      </w:pPr>
      <w:bookmarkStart w:id="399" w:name="4.14.1._JMS"/>
      <w:bookmarkStart w:id="400" w:name="_Toc54423788"/>
      <w:bookmarkEnd w:id="399"/>
      <w:r>
        <w:rPr>
          <w:color w:val="333333"/>
        </w:rPr>
        <w:t>JMS</w:t>
      </w:r>
      <w:bookmarkEnd w:id="400"/>
    </w:p>
    <w:p w14:paraId="436A37B0" w14:textId="77777777" w:rsidR="00A720EB" w:rsidRDefault="0030286B">
      <w:pPr>
        <w:pStyle w:val="a3"/>
        <w:spacing w:before="243" w:line="300" w:lineRule="auto"/>
        <w:ind w:left="124" w:right="122"/>
        <w:jc w:val="both"/>
      </w:pPr>
      <w:r>
        <w:rPr>
          <w:color w:val="333333"/>
          <w:w w:val="110"/>
        </w:rPr>
        <w:t xml:space="preserve">The </w:t>
      </w:r>
      <w:proofErr w:type="gramStart"/>
      <w:r>
        <w:rPr>
          <w:rFonts w:ascii="MS Gothic"/>
          <w:color w:val="B02045"/>
          <w:w w:val="110"/>
        </w:rPr>
        <w:t>javax.jms.ConnectionFactory</w:t>
      </w:r>
      <w:proofErr w:type="gramEnd"/>
      <w:r>
        <w:rPr>
          <w:rFonts w:ascii="MS Gothic"/>
          <w:color w:val="B02045"/>
          <w:w w:val="110"/>
        </w:rPr>
        <w:t xml:space="preserve"> </w:t>
      </w:r>
      <w:r>
        <w:rPr>
          <w:color w:val="333333"/>
          <w:w w:val="110"/>
        </w:rPr>
        <w:t xml:space="preserve">interface provides a standard method of creating a </w:t>
      </w:r>
      <w:r>
        <w:rPr>
          <w:rFonts w:ascii="MS Gothic"/>
          <w:color w:val="B02045"/>
          <w:w w:val="110"/>
        </w:rPr>
        <w:t>javax.jms.Connection</w:t>
      </w:r>
      <w:r>
        <w:rPr>
          <w:rFonts w:ascii="MS Gothic"/>
          <w:color w:val="B02045"/>
          <w:spacing w:val="-78"/>
          <w:w w:val="110"/>
        </w:rPr>
        <w:t xml:space="preserve"> </w:t>
      </w:r>
      <w:r>
        <w:rPr>
          <w:color w:val="333333"/>
          <w:w w:val="110"/>
        </w:rPr>
        <w:t>for</w:t>
      </w:r>
      <w:r>
        <w:rPr>
          <w:color w:val="333333"/>
          <w:spacing w:val="-13"/>
          <w:w w:val="110"/>
        </w:rPr>
        <w:t xml:space="preserve"> </w:t>
      </w:r>
      <w:r>
        <w:rPr>
          <w:color w:val="333333"/>
          <w:w w:val="110"/>
        </w:rPr>
        <w:t>interacting</w:t>
      </w:r>
      <w:r>
        <w:rPr>
          <w:color w:val="333333"/>
          <w:spacing w:val="-13"/>
          <w:w w:val="110"/>
        </w:rPr>
        <w:t xml:space="preserve"> </w:t>
      </w:r>
      <w:r>
        <w:rPr>
          <w:color w:val="333333"/>
          <w:w w:val="110"/>
        </w:rPr>
        <w:t>with</w:t>
      </w:r>
      <w:r>
        <w:rPr>
          <w:color w:val="333333"/>
          <w:spacing w:val="-14"/>
          <w:w w:val="110"/>
        </w:rPr>
        <w:t xml:space="preserve"> </w:t>
      </w:r>
      <w:r>
        <w:rPr>
          <w:color w:val="333333"/>
          <w:w w:val="110"/>
        </w:rPr>
        <w:t>a</w:t>
      </w:r>
      <w:r>
        <w:rPr>
          <w:color w:val="333333"/>
          <w:spacing w:val="-13"/>
          <w:w w:val="110"/>
        </w:rPr>
        <w:t xml:space="preserve"> </w:t>
      </w:r>
      <w:r>
        <w:rPr>
          <w:color w:val="333333"/>
          <w:w w:val="110"/>
        </w:rPr>
        <w:t>JMS</w:t>
      </w:r>
      <w:r>
        <w:rPr>
          <w:color w:val="333333"/>
          <w:spacing w:val="-13"/>
          <w:w w:val="110"/>
        </w:rPr>
        <w:t xml:space="preserve"> </w:t>
      </w:r>
      <w:r>
        <w:rPr>
          <w:color w:val="333333"/>
          <w:w w:val="110"/>
        </w:rPr>
        <w:t>broker.</w:t>
      </w:r>
      <w:r>
        <w:rPr>
          <w:color w:val="333333"/>
          <w:spacing w:val="-13"/>
          <w:w w:val="110"/>
        </w:rPr>
        <w:t xml:space="preserve"> </w:t>
      </w:r>
      <w:r>
        <w:rPr>
          <w:color w:val="333333"/>
          <w:w w:val="110"/>
        </w:rPr>
        <w:t>Although</w:t>
      </w:r>
      <w:r>
        <w:rPr>
          <w:color w:val="333333"/>
          <w:spacing w:val="-13"/>
          <w:w w:val="110"/>
        </w:rPr>
        <w:t xml:space="preserve"> </w:t>
      </w:r>
      <w:r>
        <w:rPr>
          <w:color w:val="333333"/>
          <w:w w:val="110"/>
        </w:rPr>
        <w:t>Spring</w:t>
      </w:r>
      <w:r>
        <w:rPr>
          <w:color w:val="333333"/>
          <w:spacing w:val="-13"/>
          <w:w w:val="110"/>
        </w:rPr>
        <w:t xml:space="preserve"> </w:t>
      </w:r>
      <w:r>
        <w:rPr>
          <w:color w:val="333333"/>
          <w:w w:val="110"/>
        </w:rPr>
        <w:t>needs</w:t>
      </w:r>
      <w:r>
        <w:rPr>
          <w:color w:val="333333"/>
          <w:spacing w:val="-13"/>
          <w:w w:val="110"/>
        </w:rPr>
        <w:t xml:space="preserve"> </w:t>
      </w:r>
      <w:r>
        <w:rPr>
          <w:color w:val="333333"/>
          <w:w w:val="110"/>
        </w:rPr>
        <w:t>a</w:t>
      </w:r>
      <w:r>
        <w:rPr>
          <w:color w:val="333333"/>
          <w:spacing w:val="-10"/>
          <w:w w:val="110"/>
        </w:rPr>
        <w:t xml:space="preserve"> </w:t>
      </w:r>
      <w:r>
        <w:rPr>
          <w:rFonts w:ascii="MS Gothic"/>
          <w:color w:val="B02045"/>
          <w:w w:val="110"/>
        </w:rPr>
        <w:t xml:space="preserve">ConnectionFactory </w:t>
      </w:r>
      <w:r>
        <w:rPr>
          <w:color w:val="333333"/>
          <w:w w:val="110"/>
        </w:rPr>
        <w:t xml:space="preserve">to work with JMS, you generally need not use it directly yourself and can instead </w:t>
      </w:r>
      <w:proofErr w:type="gramStart"/>
      <w:r>
        <w:rPr>
          <w:color w:val="333333"/>
          <w:w w:val="110"/>
        </w:rPr>
        <w:t>rely  on</w:t>
      </w:r>
      <w:proofErr w:type="gramEnd"/>
      <w:r>
        <w:rPr>
          <w:color w:val="333333"/>
          <w:w w:val="110"/>
        </w:rPr>
        <w:t xml:space="preserve">  higher  level messaging abstractions. (See the </w:t>
      </w:r>
      <w:hyperlink r:id="rId276" w:anchor="jms">
        <w:r>
          <w:rPr>
            <w:color w:val="418BCA"/>
            <w:w w:val="110"/>
          </w:rPr>
          <w:t>relevant section</w:t>
        </w:r>
      </w:hyperlink>
      <w:r>
        <w:rPr>
          <w:color w:val="418BCA"/>
          <w:w w:val="110"/>
        </w:rPr>
        <w:t xml:space="preserve"> </w:t>
      </w:r>
      <w:r>
        <w:rPr>
          <w:color w:val="333333"/>
          <w:w w:val="110"/>
        </w:rPr>
        <w:t xml:space="preserve">of the Spring Framework reference documentation for details.) Spring Boot also auto-configures the necessary infrastructure to </w:t>
      </w:r>
      <w:proofErr w:type="gramStart"/>
      <w:r>
        <w:rPr>
          <w:color w:val="333333"/>
          <w:w w:val="110"/>
        </w:rPr>
        <w:t>send  and</w:t>
      </w:r>
      <w:proofErr w:type="gramEnd"/>
      <w:r>
        <w:rPr>
          <w:color w:val="333333"/>
          <w:w w:val="110"/>
        </w:rPr>
        <w:t xml:space="preserve"> receive</w:t>
      </w:r>
      <w:r>
        <w:rPr>
          <w:color w:val="333333"/>
          <w:spacing w:val="5"/>
          <w:w w:val="110"/>
        </w:rPr>
        <w:t xml:space="preserve"> </w:t>
      </w:r>
      <w:r>
        <w:rPr>
          <w:color w:val="333333"/>
          <w:w w:val="110"/>
        </w:rPr>
        <w:t>messages.</w:t>
      </w:r>
    </w:p>
    <w:p w14:paraId="5CE729B0" w14:textId="77777777" w:rsidR="00A720EB" w:rsidRDefault="00A720EB">
      <w:pPr>
        <w:pStyle w:val="a3"/>
        <w:spacing w:before="7"/>
        <w:rPr>
          <w:sz w:val="25"/>
        </w:rPr>
      </w:pPr>
    </w:p>
    <w:p w14:paraId="2B371B1B" w14:textId="77777777" w:rsidR="00A720EB" w:rsidRDefault="0030286B">
      <w:pPr>
        <w:pStyle w:val="4"/>
        <w:spacing w:before="1"/>
      </w:pPr>
      <w:bookmarkStart w:id="401" w:name="ActiveMQ_Support"/>
      <w:bookmarkEnd w:id="401"/>
      <w:r>
        <w:rPr>
          <w:color w:val="333333"/>
          <w:w w:val="105"/>
        </w:rPr>
        <w:t>ActiveMQ Support</w:t>
      </w:r>
    </w:p>
    <w:p w14:paraId="7C17B04C" w14:textId="77777777" w:rsidR="00A720EB" w:rsidRDefault="0030286B">
      <w:pPr>
        <w:pStyle w:val="a3"/>
        <w:spacing w:before="243" w:line="300" w:lineRule="auto"/>
        <w:ind w:left="124" w:right="122"/>
        <w:jc w:val="both"/>
      </w:pPr>
      <w:r>
        <w:rPr>
          <w:color w:val="333333"/>
          <w:w w:val="110"/>
        </w:rPr>
        <w:t xml:space="preserve">When </w:t>
      </w:r>
      <w:hyperlink r:id="rId277">
        <w:r>
          <w:rPr>
            <w:color w:val="418BCA"/>
            <w:w w:val="110"/>
          </w:rPr>
          <w:t xml:space="preserve">ActiveMQ </w:t>
        </w:r>
      </w:hyperlink>
      <w:r>
        <w:rPr>
          <w:color w:val="333333"/>
          <w:w w:val="110"/>
        </w:rPr>
        <w:t xml:space="preserve">is available on the classpath, Spring Boot can also configure a </w:t>
      </w:r>
      <w:r>
        <w:rPr>
          <w:rFonts w:ascii="MS Gothic"/>
          <w:color w:val="B02045"/>
          <w:w w:val="110"/>
        </w:rPr>
        <w:t>ConnectionFactory</w:t>
      </w:r>
      <w:r>
        <w:rPr>
          <w:color w:val="333333"/>
          <w:w w:val="110"/>
        </w:rPr>
        <w:t>. If the broker is present, an embedded broker is automatically started and configured (provided no broker URL is specified through configuration).</w:t>
      </w:r>
    </w:p>
    <w:p w14:paraId="33D35D7A" w14:textId="77777777" w:rsidR="00A720EB" w:rsidRDefault="00A720EB">
      <w:pPr>
        <w:spacing w:line="300" w:lineRule="auto"/>
        <w:jc w:val="both"/>
        <w:sectPr w:rsidR="00A720EB">
          <w:pgSz w:w="11910" w:h="16840"/>
          <w:pgMar w:top="620" w:right="840" w:bottom="520" w:left="840" w:header="0" w:footer="323" w:gutter="0"/>
          <w:cols w:space="720"/>
        </w:sectPr>
      </w:pPr>
    </w:p>
    <w:p w14:paraId="4EB5F38D" w14:textId="77777777" w:rsidR="00A720EB" w:rsidRDefault="00E10349">
      <w:pPr>
        <w:pStyle w:val="a3"/>
        <w:spacing w:before="111" w:line="300" w:lineRule="auto"/>
        <w:ind w:left="1564" w:right="365"/>
        <w:jc w:val="both"/>
      </w:pPr>
      <w:r>
        <w:lastRenderedPageBreak/>
        <w:pict w14:anchorId="3EB9ADF8">
          <v:line id="_x0000_s3908" style="position:absolute;left:0;text-align:left;z-index:16037888;mso-position-horizontal-relative:page" from="108.25pt,.1pt" to="108.25pt,55.45pt" strokecolor="#ededed" strokeweight=".5pt">
            <w10:wrap anchorx="page"/>
          </v:line>
        </w:pict>
      </w:r>
      <w:r w:rsidR="0030286B">
        <w:rPr>
          <w:noProof/>
        </w:rPr>
        <w:drawing>
          <wp:anchor distT="0" distB="0" distL="0" distR="0" simplePos="0" relativeHeight="16038400" behindDoc="0" locked="0" layoutInCell="1" allowOverlap="1" wp14:anchorId="7453D86F" wp14:editId="4FA31641">
            <wp:simplePos x="0" y="0"/>
            <wp:positionH relativeFrom="page">
              <wp:posOffset>844422</wp:posOffset>
            </wp:positionH>
            <wp:positionV relativeFrom="paragraph">
              <wp:posOffset>203276</wp:posOffset>
            </wp:positionV>
            <wp:extent cx="298450" cy="298450"/>
            <wp:effectExtent l="0" t="0" r="0" b="0"/>
            <wp:wrapNone/>
            <wp:docPr id="3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w:t>
      </w:r>
      <w:r w:rsidR="0030286B">
        <w:rPr>
          <w:color w:val="333333"/>
          <w:spacing w:val="-18"/>
          <w:w w:val="110"/>
        </w:rPr>
        <w:t xml:space="preserve"> </w:t>
      </w:r>
      <w:r w:rsidR="0030286B">
        <w:rPr>
          <w:color w:val="333333"/>
          <w:w w:val="110"/>
        </w:rPr>
        <w:t>you</w:t>
      </w:r>
      <w:r w:rsidR="0030286B">
        <w:rPr>
          <w:color w:val="333333"/>
          <w:spacing w:val="-18"/>
          <w:w w:val="110"/>
        </w:rPr>
        <w:t xml:space="preserve"> </w:t>
      </w:r>
      <w:r w:rsidR="0030286B">
        <w:rPr>
          <w:color w:val="333333"/>
          <w:w w:val="110"/>
        </w:rPr>
        <w:t>use</w:t>
      </w:r>
      <w:r w:rsidR="0030286B">
        <w:rPr>
          <w:color w:val="333333"/>
          <w:spacing w:val="-17"/>
          <w:w w:val="110"/>
        </w:rPr>
        <w:t xml:space="preserve"> </w:t>
      </w:r>
      <w:r w:rsidR="0030286B">
        <w:rPr>
          <w:rFonts w:ascii="MS Gothic"/>
          <w:color w:val="B02045"/>
          <w:w w:val="110"/>
        </w:rPr>
        <w:t>spring-boot-starter-activemq</w:t>
      </w:r>
      <w:r w:rsidR="0030286B">
        <w:rPr>
          <w:color w:val="333333"/>
          <w:w w:val="110"/>
        </w:rPr>
        <w:t>,</w:t>
      </w:r>
      <w:r w:rsidR="0030286B">
        <w:rPr>
          <w:color w:val="333333"/>
          <w:spacing w:val="-17"/>
          <w:w w:val="110"/>
        </w:rPr>
        <w:t xml:space="preserve"> </w:t>
      </w:r>
      <w:r w:rsidR="0030286B">
        <w:rPr>
          <w:color w:val="333333"/>
          <w:w w:val="110"/>
        </w:rPr>
        <w:t>the</w:t>
      </w:r>
      <w:r w:rsidR="0030286B">
        <w:rPr>
          <w:color w:val="333333"/>
          <w:spacing w:val="-18"/>
          <w:w w:val="110"/>
        </w:rPr>
        <w:t xml:space="preserve"> </w:t>
      </w:r>
      <w:r w:rsidR="0030286B">
        <w:rPr>
          <w:color w:val="333333"/>
          <w:w w:val="110"/>
        </w:rPr>
        <w:t>necessary</w:t>
      </w:r>
      <w:r w:rsidR="0030286B">
        <w:rPr>
          <w:color w:val="333333"/>
          <w:spacing w:val="-17"/>
          <w:w w:val="110"/>
        </w:rPr>
        <w:t xml:space="preserve"> </w:t>
      </w:r>
      <w:r w:rsidR="0030286B">
        <w:rPr>
          <w:color w:val="333333"/>
          <w:w w:val="110"/>
        </w:rPr>
        <w:t>dependencies</w:t>
      </w:r>
      <w:r w:rsidR="0030286B">
        <w:rPr>
          <w:color w:val="333333"/>
          <w:spacing w:val="-18"/>
          <w:w w:val="110"/>
        </w:rPr>
        <w:t xml:space="preserve"> </w:t>
      </w:r>
      <w:r w:rsidR="0030286B">
        <w:rPr>
          <w:color w:val="333333"/>
          <w:w w:val="110"/>
        </w:rPr>
        <w:t>to</w:t>
      </w:r>
      <w:r w:rsidR="0030286B">
        <w:rPr>
          <w:color w:val="333333"/>
          <w:spacing w:val="-18"/>
          <w:w w:val="110"/>
        </w:rPr>
        <w:t xml:space="preserve"> </w:t>
      </w:r>
      <w:r w:rsidR="0030286B">
        <w:rPr>
          <w:color w:val="333333"/>
          <w:w w:val="110"/>
        </w:rPr>
        <w:t>connect</w:t>
      </w:r>
      <w:r w:rsidR="0030286B">
        <w:rPr>
          <w:color w:val="333333"/>
          <w:spacing w:val="-17"/>
          <w:w w:val="110"/>
        </w:rPr>
        <w:t xml:space="preserve"> </w:t>
      </w:r>
      <w:r w:rsidR="0030286B">
        <w:rPr>
          <w:color w:val="333333"/>
          <w:w w:val="110"/>
        </w:rPr>
        <w:t>or embed an ActiveMQ instance are provided, as is the Spring infrastructure to integrate with</w:t>
      </w:r>
      <w:r w:rsidR="0030286B">
        <w:rPr>
          <w:color w:val="333333"/>
          <w:spacing w:val="4"/>
          <w:w w:val="110"/>
        </w:rPr>
        <w:t xml:space="preserve"> </w:t>
      </w:r>
      <w:r w:rsidR="0030286B">
        <w:rPr>
          <w:color w:val="333333"/>
          <w:w w:val="110"/>
        </w:rPr>
        <w:t>JMS.</w:t>
      </w:r>
    </w:p>
    <w:p w14:paraId="354D4715" w14:textId="77777777" w:rsidR="00A720EB" w:rsidRDefault="00A720EB">
      <w:pPr>
        <w:pStyle w:val="a3"/>
        <w:rPr>
          <w:sz w:val="17"/>
        </w:rPr>
      </w:pPr>
    </w:p>
    <w:p w14:paraId="70ACC8D1" w14:textId="77777777" w:rsidR="00A720EB" w:rsidRDefault="0030286B">
      <w:pPr>
        <w:pStyle w:val="a3"/>
        <w:spacing w:before="116" w:line="280" w:lineRule="auto"/>
        <w:ind w:left="124"/>
      </w:pPr>
      <w:r>
        <w:rPr>
          <w:color w:val="333333"/>
          <w:w w:val="110"/>
        </w:rPr>
        <w:t xml:space="preserve">ActiveMQ configuration is controlled by external configuration properties in </w:t>
      </w:r>
      <w:proofErr w:type="gramStart"/>
      <w:r>
        <w:rPr>
          <w:rFonts w:ascii="MS Gothic"/>
          <w:color w:val="B02045"/>
          <w:w w:val="110"/>
        </w:rPr>
        <w:t>spring.activemq</w:t>
      </w:r>
      <w:proofErr w:type="gramEnd"/>
      <w:r>
        <w:rPr>
          <w:rFonts w:ascii="MS Gothic"/>
          <w:color w:val="B02045"/>
          <w:w w:val="110"/>
        </w:rPr>
        <w:t>.*</w:t>
      </w:r>
      <w:r>
        <w:rPr>
          <w:color w:val="333333"/>
          <w:w w:val="110"/>
        </w:rPr>
        <w:t xml:space="preserve">. For example, you might declare the following section in </w:t>
      </w:r>
      <w:proofErr w:type="gramStart"/>
      <w:r>
        <w:rPr>
          <w:rFonts w:ascii="MS Gothic"/>
          <w:color w:val="B02045"/>
          <w:w w:val="110"/>
        </w:rPr>
        <w:t>application.properties</w:t>
      </w:r>
      <w:proofErr w:type="gramEnd"/>
      <w:r>
        <w:rPr>
          <w:color w:val="333333"/>
          <w:w w:val="110"/>
        </w:rPr>
        <w:t>:</w:t>
      </w:r>
    </w:p>
    <w:p w14:paraId="2FA0F21D" w14:textId="77777777" w:rsidR="00A720EB" w:rsidRDefault="00E10349">
      <w:pPr>
        <w:pStyle w:val="a3"/>
        <w:spacing w:before="1"/>
        <w:rPr>
          <w:sz w:val="14"/>
        </w:rPr>
      </w:pPr>
      <w:r>
        <w:pict w14:anchorId="3E99A63D">
          <v:group id="_x0000_s3904" style="position:absolute;margin-left:47.85pt;margin-top:10.25pt;width:499.55pt;height:67pt;z-index:-15420928;mso-wrap-distance-left:0;mso-wrap-distance-right:0;mso-position-horizontal-relative:page" coordorigin="957,205" coordsize="9991,1340">
            <v:shape id="_x0000_s3907" style="position:absolute;left:964;top:212;width:9976;height:1325" coordorigin="965,212" coordsize="9976,1325" path="m10861,212r-9816,l1014,219r-26,17l971,261r-6,31l965,1457r6,31l988,1513r26,18l1045,1537r9816,l10892,1531r25,-18l10935,1488r6,-31l10941,292r-6,-31l10917,236r-25,-17l10861,212xe" fillcolor="#f5f5f5" stroked="f">
              <v:path arrowok="t"/>
            </v:shape>
            <v:shape id="_x0000_s3906" style="position:absolute;left:964;top:212;width:9976;height:1325" coordorigin="965,212" coordsize="9976,1325" path="m1045,212r9816,l10892,219r25,17l10935,261r6,31l10941,1457r-6,31l10917,1513r-25,18l10861,1537r-9816,l1014,1531r-26,-18l971,1488r-6,-31l965,292r6,-31l988,236r26,-17l1045,212xe" filled="f" strokecolor="#ccc">
              <v:path arrowok="t"/>
            </v:shape>
            <v:shape id="_x0000_s3905" type="#_x0000_t202" style="position:absolute;left:984;top:227;width:9938;height:1294" filled="f" stroked="f">
              <v:textbox inset="0,0,0,0">
                <w:txbxContent>
                  <w:p w14:paraId="02569A0A" w14:textId="77777777" w:rsidR="00711A16" w:rsidRDefault="00711A16">
                    <w:pPr>
                      <w:spacing w:before="221" w:line="252" w:lineRule="auto"/>
                      <w:ind w:left="200" w:right="4108"/>
                      <w:rPr>
                        <w:rFonts w:ascii="MS Gothic"/>
                      </w:rPr>
                    </w:pPr>
                    <w:proofErr w:type="gramStart"/>
                    <w:r>
                      <w:rPr>
                        <w:rFonts w:ascii="MS Gothic"/>
                        <w:color w:val="333333"/>
                      </w:rPr>
                      <w:t>spring.activemq</w:t>
                    </w:r>
                    <w:proofErr w:type="gramEnd"/>
                    <w:r>
                      <w:rPr>
                        <w:rFonts w:ascii="MS Gothic"/>
                        <w:color w:val="333333"/>
                      </w:rPr>
                      <w:t>.broker-url=tcp://192.168.1.210:9876 spring.activemq.user=admin spring.activemq.password=secret</w:t>
                    </w:r>
                  </w:p>
                </w:txbxContent>
              </v:textbox>
            </v:shape>
            <w10:wrap type="topAndBottom" anchorx="page"/>
          </v:group>
        </w:pict>
      </w:r>
    </w:p>
    <w:p w14:paraId="4C75037F" w14:textId="77777777" w:rsidR="00A720EB" w:rsidRDefault="00A720EB">
      <w:pPr>
        <w:pStyle w:val="a3"/>
        <w:spacing w:before="11"/>
        <w:rPr>
          <w:sz w:val="9"/>
        </w:rPr>
      </w:pPr>
    </w:p>
    <w:p w14:paraId="40140B7C" w14:textId="77777777" w:rsidR="00A720EB" w:rsidRDefault="0030286B">
      <w:pPr>
        <w:pStyle w:val="a3"/>
        <w:spacing w:before="115" w:line="280" w:lineRule="auto"/>
        <w:ind w:left="124"/>
      </w:pPr>
      <w:r>
        <w:rPr>
          <w:color w:val="333333"/>
          <w:spacing w:val="-3"/>
          <w:w w:val="110"/>
        </w:rPr>
        <w:t xml:space="preserve">By </w:t>
      </w:r>
      <w:r>
        <w:rPr>
          <w:color w:val="333333"/>
          <w:w w:val="110"/>
        </w:rPr>
        <w:t xml:space="preserve">default, a </w:t>
      </w:r>
      <w:r>
        <w:rPr>
          <w:rFonts w:ascii="MS Gothic"/>
          <w:color w:val="B02045"/>
          <w:w w:val="110"/>
        </w:rPr>
        <w:t xml:space="preserve">CachingConnectionFactory </w:t>
      </w:r>
      <w:r>
        <w:rPr>
          <w:color w:val="333333"/>
          <w:w w:val="110"/>
        </w:rPr>
        <w:t xml:space="preserve">wraps the native </w:t>
      </w:r>
      <w:r>
        <w:rPr>
          <w:rFonts w:ascii="MS Gothic"/>
          <w:color w:val="B02045"/>
          <w:w w:val="110"/>
        </w:rPr>
        <w:t>ConnectionFactory</w:t>
      </w:r>
      <w:r>
        <w:rPr>
          <w:rFonts w:ascii="MS Gothic"/>
          <w:color w:val="B02045"/>
          <w:spacing w:val="-90"/>
          <w:w w:val="110"/>
        </w:rPr>
        <w:t xml:space="preserve"> </w:t>
      </w:r>
      <w:r>
        <w:rPr>
          <w:color w:val="333333"/>
          <w:w w:val="110"/>
        </w:rPr>
        <w:t xml:space="preserve">with sensible settings that you can control </w:t>
      </w:r>
      <w:r>
        <w:rPr>
          <w:color w:val="333333"/>
          <w:spacing w:val="-3"/>
          <w:w w:val="110"/>
        </w:rPr>
        <w:t xml:space="preserve">by </w:t>
      </w:r>
      <w:r>
        <w:rPr>
          <w:color w:val="333333"/>
          <w:w w:val="110"/>
        </w:rPr>
        <w:t xml:space="preserve">external configuration properties in </w:t>
      </w:r>
      <w:proofErr w:type="gramStart"/>
      <w:r>
        <w:rPr>
          <w:rFonts w:ascii="MS Gothic"/>
          <w:color w:val="B02045"/>
          <w:w w:val="110"/>
        </w:rPr>
        <w:t>spring.jms.*</w:t>
      </w:r>
      <w:proofErr w:type="gramEnd"/>
      <w:r>
        <w:rPr>
          <w:color w:val="333333"/>
          <w:w w:val="110"/>
        </w:rPr>
        <w:t>:</w:t>
      </w:r>
    </w:p>
    <w:p w14:paraId="5C09608C" w14:textId="77777777" w:rsidR="00A720EB" w:rsidRDefault="00E10349">
      <w:pPr>
        <w:pStyle w:val="a3"/>
        <w:spacing w:before="1"/>
        <w:rPr>
          <w:sz w:val="14"/>
        </w:rPr>
      </w:pPr>
      <w:r>
        <w:pict w14:anchorId="278B37D8">
          <v:group id="_x0000_s3900" style="position:absolute;margin-left:47.85pt;margin-top:10.3pt;width:499.55pt;height:37.5pt;z-index:-15420416;mso-wrap-distance-left:0;mso-wrap-distance-right:0;mso-position-horizontal-relative:page" coordorigin="957,206" coordsize="9991,750">
            <v:shape id="_x0000_s3903" style="position:absolute;left:964;top:213;width:9976;height:735" coordorigin="965,213" coordsize="9976,735" path="m10861,213r-9816,l1014,219r-26,18l971,262r-6,31l965,868r6,31l988,924r26,18l1045,948r9816,l10892,942r25,-18l10935,899r6,-31l10941,293r-6,-31l10917,237r-25,-18l10861,213xe" fillcolor="#f5f5f5" stroked="f">
              <v:path arrowok="t"/>
            </v:shape>
            <v:shape id="_x0000_s3902" style="position:absolute;left:964;top:213;width:9976;height:735" coordorigin="965,213" coordsize="9976,735" path="m1045,213r9816,l10892,219r25,18l10935,262r6,31l10941,868r-6,31l10917,924r-25,18l10861,948r-9816,l1014,942,988,924,971,899r-6,-31l965,293r6,-31l988,237r26,-18l1045,213xe" filled="f" strokecolor="#ccc">
              <v:path arrowok="t"/>
            </v:shape>
            <v:shape id="_x0000_s3901" type="#_x0000_t202" style="position:absolute;left:984;top:228;width:9938;height:704" filled="f" stroked="f">
              <v:textbox inset="0,0,0,0">
                <w:txbxContent>
                  <w:p w14:paraId="3354B930" w14:textId="77777777" w:rsidR="00711A16" w:rsidRDefault="00711A16">
                    <w:pPr>
                      <w:spacing w:before="221"/>
                      <w:ind w:left="200"/>
                      <w:rPr>
                        <w:rFonts w:ascii="MS Gothic"/>
                      </w:rPr>
                    </w:pPr>
                    <w:proofErr w:type="gramStart"/>
                    <w:r>
                      <w:rPr>
                        <w:rFonts w:ascii="MS Gothic"/>
                        <w:color w:val="333333"/>
                      </w:rPr>
                      <w:t>spring.jms.cache</w:t>
                    </w:r>
                    <w:proofErr w:type="gramEnd"/>
                    <w:r>
                      <w:rPr>
                        <w:rFonts w:ascii="MS Gothic"/>
                        <w:color w:val="333333"/>
                      </w:rPr>
                      <w:t>.session-cache-size=5</w:t>
                    </w:r>
                  </w:p>
                </w:txbxContent>
              </v:textbox>
            </v:shape>
            <w10:wrap type="topAndBottom" anchorx="page"/>
          </v:group>
        </w:pict>
      </w:r>
    </w:p>
    <w:p w14:paraId="6EC9C627" w14:textId="77777777" w:rsidR="00A720EB" w:rsidRDefault="00A720EB">
      <w:pPr>
        <w:pStyle w:val="a3"/>
        <w:rPr>
          <w:sz w:val="10"/>
        </w:rPr>
      </w:pPr>
    </w:p>
    <w:p w14:paraId="4DC3CA91" w14:textId="77777777" w:rsidR="00A720EB" w:rsidRDefault="0030286B">
      <w:pPr>
        <w:pStyle w:val="a3"/>
        <w:spacing w:before="125" w:line="295" w:lineRule="auto"/>
        <w:ind w:left="124" w:right="124"/>
        <w:jc w:val="both"/>
      </w:pPr>
      <w:r>
        <w:rPr>
          <w:color w:val="333333"/>
          <w:w w:val="110"/>
        </w:rPr>
        <w:t xml:space="preserve">If you’d rather use native pooling, you can do so </w:t>
      </w:r>
      <w:r>
        <w:rPr>
          <w:color w:val="333333"/>
          <w:spacing w:val="-3"/>
          <w:w w:val="110"/>
        </w:rPr>
        <w:t xml:space="preserve">by </w:t>
      </w:r>
      <w:r>
        <w:rPr>
          <w:color w:val="333333"/>
          <w:w w:val="110"/>
        </w:rPr>
        <w:t xml:space="preserve">adding a dependency to </w:t>
      </w:r>
      <w:proofErr w:type="gramStart"/>
      <w:r>
        <w:rPr>
          <w:rFonts w:ascii="MS Gothic" w:hAnsi="MS Gothic"/>
          <w:color w:val="B02045"/>
          <w:w w:val="105"/>
        </w:rPr>
        <w:t>org.messaginghub</w:t>
      </w:r>
      <w:proofErr w:type="gramEnd"/>
      <w:r>
        <w:rPr>
          <w:rFonts w:ascii="MS Gothic" w:hAnsi="MS Gothic"/>
          <w:color w:val="B02045"/>
          <w:w w:val="105"/>
        </w:rPr>
        <w:t xml:space="preserve">:pooled-jms </w:t>
      </w:r>
      <w:r>
        <w:rPr>
          <w:color w:val="333333"/>
          <w:w w:val="105"/>
        </w:rPr>
        <w:t xml:space="preserve">and configuring the </w:t>
      </w:r>
      <w:r>
        <w:rPr>
          <w:rFonts w:ascii="MS Gothic" w:hAnsi="MS Gothic"/>
          <w:color w:val="B02045"/>
          <w:w w:val="105"/>
        </w:rPr>
        <w:t>JmsPoolConnectionFactory</w:t>
      </w:r>
      <w:r>
        <w:rPr>
          <w:rFonts w:ascii="MS Gothic" w:hAnsi="MS Gothic"/>
          <w:color w:val="B02045"/>
          <w:spacing w:val="-46"/>
          <w:w w:val="105"/>
        </w:rPr>
        <w:t xml:space="preserve"> </w:t>
      </w:r>
      <w:r>
        <w:rPr>
          <w:color w:val="333333"/>
          <w:spacing w:val="-3"/>
          <w:w w:val="105"/>
        </w:rPr>
        <w:t xml:space="preserve">accordingly, </w:t>
      </w:r>
      <w:r>
        <w:rPr>
          <w:color w:val="333333"/>
          <w:w w:val="105"/>
        </w:rPr>
        <w:t xml:space="preserve">as shown in </w:t>
      </w:r>
      <w:r>
        <w:rPr>
          <w:color w:val="333333"/>
          <w:w w:val="110"/>
        </w:rPr>
        <w:t>the following</w:t>
      </w:r>
      <w:r>
        <w:rPr>
          <w:color w:val="333333"/>
          <w:spacing w:val="7"/>
          <w:w w:val="110"/>
        </w:rPr>
        <w:t xml:space="preserve"> </w:t>
      </w:r>
      <w:r>
        <w:rPr>
          <w:color w:val="333333"/>
          <w:w w:val="110"/>
        </w:rPr>
        <w:t>example:</w:t>
      </w:r>
    </w:p>
    <w:p w14:paraId="6B3EF504" w14:textId="77777777" w:rsidR="00A720EB" w:rsidRDefault="00E10349">
      <w:pPr>
        <w:pStyle w:val="a3"/>
        <w:spacing w:before="11"/>
        <w:rPr>
          <w:sz w:val="13"/>
        </w:rPr>
      </w:pPr>
      <w:r>
        <w:pict w14:anchorId="22EA3076">
          <v:group id="_x0000_s3896" style="position:absolute;margin-left:47.85pt;margin-top:10.15pt;width:499.55pt;height:52.25pt;z-index:-15419904;mso-wrap-distance-left:0;mso-wrap-distance-right:0;mso-position-horizontal-relative:page" coordorigin="957,203" coordsize="9991,1045">
            <v:shape id="_x0000_s3899" style="position:absolute;left:964;top:210;width:9976;height:1030" coordorigin="965,211" coordsize="9976,1030" path="m10861,211r-9816,l1014,217r-26,17l971,260r-6,31l965,1161r6,31l988,1217r26,17l1045,1241r9816,l10892,1234r25,-17l10935,1192r6,-31l10941,291r-6,-31l10917,234r-25,-17l10861,211xe" fillcolor="#f5f5f5" stroked="f">
              <v:path arrowok="t"/>
            </v:shape>
            <v:shape id="_x0000_s3898" style="position:absolute;left:964;top:210;width:9976;height:1030" coordorigin="965,211" coordsize="9976,1030" path="m1045,211r9816,l10892,217r25,17l10935,260r6,31l10941,1161r-6,31l10917,1217r-25,17l10861,1241r-9816,l1014,1234r-26,-17l971,1192r-6,-31l965,291r6,-31l988,234r26,-17l1045,211xe" filled="f" strokecolor="#ccc">
              <v:path arrowok="t"/>
            </v:shape>
            <v:shape id="_x0000_s3897" type="#_x0000_t202" style="position:absolute;left:984;top:226;width:9938;height:999" filled="f" stroked="f">
              <v:textbox inset="0,0,0,0">
                <w:txbxContent>
                  <w:p w14:paraId="4ACE4477" w14:textId="77777777" w:rsidR="00711A16" w:rsidRDefault="00711A16">
                    <w:pPr>
                      <w:spacing w:before="221" w:line="252" w:lineRule="auto"/>
                      <w:ind w:left="200" w:right="5444"/>
                      <w:rPr>
                        <w:rFonts w:ascii="MS Gothic"/>
                      </w:rPr>
                    </w:pPr>
                    <w:proofErr w:type="gramStart"/>
                    <w:r>
                      <w:rPr>
                        <w:rFonts w:ascii="MS Gothic"/>
                        <w:color w:val="333333"/>
                      </w:rPr>
                      <w:t>spring.activemq</w:t>
                    </w:r>
                    <w:proofErr w:type="gramEnd"/>
                    <w:r>
                      <w:rPr>
                        <w:rFonts w:ascii="MS Gothic"/>
                        <w:color w:val="333333"/>
                      </w:rPr>
                      <w:t>.pool.enabled=true spring.activemq.pool.max-connections=50</w:t>
                    </w:r>
                  </w:p>
                </w:txbxContent>
              </v:textbox>
            </v:shape>
            <w10:wrap type="topAndBottom" anchorx="page"/>
          </v:group>
        </w:pict>
      </w:r>
    </w:p>
    <w:p w14:paraId="694A7A36" w14:textId="77777777" w:rsidR="00A720EB" w:rsidRDefault="00A720EB">
      <w:pPr>
        <w:pStyle w:val="a3"/>
        <w:spacing w:before="8"/>
        <w:rPr>
          <w:sz w:val="16"/>
        </w:rPr>
      </w:pPr>
    </w:p>
    <w:p w14:paraId="693F48D9" w14:textId="77777777" w:rsidR="00A720EB" w:rsidRDefault="00E10349">
      <w:pPr>
        <w:pStyle w:val="a3"/>
        <w:spacing w:before="116" w:line="285" w:lineRule="auto"/>
        <w:ind w:left="1564" w:right="362"/>
        <w:jc w:val="both"/>
      </w:pPr>
      <w:r>
        <w:pict w14:anchorId="0D51F44A">
          <v:line id="_x0000_s3895" style="position:absolute;left:0;text-align:left;z-index:16038912;mso-position-horizontal-relative:page" from="108.25pt,.35pt" to="108.25pt,55.7pt" strokecolor="#ededed" strokeweight=".5pt">
            <w10:wrap anchorx="page"/>
          </v:line>
        </w:pict>
      </w:r>
      <w:r w:rsidR="0030286B">
        <w:rPr>
          <w:noProof/>
        </w:rPr>
        <w:drawing>
          <wp:anchor distT="0" distB="0" distL="0" distR="0" simplePos="0" relativeHeight="16039424" behindDoc="0" locked="0" layoutInCell="1" allowOverlap="1" wp14:anchorId="1C15710F" wp14:editId="7D9F0C6F">
            <wp:simplePos x="0" y="0"/>
            <wp:positionH relativeFrom="page">
              <wp:posOffset>888949</wp:posOffset>
            </wp:positionH>
            <wp:positionV relativeFrom="paragraph">
              <wp:posOffset>203276</wp:posOffset>
            </wp:positionV>
            <wp:extent cx="209550" cy="304800"/>
            <wp:effectExtent l="0" t="0" r="0" b="0"/>
            <wp:wrapNone/>
            <wp:docPr id="39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See </w:t>
      </w:r>
      <w:hyperlink r:id="rId278">
        <w:r w:rsidR="0030286B">
          <w:rPr>
            <w:rFonts w:ascii="MS Gothic"/>
            <w:color w:val="B02045"/>
            <w:w w:val="110"/>
          </w:rPr>
          <w:t>ActiveMQProperties</w:t>
        </w:r>
        <w:r w:rsidR="0030286B">
          <w:rPr>
            <w:rFonts w:ascii="MS Gothic"/>
            <w:color w:val="B02045"/>
            <w:spacing w:val="-79"/>
            <w:w w:val="110"/>
          </w:rPr>
          <w:t xml:space="preserve"> </w:t>
        </w:r>
      </w:hyperlink>
      <w:r w:rsidR="0030286B">
        <w:rPr>
          <w:color w:val="333333"/>
          <w:w w:val="110"/>
        </w:rPr>
        <w:t xml:space="preserve">for more of the supported options. </w:t>
      </w:r>
      <w:r w:rsidR="0030286B">
        <w:rPr>
          <w:color w:val="333333"/>
          <w:spacing w:val="-6"/>
          <w:w w:val="110"/>
        </w:rPr>
        <w:t xml:space="preserve">You </w:t>
      </w:r>
      <w:r w:rsidR="0030286B">
        <w:rPr>
          <w:color w:val="333333"/>
          <w:w w:val="110"/>
        </w:rPr>
        <w:t xml:space="preserve">can also register an arbitrary number of beans that implement </w:t>
      </w:r>
      <w:r w:rsidR="0030286B">
        <w:rPr>
          <w:rFonts w:ascii="MS Gothic"/>
          <w:color w:val="B02045"/>
          <w:w w:val="110"/>
        </w:rPr>
        <w:t xml:space="preserve">ActiveMQConnectionFactoryCustomizer </w:t>
      </w:r>
      <w:r w:rsidR="0030286B">
        <w:rPr>
          <w:color w:val="333333"/>
          <w:w w:val="110"/>
        </w:rPr>
        <w:t>for more advanced customizations.</w:t>
      </w:r>
    </w:p>
    <w:p w14:paraId="3BDAA7DD" w14:textId="77777777" w:rsidR="00A720EB" w:rsidRDefault="00A720EB">
      <w:pPr>
        <w:pStyle w:val="a3"/>
        <w:spacing w:before="8"/>
        <w:rPr>
          <w:sz w:val="18"/>
        </w:rPr>
      </w:pPr>
    </w:p>
    <w:p w14:paraId="4E66ACDD" w14:textId="77777777" w:rsidR="00A720EB" w:rsidRDefault="0030286B">
      <w:pPr>
        <w:pStyle w:val="a3"/>
        <w:spacing w:before="125" w:line="307" w:lineRule="auto"/>
        <w:ind w:left="124" w:right="134"/>
        <w:jc w:val="both"/>
      </w:pPr>
      <w:r>
        <w:rPr>
          <w:color w:val="333333"/>
          <w:w w:val="110"/>
        </w:rPr>
        <w:t xml:space="preserve">By default, ActiveMQ creates a destination if it does not yet exist so that destinations are </w:t>
      </w:r>
      <w:proofErr w:type="gramStart"/>
      <w:r>
        <w:rPr>
          <w:color w:val="333333"/>
          <w:w w:val="110"/>
        </w:rPr>
        <w:t>resolved  against</w:t>
      </w:r>
      <w:proofErr w:type="gramEnd"/>
      <w:r>
        <w:rPr>
          <w:color w:val="333333"/>
          <w:w w:val="110"/>
        </w:rPr>
        <w:t xml:space="preserve"> their provided names.</w:t>
      </w:r>
    </w:p>
    <w:p w14:paraId="5402837C" w14:textId="77777777" w:rsidR="00A720EB" w:rsidRDefault="00A720EB">
      <w:pPr>
        <w:pStyle w:val="a3"/>
        <w:spacing w:before="8"/>
        <w:rPr>
          <w:sz w:val="25"/>
        </w:rPr>
      </w:pPr>
    </w:p>
    <w:p w14:paraId="7F7B06C8" w14:textId="77777777" w:rsidR="00A720EB" w:rsidRDefault="0030286B">
      <w:pPr>
        <w:pStyle w:val="4"/>
      </w:pPr>
      <w:bookmarkStart w:id="402" w:name="Artemis_Support"/>
      <w:bookmarkEnd w:id="402"/>
      <w:r>
        <w:rPr>
          <w:color w:val="333333"/>
          <w:w w:val="110"/>
        </w:rPr>
        <w:t>Artemis Support</w:t>
      </w:r>
    </w:p>
    <w:p w14:paraId="2DC02596" w14:textId="77777777" w:rsidR="00A720EB" w:rsidRDefault="0030286B">
      <w:pPr>
        <w:pStyle w:val="a3"/>
        <w:spacing w:before="244" w:line="290" w:lineRule="auto"/>
        <w:ind w:left="124" w:right="122"/>
        <w:jc w:val="both"/>
      </w:pPr>
      <w:r>
        <w:rPr>
          <w:color w:val="333333"/>
          <w:w w:val="110"/>
        </w:rPr>
        <w:t xml:space="preserve">Spring Boot can auto-configure a </w:t>
      </w:r>
      <w:r>
        <w:rPr>
          <w:rFonts w:ascii="MS Gothic"/>
          <w:color w:val="B02045"/>
          <w:w w:val="110"/>
        </w:rPr>
        <w:t xml:space="preserve">ConnectionFactory </w:t>
      </w:r>
      <w:r>
        <w:rPr>
          <w:color w:val="333333"/>
          <w:w w:val="110"/>
        </w:rPr>
        <w:t xml:space="preserve">when it detects that </w:t>
      </w:r>
      <w:hyperlink r:id="rId279">
        <w:r>
          <w:rPr>
            <w:color w:val="418BCA"/>
            <w:w w:val="110"/>
          </w:rPr>
          <w:t xml:space="preserve">Artemis </w:t>
        </w:r>
      </w:hyperlink>
      <w:r>
        <w:rPr>
          <w:color w:val="333333"/>
          <w:w w:val="110"/>
        </w:rPr>
        <w:t xml:space="preserve">is available on the classpath. If the broker is present, an embedded broker is automatically started and configured (unless the mode property has been explicitly set). The supported modes are </w:t>
      </w:r>
      <w:r>
        <w:rPr>
          <w:rFonts w:ascii="MS Gothic"/>
          <w:color w:val="B02045"/>
          <w:w w:val="110"/>
        </w:rPr>
        <w:t xml:space="preserve">embedded </w:t>
      </w:r>
      <w:r>
        <w:rPr>
          <w:color w:val="333333"/>
          <w:w w:val="110"/>
        </w:rPr>
        <w:t xml:space="preserve">(to make explicit that an embedded broker is required and that an error should occur if the broker is not available on the classpath) and </w:t>
      </w:r>
      <w:r>
        <w:rPr>
          <w:rFonts w:ascii="MS Gothic"/>
          <w:color w:val="B02045"/>
          <w:w w:val="110"/>
        </w:rPr>
        <w:t xml:space="preserve">native </w:t>
      </w:r>
      <w:r>
        <w:rPr>
          <w:color w:val="333333"/>
          <w:w w:val="110"/>
        </w:rPr>
        <w:t xml:space="preserve">(to connect to a broker using the </w:t>
      </w:r>
      <w:r>
        <w:rPr>
          <w:rFonts w:ascii="MS Gothic"/>
          <w:color w:val="B02045"/>
          <w:w w:val="110"/>
        </w:rPr>
        <w:t xml:space="preserve">netty </w:t>
      </w:r>
      <w:r>
        <w:rPr>
          <w:color w:val="333333"/>
          <w:w w:val="110"/>
        </w:rPr>
        <w:t xml:space="preserve">transport protocol). When the latter is configured, Spring Boot configures a </w:t>
      </w:r>
      <w:r>
        <w:rPr>
          <w:rFonts w:ascii="MS Gothic"/>
          <w:color w:val="B02045"/>
          <w:w w:val="110"/>
        </w:rPr>
        <w:t xml:space="preserve">ConnectionFactory </w:t>
      </w:r>
      <w:r>
        <w:rPr>
          <w:color w:val="333333"/>
          <w:w w:val="110"/>
        </w:rPr>
        <w:t>that connects to a broker running on the local machine with the default settings.</w:t>
      </w:r>
    </w:p>
    <w:p w14:paraId="3F6EB9F1" w14:textId="77777777" w:rsidR="00A720EB" w:rsidRDefault="00A720EB">
      <w:pPr>
        <w:pStyle w:val="a3"/>
        <w:spacing w:before="6"/>
        <w:rPr>
          <w:sz w:val="18"/>
        </w:rPr>
      </w:pPr>
    </w:p>
    <w:p w14:paraId="15E03336" w14:textId="77777777" w:rsidR="00A720EB" w:rsidRDefault="00E10349">
      <w:pPr>
        <w:pStyle w:val="a3"/>
        <w:spacing w:before="116" w:line="292" w:lineRule="auto"/>
        <w:ind w:left="1564" w:right="363"/>
        <w:jc w:val="both"/>
      </w:pPr>
      <w:r>
        <w:pict w14:anchorId="59AD032C">
          <v:line id="_x0000_s3894" style="position:absolute;left:0;text-align:left;z-index:16039936;mso-position-horizontal-relative:page" from="108.25pt,.35pt" to="108.25pt,71.45pt" strokecolor="#ededed" strokeweight=".5pt">
            <w10:wrap anchorx="page"/>
          </v:line>
        </w:pict>
      </w:r>
      <w:r w:rsidR="0030286B">
        <w:rPr>
          <w:noProof/>
        </w:rPr>
        <w:drawing>
          <wp:anchor distT="0" distB="0" distL="0" distR="0" simplePos="0" relativeHeight="16040448" behindDoc="0" locked="0" layoutInCell="1" allowOverlap="1" wp14:anchorId="5D5F8AC5" wp14:editId="355B94F6">
            <wp:simplePos x="0" y="0"/>
            <wp:positionH relativeFrom="page">
              <wp:posOffset>844422</wp:posOffset>
            </wp:positionH>
            <wp:positionV relativeFrom="paragraph">
              <wp:posOffset>306654</wp:posOffset>
            </wp:positionV>
            <wp:extent cx="298450" cy="298450"/>
            <wp:effectExtent l="0" t="0" r="0" b="0"/>
            <wp:wrapNone/>
            <wp:docPr id="3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use </w:t>
      </w:r>
      <w:r w:rsidR="0030286B">
        <w:rPr>
          <w:rFonts w:ascii="MS Gothic"/>
          <w:color w:val="B02045"/>
          <w:w w:val="110"/>
        </w:rPr>
        <w:t>spring-boot-starter-artemis</w:t>
      </w:r>
      <w:r w:rsidR="0030286B">
        <w:rPr>
          <w:color w:val="333333"/>
          <w:w w:val="110"/>
        </w:rPr>
        <w:t>, the necessary dependencies to connect</w:t>
      </w:r>
      <w:r w:rsidR="0030286B">
        <w:rPr>
          <w:color w:val="333333"/>
          <w:spacing w:val="-28"/>
          <w:w w:val="110"/>
        </w:rPr>
        <w:t xml:space="preserve"> </w:t>
      </w:r>
      <w:r w:rsidR="0030286B">
        <w:rPr>
          <w:color w:val="333333"/>
          <w:w w:val="110"/>
        </w:rPr>
        <w:t xml:space="preserve">to an existing Artemis instance are provided, as well as the Spring infrastructure </w:t>
      </w:r>
      <w:proofErr w:type="gramStart"/>
      <w:r w:rsidR="0030286B">
        <w:rPr>
          <w:color w:val="333333"/>
          <w:w w:val="110"/>
        </w:rPr>
        <w:t>to  integrate</w:t>
      </w:r>
      <w:proofErr w:type="gramEnd"/>
      <w:r w:rsidR="0030286B">
        <w:rPr>
          <w:color w:val="333333"/>
          <w:w w:val="110"/>
        </w:rPr>
        <w:t xml:space="preserve"> with JMS. Adding </w:t>
      </w:r>
      <w:proofErr w:type="gramStart"/>
      <w:r w:rsidR="0030286B">
        <w:rPr>
          <w:rFonts w:ascii="MS Gothic"/>
          <w:color w:val="B02045"/>
          <w:w w:val="110"/>
        </w:rPr>
        <w:t>org.apache</w:t>
      </w:r>
      <w:proofErr w:type="gramEnd"/>
      <w:r w:rsidR="0030286B">
        <w:rPr>
          <w:rFonts w:ascii="MS Gothic"/>
          <w:color w:val="B02045"/>
          <w:w w:val="110"/>
        </w:rPr>
        <w:t xml:space="preserve">.activemq:artemis-jms-server </w:t>
      </w:r>
      <w:r w:rsidR="0030286B">
        <w:rPr>
          <w:color w:val="333333"/>
          <w:w w:val="110"/>
        </w:rPr>
        <w:t>to your application lets you use embedded</w:t>
      </w:r>
      <w:r w:rsidR="0030286B">
        <w:rPr>
          <w:color w:val="333333"/>
          <w:spacing w:val="14"/>
          <w:w w:val="110"/>
        </w:rPr>
        <w:t xml:space="preserve"> </w:t>
      </w:r>
      <w:r w:rsidR="0030286B">
        <w:rPr>
          <w:color w:val="333333"/>
          <w:w w:val="110"/>
        </w:rPr>
        <w:t>mode.</w:t>
      </w:r>
    </w:p>
    <w:p w14:paraId="55195E3B" w14:textId="77777777" w:rsidR="00A720EB" w:rsidRDefault="00A720EB">
      <w:pPr>
        <w:spacing w:line="292" w:lineRule="auto"/>
        <w:jc w:val="both"/>
        <w:sectPr w:rsidR="00A720EB">
          <w:pgSz w:w="11910" w:h="16840"/>
          <w:pgMar w:top="700" w:right="840" w:bottom="520" w:left="840" w:header="0" w:footer="323" w:gutter="0"/>
          <w:cols w:space="720"/>
        </w:sectPr>
      </w:pPr>
    </w:p>
    <w:p w14:paraId="4940DF71" w14:textId="77777777" w:rsidR="00A720EB" w:rsidRDefault="0030286B">
      <w:pPr>
        <w:pStyle w:val="a3"/>
        <w:spacing w:before="96" w:line="280" w:lineRule="auto"/>
        <w:ind w:left="124"/>
      </w:pPr>
      <w:r>
        <w:rPr>
          <w:color w:val="333333"/>
          <w:w w:val="110"/>
        </w:rPr>
        <w:lastRenderedPageBreak/>
        <w:t xml:space="preserve">Artemis configuration is controlled by external configuration properties in </w:t>
      </w:r>
      <w:proofErr w:type="gramStart"/>
      <w:r>
        <w:rPr>
          <w:rFonts w:ascii="MS Gothic"/>
          <w:color w:val="B02045"/>
          <w:w w:val="110"/>
        </w:rPr>
        <w:t>spring.artemis</w:t>
      </w:r>
      <w:proofErr w:type="gramEnd"/>
      <w:r>
        <w:rPr>
          <w:rFonts w:ascii="MS Gothic"/>
          <w:color w:val="B02045"/>
          <w:w w:val="110"/>
        </w:rPr>
        <w:t>.*</w:t>
      </w:r>
      <w:r>
        <w:rPr>
          <w:color w:val="333333"/>
          <w:w w:val="110"/>
        </w:rPr>
        <w:t xml:space="preserve">. For example, you might declare the following section in </w:t>
      </w:r>
      <w:proofErr w:type="gramStart"/>
      <w:r>
        <w:rPr>
          <w:rFonts w:ascii="MS Gothic"/>
          <w:color w:val="B02045"/>
          <w:w w:val="110"/>
        </w:rPr>
        <w:t>application.properties</w:t>
      </w:r>
      <w:proofErr w:type="gramEnd"/>
      <w:r>
        <w:rPr>
          <w:color w:val="333333"/>
          <w:w w:val="110"/>
        </w:rPr>
        <w:t>:</w:t>
      </w:r>
    </w:p>
    <w:p w14:paraId="58C8BC01" w14:textId="77777777" w:rsidR="00A720EB" w:rsidRDefault="00E10349">
      <w:pPr>
        <w:pStyle w:val="a3"/>
        <w:spacing w:before="1"/>
        <w:rPr>
          <w:sz w:val="14"/>
        </w:rPr>
      </w:pPr>
      <w:r>
        <w:pict w14:anchorId="156E82B4">
          <v:group id="_x0000_s3890" style="position:absolute;margin-left:47.85pt;margin-top:10.25pt;width:499.55pt;height:96.45pt;z-index:-15416320;mso-wrap-distance-left:0;mso-wrap-distance-right:0;mso-position-horizontal-relative:page" coordorigin="957,205" coordsize="9991,1929">
            <v:shape id="_x0000_s3893" style="position:absolute;left:964;top:212;width:9976;height:1914" coordorigin="965,213" coordsize="9976,1914" path="m10861,213r-9816,l1014,219r-26,17l971,262r-6,31l965,2047r6,31l988,2103r26,18l1045,2127r9816,l10892,2121r25,-18l10935,2078r6,-31l10941,293r-6,-31l10917,236r-25,-17l10861,213xe" fillcolor="#f5f5f5" stroked="f">
              <v:path arrowok="t"/>
            </v:shape>
            <v:shape id="_x0000_s3892" style="position:absolute;left:964;top:212;width:9976;height:1914" coordorigin="965,213" coordsize="9976,1914" path="m1045,213r9816,l10892,219r25,17l10935,262r6,31l10941,2047r-6,31l10917,2103r-25,18l10861,2127r-9816,l1014,2121r-26,-18l971,2078r-6,-31l965,293r6,-31l988,236r26,-17l1045,213xe" filled="f" strokecolor="#ccc">
              <v:path arrowok="t"/>
            </v:shape>
            <v:shape id="_x0000_s3891" type="#_x0000_t202" style="position:absolute;left:984;top:228;width:9938;height:1884" filled="f" stroked="f">
              <v:textbox inset="0,0,0,0">
                <w:txbxContent>
                  <w:p w14:paraId="45EB9D77" w14:textId="77777777" w:rsidR="00711A16" w:rsidRDefault="00711A16">
                    <w:pPr>
                      <w:spacing w:before="221" w:line="252" w:lineRule="auto"/>
                      <w:ind w:left="200" w:right="6088"/>
                      <w:rPr>
                        <w:rFonts w:ascii="MS Gothic"/>
                      </w:rPr>
                    </w:pPr>
                    <w:proofErr w:type="gramStart"/>
                    <w:r>
                      <w:rPr>
                        <w:rFonts w:ascii="MS Gothic"/>
                        <w:color w:val="333333"/>
                      </w:rPr>
                      <w:t>spring.artemis</w:t>
                    </w:r>
                    <w:proofErr w:type="gramEnd"/>
                    <w:r>
                      <w:rPr>
                        <w:rFonts w:ascii="MS Gothic"/>
                        <w:color w:val="333333"/>
                      </w:rPr>
                      <w:t>.mode=native spring.artemis.host=192.168.1.210 spring.artemis.port=9876 spring.artemis.user=admin spring.artemis.password=secret</w:t>
                    </w:r>
                  </w:p>
                </w:txbxContent>
              </v:textbox>
            </v:shape>
            <w10:wrap type="topAndBottom" anchorx="page"/>
          </v:group>
        </w:pict>
      </w:r>
    </w:p>
    <w:p w14:paraId="27E156EB" w14:textId="77777777" w:rsidR="00A720EB" w:rsidRDefault="00A720EB">
      <w:pPr>
        <w:pStyle w:val="a3"/>
        <w:rPr>
          <w:sz w:val="10"/>
        </w:rPr>
      </w:pPr>
    </w:p>
    <w:p w14:paraId="0AD04613" w14:textId="77777777" w:rsidR="00A720EB" w:rsidRDefault="0030286B">
      <w:pPr>
        <w:pStyle w:val="a3"/>
        <w:tabs>
          <w:tab w:val="left" w:pos="9880"/>
        </w:tabs>
        <w:spacing w:before="125" w:line="297" w:lineRule="auto"/>
        <w:ind w:left="124" w:right="122"/>
        <w:jc w:val="both"/>
      </w:pPr>
      <w:r>
        <w:rPr>
          <w:color w:val="333333"/>
          <w:w w:val="110"/>
        </w:rPr>
        <w:t xml:space="preserve">When embedding the broker, you can choose if you want to enable persistence and list the destinations that should be made available. These can be specified as a comma-separated list to create them with the default options, or you can define bean(s) of type </w:t>
      </w:r>
      <w:proofErr w:type="gramStart"/>
      <w:r>
        <w:rPr>
          <w:rFonts w:ascii="MS Gothic"/>
          <w:color w:val="B02045"/>
        </w:rPr>
        <w:t>org.apache.activemq.artemis.jms.server</w:t>
      </w:r>
      <w:proofErr w:type="gramEnd"/>
      <w:r>
        <w:rPr>
          <w:rFonts w:ascii="MS Gothic"/>
          <w:color w:val="B02045"/>
        </w:rPr>
        <w:t>.config.JMSQueueConfiguration</w:t>
      </w:r>
      <w:r>
        <w:rPr>
          <w:rFonts w:ascii="MS Gothic"/>
          <w:color w:val="B02045"/>
        </w:rPr>
        <w:tab/>
      </w:r>
      <w:r>
        <w:rPr>
          <w:color w:val="333333"/>
          <w:spacing w:val="-9"/>
          <w:w w:val="110"/>
        </w:rPr>
        <w:t xml:space="preserve">or </w:t>
      </w:r>
      <w:r>
        <w:rPr>
          <w:rFonts w:ascii="MS Gothic"/>
          <w:color w:val="B02045"/>
          <w:w w:val="105"/>
        </w:rPr>
        <w:t>org.apache.activemq.artemis.jms.server.config.TopicConfiguration</w:t>
      </w:r>
      <w:r>
        <w:rPr>
          <w:color w:val="333333"/>
          <w:w w:val="105"/>
        </w:rPr>
        <w:t xml:space="preserve">, for advanced queue and topic </w:t>
      </w:r>
      <w:r>
        <w:rPr>
          <w:color w:val="333333"/>
          <w:w w:val="110"/>
        </w:rPr>
        <w:t>configurations,</w:t>
      </w:r>
      <w:r>
        <w:rPr>
          <w:color w:val="333333"/>
          <w:spacing w:val="2"/>
          <w:w w:val="110"/>
        </w:rPr>
        <w:t xml:space="preserve"> </w:t>
      </w:r>
      <w:r>
        <w:rPr>
          <w:color w:val="333333"/>
          <w:spacing w:val="-3"/>
          <w:w w:val="110"/>
        </w:rPr>
        <w:t>respectively.</w:t>
      </w:r>
    </w:p>
    <w:p w14:paraId="731CEC10" w14:textId="77777777" w:rsidR="00A720EB" w:rsidRDefault="0030286B">
      <w:pPr>
        <w:pStyle w:val="a3"/>
        <w:spacing w:before="235" w:line="280" w:lineRule="auto"/>
        <w:ind w:left="124" w:right="123"/>
        <w:jc w:val="both"/>
      </w:pPr>
      <w:r>
        <w:rPr>
          <w:color w:val="333333"/>
          <w:spacing w:val="-3"/>
          <w:w w:val="110"/>
        </w:rPr>
        <w:t xml:space="preserve">By </w:t>
      </w:r>
      <w:r>
        <w:rPr>
          <w:color w:val="333333"/>
          <w:w w:val="110"/>
        </w:rPr>
        <w:t xml:space="preserve">default, a </w:t>
      </w:r>
      <w:r>
        <w:rPr>
          <w:rFonts w:ascii="MS Gothic"/>
          <w:color w:val="B02045"/>
          <w:w w:val="110"/>
        </w:rPr>
        <w:t xml:space="preserve">CachingConnectionFactory </w:t>
      </w:r>
      <w:r>
        <w:rPr>
          <w:color w:val="333333"/>
          <w:w w:val="110"/>
        </w:rPr>
        <w:t xml:space="preserve">wraps the native </w:t>
      </w:r>
      <w:r>
        <w:rPr>
          <w:rFonts w:ascii="MS Gothic"/>
          <w:color w:val="B02045"/>
          <w:w w:val="110"/>
        </w:rPr>
        <w:t>ConnectionFactory</w:t>
      </w:r>
      <w:r>
        <w:rPr>
          <w:rFonts w:ascii="MS Gothic"/>
          <w:color w:val="B02045"/>
          <w:spacing w:val="-90"/>
          <w:w w:val="110"/>
        </w:rPr>
        <w:t xml:space="preserve"> </w:t>
      </w:r>
      <w:r>
        <w:rPr>
          <w:color w:val="333333"/>
          <w:w w:val="110"/>
        </w:rPr>
        <w:t xml:space="preserve">with sensible settings that you can control </w:t>
      </w:r>
      <w:r>
        <w:rPr>
          <w:color w:val="333333"/>
          <w:spacing w:val="-3"/>
          <w:w w:val="110"/>
        </w:rPr>
        <w:t xml:space="preserve">by </w:t>
      </w:r>
      <w:r>
        <w:rPr>
          <w:color w:val="333333"/>
          <w:w w:val="110"/>
        </w:rPr>
        <w:t xml:space="preserve">external configuration properties in </w:t>
      </w:r>
      <w:proofErr w:type="gramStart"/>
      <w:r>
        <w:rPr>
          <w:rFonts w:ascii="MS Gothic"/>
          <w:color w:val="B02045"/>
          <w:w w:val="110"/>
        </w:rPr>
        <w:t>spring.jms.*</w:t>
      </w:r>
      <w:proofErr w:type="gramEnd"/>
      <w:r>
        <w:rPr>
          <w:color w:val="333333"/>
          <w:w w:val="110"/>
        </w:rPr>
        <w:t>:</w:t>
      </w:r>
    </w:p>
    <w:p w14:paraId="3799259D" w14:textId="77777777" w:rsidR="00A720EB" w:rsidRDefault="00E10349">
      <w:pPr>
        <w:pStyle w:val="a3"/>
        <w:spacing w:before="1"/>
        <w:rPr>
          <w:sz w:val="14"/>
        </w:rPr>
      </w:pPr>
      <w:r>
        <w:pict w14:anchorId="4B98E4FE">
          <v:group id="_x0000_s3886" style="position:absolute;margin-left:47.85pt;margin-top:10.25pt;width:499.55pt;height:37.5pt;z-index:-15415808;mso-wrap-distance-left:0;mso-wrap-distance-right:0;mso-position-horizontal-relative:page" coordorigin="957,205" coordsize="9991,750">
            <v:shape id="_x0000_s3889" style="position:absolute;left:964;top:212;width:9976;height:735" coordorigin="965,213" coordsize="9976,735" path="m10861,213r-9816,l1014,219r-26,17l971,261r-6,32l965,867r6,31l988,924r26,17l1045,947r9816,l10892,941r25,-17l10935,898r6,-31l10941,293r-6,-32l10917,236r-25,-17l10861,213xe" fillcolor="#f5f5f5" stroked="f">
              <v:path arrowok="t"/>
            </v:shape>
            <v:shape id="_x0000_s3888" style="position:absolute;left:964;top:212;width:9976;height:735" coordorigin="965,213" coordsize="9976,735" path="m1045,213r9816,l10892,219r25,17l10935,261r6,32l10941,867r-6,31l10917,924r-25,17l10861,947r-9816,l1014,941,988,924,971,898r-6,-31l965,293r6,-32l988,236r26,-17l1045,213xe" filled="f" strokecolor="#ccc">
              <v:path arrowok="t"/>
            </v:shape>
            <v:shape id="_x0000_s3887" type="#_x0000_t202" style="position:absolute;left:984;top:228;width:9938;height:704" filled="f" stroked="f">
              <v:textbox inset="0,0,0,0">
                <w:txbxContent>
                  <w:p w14:paraId="00B44998" w14:textId="77777777" w:rsidR="00711A16" w:rsidRDefault="00711A16">
                    <w:pPr>
                      <w:spacing w:before="221"/>
                      <w:ind w:left="200"/>
                      <w:rPr>
                        <w:rFonts w:ascii="MS Gothic"/>
                      </w:rPr>
                    </w:pPr>
                    <w:proofErr w:type="gramStart"/>
                    <w:r>
                      <w:rPr>
                        <w:rFonts w:ascii="MS Gothic"/>
                        <w:color w:val="333333"/>
                      </w:rPr>
                      <w:t>spring.jms.cache</w:t>
                    </w:r>
                    <w:proofErr w:type="gramEnd"/>
                    <w:r>
                      <w:rPr>
                        <w:rFonts w:ascii="MS Gothic"/>
                        <w:color w:val="333333"/>
                      </w:rPr>
                      <w:t>.session-cache-size=5</w:t>
                    </w:r>
                  </w:p>
                </w:txbxContent>
              </v:textbox>
            </v:shape>
            <w10:wrap type="topAndBottom" anchorx="page"/>
          </v:group>
        </w:pict>
      </w:r>
    </w:p>
    <w:p w14:paraId="0944BEFF" w14:textId="77777777" w:rsidR="00A720EB" w:rsidRDefault="00A720EB">
      <w:pPr>
        <w:pStyle w:val="a3"/>
        <w:rPr>
          <w:sz w:val="10"/>
        </w:rPr>
      </w:pPr>
    </w:p>
    <w:p w14:paraId="2D5FF0A3" w14:textId="77777777" w:rsidR="00A720EB" w:rsidRDefault="0030286B">
      <w:pPr>
        <w:pStyle w:val="a3"/>
        <w:spacing w:before="125" w:line="295" w:lineRule="auto"/>
        <w:ind w:left="124" w:right="124"/>
        <w:jc w:val="both"/>
      </w:pPr>
      <w:r>
        <w:rPr>
          <w:color w:val="333333"/>
          <w:w w:val="110"/>
        </w:rPr>
        <w:t xml:space="preserve">If you’d rather use native pooling, you can do so </w:t>
      </w:r>
      <w:r>
        <w:rPr>
          <w:color w:val="333333"/>
          <w:spacing w:val="-3"/>
          <w:w w:val="110"/>
        </w:rPr>
        <w:t xml:space="preserve">by </w:t>
      </w:r>
      <w:r>
        <w:rPr>
          <w:color w:val="333333"/>
          <w:w w:val="110"/>
        </w:rPr>
        <w:t xml:space="preserve">adding a dependency to </w:t>
      </w:r>
      <w:proofErr w:type="gramStart"/>
      <w:r>
        <w:rPr>
          <w:rFonts w:ascii="MS Gothic" w:hAnsi="MS Gothic"/>
          <w:color w:val="B02045"/>
          <w:w w:val="105"/>
        </w:rPr>
        <w:t>org.messaginghub</w:t>
      </w:r>
      <w:proofErr w:type="gramEnd"/>
      <w:r>
        <w:rPr>
          <w:rFonts w:ascii="MS Gothic" w:hAnsi="MS Gothic"/>
          <w:color w:val="B02045"/>
          <w:w w:val="105"/>
        </w:rPr>
        <w:t xml:space="preserve">:pooled-jms </w:t>
      </w:r>
      <w:r>
        <w:rPr>
          <w:color w:val="333333"/>
          <w:w w:val="105"/>
        </w:rPr>
        <w:t xml:space="preserve">and configuring the </w:t>
      </w:r>
      <w:r>
        <w:rPr>
          <w:rFonts w:ascii="MS Gothic" w:hAnsi="MS Gothic"/>
          <w:color w:val="B02045"/>
          <w:w w:val="105"/>
        </w:rPr>
        <w:t>JmsPoolConnectionFactory</w:t>
      </w:r>
      <w:r>
        <w:rPr>
          <w:rFonts w:ascii="MS Gothic" w:hAnsi="MS Gothic"/>
          <w:color w:val="B02045"/>
          <w:spacing w:val="-46"/>
          <w:w w:val="105"/>
        </w:rPr>
        <w:t xml:space="preserve"> </w:t>
      </w:r>
      <w:r>
        <w:rPr>
          <w:color w:val="333333"/>
          <w:spacing w:val="-3"/>
          <w:w w:val="105"/>
        </w:rPr>
        <w:t xml:space="preserve">accordingly, </w:t>
      </w:r>
      <w:r>
        <w:rPr>
          <w:color w:val="333333"/>
          <w:w w:val="105"/>
        </w:rPr>
        <w:t xml:space="preserve">as shown in </w:t>
      </w:r>
      <w:r>
        <w:rPr>
          <w:color w:val="333333"/>
          <w:w w:val="110"/>
        </w:rPr>
        <w:t>the following</w:t>
      </w:r>
      <w:r>
        <w:rPr>
          <w:color w:val="333333"/>
          <w:spacing w:val="7"/>
          <w:w w:val="110"/>
        </w:rPr>
        <w:t xml:space="preserve"> </w:t>
      </w:r>
      <w:r>
        <w:rPr>
          <w:color w:val="333333"/>
          <w:w w:val="110"/>
        </w:rPr>
        <w:t>example:</w:t>
      </w:r>
    </w:p>
    <w:p w14:paraId="549F794D" w14:textId="77777777" w:rsidR="00A720EB" w:rsidRDefault="00E10349">
      <w:pPr>
        <w:pStyle w:val="a3"/>
        <w:spacing w:before="11"/>
        <w:rPr>
          <w:sz w:val="13"/>
        </w:rPr>
      </w:pPr>
      <w:r>
        <w:pict w14:anchorId="4395C78E">
          <v:group id="_x0000_s3882" style="position:absolute;margin-left:47.85pt;margin-top:10.15pt;width:499.55pt;height:52.25pt;z-index:-15415296;mso-wrap-distance-left:0;mso-wrap-distance-right:0;mso-position-horizontal-relative:page" coordorigin="957,203" coordsize="9991,1045">
            <v:shape id="_x0000_s3885" style="position:absolute;left:964;top:210;width:9976;height:1030" coordorigin="965,211" coordsize="9976,1030" path="m10861,211r-9816,l1014,217r-26,17l971,260r-6,31l965,1161r6,31l988,1217r26,17l1045,1241r9816,l10892,1234r25,-17l10935,1192r6,-31l10941,291r-6,-31l10917,234r-25,-17l10861,211xe" fillcolor="#f5f5f5" stroked="f">
              <v:path arrowok="t"/>
            </v:shape>
            <v:shape id="_x0000_s3884" style="position:absolute;left:964;top:210;width:9976;height:1030" coordorigin="965,211" coordsize="9976,1030" path="m1045,211r9816,l10892,217r25,17l10935,260r6,31l10941,1161r-6,31l10917,1217r-25,17l10861,1241r-9816,l1014,1234r-26,-17l971,1192r-6,-31l965,291r6,-31l988,234r26,-17l1045,211xe" filled="f" strokecolor="#ccc">
              <v:path arrowok="t"/>
            </v:shape>
            <v:shape id="_x0000_s3883" type="#_x0000_t202" style="position:absolute;left:984;top:226;width:9938;height:999" filled="f" stroked="f">
              <v:textbox inset="0,0,0,0">
                <w:txbxContent>
                  <w:p w14:paraId="56DBC0E4" w14:textId="77777777" w:rsidR="00711A16" w:rsidRDefault="00711A16">
                    <w:pPr>
                      <w:spacing w:before="221" w:line="252" w:lineRule="auto"/>
                      <w:ind w:left="200" w:right="5554"/>
                      <w:rPr>
                        <w:rFonts w:ascii="MS Gothic"/>
                      </w:rPr>
                    </w:pPr>
                    <w:proofErr w:type="gramStart"/>
                    <w:r>
                      <w:rPr>
                        <w:rFonts w:ascii="MS Gothic"/>
                        <w:color w:val="333333"/>
                      </w:rPr>
                      <w:t>spring.artemis</w:t>
                    </w:r>
                    <w:proofErr w:type="gramEnd"/>
                    <w:r>
                      <w:rPr>
                        <w:rFonts w:ascii="MS Gothic"/>
                        <w:color w:val="333333"/>
                      </w:rPr>
                      <w:t>.pool.enabled=true spring.artemis.pool.max-connections=50</w:t>
                    </w:r>
                  </w:p>
                </w:txbxContent>
              </v:textbox>
            </v:shape>
            <w10:wrap type="topAndBottom" anchorx="page"/>
          </v:group>
        </w:pict>
      </w:r>
    </w:p>
    <w:p w14:paraId="04FD61E2" w14:textId="77777777" w:rsidR="00A720EB" w:rsidRDefault="00A720EB">
      <w:pPr>
        <w:pStyle w:val="a3"/>
        <w:spacing w:before="11"/>
        <w:rPr>
          <w:sz w:val="9"/>
        </w:rPr>
      </w:pPr>
    </w:p>
    <w:p w14:paraId="07A0C597" w14:textId="77777777" w:rsidR="00A720EB" w:rsidRDefault="0030286B">
      <w:pPr>
        <w:pStyle w:val="a3"/>
        <w:spacing w:before="115"/>
        <w:ind w:left="124"/>
      </w:pPr>
      <w:r>
        <w:rPr>
          <w:color w:val="333333"/>
          <w:w w:val="110"/>
        </w:rPr>
        <w:t xml:space="preserve">See </w:t>
      </w:r>
      <w:hyperlink r:id="rId280">
        <w:r>
          <w:rPr>
            <w:rFonts w:ascii="MS Gothic"/>
            <w:color w:val="B02045"/>
            <w:w w:val="110"/>
          </w:rPr>
          <w:t>ArtemisProperties</w:t>
        </w:r>
        <w:r>
          <w:rPr>
            <w:rFonts w:ascii="MS Gothic"/>
            <w:color w:val="B02045"/>
            <w:spacing w:val="-59"/>
            <w:w w:val="110"/>
          </w:rPr>
          <w:t xml:space="preserve"> </w:t>
        </w:r>
      </w:hyperlink>
      <w:r>
        <w:rPr>
          <w:color w:val="333333"/>
          <w:w w:val="110"/>
        </w:rPr>
        <w:t>for more supported options.</w:t>
      </w:r>
    </w:p>
    <w:p w14:paraId="3DC8E4F5" w14:textId="77777777" w:rsidR="00A720EB" w:rsidRDefault="00A720EB">
      <w:pPr>
        <w:pStyle w:val="a3"/>
        <w:spacing w:before="5"/>
        <w:rPr>
          <w:sz w:val="24"/>
        </w:rPr>
      </w:pPr>
    </w:p>
    <w:p w14:paraId="5F046032" w14:textId="77777777" w:rsidR="00A720EB" w:rsidRDefault="0030286B">
      <w:pPr>
        <w:pStyle w:val="a3"/>
        <w:spacing w:before="1"/>
        <w:ind w:left="124"/>
        <w:rPr>
          <w:rFonts w:ascii="MS Gothic"/>
        </w:rPr>
      </w:pPr>
      <w:r>
        <w:rPr>
          <w:color w:val="333333"/>
          <w:w w:val="110"/>
        </w:rPr>
        <w:t xml:space="preserve">No JNDI lookup is involved, and destinations are resolved against their names, using either the </w:t>
      </w:r>
      <w:r>
        <w:rPr>
          <w:rFonts w:ascii="MS Gothic"/>
          <w:color w:val="B02045"/>
          <w:w w:val="110"/>
        </w:rPr>
        <w:t>name</w:t>
      </w:r>
    </w:p>
    <w:p w14:paraId="45EB4C29" w14:textId="77777777" w:rsidR="00A720EB" w:rsidRDefault="0030286B">
      <w:pPr>
        <w:pStyle w:val="a3"/>
        <w:spacing w:before="57"/>
        <w:ind w:left="124"/>
      </w:pPr>
      <w:r>
        <w:rPr>
          <w:color w:val="333333"/>
          <w:w w:val="110"/>
        </w:rPr>
        <w:t>attribute in the Artemis configuration or the names provided through configuration.</w:t>
      </w:r>
    </w:p>
    <w:p w14:paraId="6ED58D3E" w14:textId="77777777" w:rsidR="00A720EB" w:rsidRDefault="00A720EB">
      <w:pPr>
        <w:pStyle w:val="a3"/>
        <w:spacing w:before="5"/>
        <w:rPr>
          <w:sz w:val="31"/>
        </w:rPr>
      </w:pPr>
    </w:p>
    <w:p w14:paraId="11988740" w14:textId="77777777" w:rsidR="00A720EB" w:rsidRDefault="0030286B">
      <w:pPr>
        <w:pStyle w:val="4"/>
        <w:spacing w:before="1"/>
        <w:jc w:val="left"/>
      </w:pPr>
      <w:bookmarkStart w:id="403" w:name="Using_a_JNDI_ConnectionFactory"/>
      <w:bookmarkEnd w:id="403"/>
      <w:r>
        <w:rPr>
          <w:color w:val="333333"/>
          <w:w w:val="110"/>
        </w:rPr>
        <w:t>Using a JNDI ConnectionFactory</w:t>
      </w:r>
    </w:p>
    <w:p w14:paraId="23896251" w14:textId="77777777" w:rsidR="00A720EB" w:rsidRDefault="00A720EB">
      <w:pPr>
        <w:pStyle w:val="a3"/>
        <w:spacing w:before="11"/>
        <w:rPr>
          <w:rFonts w:ascii="Palatino Linotype"/>
          <w:b/>
          <w:sz w:val="18"/>
        </w:rPr>
      </w:pPr>
    </w:p>
    <w:p w14:paraId="688D7C83" w14:textId="77777777" w:rsidR="00A720EB" w:rsidRDefault="0030286B">
      <w:pPr>
        <w:pStyle w:val="a3"/>
        <w:spacing w:line="290" w:lineRule="auto"/>
        <w:ind w:left="124" w:right="122"/>
        <w:jc w:val="both"/>
      </w:pPr>
      <w:r>
        <w:rPr>
          <w:color w:val="333333"/>
          <w:w w:val="110"/>
        </w:rPr>
        <w:t xml:space="preserve">If you are running your application in an application server, Spring Boot tries to locate a JMS </w:t>
      </w:r>
      <w:r>
        <w:rPr>
          <w:rFonts w:ascii="MS Gothic"/>
          <w:color w:val="B02045"/>
          <w:w w:val="105"/>
        </w:rPr>
        <w:t>ConnectionFactory</w:t>
      </w:r>
      <w:r>
        <w:rPr>
          <w:rFonts w:ascii="MS Gothic"/>
          <w:color w:val="B02045"/>
          <w:spacing w:val="-58"/>
          <w:w w:val="105"/>
        </w:rPr>
        <w:t xml:space="preserve"> </w:t>
      </w:r>
      <w:r>
        <w:rPr>
          <w:color w:val="333333"/>
          <w:spacing w:val="-3"/>
          <w:w w:val="105"/>
        </w:rPr>
        <w:t xml:space="preserve">by </w:t>
      </w:r>
      <w:r>
        <w:rPr>
          <w:color w:val="333333"/>
          <w:w w:val="105"/>
        </w:rPr>
        <w:t xml:space="preserve">using JNDI. </w:t>
      </w:r>
      <w:r>
        <w:rPr>
          <w:color w:val="333333"/>
          <w:spacing w:val="-3"/>
          <w:w w:val="105"/>
        </w:rPr>
        <w:t xml:space="preserve">By </w:t>
      </w:r>
      <w:r>
        <w:rPr>
          <w:color w:val="333333"/>
          <w:w w:val="105"/>
        </w:rPr>
        <w:t xml:space="preserve">default, the </w:t>
      </w:r>
      <w:r>
        <w:rPr>
          <w:rFonts w:ascii="MS Gothic"/>
          <w:color w:val="B02045"/>
          <w:w w:val="105"/>
        </w:rPr>
        <w:t>java:/JmsXA</w:t>
      </w:r>
      <w:r>
        <w:rPr>
          <w:rFonts w:ascii="MS Gothic"/>
          <w:color w:val="B02045"/>
          <w:spacing w:val="-58"/>
          <w:w w:val="105"/>
        </w:rPr>
        <w:t xml:space="preserve"> </w:t>
      </w:r>
      <w:r>
        <w:rPr>
          <w:color w:val="333333"/>
          <w:w w:val="105"/>
        </w:rPr>
        <w:t xml:space="preserve">and </w:t>
      </w:r>
      <w:r>
        <w:rPr>
          <w:rFonts w:ascii="MS Gothic"/>
          <w:color w:val="B02045"/>
          <w:w w:val="105"/>
        </w:rPr>
        <w:t>java:/XAConnectionFactory</w:t>
      </w:r>
      <w:r>
        <w:rPr>
          <w:rFonts w:ascii="MS Gothic"/>
          <w:color w:val="B02045"/>
          <w:spacing w:val="-57"/>
          <w:w w:val="105"/>
        </w:rPr>
        <w:t xml:space="preserve"> </w:t>
      </w:r>
      <w:r>
        <w:rPr>
          <w:color w:val="333333"/>
          <w:w w:val="105"/>
        </w:rPr>
        <w:t xml:space="preserve">location </w:t>
      </w:r>
      <w:r>
        <w:rPr>
          <w:color w:val="333333"/>
          <w:w w:val="110"/>
        </w:rPr>
        <w:t xml:space="preserve">are checked. </w:t>
      </w:r>
      <w:r>
        <w:rPr>
          <w:color w:val="333333"/>
          <w:spacing w:val="-6"/>
          <w:w w:val="110"/>
        </w:rPr>
        <w:t xml:space="preserve">You </w:t>
      </w:r>
      <w:r>
        <w:rPr>
          <w:color w:val="333333"/>
          <w:w w:val="110"/>
        </w:rPr>
        <w:t xml:space="preserve">can use the </w:t>
      </w:r>
      <w:proofErr w:type="gramStart"/>
      <w:r>
        <w:rPr>
          <w:rFonts w:ascii="MS Gothic"/>
          <w:color w:val="B02045"/>
          <w:w w:val="110"/>
        </w:rPr>
        <w:t>spring.jms.jndi</w:t>
      </w:r>
      <w:proofErr w:type="gramEnd"/>
      <w:r>
        <w:rPr>
          <w:rFonts w:ascii="MS Gothic"/>
          <w:color w:val="B02045"/>
          <w:w w:val="110"/>
        </w:rPr>
        <w:t xml:space="preserve">-name </w:t>
      </w:r>
      <w:r>
        <w:rPr>
          <w:color w:val="333333"/>
          <w:w w:val="110"/>
        </w:rPr>
        <w:t>property if you need to specify an alternative location, as shown in the following example:</w:t>
      </w:r>
    </w:p>
    <w:p w14:paraId="16EEAB8C" w14:textId="77777777" w:rsidR="00A720EB" w:rsidRDefault="00E10349">
      <w:pPr>
        <w:pStyle w:val="a3"/>
        <w:spacing w:before="4"/>
        <w:rPr>
          <w:sz w:val="14"/>
        </w:rPr>
      </w:pPr>
      <w:r>
        <w:pict w14:anchorId="64155FE9">
          <v:group id="_x0000_s3878" style="position:absolute;margin-left:47.85pt;margin-top:10.45pt;width:499.55pt;height:37.5pt;z-index:-15414784;mso-wrap-distance-left:0;mso-wrap-distance-right:0;mso-position-horizontal-relative:page" coordorigin="957,209" coordsize="9991,750">
            <v:shape id="_x0000_s3881" style="position:absolute;left:964;top:216;width:9976;height:735" coordorigin="965,216" coordsize="9976,735" path="m10861,216r-9816,l1014,222r-26,18l971,265r-6,31l965,871r6,31l988,927r26,18l1045,951r9816,l10892,945r25,-18l10935,902r6,-31l10941,296r-6,-31l10917,240r-25,-18l10861,216xe" fillcolor="#f5f5f5" stroked="f">
              <v:path arrowok="t"/>
            </v:shape>
            <v:shape id="_x0000_s3880" style="position:absolute;left:964;top:216;width:9976;height:735" coordorigin="965,216" coordsize="9976,735" path="m1045,216r9816,l10892,222r25,18l10935,265r6,31l10941,871r-6,31l10917,927r-25,18l10861,951r-9816,l1014,945,988,927,971,902r-6,-31l965,296r6,-31l988,240r26,-18l1045,216xe" filled="f" strokecolor="#ccc">
              <v:path arrowok="t"/>
            </v:shape>
            <v:shape id="_x0000_s3879" type="#_x0000_t202" style="position:absolute;left:984;top:231;width:9938;height:704" filled="f" stroked="f">
              <v:textbox inset="0,0,0,0">
                <w:txbxContent>
                  <w:p w14:paraId="27FB14CA" w14:textId="77777777" w:rsidR="00711A16" w:rsidRDefault="00711A16">
                    <w:pPr>
                      <w:spacing w:before="221"/>
                      <w:ind w:left="200"/>
                      <w:rPr>
                        <w:rFonts w:ascii="MS Gothic"/>
                      </w:rPr>
                    </w:pPr>
                    <w:proofErr w:type="gramStart"/>
                    <w:r>
                      <w:rPr>
                        <w:rFonts w:ascii="MS Gothic"/>
                        <w:color w:val="333333"/>
                      </w:rPr>
                      <w:t>spring.jms.jndi</w:t>
                    </w:r>
                    <w:proofErr w:type="gramEnd"/>
                    <w:r>
                      <w:rPr>
                        <w:rFonts w:ascii="MS Gothic"/>
                        <w:color w:val="333333"/>
                      </w:rPr>
                      <w:t>-name=java:/MyConnectionFactory</w:t>
                    </w:r>
                  </w:p>
                </w:txbxContent>
              </v:textbox>
            </v:shape>
            <w10:wrap type="topAndBottom" anchorx="page"/>
          </v:group>
        </w:pict>
      </w:r>
    </w:p>
    <w:p w14:paraId="5D37DA4C" w14:textId="77777777" w:rsidR="00A720EB" w:rsidRDefault="00A720EB">
      <w:pPr>
        <w:pStyle w:val="a3"/>
        <w:spacing w:before="11"/>
        <w:rPr>
          <w:sz w:val="16"/>
        </w:rPr>
      </w:pPr>
    </w:p>
    <w:p w14:paraId="42BE778A" w14:textId="77777777" w:rsidR="00A720EB" w:rsidRDefault="0030286B">
      <w:pPr>
        <w:pStyle w:val="4"/>
        <w:spacing w:before="104"/>
        <w:jc w:val="left"/>
      </w:pPr>
      <w:r>
        <w:rPr>
          <w:color w:val="333333"/>
          <w:w w:val="110"/>
        </w:rPr>
        <w:t>Sending a Message</w:t>
      </w:r>
    </w:p>
    <w:p w14:paraId="1FFCD27C" w14:textId="77777777" w:rsidR="00A720EB" w:rsidRDefault="0030286B">
      <w:pPr>
        <w:pStyle w:val="a3"/>
        <w:spacing w:before="244"/>
        <w:ind w:left="124"/>
      </w:pPr>
      <w:r>
        <w:rPr>
          <w:color w:val="333333"/>
          <w:w w:val="110"/>
        </w:rPr>
        <w:t xml:space="preserve">Spring’s </w:t>
      </w:r>
      <w:r>
        <w:rPr>
          <w:rFonts w:ascii="MS Gothic" w:hAnsi="MS Gothic"/>
          <w:color w:val="B02045"/>
          <w:w w:val="110"/>
        </w:rPr>
        <w:t xml:space="preserve">JmsTemplate </w:t>
      </w:r>
      <w:r>
        <w:rPr>
          <w:color w:val="333333"/>
          <w:w w:val="110"/>
        </w:rPr>
        <w:t>is auto-configured, and you can autowire it directly into your own beans, as</w:t>
      </w:r>
    </w:p>
    <w:p w14:paraId="4123A15C" w14:textId="77777777" w:rsidR="00A720EB" w:rsidRDefault="00A720EB">
      <w:pPr>
        <w:sectPr w:rsidR="00A720EB">
          <w:pgSz w:w="11910" w:h="16840"/>
          <w:pgMar w:top="620" w:right="840" w:bottom="520" w:left="840" w:header="0" w:footer="323" w:gutter="0"/>
          <w:cols w:space="720"/>
        </w:sectPr>
      </w:pPr>
    </w:p>
    <w:p w14:paraId="0EF216C0" w14:textId="77777777" w:rsidR="00A720EB" w:rsidRDefault="0030286B">
      <w:pPr>
        <w:pStyle w:val="a3"/>
        <w:spacing w:before="107"/>
        <w:ind w:left="124"/>
      </w:pPr>
      <w:r>
        <w:rPr>
          <w:color w:val="333333"/>
          <w:w w:val="110"/>
        </w:rPr>
        <w:lastRenderedPageBreak/>
        <w:t>shown in the following example:</w:t>
      </w:r>
    </w:p>
    <w:p w14:paraId="785F6C6F" w14:textId="77777777" w:rsidR="00A720EB" w:rsidRDefault="00E10349">
      <w:pPr>
        <w:pStyle w:val="a3"/>
        <w:spacing w:before="11"/>
        <w:rPr>
          <w:sz w:val="18"/>
        </w:rPr>
      </w:pPr>
      <w:r>
        <w:pict w14:anchorId="230D58DE">
          <v:group id="_x0000_s3874" style="position:absolute;margin-left:47.85pt;margin-top:13.1pt;width:499.55pt;height:273.35pt;z-index:-15414272;mso-wrap-distance-left:0;mso-wrap-distance-right:0;mso-position-horizontal-relative:page" coordorigin="957,262" coordsize="9991,5467">
            <v:shape id="_x0000_s3877" style="position:absolute;left:964;top:269;width:9976;height:5452" coordorigin="965,270" coordsize="9976,5452" path="m10861,270r-9816,l1014,276r-26,17l971,318r-6,32l965,5641r6,31l988,5698r26,17l1045,5721r9816,l10892,5715r25,-17l10935,5672r6,-31l10941,350r-6,-32l10917,293r-25,-17l10861,270xe" fillcolor="#f5f5f5" stroked="f">
              <v:path arrowok="t"/>
            </v:shape>
            <v:shape id="_x0000_s3876" style="position:absolute;left:964;top:269;width:9976;height:5452" coordorigin="965,270" coordsize="9976,5452" path="m1045,270r9816,l10892,276r25,17l10935,318r6,32l10941,5641r-6,31l10917,5698r-25,17l10861,5721r-9816,l1014,5715r-26,-17l971,5672r-6,-31l965,350r6,-32l988,293r26,-17l1045,270xe" filled="f" strokecolor="#ccc">
              <v:path arrowok="t"/>
            </v:shape>
            <v:shape id="_x0000_s3875" type="#_x0000_t202" style="position:absolute;left:984;top:285;width:9938;height:5421" filled="f" stroked="f">
              <v:textbox inset="0,0,0,0">
                <w:txbxContent>
                  <w:p w14:paraId="0C23EBB2" w14:textId="77777777" w:rsidR="00711A16" w:rsidRDefault="00711A16">
                    <w:pPr>
                      <w:spacing w:before="221" w:line="252" w:lineRule="auto"/>
                      <w:ind w:left="200" w:right="289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 import org.springframework.jms.core.JmsTemplate;</w:t>
                    </w:r>
                  </w:p>
                  <w:p w14:paraId="5915C62F"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.stereotype.Component;</w:t>
                    </w:r>
                  </w:p>
                  <w:p w14:paraId="3360CD98" w14:textId="77777777" w:rsidR="00711A16" w:rsidRDefault="00711A16">
                    <w:pPr>
                      <w:rPr>
                        <w:rFonts w:ascii="MS Gothic"/>
                        <w:sz w:val="24"/>
                      </w:rPr>
                    </w:pPr>
                  </w:p>
                  <w:p w14:paraId="23BC15DD" w14:textId="77777777" w:rsidR="00711A16" w:rsidRDefault="00711A16">
                    <w:pPr>
                      <w:ind w:left="200"/>
                      <w:rPr>
                        <w:rFonts w:ascii="MS Gothic"/>
                      </w:rPr>
                    </w:pPr>
                    <w:r>
                      <w:rPr>
                        <w:rFonts w:ascii="MS Gothic"/>
                        <w:color w:val="333333"/>
                      </w:rPr>
                      <w:t>@Component</w:t>
                    </w:r>
                  </w:p>
                  <w:p w14:paraId="019F8A5E" w14:textId="77777777" w:rsidR="00711A16" w:rsidRDefault="00711A16">
                    <w:pPr>
                      <w:spacing w:before="13"/>
                      <w:ind w:left="200"/>
                      <w:rPr>
                        <w:rFonts w:ascii="MS Gothic"/>
                      </w:rPr>
                    </w:pPr>
                    <w:r>
                      <w:rPr>
                        <w:rFonts w:ascii="MS Gothic"/>
                        <w:color w:val="333333"/>
                      </w:rPr>
                      <w:t>public class MyBean {</w:t>
                    </w:r>
                  </w:p>
                  <w:p w14:paraId="608BEBC6" w14:textId="77777777" w:rsidR="00711A16" w:rsidRDefault="00711A16">
                    <w:pPr>
                      <w:spacing w:line="590" w:lineRule="atLeast"/>
                      <w:ind w:left="640" w:right="5098"/>
                      <w:rPr>
                        <w:rFonts w:ascii="MS Gothic"/>
                      </w:rPr>
                    </w:pPr>
                    <w:r>
                      <w:rPr>
                        <w:rFonts w:ascii="MS Gothic"/>
                        <w:color w:val="333333"/>
                      </w:rPr>
                      <w:t>private final JmsTemplate jmsTemplate; @Autowired</w:t>
                    </w:r>
                  </w:p>
                  <w:p w14:paraId="72E0EA89" w14:textId="77777777" w:rsidR="00711A16" w:rsidRDefault="00711A16">
                    <w:pPr>
                      <w:spacing w:before="12" w:line="252" w:lineRule="auto"/>
                      <w:ind w:left="1080" w:right="487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JmsTemplate jmsTemplate) { this.jmsTemplate = jmsTemplate;</w:t>
                    </w:r>
                  </w:p>
                  <w:p w14:paraId="39928CBF" w14:textId="77777777" w:rsidR="00711A16" w:rsidRDefault="00711A16">
                    <w:pPr>
                      <w:spacing w:line="280" w:lineRule="exact"/>
                      <w:ind w:left="640"/>
                      <w:rPr>
                        <w:rFonts w:ascii="MS Gothic"/>
                      </w:rPr>
                    </w:pPr>
                    <w:r>
                      <w:rPr>
                        <w:rFonts w:ascii="MS Gothic"/>
                        <w:color w:val="333333"/>
                      </w:rPr>
                      <w:t>}</w:t>
                    </w:r>
                  </w:p>
                  <w:p w14:paraId="462E4258" w14:textId="77777777" w:rsidR="00711A16" w:rsidRDefault="00711A16">
                    <w:pPr>
                      <w:rPr>
                        <w:rFonts w:ascii="MS Gothic"/>
                        <w:sz w:val="24"/>
                      </w:rPr>
                    </w:pPr>
                  </w:p>
                  <w:p w14:paraId="77B40454" w14:textId="77777777" w:rsidR="00711A16" w:rsidRDefault="00711A16">
                    <w:pPr>
                      <w:ind w:left="640"/>
                      <w:rPr>
                        <w:rFonts w:ascii="MS Gothic"/>
                      </w:rPr>
                    </w:pPr>
                    <w:r>
                      <w:rPr>
                        <w:rFonts w:ascii="MS Gothic"/>
                        <w:color w:val="333333"/>
                      </w:rPr>
                      <w:t>// ...</w:t>
                    </w:r>
                  </w:p>
                  <w:p w14:paraId="50170CF7" w14:textId="77777777" w:rsidR="00711A16" w:rsidRDefault="00711A16">
                    <w:pPr>
                      <w:rPr>
                        <w:rFonts w:ascii="MS Gothic"/>
                        <w:sz w:val="24"/>
                      </w:rPr>
                    </w:pPr>
                  </w:p>
                  <w:p w14:paraId="1F5942B7" w14:textId="77777777" w:rsidR="00711A16" w:rsidRDefault="00711A16">
                    <w:pPr>
                      <w:ind w:left="200"/>
                      <w:rPr>
                        <w:rFonts w:ascii="MS Gothic"/>
                      </w:rPr>
                    </w:pPr>
                    <w:r>
                      <w:rPr>
                        <w:rFonts w:ascii="MS Gothic"/>
                        <w:color w:val="333333"/>
                      </w:rPr>
                      <w:t>}</w:t>
                    </w:r>
                  </w:p>
                </w:txbxContent>
              </v:textbox>
            </v:shape>
            <w10:wrap type="topAndBottom" anchorx="page"/>
          </v:group>
        </w:pict>
      </w:r>
    </w:p>
    <w:p w14:paraId="7FCFD05D" w14:textId="77777777" w:rsidR="00A720EB" w:rsidRDefault="00A720EB">
      <w:pPr>
        <w:pStyle w:val="a3"/>
        <w:spacing w:before="8"/>
        <w:rPr>
          <w:sz w:val="16"/>
        </w:rPr>
      </w:pPr>
    </w:p>
    <w:p w14:paraId="62796B4E" w14:textId="77777777" w:rsidR="00A720EB" w:rsidRDefault="00E10349">
      <w:pPr>
        <w:pStyle w:val="a3"/>
        <w:spacing w:before="116" w:line="280" w:lineRule="auto"/>
        <w:ind w:left="1564" w:right="362"/>
        <w:jc w:val="both"/>
      </w:pPr>
      <w:r>
        <w:pict w14:anchorId="521713B7">
          <v:line id="_x0000_s3873" style="position:absolute;left:0;text-align:left;z-index:16043520;mso-position-horizontal-relative:page" from="108.25pt,.35pt" to="108.25pt,55.7pt" strokecolor="#ededed" strokeweight=".5pt">
            <w10:wrap anchorx="page"/>
          </v:line>
        </w:pict>
      </w:r>
      <w:r w:rsidR="0030286B">
        <w:rPr>
          <w:noProof/>
        </w:rPr>
        <w:drawing>
          <wp:anchor distT="0" distB="0" distL="0" distR="0" simplePos="0" relativeHeight="16044032" behindDoc="0" locked="0" layoutInCell="1" allowOverlap="1" wp14:anchorId="5A5C2FDE" wp14:editId="1DA53011">
            <wp:simplePos x="0" y="0"/>
            <wp:positionH relativeFrom="page">
              <wp:posOffset>844422</wp:posOffset>
            </wp:positionH>
            <wp:positionV relativeFrom="paragraph">
              <wp:posOffset>206451</wp:posOffset>
            </wp:positionV>
            <wp:extent cx="298450" cy="298450"/>
            <wp:effectExtent l="0" t="0" r="0" b="0"/>
            <wp:wrapNone/>
            <wp:docPr id="3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png"/>
                    <pic:cNvPicPr/>
                  </pic:nvPicPr>
                  <pic:blipFill>
                    <a:blip r:embed="rId24" cstate="print"/>
                    <a:stretch>
                      <a:fillRect/>
                    </a:stretch>
                  </pic:blipFill>
                  <pic:spPr>
                    <a:xfrm>
                      <a:off x="0" y="0"/>
                      <a:ext cx="298450" cy="298450"/>
                    </a:xfrm>
                    <a:prstGeom prst="rect">
                      <a:avLst/>
                    </a:prstGeom>
                  </pic:spPr>
                </pic:pic>
              </a:graphicData>
            </a:graphic>
          </wp:anchor>
        </w:drawing>
      </w:r>
      <w:hyperlink r:id="rId281">
        <w:r w:rsidR="0030286B">
          <w:rPr>
            <w:rFonts w:ascii="MS Gothic"/>
            <w:color w:val="B02045"/>
            <w:w w:val="110"/>
          </w:rPr>
          <w:t>JmsMessagingTemplate</w:t>
        </w:r>
        <w:r w:rsidR="0030286B">
          <w:rPr>
            <w:rFonts w:ascii="MS Gothic"/>
            <w:color w:val="B02045"/>
            <w:spacing w:val="-82"/>
            <w:w w:val="110"/>
          </w:rPr>
          <w:t xml:space="preserve"> </w:t>
        </w:r>
      </w:hyperlink>
      <w:r w:rsidR="0030286B">
        <w:rPr>
          <w:color w:val="333333"/>
          <w:w w:val="110"/>
        </w:rPr>
        <w:t>can</w:t>
      </w:r>
      <w:r w:rsidR="0030286B">
        <w:rPr>
          <w:color w:val="333333"/>
          <w:spacing w:val="-17"/>
          <w:w w:val="110"/>
        </w:rPr>
        <w:t xml:space="preserve"> </w:t>
      </w:r>
      <w:r w:rsidR="0030286B">
        <w:rPr>
          <w:color w:val="333333"/>
          <w:w w:val="110"/>
        </w:rPr>
        <w:t>be</w:t>
      </w:r>
      <w:r w:rsidR="0030286B">
        <w:rPr>
          <w:color w:val="333333"/>
          <w:spacing w:val="-17"/>
          <w:w w:val="110"/>
        </w:rPr>
        <w:t xml:space="preserve"> </w:t>
      </w:r>
      <w:r w:rsidR="0030286B">
        <w:rPr>
          <w:color w:val="333333"/>
          <w:w w:val="110"/>
        </w:rPr>
        <w:t>injected</w:t>
      </w:r>
      <w:r w:rsidR="0030286B">
        <w:rPr>
          <w:color w:val="333333"/>
          <w:spacing w:val="-18"/>
          <w:w w:val="110"/>
        </w:rPr>
        <w:t xml:space="preserve"> </w:t>
      </w:r>
      <w:r w:rsidR="0030286B">
        <w:rPr>
          <w:color w:val="333333"/>
          <w:w w:val="110"/>
        </w:rPr>
        <w:t>in</w:t>
      </w:r>
      <w:r w:rsidR="0030286B">
        <w:rPr>
          <w:color w:val="333333"/>
          <w:spacing w:val="-17"/>
          <w:w w:val="110"/>
        </w:rPr>
        <w:t xml:space="preserve"> </w:t>
      </w:r>
      <w:r w:rsidR="0030286B">
        <w:rPr>
          <w:color w:val="333333"/>
          <w:w w:val="110"/>
        </w:rPr>
        <w:t>a</w:t>
      </w:r>
      <w:r w:rsidR="0030286B">
        <w:rPr>
          <w:color w:val="333333"/>
          <w:spacing w:val="-18"/>
          <w:w w:val="110"/>
        </w:rPr>
        <w:t xml:space="preserve"> </w:t>
      </w:r>
      <w:r w:rsidR="0030286B">
        <w:rPr>
          <w:color w:val="333333"/>
          <w:w w:val="110"/>
        </w:rPr>
        <w:t>similar</w:t>
      </w:r>
      <w:r w:rsidR="0030286B">
        <w:rPr>
          <w:color w:val="333333"/>
          <w:spacing w:val="-17"/>
          <w:w w:val="110"/>
        </w:rPr>
        <w:t xml:space="preserve"> </w:t>
      </w:r>
      <w:r w:rsidR="0030286B">
        <w:rPr>
          <w:color w:val="333333"/>
          <w:w w:val="110"/>
        </w:rPr>
        <w:t>manner.</w:t>
      </w:r>
      <w:r w:rsidR="0030286B">
        <w:rPr>
          <w:color w:val="333333"/>
          <w:spacing w:val="-17"/>
          <w:w w:val="110"/>
        </w:rPr>
        <w:t xml:space="preserve"> </w:t>
      </w:r>
      <w:r w:rsidR="0030286B">
        <w:rPr>
          <w:color w:val="333333"/>
          <w:w w:val="110"/>
        </w:rPr>
        <w:t>If</w:t>
      </w:r>
      <w:r w:rsidR="0030286B">
        <w:rPr>
          <w:color w:val="333333"/>
          <w:spacing w:val="-17"/>
          <w:w w:val="110"/>
        </w:rPr>
        <w:t xml:space="preserve"> </w:t>
      </w:r>
      <w:r w:rsidR="0030286B">
        <w:rPr>
          <w:color w:val="333333"/>
          <w:w w:val="110"/>
        </w:rPr>
        <w:t>a</w:t>
      </w:r>
      <w:r w:rsidR="0030286B">
        <w:rPr>
          <w:color w:val="333333"/>
          <w:spacing w:val="-14"/>
          <w:w w:val="110"/>
        </w:rPr>
        <w:t xml:space="preserve"> </w:t>
      </w:r>
      <w:r w:rsidR="0030286B">
        <w:rPr>
          <w:rFonts w:ascii="MS Gothic"/>
          <w:color w:val="B02045"/>
          <w:w w:val="110"/>
        </w:rPr>
        <w:t xml:space="preserve">DestinationResolver </w:t>
      </w:r>
      <w:r w:rsidR="0030286B">
        <w:rPr>
          <w:color w:val="333333"/>
          <w:w w:val="110"/>
        </w:rPr>
        <w:t xml:space="preserve">or a </w:t>
      </w:r>
      <w:r w:rsidR="0030286B">
        <w:rPr>
          <w:rFonts w:ascii="MS Gothic"/>
          <w:color w:val="B02045"/>
          <w:w w:val="110"/>
        </w:rPr>
        <w:t xml:space="preserve">MessageConverter </w:t>
      </w:r>
      <w:r w:rsidR="0030286B">
        <w:rPr>
          <w:color w:val="333333"/>
          <w:w w:val="110"/>
        </w:rPr>
        <w:t>bean is defined, it is associated automatically to the auto- configured</w:t>
      </w:r>
      <w:r w:rsidR="0030286B">
        <w:rPr>
          <w:color w:val="333333"/>
          <w:spacing w:val="2"/>
          <w:w w:val="110"/>
        </w:rPr>
        <w:t xml:space="preserve"> </w:t>
      </w:r>
      <w:r w:rsidR="0030286B">
        <w:rPr>
          <w:rFonts w:ascii="MS Gothic"/>
          <w:color w:val="B02045"/>
          <w:w w:val="110"/>
        </w:rPr>
        <w:t>JmsTemplate</w:t>
      </w:r>
      <w:r w:rsidR="0030286B">
        <w:rPr>
          <w:color w:val="333333"/>
          <w:w w:val="110"/>
        </w:rPr>
        <w:t>.</w:t>
      </w:r>
    </w:p>
    <w:p w14:paraId="67168259" w14:textId="77777777" w:rsidR="00A720EB" w:rsidRDefault="00A720EB">
      <w:pPr>
        <w:pStyle w:val="a3"/>
        <w:spacing w:before="8"/>
        <w:rPr>
          <w:sz w:val="24"/>
        </w:rPr>
      </w:pPr>
    </w:p>
    <w:p w14:paraId="65938990" w14:textId="77777777" w:rsidR="00A720EB" w:rsidRDefault="0030286B">
      <w:pPr>
        <w:pStyle w:val="4"/>
        <w:spacing w:before="104"/>
      </w:pPr>
      <w:r>
        <w:rPr>
          <w:color w:val="333333"/>
          <w:w w:val="110"/>
        </w:rPr>
        <w:t>Receiving a Message</w:t>
      </w:r>
    </w:p>
    <w:p w14:paraId="68115577" w14:textId="77777777" w:rsidR="00A720EB" w:rsidRDefault="0030286B">
      <w:pPr>
        <w:pStyle w:val="a3"/>
        <w:spacing w:before="244" w:line="285" w:lineRule="auto"/>
        <w:ind w:left="124" w:right="122"/>
        <w:jc w:val="both"/>
      </w:pPr>
      <w:r>
        <w:rPr>
          <w:color w:val="333333"/>
          <w:w w:val="110"/>
        </w:rPr>
        <w:t xml:space="preserve">When the JMS infrastructure is present, any bean can be annotated with </w:t>
      </w:r>
      <w:r>
        <w:rPr>
          <w:rFonts w:ascii="MS Gothic"/>
          <w:color w:val="B02045"/>
          <w:w w:val="110"/>
        </w:rPr>
        <w:t xml:space="preserve">@JmsListener </w:t>
      </w:r>
      <w:r>
        <w:rPr>
          <w:color w:val="333333"/>
          <w:w w:val="110"/>
        </w:rPr>
        <w:t xml:space="preserve">to create a listener endpoint. If no </w:t>
      </w:r>
      <w:r>
        <w:rPr>
          <w:rFonts w:ascii="MS Gothic"/>
          <w:color w:val="B02045"/>
          <w:w w:val="110"/>
        </w:rPr>
        <w:t xml:space="preserve">JmsListenerContainerFactory </w:t>
      </w:r>
      <w:r>
        <w:rPr>
          <w:color w:val="333333"/>
          <w:w w:val="110"/>
        </w:rPr>
        <w:t xml:space="preserve">has been defined, a default one is configured automatically. If a </w:t>
      </w:r>
      <w:r>
        <w:rPr>
          <w:rFonts w:ascii="MS Gothic"/>
          <w:color w:val="B02045"/>
          <w:w w:val="110"/>
        </w:rPr>
        <w:t xml:space="preserve">DestinationResolver </w:t>
      </w:r>
      <w:r>
        <w:rPr>
          <w:color w:val="333333"/>
          <w:w w:val="110"/>
        </w:rPr>
        <w:t xml:space="preserve">or a </w:t>
      </w:r>
      <w:r>
        <w:rPr>
          <w:rFonts w:ascii="MS Gothic"/>
          <w:color w:val="B02045"/>
          <w:w w:val="110"/>
        </w:rPr>
        <w:t xml:space="preserve">MessageConverter </w:t>
      </w:r>
      <w:r>
        <w:rPr>
          <w:color w:val="333333"/>
          <w:w w:val="110"/>
        </w:rPr>
        <w:t xml:space="preserve">beans is defined, it is </w:t>
      </w:r>
      <w:proofErr w:type="gramStart"/>
      <w:r>
        <w:rPr>
          <w:color w:val="333333"/>
          <w:w w:val="110"/>
        </w:rPr>
        <w:t>associated  automatically</w:t>
      </w:r>
      <w:proofErr w:type="gramEnd"/>
      <w:r>
        <w:rPr>
          <w:color w:val="333333"/>
          <w:w w:val="110"/>
        </w:rPr>
        <w:t xml:space="preserve"> to the default factory.</w:t>
      </w:r>
    </w:p>
    <w:p w14:paraId="7C08B59B" w14:textId="77777777" w:rsidR="00A720EB" w:rsidRDefault="00A720EB">
      <w:pPr>
        <w:pStyle w:val="a3"/>
        <w:spacing w:before="1"/>
        <w:rPr>
          <w:sz w:val="22"/>
        </w:rPr>
      </w:pPr>
    </w:p>
    <w:p w14:paraId="752BF36A" w14:textId="77777777" w:rsidR="00A720EB" w:rsidRDefault="0030286B">
      <w:pPr>
        <w:pStyle w:val="a3"/>
        <w:spacing w:line="295" w:lineRule="auto"/>
        <w:ind w:left="124" w:right="123"/>
        <w:jc w:val="both"/>
      </w:pPr>
      <w:r>
        <w:rPr>
          <w:color w:val="333333"/>
          <w:w w:val="110"/>
        </w:rPr>
        <w:t xml:space="preserve">By default, the default factory is transactional. If you run in an infrastructure where a </w:t>
      </w:r>
      <w:r>
        <w:rPr>
          <w:rFonts w:ascii="MS Gothic"/>
          <w:color w:val="B02045"/>
          <w:w w:val="110"/>
        </w:rPr>
        <w:t xml:space="preserve">JtaTransactionManager </w:t>
      </w:r>
      <w:r>
        <w:rPr>
          <w:color w:val="333333"/>
          <w:w w:val="110"/>
        </w:rPr>
        <w:t xml:space="preserve">is present, it is associated to the listener container by default. If not, </w:t>
      </w:r>
      <w:proofErr w:type="gramStart"/>
      <w:r>
        <w:rPr>
          <w:color w:val="333333"/>
          <w:w w:val="110"/>
        </w:rPr>
        <w:t xml:space="preserve">the  </w:t>
      </w:r>
      <w:r>
        <w:rPr>
          <w:rFonts w:ascii="MS Gothic"/>
          <w:color w:val="B02045"/>
          <w:w w:val="110"/>
        </w:rPr>
        <w:t>sessionTransacted</w:t>
      </w:r>
      <w:proofErr w:type="gramEnd"/>
      <w:r>
        <w:rPr>
          <w:rFonts w:ascii="MS Gothic"/>
          <w:color w:val="B02045"/>
          <w:w w:val="110"/>
        </w:rPr>
        <w:t xml:space="preserve"> </w:t>
      </w:r>
      <w:r>
        <w:rPr>
          <w:color w:val="333333"/>
          <w:w w:val="110"/>
        </w:rPr>
        <w:t xml:space="preserve">flag is enabled. In that latter scenario, you can associate your local data </w:t>
      </w:r>
      <w:proofErr w:type="gramStart"/>
      <w:r>
        <w:rPr>
          <w:color w:val="333333"/>
          <w:w w:val="110"/>
        </w:rPr>
        <w:t>store  transaction</w:t>
      </w:r>
      <w:proofErr w:type="gramEnd"/>
      <w:r>
        <w:rPr>
          <w:color w:val="333333"/>
          <w:w w:val="110"/>
        </w:rPr>
        <w:t xml:space="preserve"> to the processing of an incoming message by adding </w:t>
      </w:r>
      <w:r>
        <w:rPr>
          <w:rFonts w:ascii="MS Gothic"/>
          <w:color w:val="B02045"/>
          <w:w w:val="110"/>
        </w:rPr>
        <w:t xml:space="preserve">@Transactional </w:t>
      </w:r>
      <w:r>
        <w:rPr>
          <w:color w:val="333333"/>
          <w:w w:val="110"/>
        </w:rPr>
        <w:t>on your listener method (or a delegate thereof). This ensures that the incoming message is acknowledged, once the local transaction has completed. This also includes sending response messages that have been performed on the same JMS session.</w:t>
      </w:r>
    </w:p>
    <w:p w14:paraId="3226304E" w14:textId="77777777" w:rsidR="00A720EB" w:rsidRDefault="0030286B">
      <w:pPr>
        <w:pStyle w:val="a3"/>
        <w:spacing w:before="235"/>
        <w:ind w:left="124"/>
        <w:jc w:val="both"/>
      </w:pPr>
      <w:r>
        <w:rPr>
          <w:color w:val="333333"/>
          <w:w w:val="110"/>
        </w:rPr>
        <w:t xml:space="preserve">The following component creates a listener endpoint on the </w:t>
      </w:r>
      <w:r>
        <w:rPr>
          <w:rFonts w:ascii="MS Gothic"/>
          <w:color w:val="B02045"/>
          <w:w w:val="110"/>
        </w:rPr>
        <w:t xml:space="preserve">someQueue </w:t>
      </w:r>
      <w:r>
        <w:rPr>
          <w:color w:val="333333"/>
          <w:w w:val="110"/>
        </w:rPr>
        <w:t>destination:</w:t>
      </w:r>
    </w:p>
    <w:p w14:paraId="7E17F17B" w14:textId="77777777" w:rsidR="00A720EB" w:rsidRDefault="00A720EB">
      <w:pPr>
        <w:jc w:val="both"/>
        <w:sectPr w:rsidR="00A720EB">
          <w:pgSz w:w="11910" w:h="16840"/>
          <w:pgMar w:top="620" w:right="840" w:bottom="520" w:left="840" w:header="0" w:footer="323" w:gutter="0"/>
          <w:cols w:space="720"/>
        </w:sectPr>
      </w:pPr>
    </w:p>
    <w:p w14:paraId="7797F105" w14:textId="77777777" w:rsidR="00A720EB" w:rsidRDefault="00E10349">
      <w:pPr>
        <w:pStyle w:val="a3"/>
        <w:ind w:left="116"/>
        <w:rPr>
          <w:sz w:val="20"/>
        </w:rPr>
      </w:pPr>
      <w:r>
        <w:rPr>
          <w:sz w:val="20"/>
        </w:rPr>
      </w:r>
      <w:r>
        <w:rPr>
          <w:sz w:val="20"/>
        </w:rPr>
        <w:pict w14:anchorId="401AD519">
          <v:group id="_x0000_s3869" style="width:499.55pt;height:155.45pt;mso-position-horizontal-relative:char;mso-position-vertical-relative:line" coordsize="9991,3109">
            <v:shape id="_x0000_s3872" style="position:absolute;left:7;top:7;width:9976;height:3094" coordorigin="8,8" coordsize="9976,3094" path="m9904,8l88,8,56,14,31,31,14,56,8,88r,2933l14,3052r17,25l56,3094r32,7l9904,3101r31,-7l9960,3077r17,-25l9984,3021r,-2933l9977,56,9960,31,9935,14,9904,8xe" fillcolor="#f5f5f5" stroked="f">
              <v:path arrowok="t"/>
            </v:shape>
            <v:shape id="_x0000_s3871" style="position:absolute;left:7;top:7;width:9976;height:3094" coordorigin="8,8" coordsize="9976,3094" path="m88,8r9816,l9935,14r25,17l9977,56r7,32l9984,3021r-7,31l9960,3077r-25,17l9904,3101r-9816,l56,3094,31,3077,14,3052,8,3021,8,88,14,56,31,31,56,14,88,8xe" filled="f" strokecolor="#ccc">
              <v:path arrowok="t"/>
            </v:shape>
            <v:shape id="_x0000_s3870" type="#_x0000_t202" style="position:absolute;left:26;top:22;width:9938;height:3063" filled="f" stroked="f">
              <v:textbox inset="0,0,0,0">
                <w:txbxContent>
                  <w:p w14:paraId="2DE0012B" w14:textId="77777777" w:rsidR="00711A16" w:rsidRDefault="00711A16">
                    <w:pPr>
                      <w:spacing w:before="221"/>
                      <w:ind w:left="200"/>
                      <w:rPr>
                        <w:rFonts w:ascii="MS Gothic"/>
                      </w:rPr>
                    </w:pPr>
                    <w:r>
                      <w:rPr>
                        <w:rFonts w:ascii="MS Gothic"/>
                        <w:color w:val="333333"/>
                      </w:rPr>
                      <w:t>@Component</w:t>
                    </w:r>
                  </w:p>
                  <w:p w14:paraId="0599A431" w14:textId="77777777" w:rsidR="00711A16" w:rsidRDefault="00711A16">
                    <w:pPr>
                      <w:spacing w:before="13"/>
                      <w:ind w:left="200"/>
                      <w:rPr>
                        <w:rFonts w:ascii="MS Gothic"/>
                      </w:rPr>
                    </w:pPr>
                    <w:r>
                      <w:rPr>
                        <w:rFonts w:ascii="MS Gothic"/>
                        <w:color w:val="333333"/>
                      </w:rPr>
                      <w:t>public class MyBean {</w:t>
                    </w:r>
                  </w:p>
                  <w:p w14:paraId="723CAFE8" w14:textId="77777777" w:rsidR="00711A16" w:rsidRDefault="00711A16">
                    <w:pPr>
                      <w:rPr>
                        <w:rFonts w:ascii="MS Gothic"/>
                        <w:sz w:val="24"/>
                      </w:rPr>
                    </w:pPr>
                  </w:p>
                  <w:p w14:paraId="1D355BC2" w14:textId="77777777" w:rsidR="00711A16" w:rsidRDefault="00711A16">
                    <w:pPr>
                      <w:spacing w:line="252" w:lineRule="auto"/>
                      <w:ind w:left="640" w:right="4438"/>
                      <w:rPr>
                        <w:rFonts w:ascii="MS Gothic"/>
                      </w:rPr>
                    </w:pPr>
                    <w:r>
                      <w:rPr>
                        <w:rFonts w:ascii="MS Gothic"/>
                        <w:color w:val="333333"/>
                      </w:rPr>
                      <w:t>@</w:t>
                    </w:r>
                    <w:proofErr w:type="gramStart"/>
                    <w:r>
                      <w:rPr>
                        <w:rFonts w:ascii="MS Gothic"/>
                        <w:color w:val="333333"/>
                      </w:rPr>
                      <w:t>JmsListener(</w:t>
                    </w:r>
                    <w:proofErr w:type="gramEnd"/>
                    <w:r>
                      <w:rPr>
                        <w:rFonts w:ascii="MS Gothic"/>
                        <w:color w:val="333333"/>
                      </w:rPr>
                      <w:t>destination = "someQueue") public void processMessage(String content) {</w:t>
                    </w:r>
                  </w:p>
                  <w:p w14:paraId="230DDA59" w14:textId="77777777" w:rsidR="00711A16" w:rsidRDefault="00711A16">
                    <w:pPr>
                      <w:spacing w:line="280" w:lineRule="exact"/>
                      <w:ind w:left="1080"/>
                      <w:rPr>
                        <w:rFonts w:ascii="MS Gothic"/>
                      </w:rPr>
                    </w:pPr>
                    <w:r>
                      <w:rPr>
                        <w:rFonts w:ascii="MS Gothic"/>
                        <w:color w:val="333333"/>
                      </w:rPr>
                      <w:t>// ...</w:t>
                    </w:r>
                  </w:p>
                  <w:p w14:paraId="657E5D00" w14:textId="77777777" w:rsidR="00711A16" w:rsidRDefault="00711A16">
                    <w:pPr>
                      <w:spacing w:before="13"/>
                      <w:ind w:left="640"/>
                      <w:rPr>
                        <w:rFonts w:ascii="MS Gothic"/>
                      </w:rPr>
                    </w:pPr>
                    <w:r>
                      <w:rPr>
                        <w:rFonts w:ascii="MS Gothic"/>
                        <w:color w:val="333333"/>
                      </w:rPr>
                      <w:t>}</w:t>
                    </w:r>
                  </w:p>
                  <w:p w14:paraId="3BC2AC95" w14:textId="77777777" w:rsidR="00711A16" w:rsidRDefault="00711A16">
                    <w:pPr>
                      <w:rPr>
                        <w:rFonts w:ascii="MS Gothic"/>
                        <w:sz w:val="24"/>
                      </w:rPr>
                    </w:pPr>
                  </w:p>
                  <w:p w14:paraId="366392F7" w14:textId="77777777" w:rsidR="00711A16" w:rsidRDefault="00711A16">
                    <w:pPr>
                      <w:ind w:left="200"/>
                      <w:rPr>
                        <w:rFonts w:ascii="MS Gothic"/>
                      </w:rPr>
                    </w:pPr>
                    <w:r>
                      <w:rPr>
                        <w:rFonts w:ascii="MS Gothic"/>
                        <w:color w:val="333333"/>
                      </w:rPr>
                      <w:t>}</w:t>
                    </w:r>
                  </w:p>
                </w:txbxContent>
              </v:textbox>
            </v:shape>
            <w10:anchorlock/>
          </v:group>
        </w:pict>
      </w:r>
    </w:p>
    <w:p w14:paraId="1B06380B" w14:textId="77777777" w:rsidR="00A720EB" w:rsidRDefault="00A720EB">
      <w:pPr>
        <w:pStyle w:val="a3"/>
        <w:spacing w:before="1"/>
        <w:rPr>
          <w:sz w:val="16"/>
        </w:rPr>
      </w:pPr>
    </w:p>
    <w:p w14:paraId="58A0AEC6" w14:textId="77777777" w:rsidR="00A720EB" w:rsidRDefault="00E10349">
      <w:pPr>
        <w:spacing w:before="3"/>
        <w:ind w:left="561"/>
        <w:rPr>
          <w:sz w:val="21"/>
        </w:rPr>
      </w:pPr>
      <w:r>
        <w:pict w14:anchorId="606DE730">
          <v:line id="_x0000_s3868" style="position:absolute;left:0;text-align:left;z-index:-41488384;mso-position-horizontal-relative:page" from="108.25pt,.35pt" to="108.25pt,24.1pt" strokecolor="#ededed" strokeweight=".5pt">
            <w10:wrap anchorx="page"/>
          </v:line>
        </w:pict>
      </w:r>
      <w:r w:rsidR="0030286B">
        <w:rPr>
          <w:noProof/>
          <w:position w:val="-15"/>
        </w:rPr>
        <w:drawing>
          <wp:inline distT="0" distB="0" distL="0" distR="0" wp14:anchorId="734B04BC" wp14:editId="20019A82">
            <wp:extent cx="209550" cy="304800"/>
            <wp:effectExtent l="0" t="0" r="0" b="0"/>
            <wp:docPr id="39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1.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sz w:val="21"/>
        </w:rPr>
        <w:t xml:space="preserve">See </w:t>
      </w:r>
      <w:hyperlink r:id="rId282">
        <w:r w:rsidR="0030286B">
          <w:rPr>
            <w:color w:val="418BCA"/>
            <w:w w:val="110"/>
            <w:sz w:val="21"/>
          </w:rPr>
          <w:t xml:space="preserve">the Javadoc of </w:t>
        </w:r>
      </w:hyperlink>
      <w:hyperlink r:id="rId283">
        <w:r w:rsidR="0030286B">
          <w:rPr>
            <w:rFonts w:ascii="MS Gothic"/>
            <w:color w:val="B02045"/>
            <w:w w:val="110"/>
            <w:sz w:val="21"/>
          </w:rPr>
          <w:t>@EnableJms</w:t>
        </w:r>
        <w:r w:rsidR="0030286B">
          <w:rPr>
            <w:rFonts w:ascii="MS Gothic"/>
            <w:color w:val="B02045"/>
            <w:spacing w:val="-49"/>
            <w:w w:val="110"/>
            <w:sz w:val="21"/>
          </w:rPr>
          <w:t xml:space="preserve"> </w:t>
        </w:r>
      </w:hyperlink>
      <w:r w:rsidR="0030286B">
        <w:rPr>
          <w:color w:val="333333"/>
          <w:w w:val="110"/>
          <w:sz w:val="21"/>
        </w:rPr>
        <w:t>for more details.</w:t>
      </w:r>
    </w:p>
    <w:p w14:paraId="275DC549" w14:textId="77777777" w:rsidR="00A720EB" w:rsidRDefault="0030286B">
      <w:pPr>
        <w:pStyle w:val="a3"/>
        <w:spacing w:before="264" w:line="280" w:lineRule="auto"/>
        <w:ind w:left="124" w:right="28"/>
      </w:pPr>
      <w:r>
        <w:rPr>
          <w:color w:val="333333"/>
          <w:w w:val="110"/>
        </w:rPr>
        <w:t xml:space="preserve">If you need to create more </w:t>
      </w:r>
      <w:r>
        <w:rPr>
          <w:rFonts w:ascii="MS Gothic"/>
          <w:color w:val="B02045"/>
          <w:w w:val="110"/>
        </w:rPr>
        <w:t xml:space="preserve">JmsListenerContainerFactory </w:t>
      </w:r>
      <w:r>
        <w:rPr>
          <w:color w:val="333333"/>
          <w:w w:val="110"/>
        </w:rPr>
        <w:t xml:space="preserve">instances or if you want to override the default, Spring Boot provides a </w:t>
      </w:r>
      <w:r>
        <w:rPr>
          <w:rFonts w:ascii="MS Gothic"/>
          <w:color w:val="B02045"/>
          <w:w w:val="110"/>
        </w:rPr>
        <w:t>DefaultJmsListenerContainerFactoryConfigurer</w:t>
      </w:r>
      <w:r>
        <w:rPr>
          <w:rFonts w:ascii="MS Gothic"/>
          <w:color w:val="B02045"/>
          <w:spacing w:val="-75"/>
          <w:w w:val="110"/>
        </w:rPr>
        <w:t xml:space="preserve"> </w:t>
      </w:r>
      <w:r>
        <w:rPr>
          <w:color w:val="333333"/>
          <w:w w:val="110"/>
        </w:rPr>
        <w:t>that you can use to</w:t>
      </w:r>
    </w:p>
    <w:p w14:paraId="536655D0" w14:textId="77777777" w:rsidR="00A720EB" w:rsidRDefault="0030286B">
      <w:pPr>
        <w:pStyle w:val="a3"/>
        <w:spacing w:before="6" w:line="290" w:lineRule="auto"/>
        <w:ind w:left="124" w:right="359"/>
      </w:pPr>
      <w:r>
        <w:rPr>
          <w:color w:val="333333"/>
          <w:w w:val="110"/>
        </w:rPr>
        <w:t xml:space="preserve">initialize a </w:t>
      </w:r>
      <w:r>
        <w:rPr>
          <w:rFonts w:ascii="MS Gothic"/>
          <w:color w:val="B02045"/>
          <w:w w:val="110"/>
        </w:rPr>
        <w:t xml:space="preserve">DefaultJmsListenerContainerFactory </w:t>
      </w:r>
      <w:r>
        <w:rPr>
          <w:color w:val="333333"/>
          <w:w w:val="110"/>
        </w:rPr>
        <w:t>with the same settings as the one that is auto- configured.</w:t>
      </w:r>
    </w:p>
    <w:p w14:paraId="17F6F3AB" w14:textId="77777777" w:rsidR="00A720EB" w:rsidRDefault="0030286B">
      <w:pPr>
        <w:pStyle w:val="a3"/>
        <w:spacing w:before="248"/>
        <w:ind w:left="124"/>
      </w:pPr>
      <w:r>
        <w:rPr>
          <w:color w:val="333333"/>
          <w:w w:val="110"/>
        </w:rPr>
        <w:t xml:space="preserve">For instance, the following example exposes another factory that uses a specific </w:t>
      </w:r>
      <w:r>
        <w:rPr>
          <w:rFonts w:ascii="MS Gothic"/>
          <w:color w:val="B02045"/>
          <w:w w:val="110"/>
        </w:rPr>
        <w:t>MessageConverter</w:t>
      </w:r>
      <w:r>
        <w:rPr>
          <w:color w:val="333333"/>
          <w:w w:val="110"/>
        </w:rPr>
        <w:t>:</w:t>
      </w:r>
    </w:p>
    <w:p w14:paraId="77EE9832" w14:textId="77777777" w:rsidR="00A720EB" w:rsidRDefault="00E10349">
      <w:pPr>
        <w:pStyle w:val="a3"/>
        <w:spacing w:before="10"/>
        <w:rPr>
          <w:sz w:val="17"/>
        </w:rPr>
      </w:pPr>
      <w:r>
        <w:pict w14:anchorId="78912A97">
          <v:group id="_x0000_s3864" style="position:absolute;margin-left:47.85pt;margin-top:12.5pt;width:499.55pt;height:229.15pt;z-index:-15412224;mso-wrap-distance-left:0;mso-wrap-distance-right:0;mso-position-horizontal-relative:page" coordorigin="957,250" coordsize="9991,4583">
            <v:shape id="_x0000_s3867" style="position:absolute;left:964;top:257;width:9976;height:4568" coordorigin="965,257" coordsize="9976,4568" path="m10861,257r-9816,l1014,264r-26,17l971,306r-6,31l965,4744r6,32l988,4801r26,17l1045,4824r9816,l10892,4818r25,-17l10935,4776r6,-32l10941,337r-6,-31l10917,281r-25,-17l10861,257xe" fillcolor="#f5f5f5" stroked="f">
              <v:path arrowok="t"/>
            </v:shape>
            <v:shape id="_x0000_s3866" style="position:absolute;left:964;top:257;width:9976;height:4568" coordorigin="965,257" coordsize="9976,4568" path="m1045,257r9816,l10892,264r25,17l10935,306r6,31l10941,4744r-6,32l10917,4801r-25,17l10861,4824r-9816,l1014,4818r-26,-17l971,4776r-6,-32l965,337r6,-31l988,281r26,-17l1045,257xe" filled="f" strokecolor="#ccc">
              <v:path arrowok="t"/>
            </v:shape>
            <v:shape id="_x0000_s3865" type="#_x0000_t202" style="position:absolute;left:984;top:272;width:9938;height:4537" filled="f" stroked="f">
              <v:textbox inset="0,0,0,0">
                <w:txbxContent>
                  <w:p w14:paraId="08281C2A"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static class JmsConfiguration {</w:t>
                    </w:r>
                  </w:p>
                  <w:p w14:paraId="05CD1F33" w14:textId="77777777" w:rsidR="00711A16" w:rsidRDefault="00711A16">
                    <w:pPr>
                      <w:spacing w:before="10"/>
                      <w:rPr>
                        <w:rFonts w:ascii="MS Gothic"/>
                      </w:rPr>
                    </w:pPr>
                  </w:p>
                  <w:p w14:paraId="293293E3" w14:textId="77777777" w:rsidR="00711A16" w:rsidRDefault="00711A16">
                    <w:pPr>
                      <w:ind w:left="640"/>
                      <w:rPr>
                        <w:rFonts w:ascii="MS Gothic"/>
                      </w:rPr>
                    </w:pPr>
                    <w:r>
                      <w:rPr>
                        <w:rFonts w:ascii="MS Gothic"/>
                        <w:color w:val="333333"/>
                      </w:rPr>
                      <w:t>@Bean</w:t>
                    </w:r>
                  </w:p>
                  <w:p w14:paraId="14603353" w14:textId="77777777" w:rsidR="00711A16" w:rsidRDefault="00711A16">
                    <w:pPr>
                      <w:spacing w:before="13" w:line="252" w:lineRule="auto"/>
                      <w:ind w:left="1520" w:right="2018" w:hanging="880"/>
                      <w:rPr>
                        <w:rFonts w:ascii="MS Gothic"/>
                      </w:rPr>
                    </w:pPr>
                    <w:r>
                      <w:rPr>
                        <w:rFonts w:ascii="MS Gothic"/>
                        <w:color w:val="333333"/>
                      </w:rPr>
                      <w:t xml:space="preserve">public DefaultJmsListenerContainerFactory </w:t>
                    </w:r>
                    <w:proofErr w:type="gramStart"/>
                    <w:r>
                      <w:rPr>
                        <w:rFonts w:ascii="MS Gothic"/>
                        <w:color w:val="333333"/>
                      </w:rPr>
                      <w:t>myFactory( DefaultJmsListenerContainerFactoryConfigurer</w:t>
                    </w:r>
                    <w:proofErr w:type="gramEnd"/>
                    <w:r>
                      <w:rPr>
                        <w:rFonts w:ascii="MS Gothic"/>
                        <w:color w:val="333333"/>
                      </w:rPr>
                      <w:t xml:space="preserve"> configurer) {</w:t>
                    </w:r>
                  </w:p>
                  <w:p w14:paraId="499DB20C" w14:textId="77777777" w:rsidR="00711A16" w:rsidRDefault="00711A16">
                    <w:pPr>
                      <w:spacing w:line="280" w:lineRule="exact"/>
                      <w:ind w:left="1080"/>
                      <w:rPr>
                        <w:rFonts w:ascii="MS Gothic"/>
                      </w:rPr>
                    </w:pPr>
                    <w:r>
                      <w:rPr>
                        <w:rFonts w:ascii="MS Gothic"/>
                        <w:color w:val="333333"/>
                      </w:rPr>
                      <w:t>DefaultJmsListenerContainerFactory factory =</w:t>
                    </w:r>
                  </w:p>
                  <w:p w14:paraId="41C4475B" w14:textId="77777777" w:rsidR="00711A16" w:rsidRDefault="00711A16">
                    <w:pPr>
                      <w:spacing w:before="13" w:line="252" w:lineRule="auto"/>
                      <w:ind w:left="1080" w:right="3228" w:firstLine="880"/>
                      <w:rPr>
                        <w:rFonts w:ascii="MS Gothic"/>
                      </w:rPr>
                    </w:pPr>
                    <w:r>
                      <w:rPr>
                        <w:rFonts w:ascii="MS Gothic"/>
                        <w:color w:val="333333"/>
                      </w:rPr>
                      <w:t xml:space="preserve">new </w:t>
                    </w:r>
                    <w:proofErr w:type="gramStart"/>
                    <w:r>
                      <w:rPr>
                        <w:rFonts w:ascii="MS Gothic"/>
                        <w:color w:val="333333"/>
                      </w:rPr>
                      <w:t>DefaultJmsListenerContainerFactory(</w:t>
                    </w:r>
                    <w:proofErr w:type="gramEnd"/>
                    <w:r>
                      <w:rPr>
                        <w:rFonts w:ascii="MS Gothic"/>
                        <w:color w:val="333333"/>
                      </w:rPr>
                      <w:t>); configurer.configure(factory, connectionFactory()); factory.setMessageConverter(myMessageConverter()); return factory;</w:t>
                    </w:r>
                  </w:p>
                  <w:p w14:paraId="21F25576" w14:textId="77777777" w:rsidR="00711A16" w:rsidRDefault="00711A16">
                    <w:pPr>
                      <w:spacing w:line="277" w:lineRule="exact"/>
                      <w:ind w:left="640"/>
                      <w:rPr>
                        <w:rFonts w:ascii="MS Gothic"/>
                      </w:rPr>
                    </w:pPr>
                    <w:r>
                      <w:rPr>
                        <w:rFonts w:ascii="MS Gothic"/>
                        <w:color w:val="333333"/>
                      </w:rPr>
                      <w:t>}</w:t>
                    </w:r>
                  </w:p>
                  <w:p w14:paraId="68C55CD1" w14:textId="77777777" w:rsidR="00711A16" w:rsidRDefault="00711A16">
                    <w:pPr>
                      <w:rPr>
                        <w:rFonts w:ascii="MS Gothic"/>
                        <w:sz w:val="24"/>
                      </w:rPr>
                    </w:pPr>
                  </w:p>
                  <w:p w14:paraId="7686ACAB" w14:textId="77777777" w:rsidR="00711A16" w:rsidRDefault="00711A16">
                    <w:pPr>
                      <w:ind w:left="200"/>
                      <w:rPr>
                        <w:rFonts w:ascii="MS Gothic"/>
                      </w:rPr>
                    </w:pPr>
                    <w:r>
                      <w:rPr>
                        <w:rFonts w:ascii="MS Gothic"/>
                        <w:color w:val="333333"/>
                      </w:rPr>
                      <w:t>}</w:t>
                    </w:r>
                  </w:p>
                </w:txbxContent>
              </v:textbox>
            </v:shape>
            <w10:wrap type="topAndBottom" anchorx="page"/>
          </v:group>
        </w:pict>
      </w:r>
    </w:p>
    <w:p w14:paraId="1751B565" w14:textId="77777777" w:rsidR="00A720EB" w:rsidRDefault="00A720EB">
      <w:pPr>
        <w:pStyle w:val="a3"/>
        <w:spacing w:before="11"/>
        <w:rPr>
          <w:sz w:val="9"/>
        </w:rPr>
      </w:pPr>
    </w:p>
    <w:p w14:paraId="34A8A7A7" w14:textId="77777777" w:rsidR="00A720EB" w:rsidRDefault="0030286B">
      <w:pPr>
        <w:pStyle w:val="a3"/>
        <w:spacing w:before="115"/>
        <w:ind w:left="124"/>
      </w:pPr>
      <w:r>
        <w:rPr>
          <w:color w:val="333333"/>
          <w:w w:val="110"/>
        </w:rPr>
        <w:t xml:space="preserve">Then you can use the factory in any </w:t>
      </w:r>
      <w:r>
        <w:rPr>
          <w:rFonts w:ascii="MS Gothic"/>
          <w:color w:val="B02045"/>
          <w:w w:val="110"/>
        </w:rPr>
        <w:t>@JmsListener</w:t>
      </w:r>
      <w:r>
        <w:rPr>
          <w:color w:val="333333"/>
          <w:w w:val="110"/>
        </w:rPr>
        <w:t>-annotated method as follows:</w:t>
      </w:r>
    </w:p>
    <w:p w14:paraId="453481D7" w14:textId="77777777" w:rsidR="00A720EB" w:rsidRDefault="00E10349">
      <w:pPr>
        <w:pStyle w:val="a3"/>
        <w:spacing w:before="11"/>
        <w:rPr>
          <w:sz w:val="17"/>
        </w:rPr>
      </w:pPr>
      <w:r>
        <w:pict w14:anchorId="741BD9FD">
          <v:group id="_x0000_s3860" style="position:absolute;margin-left:47.85pt;margin-top:12.5pt;width:499.55pt;height:155.45pt;z-index:-15411712;mso-wrap-distance-left:0;mso-wrap-distance-right:0;mso-position-horizontal-relative:page" coordorigin="957,250" coordsize="9991,3109">
            <v:shape id="_x0000_s3863" style="position:absolute;left:964;top:257;width:9976;height:3094" coordorigin="965,257" coordsize="9976,3094" path="m10861,257r-9816,l1014,264r-26,17l971,306r-6,31l965,3271r6,31l988,3327r26,17l1045,3351r9816,l10892,3344r25,-17l10935,3302r6,-31l10941,337r-6,-31l10917,281r-25,-17l10861,257xe" fillcolor="#f5f5f5" stroked="f">
              <v:path arrowok="t"/>
            </v:shape>
            <v:shape id="_x0000_s3862" style="position:absolute;left:964;top:257;width:9976;height:3094" coordorigin="965,257" coordsize="9976,3094" path="m1045,257r9816,l10892,264r25,17l10935,306r6,31l10941,3271r-6,31l10917,3327r-25,17l10861,3351r-9816,l1014,3344r-26,-17l971,3302r-6,-31l965,337r6,-31l988,281r26,-17l1045,257xe" filled="f" strokecolor="#ccc">
              <v:path arrowok="t"/>
            </v:shape>
            <v:shape id="_x0000_s3861" type="#_x0000_t202" style="position:absolute;left:984;top:272;width:9938;height:3063" filled="f" stroked="f">
              <v:textbox inset="0,0,0,0">
                <w:txbxContent>
                  <w:p w14:paraId="0186D157" w14:textId="77777777" w:rsidR="00711A16" w:rsidRDefault="00711A16">
                    <w:pPr>
                      <w:spacing w:before="221"/>
                      <w:ind w:left="200"/>
                      <w:rPr>
                        <w:rFonts w:ascii="MS Gothic"/>
                      </w:rPr>
                    </w:pPr>
                    <w:r>
                      <w:rPr>
                        <w:rFonts w:ascii="MS Gothic"/>
                        <w:color w:val="333333"/>
                      </w:rPr>
                      <w:t>@Component</w:t>
                    </w:r>
                  </w:p>
                  <w:p w14:paraId="2C199ADF" w14:textId="77777777" w:rsidR="00711A16" w:rsidRDefault="00711A16">
                    <w:pPr>
                      <w:spacing w:before="13"/>
                      <w:ind w:left="200"/>
                      <w:rPr>
                        <w:rFonts w:ascii="MS Gothic"/>
                      </w:rPr>
                    </w:pPr>
                    <w:r>
                      <w:rPr>
                        <w:rFonts w:ascii="MS Gothic"/>
                        <w:color w:val="333333"/>
                      </w:rPr>
                      <w:t>public class MyBean {</w:t>
                    </w:r>
                  </w:p>
                  <w:p w14:paraId="6D57338D" w14:textId="77777777" w:rsidR="00711A16" w:rsidRDefault="00711A16">
                    <w:pPr>
                      <w:rPr>
                        <w:rFonts w:ascii="MS Gothic"/>
                        <w:sz w:val="24"/>
                      </w:rPr>
                    </w:pPr>
                  </w:p>
                  <w:p w14:paraId="4561AC0F" w14:textId="77777777" w:rsidR="00711A16" w:rsidRDefault="00711A16">
                    <w:pPr>
                      <w:spacing w:line="252" w:lineRule="auto"/>
                      <w:ind w:left="640" w:right="1688"/>
                      <w:rPr>
                        <w:rFonts w:ascii="MS Gothic"/>
                      </w:rPr>
                    </w:pPr>
                    <w:r>
                      <w:rPr>
                        <w:rFonts w:ascii="MS Gothic"/>
                        <w:color w:val="333333"/>
                      </w:rPr>
                      <w:t>@</w:t>
                    </w:r>
                    <w:proofErr w:type="gramStart"/>
                    <w:r>
                      <w:rPr>
                        <w:rFonts w:ascii="MS Gothic"/>
                        <w:color w:val="333333"/>
                      </w:rPr>
                      <w:t>JmsListener(</w:t>
                    </w:r>
                    <w:proofErr w:type="gramEnd"/>
                    <w:r>
                      <w:rPr>
                        <w:rFonts w:ascii="MS Gothic"/>
                        <w:color w:val="333333"/>
                      </w:rPr>
                      <w:t xml:space="preserve">destination = "someQueue", </w:t>
                    </w:r>
                    <w:r>
                      <w:rPr>
                        <w:rFonts w:ascii="宋体"/>
                        <w:color w:val="333333"/>
                      </w:rPr>
                      <w:t>containerFactory="myFactory"</w:t>
                    </w:r>
                    <w:r>
                      <w:rPr>
                        <w:rFonts w:ascii="MS Gothic"/>
                        <w:color w:val="333333"/>
                      </w:rPr>
                      <w:t>) public void processMessage(String content) {</w:t>
                    </w:r>
                  </w:p>
                  <w:p w14:paraId="4F129909" w14:textId="77777777" w:rsidR="00711A16" w:rsidRDefault="00711A16">
                    <w:pPr>
                      <w:spacing w:line="280" w:lineRule="exact"/>
                      <w:ind w:left="1080"/>
                      <w:rPr>
                        <w:rFonts w:ascii="MS Gothic"/>
                      </w:rPr>
                    </w:pPr>
                    <w:r>
                      <w:rPr>
                        <w:rFonts w:ascii="MS Gothic"/>
                        <w:color w:val="333333"/>
                      </w:rPr>
                      <w:t>// ...</w:t>
                    </w:r>
                  </w:p>
                  <w:p w14:paraId="1785C317" w14:textId="77777777" w:rsidR="00711A16" w:rsidRDefault="00711A16">
                    <w:pPr>
                      <w:spacing w:before="13"/>
                      <w:ind w:left="640"/>
                      <w:rPr>
                        <w:rFonts w:ascii="MS Gothic"/>
                      </w:rPr>
                    </w:pPr>
                    <w:r>
                      <w:rPr>
                        <w:rFonts w:ascii="MS Gothic"/>
                        <w:color w:val="333333"/>
                      </w:rPr>
                      <w:t>}</w:t>
                    </w:r>
                  </w:p>
                  <w:p w14:paraId="019A1483" w14:textId="77777777" w:rsidR="00711A16" w:rsidRDefault="00711A16">
                    <w:pPr>
                      <w:rPr>
                        <w:rFonts w:ascii="MS Gothic"/>
                        <w:sz w:val="24"/>
                      </w:rPr>
                    </w:pPr>
                  </w:p>
                  <w:p w14:paraId="0F11A030" w14:textId="77777777" w:rsidR="00711A16" w:rsidRDefault="00711A16">
                    <w:pPr>
                      <w:ind w:left="200"/>
                      <w:rPr>
                        <w:rFonts w:ascii="MS Gothic"/>
                      </w:rPr>
                    </w:pPr>
                    <w:r>
                      <w:rPr>
                        <w:rFonts w:ascii="MS Gothic"/>
                        <w:color w:val="333333"/>
                      </w:rPr>
                      <w:t>}</w:t>
                    </w:r>
                  </w:p>
                </w:txbxContent>
              </v:textbox>
            </v:shape>
            <w10:wrap type="topAndBottom" anchorx="page"/>
          </v:group>
        </w:pict>
      </w:r>
    </w:p>
    <w:p w14:paraId="0A65FC96" w14:textId="77777777" w:rsidR="00A720EB" w:rsidRDefault="00A720EB">
      <w:pPr>
        <w:rPr>
          <w:sz w:val="17"/>
        </w:rPr>
        <w:sectPr w:rsidR="00A720EB">
          <w:pgSz w:w="11910" w:h="16840"/>
          <w:pgMar w:top="700" w:right="840" w:bottom="520" w:left="840" w:header="0" w:footer="323" w:gutter="0"/>
          <w:cols w:space="720"/>
        </w:sectPr>
      </w:pPr>
    </w:p>
    <w:p w14:paraId="0597B40D" w14:textId="77777777" w:rsidR="00A720EB" w:rsidRDefault="0030286B">
      <w:pPr>
        <w:pStyle w:val="3"/>
        <w:numPr>
          <w:ilvl w:val="2"/>
          <w:numId w:val="68"/>
        </w:numPr>
        <w:tabs>
          <w:tab w:val="left" w:pos="1003"/>
        </w:tabs>
        <w:spacing w:before="87"/>
        <w:ind w:left="1002" w:hanging="879"/>
      </w:pPr>
      <w:bookmarkStart w:id="404" w:name="4.14.2._AMQP"/>
      <w:bookmarkStart w:id="405" w:name="_Toc54423789"/>
      <w:bookmarkEnd w:id="404"/>
      <w:r>
        <w:rPr>
          <w:color w:val="333333"/>
        </w:rPr>
        <w:lastRenderedPageBreak/>
        <w:t>AMQP</w:t>
      </w:r>
      <w:bookmarkEnd w:id="405"/>
    </w:p>
    <w:p w14:paraId="27E31AFC" w14:textId="77777777" w:rsidR="00A720EB" w:rsidRDefault="0030286B">
      <w:pPr>
        <w:pStyle w:val="a3"/>
        <w:spacing w:before="253" w:line="304" w:lineRule="auto"/>
        <w:ind w:left="124" w:right="132"/>
        <w:jc w:val="both"/>
      </w:pPr>
      <w:r>
        <w:rPr>
          <w:color w:val="333333"/>
          <w:w w:val="110"/>
        </w:rPr>
        <w:t xml:space="preserve">The Advanced Message Queuing Protocol (AMQP) is a platform-neutral, wire-level protocol for message-oriented middleware. The Spring AMQP project applies core Spring concepts to the development of AMQP-based messaging solutions. Spring Boot offers several conveniences for working with AMQP through RabbitMQ, including the </w:t>
      </w:r>
      <w:r>
        <w:rPr>
          <w:rFonts w:ascii="MS Gothic" w:hAnsi="MS Gothic"/>
          <w:color w:val="B02045"/>
          <w:w w:val="110"/>
        </w:rPr>
        <w:t>spring-boot-starter-amqp</w:t>
      </w:r>
      <w:r>
        <w:rPr>
          <w:rFonts w:ascii="MS Gothic" w:hAnsi="MS Gothic"/>
          <w:color w:val="B02045"/>
          <w:spacing w:val="-85"/>
          <w:w w:val="110"/>
        </w:rPr>
        <w:t xml:space="preserve"> </w:t>
      </w:r>
      <w:r>
        <w:rPr>
          <w:color w:val="333333"/>
          <w:w w:val="110"/>
        </w:rPr>
        <w:t>“Starter”.</w:t>
      </w:r>
    </w:p>
    <w:p w14:paraId="4E8EFB3B" w14:textId="77777777" w:rsidR="00A720EB" w:rsidRDefault="00A720EB">
      <w:pPr>
        <w:pStyle w:val="a3"/>
        <w:spacing w:before="2"/>
        <w:rPr>
          <w:sz w:val="24"/>
        </w:rPr>
      </w:pPr>
    </w:p>
    <w:p w14:paraId="5E48DD6C" w14:textId="77777777" w:rsidR="00A720EB" w:rsidRDefault="0030286B">
      <w:pPr>
        <w:pStyle w:val="4"/>
      </w:pPr>
      <w:bookmarkStart w:id="406" w:name="RabbitMQ_support"/>
      <w:bookmarkEnd w:id="406"/>
      <w:r>
        <w:rPr>
          <w:color w:val="333333"/>
          <w:w w:val="110"/>
        </w:rPr>
        <w:t>RabbitMQ support</w:t>
      </w:r>
    </w:p>
    <w:p w14:paraId="2C637404" w14:textId="77777777" w:rsidR="00A720EB" w:rsidRDefault="00A720EB">
      <w:pPr>
        <w:pStyle w:val="a3"/>
        <w:spacing w:before="11"/>
        <w:rPr>
          <w:rFonts w:ascii="Palatino Linotype"/>
          <w:b/>
          <w:sz w:val="18"/>
        </w:rPr>
      </w:pPr>
    </w:p>
    <w:p w14:paraId="7E6699FC" w14:textId="77777777" w:rsidR="00A720EB" w:rsidRDefault="00E10349">
      <w:pPr>
        <w:pStyle w:val="a3"/>
        <w:spacing w:line="297" w:lineRule="auto"/>
        <w:ind w:left="124" w:right="128"/>
        <w:jc w:val="both"/>
      </w:pPr>
      <w:hyperlink r:id="rId284">
        <w:r w:rsidR="0030286B">
          <w:rPr>
            <w:color w:val="418BCA"/>
            <w:w w:val="110"/>
          </w:rPr>
          <w:t>RabbitMQ</w:t>
        </w:r>
      </w:hyperlink>
      <w:r w:rsidR="0030286B">
        <w:rPr>
          <w:color w:val="418BCA"/>
          <w:w w:val="110"/>
        </w:rPr>
        <w:t xml:space="preserve"> </w:t>
      </w:r>
      <w:r w:rsidR="0030286B">
        <w:rPr>
          <w:color w:val="333333"/>
          <w:w w:val="110"/>
        </w:rPr>
        <w:t xml:space="preserve">is a lightweight, reliable, scalable, and portable message broker based on the AMQP protocol. Spring uses </w:t>
      </w:r>
      <w:r w:rsidR="0030286B">
        <w:rPr>
          <w:rFonts w:ascii="MS Gothic"/>
          <w:color w:val="B02045"/>
          <w:w w:val="110"/>
        </w:rPr>
        <w:t xml:space="preserve">RabbitMQ </w:t>
      </w:r>
      <w:r w:rsidR="0030286B">
        <w:rPr>
          <w:color w:val="333333"/>
          <w:w w:val="110"/>
        </w:rPr>
        <w:t>to communicate through the AMQP protocol.</w:t>
      </w:r>
    </w:p>
    <w:p w14:paraId="412E6543" w14:textId="77777777" w:rsidR="00A720EB" w:rsidRDefault="0030286B">
      <w:pPr>
        <w:pStyle w:val="a3"/>
        <w:spacing w:before="222" w:line="280" w:lineRule="auto"/>
        <w:ind w:left="124" w:right="122"/>
        <w:jc w:val="both"/>
      </w:pPr>
      <w:r>
        <w:rPr>
          <w:color w:val="333333"/>
          <w:w w:val="110"/>
        </w:rPr>
        <w:t xml:space="preserve">RabbitMQ configuration is controlled by external configuration properties in </w:t>
      </w:r>
      <w:proofErr w:type="gramStart"/>
      <w:r>
        <w:rPr>
          <w:rFonts w:ascii="MS Gothic"/>
          <w:color w:val="B02045"/>
          <w:w w:val="110"/>
        </w:rPr>
        <w:t>spring.rabbitmq</w:t>
      </w:r>
      <w:proofErr w:type="gramEnd"/>
      <w:r>
        <w:rPr>
          <w:rFonts w:ascii="MS Gothic"/>
          <w:color w:val="B02045"/>
          <w:w w:val="110"/>
        </w:rPr>
        <w:t>.*</w:t>
      </w:r>
      <w:r>
        <w:rPr>
          <w:color w:val="333333"/>
          <w:w w:val="110"/>
        </w:rPr>
        <w:t xml:space="preserve">. For example, you might declare the following section in </w:t>
      </w:r>
      <w:proofErr w:type="gramStart"/>
      <w:r>
        <w:rPr>
          <w:rFonts w:ascii="MS Gothic"/>
          <w:color w:val="B02045"/>
          <w:w w:val="110"/>
        </w:rPr>
        <w:t>application.properties</w:t>
      </w:r>
      <w:proofErr w:type="gramEnd"/>
      <w:r>
        <w:rPr>
          <w:color w:val="333333"/>
          <w:w w:val="110"/>
        </w:rPr>
        <w:t>:</w:t>
      </w:r>
    </w:p>
    <w:p w14:paraId="2BEF99FA" w14:textId="77777777" w:rsidR="00A720EB" w:rsidRDefault="00E10349">
      <w:pPr>
        <w:pStyle w:val="a3"/>
        <w:spacing w:before="1"/>
        <w:rPr>
          <w:sz w:val="14"/>
        </w:rPr>
      </w:pPr>
      <w:r>
        <w:pict w14:anchorId="6B86B7EB">
          <v:group id="_x0000_s3856" style="position:absolute;margin-left:47.85pt;margin-top:10.25pt;width:499.55pt;height:81.75pt;z-index:-15410688;mso-wrap-distance-left:0;mso-wrap-distance-right:0;mso-position-horizontal-relative:page" coordorigin="957,205" coordsize="9991,1635">
            <v:shape id="_x0000_s3859" style="position:absolute;left:964;top:212;width:9976;height:1620" coordorigin="965,213" coordsize="9976,1620" path="m10861,213r-9816,l1014,219r-26,17l971,262r-6,31l965,1752r6,31l988,1808r26,18l1045,1832r9816,l10892,1826r25,-18l10935,1783r6,-31l10941,293r-6,-31l10917,236r-25,-17l10861,213xe" fillcolor="#f5f5f5" stroked="f">
              <v:path arrowok="t"/>
            </v:shape>
            <v:shape id="_x0000_s3858" style="position:absolute;left:964;top:212;width:9976;height:1620" coordorigin="965,213" coordsize="9976,1620" path="m1045,213r9816,l10892,219r25,17l10935,262r6,31l10941,1752r-6,31l10917,1808r-25,18l10861,1832r-9816,l1014,1826r-26,-18l971,1783r-6,-31l965,293r6,-31l988,236r26,-17l1045,213xe" filled="f" strokecolor="#ccc">
              <v:path arrowok="t"/>
            </v:shape>
            <v:shape id="_x0000_s3857" type="#_x0000_t202" style="position:absolute;left:984;top:228;width:9938;height:1589" filled="f" stroked="f">
              <v:textbox inset="0,0,0,0">
                <w:txbxContent>
                  <w:p w14:paraId="1D779F57" w14:textId="77777777" w:rsidR="00711A16" w:rsidRDefault="00711A16">
                    <w:pPr>
                      <w:spacing w:before="221" w:line="252" w:lineRule="auto"/>
                      <w:ind w:left="200" w:right="6308"/>
                      <w:rPr>
                        <w:rFonts w:ascii="MS Gothic"/>
                      </w:rPr>
                    </w:pPr>
                    <w:proofErr w:type="gramStart"/>
                    <w:r>
                      <w:rPr>
                        <w:rFonts w:ascii="MS Gothic"/>
                        <w:color w:val="333333"/>
                      </w:rPr>
                      <w:t>spring.rabbitmq</w:t>
                    </w:r>
                    <w:proofErr w:type="gramEnd"/>
                    <w:r>
                      <w:rPr>
                        <w:rFonts w:ascii="MS Gothic"/>
                        <w:color w:val="333333"/>
                      </w:rPr>
                      <w:t>.host=localhost spring.rabbitmq.port=5672 spring.rabbitmq.username=admin spring.rabbitmq.password=secret</w:t>
                    </w:r>
                  </w:p>
                </w:txbxContent>
              </v:textbox>
            </v:shape>
            <w10:wrap type="topAndBottom" anchorx="page"/>
          </v:group>
        </w:pict>
      </w:r>
    </w:p>
    <w:p w14:paraId="21F2CF1C" w14:textId="77777777" w:rsidR="00A720EB" w:rsidRDefault="00A720EB">
      <w:pPr>
        <w:pStyle w:val="a3"/>
        <w:spacing w:before="11"/>
        <w:rPr>
          <w:sz w:val="9"/>
        </w:rPr>
      </w:pPr>
    </w:p>
    <w:p w14:paraId="7B001CFD" w14:textId="77777777" w:rsidR="00A720EB" w:rsidRDefault="0030286B">
      <w:pPr>
        <w:pStyle w:val="a3"/>
        <w:spacing w:before="115"/>
        <w:ind w:left="124"/>
      </w:pPr>
      <w:r>
        <w:rPr>
          <w:color w:val="333333"/>
          <w:w w:val="110"/>
        </w:rPr>
        <w:t xml:space="preserve">Alternatively, you could configure the same connection using the </w:t>
      </w:r>
      <w:r>
        <w:rPr>
          <w:rFonts w:ascii="MS Gothic"/>
          <w:color w:val="B02045"/>
          <w:w w:val="110"/>
        </w:rPr>
        <w:t xml:space="preserve">addresses </w:t>
      </w:r>
      <w:r>
        <w:rPr>
          <w:color w:val="333333"/>
          <w:w w:val="110"/>
        </w:rPr>
        <w:t>attribute:</w:t>
      </w:r>
    </w:p>
    <w:p w14:paraId="4E65227A" w14:textId="77777777" w:rsidR="00A720EB" w:rsidRDefault="00E10349">
      <w:pPr>
        <w:pStyle w:val="a3"/>
        <w:spacing w:before="11"/>
        <w:rPr>
          <w:sz w:val="17"/>
        </w:rPr>
      </w:pPr>
      <w:r>
        <w:pict w14:anchorId="2A4A99B3">
          <v:group id="_x0000_s3852" style="position:absolute;margin-left:47.85pt;margin-top:12.55pt;width:499.55pt;height:37.5pt;z-index:-15410176;mso-wrap-distance-left:0;mso-wrap-distance-right:0;mso-position-horizontal-relative:page" coordorigin="957,251" coordsize="9991,750">
            <v:shape id="_x0000_s3855" style="position:absolute;left:964;top:258;width:9976;height:735" coordorigin="965,258" coordsize="9976,735" path="m10861,258r-9816,l1014,264r-26,17l971,307r-6,31l965,913r6,31l988,969r26,18l1045,993r9816,l10892,987r25,-18l10935,944r6,-31l10941,338r-6,-31l10917,281r-25,-17l10861,258xe" fillcolor="#f5f5f5" stroked="f">
              <v:path arrowok="t"/>
            </v:shape>
            <v:shape id="_x0000_s3854" style="position:absolute;left:964;top:258;width:9976;height:735" coordorigin="965,258" coordsize="9976,735" path="m1045,258r9816,l10892,264r25,17l10935,307r6,31l10941,913r-6,31l10917,969r-25,18l10861,993r-9816,l1014,987,988,969,971,944r-6,-31l965,338r6,-31l988,281r26,-17l1045,258xe" filled="f" strokecolor="#ccc">
              <v:path arrowok="t"/>
            </v:shape>
            <v:shape id="_x0000_s3853" type="#_x0000_t202" style="position:absolute;left:984;top:273;width:9938;height:704" filled="f" stroked="f">
              <v:textbox inset="0,0,0,0">
                <w:txbxContent>
                  <w:p w14:paraId="59D086D9" w14:textId="77777777" w:rsidR="00711A16" w:rsidRDefault="00711A16">
                    <w:pPr>
                      <w:spacing w:before="221"/>
                      <w:ind w:left="200"/>
                      <w:rPr>
                        <w:rFonts w:ascii="MS Gothic"/>
                      </w:rPr>
                    </w:pPr>
                    <w:proofErr w:type="gramStart"/>
                    <w:r>
                      <w:rPr>
                        <w:rFonts w:ascii="MS Gothic"/>
                        <w:color w:val="333333"/>
                      </w:rPr>
                      <w:t>spring.rabbitmq</w:t>
                    </w:r>
                    <w:proofErr w:type="gramEnd"/>
                    <w:r>
                      <w:rPr>
                        <w:rFonts w:ascii="MS Gothic"/>
                        <w:color w:val="333333"/>
                      </w:rPr>
                      <w:t>.addresses=amqp://admin:secret@localhost</w:t>
                    </w:r>
                  </w:p>
                </w:txbxContent>
              </v:textbox>
            </v:shape>
            <w10:wrap type="topAndBottom" anchorx="page"/>
          </v:group>
        </w:pict>
      </w:r>
    </w:p>
    <w:p w14:paraId="18E872DF" w14:textId="77777777" w:rsidR="00A720EB" w:rsidRDefault="00A720EB">
      <w:pPr>
        <w:pStyle w:val="a3"/>
        <w:spacing w:before="8"/>
        <w:rPr>
          <w:sz w:val="16"/>
        </w:rPr>
      </w:pPr>
    </w:p>
    <w:p w14:paraId="288B929B" w14:textId="77777777" w:rsidR="00A720EB" w:rsidRDefault="00E10349">
      <w:pPr>
        <w:pStyle w:val="a3"/>
        <w:spacing w:before="116" w:line="280" w:lineRule="auto"/>
        <w:ind w:left="1564" w:right="462"/>
      </w:pPr>
      <w:r>
        <w:pict w14:anchorId="0AF72E17">
          <v:line id="_x0000_s3851" style="position:absolute;left:0;text-align:left;z-index:16047616;mso-position-horizontal-relative:page" from="108.25pt,.35pt" to="108.25pt,39.9pt" strokecolor="#ededed" strokeweight=".5pt">
            <w10:wrap anchorx="page"/>
          </v:line>
        </w:pict>
      </w:r>
      <w:r w:rsidR="0030286B">
        <w:rPr>
          <w:noProof/>
        </w:rPr>
        <w:drawing>
          <wp:anchor distT="0" distB="0" distL="0" distR="0" simplePos="0" relativeHeight="16048128" behindDoc="0" locked="0" layoutInCell="1" allowOverlap="1" wp14:anchorId="47AFD576" wp14:editId="3F9CF70B">
            <wp:simplePos x="0" y="0"/>
            <wp:positionH relativeFrom="page">
              <wp:posOffset>844422</wp:posOffset>
            </wp:positionH>
            <wp:positionV relativeFrom="paragraph">
              <wp:posOffset>106248</wp:posOffset>
            </wp:positionV>
            <wp:extent cx="298450" cy="298450"/>
            <wp:effectExtent l="0" t="0" r="0" b="0"/>
            <wp:wrapNone/>
            <wp:docPr id="3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When specifying addresses that way, the </w:t>
      </w:r>
      <w:r w:rsidR="0030286B">
        <w:rPr>
          <w:rFonts w:ascii="MS Gothic"/>
          <w:color w:val="B02045"/>
          <w:w w:val="110"/>
        </w:rPr>
        <w:t xml:space="preserve">host </w:t>
      </w:r>
      <w:r w:rsidR="0030286B">
        <w:rPr>
          <w:color w:val="333333"/>
          <w:w w:val="110"/>
        </w:rPr>
        <w:t xml:space="preserve">and </w:t>
      </w:r>
      <w:r w:rsidR="0030286B">
        <w:rPr>
          <w:rFonts w:ascii="MS Gothic"/>
          <w:color w:val="B02045"/>
          <w:w w:val="110"/>
        </w:rPr>
        <w:t xml:space="preserve">port </w:t>
      </w:r>
      <w:r w:rsidR="0030286B">
        <w:rPr>
          <w:color w:val="333333"/>
          <w:w w:val="110"/>
        </w:rPr>
        <w:t xml:space="preserve">properties are ignored. If the address uses the </w:t>
      </w:r>
      <w:r w:rsidR="0030286B">
        <w:rPr>
          <w:rFonts w:ascii="MS Gothic"/>
          <w:color w:val="B02045"/>
          <w:w w:val="110"/>
        </w:rPr>
        <w:t xml:space="preserve">amqps </w:t>
      </w:r>
      <w:r w:rsidR="0030286B">
        <w:rPr>
          <w:color w:val="333333"/>
          <w:w w:val="110"/>
        </w:rPr>
        <w:t>protocol, SSL support is enabled automatically.</w:t>
      </w:r>
    </w:p>
    <w:p w14:paraId="0D8403A0" w14:textId="77777777" w:rsidR="00A720EB" w:rsidRDefault="00A720EB">
      <w:pPr>
        <w:pStyle w:val="a3"/>
        <w:spacing w:before="7"/>
        <w:rPr>
          <w:sz w:val="17"/>
        </w:rPr>
      </w:pPr>
    </w:p>
    <w:p w14:paraId="1C8BD743" w14:textId="77777777" w:rsidR="00A720EB" w:rsidRDefault="0030286B">
      <w:pPr>
        <w:pStyle w:val="a3"/>
        <w:spacing w:before="116" w:line="285" w:lineRule="auto"/>
        <w:ind w:left="124" w:right="123"/>
        <w:jc w:val="both"/>
      </w:pPr>
      <w:r>
        <w:rPr>
          <w:color w:val="333333"/>
          <w:w w:val="110"/>
        </w:rPr>
        <w:t xml:space="preserve">If a </w:t>
      </w:r>
      <w:r>
        <w:rPr>
          <w:rFonts w:ascii="MS Gothic"/>
          <w:color w:val="B02045"/>
          <w:w w:val="110"/>
        </w:rPr>
        <w:t xml:space="preserve">ConnectionNameStrategy </w:t>
      </w:r>
      <w:r>
        <w:rPr>
          <w:color w:val="333333"/>
          <w:w w:val="110"/>
        </w:rPr>
        <w:t>bean exists in the context, it will be automatically used to name connections</w:t>
      </w:r>
      <w:r>
        <w:rPr>
          <w:color w:val="333333"/>
          <w:spacing w:val="-18"/>
          <w:w w:val="110"/>
        </w:rPr>
        <w:t xml:space="preserve"> </w:t>
      </w:r>
      <w:r>
        <w:rPr>
          <w:color w:val="333333"/>
          <w:w w:val="110"/>
        </w:rPr>
        <w:t>created</w:t>
      </w:r>
      <w:r>
        <w:rPr>
          <w:color w:val="333333"/>
          <w:spacing w:val="-18"/>
          <w:w w:val="110"/>
        </w:rPr>
        <w:t xml:space="preserve"> </w:t>
      </w:r>
      <w:r>
        <w:rPr>
          <w:color w:val="333333"/>
          <w:spacing w:val="-3"/>
          <w:w w:val="110"/>
        </w:rPr>
        <w:t>by</w:t>
      </w:r>
      <w:r>
        <w:rPr>
          <w:color w:val="333333"/>
          <w:spacing w:val="-18"/>
          <w:w w:val="110"/>
        </w:rPr>
        <w:t xml:space="preserve"> </w:t>
      </w:r>
      <w:r>
        <w:rPr>
          <w:color w:val="333333"/>
          <w:w w:val="110"/>
        </w:rPr>
        <w:t>the</w:t>
      </w:r>
      <w:r>
        <w:rPr>
          <w:color w:val="333333"/>
          <w:spacing w:val="-18"/>
          <w:w w:val="110"/>
        </w:rPr>
        <w:t xml:space="preserve"> </w:t>
      </w:r>
      <w:r>
        <w:rPr>
          <w:color w:val="333333"/>
          <w:w w:val="110"/>
        </w:rPr>
        <w:t>auto-configured</w:t>
      </w:r>
      <w:r>
        <w:rPr>
          <w:color w:val="333333"/>
          <w:spacing w:val="-16"/>
          <w:w w:val="110"/>
        </w:rPr>
        <w:t xml:space="preserve"> </w:t>
      </w:r>
      <w:r>
        <w:rPr>
          <w:rFonts w:ascii="MS Gothic"/>
          <w:color w:val="B02045"/>
          <w:w w:val="110"/>
        </w:rPr>
        <w:t>ConnectionFactory</w:t>
      </w:r>
      <w:r>
        <w:rPr>
          <w:color w:val="333333"/>
          <w:w w:val="110"/>
        </w:rPr>
        <w:t>.</w:t>
      </w:r>
      <w:r>
        <w:rPr>
          <w:color w:val="333333"/>
          <w:spacing w:val="-17"/>
          <w:w w:val="110"/>
        </w:rPr>
        <w:t xml:space="preserve"> </w:t>
      </w:r>
      <w:r>
        <w:rPr>
          <w:color w:val="333333"/>
          <w:w w:val="110"/>
        </w:rPr>
        <w:t>See</w:t>
      </w:r>
      <w:r>
        <w:rPr>
          <w:color w:val="333333"/>
          <w:spacing w:val="-18"/>
          <w:w w:val="110"/>
        </w:rPr>
        <w:t xml:space="preserve"> </w:t>
      </w:r>
      <w:hyperlink r:id="rId285">
        <w:r>
          <w:rPr>
            <w:rFonts w:ascii="MS Gothic"/>
            <w:color w:val="B02045"/>
            <w:w w:val="110"/>
          </w:rPr>
          <w:t>RabbitProperties</w:t>
        </w:r>
        <w:r>
          <w:rPr>
            <w:rFonts w:ascii="MS Gothic"/>
            <w:color w:val="B02045"/>
            <w:spacing w:val="-83"/>
            <w:w w:val="110"/>
          </w:rPr>
          <w:t xml:space="preserve"> </w:t>
        </w:r>
      </w:hyperlink>
      <w:r>
        <w:rPr>
          <w:color w:val="333333"/>
          <w:w w:val="110"/>
        </w:rPr>
        <w:t>for</w:t>
      </w:r>
      <w:r>
        <w:rPr>
          <w:color w:val="333333"/>
          <w:spacing w:val="-18"/>
          <w:w w:val="110"/>
        </w:rPr>
        <w:t xml:space="preserve"> </w:t>
      </w:r>
      <w:r>
        <w:rPr>
          <w:color w:val="333333"/>
          <w:w w:val="110"/>
        </w:rPr>
        <w:t>more</w:t>
      </w:r>
      <w:r>
        <w:rPr>
          <w:color w:val="333333"/>
          <w:spacing w:val="-18"/>
          <w:w w:val="110"/>
        </w:rPr>
        <w:t xml:space="preserve"> </w:t>
      </w:r>
      <w:r>
        <w:rPr>
          <w:color w:val="333333"/>
          <w:w w:val="110"/>
        </w:rPr>
        <w:t>of</w:t>
      </w:r>
      <w:r>
        <w:rPr>
          <w:color w:val="333333"/>
          <w:spacing w:val="-18"/>
          <w:w w:val="110"/>
        </w:rPr>
        <w:t xml:space="preserve"> </w:t>
      </w:r>
      <w:r>
        <w:rPr>
          <w:color w:val="333333"/>
          <w:w w:val="110"/>
        </w:rPr>
        <w:t>the supported</w:t>
      </w:r>
      <w:r>
        <w:rPr>
          <w:color w:val="333333"/>
          <w:spacing w:val="3"/>
          <w:w w:val="110"/>
        </w:rPr>
        <w:t xml:space="preserve"> </w:t>
      </w:r>
      <w:r>
        <w:rPr>
          <w:color w:val="333333"/>
          <w:w w:val="110"/>
        </w:rPr>
        <w:t>options.</w:t>
      </w:r>
    </w:p>
    <w:p w14:paraId="3BCDD96A" w14:textId="77777777" w:rsidR="00A720EB" w:rsidRDefault="00E10349">
      <w:pPr>
        <w:pStyle w:val="a3"/>
        <w:spacing w:before="220"/>
        <w:ind w:left="561"/>
      </w:pPr>
      <w:r>
        <w:pict w14:anchorId="03BE3F69">
          <v:line id="_x0000_s3850" style="position:absolute;left:0;text-align:left;z-index:-41485824;mso-position-horizontal-relative:page" from="108.25pt,11.2pt" to="108.25pt,34.95pt" strokecolor="#ededed" strokeweight=".5pt">
            <w10:wrap anchorx="page"/>
          </v:line>
        </w:pict>
      </w:r>
      <w:r w:rsidR="0030286B">
        <w:rPr>
          <w:noProof/>
          <w:position w:val="-15"/>
        </w:rPr>
        <w:drawing>
          <wp:inline distT="0" distB="0" distL="0" distR="0" wp14:anchorId="34934D87" wp14:editId="1211F83B">
            <wp:extent cx="209550" cy="304800"/>
            <wp:effectExtent l="0" t="0" r="0" b="0"/>
            <wp:docPr id="40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1.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See </w:t>
      </w:r>
      <w:hyperlink r:id="rId286">
        <w:r w:rsidR="0030286B">
          <w:rPr>
            <w:color w:val="418BCA"/>
            <w:w w:val="110"/>
          </w:rPr>
          <w:t xml:space="preserve">Understanding </w:t>
        </w:r>
        <w:r w:rsidR="0030286B">
          <w:rPr>
            <w:color w:val="418BCA"/>
            <w:spacing w:val="-6"/>
            <w:w w:val="110"/>
          </w:rPr>
          <w:t xml:space="preserve">AMQP, </w:t>
        </w:r>
        <w:r w:rsidR="0030286B">
          <w:rPr>
            <w:color w:val="418BCA"/>
            <w:w w:val="110"/>
          </w:rPr>
          <w:t xml:space="preserve">the protocol used </w:t>
        </w:r>
        <w:r w:rsidR="0030286B">
          <w:rPr>
            <w:color w:val="418BCA"/>
            <w:spacing w:val="-3"/>
            <w:w w:val="110"/>
          </w:rPr>
          <w:t xml:space="preserve">by </w:t>
        </w:r>
        <w:r w:rsidR="0030286B">
          <w:rPr>
            <w:color w:val="418BCA"/>
            <w:w w:val="110"/>
          </w:rPr>
          <w:t xml:space="preserve">RabbitMQ </w:t>
        </w:r>
      </w:hyperlink>
      <w:r w:rsidR="0030286B">
        <w:rPr>
          <w:color w:val="333333"/>
          <w:w w:val="110"/>
        </w:rPr>
        <w:t>for more</w:t>
      </w:r>
      <w:r w:rsidR="0030286B">
        <w:rPr>
          <w:color w:val="333333"/>
          <w:spacing w:val="6"/>
          <w:w w:val="110"/>
        </w:rPr>
        <w:t xml:space="preserve"> </w:t>
      </w:r>
      <w:r w:rsidR="0030286B">
        <w:rPr>
          <w:color w:val="333333"/>
          <w:w w:val="110"/>
        </w:rPr>
        <w:t>details.</w:t>
      </w:r>
    </w:p>
    <w:p w14:paraId="631A9A90" w14:textId="77777777" w:rsidR="00A720EB" w:rsidRDefault="0030286B">
      <w:pPr>
        <w:pStyle w:val="4"/>
        <w:spacing w:before="339"/>
      </w:pPr>
      <w:r>
        <w:rPr>
          <w:color w:val="333333"/>
          <w:w w:val="110"/>
        </w:rPr>
        <w:t>Sending a Message</w:t>
      </w:r>
    </w:p>
    <w:p w14:paraId="0EA8651A" w14:textId="77777777" w:rsidR="00A720EB" w:rsidRDefault="0030286B">
      <w:pPr>
        <w:pStyle w:val="a3"/>
        <w:spacing w:before="244" w:line="290" w:lineRule="auto"/>
        <w:ind w:left="124" w:right="135"/>
        <w:jc w:val="both"/>
      </w:pPr>
      <w:r>
        <w:rPr>
          <w:color w:val="333333"/>
          <w:w w:val="110"/>
        </w:rPr>
        <w:t xml:space="preserve">Spring’s </w:t>
      </w:r>
      <w:r>
        <w:rPr>
          <w:rFonts w:ascii="MS Gothic" w:hAnsi="MS Gothic"/>
          <w:color w:val="B02045"/>
          <w:w w:val="110"/>
        </w:rPr>
        <w:t xml:space="preserve">AmqpTemplate </w:t>
      </w:r>
      <w:r>
        <w:rPr>
          <w:color w:val="333333"/>
          <w:w w:val="110"/>
        </w:rPr>
        <w:t xml:space="preserve">and </w:t>
      </w:r>
      <w:r>
        <w:rPr>
          <w:rFonts w:ascii="MS Gothic" w:hAnsi="MS Gothic"/>
          <w:color w:val="B02045"/>
          <w:w w:val="110"/>
        </w:rPr>
        <w:t xml:space="preserve">AmqpAdmin </w:t>
      </w:r>
      <w:r>
        <w:rPr>
          <w:color w:val="333333"/>
          <w:w w:val="110"/>
        </w:rPr>
        <w:t>are auto-configured, and you can autowire them directly into your own beans, as shown in the following example:</w:t>
      </w:r>
    </w:p>
    <w:p w14:paraId="6D3B414D" w14:textId="77777777" w:rsidR="00A720EB" w:rsidRDefault="00A720EB">
      <w:pPr>
        <w:spacing w:line="290" w:lineRule="auto"/>
        <w:jc w:val="both"/>
        <w:sectPr w:rsidR="00A720EB">
          <w:pgSz w:w="11910" w:h="16840"/>
          <w:pgMar w:top="620" w:right="840" w:bottom="520" w:left="840" w:header="0" w:footer="323" w:gutter="0"/>
          <w:cols w:space="720"/>
        </w:sectPr>
      </w:pPr>
    </w:p>
    <w:p w14:paraId="15452348" w14:textId="77777777" w:rsidR="00A720EB" w:rsidRDefault="00E10349">
      <w:pPr>
        <w:pStyle w:val="a3"/>
        <w:ind w:left="116"/>
        <w:rPr>
          <w:sz w:val="20"/>
        </w:rPr>
      </w:pPr>
      <w:r>
        <w:rPr>
          <w:sz w:val="20"/>
        </w:rPr>
      </w:r>
      <w:r>
        <w:rPr>
          <w:sz w:val="20"/>
        </w:rPr>
        <w:pict w14:anchorId="2261C2EB">
          <v:group id="_x0000_s3846" style="width:499.55pt;height:317.55pt;mso-position-horizontal-relative:char;mso-position-vertical-relative:line" coordsize="9991,6351">
            <v:shape id="_x0000_s3849" style="position:absolute;left:7;top:7;width:9976;height:6336" coordorigin="8,8" coordsize="9976,6336" path="m9904,8l88,8,56,14,31,31,14,56,8,88r,6176l14,6295r17,25l56,6337r32,7l9904,6344r31,-7l9960,6320r17,-25l9984,6264r,-6176l9977,56,9960,31,9935,14,9904,8xe" fillcolor="#f5f5f5" stroked="f">
              <v:path arrowok="t"/>
            </v:shape>
            <v:shape id="_x0000_s3848" style="position:absolute;left:7;top:7;width:9976;height:6336" coordorigin="8,8" coordsize="9976,6336" path="m88,8r9816,l9935,14r25,17l9977,56r7,32l9984,6264r-7,31l9960,6320r-25,17l9904,6344r-9816,l56,6337,31,6320,14,6295,8,6264,8,88,14,56,31,31,56,14,88,8xe" filled="f" strokecolor="#ccc">
              <v:path arrowok="t"/>
            </v:shape>
            <v:shape id="_x0000_s3847" type="#_x0000_t202" style="position:absolute;left:26;top:22;width:9938;height:6306" filled="f" stroked="f">
              <v:textbox inset="0,0,0,0">
                <w:txbxContent>
                  <w:p w14:paraId="28E23CC2" w14:textId="77777777" w:rsidR="00711A16" w:rsidRDefault="00711A16">
                    <w:pPr>
                      <w:spacing w:before="221" w:line="252" w:lineRule="auto"/>
                      <w:ind w:left="200" w:right="421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.amqp.core.AmqpAdmin; import org.springframework.amqp.core.AmqpTemplate;</w:t>
                    </w:r>
                  </w:p>
                  <w:p w14:paraId="0A41B493" w14:textId="77777777" w:rsidR="00711A16" w:rsidRDefault="00711A16">
                    <w:pPr>
                      <w:spacing w:line="252" w:lineRule="auto"/>
                      <w:ind w:left="200" w:right="289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 import org.springframework.stereotype.Component;</w:t>
                    </w:r>
                  </w:p>
                  <w:p w14:paraId="15B91391" w14:textId="77777777" w:rsidR="00711A16" w:rsidRDefault="00711A16">
                    <w:pPr>
                      <w:spacing w:before="8"/>
                      <w:rPr>
                        <w:rFonts w:ascii="MS Gothic"/>
                      </w:rPr>
                    </w:pPr>
                  </w:p>
                  <w:p w14:paraId="783062EF" w14:textId="77777777" w:rsidR="00711A16" w:rsidRDefault="00711A16">
                    <w:pPr>
                      <w:ind w:left="200"/>
                      <w:rPr>
                        <w:rFonts w:ascii="MS Gothic"/>
                      </w:rPr>
                    </w:pPr>
                    <w:r>
                      <w:rPr>
                        <w:rFonts w:ascii="MS Gothic"/>
                        <w:color w:val="333333"/>
                      </w:rPr>
                      <w:t>@Component</w:t>
                    </w:r>
                  </w:p>
                  <w:p w14:paraId="7350730B" w14:textId="77777777" w:rsidR="00711A16" w:rsidRDefault="00711A16">
                    <w:pPr>
                      <w:spacing w:before="13"/>
                      <w:ind w:left="200"/>
                      <w:rPr>
                        <w:rFonts w:ascii="MS Gothic"/>
                      </w:rPr>
                    </w:pPr>
                    <w:r>
                      <w:rPr>
                        <w:rFonts w:ascii="MS Gothic"/>
                        <w:color w:val="333333"/>
                      </w:rPr>
                      <w:t>public class MyBean {</w:t>
                    </w:r>
                  </w:p>
                  <w:p w14:paraId="705A4F86" w14:textId="77777777" w:rsidR="00711A16" w:rsidRDefault="00711A16">
                    <w:pPr>
                      <w:rPr>
                        <w:rFonts w:ascii="MS Gothic"/>
                        <w:sz w:val="24"/>
                      </w:rPr>
                    </w:pPr>
                  </w:p>
                  <w:p w14:paraId="53A9C27C" w14:textId="77777777" w:rsidR="00711A16" w:rsidRDefault="00711A16">
                    <w:pPr>
                      <w:spacing w:line="252" w:lineRule="auto"/>
                      <w:ind w:left="640" w:right="4878"/>
                      <w:rPr>
                        <w:rFonts w:ascii="MS Gothic"/>
                      </w:rPr>
                    </w:pPr>
                    <w:r>
                      <w:rPr>
                        <w:rFonts w:ascii="MS Gothic"/>
                        <w:color w:val="333333"/>
                      </w:rPr>
                      <w:t>private final AmqpAdmin amqpAdmin; private final AmqpTemplate amqpTemplate;</w:t>
                    </w:r>
                  </w:p>
                  <w:p w14:paraId="32970429" w14:textId="77777777" w:rsidR="00711A16" w:rsidRDefault="00711A16">
                    <w:pPr>
                      <w:spacing w:before="11"/>
                      <w:rPr>
                        <w:rFonts w:ascii="MS Gothic"/>
                      </w:rPr>
                    </w:pPr>
                  </w:p>
                  <w:p w14:paraId="66876F0F" w14:textId="77777777" w:rsidR="00711A16" w:rsidRDefault="00711A16">
                    <w:pPr>
                      <w:ind w:left="640"/>
                      <w:rPr>
                        <w:rFonts w:ascii="MS Gothic"/>
                      </w:rPr>
                    </w:pPr>
                    <w:r>
                      <w:rPr>
                        <w:rFonts w:ascii="MS Gothic"/>
                        <w:color w:val="333333"/>
                      </w:rPr>
                      <w:t>@Autowired</w:t>
                    </w:r>
                  </w:p>
                  <w:p w14:paraId="74BC8E4E" w14:textId="77777777" w:rsidR="00711A16" w:rsidRDefault="00711A16">
                    <w:pPr>
                      <w:spacing w:before="13" w:line="252" w:lineRule="auto"/>
                      <w:ind w:left="1080" w:right="234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AmqpAdmin amqpAdmin, AmqpTemplate amqpTemplate) { this.amqpAdmin = amqpAdmin;</w:t>
                    </w:r>
                  </w:p>
                  <w:p w14:paraId="00AC29D8" w14:textId="77777777" w:rsidR="00711A16" w:rsidRDefault="00711A16">
                    <w:pPr>
                      <w:spacing w:line="280" w:lineRule="exact"/>
                      <w:ind w:left="1080"/>
                      <w:rPr>
                        <w:rFonts w:ascii="MS Gothic"/>
                      </w:rPr>
                    </w:pPr>
                    <w:proofErr w:type="gramStart"/>
                    <w:r>
                      <w:rPr>
                        <w:rFonts w:ascii="MS Gothic"/>
                        <w:color w:val="333333"/>
                      </w:rPr>
                      <w:t>this.amqpTemplate</w:t>
                    </w:r>
                    <w:proofErr w:type="gramEnd"/>
                    <w:r>
                      <w:rPr>
                        <w:rFonts w:ascii="MS Gothic"/>
                        <w:color w:val="333333"/>
                      </w:rPr>
                      <w:t xml:space="preserve"> = amqpTemplate;</w:t>
                    </w:r>
                  </w:p>
                  <w:p w14:paraId="67CDFF56" w14:textId="77777777" w:rsidR="00711A16" w:rsidRDefault="00711A16">
                    <w:pPr>
                      <w:spacing w:before="13"/>
                      <w:ind w:left="640"/>
                      <w:rPr>
                        <w:rFonts w:ascii="MS Gothic"/>
                      </w:rPr>
                    </w:pPr>
                    <w:r>
                      <w:rPr>
                        <w:rFonts w:ascii="MS Gothic"/>
                        <w:color w:val="333333"/>
                      </w:rPr>
                      <w:t>}</w:t>
                    </w:r>
                  </w:p>
                  <w:p w14:paraId="64C9651A" w14:textId="77777777" w:rsidR="00711A16" w:rsidRDefault="00711A16">
                    <w:pPr>
                      <w:rPr>
                        <w:rFonts w:ascii="MS Gothic"/>
                        <w:sz w:val="24"/>
                      </w:rPr>
                    </w:pPr>
                  </w:p>
                  <w:p w14:paraId="1D387A1A" w14:textId="77777777" w:rsidR="00711A16" w:rsidRDefault="00711A16">
                    <w:pPr>
                      <w:ind w:left="640"/>
                      <w:rPr>
                        <w:rFonts w:ascii="MS Gothic"/>
                      </w:rPr>
                    </w:pPr>
                    <w:r>
                      <w:rPr>
                        <w:rFonts w:ascii="MS Gothic"/>
                        <w:color w:val="333333"/>
                      </w:rPr>
                      <w:t>// ...</w:t>
                    </w:r>
                  </w:p>
                  <w:p w14:paraId="1AB10141" w14:textId="77777777" w:rsidR="00711A16" w:rsidRDefault="00711A16">
                    <w:pPr>
                      <w:rPr>
                        <w:rFonts w:ascii="MS Gothic"/>
                        <w:sz w:val="24"/>
                      </w:rPr>
                    </w:pPr>
                  </w:p>
                  <w:p w14:paraId="1389CADF" w14:textId="77777777" w:rsidR="00711A16" w:rsidRDefault="00711A16">
                    <w:pPr>
                      <w:ind w:left="200"/>
                      <w:rPr>
                        <w:rFonts w:ascii="MS Gothic"/>
                      </w:rPr>
                    </w:pPr>
                    <w:r>
                      <w:rPr>
                        <w:rFonts w:ascii="MS Gothic"/>
                        <w:color w:val="333333"/>
                      </w:rPr>
                      <w:t>}</w:t>
                    </w:r>
                  </w:p>
                </w:txbxContent>
              </v:textbox>
            </v:shape>
            <w10:anchorlock/>
          </v:group>
        </w:pict>
      </w:r>
    </w:p>
    <w:p w14:paraId="186741D2" w14:textId="77777777" w:rsidR="00A720EB" w:rsidRDefault="00A720EB">
      <w:pPr>
        <w:pStyle w:val="a3"/>
        <w:spacing w:before="4"/>
        <w:rPr>
          <w:sz w:val="16"/>
        </w:rPr>
      </w:pPr>
    </w:p>
    <w:p w14:paraId="4C54E5C3" w14:textId="77777777" w:rsidR="00A720EB" w:rsidRDefault="00E10349">
      <w:pPr>
        <w:pStyle w:val="a3"/>
        <w:spacing w:before="116"/>
        <w:ind w:left="1564"/>
        <w:rPr>
          <w:rFonts w:ascii="MS Gothic"/>
        </w:rPr>
      </w:pPr>
      <w:r>
        <w:pict w14:anchorId="1B7F866B">
          <v:line id="_x0000_s3845" style="position:absolute;left:0;text-align:left;z-index:16050176;mso-position-horizontal-relative:page" from="108.25pt,.35pt" to="108.25pt,39.9pt" strokecolor="#ededed" strokeweight=".5pt">
            <w10:wrap anchorx="page"/>
          </v:line>
        </w:pict>
      </w:r>
      <w:r w:rsidR="0030286B">
        <w:rPr>
          <w:noProof/>
        </w:rPr>
        <w:drawing>
          <wp:anchor distT="0" distB="0" distL="0" distR="0" simplePos="0" relativeHeight="16050688" behindDoc="0" locked="0" layoutInCell="1" allowOverlap="1" wp14:anchorId="06547092" wp14:editId="706F3F44">
            <wp:simplePos x="0" y="0"/>
            <wp:positionH relativeFrom="page">
              <wp:posOffset>844422</wp:posOffset>
            </wp:positionH>
            <wp:positionV relativeFrom="paragraph">
              <wp:posOffset>106248</wp:posOffset>
            </wp:positionV>
            <wp:extent cx="298450" cy="298450"/>
            <wp:effectExtent l="0" t="0" r="0" b="0"/>
            <wp:wrapNone/>
            <wp:docPr id="4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24" cstate="print"/>
                    <a:stretch>
                      <a:fillRect/>
                    </a:stretch>
                  </pic:blipFill>
                  <pic:spPr>
                    <a:xfrm>
                      <a:off x="0" y="0"/>
                      <a:ext cx="298450" cy="298450"/>
                    </a:xfrm>
                    <a:prstGeom prst="rect">
                      <a:avLst/>
                    </a:prstGeom>
                  </pic:spPr>
                </pic:pic>
              </a:graphicData>
            </a:graphic>
          </wp:anchor>
        </w:drawing>
      </w:r>
      <w:hyperlink r:id="rId287">
        <w:r w:rsidR="0030286B">
          <w:rPr>
            <w:rFonts w:ascii="MS Gothic"/>
            <w:color w:val="B02045"/>
            <w:w w:val="110"/>
          </w:rPr>
          <w:t>RabbitMessagingTemplate</w:t>
        </w:r>
        <w:r w:rsidR="0030286B">
          <w:rPr>
            <w:rFonts w:ascii="MS Gothic"/>
            <w:color w:val="B02045"/>
            <w:spacing w:val="-71"/>
            <w:w w:val="110"/>
          </w:rPr>
          <w:t xml:space="preserve"> </w:t>
        </w:r>
      </w:hyperlink>
      <w:r w:rsidR="0030286B">
        <w:rPr>
          <w:color w:val="333333"/>
          <w:w w:val="110"/>
        </w:rPr>
        <w:t xml:space="preserve">can be injected in a similar manner. If a </w:t>
      </w:r>
      <w:r w:rsidR="0030286B">
        <w:rPr>
          <w:rFonts w:ascii="MS Gothic"/>
          <w:color w:val="B02045"/>
          <w:w w:val="110"/>
        </w:rPr>
        <w:t>MessageConverter</w:t>
      </w:r>
    </w:p>
    <w:p w14:paraId="6FFF46D3" w14:textId="77777777" w:rsidR="00A720EB" w:rsidRDefault="0030286B">
      <w:pPr>
        <w:pStyle w:val="a3"/>
        <w:spacing w:before="46"/>
        <w:ind w:left="1564"/>
      </w:pPr>
      <w:r>
        <w:rPr>
          <w:color w:val="333333"/>
          <w:w w:val="110"/>
        </w:rPr>
        <w:t xml:space="preserve">bean is defined, it is associated automatically to the auto-configured </w:t>
      </w:r>
      <w:r>
        <w:rPr>
          <w:rFonts w:ascii="MS Gothic"/>
          <w:color w:val="B02045"/>
          <w:w w:val="110"/>
        </w:rPr>
        <w:t>AmqpTemplate</w:t>
      </w:r>
      <w:r>
        <w:rPr>
          <w:color w:val="333333"/>
          <w:w w:val="110"/>
        </w:rPr>
        <w:t>.</w:t>
      </w:r>
    </w:p>
    <w:p w14:paraId="2F4CF674" w14:textId="77777777" w:rsidR="00A720EB" w:rsidRDefault="00A720EB">
      <w:pPr>
        <w:pStyle w:val="a3"/>
        <w:spacing w:before="5"/>
      </w:pPr>
    </w:p>
    <w:p w14:paraId="369785E6" w14:textId="77777777" w:rsidR="00A720EB" w:rsidRDefault="0030286B">
      <w:pPr>
        <w:pStyle w:val="a3"/>
        <w:spacing w:before="115" w:line="290" w:lineRule="auto"/>
        <w:ind w:left="124"/>
      </w:pPr>
      <w:r>
        <w:rPr>
          <w:color w:val="333333"/>
          <w:w w:val="110"/>
        </w:rPr>
        <w:t xml:space="preserve">If necessary, any </w:t>
      </w:r>
      <w:proofErr w:type="gramStart"/>
      <w:r>
        <w:rPr>
          <w:rFonts w:ascii="MS Gothic"/>
          <w:color w:val="B02045"/>
          <w:w w:val="110"/>
        </w:rPr>
        <w:t>org.springframework</w:t>
      </w:r>
      <w:proofErr w:type="gramEnd"/>
      <w:r>
        <w:rPr>
          <w:rFonts w:ascii="MS Gothic"/>
          <w:color w:val="B02045"/>
          <w:w w:val="110"/>
        </w:rPr>
        <w:t xml:space="preserve">.amqp.core.Queue </w:t>
      </w:r>
      <w:r>
        <w:rPr>
          <w:color w:val="333333"/>
          <w:w w:val="110"/>
        </w:rPr>
        <w:t>that is defined as a bean is automatically used to declare a corresponding queue on the RabbitMQ instance.</w:t>
      </w:r>
    </w:p>
    <w:p w14:paraId="6DF8A683" w14:textId="77777777" w:rsidR="00A720EB" w:rsidRDefault="0030286B">
      <w:pPr>
        <w:pStyle w:val="a3"/>
        <w:spacing w:before="248" w:line="290" w:lineRule="auto"/>
        <w:ind w:left="124"/>
      </w:pPr>
      <w:r>
        <w:rPr>
          <w:color w:val="333333"/>
          <w:w w:val="110"/>
        </w:rPr>
        <w:t xml:space="preserve">To retry operations, you can enable retries on the </w:t>
      </w:r>
      <w:r>
        <w:rPr>
          <w:rFonts w:ascii="MS Gothic"/>
          <w:color w:val="B02045"/>
          <w:w w:val="110"/>
        </w:rPr>
        <w:t xml:space="preserve">AmqpTemplate </w:t>
      </w:r>
      <w:r>
        <w:rPr>
          <w:color w:val="333333"/>
          <w:w w:val="110"/>
        </w:rPr>
        <w:t>(for example, in the event that the broker connection is lost):</w:t>
      </w:r>
    </w:p>
    <w:p w14:paraId="7718E73F" w14:textId="77777777" w:rsidR="00A720EB" w:rsidRDefault="00E10349">
      <w:pPr>
        <w:pStyle w:val="a3"/>
        <w:spacing w:before="7"/>
        <w:rPr>
          <w:sz w:val="14"/>
        </w:rPr>
      </w:pPr>
      <w:r>
        <w:pict w14:anchorId="76DB16AD">
          <v:group id="_x0000_s3841" style="position:absolute;margin-left:47.85pt;margin-top:10.55pt;width:499.55pt;height:52.25pt;z-index:-15407616;mso-wrap-distance-left:0;mso-wrap-distance-right:0;mso-position-horizontal-relative:page" coordorigin="957,211" coordsize="9991,1045">
            <v:shape id="_x0000_s3844" style="position:absolute;left:964;top:218;width:9976;height:1030" coordorigin="965,219" coordsize="9976,1030" path="m10861,219r-9816,l1014,225r-26,17l971,268r-6,31l965,1169r6,31l988,1225r26,17l1045,1249r9816,l10892,1242r25,-17l10935,1200r6,-31l10941,299r-6,-31l10917,242r-25,-17l10861,219xe" fillcolor="#f5f5f5" stroked="f">
              <v:path arrowok="t"/>
            </v:shape>
            <v:shape id="_x0000_s3843" style="position:absolute;left:964;top:218;width:9976;height:1030" coordorigin="965,219" coordsize="9976,1030" path="m1045,219r9816,l10892,225r25,17l10935,268r6,31l10941,1169r-6,31l10917,1225r-25,17l10861,1249r-9816,l1014,1242r-26,-17l971,1200r-6,-31l965,299r6,-31l988,242r26,-17l1045,219xe" filled="f" strokecolor="#ccc">
              <v:path arrowok="t"/>
            </v:shape>
            <v:shape id="_x0000_s3842" type="#_x0000_t202" style="position:absolute;left:984;top:234;width:9938;height:999" filled="f" stroked="f">
              <v:textbox inset="0,0,0,0">
                <w:txbxContent>
                  <w:p w14:paraId="1A838EA3" w14:textId="77777777" w:rsidR="00711A16" w:rsidRDefault="00711A16">
                    <w:pPr>
                      <w:spacing w:before="221" w:line="252" w:lineRule="auto"/>
                      <w:ind w:left="200" w:right="4234"/>
                      <w:rPr>
                        <w:rFonts w:ascii="MS Gothic"/>
                      </w:rPr>
                    </w:pPr>
                    <w:proofErr w:type="gramStart"/>
                    <w:r>
                      <w:rPr>
                        <w:rFonts w:ascii="MS Gothic"/>
                        <w:color w:val="333333"/>
                      </w:rPr>
                      <w:t>spring.rabbitmq</w:t>
                    </w:r>
                    <w:proofErr w:type="gramEnd"/>
                    <w:r>
                      <w:rPr>
                        <w:rFonts w:ascii="MS Gothic"/>
                        <w:color w:val="333333"/>
                      </w:rPr>
                      <w:t>.template.retry.enabled=true spring.rabbitmq.template.retry.initial-interval=2s</w:t>
                    </w:r>
                  </w:p>
                </w:txbxContent>
              </v:textbox>
            </v:shape>
            <w10:wrap type="topAndBottom" anchorx="page"/>
          </v:group>
        </w:pict>
      </w:r>
    </w:p>
    <w:p w14:paraId="116C5F3D" w14:textId="77777777" w:rsidR="00A720EB" w:rsidRDefault="00A720EB">
      <w:pPr>
        <w:pStyle w:val="a3"/>
        <w:spacing w:before="11"/>
        <w:rPr>
          <w:sz w:val="9"/>
        </w:rPr>
      </w:pPr>
    </w:p>
    <w:p w14:paraId="058E6AAD" w14:textId="77777777" w:rsidR="00A720EB" w:rsidRDefault="0030286B">
      <w:pPr>
        <w:pStyle w:val="a3"/>
        <w:spacing w:before="115" w:line="280" w:lineRule="auto"/>
        <w:ind w:left="124" w:right="126"/>
        <w:jc w:val="both"/>
      </w:pPr>
      <w:r>
        <w:rPr>
          <w:color w:val="333333"/>
          <w:w w:val="110"/>
        </w:rPr>
        <w:t xml:space="preserve">Retries are disabled </w:t>
      </w:r>
      <w:r>
        <w:rPr>
          <w:color w:val="333333"/>
          <w:spacing w:val="-3"/>
          <w:w w:val="110"/>
        </w:rPr>
        <w:t xml:space="preserve">by </w:t>
      </w:r>
      <w:r>
        <w:rPr>
          <w:color w:val="333333"/>
          <w:w w:val="110"/>
        </w:rPr>
        <w:t xml:space="preserve">default. </w:t>
      </w:r>
      <w:r>
        <w:rPr>
          <w:color w:val="333333"/>
          <w:spacing w:val="-6"/>
          <w:w w:val="110"/>
        </w:rPr>
        <w:t xml:space="preserve">You </w:t>
      </w:r>
      <w:r>
        <w:rPr>
          <w:color w:val="333333"/>
          <w:w w:val="110"/>
        </w:rPr>
        <w:t xml:space="preserve">can also customize the </w:t>
      </w:r>
      <w:r>
        <w:rPr>
          <w:rFonts w:ascii="MS Gothic"/>
          <w:color w:val="B02045"/>
          <w:w w:val="110"/>
        </w:rPr>
        <w:t xml:space="preserve">RetryTemplate </w:t>
      </w:r>
      <w:r>
        <w:rPr>
          <w:color w:val="333333"/>
          <w:w w:val="110"/>
        </w:rPr>
        <w:t xml:space="preserve">programmatically </w:t>
      </w:r>
      <w:r>
        <w:rPr>
          <w:color w:val="333333"/>
          <w:spacing w:val="-3"/>
          <w:w w:val="110"/>
        </w:rPr>
        <w:t xml:space="preserve">by </w:t>
      </w:r>
      <w:r>
        <w:rPr>
          <w:color w:val="333333"/>
          <w:w w:val="110"/>
        </w:rPr>
        <w:t xml:space="preserve">declaring a </w:t>
      </w:r>
      <w:r>
        <w:rPr>
          <w:rFonts w:ascii="MS Gothic"/>
          <w:color w:val="B02045"/>
          <w:w w:val="110"/>
        </w:rPr>
        <w:t>RabbitRetryTemplateCustomizer</w:t>
      </w:r>
      <w:r>
        <w:rPr>
          <w:rFonts w:ascii="MS Gothic"/>
          <w:color w:val="B02045"/>
          <w:spacing w:val="-63"/>
          <w:w w:val="110"/>
        </w:rPr>
        <w:t xml:space="preserve"> </w:t>
      </w:r>
      <w:r>
        <w:rPr>
          <w:color w:val="333333"/>
          <w:w w:val="110"/>
        </w:rPr>
        <w:t>bean.</w:t>
      </w:r>
    </w:p>
    <w:p w14:paraId="439F1536" w14:textId="77777777" w:rsidR="00A720EB" w:rsidRDefault="0030286B">
      <w:pPr>
        <w:pStyle w:val="a3"/>
        <w:spacing w:before="242" w:line="285" w:lineRule="auto"/>
        <w:ind w:left="124" w:right="122"/>
        <w:jc w:val="both"/>
      </w:pPr>
      <w:r>
        <w:rPr>
          <w:color w:val="333333"/>
          <w:w w:val="110"/>
        </w:rPr>
        <w:t xml:space="preserve">If you need to create more </w:t>
      </w:r>
      <w:r>
        <w:rPr>
          <w:rFonts w:ascii="MS Gothic"/>
          <w:color w:val="B02045"/>
          <w:w w:val="110"/>
        </w:rPr>
        <w:t xml:space="preserve">RabbitTemplate </w:t>
      </w:r>
      <w:r>
        <w:rPr>
          <w:color w:val="333333"/>
          <w:w w:val="110"/>
        </w:rPr>
        <w:t>instances or if you want to override the default, Spring Boot</w:t>
      </w:r>
      <w:r>
        <w:rPr>
          <w:color w:val="333333"/>
          <w:spacing w:val="-7"/>
          <w:w w:val="110"/>
        </w:rPr>
        <w:t xml:space="preserve"> </w:t>
      </w:r>
      <w:r>
        <w:rPr>
          <w:color w:val="333333"/>
          <w:w w:val="110"/>
        </w:rPr>
        <w:t>provides</w:t>
      </w:r>
      <w:r>
        <w:rPr>
          <w:color w:val="333333"/>
          <w:spacing w:val="-7"/>
          <w:w w:val="110"/>
        </w:rPr>
        <w:t xml:space="preserve"> </w:t>
      </w:r>
      <w:r>
        <w:rPr>
          <w:color w:val="333333"/>
          <w:w w:val="110"/>
        </w:rPr>
        <w:t>a</w:t>
      </w:r>
      <w:r>
        <w:rPr>
          <w:color w:val="333333"/>
          <w:spacing w:val="-5"/>
          <w:w w:val="110"/>
        </w:rPr>
        <w:t xml:space="preserve"> </w:t>
      </w:r>
      <w:r>
        <w:rPr>
          <w:rFonts w:ascii="MS Gothic"/>
          <w:color w:val="B02045"/>
          <w:w w:val="110"/>
        </w:rPr>
        <w:t>RabbitTemplateConfigurer</w:t>
      </w:r>
      <w:r>
        <w:rPr>
          <w:rFonts w:ascii="MS Gothic"/>
          <w:color w:val="B02045"/>
          <w:spacing w:val="-72"/>
          <w:w w:val="110"/>
        </w:rPr>
        <w:t xml:space="preserve"> </w:t>
      </w:r>
      <w:r>
        <w:rPr>
          <w:color w:val="333333"/>
          <w:w w:val="110"/>
        </w:rPr>
        <w:t>bean</w:t>
      </w:r>
      <w:r>
        <w:rPr>
          <w:color w:val="333333"/>
          <w:spacing w:val="-7"/>
          <w:w w:val="110"/>
        </w:rPr>
        <w:t xml:space="preserve"> </w:t>
      </w:r>
      <w:r>
        <w:rPr>
          <w:color w:val="333333"/>
          <w:w w:val="110"/>
        </w:rPr>
        <w:t>that</w:t>
      </w:r>
      <w:r>
        <w:rPr>
          <w:color w:val="333333"/>
          <w:spacing w:val="-6"/>
          <w:w w:val="110"/>
        </w:rPr>
        <w:t xml:space="preserve"> </w:t>
      </w:r>
      <w:r>
        <w:rPr>
          <w:color w:val="333333"/>
          <w:w w:val="110"/>
        </w:rPr>
        <w:t>you</w:t>
      </w:r>
      <w:r>
        <w:rPr>
          <w:color w:val="333333"/>
          <w:spacing w:val="-7"/>
          <w:w w:val="110"/>
        </w:rPr>
        <w:t xml:space="preserve"> </w:t>
      </w:r>
      <w:r>
        <w:rPr>
          <w:color w:val="333333"/>
          <w:w w:val="110"/>
        </w:rPr>
        <w:t>can</w:t>
      </w:r>
      <w:r>
        <w:rPr>
          <w:color w:val="333333"/>
          <w:spacing w:val="-7"/>
          <w:w w:val="110"/>
        </w:rPr>
        <w:t xml:space="preserve"> </w:t>
      </w:r>
      <w:r>
        <w:rPr>
          <w:color w:val="333333"/>
          <w:w w:val="110"/>
        </w:rPr>
        <w:t>use</w:t>
      </w:r>
      <w:r>
        <w:rPr>
          <w:color w:val="333333"/>
          <w:spacing w:val="-7"/>
          <w:w w:val="110"/>
        </w:rPr>
        <w:t xml:space="preserve"> </w:t>
      </w:r>
      <w:r>
        <w:rPr>
          <w:color w:val="333333"/>
          <w:w w:val="110"/>
        </w:rPr>
        <w:t>to</w:t>
      </w:r>
      <w:r>
        <w:rPr>
          <w:color w:val="333333"/>
          <w:spacing w:val="-6"/>
          <w:w w:val="110"/>
        </w:rPr>
        <w:t xml:space="preserve"> </w:t>
      </w:r>
      <w:r>
        <w:rPr>
          <w:color w:val="333333"/>
          <w:w w:val="110"/>
        </w:rPr>
        <w:t>initialize</w:t>
      </w:r>
      <w:r>
        <w:rPr>
          <w:color w:val="333333"/>
          <w:spacing w:val="-7"/>
          <w:w w:val="110"/>
        </w:rPr>
        <w:t xml:space="preserve"> </w:t>
      </w:r>
      <w:r>
        <w:rPr>
          <w:color w:val="333333"/>
          <w:w w:val="110"/>
        </w:rPr>
        <w:t>a</w:t>
      </w:r>
      <w:r>
        <w:rPr>
          <w:color w:val="333333"/>
          <w:spacing w:val="-4"/>
          <w:w w:val="110"/>
        </w:rPr>
        <w:t xml:space="preserve"> </w:t>
      </w:r>
      <w:r>
        <w:rPr>
          <w:rFonts w:ascii="MS Gothic"/>
          <w:color w:val="B02045"/>
          <w:w w:val="110"/>
        </w:rPr>
        <w:t>RabbitTemplate</w:t>
      </w:r>
      <w:r>
        <w:rPr>
          <w:rFonts w:ascii="MS Gothic"/>
          <w:color w:val="B02045"/>
          <w:spacing w:val="-71"/>
          <w:w w:val="110"/>
        </w:rPr>
        <w:t xml:space="preserve"> </w:t>
      </w:r>
      <w:r>
        <w:rPr>
          <w:color w:val="333333"/>
          <w:w w:val="110"/>
        </w:rPr>
        <w:t xml:space="preserve">with the same settings as the factories used </w:t>
      </w:r>
      <w:r>
        <w:rPr>
          <w:color w:val="333333"/>
          <w:spacing w:val="-3"/>
          <w:w w:val="110"/>
        </w:rPr>
        <w:t xml:space="preserve">by </w:t>
      </w:r>
      <w:r>
        <w:rPr>
          <w:color w:val="333333"/>
          <w:w w:val="110"/>
        </w:rPr>
        <w:t>the</w:t>
      </w:r>
      <w:r>
        <w:rPr>
          <w:color w:val="333333"/>
          <w:spacing w:val="30"/>
          <w:w w:val="110"/>
        </w:rPr>
        <w:t xml:space="preserve"> </w:t>
      </w:r>
      <w:r>
        <w:rPr>
          <w:color w:val="333333"/>
          <w:w w:val="110"/>
        </w:rPr>
        <w:t>auto-configuration.</w:t>
      </w:r>
    </w:p>
    <w:p w14:paraId="48FD9275" w14:textId="77777777" w:rsidR="00A720EB" w:rsidRDefault="00A720EB">
      <w:pPr>
        <w:pStyle w:val="a3"/>
        <w:spacing w:before="7"/>
        <w:rPr>
          <w:sz w:val="27"/>
        </w:rPr>
      </w:pPr>
    </w:p>
    <w:p w14:paraId="42E8642D" w14:textId="77777777" w:rsidR="00A720EB" w:rsidRDefault="0030286B">
      <w:pPr>
        <w:pStyle w:val="4"/>
        <w:spacing w:before="1"/>
      </w:pPr>
      <w:r>
        <w:rPr>
          <w:color w:val="333333"/>
          <w:w w:val="110"/>
        </w:rPr>
        <w:t>Receiving a Message</w:t>
      </w:r>
    </w:p>
    <w:p w14:paraId="6857EBBC" w14:textId="77777777" w:rsidR="00A720EB" w:rsidRDefault="0030286B">
      <w:pPr>
        <w:pStyle w:val="a3"/>
        <w:spacing w:before="243" w:line="280" w:lineRule="auto"/>
        <w:ind w:left="124" w:right="122"/>
        <w:jc w:val="both"/>
      </w:pPr>
      <w:r>
        <w:rPr>
          <w:color w:val="333333"/>
          <w:w w:val="110"/>
        </w:rPr>
        <w:t xml:space="preserve">When the Rabbit infrastructure is present, any bean can be annotated with </w:t>
      </w:r>
      <w:r>
        <w:rPr>
          <w:rFonts w:ascii="MS Gothic"/>
          <w:color w:val="B02045"/>
          <w:w w:val="110"/>
        </w:rPr>
        <w:t xml:space="preserve">@RabbitListener </w:t>
      </w:r>
      <w:r>
        <w:rPr>
          <w:color w:val="333333"/>
          <w:w w:val="110"/>
        </w:rPr>
        <w:t xml:space="preserve">to create a listener endpoint. If no </w:t>
      </w:r>
      <w:r>
        <w:rPr>
          <w:rFonts w:ascii="MS Gothic"/>
          <w:color w:val="B02045"/>
          <w:w w:val="110"/>
        </w:rPr>
        <w:t xml:space="preserve">RabbitListenerContainerFactory </w:t>
      </w:r>
      <w:r>
        <w:rPr>
          <w:color w:val="333333"/>
          <w:w w:val="110"/>
        </w:rPr>
        <w:t xml:space="preserve">has been defined, a default </w:t>
      </w:r>
      <w:r>
        <w:rPr>
          <w:rFonts w:ascii="MS Gothic"/>
          <w:color w:val="B02045"/>
          <w:w w:val="110"/>
        </w:rPr>
        <w:t xml:space="preserve">SimpleRabbitListenerContainerFactory </w:t>
      </w:r>
      <w:r>
        <w:rPr>
          <w:color w:val="333333"/>
          <w:w w:val="110"/>
        </w:rPr>
        <w:t xml:space="preserve">is automatically configured and you can switch to a direct container using the </w:t>
      </w:r>
      <w:proofErr w:type="gramStart"/>
      <w:r>
        <w:rPr>
          <w:rFonts w:ascii="MS Gothic"/>
          <w:color w:val="B02045"/>
          <w:w w:val="110"/>
        </w:rPr>
        <w:t>spring.rabbitmq</w:t>
      </w:r>
      <w:proofErr w:type="gramEnd"/>
      <w:r>
        <w:rPr>
          <w:rFonts w:ascii="MS Gothic"/>
          <w:color w:val="B02045"/>
          <w:w w:val="110"/>
        </w:rPr>
        <w:t xml:space="preserve">.listener.type </w:t>
      </w:r>
      <w:r>
        <w:rPr>
          <w:color w:val="333333"/>
          <w:spacing w:val="-3"/>
          <w:w w:val="110"/>
        </w:rPr>
        <w:t xml:space="preserve">property. </w:t>
      </w:r>
      <w:r>
        <w:rPr>
          <w:color w:val="333333"/>
          <w:w w:val="110"/>
        </w:rPr>
        <w:t xml:space="preserve">If a </w:t>
      </w:r>
      <w:r>
        <w:rPr>
          <w:rFonts w:ascii="MS Gothic"/>
          <w:color w:val="B02045"/>
          <w:w w:val="110"/>
        </w:rPr>
        <w:t xml:space="preserve">MessageConverter </w:t>
      </w:r>
      <w:r>
        <w:rPr>
          <w:color w:val="333333"/>
          <w:w w:val="110"/>
        </w:rPr>
        <w:t xml:space="preserve">or a </w:t>
      </w:r>
      <w:r>
        <w:rPr>
          <w:rFonts w:ascii="MS Gothic"/>
          <w:color w:val="B02045"/>
          <w:w w:val="110"/>
        </w:rPr>
        <w:t>MessageRecoverer</w:t>
      </w:r>
      <w:r>
        <w:rPr>
          <w:rFonts w:ascii="MS Gothic"/>
          <w:color w:val="B02045"/>
          <w:spacing w:val="-67"/>
          <w:w w:val="110"/>
        </w:rPr>
        <w:t xml:space="preserve"> </w:t>
      </w:r>
      <w:r>
        <w:rPr>
          <w:color w:val="333333"/>
          <w:w w:val="110"/>
        </w:rPr>
        <w:t xml:space="preserve">bean is defined, it is automatically associated with the default </w:t>
      </w:r>
      <w:r>
        <w:rPr>
          <w:color w:val="333333"/>
          <w:spacing w:val="-4"/>
          <w:w w:val="110"/>
        </w:rPr>
        <w:t>factory.</w:t>
      </w:r>
    </w:p>
    <w:p w14:paraId="0FFB7FE3" w14:textId="77777777" w:rsidR="00A720EB" w:rsidRDefault="00A720EB">
      <w:pPr>
        <w:spacing w:line="280" w:lineRule="auto"/>
        <w:jc w:val="both"/>
        <w:sectPr w:rsidR="00A720EB">
          <w:pgSz w:w="11910" w:h="16840"/>
          <w:pgMar w:top="700" w:right="840" w:bottom="520" w:left="840" w:header="0" w:footer="323" w:gutter="0"/>
          <w:cols w:space="720"/>
        </w:sectPr>
      </w:pPr>
    </w:p>
    <w:p w14:paraId="3E65F338" w14:textId="77777777" w:rsidR="00A720EB" w:rsidRDefault="0030286B">
      <w:pPr>
        <w:pStyle w:val="a3"/>
        <w:spacing w:before="96"/>
        <w:ind w:left="124"/>
      </w:pPr>
      <w:r>
        <w:rPr>
          <w:color w:val="333333"/>
          <w:w w:val="110"/>
        </w:rPr>
        <w:lastRenderedPageBreak/>
        <w:t xml:space="preserve">The following sample component creates a listener endpoint on the </w:t>
      </w:r>
      <w:r>
        <w:rPr>
          <w:rFonts w:ascii="MS Gothic"/>
          <w:color w:val="B02045"/>
          <w:w w:val="110"/>
        </w:rPr>
        <w:t xml:space="preserve">someQueue </w:t>
      </w:r>
      <w:r>
        <w:rPr>
          <w:color w:val="333333"/>
          <w:w w:val="110"/>
        </w:rPr>
        <w:t>queue:</w:t>
      </w:r>
    </w:p>
    <w:p w14:paraId="68307752" w14:textId="77777777" w:rsidR="00A720EB" w:rsidRDefault="00E10349">
      <w:pPr>
        <w:pStyle w:val="a3"/>
        <w:spacing w:before="11"/>
        <w:rPr>
          <w:sz w:val="17"/>
        </w:rPr>
      </w:pPr>
      <w:r>
        <w:pict w14:anchorId="4E01D82B">
          <v:group id="_x0000_s3837" style="position:absolute;margin-left:47.85pt;margin-top:12.5pt;width:499.55pt;height:155.45pt;z-index:-15406080;mso-wrap-distance-left:0;mso-wrap-distance-right:0;mso-position-horizontal-relative:page" coordorigin="957,250" coordsize="9991,3109">
            <v:shape id="_x0000_s3840" style="position:absolute;left:964;top:257;width:9976;height:3094" coordorigin="965,258" coordsize="9976,3094" path="m10861,258r-9816,l1014,264r-26,17l971,307r-6,31l965,3271r6,31l988,3328r26,17l1045,3351r9816,l10892,3345r25,-17l10935,3302r6,-31l10941,338r-6,-31l10917,281r-25,-17l10861,258xe" fillcolor="#f5f5f5" stroked="f">
              <v:path arrowok="t"/>
            </v:shape>
            <v:shape id="_x0000_s3839" style="position:absolute;left:964;top:257;width:9976;height:3094" coordorigin="965,258" coordsize="9976,3094" path="m1045,258r9816,l10892,264r25,17l10935,307r6,31l10941,3271r-6,31l10917,3328r-25,17l10861,3351r-9816,l1014,3345r-26,-17l971,3302r-6,-31l965,338r6,-31l988,281r26,-17l1045,258xe" filled="f" strokecolor="#ccc">
              <v:path arrowok="t"/>
            </v:shape>
            <v:shape id="_x0000_s3838" type="#_x0000_t202" style="position:absolute;left:984;top:273;width:9938;height:3063" filled="f" stroked="f">
              <v:textbox inset="0,0,0,0">
                <w:txbxContent>
                  <w:p w14:paraId="5F1CA39B" w14:textId="77777777" w:rsidR="00711A16" w:rsidRDefault="00711A16">
                    <w:pPr>
                      <w:spacing w:before="221"/>
                      <w:ind w:left="200"/>
                      <w:rPr>
                        <w:rFonts w:ascii="MS Gothic"/>
                      </w:rPr>
                    </w:pPr>
                    <w:r>
                      <w:rPr>
                        <w:rFonts w:ascii="MS Gothic"/>
                        <w:color w:val="333333"/>
                      </w:rPr>
                      <w:t>@Component</w:t>
                    </w:r>
                  </w:p>
                  <w:p w14:paraId="68BD6752" w14:textId="77777777" w:rsidR="00711A16" w:rsidRDefault="00711A16">
                    <w:pPr>
                      <w:spacing w:before="13"/>
                      <w:ind w:left="200"/>
                      <w:rPr>
                        <w:rFonts w:ascii="MS Gothic"/>
                      </w:rPr>
                    </w:pPr>
                    <w:r>
                      <w:rPr>
                        <w:rFonts w:ascii="MS Gothic"/>
                        <w:color w:val="333333"/>
                      </w:rPr>
                      <w:t>public class MyBean {</w:t>
                    </w:r>
                  </w:p>
                  <w:p w14:paraId="453191DA" w14:textId="77777777" w:rsidR="00711A16" w:rsidRDefault="00711A16">
                    <w:pPr>
                      <w:rPr>
                        <w:rFonts w:ascii="MS Gothic"/>
                        <w:sz w:val="24"/>
                      </w:rPr>
                    </w:pPr>
                  </w:p>
                  <w:p w14:paraId="19B5229A" w14:textId="77777777" w:rsidR="00711A16" w:rsidRDefault="00711A16">
                    <w:pPr>
                      <w:ind w:left="640"/>
                      <w:rPr>
                        <w:rFonts w:ascii="MS Gothic"/>
                      </w:rPr>
                    </w:pPr>
                    <w:r>
                      <w:rPr>
                        <w:rFonts w:ascii="MS Gothic"/>
                        <w:color w:val="333333"/>
                      </w:rPr>
                      <w:t>@</w:t>
                    </w:r>
                    <w:proofErr w:type="gramStart"/>
                    <w:r>
                      <w:rPr>
                        <w:rFonts w:ascii="MS Gothic"/>
                        <w:color w:val="333333"/>
                      </w:rPr>
                      <w:t>RabbitListener(</w:t>
                    </w:r>
                    <w:proofErr w:type="gramEnd"/>
                    <w:r>
                      <w:rPr>
                        <w:rFonts w:ascii="MS Gothic"/>
                        <w:color w:val="333333"/>
                      </w:rPr>
                      <w:t>queues = "someQueue")</w:t>
                    </w:r>
                  </w:p>
                  <w:p w14:paraId="54FD2F95" w14:textId="77777777" w:rsidR="00711A16" w:rsidRDefault="00711A16">
                    <w:pPr>
                      <w:spacing w:before="13"/>
                      <w:ind w:left="640"/>
                      <w:rPr>
                        <w:rFonts w:ascii="MS Gothic"/>
                      </w:rPr>
                    </w:pPr>
                    <w:r>
                      <w:rPr>
                        <w:rFonts w:ascii="MS Gothic"/>
                        <w:color w:val="333333"/>
                      </w:rPr>
                      <w:t xml:space="preserve">public void </w:t>
                    </w:r>
                    <w:proofErr w:type="gramStart"/>
                    <w:r>
                      <w:rPr>
                        <w:rFonts w:ascii="MS Gothic"/>
                        <w:color w:val="333333"/>
                      </w:rPr>
                      <w:t>processMessage(</w:t>
                    </w:r>
                    <w:proofErr w:type="gramEnd"/>
                    <w:r>
                      <w:rPr>
                        <w:rFonts w:ascii="MS Gothic"/>
                        <w:color w:val="333333"/>
                      </w:rPr>
                      <w:t>String content) {</w:t>
                    </w:r>
                  </w:p>
                  <w:p w14:paraId="10174578" w14:textId="77777777" w:rsidR="00711A16" w:rsidRDefault="00711A16">
                    <w:pPr>
                      <w:spacing w:before="13"/>
                      <w:ind w:left="1080"/>
                      <w:rPr>
                        <w:rFonts w:ascii="MS Gothic"/>
                      </w:rPr>
                    </w:pPr>
                    <w:r>
                      <w:rPr>
                        <w:rFonts w:ascii="MS Gothic"/>
                        <w:color w:val="333333"/>
                      </w:rPr>
                      <w:t>// ...</w:t>
                    </w:r>
                  </w:p>
                  <w:p w14:paraId="67D0B401" w14:textId="77777777" w:rsidR="00711A16" w:rsidRDefault="00711A16">
                    <w:pPr>
                      <w:spacing w:before="13"/>
                      <w:ind w:left="640"/>
                      <w:rPr>
                        <w:rFonts w:ascii="MS Gothic"/>
                      </w:rPr>
                    </w:pPr>
                    <w:r>
                      <w:rPr>
                        <w:rFonts w:ascii="MS Gothic"/>
                        <w:color w:val="333333"/>
                      </w:rPr>
                      <w:t>}</w:t>
                    </w:r>
                  </w:p>
                  <w:p w14:paraId="4C967908" w14:textId="77777777" w:rsidR="00711A16" w:rsidRDefault="00711A16">
                    <w:pPr>
                      <w:rPr>
                        <w:rFonts w:ascii="MS Gothic"/>
                        <w:sz w:val="24"/>
                      </w:rPr>
                    </w:pPr>
                  </w:p>
                  <w:p w14:paraId="43AE0C9C" w14:textId="77777777" w:rsidR="00711A16" w:rsidRDefault="00711A16">
                    <w:pPr>
                      <w:ind w:left="200"/>
                      <w:rPr>
                        <w:rFonts w:ascii="MS Gothic"/>
                      </w:rPr>
                    </w:pPr>
                    <w:r>
                      <w:rPr>
                        <w:rFonts w:ascii="MS Gothic"/>
                        <w:color w:val="333333"/>
                      </w:rPr>
                      <w:t>}</w:t>
                    </w:r>
                  </w:p>
                </w:txbxContent>
              </v:textbox>
            </v:shape>
            <w10:wrap type="topAndBottom" anchorx="page"/>
          </v:group>
        </w:pict>
      </w:r>
    </w:p>
    <w:p w14:paraId="265E65AC" w14:textId="77777777" w:rsidR="00A720EB" w:rsidRDefault="00A720EB">
      <w:pPr>
        <w:pStyle w:val="a3"/>
        <w:spacing w:before="8"/>
        <w:rPr>
          <w:sz w:val="16"/>
        </w:rPr>
      </w:pPr>
    </w:p>
    <w:p w14:paraId="0E6F4C02" w14:textId="77777777" w:rsidR="00A720EB" w:rsidRDefault="00E10349">
      <w:pPr>
        <w:spacing w:before="3"/>
        <w:ind w:left="561"/>
        <w:rPr>
          <w:sz w:val="21"/>
        </w:rPr>
      </w:pPr>
      <w:r>
        <w:pict w14:anchorId="37CEC40F">
          <v:line id="_x0000_s3836" style="position:absolute;left:0;text-align:left;z-index:-41482240;mso-position-horizontal-relative:page" from="108.25pt,.35pt" to="108.25pt,24.1pt" strokecolor="#ededed" strokeweight=".5pt">
            <w10:wrap anchorx="page"/>
          </v:line>
        </w:pict>
      </w:r>
      <w:r w:rsidR="0030286B">
        <w:rPr>
          <w:noProof/>
          <w:position w:val="-15"/>
        </w:rPr>
        <w:drawing>
          <wp:inline distT="0" distB="0" distL="0" distR="0" wp14:anchorId="12445682" wp14:editId="62B771A5">
            <wp:extent cx="209550" cy="304800"/>
            <wp:effectExtent l="0" t="0" r="0" b="0"/>
            <wp:docPr id="40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1.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sz w:val="21"/>
        </w:rPr>
        <w:t xml:space="preserve">See </w:t>
      </w:r>
      <w:hyperlink r:id="rId288">
        <w:r w:rsidR="0030286B">
          <w:rPr>
            <w:color w:val="418BCA"/>
            <w:w w:val="110"/>
            <w:sz w:val="21"/>
          </w:rPr>
          <w:t xml:space="preserve">the Javadoc of </w:t>
        </w:r>
      </w:hyperlink>
      <w:hyperlink r:id="rId289">
        <w:r w:rsidR="0030286B">
          <w:rPr>
            <w:rFonts w:ascii="MS Gothic"/>
            <w:color w:val="B02045"/>
            <w:w w:val="110"/>
            <w:sz w:val="21"/>
          </w:rPr>
          <w:t>@EnableRabbit</w:t>
        </w:r>
        <w:r w:rsidR="0030286B">
          <w:rPr>
            <w:rFonts w:ascii="MS Gothic"/>
            <w:color w:val="B02045"/>
            <w:spacing w:val="-53"/>
            <w:w w:val="110"/>
            <w:sz w:val="21"/>
          </w:rPr>
          <w:t xml:space="preserve"> </w:t>
        </w:r>
      </w:hyperlink>
      <w:r w:rsidR="0030286B">
        <w:rPr>
          <w:color w:val="333333"/>
          <w:w w:val="110"/>
          <w:sz w:val="21"/>
        </w:rPr>
        <w:t>for more details.</w:t>
      </w:r>
    </w:p>
    <w:p w14:paraId="5EC39801" w14:textId="77777777" w:rsidR="00A720EB" w:rsidRDefault="0030286B">
      <w:pPr>
        <w:pStyle w:val="a3"/>
        <w:spacing w:before="269" w:line="283" w:lineRule="auto"/>
        <w:ind w:left="124" w:right="123"/>
        <w:jc w:val="both"/>
      </w:pPr>
      <w:r>
        <w:rPr>
          <w:color w:val="333333"/>
          <w:w w:val="110"/>
        </w:rPr>
        <w:t>If</w:t>
      </w:r>
      <w:r>
        <w:rPr>
          <w:color w:val="333333"/>
          <w:spacing w:val="-6"/>
          <w:w w:val="110"/>
        </w:rPr>
        <w:t xml:space="preserve"> </w:t>
      </w:r>
      <w:r>
        <w:rPr>
          <w:color w:val="333333"/>
          <w:w w:val="110"/>
        </w:rPr>
        <w:t>you</w:t>
      </w:r>
      <w:r>
        <w:rPr>
          <w:color w:val="333333"/>
          <w:spacing w:val="-5"/>
          <w:w w:val="110"/>
        </w:rPr>
        <w:t xml:space="preserve"> </w:t>
      </w:r>
      <w:r>
        <w:rPr>
          <w:color w:val="333333"/>
          <w:w w:val="110"/>
        </w:rPr>
        <w:t>need</w:t>
      </w:r>
      <w:r>
        <w:rPr>
          <w:color w:val="333333"/>
          <w:spacing w:val="-5"/>
          <w:w w:val="110"/>
        </w:rPr>
        <w:t xml:space="preserve"> </w:t>
      </w:r>
      <w:r>
        <w:rPr>
          <w:color w:val="333333"/>
          <w:w w:val="110"/>
        </w:rPr>
        <w:t>to</w:t>
      </w:r>
      <w:r>
        <w:rPr>
          <w:color w:val="333333"/>
          <w:spacing w:val="-5"/>
          <w:w w:val="110"/>
        </w:rPr>
        <w:t xml:space="preserve"> </w:t>
      </w:r>
      <w:r>
        <w:rPr>
          <w:color w:val="333333"/>
          <w:w w:val="110"/>
        </w:rPr>
        <w:t>create</w:t>
      </w:r>
      <w:r>
        <w:rPr>
          <w:color w:val="333333"/>
          <w:spacing w:val="-5"/>
          <w:w w:val="110"/>
        </w:rPr>
        <w:t xml:space="preserve"> </w:t>
      </w:r>
      <w:r>
        <w:rPr>
          <w:color w:val="333333"/>
          <w:w w:val="110"/>
        </w:rPr>
        <w:t>more</w:t>
      </w:r>
      <w:r>
        <w:rPr>
          <w:color w:val="333333"/>
          <w:spacing w:val="-4"/>
          <w:w w:val="110"/>
        </w:rPr>
        <w:t xml:space="preserve"> </w:t>
      </w:r>
      <w:r>
        <w:rPr>
          <w:rFonts w:ascii="MS Gothic"/>
          <w:color w:val="B02045"/>
          <w:w w:val="110"/>
        </w:rPr>
        <w:t>RabbitListenerContainerFactory</w:t>
      </w:r>
      <w:r>
        <w:rPr>
          <w:rFonts w:ascii="MS Gothic"/>
          <w:color w:val="B02045"/>
          <w:spacing w:val="-70"/>
          <w:w w:val="110"/>
        </w:rPr>
        <w:t xml:space="preserve"> </w:t>
      </w:r>
      <w:r>
        <w:rPr>
          <w:color w:val="333333"/>
          <w:w w:val="110"/>
        </w:rPr>
        <w:t>instances</w:t>
      </w:r>
      <w:r>
        <w:rPr>
          <w:color w:val="333333"/>
          <w:spacing w:val="-5"/>
          <w:w w:val="110"/>
        </w:rPr>
        <w:t xml:space="preserve"> </w:t>
      </w:r>
      <w:r>
        <w:rPr>
          <w:color w:val="333333"/>
          <w:w w:val="110"/>
        </w:rPr>
        <w:t>or</w:t>
      </w:r>
      <w:r>
        <w:rPr>
          <w:color w:val="333333"/>
          <w:spacing w:val="-5"/>
          <w:w w:val="110"/>
        </w:rPr>
        <w:t xml:space="preserve"> </w:t>
      </w:r>
      <w:r>
        <w:rPr>
          <w:color w:val="333333"/>
          <w:w w:val="110"/>
        </w:rPr>
        <w:t>if</w:t>
      </w:r>
      <w:r>
        <w:rPr>
          <w:color w:val="333333"/>
          <w:spacing w:val="-5"/>
          <w:w w:val="110"/>
        </w:rPr>
        <w:t xml:space="preserve"> </w:t>
      </w:r>
      <w:r>
        <w:rPr>
          <w:color w:val="333333"/>
          <w:w w:val="110"/>
        </w:rPr>
        <w:t>you</w:t>
      </w:r>
      <w:r>
        <w:rPr>
          <w:color w:val="333333"/>
          <w:spacing w:val="-6"/>
          <w:w w:val="110"/>
        </w:rPr>
        <w:t xml:space="preserve"> </w:t>
      </w:r>
      <w:r>
        <w:rPr>
          <w:color w:val="333333"/>
          <w:w w:val="110"/>
        </w:rPr>
        <w:t>want</w:t>
      </w:r>
      <w:r>
        <w:rPr>
          <w:color w:val="333333"/>
          <w:spacing w:val="-5"/>
          <w:w w:val="110"/>
        </w:rPr>
        <w:t xml:space="preserve"> </w:t>
      </w:r>
      <w:r>
        <w:rPr>
          <w:color w:val="333333"/>
          <w:w w:val="110"/>
        </w:rPr>
        <w:t>to</w:t>
      </w:r>
      <w:r>
        <w:rPr>
          <w:color w:val="333333"/>
          <w:spacing w:val="-5"/>
          <w:w w:val="110"/>
        </w:rPr>
        <w:t xml:space="preserve"> </w:t>
      </w:r>
      <w:r>
        <w:rPr>
          <w:color w:val="333333"/>
          <w:w w:val="110"/>
        </w:rPr>
        <w:t>override</w:t>
      </w:r>
      <w:r>
        <w:rPr>
          <w:color w:val="333333"/>
          <w:spacing w:val="-5"/>
          <w:w w:val="110"/>
        </w:rPr>
        <w:t xml:space="preserve"> </w:t>
      </w:r>
      <w:r>
        <w:rPr>
          <w:color w:val="333333"/>
          <w:w w:val="110"/>
        </w:rPr>
        <w:t xml:space="preserve">the default, Spring Boot provides a </w:t>
      </w:r>
      <w:r>
        <w:rPr>
          <w:rFonts w:ascii="MS Gothic"/>
          <w:color w:val="B02045"/>
          <w:w w:val="110"/>
        </w:rPr>
        <w:t xml:space="preserve">SimpleRabbitListenerContainerFactoryConfigurer </w:t>
      </w:r>
      <w:r>
        <w:rPr>
          <w:color w:val="333333"/>
          <w:w w:val="110"/>
        </w:rPr>
        <w:t xml:space="preserve">and a </w:t>
      </w:r>
      <w:r>
        <w:rPr>
          <w:rFonts w:ascii="MS Gothic"/>
          <w:color w:val="B02045"/>
          <w:w w:val="110"/>
        </w:rPr>
        <w:t xml:space="preserve">DirectRabbitListenerContainerFactoryConfigurer </w:t>
      </w:r>
      <w:r>
        <w:rPr>
          <w:color w:val="333333"/>
          <w:w w:val="110"/>
        </w:rPr>
        <w:t xml:space="preserve">that you can use to initialize a </w:t>
      </w:r>
      <w:r>
        <w:rPr>
          <w:rFonts w:ascii="MS Gothic"/>
          <w:color w:val="B02045"/>
          <w:w w:val="105"/>
        </w:rPr>
        <w:t xml:space="preserve">SimpleRabbitListenerContainerFactory </w:t>
      </w:r>
      <w:r>
        <w:rPr>
          <w:color w:val="333333"/>
          <w:w w:val="105"/>
        </w:rPr>
        <w:t xml:space="preserve">and a </w:t>
      </w:r>
      <w:r>
        <w:rPr>
          <w:rFonts w:ascii="MS Gothic"/>
          <w:color w:val="B02045"/>
          <w:w w:val="105"/>
        </w:rPr>
        <w:t>DirectRabbitListenerContainerFactory</w:t>
      </w:r>
      <w:r>
        <w:rPr>
          <w:rFonts w:ascii="MS Gothic"/>
          <w:color w:val="B02045"/>
          <w:spacing w:val="-66"/>
          <w:w w:val="105"/>
        </w:rPr>
        <w:t xml:space="preserve"> </w:t>
      </w:r>
      <w:r>
        <w:rPr>
          <w:color w:val="333333"/>
          <w:w w:val="105"/>
        </w:rPr>
        <w:t xml:space="preserve">with the same </w:t>
      </w:r>
      <w:r>
        <w:rPr>
          <w:color w:val="333333"/>
          <w:w w:val="110"/>
        </w:rPr>
        <w:t xml:space="preserve">settings as the factories used </w:t>
      </w:r>
      <w:r>
        <w:rPr>
          <w:color w:val="333333"/>
          <w:spacing w:val="-3"/>
          <w:w w:val="110"/>
        </w:rPr>
        <w:t xml:space="preserve">by </w:t>
      </w:r>
      <w:r>
        <w:rPr>
          <w:color w:val="333333"/>
          <w:w w:val="110"/>
        </w:rPr>
        <w:t>the</w:t>
      </w:r>
      <w:r>
        <w:rPr>
          <w:color w:val="333333"/>
          <w:spacing w:val="23"/>
          <w:w w:val="110"/>
        </w:rPr>
        <w:t xml:space="preserve"> </w:t>
      </w:r>
      <w:r>
        <w:rPr>
          <w:color w:val="333333"/>
          <w:w w:val="110"/>
        </w:rPr>
        <w:t>auto-configuration.</w:t>
      </w:r>
    </w:p>
    <w:p w14:paraId="10AB4FCF" w14:textId="77777777" w:rsidR="00A720EB" w:rsidRDefault="00A720EB">
      <w:pPr>
        <w:pStyle w:val="a3"/>
        <w:spacing w:before="8"/>
        <w:rPr>
          <w:sz w:val="29"/>
        </w:rPr>
      </w:pPr>
    </w:p>
    <w:p w14:paraId="17216BD4" w14:textId="77777777" w:rsidR="00A720EB" w:rsidRDefault="00E10349">
      <w:pPr>
        <w:pStyle w:val="a3"/>
        <w:spacing w:line="307" w:lineRule="auto"/>
        <w:ind w:left="1564" w:right="638"/>
      </w:pPr>
      <w:r>
        <w:pict w14:anchorId="328FBE87">
          <v:line id="_x0000_s3835" style="position:absolute;left:0;text-align:left;z-index:16052736;mso-position-horizontal-relative:page" from="108.25pt,-6pt" to="108.25pt,33.55pt" strokecolor="#ededed" strokeweight=".5pt">
            <w10:wrap anchorx="page"/>
          </v:line>
        </w:pict>
      </w:r>
      <w:r w:rsidR="0030286B">
        <w:rPr>
          <w:noProof/>
        </w:rPr>
        <w:drawing>
          <wp:anchor distT="0" distB="0" distL="0" distR="0" simplePos="0" relativeHeight="16053248" behindDoc="0" locked="0" layoutInCell="1" allowOverlap="1" wp14:anchorId="4F8D16FC" wp14:editId="72B7A87F">
            <wp:simplePos x="0" y="0"/>
            <wp:positionH relativeFrom="page">
              <wp:posOffset>888949</wp:posOffset>
            </wp:positionH>
            <wp:positionV relativeFrom="paragraph">
              <wp:posOffset>22771</wp:posOffset>
            </wp:positionV>
            <wp:extent cx="209550" cy="304800"/>
            <wp:effectExtent l="0" t="0" r="0" b="0"/>
            <wp:wrapNone/>
            <wp:docPr id="40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It does not matter which container type you chose. Those two beans are exposed   </w:t>
      </w:r>
      <w:r w:rsidR="0030286B">
        <w:rPr>
          <w:color w:val="333333"/>
          <w:spacing w:val="-3"/>
          <w:w w:val="110"/>
        </w:rPr>
        <w:t xml:space="preserve">by </w:t>
      </w:r>
      <w:r w:rsidR="0030286B">
        <w:rPr>
          <w:color w:val="333333"/>
          <w:w w:val="110"/>
        </w:rPr>
        <w:t>the</w:t>
      </w:r>
      <w:r w:rsidR="0030286B">
        <w:rPr>
          <w:color w:val="333333"/>
          <w:spacing w:val="9"/>
          <w:w w:val="110"/>
        </w:rPr>
        <w:t xml:space="preserve"> </w:t>
      </w:r>
      <w:r w:rsidR="0030286B">
        <w:rPr>
          <w:color w:val="333333"/>
          <w:w w:val="110"/>
        </w:rPr>
        <w:t>auto-configuration.</w:t>
      </w:r>
    </w:p>
    <w:p w14:paraId="78325D42" w14:textId="77777777" w:rsidR="00A720EB" w:rsidRDefault="00A720EB">
      <w:pPr>
        <w:pStyle w:val="a3"/>
        <w:spacing w:before="4"/>
        <w:rPr>
          <w:sz w:val="27"/>
        </w:rPr>
      </w:pPr>
    </w:p>
    <w:p w14:paraId="3F30A47D" w14:textId="77777777" w:rsidR="00A720EB" w:rsidRDefault="0030286B">
      <w:pPr>
        <w:pStyle w:val="a3"/>
        <w:ind w:left="124"/>
        <w:jc w:val="both"/>
      </w:pPr>
      <w:r>
        <w:rPr>
          <w:color w:val="333333"/>
          <w:w w:val="110"/>
        </w:rPr>
        <w:t>For instance, the following configuration class exposes another factory that uses a specific</w:t>
      </w:r>
    </w:p>
    <w:p w14:paraId="48231E76" w14:textId="77777777" w:rsidR="00A720EB" w:rsidRDefault="0030286B">
      <w:pPr>
        <w:pStyle w:val="a3"/>
        <w:spacing w:before="59"/>
        <w:ind w:left="124"/>
      </w:pPr>
      <w:r>
        <w:rPr>
          <w:rFonts w:ascii="MS Gothic"/>
          <w:color w:val="B02045"/>
        </w:rPr>
        <w:t>MessageConverter</w:t>
      </w:r>
      <w:r>
        <w:rPr>
          <w:color w:val="333333"/>
        </w:rPr>
        <w:t>:</w:t>
      </w:r>
    </w:p>
    <w:p w14:paraId="0654608C" w14:textId="77777777" w:rsidR="00A720EB" w:rsidRDefault="00E10349">
      <w:pPr>
        <w:pStyle w:val="a3"/>
        <w:spacing w:before="11"/>
        <w:rPr>
          <w:sz w:val="17"/>
        </w:rPr>
      </w:pPr>
      <w:r>
        <w:pict w14:anchorId="0AC80002">
          <v:group id="_x0000_s3831" style="position:absolute;margin-left:47.85pt;margin-top:12.5pt;width:499.55pt;height:229.15pt;z-index:-15405568;mso-wrap-distance-left:0;mso-wrap-distance-right:0;mso-position-horizontal-relative:page" coordorigin="957,250" coordsize="9991,4583">
            <v:shape id="_x0000_s3834" style="position:absolute;left:964;top:257;width:9976;height:4568" coordorigin="965,258" coordsize="9976,4568" path="m10861,258r-9816,l1014,264r-26,17l971,307r-6,31l965,4745r6,31l988,4802r26,17l1045,4825r9816,l10892,4819r25,-17l10935,4776r6,-31l10941,338r-6,-31l10917,281r-25,-17l10861,258xe" fillcolor="#f5f5f5" stroked="f">
              <v:path arrowok="t"/>
            </v:shape>
            <v:shape id="_x0000_s3833" style="position:absolute;left:964;top:257;width:9976;height:4568" coordorigin="965,258" coordsize="9976,4568" path="m1045,258r9816,l10892,264r25,17l10935,307r6,31l10941,4745r-6,31l10917,4802r-25,17l10861,4825r-9816,l1014,4819r-26,-17l971,4776r-6,-31l965,338r6,-31l988,281r26,-17l1045,258xe" filled="f" strokecolor="#ccc">
              <v:path arrowok="t"/>
            </v:shape>
            <v:shape id="_x0000_s3832" type="#_x0000_t202" style="position:absolute;left:984;top:273;width:9938;height:4537" filled="f" stroked="f">
              <v:textbox inset="0,0,0,0">
                <w:txbxContent>
                  <w:p w14:paraId="6F20E8FB"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static class RabbitConfiguration {</w:t>
                    </w:r>
                  </w:p>
                  <w:p w14:paraId="5C96E9BB" w14:textId="77777777" w:rsidR="00711A16" w:rsidRDefault="00711A16">
                    <w:pPr>
                      <w:spacing w:before="10"/>
                      <w:rPr>
                        <w:rFonts w:ascii="MS Gothic"/>
                      </w:rPr>
                    </w:pPr>
                  </w:p>
                  <w:p w14:paraId="24919136" w14:textId="77777777" w:rsidR="00711A16" w:rsidRDefault="00711A16">
                    <w:pPr>
                      <w:ind w:left="640"/>
                      <w:rPr>
                        <w:rFonts w:ascii="MS Gothic"/>
                      </w:rPr>
                    </w:pPr>
                    <w:r>
                      <w:rPr>
                        <w:rFonts w:ascii="MS Gothic"/>
                        <w:color w:val="333333"/>
                      </w:rPr>
                      <w:t>@Bean</w:t>
                    </w:r>
                  </w:p>
                  <w:p w14:paraId="7F7C9C21" w14:textId="77777777" w:rsidR="00711A16" w:rsidRDefault="00711A16">
                    <w:pPr>
                      <w:spacing w:before="13" w:line="252" w:lineRule="auto"/>
                      <w:ind w:left="1520" w:right="1798" w:hanging="880"/>
                      <w:rPr>
                        <w:rFonts w:ascii="MS Gothic"/>
                      </w:rPr>
                    </w:pPr>
                    <w:r>
                      <w:rPr>
                        <w:rFonts w:ascii="MS Gothic"/>
                        <w:color w:val="333333"/>
                      </w:rPr>
                      <w:t xml:space="preserve">public SimpleRabbitListenerContainerFactory </w:t>
                    </w:r>
                    <w:proofErr w:type="gramStart"/>
                    <w:r>
                      <w:rPr>
                        <w:rFonts w:ascii="MS Gothic"/>
                        <w:color w:val="333333"/>
                      </w:rPr>
                      <w:t>myFactory( SimpleRabbitListenerContainerFactoryConfigurer</w:t>
                    </w:r>
                    <w:proofErr w:type="gramEnd"/>
                    <w:r>
                      <w:rPr>
                        <w:rFonts w:ascii="MS Gothic"/>
                        <w:color w:val="333333"/>
                      </w:rPr>
                      <w:t xml:space="preserve"> configurer) {</w:t>
                    </w:r>
                  </w:p>
                  <w:p w14:paraId="6A7EA42F" w14:textId="77777777" w:rsidR="00711A16" w:rsidRDefault="00711A16">
                    <w:pPr>
                      <w:spacing w:line="280" w:lineRule="exact"/>
                      <w:ind w:left="1080"/>
                      <w:rPr>
                        <w:rFonts w:ascii="MS Gothic"/>
                      </w:rPr>
                    </w:pPr>
                    <w:r>
                      <w:rPr>
                        <w:rFonts w:ascii="MS Gothic"/>
                        <w:color w:val="333333"/>
                      </w:rPr>
                      <w:t>SimpleRabbitListenerContainerFactory factory =</w:t>
                    </w:r>
                  </w:p>
                  <w:p w14:paraId="176D8534" w14:textId="77777777" w:rsidR="00711A16" w:rsidRDefault="00711A16">
                    <w:pPr>
                      <w:spacing w:before="13" w:line="252" w:lineRule="auto"/>
                      <w:ind w:left="1080" w:right="3228" w:firstLine="880"/>
                      <w:rPr>
                        <w:rFonts w:ascii="MS Gothic"/>
                      </w:rPr>
                    </w:pPr>
                    <w:r>
                      <w:rPr>
                        <w:rFonts w:ascii="MS Gothic"/>
                        <w:color w:val="333333"/>
                      </w:rPr>
                      <w:t xml:space="preserve">new </w:t>
                    </w:r>
                    <w:proofErr w:type="gramStart"/>
                    <w:r>
                      <w:rPr>
                        <w:rFonts w:ascii="MS Gothic"/>
                        <w:color w:val="333333"/>
                      </w:rPr>
                      <w:t>SimpleRabbitListenerContainerFactory(</w:t>
                    </w:r>
                    <w:proofErr w:type="gramEnd"/>
                    <w:r>
                      <w:rPr>
                        <w:rFonts w:ascii="MS Gothic"/>
                        <w:color w:val="333333"/>
                      </w:rPr>
                      <w:t>); configurer.configure(factory, connectionFactory); factory.setMessageConverter(myMessageConverter()); return factory;</w:t>
                    </w:r>
                  </w:p>
                  <w:p w14:paraId="5F9BE578" w14:textId="77777777" w:rsidR="00711A16" w:rsidRDefault="00711A16">
                    <w:pPr>
                      <w:spacing w:line="277" w:lineRule="exact"/>
                      <w:ind w:left="640"/>
                      <w:rPr>
                        <w:rFonts w:ascii="MS Gothic"/>
                      </w:rPr>
                    </w:pPr>
                    <w:r>
                      <w:rPr>
                        <w:rFonts w:ascii="MS Gothic"/>
                        <w:color w:val="333333"/>
                      </w:rPr>
                      <w:t>}</w:t>
                    </w:r>
                  </w:p>
                  <w:p w14:paraId="7ABF14AA" w14:textId="77777777" w:rsidR="00711A16" w:rsidRDefault="00711A16">
                    <w:pPr>
                      <w:rPr>
                        <w:rFonts w:ascii="MS Gothic"/>
                        <w:sz w:val="24"/>
                      </w:rPr>
                    </w:pPr>
                  </w:p>
                  <w:p w14:paraId="0F88C96D" w14:textId="77777777" w:rsidR="00711A16" w:rsidRDefault="00711A16">
                    <w:pPr>
                      <w:ind w:left="200"/>
                      <w:rPr>
                        <w:rFonts w:ascii="MS Gothic"/>
                      </w:rPr>
                    </w:pPr>
                    <w:r>
                      <w:rPr>
                        <w:rFonts w:ascii="MS Gothic"/>
                        <w:color w:val="333333"/>
                      </w:rPr>
                      <w:t>}</w:t>
                    </w:r>
                  </w:p>
                </w:txbxContent>
              </v:textbox>
            </v:shape>
            <w10:wrap type="topAndBottom" anchorx="page"/>
          </v:group>
        </w:pict>
      </w:r>
    </w:p>
    <w:p w14:paraId="6E089FDE" w14:textId="77777777" w:rsidR="00A720EB" w:rsidRDefault="00A720EB">
      <w:pPr>
        <w:pStyle w:val="a3"/>
        <w:spacing w:before="11"/>
        <w:rPr>
          <w:sz w:val="9"/>
        </w:rPr>
      </w:pPr>
    </w:p>
    <w:p w14:paraId="5BE9ECA7" w14:textId="77777777" w:rsidR="00A720EB" w:rsidRDefault="0030286B">
      <w:pPr>
        <w:pStyle w:val="a3"/>
        <w:spacing w:before="115"/>
        <w:ind w:left="124"/>
      </w:pPr>
      <w:r>
        <w:rPr>
          <w:color w:val="333333"/>
          <w:w w:val="105"/>
        </w:rPr>
        <w:t xml:space="preserve">Then you can use the factory in any </w:t>
      </w:r>
      <w:r>
        <w:rPr>
          <w:rFonts w:ascii="MS Gothic"/>
          <w:color w:val="B02045"/>
          <w:w w:val="105"/>
        </w:rPr>
        <w:t>@RabbitListener</w:t>
      </w:r>
      <w:r>
        <w:rPr>
          <w:color w:val="333333"/>
          <w:w w:val="105"/>
        </w:rPr>
        <w:t>-annotated method, as follows:</w:t>
      </w:r>
    </w:p>
    <w:p w14:paraId="382896D0" w14:textId="77777777" w:rsidR="00A720EB" w:rsidRDefault="00A720EB">
      <w:pPr>
        <w:sectPr w:rsidR="00A720EB">
          <w:pgSz w:w="11910" w:h="16840"/>
          <w:pgMar w:top="620" w:right="840" w:bottom="520" w:left="840" w:header="0" w:footer="323" w:gutter="0"/>
          <w:cols w:space="720"/>
        </w:sectPr>
      </w:pPr>
    </w:p>
    <w:p w14:paraId="082E82BB" w14:textId="77777777" w:rsidR="00A720EB" w:rsidRDefault="00E10349">
      <w:pPr>
        <w:pStyle w:val="a3"/>
        <w:ind w:left="116"/>
        <w:rPr>
          <w:sz w:val="20"/>
        </w:rPr>
      </w:pPr>
      <w:r>
        <w:rPr>
          <w:sz w:val="20"/>
        </w:rPr>
      </w:r>
      <w:r>
        <w:rPr>
          <w:sz w:val="20"/>
        </w:rPr>
        <w:pict w14:anchorId="7CEF4FE3">
          <v:group id="_x0000_s3827" style="width:499.55pt;height:155.45pt;mso-position-horizontal-relative:char;mso-position-vertical-relative:line" coordsize="9991,3109">
            <v:shape id="_x0000_s3830" style="position:absolute;left:7;top:7;width:9976;height:3094" coordorigin="8,8" coordsize="9976,3094" path="m9904,8l88,8,56,14,31,31,14,56,8,88r,2933l14,3052r17,25l56,3094r32,7l9904,3101r31,-7l9960,3077r17,-25l9984,3021r,-2933l9977,56,9960,31,9935,14,9904,8xe" fillcolor="#f5f5f5" stroked="f">
              <v:path arrowok="t"/>
            </v:shape>
            <v:shape id="_x0000_s3829" style="position:absolute;left:7;top:7;width:9976;height:3094" coordorigin="8,8" coordsize="9976,3094" path="m88,8r9816,l9935,14r25,17l9977,56r7,32l9984,3021r-7,31l9960,3077r-25,17l9904,3101r-9816,l56,3094,31,3077,14,3052,8,3021,8,88,14,56,31,31,56,14,88,8xe" filled="f" strokecolor="#ccc">
              <v:path arrowok="t"/>
            </v:shape>
            <v:shape id="_x0000_s3828" type="#_x0000_t202" style="position:absolute;left:26;top:22;width:9938;height:3063" filled="f" stroked="f">
              <v:textbox inset="0,0,0,0">
                <w:txbxContent>
                  <w:p w14:paraId="6D0F9A4B" w14:textId="77777777" w:rsidR="00711A16" w:rsidRDefault="00711A16">
                    <w:pPr>
                      <w:spacing w:before="221"/>
                      <w:ind w:left="200"/>
                      <w:rPr>
                        <w:rFonts w:ascii="MS Gothic"/>
                      </w:rPr>
                    </w:pPr>
                    <w:r>
                      <w:rPr>
                        <w:rFonts w:ascii="MS Gothic"/>
                        <w:color w:val="333333"/>
                      </w:rPr>
                      <w:t>@Component</w:t>
                    </w:r>
                  </w:p>
                  <w:p w14:paraId="0A9F106F" w14:textId="77777777" w:rsidR="00711A16" w:rsidRDefault="00711A16">
                    <w:pPr>
                      <w:spacing w:before="13"/>
                      <w:ind w:left="200"/>
                      <w:rPr>
                        <w:rFonts w:ascii="MS Gothic"/>
                      </w:rPr>
                    </w:pPr>
                    <w:r>
                      <w:rPr>
                        <w:rFonts w:ascii="MS Gothic"/>
                        <w:color w:val="333333"/>
                      </w:rPr>
                      <w:t>public class MyBean {</w:t>
                    </w:r>
                  </w:p>
                  <w:p w14:paraId="13461611" w14:textId="77777777" w:rsidR="00711A16" w:rsidRDefault="00711A16">
                    <w:pPr>
                      <w:rPr>
                        <w:rFonts w:ascii="MS Gothic"/>
                        <w:sz w:val="24"/>
                      </w:rPr>
                    </w:pPr>
                  </w:p>
                  <w:p w14:paraId="02C9564F" w14:textId="77777777" w:rsidR="00711A16" w:rsidRDefault="00711A16">
                    <w:pPr>
                      <w:spacing w:line="252" w:lineRule="auto"/>
                      <w:ind w:left="640" w:right="1908"/>
                      <w:rPr>
                        <w:rFonts w:ascii="MS Gothic"/>
                      </w:rPr>
                    </w:pPr>
                    <w:r>
                      <w:rPr>
                        <w:rFonts w:ascii="MS Gothic"/>
                        <w:color w:val="333333"/>
                      </w:rPr>
                      <w:t>@</w:t>
                    </w:r>
                    <w:proofErr w:type="gramStart"/>
                    <w:r>
                      <w:rPr>
                        <w:rFonts w:ascii="MS Gothic"/>
                        <w:color w:val="333333"/>
                      </w:rPr>
                      <w:t>RabbitListener(</w:t>
                    </w:r>
                    <w:proofErr w:type="gramEnd"/>
                    <w:r>
                      <w:rPr>
                        <w:rFonts w:ascii="MS Gothic"/>
                        <w:color w:val="333333"/>
                      </w:rPr>
                      <w:t xml:space="preserve">queues = "someQueue", </w:t>
                    </w:r>
                    <w:r>
                      <w:rPr>
                        <w:rFonts w:ascii="宋体"/>
                        <w:color w:val="333333"/>
                      </w:rPr>
                      <w:t>containerFactory="myFactory"</w:t>
                    </w:r>
                    <w:r>
                      <w:rPr>
                        <w:rFonts w:ascii="MS Gothic"/>
                        <w:color w:val="333333"/>
                      </w:rPr>
                      <w:t>) public void processMessage(String content) {</w:t>
                    </w:r>
                  </w:p>
                  <w:p w14:paraId="0100B6CC" w14:textId="77777777" w:rsidR="00711A16" w:rsidRDefault="00711A16">
                    <w:pPr>
                      <w:spacing w:line="280" w:lineRule="exact"/>
                      <w:ind w:left="1080"/>
                      <w:rPr>
                        <w:rFonts w:ascii="MS Gothic"/>
                      </w:rPr>
                    </w:pPr>
                    <w:r>
                      <w:rPr>
                        <w:rFonts w:ascii="MS Gothic"/>
                        <w:color w:val="333333"/>
                      </w:rPr>
                      <w:t>// ...</w:t>
                    </w:r>
                  </w:p>
                  <w:p w14:paraId="13715607" w14:textId="77777777" w:rsidR="00711A16" w:rsidRDefault="00711A16">
                    <w:pPr>
                      <w:spacing w:before="13"/>
                      <w:ind w:left="640"/>
                      <w:rPr>
                        <w:rFonts w:ascii="MS Gothic"/>
                      </w:rPr>
                    </w:pPr>
                    <w:r>
                      <w:rPr>
                        <w:rFonts w:ascii="MS Gothic"/>
                        <w:color w:val="333333"/>
                      </w:rPr>
                      <w:t>}</w:t>
                    </w:r>
                  </w:p>
                  <w:p w14:paraId="7DFE1191" w14:textId="77777777" w:rsidR="00711A16" w:rsidRDefault="00711A16">
                    <w:pPr>
                      <w:rPr>
                        <w:rFonts w:ascii="MS Gothic"/>
                        <w:sz w:val="24"/>
                      </w:rPr>
                    </w:pPr>
                  </w:p>
                  <w:p w14:paraId="16F4DC40" w14:textId="77777777" w:rsidR="00711A16" w:rsidRDefault="00711A16">
                    <w:pPr>
                      <w:ind w:left="200"/>
                      <w:rPr>
                        <w:rFonts w:ascii="MS Gothic"/>
                      </w:rPr>
                    </w:pPr>
                    <w:r>
                      <w:rPr>
                        <w:rFonts w:ascii="MS Gothic"/>
                        <w:color w:val="333333"/>
                      </w:rPr>
                      <w:t>}</w:t>
                    </w:r>
                  </w:p>
                </w:txbxContent>
              </v:textbox>
            </v:shape>
            <w10:anchorlock/>
          </v:group>
        </w:pict>
      </w:r>
    </w:p>
    <w:p w14:paraId="7B59F940" w14:textId="77777777" w:rsidR="00A720EB" w:rsidRDefault="00A720EB">
      <w:pPr>
        <w:pStyle w:val="a3"/>
        <w:spacing w:before="4"/>
        <w:rPr>
          <w:sz w:val="9"/>
        </w:rPr>
      </w:pPr>
    </w:p>
    <w:p w14:paraId="45BC0ABB" w14:textId="77777777" w:rsidR="00A720EB" w:rsidRDefault="0030286B">
      <w:pPr>
        <w:pStyle w:val="a3"/>
        <w:spacing w:before="125" w:line="297" w:lineRule="auto"/>
        <w:ind w:left="124" w:right="124"/>
        <w:jc w:val="both"/>
      </w:pPr>
      <w:r>
        <w:rPr>
          <w:color w:val="333333"/>
          <w:spacing w:val="-6"/>
          <w:w w:val="110"/>
        </w:rPr>
        <w:t xml:space="preserve">You </w:t>
      </w:r>
      <w:r>
        <w:rPr>
          <w:color w:val="333333"/>
          <w:w w:val="110"/>
        </w:rPr>
        <w:t xml:space="preserve">can enable retries to handle situations where your listener throws an exception. </w:t>
      </w:r>
      <w:r>
        <w:rPr>
          <w:color w:val="333333"/>
          <w:spacing w:val="-3"/>
          <w:w w:val="110"/>
        </w:rPr>
        <w:t xml:space="preserve">By </w:t>
      </w:r>
      <w:r>
        <w:rPr>
          <w:color w:val="333333"/>
          <w:w w:val="110"/>
        </w:rPr>
        <w:t xml:space="preserve">default, </w:t>
      </w:r>
      <w:r>
        <w:rPr>
          <w:rFonts w:ascii="MS Gothic"/>
          <w:color w:val="B02045"/>
          <w:w w:val="110"/>
        </w:rPr>
        <w:t>RejectAndDontRequeueRecoverer</w:t>
      </w:r>
      <w:r>
        <w:rPr>
          <w:rFonts w:ascii="MS Gothic"/>
          <w:color w:val="B02045"/>
          <w:spacing w:val="-66"/>
          <w:w w:val="110"/>
        </w:rPr>
        <w:t xml:space="preserve"> </w:t>
      </w:r>
      <w:r>
        <w:rPr>
          <w:color w:val="333333"/>
          <w:w w:val="110"/>
        </w:rPr>
        <w:t>is</w:t>
      </w:r>
      <w:r>
        <w:rPr>
          <w:color w:val="333333"/>
          <w:spacing w:val="-1"/>
          <w:w w:val="110"/>
        </w:rPr>
        <w:t xml:space="preserve"> </w:t>
      </w:r>
      <w:r>
        <w:rPr>
          <w:color w:val="333333"/>
          <w:w w:val="110"/>
        </w:rPr>
        <w:t>used,</w:t>
      </w:r>
      <w:r>
        <w:rPr>
          <w:color w:val="333333"/>
          <w:spacing w:val="-2"/>
          <w:w w:val="110"/>
        </w:rPr>
        <w:t xml:space="preserve"> </w:t>
      </w:r>
      <w:r>
        <w:rPr>
          <w:color w:val="333333"/>
          <w:w w:val="110"/>
        </w:rPr>
        <w:t>but</w:t>
      </w:r>
      <w:r>
        <w:rPr>
          <w:color w:val="333333"/>
          <w:spacing w:val="-1"/>
          <w:w w:val="110"/>
        </w:rPr>
        <w:t xml:space="preserve"> </w:t>
      </w:r>
      <w:r>
        <w:rPr>
          <w:color w:val="333333"/>
          <w:w w:val="110"/>
        </w:rPr>
        <w:t>you</w:t>
      </w:r>
      <w:r>
        <w:rPr>
          <w:color w:val="333333"/>
          <w:spacing w:val="-1"/>
          <w:w w:val="110"/>
        </w:rPr>
        <w:t xml:space="preserve"> </w:t>
      </w:r>
      <w:r>
        <w:rPr>
          <w:color w:val="333333"/>
          <w:w w:val="110"/>
        </w:rPr>
        <w:t>can</w:t>
      </w:r>
      <w:r>
        <w:rPr>
          <w:color w:val="333333"/>
          <w:spacing w:val="-2"/>
          <w:w w:val="110"/>
        </w:rPr>
        <w:t xml:space="preserve"> </w:t>
      </w:r>
      <w:r>
        <w:rPr>
          <w:color w:val="333333"/>
          <w:w w:val="110"/>
        </w:rPr>
        <w:t>define</w:t>
      </w:r>
      <w:r>
        <w:rPr>
          <w:color w:val="333333"/>
          <w:spacing w:val="-1"/>
          <w:w w:val="110"/>
        </w:rPr>
        <w:t xml:space="preserve"> </w:t>
      </w:r>
      <w:r>
        <w:rPr>
          <w:color w:val="333333"/>
          <w:w w:val="110"/>
        </w:rPr>
        <w:t>a</w:t>
      </w:r>
      <w:r>
        <w:rPr>
          <w:color w:val="333333"/>
          <w:spacing w:val="2"/>
          <w:w w:val="110"/>
        </w:rPr>
        <w:t xml:space="preserve"> </w:t>
      </w:r>
      <w:r>
        <w:rPr>
          <w:rFonts w:ascii="MS Gothic"/>
          <w:color w:val="B02045"/>
          <w:w w:val="110"/>
        </w:rPr>
        <w:t>MessageRecoverer</w:t>
      </w:r>
      <w:r>
        <w:rPr>
          <w:rFonts w:ascii="MS Gothic"/>
          <w:color w:val="B02045"/>
          <w:spacing w:val="-66"/>
          <w:w w:val="110"/>
        </w:rPr>
        <w:t xml:space="preserve"> </w:t>
      </w:r>
      <w:r>
        <w:rPr>
          <w:color w:val="333333"/>
          <w:w w:val="110"/>
        </w:rPr>
        <w:t>of</w:t>
      </w:r>
      <w:r>
        <w:rPr>
          <w:color w:val="333333"/>
          <w:spacing w:val="-1"/>
          <w:w w:val="110"/>
        </w:rPr>
        <w:t xml:space="preserve"> </w:t>
      </w:r>
      <w:r>
        <w:rPr>
          <w:color w:val="333333"/>
          <w:w w:val="110"/>
        </w:rPr>
        <w:t>your</w:t>
      </w:r>
      <w:r>
        <w:rPr>
          <w:color w:val="333333"/>
          <w:spacing w:val="-2"/>
          <w:w w:val="110"/>
        </w:rPr>
        <w:t xml:space="preserve"> </w:t>
      </w:r>
      <w:r>
        <w:rPr>
          <w:color w:val="333333"/>
          <w:w w:val="110"/>
        </w:rPr>
        <w:t>own.</w:t>
      </w:r>
      <w:r>
        <w:rPr>
          <w:color w:val="333333"/>
          <w:spacing w:val="-1"/>
          <w:w w:val="110"/>
        </w:rPr>
        <w:t xml:space="preserve"> </w:t>
      </w:r>
      <w:r>
        <w:rPr>
          <w:color w:val="333333"/>
          <w:w w:val="110"/>
        </w:rPr>
        <w:t>When retries are exhausted, the message is rejected and either dropped or routed to a dead-</w:t>
      </w:r>
      <w:proofErr w:type="gramStart"/>
      <w:r>
        <w:rPr>
          <w:color w:val="333333"/>
          <w:w w:val="110"/>
        </w:rPr>
        <w:t>letter  exchange</w:t>
      </w:r>
      <w:proofErr w:type="gramEnd"/>
      <w:r>
        <w:rPr>
          <w:color w:val="333333"/>
          <w:w w:val="110"/>
        </w:rPr>
        <w:t xml:space="preserve"> if the broker is configured to do so. </w:t>
      </w:r>
      <w:r>
        <w:rPr>
          <w:color w:val="333333"/>
          <w:spacing w:val="-3"/>
          <w:w w:val="110"/>
        </w:rPr>
        <w:t xml:space="preserve">By </w:t>
      </w:r>
      <w:r>
        <w:rPr>
          <w:color w:val="333333"/>
          <w:w w:val="110"/>
        </w:rPr>
        <w:t xml:space="preserve">default, retries are disabled.  </w:t>
      </w:r>
      <w:r>
        <w:rPr>
          <w:color w:val="333333"/>
          <w:spacing w:val="-6"/>
          <w:w w:val="110"/>
        </w:rPr>
        <w:t>You</w:t>
      </w:r>
      <w:r>
        <w:rPr>
          <w:color w:val="333333"/>
          <w:spacing w:val="38"/>
          <w:w w:val="110"/>
        </w:rPr>
        <w:t xml:space="preserve"> </w:t>
      </w:r>
      <w:proofErr w:type="gramStart"/>
      <w:r>
        <w:rPr>
          <w:color w:val="333333"/>
          <w:w w:val="110"/>
        </w:rPr>
        <w:t>can  also</w:t>
      </w:r>
      <w:proofErr w:type="gramEnd"/>
      <w:r>
        <w:rPr>
          <w:color w:val="333333"/>
          <w:w w:val="110"/>
        </w:rPr>
        <w:t xml:space="preserve">  customize</w:t>
      </w:r>
      <w:r>
        <w:rPr>
          <w:color w:val="333333"/>
          <w:spacing w:val="-30"/>
          <w:w w:val="110"/>
        </w:rPr>
        <w:t xml:space="preserve"> </w:t>
      </w:r>
      <w:r>
        <w:rPr>
          <w:color w:val="333333"/>
          <w:w w:val="110"/>
        </w:rPr>
        <w:t>the</w:t>
      </w:r>
      <w:r>
        <w:rPr>
          <w:color w:val="333333"/>
          <w:spacing w:val="-30"/>
          <w:w w:val="110"/>
        </w:rPr>
        <w:t xml:space="preserve"> </w:t>
      </w:r>
      <w:r>
        <w:rPr>
          <w:rFonts w:ascii="MS Gothic"/>
          <w:color w:val="B02045"/>
          <w:w w:val="110"/>
        </w:rPr>
        <w:t>RetryTemplate</w:t>
      </w:r>
      <w:r>
        <w:rPr>
          <w:rFonts w:ascii="MS Gothic"/>
          <w:color w:val="B02045"/>
          <w:spacing w:val="-94"/>
          <w:w w:val="110"/>
        </w:rPr>
        <w:t xml:space="preserve"> </w:t>
      </w:r>
      <w:r>
        <w:rPr>
          <w:color w:val="333333"/>
          <w:w w:val="110"/>
        </w:rPr>
        <w:t>programmatically</w:t>
      </w:r>
      <w:r>
        <w:rPr>
          <w:color w:val="333333"/>
          <w:spacing w:val="-30"/>
          <w:w w:val="110"/>
        </w:rPr>
        <w:t xml:space="preserve"> </w:t>
      </w:r>
      <w:r>
        <w:rPr>
          <w:color w:val="333333"/>
          <w:spacing w:val="-3"/>
          <w:w w:val="110"/>
        </w:rPr>
        <w:t>by</w:t>
      </w:r>
      <w:r>
        <w:rPr>
          <w:color w:val="333333"/>
          <w:spacing w:val="-30"/>
          <w:w w:val="110"/>
        </w:rPr>
        <w:t xml:space="preserve"> </w:t>
      </w:r>
      <w:r>
        <w:rPr>
          <w:color w:val="333333"/>
          <w:w w:val="110"/>
        </w:rPr>
        <w:t>declaring</w:t>
      </w:r>
      <w:r>
        <w:rPr>
          <w:color w:val="333333"/>
          <w:spacing w:val="-30"/>
          <w:w w:val="110"/>
        </w:rPr>
        <w:t xml:space="preserve"> </w:t>
      </w:r>
      <w:r>
        <w:rPr>
          <w:color w:val="333333"/>
          <w:w w:val="110"/>
        </w:rPr>
        <w:t>a</w:t>
      </w:r>
      <w:r>
        <w:rPr>
          <w:color w:val="333333"/>
          <w:spacing w:val="-28"/>
          <w:w w:val="110"/>
        </w:rPr>
        <w:t xml:space="preserve"> </w:t>
      </w:r>
      <w:r>
        <w:rPr>
          <w:rFonts w:ascii="MS Gothic"/>
          <w:color w:val="B02045"/>
          <w:w w:val="110"/>
        </w:rPr>
        <w:t>RabbitRetryTemplateCustomizer</w:t>
      </w:r>
      <w:r>
        <w:rPr>
          <w:rFonts w:ascii="MS Gothic"/>
          <w:color w:val="B02045"/>
          <w:spacing w:val="-94"/>
          <w:w w:val="110"/>
        </w:rPr>
        <w:t xml:space="preserve"> </w:t>
      </w:r>
      <w:r>
        <w:rPr>
          <w:color w:val="333333"/>
          <w:w w:val="110"/>
        </w:rPr>
        <w:t>bean.</w:t>
      </w:r>
    </w:p>
    <w:p w14:paraId="59F472C9" w14:textId="77777777" w:rsidR="00A720EB" w:rsidRDefault="00A720EB">
      <w:pPr>
        <w:pStyle w:val="a3"/>
        <w:spacing w:before="3"/>
        <w:rPr>
          <w:sz w:val="16"/>
        </w:rPr>
      </w:pPr>
    </w:p>
    <w:p w14:paraId="11E47478" w14:textId="77777777" w:rsidR="00A720EB" w:rsidRDefault="00E10349">
      <w:pPr>
        <w:pStyle w:val="a3"/>
        <w:spacing w:before="125" w:line="297" w:lineRule="auto"/>
        <w:ind w:left="1564" w:right="364"/>
        <w:jc w:val="both"/>
      </w:pPr>
      <w:r>
        <w:pict w14:anchorId="03D8A2FE">
          <v:line id="_x0000_s3826" style="position:absolute;left:0;text-align:left;z-index:16054784;mso-position-horizontal-relative:page" from="108.25pt,.25pt" to="108.25pt,102.95pt" strokecolor="#ededed" strokeweight=".5pt">
            <w10:wrap anchorx="page"/>
          </v:line>
        </w:pict>
      </w:r>
      <w:r w:rsidR="0030286B">
        <w:rPr>
          <w:noProof/>
        </w:rPr>
        <w:drawing>
          <wp:anchor distT="0" distB="0" distL="0" distR="0" simplePos="0" relativeHeight="16055296" behindDoc="0" locked="0" layoutInCell="1" allowOverlap="1" wp14:anchorId="28F19090" wp14:editId="5643B72F">
            <wp:simplePos x="0" y="0"/>
            <wp:positionH relativeFrom="page">
              <wp:posOffset>844422</wp:posOffset>
            </wp:positionH>
            <wp:positionV relativeFrom="paragraph">
              <wp:posOffset>506134</wp:posOffset>
            </wp:positionV>
            <wp:extent cx="298450" cy="298450"/>
            <wp:effectExtent l="0" t="0" r="0" b="0"/>
            <wp:wrapNone/>
            <wp:docPr id="40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0.png"/>
                    <pic:cNvPicPr/>
                  </pic:nvPicPr>
                  <pic:blipFill>
                    <a:blip r:embed="rId171" cstate="print"/>
                    <a:stretch>
                      <a:fillRect/>
                    </a:stretch>
                  </pic:blipFill>
                  <pic:spPr>
                    <a:xfrm>
                      <a:off x="0" y="0"/>
                      <a:ext cx="298450" cy="298450"/>
                    </a:xfrm>
                    <a:prstGeom prst="rect">
                      <a:avLst/>
                    </a:prstGeom>
                  </pic:spPr>
                </pic:pic>
              </a:graphicData>
            </a:graphic>
          </wp:anchor>
        </w:drawing>
      </w:r>
      <w:r w:rsidR="0030286B">
        <w:rPr>
          <w:color w:val="333333"/>
          <w:spacing w:val="-3"/>
          <w:w w:val="110"/>
        </w:rPr>
        <w:t xml:space="preserve">By </w:t>
      </w:r>
      <w:r w:rsidR="0030286B">
        <w:rPr>
          <w:color w:val="333333"/>
          <w:w w:val="110"/>
        </w:rPr>
        <w:t xml:space="preserve">default, if retries are disabled and the listener throws an exception, the delivery is retried </w:t>
      </w:r>
      <w:r w:rsidR="0030286B">
        <w:rPr>
          <w:color w:val="333333"/>
          <w:spacing w:val="-3"/>
          <w:w w:val="110"/>
        </w:rPr>
        <w:t xml:space="preserve">indefinitely. </w:t>
      </w:r>
      <w:r w:rsidR="0030286B">
        <w:rPr>
          <w:color w:val="333333"/>
          <w:spacing w:val="-6"/>
          <w:w w:val="110"/>
        </w:rPr>
        <w:t xml:space="preserve">You </w:t>
      </w:r>
      <w:r w:rsidR="0030286B">
        <w:rPr>
          <w:color w:val="333333"/>
          <w:w w:val="110"/>
        </w:rPr>
        <w:t xml:space="preserve">can modify this behavior in two ways: Set the </w:t>
      </w:r>
      <w:r w:rsidR="0030286B">
        <w:rPr>
          <w:rFonts w:ascii="MS Gothic"/>
          <w:color w:val="B02045"/>
          <w:w w:val="110"/>
        </w:rPr>
        <w:t>defaultRequeueRejected</w:t>
      </w:r>
      <w:r w:rsidR="0030286B">
        <w:rPr>
          <w:rFonts w:ascii="MS Gothic"/>
          <w:color w:val="B02045"/>
          <w:spacing w:val="-68"/>
          <w:w w:val="110"/>
        </w:rPr>
        <w:t xml:space="preserve"> </w:t>
      </w:r>
      <w:r w:rsidR="0030286B">
        <w:rPr>
          <w:color w:val="333333"/>
          <w:w w:val="110"/>
        </w:rPr>
        <w:t>property</w:t>
      </w:r>
      <w:r w:rsidR="0030286B">
        <w:rPr>
          <w:color w:val="333333"/>
          <w:spacing w:val="-4"/>
          <w:w w:val="110"/>
        </w:rPr>
        <w:t xml:space="preserve"> </w:t>
      </w:r>
      <w:r w:rsidR="0030286B">
        <w:rPr>
          <w:color w:val="333333"/>
          <w:w w:val="110"/>
        </w:rPr>
        <w:t>to</w:t>
      </w:r>
      <w:r w:rsidR="0030286B">
        <w:rPr>
          <w:color w:val="333333"/>
          <w:spacing w:val="-2"/>
          <w:w w:val="110"/>
        </w:rPr>
        <w:t xml:space="preserve"> </w:t>
      </w:r>
      <w:r w:rsidR="0030286B">
        <w:rPr>
          <w:rFonts w:ascii="MS Gothic"/>
          <w:color w:val="B02045"/>
          <w:w w:val="110"/>
        </w:rPr>
        <w:t>false</w:t>
      </w:r>
      <w:r w:rsidR="0030286B">
        <w:rPr>
          <w:rFonts w:ascii="MS Gothic"/>
          <w:color w:val="B02045"/>
          <w:spacing w:val="-68"/>
          <w:w w:val="110"/>
        </w:rPr>
        <w:t xml:space="preserve"> </w:t>
      </w:r>
      <w:r w:rsidR="0030286B">
        <w:rPr>
          <w:color w:val="333333"/>
          <w:w w:val="110"/>
        </w:rPr>
        <w:t>so</w:t>
      </w:r>
      <w:r w:rsidR="0030286B">
        <w:rPr>
          <w:color w:val="333333"/>
          <w:spacing w:val="-4"/>
          <w:w w:val="110"/>
        </w:rPr>
        <w:t xml:space="preserve"> </w:t>
      </w:r>
      <w:r w:rsidR="0030286B">
        <w:rPr>
          <w:color w:val="333333"/>
          <w:w w:val="110"/>
        </w:rPr>
        <w:t>that</w:t>
      </w:r>
      <w:r w:rsidR="0030286B">
        <w:rPr>
          <w:color w:val="333333"/>
          <w:spacing w:val="-4"/>
          <w:w w:val="110"/>
        </w:rPr>
        <w:t xml:space="preserve"> </w:t>
      </w:r>
      <w:r w:rsidR="0030286B">
        <w:rPr>
          <w:color w:val="333333"/>
          <w:w w:val="110"/>
        </w:rPr>
        <w:t>zero</w:t>
      </w:r>
      <w:r w:rsidR="0030286B">
        <w:rPr>
          <w:color w:val="333333"/>
          <w:spacing w:val="-3"/>
          <w:w w:val="110"/>
        </w:rPr>
        <w:t xml:space="preserve"> </w:t>
      </w:r>
      <w:r w:rsidR="0030286B">
        <w:rPr>
          <w:color w:val="333333"/>
          <w:w w:val="110"/>
        </w:rPr>
        <w:t>re-deliveries</w:t>
      </w:r>
      <w:r w:rsidR="0030286B">
        <w:rPr>
          <w:color w:val="333333"/>
          <w:spacing w:val="-4"/>
          <w:w w:val="110"/>
        </w:rPr>
        <w:t xml:space="preserve"> </w:t>
      </w:r>
      <w:r w:rsidR="0030286B">
        <w:rPr>
          <w:color w:val="333333"/>
          <w:w w:val="110"/>
        </w:rPr>
        <w:t>are</w:t>
      </w:r>
      <w:r w:rsidR="0030286B">
        <w:rPr>
          <w:color w:val="333333"/>
          <w:spacing w:val="-4"/>
          <w:w w:val="110"/>
        </w:rPr>
        <w:t xml:space="preserve"> </w:t>
      </w:r>
      <w:r w:rsidR="0030286B">
        <w:rPr>
          <w:color w:val="333333"/>
          <w:w w:val="110"/>
        </w:rPr>
        <w:t xml:space="preserve">attempted or throw an </w:t>
      </w:r>
      <w:r w:rsidR="0030286B">
        <w:rPr>
          <w:rFonts w:ascii="MS Gothic"/>
          <w:color w:val="B02045"/>
          <w:w w:val="110"/>
        </w:rPr>
        <w:t xml:space="preserve">AmqpRejectAndDontRequeueException </w:t>
      </w:r>
      <w:r w:rsidR="0030286B">
        <w:rPr>
          <w:color w:val="333333"/>
          <w:w w:val="110"/>
        </w:rPr>
        <w:t>to signal the message should be rejected. The latter is the mechanism used when retries are enabled and the maximum number of delivery attempts is</w:t>
      </w:r>
      <w:r w:rsidR="0030286B">
        <w:rPr>
          <w:color w:val="333333"/>
          <w:spacing w:val="22"/>
          <w:w w:val="110"/>
        </w:rPr>
        <w:t xml:space="preserve"> </w:t>
      </w:r>
      <w:r w:rsidR="0030286B">
        <w:rPr>
          <w:color w:val="333333"/>
          <w:w w:val="110"/>
        </w:rPr>
        <w:t>reached.</w:t>
      </w:r>
    </w:p>
    <w:p w14:paraId="0454E535" w14:textId="77777777" w:rsidR="00A720EB" w:rsidRDefault="00A720EB">
      <w:pPr>
        <w:pStyle w:val="a3"/>
        <w:spacing w:before="11"/>
        <w:rPr>
          <w:sz w:val="23"/>
        </w:rPr>
      </w:pPr>
    </w:p>
    <w:p w14:paraId="47E9CBEA" w14:textId="77777777" w:rsidR="00A720EB" w:rsidRDefault="0030286B">
      <w:pPr>
        <w:pStyle w:val="3"/>
        <w:numPr>
          <w:ilvl w:val="2"/>
          <w:numId w:val="68"/>
        </w:numPr>
        <w:tabs>
          <w:tab w:val="left" w:pos="1003"/>
        </w:tabs>
        <w:spacing w:before="105"/>
        <w:ind w:left="1002" w:hanging="879"/>
      </w:pPr>
      <w:bookmarkStart w:id="407" w:name="4.14.3._Apache_Kafka_Support"/>
      <w:bookmarkStart w:id="408" w:name="_Toc54423790"/>
      <w:bookmarkEnd w:id="407"/>
      <w:r>
        <w:rPr>
          <w:color w:val="333333"/>
          <w:w w:val="110"/>
        </w:rPr>
        <w:t>Apache Kafka</w:t>
      </w:r>
      <w:r>
        <w:rPr>
          <w:color w:val="333333"/>
          <w:spacing w:val="-12"/>
          <w:w w:val="110"/>
        </w:rPr>
        <w:t xml:space="preserve"> </w:t>
      </w:r>
      <w:r>
        <w:rPr>
          <w:color w:val="333333"/>
          <w:w w:val="110"/>
        </w:rPr>
        <w:t>Support</w:t>
      </w:r>
      <w:bookmarkEnd w:id="408"/>
    </w:p>
    <w:p w14:paraId="6F40A98B" w14:textId="77777777" w:rsidR="00A720EB" w:rsidRDefault="00E10349">
      <w:pPr>
        <w:pStyle w:val="a3"/>
        <w:spacing w:before="244"/>
        <w:ind w:left="124"/>
      </w:pPr>
      <w:hyperlink r:id="rId290">
        <w:r w:rsidR="0030286B">
          <w:rPr>
            <w:color w:val="418BCA"/>
            <w:w w:val="110"/>
          </w:rPr>
          <w:t xml:space="preserve">Apache Kafka </w:t>
        </w:r>
      </w:hyperlink>
      <w:r w:rsidR="0030286B">
        <w:rPr>
          <w:color w:val="333333"/>
          <w:w w:val="110"/>
        </w:rPr>
        <w:t xml:space="preserve">is supported by providing auto-configuration of the </w:t>
      </w:r>
      <w:r w:rsidR="0030286B">
        <w:rPr>
          <w:rFonts w:ascii="MS Gothic"/>
          <w:color w:val="B02045"/>
          <w:w w:val="110"/>
        </w:rPr>
        <w:t xml:space="preserve">spring-kafka </w:t>
      </w:r>
      <w:r w:rsidR="0030286B">
        <w:rPr>
          <w:color w:val="333333"/>
          <w:w w:val="110"/>
        </w:rPr>
        <w:t>project.</w:t>
      </w:r>
    </w:p>
    <w:p w14:paraId="1EB53C06" w14:textId="77777777" w:rsidR="00A720EB" w:rsidRDefault="00A720EB">
      <w:pPr>
        <w:pStyle w:val="a3"/>
        <w:spacing w:before="5"/>
        <w:rPr>
          <w:sz w:val="24"/>
        </w:rPr>
      </w:pPr>
    </w:p>
    <w:p w14:paraId="29CC75D7" w14:textId="77777777" w:rsidR="00A720EB" w:rsidRDefault="0030286B">
      <w:pPr>
        <w:pStyle w:val="a3"/>
        <w:spacing w:line="280" w:lineRule="auto"/>
        <w:ind w:left="124" w:right="462"/>
      </w:pPr>
      <w:r>
        <w:rPr>
          <w:color w:val="333333"/>
          <w:w w:val="110"/>
        </w:rPr>
        <w:t xml:space="preserve">Kafka configuration is controlled by external configuration properties in </w:t>
      </w:r>
      <w:proofErr w:type="gramStart"/>
      <w:r>
        <w:rPr>
          <w:rFonts w:ascii="MS Gothic"/>
          <w:color w:val="B02045"/>
          <w:w w:val="110"/>
        </w:rPr>
        <w:t>spring.kafka</w:t>
      </w:r>
      <w:proofErr w:type="gramEnd"/>
      <w:r>
        <w:rPr>
          <w:rFonts w:ascii="MS Gothic"/>
          <w:color w:val="B02045"/>
          <w:w w:val="110"/>
        </w:rPr>
        <w:t>.*</w:t>
      </w:r>
      <w:r>
        <w:rPr>
          <w:color w:val="333333"/>
          <w:w w:val="110"/>
        </w:rPr>
        <w:t xml:space="preserve">. For example, you might declare the following section in </w:t>
      </w:r>
      <w:proofErr w:type="gramStart"/>
      <w:r>
        <w:rPr>
          <w:rFonts w:ascii="MS Gothic"/>
          <w:color w:val="B02045"/>
          <w:w w:val="110"/>
        </w:rPr>
        <w:t>application.properties</w:t>
      </w:r>
      <w:proofErr w:type="gramEnd"/>
      <w:r>
        <w:rPr>
          <w:color w:val="333333"/>
          <w:w w:val="110"/>
        </w:rPr>
        <w:t>:</w:t>
      </w:r>
    </w:p>
    <w:p w14:paraId="23D193C5" w14:textId="77777777" w:rsidR="00A720EB" w:rsidRDefault="00E10349">
      <w:pPr>
        <w:pStyle w:val="a3"/>
        <w:spacing w:before="1"/>
        <w:rPr>
          <w:sz w:val="14"/>
        </w:rPr>
      </w:pPr>
      <w:r>
        <w:pict w14:anchorId="7ED75BDD">
          <v:group id="_x0000_s3822" style="position:absolute;margin-left:47.85pt;margin-top:10.25pt;width:499.55pt;height:52.25pt;z-index:-15403008;mso-wrap-distance-left:0;mso-wrap-distance-right:0;mso-position-horizontal-relative:page" coordorigin="957,205" coordsize="9991,1045">
            <v:shape id="_x0000_s3825" style="position:absolute;left:964;top:212;width:9976;height:1030" coordorigin="965,212" coordsize="9976,1030" path="m10861,212r-9816,l1014,219r-26,17l971,261r-6,31l965,1162r6,31l988,1218r26,18l1045,1242r9816,l10892,1236r25,-18l10935,1193r6,-31l10941,292r-6,-31l10917,236r-25,-17l10861,212xe" fillcolor="#f5f5f5" stroked="f">
              <v:path arrowok="t"/>
            </v:shape>
            <v:shape id="_x0000_s3824" style="position:absolute;left:964;top:212;width:9976;height:1030" coordorigin="965,212" coordsize="9976,1030" path="m1045,212r9816,l10892,219r25,17l10935,261r6,31l10941,1162r-6,31l10917,1218r-25,18l10861,1242r-9816,l1014,1236r-26,-18l971,1193r-6,-31l965,292r6,-31l988,236r26,-17l1045,212xe" filled="f" strokecolor="#ccc">
              <v:path arrowok="t"/>
            </v:shape>
            <v:shape id="_x0000_s3823" type="#_x0000_t202" style="position:absolute;left:984;top:227;width:9938;height:999" filled="f" stroked="f">
              <v:textbox inset="0,0,0,0">
                <w:txbxContent>
                  <w:p w14:paraId="30FE99D9" w14:textId="77777777" w:rsidR="00711A16" w:rsidRDefault="00711A16">
                    <w:pPr>
                      <w:spacing w:before="221" w:line="252" w:lineRule="auto"/>
                      <w:ind w:left="200" w:right="4784"/>
                      <w:rPr>
                        <w:rFonts w:ascii="MS Gothic"/>
                      </w:rPr>
                    </w:pPr>
                    <w:proofErr w:type="gramStart"/>
                    <w:r>
                      <w:rPr>
                        <w:rFonts w:ascii="MS Gothic"/>
                        <w:color w:val="333333"/>
                      </w:rPr>
                      <w:t>spring.kafka</w:t>
                    </w:r>
                    <w:proofErr w:type="gramEnd"/>
                    <w:r>
                      <w:rPr>
                        <w:rFonts w:ascii="MS Gothic"/>
                        <w:color w:val="333333"/>
                      </w:rPr>
                      <w:t>.bootstrap-servers=localhost:9092 spring.kafka.consumer.group-id=myGroup</w:t>
                    </w:r>
                  </w:p>
                </w:txbxContent>
              </v:textbox>
            </v:shape>
            <w10:wrap type="topAndBottom" anchorx="page"/>
          </v:group>
        </w:pict>
      </w:r>
    </w:p>
    <w:p w14:paraId="3A1EBE2A" w14:textId="77777777" w:rsidR="00A720EB" w:rsidRDefault="00A720EB">
      <w:pPr>
        <w:pStyle w:val="a3"/>
        <w:spacing w:before="8"/>
        <w:rPr>
          <w:sz w:val="16"/>
        </w:rPr>
      </w:pPr>
    </w:p>
    <w:p w14:paraId="487223AE" w14:textId="77777777" w:rsidR="00A720EB" w:rsidRDefault="00E10349">
      <w:pPr>
        <w:pStyle w:val="a3"/>
        <w:spacing w:before="116" w:line="290" w:lineRule="auto"/>
        <w:ind w:left="1564" w:right="359"/>
      </w:pPr>
      <w:r>
        <w:pict w14:anchorId="26EC2CAA">
          <v:line id="_x0000_s3821" style="position:absolute;left:0;text-align:left;z-index:16055808;mso-position-horizontal-relative:page" from="108.25pt,.35pt" to="108.25pt,39.9pt" strokecolor="#ededed" strokeweight=".5pt">
            <w10:wrap anchorx="page"/>
          </v:line>
        </w:pict>
      </w:r>
      <w:r w:rsidR="0030286B">
        <w:rPr>
          <w:noProof/>
        </w:rPr>
        <w:drawing>
          <wp:anchor distT="0" distB="0" distL="0" distR="0" simplePos="0" relativeHeight="16056320" behindDoc="0" locked="0" layoutInCell="1" allowOverlap="1" wp14:anchorId="4D7A4781" wp14:editId="67160038">
            <wp:simplePos x="0" y="0"/>
            <wp:positionH relativeFrom="page">
              <wp:posOffset>888949</wp:posOffset>
            </wp:positionH>
            <wp:positionV relativeFrom="paragraph">
              <wp:posOffset>103073</wp:posOffset>
            </wp:positionV>
            <wp:extent cx="209550" cy="304799"/>
            <wp:effectExtent l="0" t="0" r="0" b="0"/>
            <wp:wrapNone/>
            <wp:docPr id="41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2.png"/>
                    <pic:cNvPicPr/>
                  </pic:nvPicPr>
                  <pic:blipFill>
                    <a:blip r:embed="rId31" cstate="print"/>
                    <a:stretch>
                      <a:fillRect/>
                    </a:stretch>
                  </pic:blipFill>
                  <pic:spPr>
                    <a:xfrm>
                      <a:off x="0" y="0"/>
                      <a:ext cx="209550" cy="304799"/>
                    </a:xfrm>
                    <a:prstGeom prst="rect">
                      <a:avLst/>
                    </a:prstGeom>
                  </pic:spPr>
                </pic:pic>
              </a:graphicData>
            </a:graphic>
          </wp:anchor>
        </w:drawing>
      </w:r>
      <w:r w:rsidR="0030286B">
        <w:rPr>
          <w:color w:val="333333"/>
          <w:w w:val="110"/>
        </w:rPr>
        <w:t xml:space="preserve">To create a topic on startup, add a bean of type </w:t>
      </w:r>
      <w:r w:rsidR="0030286B">
        <w:rPr>
          <w:rFonts w:ascii="MS Gothic"/>
          <w:color w:val="B02045"/>
          <w:w w:val="110"/>
        </w:rPr>
        <w:t>NewTopic</w:t>
      </w:r>
      <w:r w:rsidR="0030286B">
        <w:rPr>
          <w:color w:val="333333"/>
          <w:w w:val="110"/>
        </w:rPr>
        <w:t>. If the topic already exists, the bean is ignored.</w:t>
      </w:r>
    </w:p>
    <w:p w14:paraId="5DCF9C8E" w14:textId="77777777" w:rsidR="00A720EB" w:rsidRDefault="00A720EB">
      <w:pPr>
        <w:pStyle w:val="a3"/>
        <w:spacing w:before="1"/>
        <w:rPr>
          <w:sz w:val="18"/>
        </w:rPr>
      </w:pPr>
    </w:p>
    <w:p w14:paraId="00B5E555" w14:textId="77777777" w:rsidR="00A720EB" w:rsidRDefault="0030286B">
      <w:pPr>
        <w:pStyle w:val="a3"/>
        <w:spacing w:before="116"/>
        <w:ind w:left="124"/>
      </w:pPr>
      <w:r>
        <w:rPr>
          <w:color w:val="333333"/>
          <w:w w:val="110"/>
        </w:rPr>
        <w:t xml:space="preserve">See </w:t>
      </w:r>
      <w:hyperlink r:id="rId291">
        <w:r>
          <w:rPr>
            <w:rFonts w:ascii="MS Gothic"/>
            <w:color w:val="B02045"/>
            <w:w w:val="110"/>
          </w:rPr>
          <w:t>KafkaProperties</w:t>
        </w:r>
        <w:r>
          <w:rPr>
            <w:rFonts w:ascii="MS Gothic"/>
            <w:color w:val="B02045"/>
            <w:spacing w:val="-57"/>
            <w:w w:val="110"/>
          </w:rPr>
          <w:t xml:space="preserve"> </w:t>
        </w:r>
      </w:hyperlink>
      <w:r>
        <w:rPr>
          <w:color w:val="333333"/>
          <w:w w:val="110"/>
        </w:rPr>
        <w:t>for more supported options.</w:t>
      </w:r>
    </w:p>
    <w:p w14:paraId="5D2B9703" w14:textId="77777777" w:rsidR="00A720EB" w:rsidRDefault="00A720EB">
      <w:pPr>
        <w:pStyle w:val="a3"/>
        <w:spacing w:before="5"/>
        <w:rPr>
          <w:sz w:val="30"/>
        </w:rPr>
      </w:pPr>
    </w:p>
    <w:p w14:paraId="6C4D4394" w14:textId="77777777" w:rsidR="00A720EB" w:rsidRDefault="0030286B">
      <w:pPr>
        <w:pStyle w:val="4"/>
        <w:jc w:val="left"/>
      </w:pPr>
      <w:bookmarkStart w:id="409" w:name="Sending_a_Message"/>
      <w:bookmarkEnd w:id="409"/>
      <w:r>
        <w:rPr>
          <w:color w:val="333333"/>
          <w:w w:val="110"/>
        </w:rPr>
        <w:t>Sending a Message</w:t>
      </w:r>
    </w:p>
    <w:p w14:paraId="6B2662E0" w14:textId="77777777" w:rsidR="00A720EB" w:rsidRDefault="0030286B">
      <w:pPr>
        <w:pStyle w:val="a3"/>
        <w:spacing w:before="244" w:line="290" w:lineRule="auto"/>
        <w:ind w:left="124"/>
      </w:pPr>
      <w:r>
        <w:rPr>
          <w:color w:val="333333"/>
          <w:w w:val="110"/>
        </w:rPr>
        <w:t xml:space="preserve">Spring’s </w:t>
      </w:r>
      <w:r>
        <w:rPr>
          <w:rFonts w:ascii="MS Gothic" w:hAnsi="MS Gothic"/>
          <w:color w:val="B02045"/>
          <w:w w:val="110"/>
        </w:rPr>
        <w:t xml:space="preserve">KafkaTemplate </w:t>
      </w:r>
      <w:r>
        <w:rPr>
          <w:color w:val="333333"/>
          <w:w w:val="110"/>
        </w:rPr>
        <w:t>is auto-configured, and you can autowire it directly in your own beans, as shown in the following example:</w:t>
      </w:r>
    </w:p>
    <w:p w14:paraId="3AAC0A9C" w14:textId="77777777" w:rsidR="00A720EB" w:rsidRDefault="00A720EB">
      <w:pPr>
        <w:spacing w:line="290" w:lineRule="auto"/>
        <w:sectPr w:rsidR="00A720EB">
          <w:pgSz w:w="11910" w:h="16840"/>
          <w:pgMar w:top="700" w:right="840" w:bottom="520" w:left="840" w:header="0" w:footer="323" w:gutter="0"/>
          <w:cols w:space="720"/>
        </w:sectPr>
      </w:pPr>
    </w:p>
    <w:p w14:paraId="751FD76A" w14:textId="77777777" w:rsidR="00A720EB" w:rsidRDefault="00E10349">
      <w:pPr>
        <w:pStyle w:val="a3"/>
        <w:ind w:left="116"/>
        <w:rPr>
          <w:sz w:val="20"/>
        </w:rPr>
      </w:pPr>
      <w:r>
        <w:rPr>
          <w:sz w:val="20"/>
        </w:rPr>
      </w:r>
      <w:r>
        <w:rPr>
          <w:sz w:val="20"/>
        </w:rPr>
        <w:pict w14:anchorId="4AA97BB0">
          <v:group id="_x0000_s3817" style="width:499.55pt;height:214.4pt;mso-position-horizontal-relative:char;mso-position-vertical-relative:line" coordsize="9991,4288">
            <v:shape id="_x0000_s3820" style="position:absolute;left:7;top:7;width:9976;height:4273" coordorigin="8,8" coordsize="9976,4273" path="m9904,8l88,8,56,14,31,31,14,56,8,88r,4112l14,4231r17,25l56,4274r32,6l9904,4280r31,-6l9960,4256r17,-25l9984,4200r,-4112l9977,56,9960,31,9935,14,9904,8xe" fillcolor="#f5f5f5" stroked="f">
              <v:path arrowok="t"/>
            </v:shape>
            <v:shape id="_x0000_s3819" style="position:absolute;left:7;top:7;width:9976;height:4273" coordorigin="8,8" coordsize="9976,4273" path="m88,8r9816,l9935,14r25,17l9977,56r7,32l9984,4200r-7,31l9960,4256r-25,18l9904,4280r-9816,l56,4274,31,4256,14,4231,8,4200,8,88,14,56,31,31,56,14,88,8xe" filled="f" strokecolor="#ccc">
              <v:path arrowok="t"/>
            </v:shape>
            <v:shape id="_x0000_s3818" type="#_x0000_t202" style="position:absolute;left:26;top:22;width:9938;height:4242" filled="f" stroked="f">
              <v:textbox inset="0,0,0,0">
                <w:txbxContent>
                  <w:p w14:paraId="4B45EC9B" w14:textId="77777777" w:rsidR="00711A16" w:rsidRDefault="00711A16">
                    <w:pPr>
                      <w:spacing w:before="221"/>
                      <w:ind w:left="200"/>
                      <w:rPr>
                        <w:rFonts w:ascii="MS Gothic"/>
                      </w:rPr>
                    </w:pPr>
                    <w:r>
                      <w:rPr>
                        <w:rFonts w:ascii="MS Gothic"/>
                        <w:color w:val="333333"/>
                      </w:rPr>
                      <w:t>@Component</w:t>
                    </w:r>
                  </w:p>
                  <w:p w14:paraId="5492D64A" w14:textId="77777777" w:rsidR="00711A16" w:rsidRDefault="00711A16">
                    <w:pPr>
                      <w:spacing w:before="13"/>
                      <w:ind w:left="200"/>
                      <w:rPr>
                        <w:rFonts w:ascii="MS Gothic"/>
                      </w:rPr>
                    </w:pPr>
                    <w:r>
                      <w:rPr>
                        <w:rFonts w:ascii="MS Gothic"/>
                        <w:color w:val="333333"/>
                      </w:rPr>
                      <w:t>public class MyBean {</w:t>
                    </w:r>
                  </w:p>
                  <w:p w14:paraId="2033C8E0" w14:textId="77777777" w:rsidR="00711A16" w:rsidRDefault="00711A16">
                    <w:pPr>
                      <w:spacing w:line="590" w:lineRule="atLeast"/>
                      <w:ind w:left="640" w:right="4658"/>
                      <w:rPr>
                        <w:rFonts w:ascii="MS Gothic"/>
                      </w:rPr>
                    </w:pPr>
                    <w:r>
                      <w:rPr>
                        <w:rFonts w:ascii="MS Gothic"/>
                        <w:color w:val="333333"/>
                      </w:rPr>
                      <w:t>private final KafkaTemplate kafkaTemplate; @Autowired</w:t>
                    </w:r>
                  </w:p>
                  <w:p w14:paraId="7DADF3BE" w14:textId="77777777" w:rsidR="00711A16" w:rsidRDefault="00711A16">
                    <w:pPr>
                      <w:spacing w:before="12" w:line="252" w:lineRule="auto"/>
                      <w:ind w:left="1080" w:right="4438" w:hanging="440"/>
                      <w:rPr>
                        <w:rFonts w:ascii="MS Gothic"/>
                      </w:rPr>
                    </w:pPr>
                    <w:r>
                      <w:rPr>
                        <w:rFonts w:ascii="MS Gothic"/>
                        <w:color w:val="333333"/>
                      </w:rPr>
                      <w:t xml:space="preserve">public </w:t>
                    </w:r>
                    <w:proofErr w:type="gramStart"/>
                    <w:r>
                      <w:rPr>
                        <w:rFonts w:ascii="MS Gothic"/>
                        <w:color w:val="333333"/>
                      </w:rPr>
                      <w:t>MyBean(</w:t>
                    </w:r>
                    <w:proofErr w:type="gramEnd"/>
                    <w:r>
                      <w:rPr>
                        <w:rFonts w:ascii="MS Gothic"/>
                        <w:color w:val="333333"/>
                      </w:rPr>
                      <w:t>KafkaTemplate kafkaTemplate) { this.kafkaTemplate = kafkaTemplate;</w:t>
                    </w:r>
                  </w:p>
                  <w:p w14:paraId="156CACF9" w14:textId="77777777" w:rsidR="00711A16" w:rsidRDefault="00711A16">
                    <w:pPr>
                      <w:spacing w:line="280" w:lineRule="exact"/>
                      <w:ind w:left="640"/>
                      <w:rPr>
                        <w:rFonts w:ascii="MS Gothic"/>
                      </w:rPr>
                    </w:pPr>
                    <w:r>
                      <w:rPr>
                        <w:rFonts w:ascii="MS Gothic"/>
                        <w:color w:val="333333"/>
                      </w:rPr>
                      <w:t>}</w:t>
                    </w:r>
                  </w:p>
                  <w:p w14:paraId="05348422" w14:textId="77777777" w:rsidR="00711A16" w:rsidRDefault="00711A16">
                    <w:pPr>
                      <w:rPr>
                        <w:rFonts w:ascii="MS Gothic"/>
                        <w:sz w:val="24"/>
                      </w:rPr>
                    </w:pPr>
                  </w:p>
                  <w:p w14:paraId="4ABDBE41" w14:textId="77777777" w:rsidR="00711A16" w:rsidRDefault="00711A16">
                    <w:pPr>
                      <w:ind w:left="640"/>
                      <w:rPr>
                        <w:rFonts w:ascii="MS Gothic"/>
                      </w:rPr>
                    </w:pPr>
                    <w:r>
                      <w:rPr>
                        <w:rFonts w:ascii="MS Gothic"/>
                        <w:color w:val="333333"/>
                      </w:rPr>
                      <w:t>// ...</w:t>
                    </w:r>
                  </w:p>
                  <w:p w14:paraId="6C389C67" w14:textId="77777777" w:rsidR="00711A16" w:rsidRDefault="00711A16">
                    <w:pPr>
                      <w:rPr>
                        <w:rFonts w:ascii="MS Gothic"/>
                        <w:sz w:val="24"/>
                      </w:rPr>
                    </w:pPr>
                  </w:p>
                  <w:p w14:paraId="52D4FE9F" w14:textId="77777777" w:rsidR="00711A16" w:rsidRDefault="00711A16">
                    <w:pPr>
                      <w:ind w:left="200"/>
                      <w:rPr>
                        <w:rFonts w:ascii="MS Gothic"/>
                      </w:rPr>
                    </w:pPr>
                    <w:r>
                      <w:rPr>
                        <w:rFonts w:ascii="MS Gothic"/>
                        <w:color w:val="333333"/>
                      </w:rPr>
                      <w:t>}</w:t>
                    </w:r>
                  </w:p>
                </w:txbxContent>
              </v:textbox>
            </v:shape>
            <w10:anchorlock/>
          </v:group>
        </w:pict>
      </w:r>
    </w:p>
    <w:p w14:paraId="6197E80E" w14:textId="77777777" w:rsidR="00A720EB" w:rsidRDefault="00A720EB">
      <w:pPr>
        <w:pStyle w:val="a3"/>
        <w:spacing w:before="10"/>
        <w:rPr>
          <w:sz w:val="16"/>
        </w:rPr>
      </w:pPr>
    </w:p>
    <w:p w14:paraId="1BAE4651" w14:textId="77777777" w:rsidR="00A720EB" w:rsidRDefault="00E10349">
      <w:pPr>
        <w:pStyle w:val="a3"/>
        <w:spacing w:before="116" w:line="280" w:lineRule="auto"/>
        <w:ind w:left="1564" w:right="365"/>
        <w:jc w:val="both"/>
      </w:pPr>
      <w:r>
        <w:pict w14:anchorId="62FAFDC1">
          <v:line id="_x0000_s3816" style="position:absolute;left:0;text-align:left;z-index:16057856;mso-position-horizontal-relative:page" from="108.25pt,.35pt" to="108.25pt,71.45pt" strokecolor="#ededed" strokeweight=".5pt">
            <w10:wrap anchorx="page"/>
          </v:line>
        </w:pict>
      </w:r>
      <w:r w:rsidR="0030286B">
        <w:rPr>
          <w:noProof/>
        </w:rPr>
        <w:drawing>
          <wp:anchor distT="0" distB="0" distL="0" distR="0" simplePos="0" relativeHeight="16058368" behindDoc="0" locked="0" layoutInCell="1" allowOverlap="1" wp14:anchorId="51E5C7C1" wp14:editId="772D0D81">
            <wp:simplePos x="0" y="0"/>
            <wp:positionH relativeFrom="page">
              <wp:posOffset>844422</wp:posOffset>
            </wp:positionH>
            <wp:positionV relativeFrom="paragraph">
              <wp:posOffset>306654</wp:posOffset>
            </wp:positionV>
            <wp:extent cx="298450" cy="298450"/>
            <wp:effectExtent l="0" t="0" r="0" b="0"/>
            <wp:wrapNone/>
            <wp:docPr id="4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the property </w:t>
      </w:r>
      <w:proofErr w:type="gramStart"/>
      <w:r w:rsidR="0030286B">
        <w:rPr>
          <w:rFonts w:ascii="MS Gothic"/>
          <w:color w:val="B02045"/>
          <w:w w:val="110"/>
        </w:rPr>
        <w:t>spring.kafka</w:t>
      </w:r>
      <w:proofErr w:type="gramEnd"/>
      <w:r w:rsidR="0030286B">
        <w:rPr>
          <w:rFonts w:ascii="MS Gothic"/>
          <w:color w:val="B02045"/>
          <w:w w:val="110"/>
        </w:rPr>
        <w:t xml:space="preserve">.producer.transaction-id-prefix </w:t>
      </w:r>
      <w:r w:rsidR="0030286B">
        <w:rPr>
          <w:color w:val="333333"/>
          <w:w w:val="110"/>
        </w:rPr>
        <w:t xml:space="preserve">is defined, a </w:t>
      </w:r>
      <w:r w:rsidR="0030286B">
        <w:rPr>
          <w:rFonts w:ascii="MS Gothic"/>
          <w:color w:val="B02045"/>
          <w:w w:val="110"/>
        </w:rPr>
        <w:t xml:space="preserve">KafkaTransactionManager </w:t>
      </w:r>
      <w:r w:rsidR="0030286B">
        <w:rPr>
          <w:color w:val="333333"/>
          <w:w w:val="110"/>
        </w:rPr>
        <w:t xml:space="preserve">is  automatically  configured.  </w:t>
      </w:r>
      <w:proofErr w:type="gramStart"/>
      <w:r w:rsidR="0030286B">
        <w:rPr>
          <w:color w:val="333333"/>
          <w:w w:val="110"/>
        </w:rPr>
        <w:t>Also,  if</w:t>
      </w:r>
      <w:proofErr w:type="gramEnd"/>
      <w:r w:rsidR="0030286B">
        <w:rPr>
          <w:color w:val="333333"/>
          <w:w w:val="110"/>
        </w:rPr>
        <w:t xml:space="preserve">  a </w:t>
      </w:r>
      <w:r w:rsidR="0030286B">
        <w:rPr>
          <w:rFonts w:ascii="MS Gothic"/>
          <w:color w:val="B02045"/>
          <w:w w:val="110"/>
        </w:rPr>
        <w:t xml:space="preserve">RecordMessageConverter </w:t>
      </w:r>
      <w:r w:rsidR="0030286B">
        <w:rPr>
          <w:color w:val="333333"/>
          <w:w w:val="110"/>
        </w:rPr>
        <w:t xml:space="preserve">bean is defined, it is automatically associated to the auto- configured </w:t>
      </w:r>
      <w:r w:rsidR="0030286B">
        <w:rPr>
          <w:rFonts w:ascii="MS Gothic"/>
          <w:color w:val="B02045"/>
          <w:w w:val="110"/>
        </w:rPr>
        <w:t>KafkaTemplate</w:t>
      </w:r>
      <w:r w:rsidR="0030286B">
        <w:rPr>
          <w:color w:val="333333"/>
          <w:w w:val="110"/>
        </w:rPr>
        <w:t>.</w:t>
      </w:r>
    </w:p>
    <w:p w14:paraId="07CC541E" w14:textId="77777777" w:rsidR="00A720EB" w:rsidRDefault="00A720EB">
      <w:pPr>
        <w:pStyle w:val="a3"/>
        <w:spacing w:before="8"/>
        <w:rPr>
          <w:sz w:val="24"/>
        </w:rPr>
      </w:pPr>
    </w:p>
    <w:p w14:paraId="44C3A956" w14:textId="77777777" w:rsidR="00A720EB" w:rsidRDefault="0030286B">
      <w:pPr>
        <w:pStyle w:val="4"/>
        <w:spacing w:before="104"/>
      </w:pPr>
      <w:bookmarkStart w:id="410" w:name="Receiving_a_Message"/>
      <w:bookmarkEnd w:id="410"/>
      <w:r>
        <w:rPr>
          <w:color w:val="333333"/>
          <w:w w:val="110"/>
        </w:rPr>
        <w:t>Receiving a Message</w:t>
      </w:r>
    </w:p>
    <w:p w14:paraId="2144290D" w14:textId="77777777" w:rsidR="00A720EB" w:rsidRDefault="0030286B">
      <w:pPr>
        <w:pStyle w:val="a3"/>
        <w:spacing w:before="244" w:line="280" w:lineRule="auto"/>
        <w:ind w:left="124" w:right="122"/>
        <w:jc w:val="both"/>
      </w:pPr>
      <w:r>
        <w:rPr>
          <w:color w:val="333333"/>
          <w:w w:val="110"/>
        </w:rPr>
        <w:t xml:space="preserve">When the Apache Kafka infrastructure is present, any bean can be annotated with </w:t>
      </w:r>
      <w:r>
        <w:rPr>
          <w:rFonts w:ascii="MS Gothic"/>
          <w:color w:val="B02045"/>
          <w:w w:val="110"/>
        </w:rPr>
        <w:t xml:space="preserve">@KafkaListener </w:t>
      </w:r>
      <w:r>
        <w:rPr>
          <w:color w:val="333333"/>
          <w:w w:val="110"/>
        </w:rPr>
        <w:t>to</w:t>
      </w:r>
      <w:r>
        <w:rPr>
          <w:color w:val="333333"/>
          <w:spacing w:val="-6"/>
          <w:w w:val="110"/>
        </w:rPr>
        <w:t xml:space="preserve"> </w:t>
      </w:r>
      <w:r>
        <w:rPr>
          <w:color w:val="333333"/>
          <w:w w:val="110"/>
        </w:rPr>
        <w:t>create</w:t>
      </w:r>
      <w:r>
        <w:rPr>
          <w:color w:val="333333"/>
          <w:spacing w:val="-6"/>
          <w:w w:val="110"/>
        </w:rPr>
        <w:t xml:space="preserve"> </w:t>
      </w:r>
      <w:r>
        <w:rPr>
          <w:color w:val="333333"/>
          <w:w w:val="110"/>
        </w:rPr>
        <w:t>a</w:t>
      </w:r>
      <w:r>
        <w:rPr>
          <w:color w:val="333333"/>
          <w:spacing w:val="-6"/>
          <w:w w:val="110"/>
        </w:rPr>
        <w:t xml:space="preserve"> </w:t>
      </w:r>
      <w:r>
        <w:rPr>
          <w:color w:val="333333"/>
          <w:w w:val="110"/>
        </w:rPr>
        <w:t>listener</w:t>
      </w:r>
      <w:r>
        <w:rPr>
          <w:color w:val="333333"/>
          <w:spacing w:val="-6"/>
          <w:w w:val="110"/>
        </w:rPr>
        <w:t xml:space="preserve"> </w:t>
      </w:r>
      <w:r>
        <w:rPr>
          <w:color w:val="333333"/>
          <w:w w:val="110"/>
        </w:rPr>
        <w:t>endpoint.</w:t>
      </w:r>
      <w:r>
        <w:rPr>
          <w:color w:val="333333"/>
          <w:spacing w:val="-5"/>
          <w:w w:val="110"/>
        </w:rPr>
        <w:t xml:space="preserve"> </w:t>
      </w:r>
      <w:r>
        <w:rPr>
          <w:color w:val="333333"/>
          <w:w w:val="110"/>
        </w:rPr>
        <w:t>If</w:t>
      </w:r>
      <w:r>
        <w:rPr>
          <w:color w:val="333333"/>
          <w:spacing w:val="-6"/>
          <w:w w:val="110"/>
        </w:rPr>
        <w:t xml:space="preserve"> </w:t>
      </w:r>
      <w:r>
        <w:rPr>
          <w:color w:val="333333"/>
          <w:w w:val="110"/>
        </w:rPr>
        <w:t>no</w:t>
      </w:r>
      <w:r>
        <w:rPr>
          <w:color w:val="333333"/>
          <w:spacing w:val="-6"/>
          <w:w w:val="110"/>
        </w:rPr>
        <w:t xml:space="preserve"> </w:t>
      </w:r>
      <w:r>
        <w:rPr>
          <w:rFonts w:ascii="MS Gothic"/>
          <w:color w:val="B02045"/>
          <w:w w:val="110"/>
        </w:rPr>
        <w:t>KafkaListenerContainerFactory</w:t>
      </w:r>
      <w:r>
        <w:rPr>
          <w:rFonts w:ascii="MS Gothic"/>
          <w:color w:val="B02045"/>
          <w:spacing w:val="-71"/>
          <w:w w:val="110"/>
        </w:rPr>
        <w:t xml:space="preserve"> </w:t>
      </w:r>
      <w:r>
        <w:rPr>
          <w:color w:val="333333"/>
          <w:w w:val="110"/>
        </w:rPr>
        <w:t>has</w:t>
      </w:r>
      <w:r>
        <w:rPr>
          <w:color w:val="333333"/>
          <w:spacing w:val="-6"/>
          <w:w w:val="110"/>
        </w:rPr>
        <w:t xml:space="preserve"> </w:t>
      </w:r>
      <w:r>
        <w:rPr>
          <w:color w:val="333333"/>
          <w:w w:val="110"/>
        </w:rPr>
        <w:t>been</w:t>
      </w:r>
      <w:r>
        <w:rPr>
          <w:color w:val="333333"/>
          <w:spacing w:val="-5"/>
          <w:w w:val="110"/>
        </w:rPr>
        <w:t xml:space="preserve"> </w:t>
      </w:r>
      <w:r>
        <w:rPr>
          <w:color w:val="333333"/>
          <w:w w:val="110"/>
        </w:rPr>
        <w:t>defined,</w:t>
      </w:r>
      <w:r>
        <w:rPr>
          <w:color w:val="333333"/>
          <w:spacing w:val="-6"/>
          <w:w w:val="110"/>
        </w:rPr>
        <w:t xml:space="preserve"> </w:t>
      </w:r>
      <w:r>
        <w:rPr>
          <w:color w:val="333333"/>
          <w:w w:val="110"/>
        </w:rPr>
        <w:t>a</w:t>
      </w:r>
      <w:r>
        <w:rPr>
          <w:color w:val="333333"/>
          <w:spacing w:val="-6"/>
          <w:w w:val="110"/>
        </w:rPr>
        <w:t xml:space="preserve"> </w:t>
      </w:r>
      <w:r>
        <w:rPr>
          <w:color w:val="333333"/>
          <w:w w:val="110"/>
        </w:rPr>
        <w:t>default</w:t>
      </w:r>
      <w:r>
        <w:rPr>
          <w:color w:val="333333"/>
          <w:spacing w:val="-6"/>
          <w:w w:val="110"/>
        </w:rPr>
        <w:t xml:space="preserve"> </w:t>
      </w:r>
      <w:r>
        <w:rPr>
          <w:color w:val="333333"/>
          <w:w w:val="110"/>
        </w:rPr>
        <w:t>one</w:t>
      </w:r>
      <w:r>
        <w:rPr>
          <w:color w:val="333333"/>
          <w:spacing w:val="-6"/>
          <w:w w:val="110"/>
        </w:rPr>
        <w:t xml:space="preserve"> </w:t>
      </w:r>
      <w:r>
        <w:rPr>
          <w:color w:val="333333"/>
          <w:w w:val="110"/>
        </w:rPr>
        <w:t>is automatically configured with keys defined in</w:t>
      </w:r>
      <w:r>
        <w:rPr>
          <w:color w:val="333333"/>
          <w:spacing w:val="4"/>
          <w:w w:val="110"/>
        </w:rPr>
        <w:t xml:space="preserve"> </w:t>
      </w:r>
      <w:proofErr w:type="gramStart"/>
      <w:r>
        <w:rPr>
          <w:rFonts w:ascii="MS Gothic"/>
          <w:color w:val="B02045"/>
          <w:w w:val="110"/>
        </w:rPr>
        <w:t>spring.kafka</w:t>
      </w:r>
      <w:proofErr w:type="gramEnd"/>
      <w:r>
        <w:rPr>
          <w:rFonts w:ascii="MS Gothic"/>
          <w:color w:val="B02045"/>
          <w:w w:val="110"/>
        </w:rPr>
        <w:t>.listener.*</w:t>
      </w:r>
      <w:r>
        <w:rPr>
          <w:color w:val="333333"/>
          <w:w w:val="110"/>
        </w:rPr>
        <w:t>.</w:t>
      </w:r>
    </w:p>
    <w:p w14:paraId="4EE7A546" w14:textId="77777777" w:rsidR="00A720EB" w:rsidRDefault="0030286B">
      <w:pPr>
        <w:pStyle w:val="a3"/>
        <w:spacing w:before="242"/>
        <w:ind w:left="124"/>
        <w:jc w:val="both"/>
      </w:pPr>
      <w:r>
        <w:rPr>
          <w:color w:val="333333"/>
          <w:w w:val="110"/>
        </w:rPr>
        <w:t xml:space="preserve">The following component creates a listener endpoint on the </w:t>
      </w:r>
      <w:r>
        <w:rPr>
          <w:rFonts w:ascii="MS Gothic"/>
          <w:color w:val="B02045"/>
          <w:w w:val="110"/>
        </w:rPr>
        <w:t xml:space="preserve">someTopic </w:t>
      </w:r>
      <w:r>
        <w:rPr>
          <w:color w:val="333333"/>
          <w:w w:val="110"/>
        </w:rPr>
        <w:t>topic:</w:t>
      </w:r>
    </w:p>
    <w:p w14:paraId="27BC4832" w14:textId="77777777" w:rsidR="00A720EB" w:rsidRDefault="00E10349">
      <w:pPr>
        <w:pStyle w:val="a3"/>
        <w:rPr>
          <w:sz w:val="18"/>
        </w:rPr>
      </w:pPr>
      <w:r>
        <w:pict w14:anchorId="166BF844">
          <v:group id="_x0000_s3812" style="position:absolute;margin-left:47.85pt;margin-top:12.55pt;width:499.55pt;height:155.45pt;z-index:-15399936;mso-wrap-distance-left:0;mso-wrap-distance-right:0;mso-position-horizontal-relative:page" coordorigin="957,251" coordsize="9991,3109">
            <v:shape id="_x0000_s3815" style="position:absolute;left:964;top:258;width:9976;height:3094" coordorigin="965,258" coordsize="9976,3094" path="m10861,258r-9816,l1014,264r-26,17l971,307r-6,31l965,3271r6,31l988,3328r26,17l1045,3351r9816,l10892,3345r25,-17l10935,3302r6,-31l10941,338r-6,-31l10917,281r-25,-17l10861,258xe" fillcolor="#f5f5f5" stroked="f">
              <v:path arrowok="t"/>
            </v:shape>
            <v:shape id="_x0000_s3814" style="position:absolute;left:964;top:258;width:9976;height:3094" coordorigin="965,258" coordsize="9976,3094" path="m1045,258r9816,l10892,264r25,17l10935,307r6,31l10941,3271r-6,31l10917,3328r-25,17l10861,3351r-9816,l1014,3345r-26,-17l971,3302r-6,-31l965,338r6,-31l988,281r26,-17l1045,258xe" filled="f" strokecolor="#ccc">
              <v:path arrowok="t"/>
            </v:shape>
            <v:shape id="_x0000_s3813" type="#_x0000_t202" style="position:absolute;left:984;top:273;width:9938;height:3063" filled="f" stroked="f">
              <v:textbox inset="0,0,0,0">
                <w:txbxContent>
                  <w:p w14:paraId="36BA8C07" w14:textId="77777777" w:rsidR="00711A16" w:rsidRDefault="00711A16">
                    <w:pPr>
                      <w:spacing w:before="221"/>
                      <w:ind w:left="200"/>
                      <w:rPr>
                        <w:rFonts w:ascii="MS Gothic"/>
                      </w:rPr>
                    </w:pPr>
                    <w:r>
                      <w:rPr>
                        <w:rFonts w:ascii="MS Gothic"/>
                        <w:color w:val="333333"/>
                      </w:rPr>
                      <w:t>@Component</w:t>
                    </w:r>
                  </w:p>
                  <w:p w14:paraId="2D9ABF3D" w14:textId="77777777" w:rsidR="00711A16" w:rsidRDefault="00711A16">
                    <w:pPr>
                      <w:spacing w:before="13"/>
                      <w:ind w:left="200"/>
                      <w:rPr>
                        <w:rFonts w:ascii="MS Gothic"/>
                      </w:rPr>
                    </w:pPr>
                    <w:r>
                      <w:rPr>
                        <w:rFonts w:ascii="MS Gothic"/>
                        <w:color w:val="333333"/>
                      </w:rPr>
                      <w:t>public class MyBean {</w:t>
                    </w:r>
                  </w:p>
                  <w:p w14:paraId="24A740B5" w14:textId="77777777" w:rsidR="00711A16" w:rsidRDefault="00711A16">
                    <w:pPr>
                      <w:rPr>
                        <w:rFonts w:ascii="MS Gothic"/>
                        <w:sz w:val="24"/>
                      </w:rPr>
                    </w:pPr>
                  </w:p>
                  <w:p w14:paraId="3F6A2669" w14:textId="77777777" w:rsidR="00711A16" w:rsidRDefault="00711A16">
                    <w:pPr>
                      <w:ind w:left="640"/>
                      <w:rPr>
                        <w:rFonts w:ascii="MS Gothic"/>
                      </w:rPr>
                    </w:pPr>
                    <w:r>
                      <w:rPr>
                        <w:rFonts w:ascii="MS Gothic"/>
                        <w:color w:val="333333"/>
                      </w:rPr>
                      <w:t>@</w:t>
                    </w:r>
                    <w:proofErr w:type="gramStart"/>
                    <w:r>
                      <w:rPr>
                        <w:rFonts w:ascii="MS Gothic"/>
                        <w:color w:val="333333"/>
                      </w:rPr>
                      <w:t>KafkaListener(</w:t>
                    </w:r>
                    <w:proofErr w:type="gramEnd"/>
                    <w:r>
                      <w:rPr>
                        <w:rFonts w:ascii="MS Gothic"/>
                        <w:color w:val="333333"/>
                      </w:rPr>
                      <w:t>topics = "someTopic")</w:t>
                    </w:r>
                  </w:p>
                  <w:p w14:paraId="66506EFF" w14:textId="77777777" w:rsidR="00711A16" w:rsidRDefault="00711A16">
                    <w:pPr>
                      <w:spacing w:before="13"/>
                      <w:ind w:left="640"/>
                      <w:rPr>
                        <w:rFonts w:ascii="MS Gothic"/>
                      </w:rPr>
                    </w:pPr>
                    <w:r>
                      <w:rPr>
                        <w:rFonts w:ascii="MS Gothic"/>
                        <w:color w:val="333333"/>
                      </w:rPr>
                      <w:t xml:space="preserve">public void </w:t>
                    </w:r>
                    <w:proofErr w:type="gramStart"/>
                    <w:r>
                      <w:rPr>
                        <w:rFonts w:ascii="MS Gothic"/>
                        <w:color w:val="333333"/>
                      </w:rPr>
                      <w:t>processMessage(</w:t>
                    </w:r>
                    <w:proofErr w:type="gramEnd"/>
                    <w:r>
                      <w:rPr>
                        <w:rFonts w:ascii="MS Gothic"/>
                        <w:color w:val="333333"/>
                      </w:rPr>
                      <w:t>String content) {</w:t>
                    </w:r>
                  </w:p>
                  <w:p w14:paraId="36BF1935" w14:textId="77777777" w:rsidR="00711A16" w:rsidRDefault="00711A16">
                    <w:pPr>
                      <w:spacing w:before="13"/>
                      <w:ind w:left="1080"/>
                      <w:rPr>
                        <w:rFonts w:ascii="MS Gothic"/>
                      </w:rPr>
                    </w:pPr>
                    <w:r>
                      <w:rPr>
                        <w:rFonts w:ascii="MS Gothic"/>
                        <w:color w:val="333333"/>
                      </w:rPr>
                      <w:t>// ...</w:t>
                    </w:r>
                  </w:p>
                  <w:p w14:paraId="5C36E7A9" w14:textId="77777777" w:rsidR="00711A16" w:rsidRDefault="00711A16">
                    <w:pPr>
                      <w:spacing w:before="13"/>
                      <w:ind w:left="640"/>
                      <w:rPr>
                        <w:rFonts w:ascii="MS Gothic"/>
                      </w:rPr>
                    </w:pPr>
                    <w:r>
                      <w:rPr>
                        <w:rFonts w:ascii="MS Gothic"/>
                        <w:color w:val="333333"/>
                      </w:rPr>
                      <w:t>}</w:t>
                    </w:r>
                  </w:p>
                  <w:p w14:paraId="41621D54" w14:textId="77777777" w:rsidR="00711A16" w:rsidRDefault="00711A16">
                    <w:pPr>
                      <w:rPr>
                        <w:rFonts w:ascii="MS Gothic"/>
                        <w:sz w:val="24"/>
                      </w:rPr>
                    </w:pPr>
                  </w:p>
                  <w:p w14:paraId="6C0BFEAC" w14:textId="77777777" w:rsidR="00711A16" w:rsidRDefault="00711A16">
                    <w:pPr>
                      <w:ind w:left="200"/>
                      <w:rPr>
                        <w:rFonts w:ascii="MS Gothic"/>
                      </w:rPr>
                    </w:pPr>
                    <w:r>
                      <w:rPr>
                        <w:rFonts w:ascii="MS Gothic"/>
                        <w:color w:val="333333"/>
                      </w:rPr>
                      <w:t>}</w:t>
                    </w:r>
                  </w:p>
                </w:txbxContent>
              </v:textbox>
            </v:shape>
            <w10:wrap type="topAndBottom" anchorx="page"/>
          </v:group>
        </w:pict>
      </w:r>
    </w:p>
    <w:p w14:paraId="7D2A70DD" w14:textId="77777777" w:rsidR="00A720EB" w:rsidRDefault="00A720EB">
      <w:pPr>
        <w:pStyle w:val="a3"/>
        <w:spacing w:before="11"/>
        <w:rPr>
          <w:sz w:val="9"/>
        </w:rPr>
      </w:pPr>
    </w:p>
    <w:p w14:paraId="6038D228" w14:textId="77777777" w:rsidR="00A720EB" w:rsidRDefault="0030286B">
      <w:pPr>
        <w:pStyle w:val="a3"/>
        <w:spacing w:before="115" w:line="285" w:lineRule="auto"/>
        <w:ind w:left="124" w:right="123"/>
        <w:jc w:val="both"/>
      </w:pPr>
      <w:r>
        <w:rPr>
          <w:color w:val="333333"/>
          <w:w w:val="110"/>
        </w:rPr>
        <w:t xml:space="preserve">If a </w:t>
      </w:r>
      <w:r>
        <w:rPr>
          <w:rFonts w:ascii="MS Gothic"/>
          <w:color w:val="B02045"/>
          <w:w w:val="110"/>
        </w:rPr>
        <w:t xml:space="preserve">KafkaTransactionManager </w:t>
      </w:r>
      <w:r>
        <w:rPr>
          <w:color w:val="333333"/>
          <w:w w:val="110"/>
        </w:rPr>
        <w:t xml:space="preserve">bean is defined, it is automatically associated to the container </w:t>
      </w:r>
      <w:r>
        <w:rPr>
          <w:color w:val="333333"/>
          <w:spacing w:val="-4"/>
          <w:w w:val="110"/>
        </w:rPr>
        <w:t xml:space="preserve">factory. </w:t>
      </w:r>
      <w:r>
        <w:rPr>
          <w:color w:val="333333"/>
          <w:spacing w:val="-3"/>
          <w:w w:val="110"/>
        </w:rPr>
        <w:t xml:space="preserve">Similarly, </w:t>
      </w:r>
      <w:r>
        <w:rPr>
          <w:color w:val="333333"/>
          <w:w w:val="110"/>
        </w:rPr>
        <w:t xml:space="preserve">if a </w:t>
      </w:r>
      <w:r>
        <w:rPr>
          <w:rFonts w:ascii="MS Gothic"/>
          <w:color w:val="B02045"/>
          <w:w w:val="110"/>
        </w:rPr>
        <w:t>ErrorHandler</w:t>
      </w:r>
      <w:r>
        <w:rPr>
          <w:color w:val="333333"/>
          <w:w w:val="110"/>
        </w:rPr>
        <w:t xml:space="preserve">, </w:t>
      </w:r>
      <w:r>
        <w:rPr>
          <w:rFonts w:ascii="MS Gothic"/>
          <w:color w:val="B02045"/>
          <w:w w:val="110"/>
        </w:rPr>
        <w:t xml:space="preserve">AfterRollbackProcessor </w:t>
      </w:r>
      <w:r>
        <w:rPr>
          <w:color w:val="333333"/>
          <w:w w:val="110"/>
        </w:rPr>
        <w:t xml:space="preserve">or </w:t>
      </w:r>
      <w:r>
        <w:rPr>
          <w:rFonts w:ascii="MS Gothic"/>
          <w:color w:val="B02045"/>
          <w:w w:val="110"/>
        </w:rPr>
        <w:t xml:space="preserve">ConsumerAwareRebalanceListener </w:t>
      </w:r>
      <w:r>
        <w:rPr>
          <w:color w:val="333333"/>
          <w:w w:val="110"/>
        </w:rPr>
        <w:t>bean</w:t>
      </w:r>
      <w:r>
        <w:rPr>
          <w:color w:val="333333"/>
          <w:spacing w:val="-14"/>
          <w:w w:val="110"/>
        </w:rPr>
        <w:t xml:space="preserve"> </w:t>
      </w:r>
      <w:r>
        <w:rPr>
          <w:color w:val="333333"/>
          <w:w w:val="110"/>
        </w:rPr>
        <w:t>is defined, it is automatically associated to the default</w:t>
      </w:r>
      <w:r>
        <w:rPr>
          <w:color w:val="333333"/>
          <w:spacing w:val="25"/>
          <w:w w:val="110"/>
        </w:rPr>
        <w:t xml:space="preserve"> </w:t>
      </w:r>
      <w:r>
        <w:rPr>
          <w:color w:val="333333"/>
          <w:spacing w:val="-4"/>
          <w:w w:val="110"/>
        </w:rPr>
        <w:t>factory.</w:t>
      </w:r>
    </w:p>
    <w:p w14:paraId="7EE33CBE" w14:textId="77777777" w:rsidR="00A720EB" w:rsidRDefault="00A720EB">
      <w:pPr>
        <w:pStyle w:val="a3"/>
        <w:spacing w:before="8"/>
      </w:pPr>
    </w:p>
    <w:p w14:paraId="6E9E3AA9" w14:textId="77777777" w:rsidR="00A720EB" w:rsidRDefault="0030286B">
      <w:pPr>
        <w:pStyle w:val="a3"/>
        <w:spacing w:line="280" w:lineRule="auto"/>
        <w:ind w:left="124" w:right="123"/>
        <w:jc w:val="both"/>
      </w:pPr>
      <w:r>
        <w:rPr>
          <w:color w:val="333333"/>
          <w:w w:val="110"/>
        </w:rPr>
        <w:t xml:space="preserve">Depending on the listener type, a </w:t>
      </w:r>
      <w:r>
        <w:rPr>
          <w:rFonts w:ascii="MS Gothic"/>
          <w:color w:val="B02045"/>
          <w:w w:val="110"/>
        </w:rPr>
        <w:t xml:space="preserve">RecordMessageConverter </w:t>
      </w:r>
      <w:r>
        <w:rPr>
          <w:color w:val="333333"/>
          <w:w w:val="110"/>
        </w:rPr>
        <w:t xml:space="preserve">or </w:t>
      </w:r>
      <w:r>
        <w:rPr>
          <w:rFonts w:ascii="MS Gothic"/>
          <w:color w:val="B02045"/>
          <w:w w:val="110"/>
        </w:rPr>
        <w:t xml:space="preserve">BatchMessageConverter </w:t>
      </w:r>
      <w:r>
        <w:rPr>
          <w:color w:val="333333"/>
          <w:w w:val="110"/>
        </w:rPr>
        <w:t xml:space="preserve">bean is associated to the default factory. If only a </w:t>
      </w:r>
      <w:r>
        <w:rPr>
          <w:rFonts w:ascii="MS Gothic"/>
          <w:color w:val="B02045"/>
          <w:w w:val="110"/>
        </w:rPr>
        <w:t xml:space="preserve">RecordMessageConverter </w:t>
      </w:r>
      <w:r>
        <w:rPr>
          <w:color w:val="333333"/>
          <w:w w:val="110"/>
        </w:rPr>
        <w:t xml:space="preserve">bean is present for a batch listener, it is wrapped in a </w:t>
      </w:r>
      <w:r>
        <w:rPr>
          <w:rFonts w:ascii="MS Gothic"/>
          <w:color w:val="B02045"/>
          <w:w w:val="110"/>
        </w:rPr>
        <w:t>BatchMessageConverter</w:t>
      </w:r>
      <w:r>
        <w:rPr>
          <w:color w:val="333333"/>
          <w:w w:val="110"/>
        </w:rPr>
        <w:t>.</w:t>
      </w:r>
    </w:p>
    <w:p w14:paraId="473D4620" w14:textId="77777777" w:rsidR="00A720EB" w:rsidRDefault="00A720EB">
      <w:pPr>
        <w:pStyle w:val="a3"/>
        <w:spacing w:before="5"/>
        <w:rPr>
          <w:sz w:val="27"/>
        </w:rPr>
      </w:pPr>
    </w:p>
    <w:p w14:paraId="14B826A6" w14:textId="77777777" w:rsidR="00A720EB" w:rsidRDefault="00E10349">
      <w:pPr>
        <w:pStyle w:val="a3"/>
        <w:spacing w:before="1" w:line="280" w:lineRule="auto"/>
        <w:ind w:left="1564" w:right="359"/>
      </w:pPr>
      <w:r>
        <w:pict w14:anchorId="471FF97B">
          <v:line id="_x0000_s3811" style="position:absolute;left:0;text-align:left;z-index:16058880;mso-position-horizontal-relative:page" from="108.25pt,-5.4pt" to="108.25pt,34.15pt" strokecolor="#ededed" strokeweight=".5pt">
            <w10:wrap anchorx="page"/>
          </v:line>
        </w:pict>
      </w:r>
      <w:r w:rsidR="0030286B">
        <w:rPr>
          <w:noProof/>
        </w:rPr>
        <w:drawing>
          <wp:anchor distT="0" distB="0" distL="0" distR="0" simplePos="0" relativeHeight="16059392" behindDoc="0" locked="0" layoutInCell="1" allowOverlap="1" wp14:anchorId="30B2C70A" wp14:editId="558A9EED">
            <wp:simplePos x="0" y="0"/>
            <wp:positionH relativeFrom="page">
              <wp:posOffset>888949</wp:posOffset>
            </wp:positionH>
            <wp:positionV relativeFrom="paragraph">
              <wp:posOffset>30048</wp:posOffset>
            </wp:positionV>
            <wp:extent cx="209550" cy="304800"/>
            <wp:effectExtent l="0" t="0" r="0" b="0"/>
            <wp:wrapNone/>
            <wp:docPr id="41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2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custom </w:t>
      </w:r>
      <w:r w:rsidR="0030286B">
        <w:rPr>
          <w:rFonts w:ascii="MS Gothic"/>
          <w:color w:val="B02045"/>
          <w:w w:val="110"/>
        </w:rPr>
        <w:t>ChainedKafkaTransactionManager</w:t>
      </w:r>
      <w:r w:rsidR="0030286B">
        <w:rPr>
          <w:rFonts w:ascii="MS Gothic"/>
          <w:color w:val="B02045"/>
          <w:spacing w:val="-64"/>
          <w:w w:val="110"/>
        </w:rPr>
        <w:t xml:space="preserve"> </w:t>
      </w:r>
      <w:r w:rsidR="0030286B">
        <w:rPr>
          <w:color w:val="333333"/>
          <w:w w:val="110"/>
        </w:rPr>
        <w:t xml:space="preserve">must be marked </w:t>
      </w:r>
      <w:r w:rsidR="0030286B">
        <w:rPr>
          <w:rFonts w:ascii="MS Gothic"/>
          <w:color w:val="B02045"/>
          <w:w w:val="110"/>
        </w:rPr>
        <w:t>@Primary</w:t>
      </w:r>
      <w:r w:rsidR="0030286B">
        <w:rPr>
          <w:rFonts w:ascii="MS Gothic"/>
          <w:color w:val="B02045"/>
          <w:spacing w:val="-63"/>
          <w:w w:val="110"/>
        </w:rPr>
        <w:t xml:space="preserve"> </w:t>
      </w:r>
      <w:r w:rsidR="0030286B">
        <w:rPr>
          <w:color w:val="333333"/>
          <w:w w:val="110"/>
        </w:rPr>
        <w:t xml:space="preserve">as it usually references the auto-configured </w:t>
      </w:r>
      <w:r w:rsidR="0030286B">
        <w:rPr>
          <w:rFonts w:ascii="MS Gothic"/>
          <w:color w:val="B02045"/>
          <w:w w:val="110"/>
        </w:rPr>
        <w:t>KafkaTransactionManager</w:t>
      </w:r>
      <w:r w:rsidR="0030286B">
        <w:rPr>
          <w:rFonts w:ascii="MS Gothic"/>
          <w:color w:val="B02045"/>
          <w:spacing w:val="-67"/>
          <w:w w:val="110"/>
        </w:rPr>
        <w:t xml:space="preserve"> </w:t>
      </w:r>
      <w:r w:rsidR="0030286B">
        <w:rPr>
          <w:color w:val="333333"/>
          <w:w w:val="110"/>
        </w:rPr>
        <w:t>bean.</w:t>
      </w:r>
    </w:p>
    <w:p w14:paraId="77AF6CCB" w14:textId="77777777" w:rsidR="00A720EB" w:rsidRDefault="00A720EB">
      <w:pPr>
        <w:spacing w:line="280" w:lineRule="auto"/>
        <w:sectPr w:rsidR="00A720EB">
          <w:pgSz w:w="11910" w:h="16840"/>
          <w:pgMar w:top="700" w:right="840" w:bottom="520" w:left="840" w:header="0" w:footer="323" w:gutter="0"/>
          <w:cols w:space="720"/>
        </w:sectPr>
      </w:pPr>
    </w:p>
    <w:p w14:paraId="1FED9452" w14:textId="77777777" w:rsidR="00A720EB" w:rsidRDefault="0030286B">
      <w:pPr>
        <w:pStyle w:val="4"/>
        <w:spacing w:before="86"/>
      </w:pPr>
      <w:bookmarkStart w:id="411" w:name="Kafka_Streams"/>
      <w:bookmarkEnd w:id="411"/>
      <w:r>
        <w:rPr>
          <w:color w:val="333333"/>
          <w:w w:val="110"/>
        </w:rPr>
        <w:lastRenderedPageBreak/>
        <w:t>Kafka Streams</w:t>
      </w:r>
    </w:p>
    <w:p w14:paraId="785FC8E8" w14:textId="77777777" w:rsidR="00A720EB" w:rsidRDefault="0030286B">
      <w:pPr>
        <w:pStyle w:val="a3"/>
        <w:spacing w:before="243" w:line="285" w:lineRule="auto"/>
        <w:ind w:left="124" w:right="122"/>
        <w:jc w:val="both"/>
      </w:pPr>
      <w:r>
        <w:rPr>
          <w:color w:val="333333"/>
          <w:w w:val="110"/>
        </w:rPr>
        <w:t xml:space="preserve">Spring for Apache Kafka provides a factory bean to create a </w:t>
      </w:r>
      <w:r>
        <w:rPr>
          <w:rFonts w:ascii="MS Gothic"/>
          <w:color w:val="B02045"/>
          <w:w w:val="110"/>
        </w:rPr>
        <w:t xml:space="preserve">StreamsBuilder </w:t>
      </w:r>
      <w:r>
        <w:rPr>
          <w:color w:val="333333"/>
          <w:w w:val="110"/>
        </w:rPr>
        <w:t>object and manage the lifecycle</w:t>
      </w:r>
      <w:r>
        <w:rPr>
          <w:color w:val="333333"/>
          <w:spacing w:val="-11"/>
          <w:w w:val="110"/>
        </w:rPr>
        <w:t xml:space="preserve"> </w:t>
      </w:r>
      <w:r>
        <w:rPr>
          <w:color w:val="333333"/>
          <w:w w:val="110"/>
        </w:rPr>
        <w:t>of</w:t>
      </w:r>
      <w:r>
        <w:rPr>
          <w:color w:val="333333"/>
          <w:spacing w:val="-11"/>
          <w:w w:val="110"/>
        </w:rPr>
        <w:t xml:space="preserve"> </w:t>
      </w:r>
      <w:r>
        <w:rPr>
          <w:color w:val="333333"/>
          <w:w w:val="110"/>
        </w:rPr>
        <w:t>its</w:t>
      </w:r>
      <w:r>
        <w:rPr>
          <w:color w:val="333333"/>
          <w:spacing w:val="-11"/>
          <w:w w:val="110"/>
        </w:rPr>
        <w:t xml:space="preserve"> </w:t>
      </w:r>
      <w:r>
        <w:rPr>
          <w:color w:val="333333"/>
          <w:w w:val="110"/>
        </w:rPr>
        <w:t>streams.</w:t>
      </w:r>
      <w:r>
        <w:rPr>
          <w:color w:val="333333"/>
          <w:spacing w:val="-11"/>
          <w:w w:val="110"/>
        </w:rPr>
        <w:t xml:space="preserve"> </w:t>
      </w:r>
      <w:r>
        <w:rPr>
          <w:color w:val="333333"/>
          <w:w w:val="110"/>
        </w:rPr>
        <w:t>Spring</w:t>
      </w:r>
      <w:r>
        <w:rPr>
          <w:color w:val="333333"/>
          <w:spacing w:val="-11"/>
          <w:w w:val="110"/>
        </w:rPr>
        <w:t xml:space="preserve"> </w:t>
      </w:r>
      <w:r>
        <w:rPr>
          <w:color w:val="333333"/>
          <w:w w:val="110"/>
        </w:rPr>
        <w:t>Boot</w:t>
      </w:r>
      <w:r>
        <w:rPr>
          <w:color w:val="333333"/>
          <w:spacing w:val="-11"/>
          <w:w w:val="110"/>
        </w:rPr>
        <w:t xml:space="preserve"> </w:t>
      </w:r>
      <w:r>
        <w:rPr>
          <w:color w:val="333333"/>
          <w:w w:val="110"/>
        </w:rPr>
        <w:t>auto-configures</w:t>
      </w:r>
      <w:r>
        <w:rPr>
          <w:color w:val="333333"/>
          <w:spacing w:val="-12"/>
          <w:w w:val="110"/>
        </w:rPr>
        <w:t xml:space="preserve"> </w:t>
      </w:r>
      <w:r>
        <w:rPr>
          <w:color w:val="333333"/>
          <w:w w:val="110"/>
        </w:rPr>
        <w:t>the</w:t>
      </w:r>
      <w:r>
        <w:rPr>
          <w:color w:val="333333"/>
          <w:spacing w:val="-10"/>
          <w:w w:val="110"/>
        </w:rPr>
        <w:t xml:space="preserve"> </w:t>
      </w:r>
      <w:r>
        <w:rPr>
          <w:color w:val="333333"/>
          <w:w w:val="110"/>
        </w:rPr>
        <w:t>required</w:t>
      </w:r>
      <w:r>
        <w:rPr>
          <w:color w:val="333333"/>
          <w:spacing w:val="-6"/>
          <w:w w:val="110"/>
        </w:rPr>
        <w:t xml:space="preserve"> </w:t>
      </w:r>
      <w:r>
        <w:rPr>
          <w:rFonts w:ascii="MS Gothic"/>
          <w:color w:val="B02045"/>
          <w:w w:val="110"/>
        </w:rPr>
        <w:t>KafkaStreamsConfiguration</w:t>
      </w:r>
      <w:r>
        <w:rPr>
          <w:rFonts w:ascii="MS Gothic"/>
          <w:color w:val="B02045"/>
          <w:spacing w:val="-75"/>
          <w:w w:val="110"/>
        </w:rPr>
        <w:t xml:space="preserve"> </w:t>
      </w:r>
      <w:r>
        <w:rPr>
          <w:color w:val="333333"/>
          <w:w w:val="110"/>
        </w:rPr>
        <w:t>bean</w:t>
      </w:r>
      <w:r>
        <w:rPr>
          <w:color w:val="333333"/>
          <w:spacing w:val="-11"/>
          <w:w w:val="110"/>
        </w:rPr>
        <w:t xml:space="preserve"> </w:t>
      </w:r>
      <w:r>
        <w:rPr>
          <w:color w:val="333333"/>
          <w:w w:val="110"/>
        </w:rPr>
        <w:t>as long</w:t>
      </w:r>
      <w:r>
        <w:rPr>
          <w:color w:val="333333"/>
          <w:spacing w:val="-4"/>
          <w:w w:val="110"/>
        </w:rPr>
        <w:t xml:space="preserve"> </w:t>
      </w:r>
      <w:r>
        <w:rPr>
          <w:color w:val="333333"/>
          <w:w w:val="110"/>
        </w:rPr>
        <w:t>as</w:t>
      </w:r>
      <w:r>
        <w:rPr>
          <w:color w:val="333333"/>
          <w:spacing w:val="-4"/>
          <w:w w:val="110"/>
        </w:rPr>
        <w:t xml:space="preserve"> </w:t>
      </w:r>
      <w:r>
        <w:rPr>
          <w:rFonts w:ascii="MS Gothic"/>
          <w:color w:val="B02045"/>
          <w:w w:val="110"/>
        </w:rPr>
        <w:t>kafka-streams</w:t>
      </w:r>
      <w:r>
        <w:rPr>
          <w:rFonts w:ascii="MS Gothic"/>
          <w:color w:val="B02045"/>
          <w:spacing w:val="-69"/>
          <w:w w:val="110"/>
        </w:rPr>
        <w:t xml:space="preserve"> </w:t>
      </w:r>
      <w:r>
        <w:rPr>
          <w:color w:val="333333"/>
          <w:w w:val="110"/>
        </w:rPr>
        <w:t>is</w:t>
      </w:r>
      <w:r>
        <w:rPr>
          <w:color w:val="333333"/>
          <w:spacing w:val="-4"/>
          <w:w w:val="110"/>
        </w:rPr>
        <w:t xml:space="preserve"> </w:t>
      </w:r>
      <w:r>
        <w:rPr>
          <w:color w:val="333333"/>
          <w:w w:val="110"/>
        </w:rPr>
        <w:t>on</w:t>
      </w:r>
      <w:r>
        <w:rPr>
          <w:color w:val="333333"/>
          <w:spacing w:val="-4"/>
          <w:w w:val="110"/>
        </w:rPr>
        <w:t xml:space="preserve"> </w:t>
      </w:r>
      <w:r>
        <w:rPr>
          <w:color w:val="333333"/>
          <w:w w:val="110"/>
        </w:rPr>
        <w:t>the</w:t>
      </w:r>
      <w:r>
        <w:rPr>
          <w:color w:val="333333"/>
          <w:spacing w:val="-3"/>
          <w:w w:val="110"/>
        </w:rPr>
        <w:t xml:space="preserve"> </w:t>
      </w:r>
      <w:r>
        <w:rPr>
          <w:color w:val="333333"/>
          <w:w w:val="110"/>
        </w:rPr>
        <w:t>classpath</w:t>
      </w:r>
      <w:r>
        <w:rPr>
          <w:color w:val="333333"/>
          <w:spacing w:val="-4"/>
          <w:w w:val="110"/>
        </w:rPr>
        <w:t xml:space="preserve"> </w:t>
      </w:r>
      <w:r>
        <w:rPr>
          <w:color w:val="333333"/>
          <w:w w:val="110"/>
        </w:rPr>
        <w:t>and</w:t>
      </w:r>
      <w:r>
        <w:rPr>
          <w:color w:val="333333"/>
          <w:spacing w:val="-4"/>
          <w:w w:val="110"/>
        </w:rPr>
        <w:t xml:space="preserve"> </w:t>
      </w:r>
      <w:r>
        <w:rPr>
          <w:color w:val="333333"/>
          <w:w w:val="110"/>
        </w:rPr>
        <w:t>Kafka</w:t>
      </w:r>
      <w:r>
        <w:rPr>
          <w:color w:val="333333"/>
          <w:spacing w:val="-4"/>
          <w:w w:val="110"/>
        </w:rPr>
        <w:t xml:space="preserve"> </w:t>
      </w:r>
      <w:r>
        <w:rPr>
          <w:color w:val="333333"/>
          <w:w w:val="110"/>
        </w:rPr>
        <w:t>Streams</w:t>
      </w:r>
      <w:r>
        <w:rPr>
          <w:color w:val="333333"/>
          <w:spacing w:val="-4"/>
          <w:w w:val="110"/>
        </w:rPr>
        <w:t xml:space="preserve"> </w:t>
      </w:r>
      <w:r>
        <w:rPr>
          <w:color w:val="333333"/>
          <w:w w:val="110"/>
        </w:rPr>
        <w:t>is</w:t>
      </w:r>
      <w:r>
        <w:rPr>
          <w:color w:val="333333"/>
          <w:spacing w:val="-4"/>
          <w:w w:val="110"/>
        </w:rPr>
        <w:t xml:space="preserve"> </w:t>
      </w:r>
      <w:r>
        <w:rPr>
          <w:color w:val="333333"/>
          <w:w w:val="110"/>
        </w:rPr>
        <w:t>enabled</w:t>
      </w:r>
      <w:r>
        <w:rPr>
          <w:color w:val="333333"/>
          <w:spacing w:val="-4"/>
          <w:w w:val="110"/>
        </w:rPr>
        <w:t xml:space="preserve"> </w:t>
      </w:r>
      <w:r>
        <w:rPr>
          <w:color w:val="333333"/>
          <w:w w:val="110"/>
        </w:rPr>
        <w:t>via</w:t>
      </w:r>
      <w:r>
        <w:rPr>
          <w:color w:val="333333"/>
          <w:spacing w:val="-4"/>
          <w:w w:val="110"/>
        </w:rPr>
        <w:t xml:space="preserve"> </w:t>
      </w:r>
      <w:r>
        <w:rPr>
          <w:color w:val="333333"/>
          <w:w w:val="110"/>
        </w:rPr>
        <w:t>the</w:t>
      </w:r>
      <w:r>
        <w:rPr>
          <w:color w:val="333333"/>
          <w:spacing w:val="-1"/>
          <w:w w:val="110"/>
        </w:rPr>
        <w:t xml:space="preserve"> </w:t>
      </w:r>
      <w:r>
        <w:rPr>
          <w:rFonts w:ascii="MS Gothic"/>
          <w:color w:val="B02045"/>
          <w:w w:val="110"/>
        </w:rPr>
        <w:t xml:space="preserve">@EnableKafkaStreams </w:t>
      </w:r>
      <w:r>
        <w:rPr>
          <w:color w:val="333333"/>
          <w:w w:val="110"/>
        </w:rPr>
        <w:t>annotation.</w:t>
      </w:r>
    </w:p>
    <w:p w14:paraId="0DAB5230" w14:textId="77777777" w:rsidR="00A720EB" w:rsidRDefault="00A720EB">
      <w:pPr>
        <w:pStyle w:val="a3"/>
        <w:spacing w:before="2"/>
        <w:rPr>
          <w:sz w:val="22"/>
        </w:rPr>
      </w:pPr>
    </w:p>
    <w:p w14:paraId="007CB01E" w14:textId="77777777" w:rsidR="00A720EB" w:rsidRDefault="0030286B">
      <w:pPr>
        <w:pStyle w:val="a3"/>
        <w:spacing w:line="290" w:lineRule="auto"/>
        <w:ind w:left="124" w:right="123"/>
        <w:jc w:val="both"/>
      </w:pPr>
      <w:r>
        <w:rPr>
          <w:color w:val="333333"/>
          <w:w w:val="110"/>
        </w:rPr>
        <w:t xml:space="preserve">Enabling Kafka Streams means that the application id and bootstrap servers must </w:t>
      </w:r>
      <w:proofErr w:type="gramStart"/>
      <w:r>
        <w:rPr>
          <w:color w:val="333333"/>
          <w:w w:val="110"/>
        </w:rPr>
        <w:t>be  set</w:t>
      </w:r>
      <w:proofErr w:type="gramEnd"/>
      <w:r>
        <w:rPr>
          <w:color w:val="333333"/>
          <w:w w:val="110"/>
        </w:rPr>
        <w:t xml:space="preserve">.  </w:t>
      </w:r>
      <w:proofErr w:type="gramStart"/>
      <w:r>
        <w:rPr>
          <w:color w:val="333333"/>
          <w:w w:val="110"/>
        </w:rPr>
        <w:t>The  former</w:t>
      </w:r>
      <w:proofErr w:type="gramEnd"/>
      <w:r>
        <w:rPr>
          <w:color w:val="333333"/>
          <w:w w:val="110"/>
        </w:rPr>
        <w:t xml:space="preserve"> can be configured using </w:t>
      </w:r>
      <w:r>
        <w:rPr>
          <w:rFonts w:ascii="MS Gothic"/>
          <w:color w:val="B02045"/>
          <w:w w:val="110"/>
        </w:rPr>
        <w:t>spring.kafka.streams.application-id</w:t>
      </w:r>
      <w:r>
        <w:rPr>
          <w:color w:val="333333"/>
          <w:w w:val="110"/>
        </w:rPr>
        <w:t xml:space="preserve">, defaulting to </w:t>
      </w:r>
      <w:r>
        <w:rPr>
          <w:rFonts w:ascii="MS Gothic"/>
          <w:color w:val="B02045"/>
          <w:w w:val="110"/>
        </w:rPr>
        <w:t xml:space="preserve">spring.application.name </w:t>
      </w:r>
      <w:r>
        <w:rPr>
          <w:color w:val="333333"/>
          <w:w w:val="110"/>
        </w:rPr>
        <w:t>if not set. The latter can be set globally or specifically overridden only for streams.</w:t>
      </w:r>
    </w:p>
    <w:p w14:paraId="4A7D169C" w14:textId="77777777" w:rsidR="00A720EB" w:rsidRDefault="00A720EB">
      <w:pPr>
        <w:pStyle w:val="a3"/>
        <w:spacing w:before="9"/>
      </w:pPr>
    </w:p>
    <w:p w14:paraId="3BD942DA" w14:textId="77777777" w:rsidR="00A720EB" w:rsidRDefault="0030286B">
      <w:pPr>
        <w:pStyle w:val="a3"/>
        <w:spacing w:line="295" w:lineRule="auto"/>
        <w:ind w:left="124" w:right="123"/>
        <w:jc w:val="both"/>
      </w:pPr>
      <w:r>
        <w:rPr>
          <w:color w:val="333333"/>
          <w:w w:val="110"/>
        </w:rPr>
        <w:t xml:space="preserve">Several additional properties are available using dedicated properties; other arbitrary </w:t>
      </w:r>
      <w:proofErr w:type="gramStart"/>
      <w:r>
        <w:rPr>
          <w:color w:val="333333"/>
          <w:w w:val="110"/>
        </w:rPr>
        <w:t>Kafka  properties</w:t>
      </w:r>
      <w:proofErr w:type="gramEnd"/>
      <w:r>
        <w:rPr>
          <w:color w:val="333333"/>
          <w:w w:val="110"/>
        </w:rPr>
        <w:t xml:space="preserve"> can be set using the </w:t>
      </w:r>
      <w:r>
        <w:rPr>
          <w:rFonts w:ascii="MS Gothic"/>
          <w:color w:val="B02045"/>
          <w:w w:val="110"/>
        </w:rPr>
        <w:t xml:space="preserve">spring.kafka.streams.properties </w:t>
      </w:r>
      <w:r>
        <w:rPr>
          <w:color w:val="333333"/>
          <w:w w:val="110"/>
        </w:rPr>
        <w:t xml:space="preserve">namespace. See also </w:t>
      </w:r>
      <w:hyperlink w:anchor="_bookmark282" w:history="1">
        <w:r>
          <w:rPr>
            <w:color w:val="418BCA"/>
            <w:w w:val="110"/>
          </w:rPr>
          <w:t>Additional</w:t>
        </w:r>
      </w:hyperlink>
      <w:r>
        <w:rPr>
          <w:color w:val="418BCA"/>
          <w:w w:val="110"/>
        </w:rPr>
        <w:t xml:space="preserve"> </w:t>
      </w:r>
      <w:hyperlink w:anchor="_bookmark282" w:history="1">
        <w:r>
          <w:rPr>
            <w:color w:val="418BCA"/>
            <w:w w:val="110"/>
          </w:rPr>
          <w:t xml:space="preserve">Kafka Properties </w:t>
        </w:r>
      </w:hyperlink>
      <w:r>
        <w:rPr>
          <w:color w:val="333333"/>
          <w:w w:val="110"/>
        </w:rPr>
        <w:t>for more information.</w:t>
      </w:r>
    </w:p>
    <w:p w14:paraId="18E684E2" w14:textId="77777777" w:rsidR="00A720EB" w:rsidRDefault="0030286B">
      <w:pPr>
        <w:pStyle w:val="a3"/>
        <w:spacing w:before="240"/>
        <w:ind w:left="124"/>
        <w:jc w:val="both"/>
      </w:pPr>
      <w:r>
        <w:rPr>
          <w:color w:val="333333"/>
          <w:spacing w:val="-4"/>
          <w:w w:val="110"/>
        </w:rPr>
        <w:t xml:space="preserve">To </w:t>
      </w:r>
      <w:r>
        <w:rPr>
          <w:color w:val="333333"/>
          <w:w w:val="110"/>
        </w:rPr>
        <w:t xml:space="preserve">use the factory bean, wire </w:t>
      </w:r>
      <w:r>
        <w:rPr>
          <w:rFonts w:ascii="MS Gothic"/>
          <w:color w:val="B02045"/>
          <w:w w:val="110"/>
        </w:rPr>
        <w:t>StreamsBuilder</w:t>
      </w:r>
      <w:r>
        <w:rPr>
          <w:rFonts w:ascii="MS Gothic"/>
          <w:color w:val="B02045"/>
          <w:spacing w:val="-67"/>
          <w:w w:val="110"/>
        </w:rPr>
        <w:t xml:space="preserve"> </w:t>
      </w:r>
      <w:r>
        <w:rPr>
          <w:color w:val="333333"/>
          <w:w w:val="110"/>
        </w:rPr>
        <w:t xml:space="preserve">into </w:t>
      </w:r>
      <w:proofErr w:type="gramStart"/>
      <w:r>
        <w:rPr>
          <w:color w:val="333333"/>
          <w:w w:val="110"/>
        </w:rPr>
        <w:t>your</w:t>
      </w:r>
      <w:proofErr w:type="gramEnd"/>
      <w:r>
        <w:rPr>
          <w:color w:val="333333"/>
          <w:w w:val="110"/>
        </w:rPr>
        <w:t xml:space="preserve"> </w:t>
      </w:r>
      <w:r>
        <w:rPr>
          <w:rFonts w:ascii="MS Gothic"/>
          <w:color w:val="B02045"/>
          <w:w w:val="110"/>
        </w:rPr>
        <w:t>@Bean</w:t>
      </w:r>
      <w:r>
        <w:rPr>
          <w:rFonts w:ascii="MS Gothic"/>
          <w:color w:val="B02045"/>
          <w:spacing w:val="-66"/>
          <w:w w:val="110"/>
        </w:rPr>
        <w:t xml:space="preserve"> </w:t>
      </w:r>
      <w:r>
        <w:rPr>
          <w:color w:val="333333"/>
          <w:w w:val="110"/>
        </w:rPr>
        <w:t>as shown in the following example:</w:t>
      </w:r>
    </w:p>
    <w:p w14:paraId="5E8483DA" w14:textId="77777777" w:rsidR="00A720EB" w:rsidRDefault="00E10349">
      <w:pPr>
        <w:pStyle w:val="a3"/>
        <w:spacing w:before="11"/>
        <w:rPr>
          <w:sz w:val="17"/>
        </w:rPr>
      </w:pPr>
      <w:r>
        <w:pict w14:anchorId="41FFD133">
          <v:group id="_x0000_s3807" style="position:absolute;margin-left:47.85pt;margin-top:12.5pt;width:499.55pt;height:214.4pt;z-index:-15397376;mso-wrap-distance-left:0;mso-wrap-distance-right:0;mso-position-horizontal-relative:page" coordorigin="957,250" coordsize="9991,4288">
            <v:shape id="_x0000_s3810" style="position:absolute;left:964;top:257;width:9976;height:4273" coordorigin="965,257" coordsize="9976,4273" path="m10861,257r-9816,l1014,264r-26,17l971,306r-6,31l965,4450r6,31l988,4506r26,18l1045,4530r9816,l10892,4524r25,-18l10935,4481r6,-31l10941,337r-6,-31l10917,281r-25,-17l10861,257xe" fillcolor="#f5f5f5" stroked="f">
              <v:path arrowok="t"/>
            </v:shape>
            <v:shape id="_x0000_s3809" style="position:absolute;left:964;top:257;width:9976;height:4273" coordorigin="965,257" coordsize="9976,4273" path="m1045,257r9816,l10892,264r25,17l10935,306r6,31l10941,4450r-6,31l10917,4506r-25,18l10861,4530r-9816,l1014,4524r-26,-18l971,4481r-6,-31l965,337r6,-31l988,281r26,-17l1045,257xe" filled="f" strokecolor="#ccc">
              <v:path arrowok="t"/>
            </v:shape>
            <v:shape id="_x0000_s3808" type="#_x0000_t202" style="position:absolute;left:984;top:272;width:9938;height:4242" filled="f" stroked="f">
              <v:textbox inset="0,0,0,0">
                <w:txbxContent>
                  <w:p w14:paraId="69BFE2A2"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@EnableKafkaStreams</w:t>
                    </w:r>
                  </w:p>
                  <w:p w14:paraId="016650A6" w14:textId="77777777" w:rsidR="00711A16" w:rsidRDefault="00711A16">
                    <w:pPr>
                      <w:spacing w:line="280" w:lineRule="exact"/>
                      <w:ind w:left="200"/>
                      <w:rPr>
                        <w:rFonts w:ascii="MS Gothic"/>
                      </w:rPr>
                    </w:pPr>
                    <w:r>
                      <w:rPr>
                        <w:rFonts w:ascii="MS Gothic"/>
                        <w:color w:val="333333"/>
                      </w:rPr>
                      <w:t>public static class KafkaStreamsExampleConfiguration {</w:t>
                    </w:r>
                  </w:p>
                  <w:p w14:paraId="4D30A414" w14:textId="77777777" w:rsidR="00711A16" w:rsidRDefault="00711A16">
                    <w:pPr>
                      <w:rPr>
                        <w:rFonts w:ascii="MS Gothic"/>
                        <w:sz w:val="24"/>
                      </w:rPr>
                    </w:pPr>
                  </w:p>
                  <w:p w14:paraId="5E1380CF" w14:textId="77777777" w:rsidR="00711A16" w:rsidRDefault="00711A16">
                    <w:pPr>
                      <w:ind w:left="640"/>
                      <w:rPr>
                        <w:rFonts w:ascii="MS Gothic"/>
                      </w:rPr>
                    </w:pPr>
                    <w:r>
                      <w:rPr>
                        <w:rFonts w:ascii="MS Gothic"/>
                        <w:color w:val="333333"/>
                      </w:rPr>
                      <w:t>@Bean</w:t>
                    </w:r>
                  </w:p>
                  <w:p w14:paraId="2D417FEF" w14:textId="77777777" w:rsidR="00711A16" w:rsidRDefault="00711A16">
                    <w:pPr>
                      <w:spacing w:before="13" w:line="252" w:lineRule="auto"/>
                      <w:ind w:left="1080" w:right="1248" w:hanging="440"/>
                      <w:rPr>
                        <w:rFonts w:ascii="MS Gothic"/>
                      </w:rPr>
                    </w:pPr>
                    <w:r>
                      <w:rPr>
                        <w:rFonts w:ascii="MS Gothic"/>
                        <w:color w:val="333333"/>
                      </w:rPr>
                      <w:t xml:space="preserve">public KStream&lt;Integer, String&gt; </w:t>
                    </w:r>
                    <w:proofErr w:type="gramStart"/>
                    <w:r>
                      <w:rPr>
                        <w:rFonts w:ascii="MS Gothic"/>
                        <w:color w:val="333333"/>
                      </w:rPr>
                      <w:t>kStream(</w:t>
                    </w:r>
                    <w:proofErr w:type="gramEnd"/>
                    <w:r>
                      <w:rPr>
                        <w:rFonts w:ascii="MS Gothic"/>
                        <w:color w:val="333333"/>
                      </w:rPr>
                      <w:t>StreamsBuilder streamsBuilder) { KStream&lt;Integer, String&gt; stream = streamsBuilder.stream("ks1In"); stream.map((k, v) -&gt; new KeyValue&lt;&gt;(k, v.toUpperCase())).to("ks1Out",</w:t>
                    </w:r>
                  </w:p>
                  <w:p w14:paraId="44D5BB88" w14:textId="77777777" w:rsidR="00711A16" w:rsidRDefault="00711A16">
                    <w:pPr>
                      <w:spacing w:line="252" w:lineRule="auto"/>
                      <w:ind w:left="1080" w:right="2238" w:firstLine="880"/>
                      <w:rPr>
                        <w:rFonts w:ascii="MS Gothic"/>
                      </w:rPr>
                    </w:pPr>
                    <w:r>
                      <w:rPr>
                        <w:rFonts w:ascii="MS Gothic"/>
                        <w:color w:val="333333"/>
                      </w:rPr>
                      <w:t>Produced.with(Serdes.Integer(), new JsonSerde&lt;</w:t>
                    </w:r>
                    <w:proofErr w:type="gramStart"/>
                    <w:r>
                      <w:rPr>
                        <w:rFonts w:ascii="MS Gothic"/>
                        <w:color w:val="333333"/>
                      </w:rPr>
                      <w:t>&gt;(</w:t>
                    </w:r>
                    <w:proofErr w:type="gramEnd"/>
                    <w:r>
                      <w:rPr>
                        <w:rFonts w:ascii="MS Gothic"/>
                        <w:color w:val="333333"/>
                      </w:rPr>
                      <w:t>))); return stream;</w:t>
                    </w:r>
                  </w:p>
                  <w:p w14:paraId="568823BA" w14:textId="77777777" w:rsidR="00711A16" w:rsidRDefault="00711A16">
                    <w:pPr>
                      <w:spacing w:line="280" w:lineRule="exact"/>
                      <w:ind w:left="640"/>
                      <w:rPr>
                        <w:rFonts w:ascii="MS Gothic"/>
                      </w:rPr>
                    </w:pPr>
                    <w:r>
                      <w:rPr>
                        <w:rFonts w:ascii="MS Gothic"/>
                        <w:color w:val="333333"/>
                      </w:rPr>
                      <w:t>}</w:t>
                    </w:r>
                  </w:p>
                  <w:p w14:paraId="3FCF6FCF" w14:textId="77777777" w:rsidR="00711A16" w:rsidRDefault="00711A16">
                    <w:pPr>
                      <w:spacing w:before="9"/>
                      <w:rPr>
                        <w:rFonts w:ascii="MS Gothic"/>
                        <w:sz w:val="23"/>
                      </w:rPr>
                    </w:pPr>
                  </w:p>
                  <w:p w14:paraId="14013EDB" w14:textId="77777777" w:rsidR="00711A16" w:rsidRDefault="00711A16">
                    <w:pPr>
                      <w:ind w:left="200"/>
                      <w:rPr>
                        <w:rFonts w:ascii="MS Gothic"/>
                      </w:rPr>
                    </w:pPr>
                    <w:r>
                      <w:rPr>
                        <w:rFonts w:ascii="MS Gothic"/>
                        <w:color w:val="333333"/>
                      </w:rPr>
                      <w:t>}</w:t>
                    </w:r>
                  </w:p>
                </w:txbxContent>
              </v:textbox>
            </v:shape>
            <w10:wrap type="topAndBottom" anchorx="page"/>
          </v:group>
        </w:pict>
      </w:r>
    </w:p>
    <w:p w14:paraId="1CC3336A" w14:textId="77777777" w:rsidR="00A720EB" w:rsidRDefault="00A720EB">
      <w:pPr>
        <w:pStyle w:val="a3"/>
        <w:spacing w:before="11"/>
        <w:rPr>
          <w:sz w:val="9"/>
        </w:rPr>
      </w:pPr>
    </w:p>
    <w:p w14:paraId="07982E98" w14:textId="77777777" w:rsidR="00A720EB" w:rsidRDefault="0030286B">
      <w:pPr>
        <w:pStyle w:val="a3"/>
        <w:spacing w:before="115" w:line="280" w:lineRule="auto"/>
        <w:ind w:left="124" w:right="125"/>
        <w:jc w:val="both"/>
      </w:pPr>
      <w:r>
        <w:rPr>
          <w:color w:val="333333"/>
          <w:spacing w:val="-3"/>
          <w:w w:val="110"/>
        </w:rPr>
        <w:t xml:space="preserve">By </w:t>
      </w:r>
      <w:r>
        <w:rPr>
          <w:color w:val="333333"/>
          <w:w w:val="110"/>
        </w:rPr>
        <w:t xml:space="preserve">default, the streams managed </w:t>
      </w:r>
      <w:r>
        <w:rPr>
          <w:color w:val="333333"/>
          <w:spacing w:val="-3"/>
          <w:w w:val="110"/>
        </w:rPr>
        <w:t xml:space="preserve">by </w:t>
      </w:r>
      <w:r>
        <w:rPr>
          <w:color w:val="333333"/>
          <w:w w:val="110"/>
        </w:rPr>
        <w:t xml:space="preserve">the </w:t>
      </w:r>
      <w:r>
        <w:rPr>
          <w:rFonts w:ascii="MS Gothic"/>
          <w:color w:val="B02045"/>
          <w:w w:val="110"/>
        </w:rPr>
        <w:t xml:space="preserve">StreamBuilder </w:t>
      </w:r>
      <w:r>
        <w:rPr>
          <w:color w:val="333333"/>
          <w:w w:val="110"/>
        </w:rPr>
        <w:t xml:space="preserve">object it creates are started </w:t>
      </w:r>
      <w:r>
        <w:rPr>
          <w:color w:val="333333"/>
          <w:spacing w:val="-3"/>
          <w:w w:val="110"/>
        </w:rPr>
        <w:t xml:space="preserve">automatically. </w:t>
      </w:r>
      <w:r>
        <w:rPr>
          <w:color w:val="333333"/>
          <w:spacing w:val="-6"/>
          <w:w w:val="110"/>
        </w:rPr>
        <w:t>You</w:t>
      </w:r>
      <w:r>
        <w:rPr>
          <w:color w:val="333333"/>
          <w:spacing w:val="-7"/>
          <w:w w:val="110"/>
        </w:rPr>
        <w:t xml:space="preserve"> </w:t>
      </w:r>
      <w:r>
        <w:rPr>
          <w:color w:val="333333"/>
          <w:w w:val="110"/>
        </w:rPr>
        <w:t>can</w:t>
      </w:r>
      <w:r>
        <w:rPr>
          <w:color w:val="333333"/>
          <w:spacing w:val="-6"/>
          <w:w w:val="110"/>
        </w:rPr>
        <w:t xml:space="preserve"> </w:t>
      </w:r>
      <w:r>
        <w:rPr>
          <w:color w:val="333333"/>
          <w:w w:val="110"/>
        </w:rPr>
        <w:t>customize</w:t>
      </w:r>
      <w:r>
        <w:rPr>
          <w:color w:val="333333"/>
          <w:spacing w:val="-7"/>
          <w:w w:val="110"/>
        </w:rPr>
        <w:t xml:space="preserve"> </w:t>
      </w:r>
      <w:r>
        <w:rPr>
          <w:color w:val="333333"/>
          <w:w w:val="110"/>
        </w:rPr>
        <w:t>this</w:t>
      </w:r>
      <w:r>
        <w:rPr>
          <w:color w:val="333333"/>
          <w:spacing w:val="-6"/>
          <w:w w:val="110"/>
        </w:rPr>
        <w:t xml:space="preserve"> </w:t>
      </w:r>
      <w:r>
        <w:rPr>
          <w:color w:val="333333"/>
          <w:w w:val="110"/>
        </w:rPr>
        <w:t>behaviour</w:t>
      </w:r>
      <w:r>
        <w:rPr>
          <w:color w:val="333333"/>
          <w:spacing w:val="-8"/>
          <w:w w:val="110"/>
        </w:rPr>
        <w:t xml:space="preserve"> </w:t>
      </w:r>
      <w:r>
        <w:rPr>
          <w:color w:val="333333"/>
          <w:w w:val="110"/>
        </w:rPr>
        <w:t>using</w:t>
      </w:r>
      <w:r>
        <w:rPr>
          <w:color w:val="333333"/>
          <w:spacing w:val="-7"/>
          <w:w w:val="110"/>
        </w:rPr>
        <w:t xml:space="preserve"> </w:t>
      </w:r>
      <w:r>
        <w:rPr>
          <w:color w:val="333333"/>
          <w:w w:val="110"/>
        </w:rPr>
        <w:t>the</w:t>
      </w:r>
      <w:r>
        <w:rPr>
          <w:color w:val="333333"/>
          <w:spacing w:val="-5"/>
          <w:w w:val="110"/>
        </w:rPr>
        <w:t xml:space="preserve"> </w:t>
      </w:r>
      <w:proofErr w:type="gramStart"/>
      <w:r>
        <w:rPr>
          <w:rFonts w:ascii="MS Gothic"/>
          <w:color w:val="B02045"/>
          <w:w w:val="110"/>
        </w:rPr>
        <w:t>spring.kafka</w:t>
      </w:r>
      <w:proofErr w:type="gramEnd"/>
      <w:r>
        <w:rPr>
          <w:rFonts w:ascii="MS Gothic"/>
          <w:color w:val="B02045"/>
          <w:w w:val="110"/>
        </w:rPr>
        <w:t>.streams.auto-startup</w:t>
      </w:r>
      <w:r>
        <w:rPr>
          <w:rFonts w:ascii="MS Gothic"/>
          <w:color w:val="B02045"/>
          <w:spacing w:val="-71"/>
          <w:w w:val="110"/>
        </w:rPr>
        <w:t xml:space="preserve"> </w:t>
      </w:r>
      <w:r>
        <w:rPr>
          <w:color w:val="333333"/>
          <w:spacing w:val="-3"/>
          <w:w w:val="110"/>
        </w:rPr>
        <w:t>property.</w:t>
      </w:r>
    </w:p>
    <w:p w14:paraId="744042D3" w14:textId="77777777" w:rsidR="00A720EB" w:rsidRDefault="00A720EB">
      <w:pPr>
        <w:pStyle w:val="a3"/>
        <w:spacing w:before="8"/>
        <w:rPr>
          <w:sz w:val="26"/>
        </w:rPr>
      </w:pPr>
    </w:p>
    <w:p w14:paraId="60508F0A" w14:textId="77777777" w:rsidR="00A720EB" w:rsidRDefault="0030286B">
      <w:pPr>
        <w:pStyle w:val="4"/>
      </w:pPr>
      <w:bookmarkStart w:id="412" w:name="Additional_Kafka_Properties"/>
      <w:bookmarkEnd w:id="412"/>
      <w:r>
        <w:rPr>
          <w:color w:val="333333"/>
          <w:w w:val="110"/>
        </w:rPr>
        <w:t>Additional Kafka Properties</w:t>
      </w:r>
    </w:p>
    <w:p w14:paraId="0D8C4C2D" w14:textId="77777777" w:rsidR="00A720EB" w:rsidRDefault="00A720EB">
      <w:pPr>
        <w:pStyle w:val="a3"/>
        <w:spacing w:before="11"/>
        <w:rPr>
          <w:rFonts w:ascii="Palatino Linotype"/>
          <w:b/>
          <w:sz w:val="18"/>
        </w:rPr>
      </w:pPr>
    </w:p>
    <w:p w14:paraId="5A531025" w14:textId="77777777" w:rsidR="00A720EB" w:rsidRDefault="0030286B">
      <w:pPr>
        <w:pStyle w:val="a3"/>
        <w:spacing w:line="307" w:lineRule="auto"/>
        <w:ind w:left="124" w:right="122"/>
        <w:jc w:val="both"/>
      </w:pPr>
      <w:r>
        <w:rPr>
          <w:color w:val="333333"/>
          <w:w w:val="110"/>
        </w:rPr>
        <w:t xml:space="preserve">The properties supported </w:t>
      </w:r>
      <w:r>
        <w:rPr>
          <w:color w:val="333333"/>
          <w:spacing w:val="-3"/>
          <w:w w:val="110"/>
        </w:rPr>
        <w:t xml:space="preserve">by </w:t>
      </w:r>
      <w:r>
        <w:rPr>
          <w:color w:val="333333"/>
          <w:w w:val="110"/>
        </w:rPr>
        <w:t xml:space="preserve">auto configuration are shown in </w:t>
      </w:r>
      <w:hyperlink w:anchor="_bookmark656" w:history="1">
        <w:r>
          <w:rPr>
            <w:color w:val="418BCA"/>
            <w:w w:val="110"/>
          </w:rPr>
          <w:t>Common Application properties</w:t>
        </w:r>
      </w:hyperlink>
      <w:r>
        <w:rPr>
          <w:color w:val="333333"/>
          <w:w w:val="110"/>
        </w:rPr>
        <w:t>. Note that, for the most part, these properties (hyphenated or camelCase) map directly to the Apache</w:t>
      </w:r>
      <w:r>
        <w:rPr>
          <w:color w:val="333333"/>
          <w:spacing w:val="50"/>
          <w:w w:val="110"/>
        </w:rPr>
        <w:t xml:space="preserve"> </w:t>
      </w:r>
      <w:r>
        <w:rPr>
          <w:color w:val="333333"/>
          <w:w w:val="110"/>
        </w:rPr>
        <w:t>Kafka dotted properties. Refer to the Apache Kafka documentation for</w:t>
      </w:r>
      <w:r>
        <w:rPr>
          <w:color w:val="333333"/>
          <w:spacing w:val="37"/>
          <w:w w:val="110"/>
        </w:rPr>
        <w:t xml:space="preserve"> </w:t>
      </w:r>
      <w:r>
        <w:rPr>
          <w:color w:val="333333"/>
          <w:w w:val="110"/>
        </w:rPr>
        <w:t>details.</w:t>
      </w:r>
    </w:p>
    <w:p w14:paraId="3F9F4551" w14:textId="77777777" w:rsidR="00A720EB" w:rsidRDefault="0030286B">
      <w:pPr>
        <w:pStyle w:val="a3"/>
        <w:spacing w:before="242" w:line="307" w:lineRule="auto"/>
        <w:ind w:left="124" w:right="128"/>
        <w:jc w:val="both"/>
      </w:pPr>
      <w:r>
        <w:rPr>
          <w:color w:val="333333"/>
          <w:w w:val="110"/>
        </w:rPr>
        <w:t>The first few of these properties apply to all components (producers, consumers, admins, and streams) but can be specified at the component level if you wish to use different values. Apache</w:t>
      </w:r>
      <w:r>
        <w:rPr>
          <w:color w:val="333333"/>
          <w:spacing w:val="50"/>
          <w:w w:val="110"/>
        </w:rPr>
        <w:t xml:space="preserve"> </w:t>
      </w:r>
      <w:r>
        <w:rPr>
          <w:color w:val="333333"/>
          <w:w w:val="110"/>
        </w:rPr>
        <w:t xml:space="preserve">Kafka designates properties with an importance of HIGH, MEDIUM, or </w:t>
      </w:r>
      <w:r>
        <w:rPr>
          <w:color w:val="333333"/>
          <w:spacing w:val="-7"/>
          <w:w w:val="110"/>
        </w:rPr>
        <w:t xml:space="preserve">LOW. </w:t>
      </w:r>
      <w:r>
        <w:rPr>
          <w:color w:val="333333"/>
          <w:w w:val="110"/>
        </w:rPr>
        <w:t xml:space="preserve">Spring Boot auto- configuration supports all HIGH importance properties, some selected MEDIUM and </w:t>
      </w:r>
      <w:proofErr w:type="gramStart"/>
      <w:r>
        <w:rPr>
          <w:color w:val="333333"/>
          <w:w w:val="110"/>
        </w:rPr>
        <w:t>LOW  properties</w:t>
      </w:r>
      <w:proofErr w:type="gramEnd"/>
      <w:r>
        <w:rPr>
          <w:color w:val="333333"/>
          <w:w w:val="110"/>
        </w:rPr>
        <w:t>, and any properties that do not have a default</w:t>
      </w:r>
      <w:r>
        <w:rPr>
          <w:color w:val="333333"/>
          <w:spacing w:val="32"/>
          <w:w w:val="110"/>
        </w:rPr>
        <w:t xml:space="preserve"> </w:t>
      </w:r>
      <w:r>
        <w:rPr>
          <w:color w:val="333333"/>
          <w:w w:val="110"/>
        </w:rPr>
        <w:t>value.</w:t>
      </w:r>
    </w:p>
    <w:p w14:paraId="5C330127" w14:textId="77777777" w:rsidR="00A720EB" w:rsidRDefault="0030286B">
      <w:pPr>
        <w:pStyle w:val="a3"/>
        <w:spacing w:before="242"/>
        <w:ind w:left="124"/>
        <w:jc w:val="both"/>
      </w:pPr>
      <w:r>
        <w:rPr>
          <w:color w:val="333333"/>
          <w:w w:val="110"/>
        </w:rPr>
        <w:t xml:space="preserve">Only  </w:t>
      </w:r>
      <w:r>
        <w:rPr>
          <w:color w:val="333333"/>
          <w:spacing w:val="20"/>
          <w:w w:val="110"/>
        </w:rPr>
        <w:t xml:space="preserve"> </w:t>
      </w:r>
      <w:r>
        <w:rPr>
          <w:color w:val="333333"/>
          <w:w w:val="110"/>
        </w:rPr>
        <w:t xml:space="preserve">a  </w:t>
      </w:r>
      <w:r>
        <w:rPr>
          <w:color w:val="333333"/>
          <w:spacing w:val="21"/>
          <w:w w:val="110"/>
        </w:rPr>
        <w:t xml:space="preserve"> </w:t>
      </w:r>
      <w:r>
        <w:rPr>
          <w:color w:val="333333"/>
          <w:w w:val="110"/>
        </w:rPr>
        <w:t xml:space="preserve">subset  </w:t>
      </w:r>
      <w:r>
        <w:rPr>
          <w:color w:val="333333"/>
          <w:spacing w:val="21"/>
          <w:w w:val="110"/>
        </w:rPr>
        <w:t xml:space="preserve"> </w:t>
      </w:r>
      <w:r>
        <w:rPr>
          <w:color w:val="333333"/>
          <w:w w:val="110"/>
        </w:rPr>
        <w:t xml:space="preserve">of  </w:t>
      </w:r>
      <w:r>
        <w:rPr>
          <w:color w:val="333333"/>
          <w:spacing w:val="21"/>
          <w:w w:val="110"/>
        </w:rPr>
        <w:t xml:space="preserve"> </w:t>
      </w:r>
      <w:r>
        <w:rPr>
          <w:color w:val="333333"/>
          <w:w w:val="110"/>
        </w:rPr>
        <w:t xml:space="preserve">the  </w:t>
      </w:r>
      <w:r>
        <w:rPr>
          <w:color w:val="333333"/>
          <w:spacing w:val="20"/>
          <w:w w:val="110"/>
        </w:rPr>
        <w:t xml:space="preserve"> </w:t>
      </w:r>
      <w:r>
        <w:rPr>
          <w:color w:val="333333"/>
          <w:w w:val="110"/>
        </w:rPr>
        <w:t xml:space="preserve">properties  </w:t>
      </w:r>
      <w:r>
        <w:rPr>
          <w:color w:val="333333"/>
          <w:spacing w:val="21"/>
          <w:w w:val="110"/>
        </w:rPr>
        <w:t xml:space="preserve"> </w:t>
      </w:r>
      <w:r>
        <w:rPr>
          <w:color w:val="333333"/>
          <w:w w:val="110"/>
        </w:rPr>
        <w:t xml:space="preserve">supported  </w:t>
      </w:r>
      <w:r>
        <w:rPr>
          <w:color w:val="333333"/>
          <w:spacing w:val="21"/>
          <w:w w:val="110"/>
        </w:rPr>
        <w:t xml:space="preserve"> </w:t>
      </w:r>
      <w:r>
        <w:rPr>
          <w:color w:val="333333"/>
          <w:spacing w:val="-3"/>
          <w:w w:val="110"/>
        </w:rPr>
        <w:t xml:space="preserve">by  </w:t>
      </w:r>
      <w:r>
        <w:rPr>
          <w:color w:val="333333"/>
          <w:spacing w:val="27"/>
          <w:w w:val="110"/>
        </w:rPr>
        <w:t xml:space="preserve"> </w:t>
      </w:r>
      <w:r>
        <w:rPr>
          <w:color w:val="333333"/>
          <w:w w:val="110"/>
        </w:rPr>
        <w:t xml:space="preserve">Kafka  </w:t>
      </w:r>
      <w:r>
        <w:rPr>
          <w:color w:val="333333"/>
          <w:spacing w:val="21"/>
          <w:w w:val="110"/>
        </w:rPr>
        <w:t xml:space="preserve"> </w:t>
      </w:r>
      <w:r>
        <w:rPr>
          <w:color w:val="333333"/>
          <w:w w:val="110"/>
        </w:rPr>
        <w:t xml:space="preserve">are  </w:t>
      </w:r>
      <w:r>
        <w:rPr>
          <w:color w:val="333333"/>
          <w:spacing w:val="20"/>
          <w:w w:val="110"/>
        </w:rPr>
        <w:t xml:space="preserve"> </w:t>
      </w:r>
      <w:r>
        <w:rPr>
          <w:color w:val="333333"/>
          <w:w w:val="110"/>
        </w:rPr>
        <w:t xml:space="preserve">available  </w:t>
      </w:r>
      <w:r>
        <w:rPr>
          <w:color w:val="333333"/>
          <w:spacing w:val="21"/>
          <w:w w:val="110"/>
        </w:rPr>
        <w:t xml:space="preserve"> </w:t>
      </w:r>
      <w:r>
        <w:rPr>
          <w:color w:val="333333"/>
          <w:w w:val="110"/>
        </w:rPr>
        <w:t xml:space="preserve">directly  </w:t>
      </w:r>
      <w:r>
        <w:rPr>
          <w:color w:val="333333"/>
          <w:spacing w:val="21"/>
          <w:w w:val="110"/>
        </w:rPr>
        <w:t xml:space="preserve"> </w:t>
      </w:r>
      <w:r>
        <w:rPr>
          <w:color w:val="333333"/>
          <w:w w:val="110"/>
        </w:rPr>
        <w:t xml:space="preserve">through  </w:t>
      </w:r>
      <w:r>
        <w:rPr>
          <w:color w:val="333333"/>
          <w:spacing w:val="21"/>
          <w:w w:val="110"/>
        </w:rPr>
        <w:t xml:space="preserve"> </w:t>
      </w:r>
      <w:r>
        <w:rPr>
          <w:color w:val="333333"/>
          <w:w w:val="110"/>
        </w:rPr>
        <w:t>the</w:t>
      </w:r>
    </w:p>
    <w:p w14:paraId="2BC00F02" w14:textId="77777777" w:rsidR="00A720EB" w:rsidRDefault="0030286B">
      <w:pPr>
        <w:pStyle w:val="a3"/>
        <w:spacing w:before="59"/>
        <w:ind w:left="124"/>
        <w:jc w:val="both"/>
      </w:pPr>
      <w:r>
        <w:rPr>
          <w:rFonts w:ascii="MS Gothic"/>
          <w:color w:val="B02045"/>
          <w:w w:val="110"/>
        </w:rPr>
        <w:t>KafkaProperties</w:t>
      </w:r>
      <w:r>
        <w:rPr>
          <w:rFonts w:ascii="MS Gothic"/>
          <w:color w:val="B02045"/>
          <w:spacing w:val="-68"/>
          <w:w w:val="110"/>
        </w:rPr>
        <w:t xml:space="preserve"> </w:t>
      </w:r>
      <w:r>
        <w:rPr>
          <w:color w:val="333333"/>
          <w:w w:val="110"/>
        </w:rPr>
        <w:t>class.</w:t>
      </w:r>
      <w:r>
        <w:rPr>
          <w:color w:val="333333"/>
          <w:spacing w:val="-3"/>
          <w:w w:val="110"/>
        </w:rPr>
        <w:t xml:space="preserve"> </w:t>
      </w:r>
      <w:r>
        <w:rPr>
          <w:color w:val="333333"/>
          <w:w w:val="110"/>
        </w:rPr>
        <w:t>If</w:t>
      </w:r>
      <w:r>
        <w:rPr>
          <w:color w:val="333333"/>
          <w:spacing w:val="-3"/>
          <w:w w:val="110"/>
        </w:rPr>
        <w:t xml:space="preserve"> </w:t>
      </w:r>
      <w:r>
        <w:rPr>
          <w:color w:val="333333"/>
          <w:w w:val="110"/>
        </w:rPr>
        <w:t>you</w:t>
      </w:r>
      <w:r>
        <w:rPr>
          <w:color w:val="333333"/>
          <w:spacing w:val="-4"/>
          <w:w w:val="110"/>
        </w:rPr>
        <w:t xml:space="preserve"> </w:t>
      </w:r>
      <w:r>
        <w:rPr>
          <w:color w:val="333333"/>
          <w:w w:val="110"/>
        </w:rPr>
        <w:t>wish</w:t>
      </w:r>
      <w:r>
        <w:rPr>
          <w:color w:val="333333"/>
          <w:spacing w:val="-2"/>
          <w:w w:val="110"/>
        </w:rPr>
        <w:t xml:space="preserve"> </w:t>
      </w:r>
      <w:r>
        <w:rPr>
          <w:color w:val="333333"/>
          <w:w w:val="110"/>
        </w:rPr>
        <w:t>to</w:t>
      </w:r>
      <w:r>
        <w:rPr>
          <w:color w:val="333333"/>
          <w:spacing w:val="-3"/>
          <w:w w:val="110"/>
        </w:rPr>
        <w:t xml:space="preserve"> </w:t>
      </w:r>
      <w:r>
        <w:rPr>
          <w:color w:val="333333"/>
          <w:w w:val="110"/>
        </w:rPr>
        <w:t>configure</w:t>
      </w:r>
      <w:r>
        <w:rPr>
          <w:color w:val="333333"/>
          <w:spacing w:val="-3"/>
          <w:w w:val="110"/>
        </w:rPr>
        <w:t xml:space="preserve"> </w:t>
      </w:r>
      <w:r>
        <w:rPr>
          <w:color w:val="333333"/>
          <w:w w:val="110"/>
        </w:rPr>
        <w:t>the</w:t>
      </w:r>
      <w:r>
        <w:rPr>
          <w:color w:val="333333"/>
          <w:spacing w:val="-3"/>
          <w:w w:val="110"/>
        </w:rPr>
        <w:t xml:space="preserve"> </w:t>
      </w:r>
      <w:r>
        <w:rPr>
          <w:color w:val="333333"/>
          <w:w w:val="110"/>
        </w:rPr>
        <w:t>producer</w:t>
      </w:r>
      <w:r>
        <w:rPr>
          <w:color w:val="333333"/>
          <w:spacing w:val="-3"/>
          <w:w w:val="110"/>
        </w:rPr>
        <w:t xml:space="preserve"> </w:t>
      </w:r>
      <w:r>
        <w:rPr>
          <w:color w:val="333333"/>
          <w:w w:val="110"/>
        </w:rPr>
        <w:t>or</w:t>
      </w:r>
      <w:r>
        <w:rPr>
          <w:color w:val="333333"/>
          <w:spacing w:val="-3"/>
          <w:w w:val="110"/>
        </w:rPr>
        <w:t xml:space="preserve"> </w:t>
      </w:r>
      <w:r>
        <w:rPr>
          <w:color w:val="333333"/>
          <w:w w:val="110"/>
        </w:rPr>
        <w:t>consumer</w:t>
      </w:r>
      <w:r>
        <w:rPr>
          <w:color w:val="333333"/>
          <w:spacing w:val="-3"/>
          <w:w w:val="110"/>
        </w:rPr>
        <w:t xml:space="preserve"> </w:t>
      </w:r>
      <w:r>
        <w:rPr>
          <w:color w:val="333333"/>
          <w:w w:val="110"/>
        </w:rPr>
        <w:t>with</w:t>
      </w:r>
      <w:r>
        <w:rPr>
          <w:color w:val="333333"/>
          <w:spacing w:val="-2"/>
          <w:w w:val="110"/>
        </w:rPr>
        <w:t xml:space="preserve"> </w:t>
      </w:r>
      <w:r>
        <w:rPr>
          <w:color w:val="333333"/>
          <w:w w:val="110"/>
        </w:rPr>
        <w:t>additional</w:t>
      </w:r>
      <w:r>
        <w:rPr>
          <w:color w:val="333333"/>
          <w:spacing w:val="-4"/>
          <w:w w:val="110"/>
        </w:rPr>
        <w:t xml:space="preserve"> </w:t>
      </w:r>
      <w:r>
        <w:rPr>
          <w:color w:val="333333"/>
          <w:w w:val="110"/>
        </w:rPr>
        <w:t>properties</w:t>
      </w:r>
    </w:p>
    <w:p w14:paraId="020C9167" w14:textId="77777777" w:rsidR="00A720EB" w:rsidRDefault="00A720EB">
      <w:pPr>
        <w:jc w:val="both"/>
        <w:sectPr w:rsidR="00A720EB">
          <w:pgSz w:w="11910" w:h="16840"/>
          <w:pgMar w:top="620" w:right="840" w:bottom="520" w:left="840" w:header="0" w:footer="323" w:gutter="0"/>
          <w:cols w:space="720"/>
        </w:sectPr>
      </w:pPr>
    </w:p>
    <w:p w14:paraId="3732CF72" w14:textId="77777777" w:rsidR="00A720EB" w:rsidRDefault="0030286B">
      <w:pPr>
        <w:pStyle w:val="a3"/>
        <w:spacing w:before="107"/>
        <w:ind w:left="124"/>
      </w:pPr>
      <w:r>
        <w:rPr>
          <w:color w:val="333333"/>
          <w:w w:val="110"/>
        </w:rPr>
        <w:lastRenderedPageBreak/>
        <w:t>that are not directly supported, use the following properties:</w:t>
      </w:r>
    </w:p>
    <w:p w14:paraId="334D16A5" w14:textId="77777777" w:rsidR="00A720EB" w:rsidRDefault="00E10349">
      <w:pPr>
        <w:pStyle w:val="a3"/>
        <w:spacing w:before="11"/>
        <w:rPr>
          <w:sz w:val="18"/>
        </w:rPr>
      </w:pPr>
      <w:r>
        <w:pict w14:anchorId="0E0968F9">
          <v:group id="_x0000_s3803" style="position:absolute;margin-left:47.85pt;margin-top:13.1pt;width:499.55pt;height:96.45pt;z-index:-15396864;mso-wrap-distance-left:0;mso-wrap-distance-right:0;mso-position-horizontal-relative:page" coordorigin="957,262" coordsize="9991,1929">
            <v:shape id="_x0000_s3806" style="position:absolute;left:964;top:269;width:9976;height:1914" coordorigin="965,270" coordsize="9976,1914" path="m10861,270r-9816,l1014,276r-26,17l971,318r-6,32l965,2104r6,31l988,2160r26,17l1045,2184r9816,l10892,2177r25,-17l10935,2135r6,-31l10941,350r-6,-32l10917,293r-25,-17l10861,270xe" fillcolor="#f5f5f5" stroked="f">
              <v:path arrowok="t"/>
            </v:shape>
            <v:shape id="_x0000_s3805" style="position:absolute;left:964;top:269;width:9976;height:1914" coordorigin="965,270" coordsize="9976,1914" path="m1045,270r9816,l10892,276r25,17l10935,318r6,32l10941,2104r-6,31l10917,2160r-25,17l10861,2184r-9816,l1014,2177r-26,-17l971,2135r-6,-31l965,350r6,-32l988,293r26,-17l1045,270xe" filled="f" strokecolor="#ccc">
              <v:path arrowok="t"/>
            </v:shape>
            <v:shape id="_x0000_s3804" type="#_x0000_t202" style="position:absolute;left:984;top:285;width:9938;height:1884" filled="f" stroked="f">
              <v:textbox inset="0,0,0,0">
                <w:txbxContent>
                  <w:p w14:paraId="1D34F408" w14:textId="77777777" w:rsidR="00711A16" w:rsidRDefault="00711A16">
                    <w:pPr>
                      <w:spacing w:before="221" w:line="252" w:lineRule="auto"/>
                      <w:ind w:left="200" w:right="4328"/>
                      <w:rPr>
                        <w:rFonts w:ascii="MS Gothic"/>
                      </w:rPr>
                    </w:pPr>
                    <w:r>
                      <w:rPr>
                        <w:rFonts w:ascii="MS Gothic"/>
                        <w:color w:val="333333"/>
                      </w:rPr>
                      <w:t xml:space="preserve">spring.kafka.properties.prop.one=first spring.kafka.admin.properties.prop.two=second </w:t>
                    </w:r>
                    <w:proofErr w:type="gramStart"/>
                    <w:r>
                      <w:rPr>
                        <w:rFonts w:ascii="MS Gothic"/>
                        <w:color w:val="333333"/>
                      </w:rPr>
                      <w:t>spring.kafka</w:t>
                    </w:r>
                    <w:proofErr w:type="gramEnd"/>
                    <w:r>
                      <w:rPr>
                        <w:rFonts w:ascii="MS Gothic"/>
                        <w:color w:val="333333"/>
                      </w:rPr>
                      <w:t>.consumer.properties.prop.three=third spring.kafka.producer.properties.prop.four=fourth spring.kafka.streams.properties.prop.five=fifth</w:t>
                    </w:r>
                  </w:p>
                </w:txbxContent>
              </v:textbox>
            </v:shape>
            <w10:wrap type="topAndBottom" anchorx="page"/>
          </v:group>
        </w:pict>
      </w:r>
    </w:p>
    <w:p w14:paraId="2F6A7456" w14:textId="77777777" w:rsidR="00A720EB" w:rsidRDefault="00A720EB">
      <w:pPr>
        <w:pStyle w:val="a3"/>
        <w:spacing w:before="11"/>
        <w:rPr>
          <w:sz w:val="9"/>
        </w:rPr>
      </w:pPr>
    </w:p>
    <w:p w14:paraId="21FDCA28" w14:textId="77777777" w:rsidR="00A720EB" w:rsidRDefault="0030286B">
      <w:pPr>
        <w:pStyle w:val="a3"/>
        <w:spacing w:before="115" w:line="280" w:lineRule="auto"/>
        <w:ind w:left="124" w:right="122"/>
        <w:jc w:val="both"/>
      </w:pPr>
      <w:r>
        <w:rPr>
          <w:color w:val="333333"/>
          <w:w w:val="110"/>
        </w:rPr>
        <w:t xml:space="preserve">This sets the common </w:t>
      </w:r>
      <w:r>
        <w:rPr>
          <w:rFonts w:ascii="MS Gothic"/>
          <w:color w:val="B02045"/>
          <w:w w:val="110"/>
        </w:rPr>
        <w:t xml:space="preserve">prop.one </w:t>
      </w:r>
      <w:r>
        <w:rPr>
          <w:color w:val="333333"/>
          <w:w w:val="110"/>
        </w:rPr>
        <w:t xml:space="preserve">Kafka property to </w:t>
      </w:r>
      <w:r>
        <w:rPr>
          <w:rFonts w:ascii="MS Gothic"/>
          <w:color w:val="B02045"/>
          <w:w w:val="110"/>
        </w:rPr>
        <w:t xml:space="preserve">first </w:t>
      </w:r>
      <w:r>
        <w:rPr>
          <w:color w:val="333333"/>
          <w:w w:val="110"/>
        </w:rPr>
        <w:t xml:space="preserve">(applies to producers, consumers and admins), the </w:t>
      </w:r>
      <w:r>
        <w:rPr>
          <w:rFonts w:ascii="MS Gothic"/>
          <w:color w:val="B02045"/>
          <w:w w:val="110"/>
        </w:rPr>
        <w:t xml:space="preserve">prop.two </w:t>
      </w:r>
      <w:r>
        <w:rPr>
          <w:color w:val="333333"/>
          <w:w w:val="110"/>
        </w:rPr>
        <w:t xml:space="preserve">admin property to </w:t>
      </w:r>
      <w:r>
        <w:rPr>
          <w:rFonts w:ascii="MS Gothic"/>
          <w:color w:val="B02045"/>
          <w:w w:val="110"/>
        </w:rPr>
        <w:t>second</w:t>
      </w:r>
      <w:r>
        <w:rPr>
          <w:color w:val="333333"/>
          <w:w w:val="110"/>
        </w:rPr>
        <w:t xml:space="preserve">, the </w:t>
      </w:r>
      <w:proofErr w:type="gramStart"/>
      <w:r>
        <w:rPr>
          <w:rFonts w:ascii="MS Gothic"/>
          <w:color w:val="B02045"/>
          <w:w w:val="110"/>
        </w:rPr>
        <w:t>prop.three</w:t>
      </w:r>
      <w:proofErr w:type="gramEnd"/>
      <w:r>
        <w:rPr>
          <w:rFonts w:ascii="MS Gothic"/>
          <w:color w:val="B02045"/>
          <w:w w:val="110"/>
        </w:rPr>
        <w:t xml:space="preserve"> </w:t>
      </w:r>
      <w:r>
        <w:rPr>
          <w:color w:val="333333"/>
          <w:w w:val="110"/>
        </w:rPr>
        <w:t xml:space="preserve">consumer property to </w:t>
      </w:r>
      <w:r>
        <w:rPr>
          <w:rFonts w:ascii="MS Gothic"/>
          <w:color w:val="B02045"/>
          <w:w w:val="110"/>
        </w:rPr>
        <w:t>third</w:t>
      </w:r>
      <w:r>
        <w:rPr>
          <w:color w:val="333333"/>
          <w:w w:val="110"/>
        </w:rPr>
        <w:t xml:space="preserve">, the </w:t>
      </w:r>
      <w:r>
        <w:rPr>
          <w:rFonts w:ascii="MS Gothic"/>
          <w:color w:val="B02045"/>
          <w:w w:val="110"/>
        </w:rPr>
        <w:t>prop.four</w:t>
      </w:r>
      <w:r>
        <w:rPr>
          <w:rFonts w:ascii="MS Gothic"/>
          <w:color w:val="B02045"/>
          <w:spacing w:val="-69"/>
          <w:w w:val="110"/>
        </w:rPr>
        <w:t xml:space="preserve"> </w:t>
      </w:r>
      <w:r>
        <w:rPr>
          <w:color w:val="333333"/>
          <w:w w:val="110"/>
        </w:rPr>
        <w:t xml:space="preserve">producer property to </w:t>
      </w:r>
      <w:r>
        <w:rPr>
          <w:rFonts w:ascii="MS Gothic"/>
          <w:color w:val="B02045"/>
          <w:w w:val="110"/>
        </w:rPr>
        <w:t>fourth</w:t>
      </w:r>
      <w:r>
        <w:rPr>
          <w:rFonts w:ascii="MS Gothic"/>
          <w:color w:val="B02045"/>
          <w:spacing w:val="-69"/>
          <w:w w:val="110"/>
        </w:rPr>
        <w:t xml:space="preserve"> </w:t>
      </w:r>
      <w:r>
        <w:rPr>
          <w:color w:val="333333"/>
          <w:w w:val="110"/>
        </w:rPr>
        <w:t xml:space="preserve">and the </w:t>
      </w:r>
      <w:r>
        <w:rPr>
          <w:rFonts w:ascii="MS Gothic"/>
          <w:color w:val="B02045"/>
          <w:w w:val="110"/>
        </w:rPr>
        <w:t>prop.five</w:t>
      </w:r>
      <w:r>
        <w:rPr>
          <w:rFonts w:ascii="MS Gothic"/>
          <w:color w:val="B02045"/>
          <w:spacing w:val="-69"/>
          <w:w w:val="110"/>
        </w:rPr>
        <w:t xml:space="preserve"> </w:t>
      </w:r>
      <w:r>
        <w:rPr>
          <w:color w:val="333333"/>
          <w:w w:val="110"/>
        </w:rPr>
        <w:t xml:space="preserve">streams property to </w:t>
      </w:r>
      <w:r>
        <w:rPr>
          <w:rFonts w:ascii="MS Gothic"/>
          <w:color w:val="B02045"/>
          <w:w w:val="110"/>
        </w:rPr>
        <w:t>fifth</w:t>
      </w:r>
      <w:r>
        <w:rPr>
          <w:color w:val="333333"/>
          <w:w w:val="110"/>
        </w:rPr>
        <w:t>.</w:t>
      </w:r>
    </w:p>
    <w:p w14:paraId="20411BE0" w14:textId="77777777" w:rsidR="00A720EB" w:rsidRDefault="0030286B">
      <w:pPr>
        <w:pStyle w:val="a3"/>
        <w:spacing w:before="243"/>
        <w:ind w:left="124"/>
        <w:jc w:val="both"/>
      </w:pPr>
      <w:r>
        <w:rPr>
          <w:color w:val="333333"/>
          <w:w w:val="110"/>
        </w:rPr>
        <w:t xml:space="preserve">You can also configure the Spring Kafka </w:t>
      </w:r>
      <w:r>
        <w:rPr>
          <w:rFonts w:ascii="MS Gothic"/>
          <w:color w:val="B02045"/>
          <w:w w:val="110"/>
        </w:rPr>
        <w:t xml:space="preserve">JsonDeserializer </w:t>
      </w:r>
      <w:r>
        <w:rPr>
          <w:color w:val="333333"/>
          <w:w w:val="110"/>
        </w:rPr>
        <w:t>as follows:</w:t>
      </w:r>
    </w:p>
    <w:p w14:paraId="7CD734D1" w14:textId="77777777" w:rsidR="00A720EB" w:rsidRDefault="00E10349">
      <w:pPr>
        <w:pStyle w:val="a3"/>
        <w:spacing w:before="11"/>
        <w:rPr>
          <w:sz w:val="17"/>
        </w:rPr>
      </w:pPr>
      <w:r>
        <w:pict w14:anchorId="1A0CCAF6">
          <v:group id="_x0000_s3799" style="position:absolute;margin-left:47.85pt;margin-top:12.5pt;width:499.55pt;height:81.75pt;z-index:-15396352;mso-wrap-distance-left:0;mso-wrap-distance-right:0;mso-position-horizontal-relative:page" coordorigin="957,250" coordsize="9991,1635">
            <v:shape id="_x0000_s3802" style="position:absolute;left:964;top:257;width:9976;height:1620" coordorigin="965,257" coordsize="9976,1620" path="m10861,257r-9816,l1014,264r-26,17l971,306r-6,31l965,1797r6,31l988,1853r26,17l1045,1877r9816,l10892,1870r25,-17l10935,1828r6,-31l10941,337r-6,-31l10917,281r-25,-17l10861,257xe" fillcolor="#f5f5f5" stroked="f">
              <v:path arrowok="t"/>
            </v:shape>
            <v:shape id="_x0000_s3801" style="position:absolute;left:964;top:257;width:9976;height:1620" coordorigin="965,257" coordsize="9976,1620" path="m1045,257r9816,l10892,264r25,17l10935,306r6,31l10941,1797r-6,31l10917,1853r-25,17l10861,1877r-9816,l1014,1870r-26,-17l971,1828r-6,-31l965,337r6,-31l988,281r26,-17l1045,257xe" filled="f" strokecolor="#ccc">
              <v:path arrowok="t"/>
            </v:shape>
            <v:shape id="_x0000_s3800" type="#_x0000_t202" style="position:absolute;left:984;top:272;width:9938;height:1589" filled="f" stroked="f">
              <v:textbox inset="0,0,0,0">
                <w:txbxContent>
                  <w:p w14:paraId="14200AF7" w14:textId="77777777" w:rsidR="00711A16" w:rsidRDefault="00711A16">
                    <w:pPr>
                      <w:spacing w:before="221" w:line="252" w:lineRule="auto"/>
                      <w:ind w:left="200" w:right="588"/>
                      <w:rPr>
                        <w:rFonts w:ascii="MS Gothic"/>
                      </w:rPr>
                    </w:pPr>
                    <w:proofErr w:type="gramStart"/>
                    <w:r>
                      <w:rPr>
                        <w:rFonts w:ascii="MS Gothic"/>
                        <w:color w:val="333333"/>
                      </w:rPr>
                      <w:t>spring.kafka</w:t>
                    </w:r>
                    <w:proofErr w:type="gramEnd"/>
                    <w:r>
                      <w:rPr>
                        <w:rFonts w:ascii="MS Gothic"/>
                        <w:color w:val="333333"/>
                      </w:rPr>
                      <w:t>.consumer.value- deserializer=org.springframework.kafka.support.serializer.JsonDeserializer spring.kafka.consumer.properties.spring.json.value.default.type=com.example.Invoice spring.kafka.consumer.properties.spring.json.trusted.packages=com.example,org.acme</w:t>
                    </w:r>
                  </w:p>
                </w:txbxContent>
              </v:textbox>
            </v:shape>
            <w10:wrap type="topAndBottom" anchorx="page"/>
          </v:group>
        </w:pict>
      </w:r>
    </w:p>
    <w:p w14:paraId="67122AF6" w14:textId="77777777" w:rsidR="00A720EB" w:rsidRDefault="00A720EB">
      <w:pPr>
        <w:pStyle w:val="a3"/>
        <w:spacing w:before="11"/>
        <w:rPr>
          <w:sz w:val="9"/>
        </w:rPr>
      </w:pPr>
    </w:p>
    <w:p w14:paraId="3F071514" w14:textId="77777777" w:rsidR="00A720EB" w:rsidRDefault="0030286B">
      <w:pPr>
        <w:pStyle w:val="a3"/>
        <w:spacing w:before="115" w:line="290" w:lineRule="auto"/>
        <w:ind w:left="124" w:right="359"/>
      </w:pPr>
      <w:r>
        <w:rPr>
          <w:color w:val="333333"/>
          <w:w w:val="110"/>
        </w:rPr>
        <w:t xml:space="preserve">Similarly, you can disable the </w:t>
      </w:r>
      <w:r>
        <w:rPr>
          <w:rFonts w:ascii="MS Gothic"/>
          <w:color w:val="B02045"/>
          <w:w w:val="110"/>
        </w:rPr>
        <w:t xml:space="preserve">JsonSerializer </w:t>
      </w:r>
      <w:r>
        <w:rPr>
          <w:color w:val="333333"/>
          <w:w w:val="110"/>
        </w:rPr>
        <w:t>default behavior of sending type information in headers:</w:t>
      </w:r>
    </w:p>
    <w:p w14:paraId="0DC087D2" w14:textId="77777777" w:rsidR="00A720EB" w:rsidRDefault="00E10349">
      <w:pPr>
        <w:pStyle w:val="a3"/>
        <w:spacing w:before="8"/>
        <w:rPr>
          <w:sz w:val="14"/>
        </w:rPr>
      </w:pPr>
      <w:r>
        <w:pict w14:anchorId="77D3032D">
          <v:group id="_x0000_s3795" style="position:absolute;margin-left:47.85pt;margin-top:10.6pt;width:499.55pt;height:67pt;z-index:-15395840;mso-wrap-distance-left:0;mso-wrap-distance-right:0;mso-position-horizontal-relative:page" coordorigin="957,212" coordsize="9991,1340">
            <v:shape id="_x0000_s3798" style="position:absolute;left:964;top:219;width:9976;height:1325" coordorigin="965,219" coordsize="9976,1325" path="m10861,219r-9816,l1014,226r-26,17l971,268r-6,31l965,1464r6,31l988,1520r26,17l1045,1544r9816,l10892,1537r25,-17l10935,1495r6,-31l10941,299r-6,-31l10917,243r-25,-17l10861,219xe" fillcolor="#f5f5f5" stroked="f">
              <v:path arrowok="t"/>
            </v:shape>
            <v:shape id="_x0000_s3797" style="position:absolute;left:964;top:219;width:9976;height:1325" coordorigin="965,219" coordsize="9976,1325" path="m1045,219r9816,l10892,226r25,17l10935,268r6,31l10941,1464r-6,31l10917,1520r-25,17l10861,1544r-9816,l1014,1537r-26,-17l971,1495r-6,-31l965,299r6,-31l988,243r26,-17l1045,219xe" filled="f" strokecolor="#ccc">
              <v:path arrowok="t"/>
            </v:shape>
            <v:shape id="_x0000_s3796" type="#_x0000_t202" style="position:absolute;left:984;top:234;width:9938;height:1294" filled="f" stroked="f">
              <v:textbox inset="0,0,0,0">
                <w:txbxContent>
                  <w:p w14:paraId="46A765A2" w14:textId="77777777" w:rsidR="00711A16" w:rsidRDefault="00711A16">
                    <w:pPr>
                      <w:spacing w:before="221" w:line="252" w:lineRule="auto"/>
                      <w:ind w:left="200" w:right="2018"/>
                      <w:rPr>
                        <w:rFonts w:ascii="MS Gothic"/>
                      </w:rPr>
                    </w:pPr>
                    <w:proofErr w:type="gramStart"/>
                    <w:r>
                      <w:rPr>
                        <w:rFonts w:ascii="MS Gothic"/>
                        <w:color w:val="333333"/>
                      </w:rPr>
                      <w:t>spring.kafka</w:t>
                    </w:r>
                    <w:proofErr w:type="gramEnd"/>
                    <w:r>
                      <w:rPr>
                        <w:rFonts w:ascii="MS Gothic"/>
                        <w:color w:val="333333"/>
                      </w:rPr>
                      <w:t>.producer.value- serializer=org.springframework.kafka.support.serializer.JsonSerializer spring.kafka.producer.properties.spring.json.add.type.headers=false</w:t>
                    </w:r>
                  </w:p>
                </w:txbxContent>
              </v:textbox>
            </v:shape>
            <w10:wrap type="topAndBottom" anchorx="page"/>
          </v:group>
        </w:pict>
      </w:r>
    </w:p>
    <w:p w14:paraId="2E2737D1" w14:textId="77777777" w:rsidR="00A720EB" w:rsidRDefault="00A720EB">
      <w:pPr>
        <w:pStyle w:val="a3"/>
        <w:spacing w:before="10"/>
        <w:rPr>
          <w:sz w:val="16"/>
        </w:rPr>
      </w:pPr>
    </w:p>
    <w:p w14:paraId="31950D11" w14:textId="77777777" w:rsidR="00A720EB" w:rsidRDefault="00E10349">
      <w:pPr>
        <w:pStyle w:val="a3"/>
        <w:spacing w:before="125" w:line="307" w:lineRule="auto"/>
        <w:ind w:left="1564" w:right="462"/>
      </w:pPr>
      <w:r>
        <w:pict w14:anchorId="752DBDF2">
          <v:line id="_x0000_s3794" style="position:absolute;left:0;text-align:left;z-index:16061952;mso-position-horizontal-relative:page" from="108.25pt,.25pt" to="108.25pt,39.8pt" strokecolor="#ededed" strokeweight=".5pt">
            <w10:wrap anchorx="page"/>
          </v:line>
        </w:pict>
      </w:r>
      <w:r w:rsidR="0030286B">
        <w:rPr>
          <w:noProof/>
        </w:rPr>
        <w:drawing>
          <wp:anchor distT="0" distB="0" distL="0" distR="0" simplePos="0" relativeHeight="16062464" behindDoc="0" locked="0" layoutInCell="1" allowOverlap="1" wp14:anchorId="76DCDCA1" wp14:editId="1209061A">
            <wp:simplePos x="0" y="0"/>
            <wp:positionH relativeFrom="page">
              <wp:posOffset>844422</wp:posOffset>
            </wp:positionH>
            <wp:positionV relativeFrom="paragraph">
              <wp:posOffset>105321</wp:posOffset>
            </wp:positionV>
            <wp:extent cx="298450" cy="298450"/>
            <wp:effectExtent l="0" t="0" r="0" b="0"/>
            <wp:wrapNone/>
            <wp:docPr id="4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0.png"/>
                    <pic:cNvPicPr/>
                  </pic:nvPicPr>
                  <pic:blipFill>
                    <a:blip r:embed="rId171" cstate="print"/>
                    <a:stretch>
                      <a:fillRect/>
                    </a:stretch>
                  </pic:blipFill>
                  <pic:spPr>
                    <a:xfrm>
                      <a:off x="0" y="0"/>
                      <a:ext cx="298450" cy="298450"/>
                    </a:xfrm>
                    <a:prstGeom prst="rect">
                      <a:avLst/>
                    </a:prstGeom>
                  </pic:spPr>
                </pic:pic>
              </a:graphicData>
            </a:graphic>
          </wp:anchor>
        </w:drawing>
      </w:r>
      <w:r w:rsidR="0030286B">
        <w:rPr>
          <w:color w:val="333333"/>
          <w:w w:val="110"/>
        </w:rPr>
        <w:t xml:space="preserve">Properties set in this way override any configuration item that Spring </w:t>
      </w:r>
      <w:proofErr w:type="gramStart"/>
      <w:r w:rsidR="0030286B">
        <w:rPr>
          <w:color w:val="333333"/>
          <w:w w:val="110"/>
        </w:rPr>
        <w:t>Boot  explicitly</w:t>
      </w:r>
      <w:proofErr w:type="gramEnd"/>
      <w:r w:rsidR="0030286B">
        <w:rPr>
          <w:color w:val="333333"/>
          <w:spacing w:val="3"/>
          <w:w w:val="110"/>
        </w:rPr>
        <w:t xml:space="preserve"> </w:t>
      </w:r>
      <w:r w:rsidR="0030286B">
        <w:rPr>
          <w:color w:val="333333"/>
          <w:w w:val="110"/>
        </w:rPr>
        <w:t>supports.</w:t>
      </w:r>
    </w:p>
    <w:p w14:paraId="3E230B3C" w14:textId="77777777" w:rsidR="00A720EB" w:rsidRDefault="00A720EB">
      <w:pPr>
        <w:pStyle w:val="a3"/>
        <w:spacing w:before="7"/>
        <w:rPr>
          <w:sz w:val="23"/>
        </w:rPr>
      </w:pPr>
    </w:p>
    <w:p w14:paraId="6172D044" w14:textId="77777777" w:rsidR="00A720EB" w:rsidRDefault="0030286B">
      <w:pPr>
        <w:pStyle w:val="4"/>
        <w:spacing w:before="104"/>
      </w:pPr>
      <w:bookmarkStart w:id="413" w:name="Testing_with_Embedded_Kafka"/>
      <w:bookmarkEnd w:id="413"/>
      <w:r>
        <w:rPr>
          <w:color w:val="333333"/>
          <w:w w:val="110"/>
        </w:rPr>
        <w:t>Testing with Embedded Kafka</w:t>
      </w:r>
    </w:p>
    <w:p w14:paraId="0CACA7E2" w14:textId="77777777" w:rsidR="00A720EB" w:rsidRDefault="00A720EB">
      <w:pPr>
        <w:pStyle w:val="a3"/>
        <w:spacing w:before="11"/>
        <w:rPr>
          <w:rFonts w:ascii="Palatino Linotype"/>
          <w:b/>
          <w:sz w:val="18"/>
        </w:rPr>
      </w:pPr>
    </w:p>
    <w:p w14:paraId="56B14126" w14:textId="77777777" w:rsidR="00A720EB" w:rsidRDefault="0030286B">
      <w:pPr>
        <w:pStyle w:val="a3"/>
        <w:spacing w:before="1" w:line="290" w:lineRule="auto"/>
        <w:ind w:left="124" w:right="122"/>
        <w:jc w:val="both"/>
      </w:pPr>
      <w:r>
        <w:rPr>
          <w:color w:val="333333"/>
          <w:w w:val="110"/>
        </w:rPr>
        <w:t xml:space="preserve">Spring for Apache Kafka provides a convenient way to test projects </w:t>
      </w:r>
      <w:proofErr w:type="gramStart"/>
      <w:r>
        <w:rPr>
          <w:color w:val="333333"/>
          <w:w w:val="110"/>
        </w:rPr>
        <w:t>with  an</w:t>
      </w:r>
      <w:proofErr w:type="gramEnd"/>
      <w:r>
        <w:rPr>
          <w:color w:val="333333"/>
          <w:w w:val="110"/>
        </w:rPr>
        <w:t xml:space="preserve">  embedded  Apache Kafka broker. </w:t>
      </w:r>
      <w:r>
        <w:rPr>
          <w:color w:val="333333"/>
          <w:spacing w:val="-4"/>
          <w:w w:val="110"/>
        </w:rPr>
        <w:t xml:space="preserve">To </w:t>
      </w:r>
      <w:r>
        <w:rPr>
          <w:color w:val="333333"/>
          <w:w w:val="110"/>
        </w:rPr>
        <w:t xml:space="preserve">use this feature, annotate a test class with </w:t>
      </w:r>
      <w:r>
        <w:rPr>
          <w:rFonts w:ascii="MS Gothic"/>
          <w:color w:val="B02045"/>
          <w:w w:val="110"/>
        </w:rPr>
        <w:t xml:space="preserve">@EmbeddedKafka </w:t>
      </w:r>
      <w:r>
        <w:rPr>
          <w:color w:val="333333"/>
          <w:w w:val="110"/>
        </w:rPr>
        <w:t xml:space="preserve">from the </w:t>
      </w:r>
      <w:r>
        <w:rPr>
          <w:rFonts w:ascii="MS Gothic"/>
          <w:color w:val="B02045"/>
          <w:w w:val="110"/>
        </w:rPr>
        <w:t xml:space="preserve">spring-kafka- test </w:t>
      </w:r>
      <w:r>
        <w:rPr>
          <w:color w:val="333333"/>
          <w:w w:val="110"/>
        </w:rPr>
        <w:t xml:space="preserve">module. </w:t>
      </w:r>
      <w:r>
        <w:rPr>
          <w:color w:val="333333"/>
          <w:spacing w:val="-4"/>
          <w:w w:val="110"/>
        </w:rPr>
        <w:t xml:space="preserve">For </w:t>
      </w:r>
      <w:r>
        <w:rPr>
          <w:color w:val="333333"/>
          <w:w w:val="110"/>
        </w:rPr>
        <w:t xml:space="preserve">more information, please see the Spring for Apache Kafka </w:t>
      </w:r>
      <w:hyperlink r:id="rId292" w:anchor="embedded-kafka-annotation">
        <w:r>
          <w:rPr>
            <w:color w:val="418BCA"/>
            <w:w w:val="110"/>
          </w:rPr>
          <w:t>reference</w:t>
        </w:r>
        <w:r>
          <w:rPr>
            <w:color w:val="418BCA"/>
            <w:spacing w:val="32"/>
            <w:w w:val="110"/>
          </w:rPr>
          <w:t xml:space="preserve"> </w:t>
        </w:r>
        <w:r>
          <w:rPr>
            <w:color w:val="418BCA"/>
            <w:w w:val="110"/>
          </w:rPr>
          <w:t>manual</w:t>
        </w:r>
      </w:hyperlink>
      <w:r>
        <w:rPr>
          <w:color w:val="333333"/>
          <w:w w:val="110"/>
        </w:rPr>
        <w:t>.</w:t>
      </w:r>
    </w:p>
    <w:p w14:paraId="691D238C" w14:textId="77777777" w:rsidR="00A720EB" w:rsidRDefault="0030286B">
      <w:pPr>
        <w:pStyle w:val="a3"/>
        <w:spacing w:before="237" w:line="297" w:lineRule="auto"/>
        <w:ind w:left="124" w:right="128"/>
        <w:jc w:val="both"/>
      </w:pPr>
      <w:r>
        <w:rPr>
          <w:color w:val="333333"/>
          <w:w w:val="110"/>
        </w:rPr>
        <w:t xml:space="preserve">To make Spring Boot auto-configuration work with the aforementioned embedded Apache Kafka broker, you need to remap a system property for embedded broker addresses (populated by the </w:t>
      </w:r>
      <w:r>
        <w:rPr>
          <w:rFonts w:ascii="MS Gothic"/>
          <w:color w:val="B02045"/>
          <w:w w:val="110"/>
        </w:rPr>
        <w:t>EmbeddedKafkaBroker</w:t>
      </w:r>
      <w:r>
        <w:rPr>
          <w:color w:val="333333"/>
          <w:w w:val="110"/>
        </w:rPr>
        <w:t>) into the Spring Boot configuration property for Apache Kafka. There are several ways to do that:</w:t>
      </w:r>
    </w:p>
    <w:p w14:paraId="1DE99C69" w14:textId="77777777" w:rsidR="00A720EB" w:rsidRDefault="0030286B">
      <w:pPr>
        <w:pStyle w:val="a6"/>
        <w:numPr>
          <w:ilvl w:val="0"/>
          <w:numId w:val="37"/>
        </w:numPr>
        <w:tabs>
          <w:tab w:val="left" w:pos="485"/>
        </w:tabs>
        <w:spacing w:before="243" w:line="280" w:lineRule="auto"/>
        <w:ind w:right="122"/>
        <w:rPr>
          <w:sz w:val="21"/>
        </w:rPr>
      </w:pPr>
      <w:r>
        <w:rPr>
          <w:color w:val="333333"/>
          <w:w w:val="110"/>
          <w:sz w:val="21"/>
        </w:rPr>
        <w:t xml:space="preserve">Provide a system property to map embedded broker addresses into </w:t>
      </w:r>
      <w:proofErr w:type="gramStart"/>
      <w:r>
        <w:rPr>
          <w:rFonts w:ascii="MS Gothic" w:hAnsi="MS Gothic"/>
          <w:color w:val="B02045"/>
          <w:w w:val="110"/>
          <w:sz w:val="21"/>
        </w:rPr>
        <w:t>spring.kafka</w:t>
      </w:r>
      <w:proofErr w:type="gramEnd"/>
      <w:r>
        <w:rPr>
          <w:rFonts w:ascii="MS Gothic" w:hAnsi="MS Gothic"/>
          <w:color w:val="B02045"/>
          <w:w w:val="110"/>
          <w:sz w:val="21"/>
        </w:rPr>
        <w:t>.bootstrap- servers</w:t>
      </w:r>
      <w:r>
        <w:rPr>
          <w:rFonts w:ascii="MS Gothic" w:hAnsi="MS Gothic"/>
          <w:color w:val="B02045"/>
          <w:spacing w:val="-55"/>
          <w:w w:val="110"/>
          <w:sz w:val="21"/>
        </w:rPr>
        <w:t xml:space="preserve"> </w:t>
      </w:r>
      <w:r>
        <w:rPr>
          <w:color w:val="333333"/>
          <w:w w:val="110"/>
          <w:sz w:val="21"/>
        </w:rPr>
        <w:t>in the test class:</w:t>
      </w:r>
    </w:p>
    <w:p w14:paraId="262226DD" w14:textId="77777777" w:rsidR="00A720EB" w:rsidRDefault="00A720EB">
      <w:pPr>
        <w:spacing w:line="280" w:lineRule="auto"/>
        <w:rPr>
          <w:sz w:val="21"/>
        </w:rPr>
        <w:sectPr w:rsidR="00A720EB">
          <w:pgSz w:w="11910" w:h="16840"/>
          <w:pgMar w:top="620" w:right="840" w:bottom="520" w:left="840" w:header="0" w:footer="323" w:gutter="0"/>
          <w:cols w:space="720"/>
        </w:sectPr>
      </w:pPr>
    </w:p>
    <w:p w14:paraId="0739A10A" w14:textId="77777777" w:rsidR="00A720EB" w:rsidRDefault="00E10349">
      <w:pPr>
        <w:pStyle w:val="a3"/>
        <w:ind w:left="116"/>
        <w:rPr>
          <w:sz w:val="20"/>
        </w:rPr>
      </w:pPr>
      <w:r>
        <w:rPr>
          <w:sz w:val="20"/>
        </w:rPr>
      </w:r>
      <w:r>
        <w:rPr>
          <w:sz w:val="20"/>
        </w:rPr>
        <w:pict w14:anchorId="322BAA57">
          <v:group id="_x0000_s3790" style="width:499.55pt;height:81.75pt;mso-position-horizontal-relative:char;mso-position-vertical-relative:line" coordsize="9991,1635">
            <v:shape id="_x0000_s3793" style="position:absolute;left:7;top:7;width:9976;height:1620" coordorigin="8,8" coordsize="9976,1620" path="m9904,8l88,8,56,14,31,31,14,56,8,88r,1459l14,1578r17,25l56,1620r32,7l9904,1627r31,-7l9960,1603r17,-25l9984,1547r,-1459l9977,56,9960,31,9935,14,9904,8xe" fillcolor="#f5f5f5" stroked="f">
              <v:path arrowok="t"/>
            </v:shape>
            <v:shape id="_x0000_s3792" style="position:absolute;left:7;top:7;width:9976;height:1620" coordorigin="8,8" coordsize="9976,1620" path="m88,8r9816,l9935,14r25,17l9977,56r7,32l9984,1547r-7,31l9960,1603r-25,17l9904,1627r-9816,l56,1620,31,1603,14,1578,8,1547,8,88,14,56,31,31,56,14,88,8xe" filled="f" strokecolor="#ccc">
              <v:path arrowok="t"/>
            </v:shape>
            <v:shape id="_x0000_s3791" type="#_x0000_t202" style="position:absolute;left:26;top:22;width:9938;height:1589" filled="f" stroked="f">
              <v:textbox inset="0,0,0,0">
                <w:txbxContent>
                  <w:p w14:paraId="668B2C24" w14:textId="77777777" w:rsidR="00711A16" w:rsidRDefault="00711A16">
                    <w:pPr>
                      <w:spacing w:before="221"/>
                      <w:ind w:left="200"/>
                      <w:rPr>
                        <w:rFonts w:ascii="MS Gothic"/>
                      </w:rPr>
                    </w:pPr>
                    <w:r>
                      <w:rPr>
                        <w:rFonts w:ascii="MS Gothic"/>
                        <w:color w:val="333333"/>
                      </w:rPr>
                      <w:t>static {</w:t>
                    </w:r>
                  </w:p>
                  <w:p w14:paraId="042948DC" w14:textId="77777777" w:rsidR="00711A16" w:rsidRDefault="00711A16">
                    <w:pPr>
                      <w:spacing w:before="13" w:line="252" w:lineRule="auto"/>
                      <w:ind w:left="200" w:right="2694" w:firstLine="440"/>
                      <w:rPr>
                        <w:rFonts w:ascii="MS Gothic"/>
                      </w:rPr>
                    </w:pPr>
                    <w:r>
                      <w:rPr>
                        <w:rFonts w:ascii="MS Gothic"/>
                        <w:color w:val="333333"/>
                      </w:rPr>
                      <w:t>System.setProperty(EmbeddedKafkaBroker.BROKER_LIST_PROPERTY, "</w:t>
                    </w:r>
                    <w:proofErr w:type="gramStart"/>
                    <w:r>
                      <w:rPr>
                        <w:rFonts w:ascii="MS Gothic"/>
                        <w:color w:val="333333"/>
                      </w:rPr>
                      <w:t>spring.kafka</w:t>
                    </w:r>
                    <w:proofErr w:type="gramEnd"/>
                    <w:r>
                      <w:rPr>
                        <w:rFonts w:ascii="MS Gothic"/>
                        <w:color w:val="333333"/>
                      </w:rPr>
                      <w:t>.bootstrap-servers");</w:t>
                    </w:r>
                  </w:p>
                  <w:p w14:paraId="3EDCC2FD" w14:textId="77777777" w:rsidR="00711A16" w:rsidRDefault="00711A16">
                    <w:pPr>
                      <w:spacing w:line="280" w:lineRule="exact"/>
                      <w:ind w:left="200"/>
                      <w:rPr>
                        <w:rFonts w:ascii="MS Gothic"/>
                      </w:rPr>
                    </w:pPr>
                    <w:r>
                      <w:rPr>
                        <w:rFonts w:ascii="MS Gothic"/>
                        <w:color w:val="333333"/>
                      </w:rPr>
                      <w:t>}</w:t>
                    </w:r>
                  </w:p>
                </w:txbxContent>
              </v:textbox>
            </v:shape>
            <w10:anchorlock/>
          </v:group>
        </w:pict>
      </w:r>
    </w:p>
    <w:p w14:paraId="48E3AB50" w14:textId="77777777" w:rsidR="00A720EB" w:rsidRDefault="00A720EB">
      <w:pPr>
        <w:pStyle w:val="a3"/>
        <w:spacing w:before="11"/>
        <w:rPr>
          <w:sz w:val="8"/>
        </w:rPr>
      </w:pPr>
    </w:p>
    <w:p w14:paraId="612FFC1E" w14:textId="77777777" w:rsidR="00A720EB" w:rsidRDefault="0030286B">
      <w:pPr>
        <w:pStyle w:val="a6"/>
        <w:numPr>
          <w:ilvl w:val="0"/>
          <w:numId w:val="37"/>
        </w:numPr>
        <w:tabs>
          <w:tab w:val="left" w:pos="485"/>
        </w:tabs>
        <w:spacing w:before="116"/>
        <w:rPr>
          <w:sz w:val="21"/>
        </w:rPr>
      </w:pPr>
      <w:r>
        <w:rPr>
          <w:color w:val="333333"/>
          <w:w w:val="110"/>
          <w:sz w:val="21"/>
        </w:rPr>
        <w:t xml:space="preserve">Configure a property name on the </w:t>
      </w:r>
      <w:r>
        <w:rPr>
          <w:rFonts w:ascii="MS Gothic" w:hAnsi="MS Gothic"/>
          <w:color w:val="B02045"/>
          <w:w w:val="110"/>
          <w:sz w:val="21"/>
        </w:rPr>
        <w:t>@EmbeddedKafka</w:t>
      </w:r>
      <w:r>
        <w:rPr>
          <w:rFonts w:ascii="MS Gothic" w:hAnsi="MS Gothic"/>
          <w:color w:val="B02045"/>
          <w:spacing w:val="-50"/>
          <w:w w:val="110"/>
          <w:sz w:val="21"/>
        </w:rPr>
        <w:t xml:space="preserve"> </w:t>
      </w:r>
      <w:r>
        <w:rPr>
          <w:color w:val="333333"/>
          <w:w w:val="110"/>
          <w:sz w:val="21"/>
        </w:rPr>
        <w:t>annotation:</w:t>
      </w:r>
    </w:p>
    <w:p w14:paraId="08E805DC" w14:textId="77777777" w:rsidR="00A720EB" w:rsidRDefault="00E10349">
      <w:pPr>
        <w:pStyle w:val="a3"/>
        <w:spacing w:before="10"/>
        <w:rPr>
          <w:sz w:val="17"/>
        </w:rPr>
      </w:pPr>
      <w:r>
        <w:pict w14:anchorId="50329B41">
          <v:group id="_x0000_s3786" style="position:absolute;margin-left:47.85pt;margin-top:12.5pt;width:499.55pt;height:52.25pt;z-index:-15393792;mso-wrap-distance-left:0;mso-wrap-distance-right:0;mso-position-horizontal-relative:page" coordorigin="957,250" coordsize="9991,1045">
            <v:shape id="_x0000_s3789" style="position:absolute;left:964;top:257;width:9976;height:1030" coordorigin="965,257" coordsize="9976,1030" path="m10861,257r-9816,l1014,263r-26,18l971,306r-6,31l965,1207r6,31l988,1263r26,17l1045,1287r9816,l10892,1280r25,-17l10935,1238r6,-31l10941,337r-6,-31l10917,281r-25,-18l10861,257xe" fillcolor="#f5f5f5" stroked="f">
              <v:path arrowok="t"/>
            </v:shape>
            <v:shape id="_x0000_s3788" style="position:absolute;left:964;top:257;width:9976;height:1030" coordorigin="965,257" coordsize="9976,1030" path="m1045,257r9816,l10892,263r25,18l10935,306r6,31l10941,1207r-6,31l10917,1263r-25,17l10861,1287r-9816,l1014,1280r-26,-17l971,1238r-6,-31l965,337r6,-31l988,281r26,-18l1045,257xe" filled="f" strokecolor="#ccc">
              <v:path arrowok="t"/>
            </v:shape>
            <v:shape id="_x0000_s3787" type="#_x0000_t202" style="position:absolute;left:984;top:272;width:9938;height:999" filled="f" stroked="f">
              <v:textbox inset="0,0,0,0">
                <w:txbxContent>
                  <w:p w14:paraId="1A263FE8" w14:textId="77777777" w:rsidR="00711A16" w:rsidRDefault="00711A16">
                    <w:pPr>
                      <w:spacing w:before="221"/>
                      <w:ind w:left="200"/>
                      <w:rPr>
                        <w:rFonts w:ascii="MS Gothic"/>
                      </w:rPr>
                    </w:pPr>
                    <w:r>
                      <w:rPr>
                        <w:rFonts w:ascii="MS Gothic"/>
                        <w:color w:val="333333"/>
                      </w:rPr>
                      <w:t>@</w:t>
                    </w:r>
                    <w:proofErr w:type="gramStart"/>
                    <w:r>
                      <w:rPr>
                        <w:rFonts w:ascii="MS Gothic"/>
                        <w:color w:val="333333"/>
                      </w:rPr>
                      <w:t>EmbeddedKafka(</w:t>
                    </w:r>
                    <w:proofErr w:type="gramEnd"/>
                    <w:r>
                      <w:rPr>
                        <w:rFonts w:ascii="MS Gothic"/>
                        <w:color w:val="333333"/>
                      </w:rPr>
                      <w:t>topics = "someTopic",</w:t>
                    </w:r>
                  </w:p>
                  <w:p w14:paraId="486E7030" w14:textId="77777777" w:rsidR="00711A16" w:rsidRDefault="00711A16">
                    <w:pPr>
                      <w:spacing w:before="13"/>
                      <w:ind w:left="1080"/>
                      <w:rPr>
                        <w:rFonts w:ascii="MS Gothic"/>
                      </w:rPr>
                    </w:pPr>
                    <w:r>
                      <w:rPr>
                        <w:rFonts w:ascii="MS Gothic"/>
                        <w:color w:val="333333"/>
                      </w:rPr>
                      <w:t>bootstrapServersProperty = "</w:t>
                    </w:r>
                    <w:proofErr w:type="gramStart"/>
                    <w:r>
                      <w:rPr>
                        <w:rFonts w:ascii="MS Gothic"/>
                        <w:color w:val="333333"/>
                      </w:rPr>
                      <w:t>spring.kafka</w:t>
                    </w:r>
                    <w:proofErr w:type="gramEnd"/>
                    <w:r>
                      <w:rPr>
                        <w:rFonts w:ascii="MS Gothic"/>
                        <w:color w:val="333333"/>
                      </w:rPr>
                      <w:t>.bootstrap-servers")</w:t>
                    </w:r>
                  </w:p>
                </w:txbxContent>
              </v:textbox>
            </v:shape>
            <w10:wrap type="topAndBottom" anchorx="page"/>
          </v:group>
        </w:pict>
      </w:r>
    </w:p>
    <w:p w14:paraId="48357F2B" w14:textId="77777777" w:rsidR="00A720EB" w:rsidRDefault="00A720EB">
      <w:pPr>
        <w:pStyle w:val="a3"/>
        <w:rPr>
          <w:sz w:val="10"/>
        </w:rPr>
      </w:pPr>
    </w:p>
    <w:p w14:paraId="475C81F1" w14:textId="77777777" w:rsidR="00A720EB" w:rsidRDefault="0030286B">
      <w:pPr>
        <w:pStyle w:val="a6"/>
        <w:numPr>
          <w:ilvl w:val="0"/>
          <w:numId w:val="37"/>
        </w:numPr>
        <w:tabs>
          <w:tab w:val="left" w:pos="485"/>
        </w:tabs>
        <w:spacing w:before="125"/>
        <w:rPr>
          <w:sz w:val="21"/>
        </w:rPr>
      </w:pPr>
      <w:r>
        <w:rPr>
          <w:color w:val="333333"/>
          <w:w w:val="110"/>
          <w:sz w:val="21"/>
        </w:rPr>
        <w:t>Use a placeholder in configuration</w:t>
      </w:r>
      <w:r>
        <w:rPr>
          <w:color w:val="333333"/>
          <w:spacing w:val="13"/>
          <w:w w:val="110"/>
          <w:sz w:val="21"/>
        </w:rPr>
        <w:t xml:space="preserve"> </w:t>
      </w:r>
      <w:r>
        <w:rPr>
          <w:color w:val="333333"/>
          <w:w w:val="110"/>
          <w:sz w:val="21"/>
        </w:rPr>
        <w:t>properties:</w:t>
      </w:r>
    </w:p>
    <w:p w14:paraId="42F1D4EA" w14:textId="77777777" w:rsidR="00A720EB" w:rsidRDefault="00E10349">
      <w:pPr>
        <w:pStyle w:val="a3"/>
        <w:rPr>
          <w:sz w:val="19"/>
        </w:rPr>
      </w:pPr>
      <w:r>
        <w:pict w14:anchorId="407AE9AD">
          <v:group id="_x0000_s3782" style="position:absolute;margin-left:47.85pt;margin-top:13.15pt;width:499.55pt;height:37.5pt;z-index:-15393280;mso-wrap-distance-left:0;mso-wrap-distance-right:0;mso-position-horizontal-relative:page" coordorigin="957,263" coordsize="9991,750">
            <v:shape id="_x0000_s3785" style="position:absolute;left:964;top:270;width:9976;height:735" coordorigin="965,270" coordsize="9976,735" path="m10861,270r-9816,l1014,276r-26,18l971,319r-6,31l965,925r6,31l988,982r26,17l1045,1005r9816,l10892,999r25,-17l10935,956r6,-31l10941,350r-6,-31l10917,294r-25,-18l10861,270xe" fillcolor="#f5f5f5" stroked="f">
              <v:path arrowok="t"/>
            </v:shape>
            <v:shape id="_x0000_s3784" style="position:absolute;left:964;top:270;width:9976;height:735" coordorigin="965,270" coordsize="9976,735" path="m1045,270r9816,l10892,276r25,18l10935,319r6,31l10941,925r-6,31l10917,982r-25,17l10861,1005r-9816,l1014,999,988,982,971,956r-6,-31l965,350r6,-31l988,294r26,-18l1045,270xe" filled="f" strokecolor="#ccc">
              <v:path arrowok="t"/>
            </v:shape>
            <v:shape id="_x0000_s3783" type="#_x0000_t202" style="position:absolute;left:984;top:285;width:9938;height:704" filled="f" stroked="f">
              <v:textbox inset="0,0,0,0">
                <w:txbxContent>
                  <w:p w14:paraId="60E355EC" w14:textId="77777777" w:rsidR="00711A16" w:rsidRDefault="00711A16">
                    <w:pPr>
                      <w:spacing w:before="221"/>
                      <w:ind w:left="200"/>
                      <w:rPr>
                        <w:rFonts w:ascii="MS Gothic"/>
                      </w:rPr>
                    </w:pPr>
                    <w:proofErr w:type="gramStart"/>
                    <w:r>
                      <w:rPr>
                        <w:rFonts w:ascii="MS Gothic"/>
                        <w:color w:val="333333"/>
                      </w:rPr>
                      <w:t>spring.kafka</w:t>
                    </w:r>
                    <w:proofErr w:type="gramEnd"/>
                    <w:r>
                      <w:rPr>
                        <w:rFonts w:ascii="MS Gothic"/>
                        <w:color w:val="333333"/>
                      </w:rPr>
                      <w:t>.bootstrap-servers=${spring.embedded.kafka.brokers}</w:t>
                    </w:r>
                  </w:p>
                </w:txbxContent>
              </v:textbox>
            </v:shape>
            <w10:wrap type="topAndBottom" anchorx="page"/>
          </v:group>
        </w:pict>
      </w:r>
    </w:p>
    <w:p w14:paraId="5281F118" w14:textId="77777777" w:rsidR="00A720EB" w:rsidRDefault="00A720EB">
      <w:pPr>
        <w:pStyle w:val="a3"/>
        <w:spacing w:before="11"/>
        <w:rPr>
          <w:sz w:val="16"/>
        </w:rPr>
      </w:pPr>
    </w:p>
    <w:p w14:paraId="5E0B089F" w14:textId="77777777" w:rsidR="00A720EB" w:rsidRDefault="0030286B">
      <w:pPr>
        <w:pStyle w:val="2"/>
        <w:numPr>
          <w:ilvl w:val="1"/>
          <w:numId w:val="68"/>
        </w:numPr>
        <w:tabs>
          <w:tab w:val="left" w:pos="1034"/>
        </w:tabs>
        <w:spacing w:before="107"/>
        <w:ind w:left="1033" w:hanging="910"/>
      </w:pPr>
      <w:bookmarkStart w:id="414" w:name="4.15._Calling_REST_Services_with_RestTem"/>
      <w:bookmarkStart w:id="415" w:name="_Toc54423791"/>
      <w:bookmarkEnd w:id="414"/>
      <w:r>
        <w:rPr>
          <w:color w:val="333333"/>
          <w:w w:val="110"/>
        </w:rPr>
        <w:t xml:space="preserve">Calling </w:t>
      </w:r>
      <w:r>
        <w:rPr>
          <w:color w:val="333333"/>
          <w:spacing w:val="-3"/>
          <w:w w:val="110"/>
        </w:rPr>
        <w:t xml:space="preserve">REST </w:t>
      </w:r>
      <w:r>
        <w:rPr>
          <w:color w:val="333333"/>
          <w:w w:val="110"/>
        </w:rPr>
        <w:t>Services with</w:t>
      </w:r>
      <w:r>
        <w:rPr>
          <w:color w:val="333333"/>
          <w:spacing w:val="-56"/>
          <w:w w:val="110"/>
        </w:rPr>
        <w:t xml:space="preserve"> </w:t>
      </w:r>
      <w:r>
        <w:rPr>
          <w:color w:val="333333"/>
          <w:w w:val="110"/>
        </w:rPr>
        <w:t>RestTemplate</w:t>
      </w:r>
      <w:bookmarkEnd w:id="415"/>
    </w:p>
    <w:p w14:paraId="6856B2F8" w14:textId="77777777" w:rsidR="00A720EB" w:rsidRDefault="0030286B">
      <w:pPr>
        <w:pStyle w:val="a3"/>
        <w:spacing w:before="253" w:line="285" w:lineRule="auto"/>
        <w:ind w:left="124" w:right="125"/>
        <w:jc w:val="both"/>
      </w:pPr>
      <w:r>
        <w:rPr>
          <w:color w:val="333333"/>
          <w:w w:val="110"/>
        </w:rPr>
        <w:t xml:space="preserve">If you need to call remote REST services from your application, you can use the Spring Framework’s </w:t>
      </w:r>
      <w:hyperlink r:id="rId293">
        <w:r>
          <w:rPr>
            <w:rFonts w:ascii="MS Gothic" w:hAnsi="MS Gothic"/>
            <w:color w:val="B02045"/>
            <w:w w:val="110"/>
          </w:rPr>
          <w:t xml:space="preserve">RestTemplate </w:t>
        </w:r>
      </w:hyperlink>
      <w:r>
        <w:rPr>
          <w:color w:val="333333"/>
          <w:w w:val="110"/>
        </w:rPr>
        <w:t xml:space="preserve">class. Since </w:t>
      </w:r>
      <w:r>
        <w:rPr>
          <w:rFonts w:ascii="MS Gothic" w:hAnsi="MS Gothic"/>
          <w:color w:val="B02045"/>
          <w:w w:val="110"/>
        </w:rPr>
        <w:t xml:space="preserve">RestTemplate </w:t>
      </w:r>
      <w:r>
        <w:rPr>
          <w:color w:val="333333"/>
          <w:w w:val="110"/>
        </w:rPr>
        <w:t xml:space="preserve">instances often need to be customized before being used, Spring Boot does not provide any single auto-configured </w:t>
      </w:r>
      <w:r>
        <w:rPr>
          <w:rFonts w:ascii="MS Gothic" w:hAnsi="MS Gothic"/>
          <w:color w:val="B02045"/>
          <w:w w:val="110"/>
        </w:rPr>
        <w:t xml:space="preserve">RestTemplate </w:t>
      </w:r>
      <w:r>
        <w:rPr>
          <w:color w:val="333333"/>
          <w:w w:val="110"/>
        </w:rPr>
        <w:t>bean. It does, however, auto- configure</w:t>
      </w:r>
      <w:r>
        <w:rPr>
          <w:color w:val="333333"/>
          <w:spacing w:val="-4"/>
          <w:w w:val="110"/>
        </w:rPr>
        <w:t xml:space="preserve"> </w:t>
      </w:r>
      <w:r>
        <w:rPr>
          <w:color w:val="333333"/>
          <w:w w:val="110"/>
        </w:rPr>
        <w:t>a</w:t>
      </w:r>
      <w:r>
        <w:rPr>
          <w:color w:val="333333"/>
          <w:spacing w:val="-4"/>
          <w:w w:val="110"/>
        </w:rPr>
        <w:t xml:space="preserve"> </w:t>
      </w:r>
      <w:r>
        <w:rPr>
          <w:rFonts w:ascii="MS Gothic" w:hAnsi="MS Gothic"/>
          <w:color w:val="B02045"/>
          <w:w w:val="110"/>
        </w:rPr>
        <w:t>RestTemplateBuilder</w:t>
      </w:r>
      <w:r>
        <w:rPr>
          <w:color w:val="333333"/>
          <w:w w:val="110"/>
        </w:rPr>
        <w:t>,</w:t>
      </w:r>
      <w:r>
        <w:rPr>
          <w:color w:val="333333"/>
          <w:spacing w:val="-4"/>
          <w:w w:val="110"/>
        </w:rPr>
        <w:t xml:space="preserve"> </w:t>
      </w:r>
      <w:r>
        <w:rPr>
          <w:color w:val="333333"/>
          <w:w w:val="110"/>
        </w:rPr>
        <w:t>which</w:t>
      </w:r>
      <w:r>
        <w:rPr>
          <w:color w:val="333333"/>
          <w:spacing w:val="-4"/>
          <w:w w:val="110"/>
        </w:rPr>
        <w:t xml:space="preserve"> </w:t>
      </w:r>
      <w:r>
        <w:rPr>
          <w:color w:val="333333"/>
          <w:w w:val="110"/>
        </w:rPr>
        <w:t>can</w:t>
      </w:r>
      <w:r>
        <w:rPr>
          <w:color w:val="333333"/>
          <w:spacing w:val="-3"/>
          <w:w w:val="110"/>
        </w:rPr>
        <w:t xml:space="preserve"> </w:t>
      </w:r>
      <w:r>
        <w:rPr>
          <w:color w:val="333333"/>
          <w:w w:val="110"/>
        </w:rPr>
        <w:t>be</w:t>
      </w:r>
      <w:r>
        <w:rPr>
          <w:color w:val="333333"/>
          <w:spacing w:val="-4"/>
          <w:w w:val="110"/>
        </w:rPr>
        <w:t xml:space="preserve"> </w:t>
      </w:r>
      <w:r>
        <w:rPr>
          <w:color w:val="333333"/>
          <w:w w:val="110"/>
        </w:rPr>
        <w:t>used</w:t>
      </w:r>
      <w:r>
        <w:rPr>
          <w:color w:val="333333"/>
          <w:spacing w:val="-4"/>
          <w:w w:val="110"/>
        </w:rPr>
        <w:t xml:space="preserve"> </w:t>
      </w:r>
      <w:r>
        <w:rPr>
          <w:color w:val="333333"/>
          <w:w w:val="110"/>
        </w:rPr>
        <w:t>to</w:t>
      </w:r>
      <w:r>
        <w:rPr>
          <w:color w:val="333333"/>
          <w:spacing w:val="-4"/>
          <w:w w:val="110"/>
        </w:rPr>
        <w:t xml:space="preserve"> </w:t>
      </w:r>
      <w:r>
        <w:rPr>
          <w:color w:val="333333"/>
          <w:w w:val="110"/>
        </w:rPr>
        <w:t>create</w:t>
      </w:r>
      <w:r>
        <w:rPr>
          <w:color w:val="333333"/>
          <w:spacing w:val="-2"/>
          <w:w w:val="110"/>
        </w:rPr>
        <w:t xml:space="preserve"> </w:t>
      </w:r>
      <w:r>
        <w:rPr>
          <w:rFonts w:ascii="MS Gothic" w:hAnsi="MS Gothic"/>
          <w:color w:val="B02045"/>
          <w:w w:val="110"/>
        </w:rPr>
        <w:t>RestTemplate</w:t>
      </w:r>
      <w:r>
        <w:rPr>
          <w:rFonts w:ascii="MS Gothic" w:hAnsi="MS Gothic"/>
          <w:color w:val="B02045"/>
          <w:spacing w:val="-68"/>
          <w:w w:val="110"/>
        </w:rPr>
        <w:t xml:space="preserve"> </w:t>
      </w:r>
      <w:r>
        <w:rPr>
          <w:color w:val="333333"/>
          <w:w w:val="110"/>
        </w:rPr>
        <w:t>instances</w:t>
      </w:r>
      <w:r>
        <w:rPr>
          <w:color w:val="333333"/>
          <w:spacing w:val="-4"/>
          <w:w w:val="110"/>
        </w:rPr>
        <w:t xml:space="preserve"> </w:t>
      </w:r>
      <w:r>
        <w:rPr>
          <w:color w:val="333333"/>
          <w:w w:val="110"/>
        </w:rPr>
        <w:t>when</w:t>
      </w:r>
      <w:r>
        <w:rPr>
          <w:color w:val="333333"/>
          <w:spacing w:val="-4"/>
          <w:w w:val="110"/>
        </w:rPr>
        <w:t xml:space="preserve"> </w:t>
      </w:r>
      <w:r>
        <w:rPr>
          <w:color w:val="333333"/>
          <w:w w:val="110"/>
        </w:rPr>
        <w:t xml:space="preserve">needed. </w:t>
      </w:r>
      <w:r>
        <w:rPr>
          <w:color w:val="333333"/>
          <w:w w:val="105"/>
        </w:rPr>
        <w:t xml:space="preserve">The auto-configured </w:t>
      </w:r>
      <w:r>
        <w:rPr>
          <w:rFonts w:ascii="MS Gothic" w:hAnsi="MS Gothic"/>
          <w:color w:val="B02045"/>
          <w:w w:val="105"/>
        </w:rPr>
        <w:t xml:space="preserve">RestTemplateBuilder </w:t>
      </w:r>
      <w:r>
        <w:rPr>
          <w:color w:val="333333"/>
          <w:w w:val="105"/>
        </w:rPr>
        <w:t xml:space="preserve">ensures that sensible </w:t>
      </w:r>
      <w:r>
        <w:rPr>
          <w:rFonts w:ascii="MS Gothic" w:hAnsi="MS Gothic"/>
          <w:color w:val="B02045"/>
          <w:w w:val="105"/>
        </w:rPr>
        <w:t xml:space="preserve">HttpMessageConverters </w:t>
      </w:r>
      <w:r>
        <w:rPr>
          <w:color w:val="333333"/>
          <w:w w:val="105"/>
        </w:rPr>
        <w:t xml:space="preserve">are applied to </w:t>
      </w:r>
      <w:r>
        <w:rPr>
          <w:rFonts w:ascii="MS Gothic" w:hAnsi="MS Gothic"/>
          <w:color w:val="B02045"/>
          <w:w w:val="110"/>
        </w:rPr>
        <w:t>RestTemplate</w:t>
      </w:r>
      <w:r>
        <w:rPr>
          <w:rFonts w:ascii="MS Gothic" w:hAnsi="MS Gothic"/>
          <w:color w:val="B02045"/>
          <w:spacing w:val="-63"/>
          <w:w w:val="110"/>
        </w:rPr>
        <w:t xml:space="preserve"> </w:t>
      </w:r>
      <w:r>
        <w:rPr>
          <w:color w:val="333333"/>
          <w:w w:val="110"/>
        </w:rPr>
        <w:t>instances.</w:t>
      </w:r>
    </w:p>
    <w:p w14:paraId="611CD3EB" w14:textId="77777777" w:rsidR="00A720EB" w:rsidRDefault="0030286B">
      <w:pPr>
        <w:pStyle w:val="a3"/>
        <w:spacing w:before="239"/>
        <w:ind w:left="124"/>
        <w:jc w:val="both"/>
      </w:pPr>
      <w:r>
        <w:rPr>
          <w:color w:val="333333"/>
          <w:w w:val="110"/>
        </w:rPr>
        <w:t>The following code shows a typical example:</w:t>
      </w:r>
    </w:p>
    <w:p w14:paraId="29FAD9EE" w14:textId="77777777" w:rsidR="00A720EB" w:rsidRDefault="00E10349">
      <w:pPr>
        <w:pStyle w:val="a3"/>
        <w:rPr>
          <w:sz w:val="19"/>
        </w:rPr>
      </w:pPr>
      <w:r>
        <w:pict w14:anchorId="46635C40">
          <v:group id="_x0000_s3778" style="position:absolute;margin-left:47.85pt;margin-top:13.15pt;width:499.55pt;height:229.15pt;z-index:-15392768;mso-wrap-distance-left:0;mso-wrap-distance-right:0;mso-position-horizontal-relative:page" coordorigin="957,263" coordsize="9991,4583">
            <v:shape id="_x0000_s3781" style="position:absolute;left:964;top:270;width:9976;height:4568" coordorigin="965,270" coordsize="9976,4568" path="m10861,270r-9816,l1014,277r-26,17l971,319r-6,31l965,4758r6,31l988,4814r26,17l1045,4838r9816,l10892,4831r25,-17l10935,4789r6,-31l10941,350r-6,-31l10917,294r-25,-17l10861,270xe" fillcolor="#f5f5f5" stroked="f">
              <v:path arrowok="t"/>
            </v:shape>
            <v:shape id="_x0000_s3780" style="position:absolute;left:964;top:270;width:9976;height:4568" coordorigin="965,270" coordsize="9976,4568" path="m1045,270r9816,l10892,277r25,17l10935,319r6,31l10941,4758r-6,31l10917,4814r-25,17l10861,4838r-9816,l1014,4831r-26,-17l971,4789r-6,-31l965,350r6,-31l988,294r26,-17l1045,270xe" filled="f" strokecolor="#ccc">
              <v:path arrowok="t"/>
            </v:shape>
            <v:shape id="_x0000_s3779" type="#_x0000_t202" style="position:absolute;left:984;top:285;width:9938;height:4537" filled="f" stroked="f">
              <v:textbox inset="0,0,0,0">
                <w:txbxContent>
                  <w:p w14:paraId="79E1109C" w14:textId="77777777" w:rsidR="00711A16" w:rsidRDefault="00711A16">
                    <w:pPr>
                      <w:spacing w:before="221"/>
                      <w:ind w:left="200"/>
                      <w:rPr>
                        <w:rFonts w:ascii="MS Gothic"/>
                      </w:rPr>
                    </w:pPr>
                    <w:r>
                      <w:rPr>
                        <w:rFonts w:ascii="MS Gothic"/>
                        <w:color w:val="333333"/>
                      </w:rPr>
                      <w:t>@Service</w:t>
                    </w:r>
                  </w:p>
                  <w:p w14:paraId="4A4731D9" w14:textId="77777777" w:rsidR="00711A16" w:rsidRDefault="00711A16">
                    <w:pPr>
                      <w:spacing w:before="13"/>
                      <w:ind w:left="200"/>
                      <w:rPr>
                        <w:rFonts w:ascii="MS Gothic"/>
                      </w:rPr>
                    </w:pPr>
                    <w:r>
                      <w:rPr>
                        <w:rFonts w:ascii="MS Gothic"/>
                        <w:color w:val="333333"/>
                      </w:rPr>
                      <w:t>public class MyService {</w:t>
                    </w:r>
                  </w:p>
                  <w:p w14:paraId="2850315E" w14:textId="77777777" w:rsidR="00711A16" w:rsidRDefault="00711A16">
                    <w:pPr>
                      <w:rPr>
                        <w:rFonts w:ascii="MS Gothic"/>
                        <w:sz w:val="24"/>
                      </w:rPr>
                    </w:pPr>
                  </w:p>
                  <w:p w14:paraId="2782AD54" w14:textId="77777777" w:rsidR="00711A16" w:rsidRDefault="00711A16">
                    <w:pPr>
                      <w:ind w:left="640"/>
                      <w:rPr>
                        <w:rFonts w:ascii="MS Gothic"/>
                      </w:rPr>
                    </w:pPr>
                    <w:r>
                      <w:rPr>
                        <w:rFonts w:ascii="MS Gothic"/>
                        <w:color w:val="333333"/>
                      </w:rPr>
                      <w:t>private final RestTemplate restTemplate;</w:t>
                    </w:r>
                  </w:p>
                  <w:p w14:paraId="5B40429C" w14:textId="77777777" w:rsidR="00711A16" w:rsidRDefault="00711A16">
                    <w:pPr>
                      <w:rPr>
                        <w:rFonts w:ascii="MS Gothic"/>
                        <w:sz w:val="24"/>
                      </w:rPr>
                    </w:pPr>
                  </w:p>
                  <w:p w14:paraId="4B48455F" w14:textId="77777777" w:rsidR="00711A16" w:rsidRDefault="00711A16">
                    <w:pPr>
                      <w:spacing w:line="252" w:lineRule="auto"/>
                      <w:ind w:left="1080" w:right="2788" w:hanging="440"/>
                      <w:rPr>
                        <w:rFonts w:ascii="MS Gothic"/>
                      </w:rPr>
                    </w:pPr>
                    <w:r>
                      <w:rPr>
                        <w:rFonts w:ascii="MS Gothic"/>
                        <w:color w:val="333333"/>
                      </w:rPr>
                      <w:t xml:space="preserve">public </w:t>
                    </w:r>
                    <w:proofErr w:type="gramStart"/>
                    <w:r>
                      <w:rPr>
                        <w:rFonts w:ascii="MS Gothic"/>
                        <w:color w:val="333333"/>
                      </w:rPr>
                      <w:t>MyService(</w:t>
                    </w:r>
                    <w:proofErr w:type="gramEnd"/>
                    <w:r>
                      <w:rPr>
                        <w:rFonts w:ascii="MS Gothic"/>
                        <w:color w:val="333333"/>
                      </w:rPr>
                      <w:t>RestTemplateBuilder restTemplateBuilder) { this.restTemplate = restTemplateBuilder.build();</w:t>
                    </w:r>
                  </w:p>
                  <w:p w14:paraId="2E9A1A2A" w14:textId="77777777" w:rsidR="00711A16" w:rsidRDefault="00711A16">
                    <w:pPr>
                      <w:spacing w:line="280" w:lineRule="exact"/>
                      <w:ind w:left="640"/>
                      <w:rPr>
                        <w:rFonts w:ascii="MS Gothic"/>
                      </w:rPr>
                    </w:pPr>
                    <w:r>
                      <w:rPr>
                        <w:rFonts w:ascii="MS Gothic"/>
                        <w:color w:val="333333"/>
                      </w:rPr>
                      <w:t>}</w:t>
                    </w:r>
                  </w:p>
                  <w:p w14:paraId="68EA9020" w14:textId="77777777" w:rsidR="00711A16" w:rsidRDefault="00711A16">
                    <w:pPr>
                      <w:rPr>
                        <w:rFonts w:ascii="MS Gothic"/>
                        <w:sz w:val="24"/>
                      </w:rPr>
                    </w:pPr>
                  </w:p>
                  <w:p w14:paraId="09A817C9" w14:textId="77777777" w:rsidR="00711A16" w:rsidRDefault="00711A16">
                    <w:pPr>
                      <w:ind w:left="640"/>
                      <w:rPr>
                        <w:rFonts w:ascii="MS Gothic"/>
                      </w:rPr>
                    </w:pPr>
                    <w:r>
                      <w:rPr>
                        <w:rFonts w:ascii="MS Gothic"/>
                        <w:color w:val="333333"/>
                      </w:rPr>
                      <w:t xml:space="preserve">public Details </w:t>
                    </w:r>
                    <w:proofErr w:type="gramStart"/>
                    <w:r>
                      <w:rPr>
                        <w:rFonts w:ascii="MS Gothic"/>
                        <w:color w:val="333333"/>
                      </w:rPr>
                      <w:t>someRestCall(</w:t>
                    </w:r>
                    <w:proofErr w:type="gramEnd"/>
                    <w:r>
                      <w:rPr>
                        <w:rFonts w:ascii="MS Gothic"/>
                        <w:color w:val="333333"/>
                      </w:rPr>
                      <w:t>String name) {</w:t>
                    </w:r>
                  </w:p>
                  <w:p w14:paraId="10A52CAD" w14:textId="77777777" w:rsidR="00711A16" w:rsidRDefault="00711A16">
                    <w:pPr>
                      <w:spacing w:before="13"/>
                      <w:ind w:left="1080"/>
                      <w:rPr>
                        <w:rFonts w:ascii="MS Gothic"/>
                      </w:rPr>
                    </w:pPr>
                    <w:r>
                      <w:rPr>
                        <w:rFonts w:ascii="MS Gothic"/>
                        <w:color w:val="333333"/>
                      </w:rPr>
                      <w:t xml:space="preserve">return </w:t>
                    </w:r>
                    <w:proofErr w:type="gramStart"/>
                    <w:r>
                      <w:rPr>
                        <w:rFonts w:ascii="MS Gothic"/>
                        <w:color w:val="333333"/>
                      </w:rPr>
                      <w:t>this.restTemplate.getForObject</w:t>
                    </w:r>
                    <w:proofErr w:type="gramEnd"/>
                    <w:r>
                      <w:rPr>
                        <w:rFonts w:ascii="MS Gothic"/>
                        <w:color w:val="333333"/>
                      </w:rPr>
                      <w:t>("/{name}/details", Details.class, name);</w:t>
                    </w:r>
                  </w:p>
                  <w:p w14:paraId="2BAF943C" w14:textId="77777777" w:rsidR="00711A16" w:rsidRDefault="00711A16">
                    <w:pPr>
                      <w:spacing w:before="13"/>
                      <w:ind w:left="640"/>
                      <w:rPr>
                        <w:rFonts w:ascii="MS Gothic"/>
                      </w:rPr>
                    </w:pPr>
                    <w:r>
                      <w:rPr>
                        <w:rFonts w:ascii="MS Gothic"/>
                        <w:color w:val="333333"/>
                      </w:rPr>
                      <w:t>}</w:t>
                    </w:r>
                  </w:p>
                  <w:p w14:paraId="09D67BCC" w14:textId="77777777" w:rsidR="00711A16" w:rsidRDefault="00711A16">
                    <w:pPr>
                      <w:rPr>
                        <w:rFonts w:ascii="MS Gothic"/>
                        <w:sz w:val="24"/>
                      </w:rPr>
                    </w:pPr>
                  </w:p>
                  <w:p w14:paraId="0457E4DB" w14:textId="77777777" w:rsidR="00711A16" w:rsidRDefault="00711A16">
                    <w:pPr>
                      <w:ind w:left="200"/>
                      <w:rPr>
                        <w:rFonts w:ascii="MS Gothic"/>
                      </w:rPr>
                    </w:pPr>
                    <w:r>
                      <w:rPr>
                        <w:rFonts w:ascii="MS Gothic"/>
                        <w:color w:val="333333"/>
                      </w:rPr>
                      <w:t>}</w:t>
                    </w:r>
                  </w:p>
                </w:txbxContent>
              </v:textbox>
            </v:shape>
            <w10:wrap type="topAndBottom" anchorx="page"/>
          </v:group>
        </w:pict>
      </w:r>
    </w:p>
    <w:p w14:paraId="17874718" w14:textId="77777777" w:rsidR="00A720EB" w:rsidRDefault="00A720EB">
      <w:pPr>
        <w:pStyle w:val="a3"/>
        <w:spacing w:before="8"/>
        <w:rPr>
          <w:sz w:val="16"/>
        </w:rPr>
      </w:pPr>
    </w:p>
    <w:p w14:paraId="3BBF3012" w14:textId="77777777" w:rsidR="00A720EB" w:rsidRDefault="00E10349">
      <w:pPr>
        <w:pStyle w:val="a3"/>
        <w:spacing w:before="116" w:line="280" w:lineRule="auto"/>
        <w:ind w:left="1564" w:right="364"/>
        <w:jc w:val="both"/>
      </w:pPr>
      <w:r>
        <w:pict w14:anchorId="6CD6EB40">
          <v:line id="_x0000_s3777" style="position:absolute;left:0;text-align:left;z-index:16065024;mso-position-horizontal-relative:page" from="108.25pt,.35pt" to="108.25pt,55.7pt" strokecolor="#ededed" strokeweight=".5pt">
            <w10:wrap anchorx="page"/>
          </v:line>
        </w:pict>
      </w:r>
      <w:r w:rsidR="0030286B">
        <w:rPr>
          <w:noProof/>
        </w:rPr>
        <w:drawing>
          <wp:anchor distT="0" distB="0" distL="0" distR="0" simplePos="0" relativeHeight="16065536" behindDoc="0" locked="0" layoutInCell="1" allowOverlap="1" wp14:anchorId="0C0BD497" wp14:editId="3CE74C58">
            <wp:simplePos x="0" y="0"/>
            <wp:positionH relativeFrom="page">
              <wp:posOffset>888949</wp:posOffset>
            </wp:positionH>
            <wp:positionV relativeFrom="paragraph">
              <wp:posOffset>203276</wp:posOffset>
            </wp:positionV>
            <wp:extent cx="209550" cy="304800"/>
            <wp:effectExtent l="0" t="0" r="0" b="0"/>
            <wp:wrapNone/>
            <wp:docPr id="4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rFonts w:ascii="MS Gothic"/>
          <w:color w:val="B02045"/>
          <w:w w:val="110"/>
        </w:rPr>
        <w:t xml:space="preserve">RestTemplateBuilder </w:t>
      </w:r>
      <w:r w:rsidR="0030286B">
        <w:rPr>
          <w:color w:val="333333"/>
          <w:w w:val="110"/>
        </w:rPr>
        <w:t xml:space="preserve">includes a number of useful methods that can be used to quickly configure a </w:t>
      </w:r>
      <w:r w:rsidR="0030286B">
        <w:rPr>
          <w:rFonts w:ascii="MS Gothic"/>
          <w:color w:val="B02045"/>
          <w:w w:val="110"/>
        </w:rPr>
        <w:t>RestTemplate</w:t>
      </w:r>
      <w:r w:rsidR="0030286B">
        <w:rPr>
          <w:color w:val="333333"/>
          <w:w w:val="110"/>
        </w:rPr>
        <w:t xml:space="preserve">. For example, to add BASIC auth support, you can use </w:t>
      </w:r>
      <w:proofErr w:type="gramStart"/>
      <w:r w:rsidR="0030286B">
        <w:rPr>
          <w:rFonts w:ascii="MS Gothic"/>
          <w:color w:val="B02045"/>
          <w:w w:val="110"/>
        </w:rPr>
        <w:t>builder.basicAuthentication</w:t>
      </w:r>
      <w:proofErr w:type="gramEnd"/>
      <w:r w:rsidR="0030286B">
        <w:rPr>
          <w:rFonts w:ascii="MS Gothic"/>
          <w:color w:val="B02045"/>
          <w:w w:val="110"/>
        </w:rPr>
        <w:t>("user", "password").build()</w:t>
      </w:r>
      <w:r w:rsidR="0030286B">
        <w:rPr>
          <w:color w:val="333333"/>
          <w:w w:val="110"/>
        </w:rPr>
        <w:t>.</w:t>
      </w:r>
    </w:p>
    <w:p w14:paraId="30A3FFE7" w14:textId="77777777" w:rsidR="00A720EB" w:rsidRDefault="00A720EB">
      <w:pPr>
        <w:spacing w:line="280" w:lineRule="auto"/>
        <w:jc w:val="both"/>
        <w:sectPr w:rsidR="00A720EB">
          <w:pgSz w:w="11910" w:h="16840"/>
          <w:pgMar w:top="700" w:right="840" w:bottom="520" w:left="840" w:header="0" w:footer="323" w:gutter="0"/>
          <w:cols w:space="720"/>
        </w:sectPr>
      </w:pPr>
    </w:p>
    <w:p w14:paraId="1E9D00D6" w14:textId="77777777" w:rsidR="00A720EB" w:rsidRDefault="0030286B">
      <w:pPr>
        <w:pStyle w:val="3"/>
        <w:numPr>
          <w:ilvl w:val="2"/>
          <w:numId w:val="68"/>
        </w:numPr>
        <w:tabs>
          <w:tab w:val="left" w:pos="1003"/>
        </w:tabs>
        <w:spacing w:before="87"/>
        <w:ind w:left="1002" w:hanging="879"/>
      </w:pPr>
      <w:bookmarkStart w:id="416" w:name="4.15.1._RestTemplate_Customization"/>
      <w:bookmarkStart w:id="417" w:name="_Toc54423792"/>
      <w:bookmarkEnd w:id="416"/>
      <w:r>
        <w:rPr>
          <w:color w:val="333333"/>
          <w:w w:val="110"/>
        </w:rPr>
        <w:lastRenderedPageBreak/>
        <w:t>RestTemplate</w:t>
      </w:r>
      <w:r>
        <w:rPr>
          <w:color w:val="333333"/>
          <w:spacing w:val="-6"/>
          <w:w w:val="110"/>
        </w:rPr>
        <w:t xml:space="preserve"> </w:t>
      </w:r>
      <w:r>
        <w:rPr>
          <w:color w:val="333333"/>
          <w:w w:val="110"/>
        </w:rPr>
        <w:t>Customization</w:t>
      </w:r>
      <w:bookmarkEnd w:id="417"/>
    </w:p>
    <w:p w14:paraId="0835C2E6" w14:textId="77777777" w:rsidR="00A720EB" w:rsidRDefault="0030286B">
      <w:pPr>
        <w:pStyle w:val="a3"/>
        <w:spacing w:before="243" w:line="290" w:lineRule="auto"/>
        <w:ind w:left="124" w:right="127"/>
        <w:jc w:val="both"/>
      </w:pPr>
      <w:r>
        <w:rPr>
          <w:color w:val="333333"/>
          <w:w w:val="110"/>
        </w:rPr>
        <w:t xml:space="preserve">There are three main approaches to </w:t>
      </w:r>
      <w:r>
        <w:rPr>
          <w:rFonts w:ascii="MS Gothic"/>
          <w:color w:val="B02045"/>
          <w:w w:val="110"/>
        </w:rPr>
        <w:t xml:space="preserve">RestTemplate </w:t>
      </w:r>
      <w:r>
        <w:rPr>
          <w:color w:val="333333"/>
          <w:w w:val="110"/>
        </w:rPr>
        <w:t>customization, depending on how broadly you want the customizations to apply.</w:t>
      </w:r>
    </w:p>
    <w:p w14:paraId="1182AB07" w14:textId="77777777" w:rsidR="00A720EB" w:rsidRDefault="00A720EB">
      <w:pPr>
        <w:pStyle w:val="a3"/>
        <w:rPr>
          <w:sz w:val="22"/>
        </w:rPr>
      </w:pPr>
    </w:p>
    <w:p w14:paraId="5CE7EB3B" w14:textId="77777777" w:rsidR="00A720EB" w:rsidRDefault="0030286B">
      <w:pPr>
        <w:pStyle w:val="a3"/>
        <w:spacing w:line="290" w:lineRule="auto"/>
        <w:ind w:left="124" w:right="128"/>
        <w:jc w:val="both"/>
      </w:pPr>
      <w:r>
        <w:rPr>
          <w:color w:val="333333"/>
          <w:spacing w:val="-4"/>
          <w:w w:val="110"/>
        </w:rPr>
        <w:t xml:space="preserve">To </w:t>
      </w:r>
      <w:r>
        <w:rPr>
          <w:color w:val="333333"/>
          <w:w w:val="110"/>
        </w:rPr>
        <w:t xml:space="preserve">make the scope of any customizations as narrow as possible, inject the auto-configured </w:t>
      </w:r>
      <w:r>
        <w:rPr>
          <w:rFonts w:ascii="MS Gothic"/>
          <w:color w:val="B02045"/>
          <w:w w:val="110"/>
        </w:rPr>
        <w:t xml:space="preserve">RestTemplateBuilder </w:t>
      </w:r>
      <w:r>
        <w:rPr>
          <w:color w:val="333333"/>
          <w:w w:val="110"/>
        </w:rPr>
        <w:t xml:space="preserve">and then call its methods as required. Each method call returns a new </w:t>
      </w:r>
      <w:r>
        <w:rPr>
          <w:rFonts w:ascii="MS Gothic"/>
          <w:color w:val="B02045"/>
          <w:w w:val="110"/>
        </w:rPr>
        <w:t>RestTemplateBuilder</w:t>
      </w:r>
      <w:r>
        <w:rPr>
          <w:rFonts w:ascii="MS Gothic"/>
          <w:color w:val="B02045"/>
          <w:spacing w:val="-77"/>
          <w:w w:val="110"/>
        </w:rPr>
        <w:t xml:space="preserve"> </w:t>
      </w:r>
      <w:r>
        <w:rPr>
          <w:color w:val="333333"/>
          <w:w w:val="110"/>
        </w:rPr>
        <w:t>instance, so the customizations only affect this use of the builder.</w:t>
      </w:r>
    </w:p>
    <w:p w14:paraId="48381F68" w14:textId="77777777" w:rsidR="00A720EB" w:rsidRDefault="0030286B">
      <w:pPr>
        <w:pStyle w:val="a3"/>
        <w:spacing w:before="228" w:line="285" w:lineRule="auto"/>
        <w:ind w:left="124" w:right="123"/>
        <w:jc w:val="both"/>
      </w:pPr>
      <w:r>
        <w:rPr>
          <w:color w:val="333333"/>
          <w:spacing w:val="-4"/>
          <w:w w:val="110"/>
        </w:rPr>
        <w:t xml:space="preserve">To </w:t>
      </w:r>
      <w:r>
        <w:rPr>
          <w:color w:val="333333"/>
          <w:w w:val="110"/>
        </w:rPr>
        <w:t xml:space="preserve">make an application-wide, additive customization, use a </w:t>
      </w:r>
      <w:r>
        <w:rPr>
          <w:rFonts w:ascii="MS Gothic"/>
          <w:color w:val="B02045"/>
          <w:w w:val="110"/>
        </w:rPr>
        <w:t xml:space="preserve">RestTemplateCustomizer </w:t>
      </w:r>
      <w:r>
        <w:rPr>
          <w:color w:val="333333"/>
          <w:w w:val="110"/>
        </w:rPr>
        <w:t>bean. All such beans</w:t>
      </w:r>
      <w:r>
        <w:rPr>
          <w:color w:val="333333"/>
          <w:spacing w:val="-6"/>
          <w:w w:val="110"/>
        </w:rPr>
        <w:t xml:space="preserve"> </w:t>
      </w:r>
      <w:r>
        <w:rPr>
          <w:color w:val="333333"/>
          <w:w w:val="110"/>
        </w:rPr>
        <w:t>are</w:t>
      </w:r>
      <w:r>
        <w:rPr>
          <w:color w:val="333333"/>
          <w:spacing w:val="-5"/>
          <w:w w:val="110"/>
        </w:rPr>
        <w:t xml:space="preserve"> </w:t>
      </w:r>
      <w:r>
        <w:rPr>
          <w:color w:val="333333"/>
          <w:w w:val="110"/>
        </w:rPr>
        <w:t>automatically</w:t>
      </w:r>
      <w:r>
        <w:rPr>
          <w:color w:val="333333"/>
          <w:spacing w:val="-6"/>
          <w:w w:val="110"/>
        </w:rPr>
        <w:t xml:space="preserve"> </w:t>
      </w:r>
      <w:r>
        <w:rPr>
          <w:color w:val="333333"/>
          <w:w w:val="110"/>
        </w:rPr>
        <w:t>registered</w:t>
      </w:r>
      <w:r>
        <w:rPr>
          <w:color w:val="333333"/>
          <w:spacing w:val="-5"/>
          <w:w w:val="110"/>
        </w:rPr>
        <w:t xml:space="preserve"> </w:t>
      </w:r>
      <w:r>
        <w:rPr>
          <w:color w:val="333333"/>
          <w:w w:val="110"/>
        </w:rPr>
        <w:t>with</w:t>
      </w:r>
      <w:r>
        <w:rPr>
          <w:color w:val="333333"/>
          <w:spacing w:val="-5"/>
          <w:w w:val="110"/>
        </w:rPr>
        <w:t xml:space="preserve"> </w:t>
      </w:r>
      <w:r>
        <w:rPr>
          <w:color w:val="333333"/>
          <w:w w:val="110"/>
        </w:rPr>
        <w:t>the</w:t>
      </w:r>
      <w:r>
        <w:rPr>
          <w:color w:val="333333"/>
          <w:spacing w:val="-6"/>
          <w:w w:val="110"/>
        </w:rPr>
        <w:t xml:space="preserve"> </w:t>
      </w:r>
      <w:r>
        <w:rPr>
          <w:color w:val="333333"/>
          <w:w w:val="110"/>
        </w:rPr>
        <w:t>auto-configured</w:t>
      </w:r>
      <w:r>
        <w:rPr>
          <w:color w:val="333333"/>
          <w:spacing w:val="4"/>
          <w:w w:val="110"/>
        </w:rPr>
        <w:t xml:space="preserve"> </w:t>
      </w:r>
      <w:r>
        <w:rPr>
          <w:rFonts w:ascii="MS Gothic"/>
          <w:color w:val="B02045"/>
          <w:w w:val="110"/>
        </w:rPr>
        <w:t>RestTemplateBuilder</w:t>
      </w:r>
      <w:r>
        <w:rPr>
          <w:rFonts w:ascii="MS Gothic"/>
          <w:color w:val="B02045"/>
          <w:spacing w:val="-71"/>
          <w:w w:val="110"/>
        </w:rPr>
        <w:t xml:space="preserve"> </w:t>
      </w:r>
      <w:r>
        <w:rPr>
          <w:color w:val="333333"/>
          <w:w w:val="110"/>
        </w:rPr>
        <w:t>and</w:t>
      </w:r>
      <w:r>
        <w:rPr>
          <w:color w:val="333333"/>
          <w:spacing w:val="-5"/>
          <w:w w:val="110"/>
        </w:rPr>
        <w:t xml:space="preserve"> </w:t>
      </w:r>
      <w:r>
        <w:rPr>
          <w:color w:val="333333"/>
          <w:w w:val="110"/>
        </w:rPr>
        <w:t>are</w:t>
      </w:r>
      <w:r>
        <w:rPr>
          <w:color w:val="333333"/>
          <w:spacing w:val="-5"/>
          <w:w w:val="110"/>
        </w:rPr>
        <w:t xml:space="preserve"> </w:t>
      </w:r>
      <w:r>
        <w:rPr>
          <w:color w:val="333333"/>
          <w:w w:val="110"/>
        </w:rPr>
        <w:t>applied</w:t>
      </w:r>
      <w:r>
        <w:rPr>
          <w:color w:val="333333"/>
          <w:spacing w:val="-6"/>
          <w:w w:val="110"/>
        </w:rPr>
        <w:t xml:space="preserve"> </w:t>
      </w:r>
      <w:r>
        <w:rPr>
          <w:color w:val="333333"/>
          <w:w w:val="110"/>
        </w:rPr>
        <w:t>to any templates that are built with</w:t>
      </w:r>
      <w:r>
        <w:rPr>
          <w:color w:val="333333"/>
          <w:spacing w:val="17"/>
          <w:w w:val="110"/>
        </w:rPr>
        <w:t xml:space="preserve"> </w:t>
      </w:r>
      <w:r>
        <w:rPr>
          <w:color w:val="333333"/>
          <w:w w:val="110"/>
        </w:rPr>
        <w:t>it.</w:t>
      </w:r>
    </w:p>
    <w:p w14:paraId="2C19C4FB" w14:textId="77777777" w:rsidR="00A720EB" w:rsidRDefault="00A720EB">
      <w:pPr>
        <w:pStyle w:val="a3"/>
        <w:spacing w:before="5"/>
        <w:rPr>
          <w:sz w:val="22"/>
        </w:rPr>
      </w:pPr>
    </w:p>
    <w:p w14:paraId="73A68FBF" w14:textId="77777777" w:rsidR="00A720EB" w:rsidRDefault="0030286B">
      <w:pPr>
        <w:pStyle w:val="a3"/>
        <w:spacing w:before="1"/>
        <w:ind w:left="124"/>
        <w:jc w:val="both"/>
      </w:pPr>
      <w:r>
        <w:rPr>
          <w:color w:val="333333"/>
          <w:w w:val="110"/>
        </w:rPr>
        <w:t>The following example shows a customizer that configures the use of a proxy for all hosts except</w:t>
      </w:r>
    </w:p>
    <w:p w14:paraId="57E585ED" w14:textId="77777777" w:rsidR="00A720EB" w:rsidRDefault="0030286B">
      <w:pPr>
        <w:pStyle w:val="a3"/>
        <w:spacing w:before="59"/>
        <w:ind w:left="124"/>
      </w:pPr>
      <w:r>
        <w:rPr>
          <w:rFonts w:ascii="MS Gothic"/>
          <w:color w:val="B02045"/>
        </w:rPr>
        <w:t>192.168.0.5</w:t>
      </w:r>
      <w:r>
        <w:rPr>
          <w:color w:val="333333"/>
        </w:rPr>
        <w:t>:</w:t>
      </w:r>
    </w:p>
    <w:p w14:paraId="1B4FB289" w14:textId="77777777" w:rsidR="00A720EB" w:rsidRDefault="00E10349">
      <w:pPr>
        <w:pStyle w:val="a3"/>
        <w:spacing w:before="10"/>
        <w:rPr>
          <w:sz w:val="17"/>
        </w:rPr>
      </w:pPr>
      <w:r>
        <w:pict w14:anchorId="10689B3F">
          <v:group id="_x0000_s3773" style="position:absolute;margin-left:47.85pt;margin-top:12.5pt;width:499.55pt;height:376.55pt;z-index:-15391232;mso-wrap-distance-left:0;mso-wrap-distance-right:0;mso-position-horizontal-relative:page" coordorigin="957,250" coordsize="9991,7531">
            <v:shape id="_x0000_s3776" style="position:absolute;left:964;top:257;width:9976;height:7516" coordorigin="965,257" coordsize="9976,7516" path="m10861,257r-9816,l1014,263r-26,18l971,306r-6,31l965,7692r6,31l988,7749r26,17l1045,7772r9816,l10892,7766r25,-17l10935,7723r6,-31l10941,337r-6,-31l10917,281r-25,-18l10861,257xe" fillcolor="#f5f5f5" stroked="f">
              <v:path arrowok="t"/>
            </v:shape>
            <v:shape id="_x0000_s3775" style="position:absolute;left:964;top:257;width:9976;height:7516" coordorigin="965,257" coordsize="9976,7516" path="m1045,257r9816,l10892,263r25,18l10935,306r6,31l10941,7692r-6,31l10917,7749r-25,17l10861,7772r-9816,l1014,7766r-26,-17l971,7723r-6,-31l965,337r6,-31l988,281r26,-18l1045,257xe" filled="f" strokecolor="#ccc">
              <v:path arrowok="t"/>
            </v:shape>
            <v:shape id="_x0000_s3774" type="#_x0000_t202" style="position:absolute;left:984;top:272;width:9938;height:7485" filled="f" stroked="f">
              <v:textbox inset="0,0,0,0">
                <w:txbxContent>
                  <w:p w14:paraId="229D779C" w14:textId="77777777" w:rsidR="00711A16" w:rsidRDefault="00711A16">
                    <w:pPr>
                      <w:spacing w:before="221"/>
                      <w:ind w:left="200"/>
                      <w:rPr>
                        <w:rFonts w:ascii="MS Gothic"/>
                      </w:rPr>
                    </w:pPr>
                    <w:r>
                      <w:rPr>
                        <w:rFonts w:ascii="MS Gothic"/>
                        <w:color w:val="333333"/>
                      </w:rPr>
                      <w:t>static class ProxyCustomizer implements RestTemplateCustomizer {</w:t>
                    </w:r>
                  </w:p>
                  <w:p w14:paraId="0E0267F4" w14:textId="77777777" w:rsidR="00711A16" w:rsidRDefault="00711A16">
                    <w:pPr>
                      <w:rPr>
                        <w:rFonts w:ascii="MS Gothic"/>
                        <w:sz w:val="24"/>
                      </w:rPr>
                    </w:pPr>
                  </w:p>
                  <w:p w14:paraId="0D5AABAC" w14:textId="77777777" w:rsidR="00711A16" w:rsidRDefault="00711A16">
                    <w:pPr>
                      <w:ind w:left="640"/>
                      <w:rPr>
                        <w:rFonts w:ascii="MS Gothic"/>
                      </w:rPr>
                    </w:pPr>
                    <w:r>
                      <w:rPr>
                        <w:rFonts w:ascii="MS Gothic"/>
                        <w:color w:val="333333"/>
                      </w:rPr>
                      <w:t>@Override</w:t>
                    </w:r>
                  </w:p>
                  <w:p w14:paraId="6A78A984" w14:textId="77777777" w:rsidR="00711A16" w:rsidRDefault="00711A16">
                    <w:pPr>
                      <w:spacing w:before="13" w:line="252" w:lineRule="auto"/>
                      <w:ind w:left="1080" w:right="3228" w:hanging="4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RestTemplate restTemplate) { HttpHost proxy = new HttpHost("proxy.example.com");</w:t>
                    </w:r>
                  </w:p>
                  <w:p w14:paraId="320C2A76" w14:textId="77777777" w:rsidR="00711A16" w:rsidRDefault="00711A16">
                    <w:pPr>
                      <w:spacing w:line="252" w:lineRule="auto"/>
                      <w:ind w:left="200" w:right="1138" w:firstLine="880"/>
                      <w:rPr>
                        <w:rFonts w:ascii="MS Gothic"/>
                      </w:rPr>
                    </w:pPr>
                    <w:r>
                      <w:rPr>
                        <w:rFonts w:ascii="MS Gothic"/>
                        <w:color w:val="333333"/>
                      </w:rPr>
                      <w:t>HttpClient httpClient = HttpClientBuilder.create(</w:t>
                    </w:r>
                    <w:proofErr w:type="gramStart"/>
                    <w:r>
                      <w:rPr>
                        <w:rFonts w:ascii="MS Gothic"/>
                        <w:color w:val="333333"/>
                      </w:rPr>
                      <w:t>).setRoutePlanner</w:t>
                    </w:r>
                    <w:proofErr w:type="gramEnd"/>
                    <w:r>
                      <w:rPr>
                        <w:rFonts w:ascii="MS Gothic"/>
                        <w:color w:val="333333"/>
                      </w:rPr>
                      <w:t>(new DefaultProxyRoutePlanner(proxy) {</w:t>
                    </w:r>
                  </w:p>
                  <w:p w14:paraId="17C5ADDD" w14:textId="77777777" w:rsidR="00711A16" w:rsidRDefault="00711A16">
                    <w:pPr>
                      <w:spacing w:before="8"/>
                      <w:rPr>
                        <w:rFonts w:ascii="MS Gothic"/>
                      </w:rPr>
                    </w:pPr>
                  </w:p>
                  <w:p w14:paraId="15ABA538" w14:textId="77777777" w:rsidR="00711A16" w:rsidRDefault="00711A16">
                    <w:pPr>
                      <w:ind w:left="1520"/>
                      <w:rPr>
                        <w:rFonts w:ascii="MS Gothic"/>
                      </w:rPr>
                    </w:pPr>
                    <w:r>
                      <w:rPr>
                        <w:rFonts w:ascii="MS Gothic"/>
                        <w:color w:val="333333"/>
                      </w:rPr>
                      <w:t>@Override</w:t>
                    </w:r>
                  </w:p>
                  <w:p w14:paraId="74EE1614" w14:textId="77777777" w:rsidR="00711A16" w:rsidRDefault="00711A16">
                    <w:pPr>
                      <w:spacing w:before="13" w:line="252" w:lineRule="auto"/>
                      <w:ind w:left="200" w:firstLine="1320"/>
                      <w:rPr>
                        <w:rFonts w:ascii="MS Gothic"/>
                      </w:rPr>
                    </w:pPr>
                    <w:r>
                      <w:rPr>
                        <w:rFonts w:ascii="MS Gothic"/>
                        <w:color w:val="333333"/>
                      </w:rPr>
                      <w:t xml:space="preserve">public HttpHost </w:t>
                    </w:r>
                    <w:proofErr w:type="gramStart"/>
                    <w:r>
                      <w:rPr>
                        <w:rFonts w:ascii="MS Gothic"/>
                        <w:color w:val="333333"/>
                      </w:rPr>
                      <w:t>determineProxy(</w:t>
                    </w:r>
                    <w:proofErr w:type="gramEnd"/>
                    <w:r>
                      <w:rPr>
                        <w:rFonts w:ascii="MS Gothic"/>
                        <w:color w:val="333333"/>
                      </w:rPr>
                      <w:t xml:space="preserve">HttpHost target, HttpRequest </w:t>
                    </w:r>
                    <w:r>
                      <w:rPr>
                        <w:rFonts w:ascii="MS Gothic"/>
                        <w:color w:val="333333"/>
                        <w:spacing w:val="-3"/>
                      </w:rPr>
                      <w:t xml:space="preserve">request, </w:t>
                    </w:r>
                    <w:r>
                      <w:rPr>
                        <w:rFonts w:ascii="MS Gothic"/>
                        <w:color w:val="333333"/>
                      </w:rPr>
                      <w:t>HttpContext context)</w:t>
                    </w:r>
                  </w:p>
                  <w:p w14:paraId="6CD1FB11" w14:textId="77777777" w:rsidR="00711A16" w:rsidRDefault="00711A16">
                    <w:pPr>
                      <w:spacing w:line="280" w:lineRule="exact"/>
                      <w:ind w:left="2400"/>
                      <w:rPr>
                        <w:rFonts w:ascii="MS Gothic"/>
                      </w:rPr>
                    </w:pPr>
                    <w:r>
                      <w:rPr>
                        <w:rFonts w:ascii="MS Gothic"/>
                        <w:color w:val="333333"/>
                      </w:rPr>
                      <w:t>throws HttpException {</w:t>
                    </w:r>
                  </w:p>
                  <w:p w14:paraId="4E99BA7A" w14:textId="77777777" w:rsidR="00711A16" w:rsidRDefault="00711A16">
                    <w:pPr>
                      <w:spacing w:before="13" w:line="252" w:lineRule="auto"/>
                      <w:ind w:left="2400" w:right="2568" w:hanging="440"/>
                      <w:rPr>
                        <w:rFonts w:ascii="MS Gothic"/>
                      </w:rPr>
                    </w:pPr>
                    <w:r>
                      <w:rPr>
                        <w:rFonts w:ascii="MS Gothic"/>
                        <w:color w:val="333333"/>
                      </w:rPr>
                      <w:t>if (</w:t>
                    </w:r>
                    <w:proofErr w:type="gramStart"/>
                    <w:r>
                      <w:rPr>
                        <w:rFonts w:ascii="MS Gothic"/>
                        <w:color w:val="333333"/>
                      </w:rPr>
                      <w:t>target.getHostName</w:t>
                    </w:r>
                    <w:proofErr w:type="gramEnd"/>
                    <w:r>
                      <w:rPr>
                        <w:rFonts w:ascii="MS Gothic"/>
                        <w:color w:val="333333"/>
                      </w:rPr>
                      <w:t>().equals("192.168.0.5")) { return null;</w:t>
                    </w:r>
                  </w:p>
                  <w:p w14:paraId="7A93CB89" w14:textId="77777777" w:rsidR="00711A16" w:rsidRDefault="00711A16">
                    <w:pPr>
                      <w:spacing w:line="280" w:lineRule="exact"/>
                      <w:ind w:left="1960"/>
                      <w:rPr>
                        <w:rFonts w:ascii="MS Gothic"/>
                      </w:rPr>
                    </w:pPr>
                    <w:r>
                      <w:rPr>
                        <w:rFonts w:ascii="MS Gothic"/>
                        <w:color w:val="333333"/>
                      </w:rPr>
                      <w:t>}</w:t>
                    </w:r>
                  </w:p>
                  <w:p w14:paraId="12F43238" w14:textId="77777777" w:rsidR="00711A16" w:rsidRDefault="00711A16">
                    <w:pPr>
                      <w:spacing w:before="13"/>
                      <w:ind w:left="1960"/>
                      <w:rPr>
                        <w:rFonts w:ascii="MS Gothic"/>
                      </w:rPr>
                    </w:pPr>
                    <w:r>
                      <w:rPr>
                        <w:rFonts w:ascii="MS Gothic"/>
                        <w:color w:val="333333"/>
                      </w:rPr>
                      <w:t xml:space="preserve">return </w:t>
                    </w:r>
                    <w:proofErr w:type="gramStart"/>
                    <w:r>
                      <w:rPr>
                        <w:rFonts w:ascii="MS Gothic"/>
                        <w:color w:val="333333"/>
                      </w:rPr>
                      <w:t>super.determineProxy</w:t>
                    </w:r>
                    <w:proofErr w:type="gramEnd"/>
                    <w:r>
                      <w:rPr>
                        <w:rFonts w:ascii="MS Gothic"/>
                        <w:color w:val="333333"/>
                      </w:rPr>
                      <w:t>(target, request, context);</w:t>
                    </w:r>
                  </w:p>
                  <w:p w14:paraId="3D37541A" w14:textId="77777777" w:rsidR="00711A16" w:rsidRDefault="00711A16">
                    <w:pPr>
                      <w:spacing w:before="13"/>
                      <w:ind w:left="1520"/>
                      <w:rPr>
                        <w:rFonts w:ascii="MS Gothic"/>
                      </w:rPr>
                    </w:pPr>
                    <w:r>
                      <w:rPr>
                        <w:rFonts w:ascii="MS Gothic"/>
                        <w:color w:val="333333"/>
                      </w:rPr>
                      <w:t>}</w:t>
                    </w:r>
                  </w:p>
                  <w:p w14:paraId="0EA24769" w14:textId="77777777" w:rsidR="00711A16" w:rsidRDefault="00711A16">
                    <w:pPr>
                      <w:rPr>
                        <w:rFonts w:ascii="MS Gothic"/>
                        <w:sz w:val="24"/>
                      </w:rPr>
                    </w:pPr>
                  </w:p>
                  <w:p w14:paraId="029A3215" w14:textId="77777777" w:rsidR="00711A16" w:rsidRDefault="00711A16">
                    <w:pPr>
                      <w:spacing w:line="252" w:lineRule="auto"/>
                      <w:ind w:left="1080" w:right="5098"/>
                      <w:rPr>
                        <w:rFonts w:ascii="MS Gothic"/>
                      </w:rPr>
                    </w:pPr>
                    <w:r>
                      <w:rPr>
                        <w:rFonts w:ascii="MS Gothic"/>
                        <w:color w:val="333333"/>
                      </w:rPr>
                      <w:t>}</w:t>
                    </w:r>
                    <w:proofErr w:type="gramStart"/>
                    <w:r>
                      <w:rPr>
                        <w:rFonts w:ascii="MS Gothic"/>
                        <w:color w:val="333333"/>
                      </w:rPr>
                      <w:t>).build</w:t>
                    </w:r>
                    <w:proofErr w:type="gramEnd"/>
                    <w:r>
                      <w:rPr>
                        <w:rFonts w:ascii="MS Gothic"/>
                        <w:color w:val="333333"/>
                      </w:rPr>
                      <w:t>(); restTemplate.setRequestFactory(new</w:t>
                    </w:r>
                  </w:p>
                  <w:p w14:paraId="7080062D" w14:textId="77777777" w:rsidR="00711A16" w:rsidRDefault="00711A16">
                    <w:pPr>
                      <w:spacing w:line="280" w:lineRule="exact"/>
                      <w:ind w:left="200"/>
                      <w:rPr>
                        <w:rFonts w:ascii="MS Gothic"/>
                      </w:rPr>
                    </w:pPr>
                    <w:r>
                      <w:rPr>
                        <w:rFonts w:ascii="MS Gothic"/>
                        <w:color w:val="333333"/>
                      </w:rPr>
                      <w:t>HttpComponentsClientHttpRequestFactory(httpClient));</w:t>
                    </w:r>
                  </w:p>
                  <w:p w14:paraId="7A79CF2D" w14:textId="77777777" w:rsidR="00711A16" w:rsidRDefault="00711A16">
                    <w:pPr>
                      <w:spacing w:before="13"/>
                      <w:ind w:left="640"/>
                      <w:rPr>
                        <w:rFonts w:ascii="MS Gothic"/>
                      </w:rPr>
                    </w:pPr>
                    <w:r>
                      <w:rPr>
                        <w:rFonts w:ascii="MS Gothic"/>
                        <w:color w:val="333333"/>
                      </w:rPr>
                      <w:t>}</w:t>
                    </w:r>
                  </w:p>
                  <w:p w14:paraId="2E0DF898" w14:textId="77777777" w:rsidR="00711A16" w:rsidRDefault="00711A16">
                    <w:pPr>
                      <w:rPr>
                        <w:rFonts w:ascii="MS Gothic"/>
                        <w:sz w:val="24"/>
                      </w:rPr>
                    </w:pPr>
                  </w:p>
                  <w:p w14:paraId="6906B3D0" w14:textId="77777777" w:rsidR="00711A16" w:rsidRDefault="00711A16">
                    <w:pPr>
                      <w:ind w:left="200"/>
                      <w:rPr>
                        <w:rFonts w:ascii="MS Gothic"/>
                      </w:rPr>
                    </w:pPr>
                    <w:r>
                      <w:rPr>
                        <w:rFonts w:ascii="MS Gothic"/>
                        <w:color w:val="333333"/>
                      </w:rPr>
                      <w:t>}</w:t>
                    </w:r>
                  </w:p>
                </w:txbxContent>
              </v:textbox>
            </v:shape>
            <w10:wrap type="topAndBottom" anchorx="page"/>
          </v:group>
        </w:pict>
      </w:r>
    </w:p>
    <w:p w14:paraId="5B80F8A6" w14:textId="77777777" w:rsidR="00A720EB" w:rsidRDefault="00A720EB">
      <w:pPr>
        <w:pStyle w:val="a3"/>
        <w:spacing w:before="11"/>
        <w:rPr>
          <w:sz w:val="9"/>
        </w:rPr>
      </w:pPr>
    </w:p>
    <w:p w14:paraId="7DCFF20F" w14:textId="77777777" w:rsidR="00A720EB" w:rsidRDefault="0030286B">
      <w:pPr>
        <w:pStyle w:val="a3"/>
        <w:spacing w:before="115" w:line="280" w:lineRule="auto"/>
        <w:ind w:left="124" w:right="123"/>
        <w:jc w:val="both"/>
      </w:pPr>
      <w:r>
        <w:rPr>
          <w:color w:val="333333"/>
          <w:spacing w:val="-4"/>
          <w:w w:val="110"/>
        </w:rPr>
        <w:t xml:space="preserve">Finally, </w:t>
      </w:r>
      <w:r>
        <w:rPr>
          <w:color w:val="333333"/>
          <w:w w:val="110"/>
        </w:rPr>
        <w:t xml:space="preserve">the most extreme (and rarely used) option is to create your own </w:t>
      </w:r>
      <w:r>
        <w:rPr>
          <w:rFonts w:ascii="MS Gothic"/>
          <w:color w:val="B02045"/>
          <w:w w:val="110"/>
        </w:rPr>
        <w:t xml:space="preserve">RestTemplateBuilder </w:t>
      </w:r>
      <w:r>
        <w:rPr>
          <w:color w:val="333333"/>
          <w:w w:val="110"/>
        </w:rPr>
        <w:t xml:space="preserve">bean. Doing so switches off the auto-configuration of a </w:t>
      </w:r>
      <w:r>
        <w:rPr>
          <w:rFonts w:ascii="MS Gothic"/>
          <w:color w:val="B02045"/>
          <w:w w:val="110"/>
        </w:rPr>
        <w:t xml:space="preserve">RestTemplateBuilder </w:t>
      </w:r>
      <w:r>
        <w:rPr>
          <w:color w:val="333333"/>
          <w:w w:val="110"/>
        </w:rPr>
        <w:t xml:space="preserve">and prevents any </w:t>
      </w:r>
      <w:r>
        <w:rPr>
          <w:rFonts w:ascii="MS Gothic"/>
          <w:color w:val="B02045"/>
          <w:w w:val="110"/>
        </w:rPr>
        <w:t>RestTemplateCustomizer</w:t>
      </w:r>
      <w:r>
        <w:rPr>
          <w:rFonts w:ascii="MS Gothic"/>
          <w:color w:val="B02045"/>
          <w:spacing w:val="-62"/>
          <w:w w:val="110"/>
        </w:rPr>
        <w:t xml:space="preserve"> </w:t>
      </w:r>
      <w:r>
        <w:rPr>
          <w:color w:val="333333"/>
          <w:w w:val="110"/>
        </w:rPr>
        <w:t>beans from being used.</w:t>
      </w:r>
    </w:p>
    <w:p w14:paraId="2D863006" w14:textId="77777777" w:rsidR="00A720EB" w:rsidRDefault="00A720EB">
      <w:pPr>
        <w:pStyle w:val="a3"/>
        <w:spacing w:before="11"/>
        <w:rPr>
          <w:sz w:val="26"/>
        </w:rPr>
      </w:pPr>
    </w:p>
    <w:p w14:paraId="0FED125A" w14:textId="77777777" w:rsidR="00A720EB" w:rsidRDefault="0030286B">
      <w:pPr>
        <w:pStyle w:val="2"/>
        <w:numPr>
          <w:ilvl w:val="1"/>
          <w:numId w:val="68"/>
        </w:numPr>
        <w:tabs>
          <w:tab w:val="left" w:pos="1034"/>
        </w:tabs>
        <w:ind w:left="1033" w:hanging="910"/>
      </w:pPr>
      <w:bookmarkStart w:id="418" w:name="4.16._Calling_REST_Services_with_WebClie"/>
      <w:bookmarkStart w:id="419" w:name="_Toc54423793"/>
      <w:bookmarkEnd w:id="418"/>
      <w:r>
        <w:rPr>
          <w:color w:val="333333"/>
          <w:w w:val="105"/>
        </w:rPr>
        <w:t xml:space="preserve">Calling </w:t>
      </w:r>
      <w:r>
        <w:rPr>
          <w:color w:val="333333"/>
          <w:spacing w:val="-3"/>
          <w:w w:val="105"/>
        </w:rPr>
        <w:t xml:space="preserve">REST </w:t>
      </w:r>
      <w:r>
        <w:rPr>
          <w:color w:val="333333"/>
          <w:w w:val="105"/>
        </w:rPr>
        <w:t>Services with</w:t>
      </w:r>
      <w:r>
        <w:rPr>
          <w:color w:val="333333"/>
          <w:spacing w:val="6"/>
          <w:w w:val="105"/>
        </w:rPr>
        <w:t xml:space="preserve"> </w:t>
      </w:r>
      <w:r>
        <w:rPr>
          <w:color w:val="333333"/>
          <w:spacing w:val="-4"/>
          <w:w w:val="105"/>
        </w:rPr>
        <w:t>WebClient</w:t>
      </w:r>
      <w:bookmarkEnd w:id="419"/>
    </w:p>
    <w:p w14:paraId="14E5B4B4" w14:textId="77777777" w:rsidR="00A720EB" w:rsidRDefault="0030286B">
      <w:pPr>
        <w:pStyle w:val="a3"/>
        <w:spacing w:before="243" w:line="280" w:lineRule="auto"/>
        <w:ind w:left="124" w:right="122"/>
        <w:jc w:val="both"/>
      </w:pPr>
      <w:r>
        <w:rPr>
          <w:color w:val="333333"/>
          <w:w w:val="110"/>
        </w:rPr>
        <w:t xml:space="preserve">If you have Spring WebFlux on your classpath, you can also choose to use </w:t>
      </w:r>
      <w:r>
        <w:rPr>
          <w:rFonts w:ascii="MS Gothic"/>
          <w:color w:val="B02045"/>
          <w:w w:val="110"/>
        </w:rPr>
        <w:t xml:space="preserve">WebClient </w:t>
      </w:r>
      <w:r>
        <w:rPr>
          <w:color w:val="333333"/>
          <w:w w:val="110"/>
        </w:rPr>
        <w:t xml:space="preserve">to call remote REST services. Compared to </w:t>
      </w:r>
      <w:r>
        <w:rPr>
          <w:rFonts w:ascii="MS Gothic"/>
          <w:color w:val="B02045"/>
          <w:w w:val="110"/>
        </w:rPr>
        <w:t>RestTemplate</w:t>
      </w:r>
      <w:r>
        <w:rPr>
          <w:color w:val="333333"/>
          <w:w w:val="110"/>
        </w:rPr>
        <w:t>, this client has a more functional feel and is fully reactive.</w:t>
      </w:r>
    </w:p>
    <w:p w14:paraId="4B522519" w14:textId="77777777" w:rsidR="00A720EB" w:rsidRDefault="00A720EB">
      <w:pPr>
        <w:spacing w:line="280" w:lineRule="auto"/>
        <w:jc w:val="both"/>
        <w:sectPr w:rsidR="00A720EB">
          <w:pgSz w:w="11910" w:h="16840"/>
          <w:pgMar w:top="620" w:right="840" w:bottom="520" w:left="840" w:header="0" w:footer="323" w:gutter="0"/>
          <w:cols w:space="720"/>
        </w:sectPr>
      </w:pPr>
    </w:p>
    <w:p w14:paraId="29660367" w14:textId="77777777" w:rsidR="00A720EB" w:rsidRDefault="0030286B">
      <w:pPr>
        <w:pStyle w:val="a3"/>
        <w:spacing w:before="96"/>
        <w:ind w:left="124"/>
        <w:jc w:val="both"/>
      </w:pPr>
      <w:r>
        <w:rPr>
          <w:color w:val="333333"/>
          <w:w w:val="110"/>
        </w:rPr>
        <w:lastRenderedPageBreak/>
        <w:t xml:space="preserve">You can learn more about the </w:t>
      </w:r>
      <w:r>
        <w:rPr>
          <w:rFonts w:ascii="MS Gothic"/>
          <w:color w:val="B02045"/>
          <w:w w:val="110"/>
        </w:rPr>
        <w:t xml:space="preserve">WebClient </w:t>
      </w:r>
      <w:r>
        <w:rPr>
          <w:color w:val="333333"/>
          <w:w w:val="110"/>
        </w:rPr>
        <w:t xml:space="preserve">in the dedicated </w:t>
      </w:r>
      <w:hyperlink r:id="rId294" w:anchor="webflux-client">
        <w:r>
          <w:rPr>
            <w:color w:val="418BCA"/>
            <w:w w:val="110"/>
          </w:rPr>
          <w:t>section in the Spring Framework docs</w:t>
        </w:r>
      </w:hyperlink>
      <w:r>
        <w:rPr>
          <w:color w:val="333333"/>
          <w:w w:val="110"/>
        </w:rPr>
        <w:t>.</w:t>
      </w:r>
    </w:p>
    <w:p w14:paraId="499D5FA8" w14:textId="77777777" w:rsidR="00A720EB" w:rsidRDefault="00A720EB">
      <w:pPr>
        <w:pStyle w:val="a3"/>
        <w:spacing w:before="5"/>
        <w:rPr>
          <w:sz w:val="24"/>
        </w:rPr>
      </w:pPr>
    </w:p>
    <w:p w14:paraId="356B96AF" w14:textId="77777777" w:rsidR="00A720EB" w:rsidRDefault="0030286B">
      <w:pPr>
        <w:pStyle w:val="a3"/>
        <w:spacing w:line="292" w:lineRule="auto"/>
        <w:ind w:left="124" w:right="122"/>
        <w:jc w:val="both"/>
      </w:pPr>
      <w:r>
        <w:rPr>
          <w:color w:val="333333"/>
          <w:w w:val="110"/>
        </w:rPr>
        <w:t xml:space="preserve">Spring Boot creates and pre-configures a </w:t>
      </w:r>
      <w:r>
        <w:rPr>
          <w:rFonts w:ascii="MS Gothic"/>
          <w:color w:val="B02045"/>
          <w:w w:val="110"/>
        </w:rPr>
        <w:t>WebClient.Builder</w:t>
      </w:r>
      <w:r>
        <w:rPr>
          <w:rFonts w:ascii="MS Gothic"/>
          <w:color w:val="B02045"/>
          <w:spacing w:val="-68"/>
          <w:w w:val="110"/>
        </w:rPr>
        <w:t xml:space="preserve"> </w:t>
      </w:r>
      <w:r>
        <w:rPr>
          <w:color w:val="333333"/>
          <w:w w:val="110"/>
        </w:rPr>
        <w:t xml:space="preserve">for you; it is strongly advised to inject it in your components and use it to create </w:t>
      </w:r>
      <w:r>
        <w:rPr>
          <w:rFonts w:ascii="MS Gothic"/>
          <w:color w:val="B02045"/>
          <w:w w:val="110"/>
        </w:rPr>
        <w:t xml:space="preserve">WebClient </w:t>
      </w:r>
      <w:r>
        <w:rPr>
          <w:color w:val="333333"/>
          <w:w w:val="110"/>
        </w:rPr>
        <w:t xml:space="preserve">instances. Spring Boot is configuring that builder to share HTTP resources, reflect codecs setup in the same fashion as the server ones (see </w:t>
      </w:r>
      <w:hyperlink w:anchor="_bookmark164" w:history="1">
        <w:r>
          <w:rPr>
            <w:color w:val="418BCA"/>
            <w:spacing w:val="-3"/>
            <w:w w:val="110"/>
          </w:rPr>
          <w:t>WebFlux</w:t>
        </w:r>
      </w:hyperlink>
      <w:r>
        <w:rPr>
          <w:color w:val="418BCA"/>
          <w:spacing w:val="-3"/>
          <w:w w:val="110"/>
        </w:rPr>
        <w:t xml:space="preserve"> </w:t>
      </w:r>
      <w:hyperlink w:anchor="_bookmark164" w:history="1">
        <w:r>
          <w:rPr>
            <w:color w:val="418BCA"/>
            <w:w w:val="110"/>
          </w:rPr>
          <w:t>HTTP codecs auto-configuration</w:t>
        </w:r>
      </w:hyperlink>
      <w:r>
        <w:rPr>
          <w:color w:val="333333"/>
          <w:w w:val="110"/>
        </w:rPr>
        <w:t>), and more.</w:t>
      </w:r>
    </w:p>
    <w:p w14:paraId="7B808B91" w14:textId="77777777" w:rsidR="00A720EB" w:rsidRDefault="00A720EB">
      <w:pPr>
        <w:pStyle w:val="a3"/>
        <w:spacing w:before="10"/>
      </w:pPr>
    </w:p>
    <w:p w14:paraId="0D772B45" w14:textId="77777777" w:rsidR="00A720EB" w:rsidRDefault="0030286B">
      <w:pPr>
        <w:pStyle w:val="a3"/>
        <w:ind w:left="124"/>
        <w:jc w:val="both"/>
      </w:pPr>
      <w:r>
        <w:rPr>
          <w:color w:val="333333"/>
          <w:w w:val="110"/>
        </w:rPr>
        <w:t>The following code shows a typical</w:t>
      </w:r>
      <w:r>
        <w:rPr>
          <w:color w:val="333333"/>
          <w:spacing w:val="41"/>
          <w:w w:val="110"/>
        </w:rPr>
        <w:t xml:space="preserve"> </w:t>
      </w:r>
      <w:r>
        <w:rPr>
          <w:color w:val="333333"/>
          <w:w w:val="110"/>
        </w:rPr>
        <w:t>example:</w:t>
      </w:r>
    </w:p>
    <w:p w14:paraId="2FC3B7A1" w14:textId="77777777" w:rsidR="00A720EB" w:rsidRDefault="00E10349">
      <w:pPr>
        <w:pStyle w:val="a3"/>
        <w:spacing w:before="11"/>
        <w:rPr>
          <w:sz w:val="18"/>
        </w:rPr>
      </w:pPr>
      <w:r>
        <w:pict w14:anchorId="18187A1C">
          <v:group id="_x0000_s3769" style="position:absolute;margin-left:47.85pt;margin-top:13.1pt;width:499.55pt;height:243.85pt;z-index:-15390720;mso-wrap-distance-left:0;mso-wrap-distance-right:0;mso-position-horizontal-relative:page" coordorigin="957,262" coordsize="9991,4877">
            <v:shape id="_x0000_s3772" style="position:absolute;left:964;top:269;width:9976;height:4862" coordorigin="965,270" coordsize="9976,4862" path="m10861,270r-9816,l1014,276r-26,17l971,319r-6,31l965,5052r6,31l988,5108r26,17l1045,5132r9816,l10892,5125r25,-17l10935,5083r6,-31l10941,350r-6,-31l10917,293r-25,-17l10861,270xe" fillcolor="#f5f5f5" stroked="f">
              <v:path arrowok="t"/>
            </v:shape>
            <v:shape id="_x0000_s3771" style="position:absolute;left:964;top:269;width:9976;height:4862" coordorigin="965,270" coordsize="9976,4862" path="m1045,270r9816,l10892,276r25,17l10935,319r6,31l10941,5052r-6,31l10917,5108r-25,17l10861,5132r-9816,l1014,5125r-26,-17l971,5083r-6,-31l965,350r6,-31l988,293r26,-17l1045,270xe" filled="f" strokecolor="#ccc">
              <v:path arrowok="t"/>
            </v:shape>
            <v:shape id="_x0000_s3770" type="#_x0000_t202" style="position:absolute;left:984;top:285;width:9938;height:4832" filled="f" stroked="f">
              <v:textbox inset="0,0,0,0">
                <w:txbxContent>
                  <w:p w14:paraId="78ABF84D" w14:textId="77777777" w:rsidR="00711A16" w:rsidRDefault="00711A16">
                    <w:pPr>
                      <w:spacing w:before="221"/>
                      <w:ind w:left="200"/>
                      <w:rPr>
                        <w:rFonts w:ascii="MS Gothic"/>
                      </w:rPr>
                    </w:pPr>
                    <w:r>
                      <w:rPr>
                        <w:rFonts w:ascii="MS Gothic"/>
                        <w:color w:val="333333"/>
                      </w:rPr>
                      <w:t>@Service</w:t>
                    </w:r>
                  </w:p>
                  <w:p w14:paraId="7861A2B2" w14:textId="77777777" w:rsidR="00711A16" w:rsidRDefault="00711A16">
                    <w:pPr>
                      <w:spacing w:before="13"/>
                      <w:ind w:left="200"/>
                      <w:rPr>
                        <w:rFonts w:ascii="MS Gothic"/>
                      </w:rPr>
                    </w:pPr>
                    <w:r>
                      <w:rPr>
                        <w:rFonts w:ascii="MS Gothic"/>
                        <w:color w:val="333333"/>
                      </w:rPr>
                      <w:t>public class MyService {</w:t>
                    </w:r>
                  </w:p>
                  <w:p w14:paraId="54AB8943" w14:textId="77777777" w:rsidR="00711A16" w:rsidRDefault="00711A16">
                    <w:pPr>
                      <w:rPr>
                        <w:rFonts w:ascii="MS Gothic"/>
                        <w:sz w:val="24"/>
                      </w:rPr>
                    </w:pPr>
                  </w:p>
                  <w:p w14:paraId="53BDC042" w14:textId="77777777" w:rsidR="00711A16" w:rsidRDefault="00711A16">
                    <w:pPr>
                      <w:ind w:left="640"/>
                      <w:rPr>
                        <w:rFonts w:ascii="MS Gothic"/>
                      </w:rPr>
                    </w:pPr>
                    <w:r>
                      <w:rPr>
                        <w:rFonts w:ascii="MS Gothic"/>
                        <w:color w:val="333333"/>
                      </w:rPr>
                      <w:t>private final WebClient webClient;</w:t>
                    </w:r>
                  </w:p>
                  <w:p w14:paraId="3185738D" w14:textId="77777777" w:rsidR="00711A16" w:rsidRDefault="00711A16">
                    <w:pPr>
                      <w:rPr>
                        <w:rFonts w:ascii="MS Gothic"/>
                        <w:sz w:val="24"/>
                      </w:rPr>
                    </w:pPr>
                  </w:p>
                  <w:p w14:paraId="67AEBE50" w14:textId="77777777" w:rsidR="00711A16" w:rsidRDefault="00711A16">
                    <w:pPr>
                      <w:ind w:left="640"/>
                      <w:rPr>
                        <w:rFonts w:ascii="MS Gothic"/>
                      </w:rPr>
                    </w:pPr>
                    <w:r>
                      <w:rPr>
                        <w:rFonts w:ascii="MS Gothic"/>
                        <w:color w:val="333333"/>
                      </w:rPr>
                      <w:t xml:space="preserve">public </w:t>
                    </w:r>
                    <w:proofErr w:type="gramStart"/>
                    <w:r>
                      <w:rPr>
                        <w:rFonts w:ascii="MS Gothic"/>
                        <w:color w:val="333333"/>
                      </w:rPr>
                      <w:t>MyService(</w:t>
                    </w:r>
                    <w:proofErr w:type="gramEnd"/>
                    <w:r>
                      <w:rPr>
                        <w:rFonts w:ascii="MS Gothic"/>
                        <w:color w:val="333333"/>
                      </w:rPr>
                      <w:t>WebClient.Builder webClientBuilder) {</w:t>
                    </w:r>
                  </w:p>
                  <w:p w14:paraId="35C7F7F4" w14:textId="77777777" w:rsidR="00711A16" w:rsidRDefault="00711A16">
                    <w:pPr>
                      <w:spacing w:before="13"/>
                      <w:ind w:left="1080"/>
                      <w:rPr>
                        <w:rFonts w:ascii="MS Gothic"/>
                      </w:rPr>
                    </w:pPr>
                    <w:proofErr w:type="gramStart"/>
                    <w:r>
                      <w:rPr>
                        <w:rFonts w:ascii="MS Gothic"/>
                        <w:color w:val="333333"/>
                      </w:rPr>
                      <w:t>this.webClient</w:t>
                    </w:r>
                    <w:proofErr w:type="gramEnd"/>
                    <w:r>
                      <w:rPr>
                        <w:rFonts w:ascii="MS Gothic"/>
                        <w:color w:val="333333"/>
                      </w:rPr>
                      <w:t xml:space="preserve"> = webClientBuilder.baseUrl("https://example.org").build();</w:t>
                    </w:r>
                  </w:p>
                  <w:p w14:paraId="53800CE7" w14:textId="77777777" w:rsidR="00711A16" w:rsidRDefault="00711A16">
                    <w:pPr>
                      <w:spacing w:before="13"/>
                      <w:ind w:left="640"/>
                      <w:rPr>
                        <w:rFonts w:ascii="MS Gothic"/>
                      </w:rPr>
                    </w:pPr>
                    <w:r>
                      <w:rPr>
                        <w:rFonts w:ascii="MS Gothic"/>
                        <w:color w:val="333333"/>
                      </w:rPr>
                      <w:t>}</w:t>
                    </w:r>
                  </w:p>
                  <w:p w14:paraId="727BDBC6" w14:textId="77777777" w:rsidR="00711A16" w:rsidRDefault="00711A16">
                    <w:pPr>
                      <w:rPr>
                        <w:rFonts w:ascii="MS Gothic"/>
                        <w:sz w:val="24"/>
                      </w:rPr>
                    </w:pPr>
                  </w:p>
                  <w:p w14:paraId="14AB1D50" w14:textId="77777777" w:rsidR="00711A16" w:rsidRDefault="00711A16">
                    <w:pPr>
                      <w:ind w:left="621" w:right="3996"/>
                      <w:jc w:val="center"/>
                      <w:rPr>
                        <w:rFonts w:ascii="MS Gothic"/>
                      </w:rPr>
                    </w:pPr>
                    <w:r>
                      <w:rPr>
                        <w:rFonts w:ascii="MS Gothic"/>
                        <w:color w:val="333333"/>
                      </w:rPr>
                      <w:t xml:space="preserve">public Mono&lt;Details&gt; </w:t>
                    </w:r>
                    <w:proofErr w:type="gramStart"/>
                    <w:r>
                      <w:rPr>
                        <w:rFonts w:ascii="MS Gothic"/>
                        <w:color w:val="333333"/>
                      </w:rPr>
                      <w:t>someRestCall(</w:t>
                    </w:r>
                    <w:proofErr w:type="gramEnd"/>
                    <w:r>
                      <w:rPr>
                        <w:rFonts w:ascii="MS Gothic"/>
                        <w:color w:val="333333"/>
                      </w:rPr>
                      <w:t>String name) {</w:t>
                    </w:r>
                  </w:p>
                  <w:p w14:paraId="03904C93" w14:textId="77777777" w:rsidR="00711A16" w:rsidRDefault="00711A16">
                    <w:pPr>
                      <w:spacing w:before="13"/>
                      <w:ind w:left="621" w:right="2236"/>
                      <w:jc w:val="center"/>
                      <w:rPr>
                        <w:rFonts w:ascii="MS Gothic"/>
                      </w:rPr>
                    </w:pPr>
                    <w:r>
                      <w:rPr>
                        <w:rFonts w:ascii="MS Gothic"/>
                        <w:color w:val="333333"/>
                      </w:rPr>
                      <w:t>return this.webClient.get(</w:t>
                    </w:r>
                    <w:proofErr w:type="gramStart"/>
                    <w:r>
                      <w:rPr>
                        <w:rFonts w:ascii="MS Gothic"/>
                        <w:color w:val="333333"/>
                      </w:rPr>
                      <w:t>).uri</w:t>
                    </w:r>
                    <w:proofErr w:type="gramEnd"/>
                    <w:r>
                      <w:rPr>
                        <w:rFonts w:ascii="MS Gothic"/>
                        <w:color w:val="333333"/>
                      </w:rPr>
                      <w:t>("/{name}/details", name)</w:t>
                    </w:r>
                  </w:p>
                  <w:p w14:paraId="51D653F5" w14:textId="77777777" w:rsidR="00711A16" w:rsidRDefault="00711A16">
                    <w:pPr>
                      <w:spacing w:before="13"/>
                      <w:ind w:left="621" w:right="696"/>
                      <w:jc w:val="center"/>
                      <w:rPr>
                        <w:rFonts w:ascii="MS Gothic"/>
                      </w:rPr>
                    </w:pPr>
                    <w:proofErr w:type="gramStart"/>
                    <w:r>
                      <w:rPr>
                        <w:rFonts w:ascii="MS Gothic"/>
                        <w:color w:val="333333"/>
                      </w:rPr>
                      <w:t>.retrieve</w:t>
                    </w:r>
                    <w:proofErr w:type="gramEnd"/>
                    <w:r>
                      <w:rPr>
                        <w:rFonts w:ascii="MS Gothic"/>
                        <w:color w:val="333333"/>
                      </w:rPr>
                      <w:t>().bodyToMono(Details.class);</w:t>
                    </w:r>
                  </w:p>
                  <w:p w14:paraId="265FAC75" w14:textId="77777777" w:rsidR="00711A16" w:rsidRDefault="00711A16">
                    <w:pPr>
                      <w:spacing w:before="13"/>
                      <w:ind w:right="8545"/>
                      <w:jc w:val="center"/>
                      <w:rPr>
                        <w:rFonts w:ascii="MS Gothic"/>
                      </w:rPr>
                    </w:pPr>
                    <w:r>
                      <w:rPr>
                        <w:rFonts w:ascii="MS Gothic"/>
                        <w:color w:val="333333"/>
                      </w:rPr>
                      <w:t>}</w:t>
                    </w:r>
                  </w:p>
                  <w:p w14:paraId="3F67BECC" w14:textId="77777777" w:rsidR="00711A16" w:rsidRDefault="00711A16">
                    <w:pPr>
                      <w:rPr>
                        <w:rFonts w:ascii="MS Gothic"/>
                        <w:sz w:val="24"/>
                      </w:rPr>
                    </w:pPr>
                  </w:p>
                  <w:p w14:paraId="0A0F7E17" w14:textId="77777777" w:rsidR="00711A16" w:rsidRDefault="00711A16">
                    <w:pPr>
                      <w:ind w:left="200"/>
                      <w:rPr>
                        <w:rFonts w:ascii="MS Gothic"/>
                      </w:rPr>
                    </w:pPr>
                    <w:r>
                      <w:rPr>
                        <w:rFonts w:ascii="MS Gothic"/>
                        <w:color w:val="333333"/>
                      </w:rPr>
                      <w:t>}</w:t>
                    </w:r>
                  </w:p>
                </w:txbxContent>
              </v:textbox>
            </v:shape>
            <w10:wrap type="topAndBottom" anchorx="page"/>
          </v:group>
        </w:pict>
      </w:r>
    </w:p>
    <w:p w14:paraId="026872DC" w14:textId="77777777" w:rsidR="00A720EB" w:rsidRDefault="00A720EB">
      <w:pPr>
        <w:pStyle w:val="a3"/>
        <w:spacing w:before="11"/>
        <w:rPr>
          <w:sz w:val="16"/>
        </w:rPr>
      </w:pPr>
    </w:p>
    <w:p w14:paraId="7C0B0D74" w14:textId="77777777" w:rsidR="00A720EB" w:rsidRDefault="0030286B">
      <w:pPr>
        <w:pStyle w:val="3"/>
        <w:numPr>
          <w:ilvl w:val="2"/>
          <w:numId w:val="68"/>
        </w:numPr>
        <w:tabs>
          <w:tab w:val="left" w:pos="1003"/>
        </w:tabs>
        <w:spacing w:before="105"/>
        <w:ind w:left="1002" w:hanging="879"/>
      </w:pPr>
      <w:bookmarkStart w:id="420" w:name="4.16.1._WebClient_Runtime"/>
      <w:bookmarkStart w:id="421" w:name="_Toc54423794"/>
      <w:bookmarkEnd w:id="420"/>
      <w:r>
        <w:rPr>
          <w:color w:val="333333"/>
          <w:spacing w:val="-3"/>
          <w:w w:val="110"/>
        </w:rPr>
        <w:t>WebClient</w:t>
      </w:r>
      <w:r>
        <w:rPr>
          <w:color w:val="333333"/>
          <w:spacing w:val="-47"/>
          <w:w w:val="110"/>
        </w:rPr>
        <w:t xml:space="preserve"> </w:t>
      </w:r>
      <w:r>
        <w:rPr>
          <w:color w:val="333333"/>
          <w:w w:val="110"/>
        </w:rPr>
        <w:t>Runtime</w:t>
      </w:r>
      <w:bookmarkEnd w:id="421"/>
    </w:p>
    <w:p w14:paraId="4F100970" w14:textId="77777777" w:rsidR="00A720EB" w:rsidRDefault="0030286B">
      <w:pPr>
        <w:pStyle w:val="a3"/>
        <w:spacing w:before="243" w:line="300" w:lineRule="auto"/>
        <w:ind w:left="124" w:right="124"/>
        <w:jc w:val="both"/>
      </w:pPr>
      <w:r>
        <w:rPr>
          <w:color w:val="333333"/>
          <w:w w:val="110"/>
        </w:rPr>
        <w:t>Spring</w:t>
      </w:r>
      <w:r>
        <w:rPr>
          <w:color w:val="333333"/>
          <w:spacing w:val="-7"/>
          <w:w w:val="110"/>
        </w:rPr>
        <w:t xml:space="preserve"> </w:t>
      </w:r>
      <w:r>
        <w:rPr>
          <w:color w:val="333333"/>
          <w:w w:val="110"/>
        </w:rPr>
        <w:t>Boot</w:t>
      </w:r>
      <w:r>
        <w:rPr>
          <w:color w:val="333333"/>
          <w:spacing w:val="-7"/>
          <w:w w:val="110"/>
        </w:rPr>
        <w:t xml:space="preserve"> </w:t>
      </w:r>
      <w:r>
        <w:rPr>
          <w:color w:val="333333"/>
          <w:w w:val="110"/>
        </w:rPr>
        <w:t>will</w:t>
      </w:r>
      <w:r>
        <w:rPr>
          <w:color w:val="333333"/>
          <w:spacing w:val="-6"/>
          <w:w w:val="110"/>
        </w:rPr>
        <w:t xml:space="preserve"> </w:t>
      </w:r>
      <w:r>
        <w:rPr>
          <w:color w:val="333333"/>
          <w:w w:val="110"/>
        </w:rPr>
        <w:t>auto-detect</w:t>
      </w:r>
      <w:r>
        <w:rPr>
          <w:color w:val="333333"/>
          <w:spacing w:val="-7"/>
          <w:w w:val="110"/>
        </w:rPr>
        <w:t xml:space="preserve"> </w:t>
      </w:r>
      <w:r>
        <w:rPr>
          <w:color w:val="333333"/>
          <w:w w:val="110"/>
        </w:rPr>
        <w:t xml:space="preserve">which </w:t>
      </w:r>
      <w:r>
        <w:rPr>
          <w:rFonts w:ascii="MS Gothic"/>
          <w:color w:val="B02045"/>
          <w:w w:val="110"/>
        </w:rPr>
        <w:t>ClientHttpConnector</w:t>
      </w:r>
      <w:r>
        <w:rPr>
          <w:rFonts w:ascii="MS Gothic"/>
          <w:color w:val="B02045"/>
          <w:spacing w:val="-71"/>
          <w:w w:val="110"/>
        </w:rPr>
        <w:t xml:space="preserve"> </w:t>
      </w:r>
      <w:r>
        <w:rPr>
          <w:color w:val="333333"/>
          <w:w w:val="110"/>
        </w:rPr>
        <w:t>to</w:t>
      </w:r>
      <w:r>
        <w:rPr>
          <w:color w:val="333333"/>
          <w:spacing w:val="-6"/>
          <w:w w:val="110"/>
        </w:rPr>
        <w:t xml:space="preserve"> </w:t>
      </w:r>
      <w:r>
        <w:rPr>
          <w:color w:val="333333"/>
          <w:w w:val="110"/>
        </w:rPr>
        <w:t>use</w:t>
      </w:r>
      <w:r>
        <w:rPr>
          <w:color w:val="333333"/>
          <w:spacing w:val="-7"/>
          <w:w w:val="110"/>
        </w:rPr>
        <w:t xml:space="preserve"> </w:t>
      </w:r>
      <w:r>
        <w:rPr>
          <w:color w:val="333333"/>
          <w:w w:val="110"/>
        </w:rPr>
        <w:t>to</w:t>
      </w:r>
      <w:r>
        <w:rPr>
          <w:color w:val="333333"/>
          <w:spacing w:val="-6"/>
          <w:w w:val="110"/>
        </w:rPr>
        <w:t xml:space="preserve"> </w:t>
      </w:r>
      <w:r>
        <w:rPr>
          <w:color w:val="333333"/>
          <w:w w:val="110"/>
        </w:rPr>
        <w:t>drive</w:t>
      </w:r>
      <w:r>
        <w:rPr>
          <w:color w:val="333333"/>
          <w:spacing w:val="-5"/>
          <w:w w:val="110"/>
        </w:rPr>
        <w:t xml:space="preserve"> </w:t>
      </w:r>
      <w:r>
        <w:rPr>
          <w:rFonts w:ascii="MS Gothic"/>
          <w:color w:val="B02045"/>
          <w:w w:val="110"/>
        </w:rPr>
        <w:t>WebClient</w:t>
      </w:r>
      <w:r>
        <w:rPr>
          <w:color w:val="333333"/>
          <w:w w:val="110"/>
        </w:rPr>
        <w:t>,</w:t>
      </w:r>
      <w:r>
        <w:rPr>
          <w:color w:val="333333"/>
          <w:spacing w:val="-6"/>
          <w:w w:val="110"/>
        </w:rPr>
        <w:t xml:space="preserve"> </w:t>
      </w:r>
      <w:r>
        <w:rPr>
          <w:color w:val="333333"/>
          <w:w w:val="110"/>
        </w:rPr>
        <w:t>depending</w:t>
      </w:r>
      <w:r>
        <w:rPr>
          <w:color w:val="333333"/>
          <w:spacing w:val="-6"/>
          <w:w w:val="110"/>
        </w:rPr>
        <w:t xml:space="preserve"> </w:t>
      </w:r>
      <w:r>
        <w:rPr>
          <w:color w:val="333333"/>
          <w:w w:val="110"/>
        </w:rPr>
        <w:t>on</w:t>
      </w:r>
      <w:r>
        <w:rPr>
          <w:color w:val="333333"/>
          <w:spacing w:val="-6"/>
          <w:w w:val="110"/>
        </w:rPr>
        <w:t xml:space="preserve"> </w:t>
      </w:r>
      <w:r>
        <w:rPr>
          <w:color w:val="333333"/>
          <w:w w:val="110"/>
        </w:rPr>
        <w:t xml:space="preserve">the libraries available on the application classpath. </w:t>
      </w:r>
      <w:r>
        <w:rPr>
          <w:color w:val="333333"/>
          <w:spacing w:val="-4"/>
          <w:w w:val="110"/>
        </w:rPr>
        <w:t xml:space="preserve">For now, </w:t>
      </w:r>
      <w:r>
        <w:rPr>
          <w:color w:val="333333"/>
          <w:w w:val="110"/>
        </w:rPr>
        <w:t>Reactor Netty and Jetty RS client are supported.</w:t>
      </w:r>
    </w:p>
    <w:p w14:paraId="3546E6A1" w14:textId="77777777" w:rsidR="00A720EB" w:rsidRDefault="0030286B">
      <w:pPr>
        <w:pStyle w:val="a3"/>
        <w:spacing w:before="235" w:line="297" w:lineRule="auto"/>
        <w:ind w:left="124" w:right="122"/>
        <w:jc w:val="both"/>
      </w:pPr>
      <w:r>
        <w:rPr>
          <w:color w:val="333333"/>
          <w:w w:val="105"/>
        </w:rPr>
        <w:t xml:space="preserve">The </w:t>
      </w:r>
      <w:r>
        <w:rPr>
          <w:rFonts w:ascii="MS Gothic"/>
          <w:color w:val="B02045"/>
          <w:w w:val="105"/>
        </w:rPr>
        <w:t xml:space="preserve">spring-boot-starter-webflux </w:t>
      </w:r>
      <w:r>
        <w:rPr>
          <w:color w:val="333333"/>
          <w:w w:val="105"/>
        </w:rPr>
        <w:t xml:space="preserve">starter depends on </w:t>
      </w:r>
      <w:proofErr w:type="gramStart"/>
      <w:r>
        <w:rPr>
          <w:rFonts w:ascii="MS Gothic"/>
          <w:color w:val="B02045"/>
          <w:w w:val="105"/>
        </w:rPr>
        <w:t>io.projectreactor</w:t>
      </w:r>
      <w:proofErr w:type="gramEnd"/>
      <w:r>
        <w:rPr>
          <w:rFonts w:ascii="MS Gothic"/>
          <w:color w:val="B02045"/>
          <w:w w:val="105"/>
        </w:rPr>
        <w:t xml:space="preserve">.netty:reactor-netty </w:t>
      </w:r>
      <w:r>
        <w:rPr>
          <w:color w:val="333333"/>
          <w:spacing w:val="-3"/>
          <w:w w:val="105"/>
        </w:rPr>
        <w:t xml:space="preserve">by </w:t>
      </w:r>
      <w:r>
        <w:rPr>
          <w:color w:val="333333"/>
          <w:w w:val="110"/>
        </w:rPr>
        <w:t xml:space="preserve">default, which brings both server and client implementations. If you choose to </w:t>
      </w:r>
      <w:proofErr w:type="gramStart"/>
      <w:r>
        <w:rPr>
          <w:color w:val="333333"/>
          <w:w w:val="110"/>
        </w:rPr>
        <w:t>use  Jetty</w:t>
      </w:r>
      <w:proofErr w:type="gramEnd"/>
      <w:r>
        <w:rPr>
          <w:color w:val="333333"/>
          <w:w w:val="110"/>
        </w:rPr>
        <w:t xml:space="preserve">  as  a  reactive server instead, you should add a dependency on the Jetty Reactive HTTP client </w:t>
      </w:r>
      <w:r>
        <w:rPr>
          <w:color w:val="333333"/>
          <w:spacing w:val="-4"/>
          <w:w w:val="110"/>
        </w:rPr>
        <w:t xml:space="preserve">library, </w:t>
      </w:r>
      <w:r>
        <w:rPr>
          <w:rFonts w:ascii="MS Gothic"/>
          <w:color w:val="B02045"/>
          <w:w w:val="105"/>
        </w:rPr>
        <w:t>org.eclipse.jetty:jetty-reactive-httpclient</w:t>
      </w:r>
      <w:r>
        <w:rPr>
          <w:color w:val="333333"/>
          <w:w w:val="105"/>
        </w:rPr>
        <w:t xml:space="preserve">. Using the same technology for server and client has </w:t>
      </w:r>
      <w:proofErr w:type="gramStart"/>
      <w:r>
        <w:rPr>
          <w:color w:val="333333"/>
          <w:w w:val="105"/>
        </w:rPr>
        <w:t>it</w:t>
      </w:r>
      <w:proofErr w:type="gramEnd"/>
      <w:r>
        <w:rPr>
          <w:color w:val="333333"/>
          <w:w w:val="105"/>
        </w:rPr>
        <w:t xml:space="preserve"> </w:t>
      </w:r>
      <w:r>
        <w:rPr>
          <w:color w:val="333333"/>
          <w:w w:val="110"/>
        </w:rPr>
        <w:t>advantages, as it will automatically share HTTP resources between client and</w:t>
      </w:r>
      <w:r>
        <w:rPr>
          <w:color w:val="333333"/>
          <w:spacing w:val="40"/>
          <w:w w:val="110"/>
        </w:rPr>
        <w:t xml:space="preserve"> </w:t>
      </w:r>
      <w:r>
        <w:rPr>
          <w:color w:val="333333"/>
          <w:w w:val="110"/>
        </w:rPr>
        <w:t>server.</w:t>
      </w:r>
    </w:p>
    <w:p w14:paraId="7C0A7943" w14:textId="77777777" w:rsidR="00A720EB" w:rsidRDefault="0030286B">
      <w:pPr>
        <w:pStyle w:val="a3"/>
        <w:spacing w:before="246" w:line="295" w:lineRule="auto"/>
        <w:ind w:left="124" w:right="127"/>
        <w:jc w:val="both"/>
      </w:pPr>
      <w:r>
        <w:rPr>
          <w:color w:val="333333"/>
          <w:w w:val="110"/>
        </w:rPr>
        <w:t xml:space="preserve">Developers can override the resource configuration for Jetty and Reactor Netty </w:t>
      </w:r>
      <w:r>
        <w:rPr>
          <w:color w:val="333333"/>
          <w:spacing w:val="-3"/>
          <w:w w:val="110"/>
        </w:rPr>
        <w:t xml:space="preserve">by </w:t>
      </w:r>
      <w:r>
        <w:rPr>
          <w:color w:val="333333"/>
          <w:w w:val="110"/>
        </w:rPr>
        <w:t>providing a custom</w:t>
      </w:r>
      <w:r>
        <w:rPr>
          <w:color w:val="333333"/>
          <w:spacing w:val="-2"/>
          <w:w w:val="110"/>
        </w:rPr>
        <w:t xml:space="preserve"> </w:t>
      </w:r>
      <w:r>
        <w:rPr>
          <w:rFonts w:ascii="MS Gothic"/>
          <w:color w:val="B02045"/>
          <w:w w:val="110"/>
        </w:rPr>
        <w:t>ReactorResourceFactory</w:t>
      </w:r>
      <w:r>
        <w:rPr>
          <w:rFonts w:ascii="MS Gothic"/>
          <w:color w:val="B02045"/>
          <w:spacing w:val="-66"/>
          <w:w w:val="110"/>
        </w:rPr>
        <w:t xml:space="preserve"> </w:t>
      </w:r>
      <w:r>
        <w:rPr>
          <w:color w:val="333333"/>
          <w:w w:val="110"/>
        </w:rPr>
        <w:t>or</w:t>
      </w:r>
      <w:r>
        <w:rPr>
          <w:color w:val="333333"/>
          <w:spacing w:val="-2"/>
          <w:w w:val="110"/>
        </w:rPr>
        <w:t xml:space="preserve"> </w:t>
      </w:r>
      <w:r>
        <w:rPr>
          <w:rFonts w:ascii="MS Gothic"/>
          <w:color w:val="B02045"/>
          <w:w w:val="110"/>
        </w:rPr>
        <w:t>JettyResourceFactory</w:t>
      </w:r>
      <w:r>
        <w:rPr>
          <w:rFonts w:ascii="MS Gothic"/>
          <w:color w:val="B02045"/>
          <w:spacing w:val="-66"/>
          <w:w w:val="110"/>
        </w:rPr>
        <w:t xml:space="preserve"> </w:t>
      </w:r>
      <w:r>
        <w:rPr>
          <w:color w:val="333333"/>
          <w:w w:val="110"/>
        </w:rPr>
        <w:t>bean</w:t>
      </w:r>
      <w:r>
        <w:rPr>
          <w:color w:val="333333"/>
          <w:spacing w:val="-2"/>
          <w:w w:val="110"/>
        </w:rPr>
        <w:t xml:space="preserve"> </w:t>
      </w:r>
      <w:r>
        <w:rPr>
          <w:color w:val="333333"/>
          <w:w w:val="110"/>
        </w:rPr>
        <w:t>-</w:t>
      </w:r>
      <w:r>
        <w:rPr>
          <w:color w:val="333333"/>
          <w:spacing w:val="-1"/>
          <w:w w:val="110"/>
        </w:rPr>
        <w:t xml:space="preserve"> </w:t>
      </w:r>
      <w:r>
        <w:rPr>
          <w:color w:val="333333"/>
          <w:w w:val="110"/>
        </w:rPr>
        <w:t>this</w:t>
      </w:r>
      <w:r>
        <w:rPr>
          <w:color w:val="333333"/>
          <w:spacing w:val="-2"/>
          <w:w w:val="110"/>
        </w:rPr>
        <w:t xml:space="preserve"> </w:t>
      </w:r>
      <w:r>
        <w:rPr>
          <w:color w:val="333333"/>
          <w:w w:val="110"/>
        </w:rPr>
        <w:t>will</w:t>
      </w:r>
      <w:r>
        <w:rPr>
          <w:color w:val="333333"/>
          <w:spacing w:val="-2"/>
          <w:w w:val="110"/>
        </w:rPr>
        <w:t xml:space="preserve"> </w:t>
      </w:r>
      <w:r>
        <w:rPr>
          <w:color w:val="333333"/>
          <w:w w:val="110"/>
        </w:rPr>
        <w:t>be</w:t>
      </w:r>
      <w:r>
        <w:rPr>
          <w:color w:val="333333"/>
          <w:spacing w:val="-1"/>
          <w:w w:val="110"/>
        </w:rPr>
        <w:t xml:space="preserve"> </w:t>
      </w:r>
      <w:r>
        <w:rPr>
          <w:color w:val="333333"/>
          <w:w w:val="110"/>
        </w:rPr>
        <w:t>applied</w:t>
      </w:r>
      <w:r>
        <w:rPr>
          <w:color w:val="333333"/>
          <w:spacing w:val="-2"/>
          <w:w w:val="110"/>
        </w:rPr>
        <w:t xml:space="preserve"> </w:t>
      </w:r>
      <w:r>
        <w:rPr>
          <w:color w:val="333333"/>
          <w:w w:val="110"/>
        </w:rPr>
        <w:t>to</w:t>
      </w:r>
      <w:r>
        <w:rPr>
          <w:color w:val="333333"/>
          <w:spacing w:val="-2"/>
          <w:w w:val="110"/>
        </w:rPr>
        <w:t xml:space="preserve"> </w:t>
      </w:r>
      <w:r>
        <w:rPr>
          <w:color w:val="333333"/>
          <w:w w:val="110"/>
        </w:rPr>
        <w:t>both</w:t>
      </w:r>
      <w:r>
        <w:rPr>
          <w:color w:val="333333"/>
          <w:spacing w:val="-2"/>
          <w:w w:val="110"/>
        </w:rPr>
        <w:t xml:space="preserve"> </w:t>
      </w:r>
      <w:r>
        <w:rPr>
          <w:color w:val="333333"/>
          <w:w w:val="110"/>
        </w:rPr>
        <w:t>clients and</w:t>
      </w:r>
      <w:r>
        <w:rPr>
          <w:color w:val="333333"/>
          <w:spacing w:val="2"/>
          <w:w w:val="110"/>
        </w:rPr>
        <w:t xml:space="preserve"> </w:t>
      </w:r>
      <w:r>
        <w:rPr>
          <w:color w:val="333333"/>
          <w:w w:val="110"/>
        </w:rPr>
        <w:t>servers.</w:t>
      </w:r>
    </w:p>
    <w:p w14:paraId="38DB0A2F" w14:textId="77777777" w:rsidR="00A720EB" w:rsidRDefault="0030286B">
      <w:pPr>
        <w:pStyle w:val="a3"/>
        <w:spacing w:before="239" w:line="290" w:lineRule="auto"/>
        <w:ind w:left="124" w:right="123"/>
        <w:jc w:val="both"/>
      </w:pPr>
      <w:r>
        <w:rPr>
          <w:color w:val="333333"/>
          <w:w w:val="110"/>
        </w:rPr>
        <w:t xml:space="preserve">If you wish to override that choice for the client, you can define your own </w:t>
      </w:r>
      <w:r>
        <w:rPr>
          <w:rFonts w:ascii="MS Gothic"/>
          <w:color w:val="B02045"/>
          <w:w w:val="110"/>
        </w:rPr>
        <w:t>ClientHttpConnector</w:t>
      </w:r>
      <w:r>
        <w:rPr>
          <w:rFonts w:ascii="MS Gothic"/>
          <w:color w:val="B02045"/>
          <w:spacing w:val="-99"/>
          <w:w w:val="110"/>
        </w:rPr>
        <w:t xml:space="preserve"> </w:t>
      </w:r>
      <w:r>
        <w:rPr>
          <w:color w:val="333333"/>
          <w:w w:val="110"/>
        </w:rPr>
        <w:t>bean and have full control over the client configuration.</w:t>
      </w:r>
    </w:p>
    <w:p w14:paraId="462276E1" w14:textId="77777777" w:rsidR="00A720EB" w:rsidRDefault="0030286B">
      <w:pPr>
        <w:pStyle w:val="a3"/>
        <w:spacing w:before="248" w:line="290" w:lineRule="auto"/>
        <w:ind w:left="124" w:right="128"/>
        <w:jc w:val="both"/>
      </w:pPr>
      <w:r>
        <w:rPr>
          <w:color w:val="333333"/>
          <w:w w:val="110"/>
        </w:rPr>
        <w:t xml:space="preserve">You can learn more about the </w:t>
      </w:r>
      <w:hyperlink r:id="rId295" w:anchor="webflux-client-builder">
        <w:r>
          <w:rPr>
            <w:rFonts w:ascii="MS Gothic"/>
            <w:color w:val="B02045"/>
            <w:w w:val="110"/>
          </w:rPr>
          <w:t xml:space="preserve">WebClient </w:t>
        </w:r>
      </w:hyperlink>
      <w:hyperlink r:id="rId296" w:anchor="webflux-client-builder">
        <w:r>
          <w:rPr>
            <w:color w:val="418BCA"/>
            <w:w w:val="110"/>
          </w:rPr>
          <w:t>configuration options in the Spring Framework reference</w:t>
        </w:r>
      </w:hyperlink>
      <w:r>
        <w:rPr>
          <w:color w:val="418BCA"/>
          <w:w w:val="110"/>
        </w:rPr>
        <w:t xml:space="preserve"> </w:t>
      </w:r>
      <w:hyperlink r:id="rId297" w:anchor="webflux-client-builder">
        <w:r>
          <w:rPr>
            <w:color w:val="418BCA"/>
            <w:w w:val="110"/>
          </w:rPr>
          <w:t>documentation</w:t>
        </w:r>
      </w:hyperlink>
      <w:r>
        <w:rPr>
          <w:color w:val="333333"/>
          <w:w w:val="110"/>
        </w:rPr>
        <w:t>.</w:t>
      </w:r>
    </w:p>
    <w:p w14:paraId="33376C5B" w14:textId="77777777" w:rsidR="00A720EB" w:rsidRDefault="00A720EB">
      <w:pPr>
        <w:spacing w:line="290" w:lineRule="auto"/>
        <w:jc w:val="both"/>
        <w:sectPr w:rsidR="00A720EB">
          <w:pgSz w:w="11910" w:h="16840"/>
          <w:pgMar w:top="620" w:right="840" w:bottom="520" w:left="840" w:header="0" w:footer="323" w:gutter="0"/>
          <w:cols w:space="720"/>
        </w:sectPr>
      </w:pPr>
    </w:p>
    <w:p w14:paraId="7044B7FF" w14:textId="77777777" w:rsidR="00A720EB" w:rsidRDefault="0030286B">
      <w:pPr>
        <w:pStyle w:val="3"/>
        <w:numPr>
          <w:ilvl w:val="2"/>
          <w:numId w:val="68"/>
        </w:numPr>
        <w:tabs>
          <w:tab w:val="left" w:pos="1003"/>
        </w:tabs>
        <w:spacing w:before="87"/>
        <w:ind w:left="1002" w:hanging="879"/>
      </w:pPr>
      <w:bookmarkStart w:id="422" w:name="4.16.2._WebClient_Customization"/>
      <w:bookmarkStart w:id="423" w:name="_Toc54423795"/>
      <w:bookmarkEnd w:id="422"/>
      <w:r>
        <w:rPr>
          <w:color w:val="333333"/>
          <w:spacing w:val="-3"/>
          <w:w w:val="110"/>
        </w:rPr>
        <w:lastRenderedPageBreak/>
        <w:t>WebClient</w:t>
      </w:r>
      <w:r>
        <w:rPr>
          <w:color w:val="333333"/>
          <w:spacing w:val="-7"/>
          <w:w w:val="110"/>
        </w:rPr>
        <w:t xml:space="preserve"> </w:t>
      </w:r>
      <w:r>
        <w:rPr>
          <w:color w:val="333333"/>
          <w:w w:val="110"/>
        </w:rPr>
        <w:t>Customization</w:t>
      </w:r>
      <w:bookmarkEnd w:id="423"/>
    </w:p>
    <w:p w14:paraId="1753A2C8" w14:textId="77777777" w:rsidR="00A720EB" w:rsidRDefault="0030286B">
      <w:pPr>
        <w:pStyle w:val="a3"/>
        <w:spacing w:before="243" w:line="290" w:lineRule="auto"/>
        <w:ind w:left="124" w:right="128"/>
        <w:jc w:val="both"/>
      </w:pPr>
      <w:r>
        <w:rPr>
          <w:color w:val="333333"/>
          <w:w w:val="110"/>
        </w:rPr>
        <w:t xml:space="preserve">There are three main approaches to </w:t>
      </w:r>
      <w:r>
        <w:rPr>
          <w:rFonts w:ascii="MS Gothic"/>
          <w:color w:val="B02045"/>
          <w:w w:val="110"/>
        </w:rPr>
        <w:t xml:space="preserve">WebClient </w:t>
      </w:r>
      <w:r>
        <w:rPr>
          <w:color w:val="333333"/>
          <w:w w:val="110"/>
        </w:rPr>
        <w:t>customization, depending on how broadly you want the customizations to apply.</w:t>
      </w:r>
    </w:p>
    <w:p w14:paraId="7E9890EB" w14:textId="77777777" w:rsidR="00A720EB" w:rsidRDefault="00A720EB">
      <w:pPr>
        <w:pStyle w:val="a3"/>
        <w:rPr>
          <w:sz w:val="22"/>
        </w:rPr>
      </w:pPr>
    </w:p>
    <w:p w14:paraId="3DFC8567" w14:textId="77777777" w:rsidR="00A720EB" w:rsidRDefault="0030286B">
      <w:pPr>
        <w:pStyle w:val="a3"/>
        <w:spacing w:line="297" w:lineRule="auto"/>
        <w:ind w:left="124" w:right="126"/>
        <w:jc w:val="both"/>
      </w:pPr>
      <w:r>
        <w:rPr>
          <w:color w:val="333333"/>
          <w:spacing w:val="-4"/>
          <w:w w:val="110"/>
        </w:rPr>
        <w:t xml:space="preserve">To </w:t>
      </w:r>
      <w:r>
        <w:rPr>
          <w:color w:val="333333"/>
          <w:w w:val="110"/>
        </w:rPr>
        <w:t xml:space="preserve">make the scope of any customizations as narrow as possible, inject the auto-configured </w:t>
      </w:r>
      <w:r>
        <w:rPr>
          <w:rFonts w:ascii="MS Gothic"/>
          <w:color w:val="B02045"/>
          <w:w w:val="110"/>
        </w:rPr>
        <w:t xml:space="preserve">WebClient.Builder </w:t>
      </w:r>
      <w:r>
        <w:rPr>
          <w:color w:val="333333"/>
          <w:w w:val="110"/>
        </w:rPr>
        <w:t xml:space="preserve">and then call its methods as required. </w:t>
      </w:r>
      <w:r>
        <w:rPr>
          <w:rFonts w:ascii="MS Gothic"/>
          <w:color w:val="B02045"/>
          <w:w w:val="110"/>
        </w:rPr>
        <w:t>WebClient.Builder</w:t>
      </w:r>
      <w:r>
        <w:rPr>
          <w:rFonts w:ascii="MS Gothic"/>
          <w:color w:val="B02045"/>
          <w:spacing w:val="-97"/>
          <w:w w:val="110"/>
        </w:rPr>
        <w:t xml:space="preserve"> </w:t>
      </w:r>
      <w:r>
        <w:rPr>
          <w:color w:val="333333"/>
          <w:w w:val="110"/>
        </w:rPr>
        <w:t xml:space="preserve">instances are stateful: Any change on the builder is reflected in all clients subsequently created with it. If you want to create several clients with the same builder, you can also consider cloning the builder with </w:t>
      </w:r>
      <w:r>
        <w:rPr>
          <w:rFonts w:ascii="MS Gothic"/>
          <w:color w:val="B02045"/>
          <w:w w:val="110"/>
        </w:rPr>
        <w:t>WebClient.Builder other =</w:t>
      </w:r>
      <w:r>
        <w:rPr>
          <w:rFonts w:ascii="MS Gothic"/>
          <w:color w:val="B02045"/>
          <w:spacing w:val="-54"/>
          <w:w w:val="110"/>
        </w:rPr>
        <w:t xml:space="preserve"> </w:t>
      </w:r>
      <w:proofErr w:type="gramStart"/>
      <w:r>
        <w:rPr>
          <w:rFonts w:ascii="MS Gothic"/>
          <w:color w:val="B02045"/>
          <w:w w:val="110"/>
        </w:rPr>
        <w:t>builder.clone</w:t>
      </w:r>
      <w:proofErr w:type="gramEnd"/>
      <w:r>
        <w:rPr>
          <w:rFonts w:ascii="MS Gothic"/>
          <w:color w:val="B02045"/>
          <w:w w:val="110"/>
        </w:rPr>
        <w:t>();</w:t>
      </w:r>
      <w:r>
        <w:rPr>
          <w:color w:val="333333"/>
          <w:w w:val="110"/>
        </w:rPr>
        <w:t>.</w:t>
      </w:r>
    </w:p>
    <w:p w14:paraId="1B9687FA" w14:textId="77777777" w:rsidR="00A720EB" w:rsidRDefault="0030286B">
      <w:pPr>
        <w:pStyle w:val="a3"/>
        <w:spacing w:before="225" w:line="285" w:lineRule="auto"/>
        <w:ind w:left="124" w:right="124"/>
        <w:jc w:val="both"/>
      </w:pPr>
      <w:r>
        <w:rPr>
          <w:color w:val="333333"/>
          <w:w w:val="110"/>
        </w:rPr>
        <w:t xml:space="preserve">To make an application-wide, additive customization to all </w:t>
      </w:r>
      <w:r>
        <w:rPr>
          <w:rFonts w:ascii="MS Gothic"/>
          <w:color w:val="B02045"/>
          <w:w w:val="110"/>
        </w:rPr>
        <w:t xml:space="preserve">WebClient.Builder </w:t>
      </w:r>
      <w:r>
        <w:rPr>
          <w:color w:val="333333"/>
          <w:w w:val="110"/>
        </w:rPr>
        <w:t xml:space="preserve">instances, you can declare </w:t>
      </w:r>
      <w:r>
        <w:rPr>
          <w:rFonts w:ascii="MS Gothic"/>
          <w:color w:val="B02045"/>
          <w:w w:val="110"/>
        </w:rPr>
        <w:t xml:space="preserve">WebClientCustomizer </w:t>
      </w:r>
      <w:r>
        <w:rPr>
          <w:color w:val="333333"/>
          <w:w w:val="110"/>
        </w:rPr>
        <w:t xml:space="preserve">beans and change the </w:t>
      </w:r>
      <w:r>
        <w:rPr>
          <w:rFonts w:ascii="MS Gothic"/>
          <w:color w:val="B02045"/>
          <w:w w:val="110"/>
        </w:rPr>
        <w:t xml:space="preserve">WebClient.Builder </w:t>
      </w:r>
      <w:r>
        <w:rPr>
          <w:color w:val="333333"/>
          <w:w w:val="110"/>
        </w:rPr>
        <w:t>locally at the point of injection.</w:t>
      </w:r>
    </w:p>
    <w:p w14:paraId="78EB4733" w14:textId="77777777" w:rsidR="00A720EB" w:rsidRDefault="00A720EB">
      <w:pPr>
        <w:pStyle w:val="a3"/>
        <w:spacing w:before="7"/>
      </w:pPr>
    </w:p>
    <w:p w14:paraId="7517775F" w14:textId="77777777" w:rsidR="00A720EB" w:rsidRDefault="0030286B">
      <w:pPr>
        <w:pStyle w:val="a3"/>
        <w:spacing w:line="280" w:lineRule="auto"/>
        <w:ind w:left="124" w:right="123"/>
        <w:jc w:val="both"/>
      </w:pPr>
      <w:r>
        <w:rPr>
          <w:color w:val="333333"/>
          <w:spacing w:val="-4"/>
          <w:w w:val="110"/>
        </w:rPr>
        <w:t xml:space="preserve">Finally, </w:t>
      </w:r>
      <w:r>
        <w:rPr>
          <w:color w:val="333333"/>
          <w:w w:val="110"/>
        </w:rPr>
        <w:t xml:space="preserve">you can fall back to the original API and use </w:t>
      </w:r>
      <w:r>
        <w:rPr>
          <w:rFonts w:ascii="MS Gothic"/>
          <w:color w:val="B02045"/>
          <w:w w:val="110"/>
        </w:rPr>
        <w:t>WebClient.create()</w:t>
      </w:r>
      <w:r>
        <w:rPr>
          <w:color w:val="333333"/>
          <w:w w:val="110"/>
        </w:rPr>
        <w:t xml:space="preserve">. In that case, no auto- configuration or </w:t>
      </w:r>
      <w:r>
        <w:rPr>
          <w:rFonts w:ascii="MS Gothic"/>
          <w:color w:val="B02045"/>
          <w:w w:val="110"/>
        </w:rPr>
        <w:t>WebClientCustomizer</w:t>
      </w:r>
      <w:r>
        <w:rPr>
          <w:rFonts w:ascii="MS Gothic"/>
          <w:color w:val="B02045"/>
          <w:spacing w:val="-60"/>
          <w:w w:val="110"/>
        </w:rPr>
        <w:t xml:space="preserve"> </w:t>
      </w:r>
      <w:r>
        <w:rPr>
          <w:color w:val="333333"/>
          <w:w w:val="110"/>
        </w:rPr>
        <w:t>is applied.</w:t>
      </w:r>
    </w:p>
    <w:p w14:paraId="204B5D7E" w14:textId="77777777" w:rsidR="00A720EB" w:rsidRDefault="00A720EB">
      <w:pPr>
        <w:pStyle w:val="a3"/>
        <w:spacing w:before="10"/>
        <w:rPr>
          <w:sz w:val="26"/>
        </w:rPr>
      </w:pPr>
    </w:p>
    <w:p w14:paraId="064E667F" w14:textId="77777777" w:rsidR="00A720EB" w:rsidRDefault="0030286B">
      <w:pPr>
        <w:pStyle w:val="2"/>
        <w:numPr>
          <w:ilvl w:val="1"/>
          <w:numId w:val="68"/>
        </w:numPr>
        <w:tabs>
          <w:tab w:val="left" w:pos="1034"/>
        </w:tabs>
        <w:ind w:left="1033" w:hanging="910"/>
      </w:pPr>
      <w:bookmarkStart w:id="424" w:name="4.17._Validation"/>
      <w:bookmarkStart w:id="425" w:name="_Toc54423796"/>
      <w:bookmarkEnd w:id="424"/>
      <w:r>
        <w:rPr>
          <w:color w:val="333333"/>
          <w:spacing w:val="-4"/>
          <w:w w:val="110"/>
        </w:rPr>
        <w:t>Validation</w:t>
      </w:r>
      <w:bookmarkEnd w:id="425"/>
    </w:p>
    <w:p w14:paraId="08BEC0B3" w14:textId="77777777" w:rsidR="00A720EB" w:rsidRDefault="0030286B">
      <w:pPr>
        <w:pStyle w:val="a3"/>
        <w:spacing w:before="253" w:line="295" w:lineRule="auto"/>
        <w:ind w:left="124" w:right="126"/>
        <w:jc w:val="both"/>
      </w:pPr>
      <w:r>
        <w:rPr>
          <w:color w:val="333333"/>
          <w:w w:val="110"/>
        </w:rPr>
        <w:t xml:space="preserve">The method validation feature supported </w:t>
      </w:r>
      <w:r>
        <w:rPr>
          <w:color w:val="333333"/>
          <w:spacing w:val="-3"/>
          <w:w w:val="110"/>
        </w:rPr>
        <w:t xml:space="preserve">by </w:t>
      </w:r>
      <w:r>
        <w:rPr>
          <w:color w:val="333333"/>
          <w:w w:val="110"/>
        </w:rPr>
        <w:t xml:space="preserve">Bean </w:t>
      </w:r>
      <w:r>
        <w:rPr>
          <w:color w:val="333333"/>
          <w:spacing w:val="-3"/>
          <w:w w:val="110"/>
        </w:rPr>
        <w:t xml:space="preserve">Validation </w:t>
      </w:r>
      <w:r>
        <w:rPr>
          <w:color w:val="333333"/>
          <w:w w:val="110"/>
        </w:rPr>
        <w:t xml:space="preserve">1.1 is automatically enabled as long as   a JSR-303 implementation (such as Hibernate validator) is on the classpath. This lets bean methods be annotated with </w:t>
      </w:r>
      <w:proofErr w:type="gramStart"/>
      <w:r>
        <w:rPr>
          <w:rFonts w:ascii="MS Gothic"/>
          <w:color w:val="B02045"/>
          <w:w w:val="110"/>
        </w:rPr>
        <w:t>javax.validation</w:t>
      </w:r>
      <w:proofErr w:type="gramEnd"/>
      <w:r>
        <w:rPr>
          <w:rFonts w:ascii="MS Gothic"/>
          <w:color w:val="B02045"/>
          <w:w w:val="110"/>
        </w:rPr>
        <w:t xml:space="preserve"> </w:t>
      </w:r>
      <w:r>
        <w:rPr>
          <w:color w:val="333333"/>
          <w:w w:val="110"/>
        </w:rPr>
        <w:t xml:space="preserve">constraints on their parameters and/or on their return value. Target classes with such annotated methods need to be annotated with the </w:t>
      </w:r>
      <w:r>
        <w:rPr>
          <w:rFonts w:ascii="MS Gothic"/>
          <w:color w:val="B02045"/>
          <w:w w:val="110"/>
        </w:rPr>
        <w:t>@Validated</w:t>
      </w:r>
      <w:r>
        <w:rPr>
          <w:rFonts w:ascii="MS Gothic"/>
          <w:color w:val="B02045"/>
          <w:spacing w:val="-67"/>
          <w:w w:val="110"/>
        </w:rPr>
        <w:t xml:space="preserve"> </w:t>
      </w:r>
      <w:r>
        <w:rPr>
          <w:color w:val="333333"/>
          <w:w w:val="110"/>
        </w:rPr>
        <w:t>annotation at the type level for their methods to be searched for inline constraint</w:t>
      </w:r>
      <w:r>
        <w:rPr>
          <w:color w:val="333333"/>
          <w:spacing w:val="46"/>
          <w:w w:val="110"/>
        </w:rPr>
        <w:t xml:space="preserve"> </w:t>
      </w:r>
      <w:r>
        <w:rPr>
          <w:color w:val="333333"/>
          <w:w w:val="110"/>
        </w:rPr>
        <w:t>annotations.</w:t>
      </w:r>
    </w:p>
    <w:p w14:paraId="18F34D19" w14:textId="77777777" w:rsidR="00A720EB" w:rsidRDefault="0030286B">
      <w:pPr>
        <w:pStyle w:val="a3"/>
        <w:spacing w:before="248" w:line="307" w:lineRule="auto"/>
        <w:ind w:left="124" w:right="129"/>
        <w:jc w:val="both"/>
      </w:pPr>
      <w:r>
        <w:rPr>
          <w:color w:val="333333"/>
          <w:spacing w:val="-4"/>
          <w:w w:val="110"/>
        </w:rPr>
        <w:t xml:space="preserve">For </w:t>
      </w:r>
      <w:r>
        <w:rPr>
          <w:color w:val="333333"/>
          <w:w w:val="110"/>
        </w:rPr>
        <w:t>instance, the following service triggers the validation of the first argument, making sure its size   is between 8 and</w:t>
      </w:r>
      <w:r>
        <w:rPr>
          <w:color w:val="333333"/>
          <w:spacing w:val="9"/>
          <w:w w:val="110"/>
        </w:rPr>
        <w:t xml:space="preserve"> </w:t>
      </w:r>
      <w:r>
        <w:rPr>
          <w:color w:val="333333"/>
          <w:w w:val="110"/>
        </w:rPr>
        <w:t>10:</w:t>
      </w:r>
    </w:p>
    <w:p w14:paraId="48E18927" w14:textId="77777777" w:rsidR="00A720EB" w:rsidRDefault="00E10349">
      <w:pPr>
        <w:pStyle w:val="a3"/>
        <w:spacing w:before="1"/>
        <w:rPr>
          <w:sz w:val="13"/>
        </w:rPr>
      </w:pPr>
      <w:r>
        <w:pict w14:anchorId="7E113CD0">
          <v:group id="_x0000_s3765" style="position:absolute;margin-left:47.85pt;margin-top:9.7pt;width:499.55pt;height:170.15pt;z-index:-15390208;mso-wrap-distance-left:0;mso-wrap-distance-right:0;mso-position-horizontal-relative:page" coordorigin="957,194" coordsize="9991,3403">
            <v:shape id="_x0000_s3768" style="position:absolute;left:964;top:201;width:9976;height:3388" coordorigin="965,201" coordsize="9976,3388" path="m10861,201r-9816,l1014,208r-26,17l971,250r-6,31l965,3509r6,31l988,3566r26,17l1045,3589r9816,l10892,3583r25,-17l10935,3540r6,-31l10941,281r-6,-31l10917,225r-25,-17l10861,201xe" fillcolor="#f5f5f5" stroked="f">
              <v:path arrowok="t"/>
            </v:shape>
            <v:shape id="_x0000_s3767" style="position:absolute;left:964;top:201;width:9976;height:3388" coordorigin="965,201" coordsize="9976,3388" path="m1045,201r9816,l10892,208r25,17l10935,250r6,31l10941,3509r-6,31l10917,3566r-25,17l10861,3589r-9816,l1014,3583r-26,-17l971,3540r-6,-31l965,281r6,-31l988,225r26,-17l1045,201xe" filled="f" strokecolor="#ccc">
              <v:path arrowok="t"/>
            </v:shape>
            <v:shape id="_x0000_s3766" type="#_x0000_t202" style="position:absolute;left:984;top:216;width:9938;height:3358" filled="f" stroked="f">
              <v:textbox inset="0,0,0,0">
                <w:txbxContent>
                  <w:p w14:paraId="2EF16DF5" w14:textId="77777777" w:rsidR="00711A16" w:rsidRDefault="00711A16">
                    <w:pPr>
                      <w:spacing w:before="221" w:line="252" w:lineRule="auto"/>
                      <w:ind w:left="200" w:right="8618"/>
                      <w:rPr>
                        <w:rFonts w:ascii="MS Gothic"/>
                      </w:rPr>
                    </w:pPr>
                    <w:r>
                      <w:rPr>
                        <w:rFonts w:ascii="MS Gothic"/>
                        <w:color w:val="333333"/>
                      </w:rPr>
                      <w:t>@Service @Validated</w:t>
                    </w:r>
                  </w:p>
                  <w:p w14:paraId="7F140E31" w14:textId="77777777" w:rsidR="00711A16" w:rsidRDefault="00711A16">
                    <w:pPr>
                      <w:spacing w:line="280" w:lineRule="exact"/>
                      <w:ind w:left="200"/>
                      <w:rPr>
                        <w:rFonts w:ascii="MS Gothic"/>
                      </w:rPr>
                    </w:pPr>
                    <w:r>
                      <w:rPr>
                        <w:rFonts w:ascii="MS Gothic"/>
                        <w:color w:val="333333"/>
                      </w:rPr>
                      <w:t>public class MyBean {</w:t>
                    </w:r>
                  </w:p>
                  <w:p w14:paraId="3F7164DD" w14:textId="77777777" w:rsidR="00711A16" w:rsidRDefault="00711A16">
                    <w:pPr>
                      <w:rPr>
                        <w:rFonts w:ascii="MS Gothic"/>
                        <w:sz w:val="24"/>
                      </w:rPr>
                    </w:pPr>
                  </w:p>
                  <w:p w14:paraId="7C373DE2" w14:textId="77777777" w:rsidR="00711A16" w:rsidRDefault="00711A16">
                    <w:pPr>
                      <w:spacing w:line="252" w:lineRule="auto"/>
                      <w:ind w:left="1520" w:right="1358" w:hanging="880"/>
                      <w:rPr>
                        <w:rFonts w:ascii="MS Gothic"/>
                      </w:rPr>
                    </w:pPr>
                    <w:r>
                      <w:rPr>
                        <w:rFonts w:ascii="MS Gothic"/>
                        <w:color w:val="333333"/>
                      </w:rPr>
                      <w:t xml:space="preserve">public Archive </w:t>
                    </w:r>
                    <w:proofErr w:type="gramStart"/>
                    <w:r>
                      <w:rPr>
                        <w:rFonts w:ascii="MS Gothic"/>
                        <w:color w:val="333333"/>
                      </w:rPr>
                      <w:t>findByCodeAndAuthor(</w:t>
                    </w:r>
                    <w:proofErr w:type="gramEnd"/>
                    <w:r>
                      <w:rPr>
                        <w:rFonts w:ascii="MS Gothic"/>
                        <w:color w:val="333333"/>
                      </w:rPr>
                      <w:t>@Size(min = 8, max = 10) String code, Author author) {</w:t>
                    </w:r>
                  </w:p>
                  <w:p w14:paraId="6E4E11DE" w14:textId="77777777" w:rsidR="00711A16" w:rsidRDefault="00711A16">
                    <w:pPr>
                      <w:spacing w:line="280" w:lineRule="exact"/>
                      <w:ind w:left="1080"/>
                      <w:rPr>
                        <w:rFonts w:ascii="MS Gothic"/>
                      </w:rPr>
                    </w:pPr>
                    <w:r>
                      <w:rPr>
                        <w:rFonts w:ascii="MS Gothic"/>
                        <w:color w:val="333333"/>
                      </w:rPr>
                      <w:t>...</w:t>
                    </w:r>
                  </w:p>
                  <w:p w14:paraId="44105AC6" w14:textId="77777777" w:rsidR="00711A16" w:rsidRDefault="00711A16">
                    <w:pPr>
                      <w:spacing w:before="13"/>
                      <w:ind w:left="640"/>
                      <w:rPr>
                        <w:rFonts w:ascii="MS Gothic"/>
                      </w:rPr>
                    </w:pPr>
                    <w:r>
                      <w:rPr>
                        <w:rFonts w:ascii="MS Gothic"/>
                        <w:color w:val="333333"/>
                      </w:rPr>
                      <w:t>}</w:t>
                    </w:r>
                  </w:p>
                  <w:p w14:paraId="427731C6" w14:textId="77777777" w:rsidR="00711A16" w:rsidRDefault="00711A16">
                    <w:pPr>
                      <w:rPr>
                        <w:rFonts w:ascii="MS Gothic"/>
                        <w:sz w:val="24"/>
                      </w:rPr>
                    </w:pPr>
                  </w:p>
                  <w:p w14:paraId="71BD5C95" w14:textId="77777777" w:rsidR="00711A16" w:rsidRDefault="00711A16">
                    <w:pPr>
                      <w:ind w:left="200"/>
                      <w:rPr>
                        <w:rFonts w:ascii="MS Gothic"/>
                      </w:rPr>
                    </w:pPr>
                    <w:r>
                      <w:rPr>
                        <w:rFonts w:ascii="MS Gothic"/>
                        <w:color w:val="333333"/>
                      </w:rPr>
                      <w:t>}</w:t>
                    </w:r>
                  </w:p>
                </w:txbxContent>
              </v:textbox>
            </v:shape>
            <w10:wrap type="topAndBottom" anchorx="page"/>
          </v:group>
        </w:pict>
      </w:r>
    </w:p>
    <w:p w14:paraId="0F578B8A" w14:textId="77777777" w:rsidR="00A720EB" w:rsidRDefault="00A720EB">
      <w:pPr>
        <w:pStyle w:val="a3"/>
        <w:spacing w:before="11"/>
        <w:rPr>
          <w:sz w:val="16"/>
        </w:rPr>
      </w:pPr>
    </w:p>
    <w:p w14:paraId="2C90F5F7" w14:textId="77777777" w:rsidR="00A720EB" w:rsidRDefault="0030286B">
      <w:pPr>
        <w:pStyle w:val="2"/>
        <w:numPr>
          <w:ilvl w:val="1"/>
          <w:numId w:val="68"/>
        </w:numPr>
        <w:tabs>
          <w:tab w:val="left" w:pos="1034"/>
        </w:tabs>
        <w:spacing w:before="107"/>
        <w:ind w:left="1033" w:hanging="910"/>
      </w:pPr>
      <w:bookmarkStart w:id="426" w:name="4.18._Sending_Email"/>
      <w:bookmarkStart w:id="427" w:name="_Toc54423797"/>
      <w:bookmarkEnd w:id="426"/>
      <w:r>
        <w:rPr>
          <w:color w:val="333333"/>
          <w:w w:val="110"/>
        </w:rPr>
        <w:t>Sending</w:t>
      </w:r>
      <w:r>
        <w:rPr>
          <w:color w:val="333333"/>
          <w:spacing w:val="-8"/>
          <w:w w:val="110"/>
        </w:rPr>
        <w:t xml:space="preserve"> </w:t>
      </w:r>
      <w:r>
        <w:rPr>
          <w:color w:val="333333"/>
          <w:w w:val="110"/>
        </w:rPr>
        <w:t>Email</w:t>
      </w:r>
      <w:bookmarkEnd w:id="427"/>
    </w:p>
    <w:p w14:paraId="5038CD7C" w14:textId="77777777" w:rsidR="00A720EB" w:rsidRDefault="0030286B">
      <w:pPr>
        <w:pStyle w:val="a3"/>
        <w:spacing w:before="242"/>
        <w:ind w:left="124"/>
        <w:rPr>
          <w:rFonts w:ascii="MS Gothic"/>
        </w:rPr>
      </w:pPr>
      <w:r>
        <w:rPr>
          <w:color w:val="333333"/>
          <w:w w:val="110"/>
        </w:rPr>
        <w:t xml:space="preserve">The Spring Framework provides an abstraction for sending email by using the </w:t>
      </w:r>
      <w:r>
        <w:rPr>
          <w:rFonts w:ascii="MS Gothic"/>
          <w:color w:val="B02045"/>
          <w:w w:val="110"/>
        </w:rPr>
        <w:t>JavaMailSender</w:t>
      </w:r>
    </w:p>
    <w:p w14:paraId="2E2FF633" w14:textId="77777777" w:rsidR="00A720EB" w:rsidRDefault="0030286B">
      <w:pPr>
        <w:pStyle w:val="a3"/>
        <w:spacing w:before="57"/>
        <w:ind w:left="124"/>
      </w:pPr>
      <w:r>
        <w:rPr>
          <w:color w:val="333333"/>
          <w:w w:val="110"/>
        </w:rPr>
        <w:t>interface, and Spring Boot provides auto-configuration for it as well as a starter module.</w:t>
      </w:r>
    </w:p>
    <w:p w14:paraId="0104C871" w14:textId="77777777" w:rsidR="00A720EB" w:rsidRDefault="00A720EB">
      <w:pPr>
        <w:pStyle w:val="a3"/>
        <w:spacing w:before="3"/>
        <w:rPr>
          <w:sz w:val="33"/>
        </w:rPr>
      </w:pPr>
    </w:p>
    <w:p w14:paraId="2F8A3639" w14:textId="77777777" w:rsidR="00A720EB" w:rsidRDefault="00E10349">
      <w:pPr>
        <w:pStyle w:val="a3"/>
        <w:ind w:left="1564"/>
      </w:pPr>
      <w:r>
        <w:pict w14:anchorId="7657040D">
          <v:shape id="_x0000_s3764" type="#_x0000_t202" style="position:absolute;left:0;text-align:left;margin-left:120.25pt;margin-top:13.7pt;width:76.15pt;height:14.65pt;z-index:-15389696;mso-wrap-distance-left:0;mso-wrap-distance-right:0;mso-position-horizontal-relative:page" filled="f" stroked="f">
            <v:textbox inset="0,0,0,0">
              <w:txbxContent>
                <w:p w14:paraId="71992A4C" w14:textId="77777777" w:rsidR="00711A16" w:rsidRDefault="00711A16">
                  <w:pPr>
                    <w:pStyle w:val="a3"/>
                    <w:spacing w:before="15"/>
                  </w:pPr>
                  <w:r>
                    <w:rPr>
                      <w:rFonts w:ascii="MS Gothic"/>
                      <w:color w:val="B02045"/>
                    </w:rPr>
                    <w:t>JavaMailSender</w:t>
                  </w:r>
                  <w:r>
                    <w:rPr>
                      <w:color w:val="333333"/>
                    </w:rPr>
                    <w:t>.</w:t>
                  </w:r>
                </w:p>
              </w:txbxContent>
            </v:textbox>
            <w10:wrap type="topAndBottom" anchorx="page"/>
          </v:shape>
        </w:pict>
      </w:r>
      <w:r>
        <w:pict w14:anchorId="034356BF">
          <v:line id="_x0000_s3763" style="position:absolute;left:0;text-align:left;z-index:16068096;mso-position-horizontal-relative:page" from="108.25pt,-6pt" to="108.25pt,33.55pt" strokecolor="#ededed" strokeweight=".5pt">
            <w10:wrap anchorx="page"/>
          </v:line>
        </w:pict>
      </w:r>
      <w:r w:rsidR="0030286B">
        <w:rPr>
          <w:noProof/>
        </w:rPr>
        <w:drawing>
          <wp:anchor distT="0" distB="0" distL="0" distR="0" simplePos="0" relativeHeight="16068608" behindDoc="0" locked="0" layoutInCell="1" allowOverlap="1" wp14:anchorId="49637FC7" wp14:editId="0929DD73">
            <wp:simplePos x="0" y="0"/>
            <wp:positionH relativeFrom="page">
              <wp:posOffset>888949</wp:posOffset>
            </wp:positionH>
            <wp:positionV relativeFrom="paragraph">
              <wp:posOffset>22771</wp:posOffset>
            </wp:positionV>
            <wp:extent cx="209550" cy="304800"/>
            <wp:effectExtent l="0" t="0" r="0" b="0"/>
            <wp:wrapNone/>
            <wp:docPr id="4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See the </w:t>
      </w:r>
      <w:hyperlink r:id="rId298" w:anchor="mail">
        <w:r w:rsidR="0030286B">
          <w:rPr>
            <w:color w:val="418BCA"/>
            <w:w w:val="110"/>
          </w:rPr>
          <w:t>reference documentation</w:t>
        </w:r>
      </w:hyperlink>
      <w:r w:rsidR="0030286B">
        <w:rPr>
          <w:color w:val="418BCA"/>
          <w:w w:val="110"/>
        </w:rPr>
        <w:t xml:space="preserve"> </w:t>
      </w:r>
      <w:r w:rsidR="0030286B">
        <w:rPr>
          <w:color w:val="333333"/>
          <w:w w:val="110"/>
        </w:rPr>
        <w:t>for a detailed explanation of how you can use</w:t>
      </w:r>
    </w:p>
    <w:p w14:paraId="644EF1C3" w14:textId="77777777" w:rsidR="00A720EB" w:rsidRDefault="00A720EB">
      <w:pPr>
        <w:sectPr w:rsidR="00A720EB">
          <w:pgSz w:w="11910" w:h="16840"/>
          <w:pgMar w:top="620" w:right="840" w:bottom="520" w:left="840" w:header="0" w:footer="323" w:gutter="0"/>
          <w:cols w:space="720"/>
        </w:sectPr>
      </w:pPr>
    </w:p>
    <w:p w14:paraId="439DAF00" w14:textId="77777777" w:rsidR="00A720EB" w:rsidRDefault="0030286B">
      <w:pPr>
        <w:pStyle w:val="a3"/>
        <w:spacing w:before="96" w:line="280" w:lineRule="auto"/>
        <w:ind w:left="124" w:right="123"/>
        <w:jc w:val="both"/>
      </w:pPr>
      <w:r>
        <w:rPr>
          <w:color w:val="333333"/>
          <w:w w:val="110"/>
        </w:rPr>
        <w:lastRenderedPageBreak/>
        <w:t xml:space="preserve">If </w:t>
      </w:r>
      <w:proofErr w:type="gramStart"/>
      <w:r>
        <w:rPr>
          <w:rFonts w:ascii="MS Gothic"/>
          <w:color w:val="B02045"/>
          <w:w w:val="110"/>
        </w:rPr>
        <w:t>spring.mail</w:t>
      </w:r>
      <w:proofErr w:type="gramEnd"/>
      <w:r>
        <w:rPr>
          <w:rFonts w:ascii="MS Gothic"/>
          <w:color w:val="B02045"/>
          <w:w w:val="110"/>
        </w:rPr>
        <w:t xml:space="preserve">.host </w:t>
      </w:r>
      <w:r>
        <w:rPr>
          <w:color w:val="333333"/>
          <w:w w:val="110"/>
        </w:rPr>
        <w:t xml:space="preserve">and the relevant libraries (as defined </w:t>
      </w:r>
      <w:r>
        <w:rPr>
          <w:color w:val="333333"/>
          <w:spacing w:val="-3"/>
          <w:w w:val="110"/>
        </w:rPr>
        <w:t xml:space="preserve">by </w:t>
      </w:r>
      <w:r>
        <w:rPr>
          <w:rFonts w:ascii="MS Gothic"/>
          <w:color w:val="B02045"/>
          <w:w w:val="110"/>
        </w:rPr>
        <w:t>spring-boot-starter-mail</w:t>
      </w:r>
      <w:r>
        <w:rPr>
          <w:color w:val="333333"/>
          <w:w w:val="110"/>
        </w:rPr>
        <w:t xml:space="preserve">) are available, a default </w:t>
      </w:r>
      <w:r>
        <w:rPr>
          <w:rFonts w:ascii="MS Gothic"/>
          <w:color w:val="B02045"/>
          <w:w w:val="110"/>
        </w:rPr>
        <w:t xml:space="preserve">JavaMailSender </w:t>
      </w:r>
      <w:r>
        <w:rPr>
          <w:color w:val="333333"/>
          <w:w w:val="110"/>
        </w:rPr>
        <w:t xml:space="preserve">is created if none exists. The sender can be further customized </w:t>
      </w:r>
      <w:r>
        <w:rPr>
          <w:color w:val="333333"/>
          <w:spacing w:val="-3"/>
          <w:w w:val="110"/>
        </w:rPr>
        <w:t>by</w:t>
      </w:r>
      <w:r>
        <w:rPr>
          <w:color w:val="333333"/>
          <w:spacing w:val="-6"/>
          <w:w w:val="110"/>
        </w:rPr>
        <w:t xml:space="preserve"> </w:t>
      </w:r>
      <w:r>
        <w:rPr>
          <w:color w:val="333333"/>
          <w:w w:val="110"/>
        </w:rPr>
        <w:t>configuration</w:t>
      </w:r>
      <w:r>
        <w:rPr>
          <w:color w:val="333333"/>
          <w:spacing w:val="-5"/>
          <w:w w:val="110"/>
        </w:rPr>
        <w:t xml:space="preserve"> </w:t>
      </w:r>
      <w:r>
        <w:rPr>
          <w:color w:val="333333"/>
          <w:w w:val="110"/>
        </w:rPr>
        <w:t>items</w:t>
      </w:r>
      <w:r>
        <w:rPr>
          <w:color w:val="333333"/>
          <w:spacing w:val="-5"/>
          <w:w w:val="110"/>
        </w:rPr>
        <w:t xml:space="preserve"> </w:t>
      </w:r>
      <w:r>
        <w:rPr>
          <w:color w:val="333333"/>
          <w:w w:val="110"/>
        </w:rPr>
        <w:t>from</w:t>
      </w:r>
      <w:r>
        <w:rPr>
          <w:color w:val="333333"/>
          <w:spacing w:val="-4"/>
          <w:w w:val="110"/>
        </w:rPr>
        <w:t xml:space="preserve"> </w:t>
      </w:r>
      <w:r>
        <w:rPr>
          <w:color w:val="333333"/>
          <w:w w:val="110"/>
        </w:rPr>
        <w:t>the</w:t>
      </w:r>
      <w:r>
        <w:rPr>
          <w:color w:val="333333"/>
          <w:spacing w:val="-3"/>
          <w:w w:val="110"/>
        </w:rPr>
        <w:t xml:space="preserve"> </w:t>
      </w:r>
      <w:proofErr w:type="gramStart"/>
      <w:r>
        <w:rPr>
          <w:rFonts w:ascii="MS Gothic"/>
          <w:color w:val="B02045"/>
          <w:w w:val="110"/>
        </w:rPr>
        <w:t>spring.mail</w:t>
      </w:r>
      <w:proofErr w:type="gramEnd"/>
      <w:r>
        <w:rPr>
          <w:rFonts w:ascii="MS Gothic"/>
          <w:color w:val="B02045"/>
          <w:spacing w:val="-69"/>
          <w:w w:val="110"/>
        </w:rPr>
        <w:t xml:space="preserve"> </w:t>
      </w:r>
      <w:r>
        <w:rPr>
          <w:color w:val="333333"/>
          <w:w w:val="110"/>
        </w:rPr>
        <w:t>namespace.</w:t>
      </w:r>
      <w:r>
        <w:rPr>
          <w:color w:val="333333"/>
          <w:spacing w:val="-5"/>
          <w:w w:val="110"/>
        </w:rPr>
        <w:t xml:space="preserve"> </w:t>
      </w:r>
      <w:r>
        <w:rPr>
          <w:color w:val="333333"/>
          <w:w w:val="110"/>
        </w:rPr>
        <w:t>See</w:t>
      </w:r>
      <w:r>
        <w:rPr>
          <w:color w:val="333333"/>
          <w:spacing w:val="-5"/>
          <w:w w:val="110"/>
        </w:rPr>
        <w:t xml:space="preserve"> </w:t>
      </w:r>
      <w:hyperlink r:id="rId299">
        <w:r>
          <w:rPr>
            <w:rFonts w:ascii="MS Gothic"/>
            <w:color w:val="B02045"/>
            <w:w w:val="110"/>
          </w:rPr>
          <w:t>MailProperties</w:t>
        </w:r>
        <w:r>
          <w:rPr>
            <w:rFonts w:ascii="MS Gothic"/>
            <w:color w:val="B02045"/>
            <w:spacing w:val="-69"/>
            <w:w w:val="110"/>
          </w:rPr>
          <w:t xml:space="preserve"> </w:t>
        </w:r>
      </w:hyperlink>
      <w:r>
        <w:rPr>
          <w:color w:val="333333"/>
          <w:w w:val="110"/>
        </w:rPr>
        <w:t>for</w:t>
      </w:r>
      <w:r>
        <w:rPr>
          <w:color w:val="333333"/>
          <w:spacing w:val="-4"/>
          <w:w w:val="110"/>
        </w:rPr>
        <w:t xml:space="preserve"> </w:t>
      </w:r>
      <w:r>
        <w:rPr>
          <w:color w:val="333333"/>
          <w:w w:val="110"/>
        </w:rPr>
        <w:t>more</w:t>
      </w:r>
      <w:r>
        <w:rPr>
          <w:color w:val="333333"/>
          <w:spacing w:val="-6"/>
          <w:w w:val="110"/>
        </w:rPr>
        <w:t xml:space="preserve"> </w:t>
      </w:r>
      <w:r>
        <w:rPr>
          <w:color w:val="333333"/>
          <w:w w:val="110"/>
        </w:rPr>
        <w:t>details.</w:t>
      </w:r>
    </w:p>
    <w:p w14:paraId="134F7D67" w14:textId="77777777" w:rsidR="00A720EB" w:rsidRDefault="00A720EB">
      <w:pPr>
        <w:pStyle w:val="a3"/>
        <w:spacing w:before="7"/>
      </w:pPr>
    </w:p>
    <w:p w14:paraId="6B8A8932" w14:textId="77777777" w:rsidR="00A720EB" w:rsidRDefault="0030286B">
      <w:pPr>
        <w:pStyle w:val="a3"/>
        <w:spacing w:line="307" w:lineRule="auto"/>
        <w:ind w:left="124" w:right="132"/>
        <w:jc w:val="both"/>
      </w:pPr>
      <w:r>
        <w:rPr>
          <w:color w:val="333333"/>
          <w:w w:val="110"/>
        </w:rPr>
        <w:t>In particular, certain default timeout values are infinite, and you may want to change that to avoid having</w:t>
      </w:r>
      <w:r>
        <w:rPr>
          <w:color w:val="333333"/>
          <w:spacing w:val="6"/>
          <w:w w:val="110"/>
        </w:rPr>
        <w:t xml:space="preserve"> </w:t>
      </w:r>
      <w:r>
        <w:rPr>
          <w:color w:val="333333"/>
          <w:w w:val="110"/>
        </w:rPr>
        <w:t>a</w:t>
      </w:r>
      <w:r>
        <w:rPr>
          <w:color w:val="333333"/>
          <w:spacing w:val="6"/>
          <w:w w:val="110"/>
        </w:rPr>
        <w:t xml:space="preserve"> </w:t>
      </w:r>
      <w:r>
        <w:rPr>
          <w:color w:val="333333"/>
          <w:w w:val="110"/>
        </w:rPr>
        <w:t>thread</w:t>
      </w:r>
      <w:r>
        <w:rPr>
          <w:color w:val="333333"/>
          <w:spacing w:val="8"/>
          <w:w w:val="110"/>
        </w:rPr>
        <w:t xml:space="preserve"> </w:t>
      </w:r>
      <w:r>
        <w:rPr>
          <w:color w:val="333333"/>
          <w:w w:val="110"/>
        </w:rPr>
        <w:t>blocked</w:t>
      </w:r>
      <w:r>
        <w:rPr>
          <w:color w:val="333333"/>
          <w:spacing w:val="7"/>
          <w:w w:val="110"/>
        </w:rPr>
        <w:t xml:space="preserve"> </w:t>
      </w:r>
      <w:r>
        <w:rPr>
          <w:color w:val="333333"/>
          <w:spacing w:val="-3"/>
          <w:w w:val="110"/>
        </w:rPr>
        <w:t>by</w:t>
      </w:r>
      <w:r>
        <w:rPr>
          <w:color w:val="333333"/>
          <w:spacing w:val="6"/>
          <w:w w:val="110"/>
        </w:rPr>
        <w:t xml:space="preserve"> </w:t>
      </w:r>
      <w:r>
        <w:rPr>
          <w:color w:val="333333"/>
          <w:w w:val="110"/>
        </w:rPr>
        <w:t>an</w:t>
      </w:r>
      <w:r>
        <w:rPr>
          <w:color w:val="333333"/>
          <w:spacing w:val="7"/>
          <w:w w:val="110"/>
        </w:rPr>
        <w:t xml:space="preserve"> </w:t>
      </w:r>
      <w:r>
        <w:rPr>
          <w:color w:val="333333"/>
          <w:w w:val="110"/>
        </w:rPr>
        <w:t>unresponsive</w:t>
      </w:r>
      <w:r>
        <w:rPr>
          <w:color w:val="333333"/>
          <w:spacing w:val="6"/>
          <w:w w:val="110"/>
        </w:rPr>
        <w:t xml:space="preserve"> </w:t>
      </w:r>
      <w:r>
        <w:rPr>
          <w:color w:val="333333"/>
          <w:w w:val="110"/>
        </w:rPr>
        <w:t>mail</w:t>
      </w:r>
      <w:r>
        <w:rPr>
          <w:color w:val="333333"/>
          <w:spacing w:val="6"/>
          <w:w w:val="110"/>
        </w:rPr>
        <w:t xml:space="preserve"> </w:t>
      </w:r>
      <w:r>
        <w:rPr>
          <w:color w:val="333333"/>
          <w:w w:val="110"/>
        </w:rPr>
        <w:t>server,</w:t>
      </w:r>
      <w:r>
        <w:rPr>
          <w:color w:val="333333"/>
          <w:spacing w:val="8"/>
          <w:w w:val="110"/>
        </w:rPr>
        <w:t xml:space="preserve"> </w:t>
      </w:r>
      <w:r>
        <w:rPr>
          <w:color w:val="333333"/>
          <w:w w:val="110"/>
        </w:rPr>
        <w:t>as</w:t>
      </w:r>
      <w:r>
        <w:rPr>
          <w:color w:val="333333"/>
          <w:spacing w:val="6"/>
          <w:w w:val="110"/>
        </w:rPr>
        <w:t xml:space="preserve"> </w:t>
      </w:r>
      <w:r>
        <w:rPr>
          <w:color w:val="333333"/>
          <w:w w:val="110"/>
        </w:rPr>
        <w:t>shown</w:t>
      </w:r>
      <w:r>
        <w:rPr>
          <w:color w:val="333333"/>
          <w:spacing w:val="7"/>
          <w:w w:val="110"/>
        </w:rPr>
        <w:t xml:space="preserve"> </w:t>
      </w:r>
      <w:r>
        <w:rPr>
          <w:color w:val="333333"/>
          <w:w w:val="110"/>
        </w:rPr>
        <w:t>in</w:t>
      </w:r>
      <w:r>
        <w:rPr>
          <w:color w:val="333333"/>
          <w:spacing w:val="7"/>
          <w:w w:val="110"/>
        </w:rPr>
        <w:t xml:space="preserve"> </w:t>
      </w:r>
      <w:r>
        <w:rPr>
          <w:color w:val="333333"/>
          <w:w w:val="110"/>
        </w:rPr>
        <w:t>the</w:t>
      </w:r>
      <w:r>
        <w:rPr>
          <w:color w:val="333333"/>
          <w:spacing w:val="7"/>
          <w:w w:val="110"/>
        </w:rPr>
        <w:t xml:space="preserve"> </w:t>
      </w:r>
      <w:r>
        <w:rPr>
          <w:color w:val="333333"/>
          <w:w w:val="110"/>
        </w:rPr>
        <w:t>following</w:t>
      </w:r>
      <w:r>
        <w:rPr>
          <w:color w:val="333333"/>
          <w:spacing w:val="7"/>
          <w:w w:val="110"/>
        </w:rPr>
        <w:t xml:space="preserve"> </w:t>
      </w:r>
      <w:r>
        <w:rPr>
          <w:color w:val="333333"/>
          <w:w w:val="110"/>
        </w:rPr>
        <w:t>example:</w:t>
      </w:r>
    </w:p>
    <w:p w14:paraId="3CBE2685" w14:textId="77777777" w:rsidR="00A720EB" w:rsidRDefault="00E10349">
      <w:pPr>
        <w:pStyle w:val="a3"/>
        <w:spacing w:before="1"/>
        <w:rPr>
          <w:sz w:val="13"/>
        </w:rPr>
      </w:pPr>
      <w:r>
        <w:pict w14:anchorId="26213B54">
          <v:group id="_x0000_s3759" style="position:absolute;margin-left:47.85pt;margin-top:9.7pt;width:499.55pt;height:67pt;z-index:-15388160;mso-wrap-distance-left:0;mso-wrap-distance-right:0;mso-position-horizontal-relative:page" coordorigin="957,194" coordsize="9991,1340">
            <v:shape id="_x0000_s3762" style="position:absolute;left:964;top:201;width:9976;height:1325" coordorigin="965,201" coordsize="9976,1325" path="m10861,201r-9816,l1014,208r-26,17l971,250r-6,31l965,1446r6,31l988,1502r26,17l1045,1526r9816,l10892,1519r25,-17l10935,1477r6,-31l10941,281r-6,-31l10917,225r-25,-17l10861,201xe" fillcolor="#f5f5f5" stroked="f">
              <v:path arrowok="t"/>
            </v:shape>
            <v:shape id="_x0000_s3761" style="position:absolute;left:964;top:201;width:9976;height:1325" coordorigin="965,201" coordsize="9976,1325" path="m1045,201r9816,l10892,208r25,17l10935,250r6,31l10941,1446r-6,31l10917,1502r-25,17l10861,1526r-9816,l1014,1519r-26,-17l971,1477r-6,-31l965,281r6,-31l988,225r26,-17l1045,201xe" filled="f" strokecolor="#ccc">
              <v:path arrowok="t"/>
            </v:shape>
            <v:shape id="_x0000_s3760" type="#_x0000_t202" style="position:absolute;left:984;top:216;width:9938;height:1294" filled="f" stroked="f">
              <v:textbox inset="0,0,0,0">
                <w:txbxContent>
                  <w:p w14:paraId="2DE6C3C3" w14:textId="77777777" w:rsidR="00711A16" w:rsidRDefault="00711A16">
                    <w:pPr>
                      <w:spacing w:before="221" w:line="252" w:lineRule="auto"/>
                      <w:ind w:left="200" w:right="3668"/>
                      <w:rPr>
                        <w:rFonts w:ascii="MS Gothic"/>
                      </w:rPr>
                    </w:pPr>
                    <w:proofErr w:type="gramStart"/>
                    <w:r>
                      <w:rPr>
                        <w:rFonts w:ascii="MS Gothic"/>
                        <w:color w:val="333333"/>
                      </w:rPr>
                      <w:t>spring.mail</w:t>
                    </w:r>
                    <w:proofErr w:type="gramEnd"/>
                    <w:r>
                      <w:rPr>
                        <w:rFonts w:ascii="MS Gothic"/>
                        <w:color w:val="333333"/>
                      </w:rPr>
                      <w:t>.properties.mail.smtp.connectiontimeout=5000 spring.mail.properties.mail.smtp.timeout=3000 spring.mail.properties.mail.smtp.writetimeout=5000</w:t>
                    </w:r>
                  </w:p>
                </w:txbxContent>
              </v:textbox>
            </v:shape>
            <w10:wrap type="topAndBottom" anchorx="page"/>
          </v:group>
        </w:pict>
      </w:r>
    </w:p>
    <w:p w14:paraId="65D890C2" w14:textId="77777777" w:rsidR="00A720EB" w:rsidRDefault="00A720EB">
      <w:pPr>
        <w:pStyle w:val="a3"/>
        <w:spacing w:before="11"/>
        <w:rPr>
          <w:sz w:val="9"/>
        </w:rPr>
      </w:pPr>
    </w:p>
    <w:p w14:paraId="40365784" w14:textId="77777777" w:rsidR="00A720EB" w:rsidRDefault="0030286B">
      <w:pPr>
        <w:pStyle w:val="a3"/>
        <w:spacing w:before="115"/>
        <w:ind w:left="124"/>
      </w:pPr>
      <w:r>
        <w:rPr>
          <w:color w:val="333333"/>
          <w:w w:val="110"/>
        </w:rPr>
        <w:t xml:space="preserve">It is also possible to configure a </w:t>
      </w:r>
      <w:r>
        <w:rPr>
          <w:rFonts w:ascii="MS Gothic"/>
          <w:color w:val="B02045"/>
          <w:w w:val="110"/>
        </w:rPr>
        <w:t>JavaMailSender</w:t>
      </w:r>
      <w:r>
        <w:rPr>
          <w:rFonts w:ascii="MS Gothic"/>
          <w:color w:val="B02045"/>
          <w:spacing w:val="-65"/>
          <w:w w:val="110"/>
        </w:rPr>
        <w:t xml:space="preserve"> </w:t>
      </w:r>
      <w:r>
        <w:rPr>
          <w:color w:val="333333"/>
          <w:w w:val="110"/>
        </w:rPr>
        <w:t xml:space="preserve">with an existing </w:t>
      </w:r>
      <w:r>
        <w:rPr>
          <w:rFonts w:ascii="MS Gothic"/>
          <w:color w:val="B02045"/>
          <w:w w:val="110"/>
        </w:rPr>
        <w:t>Session</w:t>
      </w:r>
      <w:r>
        <w:rPr>
          <w:rFonts w:ascii="MS Gothic"/>
          <w:color w:val="B02045"/>
          <w:spacing w:val="-66"/>
          <w:w w:val="110"/>
        </w:rPr>
        <w:t xml:space="preserve"> </w:t>
      </w:r>
      <w:r>
        <w:rPr>
          <w:color w:val="333333"/>
          <w:w w:val="110"/>
        </w:rPr>
        <w:t>from JNDI:</w:t>
      </w:r>
    </w:p>
    <w:p w14:paraId="7FC83226" w14:textId="77777777" w:rsidR="00A720EB" w:rsidRDefault="00E10349">
      <w:pPr>
        <w:pStyle w:val="a3"/>
        <w:spacing w:before="11"/>
        <w:rPr>
          <w:sz w:val="17"/>
        </w:rPr>
      </w:pPr>
      <w:r>
        <w:pict w14:anchorId="63EDC1FB">
          <v:group id="_x0000_s3755" style="position:absolute;margin-left:47.85pt;margin-top:12.55pt;width:499.55pt;height:37.5pt;z-index:-15387648;mso-wrap-distance-left:0;mso-wrap-distance-right:0;mso-position-horizontal-relative:page" coordorigin="957,251" coordsize="9991,750">
            <v:shape id="_x0000_s3758" style="position:absolute;left:964;top:258;width:9976;height:735" coordorigin="965,258" coordsize="9976,735" path="m10861,258r-9816,l1014,264r-26,17l971,307r-6,31l965,913r6,31l988,969r26,18l1045,993r9816,l10892,987r25,-18l10935,944r6,-31l10941,338r-6,-31l10917,281r-25,-17l10861,258xe" fillcolor="#f5f5f5" stroked="f">
              <v:path arrowok="t"/>
            </v:shape>
            <v:shape id="_x0000_s3757" style="position:absolute;left:964;top:258;width:9976;height:735" coordorigin="965,258" coordsize="9976,735" path="m1045,258r9816,l10892,264r25,17l10935,307r6,31l10941,913r-6,31l10917,969r-25,18l10861,993r-9816,l1014,987,988,969,971,944r-6,-31l965,338r6,-31l988,281r26,-17l1045,258xe" filled="f" strokecolor="#ccc">
              <v:path arrowok="t"/>
            </v:shape>
            <v:shape id="_x0000_s3756" type="#_x0000_t202" style="position:absolute;left:984;top:273;width:9938;height:704" filled="f" stroked="f">
              <v:textbox inset="0,0,0,0">
                <w:txbxContent>
                  <w:p w14:paraId="19285917" w14:textId="77777777" w:rsidR="00711A16" w:rsidRDefault="00711A16">
                    <w:pPr>
                      <w:spacing w:before="221"/>
                      <w:ind w:left="200"/>
                      <w:rPr>
                        <w:rFonts w:ascii="MS Gothic"/>
                      </w:rPr>
                    </w:pPr>
                    <w:proofErr w:type="gramStart"/>
                    <w:r>
                      <w:rPr>
                        <w:rFonts w:ascii="MS Gothic"/>
                        <w:color w:val="333333"/>
                      </w:rPr>
                      <w:t>spring.mail</w:t>
                    </w:r>
                    <w:proofErr w:type="gramEnd"/>
                    <w:r>
                      <w:rPr>
                        <w:rFonts w:ascii="MS Gothic"/>
                        <w:color w:val="333333"/>
                      </w:rPr>
                      <w:t>.jndi-name=mail/Session</w:t>
                    </w:r>
                  </w:p>
                </w:txbxContent>
              </v:textbox>
            </v:shape>
            <w10:wrap type="topAndBottom" anchorx="page"/>
          </v:group>
        </w:pict>
      </w:r>
    </w:p>
    <w:p w14:paraId="3E38DBC8" w14:textId="77777777" w:rsidR="00A720EB" w:rsidRDefault="00A720EB">
      <w:pPr>
        <w:pStyle w:val="a3"/>
        <w:spacing w:before="11"/>
        <w:rPr>
          <w:sz w:val="9"/>
        </w:rPr>
      </w:pPr>
    </w:p>
    <w:p w14:paraId="26546ACA" w14:textId="77777777" w:rsidR="00A720EB" w:rsidRDefault="0030286B">
      <w:pPr>
        <w:pStyle w:val="a3"/>
        <w:spacing w:before="115"/>
        <w:ind w:left="124"/>
        <w:jc w:val="both"/>
      </w:pPr>
      <w:r>
        <w:rPr>
          <w:color w:val="333333"/>
          <w:w w:val="110"/>
        </w:rPr>
        <w:t xml:space="preserve">When a </w:t>
      </w:r>
      <w:r>
        <w:rPr>
          <w:rFonts w:ascii="MS Gothic"/>
          <w:color w:val="B02045"/>
          <w:w w:val="110"/>
        </w:rPr>
        <w:t>jndi-name</w:t>
      </w:r>
      <w:r>
        <w:rPr>
          <w:rFonts w:ascii="MS Gothic"/>
          <w:color w:val="B02045"/>
          <w:spacing w:val="-58"/>
          <w:w w:val="110"/>
        </w:rPr>
        <w:t xml:space="preserve"> </w:t>
      </w:r>
      <w:r>
        <w:rPr>
          <w:color w:val="333333"/>
          <w:w w:val="110"/>
        </w:rPr>
        <w:t>is set, it takes precedence over all other Session-related settings.</w:t>
      </w:r>
    </w:p>
    <w:p w14:paraId="0F9186C7" w14:textId="77777777" w:rsidR="00A720EB" w:rsidRDefault="00A720EB">
      <w:pPr>
        <w:pStyle w:val="a3"/>
        <w:spacing w:before="8"/>
        <w:rPr>
          <w:sz w:val="30"/>
        </w:rPr>
      </w:pPr>
    </w:p>
    <w:p w14:paraId="5CEC2708" w14:textId="77777777" w:rsidR="00A720EB" w:rsidRDefault="0030286B">
      <w:pPr>
        <w:pStyle w:val="2"/>
        <w:numPr>
          <w:ilvl w:val="1"/>
          <w:numId w:val="68"/>
        </w:numPr>
        <w:tabs>
          <w:tab w:val="left" w:pos="1034"/>
        </w:tabs>
        <w:spacing w:before="1"/>
        <w:ind w:left="1033" w:hanging="910"/>
      </w:pPr>
      <w:bookmarkStart w:id="428" w:name="4.19._Distributed_Transactions_with_JTA"/>
      <w:bookmarkStart w:id="429" w:name="_Toc54423798"/>
      <w:bookmarkEnd w:id="428"/>
      <w:r>
        <w:rPr>
          <w:color w:val="333333"/>
          <w:w w:val="110"/>
        </w:rPr>
        <w:t>Distributed Transactions with</w:t>
      </w:r>
      <w:r>
        <w:rPr>
          <w:color w:val="333333"/>
          <w:spacing w:val="-27"/>
          <w:w w:val="110"/>
        </w:rPr>
        <w:t xml:space="preserve"> </w:t>
      </w:r>
      <w:r>
        <w:rPr>
          <w:color w:val="333333"/>
          <w:spacing w:val="-8"/>
          <w:w w:val="110"/>
        </w:rPr>
        <w:t>JTA</w:t>
      </w:r>
      <w:bookmarkEnd w:id="429"/>
    </w:p>
    <w:p w14:paraId="6AA23439" w14:textId="77777777" w:rsidR="00A720EB" w:rsidRDefault="0030286B">
      <w:pPr>
        <w:pStyle w:val="a3"/>
        <w:spacing w:before="253" w:line="307" w:lineRule="auto"/>
        <w:ind w:left="124" w:right="122"/>
        <w:jc w:val="both"/>
      </w:pPr>
      <w:r>
        <w:rPr>
          <w:color w:val="333333"/>
          <w:w w:val="110"/>
        </w:rPr>
        <w:t xml:space="preserve">Spring Boot supports distributed </w:t>
      </w:r>
      <w:r>
        <w:rPr>
          <w:color w:val="333333"/>
          <w:spacing w:val="-5"/>
          <w:w w:val="110"/>
        </w:rPr>
        <w:t xml:space="preserve">JTA </w:t>
      </w:r>
      <w:r>
        <w:rPr>
          <w:color w:val="333333"/>
          <w:w w:val="110"/>
        </w:rPr>
        <w:t xml:space="preserve">transactions across multiple XA resources </w:t>
      </w:r>
      <w:r>
        <w:rPr>
          <w:color w:val="333333"/>
          <w:spacing w:val="-3"/>
          <w:w w:val="110"/>
        </w:rPr>
        <w:t xml:space="preserve">by </w:t>
      </w:r>
      <w:r>
        <w:rPr>
          <w:color w:val="333333"/>
          <w:w w:val="110"/>
        </w:rPr>
        <w:t xml:space="preserve">using an  </w:t>
      </w:r>
      <w:hyperlink r:id="rId300">
        <w:r>
          <w:rPr>
            <w:color w:val="418BCA"/>
            <w:w w:val="110"/>
          </w:rPr>
          <w:t>Atomikos</w:t>
        </w:r>
      </w:hyperlink>
      <w:r>
        <w:rPr>
          <w:color w:val="418BCA"/>
          <w:w w:val="110"/>
        </w:rPr>
        <w:t xml:space="preserve"> </w:t>
      </w:r>
      <w:r>
        <w:rPr>
          <w:color w:val="333333"/>
          <w:w w:val="110"/>
        </w:rPr>
        <w:t xml:space="preserve">embedded transaction manager. Deprecated support for using a </w:t>
      </w:r>
      <w:hyperlink r:id="rId301">
        <w:r>
          <w:rPr>
            <w:color w:val="418BCA"/>
            <w:w w:val="110"/>
          </w:rPr>
          <w:t>Bitronix</w:t>
        </w:r>
      </w:hyperlink>
      <w:r>
        <w:rPr>
          <w:color w:val="418BCA"/>
          <w:w w:val="110"/>
        </w:rPr>
        <w:t xml:space="preserve"> </w:t>
      </w:r>
      <w:r>
        <w:rPr>
          <w:color w:val="333333"/>
          <w:w w:val="110"/>
        </w:rPr>
        <w:t xml:space="preserve">embedded transaction manager is also provided but it will be removed in a future release. </w:t>
      </w:r>
      <w:r>
        <w:rPr>
          <w:color w:val="333333"/>
          <w:spacing w:val="-5"/>
          <w:w w:val="110"/>
        </w:rPr>
        <w:t xml:space="preserve">JTA </w:t>
      </w:r>
      <w:r>
        <w:rPr>
          <w:color w:val="333333"/>
          <w:w w:val="110"/>
        </w:rPr>
        <w:t>transactions are also supported when deploying to a suitable Java EE Application</w:t>
      </w:r>
      <w:r>
        <w:rPr>
          <w:color w:val="333333"/>
          <w:spacing w:val="34"/>
          <w:w w:val="110"/>
        </w:rPr>
        <w:t xml:space="preserve"> </w:t>
      </w:r>
      <w:r>
        <w:rPr>
          <w:color w:val="333333"/>
          <w:w w:val="110"/>
        </w:rPr>
        <w:t>Server.</w:t>
      </w:r>
    </w:p>
    <w:p w14:paraId="6BBA5222" w14:textId="77777777" w:rsidR="00A720EB" w:rsidRDefault="0030286B">
      <w:pPr>
        <w:pStyle w:val="a3"/>
        <w:spacing w:before="231" w:line="295" w:lineRule="auto"/>
        <w:ind w:left="124" w:right="124"/>
        <w:jc w:val="both"/>
      </w:pPr>
      <w:r>
        <w:rPr>
          <w:color w:val="333333"/>
          <w:w w:val="110"/>
        </w:rPr>
        <w:t xml:space="preserve">When a </w:t>
      </w:r>
      <w:r>
        <w:rPr>
          <w:color w:val="333333"/>
          <w:spacing w:val="-5"/>
          <w:w w:val="110"/>
        </w:rPr>
        <w:t xml:space="preserve">JTA </w:t>
      </w:r>
      <w:r>
        <w:rPr>
          <w:color w:val="333333"/>
          <w:w w:val="110"/>
        </w:rPr>
        <w:t xml:space="preserve">environment is detected, Spring’s </w:t>
      </w:r>
      <w:r>
        <w:rPr>
          <w:rFonts w:ascii="MS Gothic" w:hAnsi="MS Gothic"/>
          <w:color w:val="B02045"/>
          <w:w w:val="110"/>
        </w:rPr>
        <w:t xml:space="preserve">JtaTransactionManager </w:t>
      </w:r>
      <w:r>
        <w:rPr>
          <w:color w:val="333333"/>
          <w:w w:val="110"/>
        </w:rPr>
        <w:t xml:space="preserve">is used to manage transactions. Auto-configured JMS, DataSource, and </w:t>
      </w:r>
      <w:r>
        <w:rPr>
          <w:color w:val="333333"/>
          <w:spacing w:val="-4"/>
          <w:w w:val="110"/>
        </w:rPr>
        <w:t xml:space="preserve">JPA </w:t>
      </w:r>
      <w:r>
        <w:rPr>
          <w:color w:val="333333"/>
          <w:w w:val="110"/>
        </w:rPr>
        <w:t xml:space="preserve">beans are upgraded to support XA transactions. </w:t>
      </w:r>
      <w:r>
        <w:rPr>
          <w:color w:val="333333"/>
          <w:spacing w:val="-6"/>
          <w:w w:val="110"/>
        </w:rPr>
        <w:t xml:space="preserve">You </w:t>
      </w:r>
      <w:r>
        <w:rPr>
          <w:color w:val="333333"/>
          <w:w w:val="110"/>
        </w:rPr>
        <w:t xml:space="preserve">can use standard Spring idioms, such as </w:t>
      </w:r>
      <w:r>
        <w:rPr>
          <w:rFonts w:ascii="MS Gothic" w:hAnsi="MS Gothic"/>
          <w:color w:val="B02045"/>
          <w:w w:val="110"/>
        </w:rPr>
        <w:t>@Transactional</w:t>
      </w:r>
      <w:r>
        <w:rPr>
          <w:color w:val="333333"/>
          <w:w w:val="110"/>
        </w:rPr>
        <w:t xml:space="preserve">, to participate in a distributed transaction. If you are within a </w:t>
      </w:r>
      <w:r>
        <w:rPr>
          <w:color w:val="333333"/>
          <w:spacing w:val="-5"/>
          <w:w w:val="110"/>
        </w:rPr>
        <w:t xml:space="preserve">JTA </w:t>
      </w:r>
      <w:r>
        <w:rPr>
          <w:color w:val="333333"/>
          <w:w w:val="110"/>
        </w:rPr>
        <w:t xml:space="preserve">environment and still want to use local transactions, you can set the </w:t>
      </w:r>
      <w:proofErr w:type="gramStart"/>
      <w:r>
        <w:rPr>
          <w:rFonts w:ascii="MS Gothic" w:hAnsi="MS Gothic"/>
          <w:color w:val="B02045"/>
          <w:w w:val="110"/>
        </w:rPr>
        <w:t>spring.jta.enabled</w:t>
      </w:r>
      <w:proofErr w:type="gramEnd"/>
      <w:r>
        <w:rPr>
          <w:rFonts w:ascii="MS Gothic" w:hAnsi="MS Gothic"/>
          <w:color w:val="B02045"/>
          <w:spacing w:val="-69"/>
          <w:w w:val="110"/>
        </w:rPr>
        <w:t xml:space="preserve"> </w:t>
      </w:r>
      <w:r>
        <w:rPr>
          <w:color w:val="333333"/>
          <w:w w:val="110"/>
        </w:rPr>
        <w:t xml:space="preserve">property to </w:t>
      </w:r>
      <w:r>
        <w:rPr>
          <w:rFonts w:ascii="MS Gothic" w:hAnsi="MS Gothic"/>
          <w:color w:val="B02045"/>
          <w:w w:val="110"/>
        </w:rPr>
        <w:t>false</w:t>
      </w:r>
      <w:r>
        <w:rPr>
          <w:rFonts w:ascii="MS Gothic" w:hAnsi="MS Gothic"/>
          <w:color w:val="B02045"/>
          <w:spacing w:val="-69"/>
          <w:w w:val="110"/>
        </w:rPr>
        <w:t xml:space="preserve"> </w:t>
      </w:r>
      <w:r>
        <w:rPr>
          <w:color w:val="333333"/>
          <w:w w:val="110"/>
        </w:rPr>
        <w:t xml:space="preserve">to disable the </w:t>
      </w:r>
      <w:r>
        <w:rPr>
          <w:color w:val="333333"/>
          <w:spacing w:val="-5"/>
          <w:w w:val="110"/>
        </w:rPr>
        <w:t xml:space="preserve">JTA </w:t>
      </w:r>
      <w:r>
        <w:rPr>
          <w:color w:val="333333"/>
          <w:w w:val="110"/>
        </w:rPr>
        <w:t>auto-configuration.</w:t>
      </w:r>
    </w:p>
    <w:p w14:paraId="65EDE3FA" w14:textId="77777777" w:rsidR="00A720EB" w:rsidRDefault="00A720EB">
      <w:pPr>
        <w:pStyle w:val="a3"/>
        <w:spacing w:before="9"/>
        <w:rPr>
          <w:sz w:val="24"/>
        </w:rPr>
      </w:pPr>
    </w:p>
    <w:p w14:paraId="724FD0F3" w14:textId="77777777" w:rsidR="00A720EB" w:rsidRDefault="0030286B">
      <w:pPr>
        <w:pStyle w:val="3"/>
        <w:numPr>
          <w:ilvl w:val="2"/>
          <w:numId w:val="68"/>
        </w:numPr>
        <w:tabs>
          <w:tab w:val="left" w:pos="1003"/>
        </w:tabs>
        <w:spacing w:before="1"/>
        <w:ind w:left="1002" w:hanging="879"/>
      </w:pPr>
      <w:bookmarkStart w:id="430" w:name="4.19.1._Using_an_Atomikos_Transaction_Ma"/>
      <w:bookmarkStart w:id="431" w:name="_Toc54423799"/>
      <w:bookmarkEnd w:id="430"/>
      <w:r>
        <w:rPr>
          <w:color w:val="333333"/>
          <w:w w:val="110"/>
        </w:rPr>
        <w:t>Using an Atomikos Transaction</w:t>
      </w:r>
      <w:r>
        <w:rPr>
          <w:color w:val="333333"/>
          <w:spacing w:val="-23"/>
          <w:w w:val="110"/>
        </w:rPr>
        <w:t xml:space="preserve"> </w:t>
      </w:r>
      <w:r>
        <w:rPr>
          <w:color w:val="333333"/>
          <w:w w:val="110"/>
        </w:rPr>
        <w:t>Manager</w:t>
      </w:r>
      <w:bookmarkEnd w:id="431"/>
    </w:p>
    <w:p w14:paraId="7B0FE007" w14:textId="77777777" w:rsidR="00A720EB" w:rsidRDefault="00E10349">
      <w:pPr>
        <w:pStyle w:val="a3"/>
        <w:spacing w:before="254" w:line="295" w:lineRule="auto"/>
        <w:ind w:left="124" w:right="124"/>
        <w:jc w:val="both"/>
      </w:pPr>
      <w:hyperlink r:id="rId302">
        <w:r w:rsidR="0030286B">
          <w:rPr>
            <w:color w:val="418BCA"/>
            <w:w w:val="110"/>
          </w:rPr>
          <w:t xml:space="preserve">Atomikos </w:t>
        </w:r>
      </w:hyperlink>
      <w:r w:rsidR="0030286B">
        <w:rPr>
          <w:color w:val="333333"/>
          <w:w w:val="110"/>
        </w:rPr>
        <w:t xml:space="preserve">is a popular open source transaction manager which can be embedded into your </w:t>
      </w:r>
      <w:proofErr w:type="gramStart"/>
      <w:r w:rsidR="0030286B">
        <w:rPr>
          <w:color w:val="333333"/>
          <w:w w:val="110"/>
        </w:rPr>
        <w:t>Spring  Boot</w:t>
      </w:r>
      <w:proofErr w:type="gramEnd"/>
      <w:r w:rsidR="0030286B">
        <w:rPr>
          <w:color w:val="333333"/>
          <w:w w:val="110"/>
        </w:rPr>
        <w:t xml:space="preserve"> application. </w:t>
      </w:r>
      <w:r w:rsidR="0030286B">
        <w:rPr>
          <w:color w:val="333333"/>
          <w:spacing w:val="-6"/>
          <w:w w:val="110"/>
        </w:rPr>
        <w:t xml:space="preserve">You </w:t>
      </w:r>
      <w:r w:rsidR="0030286B">
        <w:rPr>
          <w:color w:val="333333"/>
          <w:w w:val="110"/>
        </w:rPr>
        <w:t xml:space="preserve">can use the </w:t>
      </w:r>
      <w:r w:rsidR="0030286B">
        <w:rPr>
          <w:rFonts w:ascii="MS Gothic"/>
          <w:color w:val="B02045"/>
          <w:w w:val="110"/>
        </w:rPr>
        <w:t xml:space="preserve">spring-boot-starter-jta-atomikos </w:t>
      </w:r>
      <w:r w:rsidR="0030286B">
        <w:rPr>
          <w:color w:val="333333"/>
          <w:w w:val="110"/>
        </w:rPr>
        <w:t xml:space="preserve">starter to pull in the appropriate Atomikos libraries. Spring Boot auto-configures Atomikos and ensures that appropriate </w:t>
      </w:r>
      <w:r w:rsidR="0030286B">
        <w:rPr>
          <w:rFonts w:ascii="MS Gothic"/>
          <w:color w:val="B02045"/>
          <w:w w:val="110"/>
        </w:rPr>
        <w:t>depends-on</w:t>
      </w:r>
      <w:r w:rsidR="0030286B">
        <w:rPr>
          <w:rFonts w:ascii="MS Gothic"/>
          <w:color w:val="B02045"/>
          <w:spacing w:val="-68"/>
          <w:w w:val="110"/>
        </w:rPr>
        <w:t xml:space="preserve"> </w:t>
      </w:r>
      <w:r w:rsidR="0030286B">
        <w:rPr>
          <w:color w:val="333333"/>
          <w:w w:val="110"/>
        </w:rPr>
        <w:t>settings are applied to your Spring beans for correct startup and shutdown ordering.</w:t>
      </w:r>
    </w:p>
    <w:p w14:paraId="2B126029" w14:textId="77777777" w:rsidR="00A720EB" w:rsidRDefault="0030286B">
      <w:pPr>
        <w:pStyle w:val="a3"/>
        <w:spacing w:before="224" w:line="288" w:lineRule="auto"/>
        <w:ind w:left="124" w:right="122"/>
        <w:jc w:val="both"/>
      </w:pPr>
      <w:r>
        <w:rPr>
          <w:color w:val="333333"/>
          <w:spacing w:val="-3"/>
          <w:w w:val="110"/>
        </w:rPr>
        <w:t xml:space="preserve">By </w:t>
      </w:r>
      <w:r>
        <w:rPr>
          <w:color w:val="333333"/>
          <w:w w:val="110"/>
        </w:rPr>
        <w:t xml:space="preserve">default, Atomikos transaction logs are written to a </w:t>
      </w:r>
      <w:r>
        <w:rPr>
          <w:rFonts w:ascii="MS Gothic" w:hAnsi="MS Gothic"/>
          <w:color w:val="B02045"/>
          <w:w w:val="110"/>
        </w:rPr>
        <w:t xml:space="preserve">transaction-logs </w:t>
      </w:r>
      <w:r>
        <w:rPr>
          <w:color w:val="333333"/>
          <w:w w:val="110"/>
        </w:rPr>
        <w:t xml:space="preserve">directory in your application’s home directory (the directory in which your application jar file resides). </w:t>
      </w:r>
      <w:r>
        <w:rPr>
          <w:color w:val="333333"/>
          <w:spacing w:val="-6"/>
          <w:w w:val="110"/>
        </w:rPr>
        <w:t xml:space="preserve">You </w:t>
      </w:r>
      <w:r>
        <w:rPr>
          <w:color w:val="333333"/>
          <w:w w:val="110"/>
        </w:rPr>
        <w:t xml:space="preserve">can customize the location of this directory </w:t>
      </w:r>
      <w:r>
        <w:rPr>
          <w:color w:val="333333"/>
          <w:spacing w:val="-3"/>
          <w:w w:val="110"/>
        </w:rPr>
        <w:t xml:space="preserve">by </w:t>
      </w:r>
      <w:r>
        <w:rPr>
          <w:color w:val="333333"/>
          <w:w w:val="110"/>
        </w:rPr>
        <w:t xml:space="preserve">setting a </w:t>
      </w:r>
      <w:r>
        <w:rPr>
          <w:rFonts w:ascii="MS Gothic" w:hAnsi="MS Gothic"/>
          <w:color w:val="B02045"/>
          <w:w w:val="110"/>
        </w:rPr>
        <w:t xml:space="preserve">spring.jta.log-dir </w:t>
      </w:r>
      <w:r>
        <w:rPr>
          <w:color w:val="333333"/>
          <w:w w:val="110"/>
        </w:rPr>
        <w:t xml:space="preserve">property in your </w:t>
      </w:r>
      <w:proofErr w:type="gramStart"/>
      <w:r>
        <w:rPr>
          <w:rFonts w:ascii="MS Gothic" w:hAnsi="MS Gothic"/>
          <w:color w:val="B02045"/>
          <w:w w:val="110"/>
        </w:rPr>
        <w:t>application.properties</w:t>
      </w:r>
      <w:proofErr w:type="gramEnd"/>
      <w:r>
        <w:rPr>
          <w:rFonts w:ascii="MS Gothic" w:hAnsi="MS Gothic"/>
          <w:color w:val="B02045"/>
          <w:spacing w:val="-70"/>
          <w:w w:val="110"/>
        </w:rPr>
        <w:t xml:space="preserve"> </w:t>
      </w:r>
      <w:r>
        <w:rPr>
          <w:color w:val="333333"/>
          <w:w w:val="110"/>
        </w:rPr>
        <w:t>file.</w:t>
      </w:r>
      <w:r>
        <w:rPr>
          <w:color w:val="333333"/>
          <w:spacing w:val="-5"/>
          <w:w w:val="110"/>
        </w:rPr>
        <w:t xml:space="preserve"> </w:t>
      </w:r>
      <w:r>
        <w:rPr>
          <w:color w:val="333333"/>
          <w:w w:val="110"/>
        </w:rPr>
        <w:t>Properties</w:t>
      </w:r>
      <w:r>
        <w:rPr>
          <w:color w:val="333333"/>
          <w:spacing w:val="-4"/>
          <w:w w:val="110"/>
        </w:rPr>
        <w:t xml:space="preserve"> </w:t>
      </w:r>
      <w:r>
        <w:rPr>
          <w:color w:val="333333"/>
          <w:w w:val="110"/>
        </w:rPr>
        <w:t>starting</w:t>
      </w:r>
      <w:r>
        <w:rPr>
          <w:color w:val="333333"/>
          <w:spacing w:val="-5"/>
          <w:w w:val="110"/>
        </w:rPr>
        <w:t xml:space="preserve"> </w:t>
      </w:r>
      <w:r>
        <w:rPr>
          <w:color w:val="333333"/>
          <w:w w:val="110"/>
        </w:rPr>
        <w:t>with</w:t>
      </w:r>
      <w:r>
        <w:rPr>
          <w:color w:val="333333"/>
          <w:spacing w:val="-5"/>
          <w:w w:val="110"/>
        </w:rPr>
        <w:t xml:space="preserve"> </w:t>
      </w:r>
      <w:proofErr w:type="gramStart"/>
      <w:r>
        <w:rPr>
          <w:rFonts w:ascii="MS Gothic" w:hAnsi="MS Gothic"/>
          <w:color w:val="B02045"/>
          <w:w w:val="110"/>
        </w:rPr>
        <w:t>spring.jta.atomikos</w:t>
      </w:r>
      <w:proofErr w:type="gramEnd"/>
      <w:r>
        <w:rPr>
          <w:rFonts w:ascii="MS Gothic" w:hAnsi="MS Gothic"/>
          <w:color w:val="B02045"/>
          <w:w w:val="110"/>
        </w:rPr>
        <w:t>.properties</w:t>
      </w:r>
      <w:r>
        <w:rPr>
          <w:rFonts w:ascii="MS Gothic" w:hAnsi="MS Gothic"/>
          <w:color w:val="B02045"/>
          <w:spacing w:val="-69"/>
          <w:w w:val="110"/>
        </w:rPr>
        <w:t xml:space="preserve"> </w:t>
      </w:r>
      <w:r>
        <w:rPr>
          <w:color w:val="333333"/>
          <w:w w:val="110"/>
        </w:rPr>
        <w:t>can</w:t>
      </w:r>
      <w:r>
        <w:rPr>
          <w:color w:val="333333"/>
          <w:spacing w:val="-5"/>
          <w:w w:val="110"/>
        </w:rPr>
        <w:t xml:space="preserve"> </w:t>
      </w:r>
      <w:r>
        <w:rPr>
          <w:color w:val="333333"/>
          <w:w w:val="110"/>
        </w:rPr>
        <w:t>also</w:t>
      </w:r>
      <w:r>
        <w:rPr>
          <w:color w:val="333333"/>
          <w:spacing w:val="-5"/>
          <w:w w:val="110"/>
        </w:rPr>
        <w:t xml:space="preserve"> </w:t>
      </w:r>
      <w:r>
        <w:rPr>
          <w:color w:val="333333"/>
          <w:w w:val="110"/>
        </w:rPr>
        <w:t>be used</w:t>
      </w:r>
      <w:r>
        <w:rPr>
          <w:color w:val="333333"/>
          <w:spacing w:val="-21"/>
          <w:w w:val="110"/>
        </w:rPr>
        <w:t xml:space="preserve"> </w:t>
      </w:r>
      <w:r>
        <w:rPr>
          <w:color w:val="333333"/>
          <w:w w:val="110"/>
        </w:rPr>
        <w:t>to</w:t>
      </w:r>
      <w:r>
        <w:rPr>
          <w:color w:val="333333"/>
          <w:spacing w:val="-20"/>
          <w:w w:val="110"/>
        </w:rPr>
        <w:t xml:space="preserve"> </w:t>
      </w:r>
      <w:r>
        <w:rPr>
          <w:color w:val="333333"/>
          <w:w w:val="110"/>
        </w:rPr>
        <w:t>customize</w:t>
      </w:r>
      <w:r>
        <w:rPr>
          <w:color w:val="333333"/>
          <w:spacing w:val="-20"/>
          <w:w w:val="110"/>
        </w:rPr>
        <w:t xml:space="preserve"> </w:t>
      </w:r>
      <w:r>
        <w:rPr>
          <w:color w:val="333333"/>
          <w:w w:val="110"/>
        </w:rPr>
        <w:t>the</w:t>
      </w:r>
      <w:r>
        <w:rPr>
          <w:color w:val="333333"/>
          <w:spacing w:val="-21"/>
          <w:w w:val="110"/>
        </w:rPr>
        <w:t xml:space="preserve"> </w:t>
      </w:r>
      <w:r>
        <w:rPr>
          <w:color w:val="333333"/>
          <w:w w:val="110"/>
        </w:rPr>
        <w:t>Atomikos</w:t>
      </w:r>
      <w:r>
        <w:rPr>
          <w:color w:val="333333"/>
          <w:spacing w:val="-20"/>
          <w:w w:val="110"/>
        </w:rPr>
        <w:t xml:space="preserve"> </w:t>
      </w:r>
      <w:r>
        <w:rPr>
          <w:rFonts w:ascii="MS Gothic" w:hAnsi="MS Gothic"/>
          <w:color w:val="B02045"/>
          <w:w w:val="110"/>
        </w:rPr>
        <w:t>UserTransactionServiceImp</w:t>
      </w:r>
      <w:r>
        <w:rPr>
          <w:color w:val="333333"/>
          <w:w w:val="110"/>
        </w:rPr>
        <w:t>.</w:t>
      </w:r>
      <w:r>
        <w:rPr>
          <w:color w:val="333333"/>
          <w:spacing w:val="-20"/>
          <w:w w:val="110"/>
        </w:rPr>
        <w:t xml:space="preserve"> </w:t>
      </w:r>
      <w:r>
        <w:rPr>
          <w:color w:val="333333"/>
          <w:w w:val="110"/>
        </w:rPr>
        <w:t>See</w:t>
      </w:r>
      <w:r>
        <w:rPr>
          <w:color w:val="333333"/>
          <w:spacing w:val="-21"/>
          <w:w w:val="110"/>
        </w:rPr>
        <w:t xml:space="preserve"> </w:t>
      </w:r>
      <w:r>
        <w:rPr>
          <w:color w:val="333333"/>
          <w:w w:val="110"/>
        </w:rPr>
        <w:t>the</w:t>
      </w:r>
      <w:r>
        <w:rPr>
          <w:color w:val="333333"/>
          <w:spacing w:val="-19"/>
          <w:w w:val="110"/>
        </w:rPr>
        <w:t xml:space="preserve"> </w:t>
      </w:r>
      <w:hyperlink r:id="rId303">
        <w:r>
          <w:rPr>
            <w:rFonts w:ascii="MS Gothic" w:hAnsi="MS Gothic"/>
            <w:color w:val="B02045"/>
            <w:w w:val="110"/>
          </w:rPr>
          <w:t>AtomikosProperties</w:t>
        </w:r>
        <w:r>
          <w:rPr>
            <w:rFonts w:ascii="MS Gothic" w:hAnsi="MS Gothic"/>
            <w:color w:val="B02045"/>
            <w:spacing w:val="-85"/>
            <w:w w:val="110"/>
          </w:rPr>
          <w:t xml:space="preserve"> </w:t>
        </w:r>
      </w:hyperlink>
      <w:hyperlink r:id="rId304">
        <w:r>
          <w:rPr>
            <w:color w:val="418BCA"/>
            <w:w w:val="110"/>
          </w:rPr>
          <w:t>Javadoc</w:t>
        </w:r>
      </w:hyperlink>
      <w:r>
        <w:rPr>
          <w:color w:val="418BCA"/>
          <w:spacing w:val="-20"/>
          <w:w w:val="110"/>
        </w:rPr>
        <w:t xml:space="preserve"> </w:t>
      </w:r>
      <w:r>
        <w:rPr>
          <w:color w:val="333333"/>
          <w:w w:val="110"/>
        </w:rPr>
        <w:t>for complete</w:t>
      </w:r>
      <w:r>
        <w:rPr>
          <w:color w:val="333333"/>
          <w:spacing w:val="3"/>
          <w:w w:val="110"/>
        </w:rPr>
        <w:t xml:space="preserve"> </w:t>
      </w:r>
      <w:r>
        <w:rPr>
          <w:color w:val="333333"/>
          <w:w w:val="110"/>
        </w:rPr>
        <w:t>details.</w:t>
      </w:r>
    </w:p>
    <w:p w14:paraId="7AFFC2DB" w14:textId="77777777" w:rsidR="00A720EB" w:rsidRDefault="00A720EB">
      <w:pPr>
        <w:spacing w:line="288" w:lineRule="auto"/>
        <w:jc w:val="both"/>
        <w:sectPr w:rsidR="00A720EB">
          <w:pgSz w:w="11910" w:h="16840"/>
          <w:pgMar w:top="620" w:right="840" w:bottom="520" w:left="840" w:header="0" w:footer="323" w:gutter="0"/>
          <w:cols w:space="720"/>
        </w:sectPr>
      </w:pPr>
    </w:p>
    <w:p w14:paraId="40E35414" w14:textId="77777777" w:rsidR="00A720EB" w:rsidRDefault="00E10349">
      <w:pPr>
        <w:pStyle w:val="a3"/>
        <w:spacing w:before="122" w:line="302" w:lineRule="auto"/>
        <w:ind w:left="1564" w:right="367"/>
        <w:jc w:val="both"/>
      </w:pPr>
      <w:r>
        <w:lastRenderedPageBreak/>
        <w:pict w14:anchorId="3337AA6D">
          <v:line id="_x0000_s3754" style="position:absolute;left:0;text-align:left;z-index:16070144;mso-position-horizontal-relative:page" from="108.25pt,.1pt" to="108.25pt,102.8pt" strokecolor="#ededed" strokeweight=".5pt">
            <w10:wrap anchorx="page"/>
          </v:line>
        </w:pict>
      </w:r>
      <w:r w:rsidR="0030286B">
        <w:rPr>
          <w:noProof/>
        </w:rPr>
        <w:drawing>
          <wp:anchor distT="0" distB="0" distL="0" distR="0" simplePos="0" relativeHeight="16070656" behindDoc="0" locked="0" layoutInCell="1" allowOverlap="1" wp14:anchorId="7991F52E" wp14:editId="6F77E0E4">
            <wp:simplePos x="0" y="0"/>
            <wp:positionH relativeFrom="page">
              <wp:posOffset>844422</wp:posOffset>
            </wp:positionH>
            <wp:positionV relativeFrom="paragraph">
              <wp:posOffset>504229</wp:posOffset>
            </wp:positionV>
            <wp:extent cx="298450" cy="298450"/>
            <wp:effectExtent l="0" t="0" r="0" b="0"/>
            <wp:wrapNone/>
            <wp:docPr id="4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4"/>
          <w:w w:val="110"/>
        </w:rPr>
        <w:t xml:space="preserve">To </w:t>
      </w:r>
      <w:r w:rsidR="0030286B">
        <w:rPr>
          <w:color w:val="333333"/>
          <w:w w:val="110"/>
        </w:rPr>
        <w:t xml:space="preserve">ensure that multiple transaction managers can safely coordinate the same resource managers, each Atomikos instance must be configured with a unique ID.  </w:t>
      </w:r>
      <w:r w:rsidR="0030286B">
        <w:rPr>
          <w:color w:val="333333"/>
          <w:spacing w:val="-3"/>
          <w:w w:val="110"/>
        </w:rPr>
        <w:t xml:space="preserve">By </w:t>
      </w:r>
      <w:r w:rsidR="0030286B">
        <w:rPr>
          <w:color w:val="333333"/>
          <w:w w:val="110"/>
        </w:rPr>
        <w:t xml:space="preserve">default, this ID is the IP address of the machine on which Atomikos is running.  </w:t>
      </w:r>
      <w:r w:rsidR="0030286B">
        <w:rPr>
          <w:color w:val="333333"/>
          <w:spacing w:val="-4"/>
          <w:w w:val="110"/>
        </w:rPr>
        <w:t xml:space="preserve">To </w:t>
      </w:r>
      <w:r w:rsidR="0030286B">
        <w:rPr>
          <w:color w:val="333333"/>
          <w:w w:val="110"/>
        </w:rPr>
        <w:t xml:space="preserve">ensure uniqueness in production, you should configure the </w:t>
      </w:r>
      <w:proofErr w:type="gramStart"/>
      <w:r w:rsidR="0030286B">
        <w:rPr>
          <w:rFonts w:ascii="MS Gothic"/>
          <w:color w:val="B02045"/>
          <w:w w:val="110"/>
        </w:rPr>
        <w:t>spring.jta.transaction</w:t>
      </w:r>
      <w:proofErr w:type="gramEnd"/>
      <w:r w:rsidR="0030286B">
        <w:rPr>
          <w:rFonts w:ascii="MS Gothic"/>
          <w:color w:val="B02045"/>
          <w:w w:val="110"/>
        </w:rPr>
        <w:t xml:space="preserve">-manager-id </w:t>
      </w:r>
      <w:r w:rsidR="0030286B">
        <w:rPr>
          <w:color w:val="333333"/>
          <w:w w:val="110"/>
        </w:rPr>
        <w:t>property with a different value for each instance of your</w:t>
      </w:r>
      <w:r w:rsidR="0030286B">
        <w:rPr>
          <w:color w:val="333333"/>
          <w:spacing w:val="9"/>
          <w:w w:val="110"/>
        </w:rPr>
        <w:t xml:space="preserve"> </w:t>
      </w:r>
      <w:r w:rsidR="0030286B">
        <w:rPr>
          <w:color w:val="333333"/>
          <w:w w:val="110"/>
        </w:rPr>
        <w:t>application.</w:t>
      </w:r>
    </w:p>
    <w:p w14:paraId="6C1D5B4E" w14:textId="77777777" w:rsidR="00A720EB" w:rsidRDefault="00A720EB">
      <w:pPr>
        <w:pStyle w:val="a3"/>
        <w:spacing w:before="9"/>
        <w:rPr>
          <w:sz w:val="23"/>
        </w:rPr>
      </w:pPr>
    </w:p>
    <w:p w14:paraId="3D44A996" w14:textId="77777777" w:rsidR="00A720EB" w:rsidRDefault="0030286B">
      <w:pPr>
        <w:pStyle w:val="3"/>
        <w:numPr>
          <w:ilvl w:val="2"/>
          <w:numId w:val="68"/>
        </w:numPr>
        <w:tabs>
          <w:tab w:val="left" w:pos="1003"/>
        </w:tabs>
        <w:spacing w:before="106"/>
        <w:ind w:left="1002" w:hanging="879"/>
      </w:pPr>
      <w:bookmarkStart w:id="432" w:name="4.19.2._Using_a_Bitronix_Transaction_Man"/>
      <w:bookmarkStart w:id="433" w:name="_Toc54423800"/>
      <w:bookmarkEnd w:id="432"/>
      <w:r>
        <w:rPr>
          <w:color w:val="333333"/>
          <w:w w:val="115"/>
        </w:rPr>
        <w:t>Using a Bitronix Transaction</w:t>
      </w:r>
      <w:r>
        <w:rPr>
          <w:color w:val="333333"/>
          <w:spacing w:val="-44"/>
          <w:w w:val="115"/>
        </w:rPr>
        <w:t xml:space="preserve"> </w:t>
      </w:r>
      <w:r>
        <w:rPr>
          <w:color w:val="333333"/>
          <w:w w:val="115"/>
        </w:rPr>
        <w:t>Manager</w:t>
      </w:r>
      <w:bookmarkEnd w:id="433"/>
    </w:p>
    <w:p w14:paraId="0E2AA8DA" w14:textId="77777777" w:rsidR="00A720EB" w:rsidRDefault="00A720EB">
      <w:pPr>
        <w:pStyle w:val="a3"/>
        <w:spacing w:before="9"/>
        <w:rPr>
          <w:rFonts w:ascii="Palatino Linotype"/>
          <w:b/>
          <w:sz w:val="24"/>
        </w:rPr>
      </w:pPr>
    </w:p>
    <w:p w14:paraId="159C6001" w14:textId="77777777" w:rsidR="00A720EB" w:rsidRDefault="00E10349">
      <w:pPr>
        <w:pStyle w:val="a3"/>
        <w:spacing w:before="1" w:line="307" w:lineRule="auto"/>
        <w:ind w:left="1564" w:right="462"/>
      </w:pPr>
      <w:r>
        <w:pict w14:anchorId="64FB7C58">
          <v:line id="_x0000_s3753" style="position:absolute;left:0;text-align:left;z-index:16071168;mso-position-horizontal-relative:page" from="108.25pt,-5.95pt" to="108.25pt,33.6pt" strokecolor="#ededed" strokeweight=".5pt">
            <w10:wrap anchorx="page"/>
          </v:line>
        </w:pict>
      </w:r>
      <w:r w:rsidR="0030286B">
        <w:rPr>
          <w:noProof/>
        </w:rPr>
        <w:drawing>
          <wp:anchor distT="0" distB="0" distL="0" distR="0" simplePos="0" relativeHeight="16071680" behindDoc="0" locked="0" layoutInCell="1" allowOverlap="1" wp14:anchorId="1EDE1D01" wp14:editId="4A0B6B75">
            <wp:simplePos x="0" y="0"/>
            <wp:positionH relativeFrom="page">
              <wp:posOffset>844422</wp:posOffset>
            </wp:positionH>
            <wp:positionV relativeFrom="paragraph">
              <wp:posOffset>26581</wp:posOffset>
            </wp:positionV>
            <wp:extent cx="298450" cy="298450"/>
            <wp:effectExtent l="0" t="0" r="0" b="0"/>
            <wp:wrapNone/>
            <wp:docPr id="4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As of Spring Boot 2.3, support for Bitronix has been deprecated and will </w:t>
      </w:r>
      <w:proofErr w:type="gramStart"/>
      <w:r w:rsidR="0030286B">
        <w:rPr>
          <w:color w:val="333333"/>
          <w:w w:val="110"/>
        </w:rPr>
        <w:t>be  removed</w:t>
      </w:r>
      <w:proofErr w:type="gramEnd"/>
      <w:r w:rsidR="0030286B">
        <w:rPr>
          <w:color w:val="333333"/>
          <w:w w:val="110"/>
        </w:rPr>
        <w:t xml:space="preserve"> in a future</w:t>
      </w:r>
      <w:r w:rsidR="0030286B">
        <w:rPr>
          <w:color w:val="333333"/>
          <w:spacing w:val="12"/>
          <w:w w:val="110"/>
        </w:rPr>
        <w:t xml:space="preserve"> </w:t>
      </w:r>
      <w:r w:rsidR="0030286B">
        <w:rPr>
          <w:color w:val="333333"/>
          <w:w w:val="110"/>
        </w:rPr>
        <w:t>release.</w:t>
      </w:r>
    </w:p>
    <w:p w14:paraId="2B1BD1AB" w14:textId="77777777" w:rsidR="00A720EB" w:rsidRDefault="00A720EB">
      <w:pPr>
        <w:pStyle w:val="a3"/>
        <w:spacing w:before="5"/>
        <w:rPr>
          <w:sz w:val="26"/>
        </w:rPr>
      </w:pPr>
    </w:p>
    <w:p w14:paraId="654755A6" w14:textId="77777777" w:rsidR="00A720EB" w:rsidRDefault="0030286B">
      <w:pPr>
        <w:pStyle w:val="a3"/>
        <w:spacing w:line="300" w:lineRule="auto"/>
        <w:ind w:left="124" w:right="127"/>
        <w:jc w:val="both"/>
      </w:pPr>
      <w:r>
        <w:rPr>
          <w:color w:val="333333"/>
          <w:w w:val="110"/>
        </w:rPr>
        <w:t xml:space="preserve">You can use the </w:t>
      </w:r>
      <w:r>
        <w:rPr>
          <w:rFonts w:ascii="MS Gothic"/>
          <w:color w:val="B02045"/>
          <w:w w:val="110"/>
        </w:rPr>
        <w:t xml:space="preserve">spring-boot-starter-jta-bitronix </w:t>
      </w:r>
      <w:r>
        <w:rPr>
          <w:color w:val="333333"/>
          <w:w w:val="110"/>
        </w:rPr>
        <w:t>starter to add the appropriate Bitronix dependencies to your project. As with Atomikos, Spring Boot automatically configures Bitronix and post-processes your beans to ensure that startup and shutdown ordering is correct.</w:t>
      </w:r>
    </w:p>
    <w:p w14:paraId="7CADBAE9" w14:textId="77777777" w:rsidR="00A720EB" w:rsidRDefault="0030286B">
      <w:pPr>
        <w:pStyle w:val="a3"/>
        <w:spacing w:before="235" w:line="290" w:lineRule="auto"/>
        <w:ind w:left="124" w:right="122"/>
        <w:jc w:val="both"/>
      </w:pPr>
      <w:r>
        <w:rPr>
          <w:color w:val="333333"/>
          <w:spacing w:val="-3"/>
          <w:w w:val="110"/>
        </w:rPr>
        <w:t>By</w:t>
      </w:r>
      <w:r>
        <w:rPr>
          <w:color w:val="333333"/>
          <w:spacing w:val="-14"/>
          <w:w w:val="110"/>
        </w:rPr>
        <w:t xml:space="preserve"> </w:t>
      </w:r>
      <w:r>
        <w:rPr>
          <w:color w:val="333333"/>
          <w:w w:val="110"/>
        </w:rPr>
        <w:t>default,</w:t>
      </w:r>
      <w:r>
        <w:rPr>
          <w:color w:val="333333"/>
          <w:spacing w:val="-14"/>
          <w:w w:val="110"/>
        </w:rPr>
        <w:t xml:space="preserve"> </w:t>
      </w:r>
      <w:r>
        <w:rPr>
          <w:color w:val="333333"/>
          <w:w w:val="110"/>
        </w:rPr>
        <w:t>Bitronix</w:t>
      </w:r>
      <w:r>
        <w:rPr>
          <w:color w:val="333333"/>
          <w:spacing w:val="-14"/>
          <w:w w:val="110"/>
        </w:rPr>
        <w:t xml:space="preserve"> </w:t>
      </w:r>
      <w:r>
        <w:rPr>
          <w:color w:val="333333"/>
          <w:w w:val="110"/>
        </w:rPr>
        <w:t>transaction</w:t>
      </w:r>
      <w:r>
        <w:rPr>
          <w:color w:val="333333"/>
          <w:spacing w:val="-14"/>
          <w:w w:val="110"/>
        </w:rPr>
        <w:t xml:space="preserve"> </w:t>
      </w:r>
      <w:r>
        <w:rPr>
          <w:color w:val="333333"/>
          <w:w w:val="110"/>
        </w:rPr>
        <w:t>log</w:t>
      </w:r>
      <w:r>
        <w:rPr>
          <w:color w:val="333333"/>
          <w:spacing w:val="-14"/>
          <w:w w:val="110"/>
        </w:rPr>
        <w:t xml:space="preserve"> </w:t>
      </w:r>
      <w:r>
        <w:rPr>
          <w:color w:val="333333"/>
          <w:w w:val="110"/>
        </w:rPr>
        <w:t>files</w:t>
      </w:r>
      <w:r>
        <w:rPr>
          <w:color w:val="333333"/>
          <w:spacing w:val="-14"/>
          <w:w w:val="110"/>
        </w:rPr>
        <w:t xml:space="preserve"> </w:t>
      </w:r>
      <w:r>
        <w:rPr>
          <w:color w:val="333333"/>
          <w:w w:val="110"/>
        </w:rPr>
        <w:t>(</w:t>
      </w:r>
      <w:r>
        <w:rPr>
          <w:rFonts w:ascii="MS Gothic"/>
          <w:color w:val="B02045"/>
          <w:w w:val="110"/>
        </w:rPr>
        <w:t>part1.btm</w:t>
      </w:r>
      <w:r>
        <w:rPr>
          <w:rFonts w:ascii="MS Gothic"/>
          <w:color w:val="B02045"/>
          <w:spacing w:val="-78"/>
          <w:w w:val="110"/>
        </w:rPr>
        <w:t xml:space="preserve"> </w:t>
      </w:r>
      <w:r>
        <w:rPr>
          <w:color w:val="333333"/>
          <w:w w:val="110"/>
        </w:rPr>
        <w:t>and</w:t>
      </w:r>
      <w:r>
        <w:rPr>
          <w:color w:val="333333"/>
          <w:spacing w:val="-13"/>
          <w:w w:val="110"/>
        </w:rPr>
        <w:t xml:space="preserve"> </w:t>
      </w:r>
      <w:r>
        <w:rPr>
          <w:rFonts w:ascii="MS Gothic"/>
          <w:color w:val="B02045"/>
          <w:w w:val="110"/>
        </w:rPr>
        <w:t>part2.btm</w:t>
      </w:r>
      <w:r>
        <w:rPr>
          <w:color w:val="333333"/>
          <w:w w:val="110"/>
        </w:rPr>
        <w:t>)</w:t>
      </w:r>
      <w:r>
        <w:rPr>
          <w:color w:val="333333"/>
          <w:spacing w:val="-14"/>
          <w:w w:val="110"/>
        </w:rPr>
        <w:t xml:space="preserve"> </w:t>
      </w:r>
      <w:r>
        <w:rPr>
          <w:color w:val="333333"/>
          <w:w w:val="110"/>
        </w:rPr>
        <w:t>are</w:t>
      </w:r>
      <w:r>
        <w:rPr>
          <w:color w:val="333333"/>
          <w:spacing w:val="-14"/>
          <w:w w:val="110"/>
        </w:rPr>
        <w:t xml:space="preserve"> </w:t>
      </w:r>
      <w:r>
        <w:rPr>
          <w:color w:val="333333"/>
          <w:w w:val="110"/>
        </w:rPr>
        <w:t>written</w:t>
      </w:r>
      <w:r>
        <w:rPr>
          <w:color w:val="333333"/>
          <w:spacing w:val="-14"/>
          <w:w w:val="110"/>
        </w:rPr>
        <w:t xml:space="preserve"> </w:t>
      </w:r>
      <w:r>
        <w:rPr>
          <w:color w:val="333333"/>
          <w:w w:val="110"/>
        </w:rPr>
        <w:t>to</w:t>
      </w:r>
      <w:r>
        <w:rPr>
          <w:color w:val="333333"/>
          <w:spacing w:val="-14"/>
          <w:w w:val="110"/>
        </w:rPr>
        <w:t xml:space="preserve"> </w:t>
      </w:r>
      <w:r>
        <w:rPr>
          <w:color w:val="333333"/>
          <w:w w:val="110"/>
        </w:rPr>
        <w:t>a</w:t>
      </w:r>
      <w:r>
        <w:rPr>
          <w:color w:val="333333"/>
          <w:spacing w:val="-12"/>
          <w:w w:val="110"/>
        </w:rPr>
        <w:t xml:space="preserve"> </w:t>
      </w:r>
      <w:r>
        <w:rPr>
          <w:rFonts w:ascii="MS Gothic"/>
          <w:color w:val="B02045"/>
          <w:w w:val="110"/>
        </w:rPr>
        <w:t xml:space="preserve">transaction-logs </w:t>
      </w:r>
      <w:r>
        <w:rPr>
          <w:color w:val="333333"/>
          <w:w w:val="110"/>
        </w:rPr>
        <w:t xml:space="preserve">directory in your application home </w:t>
      </w:r>
      <w:r>
        <w:rPr>
          <w:color w:val="333333"/>
          <w:spacing w:val="-3"/>
          <w:w w:val="110"/>
        </w:rPr>
        <w:t xml:space="preserve">directory. </w:t>
      </w:r>
      <w:r>
        <w:rPr>
          <w:color w:val="333333"/>
          <w:spacing w:val="-6"/>
          <w:w w:val="110"/>
        </w:rPr>
        <w:t xml:space="preserve">You </w:t>
      </w:r>
      <w:r>
        <w:rPr>
          <w:color w:val="333333"/>
          <w:w w:val="110"/>
        </w:rPr>
        <w:t xml:space="preserve">can customize the location of this directory </w:t>
      </w:r>
      <w:r>
        <w:rPr>
          <w:color w:val="333333"/>
          <w:spacing w:val="-3"/>
          <w:w w:val="110"/>
        </w:rPr>
        <w:t xml:space="preserve">by </w:t>
      </w:r>
      <w:r>
        <w:rPr>
          <w:color w:val="333333"/>
          <w:w w:val="105"/>
        </w:rPr>
        <w:t xml:space="preserve">setting the </w:t>
      </w:r>
      <w:r>
        <w:rPr>
          <w:rFonts w:ascii="MS Gothic"/>
          <w:color w:val="B02045"/>
          <w:w w:val="105"/>
        </w:rPr>
        <w:t>spring.jta.log-dir</w:t>
      </w:r>
      <w:r>
        <w:rPr>
          <w:rFonts w:ascii="MS Gothic"/>
          <w:color w:val="B02045"/>
          <w:spacing w:val="-62"/>
          <w:w w:val="105"/>
        </w:rPr>
        <w:t xml:space="preserve"> </w:t>
      </w:r>
      <w:r>
        <w:rPr>
          <w:color w:val="333333"/>
          <w:spacing w:val="-3"/>
          <w:w w:val="105"/>
        </w:rPr>
        <w:t>property.</w:t>
      </w:r>
      <w:r>
        <w:rPr>
          <w:color w:val="333333"/>
          <w:w w:val="105"/>
        </w:rPr>
        <w:t xml:space="preserve"> Properties starting with</w:t>
      </w:r>
      <w:r>
        <w:rPr>
          <w:color w:val="333333"/>
          <w:spacing w:val="1"/>
          <w:w w:val="105"/>
        </w:rPr>
        <w:t xml:space="preserve"> </w:t>
      </w:r>
      <w:proofErr w:type="gramStart"/>
      <w:r>
        <w:rPr>
          <w:rFonts w:ascii="MS Gothic"/>
          <w:color w:val="B02045"/>
          <w:w w:val="105"/>
        </w:rPr>
        <w:t>spring.jta.bitronix</w:t>
      </w:r>
      <w:proofErr w:type="gramEnd"/>
      <w:r>
        <w:rPr>
          <w:rFonts w:ascii="MS Gothic"/>
          <w:color w:val="B02045"/>
          <w:w w:val="105"/>
        </w:rPr>
        <w:t>.properties</w:t>
      </w:r>
      <w:r>
        <w:rPr>
          <w:rFonts w:ascii="MS Gothic"/>
          <w:color w:val="B02045"/>
          <w:spacing w:val="-61"/>
          <w:w w:val="105"/>
        </w:rPr>
        <w:t xml:space="preserve"> </w:t>
      </w:r>
      <w:r>
        <w:rPr>
          <w:color w:val="333333"/>
          <w:w w:val="105"/>
        </w:rPr>
        <w:t xml:space="preserve">are </w:t>
      </w:r>
      <w:r>
        <w:rPr>
          <w:color w:val="333333"/>
          <w:w w:val="110"/>
        </w:rPr>
        <w:t xml:space="preserve">also bound to the </w:t>
      </w:r>
      <w:r>
        <w:rPr>
          <w:rFonts w:ascii="MS Gothic"/>
          <w:color w:val="B02045"/>
          <w:w w:val="110"/>
        </w:rPr>
        <w:t xml:space="preserve">bitronix.tm.Configuration </w:t>
      </w:r>
      <w:r>
        <w:rPr>
          <w:color w:val="333333"/>
          <w:w w:val="110"/>
        </w:rPr>
        <w:t xml:space="preserve">bean, allowing for complete customization. See the </w:t>
      </w:r>
      <w:hyperlink r:id="rId305">
        <w:r>
          <w:rPr>
            <w:color w:val="418BCA"/>
            <w:w w:val="110"/>
          </w:rPr>
          <w:t xml:space="preserve">Bitronix documentation </w:t>
        </w:r>
      </w:hyperlink>
      <w:r>
        <w:rPr>
          <w:color w:val="333333"/>
          <w:w w:val="110"/>
        </w:rPr>
        <w:t>for</w:t>
      </w:r>
      <w:r>
        <w:rPr>
          <w:color w:val="333333"/>
          <w:spacing w:val="12"/>
          <w:w w:val="110"/>
        </w:rPr>
        <w:t xml:space="preserve"> </w:t>
      </w:r>
      <w:r>
        <w:rPr>
          <w:color w:val="333333"/>
          <w:w w:val="110"/>
        </w:rPr>
        <w:t>details.</w:t>
      </w:r>
    </w:p>
    <w:p w14:paraId="2FE87548" w14:textId="77777777" w:rsidR="00A720EB" w:rsidRDefault="00A720EB">
      <w:pPr>
        <w:pStyle w:val="a3"/>
        <w:rPr>
          <w:sz w:val="18"/>
        </w:rPr>
      </w:pPr>
    </w:p>
    <w:p w14:paraId="03E80FB8" w14:textId="77777777" w:rsidR="00A720EB" w:rsidRDefault="00E10349">
      <w:pPr>
        <w:pStyle w:val="a3"/>
        <w:spacing w:before="125" w:line="302" w:lineRule="auto"/>
        <w:ind w:left="1564" w:right="367"/>
        <w:jc w:val="both"/>
      </w:pPr>
      <w:r>
        <w:pict w14:anchorId="332634E8">
          <v:line id="_x0000_s3752" style="position:absolute;left:0;text-align:left;z-index:16072192;mso-position-horizontal-relative:page" from="108.25pt,.25pt" to="108.25pt,102.95pt" strokecolor="#ededed" strokeweight=".5pt">
            <w10:wrap anchorx="page"/>
          </v:line>
        </w:pict>
      </w:r>
      <w:r w:rsidR="0030286B">
        <w:rPr>
          <w:noProof/>
        </w:rPr>
        <w:drawing>
          <wp:anchor distT="0" distB="0" distL="0" distR="0" simplePos="0" relativeHeight="16072704" behindDoc="0" locked="0" layoutInCell="1" allowOverlap="1" wp14:anchorId="5BC8741B" wp14:editId="341B291E">
            <wp:simplePos x="0" y="0"/>
            <wp:positionH relativeFrom="page">
              <wp:posOffset>844422</wp:posOffset>
            </wp:positionH>
            <wp:positionV relativeFrom="paragraph">
              <wp:posOffset>506133</wp:posOffset>
            </wp:positionV>
            <wp:extent cx="298450" cy="298450"/>
            <wp:effectExtent l="0" t="0" r="0" b="0"/>
            <wp:wrapNone/>
            <wp:docPr id="4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4"/>
          <w:w w:val="110"/>
        </w:rPr>
        <w:t xml:space="preserve">To </w:t>
      </w:r>
      <w:r w:rsidR="0030286B">
        <w:rPr>
          <w:color w:val="333333"/>
          <w:w w:val="110"/>
        </w:rPr>
        <w:t xml:space="preserve">ensure that multiple transaction managers can safely coordinate the same resource managers, each Bitronix instance must be configured with a unique ID.    </w:t>
      </w:r>
      <w:proofErr w:type="gramStart"/>
      <w:r w:rsidR="0030286B">
        <w:rPr>
          <w:color w:val="333333"/>
          <w:spacing w:val="-3"/>
          <w:w w:val="110"/>
        </w:rPr>
        <w:t xml:space="preserve">By  </w:t>
      </w:r>
      <w:r w:rsidR="0030286B">
        <w:rPr>
          <w:color w:val="333333"/>
          <w:w w:val="110"/>
        </w:rPr>
        <w:t>default</w:t>
      </w:r>
      <w:proofErr w:type="gramEnd"/>
      <w:r w:rsidR="0030286B">
        <w:rPr>
          <w:color w:val="333333"/>
          <w:w w:val="110"/>
        </w:rPr>
        <w:t xml:space="preserve">, this ID is the IP address of the machine on which Bitronix is running.    </w:t>
      </w:r>
      <w:r w:rsidR="0030286B">
        <w:rPr>
          <w:color w:val="333333"/>
          <w:spacing w:val="-4"/>
          <w:w w:val="110"/>
        </w:rPr>
        <w:t xml:space="preserve">To </w:t>
      </w:r>
      <w:r w:rsidR="0030286B">
        <w:rPr>
          <w:color w:val="333333"/>
          <w:w w:val="110"/>
        </w:rPr>
        <w:t xml:space="preserve">ensure uniqueness in production, you should configure the </w:t>
      </w:r>
      <w:proofErr w:type="gramStart"/>
      <w:r w:rsidR="0030286B">
        <w:rPr>
          <w:rFonts w:ascii="MS Gothic"/>
          <w:color w:val="B02045"/>
          <w:w w:val="110"/>
        </w:rPr>
        <w:t>spring.jta.transaction</w:t>
      </w:r>
      <w:proofErr w:type="gramEnd"/>
      <w:r w:rsidR="0030286B">
        <w:rPr>
          <w:rFonts w:ascii="MS Gothic"/>
          <w:color w:val="B02045"/>
          <w:w w:val="110"/>
        </w:rPr>
        <w:t xml:space="preserve">-manager-id </w:t>
      </w:r>
      <w:r w:rsidR="0030286B">
        <w:rPr>
          <w:color w:val="333333"/>
          <w:w w:val="110"/>
        </w:rPr>
        <w:t>property with a different value for each instance of your</w:t>
      </w:r>
      <w:r w:rsidR="0030286B">
        <w:rPr>
          <w:color w:val="333333"/>
          <w:spacing w:val="9"/>
          <w:w w:val="110"/>
        </w:rPr>
        <w:t xml:space="preserve"> </w:t>
      </w:r>
      <w:r w:rsidR="0030286B">
        <w:rPr>
          <w:color w:val="333333"/>
          <w:w w:val="110"/>
        </w:rPr>
        <w:t>application.</w:t>
      </w:r>
    </w:p>
    <w:p w14:paraId="78AFC109" w14:textId="77777777" w:rsidR="00A720EB" w:rsidRDefault="00A720EB">
      <w:pPr>
        <w:pStyle w:val="a3"/>
        <w:spacing w:before="10"/>
        <w:rPr>
          <w:sz w:val="23"/>
        </w:rPr>
      </w:pPr>
    </w:p>
    <w:p w14:paraId="098D6325" w14:textId="77777777" w:rsidR="00A720EB" w:rsidRDefault="0030286B">
      <w:pPr>
        <w:pStyle w:val="3"/>
        <w:numPr>
          <w:ilvl w:val="2"/>
          <w:numId w:val="68"/>
        </w:numPr>
        <w:tabs>
          <w:tab w:val="left" w:pos="1003"/>
        </w:tabs>
        <w:spacing w:before="105"/>
        <w:ind w:left="1002" w:hanging="879"/>
      </w:pPr>
      <w:bookmarkStart w:id="434" w:name="4.19.3._Using_a_Java_EE_Managed_Transact"/>
      <w:bookmarkStart w:id="435" w:name="_Toc54423801"/>
      <w:bookmarkEnd w:id="434"/>
      <w:r>
        <w:rPr>
          <w:color w:val="333333"/>
          <w:w w:val="110"/>
        </w:rPr>
        <w:t>Using a Java EE Managed Transaction</w:t>
      </w:r>
      <w:r>
        <w:rPr>
          <w:color w:val="333333"/>
          <w:spacing w:val="-34"/>
          <w:w w:val="110"/>
        </w:rPr>
        <w:t xml:space="preserve"> </w:t>
      </w:r>
      <w:r>
        <w:rPr>
          <w:color w:val="333333"/>
          <w:w w:val="110"/>
        </w:rPr>
        <w:t>Manager</w:t>
      </w:r>
      <w:bookmarkEnd w:id="435"/>
    </w:p>
    <w:p w14:paraId="10213313" w14:textId="77777777" w:rsidR="00A720EB" w:rsidRDefault="0030286B">
      <w:pPr>
        <w:pStyle w:val="a3"/>
        <w:spacing w:before="243" w:line="295" w:lineRule="auto"/>
        <w:ind w:left="124" w:right="123"/>
        <w:jc w:val="both"/>
      </w:pPr>
      <w:r>
        <w:rPr>
          <w:color w:val="333333"/>
          <w:w w:val="110"/>
        </w:rPr>
        <w:t xml:space="preserve">If you package your Spring Boot application as a </w:t>
      </w:r>
      <w:r>
        <w:rPr>
          <w:rFonts w:ascii="MS Gothic" w:hAnsi="MS Gothic"/>
          <w:color w:val="B02045"/>
          <w:w w:val="110"/>
        </w:rPr>
        <w:t xml:space="preserve">war </w:t>
      </w:r>
      <w:r>
        <w:rPr>
          <w:color w:val="333333"/>
          <w:w w:val="110"/>
        </w:rPr>
        <w:t xml:space="preserve">or </w:t>
      </w:r>
      <w:r>
        <w:rPr>
          <w:rFonts w:ascii="MS Gothic" w:hAnsi="MS Gothic"/>
          <w:color w:val="B02045"/>
          <w:w w:val="110"/>
        </w:rPr>
        <w:t xml:space="preserve">ear </w:t>
      </w:r>
      <w:r>
        <w:rPr>
          <w:color w:val="333333"/>
          <w:w w:val="110"/>
        </w:rPr>
        <w:t xml:space="preserve">file and deploy it to a Java EE application server, you can use your application server’s built-in transaction manager. Spring Boot tries to auto-configure a transaction manager </w:t>
      </w:r>
      <w:r>
        <w:rPr>
          <w:color w:val="333333"/>
          <w:spacing w:val="-3"/>
          <w:w w:val="110"/>
        </w:rPr>
        <w:t xml:space="preserve">by </w:t>
      </w:r>
      <w:r>
        <w:rPr>
          <w:color w:val="333333"/>
          <w:w w:val="110"/>
        </w:rPr>
        <w:t>looking at common JNDI locations (</w:t>
      </w:r>
      <w:proofErr w:type="gramStart"/>
      <w:r>
        <w:rPr>
          <w:rFonts w:ascii="MS Gothic" w:hAnsi="MS Gothic"/>
          <w:color w:val="B02045"/>
          <w:w w:val="110"/>
        </w:rPr>
        <w:t>java:comp</w:t>
      </w:r>
      <w:proofErr w:type="gramEnd"/>
      <w:r>
        <w:rPr>
          <w:rFonts w:ascii="MS Gothic" w:hAnsi="MS Gothic"/>
          <w:color w:val="B02045"/>
          <w:w w:val="110"/>
        </w:rPr>
        <w:t>/UserTransaction</w:t>
      </w:r>
      <w:r>
        <w:rPr>
          <w:color w:val="333333"/>
          <w:w w:val="110"/>
        </w:rPr>
        <w:t xml:space="preserve">, </w:t>
      </w:r>
      <w:r>
        <w:rPr>
          <w:rFonts w:ascii="MS Gothic" w:hAnsi="MS Gothic"/>
          <w:color w:val="B02045"/>
          <w:w w:val="110"/>
        </w:rPr>
        <w:t>java:comp/TransactionManager</w:t>
      </w:r>
      <w:r>
        <w:rPr>
          <w:color w:val="333333"/>
          <w:w w:val="110"/>
        </w:rPr>
        <w:t xml:space="preserve">, and so on). If you use a transaction service provided </w:t>
      </w:r>
      <w:proofErr w:type="gramStart"/>
      <w:r>
        <w:rPr>
          <w:color w:val="333333"/>
          <w:spacing w:val="-3"/>
          <w:w w:val="110"/>
        </w:rPr>
        <w:t xml:space="preserve">by  </w:t>
      </w:r>
      <w:r>
        <w:rPr>
          <w:color w:val="333333"/>
          <w:w w:val="110"/>
        </w:rPr>
        <w:t>your</w:t>
      </w:r>
      <w:proofErr w:type="gramEnd"/>
      <w:r>
        <w:rPr>
          <w:color w:val="333333"/>
          <w:w w:val="110"/>
        </w:rPr>
        <w:t xml:space="preserve"> application server, you generally also want to ensure that all resources    are managed </w:t>
      </w:r>
      <w:r>
        <w:rPr>
          <w:color w:val="333333"/>
          <w:spacing w:val="-3"/>
          <w:w w:val="110"/>
        </w:rPr>
        <w:t xml:space="preserve">by </w:t>
      </w:r>
      <w:r>
        <w:rPr>
          <w:color w:val="333333"/>
          <w:w w:val="110"/>
        </w:rPr>
        <w:t xml:space="preserve">the server and exposed over JNDI. Spring Boot tries to auto-configure  JMS  </w:t>
      </w:r>
      <w:r>
        <w:rPr>
          <w:color w:val="333333"/>
          <w:spacing w:val="-3"/>
          <w:w w:val="110"/>
        </w:rPr>
        <w:t xml:space="preserve">by </w:t>
      </w:r>
      <w:r>
        <w:rPr>
          <w:color w:val="333333"/>
          <w:w w:val="110"/>
        </w:rPr>
        <w:t>looking</w:t>
      </w:r>
      <w:r>
        <w:rPr>
          <w:color w:val="333333"/>
          <w:spacing w:val="-7"/>
          <w:w w:val="110"/>
        </w:rPr>
        <w:t xml:space="preserve"> </w:t>
      </w:r>
      <w:r>
        <w:rPr>
          <w:color w:val="333333"/>
          <w:w w:val="110"/>
        </w:rPr>
        <w:t>for</w:t>
      </w:r>
      <w:r>
        <w:rPr>
          <w:color w:val="333333"/>
          <w:spacing w:val="-7"/>
          <w:w w:val="110"/>
        </w:rPr>
        <w:t xml:space="preserve"> </w:t>
      </w:r>
      <w:r>
        <w:rPr>
          <w:color w:val="333333"/>
          <w:w w:val="110"/>
        </w:rPr>
        <w:t>a</w:t>
      </w:r>
      <w:r>
        <w:rPr>
          <w:color w:val="333333"/>
          <w:spacing w:val="-7"/>
          <w:w w:val="110"/>
        </w:rPr>
        <w:t xml:space="preserve"> </w:t>
      </w:r>
      <w:r>
        <w:rPr>
          <w:rFonts w:ascii="MS Gothic" w:hAnsi="MS Gothic"/>
          <w:color w:val="B02045"/>
          <w:w w:val="110"/>
        </w:rPr>
        <w:t>ConnectionFactory</w:t>
      </w:r>
      <w:r>
        <w:rPr>
          <w:rFonts w:ascii="MS Gothic" w:hAnsi="MS Gothic"/>
          <w:color w:val="B02045"/>
          <w:spacing w:val="-71"/>
          <w:w w:val="110"/>
        </w:rPr>
        <w:t xml:space="preserve"> </w:t>
      </w:r>
      <w:r>
        <w:rPr>
          <w:color w:val="333333"/>
          <w:w w:val="110"/>
        </w:rPr>
        <w:t>at</w:t>
      </w:r>
      <w:r>
        <w:rPr>
          <w:color w:val="333333"/>
          <w:spacing w:val="-7"/>
          <w:w w:val="110"/>
        </w:rPr>
        <w:t xml:space="preserve"> </w:t>
      </w:r>
      <w:r>
        <w:rPr>
          <w:color w:val="333333"/>
          <w:w w:val="110"/>
        </w:rPr>
        <w:t>the</w:t>
      </w:r>
      <w:r>
        <w:rPr>
          <w:color w:val="333333"/>
          <w:spacing w:val="-7"/>
          <w:w w:val="110"/>
        </w:rPr>
        <w:t xml:space="preserve"> </w:t>
      </w:r>
      <w:r>
        <w:rPr>
          <w:color w:val="333333"/>
          <w:w w:val="110"/>
        </w:rPr>
        <w:t>JNDI</w:t>
      </w:r>
      <w:r>
        <w:rPr>
          <w:color w:val="333333"/>
          <w:spacing w:val="-7"/>
          <w:w w:val="110"/>
        </w:rPr>
        <w:t xml:space="preserve"> </w:t>
      </w:r>
      <w:r>
        <w:rPr>
          <w:color w:val="333333"/>
          <w:w w:val="110"/>
        </w:rPr>
        <w:t>path</w:t>
      </w:r>
      <w:r>
        <w:rPr>
          <w:color w:val="333333"/>
          <w:spacing w:val="-7"/>
          <w:w w:val="110"/>
        </w:rPr>
        <w:t xml:space="preserve"> </w:t>
      </w:r>
      <w:r>
        <w:rPr>
          <w:color w:val="333333"/>
          <w:w w:val="110"/>
        </w:rPr>
        <w:t>(</w:t>
      </w:r>
      <w:r>
        <w:rPr>
          <w:rFonts w:ascii="MS Gothic" w:hAnsi="MS Gothic"/>
          <w:color w:val="B02045"/>
          <w:w w:val="110"/>
        </w:rPr>
        <w:t>java:/JmsXA</w:t>
      </w:r>
      <w:r>
        <w:rPr>
          <w:rFonts w:ascii="MS Gothic" w:hAnsi="MS Gothic"/>
          <w:color w:val="B02045"/>
          <w:spacing w:val="-71"/>
          <w:w w:val="110"/>
        </w:rPr>
        <w:t xml:space="preserve"> </w:t>
      </w:r>
      <w:r>
        <w:rPr>
          <w:color w:val="333333"/>
          <w:w w:val="110"/>
        </w:rPr>
        <w:t>or</w:t>
      </w:r>
      <w:r>
        <w:rPr>
          <w:color w:val="333333"/>
          <w:spacing w:val="-6"/>
          <w:w w:val="110"/>
        </w:rPr>
        <w:t xml:space="preserve"> </w:t>
      </w:r>
      <w:r>
        <w:rPr>
          <w:rFonts w:ascii="MS Gothic" w:hAnsi="MS Gothic"/>
          <w:color w:val="B02045"/>
          <w:w w:val="110"/>
        </w:rPr>
        <w:t>java:/XAConnectionFactory</w:t>
      </w:r>
      <w:r>
        <w:rPr>
          <w:color w:val="333333"/>
          <w:w w:val="110"/>
        </w:rPr>
        <w:t>),</w:t>
      </w:r>
      <w:r>
        <w:rPr>
          <w:color w:val="333333"/>
          <w:spacing w:val="-7"/>
          <w:w w:val="110"/>
        </w:rPr>
        <w:t xml:space="preserve"> </w:t>
      </w:r>
      <w:r>
        <w:rPr>
          <w:color w:val="333333"/>
          <w:w w:val="110"/>
        </w:rPr>
        <w:t>and you</w:t>
      </w:r>
      <w:r>
        <w:rPr>
          <w:color w:val="333333"/>
          <w:spacing w:val="-7"/>
          <w:w w:val="110"/>
        </w:rPr>
        <w:t xml:space="preserve"> </w:t>
      </w:r>
      <w:r>
        <w:rPr>
          <w:color w:val="333333"/>
          <w:w w:val="110"/>
        </w:rPr>
        <w:t>can</w:t>
      </w:r>
      <w:r>
        <w:rPr>
          <w:color w:val="333333"/>
          <w:spacing w:val="-5"/>
          <w:w w:val="110"/>
        </w:rPr>
        <w:t xml:space="preserve"> </w:t>
      </w:r>
      <w:r>
        <w:rPr>
          <w:color w:val="333333"/>
          <w:w w:val="110"/>
        </w:rPr>
        <w:t>use</w:t>
      </w:r>
      <w:r>
        <w:rPr>
          <w:color w:val="333333"/>
          <w:spacing w:val="-7"/>
          <w:w w:val="110"/>
        </w:rPr>
        <w:t xml:space="preserve"> </w:t>
      </w:r>
      <w:r>
        <w:rPr>
          <w:color w:val="333333"/>
          <w:w w:val="110"/>
        </w:rPr>
        <w:t>the</w:t>
      </w:r>
      <w:r>
        <w:rPr>
          <w:color w:val="333333"/>
          <w:spacing w:val="-4"/>
          <w:w w:val="110"/>
        </w:rPr>
        <w:t xml:space="preserve"> </w:t>
      </w:r>
      <w:hyperlink w:anchor="_bookmark202" w:history="1">
        <w:r>
          <w:rPr>
            <w:rFonts w:ascii="MS Gothic" w:hAnsi="MS Gothic"/>
            <w:color w:val="B02045"/>
            <w:w w:val="110"/>
          </w:rPr>
          <w:t>spring.datasource.jndi-name</w:t>
        </w:r>
        <w:r>
          <w:rPr>
            <w:rFonts w:ascii="MS Gothic" w:hAnsi="MS Gothic"/>
            <w:color w:val="B02045"/>
            <w:spacing w:val="-71"/>
            <w:w w:val="110"/>
          </w:rPr>
          <w:t xml:space="preserve"> </w:t>
        </w:r>
      </w:hyperlink>
      <w:hyperlink w:anchor="_bookmark202" w:history="1">
        <w:r>
          <w:rPr>
            <w:color w:val="418BCA"/>
            <w:w w:val="110"/>
          </w:rPr>
          <w:t>property</w:t>
        </w:r>
        <w:r>
          <w:rPr>
            <w:color w:val="418BCA"/>
            <w:spacing w:val="-5"/>
            <w:w w:val="110"/>
          </w:rPr>
          <w:t xml:space="preserve"> </w:t>
        </w:r>
      </w:hyperlink>
      <w:r>
        <w:rPr>
          <w:color w:val="333333"/>
          <w:w w:val="110"/>
        </w:rPr>
        <w:t>to</w:t>
      </w:r>
      <w:r>
        <w:rPr>
          <w:color w:val="333333"/>
          <w:spacing w:val="-6"/>
          <w:w w:val="110"/>
        </w:rPr>
        <w:t xml:space="preserve"> </w:t>
      </w:r>
      <w:r>
        <w:rPr>
          <w:color w:val="333333"/>
          <w:w w:val="110"/>
        </w:rPr>
        <w:t>configure</w:t>
      </w:r>
      <w:r>
        <w:rPr>
          <w:color w:val="333333"/>
          <w:spacing w:val="-5"/>
          <w:w w:val="110"/>
        </w:rPr>
        <w:t xml:space="preserve"> </w:t>
      </w:r>
      <w:r>
        <w:rPr>
          <w:color w:val="333333"/>
          <w:w w:val="110"/>
        </w:rPr>
        <w:t>your</w:t>
      </w:r>
      <w:r>
        <w:rPr>
          <w:color w:val="333333"/>
          <w:spacing w:val="-5"/>
          <w:w w:val="110"/>
        </w:rPr>
        <w:t xml:space="preserve"> </w:t>
      </w:r>
      <w:r>
        <w:rPr>
          <w:rFonts w:ascii="MS Gothic" w:hAnsi="MS Gothic"/>
          <w:color w:val="B02045"/>
          <w:w w:val="110"/>
        </w:rPr>
        <w:t>DataSource</w:t>
      </w:r>
      <w:r>
        <w:rPr>
          <w:color w:val="333333"/>
          <w:w w:val="110"/>
        </w:rPr>
        <w:t>.</w:t>
      </w:r>
    </w:p>
    <w:p w14:paraId="64B10EF5" w14:textId="77777777" w:rsidR="00A720EB" w:rsidRDefault="00A720EB">
      <w:pPr>
        <w:pStyle w:val="a3"/>
        <w:spacing w:before="8"/>
        <w:rPr>
          <w:sz w:val="25"/>
        </w:rPr>
      </w:pPr>
    </w:p>
    <w:p w14:paraId="7797A98A" w14:textId="77777777" w:rsidR="00A720EB" w:rsidRDefault="0030286B">
      <w:pPr>
        <w:pStyle w:val="3"/>
        <w:numPr>
          <w:ilvl w:val="2"/>
          <w:numId w:val="68"/>
        </w:numPr>
        <w:tabs>
          <w:tab w:val="left" w:pos="1003"/>
        </w:tabs>
        <w:spacing w:before="1"/>
        <w:ind w:left="1002" w:hanging="879"/>
      </w:pPr>
      <w:bookmarkStart w:id="436" w:name="4.19.4._Mixing_XA_and_Non-XA_JMS_Connect"/>
      <w:bookmarkStart w:id="437" w:name="_Toc54423802"/>
      <w:bookmarkEnd w:id="436"/>
      <w:r>
        <w:rPr>
          <w:color w:val="333333"/>
          <w:w w:val="105"/>
        </w:rPr>
        <w:t>Mixing XA and Non-XA JMS</w:t>
      </w:r>
      <w:r>
        <w:rPr>
          <w:color w:val="333333"/>
          <w:spacing w:val="-9"/>
          <w:w w:val="105"/>
        </w:rPr>
        <w:t xml:space="preserve"> </w:t>
      </w:r>
      <w:r>
        <w:rPr>
          <w:color w:val="333333"/>
          <w:w w:val="105"/>
        </w:rPr>
        <w:t>Connections</w:t>
      </w:r>
      <w:bookmarkEnd w:id="437"/>
    </w:p>
    <w:p w14:paraId="104FF97D" w14:textId="77777777" w:rsidR="00A720EB" w:rsidRDefault="0030286B">
      <w:pPr>
        <w:pStyle w:val="a3"/>
        <w:spacing w:before="243" w:line="292" w:lineRule="auto"/>
        <w:ind w:left="124" w:right="127"/>
        <w:jc w:val="both"/>
      </w:pPr>
      <w:r>
        <w:rPr>
          <w:color w:val="333333"/>
          <w:w w:val="110"/>
        </w:rPr>
        <w:t xml:space="preserve">When using </w:t>
      </w:r>
      <w:r>
        <w:rPr>
          <w:color w:val="333333"/>
          <w:spacing w:val="-4"/>
          <w:w w:val="110"/>
        </w:rPr>
        <w:t xml:space="preserve">JTA, </w:t>
      </w:r>
      <w:r>
        <w:rPr>
          <w:color w:val="333333"/>
          <w:w w:val="110"/>
        </w:rPr>
        <w:t xml:space="preserve">the primary JMS </w:t>
      </w:r>
      <w:r>
        <w:rPr>
          <w:rFonts w:ascii="MS Gothic"/>
          <w:color w:val="B02045"/>
          <w:w w:val="110"/>
        </w:rPr>
        <w:t xml:space="preserve">ConnectionFactory </w:t>
      </w:r>
      <w:r>
        <w:rPr>
          <w:color w:val="333333"/>
          <w:w w:val="110"/>
        </w:rPr>
        <w:t xml:space="preserve">bean is XA-aware and participates </w:t>
      </w:r>
      <w:proofErr w:type="gramStart"/>
      <w:r>
        <w:rPr>
          <w:color w:val="333333"/>
          <w:w w:val="110"/>
        </w:rPr>
        <w:t>in  distributed</w:t>
      </w:r>
      <w:proofErr w:type="gramEnd"/>
      <w:r>
        <w:rPr>
          <w:color w:val="333333"/>
          <w:w w:val="110"/>
        </w:rPr>
        <w:t xml:space="preserve"> transactions. In some situations, you might want to process certain JMS messages </w:t>
      </w:r>
      <w:r>
        <w:rPr>
          <w:color w:val="333333"/>
          <w:spacing w:val="-3"/>
          <w:w w:val="110"/>
        </w:rPr>
        <w:t xml:space="preserve">by </w:t>
      </w:r>
      <w:r>
        <w:rPr>
          <w:color w:val="333333"/>
          <w:w w:val="110"/>
        </w:rPr>
        <w:t xml:space="preserve">using a non-XA </w:t>
      </w:r>
      <w:r>
        <w:rPr>
          <w:rFonts w:ascii="MS Gothic"/>
          <w:color w:val="B02045"/>
          <w:w w:val="110"/>
        </w:rPr>
        <w:t>ConnectionFactory</w:t>
      </w:r>
      <w:r>
        <w:rPr>
          <w:color w:val="333333"/>
          <w:w w:val="110"/>
        </w:rPr>
        <w:t xml:space="preserve">. </w:t>
      </w:r>
      <w:r>
        <w:rPr>
          <w:color w:val="333333"/>
          <w:spacing w:val="-4"/>
          <w:w w:val="110"/>
        </w:rPr>
        <w:t xml:space="preserve">For </w:t>
      </w:r>
      <w:r>
        <w:rPr>
          <w:color w:val="333333"/>
          <w:w w:val="110"/>
        </w:rPr>
        <w:t>example, your JMS processing logic might take longer than the XA</w:t>
      </w:r>
      <w:r>
        <w:rPr>
          <w:color w:val="333333"/>
          <w:spacing w:val="6"/>
          <w:w w:val="110"/>
        </w:rPr>
        <w:t xml:space="preserve"> </w:t>
      </w:r>
      <w:r>
        <w:rPr>
          <w:color w:val="333333"/>
          <w:w w:val="110"/>
        </w:rPr>
        <w:t>timeout.</w:t>
      </w:r>
    </w:p>
    <w:p w14:paraId="6722E8AE" w14:textId="77777777" w:rsidR="00A720EB" w:rsidRDefault="00A720EB">
      <w:pPr>
        <w:spacing w:line="292" w:lineRule="auto"/>
        <w:jc w:val="both"/>
        <w:sectPr w:rsidR="00A720EB">
          <w:pgSz w:w="11910" w:h="16840"/>
          <w:pgMar w:top="700" w:right="840" w:bottom="520" w:left="840" w:header="0" w:footer="323" w:gutter="0"/>
          <w:cols w:space="720"/>
        </w:sectPr>
      </w:pPr>
    </w:p>
    <w:p w14:paraId="414544DC" w14:textId="77777777" w:rsidR="00A720EB" w:rsidRDefault="0030286B">
      <w:pPr>
        <w:pStyle w:val="a3"/>
        <w:spacing w:before="96" w:line="280" w:lineRule="auto"/>
        <w:ind w:left="124" w:right="123"/>
        <w:jc w:val="both"/>
      </w:pPr>
      <w:r>
        <w:rPr>
          <w:color w:val="333333"/>
          <w:w w:val="110"/>
        </w:rPr>
        <w:lastRenderedPageBreak/>
        <w:t>If</w:t>
      </w:r>
      <w:r>
        <w:rPr>
          <w:color w:val="333333"/>
          <w:spacing w:val="-4"/>
          <w:w w:val="110"/>
        </w:rPr>
        <w:t xml:space="preserve"> </w:t>
      </w:r>
      <w:r>
        <w:rPr>
          <w:color w:val="333333"/>
          <w:w w:val="110"/>
        </w:rPr>
        <w:t>you</w:t>
      </w:r>
      <w:r>
        <w:rPr>
          <w:color w:val="333333"/>
          <w:spacing w:val="-4"/>
          <w:w w:val="110"/>
        </w:rPr>
        <w:t xml:space="preserve"> </w:t>
      </w:r>
      <w:r>
        <w:rPr>
          <w:color w:val="333333"/>
          <w:w w:val="110"/>
        </w:rPr>
        <w:t>want</w:t>
      </w:r>
      <w:r>
        <w:rPr>
          <w:color w:val="333333"/>
          <w:spacing w:val="-5"/>
          <w:w w:val="110"/>
        </w:rPr>
        <w:t xml:space="preserve"> </w:t>
      </w:r>
      <w:r>
        <w:rPr>
          <w:color w:val="333333"/>
          <w:w w:val="110"/>
        </w:rPr>
        <w:t>to</w:t>
      </w:r>
      <w:r>
        <w:rPr>
          <w:color w:val="333333"/>
          <w:spacing w:val="-3"/>
          <w:w w:val="110"/>
        </w:rPr>
        <w:t xml:space="preserve"> </w:t>
      </w:r>
      <w:r>
        <w:rPr>
          <w:color w:val="333333"/>
          <w:w w:val="110"/>
        </w:rPr>
        <w:t>use</w:t>
      </w:r>
      <w:r>
        <w:rPr>
          <w:color w:val="333333"/>
          <w:spacing w:val="-5"/>
          <w:w w:val="110"/>
        </w:rPr>
        <w:t xml:space="preserve"> </w:t>
      </w:r>
      <w:r>
        <w:rPr>
          <w:color w:val="333333"/>
          <w:w w:val="110"/>
        </w:rPr>
        <w:t>a</w:t>
      </w:r>
      <w:r>
        <w:rPr>
          <w:color w:val="333333"/>
          <w:spacing w:val="-4"/>
          <w:w w:val="110"/>
        </w:rPr>
        <w:t xml:space="preserve"> </w:t>
      </w:r>
      <w:r>
        <w:rPr>
          <w:color w:val="333333"/>
          <w:w w:val="110"/>
        </w:rPr>
        <w:t>non-XA</w:t>
      </w:r>
      <w:r>
        <w:rPr>
          <w:color w:val="333333"/>
          <w:spacing w:val="-2"/>
          <w:w w:val="110"/>
        </w:rPr>
        <w:t xml:space="preserve"> </w:t>
      </w:r>
      <w:r>
        <w:rPr>
          <w:rFonts w:ascii="MS Gothic"/>
          <w:color w:val="B02045"/>
          <w:w w:val="110"/>
        </w:rPr>
        <w:t>ConnectionFactory</w:t>
      </w:r>
      <w:r>
        <w:rPr>
          <w:color w:val="333333"/>
          <w:w w:val="110"/>
        </w:rPr>
        <w:t>,</w:t>
      </w:r>
      <w:r>
        <w:rPr>
          <w:color w:val="333333"/>
          <w:spacing w:val="-4"/>
          <w:w w:val="110"/>
        </w:rPr>
        <w:t xml:space="preserve"> </w:t>
      </w:r>
      <w:r>
        <w:rPr>
          <w:color w:val="333333"/>
          <w:w w:val="110"/>
        </w:rPr>
        <w:t>you</w:t>
      </w:r>
      <w:r>
        <w:rPr>
          <w:color w:val="333333"/>
          <w:spacing w:val="-4"/>
          <w:w w:val="110"/>
        </w:rPr>
        <w:t xml:space="preserve"> </w:t>
      </w:r>
      <w:r>
        <w:rPr>
          <w:color w:val="333333"/>
          <w:w w:val="110"/>
        </w:rPr>
        <w:t>can</w:t>
      </w:r>
      <w:r>
        <w:rPr>
          <w:color w:val="333333"/>
          <w:spacing w:val="-4"/>
          <w:w w:val="110"/>
        </w:rPr>
        <w:t xml:space="preserve"> </w:t>
      </w:r>
      <w:r>
        <w:rPr>
          <w:color w:val="333333"/>
          <w:w w:val="110"/>
        </w:rPr>
        <w:t>inject</w:t>
      </w:r>
      <w:r>
        <w:rPr>
          <w:color w:val="333333"/>
          <w:spacing w:val="-4"/>
          <w:w w:val="110"/>
        </w:rPr>
        <w:t xml:space="preserve"> </w:t>
      </w:r>
      <w:r>
        <w:rPr>
          <w:color w:val="333333"/>
          <w:w w:val="110"/>
        </w:rPr>
        <w:t>the</w:t>
      </w:r>
      <w:r>
        <w:rPr>
          <w:color w:val="333333"/>
          <w:spacing w:val="-3"/>
          <w:w w:val="110"/>
        </w:rPr>
        <w:t xml:space="preserve"> </w:t>
      </w:r>
      <w:r>
        <w:rPr>
          <w:rFonts w:ascii="MS Gothic"/>
          <w:color w:val="B02045"/>
          <w:w w:val="110"/>
        </w:rPr>
        <w:t>nonXaJmsConnectionFactory</w:t>
      </w:r>
      <w:r>
        <w:rPr>
          <w:rFonts w:ascii="MS Gothic"/>
          <w:color w:val="B02045"/>
          <w:spacing w:val="-68"/>
          <w:w w:val="110"/>
        </w:rPr>
        <w:t xml:space="preserve"> </w:t>
      </w:r>
      <w:r>
        <w:rPr>
          <w:color w:val="333333"/>
          <w:w w:val="110"/>
        </w:rPr>
        <w:t>bean rather</w:t>
      </w:r>
      <w:r>
        <w:rPr>
          <w:color w:val="333333"/>
          <w:spacing w:val="-30"/>
          <w:w w:val="110"/>
        </w:rPr>
        <w:t xml:space="preserve"> </w:t>
      </w:r>
      <w:r>
        <w:rPr>
          <w:color w:val="333333"/>
          <w:w w:val="110"/>
        </w:rPr>
        <w:t>than</w:t>
      </w:r>
      <w:r>
        <w:rPr>
          <w:color w:val="333333"/>
          <w:spacing w:val="-30"/>
          <w:w w:val="110"/>
        </w:rPr>
        <w:t xml:space="preserve"> </w:t>
      </w:r>
      <w:r>
        <w:rPr>
          <w:color w:val="333333"/>
          <w:w w:val="110"/>
        </w:rPr>
        <w:t>the</w:t>
      </w:r>
      <w:r>
        <w:rPr>
          <w:color w:val="333333"/>
          <w:spacing w:val="-29"/>
          <w:w w:val="110"/>
        </w:rPr>
        <w:t xml:space="preserve"> </w:t>
      </w:r>
      <w:r>
        <w:rPr>
          <w:rFonts w:ascii="MS Gothic"/>
          <w:color w:val="B02045"/>
          <w:w w:val="110"/>
        </w:rPr>
        <w:t>@Primary</w:t>
      </w:r>
      <w:r>
        <w:rPr>
          <w:rFonts w:ascii="MS Gothic"/>
          <w:color w:val="B02045"/>
          <w:spacing w:val="-94"/>
          <w:w w:val="110"/>
        </w:rPr>
        <w:t xml:space="preserve"> </w:t>
      </w:r>
      <w:r>
        <w:rPr>
          <w:rFonts w:ascii="MS Gothic"/>
          <w:color w:val="B02045"/>
          <w:w w:val="110"/>
        </w:rPr>
        <w:t>jmsConnectionFactory</w:t>
      </w:r>
      <w:r>
        <w:rPr>
          <w:rFonts w:ascii="MS Gothic"/>
          <w:color w:val="B02045"/>
          <w:spacing w:val="-94"/>
          <w:w w:val="110"/>
        </w:rPr>
        <w:t xml:space="preserve"> </w:t>
      </w:r>
      <w:r>
        <w:rPr>
          <w:color w:val="333333"/>
          <w:w w:val="110"/>
        </w:rPr>
        <w:t>bean.</w:t>
      </w:r>
      <w:r>
        <w:rPr>
          <w:color w:val="333333"/>
          <w:spacing w:val="-29"/>
          <w:w w:val="110"/>
        </w:rPr>
        <w:t xml:space="preserve"> </w:t>
      </w:r>
      <w:r>
        <w:rPr>
          <w:color w:val="333333"/>
          <w:spacing w:val="-4"/>
          <w:w w:val="110"/>
        </w:rPr>
        <w:t>For</w:t>
      </w:r>
      <w:r>
        <w:rPr>
          <w:color w:val="333333"/>
          <w:spacing w:val="-30"/>
          <w:w w:val="110"/>
        </w:rPr>
        <w:t xml:space="preserve"> </w:t>
      </w:r>
      <w:r>
        <w:rPr>
          <w:color w:val="333333"/>
          <w:spacing w:val="-3"/>
          <w:w w:val="110"/>
        </w:rPr>
        <w:t>consistency,</w:t>
      </w:r>
      <w:r>
        <w:rPr>
          <w:color w:val="333333"/>
          <w:spacing w:val="-29"/>
          <w:w w:val="110"/>
        </w:rPr>
        <w:t xml:space="preserve"> </w:t>
      </w:r>
      <w:r>
        <w:rPr>
          <w:color w:val="333333"/>
          <w:w w:val="110"/>
        </w:rPr>
        <w:t>the</w:t>
      </w:r>
      <w:r>
        <w:rPr>
          <w:color w:val="333333"/>
          <w:spacing w:val="-29"/>
          <w:w w:val="110"/>
        </w:rPr>
        <w:t xml:space="preserve"> </w:t>
      </w:r>
      <w:r>
        <w:rPr>
          <w:rFonts w:ascii="MS Gothic"/>
          <w:color w:val="B02045"/>
          <w:w w:val="110"/>
        </w:rPr>
        <w:t>jmsConnectionFactory</w:t>
      </w:r>
      <w:r>
        <w:rPr>
          <w:rFonts w:ascii="MS Gothic"/>
          <w:color w:val="B02045"/>
          <w:spacing w:val="-94"/>
          <w:w w:val="110"/>
        </w:rPr>
        <w:t xml:space="preserve"> </w:t>
      </w:r>
      <w:r>
        <w:rPr>
          <w:color w:val="333333"/>
          <w:w w:val="110"/>
        </w:rPr>
        <w:t xml:space="preserve">bean is also provided </w:t>
      </w:r>
      <w:r>
        <w:rPr>
          <w:color w:val="333333"/>
          <w:spacing w:val="-3"/>
          <w:w w:val="110"/>
        </w:rPr>
        <w:t xml:space="preserve">by </w:t>
      </w:r>
      <w:r>
        <w:rPr>
          <w:color w:val="333333"/>
          <w:w w:val="110"/>
        </w:rPr>
        <w:t>using the bean alias</w:t>
      </w:r>
      <w:r>
        <w:rPr>
          <w:color w:val="333333"/>
          <w:spacing w:val="9"/>
          <w:w w:val="110"/>
        </w:rPr>
        <w:t xml:space="preserve"> </w:t>
      </w:r>
      <w:r>
        <w:rPr>
          <w:rFonts w:ascii="MS Gothic"/>
          <w:color w:val="B02045"/>
          <w:w w:val="110"/>
        </w:rPr>
        <w:t>xaJmsConnectionFactory</w:t>
      </w:r>
      <w:r>
        <w:rPr>
          <w:color w:val="333333"/>
          <w:w w:val="110"/>
        </w:rPr>
        <w:t>.</w:t>
      </w:r>
    </w:p>
    <w:p w14:paraId="196F8A1C" w14:textId="77777777" w:rsidR="00A720EB" w:rsidRDefault="0030286B">
      <w:pPr>
        <w:pStyle w:val="a3"/>
        <w:spacing w:before="243"/>
        <w:ind w:left="124"/>
        <w:jc w:val="both"/>
      </w:pPr>
      <w:r>
        <w:rPr>
          <w:color w:val="333333"/>
          <w:w w:val="110"/>
        </w:rPr>
        <w:t xml:space="preserve">The following example shows how to inject </w:t>
      </w:r>
      <w:r>
        <w:rPr>
          <w:rFonts w:ascii="MS Gothic"/>
          <w:color w:val="B02045"/>
          <w:w w:val="110"/>
        </w:rPr>
        <w:t>ConnectionFactory</w:t>
      </w:r>
      <w:r>
        <w:rPr>
          <w:rFonts w:ascii="MS Gothic"/>
          <w:color w:val="B02045"/>
          <w:spacing w:val="-59"/>
          <w:w w:val="110"/>
        </w:rPr>
        <w:t xml:space="preserve"> </w:t>
      </w:r>
      <w:r>
        <w:rPr>
          <w:color w:val="333333"/>
          <w:w w:val="110"/>
        </w:rPr>
        <w:t>instances:</w:t>
      </w:r>
    </w:p>
    <w:p w14:paraId="67121402" w14:textId="77777777" w:rsidR="00A720EB" w:rsidRDefault="00E10349">
      <w:pPr>
        <w:pStyle w:val="a3"/>
        <w:spacing w:before="10"/>
        <w:rPr>
          <w:sz w:val="17"/>
        </w:rPr>
      </w:pPr>
      <w:r>
        <w:pict w14:anchorId="110540AA">
          <v:group id="_x0000_s3748" style="position:absolute;margin-left:47.85pt;margin-top:12.5pt;width:499.55pt;height:229.15pt;z-index:-15384064;mso-wrap-distance-left:0;mso-wrap-distance-right:0;mso-position-horizontal-relative:page" coordorigin="957,250" coordsize="9991,4583">
            <v:shape id="_x0000_s3751" style="position:absolute;left:964;top:257;width:9976;height:4568" coordorigin="965,257" coordsize="9976,4568" path="m10861,257r-9816,l1014,263r-26,18l971,306r-6,31l965,4744r6,31l988,4801r26,17l1045,4824r9816,l10892,4818r25,-17l10935,4775r6,-31l10941,337r-6,-31l10917,281r-25,-18l10861,257xe" fillcolor="#f5f5f5" stroked="f">
              <v:path arrowok="t"/>
            </v:shape>
            <v:shape id="_x0000_s3750" style="position:absolute;left:964;top:257;width:9976;height:4568" coordorigin="965,257" coordsize="9976,4568" path="m1045,257r9816,l10892,263r25,18l10935,306r6,31l10941,4744r-6,31l10917,4801r-25,17l10861,4824r-9816,l1014,4818r-26,-17l971,4775r-6,-31l965,337r6,-31l988,281r26,-18l1045,257xe" filled="f" strokecolor="#ccc">
              <v:path arrowok="t"/>
            </v:shape>
            <v:shape id="_x0000_s3749" type="#_x0000_t202" style="position:absolute;left:984;top:272;width:9938;height:4537" filled="f" stroked="f">
              <v:textbox inset="0,0,0,0">
                <w:txbxContent>
                  <w:p w14:paraId="480D61FD" w14:textId="77777777" w:rsidR="00711A16" w:rsidRDefault="00711A16">
                    <w:pPr>
                      <w:spacing w:before="221" w:line="252" w:lineRule="auto"/>
                      <w:ind w:left="200" w:right="4218"/>
                      <w:rPr>
                        <w:rFonts w:ascii="MS Gothic"/>
                      </w:rPr>
                    </w:pPr>
                    <w:r>
                      <w:rPr>
                        <w:rFonts w:ascii="MS Gothic"/>
                        <w:color w:val="333333"/>
                      </w:rPr>
                      <w:t>// Inject the primary (XA aware) ConnectionFactory @Autowired</w:t>
                    </w:r>
                  </w:p>
                  <w:p w14:paraId="44750612" w14:textId="77777777" w:rsidR="00711A16" w:rsidRDefault="00711A16">
                    <w:pPr>
                      <w:spacing w:line="280" w:lineRule="exact"/>
                      <w:ind w:left="200"/>
                      <w:rPr>
                        <w:rFonts w:ascii="MS Gothic"/>
                      </w:rPr>
                    </w:pPr>
                    <w:r>
                      <w:rPr>
                        <w:rFonts w:ascii="MS Gothic"/>
                        <w:color w:val="333333"/>
                      </w:rPr>
                      <w:t>private ConnectionFactory defaultConnectionFactory;</w:t>
                    </w:r>
                  </w:p>
                  <w:p w14:paraId="5876AE3D" w14:textId="77777777" w:rsidR="00711A16" w:rsidRDefault="00711A16">
                    <w:pPr>
                      <w:rPr>
                        <w:rFonts w:ascii="MS Gothic"/>
                        <w:sz w:val="24"/>
                      </w:rPr>
                    </w:pPr>
                  </w:p>
                  <w:p w14:paraId="5C0741DC" w14:textId="77777777" w:rsidR="00711A16" w:rsidRDefault="00711A16">
                    <w:pPr>
                      <w:spacing w:line="252" w:lineRule="auto"/>
                      <w:ind w:left="200" w:right="918"/>
                      <w:rPr>
                        <w:rFonts w:ascii="MS Gothic"/>
                      </w:rPr>
                    </w:pPr>
                    <w:r>
                      <w:rPr>
                        <w:rFonts w:ascii="MS Gothic"/>
                        <w:color w:val="333333"/>
                      </w:rPr>
                      <w:t>// Inject the XA aware ConnectionFactory (uses the alias and injects the same as above)</w:t>
                    </w:r>
                  </w:p>
                  <w:p w14:paraId="1D767DC0" w14:textId="77777777" w:rsidR="00711A16" w:rsidRDefault="00711A16">
                    <w:pPr>
                      <w:spacing w:line="252" w:lineRule="auto"/>
                      <w:ind w:left="200" w:right="5758"/>
                      <w:rPr>
                        <w:rFonts w:ascii="MS Gothic"/>
                      </w:rPr>
                    </w:pPr>
                    <w:r>
                      <w:rPr>
                        <w:rFonts w:ascii="MS Gothic"/>
                        <w:color w:val="333333"/>
                      </w:rPr>
                      <w:t>@Autowired @Qualifier("xaJmsConnectionFactory")</w:t>
                    </w:r>
                  </w:p>
                  <w:p w14:paraId="65C2E6A5" w14:textId="77777777" w:rsidR="00711A16" w:rsidRDefault="00711A16">
                    <w:pPr>
                      <w:spacing w:line="280" w:lineRule="exact"/>
                      <w:ind w:left="200"/>
                      <w:rPr>
                        <w:rFonts w:ascii="MS Gothic"/>
                      </w:rPr>
                    </w:pPr>
                    <w:r>
                      <w:rPr>
                        <w:rFonts w:ascii="MS Gothic"/>
                        <w:color w:val="333333"/>
                      </w:rPr>
                      <w:t>private ConnectionFactory xaConnectionFactory;</w:t>
                    </w:r>
                  </w:p>
                  <w:p w14:paraId="0117351E" w14:textId="77777777" w:rsidR="00711A16" w:rsidRDefault="00711A16">
                    <w:pPr>
                      <w:spacing w:before="10"/>
                      <w:rPr>
                        <w:rFonts w:ascii="MS Gothic"/>
                        <w:sz w:val="23"/>
                      </w:rPr>
                    </w:pPr>
                  </w:p>
                  <w:p w14:paraId="725D65F6" w14:textId="77777777" w:rsidR="00711A16" w:rsidRDefault="00711A16">
                    <w:pPr>
                      <w:spacing w:before="1" w:line="252" w:lineRule="auto"/>
                      <w:ind w:left="200" w:right="4878"/>
                      <w:rPr>
                        <w:rFonts w:ascii="MS Gothic"/>
                      </w:rPr>
                    </w:pPr>
                    <w:r>
                      <w:rPr>
                        <w:rFonts w:ascii="MS Gothic"/>
                        <w:color w:val="333333"/>
                      </w:rPr>
                      <w:t>// Inject the non-XA aware ConnectionFactory @Autowired @Qualifier("nonXaJmsConnectionFactory")</w:t>
                    </w:r>
                  </w:p>
                  <w:p w14:paraId="041D72B4" w14:textId="77777777" w:rsidR="00711A16" w:rsidRDefault="00711A16">
                    <w:pPr>
                      <w:spacing w:line="278" w:lineRule="exact"/>
                      <w:ind w:left="200"/>
                      <w:rPr>
                        <w:rFonts w:ascii="MS Gothic"/>
                      </w:rPr>
                    </w:pPr>
                    <w:r>
                      <w:rPr>
                        <w:rFonts w:ascii="MS Gothic"/>
                        <w:color w:val="333333"/>
                      </w:rPr>
                      <w:t>private ConnectionFactory nonXaConnectionFactory;</w:t>
                    </w:r>
                  </w:p>
                </w:txbxContent>
              </v:textbox>
            </v:shape>
            <w10:wrap type="topAndBottom" anchorx="page"/>
          </v:group>
        </w:pict>
      </w:r>
    </w:p>
    <w:p w14:paraId="3B9687A3" w14:textId="77777777" w:rsidR="00A720EB" w:rsidRDefault="00A720EB">
      <w:pPr>
        <w:pStyle w:val="a3"/>
        <w:spacing w:before="11"/>
        <w:rPr>
          <w:sz w:val="16"/>
        </w:rPr>
      </w:pPr>
    </w:p>
    <w:p w14:paraId="18DE5C2C" w14:textId="77777777" w:rsidR="00A720EB" w:rsidRDefault="0030286B">
      <w:pPr>
        <w:pStyle w:val="3"/>
        <w:numPr>
          <w:ilvl w:val="2"/>
          <w:numId w:val="68"/>
        </w:numPr>
        <w:tabs>
          <w:tab w:val="left" w:pos="1003"/>
        </w:tabs>
        <w:spacing w:before="105"/>
        <w:ind w:left="1002" w:hanging="879"/>
      </w:pPr>
      <w:bookmarkStart w:id="438" w:name="4.19.5._Supporting_an_Alternative_Embedd"/>
      <w:bookmarkStart w:id="439" w:name="_Toc54423803"/>
      <w:bookmarkEnd w:id="438"/>
      <w:r>
        <w:rPr>
          <w:color w:val="333333"/>
          <w:w w:val="110"/>
        </w:rPr>
        <w:t>Supporting an Alternative Embedded Transaction</w:t>
      </w:r>
      <w:r>
        <w:rPr>
          <w:color w:val="333333"/>
          <w:spacing w:val="-25"/>
          <w:w w:val="110"/>
        </w:rPr>
        <w:t xml:space="preserve"> </w:t>
      </w:r>
      <w:r>
        <w:rPr>
          <w:color w:val="333333"/>
          <w:w w:val="110"/>
        </w:rPr>
        <w:t>Manager</w:t>
      </w:r>
      <w:bookmarkEnd w:id="439"/>
    </w:p>
    <w:p w14:paraId="2582C34D" w14:textId="77777777" w:rsidR="00A720EB" w:rsidRDefault="0030286B">
      <w:pPr>
        <w:pStyle w:val="a3"/>
        <w:spacing w:before="243" w:line="285" w:lineRule="auto"/>
        <w:ind w:left="124" w:right="123"/>
        <w:jc w:val="both"/>
      </w:pPr>
      <w:r>
        <w:rPr>
          <w:color w:val="333333"/>
          <w:w w:val="110"/>
        </w:rPr>
        <w:t xml:space="preserve">The </w:t>
      </w:r>
      <w:hyperlink r:id="rId306">
        <w:r>
          <w:rPr>
            <w:rFonts w:ascii="MS Gothic"/>
            <w:color w:val="B02045"/>
            <w:w w:val="110"/>
          </w:rPr>
          <w:t>XAConnectionFactoryWrapper</w:t>
        </w:r>
      </w:hyperlink>
      <w:r>
        <w:rPr>
          <w:rFonts w:ascii="MS Gothic"/>
          <w:color w:val="B02045"/>
          <w:w w:val="110"/>
        </w:rPr>
        <w:t xml:space="preserve"> </w:t>
      </w:r>
      <w:r>
        <w:rPr>
          <w:color w:val="333333"/>
          <w:w w:val="110"/>
        </w:rPr>
        <w:t xml:space="preserve">and </w:t>
      </w:r>
      <w:hyperlink r:id="rId307">
        <w:r>
          <w:rPr>
            <w:rFonts w:ascii="MS Gothic"/>
            <w:color w:val="B02045"/>
            <w:w w:val="110"/>
          </w:rPr>
          <w:t>XADataSourceWrapper</w:t>
        </w:r>
      </w:hyperlink>
      <w:r>
        <w:rPr>
          <w:rFonts w:ascii="MS Gothic"/>
          <w:color w:val="B02045"/>
          <w:w w:val="110"/>
        </w:rPr>
        <w:t xml:space="preserve"> </w:t>
      </w:r>
      <w:r>
        <w:rPr>
          <w:color w:val="333333"/>
          <w:w w:val="110"/>
        </w:rPr>
        <w:t xml:space="preserve">interfaces can be used to support alternative embedded transaction managers. The interfaces are responsible for wrapping </w:t>
      </w:r>
      <w:r>
        <w:rPr>
          <w:rFonts w:ascii="MS Gothic"/>
          <w:color w:val="B02045"/>
          <w:w w:val="110"/>
        </w:rPr>
        <w:t>XAConnectionFactory</w:t>
      </w:r>
      <w:r>
        <w:rPr>
          <w:rFonts w:ascii="MS Gothic"/>
          <w:color w:val="B02045"/>
          <w:spacing w:val="-75"/>
          <w:w w:val="110"/>
        </w:rPr>
        <w:t xml:space="preserve"> </w:t>
      </w:r>
      <w:r>
        <w:rPr>
          <w:color w:val="333333"/>
          <w:w w:val="110"/>
        </w:rPr>
        <w:t>and</w:t>
      </w:r>
      <w:r>
        <w:rPr>
          <w:color w:val="333333"/>
          <w:spacing w:val="-11"/>
          <w:w w:val="110"/>
        </w:rPr>
        <w:t xml:space="preserve"> </w:t>
      </w:r>
      <w:r>
        <w:rPr>
          <w:rFonts w:ascii="MS Gothic"/>
          <w:color w:val="B02045"/>
          <w:w w:val="110"/>
        </w:rPr>
        <w:t>XADataSource</w:t>
      </w:r>
      <w:r>
        <w:rPr>
          <w:rFonts w:ascii="MS Gothic"/>
          <w:color w:val="B02045"/>
          <w:spacing w:val="-75"/>
          <w:w w:val="110"/>
        </w:rPr>
        <w:t xml:space="preserve"> </w:t>
      </w:r>
      <w:r>
        <w:rPr>
          <w:color w:val="333333"/>
          <w:w w:val="110"/>
        </w:rPr>
        <w:t>beans</w:t>
      </w:r>
      <w:r>
        <w:rPr>
          <w:color w:val="333333"/>
          <w:spacing w:val="-10"/>
          <w:w w:val="110"/>
        </w:rPr>
        <w:t xml:space="preserve"> </w:t>
      </w:r>
      <w:r>
        <w:rPr>
          <w:color w:val="333333"/>
          <w:w w:val="110"/>
        </w:rPr>
        <w:t>and</w:t>
      </w:r>
      <w:r>
        <w:rPr>
          <w:color w:val="333333"/>
          <w:spacing w:val="-11"/>
          <w:w w:val="110"/>
        </w:rPr>
        <w:t xml:space="preserve"> </w:t>
      </w:r>
      <w:r>
        <w:rPr>
          <w:color w:val="333333"/>
          <w:w w:val="110"/>
        </w:rPr>
        <w:t>exposing</w:t>
      </w:r>
      <w:r>
        <w:rPr>
          <w:color w:val="333333"/>
          <w:spacing w:val="-10"/>
          <w:w w:val="110"/>
        </w:rPr>
        <w:t xml:space="preserve"> </w:t>
      </w:r>
      <w:r>
        <w:rPr>
          <w:color w:val="333333"/>
          <w:w w:val="110"/>
        </w:rPr>
        <w:t>them</w:t>
      </w:r>
      <w:r>
        <w:rPr>
          <w:color w:val="333333"/>
          <w:spacing w:val="-10"/>
          <w:w w:val="110"/>
        </w:rPr>
        <w:t xml:space="preserve"> </w:t>
      </w:r>
      <w:r>
        <w:rPr>
          <w:color w:val="333333"/>
          <w:w w:val="110"/>
        </w:rPr>
        <w:t>as</w:t>
      </w:r>
      <w:r>
        <w:rPr>
          <w:color w:val="333333"/>
          <w:spacing w:val="-11"/>
          <w:w w:val="110"/>
        </w:rPr>
        <w:t xml:space="preserve"> </w:t>
      </w:r>
      <w:r>
        <w:rPr>
          <w:color w:val="333333"/>
          <w:w w:val="110"/>
        </w:rPr>
        <w:t>regular</w:t>
      </w:r>
      <w:r>
        <w:rPr>
          <w:color w:val="333333"/>
          <w:spacing w:val="-9"/>
          <w:w w:val="110"/>
        </w:rPr>
        <w:t xml:space="preserve"> </w:t>
      </w:r>
      <w:r>
        <w:rPr>
          <w:rFonts w:ascii="MS Gothic"/>
          <w:color w:val="B02045"/>
          <w:w w:val="110"/>
        </w:rPr>
        <w:t>ConnectionFactory</w:t>
      </w:r>
      <w:r>
        <w:rPr>
          <w:rFonts w:ascii="MS Gothic"/>
          <w:color w:val="B02045"/>
          <w:spacing w:val="-75"/>
          <w:w w:val="110"/>
        </w:rPr>
        <w:t xml:space="preserve"> </w:t>
      </w:r>
      <w:r>
        <w:rPr>
          <w:color w:val="333333"/>
          <w:w w:val="110"/>
        </w:rPr>
        <w:t xml:space="preserve">and </w:t>
      </w:r>
      <w:r>
        <w:rPr>
          <w:rFonts w:ascii="MS Gothic"/>
          <w:color w:val="B02045"/>
          <w:w w:val="110"/>
        </w:rPr>
        <w:t xml:space="preserve">DataSource </w:t>
      </w:r>
      <w:r>
        <w:rPr>
          <w:color w:val="333333"/>
          <w:w w:val="110"/>
        </w:rPr>
        <w:t xml:space="preserve">beans, which transparently enroll in the distributed transaction. DataSource and </w:t>
      </w:r>
      <w:proofErr w:type="gramStart"/>
      <w:r>
        <w:rPr>
          <w:color w:val="333333"/>
          <w:w w:val="110"/>
        </w:rPr>
        <w:t>JMS  auto</w:t>
      </w:r>
      <w:proofErr w:type="gramEnd"/>
      <w:r>
        <w:rPr>
          <w:color w:val="333333"/>
          <w:w w:val="110"/>
        </w:rPr>
        <w:t xml:space="preserve">-configuration use </w:t>
      </w:r>
      <w:r>
        <w:rPr>
          <w:color w:val="333333"/>
          <w:spacing w:val="-5"/>
          <w:w w:val="110"/>
        </w:rPr>
        <w:t xml:space="preserve">JTA </w:t>
      </w:r>
      <w:r>
        <w:rPr>
          <w:color w:val="333333"/>
          <w:w w:val="110"/>
        </w:rPr>
        <w:t xml:space="preserve">variants, provided you have a </w:t>
      </w:r>
      <w:r>
        <w:rPr>
          <w:rFonts w:ascii="MS Gothic"/>
          <w:color w:val="B02045"/>
          <w:w w:val="110"/>
        </w:rPr>
        <w:t xml:space="preserve">JtaTransactionManager </w:t>
      </w:r>
      <w:r>
        <w:rPr>
          <w:color w:val="333333"/>
          <w:w w:val="110"/>
        </w:rPr>
        <w:t>bean and appropriate XA wrapper beans registered within your</w:t>
      </w:r>
      <w:r>
        <w:rPr>
          <w:color w:val="333333"/>
          <w:spacing w:val="8"/>
          <w:w w:val="110"/>
        </w:rPr>
        <w:t xml:space="preserve"> </w:t>
      </w:r>
      <w:r>
        <w:rPr>
          <w:rFonts w:ascii="MS Gothic"/>
          <w:color w:val="B02045"/>
          <w:w w:val="110"/>
        </w:rPr>
        <w:t>ApplicationContext</w:t>
      </w:r>
      <w:r>
        <w:rPr>
          <w:color w:val="333333"/>
          <w:w w:val="110"/>
        </w:rPr>
        <w:t>.</w:t>
      </w:r>
    </w:p>
    <w:p w14:paraId="248B271C" w14:textId="77777777" w:rsidR="00A720EB" w:rsidRDefault="0030286B">
      <w:pPr>
        <w:pStyle w:val="a3"/>
        <w:spacing w:before="250" w:line="307" w:lineRule="auto"/>
        <w:ind w:left="124" w:right="124"/>
        <w:jc w:val="both"/>
      </w:pPr>
      <w:r>
        <w:rPr>
          <w:color w:val="333333"/>
          <w:w w:val="110"/>
        </w:rPr>
        <w:t xml:space="preserve">The </w:t>
      </w:r>
      <w:hyperlink r:id="rId308">
        <w:r>
          <w:rPr>
            <w:color w:val="418BCA"/>
            <w:w w:val="110"/>
          </w:rPr>
          <w:t>AtomikosXAConnectionFactoryWrapper</w:t>
        </w:r>
      </w:hyperlink>
      <w:r>
        <w:rPr>
          <w:color w:val="418BCA"/>
          <w:w w:val="110"/>
        </w:rPr>
        <w:t xml:space="preserve"> </w:t>
      </w:r>
      <w:r>
        <w:rPr>
          <w:color w:val="333333"/>
          <w:w w:val="110"/>
        </w:rPr>
        <w:t xml:space="preserve">and </w:t>
      </w:r>
      <w:hyperlink r:id="rId309">
        <w:r>
          <w:rPr>
            <w:color w:val="418BCA"/>
            <w:w w:val="110"/>
          </w:rPr>
          <w:t>AtomikosXADataSourceWrapper</w:t>
        </w:r>
      </w:hyperlink>
      <w:r>
        <w:rPr>
          <w:color w:val="418BCA"/>
          <w:w w:val="110"/>
        </w:rPr>
        <w:t xml:space="preserve"> </w:t>
      </w:r>
      <w:r>
        <w:rPr>
          <w:color w:val="333333"/>
          <w:w w:val="110"/>
        </w:rPr>
        <w:t>provide good examples of how to write XA wrappers.</w:t>
      </w:r>
    </w:p>
    <w:p w14:paraId="09681140" w14:textId="77777777" w:rsidR="00A720EB" w:rsidRDefault="00A720EB">
      <w:pPr>
        <w:pStyle w:val="a3"/>
        <w:spacing w:before="11"/>
        <w:rPr>
          <w:sz w:val="25"/>
        </w:rPr>
      </w:pPr>
    </w:p>
    <w:p w14:paraId="786A80F0" w14:textId="77777777" w:rsidR="00A720EB" w:rsidRDefault="0030286B">
      <w:pPr>
        <w:pStyle w:val="2"/>
        <w:numPr>
          <w:ilvl w:val="1"/>
          <w:numId w:val="68"/>
        </w:numPr>
        <w:tabs>
          <w:tab w:val="left" w:pos="1034"/>
        </w:tabs>
        <w:ind w:left="1033" w:hanging="910"/>
      </w:pPr>
      <w:bookmarkStart w:id="440" w:name="4.20._Hazelcast"/>
      <w:bookmarkStart w:id="441" w:name="_Toc54423804"/>
      <w:bookmarkEnd w:id="440"/>
      <w:r>
        <w:rPr>
          <w:color w:val="333333"/>
          <w:w w:val="110"/>
        </w:rPr>
        <w:t>Hazelcast</w:t>
      </w:r>
      <w:bookmarkEnd w:id="441"/>
    </w:p>
    <w:p w14:paraId="28E17C56" w14:textId="77777777" w:rsidR="00A720EB" w:rsidRDefault="0030286B">
      <w:pPr>
        <w:pStyle w:val="a3"/>
        <w:spacing w:before="253"/>
        <w:ind w:left="124"/>
        <w:jc w:val="both"/>
      </w:pPr>
      <w:r>
        <w:rPr>
          <w:color w:val="333333"/>
          <w:w w:val="110"/>
        </w:rPr>
        <w:t xml:space="preserve">If </w:t>
      </w:r>
      <w:hyperlink r:id="rId310">
        <w:r>
          <w:rPr>
            <w:color w:val="418BCA"/>
            <w:w w:val="110"/>
          </w:rPr>
          <w:t xml:space="preserve">Hazelcast </w:t>
        </w:r>
      </w:hyperlink>
      <w:r>
        <w:rPr>
          <w:color w:val="333333"/>
          <w:w w:val="110"/>
        </w:rPr>
        <w:t>is on the classpath and a suitable configuration is found, Spring Boot auto-configures a</w:t>
      </w:r>
    </w:p>
    <w:p w14:paraId="6D6BC089" w14:textId="77777777" w:rsidR="00A720EB" w:rsidRDefault="0030286B">
      <w:pPr>
        <w:pStyle w:val="a3"/>
        <w:spacing w:before="59"/>
        <w:ind w:left="124"/>
        <w:jc w:val="both"/>
      </w:pPr>
      <w:r>
        <w:rPr>
          <w:rFonts w:ascii="MS Gothic"/>
          <w:color w:val="B02045"/>
          <w:w w:val="110"/>
        </w:rPr>
        <w:t>HazelcastInstance</w:t>
      </w:r>
      <w:r>
        <w:rPr>
          <w:rFonts w:ascii="MS Gothic"/>
          <w:color w:val="B02045"/>
          <w:spacing w:val="-56"/>
          <w:w w:val="110"/>
        </w:rPr>
        <w:t xml:space="preserve"> </w:t>
      </w:r>
      <w:r>
        <w:rPr>
          <w:color w:val="333333"/>
          <w:w w:val="110"/>
        </w:rPr>
        <w:t>that you can inject in your application.</w:t>
      </w:r>
    </w:p>
    <w:p w14:paraId="59C64B0B" w14:textId="77777777" w:rsidR="00A720EB" w:rsidRDefault="00A720EB">
      <w:pPr>
        <w:pStyle w:val="a3"/>
        <w:spacing w:before="5"/>
        <w:rPr>
          <w:sz w:val="24"/>
        </w:rPr>
      </w:pPr>
    </w:p>
    <w:p w14:paraId="2739C7D4" w14:textId="77777777" w:rsidR="00A720EB" w:rsidRDefault="0030286B">
      <w:pPr>
        <w:pStyle w:val="a3"/>
        <w:spacing w:line="300" w:lineRule="auto"/>
        <w:ind w:left="124" w:right="129"/>
        <w:jc w:val="both"/>
      </w:pPr>
      <w:r>
        <w:rPr>
          <w:color w:val="333333"/>
          <w:w w:val="110"/>
        </w:rPr>
        <w:t xml:space="preserve">If you define a </w:t>
      </w:r>
      <w:proofErr w:type="gramStart"/>
      <w:r>
        <w:rPr>
          <w:rFonts w:ascii="MS Gothic"/>
          <w:color w:val="B02045"/>
          <w:w w:val="110"/>
        </w:rPr>
        <w:t>com.hazelcast</w:t>
      </w:r>
      <w:proofErr w:type="gramEnd"/>
      <w:r>
        <w:rPr>
          <w:rFonts w:ascii="MS Gothic"/>
          <w:color w:val="B02045"/>
          <w:w w:val="110"/>
        </w:rPr>
        <w:t xml:space="preserve">.config.Config </w:t>
      </w:r>
      <w:r>
        <w:rPr>
          <w:color w:val="333333"/>
          <w:w w:val="110"/>
        </w:rPr>
        <w:t xml:space="preserve">bean, Spring Boot uses that. If your configuration defines an instance name, Spring Boot tries to locate an existing instance rather than creating a   </w:t>
      </w:r>
      <w:r>
        <w:rPr>
          <w:color w:val="333333"/>
          <w:spacing w:val="50"/>
          <w:w w:val="110"/>
        </w:rPr>
        <w:t xml:space="preserve"> </w:t>
      </w:r>
      <w:r>
        <w:rPr>
          <w:color w:val="333333"/>
          <w:w w:val="110"/>
        </w:rPr>
        <w:t>new</w:t>
      </w:r>
      <w:r>
        <w:rPr>
          <w:color w:val="333333"/>
          <w:spacing w:val="3"/>
          <w:w w:val="110"/>
        </w:rPr>
        <w:t xml:space="preserve"> </w:t>
      </w:r>
      <w:r>
        <w:rPr>
          <w:color w:val="333333"/>
          <w:w w:val="110"/>
        </w:rPr>
        <w:t>one.</w:t>
      </w:r>
    </w:p>
    <w:p w14:paraId="6EB3D9E4" w14:textId="77777777" w:rsidR="00A720EB" w:rsidRDefault="0030286B">
      <w:pPr>
        <w:pStyle w:val="a3"/>
        <w:spacing w:before="246" w:line="307" w:lineRule="auto"/>
        <w:ind w:left="124" w:right="131"/>
        <w:jc w:val="both"/>
      </w:pPr>
      <w:r>
        <w:rPr>
          <w:color w:val="333333"/>
          <w:w w:val="110"/>
        </w:rPr>
        <w:t>You could also specify the Hazelcast configuration file to use through configuration, as shown in the following example:</w:t>
      </w:r>
    </w:p>
    <w:p w14:paraId="04BB03C8" w14:textId="77777777" w:rsidR="00A720EB" w:rsidRDefault="00E10349">
      <w:pPr>
        <w:pStyle w:val="a3"/>
        <w:spacing w:before="1"/>
        <w:rPr>
          <w:sz w:val="13"/>
        </w:rPr>
      </w:pPr>
      <w:r>
        <w:pict w14:anchorId="118E684B">
          <v:group id="_x0000_s3744" style="position:absolute;margin-left:47.85pt;margin-top:9.65pt;width:499.55pt;height:37.5pt;z-index:-15383552;mso-wrap-distance-left:0;mso-wrap-distance-right:0;mso-position-horizontal-relative:page" coordorigin="957,193" coordsize="9991,750">
            <v:shape id="_x0000_s3747" style="position:absolute;left:964;top:200;width:9976;height:735" coordorigin="965,200" coordsize="9976,735" path="m10861,200r-9816,l1014,207r-26,17l971,249r-6,31l965,855r6,31l988,912r26,17l1045,935r9816,l10892,929r25,-17l10935,886r6,-31l10941,280r-6,-31l10917,224r-25,-17l10861,200xe" fillcolor="#f5f5f5" stroked="f">
              <v:path arrowok="t"/>
            </v:shape>
            <v:shape id="_x0000_s3746" style="position:absolute;left:964;top:200;width:9976;height:735" coordorigin="965,200" coordsize="9976,735" path="m1045,200r9816,l10892,207r25,17l10935,249r6,31l10941,855r-6,31l10917,912r-25,17l10861,935r-9816,l1014,929,988,912,971,886r-6,-31l965,280r6,-31l988,224r26,-17l1045,200xe" filled="f" strokecolor="#ccc">
              <v:path arrowok="t"/>
            </v:shape>
            <v:shape id="_x0000_s3745" type="#_x0000_t202" style="position:absolute;left:984;top:215;width:9938;height:704" filled="f" stroked="f">
              <v:textbox inset="0,0,0,0">
                <w:txbxContent>
                  <w:p w14:paraId="5FA4F422" w14:textId="77777777" w:rsidR="00711A16" w:rsidRDefault="00711A16">
                    <w:pPr>
                      <w:spacing w:before="221"/>
                      <w:ind w:left="200"/>
                      <w:rPr>
                        <w:rFonts w:ascii="MS Gothic"/>
                      </w:rPr>
                    </w:pPr>
                    <w:proofErr w:type="gramStart"/>
                    <w:r>
                      <w:rPr>
                        <w:rFonts w:ascii="MS Gothic"/>
                        <w:color w:val="333333"/>
                      </w:rPr>
                      <w:t>spring.hazelcast</w:t>
                    </w:r>
                    <w:proofErr w:type="gramEnd"/>
                    <w:r>
                      <w:rPr>
                        <w:rFonts w:ascii="MS Gothic"/>
                        <w:color w:val="333333"/>
                      </w:rPr>
                      <w:t>.config=classpath:config/my-hazelcast.xml</w:t>
                    </w:r>
                  </w:p>
                </w:txbxContent>
              </v:textbox>
            </v:shape>
            <w10:wrap type="topAndBottom" anchorx="page"/>
          </v:group>
        </w:pict>
      </w:r>
    </w:p>
    <w:p w14:paraId="158CBE31" w14:textId="77777777" w:rsidR="00A720EB" w:rsidRDefault="00A720EB">
      <w:pPr>
        <w:rPr>
          <w:sz w:val="13"/>
        </w:rPr>
        <w:sectPr w:rsidR="00A720EB">
          <w:pgSz w:w="11910" w:h="16840"/>
          <w:pgMar w:top="620" w:right="840" w:bottom="520" w:left="840" w:header="0" w:footer="323" w:gutter="0"/>
          <w:cols w:space="720"/>
        </w:sectPr>
      </w:pPr>
    </w:p>
    <w:p w14:paraId="5369098F" w14:textId="77777777" w:rsidR="00A720EB" w:rsidRDefault="0030286B">
      <w:pPr>
        <w:pStyle w:val="a3"/>
        <w:spacing w:before="107" w:line="290" w:lineRule="auto"/>
        <w:ind w:left="124" w:right="123"/>
        <w:jc w:val="both"/>
      </w:pPr>
      <w:r>
        <w:rPr>
          <w:color w:val="333333"/>
          <w:w w:val="110"/>
        </w:rPr>
        <w:lastRenderedPageBreak/>
        <w:t xml:space="preserve">Otherwise, Spring Boot tries to find the Hazelcast configuration from the default locations: </w:t>
      </w:r>
      <w:r>
        <w:rPr>
          <w:rFonts w:ascii="MS Gothic"/>
          <w:color w:val="B02045"/>
          <w:w w:val="110"/>
        </w:rPr>
        <w:t xml:space="preserve">hazelcast.xml </w:t>
      </w:r>
      <w:r>
        <w:rPr>
          <w:color w:val="333333"/>
          <w:w w:val="110"/>
        </w:rPr>
        <w:t xml:space="preserve">in the working directory or at the root of the classpath, or </w:t>
      </w:r>
      <w:proofErr w:type="gramStart"/>
      <w:r>
        <w:rPr>
          <w:color w:val="333333"/>
          <w:w w:val="110"/>
        </w:rPr>
        <w:t xml:space="preserve">a </w:t>
      </w:r>
      <w:r>
        <w:rPr>
          <w:rFonts w:ascii="MS Gothic"/>
          <w:color w:val="B02045"/>
          <w:w w:val="110"/>
        </w:rPr>
        <w:t>.yaml</w:t>
      </w:r>
      <w:proofErr w:type="gramEnd"/>
      <w:r>
        <w:rPr>
          <w:rFonts w:ascii="MS Gothic"/>
          <w:color w:val="B02045"/>
          <w:w w:val="110"/>
        </w:rPr>
        <w:t xml:space="preserve"> </w:t>
      </w:r>
      <w:r>
        <w:rPr>
          <w:color w:val="333333"/>
          <w:w w:val="110"/>
        </w:rPr>
        <w:t xml:space="preserve">counterpart in the same locations. We also check if the </w:t>
      </w:r>
      <w:r>
        <w:rPr>
          <w:rFonts w:ascii="MS Gothic"/>
          <w:color w:val="B02045"/>
          <w:w w:val="110"/>
        </w:rPr>
        <w:t xml:space="preserve">hazelcast.config </w:t>
      </w:r>
      <w:r>
        <w:rPr>
          <w:color w:val="333333"/>
          <w:w w:val="110"/>
        </w:rPr>
        <w:t xml:space="preserve">system property is set. See the </w:t>
      </w:r>
      <w:hyperlink r:id="rId311">
        <w:r>
          <w:rPr>
            <w:color w:val="418BCA"/>
            <w:w w:val="110"/>
          </w:rPr>
          <w:t>Hazelcast</w:t>
        </w:r>
      </w:hyperlink>
      <w:r>
        <w:rPr>
          <w:color w:val="418BCA"/>
          <w:w w:val="110"/>
        </w:rPr>
        <w:t xml:space="preserve"> </w:t>
      </w:r>
      <w:hyperlink r:id="rId312">
        <w:r>
          <w:rPr>
            <w:color w:val="418BCA"/>
            <w:w w:val="110"/>
          </w:rPr>
          <w:t xml:space="preserve">documentation </w:t>
        </w:r>
      </w:hyperlink>
      <w:r>
        <w:rPr>
          <w:color w:val="333333"/>
          <w:w w:val="110"/>
        </w:rPr>
        <w:t>for more details.</w:t>
      </w:r>
    </w:p>
    <w:p w14:paraId="7FA08FC8" w14:textId="77777777" w:rsidR="00A720EB" w:rsidRDefault="0030286B">
      <w:pPr>
        <w:pStyle w:val="a3"/>
        <w:spacing w:before="245" w:line="290" w:lineRule="auto"/>
        <w:ind w:left="124" w:right="131"/>
        <w:jc w:val="both"/>
      </w:pPr>
      <w:r>
        <w:rPr>
          <w:color w:val="333333"/>
          <w:w w:val="110"/>
        </w:rPr>
        <w:t xml:space="preserve">If </w:t>
      </w:r>
      <w:r>
        <w:rPr>
          <w:rFonts w:ascii="MS Gothic"/>
          <w:color w:val="B02045"/>
          <w:w w:val="110"/>
        </w:rPr>
        <w:t xml:space="preserve">hazelcast-client </w:t>
      </w:r>
      <w:r>
        <w:rPr>
          <w:color w:val="333333"/>
          <w:w w:val="110"/>
        </w:rPr>
        <w:t>is present on the classpath, Spring Boot first attempts to create a client by checking the following configuration options:</w:t>
      </w:r>
    </w:p>
    <w:p w14:paraId="4DB8EDE2" w14:textId="77777777" w:rsidR="00A720EB" w:rsidRDefault="0030286B">
      <w:pPr>
        <w:pStyle w:val="a6"/>
        <w:numPr>
          <w:ilvl w:val="0"/>
          <w:numId w:val="36"/>
        </w:numPr>
        <w:tabs>
          <w:tab w:val="left" w:pos="485"/>
        </w:tabs>
        <w:spacing w:before="247"/>
        <w:rPr>
          <w:sz w:val="21"/>
        </w:rPr>
      </w:pPr>
      <w:r>
        <w:rPr>
          <w:color w:val="333333"/>
          <w:w w:val="110"/>
          <w:sz w:val="21"/>
        </w:rPr>
        <w:t xml:space="preserve">The presence of a </w:t>
      </w:r>
      <w:proofErr w:type="gramStart"/>
      <w:r>
        <w:rPr>
          <w:rFonts w:ascii="MS Gothic" w:hAnsi="MS Gothic"/>
          <w:color w:val="B02045"/>
          <w:w w:val="110"/>
          <w:sz w:val="21"/>
        </w:rPr>
        <w:t>com.hazelcast</w:t>
      </w:r>
      <w:proofErr w:type="gramEnd"/>
      <w:r>
        <w:rPr>
          <w:rFonts w:ascii="MS Gothic" w:hAnsi="MS Gothic"/>
          <w:color w:val="B02045"/>
          <w:w w:val="110"/>
          <w:sz w:val="21"/>
        </w:rPr>
        <w:t>.client.config.ClientConfig</w:t>
      </w:r>
      <w:r>
        <w:rPr>
          <w:rFonts w:ascii="MS Gothic" w:hAnsi="MS Gothic"/>
          <w:color w:val="B02045"/>
          <w:spacing w:val="-80"/>
          <w:w w:val="110"/>
          <w:sz w:val="21"/>
        </w:rPr>
        <w:t xml:space="preserve"> </w:t>
      </w:r>
      <w:r>
        <w:rPr>
          <w:color w:val="333333"/>
          <w:w w:val="110"/>
          <w:sz w:val="21"/>
        </w:rPr>
        <w:t>bean.</w:t>
      </w:r>
    </w:p>
    <w:p w14:paraId="4A8AC540" w14:textId="77777777" w:rsidR="00A720EB" w:rsidRDefault="0030286B">
      <w:pPr>
        <w:pStyle w:val="a6"/>
        <w:numPr>
          <w:ilvl w:val="0"/>
          <w:numId w:val="36"/>
        </w:numPr>
        <w:tabs>
          <w:tab w:val="left" w:pos="485"/>
        </w:tabs>
        <w:spacing w:before="167"/>
        <w:rPr>
          <w:sz w:val="21"/>
        </w:rPr>
      </w:pPr>
      <w:r>
        <w:rPr>
          <w:color w:val="333333"/>
          <w:w w:val="110"/>
          <w:sz w:val="21"/>
        </w:rPr>
        <w:t xml:space="preserve">A configuration file defined </w:t>
      </w:r>
      <w:r>
        <w:rPr>
          <w:color w:val="333333"/>
          <w:spacing w:val="-3"/>
          <w:w w:val="110"/>
          <w:sz w:val="21"/>
        </w:rPr>
        <w:t xml:space="preserve">by </w:t>
      </w:r>
      <w:r>
        <w:rPr>
          <w:color w:val="333333"/>
          <w:w w:val="110"/>
          <w:sz w:val="21"/>
        </w:rPr>
        <w:t xml:space="preserve">the </w:t>
      </w:r>
      <w:proofErr w:type="gramStart"/>
      <w:r>
        <w:rPr>
          <w:rFonts w:ascii="MS Gothic" w:hAnsi="MS Gothic"/>
          <w:color w:val="B02045"/>
          <w:w w:val="110"/>
          <w:sz w:val="21"/>
        </w:rPr>
        <w:t>spring.hazelcast</w:t>
      </w:r>
      <w:proofErr w:type="gramEnd"/>
      <w:r>
        <w:rPr>
          <w:rFonts w:ascii="MS Gothic" w:hAnsi="MS Gothic"/>
          <w:color w:val="B02045"/>
          <w:w w:val="110"/>
          <w:sz w:val="21"/>
        </w:rPr>
        <w:t>.config</w:t>
      </w:r>
      <w:r>
        <w:rPr>
          <w:rFonts w:ascii="MS Gothic" w:hAnsi="MS Gothic"/>
          <w:color w:val="B02045"/>
          <w:spacing w:val="-60"/>
          <w:w w:val="110"/>
          <w:sz w:val="21"/>
        </w:rPr>
        <w:t xml:space="preserve"> </w:t>
      </w:r>
      <w:r>
        <w:rPr>
          <w:color w:val="333333"/>
          <w:spacing w:val="-3"/>
          <w:w w:val="110"/>
          <w:sz w:val="21"/>
        </w:rPr>
        <w:t>property.</w:t>
      </w:r>
    </w:p>
    <w:p w14:paraId="48BE1366" w14:textId="77777777" w:rsidR="00A720EB" w:rsidRDefault="0030286B">
      <w:pPr>
        <w:pStyle w:val="a6"/>
        <w:numPr>
          <w:ilvl w:val="0"/>
          <w:numId w:val="36"/>
        </w:numPr>
        <w:tabs>
          <w:tab w:val="left" w:pos="485"/>
        </w:tabs>
        <w:spacing w:before="166"/>
        <w:rPr>
          <w:sz w:val="21"/>
        </w:rPr>
      </w:pPr>
      <w:r>
        <w:rPr>
          <w:color w:val="333333"/>
          <w:w w:val="110"/>
          <w:sz w:val="21"/>
        </w:rPr>
        <w:t xml:space="preserve">The presence of the </w:t>
      </w:r>
      <w:proofErr w:type="gramStart"/>
      <w:r>
        <w:rPr>
          <w:rFonts w:ascii="MS Gothic" w:hAnsi="MS Gothic"/>
          <w:color w:val="B02045"/>
          <w:w w:val="110"/>
          <w:sz w:val="21"/>
        </w:rPr>
        <w:t>hazelcast.client</w:t>
      </w:r>
      <w:proofErr w:type="gramEnd"/>
      <w:r>
        <w:rPr>
          <w:rFonts w:ascii="MS Gothic" w:hAnsi="MS Gothic"/>
          <w:color w:val="B02045"/>
          <w:w w:val="110"/>
          <w:sz w:val="21"/>
        </w:rPr>
        <w:t>.config</w:t>
      </w:r>
      <w:r>
        <w:rPr>
          <w:rFonts w:ascii="MS Gothic" w:hAnsi="MS Gothic"/>
          <w:color w:val="B02045"/>
          <w:spacing w:val="-65"/>
          <w:w w:val="110"/>
          <w:sz w:val="21"/>
        </w:rPr>
        <w:t xml:space="preserve"> </w:t>
      </w:r>
      <w:r>
        <w:rPr>
          <w:color w:val="333333"/>
          <w:w w:val="110"/>
          <w:sz w:val="21"/>
        </w:rPr>
        <w:t xml:space="preserve">system </w:t>
      </w:r>
      <w:r>
        <w:rPr>
          <w:color w:val="333333"/>
          <w:spacing w:val="-3"/>
          <w:w w:val="110"/>
          <w:sz w:val="21"/>
        </w:rPr>
        <w:t>property.</w:t>
      </w:r>
    </w:p>
    <w:p w14:paraId="3EFB0027" w14:textId="77777777" w:rsidR="00A720EB" w:rsidRDefault="0030286B">
      <w:pPr>
        <w:pStyle w:val="a6"/>
        <w:numPr>
          <w:ilvl w:val="0"/>
          <w:numId w:val="36"/>
        </w:numPr>
        <w:tabs>
          <w:tab w:val="left" w:pos="485"/>
        </w:tabs>
        <w:spacing w:before="167"/>
        <w:rPr>
          <w:sz w:val="21"/>
        </w:rPr>
      </w:pPr>
      <w:r>
        <w:rPr>
          <w:color w:val="333333"/>
          <w:w w:val="110"/>
          <w:sz w:val="21"/>
        </w:rPr>
        <w:t xml:space="preserve">A </w:t>
      </w:r>
      <w:r>
        <w:rPr>
          <w:rFonts w:ascii="MS Gothic" w:hAnsi="MS Gothic"/>
          <w:color w:val="B02045"/>
          <w:w w:val="110"/>
          <w:sz w:val="21"/>
        </w:rPr>
        <w:t>hazelcast-client.xml</w:t>
      </w:r>
      <w:r>
        <w:rPr>
          <w:rFonts w:ascii="MS Gothic" w:hAnsi="MS Gothic"/>
          <w:color w:val="B02045"/>
          <w:spacing w:val="-76"/>
          <w:w w:val="110"/>
          <w:sz w:val="21"/>
        </w:rPr>
        <w:t xml:space="preserve"> </w:t>
      </w:r>
      <w:r>
        <w:rPr>
          <w:color w:val="333333"/>
          <w:w w:val="110"/>
          <w:sz w:val="21"/>
        </w:rPr>
        <w:t>in the working directory or at the root of the classpath.</w:t>
      </w:r>
    </w:p>
    <w:p w14:paraId="3E41B8AD" w14:textId="77777777" w:rsidR="00A720EB" w:rsidRDefault="0030286B">
      <w:pPr>
        <w:pStyle w:val="a6"/>
        <w:numPr>
          <w:ilvl w:val="0"/>
          <w:numId w:val="36"/>
        </w:numPr>
        <w:tabs>
          <w:tab w:val="left" w:pos="485"/>
        </w:tabs>
        <w:spacing w:before="167"/>
        <w:rPr>
          <w:sz w:val="21"/>
        </w:rPr>
      </w:pPr>
      <w:r>
        <w:rPr>
          <w:color w:val="333333"/>
          <w:w w:val="110"/>
          <w:sz w:val="21"/>
        </w:rPr>
        <w:t xml:space="preserve">A </w:t>
      </w:r>
      <w:r>
        <w:rPr>
          <w:rFonts w:ascii="MS Gothic" w:hAnsi="MS Gothic"/>
          <w:color w:val="B02045"/>
          <w:w w:val="110"/>
          <w:sz w:val="21"/>
        </w:rPr>
        <w:t>hazelcast-</w:t>
      </w:r>
      <w:proofErr w:type="gramStart"/>
      <w:r>
        <w:rPr>
          <w:rFonts w:ascii="MS Gothic" w:hAnsi="MS Gothic"/>
          <w:color w:val="B02045"/>
          <w:w w:val="110"/>
          <w:sz w:val="21"/>
        </w:rPr>
        <w:t>client.yaml</w:t>
      </w:r>
      <w:proofErr w:type="gramEnd"/>
      <w:r>
        <w:rPr>
          <w:rFonts w:ascii="MS Gothic" w:hAnsi="MS Gothic"/>
          <w:color w:val="B02045"/>
          <w:spacing w:val="-80"/>
          <w:w w:val="110"/>
          <w:sz w:val="21"/>
        </w:rPr>
        <w:t xml:space="preserve"> </w:t>
      </w:r>
      <w:r>
        <w:rPr>
          <w:color w:val="333333"/>
          <w:w w:val="110"/>
          <w:sz w:val="21"/>
        </w:rPr>
        <w:t>in the working directory or at the root of the classpath.</w:t>
      </w:r>
    </w:p>
    <w:p w14:paraId="7A569CE3" w14:textId="77777777" w:rsidR="00A720EB" w:rsidRDefault="00A720EB">
      <w:pPr>
        <w:pStyle w:val="a3"/>
        <w:spacing w:before="1"/>
        <w:rPr>
          <w:sz w:val="32"/>
        </w:rPr>
      </w:pPr>
    </w:p>
    <w:p w14:paraId="67CD9AB6" w14:textId="77777777" w:rsidR="00A720EB" w:rsidRDefault="00E10349">
      <w:pPr>
        <w:pStyle w:val="a3"/>
        <w:spacing w:line="297" w:lineRule="auto"/>
        <w:ind w:left="1564" w:right="394"/>
      </w:pPr>
      <w:r>
        <w:pict w14:anchorId="1F43B102">
          <v:line id="_x0000_s3743" style="position:absolute;left:0;text-align:left;z-index:16075264;mso-position-horizontal-relative:page" from="108.25pt,-6pt" to="108.25pt,33.55pt" strokecolor="#ededed" strokeweight=".5pt">
            <w10:wrap anchorx="page"/>
          </v:line>
        </w:pict>
      </w:r>
      <w:r w:rsidR="0030286B">
        <w:rPr>
          <w:noProof/>
        </w:rPr>
        <w:drawing>
          <wp:anchor distT="0" distB="0" distL="0" distR="0" simplePos="0" relativeHeight="16075776" behindDoc="0" locked="0" layoutInCell="1" allowOverlap="1" wp14:anchorId="02EA5034" wp14:editId="72139063">
            <wp:simplePos x="0" y="0"/>
            <wp:positionH relativeFrom="page">
              <wp:posOffset>844422</wp:posOffset>
            </wp:positionH>
            <wp:positionV relativeFrom="paragraph">
              <wp:posOffset>25946</wp:posOffset>
            </wp:positionV>
            <wp:extent cx="298450" cy="298450"/>
            <wp:effectExtent l="0" t="0" r="0" b="0"/>
            <wp:wrapNone/>
            <wp:docPr id="4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Spring Boot also has  </w:t>
      </w:r>
      <w:hyperlink w:anchor="_bookmark260" w:history="1">
        <w:r w:rsidR="0030286B">
          <w:rPr>
            <w:color w:val="418BCA"/>
            <w:w w:val="110"/>
          </w:rPr>
          <w:t>explicit caching support for Hazelcast</w:t>
        </w:r>
      </w:hyperlink>
      <w:r w:rsidR="0030286B">
        <w:rPr>
          <w:color w:val="333333"/>
          <w:w w:val="110"/>
        </w:rPr>
        <w:t xml:space="preserve">. If caching is </w:t>
      </w:r>
      <w:proofErr w:type="gramStart"/>
      <w:r w:rsidR="0030286B">
        <w:rPr>
          <w:color w:val="333333"/>
          <w:w w:val="110"/>
        </w:rPr>
        <w:t>enabled,  the</w:t>
      </w:r>
      <w:proofErr w:type="gramEnd"/>
      <w:r w:rsidR="0030286B">
        <w:rPr>
          <w:color w:val="333333"/>
          <w:spacing w:val="-22"/>
          <w:w w:val="110"/>
        </w:rPr>
        <w:t xml:space="preserve"> </w:t>
      </w:r>
      <w:r w:rsidR="0030286B">
        <w:rPr>
          <w:rFonts w:ascii="MS Gothic"/>
          <w:color w:val="B02045"/>
          <w:w w:val="110"/>
        </w:rPr>
        <w:t>HazelcastInstance</w:t>
      </w:r>
      <w:r w:rsidR="0030286B">
        <w:rPr>
          <w:rFonts w:ascii="MS Gothic"/>
          <w:color w:val="B02045"/>
          <w:spacing w:val="-86"/>
          <w:w w:val="110"/>
        </w:rPr>
        <w:t xml:space="preserve"> </w:t>
      </w:r>
      <w:r w:rsidR="0030286B">
        <w:rPr>
          <w:color w:val="333333"/>
          <w:w w:val="110"/>
        </w:rPr>
        <w:t>is</w:t>
      </w:r>
      <w:r w:rsidR="0030286B">
        <w:rPr>
          <w:color w:val="333333"/>
          <w:spacing w:val="-21"/>
          <w:w w:val="110"/>
        </w:rPr>
        <w:t xml:space="preserve"> </w:t>
      </w:r>
      <w:r w:rsidR="0030286B">
        <w:rPr>
          <w:color w:val="333333"/>
          <w:w w:val="110"/>
        </w:rPr>
        <w:t>automatically</w:t>
      </w:r>
      <w:r w:rsidR="0030286B">
        <w:rPr>
          <w:color w:val="333333"/>
          <w:spacing w:val="-22"/>
          <w:w w:val="110"/>
        </w:rPr>
        <w:t xml:space="preserve"> </w:t>
      </w:r>
      <w:r w:rsidR="0030286B">
        <w:rPr>
          <w:color w:val="333333"/>
          <w:w w:val="110"/>
        </w:rPr>
        <w:t>wrapped</w:t>
      </w:r>
      <w:r w:rsidR="0030286B">
        <w:rPr>
          <w:color w:val="333333"/>
          <w:spacing w:val="-22"/>
          <w:w w:val="110"/>
        </w:rPr>
        <w:t xml:space="preserve"> </w:t>
      </w:r>
      <w:r w:rsidR="0030286B">
        <w:rPr>
          <w:color w:val="333333"/>
          <w:w w:val="110"/>
        </w:rPr>
        <w:t>in</w:t>
      </w:r>
      <w:r w:rsidR="0030286B">
        <w:rPr>
          <w:color w:val="333333"/>
          <w:spacing w:val="-21"/>
          <w:w w:val="110"/>
        </w:rPr>
        <w:t xml:space="preserve"> </w:t>
      </w:r>
      <w:r w:rsidR="0030286B">
        <w:rPr>
          <w:color w:val="333333"/>
          <w:w w:val="110"/>
        </w:rPr>
        <w:t>a</w:t>
      </w:r>
      <w:r w:rsidR="0030286B">
        <w:rPr>
          <w:color w:val="333333"/>
          <w:spacing w:val="-18"/>
          <w:w w:val="110"/>
        </w:rPr>
        <w:t xml:space="preserve"> </w:t>
      </w:r>
      <w:r w:rsidR="0030286B">
        <w:rPr>
          <w:rFonts w:ascii="MS Gothic"/>
          <w:color w:val="B02045"/>
          <w:w w:val="110"/>
        </w:rPr>
        <w:t>CacheManager</w:t>
      </w:r>
      <w:r w:rsidR="0030286B">
        <w:rPr>
          <w:rFonts w:ascii="MS Gothic"/>
          <w:color w:val="B02045"/>
          <w:spacing w:val="-86"/>
          <w:w w:val="110"/>
        </w:rPr>
        <w:t xml:space="preserve"> </w:t>
      </w:r>
      <w:r w:rsidR="0030286B">
        <w:rPr>
          <w:color w:val="333333"/>
          <w:w w:val="110"/>
        </w:rPr>
        <w:t>implementation.</w:t>
      </w:r>
    </w:p>
    <w:p w14:paraId="55B527D6" w14:textId="77777777" w:rsidR="00A720EB" w:rsidRDefault="00A720EB">
      <w:pPr>
        <w:pStyle w:val="a3"/>
        <w:rPr>
          <w:sz w:val="32"/>
        </w:rPr>
      </w:pPr>
    </w:p>
    <w:p w14:paraId="21C60FEA" w14:textId="77777777" w:rsidR="00A720EB" w:rsidRDefault="0030286B">
      <w:pPr>
        <w:pStyle w:val="2"/>
        <w:numPr>
          <w:ilvl w:val="1"/>
          <w:numId w:val="68"/>
        </w:numPr>
        <w:tabs>
          <w:tab w:val="left" w:pos="1034"/>
        </w:tabs>
        <w:ind w:left="1033" w:hanging="910"/>
      </w:pPr>
      <w:bookmarkStart w:id="442" w:name="4.21._Quartz_Scheduler"/>
      <w:bookmarkStart w:id="443" w:name="_Toc54423805"/>
      <w:bookmarkEnd w:id="442"/>
      <w:r>
        <w:rPr>
          <w:color w:val="333333"/>
          <w:w w:val="110"/>
        </w:rPr>
        <w:t>Quartz</w:t>
      </w:r>
      <w:r>
        <w:rPr>
          <w:color w:val="333333"/>
          <w:spacing w:val="-6"/>
          <w:w w:val="110"/>
        </w:rPr>
        <w:t xml:space="preserve"> </w:t>
      </w:r>
      <w:r>
        <w:rPr>
          <w:color w:val="333333"/>
          <w:w w:val="110"/>
        </w:rPr>
        <w:t>Scheduler</w:t>
      </w:r>
      <w:bookmarkEnd w:id="443"/>
    </w:p>
    <w:p w14:paraId="465D4F50" w14:textId="77777777" w:rsidR="00A720EB" w:rsidRDefault="0030286B">
      <w:pPr>
        <w:pStyle w:val="a3"/>
        <w:spacing w:before="253" w:line="290" w:lineRule="auto"/>
        <w:ind w:left="124" w:right="126"/>
        <w:jc w:val="both"/>
      </w:pPr>
      <w:r>
        <w:rPr>
          <w:color w:val="333333"/>
          <w:w w:val="110"/>
        </w:rPr>
        <w:t xml:space="preserve">Spring Boot offers several conveniences for working with the </w:t>
      </w:r>
      <w:hyperlink r:id="rId313">
        <w:r>
          <w:rPr>
            <w:color w:val="418BCA"/>
            <w:w w:val="110"/>
          </w:rPr>
          <w:t>Quartz scheduler</w:t>
        </w:r>
      </w:hyperlink>
      <w:r>
        <w:rPr>
          <w:color w:val="333333"/>
          <w:w w:val="110"/>
        </w:rPr>
        <w:t xml:space="preserve">, including the </w:t>
      </w:r>
      <w:r>
        <w:rPr>
          <w:rFonts w:ascii="MS Gothic" w:hAnsi="MS Gothic"/>
          <w:color w:val="B02045"/>
          <w:w w:val="110"/>
        </w:rPr>
        <w:t>spring-boot-starter-quartz</w:t>
      </w:r>
      <w:r>
        <w:rPr>
          <w:rFonts w:ascii="MS Gothic" w:hAnsi="MS Gothic"/>
          <w:color w:val="B02045"/>
          <w:spacing w:val="-81"/>
          <w:w w:val="110"/>
        </w:rPr>
        <w:t xml:space="preserve"> </w:t>
      </w:r>
      <w:r>
        <w:rPr>
          <w:color w:val="333333"/>
          <w:w w:val="110"/>
        </w:rPr>
        <w:t>“Starter”.</w:t>
      </w:r>
      <w:r>
        <w:rPr>
          <w:color w:val="333333"/>
          <w:spacing w:val="-16"/>
          <w:w w:val="110"/>
        </w:rPr>
        <w:t xml:space="preserve"> </w:t>
      </w:r>
      <w:r>
        <w:rPr>
          <w:color w:val="333333"/>
          <w:w w:val="110"/>
        </w:rPr>
        <w:t>If</w:t>
      </w:r>
      <w:r>
        <w:rPr>
          <w:color w:val="333333"/>
          <w:spacing w:val="-16"/>
          <w:w w:val="110"/>
        </w:rPr>
        <w:t xml:space="preserve"> </w:t>
      </w:r>
      <w:r>
        <w:rPr>
          <w:color w:val="333333"/>
          <w:w w:val="110"/>
        </w:rPr>
        <w:t>Quartz</w:t>
      </w:r>
      <w:r>
        <w:rPr>
          <w:color w:val="333333"/>
          <w:spacing w:val="-16"/>
          <w:w w:val="110"/>
        </w:rPr>
        <w:t xml:space="preserve"> </w:t>
      </w:r>
      <w:r>
        <w:rPr>
          <w:color w:val="333333"/>
          <w:w w:val="110"/>
        </w:rPr>
        <w:t>is</w:t>
      </w:r>
      <w:r>
        <w:rPr>
          <w:color w:val="333333"/>
          <w:spacing w:val="-16"/>
          <w:w w:val="110"/>
        </w:rPr>
        <w:t xml:space="preserve"> </w:t>
      </w:r>
      <w:r>
        <w:rPr>
          <w:color w:val="333333"/>
          <w:w w:val="110"/>
        </w:rPr>
        <w:t>available,</w:t>
      </w:r>
      <w:r>
        <w:rPr>
          <w:color w:val="333333"/>
          <w:spacing w:val="-16"/>
          <w:w w:val="110"/>
        </w:rPr>
        <w:t xml:space="preserve"> </w:t>
      </w:r>
      <w:r>
        <w:rPr>
          <w:color w:val="333333"/>
          <w:w w:val="110"/>
        </w:rPr>
        <w:t>a</w:t>
      </w:r>
      <w:r>
        <w:rPr>
          <w:color w:val="333333"/>
          <w:spacing w:val="-14"/>
          <w:w w:val="110"/>
        </w:rPr>
        <w:t xml:space="preserve"> </w:t>
      </w:r>
      <w:r>
        <w:rPr>
          <w:rFonts w:ascii="MS Gothic" w:hAnsi="MS Gothic"/>
          <w:color w:val="B02045"/>
          <w:w w:val="110"/>
        </w:rPr>
        <w:t>Scheduler</w:t>
      </w:r>
      <w:r>
        <w:rPr>
          <w:rFonts w:ascii="MS Gothic" w:hAnsi="MS Gothic"/>
          <w:color w:val="B02045"/>
          <w:spacing w:val="-81"/>
          <w:w w:val="110"/>
        </w:rPr>
        <w:t xml:space="preserve"> </w:t>
      </w:r>
      <w:r>
        <w:rPr>
          <w:color w:val="333333"/>
          <w:w w:val="110"/>
        </w:rPr>
        <w:t>is</w:t>
      </w:r>
      <w:r>
        <w:rPr>
          <w:color w:val="333333"/>
          <w:spacing w:val="-16"/>
          <w:w w:val="110"/>
        </w:rPr>
        <w:t xml:space="preserve"> </w:t>
      </w:r>
      <w:r>
        <w:rPr>
          <w:color w:val="333333"/>
          <w:w w:val="110"/>
        </w:rPr>
        <w:t>auto-configured</w:t>
      </w:r>
      <w:r>
        <w:rPr>
          <w:color w:val="333333"/>
          <w:spacing w:val="-16"/>
          <w:w w:val="110"/>
        </w:rPr>
        <w:t xml:space="preserve"> </w:t>
      </w:r>
      <w:r>
        <w:rPr>
          <w:color w:val="333333"/>
          <w:w w:val="110"/>
        </w:rPr>
        <w:t xml:space="preserve">(through the </w:t>
      </w:r>
      <w:r>
        <w:rPr>
          <w:rFonts w:ascii="MS Gothic" w:hAnsi="MS Gothic"/>
          <w:color w:val="B02045"/>
          <w:w w:val="110"/>
        </w:rPr>
        <w:t>SchedulerFactoryBean</w:t>
      </w:r>
      <w:r>
        <w:rPr>
          <w:rFonts w:ascii="MS Gothic" w:hAnsi="MS Gothic"/>
          <w:color w:val="B02045"/>
          <w:spacing w:val="-63"/>
          <w:w w:val="110"/>
        </w:rPr>
        <w:t xml:space="preserve"> </w:t>
      </w:r>
      <w:r>
        <w:rPr>
          <w:color w:val="333333"/>
          <w:w w:val="110"/>
        </w:rPr>
        <w:t>abstraction).</w:t>
      </w:r>
    </w:p>
    <w:p w14:paraId="04B87899" w14:textId="77777777" w:rsidR="00A720EB" w:rsidRDefault="0030286B">
      <w:pPr>
        <w:pStyle w:val="a3"/>
        <w:spacing w:before="228"/>
        <w:ind w:left="124"/>
        <w:jc w:val="both"/>
      </w:pPr>
      <w:r>
        <w:rPr>
          <w:color w:val="333333"/>
          <w:w w:val="110"/>
        </w:rPr>
        <w:t xml:space="preserve">Beans of the following types are automatically picked up and associated with the </w:t>
      </w:r>
      <w:r>
        <w:rPr>
          <w:rFonts w:ascii="MS Gothic"/>
          <w:color w:val="B02045"/>
          <w:w w:val="110"/>
        </w:rPr>
        <w:t>Scheduler</w:t>
      </w:r>
      <w:r>
        <w:rPr>
          <w:color w:val="333333"/>
          <w:w w:val="110"/>
        </w:rPr>
        <w:t>:</w:t>
      </w:r>
    </w:p>
    <w:p w14:paraId="33F73277" w14:textId="77777777" w:rsidR="00A720EB" w:rsidRDefault="00A720EB">
      <w:pPr>
        <w:pStyle w:val="a3"/>
        <w:spacing w:before="5"/>
        <w:rPr>
          <w:sz w:val="24"/>
        </w:rPr>
      </w:pPr>
    </w:p>
    <w:p w14:paraId="2D57D181" w14:textId="77777777" w:rsidR="00A720EB" w:rsidRDefault="0030286B">
      <w:pPr>
        <w:pStyle w:val="a6"/>
        <w:numPr>
          <w:ilvl w:val="0"/>
          <w:numId w:val="35"/>
        </w:numPr>
        <w:tabs>
          <w:tab w:val="left" w:pos="485"/>
        </w:tabs>
        <w:rPr>
          <w:sz w:val="21"/>
        </w:rPr>
      </w:pPr>
      <w:r>
        <w:rPr>
          <w:rFonts w:ascii="MS Gothic" w:hAnsi="MS Gothic"/>
          <w:color w:val="B02045"/>
          <w:w w:val="110"/>
          <w:sz w:val="21"/>
        </w:rPr>
        <w:t>JobDetail</w:t>
      </w:r>
      <w:r>
        <w:rPr>
          <w:color w:val="333333"/>
          <w:w w:val="110"/>
          <w:sz w:val="21"/>
        </w:rPr>
        <w:t>:</w:t>
      </w:r>
      <w:r>
        <w:rPr>
          <w:color w:val="333333"/>
          <w:spacing w:val="-6"/>
          <w:w w:val="110"/>
          <w:sz w:val="21"/>
        </w:rPr>
        <w:t xml:space="preserve"> </w:t>
      </w:r>
      <w:r>
        <w:rPr>
          <w:color w:val="333333"/>
          <w:w w:val="110"/>
          <w:sz w:val="21"/>
        </w:rPr>
        <w:t>defines</w:t>
      </w:r>
      <w:r>
        <w:rPr>
          <w:color w:val="333333"/>
          <w:spacing w:val="-7"/>
          <w:w w:val="110"/>
          <w:sz w:val="21"/>
        </w:rPr>
        <w:t xml:space="preserve"> </w:t>
      </w:r>
      <w:r>
        <w:rPr>
          <w:color w:val="333333"/>
          <w:w w:val="110"/>
          <w:sz w:val="21"/>
        </w:rPr>
        <w:t>a</w:t>
      </w:r>
      <w:r>
        <w:rPr>
          <w:color w:val="333333"/>
          <w:spacing w:val="-7"/>
          <w:w w:val="110"/>
          <w:sz w:val="21"/>
        </w:rPr>
        <w:t xml:space="preserve"> </w:t>
      </w:r>
      <w:r>
        <w:rPr>
          <w:color w:val="333333"/>
          <w:w w:val="110"/>
          <w:sz w:val="21"/>
        </w:rPr>
        <w:t>particular</w:t>
      </w:r>
      <w:r>
        <w:rPr>
          <w:color w:val="333333"/>
          <w:spacing w:val="-6"/>
          <w:w w:val="110"/>
          <w:sz w:val="21"/>
        </w:rPr>
        <w:t xml:space="preserve"> </w:t>
      </w:r>
      <w:r>
        <w:rPr>
          <w:color w:val="333333"/>
          <w:w w:val="110"/>
          <w:sz w:val="21"/>
        </w:rPr>
        <w:t>Job.</w:t>
      </w:r>
      <w:r>
        <w:rPr>
          <w:color w:val="333333"/>
          <w:spacing w:val="-2"/>
          <w:w w:val="110"/>
          <w:sz w:val="21"/>
        </w:rPr>
        <w:t xml:space="preserve"> </w:t>
      </w:r>
      <w:r>
        <w:rPr>
          <w:rFonts w:ascii="MS Gothic" w:hAnsi="MS Gothic"/>
          <w:color w:val="B02045"/>
          <w:w w:val="110"/>
          <w:sz w:val="21"/>
        </w:rPr>
        <w:t>JobDetail</w:t>
      </w:r>
      <w:r>
        <w:rPr>
          <w:rFonts w:ascii="MS Gothic" w:hAnsi="MS Gothic"/>
          <w:color w:val="B02045"/>
          <w:spacing w:val="-70"/>
          <w:w w:val="110"/>
          <w:sz w:val="21"/>
        </w:rPr>
        <w:t xml:space="preserve"> </w:t>
      </w:r>
      <w:r>
        <w:rPr>
          <w:color w:val="333333"/>
          <w:w w:val="110"/>
          <w:sz w:val="21"/>
        </w:rPr>
        <w:t>instances</w:t>
      </w:r>
      <w:r>
        <w:rPr>
          <w:color w:val="333333"/>
          <w:spacing w:val="-7"/>
          <w:w w:val="110"/>
          <w:sz w:val="21"/>
        </w:rPr>
        <w:t xml:space="preserve"> </w:t>
      </w:r>
      <w:r>
        <w:rPr>
          <w:color w:val="333333"/>
          <w:w w:val="110"/>
          <w:sz w:val="21"/>
        </w:rPr>
        <w:t>can</w:t>
      </w:r>
      <w:r>
        <w:rPr>
          <w:color w:val="333333"/>
          <w:spacing w:val="-6"/>
          <w:w w:val="110"/>
          <w:sz w:val="21"/>
        </w:rPr>
        <w:t xml:space="preserve"> </w:t>
      </w:r>
      <w:r>
        <w:rPr>
          <w:color w:val="333333"/>
          <w:w w:val="110"/>
          <w:sz w:val="21"/>
        </w:rPr>
        <w:t>be</w:t>
      </w:r>
      <w:r>
        <w:rPr>
          <w:color w:val="333333"/>
          <w:spacing w:val="-6"/>
          <w:w w:val="110"/>
          <w:sz w:val="21"/>
        </w:rPr>
        <w:t xml:space="preserve"> </w:t>
      </w:r>
      <w:r>
        <w:rPr>
          <w:color w:val="333333"/>
          <w:w w:val="110"/>
          <w:sz w:val="21"/>
        </w:rPr>
        <w:t>built</w:t>
      </w:r>
      <w:r>
        <w:rPr>
          <w:color w:val="333333"/>
          <w:spacing w:val="-7"/>
          <w:w w:val="110"/>
          <w:sz w:val="21"/>
        </w:rPr>
        <w:t xml:space="preserve"> </w:t>
      </w:r>
      <w:r>
        <w:rPr>
          <w:color w:val="333333"/>
          <w:w w:val="110"/>
          <w:sz w:val="21"/>
        </w:rPr>
        <w:t>with</w:t>
      </w:r>
      <w:r>
        <w:rPr>
          <w:color w:val="333333"/>
          <w:spacing w:val="-7"/>
          <w:w w:val="110"/>
          <w:sz w:val="21"/>
        </w:rPr>
        <w:t xml:space="preserve"> </w:t>
      </w:r>
      <w:r>
        <w:rPr>
          <w:color w:val="333333"/>
          <w:w w:val="110"/>
          <w:sz w:val="21"/>
        </w:rPr>
        <w:t>the</w:t>
      </w:r>
      <w:r>
        <w:rPr>
          <w:color w:val="333333"/>
          <w:spacing w:val="-2"/>
          <w:w w:val="110"/>
          <w:sz w:val="21"/>
        </w:rPr>
        <w:t xml:space="preserve"> </w:t>
      </w:r>
      <w:r>
        <w:rPr>
          <w:rFonts w:ascii="MS Gothic" w:hAnsi="MS Gothic"/>
          <w:color w:val="B02045"/>
          <w:w w:val="110"/>
          <w:sz w:val="21"/>
        </w:rPr>
        <w:t>JobBuilder</w:t>
      </w:r>
      <w:r>
        <w:rPr>
          <w:rFonts w:ascii="MS Gothic" w:hAnsi="MS Gothic"/>
          <w:color w:val="B02045"/>
          <w:spacing w:val="-71"/>
          <w:w w:val="110"/>
          <w:sz w:val="21"/>
        </w:rPr>
        <w:t xml:space="preserve"> </w:t>
      </w:r>
      <w:r>
        <w:rPr>
          <w:color w:val="333333"/>
          <w:w w:val="110"/>
          <w:sz w:val="21"/>
        </w:rPr>
        <w:t>API.</w:t>
      </w:r>
    </w:p>
    <w:p w14:paraId="1D0D0646" w14:textId="77777777" w:rsidR="00A720EB" w:rsidRDefault="0030286B">
      <w:pPr>
        <w:pStyle w:val="a6"/>
        <w:numPr>
          <w:ilvl w:val="0"/>
          <w:numId w:val="35"/>
        </w:numPr>
        <w:tabs>
          <w:tab w:val="left" w:pos="485"/>
        </w:tabs>
        <w:spacing w:before="166"/>
        <w:rPr>
          <w:sz w:val="21"/>
        </w:rPr>
      </w:pPr>
      <w:r>
        <w:rPr>
          <w:rFonts w:ascii="MS Gothic" w:hAnsi="MS Gothic"/>
          <w:color w:val="B02045"/>
          <w:sz w:val="21"/>
        </w:rPr>
        <w:t>Calendar</w:t>
      </w:r>
      <w:r>
        <w:rPr>
          <w:color w:val="333333"/>
          <w:sz w:val="21"/>
        </w:rPr>
        <w:t>.</w:t>
      </w:r>
    </w:p>
    <w:p w14:paraId="17B67F0D" w14:textId="77777777" w:rsidR="00A720EB" w:rsidRDefault="0030286B">
      <w:pPr>
        <w:pStyle w:val="a6"/>
        <w:numPr>
          <w:ilvl w:val="0"/>
          <w:numId w:val="35"/>
        </w:numPr>
        <w:tabs>
          <w:tab w:val="left" w:pos="485"/>
        </w:tabs>
        <w:spacing w:before="167"/>
        <w:rPr>
          <w:sz w:val="21"/>
        </w:rPr>
      </w:pPr>
      <w:r>
        <w:rPr>
          <w:rFonts w:ascii="MS Gothic" w:hAnsi="MS Gothic"/>
          <w:color w:val="B02045"/>
          <w:w w:val="110"/>
          <w:sz w:val="21"/>
        </w:rPr>
        <w:t>Trigger</w:t>
      </w:r>
      <w:r>
        <w:rPr>
          <w:color w:val="333333"/>
          <w:w w:val="110"/>
          <w:sz w:val="21"/>
        </w:rPr>
        <w:t>: defines when a particular job is</w:t>
      </w:r>
      <w:r>
        <w:rPr>
          <w:color w:val="333333"/>
          <w:spacing w:val="14"/>
          <w:w w:val="110"/>
          <w:sz w:val="21"/>
        </w:rPr>
        <w:t xml:space="preserve"> </w:t>
      </w:r>
      <w:r>
        <w:rPr>
          <w:color w:val="333333"/>
          <w:w w:val="110"/>
          <w:sz w:val="21"/>
        </w:rPr>
        <w:t>triggered.</w:t>
      </w:r>
    </w:p>
    <w:p w14:paraId="4F34E479" w14:textId="77777777" w:rsidR="00A720EB" w:rsidRDefault="00A720EB">
      <w:pPr>
        <w:pStyle w:val="a3"/>
        <w:spacing w:before="5"/>
        <w:rPr>
          <w:sz w:val="24"/>
        </w:rPr>
      </w:pPr>
    </w:p>
    <w:p w14:paraId="3B2DCC20" w14:textId="77777777" w:rsidR="00A720EB" w:rsidRDefault="0030286B">
      <w:pPr>
        <w:pStyle w:val="a3"/>
        <w:spacing w:line="285" w:lineRule="auto"/>
        <w:ind w:left="124" w:right="123"/>
        <w:jc w:val="both"/>
      </w:pPr>
      <w:r>
        <w:rPr>
          <w:color w:val="333333"/>
          <w:spacing w:val="-3"/>
          <w:w w:val="110"/>
        </w:rPr>
        <w:t xml:space="preserve">By </w:t>
      </w:r>
      <w:r>
        <w:rPr>
          <w:color w:val="333333"/>
          <w:w w:val="110"/>
        </w:rPr>
        <w:t xml:space="preserve">default, an in-memory </w:t>
      </w:r>
      <w:r>
        <w:rPr>
          <w:rFonts w:ascii="MS Gothic"/>
          <w:color w:val="B02045"/>
          <w:w w:val="110"/>
        </w:rPr>
        <w:t xml:space="preserve">JobStore </w:t>
      </w:r>
      <w:r>
        <w:rPr>
          <w:color w:val="333333"/>
          <w:w w:val="110"/>
        </w:rPr>
        <w:t>is used. However, it is possible to configure a JDBC-based store if a</w:t>
      </w:r>
      <w:r>
        <w:rPr>
          <w:color w:val="333333"/>
          <w:spacing w:val="-13"/>
          <w:w w:val="110"/>
        </w:rPr>
        <w:t xml:space="preserve"> </w:t>
      </w:r>
      <w:r>
        <w:rPr>
          <w:rFonts w:ascii="MS Gothic"/>
          <w:color w:val="B02045"/>
          <w:w w:val="110"/>
        </w:rPr>
        <w:t>DataSource</w:t>
      </w:r>
      <w:r>
        <w:rPr>
          <w:rFonts w:ascii="MS Gothic"/>
          <w:color w:val="B02045"/>
          <w:spacing w:val="-77"/>
          <w:w w:val="110"/>
        </w:rPr>
        <w:t xml:space="preserve"> </w:t>
      </w:r>
      <w:r>
        <w:rPr>
          <w:color w:val="333333"/>
          <w:w w:val="110"/>
        </w:rPr>
        <w:t>bean</w:t>
      </w:r>
      <w:r>
        <w:rPr>
          <w:color w:val="333333"/>
          <w:spacing w:val="-12"/>
          <w:w w:val="110"/>
        </w:rPr>
        <w:t xml:space="preserve"> </w:t>
      </w:r>
      <w:r>
        <w:rPr>
          <w:color w:val="333333"/>
          <w:w w:val="110"/>
        </w:rPr>
        <w:t>is</w:t>
      </w:r>
      <w:r>
        <w:rPr>
          <w:color w:val="333333"/>
          <w:spacing w:val="-12"/>
          <w:w w:val="110"/>
        </w:rPr>
        <w:t xml:space="preserve"> </w:t>
      </w:r>
      <w:r>
        <w:rPr>
          <w:color w:val="333333"/>
          <w:w w:val="110"/>
        </w:rPr>
        <w:t>available</w:t>
      </w:r>
      <w:r>
        <w:rPr>
          <w:color w:val="333333"/>
          <w:spacing w:val="-13"/>
          <w:w w:val="110"/>
        </w:rPr>
        <w:t xml:space="preserve"> </w:t>
      </w:r>
      <w:r>
        <w:rPr>
          <w:color w:val="333333"/>
          <w:w w:val="110"/>
        </w:rPr>
        <w:t>in</w:t>
      </w:r>
      <w:r>
        <w:rPr>
          <w:color w:val="333333"/>
          <w:spacing w:val="-12"/>
          <w:w w:val="110"/>
        </w:rPr>
        <w:t xml:space="preserve"> </w:t>
      </w:r>
      <w:r>
        <w:rPr>
          <w:color w:val="333333"/>
          <w:w w:val="110"/>
        </w:rPr>
        <w:t>your</w:t>
      </w:r>
      <w:r>
        <w:rPr>
          <w:color w:val="333333"/>
          <w:spacing w:val="-13"/>
          <w:w w:val="110"/>
        </w:rPr>
        <w:t xml:space="preserve"> </w:t>
      </w:r>
      <w:r>
        <w:rPr>
          <w:color w:val="333333"/>
          <w:w w:val="110"/>
        </w:rPr>
        <w:t>application</w:t>
      </w:r>
      <w:r>
        <w:rPr>
          <w:color w:val="333333"/>
          <w:spacing w:val="-12"/>
          <w:w w:val="110"/>
        </w:rPr>
        <w:t xml:space="preserve"> </w:t>
      </w:r>
      <w:r>
        <w:rPr>
          <w:color w:val="333333"/>
          <w:w w:val="110"/>
        </w:rPr>
        <w:t>and</w:t>
      </w:r>
      <w:r>
        <w:rPr>
          <w:color w:val="333333"/>
          <w:spacing w:val="-12"/>
          <w:w w:val="110"/>
        </w:rPr>
        <w:t xml:space="preserve"> </w:t>
      </w:r>
      <w:r>
        <w:rPr>
          <w:color w:val="333333"/>
          <w:w w:val="110"/>
        </w:rPr>
        <w:t>if</w:t>
      </w:r>
      <w:r>
        <w:rPr>
          <w:color w:val="333333"/>
          <w:spacing w:val="-13"/>
          <w:w w:val="110"/>
        </w:rPr>
        <w:t xml:space="preserve"> </w:t>
      </w:r>
      <w:r>
        <w:rPr>
          <w:color w:val="333333"/>
          <w:w w:val="110"/>
        </w:rPr>
        <w:t>the</w:t>
      </w:r>
      <w:r>
        <w:rPr>
          <w:color w:val="333333"/>
          <w:spacing w:val="-5"/>
          <w:w w:val="110"/>
        </w:rPr>
        <w:t xml:space="preserve"> </w:t>
      </w:r>
      <w:r>
        <w:rPr>
          <w:rFonts w:ascii="MS Gothic"/>
          <w:color w:val="B02045"/>
          <w:w w:val="110"/>
        </w:rPr>
        <w:t>spring.quartz.job-store-type</w:t>
      </w:r>
      <w:r>
        <w:rPr>
          <w:rFonts w:ascii="MS Gothic"/>
          <w:color w:val="B02045"/>
          <w:spacing w:val="-77"/>
          <w:w w:val="110"/>
        </w:rPr>
        <w:t xml:space="preserve"> </w:t>
      </w:r>
      <w:r>
        <w:rPr>
          <w:color w:val="333333"/>
          <w:w w:val="110"/>
        </w:rPr>
        <w:t xml:space="preserve">property is configured </w:t>
      </w:r>
      <w:r>
        <w:rPr>
          <w:color w:val="333333"/>
          <w:spacing w:val="-3"/>
          <w:w w:val="110"/>
        </w:rPr>
        <w:t xml:space="preserve">accordingly, </w:t>
      </w:r>
      <w:r>
        <w:rPr>
          <w:color w:val="333333"/>
          <w:w w:val="110"/>
        </w:rPr>
        <w:t>as shown in the following</w:t>
      </w:r>
      <w:r>
        <w:rPr>
          <w:color w:val="333333"/>
          <w:spacing w:val="35"/>
          <w:w w:val="110"/>
        </w:rPr>
        <w:t xml:space="preserve"> </w:t>
      </w:r>
      <w:r>
        <w:rPr>
          <w:color w:val="333333"/>
          <w:w w:val="110"/>
        </w:rPr>
        <w:t>example:</w:t>
      </w:r>
    </w:p>
    <w:p w14:paraId="66FCBD1E" w14:textId="77777777" w:rsidR="00A720EB" w:rsidRDefault="00E10349">
      <w:pPr>
        <w:pStyle w:val="a3"/>
        <w:spacing w:before="1"/>
        <w:rPr>
          <w:sz w:val="15"/>
        </w:rPr>
      </w:pPr>
      <w:r>
        <w:pict w14:anchorId="73971A54">
          <v:group id="_x0000_s3739" style="position:absolute;margin-left:47.85pt;margin-top:10.85pt;width:499.55pt;height:37.5pt;z-index:-15383040;mso-wrap-distance-left:0;mso-wrap-distance-right:0;mso-position-horizontal-relative:page" coordorigin="957,217" coordsize="9991,750">
            <v:shape id="_x0000_s3742" style="position:absolute;left:964;top:224;width:9976;height:735" coordorigin="965,225" coordsize="9976,735" path="m10861,225r-9816,l1014,231r-26,17l971,273r-6,32l965,879r6,32l988,936r26,17l1045,959r9816,l10892,953r25,-17l10935,911r6,-32l10941,305r-6,-32l10917,248r-25,-17l10861,225xe" fillcolor="#f5f5f5" stroked="f">
              <v:path arrowok="t"/>
            </v:shape>
            <v:shape id="_x0000_s3741" style="position:absolute;left:964;top:224;width:9976;height:735" coordorigin="965,225" coordsize="9976,735" path="m1045,225r9816,l10892,231r25,17l10935,273r6,32l10941,879r-6,32l10917,936r-25,17l10861,959r-9816,l1014,953,988,936,971,911r-6,-32l965,305r6,-32l988,248r26,-17l1045,225xe" filled="f" strokecolor="#ccc">
              <v:path arrowok="t"/>
            </v:shape>
            <v:shape id="_x0000_s3740" type="#_x0000_t202" style="position:absolute;left:984;top:240;width:9938;height:704" filled="f" stroked="f">
              <v:textbox inset="0,0,0,0">
                <w:txbxContent>
                  <w:p w14:paraId="098E0C0F" w14:textId="77777777" w:rsidR="00711A16" w:rsidRDefault="00711A16">
                    <w:pPr>
                      <w:spacing w:before="221"/>
                      <w:ind w:left="200"/>
                      <w:rPr>
                        <w:rFonts w:ascii="MS Gothic"/>
                      </w:rPr>
                    </w:pPr>
                    <w:r>
                      <w:rPr>
                        <w:rFonts w:ascii="MS Gothic"/>
                        <w:color w:val="333333"/>
                      </w:rPr>
                      <w:t>spring.quartz.job-store-type=jdbc</w:t>
                    </w:r>
                  </w:p>
                </w:txbxContent>
              </v:textbox>
            </v:shape>
            <w10:wrap type="topAndBottom" anchorx="page"/>
          </v:group>
        </w:pict>
      </w:r>
    </w:p>
    <w:p w14:paraId="08F00B68" w14:textId="77777777" w:rsidR="00A720EB" w:rsidRDefault="00A720EB">
      <w:pPr>
        <w:pStyle w:val="a3"/>
        <w:rPr>
          <w:sz w:val="10"/>
        </w:rPr>
      </w:pPr>
    </w:p>
    <w:p w14:paraId="7BF250A5" w14:textId="77777777" w:rsidR="00A720EB" w:rsidRDefault="0030286B">
      <w:pPr>
        <w:pStyle w:val="a3"/>
        <w:spacing w:before="125" w:line="307" w:lineRule="auto"/>
        <w:ind w:left="124"/>
      </w:pPr>
      <w:r>
        <w:rPr>
          <w:color w:val="333333"/>
          <w:w w:val="110"/>
        </w:rPr>
        <w:t>When the JDBC store is used, the schema can be initialized on startup, as shown in the following example:</w:t>
      </w:r>
    </w:p>
    <w:p w14:paraId="1A0CCF2B" w14:textId="77777777" w:rsidR="00A720EB" w:rsidRDefault="00E10349">
      <w:pPr>
        <w:pStyle w:val="a3"/>
        <w:spacing w:before="2"/>
        <w:rPr>
          <w:sz w:val="13"/>
        </w:rPr>
      </w:pPr>
      <w:r>
        <w:pict w14:anchorId="06D9FCBC">
          <v:group id="_x0000_s3735" style="position:absolute;margin-left:47.85pt;margin-top:9.7pt;width:499.55pt;height:37.5pt;z-index:-15382528;mso-wrap-distance-left:0;mso-wrap-distance-right:0;mso-position-horizontal-relative:page" coordorigin="957,194" coordsize="9991,750">
            <v:shape id="_x0000_s3738"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3737"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3736" type="#_x0000_t202" style="position:absolute;left:984;top:217;width:9938;height:704" filled="f" stroked="f">
              <v:textbox inset="0,0,0,0">
                <w:txbxContent>
                  <w:p w14:paraId="7C29DD8A" w14:textId="77777777" w:rsidR="00711A16" w:rsidRDefault="00711A16">
                    <w:pPr>
                      <w:spacing w:before="221"/>
                      <w:ind w:left="200"/>
                      <w:rPr>
                        <w:rFonts w:ascii="MS Gothic"/>
                      </w:rPr>
                    </w:pPr>
                    <w:proofErr w:type="gramStart"/>
                    <w:r>
                      <w:rPr>
                        <w:rFonts w:ascii="MS Gothic"/>
                        <w:color w:val="333333"/>
                      </w:rPr>
                      <w:t>spring.quartz</w:t>
                    </w:r>
                    <w:proofErr w:type="gramEnd"/>
                    <w:r>
                      <w:rPr>
                        <w:rFonts w:ascii="MS Gothic"/>
                        <w:color w:val="333333"/>
                      </w:rPr>
                      <w:t>.jdbc.initialize-schema=always</w:t>
                    </w:r>
                  </w:p>
                </w:txbxContent>
              </v:textbox>
            </v:shape>
            <w10:wrap type="topAndBottom" anchorx="page"/>
          </v:group>
        </w:pict>
      </w:r>
    </w:p>
    <w:p w14:paraId="78745698" w14:textId="77777777" w:rsidR="00A720EB" w:rsidRDefault="00A720EB">
      <w:pPr>
        <w:pStyle w:val="a3"/>
        <w:spacing w:before="10"/>
        <w:rPr>
          <w:sz w:val="16"/>
        </w:rPr>
      </w:pPr>
    </w:p>
    <w:p w14:paraId="222B0B58" w14:textId="77777777" w:rsidR="00A720EB" w:rsidRDefault="00E10349">
      <w:pPr>
        <w:pStyle w:val="a3"/>
        <w:spacing w:before="125" w:line="304" w:lineRule="auto"/>
        <w:ind w:left="1564" w:right="368"/>
        <w:jc w:val="both"/>
      </w:pPr>
      <w:r>
        <w:pict w14:anchorId="73C16148">
          <v:line id="_x0000_s3734" style="position:absolute;left:0;text-align:left;z-index:16076288;mso-position-horizontal-relative:page" from="108.25pt,.25pt" to="108.25pt,71.4pt" strokecolor="#ededed" strokeweight=".5pt">
            <w10:wrap anchorx="page"/>
          </v:line>
        </w:pict>
      </w:r>
      <w:r w:rsidR="0030286B">
        <w:rPr>
          <w:noProof/>
        </w:rPr>
        <w:drawing>
          <wp:anchor distT="0" distB="0" distL="0" distR="0" simplePos="0" relativeHeight="16076800" behindDoc="0" locked="0" layoutInCell="1" allowOverlap="1" wp14:anchorId="5CBDEEB5" wp14:editId="7D7B70CA">
            <wp:simplePos x="0" y="0"/>
            <wp:positionH relativeFrom="page">
              <wp:posOffset>815847</wp:posOffset>
            </wp:positionH>
            <wp:positionV relativeFrom="paragraph">
              <wp:posOffset>302552</wp:posOffset>
            </wp:positionV>
            <wp:extent cx="355600" cy="304800"/>
            <wp:effectExtent l="0" t="0" r="0" b="0"/>
            <wp:wrapNone/>
            <wp:docPr id="4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spacing w:val="-3"/>
          <w:w w:val="110"/>
        </w:rPr>
        <w:t xml:space="preserve">By </w:t>
      </w:r>
      <w:r w:rsidR="0030286B">
        <w:rPr>
          <w:color w:val="333333"/>
          <w:w w:val="110"/>
        </w:rPr>
        <w:t xml:space="preserve">default, the database is detected and initialized </w:t>
      </w:r>
      <w:r w:rsidR="0030286B">
        <w:rPr>
          <w:color w:val="333333"/>
          <w:spacing w:val="-3"/>
          <w:w w:val="110"/>
        </w:rPr>
        <w:t xml:space="preserve">by </w:t>
      </w:r>
      <w:r w:rsidR="0030286B">
        <w:rPr>
          <w:color w:val="333333"/>
          <w:w w:val="110"/>
        </w:rPr>
        <w:t xml:space="preserve">using the standard </w:t>
      </w:r>
      <w:proofErr w:type="gramStart"/>
      <w:r w:rsidR="0030286B">
        <w:rPr>
          <w:color w:val="333333"/>
          <w:w w:val="110"/>
        </w:rPr>
        <w:t>scripts  provided</w:t>
      </w:r>
      <w:proofErr w:type="gramEnd"/>
      <w:r w:rsidR="0030286B">
        <w:rPr>
          <w:color w:val="333333"/>
          <w:w w:val="110"/>
        </w:rPr>
        <w:t xml:space="preserve"> with the Quartz </w:t>
      </w:r>
      <w:r w:rsidR="0030286B">
        <w:rPr>
          <w:color w:val="333333"/>
          <w:spacing w:val="-4"/>
          <w:w w:val="110"/>
        </w:rPr>
        <w:t xml:space="preserve">library. </w:t>
      </w:r>
      <w:r w:rsidR="0030286B">
        <w:rPr>
          <w:color w:val="333333"/>
          <w:w w:val="110"/>
        </w:rPr>
        <w:t xml:space="preserve">These scripts drop existing tables, deleting all triggers on every restart. It is also possible to provide a custom script </w:t>
      </w:r>
      <w:r w:rsidR="0030286B">
        <w:rPr>
          <w:color w:val="333333"/>
          <w:spacing w:val="-3"/>
          <w:w w:val="110"/>
        </w:rPr>
        <w:t xml:space="preserve">by </w:t>
      </w:r>
      <w:r w:rsidR="0030286B">
        <w:rPr>
          <w:color w:val="333333"/>
          <w:w w:val="110"/>
        </w:rPr>
        <w:t xml:space="preserve">setting the </w:t>
      </w:r>
      <w:proofErr w:type="gramStart"/>
      <w:r w:rsidR="0030286B">
        <w:rPr>
          <w:rFonts w:ascii="MS Gothic"/>
          <w:color w:val="B02045"/>
          <w:w w:val="110"/>
        </w:rPr>
        <w:t>spring.quartz</w:t>
      </w:r>
      <w:proofErr w:type="gramEnd"/>
      <w:r w:rsidR="0030286B">
        <w:rPr>
          <w:rFonts w:ascii="MS Gothic"/>
          <w:color w:val="B02045"/>
          <w:w w:val="110"/>
        </w:rPr>
        <w:t>.jdbc.schema</w:t>
      </w:r>
      <w:r w:rsidR="0030286B">
        <w:rPr>
          <w:rFonts w:ascii="MS Gothic"/>
          <w:color w:val="B02045"/>
          <w:spacing w:val="-65"/>
          <w:w w:val="110"/>
        </w:rPr>
        <w:t xml:space="preserve"> </w:t>
      </w:r>
      <w:r w:rsidR="0030286B">
        <w:rPr>
          <w:color w:val="333333"/>
          <w:spacing w:val="-3"/>
          <w:w w:val="110"/>
        </w:rPr>
        <w:t>property.</w:t>
      </w:r>
    </w:p>
    <w:p w14:paraId="685EE7D6" w14:textId="77777777" w:rsidR="00A720EB" w:rsidRDefault="00A720EB">
      <w:pPr>
        <w:spacing w:line="304" w:lineRule="auto"/>
        <w:jc w:val="both"/>
        <w:sectPr w:rsidR="00A720EB">
          <w:pgSz w:w="11910" w:h="16840"/>
          <w:pgMar w:top="620" w:right="840" w:bottom="520" w:left="840" w:header="0" w:footer="323" w:gutter="0"/>
          <w:cols w:space="720"/>
        </w:sectPr>
      </w:pPr>
    </w:p>
    <w:p w14:paraId="1BF0F7C7" w14:textId="77777777" w:rsidR="00A720EB" w:rsidRDefault="0030286B">
      <w:pPr>
        <w:pStyle w:val="a3"/>
        <w:spacing w:before="91" w:line="280" w:lineRule="auto"/>
        <w:ind w:left="124" w:right="121"/>
        <w:jc w:val="both"/>
      </w:pPr>
      <w:r>
        <w:rPr>
          <w:color w:val="333333"/>
          <w:spacing w:val="-4"/>
          <w:w w:val="110"/>
        </w:rPr>
        <w:lastRenderedPageBreak/>
        <w:t xml:space="preserve">To </w:t>
      </w:r>
      <w:r>
        <w:rPr>
          <w:color w:val="333333"/>
          <w:w w:val="110"/>
        </w:rPr>
        <w:t xml:space="preserve">have Quartz use a </w:t>
      </w:r>
      <w:r>
        <w:rPr>
          <w:rFonts w:ascii="MS Gothic" w:hAnsi="MS Gothic"/>
          <w:color w:val="B02045"/>
          <w:w w:val="110"/>
        </w:rPr>
        <w:t>DataSource</w:t>
      </w:r>
      <w:r>
        <w:rPr>
          <w:rFonts w:ascii="MS Gothic" w:hAnsi="MS Gothic"/>
          <w:color w:val="B02045"/>
          <w:spacing w:val="-74"/>
          <w:w w:val="110"/>
        </w:rPr>
        <w:t xml:space="preserve"> </w:t>
      </w:r>
      <w:r>
        <w:rPr>
          <w:color w:val="333333"/>
          <w:w w:val="110"/>
        </w:rPr>
        <w:t xml:space="preserve">other than the application’s main </w:t>
      </w:r>
      <w:r>
        <w:rPr>
          <w:rFonts w:ascii="MS Gothic" w:hAnsi="MS Gothic"/>
          <w:color w:val="B02045"/>
          <w:w w:val="110"/>
        </w:rPr>
        <w:t>DataSource</w:t>
      </w:r>
      <w:r>
        <w:rPr>
          <w:color w:val="333333"/>
          <w:w w:val="110"/>
        </w:rPr>
        <w:t xml:space="preserve">, declare a </w:t>
      </w:r>
      <w:r>
        <w:rPr>
          <w:rFonts w:ascii="MS Gothic" w:hAnsi="MS Gothic"/>
          <w:color w:val="B02045"/>
          <w:w w:val="110"/>
        </w:rPr>
        <w:t xml:space="preserve">DataSource </w:t>
      </w:r>
      <w:r>
        <w:rPr>
          <w:color w:val="333333"/>
          <w:w w:val="110"/>
        </w:rPr>
        <w:t>bean,</w:t>
      </w:r>
      <w:r>
        <w:rPr>
          <w:color w:val="333333"/>
          <w:spacing w:val="-8"/>
          <w:w w:val="110"/>
        </w:rPr>
        <w:t xml:space="preserve"> </w:t>
      </w:r>
      <w:r>
        <w:rPr>
          <w:color w:val="333333"/>
          <w:w w:val="110"/>
        </w:rPr>
        <w:t>annotating</w:t>
      </w:r>
      <w:r>
        <w:rPr>
          <w:color w:val="333333"/>
          <w:spacing w:val="-8"/>
          <w:w w:val="110"/>
        </w:rPr>
        <w:t xml:space="preserve"> </w:t>
      </w:r>
      <w:r>
        <w:rPr>
          <w:color w:val="333333"/>
          <w:w w:val="110"/>
        </w:rPr>
        <w:t>its</w:t>
      </w:r>
      <w:r>
        <w:rPr>
          <w:color w:val="333333"/>
          <w:spacing w:val="-5"/>
          <w:w w:val="110"/>
        </w:rPr>
        <w:t xml:space="preserve"> </w:t>
      </w:r>
      <w:r>
        <w:rPr>
          <w:rFonts w:ascii="MS Gothic" w:hAnsi="MS Gothic"/>
          <w:color w:val="B02045"/>
          <w:w w:val="110"/>
        </w:rPr>
        <w:t>@Bean</w:t>
      </w:r>
      <w:r>
        <w:rPr>
          <w:rFonts w:ascii="MS Gothic" w:hAnsi="MS Gothic"/>
          <w:color w:val="B02045"/>
          <w:spacing w:val="-72"/>
          <w:w w:val="110"/>
        </w:rPr>
        <w:t xml:space="preserve"> </w:t>
      </w:r>
      <w:r>
        <w:rPr>
          <w:color w:val="333333"/>
          <w:w w:val="110"/>
        </w:rPr>
        <w:t>method</w:t>
      </w:r>
      <w:r>
        <w:rPr>
          <w:color w:val="333333"/>
          <w:spacing w:val="-8"/>
          <w:w w:val="110"/>
        </w:rPr>
        <w:t xml:space="preserve"> </w:t>
      </w:r>
      <w:r>
        <w:rPr>
          <w:color w:val="333333"/>
          <w:w w:val="110"/>
        </w:rPr>
        <w:t>with</w:t>
      </w:r>
      <w:r>
        <w:rPr>
          <w:color w:val="333333"/>
          <w:spacing w:val="-7"/>
          <w:w w:val="110"/>
        </w:rPr>
        <w:t xml:space="preserve"> </w:t>
      </w:r>
      <w:r>
        <w:rPr>
          <w:rFonts w:ascii="MS Gothic" w:hAnsi="MS Gothic"/>
          <w:color w:val="B02045"/>
          <w:w w:val="110"/>
        </w:rPr>
        <w:t>@QuartzDataSource</w:t>
      </w:r>
      <w:r>
        <w:rPr>
          <w:color w:val="333333"/>
          <w:w w:val="110"/>
        </w:rPr>
        <w:t>.</w:t>
      </w:r>
      <w:r>
        <w:rPr>
          <w:color w:val="333333"/>
          <w:spacing w:val="-8"/>
          <w:w w:val="110"/>
        </w:rPr>
        <w:t xml:space="preserve"> </w:t>
      </w:r>
      <w:r>
        <w:rPr>
          <w:color w:val="333333"/>
          <w:w w:val="110"/>
        </w:rPr>
        <w:t>Doing</w:t>
      </w:r>
      <w:r>
        <w:rPr>
          <w:color w:val="333333"/>
          <w:spacing w:val="-8"/>
          <w:w w:val="110"/>
        </w:rPr>
        <w:t xml:space="preserve"> </w:t>
      </w:r>
      <w:r>
        <w:rPr>
          <w:color w:val="333333"/>
          <w:w w:val="110"/>
        </w:rPr>
        <w:t>so</w:t>
      </w:r>
      <w:r>
        <w:rPr>
          <w:color w:val="333333"/>
          <w:spacing w:val="-8"/>
          <w:w w:val="110"/>
        </w:rPr>
        <w:t xml:space="preserve"> </w:t>
      </w:r>
      <w:r>
        <w:rPr>
          <w:color w:val="333333"/>
          <w:w w:val="110"/>
        </w:rPr>
        <w:t>ensures</w:t>
      </w:r>
      <w:r>
        <w:rPr>
          <w:color w:val="333333"/>
          <w:spacing w:val="-8"/>
          <w:w w:val="110"/>
        </w:rPr>
        <w:t xml:space="preserve"> </w:t>
      </w:r>
      <w:r>
        <w:rPr>
          <w:color w:val="333333"/>
          <w:w w:val="110"/>
        </w:rPr>
        <w:t>that</w:t>
      </w:r>
      <w:r>
        <w:rPr>
          <w:color w:val="333333"/>
          <w:spacing w:val="-8"/>
          <w:w w:val="110"/>
        </w:rPr>
        <w:t xml:space="preserve"> </w:t>
      </w:r>
      <w:r>
        <w:rPr>
          <w:color w:val="333333"/>
          <w:w w:val="110"/>
        </w:rPr>
        <w:t>the</w:t>
      </w:r>
      <w:r>
        <w:rPr>
          <w:color w:val="333333"/>
          <w:spacing w:val="-8"/>
          <w:w w:val="110"/>
        </w:rPr>
        <w:t xml:space="preserve"> </w:t>
      </w:r>
      <w:r>
        <w:rPr>
          <w:color w:val="333333"/>
          <w:w w:val="110"/>
        </w:rPr>
        <w:t xml:space="preserve">Quartz-specific </w:t>
      </w:r>
      <w:r>
        <w:rPr>
          <w:rFonts w:ascii="MS Gothic" w:hAnsi="MS Gothic"/>
          <w:color w:val="B02045"/>
          <w:w w:val="110"/>
        </w:rPr>
        <w:t>DataSource</w:t>
      </w:r>
      <w:r>
        <w:rPr>
          <w:rFonts w:ascii="MS Gothic" w:hAnsi="MS Gothic"/>
          <w:color w:val="B02045"/>
          <w:spacing w:val="-68"/>
          <w:w w:val="110"/>
        </w:rPr>
        <w:t xml:space="preserve"> </w:t>
      </w:r>
      <w:r>
        <w:rPr>
          <w:color w:val="333333"/>
          <w:w w:val="110"/>
        </w:rPr>
        <w:t>is</w:t>
      </w:r>
      <w:r>
        <w:rPr>
          <w:color w:val="333333"/>
          <w:spacing w:val="-3"/>
          <w:w w:val="110"/>
        </w:rPr>
        <w:t xml:space="preserve"> </w:t>
      </w:r>
      <w:r>
        <w:rPr>
          <w:color w:val="333333"/>
          <w:w w:val="110"/>
        </w:rPr>
        <w:t>used</w:t>
      </w:r>
      <w:r>
        <w:rPr>
          <w:color w:val="333333"/>
          <w:spacing w:val="-4"/>
          <w:w w:val="110"/>
        </w:rPr>
        <w:t xml:space="preserve"> </w:t>
      </w:r>
      <w:r>
        <w:rPr>
          <w:color w:val="333333"/>
          <w:spacing w:val="-3"/>
          <w:w w:val="110"/>
        </w:rPr>
        <w:t xml:space="preserve">by </w:t>
      </w:r>
      <w:r>
        <w:rPr>
          <w:color w:val="333333"/>
          <w:w w:val="110"/>
        </w:rPr>
        <w:t>both</w:t>
      </w:r>
      <w:r>
        <w:rPr>
          <w:color w:val="333333"/>
          <w:spacing w:val="-3"/>
          <w:w w:val="110"/>
        </w:rPr>
        <w:t xml:space="preserve"> </w:t>
      </w:r>
      <w:r>
        <w:rPr>
          <w:color w:val="333333"/>
          <w:w w:val="110"/>
        </w:rPr>
        <w:t>the</w:t>
      </w:r>
      <w:r>
        <w:rPr>
          <w:color w:val="333333"/>
          <w:spacing w:val="-1"/>
          <w:w w:val="110"/>
        </w:rPr>
        <w:t xml:space="preserve"> </w:t>
      </w:r>
      <w:r>
        <w:rPr>
          <w:rFonts w:ascii="MS Gothic" w:hAnsi="MS Gothic"/>
          <w:color w:val="B02045"/>
          <w:w w:val="110"/>
        </w:rPr>
        <w:t>SchedulerFactoryBean</w:t>
      </w:r>
      <w:r>
        <w:rPr>
          <w:rFonts w:ascii="MS Gothic" w:hAnsi="MS Gothic"/>
          <w:color w:val="B02045"/>
          <w:spacing w:val="-67"/>
          <w:w w:val="110"/>
        </w:rPr>
        <w:t xml:space="preserve"> </w:t>
      </w:r>
      <w:r>
        <w:rPr>
          <w:color w:val="333333"/>
          <w:w w:val="110"/>
        </w:rPr>
        <w:t>and</w:t>
      </w:r>
      <w:r>
        <w:rPr>
          <w:color w:val="333333"/>
          <w:spacing w:val="-4"/>
          <w:w w:val="110"/>
        </w:rPr>
        <w:t xml:space="preserve"> </w:t>
      </w:r>
      <w:r>
        <w:rPr>
          <w:color w:val="333333"/>
          <w:w w:val="110"/>
        </w:rPr>
        <w:t>for</w:t>
      </w:r>
      <w:r>
        <w:rPr>
          <w:color w:val="333333"/>
          <w:spacing w:val="-2"/>
          <w:w w:val="110"/>
        </w:rPr>
        <w:t xml:space="preserve"> </w:t>
      </w:r>
      <w:r>
        <w:rPr>
          <w:color w:val="333333"/>
          <w:w w:val="110"/>
        </w:rPr>
        <w:t>schema</w:t>
      </w:r>
      <w:r>
        <w:rPr>
          <w:color w:val="333333"/>
          <w:spacing w:val="-3"/>
          <w:w w:val="110"/>
        </w:rPr>
        <w:t xml:space="preserve"> </w:t>
      </w:r>
      <w:r>
        <w:rPr>
          <w:color w:val="333333"/>
          <w:w w:val="110"/>
        </w:rPr>
        <w:t>initialization.</w:t>
      </w:r>
    </w:p>
    <w:p w14:paraId="065E4A83" w14:textId="77777777" w:rsidR="00A720EB" w:rsidRDefault="00A720EB">
      <w:pPr>
        <w:pStyle w:val="a3"/>
        <w:spacing w:before="7"/>
      </w:pPr>
    </w:p>
    <w:p w14:paraId="6A5D466C" w14:textId="77777777" w:rsidR="00A720EB" w:rsidRDefault="0030286B">
      <w:pPr>
        <w:pStyle w:val="a3"/>
        <w:spacing w:line="302" w:lineRule="auto"/>
        <w:ind w:left="124" w:right="129"/>
        <w:jc w:val="both"/>
      </w:pPr>
      <w:r>
        <w:rPr>
          <w:color w:val="333333"/>
          <w:spacing w:val="-3"/>
          <w:w w:val="110"/>
        </w:rPr>
        <w:t xml:space="preserve">By </w:t>
      </w:r>
      <w:r>
        <w:rPr>
          <w:color w:val="333333"/>
          <w:w w:val="110"/>
        </w:rPr>
        <w:t xml:space="preserve">default, jobs created </w:t>
      </w:r>
      <w:r>
        <w:rPr>
          <w:color w:val="333333"/>
          <w:spacing w:val="-3"/>
          <w:w w:val="110"/>
        </w:rPr>
        <w:t xml:space="preserve">by </w:t>
      </w:r>
      <w:r>
        <w:rPr>
          <w:color w:val="333333"/>
          <w:w w:val="110"/>
        </w:rPr>
        <w:t xml:space="preserve">configuration will not overwrite already registered jobs that have been read from a persistent job store. </w:t>
      </w:r>
      <w:r>
        <w:rPr>
          <w:color w:val="333333"/>
          <w:spacing w:val="-4"/>
          <w:w w:val="110"/>
        </w:rPr>
        <w:t xml:space="preserve">To </w:t>
      </w:r>
      <w:r>
        <w:rPr>
          <w:color w:val="333333"/>
          <w:w w:val="110"/>
        </w:rPr>
        <w:t xml:space="preserve">enable overwriting existing job definitions set the </w:t>
      </w:r>
      <w:proofErr w:type="gramStart"/>
      <w:r>
        <w:rPr>
          <w:rFonts w:ascii="MS Gothic"/>
          <w:color w:val="B02045"/>
          <w:w w:val="110"/>
        </w:rPr>
        <w:t>spring.quartz</w:t>
      </w:r>
      <w:proofErr w:type="gramEnd"/>
      <w:r>
        <w:rPr>
          <w:rFonts w:ascii="MS Gothic"/>
          <w:color w:val="B02045"/>
          <w:w w:val="110"/>
        </w:rPr>
        <w:t>.overwrite-existing-jobs</w:t>
      </w:r>
      <w:r>
        <w:rPr>
          <w:rFonts w:ascii="MS Gothic"/>
          <w:color w:val="B02045"/>
          <w:spacing w:val="-66"/>
          <w:w w:val="110"/>
        </w:rPr>
        <w:t xml:space="preserve"> </w:t>
      </w:r>
      <w:r>
        <w:rPr>
          <w:color w:val="333333"/>
          <w:spacing w:val="-3"/>
          <w:w w:val="110"/>
        </w:rPr>
        <w:t>property.</w:t>
      </w:r>
    </w:p>
    <w:p w14:paraId="17639E57" w14:textId="77777777" w:rsidR="00A720EB" w:rsidRDefault="0030286B">
      <w:pPr>
        <w:pStyle w:val="a3"/>
        <w:spacing w:before="217" w:line="290" w:lineRule="auto"/>
        <w:ind w:left="124" w:right="122"/>
        <w:jc w:val="both"/>
      </w:pPr>
      <w:r>
        <w:rPr>
          <w:color w:val="333333"/>
          <w:w w:val="110"/>
        </w:rPr>
        <w:t xml:space="preserve">Quartz Scheduler configuration can be customized using </w:t>
      </w:r>
      <w:proofErr w:type="gramStart"/>
      <w:r>
        <w:rPr>
          <w:rFonts w:ascii="MS Gothic"/>
          <w:color w:val="B02045"/>
          <w:w w:val="110"/>
        </w:rPr>
        <w:t>spring.quartz</w:t>
      </w:r>
      <w:proofErr w:type="gramEnd"/>
      <w:r>
        <w:rPr>
          <w:rFonts w:ascii="MS Gothic"/>
          <w:color w:val="B02045"/>
          <w:w w:val="110"/>
        </w:rPr>
        <w:t xml:space="preserve"> </w:t>
      </w:r>
      <w:r>
        <w:rPr>
          <w:color w:val="333333"/>
          <w:w w:val="110"/>
        </w:rPr>
        <w:t xml:space="preserve">properties and </w:t>
      </w:r>
      <w:r>
        <w:rPr>
          <w:rFonts w:ascii="MS Gothic"/>
          <w:color w:val="B02045"/>
          <w:w w:val="110"/>
        </w:rPr>
        <w:t xml:space="preserve">SchedulerFactoryBeanCustomizer </w:t>
      </w:r>
      <w:r>
        <w:rPr>
          <w:color w:val="333333"/>
          <w:w w:val="110"/>
        </w:rPr>
        <w:t xml:space="preserve">beans, which allow programmatic </w:t>
      </w:r>
      <w:r>
        <w:rPr>
          <w:rFonts w:ascii="MS Gothic"/>
          <w:color w:val="B02045"/>
          <w:w w:val="110"/>
        </w:rPr>
        <w:t xml:space="preserve">SchedulerFactoryBean </w:t>
      </w:r>
      <w:r>
        <w:rPr>
          <w:color w:val="333333"/>
          <w:w w:val="110"/>
        </w:rPr>
        <w:t xml:space="preserve">customization. Advanced Quartz configuration properties can be customized using </w:t>
      </w:r>
      <w:proofErr w:type="gramStart"/>
      <w:r>
        <w:rPr>
          <w:rFonts w:ascii="MS Gothic"/>
          <w:color w:val="B02045"/>
          <w:w w:val="110"/>
        </w:rPr>
        <w:t>spring.quartz</w:t>
      </w:r>
      <w:proofErr w:type="gramEnd"/>
      <w:r>
        <w:rPr>
          <w:rFonts w:ascii="MS Gothic"/>
          <w:color w:val="B02045"/>
          <w:w w:val="110"/>
        </w:rPr>
        <w:t>.properties.*</w:t>
      </w:r>
      <w:r>
        <w:rPr>
          <w:color w:val="333333"/>
          <w:w w:val="110"/>
        </w:rPr>
        <w:t>.</w:t>
      </w:r>
    </w:p>
    <w:p w14:paraId="63BE21CE" w14:textId="77777777" w:rsidR="00A720EB" w:rsidRDefault="00A720EB">
      <w:pPr>
        <w:pStyle w:val="a3"/>
        <w:spacing w:before="4"/>
        <w:rPr>
          <w:sz w:val="16"/>
        </w:rPr>
      </w:pPr>
    </w:p>
    <w:p w14:paraId="1023D081" w14:textId="77777777" w:rsidR="00A720EB" w:rsidRDefault="00E10349">
      <w:pPr>
        <w:pStyle w:val="a3"/>
        <w:tabs>
          <w:tab w:val="left" w:pos="2287"/>
          <w:tab w:val="left" w:pos="3825"/>
          <w:tab w:val="left" w:pos="4672"/>
          <w:tab w:val="left" w:pos="5609"/>
          <w:tab w:val="left" w:pos="7065"/>
          <w:tab w:val="left" w:pos="8454"/>
        </w:tabs>
        <w:spacing w:before="116" w:line="290" w:lineRule="auto"/>
        <w:ind w:left="1564" w:right="363"/>
        <w:jc w:val="both"/>
      </w:pPr>
      <w:r>
        <w:pict w14:anchorId="03A2E9D3">
          <v:line id="_x0000_s3733" style="position:absolute;left:0;text-align:left;z-index:16077824;mso-position-horizontal-relative:page" from="108.25pt,.35pt" to="108.25pt,71.45pt" strokecolor="#ededed" strokeweight=".5pt">
            <w10:wrap anchorx="page"/>
          </v:line>
        </w:pict>
      </w:r>
      <w:r w:rsidR="0030286B">
        <w:rPr>
          <w:noProof/>
        </w:rPr>
        <w:drawing>
          <wp:anchor distT="0" distB="0" distL="0" distR="0" simplePos="0" relativeHeight="16078336" behindDoc="0" locked="0" layoutInCell="1" allowOverlap="1" wp14:anchorId="1BF1019F" wp14:editId="07D7EC8F">
            <wp:simplePos x="0" y="0"/>
            <wp:positionH relativeFrom="page">
              <wp:posOffset>844422</wp:posOffset>
            </wp:positionH>
            <wp:positionV relativeFrom="paragraph">
              <wp:posOffset>306653</wp:posOffset>
            </wp:positionV>
            <wp:extent cx="298450" cy="298450"/>
            <wp:effectExtent l="0" t="0" r="0" b="0"/>
            <wp:wrapNone/>
            <wp:docPr id="4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In particular, an </w:t>
      </w:r>
      <w:r w:rsidR="0030286B">
        <w:rPr>
          <w:rFonts w:ascii="MS Gothic"/>
          <w:color w:val="B02045"/>
          <w:w w:val="110"/>
        </w:rPr>
        <w:t xml:space="preserve">Executor </w:t>
      </w:r>
      <w:r w:rsidR="0030286B">
        <w:rPr>
          <w:color w:val="333333"/>
          <w:w w:val="110"/>
        </w:rPr>
        <w:t xml:space="preserve">bean is not associated with the scheduler as Quartz offers a way to configure the scheduler via </w:t>
      </w:r>
      <w:proofErr w:type="gramStart"/>
      <w:r w:rsidR="0030286B">
        <w:rPr>
          <w:rFonts w:ascii="MS Gothic"/>
          <w:color w:val="B02045"/>
          <w:w w:val="110"/>
        </w:rPr>
        <w:t>spring.quartz</w:t>
      </w:r>
      <w:proofErr w:type="gramEnd"/>
      <w:r w:rsidR="0030286B">
        <w:rPr>
          <w:rFonts w:ascii="MS Gothic"/>
          <w:color w:val="B02045"/>
          <w:w w:val="110"/>
        </w:rPr>
        <w:t>.properties</w:t>
      </w:r>
      <w:r w:rsidR="0030286B">
        <w:rPr>
          <w:color w:val="333333"/>
          <w:w w:val="110"/>
        </w:rPr>
        <w:t>. If you need to</w:t>
      </w:r>
      <w:r w:rsidR="0030286B">
        <w:rPr>
          <w:color w:val="333333"/>
          <w:w w:val="110"/>
        </w:rPr>
        <w:tab/>
        <w:t>customize</w:t>
      </w:r>
      <w:r w:rsidR="0030286B">
        <w:rPr>
          <w:color w:val="333333"/>
          <w:w w:val="110"/>
        </w:rPr>
        <w:tab/>
        <w:t>the</w:t>
      </w:r>
      <w:r w:rsidR="0030286B">
        <w:rPr>
          <w:color w:val="333333"/>
          <w:w w:val="110"/>
        </w:rPr>
        <w:tab/>
        <w:t>task</w:t>
      </w:r>
      <w:r w:rsidR="0030286B">
        <w:rPr>
          <w:color w:val="333333"/>
          <w:w w:val="110"/>
        </w:rPr>
        <w:tab/>
        <w:t>executor,</w:t>
      </w:r>
      <w:r w:rsidR="0030286B">
        <w:rPr>
          <w:color w:val="333333"/>
          <w:w w:val="110"/>
        </w:rPr>
        <w:tab/>
        <w:t>consider</w:t>
      </w:r>
      <w:r w:rsidR="0030286B">
        <w:rPr>
          <w:color w:val="333333"/>
          <w:w w:val="110"/>
        </w:rPr>
        <w:tab/>
      </w:r>
      <w:r w:rsidR="0030286B">
        <w:rPr>
          <w:color w:val="333333"/>
          <w:spacing w:val="-1"/>
          <w:w w:val="110"/>
        </w:rPr>
        <w:t xml:space="preserve">implementing </w:t>
      </w:r>
      <w:r w:rsidR="0030286B">
        <w:rPr>
          <w:rFonts w:ascii="MS Gothic"/>
          <w:color w:val="B02045"/>
          <w:w w:val="110"/>
        </w:rPr>
        <w:t>SchedulerFactoryBeanCustomizer</w:t>
      </w:r>
      <w:r w:rsidR="0030286B">
        <w:rPr>
          <w:color w:val="333333"/>
          <w:w w:val="110"/>
        </w:rPr>
        <w:t>.</w:t>
      </w:r>
    </w:p>
    <w:p w14:paraId="49029138" w14:textId="77777777" w:rsidR="00A720EB" w:rsidRDefault="00A720EB">
      <w:pPr>
        <w:pStyle w:val="a3"/>
        <w:spacing w:before="6"/>
        <w:rPr>
          <w:sz w:val="16"/>
        </w:rPr>
      </w:pPr>
    </w:p>
    <w:p w14:paraId="0289FF91" w14:textId="77777777" w:rsidR="00A720EB" w:rsidRDefault="0030286B">
      <w:pPr>
        <w:pStyle w:val="a3"/>
        <w:spacing w:before="125" w:line="307" w:lineRule="auto"/>
        <w:ind w:left="124"/>
      </w:pPr>
      <w:r>
        <w:rPr>
          <w:color w:val="333333"/>
          <w:w w:val="110"/>
        </w:rPr>
        <w:t>Jobs can define setters to inject data map properties. Regular beans can also be injected in a similar manner, as shown in the following example:</w:t>
      </w:r>
    </w:p>
    <w:p w14:paraId="031E1893" w14:textId="77777777" w:rsidR="00A720EB" w:rsidRDefault="00E10349">
      <w:pPr>
        <w:pStyle w:val="a3"/>
        <w:spacing w:before="1"/>
        <w:rPr>
          <w:sz w:val="13"/>
        </w:rPr>
      </w:pPr>
      <w:r>
        <w:pict w14:anchorId="019ADB7B">
          <v:group id="_x0000_s3729" style="position:absolute;margin-left:47.85pt;margin-top:9.7pt;width:499.55pt;height:302.85pt;z-index:-15379968;mso-wrap-distance-left:0;mso-wrap-distance-right:0;mso-position-horizontal-relative:page" coordorigin="957,194" coordsize="9991,6057">
            <v:shape id="_x0000_s3732" style="position:absolute;left:964;top:201;width:9976;height:6042" coordorigin="965,201" coordsize="9976,6042" path="m10861,201r-9816,l1014,207r-26,18l971,250r-6,31l965,6162r6,31l988,6219r26,17l1045,6242r9816,l10892,6236r25,-17l10935,6193r6,-31l10941,281r-6,-31l10917,225r-25,-18l10861,201xe" fillcolor="#f5f5f5" stroked="f">
              <v:path arrowok="t"/>
            </v:shape>
            <v:shape id="_x0000_s3731" style="position:absolute;left:964;top:201;width:9976;height:6042" coordorigin="965,201" coordsize="9976,6042" path="m1045,201r9816,l10892,207r25,18l10935,250r6,31l10941,6162r-6,31l10917,6219r-25,17l10861,6242r-9816,l1014,6236r-26,-17l971,6193r-6,-31l965,281r6,-31l988,225r26,-18l1045,201xe" filled="f" strokecolor="#ccc">
              <v:path arrowok="t"/>
            </v:shape>
            <v:shape id="_x0000_s3730" type="#_x0000_t202" style="position:absolute;left:984;top:216;width:9938;height:6011" filled="f" stroked="f">
              <v:textbox inset="0,0,0,0">
                <w:txbxContent>
                  <w:p w14:paraId="3F2E649C" w14:textId="77777777" w:rsidR="00711A16" w:rsidRDefault="00711A16">
                    <w:pPr>
                      <w:spacing w:before="221" w:line="501" w:lineRule="auto"/>
                      <w:ind w:left="640" w:right="4658" w:hanging="440"/>
                      <w:rPr>
                        <w:rFonts w:ascii="MS Gothic"/>
                      </w:rPr>
                    </w:pPr>
                    <w:r>
                      <w:rPr>
                        <w:rFonts w:ascii="MS Gothic"/>
                        <w:color w:val="333333"/>
                      </w:rPr>
                      <w:t xml:space="preserve">public class SampleJob extends QuartzJobBean </w:t>
                    </w:r>
                    <w:proofErr w:type="gramStart"/>
                    <w:r>
                      <w:rPr>
                        <w:rFonts w:ascii="MS Gothic"/>
                        <w:color w:val="333333"/>
                      </w:rPr>
                      <w:t>{ private</w:t>
                    </w:r>
                    <w:proofErr w:type="gramEnd"/>
                    <w:r>
                      <w:rPr>
                        <w:rFonts w:ascii="MS Gothic"/>
                        <w:color w:val="333333"/>
                      </w:rPr>
                      <w:t xml:space="preserve"> MyService myService;</w:t>
                    </w:r>
                  </w:p>
                  <w:p w14:paraId="71D683B8" w14:textId="77777777" w:rsidR="00711A16" w:rsidRDefault="00711A16">
                    <w:pPr>
                      <w:spacing w:before="1"/>
                      <w:ind w:left="640"/>
                      <w:rPr>
                        <w:rFonts w:ascii="MS Gothic"/>
                      </w:rPr>
                    </w:pPr>
                    <w:r>
                      <w:rPr>
                        <w:rFonts w:ascii="MS Gothic"/>
                        <w:color w:val="333333"/>
                      </w:rPr>
                      <w:t>private String name;</w:t>
                    </w:r>
                  </w:p>
                  <w:p w14:paraId="4D881BE2" w14:textId="77777777" w:rsidR="00711A16" w:rsidRDefault="00711A16">
                    <w:pPr>
                      <w:rPr>
                        <w:rFonts w:ascii="MS Gothic"/>
                        <w:sz w:val="24"/>
                      </w:rPr>
                    </w:pPr>
                  </w:p>
                  <w:p w14:paraId="79A2989F" w14:textId="77777777" w:rsidR="00711A16" w:rsidRDefault="00711A16">
                    <w:pPr>
                      <w:ind w:left="640"/>
                      <w:rPr>
                        <w:rFonts w:ascii="MS Gothic"/>
                      </w:rPr>
                    </w:pPr>
                    <w:r>
                      <w:rPr>
                        <w:rFonts w:ascii="MS Gothic"/>
                        <w:color w:val="333333"/>
                      </w:rPr>
                      <w:t>// Inject "MyService" bean</w:t>
                    </w:r>
                  </w:p>
                  <w:p w14:paraId="6DC5FEB3" w14:textId="77777777" w:rsidR="00711A16" w:rsidRDefault="00711A16">
                    <w:pPr>
                      <w:spacing w:before="13"/>
                      <w:ind w:left="640"/>
                      <w:rPr>
                        <w:rFonts w:ascii="MS Gothic"/>
                      </w:rPr>
                    </w:pPr>
                    <w:r>
                      <w:rPr>
                        <w:rFonts w:ascii="MS Gothic"/>
                        <w:color w:val="333333"/>
                      </w:rPr>
                      <w:t xml:space="preserve">public void </w:t>
                    </w:r>
                    <w:proofErr w:type="gramStart"/>
                    <w:r>
                      <w:rPr>
                        <w:rFonts w:ascii="MS Gothic"/>
                        <w:color w:val="333333"/>
                      </w:rPr>
                      <w:t>setMyService(</w:t>
                    </w:r>
                    <w:proofErr w:type="gramEnd"/>
                    <w:r>
                      <w:rPr>
                        <w:rFonts w:ascii="MS Gothic"/>
                        <w:color w:val="333333"/>
                      </w:rPr>
                      <w:t>MyService myService) { ... }</w:t>
                    </w:r>
                  </w:p>
                  <w:p w14:paraId="5FC90B71" w14:textId="77777777" w:rsidR="00711A16" w:rsidRDefault="00711A16">
                    <w:pPr>
                      <w:rPr>
                        <w:rFonts w:ascii="MS Gothic"/>
                        <w:sz w:val="24"/>
                      </w:rPr>
                    </w:pPr>
                  </w:p>
                  <w:p w14:paraId="3EC8D5FA" w14:textId="77777777" w:rsidR="00711A16" w:rsidRDefault="00711A16">
                    <w:pPr>
                      <w:spacing w:line="252" w:lineRule="auto"/>
                      <w:ind w:left="640" w:right="4878"/>
                      <w:rPr>
                        <w:rFonts w:ascii="MS Gothic"/>
                      </w:rPr>
                    </w:pPr>
                    <w:r>
                      <w:rPr>
                        <w:rFonts w:ascii="MS Gothic"/>
                        <w:color w:val="333333"/>
                      </w:rPr>
                      <w:t xml:space="preserve">// Inject the "name" job data property public void </w:t>
                    </w:r>
                    <w:proofErr w:type="gramStart"/>
                    <w:r>
                      <w:rPr>
                        <w:rFonts w:ascii="MS Gothic"/>
                        <w:color w:val="333333"/>
                      </w:rPr>
                      <w:t>setName(</w:t>
                    </w:r>
                    <w:proofErr w:type="gramEnd"/>
                    <w:r>
                      <w:rPr>
                        <w:rFonts w:ascii="MS Gothic"/>
                        <w:color w:val="333333"/>
                      </w:rPr>
                      <w:t>String name) { ... }</w:t>
                    </w:r>
                  </w:p>
                  <w:p w14:paraId="39C5AF30" w14:textId="77777777" w:rsidR="00711A16" w:rsidRDefault="00711A16">
                    <w:pPr>
                      <w:spacing w:before="10"/>
                      <w:rPr>
                        <w:rFonts w:ascii="MS Gothic"/>
                      </w:rPr>
                    </w:pPr>
                  </w:p>
                  <w:p w14:paraId="6FDE9655" w14:textId="77777777" w:rsidR="00711A16" w:rsidRDefault="00711A16">
                    <w:pPr>
                      <w:spacing w:before="1"/>
                      <w:ind w:left="640"/>
                      <w:rPr>
                        <w:rFonts w:ascii="MS Gothic"/>
                      </w:rPr>
                    </w:pPr>
                    <w:r>
                      <w:rPr>
                        <w:rFonts w:ascii="MS Gothic"/>
                        <w:color w:val="333333"/>
                      </w:rPr>
                      <w:t>@Override</w:t>
                    </w:r>
                  </w:p>
                  <w:p w14:paraId="493A292C" w14:textId="77777777" w:rsidR="00711A16" w:rsidRDefault="00711A16">
                    <w:pPr>
                      <w:spacing w:before="13" w:line="252" w:lineRule="auto"/>
                      <w:ind w:left="1520" w:right="2788" w:hanging="880"/>
                      <w:rPr>
                        <w:rFonts w:ascii="MS Gothic"/>
                      </w:rPr>
                    </w:pPr>
                    <w:r>
                      <w:rPr>
                        <w:rFonts w:ascii="MS Gothic"/>
                        <w:color w:val="333333"/>
                      </w:rPr>
                      <w:t xml:space="preserve">protected void </w:t>
                    </w:r>
                    <w:proofErr w:type="gramStart"/>
                    <w:r>
                      <w:rPr>
                        <w:rFonts w:ascii="MS Gothic"/>
                        <w:color w:val="333333"/>
                      </w:rPr>
                      <w:t>executeInternal(</w:t>
                    </w:r>
                    <w:proofErr w:type="gramEnd"/>
                    <w:r>
                      <w:rPr>
                        <w:rFonts w:ascii="MS Gothic"/>
                        <w:color w:val="333333"/>
                      </w:rPr>
                      <w:t>JobExecutionContext context) throws JobExecutionException {</w:t>
                    </w:r>
                  </w:p>
                  <w:p w14:paraId="574A6535" w14:textId="77777777" w:rsidR="00711A16" w:rsidRDefault="00711A16">
                    <w:pPr>
                      <w:spacing w:line="280" w:lineRule="exact"/>
                      <w:ind w:left="1080"/>
                      <w:rPr>
                        <w:rFonts w:ascii="MS Gothic"/>
                      </w:rPr>
                    </w:pPr>
                    <w:r>
                      <w:rPr>
                        <w:rFonts w:ascii="MS Gothic"/>
                        <w:color w:val="333333"/>
                      </w:rPr>
                      <w:t>...</w:t>
                    </w:r>
                  </w:p>
                  <w:p w14:paraId="5C19957E" w14:textId="77777777" w:rsidR="00711A16" w:rsidRDefault="00711A16">
                    <w:pPr>
                      <w:spacing w:before="13"/>
                      <w:ind w:left="640"/>
                      <w:rPr>
                        <w:rFonts w:ascii="MS Gothic"/>
                      </w:rPr>
                    </w:pPr>
                    <w:r>
                      <w:rPr>
                        <w:rFonts w:ascii="MS Gothic"/>
                        <w:color w:val="333333"/>
                      </w:rPr>
                      <w:t>}</w:t>
                    </w:r>
                  </w:p>
                  <w:p w14:paraId="5C88EA8C" w14:textId="77777777" w:rsidR="00711A16" w:rsidRDefault="00711A16">
                    <w:pPr>
                      <w:rPr>
                        <w:rFonts w:ascii="MS Gothic"/>
                        <w:sz w:val="24"/>
                      </w:rPr>
                    </w:pPr>
                  </w:p>
                  <w:p w14:paraId="0B9AECA8" w14:textId="77777777" w:rsidR="00711A16" w:rsidRDefault="00711A16">
                    <w:pPr>
                      <w:ind w:left="200"/>
                      <w:rPr>
                        <w:rFonts w:ascii="MS Gothic"/>
                      </w:rPr>
                    </w:pPr>
                    <w:r>
                      <w:rPr>
                        <w:rFonts w:ascii="MS Gothic"/>
                        <w:color w:val="333333"/>
                      </w:rPr>
                      <w:t>}</w:t>
                    </w:r>
                  </w:p>
                </w:txbxContent>
              </v:textbox>
            </v:shape>
            <w10:wrap type="topAndBottom" anchorx="page"/>
          </v:group>
        </w:pict>
      </w:r>
    </w:p>
    <w:p w14:paraId="34A16A0A" w14:textId="77777777" w:rsidR="00A720EB" w:rsidRDefault="00A720EB">
      <w:pPr>
        <w:pStyle w:val="a3"/>
        <w:spacing w:before="11"/>
        <w:rPr>
          <w:sz w:val="16"/>
        </w:rPr>
      </w:pPr>
    </w:p>
    <w:p w14:paraId="2F6DD9AC" w14:textId="77777777" w:rsidR="00A720EB" w:rsidRDefault="0030286B">
      <w:pPr>
        <w:pStyle w:val="2"/>
        <w:numPr>
          <w:ilvl w:val="1"/>
          <w:numId w:val="68"/>
        </w:numPr>
        <w:tabs>
          <w:tab w:val="left" w:pos="1034"/>
        </w:tabs>
        <w:spacing w:before="107"/>
        <w:ind w:left="1033" w:hanging="910"/>
      </w:pPr>
      <w:bookmarkStart w:id="444" w:name="4.22._Task_Execution_and_Scheduling"/>
      <w:bookmarkStart w:id="445" w:name="_Toc54423806"/>
      <w:bookmarkEnd w:id="444"/>
      <w:r>
        <w:rPr>
          <w:color w:val="333333"/>
          <w:spacing w:val="-4"/>
          <w:w w:val="110"/>
        </w:rPr>
        <w:t xml:space="preserve">Task </w:t>
      </w:r>
      <w:r>
        <w:rPr>
          <w:color w:val="333333"/>
          <w:w w:val="110"/>
        </w:rPr>
        <w:t>Execution and</w:t>
      </w:r>
      <w:r>
        <w:rPr>
          <w:color w:val="333333"/>
          <w:spacing w:val="-18"/>
          <w:w w:val="110"/>
        </w:rPr>
        <w:t xml:space="preserve"> </w:t>
      </w:r>
      <w:r>
        <w:rPr>
          <w:color w:val="333333"/>
          <w:w w:val="110"/>
        </w:rPr>
        <w:t>Scheduling</w:t>
      </w:r>
      <w:bookmarkEnd w:id="445"/>
    </w:p>
    <w:p w14:paraId="244457BB" w14:textId="77777777" w:rsidR="00A720EB" w:rsidRDefault="0030286B">
      <w:pPr>
        <w:pStyle w:val="a3"/>
        <w:spacing w:before="242" w:line="280" w:lineRule="auto"/>
        <w:ind w:left="124" w:right="132"/>
        <w:jc w:val="both"/>
      </w:pPr>
      <w:r>
        <w:rPr>
          <w:color w:val="333333"/>
          <w:w w:val="110"/>
        </w:rPr>
        <w:t xml:space="preserve">In the absence of an </w:t>
      </w:r>
      <w:r>
        <w:rPr>
          <w:rFonts w:ascii="MS Gothic"/>
          <w:color w:val="B02045"/>
          <w:w w:val="110"/>
        </w:rPr>
        <w:t xml:space="preserve">Executor </w:t>
      </w:r>
      <w:r>
        <w:rPr>
          <w:color w:val="333333"/>
          <w:w w:val="110"/>
        </w:rPr>
        <w:t xml:space="preserve">bean in the context, Spring Boot auto-configures a </w:t>
      </w:r>
      <w:r>
        <w:rPr>
          <w:rFonts w:ascii="MS Gothic"/>
          <w:color w:val="B02045"/>
          <w:w w:val="110"/>
        </w:rPr>
        <w:t>ThreadPoolTaskExecutor</w:t>
      </w:r>
      <w:r>
        <w:rPr>
          <w:rFonts w:ascii="MS Gothic"/>
          <w:color w:val="B02045"/>
          <w:spacing w:val="-75"/>
          <w:w w:val="110"/>
        </w:rPr>
        <w:t xml:space="preserve"> </w:t>
      </w:r>
      <w:r>
        <w:rPr>
          <w:color w:val="333333"/>
          <w:w w:val="110"/>
        </w:rPr>
        <w:t>with</w:t>
      </w:r>
      <w:r>
        <w:rPr>
          <w:color w:val="333333"/>
          <w:spacing w:val="-10"/>
          <w:w w:val="110"/>
        </w:rPr>
        <w:t xml:space="preserve"> </w:t>
      </w:r>
      <w:r>
        <w:rPr>
          <w:color w:val="333333"/>
          <w:w w:val="110"/>
        </w:rPr>
        <w:t>sensible</w:t>
      </w:r>
      <w:r>
        <w:rPr>
          <w:color w:val="333333"/>
          <w:spacing w:val="-10"/>
          <w:w w:val="110"/>
        </w:rPr>
        <w:t xml:space="preserve"> </w:t>
      </w:r>
      <w:r>
        <w:rPr>
          <w:color w:val="333333"/>
          <w:w w:val="110"/>
        </w:rPr>
        <w:t>defaults</w:t>
      </w:r>
      <w:r>
        <w:rPr>
          <w:color w:val="333333"/>
          <w:spacing w:val="-11"/>
          <w:w w:val="110"/>
        </w:rPr>
        <w:t xml:space="preserve"> </w:t>
      </w:r>
      <w:r>
        <w:rPr>
          <w:color w:val="333333"/>
          <w:w w:val="110"/>
        </w:rPr>
        <w:t>that</w:t>
      </w:r>
      <w:r>
        <w:rPr>
          <w:color w:val="333333"/>
          <w:spacing w:val="-10"/>
          <w:w w:val="110"/>
        </w:rPr>
        <w:t xml:space="preserve"> </w:t>
      </w:r>
      <w:r>
        <w:rPr>
          <w:color w:val="333333"/>
          <w:w w:val="110"/>
        </w:rPr>
        <w:t>can</w:t>
      </w:r>
      <w:r>
        <w:rPr>
          <w:color w:val="333333"/>
          <w:spacing w:val="-10"/>
          <w:w w:val="110"/>
        </w:rPr>
        <w:t xml:space="preserve"> </w:t>
      </w:r>
      <w:r>
        <w:rPr>
          <w:color w:val="333333"/>
          <w:w w:val="110"/>
        </w:rPr>
        <w:t>be</w:t>
      </w:r>
      <w:r>
        <w:rPr>
          <w:color w:val="333333"/>
          <w:spacing w:val="-11"/>
          <w:w w:val="110"/>
        </w:rPr>
        <w:t xml:space="preserve"> </w:t>
      </w:r>
      <w:r>
        <w:rPr>
          <w:color w:val="333333"/>
          <w:w w:val="110"/>
        </w:rPr>
        <w:t>automatically</w:t>
      </w:r>
      <w:r>
        <w:rPr>
          <w:color w:val="333333"/>
          <w:spacing w:val="-10"/>
          <w:w w:val="110"/>
        </w:rPr>
        <w:t xml:space="preserve"> </w:t>
      </w:r>
      <w:r>
        <w:rPr>
          <w:color w:val="333333"/>
          <w:w w:val="110"/>
        </w:rPr>
        <w:t>associated</w:t>
      </w:r>
      <w:r>
        <w:rPr>
          <w:color w:val="333333"/>
          <w:spacing w:val="-10"/>
          <w:w w:val="110"/>
        </w:rPr>
        <w:t xml:space="preserve"> </w:t>
      </w:r>
      <w:r>
        <w:rPr>
          <w:color w:val="333333"/>
          <w:w w:val="110"/>
        </w:rPr>
        <w:t>to</w:t>
      </w:r>
      <w:r>
        <w:rPr>
          <w:color w:val="333333"/>
          <w:spacing w:val="-10"/>
          <w:w w:val="110"/>
        </w:rPr>
        <w:t xml:space="preserve"> </w:t>
      </w:r>
      <w:r>
        <w:rPr>
          <w:color w:val="333333"/>
          <w:w w:val="110"/>
        </w:rPr>
        <w:t>asynchronous task execution (</w:t>
      </w:r>
      <w:r>
        <w:rPr>
          <w:rFonts w:ascii="MS Gothic"/>
          <w:color w:val="B02045"/>
          <w:w w:val="110"/>
        </w:rPr>
        <w:t>@EnableAsync</w:t>
      </w:r>
      <w:r>
        <w:rPr>
          <w:color w:val="333333"/>
          <w:w w:val="110"/>
        </w:rPr>
        <w:t>) and Spring MVC asynchronous request</w:t>
      </w:r>
      <w:r>
        <w:rPr>
          <w:color w:val="333333"/>
          <w:spacing w:val="1"/>
          <w:w w:val="110"/>
        </w:rPr>
        <w:t xml:space="preserve"> </w:t>
      </w:r>
      <w:r>
        <w:rPr>
          <w:color w:val="333333"/>
          <w:w w:val="110"/>
        </w:rPr>
        <w:t>processing.</w:t>
      </w:r>
    </w:p>
    <w:p w14:paraId="6CE655E8" w14:textId="77777777" w:rsidR="00A720EB" w:rsidRDefault="00A720EB">
      <w:pPr>
        <w:spacing w:line="280" w:lineRule="auto"/>
        <w:jc w:val="both"/>
        <w:sectPr w:rsidR="00A720EB">
          <w:pgSz w:w="11910" w:h="16840"/>
          <w:pgMar w:top="640" w:right="840" w:bottom="520" w:left="840" w:header="0" w:footer="323" w:gutter="0"/>
          <w:cols w:space="720"/>
        </w:sectPr>
      </w:pPr>
    </w:p>
    <w:p w14:paraId="5B7A8F3B" w14:textId="77777777" w:rsidR="00A720EB" w:rsidRDefault="00E10349">
      <w:pPr>
        <w:pStyle w:val="a3"/>
        <w:spacing w:before="111" w:line="280" w:lineRule="auto"/>
        <w:ind w:left="1564" w:right="363"/>
        <w:jc w:val="both"/>
      </w:pPr>
      <w:r>
        <w:lastRenderedPageBreak/>
        <w:pict w14:anchorId="2CE2B3A2">
          <v:line id="_x0000_s3728" style="position:absolute;left:0;text-align:left;z-index:16079872;mso-position-horizontal-relative:page" from="108.25pt,.1pt" to="108.25pt,146.35pt" strokecolor="#ededed" strokeweight=".5pt">
            <w10:wrap anchorx="page"/>
          </v:line>
        </w:pict>
      </w:r>
      <w:r w:rsidR="0030286B">
        <w:rPr>
          <w:noProof/>
        </w:rPr>
        <w:drawing>
          <wp:anchor distT="0" distB="0" distL="0" distR="0" simplePos="0" relativeHeight="16080384" behindDoc="0" locked="0" layoutInCell="1" allowOverlap="1" wp14:anchorId="10121F4E" wp14:editId="22479CF6">
            <wp:simplePos x="0" y="0"/>
            <wp:positionH relativeFrom="page">
              <wp:posOffset>888949</wp:posOffset>
            </wp:positionH>
            <wp:positionV relativeFrom="paragraph">
              <wp:posOffset>777316</wp:posOffset>
            </wp:positionV>
            <wp:extent cx="209550" cy="304800"/>
            <wp:effectExtent l="0" t="0" r="0" b="0"/>
            <wp:wrapNone/>
            <wp:docPr id="4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have defined a custom </w:t>
      </w:r>
      <w:r w:rsidR="0030286B">
        <w:rPr>
          <w:rFonts w:ascii="MS Gothic"/>
          <w:color w:val="B02045"/>
          <w:w w:val="110"/>
        </w:rPr>
        <w:t xml:space="preserve">Executor </w:t>
      </w:r>
      <w:r w:rsidR="0030286B">
        <w:rPr>
          <w:color w:val="333333"/>
          <w:w w:val="110"/>
        </w:rPr>
        <w:t xml:space="preserve">in the context, regular task execution (i.e. </w:t>
      </w:r>
      <w:r w:rsidR="0030286B">
        <w:rPr>
          <w:rFonts w:ascii="MS Gothic"/>
          <w:color w:val="B02045"/>
          <w:w w:val="110"/>
        </w:rPr>
        <w:t>@EnableAsync</w:t>
      </w:r>
      <w:r w:rsidR="0030286B">
        <w:rPr>
          <w:color w:val="333333"/>
          <w:w w:val="110"/>
        </w:rPr>
        <w:t xml:space="preserve">) will use it transparently but the Spring MVC support will not be configured as it requires an </w:t>
      </w:r>
      <w:r w:rsidR="0030286B">
        <w:rPr>
          <w:rFonts w:ascii="MS Gothic"/>
          <w:color w:val="B02045"/>
          <w:w w:val="110"/>
        </w:rPr>
        <w:t xml:space="preserve">AsyncTaskExecutor </w:t>
      </w:r>
      <w:r w:rsidR="0030286B">
        <w:rPr>
          <w:color w:val="333333"/>
          <w:w w:val="110"/>
        </w:rPr>
        <w:t xml:space="preserve">implementation (named </w:t>
      </w:r>
      <w:r w:rsidR="0030286B">
        <w:rPr>
          <w:rFonts w:ascii="MS Gothic"/>
          <w:color w:val="B02045"/>
          <w:w w:val="110"/>
        </w:rPr>
        <w:t>applicationTaskExecutor</w:t>
      </w:r>
      <w:r w:rsidR="0030286B">
        <w:rPr>
          <w:color w:val="333333"/>
          <w:w w:val="110"/>
        </w:rPr>
        <w:t xml:space="preserve">). Depending on your target arrangement, you could change your </w:t>
      </w:r>
      <w:r w:rsidR="0030286B">
        <w:rPr>
          <w:rFonts w:ascii="MS Gothic"/>
          <w:color w:val="B02045"/>
          <w:w w:val="110"/>
        </w:rPr>
        <w:t xml:space="preserve">Executor </w:t>
      </w:r>
      <w:r w:rsidR="0030286B">
        <w:rPr>
          <w:color w:val="333333"/>
          <w:w w:val="110"/>
        </w:rPr>
        <w:t xml:space="preserve">into a </w:t>
      </w:r>
      <w:r w:rsidR="0030286B">
        <w:rPr>
          <w:rFonts w:ascii="MS Gothic"/>
          <w:color w:val="B02045"/>
          <w:w w:val="110"/>
        </w:rPr>
        <w:t xml:space="preserve">ThreadPoolTaskExecutor </w:t>
      </w:r>
      <w:r w:rsidR="0030286B">
        <w:rPr>
          <w:color w:val="333333"/>
          <w:w w:val="110"/>
        </w:rPr>
        <w:t xml:space="preserve">or define both a </w:t>
      </w:r>
      <w:r w:rsidR="0030286B">
        <w:rPr>
          <w:rFonts w:ascii="MS Gothic"/>
          <w:color w:val="B02045"/>
          <w:w w:val="110"/>
        </w:rPr>
        <w:t>ThreadPoolTaskExecutor</w:t>
      </w:r>
      <w:r w:rsidR="0030286B">
        <w:rPr>
          <w:rFonts w:ascii="MS Gothic"/>
          <w:color w:val="B02045"/>
          <w:spacing w:val="-93"/>
          <w:w w:val="110"/>
        </w:rPr>
        <w:t xml:space="preserve"> </w:t>
      </w:r>
      <w:r w:rsidR="0030286B">
        <w:rPr>
          <w:color w:val="333333"/>
          <w:w w:val="110"/>
        </w:rPr>
        <w:t xml:space="preserve">and an </w:t>
      </w:r>
      <w:r w:rsidR="0030286B">
        <w:rPr>
          <w:rFonts w:ascii="MS Gothic"/>
          <w:color w:val="B02045"/>
          <w:w w:val="110"/>
        </w:rPr>
        <w:t>AsyncConfigurer</w:t>
      </w:r>
      <w:r w:rsidR="0030286B">
        <w:rPr>
          <w:rFonts w:ascii="MS Gothic"/>
          <w:color w:val="B02045"/>
          <w:spacing w:val="-92"/>
          <w:w w:val="110"/>
        </w:rPr>
        <w:t xml:space="preserve"> </w:t>
      </w:r>
      <w:r w:rsidR="0030286B">
        <w:rPr>
          <w:color w:val="333333"/>
          <w:w w:val="110"/>
        </w:rPr>
        <w:t xml:space="preserve">wrapping your custom </w:t>
      </w:r>
      <w:r w:rsidR="0030286B">
        <w:rPr>
          <w:rFonts w:ascii="MS Gothic"/>
          <w:color w:val="B02045"/>
          <w:w w:val="110"/>
        </w:rPr>
        <w:t>Executor</w:t>
      </w:r>
      <w:r w:rsidR="0030286B">
        <w:rPr>
          <w:color w:val="333333"/>
          <w:w w:val="110"/>
        </w:rPr>
        <w:t>.</w:t>
      </w:r>
    </w:p>
    <w:p w14:paraId="07D59E48" w14:textId="77777777" w:rsidR="00A720EB" w:rsidRDefault="0030286B">
      <w:pPr>
        <w:pStyle w:val="a3"/>
        <w:spacing w:before="245" w:line="290" w:lineRule="auto"/>
        <w:ind w:left="1564" w:right="367"/>
        <w:jc w:val="both"/>
      </w:pPr>
      <w:r>
        <w:rPr>
          <w:color w:val="333333"/>
          <w:w w:val="110"/>
        </w:rPr>
        <w:t>The</w:t>
      </w:r>
      <w:r>
        <w:rPr>
          <w:color w:val="333333"/>
          <w:spacing w:val="-7"/>
          <w:w w:val="110"/>
        </w:rPr>
        <w:t xml:space="preserve"> </w:t>
      </w:r>
      <w:r>
        <w:rPr>
          <w:color w:val="333333"/>
          <w:w w:val="110"/>
        </w:rPr>
        <w:t>auto-configured</w:t>
      </w:r>
      <w:r>
        <w:rPr>
          <w:color w:val="333333"/>
          <w:spacing w:val="-3"/>
          <w:w w:val="110"/>
        </w:rPr>
        <w:t xml:space="preserve"> </w:t>
      </w:r>
      <w:r>
        <w:rPr>
          <w:rFonts w:ascii="MS Gothic"/>
          <w:color w:val="B02045"/>
          <w:w w:val="110"/>
        </w:rPr>
        <w:t>TaskExecutorBuilder</w:t>
      </w:r>
      <w:r>
        <w:rPr>
          <w:rFonts w:ascii="MS Gothic"/>
          <w:color w:val="B02045"/>
          <w:spacing w:val="-71"/>
          <w:w w:val="110"/>
        </w:rPr>
        <w:t xml:space="preserve"> </w:t>
      </w:r>
      <w:r>
        <w:rPr>
          <w:color w:val="333333"/>
          <w:w w:val="110"/>
        </w:rPr>
        <w:t>allows</w:t>
      </w:r>
      <w:r>
        <w:rPr>
          <w:color w:val="333333"/>
          <w:spacing w:val="-7"/>
          <w:w w:val="110"/>
        </w:rPr>
        <w:t xml:space="preserve"> </w:t>
      </w:r>
      <w:r>
        <w:rPr>
          <w:color w:val="333333"/>
          <w:w w:val="110"/>
        </w:rPr>
        <w:t>you</w:t>
      </w:r>
      <w:r>
        <w:rPr>
          <w:color w:val="333333"/>
          <w:spacing w:val="-7"/>
          <w:w w:val="110"/>
        </w:rPr>
        <w:t xml:space="preserve"> </w:t>
      </w:r>
      <w:r>
        <w:rPr>
          <w:color w:val="333333"/>
          <w:w w:val="110"/>
        </w:rPr>
        <w:t>to</w:t>
      </w:r>
      <w:r>
        <w:rPr>
          <w:color w:val="333333"/>
          <w:spacing w:val="-6"/>
          <w:w w:val="110"/>
        </w:rPr>
        <w:t xml:space="preserve"> </w:t>
      </w:r>
      <w:r>
        <w:rPr>
          <w:color w:val="333333"/>
          <w:w w:val="110"/>
        </w:rPr>
        <w:t>easily</w:t>
      </w:r>
      <w:r>
        <w:rPr>
          <w:color w:val="333333"/>
          <w:spacing w:val="-7"/>
          <w:w w:val="110"/>
        </w:rPr>
        <w:t xml:space="preserve"> </w:t>
      </w:r>
      <w:r>
        <w:rPr>
          <w:color w:val="333333"/>
          <w:w w:val="110"/>
        </w:rPr>
        <w:t>create</w:t>
      </w:r>
      <w:r>
        <w:rPr>
          <w:color w:val="333333"/>
          <w:spacing w:val="-6"/>
          <w:w w:val="110"/>
        </w:rPr>
        <w:t xml:space="preserve"> </w:t>
      </w:r>
      <w:r>
        <w:rPr>
          <w:color w:val="333333"/>
          <w:w w:val="110"/>
        </w:rPr>
        <w:t>instances</w:t>
      </w:r>
      <w:r>
        <w:rPr>
          <w:color w:val="333333"/>
          <w:spacing w:val="-7"/>
          <w:w w:val="110"/>
        </w:rPr>
        <w:t xml:space="preserve"> </w:t>
      </w:r>
      <w:r>
        <w:rPr>
          <w:color w:val="333333"/>
          <w:w w:val="110"/>
        </w:rPr>
        <w:t xml:space="preserve">that reproduce what the auto-configuration does </w:t>
      </w:r>
      <w:r>
        <w:rPr>
          <w:color w:val="333333"/>
          <w:spacing w:val="-3"/>
          <w:w w:val="110"/>
        </w:rPr>
        <w:t>by</w:t>
      </w:r>
      <w:r>
        <w:rPr>
          <w:color w:val="333333"/>
          <w:spacing w:val="19"/>
          <w:w w:val="110"/>
        </w:rPr>
        <w:t xml:space="preserve"> </w:t>
      </w:r>
      <w:r>
        <w:rPr>
          <w:color w:val="333333"/>
          <w:w w:val="110"/>
        </w:rPr>
        <w:t>default.</w:t>
      </w:r>
    </w:p>
    <w:p w14:paraId="2925ED73" w14:textId="77777777" w:rsidR="00A720EB" w:rsidRDefault="00A720EB">
      <w:pPr>
        <w:pStyle w:val="a3"/>
        <w:spacing w:before="2"/>
        <w:rPr>
          <w:sz w:val="18"/>
        </w:rPr>
      </w:pPr>
    </w:p>
    <w:p w14:paraId="2F131E95" w14:textId="77777777" w:rsidR="00A720EB" w:rsidRDefault="0030286B">
      <w:pPr>
        <w:pStyle w:val="a3"/>
        <w:spacing w:before="125" w:line="295" w:lineRule="auto"/>
        <w:ind w:left="124" w:right="122"/>
        <w:jc w:val="both"/>
      </w:pPr>
      <w:r>
        <w:rPr>
          <w:color w:val="333333"/>
          <w:w w:val="110"/>
        </w:rPr>
        <w:t xml:space="preserve">The thread pool uses 8 core threads that can grow and shrink according to the load. Those </w:t>
      </w:r>
      <w:proofErr w:type="gramStart"/>
      <w:r>
        <w:rPr>
          <w:color w:val="333333"/>
          <w:w w:val="110"/>
        </w:rPr>
        <w:t>default  settings</w:t>
      </w:r>
      <w:proofErr w:type="gramEnd"/>
      <w:r>
        <w:rPr>
          <w:color w:val="333333"/>
          <w:w w:val="110"/>
        </w:rPr>
        <w:t xml:space="preserve"> can be fine-tuned using the </w:t>
      </w:r>
      <w:r>
        <w:rPr>
          <w:rFonts w:ascii="MS Gothic"/>
          <w:color w:val="B02045"/>
          <w:w w:val="110"/>
        </w:rPr>
        <w:t xml:space="preserve">spring.task.execution </w:t>
      </w:r>
      <w:r>
        <w:rPr>
          <w:color w:val="333333"/>
          <w:w w:val="110"/>
        </w:rPr>
        <w:t>namespace as shown in the following example:</w:t>
      </w:r>
    </w:p>
    <w:p w14:paraId="0B8910C0" w14:textId="77777777" w:rsidR="00A720EB" w:rsidRDefault="00E10349">
      <w:pPr>
        <w:pStyle w:val="a3"/>
        <w:spacing w:before="11"/>
        <w:rPr>
          <w:sz w:val="13"/>
        </w:rPr>
      </w:pPr>
      <w:r>
        <w:pict w14:anchorId="305D4C3E">
          <v:group id="_x0000_s3724" style="position:absolute;margin-left:47.85pt;margin-top:10.15pt;width:499.55pt;height:67pt;z-index:-15378432;mso-wrap-distance-left:0;mso-wrap-distance-right:0;mso-position-horizontal-relative:page" coordorigin="957,203" coordsize="9991,1340">
            <v:shape id="_x0000_s3727" style="position:absolute;left:964;top:210;width:9976;height:1325" coordorigin="965,211" coordsize="9976,1325" path="m10861,211r-9816,l1014,217r-26,17l971,260r-6,31l965,1455r6,31l988,1512r26,17l1045,1535r9816,l10892,1529r25,-17l10935,1486r6,-31l10941,291r-6,-31l10917,234r-25,-17l10861,211xe" fillcolor="#f5f5f5" stroked="f">
              <v:path arrowok="t"/>
            </v:shape>
            <v:shape id="_x0000_s3726" style="position:absolute;left:964;top:210;width:9976;height:1325" coordorigin="965,211" coordsize="9976,1325" path="m1045,211r9816,l10892,217r25,17l10935,260r6,31l10941,1455r-6,31l10917,1512r-25,17l10861,1535r-9816,l1014,1529r-26,-17l971,1486r-6,-31l965,291r6,-31l988,234r26,-17l1045,211xe" filled="f" strokecolor="#ccc">
              <v:path arrowok="t"/>
            </v:shape>
            <v:shape id="_x0000_s3725" type="#_x0000_t202" style="position:absolute;left:984;top:226;width:9938;height:1294" filled="f" stroked="f">
              <v:textbox inset="0,0,0,0">
                <w:txbxContent>
                  <w:p w14:paraId="280D7862" w14:textId="77777777" w:rsidR="00711A16" w:rsidRDefault="00711A16">
                    <w:pPr>
                      <w:spacing w:before="221" w:line="252" w:lineRule="auto"/>
                      <w:ind w:left="200" w:right="4784"/>
                      <w:rPr>
                        <w:rFonts w:ascii="MS Gothic"/>
                      </w:rPr>
                    </w:pPr>
                    <w:r>
                      <w:rPr>
                        <w:rFonts w:ascii="MS Gothic"/>
                        <w:color w:val="333333"/>
                      </w:rPr>
                      <w:t xml:space="preserve">spring.task.execution.pool.max-size=16 </w:t>
                    </w:r>
                    <w:proofErr w:type="gramStart"/>
                    <w:r>
                      <w:rPr>
                        <w:rFonts w:ascii="MS Gothic"/>
                        <w:color w:val="333333"/>
                      </w:rPr>
                      <w:t>spring.task</w:t>
                    </w:r>
                    <w:proofErr w:type="gramEnd"/>
                    <w:r>
                      <w:rPr>
                        <w:rFonts w:ascii="MS Gothic"/>
                        <w:color w:val="333333"/>
                      </w:rPr>
                      <w:t>.execution.pool.queue-capacity=100 spring.task.execution.pool.keep-alive=10s</w:t>
                    </w:r>
                  </w:p>
                </w:txbxContent>
              </v:textbox>
            </v:shape>
            <w10:wrap type="topAndBottom" anchorx="page"/>
          </v:group>
        </w:pict>
      </w:r>
    </w:p>
    <w:p w14:paraId="24544854" w14:textId="77777777" w:rsidR="00A720EB" w:rsidRDefault="00A720EB">
      <w:pPr>
        <w:pStyle w:val="a3"/>
        <w:rPr>
          <w:sz w:val="10"/>
        </w:rPr>
      </w:pPr>
    </w:p>
    <w:p w14:paraId="5067894B" w14:textId="77777777" w:rsidR="00A720EB" w:rsidRDefault="0030286B">
      <w:pPr>
        <w:pStyle w:val="a3"/>
        <w:spacing w:before="125" w:line="307" w:lineRule="auto"/>
        <w:ind w:left="124" w:right="129"/>
        <w:jc w:val="both"/>
      </w:pPr>
      <w:r>
        <w:rPr>
          <w:color w:val="333333"/>
          <w:w w:val="110"/>
        </w:rPr>
        <w:t xml:space="preserve">This changes the thread pool to use a bounded queue so that when the queue is full (100 tasks), the thread pool increases to maximum 16 threads. Shrinking of the pool is more aggressive as threads are reclaimed when they are idle for 10 seconds (rather than 60 seconds </w:t>
      </w:r>
      <w:r>
        <w:rPr>
          <w:color w:val="333333"/>
          <w:spacing w:val="-3"/>
          <w:w w:val="110"/>
        </w:rPr>
        <w:t>by</w:t>
      </w:r>
      <w:r>
        <w:rPr>
          <w:color w:val="333333"/>
          <w:spacing w:val="38"/>
          <w:w w:val="110"/>
        </w:rPr>
        <w:t xml:space="preserve"> </w:t>
      </w:r>
      <w:r>
        <w:rPr>
          <w:color w:val="333333"/>
          <w:w w:val="110"/>
        </w:rPr>
        <w:t>default).</w:t>
      </w:r>
    </w:p>
    <w:p w14:paraId="2F0AE6BA" w14:textId="77777777" w:rsidR="00A720EB" w:rsidRDefault="0030286B">
      <w:pPr>
        <w:pStyle w:val="a3"/>
        <w:spacing w:before="231" w:line="280" w:lineRule="auto"/>
        <w:ind w:left="124" w:right="127"/>
        <w:jc w:val="both"/>
      </w:pPr>
      <w:r>
        <w:rPr>
          <w:color w:val="333333"/>
          <w:w w:val="110"/>
        </w:rPr>
        <w:t xml:space="preserve">A </w:t>
      </w:r>
      <w:r>
        <w:rPr>
          <w:rFonts w:ascii="MS Gothic"/>
          <w:color w:val="B02045"/>
          <w:w w:val="110"/>
        </w:rPr>
        <w:t xml:space="preserve">ThreadPoolTaskScheduler </w:t>
      </w:r>
      <w:r>
        <w:rPr>
          <w:color w:val="333333"/>
          <w:w w:val="110"/>
        </w:rPr>
        <w:t>can also be auto-configured if need to be associated to scheduled task execution</w:t>
      </w:r>
      <w:r>
        <w:rPr>
          <w:color w:val="333333"/>
          <w:spacing w:val="-4"/>
          <w:w w:val="110"/>
        </w:rPr>
        <w:t xml:space="preserve"> </w:t>
      </w:r>
      <w:r>
        <w:rPr>
          <w:color w:val="333333"/>
          <w:w w:val="110"/>
        </w:rPr>
        <w:t>(</w:t>
      </w:r>
      <w:r>
        <w:rPr>
          <w:rFonts w:ascii="MS Gothic"/>
          <w:color w:val="B02045"/>
          <w:w w:val="110"/>
        </w:rPr>
        <w:t>@EnableScheduling</w:t>
      </w:r>
      <w:r>
        <w:rPr>
          <w:color w:val="333333"/>
          <w:w w:val="110"/>
        </w:rPr>
        <w:t>).</w:t>
      </w:r>
      <w:r>
        <w:rPr>
          <w:color w:val="333333"/>
          <w:spacing w:val="-4"/>
          <w:w w:val="110"/>
        </w:rPr>
        <w:t xml:space="preserve"> </w:t>
      </w:r>
      <w:r>
        <w:rPr>
          <w:color w:val="333333"/>
          <w:w w:val="110"/>
        </w:rPr>
        <w:t>The</w:t>
      </w:r>
      <w:r>
        <w:rPr>
          <w:color w:val="333333"/>
          <w:spacing w:val="-3"/>
          <w:w w:val="110"/>
        </w:rPr>
        <w:t xml:space="preserve"> </w:t>
      </w:r>
      <w:r>
        <w:rPr>
          <w:color w:val="333333"/>
          <w:w w:val="110"/>
        </w:rPr>
        <w:t>thread</w:t>
      </w:r>
      <w:r>
        <w:rPr>
          <w:color w:val="333333"/>
          <w:spacing w:val="-4"/>
          <w:w w:val="110"/>
        </w:rPr>
        <w:t xml:space="preserve"> </w:t>
      </w:r>
      <w:r>
        <w:rPr>
          <w:color w:val="333333"/>
          <w:w w:val="110"/>
        </w:rPr>
        <w:t>pool</w:t>
      </w:r>
      <w:r>
        <w:rPr>
          <w:color w:val="333333"/>
          <w:spacing w:val="-3"/>
          <w:w w:val="110"/>
        </w:rPr>
        <w:t xml:space="preserve"> </w:t>
      </w:r>
      <w:r>
        <w:rPr>
          <w:color w:val="333333"/>
          <w:w w:val="110"/>
        </w:rPr>
        <w:t>uses</w:t>
      </w:r>
      <w:r>
        <w:rPr>
          <w:color w:val="333333"/>
          <w:spacing w:val="-4"/>
          <w:w w:val="110"/>
        </w:rPr>
        <w:t xml:space="preserve"> </w:t>
      </w:r>
      <w:r>
        <w:rPr>
          <w:color w:val="333333"/>
          <w:w w:val="110"/>
        </w:rPr>
        <w:t>one</w:t>
      </w:r>
      <w:r>
        <w:rPr>
          <w:color w:val="333333"/>
          <w:spacing w:val="-3"/>
          <w:w w:val="110"/>
        </w:rPr>
        <w:t xml:space="preserve"> </w:t>
      </w:r>
      <w:r>
        <w:rPr>
          <w:color w:val="333333"/>
          <w:w w:val="110"/>
        </w:rPr>
        <w:t>thread</w:t>
      </w:r>
      <w:r>
        <w:rPr>
          <w:color w:val="333333"/>
          <w:spacing w:val="-4"/>
          <w:w w:val="110"/>
        </w:rPr>
        <w:t xml:space="preserve"> </w:t>
      </w:r>
      <w:r>
        <w:rPr>
          <w:color w:val="333333"/>
          <w:spacing w:val="-3"/>
          <w:w w:val="110"/>
        </w:rPr>
        <w:t xml:space="preserve">by </w:t>
      </w:r>
      <w:r>
        <w:rPr>
          <w:color w:val="333333"/>
          <w:w w:val="110"/>
        </w:rPr>
        <w:t>default</w:t>
      </w:r>
      <w:r>
        <w:rPr>
          <w:color w:val="333333"/>
          <w:spacing w:val="-4"/>
          <w:w w:val="110"/>
        </w:rPr>
        <w:t xml:space="preserve"> </w:t>
      </w:r>
      <w:r>
        <w:rPr>
          <w:color w:val="333333"/>
          <w:w w:val="110"/>
        </w:rPr>
        <w:t>and</w:t>
      </w:r>
      <w:r>
        <w:rPr>
          <w:color w:val="333333"/>
          <w:spacing w:val="-3"/>
          <w:w w:val="110"/>
        </w:rPr>
        <w:t xml:space="preserve"> </w:t>
      </w:r>
      <w:r>
        <w:rPr>
          <w:color w:val="333333"/>
          <w:w w:val="110"/>
        </w:rPr>
        <w:t>those</w:t>
      </w:r>
      <w:r>
        <w:rPr>
          <w:color w:val="333333"/>
          <w:spacing w:val="-4"/>
          <w:w w:val="110"/>
        </w:rPr>
        <w:t xml:space="preserve"> </w:t>
      </w:r>
      <w:r>
        <w:rPr>
          <w:color w:val="333333"/>
          <w:w w:val="110"/>
        </w:rPr>
        <w:t>settings</w:t>
      </w:r>
      <w:r>
        <w:rPr>
          <w:color w:val="333333"/>
          <w:spacing w:val="-3"/>
          <w:w w:val="110"/>
        </w:rPr>
        <w:t xml:space="preserve"> </w:t>
      </w:r>
      <w:r>
        <w:rPr>
          <w:color w:val="333333"/>
          <w:w w:val="110"/>
        </w:rPr>
        <w:t>can</w:t>
      </w:r>
      <w:r>
        <w:rPr>
          <w:color w:val="333333"/>
          <w:spacing w:val="-4"/>
          <w:w w:val="110"/>
        </w:rPr>
        <w:t xml:space="preserve"> </w:t>
      </w:r>
      <w:r>
        <w:rPr>
          <w:color w:val="333333"/>
          <w:w w:val="110"/>
        </w:rPr>
        <w:t xml:space="preserve">be fine-tuned using the </w:t>
      </w:r>
      <w:proofErr w:type="gramStart"/>
      <w:r>
        <w:rPr>
          <w:rFonts w:ascii="MS Gothic"/>
          <w:color w:val="B02045"/>
          <w:w w:val="110"/>
        </w:rPr>
        <w:t>spring.task</w:t>
      </w:r>
      <w:proofErr w:type="gramEnd"/>
      <w:r>
        <w:rPr>
          <w:rFonts w:ascii="MS Gothic"/>
          <w:color w:val="B02045"/>
          <w:w w:val="110"/>
        </w:rPr>
        <w:t>.scheduling</w:t>
      </w:r>
      <w:r>
        <w:rPr>
          <w:rFonts w:ascii="MS Gothic"/>
          <w:color w:val="B02045"/>
          <w:spacing w:val="-61"/>
          <w:w w:val="110"/>
        </w:rPr>
        <w:t xml:space="preserve"> </w:t>
      </w:r>
      <w:r>
        <w:rPr>
          <w:color w:val="333333"/>
          <w:w w:val="110"/>
        </w:rPr>
        <w:t>namespace.</w:t>
      </w:r>
    </w:p>
    <w:p w14:paraId="5042374D" w14:textId="77777777" w:rsidR="00A720EB" w:rsidRDefault="0030286B">
      <w:pPr>
        <w:pStyle w:val="a3"/>
        <w:spacing w:before="243" w:line="290" w:lineRule="auto"/>
        <w:ind w:left="124" w:right="128"/>
        <w:jc w:val="both"/>
      </w:pPr>
      <w:r>
        <w:rPr>
          <w:color w:val="333333"/>
          <w:w w:val="110"/>
        </w:rPr>
        <w:t>Both</w:t>
      </w:r>
      <w:r>
        <w:rPr>
          <w:color w:val="333333"/>
          <w:spacing w:val="-19"/>
          <w:w w:val="110"/>
        </w:rPr>
        <w:t xml:space="preserve"> </w:t>
      </w:r>
      <w:r>
        <w:rPr>
          <w:color w:val="333333"/>
          <w:w w:val="110"/>
        </w:rPr>
        <w:t>a</w:t>
      </w:r>
      <w:r>
        <w:rPr>
          <w:color w:val="333333"/>
          <w:spacing w:val="-17"/>
          <w:w w:val="110"/>
        </w:rPr>
        <w:t xml:space="preserve"> </w:t>
      </w:r>
      <w:r>
        <w:rPr>
          <w:rFonts w:ascii="MS Gothic"/>
          <w:color w:val="B02045"/>
          <w:w w:val="110"/>
        </w:rPr>
        <w:t>TaskExecutorBuilder</w:t>
      </w:r>
      <w:r>
        <w:rPr>
          <w:rFonts w:ascii="MS Gothic"/>
          <w:color w:val="B02045"/>
          <w:spacing w:val="-83"/>
          <w:w w:val="110"/>
        </w:rPr>
        <w:t xml:space="preserve"> </w:t>
      </w:r>
      <w:r>
        <w:rPr>
          <w:color w:val="333333"/>
          <w:w w:val="110"/>
        </w:rPr>
        <w:t>bean</w:t>
      </w:r>
      <w:r>
        <w:rPr>
          <w:color w:val="333333"/>
          <w:spacing w:val="-18"/>
          <w:w w:val="110"/>
        </w:rPr>
        <w:t xml:space="preserve"> </w:t>
      </w:r>
      <w:r>
        <w:rPr>
          <w:color w:val="333333"/>
          <w:w w:val="110"/>
        </w:rPr>
        <w:t>and</w:t>
      </w:r>
      <w:r>
        <w:rPr>
          <w:color w:val="333333"/>
          <w:spacing w:val="-18"/>
          <w:w w:val="110"/>
        </w:rPr>
        <w:t xml:space="preserve"> </w:t>
      </w:r>
      <w:r>
        <w:rPr>
          <w:color w:val="333333"/>
          <w:w w:val="110"/>
        </w:rPr>
        <w:t>a</w:t>
      </w:r>
      <w:r>
        <w:rPr>
          <w:color w:val="333333"/>
          <w:spacing w:val="-17"/>
          <w:w w:val="110"/>
        </w:rPr>
        <w:t xml:space="preserve"> </w:t>
      </w:r>
      <w:r>
        <w:rPr>
          <w:rFonts w:ascii="MS Gothic"/>
          <w:color w:val="B02045"/>
          <w:w w:val="110"/>
        </w:rPr>
        <w:t>TaskSchedulerBuilder</w:t>
      </w:r>
      <w:r>
        <w:rPr>
          <w:rFonts w:ascii="MS Gothic"/>
          <w:color w:val="B02045"/>
          <w:spacing w:val="-82"/>
          <w:w w:val="110"/>
        </w:rPr>
        <w:t xml:space="preserve"> </w:t>
      </w:r>
      <w:r>
        <w:rPr>
          <w:color w:val="333333"/>
          <w:w w:val="110"/>
        </w:rPr>
        <w:t>bean</w:t>
      </w:r>
      <w:r>
        <w:rPr>
          <w:color w:val="333333"/>
          <w:spacing w:val="-18"/>
          <w:w w:val="110"/>
        </w:rPr>
        <w:t xml:space="preserve"> </w:t>
      </w:r>
      <w:r>
        <w:rPr>
          <w:color w:val="333333"/>
          <w:w w:val="110"/>
        </w:rPr>
        <w:t>are</w:t>
      </w:r>
      <w:r>
        <w:rPr>
          <w:color w:val="333333"/>
          <w:spacing w:val="-19"/>
          <w:w w:val="110"/>
        </w:rPr>
        <w:t xml:space="preserve"> </w:t>
      </w:r>
      <w:r>
        <w:rPr>
          <w:color w:val="333333"/>
          <w:w w:val="110"/>
        </w:rPr>
        <w:t>made</w:t>
      </w:r>
      <w:r>
        <w:rPr>
          <w:color w:val="333333"/>
          <w:spacing w:val="-18"/>
          <w:w w:val="110"/>
        </w:rPr>
        <w:t xml:space="preserve"> </w:t>
      </w:r>
      <w:r>
        <w:rPr>
          <w:color w:val="333333"/>
          <w:w w:val="110"/>
        </w:rPr>
        <w:t>available</w:t>
      </w:r>
      <w:r>
        <w:rPr>
          <w:color w:val="333333"/>
          <w:spacing w:val="-18"/>
          <w:w w:val="110"/>
        </w:rPr>
        <w:t xml:space="preserve"> </w:t>
      </w:r>
      <w:r>
        <w:rPr>
          <w:color w:val="333333"/>
          <w:w w:val="110"/>
        </w:rPr>
        <w:t>in</w:t>
      </w:r>
      <w:r>
        <w:rPr>
          <w:color w:val="333333"/>
          <w:spacing w:val="-18"/>
          <w:w w:val="110"/>
        </w:rPr>
        <w:t xml:space="preserve"> </w:t>
      </w:r>
      <w:r>
        <w:rPr>
          <w:color w:val="333333"/>
          <w:w w:val="110"/>
        </w:rPr>
        <w:t>the</w:t>
      </w:r>
      <w:r>
        <w:rPr>
          <w:color w:val="333333"/>
          <w:spacing w:val="-18"/>
          <w:w w:val="110"/>
        </w:rPr>
        <w:t xml:space="preserve"> </w:t>
      </w:r>
      <w:r>
        <w:rPr>
          <w:color w:val="333333"/>
          <w:w w:val="110"/>
        </w:rPr>
        <w:t>context if a custom executor or scheduler needs to be</w:t>
      </w:r>
      <w:r>
        <w:rPr>
          <w:color w:val="333333"/>
          <w:spacing w:val="30"/>
          <w:w w:val="110"/>
        </w:rPr>
        <w:t xml:space="preserve"> </w:t>
      </w:r>
      <w:r>
        <w:rPr>
          <w:color w:val="333333"/>
          <w:w w:val="110"/>
        </w:rPr>
        <w:t>created.</w:t>
      </w:r>
    </w:p>
    <w:p w14:paraId="175054A0" w14:textId="77777777" w:rsidR="00A720EB" w:rsidRDefault="00A720EB">
      <w:pPr>
        <w:pStyle w:val="a3"/>
        <w:spacing w:before="4"/>
        <w:rPr>
          <w:sz w:val="27"/>
        </w:rPr>
      </w:pPr>
    </w:p>
    <w:p w14:paraId="7FCB34D2" w14:textId="77777777" w:rsidR="00A720EB" w:rsidRDefault="0030286B">
      <w:pPr>
        <w:pStyle w:val="2"/>
        <w:numPr>
          <w:ilvl w:val="1"/>
          <w:numId w:val="68"/>
        </w:numPr>
        <w:tabs>
          <w:tab w:val="left" w:pos="1034"/>
        </w:tabs>
        <w:ind w:left="1033" w:hanging="910"/>
      </w:pPr>
      <w:bookmarkStart w:id="446" w:name="4.23._Spring_Integration"/>
      <w:bookmarkStart w:id="447" w:name="_Toc54423807"/>
      <w:bookmarkEnd w:id="446"/>
      <w:r>
        <w:rPr>
          <w:color w:val="333333"/>
          <w:w w:val="110"/>
        </w:rPr>
        <w:t>Spring</w:t>
      </w:r>
      <w:r>
        <w:rPr>
          <w:color w:val="333333"/>
          <w:spacing w:val="-8"/>
          <w:w w:val="110"/>
        </w:rPr>
        <w:t xml:space="preserve"> </w:t>
      </w:r>
      <w:r>
        <w:rPr>
          <w:color w:val="333333"/>
          <w:w w:val="110"/>
        </w:rPr>
        <w:t>Integration</w:t>
      </w:r>
      <w:bookmarkEnd w:id="447"/>
    </w:p>
    <w:p w14:paraId="31B64D0F" w14:textId="77777777" w:rsidR="00A720EB" w:rsidRDefault="0030286B">
      <w:pPr>
        <w:pStyle w:val="a3"/>
        <w:spacing w:before="243" w:line="290" w:lineRule="auto"/>
        <w:ind w:left="124" w:right="122"/>
        <w:jc w:val="both"/>
      </w:pPr>
      <w:r>
        <w:rPr>
          <w:color w:val="333333"/>
          <w:w w:val="110"/>
        </w:rPr>
        <w:t xml:space="preserve">Spring Boot offers several conveniences for working with </w:t>
      </w:r>
      <w:hyperlink r:id="rId314">
        <w:r>
          <w:rPr>
            <w:color w:val="418BCA"/>
            <w:w w:val="110"/>
          </w:rPr>
          <w:t>Spring Integration</w:t>
        </w:r>
      </w:hyperlink>
      <w:r>
        <w:rPr>
          <w:color w:val="333333"/>
          <w:w w:val="110"/>
        </w:rPr>
        <w:t xml:space="preserve">, including the </w:t>
      </w:r>
      <w:r>
        <w:rPr>
          <w:rFonts w:ascii="MS Gothic" w:hAnsi="MS Gothic"/>
          <w:color w:val="B02045"/>
          <w:w w:val="110"/>
        </w:rPr>
        <w:t xml:space="preserve">spring- boot-starter-integration </w:t>
      </w:r>
      <w:r>
        <w:rPr>
          <w:color w:val="333333"/>
          <w:w w:val="110"/>
        </w:rPr>
        <w:t xml:space="preserve">“Starter”. Spring Integration provides abstractions over messaging and also other transports such as </w:t>
      </w:r>
      <w:r>
        <w:rPr>
          <w:color w:val="333333"/>
          <w:spacing w:val="-6"/>
          <w:w w:val="110"/>
        </w:rPr>
        <w:t xml:space="preserve">HTTP, </w:t>
      </w:r>
      <w:r>
        <w:rPr>
          <w:color w:val="333333"/>
          <w:spacing w:val="-8"/>
          <w:w w:val="110"/>
        </w:rPr>
        <w:t xml:space="preserve">TCP, </w:t>
      </w:r>
      <w:r>
        <w:rPr>
          <w:color w:val="333333"/>
          <w:w w:val="110"/>
        </w:rPr>
        <w:t xml:space="preserve">and others. If Spring Integration is available on your classpath, it is initialized through the </w:t>
      </w:r>
      <w:r>
        <w:rPr>
          <w:rFonts w:ascii="MS Gothic" w:hAnsi="MS Gothic"/>
          <w:color w:val="B02045"/>
          <w:w w:val="110"/>
        </w:rPr>
        <w:t>@EnableIntegration</w:t>
      </w:r>
      <w:r>
        <w:rPr>
          <w:rFonts w:ascii="MS Gothic" w:hAnsi="MS Gothic"/>
          <w:color w:val="B02045"/>
          <w:spacing w:val="-58"/>
          <w:w w:val="110"/>
        </w:rPr>
        <w:t xml:space="preserve"> </w:t>
      </w:r>
      <w:r>
        <w:rPr>
          <w:color w:val="333333"/>
          <w:w w:val="110"/>
        </w:rPr>
        <w:t>annotation.</w:t>
      </w:r>
    </w:p>
    <w:p w14:paraId="39B6FA29" w14:textId="77777777" w:rsidR="00A720EB" w:rsidRDefault="0030286B">
      <w:pPr>
        <w:pStyle w:val="a3"/>
        <w:spacing w:before="238" w:line="290" w:lineRule="auto"/>
        <w:ind w:left="124" w:right="127"/>
        <w:jc w:val="both"/>
      </w:pPr>
      <w:r>
        <w:rPr>
          <w:color w:val="333333"/>
          <w:w w:val="110"/>
        </w:rPr>
        <w:t xml:space="preserve">Spring Boot also configures some features that are triggered by the presence of additional </w:t>
      </w:r>
      <w:proofErr w:type="gramStart"/>
      <w:r>
        <w:rPr>
          <w:color w:val="333333"/>
          <w:w w:val="110"/>
        </w:rPr>
        <w:t>Spring  Integration</w:t>
      </w:r>
      <w:proofErr w:type="gramEnd"/>
      <w:r>
        <w:rPr>
          <w:color w:val="333333"/>
          <w:w w:val="110"/>
        </w:rPr>
        <w:t xml:space="preserve"> modules. If </w:t>
      </w:r>
      <w:r>
        <w:rPr>
          <w:rFonts w:ascii="MS Gothic"/>
          <w:color w:val="B02045"/>
          <w:w w:val="110"/>
        </w:rPr>
        <w:t xml:space="preserve">spring-integration-jmx </w:t>
      </w:r>
      <w:r>
        <w:rPr>
          <w:color w:val="333333"/>
          <w:w w:val="110"/>
        </w:rPr>
        <w:t xml:space="preserve">is also on the classpath, message processing statistics are published over JMX. If </w:t>
      </w:r>
      <w:r>
        <w:rPr>
          <w:rFonts w:ascii="MS Gothic"/>
          <w:color w:val="B02045"/>
          <w:w w:val="110"/>
        </w:rPr>
        <w:t xml:space="preserve">spring-integration-jdbc </w:t>
      </w:r>
      <w:r>
        <w:rPr>
          <w:color w:val="333333"/>
          <w:w w:val="110"/>
        </w:rPr>
        <w:t>is available, the default database schema can be created on startup, as shown in the following line:</w:t>
      </w:r>
    </w:p>
    <w:p w14:paraId="3BA7DC33" w14:textId="77777777" w:rsidR="00A720EB" w:rsidRDefault="00E10349">
      <w:pPr>
        <w:pStyle w:val="a3"/>
        <w:spacing w:before="4"/>
        <w:rPr>
          <w:sz w:val="14"/>
        </w:rPr>
      </w:pPr>
      <w:r>
        <w:pict w14:anchorId="0642B191">
          <v:group id="_x0000_s3720" style="position:absolute;margin-left:47.85pt;margin-top:10.4pt;width:499.55pt;height:37.5pt;z-index:-15377920;mso-wrap-distance-left:0;mso-wrap-distance-right:0;mso-position-horizontal-relative:page" coordorigin="957,208" coordsize="9991,750">
            <v:shape id="_x0000_s3723" style="position:absolute;left:964;top:215;width:9976;height:735" coordorigin="965,216" coordsize="9976,735" path="m10861,216r-9816,l1014,222r-26,17l971,265r-6,31l965,871r6,31l988,927r26,17l1045,951r9816,l10892,944r25,-17l10935,902r6,-31l10941,296r-6,-31l10917,239r-25,-17l10861,216xe" fillcolor="#f5f5f5" stroked="f">
              <v:path arrowok="t"/>
            </v:shape>
            <v:shape id="_x0000_s3722" style="position:absolute;left:964;top:215;width:9976;height:735" coordorigin="965,216" coordsize="9976,735" path="m1045,216r9816,l10892,222r25,17l10935,265r6,31l10941,871r-6,31l10917,927r-25,17l10861,951r-9816,l1014,944,988,927,971,902r-6,-31l965,296r6,-31l988,239r26,-17l1045,216xe" filled="f" strokecolor="#ccc">
              <v:path arrowok="t"/>
            </v:shape>
            <v:shape id="_x0000_s3721" type="#_x0000_t202" style="position:absolute;left:984;top:231;width:9938;height:704" filled="f" stroked="f">
              <v:textbox inset="0,0,0,0">
                <w:txbxContent>
                  <w:p w14:paraId="74161AF3" w14:textId="77777777" w:rsidR="00711A16" w:rsidRDefault="00711A16">
                    <w:pPr>
                      <w:spacing w:before="221"/>
                      <w:ind w:left="200"/>
                      <w:rPr>
                        <w:rFonts w:ascii="MS Gothic"/>
                      </w:rPr>
                    </w:pPr>
                    <w:proofErr w:type="gramStart"/>
                    <w:r>
                      <w:rPr>
                        <w:rFonts w:ascii="MS Gothic"/>
                        <w:color w:val="333333"/>
                      </w:rPr>
                      <w:t>spring.integration</w:t>
                    </w:r>
                    <w:proofErr w:type="gramEnd"/>
                    <w:r>
                      <w:rPr>
                        <w:rFonts w:ascii="MS Gothic"/>
                        <w:color w:val="333333"/>
                      </w:rPr>
                      <w:t>.jdbc.initialize-schema=always</w:t>
                    </w:r>
                  </w:p>
                </w:txbxContent>
              </v:textbox>
            </v:shape>
            <w10:wrap type="topAndBottom" anchorx="page"/>
          </v:group>
        </w:pict>
      </w:r>
    </w:p>
    <w:p w14:paraId="31B75A2F" w14:textId="77777777" w:rsidR="00A720EB" w:rsidRDefault="00A720EB">
      <w:pPr>
        <w:pStyle w:val="a3"/>
        <w:spacing w:before="11"/>
        <w:rPr>
          <w:sz w:val="9"/>
        </w:rPr>
      </w:pPr>
    </w:p>
    <w:p w14:paraId="620B85C1" w14:textId="77777777" w:rsidR="00A720EB" w:rsidRDefault="0030286B">
      <w:pPr>
        <w:pStyle w:val="a3"/>
        <w:spacing w:before="115" w:line="280" w:lineRule="auto"/>
        <w:ind w:left="124" w:right="122"/>
        <w:jc w:val="both"/>
      </w:pPr>
      <w:r>
        <w:rPr>
          <w:color w:val="333333"/>
          <w:w w:val="110"/>
        </w:rPr>
        <w:t xml:space="preserve">If </w:t>
      </w:r>
      <w:r>
        <w:rPr>
          <w:rFonts w:ascii="MS Gothic"/>
          <w:color w:val="B02045"/>
          <w:w w:val="110"/>
        </w:rPr>
        <w:t xml:space="preserve">spring-integration-rsocket </w:t>
      </w:r>
      <w:r>
        <w:rPr>
          <w:color w:val="333333"/>
          <w:w w:val="110"/>
        </w:rPr>
        <w:t xml:space="preserve">is available, developers can configure an RSocket server using </w:t>
      </w:r>
      <w:r>
        <w:rPr>
          <w:rFonts w:ascii="MS Gothic"/>
          <w:color w:val="B02045"/>
          <w:w w:val="110"/>
        </w:rPr>
        <w:t>"</w:t>
      </w:r>
      <w:proofErr w:type="gramStart"/>
      <w:r>
        <w:rPr>
          <w:rFonts w:ascii="MS Gothic"/>
          <w:color w:val="B02045"/>
          <w:w w:val="110"/>
        </w:rPr>
        <w:t>spring.rsocket</w:t>
      </w:r>
      <w:proofErr w:type="gramEnd"/>
      <w:r>
        <w:rPr>
          <w:rFonts w:ascii="MS Gothic"/>
          <w:color w:val="B02045"/>
          <w:w w:val="110"/>
        </w:rPr>
        <w:t xml:space="preserve">.server.*" </w:t>
      </w:r>
      <w:r>
        <w:rPr>
          <w:color w:val="333333"/>
          <w:w w:val="110"/>
        </w:rPr>
        <w:t xml:space="preserve">properties and let it use </w:t>
      </w:r>
      <w:r>
        <w:rPr>
          <w:rFonts w:ascii="MS Gothic"/>
          <w:color w:val="B02045"/>
          <w:w w:val="110"/>
        </w:rPr>
        <w:t xml:space="preserve">IntegrationRSocketEndpoint </w:t>
      </w:r>
      <w:r>
        <w:rPr>
          <w:color w:val="333333"/>
          <w:w w:val="110"/>
        </w:rPr>
        <w:t xml:space="preserve">or </w:t>
      </w:r>
      <w:r>
        <w:rPr>
          <w:rFonts w:ascii="MS Gothic"/>
          <w:color w:val="B02045"/>
          <w:w w:val="110"/>
        </w:rPr>
        <w:t>RSocketOutboundGateway</w:t>
      </w:r>
      <w:r>
        <w:rPr>
          <w:rFonts w:ascii="MS Gothic"/>
          <w:color w:val="B02045"/>
          <w:spacing w:val="-73"/>
          <w:w w:val="110"/>
        </w:rPr>
        <w:t xml:space="preserve"> </w:t>
      </w:r>
      <w:r>
        <w:rPr>
          <w:color w:val="333333"/>
          <w:w w:val="110"/>
        </w:rPr>
        <w:t>components to handle incoming RSocket messages. This infrastructure can</w:t>
      </w:r>
    </w:p>
    <w:p w14:paraId="6F171E4B" w14:textId="77777777" w:rsidR="00A720EB" w:rsidRDefault="00A720EB">
      <w:pPr>
        <w:spacing w:line="280" w:lineRule="auto"/>
        <w:jc w:val="both"/>
        <w:sectPr w:rsidR="00A720EB">
          <w:pgSz w:w="11910" w:h="16840"/>
          <w:pgMar w:top="700" w:right="840" w:bottom="520" w:left="840" w:header="0" w:footer="323" w:gutter="0"/>
          <w:cols w:space="720"/>
        </w:sectPr>
      </w:pPr>
    </w:p>
    <w:p w14:paraId="64F213A3" w14:textId="77777777" w:rsidR="00A720EB" w:rsidRDefault="0030286B">
      <w:pPr>
        <w:pStyle w:val="a3"/>
        <w:spacing w:before="96"/>
        <w:ind w:left="124"/>
      </w:pPr>
      <w:r>
        <w:rPr>
          <w:color w:val="333333"/>
          <w:w w:val="110"/>
        </w:rPr>
        <w:lastRenderedPageBreak/>
        <w:t xml:space="preserve">handle Spring Integration RSocket channel adapters and </w:t>
      </w:r>
      <w:r>
        <w:rPr>
          <w:rFonts w:ascii="MS Gothic"/>
          <w:color w:val="B02045"/>
          <w:w w:val="110"/>
        </w:rPr>
        <w:t xml:space="preserve">@MessageMapping </w:t>
      </w:r>
      <w:r>
        <w:rPr>
          <w:color w:val="333333"/>
          <w:w w:val="110"/>
        </w:rPr>
        <w:t>handlers (given</w:t>
      </w:r>
    </w:p>
    <w:p w14:paraId="35E83FBD" w14:textId="77777777" w:rsidR="00A720EB" w:rsidRDefault="0030286B">
      <w:pPr>
        <w:pStyle w:val="a3"/>
        <w:spacing w:before="47"/>
        <w:ind w:left="124"/>
      </w:pPr>
      <w:r>
        <w:rPr>
          <w:rFonts w:ascii="MS Gothic"/>
          <w:color w:val="B02045"/>
          <w:w w:val="105"/>
        </w:rPr>
        <w:t>"</w:t>
      </w:r>
      <w:proofErr w:type="gramStart"/>
      <w:r>
        <w:rPr>
          <w:rFonts w:ascii="MS Gothic"/>
          <w:color w:val="B02045"/>
          <w:w w:val="105"/>
        </w:rPr>
        <w:t>spring.integration</w:t>
      </w:r>
      <w:proofErr w:type="gramEnd"/>
      <w:r>
        <w:rPr>
          <w:rFonts w:ascii="MS Gothic"/>
          <w:color w:val="B02045"/>
          <w:w w:val="105"/>
        </w:rPr>
        <w:t>.rsocket.server.message-mapping-enabled"</w:t>
      </w:r>
      <w:r>
        <w:rPr>
          <w:rFonts w:ascii="MS Gothic"/>
          <w:color w:val="B02045"/>
          <w:spacing w:val="-62"/>
          <w:w w:val="105"/>
        </w:rPr>
        <w:t xml:space="preserve"> </w:t>
      </w:r>
      <w:r>
        <w:rPr>
          <w:color w:val="333333"/>
          <w:w w:val="105"/>
        </w:rPr>
        <w:t>is configured).</w:t>
      </w:r>
    </w:p>
    <w:p w14:paraId="29E2023D" w14:textId="77777777" w:rsidR="00A720EB" w:rsidRDefault="00A720EB">
      <w:pPr>
        <w:pStyle w:val="a3"/>
        <w:spacing w:before="5"/>
        <w:rPr>
          <w:sz w:val="24"/>
        </w:rPr>
      </w:pPr>
    </w:p>
    <w:p w14:paraId="5E7CAA10" w14:textId="77777777" w:rsidR="00A720EB" w:rsidRDefault="0030286B">
      <w:pPr>
        <w:pStyle w:val="a3"/>
        <w:ind w:left="124"/>
      </w:pPr>
      <w:r>
        <w:rPr>
          <w:color w:val="333333"/>
          <w:w w:val="110"/>
        </w:rPr>
        <w:t xml:space="preserve">Spring Boot can also auto-configure an </w:t>
      </w:r>
      <w:r>
        <w:rPr>
          <w:rFonts w:ascii="MS Gothic"/>
          <w:color w:val="B02045"/>
          <w:w w:val="110"/>
        </w:rPr>
        <w:t>ClientRSocketConnector</w:t>
      </w:r>
      <w:r>
        <w:rPr>
          <w:rFonts w:ascii="MS Gothic"/>
          <w:color w:val="B02045"/>
          <w:spacing w:val="-70"/>
          <w:w w:val="110"/>
        </w:rPr>
        <w:t xml:space="preserve"> </w:t>
      </w:r>
      <w:r>
        <w:rPr>
          <w:color w:val="333333"/>
          <w:w w:val="110"/>
        </w:rPr>
        <w:t>using configuration properties:</w:t>
      </w:r>
    </w:p>
    <w:p w14:paraId="6F9501B9" w14:textId="77777777" w:rsidR="00A720EB" w:rsidRDefault="00E10349">
      <w:pPr>
        <w:pStyle w:val="a3"/>
        <w:spacing w:before="11"/>
        <w:rPr>
          <w:sz w:val="17"/>
        </w:rPr>
      </w:pPr>
      <w:r>
        <w:pict w14:anchorId="47A2CB00">
          <v:group id="_x0000_s3716" style="position:absolute;margin-left:47.85pt;margin-top:12.5pt;width:499.55pt;height:111.2pt;z-index:-15376384;mso-wrap-distance-left:0;mso-wrap-distance-right:0;mso-position-horizontal-relative:page" coordorigin="957,250" coordsize="9991,2224">
            <v:shape id="_x0000_s3719" style="position:absolute;left:964;top:257;width:9976;height:2209" coordorigin="965,257" coordsize="9976,2209" path="m10861,257r-9816,l1014,264r-26,17l971,306r-6,31l965,2386r6,31l988,2443r26,17l1045,2466r9816,l10892,2460r25,-17l10935,2417r6,-31l10941,337r-6,-31l10917,281r-25,-17l10861,257xe" fillcolor="#f5f5f5" stroked="f">
              <v:path arrowok="t"/>
            </v:shape>
            <v:shape id="_x0000_s3718" style="position:absolute;left:964;top:257;width:9976;height:2209" coordorigin="965,257" coordsize="9976,2209" path="m1045,257r9816,l10892,264r25,17l10935,306r6,31l10941,2386r-6,31l10917,2443r-25,17l10861,2466r-9816,l1014,2460r-26,-17l971,2417r-6,-31l965,337r6,-31l988,281r26,-17l1045,257xe" filled="f" strokecolor="#ccc">
              <v:path arrowok="t"/>
            </v:shape>
            <v:shape id="_x0000_s3717" type="#_x0000_t202" style="position:absolute;left:984;top:272;width:9938;height:2178" filled="f" stroked="f">
              <v:textbox inset="0,0,0,0">
                <w:txbxContent>
                  <w:p w14:paraId="2A225D0F" w14:textId="77777777" w:rsidR="00711A16" w:rsidRDefault="00711A16">
                    <w:pPr>
                      <w:spacing w:before="221" w:line="252" w:lineRule="auto"/>
                      <w:ind w:left="200" w:right="4218"/>
                      <w:rPr>
                        <w:rFonts w:ascii="MS Gothic"/>
                      </w:rPr>
                    </w:pPr>
                    <w:r>
                      <w:rPr>
                        <w:rFonts w:ascii="MS Gothic"/>
                        <w:color w:val="333333"/>
                      </w:rPr>
                      <w:t xml:space="preserve"># Connecting to a RSocket server over TCP spring.integration.rsocket.client.host=example.org </w:t>
                    </w:r>
                    <w:proofErr w:type="gramStart"/>
                    <w:r>
                      <w:rPr>
                        <w:rFonts w:ascii="MS Gothic"/>
                        <w:color w:val="333333"/>
                      </w:rPr>
                      <w:t>spring.integration</w:t>
                    </w:r>
                    <w:proofErr w:type="gramEnd"/>
                    <w:r>
                      <w:rPr>
                        <w:rFonts w:ascii="MS Gothic"/>
                        <w:color w:val="333333"/>
                      </w:rPr>
                      <w:t>.rsocket.client.port=9898</w:t>
                    </w:r>
                  </w:p>
                  <w:p w14:paraId="0358D16F" w14:textId="77777777" w:rsidR="00711A16" w:rsidRDefault="00711A16">
                    <w:pPr>
                      <w:spacing w:before="9"/>
                      <w:rPr>
                        <w:rFonts w:ascii="MS Gothic"/>
                      </w:rPr>
                    </w:pPr>
                  </w:p>
                  <w:p w14:paraId="01673FA8" w14:textId="77777777" w:rsidR="00711A16" w:rsidRDefault="00711A16">
                    <w:pPr>
                      <w:spacing w:line="252" w:lineRule="auto"/>
                      <w:ind w:left="200" w:right="3778"/>
                      <w:rPr>
                        <w:rFonts w:ascii="MS Gothic"/>
                      </w:rPr>
                    </w:pPr>
                    <w:r>
                      <w:rPr>
                        <w:rFonts w:ascii="MS Gothic"/>
                        <w:color w:val="333333"/>
                      </w:rPr>
                      <w:t># Connecting to a RSocket Server over WebSocket spring.integration.rsocket.client.uri=ws://example.org</w:t>
                    </w:r>
                  </w:p>
                </w:txbxContent>
              </v:textbox>
            </v:shape>
            <w10:wrap type="topAndBottom" anchorx="page"/>
          </v:group>
        </w:pict>
      </w:r>
    </w:p>
    <w:p w14:paraId="42701536" w14:textId="77777777" w:rsidR="00A720EB" w:rsidRDefault="00A720EB">
      <w:pPr>
        <w:pStyle w:val="a3"/>
        <w:spacing w:before="11"/>
        <w:rPr>
          <w:sz w:val="9"/>
        </w:rPr>
      </w:pPr>
    </w:p>
    <w:p w14:paraId="60EA8DF5" w14:textId="77777777" w:rsidR="00A720EB" w:rsidRDefault="0030286B">
      <w:pPr>
        <w:pStyle w:val="a3"/>
        <w:spacing w:before="115"/>
        <w:ind w:left="124"/>
        <w:jc w:val="both"/>
      </w:pPr>
      <w:r>
        <w:rPr>
          <w:color w:val="333333"/>
          <w:w w:val="110"/>
        </w:rPr>
        <w:t xml:space="preserve">See the </w:t>
      </w:r>
      <w:hyperlink r:id="rId315">
        <w:r>
          <w:rPr>
            <w:rFonts w:ascii="MS Gothic"/>
            <w:color w:val="B02045"/>
            <w:w w:val="110"/>
          </w:rPr>
          <w:t>IntegrationAutoConfiguration</w:t>
        </w:r>
        <w:r>
          <w:rPr>
            <w:rFonts w:ascii="MS Gothic"/>
            <w:color w:val="B02045"/>
            <w:spacing w:val="-78"/>
            <w:w w:val="110"/>
          </w:rPr>
          <w:t xml:space="preserve"> </w:t>
        </w:r>
      </w:hyperlink>
      <w:r>
        <w:rPr>
          <w:color w:val="333333"/>
          <w:w w:val="110"/>
        </w:rPr>
        <w:t xml:space="preserve">and </w:t>
      </w:r>
      <w:hyperlink r:id="rId316">
        <w:r>
          <w:rPr>
            <w:rFonts w:ascii="MS Gothic"/>
            <w:color w:val="B02045"/>
            <w:w w:val="110"/>
          </w:rPr>
          <w:t>IntegrationProperties</w:t>
        </w:r>
        <w:r>
          <w:rPr>
            <w:rFonts w:ascii="MS Gothic"/>
            <w:color w:val="B02045"/>
            <w:spacing w:val="-78"/>
            <w:w w:val="110"/>
          </w:rPr>
          <w:t xml:space="preserve"> </w:t>
        </w:r>
      </w:hyperlink>
      <w:r>
        <w:rPr>
          <w:color w:val="333333"/>
          <w:w w:val="110"/>
        </w:rPr>
        <w:t>classes for more details.</w:t>
      </w:r>
    </w:p>
    <w:p w14:paraId="2154EBF0" w14:textId="77777777" w:rsidR="00A720EB" w:rsidRDefault="00A720EB">
      <w:pPr>
        <w:pStyle w:val="a3"/>
        <w:spacing w:before="5"/>
        <w:rPr>
          <w:sz w:val="24"/>
        </w:rPr>
      </w:pPr>
    </w:p>
    <w:p w14:paraId="51EC1A4C" w14:textId="77777777" w:rsidR="00A720EB" w:rsidRDefault="0030286B">
      <w:pPr>
        <w:pStyle w:val="a3"/>
        <w:spacing w:before="1" w:line="295" w:lineRule="auto"/>
        <w:ind w:left="124" w:right="133"/>
        <w:jc w:val="both"/>
      </w:pPr>
      <w:r>
        <w:rPr>
          <w:color w:val="333333"/>
          <w:spacing w:val="-3"/>
          <w:w w:val="110"/>
        </w:rPr>
        <w:t xml:space="preserve">By </w:t>
      </w:r>
      <w:r>
        <w:rPr>
          <w:color w:val="333333"/>
          <w:w w:val="110"/>
        </w:rPr>
        <w:t xml:space="preserve">default, if a Micrometer </w:t>
      </w:r>
      <w:r>
        <w:rPr>
          <w:rFonts w:ascii="MS Gothic"/>
          <w:color w:val="B02045"/>
          <w:w w:val="110"/>
        </w:rPr>
        <w:t xml:space="preserve">meterRegistry </w:t>
      </w:r>
      <w:r>
        <w:rPr>
          <w:color w:val="333333"/>
          <w:w w:val="110"/>
        </w:rPr>
        <w:t xml:space="preserve">bean is present, Spring Integration metrics will be managed </w:t>
      </w:r>
      <w:r>
        <w:rPr>
          <w:color w:val="333333"/>
          <w:spacing w:val="-3"/>
          <w:w w:val="110"/>
        </w:rPr>
        <w:t xml:space="preserve">by </w:t>
      </w:r>
      <w:r>
        <w:rPr>
          <w:color w:val="333333"/>
          <w:w w:val="110"/>
        </w:rPr>
        <w:t xml:space="preserve">Micrometer. If you wish to use legacy Spring Integration metrics, add a </w:t>
      </w:r>
      <w:r>
        <w:rPr>
          <w:rFonts w:ascii="MS Gothic"/>
          <w:color w:val="B02045"/>
          <w:w w:val="110"/>
        </w:rPr>
        <w:t>DefaultMetricsFactory</w:t>
      </w:r>
      <w:r>
        <w:rPr>
          <w:rFonts w:ascii="MS Gothic"/>
          <w:color w:val="B02045"/>
          <w:spacing w:val="-62"/>
          <w:w w:val="110"/>
        </w:rPr>
        <w:t xml:space="preserve"> </w:t>
      </w:r>
      <w:r>
        <w:rPr>
          <w:color w:val="333333"/>
          <w:w w:val="110"/>
        </w:rPr>
        <w:t>bean to the application context.</w:t>
      </w:r>
    </w:p>
    <w:p w14:paraId="69B9B3B8" w14:textId="77777777" w:rsidR="00A720EB" w:rsidRDefault="00A720EB">
      <w:pPr>
        <w:pStyle w:val="a3"/>
        <w:spacing w:before="2"/>
        <w:rPr>
          <w:sz w:val="25"/>
        </w:rPr>
      </w:pPr>
    </w:p>
    <w:p w14:paraId="14307915" w14:textId="77777777" w:rsidR="00A720EB" w:rsidRDefault="0030286B">
      <w:pPr>
        <w:pStyle w:val="2"/>
        <w:numPr>
          <w:ilvl w:val="1"/>
          <w:numId w:val="68"/>
        </w:numPr>
        <w:tabs>
          <w:tab w:val="left" w:pos="1034"/>
        </w:tabs>
        <w:ind w:left="1033" w:hanging="910"/>
      </w:pPr>
      <w:bookmarkStart w:id="448" w:name="4.24._Spring_Session"/>
      <w:bookmarkStart w:id="449" w:name="_Toc54423808"/>
      <w:bookmarkEnd w:id="448"/>
      <w:r>
        <w:rPr>
          <w:color w:val="333333"/>
          <w:w w:val="105"/>
        </w:rPr>
        <w:t>Spring</w:t>
      </w:r>
      <w:r>
        <w:rPr>
          <w:color w:val="333333"/>
          <w:spacing w:val="-2"/>
          <w:w w:val="105"/>
        </w:rPr>
        <w:t xml:space="preserve"> </w:t>
      </w:r>
      <w:r>
        <w:rPr>
          <w:color w:val="333333"/>
          <w:w w:val="105"/>
        </w:rPr>
        <w:t>Session</w:t>
      </w:r>
      <w:bookmarkEnd w:id="449"/>
    </w:p>
    <w:p w14:paraId="22A1C8F0" w14:textId="77777777" w:rsidR="00A720EB" w:rsidRDefault="0030286B">
      <w:pPr>
        <w:pStyle w:val="a3"/>
        <w:spacing w:before="253" w:line="307" w:lineRule="auto"/>
        <w:ind w:left="124" w:right="130"/>
        <w:jc w:val="both"/>
      </w:pPr>
      <w:r>
        <w:rPr>
          <w:color w:val="333333"/>
          <w:w w:val="110"/>
        </w:rPr>
        <w:t xml:space="preserve">Spring Boot provides </w:t>
      </w:r>
      <w:hyperlink r:id="rId317">
        <w:r>
          <w:rPr>
            <w:color w:val="418BCA"/>
            <w:w w:val="110"/>
          </w:rPr>
          <w:t>Spring Session</w:t>
        </w:r>
      </w:hyperlink>
      <w:r>
        <w:rPr>
          <w:color w:val="418BCA"/>
          <w:w w:val="110"/>
        </w:rPr>
        <w:t xml:space="preserve"> </w:t>
      </w:r>
      <w:r>
        <w:rPr>
          <w:color w:val="333333"/>
          <w:w w:val="110"/>
        </w:rPr>
        <w:t>auto-configuration for a wide range of data stores. When building a Servlet web application, the following stores can be auto-configured:</w:t>
      </w:r>
    </w:p>
    <w:p w14:paraId="33A65C68" w14:textId="77777777" w:rsidR="00A720EB" w:rsidRDefault="0030286B">
      <w:pPr>
        <w:pStyle w:val="a6"/>
        <w:numPr>
          <w:ilvl w:val="0"/>
          <w:numId w:val="34"/>
        </w:numPr>
        <w:tabs>
          <w:tab w:val="left" w:pos="485"/>
        </w:tabs>
        <w:spacing w:before="241"/>
        <w:rPr>
          <w:sz w:val="21"/>
        </w:rPr>
      </w:pPr>
      <w:r>
        <w:rPr>
          <w:color w:val="333333"/>
          <w:w w:val="110"/>
          <w:sz w:val="21"/>
        </w:rPr>
        <w:t>JDBC</w:t>
      </w:r>
    </w:p>
    <w:p w14:paraId="1033C49F" w14:textId="77777777" w:rsidR="00A720EB" w:rsidRDefault="0030286B">
      <w:pPr>
        <w:pStyle w:val="a6"/>
        <w:numPr>
          <w:ilvl w:val="0"/>
          <w:numId w:val="34"/>
        </w:numPr>
        <w:tabs>
          <w:tab w:val="left" w:pos="485"/>
        </w:tabs>
        <w:spacing w:before="189"/>
        <w:rPr>
          <w:sz w:val="21"/>
        </w:rPr>
      </w:pPr>
      <w:r>
        <w:rPr>
          <w:color w:val="333333"/>
          <w:w w:val="110"/>
          <w:sz w:val="21"/>
        </w:rPr>
        <w:t>Redis</w:t>
      </w:r>
    </w:p>
    <w:p w14:paraId="2D0ABC23" w14:textId="77777777" w:rsidR="00A720EB" w:rsidRDefault="0030286B">
      <w:pPr>
        <w:pStyle w:val="a6"/>
        <w:numPr>
          <w:ilvl w:val="0"/>
          <w:numId w:val="34"/>
        </w:numPr>
        <w:tabs>
          <w:tab w:val="left" w:pos="485"/>
        </w:tabs>
        <w:spacing w:before="190"/>
        <w:rPr>
          <w:sz w:val="21"/>
        </w:rPr>
      </w:pPr>
      <w:r>
        <w:rPr>
          <w:color w:val="333333"/>
          <w:w w:val="110"/>
          <w:sz w:val="21"/>
        </w:rPr>
        <w:t>Hazelcast</w:t>
      </w:r>
    </w:p>
    <w:p w14:paraId="0FE06349" w14:textId="77777777" w:rsidR="00A720EB" w:rsidRDefault="0030286B">
      <w:pPr>
        <w:pStyle w:val="a6"/>
        <w:numPr>
          <w:ilvl w:val="0"/>
          <w:numId w:val="34"/>
        </w:numPr>
        <w:tabs>
          <w:tab w:val="left" w:pos="485"/>
        </w:tabs>
        <w:spacing w:before="189"/>
        <w:rPr>
          <w:sz w:val="21"/>
        </w:rPr>
      </w:pPr>
      <w:r>
        <w:rPr>
          <w:color w:val="333333"/>
          <w:w w:val="110"/>
          <w:sz w:val="21"/>
        </w:rPr>
        <w:t>MongoDB</w:t>
      </w:r>
    </w:p>
    <w:p w14:paraId="2E4D8F75" w14:textId="77777777" w:rsidR="00A720EB" w:rsidRDefault="00A720EB">
      <w:pPr>
        <w:pStyle w:val="a3"/>
        <w:spacing w:before="5"/>
        <w:rPr>
          <w:sz w:val="26"/>
        </w:rPr>
      </w:pPr>
    </w:p>
    <w:p w14:paraId="70854E39" w14:textId="77777777" w:rsidR="00A720EB" w:rsidRDefault="0030286B">
      <w:pPr>
        <w:pStyle w:val="a3"/>
        <w:ind w:left="124"/>
        <w:jc w:val="both"/>
      </w:pPr>
      <w:r>
        <w:rPr>
          <w:color w:val="333333"/>
          <w:w w:val="110"/>
        </w:rPr>
        <w:t>When building a reactive web application, the following stores can be auto-configured:</w:t>
      </w:r>
    </w:p>
    <w:p w14:paraId="4516CEED" w14:textId="77777777" w:rsidR="00A720EB" w:rsidRDefault="00A720EB">
      <w:pPr>
        <w:pStyle w:val="a3"/>
        <w:spacing w:before="4"/>
        <w:rPr>
          <w:sz w:val="26"/>
        </w:rPr>
      </w:pPr>
    </w:p>
    <w:p w14:paraId="170D3B6F" w14:textId="77777777" w:rsidR="00A720EB" w:rsidRDefault="0030286B">
      <w:pPr>
        <w:pStyle w:val="a6"/>
        <w:numPr>
          <w:ilvl w:val="0"/>
          <w:numId w:val="34"/>
        </w:numPr>
        <w:tabs>
          <w:tab w:val="left" w:pos="485"/>
        </w:tabs>
        <w:rPr>
          <w:sz w:val="21"/>
        </w:rPr>
      </w:pPr>
      <w:r>
        <w:rPr>
          <w:color w:val="333333"/>
          <w:w w:val="110"/>
          <w:sz w:val="21"/>
        </w:rPr>
        <w:t>Redis</w:t>
      </w:r>
    </w:p>
    <w:p w14:paraId="71ADC2ED" w14:textId="77777777" w:rsidR="00A720EB" w:rsidRDefault="0030286B">
      <w:pPr>
        <w:pStyle w:val="a6"/>
        <w:numPr>
          <w:ilvl w:val="0"/>
          <w:numId w:val="34"/>
        </w:numPr>
        <w:tabs>
          <w:tab w:val="left" w:pos="485"/>
        </w:tabs>
        <w:spacing w:before="190"/>
        <w:rPr>
          <w:sz w:val="21"/>
        </w:rPr>
      </w:pPr>
      <w:r>
        <w:rPr>
          <w:color w:val="333333"/>
          <w:w w:val="110"/>
          <w:sz w:val="21"/>
        </w:rPr>
        <w:t>MongoDB</w:t>
      </w:r>
    </w:p>
    <w:p w14:paraId="321BE161" w14:textId="77777777" w:rsidR="00A720EB" w:rsidRDefault="00A720EB">
      <w:pPr>
        <w:pStyle w:val="a3"/>
        <w:spacing w:before="4"/>
        <w:rPr>
          <w:sz w:val="26"/>
        </w:rPr>
      </w:pPr>
    </w:p>
    <w:p w14:paraId="72A213A3" w14:textId="77777777" w:rsidR="00A720EB" w:rsidRDefault="0030286B">
      <w:pPr>
        <w:pStyle w:val="a3"/>
        <w:spacing w:line="297" w:lineRule="auto"/>
        <w:ind w:left="124" w:right="131"/>
        <w:jc w:val="both"/>
      </w:pPr>
      <w:r>
        <w:rPr>
          <w:color w:val="333333"/>
          <w:w w:val="110"/>
        </w:rPr>
        <w:t xml:space="preserve">If a single Spring Session module is present on the classpath, Spring Boot uses that store implementation automatically. If you have more than one implementation, you must choose the </w:t>
      </w:r>
      <w:hyperlink r:id="rId318">
        <w:r>
          <w:rPr>
            <w:rFonts w:ascii="MS Gothic"/>
            <w:color w:val="B02045"/>
            <w:w w:val="110"/>
          </w:rPr>
          <w:t xml:space="preserve">StoreType </w:t>
        </w:r>
      </w:hyperlink>
      <w:r>
        <w:rPr>
          <w:color w:val="333333"/>
          <w:w w:val="110"/>
        </w:rPr>
        <w:t>that you wish to use to store the sessions. For instance, to use JDBC as the back-end store, you can configure your application as follows:</w:t>
      </w:r>
    </w:p>
    <w:p w14:paraId="4ED84668" w14:textId="77777777" w:rsidR="00A720EB" w:rsidRDefault="00E10349">
      <w:pPr>
        <w:pStyle w:val="a3"/>
        <w:spacing w:before="2"/>
        <w:rPr>
          <w:sz w:val="14"/>
        </w:rPr>
      </w:pPr>
      <w:r>
        <w:pict w14:anchorId="4B528D7D">
          <v:group id="_x0000_s3712" style="position:absolute;margin-left:47.85pt;margin-top:10.3pt;width:499.55pt;height:37.5pt;z-index:-15375872;mso-wrap-distance-left:0;mso-wrap-distance-right:0;mso-position-horizontal-relative:page" coordorigin="957,206" coordsize="9991,750">
            <v:shape id="_x0000_s3715" style="position:absolute;left:964;top:213;width:9976;height:735" coordorigin="965,214" coordsize="9976,735" path="m10861,214r-9816,l1014,220r-26,17l971,263r-6,31l965,869r6,31l988,925r26,17l1045,949r9816,l10892,942r25,-17l10935,900r6,-31l10941,294r-6,-31l10917,237r-25,-17l10861,214xe" fillcolor="#f5f5f5" stroked="f">
              <v:path arrowok="t"/>
            </v:shape>
            <v:shape id="_x0000_s3714" style="position:absolute;left:964;top:213;width:9976;height:735" coordorigin="965,214" coordsize="9976,735" path="m1045,214r9816,l10892,220r25,17l10935,263r6,31l10941,869r-6,31l10917,925r-25,17l10861,949r-9816,l1014,942,988,925,971,900r-6,-31l965,294r6,-31l988,237r26,-17l1045,214xe" filled="f" strokecolor="#ccc">
              <v:path arrowok="t"/>
            </v:shape>
            <v:shape id="_x0000_s3713" type="#_x0000_t202" style="position:absolute;left:984;top:229;width:9938;height:704" filled="f" stroked="f">
              <v:textbox inset="0,0,0,0">
                <w:txbxContent>
                  <w:p w14:paraId="6C9EF96C" w14:textId="77777777" w:rsidR="00711A16" w:rsidRDefault="00711A16">
                    <w:pPr>
                      <w:spacing w:before="221"/>
                      <w:ind w:left="200"/>
                      <w:rPr>
                        <w:rFonts w:ascii="MS Gothic"/>
                      </w:rPr>
                    </w:pPr>
                    <w:proofErr w:type="gramStart"/>
                    <w:r>
                      <w:rPr>
                        <w:rFonts w:ascii="MS Gothic"/>
                        <w:color w:val="333333"/>
                      </w:rPr>
                      <w:t>spring.session</w:t>
                    </w:r>
                    <w:proofErr w:type="gramEnd"/>
                    <w:r>
                      <w:rPr>
                        <w:rFonts w:ascii="MS Gothic"/>
                        <w:color w:val="333333"/>
                      </w:rPr>
                      <w:t>.store-type=jdbc</w:t>
                    </w:r>
                  </w:p>
                </w:txbxContent>
              </v:textbox>
            </v:shape>
            <w10:wrap type="topAndBottom" anchorx="page"/>
          </v:group>
        </w:pict>
      </w:r>
    </w:p>
    <w:p w14:paraId="5A11D6BA" w14:textId="77777777" w:rsidR="00A720EB" w:rsidRDefault="00A720EB">
      <w:pPr>
        <w:pStyle w:val="a3"/>
        <w:spacing w:before="9"/>
        <w:rPr>
          <w:sz w:val="8"/>
        </w:rPr>
      </w:pPr>
    </w:p>
    <w:p w14:paraId="79677A54" w14:textId="77777777" w:rsidR="00A720EB" w:rsidRDefault="00E10349">
      <w:pPr>
        <w:pStyle w:val="a3"/>
        <w:spacing w:before="96"/>
        <w:ind w:left="561"/>
      </w:pPr>
      <w:r>
        <w:pict w14:anchorId="390AC555">
          <v:line id="_x0000_s3711" style="position:absolute;left:0;text-align:left;z-index:-41452544;mso-position-horizontal-relative:page" from="108.25pt,5pt" to="108.25pt,28.75pt" strokecolor="#ededed" strokeweight=".5pt">
            <w10:wrap anchorx="page"/>
          </v:line>
        </w:pict>
      </w:r>
      <w:r w:rsidR="0030286B">
        <w:rPr>
          <w:noProof/>
          <w:position w:val="-15"/>
        </w:rPr>
        <w:drawing>
          <wp:inline distT="0" distB="0" distL="0" distR="0" wp14:anchorId="6D412E4F" wp14:editId="789A8422">
            <wp:extent cx="209550" cy="304800"/>
            <wp:effectExtent l="0" t="0" r="0" b="0"/>
            <wp:docPr id="43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3.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spacing w:val="-6"/>
          <w:w w:val="110"/>
        </w:rPr>
        <w:t xml:space="preserve">You </w:t>
      </w:r>
      <w:r w:rsidR="0030286B">
        <w:rPr>
          <w:color w:val="333333"/>
          <w:w w:val="110"/>
        </w:rPr>
        <w:t xml:space="preserve">can disable Spring Session </w:t>
      </w:r>
      <w:r w:rsidR="0030286B">
        <w:rPr>
          <w:color w:val="333333"/>
          <w:spacing w:val="-3"/>
          <w:w w:val="110"/>
        </w:rPr>
        <w:t xml:space="preserve">by </w:t>
      </w:r>
      <w:r w:rsidR="0030286B">
        <w:rPr>
          <w:color w:val="333333"/>
          <w:w w:val="110"/>
        </w:rPr>
        <w:t xml:space="preserve">setting the </w:t>
      </w:r>
      <w:r w:rsidR="0030286B">
        <w:rPr>
          <w:rFonts w:ascii="MS Gothic"/>
          <w:color w:val="B02045"/>
          <w:w w:val="110"/>
        </w:rPr>
        <w:t>store-type</w:t>
      </w:r>
      <w:r w:rsidR="0030286B">
        <w:rPr>
          <w:rFonts w:ascii="MS Gothic"/>
          <w:color w:val="B02045"/>
          <w:spacing w:val="-47"/>
          <w:w w:val="110"/>
        </w:rPr>
        <w:t xml:space="preserve"> </w:t>
      </w:r>
      <w:r w:rsidR="0030286B">
        <w:rPr>
          <w:color w:val="333333"/>
          <w:w w:val="110"/>
        </w:rPr>
        <w:t xml:space="preserve">to </w:t>
      </w:r>
      <w:r w:rsidR="0030286B">
        <w:rPr>
          <w:rFonts w:ascii="MS Gothic"/>
          <w:color w:val="B02045"/>
          <w:w w:val="110"/>
        </w:rPr>
        <w:t>none</w:t>
      </w:r>
      <w:r w:rsidR="0030286B">
        <w:rPr>
          <w:color w:val="333333"/>
          <w:w w:val="110"/>
        </w:rPr>
        <w:t>.</w:t>
      </w:r>
    </w:p>
    <w:p w14:paraId="11CCE3C7" w14:textId="77777777" w:rsidR="00A720EB" w:rsidRDefault="0030286B">
      <w:pPr>
        <w:pStyle w:val="a3"/>
        <w:spacing w:before="279" w:line="307" w:lineRule="auto"/>
        <w:ind w:left="124" w:right="45"/>
      </w:pPr>
      <w:r>
        <w:rPr>
          <w:color w:val="333333"/>
          <w:w w:val="110"/>
        </w:rPr>
        <w:t>Each store has specific additional settings. For instance, it is possible to customize the name of the table for the JDBC store, as shown in the following example:</w:t>
      </w:r>
    </w:p>
    <w:p w14:paraId="7C4AF51F" w14:textId="77777777" w:rsidR="00A720EB" w:rsidRDefault="00A720EB">
      <w:pPr>
        <w:spacing w:line="307" w:lineRule="auto"/>
        <w:sectPr w:rsidR="00A720EB">
          <w:pgSz w:w="11910" w:h="16840"/>
          <w:pgMar w:top="620" w:right="840" w:bottom="520" w:left="840" w:header="0" w:footer="323" w:gutter="0"/>
          <w:cols w:space="720"/>
        </w:sectPr>
      </w:pPr>
    </w:p>
    <w:p w14:paraId="62AAB06D" w14:textId="77777777" w:rsidR="00A720EB" w:rsidRDefault="00E10349">
      <w:pPr>
        <w:pStyle w:val="a3"/>
        <w:ind w:left="116"/>
        <w:rPr>
          <w:sz w:val="20"/>
        </w:rPr>
      </w:pPr>
      <w:r>
        <w:rPr>
          <w:sz w:val="20"/>
        </w:rPr>
      </w:r>
      <w:r>
        <w:rPr>
          <w:sz w:val="20"/>
        </w:rPr>
        <w:pict w14:anchorId="5E6413DA">
          <v:group id="_x0000_s3707" style="width:499.55pt;height:37.5pt;mso-position-horizontal-relative:char;mso-position-vertical-relative:line" coordsize="9991,750">
            <v:shape id="_x0000_s3710" style="position:absolute;left:7;top:7;width:9976;height:735" coordorigin="8,8" coordsize="9976,735" path="m9904,8l88,8,56,14,31,31,14,56,8,88r,574l14,693r17,26l56,736r32,6l9904,742r31,-6l9960,719r17,-26l9984,662r,-574l9977,56,9960,31,9935,14,9904,8xe" fillcolor="#f5f5f5" stroked="f">
              <v:path arrowok="t"/>
            </v:shape>
            <v:shape id="_x0000_s3709" style="position:absolute;left:7;top:7;width:9976;height:735" coordorigin="8,8" coordsize="9976,735" path="m88,8r9816,l9935,14r25,17l9977,56r7,32l9984,662r-7,31l9960,719r-25,17l9904,742,88,742,56,736,31,719,14,693,8,662,8,88,14,56,31,31,56,14,88,8xe" filled="f" strokecolor="#ccc">
              <v:path arrowok="t"/>
            </v:shape>
            <v:shape id="_x0000_s3708" type="#_x0000_t202" style="position:absolute;left:26;top:22;width:9938;height:704" filled="f" stroked="f">
              <v:textbox inset="0,0,0,0">
                <w:txbxContent>
                  <w:p w14:paraId="34FC8998" w14:textId="77777777" w:rsidR="00711A16" w:rsidRDefault="00711A16">
                    <w:pPr>
                      <w:spacing w:before="221"/>
                      <w:ind w:left="200"/>
                      <w:rPr>
                        <w:rFonts w:ascii="MS Gothic"/>
                      </w:rPr>
                    </w:pPr>
                    <w:proofErr w:type="gramStart"/>
                    <w:r>
                      <w:rPr>
                        <w:rFonts w:ascii="MS Gothic"/>
                        <w:color w:val="333333"/>
                      </w:rPr>
                      <w:t>spring.session</w:t>
                    </w:r>
                    <w:proofErr w:type="gramEnd"/>
                    <w:r>
                      <w:rPr>
                        <w:rFonts w:ascii="MS Gothic"/>
                        <w:color w:val="333333"/>
                      </w:rPr>
                      <w:t>.jdbc.table-name=SESSIONS</w:t>
                    </w:r>
                  </w:p>
                </w:txbxContent>
              </v:textbox>
            </v:shape>
            <w10:anchorlock/>
          </v:group>
        </w:pict>
      </w:r>
    </w:p>
    <w:p w14:paraId="493F43B4" w14:textId="77777777" w:rsidR="00A720EB" w:rsidRDefault="00A720EB">
      <w:pPr>
        <w:pStyle w:val="a3"/>
        <w:rPr>
          <w:sz w:val="9"/>
        </w:rPr>
      </w:pPr>
    </w:p>
    <w:p w14:paraId="1B151EC5" w14:textId="77777777" w:rsidR="00A720EB" w:rsidRDefault="0030286B">
      <w:pPr>
        <w:pStyle w:val="a3"/>
        <w:spacing w:before="115" w:line="280" w:lineRule="auto"/>
        <w:ind w:left="124" w:right="123"/>
        <w:jc w:val="both"/>
      </w:pPr>
      <w:r>
        <w:rPr>
          <w:color w:val="333333"/>
          <w:spacing w:val="-4"/>
          <w:w w:val="110"/>
        </w:rPr>
        <w:t xml:space="preserve">For </w:t>
      </w:r>
      <w:r>
        <w:rPr>
          <w:color w:val="333333"/>
          <w:w w:val="110"/>
        </w:rPr>
        <w:t xml:space="preserve">setting the timeout of the session you can use the </w:t>
      </w:r>
      <w:proofErr w:type="gramStart"/>
      <w:r>
        <w:rPr>
          <w:rFonts w:ascii="MS Gothic"/>
          <w:color w:val="B02045"/>
          <w:w w:val="110"/>
        </w:rPr>
        <w:t>spring.session</w:t>
      </w:r>
      <w:proofErr w:type="gramEnd"/>
      <w:r>
        <w:rPr>
          <w:rFonts w:ascii="MS Gothic"/>
          <w:color w:val="B02045"/>
          <w:w w:val="110"/>
        </w:rPr>
        <w:t xml:space="preserve">.timeout </w:t>
      </w:r>
      <w:r>
        <w:rPr>
          <w:color w:val="333333"/>
          <w:spacing w:val="-3"/>
          <w:w w:val="110"/>
        </w:rPr>
        <w:t xml:space="preserve">property. </w:t>
      </w:r>
      <w:r>
        <w:rPr>
          <w:color w:val="333333"/>
          <w:w w:val="110"/>
        </w:rPr>
        <w:t xml:space="preserve">If </w:t>
      </w:r>
      <w:proofErr w:type="gramStart"/>
      <w:r>
        <w:rPr>
          <w:color w:val="333333"/>
          <w:w w:val="110"/>
        </w:rPr>
        <w:t>that  property</w:t>
      </w:r>
      <w:proofErr w:type="gramEnd"/>
      <w:r>
        <w:rPr>
          <w:color w:val="333333"/>
          <w:spacing w:val="-18"/>
          <w:w w:val="110"/>
        </w:rPr>
        <w:t xml:space="preserve"> </w:t>
      </w:r>
      <w:r>
        <w:rPr>
          <w:color w:val="333333"/>
          <w:w w:val="110"/>
        </w:rPr>
        <w:t>is</w:t>
      </w:r>
      <w:r>
        <w:rPr>
          <w:color w:val="333333"/>
          <w:spacing w:val="-17"/>
          <w:w w:val="110"/>
        </w:rPr>
        <w:t xml:space="preserve"> </w:t>
      </w:r>
      <w:r>
        <w:rPr>
          <w:color w:val="333333"/>
          <w:w w:val="110"/>
        </w:rPr>
        <w:t>not</w:t>
      </w:r>
      <w:r>
        <w:rPr>
          <w:color w:val="333333"/>
          <w:spacing w:val="-17"/>
          <w:w w:val="110"/>
        </w:rPr>
        <w:t xml:space="preserve"> </w:t>
      </w:r>
      <w:r>
        <w:rPr>
          <w:color w:val="333333"/>
          <w:w w:val="110"/>
        </w:rPr>
        <w:t>set,</w:t>
      </w:r>
      <w:r>
        <w:rPr>
          <w:color w:val="333333"/>
          <w:spacing w:val="-17"/>
          <w:w w:val="110"/>
        </w:rPr>
        <w:t xml:space="preserve"> </w:t>
      </w:r>
      <w:r>
        <w:rPr>
          <w:color w:val="333333"/>
          <w:w w:val="110"/>
        </w:rPr>
        <w:t>the</w:t>
      </w:r>
      <w:r>
        <w:rPr>
          <w:color w:val="333333"/>
          <w:spacing w:val="-17"/>
          <w:w w:val="110"/>
        </w:rPr>
        <w:t xml:space="preserve"> </w:t>
      </w:r>
      <w:r>
        <w:rPr>
          <w:color w:val="333333"/>
          <w:w w:val="110"/>
        </w:rPr>
        <w:t>auto-configuration</w:t>
      </w:r>
      <w:r>
        <w:rPr>
          <w:color w:val="333333"/>
          <w:spacing w:val="-17"/>
          <w:w w:val="110"/>
        </w:rPr>
        <w:t xml:space="preserve"> </w:t>
      </w:r>
      <w:r>
        <w:rPr>
          <w:color w:val="333333"/>
          <w:w w:val="110"/>
        </w:rPr>
        <w:t>falls</w:t>
      </w:r>
      <w:r>
        <w:rPr>
          <w:color w:val="333333"/>
          <w:spacing w:val="-17"/>
          <w:w w:val="110"/>
        </w:rPr>
        <w:t xml:space="preserve"> </w:t>
      </w:r>
      <w:r>
        <w:rPr>
          <w:color w:val="333333"/>
          <w:w w:val="110"/>
        </w:rPr>
        <w:t>back</w:t>
      </w:r>
      <w:r>
        <w:rPr>
          <w:color w:val="333333"/>
          <w:spacing w:val="-17"/>
          <w:w w:val="110"/>
        </w:rPr>
        <w:t xml:space="preserve"> </w:t>
      </w:r>
      <w:r>
        <w:rPr>
          <w:color w:val="333333"/>
          <w:w w:val="110"/>
        </w:rPr>
        <w:t>to</w:t>
      </w:r>
      <w:r>
        <w:rPr>
          <w:color w:val="333333"/>
          <w:spacing w:val="-17"/>
          <w:w w:val="110"/>
        </w:rPr>
        <w:t xml:space="preserve"> </w:t>
      </w:r>
      <w:r>
        <w:rPr>
          <w:color w:val="333333"/>
          <w:w w:val="110"/>
        </w:rPr>
        <w:t>the</w:t>
      </w:r>
      <w:r>
        <w:rPr>
          <w:color w:val="333333"/>
          <w:spacing w:val="-17"/>
          <w:w w:val="110"/>
        </w:rPr>
        <w:t xml:space="preserve"> </w:t>
      </w:r>
      <w:r>
        <w:rPr>
          <w:color w:val="333333"/>
          <w:w w:val="110"/>
        </w:rPr>
        <w:t>value</w:t>
      </w:r>
      <w:r>
        <w:rPr>
          <w:color w:val="333333"/>
          <w:spacing w:val="-17"/>
          <w:w w:val="110"/>
        </w:rPr>
        <w:t xml:space="preserve"> </w:t>
      </w:r>
      <w:r>
        <w:rPr>
          <w:color w:val="333333"/>
          <w:w w:val="110"/>
        </w:rPr>
        <w:t>of</w:t>
      </w:r>
      <w:r>
        <w:rPr>
          <w:color w:val="333333"/>
          <w:spacing w:val="-13"/>
          <w:w w:val="110"/>
        </w:rPr>
        <w:t xml:space="preserve"> </w:t>
      </w:r>
      <w:r>
        <w:rPr>
          <w:rFonts w:ascii="MS Gothic"/>
          <w:color w:val="B02045"/>
          <w:w w:val="110"/>
        </w:rPr>
        <w:t>server.servlet.session.timeout</w:t>
      </w:r>
      <w:r>
        <w:rPr>
          <w:color w:val="333333"/>
          <w:w w:val="110"/>
        </w:rPr>
        <w:t>.</w:t>
      </w:r>
    </w:p>
    <w:p w14:paraId="144A1EE5" w14:textId="77777777" w:rsidR="00A720EB" w:rsidRDefault="00A720EB">
      <w:pPr>
        <w:pStyle w:val="a3"/>
        <w:spacing w:before="10"/>
        <w:rPr>
          <w:sz w:val="26"/>
        </w:rPr>
      </w:pPr>
    </w:p>
    <w:p w14:paraId="7A8FFAEC" w14:textId="77777777" w:rsidR="00A720EB" w:rsidRDefault="0030286B">
      <w:pPr>
        <w:pStyle w:val="2"/>
        <w:numPr>
          <w:ilvl w:val="1"/>
          <w:numId w:val="68"/>
        </w:numPr>
        <w:tabs>
          <w:tab w:val="left" w:pos="1034"/>
        </w:tabs>
        <w:spacing w:before="1"/>
        <w:ind w:left="1033" w:hanging="910"/>
      </w:pPr>
      <w:bookmarkStart w:id="450" w:name="4.25._Monitoring_and_Management_over_JMX"/>
      <w:bookmarkStart w:id="451" w:name="_Toc54423809"/>
      <w:bookmarkEnd w:id="450"/>
      <w:r>
        <w:rPr>
          <w:color w:val="333333"/>
          <w:w w:val="110"/>
        </w:rPr>
        <w:t>Monitoring and Management over</w:t>
      </w:r>
      <w:r>
        <w:rPr>
          <w:color w:val="333333"/>
          <w:spacing w:val="-40"/>
          <w:w w:val="110"/>
        </w:rPr>
        <w:t xml:space="preserve"> </w:t>
      </w:r>
      <w:r>
        <w:rPr>
          <w:color w:val="333333"/>
          <w:w w:val="110"/>
        </w:rPr>
        <w:t>JMX</w:t>
      </w:r>
      <w:bookmarkEnd w:id="451"/>
    </w:p>
    <w:p w14:paraId="009A37BC" w14:textId="77777777" w:rsidR="00A720EB" w:rsidRDefault="0030286B">
      <w:pPr>
        <w:pStyle w:val="a3"/>
        <w:spacing w:before="253" w:line="288" w:lineRule="auto"/>
        <w:ind w:left="124" w:right="122"/>
        <w:jc w:val="both"/>
      </w:pPr>
      <w:r>
        <w:rPr>
          <w:color w:val="333333"/>
          <w:w w:val="110"/>
        </w:rPr>
        <w:t>Java Management Extensions (JMX) provide a standard mechanism to monitor and manage applications.</w:t>
      </w:r>
      <w:r>
        <w:rPr>
          <w:color w:val="333333"/>
          <w:spacing w:val="-5"/>
          <w:w w:val="110"/>
        </w:rPr>
        <w:t xml:space="preserve"> </w:t>
      </w:r>
      <w:r>
        <w:rPr>
          <w:color w:val="333333"/>
          <w:w w:val="110"/>
        </w:rPr>
        <w:t>Spring</w:t>
      </w:r>
      <w:r>
        <w:rPr>
          <w:color w:val="333333"/>
          <w:spacing w:val="-5"/>
          <w:w w:val="110"/>
        </w:rPr>
        <w:t xml:space="preserve"> </w:t>
      </w:r>
      <w:r>
        <w:rPr>
          <w:color w:val="333333"/>
          <w:w w:val="110"/>
        </w:rPr>
        <w:t>Boot</w:t>
      </w:r>
      <w:r>
        <w:rPr>
          <w:color w:val="333333"/>
          <w:spacing w:val="-5"/>
          <w:w w:val="110"/>
        </w:rPr>
        <w:t xml:space="preserve"> </w:t>
      </w:r>
      <w:r>
        <w:rPr>
          <w:color w:val="333333"/>
          <w:w w:val="110"/>
        </w:rPr>
        <w:t>exposes</w:t>
      </w:r>
      <w:r>
        <w:rPr>
          <w:color w:val="333333"/>
          <w:spacing w:val="-5"/>
          <w:w w:val="110"/>
        </w:rPr>
        <w:t xml:space="preserve"> </w:t>
      </w:r>
      <w:r>
        <w:rPr>
          <w:color w:val="333333"/>
          <w:w w:val="110"/>
        </w:rPr>
        <w:t>the</w:t>
      </w:r>
      <w:r>
        <w:rPr>
          <w:color w:val="333333"/>
          <w:spacing w:val="-5"/>
          <w:w w:val="110"/>
        </w:rPr>
        <w:t xml:space="preserve"> </w:t>
      </w:r>
      <w:r>
        <w:rPr>
          <w:color w:val="333333"/>
          <w:w w:val="110"/>
        </w:rPr>
        <w:t>most</w:t>
      </w:r>
      <w:r>
        <w:rPr>
          <w:color w:val="333333"/>
          <w:spacing w:val="-5"/>
          <w:w w:val="110"/>
        </w:rPr>
        <w:t xml:space="preserve"> </w:t>
      </w:r>
      <w:r>
        <w:rPr>
          <w:color w:val="333333"/>
          <w:w w:val="110"/>
        </w:rPr>
        <w:t>suitable</w:t>
      </w:r>
      <w:r>
        <w:rPr>
          <w:color w:val="333333"/>
          <w:spacing w:val="2"/>
          <w:w w:val="110"/>
        </w:rPr>
        <w:t xml:space="preserve"> </w:t>
      </w:r>
      <w:r>
        <w:rPr>
          <w:rFonts w:ascii="MS Gothic"/>
          <w:color w:val="B02045"/>
          <w:w w:val="110"/>
        </w:rPr>
        <w:t>MBeanServer</w:t>
      </w:r>
      <w:r>
        <w:rPr>
          <w:rFonts w:ascii="MS Gothic"/>
          <w:color w:val="B02045"/>
          <w:spacing w:val="-70"/>
          <w:w w:val="110"/>
        </w:rPr>
        <w:t xml:space="preserve"> </w:t>
      </w:r>
      <w:r>
        <w:rPr>
          <w:color w:val="333333"/>
          <w:w w:val="110"/>
        </w:rPr>
        <w:t>as</w:t>
      </w:r>
      <w:r>
        <w:rPr>
          <w:color w:val="333333"/>
          <w:spacing w:val="-5"/>
          <w:w w:val="110"/>
        </w:rPr>
        <w:t xml:space="preserve"> </w:t>
      </w:r>
      <w:r>
        <w:rPr>
          <w:color w:val="333333"/>
          <w:w w:val="110"/>
        </w:rPr>
        <w:t>a</w:t>
      </w:r>
      <w:r>
        <w:rPr>
          <w:color w:val="333333"/>
          <w:spacing w:val="-5"/>
          <w:w w:val="110"/>
        </w:rPr>
        <w:t xml:space="preserve"> </w:t>
      </w:r>
      <w:r>
        <w:rPr>
          <w:color w:val="333333"/>
          <w:w w:val="110"/>
        </w:rPr>
        <w:t>bean</w:t>
      </w:r>
      <w:r>
        <w:rPr>
          <w:color w:val="333333"/>
          <w:spacing w:val="-5"/>
          <w:w w:val="110"/>
        </w:rPr>
        <w:t xml:space="preserve"> </w:t>
      </w:r>
      <w:r>
        <w:rPr>
          <w:color w:val="333333"/>
          <w:w w:val="110"/>
        </w:rPr>
        <w:t>with</w:t>
      </w:r>
      <w:r>
        <w:rPr>
          <w:color w:val="333333"/>
          <w:spacing w:val="-5"/>
          <w:w w:val="110"/>
        </w:rPr>
        <w:t xml:space="preserve"> </w:t>
      </w:r>
      <w:r>
        <w:rPr>
          <w:color w:val="333333"/>
          <w:w w:val="110"/>
        </w:rPr>
        <w:t>an</w:t>
      </w:r>
      <w:r>
        <w:rPr>
          <w:color w:val="333333"/>
          <w:spacing w:val="-4"/>
          <w:w w:val="110"/>
        </w:rPr>
        <w:t xml:space="preserve"> </w:t>
      </w:r>
      <w:r>
        <w:rPr>
          <w:color w:val="333333"/>
          <w:w w:val="110"/>
        </w:rPr>
        <w:t>ID</w:t>
      </w:r>
      <w:r>
        <w:rPr>
          <w:color w:val="333333"/>
          <w:spacing w:val="-5"/>
          <w:w w:val="110"/>
        </w:rPr>
        <w:t xml:space="preserve"> </w:t>
      </w:r>
      <w:r>
        <w:rPr>
          <w:color w:val="333333"/>
          <w:w w:val="110"/>
        </w:rPr>
        <w:t>of</w:t>
      </w:r>
      <w:r>
        <w:rPr>
          <w:color w:val="333333"/>
          <w:spacing w:val="-3"/>
          <w:w w:val="110"/>
        </w:rPr>
        <w:t xml:space="preserve"> </w:t>
      </w:r>
      <w:r>
        <w:rPr>
          <w:rFonts w:ascii="MS Gothic"/>
          <w:color w:val="B02045"/>
          <w:w w:val="110"/>
        </w:rPr>
        <w:t>mbeanServer</w:t>
      </w:r>
      <w:r>
        <w:rPr>
          <w:color w:val="333333"/>
          <w:w w:val="110"/>
        </w:rPr>
        <w:t>. Any of your beans that are annotated with Spring JMX annotations (</w:t>
      </w:r>
      <w:r>
        <w:rPr>
          <w:rFonts w:ascii="MS Gothic"/>
          <w:color w:val="B02045"/>
          <w:w w:val="110"/>
        </w:rPr>
        <w:t>@ManagedResource</w:t>
      </w:r>
      <w:r>
        <w:rPr>
          <w:color w:val="333333"/>
          <w:w w:val="110"/>
        </w:rPr>
        <w:t xml:space="preserve">, </w:t>
      </w:r>
      <w:r>
        <w:rPr>
          <w:rFonts w:ascii="MS Gothic"/>
          <w:color w:val="B02045"/>
          <w:w w:val="110"/>
        </w:rPr>
        <w:t>@ManagedAttribute</w:t>
      </w:r>
      <w:r>
        <w:rPr>
          <w:color w:val="333333"/>
          <w:w w:val="110"/>
        </w:rPr>
        <w:t xml:space="preserve">, or </w:t>
      </w:r>
      <w:r>
        <w:rPr>
          <w:rFonts w:ascii="MS Gothic"/>
          <w:color w:val="B02045"/>
          <w:w w:val="110"/>
        </w:rPr>
        <w:t>@ManagedOperation</w:t>
      </w:r>
      <w:r>
        <w:rPr>
          <w:color w:val="333333"/>
          <w:w w:val="110"/>
        </w:rPr>
        <w:t>) are exposed to</w:t>
      </w:r>
      <w:r>
        <w:rPr>
          <w:color w:val="333333"/>
          <w:spacing w:val="-7"/>
          <w:w w:val="110"/>
        </w:rPr>
        <w:t xml:space="preserve"> </w:t>
      </w:r>
      <w:r>
        <w:rPr>
          <w:color w:val="333333"/>
          <w:w w:val="110"/>
        </w:rPr>
        <w:t>it.</w:t>
      </w:r>
    </w:p>
    <w:p w14:paraId="3758CE7C" w14:textId="77777777" w:rsidR="00A720EB" w:rsidRDefault="0030286B">
      <w:pPr>
        <w:pStyle w:val="a3"/>
        <w:spacing w:before="228"/>
        <w:ind w:left="124"/>
        <w:jc w:val="both"/>
      </w:pPr>
      <w:r>
        <w:rPr>
          <w:color w:val="333333"/>
          <w:w w:val="110"/>
        </w:rPr>
        <w:t xml:space="preserve">If your platform provides a standard </w:t>
      </w:r>
      <w:r>
        <w:rPr>
          <w:rFonts w:ascii="MS Gothic"/>
          <w:color w:val="B02045"/>
          <w:w w:val="110"/>
        </w:rPr>
        <w:t>MBeanServer</w:t>
      </w:r>
      <w:r>
        <w:rPr>
          <w:color w:val="333333"/>
          <w:w w:val="110"/>
        </w:rPr>
        <w:t>, Spring Boot will use that and default to the VM</w:t>
      </w:r>
    </w:p>
    <w:p w14:paraId="64F644CF" w14:textId="77777777" w:rsidR="00A720EB" w:rsidRDefault="0030286B">
      <w:pPr>
        <w:pStyle w:val="a3"/>
        <w:spacing w:before="46" w:line="494" w:lineRule="auto"/>
        <w:ind w:left="124" w:right="2628"/>
      </w:pPr>
      <w:r>
        <w:rPr>
          <w:rFonts w:ascii="MS Gothic"/>
          <w:color w:val="B02045"/>
          <w:w w:val="110"/>
        </w:rPr>
        <w:t>MBeanServer</w:t>
      </w:r>
      <w:r>
        <w:rPr>
          <w:rFonts w:ascii="MS Gothic"/>
          <w:color w:val="B02045"/>
          <w:spacing w:val="-75"/>
          <w:w w:val="110"/>
        </w:rPr>
        <w:t xml:space="preserve"> </w:t>
      </w:r>
      <w:r>
        <w:rPr>
          <w:color w:val="333333"/>
          <w:w w:val="110"/>
        </w:rPr>
        <w:t xml:space="preserve">if necessary. If all that fails, a new </w:t>
      </w:r>
      <w:r>
        <w:rPr>
          <w:rFonts w:ascii="MS Gothic"/>
          <w:color w:val="B02045"/>
          <w:w w:val="110"/>
        </w:rPr>
        <w:t>MBeanServer</w:t>
      </w:r>
      <w:r>
        <w:rPr>
          <w:rFonts w:ascii="MS Gothic"/>
          <w:color w:val="B02045"/>
          <w:spacing w:val="-75"/>
          <w:w w:val="110"/>
        </w:rPr>
        <w:t xml:space="preserve"> </w:t>
      </w:r>
      <w:r>
        <w:rPr>
          <w:color w:val="333333"/>
          <w:w w:val="110"/>
        </w:rPr>
        <w:t xml:space="preserve">will be created. See the </w:t>
      </w:r>
      <w:hyperlink r:id="rId319">
        <w:r>
          <w:rPr>
            <w:rFonts w:ascii="MS Gothic"/>
            <w:color w:val="B02045"/>
            <w:w w:val="110"/>
          </w:rPr>
          <w:t>JmxAutoConfiguration</w:t>
        </w:r>
        <w:r>
          <w:rPr>
            <w:rFonts w:ascii="MS Gothic"/>
            <w:color w:val="B02045"/>
            <w:spacing w:val="-72"/>
            <w:w w:val="110"/>
          </w:rPr>
          <w:t xml:space="preserve"> </w:t>
        </w:r>
      </w:hyperlink>
      <w:r>
        <w:rPr>
          <w:color w:val="333333"/>
          <w:w w:val="110"/>
        </w:rPr>
        <w:t>class for more details.</w:t>
      </w:r>
    </w:p>
    <w:p w14:paraId="56BAB5BB" w14:textId="77777777" w:rsidR="00A720EB" w:rsidRDefault="0030286B">
      <w:pPr>
        <w:pStyle w:val="2"/>
        <w:numPr>
          <w:ilvl w:val="1"/>
          <w:numId w:val="68"/>
        </w:numPr>
        <w:tabs>
          <w:tab w:val="left" w:pos="1034"/>
        </w:tabs>
        <w:spacing w:before="76"/>
        <w:ind w:left="1033" w:hanging="910"/>
      </w:pPr>
      <w:bookmarkStart w:id="452" w:name="4.26._Testing"/>
      <w:bookmarkStart w:id="453" w:name="_Toc54423810"/>
      <w:bookmarkEnd w:id="452"/>
      <w:r>
        <w:rPr>
          <w:color w:val="333333"/>
          <w:spacing w:val="-3"/>
          <w:w w:val="110"/>
        </w:rPr>
        <w:t>Testing</w:t>
      </w:r>
      <w:bookmarkEnd w:id="453"/>
    </w:p>
    <w:p w14:paraId="53DA9C6D" w14:textId="77777777" w:rsidR="00A720EB" w:rsidRDefault="0030286B">
      <w:pPr>
        <w:pStyle w:val="a3"/>
        <w:spacing w:before="253" w:line="290" w:lineRule="auto"/>
        <w:ind w:left="124" w:right="122"/>
        <w:jc w:val="both"/>
      </w:pPr>
      <w:r>
        <w:rPr>
          <w:color w:val="333333"/>
          <w:w w:val="110"/>
        </w:rPr>
        <w:t xml:space="preserve">Spring Boot provides a number of utilities and annotations to help when testing your application. </w:t>
      </w:r>
      <w:r>
        <w:rPr>
          <w:color w:val="333333"/>
          <w:spacing w:val="-3"/>
          <w:w w:val="110"/>
        </w:rPr>
        <w:t xml:space="preserve">Test </w:t>
      </w:r>
      <w:r>
        <w:rPr>
          <w:color w:val="333333"/>
          <w:w w:val="110"/>
        </w:rPr>
        <w:t xml:space="preserve">support is provided </w:t>
      </w:r>
      <w:r>
        <w:rPr>
          <w:color w:val="333333"/>
          <w:spacing w:val="-3"/>
          <w:w w:val="110"/>
        </w:rPr>
        <w:t xml:space="preserve">by </w:t>
      </w:r>
      <w:r>
        <w:rPr>
          <w:color w:val="333333"/>
          <w:w w:val="110"/>
        </w:rPr>
        <w:t xml:space="preserve">two modules: </w:t>
      </w:r>
      <w:r>
        <w:rPr>
          <w:rFonts w:ascii="MS Gothic"/>
          <w:color w:val="B02045"/>
          <w:w w:val="110"/>
        </w:rPr>
        <w:t xml:space="preserve">spring-boot-test </w:t>
      </w:r>
      <w:r>
        <w:rPr>
          <w:color w:val="333333"/>
          <w:w w:val="110"/>
        </w:rPr>
        <w:t xml:space="preserve">contains core items, and </w:t>
      </w:r>
      <w:r>
        <w:rPr>
          <w:rFonts w:ascii="MS Gothic"/>
          <w:color w:val="B02045"/>
          <w:w w:val="110"/>
        </w:rPr>
        <w:t>spring-boot- test-autoconfigure</w:t>
      </w:r>
      <w:r>
        <w:rPr>
          <w:rFonts w:ascii="MS Gothic"/>
          <w:color w:val="B02045"/>
          <w:spacing w:val="-62"/>
          <w:w w:val="110"/>
        </w:rPr>
        <w:t xml:space="preserve"> </w:t>
      </w:r>
      <w:r>
        <w:rPr>
          <w:color w:val="333333"/>
          <w:w w:val="110"/>
        </w:rPr>
        <w:t>supports auto-configuration for tests.</w:t>
      </w:r>
    </w:p>
    <w:p w14:paraId="04AFE51B" w14:textId="77777777" w:rsidR="00A720EB" w:rsidRDefault="0030286B">
      <w:pPr>
        <w:pStyle w:val="a3"/>
        <w:spacing w:before="227" w:line="290" w:lineRule="auto"/>
        <w:ind w:left="124" w:right="129"/>
        <w:jc w:val="both"/>
      </w:pPr>
      <w:r>
        <w:rPr>
          <w:color w:val="333333"/>
          <w:w w:val="110"/>
        </w:rPr>
        <w:t xml:space="preserve">Most developers use the </w:t>
      </w:r>
      <w:r>
        <w:rPr>
          <w:rFonts w:ascii="MS Gothic" w:hAnsi="MS Gothic"/>
          <w:color w:val="B02045"/>
          <w:w w:val="110"/>
        </w:rPr>
        <w:t xml:space="preserve">spring-boot-starter-test </w:t>
      </w:r>
      <w:r>
        <w:rPr>
          <w:color w:val="333333"/>
          <w:w w:val="110"/>
        </w:rPr>
        <w:t>“Starter”, which imports both Spring Boot test modules as well as JUnit Jupiter, AssertJ, Hamcrest, and a number of other useful libraries.</w:t>
      </w:r>
    </w:p>
    <w:p w14:paraId="6AF4F8AD" w14:textId="77777777" w:rsidR="00A720EB" w:rsidRDefault="00A720EB">
      <w:pPr>
        <w:pStyle w:val="a3"/>
        <w:spacing w:before="2"/>
        <w:rPr>
          <w:sz w:val="18"/>
        </w:rPr>
      </w:pPr>
    </w:p>
    <w:p w14:paraId="52F4E3B5" w14:textId="77777777" w:rsidR="00A720EB" w:rsidRDefault="00E10349">
      <w:pPr>
        <w:pStyle w:val="a3"/>
        <w:spacing w:before="126" w:line="307" w:lineRule="auto"/>
        <w:ind w:left="1564" w:right="369"/>
        <w:jc w:val="both"/>
      </w:pPr>
      <w:r>
        <w:pict w14:anchorId="405A800A">
          <v:line id="_x0000_s3706" style="position:absolute;left:0;text-align:left;z-index:16083968;mso-position-horizontal-relative:page" from="108.25pt,.3pt" to="108.25pt,251.8pt" strokecolor="#ededed" strokeweight=".5pt">
            <w10:wrap anchorx="page"/>
          </v:line>
        </w:pict>
      </w:r>
      <w:r w:rsidR="0030286B">
        <w:rPr>
          <w:color w:val="333333"/>
          <w:w w:val="110"/>
        </w:rPr>
        <w:t xml:space="preserve">The starter also brings the vintage engine so that you can run both JUnit 4 </w:t>
      </w:r>
      <w:proofErr w:type="gramStart"/>
      <w:r w:rsidR="0030286B">
        <w:rPr>
          <w:color w:val="333333"/>
          <w:w w:val="110"/>
        </w:rPr>
        <w:t xml:space="preserve">and </w:t>
      </w:r>
      <w:r w:rsidR="0030286B">
        <w:rPr>
          <w:color w:val="333333"/>
          <w:spacing w:val="50"/>
          <w:w w:val="110"/>
        </w:rPr>
        <w:t xml:space="preserve"> </w:t>
      </w:r>
      <w:r w:rsidR="0030286B">
        <w:rPr>
          <w:color w:val="333333"/>
          <w:w w:val="110"/>
        </w:rPr>
        <w:t>JUnit</w:t>
      </w:r>
      <w:proofErr w:type="gramEnd"/>
      <w:r w:rsidR="0030286B">
        <w:rPr>
          <w:color w:val="333333"/>
          <w:w w:val="110"/>
        </w:rPr>
        <w:t xml:space="preserve"> 5 tests. If you have migrated your tests to JUnit 5, you should exclude JUnit 4 support, as shown in the following</w:t>
      </w:r>
      <w:r w:rsidR="0030286B">
        <w:rPr>
          <w:color w:val="333333"/>
          <w:spacing w:val="21"/>
          <w:w w:val="110"/>
        </w:rPr>
        <w:t xml:space="preserve"> </w:t>
      </w:r>
      <w:r w:rsidR="0030286B">
        <w:rPr>
          <w:color w:val="333333"/>
          <w:w w:val="110"/>
        </w:rPr>
        <w:t>example:</w:t>
      </w:r>
    </w:p>
    <w:p w14:paraId="17D06F19" w14:textId="77777777" w:rsidR="00A720EB" w:rsidRDefault="0030286B">
      <w:pPr>
        <w:pStyle w:val="a3"/>
        <w:spacing w:before="2"/>
        <w:rPr>
          <w:sz w:val="13"/>
        </w:rPr>
      </w:pPr>
      <w:r>
        <w:rPr>
          <w:noProof/>
        </w:rPr>
        <w:drawing>
          <wp:anchor distT="0" distB="0" distL="0" distR="0" simplePos="0" relativeHeight="692" behindDoc="0" locked="0" layoutInCell="1" allowOverlap="1" wp14:anchorId="6AEEE469" wp14:editId="69BD75BF">
            <wp:simplePos x="0" y="0"/>
            <wp:positionH relativeFrom="page">
              <wp:posOffset>888949</wp:posOffset>
            </wp:positionH>
            <wp:positionV relativeFrom="paragraph">
              <wp:posOffset>768050</wp:posOffset>
            </wp:positionV>
            <wp:extent cx="207454" cy="301751"/>
            <wp:effectExtent l="0" t="0" r="0" b="0"/>
            <wp:wrapTopAndBottom/>
            <wp:docPr id="4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4.png"/>
                    <pic:cNvPicPr/>
                  </pic:nvPicPr>
                  <pic:blipFill>
                    <a:blip r:embed="rId31" cstate="print"/>
                    <a:stretch>
                      <a:fillRect/>
                    </a:stretch>
                  </pic:blipFill>
                  <pic:spPr>
                    <a:xfrm>
                      <a:off x="0" y="0"/>
                      <a:ext cx="207454" cy="301751"/>
                    </a:xfrm>
                    <a:prstGeom prst="rect">
                      <a:avLst/>
                    </a:prstGeom>
                  </pic:spPr>
                </pic:pic>
              </a:graphicData>
            </a:graphic>
          </wp:anchor>
        </w:drawing>
      </w:r>
      <w:r w:rsidR="00E10349">
        <w:pict w14:anchorId="245B05EB">
          <v:group id="_x0000_s3702" style="position:absolute;margin-left:119.85pt;margin-top:9.7pt;width:415.55pt;height:184.9pt;z-index:-15373824;mso-wrap-distance-left:0;mso-wrap-distance-right:0;mso-position-horizontal-relative:page;mso-position-vertical-relative:text" coordorigin="2397,194" coordsize="8311,3698">
            <v:shape id="_x0000_s3705" style="position:absolute;left:2404;top:201;width:8296;height:3683" coordorigin="2405,202" coordsize="8296,3683" path="m10621,202r-8136,l2454,208r-26,17l2411,250r-6,32l2405,3804r6,31l2428,3861r26,17l2485,3884r8136,l10652,3878r25,-17l10695,3835r6,-31l10701,282r-6,-32l10677,225r-25,-17l10621,202xe" fillcolor="#f5f5f5" stroked="f">
              <v:path arrowok="t"/>
            </v:shape>
            <v:shape id="_x0000_s3704" style="position:absolute;left:2404;top:201;width:8296;height:3683" coordorigin="2405,202" coordsize="8296,3683" path="m2485,202r8136,l10652,208r25,17l10695,250r6,32l10701,3804r-6,31l10677,3861r-25,17l10621,3884r-8136,l2454,3878r-26,-17l2411,3835r-6,-31l2405,282r6,-32l2428,225r26,-17l2485,202xe" filled="f" strokecolor="#ccc">
              <v:path arrowok="t"/>
            </v:shape>
            <v:shape id="_x0000_s3703" type="#_x0000_t202" style="position:absolute;left:2424;top:217;width:8258;height:3652" filled="f" stroked="f">
              <v:textbox inset="0,0,0,0">
                <w:txbxContent>
                  <w:p w14:paraId="01C3911A" w14:textId="77777777" w:rsidR="00711A16" w:rsidRDefault="00711A16">
                    <w:pPr>
                      <w:spacing w:before="221"/>
                      <w:ind w:left="200"/>
                      <w:rPr>
                        <w:rFonts w:ascii="MS Gothic"/>
                      </w:rPr>
                    </w:pPr>
                    <w:r>
                      <w:rPr>
                        <w:rFonts w:ascii="MS Gothic"/>
                        <w:color w:val="333333"/>
                      </w:rPr>
                      <w:t>&lt;dependency&gt;</w:t>
                    </w:r>
                  </w:p>
                  <w:p w14:paraId="46A242D9"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59EB65B6" w14:textId="77777777" w:rsidR="00711A16" w:rsidRDefault="00711A16">
                    <w:pPr>
                      <w:spacing w:before="13"/>
                      <w:ind w:left="640"/>
                      <w:rPr>
                        <w:rFonts w:ascii="MS Gothic"/>
                      </w:rPr>
                    </w:pPr>
                    <w:r>
                      <w:rPr>
                        <w:rFonts w:ascii="MS Gothic"/>
                        <w:color w:val="333333"/>
                      </w:rPr>
                      <w:t>&lt;artifactId&gt;spring-boot-starter-test&lt;/artifactId&gt;</w:t>
                    </w:r>
                  </w:p>
                  <w:p w14:paraId="36A9D0A8" w14:textId="77777777" w:rsidR="00711A16" w:rsidRDefault="00711A16">
                    <w:pPr>
                      <w:spacing w:before="13"/>
                      <w:ind w:left="640"/>
                      <w:rPr>
                        <w:rFonts w:ascii="MS Gothic"/>
                      </w:rPr>
                    </w:pPr>
                    <w:r>
                      <w:rPr>
                        <w:rFonts w:ascii="MS Gothic"/>
                        <w:color w:val="333333"/>
                      </w:rPr>
                      <w:t>&lt;scope&gt;test&lt;/scope&gt;</w:t>
                    </w:r>
                  </w:p>
                  <w:p w14:paraId="2BB69932" w14:textId="77777777" w:rsidR="00711A16" w:rsidRDefault="00711A16">
                    <w:pPr>
                      <w:spacing w:before="12"/>
                      <w:ind w:left="640"/>
                      <w:rPr>
                        <w:rFonts w:ascii="MS Gothic"/>
                      </w:rPr>
                    </w:pPr>
                    <w:r>
                      <w:rPr>
                        <w:rFonts w:ascii="MS Gothic"/>
                        <w:color w:val="333333"/>
                      </w:rPr>
                      <w:t>&lt;exclusions&gt;</w:t>
                    </w:r>
                  </w:p>
                  <w:p w14:paraId="171FD6AD" w14:textId="77777777" w:rsidR="00711A16" w:rsidRDefault="00711A16">
                    <w:pPr>
                      <w:spacing w:before="13"/>
                      <w:ind w:left="1080"/>
                      <w:rPr>
                        <w:rFonts w:ascii="MS Gothic"/>
                      </w:rPr>
                    </w:pPr>
                    <w:r>
                      <w:rPr>
                        <w:rFonts w:ascii="MS Gothic"/>
                        <w:color w:val="333333"/>
                      </w:rPr>
                      <w:t>&lt;exclusion&gt;</w:t>
                    </w:r>
                  </w:p>
                  <w:p w14:paraId="3B7B7793" w14:textId="77777777" w:rsidR="00711A16" w:rsidRDefault="00711A16">
                    <w:pPr>
                      <w:spacing w:before="13"/>
                      <w:ind w:left="1520"/>
                      <w:rPr>
                        <w:rFonts w:ascii="MS Gothic"/>
                      </w:rPr>
                    </w:pPr>
                    <w:proofErr w:type="gramStart"/>
                    <w:r>
                      <w:rPr>
                        <w:rFonts w:ascii="MS Gothic"/>
                        <w:color w:val="333333"/>
                      </w:rPr>
                      <w:t>&lt;groupId&gt;org.junit.vintage</w:t>
                    </w:r>
                    <w:proofErr w:type="gramEnd"/>
                    <w:r>
                      <w:rPr>
                        <w:rFonts w:ascii="MS Gothic"/>
                        <w:color w:val="333333"/>
                      </w:rPr>
                      <w:t>&lt;/groupId&gt;</w:t>
                    </w:r>
                  </w:p>
                  <w:p w14:paraId="0AA71C3F" w14:textId="77777777" w:rsidR="00711A16" w:rsidRDefault="00711A16">
                    <w:pPr>
                      <w:spacing w:before="13"/>
                      <w:ind w:left="1520"/>
                      <w:rPr>
                        <w:rFonts w:ascii="MS Gothic"/>
                      </w:rPr>
                    </w:pPr>
                    <w:r>
                      <w:rPr>
                        <w:rFonts w:ascii="MS Gothic"/>
                        <w:color w:val="333333"/>
                      </w:rPr>
                      <w:t>&lt;artifactId&gt;junit-vintage-engine&lt;/artifactId&gt;</w:t>
                    </w:r>
                  </w:p>
                  <w:p w14:paraId="47F34832" w14:textId="77777777" w:rsidR="00711A16" w:rsidRDefault="00711A16">
                    <w:pPr>
                      <w:spacing w:before="13"/>
                      <w:ind w:left="1080"/>
                      <w:rPr>
                        <w:rFonts w:ascii="MS Gothic"/>
                      </w:rPr>
                    </w:pPr>
                    <w:r>
                      <w:rPr>
                        <w:rFonts w:ascii="MS Gothic"/>
                        <w:color w:val="333333"/>
                      </w:rPr>
                      <w:t>&lt;/exclusion&gt;</w:t>
                    </w:r>
                  </w:p>
                  <w:p w14:paraId="5B257F8D" w14:textId="77777777" w:rsidR="00711A16" w:rsidRDefault="00711A16">
                    <w:pPr>
                      <w:spacing w:before="13"/>
                      <w:ind w:left="640"/>
                      <w:rPr>
                        <w:rFonts w:ascii="MS Gothic"/>
                      </w:rPr>
                    </w:pPr>
                    <w:r>
                      <w:rPr>
                        <w:rFonts w:ascii="MS Gothic"/>
                        <w:color w:val="333333"/>
                      </w:rPr>
                      <w:t>&lt;/exclusions&gt;</w:t>
                    </w:r>
                  </w:p>
                  <w:p w14:paraId="489B38D0"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3242CB7A" w14:textId="77777777" w:rsidR="00A720EB" w:rsidRDefault="00A720EB">
      <w:pPr>
        <w:pStyle w:val="a3"/>
        <w:spacing w:before="9"/>
        <w:rPr>
          <w:sz w:val="23"/>
        </w:rPr>
      </w:pPr>
    </w:p>
    <w:p w14:paraId="4784E667" w14:textId="77777777" w:rsidR="00A720EB" w:rsidRDefault="0030286B">
      <w:pPr>
        <w:pStyle w:val="3"/>
        <w:numPr>
          <w:ilvl w:val="2"/>
          <w:numId w:val="68"/>
        </w:numPr>
        <w:tabs>
          <w:tab w:val="left" w:pos="1003"/>
        </w:tabs>
        <w:spacing w:before="105"/>
        <w:ind w:left="1002" w:hanging="879"/>
      </w:pPr>
      <w:bookmarkStart w:id="454" w:name="4.26.1._Test_Scope_Dependencies"/>
      <w:bookmarkStart w:id="455" w:name="_Toc54423811"/>
      <w:bookmarkEnd w:id="454"/>
      <w:r>
        <w:rPr>
          <w:color w:val="333333"/>
          <w:spacing w:val="-3"/>
          <w:w w:val="110"/>
        </w:rPr>
        <w:t xml:space="preserve">Test </w:t>
      </w:r>
      <w:r>
        <w:rPr>
          <w:color w:val="333333"/>
          <w:w w:val="110"/>
        </w:rPr>
        <w:t>Scope</w:t>
      </w:r>
      <w:r>
        <w:rPr>
          <w:color w:val="333333"/>
          <w:spacing w:val="-10"/>
          <w:w w:val="110"/>
        </w:rPr>
        <w:t xml:space="preserve"> </w:t>
      </w:r>
      <w:r>
        <w:rPr>
          <w:color w:val="333333"/>
          <w:w w:val="110"/>
        </w:rPr>
        <w:t>Dependencies</w:t>
      </w:r>
      <w:bookmarkEnd w:id="455"/>
    </w:p>
    <w:p w14:paraId="5087EA83" w14:textId="77777777" w:rsidR="00A720EB" w:rsidRDefault="0030286B">
      <w:pPr>
        <w:pStyle w:val="a3"/>
        <w:spacing w:before="243"/>
        <w:ind w:left="124"/>
      </w:pPr>
      <w:r>
        <w:rPr>
          <w:color w:val="333333"/>
          <w:w w:val="110"/>
        </w:rPr>
        <w:t>The</w:t>
      </w:r>
      <w:r>
        <w:rPr>
          <w:color w:val="333333"/>
          <w:spacing w:val="-19"/>
          <w:w w:val="110"/>
        </w:rPr>
        <w:t xml:space="preserve"> </w:t>
      </w:r>
      <w:r>
        <w:rPr>
          <w:rFonts w:ascii="MS Gothic" w:hAnsi="MS Gothic"/>
          <w:color w:val="B02045"/>
          <w:w w:val="110"/>
        </w:rPr>
        <w:t>spring-boot-starter-test</w:t>
      </w:r>
      <w:r>
        <w:rPr>
          <w:rFonts w:ascii="MS Gothic" w:hAnsi="MS Gothic"/>
          <w:color w:val="B02045"/>
          <w:spacing w:val="-83"/>
          <w:w w:val="110"/>
        </w:rPr>
        <w:t xml:space="preserve"> </w:t>
      </w:r>
      <w:r>
        <w:rPr>
          <w:color w:val="333333"/>
          <w:w w:val="110"/>
        </w:rPr>
        <w:t>“Starter”</w:t>
      </w:r>
      <w:r>
        <w:rPr>
          <w:color w:val="333333"/>
          <w:spacing w:val="-18"/>
          <w:w w:val="110"/>
        </w:rPr>
        <w:t xml:space="preserve"> </w:t>
      </w:r>
      <w:r>
        <w:rPr>
          <w:color w:val="333333"/>
          <w:w w:val="110"/>
        </w:rPr>
        <w:t>(in</w:t>
      </w:r>
      <w:r>
        <w:rPr>
          <w:color w:val="333333"/>
          <w:spacing w:val="-19"/>
          <w:w w:val="110"/>
        </w:rPr>
        <w:t xml:space="preserve"> </w:t>
      </w:r>
      <w:r>
        <w:rPr>
          <w:color w:val="333333"/>
          <w:w w:val="110"/>
        </w:rPr>
        <w:t>the</w:t>
      </w:r>
      <w:r>
        <w:rPr>
          <w:color w:val="333333"/>
          <w:spacing w:val="-19"/>
          <w:w w:val="110"/>
        </w:rPr>
        <w:t xml:space="preserve"> </w:t>
      </w:r>
      <w:r>
        <w:rPr>
          <w:rFonts w:ascii="MS Gothic" w:hAnsi="MS Gothic"/>
          <w:color w:val="B02045"/>
          <w:w w:val="110"/>
        </w:rPr>
        <w:t>test</w:t>
      </w:r>
      <w:r>
        <w:rPr>
          <w:rFonts w:ascii="MS Gothic" w:hAnsi="MS Gothic"/>
          <w:color w:val="B02045"/>
          <w:spacing w:val="-83"/>
          <w:w w:val="110"/>
        </w:rPr>
        <w:t xml:space="preserve"> </w:t>
      </w:r>
      <w:r>
        <w:rPr>
          <w:rFonts w:ascii="MS Gothic" w:hAnsi="MS Gothic"/>
          <w:color w:val="B02045"/>
          <w:w w:val="110"/>
        </w:rPr>
        <w:t>scope</w:t>
      </w:r>
      <w:r>
        <w:rPr>
          <w:color w:val="333333"/>
          <w:w w:val="110"/>
        </w:rPr>
        <w:t>)</w:t>
      </w:r>
      <w:r>
        <w:rPr>
          <w:color w:val="333333"/>
          <w:spacing w:val="-18"/>
          <w:w w:val="110"/>
        </w:rPr>
        <w:t xml:space="preserve"> </w:t>
      </w:r>
      <w:r>
        <w:rPr>
          <w:color w:val="333333"/>
          <w:w w:val="110"/>
        </w:rPr>
        <w:t>contains</w:t>
      </w:r>
      <w:r>
        <w:rPr>
          <w:color w:val="333333"/>
          <w:spacing w:val="-19"/>
          <w:w w:val="110"/>
        </w:rPr>
        <w:t xml:space="preserve"> </w:t>
      </w:r>
      <w:r>
        <w:rPr>
          <w:color w:val="333333"/>
          <w:w w:val="110"/>
        </w:rPr>
        <w:t>the</w:t>
      </w:r>
      <w:r>
        <w:rPr>
          <w:color w:val="333333"/>
          <w:spacing w:val="-18"/>
          <w:w w:val="110"/>
        </w:rPr>
        <w:t xml:space="preserve"> </w:t>
      </w:r>
      <w:r>
        <w:rPr>
          <w:color w:val="333333"/>
          <w:w w:val="110"/>
        </w:rPr>
        <w:t>following</w:t>
      </w:r>
      <w:r>
        <w:rPr>
          <w:color w:val="333333"/>
          <w:spacing w:val="-18"/>
          <w:w w:val="110"/>
        </w:rPr>
        <w:t xml:space="preserve"> </w:t>
      </w:r>
      <w:r>
        <w:rPr>
          <w:color w:val="333333"/>
          <w:w w:val="110"/>
        </w:rPr>
        <w:t>provided</w:t>
      </w:r>
      <w:r>
        <w:rPr>
          <w:color w:val="333333"/>
          <w:spacing w:val="-19"/>
          <w:w w:val="110"/>
        </w:rPr>
        <w:t xml:space="preserve"> </w:t>
      </w:r>
      <w:r>
        <w:rPr>
          <w:color w:val="333333"/>
          <w:w w:val="110"/>
        </w:rPr>
        <w:t>libraries:</w:t>
      </w:r>
    </w:p>
    <w:p w14:paraId="093C8F6A" w14:textId="77777777" w:rsidR="00A720EB" w:rsidRDefault="00A720EB">
      <w:pPr>
        <w:sectPr w:rsidR="00A720EB">
          <w:pgSz w:w="11910" w:h="16840"/>
          <w:pgMar w:top="700" w:right="840" w:bottom="520" w:left="840" w:header="0" w:footer="323" w:gutter="0"/>
          <w:cols w:space="720"/>
        </w:sectPr>
      </w:pPr>
    </w:p>
    <w:p w14:paraId="73569797" w14:textId="77777777" w:rsidR="00A720EB" w:rsidRDefault="00E10349">
      <w:pPr>
        <w:pStyle w:val="a6"/>
        <w:numPr>
          <w:ilvl w:val="0"/>
          <w:numId w:val="33"/>
        </w:numPr>
        <w:tabs>
          <w:tab w:val="left" w:pos="485"/>
        </w:tabs>
        <w:spacing w:before="102" w:line="307" w:lineRule="auto"/>
        <w:ind w:right="127"/>
        <w:rPr>
          <w:sz w:val="21"/>
        </w:rPr>
      </w:pPr>
      <w:hyperlink r:id="rId320">
        <w:r w:rsidR="0030286B">
          <w:rPr>
            <w:color w:val="418BCA"/>
            <w:w w:val="110"/>
            <w:sz w:val="21"/>
          </w:rPr>
          <w:t>JUnit 5</w:t>
        </w:r>
      </w:hyperlink>
      <w:r w:rsidR="0030286B">
        <w:rPr>
          <w:color w:val="418BCA"/>
          <w:w w:val="110"/>
          <w:sz w:val="21"/>
        </w:rPr>
        <w:t xml:space="preserve"> </w:t>
      </w:r>
      <w:r w:rsidR="0030286B">
        <w:rPr>
          <w:color w:val="333333"/>
          <w:w w:val="110"/>
          <w:sz w:val="21"/>
        </w:rPr>
        <w:t>(including the vintage engine for backward compatibility with JUnit 4): The de-facto standard for unit testing Java</w:t>
      </w:r>
      <w:r w:rsidR="0030286B">
        <w:rPr>
          <w:color w:val="333333"/>
          <w:spacing w:val="16"/>
          <w:w w:val="110"/>
          <w:sz w:val="21"/>
        </w:rPr>
        <w:t xml:space="preserve"> </w:t>
      </w:r>
      <w:r w:rsidR="0030286B">
        <w:rPr>
          <w:color w:val="333333"/>
          <w:w w:val="110"/>
          <w:sz w:val="21"/>
        </w:rPr>
        <w:t>applications.</w:t>
      </w:r>
    </w:p>
    <w:p w14:paraId="5C028400" w14:textId="77777777" w:rsidR="00A720EB" w:rsidRDefault="00E10349">
      <w:pPr>
        <w:pStyle w:val="a6"/>
        <w:numPr>
          <w:ilvl w:val="0"/>
          <w:numId w:val="33"/>
        </w:numPr>
        <w:tabs>
          <w:tab w:val="left" w:pos="485"/>
        </w:tabs>
        <w:spacing w:before="121" w:line="307" w:lineRule="auto"/>
        <w:ind w:right="133"/>
        <w:rPr>
          <w:sz w:val="21"/>
        </w:rPr>
      </w:pPr>
      <w:hyperlink r:id="rId321" w:anchor="integration-testing">
        <w:r w:rsidR="0030286B">
          <w:rPr>
            <w:color w:val="418BCA"/>
            <w:w w:val="110"/>
            <w:sz w:val="21"/>
          </w:rPr>
          <w:t xml:space="preserve">Spring </w:t>
        </w:r>
        <w:r w:rsidR="0030286B">
          <w:rPr>
            <w:color w:val="418BCA"/>
            <w:spacing w:val="-3"/>
            <w:w w:val="110"/>
            <w:sz w:val="21"/>
          </w:rPr>
          <w:t>Test</w:t>
        </w:r>
      </w:hyperlink>
      <w:r w:rsidR="0030286B">
        <w:rPr>
          <w:color w:val="418BCA"/>
          <w:spacing w:val="-3"/>
          <w:w w:val="110"/>
          <w:sz w:val="21"/>
        </w:rPr>
        <w:t xml:space="preserve"> </w:t>
      </w:r>
      <w:r w:rsidR="0030286B">
        <w:rPr>
          <w:color w:val="333333"/>
          <w:w w:val="110"/>
          <w:sz w:val="21"/>
        </w:rPr>
        <w:t xml:space="preserve">&amp; Spring Boot Test: Utilities and integration test support for </w:t>
      </w:r>
      <w:proofErr w:type="gramStart"/>
      <w:r w:rsidR="0030286B">
        <w:rPr>
          <w:color w:val="333333"/>
          <w:w w:val="110"/>
          <w:sz w:val="21"/>
        </w:rPr>
        <w:t>Spring  Boot</w:t>
      </w:r>
      <w:proofErr w:type="gramEnd"/>
      <w:r w:rsidR="0030286B">
        <w:rPr>
          <w:color w:val="333333"/>
          <w:w w:val="110"/>
          <w:sz w:val="21"/>
        </w:rPr>
        <w:t xml:space="preserve"> applications.</w:t>
      </w:r>
    </w:p>
    <w:p w14:paraId="678ECF7C" w14:textId="77777777" w:rsidR="00A720EB" w:rsidRDefault="00E10349">
      <w:pPr>
        <w:pStyle w:val="a6"/>
        <w:numPr>
          <w:ilvl w:val="0"/>
          <w:numId w:val="33"/>
        </w:numPr>
        <w:tabs>
          <w:tab w:val="left" w:pos="485"/>
        </w:tabs>
        <w:spacing w:before="121"/>
        <w:rPr>
          <w:sz w:val="21"/>
        </w:rPr>
      </w:pPr>
      <w:hyperlink r:id="rId322">
        <w:r w:rsidR="0030286B">
          <w:rPr>
            <w:color w:val="418BCA"/>
            <w:w w:val="110"/>
            <w:sz w:val="21"/>
          </w:rPr>
          <w:t>AssertJ</w:t>
        </w:r>
      </w:hyperlink>
      <w:r w:rsidR="0030286B">
        <w:rPr>
          <w:color w:val="333333"/>
          <w:w w:val="110"/>
          <w:sz w:val="21"/>
        </w:rPr>
        <w:t>: A fluent assertion</w:t>
      </w:r>
      <w:r w:rsidR="0030286B">
        <w:rPr>
          <w:color w:val="333333"/>
          <w:spacing w:val="13"/>
          <w:w w:val="110"/>
          <w:sz w:val="21"/>
        </w:rPr>
        <w:t xml:space="preserve"> </w:t>
      </w:r>
      <w:r w:rsidR="0030286B">
        <w:rPr>
          <w:color w:val="333333"/>
          <w:spacing w:val="-4"/>
          <w:w w:val="110"/>
          <w:sz w:val="21"/>
        </w:rPr>
        <w:t>library.</w:t>
      </w:r>
    </w:p>
    <w:p w14:paraId="6CBABFEE" w14:textId="77777777" w:rsidR="00A720EB" w:rsidRDefault="00E10349">
      <w:pPr>
        <w:pStyle w:val="a6"/>
        <w:numPr>
          <w:ilvl w:val="0"/>
          <w:numId w:val="33"/>
        </w:numPr>
        <w:tabs>
          <w:tab w:val="left" w:pos="485"/>
        </w:tabs>
        <w:spacing w:before="189"/>
        <w:rPr>
          <w:sz w:val="21"/>
        </w:rPr>
      </w:pPr>
      <w:hyperlink r:id="rId323">
        <w:r w:rsidR="0030286B">
          <w:rPr>
            <w:color w:val="418BCA"/>
            <w:w w:val="110"/>
            <w:sz w:val="21"/>
          </w:rPr>
          <w:t>Hamcrest</w:t>
        </w:r>
      </w:hyperlink>
      <w:r w:rsidR="0030286B">
        <w:rPr>
          <w:color w:val="333333"/>
          <w:w w:val="110"/>
          <w:sz w:val="21"/>
        </w:rPr>
        <w:t>: A library of matcher objects (also known as constraints or</w:t>
      </w:r>
      <w:r w:rsidR="0030286B">
        <w:rPr>
          <w:color w:val="333333"/>
          <w:spacing w:val="32"/>
          <w:w w:val="110"/>
          <w:sz w:val="21"/>
        </w:rPr>
        <w:t xml:space="preserve"> </w:t>
      </w:r>
      <w:r w:rsidR="0030286B">
        <w:rPr>
          <w:color w:val="333333"/>
          <w:w w:val="110"/>
          <w:sz w:val="21"/>
        </w:rPr>
        <w:t>predicates).</w:t>
      </w:r>
    </w:p>
    <w:p w14:paraId="5361FF47" w14:textId="77777777" w:rsidR="00A720EB" w:rsidRDefault="00E10349">
      <w:pPr>
        <w:pStyle w:val="a6"/>
        <w:numPr>
          <w:ilvl w:val="0"/>
          <w:numId w:val="33"/>
        </w:numPr>
        <w:tabs>
          <w:tab w:val="left" w:pos="485"/>
        </w:tabs>
        <w:spacing w:before="189"/>
        <w:rPr>
          <w:sz w:val="21"/>
        </w:rPr>
      </w:pPr>
      <w:hyperlink r:id="rId324">
        <w:r w:rsidR="0030286B">
          <w:rPr>
            <w:color w:val="418BCA"/>
            <w:w w:val="115"/>
            <w:sz w:val="21"/>
          </w:rPr>
          <w:t>Mockito</w:t>
        </w:r>
      </w:hyperlink>
      <w:r w:rsidR="0030286B">
        <w:rPr>
          <w:color w:val="333333"/>
          <w:w w:val="115"/>
          <w:sz w:val="21"/>
        </w:rPr>
        <w:t>: A Java mocking</w:t>
      </w:r>
      <w:r w:rsidR="0030286B">
        <w:rPr>
          <w:color w:val="333333"/>
          <w:spacing w:val="-2"/>
          <w:w w:val="115"/>
          <w:sz w:val="21"/>
        </w:rPr>
        <w:t xml:space="preserve"> </w:t>
      </w:r>
      <w:r w:rsidR="0030286B">
        <w:rPr>
          <w:color w:val="333333"/>
          <w:w w:val="115"/>
          <w:sz w:val="21"/>
        </w:rPr>
        <w:t>framework.</w:t>
      </w:r>
    </w:p>
    <w:p w14:paraId="718B1D55" w14:textId="77777777" w:rsidR="00A720EB" w:rsidRDefault="00E10349">
      <w:pPr>
        <w:pStyle w:val="a6"/>
        <w:numPr>
          <w:ilvl w:val="0"/>
          <w:numId w:val="33"/>
        </w:numPr>
        <w:tabs>
          <w:tab w:val="left" w:pos="485"/>
        </w:tabs>
        <w:spacing w:before="190"/>
        <w:rPr>
          <w:sz w:val="21"/>
        </w:rPr>
      </w:pPr>
      <w:hyperlink r:id="rId325">
        <w:r w:rsidR="0030286B">
          <w:rPr>
            <w:color w:val="418BCA"/>
            <w:w w:val="115"/>
            <w:sz w:val="21"/>
          </w:rPr>
          <w:t>JSONassert</w:t>
        </w:r>
      </w:hyperlink>
      <w:r w:rsidR="0030286B">
        <w:rPr>
          <w:color w:val="333333"/>
          <w:w w:val="115"/>
          <w:sz w:val="21"/>
        </w:rPr>
        <w:t>: An assertion library for</w:t>
      </w:r>
      <w:r w:rsidR="0030286B">
        <w:rPr>
          <w:color w:val="333333"/>
          <w:spacing w:val="-4"/>
          <w:w w:val="115"/>
          <w:sz w:val="21"/>
        </w:rPr>
        <w:t xml:space="preserve"> </w:t>
      </w:r>
      <w:r w:rsidR="0030286B">
        <w:rPr>
          <w:color w:val="333333"/>
          <w:w w:val="115"/>
          <w:sz w:val="21"/>
        </w:rPr>
        <w:t>JSON.</w:t>
      </w:r>
    </w:p>
    <w:p w14:paraId="00F13E38" w14:textId="77777777" w:rsidR="00A720EB" w:rsidRDefault="00E10349">
      <w:pPr>
        <w:pStyle w:val="a6"/>
        <w:numPr>
          <w:ilvl w:val="0"/>
          <w:numId w:val="33"/>
        </w:numPr>
        <w:tabs>
          <w:tab w:val="left" w:pos="485"/>
        </w:tabs>
        <w:spacing w:before="189"/>
        <w:rPr>
          <w:sz w:val="21"/>
        </w:rPr>
      </w:pPr>
      <w:hyperlink r:id="rId326">
        <w:r w:rsidR="0030286B">
          <w:rPr>
            <w:color w:val="418BCA"/>
            <w:w w:val="110"/>
            <w:sz w:val="21"/>
          </w:rPr>
          <w:t>JsonPath</w:t>
        </w:r>
      </w:hyperlink>
      <w:r w:rsidR="0030286B">
        <w:rPr>
          <w:color w:val="333333"/>
          <w:w w:val="110"/>
          <w:sz w:val="21"/>
        </w:rPr>
        <w:t>: XPath for</w:t>
      </w:r>
      <w:r w:rsidR="0030286B">
        <w:rPr>
          <w:color w:val="333333"/>
          <w:spacing w:val="10"/>
          <w:w w:val="110"/>
          <w:sz w:val="21"/>
        </w:rPr>
        <w:t xml:space="preserve"> </w:t>
      </w:r>
      <w:r w:rsidR="0030286B">
        <w:rPr>
          <w:color w:val="333333"/>
          <w:w w:val="110"/>
          <w:sz w:val="21"/>
        </w:rPr>
        <w:t>JSON.</w:t>
      </w:r>
    </w:p>
    <w:p w14:paraId="41EC9308" w14:textId="77777777" w:rsidR="00A720EB" w:rsidRDefault="00A720EB">
      <w:pPr>
        <w:pStyle w:val="a3"/>
        <w:spacing w:before="5"/>
        <w:rPr>
          <w:sz w:val="26"/>
        </w:rPr>
      </w:pPr>
    </w:p>
    <w:p w14:paraId="2BD16596" w14:textId="77777777" w:rsidR="00A720EB" w:rsidRDefault="0030286B">
      <w:pPr>
        <w:pStyle w:val="a3"/>
        <w:spacing w:line="307" w:lineRule="auto"/>
        <w:ind w:left="124" w:right="131"/>
        <w:jc w:val="both"/>
      </w:pPr>
      <w:r>
        <w:rPr>
          <w:color w:val="333333"/>
          <w:spacing w:val="-7"/>
          <w:w w:val="110"/>
        </w:rPr>
        <w:t xml:space="preserve">We </w:t>
      </w:r>
      <w:r>
        <w:rPr>
          <w:color w:val="333333"/>
          <w:w w:val="110"/>
        </w:rPr>
        <w:t>generally find these common libraries to be useful when writing tests. If these libraries do not suit your needs, you can add additional test dependencies of your</w:t>
      </w:r>
      <w:r>
        <w:rPr>
          <w:color w:val="333333"/>
          <w:spacing w:val="39"/>
          <w:w w:val="110"/>
        </w:rPr>
        <w:t xml:space="preserve"> </w:t>
      </w:r>
      <w:r>
        <w:rPr>
          <w:color w:val="333333"/>
          <w:w w:val="110"/>
        </w:rPr>
        <w:t>own.</w:t>
      </w:r>
    </w:p>
    <w:p w14:paraId="1B32FBF8" w14:textId="77777777" w:rsidR="00A720EB" w:rsidRDefault="00A720EB">
      <w:pPr>
        <w:pStyle w:val="a3"/>
        <w:spacing w:before="8"/>
        <w:rPr>
          <w:sz w:val="25"/>
        </w:rPr>
      </w:pPr>
    </w:p>
    <w:p w14:paraId="0DF90FB8" w14:textId="77777777" w:rsidR="00A720EB" w:rsidRDefault="0030286B">
      <w:pPr>
        <w:pStyle w:val="3"/>
        <w:numPr>
          <w:ilvl w:val="2"/>
          <w:numId w:val="68"/>
        </w:numPr>
        <w:tabs>
          <w:tab w:val="left" w:pos="1003"/>
        </w:tabs>
        <w:spacing w:before="1"/>
        <w:ind w:left="1002" w:hanging="879"/>
      </w:pPr>
      <w:bookmarkStart w:id="456" w:name="4.26.2._Testing_Spring_Applications"/>
      <w:bookmarkStart w:id="457" w:name="_Toc54423812"/>
      <w:bookmarkEnd w:id="456"/>
      <w:r>
        <w:rPr>
          <w:color w:val="333333"/>
          <w:w w:val="110"/>
        </w:rPr>
        <w:t>Testing Spring</w:t>
      </w:r>
      <w:r>
        <w:rPr>
          <w:color w:val="333333"/>
          <w:spacing w:val="-14"/>
          <w:w w:val="110"/>
        </w:rPr>
        <w:t xml:space="preserve"> </w:t>
      </w:r>
      <w:r>
        <w:rPr>
          <w:color w:val="333333"/>
          <w:w w:val="110"/>
        </w:rPr>
        <w:t>Applications</w:t>
      </w:r>
      <w:bookmarkEnd w:id="457"/>
    </w:p>
    <w:p w14:paraId="26DCC948" w14:textId="77777777" w:rsidR="00A720EB" w:rsidRDefault="0030286B">
      <w:pPr>
        <w:pStyle w:val="a3"/>
        <w:spacing w:before="253" w:line="285" w:lineRule="auto"/>
        <w:ind w:left="124" w:right="130"/>
        <w:jc w:val="both"/>
      </w:pPr>
      <w:r>
        <w:rPr>
          <w:color w:val="333333"/>
          <w:w w:val="110"/>
        </w:rPr>
        <w:t xml:space="preserve">One of the major advantages of dependency injection is that it should make your code easier to unit test. </w:t>
      </w:r>
      <w:r>
        <w:rPr>
          <w:color w:val="333333"/>
          <w:spacing w:val="-6"/>
          <w:w w:val="110"/>
        </w:rPr>
        <w:t xml:space="preserve">You </w:t>
      </w:r>
      <w:r>
        <w:rPr>
          <w:color w:val="333333"/>
          <w:w w:val="110"/>
        </w:rPr>
        <w:t xml:space="preserve">can instantiate objects </w:t>
      </w:r>
      <w:r>
        <w:rPr>
          <w:color w:val="333333"/>
          <w:spacing w:val="-3"/>
          <w:w w:val="110"/>
        </w:rPr>
        <w:t xml:space="preserve">by </w:t>
      </w:r>
      <w:r>
        <w:rPr>
          <w:color w:val="333333"/>
          <w:w w:val="110"/>
        </w:rPr>
        <w:t xml:space="preserve">using the </w:t>
      </w:r>
      <w:r>
        <w:rPr>
          <w:rFonts w:ascii="MS Gothic"/>
          <w:color w:val="B02045"/>
          <w:w w:val="110"/>
        </w:rPr>
        <w:t xml:space="preserve">new </w:t>
      </w:r>
      <w:r>
        <w:rPr>
          <w:color w:val="333333"/>
          <w:w w:val="110"/>
        </w:rPr>
        <w:t xml:space="preserve">operator without even involving Spring. </w:t>
      </w:r>
      <w:r>
        <w:rPr>
          <w:color w:val="333333"/>
          <w:spacing w:val="-6"/>
          <w:w w:val="110"/>
        </w:rPr>
        <w:t xml:space="preserve">You </w:t>
      </w:r>
      <w:r>
        <w:rPr>
          <w:color w:val="333333"/>
          <w:w w:val="110"/>
        </w:rPr>
        <w:t xml:space="preserve">can also use </w:t>
      </w:r>
      <w:r>
        <w:rPr>
          <w:rFonts w:ascii="Palatino Linotype"/>
          <w:i/>
          <w:color w:val="333333"/>
          <w:w w:val="110"/>
        </w:rPr>
        <w:t xml:space="preserve">mock objects </w:t>
      </w:r>
      <w:r>
        <w:rPr>
          <w:color w:val="333333"/>
          <w:w w:val="110"/>
        </w:rPr>
        <w:t>instead of real</w:t>
      </w:r>
      <w:r>
        <w:rPr>
          <w:color w:val="333333"/>
          <w:spacing w:val="16"/>
          <w:w w:val="110"/>
        </w:rPr>
        <w:t xml:space="preserve"> </w:t>
      </w:r>
      <w:r>
        <w:rPr>
          <w:color w:val="333333"/>
          <w:w w:val="110"/>
        </w:rPr>
        <w:t>dependencies.</w:t>
      </w:r>
    </w:p>
    <w:p w14:paraId="7F2294E9" w14:textId="77777777" w:rsidR="00A720EB" w:rsidRDefault="0030286B">
      <w:pPr>
        <w:pStyle w:val="a3"/>
        <w:spacing w:before="237" w:line="295" w:lineRule="auto"/>
        <w:ind w:left="124" w:right="130"/>
        <w:jc w:val="both"/>
      </w:pPr>
      <w:r>
        <w:rPr>
          <w:color w:val="333333"/>
          <w:w w:val="110"/>
        </w:rPr>
        <w:t xml:space="preserve">Often, you need to move beyond unit testing and start integration testing (with a Spring </w:t>
      </w:r>
      <w:r>
        <w:rPr>
          <w:rFonts w:ascii="MS Gothic"/>
          <w:color w:val="B02045"/>
          <w:w w:val="110"/>
        </w:rPr>
        <w:t>ApplicationContext</w:t>
      </w:r>
      <w:r>
        <w:rPr>
          <w:color w:val="333333"/>
          <w:w w:val="110"/>
        </w:rPr>
        <w:t>). It is useful to be able to perform integration testing without requiring deployment of your application or needing to connect to other infrastructure.</w:t>
      </w:r>
    </w:p>
    <w:p w14:paraId="6CB7B2F7" w14:textId="77777777" w:rsidR="00A720EB" w:rsidRDefault="0030286B">
      <w:pPr>
        <w:pStyle w:val="a3"/>
        <w:spacing w:before="250" w:line="290" w:lineRule="auto"/>
        <w:ind w:left="124" w:right="122"/>
        <w:jc w:val="both"/>
      </w:pPr>
      <w:r>
        <w:rPr>
          <w:color w:val="333333"/>
          <w:w w:val="110"/>
        </w:rPr>
        <w:t xml:space="preserve">The Spring Framework includes a dedicated test module for such integration testing.  </w:t>
      </w:r>
      <w:r>
        <w:rPr>
          <w:color w:val="333333"/>
          <w:spacing w:val="-6"/>
          <w:w w:val="110"/>
        </w:rPr>
        <w:t>You</w:t>
      </w:r>
      <w:r>
        <w:rPr>
          <w:color w:val="333333"/>
          <w:spacing w:val="38"/>
          <w:w w:val="110"/>
        </w:rPr>
        <w:t xml:space="preserve"> </w:t>
      </w:r>
      <w:proofErr w:type="gramStart"/>
      <w:r>
        <w:rPr>
          <w:color w:val="333333"/>
          <w:w w:val="110"/>
        </w:rPr>
        <w:t xml:space="preserve">can  </w:t>
      </w:r>
      <w:r>
        <w:rPr>
          <w:color w:val="333333"/>
          <w:w w:val="105"/>
        </w:rPr>
        <w:t>declare</w:t>
      </w:r>
      <w:proofErr w:type="gramEnd"/>
      <w:r>
        <w:rPr>
          <w:color w:val="333333"/>
          <w:w w:val="105"/>
        </w:rPr>
        <w:t xml:space="preserve"> a dependency directly to </w:t>
      </w:r>
      <w:r>
        <w:rPr>
          <w:rFonts w:ascii="MS Gothic" w:hAnsi="MS Gothic"/>
          <w:color w:val="B02045"/>
          <w:w w:val="105"/>
        </w:rPr>
        <w:t xml:space="preserve">org.springframework:spring-test </w:t>
      </w:r>
      <w:r>
        <w:rPr>
          <w:color w:val="333333"/>
          <w:w w:val="105"/>
        </w:rPr>
        <w:t xml:space="preserve">or use the </w:t>
      </w:r>
      <w:r>
        <w:rPr>
          <w:rFonts w:ascii="MS Gothic" w:hAnsi="MS Gothic"/>
          <w:color w:val="B02045"/>
          <w:w w:val="105"/>
        </w:rPr>
        <w:t xml:space="preserve">spring-boot-starter- </w:t>
      </w:r>
      <w:r>
        <w:rPr>
          <w:rFonts w:ascii="MS Gothic" w:hAnsi="MS Gothic"/>
          <w:color w:val="B02045"/>
          <w:w w:val="110"/>
        </w:rPr>
        <w:t>test</w:t>
      </w:r>
      <w:r>
        <w:rPr>
          <w:rFonts w:ascii="MS Gothic" w:hAnsi="MS Gothic"/>
          <w:color w:val="B02045"/>
          <w:spacing w:val="-48"/>
          <w:w w:val="110"/>
        </w:rPr>
        <w:t xml:space="preserve"> </w:t>
      </w:r>
      <w:r>
        <w:rPr>
          <w:color w:val="333333"/>
          <w:w w:val="110"/>
        </w:rPr>
        <w:t xml:space="preserve">“Starter” to pull it in </w:t>
      </w:r>
      <w:r>
        <w:rPr>
          <w:color w:val="333333"/>
          <w:spacing w:val="-3"/>
          <w:w w:val="110"/>
        </w:rPr>
        <w:t>transitively.</w:t>
      </w:r>
    </w:p>
    <w:p w14:paraId="5E59A58A" w14:textId="77777777" w:rsidR="00A720EB" w:rsidRDefault="0030286B">
      <w:pPr>
        <w:pStyle w:val="a3"/>
        <w:spacing w:before="227" w:line="290" w:lineRule="auto"/>
        <w:ind w:left="124" w:right="122"/>
        <w:jc w:val="both"/>
      </w:pPr>
      <w:r>
        <w:rPr>
          <w:color w:val="333333"/>
          <w:w w:val="110"/>
        </w:rPr>
        <w:t xml:space="preserve">If you have not used the </w:t>
      </w:r>
      <w:r>
        <w:rPr>
          <w:rFonts w:ascii="MS Gothic"/>
          <w:color w:val="B02045"/>
          <w:w w:val="110"/>
        </w:rPr>
        <w:t xml:space="preserve">spring-test </w:t>
      </w:r>
      <w:r>
        <w:rPr>
          <w:color w:val="333333"/>
          <w:w w:val="110"/>
        </w:rPr>
        <w:t xml:space="preserve">module before, you should start </w:t>
      </w:r>
      <w:r>
        <w:rPr>
          <w:color w:val="333333"/>
          <w:spacing w:val="-3"/>
          <w:w w:val="110"/>
        </w:rPr>
        <w:t xml:space="preserve">by </w:t>
      </w:r>
      <w:r>
        <w:rPr>
          <w:color w:val="333333"/>
          <w:w w:val="110"/>
        </w:rPr>
        <w:t xml:space="preserve">reading the </w:t>
      </w:r>
      <w:hyperlink r:id="rId327" w:anchor="testing">
        <w:r>
          <w:rPr>
            <w:color w:val="418BCA"/>
            <w:w w:val="110"/>
          </w:rPr>
          <w:t>relevant</w:t>
        </w:r>
      </w:hyperlink>
      <w:r>
        <w:rPr>
          <w:color w:val="418BCA"/>
          <w:w w:val="110"/>
        </w:rPr>
        <w:t xml:space="preserve"> </w:t>
      </w:r>
      <w:hyperlink r:id="rId328" w:anchor="testing">
        <w:r>
          <w:rPr>
            <w:color w:val="418BCA"/>
            <w:w w:val="110"/>
          </w:rPr>
          <w:t xml:space="preserve">section </w:t>
        </w:r>
      </w:hyperlink>
      <w:r>
        <w:rPr>
          <w:color w:val="333333"/>
          <w:w w:val="110"/>
        </w:rPr>
        <w:t>of the Spring Framework reference</w:t>
      </w:r>
      <w:r>
        <w:rPr>
          <w:color w:val="333333"/>
          <w:spacing w:val="21"/>
          <w:w w:val="110"/>
        </w:rPr>
        <w:t xml:space="preserve"> </w:t>
      </w:r>
      <w:r>
        <w:rPr>
          <w:color w:val="333333"/>
          <w:w w:val="110"/>
        </w:rPr>
        <w:t>documentation.</w:t>
      </w:r>
    </w:p>
    <w:p w14:paraId="30308A0F" w14:textId="77777777" w:rsidR="00A720EB" w:rsidRDefault="00A720EB">
      <w:pPr>
        <w:pStyle w:val="a3"/>
        <w:spacing w:before="3"/>
        <w:rPr>
          <w:sz w:val="27"/>
        </w:rPr>
      </w:pPr>
    </w:p>
    <w:p w14:paraId="512D1CA4" w14:textId="77777777" w:rsidR="00A720EB" w:rsidRDefault="0030286B">
      <w:pPr>
        <w:pStyle w:val="3"/>
        <w:numPr>
          <w:ilvl w:val="2"/>
          <w:numId w:val="68"/>
        </w:numPr>
        <w:tabs>
          <w:tab w:val="left" w:pos="1003"/>
        </w:tabs>
        <w:ind w:left="1002" w:hanging="879"/>
      </w:pPr>
      <w:bookmarkStart w:id="458" w:name="4.26.3._Testing_Spring_Boot_Applications"/>
      <w:bookmarkStart w:id="459" w:name="_Toc54423813"/>
      <w:bookmarkEnd w:id="458"/>
      <w:r>
        <w:rPr>
          <w:color w:val="333333"/>
          <w:w w:val="110"/>
        </w:rPr>
        <w:t>Testing Spring Boot</w:t>
      </w:r>
      <w:r>
        <w:rPr>
          <w:color w:val="333333"/>
          <w:spacing w:val="-21"/>
          <w:w w:val="110"/>
        </w:rPr>
        <w:t xml:space="preserve"> </w:t>
      </w:r>
      <w:r>
        <w:rPr>
          <w:color w:val="333333"/>
          <w:w w:val="110"/>
        </w:rPr>
        <w:t>Applications</w:t>
      </w:r>
      <w:bookmarkEnd w:id="459"/>
    </w:p>
    <w:p w14:paraId="4AB0AC73" w14:textId="77777777" w:rsidR="00A720EB" w:rsidRDefault="0030286B">
      <w:pPr>
        <w:pStyle w:val="a3"/>
        <w:spacing w:before="243" w:line="290" w:lineRule="auto"/>
        <w:ind w:left="124" w:right="124"/>
        <w:jc w:val="both"/>
      </w:pPr>
      <w:r>
        <w:rPr>
          <w:color w:val="333333"/>
          <w:w w:val="110"/>
        </w:rPr>
        <w:t xml:space="preserve">A Spring Boot application is a Spring </w:t>
      </w:r>
      <w:r>
        <w:rPr>
          <w:rFonts w:ascii="MS Gothic"/>
          <w:color w:val="B02045"/>
          <w:w w:val="110"/>
        </w:rPr>
        <w:t>ApplicationContext</w:t>
      </w:r>
      <w:r>
        <w:rPr>
          <w:color w:val="333333"/>
          <w:w w:val="110"/>
        </w:rPr>
        <w:t>, so nothing very special has to be done to test it beyond what you would normally do with a vanilla Spring context.</w:t>
      </w:r>
    </w:p>
    <w:p w14:paraId="76D48EB1" w14:textId="77777777" w:rsidR="00A720EB" w:rsidRDefault="00A720EB">
      <w:pPr>
        <w:pStyle w:val="a3"/>
        <w:spacing w:before="10"/>
        <w:rPr>
          <w:sz w:val="28"/>
        </w:rPr>
      </w:pPr>
    </w:p>
    <w:p w14:paraId="5373111D" w14:textId="77777777" w:rsidR="00A720EB" w:rsidRDefault="00E10349">
      <w:pPr>
        <w:pStyle w:val="a3"/>
        <w:spacing w:line="297" w:lineRule="auto"/>
        <w:ind w:left="1564"/>
      </w:pPr>
      <w:r>
        <w:pict w14:anchorId="52FEC091">
          <v:line id="_x0000_s3701" style="position:absolute;left:0;text-align:left;z-index:16084480;mso-position-horizontal-relative:page" from="108.25pt,-6pt" to="108.25pt,33.55pt" strokecolor="#ededed" strokeweight=".5pt">
            <w10:wrap anchorx="page"/>
          </v:line>
        </w:pict>
      </w:r>
      <w:r w:rsidR="0030286B">
        <w:rPr>
          <w:noProof/>
        </w:rPr>
        <w:drawing>
          <wp:anchor distT="0" distB="0" distL="0" distR="0" simplePos="0" relativeHeight="16084992" behindDoc="0" locked="0" layoutInCell="1" allowOverlap="1" wp14:anchorId="122E5D5C" wp14:editId="17C04E5E">
            <wp:simplePos x="0" y="0"/>
            <wp:positionH relativeFrom="page">
              <wp:posOffset>844422</wp:posOffset>
            </wp:positionH>
            <wp:positionV relativeFrom="paragraph">
              <wp:posOffset>25946</wp:posOffset>
            </wp:positionV>
            <wp:extent cx="298450" cy="298450"/>
            <wp:effectExtent l="0" t="0" r="0" b="0"/>
            <wp:wrapNone/>
            <wp:docPr id="4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External properties, logging, and other features of Spring Boot are installed in the context </w:t>
      </w:r>
      <w:r w:rsidR="0030286B">
        <w:rPr>
          <w:color w:val="333333"/>
          <w:spacing w:val="-3"/>
          <w:w w:val="110"/>
        </w:rPr>
        <w:t xml:space="preserve">by </w:t>
      </w:r>
      <w:r w:rsidR="0030286B">
        <w:rPr>
          <w:color w:val="333333"/>
          <w:w w:val="110"/>
        </w:rPr>
        <w:t xml:space="preserve">default only if you use </w:t>
      </w:r>
      <w:r w:rsidR="0030286B">
        <w:rPr>
          <w:rFonts w:ascii="MS Gothic"/>
          <w:color w:val="B02045"/>
          <w:w w:val="110"/>
        </w:rPr>
        <w:t>SpringApplication</w:t>
      </w:r>
      <w:r w:rsidR="0030286B">
        <w:rPr>
          <w:rFonts w:ascii="MS Gothic"/>
          <w:color w:val="B02045"/>
          <w:spacing w:val="-60"/>
          <w:w w:val="110"/>
        </w:rPr>
        <w:t xml:space="preserve"> </w:t>
      </w:r>
      <w:r w:rsidR="0030286B">
        <w:rPr>
          <w:color w:val="333333"/>
          <w:w w:val="110"/>
        </w:rPr>
        <w:t>to create it.</w:t>
      </w:r>
    </w:p>
    <w:p w14:paraId="00646646" w14:textId="77777777" w:rsidR="00A720EB" w:rsidRDefault="00A720EB">
      <w:pPr>
        <w:pStyle w:val="a3"/>
        <w:spacing w:before="9"/>
        <w:rPr>
          <w:sz w:val="25"/>
        </w:rPr>
      </w:pPr>
    </w:p>
    <w:p w14:paraId="26B42BA7" w14:textId="77777777" w:rsidR="00A720EB" w:rsidRDefault="0030286B">
      <w:pPr>
        <w:pStyle w:val="a3"/>
        <w:spacing w:line="283" w:lineRule="auto"/>
        <w:ind w:left="124" w:right="122"/>
        <w:jc w:val="both"/>
      </w:pPr>
      <w:r>
        <w:rPr>
          <w:color w:val="333333"/>
          <w:w w:val="110"/>
        </w:rPr>
        <w:t xml:space="preserve">Spring Boot provides a </w:t>
      </w:r>
      <w:r>
        <w:rPr>
          <w:rFonts w:ascii="MS Gothic"/>
          <w:color w:val="B02045"/>
          <w:w w:val="110"/>
        </w:rPr>
        <w:t xml:space="preserve">@SpringBootTest </w:t>
      </w:r>
      <w:r>
        <w:rPr>
          <w:color w:val="333333"/>
          <w:w w:val="110"/>
        </w:rPr>
        <w:t xml:space="preserve">annotation, which can be used as an alternative to the standard </w:t>
      </w:r>
      <w:r>
        <w:rPr>
          <w:rFonts w:ascii="MS Gothic"/>
          <w:color w:val="B02045"/>
          <w:w w:val="110"/>
        </w:rPr>
        <w:t>spring-test @ContextConfiguration</w:t>
      </w:r>
      <w:r>
        <w:rPr>
          <w:rFonts w:ascii="MS Gothic"/>
          <w:color w:val="B02045"/>
          <w:spacing w:val="-87"/>
          <w:w w:val="110"/>
        </w:rPr>
        <w:t xml:space="preserve"> </w:t>
      </w:r>
      <w:r>
        <w:rPr>
          <w:color w:val="333333"/>
          <w:w w:val="110"/>
        </w:rPr>
        <w:t>annotation when you need Spring Boot features. The annotation</w:t>
      </w:r>
      <w:r>
        <w:rPr>
          <w:color w:val="333333"/>
          <w:spacing w:val="-13"/>
          <w:w w:val="110"/>
        </w:rPr>
        <w:t xml:space="preserve"> </w:t>
      </w:r>
      <w:r>
        <w:rPr>
          <w:color w:val="333333"/>
          <w:w w:val="110"/>
        </w:rPr>
        <w:t>works</w:t>
      </w:r>
      <w:r>
        <w:rPr>
          <w:color w:val="333333"/>
          <w:spacing w:val="-12"/>
          <w:w w:val="110"/>
        </w:rPr>
        <w:t xml:space="preserve"> </w:t>
      </w:r>
      <w:r>
        <w:rPr>
          <w:color w:val="333333"/>
          <w:spacing w:val="-3"/>
          <w:w w:val="110"/>
        </w:rPr>
        <w:t>by</w:t>
      </w:r>
      <w:r>
        <w:rPr>
          <w:color w:val="333333"/>
          <w:spacing w:val="-10"/>
          <w:w w:val="110"/>
        </w:rPr>
        <w:t xml:space="preserve"> </w:t>
      </w:r>
      <w:hyperlink w:anchor="_bookmark308" w:history="1">
        <w:r>
          <w:rPr>
            <w:color w:val="418BCA"/>
            <w:w w:val="110"/>
          </w:rPr>
          <w:t>creating</w:t>
        </w:r>
        <w:r>
          <w:rPr>
            <w:color w:val="418BCA"/>
            <w:spacing w:val="-13"/>
            <w:w w:val="110"/>
          </w:rPr>
          <w:t xml:space="preserve"> </w:t>
        </w:r>
        <w:r>
          <w:rPr>
            <w:color w:val="418BCA"/>
            <w:w w:val="110"/>
          </w:rPr>
          <w:t>the</w:t>
        </w:r>
        <w:r>
          <w:rPr>
            <w:color w:val="418BCA"/>
            <w:spacing w:val="-12"/>
            <w:w w:val="110"/>
          </w:rPr>
          <w:t xml:space="preserve"> </w:t>
        </w:r>
      </w:hyperlink>
      <w:hyperlink w:anchor="_bookmark308" w:history="1">
        <w:r>
          <w:rPr>
            <w:rFonts w:ascii="MS Gothic"/>
            <w:color w:val="B02045"/>
            <w:w w:val="110"/>
          </w:rPr>
          <w:t>ApplicationContext</w:t>
        </w:r>
        <w:r>
          <w:rPr>
            <w:rFonts w:ascii="MS Gothic"/>
            <w:color w:val="B02045"/>
            <w:spacing w:val="-78"/>
            <w:w w:val="110"/>
          </w:rPr>
          <w:t xml:space="preserve"> </w:t>
        </w:r>
      </w:hyperlink>
      <w:hyperlink w:anchor="_bookmark308" w:history="1">
        <w:r>
          <w:rPr>
            <w:color w:val="418BCA"/>
            <w:w w:val="110"/>
          </w:rPr>
          <w:t>used</w:t>
        </w:r>
        <w:r>
          <w:rPr>
            <w:color w:val="418BCA"/>
            <w:spacing w:val="-12"/>
            <w:w w:val="110"/>
          </w:rPr>
          <w:t xml:space="preserve"> </w:t>
        </w:r>
        <w:r>
          <w:rPr>
            <w:color w:val="418BCA"/>
            <w:w w:val="110"/>
          </w:rPr>
          <w:t>in</w:t>
        </w:r>
        <w:r>
          <w:rPr>
            <w:color w:val="418BCA"/>
            <w:spacing w:val="-13"/>
            <w:w w:val="110"/>
          </w:rPr>
          <w:t xml:space="preserve"> </w:t>
        </w:r>
        <w:r>
          <w:rPr>
            <w:color w:val="418BCA"/>
            <w:w w:val="110"/>
          </w:rPr>
          <w:t>your</w:t>
        </w:r>
        <w:r>
          <w:rPr>
            <w:color w:val="418BCA"/>
            <w:spacing w:val="-12"/>
            <w:w w:val="110"/>
          </w:rPr>
          <w:t xml:space="preserve"> </w:t>
        </w:r>
        <w:r>
          <w:rPr>
            <w:color w:val="418BCA"/>
            <w:w w:val="110"/>
          </w:rPr>
          <w:t>tests</w:t>
        </w:r>
        <w:r>
          <w:rPr>
            <w:color w:val="418BCA"/>
            <w:spacing w:val="-12"/>
            <w:w w:val="110"/>
          </w:rPr>
          <w:t xml:space="preserve"> </w:t>
        </w:r>
        <w:r>
          <w:rPr>
            <w:color w:val="418BCA"/>
            <w:w w:val="110"/>
          </w:rPr>
          <w:t>through</w:t>
        </w:r>
      </w:hyperlink>
      <w:r>
        <w:rPr>
          <w:color w:val="418BCA"/>
          <w:spacing w:val="-12"/>
          <w:w w:val="110"/>
        </w:rPr>
        <w:t xml:space="preserve"> </w:t>
      </w:r>
      <w:hyperlink w:anchor="_bookmark308" w:history="1">
        <w:r>
          <w:rPr>
            <w:rFonts w:ascii="MS Gothic"/>
            <w:color w:val="B02045"/>
            <w:w w:val="110"/>
          </w:rPr>
          <w:t>SpringApplication</w:t>
        </w:r>
      </w:hyperlink>
      <w:r>
        <w:rPr>
          <w:color w:val="333333"/>
          <w:w w:val="110"/>
        </w:rPr>
        <w:t xml:space="preserve">. In addition to </w:t>
      </w:r>
      <w:r>
        <w:rPr>
          <w:rFonts w:ascii="MS Gothic"/>
          <w:color w:val="B02045"/>
          <w:w w:val="110"/>
        </w:rPr>
        <w:t xml:space="preserve">@SpringBootTest </w:t>
      </w:r>
      <w:r>
        <w:rPr>
          <w:color w:val="333333"/>
          <w:w w:val="110"/>
        </w:rPr>
        <w:t xml:space="preserve">a number of other annotations are also provided for </w:t>
      </w:r>
      <w:hyperlink w:anchor="_bookmark316" w:history="1">
        <w:r>
          <w:rPr>
            <w:color w:val="418BCA"/>
            <w:w w:val="110"/>
          </w:rPr>
          <w:t>testing more</w:t>
        </w:r>
      </w:hyperlink>
      <w:r>
        <w:rPr>
          <w:color w:val="418BCA"/>
          <w:w w:val="110"/>
        </w:rPr>
        <w:t xml:space="preserve"> </w:t>
      </w:r>
      <w:hyperlink w:anchor="_bookmark316" w:history="1">
        <w:r>
          <w:rPr>
            <w:color w:val="418BCA"/>
            <w:w w:val="110"/>
          </w:rPr>
          <w:t xml:space="preserve">specific slices </w:t>
        </w:r>
      </w:hyperlink>
      <w:r>
        <w:rPr>
          <w:color w:val="333333"/>
          <w:w w:val="110"/>
        </w:rPr>
        <w:t>of an</w:t>
      </w:r>
      <w:r>
        <w:rPr>
          <w:color w:val="333333"/>
          <w:spacing w:val="12"/>
          <w:w w:val="110"/>
        </w:rPr>
        <w:t xml:space="preserve"> </w:t>
      </w:r>
      <w:r>
        <w:rPr>
          <w:color w:val="333333"/>
          <w:w w:val="110"/>
        </w:rPr>
        <w:t>application.</w:t>
      </w:r>
    </w:p>
    <w:p w14:paraId="68FB5D30" w14:textId="77777777" w:rsidR="00A720EB" w:rsidRDefault="00A720EB">
      <w:pPr>
        <w:spacing w:line="283" w:lineRule="auto"/>
        <w:jc w:val="both"/>
        <w:sectPr w:rsidR="00A720EB">
          <w:pgSz w:w="11910" w:h="16840"/>
          <w:pgMar w:top="640" w:right="840" w:bottom="520" w:left="840" w:header="0" w:footer="323" w:gutter="0"/>
          <w:cols w:space="720"/>
        </w:sectPr>
      </w:pPr>
    </w:p>
    <w:p w14:paraId="0E32F985" w14:textId="77777777" w:rsidR="00A720EB" w:rsidRDefault="00E10349">
      <w:pPr>
        <w:pStyle w:val="a3"/>
        <w:spacing w:before="111" w:line="290" w:lineRule="auto"/>
        <w:ind w:left="1564" w:right="362"/>
        <w:jc w:val="both"/>
      </w:pPr>
      <w:r>
        <w:lastRenderedPageBreak/>
        <w:pict w14:anchorId="478B2B9D">
          <v:line id="_x0000_s3700" style="position:absolute;left:0;text-align:left;z-index:16086016;mso-position-horizontal-relative:page" from="108.25pt,.1pt" to="108.25pt,71.2pt" strokecolor="#ededed" strokeweight=".5pt">
            <w10:wrap anchorx="page"/>
          </v:line>
        </w:pict>
      </w:r>
      <w:r w:rsidR="0030286B">
        <w:rPr>
          <w:noProof/>
        </w:rPr>
        <w:drawing>
          <wp:anchor distT="0" distB="0" distL="0" distR="0" simplePos="0" relativeHeight="16086528" behindDoc="0" locked="0" layoutInCell="1" allowOverlap="1" wp14:anchorId="4114FA1B" wp14:editId="5CCBB001">
            <wp:simplePos x="0" y="0"/>
            <wp:positionH relativeFrom="page">
              <wp:posOffset>888949</wp:posOffset>
            </wp:positionH>
            <wp:positionV relativeFrom="paragraph">
              <wp:posOffset>300304</wp:posOffset>
            </wp:positionV>
            <wp:extent cx="209550" cy="304800"/>
            <wp:effectExtent l="0" t="0" r="0" b="0"/>
            <wp:wrapNone/>
            <wp:docPr id="4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are using JUnit 4, don’t forget to also add </w:t>
      </w:r>
      <w:r w:rsidR="0030286B">
        <w:rPr>
          <w:rFonts w:ascii="MS Gothic" w:hAnsi="MS Gothic"/>
          <w:color w:val="B02045"/>
          <w:w w:val="110"/>
        </w:rPr>
        <w:t>@</w:t>
      </w:r>
      <w:proofErr w:type="gramStart"/>
      <w:r w:rsidR="0030286B">
        <w:rPr>
          <w:rFonts w:ascii="MS Gothic" w:hAnsi="MS Gothic"/>
          <w:color w:val="B02045"/>
          <w:w w:val="110"/>
        </w:rPr>
        <w:t>RunWith(</w:t>
      </w:r>
      <w:proofErr w:type="gramEnd"/>
      <w:r w:rsidR="0030286B">
        <w:rPr>
          <w:rFonts w:ascii="MS Gothic" w:hAnsi="MS Gothic"/>
          <w:color w:val="B02045"/>
          <w:w w:val="110"/>
        </w:rPr>
        <w:t xml:space="preserve">SpringRunner.class) </w:t>
      </w:r>
      <w:r w:rsidR="0030286B">
        <w:rPr>
          <w:color w:val="333333"/>
          <w:w w:val="110"/>
        </w:rPr>
        <w:t xml:space="preserve">to your test, otherwise the annotations will be ignored. If you are using JUnit  </w:t>
      </w:r>
      <w:proofErr w:type="gramStart"/>
      <w:r w:rsidR="0030286B">
        <w:rPr>
          <w:color w:val="333333"/>
          <w:w w:val="110"/>
        </w:rPr>
        <w:t>5,  there’s</w:t>
      </w:r>
      <w:proofErr w:type="gramEnd"/>
      <w:r w:rsidR="0030286B">
        <w:rPr>
          <w:color w:val="333333"/>
          <w:w w:val="110"/>
        </w:rPr>
        <w:t xml:space="preserve"> no need to add the equivalent </w:t>
      </w:r>
      <w:r w:rsidR="0030286B">
        <w:rPr>
          <w:rFonts w:ascii="MS Gothic" w:hAnsi="MS Gothic"/>
          <w:color w:val="B02045"/>
          <w:w w:val="110"/>
        </w:rPr>
        <w:t xml:space="preserve">@ExtendWith(SpringExtension.class) </w:t>
      </w:r>
      <w:r w:rsidR="0030286B">
        <w:rPr>
          <w:color w:val="333333"/>
          <w:w w:val="110"/>
        </w:rPr>
        <w:t xml:space="preserve">as  </w:t>
      </w:r>
      <w:r w:rsidR="0030286B">
        <w:rPr>
          <w:rFonts w:ascii="MS Gothic" w:hAnsi="MS Gothic"/>
          <w:color w:val="B02045"/>
          <w:w w:val="110"/>
        </w:rPr>
        <w:t>@SpringBootTest</w:t>
      </w:r>
      <w:r w:rsidR="0030286B">
        <w:rPr>
          <w:rFonts w:ascii="MS Gothic" w:hAnsi="MS Gothic"/>
          <w:color w:val="B02045"/>
          <w:spacing w:val="-74"/>
          <w:w w:val="110"/>
        </w:rPr>
        <w:t xml:space="preserve"> </w:t>
      </w:r>
      <w:r w:rsidR="0030286B">
        <w:rPr>
          <w:color w:val="333333"/>
          <w:w w:val="110"/>
        </w:rPr>
        <w:t>and</w:t>
      </w:r>
      <w:r w:rsidR="0030286B">
        <w:rPr>
          <w:color w:val="333333"/>
          <w:spacing w:val="-9"/>
          <w:w w:val="110"/>
        </w:rPr>
        <w:t xml:space="preserve"> </w:t>
      </w:r>
      <w:r w:rsidR="0030286B">
        <w:rPr>
          <w:color w:val="333333"/>
          <w:w w:val="110"/>
        </w:rPr>
        <w:t>the</w:t>
      </w:r>
      <w:r w:rsidR="0030286B">
        <w:rPr>
          <w:color w:val="333333"/>
          <w:spacing w:val="-8"/>
          <w:w w:val="110"/>
        </w:rPr>
        <w:t xml:space="preserve"> </w:t>
      </w:r>
      <w:r w:rsidR="0030286B">
        <w:rPr>
          <w:color w:val="333333"/>
          <w:w w:val="110"/>
        </w:rPr>
        <w:t>other</w:t>
      </w:r>
      <w:r w:rsidR="0030286B">
        <w:rPr>
          <w:color w:val="333333"/>
          <w:spacing w:val="-9"/>
          <w:w w:val="110"/>
        </w:rPr>
        <w:t xml:space="preserve"> </w:t>
      </w:r>
      <w:r w:rsidR="0030286B">
        <w:rPr>
          <w:rFonts w:ascii="MS Gothic" w:hAnsi="MS Gothic"/>
          <w:color w:val="B02045"/>
          <w:w w:val="110"/>
        </w:rPr>
        <w:t>@…Test</w:t>
      </w:r>
      <w:r w:rsidR="0030286B">
        <w:rPr>
          <w:rFonts w:ascii="MS Gothic" w:hAnsi="MS Gothic"/>
          <w:color w:val="B02045"/>
          <w:spacing w:val="-73"/>
          <w:w w:val="110"/>
        </w:rPr>
        <w:t xml:space="preserve"> </w:t>
      </w:r>
      <w:r w:rsidR="0030286B">
        <w:rPr>
          <w:color w:val="333333"/>
          <w:w w:val="110"/>
        </w:rPr>
        <w:t>annotations</w:t>
      </w:r>
      <w:r w:rsidR="0030286B">
        <w:rPr>
          <w:color w:val="333333"/>
          <w:spacing w:val="-9"/>
          <w:w w:val="110"/>
        </w:rPr>
        <w:t xml:space="preserve"> </w:t>
      </w:r>
      <w:r w:rsidR="0030286B">
        <w:rPr>
          <w:color w:val="333333"/>
          <w:w w:val="110"/>
        </w:rPr>
        <w:t>are</w:t>
      </w:r>
      <w:r w:rsidR="0030286B">
        <w:rPr>
          <w:color w:val="333333"/>
          <w:spacing w:val="-10"/>
          <w:w w:val="110"/>
        </w:rPr>
        <w:t xml:space="preserve"> </w:t>
      </w:r>
      <w:r w:rsidR="0030286B">
        <w:rPr>
          <w:color w:val="333333"/>
          <w:w w:val="110"/>
        </w:rPr>
        <w:t>already</w:t>
      </w:r>
      <w:r w:rsidR="0030286B">
        <w:rPr>
          <w:color w:val="333333"/>
          <w:spacing w:val="-9"/>
          <w:w w:val="110"/>
        </w:rPr>
        <w:t xml:space="preserve"> </w:t>
      </w:r>
      <w:r w:rsidR="0030286B">
        <w:rPr>
          <w:color w:val="333333"/>
          <w:w w:val="110"/>
        </w:rPr>
        <w:t>annotated</w:t>
      </w:r>
      <w:r w:rsidR="0030286B">
        <w:rPr>
          <w:color w:val="333333"/>
          <w:spacing w:val="-9"/>
          <w:w w:val="110"/>
        </w:rPr>
        <w:t xml:space="preserve"> </w:t>
      </w:r>
      <w:r w:rsidR="0030286B">
        <w:rPr>
          <w:color w:val="333333"/>
          <w:w w:val="110"/>
        </w:rPr>
        <w:t>with</w:t>
      </w:r>
      <w:r w:rsidR="0030286B">
        <w:rPr>
          <w:color w:val="333333"/>
          <w:spacing w:val="-9"/>
          <w:w w:val="110"/>
        </w:rPr>
        <w:t xml:space="preserve"> </w:t>
      </w:r>
      <w:r w:rsidR="0030286B">
        <w:rPr>
          <w:color w:val="333333"/>
          <w:w w:val="110"/>
        </w:rPr>
        <w:t>it.</w:t>
      </w:r>
    </w:p>
    <w:p w14:paraId="549B1930" w14:textId="77777777" w:rsidR="00A720EB" w:rsidRDefault="00A720EB">
      <w:pPr>
        <w:pStyle w:val="a3"/>
        <w:spacing w:before="4"/>
        <w:rPr>
          <w:sz w:val="16"/>
        </w:rPr>
      </w:pPr>
    </w:p>
    <w:p w14:paraId="5D223747" w14:textId="77777777" w:rsidR="00A720EB" w:rsidRDefault="0030286B">
      <w:pPr>
        <w:pStyle w:val="a3"/>
        <w:spacing w:before="116"/>
        <w:ind w:left="124"/>
      </w:pPr>
      <w:r>
        <w:rPr>
          <w:color w:val="333333"/>
          <w:w w:val="110"/>
        </w:rPr>
        <w:t xml:space="preserve">By default, </w:t>
      </w:r>
      <w:r>
        <w:rPr>
          <w:rFonts w:ascii="MS Gothic"/>
          <w:color w:val="B02045"/>
          <w:w w:val="110"/>
        </w:rPr>
        <w:t xml:space="preserve">@SpringBootTest </w:t>
      </w:r>
      <w:r>
        <w:rPr>
          <w:color w:val="333333"/>
          <w:w w:val="110"/>
        </w:rPr>
        <w:t xml:space="preserve">will not start a server. You can use the </w:t>
      </w:r>
      <w:r>
        <w:rPr>
          <w:rFonts w:ascii="MS Gothic"/>
          <w:color w:val="B02045"/>
          <w:w w:val="110"/>
        </w:rPr>
        <w:t xml:space="preserve">webEnvironment </w:t>
      </w:r>
      <w:r>
        <w:rPr>
          <w:color w:val="333333"/>
          <w:w w:val="110"/>
        </w:rPr>
        <w:t>attribute of</w:t>
      </w:r>
    </w:p>
    <w:p w14:paraId="04AF8DC4" w14:textId="77777777" w:rsidR="00A720EB" w:rsidRDefault="0030286B">
      <w:pPr>
        <w:pStyle w:val="a3"/>
        <w:spacing w:before="47"/>
        <w:ind w:left="124"/>
      </w:pPr>
      <w:r>
        <w:rPr>
          <w:rFonts w:ascii="MS Gothic"/>
          <w:color w:val="B02045"/>
          <w:w w:val="110"/>
        </w:rPr>
        <w:t>@SpringBootTest</w:t>
      </w:r>
      <w:r>
        <w:rPr>
          <w:rFonts w:ascii="MS Gothic"/>
          <w:color w:val="B02045"/>
          <w:spacing w:val="-53"/>
          <w:w w:val="110"/>
        </w:rPr>
        <w:t xml:space="preserve"> </w:t>
      </w:r>
      <w:r>
        <w:rPr>
          <w:color w:val="333333"/>
          <w:w w:val="110"/>
        </w:rPr>
        <w:t>to further refine how your tests run:</w:t>
      </w:r>
    </w:p>
    <w:p w14:paraId="5DDE4C0D" w14:textId="77777777" w:rsidR="00A720EB" w:rsidRDefault="00A720EB">
      <w:pPr>
        <w:pStyle w:val="a3"/>
        <w:spacing w:before="5"/>
        <w:rPr>
          <w:sz w:val="24"/>
        </w:rPr>
      </w:pPr>
    </w:p>
    <w:p w14:paraId="3418833D" w14:textId="77777777" w:rsidR="00A720EB" w:rsidRDefault="0030286B">
      <w:pPr>
        <w:pStyle w:val="a6"/>
        <w:numPr>
          <w:ilvl w:val="0"/>
          <w:numId w:val="32"/>
        </w:numPr>
        <w:tabs>
          <w:tab w:val="left" w:pos="485"/>
        </w:tabs>
        <w:spacing w:line="295" w:lineRule="auto"/>
        <w:ind w:right="122"/>
        <w:jc w:val="both"/>
        <w:rPr>
          <w:sz w:val="21"/>
        </w:rPr>
      </w:pPr>
      <w:r>
        <w:rPr>
          <w:rFonts w:ascii="MS Gothic" w:hAnsi="MS Gothic"/>
          <w:color w:val="B02045"/>
          <w:w w:val="110"/>
          <w:sz w:val="21"/>
        </w:rPr>
        <w:t>MOCK</w:t>
      </w:r>
      <w:r>
        <w:rPr>
          <w:color w:val="333333"/>
          <w:w w:val="110"/>
          <w:sz w:val="21"/>
        </w:rPr>
        <w:t>(Default</w:t>
      </w:r>
      <w:proofErr w:type="gramStart"/>
      <w:r>
        <w:rPr>
          <w:color w:val="333333"/>
          <w:w w:val="110"/>
          <w:sz w:val="21"/>
        </w:rPr>
        <w:t>) :</w:t>
      </w:r>
      <w:proofErr w:type="gramEnd"/>
      <w:r>
        <w:rPr>
          <w:color w:val="333333"/>
          <w:w w:val="110"/>
          <w:sz w:val="21"/>
        </w:rPr>
        <w:t xml:space="preserve"> Loads a web </w:t>
      </w:r>
      <w:r>
        <w:rPr>
          <w:rFonts w:ascii="MS Gothic" w:hAnsi="MS Gothic"/>
          <w:color w:val="B02045"/>
          <w:w w:val="110"/>
          <w:sz w:val="21"/>
        </w:rPr>
        <w:t xml:space="preserve">ApplicationContext </w:t>
      </w:r>
      <w:r>
        <w:rPr>
          <w:color w:val="333333"/>
          <w:w w:val="110"/>
          <w:sz w:val="21"/>
        </w:rPr>
        <w:t xml:space="preserve">and provides a mock web environment. Embedded servers are not started when using this annotation. If a web environment is not available on your classpath, this mode transparently falls back to creating a regular non-web </w:t>
      </w:r>
      <w:r>
        <w:rPr>
          <w:rFonts w:ascii="MS Gothic" w:hAnsi="MS Gothic"/>
          <w:color w:val="B02045"/>
          <w:w w:val="110"/>
          <w:sz w:val="21"/>
        </w:rPr>
        <w:t>ApplicationContext</w:t>
      </w:r>
      <w:r>
        <w:rPr>
          <w:color w:val="333333"/>
          <w:w w:val="110"/>
          <w:sz w:val="21"/>
        </w:rPr>
        <w:t xml:space="preserve">. It can be used in conjunction with </w:t>
      </w:r>
      <w:hyperlink w:anchor="_bookmark311" w:history="1">
        <w:r>
          <w:rPr>
            <w:rFonts w:ascii="MS Gothic" w:hAnsi="MS Gothic"/>
            <w:color w:val="B02045"/>
            <w:w w:val="110"/>
            <w:sz w:val="21"/>
          </w:rPr>
          <w:t>@AutoConfigureMockMvc</w:t>
        </w:r>
      </w:hyperlink>
      <w:r>
        <w:rPr>
          <w:rFonts w:ascii="MS Gothic" w:hAnsi="MS Gothic"/>
          <w:color w:val="B02045"/>
          <w:w w:val="110"/>
          <w:sz w:val="21"/>
        </w:rPr>
        <w:t xml:space="preserve"> </w:t>
      </w:r>
      <w:hyperlink w:anchor="_bookmark311" w:history="1">
        <w:r>
          <w:rPr>
            <w:color w:val="418BCA"/>
            <w:w w:val="110"/>
            <w:sz w:val="21"/>
          </w:rPr>
          <w:t>or</w:t>
        </w:r>
      </w:hyperlink>
      <w:r>
        <w:rPr>
          <w:color w:val="418BCA"/>
          <w:w w:val="110"/>
          <w:sz w:val="21"/>
        </w:rPr>
        <w:t xml:space="preserve"> </w:t>
      </w:r>
      <w:hyperlink w:anchor="_bookmark311" w:history="1">
        <w:r>
          <w:rPr>
            <w:rFonts w:ascii="MS Gothic" w:hAnsi="MS Gothic"/>
            <w:color w:val="B02045"/>
            <w:w w:val="110"/>
            <w:sz w:val="21"/>
          </w:rPr>
          <w:t>@AutoConfigureWebTestClient</w:t>
        </w:r>
        <w:r>
          <w:rPr>
            <w:rFonts w:ascii="MS Gothic" w:hAnsi="MS Gothic"/>
            <w:color w:val="B02045"/>
            <w:spacing w:val="-87"/>
            <w:w w:val="110"/>
            <w:sz w:val="21"/>
          </w:rPr>
          <w:t xml:space="preserve"> </w:t>
        </w:r>
      </w:hyperlink>
      <w:r>
        <w:rPr>
          <w:color w:val="333333"/>
          <w:w w:val="110"/>
          <w:sz w:val="21"/>
        </w:rPr>
        <w:t>for mock-based testing of your web application.</w:t>
      </w:r>
    </w:p>
    <w:p w14:paraId="2B6F7FF2" w14:textId="77777777" w:rsidR="00A720EB" w:rsidRDefault="0030286B">
      <w:pPr>
        <w:pStyle w:val="a6"/>
        <w:numPr>
          <w:ilvl w:val="0"/>
          <w:numId w:val="32"/>
        </w:numPr>
        <w:tabs>
          <w:tab w:val="left" w:pos="485"/>
        </w:tabs>
        <w:spacing w:before="100" w:line="290" w:lineRule="auto"/>
        <w:ind w:right="126"/>
        <w:jc w:val="both"/>
        <w:rPr>
          <w:sz w:val="21"/>
        </w:rPr>
      </w:pPr>
      <w:r>
        <w:rPr>
          <w:rFonts w:ascii="MS Gothic" w:hAnsi="MS Gothic"/>
          <w:color w:val="B02045"/>
          <w:w w:val="110"/>
          <w:sz w:val="21"/>
        </w:rPr>
        <w:t>RANDOM_PORT</w:t>
      </w:r>
      <w:r>
        <w:rPr>
          <w:color w:val="333333"/>
          <w:w w:val="110"/>
          <w:sz w:val="21"/>
        </w:rPr>
        <w:t xml:space="preserve">: Loads a </w:t>
      </w:r>
      <w:r>
        <w:rPr>
          <w:rFonts w:ascii="MS Gothic" w:hAnsi="MS Gothic"/>
          <w:color w:val="B02045"/>
          <w:w w:val="110"/>
          <w:sz w:val="21"/>
        </w:rPr>
        <w:t xml:space="preserve">WebServerApplicationContext </w:t>
      </w:r>
      <w:r>
        <w:rPr>
          <w:color w:val="333333"/>
          <w:w w:val="110"/>
          <w:sz w:val="21"/>
        </w:rPr>
        <w:t>and provides a real web environment. Embedded servers are started and listen on a random</w:t>
      </w:r>
      <w:r>
        <w:rPr>
          <w:color w:val="333333"/>
          <w:spacing w:val="29"/>
          <w:w w:val="110"/>
          <w:sz w:val="21"/>
        </w:rPr>
        <w:t xml:space="preserve"> </w:t>
      </w:r>
      <w:r>
        <w:rPr>
          <w:color w:val="333333"/>
          <w:w w:val="110"/>
          <w:sz w:val="21"/>
        </w:rPr>
        <w:t>port.</w:t>
      </w:r>
    </w:p>
    <w:p w14:paraId="6F8C3703" w14:textId="77777777" w:rsidR="00A720EB" w:rsidRDefault="0030286B">
      <w:pPr>
        <w:pStyle w:val="a6"/>
        <w:numPr>
          <w:ilvl w:val="0"/>
          <w:numId w:val="32"/>
        </w:numPr>
        <w:tabs>
          <w:tab w:val="left" w:pos="485"/>
        </w:tabs>
        <w:spacing w:before="127" w:line="280" w:lineRule="auto"/>
        <w:ind w:right="122"/>
        <w:jc w:val="both"/>
        <w:rPr>
          <w:sz w:val="21"/>
        </w:rPr>
      </w:pPr>
      <w:r>
        <w:rPr>
          <w:rFonts w:ascii="MS Gothic" w:hAnsi="MS Gothic"/>
          <w:color w:val="B02045"/>
          <w:w w:val="110"/>
          <w:sz w:val="21"/>
        </w:rPr>
        <w:t>DEFINED_PORT</w:t>
      </w:r>
      <w:r>
        <w:rPr>
          <w:color w:val="333333"/>
          <w:w w:val="110"/>
          <w:sz w:val="21"/>
        </w:rPr>
        <w:t xml:space="preserve">: Loads a </w:t>
      </w:r>
      <w:r>
        <w:rPr>
          <w:rFonts w:ascii="MS Gothic" w:hAnsi="MS Gothic"/>
          <w:color w:val="B02045"/>
          <w:w w:val="110"/>
          <w:sz w:val="21"/>
        </w:rPr>
        <w:t xml:space="preserve">WebServerApplicationContext </w:t>
      </w:r>
      <w:r>
        <w:rPr>
          <w:color w:val="333333"/>
          <w:w w:val="110"/>
          <w:sz w:val="21"/>
        </w:rPr>
        <w:t xml:space="preserve">and provides a real web environment.  Embedded servers are started and listen on a defined port (from your </w:t>
      </w:r>
      <w:proofErr w:type="gramStart"/>
      <w:r>
        <w:rPr>
          <w:rFonts w:ascii="MS Gothic" w:hAnsi="MS Gothic"/>
          <w:color w:val="B02045"/>
          <w:w w:val="110"/>
          <w:sz w:val="21"/>
        </w:rPr>
        <w:t>application.properties</w:t>
      </w:r>
      <w:proofErr w:type="gramEnd"/>
      <w:r>
        <w:rPr>
          <w:color w:val="333333"/>
          <w:w w:val="110"/>
          <w:sz w:val="21"/>
        </w:rPr>
        <w:t>) or on the default port of</w:t>
      </w:r>
      <w:r>
        <w:rPr>
          <w:color w:val="333333"/>
          <w:spacing w:val="19"/>
          <w:w w:val="110"/>
          <w:sz w:val="21"/>
        </w:rPr>
        <w:t xml:space="preserve"> </w:t>
      </w:r>
      <w:r>
        <w:rPr>
          <w:rFonts w:ascii="MS Gothic" w:hAnsi="MS Gothic"/>
          <w:color w:val="B02045"/>
          <w:w w:val="110"/>
          <w:sz w:val="21"/>
        </w:rPr>
        <w:t>8080</w:t>
      </w:r>
      <w:r>
        <w:rPr>
          <w:color w:val="333333"/>
          <w:w w:val="110"/>
          <w:sz w:val="21"/>
        </w:rPr>
        <w:t>.</w:t>
      </w:r>
    </w:p>
    <w:p w14:paraId="71274E98" w14:textId="77777777" w:rsidR="00A720EB" w:rsidRDefault="0030286B">
      <w:pPr>
        <w:pStyle w:val="a6"/>
        <w:numPr>
          <w:ilvl w:val="0"/>
          <w:numId w:val="32"/>
        </w:numPr>
        <w:tabs>
          <w:tab w:val="left" w:pos="485"/>
        </w:tabs>
        <w:spacing w:before="112" w:line="285" w:lineRule="auto"/>
        <w:ind w:right="122"/>
        <w:jc w:val="both"/>
        <w:rPr>
          <w:sz w:val="21"/>
        </w:rPr>
      </w:pPr>
      <w:r>
        <w:rPr>
          <w:rFonts w:ascii="MS Gothic" w:hAnsi="MS Gothic"/>
          <w:color w:val="B02045"/>
          <w:w w:val="110"/>
          <w:sz w:val="21"/>
        </w:rPr>
        <w:t>NONE</w:t>
      </w:r>
      <w:r>
        <w:rPr>
          <w:color w:val="333333"/>
          <w:w w:val="110"/>
          <w:sz w:val="21"/>
        </w:rPr>
        <w:t xml:space="preserve">: Loads an </w:t>
      </w:r>
      <w:r>
        <w:rPr>
          <w:rFonts w:ascii="MS Gothic" w:hAnsi="MS Gothic"/>
          <w:color w:val="B02045"/>
          <w:w w:val="110"/>
          <w:sz w:val="21"/>
        </w:rPr>
        <w:t xml:space="preserve">ApplicationContext </w:t>
      </w:r>
      <w:r>
        <w:rPr>
          <w:color w:val="333333"/>
          <w:spacing w:val="-3"/>
          <w:w w:val="110"/>
          <w:sz w:val="21"/>
        </w:rPr>
        <w:t xml:space="preserve">by </w:t>
      </w:r>
      <w:r>
        <w:rPr>
          <w:color w:val="333333"/>
          <w:w w:val="110"/>
          <w:sz w:val="21"/>
        </w:rPr>
        <w:t xml:space="preserve">using </w:t>
      </w:r>
      <w:r>
        <w:rPr>
          <w:rFonts w:ascii="MS Gothic" w:hAnsi="MS Gothic"/>
          <w:color w:val="B02045"/>
          <w:w w:val="110"/>
          <w:sz w:val="21"/>
        </w:rPr>
        <w:t xml:space="preserve">SpringApplication </w:t>
      </w:r>
      <w:r>
        <w:rPr>
          <w:color w:val="333333"/>
          <w:w w:val="110"/>
          <w:sz w:val="21"/>
        </w:rPr>
        <w:t xml:space="preserve">but does not provide </w:t>
      </w:r>
      <w:r>
        <w:rPr>
          <w:rFonts w:ascii="Palatino Linotype" w:hAnsi="Palatino Linotype"/>
          <w:i/>
          <w:color w:val="333333"/>
          <w:w w:val="110"/>
          <w:sz w:val="21"/>
        </w:rPr>
        <w:t xml:space="preserve">any </w:t>
      </w:r>
      <w:r>
        <w:rPr>
          <w:color w:val="333333"/>
          <w:w w:val="110"/>
          <w:sz w:val="21"/>
        </w:rPr>
        <w:t>web environment (mock or</w:t>
      </w:r>
      <w:r>
        <w:rPr>
          <w:color w:val="333333"/>
          <w:spacing w:val="9"/>
          <w:w w:val="110"/>
          <w:sz w:val="21"/>
        </w:rPr>
        <w:t xml:space="preserve"> </w:t>
      </w:r>
      <w:r>
        <w:rPr>
          <w:color w:val="333333"/>
          <w:w w:val="110"/>
          <w:sz w:val="21"/>
        </w:rPr>
        <w:t>otherwise).</w:t>
      </w:r>
    </w:p>
    <w:p w14:paraId="0BFF1BA0" w14:textId="77777777" w:rsidR="00A720EB" w:rsidRDefault="00A720EB">
      <w:pPr>
        <w:pStyle w:val="a3"/>
        <w:spacing w:before="5"/>
        <w:rPr>
          <w:sz w:val="18"/>
        </w:rPr>
      </w:pPr>
    </w:p>
    <w:p w14:paraId="54D38D16" w14:textId="77777777" w:rsidR="00A720EB" w:rsidRDefault="00E10349">
      <w:pPr>
        <w:pStyle w:val="a3"/>
        <w:spacing w:before="116" w:line="290" w:lineRule="auto"/>
        <w:ind w:left="1564" w:right="362"/>
        <w:jc w:val="both"/>
      </w:pPr>
      <w:r>
        <w:pict w14:anchorId="0D2BFA2C">
          <v:line id="_x0000_s3699" style="position:absolute;left:0;text-align:left;z-index:16087040;mso-position-horizontal-relative:page" from="108.25pt,.35pt" to="108.25pt,87.25pt" strokecolor="#ededed" strokeweight=".5pt">
            <w10:wrap anchorx="page"/>
          </v:line>
        </w:pict>
      </w:r>
      <w:r w:rsidR="0030286B">
        <w:rPr>
          <w:noProof/>
        </w:rPr>
        <w:drawing>
          <wp:anchor distT="0" distB="0" distL="0" distR="0" simplePos="0" relativeHeight="16087552" behindDoc="0" locked="0" layoutInCell="1" allowOverlap="1" wp14:anchorId="6B291B5C" wp14:editId="230B8D2A">
            <wp:simplePos x="0" y="0"/>
            <wp:positionH relativeFrom="page">
              <wp:posOffset>844422</wp:posOffset>
            </wp:positionH>
            <wp:positionV relativeFrom="paragraph">
              <wp:posOffset>406857</wp:posOffset>
            </wp:positionV>
            <wp:extent cx="298450" cy="298450"/>
            <wp:effectExtent l="0" t="0" r="0" b="0"/>
            <wp:wrapNone/>
            <wp:docPr id="4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your test is </w:t>
      </w:r>
      <w:r w:rsidR="0030286B">
        <w:rPr>
          <w:rFonts w:ascii="MS Gothic"/>
          <w:color w:val="B02045"/>
          <w:w w:val="110"/>
        </w:rPr>
        <w:t>@Transactional</w:t>
      </w:r>
      <w:r w:rsidR="0030286B">
        <w:rPr>
          <w:color w:val="333333"/>
          <w:w w:val="110"/>
        </w:rPr>
        <w:t xml:space="preserve">, it rolls back the transaction at the end of each test method by default. However, as using this arrangement with either </w:t>
      </w:r>
      <w:r w:rsidR="0030286B">
        <w:rPr>
          <w:rFonts w:ascii="MS Gothic"/>
          <w:color w:val="B02045"/>
          <w:w w:val="110"/>
        </w:rPr>
        <w:t xml:space="preserve">RANDOM_PORT </w:t>
      </w:r>
      <w:r w:rsidR="0030286B">
        <w:rPr>
          <w:color w:val="333333"/>
          <w:w w:val="110"/>
        </w:rPr>
        <w:t xml:space="preserve">or </w:t>
      </w:r>
      <w:r w:rsidR="0030286B">
        <w:rPr>
          <w:rFonts w:ascii="MS Gothic"/>
          <w:color w:val="B02045"/>
          <w:w w:val="110"/>
        </w:rPr>
        <w:t xml:space="preserve">DEFINED_PORT </w:t>
      </w:r>
      <w:r w:rsidR="0030286B">
        <w:rPr>
          <w:color w:val="333333"/>
          <w:w w:val="110"/>
        </w:rPr>
        <w:t>implicitly provides a real servlet environment, the HTTP client and server run in separate threads and, thus, in separate transactions. Any transaction initiated on the server does not roll back in this case.</w:t>
      </w:r>
    </w:p>
    <w:p w14:paraId="52D8552A" w14:textId="77777777" w:rsidR="00A720EB" w:rsidRDefault="00A720EB">
      <w:pPr>
        <w:pStyle w:val="a3"/>
        <w:spacing w:before="8"/>
        <w:rPr>
          <w:sz w:val="24"/>
        </w:rPr>
      </w:pPr>
    </w:p>
    <w:p w14:paraId="504813BC" w14:textId="77777777" w:rsidR="00A720EB" w:rsidRDefault="00E10349">
      <w:pPr>
        <w:pStyle w:val="a3"/>
        <w:spacing w:before="116" w:line="300" w:lineRule="auto"/>
        <w:ind w:left="1564" w:right="365"/>
        <w:jc w:val="both"/>
      </w:pPr>
      <w:r>
        <w:pict w14:anchorId="0D3337BD">
          <v:line id="_x0000_s3698" style="position:absolute;left:0;text-align:left;z-index:16088064;mso-position-horizontal-relative:page" from="108.25pt,.35pt" to="108.25pt,55.7pt" strokecolor="#ededed" strokeweight=".5pt">
            <w10:wrap anchorx="page"/>
          </v:line>
        </w:pict>
      </w:r>
      <w:r w:rsidR="0030286B">
        <w:rPr>
          <w:noProof/>
        </w:rPr>
        <w:drawing>
          <wp:anchor distT="0" distB="0" distL="0" distR="0" simplePos="0" relativeHeight="16088576" behindDoc="0" locked="0" layoutInCell="1" allowOverlap="1" wp14:anchorId="00EDF8F9" wp14:editId="44751B7C">
            <wp:simplePos x="0" y="0"/>
            <wp:positionH relativeFrom="page">
              <wp:posOffset>844422</wp:posOffset>
            </wp:positionH>
            <wp:positionV relativeFrom="paragraph">
              <wp:posOffset>206451</wp:posOffset>
            </wp:positionV>
            <wp:extent cx="298450" cy="298450"/>
            <wp:effectExtent l="0" t="0" r="0" b="0"/>
            <wp:wrapNone/>
            <wp:docPr id="4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w w:val="105"/>
        </w:rPr>
        <w:t xml:space="preserve">@SpringBootTest </w:t>
      </w:r>
      <w:r w:rsidR="0030286B">
        <w:rPr>
          <w:color w:val="333333"/>
          <w:w w:val="105"/>
        </w:rPr>
        <w:t xml:space="preserve">with </w:t>
      </w:r>
      <w:r w:rsidR="0030286B">
        <w:rPr>
          <w:rFonts w:ascii="MS Gothic"/>
          <w:color w:val="B02045"/>
          <w:w w:val="105"/>
        </w:rPr>
        <w:t>webEnvironment = WebEnvironment.RANDOM_PORT</w:t>
      </w:r>
      <w:r w:rsidR="0030286B">
        <w:rPr>
          <w:rFonts w:ascii="MS Gothic"/>
          <w:color w:val="B02045"/>
          <w:spacing w:val="-76"/>
          <w:w w:val="105"/>
        </w:rPr>
        <w:t xml:space="preserve"> </w:t>
      </w:r>
      <w:r w:rsidR="0030286B">
        <w:rPr>
          <w:color w:val="333333"/>
          <w:w w:val="105"/>
        </w:rPr>
        <w:t xml:space="preserve">will also start </w:t>
      </w:r>
      <w:r w:rsidR="0030286B">
        <w:rPr>
          <w:color w:val="333333"/>
          <w:w w:val="110"/>
        </w:rPr>
        <w:t>the management server on a separate random port if your application uses a different port for the management server.</w:t>
      </w:r>
    </w:p>
    <w:p w14:paraId="7829E737" w14:textId="77777777" w:rsidR="00A720EB" w:rsidRDefault="00A720EB">
      <w:pPr>
        <w:pStyle w:val="a3"/>
        <w:rPr>
          <w:sz w:val="24"/>
        </w:rPr>
      </w:pPr>
    </w:p>
    <w:p w14:paraId="7A98139A" w14:textId="77777777" w:rsidR="00A720EB" w:rsidRDefault="0030286B">
      <w:pPr>
        <w:pStyle w:val="4"/>
        <w:spacing w:before="104"/>
        <w:jc w:val="left"/>
      </w:pPr>
      <w:bookmarkStart w:id="460" w:name="Detecting_Web_Application_Type"/>
      <w:bookmarkEnd w:id="460"/>
      <w:r>
        <w:rPr>
          <w:color w:val="333333"/>
          <w:w w:val="110"/>
        </w:rPr>
        <w:t>Detecting Web Application Type</w:t>
      </w:r>
    </w:p>
    <w:p w14:paraId="3734E711" w14:textId="77777777" w:rsidR="00A720EB" w:rsidRDefault="00A720EB">
      <w:pPr>
        <w:pStyle w:val="a3"/>
        <w:spacing w:before="11"/>
        <w:rPr>
          <w:rFonts w:ascii="Palatino Linotype"/>
          <w:b/>
          <w:sz w:val="18"/>
        </w:rPr>
      </w:pPr>
    </w:p>
    <w:p w14:paraId="03915537" w14:textId="77777777" w:rsidR="00A720EB" w:rsidRDefault="0030286B">
      <w:pPr>
        <w:pStyle w:val="a3"/>
        <w:spacing w:line="307" w:lineRule="auto"/>
        <w:ind w:left="124"/>
      </w:pPr>
      <w:r>
        <w:rPr>
          <w:color w:val="333333"/>
          <w:w w:val="110"/>
        </w:rPr>
        <w:t>If Spring MVC is available, a regular MVC-based application context is configured. If you have only Spring WebFlux, we’ll detect that and configure a WebFlux-based application context instead.</w:t>
      </w:r>
    </w:p>
    <w:p w14:paraId="797ED0E1" w14:textId="77777777" w:rsidR="00A720EB" w:rsidRDefault="0030286B">
      <w:pPr>
        <w:pStyle w:val="a3"/>
        <w:spacing w:before="241" w:line="297" w:lineRule="auto"/>
        <w:ind w:left="124" w:right="462"/>
      </w:pPr>
      <w:r>
        <w:rPr>
          <w:color w:val="333333"/>
          <w:w w:val="110"/>
        </w:rPr>
        <w:t xml:space="preserve">If both are present, Spring MVC takes precedence. If you want to test a reactive web application in this scenario, you must set the </w:t>
      </w:r>
      <w:r>
        <w:rPr>
          <w:rFonts w:ascii="MS Gothic"/>
          <w:color w:val="B02045"/>
          <w:w w:val="110"/>
        </w:rPr>
        <w:t>spring.main.web-application-type</w:t>
      </w:r>
      <w:r>
        <w:rPr>
          <w:rFonts w:ascii="MS Gothic"/>
          <w:color w:val="B02045"/>
          <w:spacing w:val="-87"/>
          <w:w w:val="110"/>
        </w:rPr>
        <w:t xml:space="preserve"> </w:t>
      </w:r>
      <w:r>
        <w:rPr>
          <w:color w:val="333333"/>
          <w:w w:val="110"/>
        </w:rPr>
        <w:t>property:</w:t>
      </w:r>
    </w:p>
    <w:p w14:paraId="112046E5" w14:textId="77777777" w:rsidR="00A720EB" w:rsidRDefault="00E10349">
      <w:pPr>
        <w:pStyle w:val="a3"/>
        <w:spacing w:before="5"/>
        <w:rPr>
          <w:sz w:val="12"/>
        </w:rPr>
      </w:pPr>
      <w:r>
        <w:pict w14:anchorId="5BAC3246">
          <v:group id="_x0000_s3694" style="position:absolute;margin-left:47.85pt;margin-top:9.3pt;width:499.55pt;height:52.25pt;z-index:-15371776;mso-wrap-distance-left:0;mso-wrap-distance-right:0;mso-position-horizontal-relative:page" coordorigin="957,186" coordsize="9991,1045">
            <v:shape id="_x0000_s3697" style="position:absolute;left:964;top:193;width:9976;height:1030" coordorigin="965,193" coordsize="9976,1030" path="m10861,193r-9816,l1014,200r-26,17l971,242r-6,31l965,1143r6,31l988,1199r26,18l1045,1223r9816,l10892,1217r25,-18l10935,1174r6,-31l10941,273r-6,-31l10917,217r-25,-17l10861,193xe" fillcolor="#f5f5f5" stroked="f">
              <v:path arrowok="t"/>
            </v:shape>
            <v:shape id="_x0000_s3696" style="position:absolute;left:964;top:193;width:9976;height:1030" coordorigin="965,193" coordsize="9976,1030" path="m1045,193r9816,l10892,200r25,17l10935,242r6,31l10941,1143r-6,31l10917,1199r-25,18l10861,1223r-9816,l1014,1217r-26,-18l971,1174r-6,-31l965,273r6,-31l988,217r26,-17l1045,193xe" filled="f" strokecolor="#ccc">
              <v:path arrowok="t"/>
            </v:shape>
            <v:shape id="_x0000_s3695" type="#_x0000_t202" style="position:absolute;left:984;top:208;width:9938;height:999" filled="f" stroked="f">
              <v:textbox inset="0,0,0,0">
                <w:txbxContent>
                  <w:p w14:paraId="62F2A267" w14:textId="77777777" w:rsidR="00711A16" w:rsidRDefault="00711A16">
                    <w:pPr>
                      <w:spacing w:before="221" w:line="252" w:lineRule="auto"/>
                      <w:ind w:left="200" w:right="1688"/>
                      <w:rPr>
                        <w:rFonts w:ascii="MS Gothic"/>
                      </w:rPr>
                    </w:pPr>
                    <w:r>
                      <w:rPr>
                        <w:rFonts w:ascii="MS Gothic"/>
                        <w:color w:val="333333"/>
                      </w:rPr>
                      <w:t>@</w:t>
                    </w:r>
                    <w:proofErr w:type="gramStart"/>
                    <w:r>
                      <w:rPr>
                        <w:rFonts w:ascii="MS Gothic"/>
                        <w:color w:val="333333"/>
                      </w:rPr>
                      <w:t>SpringBootTest(</w:t>
                    </w:r>
                    <w:proofErr w:type="gramEnd"/>
                    <w:r>
                      <w:rPr>
                        <w:rFonts w:ascii="MS Gothic"/>
                        <w:color w:val="333333"/>
                      </w:rPr>
                      <w:t>properties = "spring.main.web-application-type=reactive") class MyWebFluxTests { ... }</w:t>
                    </w:r>
                  </w:p>
                </w:txbxContent>
              </v:textbox>
            </v:shape>
            <w10:wrap type="topAndBottom" anchorx="page"/>
          </v:group>
        </w:pict>
      </w:r>
    </w:p>
    <w:p w14:paraId="1E4C7C1C" w14:textId="77777777" w:rsidR="00A720EB" w:rsidRDefault="00A720EB">
      <w:pPr>
        <w:pStyle w:val="a3"/>
        <w:spacing w:before="11"/>
        <w:rPr>
          <w:sz w:val="16"/>
        </w:rPr>
      </w:pPr>
    </w:p>
    <w:p w14:paraId="77420B7F" w14:textId="77777777" w:rsidR="00A720EB" w:rsidRDefault="0030286B">
      <w:pPr>
        <w:pStyle w:val="4"/>
        <w:spacing w:before="104"/>
        <w:jc w:val="left"/>
      </w:pPr>
      <w:bookmarkStart w:id="461" w:name="Detecting_Test_Configuration"/>
      <w:bookmarkEnd w:id="461"/>
      <w:r>
        <w:rPr>
          <w:color w:val="333333"/>
          <w:w w:val="110"/>
        </w:rPr>
        <w:t>Detecting Test Configuration</w:t>
      </w:r>
    </w:p>
    <w:p w14:paraId="3BBFF25C" w14:textId="77777777" w:rsidR="00A720EB" w:rsidRDefault="00A720EB">
      <w:pPr>
        <w:pStyle w:val="a3"/>
        <w:spacing w:before="11"/>
        <w:rPr>
          <w:rFonts w:ascii="Palatino Linotype"/>
          <w:b/>
          <w:sz w:val="18"/>
        </w:rPr>
      </w:pPr>
    </w:p>
    <w:p w14:paraId="4DC18A90" w14:textId="77777777" w:rsidR="00A720EB" w:rsidRDefault="0030286B">
      <w:pPr>
        <w:pStyle w:val="a3"/>
        <w:tabs>
          <w:tab w:val="left" w:pos="493"/>
          <w:tab w:val="left" w:pos="1079"/>
          <w:tab w:val="left" w:pos="1622"/>
          <w:tab w:val="left" w:pos="2647"/>
          <w:tab w:val="left" w:pos="3315"/>
          <w:tab w:val="left" w:pos="3849"/>
          <w:tab w:val="left" w:pos="4718"/>
          <w:tab w:val="left" w:pos="5336"/>
          <w:tab w:val="left" w:pos="6771"/>
          <w:tab w:val="left" w:pos="7357"/>
          <w:tab w:val="left" w:pos="8001"/>
          <w:tab w:val="left" w:pos="8456"/>
          <w:tab w:val="left" w:pos="9139"/>
          <w:tab w:val="left" w:pos="9548"/>
        </w:tabs>
        <w:ind w:left="124"/>
      </w:pPr>
      <w:r>
        <w:rPr>
          <w:color w:val="333333"/>
          <w:w w:val="110"/>
        </w:rPr>
        <w:t>If</w:t>
      </w:r>
      <w:r>
        <w:rPr>
          <w:color w:val="333333"/>
          <w:w w:val="110"/>
        </w:rPr>
        <w:tab/>
        <w:t>you</w:t>
      </w:r>
      <w:r>
        <w:rPr>
          <w:color w:val="333333"/>
          <w:w w:val="110"/>
        </w:rPr>
        <w:tab/>
        <w:t>are</w:t>
      </w:r>
      <w:r>
        <w:rPr>
          <w:color w:val="333333"/>
          <w:w w:val="110"/>
        </w:rPr>
        <w:tab/>
        <w:t>familiar</w:t>
      </w:r>
      <w:r>
        <w:rPr>
          <w:color w:val="333333"/>
          <w:w w:val="110"/>
        </w:rPr>
        <w:tab/>
        <w:t>with</w:t>
      </w:r>
      <w:r>
        <w:rPr>
          <w:color w:val="333333"/>
          <w:w w:val="110"/>
        </w:rPr>
        <w:tab/>
        <w:t>the</w:t>
      </w:r>
      <w:r>
        <w:rPr>
          <w:color w:val="333333"/>
          <w:w w:val="110"/>
        </w:rPr>
        <w:tab/>
        <w:t>Spring</w:t>
      </w:r>
      <w:r>
        <w:rPr>
          <w:color w:val="333333"/>
          <w:w w:val="110"/>
        </w:rPr>
        <w:tab/>
      </w:r>
      <w:r>
        <w:rPr>
          <w:color w:val="333333"/>
          <w:spacing w:val="-3"/>
          <w:w w:val="110"/>
        </w:rPr>
        <w:t>Test</w:t>
      </w:r>
      <w:r>
        <w:rPr>
          <w:color w:val="333333"/>
          <w:spacing w:val="-3"/>
          <w:w w:val="110"/>
        </w:rPr>
        <w:tab/>
      </w:r>
      <w:r>
        <w:rPr>
          <w:color w:val="333333"/>
          <w:w w:val="110"/>
        </w:rPr>
        <w:t>Framework,</w:t>
      </w:r>
      <w:r>
        <w:rPr>
          <w:color w:val="333333"/>
          <w:w w:val="110"/>
        </w:rPr>
        <w:tab/>
        <w:t>you</w:t>
      </w:r>
      <w:r>
        <w:rPr>
          <w:color w:val="333333"/>
          <w:w w:val="110"/>
        </w:rPr>
        <w:tab/>
        <w:t>may</w:t>
      </w:r>
      <w:r>
        <w:rPr>
          <w:color w:val="333333"/>
          <w:w w:val="110"/>
        </w:rPr>
        <w:tab/>
        <w:t>be</w:t>
      </w:r>
      <w:r>
        <w:rPr>
          <w:color w:val="333333"/>
          <w:w w:val="110"/>
        </w:rPr>
        <w:tab/>
        <w:t>used</w:t>
      </w:r>
      <w:r>
        <w:rPr>
          <w:color w:val="333333"/>
          <w:w w:val="110"/>
        </w:rPr>
        <w:tab/>
        <w:t>to</w:t>
      </w:r>
      <w:r>
        <w:rPr>
          <w:color w:val="333333"/>
          <w:w w:val="110"/>
        </w:rPr>
        <w:tab/>
        <w:t>using</w:t>
      </w:r>
    </w:p>
    <w:p w14:paraId="14ED99AC" w14:textId="77777777" w:rsidR="00A720EB" w:rsidRDefault="0030286B">
      <w:pPr>
        <w:pStyle w:val="a3"/>
        <w:spacing w:before="59"/>
        <w:ind w:left="124"/>
      </w:pPr>
      <w:r>
        <w:rPr>
          <w:rFonts w:ascii="MS Gothic" w:hAnsi="MS Gothic"/>
          <w:color w:val="B02045"/>
          <w:w w:val="110"/>
        </w:rPr>
        <w:t>@</w:t>
      </w:r>
      <w:proofErr w:type="gramStart"/>
      <w:r>
        <w:rPr>
          <w:rFonts w:ascii="MS Gothic" w:hAnsi="MS Gothic"/>
          <w:color w:val="B02045"/>
          <w:w w:val="110"/>
        </w:rPr>
        <w:t>ContextConfiguration(</w:t>
      </w:r>
      <w:proofErr w:type="gramEnd"/>
      <w:r>
        <w:rPr>
          <w:rFonts w:ascii="MS Gothic" w:hAnsi="MS Gothic"/>
          <w:color w:val="B02045"/>
          <w:w w:val="110"/>
        </w:rPr>
        <w:t xml:space="preserve">classes=…) </w:t>
      </w:r>
      <w:r>
        <w:rPr>
          <w:color w:val="333333"/>
          <w:w w:val="110"/>
        </w:rPr>
        <w:t xml:space="preserve">in  order  to  specify  which  Spring  </w:t>
      </w:r>
      <w:r>
        <w:rPr>
          <w:rFonts w:ascii="MS Gothic" w:hAnsi="MS Gothic"/>
          <w:color w:val="B02045"/>
          <w:w w:val="110"/>
        </w:rPr>
        <w:t xml:space="preserve">@Configuration </w:t>
      </w:r>
      <w:r>
        <w:rPr>
          <w:color w:val="333333"/>
          <w:w w:val="110"/>
        </w:rPr>
        <w:t xml:space="preserve">to </w:t>
      </w:r>
      <w:r>
        <w:rPr>
          <w:color w:val="333333"/>
          <w:spacing w:val="15"/>
          <w:w w:val="110"/>
        </w:rPr>
        <w:t xml:space="preserve"> </w:t>
      </w:r>
      <w:r>
        <w:rPr>
          <w:color w:val="333333"/>
          <w:w w:val="110"/>
        </w:rPr>
        <w:t>load.</w:t>
      </w:r>
    </w:p>
    <w:p w14:paraId="7A2D096A" w14:textId="77777777" w:rsidR="00A720EB" w:rsidRDefault="00A720EB">
      <w:pPr>
        <w:sectPr w:rsidR="00A720EB">
          <w:pgSz w:w="11910" w:h="16840"/>
          <w:pgMar w:top="700" w:right="840" w:bottom="520" w:left="840" w:header="0" w:footer="323" w:gutter="0"/>
          <w:cols w:space="720"/>
        </w:sectPr>
      </w:pPr>
    </w:p>
    <w:p w14:paraId="2CCF0E9C" w14:textId="77777777" w:rsidR="00A720EB" w:rsidRDefault="0030286B">
      <w:pPr>
        <w:pStyle w:val="a3"/>
        <w:spacing w:before="96"/>
        <w:ind w:left="124"/>
        <w:jc w:val="both"/>
      </w:pPr>
      <w:r>
        <w:rPr>
          <w:color w:val="333333"/>
          <w:spacing w:val="-3"/>
          <w:w w:val="110"/>
        </w:rPr>
        <w:lastRenderedPageBreak/>
        <w:t xml:space="preserve">Alternatively, </w:t>
      </w:r>
      <w:r>
        <w:rPr>
          <w:color w:val="333333"/>
          <w:w w:val="110"/>
        </w:rPr>
        <w:t xml:space="preserve">you might have often used nested </w:t>
      </w:r>
      <w:r>
        <w:rPr>
          <w:rFonts w:ascii="MS Gothic"/>
          <w:color w:val="B02045"/>
          <w:w w:val="110"/>
        </w:rPr>
        <w:t>@Configuration</w:t>
      </w:r>
      <w:r>
        <w:rPr>
          <w:rFonts w:ascii="MS Gothic"/>
          <w:color w:val="B02045"/>
          <w:spacing w:val="-54"/>
          <w:w w:val="110"/>
        </w:rPr>
        <w:t xml:space="preserve"> </w:t>
      </w:r>
      <w:r>
        <w:rPr>
          <w:color w:val="333333"/>
          <w:w w:val="110"/>
        </w:rPr>
        <w:t>classes within your test.</w:t>
      </w:r>
    </w:p>
    <w:p w14:paraId="1E704E1E" w14:textId="77777777" w:rsidR="00A720EB" w:rsidRDefault="00A720EB">
      <w:pPr>
        <w:pStyle w:val="a3"/>
        <w:spacing w:before="5"/>
        <w:rPr>
          <w:sz w:val="24"/>
        </w:rPr>
      </w:pPr>
    </w:p>
    <w:p w14:paraId="55718766" w14:textId="77777777" w:rsidR="00A720EB" w:rsidRDefault="0030286B">
      <w:pPr>
        <w:pStyle w:val="a3"/>
        <w:spacing w:line="290" w:lineRule="auto"/>
        <w:ind w:left="124" w:right="124"/>
        <w:jc w:val="both"/>
      </w:pPr>
      <w:r>
        <w:rPr>
          <w:color w:val="333333"/>
          <w:w w:val="110"/>
        </w:rPr>
        <w:t xml:space="preserve">When testing Spring Boot applications, this is often not required. Spring Boot’s </w:t>
      </w:r>
      <w:r>
        <w:rPr>
          <w:rFonts w:ascii="MS Gothic" w:hAnsi="MS Gothic"/>
          <w:color w:val="B02045"/>
          <w:w w:val="110"/>
        </w:rPr>
        <w:t xml:space="preserve">@*Test </w:t>
      </w:r>
      <w:r>
        <w:rPr>
          <w:color w:val="333333"/>
          <w:w w:val="110"/>
        </w:rPr>
        <w:t>annotations search for your primary configuration automatically whenever you do not explicitly define one.</w:t>
      </w:r>
    </w:p>
    <w:p w14:paraId="7F643E39" w14:textId="77777777" w:rsidR="00A720EB" w:rsidRDefault="00A720EB">
      <w:pPr>
        <w:pStyle w:val="a3"/>
        <w:rPr>
          <w:sz w:val="22"/>
        </w:rPr>
      </w:pPr>
    </w:p>
    <w:p w14:paraId="43B41FAC" w14:textId="77777777" w:rsidR="00A720EB" w:rsidRDefault="0030286B">
      <w:pPr>
        <w:pStyle w:val="a3"/>
        <w:spacing w:before="1" w:line="295" w:lineRule="auto"/>
        <w:ind w:left="124" w:right="123"/>
        <w:jc w:val="both"/>
      </w:pPr>
      <w:r>
        <w:rPr>
          <w:color w:val="333333"/>
          <w:w w:val="110"/>
        </w:rPr>
        <w:t xml:space="preserve">The search algorithm works up from the package that contains the test until it finds </w:t>
      </w:r>
      <w:proofErr w:type="gramStart"/>
      <w:r>
        <w:rPr>
          <w:color w:val="333333"/>
          <w:w w:val="110"/>
        </w:rPr>
        <w:t>a  class</w:t>
      </w:r>
      <w:proofErr w:type="gramEnd"/>
      <w:r>
        <w:rPr>
          <w:color w:val="333333"/>
          <w:w w:val="110"/>
        </w:rPr>
        <w:t xml:space="preserve">  </w:t>
      </w:r>
      <w:r>
        <w:rPr>
          <w:color w:val="333333"/>
          <w:w w:val="105"/>
        </w:rPr>
        <w:t xml:space="preserve">annotated with </w:t>
      </w:r>
      <w:r>
        <w:rPr>
          <w:rFonts w:ascii="MS Gothic"/>
          <w:color w:val="B02045"/>
          <w:w w:val="105"/>
        </w:rPr>
        <w:t xml:space="preserve">@SpringBootApplication </w:t>
      </w:r>
      <w:r>
        <w:rPr>
          <w:color w:val="333333"/>
          <w:w w:val="105"/>
        </w:rPr>
        <w:t xml:space="preserve">or </w:t>
      </w:r>
      <w:r>
        <w:rPr>
          <w:rFonts w:ascii="MS Gothic"/>
          <w:color w:val="B02045"/>
          <w:w w:val="105"/>
        </w:rPr>
        <w:t>@SpringBootConfiguration</w:t>
      </w:r>
      <w:r>
        <w:rPr>
          <w:color w:val="333333"/>
          <w:w w:val="105"/>
        </w:rPr>
        <w:t xml:space="preserve">. As long as you </w:t>
      </w:r>
      <w:hyperlink w:anchor="_bookmark48" w:history="1">
        <w:r>
          <w:rPr>
            <w:color w:val="418BCA"/>
            <w:w w:val="105"/>
          </w:rPr>
          <w:t>structured your</w:t>
        </w:r>
      </w:hyperlink>
      <w:r>
        <w:rPr>
          <w:color w:val="418BCA"/>
          <w:w w:val="105"/>
        </w:rPr>
        <w:t xml:space="preserve"> </w:t>
      </w:r>
      <w:hyperlink w:anchor="_bookmark48" w:history="1">
        <w:r>
          <w:rPr>
            <w:color w:val="418BCA"/>
            <w:w w:val="110"/>
          </w:rPr>
          <w:t xml:space="preserve">code </w:t>
        </w:r>
      </w:hyperlink>
      <w:r>
        <w:rPr>
          <w:color w:val="333333"/>
          <w:w w:val="110"/>
        </w:rPr>
        <w:t xml:space="preserve">in a sensible </w:t>
      </w:r>
      <w:r>
        <w:rPr>
          <w:color w:val="333333"/>
          <w:spacing w:val="-7"/>
          <w:w w:val="110"/>
        </w:rPr>
        <w:t xml:space="preserve">way, </w:t>
      </w:r>
      <w:r>
        <w:rPr>
          <w:color w:val="333333"/>
          <w:w w:val="110"/>
        </w:rPr>
        <w:t>your main configuration is usually</w:t>
      </w:r>
      <w:r>
        <w:rPr>
          <w:color w:val="333333"/>
          <w:spacing w:val="46"/>
          <w:w w:val="110"/>
        </w:rPr>
        <w:t xml:space="preserve"> </w:t>
      </w:r>
      <w:r>
        <w:rPr>
          <w:color w:val="333333"/>
          <w:w w:val="110"/>
        </w:rPr>
        <w:t>found.</w:t>
      </w:r>
    </w:p>
    <w:p w14:paraId="702FD2D6" w14:textId="77777777" w:rsidR="00A720EB" w:rsidRDefault="00A720EB">
      <w:pPr>
        <w:pStyle w:val="a3"/>
        <w:spacing w:before="5"/>
        <w:rPr>
          <w:sz w:val="17"/>
        </w:rPr>
      </w:pPr>
    </w:p>
    <w:p w14:paraId="75B85546" w14:textId="77777777" w:rsidR="00A720EB" w:rsidRDefault="00E10349">
      <w:pPr>
        <w:pStyle w:val="a3"/>
        <w:spacing w:before="126" w:line="307" w:lineRule="auto"/>
        <w:ind w:left="1564" w:right="363"/>
        <w:jc w:val="both"/>
      </w:pPr>
      <w:r>
        <w:pict w14:anchorId="78117EA5">
          <v:line id="_x0000_s3693" style="position:absolute;left:0;text-align:left;z-index:16089088;mso-position-horizontal-relative:page" from="108.25pt,.3pt" to="108.25pt,146.55pt" strokecolor="#ededed" strokeweight=".5pt">
            <w10:wrap anchorx="page"/>
          </v:line>
        </w:pict>
      </w:r>
      <w:r w:rsidR="0030286B">
        <w:rPr>
          <w:color w:val="333333"/>
          <w:w w:val="110"/>
        </w:rPr>
        <w:t xml:space="preserve">If you use a </w:t>
      </w:r>
      <w:hyperlink w:anchor="_bookmark316" w:history="1">
        <w:r w:rsidR="0030286B">
          <w:rPr>
            <w:color w:val="418BCA"/>
            <w:w w:val="110"/>
          </w:rPr>
          <w:t>test annotation to test a more specific slice of your application</w:t>
        </w:r>
      </w:hyperlink>
      <w:r w:rsidR="0030286B">
        <w:rPr>
          <w:color w:val="333333"/>
          <w:w w:val="110"/>
        </w:rPr>
        <w:t xml:space="preserve">, you should avoid adding configuration settings that are specific to a particular area on the </w:t>
      </w:r>
      <w:hyperlink w:anchor="_bookmark332" w:history="1">
        <w:r w:rsidR="0030286B">
          <w:rPr>
            <w:color w:val="418BCA"/>
            <w:w w:val="110"/>
          </w:rPr>
          <w:t>main method’s application class</w:t>
        </w:r>
      </w:hyperlink>
      <w:r w:rsidR="0030286B">
        <w:rPr>
          <w:color w:val="333333"/>
          <w:w w:val="110"/>
        </w:rPr>
        <w:t>.</w:t>
      </w:r>
    </w:p>
    <w:p w14:paraId="3BAC503F" w14:textId="77777777" w:rsidR="00A720EB" w:rsidRDefault="0030286B">
      <w:pPr>
        <w:pStyle w:val="a3"/>
        <w:spacing w:before="230" w:line="295" w:lineRule="auto"/>
        <w:ind w:left="1564" w:right="362"/>
        <w:jc w:val="both"/>
        <w:rPr>
          <w:rFonts w:ascii="MS Gothic"/>
        </w:rPr>
      </w:pPr>
      <w:r>
        <w:rPr>
          <w:noProof/>
        </w:rPr>
        <w:drawing>
          <wp:anchor distT="0" distB="0" distL="0" distR="0" simplePos="0" relativeHeight="16089600" behindDoc="0" locked="0" layoutInCell="1" allowOverlap="1" wp14:anchorId="52346A44" wp14:editId="3FDD82F4">
            <wp:simplePos x="0" y="0"/>
            <wp:positionH relativeFrom="page">
              <wp:posOffset>844422</wp:posOffset>
            </wp:positionH>
            <wp:positionV relativeFrom="paragraph">
              <wp:posOffset>102438</wp:posOffset>
            </wp:positionV>
            <wp:extent cx="298450" cy="298450"/>
            <wp:effectExtent l="0" t="0" r="0" b="0"/>
            <wp:wrapNone/>
            <wp:docPr id="4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png"/>
                    <pic:cNvPicPr/>
                  </pic:nvPicPr>
                  <pic:blipFill>
                    <a:blip r:embed="rId24" cstate="print"/>
                    <a:stretch>
                      <a:fillRect/>
                    </a:stretch>
                  </pic:blipFill>
                  <pic:spPr>
                    <a:xfrm>
                      <a:off x="0" y="0"/>
                      <a:ext cx="298450" cy="298450"/>
                    </a:xfrm>
                    <a:prstGeom prst="rect">
                      <a:avLst/>
                    </a:prstGeom>
                  </pic:spPr>
                </pic:pic>
              </a:graphicData>
            </a:graphic>
          </wp:anchor>
        </w:drawing>
      </w:r>
      <w:r>
        <w:rPr>
          <w:color w:val="333333"/>
          <w:w w:val="110"/>
        </w:rPr>
        <w:t xml:space="preserve">The underlying component scan configuration of </w:t>
      </w:r>
      <w:r>
        <w:rPr>
          <w:rFonts w:ascii="MS Gothic"/>
          <w:color w:val="B02045"/>
          <w:w w:val="110"/>
        </w:rPr>
        <w:t xml:space="preserve">@SpringBootApplication </w:t>
      </w:r>
      <w:r>
        <w:rPr>
          <w:color w:val="333333"/>
          <w:w w:val="110"/>
        </w:rPr>
        <w:t xml:space="preserve">defines exclude filters that are used to make sure slicing works as expected. If you </w:t>
      </w:r>
      <w:proofErr w:type="gramStart"/>
      <w:r>
        <w:rPr>
          <w:color w:val="333333"/>
          <w:w w:val="110"/>
        </w:rPr>
        <w:t xml:space="preserve">are </w:t>
      </w:r>
      <w:r>
        <w:rPr>
          <w:color w:val="333333"/>
          <w:spacing w:val="50"/>
          <w:w w:val="110"/>
        </w:rPr>
        <w:t xml:space="preserve"> </w:t>
      </w:r>
      <w:r>
        <w:rPr>
          <w:color w:val="333333"/>
          <w:w w:val="110"/>
        </w:rPr>
        <w:t>using</w:t>
      </w:r>
      <w:proofErr w:type="gramEnd"/>
      <w:r>
        <w:rPr>
          <w:color w:val="333333"/>
          <w:w w:val="110"/>
        </w:rPr>
        <w:t xml:space="preserve"> an explicit </w:t>
      </w:r>
      <w:r>
        <w:rPr>
          <w:rFonts w:ascii="MS Gothic"/>
          <w:color w:val="B02045"/>
          <w:w w:val="110"/>
        </w:rPr>
        <w:t xml:space="preserve">@ComponentScan </w:t>
      </w:r>
      <w:r>
        <w:rPr>
          <w:color w:val="333333"/>
          <w:w w:val="110"/>
        </w:rPr>
        <w:t>directive on your</w:t>
      </w:r>
      <w:r>
        <w:rPr>
          <w:color w:val="333333"/>
          <w:spacing w:val="4"/>
          <w:w w:val="110"/>
        </w:rPr>
        <w:t xml:space="preserve"> </w:t>
      </w:r>
      <w:r>
        <w:rPr>
          <w:rFonts w:ascii="MS Gothic"/>
          <w:color w:val="B02045"/>
          <w:w w:val="110"/>
        </w:rPr>
        <w:t>@SpringBootApplication</w:t>
      </w:r>
    </w:p>
    <w:p w14:paraId="5C8F576D" w14:textId="77777777" w:rsidR="00A720EB" w:rsidRDefault="0030286B">
      <w:pPr>
        <w:pStyle w:val="a3"/>
        <w:spacing w:line="307" w:lineRule="auto"/>
        <w:ind w:left="1564" w:right="369"/>
        <w:jc w:val="both"/>
      </w:pPr>
      <w:r>
        <w:rPr>
          <w:color w:val="333333"/>
          <w:w w:val="110"/>
        </w:rPr>
        <w:t xml:space="preserve">-annotated class, be aware that those filters will be disabled. If you </w:t>
      </w:r>
      <w:proofErr w:type="gramStart"/>
      <w:r>
        <w:rPr>
          <w:color w:val="333333"/>
          <w:w w:val="110"/>
        </w:rPr>
        <w:t>are  using</w:t>
      </w:r>
      <w:proofErr w:type="gramEnd"/>
      <w:r>
        <w:rPr>
          <w:color w:val="333333"/>
          <w:w w:val="110"/>
        </w:rPr>
        <w:t xml:space="preserve">  slicing, you should define them</w:t>
      </w:r>
      <w:r>
        <w:rPr>
          <w:color w:val="333333"/>
          <w:spacing w:val="17"/>
          <w:w w:val="110"/>
        </w:rPr>
        <w:t xml:space="preserve"> </w:t>
      </w:r>
      <w:r>
        <w:rPr>
          <w:color w:val="333333"/>
          <w:w w:val="110"/>
        </w:rPr>
        <w:t>again.</w:t>
      </w:r>
    </w:p>
    <w:p w14:paraId="0219E8F0" w14:textId="77777777" w:rsidR="00A720EB" w:rsidRDefault="00A720EB">
      <w:pPr>
        <w:pStyle w:val="a3"/>
        <w:rPr>
          <w:sz w:val="16"/>
        </w:rPr>
      </w:pPr>
    </w:p>
    <w:p w14:paraId="3709E7B9" w14:textId="77777777" w:rsidR="00A720EB" w:rsidRDefault="0030286B">
      <w:pPr>
        <w:pStyle w:val="a3"/>
        <w:spacing w:before="116" w:line="285" w:lineRule="auto"/>
        <w:ind w:left="124" w:right="122"/>
        <w:jc w:val="both"/>
      </w:pPr>
      <w:r>
        <w:rPr>
          <w:color w:val="333333"/>
          <w:w w:val="110"/>
        </w:rPr>
        <w:t xml:space="preserve">If you want to customize the primary configuration, you can use a nested </w:t>
      </w:r>
      <w:r>
        <w:rPr>
          <w:rFonts w:ascii="MS Gothic" w:hAnsi="MS Gothic"/>
          <w:color w:val="B02045"/>
          <w:w w:val="110"/>
        </w:rPr>
        <w:t xml:space="preserve">@TestConfiguration </w:t>
      </w:r>
      <w:r>
        <w:rPr>
          <w:color w:val="333333"/>
          <w:w w:val="110"/>
        </w:rPr>
        <w:t xml:space="preserve">class. Unlike a nested </w:t>
      </w:r>
      <w:r>
        <w:rPr>
          <w:rFonts w:ascii="MS Gothic" w:hAnsi="MS Gothic"/>
          <w:color w:val="B02045"/>
          <w:w w:val="110"/>
        </w:rPr>
        <w:t xml:space="preserve">@Configuration </w:t>
      </w:r>
      <w:r>
        <w:rPr>
          <w:color w:val="333333"/>
          <w:w w:val="110"/>
        </w:rPr>
        <w:t xml:space="preserve">class, which would be used instead of your application’s primary configuration, a nested </w:t>
      </w:r>
      <w:r>
        <w:rPr>
          <w:rFonts w:ascii="MS Gothic" w:hAnsi="MS Gothic"/>
          <w:color w:val="B02045"/>
          <w:w w:val="110"/>
        </w:rPr>
        <w:t xml:space="preserve">@TestConfiguration </w:t>
      </w:r>
      <w:r>
        <w:rPr>
          <w:color w:val="333333"/>
          <w:w w:val="110"/>
        </w:rPr>
        <w:t>class is used in addition to your application’s primary configuration.</w:t>
      </w:r>
    </w:p>
    <w:p w14:paraId="120B8851" w14:textId="77777777" w:rsidR="00A720EB" w:rsidRDefault="00A720EB">
      <w:pPr>
        <w:pStyle w:val="a3"/>
        <w:spacing w:before="3"/>
        <w:rPr>
          <w:sz w:val="18"/>
        </w:rPr>
      </w:pPr>
    </w:p>
    <w:p w14:paraId="5F794951" w14:textId="77777777" w:rsidR="00A720EB" w:rsidRDefault="00E10349">
      <w:pPr>
        <w:pStyle w:val="a3"/>
        <w:spacing w:before="125" w:line="307" w:lineRule="auto"/>
        <w:ind w:left="1564" w:right="370"/>
        <w:jc w:val="both"/>
      </w:pPr>
      <w:r>
        <w:pict w14:anchorId="2FF592B9">
          <v:line id="_x0000_s3692" style="position:absolute;left:0;text-align:left;z-index:16090112;mso-position-horizontal-relative:page" from="108.25pt,.25pt" to="108.25pt,55.6pt" strokecolor="#ededed" strokeweight=".5pt">
            <w10:wrap anchorx="page"/>
          </v:line>
        </w:pict>
      </w:r>
      <w:r w:rsidR="0030286B">
        <w:rPr>
          <w:noProof/>
        </w:rPr>
        <w:drawing>
          <wp:anchor distT="0" distB="0" distL="0" distR="0" simplePos="0" relativeHeight="16090624" behindDoc="0" locked="0" layoutInCell="1" allowOverlap="1" wp14:anchorId="7B0A9301" wp14:editId="5FB6785C">
            <wp:simplePos x="0" y="0"/>
            <wp:positionH relativeFrom="page">
              <wp:posOffset>844422</wp:posOffset>
            </wp:positionH>
            <wp:positionV relativeFrom="paragraph">
              <wp:posOffset>205524</wp:posOffset>
            </wp:positionV>
            <wp:extent cx="298450" cy="298450"/>
            <wp:effectExtent l="0" t="0" r="0" b="0"/>
            <wp:wrapNone/>
            <wp:docPr id="4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Spring’s test framework caches application contexts between tests. Therefore, </w:t>
      </w:r>
      <w:proofErr w:type="gramStart"/>
      <w:r w:rsidR="0030286B">
        <w:rPr>
          <w:color w:val="333333"/>
          <w:w w:val="110"/>
        </w:rPr>
        <w:t>as  long</w:t>
      </w:r>
      <w:proofErr w:type="gramEnd"/>
      <w:r w:rsidR="0030286B">
        <w:rPr>
          <w:color w:val="333333"/>
          <w:w w:val="110"/>
        </w:rPr>
        <w:t xml:space="preserve"> as your tests share the same configuration (no matter how it is discovered),  the potentially time-consuming process of loading the context happens only once.</w:t>
      </w:r>
    </w:p>
    <w:p w14:paraId="4AFE839D" w14:textId="77777777" w:rsidR="00A720EB" w:rsidRDefault="00A720EB">
      <w:pPr>
        <w:pStyle w:val="a3"/>
        <w:spacing w:before="8"/>
        <w:rPr>
          <w:sz w:val="23"/>
        </w:rPr>
      </w:pPr>
    </w:p>
    <w:p w14:paraId="210BFA0D" w14:textId="77777777" w:rsidR="00A720EB" w:rsidRDefault="0030286B">
      <w:pPr>
        <w:pStyle w:val="4"/>
        <w:spacing w:before="104"/>
      </w:pPr>
      <w:bookmarkStart w:id="462" w:name="Excluding_Test_Configuration"/>
      <w:bookmarkEnd w:id="462"/>
      <w:r>
        <w:rPr>
          <w:color w:val="333333"/>
          <w:w w:val="110"/>
        </w:rPr>
        <w:t>Excluding Test Configuration</w:t>
      </w:r>
    </w:p>
    <w:p w14:paraId="63847A4B" w14:textId="77777777" w:rsidR="00A720EB" w:rsidRDefault="0030286B">
      <w:pPr>
        <w:pStyle w:val="a3"/>
        <w:spacing w:before="244" w:line="285" w:lineRule="auto"/>
        <w:ind w:left="124" w:right="122"/>
        <w:jc w:val="both"/>
      </w:pPr>
      <w:r>
        <w:rPr>
          <w:color w:val="333333"/>
          <w:w w:val="110"/>
        </w:rPr>
        <w:t xml:space="preserve">If your application uses component scanning (for example, if you use </w:t>
      </w:r>
      <w:r>
        <w:rPr>
          <w:rFonts w:ascii="MS Gothic"/>
          <w:color w:val="B02045"/>
          <w:w w:val="110"/>
        </w:rPr>
        <w:t xml:space="preserve">@SpringBootApplication </w:t>
      </w:r>
      <w:r>
        <w:rPr>
          <w:color w:val="333333"/>
          <w:w w:val="110"/>
        </w:rPr>
        <w:t xml:space="preserve">or </w:t>
      </w:r>
      <w:r>
        <w:rPr>
          <w:rFonts w:ascii="MS Gothic"/>
          <w:color w:val="B02045"/>
          <w:w w:val="110"/>
        </w:rPr>
        <w:t>@ComponentScan</w:t>
      </w:r>
      <w:r>
        <w:rPr>
          <w:color w:val="333333"/>
          <w:w w:val="110"/>
        </w:rPr>
        <w:t>), you may find top-level configuration classes that you created only for specific tests accidentally get picked up everywhere.</w:t>
      </w:r>
    </w:p>
    <w:p w14:paraId="6C548A93" w14:textId="77777777" w:rsidR="00A720EB" w:rsidRDefault="00A720EB">
      <w:pPr>
        <w:pStyle w:val="a3"/>
        <w:spacing w:before="7"/>
      </w:pPr>
    </w:p>
    <w:p w14:paraId="025528DC" w14:textId="77777777" w:rsidR="00A720EB" w:rsidRDefault="0030286B">
      <w:pPr>
        <w:pStyle w:val="a3"/>
        <w:spacing w:line="285" w:lineRule="auto"/>
        <w:ind w:left="124" w:right="124"/>
        <w:jc w:val="both"/>
      </w:pPr>
      <w:r>
        <w:rPr>
          <w:color w:val="333333"/>
          <w:w w:val="110"/>
        </w:rPr>
        <w:t xml:space="preserve">As we </w:t>
      </w:r>
      <w:hyperlink w:anchor="_bookmark308" w:history="1">
        <w:r>
          <w:rPr>
            <w:color w:val="418BCA"/>
            <w:w w:val="110"/>
          </w:rPr>
          <w:t>have seen earlier</w:t>
        </w:r>
      </w:hyperlink>
      <w:r>
        <w:rPr>
          <w:color w:val="333333"/>
          <w:w w:val="110"/>
        </w:rPr>
        <w:t xml:space="preserve">, </w:t>
      </w:r>
      <w:r>
        <w:rPr>
          <w:rFonts w:ascii="MS Gothic"/>
          <w:color w:val="B02045"/>
          <w:w w:val="110"/>
        </w:rPr>
        <w:t xml:space="preserve">@TestConfiguration </w:t>
      </w:r>
      <w:r>
        <w:rPr>
          <w:color w:val="333333"/>
          <w:w w:val="110"/>
        </w:rPr>
        <w:t xml:space="preserve">can be used on an inner class of a test to customize the primary configuration. When placed on a top-level class, </w:t>
      </w:r>
      <w:r>
        <w:rPr>
          <w:rFonts w:ascii="MS Gothic"/>
          <w:color w:val="B02045"/>
          <w:w w:val="110"/>
        </w:rPr>
        <w:t xml:space="preserve">@TestConfiguration </w:t>
      </w:r>
      <w:r>
        <w:rPr>
          <w:color w:val="333333"/>
          <w:w w:val="110"/>
        </w:rPr>
        <w:t xml:space="preserve">indicates that classes in </w:t>
      </w:r>
      <w:r>
        <w:rPr>
          <w:rFonts w:ascii="MS Gothic"/>
          <w:color w:val="B02045"/>
          <w:w w:val="110"/>
        </w:rPr>
        <w:t xml:space="preserve">src/test/java </w:t>
      </w:r>
      <w:r>
        <w:rPr>
          <w:color w:val="333333"/>
          <w:w w:val="110"/>
        </w:rPr>
        <w:t>should not be picked up by scanning. You can then import that class explicitly where it is required, as shown in the following example:</w:t>
      </w:r>
    </w:p>
    <w:p w14:paraId="180D325A" w14:textId="77777777" w:rsidR="00A720EB" w:rsidRDefault="00A720EB">
      <w:pPr>
        <w:spacing w:line="285" w:lineRule="auto"/>
        <w:jc w:val="both"/>
        <w:sectPr w:rsidR="00A720EB">
          <w:pgSz w:w="11910" w:h="16840"/>
          <w:pgMar w:top="620" w:right="840" w:bottom="520" w:left="840" w:header="0" w:footer="323" w:gutter="0"/>
          <w:cols w:space="720"/>
        </w:sectPr>
      </w:pPr>
    </w:p>
    <w:p w14:paraId="4D51638A" w14:textId="77777777" w:rsidR="00A720EB" w:rsidRDefault="00E10349">
      <w:pPr>
        <w:pStyle w:val="a3"/>
        <w:ind w:left="116"/>
        <w:rPr>
          <w:sz w:val="20"/>
        </w:rPr>
      </w:pPr>
      <w:r>
        <w:rPr>
          <w:sz w:val="20"/>
        </w:rPr>
      </w:r>
      <w:r>
        <w:rPr>
          <w:sz w:val="20"/>
        </w:rPr>
        <w:pict w14:anchorId="4F05B1AA">
          <v:group id="_x0000_s3688" style="width:499.55pt;height:170.15pt;mso-position-horizontal-relative:char;mso-position-vertical-relative:line" coordsize="9991,3403">
            <v:shape id="_x0000_s3691" style="position:absolute;left:7;top:7;width:9976;height:3388" coordorigin="8,8" coordsize="9976,3388" path="m9904,8l88,8,56,14,31,31,14,56,8,88r,3227l14,3347r17,25l56,3389r32,6l9904,3395r31,-6l9960,3372r17,-25l9984,3315r,-3227l9977,56,9960,31,9935,14,9904,8xe" fillcolor="#f5f5f5" stroked="f">
              <v:path arrowok="t"/>
            </v:shape>
            <v:shape id="_x0000_s3690" style="position:absolute;left:7;top:7;width:9976;height:3388" coordorigin="8,8" coordsize="9976,3388" path="m88,8r9816,l9935,14r25,17l9977,56r7,32l9984,3315r-7,32l9960,3372r-25,17l9904,3395r-9816,l56,3389,31,3372,14,3347,8,3315,8,88,14,56,31,31,56,14,88,8xe" filled="f" strokecolor="#ccc">
              <v:path arrowok="t"/>
            </v:shape>
            <v:shape id="_x0000_s3689" type="#_x0000_t202" style="position:absolute;left:26;top:22;width:9938;height:3358" filled="f" stroked="f">
              <v:textbox inset="0,0,0,0">
                <w:txbxContent>
                  <w:p w14:paraId="585CA07E" w14:textId="77777777" w:rsidR="00711A16" w:rsidRDefault="00711A16">
                    <w:pPr>
                      <w:spacing w:before="221" w:line="252" w:lineRule="auto"/>
                      <w:ind w:left="200" w:right="5868"/>
                      <w:rPr>
                        <w:rFonts w:ascii="MS Gothic"/>
                      </w:rPr>
                    </w:pPr>
                    <w:r>
                      <w:rPr>
                        <w:rFonts w:ascii="MS Gothic"/>
                        <w:color w:val="333333"/>
                      </w:rPr>
                      <w:t>@SpringBootTest @</w:t>
                    </w:r>
                    <w:proofErr w:type="gramStart"/>
                    <w:r>
                      <w:rPr>
                        <w:rFonts w:ascii="MS Gothic"/>
                        <w:color w:val="333333"/>
                      </w:rPr>
                      <w:t>Import(</w:t>
                    </w:r>
                    <w:proofErr w:type="gramEnd"/>
                    <w:r>
                      <w:rPr>
                        <w:rFonts w:ascii="MS Gothic"/>
                        <w:color w:val="333333"/>
                      </w:rPr>
                      <w:t>MyTestsConfiguration.class) class MyTests {</w:t>
                    </w:r>
                  </w:p>
                  <w:p w14:paraId="7485D76A" w14:textId="77777777" w:rsidR="00711A16" w:rsidRDefault="00711A16">
                    <w:pPr>
                      <w:spacing w:before="9"/>
                      <w:rPr>
                        <w:rFonts w:ascii="MS Gothic"/>
                      </w:rPr>
                    </w:pPr>
                  </w:p>
                  <w:p w14:paraId="4DA5EEF3" w14:textId="77777777" w:rsidR="00711A16" w:rsidRDefault="00711A16">
                    <w:pPr>
                      <w:ind w:left="640"/>
                      <w:rPr>
                        <w:rFonts w:ascii="MS Gothic"/>
                      </w:rPr>
                    </w:pPr>
                    <w:r>
                      <w:rPr>
                        <w:rFonts w:ascii="MS Gothic"/>
                        <w:color w:val="333333"/>
                      </w:rPr>
                      <w:t>@Test</w:t>
                    </w:r>
                  </w:p>
                  <w:p w14:paraId="71CCBA6A" w14:textId="77777777" w:rsidR="00711A16" w:rsidRDefault="00711A16">
                    <w:pPr>
                      <w:spacing w:before="13"/>
                      <w:ind w:left="640"/>
                      <w:rPr>
                        <w:rFonts w:ascii="MS Gothic"/>
                      </w:rPr>
                    </w:pPr>
                    <w:r>
                      <w:rPr>
                        <w:rFonts w:ascii="MS Gothic"/>
                        <w:color w:val="333333"/>
                      </w:rPr>
                      <w:t xml:space="preserve">void </w:t>
                    </w:r>
                    <w:proofErr w:type="gramStart"/>
                    <w:r>
                      <w:rPr>
                        <w:rFonts w:ascii="MS Gothic"/>
                        <w:color w:val="333333"/>
                      </w:rPr>
                      <w:t>exampleTest(</w:t>
                    </w:r>
                    <w:proofErr w:type="gramEnd"/>
                    <w:r>
                      <w:rPr>
                        <w:rFonts w:ascii="MS Gothic"/>
                        <w:color w:val="333333"/>
                      </w:rPr>
                      <w:t>) {</w:t>
                    </w:r>
                  </w:p>
                  <w:p w14:paraId="5618620D" w14:textId="77777777" w:rsidR="00711A16" w:rsidRDefault="00711A16">
                    <w:pPr>
                      <w:spacing w:before="13"/>
                      <w:ind w:left="1080"/>
                      <w:rPr>
                        <w:rFonts w:ascii="MS Gothic"/>
                      </w:rPr>
                    </w:pPr>
                    <w:r>
                      <w:rPr>
                        <w:rFonts w:ascii="MS Gothic"/>
                        <w:color w:val="333333"/>
                      </w:rPr>
                      <w:t>...</w:t>
                    </w:r>
                  </w:p>
                  <w:p w14:paraId="00767C25" w14:textId="77777777" w:rsidR="00711A16" w:rsidRDefault="00711A16">
                    <w:pPr>
                      <w:spacing w:before="13"/>
                      <w:ind w:left="640"/>
                      <w:rPr>
                        <w:rFonts w:ascii="MS Gothic"/>
                      </w:rPr>
                    </w:pPr>
                    <w:r>
                      <w:rPr>
                        <w:rFonts w:ascii="MS Gothic"/>
                        <w:color w:val="333333"/>
                      </w:rPr>
                      <w:t>}</w:t>
                    </w:r>
                  </w:p>
                  <w:p w14:paraId="5C854EBD" w14:textId="77777777" w:rsidR="00711A16" w:rsidRDefault="00711A16">
                    <w:pPr>
                      <w:rPr>
                        <w:rFonts w:ascii="MS Gothic"/>
                        <w:sz w:val="24"/>
                      </w:rPr>
                    </w:pPr>
                  </w:p>
                  <w:p w14:paraId="012A8474" w14:textId="77777777" w:rsidR="00711A16" w:rsidRDefault="00711A16">
                    <w:pPr>
                      <w:ind w:left="200"/>
                      <w:rPr>
                        <w:rFonts w:ascii="MS Gothic"/>
                      </w:rPr>
                    </w:pPr>
                    <w:r>
                      <w:rPr>
                        <w:rFonts w:ascii="MS Gothic"/>
                        <w:color w:val="333333"/>
                      </w:rPr>
                      <w:t>}</w:t>
                    </w:r>
                  </w:p>
                </w:txbxContent>
              </v:textbox>
            </v:shape>
            <w10:anchorlock/>
          </v:group>
        </w:pict>
      </w:r>
    </w:p>
    <w:p w14:paraId="4664827E" w14:textId="77777777" w:rsidR="00A720EB" w:rsidRDefault="00A720EB">
      <w:pPr>
        <w:pStyle w:val="a3"/>
        <w:spacing w:before="11"/>
        <w:rPr>
          <w:sz w:val="16"/>
        </w:rPr>
      </w:pPr>
    </w:p>
    <w:p w14:paraId="18EF020E" w14:textId="77777777" w:rsidR="00A720EB" w:rsidRDefault="00E10349">
      <w:pPr>
        <w:pStyle w:val="a3"/>
        <w:spacing w:before="116" w:line="280" w:lineRule="auto"/>
        <w:ind w:left="1564" w:right="357"/>
      </w:pPr>
      <w:r>
        <w:pict w14:anchorId="287D9E33">
          <v:line id="_x0000_s3687" style="position:absolute;left:0;text-align:left;z-index:16092160;mso-position-horizontal-relative:page" from="108.25pt,.35pt" to="108.25pt,39.9pt" strokecolor="#ededed" strokeweight=".5pt">
            <w10:wrap anchorx="page"/>
          </v:line>
        </w:pict>
      </w:r>
      <w:r w:rsidR="0030286B">
        <w:rPr>
          <w:noProof/>
        </w:rPr>
        <w:drawing>
          <wp:anchor distT="0" distB="0" distL="0" distR="0" simplePos="0" relativeHeight="16092672" behindDoc="0" locked="0" layoutInCell="1" allowOverlap="1" wp14:anchorId="762AE364" wp14:editId="66625D80">
            <wp:simplePos x="0" y="0"/>
            <wp:positionH relativeFrom="page">
              <wp:posOffset>844422</wp:posOffset>
            </wp:positionH>
            <wp:positionV relativeFrom="paragraph">
              <wp:posOffset>106248</wp:posOffset>
            </wp:positionV>
            <wp:extent cx="298450" cy="298450"/>
            <wp:effectExtent l="0" t="0" r="0" b="0"/>
            <wp:wrapNone/>
            <wp:docPr id="4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w:t>
      </w:r>
      <w:r w:rsidR="0030286B">
        <w:rPr>
          <w:color w:val="333333"/>
          <w:spacing w:val="-27"/>
          <w:w w:val="110"/>
        </w:rPr>
        <w:t xml:space="preserve"> </w:t>
      </w:r>
      <w:r w:rsidR="0030286B">
        <w:rPr>
          <w:color w:val="333333"/>
          <w:w w:val="110"/>
        </w:rPr>
        <w:t>you</w:t>
      </w:r>
      <w:r w:rsidR="0030286B">
        <w:rPr>
          <w:color w:val="333333"/>
          <w:spacing w:val="-26"/>
          <w:w w:val="110"/>
        </w:rPr>
        <w:t xml:space="preserve"> </w:t>
      </w:r>
      <w:r w:rsidR="0030286B">
        <w:rPr>
          <w:color w:val="333333"/>
          <w:w w:val="110"/>
        </w:rPr>
        <w:t>directly</w:t>
      </w:r>
      <w:r w:rsidR="0030286B">
        <w:rPr>
          <w:color w:val="333333"/>
          <w:spacing w:val="-27"/>
          <w:w w:val="110"/>
        </w:rPr>
        <w:t xml:space="preserve"> </w:t>
      </w:r>
      <w:r w:rsidR="0030286B">
        <w:rPr>
          <w:color w:val="333333"/>
          <w:w w:val="110"/>
        </w:rPr>
        <w:t>use</w:t>
      </w:r>
      <w:r w:rsidR="0030286B">
        <w:rPr>
          <w:color w:val="333333"/>
          <w:spacing w:val="-24"/>
          <w:w w:val="110"/>
        </w:rPr>
        <w:t xml:space="preserve"> </w:t>
      </w:r>
      <w:r w:rsidR="0030286B">
        <w:rPr>
          <w:rFonts w:ascii="MS Gothic"/>
          <w:color w:val="B02045"/>
          <w:w w:val="110"/>
        </w:rPr>
        <w:t>@ComponentScan</w:t>
      </w:r>
      <w:r w:rsidR="0030286B">
        <w:rPr>
          <w:rFonts w:ascii="MS Gothic"/>
          <w:color w:val="B02045"/>
          <w:spacing w:val="-91"/>
          <w:w w:val="110"/>
        </w:rPr>
        <w:t xml:space="preserve"> </w:t>
      </w:r>
      <w:r w:rsidR="0030286B">
        <w:rPr>
          <w:color w:val="333333"/>
          <w:w w:val="110"/>
        </w:rPr>
        <w:t>(that</w:t>
      </w:r>
      <w:r w:rsidR="0030286B">
        <w:rPr>
          <w:color w:val="333333"/>
          <w:spacing w:val="-27"/>
          <w:w w:val="110"/>
        </w:rPr>
        <w:t xml:space="preserve"> </w:t>
      </w:r>
      <w:r w:rsidR="0030286B">
        <w:rPr>
          <w:color w:val="333333"/>
          <w:w w:val="110"/>
        </w:rPr>
        <w:t>is,</w:t>
      </w:r>
      <w:r w:rsidR="0030286B">
        <w:rPr>
          <w:color w:val="333333"/>
          <w:spacing w:val="-26"/>
          <w:w w:val="110"/>
        </w:rPr>
        <w:t xml:space="preserve"> </w:t>
      </w:r>
      <w:r w:rsidR="0030286B">
        <w:rPr>
          <w:color w:val="333333"/>
          <w:w w:val="110"/>
        </w:rPr>
        <w:t>not</w:t>
      </w:r>
      <w:r w:rsidR="0030286B">
        <w:rPr>
          <w:color w:val="333333"/>
          <w:spacing w:val="-26"/>
          <w:w w:val="110"/>
        </w:rPr>
        <w:t xml:space="preserve"> </w:t>
      </w:r>
      <w:r w:rsidR="0030286B">
        <w:rPr>
          <w:color w:val="333333"/>
          <w:w w:val="110"/>
        </w:rPr>
        <w:t>through</w:t>
      </w:r>
      <w:r w:rsidR="0030286B">
        <w:rPr>
          <w:color w:val="333333"/>
          <w:spacing w:val="-26"/>
          <w:w w:val="110"/>
        </w:rPr>
        <w:t xml:space="preserve"> </w:t>
      </w:r>
      <w:r w:rsidR="0030286B">
        <w:rPr>
          <w:rFonts w:ascii="MS Gothic"/>
          <w:color w:val="B02045"/>
          <w:w w:val="110"/>
        </w:rPr>
        <w:t>@SpringBootApplication</w:t>
      </w:r>
      <w:r w:rsidR="0030286B">
        <w:rPr>
          <w:color w:val="333333"/>
          <w:w w:val="110"/>
        </w:rPr>
        <w:t>)</w:t>
      </w:r>
      <w:r w:rsidR="0030286B">
        <w:rPr>
          <w:color w:val="333333"/>
          <w:spacing w:val="-26"/>
          <w:w w:val="110"/>
        </w:rPr>
        <w:t xml:space="preserve"> </w:t>
      </w:r>
      <w:r w:rsidR="0030286B">
        <w:rPr>
          <w:color w:val="333333"/>
          <w:w w:val="110"/>
        </w:rPr>
        <w:t xml:space="preserve">you need to register the </w:t>
      </w:r>
      <w:r w:rsidR="0030286B">
        <w:rPr>
          <w:rFonts w:ascii="MS Gothic"/>
          <w:color w:val="B02045"/>
          <w:w w:val="110"/>
        </w:rPr>
        <w:t>TypeExcludeFilter</w:t>
      </w:r>
      <w:r w:rsidR="0030286B">
        <w:rPr>
          <w:rFonts w:ascii="MS Gothic"/>
          <w:color w:val="B02045"/>
          <w:spacing w:val="-86"/>
          <w:w w:val="110"/>
        </w:rPr>
        <w:t xml:space="preserve"> </w:t>
      </w:r>
      <w:r w:rsidR="0030286B">
        <w:rPr>
          <w:color w:val="333333"/>
          <w:w w:val="110"/>
        </w:rPr>
        <w:t xml:space="preserve">with it. See </w:t>
      </w:r>
      <w:hyperlink r:id="rId329">
        <w:r w:rsidR="0030286B">
          <w:rPr>
            <w:color w:val="418BCA"/>
            <w:w w:val="110"/>
          </w:rPr>
          <w:t xml:space="preserve">the Javadoc </w:t>
        </w:r>
      </w:hyperlink>
      <w:r w:rsidR="0030286B">
        <w:rPr>
          <w:color w:val="333333"/>
          <w:w w:val="110"/>
        </w:rPr>
        <w:t>for details.</w:t>
      </w:r>
    </w:p>
    <w:p w14:paraId="242E843E" w14:textId="77777777" w:rsidR="00A720EB" w:rsidRDefault="00A720EB">
      <w:pPr>
        <w:pStyle w:val="a3"/>
        <w:spacing w:before="6"/>
        <w:rPr>
          <w:sz w:val="24"/>
        </w:rPr>
      </w:pPr>
    </w:p>
    <w:p w14:paraId="2793F7FF" w14:textId="77777777" w:rsidR="00A720EB" w:rsidRDefault="0030286B">
      <w:pPr>
        <w:pStyle w:val="4"/>
        <w:spacing w:before="104"/>
        <w:jc w:val="left"/>
      </w:pPr>
      <w:bookmarkStart w:id="463" w:name="Using_Application_Arguments"/>
      <w:bookmarkEnd w:id="463"/>
      <w:r>
        <w:rPr>
          <w:color w:val="333333"/>
          <w:w w:val="110"/>
        </w:rPr>
        <w:t>Using Application Arguments</w:t>
      </w:r>
    </w:p>
    <w:p w14:paraId="729DB153" w14:textId="77777777" w:rsidR="00A720EB" w:rsidRDefault="0030286B">
      <w:pPr>
        <w:pStyle w:val="a3"/>
        <w:spacing w:before="244"/>
        <w:ind w:left="124"/>
        <w:rPr>
          <w:rFonts w:ascii="MS Gothic"/>
        </w:rPr>
      </w:pPr>
      <w:r>
        <w:rPr>
          <w:color w:val="333333"/>
          <w:w w:val="110"/>
        </w:rPr>
        <w:t xml:space="preserve">If your application expects </w:t>
      </w:r>
      <w:hyperlink w:anchor="_bookmark97" w:history="1">
        <w:r>
          <w:rPr>
            <w:color w:val="418BCA"/>
            <w:w w:val="110"/>
          </w:rPr>
          <w:t>arguments</w:t>
        </w:r>
      </w:hyperlink>
      <w:r>
        <w:rPr>
          <w:color w:val="333333"/>
          <w:w w:val="110"/>
        </w:rPr>
        <w:t xml:space="preserve">, you can have </w:t>
      </w:r>
      <w:r>
        <w:rPr>
          <w:rFonts w:ascii="MS Gothic"/>
          <w:color w:val="B02045"/>
          <w:w w:val="110"/>
        </w:rPr>
        <w:t xml:space="preserve">@SpringBootTest </w:t>
      </w:r>
      <w:r>
        <w:rPr>
          <w:color w:val="333333"/>
          <w:w w:val="110"/>
        </w:rPr>
        <w:t xml:space="preserve">inject them using the </w:t>
      </w:r>
      <w:r>
        <w:rPr>
          <w:rFonts w:ascii="MS Gothic"/>
          <w:color w:val="B02045"/>
          <w:w w:val="110"/>
        </w:rPr>
        <w:t>args</w:t>
      </w:r>
    </w:p>
    <w:p w14:paraId="26A8A621" w14:textId="77777777" w:rsidR="00A720EB" w:rsidRDefault="0030286B">
      <w:pPr>
        <w:pStyle w:val="a3"/>
        <w:spacing w:before="57"/>
        <w:ind w:left="124"/>
      </w:pPr>
      <w:r>
        <w:rPr>
          <w:color w:val="333333"/>
          <w:w w:val="110"/>
        </w:rPr>
        <w:t>attribute.</w:t>
      </w:r>
    </w:p>
    <w:p w14:paraId="2EFA05E6" w14:textId="77777777" w:rsidR="00A720EB" w:rsidRDefault="00E10349">
      <w:pPr>
        <w:pStyle w:val="a3"/>
        <w:rPr>
          <w:sz w:val="19"/>
        </w:rPr>
      </w:pPr>
      <w:r>
        <w:pict w14:anchorId="66A9E02C">
          <v:group id="_x0000_s3683" style="position:absolute;margin-left:47.85pt;margin-top:13.15pt;width:499.55pt;height:170.15pt;z-index:-15365632;mso-wrap-distance-left:0;mso-wrap-distance-right:0;mso-position-horizontal-relative:page" coordorigin="957,263" coordsize="9991,3403">
            <v:shape id="_x0000_s3686" style="position:absolute;left:964;top:270;width:9976;height:3388" coordorigin="965,270" coordsize="9976,3388" path="m10861,270r-9816,l1014,276r-26,18l971,319r-6,31l965,3578r6,31l988,3635r26,17l1045,3658r9816,l10892,3652r25,-17l10935,3609r6,-31l10941,350r-6,-31l10917,294r-25,-18l10861,270xe" fillcolor="#f5f5f5" stroked="f">
              <v:path arrowok="t"/>
            </v:shape>
            <v:shape id="_x0000_s3685" style="position:absolute;left:964;top:270;width:9976;height:3388" coordorigin="965,270" coordsize="9976,3388" path="m1045,270r9816,l10892,276r25,18l10935,319r6,31l10941,3578r-6,31l10917,3635r-25,17l10861,3658r-9816,l1014,3652r-26,-17l971,3609r-6,-31l965,350r6,-31l988,294r26,-18l1045,270xe" filled="f" strokecolor="#ccc">
              <v:path arrowok="t"/>
            </v:shape>
            <v:shape id="_x0000_s3684" type="#_x0000_t202" style="position:absolute;left:984;top:285;width:9938;height:3358" filled="f" stroked="f">
              <v:textbox inset="0,0,0,0">
                <w:txbxContent>
                  <w:p w14:paraId="34EC10BF"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SpringBootTest(</w:t>
                    </w:r>
                    <w:proofErr w:type="gramEnd"/>
                    <w:r>
                      <w:rPr>
                        <w:rFonts w:ascii="MS Gothic"/>
                        <w:color w:val="333333"/>
                      </w:rPr>
                      <w:t>args = "--app.test=one") class ApplicationArgumentsExampleTests {</w:t>
                    </w:r>
                  </w:p>
                  <w:p w14:paraId="5F4B421B" w14:textId="77777777" w:rsidR="00711A16" w:rsidRDefault="00711A16">
                    <w:pPr>
                      <w:spacing w:before="10"/>
                      <w:rPr>
                        <w:rFonts w:ascii="MS Gothic"/>
                      </w:rPr>
                    </w:pPr>
                  </w:p>
                  <w:p w14:paraId="6533F407" w14:textId="77777777" w:rsidR="00711A16" w:rsidRDefault="00711A16">
                    <w:pPr>
                      <w:ind w:left="640"/>
                      <w:rPr>
                        <w:rFonts w:ascii="MS Gothic"/>
                      </w:rPr>
                    </w:pPr>
                    <w:r>
                      <w:rPr>
                        <w:rFonts w:ascii="MS Gothic"/>
                        <w:color w:val="333333"/>
                      </w:rPr>
                      <w:t>@Test</w:t>
                    </w:r>
                  </w:p>
                  <w:p w14:paraId="152591CE" w14:textId="77777777" w:rsidR="00711A16" w:rsidRDefault="00711A16">
                    <w:pPr>
                      <w:spacing w:before="13" w:line="252" w:lineRule="auto"/>
                      <w:ind w:left="1080" w:right="1138" w:hanging="440"/>
                      <w:rPr>
                        <w:rFonts w:ascii="MS Gothic"/>
                      </w:rPr>
                    </w:pPr>
                    <w:r>
                      <w:rPr>
                        <w:rFonts w:ascii="MS Gothic"/>
                        <w:color w:val="333333"/>
                      </w:rPr>
                      <w:t xml:space="preserve">void </w:t>
                    </w:r>
                    <w:proofErr w:type="gramStart"/>
                    <w:r>
                      <w:rPr>
                        <w:rFonts w:ascii="MS Gothic"/>
                        <w:color w:val="333333"/>
                      </w:rPr>
                      <w:t>applicationArgumentsPopulated(</w:t>
                    </w:r>
                    <w:proofErr w:type="gramEnd"/>
                    <w:r>
                      <w:rPr>
                        <w:rFonts w:ascii="MS Gothic"/>
                        <w:color w:val="333333"/>
                      </w:rPr>
                      <w:t>@Autowired ApplicationArguments args) { assertThat(args.getOptionNames()).containsOnly("app.test"); assertThat(args.getOptionValues("app.test")).containsOnly("one");</w:t>
                    </w:r>
                  </w:p>
                  <w:p w14:paraId="5D573678" w14:textId="77777777" w:rsidR="00711A16" w:rsidRDefault="00711A16">
                    <w:pPr>
                      <w:spacing w:line="278" w:lineRule="exact"/>
                      <w:ind w:left="640"/>
                      <w:rPr>
                        <w:rFonts w:ascii="MS Gothic"/>
                      </w:rPr>
                    </w:pPr>
                    <w:r>
                      <w:rPr>
                        <w:rFonts w:ascii="MS Gothic"/>
                        <w:color w:val="333333"/>
                      </w:rPr>
                      <w:t>}</w:t>
                    </w:r>
                  </w:p>
                  <w:p w14:paraId="75D180FE" w14:textId="77777777" w:rsidR="00711A16" w:rsidRDefault="00711A16">
                    <w:pPr>
                      <w:rPr>
                        <w:rFonts w:ascii="MS Gothic"/>
                        <w:sz w:val="24"/>
                      </w:rPr>
                    </w:pPr>
                  </w:p>
                  <w:p w14:paraId="014E8398" w14:textId="77777777" w:rsidR="00711A16" w:rsidRDefault="00711A16">
                    <w:pPr>
                      <w:ind w:left="200"/>
                      <w:rPr>
                        <w:rFonts w:ascii="MS Gothic"/>
                      </w:rPr>
                    </w:pPr>
                    <w:r>
                      <w:rPr>
                        <w:rFonts w:ascii="MS Gothic"/>
                        <w:color w:val="333333"/>
                      </w:rPr>
                      <w:t>}</w:t>
                    </w:r>
                  </w:p>
                </w:txbxContent>
              </v:textbox>
            </v:shape>
            <w10:wrap type="topAndBottom" anchorx="page"/>
          </v:group>
        </w:pict>
      </w:r>
    </w:p>
    <w:p w14:paraId="48C10E17" w14:textId="77777777" w:rsidR="00A720EB" w:rsidRDefault="00A720EB">
      <w:pPr>
        <w:pStyle w:val="a3"/>
        <w:spacing w:before="11"/>
        <w:rPr>
          <w:sz w:val="16"/>
        </w:rPr>
      </w:pPr>
    </w:p>
    <w:p w14:paraId="31465169" w14:textId="77777777" w:rsidR="00A720EB" w:rsidRDefault="0030286B">
      <w:pPr>
        <w:pStyle w:val="4"/>
        <w:spacing w:before="104"/>
      </w:pPr>
      <w:bookmarkStart w:id="464" w:name="Testing_with_a_mock_environment"/>
      <w:bookmarkEnd w:id="464"/>
      <w:r>
        <w:rPr>
          <w:color w:val="333333"/>
          <w:w w:val="110"/>
        </w:rPr>
        <w:t>Testing with a mock environment</w:t>
      </w:r>
    </w:p>
    <w:p w14:paraId="71AE06CD" w14:textId="77777777" w:rsidR="00A720EB" w:rsidRDefault="0030286B">
      <w:pPr>
        <w:pStyle w:val="a3"/>
        <w:spacing w:before="244" w:line="285" w:lineRule="auto"/>
        <w:ind w:left="124" w:right="123"/>
        <w:jc w:val="both"/>
      </w:pPr>
      <w:r>
        <w:rPr>
          <w:color w:val="333333"/>
          <w:w w:val="110"/>
        </w:rPr>
        <w:t xml:space="preserve">By default, </w:t>
      </w:r>
      <w:r>
        <w:rPr>
          <w:rFonts w:ascii="MS Gothic"/>
          <w:color w:val="B02045"/>
          <w:w w:val="110"/>
        </w:rPr>
        <w:t xml:space="preserve">@SpringBootTest </w:t>
      </w:r>
      <w:r>
        <w:rPr>
          <w:color w:val="333333"/>
          <w:w w:val="110"/>
        </w:rPr>
        <w:t xml:space="preserve">does not start the server. If you have web endpoints that you want to test against this mock environment, you can additionally configure </w:t>
      </w:r>
      <w:hyperlink r:id="rId330" w:anchor="spring-mvc-test-framework">
        <w:r>
          <w:rPr>
            <w:rFonts w:ascii="MS Gothic"/>
            <w:color w:val="B02045"/>
            <w:w w:val="110"/>
          </w:rPr>
          <w:t xml:space="preserve">MockMvc </w:t>
        </w:r>
      </w:hyperlink>
      <w:r>
        <w:rPr>
          <w:color w:val="333333"/>
          <w:w w:val="110"/>
        </w:rPr>
        <w:t>as shown in the following example:</w:t>
      </w:r>
    </w:p>
    <w:p w14:paraId="3C47E8A0" w14:textId="77777777" w:rsidR="00A720EB" w:rsidRDefault="00A720EB">
      <w:pPr>
        <w:spacing w:line="285" w:lineRule="auto"/>
        <w:jc w:val="both"/>
        <w:sectPr w:rsidR="00A720EB">
          <w:pgSz w:w="11910" w:h="16840"/>
          <w:pgMar w:top="700" w:right="840" w:bottom="520" w:left="840" w:header="0" w:footer="323" w:gutter="0"/>
          <w:cols w:space="720"/>
        </w:sectPr>
      </w:pPr>
    </w:p>
    <w:p w14:paraId="2DB4093C" w14:textId="77777777" w:rsidR="00A720EB" w:rsidRDefault="00A720EB">
      <w:pPr>
        <w:pStyle w:val="a3"/>
        <w:spacing w:before="4"/>
        <w:rPr>
          <w:sz w:val="10"/>
        </w:rPr>
      </w:pPr>
    </w:p>
    <w:p w14:paraId="6ED304BB" w14:textId="77777777" w:rsidR="00A720EB" w:rsidRDefault="00E10349">
      <w:pPr>
        <w:spacing w:before="117"/>
        <w:ind w:left="344"/>
        <w:rPr>
          <w:rFonts w:ascii="MS Gothic"/>
        </w:rPr>
      </w:pPr>
      <w:r>
        <w:pict w14:anchorId="1E09EEAC">
          <v:group id="_x0000_s3680" style="position:absolute;left:0;text-align:left;margin-left:47.85pt;margin-top:-6.35pt;width:499.55pt;height:391.25pt;z-index:-41441280;mso-position-horizontal-relative:page" coordorigin="957,-127" coordsize="9991,7825">
            <v:shape id="_x0000_s3682" style="position:absolute;left:964;top:-120;width:9976;height:7810" coordorigin="965,-119" coordsize="9976,7810" path="m10861,-119r-9816,l1014,-113r-26,17l971,-71r-6,32l965,7611r6,31l988,7667r26,17l1045,7691r9816,l10892,7684r25,-17l10935,7642r6,-31l10941,-39r-6,-32l10917,-96r-25,-17l10861,-119xe" fillcolor="#f5f5f5" stroked="f">
              <v:path arrowok="t"/>
            </v:shape>
            <v:shape id="_x0000_s3681" style="position:absolute;left:964;top:-120;width:9976;height:7810" coordorigin="965,-119" coordsize="9976,7810" path="m1045,-119r9816,l10892,-113r25,17l10935,-71r6,32l10941,7611r-6,31l10917,7667r-25,17l10861,7691r-9816,l1014,7684r-26,-17l971,7642r-6,-31l965,-39r6,-32l988,-96r26,-17l1045,-119xe" filled="f" strokecolor="#ccc">
              <v:path arrowok="t"/>
            </v:shape>
            <w10:wrap anchorx="page"/>
          </v:group>
        </w:pict>
      </w:r>
      <w:r w:rsidR="0030286B">
        <w:rPr>
          <w:rFonts w:ascii="MS Gothic"/>
          <w:color w:val="333333"/>
        </w:rPr>
        <w:t xml:space="preserve">import </w:t>
      </w:r>
      <w:proofErr w:type="gramStart"/>
      <w:r w:rsidR="0030286B">
        <w:rPr>
          <w:rFonts w:ascii="MS Gothic"/>
          <w:color w:val="333333"/>
        </w:rPr>
        <w:t>org.junit.jupiter.api.Test</w:t>
      </w:r>
      <w:proofErr w:type="gramEnd"/>
      <w:r w:rsidR="0030286B">
        <w:rPr>
          <w:rFonts w:ascii="MS Gothic"/>
          <w:color w:val="333333"/>
        </w:rPr>
        <w:t>;</w:t>
      </w:r>
    </w:p>
    <w:p w14:paraId="30697425" w14:textId="77777777" w:rsidR="00A720EB" w:rsidRDefault="00A720EB">
      <w:pPr>
        <w:pStyle w:val="a3"/>
        <w:rPr>
          <w:rFonts w:ascii="MS Gothic"/>
          <w:sz w:val="24"/>
        </w:rPr>
      </w:pPr>
    </w:p>
    <w:p w14:paraId="58996CCE" w14:textId="77777777" w:rsidR="00A720EB" w:rsidRDefault="0030286B">
      <w:pPr>
        <w:ind w:left="344"/>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10F011FA" w14:textId="77777777" w:rsidR="00A720EB" w:rsidRDefault="0030286B">
      <w:pPr>
        <w:spacing w:before="13" w:line="252" w:lineRule="auto"/>
        <w:ind w:left="344" w:right="626"/>
        <w:rPr>
          <w:rFonts w:ascii="MS Gothic"/>
        </w:rPr>
      </w:pPr>
      <w:r>
        <w:rPr>
          <w:rFonts w:ascii="MS Gothic"/>
          <w:color w:val="333333"/>
        </w:rPr>
        <w:t xml:space="preserve">import </w:t>
      </w:r>
      <w:proofErr w:type="gramStart"/>
      <w:r>
        <w:rPr>
          <w:rFonts w:ascii="MS Gothic"/>
          <w:color w:val="333333"/>
        </w:rPr>
        <w:t>org.springframework.boot.test.autoconfigure.web.servlet</w:t>
      </w:r>
      <w:proofErr w:type="gramEnd"/>
      <w:r>
        <w:rPr>
          <w:rFonts w:ascii="MS Gothic"/>
          <w:color w:val="333333"/>
        </w:rPr>
        <w:t>.AutoConfigureMockMvc; import org.springframework.boot.test.context.SpringBootTest;</w:t>
      </w:r>
    </w:p>
    <w:p w14:paraId="64EE4FF3" w14:textId="77777777" w:rsidR="00A720EB" w:rsidRDefault="0030286B">
      <w:pPr>
        <w:spacing w:line="280" w:lineRule="exact"/>
        <w:ind w:left="344"/>
        <w:rPr>
          <w:rFonts w:ascii="MS Gothic"/>
        </w:rPr>
      </w:pPr>
      <w:r>
        <w:rPr>
          <w:rFonts w:ascii="MS Gothic"/>
          <w:color w:val="333333"/>
        </w:rPr>
        <w:t xml:space="preserve">import </w:t>
      </w:r>
      <w:proofErr w:type="gramStart"/>
      <w:r>
        <w:rPr>
          <w:rFonts w:ascii="MS Gothic"/>
          <w:color w:val="333333"/>
        </w:rPr>
        <w:t>org.springframework.test.web.servlet</w:t>
      </w:r>
      <w:proofErr w:type="gramEnd"/>
      <w:r>
        <w:rPr>
          <w:rFonts w:ascii="MS Gothic"/>
          <w:color w:val="333333"/>
        </w:rPr>
        <w:t>.MockMvc;</w:t>
      </w:r>
    </w:p>
    <w:p w14:paraId="257E1CF5" w14:textId="77777777" w:rsidR="00A720EB" w:rsidRDefault="00A720EB">
      <w:pPr>
        <w:pStyle w:val="a3"/>
        <w:rPr>
          <w:rFonts w:ascii="MS Gothic"/>
          <w:sz w:val="24"/>
        </w:rPr>
      </w:pPr>
    </w:p>
    <w:p w14:paraId="7229AA42" w14:textId="77777777" w:rsidR="00A720EB" w:rsidRDefault="0030286B">
      <w:pPr>
        <w:spacing w:before="1" w:line="252" w:lineRule="auto"/>
        <w:ind w:left="344" w:right="406"/>
        <w:rPr>
          <w:rFonts w:ascii="MS Gothic"/>
        </w:rPr>
      </w:pPr>
      <w:r>
        <w:rPr>
          <w:rFonts w:ascii="MS Gothic"/>
          <w:color w:val="333333"/>
        </w:rPr>
        <w:t xml:space="preserve">import static org.springframework.test.web.servlet.request.MockMvcRequestBuilders.get; import static </w:t>
      </w:r>
      <w:proofErr w:type="gramStart"/>
      <w:r>
        <w:rPr>
          <w:rFonts w:ascii="MS Gothic"/>
          <w:color w:val="333333"/>
        </w:rPr>
        <w:t>org.springframework.test.web.servlet</w:t>
      </w:r>
      <w:proofErr w:type="gramEnd"/>
      <w:r>
        <w:rPr>
          <w:rFonts w:ascii="MS Gothic"/>
          <w:color w:val="333333"/>
        </w:rPr>
        <w:t>.result.MockMvcResultMatchers.content;</w:t>
      </w:r>
    </w:p>
    <w:p w14:paraId="43759C37" w14:textId="77777777" w:rsidR="00A720EB" w:rsidRDefault="0030286B">
      <w:pPr>
        <w:spacing w:line="252" w:lineRule="auto"/>
        <w:ind w:left="344" w:right="1836"/>
        <w:rPr>
          <w:rFonts w:ascii="MS Gothic"/>
        </w:rPr>
      </w:pPr>
      <w:r>
        <w:rPr>
          <w:rFonts w:ascii="MS Gothic"/>
          <w:color w:val="333333"/>
        </w:rPr>
        <w:t xml:space="preserve">import static </w:t>
      </w:r>
      <w:proofErr w:type="gramStart"/>
      <w:r>
        <w:rPr>
          <w:rFonts w:ascii="MS Gothic"/>
          <w:color w:val="333333"/>
        </w:rPr>
        <w:t>org.springframework.test.web.servlet</w:t>
      </w:r>
      <w:proofErr w:type="gramEnd"/>
      <w:r>
        <w:rPr>
          <w:rFonts w:ascii="MS Gothic"/>
          <w:color w:val="333333"/>
        </w:rPr>
        <w:t>.result.MockMvcResultMatchers.status;</w:t>
      </w:r>
    </w:p>
    <w:p w14:paraId="11F6B5BC" w14:textId="77777777" w:rsidR="00A720EB" w:rsidRDefault="00A720EB">
      <w:pPr>
        <w:pStyle w:val="a3"/>
        <w:spacing w:before="6"/>
        <w:rPr>
          <w:rFonts w:ascii="MS Gothic"/>
          <w:sz w:val="22"/>
        </w:rPr>
      </w:pPr>
    </w:p>
    <w:p w14:paraId="40A6B946" w14:textId="77777777" w:rsidR="00A720EB" w:rsidRDefault="0030286B">
      <w:pPr>
        <w:spacing w:before="1" w:line="252" w:lineRule="auto"/>
        <w:ind w:left="344" w:right="7556"/>
        <w:rPr>
          <w:rFonts w:ascii="MS Gothic"/>
        </w:rPr>
      </w:pPr>
      <w:r>
        <w:rPr>
          <w:rFonts w:ascii="MS Gothic"/>
          <w:color w:val="333333"/>
        </w:rPr>
        <w:t>@SpringBootTest @AutoConfigureMockMvc</w:t>
      </w:r>
    </w:p>
    <w:p w14:paraId="571E9350" w14:textId="77777777" w:rsidR="00A720EB" w:rsidRDefault="0030286B">
      <w:pPr>
        <w:spacing w:line="280" w:lineRule="exact"/>
        <w:ind w:left="344"/>
        <w:rPr>
          <w:rFonts w:ascii="MS Gothic"/>
        </w:rPr>
      </w:pPr>
      <w:r>
        <w:rPr>
          <w:rFonts w:ascii="MS Gothic"/>
          <w:color w:val="333333"/>
        </w:rPr>
        <w:t>class MockMvcExampleTests {</w:t>
      </w:r>
    </w:p>
    <w:p w14:paraId="4B063895" w14:textId="77777777" w:rsidR="00A720EB" w:rsidRDefault="00A720EB">
      <w:pPr>
        <w:pStyle w:val="a3"/>
        <w:rPr>
          <w:rFonts w:ascii="MS Gothic"/>
          <w:sz w:val="24"/>
        </w:rPr>
      </w:pPr>
    </w:p>
    <w:p w14:paraId="48B581C6" w14:textId="77777777" w:rsidR="00A720EB" w:rsidRDefault="0030286B">
      <w:pPr>
        <w:ind w:left="784"/>
        <w:rPr>
          <w:rFonts w:ascii="MS Gothic"/>
        </w:rPr>
      </w:pPr>
      <w:r>
        <w:rPr>
          <w:rFonts w:ascii="MS Gothic"/>
          <w:color w:val="333333"/>
        </w:rPr>
        <w:t>@Test</w:t>
      </w:r>
    </w:p>
    <w:p w14:paraId="76405401" w14:textId="77777777" w:rsidR="00A720EB" w:rsidRDefault="0030286B">
      <w:pPr>
        <w:spacing w:before="13"/>
        <w:ind w:left="784"/>
        <w:rPr>
          <w:rFonts w:ascii="MS Gothic"/>
        </w:rPr>
      </w:pPr>
      <w:r>
        <w:rPr>
          <w:rFonts w:ascii="MS Gothic"/>
          <w:color w:val="333333"/>
        </w:rPr>
        <w:t xml:space="preserve">void </w:t>
      </w:r>
      <w:proofErr w:type="gramStart"/>
      <w:r>
        <w:rPr>
          <w:rFonts w:ascii="MS Gothic"/>
          <w:color w:val="333333"/>
        </w:rPr>
        <w:t>exampleTest(</w:t>
      </w:r>
      <w:proofErr w:type="gramEnd"/>
      <w:r>
        <w:rPr>
          <w:rFonts w:ascii="MS Gothic"/>
          <w:color w:val="333333"/>
        </w:rPr>
        <w:t>@Autowired MockMvc mvc) throws Exception {</w:t>
      </w:r>
    </w:p>
    <w:p w14:paraId="1CE3AAB8" w14:textId="77777777" w:rsidR="00A720EB" w:rsidRDefault="00A720EB">
      <w:pPr>
        <w:pStyle w:val="a3"/>
        <w:rPr>
          <w:rFonts w:ascii="MS Gothic"/>
          <w:sz w:val="24"/>
        </w:rPr>
      </w:pPr>
    </w:p>
    <w:p w14:paraId="65190E29" w14:textId="77777777" w:rsidR="00A720EB" w:rsidRDefault="0030286B">
      <w:pPr>
        <w:spacing w:line="252" w:lineRule="auto"/>
        <w:ind w:left="344" w:right="846"/>
        <w:rPr>
          <w:rFonts w:ascii="MS Gothic"/>
        </w:rPr>
      </w:pPr>
      <w:proofErr w:type="gramStart"/>
      <w:r>
        <w:rPr>
          <w:rFonts w:ascii="MS Gothic"/>
          <w:color w:val="333333"/>
        </w:rPr>
        <w:t>mvc.perform</w:t>
      </w:r>
      <w:proofErr w:type="gramEnd"/>
      <w:r>
        <w:rPr>
          <w:rFonts w:ascii="MS Gothic"/>
          <w:color w:val="333333"/>
        </w:rPr>
        <w:t>(get("/")).andExpect(status().isOk()).andExpect(content().string("Hello World"));</w:t>
      </w:r>
    </w:p>
    <w:p w14:paraId="0D413960" w14:textId="77777777" w:rsidR="00A720EB" w:rsidRDefault="0030286B">
      <w:pPr>
        <w:spacing w:line="280" w:lineRule="exact"/>
        <w:ind w:left="784"/>
        <w:rPr>
          <w:rFonts w:ascii="MS Gothic"/>
        </w:rPr>
      </w:pPr>
      <w:r>
        <w:rPr>
          <w:rFonts w:ascii="MS Gothic"/>
          <w:color w:val="333333"/>
        </w:rPr>
        <w:t>}</w:t>
      </w:r>
    </w:p>
    <w:p w14:paraId="1A42E2BB" w14:textId="77777777" w:rsidR="00A720EB" w:rsidRDefault="00A720EB">
      <w:pPr>
        <w:pStyle w:val="a3"/>
        <w:spacing w:before="12"/>
        <w:rPr>
          <w:rFonts w:ascii="MS Gothic"/>
          <w:sz w:val="14"/>
        </w:rPr>
      </w:pPr>
    </w:p>
    <w:p w14:paraId="1300E505" w14:textId="77777777" w:rsidR="00A720EB" w:rsidRDefault="0030286B">
      <w:pPr>
        <w:spacing w:before="116"/>
        <w:ind w:left="344"/>
        <w:rPr>
          <w:rFonts w:ascii="MS Gothic"/>
        </w:rPr>
      </w:pPr>
      <w:r>
        <w:rPr>
          <w:rFonts w:ascii="MS Gothic"/>
          <w:color w:val="333333"/>
        </w:rPr>
        <w:t>}</w:t>
      </w:r>
    </w:p>
    <w:p w14:paraId="245EB66D" w14:textId="77777777" w:rsidR="00A720EB" w:rsidRDefault="00A720EB">
      <w:pPr>
        <w:pStyle w:val="a3"/>
        <w:rPr>
          <w:rFonts w:ascii="MS Gothic"/>
          <w:sz w:val="20"/>
        </w:rPr>
      </w:pPr>
    </w:p>
    <w:p w14:paraId="6089439F" w14:textId="77777777" w:rsidR="00A720EB" w:rsidRDefault="00A720EB">
      <w:pPr>
        <w:pStyle w:val="a3"/>
        <w:spacing w:before="3"/>
        <w:rPr>
          <w:rFonts w:ascii="MS Gothic"/>
          <w:sz w:val="15"/>
        </w:rPr>
      </w:pPr>
    </w:p>
    <w:p w14:paraId="0CF4044E" w14:textId="77777777" w:rsidR="00A720EB" w:rsidRDefault="00E10349">
      <w:pPr>
        <w:pStyle w:val="a3"/>
        <w:spacing w:before="125"/>
        <w:ind w:left="1564"/>
      </w:pPr>
      <w:r>
        <w:pict w14:anchorId="7E160B88">
          <v:line id="_x0000_s3679" style="position:absolute;left:0;text-align:left;z-index:16093696;mso-position-horizontal-relative:page" from="108.25pt,.25pt" to="108.25pt,39.8pt" strokecolor="#ededed" strokeweight=".5pt">
            <w10:wrap anchorx="page"/>
          </v:line>
        </w:pict>
      </w:r>
      <w:r w:rsidR="0030286B">
        <w:rPr>
          <w:noProof/>
        </w:rPr>
        <w:drawing>
          <wp:anchor distT="0" distB="0" distL="0" distR="0" simplePos="0" relativeHeight="16094208" behindDoc="0" locked="0" layoutInCell="1" allowOverlap="1" wp14:anchorId="2EC55273" wp14:editId="62F8CAEF">
            <wp:simplePos x="0" y="0"/>
            <wp:positionH relativeFrom="page">
              <wp:posOffset>888949</wp:posOffset>
            </wp:positionH>
            <wp:positionV relativeFrom="paragraph">
              <wp:posOffset>102146</wp:posOffset>
            </wp:positionV>
            <wp:extent cx="209550" cy="304800"/>
            <wp:effectExtent l="0" t="0" r="0" b="0"/>
            <wp:wrapNone/>
            <wp:docPr id="4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If you want to focus only on the web layer and not start a complete</w:t>
      </w:r>
    </w:p>
    <w:p w14:paraId="0855DA23" w14:textId="77777777" w:rsidR="00A720EB" w:rsidRDefault="0030286B">
      <w:pPr>
        <w:pStyle w:val="a3"/>
        <w:spacing w:before="59"/>
        <w:ind w:left="1564"/>
      </w:pPr>
      <w:r>
        <w:rPr>
          <w:rFonts w:ascii="MS Gothic"/>
          <w:color w:val="B02045"/>
          <w:w w:val="105"/>
        </w:rPr>
        <w:t>ApplicationContext</w:t>
      </w:r>
      <w:r>
        <w:rPr>
          <w:color w:val="333333"/>
          <w:w w:val="105"/>
        </w:rPr>
        <w:t xml:space="preserve">, consider </w:t>
      </w:r>
      <w:hyperlink w:anchor="_bookmark318" w:history="1">
        <w:r>
          <w:rPr>
            <w:color w:val="418BCA"/>
            <w:w w:val="105"/>
          </w:rPr>
          <w:t xml:space="preserve">using </w:t>
        </w:r>
      </w:hyperlink>
      <w:hyperlink w:anchor="_bookmark318" w:history="1">
        <w:r>
          <w:rPr>
            <w:rFonts w:ascii="MS Gothic"/>
            <w:color w:val="B02045"/>
            <w:w w:val="105"/>
          </w:rPr>
          <w:t xml:space="preserve">@WebMvcTest </w:t>
        </w:r>
      </w:hyperlink>
      <w:hyperlink w:anchor="_bookmark318" w:history="1">
        <w:r>
          <w:rPr>
            <w:color w:val="418BCA"/>
            <w:w w:val="105"/>
          </w:rPr>
          <w:t>instead</w:t>
        </w:r>
      </w:hyperlink>
      <w:r>
        <w:rPr>
          <w:color w:val="333333"/>
          <w:w w:val="105"/>
        </w:rPr>
        <w:t>.</w:t>
      </w:r>
    </w:p>
    <w:p w14:paraId="609E3439" w14:textId="77777777" w:rsidR="00A720EB" w:rsidRDefault="00A720EB">
      <w:pPr>
        <w:pStyle w:val="a3"/>
        <w:spacing w:before="4"/>
      </w:pPr>
    </w:p>
    <w:p w14:paraId="304661CC" w14:textId="77777777" w:rsidR="00A720EB" w:rsidRDefault="0030286B">
      <w:pPr>
        <w:pStyle w:val="a3"/>
        <w:spacing w:before="116"/>
        <w:ind w:left="124"/>
      </w:pPr>
      <w:r>
        <w:rPr>
          <w:color w:val="333333"/>
          <w:w w:val="110"/>
        </w:rPr>
        <w:t xml:space="preserve">Alternatively, you can configure a </w:t>
      </w:r>
      <w:hyperlink r:id="rId331" w:anchor="webtestclient-tests">
        <w:r>
          <w:rPr>
            <w:rFonts w:ascii="MS Gothic"/>
            <w:color w:val="B02045"/>
            <w:w w:val="110"/>
          </w:rPr>
          <w:t xml:space="preserve">WebTestClient </w:t>
        </w:r>
      </w:hyperlink>
      <w:r>
        <w:rPr>
          <w:color w:val="333333"/>
          <w:w w:val="110"/>
        </w:rPr>
        <w:t>as shown in the following example:</w:t>
      </w:r>
    </w:p>
    <w:p w14:paraId="1722A8F4" w14:textId="77777777" w:rsidR="00A720EB" w:rsidRDefault="00A720EB">
      <w:pPr>
        <w:sectPr w:rsidR="00A720EB">
          <w:pgSz w:w="11910" w:h="16840"/>
          <w:pgMar w:top="700" w:right="840" w:bottom="520" w:left="840" w:header="0" w:footer="323" w:gutter="0"/>
          <w:cols w:space="720"/>
        </w:sectPr>
      </w:pPr>
    </w:p>
    <w:p w14:paraId="27B843F3" w14:textId="77777777" w:rsidR="00A720EB" w:rsidRDefault="00E10349">
      <w:pPr>
        <w:pStyle w:val="a3"/>
        <w:ind w:left="116"/>
        <w:rPr>
          <w:sz w:val="20"/>
        </w:rPr>
      </w:pPr>
      <w:r>
        <w:rPr>
          <w:sz w:val="20"/>
        </w:rPr>
      </w:r>
      <w:r>
        <w:rPr>
          <w:sz w:val="20"/>
        </w:rPr>
        <w:pict w14:anchorId="514B9C1B">
          <v:group id="_x0000_s3675" style="width:499.55pt;height:317.55pt;mso-position-horizontal-relative:char;mso-position-vertical-relative:line" coordsize="9991,6351">
            <v:shape id="_x0000_s3678" style="position:absolute;left:7;top:7;width:9976;height:6336" coordorigin="8,8" coordsize="9976,6336" path="m9904,8l88,8,56,14,31,31,14,56,8,88r,6176l14,6295r17,25l56,6337r32,7l9904,6344r31,-7l9960,6320r17,-25l9984,6264r,-6176l9977,56,9960,31,9935,14,9904,8xe" fillcolor="#f5f5f5" stroked="f">
              <v:path arrowok="t"/>
            </v:shape>
            <v:shape id="_x0000_s3677" style="position:absolute;left:7;top:7;width:9976;height:6336" coordorigin="8,8" coordsize="9976,6336" path="m88,8r9816,l9935,14r25,17l9977,56r7,32l9984,6264r-7,31l9960,6320r-25,17l9904,6344r-9816,l56,6337,31,6320,14,6295,8,6264,8,88,14,56,31,31,56,14,88,8xe" filled="f" strokecolor="#ccc">
              <v:path arrowok="t"/>
            </v:shape>
            <v:shape id="_x0000_s3676" type="#_x0000_t202" style="position:absolute;left:26;top:22;width:9938;height:6306" filled="f" stroked="f">
              <v:textbox inset="0,0,0,0">
                <w:txbxContent>
                  <w:p w14:paraId="72E7C956"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4123F076" w14:textId="77777777" w:rsidR="00711A16" w:rsidRDefault="00711A16">
                    <w:pPr>
                      <w:rPr>
                        <w:rFonts w:ascii="MS Gothic"/>
                        <w:sz w:val="24"/>
                      </w:rPr>
                    </w:pPr>
                  </w:p>
                  <w:p w14:paraId="1ACCC167" w14:textId="77777777" w:rsidR="00711A16" w:rsidRDefault="00711A16">
                    <w:pPr>
                      <w:spacing w:line="252" w:lineRule="auto"/>
                      <w:ind w:left="200" w:right="289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 import</w:t>
                    </w:r>
                  </w:p>
                  <w:p w14:paraId="3C243A6D" w14:textId="77777777" w:rsidR="00711A16" w:rsidRDefault="00711A16">
                    <w:pPr>
                      <w:spacing w:line="252" w:lineRule="auto"/>
                      <w:ind w:left="200" w:right="478"/>
                      <w:rPr>
                        <w:rFonts w:ascii="MS Gothic"/>
                      </w:rPr>
                    </w:pPr>
                    <w:proofErr w:type="gramStart"/>
                    <w:r>
                      <w:rPr>
                        <w:rFonts w:ascii="MS Gothic"/>
                        <w:color w:val="333333"/>
                      </w:rPr>
                      <w:t>org.springframework.boot.test.autoconfigure.web.reactive</w:t>
                    </w:r>
                    <w:proofErr w:type="gramEnd"/>
                    <w:r>
                      <w:rPr>
                        <w:rFonts w:ascii="MS Gothic"/>
                        <w:color w:val="333333"/>
                      </w:rPr>
                      <w:t>.AutoConfigureWebTestClient; import org.springframework.boot.test.context.SpringBootTest;</w:t>
                    </w:r>
                  </w:p>
                  <w:p w14:paraId="54E22F4E"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org.springframework.test.web.reactive</w:t>
                    </w:r>
                    <w:proofErr w:type="gramEnd"/>
                    <w:r>
                      <w:rPr>
                        <w:rFonts w:ascii="MS Gothic"/>
                        <w:color w:val="333333"/>
                      </w:rPr>
                      <w:t>.server.WebTestClient;</w:t>
                    </w:r>
                  </w:p>
                  <w:p w14:paraId="043D96A9" w14:textId="77777777" w:rsidR="00711A16" w:rsidRDefault="00711A16">
                    <w:pPr>
                      <w:spacing w:before="10"/>
                      <w:rPr>
                        <w:rFonts w:ascii="MS Gothic"/>
                        <w:sz w:val="23"/>
                      </w:rPr>
                    </w:pPr>
                  </w:p>
                  <w:p w14:paraId="49C98445" w14:textId="77777777" w:rsidR="00711A16" w:rsidRDefault="00711A16">
                    <w:pPr>
                      <w:spacing w:before="1" w:line="252" w:lineRule="auto"/>
                      <w:ind w:left="200" w:right="6748"/>
                      <w:rPr>
                        <w:rFonts w:ascii="MS Gothic"/>
                      </w:rPr>
                    </w:pPr>
                    <w:r>
                      <w:rPr>
                        <w:rFonts w:ascii="MS Gothic"/>
                        <w:color w:val="333333"/>
                      </w:rPr>
                      <w:t>@SpringBootTest @AutoConfigureWebTestClient</w:t>
                    </w:r>
                  </w:p>
                  <w:p w14:paraId="52E431B8" w14:textId="77777777" w:rsidR="00711A16" w:rsidRDefault="00711A16">
                    <w:pPr>
                      <w:spacing w:line="280" w:lineRule="exact"/>
                      <w:ind w:left="200"/>
                      <w:rPr>
                        <w:rFonts w:ascii="MS Gothic"/>
                      </w:rPr>
                    </w:pPr>
                    <w:r>
                      <w:rPr>
                        <w:rFonts w:ascii="MS Gothic"/>
                        <w:color w:val="333333"/>
                      </w:rPr>
                      <w:t>class MockWebTestClientExampleTests {</w:t>
                    </w:r>
                  </w:p>
                  <w:p w14:paraId="175433D7" w14:textId="77777777" w:rsidR="00711A16" w:rsidRDefault="00711A16">
                    <w:pPr>
                      <w:rPr>
                        <w:rFonts w:ascii="MS Gothic"/>
                        <w:sz w:val="24"/>
                      </w:rPr>
                    </w:pPr>
                  </w:p>
                  <w:p w14:paraId="14558A56" w14:textId="77777777" w:rsidR="00711A16" w:rsidRDefault="00711A16">
                    <w:pPr>
                      <w:ind w:left="640"/>
                      <w:rPr>
                        <w:rFonts w:ascii="MS Gothic"/>
                      </w:rPr>
                    </w:pPr>
                    <w:r>
                      <w:rPr>
                        <w:rFonts w:ascii="MS Gothic"/>
                        <w:color w:val="333333"/>
                      </w:rPr>
                      <w:t>@Test</w:t>
                    </w:r>
                  </w:p>
                  <w:p w14:paraId="30A8C6CE" w14:textId="77777777" w:rsidR="00711A16" w:rsidRDefault="00711A16">
                    <w:pPr>
                      <w:spacing w:before="13"/>
                      <w:ind w:left="640"/>
                      <w:rPr>
                        <w:rFonts w:ascii="MS Gothic"/>
                      </w:rPr>
                    </w:pPr>
                    <w:r>
                      <w:rPr>
                        <w:rFonts w:ascii="MS Gothic"/>
                        <w:color w:val="333333"/>
                      </w:rPr>
                      <w:t xml:space="preserve">void </w:t>
                    </w:r>
                    <w:proofErr w:type="gramStart"/>
                    <w:r>
                      <w:rPr>
                        <w:rFonts w:ascii="MS Gothic"/>
                        <w:color w:val="333333"/>
                      </w:rPr>
                      <w:t>exampleTest(</w:t>
                    </w:r>
                    <w:proofErr w:type="gramEnd"/>
                    <w:r>
                      <w:rPr>
                        <w:rFonts w:ascii="MS Gothic"/>
                        <w:color w:val="333333"/>
                      </w:rPr>
                      <w:t>@Autowired WebTestClient webClient) {</w:t>
                    </w:r>
                  </w:p>
                  <w:p w14:paraId="55DFA434" w14:textId="77777777" w:rsidR="00711A16" w:rsidRDefault="00711A16">
                    <w:pPr>
                      <w:rPr>
                        <w:rFonts w:ascii="MS Gothic"/>
                        <w:sz w:val="24"/>
                      </w:rPr>
                    </w:pPr>
                  </w:p>
                  <w:p w14:paraId="7FAB30C9" w14:textId="77777777" w:rsidR="00711A16" w:rsidRDefault="00711A16">
                    <w:pPr>
                      <w:spacing w:line="252" w:lineRule="auto"/>
                      <w:ind w:left="200" w:right="258"/>
                      <w:rPr>
                        <w:rFonts w:ascii="MS Gothic"/>
                      </w:rPr>
                    </w:pPr>
                    <w:r>
                      <w:rPr>
                        <w:rFonts w:ascii="MS Gothic"/>
                        <w:color w:val="333333"/>
                      </w:rPr>
                      <w:t>webClient.get(</w:t>
                    </w:r>
                    <w:proofErr w:type="gramStart"/>
                    <w:r>
                      <w:rPr>
                        <w:rFonts w:ascii="MS Gothic"/>
                        <w:color w:val="333333"/>
                      </w:rPr>
                      <w:t>).uri</w:t>
                    </w:r>
                    <w:proofErr w:type="gramEnd"/>
                    <w:r>
                      <w:rPr>
                        <w:rFonts w:ascii="MS Gothic"/>
                        <w:color w:val="333333"/>
                      </w:rPr>
                      <w:t>("/").exchange().expectStatus().isOk().expectBody(String.class).isE qualTo("Hello World");</w:t>
                    </w:r>
                  </w:p>
                  <w:p w14:paraId="657B7D50" w14:textId="77777777" w:rsidR="00711A16" w:rsidRDefault="00711A16">
                    <w:pPr>
                      <w:spacing w:line="280" w:lineRule="exact"/>
                      <w:ind w:left="640"/>
                      <w:rPr>
                        <w:rFonts w:ascii="MS Gothic"/>
                      </w:rPr>
                    </w:pPr>
                    <w:r>
                      <w:rPr>
                        <w:rFonts w:ascii="MS Gothic"/>
                        <w:color w:val="333333"/>
                      </w:rPr>
                      <w:t>}</w:t>
                    </w:r>
                  </w:p>
                  <w:p w14:paraId="4D834E4A" w14:textId="77777777" w:rsidR="00711A16" w:rsidRDefault="00711A16">
                    <w:pPr>
                      <w:rPr>
                        <w:rFonts w:ascii="MS Gothic"/>
                        <w:sz w:val="24"/>
                      </w:rPr>
                    </w:pPr>
                  </w:p>
                  <w:p w14:paraId="415F39C2" w14:textId="77777777" w:rsidR="00711A16" w:rsidRDefault="00711A16">
                    <w:pPr>
                      <w:ind w:left="200"/>
                      <w:rPr>
                        <w:rFonts w:ascii="MS Gothic"/>
                      </w:rPr>
                    </w:pPr>
                    <w:r>
                      <w:rPr>
                        <w:rFonts w:ascii="MS Gothic"/>
                        <w:color w:val="333333"/>
                      </w:rPr>
                      <w:t>}</w:t>
                    </w:r>
                  </w:p>
                </w:txbxContent>
              </v:textbox>
            </v:shape>
            <w10:anchorlock/>
          </v:group>
        </w:pict>
      </w:r>
    </w:p>
    <w:p w14:paraId="63139AAA" w14:textId="77777777" w:rsidR="00A720EB" w:rsidRDefault="00A720EB">
      <w:pPr>
        <w:pStyle w:val="a3"/>
        <w:spacing w:before="5"/>
        <w:rPr>
          <w:sz w:val="16"/>
        </w:rPr>
      </w:pPr>
    </w:p>
    <w:p w14:paraId="0221605A" w14:textId="77777777" w:rsidR="00A720EB" w:rsidRDefault="00E10349">
      <w:pPr>
        <w:pStyle w:val="a3"/>
        <w:spacing w:before="125" w:line="307" w:lineRule="auto"/>
        <w:ind w:left="1564" w:right="367"/>
        <w:jc w:val="both"/>
      </w:pPr>
      <w:r>
        <w:pict w14:anchorId="5CB091CC">
          <v:line id="_x0000_s3674" style="position:absolute;left:0;text-align:left;z-index:-41439232;mso-position-horizontal-relative:page" from="108.25pt,.25pt" to="108.25pt,162.3pt" strokecolor="#ededed" strokeweight=".5pt">
            <w10:wrap anchorx="page"/>
          </v:line>
        </w:pict>
      </w:r>
      <w:r w:rsidR="0030286B">
        <w:rPr>
          <w:color w:val="333333"/>
          <w:w w:val="110"/>
        </w:rPr>
        <w:t xml:space="preserve">Testing within a mocked environment is usually faster than running with a full Servlet container. However, since mocking occurs at the Spring MVC layer, </w:t>
      </w:r>
      <w:proofErr w:type="gramStart"/>
      <w:r w:rsidR="0030286B">
        <w:rPr>
          <w:color w:val="333333"/>
          <w:w w:val="110"/>
        </w:rPr>
        <w:t>code  that</w:t>
      </w:r>
      <w:proofErr w:type="gramEnd"/>
      <w:r w:rsidR="0030286B">
        <w:rPr>
          <w:color w:val="333333"/>
          <w:w w:val="110"/>
        </w:rPr>
        <w:t xml:space="preserve"> relies on lower-level Servlet container behavior cannot be directly tested with MockMvc.</w:t>
      </w:r>
    </w:p>
    <w:p w14:paraId="557A0215" w14:textId="77777777" w:rsidR="00A720EB" w:rsidRDefault="0030286B">
      <w:pPr>
        <w:pStyle w:val="a3"/>
        <w:spacing w:line="310" w:lineRule="atLeast"/>
        <w:ind w:left="1564" w:right="363" w:hanging="1005"/>
        <w:jc w:val="both"/>
      </w:pPr>
      <w:r>
        <w:rPr>
          <w:noProof/>
          <w:position w:val="-3"/>
        </w:rPr>
        <w:drawing>
          <wp:inline distT="0" distB="0" distL="0" distR="0" wp14:anchorId="7CD61EB7" wp14:editId="3D6549FE">
            <wp:extent cx="209550" cy="304800"/>
            <wp:effectExtent l="0" t="0" r="0" b="0"/>
            <wp:docPr id="45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4.png"/>
                    <pic:cNvPicPr/>
                  </pic:nvPicPr>
                  <pic:blipFill>
                    <a:blip r:embed="rId31" cstate="print"/>
                    <a:stretch>
                      <a:fillRect/>
                    </a:stretch>
                  </pic:blipFill>
                  <pic:spPr>
                    <a:xfrm>
                      <a:off x="0" y="0"/>
                      <a:ext cx="209550" cy="304800"/>
                    </a:xfrm>
                    <a:prstGeom prst="rect">
                      <a:avLst/>
                    </a:prstGeom>
                  </pic:spPr>
                </pic:pic>
              </a:graphicData>
            </a:graphic>
          </wp:inline>
        </w:drawing>
      </w:r>
      <w:r>
        <w:rPr>
          <w:rFonts w:ascii="Times New Roman" w:hAnsi="Times New Roman"/>
          <w:sz w:val="20"/>
        </w:rPr>
        <w:t xml:space="preserve">            </w:t>
      </w:r>
      <w:r>
        <w:rPr>
          <w:rFonts w:ascii="Times New Roman" w:hAnsi="Times New Roman"/>
          <w:spacing w:val="24"/>
          <w:sz w:val="20"/>
        </w:rPr>
        <w:t xml:space="preserve"> </w:t>
      </w:r>
      <w:r>
        <w:rPr>
          <w:color w:val="333333"/>
          <w:spacing w:val="-4"/>
          <w:w w:val="110"/>
        </w:rPr>
        <w:t xml:space="preserve">For </w:t>
      </w:r>
      <w:r>
        <w:rPr>
          <w:color w:val="333333"/>
          <w:w w:val="110"/>
        </w:rPr>
        <w:t xml:space="preserve">example, Spring Boot’s error handling is based on the “error page” support provided </w:t>
      </w:r>
      <w:r>
        <w:rPr>
          <w:color w:val="333333"/>
          <w:spacing w:val="-3"/>
          <w:w w:val="110"/>
        </w:rPr>
        <w:t xml:space="preserve">by </w:t>
      </w:r>
      <w:r>
        <w:rPr>
          <w:color w:val="333333"/>
          <w:w w:val="110"/>
        </w:rPr>
        <w:t xml:space="preserve">the Servlet container. This means that, whilst you can test your MVC layer throws and handles exceptions as expected, you cannot directly test that a specific </w:t>
      </w:r>
      <w:hyperlink w:anchor="_bookmark159" w:history="1">
        <w:r>
          <w:rPr>
            <w:color w:val="418BCA"/>
            <w:w w:val="110"/>
          </w:rPr>
          <w:t>custom error page</w:t>
        </w:r>
      </w:hyperlink>
      <w:r>
        <w:rPr>
          <w:color w:val="418BCA"/>
          <w:w w:val="110"/>
        </w:rPr>
        <w:t xml:space="preserve"> </w:t>
      </w:r>
      <w:r>
        <w:rPr>
          <w:color w:val="333333"/>
          <w:w w:val="110"/>
        </w:rPr>
        <w:t>is rendered. If you need to test these lower-level concerns,</w:t>
      </w:r>
      <w:r>
        <w:rPr>
          <w:color w:val="333333"/>
          <w:spacing w:val="6"/>
          <w:w w:val="110"/>
        </w:rPr>
        <w:t xml:space="preserve"> </w:t>
      </w:r>
      <w:r>
        <w:rPr>
          <w:color w:val="333333"/>
          <w:w w:val="110"/>
        </w:rPr>
        <w:t>you</w:t>
      </w:r>
      <w:r>
        <w:rPr>
          <w:color w:val="333333"/>
          <w:spacing w:val="6"/>
          <w:w w:val="110"/>
        </w:rPr>
        <w:t xml:space="preserve"> </w:t>
      </w:r>
      <w:r>
        <w:rPr>
          <w:color w:val="333333"/>
          <w:w w:val="110"/>
        </w:rPr>
        <w:t>can</w:t>
      </w:r>
      <w:r>
        <w:rPr>
          <w:color w:val="333333"/>
          <w:spacing w:val="7"/>
          <w:w w:val="110"/>
        </w:rPr>
        <w:t xml:space="preserve"> </w:t>
      </w:r>
      <w:r>
        <w:rPr>
          <w:color w:val="333333"/>
          <w:w w:val="110"/>
        </w:rPr>
        <w:t>start</w:t>
      </w:r>
      <w:r>
        <w:rPr>
          <w:color w:val="333333"/>
          <w:spacing w:val="7"/>
          <w:w w:val="110"/>
        </w:rPr>
        <w:t xml:space="preserve"> </w:t>
      </w:r>
      <w:r>
        <w:rPr>
          <w:color w:val="333333"/>
          <w:w w:val="110"/>
        </w:rPr>
        <w:t>a</w:t>
      </w:r>
      <w:r>
        <w:rPr>
          <w:color w:val="333333"/>
          <w:spacing w:val="6"/>
          <w:w w:val="110"/>
        </w:rPr>
        <w:t xml:space="preserve"> </w:t>
      </w:r>
      <w:r>
        <w:rPr>
          <w:color w:val="333333"/>
          <w:w w:val="110"/>
        </w:rPr>
        <w:t>fully</w:t>
      </w:r>
      <w:r>
        <w:rPr>
          <w:color w:val="333333"/>
          <w:spacing w:val="7"/>
          <w:w w:val="110"/>
        </w:rPr>
        <w:t xml:space="preserve"> </w:t>
      </w:r>
      <w:r>
        <w:rPr>
          <w:color w:val="333333"/>
          <w:w w:val="110"/>
        </w:rPr>
        <w:t>running</w:t>
      </w:r>
      <w:r>
        <w:rPr>
          <w:color w:val="333333"/>
          <w:spacing w:val="7"/>
          <w:w w:val="110"/>
        </w:rPr>
        <w:t xml:space="preserve"> </w:t>
      </w:r>
      <w:r>
        <w:rPr>
          <w:color w:val="333333"/>
          <w:w w:val="110"/>
        </w:rPr>
        <w:t>server</w:t>
      </w:r>
      <w:r>
        <w:rPr>
          <w:color w:val="333333"/>
          <w:spacing w:val="7"/>
          <w:w w:val="110"/>
        </w:rPr>
        <w:t xml:space="preserve"> </w:t>
      </w:r>
      <w:r>
        <w:rPr>
          <w:color w:val="333333"/>
          <w:w w:val="110"/>
        </w:rPr>
        <w:t>as</w:t>
      </w:r>
      <w:r>
        <w:rPr>
          <w:color w:val="333333"/>
          <w:spacing w:val="6"/>
          <w:w w:val="110"/>
        </w:rPr>
        <w:t xml:space="preserve"> </w:t>
      </w:r>
      <w:r>
        <w:rPr>
          <w:color w:val="333333"/>
          <w:w w:val="110"/>
        </w:rPr>
        <w:t>described</w:t>
      </w:r>
      <w:r>
        <w:rPr>
          <w:color w:val="333333"/>
          <w:spacing w:val="6"/>
          <w:w w:val="110"/>
        </w:rPr>
        <w:t xml:space="preserve"> </w:t>
      </w:r>
      <w:r>
        <w:rPr>
          <w:color w:val="333333"/>
          <w:w w:val="110"/>
        </w:rPr>
        <w:t>in</w:t>
      </w:r>
      <w:r>
        <w:rPr>
          <w:color w:val="333333"/>
          <w:spacing w:val="6"/>
          <w:w w:val="110"/>
        </w:rPr>
        <w:t xml:space="preserve"> </w:t>
      </w:r>
      <w:r>
        <w:rPr>
          <w:color w:val="333333"/>
          <w:w w:val="110"/>
        </w:rPr>
        <w:t>the</w:t>
      </w:r>
      <w:r>
        <w:rPr>
          <w:color w:val="333333"/>
          <w:spacing w:val="6"/>
          <w:w w:val="110"/>
        </w:rPr>
        <w:t xml:space="preserve"> </w:t>
      </w:r>
      <w:r>
        <w:rPr>
          <w:color w:val="333333"/>
          <w:w w:val="110"/>
        </w:rPr>
        <w:t>next</w:t>
      </w:r>
      <w:r>
        <w:rPr>
          <w:color w:val="333333"/>
          <w:spacing w:val="7"/>
          <w:w w:val="110"/>
        </w:rPr>
        <w:t xml:space="preserve"> </w:t>
      </w:r>
      <w:r>
        <w:rPr>
          <w:color w:val="333333"/>
          <w:w w:val="110"/>
        </w:rPr>
        <w:t>section.</w:t>
      </w:r>
    </w:p>
    <w:p w14:paraId="44AED1F9" w14:textId="77777777" w:rsidR="00A720EB" w:rsidRDefault="00A720EB">
      <w:pPr>
        <w:pStyle w:val="a3"/>
        <w:rPr>
          <w:sz w:val="20"/>
        </w:rPr>
      </w:pPr>
    </w:p>
    <w:p w14:paraId="01BA0EFC" w14:textId="77777777" w:rsidR="00A720EB" w:rsidRDefault="0030286B">
      <w:pPr>
        <w:pStyle w:val="4"/>
        <w:spacing w:before="237"/>
      </w:pPr>
      <w:bookmarkStart w:id="465" w:name="Testing_with_a_running_server"/>
      <w:bookmarkEnd w:id="465"/>
      <w:r>
        <w:rPr>
          <w:color w:val="333333"/>
          <w:w w:val="110"/>
        </w:rPr>
        <w:t>Testing with a running server</w:t>
      </w:r>
    </w:p>
    <w:p w14:paraId="59DD7EA3" w14:textId="77777777" w:rsidR="00A720EB" w:rsidRDefault="00A720EB">
      <w:pPr>
        <w:pStyle w:val="a3"/>
        <w:spacing w:before="12"/>
        <w:rPr>
          <w:rFonts w:ascii="Palatino Linotype"/>
          <w:b/>
          <w:sz w:val="18"/>
        </w:rPr>
      </w:pPr>
    </w:p>
    <w:p w14:paraId="215009B0" w14:textId="77777777" w:rsidR="00A720EB" w:rsidRDefault="0030286B">
      <w:pPr>
        <w:pStyle w:val="a3"/>
        <w:spacing w:line="295" w:lineRule="auto"/>
        <w:ind w:left="124" w:right="128"/>
        <w:jc w:val="both"/>
      </w:pPr>
      <w:r>
        <w:rPr>
          <w:color w:val="333333"/>
          <w:w w:val="110"/>
        </w:rPr>
        <w:t xml:space="preserve">If you need to start a full running server, we recommend that you use random ports. If you use </w:t>
      </w:r>
      <w:r>
        <w:rPr>
          <w:rFonts w:ascii="MS Gothic"/>
          <w:color w:val="B02045"/>
          <w:w w:val="105"/>
        </w:rPr>
        <w:t>@</w:t>
      </w:r>
      <w:proofErr w:type="gramStart"/>
      <w:r>
        <w:rPr>
          <w:rFonts w:ascii="MS Gothic"/>
          <w:color w:val="B02045"/>
          <w:w w:val="105"/>
        </w:rPr>
        <w:t>SpringBootTest(</w:t>
      </w:r>
      <w:proofErr w:type="gramEnd"/>
      <w:r>
        <w:rPr>
          <w:rFonts w:ascii="MS Gothic"/>
          <w:color w:val="B02045"/>
          <w:w w:val="105"/>
        </w:rPr>
        <w:t>webEnvironment=WebEnvironment.RANDOM_PORT)</w:t>
      </w:r>
      <w:r>
        <w:rPr>
          <w:color w:val="333333"/>
          <w:w w:val="105"/>
        </w:rPr>
        <w:t xml:space="preserve">, an available port is picked at random </w:t>
      </w:r>
      <w:r>
        <w:rPr>
          <w:color w:val="333333"/>
          <w:w w:val="110"/>
        </w:rPr>
        <w:t>each time your test runs.</w:t>
      </w:r>
    </w:p>
    <w:p w14:paraId="16906095" w14:textId="77777777" w:rsidR="00A720EB" w:rsidRDefault="0030286B">
      <w:pPr>
        <w:pStyle w:val="a3"/>
        <w:spacing w:before="240" w:line="285" w:lineRule="auto"/>
        <w:ind w:left="124" w:right="122"/>
        <w:jc w:val="both"/>
      </w:pPr>
      <w:r>
        <w:rPr>
          <w:color w:val="333333"/>
          <w:w w:val="110"/>
        </w:rPr>
        <w:t xml:space="preserve">The </w:t>
      </w:r>
      <w:r>
        <w:rPr>
          <w:rFonts w:ascii="MS Gothic"/>
          <w:color w:val="B02045"/>
          <w:w w:val="110"/>
        </w:rPr>
        <w:t xml:space="preserve">@LocalServerPort </w:t>
      </w:r>
      <w:r>
        <w:rPr>
          <w:color w:val="333333"/>
          <w:w w:val="110"/>
        </w:rPr>
        <w:t xml:space="preserve">annotation can be used to </w:t>
      </w:r>
      <w:hyperlink w:anchor="_bookmark548" w:history="1">
        <w:r>
          <w:rPr>
            <w:color w:val="418BCA"/>
            <w:w w:val="110"/>
          </w:rPr>
          <w:t>inject the actual port used</w:t>
        </w:r>
      </w:hyperlink>
      <w:r>
        <w:rPr>
          <w:color w:val="418BCA"/>
          <w:w w:val="110"/>
        </w:rPr>
        <w:t xml:space="preserve"> </w:t>
      </w:r>
      <w:r>
        <w:rPr>
          <w:color w:val="333333"/>
          <w:w w:val="110"/>
        </w:rPr>
        <w:t xml:space="preserve">into your test. For convenience, tests that need to make REST calls to the started server can additionally </w:t>
      </w:r>
      <w:r>
        <w:rPr>
          <w:rFonts w:ascii="MS Gothic"/>
          <w:color w:val="B02045"/>
          <w:w w:val="110"/>
        </w:rPr>
        <w:t xml:space="preserve">@Autowire </w:t>
      </w:r>
      <w:r>
        <w:rPr>
          <w:color w:val="333333"/>
          <w:w w:val="110"/>
        </w:rPr>
        <w:t xml:space="preserve">a </w:t>
      </w:r>
      <w:hyperlink r:id="rId332" w:anchor="webtestclient-tests">
        <w:r>
          <w:rPr>
            <w:rFonts w:ascii="MS Gothic"/>
            <w:color w:val="B02045"/>
            <w:w w:val="110"/>
          </w:rPr>
          <w:t>WebTestClient</w:t>
        </w:r>
      </w:hyperlink>
      <w:r>
        <w:rPr>
          <w:color w:val="333333"/>
          <w:w w:val="110"/>
        </w:rPr>
        <w:t>, which resolves relative links to the running server and comes with a dedicated API for verifying responses, as shown in the following example:</w:t>
      </w:r>
    </w:p>
    <w:p w14:paraId="3BD5FE15" w14:textId="77777777" w:rsidR="00A720EB" w:rsidRDefault="00A720EB">
      <w:pPr>
        <w:spacing w:line="285" w:lineRule="auto"/>
        <w:jc w:val="both"/>
        <w:sectPr w:rsidR="00A720EB">
          <w:pgSz w:w="11910" w:h="16840"/>
          <w:pgMar w:top="700" w:right="840" w:bottom="520" w:left="840" w:header="0" w:footer="323" w:gutter="0"/>
          <w:cols w:space="720"/>
        </w:sectPr>
      </w:pPr>
    </w:p>
    <w:p w14:paraId="1B81502F" w14:textId="77777777" w:rsidR="00A720EB" w:rsidRDefault="00E10349">
      <w:pPr>
        <w:pStyle w:val="a3"/>
        <w:ind w:left="116"/>
        <w:rPr>
          <w:sz w:val="20"/>
        </w:rPr>
      </w:pPr>
      <w:r>
        <w:rPr>
          <w:sz w:val="20"/>
        </w:rPr>
      </w:r>
      <w:r>
        <w:rPr>
          <w:sz w:val="20"/>
        </w:rPr>
        <w:pict w14:anchorId="7C198FD4">
          <v:group id="_x0000_s3670" style="width:499.55pt;height:288.1pt;mso-position-horizontal-relative:char;mso-position-vertical-relative:line" coordsize="9991,5762">
            <v:shape id="_x0000_s3673" style="position:absolute;left:7;top:7;width:9976;height:5747" coordorigin="8,8" coordsize="9976,5747" path="m9904,8l88,8,56,14,31,31,14,56,8,88r,5586l14,5705r17,25l56,5748r32,6l9904,5754r31,-6l9960,5730r17,-25l9984,5674r,-5586l9977,56,9960,31,9935,14,9904,8xe" fillcolor="#f5f5f5" stroked="f">
              <v:path arrowok="t"/>
            </v:shape>
            <v:shape id="_x0000_s3672" style="position:absolute;left:7;top:7;width:9976;height:5747" coordorigin="8,8" coordsize="9976,5747" path="m88,8r9816,l9935,14r25,17l9977,56r7,32l9984,5674r-7,31l9960,5730r-25,18l9904,5754r-9816,l56,5748,31,5730,14,5705,8,5674,8,88,14,56,31,31,56,14,88,8xe" filled="f" strokecolor="#ccc">
              <v:path arrowok="t"/>
            </v:shape>
            <v:shape id="_x0000_s3671" type="#_x0000_t202" style="position:absolute;left:26;top:22;width:9938;height:5716" filled="f" stroked="f">
              <v:textbox inset="0,0,0,0">
                <w:txbxContent>
                  <w:p w14:paraId="5C4B1A0B"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4832F222" w14:textId="77777777" w:rsidR="00711A16" w:rsidRDefault="00711A16">
                    <w:pPr>
                      <w:rPr>
                        <w:rFonts w:ascii="MS Gothic"/>
                        <w:sz w:val="24"/>
                      </w:rPr>
                    </w:pPr>
                  </w:p>
                  <w:p w14:paraId="657FEFE5" w14:textId="77777777" w:rsidR="00711A16" w:rsidRDefault="00711A16">
                    <w:pPr>
                      <w:spacing w:line="252" w:lineRule="auto"/>
                      <w:ind w:left="200" w:right="289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 import org.springframework.boot.test.context.SpringBootTest;</w:t>
                    </w:r>
                  </w:p>
                  <w:p w14:paraId="78231375" w14:textId="77777777" w:rsidR="00711A16" w:rsidRDefault="00711A16">
                    <w:pPr>
                      <w:spacing w:line="252" w:lineRule="auto"/>
                      <w:ind w:left="200" w:right="146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.boot.test.context.SpringBootTest.WebEnvironment; import org.springframework.test.web.reactive.server.WebTestClient;</w:t>
                    </w:r>
                  </w:p>
                  <w:p w14:paraId="74AE6597" w14:textId="77777777" w:rsidR="00711A16" w:rsidRDefault="00711A16">
                    <w:pPr>
                      <w:spacing w:before="8"/>
                      <w:rPr>
                        <w:rFonts w:ascii="MS Gothic"/>
                      </w:rPr>
                    </w:pPr>
                  </w:p>
                  <w:p w14:paraId="617C35E2" w14:textId="77777777" w:rsidR="00711A16" w:rsidRDefault="00711A16">
                    <w:pPr>
                      <w:spacing w:line="252" w:lineRule="auto"/>
                      <w:ind w:left="200" w:right="3118"/>
                      <w:rPr>
                        <w:rFonts w:ascii="MS Gothic"/>
                      </w:rPr>
                    </w:pPr>
                    <w:r>
                      <w:rPr>
                        <w:rFonts w:ascii="MS Gothic"/>
                        <w:color w:val="333333"/>
                      </w:rPr>
                      <w:t>@</w:t>
                    </w:r>
                    <w:proofErr w:type="gramStart"/>
                    <w:r>
                      <w:rPr>
                        <w:rFonts w:ascii="MS Gothic"/>
                        <w:color w:val="333333"/>
                      </w:rPr>
                      <w:t>SpringBootTest(</w:t>
                    </w:r>
                    <w:proofErr w:type="gramEnd"/>
                    <w:r>
                      <w:rPr>
                        <w:rFonts w:ascii="MS Gothic"/>
                        <w:color w:val="333333"/>
                      </w:rPr>
                      <w:t>webEnvironment = WebEnvironment.RANDOM_PORT) class RandomPortWebTestClientExampleTests {</w:t>
                    </w:r>
                  </w:p>
                  <w:p w14:paraId="752C0BD2" w14:textId="77777777" w:rsidR="00711A16" w:rsidRDefault="00711A16">
                    <w:pPr>
                      <w:spacing w:before="11"/>
                      <w:rPr>
                        <w:rFonts w:ascii="MS Gothic"/>
                      </w:rPr>
                    </w:pPr>
                  </w:p>
                  <w:p w14:paraId="35CE66A2" w14:textId="77777777" w:rsidR="00711A16" w:rsidRDefault="00711A16">
                    <w:pPr>
                      <w:ind w:left="640"/>
                      <w:rPr>
                        <w:rFonts w:ascii="MS Gothic"/>
                      </w:rPr>
                    </w:pPr>
                    <w:r>
                      <w:rPr>
                        <w:rFonts w:ascii="MS Gothic"/>
                        <w:color w:val="333333"/>
                      </w:rPr>
                      <w:t>@Test</w:t>
                    </w:r>
                  </w:p>
                  <w:p w14:paraId="4A442BB1" w14:textId="77777777" w:rsidR="00711A16" w:rsidRDefault="00711A16">
                    <w:pPr>
                      <w:spacing w:before="13"/>
                      <w:ind w:left="640"/>
                      <w:rPr>
                        <w:rFonts w:ascii="MS Gothic"/>
                      </w:rPr>
                    </w:pPr>
                    <w:r>
                      <w:rPr>
                        <w:rFonts w:ascii="MS Gothic"/>
                        <w:color w:val="333333"/>
                      </w:rPr>
                      <w:t xml:space="preserve">void </w:t>
                    </w:r>
                    <w:proofErr w:type="gramStart"/>
                    <w:r>
                      <w:rPr>
                        <w:rFonts w:ascii="MS Gothic"/>
                        <w:color w:val="333333"/>
                      </w:rPr>
                      <w:t>exampleTest(</w:t>
                    </w:r>
                    <w:proofErr w:type="gramEnd"/>
                    <w:r>
                      <w:rPr>
                        <w:rFonts w:ascii="MS Gothic"/>
                        <w:color w:val="333333"/>
                      </w:rPr>
                      <w:t>@Autowired WebTestClient webClient) {</w:t>
                    </w:r>
                  </w:p>
                  <w:p w14:paraId="344D1326" w14:textId="77777777" w:rsidR="00711A16" w:rsidRDefault="00711A16">
                    <w:pPr>
                      <w:rPr>
                        <w:rFonts w:ascii="MS Gothic"/>
                        <w:sz w:val="24"/>
                      </w:rPr>
                    </w:pPr>
                  </w:p>
                  <w:p w14:paraId="0BE45739" w14:textId="77777777" w:rsidR="00711A16" w:rsidRDefault="00711A16">
                    <w:pPr>
                      <w:spacing w:line="252" w:lineRule="auto"/>
                      <w:ind w:left="200" w:right="258"/>
                      <w:rPr>
                        <w:rFonts w:ascii="MS Gothic"/>
                      </w:rPr>
                    </w:pPr>
                    <w:r>
                      <w:rPr>
                        <w:rFonts w:ascii="MS Gothic"/>
                        <w:color w:val="333333"/>
                      </w:rPr>
                      <w:t>webClient.get(</w:t>
                    </w:r>
                    <w:proofErr w:type="gramStart"/>
                    <w:r>
                      <w:rPr>
                        <w:rFonts w:ascii="MS Gothic"/>
                        <w:color w:val="333333"/>
                      </w:rPr>
                      <w:t>).uri</w:t>
                    </w:r>
                    <w:proofErr w:type="gramEnd"/>
                    <w:r>
                      <w:rPr>
                        <w:rFonts w:ascii="MS Gothic"/>
                        <w:color w:val="333333"/>
                      </w:rPr>
                      <w:t>("/").exchange().expectStatus().isOk().expectBody(String.class).isE qualTo("Hello World");</w:t>
                    </w:r>
                  </w:p>
                  <w:p w14:paraId="51F2E4F2" w14:textId="77777777" w:rsidR="00711A16" w:rsidRDefault="00711A16">
                    <w:pPr>
                      <w:spacing w:line="280" w:lineRule="exact"/>
                      <w:ind w:left="640"/>
                      <w:rPr>
                        <w:rFonts w:ascii="MS Gothic"/>
                      </w:rPr>
                    </w:pPr>
                    <w:r>
                      <w:rPr>
                        <w:rFonts w:ascii="MS Gothic"/>
                        <w:color w:val="333333"/>
                      </w:rPr>
                      <w:t>}</w:t>
                    </w:r>
                  </w:p>
                  <w:p w14:paraId="6E45FD70" w14:textId="77777777" w:rsidR="00711A16" w:rsidRDefault="00711A16">
                    <w:pPr>
                      <w:rPr>
                        <w:rFonts w:ascii="MS Gothic"/>
                        <w:sz w:val="24"/>
                      </w:rPr>
                    </w:pPr>
                  </w:p>
                  <w:p w14:paraId="0E18B69D" w14:textId="77777777" w:rsidR="00711A16" w:rsidRDefault="00711A16">
                    <w:pPr>
                      <w:ind w:left="200"/>
                      <w:rPr>
                        <w:rFonts w:ascii="MS Gothic"/>
                      </w:rPr>
                    </w:pPr>
                    <w:r>
                      <w:rPr>
                        <w:rFonts w:ascii="MS Gothic"/>
                        <w:color w:val="333333"/>
                      </w:rPr>
                      <w:t>}</w:t>
                    </w:r>
                  </w:p>
                </w:txbxContent>
              </v:textbox>
            </v:shape>
            <w10:anchorlock/>
          </v:group>
        </w:pict>
      </w:r>
    </w:p>
    <w:p w14:paraId="4AEDEBC6" w14:textId="77777777" w:rsidR="00A720EB" w:rsidRDefault="00A720EB">
      <w:pPr>
        <w:pStyle w:val="a3"/>
        <w:spacing w:before="1"/>
        <w:rPr>
          <w:sz w:val="9"/>
        </w:rPr>
      </w:pPr>
    </w:p>
    <w:p w14:paraId="247AD676" w14:textId="77777777" w:rsidR="00A720EB" w:rsidRDefault="0030286B">
      <w:pPr>
        <w:pStyle w:val="a3"/>
        <w:spacing w:before="116" w:line="280" w:lineRule="auto"/>
        <w:ind w:left="124"/>
      </w:pPr>
      <w:r>
        <w:rPr>
          <w:color w:val="333333"/>
          <w:w w:val="110"/>
        </w:rPr>
        <w:t xml:space="preserve">This setup requires </w:t>
      </w:r>
      <w:r>
        <w:rPr>
          <w:rFonts w:ascii="MS Gothic" w:hAnsi="MS Gothic"/>
          <w:color w:val="B02045"/>
          <w:w w:val="110"/>
        </w:rPr>
        <w:t xml:space="preserve">spring-webflux </w:t>
      </w:r>
      <w:r>
        <w:rPr>
          <w:color w:val="333333"/>
          <w:w w:val="110"/>
        </w:rPr>
        <w:t xml:space="preserve">on the classpath. If you can’t or won’t add webflux, Spring Boot also provides a </w:t>
      </w:r>
      <w:r>
        <w:rPr>
          <w:rFonts w:ascii="MS Gothic" w:hAnsi="MS Gothic"/>
          <w:color w:val="B02045"/>
          <w:w w:val="110"/>
        </w:rPr>
        <w:t>TestRestTemplate</w:t>
      </w:r>
      <w:r>
        <w:rPr>
          <w:rFonts w:ascii="MS Gothic" w:hAnsi="MS Gothic"/>
          <w:color w:val="B02045"/>
          <w:spacing w:val="-56"/>
          <w:w w:val="110"/>
        </w:rPr>
        <w:t xml:space="preserve"> </w:t>
      </w:r>
      <w:r>
        <w:rPr>
          <w:color w:val="333333"/>
          <w:w w:val="110"/>
        </w:rPr>
        <w:t>facility:</w:t>
      </w:r>
    </w:p>
    <w:p w14:paraId="178223F1" w14:textId="77777777" w:rsidR="00A720EB" w:rsidRDefault="00A720EB">
      <w:pPr>
        <w:pStyle w:val="a3"/>
        <w:spacing w:before="4"/>
        <w:rPr>
          <w:sz w:val="28"/>
        </w:rPr>
      </w:pPr>
    </w:p>
    <w:p w14:paraId="76A99B6E" w14:textId="77777777" w:rsidR="00A720EB" w:rsidRDefault="00E10349">
      <w:pPr>
        <w:spacing w:before="117"/>
        <w:ind w:left="344"/>
        <w:rPr>
          <w:rFonts w:ascii="MS Gothic"/>
        </w:rPr>
      </w:pPr>
      <w:r>
        <w:pict w14:anchorId="7BAFA389">
          <v:group id="_x0000_s3667" style="position:absolute;left:0;text-align:left;margin-left:47.85pt;margin-top:-6.35pt;width:499.55pt;height:302.85pt;z-index:-41438208;mso-position-horizontal-relative:page" coordorigin="957,-127" coordsize="9991,6057">
            <v:shape id="_x0000_s3669" style="position:absolute;left:964;top:-120;width:9976;height:6042" coordorigin="965,-120" coordsize="9976,6042" path="m10861,-120r-9816,l1014,-113r-26,17l971,-71r-6,31l965,5842r6,31l988,5898r26,17l1045,5922r9816,l10892,5915r25,-17l10935,5873r6,-31l10941,-40r-6,-31l10917,-96r-25,-17l10861,-120xe" fillcolor="#f5f5f5" stroked="f">
              <v:path arrowok="t"/>
            </v:shape>
            <v:shape id="_x0000_s3668" style="position:absolute;left:964;top:-120;width:9976;height:6042" coordorigin="965,-120" coordsize="9976,6042" path="m1045,-120r9816,l10892,-113r25,17l10935,-71r6,31l10941,5842r-6,31l10917,5898r-25,17l10861,5922r-9816,l1014,5915r-26,-17l971,5873r-6,-31l965,-40r6,-31l988,-96r26,-17l1045,-120xe" filled="f" strokecolor="#ccc">
              <v:path arrowok="t"/>
            </v:shape>
            <w10:wrap anchorx="page"/>
          </v:group>
        </w:pict>
      </w:r>
      <w:r w:rsidR="0030286B">
        <w:rPr>
          <w:rFonts w:ascii="MS Gothic"/>
          <w:color w:val="333333"/>
        </w:rPr>
        <w:t xml:space="preserve">import </w:t>
      </w:r>
      <w:proofErr w:type="gramStart"/>
      <w:r w:rsidR="0030286B">
        <w:rPr>
          <w:rFonts w:ascii="MS Gothic"/>
          <w:color w:val="333333"/>
        </w:rPr>
        <w:t>org.junit.jupiter.api.Test</w:t>
      </w:r>
      <w:proofErr w:type="gramEnd"/>
      <w:r w:rsidR="0030286B">
        <w:rPr>
          <w:rFonts w:ascii="MS Gothic"/>
          <w:color w:val="333333"/>
        </w:rPr>
        <w:t>;</w:t>
      </w:r>
    </w:p>
    <w:p w14:paraId="63BCC4B8" w14:textId="77777777" w:rsidR="00A720EB" w:rsidRDefault="00A720EB">
      <w:pPr>
        <w:pStyle w:val="a3"/>
        <w:rPr>
          <w:rFonts w:ascii="MS Gothic"/>
          <w:sz w:val="24"/>
        </w:rPr>
      </w:pPr>
    </w:p>
    <w:p w14:paraId="5BD3A720" w14:textId="77777777" w:rsidR="00A720EB" w:rsidRDefault="0030286B">
      <w:pPr>
        <w:spacing w:line="252" w:lineRule="auto"/>
        <w:ind w:left="344" w:right="3046"/>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 import org.springframework.boot.test.context.SpringBootTest;</w:t>
      </w:r>
    </w:p>
    <w:p w14:paraId="61BF601F" w14:textId="77777777" w:rsidR="00A720EB" w:rsidRDefault="0030286B">
      <w:pPr>
        <w:spacing w:line="252" w:lineRule="auto"/>
        <w:ind w:left="344" w:right="1616"/>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.boot.test.context.SpringBootTest.WebEnvironment; import org.springframework.boot.test.web.client.TestRestTemplate;</w:t>
      </w:r>
    </w:p>
    <w:p w14:paraId="05D77BE1" w14:textId="77777777" w:rsidR="00A720EB" w:rsidRDefault="00A720EB">
      <w:pPr>
        <w:pStyle w:val="a3"/>
        <w:spacing w:before="8"/>
        <w:rPr>
          <w:rFonts w:ascii="MS Gothic"/>
          <w:sz w:val="22"/>
        </w:rPr>
      </w:pPr>
    </w:p>
    <w:p w14:paraId="36B80875" w14:textId="77777777" w:rsidR="00A720EB" w:rsidRDefault="0030286B">
      <w:pPr>
        <w:ind w:left="344"/>
        <w:rPr>
          <w:rFonts w:ascii="MS Gothic"/>
        </w:rPr>
      </w:pPr>
      <w:r>
        <w:rPr>
          <w:rFonts w:ascii="MS Gothic"/>
          <w:color w:val="333333"/>
        </w:rPr>
        <w:t xml:space="preserve">import static </w:t>
      </w:r>
      <w:proofErr w:type="gramStart"/>
      <w:r>
        <w:rPr>
          <w:rFonts w:ascii="MS Gothic"/>
          <w:color w:val="333333"/>
        </w:rPr>
        <w:t>org.assertj.core.api.Assertions.assertThat</w:t>
      </w:r>
      <w:proofErr w:type="gramEnd"/>
      <w:r>
        <w:rPr>
          <w:rFonts w:ascii="MS Gothic"/>
          <w:color w:val="333333"/>
        </w:rPr>
        <w:t>;</w:t>
      </w:r>
    </w:p>
    <w:p w14:paraId="4D29404D" w14:textId="77777777" w:rsidR="00A720EB" w:rsidRDefault="00A720EB">
      <w:pPr>
        <w:pStyle w:val="a3"/>
        <w:rPr>
          <w:rFonts w:ascii="MS Gothic"/>
          <w:sz w:val="24"/>
        </w:rPr>
      </w:pPr>
    </w:p>
    <w:p w14:paraId="4294B4F8" w14:textId="77777777" w:rsidR="00A720EB" w:rsidRDefault="0030286B">
      <w:pPr>
        <w:spacing w:line="252" w:lineRule="auto"/>
        <w:ind w:left="344" w:right="3266"/>
        <w:rPr>
          <w:rFonts w:ascii="MS Gothic"/>
        </w:rPr>
      </w:pPr>
      <w:r>
        <w:rPr>
          <w:rFonts w:ascii="MS Gothic"/>
          <w:color w:val="333333"/>
        </w:rPr>
        <w:t>@</w:t>
      </w:r>
      <w:proofErr w:type="gramStart"/>
      <w:r>
        <w:rPr>
          <w:rFonts w:ascii="MS Gothic"/>
          <w:color w:val="333333"/>
        </w:rPr>
        <w:t>SpringBootTest(</w:t>
      </w:r>
      <w:proofErr w:type="gramEnd"/>
      <w:r>
        <w:rPr>
          <w:rFonts w:ascii="MS Gothic"/>
          <w:color w:val="333333"/>
        </w:rPr>
        <w:t>webEnvironment = WebEnvironment.RANDOM_PORT) class RandomPortTestRestTemplateExampleTests {</w:t>
      </w:r>
    </w:p>
    <w:p w14:paraId="5DEF769E" w14:textId="77777777" w:rsidR="00A720EB" w:rsidRDefault="00A720EB">
      <w:pPr>
        <w:pStyle w:val="a3"/>
        <w:spacing w:before="11"/>
        <w:rPr>
          <w:rFonts w:ascii="MS Gothic"/>
          <w:sz w:val="22"/>
        </w:rPr>
      </w:pPr>
    </w:p>
    <w:p w14:paraId="46A67426" w14:textId="77777777" w:rsidR="00A720EB" w:rsidRDefault="0030286B">
      <w:pPr>
        <w:ind w:left="784"/>
        <w:rPr>
          <w:rFonts w:ascii="MS Gothic"/>
        </w:rPr>
      </w:pPr>
      <w:r>
        <w:rPr>
          <w:rFonts w:ascii="MS Gothic"/>
          <w:color w:val="333333"/>
        </w:rPr>
        <w:t>@Test</w:t>
      </w:r>
    </w:p>
    <w:p w14:paraId="7AC2AD18" w14:textId="77777777" w:rsidR="00A720EB" w:rsidRDefault="0030286B">
      <w:pPr>
        <w:spacing w:before="9" w:line="252" w:lineRule="auto"/>
        <w:ind w:left="1224" w:right="2496" w:hanging="440"/>
        <w:rPr>
          <w:rFonts w:ascii="MS Gothic"/>
        </w:rPr>
      </w:pPr>
      <w:r>
        <w:rPr>
          <w:rFonts w:ascii="MS Gothic"/>
          <w:color w:val="333333"/>
        </w:rPr>
        <w:t xml:space="preserve">void </w:t>
      </w:r>
      <w:proofErr w:type="gramStart"/>
      <w:r>
        <w:rPr>
          <w:rFonts w:ascii="MS Gothic"/>
          <w:color w:val="333333"/>
        </w:rPr>
        <w:t>exampleTest(</w:t>
      </w:r>
      <w:proofErr w:type="gramEnd"/>
      <w:r>
        <w:rPr>
          <w:rFonts w:ascii="MS Gothic"/>
          <w:color w:val="333333"/>
        </w:rPr>
        <w:t>@Autowired TestRestTemplate restTemplate) { String body = restTemplate.getForObject("/", String.class); assertThat(body).isEqualTo("Hello World");</w:t>
      </w:r>
    </w:p>
    <w:p w14:paraId="19776303" w14:textId="77777777" w:rsidR="00A720EB" w:rsidRDefault="0030286B">
      <w:pPr>
        <w:ind w:left="784"/>
        <w:rPr>
          <w:rFonts w:ascii="MS Gothic"/>
        </w:rPr>
      </w:pPr>
      <w:r>
        <w:rPr>
          <w:rFonts w:ascii="MS Gothic"/>
          <w:color w:val="333333"/>
        </w:rPr>
        <w:t>}</w:t>
      </w:r>
    </w:p>
    <w:p w14:paraId="141E3625" w14:textId="77777777" w:rsidR="00A720EB" w:rsidRDefault="00A720EB">
      <w:pPr>
        <w:pStyle w:val="a3"/>
        <w:rPr>
          <w:rFonts w:ascii="MS Gothic"/>
          <w:sz w:val="24"/>
        </w:rPr>
      </w:pPr>
    </w:p>
    <w:p w14:paraId="660FEAED" w14:textId="77777777" w:rsidR="00A720EB" w:rsidRDefault="0030286B">
      <w:pPr>
        <w:spacing w:before="1"/>
        <w:ind w:left="344"/>
        <w:rPr>
          <w:rFonts w:ascii="MS Gothic"/>
        </w:rPr>
      </w:pPr>
      <w:r>
        <w:rPr>
          <w:rFonts w:ascii="MS Gothic"/>
          <w:color w:val="333333"/>
        </w:rPr>
        <w:t>}</w:t>
      </w:r>
    </w:p>
    <w:p w14:paraId="0BB47CDD" w14:textId="77777777" w:rsidR="00A720EB" w:rsidRDefault="00A720EB">
      <w:pPr>
        <w:pStyle w:val="a3"/>
        <w:rPr>
          <w:rFonts w:ascii="MS Gothic"/>
          <w:sz w:val="20"/>
        </w:rPr>
      </w:pPr>
    </w:p>
    <w:p w14:paraId="2626D9F1" w14:textId="77777777" w:rsidR="00A720EB" w:rsidRDefault="00A720EB">
      <w:pPr>
        <w:pStyle w:val="a3"/>
        <w:spacing w:before="3"/>
        <w:rPr>
          <w:rFonts w:ascii="MS Gothic"/>
          <w:sz w:val="15"/>
        </w:rPr>
      </w:pPr>
    </w:p>
    <w:p w14:paraId="3B83BA1C" w14:textId="77777777" w:rsidR="00A720EB" w:rsidRDefault="0030286B">
      <w:pPr>
        <w:pStyle w:val="4"/>
        <w:spacing w:before="104"/>
        <w:jc w:val="left"/>
      </w:pPr>
      <w:bookmarkStart w:id="466" w:name="Customizing_WebTestClient"/>
      <w:bookmarkEnd w:id="466"/>
      <w:r>
        <w:rPr>
          <w:color w:val="333333"/>
          <w:w w:val="105"/>
        </w:rPr>
        <w:t>Customizing WebTestClient</w:t>
      </w:r>
    </w:p>
    <w:p w14:paraId="4787898E" w14:textId="77777777" w:rsidR="00A720EB" w:rsidRDefault="0030286B">
      <w:pPr>
        <w:pStyle w:val="a3"/>
        <w:spacing w:before="244" w:line="280" w:lineRule="auto"/>
        <w:ind w:left="124"/>
      </w:pPr>
      <w:r>
        <w:rPr>
          <w:color w:val="333333"/>
          <w:spacing w:val="-4"/>
          <w:w w:val="110"/>
        </w:rPr>
        <w:t xml:space="preserve">To </w:t>
      </w:r>
      <w:r>
        <w:rPr>
          <w:color w:val="333333"/>
          <w:w w:val="110"/>
        </w:rPr>
        <w:t xml:space="preserve">customize the </w:t>
      </w:r>
      <w:r>
        <w:rPr>
          <w:rFonts w:ascii="MS Gothic"/>
          <w:color w:val="B02045"/>
          <w:w w:val="110"/>
        </w:rPr>
        <w:t>WebTestClient</w:t>
      </w:r>
      <w:r>
        <w:rPr>
          <w:rFonts w:ascii="MS Gothic"/>
          <w:color w:val="B02045"/>
          <w:spacing w:val="-68"/>
          <w:w w:val="110"/>
        </w:rPr>
        <w:t xml:space="preserve"> </w:t>
      </w:r>
      <w:r>
        <w:rPr>
          <w:color w:val="333333"/>
          <w:w w:val="110"/>
        </w:rPr>
        <w:t xml:space="preserve">bean, configure a </w:t>
      </w:r>
      <w:r>
        <w:rPr>
          <w:rFonts w:ascii="MS Gothic"/>
          <w:color w:val="B02045"/>
          <w:w w:val="110"/>
        </w:rPr>
        <w:t>WebTestClientBuilderCustomizer</w:t>
      </w:r>
      <w:r>
        <w:rPr>
          <w:rFonts w:ascii="MS Gothic"/>
          <w:color w:val="B02045"/>
          <w:spacing w:val="-68"/>
          <w:w w:val="110"/>
        </w:rPr>
        <w:t xml:space="preserve"> </w:t>
      </w:r>
      <w:r>
        <w:rPr>
          <w:color w:val="333333"/>
          <w:w w:val="110"/>
        </w:rPr>
        <w:t xml:space="preserve">bean. Any such beans are called with the </w:t>
      </w:r>
      <w:r>
        <w:rPr>
          <w:rFonts w:ascii="MS Gothic"/>
          <w:color w:val="B02045"/>
          <w:w w:val="110"/>
        </w:rPr>
        <w:t>WebTestClient.Builder</w:t>
      </w:r>
      <w:r>
        <w:rPr>
          <w:rFonts w:ascii="MS Gothic"/>
          <w:color w:val="B02045"/>
          <w:spacing w:val="-71"/>
          <w:w w:val="110"/>
        </w:rPr>
        <w:t xml:space="preserve"> </w:t>
      </w:r>
      <w:r>
        <w:rPr>
          <w:color w:val="333333"/>
          <w:w w:val="110"/>
        </w:rPr>
        <w:t xml:space="preserve">that is used to create the </w:t>
      </w:r>
      <w:r>
        <w:rPr>
          <w:rFonts w:ascii="MS Gothic"/>
          <w:color w:val="B02045"/>
          <w:w w:val="110"/>
        </w:rPr>
        <w:t>WebTestClient</w:t>
      </w:r>
      <w:r>
        <w:rPr>
          <w:color w:val="333333"/>
          <w:w w:val="110"/>
        </w:rPr>
        <w:t>.</w:t>
      </w:r>
    </w:p>
    <w:p w14:paraId="35B4EE12" w14:textId="77777777" w:rsidR="00A720EB" w:rsidRDefault="00A720EB">
      <w:pPr>
        <w:spacing w:line="280" w:lineRule="auto"/>
        <w:sectPr w:rsidR="00A720EB">
          <w:pgSz w:w="11910" w:h="16840"/>
          <w:pgMar w:top="700" w:right="840" w:bottom="520" w:left="840" w:header="0" w:footer="323" w:gutter="0"/>
          <w:cols w:space="720"/>
        </w:sectPr>
      </w:pPr>
    </w:p>
    <w:p w14:paraId="791DE813" w14:textId="77777777" w:rsidR="00A720EB" w:rsidRDefault="0030286B">
      <w:pPr>
        <w:pStyle w:val="4"/>
        <w:spacing w:before="86"/>
      </w:pPr>
      <w:bookmarkStart w:id="467" w:name="Using_JMX"/>
      <w:bookmarkEnd w:id="467"/>
      <w:r>
        <w:rPr>
          <w:color w:val="333333"/>
        </w:rPr>
        <w:lastRenderedPageBreak/>
        <w:t>Using JMX</w:t>
      </w:r>
    </w:p>
    <w:p w14:paraId="0B5D224F" w14:textId="77777777" w:rsidR="00A720EB" w:rsidRDefault="00A720EB">
      <w:pPr>
        <w:pStyle w:val="a3"/>
        <w:spacing w:before="11"/>
        <w:rPr>
          <w:rFonts w:ascii="Palatino Linotype"/>
          <w:b/>
          <w:sz w:val="18"/>
        </w:rPr>
      </w:pPr>
    </w:p>
    <w:p w14:paraId="0EF9D87D" w14:textId="77777777" w:rsidR="00A720EB" w:rsidRDefault="0030286B">
      <w:pPr>
        <w:pStyle w:val="a3"/>
        <w:spacing w:line="295" w:lineRule="auto"/>
        <w:ind w:left="124" w:right="122"/>
        <w:jc w:val="both"/>
      </w:pPr>
      <w:r>
        <w:rPr>
          <w:color w:val="333333"/>
          <w:w w:val="110"/>
        </w:rPr>
        <w:t xml:space="preserve">As the test context framework caches context, JMX is disabled by default to prevent identical components to register on the same domain. If such test needs access to an </w:t>
      </w:r>
      <w:r>
        <w:rPr>
          <w:rFonts w:ascii="MS Gothic"/>
          <w:color w:val="B02045"/>
          <w:w w:val="110"/>
        </w:rPr>
        <w:t>MBeanServer</w:t>
      </w:r>
      <w:r>
        <w:rPr>
          <w:color w:val="333333"/>
          <w:w w:val="110"/>
        </w:rPr>
        <w:t>, consider marking it dirty as well:</w:t>
      </w:r>
    </w:p>
    <w:p w14:paraId="21F2F832" w14:textId="77777777" w:rsidR="00A720EB" w:rsidRDefault="00E10349">
      <w:pPr>
        <w:pStyle w:val="a3"/>
        <w:spacing w:before="11"/>
        <w:rPr>
          <w:sz w:val="13"/>
        </w:rPr>
      </w:pPr>
      <w:r>
        <w:pict w14:anchorId="1C21B1C9">
          <v:group id="_x0000_s3663" style="position:absolute;margin-left:47.85pt;margin-top:10.15pt;width:499.55pt;height:229.15pt;z-index:-15360512;mso-wrap-distance-left:0;mso-wrap-distance-right:0;mso-position-horizontal-relative:page" coordorigin="957,203" coordsize="9991,4583">
            <v:shape id="_x0000_s3666" style="position:absolute;left:964;top:210;width:9976;height:4568" coordorigin="965,211" coordsize="9976,4568" path="m10861,211r-9816,l1014,217r-26,17l971,260r-6,31l965,4698r6,31l988,4755r26,17l1045,4778r9816,l10892,4772r25,-17l10935,4729r6,-31l10941,291r-6,-31l10917,234r-25,-17l10861,211xe" fillcolor="#f5f5f5" stroked="f">
              <v:path arrowok="t"/>
            </v:shape>
            <v:shape id="_x0000_s3665" style="position:absolute;left:964;top:210;width:9976;height:4568" coordorigin="965,211" coordsize="9976,4568" path="m1045,211r9816,l10892,217r25,17l10935,260r6,31l10941,4698r-6,31l10917,4755r-25,17l10861,4778r-9816,l1014,4772r-26,-17l971,4729r-6,-31l965,291r6,-31l988,234r26,-17l1045,211xe" filled="f" strokecolor="#ccc">
              <v:path arrowok="t"/>
            </v:shape>
            <v:shape id="_x0000_s3664" type="#_x0000_t202" style="position:absolute;left:984;top:226;width:9938;height:4537" filled="f" stroked="f">
              <v:textbox inset="0,0,0,0">
                <w:txbxContent>
                  <w:p w14:paraId="73035BBD" w14:textId="77777777" w:rsidR="00711A16" w:rsidRDefault="00711A16">
                    <w:pPr>
                      <w:spacing w:before="221" w:line="252" w:lineRule="auto"/>
                      <w:ind w:left="200" w:right="3668"/>
                      <w:rPr>
                        <w:rFonts w:ascii="MS Gothic"/>
                      </w:rPr>
                    </w:pPr>
                    <w:r>
                      <w:rPr>
                        <w:rFonts w:ascii="MS Gothic"/>
                        <w:color w:val="333333"/>
                      </w:rPr>
                      <w:t>@</w:t>
                    </w:r>
                    <w:proofErr w:type="gramStart"/>
                    <w:r>
                      <w:rPr>
                        <w:rFonts w:ascii="MS Gothic"/>
                        <w:color w:val="333333"/>
                      </w:rPr>
                      <w:t>ExtendWith(</w:t>
                    </w:r>
                    <w:proofErr w:type="gramEnd"/>
                    <w:r>
                      <w:rPr>
                        <w:rFonts w:ascii="MS Gothic"/>
                        <w:color w:val="333333"/>
                      </w:rPr>
                      <w:t>SpringExtension.class) @SpringBootTest(properties = "spring.jmx.enabled=true") @DirtiesContext</w:t>
                    </w:r>
                  </w:p>
                  <w:p w14:paraId="62E3659B" w14:textId="77777777" w:rsidR="00711A16" w:rsidRDefault="00711A16">
                    <w:pPr>
                      <w:spacing w:line="278" w:lineRule="exact"/>
                      <w:ind w:left="200"/>
                      <w:rPr>
                        <w:rFonts w:ascii="MS Gothic"/>
                      </w:rPr>
                    </w:pPr>
                    <w:r>
                      <w:rPr>
                        <w:rFonts w:ascii="MS Gothic"/>
                        <w:color w:val="333333"/>
                      </w:rPr>
                      <w:t>class SampleJmxTests {</w:t>
                    </w:r>
                  </w:p>
                  <w:p w14:paraId="48BDE691" w14:textId="77777777" w:rsidR="00711A16" w:rsidRDefault="00711A16">
                    <w:pPr>
                      <w:rPr>
                        <w:rFonts w:ascii="MS Gothic"/>
                        <w:sz w:val="24"/>
                      </w:rPr>
                    </w:pPr>
                  </w:p>
                  <w:p w14:paraId="38431ACC" w14:textId="77777777" w:rsidR="00711A16" w:rsidRDefault="00711A16">
                    <w:pPr>
                      <w:ind w:left="640"/>
                      <w:rPr>
                        <w:rFonts w:ascii="MS Gothic"/>
                      </w:rPr>
                    </w:pPr>
                    <w:r>
                      <w:rPr>
                        <w:rFonts w:ascii="MS Gothic"/>
                        <w:color w:val="333333"/>
                      </w:rPr>
                      <w:t>@Autowired</w:t>
                    </w:r>
                  </w:p>
                  <w:p w14:paraId="0167E0F3" w14:textId="77777777" w:rsidR="00711A16" w:rsidRDefault="00711A16">
                    <w:pPr>
                      <w:spacing w:before="13"/>
                      <w:ind w:left="640"/>
                      <w:rPr>
                        <w:rFonts w:ascii="MS Gothic"/>
                      </w:rPr>
                    </w:pPr>
                    <w:r>
                      <w:rPr>
                        <w:rFonts w:ascii="MS Gothic"/>
                        <w:color w:val="333333"/>
                      </w:rPr>
                      <w:t>private MBeanServer mBeanServer;</w:t>
                    </w:r>
                  </w:p>
                  <w:p w14:paraId="092D7FC8" w14:textId="77777777" w:rsidR="00711A16" w:rsidRDefault="00711A16">
                    <w:pPr>
                      <w:rPr>
                        <w:rFonts w:ascii="MS Gothic"/>
                        <w:sz w:val="24"/>
                      </w:rPr>
                    </w:pPr>
                  </w:p>
                  <w:p w14:paraId="318BC34C" w14:textId="77777777" w:rsidR="00711A16" w:rsidRDefault="00711A16">
                    <w:pPr>
                      <w:ind w:left="640"/>
                      <w:rPr>
                        <w:rFonts w:ascii="MS Gothic"/>
                      </w:rPr>
                    </w:pPr>
                    <w:r>
                      <w:rPr>
                        <w:rFonts w:ascii="MS Gothic"/>
                        <w:color w:val="333333"/>
                      </w:rPr>
                      <w:t>@Test</w:t>
                    </w:r>
                  </w:p>
                  <w:p w14:paraId="59CFFCF5" w14:textId="77777777" w:rsidR="00711A16" w:rsidRDefault="00711A16">
                    <w:pPr>
                      <w:spacing w:before="13"/>
                      <w:ind w:left="640"/>
                      <w:rPr>
                        <w:rFonts w:ascii="MS Gothic"/>
                      </w:rPr>
                    </w:pPr>
                    <w:r>
                      <w:rPr>
                        <w:rFonts w:ascii="MS Gothic"/>
                        <w:color w:val="333333"/>
                      </w:rPr>
                      <w:t xml:space="preserve">void </w:t>
                    </w:r>
                    <w:proofErr w:type="gramStart"/>
                    <w:r>
                      <w:rPr>
                        <w:rFonts w:ascii="MS Gothic"/>
                        <w:color w:val="333333"/>
                      </w:rPr>
                      <w:t>exampleTest(</w:t>
                    </w:r>
                    <w:proofErr w:type="gramEnd"/>
                    <w:r>
                      <w:rPr>
                        <w:rFonts w:ascii="MS Gothic"/>
                        <w:color w:val="333333"/>
                      </w:rPr>
                      <w:t>) {</w:t>
                    </w:r>
                  </w:p>
                  <w:p w14:paraId="1B2829FF" w14:textId="77777777" w:rsidR="00711A16" w:rsidRDefault="00711A16">
                    <w:pPr>
                      <w:spacing w:before="13"/>
                      <w:ind w:left="1080"/>
                      <w:rPr>
                        <w:rFonts w:ascii="MS Gothic"/>
                      </w:rPr>
                    </w:pPr>
                    <w:r>
                      <w:rPr>
                        <w:rFonts w:ascii="MS Gothic"/>
                        <w:color w:val="333333"/>
                      </w:rPr>
                      <w:t>// ...</w:t>
                    </w:r>
                  </w:p>
                  <w:p w14:paraId="6EDFD57B" w14:textId="77777777" w:rsidR="00711A16" w:rsidRDefault="00711A16">
                    <w:pPr>
                      <w:spacing w:before="13"/>
                      <w:ind w:left="640"/>
                      <w:rPr>
                        <w:rFonts w:ascii="MS Gothic"/>
                      </w:rPr>
                    </w:pPr>
                    <w:r>
                      <w:rPr>
                        <w:rFonts w:ascii="MS Gothic"/>
                        <w:color w:val="333333"/>
                      </w:rPr>
                      <w:t>}</w:t>
                    </w:r>
                  </w:p>
                  <w:p w14:paraId="1C0DB238" w14:textId="77777777" w:rsidR="00711A16" w:rsidRDefault="00711A16">
                    <w:pPr>
                      <w:rPr>
                        <w:rFonts w:ascii="MS Gothic"/>
                        <w:sz w:val="24"/>
                      </w:rPr>
                    </w:pPr>
                  </w:p>
                  <w:p w14:paraId="547ABC6C" w14:textId="77777777" w:rsidR="00711A16" w:rsidRDefault="00711A16">
                    <w:pPr>
                      <w:ind w:left="200"/>
                      <w:rPr>
                        <w:rFonts w:ascii="MS Gothic"/>
                      </w:rPr>
                    </w:pPr>
                    <w:r>
                      <w:rPr>
                        <w:rFonts w:ascii="MS Gothic"/>
                        <w:color w:val="333333"/>
                      </w:rPr>
                      <w:t>}</w:t>
                    </w:r>
                  </w:p>
                </w:txbxContent>
              </v:textbox>
            </v:shape>
            <w10:wrap type="topAndBottom" anchorx="page"/>
          </v:group>
        </w:pict>
      </w:r>
    </w:p>
    <w:p w14:paraId="01286644" w14:textId="77777777" w:rsidR="00A720EB" w:rsidRDefault="00A720EB">
      <w:pPr>
        <w:pStyle w:val="a3"/>
        <w:spacing w:before="11"/>
        <w:rPr>
          <w:sz w:val="16"/>
        </w:rPr>
      </w:pPr>
    </w:p>
    <w:p w14:paraId="05E7F8DA" w14:textId="77777777" w:rsidR="00A720EB" w:rsidRDefault="0030286B">
      <w:pPr>
        <w:pStyle w:val="4"/>
        <w:spacing w:before="104"/>
      </w:pPr>
      <w:bookmarkStart w:id="468" w:name="Mocking_and_Spying_Beans"/>
      <w:bookmarkEnd w:id="468"/>
      <w:r>
        <w:rPr>
          <w:color w:val="333333"/>
          <w:w w:val="105"/>
        </w:rPr>
        <w:t>Mocking and Spying Beans</w:t>
      </w:r>
    </w:p>
    <w:p w14:paraId="2F4274E0" w14:textId="77777777" w:rsidR="00A720EB" w:rsidRDefault="00A720EB">
      <w:pPr>
        <w:pStyle w:val="a3"/>
        <w:spacing w:before="11"/>
        <w:rPr>
          <w:rFonts w:ascii="Palatino Linotype"/>
          <w:b/>
          <w:sz w:val="18"/>
        </w:rPr>
      </w:pPr>
    </w:p>
    <w:p w14:paraId="238A84C2" w14:textId="77777777" w:rsidR="00A720EB" w:rsidRDefault="0030286B">
      <w:pPr>
        <w:pStyle w:val="a3"/>
        <w:spacing w:line="307" w:lineRule="auto"/>
        <w:ind w:left="124" w:right="128"/>
        <w:jc w:val="both"/>
      </w:pPr>
      <w:r>
        <w:rPr>
          <w:color w:val="333333"/>
          <w:w w:val="110"/>
        </w:rPr>
        <w:t xml:space="preserve">When running tests, it is sometimes necessary to mock certain components within your application context. For example, you may have a facade over some remote service that is unavailable </w:t>
      </w:r>
      <w:proofErr w:type="gramStart"/>
      <w:r>
        <w:rPr>
          <w:color w:val="333333"/>
          <w:w w:val="110"/>
        </w:rPr>
        <w:t>during  development</w:t>
      </w:r>
      <w:proofErr w:type="gramEnd"/>
      <w:r>
        <w:rPr>
          <w:color w:val="333333"/>
          <w:w w:val="110"/>
        </w:rPr>
        <w:t>. Mocking can also be useful when you want to simulate failures that might be hard to trigger in a real environment.</w:t>
      </w:r>
    </w:p>
    <w:p w14:paraId="1413D6B1" w14:textId="77777777" w:rsidR="00A720EB" w:rsidRDefault="0030286B">
      <w:pPr>
        <w:pStyle w:val="a3"/>
        <w:spacing w:before="232" w:line="290" w:lineRule="auto"/>
        <w:ind w:left="124" w:right="128"/>
        <w:jc w:val="both"/>
      </w:pPr>
      <w:r>
        <w:rPr>
          <w:color w:val="333333"/>
          <w:w w:val="110"/>
        </w:rPr>
        <w:t xml:space="preserve">Spring Boot includes a </w:t>
      </w:r>
      <w:r>
        <w:rPr>
          <w:rFonts w:ascii="MS Gothic"/>
          <w:color w:val="B02045"/>
          <w:w w:val="110"/>
        </w:rPr>
        <w:t xml:space="preserve">@MockBean </w:t>
      </w:r>
      <w:r>
        <w:rPr>
          <w:color w:val="333333"/>
          <w:w w:val="110"/>
        </w:rPr>
        <w:t xml:space="preserve">annotation that can be used to define a Mockito mock for a bean inside your </w:t>
      </w:r>
      <w:r>
        <w:rPr>
          <w:rFonts w:ascii="MS Gothic"/>
          <w:color w:val="B02045"/>
          <w:w w:val="110"/>
        </w:rPr>
        <w:t>ApplicationContext</w:t>
      </w:r>
      <w:r>
        <w:rPr>
          <w:color w:val="333333"/>
          <w:w w:val="110"/>
        </w:rPr>
        <w:t xml:space="preserve">. </w:t>
      </w:r>
      <w:r>
        <w:rPr>
          <w:color w:val="333333"/>
          <w:spacing w:val="-6"/>
          <w:w w:val="110"/>
        </w:rPr>
        <w:t xml:space="preserve">You </w:t>
      </w:r>
      <w:r>
        <w:rPr>
          <w:color w:val="333333"/>
          <w:w w:val="110"/>
        </w:rPr>
        <w:t xml:space="preserve">can use the annotation to add new beans or replace a single existing bean definition. The annotation can be used directly on test classes, on fields within </w:t>
      </w:r>
      <w:proofErr w:type="gramStart"/>
      <w:r>
        <w:rPr>
          <w:color w:val="333333"/>
          <w:w w:val="110"/>
        </w:rPr>
        <w:t>your  test</w:t>
      </w:r>
      <w:proofErr w:type="gramEnd"/>
      <w:r>
        <w:rPr>
          <w:color w:val="333333"/>
          <w:w w:val="110"/>
        </w:rPr>
        <w:t xml:space="preserve">, or on </w:t>
      </w:r>
      <w:r>
        <w:rPr>
          <w:rFonts w:ascii="MS Gothic"/>
          <w:color w:val="B02045"/>
          <w:w w:val="110"/>
        </w:rPr>
        <w:t xml:space="preserve">@Configuration </w:t>
      </w:r>
      <w:r>
        <w:rPr>
          <w:color w:val="333333"/>
          <w:w w:val="110"/>
        </w:rPr>
        <w:t>classes and fields. When used on a field, the instance of the created mock is also injected. Mock beans are automatically reset after each test</w:t>
      </w:r>
      <w:r>
        <w:rPr>
          <w:color w:val="333333"/>
          <w:spacing w:val="35"/>
          <w:w w:val="110"/>
        </w:rPr>
        <w:t xml:space="preserve"> </w:t>
      </w:r>
      <w:r>
        <w:rPr>
          <w:color w:val="333333"/>
          <w:w w:val="110"/>
        </w:rPr>
        <w:t>method.</w:t>
      </w:r>
    </w:p>
    <w:p w14:paraId="581FF5B7" w14:textId="77777777" w:rsidR="00A720EB" w:rsidRDefault="00A720EB">
      <w:pPr>
        <w:pStyle w:val="a3"/>
        <w:spacing w:before="10"/>
        <w:rPr>
          <w:sz w:val="17"/>
        </w:rPr>
      </w:pPr>
    </w:p>
    <w:p w14:paraId="5D225285" w14:textId="77777777" w:rsidR="00A720EB" w:rsidRDefault="00E10349">
      <w:pPr>
        <w:pStyle w:val="a3"/>
        <w:spacing w:before="116" w:line="302" w:lineRule="auto"/>
        <w:ind w:left="1564" w:right="362"/>
        <w:jc w:val="both"/>
      </w:pPr>
      <w:r>
        <w:pict w14:anchorId="53AE3EF7">
          <v:line id="_x0000_s3662" style="position:absolute;left:0;text-align:left;z-index:16097792;mso-position-horizontal-relative:page" from="108.25pt,.35pt" to="108.25pt,120.2pt" strokecolor="#ededed" strokeweight=".5pt">
            <w10:wrap anchorx="page"/>
          </v:line>
        </w:pict>
      </w:r>
      <w:r w:rsidR="0030286B">
        <w:rPr>
          <w:noProof/>
        </w:rPr>
        <w:drawing>
          <wp:anchor distT="0" distB="0" distL="0" distR="0" simplePos="0" relativeHeight="16098304" behindDoc="0" locked="0" layoutInCell="1" allowOverlap="1" wp14:anchorId="5EB2667D" wp14:editId="7D12C4AA">
            <wp:simplePos x="0" y="0"/>
            <wp:positionH relativeFrom="page">
              <wp:posOffset>844422</wp:posOffset>
            </wp:positionH>
            <wp:positionV relativeFrom="paragraph">
              <wp:posOffset>616153</wp:posOffset>
            </wp:positionV>
            <wp:extent cx="298450" cy="298450"/>
            <wp:effectExtent l="0" t="0" r="0" b="0"/>
            <wp:wrapNone/>
            <wp:docPr id="4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your test uses one of Spring Boot’s test annotations (such as </w:t>
      </w:r>
      <w:r w:rsidR="0030286B">
        <w:rPr>
          <w:rFonts w:ascii="MS Gothic" w:hAnsi="MS Gothic"/>
          <w:color w:val="B02045"/>
          <w:w w:val="110"/>
        </w:rPr>
        <w:t>@SpringBootTest</w:t>
      </w:r>
      <w:r w:rsidR="0030286B">
        <w:rPr>
          <w:color w:val="333333"/>
          <w:w w:val="110"/>
        </w:rPr>
        <w:t xml:space="preserve">), this feature is automatically enabled. </w:t>
      </w:r>
      <w:r w:rsidR="0030286B">
        <w:rPr>
          <w:color w:val="333333"/>
          <w:spacing w:val="-4"/>
          <w:w w:val="110"/>
        </w:rPr>
        <w:t xml:space="preserve">To </w:t>
      </w:r>
      <w:r w:rsidR="0030286B">
        <w:rPr>
          <w:color w:val="333333"/>
          <w:w w:val="110"/>
        </w:rPr>
        <w:t xml:space="preserve">use this feature with a different arrangement, a listener must be explicitly added, as shown in the </w:t>
      </w:r>
      <w:proofErr w:type="gramStart"/>
      <w:r w:rsidR="0030286B">
        <w:rPr>
          <w:color w:val="333333"/>
          <w:w w:val="110"/>
        </w:rPr>
        <w:t>following  example</w:t>
      </w:r>
      <w:proofErr w:type="gramEnd"/>
      <w:r w:rsidR="0030286B">
        <w:rPr>
          <w:color w:val="333333"/>
          <w:w w:val="110"/>
        </w:rPr>
        <w:t>:</w:t>
      </w:r>
    </w:p>
    <w:p w14:paraId="08C4A32B" w14:textId="77777777" w:rsidR="00A720EB" w:rsidRDefault="00E10349">
      <w:pPr>
        <w:pStyle w:val="a3"/>
        <w:spacing w:before="4"/>
        <w:rPr>
          <w:sz w:val="13"/>
        </w:rPr>
      </w:pPr>
      <w:r>
        <w:pict w14:anchorId="540FA63E">
          <v:group id="_x0000_s3658" style="position:absolute;margin-left:119.85pt;margin-top:9.8pt;width:415.55pt;height:37.5pt;z-index:-15360000;mso-wrap-distance-left:0;mso-wrap-distance-right:0;mso-position-horizontal-relative:page" coordorigin="2397,196" coordsize="8311,750">
            <v:shape id="_x0000_s3661" style="position:absolute;left:2404;top:203;width:8296;height:735" coordorigin="2405,204" coordsize="8296,735" path="m10621,204r-8136,l2454,210r-26,17l2411,253r-6,31l2405,859r6,31l2428,915r26,17l2485,939r8136,l10652,932r25,-17l10695,890r6,-31l10701,284r-6,-31l10677,227r-25,-17l10621,204xe" fillcolor="#f5f5f5" stroked="f">
              <v:path arrowok="t"/>
            </v:shape>
            <v:shape id="_x0000_s3660" style="position:absolute;left:2404;top:203;width:8296;height:735" coordorigin="2405,204" coordsize="8296,735" path="m2485,204r8136,l10652,210r25,17l10695,253r6,31l10701,859r-6,31l10677,915r-25,17l10621,939r-8136,l2454,932r-26,-17l2411,890r-6,-31l2405,284r6,-31l2428,227r26,-17l2485,204xe" filled="f" strokecolor="#ccc">
              <v:path arrowok="t"/>
            </v:shape>
            <v:shape id="_x0000_s3659" type="#_x0000_t202" style="position:absolute;left:2424;top:219;width:8258;height:704" filled="f" stroked="f">
              <v:textbox inset="0,0,0,0">
                <w:txbxContent>
                  <w:p w14:paraId="7D2EFCA0" w14:textId="77777777" w:rsidR="00711A16" w:rsidRDefault="00711A16">
                    <w:pPr>
                      <w:spacing w:before="221"/>
                      <w:ind w:left="200"/>
                      <w:rPr>
                        <w:rFonts w:ascii="MS Gothic"/>
                      </w:rPr>
                    </w:pPr>
                    <w:r>
                      <w:rPr>
                        <w:rFonts w:ascii="MS Gothic"/>
                        <w:color w:val="333333"/>
                      </w:rPr>
                      <w:t>@</w:t>
                    </w:r>
                    <w:proofErr w:type="gramStart"/>
                    <w:r>
                      <w:rPr>
                        <w:rFonts w:ascii="MS Gothic"/>
                        <w:color w:val="333333"/>
                      </w:rPr>
                      <w:t>TestExecutionListeners(</w:t>
                    </w:r>
                    <w:proofErr w:type="gramEnd"/>
                    <w:r>
                      <w:rPr>
                        <w:rFonts w:ascii="MS Gothic"/>
                        <w:color w:val="333333"/>
                      </w:rPr>
                      <w:t>MockitoTestExecutionListener.class)</w:t>
                    </w:r>
                  </w:p>
                </w:txbxContent>
              </v:textbox>
            </v:shape>
            <w10:wrap type="topAndBottom" anchorx="page"/>
          </v:group>
        </w:pict>
      </w:r>
    </w:p>
    <w:p w14:paraId="7AB45CD8" w14:textId="77777777" w:rsidR="00A720EB" w:rsidRDefault="00A720EB">
      <w:pPr>
        <w:pStyle w:val="a3"/>
        <w:spacing w:before="8"/>
        <w:rPr>
          <w:sz w:val="16"/>
        </w:rPr>
      </w:pPr>
    </w:p>
    <w:p w14:paraId="745ABB75" w14:textId="77777777" w:rsidR="00A720EB" w:rsidRDefault="0030286B">
      <w:pPr>
        <w:pStyle w:val="a3"/>
        <w:spacing w:before="116"/>
        <w:ind w:left="124"/>
      </w:pPr>
      <w:r>
        <w:rPr>
          <w:color w:val="333333"/>
          <w:w w:val="110"/>
        </w:rPr>
        <w:t xml:space="preserve">The following example replaces an existing </w:t>
      </w:r>
      <w:r>
        <w:rPr>
          <w:rFonts w:ascii="MS Gothic"/>
          <w:color w:val="B02045"/>
          <w:w w:val="110"/>
        </w:rPr>
        <w:t>RemoteService</w:t>
      </w:r>
      <w:r>
        <w:rPr>
          <w:rFonts w:ascii="MS Gothic"/>
          <w:color w:val="B02045"/>
          <w:spacing w:val="-56"/>
          <w:w w:val="110"/>
        </w:rPr>
        <w:t xml:space="preserve"> </w:t>
      </w:r>
      <w:r>
        <w:rPr>
          <w:color w:val="333333"/>
          <w:w w:val="110"/>
        </w:rPr>
        <w:t>bean with a mock implementation:</w:t>
      </w:r>
    </w:p>
    <w:p w14:paraId="57D67469" w14:textId="77777777" w:rsidR="00A720EB" w:rsidRDefault="00A720EB">
      <w:pPr>
        <w:sectPr w:rsidR="00A720EB">
          <w:pgSz w:w="11910" w:h="16840"/>
          <w:pgMar w:top="620" w:right="840" w:bottom="520" w:left="840" w:header="0" w:footer="323" w:gutter="0"/>
          <w:cols w:space="720"/>
        </w:sectPr>
      </w:pPr>
    </w:p>
    <w:p w14:paraId="593CB231" w14:textId="77777777" w:rsidR="00A720EB" w:rsidRDefault="00E10349">
      <w:pPr>
        <w:pStyle w:val="a3"/>
        <w:ind w:left="116"/>
        <w:rPr>
          <w:sz w:val="20"/>
        </w:rPr>
      </w:pPr>
      <w:r>
        <w:rPr>
          <w:sz w:val="20"/>
        </w:rPr>
      </w:r>
      <w:r>
        <w:rPr>
          <w:sz w:val="20"/>
        </w:rPr>
        <w:pict w14:anchorId="23C82649">
          <v:group id="_x0000_s3654" style="width:499.55pt;height:406pt;mso-position-horizontal-relative:char;mso-position-vertical-relative:line" coordsize="9991,8120">
            <v:shape id="_x0000_s3657" style="position:absolute;left:7;top:7;width:9976;height:8105" coordorigin="8,8" coordsize="9976,8105" path="m9904,8l88,8,56,14,31,31,14,56,8,88r,7944l14,8063r17,26l56,8106r32,6l9904,8112r31,-6l9960,8089r17,-26l9984,8032r,-7944l9977,56,9960,31,9935,14,9904,8xe" fillcolor="#f5f5f5" stroked="f">
              <v:path arrowok="t"/>
            </v:shape>
            <v:shape id="_x0000_s3656" style="position:absolute;left:7;top:7;width:9976;height:8105" coordorigin="8,8" coordsize="9976,8105" path="m88,8r9816,l9935,14r25,17l9977,56r7,32l9984,8032r-7,31l9960,8089r-25,17l9904,8112r-9816,l56,8106,31,8089,14,8063,8,8032,8,88,14,56,31,31,56,14,88,8xe" filled="f" strokecolor="#ccc">
              <v:path arrowok="t"/>
            </v:shape>
            <v:shape id="_x0000_s3655" type="#_x0000_t202" style="position:absolute;left:26;top:22;width:9938;height:8074" filled="f" stroked="f">
              <v:textbox inset="0,0,0,0">
                <w:txbxContent>
                  <w:p w14:paraId="728B7693"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6B50CB27" w14:textId="77777777" w:rsidR="00711A16" w:rsidRDefault="00711A16">
                    <w:pPr>
                      <w:spacing w:before="13" w:line="252" w:lineRule="auto"/>
                      <w:ind w:left="200" w:right="377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 import org.springframework.boot.test.context.*;</w:t>
                    </w:r>
                  </w:p>
                  <w:p w14:paraId="158E8AC9"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.boot.test.mock.mockito.*;</w:t>
                    </w:r>
                  </w:p>
                  <w:p w14:paraId="186EFEFD" w14:textId="77777777" w:rsidR="00711A16" w:rsidRDefault="00711A16">
                    <w:pPr>
                      <w:rPr>
                        <w:rFonts w:ascii="MS Gothic"/>
                        <w:sz w:val="24"/>
                      </w:rPr>
                    </w:pPr>
                  </w:p>
                  <w:p w14:paraId="7538EBB3" w14:textId="77777777" w:rsidR="00711A16" w:rsidRDefault="00711A16">
                    <w:pPr>
                      <w:spacing w:line="252" w:lineRule="auto"/>
                      <w:ind w:left="200" w:right="4438"/>
                      <w:rPr>
                        <w:rFonts w:ascii="MS Gothic"/>
                      </w:rPr>
                    </w:pPr>
                    <w:r>
                      <w:rPr>
                        <w:rFonts w:ascii="MS Gothic"/>
                        <w:color w:val="333333"/>
                      </w:rPr>
                      <w:t xml:space="preserve">import static </w:t>
                    </w:r>
                    <w:proofErr w:type="gramStart"/>
                    <w:r>
                      <w:rPr>
                        <w:rFonts w:ascii="MS Gothic"/>
                        <w:color w:val="333333"/>
                      </w:rPr>
                      <w:t>org.assertj.core.api.Assertions</w:t>
                    </w:r>
                    <w:proofErr w:type="gramEnd"/>
                    <w:r>
                      <w:rPr>
                        <w:rFonts w:ascii="MS Gothic"/>
                        <w:color w:val="333333"/>
                      </w:rPr>
                      <w:t>.*; import static org.mockito.BDDMockito.*;</w:t>
                    </w:r>
                  </w:p>
                  <w:p w14:paraId="23B73049" w14:textId="77777777" w:rsidR="00711A16" w:rsidRDefault="00711A16">
                    <w:pPr>
                      <w:spacing w:before="10"/>
                      <w:rPr>
                        <w:rFonts w:ascii="MS Gothic"/>
                      </w:rPr>
                    </w:pPr>
                  </w:p>
                  <w:p w14:paraId="45C4168B" w14:textId="77777777" w:rsidR="00711A16" w:rsidRDefault="00711A16">
                    <w:pPr>
                      <w:spacing w:line="252" w:lineRule="auto"/>
                      <w:ind w:left="200" w:right="8068"/>
                      <w:rPr>
                        <w:rFonts w:ascii="MS Gothic"/>
                      </w:rPr>
                    </w:pPr>
                    <w:r>
                      <w:rPr>
                        <w:rFonts w:ascii="MS Gothic"/>
                        <w:color w:val="333333"/>
                      </w:rPr>
                      <w:t>@SpringBootTest class MyTests {</w:t>
                    </w:r>
                  </w:p>
                  <w:p w14:paraId="0EA1AAEA" w14:textId="77777777" w:rsidR="00711A16" w:rsidRDefault="00711A16">
                    <w:pPr>
                      <w:spacing w:before="11"/>
                      <w:rPr>
                        <w:rFonts w:ascii="MS Gothic"/>
                      </w:rPr>
                    </w:pPr>
                  </w:p>
                  <w:p w14:paraId="6B26935E" w14:textId="77777777" w:rsidR="00711A16" w:rsidRDefault="00711A16">
                    <w:pPr>
                      <w:ind w:left="640"/>
                      <w:rPr>
                        <w:rFonts w:ascii="MS Gothic"/>
                      </w:rPr>
                    </w:pPr>
                    <w:r>
                      <w:rPr>
                        <w:rFonts w:ascii="MS Gothic"/>
                        <w:color w:val="333333"/>
                      </w:rPr>
                      <w:t>@MockBean</w:t>
                    </w:r>
                  </w:p>
                  <w:p w14:paraId="41F07E7A" w14:textId="77777777" w:rsidR="00711A16" w:rsidRDefault="00711A16">
                    <w:pPr>
                      <w:spacing w:before="13"/>
                      <w:ind w:left="640"/>
                      <w:rPr>
                        <w:rFonts w:ascii="MS Gothic"/>
                      </w:rPr>
                    </w:pPr>
                    <w:r>
                      <w:rPr>
                        <w:rFonts w:ascii="MS Gothic"/>
                        <w:color w:val="333333"/>
                      </w:rPr>
                      <w:t>private RemoteService remoteService;</w:t>
                    </w:r>
                  </w:p>
                  <w:p w14:paraId="4230D594" w14:textId="77777777" w:rsidR="00711A16" w:rsidRDefault="00711A16">
                    <w:pPr>
                      <w:rPr>
                        <w:rFonts w:ascii="MS Gothic"/>
                        <w:sz w:val="24"/>
                      </w:rPr>
                    </w:pPr>
                  </w:p>
                  <w:p w14:paraId="667E5EA3" w14:textId="77777777" w:rsidR="00711A16" w:rsidRDefault="00711A16">
                    <w:pPr>
                      <w:ind w:left="640"/>
                      <w:rPr>
                        <w:rFonts w:ascii="MS Gothic"/>
                      </w:rPr>
                    </w:pPr>
                    <w:r>
                      <w:rPr>
                        <w:rFonts w:ascii="MS Gothic"/>
                        <w:color w:val="333333"/>
                      </w:rPr>
                      <w:t>@Autowired</w:t>
                    </w:r>
                  </w:p>
                  <w:p w14:paraId="1901852F" w14:textId="77777777" w:rsidR="00711A16" w:rsidRDefault="00711A16">
                    <w:pPr>
                      <w:spacing w:before="13"/>
                      <w:ind w:left="640"/>
                      <w:rPr>
                        <w:rFonts w:ascii="MS Gothic"/>
                      </w:rPr>
                    </w:pPr>
                    <w:r>
                      <w:rPr>
                        <w:rFonts w:ascii="MS Gothic"/>
                        <w:color w:val="333333"/>
                      </w:rPr>
                      <w:t>private Reverser reverser;</w:t>
                    </w:r>
                  </w:p>
                  <w:p w14:paraId="6A5F1A1D" w14:textId="77777777" w:rsidR="00711A16" w:rsidRDefault="00711A16">
                    <w:pPr>
                      <w:rPr>
                        <w:rFonts w:ascii="MS Gothic"/>
                        <w:sz w:val="24"/>
                      </w:rPr>
                    </w:pPr>
                  </w:p>
                  <w:p w14:paraId="5D79B3A8" w14:textId="77777777" w:rsidR="00711A16" w:rsidRDefault="00711A16">
                    <w:pPr>
                      <w:ind w:left="640"/>
                      <w:rPr>
                        <w:rFonts w:ascii="MS Gothic"/>
                      </w:rPr>
                    </w:pPr>
                    <w:r>
                      <w:rPr>
                        <w:rFonts w:ascii="MS Gothic"/>
                        <w:color w:val="333333"/>
                      </w:rPr>
                      <w:t>@Test</w:t>
                    </w:r>
                  </w:p>
                  <w:p w14:paraId="20EE2E2B" w14:textId="77777777" w:rsidR="00711A16" w:rsidRDefault="00711A16">
                    <w:pPr>
                      <w:spacing w:before="13"/>
                      <w:ind w:left="640"/>
                      <w:rPr>
                        <w:rFonts w:ascii="MS Gothic"/>
                      </w:rPr>
                    </w:pPr>
                    <w:r>
                      <w:rPr>
                        <w:rFonts w:ascii="MS Gothic"/>
                        <w:color w:val="333333"/>
                      </w:rPr>
                      <w:t xml:space="preserve">void </w:t>
                    </w:r>
                    <w:proofErr w:type="gramStart"/>
                    <w:r>
                      <w:rPr>
                        <w:rFonts w:ascii="MS Gothic"/>
                        <w:color w:val="333333"/>
                      </w:rPr>
                      <w:t>exampleTest(</w:t>
                    </w:r>
                    <w:proofErr w:type="gramEnd"/>
                    <w:r>
                      <w:rPr>
                        <w:rFonts w:ascii="MS Gothic"/>
                        <w:color w:val="333333"/>
                      </w:rPr>
                      <w:t>) {</w:t>
                    </w:r>
                  </w:p>
                  <w:p w14:paraId="6C6DDDF1" w14:textId="77777777" w:rsidR="00711A16" w:rsidRDefault="00711A16">
                    <w:pPr>
                      <w:spacing w:before="13" w:line="252" w:lineRule="auto"/>
                      <w:ind w:left="1080" w:right="2568"/>
                      <w:rPr>
                        <w:rFonts w:ascii="MS Gothic"/>
                      </w:rPr>
                    </w:pPr>
                    <w:r>
                      <w:rPr>
                        <w:rFonts w:ascii="MS Gothic"/>
                        <w:color w:val="333333"/>
                      </w:rPr>
                      <w:t>// RemoteService has been injected into the reverser bean given(</w:t>
                    </w:r>
                    <w:proofErr w:type="gramStart"/>
                    <w:r>
                      <w:rPr>
                        <w:rFonts w:ascii="MS Gothic"/>
                        <w:color w:val="333333"/>
                      </w:rPr>
                      <w:t>this.remoteService.someCall</w:t>
                    </w:r>
                    <w:proofErr w:type="gramEnd"/>
                    <w:r>
                      <w:rPr>
                        <w:rFonts w:ascii="MS Gothic"/>
                        <w:color w:val="333333"/>
                      </w:rPr>
                      <w:t>()).willReturn("mock"); String reverse = reverser.reverseSomeCall(); assertThat(reverse).isEqualTo("kcom");</w:t>
                    </w:r>
                  </w:p>
                  <w:p w14:paraId="4DE85AD7" w14:textId="77777777" w:rsidR="00711A16" w:rsidRDefault="00711A16">
                    <w:pPr>
                      <w:spacing w:line="277" w:lineRule="exact"/>
                      <w:ind w:left="640"/>
                      <w:rPr>
                        <w:rFonts w:ascii="MS Gothic"/>
                      </w:rPr>
                    </w:pPr>
                    <w:r>
                      <w:rPr>
                        <w:rFonts w:ascii="MS Gothic"/>
                        <w:color w:val="333333"/>
                      </w:rPr>
                      <w:t>}</w:t>
                    </w:r>
                  </w:p>
                  <w:p w14:paraId="65F1C059" w14:textId="77777777" w:rsidR="00711A16" w:rsidRDefault="00711A16">
                    <w:pPr>
                      <w:rPr>
                        <w:rFonts w:ascii="MS Gothic"/>
                        <w:sz w:val="24"/>
                      </w:rPr>
                    </w:pPr>
                  </w:p>
                  <w:p w14:paraId="066CF2CC" w14:textId="77777777" w:rsidR="00711A16" w:rsidRDefault="00711A16">
                    <w:pPr>
                      <w:ind w:left="200"/>
                      <w:rPr>
                        <w:rFonts w:ascii="MS Gothic"/>
                      </w:rPr>
                    </w:pPr>
                    <w:r>
                      <w:rPr>
                        <w:rFonts w:ascii="MS Gothic"/>
                        <w:color w:val="333333"/>
                      </w:rPr>
                      <w:t>}</w:t>
                    </w:r>
                  </w:p>
                </w:txbxContent>
              </v:textbox>
            </v:shape>
            <w10:anchorlock/>
          </v:group>
        </w:pict>
      </w:r>
    </w:p>
    <w:p w14:paraId="088CD7AC" w14:textId="77777777" w:rsidR="00A720EB" w:rsidRDefault="00A720EB">
      <w:pPr>
        <w:pStyle w:val="a3"/>
        <w:spacing w:before="2"/>
        <w:rPr>
          <w:sz w:val="16"/>
        </w:rPr>
      </w:pPr>
    </w:p>
    <w:p w14:paraId="1E3A9B1B" w14:textId="77777777" w:rsidR="00A720EB" w:rsidRDefault="00E10349">
      <w:pPr>
        <w:pStyle w:val="a3"/>
        <w:spacing w:before="116" w:line="297" w:lineRule="auto"/>
        <w:ind w:left="1564" w:right="366"/>
        <w:jc w:val="both"/>
      </w:pPr>
      <w:r>
        <w:pict w14:anchorId="50718CAB">
          <v:line id="_x0000_s3653" style="position:absolute;left:0;text-align:left;z-index:16099328;mso-position-horizontal-relative:page" from="108.25pt,.35pt" to="108.25pt,87.25pt" strokecolor="#ededed" strokeweight=".5pt">
            <w10:wrap anchorx="page"/>
          </v:line>
        </w:pict>
      </w:r>
      <w:r w:rsidR="0030286B">
        <w:rPr>
          <w:noProof/>
        </w:rPr>
        <w:drawing>
          <wp:anchor distT="0" distB="0" distL="0" distR="0" simplePos="0" relativeHeight="16099840" behindDoc="0" locked="0" layoutInCell="1" allowOverlap="1" wp14:anchorId="2F2E6745" wp14:editId="223C922B">
            <wp:simplePos x="0" y="0"/>
            <wp:positionH relativeFrom="page">
              <wp:posOffset>844422</wp:posOffset>
            </wp:positionH>
            <wp:positionV relativeFrom="paragraph">
              <wp:posOffset>406857</wp:posOffset>
            </wp:positionV>
            <wp:extent cx="298450" cy="298450"/>
            <wp:effectExtent l="0" t="0" r="0" b="0"/>
            <wp:wrapNone/>
            <wp:docPr id="4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hAnsi="MS Gothic"/>
          <w:color w:val="B02045"/>
          <w:w w:val="110"/>
        </w:rPr>
        <w:t xml:space="preserve">@MockBean </w:t>
      </w:r>
      <w:r w:rsidR="0030286B">
        <w:rPr>
          <w:color w:val="333333"/>
          <w:w w:val="110"/>
        </w:rPr>
        <w:t xml:space="preserve">cannot be used to mock the behavior of a bean that’s exercised during application context refresh. </w:t>
      </w:r>
      <w:r w:rsidR="0030286B">
        <w:rPr>
          <w:color w:val="333333"/>
          <w:spacing w:val="-3"/>
          <w:w w:val="110"/>
        </w:rPr>
        <w:t xml:space="preserve">By </w:t>
      </w:r>
      <w:r w:rsidR="0030286B">
        <w:rPr>
          <w:color w:val="333333"/>
          <w:w w:val="110"/>
        </w:rPr>
        <w:t xml:space="preserve">the time the test is </w:t>
      </w:r>
      <w:proofErr w:type="gramStart"/>
      <w:r w:rsidR="0030286B">
        <w:rPr>
          <w:color w:val="333333"/>
          <w:w w:val="110"/>
        </w:rPr>
        <w:t>executed,  the</w:t>
      </w:r>
      <w:proofErr w:type="gramEnd"/>
      <w:r w:rsidR="0030286B">
        <w:rPr>
          <w:color w:val="333333"/>
          <w:w w:val="110"/>
        </w:rPr>
        <w:t xml:space="preserve">  application  context refresh has completed and it is too late to configure the mocked behavior. </w:t>
      </w:r>
      <w:r w:rsidR="0030286B">
        <w:rPr>
          <w:color w:val="333333"/>
          <w:spacing w:val="-7"/>
          <w:w w:val="110"/>
        </w:rPr>
        <w:t xml:space="preserve">We </w:t>
      </w:r>
      <w:r w:rsidR="0030286B">
        <w:rPr>
          <w:color w:val="333333"/>
          <w:w w:val="110"/>
        </w:rPr>
        <w:t xml:space="preserve">recommend using a </w:t>
      </w:r>
      <w:r w:rsidR="0030286B">
        <w:rPr>
          <w:rFonts w:ascii="MS Gothic" w:hAnsi="MS Gothic"/>
          <w:color w:val="B02045"/>
          <w:w w:val="110"/>
        </w:rPr>
        <w:t xml:space="preserve">@Bean </w:t>
      </w:r>
      <w:r w:rsidR="0030286B">
        <w:rPr>
          <w:color w:val="333333"/>
          <w:w w:val="110"/>
        </w:rPr>
        <w:t>method to create and configure the mock in this situation.</w:t>
      </w:r>
    </w:p>
    <w:p w14:paraId="495D286F" w14:textId="77777777" w:rsidR="00A720EB" w:rsidRDefault="00A720EB">
      <w:pPr>
        <w:pStyle w:val="a3"/>
        <w:rPr>
          <w:sz w:val="17"/>
        </w:rPr>
      </w:pPr>
    </w:p>
    <w:p w14:paraId="15E50B0F" w14:textId="77777777" w:rsidR="00A720EB" w:rsidRDefault="0030286B">
      <w:pPr>
        <w:pStyle w:val="a3"/>
        <w:spacing w:before="116" w:line="290" w:lineRule="auto"/>
        <w:ind w:left="124"/>
      </w:pPr>
      <w:r>
        <w:rPr>
          <w:color w:val="333333"/>
          <w:w w:val="110"/>
        </w:rPr>
        <w:t xml:space="preserve">Additionally, you can use </w:t>
      </w:r>
      <w:r>
        <w:rPr>
          <w:rFonts w:ascii="MS Gothic"/>
          <w:color w:val="B02045"/>
          <w:w w:val="110"/>
        </w:rPr>
        <w:t xml:space="preserve">@SpyBean </w:t>
      </w:r>
      <w:r>
        <w:rPr>
          <w:color w:val="333333"/>
          <w:w w:val="110"/>
        </w:rPr>
        <w:t xml:space="preserve">to wrap any existing bean with a Mockito </w:t>
      </w:r>
      <w:r>
        <w:rPr>
          <w:rFonts w:ascii="MS Gothic"/>
          <w:color w:val="B02045"/>
          <w:w w:val="110"/>
        </w:rPr>
        <w:t>spy</w:t>
      </w:r>
      <w:r>
        <w:rPr>
          <w:color w:val="333333"/>
          <w:w w:val="110"/>
        </w:rPr>
        <w:t xml:space="preserve">. See the </w:t>
      </w:r>
      <w:hyperlink r:id="rId333">
        <w:r>
          <w:rPr>
            <w:color w:val="418BCA"/>
            <w:w w:val="110"/>
          </w:rPr>
          <w:t xml:space="preserve">Javadoc </w:t>
        </w:r>
      </w:hyperlink>
      <w:r>
        <w:rPr>
          <w:color w:val="333333"/>
          <w:w w:val="110"/>
        </w:rPr>
        <w:t>for full details.</w:t>
      </w:r>
    </w:p>
    <w:p w14:paraId="0EE60509" w14:textId="77777777" w:rsidR="00A720EB" w:rsidRDefault="00A720EB">
      <w:pPr>
        <w:pStyle w:val="a3"/>
        <w:spacing w:before="2"/>
        <w:rPr>
          <w:sz w:val="18"/>
        </w:rPr>
      </w:pPr>
    </w:p>
    <w:p w14:paraId="295BE1CB" w14:textId="77777777" w:rsidR="00A720EB" w:rsidRDefault="00E10349">
      <w:pPr>
        <w:pStyle w:val="a3"/>
        <w:spacing w:before="125" w:line="290" w:lineRule="auto"/>
        <w:ind w:left="1564" w:right="367"/>
        <w:jc w:val="both"/>
      </w:pPr>
      <w:r>
        <w:pict w14:anchorId="08C035C5">
          <v:line id="_x0000_s3652" style="position:absolute;left:0;text-align:left;z-index:16100352;mso-position-horizontal-relative:page" from="108.25pt,.25pt" to="108.25pt,102.95pt" strokecolor="#ededed" strokeweight=".5pt">
            <w10:wrap anchorx="page"/>
          </v:line>
        </w:pict>
      </w:r>
      <w:r w:rsidR="0030286B">
        <w:rPr>
          <w:noProof/>
        </w:rPr>
        <w:drawing>
          <wp:anchor distT="0" distB="0" distL="0" distR="0" simplePos="0" relativeHeight="16100864" behindDoc="0" locked="0" layoutInCell="1" allowOverlap="1" wp14:anchorId="50DB783E" wp14:editId="0EA0CCC6">
            <wp:simplePos x="0" y="0"/>
            <wp:positionH relativeFrom="page">
              <wp:posOffset>844422</wp:posOffset>
            </wp:positionH>
            <wp:positionV relativeFrom="paragraph">
              <wp:posOffset>506133</wp:posOffset>
            </wp:positionV>
            <wp:extent cx="298450" cy="298450"/>
            <wp:effectExtent l="0" t="0" r="0" b="0"/>
            <wp:wrapNone/>
            <wp:docPr id="4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CGLib proxies, such as those created for scoped beans, declare </w:t>
      </w:r>
      <w:proofErr w:type="gramStart"/>
      <w:r w:rsidR="0030286B">
        <w:rPr>
          <w:color w:val="333333"/>
          <w:w w:val="110"/>
        </w:rPr>
        <w:t>the  proxied</w:t>
      </w:r>
      <w:proofErr w:type="gramEnd"/>
      <w:r w:rsidR="0030286B">
        <w:rPr>
          <w:color w:val="333333"/>
          <w:w w:val="110"/>
        </w:rPr>
        <w:t xml:space="preserve">  methods as </w:t>
      </w:r>
      <w:r w:rsidR="0030286B">
        <w:rPr>
          <w:rFonts w:ascii="MS Gothic" w:hAnsi="MS Gothic"/>
          <w:color w:val="B02045"/>
          <w:w w:val="110"/>
        </w:rPr>
        <w:t>final</w:t>
      </w:r>
      <w:r w:rsidR="0030286B">
        <w:rPr>
          <w:color w:val="333333"/>
          <w:w w:val="110"/>
        </w:rPr>
        <w:t xml:space="preserve">. This stops Mockito from functioning correctly as it cannot mock or spy on </w:t>
      </w:r>
      <w:r w:rsidR="0030286B">
        <w:rPr>
          <w:rFonts w:ascii="MS Gothic" w:hAnsi="MS Gothic"/>
          <w:color w:val="B02045"/>
          <w:w w:val="110"/>
        </w:rPr>
        <w:t xml:space="preserve">final </w:t>
      </w:r>
      <w:r w:rsidR="0030286B">
        <w:rPr>
          <w:color w:val="333333"/>
          <w:w w:val="110"/>
        </w:rPr>
        <w:t xml:space="preserve">methods in its default configuration. If you want to mock or spy on such a bean, configure Mockito to use its inline mock maker </w:t>
      </w:r>
      <w:r w:rsidR="0030286B">
        <w:rPr>
          <w:color w:val="333333"/>
          <w:spacing w:val="-3"/>
          <w:w w:val="110"/>
        </w:rPr>
        <w:t xml:space="preserve">by </w:t>
      </w:r>
      <w:r w:rsidR="0030286B">
        <w:rPr>
          <w:color w:val="333333"/>
          <w:w w:val="110"/>
        </w:rPr>
        <w:t xml:space="preserve">adding </w:t>
      </w:r>
      <w:proofErr w:type="gramStart"/>
      <w:r w:rsidR="0030286B">
        <w:rPr>
          <w:rFonts w:ascii="MS Gothic" w:hAnsi="MS Gothic"/>
          <w:color w:val="B02045"/>
          <w:w w:val="110"/>
        </w:rPr>
        <w:t>org.mockito</w:t>
      </w:r>
      <w:proofErr w:type="gramEnd"/>
      <w:r w:rsidR="0030286B">
        <w:rPr>
          <w:rFonts w:ascii="MS Gothic" w:hAnsi="MS Gothic"/>
          <w:color w:val="B02045"/>
          <w:w w:val="110"/>
        </w:rPr>
        <w:t xml:space="preserve">:mockito-inline </w:t>
      </w:r>
      <w:r w:rsidR="0030286B">
        <w:rPr>
          <w:color w:val="333333"/>
          <w:w w:val="110"/>
        </w:rPr>
        <w:t xml:space="preserve">to your application’s test dependencies. This allows Mockito to mock and spy on </w:t>
      </w:r>
      <w:r w:rsidR="0030286B">
        <w:rPr>
          <w:rFonts w:ascii="MS Gothic" w:hAnsi="MS Gothic"/>
          <w:color w:val="B02045"/>
          <w:w w:val="110"/>
        </w:rPr>
        <w:t>final</w:t>
      </w:r>
      <w:r w:rsidR="0030286B">
        <w:rPr>
          <w:rFonts w:ascii="MS Gothic" w:hAnsi="MS Gothic"/>
          <w:color w:val="B02045"/>
          <w:spacing w:val="-46"/>
          <w:w w:val="110"/>
        </w:rPr>
        <w:t xml:space="preserve"> </w:t>
      </w:r>
      <w:r w:rsidR="0030286B">
        <w:rPr>
          <w:color w:val="333333"/>
          <w:w w:val="110"/>
        </w:rPr>
        <w:t>methods.</w:t>
      </w:r>
    </w:p>
    <w:p w14:paraId="44F1F313" w14:textId="77777777" w:rsidR="00A720EB" w:rsidRDefault="00A720EB">
      <w:pPr>
        <w:pStyle w:val="a3"/>
        <w:spacing w:before="1"/>
        <w:rPr>
          <w:sz w:val="23"/>
        </w:rPr>
      </w:pPr>
    </w:p>
    <w:p w14:paraId="110700F0" w14:textId="77777777" w:rsidR="00A720EB" w:rsidRDefault="00E10349">
      <w:pPr>
        <w:pStyle w:val="a3"/>
        <w:spacing w:before="125" w:line="290" w:lineRule="auto"/>
        <w:ind w:left="1564" w:right="362"/>
        <w:jc w:val="both"/>
      </w:pPr>
      <w:r>
        <w:pict w14:anchorId="49DC9122">
          <v:line id="_x0000_s3651" style="position:absolute;left:0;text-align:left;z-index:16101376;mso-position-horizontal-relative:page" from="108.25pt,.25pt" to="108.25pt,71.4pt" strokecolor="#ededed" strokeweight=".5pt">
            <w10:wrap anchorx="page"/>
          </v:line>
        </w:pict>
      </w:r>
      <w:r w:rsidR="0030286B">
        <w:rPr>
          <w:noProof/>
        </w:rPr>
        <w:drawing>
          <wp:anchor distT="0" distB="0" distL="0" distR="0" simplePos="0" relativeHeight="16101888" behindDoc="0" locked="0" layoutInCell="1" allowOverlap="1" wp14:anchorId="2DB8B0F3" wp14:editId="21692DD3">
            <wp:simplePos x="0" y="0"/>
            <wp:positionH relativeFrom="page">
              <wp:posOffset>844422</wp:posOffset>
            </wp:positionH>
            <wp:positionV relativeFrom="paragraph">
              <wp:posOffset>305727</wp:posOffset>
            </wp:positionV>
            <wp:extent cx="298450" cy="298450"/>
            <wp:effectExtent l="0" t="0" r="0" b="0"/>
            <wp:wrapNone/>
            <wp:docPr id="4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While Spring’s test framework caches application contexts between tests </w:t>
      </w:r>
      <w:proofErr w:type="gramStart"/>
      <w:r w:rsidR="0030286B">
        <w:rPr>
          <w:color w:val="333333"/>
          <w:w w:val="110"/>
        </w:rPr>
        <w:t>and  reuses</w:t>
      </w:r>
      <w:proofErr w:type="gramEnd"/>
      <w:r w:rsidR="0030286B">
        <w:rPr>
          <w:color w:val="333333"/>
          <w:w w:val="110"/>
        </w:rPr>
        <w:t xml:space="preserve"> a context for tests sharing the same configuration, the use of </w:t>
      </w:r>
      <w:r w:rsidR="0030286B">
        <w:rPr>
          <w:rFonts w:ascii="MS Gothic" w:hAnsi="MS Gothic"/>
          <w:color w:val="B02045"/>
          <w:w w:val="110"/>
        </w:rPr>
        <w:t xml:space="preserve">@MockBean </w:t>
      </w:r>
      <w:r w:rsidR="0030286B">
        <w:rPr>
          <w:color w:val="333333"/>
          <w:w w:val="110"/>
        </w:rPr>
        <w:t xml:space="preserve">or </w:t>
      </w:r>
      <w:r w:rsidR="0030286B">
        <w:rPr>
          <w:rFonts w:ascii="MS Gothic" w:hAnsi="MS Gothic"/>
          <w:color w:val="B02045"/>
          <w:w w:val="110"/>
        </w:rPr>
        <w:t xml:space="preserve">@SpyBean </w:t>
      </w:r>
      <w:r w:rsidR="0030286B">
        <w:rPr>
          <w:color w:val="333333"/>
          <w:w w:val="110"/>
        </w:rPr>
        <w:t xml:space="preserve">influences the cache </w:t>
      </w:r>
      <w:r w:rsidR="0030286B">
        <w:rPr>
          <w:color w:val="333333"/>
          <w:spacing w:val="-7"/>
          <w:w w:val="110"/>
        </w:rPr>
        <w:t xml:space="preserve">key, </w:t>
      </w:r>
      <w:r w:rsidR="0030286B">
        <w:rPr>
          <w:color w:val="333333"/>
          <w:w w:val="110"/>
        </w:rPr>
        <w:t>which will most likely increase the number of contexts.</w:t>
      </w:r>
    </w:p>
    <w:p w14:paraId="54BBB347" w14:textId="77777777" w:rsidR="00A720EB" w:rsidRDefault="00A720EB">
      <w:pPr>
        <w:spacing w:line="290" w:lineRule="auto"/>
        <w:jc w:val="both"/>
        <w:sectPr w:rsidR="00A720EB">
          <w:pgSz w:w="11910" w:h="16840"/>
          <w:pgMar w:top="700" w:right="840" w:bottom="520" w:left="840" w:header="0" w:footer="323" w:gutter="0"/>
          <w:cols w:space="720"/>
        </w:sectPr>
      </w:pPr>
    </w:p>
    <w:p w14:paraId="3FD99E8F" w14:textId="77777777" w:rsidR="00A720EB" w:rsidRDefault="00E10349">
      <w:pPr>
        <w:pStyle w:val="a3"/>
        <w:spacing w:before="111" w:line="292" w:lineRule="auto"/>
        <w:ind w:left="1564" w:right="362"/>
        <w:jc w:val="both"/>
      </w:pPr>
      <w:r>
        <w:lastRenderedPageBreak/>
        <w:pict w14:anchorId="5B0FBF6F">
          <v:line id="_x0000_s3650" style="position:absolute;left:0;text-align:left;z-index:16102400;mso-position-horizontal-relative:page" from="108.25pt,.1pt" to="108.25pt,71.2pt" strokecolor="#ededed" strokeweight=".5pt">
            <w10:wrap anchorx="page"/>
          </v:line>
        </w:pict>
      </w:r>
      <w:r w:rsidR="0030286B">
        <w:rPr>
          <w:noProof/>
        </w:rPr>
        <w:drawing>
          <wp:anchor distT="0" distB="0" distL="0" distR="0" simplePos="0" relativeHeight="16102912" behindDoc="0" locked="0" layoutInCell="1" allowOverlap="1" wp14:anchorId="062FDF9E" wp14:editId="75A25F27">
            <wp:simplePos x="0" y="0"/>
            <wp:positionH relativeFrom="page">
              <wp:posOffset>888949</wp:posOffset>
            </wp:positionH>
            <wp:positionV relativeFrom="paragraph">
              <wp:posOffset>300304</wp:posOffset>
            </wp:positionV>
            <wp:extent cx="209550" cy="304800"/>
            <wp:effectExtent l="0" t="0" r="0" b="0"/>
            <wp:wrapNone/>
            <wp:docPr id="46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are using </w:t>
      </w:r>
      <w:r w:rsidR="0030286B">
        <w:rPr>
          <w:rFonts w:ascii="MS Gothic"/>
          <w:color w:val="B02045"/>
          <w:w w:val="110"/>
        </w:rPr>
        <w:t xml:space="preserve">@SpyBean </w:t>
      </w:r>
      <w:r w:rsidR="0030286B">
        <w:rPr>
          <w:color w:val="333333"/>
          <w:w w:val="110"/>
        </w:rPr>
        <w:t xml:space="preserve">to spy on a bean with </w:t>
      </w:r>
      <w:r w:rsidR="0030286B">
        <w:rPr>
          <w:rFonts w:ascii="MS Gothic"/>
          <w:color w:val="B02045"/>
          <w:w w:val="110"/>
        </w:rPr>
        <w:t xml:space="preserve">@Cacheable </w:t>
      </w:r>
      <w:r w:rsidR="0030286B">
        <w:rPr>
          <w:color w:val="333333"/>
          <w:w w:val="110"/>
        </w:rPr>
        <w:t xml:space="preserve">methods that refer to parameters by name, your application must be compiled with </w:t>
      </w:r>
      <w:r w:rsidR="0030286B">
        <w:rPr>
          <w:rFonts w:ascii="MS Gothic"/>
          <w:color w:val="B02045"/>
          <w:w w:val="110"/>
        </w:rPr>
        <w:t>-parameters</w:t>
      </w:r>
      <w:r w:rsidR="0030286B">
        <w:rPr>
          <w:color w:val="333333"/>
          <w:w w:val="110"/>
        </w:rPr>
        <w:t>. This ensures that the parameter names are available to the caching infrastructure once the bean has been spied upon.</w:t>
      </w:r>
    </w:p>
    <w:p w14:paraId="1AA49FC7" w14:textId="77777777" w:rsidR="00A720EB" w:rsidRDefault="00A720EB">
      <w:pPr>
        <w:pStyle w:val="a3"/>
        <w:spacing w:before="8"/>
        <w:rPr>
          <w:sz w:val="24"/>
        </w:rPr>
      </w:pPr>
    </w:p>
    <w:p w14:paraId="3892683D" w14:textId="77777777" w:rsidR="00A720EB" w:rsidRDefault="00E10349">
      <w:pPr>
        <w:pStyle w:val="a3"/>
        <w:tabs>
          <w:tab w:val="left" w:pos="3810"/>
          <w:tab w:val="left" w:pos="5336"/>
          <w:tab w:val="left" w:pos="8047"/>
          <w:tab w:val="left" w:pos="9503"/>
        </w:tabs>
        <w:spacing w:before="116" w:line="290" w:lineRule="auto"/>
        <w:ind w:left="1564" w:right="363"/>
        <w:jc w:val="both"/>
      </w:pPr>
      <w:r>
        <w:pict w14:anchorId="71294231">
          <v:line id="_x0000_s3649" style="position:absolute;left:0;text-align:left;z-index:16103424;mso-position-horizontal-relative:page" from="108.25pt,.35pt" to="108.25pt,71.45pt" strokecolor="#ededed" strokeweight=".5pt">
            <w10:wrap anchorx="page"/>
          </v:line>
        </w:pict>
      </w:r>
      <w:r w:rsidR="0030286B">
        <w:rPr>
          <w:noProof/>
        </w:rPr>
        <w:drawing>
          <wp:anchor distT="0" distB="0" distL="0" distR="0" simplePos="0" relativeHeight="16103936" behindDoc="0" locked="0" layoutInCell="1" allowOverlap="1" wp14:anchorId="56DD48B6" wp14:editId="023B5227">
            <wp:simplePos x="0" y="0"/>
            <wp:positionH relativeFrom="page">
              <wp:posOffset>888949</wp:posOffset>
            </wp:positionH>
            <wp:positionV relativeFrom="paragraph">
              <wp:posOffset>303479</wp:posOffset>
            </wp:positionV>
            <wp:extent cx="209550" cy="304800"/>
            <wp:effectExtent l="0" t="0" r="0" b="0"/>
            <wp:wrapNone/>
            <wp:docPr id="46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When you are using </w:t>
      </w:r>
      <w:r w:rsidR="0030286B">
        <w:rPr>
          <w:rFonts w:ascii="MS Gothic" w:hAnsi="MS Gothic"/>
          <w:color w:val="B02045"/>
          <w:w w:val="110"/>
        </w:rPr>
        <w:t xml:space="preserve">@SpyBean </w:t>
      </w:r>
      <w:r w:rsidR="0030286B">
        <w:rPr>
          <w:color w:val="333333"/>
          <w:w w:val="110"/>
        </w:rPr>
        <w:t xml:space="preserve">to spy on a bean that is proxied </w:t>
      </w:r>
      <w:r w:rsidR="0030286B">
        <w:rPr>
          <w:color w:val="333333"/>
          <w:spacing w:val="-3"/>
          <w:w w:val="110"/>
        </w:rPr>
        <w:t xml:space="preserve">by </w:t>
      </w:r>
      <w:r w:rsidR="0030286B">
        <w:rPr>
          <w:color w:val="333333"/>
          <w:w w:val="110"/>
        </w:rPr>
        <w:t>Spring, you may need to remove Spring’s proxy in some situations, for example when setting expectations</w:t>
      </w:r>
      <w:r w:rsidR="0030286B">
        <w:rPr>
          <w:color w:val="333333"/>
          <w:w w:val="110"/>
        </w:rPr>
        <w:tab/>
        <w:t>using</w:t>
      </w:r>
      <w:r w:rsidR="0030286B">
        <w:rPr>
          <w:color w:val="333333"/>
          <w:w w:val="110"/>
        </w:rPr>
        <w:tab/>
      </w:r>
      <w:r w:rsidR="0030286B">
        <w:rPr>
          <w:rFonts w:ascii="MS Gothic" w:hAnsi="MS Gothic"/>
          <w:color w:val="B02045"/>
          <w:w w:val="110"/>
        </w:rPr>
        <w:t xml:space="preserve">given       </w:t>
      </w:r>
      <w:r w:rsidR="0030286B">
        <w:rPr>
          <w:rFonts w:ascii="MS Gothic" w:hAnsi="MS Gothic"/>
          <w:color w:val="B02045"/>
          <w:spacing w:val="15"/>
          <w:w w:val="110"/>
        </w:rPr>
        <w:t xml:space="preserve"> </w:t>
      </w:r>
      <w:r w:rsidR="0030286B">
        <w:rPr>
          <w:color w:val="333333"/>
          <w:w w:val="110"/>
        </w:rPr>
        <w:t>or</w:t>
      </w:r>
      <w:r w:rsidR="0030286B">
        <w:rPr>
          <w:color w:val="333333"/>
          <w:w w:val="110"/>
        </w:rPr>
        <w:tab/>
      </w:r>
      <w:r w:rsidR="0030286B">
        <w:rPr>
          <w:rFonts w:ascii="MS Gothic" w:hAnsi="MS Gothic"/>
          <w:color w:val="B02045"/>
          <w:w w:val="110"/>
        </w:rPr>
        <w:t>when</w:t>
      </w:r>
      <w:r w:rsidR="0030286B">
        <w:rPr>
          <w:color w:val="333333"/>
          <w:w w:val="110"/>
        </w:rPr>
        <w:t>.</w:t>
      </w:r>
      <w:r w:rsidR="0030286B">
        <w:rPr>
          <w:color w:val="333333"/>
          <w:w w:val="110"/>
        </w:rPr>
        <w:tab/>
      </w:r>
      <w:r w:rsidR="0030286B">
        <w:rPr>
          <w:color w:val="333333"/>
          <w:spacing w:val="-7"/>
          <w:w w:val="110"/>
        </w:rPr>
        <w:t xml:space="preserve">Use </w:t>
      </w:r>
      <w:r w:rsidR="0030286B">
        <w:rPr>
          <w:rFonts w:ascii="MS Gothic" w:hAnsi="MS Gothic"/>
          <w:color w:val="B02045"/>
          <w:w w:val="110"/>
        </w:rPr>
        <w:t>AopTestUtils.getTargetObject(yourProxiedSpy)</w:t>
      </w:r>
      <w:r w:rsidR="0030286B">
        <w:rPr>
          <w:rFonts w:ascii="MS Gothic" w:hAnsi="MS Gothic"/>
          <w:color w:val="B02045"/>
          <w:spacing w:val="-82"/>
          <w:w w:val="110"/>
        </w:rPr>
        <w:t xml:space="preserve"> </w:t>
      </w:r>
      <w:r w:rsidR="0030286B">
        <w:rPr>
          <w:color w:val="333333"/>
          <w:w w:val="110"/>
        </w:rPr>
        <w:t>to do so.</w:t>
      </w:r>
    </w:p>
    <w:p w14:paraId="63B5C8EB" w14:textId="77777777" w:rsidR="00A720EB" w:rsidRDefault="00A720EB">
      <w:pPr>
        <w:pStyle w:val="a3"/>
        <w:spacing w:before="4"/>
        <w:rPr>
          <w:sz w:val="23"/>
        </w:rPr>
      </w:pPr>
    </w:p>
    <w:p w14:paraId="4FE9DAA1" w14:textId="77777777" w:rsidR="00A720EB" w:rsidRDefault="0030286B">
      <w:pPr>
        <w:pStyle w:val="4"/>
        <w:spacing w:before="105"/>
      </w:pPr>
      <w:bookmarkStart w:id="469" w:name="Auto-configured_Tests"/>
      <w:bookmarkEnd w:id="469"/>
      <w:r>
        <w:rPr>
          <w:color w:val="333333"/>
          <w:w w:val="110"/>
        </w:rPr>
        <w:t>Auto-configured Tests</w:t>
      </w:r>
    </w:p>
    <w:p w14:paraId="5975249C" w14:textId="77777777" w:rsidR="00A720EB" w:rsidRDefault="00A720EB">
      <w:pPr>
        <w:pStyle w:val="a3"/>
        <w:spacing w:before="11"/>
        <w:rPr>
          <w:rFonts w:ascii="Palatino Linotype"/>
          <w:b/>
          <w:sz w:val="18"/>
        </w:rPr>
      </w:pPr>
    </w:p>
    <w:p w14:paraId="7E0A5181" w14:textId="77777777" w:rsidR="00A720EB" w:rsidRDefault="0030286B">
      <w:pPr>
        <w:pStyle w:val="a3"/>
        <w:spacing w:line="307" w:lineRule="auto"/>
        <w:ind w:left="124" w:right="127"/>
        <w:jc w:val="both"/>
      </w:pPr>
      <w:r>
        <w:rPr>
          <w:color w:val="333333"/>
          <w:w w:val="110"/>
        </w:rPr>
        <w:t xml:space="preserve">Spring Boot’s auto-configuration system works well for applications but can sometimes be a little   too much for tests. It often helps to load only the parts of the configuration that are required to test   a “slice” of your application. </w:t>
      </w:r>
      <w:r>
        <w:rPr>
          <w:color w:val="333333"/>
          <w:spacing w:val="-4"/>
          <w:w w:val="110"/>
        </w:rPr>
        <w:t xml:space="preserve">For </w:t>
      </w:r>
      <w:r>
        <w:rPr>
          <w:color w:val="333333"/>
          <w:w w:val="110"/>
        </w:rPr>
        <w:t xml:space="preserve">example, you might want to test that Spring MVC controllers are mapping URLs </w:t>
      </w:r>
      <w:r>
        <w:rPr>
          <w:color w:val="333333"/>
          <w:spacing w:val="-3"/>
          <w:w w:val="110"/>
        </w:rPr>
        <w:t xml:space="preserve">correctly, </w:t>
      </w:r>
      <w:r>
        <w:rPr>
          <w:color w:val="333333"/>
          <w:w w:val="110"/>
        </w:rPr>
        <w:t xml:space="preserve">and you do not want to involve database calls in those tests, or you might want to test </w:t>
      </w:r>
      <w:r>
        <w:rPr>
          <w:color w:val="333333"/>
          <w:spacing w:val="-4"/>
          <w:w w:val="110"/>
        </w:rPr>
        <w:t xml:space="preserve">JPA </w:t>
      </w:r>
      <w:r>
        <w:rPr>
          <w:color w:val="333333"/>
          <w:w w:val="110"/>
        </w:rPr>
        <w:t>entities, and you are not interested in the web layer when those tests</w:t>
      </w:r>
      <w:r>
        <w:rPr>
          <w:color w:val="333333"/>
          <w:spacing w:val="6"/>
          <w:w w:val="110"/>
        </w:rPr>
        <w:t xml:space="preserve"> </w:t>
      </w:r>
      <w:r>
        <w:rPr>
          <w:color w:val="333333"/>
          <w:w w:val="110"/>
        </w:rPr>
        <w:t>run.</w:t>
      </w:r>
    </w:p>
    <w:p w14:paraId="6CE5C416" w14:textId="77777777" w:rsidR="00A720EB" w:rsidRDefault="0030286B">
      <w:pPr>
        <w:pStyle w:val="a3"/>
        <w:spacing w:before="232" w:line="285" w:lineRule="auto"/>
        <w:ind w:left="124" w:right="122"/>
        <w:jc w:val="both"/>
      </w:pPr>
      <w:r>
        <w:rPr>
          <w:color w:val="333333"/>
          <w:w w:val="110"/>
        </w:rPr>
        <w:t xml:space="preserve">The </w:t>
      </w:r>
      <w:r>
        <w:rPr>
          <w:rFonts w:ascii="MS Gothic" w:hAnsi="MS Gothic"/>
          <w:color w:val="B02045"/>
          <w:w w:val="110"/>
        </w:rPr>
        <w:t>spring-boot-test-autoconfigure</w:t>
      </w:r>
      <w:r>
        <w:rPr>
          <w:rFonts w:ascii="MS Gothic" w:hAnsi="MS Gothic"/>
          <w:color w:val="B02045"/>
          <w:spacing w:val="-51"/>
          <w:w w:val="110"/>
        </w:rPr>
        <w:t xml:space="preserve"> </w:t>
      </w:r>
      <w:r>
        <w:rPr>
          <w:color w:val="333333"/>
          <w:w w:val="110"/>
        </w:rPr>
        <w:t xml:space="preserve">module includes a number of annotations that can be used to automatically configure such “slices”. Each of them works in a similar </w:t>
      </w:r>
      <w:r>
        <w:rPr>
          <w:color w:val="333333"/>
          <w:spacing w:val="-7"/>
          <w:w w:val="110"/>
        </w:rPr>
        <w:t xml:space="preserve">way, </w:t>
      </w:r>
      <w:r>
        <w:rPr>
          <w:color w:val="333333"/>
          <w:w w:val="110"/>
        </w:rPr>
        <w:t xml:space="preserve">providing a </w:t>
      </w:r>
      <w:r>
        <w:rPr>
          <w:rFonts w:ascii="MS Gothic" w:hAnsi="MS Gothic"/>
          <w:color w:val="B02045"/>
          <w:w w:val="110"/>
        </w:rPr>
        <w:t xml:space="preserve">@…Test </w:t>
      </w:r>
      <w:r>
        <w:rPr>
          <w:color w:val="333333"/>
          <w:w w:val="110"/>
        </w:rPr>
        <w:t xml:space="preserve">annotation that loads the </w:t>
      </w:r>
      <w:r>
        <w:rPr>
          <w:rFonts w:ascii="MS Gothic" w:hAnsi="MS Gothic"/>
          <w:color w:val="B02045"/>
          <w:w w:val="110"/>
        </w:rPr>
        <w:t xml:space="preserve">ApplicationContext </w:t>
      </w:r>
      <w:r>
        <w:rPr>
          <w:color w:val="333333"/>
          <w:w w:val="110"/>
        </w:rPr>
        <w:t xml:space="preserve">and one or more </w:t>
      </w:r>
      <w:r>
        <w:rPr>
          <w:rFonts w:ascii="MS Gothic" w:hAnsi="MS Gothic"/>
          <w:color w:val="B02045"/>
          <w:w w:val="110"/>
        </w:rPr>
        <w:t xml:space="preserve">@AutoConfigure… </w:t>
      </w:r>
      <w:r>
        <w:rPr>
          <w:color w:val="333333"/>
          <w:w w:val="110"/>
        </w:rPr>
        <w:t>annotations that can be used to customize auto-configuration settings.</w:t>
      </w:r>
    </w:p>
    <w:p w14:paraId="45A07481" w14:textId="77777777" w:rsidR="00A720EB" w:rsidRDefault="00A720EB">
      <w:pPr>
        <w:pStyle w:val="a3"/>
        <w:spacing w:before="3"/>
        <w:rPr>
          <w:sz w:val="18"/>
        </w:rPr>
      </w:pPr>
    </w:p>
    <w:p w14:paraId="37A26416" w14:textId="77777777" w:rsidR="00A720EB" w:rsidRDefault="00E10349">
      <w:pPr>
        <w:pStyle w:val="a3"/>
        <w:spacing w:before="125" w:line="295" w:lineRule="auto"/>
        <w:ind w:left="1564" w:right="364"/>
        <w:jc w:val="both"/>
      </w:pPr>
      <w:r>
        <w:pict w14:anchorId="38CB4217">
          <v:line id="_x0000_s3648" style="position:absolute;left:0;text-align:left;z-index:16104448;mso-position-horizontal-relative:page" from="108.25pt,.25pt" to="108.25pt,71.4pt" strokecolor="#ededed" strokeweight=".5pt">
            <w10:wrap anchorx="page"/>
          </v:line>
        </w:pict>
      </w:r>
      <w:r w:rsidR="0030286B">
        <w:rPr>
          <w:noProof/>
        </w:rPr>
        <w:drawing>
          <wp:anchor distT="0" distB="0" distL="0" distR="0" simplePos="0" relativeHeight="16104960" behindDoc="0" locked="0" layoutInCell="1" allowOverlap="1" wp14:anchorId="68B32E5E" wp14:editId="3D06BDF7">
            <wp:simplePos x="0" y="0"/>
            <wp:positionH relativeFrom="page">
              <wp:posOffset>844422</wp:posOffset>
            </wp:positionH>
            <wp:positionV relativeFrom="paragraph">
              <wp:posOffset>305727</wp:posOffset>
            </wp:positionV>
            <wp:extent cx="298450" cy="298450"/>
            <wp:effectExtent l="0" t="0" r="0" b="0"/>
            <wp:wrapNone/>
            <wp:docPr id="4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Each slice restricts component scan to appropriate components and loads a </w:t>
      </w:r>
      <w:proofErr w:type="gramStart"/>
      <w:r w:rsidR="0030286B">
        <w:rPr>
          <w:color w:val="333333"/>
          <w:w w:val="110"/>
        </w:rPr>
        <w:t>very  restricted</w:t>
      </w:r>
      <w:proofErr w:type="gramEnd"/>
      <w:r w:rsidR="0030286B">
        <w:rPr>
          <w:color w:val="333333"/>
          <w:w w:val="110"/>
        </w:rPr>
        <w:t xml:space="preserve"> set of auto-configuration classes. If you need to exclude one of </w:t>
      </w:r>
      <w:proofErr w:type="gramStart"/>
      <w:r w:rsidR="0030286B">
        <w:rPr>
          <w:color w:val="333333"/>
          <w:w w:val="110"/>
        </w:rPr>
        <w:t xml:space="preserve">them, </w:t>
      </w:r>
      <w:r w:rsidR="0030286B">
        <w:rPr>
          <w:color w:val="333333"/>
          <w:spacing w:val="50"/>
          <w:w w:val="110"/>
        </w:rPr>
        <w:t xml:space="preserve"> </w:t>
      </w:r>
      <w:r w:rsidR="0030286B">
        <w:rPr>
          <w:color w:val="333333"/>
          <w:w w:val="110"/>
        </w:rPr>
        <w:t>most</w:t>
      </w:r>
      <w:proofErr w:type="gramEnd"/>
      <w:r w:rsidR="0030286B">
        <w:rPr>
          <w:color w:val="333333"/>
          <w:w w:val="110"/>
        </w:rPr>
        <w:t xml:space="preserve"> </w:t>
      </w:r>
      <w:r w:rsidR="0030286B">
        <w:rPr>
          <w:rFonts w:ascii="MS Gothic" w:hAnsi="MS Gothic"/>
          <w:color w:val="B02045"/>
          <w:w w:val="110"/>
        </w:rPr>
        <w:t xml:space="preserve">@…Test </w:t>
      </w:r>
      <w:r w:rsidR="0030286B">
        <w:rPr>
          <w:color w:val="333333"/>
          <w:w w:val="110"/>
        </w:rPr>
        <w:t xml:space="preserve">annotations provide an </w:t>
      </w:r>
      <w:r w:rsidR="0030286B">
        <w:rPr>
          <w:rFonts w:ascii="MS Gothic" w:hAnsi="MS Gothic"/>
          <w:color w:val="B02045"/>
          <w:w w:val="110"/>
        </w:rPr>
        <w:t xml:space="preserve">excludeAutoConfiguration </w:t>
      </w:r>
      <w:r w:rsidR="0030286B">
        <w:rPr>
          <w:color w:val="333333"/>
          <w:w w:val="110"/>
        </w:rPr>
        <w:t xml:space="preserve">attribute. </w:t>
      </w:r>
      <w:r w:rsidR="0030286B">
        <w:rPr>
          <w:color w:val="333333"/>
          <w:spacing w:val="-3"/>
          <w:w w:val="110"/>
        </w:rPr>
        <w:t xml:space="preserve">Alternatively, </w:t>
      </w:r>
      <w:r w:rsidR="0030286B">
        <w:rPr>
          <w:color w:val="333333"/>
          <w:w w:val="110"/>
        </w:rPr>
        <w:t>you can use</w:t>
      </w:r>
      <w:r w:rsidR="0030286B">
        <w:rPr>
          <w:color w:val="333333"/>
          <w:spacing w:val="-9"/>
          <w:w w:val="110"/>
        </w:rPr>
        <w:t xml:space="preserve"> </w:t>
      </w:r>
      <w:r w:rsidR="0030286B">
        <w:rPr>
          <w:rFonts w:ascii="MS Gothic" w:hAnsi="MS Gothic"/>
          <w:color w:val="B02045"/>
          <w:w w:val="110"/>
        </w:rPr>
        <w:t>@ImportAutoConfiguration#exclude</w:t>
      </w:r>
      <w:r w:rsidR="0030286B">
        <w:rPr>
          <w:color w:val="333333"/>
          <w:w w:val="110"/>
        </w:rPr>
        <w:t>.</w:t>
      </w:r>
    </w:p>
    <w:p w14:paraId="6BE6770E" w14:textId="77777777" w:rsidR="00A720EB" w:rsidRDefault="00A720EB">
      <w:pPr>
        <w:pStyle w:val="a3"/>
        <w:spacing w:before="11"/>
        <w:rPr>
          <w:sz w:val="22"/>
        </w:rPr>
      </w:pPr>
    </w:p>
    <w:p w14:paraId="037256D7" w14:textId="77777777" w:rsidR="00A720EB" w:rsidRDefault="00E10349">
      <w:pPr>
        <w:pStyle w:val="a3"/>
        <w:spacing w:before="116" w:line="280" w:lineRule="auto"/>
        <w:ind w:left="1564" w:right="366"/>
        <w:jc w:val="both"/>
      </w:pPr>
      <w:r>
        <w:pict w14:anchorId="46B28333">
          <v:line id="_x0000_s3647" style="position:absolute;left:0;text-align:left;z-index:16105472;mso-position-horizontal-relative:page" from="108.25pt,.35pt" to="108.25pt,55.7pt" strokecolor="#ededed" strokeweight=".5pt">
            <w10:wrap anchorx="page"/>
          </v:line>
        </w:pict>
      </w:r>
      <w:r w:rsidR="0030286B">
        <w:rPr>
          <w:noProof/>
        </w:rPr>
        <w:drawing>
          <wp:anchor distT="0" distB="0" distL="0" distR="0" simplePos="0" relativeHeight="16105984" behindDoc="0" locked="0" layoutInCell="1" allowOverlap="1" wp14:anchorId="49600688" wp14:editId="03E7626E">
            <wp:simplePos x="0" y="0"/>
            <wp:positionH relativeFrom="page">
              <wp:posOffset>844422</wp:posOffset>
            </wp:positionH>
            <wp:positionV relativeFrom="paragraph">
              <wp:posOffset>206451</wp:posOffset>
            </wp:positionV>
            <wp:extent cx="298450" cy="298450"/>
            <wp:effectExtent l="0" t="0" r="0" b="0"/>
            <wp:wrapNone/>
            <wp:docPr id="4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Including multiple “slices” </w:t>
      </w:r>
      <w:r w:rsidR="0030286B">
        <w:rPr>
          <w:color w:val="333333"/>
          <w:spacing w:val="-3"/>
          <w:w w:val="110"/>
        </w:rPr>
        <w:t xml:space="preserve">by </w:t>
      </w:r>
      <w:r w:rsidR="0030286B">
        <w:rPr>
          <w:color w:val="333333"/>
          <w:w w:val="110"/>
        </w:rPr>
        <w:t xml:space="preserve">using several </w:t>
      </w:r>
      <w:r w:rsidR="0030286B">
        <w:rPr>
          <w:rFonts w:ascii="MS Gothic" w:hAnsi="MS Gothic"/>
          <w:color w:val="B02045"/>
          <w:w w:val="110"/>
        </w:rPr>
        <w:t xml:space="preserve">@…Test </w:t>
      </w:r>
      <w:r w:rsidR="0030286B">
        <w:rPr>
          <w:color w:val="333333"/>
          <w:w w:val="110"/>
        </w:rPr>
        <w:t xml:space="preserve">annotations in one test is not supported. If you need multiple “slices”, pick one of the </w:t>
      </w:r>
      <w:r w:rsidR="0030286B">
        <w:rPr>
          <w:rFonts w:ascii="MS Gothic" w:hAnsi="MS Gothic"/>
          <w:color w:val="B02045"/>
          <w:w w:val="110"/>
        </w:rPr>
        <w:t xml:space="preserve">@…Test </w:t>
      </w:r>
      <w:r w:rsidR="0030286B">
        <w:rPr>
          <w:color w:val="333333"/>
          <w:w w:val="110"/>
        </w:rPr>
        <w:t xml:space="preserve">annotations and include the </w:t>
      </w:r>
      <w:r w:rsidR="0030286B">
        <w:rPr>
          <w:rFonts w:ascii="MS Gothic" w:hAnsi="MS Gothic"/>
          <w:color w:val="B02045"/>
          <w:w w:val="110"/>
        </w:rPr>
        <w:t>@AutoConfigure…</w:t>
      </w:r>
      <w:r w:rsidR="0030286B">
        <w:rPr>
          <w:rFonts w:ascii="MS Gothic" w:hAnsi="MS Gothic"/>
          <w:color w:val="B02045"/>
          <w:spacing w:val="-64"/>
          <w:w w:val="110"/>
        </w:rPr>
        <w:t xml:space="preserve"> </w:t>
      </w:r>
      <w:r w:rsidR="0030286B">
        <w:rPr>
          <w:color w:val="333333"/>
          <w:w w:val="110"/>
        </w:rPr>
        <w:t xml:space="preserve">annotations of the other “slices” </w:t>
      </w:r>
      <w:r w:rsidR="0030286B">
        <w:rPr>
          <w:color w:val="333333"/>
          <w:spacing w:val="-3"/>
          <w:w w:val="110"/>
        </w:rPr>
        <w:t xml:space="preserve">by </w:t>
      </w:r>
      <w:r w:rsidR="0030286B">
        <w:rPr>
          <w:color w:val="333333"/>
          <w:w w:val="110"/>
        </w:rPr>
        <w:t>hand.</w:t>
      </w:r>
    </w:p>
    <w:p w14:paraId="547A283B" w14:textId="77777777" w:rsidR="00A720EB" w:rsidRDefault="00A720EB">
      <w:pPr>
        <w:pStyle w:val="a3"/>
        <w:spacing w:before="5"/>
        <w:rPr>
          <w:sz w:val="24"/>
        </w:rPr>
      </w:pPr>
    </w:p>
    <w:p w14:paraId="6D664D20" w14:textId="77777777" w:rsidR="00A720EB" w:rsidRDefault="00E10349">
      <w:pPr>
        <w:pStyle w:val="a3"/>
        <w:spacing w:before="116" w:line="285" w:lineRule="auto"/>
        <w:ind w:left="1564" w:right="366"/>
        <w:jc w:val="both"/>
      </w:pPr>
      <w:r>
        <w:pict w14:anchorId="5EB7D353">
          <v:line id="_x0000_s3646" style="position:absolute;left:0;text-align:left;z-index:16106496;mso-position-horizontal-relative:page" from="108.25pt,.35pt" to="108.25pt,55.7pt" strokecolor="#ededed" strokeweight=".5pt">
            <w10:wrap anchorx="page"/>
          </v:line>
        </w:pict>
      </w:r>
      <w:r w:rsidR="0030286B">
        <w:rPr>
          <w:noProof/>
        </w:rPr>
        <w:drawing>
          <wp:anchor distT="0" distB="0" distL="0" distR="0" simplePos="0" relativeHeight="16107008" behindDoc="0" locked="0" layoutInCell="1" allowOverlap="1" wp14:anchorId="4D330E4A" wp14:editId="3AB7FF61">
            <wp:simplePos x="0" y="0"/>
            <wp:positionH relativeFrom="page">
              <wp:posOffset>888949</wp:posOffset>
            </wp:positionH>
            <wp:positionV relativeFrom="paragraph">
              <wp:posOffset>203276</wp:posOffset>
            </wp:positionV>
            <wp:extent cx="209550" cy="304800"/>
            <wp:effectExtent l="0" t="0" r="0" b="0"/>
            <wp:wrapNone/>
            <wp:docPr id="47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It is also possible to use the </w:t>
      </w:r>
      <w:r w:rsidR="0030286B">
        <w:rPr>
          <w:rFonts w:ascii="MS Gothic" w:hAnsi="MS Gothic"/>
          <w:color w:val="B02045"/>
          <w:w w:val="110"/>
        </w:rPr>
        <w:t xml:space="preserve">@AutoConfigure… </w:t>
      </w:r>
      <w:r w:rsidR="0030286B">
        <w:rPr>
          <w:color w:val="333333"/>
          <w:w w:val="110"/>
        </w:rPr>
        <w:t xml:space="preserve">annotations with the standard </w:t>
      </w:r>
      <w:r w:rsidR="0030286B">
        <w:rPr>
          <w:rFonts w:ascii="MS Gothic" w:hAnsi="MS Gothic"/>
          <w:color w:val="B02045"/>
          <w:w w:val="110"/>
        </w:rPr>
        <w:t xml:space="preserve">@SpringBootTest </w:t>
      </w:r>
      <w:r w:rsidR="0030286B">
        <w:rPr>
          <w:color w:val="333333"/>
          <w:w w:val="110"/>
        </w:rPr>
        <w:t xml:space="preserve">annotation. </w:t>
      </w:r>
      <w:r w:rsidR="0030286B">
        <w:rPr>
          <w:color w:val="333333"/>
          <w:spacing w:val="-6"/>
          <w:w w:val="110"/>
        </w:rPr>
        <w:t xml:space="preserve">You </w:t>
      </w:r>
      <w:r w:rsidR="0030286B">
        <w:rPr>
          <w:color w:val="333333"/>
          <w:w w:val="110"/>
        </w:rPr>
        <w:t>can use this combination if you are not interested in “slicing” your application but you want some of the auto-configured test beans.</w:t>
      </w:r>
    </w:p>
    <w:p w14:paraId="08A9C1D5" w14:textId="77777777" w:rsidR="00A720EB" w:rsidRDefault="00A720EB">
      <w:pPr>
        <w:pStyle w:val="a3"/>
        <w:spacing w:before="6"/>
        <w:rPr>
          <w:sz w:val="25"/>
        </w:rPr>
      </w:pPr>
    </w:p>
    <w:p w14:paraId="737DCFEF" w14:textId="77777777" w:rsidR="00A720EB" w:rsidRDefault="0030286B">
      <w:pPr>
        <w:pStyle w:val="4"/>
        <w:spacing w:before="105"/>
      </w:pPr>
      <w:bookmarkStart w:id="470" w:name="Auto-configured_JSON_Tests"/>
      <w:bookmarkEnd w:id="470"/>
      <w:r>
        <w:rPr>
          <w:color w:val="333333"/>
          <w:w w:val="110"/>
        </w:rPr>
        <w:t>Auto-configured JSON Tests</w:t>
      </w:r>
    </w:p>
    <w:p w14:paraId="3C9EEF92" w14:textId="77777777" w:rsidR="00A720EB" w:rsidRDefault="00A720EB">
      <w:pPr>
        <w:pStyle w:val="a3"/>
        <w:spacing w:before="11"/>
        <w:rPr>
          <w:rFonts w:ascii="Palatino Linotype"/>
          <w:b/>
          <w:sz w:val="18"/>
        </w:rPr>
      </w:pPr>
    </w:p>
    <w:p w14:paraId="385995AC" w14:textId="77777777" w:rsidR="00A720EB" w:rsidRDefault="0030286B">
      <w:pPr>
        <w:pStyle w:val="a3"/>
        <w:spacing w:line="295" w:lineRule="auto"/>
        <w:ind w:left="124" w:right="131"/>
        <w:jc w:val="both"/>
      </w:pPr>
      <w:r>
        <w:rPr>
          <w:color w:val="333333"/>
          <w:w w:val="110"/>
        </w:rPr>
        <w:t xml:space="preserve">To test that object JSON serialization and deserialization is working as expected, you can use the </w:t>
      </w:r>
      <w:r>
        <w:rPr>
          <w:rFonts w:ascii="MS Gothic"/>
          <w:color w:val="B02045"/>
          <w:w w:val="110"/>
        </w:rPr>
        <w:t xml:space="preserve">@JsonTest </w:t>
      </w:r>
      <w:r>
        <w:rPr>
          <w:color w:val="333333"/>
          <w:w w:val="110"/>
        </w:rPr>
        <w:t xml:space="preserve">annotation. </w:t>
      </w:r>
      <w:r>
        <w:rPr>
          <w:rFonts w:ascii="MS Gothic"/>
          <w:color w:val="B02045"/>
          <w:w w:val="110"/>
        </w:rPr>
        <w:t xml:space="preserve">@JsonTest </w:t>
      </w:r>
      <w:r>
        <w:rPr>
          <w:color w:val="333333"/>
          <w:w w:val="110"/>
        </w:rPr>
        <w:t>auto-configures the available supported JSON mapper, which can be one of the following libraries:</w:t>
      </w:r>
    </w:p>
    <w:p w14:paraId="5FCFB4F5" w14:textId="77777777" w:rsidR="00A720EB" w:rsidRDefault="0030286B">
      <w:pPr>
        <w:pStyle w:val="a6"/>
        <w:numPr>
          <w:ilvl w:val="0"/>
          <w:numId w:val="32"/>
        </w:numPr>
        <w:tabs>
          <w:tab w:val="left" w:pos="485"/>
        </w:tabs>
        <w:spacing w:before="240"/>
        <w:rPr>
          <w:sz w:val="21"/>
        </w:rPr>
      </w:pPr>
      <w:r>
        <w:rPr>
          <w:color w:val="333333"/>
          <w:w w:val="110"/>
          <w:sz w:val="21"/>
        </w:rPr>
        <w:t xml:space="preserve">Jackson </w:t>
      </w:r>
      <w:r>
        <w:rPr>
          <w:rFonts w:ascii="MS Gothic" w:hAnsi="MS Gothic"/>
          <w:color w:val="B02045"/>
          <w:w w:val="110"/>
          <w:sz w:val="21"/>
        </w:rPr>
        <w:t>ObjectMapper</w:t>
      </w:r>
      <w:r>
        <w:rPr>
          <w:color w:val="333333"/>
          <w:w w:val="110"/>
          <w:sz w:val="21"/>
        </w:rPr>
        <w:t xml:space="preserve">, any </w:t>
      </w:r>
      <w:r>
        <w:rPr>
          <w:rFonts w:ascii="MS Gothic" w:hAnsi="MS Gothic"/>
          <w:color w:val="B02045"/>
          <w:w w:val="110"/>
          <w:sz w:val="21"/>
        </w:rPr>
        <w:t>@JsonComponent</w:t>
      </w:r>
      <w:r>
        <w:rPr>
          <w:rFonts w:ascii="MS Gothic" w:hAnsi="MS Gothic"/>
          <w:color w:val="B02045"/>
          <w:spacing w:val="-78"/>
          <w:w w:val="110"/>
          <w:sz w:val="21"/>
        </w:rPr>
        <w:t xml:space="preserve"> </w:t>
      </w:r>
      <w:r>
        <w:rPr>
          <w:color w:val="333333"/>
          <w:w w:val="110"/>
          <w:sz w:val="21"/>
        </w:rPr>
        <w:t xml:space="preserve">beans and any Jackson </w:t>
      </w:r>
      <w:r>
        <w:rPr>
          <w:rFonts w:ascii="MS Gothic" w:hAnsi="MS Gothic"/>
          <w:color w:val="B02045"/>
          <w:w w:val="110"/>
          <w:sz w:val="21"/>
        </w:rPr>
        <w:t>Module</w:t>
      </w:r>
      <w:r>
        <w:rPr>
          <w:color w:val="333333"/>
          <w:w w:val="110"/>
          <w:sz w:val="21"/>
        </w:rPr>
        <w:t>s</w:t>
      </w:r>
    </w:p>
    <w:p w14:paraId="3E5E142A" w14:textId="77777777" w:rsidR="00A720EB" w:rsidRDefault="0030286B">
      <w:pPr>
        <w:pStyle w:val="a6"/>
        <w:numPr>
          <w:ilvl w:val="0"/>
          <w:numId w:val="32"/>
        </w:numPr>
        <w:tabs>
          <w:tab w:val="left" w:pos="485"/>
        </w:tabs>
        <w:spacing w:before="166"/>
        <w:rPr>
          <w:rFonts w:ascii="MS Gothic" w:hAnsi="MS Gothic"/>
          <w:sz w:val="21"/>
        </w:rPr>
      </w:pPr>
      <w:r>
        <w:rPr>
          <w:rFonts w:ascii="MS Gothic" w:hAnsi="MS Gothic"/>
          <w:color w:val="B02045"/>
          <w:sz w:val="21"/>
        </w:rPr>
        <w:t>Gson</w:t>
      </w:r>
    </w:p>
    <w:p w14:paraId="3A385E15" w14:textId="77777777" w:rsidR="00A720EB" w:rsidRDefault="0030286B">
      <w:pPr>
        <w:pStyle w:val="a6"/>
        <w:numPr>
          <w:ilvl w:val="0"/>
          <w:numId w:val="32"/>
        </w:numPr>
        <w:tabs>
          <w:tab w:val="left" w:pos="485"/>
        </w:tabs>
        <w:spacing w:before="167"/>
        <w:rPr>
          <w:rFonts w:ascii="MS Gothic" w:hAnsi="MS Gothic"/>
          <w:sz w:val="21"/>
        </w:rPr>
      </w:pPr>
      <w:r>
        <w:rPr>
          <w:rFonts w:ascii="MS Gothic" w:hAnsi="MS Gothic"/>
          <w:color w:val="B02045"/>
          <w:sz w:val="21"/>
        </w:rPr>
        <w:t>Jsonb</w:t>
      </w:r>
    </w:p>
    <w:p w14:paraId="1F7E28C4" w14:textId="77777777" w:rsidR="00A720EB" w:rsidRDefault="00A720EB">
      <w:pPr>
        <w:rPr>
          <w:rFonts w:ascii="MS Gothic" w:hAnsi="MS Gothic"/>
          <w:sz w:val="21"/>
        </w:rPr>
        <w:sectPr w:rsidR="00A720EB">
          <w:pgSz w:w="11910" w:h="16840"/>
          <w:pgMar w:top="700" w:right="840" w:bottom="520" w:left="840" w:header="0" w:footer="323" w:gutter="0"/>
          <w:cols w:space="720"/>
        </w:sectPr>
      </w:pPr>
    </w:p>
    <w:p w14:paraId="45EEB893" w14:textId="77777777" w:rsidR="00A720EB" w:rsidRDefault="00E10349">
      <w:pPr>
        <w:pStyle w:val="a3"/>
        <w:spacing w:before="111" w:line="290" w:lineRule="auto"/>
        <w:ind w:left="1564"/>
      </w:pPr>
      <w:r>
        <w:lastRenderedPageBreak/>
        <w:pict w14:anchorId="3FCD058E">
          <v:line id="_x0000_s3645" style="position:absolute;left:0;text-align:left;z-index:16107520;mso-position-horizontal-relative:page" from="108.25pt,.1pt" to="108.25pt,39.65pt" strokecolor="#ededed" strokeweight=".5pt">
            <w10:wrap anchorx="page"/>
          </v:line>
        </w:pict>
      </w:r>
      <w:r w:rsidR="0030286B">
        <w:rPr>
          <w:noProof/>
        </w:rPr>
        <w:drawing>
          <wp:anchor distT="0" distB="0" distL="0" distR="0" simplePos="0" relativeHeight="16108032" behindDoc="0" locked="0" layoutInCell="1" allowOverlap="1" wp14:anchorId="375ADFD8" wp14:editId="344A3158">
            <wp:simplePos x="0" y="0"/>
            <wp:positionH relativeFrom="page">
              <wp:posOffset>888949</wp:posOffset>
            </wp:positionH>
            <wp:positionV relativeFrom="paragraph">
              <wp:posOffset>99898</wp:posOffset>
            </wp:positionV>
            <wp:extent cx="209550" cy="304800"/>
            <wp:effectExtent l="0" t="0" r="0" b="0"/>
            <wp:wrapNone/>
            <wp:docPr id="47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auto-configurations that are enabled by </w:t>
      </w:r>
      <w:r w:rsidR="0030286B">
        <w:rPr>
          <w:rFonts w:ascii="MS Gothic"/>
          <w:color w:val="B02045"/>
          <w:w w:val="110"/>
        </w:rPr>
        <w:t xml:space="preserve">@JsonTest </w:t>
      </w:r>
      <w:r w:rsidR="0030286B">
        <w:rPr>
          <w:color w:val="333333"/>
          <w:w w:val="110"/>
        </w:rPr>
        <w:t xml:space="preserve">can be </w:t>
      </w:r>
      <w:hyperlink w:anchor="_bookmark689" w:history="1">
        <w:r w:rsidR="0030286B">
          <w:rPr>
            <w:color w:val="418BCA"/>
            <w:w w:val="110"/>
          </w:rPr>
          <w:t>found in the</w:t>
        </w:r>
      </w:hyperlink>
      <w:r w:rsidR="0030286B">
        <w:rPr>
          <w:color w:val="418BCA"/>
          <w:w w:val="110"/>
        </w:rPr>
        <w:t xml:space="preserve"> </w:t>
      </w:r>
      <w:hyperlink w:anchor="_bookmark689" w:history="1">
        <w:r w:rsidR="0030286B">
          <w:rPr>
            <w:color w:val="418BCA"/>
            <w:w w:val="110"/>
          </w:rPr>
          <w:t>appendix</w:t>
        </w:r>
      </w:hyperlink>
      <w:r w:rsidR="0030286B">
        <w:rPr>
          <w:color w:val="333333"/>
          <w:w w:val="110"/>
        </w:rPr>
        <w:t>.</w:t>
      </w:r>
    </w:p>
    <w:p w14:paraId="722BC347" w14:textId="77777777" w:rsidR="00A720EB" w:rsidRDefault="00A720EB">
      <w:pPr>
        <w:pStyle w:val="a3"/>
        <w:spacing w:before="2"/>
        <w:rPr>
          <w:sz w:val="18"/>
        </w:rPr>
      </w:pPr>
    </w:p>
    <w:p w14:paraId="13EF7FDE" w14:textId="77777777" w:rsidR="00A720EB" w:rsidRDefault="0030286B">
      <w:pPr>
        <w:pStyle w:val="a3"/>
        <w:spacing w:before="125"/>
        <w:ind w:left="124"/>
        <w:jc w:val="both"/>
      </w:pPr>
      <w:r>
        <w:rPr>
          <w:color w:val="333333"/>
          <w:w w:val="110"/>
        </w:rPr>
        <w:t>If you need to configure elements of the auto-configuration, you can use the</w:t>
      </w:r>
    </w:p>
    <w:p w14:paraId="660931E6" w14:textId="77777777" w:rsidR="00A720EB" w:rsidRDefault="0030286B">
      <w:pPr>
        <w:pStyle w:val="a3"/>
        <w:spacing w:before="59"/>
        <w:ind w:left="124"/>
        <w:jc w:val="both"/>
      </w:pPr>
      <w:r>
        <w:rPr>
          <w:rFonts w:ascii="MS Gothic"/>
          <w:color w:val="B02045"/>
          <w:w w:val="105"/>
        </w:rPr>
        <w:t>@AutoConfigureJsonTesters</w:t>
      </w:r>
      <w:r>
        <w:rPr>
          <w:rFonts w:ascii="MS Gothic"/>
          <w:color w:val="B02045"/>
          <w:spacing w:val="-57"/>
          <w:w w:val="105"/>
        </w:rPr>
        <w:t xml:space="preserve"> </w:t>
      </w:r>
      <w:r>
        <w:rPr>
          <w:color w:val="333333"/>
          <w:w w:val="105"/>
        </w:rPr>
        <w:t>annotation.</w:t>
      </w:r>
    </w:p>
    <w:p w14:paraId="09CC44FC" w14:textId="77777777" w:rsidR="00A720EB" w:rsidRDefault="00A720EB">
      <w:pPr>
        <w:pStyle w:val="a3"/>
        <w:spacing w:before="4"/>
        <w:rPr>
          <w:sz w:val="25"/>
        </w:rPr>
      </w:pPr>
    </w:p>
    <w:p w14:paraId="7C7F37C2" w14:textId="77777777" w:rsidR="00A720EB" w:rsidRDefault="0030286B">
      <w:pPr>
        <w:pStyle w:val="a3"/>
        <w:spacing w:line="288" w:lineRule="auto"/>
        <w:ind w:left="124" w:right="123"/>
        <w:jc w:val="both"/>
      </w:pPr>
      <w:r>
        <w:rPr>
          <w:color w:val="333333"/>
          <w:w w:val="110"/>
        </w:rPr>
        <w:t xml:space="preserve">Spring Boot includes AssertJ-based helpers that work with the JSONAssert and JsonPath libraries to check that JSON appears as expected. The </w:t>
      </w:r>
      <w:r>
        <w:rPr>
          <w:rFonts w:ascii="MS Gothic"/>
          <w:color w:val="B02045"/>
          <w:w w:val="110"/>
        </w:rPr>
        <w:t>JacksonTester</w:t>
      </w:r>
      <w:r>
        <w:rPr>
          <w:color w:val="333333"/>
          <w:w w:val="110"/>
        </w:rPr>
        <w:t xml:space="preserve">, </w:t>
      </w:r>
      <w:r>
        <w:rPr>
          <w:rFonts w:ascii="MS Gothic"/>
          <w:color w:val="B02045"/>
          <w:w w:val="110"/>
        </w:rPr>
        <w:t>GsonTester</w:t>
      </w:r>
      <w:r>
        <w:rPr>
          <w:color w:val="333333"/>
          <w:w w:val="110"/>
        </w:rPr>
        <w:t xml:space="preserve">, </w:t>
      </w:r>
      <w:r>
        <w:rPr>
          <w:rFonts w:ascii="MS Gothic"/>
          <w:color w:val="B02045"/>
          <w:w w:val="110"/>
        </w:rPr>
        <w:t>JsonbTester</w:t>
      </w:r>
      <w:r>
        <w:rPr>
          <w:color w:val="333333"/>
          <w:w w:val="110"/>
        </w:rPr>
        <w:t xml:space="preserve">, and </w:t>
      </w:r>
      <w:r>
        <w:rPr>
          <w:rFonts w:ascii="MS Gothic"/>
          <w:color w:val="B02045"/>
          <w:w w:val="110"/>
        </w:rPr>
        <w:t xml:space="preserve">BasicJsonTester </w:t>
      </w:r>
      <w:r>
        <w:rPr>
          <w:color w:val="333333"/>
          <w:w w:val="110"/>
        </w:rPr>
        <w:t xml:space="preserve">classes can be used for Jackson, Gson, Jsonb, and Strings respectively. Any helper fields on the test class can be </w:t>
      </w:r>
      <w:r>
        <w:rPr>
          <w:rFonts w:ascii="MS Gothic"/>
          <w:color w:val="B02045"/>
          <w:w w:val="110"/>
        </w:rPr>
        <w:t xml:space="preserve">@Autowired </w:t>
      </w:r>
      <w:r>
        <w:rPr>
          <w:color w:val="333333"/>
          <w:w w:val="110"/>
        </w:rPr>
        <w:t xml:space="preserve">when using </w:t>
      </w:r>
      <w:r>
        <w:rPr>
          <w:rFonts w:ascii="MS Gothic"/>
          <w:color w:val="B02045"/>
          <w:w w:val="110"/>
        </w:rPr>
        <w:t>@JsonTest</w:t>
      </w:r>
      <w:r>
        <w:rPr>
          <w:color w:val="333333"/>
          <w:w w:val="110"/>
        </w:rPr>
        <w:t>. The following example shows a test class for Jackson:</w:t>
      </w:r>
    </w:p>
    <w:p w14:paraId="378B00DE" w14:textId="77777777" w:rsidR="00A720EB" w:rsidRDefault="00A720EB">
      <w:pPr>
        <w:pStyle w:val="a3"/>
        <w:spacing w:before="11"/>
        <w:rPr>
          <w:sz w:val="28"/>
        </w:rPr>
      </w:pPr>
    </w:p>
    <w:p w14:paraId="6AAD13FF" w14:textId="77777777" w:rsidR="00A720EB" w:rsidRDefault="00E10349">
      <w:pPr>
        <w:spacing w:before="116"/>
        <w:ind w:left="344"/>
        <w:rPr>
          <w:rFonts w:ascii="MS Gothic"/>
        </w:rPr>
      </w:pPr>
      <w:r>
        <w:pict w14:anchorId="1D53C893">
          <v:group id="_x0000_s3642" style="position:absolute;left:0;text-align:left;margin-left:47.85pt;margin-top:-6.4pt;width:499.55pt;height:523.95pt;z-index:-41425920;mso-position-horizontal-relative:page" coordorigin="957,-128" coordsize="9991,10479">
            <v:shape id="_x0000_s3644" style="position:absolute;left:964;top:-121;width:9976;height:10464" coordorigin="965,-121" coordsize="9976,10464" path="m10861,-121r-9816,l1014,-114r-26,17l971,-72r-6,31l965,10263r6,31l988,10319r26,17l1045,10343r9816,l10892,10336r25,-17l10935,10294r6,-31l10941,-41r-6,-31l10917,-97r-25,-17l10861,-121xe" fillcolor="#f5f5f5" stroked="f">
              <v:path arrowok="t"/>
            </v:shape>
            <v:shape id="_x0000_s3643" style="position:absolute;left:964;top:-121;width:9976;height:10464" coordorigin="965,-121" coordsize="9976,10464" path="m1045,-121r9816,l10892,-114r25,17l10935,-72r6,31l10941,10263r-6,31l10917,10319r-25,17l10861,10343r-9816,l1014,10336r-26,-17l971,10294r-6,-31l965,-41r6,-31l988,-97r26,-17l1045,-121xe" filled="f" strokecolor="#ccc">
              <v:path arrowok="t"/>
            </v:shape>
            <w10:wrap anchorx="page"/>
          </v:group>
        </w:pict>
      </w:r>
      <w:r w:rsidR="0030286B">
        <w:rPr>
          <w:rFonts w:ascii="MS Gothic"/>
          <w:color w:val="333333"/>
        </w:rPr>
        <w:t xml:space="preserve">import </w:t>
      </w:r>
      <w:proofErr w:type="gramStart"/>
      <w:r w:rsidR="0030286B">
        <w:rPr>
          <w:rFonts w:ascii="MS Gothic"/>
          <w:color w:val="333333"/>
        </w:rPr>
        <w:t>org.junit.jupiter.api.Test</w:t>
      </w:r>
      <w:proofErr w:type="gramEnd"/>
      <w:r w:rsidR="0030286B">
        <w:rPr>
          <w:rFonts w:ascii="MS Gothic"/>
          <w:color w:val="333333"/>
        </w:rPr>
        <w:t>;</w:t>
      </w:r>
    </w:p>
    <w:p w14:paraId="0CE50531" w14:textId="77777777" w:rsidR="00A720EB" w:rsidRDefault="0030286B">
      <w:pPr>
        <w:spacing w:before="13" w:line="252" w:lineRule="auto"/>
        <w:ind w:left="344" w:right="3486"/>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 import org.springframework.boot.test.autoconfigure.json.*; import org.springframework.boot.test.context.*;</w:t>
      </w:r>
    </w:p>
    <w:p w14:paraId="4904DD53" w14:textId="77777777" w:rsidR="00A720EB" w:rsidRDefault="0030286B">
      <w:pPr>
        <w:spacing w:line="501" w:lineRule="auto"/>
        <w:ind w:left="344" w:right="4586"/>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.boot.test.json.*; import static</w:t>
      </w:r>
      <w:r>
        <w:rPr>
          <w:rFonts w:ascii="MS Gothic"/>
          <w:color w:val="333333"/>
          <w:spacing w:val="-17"/>
        </w:rPr>
        <w:t xml:space="preserve"> </w:t>
      </w:r>
      <w:r>
        <w:rPr>
          <w:rFonts w:ascii="MS Gothic"/>
          <w:color w:val="333333"/>
        </w:rPr>
        <w:t>org.assertj.core.api.Assertions.*;</w:t>
      </w:r>
    </w:p>
    <w:p w14:paraId="5AAB9FA7" w14:textId="77777777" w:rsidR="00A720EB" w:rsidRDefault="0030286B">
      <w:pPr>
        <w:ind w:left="344"/>
        <w:rPr>
          <w:rFonts w:ascii="MS Gothic"/>
        </w:rPr>
      </w:pPr>
      <w:r>
        <w:rPr>
          <w:rFonts w:ascii="MS Gothic"/>
          <w:color w:val="333333"/>
        </w:rPr>
        <w:t>@JsonTest</w:t>
      </w:r>
    </w:p>
    <w:p w14:paraId="0518B618" w14:textId="77777777" w:rsidR="00A720EB" w:rsidRDefault="0030286B">
      <w:pPr>
        <w:spacing w:before="11"/>
        <w:ind w:left="344"/>
        <w:rPr>
          <w:rFonts w:ascii="MS Gothic"/>
        </w:rPr>
      </w:pPr>
      <w:r>
        <w:rPr>
          <w:rFonts w:ascii="MS Gothic"/>
          <w:color w:val="333333"/>
        </w:rPr>
        <w:t>class MyJsonTests {</w:t>
      </w:r>
    </w:p>
    <w:p w14:paraId="200E63D4" w14:textId="77777777" w:rsidR="00A720EB" w:rsidRDefault="00A720EB">
      <w:pPr>
        <w:pStyle w:val="a3"/>
        <w:rPr>
          <w:rFonts w:ascii="MS Gothic"/>
          <w:sz w:val="24"/>
        </w:rPr>
      </w:pPr>
    </w:p>
    <w:p w14:paraId="63187CD4" w14:textId="77777777" w:rsidR="00A720EB" w:rsidRDefault="0030286B">
      <w:pPr>
        <w:ind w:left="784"/>
        <w:rPr>
          <w:rFonts w:ascii="MS Gothic"/>
        </w:rPr>
      </w:pPr>
      <w:r>
        <w:rPr>
          <w:rFonts w:ascii="MS Gothic"/>
          <w:color w:val="333333"/>
        </w:rPr>
        <w:t>@Autowired</w:t>
      </w:r>
    </w:p>
    <w:p w14:paraId="3D79AF6D" w14:textId="77777777" w:rsidR="00A720EB" w:rsidRDefault="0030286B">
      <w:pPr>
        <w:spacing w:before="13"/>
        <w:ind w:left="784"/>
        <w:rPr>
          <w:rFonts w:ascii="MS Gothic"/>
        </w:rPr>
      </w:pPr>
      <w:r>
        <w:rPr>
          <w:rFonts w:ascii="MS Gothic"/>
          <w:color w:val="333333"/>
        </w:rPr>
        <w:t>private JacksonTester&lt;VehicleDetails&gt; json;</w:t>
      </w:r>
    </w:p>
    <w:p w14:paraId="004BBD59" w14:textId="77777777" w:rsidR="00A720EB" w:rsidRDefault="00A720EB">
      <w:pPr>
        <w:pStyle w:val="a3"/>
        <w:rPr>
          <w:rFonts w:ascii="MS Gothic"/>
          <w:sz w:val="24"/>
        </w:rPr>
      </w:pPr>
    </w:p>
    <w:p w14:paraId="74AB9D27" w14:textId="77777777" w:rsidR="00A720EB" w:rsidRDefault="0030286B">
      <w:pPr>
        <w:ind w:left="784"/>
        <w:rPr>
          <w:rFonts w:ascii="MS Gothic"/>
        </w:rPr>
      </w:pPr>
      <w:r>
        <w:rPr>
          <w:rFonts w:ascii="MS Gothic"/>
          <w:color w:val="333333"/>
        </w:rPr>
        <w:t>@Test</w:t>
      </w:r>
    </w:p>
    <w:p w14:paraId="76B8C63F" w14:textId="77777777" w:rsidR="00A720EB" w:rsidRDefault="0030286B">
      <w:pPr>
        <w:spacing w:before="13"/>
        <w:ind w:left="784"/>
        <w:rPr>
          <w:rFonts w:ascii="MS Gothic"/>
        </w:rPr>
      </w:pPr>
      <w:r>
        <w:rPr>
          <w:rFonts w:ascii="MS Gothic"/>
          <w:color w:val="333333"/>
        </w:rPr>
        <w:t xml:space="preserve">void </w:t>
      </w:r>
      <w:proofErr w:type="gramStart"/>
      <w:r>
        <w:rPr>
          <w:rFonts w:ascii="MS Gothic"/>
          <w:color w:val="333333"/>
        </w:rPr>
        <w:t>testSerialize(</w:t>
      </w:r>
      <w:proofErr w:type="gramEnd"/>
      <w:r>
        <w:rPr>
          <w:rFonts w:ascii="MS Gothic"/>
          <w:color w:val="333333"/>
        </w:rPr>
        <w:t>) throws Exception {</w:t>
      </w:r>
    </w:p>
    <w:p w14:paraId="299A4876" w14:textId="77777777" w:rsidR="00A720EB" w:rsidRDefault="0030286B">
      <w:pPr>
        <w:spacing w:before="13"/>
        <w:ind w:left="1224"/>
        <w:rPr>
          <w:rFonts w:ascii="MS Gothic"/>
        </w:rPr>
      </w:pPr>
      <w:r>
        <w:rPr>
          <w:rFonts w:ascii="MS Gothic"/>
          <w:color w:val="333333"/>
        </w:rPr>
        <w:t xml:space="preserve">VehicleDetails details = new </w:t>
      </w:r>
      <w:proofErr w:type="gramStart"/>
      <w:r>
        <w:rPr>
          <w:rFonts w:ascii="MS Gothic"/>
          <w:color w:val="333333"/>
        </w:rPr>
        <w:t>VehicleDetails(</w:t>
      </w:r>
      <w:proofErr w:type="gramEnd"/>
      <w:r>
        <w:rPr>
          <w:rFonts w:ascii="MS Gothic"/>
          <w:color w:val="333333"/>
        </w:rPr>
        <w:t>"Honda", "Civic");</w:t>
      </w:r>
    </w:p>
    <w:p w14:paraId="1EDAAE29" w14:textId="77777777" w:rsidR="00A720EB" w:rsidRDefault="0030286B">
      <w:pPr>
        <w:spacing w:before="13" w:line="252" w:lineRule="auto"/>
        <w:ind w:left="1224" w:right="1506"/>
        <w:rPr>
          <w:rFonts w:ascii="MS Gothic"/>
        </w:rPr>
      </w:pPr>
      <w:r>
        <w:rPr>
          <w:rFonts w:ascii="MS Gothic"/>
          <w:color w:val="333333"/>
        </w:rPr>
        <w:t xml:space="preserve">// Assert against a </w:t>
      </w:r>
      <w:proofErr w:type="gramStart"/>
      <w:r>
        <w:rPr>
          <w:rFonts w:ascii="MS Gothic"/>
          <w:color w:val="333333"/>
        </w:rPr>
        <w:t>`.json</w:t>
      </w:r>
      <w:proofErr w:type="gramEnd"/>
      <w:r>
        <w:rPr>
          <w:rFonts w:ascii="MS Gothic"/>
          <w:color w:val="333333"/>
        </w:rPr>
        <w:t>` file in the same package as the test assertThat(this.json.write(details)).isEqualToJson("expected.json");</w:t>
      </w:r>
    </w:p>
    <w:p w14:paraId="465825D3" w14:textId="77777777" w:rsidR="00A720EB" w:rsidRDefault="0030286B">
      <w:pPr>
        <w:spacing w:line="252" w:lineRule="auto"/>
        <w:ind w:left="1224" w:right="626"/>
        <w:rPr>
          <w:rFonts w:ascii="MS Gothic"/>
        </w:rPr>
      </w:pPr>
      <w:r>
        <w:rPr>
          <w:rFonts w:ascii="MS Gothic"/>
          <w:color w:val="333333"/>
        </w:rPr>
        <w:t>// Or use JSON path based assertions assertThat(</w:t>
      </w:r>
      <w:proofErr w:type="gramStart"/>
      <w:r>
        <w:rPr>
          <w:rFonts w:ascii="MS Gothic"/>
          <w:color w:val="333333"/>
        </w:rPr>
        <w:t>this.json</w:t>
      </w:r>
      <w:proofErr w:type="gramEnd"/>
      <w:r>
        <w:rPr>
          <w:rFonts w:ascii="MS Gothic"/>
          <w:color w:val="333333"/>
        </w:rPr>
        <w:t>.write(details)).hasJsonPathStringValue("@.make"); assertThat(this.json.write(details)).extractingJsonPathStringValue("@.make")</w:t>
      </w:r>
    </w:p>
    <w:p w14:paraId="3EAFDBB4" w14:textId="77777777" w:rsidR="00A720EB" w:rsidRDefault="0030286B">
      <w:pPr>
        <w:spacing w:line="275" w:lineRule="exact"/>
        <w:ind w:left="2104"/>
        <w:rPr>
          <w:rFonts w:ascii="MS Gothic"/>
        </w:rPr>
      </w:pPr>
      <w:proofErr w:type="gramStart"/>
      <w:r>
        <w:rPr>
          <w:rFonts w:ascii="MS Gothic"/>
          <w:color w:val="333333"/>
        </w:rPr>
        <w:t>.isEqualTo</w:t>
      </w:r>
      <w:proofErr w:type="gramEnd"/>
      <w:r>
        <w:rPr>
          <w:rFonts w:ascii="MS Gothic"/>
          <w:color w:val="333333"/>
        </w:rPr>
        <w:t>("Honda");</w:t>
      </w:r>
    </w:p>
    <w:p w14:paraId="7B8C703D" w14:textId="77777777" w:rsidR="00A720EB" w:rsidRDefault="0030286B">
      <w:pPr>
        <w:spacing w:before="14"/>
        <w:ind w:left="784"/>
        <w:rPr>
          <w:rFonts w:ascii="MS Gothic"/>
        </w:rPr>
      </w:pPr>
      <w:r>
        <w:rPr>
          <w:rFonts w:ascii="MS Gothic"/>
          <w:color w:val="333333"/>
        </w:rPr>
        <w:t>}</w:t>
      </w:r>
    </w:p>
    <w:p w14:paraId="55BACAEC" w14:textId="77777777" w:rsidR="00A720EB" w:rsidRDefault="00A720EB">
      <w:pPr>
        <w:pStyle w:val="a3"/>
        <w:rPr>
          <w:rFonts w:ascii="MS Gothic"/>
          <w:sz w:val="24"/>
        </w:rPr>
      </w:pPr>
    </w:p>
    <w:p w14:paraId="7A0795D3" w14:textId="77777777" w:rsidR="00A720EB" w:rsidRDefault="0030286B">
      <w:pPr>
        <w:ind w:left="784"/>
        <w:rPr>
          <w:rFonts w:ascii="MS Gothic"/>
        </w:rPr>
      </w:pPr>
      <w:r>
        <w:rPr>
          <w:rFonts w:ascii="MS Gothic"/>
          <w:color w:val="333333"/>
        </w:rPr>
        <w:t>@Test</w:t>
      </w:r>
    </w:p>
    <w:p w14:paraId="100BB48B" w14:textId="77777777" w:rsidR="00A720EB" w:rsidRDefault="0030286B">
      <w:pPr>
        <w:spacing w:before="13"/>
        <w:ind w:left="784"/>
        <w:rPr>
          <w:rFonts w:ascii="MS Gothic"/>
        </w:rPr>
      </w:pPr>
      <w:r>
        <w:rPr>
          <w:rFonts w:ascii="MS Gothic"/>
          <w:color w:val="333333"/>
        </w:rPr>
        <w:t xml:space="preserve">void </w:t>
      </w:r>
      <w:proofErr w:type="gramStart"/>
      <w:r>
        <w:rPr>
          <w:rFonts w:ascii="MS Gothic"/>
          <w:color w:val="333333"/>
        </w:rPr>
        <w:t>testDeserialize(</w:t>
      </w:r>
      <w:proofErr w:type="gramEnd"/>
      <w:r>
        <w:rPr>
          <w:rFonts w:ascii="MS Gothic"/>
          <w:color w:val="333333"/>
        </w:rPr>
        <w:t>) throws Exception {</w:t>
      </w:r>
    </w:p>
    <w:p w14:paraId="2C19F9C3" w14:textId="77777777" w:rsidR="00A720EB" w:rsidRDefault="0030286B">
      <w:pPr>
        <w:spacing w:before="13" w:line="252" w:lineRule="auto"/>
        <w:ind w:left="1224" w:right="2496"/>
        <w:rPr>
          <w:rFonts w:ascii="MS Gothic"/>
        </w:rPr>
      </w:pPr>
      <w:r>
        <w:rPr>
          <w:rFonts w:ascii="MS Gothic"/>
          <w:color w:val="333333"/>
        </w:rPr>
        <w:t>String content = "{\"make\</w:t>
      </w:r>
      <w:proofErr w:type="gramStart"/>
      <w:r>
        <w:rPr>
          <w:rFonts w:ascii="MS Gothic"/>
          <w:color w:val="333333"/>
        </w:rPr>
        <w:t>":\</w:t>
      </w:r>
      <w:proofErr w:type="gramEnd"/>
      <w:r>
        <w:rPr>
          <w:rFonts w:ascii="MS Gothic"/>
          <w:color w:val="333333"/>
        </w:rPr>
        <w:t>"Ford\",\"model\":\"Focus\"}"; assertThat(this.json.parse(content))</w:t>
      </w:r>
    </w:p>
    <w:p w14:paraId="7B8F6954" w14:textId="77777777" w:rsidR="00A720EB" w:rsidRDefault="0030286B">
      <w:pPr>
        <w:spacing w:line="252" w:lineRule="auto"/>
        <w:ind w:left="1224" w:right="1176" w:firstLine="880"/>
        <w:rPr>
          <w:rFonts w:ascii="MS Gothic"/>
        </w:rPr>
      </w:pPr>
      <w:proofErr w:type="gramStart"/>
      <w:r>
        <w:rPr>
          <w:rFonts w:ascii="MS Gothic"/>
          <w:color w:val="333333"/>
        </w:rPr>
        <w:t>.isEqualTo</w:t>
      </w:r>
      <w:proofErr w:type="gramEnd"/>
      <w:r>
        <w:rPr>
          <w:rFonts w:ascii="MS Gothic"/>
          <w:color w:val="333333"/>
        </w:rPr>
        <w:t>(new VehicleDetails("Ford", "Focus")); assertThat(this.json.parseObject(content).getMake()).isEqualTo("Ford");</w:t>
      </w:r>
    </w:p>
    <w:p w14:paraId="47C8C442" w14:textId="77777777" w:rsidR="00A720EB" w:rsidRDefault="0030286B">
      <w:pPr>
        <w:spacing w:line="277" w:lineRule="exact"/>
        <w:ind w:left="784"/>
        <w:rPr>
          <w:rFonts w:ascii="MS Gothic"/>
        </w:rPr>
      </w:pPr>
      <w:r>
        <w:rPr>
          <w:rFonts w:ascii="MS Gothic"/>
          <w:color w:val="333333"/>
        </w:rPr>
        <w:t>}</w:t>
      </w:r>
    </w:p>
    <w:p w14:paraId="7C1E04D8" w14:textId="77777777" w:rsidR="00A720EB" w:rsidRDefault="00A720EB">
      <w:pPr>
        <w:pStyle w:val="a3"/>
        <w:rPr>
          <w:rFonts w:ascii="MS Gothic"/>
          <w:sz w:val="24"/>
        </w:rPr>
      </w:pPr>
    </w:p>
    <w:p w14:paraId="26ACCFC0" w14:textId="77777777" w:rsidR="00A720EB" w:rsidRDefault="0030286B">
      <w:pPr>
        <w:ind w:left="344"/>
        <w:rPr>
          <w:rFonts w:ascii="MS Gothic"/>
        </w:rPr>
      </w:pPr>
      <w:r>
        <w:rPr>
          <w:rFonts w:ascii="MS Gothic"/>
          <w:color w:val="333333"/>
        </w:rPr>
        <w:t>}</w:t>
      </w:r>
    </w:p>
    <w:p w14:paraId="4EAAC733" w14:textId="77777777" w:rsidR="00A720EB" w:rsidRDefault="00A720EB">
      <w:pPr>
        <w:rPr>
          <w:rFonts w:ascii="MS Gothic"/>
        </w:rPr>
        <w:sectPr w:rsidR="00A720EB">
          <w:pgSz w:w="11910" w:h="16840"/>
          <w:pgMar w:top="700" w:right="840" w:bottom="520" w:left="840" w:header="0" w:footer="323" w:gutter="0"/>
          <w:cols w:space="720"/>
        </w:sectPr>
      </w:pPr>
    </w:p>
    <w:p w14:paraId="08A8D030" w14:textId="77777777" w:rsidR="00A720EB" w:rsidRDefault="00E10349">
      <w:pPr>
        <w:pStyle w:val="a3"/>
        <w:spacing w:before="122" w:line="290" w:lineRule="auto"/>
        <w:ind w:left="1564" w:right="366"/>
        <w:jc w:val="both"/>
      </w:pPr>
      <w:r>
        <w:lastRenderedPageBreak/>
        <w:pict w14:anchorId="32426D72">
          <v:line id="_x0000_s3641" style="position:absolute;left:0;text-align:left;z-index:16109568;mso-position-horizontal-relative:page" from="108.25pt,.1pt" to="108.25pt,55.45pt" strokecolor="#ededed" strokeweight=".5pt">
            <w10:wrap anchorx="page"/>
          </v:line>
        </w:pict>
      </w:r>
      <w:r w:rsidR="0030286B">
        <w:rPr>
          <w:noProof/>
        </w:rPr>
        <w:drawing>
          <wp:anchor distT="0" distB="0" distL="0" distR="0" simplePos="0" relativeHeight="16110080" behindDoc="0" locked="0" layoutInCell="1" allowOverlap="1" wp14:anchorId="396D712D" wp14:editId="369B9F1E">
            <wp:simplePos x="0" y="0"/>
            <wp:positionH relativeFrom="page">
              <wp:posOffset>844422</wp:posOffset>
            </wp:positionH>
            <wp:positionV relativeFrom="paragraph">
              <wp:posOffset>203620</wp:posOffset>
            </wp:positionV>
            <wp:extent cx="298450" cy="298450"/>
            <wp:effectExtent l="0" t="0" r="0" b="0"/>
            <wp:wrapNone/>
            <wp:docPr id="4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JSON helper classes can also be used directly in standard unit tests. </w:t>
      </w:r>
      <w:r w:rsidR="0030286B">
        <w:rPr>
          <w:color w:val="333333"/>
          <w:spacing w:val="-4"/>
          <w:w w:val="110"/>
        </w:rPr>
        <w:t xml:space="preserve">To </w:t>
      </w:r>
      <w:r w:rsidR="0030286B">
        <w:rPr>
          <w:color w:val="333333"/>
          <w:w w:val="110"/>
        </w:rPr>
        <w:t xml:space="preserve">do so, </w:t>
      </w:r>
      <w:proofErr w:type="gramStart"/>
      <w:r w:rsidR="0030286B">
        <w:rPr>
          <w:color w:val="333333"/>
          <w:w w:val="110"/>
        </w:rPr>
        <w:t>call  the</w:t>
      </w:r>
      <w:proofErr w:type="gramEnd"/>
      <w:r w:rsidR="0030286B">
        <w:rPr>
          <w:color w:val="333333"/>
          <w:w w:val="110"/>
        </w:rPr>
        <w:t xml:space="preserve"> </w:t>
      </w:r>
      <w:r w:rsidR="0030286B">
        <w:rPr>
          <w:rFonts w:ascii="MS Gothic"/>
          <w:color w:val="B02045"/>
          <w:w w:val="110"/>
        </w:rPr>
        <w:t xml:space="preserve">initFields </w:t>
      </w:r>
      <w:r w:rsidR="0030286B">
        <w:rPr>
          <w:color w:val="333333"/>
          <w:w w:val="110"/>
        </w:rPr>
        <w:t xml:space="preserve">method of the helper in your </w:t>
      </w:r>
      <w:r w:rsidR="0030286B">
        <w:rPr>
          <w:rFonts w:ascii="MS Gothic"/>
          <w:color w:val="B02045"/>
          <w:w w:val="110"/>
        </w:rPr>
        <w:t xml:space="preserve">@Before </w:t>
      </w:r>
      <w:r w:rsidR="0030286B">
        <w:rPr>
          <w:color w:val="333333"/>
          <w:w w:val="110"/>
        </w:rPr>
        <w:t xml:space="preserve">method if you do not use  </w:t>
      </w:r>
      <w:r w:rsidR="0030286B">
        <w:rPr>
          <w:rFonts w:ascii="MS Gothic"/>
          <w:color w:val="B02045"/>
          <w:w w:val="110"/>
        </w:rPr>
        <w:t>@JsonTest</w:t>
      </w:r>
      <w:r w:rsidR="0030286B">
        <w:rPr>
          <w:color w:val="333333"/>
          <w:w w:val="110"/>
        </w:rPr>
        <w:t>.</w:t>
      </w:r>
    </w:p>
    <w:p w14:paraId="4F47810D" w14:textId="77777777" w:rsidR="00A720EB" w:rsidRDefault="00A720EB">
      <w:pPr>
        <w:pStyle w:val="a3"/>
        <w:spacing w:before="5"/>
        <w:rPr>
          <w:sz w:val="16"/>
        </w:rPr>
      </w:pPr>
    </w:p>
    <w:p w14:paraId="052EB1BC" w14:textId="77777777" w:rsidR="00A720EB" w:rsidRDefault="0030286B">
      <w:pPr>
        <w:pStyle w:val="a3"/>
        <w:spacing w:before="125" w:line="288" w:lineRule="auto"/>
        <w:ind w:left="124" w:right="126"/>
        <w:jc w:val="both"/>
      </w:pPr>
      <w:r>
        <w:rPr>
          <w:color w:val="333333"/>
          <w:w w:val="110"/>
        </w:rPr>
        <w:t xml:space="preserve">If you’re using Spring Boot’s AssertJ-based helpers to assert on a number value at a given JSON  </w:t>
      </w:r>
      <w:r>
        <w:rPr>
          <w:color w:val="333333"/>
          <w:spacing w:val="50"/>
          <w:w w:val="110"/>
        </w:rPr>
        <w:t xml:space="preserve"> </w:t>
      </w:r>
      <w:r>
        <w:rPr>
          <w:color w:val="333333"/>
          <w:w w:val="110"/>
        </w:rPr>
        <w:t xml:space="preserve">path, you might not be able to use </w:t>
      </w:r>
      <w:r>
        <w:rPr>
          <w:rFonts w:ascii="MS Gothic" w:hAnsi="MS Gothic"/>
          <w:color w:val="B02045"/>
          <w:w w:val="110"/>
        </w:rPr>
        <w:t xml:space="preserve">isEqualTo </w:t>
      </w:r>
      <w:r>
        <w:rPr>
          <w:color w:val="333333"/>
          <w:w w:val="110"/>
        </w:rPr>
        <w:t xml:space="preserve">depending on the type. Instead, you can use AssertJ’s </w:t>
      </w:r>
      <w:r>
        <w:rPr>
          <w:rFonts w:ascii="MS Gothic" w:hAnsi="MS Gothic"/>
          <w:color w:val="B02045"/>
          <w:w w:val="110"/>
        </w:rPr>
        <w:t xml:space="preserve">satisfies </w:t>
      </w:r>
      <w:r>
        <w:rPr>
          <w:color w:val="333333"/>
          <w:w w:val="110"/>
        </w:rPr>
        <w:t xml:space="preserve">to assert that the value matches the given condition. </w:t>
      </w:r>
      <w:r>
        <w:rPr>
          <w:color w:val="333333"/>
          <w:spacing w:val="-4"/>
          <w:w w:val="110"/>
        </w:rPr>
        <w:t xml:space="preserve">For </w:t>
      </w:r>
      <w:r>
        <w:rPr>
          <w:color w:val="333333"/>
          <w:w w:val="110"/>
        </w:rPr>
        <w:t xml:space="preserve">instance, the following example asserts that the actual number is a float value close to </w:t>
      </w:r>
      <w:r>
        <w:rPr>
          <w:rFonts w:ascii="MS Gothic" w:hAnsi="MS Gothic"/>
          <w:color w:val="B02045"/>
          <w:w w:val="110"/>
        </w:rPr>
        <w:t xml:space="preserve">0.15 </w:t>
      </w:r>
      <w:r>
        <w:rPr>
          <w:color w:val="333333"/>
          <w:w w:val="110"/>
        </w:rPr>
        <w:t>within an offset of</w:t>
      </w:r>
      <w:r>
        <w:rPr>
          <w:color w:val="333333"/>
          <w:spacing w:val="-19"/>
          <w:w w:val="110"/>
        </w:rPr>
        <w:t xml:space="preserve"> </w:t>
      </w:r>
      <w:r>
        <w:rPr>
          <w:rFonts w:ascii="MS Gothic" w:hAnsi="MS Gothic"/>
          <w:color w:val="B02045"/>
          <w:w w:val="110"/>
        </w:rPr>
        <w:t>0.01</w:t>
      </w:r>
      <w:r>
        <w:rPr>
          <w:color w:val="333333"/>
          <w:w w:val="110"/>
        </w:rPr>
        <w:t>.</w:t>
      </w:r>
    </w:p>
    <w:p w14:paraId="6B651CE3" w14:textId="77777777" w:rsidR="00A720EB" w:rsidRDefault="00E10349">
      <w:pPr>
        <w:pStyle w:val="a3"/>
        <w:spacing w:before="11"/>
        <w:rPr>
          <w:sz w:val="12"/>
        </w:rPr>
      </w:pPr>
      <w:r>
        <w:pict w14:anchorId="0B341E97">
          <v:group id="_x0000_s3637" style="position:absolute;margin-left:47.85pt;margin-top:9.55pt;width:499.55pt;height:81.75pt;z-index:-15348224;mso-wrap-distance-left:0;mso-wrap-distance-right:0;mso-position-horizontal-relative:page" coordorigin="957,191" coordsize="9991,1635">
            <v:shape id="_x0000_s3640" style="position:absolute;left:964;top:198;width:9976;height:1620" coordorigin="965,199" coordsize="9976,1620" path="m10861,199r-9816,l1014,205r-26,17l971,248r-6,31l965,1738r6,31l988,1795r26,17l1045,1818r9816,l10892,1812r25,-17l10935,1769r6,-31l10941,279r-6,-31l10917,222r-25,-17l10861,199xe" fillcolor="#f5f5f5" stroked="f">
              <v:path arrowok="t"/>
            </v:shape>
            <v:shape id="_x0000_s3639" style="position:absolute;left:964;top:198;width:9976;height:1620" coordorigin="965,199" coordsize="9976,1620" path="m1045,199r9816,l10892,205r25,17l10935,248r6,31l10941,1738r-6,31l10917,1795r-25,17l10861,1818r-9816,l1014,1812r-26,-17l971,1769r-6,-31l965,279r6,-31l988,222r26,-17l1045,199xe" filled="f" strokecolor="#ccc">
              <v:path arrowok="t"/>
            </v:shape>
            <v:shape id="_x0000_s3638" type="#_x0000_t202" style="position:absolute;left:984;top:214;width:9938;height:1589" filled="f" stroked="f">
              <v:textbox inset="0,0,0,0">
                <w:txbxContent>
                  <w:p w14:paraId="6F221597" w14:textId="77777777" w:rsidR="00711A16" w:rsidRDefault="00711A16">
                    <w:pPr>
                      <w:spacing w:before="221"/>
                      <w:ind w:left="200"/>
                      <w:rPr>
                        <w:rFonts w:ascii="MS Gothic"/>
                      </w:rPr>
                    </w:pPr>
                    <w:r>
                      <w:rPr>
                        <w:rFonts w:ascii="MS Gothic"/>
                        <w:color w:val="333333"/>
                      </w:rPr>
                      <w:t>assertThat(</w:t>
                    </w:r>
                    <w:proofErr w:type="gramStart"/>
                    <w:r>
                      <w:rPr>
                        <w:rFonts w:ascii="MS Gothic"/>
                        <w:color w:val="333333"/>
                      </w:rPr>
                      <w:t>json.write</w:t>
                    </w:r>
                    <w:proofErr w:type="gramEnd"/>
                    <w:r>
                      <w:rPr>
                        <w:rFonts w:ascii="MS Gothic"/>
                        <w:color w:val="333333"/>
                      </w:rPr>
                      <w:t>(message))</w:t>
                    </w:r>
                  </w:p>
                  <w:p w14:paraId="09A3438F" w14:textId="77777777" w:rsidR="00711A16" w:rsidRDefault="00711A16">
                    <w:pPr>
                      <w:spacing w:before="13"/>
                      <w:ind w:left="640"/>
                      <w:rPr>
                        <w:rFonts w:ascii="MS Gothic"/>
                      </w:rPr>
                    </w:pPr>
                    <w:proofErr w:type="gramStart"/>
                    <w:r>
                      <w:rPr>
                        <w:rFonts w:ascii="MS Gothic"/>
                        <w:color w:val="333333"/>
                      </w:rPr>
                      <w:t>.extractingJsonPathNumberValue</w:t>
                    </w:r>
                    <w:proofErr w:type="gramEnd"/>
                    <w:r>
                      <w:rPr>
                        <w:rFonts w:ascii="MS Gothic"/>
                        <w:color w:val="333333"/>
                      </w:rPr>
                      <w:t>("@.test.numberValue")</w:t>
                    </w:r>
                  </w:p>
                  <w:p w14:paraId="5763889C" w14:textId="77777777" w:rsidR="00711A16" w:rsidRDefault="00711A16">
                    <w:pPr>
                      <w:spacing w:before="13" w:line="252" w:lineRule="auto"/>
                      <w:ind w:left="200" w:right="1468" w:firstLine="440"/>
                      <w:rPr>
                        <w:rFonts w:ascii="MS Gothic"/>
                      </w:rPr>
                    </w:pPr>
                    <w:proofErr w:type="gramStart"/>
                    <w:r>
                      <w:rPr>
                        <w:rFonts w:ascii="MS Gothic"/>
                        <w:color w:val="333333"/>
                      </w:rPr>
                      <w:t>.satisfies</w:t>
                    </w:r>
                    <w:proofErr w:type="gramEnd"/>
                    <w:r>
                      <w:rPr>
                        <w:rFonts w:ascii="MS Gothic"/>
                        <w:color w:val="333333"/>
                      </w:rPr>
                      <w:t>((number) -&gt; assertThat(number.floatValue()).isCloseTo(0.15f, within(0.01f)));</w:t>
                    </w:r>
                  </w:p>
                </w:txbxContent>
              </v:textbox>
            </v:shape>
            <w10:wrap type="topAndBottom" anchorx="page"/>
          </v:group>
        </w:pict>
      </w:r>
    </w:p>
    <w:p w14:paraId="21121505" w14:textId="77777777" w:rsidR="00A720EB" w:rsidRDefault="00A720EB">
      <w:pPr>
        <w:pStyle w:val="a3"/>
        <w:spacing w:before="11"/>
        <w:rPr>
          <w:sz w:val="16"/>
        </w:rPr>
      </w:pPr>
    </w:p>
    <w:p w14:paraId="4DBD31AA" w14:textId="77777777" w:rsidR="00A720EB" w:rsidRDefault="0030286B">
      <w:pPr>
        <w:pStyle w:val="4"/>
        <w:spacing w:before="104"/>
      </w:pPr>
      <w:bookmarkStart w:id="471" w:name="Auto-configured_Spring_MVC_Tests"/>
      <w:bookmarkEnd w:id="471"/>
      <w:r>
        <w:rPr>
          <w:color w:val="333333"/>
          <w:w w:val="110"/>
        </w:rPr>
        <w:t>Auto-configured Spring MVC Tests</w:t>
      </w:r>
    </w:p>
    <w:p w14:paraId="6E272038" w14:textId="77777777" w:rsidR="00A720EB" w:rsidRDefault="0030286B">
      <w:pPr>
        <w:pStyle w:val="a3"/>
        <w:tabs>
          <w:tab w:val="left" w:pos="2367"/>
          <w:tab w:val="left" w:pos="3260"/>
          <w:tab w:val="left" w:pos="6869"/>
          <w:tab w:val="left" w:pos="8157"/>
        </w:tabs>
        <w:spacing w:before="244" w:line="280" w:lineRule="auto"/>
        <w:ind w:left="124" w:right="122"/>
        <w:jc w:val="both"/>
      </w:pPr>
      <w:r>
        <w:rPr>
          <w:color w:val="333333"/>
          <w:spacing w:val="-4"/>
          <w:w w:val="110"/>
        </w:rPr>
        <w:t xml:space="preserve">To </w:t>
      </w:r>
      <w:r>
        <w:rPr>
          <w:color w:val="333333"/>
          <w:w w:val="110"/>
        </w:rPr>
        <w:t xml:space="preserve">test whether Spring MVC controllers are working as expected, use the </w:t>
      </w:r>
      <w:r>
        <w:rPr>
          <w:rFonts w:ascii="MS Gothic"/>
          <w:color w:val="B02045"/>
          <w:w w:val="110"/>
        </w:rPr>
        <w:t xml:space="preserve">@WebMvcTest </w:t>
      </w:r>
      <w:r>
        <w:rPr>
          <w:color w:val="333333"/>
          <w:w w:val="110"/>
        </w:rPr>
        <w:t xml:space="preserve">annotation. </w:t>
      </w:r>
      <w:r>
        <w:rPr>
          <w:rFonts w:ascii="MS Gothic"/>
          <w:color w:val="B02045"/>
          <w:w w:val="110"/>
        </w:rPr>
        <w:t>@WebMvcTest</w:t>
      </w:r>
      <w:r>
        <w:rPr>
          <w:rFonts w:ascii="MS Gothic"/>
          <w:color w:val="B02045"/>
          <w:spacing w:val="-74"/>
          <w:w w:val="110"/>
        </w:rPr>
        <w:t xml:space="preserve"> </w:t>
      </w:r>
      <w:r>
        <w:rPr>
          <w:color w:val="333333"/>
          <w:w w:val="110"/>
        </w:rPr>
        <w:t>auto-configures</w:t>
      </w:r>
      <w:r>
        <w:rPr>
          <w:color w:val="333333"/>
          <w:spacing w:val="-9"/>
          <w:w w:val="110"/>
        </w:rPr>
        <w:t xml:space="preserve"> </w:t>
      </w:r>
      <w:r>
        <w:rPr>
          <w:color w:val="333333"/>
          <w:w w:val="110"/>
        </w:rPr>
        <w:t>the</w:t>
      </w:r>
      <w:r>
        <w:rPr>
          <w:color w:val="333333"/>
          <w:spacing w:val="-9"/>
          <w:w w:val="110"/>
        </w:rPr>
        <w:t xml:space="preserve"> </w:t>
      </w:r>
      <w:r>
        <w:rPr>
          <w:color w:val="333333"/>
          <w:w w:val="110"/>
        </w:rPr>
        <w:t>Spring</w:t>
      </w:r>
      <w:r>
        <w:rPr>
          <w:color w:val="333333"/>
          <w:spacing w:val="-9"/>
          <w:w w:val="110"/>
        </w:rPr>
        <w:t xml:space="preserve"> </w:t>
      </w:r>
      <w:r>
        <w:rPr>
          <w:color w:val="333333"/>
          <w:w w:val="110"/>
        </w:rPr>
        <w:t>MVC</w:t>
      </w:r>
      <w:r>
        <w:rPr>
          <w:color w:val="333333"/>
          <w:spacing w:val="-9"/>
          <w:w w:val="110"/>
        </w:rPr>
        <w:t xml:space="preserve"> </w:t>
      </w:r>
      <w:r>
        <w:rPr>
          <w:color w:val="333333"/>
          <w:w w:val="110"/>
        </w:rPr>
        <w:t>infrastructure</w:t>
      </w:r>
      <w:r>
        <w:rPr>
          <w:color w:val="333333"/>
          <w:spacing w:val="-10"/>
          <w:w w:val="110"/>
        </w:rPr>
        <w:t xml:space="preserve"> </w:t>
      </w:r>
      <w:r>
        <w:rPr>
          <w:color w:val="333333"/>
          <w:w w:val="110"/>
        </w:rPr>
        <w:t>and</w:t>
      </w:r>
      <w:r>
        <w:rPr>
          <w:color w:val="333333"/>
          <w:spacing w:val="-9"/>
          <w:w w:val="110"/>
        </w:rPr>
        <w:t xml:space="preserve"> </w:t>
      </w:r>
      <w:r>
        <w:rPr>
          <w:color w:val="333333"/>
          <w:w w:val="110"/>
        </w:rPr>
        <w:t>limits</w:t>
      </w:r>
      <w:r>
        <w:rPr>
          <w:color w:val="333333"/>
          <w:spacing w:val="-9"/>
          <w:w w:val="110"/>
        </w:rPr>
        <w:t xml:space="preserve"> </w:t>
      </w:r>
      <w:r>
        <w:rPr>
          <w:color w:val="333333"/>
          <w:w w:val="110"/>
        </w:rPr>
        <w:t>scanned</w:t>
      </w:r>
      <w:r>
        <w:rPr>
          <w:color w:val="333333"/>
          <w:spacing w:val="-8"/>
          <w:w w:val="110"/>
        </w:rPr>
        <w:t xml:space="preserve"> </w:t>
      </w:r>
      <w:r>
        <w:rPr>
          <w:color w:val="333333"/>
          <w:w w:val="110"/>
        </w:rPr>
        <w:t>beans</w:t>
      </w:r>
      <w:r>
        <w:rPr>
          <w:color w:val="333333"/>
          <w:spacing w:val="-10"/>
          <w:w w:val="110"/>
        </w:rPr>
        <w:t xml:space="preserve"> </w:t>
      </w:r>
      <w:r>
        <w:rPr>
          <w:color w:val="333333"/>
          <w:w w:val="110"/>
        </w:rPr>
        <w:t>to</w:t>
      </w:r>
      <w:r>
        <w:rPr>
          <w:color w:val="333333"/>
          <w:spacing w:val="1"/>
          <w:w w:val="110"/>
        </w:rPr>
        <w:t xml:space="preserve"> </w:t>
      </w:r>
      <w:r>
        <w:rPr>
          <w:rFonts w:ascii="MS Gothic"/>
          <w:color w:val="B02045"/>
          <w:w w:val="110"/>
        </w:rPr>
        <w:t>@Controller</w:t>
      </w:r>
      <w:r>
        <w:rPr>
          <w:color w:val="333333"/>
          <w:w w:val="110"/>
        </w:rPr>
        <w:t xml:space="preserve">, </w:t>
      </w:r>
      <w:r>
        <w:rPr>
          <w:rFonts w:ascii="MS Gothic"/>
          <w:color w:val="B02045"/>
          <w:w w:val="110"/>
        </w:rPr>
        <w:t>@ControllerAdvice</w:t>
      </w:r>
      <w:r>
        <w:rPr>
          <w:color w:val="333333"/>
          <w:w w:val="110"/>
        </w:rPr>
        <w:t xml:space="preserve">, </w:t>
      </w:r>
      <w:r>
        <w:rPr>
          <w:rFonts w:ascii="MS Gothic"/>
          <w:color w:val="B02045"/>
          <w:w w:val="110"/>
        </w:rPr>
        <w:t>@JsonComponent</w:t>
      </w:r>
      <w:r>
        <w:rPr>
          <w:color w:val="333333"/>
          <w:w w:val="110"/>
        </w:rPr>
        <w:t xml:space="preserve">, </w:t>
      </w:r>
      <w:r>
        <w:rPr>
          <w:rFonts w:ascii="MS Gothic"/>
          <w:color w:val="B02045"/>
          <w:w w:val="110"/>
        </w:rPr>
        <w:t>Converter</w:t>
      </w:r>
      <w:r>
        <w:rPr>
          <w:color w:val="333333"/>
          <w:w w:val="110"/>
        </w:rPr>
        <w:t xml:space="preserve">, </w:t>
      </w:r>
      <w:r>
        <w:rPr>
          <w:rFonts w:ascii="MS Gothic"/>
          <w:color w:val="B02045"/>
          <w:w w:val="110"/>
        </w:rPr>
        <w:t>GenericConverter</w:t>
      </w:r>
      <w:r>
        <w:rPr>
          <w:color w:val="333333"/>
          <w:w w:val="110"/>
        </w:rPr>
        <w:t xml:space="preserve">, </w:t>
      </w:r>
      <w:r>
        <w:rPr>
          <w:rFonts w:ascii="MS Gothic"/>
          <w:color w:val="B02045"/>
          <w:w w:val="110"/>
        </w:rPr>
        <w:t>Filter</w:t>
      </w:r>
      <w:r>
        <w:rPr>
          <w:color w:val="333333"/>
          <w:w w:val="110"/>
        </w:rPr>
        <w:t xml:space="preserve">, </w:t>
      </w:r>
      <w:r>
        <w:rPr>
          <w:rFonts w:ascii="MS Gothic"/>
          <w:color w:val="B02045"/>
          <w:w w:val="110"/>
        </w:rPr>
        <w:t>HandlerInterceptor</w:t>
      </w:r>
      <w:r>
        <w:rPr>
          <w:color w:val="333333"/>
          <w:w w:val="110"/>
        </w:rPr>
        <w:t xml:space="preserve">, </w:t>
      </w:r>
      <w:r>
        <w:rPr>
          <w:rFonts w:ascii="MS Gothic"/>
          <w:color w:val="B02045"/>
          <w:w w:val="105"/>
        </w:rPr>
        <w:t>WebMvcConfigurer</w:t>
      </w:r>
      <w:r>
        <w:rPr>
          <w:color w:val="333333"/>
          <w:w w:val="105"/>
        </w:rPr>
        <w:t>,</w:t>
      </w:r>
      <w:r>
        <w:rPr>
          <w:color w:val="333333"/>
          <w:w w:val="105"/>
        </w:rPr>
        <w:tab/>
      </w:r>
      <w:r>
        <w:rPr>
          <w:color w:val="333333"/>
          <w:w w:val="110"/>
        </w:rPr>
        <w:t>and</w:t>
      </w:r>
      <w:r>
        <w:rPr>
          <w:color w:val="333333"/>
          <w:w w:val="110"/>
        </w:rPr>
        <w:tab/>
      </w:r>
      <w:r>
        <w:rPr>
          <w:rFonts w:ascii="MS Gothic"/>
          <w:color w:val="B02045"/>
        </w:rPr>
        <w:t>HandlerMethodArgumentResolver</w:t>
      </w:r>
      <w:r>
        <w:rPr>
          <w:color w:val="333333"/>
        </w:rPr>
        <w:t>.</w:t>
      </w:r>
      <w:r>
        <w:rPr>
          <w:color w:val="333333"/>
        </w:rPr>
        <w:tab/>
      </w:r>
      <w:r>
        <w:rPr>
          <w:color w:val="333333"/>
          <w:w w:val="110"/>
        </w:rPr>
        <w:t>Regular</w:t>
      </w:r>
      <w:r>
        <w:rPr>
          <w:color w:val="333333"/>
          <w:w w:val="110"/>
        </w:rPr>
        <w:tab/>
      </w:r>
      <w:r>
        <w:rPr>
          <w:rFonts w:ascii="MS Gothic"/>
          <w:color w:val="B02045"/>
          <w:w w:val="110"/>
        </w:rPr>
        <w:t xml:space="preserve">@Component </w:t>
      </w:r>
      <w:r>
        <w:rPr>
          <w:color w:val="333333"/>
          <w:spacing w:val="-6"/>
          <w:w w:val="110"/>
        </w:rPr>
        <w:t xml:space="preserve">and </w:t>
      </w:r>
      <w:r>
        <w:rPr>
          <w:rFonts w:ascii="MS Gothic"/>
          <w:color w:val="B02045"/>
          <w:w w:val="110"/>
        </w:rPr>
        <w:t xml:space="preserve">@ConfigurationProperties </w:t>
      </w:r>
      <w:r>
        <w:rPr>
          <w:color w:val="333333"/>
          <w:w w:val="110"/>
        </w:rPr>
        <w:t xml:space="preserve">beans are not scanned when the </w:t>
      </w:r>
      <w:r>
        <w:rPr>
          <w:rFonts w:ascii="MS Gothic"/>
          <w:color w:val="B02045"/>
          <w:w w:val="110"/>
        </w:rPr>
        <w:t xml:space="preserve">@WebMvcTest </w:t>
      </w:r>
      <w:r>
        <w:rPr>
          <w:color w:val="333333"/>
          <w:w w:val="110"/>
        </w:rPr>
        <w:t xml:space="preserve">annotation is used. </w:t>
      </w:r>
      <w:r>
        <w:rPr>
          <w:rFonts w:ascii="MS Gothic"/>
          <w:color w:val="B02045"/>
          <w:w w:val="110"/>
        </w:rPr>
        <w:t>@EnableConfigurationProperties</w:t>
      </w:r>
      <w:r>
        <w:rPr>
          <w:rFonts w:ascii="MS Gothic"/>
          <w:color w:val="B02045"/>
          <w:spacing w:val="-79"/>
          <w:w w:val="110"/>
        </w:rPr>
        <w:t xml:space="preserve"> </w:t>
      </w:r>
      <w:r>
        <w:rPr>
          <w:color w:val="333333"/>
          <w:w w:val="110"/>
        </w:rPr>
        <w:t>can</w:t>
      </w:r>
      <w:r>
        <w:rPr>
          <w:color w:val="333333"/>
          <w:spacing w:val="-14"/>
          <w:w w:val="110"/>
        </w:rPr>
        <w:t xml:space="preserve"> </w:t>
      </w:r>
      <w:r>
        <w:rPr>
          <w:color w:val="333333"/>
          <w:w w:val="110"/>
        </w:rPr>
        <w:t>be</w:t>
      </w:r>
      <w:r>
        <w:rPr>
          <w:color w:val="333333"/>
          <w:spacing w:val="-15"/>
          <w:w w:val="110"/>
        </w:rPr>
        <w:t xml:space="preserve"> </w:t>
      </w:r>
      <w:r>
        <w:rPr>
          <w:color w:val="333333"/>
          <w:w w:val="110"/>
        </w:rPr>
        <w:t>used</w:t>
      </w:r>
      <w:r>
        <w:rPr>
          <w:color w:val="333333"/>
          <w:spacing w:val="-15"/>
          <w:w w:val="110"/>
        </w:rPr>
        <w:t xml:space="preserve"> </w:t>
      </w:r>
      <w:r>
        <w:rPr>
          <w:color w:val="333333"/>
          <w:w w:val="110"/>
        </w:rPr>
        <w:t>to</w:t>
      </w:r>
      <w:r>
        <w:rPr>
          <w:color w:val="333333"/>
          <w:spacing w:val="-14"/>
          <w:w w:val="110"/>
        </w:rPr>
        <w:t xml:space="preserve"> </w:t>
      </w:r>
      <w:r>
        <w:rPr>
          <w:color w:val="333333"/>
          <w:w w:val="110"/>
        </w:rPr>
        <w:t>include</w:t>
      </w:r>
      <w:r>
        <w:rPr>
          <w:color w:val="333333"/>
          <w:spacing w:val="-12"/>
          <w:w w:val="110"/>
        </w:rPr>
        <w:t xml:space="preserve"> </w:t>
      </w:r>
      <w:r>
        <w:rPr>
          <w:rFonts w:ascii="MS Gothic"/>
          <w:color w:val="B02045"/>
          <w:w w:val="110"/>
        </w:rPr>
        <w:t>@ConfigurationProperties</w:t>
      </w:r>
      <w:r>
        <w:rPr>
          <w:rFonts w:ascii="MS Gothic"/>
          <w:color w:val="B02045"/>
          <w:spacing w:val="-79"/>
          <w:w w:val="110"/>
        </w:rPr>
        <w:t xml:space="preserve"> </w:t>
      </w:r>
      <w:r>
        <w:rPr>
          <w:color w:val="333333"/>
          <w:w w:val="110"/>
        </w:rPr>
        <w:t>beans.</w:t>
      </w:r>
    </w:p>
    <w:p w14:paraId="6E0BFFE6" w14:textId="77777777" w:rsidR="00A720EB" w:rsidRDefault="00A720EB">
      <w:pPr>
        <w:pStyle w:val="a3"/>
        <w:spacing w:before="8"/>
        <w:rPr>
          <w:sz w:val="27"/>
        </w:rPr>
      </w:pPr>
    </w:p>
    <w:p w14:paraId="5D65089F" w14:textId="77777777" w:rsidR="00A720EB" w:rsidRDefault="00E10349">
      <w:pPr>
        <w:pStyle w:val="a3"/>
        <w:spacing w:line="290" w:lineRule="auto"/>
        <w:ind w:left="1564" w:right="462"/>
      </w:pPr>
      <w:r>
        <w:pict w14:anchorId="69862E6A">
          <v:line id="_x0000_s3636" style="position:absolute;left:0;text-align:left;z-index:16110592;mso-position-horizontal-relative:page" from="108.25pt,-5.45pt" to="108.25pt,34.1pt" strokecolor="#ededed" strokeweight=".5pt">
            <w10:wrap anchorx="page"/>
          </v:line>
        </w:pict>
      </w:r>
      <w:r w:rsidR="0030286B">
        <w:rPr>
          <w:noProof/>
        </w:rPr>
        <w:drawing>
          <wp:anchor distT="0" distB="0" distL="0" distR="0" simplePos="0" relativeHeight="16111104" behindDoc="0" locked="0" layoutInCell="1" allowOverlap="1" wp14:anchorId="5BAF951D" wp14:editId="79F855FE">
            <wp:simplePos x="0" y="0"/>
            <wp:positionH relativeFrom="page">
              <wp:posOffset>888949</wp:posOffset>
            </wp:positionH>
            <wp:positionV relativeFrom="paragraph">
              <wp:posOffset>29413</wp:posOffset>
            </wp:positionV>
            <wp:extent cx="209550" cy="304800"/>
            <wp:effectExtent l="0" t="0" r="0" b="0"/>
            <wp:wrapNone/>
            <wp:docPr id="48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 settings that are enabled by </w:t>
      </w:r>
      <w:r w:rsidR="0030286B">
        <w:rPr>
          <w:rFonts w:ascii="MS Gothic"/>
          <w:color w:val="B02045"/>
          <w:w w:val="110"/>
        </w:rPr>
        <w:t xml:space="preserve">@WebMvcTest </w:t>
      </w:r>
      <w:r w:rsidR="0030286B">
        <w:rPr>
          <w:color w:val="333333"/>
          <w:w w:val="110"/>
        </w:rPr>
        <w:t xml:space="preserve">can be </w:t>
      </w:r>
      <w:hyperlink w:anchor="_bookmark689" w:history="1">
        <w:r w:rsidR="0030286B">
          <w:rPr>
            <w:color w:val="418BCA"/>
            <w:w w:val="110"/>
          </w:rPr>
          <w:t>found in the appendix</w:t>
        </w:r>
      </w:hyperlink>
      <w:r w:rsidR="0030286B">
        <w:rPr>
          <w:color w:val="333333"/>
          <w:w w:val="110"/>
        </w:rPr>
        <w:t>.</w:t>
      </w:r>
    </w:p>
    <w:p w14:paraId="0808B586" w14:textId="77777777" w:rsidR="00A720EB" w:rsidRDefault="00A720EB">
      <w:pPr>
        <w:pStyle w:val="a3"/>
        <w:spacing w:before="9"/>
        <w:rPr>
          <w:sz w:val="34"/>
        </w:rPr>
      </w:pPr>
    </w:p>
    <w:p w14:paraId="51288F86" w14:textId="77777777" w:rsidR="00A720EB" w:rsidRDefault="00E10349">
      <w:pPr>
        <w:pStyle w:val="a3"/>
        <w:spacing w:line="280" w:lineRule="auto"/>
        <w:ind w:left="1564" w:right="462"/>
      </w:pPr>
      <w:r>
        <w:pict w14:anchorId="4707F705">
          <v:line id="_x0000_s3635" style="position:absolute;left:0;text-align:left;z-index:16111616;mso-position-horizontal-relative:page" from="108.25pt,-5.45pt" to="108.25pt,34.1pt" strokecolor="#ededed" strokeweight=".5pt">
            <w10:wrap anchorx="page"/>
          </v:line>
        </w:pict>
      </w:r>
      <w:r w:rsidR="0030286B">
        <w:rPr>
          <w:noProof/>
        </w:rPr>
        <w:drawing>
          <wp:anchor distT="0" distB="0" distL="0" distR="0" simplePos="0" relativeHeight="16112128" behindDoc="0" locked="0" layoutInCell="1" allowOverlap="1" wp14:anchorId="179C5D80" wp14:editId="64BBB371">
            <wp:simplePos x="0" y="0"/>
            <wp:positionH relativeFrom="page">
              <wp:posOffset>888949</wp:posOffset>
            </wp:positionH>
            <wp:positionV relativeFrom="paragraph">
              <wp:posOffset>29413</wp:posOffset>
            </wp:positionV>
            <wp:extent cx="209550" cy="304800"/>
            <wp:effectExtent l="0" t="0" r="0" b="0"/>
            <wp:wrapNone/>
            <wp:docPr id="4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need to register extra components, such as the Jackson </w:t>
      </w:r>
      <w:r w:rsidR="0030286B">
        <w:rPr>
          <w:rFonts w:ascii="MS Gothic"/>
          <w:color w:val="B02045"/>
          <w:w w:val="110"/>
        </w:rPr>
        <w:t>Module</w:t>
      </w:r>
      <w:r w:rsidR="0030286B">
        <w:rPr>
          <w:color w:val="333333"/>
          <w:w w:val="110"/>
        </w:rPr>
        <w:t xml:space="preserve">, you can import additional configuration classes </w:t>
      </w:r>
      <w:r w:rsidR="0030286B">
        <w:rPr>
          <w:color w:val="333333"/>
          <w:spacing w:val="-3"/>
          <w:w w:val="110"/>
        </w:rPr>
        <w:t xml:space="preserve">by </w:t>
      </w:r>
      <w:r w:rsidR="0030286B">
        <w:rPr>
          <w:color w:val="333333"/>
          <w:w w:val="110"/>
        </w:rPr>
        <w:t xml:space="preserve">using </w:t>
      </w:r>
      <w:r w:rsidR="0030286B">
        <w:rPr>
          <w:rFonts w:ascii="MS Gothic"/>
          <w:color w:val="B02045"/>
          <w:w w:val="110"/>
        </w:rPr>
        <w:t>@Import</w:t>
      </w:r>
      <w:r w:rsidR="0030286B">
        <w:rPr>
          <w:rFonts w:ascii="MS Gothic"/>
          <w:color w:val="B02045"/>
          <w:spacing w:val="-40"/>
          <w:w w:val="110"/>
        </w:rPr>
        <w:t xml:space="preserve"> </w:t>
      </w:r>
      <w:r w:rsidR="0030286B">
        <w:rPr>
          <w:color w:val="333333"/>
          <w:w w:val="110"/>
        </w:rPr>
        <w:t>on your test.</w:t>
      </w:r>
    </w:p>
    <w:p w14:paraId="1C16EA37" w14:textId="77777777" w:rsidR="00A720EB" w:rsidRDefault="00A720EB">
      <w:pPr>
        <w:pStyle w:val="a3"/>
        <w:spacing w:before="5"/>
        <w:rPr>
          <w:sz w:val="27"/>
        </w:rPr>
      </w:pPr>
    </w:p>
    <w:p w14:paraId="3623EDFD" w14:textId="77777777" w:rsidR="00A720EB" w:rsidRDefault="0030286B">
      <w:pPr>
        <w:pStyle w:val="a3"/>
        <w:spacing w:line="290" w:lineRule="auto"/>
        <w:ind w:left="124" w:right="122"/>
        <w:jc w:val="both"/>
      </w:pPr>
      <w:r>
        <w:rPr>
          <w:color w:val="333333"/>
          <w:w w:val="110"/>
        </w:rPr>
        <w:t xml:space="preserve">Often, </w:t>
      </w:r>
      <w:r>
        <w:rPr>
          <w:rFonts w:ascii="MS Gothic"/>
          <w:color w:val="B02045"/>
          <w:w w:val="110"/>
        </w:rPr>
        <w:t xml:space="preserve">@WebMvcTest </w:t>
      </w:r>
      <w:r>
        <w:rPr>
          <w:color w:val="333333"/>
          <w:w w:val="110"/>
        </w:rPr>
        <w:t xml:space="preserve">is limited to a single controller and is used in combination with </w:t>
      </w:r>
      <w:r>
        <w:rPr>
          <w:rFonts w:ascii="MS Gothic"/>
          <w:color w:val="B02045"/>
          <w:w w:val="110"/>
        </w:rPr>
        <w:t xml:space="preserve">@MockBean </w:t>
      </w:r>
      <w:r>
        <w:rPr>
          <w:color w:val="333333"/>
          <w:w w:val="110"/>
        </w:rPr>
        <w:t>to provide mock implementations for required collaborators.</w:t>
      </w:r>
    </w:p>
    <w:p w14:paraId="1B6DCA9E" w14:textId="77777777" w:rsidR="00A720EB" w:rsidRDefault="0030286B">
      <w:pPr>
        <w:pStyle w:val="a3"/>
        <w:spacing w:before="248" w:line="290" w:lineRule="auto"/>
        <w:ind w:left="124" w:right="127"/>
        <w:jc w:val="both"/>
      </w:pPr>
      <w:r>
        <w:rPr>
          <w:rFonts w:ascii="MS Gothic"/>
          <w:color w:val="B02045"/>
          <w:w w:val="110"/>
        </w:rPr>
        <w:t xml:space="preserve">@WebMvcTest </w:t>
      </w:r>
      <w:r>
        <w:rPr>
          <w:color w:val="333333"/>
          <w:w w:val="110"/>
        </w:rPr>
        <w:t xml:space="preserve">also auto-configures </w:t>
      </w:r>
      <w:r>
        <w:rPr>
          <w:rFonts w:ascii="MS Gothic"/>
          <w:color w:val="B02045"/>
          <w:w w:val="110"/>
        </w:rPr>
        <w:t>MockMvc</w:t>
      </w:r>
      <w:r>
        <w:rPr>
          <w:color w:val="333333"/>
          <w:w w:val="110"/>
        </w:rPr>
        <w:t xml:space="preserve">. Mock MVC offers a powerful way to quickly test </w:t>
      </w:r>
      <w:proofErr w:type="gramStart"/>
      <w:r>
        <w:rPr>
          <w:color w:val="333333"/>
          <w:w w:val="110"/>
        </w:rPr>
        <w:t>MVC  controllers</w:t>
      </w:r>
      <w:proofErr w:type="gramEnd"/>
      <w:r>
        <w:rPr>
          <w:color w:val="333333"/>
          <w:w w:val="110"/>
        </w:rPr>
        <w:t xml:space="preserve"> without needing to start a full HTTP server.</w:t>
      </w:r>
    </w:p>
    <w:p w14:paraId="5E02E2B8" w14:textId="77777777" w:rsidR="00A720EB" w:rsidRDefault="00A720EB">
      <w:pPr>
        <w:pStyle w:val="a3"/>
        <w:spacing w:before="11"/>
        <w:rPr>
          <w:sz w:val="27"/>
        </w:rPr>
      </w:pPr>
    </w:p>
    <w:p w14:paraId="2FC08616" w14:textId="77777777" w:rsidR="00A720EB" w:rsidRDefault="00E10349">
      <w:pPr>
        <w:pStyle w:val="a3"/>
        <w:spacing w:line="280" w:lineRule="auto"/>
        <w:ind w:left="1564" w:right="357"/>
      </w:pPr>
      <w:r>
        <w:pict w14:anchorId="0FDFDBE2">
          <v:line id="_x0000_s3634" style="position:absolute;left:0;text-align:left;z-index:16112640;mso-position-horizontal-relative:page" from="108.25pt,-5.45pt" to="108.25pt,34.1pt" strokecolor="#ededed" strokeweight=".5pt">
            <w10:wrap anchorx="page"/>
          </v:line>
        </w:pict>
      </w:r>
      <w:r w:rsidR="0030286B">
        <w:rPr>
          <w:noProof/>
        </w:rPr>
        <w:drawing>
          <wp:anchor distT="0" distB="0" distL="0" distR="0" simplePos="0" relativeHeight="16113152" behindDoc="0" locked="0" layoutInCell="1" allowOverlap="1" wp14:anchorId="1A031ACF" wp14:editId="04284966">
            <wp:simplePos x="0" y="0"/>
            <wp:positionH relativeFrom="page">
              <wp:posOffset>888949</wp:posOffset>
            </wp:positionH>
            <wp:positionV relativeFrom="paragraph">
              <wp:posOffset>29413</wp:posOffset>
            </wp:positionV>
            <wp:extent cx="209550" cy="304800"/>
            <wp:effectExtent l="0" t="0" r="0" b="0"/>
            <wp:wrapNone/>
            <wp:docPr id="48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You</w:t>
      </w:r>
      <w:r w:rsidR="0030286B">
        <w:rPr>
          <w:color w:val="333333"/>
          <w:spacing w:val="-21"/>
          <w:w w:val="110"/>
        </w:rPr>
        <w:t xml:space="preserve"> </w:t>
      </w:r>
      <w:r w:rsidR="0030286B">
        <w:rPr>
          <w:color w:val="333333"/>
          <w:w w:val="110"/>
        </w:rPr>
        <w:t>can</w:t>
      </w:r>
      <w:r w:rsidR="0030286B">
        <w:rPr>
          <w:color w:val="333333"/>
          <w:spacing w:val="-20"/>
          <w:w w:val="110"/>
        </w:rPr>
        <w:t xml:space="preserve"> </w:t>
      </w:r>
      <w:r w:rsidR="0030286B">
        <w:rPr>
          <w:color w:val="333333"/>
          <w:w w:val="110"/>
        </w:rPr>
        <w:t>also</w:t>
      </w:r>
      <w:r w:rsidR="0030286B">
        <w:rPr>
          <w:color w:val="333333"/>
          <w:spacing w:val="-20"/>
          <w:w w:val="110"/>
        </w:rPr>
        <w:t xml:space="preserve"> </w:t>
      </w:r>
      <w:r w:rsidR="0030286B">
        <w:rPr>
          <w:color w:val="333333"/>
          <w:w w:val="110"/>
        </w:rPr>
        <w:t>auto-configure</w:t>
      </w:r>
      <w:r w:rsidR="0030286B">
        <w:rPr>
          <w:color w:val="333333"/>
          <w:spacing w:val="-18"/>
          <w:w w:val="110"/>
        </w:rPr>
        <w:t xml:space="preserve"> </w:t>
      </w:r>
      <w:r w:rsidR="0030286B">
        <w:rPr>
          <w:rFonts w:ascii="MS Gothic"/>
          <w:color w:val="B02045"/>
          <w:w w:val="110"/>
        </w:rPr>
        <w:t>MockMvc</w:t>
      </w:r>
      <w:r w:rsidR="0030286B">
        <w:rPr>
          <w:rFonts w:ascii="MS Gothic"/>
          <w:color w:val="B02045"/>
          <w:spacing w:val="-84"/>
          <w:w w:val="110"/>
        </w:rPr>
        <w:t xml:space="preserve"> </w:t>
      </w:r>
      <w:r w:rsidR="0030286B">
        <w:rPr>
          <w:color w:val="333333"/>
          <w:w w:val="110"/>
        </w:rPr>
        <w:t>in</w:t>
      </w:r>
      <w:r w:rsidR="0030286B">
        <w:rPr>
          <w:color w:val="333333"/>
          <w:spacing w:val="-21"/>
          <w:w w:val="110"/>
        </w:rPr>
        <w:t xml:space="preserve"> </w:t>
      </w:r>
      <w:r w:rsidR="0030286B">
        <w:rPr>
          <w:color w:val="333333"/>
          <w:w w:val="110"/>
        </w:rPr>
        <w:t>a</w:t>
      </w:r>
      <w:r w:rsidR="0030286B">
        <w:rPr>
          <w:color w:val="333333"/>
          <w:spacing w:val="-20"/>
          <w:w w:val="110"/>
        </w:rPr>
        <w:t xml:space="preserve"> </w:t>
      </w:r>
      <w:r w:rsidR="0030286B">
        <w:rPr>
          <w:color w:val="333333"/>
          <w:w w:val="110"/>
        </w:rPr>
        <w:t>non-</w:t>
      </w:r>
      <w:r w:rsidR="0030286B">
        <w:rPr>
          <w:rFonts w:ascii="MS Gothic"/>
          <w:color w:val="B02045"/>
          <w:w w:val="110"/>
        </w:rPr>
        <w:t>@WebMvcTest</w:t>
      </w:r>
      <w:r w:rsidR="0030286B">
        <w:rPr>
          <w:rFonts w:ascii="MS Gothic"/>
          <w:color w:val="B02045"/>
          <w:spacing w:val="-85"/>
          <w:w w:val="110"/>
        </w:rPr>
        <w:t xml:space="preserve"> </w:t>
      </w:r>
      <w:r w:rsidR="0030286B">
        <w:rPr>
          <w:color w:val="333333"/>
          <w:w w:val="110"/>
        </w:rPr>
        <w:t>(such</w:t>
      </w:r>
      <w:r w:rsidR="0030286B">
        <w:rPr>
          <w:color w:val="333333"/>
          <w:spacing w:val="-20"/>
          <w:w w:val="110"/>
        </w:rPr>
        <w:t xml:space="preserve"> </w:t>
      </w:r>
      <w:r w:rsidR="0030286B">
        <w:rPr>
          <w:color w:val="333333"/>
          <w:w w:val="110"/>
        </w:rPr>
        <w:t>as</w:t>
      </w:r>
      <w:r w:rsidR="0030286B">
        <w:rPr>
          <w:color w:val="333333"/>
          <w:spacing w:val="-20"/>
          <w:w w:val="110"/>
        </w:rPr>
        <w:t xml:space="preserve"> </w:t>
      </w:r>
      <w:r w:rsidR="0030286B">
        <w:rPr>
          <w:rFonts w:ascii="MS Gothic"/>
          <w:color w:val="B02045"/>
          <w:w w:val="110"/>
        </w:rPr>
        <w:t>@SpringBootTest</w:t>
      </w:r>
      <w:r w:rsidR="0030286B">
        <w:rPr>
          <w:color w:val="333333"/>
          <w:w w:val="110"/>
        </w:rPr>
        <w:t xml:space="preserve">) </w:t>
      </w:r>
      <w:r w:rsidR="0030286B">
        <w:rPr>
          <w:color w:val="333333"/>
          <w:spacing w:val="-3"/>
          <w:w w:val="110"/>
        </w:rPr>
        <w:t>by</w:t>
      </w:r>
      <w:r w:rsidR="0030286B">
        <w:rPr>
          <w:color w:val="333333"/>
          <w:spacing w:val="-16"/>
          <w:w w:val="110"/>
        </w:rPr>
        <w:t xml:space="preserve"> </w:t>
      </w:r>
      <w:r w:rsidR="0030286B">
        <w:rPr>
          <w:color w:val="333333"/>
          <w:w w:val="110"/>
        </w:rPr>
        <w:t>annotating</w:t>
      </w:r>
      <w:r w:rsidR="0030286B">
        <w:rPr>
          <w:color w:val="333333"/>
          <w:spacing w:val="-16"/>
          <w:w w:val="110"/>
        </w:rPr>
        <w:t xml:space="preserve"> </w:t>
      </w:r>
      <w:r w:rsidR="0030286B">
        <w:rPr>
          <w:color w:val="333333"/>
          <w:w w:val="110"/>
        </w:rPr>
        <w:t>it</w:t>
      </w:r>
      <w:r w:rsidR="0030286B">
        <w:rPr>
          <w:color w:val="333333"/>
          <w:spacing w:val="-16"/>
          <w:w w:val="110"/>
        </w:rPr>
        <w:t xml:space="preserve"> </w:t>
      </w:r>
      <w:r w:rsidR="0030286B">
        <w:rPr>
          <w:color w:val="333333"/>
          <w:w w:val="110"/>
        </w:rPr>
        <w:t>with</w:t>
      </w:r>
      <w:r w:rsidR="0030286B">
        <w:rPr>
          <w:color w:val="333333"/>
          <w:spacing w:val="-12"/>
          <w:w w:val="110"/>
        </w:rPr>
        <w:t xml:space="preserve"> </w:t>
      </w:r>
      <w:r w:rsidR="0030286B">
        <w:rPr>
          <w:rFonts w:ascii="MS Gothic"/>
          <w:color w:val="B02045"/>
          <w:w w:val="110"/>
        </w:rPr>
        <w:t>@AutoConfigureMockMvc</w:t>
      </w:r>
      <w:r w:rsidR="0030286B">
        <w:rPr>
          <w:color w:val="333333"/>
          <w:w w:val="110"/>
        </w:rPr>
        <w:t>.</w:t>
      </w:r>
      <w:r w:rsidR="0030286B">
        <w:rPr>
          <w:color w:val="333333"/>
          <w:spacing w:val="-15"/>
          <w:w w:val="110"/>
        </w:rPr>
        <w:t xml:space="preserve"> </w:t>
      </w:r>
      <w:r w:rsidR="0030286B">
        <w:rPr>
          <w:color w:val="333333"/>
          <w:w w:val="110"/>
        </w:rPr>
        <w:t>The</w:t>
      </w:r>
      <w:r w:rsidR="0030286B">
        <w:rPr>
          <w:color w:val="333333"/>
          <w:spacing w:val="-16"/>
          <w:w w:val="110"/>
        </w:rPr>
        <w:t xml:space="preserve"> </w:t>
      </w:r>
      <w:r w:rsidR="0030286B">
        <w:rPr>
          <w:color w:val="333333"/>
          <w:w w:val="110"/>
        </w:rPr>
        <w:t>following</w:t>
      </w:r>
      <w:r w:rsidR="0030286B">
        <w:rPr>
          <w:color w:val="333333"/>
          <w:spacing w:val="-15"/>
          <w:w w:val="110"/>
        </w:rPr>
        <w:t xml:space="preserve"> </w:t>
      </w:r>
      <w:r w:rsidR="0030286B">
        <w:rPr>
          <w:color w:val="333333"/>
          <w:w w:val="110"/>
        </w:rPr>
        <w:t>example</w:t>
      </w:r>
      <w:r w:rsidR="0030286B">
        <w:rPr>
          <w:color w:val="333333"/>
          <w:spacing w:val="-15"/>
          <w:w w:val="110"/>
        </w:rPr>
        <w:t xml:space="preserve"> </w:t>
      </w:r>
      <w:r w:rsidR="0030286B">
        <w:rPr>
          <w:color w:val="333333"/>
          <w:w w:val="110"/>
        </w:rPr>
        <w:t>uses</w:t>
      </w:r>
      <w:r w:rsidR="0030286B">
        <w:rPr>
          <w:color w:val="333333"/>
          <w:spacing w:val="-14"/>
          <w:w w:val="110"/>
        </w:rPr>
        <w:t xml:space="preserve"> </w:t>
      </w:r>
      <w:r w:rsidR="0030286B">
        <w:rPr>
          <w:rFonts w:ascii="MS Gothic"/>
          <w:color w:val="B02045"/>
          <w:w w:val="110"/>
        </w:rPr>
        <w:t>MockMvc</w:t>
      </w:r>
      <w:r w:rsidR="0030286B">
        <w:rPr>
          <w:color w:val="333333"/>
          <w:w w:val="110"/>
        </w:rPr>
        <w:t>:</w:t>
      </w:r>
    </w:p>
    <w:p w14:paraId="07E4BA49" w14:textId="77777777" w:rsidR="00A720EB" w:rsidRDefault="00A720EB">
      <w:pPr>
        <w:spacing w:line="280" w:lineRule="auto"/>
        <w:sectPr w:rsidR="00A720EB">
          <w:pgSz w:w="11910" w:h="16840"/>
          <w:pgMar w:top="700" w:right="840" w:bottom="520" w:left="840" w:header="0" w:footer="323" w:gutter="0"/>
          <w:cols w:space="720"/>
        </w:sectPr>
      </w:pPr>
    </w:p>
    <w:p w14:paraId="6CCB3026" w14:textId="77777777" w:rsidR="00A720EB" w:rsidRDefault="00A720EB">
      <w:pPr>
        <w:pStyle w:val="a3"/>
        <w:spacing w:before="4"/>
        <w:rPr>
          <w:sz w:val="10"/>
        </w:rPr>
      </w:pPr>
    </w:p>
    <w:p w14:paraId="4A031365" w14:textId="77777777" w:rsidR="00A720EB" w:rsidRDefault="00E10349">
      <w:pPr>
        <w:spacing w:before="117"/>
        <w:ind w:left="344"/>
        <w:rPr>
          <w:rFonts w:ascii="MS Gothic"/>
        </w:rPr>
      </w:pPr>
      <w:r>
        <w:pict w14:anchorId="18948B80">
          <v:group id="_x0000_s3631" style="position:absolute;left:0;text-align:left;margin-left:47.85pt;margin-top:-6.35pt;width:499.55pt;height:450.25pt;z-index:-41420800;mso-position-horizontal-relative:page" coordorigin="957,-127" coordsize="9991,9005">
            <v:shape id="_x0000_s3633" style="position:absolute;left:964;top:-120;width:9976;height:8990" coordorigin="965,-119" coordsize="9976,8990" path="m10861,-119r-9816,l1014,-113r-26,17l971,-71r-6,32l965,8790r6,31l988,8846r26,17l1045,8870r9816,l10892,8863r25,-17l10935,8821r6,-31l10941,-39r-6,-32l10917,-96r-25,-17l10861,-119xe" fillcolor="#f5f5f5" stroked="f">
              <v:path arrowok="t"/>
            </v:shape>
            <v:shape id="_x0000_s3632" style="position:absolute;left:964;top:-120;width:9976;height:8990" coordorigin="965,-119" coordsize="9976,8990" path="m1045,-119r9816,l10892,-113r25,17l10935,-71r6,32l10941,8790r-6,31l10917,8846r-25,17l10861,8870r-9816,l1014,8863r-26,-17l971,8821r-6,-31l965,-39r6,-32l988,-96r26,-17l1045,-119xe" filled="f" strokecolor="#ccc">
              <v:path arrowok="t"/>
            </v:shape>
            <w10:wrap anchorx="page"/>
          </v:group>
        </w:pict>
      </w:r>
      <w:r w:rsidR="0030286B">
        <w:rPr>
          <w:rFonts w:ascii="MS Gothic"/>
          <w:color w:val="333333"/>
        </w:rPr>
        <w:t xml:space="preserve">import </w:t>
      </w:r>
      <w:proofErr w:type="gramStart"/>
      <w:r w:rsidR="0030286B">
        <w:rPr>
          <w:rFonts w:ascii="MS Gothic"/>
          <w:color w:val="333333"/>
        </w:rPr>
        <w:t>org.junit.jupiter.api.*</w:t>
      </w:r>
      <w:proofErr w:type="gramEnd"/>
      <w:r w:rsidR="0030286B">
        <w:rPr>
          <w:rFonts w:ascii="MS Gothic"/>
          <w:color w:val="333333"/>
        </w:rPr>
        <w:t>;</w:t>
      </w:r>
    </w:p>
    <w:p w14:paraId="730BF19D" w14:textId="77777777" w:rsidR="00A720EB" w:rsidRDefault="0030286B">
      <w:pPr>
        <w:spacing w:before="13"/>
        <w:ind w:left="344"/>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w:t>
      </w:r>
    </w:p>
    <w:p w14:paraId="2C4111C4" w14:textId="77777777" w:rsidR="00A720EB" w:rsidRDefault="0030286B">
      <w:pPr>
        <w:spacing w:before="13" w:line="252" w:lineRule="auto"/>
        <w:ind w:left="344" w:right="2716"/>
        <w:rPr>
          <w:rFonts w:ascii="MS Gothic"/>
        </w:rPr>
      </w:pPr>
      <w:r>
        <w:rPr>
          <w:rFonts w:ascii="MS Gothic"/>
          <w:color w:val="333333"/>
        </w:rPr>
        <w:t xml:space="preserve">import </w:t>
      </w:r>
      <w:proofErr w:type="gramStart"/>
      <w:r>
        <w:rPr>
          <w:rFonts w:ascii="MS Gothic"/>
          <w:color w:val="333333"/>
        </w:rPr>
        <w:t>org.springframework.boot.test.autoconfigure.web.servlet</w:t>
      </w:r>
      <w:proofErr w:type="gramEnd"/>
      <w:r>
        <w:rPr>
          <w:rFonts w:ascii="MS Gothic"/>
          <w:color w:val="333333"/>
        </w:rPr>
        <w:t>.*; import org.springframework.boot.test.mock.mockito.*;</w:t>
      </w:r>
    </w:p>
    <w:p w14:paraId="57535E40" w14:textId="77777777" w:rsidR="00A720EB" w:rsidRDefault="00A720EB">
      <w:pPr>
        <w:pStyle w:val="a3"/>
        <w:spacing w:before="10"/>
        <w:rPr>
          <w:rFonts w:ascii="MS Gothic"/>
          <w:sz w:val="22"/>
        </w:rPr>
      </w:pPr>
    </w:p>
    <w:p w14:paraId="3453931E" w14:textId="77777777" w:rsidR="00A720EB" w:rsidRDefault="0030286B">
      <w:pPr>
        <w:spacing w:before="1" w:line="252" w:lineRule="auto"/>
        <w:ind w:left="344" w:right="4586"/>
        <w:rPr>
          <w:rFonts w:ascii="MS Gothic"/>
        </w:rPr>
      </w:pPr>
      <w:r>
        <w:rPr>
          <w:rFonts w:ascii="MS Gothic"/>
          <w:color w:val="333333"/>
        </w:rPr>
        <w:t xml:space="preserve">import static </w:t>
      </w:r>
      <w:proofErr w:type="gramStart"/>
      <w:r>
        <w:rPr>
          <w:rFonts w:ascii="MS Gothic"/>
          <w:color w:val="333333"/>
        </w:rPr>
        <w:t>org.assertj.core.api.Assertions</w:t>
      </w:r>
      <w:proofErr w:type="gramEnd"/>
      <w:r>
        <w:rPr>
          <w:rFonts w:ascii="MS Gothic"/>
          <w:color w:val="333333"/>
        </w:rPr>
        <w:t>.*; import static org.mockito.BDDMockito.*;</w:t>
      </w:r>
    </w:p>
    <w:p w14:paraId="053FC5E3" w14:textId="77777777" w:rsidR="00A720EB" w:rsidRDefault="0030286B">
      <w:pPr>
        <w:spacing w:line="252" w:lineRule="auto"/>
        <w:ind w:left="344" w:right="626"/>
        <w:rPr>
          <w:rFonts w:ascii="MS Gothic"/>
        </w:rPr>
      </w:pPr>
      <w:r>
        <w:rPr>
          <w:rFonts w:ascii="MS Gothic"/>
          <w:color w:val="333333"/>
        </w:rPr>
        <w:t xml:space="preserve">import static </w:t>
      </w:r>
      <w:proofErr w:type="gramStart"/>
      <w:r>
        <w:rPr>
          <w:rFonts w:ascii="MS Gothic"/>
          <w:color w:val="333333"/>
        </w:rPr>
        <w:t>org.springframework.test.web.servlet</w:t>
      </w:r>
      <w:proofErr w:type="gramEnd"/>
      <w:r>
        <w:rPr>
          <w:rFonts w:ascii="MS Gothic"/>
          <w:color w:val="333333"/>
        </w:rPr>
        <w:t>.request.MockMvcRequestBuilders.*; import static org.springframework.test.web.servlet.result.MockMvcResultMatchers.*;</w:t>
      </w:r>
    </w:p>
    <w:p w14:paraId="7A973CB9" w14:textId="77777777" w:rsidR="00A720EB" w:rsidRDefault="00A720EB">
      <w:pPr>
        <w:pStyle w:val="a3"/>
        <w:spacing w:before="8"/>
        <w:rPr>
          <w:rFonts w:ascii="MS Gothic"/>
          <w:sz w:val="22"/>
        </w:rPr>
      </w:pPr>
    </w:p>
    <w:p w14:paraId="17018C4E" w14:textId="77777777" w:rsidR="00A720EB" w:rsidRDefault="0030286B">
      <w:pPr>
        <w:spacing w:line="252" w:lineRule="auto"/>
        <w:ind w:left="344" w:right="5466"/>
        <w:rPr>
          <w:rFonts w:ascii="MS Gothic"/>
        </w:rPr>
      </w:pPr>
      <w:r>
        <w:rPr>
          <w:rFonts w:ascii="MS Gothic"/>
          <w:color w:val="333333"/>
        </w:rPr>
        <w:t>@</w:t>
      </w:r>
      <w:proofErr w:type="gramStart"/>
      <w:r>
        <w:rPr>
          <w:rFonts w:ascii="MS Gothic"/>
          <w:color w:val="333333"/>
        </w:rPr>
        <w:t>WebMvcTest(</w:t>
      </w:r>
      <w:proofErr w:type="gramEnd"/>
      <w:r>
        <w:rPr>
          <w:rFonts w:ascii="MS Gothic"/>
          <w:color w:val="333333"/>
        </w:rPr>
        <w:t>UserVehicleController.class) class MyControllerTests {</w:t>
      </w:r>
    </w:p>
    <w:p w14:paraId="317052FF" w14:textId="77777777" w:rsidR="00A720EB" w:rsidRDefault="00A720EB">
      <w:pPr>
        <w:pStyle w:val="a3"/>
        <w:spacing w:before="10"/>
        <w:rPr>
          <w:rFonts w:ascii="MS Gothic"/>
          <w:sz w:val="22"/>
        </w:rPr>
      </w:pPr>
    </w:p>
    <w:p w14:paraId="3D2CBF21" w14:textId="77777777" w:rsidR="00A720EB" w:rsidRDefault="0030286B">
      <w:pPr>
        <w:ind w:left="784"/>
        <w:rPr>
          <w:rFonts w:ascii="MS Gothic"/>
        </w:rPr>
      </w:pPr>
      <w:r>
        <w:rPr>
          <w:rFonts w:ascii="MS Gothic"/>
          <w:color w:val="333333"/>
        </w:rPr>
        <w:t>@Autowired</w:t>
      </w:r>
    </w:p>
    <w:p w14:paraId="78AD1B31" w14:textId="77777777" w:rsidR="00A720EB" w:rsidRDefault="0030286B">
      <w:pPr>
        <w:spacing w:before="13"/>
        <w:ind w:left="784"/>
        <w:rPr>
          <w:rFonts w:ascii="MS Gothic"/>
        </w:rPr>
      </w:pPr>
      <w:r>
        <w:rPr>
          <w:rFonts w:ascii="MS Gothic"/>
          <w:color w:val="333333"/>
        </w:rPr>
        <w:t>private MockMvc mvc;</w:t>
      </w:r>
    </w:p>
    <w:p w14:paraId="23F92E93" w14:textId="77777777" w:rsidR="00A720EB" w:rsidRDefault="00A720EB">
      <w:pPr>
        <w:pStyle w:val="a3"/>
        <w:rPr>
          <w:rFonts w:ascii="MS Gothic"/>
          <w:sz w:val="24"/>
        </w:rPr>
      </w:pPr>
    </w:p>
    <w:p w14:paraId="297C75FA" w14:textId="77777777" w:rsidR="00A720EB" w:rsidRDefault="0030286B">
      <w:pPr>
        <w:spacing w:before="1"/>
        <w:ind w:left="784"/>
        <w:rPr>
          <w:rFonts w:ascii="MS Gothic"/>
        </w:rPr>
      </w:pPr>
      <w:r>
        <w:rPr>
          <w:rFonts w:ascii="MS Gothic"/>
          <w:color w:val="333333"/>
        </w:rPr>
        <w:t>@MockBean</w:t>
      </w:r>
    </w:p>
    <w:p w14:paraId="26C6B09E" w14:textId="77777777" w:rsidR="00A720EB" w:rsidRDefault="0030286B">
      <w:pPr>
        <w:spacing w:before="13"/>
        <w:ind w:left="784"/>
        <w:rPr>
          <w:rFonts w:ascii="MS Gothic"/>
        </w:rPr>
      </w:pPr>
      <w:r>
        <w:rPr>
          <w:rFonts w:ascii="MS Gothic"/>
          <w:color w:val="333333"/>
        </w:rPr>
        <w:t>private UserVehicleService userVehicleService;</w:t>
      </w:r>
    </w:p>
    <w:p w14:paraId="2F726B1A" w14:textId="77777777" w:rsidR="00A720EB" w:rsidRDefault="00A720EB">
      <w:pPr>
        <w:pStyle w:val="a3"/>
        <w:rPr>
          <w:rFonts w:ascii="MS Gothic"/>
          <w:sz w:val="24"/>
        </w:rPr>
      </w:pPr>
    </w:p>
    <w:p w14:paraId="538385C8" w14:textId="77777777" w:rsidR="00A720EB" w:rsidRDefault="0030286B">
      <w:pPr>
        <w:ind w:left="784"/>
        <w:rPr>
          <w:rFonts w:ascii="MS Gothic"/>
        </w:rPr>
      </w:pPr>
      <w:r>
        <w:rPr>
          <w:rFonts w:ascii="MS Gothic"/>
          <w:color w:val="333333"/>
        </w:rPr>
        <w:t>@Test</w:t>
      </w:r>
    </w:p>
    <w:p w14:paraId="77B0327A" w14:textId="77777777" w:rsidR="00A720EB" w:rsidRDefault="0030286B">
      <w:pPr>
        <w:spacing w:before="13" w:line="252" w:lineRule="auto"/>
        <w:ind w:left="1224" w:right="2716" w:hanging="440"/>
        <w:rPr>
          <w:rFonts w:ascii="MS Gothic"/>
        </w:rPr>
      </w:pPr>
      <w:r>
        <w:rPr>
          <w:rFonts w:ascii="MS Gothic"/>
          <w:color w:val="333333"/>
        </w:rPr>
        <w:t xml:space="preserve">void </w:t>
      </w:r>
      <w:proofErr w:type="gramStart"/>
      <w:r>
        <w:rPr>
          <w:rFonts w:ascii="MS Gothic"/>
          <w:color w:val="333333"/>
        </w:rPr>
        <w:t>testExample(</w:t>
      </w:r>
      <w:proofErr w:type="gramEnd"/>
      <w:r>
        <w:rPr>
          <w:rFonts w:ascii="MS Gothic"/>
          <w:color w:val="333333"/>
        </w:rPr>
        <w:t>) throws Exception { given(this.userVehicleService.getVehicleDetails("sboot"))</w:t>
      </w:r>
    </w:p>
    <w:p w14:paraId="3D8D76F2" w14:textId="77777777" w:rsidR="00A720EB" w:rsidRDefault="0030286B">
      <w:pPr>
        <w:spacing w:line="252" w:lineRule="auto"/>
        <w:ind w:left="1224" w:right="1506" w:firstLine="880"/>
        <w:rPr>
          <w:rFonts w:ascii="MS Gothic"/>
        </w:rPr>
      </w:pPr>
      <w:proofErr w:type="gramStart"/>
      <w:r>
        <w:rPr>
          <w:rFonts w:ascii="MS Gothic"/>
          <w:color w:val="333333"/>
        </w:rPr>
        <w:t>.willReturn</w:t>
      </w:r>
      <w:proofErr w:type="gramEnd"/>
      <w:r>
        <w:rPr>
          <w:rFonts w:ascii="MS Gothic"/>
          <w:color w:val="333333"/>
        </w:rPr>
        <w:t>(new VehicleDetails("Honda", "Civic")); this.mvc.perform(get("/sboot/vehicle").accept(MediaType.TEXT_PLAIN))</w:t>
      </w:r>
    </w:p>
    <w:p w14:paraId="7718E8DE" w14:textId="77777777" w:rsidR="00A720EB" w:rsidRDefault="0030286B">
      <w:pPr>
        <w:spacing w:line="276" w:lineRule="exact"/>
        <w:ind w:left="2104"/>
        <w:rPr>
          <w:rFonts w:ascii="MS Gothic"/>
        </w:rPr>
      </w:pPr>
      <w:proofErr w:type="gramStart"/>
      <w:r>
        <w:rPr>
          <w:rFonts w:ascii="MS Gothic"/>
          <w:color w:val="333333"/>
        </w:rPr>
        <w:t>.andExpect</w:t>
      </w:r>
      <w:proofErr w:type="gramEnd"/>
      <w:r>
        <w:rPr>
          <w:rFonts w:ascii="MS Gothic"/>
          <w:color w:val="333333"/>
        </w:rPr>
        <w:t>(status().isOk()).andExpect(content().string("Honda</w:t>
      </w:r>
    </w:p>
    <w:p w14:paraId="11AA8D61" w14:textId="77777777" w:rsidR="00A720EB" w:rsidRDefault="0030286B">
      <w:pPr>
        <w:spacing w:before="14"/>
        <w:ind w:left="328" w:right="8872"/>
        <w:jc w:val="center"/>
        <w:rPr>
          <w:rFonts w:ascii="MS Gothic"/>
        </w:rPr>
      </w:pPr>
      <w:r>
        <w:rPr>
          <w:rFonts w:ascii="MS Gothic"/>
          <w:color w:val="333333"/>
        </w:rPr>
        <w:t>Civic"));</w:t>
      </w:r>
    </w:p>
    <w:p w14:paraId="56FE781C" w14:textId="77777777" w:rsidR="00A720EB" w:rsidRDefault="0030286B">
      <w:pPr>
        <w:spacing w:before="13"/>
        <w:ind w:right="8544"/>
        <w:jc w:val="center"/>
        <w:rPr>
          <w:rFonts w:ascii="MS Gothic"/>
        </w:rPr>
      </w:pPr>
      <w:r>
        <w:rPr>
          <w:rFonts w:ascii="MS Gothic"/>
          <w:color w:val="333333"/>
        </w:rPr>
        <w:t>}</w:t>
      </w:r>
    </w:p>
    <w:p w14:paraId="7B52BB03" w14:textId="77777777" w:rsidR="00A720EB" w:rsidRDefault="00A720EB">
      <w:pPr>
        <w:pStyle w:val="a3"/>
        <w:spacing w:before="11"/>
        <w:rPr>
          <w:rFonts w:ascii="MS Gothic"/>
          <w:sz w:val="14"/>
        </w:rPr>
      </w:pPr>
    </w:p>
    <w:p w14:paraId="2FDD510F" w14:textId="77777777" w:rsidR="00A720EB" w:rsidRDefault="0030286B">
      <w:pPr>
        <w:spacing w:before="117"/>
        <w:ind w:left="344"/>
        <w:rPr>
          <w:rFonts w:ascii="MS Gothic"/>
        </w:rPr>
      </w:pPr>
      <w:r>
        <w:rPr>
          <w:rFonts w:ascii="MS Gothic"/>
          <w:color w:val="333333"/>
        </w:rPr>
        <w:t>}</w:t>
      </w:r>
    </w:p>
    <w:p w14:paraId="587B86BD" w14:textId="77777777" w:rsidR="00A720EB" w:rsidRDefault="00A720EB">
      <w:pPr>
        <w:pStyle w:val="a3"/>
        <w:rPr>
          <w:rFonts w:ascii="MS Gothic"/>
          <w:sz w:val="20"/>
        </w:rPr>
      </w:pPr>
    </w:p>
    <w:p w14:paraId="15ECD5C8" w14:textId="77777777" w:rsidR="00A720EB" w:rsidRDefault="00A720EB">
      <w:pPr>
        <w:pStyle w:val="a3"/>
        <w:spacing w:before="3"/>
        <w:rPr>
          <w:rFonts w:ascii="MS Gothic"/>
          <w:sz w:val="15"/>
        </w:rPr>
      </w:pPr>
    </w:p>
    <w:p w14:paraId="39D21A52" w14:textId="77777777" w:rsidR="00A720EB" w:rsidRDefault="00E10349">
      <w:pPr>
        <w:pStyle w:val="a3"/>
        <w:spacing w:before="125" w:line="302" w:lineRule="auto"/>
        <w:ind w:left="1564" w:right="367"/>
        <w:jc w:val="both"/>
      </w:pPr>
      <w:r>
        <w:pict w14:anchorId="15B85EE1">
          <v:line id="_x0000_s3630" style="position:absolute;left:0;text-align:left;z-index:16114176;mso-position-horizontal-relative:page" from="108.25pt,.25pt" to="108.25pt,55.6pt" strokecolor="#ededed" strokeweight=".5pt">
            <w10:wrap anchorx="page"/>
          </v:line>
        </w:pict>
      </w:r>
      <w:r w:rsidR="0030286B">
        <w:rPr>
          <w:noProof/>
        </w:rPr>
        <w:drawing>
          <wp:anchor distT="0" distB="0" distL="0" distR="0" simplePos="0" relativeHeight="16114688" behindDoc="0" locked="0" layoutInCell="1" allowOverlap="1" wp14:anchorId="5D1CAC1D" wp14:editId="3003AE3A">
            <wp:simplePos x="0" y="0"/>
            <wp:positionH relativeFrom="page">
              <wp:posOffset>888949</wp:posOffset>
            </wp:positionH>
            <wp:positionV relativeFrom="paragraph">
              <wp:posOffset>202349</wp:posOffset>
            </wp:positionV>
            <wp:extent cx="209550" cy="304800"/>
            <wp:effectExtent l="0" t="0" r="0" b="0"/>
            <wp:wrapNone/>
            <wp:docPr id="48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need to configure elements of the auto-configuration (for example, when servlet filters should be applied) you can use attributes in </w:t>
      </w:r>
      <w:proofErr w:type="gramStart"/>
      <w:r w:rsidR="0030286B">
        <w:rPr>
          <w:color w:val="333333"/>
          <w:w w:val="110"/>
        </w:rPr>
        <w:t xml:space="preserve">the  </w:t>
      </w:r>
      <w:r w:rsidR="0030286B">
        <w:rPr>
          <w:rFonts w:ascii="MS Gothic"/>
          <w:color w:val="B02045"/>
          <w:w w:val="110"/>
        </w:rPr>
        <w:t>@</w:t>
      </w:r>
      <w:proofErr w:type="gramEnd"/>
      <w:r w:rsidR="0030286B">
        <w:rPr>
          <w:rFonts w:ascii="MS Gothic"/>
          <w:color w:val="B02045"/>
          <w:w w:val="110"/>
        </w:rPr>
        <w:t>AutoConfigureMockMvc</w:t>
      </w:r>
      <w:r w:rsidR="0030286B">
        <w:rPr>
          <w:rFonts w:ascii="MS Gothic"/>
          <w:color w:val="B02045"/>
          <w:spacing w:val="-64"/>
          <w:w w:val="110"/>
        </w:rPr>
        <w:t xml:space="preserve"> </w:t>
      </w:r>
      <w:r w:rsidR="0030286B">
        <w:rPr>
          <w:color w:val="333333"/>
          <w:w w:val="110"/>
        </w:rPr>
        <w:t>annotation.</w:t>
      </w:r>
    </w:p>
    <w:p w14:paraId="4C488C43" w14:textId="77777777" w:rsidR="00A720EB" w:rsidRDefault="00A720EB">
      <w:pPr>
        <w:pStyle w:val="a3"/>
        <w:spacing w:before="5"/>
        <w:rPr>
          <w:sz w:val="15"/>
        </w:rPr>
      </w:pPr>
    </w:p>
    <w:p w14:paraId="1639C354" w14:textId="77777777" w:rsidR="00A720EB" w:rsidRDefault="0030286B">
      <w:pPr>
        <w:pStyle w:val="a3"/>
        <w:spacing w:before="116" w:line="280" w:lineRule="auto"/>
        <w:ind w:left="124" w:right="462"/>
      </w:pPr>
      <w:r>
        <w:rPr>
          <w:color w:val="333333"/>
          <w:w w:val="110"/>
        </w:rPr>
        <w:t xml:space="preserve">If you use HtmlUnit or Selenium, auto-configuration also provides an HtmlUnit </w:t>
      </w:r>
      <w:r>
        <w:rPr>
          <w:rFonts w:ascii="MS Gothic"/>
          <w:color w:val="B02045"/>
          <w:w w:val="110"/>
        </w:rPr>
        <w:t xml:space="preserve">WebClient </w:t>
      </w:r>
      <w:r>
        <w:rPr>
          <w:color w:val="333333"/>
          <w:w w:val="110"/>
        </w:rPr>
        <w:t xml:space="preserve">bean and/or a Selenium </w:t>
      </w:r>
      <w:r>
        <w:rPr>
          <w:rFonts w:ascii="MS Gothic"/>
          <w:color w:val="B02045"/>
          <w:w w:val="110"/>
        </w:rPr>
        <w:t xml:space="preserve">WebDriver </w:t>
      </w:r>
      <w:r>
        <w:rPr>
          <w:color w:val="333333"/>
          <w:w w:val="110"/>
        </w:rPr>
        <w:t>bean. The following example uses HtmlUnit:</w:t>
      </w:r>
    </w:p>
    <w:p w14:paraId="410730F4" w14:textId="77777777" w:rsidR="00A720EB" w:rsidRDefault="00A720EB">
      <w:pPr>
        <w:spacing w:line="280" w:lineRule="auto"/>
        <w:sectPr w:rsidR="00A720EB">
          <w:pgSz w:w="11910" w:h="16840"/>
          <w:pgMar w:top="700" w:right="840" w:bottom="520" w:left="840" w:header="0" w:footer="323" w:gutter="0"/>
          <w:cols w:space="720"/>
        </w:sectPr>
      </w:pPr>
    </w:p>
    <w:p w14:paraId="4BEDC666" w14:textId="77777777" w:rsidR="00A720EB" w:rsidRDefault="00E10349">
      <w:pPr>
        <w:pStyle w:val="a3"/>
        <w:ind w:left="116"/>
        <w:rPr>
          <w:sz w:val="20"/>
        </w:rPr>
      </w:pPr>
      <w:r>
        <w:rPr>
          <w:sz w:val="20"/>
        </w:rPr>
      </w:r>
      <w:r>
        <w:rPr>
          <w:sz w:val="20"/>
        </w:rPr>
        <w:pict w14:anchorId="5D888277">
          <v:group id="_x0000_s3626" style="width:499.55pt;height:420.75pt;mso-position-horizontal-relative:char;mso-position-vertical-relative:line" coordsize="9991,8415">
            <v:shape id="_x0000_s3629" style="position:absolute;left:7;top:7;width:9976;height:8400" coordorigin="8,8" coordsize="9976,8400" path="m9904,8l88,8,56,14,31,31,14,56,8,88r,8239l14,8358r17,26l56,8401r32,6l9904,8407r31,-6l9960,8384r17,-26l9984,8327r,-8239l9977,56,9960,31,9935,14,9904,8xe" fillcolor="#f5f5f5" stroked="f">
              <v:path arrowok="t"/>
            </v:shape>
            <v:shape id="_x0000_s3628" style="position:absolute;left:7;top:7;width:9976;height:8400" coordorigin="8,8" coordsize="9976,8400" path="m88,8r9816,l9935,14r25,17l9977,56r7,32l9984,8327r-7,31l9960,8384r-25,17l9904,8407r-9816,l56,8401,31,8384,14,8358,8,8327,8,88,14,56,31,31,56,14,88,8xe" filled="f" strokecolor="#ccc">
              <v:path arrowok="t"/>
            </v:shape>
            <v:shape id="_x0000_s3627" type="#_x0000_t202" style="position:absolute;left:26;top:22;width:9938;height:8369" filled="f" stroked="f">
              <v:textbox inset="0,0,0,0">
                <w:txbxContent>
                  <w:p w14:paraId="6892EBD6" w14:textId="77777777" w:rsidR="00711A16" w:rsidRDefault="00711A16">
                    <w:pPr>
                      <w:spacing w:before="221" w:line="252" w:lineRule="auto"/>
                      <w:ind w:left="200" w:right="5428"/>
                      <w:rPr>
                        <w:rFonts w:ascii="MS Gothic"/>
                      </w:rPr>
                    </w:pPr>
                    <w:r>
                      <w:rPr>
                        <w:rFonts w:ascii="MS Gothic"/>
                        <w:color w:val="333333"/>
                      </w:rPr>
                      <w:t xml:space="preserve">import </w:t>
                    </w:r>
                    <w:proofErr w:type="gramStart"/>
                    <w:r>
                      <w:rPr>
                        <w:rFonts w:ascii="MS Gothic"/>
                        <w:color w:val="333333"/>
                      </w:rPr>
                      <w:t>com.gargoylesoftware</w:t>
                    </w:r>
                    <w:proofErr w:type="gramEnd"/>
                    <w:r>
                      <w:rPr>
                        <w:rFonts w:ascii="MS Gothic"/>
                        <w:color w:val="333333"/>
                      </w:rPr>
                      <w:t>.htmlunit.*; import org.junit.jupiter.api.*;</w:t>
                    </w:r>
                  </w:p>
                  <w:p w14:paraId="676E6986"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w:t>
                    </w:r>
                  </w:p>
                  <w:p w14:paraId="11D33264" w14:textId="77777777" w:rsidR="00711A16" w:rsidRDefault="00711A16">
                    <w:pPr>
                      <w:spacing w:before="13" w:line="252" w:lineRule="auto"/>
                      <w:ind w:left="200" w:right="2568"/>
                      <w:rPr>
                        <w:rFonts w:ascii="MS Gothic"/>
                      </w:rPr>
                    </w:pPr>
                    <w:r>
                      <w:rPr>
                        <w:rFonts w:ascii="MS Gothic"/>
                        <w:color w:val="333333"/>
                      </w:rPr>
                      <w:t xml:space="preserve">import </w:t>
                    </w:r>
                    <w:proofErr w:type="gramStart"/>
                    <w:r>
                      <w:rPr>
                        <w:rFonts w:ascii="MS Gothic"/>
                        <w:color w:val="333333"/>
                      </w:rPr>
                      <w:t>org.springframework.boot.test.autoconfigure.web.servlet</w:t>
                    </w:r>
                    <w:proofErr w:type="gramEnd"/>
                    <w:r>
                      <w:rPr>
                        <w:rFonts w:ascii="MS Gothic"/>
                        <w:color w:val="333333"/>
                      </w:rPr>
                      <w:t>.*; import org.springframework.boot.test.mock.mockito.*;</w:t>
                    </w:r>
                  </w:p>
                  <w:p w14:paraId="6E40F1B4" w14:textId="77777777" w:rsidR="00711A16" w:rsidRDefault="00711A16">
                    <w:pPr>
                      <w:spacing w:before="10"/>
                      <w:rPr>
                        <w:rFonts w:ascii="MS Gothic"/>
                      </w:rPr>
                    </w:pPr>
                  </w:p>
                  <w:p w14:paraId="4C857C41" w14:textId="77777777" w:rsidR="00711A16" w:rsidRDefault="00711A16">
                    <w:pPr>
                      <w:spacing w:line="252" w:lineRule="auto"/>
                      <w:ind w:left="200" w:right="4438"/>
                      <w:rPr>
                        <w:rFonts w:ascii="MS Gothic"/>
                      </w:rPr>
                    </w:pPr>
                    <w:r>
                      <w:rPr>
                        <w:rFonts w:ascii="MS Gothic"/>
                        <w:color w:val="333333"/>
                      </w:rPr>
                      <w:t xml:space="preserve">import static </w:t>
                    </w:r>
                    <w:proofErr w:type="gramStart"/>
                    <w:r>
                      <w:rPr>
                        <w:rFonts w:ascii="MS Gothic"/>
                        <w:color w:val="333333"/>
                      </w:rPr>
                      <w:t>org.assertj.core.api.Assertions</w:t>
                    </w:r>
                    <w:proofErr w:type="gramEnd"/>
                    <w:r>
                      <w:rPr>
                        <w:rFonts w:ascii="MS Gothic"/>
                        <w:color w:val="333333"/>
                      </w:rPr>
                      <w:t>.*; import static org.mockito.BDDMockito.*;</w:t>
                    </w:r>
                  </w:p>
                  <w:p w14:paraId="37FC98D0" w14:textId="77777777" w:rsidR="00711A16" w:rsidRDefault="00711A16">
                    <w:pPr>
                      <w:spacing w:before="11"/>
                      <w:rPr>
                        <w:rFonts w:ascii="MS Gothic"/>
                      </w:rPr>
                    </w:pPr>
                  </w:p>
                  <w:p w14:paraId="707F3D2D" w14:textId="77777777" w:rsidR="00711A16" w:rsidRDefault="00711A16">
                    <w:pPr>
                      <w:spacing w:line="252" w:lineRule="auto"/>
                      <w:ind w:left="200" w:right="5318"/>
                      <w:rPr>
                        <w:rFonts w:ascii="MS Gothic"/>
                      </w:rPr>
                    </w:pPr>
                    <w:r>
                      <w:rPr>
                        <w:rFonts w:ascii="MS Gothic"/>
                        <w:color w:val="333333"/>
                      </w:rPr>
                      <w:t>@</w:t>
                    </w:r>
                    <w:proofErr w:type="gramStart"/>
                    <w:r>
                      <w:rPr>
                        <w:rFonts w:ascii="MS Gothic"/>
                        <w:color w:val="333333"/>
                      </w:rPr>
                      <w:t>WebMvcTest(</w:t>
                    </w:r>
                    <w:proofErr w:type="gramEnd"/>
                    <w:r>
                      <w:rPr>
                        <w:rFonts w:ascii="MS Gothic"/>
                        <w:color w:val="333333"/>
                      </w:rPr>
                      <w:t>UserVehicleController.class) class MyHtmlUnitTests {</w:t>
                    </w:r>
                  </w:p>
                  <w:p w14:paraId="5C5ACA7A" w14:textId="77777777" w:rsidR="00711A16" w:rsidRDefault="00711A16">
                    <w:pPr>
                      <w:spacing w:before="10"/>
                      <w:rPr>
                        <w:rFonts w:ascii="MS Gothic"/>
                      </w:rPr>
                    </w:pPr>
                  </w:p>
                  <w:p w14:paraId="22169026" w14:textId="77777777" w:rsidR="00711A16" w:rsidRDefault="00711A16">
                    <w:pPr>
                      <w:ind w:left="640"/>
                      <w:rPr>
                        <w:rFonts w:ascii="MS Gothic"/>
                      </w:rPr>
                    </w:pPr>
                    <w:r>
                      <w:rPr>
                        <w:rFonts w:ascii="MS Gothic"/>
                        <w:color w:val="333333"/>
                      </w:rPr>
                      <w:t>@Autowired</w:t>
                    </w:r>
                  </w:p>
                  <w:p w14:paraId="56A4D5E0" w14:textId="77777777" w:rsidR="00711A16" w:rsidRDefault="00711A16">
                    <w:pPr>
                      <w:spacing w:before="13"/>
                      <w:ind w:left="640"/>
                      <w:rPr>
                        <w:rFonts w:ascii="MS Gothic"/>
                      </w:rPr>
                    </w:pPr>
                    <w:r>
                      <w:rPr>
                        <w:rFonts w:ascii="MS Gothic"/>
                        <w:color w:val="333333"/>
                      </w:rPr>
                      <w:t>private WebClient webClient;</w:t>
                    </w:r>
                  </w:p>
                  <w:p w14:paraId="0CADC493" w14:textId="77777777" w:rsidR="00711A16" w:rsidRDefault="00711A16">
                    <w:pPr>
                      <w:rPr>
                        <w:rFonts w:ascii="MS Gothic"/>
                        <w:sz w:val="24"/>
                      </w:rPr>
                    </w:pPr>
                  </w:p>
                  <w:p w14:paraId="015AF8D9" w14:textId="77777777" w:rsidR="00711A16" w:rsidRDefault="00711A16">
                    <w:pPr>
                      <w:spacing w:before="1"/>
                      <w:ind w:left="640"/>
                      <w:rPr>
                        <w:rFonts w:ascii="MS Gothic"/>
                      </w:rPr>
                    </w:pPr>
                    <w:r>
                      <w:rPr>
                        <w:rFonts w:ascii="MS Gothic"/>
                        <w:color w:val="333333"/>
                      </w:rPr>
                      <w:t>@MockBean</w:t>
                    </w:r>
                  </w:p>
                  <w:p w14:paraId="1A094E36" w14:textId="77777777" w:rsidR="00711A16" w:rsidRDefault="00711A16">
                    <w:pPr>
                      <w:spacing w:before="12"/>
                      <w:ind w:left="640"/>
                      <w:rPr>
                        <w:rFonts w:ascii="MS Gothic"/>
                      </w:rPr>
                    </w:pPr>
                    <w:r>
                      <w:rPr>
                        <w:rFonts w:ascii="MS Gothic"/>
                        <w:color w:val="333333"/>
                      </w:rPr>
                      <w:t>private UserVehicleService userVehicleService;</w:t>
                    </w:r>
                  </w:p>
                  <w:p w14:paraId="720A3BFE" w14:textId="77777777" w:rsidR="00711A16" w:rsidRDefault="00711A16">
                    <w:pPr>
                      <w:spacing w:before="1"/>
                      <w:rPr>
                        <w:rFonts w:ascii="MS Gothic"/>
                        <w:sz w:val="24"/>
                      </w:rPr>
                    </w:pPr>
                  </w:p>
                  <w:p w14:paraId="0DAC6478" w14:textId="77777777" w:rsidR="00711A16" w:rsidRDefault="00711A16">
                    <w:pPr>
                      <w:ind w:left="640"/>
                      <w:rPr>
                        <w:rFonts w:ascii="MS Gothic"/>
                      </w:rPr>
                    </w:pPr>
                    <w:r>
                      <w:rPr>
                        <w:rFonts w:ascii="MS Gothic"/>
                        <w:color w:val="333333"/>
                      </w:rPr>
                      <w:t>@Test</w:t>
                    </w:r>
                  </w:p>
                  <w:p w14:paraId="2996FBBA" w14:textId="77777777" w:rsidR="00711A16" w:rsidRDefault="00711A16">
                    <w:pPr>
                      <w:spacing w:before="13" w:line="252" w:lineRule="auto"/>
                      <w:ind w:left="1080" w:right="2568" w:hanging="440"/>
                      <w:rPr>
                        <w:rFonts w:ascii="MS Gothic"/>
                      </w:rPr>
                    </w:pPr>
                    <w:r>
                      <w:rPr>
                        <w:rFonts w:ascii="MS Gothic"/>
                        <w:color w:val="333333"/>
                      </w:rPr>
                      <w:t xml:space="preserve">void </w:t>
                    </w:r>
                    <w:proofErr w:type="gramStart"/>
                    <w:r>
                      <w:rPr>
                        <w:rFonts w:ascii="MS Gothic"/>
                        <w:color w:val="333333"/>
                      </w:rPr>
                      <w:t>testExample(</w:t>
                    </w:r>
                    <w:proofErr w:type="gramEnd"/>
                    <w:r>
                      <w:rPr>
                        <w:rFonts w:ascii="MS Gothic"/>
                        <w:color w:val="333333"/>
                      </w:rPr>
                      <w:t>) throws Exception { given(this.userVehicleService.getVehicleDetails("sboot"))</w:t>
                    </w:r>
                  </w:p>
                  <w:p w14:paraId="2043E7E3" w14:textId="77777777" w:rsidR="00711A16" w:rsidRDefault="00711A16">
                    <w:pPr>
                      <w:spacing w:line="252" w:lineRule="auto"/>
                      <w:ind w:left="1080" w:right="2018" w:firstLine="880"/>
                      <w:rPr>
                        <w:rFonts w:ascii="MS Gothic"/>
                      </w:rPr>
                    </w:pPr>
                    <w:proofErr w:type="gramStart"/>
                    <w:r>
                      <w:rPr>
                        <w:rFonts w:ascii="MS Gothic"/>
                        <w:color w:val="333333"/>
                      </w:rPr>
                      <w:t>.willReturn</w:t>
                    </w:r>
                    <w:proofErr w:type="gramEnd"/>
                    <w:r>
                      <w:rPr>
                        <w:rFonts w:ascii="MS Gothic"/>
                        <w:color w:val="333333"/>
                      </w:rPr>
                      <w:t>(new VehicleDetails("Honda", "Civic")); HtmlPage page = this.webClient.getPage("/sboot/vehicle.html");</w:t>
                    </w:r>
                  </w:p>
                  <w:p w14:paraId="6823B6B8" w14:textId="77777777" w:rsidR="00711A16" w:rsidRDefault="00711A16">
                    <w:pPr>
                      <w:spacing w:line="280" w:lineRule="exact"/>
                      <w:ind w:left="1080"/>
                      <w:rPr>
                        <w:rFonts w:ascii="MS Gothic"/>
                      </w:rPr>
                    </w:pPr>
                    <w:r>
                      <w:rPr>
                        <w:rFonts w:ascii="MS Gothic"/>
                        <w:color w:val="333333"/>
                      </w:rPr>
                      <w:t>assertThat(</w:t>
                    </w:r>
                    <w:proofErr w:type="gramStart"/>
                    <w:r>
                      <w:rPr>
                        <w:rFonts w:ascii="MS Gothic"/>
                        <w:color w:val="333333"/>
                      </w:rPr>
                      <w:t>page.getBody</w:t>
                    </w:r>
                    <w:proofErr w:type="gramEnd"/>
                    <w:r>
                      <w:rPr>
                        <w:rFonts w:ascii="MS Gothic"/>
                        <w:color w:val="333333"/>
                      </w:rPr>
                      <w:t>().getTextContent()).isEqualTo("Honda Civic");</w:t>
                    </w:r>
                  </w:p>
                  <w:p w14:paraId="3D25A715" w14:textId="77777777" w:rsidR="00711A16" w:rsidRDefault="00711A16">
                    <w:pPr>
                      <w:spacing w:before="10"/>
                      <w:ind w:left="640"/>
                      <w:rPr>
                        <w:rFonts w:ascii="MS Gothic"/>
                      </w:rPr>
                    </w:pPr>
                    <w:r>
                      <w:rPr>
                        <w:rFonts w:ascii="MS Gothic"/>
                        <w:color w:val="333333"/>
                      </w:rPr>
                      <w:t>}</w:t>
                    </w:r>
                  </w:p>
                  <w:p w14:paraId="68879C3B" w14:textId="77777777" w:rsidR="00711A16" w:rsidRDefault="00711A16">
                    <w:pPr>
                      <w:rPr>
                        <w:rFonts w:ascii="MS Gothic"/>
                        <w:sz w:val="24"/>
                      </w:rPr>
                    </w:pPr>
                  </w:p>
                  <w:p w14:paraId="358167D7" w14:textId="77777777" w:rsidR="00711A16" w:rsidRDefault="00711A16">
                    <w:pPr>
                      <w:ind w:left="200"/>
                      <w:rPr>
                        <w:rFonts w:ascii="MS Gothic"/>
                      </w:rPr>
                    </w:pPr>
                    <w:r>
                      <w:rPr>
                        <w:rFonts w:ascii="MS Gothic"/>
                        <w:color w:val="333333"/>
                      </w:rPr>
                      <w:t>}</w:t>
                    </w:r>
                  </w:p>
                </w:txbxContent>
              </v:textbox>
            </v:shape>
            <w10:anchorlock/>
          </v:group>
        </w:pict>
      </w:r>
    </w:p>
    <w:p w14:paraId="7BE11503" w14:textId="77777777" w:rsidR="00A720EB" w:rsidRDefault="00A720EB">
      <w:pPr>
        <w:pStyle w:val="a3"/>
        <w:spacing w:before="9"/>
        <w:rPr>
          <w:sz w:val="15"/>
        </w:rPr>
      </w:pPr>
    </w:p>
    <w:p w14:paraId="04F00BC1" w14:textId="77777777" w:rsidR="00A720EB" w:rsidRDefault="00E10349">
      <w:pPr>
        <w:pStyle w:val="a3"/>
        <w:spacing w:before="116" w:line="295" w:lineRule="auto"/>
        <w:ind w:left="1564" w:right="364"/>
        <w:jc w:val="both"/>
      </w:pPr>
      <w:r>
        <w:pict w14:anchorId="59020312">
          <v:line id="_x0000_s3625" style="position:absolute;left:0;text-align:left;z-index:16115712;mso-position-horizontal-relative:page" from="108.25pt,.35pt" to="108.25pt,55.7pt" strokecolor="#ededed" strokeweight=".5pt">
            <w10:wrap anchorx="page"/>
          </v:line>
        </w:pict>
      </w:r>
      <w:r w:rsidR="0030286B">
        <w:rPr>
          <w:noProof/>
        </w:rPr>
        <w:drawing>
          <wp:anchor distT="0" distB="0" distL="0" distR="0" simplePos="0" relativeHeight="16116224" behindDoc="0" locked="0" layoutInCell="1" allowOverlap="1" wp14:anchorId="3D3C9C56" wp14:editId="59465E11">
            <wp:simplePos x="0" y="0"/>
            <wp:positionH relativeFrom="page">
              <wp:posOffset>844422</wp:posOffset>
            </wp:positionH>
            <wp:positionV relativeFrom="paragraph">
              <wp:posOffset>206451</wp:posOffset>
            </wp:positionV>
            <wp:extent cx="298450" cy="298450"/>
            <wp:effectExtent l="0" t="0" r="0" b="0"/>
            <wp:wrapNone/>
            <wp:docPr id="4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3"/>
          <w:w w:val="110"/>
        </w:rPr>
        <w:t xml:space="preserve">By </w:t>
      </w:r>
      <w:r w:rsidR="0030286B">
        <w:rPr>
          <w:color w:val="333333"/>
          <w:w w:val="110"/>
        </w:rPr>
        <w:t xml:space="preserve">default, Spring Boot puts </w:t>
      </w:r>
      <w:r w:rsidR="0030286B">
        <w:rPr>
          <w:rFonts w:ascii="MS Gothic" w:hAnsi="MS Gothic"/>
          <w:color w:val="B02045"/>
          <w:w w:val="110"/>
        </w:rPr>
        <w:t xml:space="preserve">WebDriver </w:t>
      </w:r>
      <w:r w:rsidR="0030286B">
        <w:rPr>
          <w:color w:val="333333"/>
          <w:w w:val="110"/>
        </w:rPr>
        <w:t xml:space="preserve">beans in a special “scope” to ensure that the driver exits after each test and that a new instance is injected. If you do not </w:t>
      </w:r>
      <w:proofErr w:type="gramStart"/>
      <w:r w:rsidR="0030286B">
        <w:rPr>
          <w:color w:val="333333"/>
          <w:w w:val="110"/>
        </w:rPr>
        <w:t>want  this</w:t>
      </w:r>
      <w:proofErr w:type="gramEnd"/>
      <w:r w:rsidR="0030286B">
        <w:rPr>
          <w:color w:val="333333"/>
          <w:spacing w:val="-18"/>
          <w:w w:val="110"/>
        </w:rPr>
        <w:t xml:space="preserve"> </w:t>
      </w:r>
      <w:r w:rsidR="0030286B">
        <w:rPr>
          <w:color w:val="333333"/>
          <w:w w:val="110"/>
        </w:rPr>
        <w:t>behavior,</w:t>
      </w:r>
      <w:r w:rsidR="0030286B">
        <w:rPr>
          <w:color w:val="333333"/>
          <w:spacing w:val="-19"/>
          <w:w w:val="110"/>
        </w:rPr>
        <w:t xml:space="preserve"> </w:t>
      </w:r>
      <w:r w:rsidR="0030286B">
        <w:rPr>
          <w:color w:val="333333"/>
          <w:w w:val="110"/>
        </w:rPr>
        <w:t>you</w:t>
      </w:r>
      <w:r w:rsidR="0030286B">
        <w:rPr>
          <w:color w:val="333333"/>
          <w:spacing w:val="-19"/>
          <w:w w:val="110"/>
        </w:rPr>
        <w:t xml:space="preserve"> </w:t>
      </w:r>
      <w:r w:rsidR="0030286B">
        <w:rPr>
          <w:color w:val="333333"/>
          <w:w w:val="110"/>
        </w:rPr>
        <w:t>can</w:t>
      </w:r>
      <w:r w:rsidR="0030286B">
        <w:rPr>
          <w:color w:val="333333"/>
          <w:spacing w:val="-18"/>
          <w:w w:val="110"/>
        </w:rPr>
        <w:t xml:space="preserve"> </w:t>
      </w:r>
      <w:r w:rsidR="0030286B">
        <w:rPr>
          <w:color w:val="333333"/>
          <w:w w:val="110"/>
        </w:rPr>
        <w:t>add</w:t>
      </w:r>
      <w:r w:rsidR="0030286B">
        <w:rPr>
          <w:color w:val="333333"/>
          <w:spacing w:val="-16"/>
          <w:w w:val="110"/>
        </w:rPr>
        <w:t xml:space="preserve"> </w:t>
      </w:r>
      <w:r w:rsidR="0030286B">
        <w:rPr>
          <w:rFonts w:ascii="MS Gothic" w:hAnsi="MS Gothic"/>
          <w:color w:val="B02045"/>
          <w:w w:val="110"/>
        </w:rPr>
        <w:t>@Scope("singleton")</w:t>
      </w:r>
      <w:r w:rsidR="0030286B">
        <w:rPr>
          <w:rFonts w:ascii="MS Gothic" w:hAnsi="MS Gothic"/>
          <w:color w:val="B02045"/>
          <w:spacing w:val="-83"/>
          <w:w w:val="110"/>
        </w:rPr>
        <w:t xml:space="preserve"> </w:t>
      </w:r>
      <w:r w:rsidR="0030286B">
        <w:rPr>
          <w:color w:val="333333"/>
          <w:w w:val="110"/>
        </w:rPr>
        <w:t>to</w:t>
      </w:r>
      <w:r w:rsidR="0030286B">
        <w:rPr>
          <w:color w:val="333333"/>
          <w:spacing w:val="-18"/>
          <w:w w:val="110"/>
        </w:rPr>
        <w:t xml:space="preserve"> </w:t>
      </w:r>
      <w:r w:rsidR="0030286B">
        <w:rPr>
          <w:color w:val="333333"/>
          <w:w w:val="110"/>
        </w:rPr>
        <w:t>your</w:t>
      </w:r>
      <w:r w:rsidR="0030286B">
        <w:rPr>
          <w:color w:val="333333"/>
          <w:spacing w:val="-18"/>
          <w:w w:val="110"/>
        </w:rPr>
        <w:t xml:space="preserve"> </w:t>
      </w:r>
      <w:r w:rsidR="0030286B">
        <w:rPr>
          <w:rFonts w:ascii="MS Gothic" w:hAnsi="MS Gothic"/>
          <w:color w:val="B02045"/>
          <w:w w:val="110"/>
        </w:rPr>
        <w:t>WebDriver</w:t>
      </w:r>
      <w:r w:rsidR="0030286B">
        <w:rPr>
          <w:rFonts w:ascii="MS Gothic" w:hAnsi="MS Gothic"/>
          <w:color w:val="B02045"/>
          <w:spacing w:val="-82"/>
          <w:w w:val="110"/>
        </w:rPr>
        <w:t xml:space="preserve"> </w:t>
      </w:r>
      <w:r w:rsidR="0030286B">
        <w:rPr>
          <w:rFonts w:ascii="MS Gothic" w:hAnsi="MS Gothic"/>
          <w:color w:val="B02045"/>
          <w:w w:val="110"/>
        </w:rPr>
        <w:t>@Bean</w:t>
      </w:r>
      <w:r w:rsidR="0030286B">
        <w:rPr>
          <w:rFonts w:ascii="MS Gothic" w:hAnsi="MS Gothic"/>
          <w:color w:val="B02045"/>
          <w:spacing w:val="-83"/>
          <w:w w:val="110"/>
        </w:rPr>
        <w:t xml:space="preserve"> </w:t>
      </w:r>
      <w:r w:rsidR="0030286B">
        <w:rPr>
          <w:color w:val="333333"/>
          <w:w w:val="110"/>
        </w:rPr>
        <w:t>definition.</w:t>
      </w:r>
    </w:p>
    <w:p w14:paraId="07FFA1BD" w14:textId="77777777" w:rsidR="00A720EB" w:rsidRDefault="00A720EB">
      <w:pPr>
        <w:pStyle w:val="a3"/>
        <w:spacing w:before="8"/>
        <w:rPr>
          <w:sz w:val="22"/>
        </w:rPr>
      </w:pPr>
    </w:p>
    <w:p w14:paraId="74EC9318" w14:textId="77777777" w:rsidR="00A720EB" w:rsidRDefault="00E10349">
      <w:pPr>
        <w:pStyle w:val="a3"/>
        <w:spacing w:before="116" w:line="280" w:lineRule="auto"/>
        <w:ind w:left="1564" w:right="364"/>
        <w:jc w:val="both"/>
      </w:pPr>
      <w:r>
        <w:pict w14:anchorId="7B938F4F">
          <v:line id="_x0000_s3624" style="position:absolute;left:0;text-align:left;z-index:16116736;mso-position-horizontal-relative:page" from="108.25pt,.35pt" to="108.25pt,55.7pt" strokecolor="#ededed" strokeweight=".5pt">
            <w10:wrap anchorx="page"/>
          </v:line>
        </w:pict>
      </w:r>
      <w:r w:rsidR="0030286B">
        <w:rPr>
          <w:noProof/>
        </w:rPr>
        <w:drawing>
          <wp:anchor distT="0" distB="0" distL="0" distR="0" simplePos="0" relativeHeight="16117248" behindDoc="0" locked="0" layoutInCell="1" allowOverlap="1" wp14:anchorId="66EDC16F" wp14:editId="4A22A35A">
            <wp:simplePos x="0" y="0"/>
            <wp:positionH relativeFrom="page">
              <wp:posOffset>815847</wp:posOffset>
            </wp:positionH>
            <wp:positionV relativeFrom="paragraph">
              <wp:posOffset>203276</wp:posOffset>
            </wp:positionV>
            <wp:extent cx="355600" cy="304800"/>
            <wp:effectExtent l="0" t="0" r="0" b="0"/>
            <wp:wrapNone/>
            <wp:docPr id="4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webDriver </w:t>
      </w:r>
      <w:r w:rsidR="0030286B">
        <w:rPr>
          <w:color w:val="333333"/>
          <w:w w:val="110"/>
        </w:rPr>
        <w:t xml:space="preserve">scope created by Spring Boot will replace any user defined scope of the same name. If you define your own </w:t>
      </w:r>
      <w:r w:rsidR="0030286B">
        <w:rPr>
          <w:rFonts w:ascii="MS Gothic"/>
          <w:color w:val="B02045"/>
          <w:w w:val="110"/>
        </w:rPr>
        <w:t xml:space="preserve">webDriver </w:t>
      </w:r>
      <w:r w:rsidR="0030286B">
        <w:rPr>
          <w:color w:val="333333"/>
          <w:w w:val="110"/>
        </w:rPr>
        <w:t xml:space="preserve">scope you may find it stops working when you use </w:t>
      </w:r>
      <w:r w:rsidR="0030286B">
        <w:rPr>
          <w:rFonts w:ascii="MS Gothic"/>
          <w:color w:val="B02045"/>
          <w:w w:val="110"/>
        </w:rPr>
        <w:t>@WebMvcTest</w:t>
      </w:r>
      <w:r w:rsidR="0030286B">
        <w:rPr>
          <w:color w:val="333333"/>
          <w:w w:val="110"/>
        </w:rPr>
        <w:t>.</w:t>
      </w:r>
    </w:p>
    <w:p w14:paraId="32D3EBD7" w14:textId="77777777" w:rsidR="00A720EB" w:rsidRDefault="00A720EB">
      <w:pPr>
        <w:pStyle w:val="a3"/>
        <w:spacing w:before="7"/>
        <w:rPr>
          <w:sz w:val="17"/>
        </w:rPr>
      </w:pPr>
    </w:p>
    <w:p w14:paraId="070B7525" w14:textId="77777777" w:rsidR="00A720EB" w:rsidRDefault="0030286B">
      <w:pPr>
        <w:pStyle w:val="a3"/>
        <w:spacing w:before="116" w:line="280" w:lineRule="auto"/>
        <w:ind w:left="124" w:right="122"/>
        <w:jc w:val="both"/>
      </w:pPr>
      <w:r>
        <w:rPr>
          <w:color w:val="333333"/>
          <w:w w:val="110"/>
        </w:rPr>
        <w:t xml:space="preserve">If you have Spring Security on the classpath, </w:t>
      </w:r>
      <w:r>
        <w:rPr>
          <w:rFonts w:ascii="MS Gothic" w:hAnsi="MS Gothic"/>
          <w:color w:val="B02045"/>
          <w:w w:val="110"/>
        </w:rPr>
        <w:t xml:space="preserve">@WebMvcTest </w:t>
      </w:r>
      <w:r>
        <w:rPr>
          <w:color w:val="333333"/>
          <w:w w:val="110"/>
        </w:rPr>
        <w:t xml:space="preserve">will also scan </w:t>
      </w:r>
      <w:r>
        <w:rPr>
          <w:rFonts w:ascii="MS Gothic" w:hAnsi="MS Gothic"/>
          <w:color w:val="B02045"/>
          <w:w w:val="110"/>
        </w:rPr>
        <w:t xml:space="preserve">WebSecurityConfigurer </w:t>
      </w:r>
      <w:r>
        <w:rPr>
          <w:color w:val="333333"/>
          <w:w w:val="110"/>
        </w:rPr>
        <w:t xml:space="preserve">beans. Instead of disabling security completely for such tests, you can use Spring Security’s test support. More details on how to use Spring Security’s </w:t>
      </w:r>
      <w:r>
        <w:rPr>
          <w:rFonts w:ascii="MS Gothic" w:hAnsi="MS Gothic"/>
          <w:color w:val="B02045"/>
          <w:w w:val="110"/>
        </w:rPr>
        <w:t xml:space="preserve">MockMvc </w:t>
      </w:r>
      <w:r>
        <w:rPr>
          <w:color w:val="333333"/>
          <w:w w:val="110"/>
        </w:rPr>
        <w:t xml:space="preserve">support can be found in this </w:t>
      </w:r>
      <w:hyperlink w:anchor="_bookmark577" w:history="1">
        <w:r>
          <w:rPr>
            <w:rFonts w:ascii="Palatino Linotype" w:hAnsi="Palatino Linotype"/>
            <w:i/>
            <w:color w:val="418BCA"/>
            <w:w w:val="110"/>
          </w:rPr>
          <w:t>Testing</w:t>
        </w:r>
      </w:hyperlink>
      <w:r>
        <w:rPr>
          <w:rFonts w:ascii="Palatino Linotype" w:hAnsi="Palatino Linotype"/>
          <w:i/>
          <w:color w:val="418BCA"/>
          <w:w w:val="110"/>
        </w:rPr>
        <w:t xml:space="preserve"> </w:t>
      </w:r>
      <w:hyperlink w:anchor="_bookmark577" w:history="1">
        <w:r>
          <w:rPr>
            <w:rFonts w:ascii="Palatino Linotype" w:hAnsi="Palatino Linotype"/>
            <w:i/>
            <w:color w:val="418BCA"/>
            <w:w w:val="110"/>
          </w:rPr>
          <w:t xml:space="preserve">With Spring Security </w:t>
        </w:r>
      </w:hyperlink>
      <w:r>
        <w:rPr>
          <w:color w:val="333333"/>
          <w:w w:val="110"/>
        </w:rPr>
        <w:t>how-to section.</w:t>
      </w:r>
    </w:p>
    <w:p w14:paraId="5D99BE58" w14:textId="77777777" w:rsidR="00A720EB" w:rsidRDefault="00A720EB">
      <w:pPr>
        <w:pStyle w:val="a3"/>
        <w:spacing w:before="10"/>
        <w:rPr>
          <w:sz w:val="27"/>
        </w:rPr>
      </w:pPr>
    </w:p>
    <w:p w14:paraId="6E280EC2" w14:textId="77777777" w:rsidR="00A720EB" w:rsidRDefault="00E10349">
      <w:pPr>
        <w:pStyle w:val="a3"/>
        <w:spacing w:before="1" w:line="307" w:lineRule="auto"/>
        <w:ind w:left="1564" w:right="408"/>
      </w:pPr>
      <w:r>
        <w:pict w14:anchorId="2DE1A058">
          <v:line id="_x0000_s3623" style="position:absolute;left:0;text-align:left;z-index:16117760;mso-position-horizontal-relative:page" from="108.25pt,-5.95pt" to="108.25pt,33.6pt" strokecolor="#ededed" strokeweight=".5pt">
            <w10:wrap anchorx="page"/>
          </v:line>
        </w:pict>
      </w:r>
      <w:r w:rsidR="0030286B">
        <w:rPr>
          <w:noProof/>
        </w:rPr>
        <w:drawing>
          <wp:anchor distT="0" distB="0" distL="0" distR="0" simplePos="0" relativeHeight="16118272" behindDoc="0" locked="0" layoutInCell="1" allowOverlap="1" wp14:anchorId="43D111FB" wp14:editId="46ABA4FF">
            <wp:simplePos x="0" y="0"/>
            <wp:positionH relativeFrom="page">
              <wp:posOffset>888949</wp:posOffset>
            </wp:positionH>
            <wp:positionV relativeFrom="paragraph">
              <wp:posOffset>23406</wp:posOffset>
            </wp:positionV>
            <wp:extent cx="209550" cy="304800"/>
            <wp:effectExtent l="0" t="0" r="0" b="0"/>
            <wp:wrapNone/>
            <wp:docPr id="49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Sometimes writing Spring MVC tests is not enough; Spring Boot can help you run  </w:t>
      </w:r>
      <w:hyperlink w:anchor="_bookmark312" w:history="1">
        <w:r w:rsidR="0030286B">
          <w:rPr>
            <w:color w:val="418BCA"/>
            <w:w w:val="110"/>
          </w:rPr>
          <w:t>full end-to-end tests with an actual</w:t>
        </w:r>
        <w:r w:rsidR="0030286B">
          <w:rPr>
            <w:color w:val="418BCA"/>
            <w:spacing w:val="17"/>
            <w:w w:val="110"/>
          </w:rPr>
          <w:t xml:space="preserve"> </w:t>
        </w:r>
        <w:r w:rsidR="0030286B">
          <w:rPr>
            <w:color w:val="418BCA"/>
            <w:w w:val="110"/>
          </w:rPr>
          <w:t>server</w:t>
        </w:r>
      </w:hyperlink>
      <w:r w:rsidR="0030286B">
        <w:rPr>
          <w:color w:val="333333"/>
          <w:w w:val="110"/>
        </w:rPr>
        <w:t>.</w:t>
      </w:r>
    </w:p>
    <w:p w14:paraId="11CB0BAF" w14:textId="77777777" w:rsidR="00A720EB" w:rsidRDefault="00A720EB">
      <w:pPr>
        <w:pStyle w:val="a3"/>
        <w:spacing w:before="5"/>
        <w:rPr>
          <w:sz w:val="32"/>
        </w:rPr>
      </w:pPr>
    </w:p>
    <w:p w14:paraId="358BFEEF" w14:textId="77777777" w:rsidR="00A720EB" w:rsidRDefault="0030286B">
      <w:pPr>
        <w:pStyle w:val="4"/>
        <w:spacing w:before="1"/>
      </w:pPr>
      <w:bookmarkStart w:id="472" w:name="Auto-configured_Spring_WebFlux_Tests"/>
      <w:bookmarkEnd w:id="472"/>
      <w:r>
        <w:rPr>
          <w:color w:val="333333"/>
          <w:w w:val="110"/>
        </w:rPr>
        <w:t>Auto-configured Spring WebFlux Tests</w:t>
      </w:r>
    </w:p>
    <w:p w14:paraId="56BFDFCE" w14:textId="77777777" w:rsidR="00A720EB" w:rsidRDefault="0030286B">
      <w:pPr>
        <w:pStyle w:val="a3"/>
        <w:spacing w:before="243"/>
        <w:ind w:left="124"/>
        <w:jc w:val="both"/>
        <w:rPr>
          <w:rFonts w:ascii="MS Gothic"/>
        </w:rPr>
      </w:pPr>
      <w:r>
        <w:rPr>
          <w:color w:val="333333"/>
          <w:spacing w:val="-4"/>
          <w:w w:val="110"/>
        </w:rPr>
        <w:t>To</w:t>
      </w:r>
      <w:r>
        <w:rPr>
          <w:color w:val="333333"/>
          <w:spacing w:val="39"/>
          <w:w w:val="110"/>
        </w:rPr>
        <w:t xml:space="preserve"> </w:t>
      </w:r>
      <w:r>
        <w:rPr>
          <w:color w:val="333333"/>
          <w:w w:val="110"/>
        </w:rPr>
        <w:t>test</w:t>
      </w:r>
      <w:r>
        <w:rPr>
          <w:color w:val="333333"/>
          <w:spacing w:val="40"/>
          <w:w w:val="110"/>
        </w:rPr>
        <w:t xml:space="preserve"> </w:t>
      </w:r>
      <w:r>
        <w:rPr>
          <w:color w:val="333333"/>
          <w:w w:val="110"/>
        </w:rPr>
        <w:t>that</w:t>
      </w:r>
      <w:r>
        <w:rPr>
          <w:color w:val="333333"/>
          <w:spacing w:val="40"/>
          <w:w w:val="110"/>
        </w:rPr>
        <w:t xml:space="preserve"> </w:t>
      </w:r>
      <w:hyperlink r:id="rId334">
        <w:r>
          <w:rPr>
            <w:color w:val="418BCA"/>
            <w:w w:val="110"/>
          </w:rPr>
          <w:t>Spring</w:t>
        </w:r>
        <w:r>
          <w:rPr>
            <w:color w:val="418BCA"/>
            <w:spacing w:val="39"/>
            <w:w w:val="110"/>
          </w:rPr>
          <w:t xml:space="preserve"> </w:t>
        </w:r>
        <w:r>
          <w:rPr>
            <w:color w:val="418BCA"/>
            <w:spacing w:val="-3"/>
            <w:w w:val="110"/>
          </w:rPr>
          <w:t>WebFlux</w:t>
        </w:r>
      </w:hyperlink>
      <w:r>
        <w:rPr>
          <w:color w:val="418BCA"/>
          <w:spacing w:val="42"/>
          <w:w w:val="110"/>
        </w:rPr>
        <w:t xml:space="preserve"> </w:t>
      </w:r>
      <w:r>
        <w:rPr>
          <w:color w:val="333333"/>
          <w:w w:val="110"/>
        </w:rPr>
        <w:t>controllers</w:t>
      </w:r>
      <w:r>
        <w:rPr>
          <w:color w:val="333333"/>
          <w:spacing w:val="40"/>
          <w:w w:val="110"/>
        </w:rPr>
        <w:t xml:space="preserve"> </w:t>
      </w:r>
      <w:r>
        <w:rPr>
          <w:color w:val="333333"/>
          <w:w w:val="110"/>
        </w:rPr>
        <w:t>are</w:t>
      </w:r>
      <w:r>
        <w:rPr>
          <w:color w:val="333333"/>
          <w:spacing w:val="39"/>
          <w:w w:val="110"/>
        </w:rPr>
        <w:t xml:space="preserve"> </w:t>
      </w:r>
      <w:r>
        <w:rPr>
          <w:color w:val="333333"/>
          <w:w w:val="110"/>
        </w:rPr>
        <w:t>working</w:t>
      </w:r>
      <w:r>
        <w:rPr>
          <w:color w:val="333333"/>
          <w:spacing w:val="40"/>
          <w:w w:val="110"/>
        </w:rPr>
        <w:t xml:space="preserve"> </w:t>
      </w:r>
      <w:r>
        <w:rPr>
          <w:color w:val="333333"/>
          <w:w w:val="110"/>
        </w:rPr>
        <w:t>as</w:t>
      </w:r>
      <w:r>
        <w:rPr>
          <w:color w:val="333333"/>
          <w:spacing w:val="40"/>
          <w:w w:val="110"/>
        </w:rPr>
        <w:t xml:space="preserve"> </w:t>
      </w:r>
      <w:r>
        <w:rPr>
          <w:color w:val="333333"/>
          <w:w w:val="110"/>
        </w:rPr>
        <w:t>expected,</w:t>
      </w:r>
      <w:r>
        <w:rPr>
          <w:color w:val="333333"/>
          <w:spacing w:val="40"/>
          <w:w w:val="110"/>
        </w:rPr>
        <w:t xml:space="preserve"> </w:t>
      </w:r>
      <w:r>
        <w:rPr>
          <w:color w:val="333333"/>
          <w:w w:val="110"/>
        </w:rPr>
        <w:t>you</w:t>
      </w:r>
      <w:r>
        <w:rPr>
          <w:color w:val="333333"/>
          <w:spacing w:val="39"/>
          <w:w w:val="110"/>
        </w:rPr>
        <w:t xml:space="preserve"> </w:t>
      </w:r>
      <w:r>
        <w:rPr>
          <w:color w:val="333333"/>
          <w:w w:val="110"/>
        </w:rPr>
        <w:t>can</w:t>
      </w:r>
      <w:r>
        <w:rPr>
          <w:color w:val="333333"/>
          <w:spacing w:val="40"/>
          <w:w w:val="110"/>
        </w:rPr>
        <w:t xml:space="preserve"> </w:t>
      </w:r>
      <w:r>
        <w:rPr>
          <w:color w:val="333333"/>
          <w:w w:val="110"/>
        </w:rPr>
        <w:t>use</w:t>
      </w:r>
      <w:r>
        <w:rPr>
          <w:color w:val="333333"/>
          <w:spacing w:val="40"/>
          <w:w w:val="110"/>
        </w:rPr>
        <w:t xml:space="preserve"> </w:t>
      </w:r>
      <w:r>
        <w:rPr>
          <w:color w:val="333333"/>
          <w:w w:val="110"/>
        </w:rPr>
        <w:t>the</w:t>
      </w:r>
      <w:r>
        <w:rPr>
          <w:color w:val="333333"/>
          <w:spacing w:val="45"/>
          <w:w w:val="110"/>
        </w:rPr>
        <w:t xml:space="preserve"> </w:t>
      </w:r>
      <w:r>
        <w:rPr>
          <w:rFonts w:ascii="MS Gothic"/>
          <w:color w:val="B02045"/>
          <w:w w:val="110"/>
        </w:rPr>
        <w:t>@WebFluxTest</w:t>
      </w:r>
    </w:p>
    <w:p w14:paraId="19F9B888" w14:textId="77777777" w:rsidR="00A720EB" w:rsidRDefault="0030286B">
      <w:pPr>
        <w:pStyle w:val="a3"/>
        <w:spacing w:before="47"/>
        <w:ind w:left="124"/>
        <w:jc w:val="both"/>
      </w:pPr>
      <w:r>
        <w:rPr>
          <w:color w:val="333333"/>
          <w:w w:val="110"/>
        </w:rPr>
        <w:t xml:space="preserve">annotation.  </w:t>
      </w:r>
      <w:r>
        <w:rPr>
          <w:rFonts w:ascii="MS Gothic"/>
          <w:color w:val="B02045"/>
          <w:w w:val="110"/>
        </w:rPr>
        <w:t xml:space="preserve">@WebFluxTest </w:t>
      </w:r>
      <w:r>
        <w:rPr>
          <w:color w:val="333333"/>
          <w:w w:val="110"/>
        </w:rPr>
        <w:t>auto-</w:t>
      </w:r>
      <w:proofErr w:type="gramStart"/>
      <w:r>
        <w:rPr>
          <w:color w:val="333333"/>
          <w:w w:val="110"/>
        </w:rPr>
        <w:t>configures  the</w:t>
      </w:r>
      <w:proofErr w:type="gramEnd"/>
      <w:r>
        <w:rPr>
          <w:color w:val="333333"/>
          <w:w w:val="110"/>
        </w:rPr>
        <w:t xml:space="preserve">  Spring  </w:t>
      </w:r>
      <w:r>
        <w:rPr>
          <w:color w:val="333333"/>
          <w:spacing w:val="-3"/>
          <w:w w:val="110"/>
        </w:rPr>
        <w:t xml:space="preserve">WebFlux  </w:t>
      </w:r>
      <w:r>
        <w:rPr>
          <w:color w:val="333333"/>
          <w:w w:val="110"/>
        </w:rPr>
        <w:t>infrastructure  and  limits</w:t>
      </w:r>
      <w:r>
        <w:rPr>
          <w:color w:val="333333"/>
          <w:spacing w:val="27"/>
          <w:w w:val="110"/>
        </w:rPr>
        <w:t xml:space="preserve"> </w:t>
      </w:r>
      <w:r>
        <w:rPr>
          <w:color w:val="333333"/>
          <w:w w:val="110"/>
        </w:rPr>
        <w:t>scanned</w:t>
      </w:r>
    </w:p>
    <w:p w14:paraId="1C28F2F4" w14:textId="77777777" w:rsidR="00A720EB" w:rsidRDefault="00A720EB">
      <w:pPr>
        <w:jc w:val="both"/>
        <w:sectPr w:rsidR="00A720EB">
          <w:pgSz w:w="11910" w:h="16840"/>
          <w:pgMar w:top="700" w:right="840" w:bottom="520" w:left="840" w:header="0" w:footer="323" w:gutter="0"/>
          <w:cols w:space="720"/>
        </w:sectPr>
      </w:pPr>
    </w:p>
    <w:p w14:paraId="69FD414C" w14:textId="77777777" w:rsidR="00A720EB" w:rsidRDefault="0030286B">
      <w:pPr>
        <w:pStyle w:val="a3"/>
        <w:spacing w:before="96" w:line="280" w:lineRule="auto"/>
        <w:ind w:left="124" w:right="123"/>
        <w:jc w:val="both"/>
      </w:pPr>
      <w:r>
        <w:rPr>
          <w:color w:val="333333"/>
          <w:w w:val="105"/>
        </w:rPr>
        <w:lastRenderedPageBreak/>
        <w:t>beans</w:t>
      </w:r>
      <w:r>
        <w:rPr>
          <w:color w:val="333333"/>
          <w:spacing w:val="-21"/>
          <w:w w:val="105"/>
        </w:rPr>
        <w:t xml:space="preserve"> </w:t>
      </w:r>
      <w:r>
        <w:rPr>
          <w:color w:val="333333"/>
          <w:w w:val="105"/>
        </w:rPr>
        <w:t>to</w:t>
      </w:r>
      <w:r>
        <w:rPr>
          <w:color w:val="333333"/>
          <w:spacing w:val="-20"/>
          <w:w w:val="105"/>
        </w:rPr>
        <w:t xml:space="preserve"> </w:t>
      </w:r>
      <w:r>
        <w:rPr>
          <w:rFonts w:ascii="MS Gothic"/>
          <w:color w:val="B02045"/>
          <w:w w:val="105"/>
        </w:rPr>
        <w:t>@Controller</w:t>
      </w:r>
      <w:r>
        <w:rPr>
          <w:color w:val="333333"/>
          <w:w w:val="105"/>
        </w:rPr>
        <w:t>,</w:t>
      </w:r>
      <w:r>
        <w:rPr>
          <w:color w:val="333333"/>
          <w:spacing w:val="-20"/>
          <w:w w:val="105"/>
        </w:rPr>
        <w:t xml:space="preserve"> </w:t>
      </w:r>
      <w:r>
        <w:rPr>
          <w:rFonts w:ascii="MS Gothic"/>
          <w:color w:val="B02045"/>
          <w:w w:val="105"/>
        </w:rPr>
        <w:t>@ControllerAdvice</w:t>
      </w:r>
      <w:r>
        <w:rPr>
          <w:color w:val="333333"/>
          <w:w w:val="105"/>
        </w:rPr>
        <w:t>,</w:t>
      </w:r>
      <w:r>
        <w:rPr>
          <w:color w:val="333333"/>
          <w:spacing w:val="-20"/>
          <w:w w:val="105"/>
        </w:rPr>
        <w:t xml:space="preserve"> </w:t>
      </w:r>
      <w:r>
        <w:rPr>
          <w:rFonts w:ascii="MS Gothic"/>
          <w:color w:val="B02045"/>
          <w:w w:val="105"/>
        </w:rPr>
        <w:t>@JsonComponent</w:t>
      </w:r>
      <w:r>
        <w:rPr>
          <w:color w:val="333333"/>
          <w:w w:val="105"/>
        </w:rPr>
        <w:t>,</w:t>
      </w:r>
      <w:r>
        <w:rPr>
          <w:color w:val="333333"/>
          <w:spacing w:val="-20"/>
          <w:w w:val="105"/>
        </w:rPr>
        <w:t xml:space="preserve"> </w:t>
      </w:r>
      <w:r>
        <w:rPr>
          <w:rFonts w:ascii="MS Gothic"/>
          <w:color w:val="B02045"/>
          <w:w w:val="105"/>
        </w:rPr>
        <w:t>Converter</w:t>
      </w:r>
      <w:r>
        <w:rPr>
          <w:color w:val="333333"/>
          <w:w w:val="105"/>
        </w:rPr>
        <w:t>,</w:t>
      </w:r>
      <w:r>
        <w:rPr>
          <w:color w:val="333333"/>
          <w:spacing w:val="-20"/>
          <w:w w:val="105"/>
        </w:rPr>
        <w:t xml:space="preserve"> </w:t>
      </w:r>
      <w:r>
        <w:rPr>
          <w:rFonts w:ascii="MS Gothic"/>
          <w:color w:val="B02045"/>
          <w:w w:val="105"/>
        </w:rPr>
        <w:t>GenericConverter</w:t>
      </w:r>
      <w:r>
        <w:rPr>
          <w:color w:val="333333"/>
          <w:w w:val="105"/>
        </w:rPr>
        <w:t>,</w:t>
      </w:r>
      <w:r>
        <w:rPr>
          <w:color w:val="333333"/>
          <w:spacing w:val="-20"/>
          <w:w w:val="105"/>
        </w:rPr>
        <w:t xml:space="preserve"> </w:t>
      </w:r>
      <w:r>
        <w:rPr>
          <w:rFonts w:ascii="MS Gothic"/>
          <w:color w:val="B02045"/>
          <w:w w:val="105"/>
        </w:rPr>
        <w:t>WebFilter</w:t>
      </w:r>
      <w:r>
        <w:rPr>
          <w:color w:val="333333"/>
          <w:w w:val="105"/>
        </w:rPr>
        <w:t>,</w:t>
      </w:r>
      <w:r>
        <w:rPr>
          <w:color w:val="333333"/>
          <w:spacing w:val="-20"/>
          <w:w w:val="105"/>
        </w:rPr>
        <w:t xml:space="preserve"> </w:t>
      </w:r>
      <w:r>
        <w:rPr>
          <w:color w:val="333333"/>
          <w:w w:val="105"/>
        </w:rPr>
        <w:t xml:space="preserve">and </w:t>
      </w:r>
      <w:r>
        <w:rPr>
          <w:rFonts w:ascii="MS Gothic"/>
          <w:color w:val="B02045"/>
          <w:w w:val="105"/>
        </w:rPr>
        <w:t>WebFluxConfigurer</w:t>
      </w:r>
      <w:r>
        <w:rPr>
          <w:color w:val="333333"/>
          <w:w w:val="105"/>
        </w:rPr>
        <w:t xml:space="preserve">. Regular </w:t>
      </w:r>
      <w:r>
        <w:rPr>
          <w:rFonts w:ascii="MS Gothic"/>
          <w:color w:val="B02045"/>
          <w:w w:val="105"/>
        </w:rPr>
        <w:t xml:space="preserve">@Component </w:t>
      </w:r>
      <w:r>
        <w:rPr>
          <w:color w:val="333333"/>
          <w:w w:val="105"/>
        </w:rPr>
        <w:t xml:space="preserve">and </w:t>
      </w:r>
      <w:r>
        <w:rPr>
          <w:rFonts w:ascii="MS Gothic"/>
          <w:color w:val="B02045"/>
          <w:w w:val="105"/>
        </w:rPr>
        <w:t xml:space="preserve">@ConfigurationProperties </w:t>
      </w:r>
      <w:r>
        <w:rPr>
          <w:color w:val="333333"/>
          <w:w w:val="105"/>
        </w:rPr>
        <w:t xml:space="preserve">beans are not scanned when the </w:t>
      </w:r>
      <w:r>
        <w:rPr>
          <w:rFonts w:ascii="MS Gothic"/>
          <w:color w:val="B02045"/>
          <w:w w:val="105"/>
        </w:rPr>
        <w:t xml:space="preserve">@WebFluxTest </w:t>
      </w:r>
      <w:r>
        <w:rPr>
          <w:color w:val="333333"/>
          <w:w w:val="105"/>
        </w:rPr>
        <w:t xml:space="preserve">annotation is used. </w:t>
      </w:r>
      <w:r>
        <w:rPr>
          <w:rFonts w:ascii="MS Gothic"/>
          <w:color w:val="B02045"/>
          <w:w w:val="105"/>
        </w:rPr>
        <w:t xml:space="preserve">@EnableConfigurationProperties </w:t>
      </w:r>
      <w:r>
        <w:rPr>
          <w:color w:val="333333"/>
          <w:w w:val="105"/>
        </w:rPr>
        <w:t xml:space="preserve">can be used to include </w:t>
      </w:r>
      <w:r>
        <w:rPr>
          <w:rFonts w:ascii="MS Gothic"/>
          <w:color w:val="B02045"/>
          <w:w w:val="105"/>
        </w:rPr>
        <w:t>@ConfigurationProperties</w:t>
      </w:r>
      <w:r>
        <w:rPr>
          <w:rFonts w:ascii="MS Gothic"/>
          <w:color w:val="B02045"/>
          <w:spacing w:val="-57"/>
          <w:w w:val="105"/>
        </w:rPr>
        <w:t xml:space="preserve"> </w:t>
      </w:r>
      <w:r>
        <w:rPr>
          <w:color w:val="333333"/>
          <w:w w:val="105"/>
        </w:rPr>
        <w:t>beans.</w:t>
      </w:r>
    </w:p>
    <w:p w14:paraId="33BEE577" w14:textId="77777777" w:rsidR="00A720EB" w:rsidRDefault="00A720EB">
      <w:pPr>
        <w:pStyle w:val="a3"/>
        <w:spacing w:before="7"/>
        <w:rPr>
          <w:sz w:val="27"/>
        </w:rPr>
      </w:pPr>
    </w:p>
    <w:p w14:paraId="3D75CC70" w14:textId="77777777" w:rsidR="00A720EB" w:rsidRDefault="00E10349">
      <w:pPr>
        <w:pStyle w:val="a3"/>
        <w:spacing w:line="290" w:lineRule="auto"/>
        <w:ind w:left="1564" w:right="462"/>
      </w:pPr>
      <w:r>
        <w:pict w14:anchorId="41E5AA2C">
          <v:line id="_x0000_s3622" style="position:absolute;left:0;text-align:left;z-index:16119296;mso-position-horizontal-relative:page" from="108.25pt,-5.45pt" to="108.25pt,34.1pt" strokecolor="#ededed" strokeweight=".5pt">
            <w10:wrap anchorx="page"/>
          </v:line>
        </w:pict>
      </w:r>
      <w:r w:rsidR="0030286B">
        <w:rPr>
          <w:noProof/>
        </w:rPr>
        <w:drawing>
          <wp:anchor distT="0" distB="0" distL="0" distR="0" simplePos="0" relativeHeight="16119808" behindDoc="0" locked="0" layoutInCell="1" allowOverlap="1" wp14:anchorId="22BE242A" wp14:editId="737E325A">
            <wp:simplePos x="0" y="0"/>
            <wp:positionH relativeFrom="page">
              <wp:posOffset>888949</wp:posOffset>
            </wp:positionH>
            <wp:positionV relativeFrom="paragraph">
              <wp:posOffset>29413</wp:posOffset>
            </wp:positionV>
            <wp:extent cx="209550" cy="304800"/>
            <wp:effectExtent l="0" t="0" r="0" b="0"/>
            <wp:wrapNone/>
            <wp:docPr id="49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auto-configurations that are enabled by </w:t>
      </w:r>
      <w:r w:rsidR="0030286B">
        <w:rPr>
          <w:rFonts w:ascii="MS Gothic"/>
          <w:color w:val="B02045"/>
          <w:w w:val="110"/>
        </w:rPr>
        <w:t xml:space="preserve">@WebFluxTest </w:t>
      </w:r>
      <w:r w:rsidR="0030286B">
        <w:rPr>
          <w:color w:val="333333"/>
          <w:w w:val="110"/>
        </w:rPr>
        <w:t xml:space="preserve">can be </w:t>
      </w:r>
      <w:hyperlink w:anchor="_bookmark689" w:history="1">
        <w:r w:rsidR="0030286B">
          <w:rPr>
            <w:color w:val="418BCA"/>
            <w:w w:val="110"/>
          </w:rPr>
          <w:t>found in</w:t>
        </w:r>
      </w:hyperlink>
      <w:r w:rsidR="0030286B">
        <w:rPr>
          <w:color w:val="418BCA"/>
          <w:w w:val="110"/>
        </w:rPr>
        <w:t xml:space="preserve"> </w:t>
      </w:r>
      <w:hyperlink w:anchor="_bookmark689" w:history="1">
        <w:r w:rsidR="0030286B">
          <w:rPr>
            <w:color w:val="418BCA"/>
            <w:w w:val="110"/>
          </w:rPr>
          <w:t>the appendix</w:t>
        </w:r>
      </w:hyperlink>
      <w:r w:rsidR="0030286B">
        <w:rPr>
          <w:color w:val="333333"/>
          <w:w w:val="110"/>
        </w:rPr>
        <w:t>.</w:t>
      </w:r>
    </w:p>
    <w:p w14:paraId="6B30C618" w14:textId="77777777" w:rsidR="00A720EB" w:rsidRDefault="00A720EB">
      <w:pPr>
        <w:pStyle w:val="a3"/>
        <w:spacing w:before="9"/>
        <w:rPr>
          <w:sz w:val="34"/>
        </w:rPr>
      </w:pPr>
    </w:p>
    <w:p w14:paraId="492C65A7" w14:textId="77777777" w:rsidR="00A720EB" w:rsidRDefault="00E10349">
      <w:pPr>
        <w:pStyle w:val="a3"/>
        <w:spacing w:line="280" w:lineRule="auto"/>
        <w:ind w:left="1564" w:right="359"/>
      </w:pPr>
      <w:r>
        <w:pict w14:anchorId="4B5E9165">
          <v:line id="_x0000_s3621" style="position:absolute;left:0;text-align:left;z-index:16120320;mso-position-horizontal-relative:page" from="108.25pt,-5.45pt" to="108.25pt,34.1pt" strokecolor="#ededed" strokeweight=".5pt">
            <w10:wrap anchorx="page"/>
          </v:line>
        </w:pict>
      </w:r>
      <w:r w:rsidR="0030286B">
        <w:rPr>
          <w:noProof/>
        </w:rPr>
        <w:drawing>
          <wp:anchor distT="0" distB="0" distL="0" distR="0" simplePos="0" relativeHeight="16120832" behindDoc="0" locked="0" layoutInCell="1" allowOverlap="1" wp14:anchorId="05FC9C59" wp14:editId="4706AED7">
            <wp:simplePos x="0" y="0"/>
            <wp:positionH relativeFrom="page">
              <wp:posOffset>888949</wp:posOffset>
            </wp:positionH>
            <wp:positionV relativeFrom="paragraph">
              <wp:posOffset>29412</wp:posOffset>
            </wp:positionV>
            <wp:extent cx="209550" cy="304800"/>
            <wp:effectExtent l="0" t="0" r="0" b="0"/>
            <wp:wrapNone/>
            <wp:docPr id="49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need to register extra components, such as Jackson </w:t>
      </w:r>
      <w:r w:rsidR="0030286B">
        <w:rPr>
          <w:rFonts w:ascii="MS Gothic"/>
          <w:color w:val="B02045"/>
          <w:w w:val="110"/>
        </w:rPr>
        <w:t>Module</w:t>
      </w:r>
      <w:r w:rsidR="0030286B">
        <w:rPr>
          <w:color w:val="333333"/>
          <w:w w:val="110"/>
        </w:rPr>
        <w:t xml:space="preserve">, you can import additional configuration classes using </w:t>
      </w:r>
      <w:r w:rsidR="0030286B">
        <w:rPr>
          <w:rFonts w:ascii="MS Gothic"/>
          <w:color w:val="B02045"/>
          <w:w w:val="110"/>
        </w:rPr>
        <w:t xml:space="preserve">@Import </w:t>
      </w:r>
      <w:r w:rsidR="0030286B">
        <w:rPr>
          <w:color w:val="333333"/>
          <w:w w:val="110"/>
        </w:rPr>
        <w:t>on your test.</w:t>
      </w:r>
    </w:p>
    <w:p w14:paraId="474496E7" w14:textId="77777777" w:rsidR="00A720EB" w:rsidRDefault="00A720EB">
      <w:pPr>
        <w:pStyle w:val="a3"/>
        <w:spacing w:before="5"/>
        <w:rPr>
          <w:sz w:val="27"/>
        </w:rPr>
      </w:pPr>
    </w:p>
    <w:p w14:paraId="2D5DF097" w14:textId="77777777" w:rsidR="00A720EB" w:rsidRDefault="0030286B">
      <w:pPr>
        <w:pStyle w:val="a3"/>
        <w:ind w:left="124"/>
        <w:rPr>
          <w:rFonts w:ascii="MS Gothic"/>
        </w:rPr>
      </w:pPr>
      <w:r>
        <w:rPr>
          <w:color w:val="333333"/>
          <w:w w:val="110"/>
        </w:rPr>
        <w:t xml:space="preserve">Often, </w:t>
      </w:r>
      <w:r>
        <w:rPr>
          <w:rFonts w:ascii="MS Gothic"/>
          <w:color w:val="B02045"/>
          <w:w w:val="110"/>
        </w:rPr>
        <w:t xml:space="preserve">@WebFluxTest </w:t>
      </w:r>
      <w:r>
        <w:rPr>
          <w:color w:val="333333"/>
          <w:w w:val="110"/>
        </w:rPr>
        <w:t xml:space="preserve">is limited to a single controller and used in combination with the </w:t>
      </w:r>
      <w:r>
        <w:rPr>
          <w:rFonts w:ascii="MS Gothic"/>
          <w:color w:val="B02045"/>
          <w:w w:val="110"/>
        </w:rPr>
        <w:t>@MockBean</w:t>
      </w:r>
    </w:p>
    <w:p w14:paraId="07E38E13" w14:textId="77777777" w:rsidR="00A720EB" w:rsidRDefault="0030286B">
      <w:pPr>
        <w:pStyle w:val="a3"/>
        <w:spacing w:before="57"/>
        <w:ind w:left="124"/>
      </w:pPr>
      <w:r>
        <w:rPr>
          <w:color w:val="333333"/>
          <w:w w:val="110"/>
        </w:rPr>
        <w:t>annotation to provide mock implementations for required collaborators.</w:t>
      </w:r>
    </w:p>
    <w:p w14:paraId="3FCE31BD" w14:textId="77777777" w:rsidR="00A720EB" w:rsidRDefault="00A720EB">
      <w:pPr>
        <w:pStyle w:val="a3"/>
        <w:spacing w:before="6"/>
        <w:rPr>
          <w:sz w:val="25"/>
        </w:rPr>
      </w:pPr>
    </w:p>
    <w:p w14:paraId="6456FA65" w14:textId="77777777" w:rsidR="00A720EB" w:rsidRDefault="0030286B">
      <w:pPr>
        <w:pStyle w:val="a3"/>
        <w:spacing w:line="290" w:lineRule="auto"/>
        <w:ind w:left="124"/>
      </w:pPr>
      <w:r>
        <w:rPr>
          <w:rFonts w:ascii="MS Gothic"/>
          <w:color w:val="B02045"/>
          <w:w w:val="110"/>
        </w:rPr>
        <w:t xml:space="preserve">@WebFluxTest </w:t>
      </w:r>
      <w:r>
        <w:rPr>
          <w:color w:val="333333"/>
          <w:w w:val="110"/>
        </w:rPr>
        <w:t xml:space="preserve">also auto-configures </w:t>
      </w:r>
      <w:hyperlink r:id="rId335" w:anchor="webtestclient">
        <w:r>
          <w:rPr>
            <w:rFonts w:ascii="MS Gothic"/>
            <w:color w:val="B02045"/>
            <w:w w:val="110"/>
          </w:rPr>
          <w:t>WebTestClient</w:t>
        </w:r>
      </w:hyperlink>
      <w:r>
        <w:rPr>
          <w:color w:val="333333"/>
          <w:w w:val="110"/>
        </w:rPr>
        <w:t>, which offers a powerful way to quickly test WebFlux controllers without needing to start a full HTTP server.</w:t>
      </w:r>
    </w:p>
    <w:p w14:paraId="77D0F39E" w14:textId="77777777" w:rsidR="00A720EB" w:rsidRDefault="00A720EB">
      <w:pPr>
        <w:pStyle w:val="a3"/>
        <w:spacing w:before="1"/>
        <w:rPr>
          <w:sz w:val="18"/>
        </w:rPr>
      </w:pPr>
    </w:p>
    <w:p w14:paraId="261EE910" w14:textId="77777777" w:rsidR="00A720EB" w:rsidRDefault="00E10349">
      <w:pPr>
        <w:pStyle w:val="a3"/>
        <w:spacing w:before="116" w:line="280" w:lineRule="auto"/>
        <w:ind w:left="1564" w:right="362"/>
        <w:jc w:val="both"/>
      </w:pPr>
      <w:r>
        <w:pict w14:anchorId="666E43E5">
          <v:line id="_x0000_s3620" style="position:absolute;left:0;text-align:left;z-index:16121344;mso-position-horizontal-relative:page" from="108.25pt,.35pt" to="108.25pt,55.7pt" strokecolor="#ededed" strokeweight=".5pt">
            <w10:wrap anchorx="page"/>
          </v:line>
        </w:pict>
      </w:r>
      <w:r w:rsidR="0030286B">
        <w:rPr>
          <w:noProof/>
        </w:rPr>
        <w:drawing>
          <wp:anchor distT="0" distB="0" distL="0" distR="0" simplePos="0" relativeHeight="16121856" behindDoc="0" locked="0" layoutInCell="1" allowOverlap="1" wp14:anchorId="2F2FA792" wp14:editId="523C5DC9">
            <wp:simplePos x="0" y="0"/>
            <wp:positionH relativeFrom="page">
              <wp:posOffset>888949</wp:posOffset>
            </wp:positionH>
            <wp:positionV relativeFrom="paragraph">
              <wp:posOffset>203275</wp:posOffset>
            </wp:positionV>
            <wp:extent cx="209550" cy="304800"/>
            <wp:effectExtent l="0" t="0" r="0" b="0"/>
            <wp:wrapNone/>
            <wp:docPr id="49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 xml:space="preserve">You </w:t>
      </w:r>
      <w:r w:rsidR="0030286B">
        <w:rPr>
          <w:color w:val="333333"/>
          <w:w w:val="110"/>
        </w:rPr>
        <w:t xml:space="preserve">can also auto-configure </w:t>
      </w:r>
      <w:r w:rsidR="0030286B">
        <w:rPr>
          <w:rFonts w:ascii="MS Gothic"/>
          <w:color w:val="B02045"/>
          <w:w w:val="110"/>
        </w:rPr>
        <w:t xml:space="preserve">WebTestClient </w:t>
      </w:r>
      <w:r w:rsidR="0030286B">
        <w:rPr>
          <w:color w:val="333333"/>
          <w:w w:val="110"/>
        </w:rPr>
        <w:t>in a non-</w:t>
      </w:r>
      <w:r w:rsidR="0030286B">
        <w:rPr>
          <w:rFonts w:ascii="MS Gothic"/>
          <w:color w:val="B02045"/>
          <w:w w:val="110"/>
        </w:rPr>
        <w:t xml:space="preserve">@WebFluxTest </w:t>
      </w:r>
      <w:r w:rsidR="0030286B">
        <w:rPr>
          <w:color w:val="333333"/>
          <w:w w:val="110"/>
        </w:rPr>
        <w:t xml:space="preserve">(such as </w:t>
      </w:r>
      <w:r w:rsidR="0030286B">
        <w:rPr>
          <w:rFonts w:ascii="MS Gothic"/>
          <w:color w:val="B02045"/>
          <w:w w:val="105"/>
        </w:rPr>
        <w:t>@SpringBootTest</w:t>
      </w:r>
      <w:r w:rsidR="0030286B">
        <w:rPr>
          <w:color w:val="333333"/>
          <w:w w:val="105"/>
        </w:rPr>
        <w:t xml:space="preserve">) </w:t>
      </w:r>
      <w:r w:rsidR="0030286B">
        <w:rPr>
          <w:color w:val="333333"/>
          <w:spacing w:val="-3"/>
          <w:w w:val="105"/>
        </w:rPr>
        <w:t xml:space="preserve">by </w:t>
      </w:r>
      <w:r w:rsidR="0030286B">
        <w:rPr>
          <w:color w:val="333333"/>
          <w:w w:val="105"/>
        </w:rPr>
        <w:t xml:space="preserve">annotating it with </w:t>
      </w:r>
      <w:r w:rsidR="0030286B">
        <w:rPr>
          <w:rFonts w:ascii="MS Gothic"/>
          <w:color w:val="B02045"/>
          <w:w w:val="105"/>
        </w:rPr>
        <w:t>@AutoConfigureWebTestClient</w:t>
      </w:r>
      <w:r w:rsidR="0030286B">
        <w:rPr>
          <w:color w:val="333333"/>
          <w:w w:val="105"/>
        </w:rPr>
        <w:t xml:space="preserve">. The following </w:t>
      </w:r>
      <w:r w:rsidR="0030286B">
        <w:rPr>
          <w:color w:val="333333"/>
          <w:w w:val="110"/>
        </w:rPr>
        <w:t xml:space="preserve">example shows a class that uses both </w:t>
      </w:r>
      <w:r w:rsidR="0030286B">
        <w:rPr>
          <w:rFonts w:ascii="MS Gothic"/>
          <w:color w:val="B02045"/>
          <w:w w:val="110"/>
        </w:rPr>
        <w:t>@WebFluxTest</w:t>
      </w:r>
      <w:r w:rsidR="0030286B">
        <w:rPr>
          <w:rFonts w:ascii="MS Gothic"/>
          <w:color w:val="B02045"/>
          <w:spacing w:val="-69"/>
          <w:w w:val="110"/>
        </w:rPr>
        <w:t xml:space="preserve"> </w:t>
      </w:r>
      <w:r w:rsidR="0030286B">
        <w:rPr>
          <w:color w:val="333333"/>
          <w:w w:val="110"/>
        </w:rPr>
        <w:t xml:space="preserve">and a </w:t>
      </w:r>
      <w:r w:rsidR="0030286B">
        <w:rPr>
          <w:rFonts w:ascii="MS Gothic"/>
          <w:color w:val="B02045"/>
          <w:w w:val="110"/>
        </w:rPr>
        <w:t>WebTestClient</w:t>
      </w:r>
      <w:r w:rsidR="0030286B">
        <w:rPr>
          <w:color w:val="333333"/>
          <w:w w:val="110"/>
        </w:rPr>
        <w:t>:</w:t>
      </w:r>
    </w:p>
    <w:p w14:paraId="0ADFDD9D" w14:textId="77777777" w:rsidR="00A720EB" w:rsidRDefault="00E10349">
      <w:pPr>
        <w:pStyle w:val="a3"/>
        <w:spacing w:before="11"/>
        <w:rPr>
          <w:sz w:val="20"/>
        </w:rPr>
      </w:pPr>
      <w:r>
        <w:pict w14:anchorId="70E6C860">
          <v:group id="_x0000_s3616" style="position:absolute;margin-left:47.85pt;margin-top:14.25pt;width:499.55pt;height:420.75pt;z-index:-15338496;mso-wrap-distance-left:0;mso-wrap-distance-right:0;mso-position-horizontal-relative:page" coordorigin="957,285" coordsize="9991,8415">
            <v:shape id="_x0000_s3619" style="position:absolute;left:964;top:292;width:9976;height:8400" coordorigin="965,292" coordsize="9976,8400" path="m10861,292r-9816,l1014,299r-26,17l971,341r-6,31l965,8612r6,31l988,8669r26,17l1045,8692r9816,l10892,8686r25,-17l10935,8643r6,-31l10941,372r-6,-31l10917,316r-25,-17l10861,292xe" fillcolor="#f5f5f5" stroked="f">
              <v:path arrowok="t"/>
            </v:shape>
            <v:shape id="_x0000_s3618" style="position:absolute;left:964;top:292;width:9976;height:8400" coordorigin="965,292" coordsize="9976,8400" path="m1045,292r9816,l10892,299r25,17l10935,341r6,31l10941,8612r-6,31l10917,8669r-25,17l10861,8692r-9816,l1014,8686r-26,-17l971,8643r-6,-31l965,372r6,-31l988,316r26,-17l1045,292xe" filled="f" strokecolor="#ccc">
              <v:path arrowok="t"/>
            </v:shape>
            <v:shape id="_x0000_s3617" type="#_x0000_t202" style="position:absolute;left:984;top:307;width:9938;height:8369" filled="f" stroked="f">
              <v:textbox inset="0,0,0,0">
                <w:txbxContent>
                  <w:p w14:paraId="0C45C96C"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6C4CEA8E" w14:textId="77777777" w:rsidR="00711A16" w:rsidRDefault="00711A16">
                    <w:pPr>
                      <w:rPr>
                        <w:rFonts w:ascii="MS Gothic"/>
                        <w:sz w:val="24"/>
                      </w:rPr>
                    </w:pPr>
                  </w:p>
                  <w:p w14:paraId="5DCF3DE0" w14:textId="77777777" w:rsidR="00711A16" w:rsidRDefault="00711A16">
                    <w:pPr>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7285909D" w14:textId="77777777" w:rsidR="00711A16" w:rsidRDefault="00711A16">
                    <w:pPr>
                      <w:spacing w:before="13" w:line="252" w:lineRule="auto"/>
                      <w:ind w:left="200" w:right="1358"/>
                      <w:rPr>
                        <w:rFonts w:ascii="MS Gothic"/>
                      </w:rPr>
                    </w:pPr>
                    <w:r>
                      <w:rPr>
                        <w:rFonts w:ascii="MS Gothic"/>
                        <w:color w:val="333333"/>
                      </w:rPr>
                      <w:t xml:space="preserve">import </w:t>
                    </w:r>
                    <w:proofErr w:type="gramStart"/>
                    <w:r>
                      <w:rPr>
                        <w:rFonts w:ascii="MS Gothic"/>
                        <w:color w:val="333333"/>
                      </w:rPr>
                      <w:t>org.springframework.boot.test.autoconfigure.web.reactive</w:t>
                    </w:r>
                    <w:proofErr w:type="gramEnd"/>
                    <w:r>
                      <w:rPr>
                        <w:rFonts w:ascii="MS Gothic"/>
                        <w:color w:val="333333"/>
                      </w:rPr>
                      <w:t>.WebFluxTest; import org.springframework.http.MediaType;</w:t>
                    </w:r>
                  </w:p>
                  <w:p w14:paraId="0909D9DD"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org.springframework.test.web.reactive</w:t>
                    </w:r>
                    <w:proofErr w:type="gramEnd"/>
                    <w:r>
                      <w:rPr>
                        <w:rFonts w:ascii="MS Gothic"/>
                        <w:color w:val="333333"/>
                      </w:rPr>
                      <w:t>.server.WebTestClient;</w:t>
                    </w:r>
                  </w:p>
                  <w:p w14:paraId="59F7AC74" w14:textId="77777777" w:rsidR="00711A16" w:rsidRDefault="00711A16">
                    <w:pPr>
                      <w:rPr>
                        <w:rFonts w:ascii="MS Gothic"/>
                        <w:sz w:val="24"/>
                      </w:rPr>
                    </w:pPr>
                  </w:p>
                  <w:p w14:paraId="0D9FCEB0" w14:textId="77777777" w:rsidR="00711A16" w:rsidRDefault="00711A16">
                    <w:pPr>
                      <w:spacing w:line="252" w:lineRule="auto"/>
                      <w:ind w:left="200" w:right="5208"/>
                      <w:rPr>
                        <w:rFonts w:ascii="MS Gothic"/>
                      </w:rPr>
                    </w:pPr>
                    <w:r>
                      <w:rPr>
                        <w:rFonts w:ascii="MS Gothic"/>
                        <w:color w:val="333333"/>
                      </w:rPr>
                      <w:t>@</w:t>
                    </w:r>
                    <w:proofErr w:type="gramStart"/>
                    <w:r>
                      <w:rPr>
                        <w:rFonts w:ascii="MS Gothic"/>
                        <w:color w:val="333333"/>
                      </w:rPr>
                      <w:t>WebFluxTest(</w:t>
                    </w:r>
                    <w:proofErr w:type="gramEnd"/>
                    <w:r>
                      <w:rPr>
                        <w:rFonts w:ascii="MS Gothic"/>
                        <w:color w:val="333333"/>
                      </w:rPr>
                      <w:t>UserVehicleController.class) class MyControllerTests {</w:t>
                    </w:r>
                  </w:p>
                  <w:p w14:paraId="46C8E2AB" w14:textId="77777777" w:rsidR="00711A16" w:rsidRDefault="00711A16">
                    <w:pPr>
                      <w:spacing w:before="11"/>
                      <w:rPr>
                        <w:rFonts w:ascii="MS Gothic"/>
                      </w:rPr>
                    </w:pPr>
                  </w:p>
                  <w:p w14:paraId="23ACA4D2" w14:textId="77777777" w:rsidR="00711A16" w:rsidRDefault="00711A16">
                    <w:pPr>
                      <w:ind w:left="640"/>
                      <w:rPr>
                        <w:rFonts w:ascii="MS Gothic"/>
                      </w:rPr>
                    </w:pPr>
                    <w:r>
                      <w:rPr>
                        <w:rFonts w:ascii="MS Gothic"/>
                        <w:color w:val="333333"/>
                      </w:rPr>
                      <w:t>@Autowired</w:t>
                    </w:r>
                  </w:p>
                  <w:p w14:paraId="313BD8F1" w14:textId="77777777" w:rsidR="00711A16" w:rsidRDefault="00711A16">
                    <w:pPr>
                      <w:spacing w:before="13"/>
                      <w:ind w:left="640"/>
                      <w:rPr>
                        <w:rFonts w:ascii="MS Gothic"/>
                      </w:rPr>
                    </w:pPr>
                    <w:r>
                      <w:rPr>
                        <w:rFonts w:ascii="MS Gothic"/>
                        <w:color w:val="333333"/>
                      </w:rPr>
                      <w:t>private WebTestClient webClient;</w:t>
                    </w:r>
                  </w:p>
                  <w:p w14:paraId="5FFE686B" w14:textId="77777777" w:rsidR="00711A16" w:rsidRDefault="00711A16">
                    <w:pPr>
                      <w:rPr>
                        <w:rFonts w:ascii="MS Gothic"/>
                        <w:sz w:val="24"/>
                      </w:rPr>
                    </w:pPr>
                  </w:p>
                  <w:p w14:paraId="3DF8CD07" w14:textId="77777777" w:rsidR="00711A16" w:rsidRDefault="00711A16">
                    <w:pPr>
                      <w:ind w:left="640"/>
                      <w:rPr>
                        <w:rFonts w:ascii="MS Gothic"/>
                      </w:rPr>
                    </w:pPr>
                    <w:r>
                      <w:rPr>
                        <w:rFonts w:ascii="MS Gothic"/>
                        <w:color w:val="333333"/>
                      </w:rPr>
                      <w:t>@MockBean</w:t>
                    </w:r>
                  </w:p>
                  <w:p w14:paraId="0CDE5E90" w14:textId="77777777" w:rsidR="00711A16" w:rsidRDefault="00711A16">
                    <w:pPr>
                      <w:spacing w:before="13"/>
                      <w:ind w:left="640"/>
                      <w:rPr>
                        <w:rFonts w:ascii="MS Gothic"/>
                      </w:rPr>
                    </w:pPr>
                    <w:r>
                      <w:rPr>
                        <w:rFonts w:ascii="MS Gothic"/>
                        <w:color w:val="333333"/>
                      </w:rPr>
                      <w:t>private UserVehicleService userVehicleService;</w:t>
                    </w:r>
                  </w:p>
                  <w:p w14:paraId="49DE65B2" w14:textId="77777777" w:rsidR="00711A16" w:rsidRDefault="00711A16">
                    <w:pPr>
                      <w:rPr>
                        <w:rFonts w:ascii="MS Gothic"/>
                        <w:sz w:val="24"/>
                      </w:rPr>
                    </w:pPr>
                  </w:p>
                  <w:p w14:paraId="73F03E05" w14:textId="77777777" w:rsidR="00711A16" w:rsidRDefault="00711A16">
                    <w:pPr>
                      <w:ind w:left="640"/>
                      <w:rPr>
                        <w:rFonts w:ascii="MS Gothic"/>
                      </w:rPr>
                    </w:pPr>
                    <w:r>
                      <w:rPr>
                        <w:rFonts w:ascii="MS Gothic"/>
                        <w:color w:val="333333"/>
                      </w:rPr>
                      <w:t>@Test</w:t>
                    </w:r>
                  </w:p>
                  <w:p w14:paraId="62883648" w14:textId="77777777" w:rsidR="00711A16" w:rsidRDefault="00711A16">
                    <w:pPr>
                      <w:spacing w:before="13" w:line="252" w:lineRule="auto"/>
                      <w:ind w:left="1080" w:right="2568" w:hanging="440"/>
                      <w:rPr>
                        <w:rFonts w:ascii="MS Gothic"/>
                      </w:rPr>
                    </w:pPr>
                    <w:r>
                      <w:rPr>
                        <w:rFonts w:ascii="MS Gothic"/>
                        <w:color w:val="333333"/>
                      </w:rPr>
                      <w:t xml:space="preserve">void </w:t>
                    </w:r>
                    <w:proofErr w:type="gramStart"/>
                    <w:r>
                      <w:rPr>
                        <w:rFonts w:ascii="MS Gothic"/>
                        <w:color w:val="333333"/>
                      </w:rPr>
                      <w:t>testExample(</w:t>
                    </w:r>
                    <w:proofErr w:type="gramEnd"/>
                    <w:r>
                      <w:rPr>
                        <w:rFonts w:ascii="MS Gothic"/>
                        <w:color w:val="333333"/>
                      </w:rPr>
                      <w:t>) throws Exception { given(this.userVehicleService.getVehicleDetails("sboot"))</w:t>
                    </w:r>
                  </w:p>
                  <w:p w14:paraId="1E975AB9" w14:textId="77777777" w:rsidR="00711A16" w:rsidRDefault="00711A16">
                    <w:pPr>
                      <w:spacing w:line="252" w:lineRule="auto"/>
                      <w:ind w:left="1080" w:right="1028" w:firstLine="880"/>
                      <w:rPr>
                        <w:rFonts w:ascii="MS Gothic"/>
                      </w:rPr>
                    </w:pPr>
                    <w:proofErr w:type="gramStart"/>
                    <w:r>
                      <w:rPr>
                        <w:rFonts w:ascii="MS Gothic"/>
                        <w:color w:val="333333"/>
                      </w:rPr>
                      <w:t>.willReturn</w:t>
                    </w:r>
                    <w:proofErr w:type="gramEnd"/>
                    <w:r>
                      <w:rPr>
                        <w:rFonts w:ascii="MS Gothic"/>
                        <w:color w:val="333333"/>
                      </w:rPr>
                      <w:t>(new VehicleDetails("Honda", "Civic")); this.webClient.get().uri("/sboot/vehicle").accept(MediaType.TEXT_PLAIN)</w:t>
                    </w:r>
                  </w:p>
                  <w:p w14:paraId="2F803AA2" w14:textId="77777777" w:rsidR="00711A16" w:rsidRDefault="00711A16">
                    <w:pPr>
                      <w:spacing w:line="280" w:lineRule="exact"/>
                      <w:ind w:left="1960"/>
                      <w:rPr>
                        <w:rFonts w:ascii="MS Gothic"/>
                      </w:rPr>
                    </w:pPr>
                    <w:proofErr w:type="gramStart"/>
                    <w:r>
                      <w:rPr>
                        <w:rFonts w:ascii="MS Gothic"/>
                        <w:color w:val="333333"/>
                      </w:rPr>
                      <w:t>.exchange</w:t>
                    </w:r>
                    <w:proofErr w:type="gramEnd"/>
                    <w:r>
                      <w:rPr>
                        <w:rFonts w:ascii="MS Gothic"/>
                        <w:color w:val="333333"/>
                      </w:rPr>
                      <w:t>()</w:t>
                    </w:r>
                  </w:p>
                  <w:p w14:paraId="65562101" w14:textId="77777777" w:rsidR="00711A16" w:rsidRDefault="00711A16">
                    <w:pPr>
                      <w:spacing w:before="11"/>
                      <w:ind w:left="1960"/>
                      <w:rPr>
                        <w:rFonts w:ascii="MS Gothic"/>
                      </w:rPr>
                    </w:pPr>
                    <w:proofErr w:type="gramStart"/>
                    <w:r>
                      <w:rPr>
                        <w:rFonts w:ascii="MS Gothic"/>
                        <w:color w:val="333333"/>
                      </w:rPr>
                      <w:t>.expectStatus</w:t>
                    </w:r>
                    <w:proofErr w:type="gramEnd"/>
                    <w:r>
                      <w:rPr>
                        <w:rFonts w:ascii="MS Gothic"/>
                        <w:color w:val="333333"/>
                      </w:rPr>
                      <w:t>().isOk()</w:t>
                    </w:r>
                  </w:p>
                  <w:p w14:paraId="343D207F" w14:textId="77777777" w:rsidR="00711A16" w:rsidRDefault="00711A16">
                    <w:pPr>
                      <w:spacing w:before="12"/>
                      <w:ind w:left="1960"/>
                      <w:rPr>
                        <w:rFonts w:ascii="MS Gothic"/>
                      </w:rPr>
                    </w:pPr>
                    <w:proofErr w:type="gramStart"/>
                    <w:r>
                      <w:rPr>
                        <w:rFonts w:ascii="MS Gothic"/>
                        <w:color w:val="333333"/>
                      </w:rPr>
                      <w:t>.expectBody</w:t>
                    </w:r>
                    <w:proofErr w:type="gramEnd"/>
                    <w:r>
                      <w:rPr>
                        <w:rFonts w:ascii="MS Gothic"/>
                        <w:color w:val="333333"/>
                      </w:rPr>
                      <w:t>(String.class).isEqualTo("Honda Civic");</w:t>
                    </w:r>
                  </w:p>
                  <w:p w14:paraId="281468A7" w14:textId="77777777" w:rsidR="00711A16" w:rsidRDefault="00711A16">
                    <w:pPr>
                      <w:spacing w:before="13"/>
                      <w:ind w:left="640"/>
                      <w:rPr>
                        <w:rFonts w:ascii="MS Gothic"/>
                      </w:rPr>
                    </w:pPr>
                    <w:r>
                      <w:rPr>
                        <w:rFonts w:ascii="MS Gothic"/>
                        <w:color w:val="333333"/>
                      </w:rPr>
                      <w:t>}</w:t>
                    </w:r>
                  </w:p>
                  <w:p w14:paraId="31FF9135" w14:textId="77777777" w:rsidR="00711A16" w:rsidRDefault="00711A16">
                    <w:pPr>
                      <w:rPr>
                        <w:rFonts w:ascii="MS Gothic"/>
                        <w:sz w:val="24"/>
                      </w:rPr>
                    </w:pPr>
                  </w:p>
                  <w:p w14:paraId="34725D1F"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4945787F" w14:textId="77777777" w:rsidR="00A720EB" w:rsidRDefault="00A720EB">
      <w:pPr>
        <w:rPr>
          <w:sz w:val="20"/>
        </w:rPr>
        <w:sectPr w:rsidR="00A720EB">
          <w:pgSz w:w="11910" w:h="16840"/>
          <w:pgMar w:top="620" w:right="840" w:bottom="520" w:left="840" w:header="0" w:footer="323" w:gutter="0"/>
          <w:cols w:space="720"/>
        </w:sectPr>
      </w:pPr>
    </w:p>
    <w:p w14:paraId="092C7D47" w14:textId="77777777" w:rsidR="00A720EB" w:rsidRDefault="00E10349">
      <w:pPr>
        <w:pStyle w:val="a3"/>
        <w:spacing w:before="111" w:line="290" w:lineRule="auto"/>
        <w:ind w:left="1564"/>
      </w:pPr>
      <w:r>
        <w:lastRenderedPageBreak/>
        <w:pict w14:anchorId="60A1FB57">
          <v:line id="_x0000_s3615" style="position:absolute;left:0;text-align:left;z-index:16122880;mso-position-horizontal-relative:page" from="108.25pt,.1pt" to="108.25pt,39.65pt" strokecolor="#ededed" strokeweight=".5pt">
            <w10:wrap anchorx="page"/>
          </v:line>
        </w:pict>
      </w:r>
      <w:r w:rsidR="0030286B">
        <w:rPr>
          <w:noProof/>
        </w:rPr>
        <w:drawing>
          <wp:anchor distT="0" distB="0" distL="0" distR="0" simplePos="0" relativeHeight="16123392" behindDoc="0" locked="0" layoutInCell="1" allowOverlap="1" wp14:anchorId="41342B2C" wp14:editId="09690669">
            <wp:simplePos x="0" y="0"/>
            <wp:positionH relativeFrom="page">
              <wp:posOffset>888949</wp:posOffset>
            </wp:positionH>
            <wp:positionV relativeFrom="paragraph">
              <wp:posOffset>99898</wp:posOffset>
            </wp:positionV>
            <wp:extent cx="209550" cy="304800"/>
            <wp:effectExtent l="0" t="0" r="0" b="0"/>
            <wp:wrapNone/>
            <wp:docPr id="50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This setup is only supported by WebFlux applications as using </w:t>
      </w:r>
      <w:r w:rsidR="0030286B">
        <w:rPr>
          <w:rFonts w:ascii="MS Gothic"/>
          <w:color w:val="B02045"/>
          <w:w w:val="110"/>
        </w:rPr>
        <w:t xml:space="preserve">WebTestClient </w:t>
      </w:r>
      <w:r w:rsidR="0030286B">
        <w:rPr>
          <w:color w:val="333333"/>
          <w:w w:val="110"/>
        </w:rPr>
        <w:t>in a mocked web application only works with WebFlux at the moment.</w:t>
      </w:r>
    </w:p>
    <w:p w14:paraId="0ACEB7CE" w14:textId="77777777" w:rsidR="00A720EB" w:rsidRDefault="00A720EB">
      <w:pPr>
        <w:pStyle w:val="a3"/>
        <w:spacing w:before="11"/>
        <w:rPr>
          <w:sz w:val="24"/>
        </w:rPr>
      </w:pPr>
    </w:p>
    <w:p w14:paraId="376E175A" w14:textId="77777777" w:rsidR="00A720EB" w:rsidRDefault="00E10349">
      <w:pPr>
        <w:pStyle w:val="a3"/>
        <w:spacing w:before="116" w:line="280" w:lineRule="auto"/>
        <w:ind w:left="1564" w:right="365"/>
        <w:jc w:val="both"/>
      </w:pPr>
      <w:r>
        <w:pict w14:anchorId="1D27B24E">
          <v:line id="_x0000_s3614" style="position:absolute;left:0;text-align:left;z-index:16123904;mso-position-horizontal-relative:page" from="108.25pt,.35pt" to="108.25pt,55.7pt" strokecolor="#ededed" strokeweight=".5pt">
            <w10:wrap anchorx="page"/>
          </v:line>
        </w:pict>
      </w:r>
      <w:r w:rsidR="0030286B">
        <w:rPr>
          <w:noProof/>
        </w:rPr>
        <w:drawing>
          <wp:anchor distT="0" distB="0" distL="0" distR="0" simplePos="0" relativeHeight="16124416" behindDoc="0" locked="0" layoutInCell="1" allowOverlap="1" wp14:anchorId="16F00ABE" wp14:editId="11D8DB8A">
            <wp:simplePos x="0" y="0"/>
            <wp:positionH relativeFrom="page">
              <wp:posOffset>844422</wp:posOffset>
            </wp:positionH>
            <wp:positionV relativeFrom="paragraph">
              <wp:posOffset>206451</wp:posOffset>
            </wp:positionV>
            <wp:extent cx="298450" cy="298450"/>
            <wp:effectExtent l="0" t="0" r="0" b="0"/>
            <wp:wrapNone/>
            <wp:docPr id="5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w w:val="110"/>
        </w:rPr>
        <w:t xml:space="preserve">@WebFluxTest </w:t>
      </w:r>
      <w:r w:rsidR="0030286B">
        <w:rPr>
          <w:color w:val="333333"/>
          <w:w w:val="110"/>
        </w:rPr>
        <w:t xml:space="preserve">cannot detect routes registered via the functional web framework. </w:t>
      </w:r>
      <w:r w:rsidR="0030286B">
        <w:rPr>
          <w:color w:val="333333"/>
          <w:spacing w:val="-4"/>
          <w:w w:val="110"/>
        </w:rPr>
        <w:t xml:space="preserve">For </w:t>
      </w:r>
      <w:r w:rsidR="0030286B">
        <w:rPr>
          <w:color w:val="333333"/>
          <w:w w:val="110"/>
        </w:rPr>
        <w:t xml:space="preserve">testing </w:t>
      </w:r>
      <w:r w:rsidR="0030286B">
        <w:rPr>
          <w:rFonts w:ascii="MS Gothic"/>
          <w:color w:val="B02045"/>
          <w:w w:val="110"/>
        </w:rPr>
        <w:t xml:space="preserve">RouterFunction </w:t>
      </w:r>
      <w:r w:rsidR="0030286B">
        <w:rPr>
          <w:color w:val="333333"/>
          <w:w w:val="110"/>
        </w:rPr>
        <w:t xml:space="preserve">beans in the context, consider importing your </w:t>
      </w:r>
      <w:r w:rsidR="0030286B">
        <w:rPr>
          <w:rFonts w:ascii="MS Gothic"/>
          <w:color w:val="B02045"/>
          <w:w w:val="110"/>
        </w:rPr>
        <w:t>RouterFunction</w:t>
      </w:r>
      <w:r w:rsidR="0030286B">
        <w:rPr>
          <w:rFonts w:ascii="MS Gothic"/>
          <w:color w:val="B02045"/>
          <w:spacing w:val="-69"/>
          <w:w w:val="110"/>
        </w:rPr>
        <w:t xml:space="preserve"> </w:t>
      </w:r>
      <w:r w:rsidR="0030286B">
        <w:rPr>
          <w:color w:val="333333"/>
          <w:w w:val="110"/>
        </w:rPr>
        <w:t xml:space="preserve">yourself via </w:t>
      </w:r>
      <w:r w:rsidR="0030286B">
        <w:rPr>
          <w:rFonts w:ascii="MS Gothic"/>
          <w:color w:val="B02045"/>
          <w:w w:val="110"/>
        </w:rPr>
        <w:t>@Import</w:t>
      </w:r>
      <w:r w:rsidR="0030286B">
        <w:rPr>
          <w:rFonts w:ascii="MS Gothic"/>
          <w:color w:val="B02045"/>
          <w:spacing w:val="-69"/>
          <w:w w:val="110"/>
        </w:rPr>
        <w:t xml:space="preserve"> </w:t>
      </w:r>
      <w:r w:rsidR="0030286B">
        <w:rPr>
          <w:color w:val="333333"/>
          <w:w w:val="110"/>
        </w:rPr>
        <w:t xml:space="preserve">or using </w:t>
      </w:r>
      <w:r w:rsidR="0030286B">
        <w:rPr>
          <w:rFonts w:ascii="MS Gothic"/>
          <w:color w:val="B02045"/>
          <w:w w:val="110"/>
        </w:rPr>
        <w:t>@SpringBootTest</w:t>
      </w:r>
      <w:r w:rsidR="0030286B">
        <w:rPr>
          <w:color w:val="333333"/>
          <w:w w:val="110"/>
        </w:rPr>
        <w:t>.</w:t>
      </w:r>
    </w:p>
    <w:p w14:paraId="1582B668" w14:textId="77777777" w:rsidR="00A720EB" w:rsidRDefault="00A720EB">
      <w:pPr>
        <w:pStyle w:val="a3"/>
        <w:spacing w:before="5"/>
        <w:rPr>
          <w:sz w:val="24"/>
        </w:rPr>
      </w:pPr>
    </w:p>
    <w:p w14:paraId="529C7E09" w14:textId="77777777" w:rsidR="00A720EB" w:rsidRDefault="00E10349">
      <w:pPr>
        <w:pStyle w:val="a3"/>
        <w:spacing w:before="116" w:line="280" w:lineRule="auto"/>
        <w:ind w:left="1564" w:right="362"/>
        <w:jc w:val="both"/>
      </w:pPr>
      <w:r>
        <w:pict w14:anchorId="476AFFAB">
          <v:line id="_x0000_s3613" style="position:absolute;left:0;text-align:left;z-index:16124928;mso-position-horizontal-relative:page" from="108.25pt,.35pt" to="108.25pt,55.7pt" strokecolor="#ededed" strokeweight=".5pt">
            <w10:wrap anchorx="page"/>
          </v:line>
        </w:pict>
      </w:r>
      <w:r w:rsidR="0030286B">
        <w:rPr>
          <w:noProof/>
        </w:rPr>
        <w:drawing>
          <wp:anchor distT="0" distB="0" distL="0" distR="0" simplePos="0" relativeHeight="16125440" behindDoc="0" locked="0" layoutInCell="1" allowOverlap="1" wp14:anchorId="6EDF2859" wp14:editId="021BC763">
            <wp:simplePos x="0" y="0"/>
            <wp:positionH relativeFrom="page">
              <wp:posOffset>844422</wp:posOffset>
            </wp:positionH>
            <wp:positionV relativeFrom="paragraph">
              <wp:posOffset>206451</wp:posOffset>
            </wp:positionV>
            <wp:extent cx="298450" cy="298450"/>
            <wp:effectExtent l="0" t="0" r="0" b="0"/>
            <wp:wrapNone/>
            <wp:docPr id="5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w w:val="110"/>
        </w:rPr>
        <w:t xml:space="preserve">@WebFluxTest </w:t>
      </w:r>
      <w:r w:rsidR="0030286B">
        <w:rPr>
          <w:color w:val="333333"/>
          <w:w w:val="110"/>
        </w:rPr>
        <w:t xml:space="preserve">cannot detect custom security configuration registered via a </w:t>
      </w:r>
      <w:r w:rsidR="0030286B">
        <w:rPr>
          <w:rFonts w:ascii="MS Gothic"/>
          <w:color w:val="B02045"/>
          <w:w w:val="110"/>
        </w:rPr>
        <w:t>@Bean</w:t>
      </w:r>
      <w:r w:rsidR="0030286B">
        <w:rPr>
          <w:rFonts w:ascii="MS Gothic"/>
          <w:color w:val="B02045"/>
          <w:spacing w:val="-84"/>
          <w:w w:val="110"/>
        </w:rPr>
        <w:t xml:space="preserve"> </w:t>
      </w:r>
      <w:r w:rsidR="0030286B">
        <w:rPr>
          <w:color w:val="333333"/>
          <w:w w:val="110"/>
        </w:rPr>
        <w:t xml:space="preserve">of type </w:t>
      </w:r>
      <w:r w:rsidR="0030286B">
        <w:rPr>
          <w:rFonts w:ascii="MS Gothic"/>
          <w:color w:val="B02045"/>
          <w:w w:val="110"/>
        </w:rPr>
        <w:t>SecurityWebFilterChain</w:t>
      </w:r>
      <w:r w:rsidR="0030286B">
        <w:rPr>
          <w:color w:val="333333"/>
          <w:w w:val="110"/>
        </w:rPr>
        <w:t xml:space="preserve">. </w:t>
      </w:r>
      <w:r w:rsidR="0030286B">
        <w:rPr>
          <w:color w:val="333333"/>
          <w:spacing w:val="-4"/>
          <w:w w:val="110"/>
        </w:rPr>
        <w:t xml:space="preserve">To </w:t>
      </w:r>
      <w:r w:rsidR="0030286B">
        <w:rPr>
          <w:color w:val="333333"/>
          <w:w w:val="110"/>
        </w:rPr>
        <w:t xml:space="preserve">include that in your test, you will need to import the configuration that registers the bean via </w:t>
      </w:r>
      <w:r w:rsidR="0030286B">
        <w:rPr>
          <w:rFonts w:ascii="MS Gothic"/>
          <w:color w:val="B02045"/>
          <w:w w:val="110"/>
        </w:rPr>
        <w:t>@Import</w:t>
      </w:r>
      <w:r w:rsidR="0030286B">
        <w:rPr>
          <w:rFonts w:ascii="MS Gothic"/>
          <w:color w:val="B02045"/>
          <w:spacing w:val="-69"/>
          <w:w w:val="110"/>
        </w:rPr>
        <w:t xml:space="preserve"> </w:t>
      </w:r>
      <w:r w:rsidR="0030286B">
        <w:rPr>
          <w:color w:val="333333"/>
          <w:w w:val="110"/>
        </w:rPr>
        <w:t xml:space="preserve">or use </w:t>
      </w:r>
      <w:r w:rsidR="0030286B">
        <w:rPr>
          <w:rFonts w:ascii="MS Gothic"/>
          <w:color w:val="B02045"/>
          <w:w w:val="110"/>
        </w:rPr>
        <w:t>@SpringBootTest</w:t>
      </w:r>
      <w:r w:rsidR="0030286B">
        <w:rPr>
          <w:color w:val="333333"/>
          <w:w w:val="110"/>
        </w:rPr>
        <w:t>.</w:t>
      </w:r>
    </w:p>
    <w:p w14:paraId="589BF955" w14:textId="77777777" w:rsidR="00A720EB" w:rsidRDefault="00A720EB">
      <w:pPr>
        <w:pStyle w:val="a3"/>
        <w:spacing w:before="2"/>
        <w:rPr>
          <w:sz w:val="35"/>
        </w:rPr>
      </w:pPr>
    </w:p>
    <w:p w14:paraId="72B91874" w14:textId="77777777" w:rsidR="00A720EB" w:rsidRDefault="00E10349">
      <w:pPr>
        <w:pStyle w:val="a3"/>
        <w:spacing w:line="307" w:lineRule="auto"/>
        <w:ind w:left="1564" w:right="373"/>
        <w:jc w:val="both"/>
      </w:pPr>
      <w:r>
        <w:pict w14:anchorId="7EBCC78D">
          <v:line id="_x0000_s3612" style="position:absolute;left:0;text-align:left;z-index:16125952;mso-position-horizontal-relative:page" from="108.25pt,-6pt" to="108.25pt,33.55pt" strokecolor="#ededed" strokeweight=".5pt">
            <w10:wrap anchorx="page"/>
          </v:line>
        </w:pict>
      </w:r>
      <w:r w:rsidR="0030286B">
        <w:rPr>
          <w:noProof/>
        </w:rPr>
        <w:drawing>
          <wp:anchor distT="0" distB="0" distL="0" distR="0" simplePos="0" relativeHeight="16126464" behindDoc="0" locked="0" layoutInCell="1" allowOverlap="1" wp14:anchorId="2B405AF8" wp14:editId="5EEEB87B">
            <wp:simplePos x="0" y="0"/>
            <wp:positionH relativeFrom="page">
              <wp:posOffset>888949</wp:posOffset>
            </wp:positionH>
            <wp:positionV relativeFrom="paragraph">
              <wp:posOffset>22771</wp:posOffset>
            </wp:positionV>
            <wp:extent cx="209550" cy="304800"/>
            <wp:effectExtent l="0" t="0" r="0" b="0"/>
            <wp:wrapNone/>
            <wp:docPr id="50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Sometimes writing Spring </w:t>
      </w:r>
      <w:r w:rsidR="0030286B">
        <w:rPr>
          <w:color w:val="333333"/>
          <w:spacing w:val="-3"/>
          <w:w w:val="110"/>
        </w:rPr>
        <w:t xml:space="preserve">WebFlux </w:t>
      </w:r>
      <w:r w:rsidR="0030286B">
        <w:rPr>
          <w:color w:val="333333"/>
          <w:w w:val="110"/>
        </w:rPr>
        <w:t xml:space="preserve">tests is not enough; Spring Boot can help you run </w:t>
      </w:r>
      <w:hyperlink w:anchor="_bookmark312" w:history="1">
        <w:r w:rsidR="0030286B">
          <w:rPr>
            <w:color w:val="418BCA"/>
            <w:w w:val="110"/>
          </w:rPr>
          <w:t>full end-to-end tests with an actual</w:t>
        </w:r>
        <w:r w:rsidR="0030286B">
          <w:rPr>
            <w:color w:val="418BCA"/>
            <w:spacing w:val="22"/>
            <w:w w:val="110"/>
          </w:rPr>
          <w:t xml:space="preserve"> </w:t>
        </w:r>
        <w:r w:rsidR="0030286B">
          <w:rPr>
            <w:color w:val="418BCA"/>
            <w:w w:val="110"/>
          </w:rPr>
          <w:t>server</w:t>
        </w:r>
      </w:hyperlink>
      <w:r w:rsidR="0030286B">
        <w:rPr>
          <w:color w:val="333333"/>
          <w:w w:val="110"/>
        </w:rPr>
        <w:t>.</w:t>
      </w:r>
    </w:p>
    <w:p w14:paraId="41EC0D88" w14:textId="77777777" w:rsidR="00A720EB" w:rsidRDefault="00A720EB">
      <w:pPr>
        <w:pStyle w:val="a3"/>
        <w:spacing w:before="7"/>
        <w:rPr>
          <w:sz w:val="23"/>
        </w:rPr>
      </w:pPr>
    </w:p>
    <w:p w14:paraId="17CFE9C2" w14:textId="77777777" w:rsidR="00A720EB" w:rsidRDefault="0030286B">
      <w:pPr>
        <w:pStyle w:val="4"/>
        <w:spacing w:before="104"/>
      </w:pPr>
      <w:bookmarkStart w:id="473" w:name="Auto-configured_Data_JPA_Tests"/>
      <w:bookmarkEnd w:id="473"/>
      <w:r>
        <w:rPr>
          <w:color w:val="333333"/>
          <w:w w:val="110"/>
        </w:rPr>
        <w:t>Auto-configured Data JPA Tests</w:t>
      </w:r>
    </w:p>
    <w:p w14:paraId="1E4778AB" w14:textId="77777777" w:rsidR="00A720EB" w:rsidRDefault="0030286B">
      <w:pPr>
        <w:pStyle w:val="a3"/>
        <w:spacing w:before="244" w:line="288" w:lineRule="auto"/>
        <w:ind w:left="124" w:right="122"/>
        <w:jc w:val="both"/>
      </w:pPr>
      <w:r>
        <w:rPr>
          <w:color w:val="333333"/>
          <w:spacing w:val="-6"/>
          <w:w w:val="110"/>
        </w:rPr>
        <w:t xml:space="preserve">You </w:t>
      </w:r>
      <w:r>
        <w:rPr>
          <w:color w:val="333333"/>
          <w:w w:val="110"/>
        </w:rPr>
        <w:t xml:space="preserve">can use the </w:t>
      </w:r>
      <w:r>
        <w:rPr>
          <w:rFonts w:ascii="MS Gothic"/>
          <w:color w:val="B02045"/>
          <w:w w:val="110"/>
        </w:rPr>
        <w:t xml:space="preserve">@DataJpaTest </w:t>
      </w:r>
      <w:r>
        <w:rPr>
          <w:color w:val="333333"/>
          <w:w w:val="110"/>
        </w:rPr>
        <w:t xml:space="preserve">annotation to test </w:t>
      </w:r>
      <w:r>
        <w:rPr>
          <w:color w:val="333333"/>
          <w:spacing w:val="-4"/>
          <w:w w:val="110"/>
        </w:rPr>
        <w:t xml:space="preserve">JPA </w:t>
      </w:r>
      <w:r>
        <w:rPr>
          <w:color w:val="333333"/>
          <w:w w:val="110"/>
        </w:rPr>
        <w:t xml:space="preserve">applications. </w:t>
      </w:r>
      <w:r>
        <w:rPr>
          <w:color w:val="333333"/>
          <w:spacing w:val="-3"/>
          <w:w w:val="110"/>
        </w:rPr>
        <w:t xml:space="preserve">By </w:t>
      </w:r>
      <w:r>
        <w:rPr>
          <w:color w:val="333333"/>
          <w:w w:val="110"/>
        </w:rPr>
        <w:t xml:space="preserve">default, it scans for </w:t>
      </w:r>
      <w:r>
        <w:rPr>
          <w:rFonts w:ascii="MS Gothic"/>
          <w:color w:val="B02045"/>
          <w:w w:val="110"/>
        </w:rPr>
        <w:t xml:space="preserve">@Entity </w:t>
      </w:r>
      <w:r>
        <w:rPr>
          <w:color w:val="333333"/>
          <w:w w:val="110"/>
        </w:rPr>
        <w:t xml:space="preserve">classes and configures Spring Data </w:t>
      </w:r>
      <w:r>
        <w:rPr>
          <w:color w:val="333333"/>
          <w:spacing w:val="-4"/>
          <w:w w:val="110"/>
        </w:rPr>
        <w:t xml:space="preserve">JPA </w:t>
      </w:r>
      <w:r>
        <w:rPr>
          <w:color w:val="333333"/>
          <w:w w:val="110"/>
        </w:rPr>
        <w:t>repositories. If an embedded database is available on the classpath,</w:t>
      </w:r>
      <w:r>
        <w:rPr>
          <w:color w:val="333333"/>
          <w:spacing w:val="-13"/>
          <w:w w:val="110"/>
        </w:rPr>
        <w:t xml:space="preserve"> </w:t>
      </w:r>
      <w:r>
        <w:rPr>
          <w:color w:val="333333"/>
          <w:w w:val="110"/>
        </w:rPr>
        <w:t>it</w:t>
      </w:r>
      <w:r>
        <w:rPr>
          <w:color w:val="333333"/>
          <w:spacing w:val="-12"/>
          <w:w w:val="110"/>
        </w:rPr>
        <w:t xml:space="preserve"> </w:t>
      </w:r>
      <w:r>
        <w:rPr>
          <w:color w:val="333333"/>
          <w:w w:val="110"/>
        </w:rPr>
        <w:t>configures</w:t>
      </w:r>
      <w:r>
        <w:rPr>
          <w:color w:val="333333"/>
          <w:spacing w:val="-12"/>
          <w:w w:val="110"/>
        </w:rPr>
        <w:t xml:space="preserve"> </w:t>
      </w:r>
      <w:r>
        <w:rPr>
          <w:color w:val="333333"/>
          <w:w w:val="110"/>
        </w:rPr>
        <w:t>one</w:t>
      </w:r>
      <w:r>
        <w:rPr>
          <w:color w:val="333333"/>
          <w:spacing w:val="-13"/>
          <w:w w:val="110"/>
        </w:rPr>
        <w:t xml:space="preserve"> </w:t>
      </w:r>
      <w:r>
        <w:rPr>
          <w:color w:val="333333"/>
          <w:w w:val="110"/>
        </w:rPr>
        <w:t>as</w:t>
      </w:r>
      <w:r>
        <w:rPr>
          <w:color w:val="333333"/>
          <w:spacing w:val="-12"/>
          <w:w w:val="110"/>
        </w:rPr>
        <w:t xml:space="preserve"> </w:t>
      </w:r>
      <w:r>
        <w:rPr>
          <w:color w:val="333333"/>
          <w:w w:val="110"/>
        </w:rPr>
        <w:t>well.</w:t>
      </w:r>
      <w:r>
        <w:rPr>
          <w:color w:val="333333"/>
          <w:spacing w:val="-12"/>
          <w:w w:val="110"/>
        </w:rPr>
        <w:t xml:space="preserve"> </w:t>
      </w:r>
      <w:r>
        <w:rPr>
          <w:color w:val="333333"/>
          <w:w w:val="110"/>
        </w:rPr>
        <w:t>Regular</w:t>
      </w:r>
      <w:r>
        <w:rPr>
          <w:color w:val="333333"/>
          <w:spacing w:val="-10"/>
          <w:w w:val="110"/>
        </w:rPr>
        <w:t xml:space="preserve"> </w:t>
      </w:r>
      <w:r>
        <w:rPr>
          <w:rFonts w:ascii="MS Gothic"/>
          <w:color w:val="B02045"/>
          <w:w w:val="110"/>
        </w:rPr>
        <w:t>@Component</w:t>
      </w:r>
      <w:r>
        <w:rPr>
          <w:rFonts w:ascii="MS Gothic"/>
          <w:color w:val="B02045"/>
          <w:spacing w:val="-76"/>
          <w:w w:val="110"/>
        </w:rPr>
        <w:t xml:space="preserve"> </w:t>
      </w:r>
      <w:r>
        <w:rPr>
          <w:color w:val="333333"/>
          <w:w w:val="110"/>
        </w:rPr>
        <w:t>and</w:t>
      </w:r>
      <w:r>
        <w:rPr>
          <w:color w:val="333333"/>
          <w:spacing w:val="-12"/>
          <w:w w:val="110"/>
        </w:rPr>
        <w:t xml:space="preserve"> </w:t>
      </w:r>
      <w:r>
        <w:rPr>
          <w:rFonts w:ascii="MS Gothic"/>
          <w:color w:val="B02045"/>
          <w:w w:val="110"/>
        </w:rPr>
        <w:t>@ConfigurationProperties</w:t>
      </w:r>
      <w:r>
        <w:rPr>
          <w:rFonts w:ascii="MS Gothic"/>
          <w:color w:val="B02045"/>
          <w:spacing w:val="-76"/>
          <w:w w:val="110"/>
        </w:rPr>
        <w:t xml:space="preserve"> </w:t>
      </w:r>
      <w:r>
        <w:rPr>
          <w:color w:val="333333"/>
          <w:w w:val="110"/>
        </w:rPr>
        <w:t>beans</w:t>
      </w:r>
      <w:r>
        <w:rPr>
          <w:color w:val="333333"/>
          <w:spacing w:val="-13"/>
          <w:w w:val="110"/>
        </w:rPr>
        <w:t xml:space="preserve"> </w:t>
      </w:r>
      <w:r>
        <w:rPr>
          <w:color w:val="333333"/>
          <w:w w:val="110"/>
        </w:rPr>
        <w:t>are</w:t>
      </w:r>
      <w:r>
        <w:rPr>
          <w:color w:val="333333"/>
          <w:spacing w:val="-12"/>
          <w:w w:val="110"/>
        </w:rPr>
        <w:t xml:space="preserve"> </w:t>
      </w:r>
      <w:r>
        <w:rPr>
          <w:color w:val="333333"/>
          <w:w w:val="110"/>
        </w:rPr>
        <w:t>not scanned</w:t>
      </w:r>
      <w:r>
        <w:rPr>
          <w:color w:val="333333"/>
          <w:spacing w:val="-13"/>
          <w:w w:val="110"/>
        </w:rPr>
        <w:t xml:space="preserve"> </w:t>
      </w:r>
      <w:r>
        <w:rPr>
          <w:color w:val="333333"/>
          <w:w w:val="110"/>
        </w:rPr>
        <w:t>when</w:t>
      </w:r>
      <w:r>
        <w:rPr>
          <w:color w:val="333333"/>
          <w:spacing w:val="-12"/>
          <w:w w:val="110"/>
        </w:rPr>
        <w:t xml:space="preserve"> </w:t>
      </w:r>
      <w:r>
        <w:rPr>
          <w:color w:val="333333"/>
          <w:w w:val="110"/>
        </w:rPr>
        <w:t>the</w:t>
      </w:r>
      <w:r>
        <w:rPr>
          <w:color w:val="333333"/>
          <w:spacing w:val="-12"/>
          <w:w w:val="110"/>
        </w:rPr>
        <w:t xml:space="preserve"> </w:t>
      </w:r>
      <w:r>
        <w:rPr>
          <w:rFonts w:ascii="MS Gothic"/>
          <w:color w:val="B02045"/>
          <w:w w:val="110"/>
        </w:rPr>
        <w:t>@DataJpaTest</w:t>
      </w:r>
      <w:r>
        <w:rPr>
          <w:rFonts w:ascii="MS Gothic"/>
          <w:color w:val="B02045"/>
          <w:spacing w:val="-77"/>
          <w:w w:val="110"/>
        </w:rPr>
        <w:t xml:space="preserve"> </w:t>
      </w:r>
      <w:r>
        <w:rPr>
          <w:color w:val="333333"/>
          <w:w w:val="110"/>
        </w:rPr>
        <w:t>annotation</w:t>
      </w:r>
      <w:r>
        <w:rPr>
          <w:color w:val="333333"/>
          <w:spacing w:val="-13"/>
          <w:w w:val="110"/>
        </w:rPr>
        <w:t xml:space="preserve"> </w:t>
      </w:r>
      <w:r>
        <w:rPr>
          <w:color w:val="333333"/>
          <w:w w:val="110"/>
        </w:rPr>
        <w:t>is</w:t>
      </w:r>
      <w:r>
        <w:rPr>
          <w:color w:val="333333"/>
          <w:spacing w:val="-12"/>
          <w:w w:val="110"/>
        </w:rPr>
        <w:t xml:space="preserve"> </w:t>
      </w:r>
      <w:r>
        <w:rPr>
          <w:color w:val="333333"/>
          <w:w w:val="110"/>
        </w:rPr>
        <w:t>used.</w:t>
      </w:r>
      <w:r>
        <w:rPr>
          <w:color w:val="333333"/>
          <w:spacing w:val="-10"/>
          <w:w w:val="110"/>
        </w:rPr>
        <w:t xml:space="preserve"> </w:t>
      </w:r>
      <w:r>
        <w:rPr>
          <w:rFonts w:ascii="MS Gothic"/>
          <w:color w:val="B02045"/>
          <w:w w:val="110"/>
        </w:rPr>
        <w:t>@EnableConfigurationProperties</w:t>
      </w:r>
      <w:r>
        <w:rPr>
          <w:rFonts w:ascii="MS Gothic"/>
          <w:color w:val="B02045"/>
          <w:spacing w:val="-77"/>
          <w:w w:val="110"/>
        </w:rPr>
        <w:t xml:space="preserve"> </w:t>
      </w:r>
      <w:r>
        <w:rPr>
          <w:color w:val="333333"/>
          <w:w w:val="110"/>
        </w:rPr>
        <w:t>can</w:t>
      </w:r>
      <w:r>
        <w:rPr>
          <w:color w:val="333333"/>
          <w:spacing w:val="-12"/>
          <w:w w:val="110"/>
        </w:rPr>
        <w:t xml:space="preserve"> </w:t>
      </w:r>
      <w:r>
        <w:rPr>
          <w:color w:val="333333"/>
          <w:w w:val="110"/>
        </w:rPr>
        <w:t>be</w:t>
      </w:r>
      <w:r>
        <w:rPr>
          <w:color w:val="333333"/>
          <w:spacing w:val="-12"/>
          <w:w w:val="110"/>
        </w:rPr>
        <w:t xml:space="preserve"> </w:t>
      </w:r>
      <w:r>
        <w:rPr>
          <w:color w:val="333333"/>
          <w:w w:val="110"/>
        </w:rPr>
        <w:t>used</w:t>
      </w:r>
      <w:r>
        <w:rPr>
          <w:color w:val="333333"/>
          <w:spacing w:val="-13"/>
          <w:w w:val="110"/>
        </w:rPr>
        <w:t xml:space="preserve"> </w:t>
      </w:r>
      <w:r>
        <w:rPr>
          <w:color w:val="333333"/>
          <w:w w:val="110"/>
        </w:rPr>
        <w:t xml:space="preserve">to include </w:t>
      </w:r>
      <w:r>
        <w:rPr>
          <w:rFonts w:ascii="MS Gothic"/>
          <w:color w:val="B02045"/>
          <w:w w:val="110"/>
        </w:rPr>
        <w:t>@ConfigurationProperties</w:t>
      </w:r>
      <w:r>
        <w:rPr>
          <w:rFonts w:ascii="MS Gothic"/>
          <w:color w:val="B02045"/>
          <w:spacing w:val="-62"/>
          <w:w w:val="110"/>
        </w:rPr>
        <w:t xml:space="preserve"> </w:t>
      </w:r>
      <w:r>
        <w:rPr>
          <w:color w:val="333333"/>
          <w:w w:val="110"/>
        </w:rPr>
        <w:t>beans.</w:t>
      </w:r>
    </w:p>
    <w:p w14:paraId="36ECECA6" w14:textId="77777777" w:rsidR="00A720EB" w:rsidRDefault="00A720EB">
      <w:pPr>
        <w:pStyle w:val="a3"/>
        <w:spacing w:before="6"/>
        <w:rPr>
          <w:sz w:val="26"/>
        </w:rPr>
      </w:pPr>
    </w:p>
    <w:p w14:paraId="3A3F5C72" w14:textId="77777777" w:rsidR="00A720EB" w:rsidRDefault="00E10349">
      <w:pPr>
        <w:pStyle w:val="a3"/>
        <w:spacing w:line="290" w:lineRule="auto"/>
        <w:ind w:left="1564" w:right="462"/>
      </w:pPr>
      <w:r>
        <w:pict w14:anchorId="07281F1A">
          <v:line id="_x0000_s3611" style="position:absolute;left:0;text-align:left;z-index:16126976;mso-position-horizontal-relative:page" from="108.25pt,-5.45pt" to="108.25pt,34.1pt" strokecolor="#ededed" strokeweight=".5pt">
            <w10:wrap anchorx="page"/>
          </v:line>
        </w:pict>
      </w:r>
      <w:r w:rsidR="0030286B">
        <w:rPr>
          <w:noProof/>
        </w:rPr>
        <w:drawing>
          <wp:anchor distT="0" distB="0" distL="0" distR="0" simplePos="0" relativeHeight="16127488" behindDoc="0" locked="0" layoutInCell="1" allowOverlap="1" wp14:anchorId="293DE8CF" wp14:editId="47192829">
            <wp:simplePos x="0" y="0"/>
            <wp:positionH relativeFrom="page">
              <wp:posOffset>888949</wp:posOffset>
            </wp:positionH>
            <wp:positionV relativeFrom="paragraph">
              <wp:posOffset>29413</wp:posOffset>
            </wp:positionV>
            <wp:extent cx="209550" cy="304800"/>
            <wp:effectExtent l="0" t="0" r="0" b="0"/>
            <wp:wrapNone/>
            <wp:docPr id="50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 settings that are enabled by </w:t>
      </w:r>
      <w:r w:rsidR="0030286B">
        <w:rPr>
          <w:rFonts w:ascii="MS Gothic"/>
          <w:color w:val="B02045"/>
          <w:w w:val="110"/>
        </w:rPr>
        <w:t xml:space="preserve">@DataJpaTest </w:t>
      </w:r>
      <w:r w:rsidR="0030286B">
        <w:rPr>
          <w:color w:val="333333"/>
          <w:w w:val="110"/>
        </w:rPr>
        <w:t xml:space="preserve">can be </w:t>
      </w:r>
      <w:hyperlink w:anchor="_bookmark689" w:history="1">
        <w:r w:rsidR="0030286B">
          <w:rPr>
            <w:color w:val="418BCA"/>
            <w:w w:val="110"/>
          </w:rPr>
          <w:t>found in the appendix</w:t>
        </w:r>
      </w:hyperlink>
      <w:r w:rsidR="0030286B">
        <w:rPr>
          <w:color w:val="333333"/>
          <w:w w:val="110"/>
        </w:rPr>
        <w:t>.</w:t>
      </w:r>
    </w:p>
    <w:p w14:paraId="2BCA4779" w14:textId="77777777" w:rsidR="00A720EB" w:rsidRDefault="00A720EB">
      <w:pPr>
        <w:pStyle w:val="a3"/>
        <w:spacing w:before="10"/>
        <w:rPr>
          <w:sz w:val="28"/>
        </w:rPr>
      </w:pPr>
    </w:p>
    <w:p w14:paraId="0A24C06E" w14:textId="77777777" w:rsidR="00A720EB" w:rsidRDefault="0030286B">
      <w:pPr>
        <w:pStyle w:val="a3"/>
        <w:spacing w:line="307" w:lineRule="auto"/>
        <w:ind w:left="124" w:right="122"/>
        <w:jc w:val="both"/>
      </w:pPr>
      <w:r>
        <w:rPr>
          <w:color w:val="333333"/>
          <w:w w:val="110"/>
        </w:rPr>
        <w:t xml:space="preserve">By default, data JPA tests are transactional and roll back at the end of each test. See the </w:t>
      </w:r>
      <w:hyperlink r:id="rId336" w:anchor="testcontext-tx-enabling-transactions">
        <w:r>
          <w:rPr>
            <w:color w:val="418BCA"/>
            <w:w w:val="110"/>
          </w:rPr>
          <w:t>relevant</w:t>
        </w:r>
      </w:hyperlink>
      <w:r>
        <w:rPr>
          <w:color w:val="418BCA"/>
          <w:w w:val="110"/>
        </w:rPr>
        <w:t xml:space="preserve"> </w:t>
      </w:r>
      <w:hyperlink r:id="rId337" w:anchor="testcontext-tx-enabling-transactions">
        <w:r>
          <w:rPr>
            <w:color w:val="418BCA"/>
            <w:w w:val="110"/>
          </w:rPr>
          <w:t xml:space="preserve">section </w:t>
        </w:r>
      </w:hyperlink>
      <w:r>
        <w:rPr>
          <w:color w:val="333333"/>
          <w:w w:val="110"/>
        </w:rPr>
        <w:t>in the Spring Framework Reference Documentation for more details. If that is not what you want, you can disable transaction management for a test or for the whole class as follows:</w:t>
      </w:r>
    </w:p>
    <w:p w14:paraId="3EF6FCC6" w14:textId="77777777" w:rsidR="00A720EB" w:rsidRDefault="00E10349">
      <w:pPr>
        <w:pStyle w:val="a3"/>
        <w:spacing w:before="2"/>
        <w:rPr>
          <w:sz w:val="13"/>
        </w:rPr>
      </w:pPr>
      <w:r>
        <w:pict w14:anchorId="2B269A5E">
          <v:group id="_x0000_s3607" style="position:absolute;margin-left:47.85pt;margin-top:9.75pt;width:499.55pt;height:170.15pt;z-index:-15334912;mso-wrap-distance-left:0;mso-wrap-distance-right:0;mso-position-horizontal-relative:page" coordorigin="957,195" coordsize="9991,3403">
            <v:shape id="_x0000_s3610" style="position:absolute;left:964;top:202;width:9976;height:3388" coordorigin="965,202" coordsize="9976,3388" path="m10861,202r-9816,l1014,209r-26,17l971,251r-6,31l965,3510r6,32l988,3567r26,17l1045,3590r9816,l10892,3584r25,-17l10935,3542r6,-32l10941,282r-6,-31l10917,226r-25,-17l10861,202xe" fillcolor="#f5f5f5" stroked="f">
              <v:path arrowok="t"/>
            </v:shape>
            <v:shape id="_x0000_s3609" style="position:absolute;left:964;top:202;width:9976;height:3388" coordorigin="965,202" coordsize="9976,3388" path="m1045,202r9816,l10892,209r25,17l10935,251r6,31l10941,3510r-6,32l10917,3567r-25,17l10861,3590r-9816,l1014,3584r-26,-17l971,3542r-6,-32l965,282r6,-31l988,226r26,-17l1045,202xe" filled="f" strokecolor="#ccc">
              <v:path arrowok="t"/>
            </v:shape>
            <v:shape id="_x0000_s3608" type="#_x0000_t202" style="position:absolute;left:984;top:217;width:9938;height:3358" filled="f" stroked="f">
              <v:textbox inset="0,0,0,0">
                <w:txbxContent>
                  <w:p w14:paraId="0541A715"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42B38B13" w14:textId="77777777" w:rsidR="00711A16" w:rsidRDefault="00711A16">
                    <w:pPr>
                      <w:spacing w:before="13" w:line="252" w:lineRule="auto"/>
                      <w:ind w:left="200" w:right="1908"/>
                      <w:rPr>
                        <w:rFonts w:ascii="MS Gothic"/>
                      </w:rPr>
                    </w:pPr>
                    <w:r>
                      <w:rPr>
                        <w:rFonts w:ascii="MS Gothic"/>
                        <w:color w:val="333333"/>
                      </w:rPr>
                      <w:t xml:space="preserve">import </w:t>
                    </w:r>
                    <w:proofErr w:type="gramStart"/>
                    <w:r>
                      <w:rPr>
                        <w:rFonts w:ascii="MS Gothic"/>
                        <w:color w:val="333333"/>
                      </w:rPr>
                      <w:t>org.springframework.boot.test.autoconfigure.orm.jpa.DataJpaTest</w:t>
                    </w:r>
                    <w:proofErr w:type="gramEnd"/>
                    <w:r>
                      <w:rPr>
                        <w:rFonts w:ascii="MS Gothic"/>
                        <w:color w:val="333333"/>
                      </w:rPr>
                      <w:t>; import org.springframework.transaction.annotation.Propagation;</w:t>
                    </w:r>
                  </w:p>
                  <w:p w14:paraId="7CEB2573"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.transaction.annotation.Transactional;</w:t>
                    </w:r>
                  </w:p>
                  <w:p w14:paraId="6408ACE7" w14:textId="77777777" w:rsidR="00711A16" w:rsidRDefault="00711A16">
                    <w:pPr>
                      <w:rPr>
                        <w:rFonts w:ascii="MS Gothic"/>
                        <w:sz w:val="24"/>
                      </w:rPr>
                    </w:pPr>
                  </w:p>
                  <w:p w14:paraId="3BDE0B23" w14:textId="77777777" w:rsidR="00711A16" w:rsidRDefault="00711A16">
                    <w:pPr>
                      <w:ind w:left="200"/>
                      <w:rPr>
                        <w:rFonts w:ascii="MS Gothic"/>
                      </w:rPr>
                    </w:pPr>
                    <w:r>
                      <w:rPr>
                        <w:rFonts w:ascii="MS Gothic"/>
                        <w:color w:val="333333"/>
                      </w:rPr>
                      <w:t>@DataJpaTest</w:t>
                    </w:r>
                  </w:p>
                  <w:p w14:paraId="505E02CC" w14:textId="77777777" w:rsidR="00711A16" w:rsidRDefault="00711A16">
                    <w:pPr>
                      <w:spacing w:before="13" w:line="252" w:lineRule="auto"/>
                      <w:ind w:left="200" w:right="3668"/>
                      <w:rPr>
                        <w:rFonts w:ascii="MS Gothic"/>
                      </w:rPr>
                    </w:pPr>
                    <w:r>
                      <w:rPr>
                        <w:rFonts w:ascii="MS Gothic"/>
                        <w:color w:val="333333"/>
                      </w:rPr>
                      <w:t>@</w:t>
                    </w:r>
                    <w:proofErr w:type="gramStart"/>
                    <w:r>
                      <w:rPr>
                        <w:rFonts w:ascii="MS Gothic"/>
                        <w:color w:val="333333"/>
                      </w:rPr>
                      <w:t>Transactional(</w:t>
                    </w:r>
                    <w:proofErr w:type="gramEnd"/>
                    <w:r>
                      <w:rPr>
                        <w:rFonts w:ascii="MS Gothic"/>
                        <w:color w:val="333333"/>
                      </w:rPr>
                      <w:t>propagation = Propagation.NOT_SUPPORTED) class ExampleNonTransactionalTests {</w:t>
                    </w:r>
                  </w:p>
                  <w:p w14:paraId="419E3815" w14:textId="77777777" w:rsidR="00711A16" w:rsidRDefault="00711A16">
                    <w:pPr>
                      <w:spacing w:before="10"/>
                      <w:rPr>
                        <w:rFonts w:ascii="MS Gothic"/>
                      </w:rPr>
                    </w:pPr>
                  </w:p>
                  <w:p w14:paraId="6DDA4DA6" w14:textId="77777777" w:rsidR="00711A16" w:rsidRDefault="00711A16">
                    <w:pPr>
                      <w:ind w:left="200"/>
                      <w:rPr>
                        <w:rFonts w:ascii="MS Gothic"/>
                      </w:rPr>
                    </w:pPr>
                    <w:r>
                      <w:rPr>
                        <w:rFonts w:ascii="MS Gothic"/>
                        <w:color w:val="333333"/>
                      </w:rPr>
                      <w:t>}</w:t>
                    </w:r>
                  </w:p>
                </w:txbxContent>
              </v:textbox>
            </v:shape>
            <w10:wrap type="topAndBottom" anchorx="page"/>
          </v:group>
        </w:pict>
      </w:r>
    </w:p>
    <w:p w14:paraId="244C1657" w14:textId="77777777" w:rsidR="00A720EB" w:rsidRDefault="00A720EB">
      <w:pPr>
        <w:pStyle w:val="a3"/>
        <w:spacing w:before="11"/>
        <w:rPr>
          <w:sz w:val="9"/>
        </w:rPr>
      </w:pPr>
    </w:p>
    <w:p w14:paraId="1601DC5A" w14:textId="77777777" w:rsidR="00A720EB" w:rsidRDefault="0030286B">
      <w:pPr>
        <w:pStyle w:val="a3"/>
        <w:spacing w:before="115" w:line="280" w:lineRule="auto"/>
        <w:ind w:left="124" w:right="126"/>
        <w:jc w:val="both"/>
      </w:pPr>
      <w:r>
        <w:rPr>
          <w:color w:val="333333"/>
          <w:w w:val="110"/>
        </w:rPr>
        <w:t xml:space="preserve">Data </w:t>
      </w:r>
      <w:r>
        <w:rPr>
          <w:color w:val="333333"/>
          <w:spacing w:val="-4"/>
          <w:w w:val="110"/>
        </w:rPr>
        <w:t xml:space="preserve">JPA </w:t>
      </w:r>
      <w:r>
        <w:rPr>
          <w:color w:val="333333"/>
          <w:w w:val="110"/>
        </w:rPr>
        <w:t xml:space="preserve">tests may also inject a </w:t>
      </w:r>
      <w:hyperlink r:id="rId338">
        <w:r>
          <w:rPr>
            <w:rFonts w:ascii="MS Gothic"/>
            <w:color w:val="B02045"/>
            <w:w w:val="110"/>
          </w:rPr>
          <w:t xml:space="preserve">TestEntityManager </w:t>
        </w:r>
      </w:hyperlink>
      <w:r>
        <w:rPr>
          <w:color w:val="333333"/>
          <w:w w:val="110"/>
        </w:rPr>
        <w:t xml:space="preserve">bean, which provides an alternative to the standard </w:t>
      </w:r>
      <w:r>
        <w:rPr>
          <w:color w:val="333333"/>
          <w:spacing w:val="-4"/>
          <w:w w:val="110"/>
        </w:rPr>
        <w:t xml:space="preserve">JPA </w:t>
      </w:r>
      <w:r>
        <w:rPr>
          <w:rFonts w:ascii="MS Gothic"/>
          <w:color w:val="B02045"/>
          <w:w w:val="110"/>
        </w:rPr>
        <w:t xml:space="preserve">EntityManager </w:t>
      </w:r>
      <w:r>
        <w:rPr>
          <w:color w:val="333333"/>
          <w:w w:val="110"/>
        </w:rPr>
        <w:t xml:space="preserve">that is specifically designed for tests. If you want to </w:t>
      </w:r>
      <w:proofErr w:type="gramStart"/>
      <w:r>
        <w:rPr>
          <w:color w:val="333333"/>
          <w:w w:val="110"/>
        </w:rPr>
        <w:t xml:space="preserve">use  </w:t>
      </w:r>
      <w:r>
        <w:rPr>
          <w:rFonts w:ascii="MS Gothic"/>
          <w:color w:val="B02045"/>
          <w:w w:val="110"/>
        </w:rPr>
        <w:t>TestEntityManager</w:t>
      </w:r>
      <w:proofErr w:type="gramEnd"/>
      <w:r>
        <w:rPr>
          <w:rFonts w:ascii="MS Gothic"/>
          <w:color w:val="B02045"/>
          <w:w w:val="110"/>
        </w:rPr>
        <w:t xml:space="preserve"> </w:t>
      </w:r>
      <w:r>
        <w:rPr>
          <w:color w:val="333333"/>
          <w:w w:val="110"/>
        </w:rPr>
        <w:t xml:space="preserve">outside of </w:t>
      </w:r>
      <w:r>
        <w:rPr>
          <w:rFonts w:ascii="MS Gothic"/>
          <w:color w:val="B02045"/>
          <w:w w:val="110"/>
        </w:rPr>
        <w:t xml:space="preserve">@DataJpaTest </w:t>
      </w:r>
      <w:r>
        <w:rPr>
          <w:color w:val="333333"/>
          <w:w w:val="110"/>
        </w:rPr>
        <w:t xml:space="preserve">instances, you can also use the </w:t>
      </w:r>
      <w:r>
        <w:rPr>
          <w:rFonts w:ascii="MS Gothic"/>
          <w:color w:val="B02045"/>
          <w:w w:val="110"/>
        </w:rPr>
        <w:t>@AutoConfigureTestEntityManager</w:t>
      </w:r>
      <w:r>
        <w:rPr>
          <w:rFonts w:ascii="MS Gothic"/>
          <w:color w:val="B02045"/>
          <w:spacing w:val="-73"/>
          <w:w w:val="110"/>
        </w:rPr>
        <w:t xml:space="preserve"> </w:t>
      </w:r>
      <w:r>
        <w:rPr>
          <w:color w:val="333333"/>
          <w:w w:val="110"/>
        </w:rPr>
        <w:t>annotation.</w:t>
      </w:r>
      <w:r>
        <w:rPr>
          <w:color w:val="333333"/>
          <w:spacing w:val="-8"/>
          <w:w w:val="110"/>
        </w:rPr>
        <w:t xml:space="preserve"> </w:t>
      </w:r>
      <w:r>
        <w:rPr>
          <w:color w:val="333333"/>
          <w:w w:val="110"/>
        </w:rPr>
        <w:t>A</w:t>
      </w:r>
      <w:r>
        <w:rPr>
          <w:color w:val="333333"/>
          <w:spacing w:val="-5"/>
          <w:w w:val="110"/>
        </w:rPr>
        <w:t xml:space="preserve"> </w:t>
      </w:r>
      <w:r>
        <w:rPr>
          <w:rFonts w:ascii="MS Gothic"/>
          <w:color w:val="B02045"/>
          <w:w w:val="110"/>
        </w:rPr>
        <w:t>JdbcTemplate</w:t>
      </w:r>
      <w:r>
        <w:rPr>
          <w:rFonts w:ascii="MS Gothic"/>
          <w:color w:val="B02045"/>
          <w:spacing w:val="-73"/>
          <w:w w:val="110"/>
        </w:rPr>
        <w:t xml:space="preserve"> </w:t>
      </w:r>
      <w:r>
        <w:rPr>
          <w:color w:val="333333"/>
          <w:w w:val="110"/>
        </w:rPr>
        <w:t>is</w:t>
      </w:r>
      <w:r>
        <w:rPr>
          <w:color w:val="333333"/>
          <w:spacing w:val="-8"/>
          <w:w w:val="110"/>
        </w:rPr>
        <w:t xml:space="preserve"> </w:t>
      </w:r>
      <w:r>
        <w:rPr>
          <w:color w:val="333333"/>
          <w:w w:val="110"/>
        </w:rPr>
        <w:t>also</w:t>
      </w:r>
      <w:r>
        <w:rPr>
          <w:color w:val="333333"/>
          <w:spacing w:val="-8"/>
          <w:w w:val="110"/>
        </w:rPr>
        <w:t xml:space="preserve"> </w:t>
      </w:r>
      <w:r>
        <w:rPr>
          <w:color w:val="333333"/>
          <w:w w:val="110"/>
        </w:rPr>
        <w:t>available</w:t>
      </w:r>
      <w:r>
        <w:rPr>
          <w:color w:val="333333"/>
          <w:spacing w:val="-8"/>
          <w:w w:val="110"/>
        </w:rPr>
        <w:t xml:space="preserve"> </w:t>
      </w:r>
      <w:r>
        <w:rPr>
          <w:color w:val="333333"/>
          <w:w w:val="110"/>
        </w:rPr>
        <w:t>if</w:t>
      </w:r>
      <w:r>
        <w:rPr>
          <w:color w:val="333333"/>
          <w:spacing w:val="-8"/>
          <w:w w:val="110"/>
        </w:rPr>
        <w:t xml:space="preserve"> </w:t>
      </w:r>
      <w:r>
        <w:rPr>
          <w:color w:val="333333"/>
          <w:w w:val="110"/>
        </w:rPr>
        <w:t>you</w:t>
      </w:r>
      <w:r>
        <w:rPr>
          <w:color w:val="333333"/>
          <w:spacing w:val="-8"/>
          <w:w w:val="110"/>
        </w:rPr>
        <w:t xml:space="preserve"> </w:t>
      </w:r>
      <w:r>
        <w:rPr>
          <w:color w:val="333333"/>
          <w:w w:val="110"/>
        </w:rPr>
        <w:t>need</w:t>
      </w:r>
      <w:r>
        <w:rPr>
          <w:color w:val="333333"/>
          <w:spacing w:val="-8"/>
          <w:w w:val="110"/>
        </w:rPr>
        <w:t xml:space="preserve"> </w:t>
      </w:r>
      <w:r>
        <w:rPr>
          <w:color w:val="333333"/>
          <w:w w:val="110"/>
        </w:rPr>
        <w:t>that.</w:t>
      </w:r>
      <w:r>
        <w:rPr>
          <w:color w:val="333333"/>
          <w:spacing w:val="-8"/>
          <w:w w:val="110"/>
        </w:rPr>
        <w:t xml:space="preserve"> </w:t>
      </w:r>
      <w:r>
        <w:rPr>
          <w:color w:val="333333"/>
          <w:w w:val="110"/>
        </w:rPr>
        <w:t xml:space="preserve">The following example shows the </w:t>
      </w:r>
      <w:r>
        <w:rPr>
          <w:rFonts w:ascii="MS Gothic"/>
          <w:color w:val="B02045"/>
          <w:w w:val="110"/>
        </w:rPr>
        <w:t>@DataJpaTest</w:t>
      </w:r>
      <w:r>
        <w:rPr>
          <w:rFonts w:ascii="MS Gothic"/>
          <w:color w:val="B02045"/>
          <w:spacing w:val="-52"/>
          <w:w w:val="110"/>
        </w:rPr>
        <w:t xml:space="preserve"> </w:t>
      </w:r>
      <w:r>
        <w:rPr>
          <w:color w:val="333333"/>
          <w:w w:val="110"/>
        </w:rPr>
        <w:t>annotation in use:</w:t>
      </w:r>
    </w:p>
    <w:p w14:paraId="606F2CE1" w14:textId="77777777" w:rsidR="00A720EB" w:rsidRDefault="00A720EB">
      <w:pPr>
        <w:spacing w:line="280" w:lineRule="auto"/>
        <w:jc w:val="both"/>
        <w:sectPr w:rsidR="00A720EB">
          <w:pgSz w:w="11910" w:h="16840"/>
          <w:pgMar w:top="700" w:right="840" w:bottom="520" w:left="840" w:header="0" w:footer="323" w:gutter="0"/>
          <w:cols w:space="720"/>
        </w:sectPr>
      </w:pPr>
    </w:p>
    <w:p w14:paraId="241998D2" w14:textId="77777777" w:rsidR="00A720EB" w:rsidRDefault="00E10349">
      <w:pPr>
        <w:pStyle w:val="a3"/>
        <w:ind w:left="116"/>
        <w:rPr>
          <w:sz w:val="20"/>
        </w:rPr>
      </w:pPr>
      <w:r>
        <w:rPr>
          <w:sz w:val="20"/>
        </w:rPr>
      </w:r>
      <w:r>
        <w:rPr>
          <w:sz w:val="20"/>
        </w:rPr>
        <w:pict w14:anchorId="36E181D6">
          <v:group id="_x0000_s3603" style="width:499.55pt;height:361.8pt;mso-position-horizontal-relative:char;mso-position-vertical-relative:line" coordsize="9991,7236">
            <v:shape id="_x0000_s3606" style="position:absolute;left:7;top:7;width:9976;height:7221" coordorigin="8,8" coordsize="9976,7221" path="m9904,8l88,8,56,14,31,31,14,56,8,88r,7060l14,7179r17,25l56,7222r32,6l9904,7228r31,-6l9960,7204r17,-25l9984,7148r,-7060l9977,56,9960,31,9935,14,9904,8xe" fillcolor="#f5f5f5" stroked="f">
              <v:path arrowok="t"/>
            </v:shape>
            <v:shape id="_x0000_s3605" style="position:absolute;left:7;top:7;width:9976;height:7221" coordorigin="8,8" coordsize="9976,7221" path="m88,8r9816,l9935,14r25,17l9977,56r7,32l9984,7148r-7,31l9960,7204r-25,18l9904,7228r-9816,l56,7222,31,7204,14,7179,8,7148,8,88,14,56,31,31,56,14,88,8xe" filled="f" strokecolor="#ccc">
              <v:path arrowok="t"/>
            </v:shape>
            <v:shape id="_x0000_s3604" type="#_x0000_t202" style="position:absolute;left:26;top:22;width:9938;height:7190" filled="f" stroked="f">
              <v:textbox inset="0,0,0,0">
                <w:txbxContent>
                  <w:p w14:paraId="7556A27D"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17A48654" w14:textId="77777777" w:rsidR="00711A16" w:rsidRDefault="00711A16">
                    <w:pPr>
                      <w:spacing w:before="13" w:line="501" w:lineRule="auto"/>
                      <w:ind w:left="200" w:right="3008"/>
                      <w:rPr>
                        <w:rFonts w:ascii="MS Gothic"/>
                      </w:rPr>
                    </w:pPr>
                    <w:r>
                      <w:rPr>
                        <w:rFonts w:ascii="MS Gothic"/>
                        <w:color w:val="333333"/>
                      </w:rPr>
                      <w:t xml:space="preserve">import </w:t>
                    </w:r>
                    <w:proofErr w:type="gramStart"/>
                    <w:r>
                      <w:rPr>
                        <w:rFonts w:ascii="MS Gothic"/>
                        <w:color w:val="333333"/>
                      </w:rPr>
                      <w:t>org.springframework.boot.test.autoconfigure.orm.jpa.*</w:t>
                    </w:r>
                    <w:proofErr w:type="gramEnd"/>
                    <w:r>
                      <w:rPr>
                        <w:rFonts w:ascii="MS Gothic"/>
                        <w:color w:val="333333"/>
                      </w:rPr>
                      <w:t>; import static org.assertj.core.api.Assertions.*;</w:t>
                    </w:r>
                  </w:p>
                  <w:p w14:paraId="1DC2142B" w14:textId="77777777" w:rsidR="00711A16" w:rsidRDefault="00711A16">
                    <w:pPr>
                      <w:spacing w:before="1"/>
                      <w:ind w:left="200"/>
                      <w:rPr>
                        <w:rFonts w:ascii="MS Gothic"/>
                      </w:rPr>
                    </w:pPr>
                    <w:r>
                      <w:rPr>
                        <w:rFonts w:ascii="MS Gothic"/>
                        <w:color w:val="333333"/>
                      </w:rPr>
                      <w:t>@DataJpaTest</w:t>
                    </w:r>
                  </w:p>
                  <w:p w14:paraId="398C6C52" w14:textId="77777777" w:rsidR="00711A16" w:rsidRDefault="00711A16">
                    <w:pPr>
                      <w:spacing w:before="13"/>
                      <w:ind w:left="200"/>
                      <w:rPr>
                        <w:rFonts w:ascii="MS Gothic"/>
                      </w:rPr>
                    </w:pPr>
                    <w:r>
                      <w:rPr>
                        <w:rFonts w:ascii="MS Gothic"/>
                        <w:color w:val="333333"/>
                      </w:rPr>
                      <w:t>class ExampleRepositoryTests {</w:t>
                    </w:r>
                  </w:p>
                  <w:p w14:paraId="5B245031" w14:textId="77777777" w:rsidR="00711A16" w:rsidRDefault="00711A16">
                    <w:pPr>
                      <w:rPr>
                        <w:rFonts w:ascii="MS Gothic"/>
                        <w:sz w:val="24"/>
                      </w:rPr>
                    </w:pPr>
                  </w:p>
                  <w:p w14:paraId="1B254FCE" w14:textId="77777777" w:rsidR="00711A16" w:rsidRDefault="00711A16">
                    <w:pPr>
                      <w:ind w:left="640"/>
                      <w:rPr>
                        <w:rFonts w:ascii="MS Gothic"/>
                      </w:rPr>
                    </w:pPr>
                    <w:r>
                      <w:rPr>
                        <w:rFonts w:ascii="MS Gothic"/>
                        <w:color w:val="333333"/>
                      </w:rPr>
                      <w:t>@Autowired</w:t>
                    </w:r>
                  </w:p>
                  <w:p w14:paraId="017349D0" w14:textId="77777777" w:rsidR="00711A16" w:rsidRDefault="00711A16">
                    <w:pPr>
                      <w:spacing w:before="13"/>
                      <w:ind w:left="640"/>
                      <w:rPr>
                        <w:rFonts w:ascii="MS Gothic"/>
                      </w:rPr>
                    </w:pPr>
                    <w:r>
                      <w:rPr>
                        <w:rFonts w:ascii="MS Gothic"/>
                        <w:color w:val="333333"/>
                      </w:rPr>
                      <w:t>private TestEntityManager entityManager;</w:t>
                    </w:r>
                  </w:p>
                  <w:p w14:paraId="3EE357FA" w14:textId="77777777" w:rsidR="00711A16" w:rsidRDefault="00711A16">
                    <w:pPr>
                      <w:rPr>
                        <w:rFonts w:ascii="MS Gothic"/>
                        <w:sz w:val="24"/>
                      </w:rPr>
                    </w:pPr>
                  </w:p>
                  <w:p w14:paraId="32B2DA21" w14:textId="77777777" w:rsidR="00711A16" w:rsidRDefault="00711A16">
                    <w:pPr>
                      <w:ind w:left="640"/>
                      <w:rPr>
                        <w:rFonts w:ascii="MS Gothic"/>
                      </w:rPr>
                    </w:pPr>
                    <w:r>
                      <w:rPr>
                        <w:rFonts w:ascii="MS Gothic"/>
                        <w:color w:val="333333"/>
                      </w:rPr>
                      <w:t>@Autowired</w:t>
                    </w:r>
                  </w:p>
                  <w:p w14:paraId="1266EDCC" w14:textId="77777777" w:rsidR="00711A16" w:rsidRDefault="00711A16">
                    <w:pPr>
                      <w:spacing w:before="13"/>
                      <w:ind w:left="640"/>
                      <w:rPr>
                        <w:rFonts w:ascii="MS Gothic"/>
                      </w:rPr>
                    </w:pPr>
                    <w:r>
                      <w:rPr>
                        <w:rFonts w:ascii="MS Gothic"/>
                        <w:color w:val="333333"/>
                      </w:rPr>
                      <w:t>private UserRepository repository;</w:t>
                    </w:r>
                  </w:p>
                  <w:p w14:paraId="11BD5B5E" w14:textId="77777777" w:rsidR="00711A16" w:rsidRDefault="00711A16">
                    <w:pPr>
                      <w:rPr>
                        <w:rFonts w:ascii="MS Gothic"/>
                        <w:sz w:val="24"/>
                      </w:rPr>
                    </w:pPr>
                  </w:p>
                  <w:p w14:paraId="2866D7BA" w14:textId="77777777" w:rsidR="00711A16" w:rsidRDefault="00711A16">
                    <w:pPr>
                      <w:ind w:left="640"/>
                      <w:rPr>
                        <w:rFonts w:ascii="MS Gothic"/>
                      </w:rPr>
                    </w:pPr>
                    <w:r>
                      <w:rPr>
                        <w:rFonts w:ascii="MS Gothic"/>
                        <w:color w:val="333333"/>
                      </w:rPr>
                      <w:t>@Test</w:t>
                    </w:r>
                  </w:p>
                  <w:p w14:paraId="0C6EC55A" w14:textId="77777777" w:rsidR="00711A16" w:rsidRDefault="00711A16">
                    <w:pPr>
                      <w:spacing w:before="13" w:line="252" w:lineRule="auto"/>
                      <w:ind w:left="1080" w:right="2898" w:hanging="440"/>
                      <w:rPr>
                        <w:rFonts w:ascii="MS Gothic"/>
                      </w:rPr>
                    </w:pPr>
                    <w:r>
                      <w:rPr>
                        <w:rFonts w:ascii="MS Gothic"/>
                        <w:color w:val="333333"/>
                      </w:rPr>
                      <w:t xml:space="preserve">void </w:t>
                    </w:r>
                    <w:proofErr w:type="gramStart"/>
                    <w:r>
                      <w:rPr>
                        <w:rFonts w:ascii="MS Gothic"/>
                        <w:color w:val="333333"/>
                      </w:rPr>
                      <w:t>testExample(</w:t>
                    </w:r>
                    <w:proofErr w:type="gramEnd"/>
                    <w:r>
                      <w:rPr>
                        <w:rFonts w:ascii="MS Gothic"/>
                        <w:color w:val="333333"/>
                      </w:rPr>
                      <w:t>) throws Exception { this.entityManager.persist(new User("sboot", "1234")); User user = this.repository.findByUsername("sboot"); assertThat(user.getUsername()).isEqualTo("sboot"); assertThat(user.getVin()).isEqualTo("1234");</w:t>
                    </w:r>
                  </w:p>
                  <w:p w14:paraId="1095CBD0" w14:textId="77777777" w:rsidR="00711A16" w:rsidRDefault="00711A16">
                    <w:pPr>
                      <w:spacing w:line="276" w:lineRule="exact"/>
                      <w:ind w:left="640"/>
                      <w:rPr>
                        <w:rFonts w:ascii="MS Gothic"/>
                      </w:rPr>
                    </w:pPr>
                    <w:r>
                      <w:rPr>
                        <w:rFonts w:ascii="MS Gothic"/>
                        <w:color w:val="333333"/>
                      </w:rPr>
                      <w:t>}</w:t>
                    </w:r>
                  </w:p>
                  <w:p w14:paraId="5DB8B44A" w14:textId="77777777" w:rsidR="00711A16" w:rsidRDefault="00711A16">
                    <w:pPr>
                      <w:rPr>
                        <w:rFonts w:ascii="MS Gothic"/>
                        <w:sz w:val="24"/>
                      </w:rPr>
                    </w:pPr>
                  </w:p>
                  <w:p w14:paraId="11E970E6" w14:textId="77777777" w:rsidR="00711A16" w:rsidRDefault="00711A16">
                    <w:pPr>
                      <w:ind w:left="200"/>
                      <w:rPr>
                        <w:rFonts w:ascii="MS Gothic"/>
                      </w:rPr>
                    </w:pPr>
                    <w:r>
                      <w:rPr>
                        <w:rFonts w:ascii="MS Gothic"/>
                        <w:color w:val="333333"/>
                      </w:rPr>
                      <w:t>}</w:t>
                    </w:r>
                  </w:p>
                </w:txbxContent>
              </v:textbox>
            </v:shape>
            <w10:anchorlock/>
          </v:group>
        </w:pict>
      </w:r>
    </w:p>
    <w:p w14:paraId="0508650B" w14:textId="77777777" w:rsidR="00A720EB" w:rsidRDefault="00A720EB">
      <w:pPr>
        <w:pStyle w:val="a3"/>
        <w:spacing w:before="6"/>
        <w:rPr>
          <w:sz w:val="9"/>
        </w:rPr>
      </w:pPr>
    </w:p>
    <w:p w14:paraId="2E1905AE" w14:textId="77777777" w:rsidR="00A720EB" w:rsidRDefault="0030286B">
      <w:pPr>
        <w:pStyle w:val="a3"/>
        <w:spacing w:before="126" w:line="302" w:lineRule="auto"/>
        <w:ind w:left="124" w:right="129"/>
        <w:jc w:val="both"/>
      </w:pPr>
      <w:r>
        <w:rPr>
          <w:color w:val="333333"/>
          <w:w w:val="110"/>
        </w:rPr>
        <w:t xml:space="preserve">In-memory embedded databases generally work well for tests, since they are fast </w:t>
      </w:r>
      <w:proofErr w:type="gramStart"/>
      <w:r>
        <w:rPr>
          <w:color w:val="333333"/>
          <w:w w:val="110"/>
        </w:rPr>
        <w:t>and  do</w:t>
      </w:r>
      <w:proofErr w:type="gramEnd"/>
      <w:r>
        <w:rPr>
          <w:color w:val="333333"/>
          <w:w w:val="110"/>
        </w:rPr>
        <w:t xml:space="preserve">  not  require any installation. If, however, you prefer to run tests against a real database you can use the </w:t>
      </w:r>
      <w:r>
        <w:rPr>
          <w:rFonts w:ascii="MS Gothic"/>
          <w:color w:val="B02045"/>
          <w:w w:val="110"/>
        </w:rPr>
        <w:t>@AutoConfigureTestDatabase</w:t>
      </w:r>
      <w:r>
        <w:rPr>
          <w:rFonts w:ascii="MS Gothic"/>
          <w:color w:val="B02045"/>
          <w:spacing w:val="-73"/>
          <w:w w:val="110"/>
        </w:rPr>
        <w:t xml:space="preserve"> </w:t>
      </w:r>
      <w:r>
        <w:rPr>
          <w:color w:val="333333"/>
          <w:w w:val="110"/>
        </w:rPr>
        <w:t>annotation, as shown in the following example:</w:t>
      </w:r>
    </w:p>
    <w:p w14:paraId="10FB9DE9" w14:textId="77777777" w:rsidR="00A720EB" w:rsidRDefault="00E10349">
      <w:pPr>
        <w:pStyle w:val="a3"/>
        <w:spacing w:before="11"/>
        <w:rPr>
          <w:sz w:val="11"/>
        </w:rPr>
      </w:pPr>
      <w:r>
        <w:pict w14:anchorId="043ED267">
          <v:group id="_x0000_s3599" style="position:absolute;margin-left:47.85pt;margin-top:9pt;width:499.55pt;height:125.95pt;z-index:-15328768;mso-wrap-distance-left:0;mso-wrap-distance-right:0;mso-position-horizontal-relative:page" coordorigin="957,180" coordsize="9991,2519">
            <v:shape id="_x0000_s3602" style="position:absolute;left:964;top:187;width:9976;height:2504" coordorigin="965,187" coordsize="9976,2504" path="m10861,187r-9816,l1014,194r-26,17l971,236r-6,31l965,2611r6,31l988,2668r26,17l1045,2691r9816,l10892,2685r25,-17l10935,2642r6,-31l10941,267r-6,-31l10917,211r-25,-17l10861,187xe" fillcolor="#f5f5f5" stroked="f">
              <v:path arrowok="t"/>
            </v:shape>
            <v:shape id="_x0000_s3601" style="position:absolute;left:964;top:187;width:9976;height:2504" coordorigin="965,187" coordsize="9976,2504" path="m1045,187r9816,l10892,194r25,17l10935,236r6,31l10941,2611r-6,31l10917,2668r-25,17l10861,2691r-9816,l1014,2685r-26,-17l971,2642r-6,-31l965,267r6,-31l988,211r26,-17l1045,187xe" filled="f" strokecolor="#ccc">
              <v:path arrowok="t"/>
            </v:shape>
            <v:shape id="_x0000_s3600" type="#_x0000_t202" style="position:absolute;left:984;top:202;width:9938;height:2473" filled="f" stroked="f">
              <v:textbox inset="0,0,0,0">
                <w:txbxContent>
                  <w:p w14:paraId="74072E04" w14:textId="77777777" w:rsidR="00711A16" w:rsidRDefault="00711A16">
                    <w:pPr>
                      <w:spacing w:before="221" w:line="252" w:lineRule="auto"/>
                      <w:ind w:left="200" w:right="4438"/>
                      <w:rPr>
                        <w:rFonts w:ascii="MS Gothic"/>
                      </w:rPr>
                    </w:pPr>
                    <w:r>
                      <w:rPr>
                        <w:rFonts w:ascii="MS Gothic"/>
                        <w:color w:val="333333"/>
                      </w:rPr>
                      <w:t>@DataJpaTest @</w:t>
                    </w:r>
                    <w:proofErr w:type="gramStart"/>
                    <w:r>
                      <w:rPr>
                        <w:rFonts w:ascii="MS Gothic"/>
                        <w:color w:val="333333"/>
                      </w:rPr>
                      <w:t>AutoConfigureTestDatabase(</w:t>
                    </w:r>
                    <w:proofErr w:type="gramEnd"/>
                    <w:r>
                      <w:rPr>
                        <w:rFonts w:ascii="MS Gothic"/>
                        <w:color w:val="333333"/>
                      </w:rPr>
                      <w:t>replace=Replace.NONE) class ExampleRepositoryTests {</w:t>
                    </w:r>
                  </w:p>
                  <w:p w14:paraId="527D3774" w14:textId="77777777" w:rsidR="00711A16" w:rsidRDefault="00711A16">
                    <w:pPr>
                      <w:spacing w:before="9"/>
                      <w:rPr>
                        <w:rFonts w:ascii="MS Gothic"/>
                      </w:rPr>
                    </w:pPr>
                  </w:p>
                  <w:p w14:paraId="28C53B7A" w14:textId="77777777" w:rsidR="00711A16" w:rsidRDefault="00711A16">
                    <w:pPr>
                      <w:ind w:left="640"/>
                      <w:rPr>
                        <w:rFonts w:ascii="MS Gothic"/>
                      </w:rPr>
                    </w:pPr>
                    <w:r>
                      <w:rPr>
                        <w:rFonts w:ascii="MS Gothic"/>
                        <w:color w:val="333333"/>
                      </w:rPr>
                      <w:t>// ...</w:t>
                    </w:r>
                  </w:p>
                  <w:p w14:paraId="31878519" w14:textId="77777777" w:rsidR="00711A16" w:rsidRDefault="00711A16">
                    <w:pPr>
                      <w:rPr>
                        <w:rFonts w:ascii="MS Gothic"/>
                        <w:sz w:val="24"/>
                      </w:rPr>
                    </w:pPr>
                  </w:p>
                  <w:p w14:paraId="3709D864" w14:textId="77777777" w:rsidR="00711A16" w:rsidRDefault="00711A16">
                    <w:pPr>
                      <w:ind w:left="200"/>
                      <w:rPr>
                        <w:rFonts w:ascii="MS Gothic"/>
                      </w:rPr>
                    </w:pPr>
                    <w:r>
                      <w:rPr>
                        <w:rFonts w:ascii="MS Gothic"/>
                        <w:color w:val="333333"/>
                      </w:rPr>
                      <w:t>}</w:t>
                    </w:r>
                  </w:p>
                </w:txbxContent>
              </v:textbox>
            </v:shape>
            <w10:wrap type="topAndBottom" anchorx="page"/>
          </v:group>
        </w:pict>
      </w:r>
    </w:p>
    <w:p w14:paraId="1FE5A1E1" w14:textId="77777777" w:rsidR="00A720EB" w:rsidRDefault="00A720EB">
      <w:pPr>
        <w:pStyle w:val="a3"/>
        <w:spacing w:before="11"/>
        <w:rPr>
          <w:sz w:val="16"/>
        </w:rPr>
      </w:pPr>
    </w:p>
    <w:p w14:paraId="477FEAFC" w14:textId="77777777" w:rsidR="00A720EB" w:rsidRDefault="0030286B">
      <w:pPr>
        <w:pStyle w:val="4"/>
        <w:spacing w:before="104"/>
      </w:pPr>
      <w:bookmarkStart w:id="474" w:name="Auto-configured_JDBC_Tests"/>
      <w:bookmarkEnd w:id="474"/>
      <w:r>
        <w:rPr>
          <w:color w:val="333333"/>
          <w:w w:val="110"/>
        </w:rPr>
        <w:t>Auto-configured JDBC Tests</w:t>
      </w:r>
    </w:p>
    <w:p w14:paraId="1166B2DF" w14:textId="77777777" w:rsidR="00A720EB" w:rsidRDefault="0030286B">
      <w:pPr>
        <w:pStyle w:val="a3"/>
        <w:spacing w:before="244" w:line="283" w:lineRule="auto"/>
        <w:ind w:left="124" w:right="122"/>
        <w:jc w:val="both"/>
      </w:pPr>
      <w:r>
        <w:rPr>
          <w:rFonts w:ascii="MS Gothic"/>
          <w:color w:val="B02045"/>
          <w:w w:val="110"/>
        </w:rPr>
        <w:t xml:space="preserve">@JdbcTest </w:t>
      </w:r>
      <w:r>
        <w:rPr>
          <w:color w:val="333333"/>
          <w:w w:val="110"/>
        </w:rPr>
        <w:t xml:space="preserve">is similar to </w:t>
      </w:r>
      <w:r>
        <w:rPr>
          <w:rFonts w:ascii="MS Gothic"/>
          <w:color w:val="B02045"/>
          <w:w w:val="110"/>
        </w:rPr>
        <w:t xml:space="preserve">@DataJpaTest </w:t>
      </w:r>
      <w:r>
        <w:rPr>
          <w:color w:val="333333"/>
          <w:w w:val="110"/>
        </w:rPr>
        <w:t xml:space="preserve">but is for tests that only require a </w:t>
      </w:r>
      <w:r>
        <w:rPr>
          <w:rFonts w:ascii="MS Gothic"/>
          <w:color w:val="B02045"/>
          <w:w w:val="110"/>
        </w:rPr>
        <w:t xml:space="preserve">DataSource </w:t>
      </w:r>
      <w:r>
        <w:rPr>
          <w:color w:val="333333"/>
          <w:w w:val="110"/>
        </w:rPr>
        <w:t xml:space="preserve">and do not use Spring Data JDBC. </w:t>
      </w:r>
      <w:r>
        <w:rPr>
          <w:color w:val="333333"/>
          <w:spacing w:val="-3"/>
          <w:w w:val="110"/>
        </w:rPr>
        <w:t xml:space="preserve">By </w:t>
      </w:r>
      <w:r>
        <w:rPr>
          <w:color w:val="333333"/>
          <w:w w:val="110"/>
        </w:rPr>
        <w:t xml:space="preserve">default, it configures an in-memory embedded database and a </w:t>
      </w:r>
      <w:r>
        <w:rPr>
          <w:rFonts w:ascii="MS Gothic"/>
          <w:color w:val="B02045"/>
          <w:w w:val="110"/>
        </w:rPr>
        <w:t>JdbcTemplate</w:t>
      </w:r>
      <w:r>
        <w:rPr>
          <w:color w:val="333333"/>
          <w:w w:val="110"/>
        </w:rPr>
        <w:t xml:space="preserve">. Regular </w:t>
      </w:r>
      <w:r>
        <w:rPr>
          <w:rFonts w:ascii="MS Gothic"/>
          <w:color w:val="B02045"/>
          <w:w w:val="110"/>
        </w:rPr>
        <w:t xml:space="preserve">@Component </w:t>
      </w:r>
      <w:r>
        <w:rPr>
          <w:color w:val="333333"/>
          <w:w w:val="110"/>
        </w:rPr>
        <w:t xml:space="preserve">and </w:t>
      </w:r>
      <w:r>
        <w:rPr>
          <w:rFonts w:ascii="MS Gothic"/>
          <w:color w:val="B02045"/>
          <w:w w:val="110"/>
        </w:rPr>
        <w:t xml:space="preserve">@ConfigurationProperties </w:t>
      </w:r>
      <w:r>
        <w:rPr>
          <w:color w:val="333333"/>
          <w:w w:val="110"/>
        </w:rPr>
        <w:t xml:space="preserve">beans are not scanned when the </w:t>
      </w:r>
      <w:r>
        <w:rPr>
          <w:rFonts w:ascii="MS Gothic"/>
          <w:color w:val="B02045"/>
          <w:w w:val="110"/>
        </w:rPr>
        <w:t xml:space="preserve">@JdbcTest </w:t>
      </w:r>
      <w:r>
        <w:rPr>
          <w:color w:val="333333"/>
          <w:w w:val="105"/>
        </w:rPr>
        <w:t xml:space="preserve">annotation is used. </w:t>
      </w:r>
      <w:r>
        <w:rPr>
          <w:rFonts w:ascii="MS Gothic"/>
          <w:color w:val="B02045"/>
          <w:w w:val="105"/>
        </w:rPr>
        <w:t>@EnableConfigurationProperties</w:t>
      </w:r>
      <w:r>
        <w:rPr>
          <w:rFonts w:ascii="MS Gothic"/>
          <w:color w:val="B02045"/>
          <w:spacing w:val="-60"/>
          <w:w w:val="105"/>
        </w:rPr>
        <w:t xml:space="preserve"> </w:t>
      </w:r>
      <w:r>
        <w:rPr>
          <w:color w:val="333333"/>
          <w:w w:val="105"/>
        </w:rPr>
        <w:t xml:space="preserve">can be used to include </w:t>
      </w:r>
      <w:r>
        <w:rPr>
          <w:rFonts w:ascii="MS Gothic"/>
          <w:color w:val="B02045"/>
          <w:w w:val="105"/>
        </w:rPr>
        <w:t xml:space="preserve">@ConfigurationProperties </w:t>
      </w:r>
      <w:r>
        <w:rPr>
          <w:color w:val="333333"/>
          <w:w w:val="110"/>
        </w:rPr>
        <w:t>beans.</w:t>
      </w:r>
    </w:p>
    <w:p w14:paraId="2BE8C903" w14:textId="77777777" w:rsidR="00A720EB" w:rsidRDefault="00A720EB">
      <w:pPr>
        <w:pStyle w:val="a3"/>
        <w:spacing w:before="10"/>
        <w:rPr>
          <w:sz w:val="18"/>
        </w:rPr>
      </w:pPr>
    </w:p>
    <w:p w14:paraId="1C74542E" w14:textId="77777777" w:rsidR="00A720EB" w:rsidRDefault="00E10349">
      <w:pPr>
        <w:pStyle w:val="a3"/>
        <w:spacing w:before="116" w:line="290" w:lineRule="auto"/>
        <w:ind w:left="1564"/>
      </w:pPr>
      <w:r>
        <w:pict w14:anchorId="791A73DC">
          <v:line id="_x0000_s3598" style="position:absolute;left:0;text-align:left;z-index:16129024;mso-position-horizontal-relative:page" from="108.25pt,.35pt" to="108.25pt,39.9pt" strokecolor="#ededed" strokeweight=".5pt">
            <w10:wrap anchorx="page"/>
          </v:line>
        </w:pict>
      </w:r>
      <w:r w:rsidR="0030286B">
        <w:rPr>
          <w:noProof/>
        </w:rPr>
        <w:drawing>
          <wp:anchor distT="0" distB="0" distL="0" distR="0" simplePos="0" relativeHeight="16129536" behindDoc="0" locked="0" layoutInCell="1" allowOverlap="1" wp14:anchorId="06DBB2D7" wp14:editId="35689595">
            <wp:simplePos x="0" y="0"/>
            <wp:positionH relativeFrom="page">
              <wp:posOffset>888949</wp:posOffset>
            </wp:positionH>
            <wp:positionV relativeFrom="paragraph">
              <wp:posOffset>103073</wp:posOffset>
            </wp:positionV>
            <wp:extent cx="209550" cy="304800"/>
            <wp:effectExtent l="0" t="0" r="0" b="0"/>
            <wp:wrapNone/>
            <wp:docPr id="51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auto-configurations that are enabled by </w:t>
      </w:r>
      <w:r w:rsidR="0030286B">
        <w:rPr>
          <w:rFonts w:ascii="MS Gothic"/>
          <w:color w:val="B02045"/>
          <w:w w:val="110"/>
        </w:rPr>
        <w:t xml:space="preserve">@JdbcTest </w:t>
      </w:r>
      <w:r w:rsidR="0030286B">
        <w:rPr>
          <w:color w:val="333333"/>
          <w:w w:val="110"/>
        </w:rPr>
        <w:t xml:space="preserve">can be </w:t>
      </w:r>
      <w:hyperlink w:anchor="_bookmark689" w:history="1">
        <w:r w:rsidR="0030286B">
          <w:rPr>
            <w:color w:val="418BCA"/>
            <w:w w:val="110"/>
          </w:rPr>
          <w:t>found in the</w:t>
        </w:r>
      </w:hyperlink>
      <w:r w:rsidR="0030286B">
        <w:rPr>
          <w:color w:val="418BCA"/>
          <w:w w:val="110"/>
        </w:rPr>
        <w:t xml:space="preserve"> </w:t>
      </w:r>
      <w:hyperlink w:anchor="_bookmark689" w:history="1">
        <w:r w:rsidR="0030286B">
          <w:rPr>
            <w:color w:val="418BCA"/>
            <w:w w:val="110"/>
          </w:rPr>
          <w:t>appendix</w:t>
        </w:r>
      </w:hyperlink>
      <w:r w:rsidR="0030286B">
        <w:rPr>
          <w:color w:val="333333"/>
          <w:w w:val="110"/>
        </w:rPr>
        <w:t>.</w:t>
      </w:r>
    </w:p>
    <w:p w14:paraId="35CE2541" w14:textId="77777777" w:rsidR="00A720EB" w:rsidRDefault="00A720EB">
      <w:pPr>
        <w:pStyle w:val="a3"/>
        <w:spacing w:before="2"/>
        <w:rPr>
          <w:sz w:val="18"/>
        </w:rPr>
      </w:pPr>
    </w:p>
    <w:p w14:paraId="4077FF76" w14:textId="77777777" w:rsidR="00A720EB" w:rsidRDefault="0030286B">
      <w:pPr>
        <w:pStyle w:val="a3"/>
        <w:spacing w:before="125"/>
        <w:ind w:left="124"/>
      </w:pPr>
      <w:r>
        <w:rPr>
          <w:color w:val="333333"/>
          <w:w w:val="110"/>
        </w:rPr>
        <w:t xml:space="preserve">By default, JDBC tests are transactional and roll back at the end of each test. See the </w:t>
      </w:r>
      <w:hyperlink r:id="rId339" w:anchor="testcontext-tx-enabling-transactions">
        <w:r>
          <w:rPr>
            <w:color w:val="418BCA"/>
            <w:w w:val="110"/>
          </w:rPr>
          <w:t>relevant section</w:t>
        </w:r>
      </w:hyperlink>
    </w:p>
    <w:p w14:paraId="56902B55" w14:textId="77777777" w:rsidR="00A720EB" w:rsidRDefault="00A720EB">
      <w:pPr>
        <w:sectPr w:rsidR="00A720EB">
          <w:pgSz w:w="11910" w:h="16840"/>
          <w:pgMar w:top="700" w:right="840" w:bottom="520" w:left="840" w:header="0" w:footer="323" w:gutter="0"/>
          <w:cols w:space="720"/>
        </w:sectPr>
      </w:pPr>
    </w:p>
    <w:p w14:paraId="73DB3112" w14:textId="77777777" w:rsidR="00A720EB" w:rsidRDefault="0030286B">
      <w:pPr>
        <w:pStyle w:val="a3"/>
        <w:spacing w:before="107" w:line="307" w:lineRule="auto"/>
        <w:ind w:left="124" w:right="359"/>
      </w:pPr>
      <w:r>
        <w:rPr>
          <w:color w:val="333333"/>
          <w:w w:val="110"/>
        </w:rPr>
        <w:lastRenderedPageBreak/>
        <w:t xml:space="preserve">in the Spring Framework Reference Documentation for more details. If that is not what you </w:t>
      </w:r>
      <w:proofErr w:type="gramStart"/>
      <w:r>
        <w:rPr>
          <w:color w:val="333333"/>
          <w:w w:val="110"/>
        </w:rPr>
        <w:t>want,  you</w:t>
      </w:r>
      <w:proofErr w:type="gramEnd"/>
      <w:r>
        <w:rPr>
          <w:color w:val="333333"/>
          <w:w w:val="110"/>
        </w:rPr>
        <w:t xml:space="preserve"> can disable transaction management for a test or for the whole class, as</w:t>
      </w:r>
      <w:r>
        <w:rPr>
          <w:color w:val="333333"/>
          <w:spacing w:val="5"/>
          <w:w w:val="110"/>
        </w:rPr>
        <w:t xml:space="preserve"> </w:t>
      </w:r>
      <w:r>
        <w:rPr>
          <w:color w:val="333333"/>
          <w:w w:val="110"/>
        </w:rPr>
        <w:t>follows:</w:t>
      </w:r>
    </w:p>
    <w:p w14:paraId="3AF66D89" w14:textId="77777777" w:rsidR="00A720EB" w:rsidRDefault="00E10349">
      <w:pPr>
        <w:pStyle w:val="a3"/>
        <w:spacing w:before="1"/>
        <w:rPr>
          <w:sz w:val="13"/>
        </w:rPr>
      </w:pPr>
      <w:r>
        <w:pict w14:anchorId="083F46CE">
          <v:group id="_x0000_s3594" style="position:absolute;margin-left:47.85pt;margin-top:9.7pt;width:499.55pt;height:170.15pt;z-index:-15327232;mso-wrap-distance-left:0;mso-wrap-distance-right:0;mso-position-horizontal-relative:page" coordorigin="957,194" coordsize="9991,3403">
            <v:shape id="_x0000_s3597" style="position:absolute;left:964;top:201;width:9976;height:3388" coordorigin="965,201" coordsize="9976,3388" path="m10861,201r-9816,l1014,207r-26,18l971,250r-6,31l965,3509r6,31l988,3566r26,17l1045,3589r9816,l10892,3583r25,-17l10935,3540r6,-31l10941,281r-6,-31l10917,225r-25,-18l10861,201xe" fillcolor="#f5f5f5" stroked="f">
              <v:path arrowok="t"/>
            </v:shape>
            <v:shape id="_x0000_s3596" style="position:absolute;left:964;top:201;width:9976;height:3388" coordorigin="965,201" coordsize="9976,3388" path="m1045,201r9816,l10892,207r25,18l10935,250r6,31l10941,3509r-6,31l10917,3566r-25,17l10861,3589r-9816,l1014,3583r-26,-17l971,3540r-6,-31l965,281r6,-31l988,225r26,-18l1045,201xe" filled="f" strokecolor="#ccc">
              <v:path arrowok="t"/>
            </v:shape>
            <v:shape id="_x0000_s3595" type="#_x0000_t202" style="position:absolute;left:984;top:216;width:9938;height:3358" filled="f" stroked="f">
              <v:textbox inset="0,0,0,0">
                <w:txbxContent>
                  <w:p w14:paraId="3507A8C2"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01E1DDC4" w14:textId="77777777" w:rsidR="00711A16" w:rsidRDefault="00711A16">
                    <w:pPr>
                      <w:spacing w:before="13" w:line="252" w:lineRule="auto"/>
                      <w:ind w:left="200" w:right="256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.boot.test.autoconfigure.jdbc.JdbcTest; import org.springframework.transaction.annotation.Propagation; import org.springframework.transaction.annotation.Transactional;</w:t>
                    </w:r>
                  </w:p>
                  <w:p w14:paraId="51056006" w14:textId="77777777" w:rsidR="00711A16" w:rsidRDefault="00711A16">
                    <w:pPr>
                      <w:spacing w:before="9"/>
                      <w:rPr>
                        <w:rFonts w:ascii="MS Gothic"/>
                      </w:rPr>
                    </w:pPr>
                  </w:p>
                  <w:p w14:paraId="5641AC62" w14:textId="77777777" w:rsidR="00711A16" w:rsidRDefault="00711A16">
                    <w:pPr>
                      <w:ind w:left="200"/>
                      <w:rPr>
                        <w:rFonts w:ascii="MS Gothic"/>
                      </w:rPr>
                    </w:pPr>
                    <w:r>
                      <w:rPr>
                        <w:rFonts w:ascii="MS Gothic"/>
                        <w:color w:val="333333"/>
                      </w:rPr>
                      <w:t>@JdbcTest</w:t>
                    </w:r>
                  </w:p>
                  <w:p w14:paraId="307F1327" w14:textId="77777777" w:rsidR="00711A16" w:rsidRDefault="00711A16">
                    <w:pPr>
                      <w:spacing w:before="13" w:line="252" w:lineRule="auto"/>
                      <w:ind w:left="200" w:right="3668"/>
                      <w:rPr>
                        <w:rFonts w:ascii="MS Gothic"/>
                      </w:rPr>
                    </w:pPr>
                    <w:r>
                      <w:rPr>
                        <w:rFonts w:ascii="MS Gothic"/>
                        <w:color w:val="333333"/>
                      </w:rPr>
                      <w:t>@</w:t>
                    </w:r>
                    <w:proofErr w:type="gramStart"/>
                    <w:r>
                      <w:rPr>
                        <w:rFonts w:ascii="MS Gothic"/>
                        <w:color w:val="333333"/>
                      </w:rPr>
                      <w:t>Transactional(</w:t>
                    </w:r>
                    <w:proofErr w:type="gramEnd"/>
                    <w:r>
                      <w:rPr>
                        <w:rFonts w:ascii="MS Gothic"/>
                        <w:color w:val="333333"/>
                      </w:rPr>
                      <w:t>propagation = Propagation.NOT_SUPPORTED) class ExampleNonTransactionalTests {</w:t>
                    </w:r>
                  </w:p>
                  <w:p w14:paraId="160E9A0F" w14:textId="77777777" w:rsidR="00711A16" w:rsidRDefault="00711A16">
                    <w:pPr>
                      <w:spacing w:before="10"/>
                      <w:rPr>
                        <w:rFonts w:ascii="MS Gothic"/>
                      </w:rPr>
                    </w:pPr>
                  </w:p>
                  <w:p w14:paraId="4938F196"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1AD4ED20" w14:textId="77777777" w:rsidR="00A720EB" w:rsidRDefault="00A720EB">
      <w:pPr>
        <w:pStyle w:val="a3"/>
        <w:spacing w:before="11"/>
        <w:rPr>
          <w:sz w:val="9"/>
        </w:rPr>
      </w:pPr>
    </w:p>
    <w:p w14:paraId="75999B9F" w14:textId="77777777" w:rsidR="00A720EB" w:rsidRDefault="0030286B">
      <w:pPr>
        <w:pStyle w:val="a3"/>
        <w:spacing w:before="115"/>
        <w:ind w:left="124"/>
        <w:rPr>
          <w:rFonts w:ascii="MS Gothic"/>
        </w:rPr>
      </w:pPr>
      <w:r>
        <w:rPr>
          <w:color w:val="333333"/>
          <w:w w:val="110"/>
        </w:rPr>
        <w:t xml:space="preserve">If you prefer your test to run against a real database, you can use the </w:t>
      </w:r>
      <w:r>
        <w:rPr>
          <w:rFonts w:ascii="MS Gothic"/>
          <w:color w:val="B02045"/>
          <w:w w:val="110"/>
        </w:rPr>
        <w:t>@AutoConfigureTestDatabase</w:t>
      </w:r>
    </w:p>
    <w:p w14:paraId="20F4090B" w14:textId="77777777" w:rsidR="00A720EB" w:rsidRDefault="0030286B">
      <w:pPr>
        <w:pStyle w:val="a3"/>
        <w:spacing w:before="47"/>
        <w:ind w:left="124"/>
      </w:pPr>
      <w:r>
        <w:rPr>
          <w:color w:val="333333"/>
          <w:w w:val="110"/>
        </w:rPr>
        <w:t xml:space="preserve">annotation in the same way as for </w:t>
      </w:r>
      <w:r>
        <w:rPr>
          <w:rFonts w:ascii="MS Gothic"/>
          <w:color w:val="B02045"/>
          <w:w w:val="110"/>
        </w:rPr>
        <w:t>DataJpaTest</w:t>
      </w:r>
      <w:r>
        <w:rPr>
          <w:color w:val="333333"/>
          <w:w w:val="110"/>
        </w:rPr>
        <w:t>. (See "</w:t>
      </w:r>
      <w:hyperlink w:anchor="_bookmark320" w:history="1">
        <w:r>
          <w:rPr>
            <w:color w:val="418BCA"/>
            <w:w w:val="110"/>
          </w:rPr>
          <w:t>Auto-configured Data JPA Tests</w:t>
        </w:r>
      </w:hyperlink>
      <w:r>
        <w:rPr>
          <w:color w:val="333333"/>
          <w:w w:val="110"/>
        </w:rPr>
        <w:t>".)</w:t>
      </w:r>
    </w:p>
    <w:p w14:paraId="4D0B9C39" w14:textId="77777777" w:rsidR="00A720EB" w:rsidRDefault="00A720EB">
      <w:pPr>
        <w:pStyle w:val="a3"/>
        <w:spacing w:before="5"/>
        <w:rPr>
          <w:sz w:val="30"/>
        </w:rPr>
      </w:pPr>
    </w:p>
    <w:p w14:paraId="51751D82" w14:textId="77777777" w:rsidR="00A720EB" w:rsidRDefault="0030286B">
      <w:pPr>
        <w:pStyle w:val="4"/>
        <w:jc w:val="left"/>
      </w:pPr>
      <w:bookmarkStart w:id="475" w:name="Auto-configured_Data_JDBC_Tests"/>
      <w:bookmarkEnd w:id="475"/>
      <w:r>
        <w:rPr>
          <w:color w:val="333333"/>
          <w:w w:val="110"/>
        </w:rPr>
        <w:t>Auto-configured Data JDBC Tests</w:t>
      </w:r>
    </w:p>
    <w:p w14:paraId="14F9E629" w14:textId="77777777" w:rsidR="00A720EB" w:rsidRDefault="0030286B">
      <w:pPr>
        <w:pStyle w:val="a3"/>
        <w:spacing w:before="244" w:line="280" w:lineRule="auto"/>
        <w:ind w:left="124" w:right="124"/>
        <w:jc w:val="both"/>
      </w:pPr>
      <w:r>
        <w:rPr>
          <w:rFonts w:ascii="MS Gothic"/>
          <w:color w:val="B02045"/>
          <w:w w:val="110"/>
        </w:rPr>
        <w:t xml:space="preserve">@DataJdbcTest </w:t>
      </w:r>
      <w:r>
        <w:rPr>
          <w:color w:val="333333"/>
          <w:w w:val="110"/>
        </w:rPr>
        <w:t xml:space="preserve">is similar to </w:t>
      </w:r>
      <w:r>
        <w:rPr>
          <w:rFonts w:ascii="MS Gothic"/>
          <w:color w:val="B02045"/>
          <w:w w:val="110"/>
        </w:rPr>
        <w:t xml:space="preserve">@JdbcTest </w:t>
      </w:r>
      <w:r>
        <w:rPr>
          <w:color w:val="333333"/>
          <w:w w:val="110"/>
        </w:rPr>
        <w:t xml:space="preserve">but is for tests that use Spring Data JDBC repositories. </w:t>
      </w:r>
      <w:r>
        <w:rPr>
          <w:color w:val="333333"/>
          <w:spacing w:val="-3"/>
          <w:w w:val="110"/>
        </w:rPr>
        <w:t xml:space="preserve">By </w:t>
      </w:r>
      <w:r>
        <w:rPr>
          <w:color w:val="333333"/>
          <w:w w:val="110"/>
        </w:rPr>
        <w:t xml:space="preserve">default, it configures an in-memory embedded database, a </w:t>
      </w:r>
      <w:r>
        <w:rPr>
          <w:rFonts w:ascii="MS Gothic"/>
          <w:color w:val="B02045"/>
          <w:w w:val="110"/>
        </w:rPr>
        <w:t>JdbcTemplate</w:t>
      </w:r>
      <w:r>
        <w:rPr>
          <w:color w:val="333333"/>
          <w:w w:val="110"/>
        </w:rPr>
        <w:t xml:space="preserve">, and Spring Data JDBC repositories. Regular </w:t>
      </w:r>
      <w:r>
        <w:rPr>
          <w:rFonts w:ascii="MS Gothic"/>
          <w:color w:val="B02045"/>
          <w:w w:val="110"/>
        </w:rPr>
        <w:t xml:space="preserve">@Component </w:t>
      </w:r>
      <w:r>
        <w:rPr>
          <w:color w:val="333333"/>
          <w:w w:val="110"/>
        </w:rPr>
        <w:t xml:space="preserve">and </w:t>
      </w:r>
      <w:r>
        <w:rPr>
          <w:rFonts w:ascii="MS Gothic"/>
          <w:color w:val="B02045"/>
          <w:w w:val="110"/>
        </w:rPr>
        <w:t xml:space="preserve">@ConfigurationProperties </w:t>
      </w:r>
      <w:r>
        <w:rPr>
          <w:color w:val="333333"/>
          <w:w w:val="110"/>
        </w:rPr>
        <w:t xml:space="preserve">beans are not scanned when the </w:t>
      </w:r>
      <w:r>
        <w:rPr>
          <w:rFonts w:ascii="MS Gothic"/>
          <w:color w:val="B02045"/>
          <w:w w:val="110"/>
        </w:rPr>
        <w:t xml:space="preserve">@DataJdbcTest </w:t>
      </w:r>
      <w:r>
        <w:rPr>
          <w:color w:val="333333"/>
          <w:w w:val="110"/>
        </w:rPr>
        <w:t xml:space="preserve">annotation is used. </w:t>
      </w:r>
      <w:r>
        <w:rPr>
          <w:rFonts w:ascii="MS Gothic"/>
          <w:color w:val="B02045"/>
          <w:w w:val="110"/>
        </w:rPr>
        <w:t xml:space="preserve">@EnableConfigurationProperties </w:t>
      </w:r>
      <w:r>
        <w:rPr>
          <w:color w:val="333333"/>
          <w:w w:val="110"/>
        </w:rPr>
        <w:t xml:space="preserve">can be used to include </w:t>
      </w:r>
      <w:r>
        <w:rPr>
          <w:rFonts w:ascii="MS Gothic"/>
          <w:color w:val="B02045"/>
          <w:w w:val="110"/>
        </w:rPr>
        <w:t>@ConfigurationProperties</w:t>
      </w:r>
      <w:r>
        <w:rPr>
          <w:rFonts w:ascii="MS Gothic"/>
          <w:color w:val="B02045"/>
          <w:spacing w:val="-64"/>
          <w:w w:val="110"/>
        </w:rPr>
        <w:t xml:space="preserve"> </w:t>
      </w:r>
      <w:r>
        <w:rPr>
          <w:color w:val="333333"/>
          <w:w w:val="110"/>
        </w:rPr>
        <w:t>beans.</w:t>
      </w:r>
    </w:p>
    <w:p w14:paraId="51FF75E1" w14:textId="77777777" w:rsidR="00A720EB" w:rsidRDefault="00A720EB">
      <w:pPr>
        <w:pStyle w:val="a3"/>
        <w:spacing w:before="7"/>
        <w:rPr>
          <w:sz w:val="27"/>
        </w:rPr>
      </w:pPr>
    </w:p>
    <w:p w14:paraId="505A216A" w14:textId="77777777" w:rsidR="00A720EB" w:rsidRDefault="00E10349">
      <w:pPr>
        <w:pStyle w:val="a3"/>
        <w:spacing w:before="1" w:line="290" w:lineRule="auto"/>
        <w:ind w:left="1564" w:right="359"/>
      </w:pPr>
      <w:r>
        <w:pict w14:anchorId="7E8BFFDC">
          <v:line id="_x0000_s3593" style="position:absolute;left:0;text-align:left;z-index:16131072;mso-position-horizontal-relative:page" from="108.25pt,-5.4pt" to="108.25pt,34.15pt" strokecolor="#ededed" strokeweight=".5pt">
            <w10:wrap anchorx="page"/>
          </v:line>
        </w:pict>
      </w:r>
      <w:r w:rsidR="0030286B">
        <w:rPr>
          <w:noProof/>
        </w:rPr>
        <w:drawing>
          <wp:anchor distT="0" distB="0" distL="0" distR="0" simplePos="0" relativeHeight="16131584" behindDoc="0" locked="0" layoutInCell="1" allowOverlap="1" wp14:anchorId="5BE38F82" wp14:editId="44056058">
            <wp:simplePos x="0" y="0"/>
            <wp:positionH relativeFrom="page">
              <wp:posOffset>888949</wp:posOffset>
            </wp:positionH>
            <wp:positionV relativeFrom="paragraph">
              <wp:posOffset>30048</wp:posOffset>
            </wp:positionV>
            <wp:extent cx="209550" cy="304800"/>
            <wp:effectExtent l="0" t="0" r="0" b="0"/>
            <wp:wrapNone/>
            <wp:docPr id="51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auto-configurations that are enabled by </w:t>
      </w:r>
      <w:r w:rsidR="0030286B">
        <w:rPr>
          <w:rFonts w:ascii="MS Gothic"/>
          <w:color w:val="B02045"/>
          <w:w w:val="110"/>
        </w:rPr>
        <w:t xml:space="preserve">@DataJdbcTest </w:t>
      </w:r>
      <w:r w:rsidR="0030286B">
        <w:rPr>
          <w:color w:val="333333"/>
          <w:w w:val="110"/>
        </w:rPr>
        <w:t xml:space="preserve">can be </w:t>
      </w:r>
      <w:hyperlink w:anchor="_bookmark689" w:history="1">
        <w:r w:rsidR="0030286B">
          <w:rPr>
            <w:color w:val="418BCA"/>
            <w:w w:val="110"/>
          </w:rPr>
          <w:t>found in</w:t>
        </w:r>
      </w:hyperlink>
      <w:r w:rsidR="0030286B">
        <w:rPr>
          <w:color w:val="418BCA"/>
          <w:w w:val="110"/>
        </w:rPr>
        <w:t xml:space="preserve"> </w:t>
      </w:r>
      <w:hyperlink w:anchor="_bookmark689" w:history="1">
        <w:r w:rsidR="0030286B">
          <w:rPr>
            <w:color w:val="418BCA"/>
            <w:w w:val="110"/>
          </w:rPr>
          <w:t>the appendix</w:t>
        </w:r>
      </w:hyperlink>
      <w:r w:rsidR="0030286B">
        <w:rPr>
          <w:color w:val="333333"/>
          <w:w w:val="110"/>
        </w:rPr>
        <w:t>.</w:t>
      </w:r>
    </w:p>
    <w:p w14:paraId="2CC0AFD5" w14:textId="77777777" w:rsidR="00A720EB" w:rsidRDefault="00A720EB">
      <w:pPr>
        <w:pStyle w:val="a3"/>
        <w:spacing w:before="9"/>
        <w:rPr>
          <w:sz w:val="28"/>
        </w:rPr>
      </w:pPr>
    </w:p>
    <w:p w14:paraId="77264D6D" w14:textId="77777777" w:rsidR="00A720EB" w:rsidRDefault="0030286B">
      <w:pPr>
        <w:pStyle w:val="a3"/>
        <w:spacing w:line="307" w:lineRule="auto"/>
        <w:ind w:left="124" w:right="122"/>
        <w:jc w:val="both"/>
      </w:pPr>
      <w:r>
        <w:rPr>
          <w:color w:val="333333"/>
          <w:w w:val="110"/>
        </w:rPr>
        <w:t xml:space="preserve">By default, Data JDBC tests are transactional and roll back at the end of each test. See the </w:t>
      </w:r>
      <w:hyperlink r:id="rId340" w:anchor="testcontext-tx-enabling-transactions">
        <w:r>
          <w:rPr>
            <w:color w:val="418BCA"/>
            <w:w w:val="110"/>
          </w:rPr>
          <w:t>relevant</w:t>
        </w:r>
      </w:hyperlink>
      <w:r>
        <w:rPr>
          <w:color w:val="418BCA"/>
          <w:w w:val="110"/>
        </w:rPr>
        <w:t xml:space="preserve"> </w:t>
      </w:r>
      <w:hyperlink r:id="rId341" w:anchor="testcontext-tx-enabling-transactions">
        <w:r>
          <w:rPr>
            <w:color w:val="418BCA"/>
            <w:w w:val="110"/>
          </w:rPr>
          <w:t xml:space="preserve">section </w:t>
        </w:r>
      </w:hyperlink>
      <w:r>
        <w:rPr>
          <w:color w:val="333333"/>
          <w:w w:val="110"/>
        </w:rPr>
        <w:t xml:space="preserve">in the Spring Framework Reference Documentation for more details. If that is not what you want, you can disable transaction management for a test or for the whole test class as </w:t>
      </w:r>
      <w:hyperlink w:anchor="_bookmark321" w:history="1">
        <w:r>
          <w:rPr>
            <w:color w:val="418BCA"/>
            <w:w w:val="110"/>
          </w:rPr>
          <w:t>shown in the</w:t>
        </w:r>
      </w:hyperlink>
      <w:r>
        <w:rPr>
          <w:color w:val="418BCA"/>
          <w:w w:val="110"/>
        </w:rPr>
        <w:t xml:space="preserve"> </w:t>
      </w:r>
      <w:hyperlink w:anchor="_bookmark321" w:history="1">
        <w:r>
          <w:rPr>
            <w:color w:val="418BCA"/>
            <w:w w:val="110"/>
          </w:rPr>
          <w:t>JDBC example</w:t>
        </w:r>
      </w:hyperlink>
      <w:r>
        <w:rPr>
          <w:color w:val="333333"/>
          <w:w w:val="110"/>
        </w:rPr>
        <w:t>.</w:t>
      </w:r>
    </w:p>
    <w:p w14:paraId="137540A4" w14:textId="77777777" w:rsidR="00A720EB" w:rsidRDefault="0030286B">
      <w:pPr>
        <w:pStyle w:val="a3"/>
        <w:spacing w:before="232"/>
        <w:ind w:left="124"/>
        <w:rPr>
          <w:rFonts w:ascii="MS Gothic"/>
        </w:rPr>
      </w:pPr>
      <w:r>
        <w:rPr>
          <w:color w:val="333333"/>
          <w:w w:val="110"/>
        </w:rPr>
        <w:t xml:space="preserve">If you prefer your test to run against a real database, you can use the </w:t>
      </w:r>
      <w:r>
        <w:rPr>
          <w:rFonts w:ascii="MS Gothic"/>
          <w:color w:val="B02045"/>
          <w:w w:val="110"/>
        </w:rPr>
        <w:t>@AutoConfigureTestDatabase</w:t>
      </w:r>
    </w:p>
    <w:p w14:paraId="143D98BD" w14:textId="77777777" w:rsidR="00A720EB" w:rsidRDefault="0030286B">
      <w:pPr>
        <w:pStyle w:val="a3"/>
        <w:spacing w:before="46"/>
        <w:ind w:left="124"/>
      </w:pPr>
      <w:r>
        <w:rPr>
          <w:color w:val="333333"/>
          <w:w w:val="110"/>
        </w:rPr>
        <w:t xml:space="preserve">annotation in the same way as for </w:t>
      </w:r>
      <w:r>
        <w:rPr>
          <w:rFonts w:ascii="MS Gothic"/>
          <w:color w:val="B02045"/>
          <w:w w:val="110"/>
        </w:rPr>
        <w:t>DataJpaTest</w:t>
      </w:r>
      <w:r>
        <w:rPr>
          <w:color w:val="333333"/>
          <w:w w:val="110"/>
        </w:rPr>
        <w:t>. (See "</w:t>
      </w:r>
      <w:hyperlink w:anchor="_bookmark320" w:history="1">
        <w:r>
          <w:rPr>
            <w:color w:val="418BCA"/>
            <w:w w:val="110"/>
          </w:rPr>
          <w:t>Auto-configured Data JPA Tests</w:t>
        </w:r>
      </w:hyperlink>
      <w:r>
        <w:rPr>
          <w:color w:val="333333"/>
          <w:w w:val="110"/>
        </w:rPr>
        <w:t>".)</w:t>
      </w:r>
    </w:p>
    <w:p w14:paraId="1A19573D" w14:textId="77777777" w:rsidR="00A720EB" w:rsidRDefault="00A720EB">
      <w:pPr>
        <w:pStyle w:val="a3"/>
        <w:spacing w:before="6"/>
        <w:rPr>
          <w:sz w:val="30"/>
        </w:rPr>
      </w:pPr>
    </w:p>
    <w:p w14:paraId="59348B10" w14:textId="77777777" w:rsidR="00A720EB" w:rsidRDefault="0030286B">
      <w:pPr>
        <w:pStyle w:val="4"/>
      </w:pPr>
      <w:bookmarkStart w:id="476" w:name="Auto-configured_jOOQ_Tests"/>
      <w:bookmarkEnd w:id="476"/>
      <w:r>
        <w:rPr>
          <w:color w:val="333333"/>
          <w:w w:val="110"/>
        </w:rPr>
        <w:t>Auto-configured jOOQ Tests</w:t>
      </w:r>
    </w:p>
    <w:p w14:paraId="4FC7BEBA" w14:textId="77777777" w:rsidR="00A720EB" w:rsidRDefault="0030286B">
      <w:pPr>
        <w:pStyle w:val="a3"/>
        <w:spacing w:before="244" w:line="285" w:lineRule="auto"/>
        <w:ind w:left="124" w:right="122"/>
        <w:jc w:val="both"/>
      </w:pPr>
      <w:r>
        <w:rPr>
          <w:color w:val="333333"/>
          <w:spacing w:val="-6"/>
          <w:w w:val="110"/>
        </w:rPr>
        <w:t xml:space="preserve">You </w:t>
      </w:r>
      <w:r>
        <w:rPr>
          <w:color w:val="333333"/>
          <w:w w:val="110"/>
        </w:rPr>
        <w:t xml:space="preserve">can use </w:t>
      </w:r>
      <w:r>
        <w:rPr>
          <w:rFonts w:ascii="MS Gothic"/>
          <w:color w:val="B02045"/>
          <w:w w:val="110"/>
        </w:rPr>
        <w:t xml:space="preserve">@JooqTest </w:t>
      </w:r>
      <w:r>
        <w:rPr>
          <w:color w:val="333333"/>
          <w:w w:val="110"/>
        </w:rPr>
        <w:t xml:space="preserve">in a similar fashion as </w:t>
      </w:r>
      <w:r>
        <w:rPr>
          <w:rFonts w:ascii="MS Gothic"/>
          <w:color w:val="B02045"/>
          <w:w w:val="110"/>
        </w:rPr>
        <w:t xml:space="preserve">@JdbcTest </w:t>
      </w:r>
      <w:r>
        <w:rPr>
          <w:color w:val="333333"/>
          <w:w w:val="110"/>
        </w:rPr>
        <w:t xml:space="preserve">but for jOOQ-related tests. As jOOQ relies heavily on a Java-based schema that corresponds with the database schema, the existing </w:t>
      </w:r>
      <w:r>
        <w:rPr>
          <w:rFonts w:ascii="MS Gothic"/>
          <w:color w:val="B02045"/>
          <w:w w:val="110"/>
        </w:rPr>
        <w:t xml:space="preserve">DataSource </w:t>
      </w:r>
      <w:r>
        <w:rPr>
          <w:color w:val="333333"/>
          <w:w w:val="110"/>
        </w:rPr>
        <w:t xml:space="preserve">is used. If you want to replace it with an in-memory database, you can use </w:t>
      </w:r>
      <w:r>
        <w:rPr>
          <w:rFonts w:ascii="MS Gothic"/>
          <w:color w:val="B02045"/>
          <w:w w:val="110"/>
        </w:rPr>
        <w:t xml:space="preserve">@AutoConfigureTestDatabase </w:t>
      </w:r>
      <w:r>
        <w:rPr>
          <w:color w:val="333333"/>
          <w:w w:val="110"/>
        </w:rPr>
        <w:t xml:space="preserve">to override those settings. </w:t>
      </w:r>
      <w:r>
        <w:rPr>
          <w:color w:val="333333"/>
          <w:spacing w:val="-3"/>
          <w:w w:val="110"/>
        </w:rPr>
        <w:t xml:space="preserve">(For </w:t>
      </w:r>
      <w:r>
        <w:rPr>
          <w:color w:val="333333"/>
          <w:w w:val="110"/>
        </w:rPr>
        <w:t>more about using jOOQ with Spring Boot, see "</w:t>
      </w:r>
      <w:hyperlink w:anchor="_bookmark212" w:history="1">
        <w:r>
          <w:rPr>
            <w:color w:val="418BCA"/>
            <w:w w:val="110"/>
          </w:rPr>
          <w:t>Using jOOQ</w:t>
        </w:r>
      </w:hyperlink>
      <w:r>
        <w:rPr>
          <w:color w:val="333333"/>
          <w:w w:val="110"/>
        </w:rPr>
        <w:t xml:space="preserve">", earlier in this chapter.) Regular </w:t>
      </w:r>
      <w:r>
        <w:rPr>
          <w:rFonts w:ascii="MS Gothic"/>
          <w:color w:val="B02045"/>
          <w:w w:val="110"/>
        </w:rPr>
        <w:t xml:space="preserve">@Component </w:t>
      </w:r>
      <w:r>
        <w:rPr>
          <w:color w:val="333333"/>
          <w:w w:val="110"/>
        </w:rPr>
        <w:t xml:space="preserve">and </w:t>
      </w:r>
      <w:r>
        <w:rPr>
          <w:rFonts w:ascii="MS Gothic"/>
          <w:color w:val="B02045"/>
          <w:w w:val="110"/>
        </w:rPr>
        <w:t xml:space="preserve">@ConfigurationProperties </w:t>
      </w:r>
      <w:r>
        <w:rPr>
          <w:color w:val="333333"/>
          <w:w w:val="110"/>
        </w:rPr>
        <w:t>beans</w:t>
      </w:r>
      <w:r>
        <w:rPr>
          <w:color w:val="333333"/>
          <w:spacing w:val="-11"/>
          <w:w w:val="110"/>
        </w:rPr>
        <w:t xml:space="preserve"> </w:t>
      </w:r>
      <w:r>
        <w:rPr>
          <w:color w:val="333333"/>
          <w:w w:val="110"/>
        </w:rPr>
        <w:t>are</w:t>
      </w:r>
      <w:r>
        <w:rPr>
          <w:color w:val="333333"/>
          <w:spacing w:val="-11"/>
          <w:w w:val="110"/>
        </w:rPr>
        <w:t xml:space="preserve"> </w:t>
      </w:r>
      <w:r>
        <w:rPr>
          <w:color w:val="333333"/>
          <w:w w:val="110"/>
        </w:rPr>
        <w:t>not</w:t>
      </w:r>
      <w:r>
        <w:rPr>
          <w:color w:val="333333"/>
          <w:spacing w:val="-10"/>
          <w:w w:val="110"/>
        </w:rPr>
        <w:t xml:space="preserve"> </w:t>
      </w:r>
      <w:r>
        <w:rPr>
          <w:color w:val="333333"/>
          <w:w w:val="110"/>
        </w:rPr>
        <w:t>scanned</w:t>
      </w:r>
      <w:r>
        <w:rPr>
          <w:color w:val="333333"/>
          <w:spacing w:val="-11"/>
          <w:w w:val="110"/>
        </w:rPr>
        <w:t xml:space="preserve"> </w:t>
      </w:r>
      <w:r>
        <w:rPr>
          <w:color w:val="333333"/>
          <w:w w:val="110"/>
        </w:rPr>
        <w:t>when</w:t>
      </w:r>
      <w:r>
        <w:rPr>
          <w:color w:val="333333"/>
          <w:spacing w:val="-10"/>
          <w:w w:val="110"/>
        </w:rPr>
        <w:t xml:space="preserve"> </w:t>
      </w:r>
      <w:r>
        <w:rPr>
          <w:color w:val="333333"/>
          <w:w w:val="110"/>
        </w:rPr>
        <w:t>the</w:t>
      </w:r>
      <w:r>
        <w:rPr>
          <w:color w:val="333333"/>
          <w:spacing w:val="-9"/>
          <w:w w:val="110"/>
        </w:rPr>
        <w:t xml:space="preserve"> </w:t>
      </w:r>
      <w:r>
        <w:rPr>
          <w:rFonts w:ascii="MS Gothic"/>
          <w:color w:val="B02045"/>
          <w:w w:val="110"/>
        </w:rPr>
        <w:t>@JooqTest</w:t>
      </w:r>
      <w:r>
        <w:rPr>
          <w:rFonts w:ascii="MS Gothic"/>
          <w:color w:val="B02045"/>
          <w:spacing w:val="-75"/>
          <w:w w:val="110"/>
        </w:rPr>
        <w:t xml:space="preserve"> </w:t>
      </w:r>
      <w:r>
        <w:rPr>
          <w:color w:val="333333"/>
          <w:w w:val="110"/>
        </w:rPr>
        <w:t>annotation</w:t>
      </w:r>
      <w:r>
        <w:rPr>
          <w:color w:val="333333"/>
          <w:spacing w:val="-11"/>
          <w:w w:val="110"/>
        </w:rPr>
        <w:t xml:space="preserve"> </w:t>
      </w:r>
      <w:r>
        <w:rPr>
          <w:color w:val="333333"/>
          <w:w w:val="110"/>
        </w:rPr>
        <w:t>is</w:t>
      </w:r>
      <w:r>
        <w:rPr>
          <w:color w:val="333333"/>
          <w:spacing w:val="-10"/>
          <w:w w:val="110"/>
        </w:rPr>
        <w:t xml:space="preserve"> </w:t>
      </w:r>
      <w:r>
        <w:rPr>
          <w:color w:val="333333"/>
          <w:w w:val="110"/>
        </w:rPr>
        <w:t>used.</w:t>
      </w:r>
      <w:r>
        <w:rPr>
          <w:color w:val="333333"/>
          <w:spacing w:val="-8"/>
          <w:w w:val="110"/>
        </w:rPr>
        <w:t xml:space="preserve"> </w:t>
      </w:r>
      <w:r>
        <w:rPr>
          <w:rFonts w:ascii="MS Gothic"/>
          <w:color w:val="B02045"/>
          <w:w w:val="110"/>
        </w:rPr>
        <w:t>@EnableConfigurationProperties</w:t>
      </w:r>
      <w:r>
        <w:rPr>
          <w:rFonts w:ascii="MS Gothic"/>
          <w:color w:val="B02045"/>
          <w:spacing w:val="-75"/>
          <w:w w:val="110"/>
        </w:rPr>
        <w:t xml:space="preserve"> </w:t>
      </w:r>
      <w:r>
        <w:rPr>
          <w:color w:val="333333"/>
          <w:w w:val="110"/>
        </w:rPr>
        <w:t xml:space="preserve">can be used to include </w:t>
      </w:r>
      <w:r>
        <w:rPr>
          <w:rFonts w:ascii="MS Gothic"/>
          <w:color w:val="B02045"/>
          <w:w w:val="110"/>
        </w:rPr>
        <w:t>@ConfigurationProperties</w:t>
      </w:r>
      <w:r>
        <w:rPr>
          <w:rFonts w:ascii="MS Gothic"/>
          <w:color w:val="B02045"/>
          <w:spacing w:val="-61"/>
          <w:w w:val="110"/>
        </w:rPr>
        <w:t xml:space="preserve"> </w:t>
      </w:r>
      <w:r>
        <w:rPr>
          <w:color w:val="333333"/>
          <w:w w:val="110"/>
        </w:rPr>
        <w:t>beans.</w:t>
      </w:r>
    </w:p>
    <w:p w14:paraId="3CECBE36" w14:textId="77777777" w:rsidR="00A720EB" w:rsidRDefault="00A720EB">
      <w:pPr>
        <w:pStyle w:val="a3"/>
        <w:spacing w:before="10"/>
        <w:rPr>
          <w:sz w:val="26"/>
        </w:rPr>
      </w:pPr>
    </w:p>
    <w:p w14:paraId="6149F2E2" w14:textId="77777777" w:rsidR="00A720EB" w:rsidRDefault="00E10349">
      <w:pPr>
        <w:pStyle w:val="a3"/>
        <w:ind w:left="1564"/>
      </w:pPr>
      <w:r>
        <w:pict w14:anchorId="1D4DDBF3">
          <v:shape id="_x0000_s3592" type="#_x0000_t202" style="position:absolute;left:0;text-align:left;margin-left:120.25pt;margin-top:14.65pt;width:49.65pt;height:14.3pt;z-index:-15326720;mso-wrap-distance-left:0;mso-wrap-distance-right:0;mso-position-horizontal-relative:page" filled="f" stroked="f">
            <v:textbox inset="0,0,0,0">
              <w:txbxContent>
                <w:p w14:paraId="0ED22B7B" w14:textId="77777777" w:rsidR="00711A16" w:rsidRDefault="00711A16">
                  <w:pPr>
                    <w:pStyle w:val="a3"/>
                    <w:spacing w:before="25"/>
                  </w:pPr>
                  <w:hyperlink w:anchor="_bookmark689" w:history="1">
                    <w:r>
                      <w:rPr>
                        <w:color w:val="418BCA"/>
                        <w:w w:val="110"/>
                      </w:rPr>
                      <w:t>appendix</w:t>
                    </w:r>
                  </w:hyperlink>
                  <w:r>
                    <w:rPr>
                      <w:color w:val="333333"/>
                      <w:w w:val="110"/>
                    </w:rPr>
                    <w:t>.</w:t>
                  </w:r>
                </w:p>
              </w:txbxContent>
            </v:textbox>
            <w10:wrap type="topAndBottom" anchorx="page"/>
          </v:shape>
        </w:pict>
      </w:r>
      <w:r>
        <w:pict w14:anchorId="4EFBB3CC">
          <v:line id="_x0000_s3591" style="position:absolute;left:0;text-align:left;z-index:16132096;mso-position-horizontal-relative:page" from="108.25pt,-5.45pt" to="108.25pt,34.1pt" strokecolor="#ededed" strokeweight=".5pt">
            <w10:wrap anchorx="page"/>
          </v:line>
        </w:pict>
      </w:r>
      <w:r w:rsidR="0030286B">
        <w:rPr>
          <w:noProof/>
        </w:rPr>
        <w:drawing>
          <wp:anchor distT="0" distB="0" distL="0" distR="0" simplePos="0" relativeHeight="16132608" behindDoc="0" locked="0" layoutInCell="1" allowOverlap="1" wp14:anchorId="292D6DA1" wp14:editId="4ED38F21">
            <wp:simplePos x="0" y="0"/>
            <wp:positionH relativeFrom="page">
              <wp:posOffset>888949</wp:posOffset>
            </wp:positionH>
            <wp:positionV relativeFrom="paragraph">
              <wp:posOffset>29413</wp:posOffset>
            </wp:positionV>
            <wp:extent cx="209550" cy="304800"/>
            <wp:effectExtent l="0" t="0" r="0" b="0"/>
            <wp:wrapNone/>
            <wp:docPr id="51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auto-configurations that are enabled </w:t>
      </w:r>
      <w:r w:rsidR="0030286B">
        <w:rPr>
          <w:color w:val="333333"/>
          <w:spacing w:val="-3"/>
          <w:w w:val="110"/>
        </w:rPr>
        <w:t xml:space="preserve">by </w:t>
      </w:r>
      <w:r w:rsidR="0030286B">
        <w:rPr>
          <w:rFonts w:ascii="MS Gothic"/>
          <w:color w:val="B02045"/>
          <w:w w:val="110"/>
        </w:rPr>
        <w:t>@JooqTest</w:t>
      </w:r>
      <w:r w:rsidR="0030286B">
        <w:rPr>
          <w:rFonts w:ascii="MS Gothic"/>
          <w:color w:val="B02045"/>
          <w:spacing w:val="-51"/>
          <w:w w:val="110"/>
        </w:rPr>
        <w:t xml:space="preserve"> </w:t>
      </w:r>
      <w:r w:rsidR="0030286B">
        <w:rPr>
          <w:color w:val="333333"/>
          <w:w w:val="110"/>
        </w:rPr>
        <w:t xml:space="preserve">can be </w:t>
      </w:r>
      <w:hyperlink w:anchor="_bookmark689" w:history="1">
        <w:r w:rsidR="0030286B">
          <w:rPr>
            <w:color w:val="418BCA"/>
            <w:w w:val="110"/>
          </w:rPr>
          <w:t>found in the</w:t>
        </w:r>
      </w:hyperlink>
    </w:p>
    <w:p w14:paraId="6CF7BD10" w14:textId="77777777" w:rsidR="00A720EB" w:rsidRDefault="00A720EB">
      <w:pPr>
        <w:sectPr w:rsidR="00A720EB">
          <w:pgSz w:w="11910" w:h="16840"/>
          <w:pgMar w:top="620" w:right="840" w:bottom="520" w:left="840" w:header="0" w:footer="323" w:gutter="0"/>
          <w:cols w:space="720"/>
        </w:sectPr>
      </w:pPr>
    </w:p>
    <w:p w14:paraId="771CFD67" w14:textId="77777777" w:rsidR="00A720EB" w:rsidRDefault="0030286B">
      <w:pPr>
        <w:pStyle w:val="a3"/>
        <w:spacing w:before="91"/>
        <w:ind w:left="124"/>
      </w:pPr>
      <w:r>
        <w:rPr>
          <w:rFonts w:ascii="MS Gothic"/>
          <w:color w:val="B02045"/>
          <w:w w:val="110"/>
        </w:rPr>
        <w:lastRenderedPageBreak/>
        <w:t>@JooqTest</w:t>
      </w:r>
      <w:r>
        <w:rPr>
          <w:rFonts w:ascii="MS Gothic"/>
          <w:color w:val="B02045"/>
          <w:spacing w:val="-73"/>
          <w:w w:val="110"/>
        </w:rPr>
        <w:t xml:space="preserve"> </w:t>
      </w:r>
      <w:r>
        <w:rPr>
          <w:color w:val="333333"/>
          <w:w w:val="110"/>
        </w:rPr>
        <w:t xml:space="preserve">configures a </w:t>
      </w:r>
      <w:r>
        <w:rPr>
          <w:rFonts w:ascii="MS Gothic"/>
          <w:color w:val="B02045"/>
          <w:w w:val="110"/>
        </w:rPr>
        <w:t>DSLContext</w:t>
      </w:r>
      <w:r>
        <w:rPr>
          <w:color w:val="333333"/>
          <w:w w:val="110"/>
        </w:rPr>
        <w:t xml:space="preserve">. The following example shows the </w:t>
      </w:r>
      <w:r>
        <w:rPr>
          <w:rFonts w:ascii="MS Gothic"/>
          <w:color w:val="B02045"/>
          <w:w w:val="110"/>
        </w:rPr>
        <w:t>@JooqTest</w:t>
      </w:r>
      <w:r>
        <w:rPr>
          <w:rFonts w:ascii="MS Gothic"/>
          <w:color w:val="B02045"/>
          <w:spacing w:val="-73"/>
          <w:w w:val="110"/>
        </w:rPr>
        <w:t xml:space="preserve"> </w:t>
      </w:r>
      <w:r>
        <w:rPr>
          <w:color w:val="333333"/>
          <w:w w:val="110"/>
        </w:rPr>
        <w:t>annotation in use:</w:t>
      </w:r>
    </w:p>
    <w:p w14:paraId="2E325C85" w14:textId="77777777" w:rsidR="00A720EB" w:rsidRDefault="00E10349">
      <w:pPr>
        <w:pStyle w:val="a3"/>
        <w:spacing w:before="11"/>
        <w:rPr>
          <w:sz w:val="17"/>
        </w:rPr>
      </w:pPr>
      <w:r>
        <w:pict w14:anchorId="2526D66F">
          <v:group id="_x0000_s3587" style="position:absolute;margin-left:47.85pt;margin-top:12.5pt;width:499.55pt;height:170.15pt;z-index:-15324160;mso-wrap-distance-left:0;mso-wrap-distance-right:0;mso-position-horizontal-relative:page" coordorigin="957,250" coordsize="9991,3403">
            <v:shape id="_x0000_s3590" style="position:absolute;left:964;top:257;width:9976;height:3388" coordorigin="965,258" coordsize="9976,3388" path="m10861,258r-9816,l1014,264r-26,17l971,307r-6,31l965,3566r6,31l988,3622r26,17l1045,3646r9816,l10892,3639r25,-17l10935,3597r6,-31l10941,338r-6,-31l10917,281r-25,-17l10861,258xe" fillcolor="#f5f5f5" stroked="f">
              <v:path arrowok="t"/>
            </v:shape>
            <v:shape id="_x0000_s3589" style="position:absolute;left:964;top:257;width:9976;height:3388" coordorigin="965,258" coordsize="9976,3388" path="m1045,258r9816,l10892,264r25,17l10935,307r6,31l10941,3566r-6,31l10917,3622r-25,17l10861,3646r-9816,l1014,3639r-26,-17l971,3597r-6,-31l965,338r6,-31l988,281r26,-17l1045,258xe" filled="f" strokecolor="#ccc">
              <v:path arrowok="t"/>
            </v:shape>
            <v:shape id="_x0000_s3588" type="#_x0000_t202" style="position:absolute;left:984;top:273;width:9938;height:3358" filled="f" stroked="f">
              <v:textbox inset="0,0,0,0">
                <w:txbxContent>
                  <w:p w14:paraId="7830BC8B"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org.jooq</w:t>
                    </w:r>
                    <w:proofErr w:type="gramEnd"/>
                    <w:r>
                      <w:rPr>
                        <w:rFonts w:ascii="MS Gothic"/>
                        <w:color w:val="333333"/>
                      </w:rPr>
                      <w:t>.DSLContext;</w:t>
                    </w:r>
                  </w:p>
                  <w:p w14:paraId="00BE1B9C" w14:textId="77777777" w:rsidR="00711A16" w:rsidRDefault="00711A16">
                    <w:pPr>
                      <w:spacing w:before="13"/>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1835CD92" w14:textId="77777777" w:rsidR="00711A16" w:rsidRDefault="00711A16">
                    <w:pPr>
                      <w:spacing w:before="13"/>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.boot.test.autoconfigure.jooq.JooqTest;</w:t>
                    </w:r>
                  </w:p>
                  <w:p w14:paraId="631C1FB9" w14:textId="77777777" w:rsidR="00711A16" w:rsidRDefault="00711A16">
                    <w:pPr>
                      <w:rPr>
                        <w:rFonts w:ascii="MS Gothic"/>
                        <w:sz w:val="24"/>
                      </w:rPr>
                    </w:pPr>
                  </w:p>
                  <w:p w14:paraId="48F9DEB3" w14:textId="77777777" w:rsidR="00711A16" w:rsidRDefault="00711A16">
                    <w:pPr>
                      <w:ind w:left="200"/>
                      <w:rPr>
                        <w:rFonts w:ascii="MS Gothic"/>
                      </w:rPr>
                    </w:pPr>
                    <w:r>
                      <w:rPr>
                        <w:rFonts w:ascii="MS Gothic"/>
                        <w:color w:val="333333"/>
                      </w:rPr>
                      <w:t>@JooqTest</w:t>
                    </w:r>
                  </w:p>
                  <w:p w14:paraId="34E15D22" w14:textId="77777777" w:rsidR="00711A16" w:rsidRDefault="00711A16">
                    <w:pPr>
                      <w:spacing w:before="13"/>
                      <w:ind w:left="200"/>
                      <w:rPr>
                        <w:rFonts w:ascii="MS Gothic"/>
                      </w:rPr>
                    </w:pPr>
                    <w:r>
                      <w:rPr>
                        <w:rFonts w:ascii="MS Gothic"/>
                        <w:color w:val="333333"/>
                      </w:rPr>
                      <w:t>class ExampleJooqTests {</w:t>
                    </w:r>
                  </w:p>
                  <w:p w14:paraId="44BEAE9A" w14:textId="77777777" w:rsidR="00711A16" w:rsidRDefault="00711A16">
                    <w:pPr>
                      <w:rPr>
                        <w:rFonts w:ascii="MS Gothic"/>
                        <w:sz w:val="24"/>
                      </w:rPr>
                    </w:pPr>
                  </w:p>
                  <w:p w14:paraId="623D2E33" w14:textId="77777777" w:rsidR="00711A16" w:rsidRDefault="00711A16">
                    <w:pPr>
                      <w:ind w:left="640"/>
                      <w:rPr>
                        <w:rFonts w:ascii="MS Gothic"/>
                      </w:rPr>
                    </w:pPr>
                    <w:r>
                      <w:rPr>
                        <w:rFonts w:ascii="MS Gothic"/>
                        <w:color w:val="333333"/>
                      </w:rPr>
                      <w:t>@Autowired</w:t>
                    </w:r>
                  </w:p>
                  <w:p w14:paraId="602235B7" w14:textId="77777777" w:rsidR="00711A16" w:rsidRDefault="00711A16">
                    <w:pPr>
                      <w:spacing w:before="13"/>
                      <w:ind w:left="640"/>
                      <w:rPr>
                        <w:rFonts w:ascii="MS Gothic"/>
                      </w:rPr>
                    </w:pPr>
                    <w:r>
                      <w:rPr>
                        <w:rFonts w:ascii="MS Gothic"/>
                        <w:color w:val="333333"/>
                      </w:rPr>
                      <w:t>private DSLContext dslContext;</w:t>
                    </w:r>
                  </w:p>
                  <w:p w14:paraId="1B73897F"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5D1416C8" w14:textId="77777777" w:rsidR="00A720EB" w:rsidRDefault="00A720EB">
      <w:pPr>
        <w:pStyle w:val="a3"/>
        <w:rPr>
          <w:sz w:val="10"/>
        </w:rPr>
      </w:pPr>
    </w:p>
    <w:p w14:paraId="66BAE6E6" w14:textId="77777777" w:rsidR="00A720EB" w:rsidRDefault="0030286B">
      <w:pPr>
        <w:pStyle w:val="a3"/>
        <w:spacing w:before="125" w:line="307" w:lineRule="auto"/>
        <w:ind w:left="124" w:right="123"/>
        <w:jc w:val="both"/>
      </w:pPr>
      <w:r>
        <w:rPr>
          <w:color w:val="333333"/>
          <w:w w:val="110"/>
        </w:rPr>
        <w:t xml:space="preserve">JOOQ tests are transactional and roll back at the end of each test by default. If that is not what you want, you can disable transaction management for a test or for the whole test class as </w:t>
      </w:r>
      <w:hyperlink w:anchor="_bookmark321" w:history="1">
        <w:r>
          <w:rPr>
            <w:color w:val="418BCA"/>
            <w:w w:val="110"/>
          </w:rPr>
          <w:t>shown in the</w:t>
        </w:r>
      </w:hyperlink>
      <w:r>
        <w:rPr>
          <w:color w:val="418BCA"/>
          <w:w w:val="110"/>
        </w:rPr>
        <w:t xml:space="preserve"> </w:t>
      </w:r>
      <w:hyperlink w:anchor="_bookmark321" w:history="1">
        <w:r>
          <w:rPr>
            <w:color w:val="418BCA"/>
            <w:w w:val="110"/>
          </w:rPr>
          <w:t>JDBC example</w:t>
        </w:r>
      </w:hyperlink>
      <w:r>
        <w:rPr>
          <w:color w:val="333333"/>
          <w:w w:val="110"/>
        </w:rPr>
        <w:t>.</w:t>
      </w:r>
    </w:p>
    <w:p w14:paraId="2B38E324" w14:textId="77777777" w:rsidR="00A720EB" w:rsidRDefault="00A720EB">
      <w:pPr>
        <w:pStyle w:val="a3"/>
        <w:spacing w:before="8"/>
        <w:rPr>
          <w:sz w:val="25"/>
        </w:rPr>
      </w:pPr>
    </w:p>
    <w:p w14:paraId="406EB0E6" w14:textId="77777777" w:rsidR="00A720EB" w:rsidRDefault="0030286B">
      <w:pPr>
        <w:pStyle w:val="4"/>
        <w:spacing w:before="1"/>
      </w:pPr>
      <w:bookmarkStart w:id="477" w:name="Auto-configured_Data_MongoDB_Tests"/>
      <w:bookmarkEnd w:id="477"/>
      <w:r>
        <w:rPr>
          <w:color w:val="333333"/>
          <w:w w:val="110"/>
        </w:rPr>
        <w:t>Auto-configured Data MongoDB Tests</w:t>
      </w:r>
    </w:p>
    <w:p w14:paraId="718532B4" w14:textId="77777777" w:rsidR="00A720EB" w:rsidRDefault="0030286B">
      <w:pPr>
        <w:pStyle w:val="a3"/>
        <w:spacing w:before="243" w:line="283" w:lineRule="auto"/>
        <w:ind w:left="124" w:right="122"/>
        <w:jc w:val="both"/>
      </w:pPr>
      <w:r>
        <w:rPr>
          <w:color w:val="333333"/>
          <w:spacing w:val="-6"/>
          <w:w w:val="110"/>
        </w:rPr>
        <w:t xml:space="preserve">You </w:t>
      </w:r>
      <w:r>
        <w:rPr>
          <w:color w:val="333333"/>
          <w:w w:val="110"/>
        </w:rPr>
        <w:t xml:space="preserve">can use </w:t>
      </w:r>
      <w:r>
        <w:rPr>
          <w:rFonts w:ascii="MS Gothic"/>
          <w:color w:val="B02045"/>
          <w:w w:val="110"/>
        </w:rPr>
        <w:t xml:space="preserve">@DataMongoTest </w:t>
      </w:r>
      <w:r>
        <w:rPr>
          <w:color w:val="333333"/>
          <w:w w:val="110"/>
        </w:rPr>
        <w:t xml:space="preserve">to test MongoDB applications. </w:t>
      </w:r>
      <w:r>
        <w:rPr>
          <w:color w:val="333333"/>
          <w:spacing w:val="-3"/>
          <w:w w:val="110"/>
        </w:rPr>
        <w:t xml:space="preserve">By </w:t>
      </w:r>
      <w:r>
        <w:rPr>
          <w:color w:val="333333"/>
          <w:w w:val="110"/>
        </w:rPr>
        <w:t xml:space="preserve">default, it configures an in-memory embedded MongoDB (if available), configures a </w:t>
      </w:r>
      <w:r>
        <w:rPr>
          <w:rFonts w:ascii="MS Gothic"/>
          <w:color w:val="B02045"/>
          <w:w w:val="110"/>
        </w:rPr>
        <w:t>MongoTemplate</w:t>
      </w:r>
      <w:r>
        <w:rPr>
          <w:color w:val="333333"/>
          <w:w w:val="110"/>
        </w:rPr>
        <w:t xml:space="preserve">, scans for </w:t>
      </w:r>
      <w:r>
        <w:rPr>
          <w:rFonts w:ascii="MS Gothic"/>
          <w:color w:val="B02045"/>
          <w:w w:val="110"/>
        </w:rPr>
        <w:t xml:space="preserve">@Document </w:t>
      </w:r>
      <w:r>
        <w:rPr>
          <w:color w:val="333333"/>
          <w:w w:val="110"/>
        </w:rPr>
        <w:t xml:space="preserve">classes, </w:t>
      </w:r>
      <w:proofErr w:type="gramStart"/>
      <w:r>
        <w:rPr>
          <w:color w:val="333333"/>
          <w:w w:val="110"/>
        </w:rPr>
        <w:t>and  configures</w:t>
      </w:r>
      <w:proofErr w:type="gramEnd"/>
      <w:r>
        <w:rPr>
          <w:color w:val="333333"/>
          <w:w w:val="110"/>
        </w:rPr>
        <w:t xml:space="preserve"> Spring Data MongoDB repositories. Regular </w:t>
      </w:r>
      <w:r>
        <w:rPr>
          <w:rFonts w:ascii="MS Gothic"/>
          <w:color w:val="B02045"/>
          <w:w w:val="110"/>
        </w:rPr>
        <w:t xml:space="preserve">@Component </w:t>
      </w:r>
      <w:r>
        <w:rPr>
          <w:color w:val="333333"/>
          <w:w w:val="110"/>
        </w:rPr>
        <w:t xml:space="preserve">and </w:t>
      </w:r>
      <w:r>
        <w:rPr>
          <w:rFonts w:ascii="MS Gothic"/>
          <w:color w:val="B02045"/>
          <w:w w:val="110"/>
        </w:rPr>
        <w:t xml:space="preserve">@ConfigurationProperties </w:t>
      </w:r>
      <w:r>
        <w:rPr>
          <w:color w:val="333333"/>
          <w:w w:val="110"/>
        </w:rPr>
        <w:t>beans</w:t>
      </w:r>
      <w:r>
        <w:rPr>
          <w:color w:val="333333"/>
          <w:spacing w:val="-30"/>
          <w:w w:val="110"/>
        </w:rPr>
        <w:t xml:space="preserve"> </w:t>
      </w:r>
      <w:r>
        <w:rPr>
          <w:color w:val="333333"/>
          <w:w w:val="110"/>
        </w:rPr>
        <w:t>are</w:t>
      </w:r>
      <w:r>
        <w:rPr>
          <w:color w:val="333333"/>
          <w:spacing w:val="-29"/>
          <w:w w:val="110"/>
        </w:rPr>
        <w:t xml:space="preserve"> </w:t>
      </w:r>
      <w:r>
        <w:rPr>
          <w:color w:val="333333"/>
          <w:w w:val="110"/>
        </w:rPr>
        <w:t>not</w:t>
      </w:r>
      <w:r>
        <w:rPr>
          <w:color w:val="333333"/>
          <w:spacing w:val="-28"/>
          <w:w w:val="110"/>
        </w:rPr>
        <w:t xml:space="preserve"> </w:t>
      </w:r>
      <w:r>
        <w:rPr>
          <w:color w:val="333333"/>
          <w:w w:val="110"/>
        </w:rPr>
        <w:t>scanned</w:t>
      </w:r>
      <w:r>
        <w:rPr>
          <w:color w:val="333333"/>
          <w:spacing w:val="-29"/>
          <w:w w:val="110"/>
        </w:rPr>
        <w:t xml:space="preserve"> </w:t>
      </w:r>
      <w:r>
        <w:rPr>
          <w:color w:val="333333"/>
          <w:w w:val="110"/>
        </w:rPr>
        <w:t>when</w:t>
      </w:r>
      <w:r>
        <w:rPr>
          <w:color w:val="333333"/>
          <w:spacing w:val="-29"/>
          <w:w w:val="110"/>
        </w:rPr>
        <w:t xml:space="preserve"> </w:t>
      </w:r>
      <w:r>
        <w:rPr>
          <w:color w:val="333333"/>
          <w:w w:val="110"/>
        </w:rPr>
        <w:t>the</w:t>
      </w:r>
      <w:r>
        <w:rPr>
          <w:color w:val="333333"/>
          <w:spacing w:val="-28"/>
          <w:w w:val="110"/>
        </w:rPr>
        <w:t xml:space="preserve"> </w:t>
      </w:r>
      <w:r>
        <w:rPr>
          <w:rFonts w:ascii="MS Gothic"/>
          <w:color w:val="B02045"/>
          <w:w w:val="110"/>
        </w:rPr>
        <w:t>@DataMongoTest</w:t>
      </w:r>
      <w:r>
        <w:rPr>
          <w:rFonts w:ascii="MS Gothic"/>
          <w:color w:val="B02045"/>
          <w:spacing w:val="-93"/>
          <w:w w:val="110"/>
        </w:rPr>
        <w:t xml:space="preserve"> </w:t>
      </w:r>
      <w:r>
        <w:rPr>
          <w:color w:val="333333"/>
          <w:w w:val="110"/>
        </w:rPr>
        <w:t>annotation</w:t>
      </w:r>
      <w:r>
        <w:rPr>
          <w:color w:val="333333"/>
          <w:spacing w:val="-29"/>
          <w:w w:val="110"/>
        </w:rPr>
        <w:t xml:space="preserve"> </w:t>
      </w:r>
      <w:r>
        <w:rPr>
          <w:color w:val="333333"/>
          <w:w w:val="110"/>
        </w:rPr>
        <w:t>is</w:t>
      </w:r>
      <w:r>
        <w:rPr>
          <w:color w:val="333333"/>
          <w:spacing w:val="-29"/>
          <w:w w:val="110"/>
        </w:rPr>
        <w:t xml:space="preserve"> </w:t>
      </w:r>
      <w:r>
        <w:rPr>
          <w:color w:val="333333"/>
          <w:w w:val="110"/>
        </w:rPr>
        <w:t>used.</w:t>
      </w:r>
      <w:r>
        <w:rPr>
          <w:color w:val="333333"/>
          <w:spacing w:val="-27"/>
          <w:w w:val="110"/>
        </w:rPr>
        <w:t xml:space="preserve"> </w:t>
      </w:r>
      <w:r>
        <w:rPr>
          <w:rFonts w:ascii="MS Gothic"/>
          <w:color w:val="B02045"/>
          <w:w w:val="110"/>
        </w:rPr>
        <w:t xml:space="preserve">@EnableConfigurationProperties </w:t>
      </w:r>
      <w:r>
        <w:rPr>
          <w:color w:val="333333"/>
          <w:w w:val="110"/>
        </w:rPr>
        <w:t xml:space="preserve">can be used to include </w:t>
      </w:r>
      <w:r>
        <w:rPr>
          <w:rFonts w:ascii="MS Gothic"/>
          <w:color w:val="B02045"/>
          <w:w w:val="110"/>
        </w:rPr>
        <w:t xml:space="preserve">@ConfigurationProperties </w:t>
      </w:r>
      <w:r>
        <w:rPr>
          <w:color w:val="333333"/>
          <w:w w:val="110"/>
        </w:rPr>
        <w:t xml:space="preserve">beans. </w:t>
      </w:r>
      <w:r>
        <w:rPr>
          <w:color w:val="333333"/>
          <w:spacing w:val="-3"/>
          <w:w w:val="110"/>
        </w:rPr>
        <w:t xml:space="preserve">(For </w:t>
      </w:r>
      <w:r>
        <w:rPr>
          <w:color w:val="333333"/>
          <w:w w:val="110"/>
        </w:rPr>
        <w:t xml:space="preserve">more about using MongoDB </w:t>
      </w:r>
      <w:proofErr w:type="gramStart"/>
      <w:r>
        <w:rPr>
          <w:color w:val="333333"/>
          <w:w w:val="110"/>
        </w:rPr>
        <w:t>with  Spring</w:t>
      </w:r>
      <w:proofErr w:type="gramEnd"/>
      <w:r>
        <w:rPr>
          <w:color w:val="333333"/>
          <w:w w:val="110"/>
        </w:rPr>
        <w:t xml:space="preserve"> Boot, see "</w:t>
      </w:r>
      <w:hyperlink w:anchor="_bookmark224" w:history="1">
        <w:r>
          <w:rPr>
            <w:color w:val="418BCA"/>
            <w:w w:val="110"/>
          </w:rPr>
          <w:t>MongoDB</w:t>
        </w:r>
      </w:hyperlink>
      <w:r>
        <w:rPr>
          <w:color w:val="333333"/>
          <w:w w:val="110"/>
        </w:rPr>
        <w:t>", earlier in this</w:t>
      </w:r>
      <w:r>
        <w:rPr>
          <w:color w:val="333333"/>
          <w:spacing w:val="20"/>
          <w:w w:val="110"/>
        </w:rPr>
        <w:t xml:space="preserve"> </w:t>
      </w:r>
      <w:r>
        <w:rPr>
          <w:color w:val="333333"/>
          <w:w w:val="110"/>
        </w:rPr>
        <w:t>chapter.)</w:t>
      </w:r>
    </w:p>
    <w:p w14:paraId="1DF72AB7" w14:textId="77777777" w:rsidR="00A720EB" w:rsidRDefault="00A720EB">
      <w:pPr>
        <w:pStyle w:val="a3"/>
        <w:spacing w:before="8"/>
        <w:rPr>
          <w:sz w:val="28"/>
        </w:rPr>
      </w:pPr>
    </w:p>
    <w:p w14:paraId="2E2E63C2" w14:textId="77777777" w:rsidR="00A720EB" w:rsidRDefault="00E10349">
      <w:pPr>
        <w:pStyle w:val="a3"/>
        <w:spacing w:line="290" w:lineRule="auto"/>
        <w:ind w:left="1564"/>
      </w:pPr>
      <w:r>
        <w:pict w14:anchorId="5DFD13F3">
          <v:line id="_x0000_s3586" style="position:absolute;left:0;text-align:left;z-index:16134144;mso-position-horizontal-relative:page" from="108.25pt,-5.45pt" to="108.25pt,34.1pt" strokecolor="#ededed" strokeweight=".5pt">
            <w10:wrap anchorx="page"/>
          </v:line>
        </w:pict>
      </w:r>
      <w:r w:rsidR="0030286B">
        <w:rPr>
          <w:noProof/>
        </w:rPr>
        <w:drawing>
          <wp:anchor distT="0" distB="0" distL="0" distR="0" simplePos="0" relativeHeight="16134656" behindDoc="0" locked="0" layoutInCell="1" allowOverlap="1" wp14:anchorId="50F330E3" wp14:editId="1CA7459D">
            <wp:simplePos x="0" y="0"/>
            <wp:positionH relativeFrom="page">
              <wp:posOffset>888949</wp:posOffset>
            </wp:positionH>
            <wp:positionV relativeFrom="paragraph">
              <wp:posOffset>29413</wp:posOffset>
            </wp:positionV>
            <wp:extent cx="209550" cy="304800"/>
            <wp:effectExtent l="0" t="0" r="0" b="0"/>
            <wp:wrapNone/>
            <wp:docPr id="51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 settings that are enabled by </w:t>
      </w:r>
      <w:r w:rsidR="0030286B">
        <w:rPr>
          <w:rFonts w:ascii="MS Gothic"/>
          <w:color w:val="B02045"/>
          <w:w w:val="110"/>
        </w:rPr>
        <w:t xml:space="preserve">@DataMongoTest </w:t>
      </w:r>
      <w:r w:rsidR="0030286B">
        <w:rPr>
          <w:color w:val="333333"/>
          <w:w w:val="110"/>
        </w:rPr>
        <w:t xml:space="preserve">can be </w:t>
      </w:r>
      <w:hyperlink w:anchor="_bookmark689" w:history="1">
        <w:r w:rsidR="0030286B">
          <w:rPr>
            <w:color w:val="418BCA"/>
            <w:w w:val="110"/>
          </w:rPr>
          <w:t>found in the appendix</w:t>
        </w:r>
      </w:hyperlink>
      <w:r w:rsidR="0030286B">
        <w:rPr>
          <w:color w:val="333333"/>
          <w:w w:val="110"/>
        </w:rPr>
        <w:t>.</w:t>
      </w:r>
    </w:p>
    <w:p w14:paraId="44B5C292" w14:textId="77777777" w:rsidR="00A720EB" w:rsidRDefault="00A720EB">
      <w:pPr>
        <w:pStyle w:val="a3"/>
        <w:spacing w:before="11"/>
        <w:rPr>
          <w:sz w:val="27"/>
        </w:rPr>
      </w:pPr>
    </w:p>
    <w:p w14:paraId="0BF6449E" w14:textId="77777777" w:rsidR="00A720EB" w:rsidRDefault="0030286B">
      <w:pPr>
        <w:pStyle w:val="a3"/>
        <w:ind w:left="124"/>
        <w:jc w:val="both"/>
      </w:pPr>
      <w:r>
        <w:rPr>
          <w:color w:val="333333"/>
          <w:w w:val="110"/>
        </w:rPr>
        <w:t xml:space="preserve">The following class shows the </w:t>
      </w:r>
      <w:r>
        <w:rPr>
          <w:rFonts w:ascii="MS Gothic"/>
          <w:color w:val="B02045"/>
          <w:w w:val="110"/>
        </w:rPr>
        <w:t>@DataMongoTest</w:t>
      </w:r>
      <w:r>
        <w:rPr>
          <w:rFonts w:ascii="MS Gothic"/>
          <w:color w:val="B02045"/>
          <w:spacing w:val="-55"/>
          <w:w w:val="110"/>
        </w:rPr>
        <w:t xml:space="preserve"> </w:t>
      </w:r>
      <w:r>
        <w:rPr>
          <w:color w:val="333333"/>
          <w:w w:val="110"/>
        </w:rPr>
        <w:t>annotation in use:</w:t>
      </w:r>
    </w:p>
    <w:p w14:paraId="01B31241" w14:textId="77777777" w:rsidR="00A720EB" w:rsidRDefault="00E10349">
      <w:pPr>
        <w:pStyle w:val="a3"/>
        <w:spacing w:before="11"/>
        <w:rPr>
          <w:sz w:val="17"/>
        </w:rPr>
      </w:pPr>
      <w:r>
        <w:pict w14:anchorId="58266702">
          <v:group id="_x0000_s3582" style="position:absolute;margin-left:47.85pt;margin-top:12.5pt;width:499.55pt;height:199.65pt;z-index:-15323648;mso-wrap-distance-left:0;mso-wrap-distance-right:0;mso-position-horizontal-relative:page" coordorigin="957,250" coordsize="9991,3993">
            <v:shape id="_x0000_s3585" style="position:absolute;left:964;top:257;width:9976;height:3978" coordorigin="965,257" coordsize="9976,3978" path="m10861,257r-9816,l1014,264r-26,17l971,306r-6,31l965,4155r6,31l988,4212r26,17l1045,4235r9816,l10892,4229r25,-17l10935,4186r6,-31l10941,337r-6,-31l10917,281r-25,-17l10861,257xe" fillcolor="#f5f5f5" stroked="f">
              <v:path arrowok="t"/>
            </v:shape>
            <v:shape id="_x0000_s3584" style="position:absolute;left:964;top:257;width:9976;height:3978" coordorigin="965,257" coordsize="9976,3978" path="m1045,257r9816,l10892,264r25,17l10935,306r6,31l10941,4155r-6,31l10917,4212r-25,17l10861,4235r-9816,l1014,4229r-26,-17l971,4186r-6,-31l965,337r6,-31l988,281r26,-17l1045,257xe" filled="f" strokecolor="#ccc">
              <v:path arrowok="t"/>
            </v:shape>
            <v:shape id="_x0000_s3583" type="#_x0000_t202" style="position:absolute;left:984;top:272;width:9938;height:3947" filled="f" stroked="f">
              <v:textbox inset="0,0,0,0">
                <w:txbxContent>
                  <w:p w14:paraId="3C995516"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61620615" w14:textId="77777777" w:rsidR="00711A16" w:rsidRDefault="00711A16">
                    <w:pPr>
                      <w:spacing w:before="13" w:line="252" w:lineRule="auto"/>
                      <w:ind w:left="200" w:right="135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.boot.test.autoconfigure.data.mongo.DataMongoTest; import org.springframework.data.mongodb.core.MongoTemplate;</w:t>
                    </w:r>
                  </w:p>
                  <w:p w14:paraId="08902C59" w14:textId="77777777" w:rsidR="00711A16" w:rsidRDefault="00711A16">
                    <w:pPr>
                      <w:spacing w:before="10"/>
                      <w:rPr>
                        <w:rFonts w:ascii="MS Gothic"/>
                      </w:rPr>
                    </w:pPr>
                  </w:p>
                  <w:p w14:paraId="1E020835" w14:textId="77777777" w:rsidR="00711A16" w:rsidRDefault="00711A16">
                    <w:pPr>
                      <w:ind w:left="200"/>
                      <w:rPr>
                        <w:rFonts w:ascii="MS Gothic"/>
                      </w:rPr>
                    </w:pPr>
                    <w:r>
                      <w:rPr>
                        <w:rFonts w:ascii="MS Gothic"/>
                        <w:color w:val="333333"/>
                      </w:rPr>
                      <w:t>@DataMongoTest</w:t>
                    </w:r>
                  </w:p>
                  <w:p w14:paraId="4F01A3BB" w14:textId="77777777" w:rsidR="00711A16" w:rsidRDefault="00711A16">
                    <w:pPr>
                      <w:spacing w:before="13"/>
                      <w:ind w:left="200"/>
                      <w:rPr>
                        <w:rFonts w:ascii="MS Gothic"/>
                      </w:rPr>
                    </w:pPr>
                    <w:r>
                      <w:rPr>
                        <w:rFonts w:ascii="MS Gothic"/>
                        <w:color w:val="333333"/>
                      </w:rPr>
                      <w:t>class ExampleDataMongoTests {</w:t>
                    </w:r>
                  </w:p>
                  <w:p w14:paraId="0CF32BE8" w14:textId="77777777" w:rsidR="00711A16" w:rsidRDefault="00711A16">
                    <w:pPr>
                      <w:rPr>
                        <w:rFonts w:ascii="MS Gothic"/>
                        <w:sz w:val="24"/>
                      </w:rPr>
                    </w:pPr>
                  </w:p>
                  <w:p w14:paraId="67E81721" w14:textId="77777777" w:rsidR="00711A16" w:rsidRDefault="00711A16">
                    <w:pPr>
                      <w:ind w:left="640"/>
                      <w:rPr>
                        <w:rFonts w:ascii="MS Gothic"/>
                      </w:rPr>
                    </w:pPr>
                    <w:r>
                      <w:rPr>
                        <w:rFonts w:ascii="MS Gothic"/>
                        <w:color w:val="333333"/>
                      </w:rPr>
                      <w:t>@Autowired</w:t>
                    </w:r>
                  </w:p>
                  <w:p w14:paraId="4DCC4180" w14:textId="77777777" w:rsidR="00711A16" w:rsidRDefault="00711A16">
                    <w:pPr>
                      <w:spacing w:before="13"/>
                      <w:ind w:left="640"/>
                      <w:rPr>
                        <w:rFonts w:ascii="MS Gothic"/>
                      </w:rPr>
                    </w:pPr>
                    <w:r>
                      <w:rPr>
                        <w:rFonts w:ascii="MS Gothic"/>
                        <w:color w:val="333333"/>
                      </w:rPr>
                      <w:t>private MongoTemplate mongoTemplate;</w:t>
                    </w:r>
                  </w:p>
                  <w:p w14:paraId="2FF9B6A6" w14:textId="77777777" w:rsidR="00711A16" w:rsidRDefault="00711A16">
                    <w:pPr>
                      <w:rPr>
                        <w:rFonts w:ascii="MS Gothic"/>
                        <w:sz w:val="24"/>
                      </w:rPr>
                    </w:pPr>
                  </w:p>
                  <w:p w14:paraId="19E0CE68" w14:textId="77777777" w:rsidR="00711A16" w:rsidRDefault="00711A16">
                    <w:pPr>
                      <w:spacing w:before="1"/>
                      <w:ind w:left="640"/>
                      <w:rPr>
                        <w:rFonts w:ascii="MS Gothic"/>
                      </w:rPr>
                    </w:pPr>
                    <w:r>
                      <w:rPr>
                        <w:rFonts w:ascii="MS Gothic"/>
                        <w:color w:val="333333"/>
                      </w:rPr>
                      <w:t>//</w:t>
                    </w:r>
                  </w:p>
                  <w:p w14:paraId="605B25ED" w14:textId="77777777" w:rsidR="00711A16" w:rsidRDefault="00711A16">
                    <w:pPr>
                      <w:spacing w:before="12"/>
                      <w:ind w:left="200"/>
                      <w:rPr>
                        <w:rFonts w:ascii="MS Gothic"/>
                      </w:rPr>
                    </w:pPr>
                    <w:r>
                      <w:rPr>
                        <w:rFonts w:ascii="MS Gothic"/>
                        <w:color w:val="333333"/>
                      </w:rPr>
                      <w:t>}</w:t>
                    </w:r>
                  </w:p>
                </w:txbxContent>
              </v:textbox>
            </v:shape>
            <w10:wrap type="topAndBottom" anchorx="page"/>
          </v:group>
        </w:pict>
      </w:r>
    </w:p>
    <w:p w14:paraId="4DD00B93" w14:textId="77777777" w:rsidR="00A720EB" w:rsidRDefault="00A720EB">
      <w:pPr>
        <w:pStyle w:val="a3"/>
        <w:rPr>
          <w:sz w:val="10"/>
        </w:rPr>
      </w:pPr>
    </w:p>
    <w:p w14:paraId="4158D694" w14:textId="77777777" w:rsidR="00A720EB" w:rsidRDefault="0030286B">
      <w:pPr>
        <w:pStyle w:val="a3"/>
        <w:spacing w:before="125" w:line="307" w:lineRule="auto"/>
        <w:ind w:left="124" w:right="131"/>
        <w:jc w:val="both"/>
      </w:pPr>
      <w:r>
        <w:rPr>
          <w:color w:val="333333"/>
          <w:w w:val="110"/>
        </w:rPr>
        <w:t>In-memory embedded MongoDB generally works well for tests, since it is fast and does not require any developer installation. If, however, you prefer to run tests against a real MongoDB server, you should exclude the embedded MongoDB auto-configuration, as shown in the following example:</w:t>
      </w:r>
    </w:p>
    <w:p w14:paraId="082CC3E3" w14:textId="77777777" w:rsidR="00A720EB" w:rsidRDefault="00A720EB">
      <w:pPr>
        <w:spacing w:line="307" w:lineRule="auto"/>
        <w:jc w:val="both"/>
        <w:sectPr w:rsidR="00A720EB">
          <w:pgSz w:w="11910" w:h="16840"/>
          <w:pgMar w:top="640" w:right="840" w:bottom="520" w:left="840" w:header="0" w:footer="323" w:gutter="0"/>
          <w:cols w:space="720"/>
        </w:sectPr>
      </w:pPr>
    </w:p>
    <w:p w14:paraId="38637FF5" w14:textId="77777777" w:rsidR="00A720EB" w:rsidRDefault="00E10349">
      <w:pPr>
        <w:pStyle w:val="a3"/>
        <w:ind w:left="116"/>
        <w:rPr>
          <w:sz w:val="20"/>
        </w:rPr>
      </w:pPr>
      <w:r>
        <w:rPr>
          <w:sz w:val="20"/>
        </w:rPr>
      </w:r>
      <w:r>
        <w:rPr>
          <w:sz w:val="20"/>
        </w:rPr>
        <w:pict w14:anchorId="4E545B9A">
          <v:group id="_x0000_s3578" style="width:499.55pt;height:140.7pt;mso-position-horizontal-relative:char;mso-position-vertical-relative:line" coordsize="9991,2814">
            <v:shape id="_x0000_s3581" style="position:absolute;left:7;top:7;width:9976;height:2799" coordorigin="8,8" coordsize="9976,2799" path="m9904,8l88,8,56,14,31,31,14,56,8,88r,2638l14,2757r17,25l56,2800r32,6l9904,2806r31,-6l9960,2782r17,-25l9984,2726r,-2638l9977,56,9960,31,9935,14,9904,8xe" fillcolor="#f5f5f5" stroked="f">
              <v:path arrowok="t"/>
            </v:shape>
            <v:shape id="_x0000_s3580" style="position:absolute;left:7;top:7;width:9976;height:2799" coordorigin="8,8" coordsize="9976,2799" path="m88,8r9816,l9935,14r25,17l9977,56r7,32l9984,2726r-7,31l9960,2782r-25,18l9904,2806r-9816,l56,2800,31,2782,14,2757,8,2726,8,88,14,56,31,31,56,14,88,8xe" filled="f" strokecolor="#ccc">
              <v:path arrowok="t"/>
            </v:shape>
            <v:shape id="_x0000_s3579" type="#_x0000_t202" style="position:absolute;left:26;top:22;width:9938;height:2768" filled="f" stroked="f">
              <v:textbox inset="0,0,0,0">
                <w:txbxContent>
                  <w:p w14:paraId="362CA1F7" w14:textId="77777777" w:rsidR="00711A16" w:rsidRDefault="00711A16">
                    <w:pPr>
                      <w:spacing w:before="221" w:line="252" w:lineRule="auto"/>
                      <w:ind w:left="200" w:right="36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.boot.autoconfigure.mongo.embedded.EmbeddedMongoAutoConfiguration; import org.springframework.boot.test.autoconfigure.data.mongo.DataMongoTest;</w:t>
                    </w:r>
                  </w:p>
                  <w:p w14:paraId="694E49EF" w14:textId="77777777" w:rsidR="00711A16" w:rsidRDefault="00711A16">
                    <w:pPr>
                      <w:spacing w:before="9"/>
                      <w:rPr>
                        <w:rFonts w:ascii="MS Gothic"/>
                      </w:rPr>
                    </w:pPr>
                  </w:p>
                  <w:p w14:paraId="7B77416B" w14:textId="77777777" w:rsidR="00711A16" w:rsidRDefault="00711A16">
                    <w:pPr>
                      <w:spacing w:line="252" w:lineRule="auto"/>
                      <w:ind w:left="200" w:right="1028"/>
                      <w:rPr>
                        <w:rFonts w:ascii="MS Gothic"/>
                      </w:rPr>
                    </w:pPr>
                    <w:r>
                      <w:rPr>
                        <w:rFonts w:ascii="MS Gothic"/>
                        <w:color w:val="333333"/>
                      </w:rPr>
                      <w:t>@</w:t>
                    </w:r>
                    <w:proofErr w:type="gramStart"/>
                    <w:r>
                      <w:rPr>
                        <w:rFonts w:ascii="MS Gothic"/>
                        <w:color w:val="333333"/>
                      </w:rPr>
                      <w:t>DataMongoTest(</w:t>
                    </w:r>
                    <w:proofErr w:type="gramEnd"/>
                    <w:r>
                      <w:rPr>
                        <w:rFonts w:ascii="MS Gothic"/>
                        <w:color w:val="333333"/>
                      </w:rPr>
                      <w:t>excludeAutoConfiguration = EmbeddedMongoAutoConfiguration.class) class ExampleDataMongoNonEmbeddedTests {</w:t>
                    </w:r>
                  </w:p>
                  <w:p w14:paraId="29159FC8" w14:textId="77777777" w:rsidR="00711A16" w:rsidRDefault="00711A16">
                    <w:pPr>
                      <w:spacing w:before="11"/>
                      <w:rPr>
                        <w:rFonts w:ascii="MS Gothic"/>
                      </w:rPr>
                    </w:pPr>
                  </w:p>
                  <w:p w14:paraId="3D9F8383" w14:textId="77777777" w:rsidR="00711A16" w:rsidRDefault="00711A16">
                    <w:pPr>
                      <w:ind w:left="200"/>
                      <w:rPr>
                        <w:rFonts w:ascii="MS Gothic"/>
                      </w:rPr>
                    </w:pPr>
                    <w:r>
                      <w:rPr>
                        <w:rFonts w:ascii="MS Gothic"/>
                        <w:color w:val="333333"/>
                      </w:rPr>
                      <w:t>}</w:t>
                    </w:r>
                  </w:p>
                </w:txbxContent>
              </v:textbox>
            </v:shape>
            <w10:anchorlock/>
          </v:group>
        </w:pict>
      </w:r>
    </w:p>
    <w:p w14:paraId="5C309F16" w14:textId="77777777" w:rsidR="00A720EB" w:rsidRDefault="00A720EB">
      <w:pPr>
        <w:pStyle w:val="a3"/>
        <w:spacing w:before="8"/>
        <w:rPr>
          <w:sz w:val="16"/>
        </w:rPr>
      </w:pPr>
    </w:p>
    <w:p w14:paraId="5053FAF7" w14:textId="77777777" w:rsidR="00A720EB" w:rsidRDefault="0030286B">
      <w:pPr>
        <w:pStyle w:val="4"/>
        <w:spacing w:before="105"/>
      </w:pPr>
      <w:bookmarkStart w:id="478" w:name="Auto-configured_Data_Neo4j_Tests"/>
      <w:bookmarkEnd w:id="478"/>
      <w:r>
        <w:rPr>
          <w:color w:val="333333"/>
          <w:w w:val="110"/>
        </w:rPr>
        <w:t>Auto-configured Data Neo4j Tests</w:t>
      </w:r>
    </w:p>
    <w:p w14:paraId="40CFA5C1" w14:textId="77777777" w:rsidR="00A720EB" w:rsidRDefault="0030286B">
      <w:pPr>
        <w:pStyle w:val="a3"/>
        <w:spacing w:before="243" w:line="283" w:lineRule="auto"/>
        <w:ind w:left="124" w:right="122"/>
        <w:jc w:val="both"/>
      </w:pPr>
      <w:r>
        <w:rPr>
          <w:color w:val="333333"/>
          <w:spacing w:val="-6"/>
          <w:w w:val="110"/>
        </w:rPr>
        <w:t xml:space="preserve">You </w:t>
      </w:r>
      <w:r>
        <w:rPr>
          <w:color w:val="333333"/>
          <w:w w:val="110"/>
        </w:rPr>
        <w:t xml:space="preserve">can use </w:t>
      </w:r>
      <w:r>
        <w:rPr>
          <w:rFonts w:ascii="MS Gothic"/>
          <w:color w:val="B02045"/>
          <w:w w:val="110"/>
        </w:rPr>
        <w:t xml:space="preserve">@DataNeo4jTest </w:t>
      </w:r>
      <w:r>
        <w:rPr>
          <w:color w:val="333333"/>
          <w:w w:val="110"/>
        </w:rPr>
        <w:t xml:space="preserve">to test Neo4j applications. </w:t>
      </w:r>
      <w:r>
        <w:rPr>
          <w:color w:val="333333"/>
          <w:spacing w:val="-3"/>
          <w:w w:val="110"/>
        </w:rPr>
        <w:t xml:space="preserve">By </w:t>
      </w:r>
      <w:r>
        <w:rPr>
          <w:color w:val="333333"/>
          <w:w w:val="110"/>
        </w:rPr>
        <w:t xml:space="preserve">default, it uses an in-memory embedded Neo4j (if the embedded driver is available), scans for </w:t>
      </w:r>
      <w:r>
        <w:rPr>
          <w:rFonts w:ascii="MS Gothic"/>
          <w:color w:val="B02045"/>
          <w:w w:val="110"/>
        </w:rPr>
        <w:t xml:space="preserve">@NodeEntity </w:t>
      </w:r>
      <w:r>
        <w:rPr>
          <w:color w:val="333333"/>
          <w:w w:val="110"/>
        </w:rPr>
        <w:t xml:space="preserve">classes, and configures Spring Data Neo4j repositories. Regular </w:t>
      </w:r>
      <w:r>
        <w:rPr>
          <w:rFonts w:ascii="MS Gothic"/>
          <w:color w:val="B02045"/>
          <w:w w:val="110"/>
        </w:rPr>
        <w:t xml:space="preserve">@Component </w:t>
      </w:r>
      <w:r>
        <w:rPr>
          <w:color w:val="333333"/>
          <w:w w:val="110"/>
        </w:rPr>
        <w:t xml:space="preserve">and </w:t>
      </w:r>
      <w:r>
        <w:rPr>
          <w:rFonts w:ascii="MS Gothic"/>
          <w:color w:val="B02045"/>
          <w:w w:val="110"/>
        </w:rPr>
        <w:t>@ConfigurationProperties</w:t>
      </w:r>
      <w:r>
        <w:rPr>
          <w:rFonts w:ascii="MS Gothic"/>
          <w:color w:val="B02045"/>
          <w:spacing w:val="-76"/>
          <w:w w:val="110"/>
        </w:rPr>
        <w:t xml:space="preserve"> </w:t>
      </w:r>
      <w:r>
        <w:rPr>
          <w:color w:val="333333"/>
          <w:w w:val="110"/>
        </w:rPr>
        <w:t>beans are not scanned when</w:t>
      </w:r>
      <w:r>
        <w:rPr>
          <w:color w:val="333333"/>
          <w:spacing w:val="-26"/>
          <w:w w:val="110"/>
        </w:rPr>
        <w:t xml:space="preserve"> </w:t>
      </w:r>
      <w:r>
        <w:rPr>
          <w:color w:val="333333"/>
          <w:w w:val="110"/>
        </w:rPr>
        <w:t>the</w:t>
      </w:r>
      <w:r>
        <w:rPr>
          <w:color w:val="333333"/>
          <w:spacing w:val="-25"/>
          <w:w w:val="110"/>
        </w:rPr>
        <w:t xml:space="preserve"> </w:t>
      </w:r>
      <w:r>
        <w:rPr>
          <w:rFonts w:ascii="MS Gothic"/>
          <w:color w:val="B02045"/>
          <w:w w:val="110"/>
        </w:rPr>
        <w:t>@DataNeo4jTest</w:t>
      </w:r>
      <w:r>
        <w:rPr>
          <w:rFonts w:ascii="MS Gothic"/>
          <w:color w:val="B02045"/>
          <w:spacing w:val="-89"/>
          <w:w w:val="110"/>
        </w:rPr>
        <w:t xml:space="preserve"> </w:t>
      </w:r>
      <w:r>
        <w:rPr>
          <w:color w:val="333333"/>
          <w:w w:val="110"/>
        </w:rPr>
        <w:t>annotation</w:t>
      </w:r>
      <w:r>
        <w:rPr>
          <w:color w:val="333333"/>
          <w:spacing w:val="-25"/>
          <w:w w:val="110"/>
        </w:rPr>
        <w:t xml:space="preserve"> </w:t>
      </w:r>
      <w:r>
        <w:rPr>
          <w:color w:val="333333"/>
          <w:w w:val="110"/>
        </w:rPr>
        <w:t>is</w:t>
      </w:r>
      <w:r>
        <w:rPr>
          <w:color w:val="333333"/>
          <w:spacing w:val="-26"/>
          <w:w w:val="110"/>
        </w:rPr>
        <w:t xml:space="preserve"> </w:t>
      </w:r>
      <w:r>
        <w:rPr>
          <w:color w:val="333333"/>
          <w:w w:val="110"/>
        </w:rPr>
        <w:t>used.</w:t>
      </w:r>
      <w:r>
        <w:rPr>
          <w:color w:val="333333"/>
          <w:spacing w:val="-23"/>
          <w:w w:val="110"/>
        </w:rPr>
        <w:t xml:space="preserve"> </w:t>
      </w:r>
      <w:r>
        <w:rPr>
          <w:rFonts w:ascii="MS Gothic"/>
          <w:color w:val="B02045"/>
          <w:w w:val="110"/>
        </w:rPr>
        <w:t>@EnableConfigurationProperties</w:t>
      </w:r>
      <w:r>
        <w:rPr>
          <w:rFonts w:ascii="MS Gothic"/>
          <w:color w:val="B02045"/>
          <w:spacing w:val="-90"/>
          <w:w w:val="110"/>
        </w:rPr>
        <w:t xml:space="preserve"> </w:t>
      </w:r>
      <w:r>
        <w:rPr>
          <w:color w:val="333333"/>
          <w:w w:val="110"/>
        </w:rPr>
        <w:t>can</w:t>
      </w:r>
      <w:r>
        <w:rPr>
          <w:color w:val="333333"/>
          <w:spacing w:val="-25"/>
          <w:w w:val="110"/>
        </w:rPr>
        <w:t xml:space="preserve"> </w:t>
      </w:r>
      <w:r>
        <w:rPr>
          <w:color w:val="333333"/>
          <w:w w:val="110"/>
        </w:rPr>
        <w:t>be</w:t>
      </w:r>
      <w:r>
        <w:rPr>
          <w:color w:val="333333"/>
          <w:spacing w:val="-25"/>
          <w:w w:val="110"/>
        </w:rPr>
        <w:t xml:space="preserve"> </w:t>
      </w:r>
      <w:r>
        <w:rPr>
          <w:color w:val="333333"/>
          <w:w w:val="110"/>
        </w:rPr>
        <w:t>used</w:t>
      </w:r>
      <w:r>
        <w:rPr>
          <w:color w:val="333333"/>
          <w:spacing w:val="-25"/>
          <w:w w:val="110"/>
        </w:rPr>
        <w:t xml:space="preserve"> </w:t>
      </w:r>
      <w:r>
        <w:rPr>
          <w:color w:val="333333"/>
          <w:w w:val="110"/>
        </w:rPr>
        <w:t>to</w:t>
      </w:r>
      <w:r>
        <w:rPr>
          <w:color w:val="333333"/>
          <w:spacing w:val="-25"/>
          <w:w w:val="110"/>
        </w:rPr>
        <w:t xml:space="preserve"> </w:t>
      </w:r>
      <w:r>
        <w:rPr>
          <w:color w:val="333333"/>
          <w:w w:val="110"/>
        </w:rPr>
        <w:t xml:space="preserve">include </w:t>
      </w:r>
      <w:r>
        <w:rPr>
          <w:rFonts w:ascii="MS Gothic"/>
          <w:color w:val="B02045"/>
          <w:w w:val="110"/>
        </w:rPr>
        <w:t>@ConfigurationProperties</w:t>
      </w:r>
      <w:r>
        <w:rPr>
          <w:rFonts w:ascii="MS Gothic"/>
          <w:color w:val="B02045"/>
          <w:spacing w:val="-73"/>
          <w:w w:val="110"/>
        </w:rPr>
        <w:t xml:space="preserve"> </w:t>
      </w:r>
      <w:r>
        <w:rPr>
          <w:color w:val="333333"/>
          <w:w w:val="110"/>
        </w:rPr>
        <w:t>beans.</w:t>
      </w:r>
      <w:r>
        <w:rPr>
          <w:color w:val="333333"/>
          <w:spacing w:val="-8"/>
          <w:w w:val="110"/>
        </w:rPr>
        <w:t xml:space="preserve"> </w:t>
      </w:r>
      <w:r>
        <w:rPr>
          <w:color w:val="333333"/>
          <w:spacing w:val="-3"/>
          <w:w w:val="110"/>
        </w:rPr>
        <w:t>(For</w:t>
      </w:r>
      <w:r>
        <w:rPr>
          <w:color w:val="333333"/>
          <w:spacing w:val="-7"/>
          <w:w w:val="110"/>
        </w:rPr>
        <w:t xml:space="preserve"> </w:t>
      </w:r>
      <w:r>
        <w:rPr>
          <w:color w:val="333333"/>
          <w:w w:val="110"/>
        </w:rPr>
        <w:t>more</w:t>
      </w:r>
      <w:r>
        <w:rPr>
          <w:color w:val="333333"/>
          <w:spacing w:val="-8"/>
          <w:w w:val="110"/>
        </w:rPr>
        <w:t xml:space="preserve"> </w:t>
      </w:r>
      <w:r>
        <w:rPr>
          <w:color w:val="333333"/>
          <w:w w:val="110"/>
        </w:rPr>
        <w:t>about</w:t>
      </w:r>
      <w:r>
        <w:rPr>
          <w:color w:val="333333"/>
          <w:spacing w:val="-8"/>
          <w:w w:val="110"/>
        </w:rPr>
        <w:t xml:space="preserve"> </w:t>
      </w:r>
      <w:r>
        <w:rPr>
          <w:color w:val="333333"/>
          <w:w w:val="110"/>
        </w:rPr>
        <w:t>using</w:t>
      </w:r>
      <w:r>
        <w:rPr>
          <w:color w:val="333333"/>
          <w:spacing w:val="-8"/>
          <w:w w:val="110"/>
        </w:rPr>
        <w:t xml:space="preserve"> </w:t>
      </w:r>
      <w:r>
        <w:rPr>
          <w:color w:val="333333"/>
          <w:w w:val="110"/>
        </w:rPr>
        <w:t>Neo4J</w:t>
      </w:r>
      <w:r>
        <w:rPr>
          <w:color w:val="333333"/>
          <w:spacing w:val="-7"/>
          <w:w w:val="110"/>
        </w:rPr>
        <w:t xml:space="preserve"> </w:t>
      </w:r>
      <w:r>
        <w:rPr>
          <w:color w:val="333333"/>
          <w:w w:val="110"/>
        </w:rPr>
        <w:t>with</w:t>
      </w:r>
      <w:r>
        <w:rPr>
          <w:color w:val="333333"/>
          <w:spacing w:val="-8"/>
          <w:w w:val="110"/>
        </w:rPr>
        <w:t xml:space="preserve"> </w:t>
      </w:r>
      <w:r>
        <w:rPr>
          <w:color w:val="333333"/>
          <w:w w:val="110"/>
        </w:rPr>
        <w:t>Spring</w:t>
      </w:r>
      <w:r>
        <w:rPr>
          <w:color w:val="333333"/>
          <w:spacing w:val="-8"/>
          <w:w w:val="110"/>
        </w:rPr>
        <w:t xml:space="preserve"> </w:t>
      </w:r>
      <w:r>
        <w:rPr>
          <w:color w:val="333333"/>
          <w:w w:val="110"/>
        </w:rPr>
        <w:t>Boot,</w:t>
      </w:r>
      <w:r>
        <w:rPr>
          <w:color w:val="333333"/>
          <w:spacing w:val="-7"/>
          <w:w w:val="110"/>
        </w:rPr>
        <w:t xml:space="preserve"> </w:t>
      </w:r>
      <w:r>
        <w:rPr>
          <w:color w:val="333333"/>
          <w:w w:val="110"/>
        </w:rPr>
        <w:t>see</w:t>
      </w:r>
      <w:r>
        <w:rPr>
          <w:color w:val="333333"/>
          <w:spacing w:val="-8"/>
          <w:w w:val="110"/>
        </w:rPr>
        <w:t xml:space="preserve"> </w:t>
      </w:r>
      <w:r>
        <w:rPr>
          <w:color w:val="333333"/>
          <w:w w:val="110"/>
        </w:rPr>
        <w:t>"</w:t>
      </w:r>
      <w:hyperlink w:anchor="_bookmark229" w:history="1">
        <w:r>
          <w:rPr>
            <w:color w:val="418BCA"/>
            <w:w w:val="110"/>
          </w:rPr>
          <w:t>Neo4j</w:t>
        </w:r>
      </w:hyperlink>
      <w:r>
        <w:rPr>
          <w:color w:val="333333"/>
          <w:w w:val="110"/>
        </w:rPr>
        <w:t>",</w:t>
      </w:r>
      <w:r>
        <w:rPr>
          <w:color w:val="333333"/>
          <w:spacing w:val="-8"/>
          <w:w w:val="110"/>
        </w:rPr>
        <w:t xml:space="preserve"> </w:t>
      </w:r>
      <w:r>
        <w:rPr>
          <w:color w:val="333333"/>
          <w:w w:val="110"/>
        </w:rPr>
        <w:t>earlier in this</w:t>
      </w:r>
      <w:r>
        <w:rPr>
          <w:color w:val="333333"/>
          <w:spacing w:val="5"/>
          <w:w w:val="110"/>
        </w:rPr>
        <w:t xml:space="preserve"> </w:t>
      </w:r>
      <w:r>
        <w:rPr>
          <w:color w:val="333333"/>
          <w:w w:val="110"/>
        </w:rPr>
        <w:t>chapter.)</w:t>
      </w:r>
    </w:p>
    <w:p w14:paraId="7916B6A6" w14:textId="77777777" w:rsidR="00A720EB" w:rsidRDefault="00A720EB">
      <w:pPr>
        <w:pStyle w:val="a3"/>
        <w:spacing w:before="7"/>
        <w:rPr>
          <w:sz w:val="28"/>
        </w:rPr>
      </w:pPr>
    </w:p>
    <w:p w14:paraId="776A00D4" w14:textId="77777777" w:rsidR="00A720EB" w:rsidRDefault="00E10349">
      <w:pPr>
        <w:pStyle w:val="a3"/>
        <w:spacing w:before="1" w:line="290" w:lineRule="auto"/>
        <w:ind w:left="1564"/>
      </w:pPr>
      <w:r>
        <w:pict w14:anchorId="154B0794">
          <v:line id="_x0000_s3577" style="position:absolute;left:0;text-align:left;z-index:16136192;mso-position-horizontal-relative:page" from="108.25pt,-5.4pt" to="108.25pt,34.15pt" strokecolor="#ededed" strokeweight=".5pt">
            <w10:wrap anchorx="page"/>
          </v:line>
        </w:pict>
      </w:r>
      <w:r w:rsidR="0030286B">
        <w:rPr>
          <w:noProof/>
        </w:rPr>
        <w:drawing>
          <wp:anchor distT="0" distB="0" distL="0" distR="0" simplePos="0" relativeHeight="16136704" behindDoc="0" locked="0" layoutInCell="1" allowOverlap="1" wp14:anchorId="7A6E6A11" wp14:editId="78E7FBF1">
            <wp:simplePos x="0" y="0"/>
            <wp:positionH relativeFrom="page">
              <wp:posOffset>888949</wp:posOffset>
            </wp:positionH>
            <wp:positionV relativeFrom="paragraph">
              <wp:posOffset>30048</wp:posOffset>
            </wp:positionV>
            <wp:extent cx="209550" cy="304800"/>
            <wp:effectExtent l="0" t="0" r="0" b="0"/>
            <wp:wrapNone/>
            <wp:docPr id="5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 settings that are enabled by </w:t>
      </w:r>
      <w:r w:rsidR="0030286B">
        <w:rPr>
          <w:rFonts w:ascii="MS Gothic"/>
          <w:color w:val="B02045"/>
          <w:w w:val="110"/>
        </w:rPr>
        <w:t xml:space="preserve">@DataNeo4jTest </w:t>
      </w:r>
      <w:r w:rsidR="0030286B">
        <w:rPr>
          <w:color w:val="333333"/>
          <w:w w:val="110"/>
        </w:rPr>
        <w:t xml:space="preserve">can be </w:t>
      </w:r>
      <w:hyperlink w:anchor="_bookmark689" w:history="1">
        <w:r w:rsidR="0030286B">
          <w:rPr>
            <w:color w:val="418BCA"/>
            <w:w w:val="110"/>
          </w:rPr>
          <w:t>found in the appendix</w:t>
        </w:r>
      </w:hyperlink>
      <w:r w:rsidR="0030286B">
        <w:rPr>
          <w:color w:val="333333"/>
          <w:w w:val="110"/>
        </w:rPr>
        <w:t>.</w:t>
      </w:r>
    </w:p>
    <w:p w14:paraId="38AEAF0A" w14:textId="77777777" w:rsidR="00A720EB" w:rsidRDefault="00A720EB">
      <w:pPr>
        <w:pStyle w:val="a3"/>
        <w:spacing w:before="9"/>
        <w:rPr>
          <w:sz w:val="28"/>
        </w:rPr>
      </w:pPr>
    </w:p>
    <w:p w14:paraId="207DED60" w14:textId="77777777" w:rsidR="00A720EB" w:rsidRDefault="0030286B">
      <w:pPr>
        <w:pStyle w:val="a3"/>
        <w:spacing w:before="1"/>
        <w:ind w:left="124"/>
        <w:jc w:val="both"/>
      </w:pPr>
      <w:r>
        <w:rPr>
          <w:color w:val="333333"/>
          <w:w w:val="110"/>
        </w:rPr>
        <w:t>The following example shows a typical setup for using Neo4J tests in Spring Boot:</w:t>
      </w:r>
    </w:p>
    <w:p w14:paraId="1A082E14" w14:textId="77777777" w:rsidR="00A720EB" w:rsidRDefault="00E10349">
      <w:pPr>
        <w:pStyle w:val="a3"/>
        <w:spacing w:before="11"/>
        <w:rPr>
          <w:sz w:val="18"/>
        </w:rPr>
      </w:pPr>
      <w:r>
        <w:pict w14:anchorId="76B950CC">
          <v:group id="_x0000_s3573" style="position:absolute;margin-left:47.85pt;margin-top:13.1pt;width:499.55pt;height:184.9pt;z-index:-15321600;mso-wrap-distance-left:0;mso-wrap-distance-right:0;mso-position-horizontal-relative:page" coordorigin="957,262" coordsize="9991,3698">
            <v:shape id="_x0000_s3576" style="position:absolute;left:964;top:269;width:9976;height:3683" coordorigin="965,270" coordsize="9976,3683" path="m10861,270r-9816,l1014,276r-26,17l971,318r-6,32l965,3872r6,31l988,3929r26,17l1045,3952r9816,l10892,3946r25,-17l10935,3903r6,-31l10941,350r-6,-32l10917,293r-25,-17l10861,270xe" fillcolor="#f5f5f5" stroked="f">
              <v:path arrowok="t"/>
            </v:shape>
            <v:shape id="_x0000_s3575" style="position:absolute;left:964;top:269;width:9976;height:3683" coordorigin="965,270" coordsize="9976,3683" path="m1045,270r9816,l10892,276r25,17l10935,318r6,32l10941,3872r-6,31l10917,3929r-25,17l10861,3952r-9816,l1014,3946r-26,-17l971,3903r-6,-31l965,350r6,-32l988,293r26,-17l1045,270xe" filled="f" strokecolor="#ccc">
              <v:path arrowok="t"/>
            </v:shape>
            <v:shape id="_x0000_s3574" type="#_x0000_t202" style="position:absolute;left:984;top:285;width:9938;height:3652" filled="f" stroked="f">
              <v:textbox inset="0,0,0,0">
                <w:txbxContent>
                  <w:p w14:paraId="2C3D6AD5"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4B382E6B" w14:textId="77777777" w:rsidR="00711A16" w:rsidRDefault="00711A16">
                    <w:pPr>
                      <w:spacing w:before="13"/>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.boot.test.autoconfigure.data.neo4j.DataNeo4jTest;</w:t>
                    </w:r>
                  </w:p>
                  <w:p w14:paraId="45598BD3" w14:textId="77777777" w:rsidR="00711A16" w:rsidRDefault="00711A16">
                    <w:pPr>
                      <w:rPr>
                        <w:rFonts w:ascii="MS Gothic"/>
                        <w:sz w:val="24"/>
                      </w:rPr>
                    </w:pPr>
                  </w:p>
                  <w:p w14:paraId="1755E609" w14:textId="77777777" w:rsidR="00711A16" w:rsidRDefault="00711A16">
                    <w:pPr>
                      <w:ind w:left="200"/>
                      <w:rPr>
                        <w:rFonts w:ascii="MS Gothic"/>
                      </w:rPr>
                    </w:pPr>
                    <w:r>
                      <w:rPr>
                        <w:rFonts w:ascii="MS Gothic"/>
                        <w:color w:val="333333"/>
                      </w:rPr>
                      <w:t>@DataNeo4jTest</w:t>
                    </w:r>
                  </w:p>
                  <w:p w14:paraId="5566AC94" w14:textId="77777777" w:rsidR="00711A16" w:rsidRDefault="00711A16">
                    <w:pPr>
                      <w:spacing w:before="13"/>
                      <w:ind w:left="200"/>
                      <w:rPr>
                        <w:rFonts w:ascii="MS Gothic"/>
                      </w:rPr>
                    </w:pPr>
                    <w:r>
                      <w:rPr>
                        <w:rFonts w:ascii="MS Gothic"/>
                        <w:color w:val="333333"/>
                      </w:rPr>
                      <w:t>class ExampleDataNeo4jTests {</w:t>
                    </w:r>
                  </w:p>
                  <w:p w14:paraId="5EF78447" w14:textId="77777777" w:rsidR="00711A16" w:rsidRDefault="00711A16">
                    <w:pPr>
                      <w:rPr>
                        <w:rFonts w:ascii="MS Gothic"/>
                        <w:sz w:val="24"/>
                      </w:rPr>
                    </w:pPr>
                  </w:p>
                  <w:p w14:paraId="589A81D1" w14:textId="77777777" w:rsidR="00711A16" w:rsidRDefault="00711A16">
                    <w:pPr>
                      <w:ind w:left="640"/>
                      <w:rPr>
                        <w:rFonts w:ascii="MS Gothic"/>
                      </w:rPr>
                    </w:pPr>
                    <w:r>
                      <w:rPr>
                        <w:rFonts w:ascii="MS Gothic"/>
                        <w:color w:val="333333"/>
                      </w:rPr>
                      <w:t>@Autowired</w:t>
                    </w:r>
                  </w:p>
                  <w:p w14:paraId="3A730997" w14:textId="77777777" w:rsidR="00711A16" w:rsidRDefault="00711A16">
                    <w:pPr>
                      <w:spacing w:before="13"/>
                      <w:ind w:left="640"/>
                      <w:rPr>
                        <w:rFonts w:ascii="MS Gothic"/>
                      </w:rPr>
                    </w:pPr>
                    <w:r>
                      <w:rPr>
                        <w:rFonts w:ascii="MS Gothic"/>
                        <w:color w:val="333333"/>
                      </w:rPr>
                      <w:t>private YourRepository repository;</w:t>
                    </w:r>
                  </w:p>
                  <w:p w14:paraId="6A43B773" w14:textId="77777777" w:rsidR="00711A16" w:rsidRDefault="00711A16">
                    <w:pPr>
                      <w:rPr>
                        <w:rFonts w:ascii="MS Gothic"/>
                        <w:sz w:val="24"/>
                      </w:rPr>
                    </w:pPr>
                  </w:p>
                  <w:p w14:paraId="42E1AF90" w14:textId="77777777" w:rsidR="00711A16" w:rsidRDefault="00711A16">
                    <w:pPr>
                      <w:ind w:left="640"/>
                      <w:rPr>
                        <w:rFonts w:ascii="MS Gothic"/>
                      </w:rPr>
                    </w:pPr>
                    <w:r>
                      <w:rPr>
                        <w:rFonts w:ascii="MS Gothic"/>
                        <w:color w:val="333333"/>
                      </w:rPr>
                      <w:t>//</w:t>
                    </w:r>
                  </w:p>
                  <w:p w14:paraId="6718F9A8"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46DC8391" w14:textId="77777777" w:rsidR="00A720EB" w:rsidRDefault="00A720EB">
      <w:pPr>
        <w:pStyle w:val="a3"/>
        <w:rPr>
          <w:sz w:val="10"/>
        </w:rPr>
      </w:pPr>
    </w:p>
    <w:p w14:paraId="14B02466" w14:textId="77777777" w:rsidR="00A720EB" w:rsidRDefault="0030286B">
      <w:pPr>
        <w:pStyle w:val="a3"/>
        <w:spacing w:before="125" w:line="307" w:lineRule="auto"/>
        <w:ind w:left="124" w:right="122"/>
        <w:jc w:val="both"/>
      </w:pPr>
      <w:r>
        <w:rPr>
          <w:color w:val="333333"/>
          <w:w w:val="110"/>
        </w:rPr>
        <w:t xml:space="preserve">By default, Data Neo4j tests are transactional and roll back at the end of each test. See the </w:t>
      </w:r>
      <w:hyperlink r:id="rId342" w:anchor="testcontext-tx-enabling-transactions">
        <w:r>
          <w:rPr>
            <w:color w:val="418BCA"/>
            <w:w w:val="110"/>
          </w:rPr>
          <w:t>relevant</w:t>
        </w:r>
      </w:hyperlink>
      <w:r>
        <w:rPr>
          <w:color w:val="418BCA"/>
          <w:w w:val="110"/>
        </w:rPr>
        <w:t xml:space="preserve"> </w:t>
      </w:r>
      <w:hyperlink r:id="rId343" w:anchor="testcontext-tx-enabling-transactions">
        <w:r>
          <w:rPr>
            <w:color w:val="418BCA"/>
            <w:w w:val="110"/>
          </w:rPr>
          <w:t xml:space="preserve">section </w:t>
        </w:r>
      </w:hyperlink>
      <w:r>
        <w:rPr>
          <w:color w:val="333333"/>
          <w:w w:val="110"/>
        </w:rPr>
        <w:t>in the Spring Framework Reference Documentation for more details. If that is not what you want, you can disable transaction management for a test or for the whole class, as follows:</w:t>
      </w:r>
    </w:p>
    <w:p w14:paraId="447124E9" w14:textId="77777777" w:rsidR="00A720EB" w:rsidRDefault="00A720EB">
      <w:pPr>
        <w:spacing w:line="307" w:lineRule="auto"/>
        <w:jc w:val="both"/>
        <w:sectPr w:rsidR="00A720EB">
          <w:pgSz w:w="11910" w:h="16840"/>
          <w:pgMar w:top="700" w:right="840" w:bottom="520" w:left="840" w:header="0" w:footer="323" w:gutter="0"/>
          <w:cols w:space="720"/>
        </w:sectPr>
      </w:pPr>
    </w:p>
    <w:p w14:paraId="43A1DFE7" w14:textId="77777777" w:rsidR="00A720EB" w:rsidRDefault="00E10349">
      <w:pPr>
        <w:pStyle w:val="a3"/>
        <w:ind w:left="116"/>
        <w:rPr>
          <w:sz w:val="20"/>
        </w:rPr>
      </w:pPr>
      <w:r>
        <w:rPr>
          <w:sz w:val="20"/>
        </w:rPr>
      </w:r>
      <w:r>
        <w:rPr>
          <w:sz w:val="20"/>
        </w:rPr>
        <w:pict w14:anchorId="26D88374">
          <v:group id="_x0000_s3569" style="width:499.55pt;height:155.45pt;mso-position-horizontal-relative:char;mso-position-vertical-relative:line" coordsize="9991,3109">
            <v:shape id="_x0000_s3572" style="position:absolute;left:7;top:7;width:9976;height:3094" coordorigin="8,8" coordsize="9976,3094" path="m9904,8l88,8,56,14,31,31,14,56,8,88r,2933l14,3052r17,25l56,3094r32,7l9904,3101r31,-7l9960,3077r17,-25l9984,3021r,-2933l9977,56,9960,31,9935,14,9904,8xe" fillcolor="#f5f5f5" stroked="f">
              <v:path arrowok="t"/>
            </v:shape>
            <v:shape id="_x0000_s3571" style="position:absolute;left:7;top:7;width:9976;height:3094" coordorigin="8,8" coordsize="9976,3094" path="m88,8r9816,l9935,14r25,17l9977,56r7,32l9984,3021r-7,31l9960,3077r-25,17l9904,3101r-9816,l56,3094,31,3077,14,3052,8,3021,8,88,14,56,31,31,56,14,88,8xe" filled="f" strokecolor="#ccc">
              <v:path arrowok="t"/>
            </v:shape>
            <v:shape id="_x0000_s3570" type="#_x0000_t202" style="position:absolute;left:26;top:22;width:9938;height:3063" filled="f" stroked="f">
              <v:textbox inset="0,0,0,0">
                <w:txbxContent>
                  <w:p w14:paraId="49E7E26E" w14:textId="77777777" w:rsidR="00711A16" w:rsidRDefault="00711A16">
                    <w:pPr>
                      <w:spacing w:before="221" w:line="252" w:lineRule="auto"/>
                      <w:ind w:left="200" w:right="135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.boot.test.autoconfigure.data.neo4j.DataNeo4jTest; import org.springframework.transaction.annotation.Propagation;</w:t>
                    </w:r>
                  </w:p>
                  <w:p w14:paraId="5FE66515" w14:textId="77777777" w:rsidR="00711A16" w:rsidRDefault="00711A16">
                    <w:pPr>
                      <w:spacing w:line="280" w:lineRule="exact"/>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.transaction.annotation.Transactional;</w:t>
                    </w:r>
                  </w:p>
                  <w:p w14:paraId="24C0CFA4" w14:textId="77777777" w:rsidR="00711A16" w:rsidRDefault="00711A16">
                    <w:pPr>
                      <w:rPr>
                        <w:rFonts w:ascii="MS Gothic"/>
                        <w:sz w:val="24"/>
                      </w:rPr>
                    </w:pPr>
                  </w:p>
                  <w:p w14:paraId="13EA8778" w14:textId="77777777" w:rsidR="00711A16" w:rsidRDefault="00711A16">
                    <w:pPr>
                      <w:ind w:left="200"/>
                      <w:rPr>
                        <w:rFonts w:ascii="MS Gothic"/>
                      </w:rPr>
                    </w:pPr>
                    <w:r>
                      <w:rPr>
                        <w:rFonts w:ascii="MS Gothic"/>
                        <w:color w:val="333333"/>
                      </w:rPr>
                      <w:t>@DataNeo4jTest</w:t>
                    </w:r>
                  </w:p>
                  <w:p w14:paraId="275BC59C" w14:textId="77777777" w:rsidR="00711A16" w:rsidRDefault="00711A16">
                    <w:pPr>
                      <w:spacing w:before="13" w:line="252" w:lineRule="auto"/>
                      <w:ind w:left="200" w:right="3668"/>
                      <w:rPr>
                        <w:rFonts w:ascii="MS Gothic"/>
                      </w:rPr>
                    </w:pPr>
                    <w:r>
                      <w:rPr>
                        <w:rFonts w:ascii="MS Gothic"/>
                        <w:color w:val="333333"/>
                      </w:rPr>
                      <w:t>@</w:t>
                    </w:r>
                    <w:proofErr w:type="gramStart"/>
                    <w:r>
                      <w:rPr>
                        <w:rFonts w:ascii="MS Gothic"/>
                        <w:color w:val="333333"/>
                      </w:rPr>
                      <w:t>Transactional(</w:t>
                    </w:r>
                    <w:proofErr w:type="gramEnd"/>
                    <w:r>
                      <w:rPr>
                        <w:rFonts w:ascii="MS Gothic"/>
                        <w:color w:val="333333"/>
                      </w:rPr>
                      <w:t>propagation = Propagation.NOT_SUPPORTED) class ExampleNonTransactionalTests {</w:t>
                    </w:r>
                  </w:p>
                  <w:p w14:paraId="06B8C24C" w14:textId="77777777" w:rsidR="00711A16" w:rsidRDefault="00711A16">
                    <w:pPr>
                      <w:spacing w:before="10"/>
                      <w:rPr>
                        <w:rFonts w:ascii="MS Gothic"/>
                      </w:rPr>
                    </w:pPr>
                  </w:p>
                  <w:p w14:paraId="7902A22A" w14:textId="77777777" w:rsidR="00711A16" w:rsidRDefault="00711A16">
                    <w:pPr>
                      <w:ind w:left="200"/>
                      <w:rPr>
                        <w:rFonts w:ascii="MS Gothic"/>
                      </w:rPr>
                    </w:pPr>
                    <w:r>
                      <w:rPr>
                        <w:rFonts w:ascii="MS Gothic"/>
                        <w:color w:val="333333"/>
                      </w:rPr>
                      <w:t>}</w:t>
                    </w:r>
                  </w:p>
                </w:txbxContent>
              </v:textbox>
            </v:shape>
            <w10:anchorlock/>
          </v:group>
        </w:pict>
      </w:r>
    </w:p>
    <w:p w14:paraId="341771EB" w14:textId="77777777" w:rsidR="00A720EB" w:rsidRDefault="00A720EB">
      <w:pPr>
        <w:pStyle w:val="a3"/>
        <w:spacing w:before="3"/>
        <w:rPr>
          <w:sz w:val="16"/>
        </w:rPr>
      </w:pPr>
    </w:p>
    <w:p w14:paraId="027A056A" w14:textId="77777777" w:rsidR="00A720EB" w:rsidRDefault="0030286B">
      <w:pPr>
        <w:pStyle w:val="4"/>
        <w:spacing w:before="104"/>
      </w:pPr>
      <w:bookmarkStart w:id="479" w:name="Auto-configured_Data_Redis_Tests"/>
      <w:bookmarkEnd w:id="479"/>
      <w:r>
        <w:rPr>
          <w:color w:val="333333"/>
          <w:w w:val="110"/>
        </w:rPr>
        <w:t>Auto-configured Data Redis Tests</w:t>
      </w:r>
    </w:p>
    <w:p w14:paraId="1E2E5A19" w14:textId="77777777" w:rsidR="00A720EB" w:rsidRDefault="0030286B">
      <w:pPr>
        <w:pStyle w:val="a3"/>
        <w:spacing w:before="244" w:line="283" w:lineRule="auto"/>
        <w:ind w:left="124" w:right="122"/>
        <w:jc w:val="both"/>
      </w:pPr>
      <w:r>
        <w:rPr>
          <w:color w:val="333333"/>
          <w:spacing w:val="-6"/>
          <w:w w:val="110"/>
        </w:rPr>
        <w:t>You</w:t>
      </w:r>
      <w:r>
        <w:rPr>
          <w:color w:val="333333"/>
          <w:spacing w:val="-3"/>
          <w:w w:val="110"/>
        </w:rPr>
        <w:t xml:space="preserve"> </w:t>
      </w:r>
      <w:r>
        <w:rPr>
          <w:color w:val="333333"/>
          <w:w w:val="110"/>
        </w:rPr>
        <w:t>can</w:t>
      </w:r>
      <w:r>
        <w:rPr>
          <w:color w:val="333333"/>
          <w:spacing w:val="-3"/>
          <w:w w:val="110"/>
        </w:rPr>
        <w:t xml:space="preserve"> </w:t>
      </w:r>
      <w:r>
        <w:rPr>
          <w:color w:val="333333"/>
          <w:w w:val="110"/>
        </w:rPr>
        <w:t>use</w:t>
      </w:r>
      <w:r>
        <w:rPr>
          <w:color w:val="333333"/>
          <w:spacing w:val="-1"/>
          <w:w w:val="110"/>
        </w:rPr>
        <w:t xml:space="preserve"> </w:t>
      </w:r>
      <w:r>
        <w:rPr>
          <w:rFonts w:ascii="MS Gothic"/>
          <w:color w:val="B02045"/>
          <w:w w:val="110"/>
        </w:rPr>
        <w:t>@DataRedisTest</w:t>
      </w:r>
      <w:r>
        <w:rPr>
          <w:rFonts w:ascii="MS Gothic"/>
          <w:color w:val="B02045"/>
          <w:spacing w:val="-67"/>
          <w:w w:val="110"/>
        </w:rPr>
        <w:t xml:space="preserve"> </w:t>
      </w:r>
      <w:r>
        <w:rPr>
          <w:color w:val="333333"/>
          <w:w w:val="110"/>
        </w:rPr>
        <w:t>to</w:t>
      </w:r>
      <w:r>
        <w:rPr>
          <w:color w:val="333333"/>
          <w:spacing w:val="-2"/>
          <w:w w:val="110"/>
        </w:rPr>
        <w:t xml:space="preserve"> </w:t>
      </w:r>
      <w:r>
        <w:rPr>
          <w:color w:val="333333"/>
          <w:w w:val="110"/>
        </w:rPr>
        <w:t>test</w:t>
      </w:r>
      <w:r>
        <w:rPr>
          <w:color w:val="333333"/>
          <w:spacing w:val="-3"/>
          <w:w w:val="110"/>
        </w:rPr>
        <w:t xml:space="preserve"> </w:t>
      </w:r>
      <w:r>
        <w:rPr>
          <w:color w:val="333333"/>
          <w:w w:val="110"/>
        </w:rPr>
        <w:t>Redis</w:t>
      </w:r>
      <w:r>
        <w:rPr>
          <w:color w:val="333333"/>
          <w:spacing w:val="-2"/>
          <w:w w:val="110"/>
        </w:rPr>
        <w:t xml:space="preserve"> </w:t>
      </w:r>
      <w:r>
        <w:rPr>
          <w:color w:val="333333"/>
          <w:w w:val="110"/>
        </w:rPr>
        <w:t>applications.</w:t>
      </w:r>
      <w:r>
        <w:rPr>
          <w:color w:val="333333"/>
          <w:spacing w:val="-3"/>
          <w:w w:val="110"/>
        </w:rPr>
        <w:t xml:space="preserve"> By</w:t>
      </w:r>
      <w:r>
        <w:rPr>
          <w:color w:val="333333"/>
          <w:spacing w:val="-2"/>
          <w:w w:val="110"/>
        </w:rPr>
        <w:t xml:space="preserve"> </w:t>
      </w:r>
      <w:r>
        <w:rPr>
          <w:color w:val="333333"/>
          <w:w w:val="110"/>
        </w:rPr>
        <w:t>default,</w:t>
      </w:r>
      <w:r>
        <w:rPr>
          <w:color w:val="333333"/>
          <w:spacing w:val="-3"/>
          <w:w w:val="110"/>
        </w:rPr>
        <w:t xml:space="preserve"> </w:t>
      </w:r>
      <w:r>
        <w:rPr>
          <w:color w:val="333333"/>
          <w:w w:val="110"/>
        </w:rPr>
        <w:t>it</w:t>
      </w:r>
      <w:r>
        <w:rPr>
          <w:color w:val="333333"/>
          <w:spacing w:val="-2"/>
          <w:w w:val="110"/>
        </w:rPr>
        <w:t xml:space="preserve"> </w:t>
      </w:r>
      <w:r>
        <w:rPr>
          <w:color w:val="333333"/>
          <w:w w:val="110"/>
        </w:rPr>
        <w:t>scans</w:t>
      </w:r>
      <w:r>
        <w:rPr>
          <w:color w:val="333333"/>
          <w:spacing w:val="-3"/>
          <w:w w:val="110"/>
        </w:rPr>
        <w:t xml:space="preserve"> </w:t>
      </w:r>
      <w:r>
        <w:rPr>
          <w:color w:val="333333"/>
          <w:w w:val="110"/>
        </w:rPr>
        <w:t>for</w:t>
      </w:r>
      <w:r>
        <w:rPr>
          <w:color w:val="333333"/>
          <w:spacing w:val="4"/>
          <w:w w:val="110"/>
        </w:rPr>
        <w:t xml:space="preserve"> </w:t>
      </w:r>
      <w:r>
        <w:rPr>
          <w:rFonts w:ascii="MS Gothic"/>
          <w:color w:val="B02045"/>
          <w:w w:val="110"/>
        </w:rPr>
        <w:t>@RedisHash</w:t>
      </w:r>
      <w:r>
        <w:rPr>
          <w:rFonts w:ascii="MS Gothic"/>
          <w:color w:val="B02045"/>
          <w:spacing w:val="-67"/>
          <w:w w:val="110"/>
        </w:rPr>
        <w:t xml:space="preserve"> </w:t>
      </w:r>
      <w:r>
        <w:rPr>
          <w:color w:val="333333"/>
          <w:w w:val="110"/>
        </w:rPr>
        <w:t>classes</w:t>
      </w:r>
      <w:r>
        <w:rPr>
          <w:color w:val="333333"/>
          <w:spacing w:val="-2"/>
          <w:w w:val="110"/>
        </w:rPr>
        <w:t xml:space="preserve"> </w:t>
      </w:r>
      <w:r>
        <w:rPr>
          <w:color w:val="333333"/>
          <w:w w:val="110"/>
        </w:rPr>
        <w:t>and configures</w:t>
      </w:r>
      <w:r>
        <w:rPr>
          <w:color w:val="333333"/>
          <w:spacing w:val="-9"/>
          <w:w w:val="110"/>
        </w:rPr>
        <w:t xml:space="preserve"> </w:t>
      </w:r>
      <w:r>
        <w:rPr>
          <w:color w:val="333333"/>
          <w:w w:val="110"/>
        </w:rPr>
        <w:t>Spring</w:t>
      </w:r>
      <w:r>
        <w:rPr>
          <w:color w:val="333333"/>
          <w:spacing w:val="-9"/>
          <w:w w:val="110"/>
        </w:rPr>
        <w:t xml:space="preserve"> </w:t>
      </w:r>
      <w:r>
        <w:rPr>
          <w:color w:val="333333"/>
          <w:w w:val="110"/>
        </w:rPr>
        <w:t>Data</w:t>
      </w:r>
      <w:r>
        <w:rPr>
          <w:color w:val="333333"/>
          <w:spacing w:val="-9"/>
          <w:w w:val="110"/>
        </w:rPr>
        <w:t xml:space="preserve"> </w:t>
      </w:r>
      <w:r>
        <w:rPr>
          <w:color w:val="333333"/>
          <w:w w:val="110"/>
        </w:rPr>
        <w:t>Redis</w:t>
      </w:r>
      <w:r>
        <w:rPr>
          <w:color w:val="333333"/>
          <w:spacing w:val="-9"/>
          <w:w w:val="110"/>
        </w:rPr>
        <w:t xml:space="preserve"> </w:t>
      </w:r>
      <w:r>
        <w:rPr>
          <w:color w:val="333333"/>
          <w:w w:val="110"/>
        </w:rPr>
        <w:t>repositories.</w:t>
      </w:r>
      <w:r>
        <w:rPr>
          <w:color w:val="333333"/>
          <w:spacing w:val="-9"/>
          <w:w w:val="110"/>
        </w:rPr>
        <w:t xml:space="preserve"> </w:t>
      </w:r>
      <w:r>
        <w:rPr>
          <w:color w:val="333333"/>
          <w:w w:val="110"/>
        </w:rPr>
        <w:t>Regular</w:t>
      </w:r>
      <w:r>
        <w:rPr>
          <w:color w:val="333333"/>
          <w:spacing w:val="-7"/>
          <w:w w:val="110"/>
        </w:rPr>
        <w:t xml:space="preserve"> </w:t>
      </w:r>
      <w:r>
        <w:rPr>
          <w:rFonts w:ascii="MS Gothic"/>
          <w:color w:val="B02045"/>
          <w:w w:val="110"/>
        </w:rPr>
        <w:t>@Component</w:t>
      </w:r>
      <w:r>
        <w:rPr>
          <w:rFonts w:ascii="MS Gothic"/>
          <w:color w:val="B02045"/>
          <w:spacing w:val="-73"/>
          <w:w w:val="110"/>
        </w:rPr>
        <w:t xml:space="preserve"> </w:t>
      </w:r>
      <w:r>
        <w:rPr>
          <w:color w:val="333333"/>
          <w:w w:val="110"/>
        </w:rPr>
        <w:t>and</w:t>
      </w:r>
      <w:r>
        <w:rPr>
          <w:color w:val="333333"/>
          <w:spacing w:val="-8"/>
          <w:w w:val="110"/>
        </w:rPr>
        <w:t xml:space="preserve"> </w:t>
      </w:r>
      <w:r>
        <w:rPr>
          <w:rFonts w:ascii="MS Gothic"/>
          <w:color w:val="B02045"/>
          <w:w w:val="110"/>
        </w:rPr>
        <w:t>@ConfigurationProperties</w:t>
      </w:r>
      <w:r>
        <w:rPr>
          <w:rFonts w:ascii="MS Gothic"/>
          <w:color w:val="B02045"/>
          <w:spacing w:val="-74"/>
          <w:w w:val="110"/>
        </w:rPr>
        <w:t xml:space="preserve"> </w:t>
      </w:r>
      <w:r>
        <w:rPr>
          <w:color w:val="333333"/>
          <w:w w:val="110"/>
        </w:rPr>
        <w:t>beans are</w:t>
      </w:r>
      <w:r>
        <w:rPr>
          <w:color w:val="333333"/>
          <w:spacing w:val="-32"/>
          <w:w w:val="110"/>
        </w:rPr>
        <w:t xml:space="preserve"> </w:t>
      </w:r>
      <w:r>
        <w:rPr>
          <w:color w:val="333333"/>
          <w:w w:val="110"/>
        </w:rPr>
        <w:t>not</w:t>
      </w:r>
      <w:r>
        <w:rPr>
          <w:color w:val="333333"/>
          <w:spacing w:val="-31"/>
          <w:w w:val="110"/>
        </w:rPr>
        <w:t xml:space="preserve"> </w:t>
      </w:r>
      <w:r>
        <w:rPr>
          <w:color w:val="333333"/>
          <w:w w:val="110"/>
        </w:rPr>
        <w:t>scanned</w:t>
      </w:r>
      <w:r>
        <w:rPr>
          <w:color w:val="333333"/>
          <w:spacing w:val="-31"/>
          <w:w w:val="110"/>
        </w:rPr>
        <w:t xml:space="preserve"> </w:t>
      </w:r>
      <w:r>
        <w:rPr>
          <w:color w:val="333333"/>
          <w:w w:val="110"/>
        </w:rPr>
        <w:t>when</w:t>
      </w:r>
      <w:r>
        <w:rPr>
          <w:color w:val="333333"/>
          <w:spacing w:val="-31"/>
          <w:w w:val="110"/>
        </w:rPr>
        <w:t xml:space="preserve"> </w:t>
      </w:r>
      <w:r>
        <w:rPr>
          <w:color w:val="333333"/>
          <w:w w:val="110"/>
        </w:rPr>
        <w:t>the</w:t>
      </w:r>
      <w:r>
        <w:rPr>
          <w:color w:val="333333"/>
          <w:spacing w:val="-31"/>
          <w:w w:val="110"/>
        </w:rPr>
        <w:t xml:space="preserve"> </w:t>
      </w:r>
      <w:r>
        <w:rPr>
          <w:rFonts w:ascii="MS Gothic"/>
          <w:color w:val="B02045"/>
          <w:w w:val="110"/>
        </w:rPr>
        <w:t>@DataRedisTest</w:t>
      </w:r>
      <w:r>
        <w:rPr>
          <w:rFonts w:ascii="MS Gothic"/>
          <w:color w:val="B02045"/>
          <w:spacing w:val="-95"/>
          <w:w w:val="110"/>
        </w:rPr>
        <w:t xml:space="preserve"> </w:t>
      </w:r>
      <w:r>
        <w:rPr>
          <w:color w:val="333333"/>
          <w:w w:val="110"/>
        </w:rPr>
        <w:t>annotation</w:t>
      </w:r>
      <w:r>
        <w:rPr>
          <w:color w:val="333333"/>
          <w:spacing w:val="-31"/>
          <w:w w:val="110"/>
        </w:rPr>
        <w:t xml:space="preserve"> </w:t>
      </w:r>
      <w:r>
        <w:rPr>
          <w:color w:val="333333"/>
          <w:w w:val="110"/>
        </w:rPr>
        <w:t>is</w:t>
      </w:r>
      <w:r>
        <w:rPr>
          <w:color w:val="333333"/>
          <w:spacing w:val="-31"/>
          <w:w w:val="110"/>
        </w:rPr>
        <w:t xml:space="preserve"> </w:t>
      </w:r>
      <w:r>
        <w:rPr>
          <w:color w:val="333333"/>
          <w:w w:val="110"/>
        </w:rPr>
        <w:t>used.</w:t>
      </w:r>
      <w:r>
        <w:rPr>
          <w:color w:val="333333"/>
          <w:spacing w:val="-30"/>
          <w:w w:val="110"/>
        </w:rPr>
        <w:t xml:space="preserve"> </w:t>
      </w:r>
      <w:r>
        <w:rPr>
          <w:rFonts w:ascii="MS Gothic"/>
          <w:color w:val="B02045"/>
          <w:w w:val="110"/>
        </w:rPr>
        <w:t>@EnableConfigurationProperties</w:t>
      </w:r>
      <w:r>
        <w:rPr>
          <w:rFonts w:ascii="MS Gothic"/>
          <w:color w:val="B02045"/>
          <w:spacing w:val="-95"/>
          <w:w w:val="110"/>
        </w:rPr>
        <w:t xml:space="preserve"> </w:t>
      </w:r>
      <w:r>
        <w:rPr>
          <w:color w:val="333333"/>
          <w:w w:val="110"/>
        </w:rPr>
        <w:t>can</w:t>
      </w:r>
      <w:r>
        <w:rPr>
          <w:color w:val="333333"/>
          <w:spacing w:val="-32"/>
          <w:w w:val="110"/>
        </w:rPr>
        <w:t xml:space="preserve"> </w:t>
      </w:r>
      <w:r>
        <w:rPr>
          <w:color w:val="333333"/>
          <w:w w:val="110"/>
        </w:rPr>
        <w:t xml:space="preserve">be used to include </w:t>
      </w:r>
      <w:r>
        <w:rPr>
          <w:rFonts w:ascii="MS Gothic"/>
          <w:color w:val="B02045"/>
          <w:w w:val="110"/>
        </w:rPr>
        <w:t>@ConfigurationProperties</w:t>
      </w:r>
      <w:r>
        <w:rPr>
          <w:rFonts w:ascii="MS Gothic"/>
          <w:color w:val="B02045"/>
          <w:spacing w:val="-97"/>
          <w:w w:val="110"/>
        </w:rPr>
        <w:t xml:space="preserve"> </w:t>
      </w:r>
      <w:r>
        <w:rPr>
          <w:color w:val="333333"/>
          <w:w w:val="110"/>
        </w:rPr>
        <w:t xml:space="preserve">beans. </w:t>
      </w:r>
      <w:r>
        <w:rPr>
          <w:color w:val="333333"/>
          <w:spacing w:val="-3"/>
          <w:w w:val="110"/>
        </w:rPr>
        <w:t xml:space="preserve">(For </w:t>
      </w:r>
      <w:r>
        <w:rPr>
          <w:color w:val="333333"/>
          <w:w w:val="110"/>
        </w:rPr>
        <w:t>more about using Redis with Spring Boot, see "</w:t>
      </w:r>
      <w:hyperlink w:anchor="_bookmark222" w:history="1">
        <w:r>
          <w:rPr>
            <w:color w:val="418BCA"/>
            <w:w w:val="110"/>
          </w:rPr>
          <w:t>Redis</w:t>
        </w:r>
      </w:hyperlink>
      <w:r>
        <w:rPr>
          <w:color w:val="333333"/>
          <w:w w:val="110"/>
        </w:rPr>
        <w:t>", earlier in this</w:t>
      </w:r>
      <w:r>
        <w:rPr>
          <w:color w:val="333333"/>
          <w:spacing w:val="12"/>
          <w:w w:val="110"/>
        </w:rPr>
        <w:t xml:space="preserve"> </w:t>
      </w:r>
      <w:r>
        <w:rPr>
          <w:color w:val="333333"/>
          <w:w w:val="110"/>
        </w:rPr>
        <w:t>chapter.)</w:t>
      </w:r>
    </w:p>
    <w:p w14:paraId="73433976" w14:textId="77777777" w:rsidR="00A720EB" w:rsidRDefault="00A720EB">
      <w:pPr>
        <w:pStyle w:val="a3"/>
        <w:spacing w:before="9"/>
        <w:rPr>
          <w:sz w:val="28"/>
        </w:rPr>
      </w:pPr>
    </w:p>
    <w:p w14:paraId="7500668A" w14:textId="77777777" w:rsidR="00A720EB" w:rsidRDefault="00E10349">
      <w:pPr>
        <w:pStyle w:val="a3"/>
        <w:spacing w:line="290" w:lineRule="auto"/>
        <w:ind w:left="1564"/>
      </w:pPr>
      <w:r>
        <w:pict w14:anchorId="5B37B814">
          <v:line id="_x0000_s3568" style="position:absolute;left:0;text-align:left;z-index:16138752;mso-position-horizontal-relative:page" from="108.25pt,-5.45pt" to="108.25pt,34.1pt" strokecolor="#ededed" strokeweight=".5pt">
            <w10:wrap anchorx="page"/>
          </v:line>
        </w:pict>
      </w:r>
      <w:r w:rsidR="0030286B">
        <w:rPr>
          <w:noProof/>
        </w:rPr>
        <w:drawing>
          <wp:anchor distT="0" distB="0" distL="0" distR="0" simplePos="0" relativeHeight="16139264" behindDoc="0" locked="0" layoutInCell="1" allowOverlap="1" wp14:anchorId="039DC74A" wp14:editId="56F30433">
            <wp:simplePos x="0" y="0"/>
            <wp:positionH relativeFrom="page">
              <wp:posOffset>888949</wp:posOffset>
            </wp:positionH>
            <wp:positionV relativeFrom="paragraph">
              <wp:posOffset>29413</wp:posOffset>
            </wp:positionV>
            <wp:extent cx="209550" cy="304800"/>
            <wp:effectExtent l="0" t="0" r="0" b="0"/>
            <wp:wrapNone/>
            <wp:docPr id="52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 settings that are enabled by </w:t>
      </w:r>
      <w:r w:rsidR="0030286B">
        <w:rPr>
          <w:rFonts w:ascii="MS Gothic"/>
          <w:color w:val="B02045"/>
          <w:w w:val="110"/>
        </w:rPr>
        <w:t xml:space="preserve">@DataRedisTest </w:t>
      </w:r>
      <w:r w:rsidR="0030286B">
        <w:rPr>
          <w:color w:val="333333"/>
          <w:w w:val="110"/>
        </w:rPr>
        <w:t xml:space="preserve">can be </w:t>
      </w:r>
      <w:hyperlink w:anchor="_bookmark689" w:history="1">
        <w:r w:rsidR="0030286B">
          <w:rPr>
            <w:color w:val="418BCA"/>
            <w:w w:val="110"/>
          </w:rPr>
          <w:t>found in the appendix</w:t>
        </w:r>
      </w:hyperlink>
      <w:r w:rsidR="0030286B">
        <w:rPr>
          <w:color w:val="333333"/>
          <w:w w:val="110"/>
        </w:rPr>
        <w:t>.</w:t>
      </w:r>
    </w:p>
    <w:p w14:paraId="2B6AB3F2" w14:textId="77777777" w:rsidR="00A720EB" w:rsidRDefault="00A720EB">
      <w:pPr>
        <w:pStyle w:val="a3"/>
        <w:rPr>
          <w:sz w:val="28"/>
        </w:rPr>
      </w:pPr>
    </w:p>
    <w:p w14:paraId="37860F79" w14:textId="77777777" w:rsidR="00A720EB" w:rsidRDefault="0030286B">
      <w:pPr>
        <w:pStyle w:val="a3"/>
        <w:ind w:left="124"/>
        <w:jc w:val="both"/>
      </w:pPr>
      <w:r>
        <w:rPr>
          <w:color w:val="333333"/>
          <w:w w:val="110"/>
        </w:rPr>
        <w:t xml:space="preserve">The following example shows the </w:t>
      </w:r>
      <w:r>
        <w:rPr>
          <w:rFonts w:ascii="MS Gothic"/>
          <w:color w:val="B02045"/>
          <w:w w:val="110"/>
        </w:rPr>
        <w:t>@DataRedisTest</w:t>
      </w:r>
      <w:r>
        <w:rPr>
          <w:rFonts w:ascii="MS Gothic"/>
          <w:color w:val="B02045"/>
          <w:spacing w:val="-54"/>
          <w:w w:val="110"/>
        </w:rPr>
        <w:t xml:space="preserve"> </w:t>
      </w:r>
      <w:r>
        <w:rPr>
          <w:color w:val="333333"/>
          <w:w w:val="110"/>
        </w:rPr>
        <w:t>annotation in use:</w:t>
      </w:r>
    </w:p>
    <w:p w14:paraId="2D0C7684" w14:textId="77777777" w:rsidR="00A720EB" w:rsidRDefault="00E10349">
      <w:pPr>
        <w:pStyle w:val="a3"/>
        <w:spacing w:before="11"/>
        <w:rPr>
          <w:sz w:val="17"/>
        </w:rPr>
      </w:pPr>
      <w:r>
        <w:pict w14:anchorId="43F4F9B6">
          <v:group id="_x0000_s3564" style="position:absolute;margin-left:47.85pt;margin-top:12.5pt;width:499.55pt;height:184.9pt;z-index:-15319552;mso-wrap-distance-left:0;mso-wrap-distance-right:0;mso-position-horizontal-relative:page" coordorigin="957,250" coordsize="9991,3698">
            <v:shape id="_x0000_s3567" style="position:absolute;left:964;top:257;width:9976;height:3683" coordorigin="965,257" coordsize="9976,3683" path="m10861,257r-9816,l1014,264r-26,17l971,306r-6,31l965,3860r6,31l988,3917r26,17l1045,3940r9816,l10892,3934r25,-17l10935,3891r6,-31l10941,337r-6,-31l10917,281r-25,-17l10861,257xe" fillcolor="#f5f5f5" stroked="f">
              <v:path arrowok="t"/>
            </v:shape>
            <v:shape id="_x0000_s3566" style="position:absolute;left:964;top:257;width:9976;height:3683" coordorigin="965,257" coordsize="9976,3683" path="m1045,257r9816,l10892,264r25,17l10935,306r6,31l10941,3860r-6,31l10917,3917r-25,17l10861,3940r-9816,l1014,3934r-26,-17l971,3891r-6,-31l965,337r6,-31l988,281r26,-17l1045,257xe" filled="f" strokecolor="#ccc">
              <v:path arrowok="t"/>
            </v:shape>
            <v:shape id="_x0000_s3565" type="#_x0000_t202" style="position:absolute;left:984;top:272;width:9938;height:3652" filled="f" stroked="f">
              <v:textbox inset="0,0,0,0">
                <w:txbxContent>
                  <w:p w14:paraId="2216045F"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41B26F14" w14:textId="77777777" w:rsidR="00711A16" w:rsidRDefault="00711A16">
                    <w:pPr>
                      <w:spacing w:before="13"/>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.boot.test.autoconfigure.data.redis.DataRedisTest;</w:t>
                    </w:r>
                  </w:p>
                  <w:p w14:paraId="755C1F70" w14:textId="77777777" w:rsidR="00711A16" w:rsidRDefault="00711A16">
                    <w:pPr>
                      <w:rPr>
                        <w:rFonts w:ascii="MS Gothic"/>
                        <w:sz w:val="24"/>
                      </w:rPr>
                    </w:pPr>
                  </w:p>
                  <w:p w14:paraId="6A2F0F56" w14:textId="77777777" w:rsidR="00711A16" w:rsidRDefault="00711A16">
                    <w:pPr>
                      <w:ind w:left="200"/>
                      <w:rPr>
                        <w:rFonts w:ascii="MS Gothic"/>
                      </w:rPr>
                    </w:pPr>
                    <w:r>
                      <w:rPr>
                        <w:rFonts w:ascii="MS Gothic"/>
                        <w:color w:val="333333"/>
                      </w:rPr>
                      <w:t>@DataRedisTest</w:t>
                    </w:r>
                  </w:p>
                  <w:p w14:paraId="2A6C35A1" w14:textId="77777777" w:rsidR="00711A16" w:rsidRDefault="00711A16">
                    <w:pPr>
                      <w:spacing w:before="13"/>
                      <w:ind w:left="200"/>
                      <w:rPr>
                        <w:rFonts w:ascii="MS Gothic"/>
                      </w:rPr>
                    </w:pPr>
                    <w:r>
                      <w:rPr>
                        <w:rFonts w:ascii="MS Gothic"/>
                        <w:color w:val="333333"/>
                      </w:rPr>
                      <w:t>class ExampleDataRedisTests {</w:t>
                    </w:r>
                  </w:p>
                  <w:p w14:paraId="14521DBC" w14:textId="77777777" w:rsidR="00711A16" w:rsidRDefault="00711A16">
                    <w:pPr>
                      <w:rPr>
                        <w:rFonts w:ascii="MS Gothic"/>
                        <w:sz w:val="24"/>
                      </w:rPr>
                    </w:pPr>
                  </w:p>
                  <w:p w14:paraId="2D4B6A46" w14:textId="77777777" w:rsidR="00711A16" w:rsidRDefault="00711A16">
                    <w:pPr>
                      <w:ind w:left="640"/>
                      <w:rPr>
                        <w:rFonts w:ascii="MS Gothic"/>
                      </w:rPr>
                    </w:pPr>
                    <w:r>
                      <w:rPr>
                        <w:rFonts w:ascii="MS Gothic"/>
                        <w:color w:val="333333"/>
                      </w:rPr>
                      <w:t>@Autowired</w:t>
                    </w:r>
                  </w:p>
                  <w:p w14:paraId="4138C304" w14:textId="77777777" w:rsidR="00711A16" w:rsidRDefault="00711A16">
                    <w:pPr>
                      <w:spacing w:before="13"/>
                      <w:ind w:left="640"/>
                      <w:rPr>
                        <w:rFonts w:ascii="MS Gothic"/>
                      </w:rPr>
                    </w:pPr>
                    <w:r>
                      <w:rPr>
                        <w:rFonts w:ascii="MS Gothic"/>
                        <w:color w:val="333333"/>
                      </w:rPr>
                      <w:t>private YourRepository repository;</w:t>
                    </w:r>
                  </w:p>
                  <w:p w14:paraId="399E4426" w14:textId="77777777" w:rsidR="00711A16" w:rsidRDefault="00711A16">
                    <w:pPr>
                      <w:rPr>
                        <w:rFonts w:ascii="MS Gothic"/>
                        <w:sz w:val="24"/>
                      </w:rPr>
                    </w:pPr>
                  </w:p>
                  <w:p w14:paraId="07A93B87" w14:textId="77777777" w:rsidR="00711A16" w:rsidRDefault="00711A16">
                    <w:pPr>
                      <w:ind w:left="640"/>
                      <w:rPr>
                        <w:rFonts w:ascii="MS Gothic"/>
                      </w:rPr>
                    </w:pPr>
                    <w:r>
                      <w:rPr>
                        <w:rFonts w:ascii="MS Gothic"/>
                        <w:color w:val="333333"/>
                      </w:rPr>
                      <w:t>//</w:t>
                    </w:r>
                  </w:p>
                  <w:p w14:paraId="025D55BB"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522B6C76" w14:textId="77777777" w:rsidR="00A720EB" w:rsidRDefault="00A720EB">
      <w:pPr>
        <w:pStyle w:val="a3"/>
        <w:spacing w:before="11"/>
        <w:rPr>
          <w:sz w:val="16"/>
        </w:rPr>
      </w:pPr>
    </w:p>
    <w:p w14:paraId="66ECC1C8" w14:textId="77777777" w:rsidR="00A720EB" w:rsidRDefault="0030286B">
      <w:pPr>
        <w:pStyle w:val="4"/>
        <w:spacing w:before="104"/>
      </w:pPr>
      <w:bookmarkStart w:id="480" w:name="Auto-configured_Data_LDAP_Tests"/>
      <w:bookmarkEnd w:id="480"/>
      <w:r>
        <w:rPr>
          <w:color w:val="333333"/>
          <w:w w:val="110"/>
        </w:rPr>
        <w:t>Auto-configured Data LDAP Tests</w:t>
      </w:r>
    </w:p>
    <w:p w14:paraId="23D30A79" w14:textId="77777777" w:rsidR="00A720EB" w:rsidRDefault="0030286B">
      <w:pPr>
        <w:pStyle w:val="a3"/>
        <w:spacing w:before="244" w:line="283" w:lineRule="auto"/>
        <w:ind w:left="124" w:right="122"/>
        <w:jc w:val="both"/>
      </w:pPr>
      <w:r>
        <w:rPr>
          <w:color w:val="333333"/>
          <w:spacing w:val="-6"/>
          <w:w w:val="110"/>
        </w:rPr>
        <w:t xml:space="preserve">You </w:t>
      </w:r>
      <w:r>
        <w:rPr>
          <w:color w:val="333333"/>
          <w:w w:val="110"/>
        </w:rPr>
        <w:t xml:space="preserve">can use </w:t>
      </w:r>
      <w:r>
        <w:rPr>
          <w:rFonts w:ascii="MS Gothic"/>
          <w:color w:val="B02045"/>
          <w:w w:val="110"/>
        </w:rPr>
        <w:t xml:space="preserve">@DataLdapTest </w:t>
      </w:r>
      <w:r>
        <w:rPr>
          <w:color w:val="333333"/>
          <w:w w:val="110"/>
        </w:rPr>
        <w:t xml:space="preserve">to test LDAP applications. </w:t>
      </w:r>
      <w:r>
        <w:rPr>
          <w:color w:val="333333"/>
          <w:spacing w:val="-3"/>
          <w:w w:val="110"/>
        </w:rPr>
        <w:t xml:space="preserve">By </w:t>
      </w:r>
      <w:r>
        <w:rPr>
          <w:color w:val="333333"/>
          <w:w w:val="110"/>
        </w:rPr>
        <w:t xml:space="preserve">default, it configures an in-memory embedded LDAP (if available), configures an </w:t>
      </w:r>
      <w:r>
        <w:rPr>
          <w:rFonts w:ascii="MS Gothic"/>
          <w:color w:val="B02045"/>
          <w:w w:val="110"/>
        </w:rPr>
        <w:t>LdapTemplate</w:t>
      </w:r>
      <w:r>
        <w:rPr>
          <w:color w:val="333333"/>
          <w:w w:val="110"/>
        </w:rPr>
        <w:t xml:space="preserve">, scans for </w:t>
      </w:r>
      <w:r>
        <w:rPr>
          <w:rFonts w:ascii="MS Gothic"/>
          <w:color w:val="B02045"/>
          <w:w w:val="110"/>
        </w:rPr>
        <w:t xml:space="preserve">@Entry </w:t>
      </w:r>
      <w:r>
        <w:rPr>
          <w:color w:val="333333"/>
          <w:w w:val="110"/>
        </w:rPr>
        <w:t xml:space="preserve">classes, and configures Spring Data LDAP repositories. Regular </w:t>
      </w:r>
      <w:r>
        <w:rPr>
          <w:rFonts w:ascii="MS Gothic"/>
          <w:color w:val="B02045"/>
          <w:w w:val="110"/>
        </w:rPr>
        <w:t xml:space="preserve">@Component </w:t>
      </w:r>
      <w:r>
        <w:rPr>
          <w:color w:val="333333"/>
          <w:w w:val="110"/>
        </w:rPr>
        <w:t xml:space="preserve">and </w:t>
      </w:r>
      <w:r>
        <w:rPr>
          <w:rFonts w:ascii="MS Gothic"/>
          <w:color w:val="B02045"/>
          <w:w w:val="110"/>
        </w:rPr>
        <w:t xml:space="preserve">@ConfigurationProperties </w:t>
      </w:r>
      <w:r>
        <w:rPr>
          <w:color w:val="333333"/>
          <w:w w:val="110"/>
        </w:rPr>
        <w:t>beans are not scanned</w:t>
      </w:r>
      <w:r>
        <w:rPr>
          <w:color w:val="333333"/>
          <w:spacing w:val="-23"/>
          <w:w w:val="110"/>
        </w:rPr>
        <w:t xml:space="preserve"> </w:t>
      </w:r>
      <w:r>
        <w:rPr>
          <w:color w:val="333333"/>
          <w:w w:val="110"/>
        </w:rPr>
        <w:t>when</w:t>
      </w:r>
      <w:r>
        <w:rPr>
          <w:color w:val="333333"/>
          <w:spacing w:val="-23"/>
          <w:w w:val="110"/>
        </w:rPr>
        <w:t xml:space="preserve"> </w:t>
      </w:r>
      <w:r>
        <w:rPr>
          <w:color w:val="333333"/>
          <w:w w:val="110"/>
        </w:rPr>
        <w:t>the</w:t>
      </w:r>
      <w:r>
        <w:rPr>
          <w:color w:val="333333"/>
          <w:spacing w:val="-22"/>
          <w:w w:val="110"/>
        </w:rPr>
        <w:t xml:space="preserve"> </w:t>
      </w:r>
      <w:r>
        <w:rPr>
          <w:rFonts w:ascii="MS Gothic"/>
          <w:color w:val="B02045"/>
          <w:w w:val="110"/>
        </w:rPr>
        <w:t>@DataLdapTest</w:t>
      </w:r>
      <w:r>
        <w:rPr>
          <w:rFonts w:ascii="MS Gothic"/>
          <w:color w:val="B02045"/>
          <w:spacing w:val="-87"/>
          <w:w w:val="110"/>
        </w:rPr>
        <w:t xml:space="preserve"> </w:t>
      </w:r>
      <w:r>
        <w:rPr>
          <w:color w:val="333333"/>
          <w:w w:val="110"/>
        </w:rPr>
        <w:t>annotation</w:t>
      </w:r>
      <w:r>
        <w:rPr>
          <w:color w:val="333333"/>
          <w:spacing w:val="-23"/>
          <w:w w:val="110"/>
        </w:rPr>
        <w:t xml:space="preserve"> </w:t>
      </w:r>
      <w:r>
        <w:rPr>
          <w:color w:val="333333"/>
          <w:w w:val="110"/>
        </w:rPr>
        <w:t>is</w:t>
      </w:r>
      <w:r>
        <w:rPr>
          <w:color w:val="333333"/>
          <w:spacing w:val="-23"/>
          <w:w w:val="110"/>
        </w:rPr>
        <w:t xml:space="preserve"> </w:t>
      </w:r>
      <w:r>
        <w:rPr>
          <w:color w:val="333333"/>
          <w:w w:val="110"/>
        </w:rPr>
        <w:t>used.</w:t>
      </w:r>
      <w:r>
        <w:rPr>
          <w:color w:val="333333"/>
          <w:spacing w:val="-20"/>
          <w:w w:val="110"/>
        </w:rPr>
        <w:t xml:space="preserve"> </w:t>
      </w:r>
      <w:r>
        <w:rPr>
          <w:rFonts w:ascii="MS Gothic"/>
          <w:color w:val="B02045"/>
          <w:w w:val="110"/>
        </w:rPr>
        <w:t>@EnableConfigurationProperties</w:t>
      </w:r>
      <w:r>
        <w:rPr>
          <w:rFonts w:ascii="MS Gothic"/>
          <w:color w:val="B02045"/>
          <w:spacing w:val="-88"/>
          <w:w w:val="110"/>
        </w:rPr>
        <w:t xml:space="preserve"> </w:t>
      </w:r>
      <w:r>
        <w:rPr>
          <w:color w:val="333333"/>
          <w:w w:val="110"/>
        </w:rPr>
        <w:t>can</w:t>
      </w:r>
      <w:r>
        <w:rPr>
          <w:color w:val="333333"/>
          <w:spacing w:val="-22"/>
          <w:w w:val="110"/>
        </w:rPr>
        <w:t xml:space="preserve"> </w:t>
      </w:r>
      <w:r>
        <w:rPr>
          <w:color w:val="333333"/>
          <w:w w:val="110"/>
        </w:rPr>
        <w:t>be</w:t>
      </w:r>
      <w:r>
        <w:rPr>
          <w:color w:val="333333"/>
          <w:spacing w:val="-23"/>
          <w:w w:val="110"/>
        </w:rPr>
        <w:t xml:space="preserve"> </w:t>
      </w:r>
      <w:r>
        <w:rPr>
          <w:color w:val="333333"/>
          <w:w w:val="110"/>
        </w:rPr>
        <w:t>used</w:t>
      </w:r>
      <w:r>
        <w:rPr>
          <w:color w:val="333333"/>
          <w:spacing w:val="-23"/>
          <w:w w:val="110"/>
        </w:rPr>
        <w:t xml:space="preserve"> </w:t>
      </w:r>
      <w:r>
        <w:rPr>
          <w:color w:val="333333"/>
          <w:w w:val="110"/>
        </w:rPr>
        <w:t>to include</w:t>
      </w:r>
      <w:r>
        <w:rPr>
          <w:color w:val="333333"/>
          <w:spacing w:val="-7"/>
          <w:w w:val="110"/>
        </w:rPr>
        <w:t xml:space="preserve"> </w:t>
      </w:r>
      <w:r>
        <w:rPr>
          <w:rFonts w:ascii="MS Gothic"/>
          <w:color w:val="B02045"/>
          <w:w w:val="110"/>
        </w:rPr>
        <w:t>@ConfigurationProperties</w:t>
      </w:r>
      <w:r>
        <w:rPr>
          <w:rFonts w:ascii="MS Gothic"/>
          <w:color w:val="B02045"/>
          <w:spacing w:val="-72"/>
          <w:w w:val="110"/>
        </w:rPr>
        <w:t xml:space="preserve"> </w:t>
      </w:r>
      <w:r>
        <w:rPr>
          <w:color w:val="333333"/>
          <w:w w:val="110"/>
        </w:rPr>
        <w:t>beans.</w:t>
      </w:r>
      <w:r>
        <w:rPr>
          <w:color w:val="333333"/>
          <w:spacing w:val="-8"/>
          <w:w w:val="110"/>
        </w:rPr>
        <w:t xml:space="preserve"> </w:t>
      </w:r>
      <w:r>
        <w:rPr>
          <w:color w:val="333333"/>
          <w:spacing w:val="-3"/>
          <w:w w:val="110"/>
        </w:rPr>
        <w:t>(For</w:t>
      </w:r>
      <w:r>
        <w:rPr>
          <w:color w:val="333333"/>
          <w:spacing w:val="-7"/>
          <w:w w:val="110"/>
        </w:rPr>
        <w:t xml:space="preserve"> </w:t>
      </w:r>
      <w:r>
        <w:rPr>
          <w:color w:val="333333"/>
          <w:w w:val="110"/>
        </w:rPr>
        <w:t>more</w:t>
      </w:r>
      <w:r>
        <w:rPr>
          <w:color w:val="333333"/>
          <w:spacing w:val="-8"/>
          <w:w w:val="110"/>
        </w:rPr>
        <w:t xml:space="preserve"> </w:t>
      </w:r>
      <w:r>
        <w:rPr>
          <w:color w:val="333333"/>
          <w:w w:val="110"/>
        </w:rPr>
        <w:t>about</w:t>
      </w:r>
      <w:r>
        <w:rPr>
          <w:color w:val="333333"/>
          <w:spacing w:val="-8"/>
          <w:w w:val="110"/>
        </w:rPr>
        <w:t xml:space="preserve"> </w:t>
      </w:r>
      <w:r>
        <w:rPr>
          <w:color w:val="333333"/>
          <w:w w:val="110"/>
        </w:rPr>
        <w:t>using</w:t>
      </w:r>
      <w:r>
        <w:rPr>
          <w:color w:val="333333"/>
          <w:spacing w:val="-7"/>
          <w:w w:val="110"/>
        </w:rPr>
        <w:t xml:space="preserve"> </w:t>
      </w:r>
      <w:r>
        <w:rPr>
          <w:color w:val="333333"/>
          <w:w w:val="110"/>
        </w:rPr>
        <w:t>LDAP</w:t>
      </w:r>
      <w:r>
        <w:rPr>
          <w:color w:val="333333"/>
          <w:spacing w:val="-8"/>
          <w:w w:val="110"/>
        </w:rPr>
        <w:t xml:space="preserve"> </w:t>
      </w:r>
      <w:r>
        <w:rPr>
          <w:color w:val="333333"/>
          <w:w w:val="110"/>
        </w:rPr>
        <w:t>with</w:t>
      </w:r>
      <w:r>
        <w:rPr>
          <w:color w:val="333333"/>
          <w:spacing w:val="-8"/>
          <w:w w:val="110"/>
        </w:rPr>
        <w:t xml:space="preserve"> </w:t>
      </w:r>
      <w:r>
        <w:rPr>
          <w:color w:val="333333"/>
          <w:w w:val="110"/>
        </w:rPr>
        <w:t>Spring</w:t>
      </w:r>
      <w:r>
        <w:rPr>
          <w:color w:val="333333"/>
          <w:spacing w:val="-7"/>
          <w:w w:val="110"/>
        </w:rPr>
        <w:t xml:space="preserve"> </w:t>
      </w:r>
      <w:r>
        <w:rPr>
          <w:color w:val="333333"/>
          <w:w w:val="110"/>
        </w:rPr>
        <w:t>Boot,</w:t>
      </w:r>
      <w:r>
        <w:rPr>
          <w:color w:val="333333"/>
          <w:spacing w:val="-8"/>
          <w:w w:val="110"/>
        </w:rPr>
        <w:t xml:space="preserve"> </w:t>
      </w:r>
      <w:r>
        <w:rPr>
          <w:color w:val="333333"/>
          <w:w w:val="110"/>
        </w:rPr>
        <w:t>see</w:t>
      </w:r>
      <w:r>
        <w:rPr>
          <w:color w:val="333333"/>
          <w:spacing w:val="-8"/>
          <w:w w:val="110"/>
        </w:rPr>
        <w:t xml:space="preserve"> </w:t>
      </w:r>
      <w:r>
        <w:rPr>
          <w:color w:val="333333"/>
          <w:w w:val="110"/>
        </w:rPr>
        <w:t>"</w:t>
      </w:r>
      <w:hyperlink w:anchor="_bookmark249" w:history="1">
        <w:r>
          <w:rPr>
            <w:color w:val="418BCA"/>
            <w:w w:val="110"/>
          </w:rPr>
          <w:t>LDAP</w:t>
        </w:r>
      </w:hyperlink>
      <w:r>
        <w:rPr>
          <w:color w:val="333333"/>
          <w:w w:val="110"/>
        </w:rPr>
        <w:t>", earlier in this</w:t>
      </w:r>
      <w:r>
        <w:rPr>
          <w:color w:val="333333"/>
          <w:spacing w:val="9"/>
          <w:w w:val="110"/>
        </w:rPr>
        <w:t xml:space="preserve"> </w:t>
      </w:r>
      <w:r>
        <w:rPr>
          <w:color w:val="333333"/>
          <w:w w:val="110"/>
        </w:rPr>
        <w:t>chapter.)</w:t>
      </w:r>
    </w:p>
    <w:p w14:paraId="72457E40" w14:textId="77777777" w:rsidR="00A720EB" w:rsidRDefault="00A720EB">
      <w:pPr>
        <w:pStyle w:val="a3"/>
        <w:spacing w:before="7"/>
        <w:rPr>
          <w:sz w:val="28"/>
        </w:rPr>
      </w:pPr>
    </w:p>
    <w:p w14:paraId="6F09433A" w14:textId="77777777" w:rsidR="00A720EB" w:rsidRDefault="00E10349">
      <w:pPr>
        <w:pStyle w:val="a3"/>
        <w:ind w:left="1564"/>
      </w:pPr>
      <w:r>
        <w:pict w14:anchorId="281C8526">
          <v:shape id="_x0000_s3563" type="#_x0000_t202" style="position:absolute;left:0;text-align:left;margin-left:120.25pt;margin-top:14.65pt;width:113.7pt;height:14.3pt;z-index:-15319040;mso-wrap-distance-left:0;mso-wrap-distance-right:0;mso-position-horizontal-relative:page" filled="f" stroked="f">
            <v:textbox inset="0,0,0,0">
              <w:txbxContent>
                <w:p w14:paraId="31CE26AD" w14:textId="77777777" w:rsidR="00711A16" w:rsidRDefault="00711A16">
                  <w:pPr>
                    <w:pStyle w:val="a3"/>
                    <w:spacing w:before="25"/>
                  </w:pPr>
                  <w:hyperlink w:anchor="_bookmark689" w:history="1">
                    <w:r>
                      <w:rPr>
                        <w:color w:val="418BCA"/>
                        <w:w w:val="115"/>
                      </w:rPr>
                      <w:t>found in the</w:t>
                    </w:r>
                    <w:r>
                      <w:rPr>
                        <w:color w:val="418BCA"/>
                        <w:spacing w:val="-41"/>
                        <w:w w:val="115"/>
                      </w:rPr>
                      <w:t xml:space="preserve"> </w:t>
                    </w:r>
                    <w:r>
                      <w:rPr>
                        <w:color w:val="418BCA"/>
                        <w:w w:val="115"/>
                      </w:rPr>
                      <w:t>appendix</w:t>
                    </w:r>
                  </w:hyperlink>
                  <w:r>
                    <w:rPr>
                      <w:color w:val="333333"/>
                      <w:w w:val="115"/>
                    </w:rPr>
                    <w:t>.</w:t>
                  </w:r>
                </w:p>
              </w:txbxContent>
            </v:textbox>
            <w10:wrap type="topAndBottom" anchorx="page"/>
          </v:shape>
        </w:pict>
      </w:r>
      <w:r>
        <w:pict w14:anchorId="692CC7F6">
          <v:line id="_x0000_s3562" style="position:absolute;left:0;text-align:left;z-index:16139776;mso-position-horizontal-relative:page" from="108.25pt,-5.45pt" to="108.25pt,34.1pt" strokecolor="#ededed" strokeweight=".5pt">
            <w10:wrap anchorx="page"/>
          </v:line>
        </w:pict>
      </w:r>
      <w:r w:rsidR="0030286B">
        <w:rPr>
          <w:noProof/>
        </w:rPr>
        <w:drawing>
          <wp:anchor distT="0" distB="0" distL="0" distR="0" simplePos="0" relativeHeight="16140288" behindDoc="0" locked="0" layoutInCell="1" allowOverlap="1" wp14:anchorId="76001B4E" wp14:editId="7D247199">
            <wp:simplePos x="0" y="0"/>
            <wp:positionH relativeFrom="page">
              <wp:posOffset>888949</wp:posOffset>
            </wp:positionH>
            <wp:positionV relativeFrom="paragraph">
              <wp:posOffset>29413</wp:posOffset>
            </wp:positionV>
            <wp:extent cx="209550" cy="304800"/>
            <wp:effectExtent l="0" t="0" r="0" b="0"/>
            <wp:wrapNone/>
            <wp:docPr id="52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 settings that are enabled by </w:t>
      </w:r>
      <w:r w:rsidR="0030286B">
        <w:rPr>
          <w:rFonts w:ascii="MS Gothic"/>
          <w:color w:val="B02045"/>
          <w:w w:val="110"/>
        </w:rPr>
        <w:t xml:space="preserve">@DataLdapTest </w:t>
      </w:r>
      <w:r w:rsidR="0030286B">
        <w:rPr>
          <w:color w:val="333333"/>
          <w:w w:val="110"/>
        </w:rPr>
        <w:t>can be</w:t>
      </w:r>
    </w:p>
    <w:p w14:paraId="5164EA27" w14:textId="77777777" w:rsidR="00A720EB" w:rsidRDefault="00A720EB">
      <w:pPr>
        <w:sectPr w:rsidR="00A720EB">
          <w:pgSz w:w="11910" w:h="16840"/>
          <w:pgMar w:top="700" w:right="840" w:bottom="520" w:left="840" w:header="0" w:footer="323" w:gutter="0"/>
          <w:cols w:space="720"/>
        </w:sectPr>
      </w:pPr>
    </w:p>
    <w:p w14:paraId="2777AB2B" w14:textId="77777777" w:rsidR="00A720EB" w:rsidRDefault="0030286B">
      <w:pPr>
        <w:pStyle w:val="a3"/>
        <w:spacing w:before="96"/>
        <w:ind w:left="124"/>
      </w:pPr>
      <w:r>
        <w:rPr>
          <w:color w:val="333333"/>
          <w:w w:val="110"/>
        </w:rPr>
        <w:lastRenderedPageBreak/>
        <w:t xml:space="preserve">The following example shows the </w:t>
      </w:r>
      <w:r>
        <w:rPr>
          <w:rFonts w:ascii="MS Gothic"/>
          <w:color w:val="B02045"/>
          <w:w w:val="110"/>
        </w:rPr>
        <w:t>@DataLdapTest</w:t>
      </w:r>
      <w:r>
        <w:rPr>
          <w:rFonts w:ascii="MS Gothic"/>
          <w:color w:val="B02045"/>
          <w:spacing w:val="-52"/>
          <w:w w:val="110"/>
        </w:rPr>
        <w:t xml:space="preserve"> </w:t>
      </w:r>
      <w:r>
        <w:rPr>
          <w:color w:val="333333"/>
          <w:w w:val="110"/>
        </w:rPr>
        <w:t>annotation in use:</w:t>
      </w:r>
    </w:p>
    <w:p w14:paraId="34EE51A9" w14:textId="77777777" w:rsidR="00A720EB" w:rsidRDefault="00E10349">
      <w:pPr>
        <w:pStyle w:val="a3"/>
        <w:spacing w:before="11"/>
        <w:rPr>
          <w:sz w:val="17"/>
        </w:rPr>
      </w:pPr>
      <w:r>
        <w:pict w14:anchorId="7A26FAEE">
          <v:group id="_x0000_s3558" style="position:absolute;margin-left:47.85pt;margin-top:12.5pt;width:499.55pt;height:199.65pt;z-index:-15316480;mso-wrap-distance-left:0;mso-wrap-distance-right:0;mso-position-horizontal-relative:page" coordorigin="957,250" coordsize="9991,3993">
            <v:shape id="_x0000_s3561" style="position:absolute;left:964;top:257;width:9976;height:3978" coordorigin="965,258" coordsize="9976,3978" path="m10861,258r-9816,l1014,264r-26,17l971,307r-6,31l965,4155r6,31l988,4212r26,17l1045,4235r9816,l10892,4229r25,-17l10935,4186r6,-31l10941,338r-6,-31l10917,281r-25,-17l10861,258xe" fillcolor="#f5f5f5" stroked="f">
              <v:path arrowok="t"/>
            </v:shape>
            <v:shape id="_x0000_s3560" style="position:absolute;left:964;top:257;width:9976;height:3978" coordorigin="965,258" coordsize="9976,3978" path="m1045,258r9816,l10892,264r25,17l10935,307r6,31l10941,4155r-6,31l10917,4212r-25,17l10861,4235r-9816,l1014,4229r-26,-17l971,4186r-6,-31l965,338r6,-31l988,281r26,-17l1045,258xe" filled="f" strokecolor="#ccc">
              <v:path arrowok="t"/>
            </v:shape>
            <v:shape id="_x0000_s3559" type="#_x0000_t202" style="position:absolute;left:984;top:273;width:9938;height:3947" filled="f" stroked="f">
              <v:textbox inset="0,0,0,0">
                <w:txbxContent>
                  <w:p w14:paraId="5C692533"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48C5034C" w14:textId="77777777" w:rsidR="00711A16" w:rsidRDefault="00711A16">
                    <w:pPr>
                      <w:spacing w:before="13" w:line="252" w:lineRule="auto"/>
                      <w:ind w:left="200" w:right="157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.boot.test.autoconfigure.data.ldap.DataLdapTest; import org.springframework.ldap.core.LdapTemplate;</w:t>
                    </w:r>
                  </w:p>
                  <w:p w14:paraId="491C586B" w14:textId="77777777" w:rsidR="00711A16" w:rsidRDefault="00711A16">
                    <w:pPr>
                      <w:spacing w:before="10"/>
                      <w:rPr>
                        <w:rFonts w:ascii="MS Gothic"/>
                      </w:rPr>
                    </w:pPr>
                  </w:p>
                  <w:p w14:paraId="5F78EA98" w14:textId="77777777" w:rsidR="00711A16" w:rsidRDefault="00711A16">
                    <w:pPr>
                      <w:ind w:left="200"/>
                      <w:rPr>
                        <w:rFonts w:ascii="MS Gothic"/>
                      </w:rPr>
                    </w:pPr>
                    <w:r>
                      <w:rPr>
                        <w:rFonts w:ascii="MS Gothic"/>
                        <w:color w:val="333333"/>
                      </w:rPr>
                      <w:t>@DataLdapTest</w:t>
                    </w:r>
                  </w:p>
                  <w:p w14:paraId="3CCCAE5F" w14:textId="77777777" w:rsidR="00711A16" w:rsidRDefault="00711A16">
                    <w:pPr>
                      <w:spacing w:before="13"/>
                      <w:ind w:left="200"/>
                      <w:rPr>
                        <w:rFonts w:ascii="MS Gothic"/>
                      </w:rPr>
                    </w:pPr>
                    <w:r>
                      <w:rPr>
                        <w:rFonts w:ascii="MS Gothic"/>
                        <w:color w:val="333333"/>
                      </w:rPr>
                      <w:t>class ExampleDataLdapTests {</w:t>
                    </w:r>
                  </w:p>
                  <w:p w14:paraId="134A5499" w14:textId="77777777" w:rsidR="00711A16" w:rsidRDefault="00711A16">
                    <w:pPr>
                      <w:rPr>
                        <w:rFonts w:ascii="MS Gothic"/>
                        <w:sz w:val="24"/>
                      </w:rPr>
                    </w:pPr>
                  </w:p>
                  <w:p w14:paraId="259C1C25" w14:textId="77777777" w:rsidR="00711A16" w:rsidRDefault="00711A16">
                    <w:pPr>
                      <w:ind w:left="640"/>
                      <w:rPr>
                        <w:rFonts w:ascii="MS Gothic"/>
                      </w:rPr>
                    </w:pPr>
                    <w:r>
                      <w:rPr>
                        <w:rFonts w:ascii="MS Gothic"/>
                        <w:color w:val="333333"/>
                      </w:rPr>
                      <w:t>@Autowired</w:t>
                    </w:r>
                  </w:p>
                  <w:p w14:paraId="70F07182" w14:textId="77777777" w:rsidR="00711A16" w:rsidRDefault="00711A16">
                    <w:pPr>
                      <w:spacing w:before="13"/>
                      <w:ind w:left="640"/>
                      <w:rPr>
                        <w:rFonts w:ascii="MS Gothic"/>
                      </w:rPr>
                    </w:pPr>
                    <w:r>
                      <w:rPr>
                        <w:rFonts w:ascii="MS Gothic"/>
                        <w:color w:val="333333"/>
                      </w:rPr>
                      <w:t>private LdapTemplate ldapTemplate;</w:t>
                    </w:r>
                  </w:p>
                  <w:p w14:paraId="533F7FA9" w14:textId="77777777" w:rsidR="00711A16" w:rsidRDefault="00711A16">
                    <w:pPr>
                      <w:rPr>
                        <w:rFonts w:ascii="MS Gothic"/>
                        <w:sz w:val="24"/>
                      </w:rPr>
                    </w:pPr>
                  </w:p>
                  <w:p w14:paraId="461164EA" w14:textId="77777777" w:rsidR="00711A16" w:rsidRDefault="00711A16">
                    <w:pPr>
                      <w:spacing w:before="1"/>
                      <w:ind w:left="640"/>
                      <w:rPr>
                        <w:rFonts w:ascii="MS Gothic"/>
                      </w:rPr>
                    </w:pPr>
                    <w:r>
                      <w:rPr>
                        <w:rFonts w:ascii="MS Gothic"/>
                        <w:color w:val="333333"/>
                      </w:rPr>
                      <w:t>//</w:t>
                    </w:r>
                  </w:p>
                  <w:p w14:paraId="24593BC7" w14:textId="77777777" w:rsidR="00711A16" w:rsidRDefault="00711A16">
                    <w:pPr>
                      <w:spacing w:before="12"/>
                      <w:ind w:left="200"/>
                      <w:rPr>
                        <w:rFonts w:ascii="MS Gothic"/>
                      </w:rPr>
                    </w:pPr>
                    <w:r>
                      <w:rPr>
                        <w:rFonts w:ascii="MS Gothic"/>
                        <w:color w:val="333333"/>
                      </w:rPr>
                      <w:t>}</w:t>
                    </w:r>
                  </w:p>
                </w:txbxContent>
              </v:textbox>
            </v:shape>
            <w10:wrap type="topAndBottom" anchorx="page"/>
          </v:group>
        </w:pict>
      </w:r>
    </w:p>
    <w:p w14:paraId="35BF8D59" w14:textId="77777777" w:rsidR="00A720EB" w:rsidRDefault="00A720EB">
      <w:pPr>
        <w:pStyle w:val="a3"/>
        <w:rPr>
          <w:sz w:val="10"/>
        </w:rPr>
      </w:pPr>
    </w:p>
    <w:p w14:paraId="109E57B7" w14:textId="77777777" w:rsidR="00A720EB" w:rsidRDefault="0030286B">
      <w:pPr>
        <w:pStyle w:val="a3"/>
        <w:spacing w:before="125" w:line="307" w:lineRule="auto"/>
        <w:ind w:left="124" w:right="128"/>
        <w:jc w:val="both"/>
      </w:pPr>
      <w:r>
        <w:rPr>
          <w:color w:val="333333"/>
          <w:w w:val="110"/>
        </w:rPr>
        <w:t>In-memory embedded LDAP generally works well for tests, since it is fast and does not require any developer installation. If, however, you prefer to run tests against a real LDAP server, you should exclude the embedded LDAP auto-configuration, as shown in the following example:</w:t>
      </w:r>
    </w:p>
    <w:p w14:paraId="2597CCCB" w14:textId="77777777" w:rsidR="00A720EB" w:rsidRDefault="00E10349">
      <w:pPr>
        <w:pStyle w:val="a3"/>
        <w:spacing w:before="2"/>
        <w:rPr>
          <w:sz w:val="13"/>
        </w:rPr>
      </w:pPr>
      <w:r>
        <w:pict w14:anchorId="44758282">
          <v:group id="_x0000_s3554" style="position:absolute;margin-left:47.85pt;margin-top:9.75pt;width:499.55pt;height:140.7pt;z-index:-15315968;mso-wrap-distance-left:0;mso-wrap-distance-right:0;mso-position-horizontal-relative:page" coordorigin="957,195" coordsize="9991,2814">
            <v:shape id="_x0000_s3557" style="position:absolute;left:964;top:202;width:9976;height:2799" coordorigin="965,202" coordsize="9976,2799" path="m10861,202r-9816,l1014,208r-26,18l971,251r-6,31l965,2921r6,31l988,2977r26,17l1045,3001r9816,l10892,2994r25,-17l10935,2952r6,-31l10941,282r-6,-31l10917,226r-25,-18l10861,202xe" fillcolor="#f5f5f5" stroked="f">
              <v:path arrowok="t"/>
            </v:shape>
            <v:shape id="_x0000_s3556" style="position:absolute;left:964;top:202;width:9976;height:2799" coordorigin="965,202" coordsize="9976,2799" path="m1045,202r9816,l10892,208r25,18l10935,251r6,31l10941,2921r-6,31l10917,2977r-25,17l10861,3001r-9816,l1014,2994r-26,-17l971,2952r-6,-31l965,282r6,-31l988,226r26,-18l1045,202xe" filled="f" strokecolor="#ccc">
              <v:path arrowok="t"/>
            </v:shape>
            <v:shape id="_x0000_s3555" type="#_x0000_t202" style="position:absolute;left:984;top:217;width:9938;height:2768" filled="f" stroked="f">
              <v:textbox inset="0,0,0,0">
                <w:txbxContent>
                  <w:p w14:paraId="3AED24BC" w14:textId="77777777" w:rsidR="00711A16" w:rsidRDefault="00711A16">
                    <w:pPr>
                      <w:spacing w:before="221" w:line="252" w:lineRule="auto"/>
                      <w:ind w:left="200" w:right="58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.boot.autoconfigure.ldap.embedded.EmbeddedLdapAutoConfiguration; import org.springframework.boot.test.autoconfigure.data.ldap.DataLdapTest;</w:t>
                    </w:r>
                  </w:p>
                  <w:p w14:paraId="36A72587" w14:textId="77777777" w:rsidR="00711A16" w:rsidRDefault="00711A16">
                    <w:pPr>
                      <w:spacing w:before="9"/>
                      <w:rPr>
                        <w:rFonts w:ascii="MS Gothic"/>
                      </w:rPr>
                    </w:pPr>
                  </w:p>
                  <w:p w14:paraId="45576EBB" w14:textId="77777777" w:rsidR="00711A16" w:rsidRDefault="00711A16">
                    <w:pPr>
                      <w:spacing w:line="252" w:lineRule="auto"/>
                      <w:ind w:left="200" w:right="1248"/>
                      <w:rPr>
                        <w:rFonts w:ascii="MS Gothic"/>
                      </w:rPr>
                    </w:pPr>
                    <w:r>
                      <w:rPr>
                        <w:rFonts w:ascii="MS Gothic"/>
                        <w:color w:val="333333"/>
                      </w:rPr>
                      <w:t>@</w:t>
                    </w:r>
                    <w:proofErr w:type="gramStart"/>
                    <w:r>
                      <w:rPr>
                        <w:rFonts w:ascii="MS Gothic"/>
                        <w:color w:val="333333"/>
                      </w:rPr>
                      <w:t>DataLdapTest(</w:t>
                    </w:r>
                    <w:proofErr w:type="gramEnd"/>
                    <w:r>
                      <w:rPr>
                        <w:rFonts w:ascii="MS Gothic"/>
                        <w:color w:val="333333"/>
                      </w:rPr>
                      <w:t>excludeAutoConfiguration = EmbeddedLdapAutoConfiguration.class) class ExampleDataLdapNonEmbeddedTests {</w:t>
                    </w:r>
                  </w:p>
                  <w:p w14:paraId="463FC8BC" w14:textId="77777777" w:rsidR="00711A16" w:rsidRDefault="00711A16">
                    <w:pPr>
                      <w:spacing w:before="11"/>
                      <w:rPr>
                        <w:rFonts w:ascii="MS Gothic"/>
                      </w:rPr>
                    </w:pPr>
                  </w:p>
                  <w:p w14:paraId="1804B51B" w14:textId="77777777" w:rsidR="00711A16" w:rsidRDefault="00711A16">
                    <w:pPr>
                      <w:ind w:left="200"/>
                      <w:rPr>
                        <w:rFonts w:ascii="MS Gothic"/>
                      </w:rPr>
                    </w:pPr>
                    <w:r>
                      <w:rPr>
                        <w:rFonts w:ascii="MS Gothic"/>
                        <w:color w:val="333333"/>
                      </w:rPr>
                      <w:t>}</w:t>
                    </w:r>
                  </w:p>
                </w:txbxContent>
              </v:textbox>
            </v:shape>
            <w10:wrap type="topAndBottom" anchorx="page"/>
          </v:group>
        </w:pict>
      </w:r>
    </w:p>
    <w:p w14:paraId="4B983BE5" w14:textId="77777777" w:rsidR="00A720EB" w:rsidRDefault="00A720EB">
      <w:pPr>
        <w:pStyle w:val="a3"/>
        <w:spacing w:before="11"/>
        <w:rPr>
          <w:sz w:val="16"/>
        </w:rPr>
      </w:pPr>
    </w:p>
    <w:p w14:paraId="2A3EAA37" w14:textId="77777777" w:rsidR="00A720EB" w:rsidRDefault="0030286B">
      <w:pPr>
        <w:pStyle w:val="4"/>
        <w:spacing w:before="104"/>
      </w:pPr>
      <w:bookmarkStart w:id="481" w:name="Auto-configured_REST_Clients"/>
      <w:bookmarkEnd w:id="481"/>
      <w:r>
        <w:rPr>
          <w:color w:val="333333"/>
          <w:w w:val="105"/>
        </w:rPr>
        <w:t>Auto-configured REST Clients</w:t>
      </w:r>
    </w:p>
    <w:p w14:paraId="4114DAA5" w14:textId="77777777" w:rsidR="00A720EB" w:rsidRDefault="0030286B">
      <w:pPr>
        <w:pStyle w:val="a3"/>
        <w:spacing w:before="244" w:line="280" w:lineRule="auto"/>
        <w:ind w:left="124" w:right="124"/>
        <w:jc w:val="both"/>
      </w:pPr>
      <w:r>
        <w:rPr>
          <w:color w:val="333333"/>
          <w:spacing w:val="-6"/>
          <w:w w:val="110"/>
        </w:rPr>
        <w:t xml:space="preserve">You </w:t>
      </w:r>
      <w:r>
        <w:rPr>
          <w:color w:val="333333"/>
          <w:w w:val="110"/>
        </w:rPr>
        <w:t xml:space="preserve">can use the </w:t>
      </w:r>
      <w:r>
        <w:rPr>
          <w:rFonts w:ascii="MS Gothic"/>
          <w:color w:val="B02045"/>
          <w:w w:val="110"/>
        </w:rPr>
        <w:t xml:space="preserve">@RestClientTest </w:t>
      </w:r>
      <w:r>
        <w:rPr>
          <w:color w:val="333333"/>
          <w:w w:val="110"/>
        </w:rPr>
        <w:t xml:space="preserve">annotation to test REST clients. </w:t>
      </w:r>
      <w:r>
        <w:rPr>
          <w:color w:val="333333"/>
          <w:spacing w:val="-3"/>
          <w:w w:val="110"/>
        </w:rPr>
        <w:t xml:space="preserve">By </w:t>
      </w:r>
      <w:r>
        <w:rPr>
          <w:color w:val="333333"/>
          <w:w w:val="110"/>
        </w:rPr>
        <w:t xml:space="preserve">default, it auto-configures Jackson, GSON, and Jsonb support, configures a </w:t>
      </w:r>
      <w:r>
        <w:rPr>
          <w:rFonts w:ascii="MS Gothic"/>
          <w:color w:val="B02045"/>
          <w:w w:val="110"/>
        </w:rPr>
        <w:t>RestTemplateBuilder</w:t>
      </w:r>
      <w:r>
        <w:rPr>
          <w:color w:val="333333"/>
          <w:w w:val="110"/>
        </w:rPr>
        <w:t xml:space="preserve">, and adds support </w:t>
      </w:r>
      <w:proofErr w:type="gramStart"/>
      <w:r>
        <w:rPr>
          <w:color w:val="333333"/>
          <w:w w:val="110"/>
        </w:rPr>
        <w:t xml:space="preserve">for  </w:t>
      </w:r>
      <w:r>
        <w:rPr>
          <w:rFonts w:ascii="MS Gothic"/>
          <w:color w:val="B02045"/>
          <w:w w:val="110"/>
        </w:rPr>
        <w:t>MockRestServiceServer</w:t>
      </w:r>
      <w:proofErr w:type="gramEnd"/>
      <w:r>
        <w:rPr>
          <w:color w:val="333333"/>
          <w:w w:val="110"/>
        </w:rPr>
        <w:t>.</w:t>
      </w:r>
      <w:r>
        <w:rPr>
          <w:color w:val="333333"/>
          <w:spacing w:val="-3"/>
          <w:w w:val="110"/>
        </w:rPr>
        <w:t xml:space="preserve"> </w:t>
      </w:r>
      <w:r>
        <w:rPr>
          <w:color w:val="333333"/>
          <w:w w:val="110"/>
        </w:rPr>
        <w:t>Regular</w:t>
      </w:r>
      <w:r>
        <w:rPr>
          <w:color w:val="333333"/>
          <w:spacing w:val="-2"/>
          <w:w w:val="110"/>
        </w:rPr>
        <w:t xml:space="preserve"> </w:t>
      </w:r>
      <w:r>
        <w:rPr>
          <w:rFonts w:ascii="MS Gothic"/>
          <w:color w:val="B02045"/>
          <w:w w:val="110"/>
        </w:rPr>
        <w:t>@Component</w:t>
      </w:r>
      <w:r>
        <w:rPr>
          <w:rFonts w:ascii="MS Gothic"/>
          <w:color w:val="B02045"/>
          <w:spacing w:val="-67"/>
          <w:w w:val="110"/>
        </w:rPr>
        <w:t xml:space="preserve"> </w:t>
      </w:r>
      <w:r>
        <w:rPr>
          <w:color w:val="333333"/>
          <w:w w:val="110"/>
        </w:rPr>
        <w:t>and</w:t>
      </w:r>
      <w:r>
        <w:rPr>
          <w:color w:val="333333"/>
          <w:spacing w:val="-2"/>
          <w:w w:val="110"/>
        </w:rPr>
        <w:t xml:space="preserve"> </w:t>
      </w:r>
      <w:r>
        <w:rPr>
          <w:rFonts w:ascii="MS Gothic"/>
          <w:color w:val="B02045"/>
          <w:w w:val="110"/>
        </w:rPr>
        <w:t>@ConfigurationProperties</w:t>
      </w:r>
      <w:r>
        <w:rPr>
          <w:rFonts w:ascii="MS Gothic"/>
          <w:color w:val="B02045"/>
          <w:spacing w:val="-68"/>
          <w:w w:val="110"/>
        </w:rPr>
        <w:t xml:space="preserve"> </w:t>
      </w:r>
      <w:r>
        <w:rPr>
          <w:color w:val="333333"/>
          <w:w w:val="110"/>
        </w:rPr>
        <w:t>beans</w:t>
      </w:r>
      <w:r>
        <w:rPr>
          <w:color w:val="333333"/>
          <w:spacing w:val="-2"/>
          <w:w w:val="110"/>
        </w:rPr>
        <w:t xml:space="preserve"> </w:t>
      </w:r>
      <w:r>
        <w:rPr>
          <w:color w:val="333333"/>
          <w:w w:val="110"/>
        </w:rPr>
        <w:t>are</w:t>
      </w:r>
      <w:r>
        <w:rPr>
          <w:color w:val="333333"/>
          <w:spacing w:val="-3"/>
          <w:w w:val="110"/>
        </w:rPr>
        <w:t xml:space="preserve"> </w:t>
      </w:r>
      <w:r>
        <w:rPr>
          <w:color w:val="333333"/>
          <w:w w:val="110"/>
        </w:rPr>
        <w:t>not</w:t>
      </w:r>
      <w:r>
        <w:rPr>
          <w:color w:val="333333"/>
          <w:spacing w:val="-2"/>
          <w:w w:val="110"/>
        </w:rPr>
        <w:t xml:space="preserve"> </w:t>
      </w:r>
      <w:r>
        <w:rPr>
          <w:color w:val="333333"/>
          <w:w w:val="110"/>
        </w:rPr>
        <w:t xml:space="preserve">scanned when the </w:t>
      </w:r>
      <w:r>
        <w:rPr>
          <w:rFonts w:ascii="MS Gothic"/>
          <w:color w:val="B02045"/>
          <w:w w:val="110"/>
        </w:rPr>
        <w:t xml:space="preserve">@RestClientTest </w:t>
      </w:r>
      <w:r>
        <w:rPr>
          <w:color w:val="333333"/>
          <w:w w:val="110"/>
        </w:rPr>
        <w:t xml:space="preserve">annotation is used. </w:t>
      </w:r>
      <w:r>
        <w:rPr>
          <w:rFonts w:ascii="MS Gothic"/>
          <w:color w:val="B02045"/>
          <w:w w:val="110"/>
        </w:rPr>
        <w:t xml:space="preserve">@EnableConfigurationProperties </w:t>
      </w:r>
      <w:r>
        <w:rPr>
          <w:color w:val="333333"/>
          <w:w w:val="110"/>
        </w:rPr>
        <w:t xml:space="preserve">can be used to include </w:t>
      </w:r>
      <w:r>
        <w:rPr>
          <w:rFonts w:ascii="MS Gothic"/>
          <w:color w:val="B02045"/>
          <w:w w:val="110"/>
        </w:rPr>
        <w:t>@ConfigurationProperties</w:t>
      </w:r>
      <w:r>
        <w:rPr>
          <w:rFonts w:ascii="MS Gothic"/>
          <w:color w:val="B02045"/>
          <w:spacing w:val="-62"/>
          <w:w w:val="110"/>
        </w:rPr>
        <w:t xml:space="preserve"> </w:t>
      </w:r>
      <w:r>
        <w:rPr>
          <w:color w:val="333333"/>
          <w:w w:val="110"/>
        </w:rPr>
        <w:t>beans.</w:t>
      </w:r>
    </w:p>
    <w:p w14:paraId="5814BD8A" w14:textId="77777777" w:rsidR="00A720EB" w:rsidRDefault="00A720EB">
      <w:pPr>
        <w:pStyle w:val="a3"/>
        <w:spacing w:before="7"/>
        <w:rPr>
          <w:sz w:val="27"/>
        </w:rPr>
      </w:pPr>
    </w:p>
    <w:p w14:paraId="2EB8298E" w14:textId="77777777" w:rsidR="00A720EB" w:rsidRDefault="00E10349">
      <w:pPr>
        <w:pStyle w:val="a3"/>
        <w:spacing w:line="290" w:lineRule="auto"/>
        <w:ind w:left="1564"/>
      </w:pPr>
      <w:r>
        <w:pict w14:anchorId="6B1C8D6A">
          <v:line id="_x0000_s3553" style="position:absolute;left:0;text-align:left;z-index:16141824;mso-position-horizontal-relative:page" from="108.25pt,-5.45pt" to="108.25pt,34.1pt" strokecolor="#ededed" strokeweight=".5pt">
            <w10:wrap anchorx="page"/>
          </v:line>
        </w:pict>
      </w:r>
      <w:r w:rsidR="0030286B">
        <w:rPr>
          <w:noProof/>
        </w:rPr>
        <w:drawing>
          <wp:anchor distT="0" distB="0" distL="0" distR="0" simplePos="0" relativeHeight="16142336" behindDoc="0" locked="0" layoutInCell="1" allowOverlap="1" wp14:anchorId="416A13B1" wp14:editId="1D8254A1">
            <wp:simplePos x="0" y="0"/>
            <wp:positionH relativeFrom="page">
              <wp:posOffset>888949</wp:posOffset>
            </wp:positionH>
            <wp:positionV relativeFrom="paragraph">
              <wp:posOffset>29413</wp:posOffset>
            </wp:positionV>
            <wp:extent cx="209550" cy="304800"/>
            <wp:effectExtent l="0" t="0" r="0" b="0"/>
            <wp:wrapNone/>
            <wp:docPr id="5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 settings that are enabled </w:t>
      </w:r>
      <w:r w:rsidR="0030286B">
        <w:rPr>
          <w:color w:val="333333"/>
          <w:spacing w:val="-3"/>
          <w:w w:val="110"/>
        </w:rPr>
        <w:t xml:space="preserve">by </w:t>
      </w:r>
      <w:r w:rsidR="0030286B">
        <w:rPr>
          <w:rFonts w:ascii="MS Gothic"/>
          <w:color w:val="B02045"/>
          <w:w w:val="110"/>
        </w:rPr>
        <w:t>@RestClientTest</w:t>
      </w:r>
      <w:r w:rsidR="0030286B">
        <w:rPr>
          <w:rFonts w:ascii="MS Gothic"/>
          <w:color w:val="B02045"/>
          <w:spacing w:val="-51"/>
          <w:w w:val="110"/>
        </w:rPr>
        <w:t xml:space="preserve"> </w:t>
      </w:r>
      <w:r w:rsidR="0030286B">
        <w:rPr>
          <w:color w:val="333333"/>
          <w:w w:val="110"/>
        </w:rPr>
        <w:t xml:space="preserve">can be </w:t>
      </w:r>
      <w:hyperlink w:anchor="_bookmark689" w:history="1">
        <w:r w:rsidR="0030286B">
          <w:rPr>
            <w:color w:val="418BCA"/>
            <w:w w:val="110"/>
          </w:rPr>
          <w:t>found in the appendix</w:t>
        </w:r>
      </w:hyperlink>
      <w:r w:rsidR="0030286B">
        <w:rPr>
          <w:color w:val="333333"/>
          <w:w w:val="110"/>
        </w:rPr>
        <w:t>.</w:t>
      </w:r>
    </w:p>
    <w:p w14:paraId="6A1EFEEE" w14:textId="77777777" w:rsidR="00A720EB" w:rsidRDefault="00A720EB">
      <w:pPr>
        <w:pStyle w:val="a3"/>
        <w:spacing w:before="11"/>
        <w:rPr>
          <w:sz w:val="27"/>
        </w:rPr>
      </w:pPr>
    </w:p>
    <w:p w14:paraId="4226E234" w14:textId="77777777" w:rsidR="00A720EB" w:rsidRDefault="0030286B">
      <w:pPr>
        <w:pStyle w:val="a3"/>
        <w:ind w:left="124"/>
        <w:jc w:val="both"/>
        <w:rPr>
          <w:rFonts w:ascii="MS Gothic"/>
        </w:rPr>
      </w:pPr>
      <w:r>
        <w:rPr>
          <w:color w:val="333333"/>
          <w:w w:val="110"/>
        </w:rPr>
        <w:t xml:space="preserve">The specific beans that you want to test should be specified by using the </w:t>
      </w:r>
      <w:r>
        <w:rPr>
          <w:rFonts w:ascii="MS Gothic"/>
          <w:color w:val="B02045"/>
          <w:w w:val="110"/>
        </w:rPr>
        <w:t xml:space="preserve">value </w:t>
      </w:r>
      <w:r>
        <w:rPr>
          <w:color w:val="333333"/>
          <w:w w:val="110"/>
        </w:rPr>
        <w:t xml:space="preserve">or </w:t>
      </w:r>
      <w:r>
        <w:rPr>
          <w:rFonts w:ascii="MS Gothic"/>
          <w:color w:val="B02045"/>
          <w:w w:val="110"/>
        </w:rPr>
        <w:t>components</w:t>
      </w:r>
    </w:p>
    <w:p w14:paraId="68C0B463" w14:textId="77777777" w:rsidR="00A720EB" w:rsidRDefault="0030286B">
      <w:pPr>
        <w:pStyle w:val="a3"/>
        <w:spacing w:before="47"/>
        <w:ind w:left="124"/>
        <w:jc w:val="both"/>
      </w:pPr>
      <w:r>
        <w:rPr>
          <w:color w:val="333333"/>
          <w:w w:val="110"/>
        </w:rPr>
        <w:t xml:space="preserve">attribute of </w:t>
      </w:r>
      <w:r>
        <w:rPr>
          <w:rFonts w:ascii="MS Gothic"/>
          <w:color w:val="B02045"/>
          <w:w w:val="110"/>
        </w:rPr>
        <w:t>@RestClientTest</w:t>
      </w:r>
      <w:r>
        <w:rPr>
          <w:color w:val="333333"/>
          <w:w w:val="110"/>
        </w:rPr>
        <w:t>, as shown in the following example:</w:t>
      </w:r>
    </w:p>
    <w:p w14:paraId="43D52F74" w14:textId="77777777" w:rsidR="00A720EB" w:rsidRDefault="00A720EB">
      <w:pPr>
        <w:jc w:val="both"/>
        <w:sectPr w:rsidR="00A720EB">
          <w:pgSz w:w="11910" w:h="16840"/>
          <w:pgMar w:top="620" w:right="840" w:bottom="520" w:left="840" w:header="0" w:footer="323" w:gutter="0"/>
          <w:cols w:space="720"/>
        </w:sectPr>
      </w:pPr>
    </w:p>
    <w:p w14:paraId="648A47C9" w14:textId="77777777" w:rsidR="00A720EB" w:rsidRDefault="00E10349">
      <w:pPr>
        <w:pStyle w:val="a3"/>
        <w:ind w:left="116"/>
        <w:rPr>
          <w:sz w:val="20"/>
        </w:rPr>
      </w:pPr>
      <w:r>
        <w:rPr>
          <w:sz w:val="20"/>
        </w:rPr>
      </w:r>
      <w:r>
        <w:rPr>
          <w:sz w:val="20"/>
        </w:rPr>
        <w:pict w14:anchorId="01027077">
          <v:group id="_x0000_s3549" style="width:499.55pt;height:302.85pt;mso-position-horizontal-relative:char;mso-position-vertical-relative:line" coordsize="9991,6057">
            <v:shape id="_x0000_s3552" style="position:absolute;left:7;top:7;width:9976;height:6042" coordorigin="8,8" coordsize="9976,6042" path="m9904,8l88,8,56,14,31,31,14,56,8,88r,5881l14,6000r17,25l56,6042r32,7l9904,6049r31,-7l9960,6025r17,-25l9984,5969r,-5881l9977,56,9960,31,9935,14,9904,8xe" fillcolor="#f5f5f5" stroked="f">
              <v:path arrowok="t"/>
            </v:shape>
            <v:shape id="_x0000_s3551" style="position:absolute;left:7;top:7;width:9976;height:6042" coordorigin="8,8" coordsize="9976,6042" path="m88,8r9816,l9935,14r25,17l9977,56r7,32l9984,5969r-7,31l9960,6025r-25,17l9904,6049r-9816,l56,6042,31,6025,14,6000,8,5969,8,88,14,56,31,31,56,14,88,8xe" filled="f" strokecolor="#ccc">
              <v:path arrowok="t"/>
            </v:shape>
            <v:shape id="_x0000_s3550" type="#_x0000_t202" style="position:absolute;left:26;top:22;width:9938;height:6011" filled="f" stroked="f">
              <v:textbox inset="0,0,0,0">
                <w:txbxContent>
                  <w:p w14:paraId="50C2952F" w14:textId="77777777" w:rsidR="00711A16" w:rsidRDefault="00711A16">
                    <w:pPr>
                      <w:spacing w:before="221" w:line="252" w:lineRule="auto"/>
                      <w:ind w:left="200" w:right="4218"/>
                      <w:rPr>
                        <w:rFonts w:ascii="MS Gothic"/>
                      </w:rPr>
                    </w:pPr>
                    <w:r>
                      <w:rPr>
                        <w:rFonts w:ascii="MS Gothic"/>
                        <w:color w:val="333333"/>
                      </w:rPr>
                      <w:t>@</w:t>
                    </w:r>
                    <w:proofErr w:type="gramStart"/>
                    <w:r>
                      <w:rPr>
                        <w:rFonts w:ascii="MS Gothic"/>
                        <w:color w:val="333333"/>
                      </w:rPr>
                      <w:t>RestClientTest(</w:t>
                    </w:r>
                    <w:proofErr w:type="gramEnd"/>
                    <w:r>
                      <w:rPr>
                        <w:rFonts w:ascii="MS Gothic"/>
                        <w:color w:val="333333"/>
                      </w:rPr>
                      <w:t>RemoteVehicleDetailsService.class) class ExampleRestClientTest {</w:t>
                    </w:r>
                  </w:p>
                  <w:p w14:paraId="53E21D24" w14:textId="77777777" w:rsidR="00711A16" w:rsidRDefault="00711A16">
                    <w:pPr>
                      <w:spacing w:before="10"/>
                      <w:rPr>
                        <w:rFonts w:ascii="MS Gothic"/>
                      </w:rPr>
                    </w:pPr>
                  </w:p>
                  <w:p w14:paraId="2484CB97" w14:textId="77777777" w:rsidR="00711A16" w:rsidRDefault="00711A16">
                    <w:pPr>
                      <w:ind w:left="640"/>
                      <w:rPr>
                        <w:rFonts w:ascii="MS Gothic"/>
                      </w:rPr>
                    </w:pPr>
                    <w:r>
                      <w:rPr>
                        <w:rFonts w:ascii="MS Gothic"/>
                        <w:color w:val="333333"/>
                      </w:rPr>
                      <w:t>@Autowired</w:t>
                    </w:r>
                  </w:p>
                  <w:p w14:paraId="15832DB5" w14:textId="77777777" w:rsidR="00711A16" w:rsidRDefault="00711A16">
                    <w:pPr>
                      <w:spacing w:before="13"/>
                      <w:ind w:left="640"/>
                      <w:rPr>
                        <w:rFonts w:ascii="MS Gothic"/>
                      </w:rPr>
                    </w:pPr>
                    <w:r>
                      <w:rPr>
                        <w:rFonts w:ascii="MS Gothic"/>
                        <w:color w:val="333333"/>
                      </w:rPr>
                      <w:t>private RemoteVehicleDetailsService service;</w:t>
                    </w:r>
                  </w:p>
                  <w:p w14:paraId="647D4807" w14:textId="77777777" w:rsidR="00711A16" w:rsidRDefault="00711A16">
                    <w:pPr>
                      <w:rPr>
                        <w:rFonts w:ascii="MS Gothic"/>
                        <w:sz w:val="24"/>
                      </w:rPr>
                    </w:pPr>
                  </w:p>
                  <w:p w14:paraId="35411520" w14:textId="77777777" w:rsidR="00711A16" w:rsidRDefault="00711A16">
                    <w:pPr>
                      <w:ind w:left="640"/>
                      <w:rPr>
                        <w:rFonts w:ascii="MS Gothic"/>
                      </w:rPr>
                    </w:pPr>
                    <w:r>
                      <w:rPr>
                        <w:rFonts w:ascii="MS Gothic"/>
                        <w:color w:val="333333"/>
                      </w:rPr>
                      <w:t>@Autowired</w:t>
                    </w:r>
                  </w:p>
                  <w:p w14:paraId="1CD44BA3" w14:textId="77777777" w:rsidR="00711A16" w:rsidRDefault="00711A16">
                    <w:pPr>
                      <w:spacing w:before="13"/>
                      <w:ind w:left="640"/>
                      <w:rPr>
                        <w:rFonts w:ascii="MS Gothic"/>
                      </w:rPr>
                    </w:pPr>
                    <w:r>
                      <w:rPr>
                        <w:rFonts w:ascii="MS Gothic"/>
                        <w:color w:val="333333"/>
                      </w:rPr>
                      <w:t>private MockRestServiceServer server;</w:t>
                    </w:r>
                  </w:p>
                  <w:p w14:paraId="17666BFB" w14:textId="77777777" w:rsidR="00711A16" w:rsidRDefault="00711A16">
                    <w:pPr>
                      <w:rPr>
                        <w:rFonts w:ascii="MS Gothic"/>
                        <w:sz w:val="24"/>
                      </w:rPr>
                    </w:pPr>
                  </w:p>
                  <w:p w14:paraId="4F4945C3" w14:textId="77777777" w:rsidR="00711A16" w:rsidRDefault="00711A16">
                    <w:pPr>
                      <w:spacing w:before="1"/>
                      <w:ind w:left="640"/>
                      <w:rPr>
                        <w:rFonts w:ascii="MS Gothic"/>
                      </w:rPr>
                    </w:pPr>
                    <w:r>
                      <w:rPr>
                        <w:rFonts w:ascii="MS Gothic"/>
                        <w:color w:val="333333"/>
                      </w:rPr>
                      <w:t>@Test</w:t>
                    </w:r>
                  </w:p>
                  <w:p w14:paraId="490631EA" w14:textId="77777777" w:rsidR="00711A16" w:rsidRDefault="00711A16">
                    <w:pPr>
                      <w:spacing w:before="13" w:line="252" w:lineRule="auto"/>
                      <w:ind w:left="1520" w:right="2458" w:hanging="880"/>
                      <w:rPr>
                        <w:rFonts w:ascii="MS Gothic"/>
                      </w:rPr>
                    </w:pPr>
                    <w:r>
                      <w:rPr>
                        <w:rFonts w:ascii="MS Gothic"/>
                        <w:color w:val="333333"/>
                      </w:rPr>
                      <w:t xml:space="preserve">void </w:t>
                    </w:r>
                    <w:proofErr w:type="gramStart"/>
                    <w:r>
                      <w:rPr>
                        <w:rFonts w:ascii="MS Gothic"/>
                        <w:color w:val="333333"/>
                      </w:rPr>
                      <w:t>getVehicleDetailsWhenResultIsSuccessShouldReturnDetails(</w:t>
                    </w:r>
                    <w:proofErr w:type="gramEnd"/>
                    <w:r>
                      <w:rPr>
                        <w:rFonts w:ascii="MS Gothic"/>
                        <w:color w:val="333333"/>
                      </w:rPr>
                      <w:t>) throws Exception {</w:t>
                    </w:r>
                  </w:p>
                  <w:p w14:paraId="0DB5C350" w14:textId="77777777" w:rsidR="00711A16" w:rsidRDefault="00711A16">
                    <w:pPr>
                      <w:spacing w:line="280" w:lineRule="exact"/>
                      <w:ind w:left="1080"/>
                      <w:rPr>
                        <w:rFonts w:ascii="MS Gothic"/>
                      </w:rPr>
                    </w:pPr>
                    <w:proofErr w:type="gramStart"/>
                    <w:r>
                      <w:rPr>
                        <w:rFonts w:ascii="MS Gothic"/>
                        <w:color w:val="333333"/>
                      </w:rPr>
                      <w:t>this.server</w:t>
                    </w:r>
                    <w:proofErr w:type="gramEnd"/>
                    <w:r>
                      <w:rPr>
                        <w:rFonts w:ascii="MS Gothic"/>
                        <w:color w:val="333333"/>
                      </w:rPr>
                      <w:t>.expect(requestTo("/greet/details"))</w:t>
                    </w:r>
                  </w:p>
                  <w:p w14:paraId="11129DB8" w14:textId="77777777" w:rsidR="00711A16" w:rsidRDefault="00711A16">
                    <w:pPr>
                      <w:spacing w:before="12" w:line="252" w:lineRule="auto"/>
                      <w:ind w:left="1080" w:right="1798" w:firstLine="880"/>
                      <w:rPr>
                        <w:rFonts w:ascii="MS Gothic"/>
                      </w:rPr>
                    </w:pPr>
                    <w:proofErr w:type="gramStart"/>
                    <w:r>
                      <w:rPr>
                        <w:rFonts w:ascii="MS Gothic"/>
                        <w:color w:val="333333"/>
                      </w:rPr>
                      <w:t>.andRespond</w:t>
                    </w:r>
                    <w:proofErr w:type="gramEnd"/>
                    <w:r>
                      <w:rPr>
                        <w:rFonts w:ascii="MS Gothic"/>
                        <w:color w:val="333333"/>
                      </w:rPr>
                      <w:t>(withSuccess("hello", MediaType.TEXT_PLAIN)); String greeting = this.service.callRestService(); assertThat(greeting).isEqualTo("hello");</w:t>
                    </w:r>
                  </w:p>
                  <w:p w14:paraId="12396487" w14:textId="77777777" w:rsidR="00711A16" w:rsidRDefault="00711A16">
                    <w:pPr>
                      <w:spacing w:line="278" w:lineRule="exact"/>
                      <w:ind w:left="640"/>
                      <w:rPr>
                        <w:rFonts w:ascii="MS Gothic"/>
                      </w:rPr>
                    </w:pPr>
                    <w:r>
                      <w:rPr>
                        <w:rFonts w:ascii="MS Gothic"/>
                        <w:color w:val="333333"/>
                      </w:rPr>
                      <w:t>}</w:t>
                    </w:r>
                  </w:p>
                  <w:p w14:paraId="3ED249DD" w14:textId="77777777" w:rsidR="00711A16" w:rsidRDefault="00711A16">
                    <w:pPr>
                      <w:spacing w:before="1"/>
                      <w:rPr>
                        <w:rFonts w:ascii="MS Gothic"/>
                        <w:sz w:val="24"/>
                      </w:rPr>
                    </w:pPr>
                  </w:p>
                  <w:p w14:paraId="24686D51" w14:textId="77777777" w:rsidR="00711A16" w:rsidRDefault="00711A16">
                    <w:pPr>
                      <w:ind w:left="200"/>
                      <w:rPr>
                        <w:rFonts w:ascii="MS Gothic"/>
                      </w:rPr>
                    </w:pPr>
                    <w:r>
                      <w:rPr>
                        <w:rFonts w:ascii="MS Gothic"/>
                        <w:color w:val="333333"/>
                      </w:rPr>
                      <w:t>}</w:t>
                    </w:r>
                  </w:p>
                </w:txbxContent>
              </v:textbox>
            </v:shape>
            <w10:anchorlock/>
          </v:group>
        </w:pict>
      </w:r>
    </w:p>
    <w:p w14:paraId="27F0D146" w14:textId="77777777" w:rsidR="00A720EB" w:rsidRDefault="00A720EB">
      <w:pPr>
        <w:pStyle w:val="a3"/>
        <w:spacing w:before="11"/>
        <w:rPr>
          <w:sz w:val="16"/>
        </w:rPr>
      </w:pPr>
    </w:p>
    <w:p w14:paraId="5C992971" w14:textId="77777777" w:rsidR="00A720EB" w:rsidRDefault="0030286B">
      <w:pPr>
        <w:pStyle w:val="4"/>
        <w:spacing w:before="104"/>
      </w:pPr>
      <w:bookmarkStart w:id="482" w:name="Auto-configured_Spring_REST_Docs_Tests"/>
      <w:bookmarkEnd w:id="482"/>
      <w:r>
        <w:rPr>
          <w:color w:val="333333"/>
          <w:w w:val="110"/>
        </w:rPr>
        <w:t>Auto-configured Spring REST Docs Tests</w:t>
      </w:r>
    </w:p>
    <w:p w14:paraId="7AD7CB09" w14:textId="77777777" w:rsidR="00A720EB" w:rsidRDefault="0030286B">
      <w:pPr>
        <w:pStyle w:val="a3"/>
        <w:spacing w:before="244" w:line="300" w:lineRule="auto"/>
        <w:ind w:left="124" w:right="125"/>
        <w:jc w:val="both"/>
      </w:pPr>
      <w:r>
        <w:rPr>
          <w:color w:val="333333"/>
          <w:spacing w:val="-6"/>
          <w:w w:val="110"/>
        </w:rPr>
        <w:t>You</w:t>
      </w:r>
      <w:r>
        <w:rPr>
          <w:color w:val="333333"/>
          <w:spacing w:val="-8"/>
          <w:w w:val="110"/>
        </w:rPr>
        <w:t xml:space="preserve"> </w:t>
      </w:r>
      <w:r>
        <w:rPr>
          <w:color w:val="333333"/>
          <w:w w:val="110"/>
        </w:rPr>
        <w:t>can</w:t>
      </w:r>
      <w:r>
        <w:rPr>
          <w:color w:val="333333"/>
          <w:spacing w:val="-7"/>
          <w:w w:val="110"/>
        </w:rPr>
        <w:t xml:space="preserve"> </w:t>
      </w:r>
      <w:r>
        <w:rPr>
          <w:color w:val="333333"/>
          <w:w w:val="110"/>
        </w:rPr>
        <w:t>use</w:t>
      </w:r>
      <w:r>
        <w:rPr>
          <w:color w:val="333333"/>
          <w:spacing w:val="-7"/>
          <w:w w:val="110"/>
        </w:rPr>
        <w:t xml:space="preserve"> </w:t>
      </w:r>
      <w:r>
        <w:rPr>
          <w:color w:val="333333"/>
          <w:w w:val="110"/>
        </w:rPr>
        <w:t>the</w:t>
      </w:r>
      <w:r>
        <w:rPr>
          <w:color w:val="333333"/>
          <w:spacing w:val="-6"/>
          <w:w w:val="110"/>
        </w:rPr>
        <w:t xml:space="preserve"> </w:t>
      </w:r>
      <w:r>
        <w:rPr>
          <w:rFonts w:ascii="MS Gothic"/>
          <w:color w:val="B02045"/>
          <w:w w:val="110"/>
        </w:rPr>
        <w:t>@AutoConfigureRestDocs</w:t>
      </w:r>
      <w:r>
        <w:rPr>
          <w:rFonts w:ascii="MS Gothic"/>
          <w:color w:val="B02045"/>
          <w:spacing w:val="-71"/>
          <w:w w:val="110"/>
        </w:rPr>
        <w:t xml:space="preserve"> </w:t>
      </w:r>
      <w:r>
        <w:rPr>
          <w:color w:val="333333"/>
          <w:w w:val="110"/>
        </w:rPr>
        <w:t>annotation</w:t>
      </w:r>
      <w:r>
        <w:rPr>
          <w:color w:val="333333"/>
          <w:spacing w:val="-7"/>
          <w:w w:val="110"/>
        </w:rPr>
        <w:t xml:space="preserve"> </w:t>
      </w:r>
      <w:r>
        <w:rPr>
          <w:color w:val="333333"/>
          <w:w w:val="110"/>
        </w:rPr>
        <w:t>to</w:t>
      </w:r>
      <w:r>
        <w:rPr>
          <w:color w:val="333333"/>
          <w:spacing w:val="-7"/>
          <w:w w:val="110"/>
        </w:rPr>
        <w:t xml:space="preserve"> </w:t>
      </w:r>
      <w:r>
        <w:rPr>
          <w:color w:val="333333"/>
          <w:w w:val="110"/>
        </w:rPr>
        <w:t>use</w:t>
      </w:r>
      <w:r>
        <w:rPr>
          <w:color w:val="333333"/>
          <w:spacing w:val="-4"/>
          <w:w w:val="110"/>
        </w:rPr>
        <w:t xml:space="preserve"> </w:t>
      </w:r>
      <w:hyperlink r:id="rId344">
        <w:r>
          <w:rPr>
            <w:color w:val="418BCA"/>
            <w:w w:val="110"/>
          </w:rPr>
          <w:t>Spring</w:t>
        </w:r>
        <w:r>
          <w:rPr>
            <w:color w:val="418BCA"/>
            <w:spacing w:val="-7"/>
            <w:w w:val="110"/>
          </w:rPr>
          <w:t xml:space="preserve"> </w:t>
        </w:r>
        <w:r>
          <w:rPr>
            <w:color w:val="418BCA"/>
            <w:w w:val="110"/>
          </w:rPr>
          <w:t>REST</w:t>
        </w:r>
        <w:r>
          <w:rPr>
            <w:color w:val="418BCA"/>
            <w:spacing w:val="-7"/>
            <w:w w:val="110"/>
          </w:rPr>
          <w:t xml:space="preserve"> </w:t>
        </w:r>
        <w:r>
          <w:rPr>
            <w:color w:val="418BCA"/>
            <w:w w:val="110"/>
          </w:rPr>
          <w:t>Docs</w:t>
        </w:r>
        <w:r>
          <w:rPr>
            <w:color w:val="418BCA"/>
            <w:spacing w:val="-6"/>
            <w:w w:val="110"/>
          </w:rPr>
          <w:t xml:space="preserve"> </w:t>
        </w:r>
      </w:hyperlink>
      <w:r>
        <w:rPr>
          <w:color w:val="333333"/>
          <w:w w:val="110"/>
        </w:rPr>
        <w:t>in</w:t>
      </w:r>
      <w:r>
        <w:rPr>
          <w:color w:val="333333"/>
          <w:spacing w:val="-7"/>
          <w:w w:val="110"/>
        </w:rPr>
        <w:t xml:space="preserve"> </w:t>
      </w:r>
      <w:r>
        <w:rPr>
          <w:color w:val="333333"/>
          <w:w w:val="110"/>
        </w:rPr>
        <w:t>your</w:t>
      </w:r>
      <w:r>
        <w:rPr>
          <w:color w:val="333333"/>
          <w:spacing w:val="-7"/>
          <w:w w:val="110"/>
        </w:rPr>
        <w:t xml:space="preserve"> </w:t>
      </w:r>
      <w:r>
        <w:rPr>
          <w:color w:val="333333"/>
          <w:w w:val="110"/>
        </w:rPr>
        <w:t>tests</w:t>
      </w:r>
      <w:r>
        <w:rPr>
          <w:color w:val="333333"/>
          <w:spacing w:val="-7"/>
          <w:w w:val="110"/>
        </w:rPr>
        <w:t xml:space="preserve"> </w:t>
      </w:r>
      <w:r>
        <w:rPr>
          <w:color w:val="333333"/>
          <w:w w:val="110"/>
        </w:rPr>
        <w:t>with</w:t>
      </w:r>
      <w:r>
        <w:rPr>
          <w:color w:val="333333"/>
          <w:spacing w:val="-7"/>
          <w:w w:val="110"/>
        </w:rPr>
        <w:t xml:space="preserve"> </w:t>
      </w:r>
      <w:r>
        <w:rPr>
          <w:color w:val="333333"/>
          <w:w w:val="110"/>
        </w:rPr>
        <w:t xml:space="preserve">Mock MVC, REST Assured, or </w:t>
      </w:r>
      <w:r>
        <w:rPr>
          <w:color w:val="333333"/>
          <w:spacing w:val="-3"/>
          <w:w w:val="110"/>
        </w:rPr>
        <w:t xml:space="preserve">WebTestClient. </w:t>
      </w:r>
      <w:r>
        <w:rPr>
          <w:color w:val="333333"/>
          <w:w w:val="110"/>
        </w:rPr>
        <w:t xml:space="preserve">It removes the need for the JUnit extension in Spring </w:t>
      </w:r>
      <w:proofErr w:type="gramStart"/>
      <w:r>
        <w:rPr>
          <w:color w:val="333333"/>
          <w:w w:val="110"/>
        </w:rPr>
        <w:t>REST  Docs</w:t>
      </w:r>
      <w:proofErr w:type="gramEnd"/>
      <w:r>
        <w:rPr>
          <w:color w:val="333333"/>
          <w:w w:val="110"/>
        </w:rPr>
        <w:t>.</w:t>
      </w:r>
    </w:p>
    <w:p w14:paraId="43950331" w14:textId="77777777" w:rsidR="00A720EB" w:rsidRDefault="0030286B">
      <w:pPr>
        <w:pStyle w:val="a3"/>
        <w:spacing w:before="235" w:line="285" w:lineRule="auto"/>
        <w:ind w:left="124" w:right="122"/>
        <w:jc w:val="both"/>
      </w:pPr>
      <w:r>
        <w:rPr>
          <w:rFonts w:ascii="MS Gothic"/>
          <w:color w:val="B02045"/>
          <w:w w:val="110"/>
        </w:rPr>
        <w:t xml:space="preserve">@AutoConfigureRestDocs </w:t>
      </w:r>
      <w:r>
        <w:rPr>
          <w:color w:val="333333"/>
          <w:w w:val="110"/>
        </w:rPr>
        <w:t>can be used to override the default output directory (</w:t>
      </w:r>
      <w:r>
        <w:rPr>
          <w:rFonts w:ascii="MS Gothic"/>
          <w:color w:val="B02045"/>
          <w:w w:val="110"/>
        </w:rPr>
        <w:t>target/generated- snippets</w:t>
      </w:r>
      <w:r>
        <w:rPr>
          <w:rFonts w:ascii="MS Gothic"/>
          <w:color w:val="B02045"/>
          <w:spacing w:val="-70"/>
          <w:w w:val="110"/>
        </w:rPr>
        <w:t xml:space="preserve"> </w:t>
      </w:r>
      <w:r>
        <w:rPr>
          <w:color w:val="333333"/>
          <w:w w:val="110"/>
        </w:rPr>
        <w:t>if</w:t>
      </w:r>
      <w:r>
        <w:rPr>
          <w:color w:val="333333"/>
          <w:spacing w:val="-5"/>
          <w:w w:val="110"/>
        </w:rPr>
        <w:t xml:space="preserve"> </w:t>
      </w:r>
      <w:r>
        <w:rPr>
          <w:color w:val="333333"/>
          <w:w w:val="110"/>
        </w:rPr>
        <w:t>you</w:t>
      </w:r>
      <w:r>
        <w:rPr>
          <w:color w:val="333333"/>
          <w:spacing w:val="-4"/>
          <w:w w:val="110"/>
        </w:rPr>
        <w:t xml:space="preserve"> </w:t>
      </w:r>
      <w:r>
        <w:rPr>
          <w:color w:val="333333"/>
          <w:w w:val="110"/>
        </w:rPr>
        <w:t>are</w:t>
      </w:r>
      <w:r>
        <w:rPr>
          <w:color w:val="333333"/>
          <w:spacing w:val="-5"/>
          <w:w w:val="110"/>
        </w:rPr>
        <w:t xml:space="preserve"> </w:t>
      </w:r>
      <w:r>
        <w:rPr>
          <w:color w:val="333333"/>
          <w:w w:val="110"/>
        </w:rPr>
        <w:t>using</w:t>
      </w:r>
      <w:r>
        <w:rPr>
          <w:color w:val="333333"/>
          <w:spacing w:val="-5"/>
          <w:w w:val="110"/>
        </w:rPr>
        <w:t xml:space="preserve"> </w:t>
      </w:r>
      <w:r>
        <w:rPr>
          <w:color w:val="333333"/>
          <w:w w:val="110"/>
        </w:rPr>
        <w:t>Maven</w:t>
      </w:r>
      <w:r>
        <w:rPr>
          <w:color w:val="333333"/>
          <w:spacing w:val="-5"/>
          <w:w w:val="110"/>
        </w:rPr>
        <w:t xml:space="preserve"> </w:t>
      </w:r>
      <w:r>
        <w:rPr>
          <w:color w:val="333333"/>
          <w:w w:val="110"/>
        </w:rPr>
        <w:t>or</w:t>
      </w:r>
      <w:r>
        <w:rPr>
          <w:color w:val="333333"/>
          <w:spacing w:val="-1"/>
          <w:w w:val="110"/>
        </w:rPr>
        <w:t xml:space="preserve"> </w:t>
      </w:r>
      <w:r>
        <w:rPr>
          <w:rFonts w:ascii="MS Gothic"/>
          <w:color w:val="B02045"/>
          <w:w w:val="110"/>
        </w:rPr>
        <w:t>build/generated-snippets</w:t>
      </w:r>
      <w:r>
        <w:rPr>
          <w:rFonts w:ascii="MS Gothic"/>
          <w:color w:val="B02045"/>
          <w:spacing w:val="-69"/>
          <w:w w:val="110"/>
        </w:rPr>
        <w:t xml:space="preserve"> </w:t>
      </w:r>
      <w:r>
        <w:rPr>
          <w:color w:val="333333"/>
          <w:w w:val="110"/>
        </w:rPr>
        <w:t>if</w:t>
      </w:r>
      <w:r>
        <w:rPr>
          <w:color w:val="333333"/>
          <w:spacing w:val="-5"/>
          <w:w w:val="110"/>
        </w:rPr>
        <w:t xml:space="preserve"> </w:t>
      </w:r>
      <w:r>
        <w:rPr>
          <w:color w:val="333333"/>
          <w:w w:val="110"/>
        </w:rPr>
        <w:t>you</w:t>
      </w:r>
      <w:r>
        <w:rPr>
          <w:color w:val="333333"/>
          <w:spacing w:val="-5"/>
          <w:w w:val="110"/>
        </w:rPr>
        <w:t xml:space="preserve"> </w:t>
      </w:r>
      <w:r>
        <w:rPr>
          <w:color w:val="333333"/>
          <w:w w:val="110"/>
        </w:rPr>
        <w:t>are</w:t>
      </w:r>
      <w:r>
        <w:rPr>
          <w:color w:val="333333"/>
          <w:spacing w:val="-4"/>
          <w:w w:val="110"/>
        </w:rPr>
        <w:t xml:space="preserve"> </w:t>
      </w:r>
      <w:r>
        <w:rPr>
          <w:color w:val="333333"/>
          <w:w w:val="110"/>
        </w:rPr>
        <w:t>using</w:t>
      </w:r>
      <w:r>
        <w:rPr>
          <w:color w:val="333333"/>
          <w:spacing w:val="-5"/>
          <w:w w:val="110"/>
        </w:rPr>
        <w:t xml:space="preserve"> </w:t>
      </w:r>
      <w:r>
        <w:rPr>
          <w:color w:val="333333"/>
          <w:w w:val="110"/>
        </w:rPr>
        <w:t>Gradle).</w:t>
      </w:r>
      <w:r>
        <w:rPr>
          <w:color w:val="333333"/>
          <w:spacing w:val="-5"/>
          <w:w w:val="110"/>
        </w:rPr>
        <w:t xml:space="preserve"> </w:t>
      </w:r>
      <w:r>
        <w:rPr>
          <w:color w:val="333333"/>
          <w:w w:val="110"/>
        </w:rPr>
        <w:t>It</w:t>
      </w:r>
      <w:r>
        <w:rPr>
          <w:color w:val="333333"/>
          <w:spacing w:val="-4"/>
          <w:w w:val="110"/>
        </w:rPr>
        <w:t xml:space="preserve"> </w:t>
      </w:r>
      <w:r>
        <w:rPr>
          <w:color w:val="333333"/>
          <w:w w:val="110"/>
        </w:rPr>
        <w:t>can</w:t>
      </w:r>
      <w:r>
        <w:rPr>
          <w:color w:val="333333"/>
          <w:spacing w:val="-5"/>
          <w:w w:val="110"/>
        </w:rPr>
        <w:t xml:space="preserve"> </w:t>
      </w:r>
      <w:r>
        <w:rPr>
          <w:color w:val="333333"/>
          <w:w w:val="110"/>
        </w:rPr>
        <w:t>also</w:t>
      </w:r>
      <w:r>
        <w:rPr>
          <w:color w:val="333333"/>
          <w:spacing w:val="-5"/>
          <w:w w:val="110"/>
        </w:rPr>
        <w:t xml:space="preserve"> </w:t>
      </w:r>
      <w:r>
        <w:rPr>
          <w:color w:val="333333"/>
          <w:w w:val="110"/>
        </w:rPr>
        <w:t>be used to configure the host, scheme, and port that appears in any documented</w:t>
      </w:r>
      <w:r>
        <w:rPr>
          <w:color w:val="333333"/>
          <w:spacing w:val="46"/>
          <w:w w:val="110"/>
        </w:rPr>
        <w:t xml:space="preserve"> </w:t>
      </w:r>
      <w:r>
        <w:rPr>
          <w:color w:val="333333"/>
          <w:w w:val="110"/>
        </w:rPr>
        <w:t>URIs.</w:t>
      </w:r>
    </w:p>
    <w:p w14:paraId="46A8506F" w14:textId="77777777" w:rsidR="00A720EB" w:rsidRDefault="00A720EB">
      <w:pPr>
        <w:pStyle w:val="a3"/>
        <w:spacing w:before="7"/>
        <w:rPr>
          <w:sz w:val="27"/>
        </w:rPr>
      </w:pPr>
    </w:p>
    <w:p w14:paraId="42227FCD" w14:textId="77777777" w:rsidR="00A720EB" w:rsidRDefault="0030286B">
      <w:pPr>
        <w:ind w:left="124"/>
        <w:jc w:val="both"/>
        <w:rPr>
          <w:rFonts w:ascii="Palatino Linotype"/>
          <w:b/>
          <w:sz w:val="18"/>
        </w:rPr>
      </w:pPr>
      <w:r>
        <w:rPr>
          <w:rFonts w:ascii="Palatino Linotype"/>
          <w:b/>
          <w:color w:val="333333"/>
          <w:w w:val="110"/>
          <w:sz w:val="18"/>
        </w:rPr>
        <w:t>Auto-configured Spring REST Docs Tests with Mock MVC</w:t>
      </w:r>
    </w:p>
    <w:p w14:paraId="408DAE45" w14:textId="77777777" w:rsidR="00A720EB" w:rsidRDefault="00A720EB">
      <w:pPr>
        <w:pStyle w:val="a3"/>
        <w:spacing w:before="1"/>
        <w:rPr>
          <w:rFonts w:ascii="Palatino Linotype"/>
          <w:b/>
          <w:sz w:val="18"/>
        </w:rPr>
      </w:pPr>
    </w:p>
    <w:p w14:paraId="16635BE5" w14:textId="77777777" w:rsidR="00A720EB" w:rsidRDefault="0030286B">
      <w:pPr>
        <w:pStyle w:val="a3"/>
        <w:spacing w:line="285" w:lineRule="auto"/>
        <w:ind w:left="124" w:right="127"/>
        <w:jc w:val="both"/>
      </w:pPr>
      <w:r>
        <w:rPr>
          <w:rFonts w:ascii="MS Gothic"/>
          <w:color w:val="B02045"/>
          <w:w w:val="110"/>
        </w:rPr>
        <w:t>@AutoConfigureRestDocs</w:t>
      </w:r>
      <w:r>
        <w:rPr>
          <w:rFonts w:ascii="MS Gothic"/>
          <w:color w:val="B02045"/>
          <w:spacing w:val="-73"/>
          <w:w w:val="110"/>
        </w:rPr>
        <w:t xml:space="preserve"> </w:t>
      </w:r>
      <w:r>
        <w:rPr>
          <w:color w:val="333333"/>
          <w:w w:val="110"/>
        </w:rPr>
        <w:t>customizes</w:t>
      </w:r>
      <w:r>
        <w:rPr>
          <w:color w:val="333333"/>
          <w:spacing w:val="-8"/>
          <w:w w:val="110"/>
        </w:rPr>
        <w:t xml:space="preserve"> </w:t>
      </w:r>
      <w:r>
        <w:rPr>
          <w:color w:val="333333"/>
          <w:w w:val="110"/>
        </w:rPr>
        <w:t>the</w:t>
      </w:r>
      <w:r>
        <w:rPr>
          <w:color w:val="333333"/>
          <w:spacing w:val="-9"/>
          <w:w w:val="110"/>
        </w:rPr>
        <w:t xml:space="preserve"> </w:t>
      </w:r>
      <w:r>
        <w:rPr>
          <w:rFonts w:ascii="MS Gothic"/>
          <w:color w:val="B02045"/>
          <w:w w:val="110"/>
        </w:rPr>
        <w:t>MockMvc</w:t>
      </w:r>
      <w:r>
        <w:rPr>
          <w:rFonts w:ascii="MS Gothic"/>
          <w:color w:val="B02045"/>
          <w:spacing w:val="-72"/>
          <w:w w:val="110"/>
        </w:rPr>
        <w:t xml:space="preserve"> </w:t>
      </w:r>
      <w:r>
        <w:rPr>
          <w:color w:val="333333"/>
          <w:w w:val="110"/>
        </w:rPr>
        <w:t>bean</w:t>
      </w:r>
      <w:r>
        <w:rPr>
          <w:color w:val="333333"/>
          <w:spacing w:val="-9"/>
          <w:w w:val="110"/>
        </w:rPr>
        <w:t xml:space="preserve"> </w:t>
      </w:r>
      <w:r>
        <w:rPr>
          <w:color w:val="333333"/>
          <w:w w:val="110"/>
        </w:rPr>
        <w:t>to</w:t>
      </w:r>
      <w:r>
        <w:rPr>
          <w:color w:val="333333"/>
          <w:spacing w:val="-8"/>
          <w:w w:val="110"/>
        </w:rPr>
        <w:t xml:space="preserve"> </w:t>
      </w:r>
      <w:r>
        <w:rPr>
          <w:color w:val="333333"/>
          <w:w w:val="110"/>
        </w:rPr>
        <w:t>use</w:t>
      </w:r>
      <w:r>
        <w:rPr>
          <w:color w:val="333333"/>
          <w:spacing w:val="-8"/>
          <w:w w:val="110"/>
        </w:rPr>
        <w:t xml:space="preserve"> </w:t>
      </w:r>
      <w:r>
        <w:rPr>
          <w:color w:val="333333"/>
          <w:w w:val="110"/>
        </w:rPr>
        <w:t>Spring</w:t>
      </w:r>
      <w:r>
        <w:rPr>
          <w:color w:val="333333"/>
          <w:spacing w:val="-9"/>
          <w:w w:val="110"/>
        </w:rPr>
        <w:t xml:space="preserve"> </w:t>
      </w:r>
      <w:r>
        <w:rPr>
          <w:color w:val="333333"/>
          <w:w w:val="110"/>
        </w:rPr>
        <w:t>REST</w:t>
      </w:r>
      <w:r>
        <w:rPr>
          <w:color w:val="333333"/>
          <w:spacing w:val="-8"/>
          <w:w w:val="110"/>
        </w:rPr>
        <w:t xml:space="preserve"> </w:t>
      </w:r>
      <w:r>
        <w:rPr>
          <w:color w:val="333333"/>
          <w:w w:val="110"/>
        </w:rPr>
        <w:t>Docs</w:t>
      </w:r>
      <w:r>
        <w:rPr>
          <w:color w:val="333333"/>
          <w:spacing w:val="-8"/>
          <w:w w:val="110"/>
        </w:rPr>
        <w:t xml:space="preserve"> </w:t>
      </w:r>
      <w:r>
        <w:rPr>
          <w:color w:val="333333"/>
          <w:w w:val="110"/>
        </w:rPr>
        <w:t>when</w:t>
      </w:r>
      <w:r>
        <w:rPr>
          <w:color w:val="333333"/>
          <w:spacing w:val="-9"/>
          <w:w w:val="110"/>
        </w:rPr>
        <w:t xml:space="preserve"> </w:t>
      </w:r>
      <w:r>
        <w:rPr>
          <w:color w:val="333333"/>
          <w:w w:val="110"/>
        </w:rPr>
        <w:t>testing</w:t>
      </w:r>
      <w:r>
        <w:rPr>
          <w:color w:val="333333"/>
          <w:spacing w:val="-8"/>
          <w:w w:val="110"/>
        </w:rPr>
        <w:t xml:space="preserve"> </w:t>
      </w:r>
      <w:r>
        <w:rPr>
          <w:color w:val="333333"/>
          <w:w w:val="110"/>
        </w:rPr>
        <w:t xml:space="preserve">Servlet- based web applications. </w:t>
      </w:r>
      <w:r>
        <w:rPr>
          <w:color w:val="333333"/>
          <w:spacing w:val="-6"/>
          <w:w w:val="110"/>
        </w:rPr>
        <w:t xml:space="preserve">You </w:t>
      </w:r>
      <w:r>
        <w:rPr>
          <w:color w:val="333333"/>
          <w:w w:val="110"/>
        </w:rPr>
        <w:t xml:space="preserve">can inject it </w:t>
      </w:r>
      <w:r>
        <w:rPr>
          <w:color w:val="333333"/>
          <w:spacing w:val="-3"/>
          <w:w w:val="110"/>
        </w:rPr>
        <w:t xml:space="preserve">by </w:t>
      </w:r>
      <w:r>
        <w:rPr>
          <w:color w:val="333333"/>
          <w:w w:val="110"/>
        </w:rPr>
        <w:t xml:space="preserve">using </w:t>
      </w:r>
      <w:r>
        <w:rPr>
          <w:rFonts w:ascii="MS Gothic"/>
          <w:color w:val="B02045"/>
          <w:w w:val="110"/>
        </w:rPr>
        <w:t xml:space="preserve">@Autowired </w:t>
      </w:r>
      <w:r>
        <w:rPr>
          <w:color w:val="333333"/>
          <w:w w:val="110"/>
        </w:rPr>
        <w:t>and use it in your tests as you normally</w:t>
      </w:r>
      <w:r>
        <w:rPr>
          <w:color w:val="333333"/>
          <w:spacing w:val="8"/>
          <w:w w:val="110"/>
        </w:rPr>
        <w:t xml:space="preserve"> </w:t>
      </w:r>
      <w:r>
        <w:rPr>
          <w:color w:val="333333"/>
          <w:w w:val="110"/>
        </w:rPr>
        <w:t>would</w:t>
      </w:r>
      <w:r>
        <w:rPr>
          <w:color w:val="333333"/>
          <w:spacing w:val="7"/>
          <w:w w:val="110"/>
        </w:rPr>
        <w:t xml:space="preserve"> </w:t>
      </w:r>
      <w:r>
        <w:rPr>
          <w:color w:val="333333"/>
          <w:w w:val="110"/>
        </w:rPr>
        <w:t>when</w:t>
      </w:r>
      <w:r>
        <w:rPr>
          <w:color w:val="333333"/>
          <w:spacing w:val="7"/>
          <w:w w:val="110"/>
        </w:rPr>
        <w:t xml:space="preserve"> </w:t>
      </w:r>
      <w:r>
        <w:rPr>
          <w:color w:val="333333"/>
          <w:w w:val="110"/>
        </w:rPr>
        <w:t>using</w:t>
      </w:r>
      <w:r>
        <w:rPr>
          <w:color w:val="333333"/>
          <w:spacing w:val="7"/>
          <w:w w:val="110"/>
        </w:rPr>
        <w:t xml:space="preserve"> </w:t>
      </w:r>
      <w:r>
        <w:rPr>
          <w:color w:val="333333"/>
          <w:w w:val="110"/>
        </w:rPr>
        <w:t>Mock</w:t>
      </w:r>
      <w:r>
        <w:rPr>
          <w:color w:val="333333"/>
          <w:spacing w:val="7"/>
          <w:w w:val="110"/>
        </w:rPr>
        <w:t xml:space="preserve"> </w:t>
      </w:r>
      <w:r>
        <w:rPr>
          <w:color w:val="333333"/>
          <w:w w:val="110"/>
        </w:rPr>
        <w:t>MVC</w:t>
      </w:r>
      <w:r>
        <w:rPr>
          <w:color w:val="333333"/>
          <w:spacing w:val="7"/>
          <w:w w:val="110"/>
        </w:rPr>
        <w:t xml:space="preserve"> </w:t>
      </w:r>
      <w:r>
        <w:rPr>
          <w:color w:val="333333"/>
          <w:w w:val="110"/>
        </w:rPr>
        <w:t>and</w:t>
      </w:r>
      <w:r>
        <w:rPr>
          <w:color w:val="333333"/>
          <w:spacing w:val="7"/>
          <w:w w:val="110"/>
        </w:rPr>
        <w:t xml:space="preserve"> </w:t>
      </w:r>
      <w:r>
        <w:rPr>
          <w:color w:val="333333"/>
          <w:w w:val="110"/>
        </w:rPr>
        <w:t>Spring</w:t>
      </w:r>
      <w:r>
        <w:rPr>
          <w:color w:val="333333"/>
          <w:spacing w:val="7"/>
          <w:w w:val="110"/>
        </w:rPr>
        <w:t xml:space="preserve"> </w:t>
      </w:r>
      <w:r>
        <w:rPr>
          <w:color w:val="333333"/>
          <w:w w:val="110"/>
        </w:rPr>
        <w:t>REST</w:t>
      </w:r>
      <w:r>
        <w:rPr>
          <w:color w:val="333333"/>
          <w:spacing w:val="7"/>
          <w:w w:val="110"/>
        </w:rPr>
        <w:t xml:space="preserve"> </w:t>
      </w:r>
      <w:r>
        <w:rPr>
          <w:color w:val="333333"/>
          <w:w w:val="110"/>
        </w:rPr>
        <w:t>Docs,</w:t>
      </w:r>
      <w:r>
        <w:rPr>
          <w:color w:val="333333"/>
          <w:spacing w:val="8"/>
          <w:w w:val="110"/>
        </w:rPr>
        <w:t xml:space="preserve"> </w:t>
      </w:r>
      <w:r>
        <w:rPr>
          <w:color w:val="333333"/>
          <w:w w:val="110"/>
        </w:rPr>
        <w:t>as</w:t>
      </w:r>
      <w:r>
        <w:rPr>
          <w:color w:val="333333"/>
          <w:spacing w:val="7"/>
          <w:w w:val="110"/>
        </w:rPr>
        <w:t xml:space="preserve"> </w:t>
      </w:r>
      <w:r>
        <w:rPr>
          <w:color w:val="333333"/>
          <w:w w:val="110"/>
        </w:rPr>
        <w:t>shown</w:t>
      </w:r>
      <w:r>
        <w:rPr>
          <w:color w:val="333333"/>
          <w:spacing w:val="8"/>
          <w:w w:val="110"/>
        </w:rPr>
        <w:t xml:space="preserve"> </w:t>
      </w:r>
      <w:r>
        <w:rPr>
          <w:color w:val="333333"/>
          <w:w w:val="110"/>
        </w:rPr>
        <w:t>in</w:t>
      </w:r>
      <w:r>
        <w:rPr>
          <w:color w:val="333333"/>
          <w:spacing w:val="7"/>
          <w:w w:val="110"/>
        </w:rPr>
        <w:t xml:space="preserve"> </w:t>
      </w:r>
      <w:r>
        <w:rPr>
          <w:color w:val="333333"/>
          <w:w w:val="110"/>
        </w:rPr>
        <w:t>the</w:t>
      </w:r>
      <w:r>
        <w:rPr>
          <w:color w:val="333333"/>
          <w:spacing w:val="9"/>
          <w:w w:val="110"/>
        </w:rPr>
        <w:t xml:space="preserve"> </w:t>
      </w:r>
      <w:r>
        <w:rPr>
          <w:color w:val="333333"/>
          <w:w w:val="110"/>
        </w:rPr>
        <w:t>following</w:t>
      </w:r>
      <w:r>
        <w:rPr>
          <w:color w:val="333333"/>
          <w:spacing w:val="8"/>
          <w:w w:val="110"/>
        </w:rPr>
        <w:t xml:space="preserve"> </w:t>
      </w:r>
      <w:r>
        <w:rPr>
          <w:color w:val="333333"/>
          <w:w w:val="110"/>
        </w:rPr>
        <w:t>example:</w:t>
      </w:r>
    </w:p>
    <w:p w14:paraId="7CC916F6" w14:textId="77777777" w:rsidR="00A720EB" w:rsidRDefault="00A720EB">
      <w:pPr>
        <w:spacing w:line="285" w:lineRule="auto"/>
        <w:jc w:val="both"/>
        <w:sectPr w:rsidR="00A720EB">
          <w:pgSz w:w="11910" w:h="16840"/>
          <w:pgMar w:top="700" w:right="840" w:bottom="520" w:left="840" w:header="0" w:footer="323" w:gutter="0"/>
          <w:cols w:space="720"/>
        </w:sectPr>
      </w:pPr>
    </w:p>
    <w:p w14:paraId="4982D31A" w14:textId="77777777" w:rsidR="00A720EB" w:rsidRDefault="00A720EB">
      <w:pPr>
        <w:pStyle w:val="a3"/>
        <w:spacing w:before="4"/>
        <w:rPr>
          <w:sz w:val="10"/>
        </w:rPr>
      </w:pPr>
    </w:p>
    <w:p w14:paraId="3AE9707A" w14:textId="77777777" w:rsidR="00A720EB" w:rsidRDefault="00E10349">
      <w:pPr>
        <w:spacing w:before="117"/>
        <w:ind w:left="344"/>
        <w:rPr>
          <w:rFonts w:ascii="MS Gothic"/>
        </w:rPr>
      </w:pPr>
      <w:r>
        <w:pict w14:anchorId="55A123CD">
          <v:group id="_x0000_s3546" style="position:absolute;left:0;text-align:left;margin-left:47.85pt;margin-top:-6.35pt;width:499.55pt;height:406pt;z-index:-41390592;mso-position-horizontal-relative:page" coordorigin="957,-127" coordsize="9991,8120">
            <v:shape id="_x0000_s3548" style="position:absolute;left:964;top:-120;width:9976;height:8105" coordorigin="965,-119" coordsize="9976,8105" path="m10861,-119r-9816,l1014,-113r-26,17l971,-71r-6,32l965,7905r6,31l988,7962r26,17l1045,7985r9816,l10892,7979r25,-17l10935,7936r6,-31l10941,-39r-6,-32l10917,-96r-25,-17l10861,-119xe" fillcolor="#f5f5f5" stroked="f">
              <v:path arrowok="t"/>
            </v:shape>
            <v:shape id="_x0000_s3547" style="position:absolute;left:964;top:-120;width:9976;height:8105" coordorigin="965,-119" coordsize="9976,8105" path="m1045,-119r9816,l10892,-113r25,17l10935,-71r6,32l10941,7905r-6,31l10917,7962r-25,17l10861,7985r-9816,l1014,7979r-26,-17l971,7936r-6,-31l965,-39r6,-32l988,-96r26,-17l1045,-119xe" filled="f" strokecolor="#ccc">
              <v:path arrowok="t"/>
            </v:shape>
            <w10:wrap anchorx="page"/>
          </v:group>
        </w:pict>
      </w:r>
      <w:r w:rsidR="0030286B">
        <w:rPr>
          <w:rFonts w:ascii="MS Gothic"/>
          <w:color w:val="333333"/>
        </w:rPr>
        <w:t xml:space="preserve">import </w:t>
      </w:r>
      <w:proofErr w:type="gramStart"/>
      <w:r w:rsidR="0030286B">
        <w:rPr>
          <w:rFonts w:ascii="MS Gothic"/>
          <w:color w:val="333333"/>
        </w:rPr>
        <w:t>org.junit.jupiter.api.Test</w:t>
      </w:r>
      <w:proofErr w:type="gramEnd"/>
      <w:r w:rsidR="0030286B">
        <w:rPr>
          <w:rFonts w:ascii="MS Gothic"/>
          <w:color w:val="333333"/>
        </w:rPr>
        <w:t>;</w:t>
      </w:r>
    </w:p>
    <w:p w14:paraId="288CBE9B" w14:textId="77777777" w:rsidR="00A720EB" w:rsidRDefault="00A720EB">
      <w:pPr>
        <w:pStyle w:val="a3"/>
        <w:rPr>
          <w:rFonts w:ascii="MS Gothic"/>
          <w:sz w:val="24"/>
        </w:rPr>
      </w:pPr>
    </w:p>
    <w:p w14:paraId="3A790252" w14:textId="77777777" w:rsidR="00A720EB" w:rsidRDefault="0030286B">
      <w:pPr>
        <w:ind w:left="344"/>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4F5ADE9A" w14:textId="77777777" w:rsidR="00A720EB" w:rsidRDefault="0030286B">
      <w:pPr>
        <w:spacing w:before="13" w:line="252" w:lineRule="auto"/>
        <w:ind w:left="344" w:right="1726"/>
        <w:rPr>
          <w:rFonts w:ascii="MS Gothic"/>
        </w:rPr>
      </w:pPr>
      <w:r>
        <w:rPr>
          <w:rFonts w:ascii="MS Gothic"/>
          <w:color w:val="333333"/>
        </w:rPr>
        <w:t xml:space="preserve">import </w:t>
      </w:r>
      <w:proofErr w:type="gramStart"/>
      <w:r>
        <w:rPr>
          <w:rFonts w:ascii="MS Gothic"/>
          <w:color w:val="333333"/>
        </w:rPr>
        <w:t>org.springframework.boot.test.autoconfigure.web.servlet</w:t>
      </w:r>
      <w:proofErr w:type="gramEnd"/>
      <w:r>
        <w:rPr>
          <w:rFonts w:ascii="MS Gothic"/>
          <w:color w:val="333333"/>
        </w:rPr>
        <w:t>.WebMvcTest; import org.springframework.http.MediaType;</w:t>
      </w:r>
    </w:p>
    <w:p w14:paraId="6C1A997A" w14:textId="77777777" w:rsidR="00A720EB" w:rsidRDefault="0030286B">
      <w:pPr>
        <w:spacing w:line="280" w:lineRule="exact"/>
        <w:ind w:left="344"/>
        <w:rPr>
          <w:rFonts w:ascii="MS Gothic"/>
        </w:rPr>
      </w:pPr>
      <w:r>
        <w:rPr>
          <w:rFonts w:ascii="MS Gothic"/>
          <w:color w:val="333333"/>
        </w:rPr>
        <w:t xml:space="preserve">import </w:t>
      </w:r>
      <w:proofErr w:type="gramStart"/>
      <w:r>
        <w:rPr>
          <w:rFonts w:ascii="MS Gothic"/>
          <w:color w:val="333333"/>
        </w:rPr>
        <w:t>org.springframework.test.web.servlet</w:t>
      </w:r>
      <w:proofErr w:type="gramEnd"/>
      <w:r>
        <w:rPr>
          <w:rFonts w:ascii="MS Gothic"/>
          <w:color w:val="333333"/>
        </w:rPr>
        <w:t>.MockMvc;</w:t>
      </w:r>
    </w:p>
    <w:p w14:paraId="537ECDDD" w14:textId="77777777" w:rsidR="00A720EB" w:rsidRDefault="00A720EB">
      <w:pPr>
        <w:pStyle w:val="a3"/>
        <w:rPr>
          <w:rFonts w:ascii="MS Gothic"/>
          <w:sz w:val="24"/>
        </w:rPr>
      </w:pPr>
    </w:p>
    <w:p w14:paraId="42AC6A88" w14:textId="77777777" w:rsidR="00A720EB" w:rsidRDefault="0030286B">
      <w:pPr>
        <w:spacing w:before="1" w:line="252" w:lineRule="auto"/>
        <w:ind w:left="344" w:right="406"/>
        <w:rPr>
          <w:rFonts w:ascii="MS Gothic"/>
        </w:rPr>
      </w:pPr>
      <w:r>
        <w:rPr>
          <w:rFonts w:ascii="MS Gothic"/>
          <w:color w:val="333333"/>
        </w:rPr>
        <w:t xml:space="preserve">import static </w:t>
      </w:r>
      <w:proofErr w:type="gramStart"/>
      <w:r>
        <w:rPr>
          <w:rFonts w:ascii="MS Gothic"/>
          <w:color w:val="333333"/>
        </w:rPr>
        <w:t>org.springframework</w:t>
      </w:r>
      <w:proofErr w:type="gramEnd"/>
      <w:r>
        <w:rPr>
          <w:rFonts w:ascii="MS Gothic"/>
          <w:color w:val="333333"/>
        </w:rPr>
        <w:t>.restdocs.mockmvc.MockMvcRestDocumentation.document; import static org.springframework.test.web.servlet.request.MockMvcRequestBuilders.get; import static org.springframework.test.web.servlet.result.MockMvcResultMatchers.*;</w:t>
      </w:r>
    </w:p>
    <w:p w14:paraId="6B7FB5AD" w14:textId="77777777" w:rsidR="00A720EB" w:rsidRDefault="00A720EB">
      <w:pPr>
        <w:pStyle w:val="a3"/>
        <w:spacing w:before="9"/>
        <w:rPr>
          <w:rFonts w:ascii="MS Gothic"/>
          <w:sz w:val="22"/>
        </w:rPr>
      </w:pPr>
    </w:p>
    <w:p w14:paraId="1D69989F" w14:textId="77777777" w:rsidR="00A720EB" w:rsidRDefault="0030286B">
      <w:pPr>
        <w:spacing w:line="252" w:lineRule="auto"/>
        <w:ind w:left="344" w:right="6236"/>
        <w:rPr>
          <w:rFonts w:ascii="MS Gothic"/>
        </w:rPr>
      </w:pPr>
      <w:r>
        <w:rPr>
          <w:rFonts w:ascii="MS Gothic"/>
          <w:color w:val="333333"/>
        </w:rPr>
        <w:t>@</w:t>
      </w:r>
      <w:proofErr w:type="gramStart"/>
      <w:r>
        <w:rPr>
          <w:rFonts w:ascii="MS Gothic"/>
          <w:color w:val="333333"/>
        </w:rPr>
        <w:t>WebMvcTest(</w:t>
      </w:r>
      <w:proofErr w:type="gramEnd"/>
      <w:r>
        <w:rPr>
          <w:rFonts w:ascii="MS Gothic"/>
          <w:color w:val="333333"/>
        </w:rPr>
        <w:t>UserController.class) @AutoConfigureRestDocs</w:t>
      </w:r>
    </w:p>
    <w:p w14:paraId="7710DF74" w14:textId="77777777" w:rsidR="00A720EB" w:rsidRDefault="0030286B">
      <w:pPr>
        <w:spacing w:line="280" w:lineRule="exact"/>
        <w:ind w:left="344"/>
        <w:rPr>
          <w:rFonts w:ascii="MS Gothic"/>
        </w:rPr>
      </w:pPr>
      <w:r>
        <w:rPr>
          <w:rFonts w:ascii="MS Gothic"/>
          <w:color w:val="333333"/>
        </w:rPr>
        <w:t>class UserDocumentationTests {</w:t>
      </w:r>
    </w:p>
    <w:p w14:paraId="5D596138" w14:textId="77777777" w:rsidR="00A720EB" w:rsidRDefault="00A720EB">
      <w:pPr>
        <w:pStyle w:val="a3"/>
        <w:rPr>
          <w:rFonts w:ascii="MS Gothic"/>
          <w:sz w:val="24"/>
        </w:rPr>
      </w:pPr>
    </w:p>
    <w:p w14:paraId="48F399C1" w14:textId="77777777" w:rsidR="00A720EB" w:rsidRDefault="0030286B">
      <w:pPr>
        <w:ind w:left="784"/>
        <w:rPr>
          <w:rFonts w:ascii="MS Gothic"/>
        </w:rPr>
      </w:pPr>
      <w:r>
        <w:rPr>
          <w:rFonts w:ascii="MS Gothic"/>
          <w:color w:val="333333"/>
        </w:rPr>
        <w:t>@Autowired</w:t>
      </w:r>
    </w:p>
    <w:p w14:paraId="445E56FB" w14:textId="77777777" w:rsidR="00A720EB" w:rsidRDefault="0030286B">
      <w:pPr>
        <w:spacing w:before="13"/>
        <w:ind w:left="784"/>
        <w:rPr>
          <w:rFonts w:ascii="MS Gothic"/>
        </w:rPr>
      </w:pPr>
      <w:r>
        <w:rPr>
          <w:rFonts w:ascii="MS Gothic"/>
          <w:color w:val="333333"/>
        </w:rPr>
        <w:t>private MockMvc mvc;</w:t>
      </w:r>
    </w:p>
    <w:p w14:paraId="723BBB2A" w14:textId="77777777" w:rsidR="00A720EB" w:rsidRDefault="00A720EB">
      <w:pPr>
        <w:pStyle w:val="a3"/>
        <w:rPr>
          <w:rFonts w:ascii="MS Gothic"/>
          <w:sz w:val="24"/>
        </w:rPr>
      </w:pPr>
    </w:p>
    <w:p w14:paraId="78882E3E" w14:textId="77777777" w:rsidR="00A720EB" w:rsidRDefault="0030286B">
      <w:pPr>
        <w:ind w:left="784"/>
        <w:rPr>
          <w:rFonts w:ascii="MS Gothic"/>
        </w:rPr>
      </w:pPr>
      <w:r>
        <w:rPr>
          <w:rFonts w:ascii="MS Gothic"/>
          <w:color w:val="333333"/>
        </w:rPr>
        <w:t>@Test</w:t>
      </w:r>
    </w:p>
    <w:p w14:paraId="1B63079F" w14:textId="77777777" w:rsidR="00A720EB" w:rsidRDefault="0030286B">
      <w:pPr>
        <w:spacing w:before="13" w:line="252" w:lineRule="auto"/>
        <w:ind w:left="1224" w:right="2386" w:hanging="440"/>
        <w:rPr>
          <w:rFonts w:ascii="MS Gothic"/>
        </w:rPr>
      </w:pPr>
      <w:r>
        <w:rPr>
          <w:rFonts w:ascii="MS Gothic"/>
          <w:color w:val="333333"/>
        </w:rPr>
        <w:t xml:space="preserve">void </w:t>
      </w:r>
      <w:proofErr w:type="gramStart"/>
      <w:r>
        <w:rPr>
          <w:rFonts w:ascii="MS Gothic"/>
          <w:color w:val="333333"/>
        </w:rPr>
        <w:t>listUsers(</w:t>
      </w:r>
      <w:proofErr w:type="gramEnd"/>
      <w:r>
        <w:rPr>
          <w:rFonts w:ascii="MS Gothic"/>
          <w:color w:val="333333"/>
        </w:rPr>
        <w:t>) throws Exception { this.mvc.perform(get("/users").accept(MediaType.TEXT_PLAIN))</w:t>
      </w:r>
    </w:p>
    <w:p w14:paraId="4128256B" w14:textId="77777777" w:rsidR="00A720EB" w:rsidRDefault="0030286B">
      <w:pPr>
        <w:spacing w:line="280" w:lineRule="exact"/>
        <w:ind w:left="2104"/>
        <w:rPr>
          <w:rFonts w:ascii="MS Gothic"/>
        </w:rPr>
      </w:pPr>
      <w:proofErr w:type="gramStart"/>
      <w:r>
        <w:rPr>
          <w:rFonts w:ascii="MS Gothic"/>
          <w:color w:val="333333"/>
        </w:rPr>
        <w:t>.andExpect</w:t>
      </w:r>
      <w:proofErr w:type="gramEnd"/>
      <w:r>
        <w:rPr>
          <w:rFonts w:ascii="MS Gothic"/>
          <w:color w:val="333333"/>
        </w:rPr>
        <w:t>(status().isOk())</w:t>
      </w:r>
    </w:p>
    <w:p w14:paraId="3C305EBA" w14:textId="77777777" w:rsidR="00A720EB" w:rsidRDefault="0030286B">
      <w:pPr>
        <w:spacing w:before="13" w:line="278" w:lineRule="exact"/>
        <w:ind w:left="2104"/>
        <w:rPr>
          <w:rFonts w:ascii="MS Gothic"/>
        </w:rPr>
      </w:pPr>
      <w:proofErr w:type="gramStart"/>
      <w:r>
        <w:rPr>
          <w:rFonts w:ascii="MS Gothic"/>
          <w:color w:val="333333"/>
        </w:rPr>
        <w:t>.andDo</w:t>
      </w:r>
      <w:proofErr w:type="gramEnd"/>
      <w:r>
        <w:rPr>
          <w:rFonts w:ascii="MS Gothic"/>
          <w:color w:val="333333"/>
        </w:rPr>
        <w:t>(document("list-users"));</w:t>
      </w:r>
    </w:p>
    <w:p w14:paraId="26AECBC8" w14:textId="77777777" w:rsidR="00A720EB" w:rsidRDefault="0030286B">
      <w:pPr>
        <w:spacing w:before="17"/>
        <w:ind w:left="784"/>
        <w:rPr>
          <w:rFonts w:ascii="MS Gothic"/>
        </w:rPr>
      </w:pPr>
      <w:r>
        <w:rPr>
          <w:rFonts w:ascii="MS Gothic"/>
          <w:color w:val="333333"/>
        </w:rPr>
        <w:t>}</w:t>
      </w:r>
    </w:p>
    <w:p w14:paraId="1ACC72B4" w14:textId="77777777" w:rsidR="00A720EB" w:rsidRDefault="00A720EB">
      <w:pPr>
        <w:pStyle w:val="a3"/>
        <w:rPr>
          <w:rFonts w:ascii="MS Gothic"/>
          <w:sz w:val="24"/>
        </w:rPr>
      </w:pPr>
    </w:p>
    <w:p w14:paraId="30591BF6" w14:textId="77777777" w:rsidR="00A720EB" w:rsidRDefault="0030286B">
      <w:pPr>
        <w:ind w:left="344"/>
        <w:rPr>
          <w:rFonts w:ascii="MS Gothic"/>
        </w:rPr>
      </w:pPr>
      <w:r>
        <w:rPr>
          <w:rFonts w:ascii="MS Gothic"/>
          <w:color w:val="333333"/>
        </w:rPr>
        <w:t>}</w:t>
      </w:r>
    </w:p>
    <w:p w14:paraId="65928B86" w14:textId="77777777" w:rsidR="00A720EB" w:rsidRDefault="00A720EB">
      <w:pPr>
        <w:pStyle w:val="a3"/>
        <w:spacing w:before="12"/>
        <w:rPr>
          <w:rFonts w:ascii="MS Gothic"/>
          <w:sz w:val="28"/>
        </w:rPr>
      </w:pPr>
    </w:p>
    <w:p w14:paraId="41FF87BE" w14:textId="77777777" w:rsidR="00A720EB" w:rsidRDefault="0030286B">
      <w:pPr>
        <w:pStyle w:val="a3"/>
        <w:spacing w:before="125" w:line="295" w:lineRule="auto"/>
        <w:ind w:left="124" w:right="124"/>
        <w:jc w:val="both"/>
      </w:pPr>
      <w:r>
        <w:rPr>
          <w:color w:val="333333"/>
          <w:w w:val="110"/>
        </w:rPr>
        <w:t xml:space="preserve">If you require more control over Spring REST Docs configuration than offered by the attributes of </w:t>
      </w:r>
      <w:r>
        <w:rPr>
          <w:rFonts w:ascii="MS Gothic"/>
          <w:color w:val="B02045"/>
          <w:w w:val="105"/>
        </w:rPr>
        <w:t>@AutoConfigureRestDocs</w:t>
      </w:r>
      <w:r>
        <w:rPr>
          <w:color w:val="333333"/>
          <w:w w:val="105"/>
        </w:rPr>
        <w:t xml:space="preserve">, you can use a </w:t>
      </w:r>
      <w:r>
        <w:rPr>
          <w:rFonts w:ascii="MS Gothic"/>
          <w:color w:val="B02045"/>
          <w:w w:val="105"/>
        </w:rPr>
        <w:t xml:space="preserve">RestDocsMockMvcConfigurationCustomizer </w:t>
      </w:r>
      <w:r>
        <w:rPr>
          <w:color w:val="333333"/>
          <w:w w:val="105"/>
        </w:rPr>
        <w:t xml:space="preserve">bean, as shown in </w:t>
      </w:r>
      <w:r>
        <w:rPr>
          <w:color w:val="333333"/>
          <w:w w:val="110"/>
        </w:rPr>
        <w:t>the following example:</w:t>
      </w:r>
    </w:p>
    <w:p w14:paraId="03076BBA" w14:textId="77777777" w:rsidR="00A720EB" w:rsidRDefault="00E10349">
      <w:pPr>
        <w:pStyle w:val="a3"/>
        <w:spacing w:before="11"/>
        <w:rPr>
          <w:sz w:val="13"/>
        </w:rPr>
      </w:pPr>
      <w:r>
        <w:pict w14:anchorId="21E74D83">
          <v:group id="_x0000_s3542" style="position:absolute;margin-left:47.85pt;margin-top:10.2pt;width:499.55pt;height:170.15pt;z-index:-15313920;mso-wrap-distance-left:0;mso-wrap-distance-right:0;mso-position-horizontal-relative:page" coordorigin="957,204" coordsize="9991,3403">
            <v:shape id="_x0000_s3545" style="position:absolute;left:964;top:211;width:9976;height:3388" coordorigin="965,211" coordsize="9976,3388" path="m10861,211r-9816,l1014,217r-26,18l971,260r-6,31l965,3519r6,31l988,3576r26,17l1045,3599r9816,l10892,3593r25,-17l10935,3550r6,-31l10941,291r-6,-31l10917,235r-25,-18l10861,211xe" fillcolor="#f5f5f5" stroked="f">
              <v:path arrowok="t"/>
            </v:shape>
            <v:shape id="_x0000_s3544" style="position:absolute;left:964;top:211;width:9976;height:3388" coordorigin="965,211" coordsize="9976,3388" path="m1045,211r9816,l10892,217r25,18l10935,260r6,31l10941,3519r-6,31l10917,3576r-25,17l10861,3599r-9816,l1014,3593r-26,-17l971,3550r-6,-31l965,291r6,-31l988,235r26,-18l1045,211xe" filled="f" strokecolor="#ccc">
              <v:path arrowok="t"/>
            </v:shape>
            <v:shape id="_x0000_s3543" type="#_x0000_t202" style="position:absolute;left:984;top:226;width:9938;height:3358" filled="f" stroked="f">
              <v:textbox inset="0,0,0,0">
                <w:txbxContent>
                  <w:p w14:paraId="27162412" w14:textId="77777777" w:rsidR="00711A16" w:rsidRDefault="00711A16">
                    <w:pPr>
                      <w:spacing w:before="221"/>
                      <w:ind w:left="200"/>
                      <w:rPr>
                        <w:rFonts w:ascii="MS Gothic"/>
                      </w:rPr>
                    </w:pPr>
                    <w:r>
                      <w:rPr>
                        <w:rFonts w:ascii="MS Gothic"/>
                        <w:color w:val="333333"/>
                      </w:rPr>
                      <w:t>@TestConfiguration</w:t>
                    </w:r>
                  </w:p>
                  <w:p w14:paraId="17729272" w14:textId="77777777" w:rsidR="00711A16" w:rsidRDefault="00711A16">
                    <w:pPr>
                      <w:spacing w:before="13"/>
                      <w:ind w:left="200"/>
                      <w:rPr>
                        <w:rFonts w:ascii="MS Gothic"/>
                      </w:rPr>
                    </w:pPr>
                    <w:r>
                      <w:rPr>
                        <w:rFonts w:ascii="MS Gothic"/>
                        <w:color w:val="333333"/>
                      </w:rPr>
                      <w:t>static class CustomizationConfiguration</w:t>
                    </w:r>
                  </w:p>
                  <w:p w14:paraId="2168D2F8" w14:textId="77777777" w:rsidR="00711A16" w:rsidRDefault="00711A16">
                    <w:pPr>
                      <w:spacing w:before="13"/>
                      <w:ind w:left="1080"/>
                      <w:rPr>
                        <w:rFonts w:ascii="MS Gothic"/>
                      </w:rPr>
                    </w:pPr>
                    <w:r>
                      <w:rPr>
                        <w:rFonts w:ascii="MS Gothic"/>
                        <w:color w:val="333333"/>
                      </w:rPr>
                      <w:t>implements RestDocsMockMvcConfigurationCustomizer {</w:t>
                    </w:r>
                  </w:p>
                  <w:p w14:paraId="4D72265F" w14:textId="77777777" w:rsidR="00711A16" w:rsidRDefault="00711A16">
                    <w:pPr>
                      <w:rPr>
                        <w:rFonts w:ascii="MS Gothic"/>
                        <w:sz w:val="24"/>
                      </w:rPr>
                    </w:pPr>
                  </w:p>
                  <w:p w14:paraId="2F36DFC8" w14:textId="77777777" w:rsidR="00711A16" w:rsidRDefault="00711A16">
                    <w:pPr>
                      <w:ind w:left="640"/>
                      <w:rPr>
                        <w:rFonts w:ascii="MS Gothic"/>
                      </w:rPr>
                    </w:pPr>
                    <w:r>
                      <w:rPr>
                        <w:rFonts w:ascii="MS Gothic"/>
                        <w:color w:val="333333"/>
                      </w:rPr>
                      <w:t>@Override</w:t>
                    </w:r>
                  </w:p>
                  <w:p w14:paraId="6733CA41" w14:textId="77777777" w:rsidR="00711A16" w:rsidRDefault="00711A16">
                    <w:pPr>
                      <w:spacing w:before="13" w:line="252" w:lineRule="auto"/>
                      <w:ind w:left="1080" w:right="1248" w:hanging="4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MockMvcRestDocumentationConfigurer configurer) { configurer.snippets().withTemplateFormat(TemplateFormats.markdown());</w:t>
                    </w:r>
                  </w:p>
                  <w:p w14:paraId="48E30E35" w14:textId="77777777" w:rsidR="00711A16" w:rsidRDefault="00711A16">
                    <w:pPr>
                      <w:spacing w:line="280" w:lineRule="exact"/>
                      <w:ind w:left="640"/>
                      <w:rPr>
                        <w:rFonts w:ascii="MS Gothic"/>
                      </w:rPr>
                    </w:pPr>
                    <w:r>
                      <w:rPr>
                        <w:rFonts w:ascii="MS Gothic"/>
                        <w:color w:val="333333"/>
                      </w:rPr>
                      <w:t>}</w:t>
                    </w:r>
                  </w:p>
                  <w:p w14:paraId="49A4E4FD" w14:textId="77777777" w:rsidR="00711A16" w:rsidRDefault="00711A16">
                    <w:pPr>
                      <w:rPr>
                        <w:rFonts w:ascii="MS Gothic"/>
                        <w:sz w:val="24"/>
                      </w:rPr>
                    </w:pPr>
                  </w:p>
                  <w:p w14:paraId="55F1A0AA" w14:textId="77777777" w:rsidR="00711A16" w:rsidRDefault="00711A16">
                    <w:pPr>
                      <w:ind w:left="200"/>
                      <w:rPr>
                        <w:rFonts w:ascii="MS Gothic"/>
                      </w:rPr>
                    </w:pPr>
                    <w:r>
                      <w:rPr>
                        <w:rFonts w:ascii="MS Gothic"/>
                        <w:color w:val="333333"/>
                      </w:rPr>
                      <w:t>}</w:t>
                    </w:r>
                  </w:p>
                </w:txbxContent>
              </v:textbox>
            </v:shape>
            <w10:wrap type="topAndBottom" anchorx="page"/>
          </v:group>
        </w:pict>
      </w:r>
    </w:p>
    <w:p w14:paraId="4EBC8108" w14:textId="77777777" w:rsidR="00A720EB" w:rsidRDefault="00A720EB">
      <w:pPr>
        <w:pStyle w:val="a3"/>
        <w:rPr>
          <w:sz w:val="10"/>
        </w:rPr>
      </w:pPr>
    </w:p>
    <w:p w14:paraId="30AEEE2B" w14:textId="77777777" w:rsidR="00A720EB" w:rsidRDefault="0030286B">
      <w:pPr>
        <w:pStyle w:val="a3"/>
        <w:spacing w:before="125" w:line="288" w:lineRule="auto"/>
        <w:ind w:left="124" w:right="123"/>
        <w:jc w:val="both"/>
      </w:pPr>
      <w:r>
        <w:rPr>
          <w:color w:val="333333"/>
          <w:w w:val="110"/>
        </w:rPr>
        <w:t xml:space="preserve">If you want to make use of Spring REST Docs support for a parameterized output </w:t>
      </w:r>
      <w:r>
        <w:rPr>
          <w:color w:val="333333"/>
          <w:spacing w:val="-3"/>
          <w:w w:val="110"/>
        </w:rPr>
        <w:t xml:space="preserve">directory, </w:t>
      </w:r>
      <w:r>
        <w:rPr>
          <w:color w:val="333333"/>
          <w:w w:val="110"/>
        </w:rPr>
        <w:t>you can create</w:t>
      </w:r>
      <w:r>
        <w:rPr>
          <w:color w:val="333333"/>
          <w:spacing w:val="-26"/>
          <w:w w:val="110"/>
        </w:rPr>
        <w:t xml:space="preserve"> </w:t>
      </w:r>
      <w:r>
        <w:rPr>
          <w:color w:val="333333"/>
          <w:w w:val="110"/>
        </w:rPr>
        <w:t>a</w:t>
      </w:r>
      <w:r>
        <w:rPr>
          <w:color w:val="333333"/>
          <w:spacing w:val="-25"/>
          <w:w w:val="110"/>
        </w:rPr>
        <w:t xml:space="preserve"> </w:t>
      </w:r>
      <w:r>
        <w:rPr>
          <w:rFonts w:ascii="MS Gothic"/>
          <w:color w:val="B02045"/>
          <w:w w:val="110"/>
        </w:rPr>
        <w:t>RestDocumentationResultHandler</w:t>
      </w:r>
      <w:r>
        <w:rPr>
          <w:rFonts w:ascii="MS Gothic"/>
          <w:color w:val="B02045"/>
          <w:spacing w:val="-90"/>
          <w:w w:val="110"/>
        </w:rPr>
        <w:t xml:space="preserve"> </w:t>
      </w:r>
      <w:r>
        <w:rPr>
          <w:color w:val="333333"/>
          <w:w w:val="110"/>
        </w:rPr>
        <w:t>bean.</w:t>
      </w:r>
      <w:r>
        <w:rPr>
          <w:color w:val="333333"/>
          <w:spacing w:val="-25"/>
          <w:w w:val="110"/>
        </w:rPr>
        <w:t xml:space="preserve"> </w:t>
      </w:r>
      <w:r>
        <w:rPr>
          <w:color w:val="333333"/>
          <w:w w:val="110"/>
        </w:rPr>
        <w:t>The</w:t>
      </w:r>
      <w:r>
        <w:rPr>
          <w:color w:val="333333"/>
          <w:spacing w:val="-25"/>
          <w:w w:val="110"/>
        </w:rPr>
        <w:t xml:space="preserve"> </w:t>
      </w:r>
      <w:r>
        <w:rPr>
          <w:color w:val="333333"/>
          <w:w w:val="110"/>
        </w:rPr>
        <w:t>auto-configuration</w:t>
      </w:r>
      <w:r>
        <w:rPr>
          <w:color w:val="333333"/>
          <w:spacing w:val="-25"/>
          <w:w w:val="110"/>
        </w:rPr>
        <w:t xml:space="preserve"> </w:t>
      </w:r>
      <w:r>
        <w:rPr>
          <w:color w:val="333333"/>
          <w:w w:val="110"/>
        </w:rPr>
        <w:t>calls</w:t>
      </w:r>
      <w:r>
        <w:rPr>
          <w:color w:val="333333"/>
          <w:spacing w:val="-23"/>
          <w:w w:val="110"/>
        </w:rPr>
        <w:t xml:space="preserve"> </w:t>
      </w:r>
      <w:r>
        <w:rPr>
          <w:rFonts w:ascii="MS Gothic"/>
          <w:color w:val="B02045"/>
          <w:w w:val="110"/>
        </w:rPr>
        <w:t>alwaysDo</w:t>
      </w:r>
      <w:r>
        <w:rPr>
          <w:rFonts w:ascii="MS Gothic"/>
          <w:color w:val="B02045"/>
          <w:spacing w:val="-90"/>
          <w:w w:val="110"/>
        </w:rPr>
        <w:t xml:space="preserve"> </w:t>
      </w:r>
      <w:r>
        <w:rPr>
          <w:color w:val="333333"/>
          <w:w w:val="110"/>
        </w:rPr>
        <w:t>with</w:t>
      </w:r>
      <w:r>
        <w:rPr>
          <w:color w:val="333333"/>
          <w:spacing w:val="-25"/>
          <w:w w:val="110"/>
        </w:rPr>
        <w:t xml:space="preserve"> </w:t>
      </w:r>
      <w:r>
        <w:rPr>
          <w:color w:val="333333"/>
          <w:w w:val="110"/>
        </w:rPr>
        <w:t>this</w:t>
      </w:r>
      <w:r>
        <w:rPr>
          <w:color w:val="333333"/>
          <w:spacing w:val="-25"/>
          <w:w w:val="110"/>
        </w:rPr>
        <w:t xml:space="preserve"> </w:t>
      </w:r>
      <w:r>
        <w:rPr>
          <w:color w:val="333333"/>
          <w:w w:val="110"/>
        </w:rPr>
        <w:t xml:space="preserve">result handler, thereby causing each </w:t>
      </w:r>
      <w:r>
        <w:rPr>
          <w:rFonts w:ascii="MS Gothic"/>
          <w:color w:val="B02045"/>
          <w:w w:val="110"/>
        </w:rPr>
        <w:t xml:space="preserve">MockMvc </w:t>
      </w:r>
      <w:r>
        <w:rPr>
          <w:color w:val="333333"/>
          <w:w w:val="110"/>
        </w:rPr>
        <w:t xml:space="preserve">call to automatically generate the default snippets. The following example shows a </w:t>
      </w:r>
      <w:r>
        <w:rPr>
          <w:rFonts w:ascii="MS Gothic"/>
          <w:color w:val="B02045"/>
          <w:w w:val="110"/>
        </w:rPr>
        <w:t>RestDocumentationResultHandler</w:t>
      </w:r>
      <w:r>
        <w:rPr>
          <w:rFonts w:ascii="MS Gothic"/>
          <w:color w:val="B02045"/>
          <w:spacing w:val="-77"/>
          <w:w w:val="110"/>
        </w:rPr>
        <w:t xml:space="preserve"> </w:t>
      </w:r>
      <w:r>
        <w:rPr>
          <w:color w:val="333333"/>
          <w:w w:val="110"/>
        </w:rPr>
        <w:t>being defined:</w:t>
      </w:r>
    </w:p>
    <w:p w14:paraId="41F3C56E" w14:textId="77777777" w:rsidR="00A720EB" w:rsidRDefault="00A720EB">
      <w:pPr>
        <w:spacing w:line="288" w:lineRule="auto"/>
        <w:jc w:val="both"/>
        <w:sectPr w:rsidR="00A720EB">
          <w:pgSz w:w="11910" w:h="16840"/>
          <w:pgMar w:top="700" w:right="840" w:bottom="520" w:left="840" w:header="0" w:footer="323" w:gutter="0"/>
          <w:cols w:space="720"/>
        </w:sectPr>
      </w:pPr>
    </w:p>
    <w:p w14:paraId="3FE9F6AF" w14:textId="77777777" w:rsidR="00A720EB" w:rsidRDefault="00E10349">
      <w:pPr>
        <w:pStyle w:val="a3"/>
        <w:ind w:left="116"/>
        <w:rPr>
          <w:sz w:val="20"/>
        </w:rPr>
      </w:pPr>
      <w:r>
        <w:rPr>
          <w:sz w:val="20"/>
        </w:rPr>
      </w:r>
      <w:r>
        <w:rPr>
          <w:sz w:val="20"/>
        </w:rPr>
        <w:pict w14:anchorId="195C22C7">
          <v:group id="_x0000_s3538" style="width:499.55pt;height:155.45pt;mso-position-horizontal-relative:char;mso-position-vertical-relative:line" coordsize="9991,3109">
            <v:shape id="_x0000_s3541" style="position:absolute;left:7;top:7;width:9976;height:3094" coordorigin="8,8" coordsize="9976,3094" path="m9904,8l88,8,56,14,31,31,14,56,8,88r,2933l14,3052r17,25l56,3094r32,7l9904,3101r31,-7l9960,3077r17,-25l9984,3021r,-2933l9977,56,9960,31,9935,14,9904,8xe" fillcolor="#f5f5f5" stroked="f">
              <v:path arrowok="t"/>
            </v:shape>
            <v:shape id="_x0000_s3540" style="position:absolute;left:7;top:7;width:9976;height:3094" coordorigin="8,8" coordsize="9976,3094" path="m88,8r9816,l9935,14r25,17l9977,56r7,32l9984,3021r-7,31l9960,3077r-25,17l9904,3101r-9816,l56,3094,31,3077,14,3052,8,3021,8,88,14,56,31,31,56,14,88,8xe" filled="f" strokecolor="#ccc">
              <v:path arrowok="t"/>
            </v:shape>
            <v:shape id="_x0000_s3539" type="#_x0000_t202" style="position:absolute;left:26;top:22;width:9938;height:3063" filled="f" stroked="f">
              <v:textbox inset="0,0,0,0">
                <w:txbxContent>
                  <w:p w14:paraId="6888AB9C" w14:textId="77777777" w:rsidR="00711A16" w:rsidRDefault="00711A16">
                    <w:pPr>
                      <w:spacing w:before="221" w:line="252" w:lineRule="auto"/>
                      <w:ind w:left="200" w:right="4878"/>
                      <w:rPr>
                        <w:rFonts w:ascii="MS Gothic"/>
                      </w:rPr>
                    </w:pPr>
                    <w:r>
                      <w:rPr>
                        <w:rFonts w:ascii="MS Gothic"/>
                        <w:color w:val="333333"/>
                      </w:rPr>
                      <w:t>@</w:t>
                    </w:r>
                    <w:proofErr w:type="gramStart"/>
                    <w:r>
                      <w:rPr>
                        <w:rFonts w:ascii="MS Gothic"/>
                        <w:color w:val="333333"/>
                      </w:rPr>
                      <w:t>TestConfiguration(</w:t>
                    </w:r>
                    <w:proofErr w:type="gramEnd"/>
                    <w:r>
                      <w:rPr>
                        <w:rFonts w:ascii="MS Gothic"/>
                        <w:color w:val="333333"/>
                      </w:rPr>
                      <w:t>proxyBeanMethods = false) static class ResultHandlerConfiguration {</w:t>
                    </w:r>
                  </w:p>
                  <w:p w14:paraId="5E2C7A7A" w14:textId="77777777" w:rsidR="00711A16" w:rsidRDefault="00711A16">
                    <w:pPr>
                      <w:spacing w:before="10"/>
                      <w:rPr>
                        <w:rFonts w:ascii="MS Gothic"/>
                      </w:rPr>
                    </w:pPr>
                  </w:p>
                  <w:p w14:paraId="6B638F5B" w14:textId="77777777" w:rsidR="00711A16" w:rsidRDefault="00711A16">
                    <w:pPr>
                      <w:ind w:left="640"/>
                      <w:rPr>
                        <w:rFonts w:ascii="MS Gothic"/>
                      </w:rPr>
                    </w:pPr>
                    <w:r>
                      <w:rPr>
                        <w:rFonts w:ascii="MS Gothic"/>
                        <w:color w:val="333333"/>
                      </w:rPr>
                      <w:t>@Bean</w:t>
                    </w:r>
                  </w:p>
                  <w:p w14:paraId="657F8B9E" w14:textId="77777777" w:rsidR="00711A16" w:rsidRDefault="00711A16">
                    <w:pPr>
                      <w:spacing w:before="13" w:line="252" w:lineRule="auto"/>
                      <w:ind w:left="1080" w:right="2458" w:hanging="440"/>
                      <w:rPr>
                        <w:rFonts w:ascii="MS Gothic"/>
                      </w:rPr>
                    </w:pPr>
                    <w:r>
                      <w:rPr>
                        <w:rFonts w:ascii="MS Gothic"/>
                        <w:color w:val="333333"/>
                      </w:rPr>
                      <w:t xml:space="preserve">public RestDocumentationResultHandler </w:t>
                    </w:r>
                    <w:proofErr w:type="gramStart"/>
                    <w:r>
                      <w:rPr>
                        <w:rFonts w:ascii="MS Gothic"/>
                        <w:color w:val="333333"/>
                      </w:rPr>
                      <w:t>restDocumentation(</w:t>
                    </w:r>
                    <w:proofErr w:type="gramEnd"/>
                    <w:r>
                      <w:rPr>
                        <w:rFonts w:ascii="MS Gothic"/>
                        <w:color w:val="333333"/>
                      </w:rPr>
                      <w:t>) { return MockMvcRestDocumentation.document("{method-name}");</w:t>
                    </w:r>
                  </w:p>
                  <w:p w14:paraId="691C2C73" w14:textId="77777777" w:rsidR="00711A16" w:rsidRDefault="00711A16">
                    <w:pPr>
                      <w:spacing w:line="280" w:lineRule="exact"/>
                      <w:ind w:left="640"/>
                      <w:rPr>
                        <w:rFonts w:ascii="MS Gothic"/>
                      </w:rPr>
                    </w:pPr>
                    <w:r>
                      <w:rPr>
                        <w:rFonts w:ascii="MS Gothic"/>
                        <w:color w:val="333333"/>
                      </w:rPr>
                      <w:t>}</w:t>
                    </w:r>
                  </w:p>
                  <w:p w14:paraId="78E221DF" w14:textId="77777777" w:rsidR="00711A16" w:rsidRDefault="00711A16">
                    <w:pPr>
                      <w:rPr>
                        <w:rFonts w:ascii="MS Gothic"/>
                        <w:sz w:val="24"/>
                      </w:rPr>
                    </w:pPr>
                  </w:p>
                  <w:p w14:paraId="163A7002" w14:textId="77777777" w:rsidR="00711A16" w:rsidRDefault="00711A16">
                    <w:pPr>
                      <w:ind w:left="200"/>
                      <w:rPr>
                        <w:rFonts w:ascii="MS Gothic"/>
                      </w:rPr>
                    </w:pPr>
                    <w:r>
                      <w:rPr>
                        <w:rFonts w:ascii="MS Gothic"/>
                        <w:color w:val="333333"/>
                      </w:rPr>
                      <w:t>}</w:t>
                    </w:r>
                  </w:p>
                </w:txbxContent>
              </v:textbox>
            </v:shape>
            <w10:anchorlock/>
          </v:group>
        </w:pict>
      </w:r>
    </w:p>
    <w:p w14:paraId="0DA97CBB" w14:textId="77777777" w:rsidR="00A720EB" w:rsidRDefault="00A720EB">
      <w:pPr>
        <w:pStyle w:val="a3"/>
        <w:spacing w:before="3"/>
        <w:rPr>
          <w:sz w:val="16"/>
        </w:rPr>
      </w:pPr>
    </w:p>
    <w:p w14:paraId="3A22CDA7" w14:textId="77777777" w:rsidR="00A720EB" w:rsidRDefault="0030286B">
      <w:pPr>
        <w:spacing w:before="104"/>
        <w:ind w:left="124"/>
        <w:jc w:val="both"/>
        <w:rPr>
          <w:rFonts w:ascii="Palatino Linotype"/>
          <w:b/>
          <w:sz w:val="18"/>
        </w:rPr>
      </w:pPr>
      <w:r>
        <w:rPr>
          <w:rFonts w:ascii="Palatino Linotype"/>
          <w:b/>
          <w:color w:val="333333"/>
          <w:w w:val="110"/>
          <w:sz w:val="18"/>
        </w:rPr>
        <w:t>Auto-configured Spring REST Docs Tests with WebTestClient</w:t>
      </w:r>
    </w:p>
    <w:p w14:paraId="64385097" w14:textId="77777777" w:rsidR="00A720EB" w:rsidRDefault="00A720EB">
      <w:pPr>
        <w:pStyle w:val="a3"/>
        <w:spacing w:before="1"/>
        <w:rPr>
          <w:rFonts w:ascii="Palatino Linotype"/>
          <w:b/>
          <w:sz w:val="18"/>
        </w:rPr>
      </w:pPr>
    </w:p>
    <w:p w14:paraId="5F789149" w14:textId="77777777" w:rsidR="00A720EB" w:rsidRDefault="0030286B">
      <w:pPr>
        <w:pStyle w:val="a3"/>
        <w:spacing w:line="280" w:lineRule="auto"/>
        <w:ind w:left="124" w:right="125"/>
        <w:jc w:val="both"/>
      </w:pPr>
      <w:r>
        <w:rPr>
          <w:rFonts w:ascii="MS Gothic"/>
          <w:color w:val="B02045"/>
          <w:w w:val="110"/>
        </w:rPr>
        <w:t>@AutoConfigureRestDocs</w:t>
      </w:r>
      <w:r>
        <w:rPr>
          <w:rFonts w:ascii="MS Gothic"/>
          <w:color w:val="B02045"/>
          <w:spacing w:val="-86"/>
          <w:w w:val="110"/>
        </w:rPr>
        <w:t xml:space="preserve"> </w:t>
      </w:r>
      <w:r>
        <w:rPr>
          <w:color w:val="333333"/>
          <w:w w:val="110"/>
        </w:rPr>
        <w:t>can</w:t>
      </w:r>
      <w:r>
        <w:rPr>
          <w:color w:val="333333"/>
          <w:spacing w:val="-21"/>
          <w:w w:val="110"/>
        </w:rPr>
        <w:t xml:space="preserve"> </w:t>
      </w:r>
      <w:r>
        <w:rPr>
          <w:color w:val="333333"/>
          <w:w w:val="110"/>
        </w:rPr>
        <w:t>also</w:t>
      </w:r>
      <w:r>
        <w:rPr>
          <w:color w:val="333333"/>
          <w:spacing w:val="-21"/>
          <w:w w:val="110"/>
        </w:rPr>
        <w:t xml:space="preserve"> </w:t>
      </w:r>
      <w:r>
        <w:rPr>
          <w:color w:val="333333"/>
          <w:w w:val="110"/>
        </w:rPr>
        <w:t>be</w:t>
      </w:r>
      <w:r>
        <w:rPr>
          <w:color w:val="333333"/>
          <w:spacing w:val="-21"/>
          <w:w w:val="110"/>
        </w:rPr>
        <w:t xml:space="preserve"> </w:t>
      </w:r>
      <w:r>
        <w:rPr>
          <w:color w:val="333333"/>
          <w:w w:val="110"/>
        </w:rPr>
        <w:t>used</w:t>
      </w:r>
      <w:r>
        <w:rPr>
          <w:color w:val="333333"/>
          <w:spacing w:val="-21"/>
          <w:w w:val="110"/>
        </w:rPr>
        <w:t xml:space="preserve"> </w:t>
      </w:r>
      <w:r>
        <w:rPr>
          <w:color w:val="333333"/>
          <w:w w:val="110"/>
        </w:rPr>
        <w:t>with</w:t>
      </w:r>
      <w:r>
        <w:rPr>
          <w:color w:val="333333"/>
          <w:spacing w:val="-19"/>
          <w:w w:val="110"/>
        </w:rPr>
        <w:t xml:space="preserve"> </w:t>
      </w:r>
      <w:r>
        <w:rPr>
          <w:rFonts w:ascii="MS Gothic"/>
          <w:color w:val="B02045"/>
          <w:w w:val="110"/>
        </w:rPr>
        <w:t>WebTestClient</w:t>
      </w:r>
      <w:r>
        <w:rPr>
          <w:rFonts w:ascii="MS Gothic"/>
          <w:color w:val="B02045"/>
          <w:spacing w:val="-86"/>
          <w:w w:val="110"/>
        </w:rPr>
        <w:t xml:space="preserve"> </w:t>
      </w:r>
      <w:r>
        <w:rPr>
          <w:color w:val="333333"/>
          <w:w w:val="110"/>
        </w:rPr>
        <w:t>when</w:t>
      </w:r>
      <w:r>
        <w:rPr>
          <w:color w:val="333333"/>
          <w:spacing w:val="-21"/>
          <w:w w:val="110"/>
        </w:rPr>
        <w:t xml:space="preserve"> </w:t>
      </w:r>
      <w:r>
        <w:rPr>
          <w:color w:val="333333"/>
          <w:w w:val="110"/>
        </w:rPr>
        <w:t>testing</w:t>
      </w:r>
      <w:r>
        <w:rPr>
          <w:color w:val="333333"/>
          <w:spacing w:val="-20"/>
          <w:w w:val="110"/>
        </w:rPr>
        <w:t xml:space="preserve"> </w:t>
      </w:r>
      <w:r>
        <w:rPr>
          <w:color w:val="333333"/>
          <w:w w:val="110"/>
        </w:rPr>
        <w:t>reactive</w:t>
      </w:r>
      <w:r>
        <w:rPr>
          <w:color w:val="333333"/>
          <w:spacing w:val="-21"/>
          <w:w w:val="110"/>
        </w:rPr>
        <w:t xml:space="preserve"> </w:t>
      </w:r>
      <w:r>
        <w:rPr>
          <w:color w:val="333333"/>
          <w:w w:val="110"/>
        </w:rPr>
        <w:t>web</w:t>
      </w:r>
      <w:r>
        <w:rPr>
          <w:color w:val="333333"/>
          <w:spacing w:val="-21"/>
          <w:w w:val="110"/>
        </w:rPr>
        <w:t xml:space="preserve"> </w:t>
      </w:r>
      <w:r>
        <w:rPr>
          <w:color w:val="333333"/>
          <w:w w:val="110"/>
        </w:rPr>
        <w:t xml:space="preserve">applications. </w:t>
      </w:r>
      <w:r>
        <w:rPr>
          <w:color w:val="333333"/>
          <w:spacing w:val="-6"/>
          <w:w w:val="110"/>
        </w:rPr>
        <w:t xml:space="preserve">You </w:t>
      </w:r>
      <w:r>
        <w:rPr>
          <w:color w:val="333333"/>
          <w:w w:val="110"/>
        </w:rPr>
        <w:t xml:space="preserve">can inject it </w:t>
      </w:r>
      <w:r>
        <w:rPr>
          <w:color w:val="333333"/>
          <w:spacing w:val="-3"/>
          <w:w w:val="110"/>
        </w:rPr>
        <w:t xml:space="preserve">by </w:t>
      </w:r>
      <w:r>
        <w:rPr>
          <w:color w:val="333333"/>
          <w:w w:val="110"/>
        </w:rPr>
        <w:t xml:space="preserve">using </w:t>
      </w:r>
      <w:r>
        <w:rPr>
          <w:rFonts w:ascii="MS Gothic"/>
          <w:color w:val="B02045"/>
          <w:w w:val="110"/>
        </w:rPr>
        <w:t xml:space="preserve">@Autowired </w:t>
      </w:r>
      <w:r>
        <w:rPr>
          <w:color w:val="333333"/>
          <w:w w:val="110"/>
        </w:rPr>
        <w:t xml:space="preserve">and use it in your tests as you normally would when </w:t>
      </w:r>
      <w:proofErr w:type="gramStart"/>
      <w:r>
        <w:rPr>
          <w:color w:val="333333"/>
          <w:w w:val="110"/>
        </w:rPr>
        <w:t xml:space="preserve">using  </w:t>
      </w:r>
      <w:r>
        <w:rPr>
          <w:rFonts w:ascii="MS Gothic"/>
          <w:color w:val="B02045"/>
          <w:w w:val="110"/>
        </w:rPr>
        <w:t>@</w:t>
      </w:r>
      <w:proofErr w:type="gramEnd"/>
      <w:r>
        <w:rPr>
          <w:rFonts w:ascii="MS Gothic"/>
          <w:color w:val="B02045"/>
          <w:w w:val="110"/>
        </w:rPr>
        <w:t>WebFluxTest</w:t>
      </w:r>
      <w:r>
        <w:rPr>
          <w:rFonts w:ascii="MS Gothic"/>
          <w:color w:val="B02045"/>
          <w:spacing w:val="-52"/>
          <w:w w:val="110"/>
        </w:rPr>
        <w:t xml:space="preserve"> </w:t>
      </w:r>
      <w:r>
        <w:rPr>
          <w:color w:val="333333"/>
          <w:w w:val="110"/>
        </w:rPr>
        <w:t>and Spring REST Docs, as shown in the following example:</w:t>
      </w:r>
    </w:p>
    <w:p w14:paraId="2F6A94F5" w14:textId="77777777" w:rsidR="00A720EB" w:rsidRDefault="00E10349">
      <w:pPr>
        <w:pStyle w:val="a3"/>
        <w:spacing w:before="2"/>
        <w:rPr>
          <w:sz w:val="14"/>
        </w:rPr>
      </w:pPr>
      <w:r>
        <w:pict w14:anchorId="7EAEFEC9">
          <v:group id="_x0000_s3534" style="position:absolute;margin-left:47.85pt;margin-top:10.3pt;width:499.55pt;height:391.25pt;z-index:-15312384;mso-wrap-distance-left:0;mso-wrap-distance-right:0;mso-position-horizontal-relative:page" coordorigin="957,206" coordsize="9991,7825">
            <v:shape id="_x0000_s3537" style="position:absolute;left:964;top:213;width:9976;height:7810" coordorigin="965,213" coordsize="9976,7810" path="m10861,213r-9816,l1014,220r-26,17l971,262r-6,31l965,7943r6,31l988,8000r26,17l1045,8023r9816,l10892,8017r25,-17l10935,7974r6,-31l10941,293r-6,-31l10917,237r-25,-17l10861,213xe" fillcolor="#f5f5f5" stroked="f">
              <v:path arrowok="t"/>
            </v:shape>
            <v:shape id="_x0000_s3536" style="position:absolute;left:964;top:213;width:9976;height:7810" coordorigin="965,213" coordsize="9976,7810" path="m1045,213r9816,l10892,220r25,17l10935,262r6,31l10941,7943r-6,31l10917,8000r-25,17l10861,8023r-9816,l1014,8017r-26,-17l971,7974r-6,-31l965,293r6,-31l988,237r26,-17l1045,213xe" filled="f" strokecolor="#ccc">
              <v:path arrowok="t"/>
            </v:shape>
            <v:shape id="_x0000_s3535" type="#_x0000_t202" style="position:absolute;left:984;top:228;width:9938;height:7780" filled="f" stroked="f">
              <v:textbox inset="0,0,0,0">
                <w:txbxContent>
                  <w:p w14:paraId="0947DF90"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org.junit.jupiter.api.Test</w:t>
                    </w:r>
                    <w:proofErr w:type="gramEnd"/>
                    <w:r>
                      <w:rPr>
                        <w:rFonts w:ascii="MS Gothic"/>
                        <w:color w:val="333333"/>
                      </w:rPr>
                      <w:t>;</w:t>
                    </w:r>
                  </w:p>
                  <w:p w14:paraId="25583BA8" w14:textId="77777777" w:rsidR="00711A16" w:rsidRDefault="00711A16">
                    <w:pPr>
                      <w:rPr>
                        <w:rFonts w:ascii="MS Gothic"/>
                        <w:sz w:val="24"/>
                      </w:rPr>
                    </w:pPr>
                  </w:p>
                  <w:p w14:paraId="44F5532E" w14:textId="77777777" w:rsidR="00711A16" w:rsidRDefault="00711A16">
                    <w:pPr>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1284D991" w14:textId="77777777" w:rsidR="00711A16" w:rsidRDefault="00711A16">
                    <w:pPr>
                      <w:spacing w:before="13" w:line="252" w:lineRule="auto"/>
                      <w:ind w:left="200" w:right="714"/>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.boot.test.autoconfigure.restdocs.AutoConfigureRestDocs; import org.springframework.boot.test.autoconfigure.web.reactive.WebFluxTest; import org.springframework.test.web.reactive.server.WebTestClient;</w:t>
                    </w:r>
                  </w:p>
                  <w:p w14:paraId="0D9B3897" w14:textId="77777777" w:rsidR="00711A16" w:rsidRDefault="00711A16">
                    <w:pPr>
                      <w:spacing w:before="9"/>
                      <w:rPr>
                        <w:rFonts w:ascii="MS Gothic"/>
                      </w:rPr>
                    </w:pPr>
                  </w:p>
                  <w:p w14:paraId="16D6B314" w14:textId="77777777" w:rsidR="00711A16" w:rsidRDefault="00711A16">
                    <w:pPr>
                      <w:spacing w:line="252" w:lineRule="auto"/>
                      <w:ind w:left="200" w:right="588"/>
                      <w:rPr>
                        <w:rFonts w:ascii="MS Gothic"/>
                      </w:rPr>
                    </w:pPr>
                    <w:r>
                      <w:rPr>
                        <w:rFonts w:ascii="MS Gothic"/>
                        <w:color w:val="333333"/>
                      </w:rPr>
                      <w:t xml:space="preserve">import static </w:t>
                    </w:r>
                    <w:proofErr w:type="gramStart"/>
                    <w:r>
                      <w:rPr>
                        <w:rFonts w:ascii="MS Gothic"/>
                        <w:color w:val="333333"/>
                      </w:rPr>
                      <w:t>org.springframework</w:t>
                    </w:r>
                    <w:proofErr w:type="gramEnd"/>
                    <w:r>
                      <w:rPr>
                        <w:rFonts w:ascii="MS Gothic"/>
                        <w:color w:val="333333"/>
                      </w:rPr>
                      <w:t>.restdocs.webtestclient.WebTestClientRestDocumentation.document;</w:t>
                    </w:r>
                  </w:p>
                  <w:p w14:paraId="45A0BEE9" w14:textId="77777777" w:rsidR="00711A16" w:rsidRDefault="00711A16">
                    <w:pPr>
                      <w:spacing w:before="11"/>
                      <w:rPr>
                        <w:rFonts w:ascii="MS Gothic"/>
                      </w:rPr>
                    </w:pPr>
                  </w:p>
                  <w:p w14:paraId="42C8D6C6" w14:textId="77777777" w:rsidR="00711A16" w:rsidRDefault="00711A16">
                    <w:pPr>
                      <w:spacing w:line="252" w:lineRule="auto"/>
                      <w:ind w:left="200" w:right="7298"/>
                      <w:rPr>
                        <w:rFonts w:ascii="MS Gothic"/>
                      </w:rPr>
                    </w:pPr>
                    <w:r>
                      <w:rPr>
                        <w:rFonts w:ascii="MS Gothic"/>
                        <w:color w:val="333333"/>
                      </w:rPr>
                      <w:t>@WebFluxTest @AutoConfigureRestDocs</w:t>
                    </w:r>
                  </w:p>
                  <w:p w14:paraId="2DE43383" w14:textId="77777777" w:rsidR="00711A16" w:rsidRDefault="00711A16">
                    <w:pPr>
                      <w:spacing w:line="280" w:lineRule="exact"/>
                      <w:ind w:left="200"/>
                      <w:rPr>
                        <w:rFonts w:ascii="MS Gothic"/>
                      </w:rPr>
                    </w:pPr>
                    <w:r>
                      <w:rPr>
                        <w:rFonts w:ascii="MS Gothic"/>
                        <w:color w:val="333333"/>
                      </w:rPr>
                      <w:t>class UsersDocumentationTests {</w:t>
                    </w:r>
                  </w:p>
                  <w:p w14:paraId="2698EA4E" w14:textId="77777777" w:rsidR="00711A16" w:rsidRDefault="00711A16">
                    <w:pPr>
                      <w:rPr>
                        <w:rFonts w:ascii="MS Gothic"/>
                        <w:sz w:val="24"/>
                      </w:rPr>
                    </w:pPr>
                  </w:p>
                  <w:p w14:paraId="53617146" w14:textId="77777777" w:rsidR="00711A16" w:rsidRDefault="00711A16">
                    <w:pPr>
                      <w:ind w:left="640"/>
                      <w:rPr>
                        <w:rFonts w:ascii="MS Gothic"/>
                      </w:rPr>
                    </w:pPr>
                    <w:r>
                      <w:rPr>
                        <w:rFonts w:ascii="MS Gothic"/>
                        <w:color w:val="333333"/>
                      </w:rPr>
                      <w:t>@Autowired</w:t>
                    </w:r>
                  </w:p>
                  <w:p w14:paraId="5C437A72" w14:textId="77777777" w:rsidR="00711A16" w:rsidRDefault="00711A16">
                    <w:pPr>
                      <w:spacing w:before="13"/>
                      <w:ind w:left="640"/>
                      <w:rPr>
                        <w:rFonts w:ascii="MS Gothic"/>
                      </w:rPr>
                    </w:pPr>
                    <w:r>
                      <w:rPr>
                        <w:rFonts w:ascii="MS Gothic"/>
                        <w:color w:val="333333"/>
                      </w:rPr>
                      <w:t>private WebTestClient webTestClient;</w:t>
                    </w:r>
                  </w:p>
                  <w:p w14:paraId="23BD5676" w14:textId="77777777" w:rsidR="00711A16" w:rsidRDefault="00711A16">
                    <w:pPr>
                      <w:rPr>
                        <w:rFonts w:ascii="MS Gothic"/>
                        <w:sz w:val="24"/>
                      </w:rPr>
                    </w:pPr>
                  </w:p>
                  <w:p w14:paraId="31AAA7B0" w14:textId="77777777" w:rsidR="00711A16" w:rsidRDefault="00711A16">
                    <w:pPr>
                      <w:ind w:left="640"/>
                      <w:rPr>
                        <w:rFonts w:ascii="MS Gothic"/>
                      </w:rPr>
                    </w:pPr>
                    <w:r>
                      <w:rPr>
                        <w:rFonts w:ascii="MS Gothic"/>
                        <w:color w:val="333333"/>
                      </w:rPr>
                      <w:t>@Test</w:t>
                    </w:r>
                  </w:p>
                  <w:p w14:paraId="7AEFD4F7" w14:textId="77777777" w:rsidR="00711A16" w:rsidRDefault="00711A16">
                    <w:pPr>
                      <w:spacing w:before="13"/>
                      <w:ind w:left="640"/>
                      <w:rPr>
                        <w:rFonts w:ascii="MS Gothic"/>
                      </w:rPr>
                    </w:pPr>
                    <w:r>
                      <w:rPr>
                        <w:rFonts w:ascii="MS Gothic"/>
                        <w:color w:val="333333"/>
                      </w:rPr>
                      <w:t xml:space="preserve">void </w:t>
                    </w:r>
                    <w:proofErr w:type="gramStart"/>
                    <w:r>
                      <w:rPr>
                        <w:rFonts w:ascii="MS Gothic"/>
                        <w:color w:val="333333"/>
                      </w:rPr>
                      <w:t>listUsers(</w:t>
                    </w:r>
                    <w:proofErr w:type="gramEnd"/>
                    <w:r>
                      <w:rPr>
                        <w:rFonts w:ascii="MS Gothic"/>
                        <w:color w:val="333333"/>
                      </w:rPr>
                      <w:t>) {</w:t>
                    </w:r>
                  </w:p>
                  <w:p w14:paraId="5DC9F340" w14:textId="77777777" w:rsidR="00711A16" w:rsidRDefault="00711A16">
                    <w:pPr>
                      <w:rPr>
                        <w:rFonts w:ascii="MS Gothic"/>
                        <w:sz w:val="24"/>
                      </w:rPr>
                    </w:pPr>
                  </w:p>
                  <w:p w14:paraId="2785D144" w14:textId="77777777" w:rsidR="00711A16" w:rsidRDefault="00711A16">
                    <w:pPr>
                      <w:ind w:left="200"/>
                      <w:rPr>
                        <w:rFonts w:ascii="MS Gothic"/>
                      </w:rPr>
                    </w:pPr>
                    <w:r>
                      <w:rPr>
                        <w:rFonts w:ascii="MS Gothic"/>
                        <w:color w:val="333333"/>
                      </w:rPr>
                      <w:t>this.webTestClient.get(</w:t>
                    </w:r>
                    <w:proofErr w:type="gramStart"/>
                    <w:r>
                      <w:rPr>
                        <w:rFonts w:ascii="MS Gothic"/>
                        <w:color w:val="333333"/>
                      </w:rPr>
                      <w:t>).uri</w:t>
                    </w:r>
                    <w:proofErr w:type="gramEnd"/>
                    <w:r>
                      <w:rPr>
                        <w:rFonts w:ascii="MS Gothic"/>
                        <w:color w:val="333333"/>
                      </w:rPr>
                      <w:t>("/").exchange().expectStatus().isOk().expectBody()</w:t>
                    </w:r>
                  </w:p>
                  <w:p w14:paraId="53B9F093" w14:textId="77777777" w:rsidR="00711A16" w:rsidRDefault="00711A16">
                    <w:pPr>
                      <w:spacing w:before="13"/>
                      <w:ind w:left="1960"/>
                      <w:rPr>
                        <w:rFonts w:ascii="MS Gothic"/>
                      </w:rPr>
                    </w:pPr>
                    <w:proofErr w:type="gramStart"/>
                    <w:r>
                      <w:rPr>
                        <w:rFonts w:ascii="MS Gothic"/>
                        <w:color w:val="333333"/>
                      </w:rPr>
                      <w:t>.consumeWith</w:t>
                    </w:r>
                    <w:proofErr w:type="gramEnd"/>
                    <w:r>
                      <w:rPr>
                        <w:rFonts w:ascii="MS Gothic"/>
                        <w:color w:val="333333"/>
                      </w:rPr>
                      <w:t>(document("list-users"));</w:t>
                    </w:r>
                  </w:p>
                  <w:p w14:paraId="1F4F0D33" w14:textId="77777777" w:rsidR="00711A16" w:rsidRDefault="00711A16">
                    <w:pPr>
                      <w:spacing w:before="13"/>
                      <w:ind w:left="640"/>
                      <w:rPr>
                        <w:rFonts w:ascii="MS Gothic"/>
                      </w:rPr>
                    </w:pPr>
                    <w:r>
                      <w:rPr>
                        <w:rFonts w:ascii="MS Gothic"/>
                        <w:color w:val="333333"/>
                      </w:rPr>
                      <w:t>}</w:t>
                    </w:r>
                  </w:p>
                  <w:p w14:paraId="36BA102E" w14:textId="77777777" w:rsidR="00711A16" w:rsidRDefault="00711A16">
                    <w:pPr>
                      <w:rPr>
                        <w:rFonts w:ascii="MS Gothic"/>
                        <w:sz w:val="24"/>
                      </w:rPr>
                    </w:pPr>
                  </w:p>
                  <w:p w14:paraId="1B0B8676" w14:textId="77777777" w:rsidR="00711A16" w:rsidRDefault="00711A16">
                    <w:pPr>
                      <w:ind w:left="200"/>
                      <w:rPr>
                        <w:rFonts w:ascii="MS Gothic"/>
                      </w:rPr>
                    </w:pPr>
                    <w:r>
                      <w:rPr>
                        <w:rFonts w:ascii="MS Gothic"/>
                        <w:color w:val="333333"/>
                      </w:rPr>
                      <w:t>}</w:t>
                    </w:r>
                  </w:p>
                </w:txbxContent>
              </v:textbox>
            </v:shape>
            <w10:wrap type="topAndBottom" anchorx="page"/>
          </v:group>
        </w:pict>
      </w:r>
    </w:p>
    <w:p w14:paraId="26E14303" w14:textId="77777777" w:rsidR="00A720EB" w:rsidRDefault="00A720EB">
      <w:pPr>
        <w:pStyle w:val="a3"/>
        <w:rPr>
          <w:sz w:val="10"/>
        </w:rPr>
      </w:pPr>
    </w:p>
    <w:p w14:paraId="2AD492EC" w14:textId="77777777" w:rsidR="00A720EB" w:rsidRDefault="0030286B">
      <w:pPr>
        <w:pStyle w:val="a3"/>
        <w:spacing w:before="125" w:line="295" w:lineRule="auto"/>
        <w:ind w:left="124" w:right="124"/>
        <w:jc w:val="both"/>
      </w:pPr>
      <w:r>
        <w:rPr>
          <w:color w:val="333333"/>
          <w:w w:val="110"/>
        </w:rPr>
        <w:t xml:space="preserve">If you require more control over Spring REST Docs configuration than offered </w:t>
      </w:r>
      <w:r>
        <w:rPr>
          <w:color w:val="333333"/>
          <w:spacing w:val="-3"/>
          <w:w w:val="110"/>
        </w:rPr>
        <w:t xml:space="preserve">by </w:t>
      </w:r>
      <w:r>
        <w:rPr>
          <w:color w:val="333333"/>
          <w:w w:val="110"/>
        </w:rPr>
        <w:t xml:space="preserve">the attributes of </w:t>
      </w:r>
      <w:r>
        <w:rPr>
          <w:rFonts w:ascii="MS Gothic"/>
          <w:color w:val="B02045"/>
          <w:w w:val="110"/>
        </w:rPr>
        <w:t>@AutoConfigureRestDocs</w:t>
      </w:r>
      <w:r>
        <w:rPr>
          <w:color w:val="333333"/>
          <w:w w:val="110"/>
        </w:rPr>
        <w:t xml:space="preserve">, you can use a </w:t>
      </w:r>
      <w:r>
        <w:rPr>
          <w:rFonts w:ascii="MS Gothic"/>
          <w:color w:val="B02045"/>
          <w:w w:val="110"/>
        </w:rPr>
        <w:t xml:space="preserve">RestDocsWebTestClientConfigurationCustomizer </w:t>
      </w:r>
      <w:r>
        <w:rPr>
          <w:color w:val="333333"/>
          <w:w w:val="110"/>
        </w:rPr>
        <w:t>bean,</w:t>
      </w:r>
      <w:r>
        <w:rPr>
          <w:color w:val="333333"/>
          <w:spacing w:val="-20"/>
          <w:w w:val="110"/>
        </w:rPr>
        <w:t xml:space="preserve"> </w:t>
      </w:r>
      <w:r>
        <w:rPr>
          <w:color w:val="333333"/>
          <w:w w:val="110"/>
        </w:rPr>
        <w:t>as shown in the following</w:t>
      </w:r>
      <w:r>
        <w:rPr>
          <w:color w:val="333333"/>
          <w:spacing w:val="13"/>
          <w:w w:val="110"/>
        </w:rPr>
        <w:t xml:space="preserve"> </w:t>
      </w:r>
      <w:r>
        <w:rPr>
          <w:color w:val="333333"/>
          <w:w w:val="110"/>
        </w:rPr>
        <w:t>example:</w:t>
      </w:r>
    </w:p>
    <w:p w14:paraId="3815307E" w14:textId="77777777" w:rsidR="00A720EB" w:rsidRDefault="00A720EB">
      <w:pPr>
        <w:spacing w:line="295" w:lineRule="auto"/>
        <w:jc w:val="both"/>
        <w:sectPr w:rsidR="00A720EB">
          <w:pgSz w:w="11910" w:h="16840"/>
          <w:pgMar w:top="700" w:right="840" w:bottom="520" w:left="840" w:header="0" w:footer="323" w:gutter="0"/>
          <w:cols w:space="720"/>
        </w:sectPr>
      </w:pPr>
    </w:p>
    <w:p w14:paraId="1FF21390" w14:textId="77777777" w:rsidR="00A720EB" w:rsidRDefault="00E10349">
      <w:pPr>
        <w:pStyle w:val="a3"/>
        <w:ind w:left="116"/>
        <w:rPr>
          <w:sz w:val="20"/>
        </w:rPr>
      </w:pPr>
      <w:r>
        <w:rPr>
          <w:sz w:val="20"/>
        </w:rPr>
      </w:r>
      <w:r>
        <w:rPr>
          <w:sz w:val="20"/>
        </w:rPr>
        <w:pict w14:anchorId="0B30EE4A">
          <v:group id="_x0000_s3530" style="width:499.55pt;height:170.15pt;mso-position-horizontal-relative:char;mso-position-vertical-relative:line" coordsize="9991,3403">
            <v:shape id="_x0000_s3533" style="position:absolute;left:7;top:7;width:9976;height:3388" coordorigin="8,8" coordsize="9976,3388" path="m9904,8l88,8,56,14,31,31,14,56,8,88r,3227l14,3347r17,25l56,3389r32,6l9904,3395r31,-6l9960,3372r17,-25l9984,3315r,-3227l9977,56,9960,31,9935,14,9904,8xe" fillcolor="#f5f5f5" stroked="f">
              <v:path arrowok="t"/>
            </v:shape>
            <v:shape id="_x0000_s3532" style="position:absolute;left:7;top:7;width:9976;height:3388" coordorigin="8,8" coordsize="9976,3388" path="m88,8r9816,l9935,14r25,17l9977,56r7,32l9984,3315r-7,32l9960,3372r-25,17l9904,3395r-9816,l56,3389,31,3372,14,3347,8,3315,8,88,14,56,31,31,56,14,88,8xe" filled="f" strokecolor="#ccc">
              <v:path arrowok="t"/>
            </v:shape>
            <v:shape id="_x0000_s3531" type="#_x0000_t202" style="position:absolute;left:26;top:22;width:9938;height:3358" filled="f" stroked="f">
              <v:textbox inset="0,0,0,0">
                <w:txbxContent>
                  <w:p w14:paraId="30A3E664" w14:textId="77777777" w:rsidR="00711A16" w:rsidRDefault="00711A16">
                    <w:pPr>
                      <w:spacing w:before="221"/>
                      <w:ind w:left="200"/>
                      <w:rPr>
                        <w:rFonts w:ascii="MS Gothic"/>
                      </w:rPr>
                    </w:pPr>
                    <w:r>
                      <w:rPr>
                        <w:rFonts w:ascii="MS Gothic"/>
                        <w:color w:val="333333"/>
                      </w:rPr>
                      <w:t>@</w:t>
                    </w:r>
                    <w:proofErr w:type="gramStart"/>
                    <w:r>
                      <w:rPr>
                        <w:rFonts w:ascii="MS Gothic"/>
                        <w:color w:val="333333"/>
                      </w:rPr>
                      <w:t>TestConfiguration(</w:t>
                    </w:r>
                    <w:proofErr w:type="gramEnd"/>
                    <w:r>
                      <w:rPr>
                        <w:rFonts w:ascii="MS Gothic"/>
                        <w:color w:val="333333"/>
                      </w:rPr>
                      <w:t>proxyBeanMethods = false)</w:t>
                    </w:r>
                  </w:p>
                  <w:p w14:paraId="1ACA5675" w14:textId="77777777" w:rsidR="00711A16" w:rsidRDefault="00711A16">
                    <w:pPr>
                      <w:spacing w:before="13" w:line="252" w:lineRule="auto"/>
                      <w:ind w:left="200" w:right="3448"/>
                      <w:rPr>
                        <w:rFonts w:ascii="MS Gothic"/>
                      </w:rPr>
                    </w:pPr>
                    <w:r>
                      <w:rPr>
                        <w:rFonts w:ascii="MS Gothic"/>
                        <w:color w:val="333333"/>
                      </w:rPr>
                      <w:t>public static class CustomizationConfiguration implements RestDocsWebTestClientConfigurationCustomizer {</w:t>
                    </w:r>
                  </w:p>
                  <w:p w14:paraId="5F638EF5" w14:textId="77777777" w:rsidR="00711A16" w:rsidRDefault="00711A16">
                    <w:pPr>
                      <w:spacing w:before="10"/>
                      <w:rPr>
                        <w:rFonts w:ascii="MS Gothic"/>
                      </w:rPr>
                    </w:pPr>
                  </w:p>
                  <w:p w14:paraId="09703FA6" w14:textId="77777777" w:rsidR="00711A16" w:rsidRDefault="00711A16">
                    <w:pPr>
                      <w:ind w:left="640"/>
                      <w:rPr>
                        <w:rFonts w:ascii="MS Gothic"/>
                      </w:rPr>
                    </w:pPr>
                    <w:r>
                      <w:rPr>
                        <w:rFonts w:ascii="MS Gothic"/>
                        <w:color w:val="333333"/>
                      </w:rPr>
                      <w:t>@Override</w:t>
                    </w:r>
                  </w:p>
                  <w:p w14:paraId="32467356" w14:textId="77777777" w:rsidR="00711A16" w:rsidRDefault="00711A16">
                    <w:pPr>
                      <w:spacing w:before="13" w:line="252" w:lineRule="auto"/>
                      <w:ind w:left="1080" w:right="934" w:hanging="4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WebTestClientRestDocumentationConfigurer configurer) { configurer.snippets().withEncoding("UTF-8");</w:t>
                    </w:r>
                  </w:p>
                  <w:p w14:paraId="53C36E47" w14:textId="77777777" w:rsidR="00711A16" w:rsidRDefault="00711A16">
                    <w:pPr>
                      <w:spacing w:line="280" w:lineRule="exact"/>
                      <w:ind w:left="640"/>
                      <w:rPr>
                        <w:rFonts w:ascii="MS Gothic"/>
                      </w:rPr>
                    </w:pPr>
                    <w:r>
                      <w:rPr>
                        <w:rFonts w:ascii="MS Gothic"/>
                        <w:color w:val="333333"/>
                      </w:rPr>
                      <w:t>}</w:t>
                    </w:r>
                  </w:p>
                  <w:p w14:paraId="0B6A70F0" w14:textId="77777777" w:rsidR="00711A16" w:rsidRDefault="00711A16">
                    <w:pPr>
                      <w:rPr>
                        <w:rFonts w:ascii="MS Gothic"/>
                        <w:sz w:val="24"/>
                      </w:rPr>
                    </w:pPr>
                  </w:p>
                  <w:p w14:paraId="0D7B642F" w14:textId="77777777" w:rsidR="00711A16" w:rsidRDefault="00711A16">
                    <w:pPr>
                      <w:ind w:left="200"/>
                      <w:rPr>
                        <w:rFonts w:ascii="MS Gothic"/>
                      </w:rPr>
                    </w:pPr>
                    <w:r>
                      <w:rPr>
                        <w:rFonts w:ascii="MS Gothic"/>
                        <w:color w:val="333333"/>
                      </w:rPr>
                      <w:t>}</w:t>
                    </w:r>
                  </w:p>
                </w:txbxContent>
              </v:textbox>
            </v:shape>
            <w10:anchorlock/>
          </v:group>
        </w:pict>
      </w:r>
    </w:p>
    <w:p w14:paraId="24E54139" w14:textId="77777777" w:rsidR="00A720EB" w:rsidRDefault="00A720EB">
      <w:pPr>
        <w:pStyle w:val="a3"/>
        <w:spacing w:before="1"/>
        <w:rPr>
          <w:sz w:val="17"/>
        </w:rPr>
      </w:pPr>
    </w:p>
    <w:p w14:paraId="0A03ED3E" w14:textId="77777777" w:rsidR="00A720EB" w:rsidRDefault="0030286B">
      <w:pPr>
        <w:spacing w:before="104"/>
        <w:ind w:left="124"/>
        <w:jc w:val="both"/>
        <w:rPr>
          <w:rFonts w:ascii="Palatino Linotype"/>
          <w:b/>
          <w:sz w:val="18"/>
        </w:rPr>
      </w:pPr>
      <w:r>
        <w:rPr>
          <w:rFonts w:ascii="Palatino Linotype"/>
          <w:b/>
          <w:color w:val="333333"/>
          <w:w w:val="110"/>
          <w:sz w:val="18"/>
        </w:rPr>
        <w:t>Auto-configured Spring REST Docs Tests with REST Assured</w:t>
      </w:r>
    </w:p>
    <w:p w14:paraId="53B12C94" w14:textId="77777777" w:rsidR="00A720EB" w:rsidRDefault="00A720EB">
      <w:pPr>
        <w:pStyle w:val="a3"/>
        <w:spacing w:before="1"/>
        <w:rPr>
          <w:rFonts w:ascii="Palatino Linotype"/>
          <w:b/>
          <w:sz w:val="18"/>
        </w:rPr>
      </w:pPr>
    </w:p>
    <w:p w14:paraId="4F08076D" w14:textId="77777777" w:rsidR="00A720EB" w:rsidRDefault="0030286B">
      <w:pPr>
        <w:pStyle w:val="a3"/>
        <w:spacing w:line="285" w:lineRule="auto"/>
        <w:ind w:left="124" w:right="127"/>
        <w:jc w:val="both"/>
      </w:pPr>
      <w:r>
        <w:rPr>
          <w:rFonts w:ascii="MS Gothic"/>
          <w:color w:val="B02045"/>
          <w:w w:val="105"/>
        </w:rPr>
        <w:t xml:space="preserve">@AutoConfigureRestDocs </w:t>
      </w:r>
      <w:r>
        <w:rPr>
          <w:color w:val="333333"/>
          <w:w w:val="105"/>
        </w:rPr>
        <w:t xml:space="preserve">makes a </w:t>
      </w:r>
      <w:r>
        <w:rPr>
          <w:rFonts w:ascii="MS Gothic"/>
          <w:color w:val="B02045"/>
          <w:w w:val="105"/>
        </w:rPr>
        <w:t xml:space="preserve">RequestSpecification </w:t>
      </w:r>
      <w:r>
        <w:rPr>
          <w:color w:val="333333"/>
          <w:w w:val="105"/>
        </w:rPr>
        <w:t xml:space="preserve">bean, preconfigured to use Spring REST Docs, </w:t>
      </w:r>
      <w:r>
        <w:rPr>
          <w:color w:val="333333"/>
          <w:w w:val="110"/>
        </w:rPr>
        <w:t xml:space="preserve">available to your tests. You can inject it by using </w:t>
      </w:r>
      <w:r>
        <w:rPr>
          <w:rFonts w:ascii="MS Gothic"/>
          <w:color w:val="B02045"/>
          <w:w w:val="110"/>
        </w:rPr>
        <w:t xml:space="preserve">@Autowired </w:t>
      </w:r>
      <w:r>
        <w:rPr>
          <w:color w:val="333333"/>
          <w:w w:val="110"/>
        </w:rPr>
        <w:t>and use it in your tests as you normally would when using REST Assured and Spring REST Docs, as shown in the following example:</w:t>
      </w:r>
    </w:p>
    <w:p w14:paraId="0211BC64" w14:textId="77777777" w:rsidR="00A720EB" w:rsidRDefault="00A720EB">
      <w:pPr>
        <w:pStyle w:val="a3"/>
        <w:spacing w:before="4"/>
        <w:rPr>
          <w:sz w:val="29"/>
        </w:rPr>
      </w:pPr>
    </w:p>
    <w:p w14:paraId="7D74E8FE" w14:textId="77777777" w:rsidR="00A720EB" w:rsidRDefault="00E10349">
      <w:pPr>
        <w:spacing w:before="117" w:line="252" w:lineRule="auto"/>
        <w:ind w:left="344" w:right="3596"/>
        <w:rPr>
          <w:rFonts w:ascii="MS Gothic"/>
        </w:rPr>
      </w:pPr>
      <w:r>
        <w:pict w14:anchorId="6F323664">
          <v:group id="_x0000_s3527" style="position:absolute;left:0;text-align:left;margin-left:47.85pt;margin-top:-6.35pt;width:499.55pt;height:420.75pt;z-index:-41388544;mso-position-horizontal-relative:page" coordorigin="957,-127" coordsize="9991,8415">
            <v:shape id="_x0000_s3529" style="position:absolute;left:964;top:-120;width:9976;height:8400" coordorigin="965,-120" coordsize="9976,8400" path="m10861,-120r-9816,l1014,-113r-26,17l971,-71r-6,31l965,8200r6,31l988,8257r26,17l1045,8280r9816,l10892,8274r25,-17l10935,8231r6,-31l10941,-40r-6,-31l10917,-96r-25,-17l10861,-120xe" fillcolor="#f5f5f5" stroked="f">
              <v:path arrowok="t"/>
            </v:shape>
            <v:shape id="_x0000_s3528" style="position:absolute;left:964;top:-120;width:9976;height:8400" coordorigin="965,-120" coordsize="9976,8400" path="m1045,-120r9816,l10892,-113r25,17l10935,-71r6,31l10941,8200r-6,31l10917,8257r-25,17l10861,8280r-9816,l1014,8274r-26,-17l971,8231r-6,-31l965,-40r6,-31l988,-96r26,-17l1045,-120xe" filled="f" strokecolor="#ccc">
              <v:path arrowok="t"/>
            </v:shape>
            <w10:wrap anchorx="page"/>
          </v:group>
        </w:pict>
      </w:r>
      <w:r w:rsidR="0030286B">
        <w:rPr>
          <w:rFonts w:ascii="MS Gothic"/>
          <w:color w:val="333333"/>
        </w:rPr>
        <w:t xml:space="preserve">import </w:t>
      </w:r>
      <w:proofErr w:type="gramStart"/>
      <w:r w:rsidR="0030286B">
        <w:rPr>
          <w:rFonts w:ascii="MS Gothic"/>
          <w:color w:val="333333"/>
        </w:rPr>
        <w:t>io.restassured</w:t>
      </w:r>
      <w:proofErr w:type="gramEnd"/>
      <w:r w:rsidR="0030286B">
        <w:rPr>
          <w:rFonts w:ascii="MS Gothic"/>
          <w:color w:val="333333"/>
        </w:rPr>
        <w:t>.specification.RequestSpecification; import org.junit.jupiter.api.Test;</w:t>
      </w:r>
    </w:p>
    <w:p w14:paraId="091B5FF9" w14:textId="77777777" w:rsidR="00A720EB" w:rsidRDefault="00A720EB">
      <w:pPr>
        <w:pStyle w:val="a3"/>
        <w:spacing w:before="10"/>
        <w:rPr>
          <w:rFonts w:ascii="MS Gothic"/>
          <w:sz w:val="22"/>
        </w:rPr>
      </w:pPr>
    </w:p>
    <w:p w14:paraId="7A3D9C0F" w14:textId="77777777" w:rsidR="00A720EB" w:rsidRDefault="0030286B">
      <w:pPr>
        <w:ind w:left="344"/>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.beans.factory.annotation.Autowired;</w:t>
      </w:r>
    </w:p>
    <w:p w14:paraId="2898EC07" w14:textId="77777777" w:rsidR="00A720EB" w:rsidRDefault="0030286B">
      <w:pPr>
        <w:spacing w:before="13" w:line="252" w:lineRule="auto"/>
        <w:ind w:left="344" w:right="846"/>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.boot.test.autoconfigure.restdocs.AutoConfigureRestDocs; import org.springframework.boot.test.context.SpringBootTest;</w:t>
      </w:r>
    </w:p>
    <w:p w14:paraId="0DA396B2" w14:textId="77777777" w:rsidR="00A720EB" w:rsidRDefault="0030286B">
      <w:pPr>
        <w:spacing w:line="252" w:lineRule="auto"/>
        <w:ind w:left="344" w:right="1616"/>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.boot.test.context.SpringBootTest.WebEnvironment; import org.springframework.boot.web.server.LocalServerPort;</w:t>
      </w:r>
    </w:p>
    <w:p w14:paraId="57D8EF72" w14:textId="77777777" w:rsidR="00A720EB" w:rsidRDefault="00A720EB">
      <w:pPr>
        <w:pStyle w:val="a3"/>
        <w:spacing w:before="8"/>
        <w:rPr>
          <w:rFonts w:ascii="MS Gothic"/>
          <w:sz w:val="22"/>
        </w:rPr>
      </w:pPr>
    </w:p>
    <w:p w14:paraId="3866DEE0" w14:textId="77777777" w:rsidR="00A720EB" w:rsidRDefault="0030286B">
      <w:pPr>
        <w:spacing w:line="252" w:lineRule="auto"/>
        <w:ind w:left="344" w:right="4696"/>
        <w:rPr>
          <w:rFonts w:ascii="MS Gothic"/>
        </w:rPr>
      </w:pPr>
      <w:r>
        <w:rPr>
          <w:rFonts w:ascii="MS Gothic"/>
          <w:color w:val="333333"/>
        </w:rPr>
        <w:t xml:space="preserve">import static </w:t>
      </w:r>
      <w:proofErr w:type="gramStart"/>
      <w:r>
        <w:rPr>
          <w:rFonts w:ascii="MS Gothic"/>
          <w:color w:val="333333"/>
        </w:rPr>
        <w:t>io.restassured</w:t>
      </w:r>
      <w:proofErr w:type="gramEnd"/>
      <w:r>
        <w:rPr>
          <w:rFonts w:ascii="MS Gothic"/>
          <w:color w:val="333333"/>
        </w:rPr>
        <w:t>.RestAssured.given; import static org.hamcrest.Matchers.is;</w:t>
      </w:r>
    </w:p>
    <w:p w14:paraId="5D8117E2" w14:textId="77777777" w:rsidR="00A720EB" w:rsidRDefault="0030286B">
      <w:pPr>
        <w:spacing w:line="252" w:lineRule="auto"/>
        <w:ind w:left="344" w:right="1066"/>
        <w:rPr>
          <w:rFonts w:ascii="MS Gothic"/>
        </w:rPr>
      </w:pPr>
      <w:r>
        <w:rPr>
          <w:rFonts w:ascii="MS Gothic"/>
          <w:color w:val="333333"/>
        </w:rPr>
        <w:t xml:space="preserve">import static </w:t>
      </w:r>
      <w:proofErr w:type="gramStart"/>
      <w:r>
        <w:rPr>
          <w:rFonts w:ascii="MS Gothic"/>
          <w:color w:val="333333"/>
        </w:rPr>
        <w:t>org.springframework</w:t>
      </w:r>
      <w:proofErr w:type="gramEnd"/>
      <w:r>
        <w:rPr>
          <w:rFonts w:ascii="MS Gothic"/>
          <w:color w:val="333333"/>
        </w:rPr>
        <w:t>.restdocs.restassured3.RestAssuredRestDocumentation.document;</w:t>
      </w:r>
    </w:p>
    <w:p w14:paraId="3C7E1125" w14:textId="77777777" w:rsidR="00A720EB" w:rsidRDefault="00A720EB">
      <w:pPr>
        <w:pStyle w:val="a3"/>
        <w:spacing w:before="9"/>
        <w:rPr>
          <w:rFonts w:ascii="MS Gothic"/>
          <w:sz w:val="22"/>
        </w:rPr>
      </w:pPr>
    </w:p>
    <w:p w14:paraId="4B647C53" w14:textId="77777777" w:rsidR="00A720EB" w:rsidRDefault="0030286B">
      <w:pPr>
        <w:spacing w:line="252" w:lineRule="auto"/>
        <w:ind w:left="344" w:right="3266"/>
        <w:rPr>
          <w:rFonts w:ascii="MS Gothic"/>
        </w:rPr>
      </w:pPr>
      <w:r>
        <w:rPr>
          <w:rFonts w:ascii="MS Gothic"/>
          <w:color w:val="333333"/>
        </w:rPr>
        <w:t>@</w:t>
      </w:r>
      <w:proofErr w:type="gramStart"/>
      <w:r>
        <w:rPr>
          <w:rFonts w:ascii="MS Gothic"/>
          <w:color w:val="333333"/>
        </w:rPr>
        <w:t>SpringBootTest(</w:t>
      </w:r>
      <w:proofErr w:type="gramEnd"/>
      <w:r>
        <w:rPr>
          <w:rFonts w:ascii="MS Gothic"/>
          <w:color w:val="333333"/>
        </w:rPr>
        <w:t>webEnvironment = WebEnvironment.RANDOM_PORT) @AutoConfigureRestDocs</w:t>
      </w:r>
    </w:p>
    <w:p w14:paraId="69026BB8" w14:textId="77777777" w:rsidR="00A720EB" w:rsidRDefault="0030286B">
      <w:pPr>
        <w:spacing w:line="280" w:lineRule="exact"/>
        <w:ind w:left="344"/>
        <w:rPr>
          <w:rFonts w:ascii="MS Gothic"/>
        </w:rPr>
      </w:pPr>
      <w:r>
        <w:rPr>
          <w:rFonts w:ascii="MS Gothic"/>
          <w:color w:val="333333"/>
        </w:rPr>
        <w:t>class UserDocumentationTests {</w:t>
      </w:r>
    </w:p>
    <w:p w14:paraId="1CEB5D71" w14:textId="77777777" w:rsidR="00A720EB" w:rsidRDefault="00A720EB">
      <w:pPr>
        <w:pStyle w:val="a3"/>
        <w:rPr>
          <w:rFonts w:ascii="MS Gothic"/>
          <w:sz w:val="24"/>
        </w:rPr>
      </w:pPr>
    </w:p>
    <w:p w14:paraId="0C6C8B99" w14:textId="77777777" w:rsidR="00A720EB" w:rsidRDefault="0030286B">
      <w:pPr>
        <w:ind w:left="784"/>
        <w:rPr>
          <w:rFonts w:ascii="MS Gothic"/>
        </w:rPr>
      </w:pPr>
      <w:r>
        <w:rPr>
          <w:rFonts w:ascii="MS Gothic"/>
          <w:color w:val="333333"/>
        </w:rPr>
        <w:t>@Test</w:t>
      </w:r>
    </w:p>
    <w:p w14:paraId="3B34345D" w14:textId="77777777" w:rsidR="00A720EB" w:rsidRDefault="0030286B">
      <w:pPr>
        <w:spacing w:before="13" w:line="252" w:lineRule="auto"/>
        <w:ind w:left="344" w:right="406" w:firstLine="440"/>
        <w:rPr>
          <w:rFonts w:ascii="MS Gothic"/>
        </w:rPr>
      </w:pPr>
      <w:r>
        <w:rPr>
          <w:rFonts w:ascii="MS Gothic"/>
          <w:color w:val="333333"/>
        </w:rPr>
        <w:t xml:space="preserve">void </w:t>
      </w:r>
      <w:proofErr w:type="gramStart"/>
      <w:r>
        <w:rPr>
          <w:rFonts w:ascii="MS Gothic"/>
          <w:color w:val="333333"/>
        </w:rPr>
        <w:t>listUsers(</w:t>
      </w:r>
      <w:proofErr w:type="gramEnd"/>
      <w:r>
        <w:rPr>
          <w:rFonts w:ascii="MS Gothic"/>
          <w:color w:val="333333"/>
        </w:rPr>
        <w:t>@Autowired RequestSpecification documentationSpec, @LocalServerPort int port) {</w:t>
      </w:r>
    </w:p>
    <w:p w14:paraId="5CC9AE13" w14:textId="77777777" w:rsidR="00A720EB" w:rsidRDefault="0030286B">
      <w:pPr>
        <w:spacing w:line="252" w:lineRule="auto"/>
        <w:ind w:left="344" w:right="3816" w:firstLine="880"/>
        <w:rPr>
          <w:rFonts w:ascii="MS Gothic"/>
        </w:rPr>
      </w:pPr>
      <w:r>
        <w:rPr>
          <w:rFonts w:ascii="MS Gothic"/>
          <w:color w:val="333333"/>
        </w:rPr>
        <w:t>given(documentationSpec</w:t>
      </w:r>
      <w:proofErr w:type="gramStart"/>
      <w:r>
        <w:rPr>
          <w:rFonts w:ascii="MS Gothic"/>
          <w:color w:val="333333"/>
        </w:rPr>
        <w:t>).filter</w:t>
      </w:r>
      <w:proofErr w:type="gramEnd"/>
      <w:r>
        <w:rPr>
          <w:rFonts w:ascii="MS Gothic"/>
          <w:color w:val="333333"/>
        </w:rPr>
        <w:t>(document("list- users")).when().port(port).get("/").then().assertThat()</w:t>
      </w:r>
    </w:p>
    <w:p w14:paraId="4027E405" w14:textId="77777777" w:rsidR="00A720EB" w:rsidRDefault="0030286B">
      <w:pPr>
        <w:spacing w:line="276" w:lineRule="exact"/>
        <w:ind w:left="2104"/>
        <w:rPr>
          <w:rFonts w:ascii="MS Gothic"/>
        </w:rPr>
      </w:pPr>
      <w:proofErr w:type="gramStart"/>
      <w:r>
        <w:rPr>
          <w:rFonts w:ascii="MS Gothic"/>
          <w:color w:val="333333"/>
        </w:rPr>
        <w:t>.statusCode</w:t>
      </w:r>
      <w:proofErr w:type="gramEnd"/>
      <w:r>
        <w:rPr>
          <w:rFonts w:ascii="MS Gothic"/>
          <w:color w:val="333333"/>
        </w:rPr>
        <w:t>(is(200));</w:t>
      </w:r>
    </w:p>
    <w:p w14:paraId="55637AD8" w14:textId="77777777" w:rsidR="00A720EB" w:rsidRDefault="0030286B">
      <w:pPr>
        <w:spacing w:before="14"/>
        <w:ind w:left="784"/>
        <w:rPr>
          <w:rFonts w:ascii="MS Gothic"/>
        </w:rPr>
      </w:pPr>
      <w:r>
        <w:rPr>
          <w:rFonts w:ascii="MS Gothic"/>
          <w:color w:val="333333"/>
        </w:rPr>
        <w:t>}</w:t>
      </w:r>
    </w:p>
    <w:p w14:paraId="646C80F1" w14:textId="77777777" w:rsidR="00A720EB" w:rsidRDefault="00A720EB">
      <w:pPr>
        <w:pStyle w:val="a3"/>
        <w:rPr>
          <w:rFonts w:ascii="MS Gothic"/>
          <w:sz w:val="24"/>
        </w:rPr>
      </w:pPr>
    </w:p>
    <w:p w14:paraId="319B7A8A" w14:textId="77777777" w:rsidR="00A720EB" w:rsidRDefault="0030286B">
      <w:pPr>
        <w:ind w:left="344"/>
        <w:rPr>
          <w:rFonts w:ascii="MS Gothic"/>
        </w:rPr>
      </w:pPr>
      <w:r>
        <w:rPr>
          <w:rFonts w:ascii="MS Gothic"/>
          <w:color w:val="333333"/>
        </w:rPr>
        <w:t>}</w:t>
      </w:r>
    </w:p>
    <w:p w14:paraId="34B8C392" w14:textId="77777777" w:rsidR="00A720EB" w:rsidRDefault="00A720EB">
      <w:pPr>
        <w:pStyle w:val="a3"/>
        <w:rPr>
          <w:rFonts w:ascii="MS Gothic"/>
          <w:sz w:val="29"/>
        </w:rPr>
      </w:pPr>
    </w:p>
    <w:p w14:paraId="2F337DCC" w14:textId="77777777" w:rsidR="00A720EB" w:rsidRDefault="0030286B">
      <w:pPr>
        <w:pStyle w:val="a3"/>
        <w:spacing w:before="125" w:line="295" w:lineRule="auto"/>
        <w:ind w:left="124" w:right="125"/>
        <w:jc w:val="both"/>
      </w:pPr>
      <w:r>
        <w:rPr>
          <w:color w:val="333333"/>
          <w:w w:val="110"/>
        </w:rPr>
        <w:t xml:space="preserve">If you require more control over Spring REST Docs configuration than offered </w:t>
      </w:r>
      <w:r>
        <w:rPr>
          <w:color w:val="333333"/>
          <w:spacing w:val="-3"/>
          <w:w w:val="110"/>
        </w:rPr>
        <w:t xml:space="preserve">by </w:t>
      </w:r>
      <w:r>
        <w:rPr>
          <w:color w:val="333333"/>
          <w:w w:val="110"/>
        </w:rPr>
        <w:t xml:space="preserve">the attributes of </w:t>
      </w:r>
      <w:r>
        <w:rPr>
          <w:rFonts w:ascii="MS Gothic"/>
          <w:color w:val="B02045"/>
          <w:w w:val="105"/>
        </w:rPr>
        <w:t>@AutoConfigureRestDocs</w:t>
      </w:r>
      <w:r>
        <w:rPr>
          <w:color w:val="333333"/>
          <w:w w:val="105"/>
        </w:rPr>
        <w:t xml:space="preserve">, a </w:t>
      </w:r>
      <w:r>
        <w:rPr>
          <w:rFonts w:ascii="MS Gothic"/>
          <w:color w:val="B02045"/>
          <w:w w:val="105"/>
        </w:rPr>
        <w:t xml:space="preserve">RestDocsRestAssuredConfigurationCustomizer </w:t>
      </w:r>
      <w:r>
        <w:rPr>
          <w:color w:val="333333"/>
          <w:w w:val="105"/>
        </w:rPr>
        <w:t>bean can be used, as</w:t>
      </w:r>
      <w:r>
        <w:rPr>
          <w:color w:val="333333"/>
          <w:spacing w:val="-32"/>
          <w:w w:val="105"/>
        </w:rPr>
        <w:t xml:space="preserve"> </w:t>
      </w:r>
      <w:r>
        <w:rPr>
          <w:color w:val="333333"/>
          <w:w w:val="105"/>
        </w:rPr>
        <w:t xml:space="preserve">shown </w:t>
      </w:r>
      <w:r>
        <w:rPr>
          <w:color w:val="333333"/>
          <w:w w:val="110"/>
        </w:rPr>
        <w:t>in the following</w:t>
      </w:r>
      <w:r>
        <w:rPr>
          <w:color w:val="333333"/>
          <w:spacing w:val="9"/>
          <w:w w:val="110"/>
        </w:rPr>
        <w:t xml:space="preserve"> </w:t>
      </w:r>
      <w:r>
        <w:rPr>
          <w:color w:val="333333"/>
          <w:w w:val="110"/>
        </w:rPr>
        <w:t>example:</w:t>
      </w:r>
    </w:p>
    <w:p w14:paraId="656DD911" w14:textId="77777777" w:rsidR="00A720EB" w:rsidRDefault="00A720EB">
      <w:pPr>
        <w:spacing w:line="295" w:lineRule="auto"/>
        <w:jc w:val="both"/>
        <w:sectPr w:rsidR="00A720EB">
          <w:pgSz w:w="11910" w:h="16840"/>
          <w:pgMar w:top="700" w:right="840" w:bottom="520" w:left="840" w:header="0" w:footer="323" w:gutter="0"/>
          <w:cols w:space="720"/>
        </w:sectPr>
      </w:pPr>
    </w:p>
    <w:p w14:paraId="422D58D6" w14:textId="77777777" w:rsidR="00A720EB" w:rsidRDefault="00E10349">
      <w:pPr>
        <w:pStyle w:val="a3"/>
        <w:ind w:left="116"/>
        <w:rPr>
          <w:sz w:val="20"/>
        </w:rPr>
      </w:pPr>
      <w:r>
        <w:rPr>
          <w:sz w:val="20"/>
        </w:rPr>
      </w:r>
      <w:r>
        <w:rPr>
          <w:sz w:val="20"/>
        </w:rPr>
        <w:pict w14:anchorId="43DBFDBA">
          <v:group id="_x0000_s3523" style="width:499.55pt;height:170.15pt;mso-position-horizontal-relative:char;mso-position-vertical-relative:line" coordsize="9991,3403">
            <v:shape id="_x0000_s3526" style="position:absolute;left:7;top:7;width:9976;height:3388" coordorigin="8,8" coordsize="9976,3388" path="m9904,8l88,8,56,14,31,31,14,56,8,88r,3227l14,3347r17,25l56,3389r32,6l9904,3395r31,-6l9960,3372r17,-25l9984,3315r,-3227l9977,56,9960,31,9935,14,9904,8xe" fillcolor="#f5f5f5" stroked="f">
              <v:path arrowok="t"/>
            </v:shape>
            <v:shape id="_x0000_s3525" style="position:absolute;left:7;top:7;width:9976;height:3388" coordorigin="8,8" coordsize="9976,3388" path="m88,8r9816,l9935,14r25,17l9977,56r7,32l9984,3315r-7,32l9960,3372r-25,17l9904,3395r-9816,l56,3389,31,3372,14,3347,8,3315,8,88,14,56,31,31,56,14,88,8xe" filled="f" strokecolor="#ccc">
              <v:path arrowok="t"/>
            </v:shape>
            <v:shape id="_x0000_s3524" type="#_x0000_t202" style="position:absolute;left:26;top:22;width:9938;height:3358" filled="f" stroked="f">
              <v:textbox inset="0,0,0,0">
                <w:txbxContent>
                  <w:p w14:paraId="2962C677" w14:textId="77777777" w:rsidR="00711A16" w:rsidRDefault="00711A16">
                    <w:pPr>
                      <w:spacing w:before="221"/>
                      <w:ind w:left="200"/>
                      <w:rPr>
                        <w:rFonts w:ascii="MS Gothic"/>
                      </w:rPr>
                    </w:pPr>
                    <w:r>
                      <w:rPr>
                        <w:rFonts w:ascii="MS Gothic"/>
                        <w:color w:val="333333"/>
                      </w:rPr>
                      <w:t>@</w:t>
                    </w:r>
                    <w:proofErr w:type="gramStart"/>
                    <w:r>
                      <w:rPr>
                        <w:rFonts w:ascii="MS Gothic"/>
                        <w:color w:val="333333"/>
                      </w:rPr>
                      <w:t>TestConfiguration(</w:t>
                    </w:r>
                    <w:proofErr w:type="gramEnd"/>
                    <w:r>
                      <w:rPr>
                        <w:rFonts w:ascii="MS Gothic"/>
                        <w:color w:val="333333"/>
                      </w:rPr>
                      <w:t>proxyBeanMethods = false)</w:t>
                    </w:r>
                  </w:p>
                  <w:p w14:paraId="4D649AAC" w14:textId="77777777" w:rsidR="00711A16" w:rsidRDefault="00711A16">
                    <w:pPr>
                      <w:spacing w:before="13" w:line="252" w:lineRule="auto"/>
                      <w:ind w:left="200" w:right="3448"/>
                      <w:rPr>
                        <w:rFonts w:ascii="MS Gothic"/>
                      </w:rPr>
                    </w:pPr>
                    <w:r>
                      <w:rPr>
                        <w:rFonts w:ascii="MS Gothic"/>
                        <w:color w:val="333333"/>
                      </w:rPr>
                      <w:t>public static class CustomizationConfiguration implements RestDocsRestAssuredConfigurationCustomizer {</w:t>
                    </w:r>
                  </w:p>
                  <w:p w14:paraId="278E915A" w14:textId="77777777" w:rsidR="00711A16" w:rsidRDefault="00711A16">
                    <w:pPr>
                      <w:spacing w:before="10"/>
                      <w:rPr>
                        <w:rFonts w:ascii="MS Gothic"/>
                      </w:rPr>
                    </w:pPr>
                  </w:p>
                  <w:p w14:paraId="236AED82" w14:textId="77777777" w:rsidR="00711A16" w:rsidRDefault="00711A16">
                    <w:pPr>
                      <w:ind w:left="640"/>
                      <w:rPr>
                        <w:rFonts w:ascii="MS Gothic"/>
                      </w:rPr>
                    </w:pPr>
                    <w:r>
                      <w:rPr>
                        <w:rFonts w:ascii="MS Gothic"/>
                        <w:color w:val="333333"/>
                      </w:rPr>
                      <w:t>@Override</w:t>
                    </w:r>
                  </w:p>
                  <w:p w14:paraId="58265676" w14:textId="77777777" w:rsidR="00711A16" w:rsidRDefault="00711A16">
                    <w:pPr>
                      <w:spacing w:before="13" w:line="252" w:lineRule="auto"/>
                      <w:ind w:left="1080" w:right="1138" w:hanging="4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RestAssuredRestDocumentationConfigurer configurer) { configurer.snippets().withTemplateFormat(TemplateFormats.markdown());</w:t>
                    </w:r>
                  </w:p>
                  <w:p w14:paraId="51CFDC96" w14:textId="77777777" w:rsidR="00711A16" w:rsidRDefault="00711A16">
                    <w:pPr>
                      <w:spacing w:line="280" w:lineRule="exact"/>
                      <w:ind w:left="640"/>
                      <w:rPr>
                        <w:rFonts w:ascii="MS Gothic"/>
                      </w:rPr>
                    </w:pPr>
                    <w:r>
                      <w:rPr>
                        <w:rFonts w:ascii="MS Gothic"/>
                        <w:color w:val="333333"/>
                      </w:rPr>
                      <w:t>}</w:t>
                    </w:r>
                  </w:p>
                  <w:p w14:paraId="2E4E39AA" w14:textId="77777777" w:rsidR="00711A16" w:rsidRDefault="00711A16">
                    <w:pPr>
                      <w:rPr>
                        <w:rFonts w:ascii="MS Gothic"/>
                        <w:sz w:val="24"/>
                      </w:rPr>
                    </w:pPr>
                  </w:p>
                  <w:p w14:paraId="0A06FA10" w14:textId="77777777" w:rsidR="00711A16" w:rsidRDefault="00711A16">
                    <w:pPr>
                      <w:ind w:left="200"/>
                      <w:rPr>
                        <w:rFonts w:ascii="MS Gothic"/>
                      </w:rPr>
                    </w:pPr>
                    <w:r>
                      <w:rPr>
                        <w:rFonts w:ascii="MS Gothic"/>
                        <w:color w:val="333333"/>
                      </w:rPr>
                      <w:t>}</w:t>
                    </w:r>
                  </w:p>
                </w:txbxContent>
              </v:textbox>
            </v:shape>
            <w10:anchorlock/>
          </v:group>
        </w:pict>
      </w:r>
    </w:p>
    <w:p w14:paraId="60B5E6A7" w14:textId="77777777" w:rsidR="00A720EB" w:rsidRDefault="00A720EB">
      <w:pPr>
        <w:pStyle w:val="a3"/>
        <w:spacing w:before="1"/>
        <w:rPr>
          <w:sz w:val="17"/>
        </w:rPr>
      </w:pPr>
    </w:p>
    <w:p w14:paraId="3D5E7780" w14:textId="77777777" w:rsidR="00A720EB" w:rsidRDefault="0030286B">
      <w:pPr>
        <w:pStyle w:val="4"/>
        <w:spacing w:before="104"/>
      </w:pPr>
      <w:bookmarkStart w:id="483" w:name="Auto-configured_Spring_Web_Services_Test"/>
      <w:bookmarkEnd w:id="483"/>
      <w:r>
        <w:rPr>
          <w:color w:val="333333"/>
          <w:w w:val="110"/>
        </w:rPr>
        <w:t>Auto-configured Spring Web Services Tests</w:t>
      </w:r>
    </w:p>
    <w:p w14:paraId="6C1B3360" w14:textId="77777777" w:rsidR="00A720EB" w:rsidRDefault="0030286B">
      <w:pPr>
        <w:pStyle w:val="a3"/>
        <w:spacing w:before="244" w:line="285" w:lineRule="auto"/>
        <w:ind w:left="124" w:right="125"/>
        <w:jc w:val="both"/>
      </w:pPr>
      <w:r>
        <w:rPr>
          <w:color w:val="333333"/>
          <w:spacing w:val="-6"/>
          <w:w w:val="110"/>
        </w:rPr>
        <w:t xml:space="preserve">You </w:t>
      </w:r>
      <w:r>
        <w:rPr>
          <w:color w:val="333333"/>
          <w:w w:val="110"/>
        </w:rPr>
        <w:t xml:space="preserve">can use </w:t>
      </w:r>
      <w:r>
        <w:rPr>
          <w:rFonts w:ascii="MS Gothic"/>
          <w:color w:val="B02045"/>
          <w:w w:val="110"/>
        </w:rPr>
        <w:t xml:space="preserve">@WebServiceClientTest </w:t>
      </w:r>
      <w:r>
        <w:rPr>
          <w:color w:val="333333"/>
          <w:w w:val="110"/>
        </w:rPr>
        <w:t xml:space="preserve">to test applications that use call web services using the Spring </w:t>
      </w:r>
      <w:r>
        <w:rPr>
          <w:color w:val="333333"/>
          <w:spacing w:val="-5"/>
          <w:w w:val="110"/>
        </w:rPr>
        <w:t xml:space="preserve">Web </w:t>
      </w:r>
      <w:r>
        <w:rPr>
          <w:color w:val="333333"/>
          <w:w w:val="110"/>
        </w:rPr>
        <w:t xml:space="preserve">Services project. </w:t>
      </w:r>
      <w:r>
        <w:rPr>
          <w:color w:val="333333"/>
          <w:spacing w:val="-3"/>
          <w:w w:val="110"/>
        </w:rPr>
        <w:t xml:space="preserve">By </w:t>
      </w:r>
      <w:r>
        <w:rPr>
          <w:color w:val="333333"/>
          <w:w w:val="110"/>
        </w:rPr>
        <w:t xml:space="preserve">default, it configures a mock </w:t>
      </w:r>
      <w:r>
        <w:rPr>
          <w:rFonts w:ascii="MS Gothic"/>
          <w:color w:val="B02045"/>
          <w:w w:val="110"/>
        </w:rPr>
        <w:t xml:space="preserve">WebServiceServer </w:t>
      </w:r>
      <w:r>
        <w:rPr>
          <w:color w:val="333333"/>
          <w:w w:val="110"/>
        </w:rPr>
        <w:t xml:space="preserve">bean and automatically customizes your </w:t>
      </w:r>
      <w:r>
        <w:rPr>
          <w:rFonts w:ascii="MS Gothic"/>
          <w:color w:val="B02045"/>
          <w:w w:val="110"/>
        </w:rPr>
        <w:t>WebServiceTemplateBuilder</w:t>
      </w:r>
      <w:r>
        <w:rPr>
          <w:color w:val="333333"/>
          <w:w w:val="110"/>
        </w:rPr>
        <w:t xml:space="preserve">. </w:t>
      </w:r>
      <w:r>
        <w:rPr>
          <w:color w:val="333333"/>
          <w:spacing w:val="-3"/>
          <w:w w:val="110"/>
        </w:rPr>
        <w:t xml:space="preserve">(For </w:t>
      </w:r>
      <w:r>
        <w:rPr>
          <w:color w:val="333333"/>
          <w:w w:val="110"/>
        </w:rPr>
        <w:t xml:space="preserve">more about using </w:t>
      </w:r>
      <w:r>
        <w:rPr>
          <w:color w:val="333333"/>
          <w:spacing w:val="-5"/>
          <w:w w:val="110"/>
        </w:rPr>
        <w:t xml:space="preserve">Web </w:t>
      </w:r>
      <w:r>
        <w:rPr>
          <w:color w:val="333333"/>
          <w:w w:val="110"/>
        </w:rPr>
        <w:t xml:space="preserve">Services with Spring Boot, see </w:t>
      </w:r>
      <w:r>
        <w:rPr>
          <w:color w:val="333333"/>
          <w:spacing w:val="-4"/>
          <w:w w:val="110"/>
        </w:rPr>
        <w:t>"</w:t>
      </w:r>
      <w:hyperlink w:anchor="_bookmark340" w:history="1">
        <w:r>
          <w:rPr>
            <w:color w:val="418BCA"/>
            <w:spacing w:val="-4"/>
            <w:w w:val="110"/>
          </w:rPr>
          <w:t xml:space="preserve">Web </w:t>
        </w:r>
        <w:r>
          <w:rPr>
            <w:color w:val="418BCA"/>
            <w:w w:val="110"/>
          </w:rPr>
          <w:t>Services</w:t>
        </w:r>
      </w:hyperlink>
      <w:r>
        <w:rPr>
          <w:color w:val="333333"/>
          <w:w w:val="110"/>
        </w:rPr>
        <w:t>", earlier in this chapter.)</w:t>
      </w:r>
    </w:p>
    <w:p w14:paraId="6A8EEDD2" w14:textId="77777777" w:rsidR="00A720EB" w:rsidRDefault="00A720EB">
      <w:pPr>
        <w:pStyle w:val="a3"/>
        <w:spacing w:before="1"/>
        <w:rPr>
          <w:sz w:val="28"/>
        </w:rPr>
      </w:pPr>
    </w:p>
    <w:p w14:paraId="08468C8D" w14:textId="77777777" w:rsidR="00A720EB" w:rsidRDefault="00E10349">
      <w:pPr>
        <w:pStyle w:val="a3"/>
        <w:ind w:left="1564"/>
        <w:rPr>
          <w:rFonts w:ascii="MS Gothic"/>
        </w:rPr>
      </w:pPr>
      <w:r>
        <w:pict w14:anchorId="69A1925F">
          <v:line id="_x0000_s3522" style="position:absolute;left:0;text-align:left;z-index:16147456;mso-position-horizontal-relative:page" from="108.25pt,-5.45pt" to="108.25pt,34.1pt" strokecolor="#ededed" strokeweight=".5pt">
            <w10:wrap anchorx="page"/>
          </v:line>
        </w:pict>
      </w:r>
      <w:r w:rsidR="0030286B">
        <w:rPr>
          <w:noProof/>
        </w:rPr>
        <w:drawing>
          <wp:anchor distT="0" distB="0" distL="0" distR="0" simplePos="0" relativeHeight="16147968" behindDoc="0" locked="0" layoutInCell="1" allowOverlap="1" wp14:anchorId="7679437D" wp14:editId="251F11B7">
            <wp:simplePos x="0" y="0"/>
            <wp:positionH relativeFrom="page">
              <wp:posOffset>888949</wp:posOffset>
            </wp:positionH>
            <wp:positionV relativeFrom="paragraph">
              <wp:posOffset>29413</wp:posOffset>
            </wp:positionV>
            <wp:extent cx="209550" cy="304800"/>
            <wp:effectExtent l="0" t="0" r="0" b="0"/>
            <wp:wrapNone/>
            <wp:docPr id="5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list of the auto-configuration settings that are enabled by </w:t>
      </w:r>
      <w:r w:rsidR="0030286B">
        <w:rPr>
          <w:rFonts w:ascii="MS Gothic"/>
          <w:color w:val="B02045"/>
          <w:w w:val="110"/>
        </w:rPr>
        <w:t>@WebServiceClientTest</w:t>
      </w:r>
    </w:p>
    <w:p w14:paraId="158AA8FC" w14:textId="77777777" w:rsidR="00A720EB" w:rsidRDefault="0030286B">
      <w:pPr>
        <w:pStyle w:val="a3"/>
        <w:spacing w:before="57"/>
        <w:ind w:left="1564"/>
      </w:pPr>
      <w:r>
        <w:rPr>
          <w:color w:val="333333"/>
          <w:w w:val="115"/>
        </w:rPr>
        <w:t xml:space="preserve">can be </w:t>
      </w:r>
      <w:hyperlink w:anchor="_bookmark689" w:history="1">
        <w:r>
          <w:rPr>
            <w:color w:val="418BCA"/>
            <w:w w:val="115"/>
          </w:rPr>
          <w:t>found in the appendix</w:t>
        </w:r>
      </w:hyperlink>
      <w:r>
        <w:rPr>
          <w:color w:val="333333"/>
          <w:w w:val="115"/>
        </w:rPr>
        <w:t>.</w:t>
      </w:r>
    </w:p>
    <w:p w14:paraId="03818206" w14:textId="77777777" w:rsidR="00A720EB" w:rsidRDefault="00A720EB">
      <w:pPr>
        <w:pStyle w:val="a3"/>
        <w:spacing w:before="3"/>
        <w:rPr>
          <w:sz w:val="32"/>
        </w:rPr>
      </w:pPr>
    </w:p>
    <w:p w14:paraId="1A65D5AE" w14:textId="77777777" w:rsidR="00A720EB" w:rsidRDefault="0030286B">
      <w:pPr>
        <w:pStyle w:val="a3"/>
        <w:spacing w:before="1"/>
        <w:ind w:left="124"/>
        <w:jc w:val="both"/>
      </w:pPr>
      <w:r>
        <w:rPr>
          <w:color w:val="333333"/>
          <w:w w:val="110"/>
        </w:rPr>
        <w:t xml:space="preserve">The following example shows the </w:t>
      </w:r>
      <w:r>
        <w:rPr>
          <w:rFonts w:ascii="MS Gothic"/>
          <w:color w:val="B02045"/>
          <w:w w:val="110"/>
        </w:rPr>
        <w:t>@WebServiceClientTest</w:t>
      </w:r>
      <w:r>
        <w:rPr>
          <w:rFonts w:ascii="MS Gothic"/>
          <w:color w:val="B02045"/>
          <w:spacing w:val="-67"/>
          <w:w w:val="110"/>
        </w:rPr>
        <w:t xml:space="preserve"> </w:t>
      </w:r>
      <w:r>
        <w:rPr>
          <w:color w:val="333333"/>
          <w:w w:val="110"/>
        </w:rPr>
        <w:t>annotation in use:</w:t>
      </w:r>
    </w:p>
    <w:p w14:paraId="4FC34236" w14:textId="77777777" w:rsidR="00A720EB" w:rsidRDefault="00E10349">
      <w:pPr>
        <w:pStyle w:val="a3"/>
        <w:spacing w:before="10"/>
        <w:rPr>
          <w:sz w:val="17"/>
        </w:rPr>
      </w:pPr>
      <w:r>
        <w:pict w14:anchorId="33F76456">
          <v:group id="_x0000_s3518" style="position:absolute;margin-left:47.85pt;margin-top:12.5pt;width:499.55pt;height:288.1pt;z-index:-15310336;mso-wrap-distance-left:0;mso-wrap-distance-right:0;mso-position-horizontal-relative:page" coordorigin="957,250" coordsize="9991,5762">
            <v:shape id="_x0000_s3521" style="position:absolute;left:964;top:257;width:9976;height:5747" coordorigin="965,257" coordsize="9976,5747" path="m10861,257r-9816,l1014,263r-26,18l971,306r-6,31l965,5924r6,31l988,5980r26,17l1045,6004r9816,l10892,5997r25,-17l10935,5955r6,-31l10941,337r-6,-31l10917,281r-25,-18l10861,257xe" fillcolor="#f5f5f5" stroked="f">
              <v:path arrowok="t"/>
            </v:shape>
            <v:shape id="_x0000_s3520" style="position:absolute;left:964;top:257;width:9976;height:5747" coordorigin="965,257" coordsize="9976,5747" path="m1045,257r9816,l10892,263r25,18l10935,306r6,31l10941,5924r-6,31l10917,5980r-25,17l10861,6004r-9816,l1014,5997r-26,-17l971,5955r-6,-31l965,337r6,-31l988,281r26,-18l1045,257xe" filled="f" strokecolor="#ccc">
              <v:path arrowok="t"/>
            </v:shape>
            <v:shape id="_x0000_s3519" type="#_x0000_t202" style="position:absolute;left:984;top:272;width:9938;height:5716" filled="f" stroked="f">
              <v:textbox inset="0,0,0,0">
                <w:txbxContent>
                  <w:p w14:paraId="3C7E0337" w14:textId="77777777" w:rsidR="00711A16" w:rsidRDefault="00711A16">
                    <w:pPr>
                      <w:spacing w:before="221" w:line="252" w:lineRule="auto"/>
                      <w:ind w:left="200" w:right="3998"/>
                      <w:rPr>
                        <w:rFonts w:ascii="MS Gothic"/>
                      </w:rPr>
                    </w:pPr>
                    <w:r>
                      <w:rPr>
                        <w:rFonts w:ascii="MS Gothic"/>
                        <w:color w:val="333333"/>
                      </w:rPr>
                      <w:t>@</w:t>
                    </w:r>
                    <w:proofErr w:type="gramStart"/>
                    <w:r>
                      <w:rPr>
                        <w:rFonts w:ascii="MS Gothic"/>
                        <w:color w:val="333333"/>
                      </w:rPr>
                      <w:t>WebServiceClientTest(</w:t>
                    </w:r>
                    <w:proofErr w:type="gramEnd"/>
                    <w:r>
                      <w:rPr>
                        <w:rFonts w:ascii="MS Gothic"/>
                        <w:color w:val="333333"/>
                      </w:rPr>
                      <w:t>ExampleWebServiceClient.class) class WebServiceClientIntegrationTests {</w:t>
                    </w:r>
                  </w:p>
                  <w:p w14:paraId="494E2740" w14:textId="77777777" w:rsidR="00711A16" w:rsidRDefault="00711A16">
                    <w:pPr>
                      <w:spacing w:before="10"/>
                      <w:rPr>
                        <w:rFonts w:ascii="MS Gothic"/>
                      </w:rPr>
                    </w:pPr>
                  </w:p>
                  <w:p w14:paraId="5644AD06" w14:textId="77777777" w:rsidR="00711A16" w:rsidRDefault="00711A16">
                    <w:pPr>
                      <w:ind w:left="640"/>
                      <w:rPr>
                        <w:rFonts w:ascii="MS Gothic"/>
                      </w:rPr>
                    </w:pPr>
                    <w:r>
                      <w:rPr>
                        <w:rFonts w:ascii="MS Gothic"/>
                        <w:color w:val="333333"/>
                      </w:rPr>
                      <w:t>@Autowired</w:t>
                    </w:r>
                  </w:p>
                  <w:p w14:paraId="23AE92CD" w14:textId="77777777" w:rsidR="00711A16" w:rsidRDefault="00711A16">
                    <w:pPr>
                      <w:spacing w:before="13"/>
                      <w:ind w:left="640"/>
                      <w:rPr>
                        <w:rFonts w:ascii="MS Gothic"/>
                      </w:rPr>
                    </w:pPr>
                    <w:r>
                      <w:rPr>
                        <w:rFonts w:ascii="MS Gothic"/>
                        <w:color w:val="333333"/>
                      </w:rPr>
                      <w:t>private MockWebServiceServer server;</w:t>
                    </w:r>
                  </w:p>
                  <w:p w14:paraId="7B429138" w14:textId="77777777" w:rsidR="00711A16" w:rsidRDefault="00711A16">
                    <w:pPr>
                      <w:rPr>
                        <w:rFonts w:ascii="MS Gothic"/>
                        <w:sz w:val="24"/>
                      </w:rPr>
                    </w:pPr>
                  </w:p>
                  <w:p w14:paraId="43CA0DE0" w14:textId="77777777" w:rsidR="00711A16" w:rsidRDefault="00711A16">
                    <w:pPr>
                      <w:ind w:left="640"/>
                      <w:rPr>
                        <w:rFonts w:ascii="MS Gothic"/>
                      </w:rPr>
                    </w:pPr>
                    <w:r>
                      <w:rPr>
                        <w:rFonts w:ascii="MS Gothic"/>
                        <w:color w:val="333333"/>
                      </w:rPr>
                      <w:t>@Autowired</w:t>
                    </w:r>
                  </w:p>
                  <w:p w14:paraId="39832005" w14:textId="77777777" w:rsidR="00711A16" w:rsidRDefault="00711A16">
                    <w:pPr>
                      <w:spacing w:before="13"/>
                      <w:ind w:left="640"/>
                      <w:rPr>
                        <w:rFonts w:ascii="MS Gothic"/>
                      </w:rPr>
                    </w:pPr>
                    <w:r>
                      <w:rPr>
                        <w:rFonts w:ascii="MS Gothic"/>
                        <w:color w:val="333333"/>
                      </w:rPr>
                      <w:t>private ExampleWebServiceClient client;</w:t>
                    </w:r>
                  </w:p>
                  <w:p w14:paraId="76702AE4" w14:textId="77777777" w:rsidR="00711A16" w:rsidRDefault="00711A16">
                    <w:pPr>
                      <w:rPr>
                        <w:rFonts w:ascii="MS Gothic"/>
                        <w:sz w:val="24"/>
                      </w:rPr>
                    </w:pPr>
                  </w:p>
                  <w:p w14:paraId="482A6D2E" w14:textId="77777777" w:rsidR="00711A16" w:rsidRDefault="00711A16">
                    <w:pPr>
                      <w:spacing w:before="1"/>
                      <w:ind w:left="640"/>
                      <w:rPr>
                        <w:rFonts w:ascii="MS Gothic"/>
                      </w:rPr>
                    </w:pPr>
                    <w:r>
                      <w:rPr>
                        <w:rFonts w:ascii="MS Gothic"/>
                        <w:color w:val="333333"/>
                      </w:rPr>
                      <w:t>@Test</w:t>
                    </w:r>
                  </w:p>
                  <w:p w14:paraId="1EAB5D66" w14:textId="77777777" w:rsidR="00711A16" w:rsidRDefault="00711A16">
                    <w:pPr>
                      <w:spacing w:before="13"/>
                      <w:ind w:left="640"/>
                      <w:rPr>
                        <w:rFonts w:ascii="MS Gothic"/>
                      </w:rPr>
                    </w:pPr>
                    <w:r>
                      <w:rPr>
                        <w:rFonts w:ascii="MS Gothic"/>
                        <w:color w:val="333333"/>
                      </w:rPr>
                      <w:t xml:space="preserve">void </w:t>
                    </w:r>
                    <w:proofErr w:type="gramStart"/>
                    <w:r>
                      <w:rPr>
                        <w:rFonts w:ascii="MS Gothic"/>
                        <w:color w:val="333333"/>
                      </w:rPr>
                      <w:t>mockServerCall(</w:t>
                    </w:r>
                    <w:proofErr w:type="gramEnd"/>
                    <w:r>
                      <w:rPr>
                        <w:rFonts w:ascii="MS Gothic"/>
                        <w:color w:val="333333"/>
                      </w:rPr>
                      <w:t>) {</w:t>
                    </w:r>
                  </w:p>
                  <w:p w14:paraId="2F2AC3CF" w14:textId="77777777" w:rsidR="00711A16" w:rsidRDefault="00711A16">
                    <w:pPr>
                      <w:spacing w:before="12" w:line="252" w:lineRule="auto"/>
                      <w:ind w:left="1960" w:right="1028" w:hanging="880"/>
                      <w:rPr>
                        <w:rFonts w:ascii="MS Gothic"/>
                      </w:rPr>
                    </w:pPr>
                    <w:proofErr w:type="gramStart"/>
                    <w:r>
                      <w:rPr>
                        <w:rFonts w:ascii="MS Gothic"/>
                        <w:color w:val="333333"/>
                      </w:rPr>
                      <w:t>this.server</w:t>
                    </w:r>
                    <w:proofErr w:type="gramEnd"/>
                    <w:r>
                      <w:rPr>
                        <w:rFonts w:ascii="MS Gothic"/>
                        <w:color w:val="333333"/>
                      </w:rPr>
                      <w:t>.expect(payload(new StringSource("&lt;request/&gt;"))).andRespond( withPayload(new</w:t>
                    </w:r>
                  </w:p>
                  <w:p w14:paraId="16A6A70E" w14:textId="77777777" w:rsidR="00711A16" w:rsidRDefault="00711A16">
                    <w:pPr>
                      <w:spacing w:line="252" w:lineRule="auto"/>
                      <w:ind w:left="1080" w:right="258" w:hanging="880"/>
                      <w:rPr>
                        <w:rFonts w:ascii="MS Gothic"/>
                      </w:rPr>
                    </w:pPr>
                    <w:r>
                      <w:rPr>
                        <w:rFonts w:ascii="MS Gothic"/>
                        <w:color w:val="333333"/>
                      </w:rPr>
                      <w:t>StringSource("&lt;response&gt;&lt;status&gt;200&lt;/status&gt;&lt;/response&gt;"))); assertThat(</w:t>
                    </w:r>
                    <w:proofErr w:type="gramStart"/>
                    <w:r>
                      <w:rPr>
                        <w:rFonts w:ascii="MS Gothic"/>
                        <w:color w:val="333333"/>
                      </w:rPr>
                      <w:t>this.client</w:t>
                    </w:r>
                    <w:proofErr w:type="gramEnd"/>
                    <w:r>
                      <w:rPr>
                        <w:rFonts w:ascii="MS Gothic"/>
                        <w:color w:val="333333"/>
                      </w:rPr>
                      <w:t>.test()).extracting(Response::getStatus).isEqualTo(200);</w:t>
                    </w:r>
                  </w:p>
                  <w:p w14:paraId="1263892C" w14:textId="77777777" w:rsidR="00711A16" w:rsidRDefault="00711A16">
                    <w:pPr>
                      <w:spacing w:line="280" w:lineRule="exact"/>
                      <w:ind w:left="640"/>
                      <w:rPr>
                        <w:rFonts w:ascii="MS Gothic"/>
                      </w:rPr>
                    </w:pPr>
                    <w:r>
                      <w:rPr>
                        <w:rFonts w:ascii="MS Gothic"/>
                        <w:color w:val="333333"/>
                      </w:rPr>
                      <w:t>}</w:t>
                    </w:r>
                  </w:p>
                  <w:p w14:paraId="0F922299" w14:textId="77777777" w:rsidR="00711A16" w:rsidRDefault="00711A16">
                    <w:pPr>
                      <w:spacing w:before="11"/>
                      <w:rPr>
                        <w:rFonts w:ascii="MS Gothic"/>
                        <w:sz w:val="23"/>
                      </w:rPr>
                    </w:pPr>
                  </w:p>
                  <w:p w14:paraId="7445F13D" w14:textId="77777777" w:rsidR="00711A16" w:rsidRDefault="00711A16">
                    <w:pPr>
                      <w:ind w:left="200"/>
                      <w:rPr>
                        <w:rFonts w:ascii="MS Gothic"/>
                      </w:rPr>
                    </w:pPr>
                    <w:r>
                      <w:rPr>
                        <w:rFonts w:ascii="MS Gothic"/>
                        <w:color w:val="333333"/>
                      </w:rPr>
                      <w:t>}</w:t>
                    </w:r>
                  </w:p>
                </w:txbxContent>
              </v:textbox>
            </v:shape>
            <w10:wrap type="topAndBottom" anchorx="page"/>
          </v:group>
        </w:pict>
      </w:r>
    </w:p>
    <w:p w14:paraId="10CFEED5" w14:textId="77777777" w:rsidR="00A720EB" w:rsidRDefault="00A720EB">
      <w:pPr>
        <w:pStyle w:val="a3"/>
        <w:spacing w:before="11"/>
        <w:rPr>
          <w:sz w:val="16"/>
        </w:rPr>
      </w:pPr>
    </w:p>
    <w:p w14:paraId="140A135C" w14:textId="77777777" w:rsidR="00A720EB" w:rsidRDefault="0030286B">
      <w:pPr>
        <w:pStyle w:val="4"/>
        <w:spacing w:before="104"/>
      </w:pPr>
      <w:bookmarkStart w:id="484" w:name="Additional_Auto-configuration_and_Slicin"/>
      <w:bookmarkEnd w:id="484"/>
      <w:r>
        <w:rPr>
          <w:color w:val="333333"/>
          <w:w w:val="110"/>
        </w:rPr>
        <w:t>Additional Auto-configuration and Slicing</w:t>
      </w:r>
    </w:p>
    <w:p w14:paraId="619569D1" w14:textId="77777777" w:rsidR="00A720EB" w:rsidRDefault="0030286B">
      <w:pPr>
        <w:pStyle w:val="a3"/>
        <w:spacing w:before="244" w:line="290" w:lineRule="auto"/>
        <w:ind w:left="124" w:right="127"/>
        <w:jc w:val="both"/>
      </w:pPr>
      <w:r>
        <w:rPr>
          <w:color w:val="333333"/>
          <w:w w:val="110"/>
        </w:rPr>
        <w:t xml:space="preserve">Each slice provides one or more </w:t>
      </w:r>
      <w:r>
        <w:rPr>
          <w:rFonts w:ascii="MS Gothic" w:hAnsi="MS Gothic"/>
          <w:color w:val="B02045"/>
          <w:w w:val="110"/>
        </w:rPr>
        <w:t xml:space="preserve">@AutoConfigure… </w:t>
      </w:r>
      <w:r>
        <w:rPr>
          <w:color w:val="333333"/>
          <w:w w:val="110"/>
        </w:rPr>
        <w:t>annotations that namely defines the auto- configurations that should be included as part of a slice. Additional auto-</w:t>
      </w:r>
      <w:proofErr w:type="gramStart"/>
      <w:r>
        <w:rPr>
          <w:color w:val="333333"/>
          <w:w w:val="110"/>
        </w:rPr>
        <w:t>configurations  can</w:t>
      </w:r>
      <w:proofErr w:type="gramEnd"/>
      <w:r>
        <w:rPr>
          <w:color w:val="333333"/>
          <w:w w:val="110"/>
        </w:rPr>
        <w:t xml:space="preserve">  be added on a test-by-test basis </w:t>
      </w:r>
      <w:r>
        <w:rPr>
          <w:color w:val="333333"/>
          <w:spacing w:val="-3"/>
          <w:w w:val="110"/>
        </w:rPr>
        <w:t xml:space="preserve">by </w:t>
      </w:r>
      <w:r>
        <w:rPr>
          <w:color w:val="333333"/>
          <w:w w:val="110"/>
        </w:rPr>
        <w:t xml:space="preserve">creating a custom </w:t>
      </w:r>
      <w:r>
        <w:rPr>
          <w:rFonts w:ascii="MS Gothic" w:hAnsi="MS Gothic"/>
          <w:color w:val="B02045"/>
          <w:w w:val="110"/>
        </w:rPr>
        <w:t xml:space="preserve">@AutoConfigure… </w:t>
      </w:r>
      <w:r>
        <w:rPr>
          <w:color w:val="333333"/>
          <w:w w:val="110"/>
        </w:rPr>
        <w:t xml:space="preserve">annotation or </w:t>
      </w:r>
      <w:r>
        <w:rPr>
          <w:color w:val="333333"/>
          <w:spacing w:val="-3"/>
          <w:w w:val="110"/>
        </w:rPr>
        <w:t xml:space="preserve">by </w:t>
      </w:r>
      <w:r>
        <w:rPr>
          <w:color w:val="333333"/>
          <w:w w:val="110"/>
        </w:rPr>
        <w:t xml:space="preserve">adding </w:t>
      </w:r>
      <w:r>
        <w:rPr>
          <w:rFonts w:ascii="MS Gothic" w:hAnsi="MS Gothic"/>
          <w:color w:val="B02045"/>
          <w:w w:val="110"/>
        </w:rPr>
        <w:t>@ImportAutoConfiguration</w:t>
      </w:r>
      <w:r>
        <w:rPr>
          <w:rFonts w:ascii="MS Gothic" w:hAnsi="MS Gothic"/>
          <w:color w:val="B02045"/>
          <w:spacing w:val="-71"/>
          <w:w w:val="110"/>
        </w:rPr>
        <w:t xml:space="preserve"> </w:t>
      </w:r>
      <w:r>
        <w:rPr>
          <w:color w:val="333333"/>
          <w:w w:val="110"/>
        </w:rPr>
        <w:t>to the test as shown in the following example:</w:t>
      </w:r>
    </w:p>
    <w:p w14:paraId="3C095603" w14:textId="77777777" w:rsidR="00A720EB" w:rsidRDefault="00A720EB">
      <w:pPr>
        <w:spacing w:line="290" w:lineRule="auto"/>
        <w:jc w:val="both"/>
        <w:sectPr w:rsidR="00A720EB">
          <w:pgSz w:w="11910" w:h="16840"/>
          <w:pgMar w:top="700" w:right="840" w:bottom="520" w:left="840" w:header="0" w:footer="323" w:gutter="0"/>
          <w:cols w:space="720"/>
        </w:sectPr>
      </w:pPr>
    </w:p>
    <w:p w14:paraId="4D3577D2" w14:textId="77777777" w:rsidR="00A720EB" w:rsidRDefault="00E10349">
      <w:pPr>
        <w:pStyle w:val="a3"/>
        <w:ind w:left="116"/>
        <w:rPr>
          <w:sz w:val="20"/>
        </w:rPr>
      </w:pPr>
      <w:r>
        <w:rPr>
          <w:sz w:val="20"/>
        </w:rPr>
      </w:r>
      <w:r>
        <w:rPr>
          <w:sz w:val="20"/>
        </w:rPr>
        <w:pict w14:anchorId="506CE820">
          <v:group id="_x0000_s3514" style="width:499.55pt;height:96.45pt;mso-position-horizontal-relative:char;mso-position-vertical-relative:line" coordsize="9991,1929">
            <v:shape id="_x0000_s3517" style="position:absolute;left:7;top:7;width:9976;height:1914" coordorigin="8,8" coordsize="9976,1914" path="m9904,8l88,8,56,14,31,31,14,56,8,88r,1753l14,1873r17,25l56,1915r32,6l9904,1921r31,-6l9960,1898r17,-25l9984,1841r,-1753l9977,56,9960,31,9935,14,9904,8xe" fillcolor="#f5f5f5" stroked="f">
              <v:path arrowok="t"/>
            </v:shape>
            <v:shape id="_x0000_s3516" style="position:absolute;left:7;top:7;width:9976;height:1914" coordorigin="8,8" coordsize="9976,1914" path="m88,8r9816,l9935,14r25,17l9977,56r7,32l9984,1841r-7,32l9960,1898r-25,17l9904,1921r-9816,l56,1915,31,1898,14,1873,8,1841,8,88,14,56,31,31,56,14,88,8xe" filled="f" strokecolor="#ccc">
              <v:path arrowok="t"/>
            </v:shape>
            <v:shape id="_x0000_s3515" type="#_x0000_t202" style="position:absolute;left:26;top:22;width:9938;height:1884" filled="f" stroked="f">
              <v:textbox inset="0,0,0,0">
                <w:txbxContent>
                  <w:p w14:paraId="78498F0C" w14:textId="77777777" w:rsidR="00711A16" w:rsidRDefault="00711A16">
                    <w:pPr>
                      <w:spacing w:before="221" w:line="252" w:lineRule="auto"/>
                      <w:ind w:left="200" w:right="3118"/>
                      <w:rPr>
                        <w:rFonts w:ascii="MS Gothic"/>
                      </w:rPr>
                    </w:pPr>
                    <w:r>
                      <w:rPr>
                        <w:rFonts w:ascii="MS Gothic"/>
                        <w:color w:val="333333"/>
                      </w:rPr>
                      <w:t>@JdbcTest @</w:t>
                    </w:r>
                    <w:proofErr w:type="gramStart"/>
                    <w:r>
                      <w:rPr>
                        <w:rFonts w:ascii="MS Gothic"/>
                        <w:color w:val="333333"/>
                      </w:rPr>
                      <w:t>ImportAutoConfiguration(</w:t>
                    </w:r>
                    <w:proofErr w:type="gramEnd"/>
                    <w:r>
                      <w:rPr>
                        <w:rFonts w:ascii="MS Gothic"/>
                        <w:color w:val="333333"/>
                      </w:rPr>
                      <w:t>IntegrationAutoConfiguration.class) class ExampleJdbcTests {</w:t>
                    </w:r>
                  </w:p>
                  <w:p w14:paraId="3901B034" w14:textId="77777777" w:rsidR="00711A16" w:rsidRDefault="00711A16">
                    <w:pPr>
                      <w:spacing w:before="9"/>
                      <w:rPr>
                        <w:rFonts w:ascii="MS Gothic"/>
                      </w:rPr>
                    </w:pPr>
                  </w:p>
                  <w:p w14:paraId="10D183A6" w14:textId="77777777" w:rsidR="00711A16" w:rsidRDefault="00711A16">
                    <w:pPr>
                      <w:ind w:left="200"/>
                      <w:rPr>
                        <w:rFonts w:ascii="MS Gothic"/>
                      </w:rPr>
                    </w:pPr>
                    <w:r>
                      <w:rPr>
                        <w:rFonts w:ascii="MS Gothic"/>
                        <w:color w:val="333333"/>
                      </w:rPr>
                      <w:t>}</w:t>
                    </w:r>
                  </w:p>
                </w:txbxContent>
              </v:textbox>
            </v:shape>
            <w10:anchorlock/>
          </v:group>
        </w:pict>
      </w:r>
    </w:p>
    <w:p w14:paraId="17429F1D" w14:textId="77777777" w:rsidR="00A720EB" w:rsidRDefault="00A720EB">
      <w:pPr>
        <w:pStyle w:val="a3"/>
        <w:spacing w:before="7"/>
        <w:rPr>
          <w:sz w:val="16"/>
        </w:rPr>
      </w:pPr>
    </w:p>
    <w:p w14:paraId="71DEDD9F" w14:textId="77777777" w:rsidR="00A720EB" w:rsidRDefault="00E10349">
      <w:pPr>
        <w:pStyle w:val="a3"/>
        <w:spacing w:before="116" w:line="290" w:lineRule="auto"/>
        <w:ind w:left="1564" w:right="359"/>
      </w:pPr>
      <w:r>
        <w:pict w14:anchorId="7D11E3A5">
          <v:line id="_x0000_s3513" style="position:absolute;left:0;text-align:left;z-index:16150528;mso-position-horizontal-relative:page" from="108.25pt,.35pt" to="108.25pt,39.9pt" strokecolor="#ededed" strokeweight=".5pt">
            <w10:wrap anchorx="page"/>
          </v:line>
        </w:pict>
      </w:r>
      <w:r w:rsidR="0030286B">
        <w:rPr>
          <w:noProof/>
        </w:rPr>
        <w:drawing>
          <wp:anchor distT="0" distB="0" distL="0" distR="0" simplePos="0" relativeHeight="16151040" behindDoc="0" locked="0" layoutInCell="1" allowOverlap="1" wp14:anchorId="325730D8" wp14:editId="55F9AAB4">
            <wp:simplePos x="0" y="0"/>
            <wp:positionH relativeFrom="page">
              <wp:posOffset>844422</wp:posOffset>
            </wp:positionH>
            <wp:positionV relativeFrom="paragraph">
              <wp:posOffset>106248</wp:posOffset>
            </wp:positionV>
            <wp:extent cx="298450" cy="298450"/>
            <wp:effectExtent l="0" t="0" r="0" b="0"/>
            <wp:wrapNone/>
            <wp:docPr id="5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Make sure to not use the regular </w:t>
      </w:r>
      <w:r w:rsidR="0030286B">
        <w:rPr>
          <w:rFonts w:ascii="MS Gothic"/>
          <w:color w:val="B02045"/>
          <w:w w:val="110"/>
        </w:rPr>
        <w:t xml:space="preserve">@Import </w:t>
      </w:r>
      <w:r w:rsidR="0030286B">
        <w:rPr>
          <w:color w:val="333333"/>
          <w:w w:val="110"/>
        </w:rPr>
        <w:t>annotation to import auto-configurations as they are handled in a specific way by Spring Boot.</w:t>
      </w:r>
    </w:p>
    <w:p w14:paraId="0DE8FE8C" w14:textId="77777777" w:rsidR="00A720EB" w:rsidRDefault="00A720EB">
      <w:pPr>
        <w:pStyle w:val="a3"/>
        <w:spacing w:before="2"/>
        <w:rPr>
          <w:sz w:val="18"/>
        </w:rPr>
      </w:pPr>
    </w:p>
    <w:p w14:paraId="3E79F5FC" w14:textId="77777777" w:rsidR="00A720EB" w:rsidRDefault="0030286B">
      <w:pPr>
        <w:pStyle w:val="a3"/>
        <w:spacing w:before="125" w:line="297" w:lineRule="auto"/>
        <w:ind w:left="124"/>
      </w:pPr>
      <w:r>
        <w:rPr>
          <w:color w:val="333333"/>
          <w:spacing w:val="-3"/>
          <w:w w:val="110"/>
        </w:rPr>
        <w:t xml:space="preserve">Alternatively, </w:t>
      </w:r>
      <w:r>
        <w:rPr>
          <w:color w:val="333333"/>
          <w:w w:val="110"/>
        </w:rPr>
        <w:t xml:space="preserve">additional auto-configurations can be added for any use of a slice annotation </w:t>
      </w:r>
      <w:r>
        <w:rPr>
          <w:color w:val="333333"/>
          <w:spacing w:val="-3"/>
          <w:w w:val="110"/>
        </w:rPr>
        <w:t xml:space="preserve">by </w:t>
      </w:r>
      <w:r>
        <w:rPr>
          <w:color w:val="333333"/>
          <w:w w:val="110"/>
        </w:rPr>
        <w:t xml:space="preserve">registering them in </w:t>
      </w:r>
      <w:r>
        <w:rPr>
          <w:rFonts w:ascii="MS Gothic"/>
          <w:color w:val="B02045"/>
          <w:w w:val="110"/>
        </w:rPr>
        <w:t>META-INF/spring.factories</w:t>
      </w:r>
      <w:r>
        <w:rPr>
          <w:rFonts w:ascii="MS Gothic"/>
          <w:color w:val="B02045"/>
          <w:spacing w:val="-82"/>
          <w:w w:val="110"/>
        </w:rPr>
        <w:t xml:space="preserve"> </w:t>
      </w:r>
      <w:r>
        <w:rPr>
          <w:color w:val="333333"/>
          <w:w w:val="110"/>
        </w:rPr>
        <w:t>as shown in the following example:</w:t>
      </w:r>
    </w:p>
    <w:p w14:paraId="67DE9611" w14:textId="77777777" w:rsidR="00A720EB" w:rsidRDefault="00E10349">
      <w:pPr>
        <w:pStyle w:val="a3"/>
        <w:spacing w:before="4"/>
        <w:rPr>
          <w:sz w:val="12"/>
        </w:rPr>
      </w:pPr>
      <w:r>
        <w:pict w14:anchorId="6616AC3B">
          <v:group id="_x0000_s3509" style="position:absolute;margin-left:47.85pt;margin-top:9.25pt;width:499.55pt;height:52.25pt;z-index:-15308288;mso-wrap-distance-left:0;mso-wrap-distance-right:0;mso-position-horizontal-relative:page" coordorigin="957,185" coordsize="9991,1045">
            <v:shape id="_x0000_s3512" style="position:absolute;left:964;top:192;width:9976;height:1030" coordorigin="965,193" coordsize="9976,1030" path="m10861,193r-9816,l1014,199r-26,17l971,241r-6,32l965,1142r6,31l988,1199r26,17l1045,1222r9816,l10892,1216r25,-17l10935,1173r6,-31l10941,273r-6,-32l10917,216r-25,-17l10861,193xe" fillcolor="#f5f5f5" stroked="f">
              <v:path arrowok="t"/>
            </v:shape>
            <v:shape id="_x0000_s3511" style="position:absolute;left:964;top:192;width:9976;height:1030" coordorigin="965,193" coordsize="9976,1030" path="m1045,193r9816,l10892,199r25,17l10935,241r6,32l10941,1142r-6,31l10917,1199r-25,17l10861,1222r-9816,l1014,1216r-26,-17l971,1173r-6,-31l965,273r6,-32l988,216r26,-17l1045,193xe" filled="f" strokecolor="#ccc">
              <v:path arrowok="t"/>
            </v:shape>
            <v:shape id="_x0000_s3510" type="#_x0000_t202" style="position:absolute;left:984;top:208;width:9938;height:999" filled="f" stroked="f">
              <v:textbox inset="0,0,0,0">
                <w:txbxContent>
                  <w:p w14:paraId="2CFF13A1" w14:textId="77777777" w:rsidR="00711A16" w:rsidRDefault="00711A16">
                    <w:pPr>
                      <w:spacing w:before="221" w:line="252" w:lineRule="auto"/>
                      <w:ind w:left="200" w:right="258"/>
                      <w:rPr>
                        <w:rFonts w:ascii="MS Gothic"/>
                      </w:rPr>
                    </w:pPr>
                    <w:proofErr w:type="gramStart"/>
                    <w:r>
                      <w:rPr>
                        <w:rFonts w:ascii="MS Gothic"/>
                        <w:color w:val="333333"/>
                      </w:rPr>
                      <w:t>org.springframework</w:t>
                    </w:r>
                    <w:proofErr w:type="gramEnd"/>
                    <w:r>
                      <w:rPr>
                        <w:rFonts w:ascii="MS Gothic"/>
                        <w:color w:val="333333"/>
                      </w:rPr>
                      <w:t>.boot.test.autoconfigure.jdbc.JdbcTest=com.example.IntegrationAutoC onfiguration</w:t>
                    </w:r>
                  </w:p>
                </w:txbxContent>
              </v:textbox>
            </v:shape>
            <w10:wrap type="topAndBottom" anchorx="page"/>
          </v:group>
        </w:pict>
      </w:r>
    </w:p>
    <w:p w14:paraId="612FFBFD" w14:textId="77777777" w:rsidR="00A720EB" w:rsidRDefault="00A720EB">
      <w:pPr>
        <w:pStyle w:val="a3"/>
        <w:spacing w:before="8"/>
        <w:rPr>
          <w:sz w:val="16"/>
        </w:rPr>
      </w:pPr>
    </w:p>
    <w:p w14:paraId="08E315BF" w14:textId="77777777" w:rsidR="00A720EB" w:rsidRDefault="00E10349">
      <w:pPr>
        <w:pStyle w:val="a3"/>
        <w:spacing w:before="116" w:line="280" w:lineRule="auto"/>
        <w:ind w:left="1564" w:right="368"/>
      </w:pPr>
      <w:r>
        <w:pict w14:anchorId="0EDA4268">
          <v:line id="_x0000_s3508" style="position:absolute;left:0;text-align:left;z-index:16151552;mso-position-horizontal-relative:page" from="108.25pt,.35pt" to="108.25pt,39.9pt" strokecolor="#ededed" strokeweight=".5pt">
            <w10:wrap anchorx="page"/>
          </v:line>
        </w:pict>
      </w:r>
      <w:r w:rsidR="0030286B">
        <w:rPr>
          <w:noProof/>
        </w:rPr>
        <w:drawing>
          <wp:anchor distT="0" distB="0" distL="0" distR="0" simplePos="0" relativeHeight="16152064" behindDoc="0" locked="0" layoutInCell="1" allowOverlap="1" wp14:anchorId="663243A1" wp14:editId="31596C01">
            <wp:simplePos x="0" y="0"/>
            <wp:positionH relativeFrom="page">
              <wp:posOffset>888949</wp:posOffset>
            </wp:positionH>
            <wp:positionV relativeFrom="paragraph">
              <wp:posOffset>103072</wp:posOffset>
            </wp:positionV>
            <wp:extent cx="209550" cy="304799"/>
            <wp:effectExtent l="0" t="0" r="0" b="0"/>
            <wp:wrapNone/>
            <wp:docPr id="5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24.png"/>
                    <pic:cNvPicPr/>
                  </pic:nvPicPr>
                  <pic:blipFill>
                    <a:blip r:embed="rId31" cstate="print"/>
                    <a:stretch>
                      <a:fillRect/>
                    </a:stretch>
                  </pic:blipFill>
                  <pic:spPr>
                    <a:xfrm>
                      <a:off x="0" y="0"/>
                      <a:ext cx="209550" cy="304799"/>
                    </a:xfrm>
                    <a:prstGeom prst="rect">
                      <a:avLst/>
                    </a:prstGeom>
                  </pic:spPr>
                </pic:pic>
              </a:graphicData>
            </a:graphic>
          </wp:anchor>
        </w:drawing>
      </w:r>
      <w:r w:rsidR="0030286B">
        <w:rPr>
          <w:color w:val="333333"/>
          <w:w w:val="110"/>
        </w:rPr>
        <w:t xml:space="preserve">A slice or </w:t>
      </w:r>
      <w:r w:rsidR="0030286B">
        <w:rPr>
          <w:rFonts w:ascii="MS Gothic" w:hAnsi="MS Gothic"/>
          <w:color w:val="B02045"/>
          <w:w w:val="110"/>
        </w:rPr>
        <w:t xml:space="preserve">@AutoConfigure… </w:t>
      </w:r>
      <w:r w:rsidR="0030286B">
        <w:rPr>
          <w:color w:val="333333"/>
          <w:w w:val="110"/>
        </w:rPr>
        <w:t xml:space="preserve">annotation can be customized this way as long as it is meta-annotated with </w:t>
      </w:r>
      <w:r w:rsidR="0030286B">
        <w:rPr>
          <w:rFonts w:ascii="MS Gothic" w:hAnsi="MS Gothic"/>
          <w:color w:val="B02045"/>
          <w:w w:val="110"/>
        </w:rPr>
        <w:t>@ImportAutoConfiguration</w:t>
      </w:r>
      <w:r w:rsidR="0030286B">
        <w:rPr>
          <w:color w:val="333333"/>
          <w:w w:val="110"/>
        </w:rPr>
        <w:t>.</w:t>
      </w:r>
    </w:p>
    <w:p w14:paraId="0AC5E508" w14:textId="77777777" w:rsidR="00A720EB" w:rsidRDefault="00A720EB">
      <w:pPr>
        <w:pStyle w:val="a3"/>
        <w:spacing w:before="7"/>
        <w:rPr>
          <w:sz w:val="24"/>
        </w:rPr>
      </w:pPr>
    </w:p>
    <w:p w14:paraId="64F01090" w14:textId="77777777" w:rsidR="00A720EB" w:rsidRDefault="0030286B">
      <w:pPr>
        <w:pStyle w:val="4"/>
        <w:spacing w:before="104"/>
        <w:jc w:val="left"/>
      </w:pPr>
      <w:bookmarkStart w:id="485" w:name="User_Configuration_and_Slicing"/>
      <w:bookmarkEnd w:id="485"/>
      <w:r>
        <w:rPr>
          <w:color w:val="333333"/>
          <w:w w:val="110"/>
        </w:rPr>
        <w:t>User Configuration and Slicing</w:t>
      </w:r>
    </w:p>
    <w:p w14:paraId="68B8480A" w14:textId="77777777" w:rsidR="00A720EB" w:rsidRDefault="0030286B">
      <w:pPr>
        <w:pStyle w:val="a3"/>
        <w:spacing w:before="244" w:line="290" w:lineRule="auto"/>
        <w:ind w:left="124"/>
      </w:pPr>
      <w:r>
        <w:rPr>
          <w:color w:val="333333"/>
          <w:w w:val="110"/>
        </w:rPr>
        <w:t xml:space="preserve">If you </w:t>
      </w:r>
      <w:hyperlink w:anchor="_bookmark48" w:history="1">
        <w:r>
          <w:rPr>
            <w:color w:val="418BCA"/>
            <w:w w:val="110"/>
          </w:rPr>
          <w:t xml:space="preserve">structure your code </w:t>
        </w:r>
      </w:hyperlink>
      <w:r>
        <w:rPr>
          <w:color w:val="333333"/>
          <w:w w:val="110"/>
        </w:rPr>
        <w:t xml:space="preserve">in a sensible </w:t>
      </w:r>
      <w:r>
        <w:rPr>
          <w:color w:val="333333"/>
          <w:spacing w:val="-7"/>
          <w:w w:val="110"/>
        </w:rPr>
        <w:t xml:space="preserve">way, </w:t>
      </w:r>
      <w:r>
        <w:rPr>
          <w:color w:val="333333"/>
          <w:w w:val="110"/>
        </w:rPr>
        <w:t xml:space="preserve">your </w:t>
      </w:r>
      <w:r>
        <w:rPr>
          <w:rFonts w:ascii="MS Gothic"/>
          <w:color w:val="B02045"/>
          <w:w w:val="110"/>
        </w:rPr>
        <w:t>@SpringBootApplication</w:t>
      </w:r>
      <w:r>
        <w:rPr>
          <w:rFonts w:ascii="MS Gothic"/>
          <w:color w:val="B02045"/>
          <w:spacing w:val="-77"/>
          <w:w w:val="110"/>
        </w:rPr>
        <w:t xml:space="preserve"> </w:t>
      </w:r>
      <w:r>
        <w:rPr>
          <w:color w:val="333333"/>
          <w:w w:val="110"/>
        </w:rPr>
        <w:t xml:space="preserve">class is </w:t>
      </w:r>
      <w:hyperlink w:anchor="_bookmark308" w:history="1">
        <w:r>
          <w:rPr>
            <w:color w:val="418BCA"/>
            <w:w w:val="110"/>
          </w:rPr>
          <w:t xml:space="preserve">used </w:t>
        </w:r>
        <w:r>
          <w:rPr>
            <w:color w:val="418BCA"/>
            <w:spacing w:val="-3"/>
            <w:w w:val="110"/>
          </w:rPr>
          <w:t xml:space="preserve">by </w:t>
        </w:r>
        <w:r>
          <w:rPr>
            <w:color w:val="418BCA"/>
            <w:w w:val="110"/>
          </w:rPr>
          <w:t xml:space="preserve">default </w:t>
        </w:r>
      </w:hyperlink>
      <w:r>
        <w:rPr>
          <w:color w:val="333333"/>
          <w:w w:val="110"/>
        </w:rPr>
        <w:t>as the configuration of your tests.</w:t>
      </w:r>
    </w:p>
    <w:p w14:paraId="00B09EC6" w14:textId="77777777" w:rsidR="00A720EB" w:rsidRDefault="00A720EB">
      <w:pPr>
        <w:pStyle w:val="a3"/>
        <w:rPr>
          <w:sz w:val="22"/>
        </w:rPr>
      </w:pPr>
    </w:p>
    <w:p w14:paraId="12C7BE11" w14:textId="77777777" w:rsidR="00A720EB" w:rsidRDefault="0030286B">
      <w:pPr>
        <w:pStyle w:val="a3"/>
        <w:spacing w:line="307" w:lineRule="auto"/>
        <w:ind w:left="124" w:right="359"/>
      </w:pPr>
      <w:r>
        <w:rPr>
          <w:color w:val="333333"/>
          <w:w w:val="110"/>
        </w:rPr>
        <w:t>It then becomes important not to litter the application’s main class with configuration settings that are specific to a particular area of its functionality.</w:t>
      </w:r>
    </w:p>
    <w:p w14:paraId="13D34522" w14:textId="77777777" w:rsidR="00A720EB" w:rsidRDefault="0030286B">
      <w:pPr>
        <w:pStyle w:val="a3"/>
        <w:spacing w:before="241" w:line="297" w:lineRule="auto"/>
        <w:ind w:left="124" w:right="462"/>
      </w:pPr>
      <w:r>
        <w:rPr>
          <w:color w:val="333333"/>
          <w:w w:val="110"/>
        </w:rPr>
        <w:t xml:space="preserve">Assume that you are using Spring Batch and you rely on the auto-configuration for it. </w:t>
      </w:r>
      <w:r>
        <w:rPr>
          <w:color w:val="333333"/>
          <w:spacing w:val="-6"/>
          <w:w w:val="110"/>
        </w:rPr>
        <w:t xml:space="preserve">You </w:t>
      </w:r>
      <w:r>
        <w:rPr>
          <w:color w:val="333333"/>
          <w:w w:val="110"/>
        </w:rPr>
        <w:t xml:space="preserve">could define your </w:t>
      </w:r>
      <w:r>
        <w:rPr>
          <w:rFonts w:ascii="MS Gothic"/>
          <w:color w:val="B02045"/>
          <w:w w:val="110"/>
        </w:rPr>
        <w:t>@SpringBootApplication</w:t>
      </w:r>
      <w:r>
        <w:rPr>
          <w:rFonts w:ascii="MS Gothic"/>
          <w:color w:val="B02045"/>
          <w:spacing w:val="-60"/>
          <w:w w:val="110"/>
        </w:rPr>
        <w:t xml:space="preserve"> </w:t>
      </w:r>
      <w:r>
        <w:rPr>
          <w:color w:val="333333"/>
          <w:w w:val="110"/>
        </w:rPr>
        <w:t>as follows:</w:t>
      </w:r>
    </w:p>
    <w:p w14:paraId="2B0FD5C0" w14:textId="77777777" w:rsidR="00A720EB" w:rsidRDefault="00E10349">
      <w:pPr>
        <w:pStyle w:val="a3"/>
        <w:spacing w:before="5"/>
        <w:rPr>
          <w:sz w:val="12"/>
        </w:rPr>
      </w:pPr>
      <w:r>
        <w:pict w14:anchorId="4E912726">
          <v:group id="_x0000_s3504" style="position:absolute;margin-left:47.85pt;margin-top:9.25pt;width:499.55pt;height:67pt;z-index:-15307776;mso-wrap-distance-left:0;mso-wrap-distance-right:0;mso-position-horizontal-relative:page" coordorigin="957,185" coordsize="9991,1340">
            <v:shape id="_x0000_s3507" style="position:absolute;left:964;top:192;width:9976;height:1325" coordorigin="965,193" coordsize="9976,1325" path="m10861,193r-9816,l1014,199r-26,17l971,242r-6,31l965,1437r6,32l988,1494r26,17l1045,1517r9816,l10892,1511r25,-17l10935,1469r6,-32l10941,273r-6,-31l10917,216r-25,-17l10861,193xe" fillcolor="#f5f5f5" stroked="f">
              <v:path arrowok="t"/>
            </v:shape>
            <v:shape id="_x0000_s3506" style="position:absolute;left:964;top:192;width:9976;height:1325" coordorigin="965,193" coordsize="9976,1325" path="m1045,193r9816,l10892,199r25,17l10935,242r6,31l10941,1437r-6,32l10917,1494r-25,17l10861,1517r-9816,l1014,1511r-26,-17l971,1469r-6,-32l965,273r6,-31l988,216r26,-17l1045,193xe" filled="f" strokecolor="#ccc">
              <v:path arrowok="t"/>
            </v:shape>
            <v:shape id="_x0000_s3505" type="#_x0000_t202" style="position:absolute;left:984;top:208;width:9938;height:1294" filled="f" stroked="f">
              <v:textbox inset="0,0,0,0">
                <w:txbxContent>
                  <w:p w14:paraId="43E6283C" w14:textId="77777777" w:rsidR="00711A16" w:rsidRDefault="00711A16">
                    <w:pPr>
                      <w:spacing w:before="221" w:line="252" w:lineRule="auto"/>
                      <w:ind w:left="200" w:right="7298"/>
                      <w:rPr>
                        <w:rFonts w:ascii="MS Gothic"/>
                      </w:rPr>
                    </w:pPr>
                    <w:r>
                      <w:rPr>
                        <w:rFonts w:ascii="MS Gothic"/>
                        <w:color w:val="333333"/>
                      </w:rPr>
                      <w:t>@SpringBootApplication @EnableBatchProcessing</w:t>
                    </w:r>
                  </w:p>
                  <w:p w14:paraId="6FA26374" w14:textId="77777777" w:rsidR="00711A16" w:rsidRDefault="00711A16">
                    <w:pPr>
                      <w:spacing w:line="280" w:lineRule="exact"/>
                      <w:ind w:left="200"/>
                      <w:rPr>
                        <w:rFonts w:ascii="MS Gothic"/>
                      </w:rPr>
                    </w:pPr>
                    <w:r>
                      <w:rPr>
                        <w:rFonts w:ascii="MS Gothic"/>
                        <w:color w:val="333333"/>
                      </w:rPr>
                      <w:t xml:space="preserve">public class SampleApplication </w:t>
                    </w:r>
                    <w:proofErr w:type="gramStart"/>
                    <w:r>
                      <w:rPr>
                        <w:rFonts w:ascii="MS Gothic"/>
                        <w:color w:val="333333"/>
                      </w:rPr>
                      <w:t>{ ...</w:t>
                    </w:r>
                    <w:proofErr w:type="gramEnd"/>
                    <w:r>
                      <w:rPr>
                        <w:rFonts w:ascii="MS Gothic"/>
                        <w:color w:val="333333"/>
                      </w:rPr>
                      <w:t xml:space="preserve"> }</w:t>
                    </w:r>
                  </w:p>
                </w:txbxContent>
              </v:textbox>
            </v:shape>
            <w10:wrap type="topAndBottom" anchorx="page"/>
          </v:group>
        </w:pict>
      </w:r>
    </w:p>
    <w:p w14:paraId="1987DEE9" w14:textId="77777777" w:rsidR="00A720EB" w:rsidRDefault="00A720EB">
      <w:pPr>
        <w:pStyle w:val="a3"/>
        <w:rPr>
          <w:sz w:val="10"/>
        </w:rPr>
      </w:pPr>
    </w:p>
    <w:p w14:paraId="0C7F5CAA" w14:textId="77777777" w:rsidR="00A720EB" w:rsidRDefault="0030286B">
      <w:pPr>
        <w:pStyle w:val="a3"/>
        <w:spacing w:before="125" w:line="297" w:lineRule="auto"/>
        <w:ind w:left="124" w:right="128"/>
        <w:jc w:val="both"/>
      </w:pPr>
      <w:r>
        <w:rPr>
          <w:color w:val="333333"/>
          <w:w w:val="110"/>
        </w:rPr>
        <w:t xml:space="preserve">Because this class is the source configuration for the test, any slice test actually tries to start Spring Batch, which is definitely not what you want to do. A recommended approach is to move that area- specific configuration to a separate </w:t>
      </w:r>
      <w:r>
        <w:rPr>
          <w:rFonts w:ascii="MS Gothic"/>
          <w:color w:val="B02045"/>
          <w:w w:val="110"/>
        </w:rPr>
        <w:t xml:space="preserve">@Configuration </w:t>
      </w:r>
      <w:r>
        <w:rPr>
          <w:color w:val="333333"/>
          <w:w w:val="110"/>
        </w:rPr>
        <w:t>class at the same level as your application, as shown in the following example:</w:t>
      </w:r>
    </w:p>
    <w:p w14:paraId="0D129095" w14:textId="77777777" w:rsidR="00A720EB" w:rsidRDefault="00E10349">
      <w:pPr>
        <w:pStyle w:val="a3"/>
        <w:spacing w:before="2"/>
        <w:rPr>
          <w:sz w:val="14"/>
        </w:rPr>
      </w:pPr>
      <w:r>
        <w:pict w14:anchorId="3197ACE7">
          <v:group id="_x0000_s3500" style="position:absolute;margin-left:47.85pt;margin-top:10.3pt;width:499.55pt;height:67pt;z-index:-15307264;mso-wrap-distance-left:0;mso-wrap-distance-right:0;mso-position-horizontal-relative:page" coordorigin="957,206" coordsize="9991,1340">
            <v:shape id="_x0000_s3503" style="position:absolute;left:964;top:213;width:9976;height:1325" coordorigin="965,213" coordsize="9976,1325" path="m10861,213r-9816,l1014,219r-26,18l971,262r-6,31l965,1458r6,31l988,1514r26,17l1045,1538r9816,l10892,1531r25,-17l10935,1489r6,-31l10941,293r-6,-31l10917,237r-25,-18l10861,213xe" fillcolor="#f5f5f5" stroked="f">
              <v:path arrowok="t"/>
            </v:shape>
            <v:shape id="_x0000_s3502" style="position:absolute;left:964;top:213;width:9976;height:1325" coordorigin="965,213" coordsize="9976,1325" path="m1045,213r9816,l10892,219r25,18l10935,262r6,31l10941,1458r-6,31l10917,1514r-25,17l10861,1538r-9816,l1014,1531r-26,-17l971,1489r-6,-31l965,293r6,-31l988,237r26,-18l1045,213xe" filled="f" strokecolor="#ccc">
              <v:path arrowok="t"/>
            </v:shape>
            <v:shape id="_x0000_s3501" type="#_x0000_t202" style="position:absolute;left:984;top:228;width:9938;height:1294" filled="f" stroked="f">
              <v:textbox inset="0,0,0,0">
                <w:txbxContent>
                  <w:p w14:paraId="5E91135A"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@EnableBatchProcessing</w:t>
                    </w:r>
                  </w:p>
                  <w:p w14:paraId="7EA04BFE" w14:textId="77777777" w:rsidR="00711A16" w:rsidRDefault="00711A16">
                    <w:pPr>
                      <w:spacing w:line="280" w:lineRule="exact"/>
                      <w:ind w:left="200"/>
                      <w:rPr>
                        <w:rFonts w:ascii="MS Gothic"/>
                      </w:rPr>
                    </w:pPr>
                    <w:r>
                      <w:rPr>
                        <w:rFonts w:ascii="MS Gothic"/>
                        <w:color w:val="333333"/>
                      </w:rPr>
                      <w:t xml:space="preserve">public class BatchConfiguration </w:t>
                    </w:r>
                    <w:proofErr w:type="gramStart"/>
                    <w:r>
                      <w:rPr>
                        <w:rFonts w:ascii="MS Gothic"/>
                        <w:color w:val="333333"/>
                      </w:rPr>
                      <w:t>{ ...</w:t>
                    </w:r>
                    <w:proofErr w:type="gramEnd"/>
                    <w:r>
                      <w:rPr>
                        <w:rFonts w:ascii="MS Gothic"/>
                        <w:color w:val="333333"/>
                      </w:rPr>
                      <w:t xml:space="preserve"> }</w:t>
                    </w:r>
                  </w:p>
                </w:txbxContent>
              </v:textbox>
            </v:shape>
            <w10:wrap type="topAndBottom" anchorx="page"/>
          </v:group>
        </w:pict>
      </w:r>
    </w:p>
    <w:p w14:paraId="1C416369" w14:textId="77777777" w:rsidR="00A720EB" w:rsidRDefault="00A720EB">
      <w:pPr>
        <w:rPr>
          <w:sz w:val="14"/>
        </w:rPr>
        <w:sectPr w:rsidR="00A720EB">
          <w:pgSz w:w="11910" w:h="16840"/>
          <w:pgMar w:top="700" w:right="840" w:bottom="520" w:left="840" w:header="0" w:footer="323" w:gutter="0"/>
          <w:cols w:space="720"/>
        </w:sectPr>
      </w:pPr>
    </w:p>
    <w:p w14:paraId="138F629D" w14:textId="77777777" w:rsidR="00A720EB" w:rsidRDefault="00E10349">
      <w:pPr>
        <w:pStyle w:val="a3"/>
        <w:spacing w:before="122" w:line="290" w:lineRule="auto"/>
        <w:ind w:left="1564" w:right="362"/>
        <w:jc w:val="both"/>
      </w:pPr>
      <w:r>
        <w:lastRenderedPageBreak/>
        <w:pict w14:anchorId="22D0FA6D">
          <v:line id="_x0000_s3499" style="position:absolute;left:0;text-align:left;z-index:16154112;mso-position-horizontal-relative:page" from="108.25pt,.1pt" to="108.25pt,71.25pt" strokecolor="#ededed" strokeweight=".5pt">
            <w10:wrap anchorx="page"/>
          </v:line>
        </w:pict>
      </w:r>
      <w:r w:rsidR="0030286B">
        <w:rPr>
          <w:noProof/>
        </w:rPr>
        <w:drawing>
          <wp:anchor distT="0" distB="0" distL="0" distR="0" simplePos="0" relativeHeight="16154624" behindDoc="0" locked="0" layoutInCell="1" allowOverlap="1" wp14:anchorId="4623FFA3" wp14:editId="6E12FA76">
            <wp:simplePos x="0" y="0"/>
            <wp:positionH relativeFrom="page">
              <wp:posOffset>844422</wp:posOffset>
            </wp:positionH>
            <wp:positionV relativeFrom="paragraph">
              <wp:posOffset>303823</wp:posOffset>
            </wp:positionV>
            <wp:extent cx="298450" cy="298450"/>
            <wp:effectExtent l="0" t="0" r="0" b="0"/>
            <wp:wrapNone/>
            <wp:docPr id="5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Depending on the complexity of your application, you may either have a single </w:t>
      </w:r>
      <w:r w:rsidR="0030286B">
        <w:rPr>
          <w:rFonts w:ascii="MS Gothic"/>
          <w:color w:val="B02045"/>
          <w:w w:val="110"/>
        </w:rPr>
        <w:t xml:space="preserve">@Configuration </w:t>
      </w:r>
      <w:r w:rsidR="0030286B">
        <w:rPr>
          <w:color w:val="333333"/>
          <w:w w:val="110"/>
        </w:rPr>
        <w:t xml:space="preserve">class for your customizations or one class per domain area. The latter approach lets you enable it in one of your tests, if necessary, with the </w:t>
      </w:r>
      <w:r w:rsidR="0030286B">
        <w:rPr>
          <w:rFonts w:ascii="MS Gothic"/>
          <w:color w:val="B02045"/>
          <w:w w:val="110"/>
        </w:rPr>
        <w:t xml:space="preserve">@Import </w:t>
      </w:r>
      <w:r w:rsidR="0030286B">
        <w:rPr>
          <w:color w:val="333333"/>
          <w:w w:val="110"/>
        </w:rPr>
        <w:t>annotation.</w:t>
      </w:r>
    </w:p>
    <w:p w14:paraId="7EC6EA59" w14:textId="77777777" w:rsidR="00A720EB" w:rsidRDefault="00A720EB">
      <w:pPr>
        <w:pStyle w:val="a3"/>
        <w:spacing w:before="9"/>
        <w:rPr>
          <w:sz w:val="17"/>
        </w:rPr>
      </w:pPr>
    </w:p>
    <w:p w14:paraId="30196191" w14:textId="77777777" w:rsidR="00A720EB" w:rsidRDefault="0030286B">
      <w:pPr>
        <w:pStyle w:val="a3"/>
        <w:spacing w:before="116" w:line="285" w:lineRule="auto"/>
        <w:ind w:left="124" w:right="122"/>
        <w:jc w:val="both"/>
      </w:pPr>
      <w:r>
        <w:rPr>
          <w:color w:val="333333"/>
          <w:w w:val="110"/>
        </w:rPr>
        <w:t xml:space="preserve">Test slices exclude </w:t>
      </w:r>
      <w:r>
        <w:rPr>
          <w:rFonts w:ascii="MS Gothic"/>
          <w:color w:val="B02045"/>
          <w:w w:val="110"/>
        </w:rPr>
        <w:t xml:space="preserve">@Configuration </w:t>
      </w:r>
      <w:r>
        <w:rPr>
          <w:color w:val="333333"/>
          <w:w w:val="110"/>
        </w:rPr>
        <w:t xml:space="preserve">classes from scanning. For example, for a </w:t>
      </w:r>
      <w:r>
        <w:rPr>
          <w:rFonts w:ascii="MS Gothic"/>
          <w:color w:val="B02045"/>
          <w:w w:val="110"/>
        </w:rPr>
        <w:t>@WebMvcTest</w:t>
      </w:r>
      <w:r>
        <w:rPr>
          <w:color w:val="333333"/>
          <w:w w:val="110"/>
        </w:rPr>
        <w:t xml:space="preserve">, the following configuration will not include the given </w:t>
      </w:r>
      <w:r>
        <w:rPr>
          <w:rFonts w:ascii="MS Gothic"/>
          <w:color w:val="B02045"/>
          <w:w w:val="110"/>
        </w:rPr>
        <w:t xml:space="preserve">WebMvcConfigurer </w:t>
      </w:r>
      <w:r>
        <w:rPr>
          <w:color w:val="333333"/>
          <w:w w:val="110"/>
        </w:rPr>
        <w:t>bean in the application context loaded by the test slice:</w:t>
      </w:r>
    </w:p>
    <w:p w14:paraId="58C0B1E5" w14:textId="77777777" w:rsidR="00A720EB" w:rsidRDefault="00E10349">
      <w:pPr>
        <w:pStyle w:val="a3"/>
        <w:spacing w:before="1"/>
        <w:rPr>
          <w:sz w:val="15"/>
        </w:rPr>
      </w:pPr>
      <w:r>
        <w:pict w14:anchorId="691F706F">
          <v:group id="_x0000_s3495" style="position:absolute;margin-left:47.85pt;margin-top:10.85pt;width:499.55pt;height:155.45pt;z-index:-15304704;mso-wrap-distance-left:0;mso-wrap-distance-right:0;mso-position-horizontal-relative:page" coordorigin="957,217" coordsize="9991,3109">
            <v:shape id="_x0000_s3498" style="position:absolute;left:964;top:224;width:9976;height:3094" coordorigin="965,225" coordsize="9976,3094" path="m10861,225r-9816,l1014,231r-26,17l971,274r-6,31l965,3238r6,31l988,3295r26,17l1045,3318r9816,l10892,3312r25,-17l10935,3269r6,-31l10941,305r-6,-31l10917,248r-25,-17l10861,225xe" fillcolor="#f5f5f5" stroked="f">
              <v:path arrowok="t"/>
            </v:shape>
            <v:shape id="_x0000_s3497" style="position:absolute;left:964;top:224;width:9976;height:3094" coordorigin="965,225" coordsize="9976,3094" path="m1045,225r9816,l10892,231r25,17l10935,274r6,31l10941,3238r-6,31l10917,3295r-25,17l10861,3318r-9816,l1014,3312r-26,-17l971,3269r-6,-31l965,305r6,-31l988,248r26,-17l1045,225xe" filled="f" strokecolor="#ccc">
              <v:path arrowok="t"/>
            </v:shape>
            <v:shape id="_x0000_s3496" type="#_x0000_t202" style="position:absolute;left:984;top:240;width:9938;height:3063" filled="f" stroked="f">
              <v:textbox inset="0,0,0,0">
                <w:txbxContent>
                  <w:p w14:paraId="485FD76A" w14:textId="77777777" w:rsidR="00711A16" w:rsidRDefault="00711A16">
                    <w:pPr>
                      <w:spacing w:before="221"/>
                      <w:ind w:left="200"/>
                      <w:rPr>
                        <w:rFonts w:ascii="MS Gothic"/>
                      </w:rPr>
                    </w:pPr>
                    <w:r>
                      <w:rPr>
                        <w:rFonts w:ascii="MS Gothic"/>
                        <w:color w:val="333333"/>
                      </w:rPr>
                      <w:t>@Configuration</w:t>
                    </w:r>
                  </w:p>
                  <w:p w14:paraId="1FD7CE48" w14:textId="77777777" w:rsidR="00711A16" w:rsidRDefault="00711A16">
                    <w:pPr>
                      <w:spacing w:before="13" w:line="252" w:lineRule="auto"/>
                      <w:ind w:left="640" w:right="6308" w:hanging="440"/>
                      <w:rPr>
                        <w:rFonts w:ascii="MS Gothic"/>
                      </w:rPr>
                    </w:pPr>
                    <w:r>
                      <w:rPr>
                        <w:rFonts w:ascii="MS Gothic"/>
                        <w:color w:val="333333"/>
                      </w:rPr>
                      <w:t xml:space="preserve">public class WebConfiguration </w:t>
                    </w:r>
                    <w:proofErr w:type="gramStart"/>
                    <w:r>
                      <w:rPr>
                        <w:rFonts w:ascii="MS Gothic"/>
                        <w:color w:val="333333"/>
                      </w:rPr>
                      <w:t>{ @</w:t>
                    </w:r>
                    <w:proofErr w:type="gramEnd"/>
                    <w:r>
                      <w:rPr>
                        <w:rFonts w:ascii="MS Gothic"/>
                        <w:color w:val="333333"/>
                      </w:rPr>
                      <w:t>Bean</w:t>
                    </w:r>
                  </w:p>
                  <w:p w14:paraId="351172A7" w14:textId="77777777" w:rsidR="00711A16" w:rsidRDefault="00711A16">
                    <w:pPr>
                      <w:spacing w:line="252" w:lineRule="auto"/>
                      <w:ind w:left="1080" w:right="4658" w:hanging="440"/>
                      <w:rPr>
                        <w:rFonts w:ascii="MS Gothic"/>
                      </w:rPr>
                    </w:pPr>
                    <w:r>
                      <w:rPr>
                        <w:rFonts w:ascii="MS Gothic"/>
                        <w:color w:val="333333"/>
                      </w:rPr>
                      <w:t xml:space="preserve">public WebMvcConfigurer </w:t>
                    </w:r>
                    <w:proofErr w:type="gramStart"/>
                    <w:r>
                      <w:rPr>
                        <w:rFonts w:ascii="MS Gothic"/>
                        <w:color w:val="333333"/>
                      </w:rPr>
                      <w:t>testConfigurer(</w:t>
                    </w:r>
                    <w:proofErr w:type="gramEnd"/>
                    <w:r>
                      <w:rPr>
                        <w:rFonts w:ascii="MS Gothic"/>
                        <w:color w:val="333333"/>
                      </w:rPr>
                      <w:t>) { return new WebMvcConfigurer() {</w:t>
                    </w:r>
                  </w:p>
                  <w:p w14:paraId="796849FB" w14:textId="77777777" w:rsidR="00711A16" w:rsidRDefault="00711A16">
                    <w:pPr>
                      <w:spacing w:line="280" w:lineRule="exact"/>
                      <w:ind w:left="1520"/>
                      <w:rPr>
                        <w:rFonts w:ascii="MS Gothic"/>
                      </w:rPr>
                    </w:pPr>
                    <w:r>
                      <w:rPr>
                        <w:rFonts w:ascii="MS Gothic"/>
                        <w:color w:val="333333"/>
                      </w:rPr>
                      <w:t>...</w:t>
                    </w:r>
                  </w:p>
                  <w:p w14:paraId="30EB0FCE" w14:textId="77777777" w:rsidR="00711A16" w:rsidRDefault="00711A16">
                    <w:pPr>
                      <w:spacing w:before="10"/>
                      <w:ind w:left="1080"/>
                      <w:rPr>
                        <w:rFonts w:ascii="MS Gothic"/>
                      </w:rPr>
                    </w:pPr>
                    <w:r>
                      <w:rPr>
                        <w:rFonts w:ascii="MS Gothic"/>
                        <w:color w:val="333333"/>
                      </w:rPr>
                      <w:t>};</w:t>
                    </w:r>
                  </w:p>
                  <w:p w14:paraId="44CA21C9" w14:textId="77777777" w:rsidR="00711A16" w:rsidRDefault="00711A16">
                    <w:pPr>
                      <w:spacing w:before="13"/>
                      <w:ind w:left="640"/>
                      <w:rPr>
                        <w:rFonts w:ascii="MS Gothic"/>
                      </w:rPr>
                    </w:pPr>
                    <w:r>
                      <w:rPr>
                        <w:rFonts w:ascii="MS Gothic"/>
                        <w:color w:val="333333"/>
                      </w:rPr>
                      <w:t>}</w:t>
                    </w:r>
                  </w:p>
                  <w:p w14:paraId="197EEE98"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73757D33" w14:textId="77777777" w:rsidR="00A720EB" w:rsidRDefault="00A720EB">
      <w:pPr>
        <w:pStyle w:val="a3"/>
        <w:spacing w:before="11"/>
        <w:rPr>
          <w:sz w:val="9"/>
        </w:rPr>
      </w:pPr>
    </w:p>
    <w:p w14:paraId="7D50F3A7" w14:textId="77777777" w:rsidR="00A720EB" w:rsidRDefault="0030286B">
      <w:pPr>
        <w:pStyle w:val="a3"/>
        <w:spacing w:before="115" w:line="290" w:lineRule="auto"/>
        <w:ind w:left="124"/>
      </w:pPr>
      <w:r>
        <w:rPr>
          <w:color w:val="333333"/>
          <w:w w:val="110"/>
        </w:rPr>
        <w:t xml:space="preserve">The configuration below will, however, cause the custom </w:t>
      </w:r>
      <w:r>
        <w:rPr>
          <w:rFonts w:ascii="MS Gothic"/>
          <w:color w:val="B02045"/>
          <w:w w:val="110"/>
        </w:rPr>
        <w:t xml:space="preserve">WebMvcConfigurer </w:t>
      </w:r>
      <w:r>
        <w:rPr>
          <w:color w:val="333333"/>
          <w:w w:val="110"/>
        </w:rPr>
        <w:t>to be loaded by the test slice.</w:t>
      </w:r>
    </w:p>
    <w:p w14:paraId="25A03DB0" w14:textId="77777777" w:rsidR="00A720EB" w:rsidRDefault="00E10349">
      <w:pPr>
        <w:pStyle w:val="a3"/>
        <w:spacing w:before="8"/>
        <w:rPr>
          <w:sz w:val="14"/>
        </w:rPr>
      </w:pPr>
      <w:r>
        <w:pict w14:anchorId="76293DFE">
          <v:group id="_x0000_s3491" style="position:absolute;margin-left:47.85pt;margin-top:10.6pt;width:499.55pt;height:81.75pt;z-index:-15304192;mso-wrap-distance-left:0;mso-wrap-distance-right:0;mso-position-horizontal-relative:page" coordorigin="957,212" coordsize="9991,1635">
            <v:shape id="_x0000_s3494" style="position:absolute;left:964;top:219;width:9976;height:1620" coordorigin="965,219" coordsize="9976,1620" path="m10861,219r-9816,l1014,226r-26,17l971,268r-6,31l965,1758r6,32l988,1815r26,17l1045,1838r9816,l10892,1832r25,-17l10935,1790r6,-32l10941,299r-6,-31l10917,243r-25,-17l10861,219xe" fillcolor="#f5f5f5" stroked="f">
              <v:path arrowok="t"/>
            </v:shape>
            <v:shape id="_x0000_s3493" style="position:absolute;left:964;top:219;width:9976;height:1620" coordorigin="965,219" coordsize="9976,1620" path="m1045,219r9816,l10892,226r25,17l10935,268r6,31l10941,1758r-6,32l10917,1815r-25,17l10861,1838r-9816,l1014,1832r-26,-17l971,1790r-6,-32l965,299r6,-31l988,243r26,-17l1045,219xe" filled="f" strokecolor="#ccc">
              <v:path arrowok="t"/>
            </v:shape>
            <v:shape id="_x0000_s3492" type="#_x0000_t202" style="position:absolute;left:984;top:234;width:9938;height:1589" filled="f" stroked="f">
              <v:textbox inset="0,0,0,0">
                <w:txbxContent>
                  <w:p w14:paraId="087CE338" w14:textId="77777777" w:rsidR="00711A16" w:rsidRDefault="00711A16">
                    <w:pPr>
                      <w:spacing w:before="221"/>
                      <w:ind w:left="200"/>
                      <w:rPr>
                        <w:rFonts w:ascii="MS Gothic"/>
                      </w:rPr>
                    </w:pPr>
                    <w:r>
                      <w:rPr>
                        <w:rFonts w:ascii="MS Gothic"/>
                        <w:color w:val="333333"/>
                      </w:rPr>
                      <w:t>@Component</w:t>
                    </w:r>
                  </w:p>
                  <w:p w14:paraId="3A25853B" w14:textId="77777777" w:rsidR="00711A16" w:rsidRDefault="00711A16">
                    <w:pPr>
                      <w:spacing w:before="13"/>
                      <w:ind w:left="200"/>
                      <w:rPr>
                        <w:rFonts w:ascii="MS Gothic"/>
                      </w:rPr>
                    </w:pPr>
                    <w:r>
                      <w:rPr>
                        <w:rFonts w:ascii="MS Gothic"/>
                        <w:color w:val="333333"/>
                      </w:rPr>
                      <w:t>public class TestWebMvcConfigurer implements WebMvcConfigurer {</w:t>
                    </w:r>
                  </w:p>
                  <w:p w14:paraId="4C74F084" w14:textId="77777777" w:rsidR="00711A16" w:rsidRDefault="00711A16">
                    <w:pPr>
                      <w:spacing w:before="13"/>
                      <w:ind w:left="640"/>
                      <w:rPr>
                        <w:rFonts w:ascii="MS Gothic"/>
                      </w:rPr>
                    </w:pPr>
                    <w:r>
                      <w:rPr>
                        <w:rFonts w:ascii="MS Gothic"/>
                        <w:color w:val="333333"/>
                      </w:rPr>
                      <w:t>...</w:t>
                    </w:r>
                  </w:p>
                  <w:p w14:paraId="3D3BC7C1"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0F6B51B2" w14:textId="77777777" w:rsidR="00A720EB" w:rsidRDefault="00A720EB">
      <w:pPr>
        <w:pStyle w:val="a3"/>
        <w:rPr>
          <w:sz w:val="10"/>
        </w:rPr>
      </w:pPr>
    </w:p>
    <w:p w14:paraId="2329DB74" w14:textId="77777777" w:rsidR="00A720EB" w:rsidRDefault="0030286B">
      <w:pPr>
        <w:pStyle w:val="a3"/>
        <w:spacing w:before="125" w:line="307" w:lineRule="auto"/>
        <w:ind w:left="124" w:right="126"/>
        <w:jc w:val="both"/>
      </w:pPr>
      <w:r>
        <w:rPr>
          <w:color w:val="333333"/>
          <w:w w:val="110"/>
        </w:rPr>
        <w:t xml:space="preserve">Another source of confusion is classpath scanning. Assume that, while you structured your code in     a sensible </w:t>
      </w:r>
      <w:r>
        <w:rPr>
          <w:color w:val="333333"/>
          <w:spacing w:val="-7"/>
          <w:w w:val="110"/>
        </w:rPr>
        <w:t xml:space="preserve">way, </w:t>
      </w:r>
      <w:r>
        <w:rPr>
          <w:color w:val="333333"/>
          <w:w w:val="110"/>
        </w:rPr>
        <w:t xml:space="preserve">you need to scan an additional package. </w:t>
      </w:r>
      <w:r>
        <w:rPr>
          <w:color w:val="333333"/>
          <w:spacing w:val="-5"/>
          <w:w w:val="110"/>
        </w:rPr>
        <w:t xml:space="preserve">Your </w:t>
      </w:r>
      <w:proofErr w:type="gramStart"/>
      <w:r>
        <w:rPr>
          <w:color w:val="333333"/>
          <w:w w:val="110"/>
        </w:rPr>
        <w:t>application  may</w:t>
      </w:r>
      <w:proofErr w:type="gramEnd"/>
      <w:r>
        <w:rPr>
          <w:color w:val="333333"/>
          <w:w w:val="110"/>
        </w:rPr>
        <w:t xml:space="preserve">  resemble  the following</w:t>
      </w:r>
      <w:r>
        <w:rPr>
          <w:color w:val="333333"/>
          <w:spacing w:val="3"/>
          <w:w w:val="110"/>
        </w:rPr>
        <w:t xml:space="preserve"> </w:t>
      </w:r>
      <w:r>
        <w:rPr>
          <w:color w:val="333333"/>
          <w:w w:val="110"/>
        </w:rPr>
        <w:t>code:</w:t>
      </w:r>
    </w:p>
    <w:p w14:paraId="17D4B70D" w14:textId="77777777" w:rsidR="00A720EB" w:rsidRDefault="00E10349">
      <w:pPr>
        <w:pStyle w:val="a3"/>
        <w:spacing w:before="2"/>
        <w:rPr>
          <w:sz w:val="13"/>
        </w:rPr>
      </w:pPr>
      <w:r>
        <w:pict w14:anchorId="273C3A27">
          <v:group id="_x0000_s3487" style="position:absolute;margin-left:47.85pt;margin-top:9.75pt;width:499.55pt;height:67pt;z-index:-15303680;mso-wrap-distance-left:0;mso-wrap-distance-right:0;mso-position-horizontal-relative:page" coordorigin="957,195" coordsize="9991,1340">
            <v:shape id="_x0000_s3490" style="position:absolute;left:964;top:202;width:9976;height:1325" coordorigin="965,202" coordsize="9976,1325" path="m10861,202r-9816,l1014,208r-26,18l971,251r-6,31l965,1447r6,31l988,1503r26,17l1045,1527r9816,l10892,1520r25,-17l10935,1478r6,-31l10941,282r-6,-31l10917,226r-25,-18l10861,202xe" fillcolor="#f5f5f5" stroked="f">
              <v:path arrowok="t"/>
            </v:shape>
            <v:shape id="_x0000_s3489" style="position:absolute;left:964;top:202;width:9976;height:1325" coordorigin="965,202" coordsize="9976,1325" path="m1045,202r9816,l10892,208r25,18l10935,251r6,31l10941,1447r-6,31l10917,1503r-25,17l10861,1527r-9816,l1014,1520r-26,-17l971,1478r-6,-31l965,282r6,-31l988,226r26,-18l1045,202xe" filled="f" strokecolor="#ccc">
              <v:path arrowok="t"/>
            </v:shape>
            <v:shape id="_x0000_s3488" type="#_x0000_t202" style="position:absolute;left:984;top:217;width:9938;height:1294" filled="f" stroked="f">
              <v:textbox inset="0,0,0,0">
                <w:txbxContent>
                  <w:p w14:paraId="5848B6E9" w14:textId="77777777" w:rsidR="00711A16" w:rsidRDefault="00711A16">
                    <w:pPr>
                      <w:spacing w:before="221"/>
                      <w:ind w:left="200"/>
                      <w:rPr>
                        <w:rFonts w:ascii="MS Gothic"/>
                      </w:rPr>
                    </w:pPr>
                    <w:r>
                      <w:rPr>
                        <w:rFonts w:ascii="MS Gothic"/>
                        <w:color w:val="333333"/>
                      </w:rPr>
                      <w:t>@SpringBootApplication</w:t>
                    </w:r>
                  </w:p>
                  <w:p w14:paraId="789DF164" w14:textId="77777777" w:rsidR="00711A16" w:rsidRDefault="00711A16">
                    <w:pPr>
                      <w:spacing w:before="13" w:line="252" w:lineRule="auto"/>
                      <w:ind w:left="200" w:right="3448"/>
                      <w:rPr>
                        <w:rFonts w:ascii="MS Gothic"/>
                      </w:rPr>
                    </w:pPr>
                    <w:r>
                      <w:rPr>
                        <w:rFonts w:ascii="MS Gothic"/>
                        <w:color w:val="333333"/>
                      </w:rPr>
                      <w:t>@</w:t>
                    </w:r>
                    <w:proofErr w:type="gramStart"/>
                    <w:r>
                      <w:rPr>
                        <w:rFonts w:ascii="MS Gothic"/>
                        <w:color w:val="333333"/>
                      </w:rPr>
                      <w:t>ComponentScan(</w:t>
                    </w:r>
                    <w:proofErr w:type="gramEnd"/>
                    <w:r>
                      <w:rPr>
                        <w:rFonts w:ascii="MS Gothic"/>
                        <w:color w:val="333333"/>
                      </w:rPr>
                      <w:t>{ "com.example.app", "org.acme.another" }) public class SampleApplication { ... }</w:t>
                    </w:r>
                  </w:p>
                </w:txbxContent>
              </v:textbox>
            </v:shape>
            <w10:wrap type="topAndBottom" anchorx="page"/>
          </v:group>
        </w:pict>
      </w:r>
    </w:p>
    <w:p w14:paraId="567F3341" w14:textId="77777777" w:rsidR="00A720EB" w:rsidRDefault="00A720EB">
      <w:pPr>
        <w:pStyle w:val="a3"/>
        <w:rPr>
          <w:sz w:val="10"/>
        </w:rPr>
      </w:pPr>
    </w:p>
    <w:p w14:paraId="68DE3408" w14:textId="77777777" w:rsidR="00A720EB" w:rsidRDefault="0030286B">
      <w:pPr>
        <w:pStyle w:val="a3"/>
        <w:spacing w:before="125" w:line="297" w:lineRule="auto"/>
        <w:ind w:left="124" w:right="122"/>
        <w:jc w:val="both"/>
      </w:pPr>
      <w:r>
        <w:rPr>
          <w:color w:val="333333"/>
          <w:w w:val="110"/>
        </w:rPr>
        <w:t xml:space="preserve">Doing so effectively overrides the default component scan directive with the side effect of scanning those two packages regardless of the slice that you chose. For instance, a </w:t>
      </w:r>
      <w:r>
        <w:rPr>
          <w:rFonts w:ascii="MS Gothic"/>
          <w:color w:val="B02045"/>
          <w:w w:val="110"/>
        </w:rPr>
        <w:t xml:space="preserve">@DataJpaTest </w:t>
      </w:r>
      <w:r>
        <w:rPr>
          <w:color w:val="333333"/>
          <w:w w:val="110"/>
        </w:rPr>
        <w:t>seems to suddenly scan components and user configurations of your application. Again, moving the custom directive to a separate class is a good way to fix this issue.</w:t>
      </w:r>
    </w:p>
    <w:p w14:paraId="2F7EF491" w14:textId="77777777" w:rsidR="00A720EB" w:rsidRDefault="00A720EB">
      <w:pPr>
        <w:pStyle w:val="a3"/>
        <w:spacing w:before="7"/>
        <w:rPr>
          <w:sz w:val="17"/>
        </w:rPr>
      </w:pPr>
    </w:p>
    <w:p w14:paraId="34793A77" w14:textId="77777777" w:rsidR="00A720EB" w:rsidRDefault="00E10349">
      <w:pPr>
        <w:pStyle w:val="a3"/>
        <w:spacing w:before="116" w:line="302" w:lineRule="auto"/>
        <w:ind w:left="1564" w:right="362"/>
        <w:jc w:val="both"/>
      </w:pPr>
      <w:r>
        <w:pict w14:anchorId="4C8FADD4">
          <v:line id="_x0000_s3486" style="position:absolute;left:0;text-align:left;z-index:16155136;mso-position-horizontal-relative:page" from="108.25pt,.35pt" to="108.25pt,71.45pt" strokecolor="#ededed" strokeweight=".5pt">
            <w10:wrap anchorx="page"/>
          </v:line>
        </w:pict>
      </w:r>
      <w:r w:rsidR="0030286B">
        <w:rPr>
          <w:noProof/>
        </w:rPr>
        <w:drawing>
          <wp:anchor distT="0" distB="0" distL="0" distR="0" simplePos="0" relativeHeight="16155648" behindDoc="0" locked="0" layoutInCell="1" allowOverlap="1" wp14:anchorId="3F0C78AE" wp14:editId="5C7E7CCE">
            <wp:simplePos x="0" y="0"/>
            <wp:positionH relativeFrom="page">
              <wp:posOffset>888949</wp:posOffset>
            </wp:positionH>
            <wp:positionV relativeFrom="paragraph">
              <wp:posOffset>303479</wp:posOffset>
            </wp:positionV>
            <wp:extent cx="209550" cy="304800"/>
            <wp:effectExtent l="0" t="0" r="0" b="0"/>
            <wp:wrapNone/>
            <wp:docPr id="5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this is not an option for you, you can create a </w:t>
      </w:r>
      <w:r w:rsidR="0030286B">
        <w:rPr>
          <w:rFonts w:ascii="MS Gothic"/>
          <w:color w:val="B02045"/>
          <w:w w:val="110"/>
        </w:rPr>
        <w:t xml:space="preserve">@SpringBootConfiguration </w:t>
      </w:r>
      <w:r w:rsidR="0030286B">
        <w:rPr>
          <w:color w:val="333333"/>
          <w:w w:val="110"/>
        </w:rPr>
        <w:t xml:space="preserve">somewhere in the hierarchy of your test so that it is used instead. </w:t>
      </w:r>
      <w:proofErr w:type="gramStart"/>
      <w:r w:rsidR="0030286B">
        <w:rPr>
          <w:color w:val="333333"/>
          <w:spacing w:val="-3"/>
          <w:w w:val="110"/>
        </w:rPr>
        <w:t xml:space="preserve">Alternatively,   </w:t>
      </w:r>
      <w:proofErr w:type="gramEnd"/>
      <w:r w:rsidR="0030286B">
        <w:rPr>
          <w:color w:val="333333"/>
          <w:spacing w:val="-3"/>
          <w:w w:val="110"/>
        </w:rPr>
        <w:t xml:space="preserve"> </w:t>
      </w:r>
      <w:r w:rsidR="0030286B">
        <w:rPr>
          <w:color w:val="333333"/>
          <w:w w:val="110"/>
        </w:rPr>
        <w:t>you can specify a source for your test, which disables the behavior of finding a default</w:t>
      </w:r>
      <w:r w:rsidR="0030286B">
        <w:rPr>
          <w:color w:val="333333"/>
          <w:spacing w:val="2"/>
          <w:w w:val="110"/>
        </w:rPr>
        <w:t xml:space="preserve"> </w:t>
      </w:r>
      <w:r w:rsidR="0030286B">
        <w:rPr>
          <w:color w:val="333333"/>
          <w:w w:val="110"/>
        </w:rPr>
        <w:t>one.</w:t>
      </w:r>
    </w:p>
    <w:p w14:paraId="29C4AE44" w14:textId="77777777" w:rsidR="00A720EB" w:rsidRDefault="00A720EB">
      <w:pPr>
        <w:spacing w:line="302" w:lineRule="auto"/>
        <w:jc w:val="both"/>
        <w:sectPr w:rsidR="00A720EB">
          <w:pgSz w:w="11910" w:h="16840"/>
          <w:pgMar w:top="700" w:right="840" w:bottom="520" w:left="840" w:header="0" w:footer="323" w:gutter="0"/>
          <w:cols w:space="720"/>
        </w:sectPr>
      </w:pPr>
    </w:p>
    <w:p w14:paraId="795E21AB" w14:textId="77777777" w:rsidR="00A720EB" w:rsidRDefault="0030286B">
      <w:pPr>
        <w:pStyle w:val="4"/>
        <w:spacing w:before="86"/>
        <w:jc w:val="left"/>
      </w:pPr>
      <w:bookmarkStart w:id="486" w:name="Using_Spock_to_Test_Spring_Boot_Applicat"/>
      <w:bookmarkEnd w:id="486"/>
      <w:r>
        <w:rPr>
          <w:color w:val="333333"/>
          <w:w w:val="110"/>
        </w:rPr>
        <w:lastRenderedPageBreak/>
        <w:t>Using Spock to Test Spring Boot Applications</w:t>
      </w:r>
    </w:p>
    <w:p w14:paraId="2B3E9B74" w14:textId="77777777" w:rsidR="00A720EB" w:rsidRDefault="00A720EB">
      <w:pPr>
        <w:pStyle w:val="a3"/>
        <w:spacing w:before="11"/>
        <w:rPr>
          <w:rFonts w:ascii="Palatino Linotype"/>
          <w:b/>
          <w:sz w:val="18"/>
        </w:rPr>
      </w:pPr>
    </w:p>
    <w:p w14:paraId="1BDE6E36" w14:textId="77777777" w:rsidR="00A720EB" w:rsidRDefault="0030286B">
      <w:pPr>
        <w:pStyle w:val="a3"/>
        <w:spacing w:line="300" w:lineRule="auto"/>
        <w:ind w:left="124" w:right="123"/>
        <w:jc w:val="both"/>
      </w:pPr>
      <w:r>
        <w:rPr>
          <w:color w:val="333333"/>
          <w:w w:val="110"/>
        </w:rPr>
        <w:t xml:space="preserve">If you wish to use Spock to test a Spring Boot application, you should add a dependency on Spock’s </w:t>
      </w:r>
      <w:r>
        <w:rPr>
          <w:rFonts w:ascii="MS Gothic" w:hAnsi="MS Gothic"/>
          <w:color w:val="B02045"/>
          <w:w w:val="110"/>
        </w:rPr>
        <w:t xml:space="preserve">spock-spring </w:t>
      </w:r>
      <w:r>
        <w:rPr>
          <w:color w:val="333333"/>
          <w:w w:val="110"/>
        </w:rPr>
        <w:t xml:space="preserve">module to your application’s build. </w:t>
      </w:r>
      <w:r>
        <w:rPr>
          <w:rFonts w:ascii="MS Gothic" w:hAnsi="MS Gothic"/>
          <w:color w:val="B02045"/>
          <w:w w:val="110"/>
        </w:rPr>
        <w:t xml:space="preserve">spock-spring </w:t>
      </w:r>
      <w:r>
        <w:rPr>
          <w:color w:val="333333"/>
          <w:w w:val="110"/>
        </w:rPr>
        <w:t xml:space="preserve">integrates Spring’s test framework into Spock. It is recommended that you use Spock 1.2 or later to benefit from a number of improvements to Spock’s Spring Framework and Spring Boot integration. See  </w:t>
      </w:r>
      <w:hyperlink r:id="rId345" w:anchor="_spring_module">
        <w:r>
          <w:rPr>
            <w:color w:val="418BCA"/>
            <w:w w:val="110"/>
          </w:rPr>
          <w:t>the documentation</w:t>
        </w:r>
      </w:hyperlink>
      <w:r>
        <w:rPr>
          <w:color w:val="418BCA"/>
          <w:w w:val="110"/>
        </w:rPr>
        <w:t xml:space="preserve">   </w:t>
      </w:r>
      <w:hyperlink r:id="rId346" w:anchor="_spring_module">
        <w:r>
          <w:rPr>
            <w:color w:val="418BCA"/>
            <w:w w:val="110"/>
          </w:rPr>
          <w:t xml:space="preserve">for Spock’s Spring module </w:t>
        </w:r>
      </w:hyperlink>
      <w:r>
        <w:rPr>
          <w:color w:val="333333"/>
          <w:w w:val="110"/>
        </w:rPr>
        <w:t>for further</w:t>
      </w:r>
      <w:r>
        <w:rPr>
          <w:color w:val="333333"/>
          <w:spacing w:val="24"/>
          <w:w w:val="110"/>
        </w:rPr>
        <w:t xml:space="preserve"> </w:t>
      </w:r>
      <w:r>
        <w:rPr>
          <w:color w:val="333333"/>
          <w:w w:val="110"/>
        </w:rPr>
        <w:t>details.</w:t>
      </w:r>
    </w:p>
    <w:p w14:paraId="3F36C284" w14:textId="77777777" w:rsidR="00A720EB" w:rsidRDefault="00A720EB">
      <w:pPr>
        <w:pStyle w:val="a3"/>
        <w:spacing w:before="7"/>
        <w:rPr>
          <w:sz w:val="26"/>
        </w:rPr>
      </w:pPr>
    </w:p>
    <w:p w14:paraId="32D124EF" w14:textId="77777777" w:rsidR="00A720EB" w:rsidRDefault="0030286B">
      <w:pPr>
        <w:pStyle w:val="3"/>
        <w:numPr>
          <w:ilvl w:val="2"/>
          <w:numId w:val="68"/>
        </w:numPr>
        <w:tabs>
          <w:tab w:val="left" w:pos="1003"/>
        </w:tabs>
        <w:ind w:left="1002" w:hanging="879"/>
      </w:pPr>
      <w:bookmarkStart w:id="487" w:name="4.26.4._Test_Utilities"/>
      <w:bookmarkStart w:id="488" w:name="_Toc54423814"/>
      <w:bookmarkEnd w:id="487"/>
      <w:r>
        <w:rPr>
          <w:color w:val="333333"/>
          <w:spacing w:val="-3"/>
          <w:w w:val="110"/>
        </w:rPr>
        <w:t>Test</w:t>
      </w:r>
      <w:r>
        <w:rPr>
          <w:color w:val="333333"/>
          <w:spacing w:val="-6"/>
          <w:w w:val="110"/>
        </w:rPr>
        <w:t xml:space="preserve"> </w:t>
      </w:r>
      <w:r>
        <w:rPr>
          <w:color w:val="333333"/>
          <w:w w:val="110"/>
        </w:rPr>
        <w:t>Utilities</w:t>
      </w:r>
      <w:bookmarkEnd w:id="488"/>
    </w:p>
    <w:p w14:paraId="1C82BCA5" w14:textId="77777777" w:rsidR="00A720EB" w:rsidRDefault="0030286B">
      <w:pPr>
        <w:pStyle w:val="a3"/>
        <w:spacing w:before="254" w:line="297" w:lineRule="auto"/>
        <w:ind w:left="124" w:right="135"/>
        <w:jc w:val="both"/>
      </w:pPr>
      <w:r>
        <w:rPr>
          <w:color w:val="333333"/>
          <w:w w:val="110"/>
        </w:rPr>
        <w:t xml:space="preserve">A few test utility classes that are generally useful when testing your application are packaged </w:t>
      </w:r>
      <w:proofErr w:type="gramStart"/>
      <w:r>
        <w:rPr>
          <w:color w:val="333333"/>
          <w:w w:val="110"/>
        </w:rPr>
        <w:t xml:space="preserve">as </w:t>
      </w:r>
      <w:r>
        <w:rPr>
          <w:color w:val="333333"/>
          <w:spacing w:val="50"/>
          <w:w w:val="110"/>
        </w:rPr>
        <w:t xml:space="preserve"> </w:t>
      </w:r>
      <w:r>
        <w:rPr>
          <w:color w:val="333333"/>
          <w:w w:val="110"/>
        </w:rPr>
        <w:t>part</w:t>
      </w:r>
      <w:proofErr w:type="gramEnd"/>
      <w:r>
        <w:rPr>
          <w:color w:val="333333"/>
          <w:w w:val="110"/>
        </w:rPr>
        <w:t xml:space="preserve"> of</w:t>
      </w:r>
      <w:r>
        <w:rPr>
          <w:color w:val="333333"/>
          <w:spacing w:val="5"/>
          <w:w w:val="110"/>
        </w:rPr>
        <w:t xml:space="preserve"> </w:t>
      </w:r>
      <w:r>
        <w:rPr>
          <w:rFonts w:ascii="MS Gothic"/>
          <w:color w:val="B02045"/>
          <w:w w:val="110"/>
        </w:rPr>
        <w:t>spring-boot</w:t>
      </w:r>
      <w:r>
        <w:rPr>
          <w:color w:val="333333"/>
          <w:w w:val="110"/>
        </w:rPr>
        <w:t>.</w:t>
      </w:r>
    </w:p>
    <w:p w14:paraId="5E8BB4EB" w14:textId="77777777" w:rsidR="00A720EB" w:rsidRDefault="00A720EB">
      <w:pPr>
        <w:pStyle w:val="a3"/>
        <w:spacing w:before="11"/>
        <w:rPr>
          <w:sz w:val="24"/>
        </w:rPr>
      </w:pPr>
    </w:p>
    <w:p w14:paraId="30A8974E" w14:textId="77777777" w:rsidR="00A720EB" w:rsidRDefault="0030286B">
      <w:pPr>
        <w:pStyle w:val="4"/>
        <w:jc w:val="left"/>
      </w:pPr>
      <w:bookmarkStart w:id="489" w:name="ConfigFileApplicationContextInitializer"/>
      <w:bookmarkEnd w:id="489"/>
      <w:r>
        <w:rPr>
          <w:color w:val="333333"/>
          <w:w w:val="110"/>
        </w:rPr>
        <w:t>ConfigFileApplicationContextInitializer</w:t>
      </w:r>
    </w:p>
    <w:p w14:paraId="4EC14F72" w14:textId="77777777" w:rsidR="00A720EB" w:rsidRDefault="0030286B">
      <w:pPr>
        <w:pStyle w:val="a3"/>
        <w:spacing w:before="244" w:line="280" w:lineRule="auto"/>
        <w:ind w:left="124" w:right="124"/>
        <w:jc w:val="both"/>
      </w:pPr>
      <w:r>
        <w:rPr>
          <w:rFonts w:ascii="MS Gothic"/>
          <w:color w:val="B02045"/>
          <w:w w:val="105"/>
        </w:rPr>
        <w:t>ConfigFileApplicationContextInitializer</w:t>
      </w:r>
      <w:r>
        <w:rPr>
          <w:rFonts w:ascii="MS Gothic"/>
          <w:color w:val="B02045"/>
          <w:spacing w:val="-71"/>
          <w:w w:val="105"/>
        </w:rPr>
        <w:t xml:space="preserve"> </w:t>
      </w:r>
      <w:r>
        <w:rPr>
          <w:color w:val="333333"/>
          <w:w w:val="105"/>
        </w:rPr>
        <w:t>is</w:t>
      </w:r>
      <w:r>
        <w:rPr>
          <w:color w:val="333333"/>
          <w:spacing w:val="-10"/>
          <w:w w:val="105"/>
        </w:rPr>
        <w:t xml:space="preserve"> </w:t>
      </w:r>
      <w:r>
        <w:rPr>
          <w:color w:val="333333"/>
          <w:w w:val="105"/>
        </w:rPr>
        <w:t>an</w:t>
      </w:r>
      <w:r>
        <w:rPr>
          <w:color w:val="333333"/>
          <w:spacing w:val="-9"/>
          <w:w w:val="105"/>
        </w:rPr>
        <w:t xml:space="preserve"> </w:t>
      </w:r>
      <w:r>
        <w:rPr>
          <w:rFonts w:ascii="MS Gothic"/>
          <w:color w:val="B02045"/>
          <w:w w:val="105"/>
        </w:rPr>
        <w:t>ApplicationContextInitializer</w:t>
      </w:r>
      <w:r>
        <w:rPr>
          <w:rFonts w:ascii="MS Gothic"/>
          <w:color w:val="B02045"/>
          <w:spacing w:val="-71"/>
          <w:w w:val="105"/>
        </w:rPr>
        <w:t xml:space="preserve"> </w:t>
      </w:r>
      <w:r>
        <w:rPr>
          <w:color w:val="333333"/>
          <w:w w:val="105"/>
        </w:rPr>
        <w:t>that</w:t>
      </w:r>
      <w:r>
        <w:rPr>
          <w:color w:val="333333"/>
          <w:spacing w:val="-10"/>
          <w:w w:val="105"/>
        </w:rPr>
        <w:t xml:space="preserve"> </w:t>
      </w:r>
      <w:r>
        <w:rPr>
          <w:color w:val="333333"/>
          <w:w w:val="105"/>
        </w:rPr>
        <w:t>you</w:t>
      </w:r>
      <w:r>
        <w:rPr>
          <w:color w:val="333333"/>
          <w:spacing w:val="-9"/>
          <w:w w:val="105"/>
        </w:rPr>
        <w:t xml:space="preserve"> </w:t>
      </w:r>
      <w:r>
        <w:rPr>
          <w:color w:val="333333"/>
          <w:w w:val="105"/>
        </w:rPr>
        <w:t>can</w:t>
      </w:r>
      <w:r>
        <w:rPr>
          <w:color w:val="333333"/>
          <w:spacing w:val="-10"/>
          <w:w w:val="105"/>
        </w:rPr>
        <w:t xml:space="preserve"> </w:t>
      </w:r>
      <w:r>
        <w:rPr>
          <w:color w:val="333333"/>
          <w:w w:val="105"/>
        </w:rPr>
        <w:t>apply</w:t>
      </w:r>
      <w:r>
        <w:rPr>
          <w:color w:val="333333"/>
          <w:spacing w:val="-10"/>
          <w:w w:val="105"/>
        </w:rPr>
        <w:t xml:space="preserve"> </w:t>
      </w:r>
      <w:r>
        <w:rPr>
          <w:color w:val="333333"/>
          <w:w w:val="105"/>
        </w:rPr>
        <w:t xml:space="preserve">to </w:t>
      </w:r>
      <w:r>
        <w:rPr>
          <w:color w:val="333333"/>
          <w:w w:val="110"/>
        </w:rPr>
        <w:t>your</w:t>
      </w:r>
      <w:r>
        <w:rPr>
          <w:color w:val="333333"/>
          <w:spacing w:val="-5"/>
          <w:w w:val="110"/>
        </w:rPr>
        <w:t xml:space="preserve"> </w:t>
      </w:r>
      <w:r>
        <w:rPr>
          <w:color w:val="333333"/>
          <w:w w:val="110"/>
        </w:rPr>
        <w:t>tests</w:t>
      </w:r>
      <w:r>
        <w:rPr>
          <w:color w:val="333333"/>
          <w:spacing w:val="-4"/>
          <w:w w:val="110"/>
        </w:rPr>
        <w:t xml:space="preserve"> </w:t>
      </w:r>
      <w:r>
        <w:rPr>
          <w:color w:val="333333"/>
          <w:w w:val="110"/>
        </w:rPr>
        <w:t>to</w:t>
      </w:r>
      <w:r>
        <w:rPr>
          <w:color w:val="333333"/>
          <w:spacing w:val="-5"/>
          <w:w w:val="110"/>
        </w:rPr>
        <w:t xml:space="preserve"> </w:t>
      </w:r>
      <w:r>
        <w:rPr>
          <w:color w:val="333333"/>
          <w:w w:val="110"/>
        </w:rPr>
        <w:t>load</w:t>
      </w:r>
      <w:r>
        <w:rPr>
          <w:color w:val="333333"/>
          <w:spacing w:val="-4"/>
          <w:w w:val="110"/>
        </w:rPr>
        <w:t xml:space="preserve"> </w:t>
      </w:r>
      <w:r>
        <w:rPr>
          <w:color w:val="333333"/>
          <w:w w:val="110"/>
        </w:rPr>
        <w:t>Spring</w:t>
      </w:r>
      <w:r>
        <w:rPr>
          <w:color w:val="333333"/>
          <w:spacing w:val="-5"/>
          <w:w w:val="110"/>
        </w:rPr>
        <w:t xml:space="preserve"> </w:t>
      </w:r>
      <w:r>
        <w:rPr>
          <w:color w:val="333333"/>
          <w:w w:val="110"/>
        </w:rPr>
        <w:t>Boot</w:t>
      </w:r>
      <w:r>
        <w:rPr>
          <w:color w:val="333333"/>
          <w:spacing w:val="-1"/>
          <w:w w:val="110"/>
        </w:rPr>
        <w:t xml:space="preserve"> </w:t>
      </w:r>
      <w:proofErr w:type="gramStart"/>
      <w:r>
        <w:rPr>
          <w:rFonts w:ascii="MS Gothic"/>
          <w:color w:val="B02045"/>
          <w:w w:val="110"/>
        </w:rPr>
        <w:t>application.properties</w:t>
      </w:r>
      <w:proofErr w:type="gramEnd"/>
      <w:r>
        <w:rPr>
          <w:rFonts w:ascii="MS Gothic"/>
          <w:color w:val="B02045"/>
          <w:spacing w:val="-69"/>
          <w:w w:val="110"/>
        </w:rPr>
        <w:t xml:space="preserve"> </w:t>
      </w:r>
      <w:r>
        <w:rPr>
          <w:color w:val="333333"/>
          <w:w w:val="110"/>
        </w:rPr>
        <w:t>files.</w:t>
      </w:r>
      <w:r>
        <w:rPr>
          <w:color w:val="333333"/>
          <w:spacing w:val="-4"/>
          <w:w w:val="110"/>
        </w:rPr>
        <w:t xml:space="preserve"> </w:t>
      </w:r>
      <w:r>
        <w:rPr>
          <w:color w:val="333333"/>
          <w:spacing w:val="-6"/>
          <w:w w:val="110"/>
        </w:rPr>
        <w:t>You</w:t>
      </w:r>
      <w:r>
        <w:rPr>
          <w:color w:val="333333"/>
          <w:spacing w:val="-5"/>
          <w:w w:val="110"/>
        </w:rPr>
        <w:t xml:space="preserve"> </w:t>
      </w:r>
      <w:r>
        <w:rPr>
          <w:color w:val="333333"/>
          <w:w w:val="110"/>
        </w:rPr>
        <w:t>can</w:t>
      </w:r>
      <w:r>
        <w:rPr>
          <w:color w:val="333333"/>
          <w:spacing w:val="-4"/>
          <w:w w:val="110"/>
        </w:rPr>
        <w:t xml:space="preserve"> </w:t>
      </w:r>
      <w:r>
        <w:rPr>
          <w:color w:val="333333"/>
          <w:w w:val="110"/>
        </w:rPr>
        <w:t>use</w:t>
      </w:r>
      <w:r>
        <w:rPr>
          <w:color w:val="333333"/>
          <w:spacing w:val="-5"/>
          <w:w w:val="110"/>
        </w:rPr>
        <w:t xml:space="preserve"> </w:t>
      </w:r>
      <w:r>
        <w:rPr>
          <w:color w:val="333333"/>
          <w:w w:val="110"/>
        </w:rPr>
        <w:t>it</w:t>
      </w:r>
      <w:r>
        <w:rPr>
          <w:color w:val="333333"/>
          <w:spacing w:val="-4"/>
          <w:w w:val="110"/>
        </w:rPr>
        <w:t xml:space="preserve"> </w:t>
      </w:r>
      <w:r>
        <w:rPr>
          <w:color w:val="333333"/>
          <w:w w:val="110"/>
        </w:rPr>
        <w:t>when</w:t>
      </w:r>
      <w:r>
        <w:rPr>
          <w:color w:val="333333"/>
          <w:spacing w:val="-5"/>
          <w:w w:val="110"/>
        </w:rPr>
        <w:t xml:space="preserve"> </w:t>
      </w:r>
      <w:r>
        <w:rPr>
          <w:color w:val="333333"/>
          <w:w w:val="110"/>
        </w:rPr>
        <w:t>you</w:t>
      </w:r>
      <w:r>
        <w:rPr>
          <w:color w:val="333333"/>
          <w:spacing w:val="-4"/>
          <w:w w:val="110"/>
        </w:rPr>
        <w:t xml:space="preserve"> </w:t>
      </w:r>
      <w:r>
        <w:rPr>
          <w:color w:val="333333"/>
          <w:w w:val="110"/>
        </w:rPr>
        <w:t>do</w:t>
      </w:r>
      <w:r>
        <w:rPr>
          <w:color w:val="333333"/>
          <w:spacing w:val="-5"/>
          <w:w w:val="110"/>
        </w:rPr>
        <w:t xml:space="preserve"> </w:t>
      </w:r>
      <w:r>
        <w:rPr>
          <w:color w:val="333333"/>
          <w:w w:val="110"/>
        </w:rPr>
        <w:t>not</w:t>
      </w:r>
      <w:r>
        <w:rPr>
          <w:color w:val="333333"/>
          <w:spacing w:val="-4"/>
          <w:w w:val="110"/>
        </w:rPr>
        <w:t xml:space="preserve"> </w:t>
      </w:r>
      <w:r>
        <w:rPr>
          <w:color w:val="333333"/>
          <w:w w:val="110"/>
        </w:rPr>
        <w:t>need</w:t>
      </w:r>
      <w:r>
        <w:rPr>
          <w:color w:val="333333"/>
          <w:spacing w:val="-5"/>
          <w:w w:val="110"/>
        </w:rPr>
        <w:t xml:space="preserve"> </w:t>
      </w:r>
      <w:r>
        <w:rPr>
          <w:color w:val="333333"/>
          <w:w w:val="110"/>
        </w:rPr>
        <w:t xml:space="preserve">the full set of features provided </w:t>
      </w:r>
      <w:r>
        <w:rPr>
          <w:color w:val="333333"/>
          <w:spacing w:val="-3"/>
          <w:w w:val="110"/>
        </w:rPr>
        <w:t xml:space="preserve">by </w:t>
      </w:r>
      <w:r>
        <w:rPr>
          <w:rFonts w:ascii="MS Gothic"/>
          <w:color w:val="B02045"/>
          <w:w w:val="110"/>
        </w:rPr>
        <w:t>@SpringBootTest</w:t>
      </w:r>
      <w:r>
        <w:rPr>
          <w:color w:val="333333"/>
          <w:w w:val="110"/>
        </w:rPr>
        <w:t>, as shown in the following</w:t>
      </w:r>
      <w:r>
        <w:rPr>
          <w:color w:val="333333"/>
          <w:spacing w:val="17"/>
          <w:w w:val="110"/>
        </w:rPr>
        <w:t xml:space="preserve"> </w:t>
      </w:r>
      <w:r>
        <w:rPr>
          <w:color w:val="333333"/>
          <w:w w:val="110"/>
        </w:rPr>
        <w:t>example:</w:t>
      </w:r>
    </w:p>
    <w:p w14:paraId="6911A686" w14:textId="77777777" w:rsidR="00A720EB" w:rsidRDefault="00E10349">
      <w:pPr>
        <w:pStyle w:val="a3"/>
        <w:spacing w:before="1"/>
        <w:rPr>
          <w:sz w:val="14"/>
        </w:rPr>
      </w:pPr>
      <w:r>
        <w:pict w14:anchorId="7B86E39E">
          <v:group id="_x0000_s3482" style="position:absolute;margin-left:47.85pt;margin-top:10.25pt;width:499.55pt;height:52.25pt;z-index:-15301120;mso-wrap-distance-left:0;mso-wrap-distance-right:0;mso-position-horizontal-relative:page" coordorigin="957,205" coordsize="9991,1045">
            <v:shape id="_x0000_s3485" style="position:absolute;left:964;top:212;width:9976;height:1030" coordorigin="965,213" coordsize="9976,1030" path="m10861,213r-9816,l1014,219r-26,17l971,262r-6,31l965,1163r6,31l988,1219r26,17l1045,1243r9816,l10892,1236r25,-17l10935,1194r6,-31l10941,293r-6,-31l10917,236r-25,-17l10861,213xe" fillcolor="#f5f5f5" stroked="f">
              <v:path arrowok="t"/>
            </v:shape>
            <v:shape id="_x0000_s3484" style="position:absolute;left:964;top:212;width:9976;height:1030" coordorigin="965,213" coordsize="9976,1030" path="m1045,213r9816,l10892,219r25,17l10935,262r6,31l10941,1163r-6,31l10917,1219r-25,17l10861,1243r-9816,l1014,1236r-26,-17l971,1194r-6,-31l965,293r6,-31l988,236r26,-17l1045,213xe" filled="f" strokecolor="#ccc">
              <v:path arrowok="t"/>
            </v:shape>
            <v:shape id="_x0000_s3483" type="#_x0000_t202" style="position:absolute;left:984;top:228;width:9938;height:999" filled="f" stroked="f">
              <v:textbox inset="0,0,0,0">
                <w:txbxContent>
                  <w:p w14:paraId="39413C8D"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ContextConfiguration(</w:t>
                    </w:r>
                    <w:proofErr w:type="gramEnd"/>
                    <w:r>
                      <w:rPr>
                        <w:rFonts w:ascii="MS Gothic"/>
                        <w:color w:val="333333"/>
                      </w:rPr>
                      <w:t>classes = Config.class,</w:t>
                    </w:r>
                  </w:p>
                  <w:p w14:paraId="16BCC03F" w14:textId="77777777" w:rsidR="00711A16" w:rsidRDefault="00711A16">
                    <w:pPr>
                      <w:spacing w:before="13"/>
                      <w:ind w:left="640"/>
                      <w:rPr>
                        <w:rFonts w:ascii="MS Gothic"/>
                      </w:rPr>
                    </w:pPr>
                    <w:r>
                      <w:rPr>
                        <w:rFonts w:ascii="MS Gothic"/>
                        <w:color w:val="333333"/>
                      </w:rPr>
                      <w:t>initializers = ConfigFileApplicationContextInitializer.class)</w:t>
                    </w:r>
                  </w:p>
                </w:txbxContent>
              </v:textbox>
            </v:shape>
            <w10:wrap type="topAndBottom" anchorx="page"/>
          </v:group>
        </w:pict>
      </w:r>
    </w:p>
    <w:p w14:paraId="652E41E9" w14:textId="77777777" w:rsidR="00A720EB" w:rsidRDefault="00A720EB">
      <w:pPr>
        <w:pStyle w:val="a3"/>
        <w:spacing w:before="8"/>
        <w:rPr>
          <w:sz w:val="16"/>
        </w:rPr>
      </w:pPr>
    </w:p>
    <w:p w14:paraId="3AA382AD" w14:textId="77777777" w:rsidR="00A720EB" w:rsidRDefault="00E10349">
      <w:pPr>
        <w:pStyle w:val="a3"/>
        <w:spacing w:before="116" w:line="280" w:lineRule="auto"/>
        <w:ind w:left="1564" w:right="362"/>
        <w:jc w:val="both"/>
      </w:pPr>
      <w:r>
        <w:pict w14:anchorId="00D71D1D">
          <v:line id="_x0000_s3481" style="position:absolute;left:0;text-align:left;z-index:16157184;mso-position-horizontal-relative:page" from="108.25pt,.35pt" to="108.25pt,87.25pt" strokecolor="#ededed" strokeweight=".5pt">
            <w10:wrap anchorx="page"/>
          </v:line>
        </w:pict>
      </w:r>
      <w:r w:rsidR="0030286B">
        <w:rPr>
          <w:noProof/>
        </w:rPr>
        <w:drawing>
          <wp:anchor distT="0" distB="0" distL="0" distR="0" simplePos="0" relativeHeight="16157696" behindDoc="0" locked="0" layoutInCell="1" allowOverlap="1" wp14:anchorId="578486A0" wp14:editId="122D7E99">
            <wp:simplePos x="0" y="0"/>
            <wp:positionH relativeFrom="page">
              <wp:posOffset>844422</wp:posOffset>
            </wp:positionH>
            <wp:positionV relativeFrom="paragraph">
              <wp:posOffset>406857</wp:posOffset>
            </wp:positionV>
            <wp:extent cx="298450" cy="298450"/>
            <wp:effectExtent l="0" t="0" r="0" b="0"/>
            <wp:wrapNone/>
            <wp:docPr id="5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05"/>
        </w:rPr>
        <w:t xml:space="preserve">Using </w:t>
      </w:r>
      <w:r w:rsidR="0030286B">
        <w:rPr>
          <w:rFonts w:ascii="MS Gothic" w:hAnsi="MS Gothic"/>
          <w:color w:val="B02045"/>
          <w:w w:val="105"/>
        </w:rPr>
        <w:t xml:space="preserve">ConfigFileApplicationContextInitializer </w:t>
      </w:r>
      <w:r w:rsidR="0030286B">
        <w:rPr>
          <w:color w:val="333333"/>
          <w:w w:val="105"/>
        </w:rPr>
        <w:t xml:space="preserve">alone does not provide support for </w:t>
      </w:r>
      <w:r w:rsidR="0030286B">
        <w:rPr>
          <w:rFonts w:ascii="MS Gothic" w:hAnsi="MS Gothic"/>
          <w:color w:val="B02045"/>
          <w:w w:val="110"/>
        </w:rPr>
        <w:t>@</w:t>
      </w:r>
      <w:proofErr w:type="gramStart"/>
      <w:r w:rsidR="0030286B">
        <w:rPr>
          <w:rFonts w:ascii="MS Gothic" w:hAnsi="MS Gothic"/>
          <w:color w:val="B02045"/>
          <w:w w:val="110"/>
        </w:rPr>
        <w:t>Value(</w:t>
      </w:r>
      <w:proofErr w:type="gramEnd"/>
      <w:r w:rsidR="0030286B">
        <w:rPr>
          <w:rFonts w:ascii="MS Gothic" w:hAnsi="MS Gothic"/>
          <w:color w:val="B02045"/>
          <w:w w:val="110"/>
        </w:rPr>
        <w:t>"${…}")</w:t>
      </w:r>
      <w:r w:rsidR="0030286B">
        <w:rPr>
          <w:rFonts w:ascii="MS Gothic" w:hAnsi="MS Gothic"/>
          <w:color w:val="B02045"/>
          <w:spacing w:val="-90"/>
          <w:w w:val="110"/>
        </w:rPr>
        <w:t xml:space="preserve"> </w:t>
      </w:r>
      <w:r w:rsidR="0030286B">
        <w:rPr>
          <w:color w:val="333333"/>
          <w:w w:val="110"/>
        </w:rPr>
        <w:t>injection.</w:t>
      </w:r>
      <w:r w:rsidR="0030286B">
        <w:rPr>
          <w:color w:val="333333"/>
          <w:spacing w:val="-24"/>
          <w:w w:val="110"/>
        </w:rPr>
        <w:t xml:space="preserve"> </w:t>
      </w:r>
      <w:r w:rsidR="0030286B">
        <w:rPr>
          <w:color w:val="333333"/>
          <w:w w:val="110"/>
        </w:rPr>
        <w:t>Its</w:t>
      </w:r>
      <w:r w:rsidR="0030286B">
        <w:rPr>
          <w:color w:val="333333"/>
          <w:spacing w:val="-25"/>
          <w:w w:val="110"/>
        </w:rPr>
        <w:t xml:space="preserve"> </w:t>
      </w:r>
      <w:r w:rsidR="0030286B">
        <w:rPr>
          <w:color w:val="333333"/>
          <w:w w:val="110"/>
        </w:rPr>
        <w:t>only</w:t>
      </w:r>
      <w:r w:rsidR="0030286B">
        <w:rPr>
          <w:color w:val="333333"/>
          <w:spacing w:val="-25"/>
          <w:w w:val="110"/>
        </w:rPr>
        <w:t xml:space="preserve"> </w:t>
      </w:r>
      <w:r w:rsidR="0030286B">
        <w:rPr>
          <w:color w:val="333333"/>
          <w:w w:val="110"/>
        </w:rPr>
        <w:t>job</w:t>
      </w:r>
      <w:r w:rsidR="0030286B">
        <w:rPr>
          <w:color w:val="333333"/>
          <w:spacing w:val="-25"/>
          <w:w w:val="110"/>
        </w:rPr>
        <w:t xml:space="preserve"> </w:t>
      </w:r>
      <w:r w:rsidR="0030286B">
        <w:rPr>
          <w:color w:val="333333"/>
          <w:w w:val="110"/>
        </w:rPr>
        <w:t>is</w:t>
      </w:r>
      <w:r w:rsidR="0030286B">
        <w:rPr>
          <w:color w:val="333333"/>
          <w:spacing w:val="-25"/>
          <w:w w:val="110"/>
        </w:rPr>
        <w:t xml:space="preserve"> </w:t>
      </w:r>
      <w:r w:rsidR="0030286B">
        <w:rPr>
          <w:color w:val="333333"/>
          <w:w w:val="110"/>
        </w:rPr>
        <w:t>to</w:t>
      </w:r>
      <w:r w:rsidR="0030286B">
        <w:rPr>
          <w:color w:val="333333"/>
          <w:spacing w:val="-24"/>
          <w:w w:val="110"/>
        </w:rPr>
        <w:t xml:space="preserve"> </w:t>
      </w:r>
      <w:r w:rsidR="0030286B">
        <w:rPr>
          <w:color w:val="333333"/>
          <w:w w:val="110"/>
        </w:rPr>
        <w:t>ensure</w:t>
      </w:r>
      <w:r w:rsidR="0030286B">
        <w:rPr>
          <w:color w:val="333333"/>
          <w:spacing w:val="-25"/>
          <w:w w:val="110"/>
        </w:rPr>
        <w:t xml:space="preserve"> </w:t>
      </w:r>
      <w:r w:rsidR="0030286B">
        <w:rPr>
          <w:color w:val="333333"/>
          <w:w w:val="110"/>
        </w:rPr>
        <w:t>that</w:t>
      </w:r>
      <w:r w:rsidR="0030286B">
        <w:rPr>
          <w:color w:val="333333"/>
          <w:spacing w:val="-23"/>
          <w:w w:val="110"/>
        </w:rPr>
        <w:t xml:space="preserve"> </w:t>
      </w:r>
      <w:proofErr w:type="gramStart"/>
      <w:r w:rsidR="0030286B">
        <w:rPr>
          <w:rFonts w:ascii="MS Gothic" w:hAnsi="MS Gothic"/>
          <w:color w:val="B02045"/>
          <w:w w:val="110"/>
        </w:rPr>
        <w:t>application.properties</w:t>
      </w:r>
      <w:proofErr w:type="gramEnd"/>
      <w:r w:rsidR="0030286B">
        <w:rPr>
          <w:rFonts w:ascii="MS Gothic" w:hAnsi="MS Gothic"/>
          <w:color w:val="B02045"/>
          <w:spacing w:val="-89"/>
          <w:w w:val="110"/>
        </w:rPr>
        <w:t xml:space="preserve"> </w:t>
      </w:r>
      <w:r w:rsidR="0030286B">
        <w:rPr>
          <w:color w:val="333333"/>
          <w:w w:val="110"/>
        </w:rPr>
        <w:t xml:space="preserve">files are loaded into Spring’s </w:t>
      </w:r>
      <w:r w:rsidR="0030286B">
        <w:rPr>
          <w:rFonts w:ascii="MS Gothic" w:hAnsi="MS Gothic"/>
          <w:color w:val="B02045"/>
          <w:w w:val="110"/>
        </w:rPr>
        <w:t>Environment</w:t>
      </w:r>
      <w:r w:rsidR="0030286B">
        <w:rPr>
          <w:color w:val="333333"/>
          <w:w w:val="110"/>
        </w:rPr>
        <w:t xml:space="preserve">. </w:t>
      </w:r>
      <w:r w:rsidR="0030286B">
        <w:rPr>
          <w:color w:val="333333"/>
          <w:spacing w:val="-4"/>
          <w:w w:val="110"/>
        </w:rPr>
        <w:t xml:space="preserve">For </w:t>
      </w:r>
      <w:r w:rsidR="0030286B">
        <w:rPr>
          <w:rFonts w:ascii="MS Gothic" w:hAnsi="MS Gothic"/>
          <w:color w:val="B02045"/>
          <w:w w:val="110"/>
        </w:rPr>
        <w:t xml:space="preserve">@Value </w:t>
      </w:r>
      <w:r w:rsidR="0030286B">
        <w:rPr>
          <w:color w:val="333333"/>
          <w:w w:val="110"/>
        </w:rPr>
        <w:t xml:space="preserve">support, you need to either additionally configure a </w:t>
      </w:r>
      <w:r w:rsidR="0030286B">
        <w:rPr>
          <w:rFonts w:ascii="MS Gothic" w:hAnsi="MS Gothic"/>
          <w:color w:val="B02045"/>
          <w:w w:val="110"/>
        </w:rPr>
        <w:t xml:space="preserve">PropertySourcesPlaceholderConfigurer </w:t>
      </w:r>
      <w:r w:rsidR="0030286B">
        <w:rPr>
          <w:color w:val="333333"/>
          <w:w w:val="110"/>
        </w:rPr>
        <w:t xml:space="preserve">or use </w:t>
      </w:r>
      <w:r w:rsidR="0030286B">
        <w:rPr>
          <w:rFonts w:ascii="MS Gothic" w:hAnsi="MS Gothic"/>
          <w:color w:val="B02045"/>
          <w:w w:val="110"/>
        </w:rPr>
        <w:t>@SpringBootTest</w:t>
      </w:r>
      <w:r w:rsidR="0030286B">
        <w:rPr>
          <w:color w:val="333333"/>
          <w:w w:val="110"/>
        </w:rPr>
        <w:t>, which auto-configures one for</w:t>
      </w:r>
      <w:r w:rsidR="0030286B">
        <w:rPr>
          <w:color w:val="333333"/>
          <w:spacing w:val="5"/>
          <w:w w:val="110"/>
        </w:rPr>
        <w:t xml:space="preserve"> </w:t>
      </w:r>
      <w:r w:rsidR="0030286B">
        <w:rPr>
          <w:color w:val="333333"/>
          <w:w w:val="110"/>
        </w:rPr>
        <w:t>you.</w:t>
      </w:r>
    </w:p>
    <w:p w14:paraId="2DD90A6E" w14:textId="77777777" w:rsidR="00A720EB" w:rsidRDefault="00A720EB">
      <w:pPr>
        <w:pStyle w:val="a3"/>
        <w:spacing w:before="9"/>
        <w:rPr>
          <w:sz w:val="24"/>
        </w:rPr>
      </w:pPr>
    </w:p>
    <w:p w14:paraId="7A71E0CB" w14:textId="77777777" w:rsidR="00A720EB" w:rsidRDefault="0030286B">
      <w:pPr>
        <w:pStyle w:val="4"/>
        <w:spacing w:before="105"/>
        <w:jc w:val="left"/>
      </w:pPr>
      <w:bookmarkStart w:id="490" w:name="TestPropertyValues"/>
      <w:bookmarkEnd w:id="490"/>
      <w:r>
        <w:rPr>
          <w:color w:val="333333"/>
          <w:w w:val="110"/>
        </w:rPr>
        <w:t>TestPropertyValues</w:t>
      </w:r>
    </w:p>
    <w:p w14:paraId="7DC9CCD8" w14:textId="77777777" w:rsidR="00A720EB" w:rsidRDefault="0030286B">
      <w:pPr>
        <w:pStyle w:val="a3"/>
        <w:tabs>
          <w:tab w:val="left" w:pos="2864"/>
          <w:tab w:val="left" w:pos="3488"/>
          <w:tab w:val="left" w:pos="4477"/>
          <w:tab w:val="left" w:pos="5104"/>
          <w:tab w:val="left" w:pos="6391"/>
          <w:tab w:val="left" w:pos="6838"/>
          <w:tab w:val="left" w:pos="7213"/>
        </w:tabs>
        <w:spacing w:before="243"/>
        <w:ind w:left="124"/>
      </w:pPr>
      <w:r>
        <w:rPr>
          <w:rFonts w:ascii="MS Gothic"/>
          <w:color w:val="B02045"/>
          <w:w w:val="110"/>
        </w:rPr>
        <w:t>TestPropertyValues</w:t>
      </w:r>
      <w:r>
        <w:rPr>
          <w:rFonts w:ascii="MS Gothic"/>
          <w:color w:val="B02045"/>
          <w:spacing w:val="18"/>
          <w:w w:val="110"/>
        </w:rPr>
        <w:t xml:space="preserve"> </w:t>
      </w:r>
      <w:r>
        <w:rPr>
          <w:color w:val="333333"/>
          <w:w w:val="110"/>
        </w:rPr>
        <w:t>lets</w:t>
      </w:r>
      <w:r>
        <w:rPr>
          <w:color w:val="333333"/>
          <w:w w:val="110"/>
        </w:rPr>
        <w:tab/>
        <w:t>you</w:t>
      </w:r>
      <w:r>
        <w:rPr>
          <w:color w:val="333333"/>
          <w:w w:val="110"/>
        </w:rPr>
        <w:tab/>
        <w:t>quickly</w:t>
      </w:r>
      <w:r>
        <w:rPr>
          <w:color w:val="333333"/>
          <w:w w:val="110"/>
        </w:rPr>
        <w:tab/>
        <w:t>add</w:t>
      </w:r>
      <w:r>
        <w:rPr>
          <w:color w:val="333333"/>
          <w:w w:val="110"/>
        </w:rPr>
        <w:tab/>
        <w:t>properties</w:t>
      </w:r>
      <w:r>
        <w:rPr>
          <w:color w:val="333333"/>
          <w:w w:val="110"/>
        </w:rPr>
        <w:tab/>
        <w:t>to</w:t>
      </w:r>
      <w:r>
        <w:rPr>
          <w:color w:val="333333"/>
          <w:w w:val="110"/>
        </w:rPr>
        <w:tab/>
        <w:t>a</w:t>
      </w:r>
      <w:r>
        <w:rPr>
          <w:color w:val="333333"/>
          <w:w w:val="110"/>
        </w:rPr>
        <w:tab/>
      </w:r>
      <w:r>
        <w:rPr>
          <w:rFonts w:ascii="MS Gothic"/>
          <w:color w:val="B02045"/>
          <w:w w:val="110"/>
        </w:rPr>
        <w:t>ConfigurableEnvironment</w:t>
      </w:r>
      <w:r>
        <w:rPr>
          <w:rFonts w:ascii="MS Gothic"/>
          <w:color w:val="B02045"/>
          <w:spacing w:val="-23"/>
          <w:w w:val="110"/>
        </w:rPr>
        <w:t xml:space="preserve"> </w:t>
      </w:r>
      <w:r>
        <w:rPr>
          <w:color w:val="333333"/>
          <w:w w:val="110"/>
        </w:rPr>
        <w:t>or</w:t>
      </w:r>
    </w:p>
    <w:p w14:paraId="41C47979" w14:textId="77777777" w:rsidR="00A720EB" w:rsidRDefault="0030286B">
      <w:pPr>
        <w:pStyle w:val="a3"/>
        <w:spacing w:before="47"/>
        <w:ind w:left="124"/>
      </w:pPr>
      <w:r>
        <w:rPr>
          <w:rFonts w:ascii="MS Gothic"/>
          <w:color w:val="B02045"/>
          <w:w w:val="110"/>
        </w:rPr>
        <w:t>ConfigurableApplicationContext</w:t>
      </w:r>
      <w:r>
        <w:rPr>
          <w:color w:val="333333"/>
          <w:w w:val="110"/>
        </w:rPr>
        <w:t xml:space="preserve">. </w:t>
      </w:r>
      <w:r>
        <w:rPr>
          <w:color w:val="333333"/>
          <w:spacing w:val="-6"/>
          <w:w w:val="110"/>
        </w:rPr>
        <w:t xml:space="preserve">You </w:t>
      </w:r>
      <w:r>
        <w:rPr>
          <w:color w:val="333333"/>
          <w:w w:val="110"/>
        </w:rPr>
        <w:t xml:space="preserve">can call it with </w:t>
      </w:r>
      <w:r>
        <w:rPr>
          <w:rFonts w:ascii="MS Gothic"/>
          <w:color w:val="B02045"/>
          <w:w w:val="110"/>
        </w:rPr>
        <w:t>key=value</w:t>
      </w:r>
      <w:r>
        <w:rPr>
          <w:rFonts w:ascii="MS Gothic"/>
          <w:color w:val="B02045"/>
          <w:spacing w:val="-102"/>
          <w:w w:val="110"/>
        </w:rPr>
        <w:t xml:space="preserve"> </w:t>
      </w:r>
      <w:r>
        <w:rPr>
          <w:color w:val="333333"/>
          <w:w w:val="110"/>
        </w:rPr>
        <w:t>strings, as follows:</w:t>
      </w:r>
    </w:p>
    <w:p w14:paraId="2974EC4D" w14:textId="77777777" w:rsidR="00A720EB" w:rsidRDefault="00E10349">
      <w:pPr>
        <w:pStyle w:val="a3"/>
        <w:spacing w:before="11"/>
        <w:rPr>
          <w:sz w:val="17"/>
        </w:rPr>
      </w:pPr>
      <w:r>
        <w:pict w14:anchorId="765E63AF">
          <v:group id="_x0000_s3477" style="position:absolute;margin-left:47.85pt;margin-top:12.5pt;width:499.55pt;height:37.5pt;z-index:-15300608;mso-wrap-distance-left:0;mso-wrap-distance-right:0;mso-position-horizontal-relative:page" coordorigin="957,250" coordsize="9991,750">
            <v:shape id="_x0000_s3480" style="position:absolute;left:964;top:257;width:9976;height:735" coordorigin="965,257" coordsize="9976,735" path="m10861,257r-9816,l1014,264r-26,17l971,306r-6,31l965,912r6,31l988,969r26,17l1045,992r9816,l10892,986r25,-17l10935,943r6,-31l10941,337r-6,-31l10917,281r-25,-17l10861,257xe" fillcolor="#f5f5f5" stroked="f">
              <v:path arrowok="t"/>
            </v:shape>
            <v:shape id="_x0000_s3479" style="position:absolute;left:964;top:257;width:9976;height:735" coordorigin="965,257" coordsize="9976,735" path="m1045,257r9816,l10892,264r25,17l10935,306r6,31l10941,912r-6,31l10917,969r-25,17l10861,992r-9816,l1014,986,988,969,971,943r-6,-31l965,337r6,-31l988,281r26,-17l1045,257xe" filled="f" strokecolor="#ccc">
              <v:path arrowok="t"/>
            </v:shape>
            <v:shape id="_x0000_s3478" type="#_x0000_t202" style="position:absolute;left:984;top:272;width:9938;height:704" filled="f" stroked="f">
              <v:textbox inset="0,0,0,0">
                <w:txbxContent>
                  <w:p w14:paraId="30EC0463" w14:textId="77777777" w:rsidR="00711A16" w:rsidRDefault="00711A16">
                    <w:pPr>
                      <w:spacing w:before="221"/>
                      <w:ind w:left="200"/>
                      <w:rPr>
                        <w:rFonts w:ascii="MS Gothic"/>
                      </w:rPr>
                    </w:pPr>
                    <w:r>
                      <w:rPr>
                        <w:rFonts w:ascii="MS Gothic"/>
                        <w:color w:val="333333"/>
                      </w:rPr>
                      <w:t>TestPropertyValues.of("org=Spring", "name=Boot"</w:t>
                    </w:r>
                    <w:proofErr w:type="gramStart"/>
                    <w:r>
                      <w:rPr>
                        <w:rFonts w:ascii="MS Gothic"/>
                        <w:color w:val="333333"/>
                      </w:rPr>
                      <w:t>).applyTo</w:t>
                    </w:r>
                    <w:proofErr w:type="gramEnd"/>
                    <w:r>
                      <w:rPr>
                        <w:rFonts w:ascii="MS Gothic"/>
                        <w:color w:val="333333"/>
                      </w:rPr>
                      <w:t>(env);</w:t>
                    </w:r>
                  </w:p>
                </w:txbxContent>
              </v:textbox>
            </v:shape>
            <w10:wrap type="topAndBottom" anchorx="page"/>
          </v:group>
        </w:pict>
      </w:r>
    </w:p>
    <w:p w14:paraId="059A1B8B" w14:textId="77777777" w:rsidR="00A720EB" w:rsidRDefault="00A720EB">
      <w:pPr>
        <w:pStyle w:val="a3"/>
        <w:spacing w:before="11"/>
        <w:rPr>
          <w:sz w:val="16"/>
        </w:rPr>
      </w:pPr>
    </w:p>
    <w:p w14:paraId="041F679C" w14:textId="77777777" w:rsidR="00A720EB" w:rsidRDefault="0030286B">
      <w:pPr>
        <w:pStyle w:val="4"/>
        <w:spacing w:before="104"/>
        <w:jc w:val="left"/>
      </w:pPr>
      <w:bookmarkStart w:id="491" w:name="OutputCapture"/>
      <w:bookmarkEnd w:id="491"/>
      <w:r>
        <w:rPr>
          <w:color w:val="333333"/>
          <w:w w:val="110"/>
        </w:rPr>
        <w:t>OutputCapture</w:t>
      </w:r>
    </w:p>
    <w:p w14:paraId="43D6836B" w14:textId="77777777" w:rsidR="00A720EB" w:rsidRDefault="0030286B">
      <w:pPr>
        <w:pStyle w:val="a3"/>
        <w:spacing w:before="244" w:line="285" w:lineRule="auto"/>
        <w:ind w:left="124" w:right="122"/>
        <w:jc w:val="both"/>
      </w:pPr>
      <w:r>
        <w:rPr>
          <w:rFonts w:ascii="MS Gothic"/>
          <w:color w:val="B02045"/>
          <w:w w:val="110"/>
        </w:rPr>
        <w:t>OutputCapture</w:t>
      </w:r>
      <w:r>
        <w:rPr>
          <w:rFonts w:ascii="MS Gothic"/>
          <w:color w:val="B02045"/>
          <w:spacing w:val="-76"/>
          <w:w w:val="110"/>
        </w:rPr>
        <w:t xml:space="preserve"> </w:t>
      </w:r>
      <w:r>
        <w:rPr>
          <w:color w:val="333333"/>
          <w:w w:val="110"/>
        </w:rPr>
        <w:t>is</w:t>
      </w:r>
      <w:r>
        <w:rPr>
          <w:color w:val="333333"/>
          <w:spacing w:val="-11"/>
          <w:w w:val="110"/>
        </w:rPr>
        <w:t xml:space="preserve"> </w:t>
      </w:r>
      <w:r>
        <w:rPr>
          <w:color w:val="333333"/>
          <w:w w:val="110"/>
        </w:rPr>
        <w:t>a</w:t>
      </w:r>
      <w:r>
        <w:rPr>
          <w:color w:val="333333"/>
          <w:spacing w:val="-10"/>
          <w:w w:val="110"/>
        </w:rPr>
        <w:t xml:space="preserve"> </w:t>
      </w:r>
      <w:r>
        <w:rPr>
          <w:color w:val="333333"/>
          <w:w w:val="110"/>
        </w:rPr>
        <w:t>JUnit</w:t>
      </w:r>
      <w:r>
        <w:rPr>
          <w:color w:val="333333"/>
          <w:spacing w:val="-10"/>
          <w:w w:val="110"/>
        </w:rPr>
        <w:t xml:space="preserve"> </w:t>
      </w:r>
      <w:r>
        <w:rPr>
          <w:rFonts w:ascii="MS Gothic"/>
          <w:color w:val="B02045"/>
          <w:w w:val="110"/>
        </w:rPr>
        <w:t>Extension</w:t>
      </w:r>
      <w:r>
        <w:rPr>
          <w:rFonts w:ascii="MS Gothic"/>
          <w:color w:val="B02045"/>
          <w:spacing w:val="-75"/>
          <w:w w:val="110"/>
        </w:rPr>
        <w:t xml:space="preserve"> </w:t>
      </w:r>
      <w:r>
        <w:rPr>
          <w:color w:val="333333"/>
          <w:w w:val="110"/>
        </w:rPr>
        <w:t>that</w:t>
      </w:r>
      <w:r>
        <w:rPr>
          <w:color w:val="333333"/>
          <w:spacing w:val="-11"/>
          <w:w w:val="110"/>
        </w:rPr>
        <w:t xml:space="preserve"> </w:t>
      </w:r>
      <w:r>
        <w:rPr>
          <w:color w:val="333333"/>
          <w:w w:val="110"/>
        </w:rPr>
        <w:t>you</w:t>
      </w:r>
      <w:r>
        <w:rPr>
          <w:color w:val="333333"/>
          <w:spacing w:val="-10"/>
          <w:w w:val="110"/>
        </w:rPr>
        <w:t xml:space="preserve"> </w:t>
      </w:r>
      <w:r>
        <w:rPr>
          <w:color w:val="333333"/>
          <w:w w:val="110"/>
        </w:rPr>
        <w:t>can</w:t>
      </w:r>
      <w:r>
        <w:rPr>
          <w:color w:val="333333"/>
          <w:spacing w:val="-11"/>
          <w:w w:val="110"/>
        </w:rPr>
        <w:t xml:space="preserve"> </w:t>
      </w:r>
      <w:r>
        <w:rPr>
          <w:color w:val="333333"/>
          <w:w w:val="110"/>
        </w:rPr>
        <w:t>use</w:t>
      </w:r>
      <w:r>
        <w:rPr>
          <w:color w:val="333333"/>
          <w:spacing w:val="-11"/>
          <w:w w:val="110"/>
        </w:rPr>
        <w:t xml:space="preserve"> </w:t>
      </w:r>
      <w:r>
        <w:rPr>
          <w:color w:val="333333"/>
          <w:w w:val="110"/>
        </w:rPr>
        <w:t>to</w:t>
      </w:r>
      <w:r>
        <w:rPr>
          <w:color w:val="333333"/>
          <w:spacing w:val="-10"/>
          <w:w w:val="110"/>
        </w:rPr>
        <w:t xml:space="preserve"> </w:t>
      </w:r>
      <w:r>
        <w:rPr>
          <w:color w:val="333333"/>
          <w:w w:val="110"/>
        </w:rPr>
        <w:t>capture</w:t>
      </w:r>
      <w:r>
        <w:rPr>
          <w:color w:val="333333"/>
          <w:spacing w:val="-10"/>
          <w:w w:val="110"/>
        </w:rPr>
        <w:t xml:space="preserve"> </w:t>
      </w:r>
      <w:r>
        <w:rPr>
          <w:rFonts w:ascii="MS Gothic"/>
          <w:color w:val="B02045"/>
          <w:w w:val="110"/>
        </w:rPr>
        <w:t>System.out</w:t>
      </w:r>
      <w:r>
        <w:rPr>
          <w:rFonts w:ascii="MS Gothic"/>
          <w:color w:val="B02045"/>
          <w:spacing w:val="-75"/>
          <w:w w:val="110"/>
        </w:rPr>
        <w:t xml:space="preserve"> </w:t>
      </w:r>
      <w:r>
        <w:rPr>
          <w:color w:val="333333"/>
          <w:w w:val="110"/>
        </w:rPr>
        <w:t>and</w:t>
      </w:r>
      <w:r>
        <w:rPr>
          <w:color w:val="333333"/>
          <w:spacing w:val="-10"/>
          <w:w w:val="110"/>
        </w:rPr>
        <w:t xml:space="preserve"> </w:t>
      </w:r>
      <w:r>
        <w:rPr>
          <w:rFonts w:ascii="MS Gothic"/>
          <w:color w:val="B02045"/>
          <w:w w:val="110"/>
        </w:rPr>
        <w:t>System.err</w:t>
      </w:r>
      <w:r>
        <w:rPr>
          <w:rFonts w:ascii="MS Gothic"/>
          <w:color w:val="B02045"/>
          <w:spacing w:val="-75"/>
          <w:w w:val="110"/>
        </w:rPr>
        <w:t xml:space="preserve"> </w:t>
      </w:r>
      <w:r>
        <w:rPr>
          <w:color w:val="333333"/>
          <w:w w:val="110"/>
        </w:rPr>
        <w:t>output.</w:t>
      </w:r>
      <w:r>
        <w:rPr>
          <w:color w:val="333333"/>
          <w:spacing w:val="-11"/>
          <w:w w:val="110"/>
        </w:rPr>
        <w:t xml:space="preserve"> </w:t>
      </w:r>
      <w:r>
        <w:rPr>
          <w:color w:val="333333"/>
          <w:spacing w:val="-4"/>
          <w:w w:val="110"/>
        </w:rPr>
        <w:t xml:space="preserve">To </w:t>
      </w:r>
      <w:r>
        <w:rPr>
          <w:color w:val="333333"/>
          <w:w w:val="110"/>
        </w:rPr>
        <w:t>use</w:t>
      </w:r>
      <w:r>
        <w:rPr>
          <w:color w:val="333333"/>
          <w:spacing w:val="-10"/>
          <w:w w:val="110"/>
        </w:rPr>
        <w:t xml:space="preserve"> </w:t>
      </w:r>
      <w:r>
        <w:rPr>
          <w:color w:val="333333"/>
          <w:w w:val="110"/>
        </w:rPr>
        <w:t>add</w:t>
      </w:r>
      <w:r>
        <w:rPr>
          <w:color w:val="333333"/>
          <w:spacing w:val="-9"/>
          <w:w w:val="110"/>
        </w:rPr>
        <w:t xml:space="preserve"> </w:t>
      </w:r>
      <w:r>
        <w:rPr>
          <w:rFonts w:ascii="MS Gothic"/>
          <w:color w:val="B02045"/>
          <w:w w:val="110"/>
        </w:rPr>
        <w:t>@</w:t>
      </w:r>
      <w:proofErr w:type="gramStart"/>
      <w:r>
        <w:rPr>
          <w:rFonts w:ascii="MS Gothic"/>
          <w:color w:val="B02045"/>
          <w:w w:val="110"/>
        </w:rPr>
        <w:t>ExtendWith(</w:t>
      </w:r>
      <w:proofErr w:type="gramEnd"/>
      <w:r>
        <w:rPr>
          <w:rFonts w:ascii="MS Gothic"/>
          <w:color w:val="B02045"/>
          <w:w w:val="110"/>
        </w:rPr>
        <w:t>OutputCaptureExtension.class)</w:t>
      </w:r>
      <w:r>
        <w:rPr>
          <w:rFonts w:ascii="MS Gothic"/>
          <w:color w:val="B02045"/>
          <w:spacing w:val="-73"/>
          <w:w w:val="110"/>
        </w:rPr>
        <w:t xml:space="preserve"> </w:t>
      </w:r>
      <w:r>
        <w:rPr>
          <w:color w:val="333333"/>
          <w:w w:val="110"/>
        </w:rPr>
        <w:t>and</w:t>
      </w:r>
      <w:r>
        <w:rPr>
          <w:color w:val="333333"/>
          <w:spacing w:val="-10"/>
          <w:w w:val="110"/>
        </w:rPr>
        <w:t xml:space="preserve"> </w:t>
      </w:r>
      <w:r>
        <w:rPr>
          <w:color w:val="333333"/>
          <w:w w:val="110"/>
        </w:rPr>
        <w:t>inject</w:t>
      </w:r>
      <w:r>
        <w:rPr>
          <w:color w:val="333333"/>
          <w:spacing w:val="-8"/>
          <w:w w:val="110"/>
        </w:rPr>
        <w:t xml:space="preserve"> </w:t>
      </w:r>
      <w:r>
        <w:rPr>
          <w:rFonts w:ascii="MS Gothic"/>
          <w:color w:val="B02045"/>
          <w:w w:val="110"/>
        </w:rPr>
        <w:t>CapturedOutput</w:t>
      </w:r>
      <w:r>
        <w:rPr>
          <w:rFonts w:ascii="MS Gothic"/>
          <w:color w:val="B02045"/>
          <w:spacing w:val="-73"/>
          <w:w w:val="110"/>
        </w:rPr>
        <w:t xml:space="preserve"> </w:t>
      </w:r>
      <w:r>
        <w:rPr>
          <w:color w:val="333333"/>
          <w:w w:val="110"/>
        </w:rPr>
        <w:t>as</w:t>
      </w:r>
      <w:r>
        <w:rPr>
          <w:color w:val="333333"/>
          <w:spacing w:val="-10"/>
          <w:w w:val="110"/>
        </w:rPr>
        <w:t xml:space="preserve"> </w:t>
      </w:r>
      <w:r>
        <w:rPr>
          <w:color w:val="333333"/>
          <w:w w:val="110"/>
        </w:rPr>
        <w:t>an</w:t>
      </w:r>
      <w:r>
        <w:rPr>
          <w:color w:val="333333"/>
          <w:spacing w:val="-9"/>
          <w:w w:val="110"/>
        </w:rPr>
        <w:t xml:space="preserve"> </w:t>
      </w:r>
      <w:r>
        <w:rPr>
          <w:color w:val="333333"/>
          <w:w w:val="110"/>
        </w:rPr>
        <w:t>argument</w:t>
      </w:r>
      <w:r>
        <w:rPr>
          <w:color w:val="333333"/>
          <w:spacing w:val="-9"/>
          <w:w w:val="110"/>
        </w:rPr>
        <w:t xml:space="preserve"> </w:t>
      </w:r>
      <w:r>
        <w:rPr>
          <w:color w:val="333333"/>
          <w:w w:val="110"/>
        </w:rPr>
        <w:t>to your test class constructor or test method as</w:t>
      </w:r>
      <w:r>
        <w:rPr>
          <w:color w:val="333333"/>
          <w:spacing w:val="21"/>
          <w:w w:val="110"/>
        </w:rPr>
        <w:t xml:space="preserve"> </w:t>
      </w:r>
      <w:r>
        <w:rPr>
          <w:color w:val="333333"/>
          <w:w w:val="110"/>
        </w:rPr>
        <w:t>follows:</w:t>
      </w:r>
    </w:p>
    <w:p w14:paraId="177C7F1C" w14:textId="77777777" w:rsidR="00A720EB" w:rsidRDefault="00A720EB">
      <w:pPr>
        <w:spacing w:line="285" w:lineRule="auto"/>
        <w:jc w:val="both"/>
        <w:sectPr w:rsidR="00A720EB">
          <w:pgSz w:w="11910" w:h="16840"/>
          <w:pgMar w:top="620" w:right="840" w:bottom="520" w:left="840" w:header="0" w:footer="323" w:gutter="0"/>
          <w:cols w:space="720"/>
        </w:sectPr>
      </w:pPr>
    </w:p>
    <w:p w14:paraId="1E25037B" w14:textId="77777777" w:rsidR="00A720EB" w:rsidRDefault="00E10349">
      <w:pPr>
        <w:pStyle w:val="a3"/>
        <w:ind w:left="116"/>
        <w:rPr>
          <w:sz w:val="20"/>
        </w:rPr>
      </w:pPr>
      <w:r>
        <w:rPr>
          <w:sz w:val="20"/>
        </w:rPr>
      </w:r>
      <w:r>
        <w:rPr>
          <w:sz w:val="20"/>
        </w:rPr>
        <w:pict w14:anchorId="44D9EDA5">
          <v:group id="_x0000_s3473" style="width:499.55pt;height:170.15pt;mso-position-horizontal-relative:char;mso-position-vertical-relative:line" coordsize="9991,3403">
            <v:shape id="_x0000_s3476" style="position:absolute;left:7;top:7;width:9976;height:3388" coordorigin="8,8" coordsize="9976,3388" path="m9904,8l88,8,56,14,31,31,14,56,8,88r,3227l14,3347r17,25l56,3389r32,6l9904,3395r31,-6l9960,3372r17,-25l9984,3315r,-3227l9977,56,9960,31,9935,14,9904,8xe" fillcolor="#f5f5f5" stroked="f">
              <v:path arrowok="t"/>
            </v:shape>
            <v:shape id="_x0000_s3475" style="position:absolute;left:7;top:7;width:9976;height:3388" coordorigin="8,8" coordsize="9976,3388" path="m88,8r9816,l9935,14r25,17l9977,56r7,32l9984,3315r-7,32l9960,3372r-25,17l9904,3395r-9816,l56,3389,31,3372,14,3347,8,3315,8,88,14,56,31,31,56,14,88,8xe" filled="f" strokecolor="#ccc">
              <v:path arrowok="t"/>
            </v:shape>
            <v:shape id="_x0000_s3474" type="#_x0000_t202" style="position:absolute;left:26;top:22;width:9938;height:3358" filled="f" stroked="f">
              <v:textbox inset="0,0,0,0">
                <w:txbxContent>
                  <w:p w14:paraId="335DB42F" w14:textId="77777777" w:rsidR="00711A16" w:rsidRDefault="00711A16">
                    <w:pPr>
                      <w:spacing w:before="221" w:line="252" w:lineRule="auto"/>
                      <w:ind w:left="200" w:right="5208"/>
                      <w:rPr>
                        <w:rFonts w:ascii="MS Gothic"/>
                      </w:rPr>
                    </w:pPr>
                    <w:r>
                      <w:rPr>
                        <w:rFonts w:ascii="MS Gothic"/>
                        <w:color w:val="333333"/>
                      </w:rPr>
                      <w:t>@</w:t>
                    </w:r>
                    <w:proofErr w:type="gramStart"/>
                    <w:r>
                      <w:rPr>
                        <w:rFonts w:ascii="MS Gothic"/>
                        <w:color w:val="333333"/>
                      </w:rPr>
                      <w:t>ExtendWith(</w:t>
                    </w:r>
                    <w:proofErr w:type="gramEnd"/>
                    <w:r>
                      <w:rPr>
                        <w:rFonts w:ascii="MS Gothic"/>
                        <w:color w:val="333333"/>
                      </w:rPr>
                      <w:t>OutputCaptureExtension.class) class OutputCaptureTests {</w:t>
                    </w:r>
                  </w:p>
                  <w:p w14:paraId="2CD63655" w14:textId="77777777" w:rsidR="00711A16" w:rsidRDefault="00711A16">
                    <w:pPr>
                      <w:spacing w:before="10"/>
                      <w:rPr>
                        <w:rFonts w:ascii="MS Gothic"/>
                      </w:rPr>
                    </w:pPr>
                  </w:p>
                  <w:p w14:paraId="30EF2AC1" w14:textId="77777777" w:rsidR="00711A16" w:rsidRDefault="00711A16">
                    <w:pPr>
                      <w:ind w:left="640"/>
                      <w:rPr>
                        <w:rFonts w:ascii="MS Gothic"/>
                      </w:rPr>
                    </w:pPr>
                    <w:r>
                      <w:rPr>
                        <w:rFonts w:ascii="MS Gothic"/>
                        <w:color w:val="333333"/>
                      </w:rPr>
                      <w:t>@Test</w:t>
                    </w:r>
                  </w:p>
                  <w:p w14:paraId="6247F9B7" w14:textId="77777777" w:rsidR="00711A16" w:rsidRDefault="00711A16">
                    <w:pPr>
                      <w:spacing w:before="13" w:line="252" w:lineRule="auto"/>
                      <w:ind w:left="1080" w:right="4768" w:hanging="440"/>
                      <w:rPr>
                        <w:rFonts w:ascii="MS Gothic"/>
                      </w:rPr>
                    </w:pPr>
                    <w:r>
                      <w:rPr>
                        <w:rFonts w:ascii="MS Gothic"/>
                        <w:color w:val="333333"/>
                      </w:rPr>
                      <w:t xml:space="preserve">void </w:t>
                    </w:r>
                    <w:proofErr w:type="gramStart"/>
                    <w:r>
                      <w:rPr>
                        <w:rFonts w:ascii="MS Gothic"/>
                        <w:color w:val="333333"/>
                      </w:rPr>
                      <w:t>testName(</w:t>
                    </w:r>
                    <w:proofErr w:type="gramEnd"/>
                    <w:r>
                      <w:rPr>
                        <w:rFonts w:ascii="MS Gothic"/>
                        <w:color w:val="333333"/>
                      </w:rPr>
                      <w:t>CapturedOutput output) { System.out.println("Hello World!"); assertThat(output).contains("World");</w:t>
                    </w:r>
                  </w:p>
                  <w:p w14:paraId="7E43C5E2" w14:textId="77777777" w:rsidR="00711A16" w:rsidRDefault="00711A16">
                    <w:pPr>
                      <w:spacing w:line="278" w:lineRule="exact"/>
                      <w:ind w:left="640"/>
                      <w:rPr>
                        <w:rFonts w:ascii="MS Gothic"/>
                      </w:rPr>
                    </w:pPr>
                    <w:r>
                      <w:rPr>
                        <w:rFonts w:ascii="MS Gothic"/>
                        <w:color w:val="333333"/>
                      </w:rPr>
                      <w:t>}</w:t>
                    </w:r>
                  </w:p>
                  <w:p w14:paraId="090B583B" w14:textId="77777777" w:rsidR="00711A16" w:rsidRDefault="00711A16">
                    <w:pPr>
                      <w:rPr>
                        <w:rFonts w:ascii="MS Gothic"/>
                        <w:sz w:val="24"/>
                      </w:rPr>
                    </w:pPr>
                  </w:p>
                  <w:p w14:paraId="13447CEB" w14:textId="77777777" w:rsidR="00711A16" w:rsidRDefault="00711A16">
                    <w:pPr>
                      <w:ind w:left="200"/>
                      <w:rPr>
                        <w:rFonts w:ascii="MS Gothic"/>
                      </w:rPr>
                    </w:pPr>
                    <w:r>
                      <w:rPr>
                        <w:rFonts w:ascii="MS Gothic"/>
                        <w:color w:val="333333"/>
                      </w:rPr>
                      <w:t>}</w:t>
                    </w:r>
                  </w:p>
                </w:txbxContent>
              </v:textbox>
            </v:shape>
            <w10:anchorlock/>
          </v:group>
        </w:pict>
      </w:r>
    </w:p>
    <w:p w14:paraId="0D0342E7" w14:textId="77777777" w:rsidR="00A720EB" w:rsidRDefault="00A720EB">
      <w:pPr>
        <w:pStyle w:val="a3"/>
        <w:spacing w:before="1"/>
        <w:rPr>
          <w:sz w:val="17"/>
        </w:rPr>
      </w:pPr>
    </w:p>
    <w:p w14:paraId="512A5AC1" w14:textId="77777777" w:rsidR="00A720EB" w:rsidRDefault="0030286B">
      <w:pPr>
        <w:pStyle w:val="4"/>
        <w:spacing w:before="104"/>
        <w:jc w:val="left"/>
      </w:pPr>
      <w:bookmarkStart w:id="492" w:name="TestRestTemplate"/>
      <w:bookmarkEnd w:id="492"/>
      <w:r>
        <w:rPr>
          <w:color w:val="333333"/>
          <w:w w:val="110"/>
        </w:rPr>
        <w:t>TestRestTemplate</w:t>
      </w:r>
    </w:p>
    <w:p w14:paraId="60E878DA" w14:textId="77777777" w:rsidR="00A720EB" w:rsidRDefault="0030286B">
      <w:pPr>
        <w:pStyle w:val="a3"/>
        <w:spacing w:before="244" w:line="302" w:lineRule="auto"/>
        <w:ind w:left="124" w:right="126"/>
        <w:jc w:val="both"/>
      </w:pPr>
      <w:r>
        <w:rPr>
          <w:rFonts w:ascii="MS Gothic" w:hAnsi="MS Gothic"/>
          <w:color w:val="B02045"/>
          <w:w w:val="110"/>
        </w:rPr>
        <w:t xml:space="preserve">TestRestTemplate </w:t>
      </w:r>
      <w:r>
        <w:rPr>
          <w:color w:val="333333"/>
          <w:w w:val="110"/>
        </w:rPr>
        <w:t xml:space="preserve">is a convenience alternative to Spring’s </w:t>
      </w:r>
      <w:r>
        <w:rPr>
          <w:rFonts w:ascii="MS Gothic" w:hAnsi="MS Gothic"/>
          <w:color w:val="B02045"/>
          <w:w w:val="110"/>
        </w:rPr>
        <w:t>RestTemplate</w:t>
      </w:r>
      <w:r>
        <w:rPr>
          <w:rFonts w:ascii="MS Gothic" w:hAnsi="MS Gothic"/>
          <w:color w:val="B02045"/>
          <w:spacing w:val="-67"/>
          <w:w w:val="110"/>
        </w:rPr>
        <w:t xml:space="preserve"> </w:t>
      </w:r>
      <w:r>
        <w:rPr>
          <w:color w:val="333333"/>
          <w:w w:val="110"/>
        </w:rPr>
        <w:t xml:space="preserve">that is useful in integration tests. </w:t>
      </w:r>
      <w:r>
        <w:rPr>
          <w:color w:val="333333"/>
          <w:spacing w:val="-6"/>
          <w:w w:val="110"/>
        </w:rPr>
        <w:t xml:space="preserve">You </w:t>
      </w:r>
      <w:r>
        <w:rPr>
          <w:color w:val="333333"/>
          <w:w w:val="110"/>
        </w:rPr>
        <w:t xml:space="preserve">can get a vanilla template or one that sends Basic HTTP authentication (with a username and password). In either case, the template behaves in a test-friendly way </w:t>
      </w:r>
      <w:r>
        <w:rPr>
          <w:color w:val="333333"/>
          <w:spacing w:val="-3"/>
          <w:w w:val="110"/>
        </w:rPr>
        <w:t xml:space="preserve">by </w:t>
      </w:r>
      <w:r>
        <w:rPr>
          <w:color w:val="333333"/>
          <w:w w:val="110"/>
        </w:rPr>
        <w:t xml:space="preserve">not </w:t>
      </w:r>
      <w:proofErr w:type="gramStart"/>
      <w:r>
        <w:rPr>
          <w:color w:val="333333"/>
          <w:w w:val="110"/>
        </w:rPr>
        <w:t>throwing  exceptions</w:t>
      </w:r>
      <w:proofErr w:type="gramEnd"/>
      <w:r>
        <w:rPr>
          <w:color w:val="333333"/>
          <w:w w:val="110"/>
        </w:rPr>
        <w:t xml:space="preserve"> on server-side</w:t>
      </w:r>
      <w:r>
        <w:rPr>
          <w:color w:val="333333"/>
          <w:spacing w:val="9"/>
          <w:w w:val="110"/>
        </w:rPr>
        <w:t xml:space="preserve"> </w:t>
      </w:r>
      <w:r>
        <w:rPr>
          <w:color w:val="333333"/>
          <w:w w:val="110"/>
        </w:rPr>
        <w:t>errors.</w:t>
      </w:r>
    </w:p>
    <w:p w14:paraId="51711BC3" w14:textId="77777777" w:rsidR="00A720EB" w:rsidRDefault="00A720EB">
      <w:pPr>
        <w:pStyle w:val="a3"/>
        <w:spacing w:before="9"/>
        <w:rPr>
          <w:sz w:val="16"/>
        </w:rPr>
      </w:pPr>
    </w:p>
    <w:p w14:paraId="7B42D623" w14:textId="77777777" w:rsidR="00A720EB" w:rsidRDefault="00E10349">
      <w:pPr>
        <w:pStyle w:val="a3"/>
        <w:spacing w:before="116" w:line="295" w:lineRule="auto"/>
        <w:ind w:left="1564" w:right="362"/>
        <w:jc w:val="both"/>
      </w:pPr>
      <w:r>
        <w:pict w14:anchorId="777EBDA3">
          <v:line id="_x0000_s3472" style="position:absolute;left:0;text-align:left;z-index:16159232;mso-position-horizontal-relative:page" from="108.25pt,.35pt" to="108.25pt,55.7pt" strokecolor="#ededed" strokeweight=".5pt">
            <w10:wrap anchorx="page"/>
          </v:line>
        </w:pict>
      </w:r>
      <w:r w:rsidR="0030286B">
        <w:rPr>
          <w:noProof/>
        </w:rPr>
        <w:drawing>
          <wp:anchor distT="0" distB="0" distL="0" distR="0" simplePos="0" relativeHeight="16159744" behindDoc="0" locked="0" layoutInCell="1" allowOverlap="1" wp14:anchorId="543E093B" wp14:editId="6AF4EF60">
            <wp:simplePos x="0" y="0"/>
            <wp:positionH relativeFrom="page">
              <wp:posOffset>888949</wp:posOffset>
            </wp:positionH>
            <wp:positionV relativeFrom="paragraph">
              <wp:posOffset>203276</wp:posOffset>
            </wp:positionV>
            <wp:extent cx="209550" cy="304800"/>
            <wp:effectExtent l="0" t="0" r="0" b="0"/>
            <wp:wrapNone/>
            <wp:docPr id="5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2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Spring Framework 5.0 provides a new </w:t>
      </w:r>
      <w:r w:rsidR="0030286B">
        <w:rPr>
          <w:rFonts w:ascii="MS Gothic"/>
          <w:color w:val="B02045"/>
          <w:w w:val="110"/>
        </w:rPr>
        <w:t xml:space="preserve">WebTestClient </w:t>
      </w:r>
      <w:r w:rsidR="0030286B">
        <w:rPr>
          <w:color w:val="333333"/>
          <w:w w:val="110"/>
        </w:rPr>
        <w:t xml:space="preserve">that works for </w:t>
      </w:r>
      <w:hyperlink w:anchor="_bookmark319" w:history="1">
        <w:r w:rsidR="0030286B">
          <w:rPr>
            <w:color w:val="418BCA"/>
            <w:spacing w:val="-3"/>
            <w:w w:val="110"/>
          </w:rPr>
          <w:t>WebFlux</w:t>
        </w:r>
      </w:hyperlink>
      <w:r w:rsidR="0030286B">
        <w:rPr>
          <w:color w:val="418BCA"/>
          <w:spacing w:val="-3"/>
          <w:w w:val="110"/>
        </w:rPr>
        <w:t xml:space="preserve"> </w:t>
      </w:r>
      <w:hyperlink w:anchor="_bookmark319" w:history="1">
        <w:r w:rsidR="0030286B">
          <w:rPr>
            <w:color w:val="418BCA"/>
            <w:w w:val="110"/>
          </w:rPr>
          <w:t>integration tests</w:t>
        </w:r>
      </w:hyperlink>
      <w:r w:rsidR="0030286B">
        <w:rPr>
          <w:color w:val="418BCA"/>
          <w:w w:val="110"/>
        </w:rPr>
        <w:t xml:space="preserve"> </w:t>
      </w:r>
      <w:r w:rsidR="0030286B">
        <w:rPr>
          <w:color w:val="333333"/>
          <w:w w:val="110"/>
        </w:rPr>
        <w:t xml:space="preserve">and both </w:t>
      </w:r>
      <w:hyperlink w:anchor="_bookmark312" w:history="1">
        <w:r w:rsidR="0030286B">
          <w:rPr>
            <w:color w:val="418BCA"/>
            <w:spacing w:val="-3"/>
            <w:w w:val="110"/>
          </w:rPr>
          <w:t xml:space="preserve">WebFlux </w:t>
        </w:r>
        <w:r w:rsidR="0030286B">
          <w:rPr>
            <w:color w:val="418BCA"/>
            <w:w w:val="110"/>
          </w:rPr>
          <w:t>and MVC end-to-end testing</w:t>
        </w:r>
      </w:hyperlink>
      <w:r w:rsidR="0030286B">
        <w:rPr>
          <w:color w:val="333333"/>
          <w:w w:val="110"/>
        </w:rPr>
        <w:t xml:space="preserve">. It </w:t>
      </w:r>
      <w:proofErr w:type="gramStart"/>
      <w:r w:rsidR="0030286B">
        <w:rPr>
          <w:color w:val="333333"/>
          <w:w w:val="110"/>
        </w:rPr>
        <w:t>provides  a</w:t>
      </w:r>
      <w:proofErr w:type="gramEnd"/>
      <w:r w:rsidR="0030286B">
        <w:rPr>
          <w:color w:val="333333"/>
          <w:w w:val="110"/>
        </w:rPr>
        <w:t xml:space="preserve">  fluent API for assertions, unlike</w:t>
      </w:r>
      <w:r w:rsidR="0030286B">
        <w:rPr>
          <w:color w:val="333333"/>
          <w:spacing w:val="9"/>
          <w:w w:val="110"/>
        </w:rPr>
        <w:t xml:space="preserve"> </w:t>
      </w:r>
      <w:r w:rsidR="0030286B">
        <w:rPr>
          <w:rFonts w:ascii="MS Gothic"/>
          <w:color w:val="B02045"/>
          <w:w w:val="110"/>
        </w:rPr>
        <w:t>TestRestTemplate</w:t>
      </w:r>
      <w:r w:rsidR="0030286B">
        <w:rPr>
          <w:color w:val="333333"/>
          <w:w w:val="110"/>
        </w:rPr>
        <w:t>.</w:t>
      </w:r>
    </w:p>
    <w:p w14:paraId="4E1DF5CC" w14:textId="77777777" w:rsidR="00A720EB" w:rsidRDefault="00A720EB">
      <w:pPr>
        <w:pStyle w:val="a3"/>
        <w:rPr>
          <w:sz w:val="16"/>
        </w:rPr>
      </w:pPr>
    </w:p>
    <w:p w14:paraId="6E6B8154" w14:textId="77777777" w:rsidR="00A720EB" w:rsidRDefault="0030286B">
      <w:pPr>
        <w:pStyle w:val="a3"/>
        <w:spacing w:before="125" w:line="297" w:lineRule="auto"/>
        <w:ind w:left="124" w:right="123"/>
        <w:jc w:val="both"/>
      </w:pPr>
      <w:r>
        <w:rPr>
          <w:color w:val="333333"/>
          <w:w w:val="110"/>
        </w:rPr>
        <w:t xml:space="preserve">It is recommended, but not </w:t>
      </w:r>
      <w:r>
        <w:rPr>
          <w:color w:val="333333"/>
          <w:spacing w:val="-3"/>
          <w:w w:val="110"/>
        </w:rPr>
        <w:t xml:space="preserve">mandatory, </w:t>
      </w:r>
      <w:r>
        <w:rPr>
          <w:color w:val="333333"/>
          <w:w w:val="110"/>
        </w:rPr>
        <w:t xml:space="preserve">to use the Apache HTTP Client (version 4.3.2 or better). If   you have that on your classpath, the </w:t>
      </w:r>
      <w:r>
        <w:rPr>
          <w:rFonts w:ascii="MS Gothic" w:hAnsi="MS Gothic"/>
          <w:color w:val="B02045"/>
          <w:w w:val="110"/>
        </w:rPr>
        <w:t xml:space="preserve">TestRestTemplate </w:t>
      </w:r>
      <w:r>
        <w:rPr>
          <w:color w:val="333333"/>
          <w:w w:val="110"/>
        </w:rPr>
        <w:t xml:space="preserve">responds </w:t>
      </w:r>
      <w:r>
        <w:rPr>
          <w:color w:val="333333"/>
          <w:spacing w:val="-3"/>
          <w:w w:val="110"/>
        </w:rPr>
        <w:t xml:space="preserve">by </w:t>
      </w:r>
      <w:r>
        <w:rPr>
          <w:color w:val="333333"/>
          <w:w w:val="110"/>
        </w:rPr>
        <w:t xml:space="preserve">configuring the client </w:t>
      </w:r>
      <w:r>
        <w:rPr>
          <w:color w:val="333333"/>
          <w:spacing w:val="-3"/>
          <w:w w:val="110"/>
        </w:rPr>
        <w:t xml:space="preserve">appropriately. </w:t>
      </w:r>
      <w:r>
        <w:rPr>
          <w:color w:val="333333"/>
          <w:w w:val="110"/>
        </w:rPr>
        <w:t xml:space="preserve">If you do use Apache’s HTTP client, some additional test-friendly </w:t>
      </w:r>
      <w:proofErr w:type="gramStart"/>
      <w:r>
        <w:rPr>
          <w:color w:val="333333"/>
          <w:w w:val="110"/>
        </w:rPr>
        <w:t>features  are</w:t>
      </w:r>
      <w:proofErr w:type="gramEnd"/>
      <w:r>
        <w:rPr>
          <w:color w:val="333333"/>
          <w:w w:val="110"/>
        </w:rPr>
        <w:t xml:space="preserve">  enabled:</w:t>
      </w:r>
    </w:p>
    <w:p w14:paraId="2D4D54C6" w14:textId="77777777" w:rsidR="00A720EB" w:rsidRDefault="00A720EB">
      <w:pPr>
        <w:pStyle w:val="a3"/>
        <w:spacing w:before="7"/>
      </w:pPr>
    </w:p>
    <w:p w14:paraId="0ABA0115" w14:textId="77777777" w:rsidR="00A720EB" w:rsidRDefault="0030286B">
      <w:pPr>
        <w:pStyle w:val="a6"/>
        <w:numPr>
          <w:ilvl w:val="0"/>
          <w:numId w:val="31"/>
        </w:numPr>
        <w:tabs>
          <w:tab w:val="left" w:pos="485"/>
        </w:tabs>
        <w:rPr>
          <w:sz w:val="21"/>
        </w:rPr>
      </w:pPr>
      <w:r>
        <w:rPr>
          <w:color w:val="333333"/>
          <w:w w:val="110"/>
          <w:sz w:val="21"/>
        </w:rPr>
        <w:t>Redirects are not followed (so you can assert the response</w:t>
      </w:r>
      <w:r>
        <w:rPr>
          <w:color w:val="333333"/>
          <w:spacing w:val="24"/>
          <w:w w:val="110"/>
          <w:sz w:val="21"/>
        </w:rPr>
        <w:t xml:space="preserve"> </w:t>
      </w:r>
      <w:r>
        <w:rPr>
          <w:color w:val="333333"/>
          <w:w w:val="110"/>
          <w:sz w:val="21"/>
        </w:rPr>
        <w:t>location).</w:t>
      </w:r>
    </w:p>
    <w:p w14:paraId="1CC82B3E" w14:textId="77777777" w:rsidR="00A720EB" w:rsidRDefault="0030286B">
      <w:pPr>
        <w:pStyle w:val="a6"/>
        <w:numPr>
          <w:ilvl w:val="0"/>
          <w:numId w:val="31"/>
        </w:numPr>
        <w:tabs>
          <w:tab w:val="left" w:pos="485"/>
        </w:tabs>
        <w:spacing w:before="189"/>
        <w:rPr>
          <w:sz w:val="21"/>
        </w:rPr>
      </w:pPr>
      <w:r>
        <w:rPr>
          <w:color w:val="333333"/>
          <w:w w:val="110"/>
          <w:sz w:val="21"/>
        </w:rPr>
        <w:t>Cookies are ignored (so the template is</w:t>
      </w:r>
      <w:r>
        <w:rPr>
          <w:color w:val="333333"/>
          <w:spacing w:val="15"/>
          <w:w w:val="110"/>
          <w:sz w:val="21"/>
        </w:rPr>
        <w:t xml:space="preserve"> </w:t>
      </w:r>
      <w:r>
        <w:rPr>
          <w:color w:val="333333"/>
          <w:w w:val="110"/>
          <w:sz w:val="21"/>
        </w:rPr>
        <w:t>stateless).</w:t>
      </w:r>
    </w:p>
    <w:p w14:paraId="462FAE3C" w14:textId="77777777" w:rsidR="00A720EB" w:rsidRDefault="00A720EB">
      <w:pPr>
        <w:pStyle w:val="a3"/>
        <w:spacing w:before="6"/>
        <w:rPr>
          <w:sz w:val="25"/>
        </w:rPr>
      </w:pPr>
    </w:p>
    <w:p w14:paraId="2E3BFCEE" w14:textId="77777777" w:rsidR="00A720EB" w:rsidRDefault="0030286B">
      <w:pPr>
        <w:pStyle w:val="a3"/>
        <w:spacing w:line="290" w:lineRule="auto"/>
        <w:ind w:left="124" w:right="133"/>
        <w:jc w:val="both"/>
      </w:pPr>
      <w:r>
        <w:rPr>
          <w:rFonts w:ascii="MS Gothic"/>
          <w:color w:val="B02045"/>
          <w:w w:val="110"/>
        </w:rPr>
        <w:t xml:space="preserve">TestRestTemplate </w:t>
      </w:r>
      <w:r>
        <w:rPr>
          <w:color w:val="333333"/>
          <w:w w:val="110"/>
        </w:rPr>
        <w:t>can be instantiated directly in your integration tests, as shown in the following example:</w:t>
      </w:r>
    </w:p>
    <w:p w14:paraId="4E62F4BA" w14:textId="77777777" w:rsidR="00A720EB" w:rsidRDefault="00E10349">
      <w:pPr>
        <w:pStyle w:val="a3"/>
        <w:spacing w:before="7"/>
        <w:rPr>
          <w:sz w:val="14"/>
        </w:rPr>
      </w:pPr>
      <w:r>
        <w:pict w14:anchorId="51903900">
          <v:group id="_x0000_s3468" style="position:absolute;margin-left:47.85pt;margin-top:10.6pt;width:499.55pt;height:199.65pt;z-index:-15298560;mso-wrap-distance-left:0;mso-wrap-distance-right:0;mso-position-horizontal-relative:page" coordorigin="957,212" coordsize="9991,3993">
            <v:shape id="_x0000_s3471" style="position:absolute;left:964;top:219;width:9976;height:3978" coordorigin="965,219" coordsize="9976,3978" path="m10861,219r-9816,l1014,225r-26,17l971,268r-6,31l965,4117r6,31l988,4173r26,17l1045,4197r9816,l10892,4190r25,-17l10935,4148r6,-31l10941,299r-6,-31l10917,242r-25,-17l10861,219xe" fillcolor="#f5f5f5" stroked="f">
              <v:path arrowok="t"/>
            </v:shape>
            <v:shape id="_x0000_s3470" style="position:absolute;left:964;top:219;width:9976;height:3978" coordorigin="965,219" coordsize="9976,3978" path="m1045,219r9816,l10892,225r25,17l10935,268r6,31l10941,4117r-6,31l10917,4173r-25,17l10861,4197r-9816,l1014,4190r-26,-17l971,4148r-6,-31l965,299r6,-31l988,242r26,-17l1045,219xe" filled="f" strokecolor="#ccc">
              <v:path arrowok="t"/>
            </v:shape>
            <v:shape id="_x0000_s3469" type="#_x0000_t202" style="position:absolute;left:984;top:234;width:9938;height:3947" filled="f" stroked="f">
              <v:textbox inset="0,0,0,0">
                <w:txbxContent>
                  <w:p w14:paraId="4E1B4390" w14:textId="77777777" w:rsidR="00711A16" w:rsidRDefault="00711A16">
                    <w:pPr>
                      <w:spacing w:before="221"/>
                      <w:ind w:left="200"/>
                      <w:rPr>
                        <w:rFonts w:ascii="MS Gothic"/>
                      </w:rPr>
                    </w:pPr>
                    <w:r>
                      <w:rPr>
                        <w:rFonts w:ascii="MS Gothic"/>
                        <w:color w:val="333333"/>
                      </w:rPr>
                      <w:t>public class MyTest {</w:t>
                    </w:r>
                  </w:p>
                  <w:p w14:paraId="06FBC1EF" w14:textId="77777777" w:rsidR="00711A16" w:rsidRDefault="00711A16">
                    <w:pPr>
                      <w:spacing w:line="590" w:lineRule="atLeast"/>
                      <w:ind w:left="640" w:right="2788"/>
                      <w:rPr>
                        <w:rFonts w:ascii="MS Gothic"/>
                      </w:rPr>
                    </w:pPr>
                    <w:r>
                      <w:rPr>
                        <w:rFonts w:ascii="MS Gothic"/>
                        <w:color w:val="333333"/>
                      </w:rPr>
                      <w:t xml:space="preserve">private TestRestTemplate template = new </w:t>
                    </w:r>
                    <w:proofErr w:type="gramStart"/>
                    <w:r>
                      <w:rPr>
                        <w:rFonts w:ascii="MS Gothic"/>
                        <w:color w:val="333333"/>
                      </w:rPr>
                      <w:t>TestRestTemplate(</w:t>
                    </w:r>
                    <w:proofErr w:type="gramEnd"/>
                    <w:r>
                      <w:rPr>
                        <w:rFonts w:ascii="MS Gothic"/>
                        <w:color w:val="333333"/>
                      </w:rPr>
                      <w:t>); @Test</w:t>
                    </w:r>
                  </w:p>
                  <w:p w14:paraId="034BA068" w14:textId="77777777" w:rsidR="00711A16" w:rsidRDefault="00711A16">
                    <w:pPr>
                      <w:spacing w:before="12" w:line="252" w:lineRule="auto"/>
                      <w:ind w:left="1080" w:right="3448" w:hanging="440"/>
                      <w:rPr>
                        <w:rFonts w:ascii="MS Gothic"/>
                      </w:rPr>
                    </w:pPr>
                    <w:r>
                      <w:rPr>
                        <w:rFonts w:ascii="MS Gothic"/>
                        <w:color w:val="333333"/>
                      </w:rPr>
                      <w:t xml:space="preserve">public void </w:t>
                    </w:r>
                    <w:proofErr w:type="gramStart"/>
                    <w:r>
                      <w:rPr>
                        <w:rFonts w:ascii="MS Gothic"/>
                        <w:color w:val="333333"/>
                      </w:rPr>
                      <w:t>testRequest(</w:t>
                    </w:r>
                    <w:proofErr w:type="gramEnd"/>
                    <w:r>
                      <w:rPr>
                        <w:rFonts w:ascii="MS Gothic"/>
                        <w:color w:val="333333"/>
                      </w:rPr>
                      <w:t>) throws Exception { HttpHeaders headers = this.template.getForEntity(</w:t>
                    </w:r>
                  </w:p>
                  <w:p w14:paraId="07555A33" w14:textId="77777777" w:rsidR="00711A16" w:rsidRDefault="00711A16">
                    <w:pPr>
                      <w:spacing w:line="252" w:lineRule="auto"/>
                      <w:ind w:left="1080" w:right="808" w:firstLine="880"/>
                      <w:rPr>
                        <w:rFonts w:ascii="MS Gothic"/>
                      </w:rPr>
                    </w:pPr>
                    <w:r>
                      <w:rPr>
                        <w:rFonts w:ascii="MS Gothic"/>
                        <w:color w:val="333333"/>
                      </w:rPr>
                      <w:t>"https://myhost.example.com/example", String.class</w:t>
                    </w:r>
                    <w:proofErr w:type="gramStart"/>
                    <w:r>
                      <w:rPr>
                        <w:rFonts w:ascii="MS Gothic"/>
                        <w:color w:val="333333"/>
                      </w:rPr>
                      <w:t>).getHeaders</w:t>
                    </w:r>
                    <w:proofErr w:type="gramEnd"/>
                    <w:r>
                      <w:rPr>
                        <w:rFonts w:ascii="MS Gothic"/>
                        <w:color w:val="333333"/>
                      </w:rPr>
                      <w:t>(); assertThat(headers.getLocation()).hasHost("other.example.com");</w:t>
                    </w:r>
                  </w:p>
                  <w:p w14:paraId="707214A5" w14:textId="77777777" w:rsidR="00711A16" w:rsidRDefault="00711A16">
                    <w:pPr>
                      <w:spacing w:line="280" w:lineRule="exact"/>
                      <w:ind w:left="640"/>
                      <w:rPr>
                        <w:rFonts w:ascii="MS Gothic"/>
                      </w:rPr>
                    </w:pPr>
                    <w:r>
                      <w:rPr>
                        <w:rFonts w:ascii="MS Gothic"/>
                        <w:color w:val="333333"/>
                      </w:rPr>
                      <w:t>}</w:t>
                    </w:r>
                  </w:p>
                  <w:p w14:paraId="638EDEAA" w14:textId="77777777" w:rsidR="00711A16" w:rsidRDefault="00711A16">
                    <w:pPr>
                      <w:spacing w:before="10"/>
                      <w:rPr>
                        <w:rFonts w:ascii="MS Gothic"/>
                        <w:sz w:val="23"/>
                      </w:rPr>
                    </w:pPr>
                  </w:p>
                  <w:p w14:paraId="7B00FD7D"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45535B3D" w14:textId="77777777" w:rsidR="00A720EB" w:rsidRDefault="00A720EB">
      <w:pPr>
        <w:pStyle w:val="a3"/>
        <w:spacing w:before="11"/>
        <w:rPr>
          <w:sz w:val="9"/>
        </w:rPr>
      </w:pPr>
    </w:p>
    <w:p w14:paraId="29DFFA92" w14:textId="77777777" w:rsidR="00A720EB" w:rsidRDefault="0030286B">
      <w:pPr>
        <w:pStyle w:val="a3"/>
        <w:spacing w:before="115"/>
        <w:ind w:left="124"/>
      </w:pPr>
      <w:r>
        <w:rPr>
          <w:color w:val="333333"/>
          <w:w w:val="110"/>
        </w:rPr>
        <w:t xml:space="preserve">Alternatively, if you use the </w:t>
      </w:r>
      <w:r>
        <w:rPr>
          <w:rFonts w:ascii="MS Gothic"/>
          <w:color w:val="B02045"/>
          <w:w w:val="110"/>
        </w:rPr>
        <w:t xml:space="preserve">@SpringBootTest </w:t>
      </w:r>
      <w:r>
        <w:rPr>
          <w:color w:val="333333"/>
          <w:w w:val="110"/>
        </w:rPr>
        <w:t xml:space="preserve">annotation with </w:t>
      </w:r>
      <w:r>
        <w:rPr>
          <w:rFonts w:ascii="MS Gothic"/>
          <w:color w:val="B02045"/>
          <w:w w:val="110"/>
        </w:rPr>
        <w:t xml:space="preserve">WebEnvironment.RANDOM_PORT </w:t>
      </w:r>
      <w:r>
        <w:rPr>
          <w:color w:val="333333"/>
          <w:w w:val="110"/>
        </w:rPr>
        <w:t>or</w:t>
      </w:r>
    </w:p>
    <w:p w14:paraId="109C6A7D" w14:textId="77777777" w:rsidR="00A720EB" w:rsidRDefault="00A720EB">
      <w:pPr>
        <w:sectPr w:rsidR="00A720EB">
          <w:pgSz w:w="11910" w:h="16840"/>
          <w:pgMar w:top="700" w:right="840" w:bottom="520" w:left="840" w:header="0" w:footer="323" w:gutter="0"/>
          <w:cols w:space="720"/>
        </w:sectPr>
      </w:pPr>
    </w:p>
    <w:p w14:paraId="5BAE00C5" w14:textId="77777777" w:rsidR="00A720EB" w:rsidRDefault="0030286B">
      <w:pPr>
        <w:pStyle w:val="a3"/>
        <w:spacing w:before="96" w:line="292" w:lineRule="auto"/>
        <w:ind w:left="124" w:right="123"/>
        <w:jc w:val="both"/>
      </w:pPr>
      <w:r>
        <w:rPr>
          <w:rFonts w:ascii="MS Gothic"/>
          <w:color w:val="B02045"/>
          <w:w w:val="110"/>
        </w:rPr>
        <w:lastRenderedPageBreak/>
        <w:t>WebEnvironment.DEFINED_PORT</w:t>
      </w:r>
      <w:r>
        <w:rPr>
          <w:color w:val="333333"/>
          <w:w w:val="110"/>
        </w:rPr>
        <w:t>,</w:t>
      </w:r>
      <w:r>
        <w:rPr>
          <w:color w:val="333333"/>
          <w:spacing w:val="-20"/>
          <w:w w:val="110"/>
        </w:rPr>
        <w:t xml:space="preserve"> </w:t>
      </w:r>
      <w:r>
        <w:rPr>
          <w:color w:val="333333"/>
          <w:w w:val="110"/>
        </w:rPr>
        <w:t>you</w:t>
      </w:r>
      <w:r>
        <w:rPr>
          <w:color w:val="333333"/>
          <w:spacing w:val="-21"/>
          <w:w w:val="110"/>
        </w:rPr>
        <w:t xml:space="preserve"> </w:t>
      </w:r>
      <w:r>
        <w:rPr>
          <w:color w:val="333333"/>
          <w:w w:val="110"/>
        </w:rPr>
        <w:t>can</w:t>
      </w:r>
      <w:r>
        <w:rPr>
          <w:color w:val="333333"/>
          <w:spacing w:val="-20"/>
          <w:w w:val="110"/>
        </w:rPr>
        <w:t xml:space="preserve"> </w:t>
      </w:r>
      <w:r>
        <w:rPr>
          <w:color w:val="333333"/>
          <w:w w:val="110"/>
        </w:rPr>
        <w:t>inject</w:t>
      </w:r>
      <w:r>
        <w:rPr>
          <w:color w:val="333333"/>
          <w:spacing w:val="-21"/>
          <w:w w:val="110"/>
        </w:rPr>
        <w:t xml:space="preserve"> </w:t>
      </w:r>
      <w:r>
        <w:rPr>
          <w:color w:val="333333"/>
          <w:w w:val="110"/>
        </w:rPr>
        <w:t>a</w:t>
      </w:r>
      <w:r>
        <w:rPr>
          <w:color w:val="333333"/>
          <w:spacing w:val="-20"/>
          <w:w w:val="110"/>
        </w:rPr>
        <w:t xml:space="preserve"> </w:t>
      </w:r>
      <w:r>
        <w:rPr>
          <w:color w:val="333333"/>
          <w:w w:val="110"/>
        </w:rPr>
        <w:t>fully</w:t>
      </w:r>
      <w:r>
        <w:rPr>
          <w:color w:val="333333"/>
          <w:spacing w:val="-21"/>
          <w:w w:val="110"/>
        </w:rPr>
        <w:t xml:space="preserve"> </w:t>
      </w:r>
      <w:r>
        <w:rPr>
          <w:color w:val="333333"/>
          <w:w w:val="110"/>
        </w:rPr>
        <w:t>configured</w:t>
      </w:r>
      <w:r>
        <w:rPr>
          <w:color w:val="333333"/>
          <w:spacing w:val="-19"/>
          <w:w w:val="110"/>
        </w:rPr>
        <w:t xml:space="preserve"> </w:t>
      </w:r>
      <w:r>
        <w:rPr>
          <w:rFonts w:ascii="MS Gothic"/>
          <w:color w:val="B02045"/>
          <w:w w:val="110"/>
        </w:rPr>
        <w:t>TestRestTemplate</w:t>
      </w:r>
      <w:r>
        <w:rPr>
          <w:rFonts w:ascii="MS Gothic"/>
          <w:color w:val="B02045"/>
          <w:spacing w:val="-84"/>
          <w:w w:val="110"/>
        </w:rPr>
        <w:t xml:space="preserve"> </w:t>
      </w:r>
      <w:r>
        <w:rPr>
          <w:color w:val="333333"/>
          <w:w w:val="110"/>
        </w:rPr>
        <w:t>and</w:t>
      </w:r>
      <w:r>
        <w:rPr>
          <w:color w:val="333333"/>
          <w:spacing w:val="-21"/>
          <w:w w:val="110"/>
        </w:rPr>
        <w:t xml:space="preserve"> </w:t>
      </w:r>
      <w:r>
        <w:rPr>
          <w:color w:val="333333"/>
          <w:w w:val="110"/>
        </w:rPr>
        <w:t>start</w:t>
      </w:r>
      <w:r>
        <w:rPr>
          <w:color w:val="333333"/>
          <w:spacing w:val="-20"/>
          <w:w w:val="110"/>
        </w:rPr>
        <w:t xml:space="preserve"> </w:t>
      </w:r>
      <w:r>
        <w:rPr>
          <w:color w:val="333333"/>
          <w:w w:val="110"/>
        </w:rPr>
        <w:t>using</w:t>
      </w:r>
      <w:r>
        <w:rPr>
          <w:color w:val="333333"/>
          <w:spacing w:val="-21"/>
          <w:w w:val="110"/>
        </w:rPr>
        <w:t xml:space="preserve"> </w:t>
      </w:r>
      <w:r>
        <w:rPr>
          <w:color w:val="333333"/>
          <w:w w:val="110"/>
        </w:rPr>
        <w:t>it.</w:t>
      </w:r>
      <w:r>
        <w:rPr>
          <w:color w:val="333333"/>
          <w:spacing w:val="-20"/>
          <w:w w:val="110"/>
        </w:rPr>
        <w:t xml:space="preserve"> </w:t>
      </w:r>
      <w:r>
        <w:rPr>
          <w:color w:val="333333"/>
          <w:w w:val="110"/>
        </w:rPr>
        <w:t xml:space="preserve">If necessary, additional customizations can be applied through the </w:t>
      </w:r>
      <w:r>
        <w:rPr>
          <w:rFonts w:ascii="MS Gothic"/>
          <w:color w:val="B02045"/>
          <w:w w:val="110"/>
        </w:rPr>
        <w:t xml:space="preserve">RestTemplateBuilder </w:t>
      </w:r>
      <w:r>
        <w:rPr>
          <w:color w:val="333333"/>
          <w:w w:val="110"/>
        </w:rPr>
        <w:t>bean. Any URLs that do not specify a host and port automatically connect to the embedded server, as shown in the following</w:t>
      </w:r>
      <w:r>
        <w:rPr>
          <w:color w:val="333333"/>
          <w:spacing w:val="7"/>
          <w:w w:val="110"/>
        </w:rPr>
        <w:t xml:space="preserve"> </w:t>
      </w:r>
      <w:r>
        <w:rPr>
          <w:color w:val="333333"/>
          <w:w w:val="110"/>
        </w:rPr>
        <w:t>example:</w:t>
      </w:r>
    </w:p>
    <w:p w14:paraId="3D606AB8" w14:textId="77777777" w:rsidR="00A720EB" w:rsidRDefault="00E10349">
      <w:pPr>
        <w:pStyle w:val="a3"/>
        <w:spacing w:before="5"/>
        <w:rPr>
          <w:sz w:val="14"/>
        </w:rPr>
      </w:pPr>
      <w:r>
        <w:pict w14:anchorId="24E78A0C">
          <v:group id="_x0000_s3464" style="position:absolute;margin-left:47.85pt;margin-top:10.45pt;width:499.55pt;height:391.25pt;z-index:-15297024;mso-wrap-distance-left:0;mso-wrap-distance-right:0;mso-position-horizontal-relative:page" coordorigin="957,209" coordsize="9991,7825">
            <v:shape id="_x0000_s3467" style="position:absolute;left:964;top:216;width:9976;height:7810" coordorigin="965,216" coordsize="9976,7810" path="m10861,216r-9816,l1014,223r-26,17l971,265r-6,31l965,7946r6,32l988,8003r26,17l1045,8026r9816,l10892,8020r25,-17l10935,7978r6,-32l10941,296r-6,-31l10917,240r-25,-17l10861,216xe" fillcolor="#f5f5f5" stroked="f">
              <v:path arrowok="t"/>
            </v:shape>
            <v:shape id="_x0000_s3466" style="position:absolute;left:964;top:216;width:9976;height:7810" coordorigin="965,216" coordsize="9976,7810" path="m1045,216r9816,l10892,223r25,17l10935,265r6,31l10941,7946r-6,32l10917,8003r-25,17l10861,8026r-9816,l1014,8020r-26,-17l971,7978r-6,-32l965,296r6,-31l988,240r26,-17l1045,216xe" filled="f" strokecolor="#ccc">
              <v:path arrowok="t"/>
            </v:shape>
            <v:shape id="_x0000_s3465" type="#_x0000_t202" style="position:absolute;left:984;top:231;width:9938;height:7780" filled="f" stroked="f">
              <v:textbox inset="0,0,0,0">
                <w:txbxContent>
                  <w:p w14:paraId="3E52FD78" w14:textId="77777777" w:rsidR="00711A16" w:rsidRDefault="00711A16">
                    <w:pPr>
                      <w:spacing w:before="221" w:line="252" w:lineRule="auto"/>
                      <w:ind w:left="200" w:right="3118"/>
                      <w:rPr>
                        <w:rFonts w:ascii="MS Gothic"/>
                      </w:rPr>
                    </w:pPr>
                    <w:r>
                      <w:rPr>
                        <w:rFonts w:ascii="MS Gothic"/>
                        <w:color w:val="333333"/>
                      </w:rPr>
                      <w:t>@</w:t>
                    </w:r>
                    <w:proofErr w:type="gramStart"/>
                    <w:r>
                      <w:rPr>
                        <w:rFonts w:ascii="MS Gothic"/>
                        <w:color w:val="333333"/>
                      </w:rPr>
                      <w:t>SpringBootTest(</w:t>
                    </w:r>
                    <w:proofErr w:type="gramEnd"/>
                    <w:r>
                      <w:rPr>
                        <w:rFonts w:ascii="MS Gothic"/>
                        <w:color w:val="333333"/>
                      </w:rPr>
                      <w:t>webEnvironment = WebEnvironment.RANDOM_PORT) class SampleWebClientTests {</w:t>
                    </w:r>
                  </w:p>
                  <w:p w14:paraId="10D2ADF4" w14:textId="77777777" w:rsidR="00711A16" w:rsidRDefault="00711A16">
                    <w:pPr>
                      <w:spacing w:before="10"/>
                      <w:rPr>
                        <w:rFonts w:ascii="MS Gothic"/>
                      </w:rPr>
                    </w:pPr>
                  </w:p>
                  <w:p w14:paraId="7D681672" w14:textId="77777777" w:rsidR="00711A16" w:rsidRDefault="00711A16">
                    <w:pPr>
                      <w:ind w:left="640"/>
                      <w:rPr>
                        <w:rFonts w:ascii="MS Gothic"/>
                      </w:rPr>
                    </w:pPr>
                    <w:r>
                      <w:rPr>
                        <w:rFonts w:ascii="MS Gothic"/>
                        <w:color w:val="333333"/>
                      </w:rPr>
                      <w:t>@Autowired</w:t>
                    </w:r>
                  </w:p>
                  <w:p w14:paraId="1D320515" w14:textId="77777777" w:rsidR="00711A16" w:rsidRDefault="00711A16">
                    <w:pPr>
                      <w:spacing w:before="13"/>
                      <w:ind w:left="640"/>
                      <w:rPr>
                        <w:rFonts w:ascii="MS Gothic"/>
                      </w:rPr>
                    </w:pPr>
                    <w:r>
                      <w:rPr>
                        <w:rFonts w:ascii="MS Gothic"/>
                        <w:color w:val="333333"/>
                      </w:rPr>
                      <w:t>private TestRestTemplate template;</w:t>
                    </w:r>
                  </w:p>
                  <w:p w14:paraId="22F9BF3D" w14:textId="77777777" w:rsidR="00711A16" w:rsidRDefault="00711A16">
                    <w:pPr>
                      <w:rPr>
                        <w:rFonts w:ascii="MS Gothic"/>
                        <w:sz w:val="24"/>
                      </w:rPr>
                    </w:pPr>
                  </w:p>
                  <w:p w14:paraId="622A3B02" w14:textId="77777777" w:rsidR="00711A16" w:rsidRDefault="00711A16">
                    <w:pPr>
                      <w:ind w:left="640"/>
                      <w:rPr>
                        <w:rFonts w:ascii="MS Gothic"/>
                      </w:rPr>
                    </w:pPr>
                    <w:r>
                      <w:rPr>
                        <w:rFonts w:ascii="MS Gothic"/>
                        <w:color w:val="333333"/>
                      </w:rPr>
                      <w:t>@Test</w:t>
                    </w:r>
                  </w:p>
                  <w:p w14:paraId="0926B03E" w14:textId="77777777" w:rsidR="00711A16" w:rsidRDefault="00711A16">
                    <w:pPr>
                      <w:spacing w:before="13"/>
                      <w:ind w:left="640"/>
                      <w:rPr>
                        <w:rFonts w:ascii="MS Gothic"/>
                      </w:rPr>
                    </w:pPr>
                    <w:r>
                      <w:rPr>
                        <w:rFonts w:ascii="MS Gothic"/>
                        <w:color w:val="333333"/>
                      </w:rPr>
                      <w:t xml:space="preserve">void </w:t>
                    </w:r>
                    <w:proofErr w:type="gramStart"/>
                    <w:r>
                      <w:rPr>
                        <w:rFonts w:ascii="MS Gothic"/>
                        <w:color w:val="333333"/>
                      </w:rPr>
                      <w:t>testRequest(</w:t>
                    </w:r>
                    <w:proofErr w:type="gramEnd"/>
                    <w:r>
                      <w:rPr>
                        <w:rFonts w:ascii="MS Gothic"/>
                        <w:color w:val="333333"/>
                      </w:rPr>
                      <w:t>) {</w:t>
                    </w:r>
                  </w:p>
                  <w:p w14:paraId="2C43FF4F" w14:textId="77777777" w:rsidR="00711A16" w:rsidRDefault="00711A16">
                    <w:pPr>
                      <w:spacing w:before="13" w:line="252" w:lineRule="auto"/>
                      <w:ind w:left="200" w:right="2238" w:firstLine="880"/>
                      <w:rPr>
                        <w:rFonts w:ascii="MS Gothic"/>
                      </w:rPr>
                    </w:pPr>
                    <w:r>
                      <w:rPr>
                        <w:rFonts w:ascii="MS Gothic"/>
                        <w:color w:val="333333"/>
                      </w:rPr>
                      <w:t xml:space="preserve">HttpHeaders headers = </w:t>
                    </w:r>
                    <w:proofErr w:type="gramStart"/>
                    <w:r>
                      <w:rPr>
                        <w:rFonts w:ascii="MS Gothic"/>
                        <w:color w:val="333333"/>
                      </w:rPr>
                      <w:t>this.template</w:t>
                    </w:r>
                    <w:proofErr w:type="gramEnd"/>
                    <w:r>
                      <w:rPr>
                        <w:rFonts w:ascii="MS Gothic"/>
                        <w:color w:val="333333"/>
                      </w:rPr>
                      <w:t>.getForEntity("/example", String.class).getHeaders();</w:t>
                    </w:r>
                  </w:p>
                  <w:p w14:paraId="47A649CC" w14:textId="77777777" w:rsidR="00711A16" w:rsidRDefault="00711A16">
                    <w:pPr>
                      <w:spacing w:line="280" w:lineRule="exact"/>
                      <w:ind w:left="1080"/>
                      <w:rPr>
                        <w:rFonts w:ascii="MS Gothic"/>
                      </w:rPr>
                    </w:pPr>
                    <w:r>
                      <w:rPr>
                        <w:rFonts w:ascii="MS Gothic"/>
                        <w:color w:val="333333"/>
                      </w:rPr>
                      <w:t>assertThat(</w:t>
                    </w:r>
                    <w:proofErr w:type="gramStart"/>
                    <w:r>
                      <w:rPr>
                        <w:rFonts w:ascii="MS Gothic"/>
                        <w:color w:val="333333"/>
                      </w:rPr>
                      <w:t>headers.getLocation</w:t>
                    </w:r>
                    <w:proofErr w:type="gramEnd"/>
                    <w:r>
                      <w:rPr>
                        <w:rFonts w:ascii="MS Gothic"/>
                        <w:color w:val="333333"/>
                      </w:rPr>
                      <w:t>()).hasHost("other.example.com");</w:t>
                    </w:r>
                  </w:p>
                  <w:p w14:paraId="5169F79E" w14:textId="77777777" w:rsidR="00711A16" w:rsidRDefault="00711A16">
                    <w:pPr>
                      <w:spacing w:before="13"/>
                      <w:ind w:left="640"/>
                      <w:rPr>
                        <w:rFonts w:ascii="MS Gothic"/>
                      </w:rPr>
                    </w:pPr>
                    <w:r>
                      <w:rPr>
                        <w:rFonts w:ascii="MS Gothic"/>
                        <w:color w:val="333333"/>
                      </w:rPr>
                      <w:t>}</w:t>
                    </w:r>
                  </w:p>
                  <w:p w14:paraId="694D4070" w14:textId="77777777" w:rsidR="00711A16" w:rsidRDefault="00711A16">
                    <w:pPr>
                      <w:rPr>
                        <w:rFonts w:ascii="MS Gothic"/>
                        <w:sz w:val="24"/>
                      </w:rPr>
                    </w:pPr>
                  </w:p>
                  <w:p w14:paraId="53ADF2EF" w14:textId="77777777" w:rsidR="00711A16" w:rsidRDefault="00711A16">
                    <w:pPr>
                      <w:spacing w:line="252" w:lineRule="auto"/>
                      <w:ind w:left="640" w:right="4438"/>
                      <w:rPr>
                        <w:rFonts w:ascii="MS Gothic"/>
                      </w:rPr>
                    </w:pPr>
                    <w:r>
                      <w:rPr>
                        <w:rFonts w:ascii="MS Gothic"/>
                        <w:color w:val="333333"/>
                      </w:rPr>
                      <w:t>@</w:t>
                    </w:r>
                    <w:proofErr w:type="gramStart"/>
                    <w:r>
                      <w:rPr>
                        <w:rFonts w:ascii="MS Gothic"/>
                        <w:color w:val="333333"/>
                      </w:rPr>
                      <w:t>TestConfiguration(</w:t>
                    </w:r>
                    <w:proofErr w:type="gramEnd"/>
                    <w:r>
                      <w:rPr>
                        <w:rFonts w:ascii="MS Gothic"/>
                        <w:color w:val="333333"/>
                      </w:rPr>
                      <w:t>proxyBeanMethods = false) static class Config {</w:t>
                    </w:r>
                  </w:p>
                  <w:p w14:paraId="534DAA64" w14:textId="77777777" w:rsidR="00711A16" w:rsidRDefault="00711A16">
                    <w:pPr>
                      <w:spacing w:before="11"/>
                      <w:rPr>
                        <w:rFonts w:ascii="MS Gothic"/>
                      </w:rPr>
                    </w:pPr>
                  </w:p>
                  <w:p w14:paraId="658EA9EC" w14:textId="77777777" w:rsidR="00711A16" w:rsidRDefault="00711A16">
                    <w:pPr>
                      <w:ind w:left="1080"/>
                      <w:rPr>
                        <w:rFonts w:ascii="MS Gothic"/>
                      </w:rPr>
                    </w:pPr>
                    <w:r>
                      <w:rPr>
                        <w:rFonts w:ascii="MS Gothic"/>
                        <w:color w:val="333333"/>
                      </w:rPr>
                      <w:t>@Bean</w:t>
                    </w:r>
                  </w:p>
                  <w:p w14:paraId="2D19BCA5" w14:textId="77777777" w:rsidR="00711A16" w:rsidRDefault="00711A16">
                    <w:pPr>
                      <w:spacing w:before="13"/>
                      <w:ind w:left="1080"/>
                      <w:rPr>
                        <w:rFonts w:ascii="MS Gothic"/>
                      </w:rPr>
                    </w:pPr>
                    <w:r>
                      <w:rPr>
                        <w:rFonts w:ascii="MS Gothic"/>
                        <w:color w:val="333333"/>
                      </w:rPr>
                      <w:t xml:space="preserve">RestTemplateBuilder </w:t>
                    </w:r>
                    <w:proofErr w:type="gramStart"/>
                    <w:r>
                      <w:rPr>
                        <w:rFonts w:ascii="MS Gothic"/>
                        <w:color w:val="333333"/>
                      </w:rPr>
                      <w:t>restTemplateBuilder(</w:t>
                    </w:r>
                    <w:proofErr w:type="gramEnd"/>
                    <w:r>
                      <w:rPr>
                        <w:rFonts w:ascii="MS Gothic"/>
                        <w:color w:val="333333"/>
                      </w:rPr>
                      <w:t>) {</w:t>
                    </w:r>
                  </w:p>
                  <w:p w14:paraId="4F66CDB9" w14:textId="77777777" w:rsidR="00711A16" w:rsidRDefault="00711A16">
                    <w:pPr>
                      <w:spacing w:before="13"/>
                      <w:ind w:left="1520"/>
                      <w:rPr>
                        <w:rFonts w:ascii="MS Gothic"/>
                      </w:rPr>
                    </w:pPr>
                    <w:r>
                      <w:rPr>
                        <w:rFonts w:ascii="MS Gothic"/>
                        <w:color w:val="333333"/>
                      </w:rPr>
                      <w:t>return new RestTemplateBuilder(</w:t>
                    </w:r>
                    <w:proofErr w:type="gramStart"/>
                    <w:r>
                      <w:rPr>
                        <w:rFonts w:ascii="MS Gothic"/>
                        <w:color w:val="333333"/>
                      </w:rPr>
                      <w:t>).setConnectTimeout</w:t>
                    </w:r>
                    <w:proofErr w:type="gramEnd"/>
                    <w:r>
                      <w:rPr>
                        <w:rFonts w:ascii="MS Gothic"/>
                        <w:color w:val="333333"/>
                      </w:rPr>
                      <w:t>(Duration.ofSeconds(1))</w:t>
                    </w:r>
                  </w:p>
                  <w:p w14:paraId="35EF0C7F" w14:textId="77777777" w:rsidR="00711A16" w:rsidRDefault="00711A16">
                    <w:pPr>
                      <w:spacing w:before="13"/>
                      <w:ind w:left="2400"/>
                      <w:rPr>
                        <w:rFonts w:ascii="MS Gothic"/>
                      </w:rPr>
                    </w:pPr>
                    <w:proofErr w:type="gramStart"/>
                    <w:r>
                      <w:rPr>
                        <w:rFonts w:ascii="MS Gothic"/>
                        <w:color w:val="333333"/>
                      </w:rPr>
                      <w:t>.setReadTimeout</w:t>
                    </w:r>
                    <w:proofErr w:type="gramEnd"/>
                    <w:r>
                      <w:rPr>
                        <w:rFonts w:ascii="MS Gothic"/>
                        <w:color w:val="333333"/>
                      </w:rPr>
                      <w:t>(Duration.ofSeconds(1));</w:t>
                    </w:r>
                  </w:p>
                  <w:p w14:paraId="2EBF3942" w14:textId="77777777" w:rsidR="00711A16" w:rsidRDefault="00711A16">
                    <w:pPr>
                      <w:spacing w:before="13"/>
                      <w:ind w:left="1080"/>
                      <w:rPr>
                        <w:rFonts w:ascii="MS Gothic"/>
                      </w:rPr>
                    </w:pPr>
                    <w:r>
                      <w:rPr>
                        <w:rFonts w:ascii="MS Gothic"/>
                        <w:color w:val="333333"/>
                      </w:rPr>
                      <w:t>}</w:t>
                    </w:r>
                  </w:p>
                  <w:p w14:paraId="790459A3" w14:textId="77777777" w:rsidR="00711A16" w:rsidRDefault="00711A16">
                    <w:pPr>
                      <w:rPr>
                        <w:rFonts w:ascii="MS Gothic"/>
                        <w:sz w:val="24"/>
                      </w:rPr>
                    </w:pPr>
                  </w:p>
                  <w:p w14:paraId="36EFB90D" w14:textId="77777777" w:rsidR="00711A16" w:rsidRDefault="00711A16">
                    <w:pPr>
                      <w:ind w:left="640"/>
                      <w:rPr>
                        <w:rFonts w:ascii="MS Gothic"/>
                      </w:rPr>
                    </w:pPr>
                    <w:r>
                      <w:rPr>
                        <w:rFonts w:ascii="MS Gothic"/>
                        <w:color w:val="333333"/>
                      </w:rPr>
                      <w:t>}</w:t>
                    </w:r>
                  </w:p>
                  <w:p w14:paraId="259B04DC" w14:textId="77777777" w:rsidR="00711A16" w:rsidRDefault="00711A16">
                    <w:pPr>
                      <w:rPr>
                        <w:rFonts w:ascii="MS Gothic"/>
                        <w:sz w:val="24"/>
                      </w:rPr>
                    </w:pPr>
                  </w:p>
                  <w:p w14:paraId="47163D4B" w14:textId="77777777" w:rsidR="00711A16" w:rsidRDefault="00711A16">
                    <w:pPr>
                      <w:ind w:left="200"/>
                      <w:rPr>
                        <w:rFonts w:ascii="MS Gothic"/>
                      </w:rPr>
                    </w:pPr>
                    <w:r>
                      <w:rPr>
                        <w:rFonts w:ascii="MS Gothic"/>
                        <w:color w:val="333333"/>
                      </w:rPr>
                      <w:t>}</w:t>
                    </w:r>
                  </w:p>
                </w:txbxContent>
              </v:textbox>
            </v:shape>
            <w10:wrap type="topAndBottom" anchorx="page"/>
          </v:group>
        </w:pict>
      </w:r>
    </w:p>
    <w:p w14:paraId="36EAF6ED" w14:textId="77777777" w:rsidR="00A720EB" w:rsidRDefault="00A720EB">
      <w:pPr>
        <w:pStyle w:val="a3"/>
        <w:spacing w:before="11"/>
        <w:rPr>
          <w:sz w:val="16"/>
        </w:rPr>
      </w:pPr>
    </w:p>
    <w:p w14:paraId="6F0FB305" w14:textId="77777777" w:rsidR="00A720EB" w:rsidRDefault="0030286B">
      <w:pPr>
        <w:pStyle w:val="2"/>
        <w:numPr>
          <w:ilvl w:val="1"/>
          <w:numId w:val="68"/>
        </w:numPr>
        <w:tabs>
          <w:tab w:val="left" w:pos="1034"/>
        </w:tabs>
        <w:spacing w:before="107"/>
        <w:ind w:left="1033" w:hanging="910"/>
      </w:pPr>
      <w:bookmarkStart w:id="493" w:name="4.27._WebSockets"/>
      <w:bookmarkStart w:id="494" w:name="_Toc54423815"/>
      <w:bookmarkEnd w:id="493"/>
      <w:r>
        <w:rPr>
          <w:color w:val="333333"/>
          <w:spacing w:val="-4"/>
          <w:w w:val="110"/>
        </w:rPr>
        <w:t>WebSockets</w:t>
      </w:r>
      <w:bookmarkEnd w:id="494"/>
    </w:p>
    <w:p w14:paraId="4853A740" w14:textId="77777777" w:rsidR="00A720EB" w:rsidRDefault="0030286B">
      <w:pPr>
        <w:pStyle w:val="a3"/>
        <w:spacing w:before="253" w:line="307" w:lineRule="auto"/>
        <w:ind w:left="124" w:right="130"/>
        <w:jc w:val="both"/>
      </w:pPr>
      <w:r>
        <w:rPr>
          <w:color w:val="333333"/>
          <w:w w:val="110"/>
        </w:rPr>
        <w:t xml:space="preserve">Spring Boot provides </w:t>
      </w:r>
      <w:r>
        <w:rPr>
          <w:color w:val="333333"/>
          <w:spacing w:val="-3"/>
          <w:w w:val="110"/>
        </w:rPr>
        <w:t xml:space="preserve">WebSockets </w:t>
      </w:r>
      <w:r>
        <w:rPr>
          <w:color w:val="333333"/>
          <w:w w:val="110"/>
        </w:rPr>
        <w:t xml:space="preserve">auto-configuration for embedded Tomcat, </w:t>
      </w:r>
      <w:r>
        <w:rPr>
          <w:color w:val="333333"/>
          <w:spacing w:val="-4"/>
          <w:w w:val="110"/>
        </w:rPr>
        <w:t xml:space="preserve">Jetty, </w:t>
      </w:r>
      <w:r>
        <w:rPr>
          <w:color w:val="333333"/>
          <w:w w:val="110"/>
        </w:rPr>
        <w:t xml:space="preserve">and </w:t>
      </w:r>
      <w:r>
        <w:rPr>
          <w:color w:val="333333"/>
          <w:spacing w:val="-3"/>
          <w:w w:val="110"/>
        </w:rPr>
        <w:t xml:space="preserve">Undertow. </w:t>
      </w:r>
      <w:r>
        <w:rPr>
          <w:color w:val="333333"/>
          <w:w w:val="110"/>
        </w:rPr>
        <w:t xml:space="preserve">If you deploy a war file to a standalone container, Spring Boot assumes that the container is responsible for the configuration of its </w:t>
      </w:r>
      <w:r>
        <w:rPr>
          <w:color w:val="333333"/>
          <w:spacing w:val="-3"/>
          <w:w w:val="110"/>
        </w:rPr>
        <w:t>WebSocket</w:t>
      </w:r>
      <w:r>
        <w:rPr>
          <w:color w:val="333333"/>
          <w:spacing w:val="23"/>
          <w:w w:val="110"/>
        </w:rPr>
        <w:t xml:space="preserve"> </w:t>
      </w:r>
      <w:r>
        <w:rPr>
          <w:color w:val="333333"/>
          <w:w w:val="110"/>
        </w:rPr>
        <w:t>support.</w:t>
      </w:r>
    </w:p>
    <w:p w14:paraId="4C441366" w14:textId="77777777" w:rsidR="00A720EB" w:rsidRDefault="0030286B">
      <w:pPr>
        <w:pStyle w:val="a3"/>
        <w:spacing w:before="241" w:line="297" w:lineRule="auto"/>
        <w:ind w:left="124" w:right="127"/>
        <w:jc w:val="both"/>
      </w:pPr>
      <w:r>
        <w:rPr>
          <w:color w:val="333333"/>
          <w:w w:val="110"/>
        </w:rPr>
        <w:t xml:space="preserve">Spring Framework provides </w:t>
      </w:r>
      <w:hyperlink r:id="rId347" w:anchor="websocket">
        <w:r>
          <w:rPr>
            <w:color w:val="418BCA"/>
            <w:w w:val="110"/>
          </w:rPr>
          <w:t xml:space="preserve">rich </w:t>
        </w:r>
        <w:r>
          <w:rPr>
            <w:color w:val="418BCA"/>
            <w:spacing w:val="-3"/>
            <w:w w:val="110"/>
          </w:rPr>
          <w:t xml:space="preserve">WebSocket </w:t>
        </w:r>
        <w:r>
          <w:rPr>
            <w:color w:val="418BCA"/>
            <w:w w:val="110"/>
          </w:rPr>
          <w:t>support</w:t>
        </w:r>
      </w:hyperlink>
      <w:r>
        <w:rPr>
          <w:color w:val="418BCA"/>
          <w:w w:val="110"/>
        </w:rPr>
        <w:t xml:space="preserve"> </w:t>
      </w:r>
      <w:r>
        <w:rPr>
          <w:color w:val="333333"/>
          <w:w w:val="110"/>
        </w:rPr>
        <w:t xml:space="preserve">for MVC web applications that can be easily  accessed through the </w:t>
      </w:r>
      <w:r>
        <w:rPr>
          <w:rFonts w:ascii="MS Gothic"/>
          <w:color w:val="B02045"/>
          <w:w w:val="110"/>
        </w:rPr>
        <w:t>spring-boot-starter-websocket</w:t>
      </w:r>
      <w:r>
        <w:rPr>
          <w:rFonts w:ascii="MS Gothic"/>
          <w:color w:val="B02045"/>
          <w:spacing w:val="-66"/>
          <w:w w:val="110"/>
        </w:rPr>
        <w:t xml:space="preserve"> </w:t>
      </w:r>
      <w:r>
        <w:rPr>
          <w:color w:val="333333"/>
          <w:w w:val="110"/>
        </w:rPr>
        <w:t>module.</w:t>
      </w:r>
    </w:p>
    <w:p w14:paraId="6AA8FF07" w14:textId="77777777" w:rsidR="00A720EB" w:rsidRDefault="0030286B">
      <w:pPr>
        <w:pStyle w:val="a3"/>
        <w:spacing w:before="232" w:line="297" w:lineRule="auto"/>
        <w:ind w:left="124" w:right="125"/>
        <w:jc w:val="both"/>
      </w:pPr>
      <w:r>
        <w:rPr>
          <w:color w:val="333333"/>
          <w:w w:val="110"/>
        </w:rPr>
        <w:t xml:space="preserve">WebSocket support is also available for </w:t>
      </w:r>
      <w:hyperlink r:id="rId348" w:anchor="webflux-websocket">
        <w:r>
          <w:rPr>
            <w:color w:val="418BCA"/>
            <w:w w:val="110"/>
          </w:rPr>
          <w:t>reactive web applications</w:t>
        </w:r>
      </w:hyperlink>
      <w:r>
        <w:rPr>
          <w:color w:val="418BCA"/>
          <w:w w:val="110"/>
        </w:rPr>
        <w:t xml:space="preserve"> </w:t>
      </w:r>
      <w:r>
        <w:rPr>
          <w:color w:val="333333"/>
          <w:w w:val="110"/>
        </w:rPr>
        <w:t xml:space="preserve">and requires to include the WebSocket API alongside </w:t>
      </w:r>
      <w:r>
        <w:rPr>
          <w:rFonts w:ascii="MS Gothic"/>
          <w:color w:val="B02045"/>
          <w:w w:val="110"/>
        </w:rPr>
        <w:t>spring-boot-starter-webflux</w:t>
      </w:r>
      <w:r>
        <w:rPr>
          <w:color w:val="333333"/>
          <w:w w:val="110"/>
        </w:rPr>
        <w:t>:</w:t>
      </w:r>
    </w:p>
    <w:p w14:paraId="704C9A9D" w14:textId="77777777" w:rsidR="00A720EB" w:rsidRDefault="00E10349">
      <w:pPr>
        <w:pStyle w:val="a3"/>
        <w:spacing w:before="5"/>
        <w:rPr>
          <w:sz w:val="12"/>
        </w:rPr>
      </w:pPr>
      <w:r>
        <w:pict w14:anchorId="61A7A80D">
          <v:group id="_x0000_s3460" style="position:absolute;margin-left:47.85pt;margin-top:9.25pt;width:499.55pt;height:81.75pt;z-index:-15296512;mso-wrap-distance-left:0;mso-wrap-distance-right:0;mso-position-horizontal-relative:page" coordorigin="957,185" coordsize="9991,1635">
            <v:shape id="_x0000_s3463" style="position:absolute;left:964;top:192;width:9976;height:1620" coordorigin="965,193" coordsize="9976,1620" path="m10861,193r-9816,l1014,199r-26,17l971,242r-6,31l965,1732r6,31l988,1788r26,18l1045,1812r9816,l10892,1806r25,-18l10935,1763r6,-31l10941,273r-6,-31l10917,216r-25,-17l10861,193xe" fillcolor="#f5f5f5" stroked="f">
              <v:path arrowok="t"/>
            </v:shape>
            <v:shape id="_x0000_s3462" style="position:absolute;left:964;top:192;width:9976;height:1620" coordorigin="965,193" coordsize="9976,1620" path="m1045,193r9816,l10892,199r25,17l10935,242r6,31l10941,1732r-6,31l10917,1788r-25,18l10861,1812r-9816,l1014,1806r-26,-18l971,1763r-6,-31l965,273r6,-31l988,216r26,-17l1045,193xe" filled="f" strokecolor="#ccc">
              <v:path arrowok="t"/>
            </v:shape>
            <v:shape id="_x0000_s3461" type="#_x0000_t202" style="position:absolute;left:984;top:208;width:9938;height:1589" filled="f" stroked="f">
              <v:textbox inset="0,0,0,0">
                <w:txbxContent>
                  <w:p w14:paraId="463A8C56" w14:textId="77777777" w:rsidR="00711A16" w:rsidRDefault="00711A16">
                    <w:pPr>
                      <w:spacing w:before="221"/>
                      <w:ind w:left="200"/>
                      <w:rPr>
                        <w:rFonts w:ascii="MS Gothic"/>
                      </w:rPr>
                    </w:pPr>
                    <w:r>
                      <w:rPr>
                        <w:rFonts w:ascii="MS Gothic"/>
                        <w:color w:val="333333"/>
                      </w:rPr>
                      <w:t>&lt;dependency&gt;</w:t>
                    </w:r>
                  </w:p>
                  <w:p w14:paraId="4F26897F" w14:textId="77777777" w:rsidR="00711A16" w:rsidRDefault="00711A16">
                    <w:pPr>
                      <w:spacing w:before="13"/>
                      <w:ind w:left="640"/>
                      <w:rPr>
                        <w:rFonts w:ascii="MS Gothic"/>
                      </w:rPr>
                    </w:pPr>
                    <w:r>
                      <w:rPr>
                        <w:rFonts w:ascii="MS Gothic"/>
                        <w:color w:val="333333"/>
                      </w:rPr>
                      <w:t>&lt;groupId&gt;javax.websocket&lt;/groupId&gt;</w:t>
                    </w:r>
                  </w:p>
                  <w:p w14:paraId="1475A734" w14:textId="77777777" w:rsidR="00711A16" w:rsidRDefault="00711A16">
                    <w:pPr>
                      <w:spacing w:before="13"/>
                      <w:ind w:left="640"/>
                      <w:rPr>
                        <w:rFonts w:ascii="MS Gothic"/>
                      </w:rPr>
                    </w:pPr>
                    <w:r>
                      <w:rPr>
                        <w:rFonts w:ascii="MS Gothic"/>
                        <w:color w:val="333333"/>
                      </w:rPr>
                      <w:t>&lt;artifactId&gt;javax.websocket-api&lt;/artifactId&gt;</w:t>
                    </w:r>
                  </w:p>
                  <w:p w14:paraId="009C361C"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45D46887" w14:textId="77777777" w:rsidR="00A720EB" w:rsidRDefault="00A720EB">
      <w:pPr>
        <w:rPr>
          <w:sz w:val="12"/>
        </w:rPr>
        <w:sectPr w:rsidR="00A720EB">
          <w:pgSz w:w="11910" w:h="16840"/>
          <w:pgMar w:top="620" w:right="840" w:bottom="520" w:left="840" w:header="0" w:footer="323" w:gutter="0"/>
          <w:cols w:space="720"/>
        </w:sectPr>
      </w:pPr>
    </w:p>
    <w:p w14:paraId="00BAE7AD" w14:textId="77777777" w:rsidR="00A720EB" w:rsidRDefault="0030286B">
      <w:pPr>
        <w:pStyle w:val="2"/>
        <w:numPr>
          <w:ilvl w:val="1"/>
          <w:numId w:val="68"/>
        </w:numPr>
        <w:tabs>
          <w:tab w:val="left" w:pos="1034"/>
        </w:tabs>
        <w:spacing w:before="88"/>
        <w:ind w:left="1033" w:hanging="910"/>
      </w:pPr>
      <w:bookmarkStart w:id="495" w:name="4.28._Web_Services"/>
      <w:bookmarkStart w:id="496" w:name="_Toc54423816"/>
      <w:bookmarkEnd w:id="495"/>
      <w:r>
        <w:rPr>
          <w:color w:val="333333"/>
          <w:spacing w:val="-8"/>
          <w:w w:val="110"/>
        </w:rPr>
        <w:lastRenderedPageBreak/>
        <w:t>Web</w:t>
      </w:r>
      <w:r>
        <w:rPr>
          <w:color w:val="333333"/>
          <w:spacing w:val="-7"/>
          <w:w w:val="110"/>
        </w:rPr>
        <w:t xml:space="preserve"> </w:t>
      </w:r>
      <w:r>
        <w:rPr>
          <w:color w:val="333333"/>
          <w:w w:val="110"/>
        </w:rPr>
        <w:t>Services</w:t>
      </w:r>
      <w:bookmarkEnd w:id="496"/>
    </w:p>
    <w:p w14:paraId="1D568927" w14:textId="77777777" w:rsidR="00A720EB" w:rsidRDefault="0030286B">
      <w:pPr>
        <w:pStyle w:val="a3"/>
        <w:spacing w:before="254"/>
        <w:ind w:left="124"/>
      </w:pPr>
      <w:r>
        <w:rPr>
          <w:color w:val="333333"/>
          <w:w w:val="110"/>
        </w:rPr>
        <w:t>Spring Boot provides Web Services auto-configuration so that all you must do is define your</w:t>
      </w:r>
    </w:p>
    <w:p w14:paraId="1BD86494" w14:textId="77777777" w:rsidR="00A720EB" w:rsidRDefault="0030286B">
      <w:pPr>
        <w:pStyle w:val="a3"/>
        <w:spacing w:before="58"/>
        <w:ind w:left="124"/>
      </w:pPr>
      <w:r>
        <w:rPr>
          <w:rFonts w:ascii="MS Gothic"/>
          <w:color w:val="B02045"/>
        </w:rPr>
        <w:t>Endpoints</w:t>
      </w:r>
      <w:r>
        <w:rPr>
          <w:color w:val="333333"/>
        </w:rPr>
        <w:t>.</w:t>
      </w:r>
    </w:p>
    <w:p w14:paraId="579744B7" w14:textId="77777777" w:rsidR="00A720EB" w:rsidRDefault="00A720EB">
      <w:pPr>
        <w:pStyle w:val="a3"/>
        <w:spacing w:before="5"/>
        <w:rPr>
          <w:sz w:val="24"/>
        </w:rPr>
      </w:pPr>
    </w:p>
    <w:p w14:paraId="6133F27D" w14:textId="77777777" w:rsidR="00A720EB" w:rsidRDefault="0030286B">
      <w:pPr>
        <w:pStyle w:val="a3"/>
        <w:spacing w:before="1"/>
        <w:ind w:left="124"/>
        <w:rPr>
          <w:rFonts w:ascii="MS Gothic"/>
        </w:rPr>
      </w:pPr>
      <w:r>
        <w:rPr>
          <w:color w:val="333333"/>
          <w:w w:val="110"/>
        </w:rPr>
        <w:t xml:space="preserve">The </w:t>
      </w:r>
      <w:hyperlink r:id="rId349">
        <w:r>
          <w:rPr>
            <w:color w:val="418BCA"/>
            <w:w w:val="110"/>
          </w:rPr>
          <w:t>Spring Web Services features</w:t>
        </w:r>
      </w:hyperlink>
      <w:r>
        <w:rPr>
          <w:color w:val="418BCA"/>
          <w:w w:val="110"/>
        </w:rPr>
        <w:t xml:space="preserve"> </w:t>
      </w:r>
      <w:r>
        <w:rPr>
          <w:color w:val="333333"/>
          <w:w w:val="110"/>
        </w:rPr>
        <w:t xml:space="preserve">can be easily accessed with the </w:t>
      </w:r>
      <w:r>
        <w:rPr>
          <w:rFonts w:ascii="MS Gothic"/>
          <w:color w:val="B02045"/>
          <w:w w:val="110"/>
        </w:rPr>
        <w:t>spring-boot-starter-webservices</w:t>
      </w:r>
    </w:p>
    <w:p w14:paraId="20EA8B04" w14:textId="77777777" w:rsidR="00A720EB" w:rsidRDefault="0030286B">
      <w:pPr>
        <w:pStyle w:val="a3"/>
        <w:spacing w:before="57"/>
        <w:ind w:left="124"/>
      </w:pPr>
      <w:r>
        <w:rPr>
          <w:color w:val="333333"/>
          <w:w w:val="115"/>
        </w:rPr>
        <w:t>module.</w:t>
      </w:r>
    </w:p>
    <w:p w14:paraId="60E3D79E" w14:textId="77777777" w:rsidR="00A720EB" w:rsidRDefault="00A720EB">
      <w:pPr>
        <w:pStyle w:val="a3"/>
        <w:spacing w:before="5"/>
        <w:rPr>
          <w:sz w:val="25"/>
        </w:rPr>
      </w:pPr>
    </w:p>
    <w:p w14:paraId="1FD3A6F6" w14:textId="77777777" w:rsidR="00A720EB" w:rsidRDefault="0030286B">
      <w:pPr>
        <w:pStyle w:val="a3"/>
        <w:spacing w:before="1" w:line="290" w:lineRule="auto"/>
        <w:ind w:left="124"/>
      </w:pPr>
      <w:r>
        <w:rPr>
          <w:rFonts w:ascii="MS Gothic"/>
          <w:color w:val="B02045"/>
          <w:w w:val="110"/>
        </w:rPr>
        <w:t xml:space="preserve">SimpleWsdl11Definition </w:t>
      </w:r>
      <w:r>
        <w:rPr>
          <w:color w:val="333333"/>
          <w:w w:val="110"/>
        </w:rPr>
        <w:t xml:space="preserve">and </w:t>
      </w:r>
      <w:r>
        <w:rPr>
          <w:rFonts w:ascii="MS Gothic"/>
          <w:color w:val="B02045"/>
          <w:w w:val="110"/>
        </w:rPr>
        <w:t xml:space="preserve">SimpleXsdSchema </w:t>
      </w:r>
      <w:r>
        <w:rPr>
          <w:color w:val="333333"/>
          <w:w w:val="110"/>
        </w:rPr>
        <w:t>beans can be automatically created for your WSDLs and XSDs respectively. To do so, configure their location, as shown in the following example:</w:t>
      </w:r>
    </w:p>
    <w:p w14:paraId="15B8E7B0" w14:textId="77777777" w:rsidR="00A720EB" w:rsidRDefault="00E10349">
      <w:pPr>
        <w:pStyle w:val="a3"/>
        <w:spacing w:before="7"/>
        <w:rPr>
          <w:sz w:val="14"/>
        </w:rPr>
      </w:pPr>
      <w:r>
        <w:pict w14:anchorId="77E6F5AD">
          <v:group id="_x0000_s3456" style="position:absolute;margin-left:47.85pt;margin-top:10.55pt;width:499.55pt;height:37.5pt;z-index:-15296000;mso-wrap-distance-left:0;mso-wrap-distance-right:0;mso-position-horizontal-relative:page" coordorigin="957,211" coordsize="9991,750">
            <v:shape id="_x0000_s3459" style="position:absolute;left:964;top:218;width:9976;height:735" coordorigin="965,218" coordsize="9976,735" path="m10861,218r-9816,l1014,225r-26,17l971,267r-6,31l965,873r6,31l988,930r26,17l1045,953r9816,l10892,947r25,-17l10935,904r6,-31l10941,298r-6,-31l10917,242r-25,-17l10861,218xe" fillcolor="#f5f5f5" stroked="f">
              <v:path arrowok="t"/>
            </v:shape>
            <v:shape id="_x0000_s3458" style="position:absolute;left:964;top:218;width:9976;height:735" coordorigin="965,218" coordsize="9976,735" path="m1045,218r9816,l10892,225r25,17l10935,267r6,31l10941,873r-6,31l10917,930r-25,17l10861,953r-9816,l1014,947,988,930,971,904r-6,-31l965,298r6,-31l988,242r26,-17l1045,218xe" filled="f" strokecolor="#ccc">
              <v:path arrowok="t"/>
            </v:shape>
            <v:shape id="_x0000_s3457" type="#_x0000_t202" style="position:absolute;left:984;top:233;width:9938;height:704" filled="f" stroked="f">
              <v:textbox inset="0,0,0,0">
                <w:txbxContent>
                  <w:p w14:paraId="08DFBF19" w14:textId="77777777" w:rsidR="00711A16" w:rsidRDefault="00711A16">
                    <w:pPr>
                      <w:spacing w:before="221"/>
                      <w:ind w:left="200"/>
                      <w:rPr>
                        <w:rFonts w:ascii="MS Gothic"/>
                      </w:rPr>
                    </w:pPr>
                    <w:proofErr w:type="gramStart"/>
                    <w:r>
                      <w:rPr>
                        <w:rFonts w:ascii="MS Gothic"/>
                        <w:color w:val="333333"/>
                      </w:rPr>
                      <w:t>spring.webservices</w:t>
                    </w:r>
                    <w:proofErr w:type="gramEnd"/>
                    <w:r>
                      <w:rPr>
                        <w:rFonts w:ascii="MS Gothic"/>
                        <w:color w:val="333333"/>
                      </w:rPr>
                      <w:t>.wsdl-locations=classpath:/wsdl</w:t>
                    </w:r>
                  </w:p>
                </w:txbxContent>
              </v:textbox>
            </v:shape>
            <w10:wrap type="topAndBottom" anchorx="page"/>
          </v:group>
        </w:pict>
      </w:r>
    </w:p>
    <w:p w14:paraId="719D06E1" w14:textId="77777777" w:rsidR="00A720EB" w:rsidRDefault="00A720EB">
      <w:pPr>
        <w:pStyle w:val="a3"/>
        <w:spacing w:before="11"/>
        <w:rPr>
          <w:sz w:val="16"/>
        </w:rPr>
      </w:pPr>
    </w:p>
    <w:p w14:paraId="301DCB91" w14:textId="77777777" w:rsidR="00A720EB" w:rsidRDefault="0030286B">
      <w:pPr>
        <w:pStyle w:val="3"/>
        <w:numPr>
          <w:ilvl w:val="2"/>
          <w:numId w:val="68"/>
        </w:numPr>
        <w:tabs>
          <w:tab w:val="left" w:pos="1003"/>
        </w:tabs>
        <w:spacing w:before="105"/>
        <w:ind w:left="1002" w:hanging="879"/>
      </w:pPr>
      <w:bookmarkStart w:id="497" w:name="4.28.1._Calling_Web_Services_with_WebSer"/>
      <w:bookmarkStart w:id="498" w:name="_Toc54423817"/>
      <w:bookmarkEnd w:id="497"/>
      <w:r>
        <w:rPr>
          <w:color w:val="333333"/>
          <w:w w:val="110"/>
        </w:rPr>
        <w:t xml:space="preserve">Calling </w:t>
      </w:r>
      <w:r>
        <w:rPr>
          <w:color w:val="333333"/>
          <w:spacing w:val="-6"/>
          <w:w w:val="110"/>
        </w:rPr>
        <w:t xml:space="preserve">Web </w:t>
      </w:r>
      <w:r>
        <w:rPr>
          <w:color w:val="333333"/>
          <w:w w:val="110"/>
        </w:rPr>
        <w:t>Services with</w:t>
      </w:r>
      <w:r>
        <w:rPr>
          <w:color w:val="333333"/>
          <w:spacing w:val="-19"/>
          <w:w w:val="110"/>
        </w:rPr>
        <w:t xml:space="preserve"> </w:t>
      </w:r>
      <w:r>
        <w:rPr>
          <w:color w:val="333333"/>
          <w:spacing w:val="-3"/>
          <w:w w:val="110"/>
        </w:rPr>
        <w:t>WebServiceTemplate</w:t>
      </w:r>
      <w:bookmarkEnd w:id="498"/>
    </w:p>
    <w:p w14:paraId="02174DD3" w14:textId="77777777" w:rsidR="00A720EB" w:rsidRDefault="0030286B">
      <w:pPr>
        <w:pStyle w:val="a3"/>
        <w:spacing w:before="243" w:line="283" w:lineRule="auto"/>
        <w:ind w:left="124" w:right="122"/>
        <w:jc w:val="both"/>
      </w:pPr>
      <w:r>
        <w:rPr>
          <w:color w:val="333333"/>
          <w:w w:val="110"/>
        </w:rPr>
        <w:t xml:space="preserve">If you need to call remote </w:t>
      </w:r>
      <w:r>
        <w:rPr>
          <w:color w:val="333333"/>
          <w:spacing w:val="-5"/>
          <w:w w:val="110"/>
        </w:rPr>
        <w:t xml:space="preserve">Web </w:t>
      </w:r>
      <w:r>
        <w:rPr>
          <w:color w:val="333333"/>
          <w:w w:val="110"/>
        </w:rPr>
        <w:t xml:space="preserve">services from your application, you can use the </w:t>
      </w:r>
      <w:hyperlink r:id="rId350" w:anchor="client-web-service-template">
        <w:r>
          <w:rPr>
            <w:rFonts w:ascii="MS Gothic"/>
            <w:color w:val="B02045"/>
            <w:w w:val="110"/>
          </w:rPr>
          <w:t>WebServiceTemplate</w:t>
        </w:r>
      </w:hyperlink>
      <w:r>
        <w:rPr>
          <w:rFonts w:ascii="MS Gothic"/>
          <w:color w:val="B02045"/>
          <w:w w:val="110"/>
        </w:rPr>
        <w:t xml:space="preserve"> </w:t>
      </w:r>
      <w:r>
        <w:rPr>
          <w:color w:val="333333"/>
          <w:w w:val="110"/>
        </w:rPr>
        <w:t xml:space="preserve">class. Since </w:t>
      </w:r>
      <w:r>
        <w:rPr>
          <w:rFonts w:ascii="MS Gothic"/>
          <w:color w:val="B02045"/>
          <w:w w:val="110"/>
        </w:rPr>
        <w:t xml:space="preserve">WebServiceTemplate </w:t>
      </w:r>
      <w:r>
        <w:rPr>
          <w:color w:val="333333"/>
          <w:w w:val="110"/>
        </w:rPr>
        <w:t xml:space="preserve">instances often need to be customized before being used, Spring Boot does not provide any single auto-configured </w:t>
      </w:r>
      <w:r>
        <w:rPr>
          <w:rFonts w:ascii="MS Gothic"/>
          <w:color w:val="B02045"/>
          <w:w w:val="110"/>
        </w:rPr>
        <w:t xml:space="preserve">WebServiceTemplate </w:t>
      </w:r>
      <w:r>
        <w:rPr>
          <w:color w:val="333333"/>
          <w:w w:val="110"/>
        </w:rPr>
        <w:t xml:space="preserve">bean. It does, however, auto- configure a </w:t>
      </w:r>
      <w:r>
        <w:rPr>
          <w:rFonts w:ascii="MS Gothic"/>
          <w:color w:val="B02045"/>
          <w:w w:val="110"/>
        </w:rPr>
        <w:t>WebServiceTemplateBuilder</w:t>
      </w:r>
      <w:r>
        <w:rPr>
          <w:color w:val="333333"/>
          <w:w w:val="110"/>
        </w:rPr>
        <w:t xml:space="preserve">, which can be used to create </w:t>
      </w:r>
      <w:r>
        <w:rPr>
          <w:rFonts w:ascii="MS Gothic"/>
          <w:color w:val="B02045"/>
          <w:w w:val="110"/>
        </w:rPr>
        <w:t>WebServiceTemplate</w:t>
      </w:r>
      <w:r>
        <w:rPr>
          <w:rFonts w:ascii="MS Gothic"/>
          <w:color w:val="B02045"/>
          <w:spacing w:val="-67"/>
          <w:w w:val="110"/>
        </w:rPr>
        <w:t xml:space="preserve"> </w:t>
      </w:r>
      <w:r>
        <w:rPr>
          <w:color w:val="333333"/>
          <w:w w:val="110"/>
        </w:rPr>
        <w:t>instances when needed.</w:t>
      </w:r>
    </w:p>
    <w:p w14:paraId="53114A74" w14:textId="77777777" w:rsidR="00A720EB" w:rsidRDefault="00A720EB">
      <w:pPr>
        <w:pStyle w:val="a3"/>
        <w:spacing w:before="10"/>
        <w:rPr>
          <w:sz w:val="22"/>
        </w:rPr>
      </w:pPr>
    </w:p>
    <w:p w14:paraId="596223D3" w14:textId="77777777" w:rsidR="00A720EB" w:rsidRDefault="0030286B">
      <w:pPr>
        <w:pStyle w:val="a3"/>
        <w:ind w:left="124"/>
        <w:jc w:val="both"/>
      </w:pPr>
      <w:r>
        <w:rPr>
          <w:color w:val="333333"/>
          <w:w w:val="110"/>
        </w:rPr>
        <w:t>The following code shows a typical example:</w:t>
      </w:r>
    </w:p>
    <w:p w14:paraId="250544C6" w14:textId="77777777" w:rsidR="00A720EB" w:rsidRDefault="00E10349">
      <w:pPr>
        <w:pStyle w:val="a3"/>
        <w:rPr>
          <w:sz w:val="19"/>
        </w:rPr>
      </w:pPr>
      <w:r>
        <w:pict w14:anchorId="726BF0D2">
          <v:group id="_x0000_s3452" style="position:absolute;margin-left:47.85pt;margin-top:13.15pt;width:499.55pt;height:258.6pt;z-index:-15295488;mso-wrap-distance-left:0;mso-wrap-distance-right:0;mso-position-horizontal-relative:page" coordorigin="957,263" coordsize="9991,5172">
            <v:shape id="_x0000_s3455" style="position:absolute;left:964;top:270;width:9976;height:5157" coordorigin="965,270" coordsize="9976,5157" path="m10861,270r-9816,l1014,277r-26,17l971,319r-6,31l965,5347r6,31l988,5404r26,17l1045,5427r9816,l10892,5421r25,-17l10935,5378r6,-31l10941,350r-6,-31l10917,294r-25,-17l10861,270xe" fillcolor="#f5f5f5" stroked="f">
              <v:path arrowok="t"/>
            </v:shape>
            <v:shape id="_x0000_s3454" style="position:absolute;left:964;top:270;width:9976;height:5157" coordorigin="965,270" coordsize="9976,5157" path="m1045,270r9816,l10892,277r25,17l10935,319r6,31l10941,5347r-6,31l10917,5404r-25,17l10861,5427r-9816,l1014,5421r-26,-17l971,5378r-6,-31l965,350r6,-31l988,294r26,-17l1045,270xe" filled="f" strokecolor="#ccc">
              <v:path arrowok="t"/>
            </v:shape>
            <v:shape id="_x0000_s3453" type="#_x0000_t202" style="position:absolute;left:984;top:285;width:9938;height:5126" filled="f" stroked="f">
              <v:textbox inset="0,0,0,0">
                <w:txbxContent>
                  <w:p w14:paraId="07BEF956" w14:textId="77777777" w:rsidR="00711A16" w:rsidRDefault="00711A16">
                    <w:pPr>
                      <w:spacing w:before="221"/>
                      <w:ind w:left="200"/>
                      <w:rPr>
                        <w:rFonts w:ascii="MS Gothic"/>
                      </w:rPr>
                    </w:pPr>
                    <w:r>
                      <w:rPr>
                        <w:rFonts w:ascii="MS Gothic"/>
                        <w:color w:val="333333"/>
                      </w:rPr>
                      <w:t>@Service</w:t>
                    </w:r>
                  </w:p>
                  <w:p w14:paraId="446FFCB7" w14:textId="77777777" w:rsidR="00711A16" w:rsidRDefault="00711A16">
                    <w:pPr>
                      <w:spacing w:before="13"/>
                      <w:ind w:left="200"/>
                      <w:rPr>
                        <w:rFonts w:ascii="MS Gothic"/>
                      </w:rPr>
                    </w:pPr>
                    <w:r>
                      <w:rPr>
                        <w:rFonts w:ascii="MS Gothic"/>
                        <w:color w:val="333333"/>
                      </w:rPr>
                      <w:t>public class MyService {</w:t>
                    </w:r>
                  </w:p>
                  <w:p w14:paraId="173EC56A" w14:textId="77777777" w:rsidR="00711A16" w:rsidRDefault="00711A16">
                    <w:pPr>
                      <w:rPr>
                        <w:rFonts w:ascii="MS Gothic"/>
                        <w:sz w:val="24"/>
                      </w:rPr>
                    </w:pPr>
                  </w:p>
                  <w:p w14:paraId="5E2843C1" w14:textId="77777777" w:rsidR="00711A16" w:rsidRDefault="00711A16">
                    <w:pPr>
                      <w:ind w:left="640"/>
                      <w:rPr>
                        <w:rFonts w:ascii="MS Gothic"/>
                      </w:rPr>
                    </w:pPr>
                    <w:r>
                      <w:rPr>
                        <w:rFonts w:ascii="MS Gothic"/>
                        <w:color w:val="333333"/>
                      </w:rPr>
                      <w:t>private final WebServiceTemplate webServiceTemplate;</w:t>
                    </w:r>
                  </w:p>
                  <w:p w14:paraId="49BC318F" w14:textId="77777777" w:rsidR="00711A16" w:rsidRDefault="00711A16">
                    <w:pPr>
                      <w:rPr>
                        <w:rFonts w:ascii="MS Gothic"/>
                        <w:sz w:val="24"/>
                      </w:rPr>
                    </w:pPr>
                  </w:p>
                  <w:p w14:paraId="53C60ABF" w14:textId="77777777" w:rsidR="00711A16" w:rsidRDefault="00711A16">
                    <w:pPr>
                      <w:spacing w:line="252" w:lineRule="auto"/>
                      <w:ind w:left="1080" w:right="1468" w:hanging="440"/>
                      <w:rPr>
                        <w:rFonts w:ascii="MS Gothic"/>
                      </w:rPr>
                    </w:pPr>
                    <w:r>
                      <w:rPr>
                        <w:rFonts w:ascii="MS Gothic"/>
                        <w:color w:val="333333"/>
                      </w:rPr>
                      <w:t xml:space="preserve">public </w:t>
                    </w:r>
                    <w:proofErr w:type="gramStart"/>
                    <w:r>
                      <w:rPr>
                        <w:rFonts w:ascii="MS Gothic"/>
                        <w:color w:val="333333"/>
                      </w:rPr>
                      <w:t>MyService(</w:t>
                    </w:r>
                    <w:proofErr w:type="gramEnd"/>
                    <w:r>
                      <w:rPr>
                        <w:rFonts w:ascii="MS Gothic"/>
                        <w:color w:val="333333"/>
                      </w:rPr>
                      <w:t>WebServiceTemplateBuilder webServiceTemplateBuilder) { this.webServiceTemplate = webServiceTemplateBuilder.build();</w:t>
                    </w:r>
                  </w:p>
                  <w:p w14:paraId="6F972C62" w14:textId="77777777" w:rsidR="00711A16" w:rsidRDefault="00711A16">
                    <w:pPr>
                      <w:spacing w:line="280" w:lineRule="exact"/>
                      <w:ind w:left="640"/>
                      <w:rPr>
                        <w:rFonts w:ascii="MS Gothic"/>
                      </w:rPr>
                    </w:pPr>
                    <w:r>
                      <w:rPr>
                        <w:rFonts w:ascii="MS Gothic"/>
                        <w:color w:val="333333"/>
                      </w:rPr>
                      <w:t>}</w:t>
                    </w:r>
                  </w:p>
                  <w:p w14:paraId="158E9421" w14:textId="77777777" w:rsidR="00711A16" w:rsidRDefault="00711A16">
                    <w:pPr>
                      <w:rPr>
                        <w:rFonts w:ascii="MS Gothic"/>
                        <w:sz w:val="24"/>
                      </w:rPr>
                    </w:pPr>
                  </w:p>
                  <w:p w14:paraId="19D57874" w14:textId="77777777" w:rsidR="00711A16" w:rsidRDefault="00711A16">
                    <w:pPr>
                      <w:spacing w:line="252" w:lineRule="auto"/>
                      <w:ind w:left="1190" w:right="3228" w:hanging="550"/>
                      <w:rPr>
                        <w:rFonts w:ascii="MS Gothic"/>
                      </w:rPr>
                    </w:pPr>
                    <w:r>
                      <w:rPr>
                        <w:rFonts w:ascii="MS Gothic"/>
                        <w:color w:val="333333"/>
                      </w:rPr>
                      <w:t xml:space="preserve">public DetailsResp </w:t>
                    </w:r>
                    <w:proofErr w:type="gramStart"/>
                    <w:r>
                      <w:rPr>
                        <w:rFonts w:ascii="MS Gothic"/>
                        <w:color w:val="333333"/>
                      </w:rPr>
                      <w:t>someWsCall(</w:t>
                    </w:r>
                    <w:proofErr w:type="gramEnd"/>
                    <w:r>
                      <w:rPr>
                        <w:rFonts w:ascii="MS Gothic"/>
                        <w:color w:val="333333"/>
                      </w:rPr>
                      <w:t xml:space="preserve">DetailsReq detailsReq) </w:t>
                    </w:r>
                    <w:r>
                      <w:rPr>
                        <w:rFonts w:ascii="MS Gothic"/>
                        <w:color w:val="333333"/>
                        <w:spacing w:val="-17"/>
                      </w:rPr>
                      <w:t xml:space="preserve">{ </w:t>
                    </w:r>
                    <w:r>
                      <w:rPr>
                        <w:rFonts w:ascii="MS Gothic"/>
                        <w:color w:val="333333"/>
                      </w:rPr>
                      <w:t>return (DetailsResp)</w:t>
                    </w:r>
                  </w:p>
                  <w:p w14:paraId="2D7AB20A" w14:textId="77777777" w:rsidR="00711A16" w:rsidRDefault="00711A16">
                    <w:pPr>
                      <w:spacing w:line="252" w:lineRule="auto"/>
                      <w:ind w:left="200"/>
                      <w:rPr>
                        <w:rFonts w:ascii="MS Gothic"/>
                      </w:rPr>
                    </w:pPr>
                    <w:proofErr w:type="gramStart"/>
                    <w:r>
                      <w:rPr>
                        <w:rFonts w:ascii="MS Gothic"/>
                        <w:color w:val="333333"/>
                      </w:rPr>
                      <w:t>this.webServiceTemplate.marshalSendAndReceive</w:t>
                    </w:r>
                    <w:proofErr w:type="gramEnd"/>
                    <w:r>
                      <w:rPr>
                        <w:rFonts w:ascii="MS Gothic"/>
                        <w:color w:val="333333"/>
                      </w:rPr>
                      <w:t xml:space="preserve">(detailsReq, </w:t>
                    </w:r>
                    <w:r>
                      <w:rPr>
                        <w:rFonts w:ascii="MS Gothic"/>
                        <w:color w:val="333333"/>
                        <w:spacing w:val="-6"/>
                      </w:rPr>
                      <w:t xml:space="preserve">new </w:t>
                    </w:r>
                    <w:r>
                      <w:rPr>
                        <w:rFonts w:ascii="MS Gothic"/>
                        <w:color w:val="333333"/>
                      </w:rPr>
                      <w:t>SoapActionCallback(ACTION));</w:t>
                    </w:r>
                  </w:p>
                  <w:p w14:paraId="570CF070" w14:textId="77777777" w:rsidR="00711A16" w:rsidRDefault="00711A16">
                    <w:pPr>
                      <w:spacing w:line="280" w:lineRule="exact"/>
                      <w:ind w:left="640"/>
                      <w:rPr>
                        <w:rFonts w:ascii="MS Gothic"/>
                      </w:rPr>
                    </w:pPr>
                    <w:r>
                      <w:rPr>
                        <w:rFonts w:ascii="MS Gothic"/>
                        <w:color w:val="333333"/>
                      </w:rPr>
                      <w:t>}</w:t>
                    </w:r>
                  </w:p>
                  <w:p w14:paraId="2670EB7B" w14:textId="77777777" w:rsidR="00711A16" w:rsidRDefault="00711A16">
                    <w:pPr>
                      <w:spacing w:before="11"/>
                      <w:rPr>
                        <w:rFonts w:ascii="MS Gothic"/>
                        <w:sz w:val="23"/>
                      </w:rPr>
                    </w:pPr>
                  </w:p>
                  <w:p w14:paraId="55068BA6" w14:textId="77777777" w:rsidR="00711A16" w:rsidRDefault="00711A16">
                    <w:pPr>
                      <w:ind w:left="200"/>
                      <w:rPr>
                        <w:rFonts w:ascii="MS Gothic"/>
                      </w:rPr>
                    </w:pPr>
                    <w:r>
                      <w:rPr>
                        <w:rFonts w:ascii="MS Gothic"/>
                        <w:color w:val="333333"/>
                      </w:rPr>
                      <w:t>}</w:t>
                    </w:r>
                  </w:p>
                </w:txbxContent>
              </v:textbox>
            </v:shape>
            <w10:wrap type="topAndBottom" anchorx="page"/>
          </v:group>
        </w:pict>
      </w:r>
    </w:p>
    <w:p w14:paraId="562C21B7" w14:textId="77777777" w:rsidR="00A720EB" w:rsidRDefault="00A720EB">
      <w:pPr>
        <w:pStyle w:val="a3"/>
        <w:spacing w:before="11"/>
        <w:rPr>
          <w:sz w:val="9"/>
        </w:rPr>
      </w:pPr>
    </w:p>
    <w:p w14:paraId="761655C0" w14:textId="77777777" w:rsidR="00A720EB" w:rsidRDefault="0030286B">
      <w:pPr>
        <w:pStyle w:val="a3"/>
        <w:spacing w:before="115" w:line="300" w:lineRule="auto"/>
        <w:ind w:left="124" w:right="123"/>
        <w:jc w:val="both"/>
      </w:pPr>
      <w:r>
        <w:rPr>
          <w:color w:val="333333"/>
          <w:w w:val="105"/>
        </w:rPr>
        <w:t xml:space="preserve">By default, </w:t>
      </w:r>
      <w:r>
        <w:rPr>
          <w:rFonts w:ascii="MS Gothic"/>
          <w:color w:val="B02045"/>
          <w:w w:val="105"/>
        </w:rPr>
        <w:t xml:space="preserve">WebServiceTemplateBuilder </w:t>
      </w:r>
      <w:r>
        <w:rPr>
          <w:color w:val="333333"/>
          <w:w w:val="105"/>
        </w:rPr>
        <w:t xml:space="preserve">detects a suitable HTTP-based </w:t>
      </w:r>
      <w:r>
        <w:rPr>
          <w:rFonts w:ascii="MS Gothic"/>
          <w:color w:val="B02045"/>
          <w:w w:val="105"/>
        </w:rPr>
        <w:t xml:space="preserve">WebServiceMessageSender </w:t>
      </w:r>
      <w:r>
        <w:rPr>
          <w:color w:val="333333"/>
          <w:w w:val="105"/>
        </w:rPr>
        <w:t xml:space="preserve">using </w:t>
      </w:r>
      <w:r>
        <w:rPr>
          <w:color w:val="333333"/>
          <w:w w:val="110"/>
        </w:rPr>
        <w:t>the available HTTP client libraries on the classpath. You can also customize read and connection timeouts as follows:</w:t>
      </w:r>
    </w:p>
    <w:p w14:paraId="51E492A5" w14:textId="77777777" w:rsidR="00A720EB" w:rsidRDefault="00A720EB">
      <w:pPr>
        <w:spacing w:line="300" w:lineRule="auto"/>
        <w:jc w:val="both"/>
        <w:sectPr w:rsidR="00A720EB">
          <w:pgSz w:w="11910" w:h="16840"/>
          <w:pgMar w:top="620" w:right="840" w:bottom="520" w:left="840" w:header="0" w:footer="323" w:gutter="0"/>
          <w:cols w:space="720"/>
        </w:sectPr>
      </w:pPr>
    </w:p>
    <w:p w14:paraId="48DAB35C" w14:textId="77777777" w:rsidR="00A720EB" w:rsidRDefault="00E10349">
      <w:pPr>
        <w:pStyle w:val="a3"/>
        <w:ind w:left="116"/>
        <w:rPr>
          <w:sz w:val="20"/>
        </w:rPr>
      </w:pPr>
      <w:r>
        <w:rPr>
          <w:sz w:val="20"/>
        </w:rPr>
      </w:r>
      <w:r>
        <w:rPr>
          <w:sz w:val="20"/>
        </w:rPr>
        <w:pict w14:anchorId="28325C1D">
          <v:group id="_x0000_s3448" style="width:499.55pt;height:96.45pt;mso-position-horizontal-relative:char;mso-position-vertical-relative:line" coordsize="9991,1929">
            <v:shape id="_x0000_s3451" style="position:absolute;left:7;top:7;width:9976;height:1914" coordorigin="8,8" coordsize="9976,1914" path="m9904,8l88,8,56,14,31,31,14,56,8,88r,1753l14,1873r17,25l56,1915r32,6l9904,1921r31,-6l9960,1898r17,-25l9984,1841r,-1753l9977,56,9960,31,9935,14,9904,8xe" fillcolor="#f5f5f5" stroked="f">
              <v:path arrowok="t"/>
            </v:shape>
            <v:shape id="_x0000_s3450" style="position:absolute;left:7;top:7;width:9976;height:1914" coordorigin="8,8" coordsize="9976,1914" path="m88,8r9816,l9935,14r25,17l9977,56r7,32l9984,1841r-7,32l9960,1898r-25,17l9904,1921r-9816,l56,1915,31,1898,14,1873,8,1841,8,88,14,56,31,31,56,14,88,8xe" filled="f" strokecolor="#ccc">
              <v:path arrowok="t"/>
            </v:shape>
            <v:shape id="_x0000_s3449" type="#_x0000_t202" style="position:absolute;left:26;top:22;width:9938;height:1884" filled="f" stroked="f">
              <v:textbox inset="0,0,0,0">
                <w:txbxContent>
                  <w:p w14:paraId="5E6423C2" w14:textId="77777777" w:rsidR="00711A16" w:rsidRDefault="00711A16">
                    <w:pPr>
                      <w:spacing w:before="221"/>
                      <w:ind w:left="200"/>
                      <w:rPr>
                        <w:rFonts w:ascii="MS Gothic"/>
                      </w:rPr>
                    </w:pPr>
                    <w:r>
                      <w:rPr>
                        <w:rFonts w:ascii="MS Gothic"/>
                        <w:color w:val="333333"/>
                      </w:rPr>
                      <w:t>@Bean</w:t>
                    </w:r>
                  </w:p>
                  <w:p w14:paraId="42BCA5DD" w14:textId="77777777" w:rsidR="00711A16" w:rsidRDefault="00711A16">
                    <w:pPr>
                      <w:spacing w:before="13" w:line="252" w:lineRule="auto"/>
                      <w:ind w:left="640" w:right="384" w:hanging="440"/>
                      <w:rPr>
                        <w:rFonts w:ascii="MS Gothic"/>
                      </w:rPr>
                    </w:pPr>
                    <w:r>
                      <w:rPr>
                        <w:rFonts w:ascii="MS Gothic"/>
                        <w:color w:val="333333"/>
                      </w:rPr>
                      <w:t xml:space="preserve">public WebServiceTemplate </w:t>
                    </w:r>
                    <w:proofErr w:type="gramStart"/>
                    <w:r>
                      <w:rPr>
                        <w:rFonts w:ascii="MS Gothic"/>
                        <w:color w:val="333333"/>
                      </w:rPr>
                      <w:t>webServiceTemplate(</w:t>
                    </w:r>
                    <w:proofErr w:type="gramEnd"/>
                    <w:r>
                      <w:rPr>
                        <w:rFonts w:ascii="MS Gothic"/>
                        <w:color w:val="333333"/>
                      </w:rPr>
                      <w:t xml:space="preserve">WebServiceTemplateBuilder builder) </w:t>
                    </w:r>
                    <w:r>
                      <w:rPr>
                        <w:rFonts w:ascii="MS Gothic"/>
                        <w:color w:val="333333"/>
                        <w:spacing w:val="-17"/>
                      </w:rPr>
                      <w:t xml:space="preserve">{ </w:t>
                    </w:r>
                    <w:r>
                      <w:rPr>
                        <w:rFonts w:ascii="MS Gothic"/>
                        <w:color w:val="333333"/>
                      </w:rPr>
                      <w:t>return builder.messageSenders(new HttpWebServiceMessageSenderBuilder()</w:t>
                    </w:r>
                  </w:p>
                  <w:p w14:paraId="5A33E7B3" w14:textId="77777777" w:rsidR="00711A16" w:rsidRDefault="00711A16">
                    <w:pPr>
                      <w:spacing w:line="280" w:lineRule="exact"/>
                      <w:ind w:left="1520"/>
                      <w:rPr>
                        <w:rFonts w:ascii="MS Gothic"/>
                      </w:rPr>
                    </w:pPr>
                    <w:proofErr w:type="gramStart"/>
                    <w:r>
                      <w:rPr>
                        <w:rFonts w:ascii="MS Gothic"/>
                        <w:color w:val="333333"/>
                      </w:rPr>
                      <w:t>.setConnectTimeout</w:t>
                    </w:r>
                    <w:proofErr w:type="gramEnd"/>
                    <w:r>
                      <w:rPr>
                        <w:rFonts w:ascii="MS Gothic"/>
                        <w:color w:val="333333"/>
                      </w:rPr>
                      <w:t>(5000).setReadTimeout(2000).build()).build();</w:t>
                    </w:r>
                  </w:p>
                  <w:p w14:paraId="144CA4C2" w14:textId="77777777" w:rsidR="00711A16" w:rsidRDefault="00711A16">
                    <w:pPr>
                      <w:spacing w:before="13"/>
                      <w:ind w:left="200"/>
                      <w:rPr>
                        <w:rFonts w:ascii="MS Gothic"/>
                      </w:rPr>
                    </w:pPr>
                    <w:r>
                      <w:rPr>
                        <w:rFonts w:ascii="MS Gothic"/>
                        <w:color w:val="333333"/>
                      </w:rPr>
                      <w:t>}</w:t>
                    </w:r>
                  </w:p>
                </w:txbxContent>
              </v:textbox>
            </v:shape>
            <w10:anchorlock/>
          </v:group>
        </w:pict>
      </w:r>
    </w:p>
    <w:p w14:paraId="091FAE16" w14:textId="77777777" w:rsidR="00A720EB" w:rsidRDefault="00A720EB">
      <w:pPr>
        <w:pStyle w:val="a3"/>
        <w:spacing w:before="9"/>
        <w:rPr>
          <w:sz w:val="16"/>
        </w:rPr>
      </w:pPr>
    </w:p>
    <w:p w14:paraId="1F66376B" w14:textId="77777777" w:rsidR="00A720EB" w:rsidRDefault="0030286B">
      <w:pPr>
        <w:pStyle w:val="2"/>
        <w:numPr>
          <w:ilvl w:val="1"/>
          <w:numId w:val="68"/>
        </w:numPr>
        <w:tabs>
          <w:tab w:val="left" w:pos="1034"/>
        </w:tabs>
        <w:spacing w:before="107"/>
        <w:ind w:left="1033" w:hanging="910"/>
      </w:pPr>
      <w:bookmarkStart w:id="499" w:name="4.29._Creating_Your_Own_Auto-configurati"/>
      <w:bookmarkStart w:id="500" w:name="_Toc54423818"/>
      <w:bookmarkEnd w:id="499"/>
      <w:r>
        <w:rPr>
          <w:color w:val="333333"/>
          <w:w w:val="110"/>
        </w:rPr>
        <w:t xml:space="preserve">Creating </w:t>
      </w:r>
      <w:r>
        <w:rPr>
          <w:color w:val="333333"/>
          <w:spacing w:val="-7"/>
          <w:w w:val="110"/>
        </w:rPr>
        <w:t xml:space="preserve">Your </w:t>
      </w:r>
      <w:r>
        <w:rPr>
          <w:color w:val="333333"/>
          <w:w w:val="110"/>
        </w:rPr>
        <w:t>Own</w:t>
      </w:r>
      <w:r>
        <w:rPr>
          <w:color w:val="333333"/>
          <w:spacing w:val="-24"/>
          <w:w w:val="110"/>
        </w:rPr>
        <w:t xml:space="preserve"> </w:t>
      </w:r>
      <w:r>
        <w:rPr>
          <w:color w:val="333333"/>
          <w:w w:val="110"/>
        </w:rPr>
        <w:t>Auto-configuration</w:t>
      </w:r>
      <w:bookmarkEnd w:id="500"/>
    </w:p>
    <w:p w14:paraId="2F68CAE8" w14:textId="77777777" w:rsidR="00A720EB" w:rsidRDefault="0030286B">
      <w:pPr>
        <w:pStyle w:val="a3"/>
        <w:spacing w:before="253" w:line="307" w:lineRule="auto"/>
        <w:ind w:left="124" w:right="131"/>
        <w:jc w:val="both"/>
      </w:pPr>
      <w:r>
        <w:rPr>
          <w:color w:val="333333"/>
          <w:w w:val="110"/>
        </w:rPr>
        <w:t>If you work in a company that develops shared libraries, or if you work on an open-source or commercial library, you might want to develop your own auto-configuration. Auto-configuration classes can be bundled in external jars and still be picked-up by Spring Boot.</w:t>
      </w:r>
    </w:p>
    <w:p w14:paraId="623CE140" w14:textId="77777777" w:rsidR="00A720EB" w:rsidRDefault="0030286B">
      <w:pPr>
        <w:pStyle w:val="a3"/>
        <w:spacing w:before="241" w:line="307" w:lineRule="auto"/>
        <w:ind w:left="124" w:right="121"/>
        <w:jc w:val="both"/>
      </w:pPr>
      <w:r>
        <w:rPr>
          <w:color w:val="333333"/>
          <w:w w:val="110"/>
        </w:rPr>
        <w:t xml:space="preserve">Auto-configuration can be associated to a “starter” that provides the auto-configuration code as  </w:t>
      </w:r>
      <w:r>
        <w:rPr>
          <w:color w:val="333333"/>
          <w:spacing w:val="50"/>
          <w:w w:val="110"/>
        </w:rPr>
        <w:t xml:space="preserve"> </w:t>
      </w:r>
      <w:r>
        <w:rPr>
          <w:color w:val="333333"/>
          <w:w w:val="110"/>
        </w:rPr>
        <w:t xml:space="preserve">well as the typical libraries that you would use with it. </w:t>
      </w:r>
      <w:r>
        <w:rPr>
          <w:color w:val="333333"/>
          <w:spacing w:val="-7"/>
          <w:w w:val="110"/>
        </w:rPr>
        <w:t xml:space="preserve">We  </w:t>
      </w:r>
      <w:r>
        <w:rPr>
          <w:color w:val="333333"/>
          <w:w w:val="110"/>
        </w:rPr>
        <w:t>first cover what you need to know to</w:t>
      </w:r>
      <w:r>
        <w:rPr>
          <w:color w:val="333333"/>
          <w:spacing w:val="50"/>
          <w:w w:val="110"/>
        </w:rPr>
        <w:t xml:space="preserve"> </w:t>
      </w:r>
      <w:r>
        <w:rPr>
          <w:color w:val="333333"/>
          <w:w w:val="110"/>
        </w:rPr>
        <w:t xml:space="preserve">build your own auto-configuration and then we move on to the </w:t>
      </w:r>
      <w:hyperlink w:anchor="_bookmark355" w:history="1">
        <w:r>
          <w:rPr>
            <w:color w:val="418BCA"/>
            <w:w w:val="110"/>
          </w:rPr>
          <w:t>typical steps required to create a</w:t>
        </w:r>
      </w:hyperlink>
      <w:r>
        <w:rPr>
          <w:color w:val="418BCA"/>
          <w:w w:val="110"/>
        </w:rPr>
        <w:t xml:space="preserve"> </w:t>
      </w:r>
      <w:hyperlink w:anchor="_bookmark355" w:history="1">
        <w:r>
          <w:rPr>
            <w:color w:val="418BCA"/>
            <w:w w:val="110"/>
          </w:rPr>
          <w:t>custom</w:t>
        </w:r>
        <w:r>
          <w:rPr>
            <w:color w:val="418BCA"/>
            <w:spacing w:val="3"/>
            <w:w w:val="110"/>
          </w:rPr>
          <w:t xml:space="preserve"> </w:t>
        </w:r>
        <w:r>
          <w:rPr>
            <w:color w:val="418BCA"/>
            <w:w w:val="110"/>
          </w:rPr>
          <w:t>starter</w:t>
        </w:r>
      </w:hyperlink>
      <w:r>
        <w:rPr>
          <w:color w:val="333333"/>
          <w:w w:val="110"/>
        </w:rPr>
        <w:t>.</w:t>
      </w:r>
    </w:p>
    <w:p w14:paraId="549A2C37" w14:textId="77777777" w:rsidR="00A720EB" w:rsidRDefault="00E10349">
      <w:pPr>
        <w:pStyle w:val="a3"/>
        <w:spacing w:before="199"/>
        <w:ind w:left="561"/>
      </w:pPr>
      <w:r>
        <w:pict w14:anchorId="2F04813A">
          <v:line id="_x0000_s3447" style="position:absolute;left:0;text-align:left;z-index:-41371136;mso-position-horizontal-relative:page" from="108.25pt,10.15pt" to="108.25pt,33.9pt" strokecolor="#ededed" strokeweight=".5pt">
            <w10:wrap anchorx="page"/>
          </v:line>
        </w:pict>
      </w:r>
      <w:r w:rsidR="0030286B">
        <w:rPr>
          <w:noProof/>
          <w:position w:val="-15"/>
        </w:rPr>
        <w:drawing>
          <wp:inline distT="0" distB="0" distL="0" distR="0" wp14:anchorId="5ADE6CDA" wp14:editId="2202DEC8">
            <wp:extent cx="209550" cy="304800"/>
            <wp:effectExtent l="0" t="0" r="0" b="0"/>
            <wp:docPr id="5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25.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A </w:t>
      </w:r>
      <w:hyperlink r:id="rId351">
        <w:r w:rsidR="0030286B">
          <w:rPr>
            <w:color w:val="418BCA"/>
            <w:w w:val="110"/>
          </w:rPr>
          <w:t xml:space="preserve">demo project </w:t>
        </w:r>
      </w:hyperlink>
      <w:r w:rsidR="0030286B">
        <w:rPr>
          <w:color w:val="333333"/>
          <w:w w:val="110"/>
        </w:rPr>
        <w:t>is available to showcase how you can create a starter</w:t>
      </w:r>
      <w:r w:rsidR="0030286B">
        <w:rPr>
          <w:color w:val="333333"/>
          <w:spacing w:val="30"/>
          <w:w w:val="110"/>
        </w:rPr>
        <w:t xml:space="preserve"> </w:t>
      </w:r>
      <w:r w:rsidR="0030286B">
        <w:rPr>
          <w:color w:val="333333"/>
          <w:w w:val="110"/>
        </w:rPr>
        <w:t>step-by-step.</w:t>
      </w:r>
    </w:p>
    <w:p w14:paraId="399F1D43" w14:textId="77777777" w:rsidR="00A720EB" w:rsidRDefault="0030286B">
      <w:pPr>
        <w:pStyle w:val="3"/>
        <w:numPr>
          <w:ilvl w:val="2"/>
          <w:numId w:val="68"/>
        </w:numPr>
        <w:tabs>
          <w:tab w:val="left" w:pos="1003"/>
        </w:tabs>
        <w:spacing w:before="340"/>
        <w:ind w:left="1002" w:hanging="879"/>
      </w:pPr>
      <w:bookmarkStart w:id="501" w:name="4.29.1._Understanding_Auto-configured_Be"/>
      <w:bookmarkStart w:id="502" w:name="_Toc54423819"/>
      <w:bookmarkEnd w:id="501"/>
      <w:r>
        <w:rPr>
          <w:color w:val="333333"/>
          <w:w w:val="110"/>
        </w:rPr>
        <w:t>Understanding Auto-configured</w:t>
      </w:r>
      <w:r>
        <w:rPr>
          <w:color w:val="333333"/>
          <w:spacing w:val="-12"/>
          <w:w w:val="110"/>
        </w:rPr>
        <w:t xml:space="preserve"> </w:t>
      </w:r>
      <w:r>
        <w:rPr>
          <w:color w:val="333333"/>
          <w:w w:val="110"/>
        </w:rPr>
        <w:t>Beans</w:t>
      </w:r>
      <w:bookmarkEnd w:id="502"/>
    </w:p>
    <w:p w14:paraId="283260AB" w14:textId="77777777" w:rsidR="00A720EB" w:rsidRDefault="0030286B">
      <w:pPr>
        <w:pStyle w:val="a3"/>
        <w:spacing w:before="243" w:line="288" w:lineRule="auto"/>
        <w:ind w:left="124" w:right="122"/>
        <w:jc w:val="both"/>
      </w:pPr>
      <w:r>
        <w:rPr>
          <w:color w:val="333333"/>
          <w:w w:val="110"/>
        </w:rPr>
        <w:t xml:space="preserve">Under the hood, auto-configuration is implemented with standard </w:t>
      </w:r>
      <w:r>
        <w:rPr>
          <w:rFonts w:ascii="MS Gothic"/>
          <w:color w:val="B02045"/>
          <w:w w:val="110"/>
        </w:rPr>
        <w:t xml:space="preserve">@Configuration </w:t>
      </w:r>
      <w:r>
        <w:rPr>
          <w:color w:val="333333"/>
          <w:w w:val="110"/>
        </w:rPr>
        <w:t xml:space="preserve">classes. Additional </w:t>
      </w:r>
      <w:r>
        <w:rPr>
          <w:rFonts w:ascii="MS Gothic"/>
          <w:color w:val="B02045"/>
          <w:w w:val="110"/>
        </w:rPr>
        <w:t xml:space="preserve">@Conditional </w:t>
      </w:r>
      <w:r>
        <w:rPr>
          <w:color w:val="333333"/>
          <w:w w:val="110"/>
        </w:rPr>
        <w:t xml:space="preserve">annotations are used to constrain when the auto-configuration should </w:t>
      </w:r>
      <w:r>
        <w:rPr>
          <w:color w:val="333333"/>
          <w:spacing w:val="-4"/>
          <w:w w:val="110"/>
        </w:rPr>
        <w:t xml:space="preserve">apply. Usually, </w:t>
      </w:r>
      <w:r>
        <w:rPr>
          <w:color w:val="333333"/>
          <w:w w:val="110"/>
        </w:rPr>
        <w:t xml:space="preserve">auto-configuration classes use </w:t>
      </w:r>
      <w:r>
        <w:rPr>
          <w:rFonts w:ascii="MS Gothic"/>
          <w:color w:val="B02045"/>
          <w:w w:val="110"/>
        </w:rPr>
        <w:t>@ConditionalOnClass</w:t>
      </w:r>
      <w:r>
        <w:rPr>
          <w:rFonts w:ascii="MS Gothic"/>
          <w:color w:val="B02045"/>
          <w:spacing w:val="-95"/>
          <w:w w:val="110"/>
        </w:rPr>
        <w:t xml:space="preserve"> </w:t>
      </w:r>
      <w:r>
        <w:rPr>
          <w:color w:val="333333"/>
          <w:w w:val="110"/>
        </w:rPr>
        <w:t xml:space="preserve">and </w:t>
      </w:r>
      <w:r>
        <w:rPr>
          <w:rFonts w:ascii="MS Gothic"/>
          <w:color w:val="B02045"/>
          <w:w w:val="110"/>
        </w:rPr>
        <w:t xml:space="preserve">@ConditionalOnMissingBean </w:t>
      </w:r>
      <w:r>
        <w:rPr>
          <w:color w:val="333333"/>
          <w:w w:val="110"/>
        </w:rPr>
        <w:t xml:space="preserve">annotations. This ensures that auto-configuration applies only when relevant classes are found and when you have not declared your own </w:t>
      </w:r>
      <w:r>
        <w:rPr>
          <w:rFonts w:ascii="MS Gothic"/>
          <w:color w:val="B02045"/>
          <w:w w:val="110"/>
        </w:rPr>
        <w:t>@Configuration</w:t>
      </w:r>
      <w:r>
        <w:rPr>
          <w:color w:val="333333"/>
          <w:w w:val="110"/>
        </w:rPr>
        <w:t>.</w:t>
      </w:r>
    </w:p>
    <w:p w14:paraId="2FB344FB" w14:textId="77777777" w:rsidR="00A720EB" w:rsidRDefault="0030286B">
      <w:pPr>
        <w:pStyle w:val="a3"/>
        <w:spacing w:before="231" w:line="280" w:lineRule="auto"/>
        <w:ind w:left="124" w:right="122"/>
        <w:jc w:val="both"/>
      </w:pPr>
      <w:r>
        <w:rPr>
          <w:color w:val="333333"/>
          <w:spacing w:val="-6"/>
          <w:w w:val="110"/>
        </w:rPr>
        <w:t>You</w:t>
      </w:r>
      <w:r>
        <w:rPr>
          <w:color w:val="333333"/>
          <w:spacing w:val="-17"/>
          <w:w w:val="110"/>
        </w:rPr>
        <w:t xml:space="preserve"> </w:t>
      </w:r>
      <w:r>
        <w:rPr>
          <w:color w:val="333333"/>
          <w:w w:val="110"/>
        </w:rPr>
        <w:t>can</w:t>
      </w:r>
      <w:r>
        <w:rPr>
          <w:color w:val="333333"/>
          <w:spacing w:val="-16"/>
          <w:w w:val="110"/>
        </w:rPr>
        <w:t xml:space="preserve"> </w:t>
      </w:r>
      <w:r>
        <w:rPr>
          <w:color w:val="333333"/>
          <w:w w:val="110"/>
        </w:rPr>
        <w:t>browse</w:t>
      </w:r>
      <w:r>
        <w:rPr>
          <w:color w:val="333333"/>
          <w:spacing w:val="-16"/>
          <w:w w:val="110"/>
        </w:rPr>
        <w:t xml:space="preserve"> </w:t>
      </w:r>
      <w:r>
        <w:rPr>
          <w:color w:val="333333"/>
          <w:w w:val="110"/>
        </w:rPr>
        <w:t>the</w:t>
      </w:r>
      <w:r>
        <w:rPr>
          <w:color w:val="333333"/>
          <w:spacing w:val="-17"/>
          <w:w w:val="110"/>
        </w:rPr>
        <w:t xml:space="preserve"> </w:t>
      </w:r>
      <w:r>
        <w:rPr>
          <w:color w:val="333333"/>
          <w:w w:val="110"/>
        </w:rPr>
        <w:t>source</w:t>
      </w:r>
      <w:r>
        <w:rPr>
          <w:color w:val="333333"/>
          <w:spacing w:val="-16"/>
          <w:w w:val="110"/>
        </w:rPr>
        <w:t xml:space="preserve"> </w:t>
      </w:r>
      <w:r>
        <w:rPr>
          <w:color w:val="333333"/>
          <w:w w:val="110"/>
        </w:rPr>
        <w:t>code</w:t>
      </w:r>
      <w:r>
        <w:rPr>
          <w:color w:val="333333"/>
          <w:spacing w:val="-16"/>
          <w:w w:val="110"/>
        </w:rPr>
        <w:t xml:space="preserve"> </w:t>
      </w:r>
      <w:r>
        <w:rPr>
          <w:color w:val="333333"/>
          <w:w w:val="110"/>
        </w:rPr>
        <w:t>of</w:t>
      </w:r>
      <w:r>
        <w:rPr>
          <w:color w:val="333333"/>
          <w:spacing w:val="-16"/>
          <w:w w:val="110"/>
        </w:rPr>
        <w:t xml:space="preserve"> </w:t>
      </w:r>
      <w:hyperlink r:id="rId352">
        <w:r>
          <w:rPr>
            <w:rFonts w:ascii="MS Gothic"/>
            <w:color w:val="B02045"/>
            <w:w w:val="110"/>
          </w:rPr>
          <w:t>spring-boot-autoconfigure</w:t>
        </w:r>
        <w:r>
          <w:rPr>
            <w:rFonts w:ascii="MS Gothic"/>
            <w:color w:val="B02045"/>
            <w:spacing w:val="-81"/>
            <w:w w:val="110"/>
          </w:rPr>
          <w:t xml:space="preserve"> </w:t>
        </w:r>
      </w:hyperlink>
      <w:r>
        <w:rPr>
          <w:color w:val="333333"/>
          <w:w w:val="110"/>
        </w:rPr>
        <w:t>to</w:t>
      </w:r>
      <w:r>
        <w:rPr>
          <w:color w:val="333333"/>
          <w:spacing w:val="-17"/>
          <w:w w:val="110"/>
        </w:rPr>
        <w:t xml:space="preserve"> </w:t>
      </w:r>
      <w:r>
        <w:rPr>
          <w:color w:val="333333"/>
          <w:w w:val="110"/>
        </w:rPr>
        <w:t>see</w:t>
      </w:r>
      <w:r>
        <w:rPr>
          <w:color w:val="333333"/>
          <w:spacing w:val="-16"/>
          <w:w w:val="110"/>
        </w:rPr>
        <w:t xml:space="preserve"> </w:t>
      </w:r>
      <w:r>
        <w:rPr>
          <w:color w:val="333333"/>
          <w:w w:val="110"/>
        </w:rPr>
        <w:t>the</w:t>
      </w:r>
      <w:r>
        <w:rPr>
          <w:color w:val="333333"/>
          <w:spacing w:val="-16"/>
          <w:w w:val="110"/>
        </w:rPr>
        <w:t xml:space="preserve"> </w:t>
      </w:r>
      <w:r>
        <w:rPr>
          <w:rFonts w:ascii="MS Gothic"/>
          <w:color w:val="B02045"/>
          <w:w w:val="110"/>
        </w:rPr>
        <w:t>@Configuration</w:t>
      </w:r>
      <w:r>
        <w:rPr>
          <w:rFonts w:ascii="MS Gothic"/>
          <w:color w:val="B02045"/>
          <w:spacing w:val="-81"/>
          <w:w w:val="110"/>
        </w:rPr>
        <w:t xml:space="preserve"> </w:t>
      </w:r>
      <w:r>
        <w:rPr>
          <w:color w:val="333333"/>
          <w:w w:val="110"/>
        </w:rPr>
        <w:t>classes</w:t>
      </w:r>
      <w:r>
        <w:rPr>
          <w:color w:val="333333"/>
          <w:spacing w:val="-17"/>
          <w:w w:val="110"/>
        </w:rPr>
        <w:t xml:space="preserve"> </w:t>
      </w:r>
      <w:r>
        <w:rPr>
          <w:color w:val="333333"/>
          <w:w w:val="110"/>
        </w:rPr>
        <w:t xml:space="preserve">that Spring provides (see the </w:t>
      </w:r>
      <w:hyperlink r:id="rId353">
        <w:r>
          <w:rPr>
            <w:rFonts w:ascii="MS Gothic"/>
            <w:color w:val="B02045"/>
            <w:w w:val="110"/>
          </w:rPr>
          <w:t>META-INF/spring.factories</w:t>
        </w:r>
        <w:r>
          <w:rPr>
            <w:rFonts w:ascii="MS Gothic"/>
            <w:color w:val="B02045"/>
            <w:spacing w:val="-64"/>
            <w:w w:val="110"/>
          </w:rPr>
          <w:t xml:space="preserve"> </w:t>
        </w:r>
      </w:hyperlink>
      <w:r>
        <w:rPr>
          <w:color w:val="333333"/>
          <w:w w:val="110"/>
        </w:rPr>
        <w:t>file).</w:t>
      </w:r>
    </w:p>
    <w:p w14:paraId="0B6A2841" w14:textId="77777777" w:rsidR="00A720EB" w:rsidRDefault="00A720EB">
      <w:pPr>
        <w:pStyle w:val="a3"/>
        <w:spacing w:before="8"/>
        <w:rPr>
          <w:sz w:val="26"/>
        </w:rPr>
      </w:pPr>
    </w:p>
    <w:p w14:paraId="0296FBA4" w14:textId="77777777" w:rsidR="00A720EB" w:rsidRDefault="0030286B">
      <w:pPr>
        <w:pStyle w:val="3"/>
        <w:numPr>
          <w:ilvl w:val="2"/>
          <w:numId w:val="68"/>
        </w:numPr>
        <w:tabs>
          <w:tab w:val="left" w:pos="1003"/>
        </w:tabs>
        <w:spacing w:before="1"/>
        <w:ind w:left="1002" w:hanging="879"/>
      </w:pPr>
      <w:bookmarkStart w:id="503" w:name="4.29.2._Locating_Auto-configuration_Cand"/>
      <w:bookmarkStart w:id="504" w:name="_Toc54423820"/>
      <w:bookmarkEnd w:id="503"/>
      <w:r>
        <w:rPr>
          <w:color w:val="333333"/>
          <w:w w:val="110"/>
        </w:rPr>
        <w:t>Locating Auto-configuration</w:t>
      </w:r>
      <w:r>
        <w:rPr>
          <w:color w:val="333333"/>
          <w:spacing w:val="-12"/>
          <w:w w:val="110"/>
        </w:rPr>
        <w:t xml:space="preserve"> </w:t>
      </w:r>
      <w:r>
        <w:rPr>
          <w:color w:val="333333"/>
          <w:w w:val="110"/>
        </w:rPr>
        <w:t>Candidates</w:t>
      </w:r>
      <w:bookmarkEnd w:id="504"/>
    </w:p>
    <w:p w14:paraId="754074A1" w14:textId="77777777" w:rsidR="00A720EB" w:rsidRDefault="0030286B">
      <w:pPr>
        <w:pStyle w:val="a3"/>
        <w:spacing w:before="243" w:line="285" w:lineRule="auto"/>
        <w:ind w:left="124" w:right="123"/>
        <w:jc w:val="both"/>
      </w:pPr>
      <w:r>
        <w:rPr>
          <w:color w:val="333333"/>
          <w:w w:val="110"/>
        </w:rPr>
        <w:t xml:space="preserve">Spring Boot checks for the presence of a </w:t>
      </w:r>
      <w:r>
        <w:rPr>
          <w:rFonts w:ascii="MS Gothic"/>
          <w:color w:val="B02045"/>
          <w:w w:val="110"/>
        </w:rPr>
        <w:t xml:space="preserve">META-INF/spring.factories </w:t>
      </w:r>
      <w:r>
        <w:rPr>
          <w:color w:val="333333"/>
          <w:w w:val="110"/>
        </w:rPr>
        <w:t xml:space="preserve">file within your published jar. The file should list your configuration classes under the </w:t>
      </w:r>
      <w:r>
        <w:rPr>
          <w:rFonts w:ascii="MS Gothic"/>
          <w:color w:val="B02045"/>
          <w:w w:val="110"/>
        </w:rPr>
        <w:t xml:space="preserve">EnableAutoConfiguration </w:t>
      </w:r>
      <w:r>
        <w:rPr>
          <w:color w:val="333333"/>
          <w:w w:val="110"/>
        </w:rPr>
        <w:t>key, as shown in the following example:</w:t>
      </w:r>
    </w:p>
    <w:p w14:paraId="44C72B38" w14:textId="77777777" w:rsidR="00A720EB" w:rsidRDefault="00E10349">
      <w:pPr>
        <w:pStyle w:val="a3"/>
        <w:spacing w:before="1"/>
        <w:rPr>
          <w:sz w:val="15"/>
        </w:rPr>
      </w:pPr>
      <w:r>
        <w:pict w14:anchorId="63297499">
          <v:group id="_x0000_s3443" style="position:absolute;margin-left:47.85pt;margin-top:10.85pt;width:499.55pt;height:67pt;z-index:-15294464;mso-wrap-distance-left:0;mso-wrap-distance-right:0;mso-position-horizontal-relative:page" coordorigin="957,217" coordsize="9991,1340">
            <v:shape id="_x0000_s3446" style="position:absolute;left:964;top:224;width:9976;height:1325" coordorigin="965,224" coordsize="9976,1325" path="m10861,224r-9816,l1014,231r-26,17l971,273r-6,31l965,1469r6,31l988,1525r26,17l1045,1549r9816,l10892,1542r25,-17l10935,1500r6,-31l10941,304r-6,-31l10917,248r-25,-17l10861,224xe" fillcolor="#f5f5f5" stroked="f">
              <v:path arrowok="t"/>
            </v:shape>
            <v:shape id="_x0000_s3445" style="position:absolute;left:964;top:224;width:9976;height:1325" coordorigin="965,224" coordsize="9976,1325" path="m1045,224r9816,l10892,231r25,17l10935,273r6,31l10941,1469r-6,31l10917,1525r-25,17l10861,1549r-9816,l1014,1542r-26,-17l971,1500r-6,-31l965,304r6,-31l988,248r26,-17l1045,224xe" filled="f" strokecolor="#ccc">
              <v:path arrowok="t"/>
            </v:shape>
            <v:shape id="_x0000_s3444" type="#_x0000_t202" style="position:absolute;left:984;top:239;width:9938;height:1294" filled="f" stroked="f">
              <v:textbox inset="0,0,0,0">
                <w:txbxContent>
                  <w:p w14:paraId="0E07D560" w14:textId="77777777" w:rsidR="00711A16" w:rsidRDefault="00711A16">
                    <w:pPr>
                      <w:spacing w:before="221" w:line="252" w:lineRule="auto"/>
                      <w:ind w:left="200" w:right="2678"/>
                      <w:rPr>
                        <w:rFonts w:ascii="MS Gothic"/>
                      </w:rPr>
                    </w:pPr>
                    <w:proofErr w:type="gramStart"/>
                    <w:r>
                      <w:rPr>
                        <w:rFonts w:ascii="MS Gothic"/>
                        <w:color w:val="333333"/>
                      </w:rPr>
                      <w:t>org.springframework</w:t>
                    </w:r>
                    <w:proofErr w:type="gramEnd"/>
                    <w:r>
                      <w:rPr>
                        <w:rFonts w:ascii="MS Gothic"/>
                        <w:color w:val="333333"/>
                      </w:rPr>
                      <w:t>.boot.autoconfigure.EnableAutoConfiguration=\ com.mycorp.libx.autoconfigure.LibXAutoConfiguration,\ com.mycorp.libx.autoconfigure.LibXWebAutoConfiguration</w:t>
                    </w:r>
                  </w:p>
                </w:txbxContent>
              </v:textbox>
            </v:shape>
            <w10:wrap type="topAndBottom" anchorx="page"/>
          </v:group>
        </w:pict>
      </w:r>
    </w:p>
    <w:p w14:paraId="27D1CEF3" w14:textId="77777777" w:rsidR="00A720EB" w:rsidRDefault="00A720EB">
      <w:pPr>
        <w:pStyle w:val="a3"/>
        <w:spacing w:before="10"/>
        <w:rPr>
          <w:sz w:val="16"/>
        </w:rPr>
      </w:pPr>
    </w:p>
    <w:p w14:paraId="36FCFE52" w14:textId="77777777" w:rsidR="00A720EB" w:rsidRDefault="00E10349">
      <w:pPr>
        <w:pStyle w:val="a3"/>
        <w:spacing w:before="104" w:line="297" w:lineRule="auto"/>
        <w:ind w:left="1564" w:right="363"/>
        <w:jc w:val="both"/>
      </w:pPr>
      <w:r>
        <w:pict w14:anchorId="486AF889">
          <v:line id="_x0000_s3442" style="position:absolute;left:0;text-align:left;z-index:16163840;mso-position-horizontal-relative:page" from="108.25pt,.25pt" to="108.25pt,71.4pt" strokecolor="#ededed" strokeweight=".5pt">
            <w10:wrap anchorx="page"/>
          </v:line>
        </w:pict>
      </w:r>
      <w:r w:rsidR="0030286B">
        <w:rPr>
          <w:noProof/>
        </w:rPr>
        <w:drawing>
          <wp:anchor distT="0" distB="0" distL="0" distR="0" simplePos="0" relativeHeight="16164352" behindDoc="0" locked="0" layoutInCell="1" allowOverlap="1" wp14:anchorId="4ACD6946" wp14:editId="454C8389">
            <wp:simplePos x="0" y="0"/>
            <wp:positionH relativeFrom="page">
              <wp:posOffset>844422</wp:posOffset>
            </wp:positionH>
            <wp:positionV relativeFrom="paragraph">
              <wp:posOffset>305675</wp:posOffset>
            </wp:positionV>
            <wp:extent cx="298450" cy="298450"/>
            <wp:effectExtent l="0" t="0" r="0" b="0"/>
            <wp:wrapNone/>
            <wp:docPr id="5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Auto-configurations must be loaded that way </w:t>
      </w:r>
      <w:r w:rsidR="0030286B">
        <w:rPr>
          <w:rFonts w:ascii="Palatino Linotype"/>
          <w:i/>
          <w:color w:val="333333"/>
          <w:w w:val="110"/>
        </w:rPr>
        <w:t>only</w:t>
      </w:r>
      <w:r w:rsidR="0030286B">
        <w:rPr>
          <w:color w:val="333333"/>
          <w:w w:val="110"/>
        </w:rPr>
        <w:t xml:space="preserve">. Make sure that they are defined in a specific package space and that they are never the target of component scanning. Furthermore, auto-configuration classes should not enable component scanning to find additional components. Specific </w:t>
      </w:r>
      <w:r w:rsidR="0030286B">
        <w:rPr>
          <w:rFonts w:ascii="MS Gothic"/>
          <w:color w:val="B02045"/>
          <w:w w:val="110"/>
        </w:rPr>
        <w:t>@Import</w:t>
      </w:r>
      <w:r w:rsidR="0030286B">
        <w:rPr>
          <w:color w:val="333333"/>
          <w:w w:val="110"/>
        </w:rPr>
        <w:t>s should be used</w:t>
      </w:r>
      <w:r w:rsidR="0030286B">
        <w:rPr>
          <w:color w:val="333333"/>
          <w:spacing w:val="22"/>
          <w:w w:val="110"/>
        </w:rPr>
        <w:t xml:space="preserve"> </w:t>
      </w:r>
      <w:r w:rsidR="0030286B">
        <w:rPr>
          <w:color w:val="333333"/>
          <w:w w:val="110"/>
        </w:rPr>
        <w:t>instead.</w:t>
      </w:r>
    </w:p>
    <w:p w14:paraId="22B5528D" w14:textId="77777777" w:rsidR="00A720EB" w:rsidRDefault="00A720EB">
      <w:pPr>
        <w:pStyle w:val="a3"/>
        <w:spacing w:before="5"/>
        <w:rPr>
          <w:sz w:val="15"/>
        </w:rPr>
      </w:pPr>
    </w:p>
    <w:p w14:paraId="212CBEFF" w14:textId="77777777" w:rsidR="00A720EB" w:rsidRDefault="0030286B">
      <w:pPr>
        <w:pStyle w:val="a3"/>
        <w:spacing w:before="116"/>
        <w:ind w:left="124"/>
      </w:pPr>
      <w:r>
        <w:rPr>
          <w:color w:val="333333"/>
          <w:spacing w:val="-6"/>
          <w:w w:val="110"/>
        </w:rPr>
        <w:t xml:space="preserve">You </w:t>
      </w:r>
      <w:r>
        <w:rPr>
          <w:color w:val="333333"/>
          <w:w w:val="110"/>
        </w:rPr>
        <w:t xml:space="preserve">can use the </w:t>
      </w:r>
      <w:hyperlink r:id="rId354">
        <w:r>
          <w:rPr>
            <w:rFonts w:ascii="MS Gothic"/>
            <w:color w:val="B02045"/>
            <w:w w:val="110"/>
          </w:rPr>
          <w:t xml:space="preserve">@AutoConfigureAfter </w:t>
        </w:r>
      </w:hyperlink>
      <w:r>
        <w:rPr>
          <w:color w:val="333333"/>
          <w:w w:val="110"/>
        </w:rPr>
        <w:t xml:space="preserve">or </w:t>
      </w:r>
      <w:hyperlink r:id="rId355">
        <w:r>
          <w:rPr>
            <w:rFonts w:ascii="MS Gothic"/>
            <w:color w:val="B02045"/>
            <w:w w:val="110"/>
          </w:rPr>
          <w:t>@AutoConfigureBefore</w:t>
        </w:r>
        <w:r>
          <w:rPr>
            <w:rFonts w:ascii="MS Gothic"/>
            <w:color w:val="B02045"/>
            <w:spacing w:val="115"/>
            <w:w w:val="110"/>
          </w:rPr>
          <w:t xml:space="preserve"> </w:t>
        </w:r>
      </w:hyperlink>
      <w:r>
        <w:rPr>
          <w:color w:val="333333"/>
          <w:w w:val="110"/>
        </w:rPr>
        <w:t>annotations if your configuration</w:t>
      </w:r>
    </w:p>
    <w:p w14:paraId="4CA7F2F6" w14:textId="77777777" w:rsidR="00A720EB" w:rsidRDefault="00A720EB">
      <w:pPr>
        <w:sectPr w:rsidR="00A720EB">
          <w:pgSz w:w="11910" w:h="16840"/>
          <w:pgMar w:top="700" w:right="840" w:bottom="520" w:left="840" w:header="0" w:footer="323" w:gutter="0"/>
          <w:cols w:space="720"/>
        </w:sectPr>
      </w:pPr>
    </w:p>
    <w:p w14:paraId="6220954A" w14:textId="77777777" w:rsidR="00A720EB" w:rsidRDefault="0030286B">
      <w:pPr>
        <w:pStyle w:val="a3"/>
        <w:spacing w:before="107" w:line="297" w:lineRule="auto"/>
        <w:ind w:left="124" w:right="133"/>
        <w:jc w:val="both"/>
      </w:pPr>
      <w:r>
        <w:rPr>
          <w:color w:val="333333"/>
          <w:w w:val="110"/>
        </w:rPr>
        <w:lastRenderedPageBreak/>
        <w:t xml:space="preserve">needs to be applied in a specific order. For example, if you provide web-specific configuration, your class may need to be applied after </w:t>
      </w:r>
      <w:r>
        <w:rPr>
          <w:rFonts w:ascii="MS Gothic"/>
          <w:color w:val="B02045"/>
          <w:w w:val="110"/>
        </w:rPr>
        <w:t>WebMvcAutoConfiguration</w:t>
      </w:r>
      <w:r>
        <w:rPr>
          <w:color w:val="333333"/>
          <w:w w:val="110"/>
        </w:rPr>
        <w:t>.</w:t>
      </w:r>
    </w:p>
    <w:p w14:paraId="170C347E" w14:textId="77777777" w:rsidR="00A720EB" w:rsidRDefault="0030286B">
      <w:pPr>
        <w:pStyle w:val="a3"/>
        <w:spacing w:before="232" w:line="290" w:lineRule="auto"/>
        <w:ind w:left="124" w:right="127"/>
        <w:jc w:val="both"/>
      </w:pPr>
      <w:r>
        <w:rPr>
          <w:color w:val="333333"/>
          <w:w w:val="110"/>
        </w:rPr>
        <w:t xml:space="preserve">If you want to order certain auto-configurations that should not have any direct knowledge of each other, you can also use </w:t>
      </w:r>
      <w:r>
        <w:rPr>
          <w:rFonts w:ascii="MS Gothic"/>
          <w:color w:val="B02045"/>
          <w:w w:val="110"/>
        </w:rPr>
        <w:t>@AutoConfigureOrder</w:t>
      </w:r>
      <w:r>
        <w:rPr>
          <w:color w:val="333333"/>
          <w:w w:val="110"/>
        </w:rPr>
        <w:t xml:space="preserve">. That annotation has the same semantic as the regular </w:t>
      </w:r>
      <w:r>
        <w:rPr>
          <w:rFonts w:ascii="MS Gothic"/>
          <w:color w:val="B02045"/>
          <w:w w:val="110"/>
        </w:rPr>
        <w:t xml:space="preserve">@Order </w:t>
      </w:r>
      <w:r>
        <w:rPr>
          <w:color w:val="333333"/>
          <w:w w:val="110"/>
        </w:rPr>
        <w:t>annotation but provides a dedicated order for auto-configuration classes.</w:t>
      </w:r>
    </w:p>
    <w:p w14:paraId="4A467BDF" w14:textId="77777777" w:rsidR="00A720EB" w:rsidRDefault="0030286B">
      <w:pPr>
        <w:pStyle w:val="a3"/>
        <w:spacing w:before="227" w:line="297" w:lineRule="auto"/>
        <w:ind w:left="124" w:right="129"/>
        <w:jc w:val="both"/>
      </w:pPr>
      <w:r>
        <w:rPr>
          <w:color w:val="333333"/>
          <w:w w:val="110"/>
        </w:rPr>
        <w:t xml:space="preserve">As with standard </w:t>
      </w:r>
      <w:r>
        <w:rPr>
          <w:rFonts w:ascii="MS Gothic" w:hAnsi="MS Gothic"/>
          <w:color w:val="B02045"/>
          <w:w w:val="110"/>
        </w:rPr>
        <w:t xml:space="preserve">@Configuration </w:t>
      </w:r>
      <w:r>
        <w:rPr>
          <w:color w:val="333333"/>
          <w:w w:val="110"/>
        </w:rPr>
        <w:t xml:space="preserve">classes, the order in which auto-configuration classes are applied only affects the order in which their beans are defined. The order in which those beans are subsequently created is unaffected and is determined </w:t>
      </w:r>
      <w:r>
        <w:rPr>
          <w:color w:val="333333"/>
          <w:spacing w:val="-3"/>
          <w:w w:val="110"/>
        </w:rPr>
        <w:t xml:space="preserve">by </w:t>
      </w:r>
      <w:r>
        <w:rPr>
          <w:color w:val="333333"/>
          <w:w w:val="110"/>
        </w:rPr>
        <w:t xml:space="preserve">each bean’s dependencies and any </w:t>
      </w:r>
      <w:r>
        <w:rPr>
          <w:rFonts w:ascii="MS Gothic" w:hAnsi="MS Gothic"/>
          <w:color w:val="B02045"/>
          <w:w w:val="110"/>
        </w:rPr>
        <w:t>@DependsOn</w:t>
      </w:r>
      <w:r>
        <w:rPr>
          <w:rFonts w:ascii="MS Gothic" w:hAnsi="MS Gothic"/>
          <w:color w:val="B02045"/>
          <w:spacing w:val="-63"/>
          <w:w w:val="110"/>
        </w:rPr>
        <w:t xml:space="preserve"> </w:t>
      </w:r>
      <w:r>
        <w:rPr>
          <w:color w:val="333333"/>
          <w:w w:val="110"/>
        </w:rPr>
        <w:t>relationships.</w:t>
      </w:r>
    </w:p>
    <w:p w14:paraId="0D0AF966" w14:textId="77777777" w:rsidR="00A720EB" w:rsidRDefault="00A720EB">
      <w:pPr>
        <w:pStyle w:val="a3"/>
        <w:spacing w:before="3"/>
        <w:rPr>
          <w:sz w:val="25"/>
        </w:rPr>
      </w:pPr>
    </w:p>
    <w:p w14:paraId="790E7A4B" w14:textId="77777777" w:rsidR="00A720EB" w:rsidRDefault="0030286B">
      <w:pPr>
        <w:pStyle w:val="3"/>
        <w:numPr>
          <w:ilvl w:val="2"/>
          <w:numId w:val="68"/>
        </w:numPr>
        <w:tabs>
          <w:tab w:val="left" w:pos="1003"/>
        </w:tabs>
        <w:ind w:left="1002" w:hanging="879"/>
      </w:pPr>
      <w:bookmarkStart w:id="505" w:name="4.29.3._Condition_Annotations"/>
      <w:bookmarkStart w:id="506" w:name="_Toc54423821"/>
      <w:bookmarkEnd w:id="505"/>
      <w:r>
        <w:rPr>
          <w:color w:val="333333"/>
          <w:w w:val="110"/>
        </w:rPr>
        <w:t>Condition</w:t>
      </w:r>
      <w:r>
        <w:rPr>
          <w:color w:val="333333"/>
          <w:spacing w:val="-7"/>
          <w:w w:val="110"/>
        </w:rPr>
        <w:t xml:space="preserve"> </w:t>
      </w:r>
      <w:r>
        <w:rPr>
          <w:color w:val="333333"/>
          <w:w w:val="110"/>
        </w:rPr>
        <w:t>Annotations</w:t>
      </w:r>
      <w:bookmarkEnd w:id="506"/>
    </w:p>
    <w:p w14:paraId="3B7690F3" w14:textId="77777777" w:rsidR="00A720EB" w:rsidRDefault="0030286B">
      <w:pPr>
        <w:pStyle w:val="a3"/>
        <w:spacing w:before="244" w:line="285" w:lineRule="auto"/>
        <w:ind w:left="124" w:right="127"/>
        <w:jc w:val="both"/>
      </w:pPr>
      <w:r>
        <w:rPr>
          <w:color w:val="333333"/>
          <w:spacing w:val="-6"/>
          <w:w w:val="110"/>
        </w:rPr>
        <w:t xml:space="preserve">You </w:t>
      </w:r>
      <w:r>
        <w:rPr>
          <w:color w:val="333333"/>
          <w:w w:val="110"/>
        </w:rPr>
        <w:t xml:space="preserve">almost always want to include one or more </w:t>
      </w:r>
      <w:r>
        <w:rPr>
          <w:rFonts w:ascii="MS Gothic"/>
          <w:color w:val="B02045"/>
          <w:w w:val="110"/>
        </w:rPr>
        <w:t xml:space="preserve">@Conditional </w:t>
      </w:r>
      <w:r>
        <w:rPr>
          <w:color w:val="333333"/>
          <w:w w:val="110"/>
        </w:rPr>
        <w:t>annotations on your auto- configuration</w:t>
      </w:r>
      <w:r>
        <w:rPr>
          <w:color w:val="333333"/>
          <w:spacing w:val="-7"/>
          <w:w w:val="110"/>
        </w:rPr>
        <w:t xml:space="preserve"> </w:t>
      </w:r>
      <w:r>
        <w:rPr>
          <w:color w:val="333333"/>
          <w:w w:val="110"/>
        </w:rPr>
        <w:t>class.</w:t>
      </w:r>
      <w:r>
        <w:rPr>
          <w:color w:val="333333"/>
          <w:spacing w:val="-6"/>
          <w:w w:val="110"/>
        </w:rPr>
        <w:t xml:space="preserve"> </w:t>
      </w:r>
      <w:r>
        <w:rPr>
          <w:color w:val="333333"/>
          <w:w w:val="110"/>
        </w:rPr>
        <w:t>The</w:t>
      </w:r>
      <w:r>
        <w:rPr>
          <w:color w:val="333333"/>
          <w:spacing w:val="-5"/>
          <w:w w:val="110"/>
        </w:rPr>
        <w:t xml:space="preserve"> </w:t>
      </w:r>
      <w:r>
        <w:rPr>
          <w:rFonts w:ascii="MS Gothic"/>
          <w:color w:val="B02045"/>
          <w:w w:val="110"/>
        </w:rPr>
        <w:t>@ConditionalOnMissingBean</w:t>
      </w:r>
      <w:r>
        <w:rPr>
          <w:rFonts w:ascii="MS Gothic"/>
          <w:color w:val="B02045"/>
          <w:spacing w:val="-70"/>
          <w:w w:val="110"/>
        </w:rPr>
        <w:t xml:space="preserve"> </w:t>
      </w:r>
      <w:r>
        <w:rPr>
          <w:color w:val="333333"/>
          <w:w w:val="110"/>
        </w:rPr>
        <w:t>annotation</w:t>
      </w:r>
      <w:r>
        <w:rPr>
          <w:color w:val="333333"/>
          <w:spacing w:val="-6"/>
          <w:w w:val="110"/>
        </w:rPr>
        <w:t xml:space="preserve"> </w:t>
      </w:r>
      <w:r>
        <w:rPr>
          <w:color w:val="333333"/>
          <w:w w:val="110"/>
        </w:rPr>
        <w:t>is</w:t>
      </w:r>
      <w:r>
        <w:rPr>
          <w:color w:val="333333"/>
          <w:spacing w:val="-6"/>
          <w:w w:val="110"/>
        </w:rPr>
        <w:t xml:space="preserve"> </w:t>
      </w:r>
      <w:r>
        <w:rPr>
          <w:color w:val="333333"/>
          <w:w w:val="110"/>
        </w:rPr>
        <w:t>one</w:t>
      </w:r>
      <w:r>
        <w:rPr>
          <w:color w:val="333333"/>
          <w:spacing w:val="-6"/>
          <w:w w:val="110"/>
        </w:rPr>
        <w:t xml:space="preserve"> </w:t>
      </w:r>
      <w:r>
        <w:rPr>
          <w:color w:val="333333"/>
          <w:w w:val="110"/>
        </w:rPr>
        <w:t>common</w:t>
      </w:r>
      <w:r>
        <w:rPr>
          <w:color w:val="333333"/>
          <w:spacing w:val="-7"/>
          <w:w w:val="110"/>
        </w:rPr>
        <w:t xml:space="preserve"> </w:t>
      </w:r>
      <w:r>
        <w:rPr>
          <w:color w:val="333333"/>
          <w:w w:val="110"/>
        </w:rPr>
        <w:t>example</w:t>
      </w:r>
      <w:r>
        <w:rPr>
          <w:color w:val="333333"/>
          <w:spacing w:val="-6"/>
          <w:w w:val="110"/>
        </w:rPr>
        <w:t xml:space="preserve"> </w:t>
      </w:r>
      <w:r>
        <w:rPr>
          <w:color w:val="333333"/>
          <w:w w:val="110"/>
        </w:rPr>
        <w:t>that</w:t>
      </w:r>
      <w:r>
        <w:rPr>
          <w:color w:val="333333"/>
          <w:spacing w:val="-6"/>
          <w:w w:val="110"/>
        </w:rPr>
        <w:t xml:space="preserve"> </w:t>
      </w:r>
      <w:r>
        <w:rPr>
          <w:color w:val="333333"/>
          <w:w w:val="110"/>
        </w:rPr>
        <w:t>is</w:t>
      </w:r>
      <w:r>
        <w:rPr>
          <w:color w:val="333333"/>
          <w:spacing w:val="-6"/>
          <w:w w:val="110"/>
        </w:rPr>
        <w:t xml:space="preserve"> </w:t>
      </w:r>
      <w:r>
        <w:rPr>
          <w:color w:val="333333"/>
          <w:w w:val="110"/>
        </w:rPr>
        <w:t>used to allow developers to override auto-configuration if they are not happy with your</w:t>
      </w:r>
      <w:r>
        <w:rPr>
          <w:color w:val="333333"/>
          <w:spacing w:val="5"/>
          <w:w w:val="110"/>
        </w:rPr>
        <w:t xml:space="preserve"> </w:t>
      </w:r>
      <w:r>
        <w:rPr>
          <w:color w:val="333333"/>
          <w:w w:val="110"/>
        </w:rPr>
        <w:t>defaults.</w:t>
      </w:r>
    </w:p>
    <w:p w14:paraId="4EA37DF0" w14:textId="77777777" w:rsidR="00A720EB" w:rsidRDefault="00A720EB">
      <w:pPr>
        <w:pStyle w:val="a3"/>
        <w:spacing w:before="7"/>
      </w:pPr>
    </w:p>
    <w:p w14:paraId="71233AD9" w14:textId="77777777" w:rsidR="00A720EB" w:rsidRDefault="0030286B">
      <w:pPr>
        <w:pStyle w:val="a3"/>
        <w:spacing w:line="280" w:lineRule="auto"/>
        <w:ind w:left="124" w:right="128"/>
        <w:jc w:val="both"/>
      </w:pPr>
      <w:r>
        <w:rPr>
          <w:color w:val="333333"/>
          <w:w w:val="110"/>
        </w:rPr>
        <w:t xml:space="preserve">Spring Boot includes a number of </w:t>
      </w:r>
      <w:r>
        <w:rPr>
          <w:rFonts w:ascii="MS Gothic"/>
          <w:color w:val="B02045"/>
          <w:w w:val="110"/>
        </w:rPr>
        <w:t xml:space="preserve">@Conditional </w:t>
      </w:r>
      <w:r>
        <w:rPr>
          <w:color w:val="333333"/>
          <w:w w:val="110"/>
        </w:rPr>
        <w:t xml:space="preserve">annotations that you can reuse in your own code </w:t>
      </w:r>
      <w:r>
        <w:rPr>
          <w:color w:val="333333"/>
          <w:spacing w:val="-3"/>
          <w:w w:val="110"/>
        </w:rPr>
        <w:t xml:space="preserve">by </w:t>
      </w:r>
      <w:r>
        <w:rPr>
          <w:color w:val="333333"/>
          <w:w w:val="110"/>
        </w:rPr>
        <w:t xml:space="preserve">annotating </w:t>
      </w:r>
      <w:r>
        <w:rPr>
          <w:rFonts w:ascii="MS Gothic"/>
          <w:color w:val="B02045"/>
          <w:w w:val="110"/>
        </w:rPr>
        <w:t>@Configuration</w:t>
      </w:r>
      <w:r>
        <w:rPr>
          <w:rFonts w:ascii="MS Gothic"/>
          <w:color w:val="B02045"/>
          <w:spacing w:val="-67"/>
          <w:w w:val="110"/>
        </w:rPr>
        <w:t xml:space="preserve"> </w:t>
      </w:r>
      <w:r>
        <w:rPr>
          <w:color w:val="333333"/>
          <w:w w:val="110"/>
        </w:rPr>
        <w:t xml:space="preserve">classes or individual </w:t>
      </w:r>
      <w:r>
        <w:rPr>
          <w:rFonts w:ascii="MS Gothic"/>
          <w:color w:val="B02045"/>
          <w:w w:val="110"/>
        </w:rPr>
        <w:t>@Bean</w:t>
      </w:r>
      <w:r>
        <w:rPr>
          <w:rFonts w:ascii="MS Gothic"/>
          <w:color w:val="B02045"/>
          <w:spacing w:val="-67"/>
          <w:w w:val="110"/>
        </w:rPr>
        <w:t xml:space="preserve"> </w:t>
      </w:r>
      <w:r>
        <w:rPr>
          <w:color w:val="333333"/>
          <w:w w:val="110"/>
        </w:rPr>
        <w:t>methods. These annotations include:</w:t>
      </w:r>
    </w:p>
    <w:p w14:paraId="6F958ECA" w14:textId="77777777" w:rsidR="00A720EB" w:rsidRDefault="00A720EB">
      <w:pPr>
        <w:pStyle w:val="a3"/>
        <w:spacing w:before="5"/>
      </w:pPr>
    </w:p>
    <w:p w14:paraId="5793D43E" w14:textId="77777777" w:rsidR="00A720EB" w:rsidRDefault="00E10349">
      <w:pPr>
        <w:pStyle w:val="a6"/>
        <w:numPr>
          <w:ilvl w:val="0"/>
          <w:numId w:val="30"/>
        </w:numPr>
        <w:tabs>
          <w:tab w:val="left" w:pos="485"/>
        </w:tabs>
        <w:spacing w:before="1"/>
        <w:rPr>
          <w:sz w:val="21"/>
        </w:rPr>
      </w:pPr>
      <w:hyperlink w:anchor="_bookmark346" w:history="1">
        <w:r w:rsidR="0030286B">
          <w:rPr>
            <w:color w:val="418BCA"/>
            <w:w w:val="110"/>
            <w:sz w:val="21"/>
          </w:rPr>
          <w:t>Class</w:t>
        </w:r>
        <w:r w:rsidR="0030286B">
          <w:rPr>
            <w:color w:val="418BCA"/>
            <w:spacing w:val="-7"/>
            <w:w w:val="110"/>
            <w:sz w:val="21"/>
          </w:rPr>
          <w:t xml:space="preserve"> </w:t>
        </w:r>
        <w:r w:rsidR="0030286B">
          <w:rPr>
            <w:color w:val="418BCA"/>
            <w:w w:val="110"/>
            <w:sz w:val="21"/>
          </w:rPr>
          <w:t>Conditions</w:t>
        </w:r>
      </w:hyperlink>
    </w:p>
    <w:p w14:paraId="5D4227E9" w14:textId="77777777" w:rsidR="00A720EB" w:rsidRDefault="00E10349">
      <w:pPr>
        <w:pStyle w:val="a6"/>
        <w:numPr>
          <w:ilvl w:val="0"/>
          <w:numId w:val="30"/>
        </w:numPr>
        <w:tabs>
          <w:tab w:val="left" w:pos="485"/>
        </w:tabs>
        <w:spacing w:before="189"/>
        <w:rPr>
          <w:sz w:val="21"/>
        </w:rPr>
      </w:pPr>
      <w:hyperlink w:anchor="_bookmark347" w:history="1">
        <w:r w:rsidR="0030286B">
          <w:rPr>
            <w:color w:val="418BCA"/>
            <w:w w:val="110"/>
            <w:sz w:val="21"/>
          </w:rPr>
          <w:t>Bean</w:t>
        </w:r>
        <w:r w:rsidR="0030286B">
          <w:rPr>
            <w:color w:val="418BCA"/>
            <w:spacing w:val="4"/>
            <w:w w:val="110"/>
            <w:sz w:val="21"/>
          </w:rPr>
          <w:t xml:space="preserve"> </w:t>
        </w:r>
        <w:r w:rsidR="0030286B">
          <w:rPr>
            <w:color w:val="418BCA"/>
            <w:w w:val="110"/>
            <w:sz w:val="21"/>
          </w:rPr>
          <w:t>Conditions</w:t>
        </w:r>
      </w:hyperlink>
    </w:p>
    <w:p w14:paraId="4E020A3B" w14:textId="77777777" w:rsidR="00A720EB" w:rsidRDefault="00E10349">
      <w:pPr>
        <w:pStyle w:val="a6"/>
        <w:numPr>
          <w:ilvl w:val="0"/>
          <w:numId w:val="30"/>
        </w:numPr>
        <w:tabs>
          <w:tab w:val="left" w:pos="485"/>
        </w:tabs>
        <w:spacing w:before="189"/>
        <w:rPr>
          <w:sz w:val="21"/>
        </w:rPr>
      </w:pPr>
      <w:hyperlink w:anchor="_bookmark348" w:history="1">
        <w:r w:rsidR="0030286B">
          <w:rPr>
            <w:color w:val="418BCA"/>
            <w:w w:val="110"/>
            <w:sz w:val="21"/>
          </w:rPr>
          <w:t>Property</w:t>
        </w:r>
        <w:r w:rsidR="0030286B">
          <w:rPr>
            <w:color w:val="418BCA"/>
            <w:spacing w:val="-1"/>
            <w:w w:val="110"/>
            <w:sz w:val="21"/>
          </w:rPr>
          <w:t xml:space="preserve"> </w:t>
        </w:r>
        <w:r w:rsidR="0030286B">
          <w:rPr>
            <w:color w:val="418BCA"/>
            <w:w w:val="110"/>
            <w:sz w:val="21"/>
          </w:rPr>
          <w:t>Conditions</w:t>
        </w:r>
      </w:hyperlink>
    </w:p>
    <w:p w14:paraId="3F4F6B8D" w14:textId="77777777" w:rsidR="00A720EB" w:rsidRDefault="00E10349">
      <w:pPr>
        <w:pStyle w:val="a6"/>
        <w:numPr>
          <w:ilvl w:val="0"/>
          <w:numId w:val="30"/>
        </w:numPr>
        <w:tabs>
          <w:tab w:val="left" w:pos="485"/>
        </w:tabs>
        <w:spacing w:before="190"/>
        <w:rPr>
          <w:sz w:val="21"/>
        </w:rPr>
      </w:pPr>
      <w:hyperlink w:anchor="_bookmark349" w:history="1">
        <w:r w:rsidR="0030286B">
          <w:rPr>
            <w:color w:val="418BCA"/>
            <w:w w:val="110"/>
            <w:sz w:val="21"/>
          </w:rPr>
          <w:t>Resource</w:t>
        </w:r>
        <w:r w:rsidR="0030286B">
          <w:rPr>
            <w:color w:val="418BCA"/>
            <w:spacing w:val="-10"/>
            <w:w w:val="110"/>
            <w:sz w:val="21"/>
          </w:rPr>
          <w:t xml:space="preserve"> </w:t>
        </w:r>
        <w:r w:rsidR="0030286B">
          <w:rPr>
            <w:color w:val="418BCA"/>
            <w:w w:val="110"/>
            <w:sz w:val="21"/>
          </w:rPr>
          <w:t>Conditions</w:t>
        </w:r>
      </w:hyperlink>
    </w:p>
    <w:p w14:paraId="64DDCC33" w14:textId="77777777" w:rsidR="00A720EB" w:rsidRDefault="00E10349">
      <w:pPr>
        <w:pStyle w:val="a6"/>
        <w:numPr>
          <w:ilvl w:val="0"/>
          <w:numId w:val="30"/>
        </w:numPr>
        <w:tabs>
          <w:tab w:val="left" w:pos="485"/>
        </w:tabs>
        <w:spacing w:before="189"/>
        <w:rPr>
          <w:sz w:val="21"/>
        </w:rPr>
      </w:pPr>
      <w:hyperlink w:anchor="_bookmark350" w:history="1">
        <w:proofErr w:type="gramStart"/>
        <w:r w:rsidR="0030286B">
          <w:rPr>
            <w:color w:val="418BCA"/>
            <w:spacing w:val="-5"/>
            <w:w w:val="110"/>
            <w:sz w:val="21"/>
          </w:rPr>
          <w:t xml:space="preserve">Web  </w:t>
        </w:r>
        <w:r w:rsidR="0030286B">
          <w:rPr>
            <w:color w:val="418BCA"/>
            <w:w w:val="110"/>
            <w:sz w:val="21"/>
          </w:rPr>
          <w:t>Application</w:t>
        </w:r>
        <w:proofErr w:type="gramEnd"/>
        <w:r w:rsidR="0030286B">
          <w:rPr>
            <w:color w:val="418BCA"/>
            <w:spacing w:val="-16"/>
            <w:w w:val="110"/>
            <w:sz w:val="21"/>
          </w:rPr>
          <w:t xml:space="preserve"> </w:t>
        </w:r>
        <w:r w:rsidR="0030286B">
          <w:rPr>
            <w:color w:val="418BCA"/>
            <w:w w:val="110"/>
            <w:sz w:val="21"/>
          </w:rPr>
          <w:t>Conditions</w:t>
        </w:r>
      </w:hyperlink>
    </w:p>
    <w:p w14:paraId="2BEFA169" w14:textId="77777777" w:rsidR="00A720EB" w:rsidRDefault="00E10349">
      <w:pPr>
        <w:pStyle w:val="a6"/>
        <w:numPr>
          <w:ilvl w:val="0"/>
          <w:numId w:val="30"/>
        </w:numPr>
        <w:tabs>
          <w:tab w:val="left" w:pos="485"/>
        </w:tabs>
        <w:spacing w:before="190"/>
        <w:rPr>
          <w:sz w:val="21"/>
        </w:rPr>
      </w:pPr>
      <w:hyperlink w:anchor="_bookmark351" w:history="1">
        <w:r w:rsidR="0030286B">
          <w:rPr>
            <w:color w:val="418BCA"/>
            <w:w w:val="110"/>
            <w:sz w:val="21"/>
          </w:rPr>
          <w:t>SpEL Expression</w:t>
        </w:r>
        <w:r w:rsidR="0030286B">
          <w:rPr>
            <w:color w:val="418BCA"/>
            <w:spacing w:val="6"/>
            <w:w w:val="110"/>
            <w:sz w:val="21"/>
          </w:rPr>
          <w:t xml:space="preserve"> </w:t>
        </w:r>
        <w:r w:rsidR="0030286B">
          <w:rPr>
            <w:color w:val="418BCA"/>
            <w:w w:val="110"/>
            <w:sz w:val="21"/>
          </w:rPr>
          <w:t>Conditions</w:t>
        </w:r>
      </w:hyperlink>
    </w:p>
    <w:p w14:paraId="23100DAA" w14:textId="77777777" w:rsidR="00A720EB" w:rsidRDefault="00A720EB">
      <w:pPr>
        <w:pStyle w:val="a3"/>
        <w:spacing w:before="6"/>
        <w:rPr>
          <w:sz w:val="31"/>
        </w:rPr>
      </w:pPr>
    </w:p>
    <w:p w14:paraId="39E90867" w14:textId="77777777" w:rsidR="00A720EB" w:rsidRDefault="0030286B">
      <w:pPr>
        <w:pStyle w:val="4"/>
      </w:pPr>
      <w:bookmarkStart w:id="507" w:name="Class_Conditions"/>
      <w:bookmarkEnd w:id="507"/>
      <w:r>
        <w:rPr>
          <w:color w:val="333333"/>
          <w:w w:val="105"/>
        </w:rPr>
        <w:t>Class Conditions</w:t>
      </w:r>
    </w:p>
    <w:p w14:paraId="3BF4227F" w14:textId="77777777" w:rsidR="00A720EB" w:rsidRDefault="0030286B">
      <w:pPr>
        <w:pStyle w:val="a3"/>
        <w:spacing w:before="243" w:line="295" w:lineRule="auto"/>
        <w:ind w:left="124" w:right="123"/>
        <w:jc w:val="both"/>
      </w:pPr>
      <w:r>
        <w:rPr>
          <w:color w:val="333333"/>
          <w:w w:val="105"/>
        </w:rPr>
        <w:t xml:space="preserve">The </w:t>
      </w:r>
      <w:r>
        <w:rPr>
          <w:rFonts w:ascii="MS Gothic"/>
          <w:color w:val="B02045"/>
          <w:w w:val="105"/>
        </w:rPr>
        <w:t xml:space="preserve">@ConditionalOnClass </w:t>
      </w:r>
      <w:r>
        <w:rPr>
          <w:color w:val="333333"/>
          <w:w w:val="105"/>
        </w:rPr>
        <w:t xml:space="preserve">and </w:t>
      </w:r>
      <w:r>
        <w:rPr>
          <w:rFonts w:ascii="MS Gothic"/>
          <w:color w:val="B02045"/>
          <w:w w:val="105"/>
        </w:rPr>
        <w:t xml:space="preserve">@ConditionalOnMissingClass </w:t>
      </w:r>
      <w:r>
        <w:rPr>
          <w:color w:val="333333"/>
          <w:w w:val="105"/>
        </w:rPr>
        <w:t xml:space="preserve">annotations let </w:t>
      </w:r>
      <w:r>
        <w:rPr>
          <w:rFonts w:ascii="MS Gothic"/>
          <w:color w:val="B02045"/>
          <w:w w:val="105"/>
        </w:rPr>
        <w:t>@Configuration</w:t>
      </w:r>
      <w:r>
        <w:rPr>
          <w:rFonts w:ascii="MS Gothic"/>
          <w:color w:val="B02045"/>
          <w:spacing w:val="-82"/>
          <w:w w:val="105"/>
        </w:rPr>
        <w:t xml:space="preserve"> </w:t>
      </w:r>
      <w:r>
        <w:rPr>
          <w:color w:val="333333"/>
          <w:w w:val="105"/>
        </w:rPr>
        <w:t xml:space="preserve">classes be </w:t>
      </w:r>
      <w:r>
        <w:rPr>
          <w:color w:val="333333"/>
          <w:w w:val="110"/>
        </w:rPr>
        <w:t xml:space="preserve">included based on the presence or absence of specific classes. Due to the fact that annotation metadata is parsed </w:t>
      </w:r>
      <w:r>
        <w:rPr>
          <w:color w:val="333333"/>
          <w:spacing w:val="-3"/>
          <w:w w:val="110"/>
        </w:rPr>
        <w:t xml:space="preserve">by </w:t>
      </w:r>
      <w:r>
        <w:rPr>
          <w:color w:val="333333"/>
          <w:w w:val="110"/>
        </w:rPr>
        <w:t xml:space="preserve">using </w:t>
      </w:r>
      <w:hyperlink r:id="rId356">
        <w:r>
          <w:rPr>
            <w:color w:val="418BCA"/>
            <w:w w:val="110"/>
          </w:rPr>
          <w:t>ASM</w:t>
        </w:r>
      </w:hyperlink>
      <w:r>
        <w:rPr>
          <w:color w:val="333333"/>
          <w:w w:val="110"/>
        </w:rPr>
        <w:t xml:space="preserve">, you can use the </w:t>
      </w:r>
      <w:r>
        <w:rPr>
          <w:rFonts w:ascii="MS Gothic"/>
          <w:color w:val="B02045"/>
          <w:w w:val="110"/>
        </w:rPr>
        <w:t xml:space="preserve">value </w:t>
      </w:r>
      <w:r>
        <w:rPr>
          <w:color w:val="333333"/>
          <w:w w:val="110"/>
        </w:rPr>
        <w:t xml:space="preserve">attribute to refer to the real class, even though that class might not actually appear on the running application classpath. </w:t>
      </w:r>
      <w:r>
        <w:rPr>
          <w:color w:val="333333"/>
          <w:spacing w:val="-6"/>
          <w:w w:val="110"/>
        </w:rPr>
        <w:t xml:space="preserve">You </w:t>
      </w:r>
      <w:r>
        <w:rPr>
          <w:color w:val="333333"/>
          <w:w w:val="110"/>
        </w:rPr>
        <w:t xml:space="preserve">can also </w:t>
      </w:r>
      <w:proofErr w:type="gramStart"/>
      <w:r>
        <w:rPr>
          <w:color w:val="333333"/>
          <w:w w:val="110"/>
        </w:rPr>
        <w:t>use  the</w:t>
      </w:r>
      <w:proofErr w:type="gramEnd"/>
      <w:r>
        <w:rPr>
          <w:color w:val="333333"/>
          <w:w w:val="110"/>
        </w:rPr>
        <w:t xml:space="preserve"> </w:t>
      </w:r>
      <w:r>
        <w:rPr>
          <w:rFonts w:ascii="MS Gothic"/>
          <w:color w:val="B02045"/>
          <w:w w:val="110"/>
        </w:rPr>
        <w:t xml:space="preserve">name </w:t>
      </w:r>
      <w:r>
        <w:rPr>
          <w:color w:val="333333"/>
          <w:w w:val="110"/>
        </w:rPr>
        <w:t xml:space="preserve">attribute if you prefer to specify the class name </w:t>
      </w:r>
      <w:r>
        <w:rPr>
          <w:color w:val="333333"/>
          <w:spacing w:val="-3"/>
          <w:w w:val="110"/>
        </w:rPr>
        <w:t xml:space="preserve">by </w:t>
      </w:r>
      <w:r>
        <w:rPr>
          <w:color w:val="333333"/>
          <w:w w:val="110"/>
        </w:rPr>
        <w:t xml:space="preserve">using a </w:t>
      </w:r>
      <w:r>
        <w:rPr>
          <w:rFonts w:ascii="MS Gothic"/>
          <w:color w:val="B02045"/>
          <w:w w:val="110"/>
        </w:rPr>
        <w:t>String</w:t>
      </w:r>
      <w:r>
        <w:rPr>
          <w:rFonts w:ascii="MS Gothic"/>
          <w:color w:val="B02045"/>
          <w:spacing w:val="-88"/>
          <w:w w:val="110"/>
        </w:rPr>
        <w:t xml:space="preserve"> </w:t>
      </w:r>
      <w:r>
        <w:rPr>
          <w:color w:val="333333"/>
          <w:w w:val="110"/>
        </w:rPr>
        <w:t>value.</w:t>
      </w:r>
    </w:p>
    <w:p w14:paraId="1FDC3C21" w14:textId="77777777" w:rsidR="00A720EB" w:rsidRDefault="0030286B">
      <w:pPr>
        <w:pStyle w:val="a3"/>
        <w:spacing w:before="220" w:line="300" w:lineRule="auto"/>
        <w:ind w:left="124" w:right="124"/>
        <w:jc w:val="both"/>
      </w:pPr>
      <w:r>
        <w:rPr>
          <w:color w:val="333333"/>
          <w:w w:val="110"/>
        </w:rPr>
        <w:t xml:space="preserve">This mechanism does not apply the same way to </w:t>
      </w:r>
      <w:r>
        <w:rPr>
          <w:rFonts w:ascii="MS Gothic"/>
          <w:color w:val="B02045"/>
          <w:w w:val="110"/>
        </w:rPr>
        <w:t xml:space="preserve">@Bean </w:t>
      </w:r>
      <w:r>
        <w:rPr>
          <w:color w:val="333333"/>
          <w:w w:val="110"/>
        </w:rPr>
        <w:t xml:space="preserve">methods where typically the return type is the target of the condition: before the condition on the method applies, the JVM will have loaded   </w:t>
      </w:r>
      <w:r>
        <w:rPr>
          <w:color w:val="333333"/>
          <w:spacing w:val="50"/>
          <w:w w:val="110"/>
        </w:rPr>
        <w:t xml:space="preserve"> </w:t>
      </w:r>
      <w:r>
        <w:rPr>
          <w:color w:val="333333"/>
          <w:w w:val="110"/>
        </w:rPr>
        <w:t>the</w:t>
      </w:r>
      <w:r>
        <w:rPr>
          <w:color w:val="333333"/>
          <w:spacing w:val="5"/>
          <w:w w:val="110"/>
        </w:rPr>
        <w:t xml:space="preserve"> </w:t>
      </w:r>
      <w:r>
        <w:rPr>
          <w:color w:val="333333"/>
          <w:w w:val="110"/>
        </w:rPr>
        <w:t>class</w:t>
      </w:r>
      <w:r>
        <w:rPr>
          <w:color w:val="333333"/>
          <w:spacing w:val="5"/>
          <w:w w:val="110"/>
        </w:rPr>
        <w:t xml:space="preserve"> </w:t>
      </w:r>
      <w:r>
        <w:rPr>
          <w:color w:val="333333"/>
          <w:w w:val="110"/>
        </w:rPr>
        <w:t>and</w:t>
      </w:r>
      <w:r>
        <w:rPr>
          <w:color w:val="333333"/>
          <w:spacing w:val="4"/>
          <w:w w:val="110"/>
        </w:rPr>
        <w:t xml:space="preserve"> </w:t>
      </w:r>
      <w:r>
        <w:rPr>
          <w:color w:val="333333"/>
          <w:w w:val="110"/>
        </w:rPr>
        <w:t>potentially</w:t>
      </w:r>
      <w:r>
        <w:rPr>
          <w:color w:val="333333"/>
          <w:spacing w:val="4"/>
          <w:w w:val="110"/>
        </w:rPr>
        <w:t xml:space="preserve"> </w:t>
      </w:r>
      <w:r>
        <w:rPr>
          <w:color w:val="333333"/>
          <w:w w:val="110"/>
        </w:rPr>
        <w:t>processed</w:t>
      </w:r>
      <w:r>
        <w:rPr>
          <w:color w:val="333333"/>
          <w:spacing w:val="4"/>
          <w:w w:val="110"/>
        </w:rPr>
        <w:t xml:space="preserve"> </w:t>
      </w:r>
      <w:r>
        <w:rPr>
          <w:color w:val="333333"/>
          <w:w w:val="110"/>
        </w:rPr>
        <w:t>method</w:t>
      </w:r>
      <w:r>
        <w:rPr>
          <w:color w:val="333333"/>
          <w:spacing w:val="4"/>
          <w:w w:val="110"/>
        </w:rPr>
        <w:t xml:space="preserve"> </w:t>
      </w:r>
      <w:r>
        <w:rPr>
          <w:color w:val="333333"/>
          <w:w w:val="110"/>
        </w:rPr>
        <w:t>references</w:t>
      </w:r>
      <w:r>
        <w:rPr>
          <w:color w:val="333333"/>
          <w:spacing w:val="5"/>
          <w:w w:val="110"/>
        </w:rPr>
        <w:t xml:space="preserve"> </w:t>
      </w:r>
      <w:r>
        <w:rPr>
          <w:color w:val="333333"/>
          <w:w w:val="110"/>
        </w:rPr>
        <w:t>which</w:t>
      </w:r>
      <w:r>
        <w:rPr>
          <w:color w:val="333333"/>
          <w:spacing w:val="4"/>
          <w:w w:val="110"/>
        </w:rPr>
        <w:t xml:space="preserve"> </w:t>
      </w:r>
      <w:r>
        <w:rPr>
          <w:color w:val="333333"/>
          <w:w w:val="110"/>
        </w:rPr>
        <w:t>will</w:t>
      </w:r>
      <w:r>
        <w:rPr>
          <w:color w:val="333333"/>
          <w:spacing w:val="4"/>
          <w:w w:val="110"/>
        </w:rPr>
        <w:t xml:space="preserve"> </w:t>
      </w:r>
      <w:r>
        <w:rPr>
          <w:color w:val="333333"/>
          <w:w w:val="110"/>
        </w:rPr>
        <w:t>fail</w:t>
      </w:r>
      <w:r>
        <w:rPr>
          <w:color w:val="333333"/>
          <w:spacing w:val="5"/>
          <w:w w:val="110"/>
        </w:rPr>
        <w:t xml:space="preserve"> </w:t>
      </w:r>
      <w:r>
        <w:rPr>
          <w:color w:val="333333"/>
          <w:w w:val="110"/>
        </w:rPr>
        <w:t>if</w:t>
      </w:r>
      <w:r>
        <w:rPr>
          <w:color w:val="333333"/>
          <w:spacing w:val="4"/>
          <w:w w:val="110"/>
        </w:rPr>
        <w:t xml:space="preserve"> </w:t>
      </w:r>
      <w:r>
        <w:rPr>
          <w:color w:val="333333"/>
          <w:w w:val="110"/>
        </w:rPr>
        <w:t>the</w:t>
      </w:r>
      <w:r>
        <w:rPr>
          <w:color w:val="333333"/>
          <w:spacing w:val="5"/>
          <w:w w:val="110"/>
        </w:rPr>
        <w:t xml:space="preserve"> </w:t>
      </w:r>
      <w:r>
        <w:rPr>
          <w:color w:val="333333"/>
          <w:w w:val="110"/>
        </w:rPr>
        <w:t>class</w:t>
      </w:r>
      <w:r>
        <w:rPr>
          <w:color w:val="333333"/>
          <w:spacing w:val="5"/>
          <w:w w:val="110"/>
        </w:rPr>
        <w:t xml:space="preserve"> </w:t>
      </w:r>
      <w:r>
        <w:rPr>
          <w:color w:val="333333"/>
          <w:w w:val="110"/>
        </w:rPr>
        <w:t>is</w:t>
      </w:r>
      <w:r>
        <w:rPr>
          <w:color w:val="333333"/>
          <w:spacing w:val="4"/>
          <w:w w:val="110"/>
        </w:rPr>
        <w:t xml:space="preserve"> </w:t>
      </w:r>
      <w:r>
        <w:rPr>
          <w:color w:val="333333"/>
          <w:w w:val="110"/>
        </w:rPr>
        <w:t>not</w:t>
      </w:r>
      <w:r>
        <w:rPr>
          <w:color w:val="333333"/>
          <w:spacing w:val="5"/>
          <w:w w:val="110"/>
        </w:rPr>
        <w:t xml:space="preserve"> </w:t>
      </w:r>
      <w:r>
        <w:rPr>
          <w:color w:val="333333"/>
          <w:w w:val="110"/>
        </w:rPr>
        <w:t>present.</w:t>
      </w:r>
    </w:p>
    <w:p w14:paraId="5EFB773B" w14:textId="77777777" w:rsidR="00A720EB" w:rsidRDefault="0030286B">
      <w:pPr>
        <w:pStyle w:val="a3"/>
        <w:spacing w:before="235" w:line="290" w:lineRule="auto"/>
        <w:ind w:left="124" w:right="126"/>
        <w:jc w:val="both"/>
      </w:pPr>
      <w:r>
        <w:rPr>
          <w:color w:val="333333"/>
          <w:w w:val="110"/>
        </w:rPr>
        <w:t xml:space="preserve">To handle this scenario, a separate </w:t>
      </w:r>
      <w:r>
        <w:rPr>
          <w:rFonts w:ascii="MS Gothic"/>
          <w:color w:val="B02045"/>
          <w:w w:val="110"/>
        </w:rPr>
        <w:t xml:space="preserve">@Configuration </w:t>
      </w:r>
      <w:r>
        <w:rPr>
          <w:color w:val="333333"/>
          <w:w w:val="110"/>
        </w:rPr>
        <w:t>class can be used to isolate the condition, as shown in the following example:</w:t>
      </w:r>
    </w:p>
    <w:p w14:paraId="701A09F1" w14:textId="77777777" w:rsidR="00A720EB" w:rsidRDefault="00A720EB">
      <w:pPr>
        <w:spacing w:line="290" w:lineRule="auto"/>
        <w:jc w:val="both"/>
        <w:sectPr w:rsidR="00A720EB">
          <w:pgSz w:w="11910" w:h="16840"/>
          <w:pgMar w:top="620" w:right="840" w:bottom="520" w:left="840" w:header="0" w:footer="323" w:gutter="0"/>
          <w:cols w:space="720"/>
        </w:sectPr>
      </w:pPr>
    </w:p>
    <w:p w14:paraId="31FC57E4" w14:textId="77777777" w:rsidR="00A720EB" w:rsidRDefault="00E10349">
      <w:pPr>
        <w:pStyle w:val="a3"/>
        <w:ind w:left="116"/>
        <w:rPr>
          <w:sz w:val="20"/>
        </w:rPr>
      </w:pPr>
      <w:r>
        <w:rPr>
          <w:sz w:val="20"/>
        </w:rPr>
      </w:r>
      <w:r>
        <w:rPr>
          <w:sz w:val="20"/>
        </w:rPr>
        <w:pict w14:anchorId="0FCA2F72">
          <v:group id="_x0000_s3438" style="width:499.55pt;height:273.35pt;mso-position-horizontal-relative:char;mso-position-vertical-relative:line" coordsize="9991,5467">
            <v:shape id="_x0000_s3441" style="position:absolute;left:7;top:7;width:9976;height:5452" coordorigin="8,8" coordsize="9976,5452" path="m9904,8l88,8,56,14,31,31,14,56,8,88r,5291l14,5410r17,26l56,5453r32,6l9904,5459r31,-6l9960,5436r17,-26l9984,5379r,-5291l9977,56,9960,31,9935,14,9904,8xe" fillcolor="#f5f5f5" stroked="f">
              <v:path arrowok="t"/>
            </v:shape>
            <v:shape id="_x0000_s3440" style="position:absolute;left:7;top:7;width:9976;height:5452" coordorigin="8,8" coordsize="9976,5452" path="m88,8r9816,l9935,14r25,17l9977,56r7,32l9984,5379r-7,31l9960,5436r-25,17l9904,5459r-9816,l56,5453,31,5436,14,5410,8,5379,8,88,14,56,31,31,56,14,88,8xe" filled="f" strokecolor="#ccc">
              <v:path arrowok="t"/>
            </v:shape>
            <v:shape id="_x0000_s3439" type="#_x0000_t202" style="position:absolute;left:26;top:22;width:9938;height:5421" filled="f" stroked="f">
              <v:textbox inset="0,0,0,0">
                <w:txbxContent>
                  <w:p w14:paraId="32C75069"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w:t>
                    </w:r>
                  </w:p>
                  <w:p w14:paraId="23648970" w14:textId="77777777" w:rsidR="00711A16" w:rsidRDefault="00711A16">
                    <w:pPr>
                      <w:spacing w:before="13"/>
                      <w:ind w:left="200"/>
                      <w:rPr>
                        <w:rFonts w:ascii="MS Gothic"/>
                      </w:rPr>
                    </w:pPr>
                    <w:r>
                      <w:rPr>
                        <w:rFonts w:ascii="MS Gothic"/>
                        <w:color w:val="333333"/>
                      </w:rPr>
                      <w:t>// Some conditions</w:t>
                    </w:r>
                  </w:p>
                  <w:p w14:paraId="62F9577D" w14:textId="77777777" w:rsidR="00711A16" w:rsidRDefault="00711A16">
                    <w:pPr>
                      <w:spacing w:before="13"/>
                      <w:ind w:left="200"/>
                      <w:rPr>
                        <w:rFonts w:ascii="MS Gothic"/>
                      </w:rPr>
                    </w:pPr>
                    <w:r>
                      <w:rPr>
                        <w:rFonts w:ascii="MS Gothic"/>
                        <w:color w:val="333333"/>
                      </w:rPr>
                      <w:t>public class MyAutoConfiguration {</w:t>
                    </w:r>
                  </w:p>
                  <w:p w14:paraId="129E5365" w14:textId="77777777" w:rsidR="00711A16" w:rsidRDefault="00711A16">
                    <w:pPr>
                      <w:rPr>
                        <w:rFonts w:ascii="MS Gothic"/>
                        <w:sz w:val="24"/>
                      </w:rPr>
                    </w:pPr>
                  </w:p>
                  <w:p w14:paraId="5EF1FC44" w14:textId="77777777" w:rsidR="00711A16" w:rsidRDefault="00711A16">
                    <w:pPr>
                      <w:ind w:left="640"/>
                      <w:rPr>
                        <w:rFonts w:ascii="MS Gothic"/>
                      </w:rPr>
                    </w:pPr>
                    <w:r>
                      <w:rPr>
                        <w:rFonts w:ascii="MS Gothic"/>
                        <w:color w:val="333333"/>
                      </w:rPr>
                      <w:t>// Auto-configured beans</w:t>
                    </w:r>
                  </w:p>
                  <w:p w14:paraId="0467ADD9" w14:textId="77777777" w:rsidR="00711A16" w:rsidRDefault="00711A16">
                    <w:pPr>
                      <w:rPr>
                        <w:rFonts w:ascii="MS Gothic"/>
                        <w:sz w:val="24"/>
                      </w:rPr>
                    </w:pPr>
                  </w:p>
                  <w:p w14:paraId="18851BF3" w14:textId="77777777" w:rsidR="00711A16" w:rsidRDefault="00711A16">
                    <w:pPr>
                      <w:spacing w:line="252" w:lineRule="auto"/>
                      <w:ind w:left="640" w:right="42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@ConditionalOnClass(EmbeddedAcmeService.class) static class EmbeddedConfiguration {</w:t>
                    </w:r>
                  </w:p>
                  <w:p w14:paraId="458E0302" w14:textId="77777777" w:rsidR="00711A16" w:rsidRDefault="00711A16">
                    <w:pPr>
                      <w:spacing w:before="9"/>
                      <w:rPr>
                        <w:rFonts w:ascii="MS Gothic"/>
                      </w:rPr>
                    </w:pPr>
                  </w:p>
                  <w:p w14:paraId="7416335F" w14:textId="77777777" w:rsidR="00711A16" w:rsidRDefault="00711A16">
                    <w:pPr>
                      <w:spacing w:line="252" w:lineRule="auto"/>
                      <w:ind w:left="1080" w:right="6088"/>
                      <w:rPr>
                        <w:rFonts w:ascii="MS Gothic"/>
                      </w:rPr>
                    </w:pPr>
                    <w:r>
                      <w:rPr>
                        <w:rFonts w:ascii="MS Gothic"/>
                        <w:color w:val="333333"/>
                      </w:rPr>
                      <w:t>@Bean @ConditionalOnMissingBean</w:t>
                    </w:r>
                  </w:p>
                  <w:p w14:paraId="12BDC6F0" w14:textId="77777777" w:rsidR="00711A16" w:rsidRDefault="00711A16">
                    <w:pPr>
                      <w:spacing w:line="280" w:lineRule="exact"/>
                      <w:ind w:left="1080"/>
                      <w:rPr>
                        <w:rFonts w:ascii="MS Gothic"/>
                      </w:rPr>
                    </w:pPr>
                    <w:r>
                      <w:rPr>
                        <w:rFonts w:ascii="MS Gothic"/>
                        <w:color w:val="333333"/>
                      </w:rPr>
                      <w:t xml:space="preserve">public EmbeddedAcmeService </w:t>
                    </w:r>
                    <w:proofErr w:type="gramStart"/>
                    <w:r>
                      <w:rPr>
                        <w:rFonts w:ascii="MS Gothic"/>
                        <w:color w:val="333333"/>
                      </w:rPr>
                      <w:t>embeddedAcmeService(</w:t>
                    </w:r>
                    <w:proofErr w:type="gramEnd"/>
                    <w:r>
                      <w:rPr>
                        <w:rFonts w:ascii="MS Gothic"/>
                        <w:color w:val="333333"/>
                      </w:rPr>
                      <w:t>) { ... }</w:t>
                    </w:r>
                  </w:p>
                  <w:p w14:paraId="1585AFBE" w14:textId="77777777" w:rsidR="00711A16" w:rsidRDefault="00711A16">
                    <w:pPr>
                      <w:rPr>
                        <w:rFonts w:ascii="MS Gothic"/>
                        <w:sz w:val="24"/>
                      </w:rPr>
                    </w:pPr>
                  </w:p>
                  <w:p w14:paraId="44B3DB99" w14:textId="77777777" w:rsidR="00711A16" w:rsidRDefault="00711A16">
                    <w:pPr>
                      <w:spacing w:before="1"/>
                      <w:ind w:left="640"/>
                      <w:rPr>
                        <w:rFonts w:ascii="MS Gothic"/>
                      </w:rPr>
                    </w:pPr>
                    <w:r>
                      <w:rPr>
                        <w:rFonts w:ascii="MS Gothic"/>
                        <w:color w:val="333333"/>
                      </w:rPr>
                      <w:t>}</w:t>
                    </w:r>
                  </w:p>
                  <w:p w14:paraId="42FC52AD" w14:textId="77777777" w:rsidR="00711A16" w:rsidRDefault="00711A16">
                    <w:pPr>
                      <w:rPr>
                        <w:rFonts w:ascii="MS Gothic"/>
                        <w:sz w:val="24"/>
                      </w:rPr>
                    </w:pPr>
                  </w:p>
                  <w:p w14:paraId="64FC855F" w14:textId="77777777" w:rsidR="00711A16" w:rsidRDefault="00711A16">
                    <w:pPr>
                      <w:ind w:left="200"/>
                      <w:rPr>
                        <w:rFonts w:ascii="MS Gothic"/>
                      </w:rPr>
                    </w:pPr>
                    <w:r>
                      <w:rPr>
                        <w:rFonts w:ascii="MS Gothic"/>
                        <w:color w:val="333333"/>
                      </w:rPr>
                      <w:t>}</w:t>
                    </w:r>
                  </w:p>
                </w:txbxContent>
              </v:textbox>
            </v:shape>
            <w10:anchorlock/>
          </v:group>
        </w:pict>
      </w:r>
    </w:p>
    <w:p w14:paraId="38C48AB0" w14:textId="77777777" w:rsidR="00A720EB" w:rsidRDefault="00A720EB">
      <w:pPr>
        <w:pStyle w:val="a3"/>
        <w:spacing w:before="4"/>
        <w:rPr>
          <w:sz w:val="16"/>
        </w:rPr>
      </w:pPr>
    </w:p>
    <w:p w14:paraId="67095901" w14:textId="77777777" w:rsidR="00A720EB" w:rsidRDefault="00E10349">
      <w:pPr>
        <w:pStyle w:val="a3"/>
        <w:spacing w:before="116" w:line="285" w:lineRule="auto"/>
        <w:ind w:left="1564" w:right="362"/>
        <w:jc w:val="both"/>
      </w:pPr>
      <w:r>
        <w:pict w14:anchorId="5A8AF49D">
          <v:line id="_x0000_s3437" style="position:absolute;left:0;text-align:left;z-index:16165888;mso-position-horizontal-relative:page" from="108.25pt,.35pt" to="108.25pt,55.7pt" strokecolor="#ededed" strokeweight=".5pt">
            <w10:wrap anchorx="page"/>
          </v:line>
        </w:pict>
      </w:r>
      <w:r w:rsidR="0030286B">
        <w:rPr>
          <w:noProof/>
        </w:rPr>
        <w:drawing>
          <wp:anchor distT="0" distB="0" distL="0" distR="0" simplePos="0" relativeHeight="16166400" behindDoc="0" locked="0" layoutInCell="1" allowOverlap="1" wp14:anchorId="1FD720D3" wp14:editId="1B1306D0">
            <wp:simplePos x="0" y="0"/>
            <wp:positionH relativeFrom="page">
              <wp:posOffset>888949</wp:posOffset>
            </wp:positionH>
            <wp:positionV relativeFrom="paragraph">
              <wp:posOffset>203276</wp:posOffset>
            </wp:positionV>
            <wp:extent cx="209550" cy="304800"/>
            <wp:effectExtent l="0" t="0" r="0" b="0"/>
            <wp:wrapNone/>
            <wp:docPr id="5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26.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If</w:t>
      </w:r>
      <w:r w:rsidR="0030286B">
        <w:rPr>
          <w:color w:val="333333"/>
          <w:spacing w:val="-14"/>
          <w:w w:val="110"/>
        </w:rPr>
        <w:t xml:space="preserve"> </w:t>
      </w:r>
      <w:r w:rsidR="0030286B">
        <w:rPr>
          <w:color w:val="333333"/>
          <w:w w:val="110"/>
        </w:rPr>
        <w:t>you</w:t>
      </w:r>
      <w:r w:rsidR="0030286B">
        <w:rPr>
          <w:color w:val="333333"/>
          <w:spacing w:val="-14"/>
          <w:w w:val="110"/>
        </w:rPr>
        <w:t xml:space="preserve"> </w:t>
      </w:r>
      <w:r w:rsidR="0030286B">
        <w:rPr>
          <w:color w:val="333333"/>
          <w:w w:val="110"/>
        </w:rPr>
        <w:t>use</w:t>
      </w:r>
      <w:r w:rsidR="0030286B">
        <w:rPr>
          <w:color w:val="333333"/>
          <w:spacing w:val="-14"/>
          <w:w w:val="110"/>
        </w:rPr>
        <w:t xml:space="preserve"> </w:t>
      </w:r>
      <w:r w:rsidR="0030286B">
        <w:rPr>
          <w:rFonts w:ascii="MS Gothic"/>
          <w:color w:val="B02045"/>
          <w:w w:val="110"/>
        </w:rPr>
        <w:t>@ConditionalOnClass</w:t>
      </w:r>
      <w:r w:rsidR="0030286B">
        <w:rPr>
          <w:rFonts w:ascii="MS Gothic"/>
          <w:color w:val="B02045"/>
          <w:spacing w:val="-78"/>
          <w:w w:val="110"/>
        </w:rPr>
        <w:t xml:space="preserve"> </w:t>
      </w:r>
      <w:r w:rsidR="0030286B">
        <w:rPr>
          <w:color w:val="333333"/>
          <w:w w:val="110"/>
        </w:rPr>
        <w:t>or</w:t>
      </w:r>
      <w:r w:rsidR="0030286B">
        <w:rPr>
          <w:color w:val="333333"/>
          <w:spacing w:val="-14"/>
          <w:w w:val="110"/>
        </w:rPr>
        <w:t xml:space="preserve"> </w:t>
      </w:r>
      <w:r w:rsidR="0030286B">
        <w:rPr>
          <w:rFonts w:ascii="MS Gothic"/>
          <w:color w:val="B02045"/>
          <w:w w:val="110"/>
        </w:rPr>
        <w:t>@ConditionalOnMissingClass</w:t>
      </w:r>
      <w:r w:rsidR="0030286B">
        <w:rPr>
          <w:rFonts w:ascii="MS Gothic"/>
          <w:color w:val="B02045"/>
          <w:spacing w:val="-79"/>
          <w:w w:val="110"/>
        </w:rPr>
        <w:t xml:space="preserve"> </w:t>
      </w:r>
      <w:r w:rsidR="0030286B">
        <w:rPr>
          <w:color w:val="333333"/>
          <w:w w:val="110"/>
        </w:rPr>
        <w:t>as</w:t>
      </w:r>
      <w:r w:rsidR="0030286B">
        <w:rPr>
          <w:color w:val="333333"/>
          <w:spacing w:val="-14"/>
          <w:w w:val="110"/>
        </w:rPr>
        <w:t xml:space="preserve"> </w:t>
      </w:r>
      <w:r w:rsidR="0030286B">
        <w:rPr>
          <w:color w:val="333333"/>
          <w:w w:val="110"/>
        </w:rPr>
        <w:t>a</w:t>
      </w:r>
      <w:r w:rsidR="0030286B">
        <w:rPr>
          <w:color w:val="333333"/>
          <w:spacing w:val="-14"/>
          <w:w w:val="110"/>
        </w:rPr>
        <w:t xml:space="preserve"> </w:t>
      </w:r>
      <w:r w:rsidR="0030286B">
        <w:rPr>
          <w:color w:val="333333"/>
          <w:w w:val="110"/>
        </w:rPr>
        <w:t>part</w:t>
      </w:r>
      <w:r w:rsidR="0030286B">
        <w:rPr>
          <w:color w:val="333333"/>
          <w:spacing w:val="-14"/>
          <w:w w:val="110"/>
        </w:rPr>
        <w:t xml:space="preserve"> </w:t>
      </w:r>
      <w:r w:rsidR="0030286B">
        <w:rPr>
          <w:color w:val="333333"/>
          <w:w w:val="110"/>
        </w:rPr>
        <w:t>of</w:t>
      </w:r>
      <w:r w:rsidR="0030286B">
        <w:rPr>
          <w:color w:val="333333"/>
          <w:spacing w:val="-14"/>
          <w:w w:val="110"/>
        </w:rPr>
        <w:t xml:space="preserve"> </w:t>
      </w:r>
      <w:r w:rsidR="0030286B">
        <w:rPr>
          <w:color w:val="333333"/>
          <w:w w:val="110"/>
        </w:rPr>
        <w:t>a</w:t>
      </w:r>
      <w:r w:rsidR="0030286B">
        <w:rPr>
          <w:color w:val="333333"/>
          <w:spacing w:val="-14"/>
          <w:w w:val="110"/>
        </w:rPr>
        <w:t xml:space="preserve"> </w:t>
      </w:r>
      <w:r w:rsidR="0030286B">
        <w:rPr>
          <w:color w:val="333333"/>
          <w:w w:val="110"/>
        </w:rPr>
        <w:t xml:space="preserve">meta- annotation to compose your own composed annotations, you must use </w:t>
      </w:r>
      <w:r w:rsidR="0030286B">
        <w:rPr>
          <w:rFonts w:ascii="MS Gothic"/>
          <w:color w:val="B02045"/>
          <w:w w:val="110"/>
        </w:rPr>
        <w:t xml:space="preserve">name </w:t>
      </w:r>
      <w:r w:rsidR="0030286B">
        <w:rPr>
          <w:color w:val="333333"/>
          <w:w w:val="110"/>
        </w:rPr>
        <w:t>as referring to the class in such a case is not</w:t>
      </w:r>
      <w:r w:rsidR="0030286B">
        <w:rPr>
          <w:color w:val="333333"/>
          <w:spacing w:val="36"/>
          <w:w w:val="110"/>
        </w:rPr>
        <w:t xml:space="preserve"> </w:t>
      </w:r>
      <w:r w:rsidR="0030286B">
        <w:rPr>
          <w:color w:val="333333"/>
          <w:w w:val="110"/>
        </w:rPr>
        <w:t>handled.</w:t>
      </w:r>
    </w:p>
    <w:p w14:paraId="6CA857BF" w14:textId="77777777" w:rsidR="00A720EB" w:rsidRDefault="00A720EB">
      <w:pPr>
        <w:pStyle w:val="a3"/>
        <w:spacing w:before="7"/>
        <w:rPr>
          <w:sz w:val="25"/>
        </w:rPr>
      </w:pPr>
    </w:p>
    <w:p w14:paraId="113B392B" w14:textId="77777777" w:rsidR="00A720EB" w:rsidRDefault="0030286B">
      <w:pPr>
        <w:pStyle w:val="4"/>
        <w:spacing w:before="104"/>
      </w:pPr>
      <w:bookmarkStart w:id="508" w:name="Bean_Conditions"/>
      <w:bookmarkEnd w:id="508"/>
      <w:r>
        <w:rPr>
          <w:color w:val="333333"/>
          <w:w w:val="110"/>
        </w:rPr>
        <w:t>Bean Conditions</w:t>
      </w:r>
    </w:p>
    <w:p w14:paraId="280CE6FC" w14:textId="77777777" w:rsidR="00A720EB" w:rsidRDefault="0030286B">
      <w:pPr>
        <w:pStyle w:val="a3"/>
        <w:spacing w:before="244" w:line="285" w:lineRule="auto"/>
        <w:ind w:left="124" w:right="122"/>
        <w:jc w:val="both"/>
      </w:pPr>
      <w:r>
        <w:rPr>
          <w:color w:val="333333"/>
          <w:w w:val="110"/>
        </w:rPr>
        <w:t>The</w:t>
      </w:r>
      <w:r>
        <w:rPr>
          <w:color w:val="333333"/>
          <w:spacing w:val="-23"/>
          <w:w w:val="110"/>
        </w:rPr>
        <w:t xml:space="preserve"> </w:t>
      </w:r>
      <w:r>
        <w:rPr>
          <w:rFonts w:ascii="MS Gothic"/>
          <w:color w:val="B02045"/>
          <w:w w:val="110"/>
        </w:rPr>
        <w:t>@ConditionalOnBean</w:t>
      </w:r>
      <w:r>
        <w:rPr>
          <w:rFonts w:ascii="MS Gothic"/>
          <w:color w:val="B02045"/>
          <w:spacing w:val="-89"/>
          <w:w w:val="110"/>
        </w:rPr>
        <w:t xml:space="preserve"> </w:t>
      </w:r>
      <w:r>
        <w:rPr>
          <w:color w:val="333333"/>
          <w:w w:val="110"/>
        </w:rPr>
        <w:t>and</w:t>
      </w:r>
      <w:r>
        <w:rPr>
          <w:color w:val="333333"/>
          <w:spacing w:val="-23"/>
          <w:w w:val="110"/>
        </w:rPr>
        <w:t xml:space="preserve"> </w:t>
      </w:r>
      <w:r>
        <w:rPr>
          <w:rFonts w:ascii="MS Gothic"/>
          <w:color w:val="B02045"/>
          <w:w w:val="110"/>
        </w:rPr>
        <w:t>@ConditionalOnMissingBean</w:t>
      </w:r>
      <w:r>
        <w:rPr>
          <w:rFonts w:ascii="MS Gothic"/>
          <w:color w:val="B02045"/>
          <w:spacing w:val="-88"/>
          <w:w w:val="110"/>
        </w:rPr>
        <w:t xml:space="preserve"> </w:t>
      </w:r>
      <w:r>
        <w:rPr>
          <w:color w:val="333333"/>
          <w:w w:val="110"/>
        </w:rPr>
        <w:t>annotations</w:t>
      </w:r>
      <w:r>
        <w:rPr>
          <w:color w:val="333333"/>
          <w:spacing w:val="-23"/>
          <w:w w:val="110"/>
        </w:rPr>
        <w:t xml:space="preserve"> </w:t>
      </w:r>
      <w:r>
        <w:rPr>
          <w:color w:val="333333"/>
          <w:w w:val="110"/>
        </w:rPr>
        <w:t>let</w:t>
      </w:r>
      <w:r>
        <w:rPr>
          <w:color w:val="333333"/>
          <w:spacing w:val="-24"/>
          <w:w w:val="110"/>
        </w:rPr>
        <w:t xml:space="preserve"> </w:t>
      </w:r>
      <w:r>
        <w:rPr>
          <w:color w:val="333333"/>
          <w:w w:val="110"/>
        </w:rPr>
        <w:t>a</w:t>
      </w:r>
      <w:r>
        <w:rPr>
          <w:color w:val="333333"/>
          <w:spacing w:val="-23"/>
          <w:w w:val="110"/>
        </w:rPr>
        <w:t xml:space="preserve"> </w:t>
      </w:r>
      <w:r>
        <w:rPr>
          <w:color w:val="333333"/>
          <w:w w:val="110"/>
        </w:rPr>
        <w:t>bean</w:t>
      </w:r>
      <w:r>
        <w:rPr>
          <w:color w:val="333333"/>
          <w:spacing w:val="-23"/>
          <w:w w:val="110"/>
        </w:rPr>
        <w:t xml:space="preserve"> </w:t>
      </w:r>
      <w:r>
        <w:rPr>
          <w:color w:val="333333"/>
          <w:w w:val="110"/>
        </w:rPr>
        <w:t>be</w:t>
      </w:r>
      <w:r>
        <w:rPr>
          <w:color w:val="333333"/>
          <w:spacing w:val="-24"/>
          <w:w w:val="110"/>
        </w:rPr>
        <w:t xml:space="preserve"> </w:t>
      </w:r>
      <w:r>
        <w:rPr>
          <w:color w:val="333333"/>
          <w:w w:val="110"/>
        </w:rPr>
        <w:t>included</w:t>
      </w:r>
      <w:r>
        <w:rPr>
          <w:color w:val="333333"/>
          <w:spacing w:val="-23"/>
          <w:w w:val="110"/>
        </w:rPr>
        <w:t xml:space="preserve"> </w:t>
      </w:r>
      <w:r>
        <w:rPr>
          <w:color w:val="333333"/>
          <w:w w:val="110"/>
        </w:rPr>
        <w:t>based</w:t>
      </w:r>
      <w:r>
        <w:rPr>
          <w:color w:val="333333"/>
          <w:spacing w:val="-24"/>
          <w:w w:val="110"/>
        </w:rPr>
        <w:t xml:space="preserve"> </w:t>
      </w:r>
      <w:r>
        <w:rPr>
          <w:color w:val="333333"/>
          <w:w w:val="110"/>
        </w:rPr>
        <w:t xml:space="preserve">on the presence or absence of specific beans. </w:t>
      </w:r>
      <w:r>
        <w:rPr>
          <w:color w:val="333333"/>
          <w:spacing w:val="-6"/>
          <w:w w:val="110"/>
        </w:rPr>
        <w:t xml:space="preserve">You </w:t>
      </w:r>
      <w:r>
        <w:rPr>
          <w:color w:val="333333"/>
          <w:w w:val="110"/>
        </w:rPr>
        <w:t xml:space="preserve">can use the </w:t>
      </w:r>
      <w:r>
        <w:rPr>
          <w:rFonts w:ascii="MS Gothic"/>
          <w:color w:val="B02045"/>
          <w:w w:val="110"/>
        </w:rPr>
        <w:t xml:space="preserve">value </w:t>
      </w:r>
      <w:r>
        <w:rPr>
          <w:color w:val="333333"/>
          <w:w w:val="110"/>
        </w:rPr>
        <w:t xml:space="preserve">attribute to specify beans </w:t>
      </w:r>
      <w:r>
        <w:rPr>
          <w:color w:val="333333"/>
          <w:spacing w:val="-3"/>
          <w:w w:val="110"/>
        </w:rPr>
        <w:t xml:space="preserve">by </w:t>
      </w:r>
      <w:proofErr w:type="gramStart"/>
      <w:r>
        <w:rPr>
          <w:color w:val="333333"/>
          <w:w w:val="110"/>
        </w:rPr>
        <w:t>type  or</w:t>
      </w:r>
      <w:proofErr w:type="gramEnd"/>
      <w:r>
        <w:rPr>
          <w:color w:val="333333"/>
          <w:w w:val="110"/>
        </w:rPr>
        <w:t xml:space="preserve"> </w:t>
      </w:r>
      <w:r>
        <w:rPr>
          <w:rFonts w:ascii="MS Gothic"/>
          <w:color w:val="B02045"/>
          <w:w w:val="110"/>
        </w:rPr>
        <w:t xml:space="preserve">name </w:t>
      </w:r>
      <w:r>
        <w:rPr>
          <w:color w:val="333333"/>
          <w:w w:val="110"/>
        </w:rPr>
        <w:t xml:space="preserve">to specify beans </w:t>
      </w:r>
      <w:r>
        <w:rPr>
          <w:color w:val="333333"/>
          <w:spacing w:val="-3"/>
          <w:w w:val="110"/>
        </w:rPr>
        <w:t xml:space="preserve">by </w:t>
      </w:r>
      <w:r>
        <w:rPr>
          <w:color w:val="333333"/>
          <w:w w:val="110"/>
        </w:rPr>
        <w:t xml:space="preserve">name. The </w:t>
      </w:r>
      <w:r>
        <w:rPr>
          <w:rFonts w:ascii="MS Gothic"/>
          <w:color w:val="B02045"/>
          <w:w w:val="110"/>
        </w:rPr>
        <w:t xml:space="preserve">search </w:t>
      </w:r>
      <w:r>
        <w:rPr>
          <w:color w:val="333333"/>
          <w:w w:val="110"/>
        </w:rPr>
        <w:t xml:space="preserve">attribute lets you limit the </w:t>
      </w:r>
      <w:r>
        <w:rPr>
          <w:rFonts w:ascii="MS Gothic"/>
          <w:color w:val="B02045"/>
          <w:w w:val="110"/>
        </w:rPr>
        <w:t xml:space="preserve">ApplicationContext </w:t>
      </w:r>
      <w:r>
        <w:rPr>
          <w:color w:val="333333"/>
          <w:w w:val="110"/>
        </w:rPr>
        <w:t>hierarchy that should be considered when searching for</w:t>
      </w:r>
      <w:r>
        <w:rPr>
          <w:color w:val="333333"/>
          <w:spacing w:val="30"/>
          <w:w w:val="110"/>
        </w:rPr>
        <w:t xml:space="preserve"> </w:t>
      </w:r>
      <w:r>
        <w:rPr>
          <w:color w:val="333333"/>
          <w:w w:val="110"/>
        </w:rPr>
        <w:t>beans.</w:t>
      </w:r>
    </w:p>
    <w:p w14:paraId="12062C83" w14:textId="77777777" w:rsidR="00A720EB" w:rsidRDefault="0030286B">
      <w:pPr>
        <w:pStyle w:val="a3"/>
        <w:spacing w:before="249" w:line="290" w:lineRule="auto"/>
        <w:ind w:left="124" w:right="127"/>
        <w:jc w:val="both"/>
      </w:pPr>
      <w:r>
        <w:rPr>
          <w:color w:val="333333"/>
          <w:w w:val="110"/>
        </w:rPr>
        <w:t xml:space="preserve">When placed on a </w:t>
      </w:r>
      <w:r>
        <w:rPr>
          <w:rFonts w:ascii="MS Gothic"/>
          <w:color w:val="B02045"/>
          <w:w w:val="110"/>
        </w:rPr>
        <w:t xml:space="preserve">@Bean </w:t>
      </w:r>
      <w:r>
        <w:rPr>
          <w:color w:val="333333"/>
          <w:w w:val="110"/>
        </w:rPr>
        <w:t>method, the target type defaults to the return type of the method, as shown in the following example:</w:t>
      </w:r>
    </w:p>
    <w:p w14:paraId="11E664B3" w14:textId="77777777" w:rsidR="00A720EB" w:rsidRDefault="00E10349">
      <w:pPr>
        <w:pStyle w:val="a3"/>
        <w:spacing w:before="7"/>
        <w:rPr>
          <w:sz w:val="14"/>
        </w:rPr>
      </w:pPr>
      <w:r>
        <w:pict w14:anchorId="43F909F7">
          <v:group id="_x0000_s3433" style="position:absolute;margin-left:47.85pt;margin-top:10.55pt;width:499.55pt;height:140.7pt;z-index:-15291904;mso-wrap-distance-left:0;mso-wrap-distance-right:0;mso-position-horizontal-relative:page" coordorigin="957,211" coordsize="9991,2814">
            <v:shape id="_x0000_s3436" style="position:absolute;left:964;top:218;width:9976;height:2799" coordorigin="965,218" coordsize="9976,2799" path="m10861,218r-9816,l1014,225r-26,17l971,267r-6,31l965,2937r6,31l988,2993r26,18l1045,3017r9816,l10892,3011r25,-18l10935,2968r6,-31l10941,298r-6,-31l10917,242r-25,-17l10861,218xe" fillcolor="#f5f5f5" stroked="f">
              <v:path arrowok="t"/>
            </v:shape>
            <v:shape id="_x0000_s3435" style="position:absolute;left:964;top:218;width:9976;height:2799" coordorigin="965,218" coordsize="9976,2799" path="m1045,218r9816,l10892,225r25,17l10935,267r6,31l10941,2937r-6,31l10917,2993r-25,18l10861,3017r-9816,l1014,3011r-26,-18l971,2968r-6,-31l965,298r6,-31l988,242r26,-17l1045,218xe" filled="f" strokecolor="#ccc">
              <v:path arrowok="t"/>
            </v:shape>
            <v:shape id="_x0000_s3434" type="#_x0000_t202" style="position:absolute;left:984;top:233;width:9938;height:2768" filled="f" stroked="f">
              <v:textbox inset="0,0,0,0">
                <w:txbxContent>
                  <w:p w14:paraId="6EBBA192" w14:textId="77777777" w:rsidR="00711A16" w:rsidRDefault="00711A16">
                    <w:pPr>
                      <w:spacing w:before="221"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public class MyAutoConfiguration {</w:t>
                    </w:r>
                  </w:p>
                  <w:p w14:paraId="2F32406C" w14:textId="77777777" w:rsidR="00711A16" w:rsidRDefault="00711A16">
                    <w:pPr>
                      <w:spacing w:before="10"/>
                      <w:rPr>
                        <w:rFonts w:ascii="MS Gothic"/>
                      </w:rPr>
                    </w:pPr>
                  </w:p>
                  <w:p w14:paraId="35DE35BE" w14:textId="77777777" w:rsidR="00711A16" w:rsidRDefault="00711A16">
                    <w:pPr>
                      <w:spacing w:line="252" w:lineRule="auto"/>
                      <w:ind w:left="640" w:right="6528"/>
                      <w:rPr>
                        <w:rFonts w:ascii="MS Gothic"/>
                      </w:rPr>
                    </w:pPr>
                    <w:r>
                      <w:rPr>
                        <w:rFonts w:ascii="MS Gothic"/>
                        <w:color w:val="333333"/>
                      </w:rPr>
                      <w:t>@Bean @ConditionalOnMissingBean</w:t>
                    </w:r>
                  </w:p>
                  <w:p w14:paraId="28C090F1" w14:textId="77777777" w:rsidR="00711A16" w:rsidRDefault="00711A16">
                    <w:pPr>
                      <w:spacing w:line="280" w:lineRule="exact"/>
                      <w:ind w:left="640"/>
                      <w:rPr>
                        <w:rFonts w:ascii="MS Gothic"/>
                      </w:rPr>
                    </w:pPr>
                    <w:r>
                      <w:rPr>
                        <w:rFonts w:ascii="MS Gothic"/>
                        <w:color w:val="333333"/>
                      </w:rPr>
                      <w:t xml:space="preserve">public MyService </w:t>
                    </w:r>
                    <w:proofErr w:type="gramStart"/>
                    <w:r>
                      <w:rPr>
                        <w:rFonts w:ascii="MS Gothic"/>
                        <w:color w:val="333333"/>
                      </w:rPr>
                      <w:t>myService(</w:t>
                    </w:r>
                    <w:proofErr w:type="gramEnd"/>
                    <w:r>
                      <w:rPr>
                        <w:rFonts w:ascii="MS Gothic"/>
                        <w:color w:val="333333"/>
                      </w:rPr>
                      <w:t>) { ... }</w:t>
                    </w:r>
                  </w:p>
                  <w:p w14:paraId="7E853BFF" w14:textId="77777777" w:rsidR="00711A16" w:rsidRDefault="00711A16">
                    <w:pPr>
                      <w:rPr>
                        <w:rFonts w:ascii="MS Gothic"/>
                        <w:sz w:val="24"/>
                      </w:rPr>
                    </w:pPr>
                  </w:p>
                  <w:p w14:paraId="585BACA8"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4EB1E8F7" w14:textId="77777777" w:rsidR="00A720EB" w:rsidRDefault="00A720EB">
      <w:pPr>
        <w:pStyle w:val="a3"/>
        <w:spacing w:before="11"/>
        <w:rPr>
          <w:sz w:val="9"/>
        </w:rPr>
      </w:pPr>
    </w:p>
    <w:p w14:paraId="1A431F94" w14:textId="77777777" w:rsidR="00A720EB" w:rsidRDefault="0030286B">
      <w:pPr>
        <w:pStyle w:val="a3"/>
        <w:spacing w:before="115" w:line="280" w:lineRule="auto"/>
        <w:ind w:left="124"/>
      </w:pPr>
      <w:r>
        <w:rPr>
          <w:color w:val="333333"/>
          <w:w w:val="110"/>
        </w:rPr>
        <w:t xml:space="preserve">In the preceding example, the </w:t>
      </w:r>
      <w:r>
        <w:rPr>
          <w:rFonts w:ascii="MS Gothic"/>
          <w:color w:val="B02045"/>
          <w:w w:val="110"/>
        </w:rPr>
        <w:t xml:space="preserve">myService </w:t>
      </w:r>
      <w:r>
        <w:rPr>
          <w:color w:val="333333"/>
          <w:w w:val="110"/>
        </w:rPr>
        <w:t xml:space="preserve">bean is going to be created if no bean of type </w:t>
      </w:r>
      <w:r>
        <w:rPr>
          <w:rFonts w:ascii="MS Gothic"/>
          <w:color w:val="B02045"/>
          <w:w w:val="110"/>
        </w:rPr>
        <w:t xml:space="preserve">MyService </w:t>
      </w:r>
      <w:r>
        <w:rPr>
          <w:color w:val="333333"/>
          <w:w w:val="110"/>
        </w:rPr>
        <w:t xml:space="preserve">is already contained in the </w:t>
      </w:r>
      <w:r>
        <w:rPr>
          <w:rFonts w:ascii="MS Gothic"/>
          <w:color w:val="B02045"/>
          <w:w w:val="110"/>
        </w:rPr>
        <w:t>ApplicationContext</w:t>
      </w:r>
      <w:r>
        <w:rPr>
          <w:color w:val="333333"/>
          <w:w w:val="110"/>
        </w:rPr>
        <w:t>.</w:t>
      </w:r>
    </w:p>
    <w:p w14:paraId="1C1F2E0F" w14:textId="77777777" w:rsidR="00A720EB" w:rsidRDefault="00A720EB">
      <w:pPr>
        <w:spacing w:line="280" w:lineRule="auto"/>
        <w:sectPr w:rsidR="00A720EB">
          <w:pgSz w:w="11910" w:h="16840"/>
          <w:pgMar w:top="700" w:right="840" w:bottom="520" w:left="840" w:header="0" w:footer="323" w:gutter="0"/>
          <w:cols w:space="720"/>
        </w:sectPr>
      </w:pPr>
    </w:p>
    <w:p w14:paraId="7336BF40" w14:textId="77777777" w:rsidR="00A720EB" w:rsidRDefault="00E10349">
      <w:pPr>
        <w:pStyle w:val="a3"/>
        <w:spacing w:before="122" w:line="295" w:lineRule="auto"/>
        <w:ind w:left="1564" w:right="363"/>
        <w:jc w:val="both"/>
      </w:pPr>
      <w:r>
        <w:lastRenderedPageBreak/>
        <w:pict w14:anchorId="44002F9B">
          <v:line id="_x0000_s3432" style="position:absolute;left:0;text-align:left;z-index:16166912;mso-position-horizontal-relative:page" from="108.25pt,.1pt" to="108.25pt,87pt" strokecolor="#ededed" strokeweight=".5pt">
            <w10:wrap anchorx="page"/>
          </v:line>
        </w:pict>
      </w:r>
      <w:r w:rsidR="0030286B">
        <w:rPr>
          <w:noProof/>
        </w:rPr>
        <w:drawing>
          <wp:anchor distT="0" distB="0" distL="0" distR="0" simplePos="0" relativeHeight="16167424" behindDoc="0" locked="0" layoutInCell="1" allowOverlap="1" wp14:anchorId="562F3635" wp14:editId="6C3F747B">
            <wp:simplePos x="0" y="0"/>
            <wp:positionH relativeFrom="page">
              <wp:posOffset>888949</wp:posOffset>
            </wp:positionH>
            <wp:positionV relativeFrom="paragraph">
              <wp:posOffset>400851</wp:posOffset>
            </wp:positionV>
            <wp:extent cx="209550" cy="304800"/>
            <wp:effectExtent l="0" t="0" r="0" b="0"/>
            <wp:wrapNone/>
            <wp:docPr id="5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26.png"/>
                    <pic:cNvPicPr/>
                  </pic:nvPicPr>
                  <pic:blipFill>
                    <a:blip r:embed="rId31" cstate="print"/>
                    <a:stretch>
                      <a:fillRect/>
                    </a:stretch>
                  </pic:blipFill>
                  <pic:spPr>
                    <a:xfrm>
                      <a:off x="0" y="0"/>
                      <a:ext cx="209550" cy="304800"/>
                    </a:xfrm>
                    <a:prstGeom prst="rect">
                      <a:avLst/>
                    </a:prstGeom>
                  </pic:spPr>
                </pic:pic>
              </a:graphicData>
            </a:graphic>
          </wp:anchor>
        </w:drawing>
      </w:r>
      <w:proofErr w:type="gramStart"/>
      <w:r w:rsidR="0030286B">
        <w:rPr>
          <w:color w:val="333333"/>
          <w:spacing w:val="-6"/>
          <w:w w:val="110"/>
        </w:rPr>
        <w:t xml:space="preserve">You  </w:t>
      </w:r>
      <w:r w:rsidR="0030286B">
        <w:rPr>
          <w:color w:val="333333"/>
          <w:w w:val="110"/>
        </w:rPr>
        <w:t>need</w:t>
      </w:r>
      <w:proofErr w:type="gramEnd"/>
      <w:r w:rsidR="0030286B">
        <w:rPr>
          <w:color w:val="333333"/>
          <w:w w:val="110"/>
        </w:rPr>
        <w:t xml:space="preserve"> to be very careful about the order in which bean definitions are added,    as these conditions are evaluated based on what has been processed so far. </w:t>
      </w:r>
      <w:r w:rsidR="0030286B">
        <w:rPr>
          <w:color w:val="333333"/>
          <w:spacing w:val="-4"/>
          <w:w w:val="110"/>
        </w:rPr>
        <w:t xml:space="preserve">For    </w:t>
      </w:r>
      <w:r w:rsidR="0030286B">
        <w:rPr>
          <w:color w:val="333333"/>
          <w:w w:val="110"/>
        </w:rPr>
        <w:t xml:space="preserve">this reason, we recommend using only </w:t>
      </w:r>
      <w:r w:rsidR="0030286B">
        <w:rPr>
          <w:rFonts w:ascii="MS Gothic"/>
          <w:color w:val="B02045"/>
          <w:w w:val="110"/>
        </w:rPr>
        <w:t xml:space="preserve">@ConditionalOnBean </w:t>
      </w:r>
      <w:r w:rsidR="0030286B">
        <w:rPr>
          <w:color w:val="333333"/>
          <w:w w:val="110"/>
        </w:rPr>
        <w:t xml:space="preserve">and </w:t>
      </w:r>
      <w:r w:rsidR="0030286B">
        <w:rPr>
          <w:rFonts w:ascii="MS Gothic"/>
          <w:color w:val="B02045"/>
          <w:w w:val="110"/>
        </w:rPr>
        <w:t>@ConditionalOnMissingBean</w:t>
      </w:r>
      <w:r w:rsidR="0030286B">
        <w:rPr>
          <w:rFonts w:ascii="MS Gothic"/>
          <w:color w:val="B02045"/>
          <w:spacing w:val="-74"/>
          <w:w w:val="110"/>
        </w:rPr>
        <w:t xml:space="preserve"> </w:t>
      </w:r>
      <w:r w:rsidR="0030286B">
        <w:rPr>
          <w:color w:val="333333"/>
          <w:w w:val="110"/>
        </w:rPr>
        <w:t>annotations on auto-configuration classes (since these are</w:t>
      </w:r>
      <w:r w:rsidR="0030286B">
        <w:rPr>
          <w:color w:val="333333"/>
          <w:spacing w:val="6"/>
          <w:w w:val="110"/>
        </w:rPr>
        <w:t xml:space="preserve"> </w:t>
      </w:r>
      <w:r w:rsidR="0030286B">
        <w:rPr>
          <w:color w:val="333333"/>
          <w:w w:val="110"/>
        </w:rPr>
        <w:t>guaranteed</w:t>
      </w:r>
      <w:r w:rsidR="0030286B">
        <w:rPr>
          <w:color w:val="333333"/>
          <w:spacing w:val="6"/>
          <w:w w:val="110"/>
        </w:rPr>
        <w:t xml:space="preserve"> </w:t>
      </w:r>
      <w:r w:rsidR="0030286B">
        <w:rPr>
          <w:color w:val="333333"/>
          <w:w w:val="110"/>
        </w:rPr>
        <w:t>to</w:t>
      </w:r>
      <w:r w:rsidR="0030286B">
        <w:rPr>
          <w:color w:val="333333"/>
          <w:spacing w:val="7"/>
          <w:w w:val="110"/>
        </w:rPr>
        <w:t xml:space="preserve"> </w:t>
      </w:r>
      <w:r w:rsidR="0030286B">
        <w:rPr>
          <w:color w:val="333333"/>
          <w:w w:val="110"/>
        </w:rPr>
        <w:t>load</w:t>
      </w:r>
      <w:r w:rsidR="0030286B">
        <w:rPr>
          <w:color w:val="333333"/>
          <w:spacing w:val="7"/>
          <w:w w:val="110"/>
        </w:rPr>
        <w:t xml:space="preserve"> </w:t>
      </w:r>
      <w:r w:rsidR="0030286B">
        <w:rPr>
          <w:color w:val="333333"/>
          <w:w w:val="110"/>
        </w:rPr>
        <w:t>after</w:t>
      </w:r>
      <w:r w:rsidR="0030286B">
        <w:rPr>
          <w:color w:val="333333"/>
          <w:spacing w:val="6"/>
          <w:w w:val="110"/>
        </w:rPr>
        <w:t xml:space="preserve"> </w:t>
      </w:r>
      <w:r w:rsidR="0030286B">
        <w:rPr>
          <w:color w:val="333333"/>
          <w:w w:val="110"/>
        </w:rPr>
        <w:t>any</w:t>
      </w:r>
      <w:r w:rsidR="0030286B">
        <w:rPr>
          <w:color w:val="333333"/>
          <w:spacing w:val="6"/>
          <w:w w:val="110"/>
        </w:rPr>
        <w:t xml:space="preserve"> </w:t>
      </w:r>
      <w:r w:rsidR="0030286B">
        <w:rPr>
          <w:color w:val="333333"/>
          <w:w w:val="110"/>
        </w:rPr>
        <w:t>user-defined</w:t>
      </w:r>
      <w:r w:rsidR="0030286B">
        <w:rPr>
          <w:color w:val="333333"/>
          <w:spacing w:val="6"/>
          <w:w w:val="110"/>
        </w:rPr>
        <w:t xml:space="preserve"> </w:t>
      </w:r>
      <w:r w:rsidR="0030286B">
        <w:rPr>
          <w:color w:val="333333"/>
          <w:w w:val="110"/>
        </w:rPr>
        <w:t>bean</w:t>
      </w:r>
      <w:r w:rsidR="0030286B">
        <w:rPr>
          <w:color w:val="333333"/>
          <w:spacing w:val="6"/>
          <w:w w:val="110"/>
        </w:rPr>
        <w:t xml:space="preserve"> </w:t>
      </w:r>
      <w:r w:rsidR="0030286B">
        <w:rPr>
          <w:color w:val="333333"/>
          <w:w w:val="110"/>
        </w:rPr>
        <w:t>definitions</w:t>
      </w:r>
      <w:r w:rsidR="0030286B">
        <w:rPr>
          <w:color w:val="333333"/>
          <w:spacing w:val="6"/>
          <w:w w:val="110"/>
        </w:rPr>
        <w:t xml:space="preserve"> </w:t>
      </w:r>
      <w:r w:rsidR="0030286B">
        <w:rPr>
          <w:color w:val="333333"/>
          <w:w w:val="110"/>
        </w:rPr>
        <w:t>have</w:t>
      </w:r>
      <w:r w:rsidR="0030286B">
        <w:rPr>
          <w:color w:val="333333"/>
          <w:spacing w:val="6"/>
          <w:w w:val="110"/>
        </w:rPr>
        <w:t xml:space="preserve"> </w:t>
      </w:r>
      <w:r w:rsidR="0030286B">
        <w:rPr>
          <w:color w:val="333333"/>
          <w:w w:val="110"/>
        </w:rPr>
        <w:t>been</w:t>
      </w:r>
      <w:r w:rsidR="0030286B">
        <w:rPr>
          <w:color w:val="333333"/>
          <w:spacing w:val="6"/>
          <w:w w:val="110"/>
        </w:rPr>
        <w:t xml:space="preserve"> </w:t>
      </w:r>
      <w:r w:rsidR="0030286B">
        <w:rPr>
          <w:color w:val="333333"/>
          <w:w w:val="110"/>
        </w:rPr>
        <w:t>added).</w:t>
      </w:r>
    </w:p>
    <w:p w14:paraId="1653F73C" w14:textId="77777777" w:rsidR="00A720EB" w:rsidRDefault="00A720EB">
      <w:pPr>
        <w:pStyle w:val="a3"/>
        <w:rPr>
          <w:sz w:val="24"/>
        </w:rPr>
      </w:pPr>
    </w:p>
    <w:p w14:paraId="2E406B60" w14:textId="77777777" w:rsidR="00A720EB" w:rsidRDefault="00E10349">
      <w:pPr>
        <w:pStyle w:val="a3"/>
        <w:spacing w:before="115" w:line="290" w:lineRule="auto"/>
        <w:ind w:left="1564" w:right="362"/>
        <w:jc w:val="both"/>
      </w:pPr>
      <w:r>
        <w:pict w14:anchorId="59647BBB">
          <v:line id="_x0000_s3431" style="position:absolute;left:0;text-align:left;z-index:16167936;mso-position-horizontal-relative:page" from="108.25pt,.3pt" to="108.25pt,87.2pt" strokecolor="#ededed" strokeweight=".5pt">
            <w10:wrap anchorx="page"/>
          </v:line>
        </w:pict>
      </w:r>
      <w:r w:rsidR="0030286B">
        <w:rPr>
          <w:noProof/>
        </w:rPr>
        <w:drawing>
          <wp:anchor distT="0" distB="0" distL="0" distR="0" simplePos="0" relativeHeight="16168448" behindDoc="0" locked="0" layoutInCell="1" allowOverlap="1" wp14:anchorId="7EEBA83F" wp14:editId="31A267A2">
            <wp:simplePos x="0" y="0"/>
            <wp:positionH relativeFrom="page">
              <wp:posOffset>844422</wp:posOffset>
            </wp:positionH>
            <wp:positionV relativeFrom="paragraph">
              <wp:posOffset>406222</wp:posOffset>
            </wp:positionV>
            <wp:extent cx="298450" cy="298450"/>
            <wp:effectExtent l="0" t="0" r="0" b="0"/>
            <wp:wrapNone/>
            <wp:docPr id="5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w w:val="105"/>
        </w:rPr>
        <w:t xml:space="preserve">@ConditionalOnBean </w:t>
      </w:r>
      <w:r w:rsidR="0030286B">
        <w:rPr>
          <w:color w:val="333333"/>
          <w:w w:val="105"/>
        </w:rPr>
        <w:t xml:space="preserve">and </w:t>
      </w:r>
      <w:r w:rsidR="0030286B">
        <w:rPr>
          <w:rFonts w:ascii="MS Gothic"/>
          <w:color w:val="B02045"/>
          <w:w w:val="105"/>
        </w:rPr>
        <w:t>@ConditionalOnMissingBean</w:t>
      </w:r>
      <w:r w:rsidR="0030286B">
        <w:rPr>
          <w:rFonts w:ascii="MS Gothic"/>
          <w:color w:val="B02045"/>
          <w:spacing w:val="-51"/>
          <w:w w:val="105"/>
        </w:rPr>
        <w:t xml:space="preserve"> </w:t>
      </w:r>
      <w:r w:rsidR="0030286B">
        <w:rPr>
          <w:color w:val="333333"/>
          <w:w w:val="105"/>
        </w:rPr>
        <w:t xml:space="preserve">do not prevent </w:t>
      </w:r>
      <w:r w:rsidR="0030286B">
        <w:rPr>
          <w:rFonts w:ascii="MS Gothic"/>
          <w:color w:val="B02045"/>
          <w:w w:val="105"/>
        </w:rPr>
        <w:t xml:space="preserve">@Configuration </w:t>
      </w:r>
      <w:r w:rsidR="0030286B">
        <w:rPr>
          <w:color w:val="333333"/>
          <w:w w:val="110"/>
        </w:rPr>
        <w:t xml:space="preserve">classes from being created. The only difference between using these conditions at the class level and marking each contained </w:t>
      </w:r>
      <w:r w:rsidR="0030286B">
        <w:rPr>
          <w:rFonts w:ascii="MS Gothic"/>
          <w:color w:val="B02045"/>
          <w:w w:val="110"/>
        </w:rPr>
        <w:t xml:space="preserve">@Bean </w:t>
      </w:r>
      <w:r w:rsidR="0030286B">
        <w:rPr>
          <w:color w:val="333333"/>
          <w:w w:val="110"/>
        </w:rPr>
        <w:t xml:space="preserve">method with the annotation </w:t>
      </w:r>
      <w:proofErr w:type="gramStart"/>
      <w:r w:rsidR="0030286B">
        <w:rPr>
          <w:color w:val="333333"/>
          <w:w w:val="110"/>
        </w:rPr>
        <w:t>is  that</w:t>
      </w:r>
      <w:proofErr w:type="gramEnd"/>
      <w:r w:rsidR="0030286B">
        <w:rPr>
          <w:color w:val="333333"/>
          <w:w w:val="110"/>
        </w:rPr>
        <w:t xml:space="preserve"> the former prevents registration of the </w:t>
      </w:r>
      <w:r w:rsidR="0030286B">
        <w:rPr>
          <w:rFonts w:ascii="MS Gothic"/>
          <w:color w:val="B02045"/>
          <w:w w:val="110"/>
        </w:rPr>
        <w:t xml:space="preserve">@Configuration </w:t>
      </w:r>
      <w:r w:rsidR="0030286B">
        <w:rPr>
          <w:color w:val="333333"/>
          <w:w w:val="110"/>
        </w:rPr>
        <w:t>class as a bean if the condition does not match.</w:t>
      </w:r>
    </w:p>
    <w:p w14:paraId="78640CA6" w14:textId="77777777" w:rsidR="00A720EB" w:rsidRDefault="00A720EB">
      <w:pPr>
        <w:pStyle w:val="a3"/>
        <w:spacing w:before="11"/>
        <w:rPr>
          <w:sz w:val="24"/>
        </w:rPr>
      </w:pPr>
    </w:p>
    <w:p w14:paraId="31464726" w14:textId="77777777" w:rsidR="00A720EB" w:rsidRDefault="0030286B">
      <w:pPr>
        <w:pStyle w:val="4"/>
        <w:spacing w:before="104"/>
        <w:jc w:val="left"/>
      </w:pPr>
      <w:bookmarkStart w:id="509" w:name="Property_Conditions"/>
      <w:bookmarkEnd w:id="509"/>
      <w:r>
        <w:rPr>
          <w:color w:val="333333"/>
          <w:w w:val="110"/>
        </w:rPr>
        <w:t>Property Conditions</w:t>
      </w:r>
    </w:p>
    <w:p w14:paraId="7024469B" w14:textId="77777777" w:rsidR="00A720EB" w:rsidRDefault="0030286B">
      <w:pPr>
        <w:pStyle w:val="a3"/>
        <w:spacing w:before="244" w:line="280" w:lineRule="auto"/>
        <w:ind w:left="124" w:right="125"/>
        <w:jc w:val="both"/>
      </w:pPr>
      <w:r>
        <w:rPr>
          <w:color w:val="333333"/>
          <w:w w:val="110"/>
        </w:rPr>
        <w:t xml:space="preserve">The </w:t>
      </w:r>
      <w:r>
        <w:rPr>
          <w:rFonts w:ascii="MS Gothic"/>
          <w:color w:val="B02045"/>
          <w:w w:val="110"/>
        </w:rPr>
        <w:t xml:space="preserve">@ConditionalOnProperty </w:t>
      </w:r>
      <w:r>
        <w:rPr>
          <w:color w:val="333333"/>
          <w:w w:val="110"/>
        </w:rPr>
        <w:t xml:space="preserve">annotation lets configuration be included based on a Spring Environment </w:t>
      </w:r>
      <w:r>
        <w:rPr>
          <w:color w:val="333333"/>
          <w:spacing w:val="-3"/>
          <w:w w:val="110"/>
        </w:rPr>
        <w:t xml:space="preserve">property. </w:t>
      </w:r>
      <w:r>
        <w:rPr>
          <w:color w:val="333333"/>
          <w:w w:val="110"/>
        </w:rPr>
        <w:t xml:space="preserve">Use the </w:t>
      </w:r>
      <w:r>
        <w:rPr>
          <w:rFonts w:ascii="MS Gothic"/>
          <w:color w:val="B02045"/>
          <w:w w:val="110"/>
        </w:rPr>
        <w:t xml:space="preserve">prefix </w:t>
      </w:r>
      <w:r>
        <w:rPr>
          <w:color w:val="333333"/>
          <w:w w:val="110"/>
        </w:rPr>
        <w:t xml:space="preserve">and </w:t>
      </w:r>
      <w:r>
        <w:rPr>
          <w:rFonts w:ascii="MS Gothic"/>
          <w:color w:val="B02045"/>
          <w:w w:val="110"/>
        </w:rPr>
        <w:t xml:space="preserve">name </w:t>
      </w:r>
      <w:r>
        <w:rPr>
          <w:color w:val="333333"/>
          <w:w w:val="110"/>
        </w:rPr>
        <w:t xml:space="preserve">attributes to specify the property that should be checked. </w:t>
      </w:r>
      <w:r>
        <w:rPr>
          <w:color w:val="333333"/>
          <w:spacing w:val="-3"/>
          <w:w w:val="110"/>
        </w:rPr>
        <w:t xml:space="preserve">By </w:t>
      </w:r>
      <w:r>
        <w:rPr>
          <w:color w:val="333333"/>
          <w:w w:val="110"/>
        </w:rPr>
        <w:t xml:space="preserve">default, any property that exists and is not equal to </w:t>
      </w:r>
      <w:r>
        <w:rPr>
          <w:rFonts w:ascii="MS Gothic"/>
          <w:color w:val="B02045"/>
          <w:w w:val="110"/>
        </w:rPr>
        <w:t xml:space="preserve">false </w:t>
      </w:r>
      <w:r>
        <w:rPr>
          <w:color w:val="333333"/>
          <w:w w:val="110"/>
        </w:rPr>
        <w:t xml:space="preserve">is matched. </w:t>
      </w:r>
      <w:r>
        <w:rPr>
          <w:color w:val="333333"/>
          <w:spacing w:val="-6"/>
          <w:w w:val="110"/>
        </w:rPr>
        <w:t xml:space="preserve">You </w:t>
      </w:r>
      <w:r>
        <w:rPr>
          <w:color w:val="333333"/>
          <w:w w:val="110"/>
        </w:rPr>
        <w:t xml:space="preserve">can </w:t>
      </w:r>
      <w:proofErr w:type="gramStart"/>
      <w:r>
        <w:rPr>
          <w:color w:val="333333"/>
          <w:w w:val="110"/>
        </w:rPr>
        <w:t>also  create</w:t>
      </w:r>
      <w:proofErr w:type="gramEnd"/>
      <w:r>
        <w:rPr>
          <w:color w:val="333333"/>
          <w:spacing w:val="-3"/>
          <w:w w:val="110"/>
        </w:rPr>
        <w:t xml:space="preserve"> </w:t>
      </w:r>
      <w:r>
        <w:rPr>
          <w:color w:val="333333"/>
          <w:w w:val="110"/>
        </w:rPr>
        <w:t>more</w:t>
      </w:r>
      <w:r>
        <w:rPr>
          <w:color w:val="333333"/>
          <w:spacing w:val="-3"/>
          <w:w w:val="110"/>
        </w:rPr>
        <w:t xml:space="preserve"> </w:t>
      </w:r>
      <w:r>
        <w:rPr>
          <w:color w:val="333333"/>
          <w:w w:val="110"/>
        </w:rPr>
        <w:t>advanced</w:t>
      </w:r>
      <w:r>
        <w:rPr>
          <w:color w:val="333333"/>
          <w:spacing w:val="-3"/>
          <w:w w:val="110"/>
        </w:rPr>
        <w:t xml:space="preserve"> </w:t>
      </w:r>
      <w:r>
        <w:rPr>
          <w:color w:val="333333"/>
          <w:w w:val="110"/>
        </w:rPr>
        <w:t>checks</w:t>
      </w:r>
      <w:r>
        <w:rPr>
          <w:color w:val="333333"/>
          <w:spacing w:val="-3"/>
          <w:w w:val="110"/>
        </w:rPr>
        <w:t xml:space="preserve"> by </w:t>
      </w:r>
      <w:r>
        <w:rPr>
          <w:color w:val="333333"/>
          <w:w w:val="110"/>
        </w:rPr>
        <w:t>using</w:t>
      </w:r>
      <w:r>
        <w:rPr>
          <w:color w:val="333333"/>
          <w:spacing w:val="-3"/>
          <w:w w:val="110"/>
        </w:rPr>
        <w:t xml:space="preserve"> </w:t>
      </w:r>
      <w:r>
        <w:rPr>
          <w:color w:val="333333"/>
          <w:w w:val="110"/>
        </w:rPr>
        <w:t>the</w:t>
      </w:r>
      <w:r>
        <w:rPr>
          <w:color w:val="333333"/>
          <w:spacing w:val="2"/>
          <w:w w:val="110"/>
        </w:rPr>
        <w:t xml:space="preserve"> </w:t>
      </w:r>
      <w:r>
        <w:rPr>
          <w:rFonts w:ascii="MS Gothic"/>
          <w:color w:val="B02045"/>
          <w:w w:val="110"/>
        </w:rPr>
        <w:t>havingValue</w:t>
      </w:r>
      <w:r>
        <w:rPr>
          <w:rFonts w:ascii="MS Gothic"/>
          <w:color w:val="B02045"/>
          <w:spacing w:val="-67"/>
          <w:w w:val="110"/>
        </w:rPr>
        <w:t xml:space="preserve"> </w:t>
      </w:r>
      <w:r>
        <w:rPr>
          <w:color w:val="333333"/>
          <w:w w:val="110"/>
        </w:rPr>
        <w:t>and</w:t>
      </w:r>
      <w:r>
        <w:rPr>
          <w:color w:val="333333"/>
          <w:spacing w:val="-2"/>
          <w:w w:val="110"/>
        </w:rPr>
        <w:t xml:space="preserve"> </w:t>
      </w:r>
      <w:r>
        <w:rPr>
          <w:rFonts w:ascii="MS Gothic"/>
          <w:color w:val="B02045"/>
          <w:w w:val="110"/>
        </w:rPr>
        <w:t>matchIfMissing</w:t>
      </w:r>
      <w:r>
        <w:rPr>
          <w:rFonts w:ascii="MS Gothic"/>
          <w:color w:val="B02045"/>
          <w:spacing w:val="-68"/>
          <w:w w:val="110"/>
        </w:rPr>
        <w:t xml:space="preserve"> </w:t>
      </w:r>
      <w:r>
        <w:rPr>
          <w:color w:val="333333"/>
          <w:w w:val="110"/>
        </w:rPr>
        <w:t>attributes.</w:t>
      </w:r>
    </w:p>
    <w:p w14:paraId="3AB5A54A" w14:textId="77777777" w:rsidR="00A720EB" w:rsidRDefault="00A720EB">
      <w:pPr>
        <w:pStyle w:val="a3"/>
        <w:spacing w:before="9"/>
        <w:rPr>
          <w:sz w:val="26"/>
        </w:rPr>
      </w:pPr>
    </w:p>
    <w:p w14:paraId="6592E0D2" w14:textId="77777777" w:rsidR="00A720EB" w:rsidRDefault="0030286B">
      <w:pPr>
        <w:pStyle w:val="4"/>
        <w:jc w:val="left"/>
      </w:pPr>
      <w:bookmarkStart w:id="510" w:name="Resource_Conditions"/>
      <w:bookmarkEnd w:id="510"/>
      <w:r>
        <w:rPr>
          <w:color w:val="333333"/>
          <w:w w:val="110"/>
        </w:rPr>
        <w:t>Resource Conditions</w:t>
      </w:r>
    </w:p>
    <w:p w14:paraId="4EC7C96E" w14:textId="77777777" w:rsidR="00A720EB" w:rsidRDefault="0030286B">
      <w:pPr>
        <w:pStyle w:val="a3"/>
        <w:spacing w:before="244" w:line="295" w:lineRule="auto"/>
        <w:ind w:left="124" w:right="131"/>
        <w:jc w:val="both"/>
      </w:pPr>
      <w:r>
        <w:rPr>
          <w:color w:val="333333"/>
          <w:w w:val="110"/>
        </w:rPr>
        <w:t>The</w:t>
      </w:r>
      <w:r>
        <w:rPr>
          <w:color w:val="333333"/>
          <w:spacing w:val="-9"/>
          <w:w w:val="110"/>
        </w:rPr>
        <w:t xml:space="preserve"> </w:t>
      </w:r>
      <w:r>
        <w:rPr>
          <w:rFonts w:ascii="MS Gothic"/>
          <w:color w:val="B02045"/>
          <w:w w:val="110"/>
        </w:rPr>
        <w:t>@ConditionalOnResource</w:t>
      </w:r>
      <w:r>
        <w:rPr>
          <w:rFonts w:ascii="MS Gothic"/>
          <w:color w:val="B02045"/>
          <w:spacing w:val="-74"/>
          <w:w w:val="110"/>
        </w:rPr>
        <w:t xml:space="preserve"> </w:t>
      </w:r>
      <w:r>
        <w:rPr>
          <w:color w:val="333333"/>
          <w:w w:val="110"/>
        </w:rPr>
        <w:t>annotation</w:t>
      </w:r>
      <w:r>
        <w:rPr>
          <w:color w:val="333333"/>
          <w:spacing w:val="-10"/>
          <w:w w:val="110"/>
        </w:rPr>
        <w:t xml:space="preserve"> </w:t>
      </w:r>
      <w:r>
        <w:rPr>
          <w:color w:val="333333"/>
          <w:w w:val="110"/>
        </w:rPr>
        <w:t>lets</w:t>
      </w:r>
      <w:r>
        <w:rPr>
          <w:color w:val="333333"/>
          <w:spacing w:val="-9"/>
          <w:w w:val="110"/>
        </w:rPr>
        <w:t xml:space="preserve"> </w:t>
      </w:r>
      <w:r>
        <w:rPr>
          <w:color w:val="333333"/>
          <w:w w:val="110"/>
        </w:rPr>
        <w:t>configuration</w:t>
      </w:r>
      <w:r>
        <w:rPr>
          <w:color w:val="333333"/>
          <w:spacing w:val="-10"/>
          <w:w w:val="110"/>
        </w:rPr>
        <w:t xml:space="preserve"> </w:t>
      </w:r>
      <w:r>
        <w:rPr>
          <w:color w:val="333333"/>
          <w:w w:val="110"/>
        </w:rPr>
        <w:t>be</w:t>
      </w:r>
      <w:r>
        <w:rPr>
          <w:color w:val="333333"/>
          <w:spacing w:val="-9"/>
          <w:w w:val="110"/>
        </w:rPr>
        <w:t xml:space="preserve"> </w:t>
      </w:r>
      <w:r>
        <w:rPr>
          <w:color w:val="333333"/>
          <w:w w:val="110"/>
        </w:rPr>
        <w:t>included</w:t>
      </w:r>
      <w:r>
        <w:rPr>
          <w:color w:val="333333"/>
          <w:spacing w:val="-10"/>
          <w:w w:val="110"/>
        </w:rPr>
        <w:t xml:space="preserve"> </w:t>
      </w:r>
      <w:r>
        <w:rPr>
          <w:color w:val="333333"/>
          <w:w w:val="110"/>
        </w:rPr>
        <w:t>only</w:t>
      </w:r>
      <w:r>
        <w:rPr>
          <w:color w:val="333333"/>
          <w:spacing w:val="-9"/>
          <w:w w:val="110"/>
        </w:rPr>
        <w:t xml:space="preserve"> </w:t>
      </w:r>
      <w:r>
        <w:rPr>
          <w:color w:val="333333"/>
          <w:w w:val="110"/>
        </w:rPr>
        <w:t>when</w:t>
      </w:r>
      <w:r>
        <w:rPr>
          <w:color w:val="333333"/>
          <w:spacing w:val="-10"/>
          <w:w w:val="110"/>
        </w:rPr>
        <w:t xml:space="preserve"> </w:t>
      </w:r>
      <w:r>
        <w:rPr>
          <w:color w:val="333333"/>
          <w:w w:val="110"/>
        </w:rPr>
        <w:t>a</w:t>
      </w:r>
      <w:r>
        <w:rPr>
          <w:color w:val="333333"/>
          <w:spacing w:val="-9"/>
          <w:w w:val="110"/>
        </w:rPr>
        <w:t xml:space="preserve"> </w:t>
      </w:r>
      <w:r>
        <w:rPr>
          <w:color w:val="333333"/>
          <w:w w:val="110"/>
        </w:rPr>
        <w:t>specific</w:t>
      </w:r>
      <w:r>
        <w:rPr>
          <w:color w:val="333333"/>
          <w:spacing w:val="-9"/>
          <w:w w:val="110"/>
        </w:rPr>
        <w:t xml:space="preserve"> </w:t>
      </w:r>
      <w:r>
        <w:rPr>
          <w:color w:val="333333"/>
          <w:w w:val="110"/>
        </w:rPr>
        <w:t xml:space="preserve">resource is present. Resources can be specified </w:t>
      </w:r>
      <w:r>
        <w:rPr>
          <w:color w:val="333333"/>
          <w:spacing w:val="-3"/>
          <w:w w:val="110"/>
        </w:rPr>
        <w:t xml:space="preserve">by </w:t>
      </w:r>
      <w:r>
        <w:rPr>
          <w:color w:val="333333"/>
          <w:w w:val="110"/>
        </w:rPr>
        <w:t>using the usual Spring conventions, as shown in the following example:</w:t>
      </w:r>
      <w:r>
        <w:rPr>
          <w:color w:val="333333"/>
          <w:spacing w:val="1"/>
          <w:w w:val="110"/>
        </w:rPr>
        <w:t xml:space="preserve"> </w:t>
      </w:r>
      <w:r>
        <w:rPr>
          <w:rFonts w:ascii="MS Gothic"/>
          <w:color w:val="B02045"/>
          <w:w w:val="110"/>
        </w:rPr>
        <w:t>file:/home/user/test.dat</w:t>
      </w:r>
      <w:r>
        <w:rPr>
          <w:color w:val="333333"/>
          <w:w w:val="110"/>
        </w:rPr>
        <w:t>.</w:t>
      </w:r>
    </w:p>
    <w:p w14:paraId="61876570" w14:textId="77777777" w:rsidR="00A720EB" w:rsidRDefault="00A720EB">
      <w:pPr>
        <w:pStyle w:val="a3"/>
        <w:spacing w:before="11"/>
        <w:rPr>
          <w:sz w:val="24"/>
        </w:rPr>
      </w:pPr>
    </w:p>
    <w:p w14:paraId="224B69C8" w14:textId="77777777" w:rsidR="00A720EB" w:rsidRDefault="0030286B">
      <w:pPr>
        <w:pStyle w:val="4"/>
        <w:jc w:val="left"/>
      </w:pPr>
      <w:bookmarkStart w:id="511" w:name="Web_Application_Conditions"/>
      <w:bookmarkEnd w:id="511"/>
      <w:r>
        <w:rPr>
          <w:color w:val="333333"/>
          <w:w w:val="110"/>
        </w:rPr>
        <w:t>Web Application Conditions</w:t>
      </w:r>
    </w:p>
    <w:p w14:paraId="4225ED4E" w14:textId="77777777" w:rsidR="00A720EB" w:rsidRDefault="0030286B">
      <w:pPr>
        <w:pStyle w:val="a3"/>
        <w:spacing w:before="244" w:line="288" w:lineRule="auto"/>
        <w:ind w:left="124" w:right="122"/>
        <w:jc w:val="both"/>
      </w:pPr>
      <w:r>
        <w:rPr>
          <w:color w:val="333333"/>
          <w:w w:val="110"/>
        </w:rPr>
        <w:t xml:space="preserve">The </w:t>
      </w:r>
      <w:r>
        <w:rPr>
          <w:rFonts w:ascii="MS Gothic" w:hAnsi="MS Gothic"/>
          <w:color w:val="B02045"/>
          <w:w w:val="110"/>
        </w:rPr>
        <w:t xml:space="preserve">@ConditionalOnWebApplication </w:t>
      </w:r>
      <w:r>
        <w:rPr>
          <w:color w:val="333333"/>
          <w:w w:val="110"/>
        </w:rPr>
        <w:t xml:space="preserve">and </w:t>
      </w:r>
      <w:r>
        <w:rPr>
          <w:rFonts w:ascii="MS Gothic" w:hAnsi="MS Gothic"/>
          <w:color w:val="B02045"/>
          <w:w w:val="110"/>
        </w:rPr>
        <w:t xml:space="preserve">@ConditionalOnNotWebApplication </w:t>
      </w:r>
      <w:r>
        <w:rPr>
          <w:color w:val="333333"/>
          <w:w w:val="110"/>
        </w:rPr>
        <w:t>annotations let configuration be included depending on whether the application is a “web application”. A servlet</w:t>
      </w:r>
      <w:proofErr w:type="gramStart"/>
      <w:r>
        <w:rPr>
          <w:color w:val="333333"/>
          <w:w w:val="110"/>
        </w:rPr>
        <w:t>-  based</w:t>
      </w:r>
      <w:proofErr w:type="gramEnd"/>
      <w:r>
        <w:rPr>
          <w:color w:val="333333"/>
          <w:spacing w:val="-12"/>
          <w:w w:val="110"/>
        </w:rPr>
        <w:t xml:space="preserve"> </w:t>
      </w:r>
      <w:r>
        <w:rPr>
          <w:color w:val="333333"/>
          <w:w w:val="110"/>
        </w:rPr>
        <w:t>web</w:t>
      </w:r>
      <w:r>
        <w:rPr>
          <w:color w:val="333333"/>
          <w:spacing w:val="-12"/>
          <w:w w:val="110"/>
        </w:rPr>
        <w:t xml:space="preserve"> </w:t>
      </w:r>
      <w:r>
        <w:rPr>
          <w:color w:val="333333"/>
          <w:w w:val="110"/>
        </w:rPr>
        <w:t>application</w:t>
      </w:r>
      <w:r>
        <w:rPr>
          <w:color w:val="333333"/>
          <w:spacing w:val="-11"/>
          <w:w w:val="110"/>
        </w:rPr>
        <w:t xml:space="preserve"> </w:t>
      </w:r>
      <w:r>
        <w:rPr>
          <w:color w:val="333333"/>
          <w:w w:val="110"/>
        </w:rPr>
        <w:t>is</w:t>
      </w:r>
      <w:r>
        <w:rPr>
          <w:color w:val="333333"/>
          <w:spacing w:val="-12"/>
          <w:w w:val="110"/>
        </w:rPr>
        <w:t xml:space="preserve"> </w:t>
      </w:r>
      <w:r>
        <w:rPr>
          <w:color w:val="333333"/>
          <w:w w:val="110"/>
        </w:rPr>
        <w:t>any</w:t>
      </w:r>
      <w:r>
        <w:rPr>
          <w:color w:val="333333"/>
          <w:spacing w:val="-12"/>
          <w:w w:val="110"/>
        </w:rPr>
        <w:t xml:space="preserve"> </w:t>
      </w:r>
      <w:r>
        <w:rPr>
          <w:color w:val="333333"/>
          <w:w w:val="110"/>
        </w:rPr>
        <w:t>application</w:t>
      </w:r>
      <w:r>
        <w:rPr>
          <w:color w:val="333333"/>
          <w:spacing w:val="-11"/>
          <w:w w:val="110"/>
        </w:rPr>
        <w:t xml:space="preserve"> </w:t>
      </w:r>
      <w:r>
        <w:rPr>
          <w:color w:val="333333"/>
          <w:w w:val="110"/>
        </w:rPr>
        <w:t>that</w:t>
      </w:r>
      <w:r>
        <w:rPr>
          <w:color w:val="333333"/>
          <w:spacing w:val="-12"/>
          <w:w w:val="110"/>
        </w:rPr>
        <w:t xml:space="preserve"> </w:t>
      </w:r>
      <w:r>
        <w:rPr>
          <w:color w:val="333333"/>
          <w:w w:val="110"/>
        </w:rPr>
        <w:t>uses</w:t>
      </w:r>
      <w:r>
        <w:rPr>
          <w:color w:val="333333"/>
          <w:spacing w:val="-11"/>
          <w:w w:val="110"/>
        </w:rPr>
        <w:t xml:space="preserve"> </w:t>
      </w:r>
      <w:r>
        <w:rPr>
          <w:color w:val="333333"/>
          <w:w w:val="110"/>
        </w:rPr>
        <w:t>a</w:t>
      </w:r>
      <w:r>
        <w:rPr>
          <w:color w:val="333333"/>
          <w:spacing w:val="-12"/>
          <w:w w:val="110"/>
        </w:rPr>
        <w:t xml:space="preserve"> </w:t>
      </w:r>
      <w:r>
        <w:rPr>
          <w:color w:val="333333"/>
          <w:w w:val="110"/>
        </w:rPr>
        <w:t>Spring</w:t>
      </w:r>
      <w:r>
        <w:rPr>
          <w:color w:val="333333"/>
          <w:spacing w:val="-3"/>
          <w:w w:val="110"/>
        </w:rPr>
        <w:t xml:space="preserve"> </w:t>
      </w:r>
      <w:r>
        <w:rPr>
          <w:rFonts w:ascii="MS Gothic" w:hAnsi="MS Gothic"/>
          <w:color w:val="B02045"/>
          <w:w w:val="110"/>
        </w:rPr>
        <w:t>WebApplicationContext</w:t>
      </w:r>
      <w:r>
        <w:rPr>
          <w:color w:val="333333"/>
          <w:w w:val="110"/>
        </w:rPr>
        <w:t>,</w:t>
      </w:r>
      <w:r>
        <w:rPr>
          <w:color w:val="333333"/>
          <w:spacing w:val="-12"/>
          <w:w w:val="110"/>
        </w:rPr>
        <w:t xml:space="preserve"> </w:t>
      </w:r>
      <w:r>
        <w:rPr>
          <w:color w:val="333333"/>
          <w:w w:val="110"/>
        </w:rPr>
        <w:t>defines</w:t>
      </w:r>
      <w:r>
        <w:rPr>
          <w:color w:val="333333"/>
          <w:spacing w:val="-12"/>
          <w:w w:val="110"/>
        </w:rPr>
        <w:t xml:space="preserve"> </w:t>
      </w:r>
      <w:r>
        <w:rPr>
          <w:color w:val="333333"/>
          <w:w w:val="110"/>
        </w:rPr>
        <w:t>a</w:t>
      </w:r>
      <w:r>
        <w:rPr>
          <w:color w:val="333333"/>
          <w:spacing w:val="-10"/>
          <w:w w:val="110"/>
        </w:rPr>
        <w:t xml:space="preserve"> </w:t>
      </w:r>
      <w:r>
        <w:rPr>
          <w:rFonts w:ascii="MS Gothic" w:hAnsi="MS Gothic"/>
          <w:color w:val="B02045"/>
          <w:w w:val="110"/>
        </w:rPr>
        <w:t xml:space="preserve">session </w:t>
      </w:r>
      <w:r>
        <w:rPr>
          <w:color w:val="333333"/>
          <w:w w:val="110"/>
        </w:rPr>
        <w:t>scope,</w:t>
      </w:r>
      <w:r>
        <w:rPr>
          <w:color w:val="333333"/>
          <w:spacing w:val="-11"/>
          <w:w w:val="110"/>
        </w:rPr>
        <w:t xml:space="preserve"> </w:t>
      </w:r>
      <w:r>
        <w:rPr>
          <w:color w:val="333333"/>
          <w:w w:val="110"/>
        </w:rPr>
        <w:t>or</w:t>
      </w:r>
      <w:r>
        <w:rPr>
          <w:color w:val="333333"/>
          <w:spacing w:val="-10"/>
          <w:w w:val="110"/>
        </w:rPr>
        <w:t xml:space="preserve"> </w:t>
      </w:r>
      <w:r>
        <w:rPr>
          <w:color w:val="333333"/>
          <w:w w:val="110"/>
        </w:rPr>
        <w:t>has</w:t>
      </w:r>
      <w:r>
        <w:rPr>
          <w:color w:val="333333"/>
          <w:spacing w:val="-10"/>
          <w:w w:val="110"/>
        </w:rPr>
        <w:t xml:space="preserve"> </w:t>
      </w:r>
      <w:r>
        <w:rPr>
          <w:color w:val="333333"/>
          <w:w w:val="110"/>
        </w:rPr>
        <w:t>a</w:t>
      </w:r>
      <w:r>
        <w:rPr>
          <w:color w:val="333333"/>
          <w:spacing w:val="-9"/>
          <w:w w:val="110"/>
        </w:rPr>
        <w:t xml:space="preserve"> </w:t>
      </w:r>
      <w:r>
        <w:rPr>
          <w:rFonts w:ascii="MS Gothic" w:hAnsi="MS Gothic"/>
          <w:color w:val="B02045"/>
          <w:w w:val="110"/>
        </w:rPr>
        <w:t>ConfigurableWebEnvironment</w:t>
      </w:r>
      <w:r>
        <w:rPr>
          <w:color w:val="333333"/>
          <w:w w:val="110"/>
        </w:rPr>
        <w:t>.</w:t>
      </w:r>
      <w:r>
        <w:rPr>
          <w:color w:val="333333"/>
          <w:spacing w:val="-10"/>
          <w:w w:val="110"/>
        </w:rPr>
        <w:t xml:space="preserve"> </w:t>
      </w:r>
      <w:r>
        <w:rPr>
          <w:color w:val="333333"/>
          <w:w w:val="110"/>
        </w:rPr>
        <w:t>A</w:t>
      </w:r>
      <w:r>
        <w:rPr>
          <w:color w:val="333333"/>
          <w:spacing w:val="-10"/>
          <w:w w:val="110"/>
        </w:rPr>
        <w:t xml:space="preserve"> </w:t>
      </w:r>
      <w:r>
        <w:rPr>
          <w:color w:val="333333"/>
          <w:w w:val="110"/>
        </w:rPr>
        <w:t>reactive</w:t>
      </w:r>
      <w:r>
        <w:rPr>
          <w:color w:val="333333"/>
          <w:spacing w:val="-11"/>
          <w:w w:val="110"/>
        </w:rPr>
        <w:t xml:space="preserve"> </w:t>
      </w:r>
      <w:r>
        <w:rPr>
          <w:color w:val="333333"/>
          <w:w w:val="110"/>
        </w:rPr>
        <w:t>web</w:t>
      </w:r>
      <w:r>
        <w:rPr>
          <w:color w:val="333333"/>
          <w:spacing w:val="-10"/>
          <w:w w:val="110"/>
        </w:rPr>
        <w:t xml:space="preserve"> </w:t>
      </w:r>
      <w:r>
        <w:rPr>
          <w:color w:val="333333"/>
          <w:w w:val="110"/>
        </w:rPr>
        <w:t>application</w:t>
      </w:r>
      <w:r>
        <w:rPr>
          <w:color w:val="333333"/>
          <w:spacing w:val="-10"/>
          <w:w w:val="110"/>
        </w:rPr>
        <w:t xml:space="preserve"> </w:t>
      </w:r>
      <w:r>
        <w:rPr>
          <w:color w:val="333333"/>
          <w:w w:val="110"/>
        </w:rPr>
        <w:t>is</w:t>
      </w:r>
      <w:r>
        <w:rPr>
          <w:color w:val="333333"/>
          <w:spacing w:val="-10"/>
          <w:w w:val="110"/>
        </w:rPr>
        <w:t xml:space="preserve"> </w:t>
      </w:r>
      <w:r>
        <w:rPr>
          <w:color w:val="333333"/>
          <w:w w:val="110"/>
        </w:rPr>
        <w:t>any</w:t>
      </w:r>
      <w:r>
        <w:rPr>
          <w:color w:val="333333"/>
          <w:spacing w:val="-10"/>
          <w:w w:val="110"/>
        </w:rPr>
        <w:t xml:space="preserve"> </w:t>
      </w:r>
      <w:r>
        <w:rPr>
          <w:color w:val="333333"/>
          <w:w w:val="110"/>
        </w:rPr>
        <w:t>application</w:t>
      </w:r>
      <w:r>
        <w:rPr>
          <w:color w:val="333333"/>
          <w:spacing w:val="-10"/>
          <w:w w:val="110"/>
        </w:rPr>
        <w:t xml:space="preserve"> </w:t>
      </w:r>
      <w:r>
        <w:rPr>
          <w:color w:val="333333"/>
          <w:w w:val="110"/>
        </w:rPr>
        <w:t>that</w:t>
      </w:r>
      <w:r>
        <w:rPr>
          <w:color w:val="333333"/>
          <w:spacing w:val="-10"/>
          <w:w w:val="110"/>
        </w:rPr>
        <w:t xml:space="preserve"> </w:t>
      </w:r>
      <w:r>
        <w:rPr>
          <w:color w:val="333333"/>
          <w:w w:val="110"/>
        </w:rPr>
        <w:t>uses</w:t>
      </w:r>
      <w:r>
        <w:rPr>
          <w:color w:val="333333"/>
          <w:spacing w:val="-10"/>
          <w:w w:val="110"/>
        </w:rPr>
        <w:t xml:space="preserve"> </w:t>
      </w:r>
      <w:r>
        <w:rPr>
          <w:color w:val="333333"/>
          <w:w w:val="110"/>
        </w:rPr>
        <w:t xml:space="preserve">a </w:t>
      </w:r>
      <w:r>
        <w:rPr>
          <w:rFonts w:ascii="MS Gothic" w:hAnsi="MS Gothic"/>
          <w:color w:val="B02045"/>
          <w:w w:val="110"/>
        </w:rPr>
        <w:t>ReactiveWebApplicationContext</w:t>
      </w:r>
      <w:r>
        <w:rPr>
          <w:color w:val="333333"/>
          <w:w w:val="110"/>
        </w:rPr>
        <w:t>,</w:t>
      </w:r>
      <w:r>
        <w:rPr>
          <w:color w:val="333333"/>
          <w:spacing w:val="-11"/>
          <w:w w:val="110"/>
        </w:rPr>
        <w:t xml:space="preserve"> </w:t>
      </w:r>
      <w:r>
        <w:rPr>
          <w:color w:val="333333"/>
          <w:w w:val="110"/>
        </w:rPr>
        <w:t>or</w:t>
      </w:r>
      <w:r>
        <w:rPr>
          <w:color w:val="333333"/>
          <w:spacing w:val="-10"/>
          <w:w w:val="110"/>
        </w:rPr>
        <w:t xml:space="preserve"> </w:t>
      </w:r>
      <w:r>
        <w:rPr>
          <w:color w:val="333333"/>
          <w:w w:val="110"/>
        </w:rPr>
        <w:t>has</w:t>
      </w:r>
      <w:r>
        <w:rPr>
          <w:color w:val="333333"/>
          <w:spacing w:val="-10"/>
          <w:w w:val="110"/>
        </w:rPr>
        <w:t xml:space="preserve"> </w:t>
      </w:r>
      <w:r>
        <w:rPr>
          <w:color w:val="333333"/>
          <w:w w:val="110"/>
        </w:rPr>
        <w:t>a</w:t>
      </w:r>
      <w:r>
        <w:rPr>
          <w:color w:val="333333"/>
          <w:spacing w:val="-11"/>
          <w:w w:val="110"/>
        </w:rPr>
        <w:t xml:space="preserve"> </w:t>
      </w:r>
      <w:r>
        <w:rPr>
          <w:rFonts w:ascii="MS Gothic" w:hAnsi="MS Gothic"/>
          <w:color w:val="B02045"/>
          <w:w w:val="110"/>
        </w:rPr>
        <w:t>ConfigurableReactiveWebEnvironment</w:t>
      </w:r>
      <w:r>
        <w:rPr>
          <w:color w:val="333333"/>
          <w:w w:val="110"/>
        </w:rPr>
        <w:t>.</w:t>
      </w:r>
    </w:p>
    <w:p w14:paraId="440DA666" w14:textId="77777777" w:rsidR="00A720EB" w:rsidRDefault="0030286B">
      <w:pPr>
        <w:pStyle w:val="a3"/>
        <w:spacing w:before="231" w:line="300" w:lineRule="auto"/>
        <w:ind w:left="124" w:right="133"/>
        <w:jc w:val="both"/>
      </w:pPr>
      <w:r>
        <w:rPr>
          <w:color w:val="333333"/>
          <w:w w:val="110"/>
        </w:rPr>
        <w:t xml:space="preserve">The </w:t>
      </w:r>
      <w:r>
        <w:rPr>
          <w:rFonts w:ascii="MS Gothic"/>
          <w:color w:val="B02045"/>
          <w:w w:val="110"/>
        </w:rPr>
        <w:t>@ConditionalOnWarDeployment</w:t>
      </w:r>
      <w:r>
        <w:rPr>
          <w:rFonts w:ascii="MS Gothic"/>
          <w:color w:val="B02045"/>
          <w:spacing w:val="-64"/>
          <w:w w:val="110"/>
        </w:rPr>
        <w:t xml:space="preserve"> </w:t>
      </w:r>
      <w:r>
        <w:rPr>
          <w:color w:val="333333"/>
          <w:w w:val="110"/>
        </w:rPr>
        <w:t xml:space="preserve">annotation lets configuration be included depending on whether the application is a traditional </w:t>
      </w:r>
      <w:r>
        <w:rPr>
          <w:color w:val="333333"/>
          <w:spacing w:val="-5"/>
          <w:w w:val="110"/>
        </w:rPr>
        <w:t xml:space="preserve">WAR </w:t>
      </w:r>
      <w:r>
        <w:rPr>
          <w:color w:val="333333"/>
          <w:w w:val="110"/>
        </w:rPr>
        <w:t>application that is deployed to a container. This condition will not match for applications that are run with an embedded</w:t>
      </w:r>
      <w:r>
        <w:rPr>
          <w:color w:val="333333"/>
          <w:spacing w:val="38"/>
          <w:w w:val="110"/>
        </w:rPr>
        <w:t xml:space="preserve"> </w:t>
      </w:r>
      <w:r>
        <w:rPr>
          <w:color w:val="333333"/>
          <w:w w:val="110"/>
        </w:rPr>
        <w:t>server.</w:t>
      </w:r>
    </w:p>
    <w:p w14:paraId="5AB56175" w14:textId="77777777" w:rsidR="00A720EB" w:rsidRDefault="00A720EB">
      <w:pPr>
        <w:pStyle w:val="a3"/>
        <w:rPr>
          <w:sz w:val="26"/>
        </w:rPr>
      </w:pPr>
    </w:p>
    <w:p w14:paraId="7B68AD80" w14:textId="77777777" w:rsidR="00A720EB" w:rsidRDefault="0030286B">
      <w:pPr>
        <w:pStyle w:val="4"/>
        <w:jc w:val="left"/>
      </w:pPr>
      <w:bookmarkStart w:id="512" w:name="SpEL_Expression_Conditions"/>
      <w:bookmarkEnd w:id="512"/>
      <w:r>
        <w:rPr>
          <w:color w:val="333333"/>
          <w:w w:val="110"/>
        </w:rPr>
        <w:t>SpEL Expression Conditions</w:t>
      </w:r>
    </w:p>
    <w:p w14:paraId="79D50C32" w14:textId="77777777" w:rsidR="00A720EB" w:rsidRDefault="0030286B">
      <w:pPr>
        <w:pStyle w:val="a3"/>
        <w:spacing w:before="244" w:line="290" w:lineRule="auto"/>
        <w:ind w:left="124" w:right="131"/>
        <w:jc w:val="both"/>
      </w:pPr>
      <w:r>
        <w:rPr>
          <w:color w:val="333333"/>
          <w:w w:val="110"/>
        </w:rPr>
        <w:t xml:space="preserve">The </w:t>
      </w:r>
      <w:r>
        <w:rPr>
          <w:rFonts w:ascii="MS Gothic"/>
          <w:color w:val="B02045"/>
          <w:w w:val="110"/>
        </w:rPr>
        <w:t xml:space="preserve">@ConditionalOnExpression </w:t>
      </w:r>
      <w:r>
        <w:rPr>
          <w:color w:val="333333"/>
          <w:w w:val="110"/>
        </w:rPr>
        <w:t xml:space="preserve">annotation lets configuration be included based on the result of a </w:t>
      </w:r>
      <w:hyperlink r:id="rId357" w:anchor="expressions">
        <w:r>
          <w:rPr>
            <w:color w:val="418BCA"/>
            <w:w w:val="110"/>
          </w:rPr>
          <w:t>SpEL expression</w:t>
        </w:r>
      </w:hyperlink>
      <w:r>
        <w:rPr>
          <w:color w:val="333333"/>
          <w:w w:val="110"/>
        </w:rPr>
        <w:t>.</w:t>
      </w:r>
    </w:p>
    <w:p w14:paraId="7D41CE60" w14:textId="77777777" w:rsidR="00A720EB" w:rsidRDefault="00A720EB">
      <w:pPr>
        <w:pStyle w:val="a3"/>
        <w:spacing w:before="3"/>
        <w:rPr>
          <w:sz w:val="27"/>
        </w:rPr>
      </w:pPr>
    </w:p>
    <w:p w14:paraId="60972E96" w14:textId="77777777" w:rsidR="00A720EB" w:rsidRDefault="0030286B">
      <w:pPr>
        <w:pStyle w:val="3"/>
        <w:numPr>
          <w:ilvl w:val="2"/>
          <w:numId w:val="68"/>
        </w:numPr>
        <w:tabs>
          <w:tab w:val="left" w:pos="1003"/>
        </w:tabs>
        <w:ind w:left="1002" w:hanging="879"/>
      </w:pPr>
      <w:bookmarkStart w:id="513" w:name="4.29.4._Testing_your_Auto-configuration"/>
      <w:bookmarkStart w:id="514" w:name="_Toc54423822"/>
      <w:bookmarkEnd w:id="513"/>
      <w:r>
        <w:rPr>
          <w:color w:val="333333"/>
          <w:w w:val="110"/>
        </w:rPr>
        <w:t>Testing your</w:t>
      </w:r>
      <w:r>
        <w:rPr>
          <w:color w:val="333333"/>
          <w:spacing w:val="-12"/>
          <w:w w:val="110"/>
        </w:rPr>
        <w:t xml:space="preserve"> </w:t>
      </w:r>
      <w:r>
        <w:rPr>
          <w:color w:val="333333"/>
          <w:w w:val="110"/>
        </w:rPr>
        <w:t>Auto-configuration</w:t>
      </w:r>
      <w:bookmarkEnd w:id="514"/>
    </w:p>
    <w:p w14:paraId="22E3181F" w14:textId="77777777" w:rsidR="00A720EB" w:rsidRDefault="0030286B">
      <w:pPr>
        <w:pStyle w:val="a3"/>
        <w:spacing w:before="243" w:line="280" w:lineRule="auto"/>
        <w:ind w:left="124" w:right="122"/>
        <w:jc w:val="both"/>
      </w:pPr>
      <w:r>
        <w:rPr>
          <w:color w:val="333333"/>
          <w:w w:val="110"/>
        </w:rPr>
        <w:t xml:space="preserve">An auto-configuration can be affected </w:t>
      </w:r>
      <w:r>
        <w:rPr>
          <w:color w:val="333333"/>
          <w:spacing w:val="-3"/>
          <w:w w:val="110"/>
        </w:rPr>
        <w:t xml:space="preserve">by </w:t>
      </w:r>
      <w:r>
        <w:rPr>
          <w:color w:val="333333"/>
          <w:w w:val="110"/>
        </w:rPr>
        <w:t>many factors: user configuration (</w:t>
      </w:r>
      <w:r>
        <w:rPr>
          <w:rFonts w:ascii="MS Gothic"/>
          <w:color w:val="B02045"/>
          <w:w w:val="110"/>
        </w:rPr>
        <w:t xml:space="preserve">@Bean </w:t>
      </w:r>
      <w:r>
        <w:rPr>
          <w:color w:val="333333"/>
          <w:w w:val="110"/>
        </w:rPr>
        <w:t xml:space="preserve">definition and </w:t>
      </w:r>
      <w:r>
        <w:rPr>
          <w:rFonts w:ascii="MS Gothic"/>
          <w:color w:val="B02045"/>
          <w:w w:val="110"/>
        </w:rPr>
        <w:t xml:space="preserve">Environment </w:t>
      </w:r>
      <w:r>
        <w:rPr>
          <w:color w:val="333333"/>
          <w:w w:val="110"/>
        </w:rPr>
        <w:t xml:space="preserve">customization), condition evaluation (presence of a particular library), and others. </w:t>
      </w:r>
      <w:r>
        <w:rPr>
          <w:color w:val="333333"/>
          <w:spacing w:val="-3"/>
          <w:w w:val="110"/>
        </w:rPr>
        <w:t xml:space="preserve">Concretely, </w:t>
      </w:r>
      <w:r>
        <w:rPr>
          <w:color w:val="333333"/>
          <w:w w:val="110"/>
        </w:rPr>
        <w:t xml:space="preserve">each test should create a well defined </w:t>
      </w:r>
      <w:r>
        <w:rPr>
          <w:rFonts w:ascii="MS Gothic"/>
          <w:color w:val="B02045"/>
          <w:w w:val="110"/>
        </w:rPr>
        <w:t>ApplicationContext</w:t>
      </w:r>
      <w:r>
        <w:rPr>
          <w:rFonts w:ascii="MS Gothic"/>
          <w:color w:val="B02045"/>
          <w:spacing w:val="-90"/>
          <w:w w:val="110"/>
        </w:rPr>
        <w:t xml:space="preserve"> </w:t>
      </w:r>
      <w:r>
        <w:rPr>
          <w:color w:val="333333"/>
          <w:w w:val="110"/>
        </w:rPr>
        <w:t xml:space="preserve">that represents a combination of those customizations. </w:t>
      </w:r>
      <w:r>
        <w:rPr>
          <w:rFonts w:ascii="MS Gothic"/>
          <w:color w:val="B02045"/>
          <w:w w:val="110"/>
        </w:rPr>
        <w:t>ApplicationContextRunner</w:t>
      </w:r>
      <w:r>
        <w:rPr>
          <w:rFonts w:ascii="MS Gothic"/>
          <w:color w:val="B02045"/>
          <w:spacing w:val="-68"/>
          <w:w w:val="110"/>
        </w:rPr>
        <w:t xml:space="preserve"> </w:t>
      </w:r>
      <w:r>
        <w:rPr>
          <w:color w:val="333333"/>
          <w:w w:val="110"/>
        </w:rPr>
        <w:t>provides a great way to achieve that.</w:t>
      </w:r>
    </w:p>
    <w:p w14:paraId="7D2118C0" w14:textId="77777777" w:rsidR="00A720EB" w:rsidRDefault="00A720EB">
      <w:pPr>
        <w:spacing w:line="280" w:lineRule="auto"/>
        <w:jc w:val="both"/>
        <w:sectPr w:rsidR="00A720EB">
          <w:pgSz w:w="11910" w:h="16840"/>
          <w:pgMar w:top="700" w:right="840" w:bottom="520" w:left="840" w:header="0" w:footer="323" w:gutter="0"/>
          <w:cols w:space="720"/>
        </w:sectPr>
      </w:pPr>
    </w:p>
    <w:p w14:paraId="79BF867E" w14:textId="77777777" w:rsidR="00A720EB" w:rsidRDefault="0030286B">
      <w:pPr>
        <w:pStyle w:val="a3"/>
        <w:spacing w:before="96" w:line="285" w:lineRule="auto"/>
        <w:ind w:left="124" w:right="123"/>
        <w:jc w:val="both"/>
      </w:pPr>
      <w:r>
        <w:rPr>
          <w:rFonts w:ascii="MS Gothic"/>
          <w:color w:val="B02045"/>
          <w:w w:val="110"/>
        </w:rPr>
        <w:lastRenderedPageBreak/>
        <w:t xml:space="preserve">ApplicationContextRunner </w:t>
      </w:r>
      <w:r>
        <w:rPr>
          <w:color w:val="333333"/>
          <w:w w:val="110"/>
        </w:rPr>
        <w:t xml:space="preserve">is usually defined as a field of the test class to gather the base, common configuration. The following example makes sure that </w:t>
      </w:r>
      <w:r>
        <w:rPr>
          <w:rFonts w:ascii="MS Gothic"/>
          <w:color w:val="B02045"/>
          <w:w w:val="110"/>
        </w:rPr>
        <w:t xml:space="preserve">UserServiceAutoConfiguration </w:t>
      </w:r>
      <w:r>
        <w:rPr>
          <w:color w:val="333333"/>
          <w:w w:val="110"/>
        </w:rPr>
        <w:t xml:space="preserve">is </w:t>
      </w:r>
      <w:proofErr w:type="gramStart"/>
      <w:r>
        <w:rPr>
          <w:color w:val="333333"/>
          <w:w w:val="110"/>
        </w:rPr>
        <w:t>always  invoked</w:t>
      </w:r>
      <w:proofErr w:type="gramEnd"/>
      <w:r>
        <w:rPr>
          <w:color w:val="333333"/>
          <w:w w:val="110"/>
        </w:rPr>
        <w:t>:</w:t>
      </w:r>
    </w:p>
    <w:p w14:paraId="43977CA5" w14:textId="77777777" w:rsidR="00A720EB" w:rsidRDefault="00E10349">
      <w:pPr>
        <w:pStyle w:val="a3"/>
        <w:spacing w:before="1"/>
        <w:rPr>
          <w:sz w:val="15"/>
        </w:rPr>
      </w:pPr>
      <w:r>
        <w:pict w14:anchorId="3E6E774F">
          <v:group id="_x0000_s3427" style="position:absolute;margin-left:47.85pt;margin-top:10.85pt;width:499.55pt;height:52.25pt;z-index:-15288320;mso-wrap-distance-left:0;mso-wrap-distance-right:0;mso-position-horizontal-relative:page" coordorigin="957,217" coordsize="9991,1045">
            <v:shape id="_x0000_s3430" style="position:absolute;left:964;top:224;width:9976;height:1030" coordorigin="965,225" coordsize="9976,1030" path="m10861,225r-9816,l1014,231r-26,17l971,274r-6,31l965,1174r6,31l988,1231r26,17l1045,1254r9816,l10892,1248r25,-17l10935,1205r6,-31l10941,305r-6,-31l10917,248r-25,-17l10861,225xe" fillcolor="#f5f5f5" stroked="f">
              <v:path arrowok="t"/>
            </v:shape>
            <v:shape id="_x0000_s3429" style="position:absolute;left:964;top:224;width:9976;height:1030" coordorigin="965,225" coordsize="9976,1030" path="m1045,225r9816,l10892,231r25,17l10935,274r6,31l10941,1174r-6,31l10917,1231r-25,17l10861,1254r-9816,l1014,1248r-26,-17l971,1205r-6,-31l965,305r6,-31l988,248r26,-17l1045,225xe" filled="f" strokecolor="#ccc">
              <v:path arrowok="t"/>
            </v:shape>
            <v:shape id="_x0000_s3428" type="#_x0000_t202" style="position:absolute;left:984;top:240;width:9938;height:999" filled="f" stroked="f">
              <v:textbox inset="0,0,0,0">
                <w:txbxContent>
                  <w:p w14:paraId="00AFE17A" w14:textId="77777777" w:rsidR="00711A16" w:rsidRDefault="00711A16">
                    <w:pPr>
                      <w:spacing w:before="221"/>
                      <w:ind w:left="200"/>
                      <w:rPr>
                        <w:rFonts w:ascii="MS Gothic"/>
                      </w:rPr>
                    </w:pPr>
                    <w:r>
                      <w:rPr>
                        <w:rFonts w:ascii="MS Gothic"/>
                        <w:color w:val="333333"/>
                      </w:rPr>
                      <w:t xml:space="preserve">private final ApplicationContextRunner contextRunner = new </w:t>
                    </w:r>
                    <w:proofErr w:type="gramStart"/>
                    <w:r>
                      <w:rPr>
                        <w:rFonts w:ascii="MS Gothic"/>
                        <w:color w:val="333333"/>
                      </w:rPr>
                      <w:t>ApplicationContextRunner(</w:t>
                    </w:r>
                    <w:proofErr w:type="gramEnd"/>
                    <w:r>
                      <w:rPr>
                        <w:rFonts w:ascii="MS Gothic"/>
                        <w:color w:val="333333"/>
                      </w:rPr>
                      <w:t>)</w:t>
                    </w:r>
                  </w:p>
                  <w:p w14:paraId="7669C708" w14:textId="77777777" w:rsidR="00711A16" w:rsidRDefault="00711A16">
                    <w:pPr>
                      <w:spacing w:before="13"/>
                      <w:ind w:left="1080"/>
                      <w:rPr>
                        <w:rFonts w:ascii="MS Gothic"/>
                      </w:rPr>
                    </w:pPr>
                    <w:proofErr w:type="gramStart"/>
                    <w:r>
                      <w:rPr>
                        <w:rFonts w:ascii="MS Gothic"/>
                        <w:color w:val="333333"/>
                      </w:rPr>
                      <w:t>.withConfiguration</w:t>
                    </w:r>
                    <w:proofErr w:type="gramEnd"/>
                    <w:r>
                      <w:rPr>
                        <w:rFonts w:ascii="MS Gothic"/>
                        <w:color w:val="333333"/>
                      </w:rPr>
                      <w:t>(AutoConfigurations.of(UserServiceAutoConfiguration.class));</w:t>
                    </w:r>
                  </w:p>
                </w:txbxContent>
              </v:textbox>
            </v:shape>
            <w10:wrap type="topAndBottom" anchorx="page"/>
          </v:group>
        </w:pict>
      </w:r>
    </w:p>
    <w:p w14:paraId="25959CEF" w14:textId="77777777" w:rsidR="00A720EB" w:rsidRDefault="00A720EB">
      <w:pPr>
        <w:pStyle w:val="a3"/>
        <w:spacing w:before="10"/>
        <w:rPr>
          <w:sz w:val="16"/>
        </w:rPr>
      </w:pPr>
    </w:p>
    <w:p w14:paraId="77B2523D" w14:textId="77777777" w:rsidR="00A720EB" w:rsidRDefault="00E10349">
      <w:pPr>
        <w:pStyle w:val="a3"/>
        <w:spacing w:before="125" w:line="307" w:lineRule="auto"/>
        <w:ind w:left="1564" w:right="368"/>
        <w:jc w:val="both"/>
      </w:pPr>
      <w:r>
        <w:pict w14:anchorId="2EE3FA27">
          <v:line id="_x0000_s3426" style="position:absolute;left:0;text-align:left;z-index:16170496;mso-position-horizontal-relative:page" from="108.25pt,.25pt" to="108.25pt,55.6pt" strokecolor="#ededed" strokeweight=".5pt">
            <w10:wrap anchorx="page"/>
          </v:line>
        </w:pict>
      </w:r>
      <w:r w:rsidR="0030286B">
        <w:rPr>
          <w:noProof/>
        </w:rPr>
        <w:drawing>
          <wp:anchor distT="0" distB="0" distL="0" distR="0" simplePos="0" relativeHeight="16171008" behindDoc="0" locked="0" layoutInCell="1" allowOverlap="1" wp14:anchorId="7B006595" wp14:editId="594606E7">
            <wp:simplePos x="0" y="0"/>
            <wp:positionH relativeFrom="page">
              <wp:posOffset>888949</wp:posOffset>
            </wp:positionH>
            <wp:positionV relativeFrom="paragraph">
              <wp:posOffset>202349</wp:posOffset>
            </wp:positionV>
            <wp:extent cx="209550" cy="304800"/>
            <wp:effectExtent l="0" t="0" r="0" b="0"/>
            <wp:wrapNone/>
            <wp:docPr id="5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26.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If multiple auto-configurations have to be defined, there is no need to order their declarations as they are invoked in the exact same order as when running the application.</w:t>
      </w:r>
    </w:p>
    <w:p w14:paraId="0F09F110" w14:textId="77777777" w:rsidR="00A720EB" w:rsidRDefault="00A720EB">
      <w:pPr>
        <w:pStyle w:val="a3"/>
        <w:spacing w:before="9"/>
        <w:rPr>
          <w:sz w:val="16"/>
        </w:rPr>
      </w:pPr>
    </w:p>
    <w:p w14:paraId="0B71B2E1" w14:textId="77777777" w:rsidR="00A720EB" w:rsidRDefault="0030286B">
      <w:pPr>
        <w:pStyle w:val="a3"/>
        <w:spacing w:before="125" w:line="290" w:lineRule="auto"/>
        <w:ind w:left="124" w:right="127"/>
        <w:jc w:val="both"/>
      </w:pPr>
      <w:r>
        <w:rPr>
          <w:color w:val="333333"/>
          <w:w w:val="110"/>
        </w:rPr>
        <w:t>Each test can use the runner to represent a particular use case. For instance, the sample below invokes a user configuration (</w:t>
      </w:r>
      <w:r>
        <w:rPr>
          <w:rFonts w:ascii="MS Gothic"/>
          <w:color w:val="B02045"/>
          <w:w w:val="110"/>
        </w:rPr>
        <w:t>UserConfiguration</w:t>
      </w:r>
      <w:r>
        <w:rPr>
          <w:color w:val="333333"/>
          <w:w w:val="110"/>
        </w:rPr>
        <w:t xml:space="preserve">) and checks that the auto-configuration backs off properly. Invoking </w:t>
      </w:r>
      <w:r>
        <w:rPr>
          <w:rFonts w:ascii="MS Gothic"/>
          <w:color w:val="B02045"/>
          <w:w w:val="110"/>
        </w:rPr>
        <w:t xml:space="preserve">run </w:t>
      </w:r>
      <w:r>
        <w:rPr>
          <w:color w:val="333333"/>
          <w:w w:val="110"/>
        </w:rPr>
        <w:t xml:space="preserve">provides a callback context that can be used with </w:t>
      </w:r>
      <w:r>
        <w:rPr>
          <w:rFonts w:ascii="MS Gothic"/>
          <w:color w:val="B02045"/>
          <w:w w:val="110"/>
        </w:rPr>
        <w:t>AssertJ</w:t>
      </w:r>
      <w:r>
        <w:rPr>
          <w:color w:val="333333"/>
          <w:w w:val="110"/>
        </w:rPr>
        <w:t>.</w:t>
      </w:r>
    </w:p>
    <w:p w14:paraId="23E820D4" w14:textId="77777777" w:rsidR="00A720EB" w:rsidRDefault="00E10349">
      <w:pPr>
        <w:pStyle w:val="a3"/>
        <w:spacing w:before="10"/>
        <w:rPr>
          <w:sz w:val="12"/>
        </w:rPr>
      </w:pPr>
      <w:r>
        <w:pict w14:anchorId="6E83BCD5">
          <v:group id="_x0000_s3422" style="position:absolute;margin-left:47.85pt;margin-top:9.55pt;width:499.55pt;height:317.55pt;z-index:-15287808;mso-wrap-distance-left:0;mso-wrap-distance-right:0;mso-position-horizontal-relative:page" coordorigin="957,191" coordsize="9991,6351">
            <v:shape id="_x0000_s3425" style="position:absolute;left:964;top:198;width:9976;height:6336" coordorigin="965,198" coordsize="9976,6336" path="m10861,198r-9816,l1014,204r-26,17l971,247r-6,31l965,6454r6,31l988,6511r26,17l1045,6534r9816,l10892,6528r25,-17l10935,6485r6,-31l10941,278r-6,-31l10917,221r-25,-17l10861,198xe" fillcolor="#f5f5f5" stroked="f">
              <v:path arrowok="t"/>
            </v:shape>
            <v:shape id="_x0000_s3424" style="position:absolute;left:964;top:198;width:9976;height:6336" coordorigin="965,198" coordsize="9976,6336" path="m1045,198r9816,l10892,204r25,17l10935,247r6,31l10941,6454r-6,31l10917,6511r-25,17l10861,6534r-9816,l1014,6528r-26,-17l971,6485r-6,-31l965,278r6,-31l988,221r26,-17l1045,198xe" filled="f" strokecolor="#ccc">
              <v:path arrowok="t"/>
            </v:shape>
            <v:shape id="_x0000_s3423" type="#_x0000_t202" style="position:absolute;left:984;top:213;width:9938;height:6306" filled="f" stroked="f">
              <v:textbox inset="0,0,0,0">
                <w:txbxContent>
                  <w:p w14:paraId="10BBE3D0" w14:textId="77777777" w:rsidR="00711A16" w:rsidRDefault="00711A16">
                    <w:pPr>
                      <w:spacing w:before="221"/>
                      <w:ind w:left="200"/>
                      <w:rPr>
                        <w:rFonts w:ascii="MS Gothic"/>
                      </w:rPr>
                    </w:pPr>
                    <w:r>
                      <w:rPr>
                        <w:rFonts w:ascii="MS Gothic"/>
                        <w:color w:val="333333"/>
                      </w:rPr>
                      <w:t>@Test</w:t>
                    </w:r>
                  </w:p>
                  <w:p w14:paraId="131F6A32" w14:textId="77777777" w:rsidR="00711A16" w:rsidRDefault="00711A16">
                    <w:pPr>
                      <w:spacing w:before="13" w:line="252" w:lineRule="auto"/>
                      <w:ind w:left="640" w:right="258" w:hanging="440"/>
                      <w:rPr>
                        <w:rFonts w:ascii="MS Gothic"/>
                      </w:rPr>
                    </w:pPr>
                    <w:r>
                      <w:rPr>
                        <w:rFonts w:ascii="MS Gothic"/>
                        <w:color w:val="333333"/>
                      </w:rPr>
                      <w:t xml:space="preserve">void </w:t>
                    </w:r>
                    <w:proofErr w:type="gramStart"/>
                    <w:r>
                      <w:rPr>
                        <w:rFonts w:ascii="MS Gothic"/>
                        <w:color w:val="333333"/>
                      </w:rPr>
                      <w:t>defaultServiceBacksOff(</w:t>
                    </w:r>
                    <w:proofErr w:type="gramEnd"/>
                    <w:r>
                      <w:rPr>
                        <w:rFonts w:ascii="MS Gothic"/>
                        <w:color w:val="333333"/>
                      </w:rPr>
                      <w:t>) { this.contextRunner.withUserConfiguration(UserConfiguration.class).run((context) -&gt;</w:t>
                    </w:r>
                  </w:p>
                  <w:p w14:paraId="3739CC84" w14:textId="77777777" w:rsidR="00711A16" w:rsidRDefault="00711A16">
                    <w:pPr>
                      <w:spacing w:line="280" w:lineRule="exact"/>
                      <w:ind w:left="200"/>
                      <w:rPr>
                        <w:rFonts w:ascii="MS Gothic"/>
                      </w:rPr>
                    </w:pPr>
                    <w:r>
                      <w:rPr>
                        <w:rFonts w:ascii="MS Gothic"/>
                        <w:color w:val="333333"/>
                      </w:rPr>
                      <w:t>{</w:t>
                    </w:r>
                  </w:p>
                  <w:p w14:paraId="3F67C150" w14:textId="77777777" w:rsidR="00711A16" w:rsidRDefault="00711A16">
                    <w:pPr>
                      <w:spacing w:before="13"/>
                      <w:ind w:left="1080"/>
                      <w:rPr>
                        <w:rFonts w:ascii="MS Gothic"/>
                      </w:rPr>
                    </w:pPr>
                    <w:r>
                      <w:rPr>
                        <w:rFonts w:ascii="MS Gothic"/>
                        <w:color w:val="333333"/>
                      </w:rPr>
                      <w:t>assertThat(context</w:t>
                    </w:r>
                    <w:proofErr w:type="gramStart"/>
                    <w:r>
                      <w:rPr>
                        <w:rFonts w:ascii="MS Gothic"/>
                        <w:color w:val="333333"/>
                      </w:rPr>
                      <w:t>).hasSingleBean</w:t>
                    </w:r>
                    <w:proofErr w:type="gramEnd"/>
                    <w:r>
                      <w:rPr>
                        <w:rFonts w:ascii="MS Gothic"/>
                        <w:color w:val="333333"/>
                      </w:rPr>
                      <w:t>(UserService.class);</w:t>
                    </w:r>
                  </w:p>
                  <w:p w14:paraId="0A700058" w14:textId="77777777" w:rsidR="00711A16" w:rsidRDefault="00711A16">
                    <w:pPr>
                      <w:rPr>
                        <w:rFonts w:ascii="MS Gothic"/>
                        <w:sz w:val="24"/>
                      </w:rPr>
                    </w:pPr>
                  </w:p>
                  <w:p w14:paraId="05C9E120" w14:textId="77777777" w:rsidR="00711A16" w:rsidRDefault="00711A16">
                    <w:pPr>
                      <w:spacing w:line="252" w:lineRule="auto"/>
                      <w:ind w:left="200" w:right="258"/>
                      <w:rPr>
                        <w:rFonts w:ascii="MS Gothic"/>
                      </w:rPr>
                    </w:pPr>
                    <w:r>
                      <w:rPr>
                        <w:rFonts w:ascii="MS Gothic"/>
                        <w:color w:val="333333"/>
                      </w:rPr>
                      <w:t>assertThat(context</w:t>
                    </w:r>
                    <w:proofErr w:type="gramStart"/>
                    <w:r>
                      <w:rPr>
                        <w:rFonts w:ascii="MS Gothic"/>
                        <w:color w:val="333333"/>
                      </w:rPr>
                      <w:t>).getBean</w:t>
                    </w:r>
                    <w:proofErr w:type="gramEnd"/>
                    <w:r>
                      <w:rPr>
                        <w:rFonts w:ascii="MS Gothic"/>
                        <w:color w:val="333333"/>
                      </w:rPr>
                      <w:t>("myUserService").isSameAs(context.getBean(UserService.clas s));</w:t>
                    </w:r>
                  </w:p>
                  <w:p w14:paraId="2CCE4219" w14:textId="77777777" w:rsidR="00711A16" w:rsidRDefault="00711A16">
                    <w:pPr>
                      <w:spacing w:line="280" w:lineRule="exact"/>
                      <w:ind w:left="640"/>
                      <w:rPr>
                        <w:rFonts w:ascii="MS Gothic"/>
                      </w:rPr>
                    </w:pPr>
                    <w:r>
                      <w:rPr>
                        <w:rFonts w:ascii="MS Gothic"/>
                        <w:color w:val="333333"/>
                      </w:rPr>
                      <w:t>});</w:t>
                    </w:r>
                  </w:p>
                  <w:p w14:paraId="7FCA78C4" w14:textId="77777777" w:rsidR="00711A16" w:rsidRDefault="00711A16">
                    <w:pPr>
                      <w:spacing w:before="13"/>
                      <w:ind w:left="200"/>
                      <w:rPr>
                        <w:rFonts w:ascii="MS Gothic"/>
                      </w:rPr>
                    </w:pPr>
                    <w:r>
                      <w:rPr>
                        <w:rFonts w:ascii="MS Gothic"/>
                        <w:color w:val="333333"/>
                      </w:rPr>
                      <w:t>}</w:t>
                    </w:r>
                  </w:p>
                  <w:p w14:paraId="1588068B" w14:textId="77777777" w:rsidR="00711A16" w:rsidRDefault="00711A16">
                    <w:pPr>
                      <w:rPr>
                        <w:rFonts w:ascii="MS Gothic"/>
                        <w:sz w:val="24"/>
                      </w:rPr>
                    </w:pPr>
                  </w:p>
                  <w:p w14:paraId="1E6FC868" w14:textId="77777777" w:rsidR="00711A16" w:rsidRDefault="00711A16">
                    <w:pPr>
                      <w:spacing w:line="252" w:lineRule="auto"/>
                      <w:ind w:left="200" w:right="531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static class UserConfiguration {</w:t>
                    </w:r>
                  </w:p>
                  <w:p w14:paraId="41680351" w14:textId="77777777" w:rsidR="00711A16" w:rsidRDefault="00711A16">
                    <w:pPr>
                      <w:spacing w:before="10"/>
                      <w:rPr>
                        <w:rFonts w:ascii="MS Gothic"/>
                      </w:rPr>
                    </w:pPr>
                  </w:p>
                  <w:p w14:paraId="4E54037B" w14:textId="77777777" w:rsidR="00711A16" w:rsidRDefault="00711A16">
                    <w:pPr>
                      <w:spacing w:before="1"/>
                      <w:ind w:left="640"/>
                      <w:rPr>
                        <w:rFonts w:ascii="MS Gothic"/>
                      </w:rPr>
                    </w:pPr>
                    <w:r>
                      <w:rPr>
                        <w:rFonts w:ascii="MS Gothic"/>
                        <w:color w:val="333333"/>
                      </w:rPr>
                      <w:t>@Bean</w:t>
                    </w:r>
                  </w:p>
                  <w:p w14:paraId="08166359" w14:textId="77777777" w:rsidR="00711A16" w:rsidRDefault="00711A16">
                    <w:pPr>
                      <w:spacing w:before="12" w:line="252" w:lineRule="auto"/>
                      <w:ind w:left="1080" w:right="5444" w:hanging="440"/>
                      <w:rPr>
                        <w:rFonts w:ascii="MS Gothic"/>
                      </w:rPr>
                    </w:pPr>
                    <w:r>
                      <w:rPr>
                        <w:rFonts w:ascii="MS Gothic"/>
                        <w:color w:val="333333"/>
                      </w:rPr>
                      <w:t xml:space="preserve">UserService </w:t>
                    </w:r>
                    <w:proofErr w:type="gramStart"/>
                    <w:r>
                      <w:rPr>
                        <w:rFonts w:ascii="MS Gothic"/>
                        <w:color w:val="333333"/>
                      </w:rPr>
                      <w:t>myUserService(</w:t>
                    </w:r>
                    <w:proofErr w:type="gramEnd"/>
                    <w:r>
                      <w:rPr>
                        <w:rFonts w:ascii="MS Gothic"/>
                        <w:color w:val="333333"/>
                      </w:rPr>
                      <w:t>) { return new</w:t>
                    </w:r>
                    <w:r>
                      <w:rPr>
                        <w:rFonts w:ascii="MS Gothic"/>
                        <w:color w:val="333333"/>
                        <w:spacing w:val="-15"/>
                      </w:rPr>
                      <w:t xml:space="preserve"> </w:t>
                    </w:r>
                    <w:r>
                      <w:rPr>
                        <w:rFonts w:ascii="MS Gothic"/>
                        <w:color w:val="333333"/>
                      </w:rPr>
                      <w:t>UserService("mine");</w:t>
                    </w:r>
                  </w:p>
                  <w:p w14:paraId="5DEE02C1" w14:textId="77777777" w:rsidR="00711A16" w:rsidRDefault="00711A16">
                    <w:pPr>
                      <w:spacing w:line="280" w:lineRule="exact"/>
                      <w:ind w:left="640"/>
                      <w:rPr>
                        <w:rFonts w:ascii="MS Gothic"/>
                      </w:rPr>
                    </w:pPr>
                    <w:r>
                      <w:rPr>
                        <w:rFonts w:ascii="MS Gothic"/>
                        <w:color w:val="333333"/>
                      </w:rPr>
                      <w:t>}</w:t>
                    </w:r>
                  </w:p>
                  <w:p w14:paraId="0EEC9383" w14:textId="77777777" w:rsidR="00711A16" w:rsidRDefault="00711A16">
                    <w:pPr>
                      <w:spacing w:before="1"/>
                      <w:rPr>
                        <w:rFonts w:ascii="MS Gothic"/>
                        <w:sz w:val="24"/>
                      </w:rPr>
                    </w:pPr>
                  </w:p>
                  <w:p w14:paraId="24E3C38F" w14:textId="77777777" w:rsidR="00711A16" w:rsidRDefault="00711A16">
                    <w:pPr>
                      <w:ind w:left="200"/>
                      <w:rPr>
                        <w:rFonts w:ascii="MS Gothic"/>
                      </w:rPr>
                    </w:pPr>
                    <w:r>
                      <w:rPr>
                        <w:rFonts w:ascii="MS Gothic"/>
                        <w:color w:val="333333"/>
                      </w:rPr>
                      <w:t>}</w:t>
                    </w:r>
                  </w:p>
                </w:txbxContent>
              </v:textbox>
            </v:shape>
            <w10:wrap type="topAndBottom" anchorx="page"/>
          </v:group>
        </w:pict>
      </w:r>
    </w:p>
    <w:p w14:paraId="1B403C9C" w14:textId="77777777" w:rsidR="00A720EB" w:rsidRDefault="00A720EB">
      <w:pPr>
        <w:pStyle w:val="a3"/>
        <w:spacing w:before="11"/>
        <w:rPr>
          <w:sz w:val="9"/>
        </w:rPr>
      </w:pPr>
    </w:p>
    <w:p w14:paraId="0A61ED1D" w14:textId="77777777" w:rsidR="00A720EB" w:rsidRDefault="0030286B">
      <w:pPr>
        <w:pStyle w:val="a3"/>
        <w:spacing w:before="115"/>
        <w:ind w:left="124"/>
      </w:pPr>
      <w:r>
        <w:rPr>
          <w:color w:val="333333"/>
          <w:w w:val="110"/>
        </w:rPr>
        <w:t xml:space="preserve">It is also possible to easily customize the </w:t>
      </w:r>
      <w:r>
        <w:rPr>
          <w:rFonts w:ascii="MS Gothic"/>
          <w:color w:val="B02045"/>
          <w:w w:val="110"/>
        </w:rPr>
        <w:t>Environment</w:t>
      </w:r>
      <w:r>
        <w:rPr>
          <w:color w:val="333333"/>
          <w:w w:val="110"/>
        </w:rPr>
        <w:t>, as shown in the following example:</w:t>
      </w:r>
    </w:p>
    <w:p w14:paraId="69D22D1A" w14:textId="77777777" w:rsidR="00A720EB" w:rsidRDefault="00E10349">
      <w:pPr>
        <w:pStyle w:val="a3"/>
        <w:spacing w:before="11"/>
        <w:rPr>
          <w:sz w:val="17"/>
        </w:rPr>
      </w:pPr>
      <w:r>
        <w:pict w14:anchorId="4EF02D51">
          <v:group id="_x0000_s3418" style="position:absolute;margin-left:47.85pt;margin-top:12.55pt;width:499.55pt;height:125.95pt;z-index:-15287296;mso-wrap-distance-left:0;mso-wrap-distance-right:0;mso-position-horizontal-relative:page" coordorigin="957,251" coordsize="9991,2519">
            <v:shape id="_x0000_s3421" style="position:absolute;left:964;top:258;width:9976;height:2504" coordorigin="965,258" coordsize="9976,2504" path="m10861,258r-9816,l1014,264r-26,17l971,307r-6,31l965,2682r6,31l988,2738r26,17l1045,2762r9816,l10892,2755r25,-17l10935,2713r6,-31l10941,338r-6,-31l10917,281r-25,-17l10861,258xe" fillcolor="#f5f5f5" stroked="f">
              <v:path arrowok="t"/>
            </v:shape>
            <v:shape id="_x0000_s3420" style="position:absolute;left:964;top:258;width:9976;height:2504" coordorigin="965,258" coordsize="9976,2504" path="m1045,258r9816,l10892,264r25,17l10935,307r6,31l10941,2682r-6,31l10917,2738r-25,17l10861,2762r-9816,l1014,2755r-26,-17l971,2713r-6,-31l965,338r6,-31l988,281r26,-17l1045,258xe" filled="f" strokecolor="#ccc">
              <v:path arrowok="t"/>
            </v:shape>
            <v:shape id="_x0000_s3419" type="#_x0000_t202" style="position:absolute;left:984;top:273;width:9938;height:2473" filled="f" stroked="f">
              <v:textbox inset="0,0,0,0">
                <w:txbxContent>
                  <w:p w14:paraId="27AC204A" w14:textId="77777777" w:rsidR="00711A16" w:rsidRDefault="00711A16">
                    <w:pPr>
                      <w:spacing w:before="221"/>
                      <w:ind w:left="200"/>
                      <w:rPr>
                        <w:rFonts w:ascii="MS Gothic"/>
                      </w:rPr>
                    </w:pPr>
                    <w:r>
                      <w:rPr>
                        <w:rFonts w:ascii="MS Gothic"/>
                        <w:color w:val="333333"/>
                      </w:rPr>
                      <w:t>@Test</w:t>
                    </w:r>
                  </w:p>
                  <w:p w14:paraId="115F8436" w14:textId="77777777" w:rsidR="00711A16" w:rsidRDefault="00711A16">
                    <w:pPr>
                      <w:spacing w:before="13" w:line="252" w:lineRule="auto"/>
                      <w:ind w:left="640" w:right="808" w:hanging="440"/>
                      <w:rPr>
                        <w:rFonts w:ascii="MS Gothic"/>
                      </w:rPr>
                    </w:pPr>
                    <w:r>
                      <w:rPr>
                        <w:rFonts w:ascii="MS Gothic"/>
                        <w:color w:val="333333"/>
                      </w:rPr>
                      <w:t xml:space="preserve">void </w:t>
                    </w:r>
                    <w:proofErr w:type="gramStart"/>
                    <w:r>
                      <w:rPr>
                        <w:rFonts w:ascii="MS Gothic"/>
                        <w:color w:val="333333"/>
                      </w:rPr>
                      <w:t>serviceNameCanBeConfigured(</w:t>
                    </w:r>
                    <w:proofErr w:type="gramEnd"/>
                    <w:r>
                      <w:rPr>
                        <w:rFonts w:ascii="MS Gothic"/>
                        <w:color w:val="333333"/>
                      </w:rPr>
                      <w:t>) { this.contextRunner.withPropertyValues("user.name=test123").run((context) -&gt; {</w:t>
                    </w:r>
                  </w:p>
                  <w:p w14:paraId="185FD07B" w14:textId="77777777" w:rsidR="00711A16" w:rsidRDefault="00711A16">
                    <w:pPr>
                      <w:spacing w:line="252" w:lineRule="auto"/>
                      <w:ind w:left="1080" w:right="258"/>
                      <w:rPr>
                        <w:rFonts w:ascii="MS Gothic"/>
                      </w:rPr>
                    </w:pPr>
                    <w:r>
                      <w:rPr>
                        <w:rFonts w:ascii="MS Gothic"/>
                        <w:color w:val="333333"/>
                      </w:rPr>
                      <w:t>assertThat(context</w:t>
                    </w:r>
                    <w:proofErr w:type="gramStart"/>
                    <w:r>
                      <w:rPr>
                        <w:rFonts w:ascii="MS Gothic"/>
                        <w:color w:val="333333"/>
                      </w:rPr>
                      <w:t>).hasSingleBean</w:t>
                    </w:r>
                    <w:proofErr w:type="gramEnd"/>
                    <w:r>
                      <w:rPr>
                        <w:rFonts w:ascii="MS Gothic"/>
                        <w:color w:val="333333"/>
                      </w:rPr>
                      <w:t>(UserService.class); assertThat(context.getBean(UserService.class).getName()).isEqualTo("test123");</w:t>
                    </w:r>
                  </w:p>
                  <w:p w14:paraId="2ECDAF63" w14:textId="77777777" w:rsidR="00711A16" w:rsidRDefault="00711A16">
                    <w:pPr>
                      <w:spacing w:line="280" w:lineRule="exact"/>
                      <w:ind w:left="640"/>
                      <w:rPr>
                        <w:rFonts w:ascii="MS Gothic"/>
                      </w:rPr>
                    </w:pPr>
                    <w:r>
                      <w:rPr>
                        <w:rFonts w:ascii="MS Gothic"/>
                        <w:color w:val="333333"/>
                      </w:rPr>
                      <w:t>});</w:t>
                    </w:r>
                  </w:p>
                  <w:p w14:paraId="23CE455A" w14:textId="77777777" w:rsidR="00711A16" w:rsidRDefault="00711A16">
                    <w:pPr>
                      <w:spacing w:before="10"/>
                      <w:ind w:left="200"/>
                      <w:rPr>
                        <w:rFonts w:ascii="MS Gothic"/>
                      </w:rPr>
                    </w:pPr>
                    <w:r>
                      <w:rPr>
                        <w:rFonts w:ascii="MS Gothic"/>
                        <w:color w:val="333333"/>
                      </w:rPr>
                      <w:t>}</w:t>
                    </w:r>
                  </w:p>
                </w:txbxContent>
              </v:textbox>
            </v:shape>
            <w10:wrap type="topAndBottom" anchorx="page"/>
          </v:group>
        </w:pict>
      </w:r>
    </w:p>
    <w:p w14:paraId="3F1927CB" w14:textId="77777777" w:rsidR="00A720EB" w:rsidRDefault="00A720EB">
      <w:pPr>
        <w:pStyle w:val="a3"/>
        <w:spacing w:before="11"/>
        <w:rPr>
          <w:sz w:val="9"/>
        </w:rPr>
      </w:pPr>
    </w:p>
    <w:p w14:paraId="43187F6C" w14:textId="77777777" w:rsidR="00A720EB" w:rsidRDefault="0030286B">
      <w:pPr>
        <w:pStyle w:val="a3"/>
        <w:spacing w:before="115"/>
        <w:ind w:left="124"/>
      </w:pPr>
      <w:r>
        <w:rPr>
          <w:color w:val="333333"/>
          <w:w w:val="110"/>
        </w:rPr>
        <w:t xml:space="preserve">The runner can also be used to display the </w:t>
      </w:r>
      <w:r>
        <w:rPr>
          <w:rFonts w:ascii="MS Gothic"/>
          <w:color w:val="B02045"/>
          <w:w w:val="110"/>
        </w:rPr>
        <w:t>ConditionEvaluationReport</w:t>
      </w:r>
      <w:r>
        <w:rPr>
          <w:color w:val="333333"/>
          <w:w w:val="110"/>
        </w:rPr>
        <w:t>. The report can be printed at</w:t>
      </w:r>
    </w:p>
    <w:p w14:paraId="1DDD228F" w14:textId="77777777" w:rsidR="00A720EB" w:rsidRDefault="00A720EB">
      <w:pPr>
        <w:sectPr w:rsidR="00A720EB">
          <w:pgSz w:w="11910" w:h="16840"/>
          <w:pgMar w:top="620" w:right="840" w:bottom="520" w:left="840" w:header="0" w:footer="323" w:gutter="0"/>
          <w:cols w:space="720"/>
        </w:sectPr>
      </w:pPr>
    </w:p>
    <w:p w14:paraId="47839700" w14:textId="77777777" w:rsidR="00A720EB" w:rsidRDefault="0030286B">
      <w:pPr>
        <w:pStyle w:val="a3"/>
        <w:tabs>
          <w:tab w:val="left" w:pos="925"/>
          <w:tab w:val="left" w:pos="1526"/>
          <w:tab w:val="left" w:pos="2432"/>
          <w:tab w:val="left" w:pos="3342"/>
          <w:tab w:val="left" w:pos="4097"/>
          <w:tab w:val="left" w:pos="5424"/>
          <w:tab w:val="left" w:pos="6661"/>
          <w:tab w:val="left" w:pos="7667"/>
          <w:tab w:val="left" w:pos="8482"/>
          <w:tab w:val="left" w:pos="9059"/>
          <w:tab w:val="left" w:pos="9779"/>
        </w:tabs>
        <w:spacing w:before="96"/>
        <w:ind w:left="124"/>
      </w:pPr>
      <w:r>
        <w:rPr>
          <w:rFonts w:ascii="MS Gothic"/>
          <w:color w:val="B02045"/>
          <w:w w:val="110"/>
        </w:rPr>
        <w:lastRenderedPageBreak/>
        <w:t>INFO</w:t>
      </w:r>
      <w:r>
        <w:rPr>
          <w:rFonts w:ascii="MS Gothic"/>
          <w:color w:val="B02045"/>
          <w:w w:val="110"/>
        </w:rPr>
        <w:tab/>
      </w:r>
      <w:r>
        <w:rPr>
          <w:color w:val="333333"/>
          <w:w w:val="110"/>
        </w:rPr>
        <w:t>or</w:t>
      </w:r>
      <w:r>
        <w:rPr>
          <w:color w:val="333333"/>
          <w:w w:val="110"/>
        </w:rPr>
        <w:tab/>
      </w:r>
      <w:r>
        <w:rPr>
          <w:rFonts w:ascii="MS Gothic"/>
          <w:color w:val="B02045"/>
          <w:w w:val="110"/>
        </w:rPr>
        <w:t>DEBUG</w:t>
      </w:r>
      <w:r>
        <w:rPr>
          <w:rFonts w:ascii="MS Gothic"/>
          <w:color w:val="B02045"/>
          <w:w w:val="110"/>
        </w:rPr>
        <w:tab/>
      </w:r>
      <w:r>
        <w:rPr>
          <w:color w:val="333333"/>
          <w:w w:val="110"/>
        </w:rPr>
        <w:t>level.</w:t>
      </w:r>
      <w:r>
        <w:rPr>
          <w:color w:val="333333"/>
          <w:w w:val="110"/>
        </w:rPr>
        <w:tab/>
        <w:t>The</w:t>
      </w:r>
      <w:r>
        <w:rPr>
          <w:color w:val="333333"/>
          <w:w w:val="110"/>
        </w:rPr>
        <w:tab/>
        <w:t>following</w:t>
      </w:r>
      <w:r>
        <w:rPr>
          <w:color w:val="333333"/>
          <w:w w:val="110"/>
        </w:rPr>
        <w:tab/>
        <w:t>example</w:t>
      </w:r>
      <w:r>
        <w:rPr>
          <w:color w:val="333333"/>
          <w:w w:val="110"/>
        </w:rPr>
        <w:tab/>
        <w:t>shows</w:t>
      </w:r>
      <w:r>
        <w:rPr>
          <w:color w:val="333333"/>
          <w:w w:val="110"/>
        </w:rPr>
        <w:tab/>
        <w:t>how</w:t>
      </w:r>
      <w:r>
        <w:rPr>
          <w:color w:val="333333"/>
          <w:w w:val="110"/>
        </w:rPr>
        <w:tab/>
        <w:t>to</w:t>
      </w:r>
      <w:r>
        <w:rPr>
          <w:color w:val="333333"/>
          <w:w w:val="110"/>
        </w:rPr>
        <w:tab/>
        <w:t>use</w:t>
      </w:r>
      <w:r>
        <w:rPr>
          <w:color w:val="333333"/>
          <w:w w:val="110"/>
        </w:rPr>
        <w:tab/>
        <w:t>the</w:t>
      </w:r>
    </w:p>
    <w:p w14:paraId="1E44A6AE" w14:textId="77777777" w:rsidR="00A720EB" w:rsidRDefault="0030286B">
      <w:pPr>
        <w:pStyle w:val="a3"/>
        <w:spacing w:before="47"/>
        <w:ind w:left="124"/>
      </w:pPr>
      <w:r>
        <w:rPr>
          <w:rFonts w:ascii="MS Gothic"/>
          <w:color w:val="B02045"/>
          <w:w w:val="110"/>
        </w:rPr>
        <w:t>ConditionEvaluationReportLoggingListener</w:t>
      </w:r>
      <w:r>
        <w:rPr>
          <w:rFonts w:ascii="MS Gothic"/>
          <w:color w:val="B02045"/>
          <w:spacing w:val="-76"/>
          <w:w w:val="110"/>
        </w:rPr>
        <w:t xml:space="preserve"> </w:t>
      </w:r>
      <w:r>
        <w:rPr>
          <w:color w:val="333333"/>
          <w:w w:val="110"/>
        </w:rPr>
        <w:t>to print the report in auto-configuration tests.</w:t>
      </w:r>
    </w:p>
    <w:p w14:paraId="4ABB2638" w14:textId="77777777" w:rsidR="00A720EB" w:rsidRDefault="00E10349">
      <w:pPr>
        <w:pStyle w:val="a3"/>
        <w:spacing w:before="10"/>
        <w:rPr>
          <w:sz w:val="17"/>
        </w:rPr>
      </w:pPr>
      <w:r>
        <w:pict w14:anchorId="6F0752AA">
          <v:group id="_x0000_s3414" style="position:absolute;margin-left:47.85pt;margin-top:12.5pt;width:499.55pt;height:170.15pt;z-index:-15285760;mso-wrap-distance-left:0;mso-wrap-distance-right:0;mso-position-horizontal-relative:page" coordorigin="957,250" coordsize="9991,3403">
            <v:shape id="_x0000_s3417" style="position:absolute;left:964;top:257;width:9976;height:3388" coordorigin="965,257" coordsize="9976,3388" path="m10861,257r-9816,l1014,264r-26,17l971,306r-6,31l965,3565r6,31l988,3622r26,17l1045,3645r9816,l10892,3639r25,-17l10935,3596r6,-31l10941,337r-6,-31l10917,281r-25,-17l10861,257xe" fillcolor="#f5f5f5" stroked="f">
              <v:path arrowok="t"/>
            </v:shape>
            <v:shape id="_x0000_s3416" style="position:absolute;left:964;top:257;width:9976;height:3388" coordorigin="965,257" coordsize="9976,3388" path="m1045,257r9816,l10892,264r25,17l10935,306r6,31l10941,3565r-6,31l10917,3622r-25,17l10861,3645r-9816,l1014,3639r-26,-17l971,3596r-6,-31l965,337r6,-31l988,281r26,-17l1045,257xe" filled="f" strokecolor="#ccc">
              <v:path arrowok="t"/>
            </v:shape>
            <v:shape id="_x0000_s3415" type="#_x0000_t202" style="position:absolute;left:984;top:272;width:9938;height:3358" filled="f" stroked="f">
              <v:textbox inset="0,0,0,0">
                <w:txbxContent>
                  <w:p w14:paraId="3D2526E6" w14:textId="77777777" w:rsidR="00711A16" w:rsidRDefault="00711A16">
                    <w:pPr>
                      <w:spacing w:before="221"/>
                      <w:ind w:left="200"/>
                      <w:rPr>
                        <w:rFonts w:ascii="MS Gothic"/>
                      </w:rPr>
                    </w:pPr>
                    <w:r>
                      <w:rPr>
                        <w:rFonts w:ascii="MS Gothic"/>
                        <w:color w:val="333333"/>
                      </w:rPr>
                      <w:t>@Test</w:t>
                    </w:r>
                  </w:p>
                  <w:p w14:paraId="55522084" w14:textId="77777777" w:rsidR="00711A16" w:rsidRDefault="00711A16">
                    <w:pPr>
                      <w:spacing w:before="13" w:line="252" w:lineRule="auto"/>
                      <w:ind w:left="640" w:right="2898" w:hanging="440"/>
                      <w:rPr>
                        <w:rFonts w:ascii="MS Gothic"/>
                      </w:rPr>
                    </w:pPr>
                    <w:r>
                      <w:rPr>
                        <w:rFonts w:ascii="MS Gothic"/>
                        <w:color w:val="333333"/>
                      </w:rPr>
                      <w:t xml:space="preserve">public void autoConfigTest </w:t>
                    </w:r>
                    <w:proofErr w:type="gramStart"/>
                    <w:r>
                      <w:rPr>
                        <w:rFonts w:ascii="MS Gothic"/>
                        <w:color w:val="333333"/>
                      </w:rPr>
                      <w:t>{ ConditionEvaluationReportLoggingListener</w:t>
                    </w:r>
                    <w:proofErr w:type="gramEnd"/>
                    <w:r>
                      <w:rPr>
                        <w:rFonts w:ascii="MS Gothic"/>
                        <w:color w:val="333333"/>
                      </w:rPr>
                      <w:t xml:space="preserve"> initializer = new</w:t>
                    </w:r>
                  </w:p>
                  <w:p w14:paraId="4AB6556C" w14:textId="77777777" w:rsidR="00711A16" w:rsidRDefault="00711A16">
                    <w:pPr>
                      <w:spacing w:line="252" w:lineRule="auto"/>
                      <w:ind w:left="1520" w:right="5208" w:hanging="1320"/>
                      <w:rPr>
                        <w:rFonts w:ascii="MS Gothic"/>
                      </w:rPr>
                    </w:pPr>
                    <w:proofErr w:type="gramStart"/>
                    <w:r>
                      <w:rPr>
                        <w:rFonts w:ascii="MS Gothic"/>
                        <w:color w:val="333333"/>
                      </w:rPr>
                      <w:t>ConditionEvaluationReportLoggingListener( LogLevel.INFO</w:t>
                    </w:r>
                    <w:proofErr w:type="gramEnd"/>
                    <w:r>
                      <w:rPr>
                        <w:rFonts w:ascii="MS Gothic"/>
                        <w:color w:val="333333"/>
                      </w:rPr>
                      <w:t>);</w:t>
                    </w:r>
                  </w:p>
                  <w:p w14:paraId="4FF7F889" w14:textId="77777777" w:rsidR="00711A16" w:rsidRDefault="00711A16">
                    <w:pPr>
                      <w:spacing w:line="280" w:lineRule="exact"/>
                      <w:ind w:left="640"/>
                      <w:rPr>
                        <w:rFonts w:ascii="MS Gothic"/>
                      </w:rPr>
                    </w:pPr>
                    <w:r>
                      <w:rPr>
                        <w:rFonts w:ascii="MS Gothic"/>
                        <w:color w:val="333333"/>
                      </w:rPr>
                      <w:t xml:space="preserve">ApplicationContextRunner contextRunner = new </w:t>
                    </w:r>
                    <w:proofErr w:type="gramStart"/>
                    <w:r>
                      <w:rPr>
                        <w:rFonts w:ascii="MS Gothic"/>
                        <w:color w:val="333333"/>
                      </w:rPr>
                      <w:t>ApplicationContextRunner(</w:t>
                    </w:r>
                    <w:proofErr w:type="gramEnd"/>
                    <w:r>
                      <w:rPr>
                        <w:rFonts w:ascii="MS Gothic"/>
                        <w:color w:val="333333"/>
                      </w:rPr>
                      <w:t>)</w:t>
                    </w:r>
                  </w:p>
                  <w:p w14:paraId="7706739C" w14:textId="77777777" w:rsidR="00711A16" w:rsidRDefault="00711A16">
                    <w:pPr>
                      <w:spacing w:before="10"/>
                      <w:ind w:left="1520"/>
                      <w:rPr>
                        <w:rFonts w:ascii="MS Gothic"/>
                      </w:rPr>
                    </w:pPr>
                    <w:proofErr w:type="gramStart"/>
                    <w:r>
                      <w:rPr>
                        <w:rFonts w:ascii="MS Gothic"/>
                        <w:color w:val="333333"/>
                      </w:rPr>
                      <w:t>.withInitializer</w:t>
                    </w:r>
                    <w:proofErr w:type="gramEnd"/>
                    <w:r>
                      <w:rPr>
                        <w:rFonts w:ascii="MS Gothic"/>
                        <w:color w:val="333333"/>
                      </w:rPr>
                      <w:t>(initializer).run((context) -&gt; {</w:t>
                    </w:r>
                  </w:p>
                  <w:p w14:paraId="4D8E31B0" w14:textId="77777777" w:rsidR="00711A16" w:rsidRDefault="00711A16">
                    <w:pPr>
                      <w:spacing w:before="13"/>
                      <w:ind w:left="2400"/>
                      <w:rPr>
                        <w:rFonts w:ascii="MS Gothic"/>
                      </w:rPr>
                    </w:pPr>
                    <w:r>
                      <w:rPr>
                        <w:rFonts w:ascii="MS Gothic"/>
                        <w:color w:val="333333"/>
                      </w:rPr>
                      <w:t>// Do something...</w:t>
                    </w:r>
                  </w:p>
                  <w:p w14:paraId="63151D41" w14:textId="77777777" w:rsidR="00711A16" w:rsidRDefault="00711A16">
                    <w:pPr>
                      <w:spacing w:before="13"/>
                      <w:ind w:left="1520"/>
                      <w:rPr>
                        <w:rFonts w:ascii="MS Gothic"/>
                      </w:rPr>
                    </w:pPr>
                    <w:r>
                      <w:rPr>
                        <w:rFonts w:ascii="MS Gothic"/>
                        <w:color w:val="333333"/>
                      </w:rPr>
                      <w:t>});</w:t>
                    </w:r>
                  </w:p>
                  <w:p w14:paraId="3C102B2B"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08B6175A" w14:textId="77777777" w:rsidR="00A720EB" w:rsidRDefault="00A720EB">
      <w:pPr>
        <w:pStyle w:val="a3"/>
        <w:spacing w:before="11"/>
        <w:rPr>
          <w:sz w:val="16"/>
        </w:rPr>
      </w:pPr>
    </w:p>
    <w:p w14:paraId="4CAA857A" w14:textId="77777777" w:rsidR="00A720EB" w:rsidRDefault="0030286B">
      <w:pPr>
        <w:pStyle w:val="4"/>
        <w:spacing w:before="104"/>
      </w:pPr>
      <w:bookmarkStart w:id="515" w:name="Simulating_a_Web_Context"/>
      <w:bookmarkEnd w:id="515"/>
      <w:r>
        <w:rPr>
          <w:color w:val="333333"/>
          <w:w w:val="110"/>
        </w:rPr>
        <w:t>Simulating a Web Context</w:t>
      </w:r>
    </w:p>
    <w:p w14:paraId="44CF727C" w14:textId="77777777" w:rsidR="00A720EB" w:rsidRDefault="00A720EB">
      <w:pPr>
        <w:pStyle w:val="a3"/>
        <w:spacing w:before="11"/>
        <w:rPr>
          <w:rFonts w:ascii="Palatino Linotype"/>
          <w:b/>
          <w:sz w:val="18"/>
        </w:rPr>
      </w:pPr>
    </w:p>
    <w:p w14:paraId="6567DEBA" w14:textId="77777777" w:rsidR="00A720EB" w:rsidRDefault="0030286B">
      <w:pPr>
        <w:pStyle w:val="a3"/>
        <w:spacing w:line="297" w:lineRule="auto"/>
        <w:ind w:left="124" w:right="135"/>
        <w:jc w:val="both"/>
      </w:pPr>
      <w:r>
        <w:rPr>
          <w:color w:val="333333"/>
          <w:w w:val="110"/>
        </w:rPr>
        <w:t xml:space="preserve">If you need to test an auto-configuration that only operates in a Servlet or Reactive web application </w:t>
      </w:r>
      <w:r>
        <w:rPr>
          <w:color w:val="333333"/>
          <w:w w:val="105"/>
        </w:rPr>
        <w:t xml:space="preserve">context, use the </w:t>
      </w:r>
      <w:r>
        <w:rPr>
          <w:rFonts w:ascii="MS Gothic"/>
          <w:color w:val="B02045"/>
          <w:w w:val="105"/>
        </w:rPr>
        <w:t>WebApplicationContextRunner</w:t>
      </w:r>
      <w:r>
        <w:rPr>
          <w:rFonts w:ascii="MS Gothic"/>
          <w:color w:val="B02045"/>
          <w:spacing w:val="-72"/>
          <w:w w:val="105"/>
        </w:rPr>
        <w:t xml:space="preserve"> </w:t>
      </w:r>
      <w:r>
        <w:rPr>
          <w:color w:val="333333"/>
          <w:w w:val="105"/>
        </w:rPr>
        <w:t xml:space="preserve">or </w:t>
      </w:r>
      <w:r>
        <w:rPr>
          <w:rFonts w:ascii="MS Gothic"/>
          <w:color w:val="B02045"/>
          <w:w w:val="105"/>
        </w:rPr>
        <w:t>ReactiveWebApplicationContextRunner</w:t>
      </w:r>
      <w:r>
        <w:rPr>
          <w:rFonts w:ascii="MS Gothic"/>
          <w:color w:val="B02045"/>
          <w:spacing w:val="-72"/>
          <w:w w:val="105"/>
        </w:rPr>
        <w:t xml:space="preserve"> </w:t>
      </w:r>
      <w:r>
        <w:rPr>
          <w:color w:val="333333"/>
          <w:spacing w:val="-3"/>
          <w:w w:val="105"/>
        </w:rPr>
        <w:t>respectively.</w:t>
      </w:r>
    </w:p>
    <w:p w14:paraId="5CD8840C" w14:textId="77777777" w:rsidR="00A720EB" w:rsidRDefault="00A720EB">
      <w:pPr>
        <w:pStyle w:val="a3"/>
        <w:spacing w:before="11"/>
        <w:rPr>
          <w:sz w:val="24"/>
        </w:rPr>
      </w:pPr>
    </w:p>
    <w:p w14:paraId="794EB193" w14:textId="77777777" w:rsidR="00A720EB" w:rsidRDefault="0030286B">
      <w:pPr>
        <w:pStyle w:val="4"/>
      </w:pPr>
      <w:bookmarkStart w:id="516" w:name="Overriding_the_Classpath"/>
      <w:bookmarkEnd w:id="516"/>
      <w:r>
        <w:rPr>
          <w:color w:val="333333"/>
          <w:w w:val="110"/>
        </w:rPr>
        <w:t>Overriding the Classpath</w:t>
      </w:r>
    </w:p>
    <w:p w14:paraId="5AFF3FD9" w14:textId="77777777" w:rsidR="00A720EB" w:rsidRDefault="00A720EB">
      <w:pPr>
        <w:pStyle w:val="a3"/>
        <w:spacing w:before="11"/>
        <w:rPr>
          <w:rFonts w:ascii="Palatino Linotype"/>
          <w:b/>
          <w:sz w:val="18"/>
        </w:rPr>
      </w:pPr>
    </w:p>
    <w:p w14:paraId="0D4153F5" w14:textId="77777777" w:rsidR="00A720EB" w:rsidRDefault="0030286B">
      <w:pPr>
        <w:pStyle w:val="a3"/>
        <w:spacing w:before="1" w:line="290" w:lineRule="auto"/>
        <w:ind w:left="124" w:right="123"/>
        <w:jc w:val="both"/>
      </w:pPr>
      <w:r>
        <w:rPr>
          <w:color w:val="333333"/>
          <w:w w:val="110"/>
        </w:rPr>
        <w:t xml:space="preserve">It is also possible to test what happens when a particular class and/or package is not present at runtime. Spring Boot ships with a </w:t>
      </w:r>
      <w:r>
        <w:rPr>
          <w:rFonts w:ascii="MS Gothic"/>
          <w:color w:val="B02045"/>
          <w:w w:val="110"/>
        </w:rPr>
        <w:t xml:space="preserve">FilteredClassLoader </w:t>
      </w:r>
      <w:r>
        <w:rPr>
          <w:color w:val="333333"/>
          <w:w w:val="110"/>
        </w:rPr>
        <w:t xml:space="preserve">that can easily be used by the runner. In the following example, we assert that if </w:t>
      </w:r>
      <w:r>
        <w:rPr>
          <w:rFonts w:ascii="MS Gothic"/>
          <w:color w:val="B02045"/>
          <w:w w:val="110"/>
        </w:rPr>
        <w:t xml:space="preserve">UserService </w:t>
      </w:r>
      <w:r>
        <w:rPr>
          <w:color w:val="333333"/>
          <w:w w:val="110"/>
        </w:rPr>
        <w:t>is not present, the auto-configuration is properly disabled:</w:t>
      </w:r>
    </w:p>
    <w:p w14:paraId="1E3E959A" w14:textId="77777777" w:rsidR="00A720EB" w:rsidRDefault="00E10349">
      <w:pPr>
        <w:pStyle w:val="a3"/>
        <w:spacing w:before="4"/>
        <w:rPr>
          <w:sz w:val="14"/>
        </w:rPr>
      </w:pPr>
      <w:r>
        <w:pict w14:anchorId="06FB4696">
          <v:group id="_x0000_s3410" style="position:absolute;margin-left:47.85pt;margin-top:10.4pt;width:499.55pt;height:96.45pt;z-index:-15285248;mso-wrap-distance-left:0;mso-wrap-distance-right:0;mso-position-horizontal-relative:page" coordorigin="957,208" coordsize="9991,1929">
            <v:shape id="_x0000_s3413" style="position:absolute;left:964;top:215;width:9976;height:1914" coordorigin="965,216" coordsize="9976,1914" path="m10861,216r-9816,l1014,222r-26,17l971,265r-6,31l965,2050r6,31l988,2106r26,17l1045,2130r9816,l10892,2123r25,-17l10935,2081r6,-31l10941,296r-6,-31l10917,239r-25,-17l10861,216xe" fillcolor="#f5f5f5" stroked="f">
              <v:path arrowok="t"/>
            </v:shape>
            <v:shape id="_x0000_s3412" style="position:absolute;left:964;top:215;width:9976;height:1914" coordorigin="965,216" coordsize="9976,1914" path="m1045,216r9816,l10892,222r25,17l10935,265r6,31l10941,2050r-6,31l10917,2106r-25,17l10861,2130r-9816,l1014,2123r-26,-17l971,2081r-6,-31l965,296r6,-31l988,239r26,-17l1045,216xe" filled="f" strokecolor="#ccc">
              <v:path arrowok="t"/>
            </v:shape>
            <v:shape id="_x0000_s3411" type="#_x0000_t202" style="position:absolute;left:984;top:231;width:9938;height:1884" filled="f" stroked="f">
              <v:textbox inset="0,0,0,0">
                <w:txbxContent>
                  <w:p w14:paraId="7A54D250" w14:textId="77777777" w:rsidR="00711A16" w:rsidRDefault="00711A16">
                    <w:pPr>
                      <w:spacing w:before="221"/>
                      <w:ind w:left="200"/>
                      <w:rPr>
                        <w:rFonts w:ascii="MS Gothic"/>
                      </w:rPr>
                    </w:pPr>
                    <w:r>
                      <w:rPr>
                        <w:rFonts w:ascii="MS Gothic"/>
                        <w:color w:val="333333"/>
                      </w:rPr>
                      <w:t>@Test</w:t>
                    </w:r>
                  </w:p>
                  <w:p w14:paraId="23154ADD" w14:textId="77777777" w:rsidR="00711A16" w:rsidRDefault="00711A16">
                    <w:pPr>
                      <w:spacing w:before="13" w:line="252" w:lineRule="auto"/>
                      <w:ind w:left="640" w:right="698" w:hanging="440"/>
                      <w:rPr>
                        <w:rFonts w:ascii="MS Gothic"/>
                      </w:rPr>
                    </w:pPr>
                    <w:r>
                      <w:rPr>
                        <w:rFonts w:ascii="MS Gothic"/>
                        <w:color w:val="333333"/>
                      </w:rPr>
                      <w:t xml:space="preserve">void </w:t>
                    </w:r>
                    <w:proofErr w:type="gramStart"/>
                    <w:r>
                      <w:rPr>
                        <w:rFonts w:ascii="MS Gothic"/>
                        <w:color w:val="333333"/>
                      </w:rPr>
                      <w:t>serviceIsIgnoredIfLibraryIsNotPresent(</w:t>
                    </w:r>
                    <w:proofErr w:type="gramEnd"/>
                    <w:r>
                      <w:rPr>
                        <w:rFonts w:ascii="MS Gothic"/>
                        <w:color w:val="333333"/>
                      </w:rPr>
                      <w:t>) { this.contextRunner.withClassLoader(new</w:t>
                    </w:r>
                    <w:r>
                      <w:rPr>
                        <w:rFonts w:ascii="MS Gothic"/>
                        <w:color w:val="333333"/>
                        <w:spacing w:val="-17"/>
                      </w:rPr>
                      <w:t xml:space="preserve"> </w:t>
                    </w:r>
                    <w:r>
                      <w:rPr>
                        <w:rFonts w:ascii="MS Gothic"/>
                        <w:color w:val="333333"/>
                      </w:rPr>
                      <w:t>FilteredClassLoader(UserService.class))</w:t>
                    </w:r>
                  </w:p>
                  <w:p w14:paraId="02E5C73F" w14:textId="77777777" w:rsidR="00711A16" w:rsidRDefault="00711A16">
                    <w:pPr>
                      <w:spacing w:line="280" w:lineRule="exact"/>
                      <w:ind w:left="1520"/>
                      <w:rPr>
                        <w:rFonts w:ascii="MS Gothic"/>
                      </w:rPr>
                    </w:pPr>
                    <w:proofErr w:type="gramStart"/>
                    <w:r>
                      <w:rPr>
                        <w:rFonts w:ascii="MS Gothic"/>
                        <w:color w:val="333333"/>
                      </w:rPr>
                      <w:t>.run</w:t>
                    </w:r>
                    <w:proofErr w:type="gramEnd"/>
                    <w:r>
                      <w:rPr>
                        <w:rFonts w:ascii="MS Gothic"/>
                        <w:color w:val="333333"/>
                      </w:rPr>
                      <w:t>((context) -&gt; assertThat(context).doesNotHaveBean("userService"));</w:t>
                    </w:r>
                  </w:p>
                  <w:p w14:paraId="44196FE3"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61FE063E" w14:textId="77777777" w:rsidR="00A720EB" w:rsidRDefault="00A720EB">
      <w:pPr>
        <w:pStyle w:val="a3"/>
        <w:spacing w:before="11"/>
        <w:rPr>
          <w:sz w:val="16"/>
        </w:rPr>
      </w:pPr>
    </w:p>
    <w:p w14:paraId="6942556F" w14:textId="77777777" w:rsidR="00A720EB" w:rsidRDefault="0030286B">
      <w:pPr>
        <w:pStyle w:val="3"/>
        <w:numPr>
          <w:ilvl w:val="2"/>
          <w:numId w:val="68"/>
        </w:numPr>
        <w:tabs>
          <w:tab w:val="left" w:pos="1003"/>
        </w:tabs>
        <w:spacing w:before="105"/>
        <w:ind w:left="1002" w:hanging="879"/>
      </w:pPr>
      <w:bookmarkStart w:id="517" w:name="4.29.5._Creating_Your_Own_Starter"/>
      <w:bookmarkStart w:id="518" w:name="_Toc54423823"/>
      <w:bookmarkEnd w:id="517"/>
      <w:r>
        <w:rPr>
          <w:color w:val="333333"/>
          <w:w w:val="110"/>
        </w:rPr>
        <w:t xml:space="preserve">Creating </w:t>
      </w:r>
      <w:r>
        <w:rPr>
          <w:color w:val="333333"/>
          <w:spacing w:val="-6"/>
          <w:w w:val="110"/>
        </w:rPr>
        <w:t xml:space="preserve">Your </w:t>
      </w:r>
      <w:r>
        <w:rPr>
          <w:color w:val="333333"/>
          <w:w w:val="110"/>
        </w:rPr>
        <w:t>Own</w:t>
      </w:r>
      <w:r>
        <w:rPr>
          <w:color w:val="333333"/>
          <w:spacing w:val="-9"/>
          <w:w w:val="110"/>
        </w:rPr>
        <w:t xml:space="preserve"> </w:t>
      </w:r>
      <w:r>
        <w:rPr>
          <w:color w:val="333333"/>
          <w:w w:val="110"/>
        </w:rPr>
        <w:t>Starter</w:t>
      </w:r>
      <w:bookmarkEnd w:id="518"/>
    </w:p>
    <w:p w14:paraId="30D46628" w14:textId="77777777" w:rsidR="00A720EB" w:rsidRDefault="0030286B">
      <w:pPr>
        <w:pStyle w:val="a3"/>
        <w:spacing w:before="254" w:line="307" w:lineRule="auto"/>
        <w:ind w:left="124" w:right="123"/>
        <w:jc w:val="both"/>
      </w:pPr>
      <w:r>
        <w:rPr>
          <w:color w:val="333333"/>
          <w:w w:val="110"/>
        </w:rPr>
        <w:t xml:space="preserve">A typical Spring Boot starter contains code to auto-configure and customize the infrastructure of a given </w:t>
      </w:r>
      <w:r>
        <w:rPr>
          <w:color w:val="333333"/>
          <w:spacing w:val="-3"/>
          <w:w w:val="110"/>
        </w:rPr>
        <w:t xml:space="preserve">technology, </w:t>
      </w:r>
      <w:r>
        <w:rPr>
          <w:color w:val="333333"/>
          <w:w w:val="110"/>
        </w:rPr>
        <w:t xml:space="preserve">let’s call that "acme". </w:t>
      </w:r>
      <w:r>
        <w:rPr>
          <w:color w:val="333333"/>
          <w:spacing w:val="-4"/>
          <w:w w:val="110"/>
        </w:rPr>
        <w:t xml:space="preserve">To </w:t>
      </w:r>
      <w:r>
        <w:rPr>
          <w:color w:val="333333"/>
          <w:w w:val="110"/>
        </w:rPr>
        <w:t xml:space="preserve">make it easily extensible, a number of configuration </w:t>
      </w:r>
      <w:proofErr w:type="gramStart"/>
      <w:r>
        <w:rPr>
          <w:color w:val="333333"/>
          <w:w w:val="110"/>
        </w:rPr>
        <w:t>keys  in</w:t>
      </w:r>
      <w:proofErr w:type="gramEnd"/>
      <w:r>
        <w:rPr>
          <w:color w:val="333333"/>
          <w:w w:val="110"/>
        </w:rPr>
        <w:t xml:space="preserve"> a dedicated namespace can be exposed to the environment. </w:t>
      </w:r>
      <w:r>
        <w:rPr>
          <w:color w:val="333333"/>
          <w:spacing w:val="-4"/>
          <w:w w:val="110"/>
        </w:rPr>
        <w:t xml:space="preserve">Finally, </w:t>
      </w:r>
      <w:r>
        <w:rPr>
          <w:color w:val="333333"/>
          <w:w w:val="110"/>
        </w:rPr>
        <w:t xml:space="preserve">a single "starter" </w:t>
      </w:r>
      <w:proofErr w:type="gramStart"/>
      <w:r>
        <w:rPr>
          <w:color w:val="333333"/>
          <w:w w:val="110"/>
        </w:rPr>
        <w:t>dependency  is</w:t>
      </w:r>
      <w:proofErr w:type="gramEnd"/>
      <w:r>
        <w:rPr>
          <w:color w:val="333333"/>
          <w:w w:val="110"/>
        </w:rPr>
        <w:t xml:space="preserve"> provided to help users get started as easily as</w:t>
      </w:r>
      <w:r>
        <w:rPr>
          <w:color w:val="333333"/>
          <w:spacing w:val="25"/>
          <w:w w:val="110"/>
        </w:rPr>
        <w:t xml:space="preserve"> </w:t>
      </w:r>
      <w:r>
        <w:rPr>
          <w:color w:val="333333"/>
          <w:w w:val="110"/>
        </w:rPr>
        <w:t>possible.</w:t>
      </w:r>
    </w:p>
    <w:p w14:paraId="5F5FD669" w14:textId="77777777" w:rsidR="00A720EB" w:rsidRDefault="0030286B">
      <w:pPr>
        <w:pStyle w:val="a3"/>
        <w:spacing w:before="242"/>
        <w:ind w:left="124"/>
        <w:jc w:val="both"/>
      </w:pPr>
      <w:r>
        <w:rPr>
          <w:color w:val="333333"/>
          <w:w w:val="110"/>
        </w:rPr>
        <w:t>Concretely, a custom starter can contain the following:</w:t>
      </w:r>
    </w:p>
    <w:p w14:paraId="7AB157BA" w14:textId="77777777" w:rsidR="00A720EB" w:rsidRDefault="00A720EB">
      <w:pPr>
        <w:pStyle w:val="a3"/>
        <w:spacing w:before="5"/>
        <w:rPr>
          <w:sz w:val="25"/>
        </w:rPr>
      </w:pPr>
    </w:p>
    <w:p w14:paraId="007F75C2" w14:textId="77777777" w:rsidR="00A720EB" w:rsidRDefault="0030286B">
      <w:pPr>
        <w:pStyle w:val="a6"/>
        <w:numPr>
          <w:ilvl w:val="0"/>
          <w:numId w:val="29"/>
        </w:numPr>
        <w:tabs>
          <w:tab w:val="left" w:pos="485"/>
        </w:tabs>
        <w:rPr>
          <w:sz w:val="21"/>
        </w:rPr>
      </w:pPr>
      <w:r>
        <w:rPr>
          <w:color w:val="333333"/>
          <w:w w:val="110"/>
          <w:sz w:val="21"/>
        </w:rPr>
        <w:t xml:space="preserve">The </w:t>
      </w:r>
      <w:r>
        <w:rPr>
          <w:rFonts w:ascii="MS Gothic" w:hAnsi="MS Gothic"/>
          <w:color w:val="B02045"/>
          <w:w w:val="110"/>
          <w:sz w:val="21"/>
        </w:rPr>
        <w:t>autoconfigure</w:t>
      </w:r>
      <w:r>
        <w:rPr>
          <w:rFonts w:ascii="MS Gothic" w:hAnsi="MS Gothic"/>
          <w:color w:val="B02045"/>
          <w:spacing w:val="-61"/>
          <w:w w:val="110"/>
          <w:sz w:val="21"/>
        </w:rPr>
        <w:t xml:space="preserve"> </w:t>
      </w:r>
      <w:r>
        <w:rPr>
          <w:color w:val="333333"/>
          <w:w w:val="110"/>
          <w:sz w:val="21"/>
        </w:rPr>
        <w:t>module that contains the auto-configuration code for "acme".</w:t>
      </w:r>
    </w:p>
    <w:p w14:paraId="34D53844" w14:textId="77777777" w:rsidR="00A720EB" w:rsidRDefault="0030286B">
      <w:pPr>
        <w:pStyle w:val="a6"/>
        <w:numPr>
          <w:ilvl w:val="0"/>
          <w:numId w:val="29"/>
        </w:numPr>
        <w:tabs>
          <w:tab w:val="left" w:pos="485"/>
        </w:tabs>
        <w:spacing w:before="167" w:line="300" w:lineRule="auto"/>
        <w:ind w:right="126"/>
        <w:jc w:val="both"/>
        <w:rPr>
          <w:sz w:val="21"/>
        </w:rPr>
      </w:pPr>
      <w:r>
        <w:rPr>
          <w:color w:val="333333"/>
          <w:w w:val="110"/>
          <w:sz w:val="21"/>
        </w:rPr>
        <w:t xml:space="preserve">The </w:t>
      </w:r>
      <w:r>
        <w:rPr>
          <w:rFonts w:ascii="MS Gothic" w:hAnsi="MS Gothic"/>
          <w:color w:val="B02045"/>
          <w:w w:val="110"/>
          <w:sz w:val="21"/>
        </w:rPr>
        <w:t xml:space="preserve">starter </w:t>
      </w:r>
      <w:r>
        <w:rPr>
          <w:color w:val="333333"/>
          <w:w w:val="110"/>
          <w:sz w:val="21"/>
        </w:rPr>
        <w:t xml:space="preserve">module that provides a dependency to the </w:t>
      </w:r>
      <w:r>
        <w:rPr>
          <w:rFonts w:ascii="MS Gothic" w:hAnsi="MS Gothic"/>
          <w:color w:val="B02045"/>
          <w:w w:val="110"/>
          <w:sz w:val="21"/>
        </w:rPr>
        <w:t>autoconfigure</w:t>
      </w:r>
      <w:r>
        <w:rPr>
          <w:rFonts w:ascii="MS Gothic" w:hAnsi="MS Gothic"/>
          <w:color w:val="B02045"/>
          <w:spacing w:val="-76"/>
          <w:w w:val="110"/>
          <w:sz w:val="21"/>
        </w:rPr>
        <w:t xml:space="preserve"> </w:t>
      </w:r>
      <w:r>
        <w:rPr>
          <w:color w:val="333333"/>
          <w:w w:val="110"/>
          <w:sz w:val="21"/>
        </w:rPr>
        <w:t xml:space="preserve">module as well as "acme" and any additional dependencies that are typically useful. In a nutshell, </w:t>
      </w:r>
      <w:proofErr w:type="gramStart"/>
      <w:r>
        <w:rPr>
          <w:color w:val="333333"/>
          <w:w w:val="110"/>
          <w:sz w:val="21"/>
        </w:rPr>
        <w:t>adding  the</w:t>
      </w:r>
      <w:proofErr w:type="gramEnd"/>
      <w:r>
        <w:rPr>
          <w:color w:val="333333"/>
          <w:w w:val="110"/>
          <w:sz w:val="21"/>
        </w:rPr>
        <w:t xml:space="preserve">  starter  should provide everything needed to start using that</w:t>
      </w:r>
      <w:r>
        <w:rPr>
          <w:color w:val="333333"/>
          <w:spacing w:val="30"/>
          <w:w w:val="110"/>
          <w:sz w:val="21"/>
        </w:rPr>
        <w:t xml:space="preserve"> </w:t>
      </w:r>
      <w:r>
        <w:rPr>
          <w:color w:val="333333"/>
          <w:spacing w:val="-4"/>
          <w:w w:val="110"/>
          <w:sz w:val="21"/>
        </w:rPr>
        <w:t>library.</w:t>
      </w:r>
    </w:p>
    <w:p w14:paraId="72DC69A9" w14:textId="77777777" w:rsidR="00A720EB" w:rsidRDefault="0030286B">
      <w:pPr>
        <w:pStyle w:val="a3"/>
        <w:spacing w:before="245"/>
        <w:ind w:left="124"/>
        <w:jc w:val="both"/>
      </w:pPr>
      <w:r>
        <w:rPr>
          <w:color w:val="333333"/>
          <w:w w:val="110"/>
        </w:rPr>
        <w:t>This separation in two modules is in no way necessary. If "acme" has several flavours, options or</w:t>
      </w:r>
    </w:p>
    <w:p w14:paraId="0CCE5F63" w14:textId="77777777" w:rsidR="00A720EB" w:rsidRDefault="00A720EB">
      <w:pPr>
        <w:jc w:val="both"/>
        <w:sectPr w:rsidR="00A720EB">
          <w:pgSz w:w="11910" w:h="16840"/>
          <w:pgMar w:top="620" w:right="840" w:bottom="520" w:left="840" w:header="0" w:footer="323" w:gutter="0"/>
          <w:cols w:space="720"/>
        </w:sectPr>
      </w:pPr>
    </w:p>
    <w:p w14:paraId="642E12E2" w14:textId="77777777" w:rsidR="00A720EB" w:rsidRDefault="0030286B">
      <w:pPr>
        <w:pStyle w:val="a3"/>
        <w:spacing w:before="107" w:line="304" w:lineRule="auto"/>
        <w:ind w:left="124" w:right="126"/>
        <w:jc w:val="both"/>
      </w:pPr>
      <w:r>
        <w:rPr>
          <w:color w:val="333333"/>
          <w:w w:val="110"/>
        </w:rPr>
        <w:lastRenderedPageBreak/>
        <w:t>optional features, then it is better to separate the auto-configuration as you can clearly express the fact some features are optional. Besides, you have the ability to craft a starter that provides an</w:t>
      </w:r>
      <w:r>
        <w:rPr>
          <w:color w:val="333333"/>
          <w:spacing w:val="50"/>
          <w:w w:val="110"/>
        </w:rPr>
        <w:t xml:space="preserve"> </w:t>
      </w:r>
      <w:r>
        <w:rPr>
          <w:color w:val="333333"/>
          <w:w w:val="110"/>
        </w:rPr>
        <w:t xml:space="preserve">opinion about those optional dependencies. At the same time, others can rely only on the </w:t>
      </w:r>
      <w:r>
        <w:rPr>
          <w:rFonts w:ascii="MS Gothic"/>
          <w:color w:val="B02045"/>
          <w:w w:val="110"/>
        </w:rPr>
        <w:t>autoconfigure</w:t>
      </w:r>
      <w:r>
        <w:rPr>
          <w:rFonts w:ascii="MS Gothic"/>
          <w:color w:val="B02045"/>
          <w:spacing w:val="-52"/>
          <w:w w:val="110"/>
        </w:rPr>
        <w:t xml:space="preserve"> </w:t>
      </w:r>
      <w:r>
        <w:rPr>
          <w:color w:val="333333"/>
          <w:w w:val="110"/>
        </w:rPr>
        <w:t>module and craft their own starter with different opinions.</w:t>
      </w:r>
    </w:p>
    <w:p w14:paraId="56975199" w14:textId="77777777" w:rsidR="00A720EB" w:rsidRDefault="0030286B">
      <w:pPr>
        <w:pStyle w:val="a3"/>
        <w:spacing w:before="222" w:line="307" w:lineRule="auto"/>
        <w:ind w:left="124" w:right="133"/>
        <w:jc w:val="both"/>
      </w:pPr>
      <w:r>
        <w:rPr>
          <w:color w:val="333333"/>
          <w:w w:val="110"/>
        </w:rPr>
        <w:t>If the auto-configuration is relatively straightforward and does not have optional feature, merging the two modules in the starter is definitely an</w:t>
      </w:r>
      <w:r>
        <w:rPr>
          <w:color w:val="333333"/>
          <w:spacing w:val="27"/>
          <w:w w:val="110"/>
        </w:rPr>
        <w:t xml:space="preserve"> </w:t>
      </w:r>
      <w:r>
        <w:rPr>
          <w:color w:val="333333"/>
          <w:w w:val="110"/>
        </w:rPr>
        <w:t>option.</w:t>
      </w:r>
    </w:p>
    <w:p w14:paraId="06225133" w14:textId="77777777" w:rsidR="00A720EB" w:rsidRDefault="00A720EB">
      <w:pPr>
        <w:pStyle w:val="a3"/>
        <w:spacing w:before="8"/>
        <w:rPr>
          <w:sz w:val="25"/>
        </w:rPr>
      </w:pPr>
    </w:p>
    <w:p w14:paraId="6D91B33E" w14:textId="77777777" w:rsidR="00A720EB" w:rsidRDefault="0030286B">
      <w:pPr>
        <w:pStyle w:val="4"/>
        <w:jc w:val="left"/>
      </w:pPr>
      <w:bookmarkStart w:id="519" w:name="Naming"/>
      <w:bookmarkEnd w:id="519"/>
      <w:r>
        <w:rPr>
          <w:color w:val="333333"/>
          <w:w w:val="105"/>
        </w:rPr>
        <w:t>Naming</w:t>
      </w:r>
    </w:p>
    <w:p w14:paraId="099647B0" w14:textId="77777777" w:rsidR="00A720EB" w:rsidRDefault="00A720EB">
      <w:pPr>
        <w:pStyle w:val="a3"/>
        <w:spacing w:before="11"/>
        <w:rPr>
          <w:rFonts w:ascii="Palatino Linotype"/>
          <w:b/>
          <w:sz w:val="18"/>
        </w:rPr>
      </w:pPr>
    </w:p>
    <w:p w14:paraId="6548EFA5" w14:textId="77777777" w:rsidR="00A720EB" w:rsidRDefault="0030286B">
      <w:pPr>
        <w:pStyle w:val="a3"/>
        <w:spacing w:before="1" w:line="295" w:lineRule="auto"/>
        <w:ind w:left="124" w:right="122"/>
        <w:jc w:val="both"/>
      </w:pPr>
      <w:r>
        <w:rPr>
          <w:color w:val="333333"/>
          <w:spacing w:val="-6"/>
          <w:w w:val="110"/>
        </w:rPr>
        <w:t xml:space="preserve">You </w:t>
      </w:r>
      <w:r>
        <w:rPr>
          <w:color w:val="333333"/>
          <w:w w:val="110"/>
        </w:rPr>
        <w:t xml:space="preserve">should make sure to provide a proper namespace for your starter. Do not start your module names with </w:t>
      </w:r>
      <w:r>
        <w:rPr>
          <w:rFonts w:ascii="MS Gothic"/>
          <w:color w:val="B02045"/>
          <w:w w:val="110"/>
        </w:rPr>
        <w:t>spring-boot</w:t>
      </w:r>
      <w:r>
        <w:rPr>
          <w:color w:val="333333"/>
          <w:w w:val="110"/>
        </w:rPr>
        <w:t xml:space="preserve">, even if you use a different Maven </w:t>
      </w:r>
      <w:r>
        <w:rPr>
          <w:rFonts w:ascii="MS Gothic"/>
          <w:color w:val="B02045"/>
          <w:w w:val="110"/>
        </w:rPr>
        <w:t>groupId</w:t>
      </w:r>
      <w:r>
        <w:rPr>
          <w:color w:val="333333"/>
          <w:w w:val="110"/>
        </w:rPr>
        <w:t xml:space="preserve">. </w:t>
      </w:r>
      <w:r>
        <w:rPr>
          <w:color w:val="333333"/>
          <w:spacing w:val="-7"/>
          <w:w w:val="110"/>
        </w:rPr>
        <w:t xml:space="preserve">We </w:t>
      </w:r>
      <w:r>
        <w:rPr>
          <w:color w:val="333333"/>
          <w:w w:val="110"/>
        </w:rPr>
        <w:t xml:space="preserve">may offer official </w:t>
      </w:r>
      <w:proofErr w:type="gramStart"/>
      <w:r>
        <w:rPr>
          <w:color w:val="333333"/>
          <w:w w:val="110"/>
        </w:rPr>
        <w:t>support  for</w:t>
      </w:r>
      <w:proofErr w:type="gramEnd"/>
      <w:r>
        <w:rPr>
          <w:color w:val="333333"/>
          <w:w w:val="110"/>
        </w:rPr>
        <w:t xml:space="preserve"> the thing you auto-configure in the</w:t>
      </w:r>
      <w:r>
        <w:rPr>
          <w:color w:val="333333"/>
          <w:spacing w:val="23"/>
          <w:w w:val="110"/>
        </w:rPr>
        <w:t xml:space="preserve"> </w:t>
      </w:r>
      <w:r>
        <w:rPr>
          <w:color w:val="333333"/>
          <w:w w:val="110"/>
        </w:rPr>
        <w:t>future.</w:t>
      </w:r>
    </w:p>
    <w:p w14:paraId="3A1E7C6F" w14:textId="77777777" w:rsidR="00A720EB" w:rsidRDefault="0030286B">
      <w:pPr>
        <w:pStyle w:val="a3"/>
        <w:spacing w:before="250" w:line="288" w:lineRule="auto"/>
        <w:ind w:left="124" w:right="122"/>
        <w:jc w:val="both"/>
      </w:pPr>
      <w:r>
        <w:rPr>
          <w:color w:val="333333"/>
          <w:w w:val="110"/>
        </w:rPr>
        <w:t xml:space="preserve">As a rule of thumb, you should name a combined module after the starter. </w:t>
      </w:r>
      <w:proofErr w:type="gramStart"/>
      <w:r>
        <w:rPr>
          <w:color w:val="333333"/>
          <w:spacing w:val="-4"/>
          <w:w w:val="110"/>
        </w:rPr>
        <w:t xml:space="preserve">For  </w:t>
      </w:r>
      <w:r>
        <w:rPr>
          <w:color w:val="333333"/>
          <w:w w:val="110"/>
        </w:rPr>
        <w:t>example</w:t>
      </w:r>
      <w:proofErr w:type="gramEnd"/>
      <w:r>
        <w:rPr>
          <w:color w:val="333333"/>
          <w:w w:val="110"/>
        </w:rPr>
        <w:t xml:space="preserve">, assume   </w:t>
      </w:r>
      <w:r>
        <w:rPr>
          <w:color w:val="333333"/>
          <w:spacing w:val="50"/>
          <w:w w:val="110"/>
        </w:rPr>
        <w:t xml:space="preserve"> </w:t>
      </w:r>
      <w:r>
        <w:rPr>
          <w:color w:val="333333"/>
          <w:w w:val="110"/>
        </w:rPr>
        <w:t xml:space="preserve">that you are creating a starter for "acme" and that you name the auto-configure module </w:t>
      </w:r>
      <w:r>
        <w:rPr>
          <w:rFonts w:ascii="MS Gothic"/>
          <w:color w:val="B02045"/>
          <w:w w:val="110"/>
        </w:rPr>
        <w:t>acme- spring-boot</w:t>
      </w:r>
      <w:r>
        <w:rPr>
          <w:rFonts w:ascii="MS Gothic"/>
          <w:color w:val="B02045"/>
          <w:spacing w:val="-39"/>
          <w:w w:val="110"/>
        </w:rPr>
        <w:t xml:space="preserve"> </w:t>
      </w:r>
      <w:r>
        <w:rPr>
          <w:color w:val="333333"/>
          <w:w w:val="110"/>
        </w:rPr>
        <w:t xml:space="preserve">and the starter </w:t>
      </w:r>
      <w:r>
        <w:rPr>
          <w:rFonts w:ascii="MS Gothic"/>
          <w:color w:val="B02045"/>
          <w:w w:val="110"/>
        </w:rPr>
        <w:t>acme-spring-boot-starter</w:t>
      </w:r>
      <w:r>
        <w:rPr>
          <w:color w:val="333333"/>
          <w:w w:val="110"/>
        </w:rPr>
        <w:t xml:space="preserve">. If you only have one module that combines the two, name </w:t>
      </w:r>
      <w:proofErr w:type="gramStart"/>
      <w:r>
        <w:rPr>
          <w:color w:val="333333"/>
          <w:w w:val="110"/>
        </w:rPr>
        <w:t>it</w:t>
      </w:r>
      <w:proofErr w:type="gramEnd"/>
      <w:r>
        <w:rPr>
          <w:color w:val="333333"/>
          <w:spacing w:val="4"/>
          <w:w w:val="110"/>
        </w:rPr>
        <w:t xml:space="preserve"> </w:t>
      </w:r>
      <w:r>
        <w:rPr>
          <w:rFonts w:ascii="MS Gothic"/>
          <w:color w:val="B02045"/>
          <w:w w:val="110"/>
        </w:rPr>
        <w:t>acme-spring-boot-starter</w:t>
      </w:r>
      <w:r>
        <w:rPr>
          <w:color w:val="333333"/>
          <w:w w:val="110"/>
        </w:rPr>
        <w:t>.</w:t>
      </w:r>
    </w:p>
    <w:p w14:paraId="3E9892F4" w14:textId="77777777" w:rsidR="00A720EB" w:rsidRDefault="00A720EB">
      <w:pPr>
        <w:pStyle w:val="a3"/>
        <w:spacing w:before="5"/>
        <w:rPr>
          <w:sz w:val="25"/>
        </w:rPr>
      </w:pPr>
    </w:p>
    <w:p w14:paraId="7E4A724E" w14:textId="77777777" w:rsidR="00A720EB" w:rsidRDefault="0030286B">
      <w:pPr>
        <w:pStyle w:val="4"/>
        <w:jc w:val="left"/>
      </w:pPr>
      <w:bookmarkStart w:id="520" w:name="Configuration_keys"/>
      <w:bookmarkEnd w:id="520"/>
      <w:r>
        <w:rPr>
          <w:color w:val="333333"/>
          <w:w w:val="110"/>
        </w:rPr>
        <w:t>Configuration keys</w:t>
      </w:r>
    </w:p>
    <w:p w14:paraId="0910081C" w14:textId="77777777" w:rsidR="00A720EB" w:rsidRDefault="00A720EB">
      <w:pPr>
        <w:pStyle w:val="a3"/>
        <w:spacing w:before="11"/>
        <w:rPr>
          <w:rFonts w:ascii="Palatino Linotype"/>
          <w:b/>
          <w:sz w:val="18"/>
        </w:rPr>
      </w:pPr>
    </w:p>
    <w:p w14:paraId="4713D1B2" w14:textId="77777777" w:rsidR="00A720EB" w:rsidRDefault="0030286B">
      <w:pPr>
        <w:pStyle w:val="a3"/>
        <w:spacing w:before="1" w:line="297" w:lineRule="auto"/>
        <w:ind w:left="124" w:right="123"/>
        <w:jc w:val="both"/>
      </w:pPr>
      <w:r>
        <w:rPr>
          <w:color w:val="333333"/>
          <w:w w:val="110"/>
        </w:rPr>
        <w:t xml:space="preserve">If your starter provides configuration keys, use a unique namespace for them. In particular, do not include your keys in the namespaces that Spring Boot uses (such as </w:t>
      </w:r>
      <w:r>
        <w:rPr>
          <w:rFonts w:ascii="MS Gothic"/>
          <w:color w:val="B02045"/>
          <w:w w:val="110"/>
        </w:rPr>
        <w:t>server</w:t>
      </w:r>
      <w:r>
        <w:rPr>
          <w:color w:val="333333"/>
          <w:w w:val="110"/>
        </w:rPr>
        <w:t xml:space="preserve">, </w:t>
      </w:r>
      <w:r>
        <w:rPr>
          <w:rFonts w:ascii="MS Gothic"/>
          <w:color w:val="B02045"/>
          <w:w w:val="110"/>
        </w:rPr>
        <w:t>management</w:t>
      </w:r>
      <w:r>
        <w:rPr>
          <w:color w:val="333333"/>
          <w:w w:val="110"/>
        </w:rPr>
        <w:t xml:space="preserve">, </w:t>
      </w:r>
      <w:r>
        <w:rPr>
          <w:rFonts w:ascii="MS Gothic"/>
          <w:color w:val="B02045"/>
          <w:w w:val="110"/>
        </w:rPr>
        <w:t>spring</w:t>
      </w:r>
      <w:r>
        <w:rPr>
          <w:color w:val="333333"/>
          <w:w w:val="110"/>
        </w:rPr>
        <w:t xml:space="preserve">, and so on). If you use the same namespace, we may modify these namespaces in the future in ways that break your modules. As a rule of thumb, prefix all your keys with a namespace that you own (e.g. </w:t>
      </w:r>
      <w:r>
        <w:rPr>
          <w:rFonts w:ascii="MS Gothic"/>
          <w:color w:val="B02045"/>
          <w:w w:val="110"/>
        </w:rPr>
        <w:t>acme</w:t>
      </w:r>
      <w:r>
        <w:rPr>
          <w:color w:val="333333"/>
          <w:w w:val="110"/>
        </w:rPr>
        <w:t>).</w:t>
      </w:r>
    </w:p>
    <w:p w14:paraId="5E6063FE" w14:textId="77777777" w:rsidR="00A720EB" w:rsidRDefault="0030286B">
      <w:pPr>
        <w:pStyle w:val="a3"/>
        <w:spacing w:before="234" w:line="307" w:lineRule="auto"/>
        <w:ind w:left="124" w:right="131"/>
        <w:jc w:val="both"/>
      </w:pPr>
      <w:r>
        <w:rPr>
          <w:color w:val="333333"/>
          <w:w w:val="110"/>
        </w:rPr>
        <w:t>Make sure that configuration keys are documented by adding field javadoc for each property, as shown in the following example:</w:t>
      </w:r>
    </w:p>
    <w:p w14:paraId="32E8E84F" w14:textId="77777777" w:rsidR="00A720EB" w:rsidRDefault="00E10349">
      <w:pPr>
        <w:pStyle w:val="a3"/>
        <w:spacing w:before="2"/>
        <w:rPr>
          <w:sz w:val="13"/>
        </w:rPr>
      </w:pPr>
      <w:r>
        <w:pict w14:anchorId="70CFA1A9">
          <v:group id="_x0000_s3406" style="position:absolute;margin-left:47.85pt;margin-top:9.7pt;width:499.55pt;height:258.6pt;z-index:-15284736;mso-wrap-distance-left:0;mso-wrap-distance-right:0;mso-position-horizontal-relative:page" coordorigin="957,194" coordsize="9991,5172">
            <v:shape id="_x0000_s3409" style="position:absolute;left:964;top:201;width:9976;height:5157" coordorigin="965,202" coordsize="9976,5157" path="m10861,202r-9816,l1014,208r-26,17l971,251r-6,31l965,5279r6,31l988,5335r26,17l1045,5359r9816,l10892,5352r25,-17l10935,5310r6,-31l10941,282r-6,-31l10917,225r-25,-17l10861,202xe" fillcolor="#f5f5f5" stroked="f">
              <v:path arrowok="t"/>
            </v:shape>
            <v:shape id="_x0000_s3408" style="position:absolute;left:964;top:201;width:9976;height:5157" coordorigin="965,202" coordsize="9976,5157" path="m1045,202r9816,l10892,208r25,17l10935,251r6,31l10941,5279r-6,31l10917,5335r-25,17l10861,5359r-9816,l1014,5352r-26,-17l971,5310r-6,-31l965,282r6,-31l988,225r26,-17l1045,202xe" filled="f" strokecolor="#ccc">
              <v:path arrowok="t"/>
            </v:shape>
            <v:shape id="_x0000_s3407" type="#_x0000_t202" style="position:absolute;left:984;top:217;width:9938;height:5126" filled="f" stroked="f">
              <v:textbox inset="0,0,0,0">
                <w:txbxContent>
                  <w:p w14:paraId="0054A223" w14:textId="77777777" w:rsidR="00711A16" w:rsidRDefault="00711A16">
                    <w:pPr>
                      <w:spacing w:before="221" w:line="252" w:lineRule="auto"/>
                      <w:ind w:left="200" w:right="6198"/>
                      <w:rPr>
                        <w:rFonts w:ascii="MS Gothic"/>
                      </w:rPr>
                    </w:pPr>
                    <w:r>
                      <w:rPr>
                        <w:rFonts w:ascii="MS Gothic"/>
                        <w:color w:val="333333"/>
                      </w:rPr>
                      <w:t>@ConfigurationProperties("acme") public class AcmeProperties {</w:t>
                    </w:r>
                  </w:p>
                  <w:p w14:paraId="49DCBA22" w14:textId="77777777" w:rsidR="00711A16" w:rsidRDefault="00711A16">
                    <w:pPr>
                      <w:spacing w:before="10"/>
                      <w:rPr>
                        <w:rFonts w:ascii="MS Gothic"/>
                      </w:rPr>
                    </w:pPr>
                  </w:p>
                  <w:p w14:paraId="33DD84A5" w14:textId="77777777" w:rsidR="00711A16" w:rsidRDefault="00711A16">
                    <w:pPr>
                      <w:ind w:left="640"/>
                      <w:rPr>
                        <w:rFonts w:ascii="MS Gothic"/>
                      </w:rPr>
                    </w:pPr>
                    <w:r>
                      <w:rPr>
                        <w:rFonts w:ascii="MS Gothic"/>
                        <w:color w:val="333333"/>
                      </w:rPr>
                      <w:t>/**</w:t>
                    </w:r>
                  </w:p>
                  <w:p w14:paraId="54366B15" w14:textId="77777777" w:rsidR="00711A16" w:rsidRDefault="00711A16">
                    <w:pPr>
                      <w:numPr>
                        <w:ilvl w:val="0"/>
                        <w:numId w:val="28"/>
                      </w:numPr>
                      <w:tabs>
                        <w:tab w:val="left" w:pos="971"/>
                      </w:tabs>
                      <w:spacing w:before="13"/>
                      <w:ind w:hanging="221"/>
                      <w:rPr>
                        <w:rFonts w:ascii="MS Gothic"/>
                      </w:rPr>
                    </w:pPr>
                    <w:r>
                      <w:rPr>
                        <w:rFonts w:ascii="MS Gothic"/>
                        <w:color w:val="333333"/>
                      </w:rPr>
                      <w:t>Whether to check the location of acme resources.</w:t>
                    </w:r>
                  </w:p>
                  <w:p w14:paraId="46B6E6DC" w14:textId="77777777" w:rsidR="00711A16" w:rsidRDefault="00711A16">
                    <w:pPr>
                      <w:spacing w:before="13"/>
                      <w:ind w:left="750"/>
                      <w:rPr>
                        <w:rFonts w:ascii="MS Gothic"/>
                      </w:rPr>
                    </w:pPr>
                    <w:r>
                      <w:rPr>
                        <w:rFonts w:ascii="MS Gothic"/>
                        <w:color w:val="333333"/>
                      </w:rPr>
                      <w:t>*/</w:t>
                    </w:r>
                  </w:p>
                  <w:p w14:paraId="71C364C7" w14:textId="77777777" w:rsidR="00711A16" w:rsidRDefault="00711A16">
                    <w:pPr>
                      <w:spacing w:before="13"/>
                      <w:ind w:left="640"/>
                      <w:rPr>
                        <w:rFonts w:ascii="MS Gothic"/>
                      </w:rPr>
                    </w:pPr>
                    <w:r>
                      <w:rPr>
                        <w:rFonts w:ascii="MS Gothic"/>
                        <w:color w:val="333333"/>
                      </w:rPr>
                      <w:t>private boolean checkLocation = true;</w:t>
                    </w:r>
                  </w:p>
                  <w:p w14:paraId="6FFE24D8" w14:textId="77777777" w:rsidR="00711A16" w:rsidRDefault="00711A16">
                    <w:pPr>
                      <w:rPr>
                        <w:rFonts w:ascii="MS Gothic"/>
                        <w:sz w:val="24"/>
                      </w:rPr>
                    </w:pPr>
                  </w:p>
                  <w:p w14:paraId="03D86ABC" w14:textId="77777777" w:rsidR="00711A16" w:rsidRDefault="00711A16">
                    <w:pPr>
                      <w:ind w:left="640"/>
                      <w:rPr>
                        <w:rFonts w:ascii="MS Gothic"/>
                      </w:rPr>
                    </w:pPr>
                    <w:r>
                      <w:rPr>
                        <w:rFonts w:ascii="MS Gothic"/>
                        <w:color w:val="333333"/>
                      </w:rPr>
                      <w:t>/**</w:t>
                    </w:r>
                  </w:p>
                  <w:p w14:paraId="20834FF1" w14:textId="77777777" w:rsidR="00711A16" w:rsidRDefault="00711A16">
                    <w:pPr>
                      <w:numPr>
                        <w:ilvl w:val="0"/>
                        <w:numId w:val="28"/>
                      </w:numPr>
                      <w:tabs>
                        <w:tab w:val="left" w:pos="971"/>
                      </w:tabs>
                      <w:spacing w:before="13"/>
                      <w:ind w:hanging="221"/>
                      <w:rPr>
                        <w:rFonts w:ascii="MS Gothic"/>
                      </w:rPr>
                    </w:pPr>
                    <w:r>
                      <w:rPr>
                        <w:rFonts w:ascii="MS Gothic"/>
                        <w:color w:val="333333"/>
                      </w:rPr>
                      <w:t>Timeout for establishing a connection to the acme server.</w:t>
                    </w:r>
                  </w:p>
                  <w:p w14:paraId="689E9961" w14:textId="77777777" w:rsidR="00711A16" w:rsidRDefault="00711A16">
                    <w:pPr>
                      <w:spacing w:before="13"/>
                      <w:ind w:left="750"/>
                      <w:rPr>
                        <w:rFonts w:ascii="MS Gothic"/>
                      </w:rPr>
                    </w:pPr>
                    <w:r>
                      <w:rPr>
                        <w:rFonts w:ascii="MS Gothic"/>
                        <w:color w:val="333333"/>
                      </w:rPr>
                      <w:t>*/</w:t>
                    </w:r>
                  </w:p>
                  <w:p w14:paraId="276F0D5C" w14:textId="77777777" w:rsidR="00711A16" w:rsidRDefault="00711A16">
                    <w:pPr>
                      <w:spacing w:before="13"/>
                      <w:ind w:left="640"/>
                      <w:rPr>
                        <w:rFonts w:ascii="MS Gothic"/>
                      </w:rPr>
                    </w:pPr>
                    <w:r>
                      <w:rPr>
                        <w:rFonts w:ascii="MS Gothic"/>
                        <w:color w:val="333333"/>
                      </w:rPr>
                      <w:t>private Duration loginTimeout = Duration.ofSeconds(3);</w:t>
                    </w:r>
                  </w:p>
                  <w:p w14:paraId="6A604435" w14:textId="77777777" w:rsidR="00711A16" w:rsidRDefault="00711A16">
                    <w:pPr>
                      <w:rPr>
                        <w:rFonts w:ascii="MS Gothic"/>
                        <w:sz w:val="24"/>
                      </w:rPr>
                    </w:pPr>
                  </w:p>
                  <w:p w14:paraId="0A259187" w14:textId="77777777" w:rsidR="00711A16" w:rsidRDefault="00711A16">
                    <w:pPr>
                      <w:ind w:left="640"/>
                      <w:rPr>
                        <w:rFonts w:ascii="MS Gothic"/>
                      </w:rPr>
                    </w:pPr>
                    <w:r>
                      <w:rPr>
                        <w:rFonts w:ascii="MS Gothic"/>
                        <w:color w:val="333333"/>
                      </w:rPr>
                      <w:t>// getters &amp; setters</w:t>
                    </w:r>
                  </w:p>
                  <w:p w14:paraId="5E4CAD93" w14:textId="77777777" w:rsidR="00711A16" w:rsidRDefault="00711A16">
                    <w:pPr>
                      <w:rPr>
                        <w:rFonts w:ascii="MS Gothic"/>
                        <w:sz w:val="24"/>
                      </w:rPr>
                    </w:pPr>
                  </w:p>
                  <w:p w14:paraId="3EABCFD2"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2C24DACB" w14:textId="77777777" w:rsidR="00A720EB" w:rsidRDefault="00A720EB">
      <w:pPr>
        <w:pStyle w:val="a3"/>
        <w:spacing w:before="8"/>
        <w:rPr>
          <w:sz w:val="16"/>
        </w:rPr>
      </w:pPr>
    </w:p>
    <w:p w14:paraId="1CEA6B26" w14:textId="77777777" w:rsidR="00A720EB" w:rsidRDefault="00E10349">
      <w:pPr>
        <w:pStyle w:val="a3"/>
        <w:spacing w:before="116" w:line="290" w:lineRule="auto"/>
        <w:ind w:left="1564" w:right="359"/>
      </w:pPr>
      <w:r>
        <w:pict w14:anchorId="6879C0EF">
          <v:line id="_x0000_s3405" style="position:absolute;left:0;text-align:left;z-index:16173056;mso-position-horizontal-relative:page" from="108.25pt,.35pt" to="108.25pt,39.9pt" strokecolor="#ededed" strokeweight=".5pt">
            <w10:wrap anchorx="page"/>
          </v:line>
        </w:pict>
      </w:r>
      <w:r w:rsidR="0030286B">
        <w:rPr>
          <w:noProof/>
        </w:rPr>
        <w:drawing>
          <wp:anchor distT="0" distB="0" distL="0" distR="0" simplePos="0" relativeHeight="16173568" behindDoc="0" locked="0" layoutInCell="1" allowOverlap="1" wp14:anchorId="21EB8A6F" wp14:editId="642A9698">
            <wp:simplePos x="0" y="0"/>
            <wp:positionH relativeFrom="page">
              <wp:posOffset>844422</wp:posOffset>
            </wp:positionH>
            <wp:positionV relativeFrom="paragraph">
              <wp:posOffset>106248</wp:posOffset>
            </wp:positionV>
            <wp:extent cx="298450" cy="298450"/>
            <wp:effectExtent l="0" t="0" r="0" b="0"/>
            <wp:wrapNone/>
            <wp:docPr id="5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You should only use plain text with </w:t>
      </w:r>
      <w:r w:rsidR="0030286B">
        <w:rPr>
          <w:rFonts w:ascii="MS Gothic"/>
          <w:color w:val="B02045"/>
          <w:w w:val="110"/>
        </w:rPr>
        <w:t xml:space="preserve">@ConfigurationProperties </w:t>
      </w:r>
      <w:r w:rsidR="0030286B">
        <w:rPr>
          <w:color w:val="333333"/>
          <w:w w:val="110"/>
        </w:rPr>
        <w:t>field Javadoc, since they are not processed before being added to the JSON.</w:t>
      </w:r>
    </w:p>
    <w:p w14:paraId="681D5CA1" w14:textId="77777777" w:rsidR="00A720EB" w:rsidRDefault="00A720EB">
      <w:pPr>
        <w:spacing w:line="290" w:lineRule="auto"/>
        <w:sectPr w:rsidR="00A720EB">
          <w:pgSz w:w="11910" w:h="16840"/>
          <w:pgMar w:top="620" w:right="840" w:bottom="520" w:left="840" w:header="0" w:footer="323" w:gutter="0"/>
          <w:cols w:space="720"/>
        </w:sectPr>
      </w:pPr>
    </w:p>
    <w:p w14:paraId="497785CC" w14:textId="77777777" w:rsidR="00A720EB" w:rsidRDefault="0030286B">
      <w:pPr>
        <w:pStyle w:val="a3"/>
        <w:spacing w:before="102"/>
        <w:ind w:left="124"/>
        <w:jc w:val="both"/>
      </w:pPr>
      <w:r>
        <w:rPr>
          <w:color w:val="333333"/>
          <w:w w:val="110"/>
        </w:rPr>
        <w:lastRenderedPageBreak/>
        <w:t>Here are some rules we follow internally to make sure descriptions are consistent:</w:t>
      </w:r>
    </w:p>
    <w:p w14:paraId="0954BFE0" w14:textId="77777777" w:rsidR="00A720EB" w:rsidRDefault="00A720EB">
      <w:pPr>
        <w:pStyle w:val="a3"/>
        <w:spacing w:before="4"/>
        <w:rPr>
          <w:sz w:val="26"/>
        </w:rPr>
      </w:pPr>
    </w:p>
    <w:p w14:paraId="1351A2E9" w14:textId="77777777" w:rsidR="00A720EB" w:rsidRDefault="0030286B">
      <w:pPr>
        <w:pStyle w:val="a6"/>
        <w:numPr>
          <w:ilvl w:val="0"/>
          <w:numId w:val="29"/>
        </w:numPr>
        <w:tabs>
          <w:tab w:val="left" w:pos="485"/>
        </w:tabs>
        <w:rPr>
          <w:sz w:val="21"/>
        </w:rPr>
      </w:pPr>
      <w:r>
        <w:rPr>
          <w:color w:val="333333"/>
          <w:w w:val="110"/>
          <w:sz w:val="21"/>
        </w:rPr>
        <w:t xml:space="preserve">Do not start the description </w:t>
      </w:r>
      <w:r>
        <w:rPr>
          <w:color w:val="333333"/>
          <w:spacing w:val="-3"/>
          <w:w w:val="110"/>
          <w:sz w:val="21"/>
        </w:rPr>
        <w:t xml:space="preserve">by </w:t>
      </w:r>
      <w:r>
        <w:rPr>
          <w:color w:val="333333"/>
          <w:w w:val="110"/>
          <w:sz w:val="21"/>
        </w:rPr>
        <w:t>"The" or</w:t>
      </w:r>
      <w:r>
        <w:rPr>
          <w:color w:val="333333"/>
          <w:spacing w:val="26"/>
          <w:w w:val="110"/>
          <w:sz w:val="21"/>
        </w:rPr>
        <w:t xml:space="preserve"> </w:t>
      </w:r>
      <w:r>
        <w:rPr>
          <w:color w:val="333333"/>
          <w:spacing w:val="-9"/>
          <w:w w:val="110"/>
          <w:sz w:val="21"/>
        </w:rPr>
        <w:t>"A".</w:t>
      </w:r>
    </w:p>
    <w:p w14:paraId="3DE37067" w14:textId="77777777" w:rsidR="00A720EB" w:rsidRDefault="0030286B">
      <w:pPr>
        <w:pStyle w:val="a6"/>
        <w:numPr>
          <w:ilvl w:val="0"/>
          <w:numId w:val="29"/>
        </w:numPr>
        <w:tabs>
          <w:tab w:val="left" w:pos="485"/>
        </w:tabs>
        <w:spacing w:before="179"/>
        <w:rPr>
          <w:sz w:val="21"/>
        </w:rPr>
      </w:pPr>
      <w:r>
        <w:rPr>
          <w:color w:val="333333"/>
          <w:spacing w:val="-4"/>
          <w:w w:val="110"/>
          <w:sz w:val="21"/>
        </w:rPr>
        <w:t xml:space="preserve">For </w:t>
      </w:r>
      <w:r>
        <w:rPr>
          <w:rFonts w:ascii="MS Gothic" w:hAnsi="MS Gothic"/>
          <w:color w:val="B02045"/>
          <w:w w:val="110"/>
          <w:sz w:val="21"/>
        </w:rPr>
        <w:t>boolean</w:t>
      </w:r>
      <w:r>
        <w:rPr>
          <w:rFonts w:ascii="MS Gothic" w:hAnsi="MS Gothic"/>
          <w:color w:val="B02045"/>
          <w:spacing w:val="-44"/>
          <w:w w:val="110"/>
          <w:sz w:val="21"/>
        </w:rPr>
        <w:t xml:space="preserve"> </w:t>
      </w:r>
      <w:r>
        <w:rPr>
          <w:color w:val="333333"/>
          <w:w w:val="110"/>
          <w:sz w:val="21"/>
        </w:rPr>
        <w:t>types, start the description with "Whether" or "Enable".</w:t>
      </w:r>
    </w:p>
    <w:p w14:paraId="595BFC41" w14:textId="77777777" w:rsidR="00A720EB" w:rsidRDefault="0030286B">
      <w:pPr>
        <w:pStyle w:val="a6"/>
        <w:numPr>
          <w:ilvl w:val="0"/>
          <w:numId w:val="29"/>
        </w:numPr>
        <w:tabs>
          <w:tab w:val="left" w:pos="485"/>
        </w:tabs>
        <w:spacing w:before="177"/>
        <w:rPr>
          <w:sz w:val="21"/>
        </w:rPr>
      </w:pPr>
      <w:r>
        <w:rPr>
          <w:color w:val="333333"/>
          <w:spacing w:val="-4"/>
          <w:w w:val="110"/>
          <w:sz w:val="21"/>
        </w:rPr>
        <w:t xml:space="preserve">For </w:t>
      </w:r>
      <w:r>
        <w:rPr>
          <w:color w:val="333333"/>
          <w:w w:val="110"/>
          <w:sz w:val="21"/>
        </w:rPr>
        <w:t>collection-based types, start the description with "Comma-separated</w:t>
      </w:r>
      <w:r>
        <w:rPr>
          <w:color w:val="333333"/>
          <w:spacing w:val="-22"/>
          <w:w w:val="110"/>
          <w:sz w:val="21"/>
        </w:rPr>
        <w:t xml:space="preserve"> </w:t>
      </w:r>
      <w:r>
        <w:rPr>
          <w:color w:val="333333"/>
          <w:w w:val="110"/>
          <w:sz w:val="21"/>
        </w:rPr>
        <w:t>list"</w:t>
      </w:r>
    </w:p>
    <w:p w14:paraId="38E9257A" w14:textId="77777777" w:rsidR="00A720EB" w:rsidRDefault="0030286B">
      <w:pPr>
        <w:pStyle w:val="a6"/>
        <w:numPr>
          <w:ilvl w:val="0"/>
          <w:numId w:val="29"/>
        </w:numPr>
        <w:tabs>
          <w:tab w:val="left" w:pos="485"/>
        </w:tabs>
        <w:spacing w:before="179" w:line="290" w:lineRule="auto"/>
        <w:ind w:right="130"/>
        <w:rPr>
          <w:sz w:val="21"/>
        </w:rPr>
      </w:pPr>
      <w:r>
        <w:rPr>
          <w:color w:val="333333"/>
          <w:w w:val="110"/>
          <w:sz w:val="21"/>
        </w:rPr>
        <w:t xml:space="preserve">Use </w:t>
      </w:r>
      <w:proofErr w:type="gramStart"/>
      <w:r>
        <w:rPr>
          <w:rFonts w:ascii="MS Gothic" w:hAnsi="MS Gothic"/>
          <w:color w:val="B02045"/>
          <w:w w:val="110"/>
          <w:sz w:val="21"/>
        </w:rPr>
        <w:t>java.time</w:t>
      </w:r>
      <w:proofErr w:type="gramEnd"/>
      <w:r>
        <w:rPr>
          <w:rFonts w:ascii="MS Gothic" w:hAnsi="MS Gothic"/>
          <w:color w:val="B02045"/>
          <w:w w:val="110"/>
          <w:sz w:val="21"/>
        </w:rPr>
        <w:t xml:space="preserve">.Duration </w:t>
      </w:r>
      <w:r>
        <w:rPr>
          <w:color w:val="333333"/>
          <w:w w:val="110"/>
          <w:sz w:val="21"/>
        </w:rPr>
        <w:t xml:space="preserve">rather than </w:t>
      </w:r>
      <w:r>
        <w:rPr>
          <w:rFonts w:ascii="MS Gothic" w:hAnsi="MS Gothic"/>
          <w:color w:val="B02045"/>
          <w:w w:val="110"/>
          <w:sz w:val="21"/>
        </w:rPr>
        <w:t xml:space="preserve">long </w:t>
      </w:r>
      <w:r>
        <w:rPr>
          <w:color w:val="333333"/>
          <w:w w:val="110"/>
          <w:sz w:val="21"/>
        </w:rPr>
        <w:t>and describe the default unit if it differs from milliseconds, e.g. "If a duration suffix is not specified, seconds will be</w:t>
      </w:r>
      <w:r>
        <w:rPr>
          <w:color w:val="333333"/>
          <w:spacing w:val="47"/>
          <w:w w:val="110"/>
          <w:sz w:val="21"/>
        </w:rPr>
        <w:t xml:space="preserve"> </w:t>
      </w:r>
      <w:r>
        <w:rPr>
          <w:color w:val="333333"/>
          <w:w w:val="110"/>
          <w:sz w:val="21"/>
        </w:rPr>
        <w:t>used".</w:t>
      </w:r>
    </w:p>
    <w:p w14:paraId="634F8752" w14:textId="77777777" w:rsidR="00A720EB" w:rsidRDefault="0030286B">
      <w:pPr>
        <w:pStyle w:val="a6"/>
        <w:numPr>
          <w:ilvl w:val="0"/>
          <w:numId w:val="29"/>
        </w:numPr>
        <w:tabs>
          <w:tab w:val="left" w:pos="485"/>
        </w:tabs>
        <w:spacing w:before="138"/>
        <w:rPr>
          <w:sz w:val="21"/>
        </w:rPr>
      </w:pPr>
      <w:r>
        <w:rPr>
          <w:color w:val="333333"/>
          <w:w w:val="110"/>
          <w:sz w:val="21"/>
        </w:rPr>
        <w:t>Do</w:t>
      </w:r>
      <w:r>
        <w:rPr>
          <w:color w:val="333333"/>
          <w:spacing w:val="5"/>
          <w:w w:val="110"/>
          <w:sz w:val="21"/>
        </w:rPr>
        <w:t xml:space="preserve"> </w:t>
      </w:r>
      <w:r>
        <w:rPr>
          <w:color w:val="333333"/>
          <w:w w:val="110"/>
          <w:sz w:val="21"/>
        </w:rPr>
        <w:t>not</w:t>
      </w:r>
      <w:r>
        <w:rPr>
          <w:color w:val="333333"/>
          <w:spacing w:val="6"/>
          <w:w w:val="110"/>
          <w:sz w:val="21"/>
        </w:rPr>
        <w:t xml:space="preserve"> </w:t>
      </w:r>
      <w:r>
        <w:rPr>
          <w:color w:val="333333"/>
          <w:w w:val="110"/>
          <w:sz w:val="21"/>
        </w:rPr>
        <w:t>provide</w:t>
      </w:r>
      <w:r>
        <w:rPr>
          <w:color w:val="333333"/>
          <w:spacing w:val="4"/>
          <w:w w:val="110"/>
          <w:sz w:val="21"/>
        </w:rPr>
        <w:t xml:space="preserve"> </w:t>
      </w:r>
      <w:r>
        <w:rPr>
          <w:color w:val="333333"/>
          <w:w w:val="110"/>
          <w:sz w:val="21"/>
        </w:rPr>
        <w:t>the</w:t>
      </w:r>
      <w:r>
        <w:rPr>
          <w:color w:val="333333"/>
          <w:spacing w:val="6"/>
          <w:w w:val="110"/>
          <w:sz w:val="21"/>
        </w:rPr>
        <w:t xml:space="preserve"> </w:t>
      </w:r>
      <w:r>
        <w:rPr>
          <w:color w:val="333333"/>
          <w:w w:val="110"/>
          <w:sz w:val="21"/>
        </w:rPr>
        <w:t>default</w:t>
      </w:r>
      <w:r>
        <w:rPr>
          <w:color w:val="333333"/>
          <w:spacing w:val="4"/>
          <w:w w:val="110"/>
          <w:sz w:val="21"/>
        </w:rPr>
        <w:t xml:space="preserve"> </w:t>
      </w:r>
      <w:r>
        <w:rPr>
          <w:color w:val="333333"/>
          <w:w w:val="110"/>
          <w:sz w:val="21"/>
        </w:rPr>
        <w:t>value</w:t>
      </w:r>
      <w:r>
        <w:rPr>
          <w:color w:val="333333"/>
          <w:spacing w:val="6"/>
          <w:w w:val="110"/>
          <w:sz w:val="21"/>
        </w:rPr>
        <w:t xml:space="preserve"> </w:t>
      </w:r>
      <w:r>
        <w:rPr>
          <w:color w:val="333333"/>
          <w:w w:val="110"/>
          <w:sz w:val="21"/>
        </w:rPr>
        <w:t>in</w:t>
      </w:r>
      <w:r>
        <w:rPr>
          <w:color w:val="333333"/>
          <w:spacing w:val="4"/>
          <w:w w:val="110"/>
          <w:sz w:val="21"/>
        </w:rPr>
        <w:t xml:space="preserve"> </w:t>
      </w:r>
      <w:r>
        <w:rPr>
          <w:color w:val="333333"/>
          <w:w w:val="110"/>
          <w:sz w:val="21"/>
        </w:rPr>
        <w:t>the</w:t>
      </w:r>
      <w:r>
        <w:rPr>
          <w:color w:val="333333"/>
          <w:spacing w:val="6"/>
          <w:w w:val="110"/>
          <w:sz w:val="21"/>
        </w:rPr>
        <w:t xml:space="preserve"> </w:t>
      </w:r>
      <w:r>
        <w:rPr>
          <w:color w:val="333333"/>
          <w:w w:val="110"/>
          <w:sz w:val="21"/>
        </w:rPr>
        <w:t>description</w:t>
      </w:r>
      <w:r>
        <w:rPr>
          <w:color w:val="333333"/>
          <w:spacing w:val="4"/>
          <w:w w:val="110"/>
          <w:sz w:val="21"/>
        </w:rPr>
        <w:t xml:space="preserve"> </w:t>
      </w:r>
      <w:r>
        <w:rPr>
          <w:color w:val="333333"/>
          <w:w w:val="110"/>
          <w:sz w:val="21"/>
        </w:rPr>
        <w:t>unless</w:t>
      </w:r>
      <w:r>
        <w:rPr>
          <w:color w:val="333333"/>
          <w:spacing w:val="5"/>
          <w:w w:val="110"/>
          <w:sz w:val="21"/>
        </w:rPr>
        <w:t xml:space="preserve"> </w:t>
      </w:r>
      <w:r>
        <w:rPr>
          <w:color w:val="333333"/>
          <w:w w:val="110"/>
          <w:sz w:val="21"/>
        </w:rPr>
        <w:t>it</w:t>
      </w:r>
      <w:r>
        <w:rPr>
          <w:color w:val="333333"/>
          <w:spacing w:val="4"/>
          <w:w w:val="110"/>
          <w:sz w:val="21"/>
        </w:rPr>
        <w:t xml:space="preserve"> </w:t>
      </w:r>
      <w:r>
        <w:rPr>
          <w:color w:val="333333"/>
          <w:w w:val="110"/>
          <w:sz w:val="21"/>
        </w:rPr>
        <w:t>has</w:t>
      </w:r>
      <w:r>
        <w:rPr>
          <w:color w:val="333333"/>
          <w:spacing w:val="5"/>
          <w:w w:val="110"/>
          <w:sz w:val="21"/>
        </w:rPr>
        <w:t xml:space="preserve"> </w:t>
      </w:r>
      <w:r>
        <w:rPr>
          <w:color w:val="333333"/>
          <w:w w:val="110"/>
          <w:sz w:val="21"/>
        </w:rPr>
        <w:t>to</w:t>
      </w:r>
      <w:r>
        <w:rPr>
          <w:color w:val="333333"/>
          <w:spacing w:val="5"/>
          <w:w w:val="110"/>
          <w:sz w:val="21"/>
        </w:rPr>
        <w:t xml:space="preserve"> </w:t>
      </w:r>
      <w:r>
        <w:rPr>
          <w:color w:val="333333"/>
          <w:w w:val="110"/>
          <w:sz w:val="21"/>
        </w:rPr>
        <w:t>be</w:t>
      </w:r>
      <w:r>
        <w:rPr>
          <w:color w:val="333333"/>
          <w:spacing w:val="5"/>
          <w:w w:val="110"/>
          <w:sz w:val="21"/>
        </w:rPr>
        <w:t xml:space="preserve"> </w:t>
      </w:r>
      <w:r>
        <w:rPr>
          <w:color w:val="333333"/>
          <w:w w:val="110"/>
          <w:sz w:val="21"/>
        </w:rPr>
        <w:t>determined</w:t>
      </w:r>
      <w:r>
        <w:rPr>
          <w:color w:val="333333"/>
          <w:spacing w:val="5"/>
          <w:w w:val="110"/>
          <w:sz w:val="21"/>
        </w:rPr>
        <w:t xml:space="preserve"> </w:t>
      </w:r>
      <w:r>
        <w:rPr>
          <w:color w:val="333333"/>
          <w:w w:val="110"/>
          <w:sz w:val="21"/>
        </w:rPr>
        <w:t>at</w:t>
      </w:r>
      <w:r>
        <w:rPr>
          <w:color w:val="333333"/>
          <w:spacing w:val="4"/>
          <w:w w:val="110"/>
          <w:sz w:val="21"/>
        </w:rPr>
        <w:t xml:space="preserve"> </w:t>
      </w:r>
      <w:r>
        <w:rPr>
          <w:color w:val="333333"/>
          <w:w w:val="110"/>
          <w:sz w:val="21"/>
        </w:rPr>
        <w:t>runtime.</w:t>
      </w:r>
    </w:p>
    <w:p w14:paraId="7D0731FF" w14:textId="77777777" w:rsidR="00A720EB" w:rsidRDefault="00A720EB">
      <w:pPr>
        <w:pStyle w:val="a3"/>
        <w:spacing w:before="5"/>
        <w:rPr>
          <w:sz w:val="26"/>
        </w:rPr>
      </w:pPr>
    </w:p>
    <w:p w14:paraId="18160258" w14:textId="77777777" w:rsidR="00A720EB" w:rsidRDefault="0030286B">
      <w:pPr>
        <w:pStyle w:val="a3"/>
        <w:spacing w:line="297" w:lineRule="auto"/>
        <w:ind w:left="124" w:right="122"/>
        <w:jc w:val="both"/>
      </w:pPr>
      <w:r>
        <w:rPr>
          <w:color w:val="333333"/>
          <w:w w:val="110"/>
        </w:rPr>
        <w:t xml:space="preserve">Make sure to </w:t>
      </w:r>
      <w:hyperlink w:anchor="_bookmark682" w:history="1">
        <w:r>
          <w:rPr>
            <w:color w:val="418BCA"/>
            <w:w w:val="110"/>
          </w:rPr>
          <w:t xml:space="preserve">trigger meta-data generation </w:t>
        </w:r>
      </w:hyperlink>
      <w:r>
        <w:rPr>
          <w:color w:val="333333"/>
          <w:w w:val="110"/>
        </w:rPr>
        <w:t xml:space="preserve">so that IDE assistance is available for your keys as well. </w:t>
      </w:r>
      <w:r>
        <w:rPr>
          <w:color w:val="333333"/>
          <w:spacing w:val="-6"/>
          <w:w w:val="110"/>
        </w:rPr>
        <w:t>You</w:t>
      </w:r>
      <w:r>
        <w:rPr>
          <w:color w:val="333333"/>
          <w:spacing w:val="-27"/>
          <w:w w:val="110"/>
        </w:rPr>
        <w:t xml:space="preserve"> </w:t>
      </w:r>
      <w:r>
        <w:rPr>
          <w:color w:val="333333"/>
          <w:w w:val="110"/>
        </w:rPr>
        <w:t>may</w:t>
      </w:r>
      <w:r>
        <w:rPr>
          <w:color w:val="333333"/>
          <w:spacing w:val="-26"/>
          <w:w w:val="110"/>
        </w:rPr>
        <w:t xml:space="preserve"> </w:t>
      </w:r>
      <w:r>
        <w:rPr>
          <w:color w:val="333333"/>
          <w:w w:val="110"/>
        </w:rPr>
        <w:t>want</w:t>
      </w:r>
      <w:r>
        <w:rPr>
          <w:color w:val="333333"/>
          <w:spacing w:val="-27"/>
          <w:w w:val="110"/>
        </w:rPr>
        <w:t xml:space="preserve"> </w:t>
      </w:r>
      <w:r>
        <w:rPr>
          <w:color w:val="333333"/>
          <w:w w:val="110"/>
        </w:rPr>
        <w:t>to</w:t>
      </w:r>
      <w:r>
        <w:rPr>
          <w:color w:val="333333"/>
          <w:spacing w:val="-26"/>
          <w:w w:val="110"/>
        </w:rPr>
        <w:t xml:space="preserve"> </w:t>
      </w:r>
      <w:r>
        <w:rPr>
          <w:color w:val="333333"/>
          <w:w w:val="110"/>
        </w:rPr>
        <w:t>review</w:t>
      </w:r>
      <w:r>
        <w:rPr>
          <w:color w:val="333333"/>
          <w:spacing w:val="-27"/>
          <w:w w:val="110"/>
        </w:rPr>
        <w:t xml:space="preserve"> </w:t>
      </w:r>
      <w:r>
        <w:rPr>
          <w:color w:val="333333"/>
          <w:w w:val="110"/>
        </w:rPr>
        <w:t>the</w:t>
      </w:r>
      <w:r>
        <w:rPr>
          <w:color w:val="333333"/>
          <w:spacing w:val="-26"/>
          <w:w w:val="110"/>
        </w:rPr>
        <w:t xml:space="preserve"> </w:t>
      </w:r>
      <w:r>
        <w:rPr>
          <w:color w:val="333333"/>
          <w:w w:val="110"/>
        </w:rPr>
        <w:t>generated</w:t>
      </w:r>
      <w:r>
        <w:rPr>
          <w:color w:val="333333"/>
          <w:spacing w:val="-27"/>
          <w:w w:val="110"/>
        </w:rPr>
        <w:t xml:space="preserve"> </w:t>
      </w:r>
      <w:r>
        <w:rPr>
          <w:color w:val="333333"/>
          <w:w w:val="110"/>
        </w:rPr>
        <w:t>metadata</w:t>
      </w:r>
      <w:r>
        <w:rPr>
          <w:color w:val="333333"/>
          <w:spacing w:val="-26"/>
          <w:w w:val="110"/>
        </w:rPr>
        <w:t xml:space="preserve"> </w:t>
      </w:r>
      <w:r>
        <w:rPr>
          <w:color w:val="333333"/>
          <w:w w:val="110"/>
        </w:rPr>
        <w:t>(</w:t>
      </w:r>
      <w:r>
        <w:rPr>
          <w:rFonts w:ascii="MS Gothic"/>
          <w:color w:val="B02045"/>
          <w:w w:val="110"/>
        </w:rPr>
        <w:t>META-INF/spring-configuration-metadata.json</w:t>
      </w:r>
      <w:r>
        <w:rPr>
          <w:color w:val="333333"/>
          <w:w w:val="110"/>
        </w:rPr>
        <w:t>)</w:t>
      </w:r>
      <w:r>
        <w:rPr>
          <w:color w:val="333333"/>
          <w:spacing w:val="-27"/>
          <w:w w:val="110"/>
        </w:rPr>
        <w:t xml:space="preserve"> </w:t>
      </w:r>
      <w:r>
        <w:rPr>
          <w:color w:val="333333"/>
          <w:w w:val="110"/>
        </w:rPr>
        <w:t>to make sure your keys are properly documented. Using your own starter in a compatible IDE is also a good idea to validate that quality of the</w:t>
      </w:r>
      <w:r>
        <w:rPr>
          <w:color w:val="333333"/>
          <w:spacing w:val="27"/>
          <w:w w:val="110"/>
        </w:rPr>
        <w:t xml:space="preserve"> </w:t>
      </w:r>
      <w:r>
        <w:rPr>
          <w:color w:val="333333"/>
          <w:w w:val="110"/>
        </w:rPr>
        <w:t>metadata.</w:t>
      </w:r>
    </w:p>
    <w:p w14:paraId="1F64A371" w14:textId="77777777" w:rsidR="00A720EB" w:rsidRDefault="00A720EB">
      <w:pPr>
        <w:pStyle w:val="a3"/>
        <w:spacing w:before="8"/>
        <w:rPr>
          <w:sz w:val="26"/>
        </w:rPr>
      </w:pPr>
    </w:p>
    <w:p w14:paraId="72DEE5BD" w14:textId="77777777" w:rsidR="00A720EB" w:rsidRDefault="0030286B">
      <w:pPr>
        <w:pStyle w:val="4"/>
      </w:pPr>
      <w:bookmarkStart w:id="521" w:name="The_“autoconfigure”_Module"/>
      <w:bookmarkEnd w:id="521"/>
      <w:r>
        <w:rPr>
          <w:color w:val="333333"/>
          <w:w w:val="105"/>
        </w:rPr>
        <w:t>The “autoconfigure” Module</w:t>
      </w:r>
    </w:p>
    <w:p w14:paraId="6C206CA2" w14:textId="77777777" w:rsidR="00A720EB" w:rsidRDefault="0030286B">
      <w:pPr>
        <w:pStyle w:val="a3"/>
        <w:spacing w:before="244" w:line="285" w:lineRule="auto"/>
        <w:ind w:left="124" w:right="123"/>
        <w:jc w:val="both"/>
      </w:pPr>
      <w:r>
        <w:rPr>
          <w:color w:val="333333"/>
          <w:w w:val="110"/>
        </w:rPr>
        <w:t xml:space="preserve">The </w:t>
      </w:r>
      <w:r>
        <w:rPr>
          <w:rFonts w:ascii="MS Gothic"/>
          <w:color w:val="B02045"/>
          <w:w w:val="110"/>
        </w:rPr>
        <w:t xml:space="preserve">autoconfigure </w:t>
      </w:r>
      <w:r>
        <w:rPr>
          <w:color w:val="333333"/>
          <w:w w:val="110"/>
        </w:rPr>
        <w:t xml:space="preserve">module contains everything that is necessary to get started with the </w:t>
      </w:r>
      <w:r>
        <w:rPr>
          <w:color w:val="333333"/>
          <w:spacing w:val="-4"/>
          <w:w w:val="110"/>
        </w:rPr>
        <w:t xml:space="preserve">library. </w:t>
      </w:r>
      <w:r>
        <w:rPr>
          <w:color w:val="333333"/>
          <w:w w:val="110"/>
        </w:rPr>
        <w:t>It may</w:t>
      </w:r>
      <w:r>
        <w:rPr>
          <w:color w:val="333333"/>
          <w:spacing w:val="-7"/>
          <w:w w:val="110"/>
        </w:rPr>
        <w:t xml:space="preserve"> </w:t>
      </w:r>
      <w:r>
        <w:rPr>
          <w:color w:val="333333"/>
          <w:w w:val="110"/>
        </w:rPr>
        <w:t>also</w:t>
      </w:r>
      <w:r>
        <w:rPr>
          <w:color w:val="333333"/>
          <w:spacing w:val="-6"/>
          <w:w w:val="110"/>
        </w:rPr>
        <w:t xml:space="preserve"> </w:t>
      </w:r>
      <w:r>
        <w:rPr>
          <w:color w:val="333333"/>
          <w:w w:val="110"/>
        </w:rPr>
        <w:t>contain</w:t>
      </w:r>
      <w:r>
        <w:rPr>
          <w:color w:val="333333"/>
          <w:spacing w:val="-6"/>
          <w:w w:val="110"/>
        </w:rPr>
        <w:t xml:space="preserve"> </w:t>
      </w:r>
      <w:r>
        <w:rPr>
          <w:color w:val="333333"/>
          <w:w w:val="110"/>
        </w:rPr>
        <w:t>configuration</w:t>
      </w:r>
      <w:r>
        <w:rPr>
          <w:color w:val="333333"/>
          <w:spacing w:val="-7"/>
          <w:w w:val="110"/>
        </w:rPr>
        <w:t xml:space="preserve"> </w:t>
      </w:r>
      <w:r>
        <w:rPr>
          <w:color w:val="333333"/>
          <w:w w:val="110"/>
        </w:rPr>
        <w:t>key</w:t>
      </w:r>
      <w:r>
        <w:rPr>
          <w:color w:val="333333"/>
          <w:spacing w:val="-5"/>
          <w:w w:val="110"/>
        </w:rPr>
        <w:t xml:space="preserve"> </w:t>
      </w:r>
      <w:r>
        <w:rPr>
          <w:color w:val="333333"/>
          <w:w w:val="110"/>
        </w:rPr>
        <w:t>definitions</w:t>
      </w:r>
      <w:r>
        <w:rPr>
          <w:color w:val="333333"/>
          <w:spacing w:val="-6"/>
          <w:w w:val="110"/>
        </w:rPr>
        <w:t xml:space="preserve"> </w:t>
      </w:r>
      <w:r>
        <w:rPr>
          <w:color w:val="333333"/>
          <w:w w:val="110"/>
        </w:rPr>
        <w:t>(such</w:t>
      </w:r>
      <w:r>
        <w:rPr>
          <w:color w:val="333333"/>
          <w:spacing w:val="-7"/>
          <w:w w:val="110"/>
        </w:rPr>
        <w:t xml:space="preserve"> </w:t>
      </w:r>
      <w:r>
        <w:rPr>
          <w:color w:val="333333"/>
          <w:w w:val="110"/>
        </w:rPr>
        <w:t>as</w:t>
      </w:r>
      <w:r>
        <w:rPr>
          <w:color w:val="333333"/>
          <w:spacing w:val="-2"/>
          <w:w w:val="110"/>
        </w:rPr>
        <w:t xml:space="preserve"> </w:t>
      </w:r>
      <w:r>
        <w:rPr>
          <w:rFonts w:ascii="MS Gothic"/>
          <w:color w:val="B02045"/>
          <w:w w:val="110"/>
        </w:rPr>
        <w:t>@ConfigurationProperties</w:t>
      </w:r>
      <w:r>
        <w:rPr>
          <w:color w:val="333333"/>
          <w:w w:val="110"/>
        </w:rPr>
        <w:t>)</w:t>
      </w:r>
      <w:r>
        <w:rPr>
          <w:color w:val="333333"/>
          <w:spacing w:val="-6"/>
          <w:w w:val="110"/>
        </w:rPr>
        <w:t xml:space="preserve"> </w:t>
      </w:r>
      <w:r>
        <w:rPr>
          <w:color w:val="333333"/>
          <w:w w:val="110"/>
        </w:rPr>
        <w:t>and</w:t>
      </w:r>
      <w:r>
        <w:rPr>
          <w:color w:val="333333"/>
          <w:spacing w:val="-6"/>
          <w:w w:val="110"/>
        </w:rPr>
        <w:t xml:space="preserve"> </w:t>
      </w:r>
      <w:r>
        <w:rPr>
          <w:color w:val="333333"/>
          <w:w w:val="110"/>
        </w:rPr>
        <w:t>any</w:t>
      </w:r>
      <w:r>
        <w:rPr>
          <w:color w:val="333333"/>
          <w:spacing w:val="-6"/>
          <w:w w:val="110"/>
        </w:rPr>
        <w:t xml:space="preserve"> </w:t>
      </w:r>
      <w:r>
        <w:rPr>
          <w:color w:val="333333"/>
          <w:w w:val="110"/>
        </w:rPr>
        <w:t>callback interface that can be used to further customize how the components are</w:t>
      </w:r>
      <w:r>
        <w:rPr>
          <w:color w:val="333333"/>
          <w:spacing w:val="2"/>
          <w:w w:val="110"/>
        </w:rPr>
        <w:t xml:space="preserve"> </w:t>
      </w:r>
      <w:r>
        <w:rPr>
          <w:color w:val="333333"/>
          <w:w w:val="110"/>
        </w:rPr>
        <w:t>initialized.</w:t>
      </w:r>
    </w:p>
    <w:p w14:paraId="32F46F20" w14:textId="77777777" w:rsidR="00A720EB" w:rsidRDefault="00A720EB">
      <w:pPr>
        <w:pStyle w:val="a3"/>
        <w:spacing w:before="8"/>
        <w:rPr>
          <w:sz w:val="18"/>
        </w:rPr>
      </w:pPr>
    </w:p>
    <w:p w14:paraId="6657E43B" w14:textId="77777777" w:rsidR="00A720EB" w:rsidRDefault="00E10349">
      <w:pPr>
        <w:pStyle w:val="a3"/>
        <w:spacing w:before="125" w:line="295" w:lineRule="auto"/>
        <w:ind w:left="1564" w:right="367"/>
        <w:jc w:val="both"/>
      </w:pPr>
      <w:r>
        <w:pict w14:anchorId="50E02FFE">
          <v:line id="_x0000_s3404" style="position:absolute;left:0;text-align:left;z-index:16174592;mso-position-horizontal-relative:page" from="108.25pt,.25pt" to="108.25pt,55.6pt" strokecolor="#ededed" strokeweight=".5pt">
            <w10:wrap anchorx="page"/>
          </v:line>
        </w:pict>
      </w:r>
      <w:r w:rsidR="0030286B">
        <w:rPr>
          <w:noProof/>
        </w:rPr>
        <w:drawing>
          <wp:anchor distT="0" distB="0" distL="0" distR="0" simplePos="0" relativeHeight="16175104" behindDoc="0" locked="0" layoutInCell="1" allowOverlap="1" wp14:anchorId="439DF6E5" wp14:editId="1E157DF2">
            <wp:simplePos x="0" y="0"/>
            <wp:positionH relativeFrom="page">
              <wp:posOffset>888949</wp:posOffset>
            </wp:positionH>
            <wp:positionV relativeFrom="paragraph">
              <wp:posOffset>202349</wp:posOffset>
            </wp:positionV>
            <wp:extent cx="209550" cy="304800"/>
            <wp:effectExtent l="0" t="0" r="0" b="0"/>
            <wp:wrapNone/>
            <wp:docPr id="5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26.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 xml:space="preserve">You </w:t>
      </w:r>
      <w:r w:rsidR="0030286B">
        <w:rPr>
          <w:color w:val="333333"/>
          <w:w w:val="110"/>
        </w:rPr>
        <w:t>should mark the dependencies to the library as optional so that you</w:t>
      </w:r>
      <w:r w:rsidR="0030286B">
        <w:rPr>
          <w:color w:val="333333"/>
          <w:spacing w:val="50"/>
          <w:w w:val="110"/>
        </w:rPr>
        <w:t xml:space="preserve"> </w:t>
      </w:r>
      <w:proofErr w:type="gramStart"/>
      <w:r w:rsidR="0030286B">
        <w:rPr>
          <w:color w:val="333333"/>
          <w:w w:val="110"/>
        </w:rPr>
        <w:t>can  include</w:t>
      </w:r>
      <w:proofErr w:type="gramEnd"/>
      <w:r w:rsidR="0030286B">
        <w:rPr>
          <w:color w:val="333333"/>
          <w:w w:val="110"/>
        </w:rPr>
        <w:t xml:space="preserve"> the </w:t>
      </w:r>
      <w:r w:rsidR="0030286B">
        <w:rPr>
          <w:rFonts w:ascii="MS Gothic"/>
          <w:color w:val="B02045"/>
          <w:w w:val="110"/>
        </w:rPr>
        <w:t xml:space="preserve">autoconfigure </w:t>
      </w:r>
      <w:r w:rsidR="0030286B">
        <w:rPr>
          <w:color w:val="333333"/>
          <w:w w:val="110"/>
        </w:rPr>
        <w:t xml:space="preserve">module in your projects more </w:t>
      </w:r>
      <w:r w:rsidR="0030286B">
        <w:rPr>
          <w:color w:val="333333"/>
          <w:spacing w:val="-4"/>
          <w:w w:val="110"/>
        </w:rPr>
        <w:t xml:space="preserve">easily. </w:t>
      </w:r>
      <w:r w:rsidR="0030286B">
        <w:rPr>
          <w:color w:val="333333"/>
          <w:w w:val="110"/>
        </w:rPr>
        <w:t xml:space="preserve">If you do it that </w:t>
      </w:r>
      <w:r w:rsidR="0030286B">
        <w:rPr>
          <w:color w:val="333333"/>
          <w:spacing w:val="-7"/>
          <w:w w:val="110"/>
        </w:rPr>
        <w:t>way,</w:t>
      </w:r>
      <w:r w:rsidR="0030286B">
        <w:rPr>
          <w:color w:val="333333"/>
          <w:spacing w:val="15"/>
          <w:w w:val="110"/>
        </w:rPr>
        <w:t xml:space="preserve"> </w:t>
      </w:r>
      <w:r w:rsidR="0030286B">
        <w:rPr>
          <w:color w:val="333333"/>
          <w:w w:val="110"/>
        </w:rPr>
        <w:t xml:space="preserve">the library is not provided and, </w:t>
      </w:r>
      <w:r w:rsidR="0030286B">
        <w:rPr>
          <w:color w:val="333333"/>
          <w:spacing w:val="-3"/>
          <w:w w:val="110"/>
        </w:rPr>
        <w:t xml:space="preserve">by </w:t>
      </w:r>
      <w:r w:rsidR="0030286B">
        <w:rPr>
          <w:color w:val="333333"/>
          <w:w w:val="110"/>
        </w:rPr>
        <w:t>default, Spring Boot backs off.</w:t>
      </w:r>
    </w:p>
    <w:p w14:paraId="54DBA1D2" w14:textId="77777777" w:rsidR="00A720EB" w:rsidRDefault="00A720EB">
      <w:pPr>
        <w:pStyle w:val="a3"/>
        <w:spacing w:before="6"/>
        <w:rPr>
          <w:sz w:val="17"/>
        </w:rPr>
      </w:pPr>
    </w:p>
    <w:p w14:paraId="08DBCED5" w14:textId="77777777" w:rsidR="00A720EB" w:rsidRDefault="0030286B">
      <w:pPr>
        <w:pStyle w:val="a3"/>
        <w:spacing w:before="125" w:line="297" w:lineRule="auto"/>
        <w:ind w:left="124" w:right="126"/>
        <w:jc w:val="both"/>
      </w:pPr>
      <w:r>
        <w:rPr>
          <w:color w:val="333333"/>
          <w:w w:val="110"/>
        </w:rPr>
        <w:t>Spring Boot uses an annotation processor to collect the conditions on auto-configurations in a metadata</w:t>
      </w:r>
      <w:r>
        <w:rPr>
          <w:color w:val="333333"/>
          <w:spacing w:val="-26"/>
          <w:w w:val="110"/>
        </w:rPr>
        <w:t xml:space="preserve"> </w:t>
      </w:r>
      <w:r>
        <w:rPr>
          <w:color w:val="333333"/>
          <w:w w:val="110"/>
        </w:rPr>
        <w:t>file</w:t>
      </w:r>
      <w:r>
        <w:rPr>
          <w:color w:val="333333"/>
          <w:spacing w:val="-25"/>
          <w:w w:val="110"/>
        </w:rPr>
        <w:t xml:space="preserve"> </w:t>
      </w:r>
      <w:r>
        <w:rPr>
          <w:color w:val="333333"/>
          <w:w w:val="110"/>
        </w:rPr>
        <w:t>(</w:t>
      </w:r>
      <w:r>
        <w:rPr>
          <w:rFonts w:ascii="MS Gothic"/>
          <w:color w:val="B02045"/>
          <w:w w:val="110"/>
        </w:rPr>
        <w:t>META-INF/spring-autoconfigure-metadata.properties</w:t>
      </w:r>
      <w:r>
        <w:rPr>
          <w:color w:val="333333"/>
          <w:w w:val="110"/>
        </w:rPr>
        <w:t>).</w:t>
      </w:r>
      <w:r>
        <w:rPr>
          <w:color w:val="333333"/>
          <w:spacing w:val="-26"/>
          <w:w w:val="110"/>
        </w:rPr>
        <w:t xml:space="preserve"> </w:t>
      </w:r>
      <w:r>
        <w:rPr>
          <w:color w:val="333333"/>
          <w:w w:val="110"/>
        </w:rPr>
        <w:t>If</w:t>
      </w:r>
      <w:r>
        <w:rPr>
          <w:color w:val="333333"/>
          <w:spacing w:val="-25"/>
          <w:w w:val="110"/>
        </w:rPr>
        <w:t xml:space="preserve"> </w:t>
      </w:r>
      <w:r>
        <w:rPr>
          <w:color w:val="333333"/>
          <w:w w:val="110"/>
        </w:rPr>
        <w:t>that</w:t>
      </w:r>
      <w:r>
        <w:rPr>
          <w:color w:val="333333"/>
          <w:spacing w:val="-25"/>
          <w:w w:val="110"/>
        </w:rPr>
        <w:t xml:space="preserve"> </w:t>
      </w:r>
      <w:r>
        <w:rPr>
          <w:color w:val="333333"/>
          <w:w w:val="110"/>
        </w:rPr>
        <w:t>file</w:t>
      </w:r>
      <w:r>
        <w:rPr>
          <w:color w:val="333333"/>
          <w:spacing w:val="-26"/>
          <w:w w:val="110"/>
        </w:rPr>
        <w:t xml:space="preserve"> </w:t>
      </w:r>
      <w:r>
        <w:rPr>
          <w:color w:val="333333"/>
          <w:w w:val="110"/>
        </w:rPr>
        <w:t>is</w:t>
      </w:r>
      <w:r>
        <w:rPr>
          <w:color w:val="333333"/>
          <w:spacing w:val="-25"/>
          <w:w w:val="110"/>
        </w:rPr>
        <w:t xml:space="preserve"> </w:t>
      </w:r>
      <w:r>
        <w:rPr>
          <w:color w:val="333333"/>
          <w:w w:val="110"/>
        </w:rPr>
        <w:t>present,</w:t>
      </w:r>
      <w:r>
        <w:rPr>
          <w:color w:val="333333"/>
          <w:spacing w:val="-25"/>
          <w:w w:val="110"/>
        </w:rPr>
        <w:t xml:space="preserve"> </w:t>
      </w:r>
      <w:r>
        <w:rPr>
          <w:color w:val="333333"/>
          <w:w w:val="110"/>
        </w:rPr>
        <w:t>it</w:t>
      </w:r>
      <w:r>
        <w:rPr>
          <w:color w:val="333333"/>
          <w:spacing w:val="-26"/>
          <w:w w:val="110"/>
        </w:rPr>
        <w:t xml:space="preserve"> </w:t>
      </w:r>
      <w:r>
        <w:rPr>
          <w:color w:val="333333"/>
          <w:w w:val="110"/>
        </w:rPr>
        <w:t>is</w:t>
      </w:r>
      <w:r>
        <w:rPr>
          <w:color w:val="333333"/>
          <w:spacing w:val="-25"/>
          <w:w w:val="110"/>
        </w:rPr>
        <w:t xml:space="preserve"> </w:t>
      </w:r>
      <w:r>
        <w:rPr>
          <w:color w:val="333333"/>
          <w:w w:val="110"/>
        </w:rPr>
        <w:t>used to eagerly filter auto-configurations that do not match, which will improve startup time. It is recommended to add the following dependency in a module that contains</w:t>
      </w:r>
      <w:r>
        <w:rPr>
          <w:color w:val="333333"/>
          <w:spacing w:val="10"/>
          <w:w w:val="110"/>
        </w:rPr>
        <w:t xml:space="preserve"> </w:t>
      </w:r>
      <w:r>
        <w:rPr>
          <w:color w:val="333333"/>
          <w:w w:val="110"/>
        </w:rPr>
        <w:t>auto-configurations:</w:t>
      </w:r>
    </w:p>
    <w:p w14:paraId="739A772D" w14:textId="77777777" w:rsidR="00A720EB" w:rsidRDefault="00E10349">
      <w:pPr>
        <w:pStyle w:val="a3"/>
        <w:spacing w:before="1"/>
        <w:rPr>
          <w:sz w:val="14"/>
        </w:rPr>
      </w:pPr>
      <w:r>
        <w:pict w14:anchorId="398D5CB8">
          <v:group id="_x0000_s3400" style="position:absolute;margin-left:47.85pt;margin-top:10.3pt;width:499.55pt;height:96.45pt;z-index:-15283200;mso-wrap-distance-left:0;mso-wrap-distance-right:0;mso-position-horizontal-relative:page" coordorigin="957,206" coordsize="9991,1929">
            <v:shape id="_x0000_s3403" style="position:absolute;left:964;top:213;width:9976;height:1914" coordorigin="965,213" coordsize="9976,1914" path="m10861,213r-9816,l1014,219r-26,18l971,262r-6,31l965,2047r6,31l988,2104r26,17l1045,2127r9816,l10892,2121r25,-17l10935,2078r6,-31l10941,293r-6,-31l10917,237r-25,-18l10861,213xe" fillcolor="#f5f5f5" stroked="f">
              <v:path arrowok="t"/>
            </v:shape>
            <v:shape id="_x0000_s3402" style="position:absolute;left:964;top:213;width:9976;height:1914" coordorigin="965,213" coordsize="9976,1914" path="m1045,213r9816,l10892,219r25,18l10935,262r6,31l10941,2047r-6,31l10917,2104r-25,17l10861,2127r-9816,l1014,2121r-26,-17l971,2078r-6,-31l965,293r6,-31l988,237r26,-18l1045,213xe" filled="f" strokecolor="#ccc">
              <v:path arrowok="t"/>
            </v:shape>
            <v:shape id="_x0000_s3401" type="#_x0000_t202" style="position:absolute;left:984;top:228;width:9938;height:1884" filled="f" stroked="f">
              <v:textbox inset="0,0,0,0">
                <w:txbxContent>
                  <w:p w14:paraId="0CA2AE11" w14:textId="77777777" w:rsidR="00711A16" w:rsidRDefault="00711A16">
                    <w:pPr>
                      <w:spacing w:before="221"/>
                      <w:ind w:left="200"/>
                      <w:rPr>
                        <w:rFonts w:ascii="MS Gothic"/>
                      </w:rPr>
                    </w:pPr>
                    <w:r>
                      <w:rPr>
                        <w:rFonts w:ascii="MS Gothic"/>
                        <w:color w:val="333333"/>
                      </w:rPr>
                      <w:t>&lt;dependency&gt;</w:t>
                    </w:r>
                  </w:p>
                  <w:p w14:paraId="57FC8935"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0E289797" w14:textId="77777777" w:rsidR="00711A16" w:rsidRDefault="00711A16">
                    <w:pPr>
                      <w:spacing w:before="13"/>
                      <w:ind w:left="640"/>
                      <w:rPr>
                        <w:rFonts w:ascii="MS Gothic"/>
                      </w:rPr>
                    </w:pPr>
                    <w:r>
                      <w:rPr>
                        <w:rFonts w:ascii="MS Gothic"/>
                        <w:color w:val="333333"/>
                      </w:rPr>
                      <w:t>&lt;artifactId&gt;spring-boot-autoconfigure-processor&lt;/artifactId&gt;</w:t>
                    </w:r>
                  </w:p>
                  <w:p w14:paraId="464C2D75" w14:textId="77777777" w:rsidR="00711A16" w:rsidRDefault="00711A16">
                    <w:pPr>
                      <w:spacing w:before="13"/>
                      <w:ind w:left="640"/>
                      <w:rPr>
                        <w:rFonts w:ascii="MS Gothic"/>
                      </w:rPr>
                    </w:pPr>
                    <w:r>
                      <w:rPr>
                        <w:rFonts w:ascii="MS Gothic"/>
                        <w:color w:val="333333"/>
                      </w:rPr>
                      <w:t>&lt;optional&gt;true&lt;/optional&gt;</w:t>
                    </w:r>
                  </w:p>
                  <w:p w14:paraId="7378C4C8" w14:textId="77777777" w:rsidR="00711A16" w:rsidRDefault="00711A16">
                    <w:pPr>
                      <w:spacing w:before="12"/>
                      <w:ind w:left="200"/>
                      <w:rPr>
                        <w:rFonts w:ascii="MS Gothic"/>
                      </w:rPr>
                    </w:pPr>
                    <w:r>
                      <w:rPr>
                        <w:rFonts w:ascii="MS Gothic"/>
                        <w:color w:val="333333"/>
                      </w:rPr>
                      <w:t>&lt;/dependency&gt;</w:t>
                    </w:r>
                  </w:p>
                </w:txbxContent>
              </v:textbox>
            </v:shape>
            <w10:wrap type="topAndBottom" anchorx="page"/>
          </v:group>
        </w:pict>
      </w:r>
    </w:p>
    <w:p w14:paraId="07DAE33A" w14:textId="77777777" w:rsidR="00A720EB" w:rsidRDefault="00A720EB">
      <w:pPr>
        <w:pStyle w:val="a3"/>
        <w:rPr>
          <w:sz w:val="10"/>
        </w:rPr>
      </w:pPr>
    </w:p>
    <w:p w14:paraId="734BCE81" w14:textId="77777777" w:rsidR="00A720EB" w:rsidRDefault="0030286B">
      <w:pPr>
        <w:pStyle w:val="a3"/>
        <w:spacing w:before="125"/>
        <w:ind w:left="124"/>
      </w:pPr>
      <w:r>
        <w:rPr>
          <w:color w:val="333333"/>
          <w:w w:val="110"/>
        </w:rPr>
        <w:t>If</w:t>
      </w:r>
      <w:r>
        <w:rPr>
          <w:color w:val="333333"/>
          <w:spacing w:val="44"/>
          <w:w w:val="110"/>
        </w:rPr>
        <w:t xml:space="preserve"> </w:t>
      </w:r>
      <w:r>
        <w:rPr>
          <w:color w:val="333333"/>
          <w:w w:val="110"/>
        </w:rPr>
        <w:t>you</w:t>
      </w:r>
      <w:r>
        <w:rPr>
          <w:color w:val="333333"/>
          <w:spacing w:val="44"/>
          <w:w w:val="110"/>
        </w:rPr>
        <w:t xml:space="preserve"> </w:t>
      </w:r>
      <w:r>
        <w:rPr>
          <w:color w:val="333333"/>
          <w:w w:val="110"/>
        </w:rPr>
        <w:t>have</w:t>
      </w:r>
      <w:r>
        <w:rPr>
          <w:color w:val="333333"/>
          <w:spacing w:val="43"/>
          <w:w w:val="110"/>
        </w:rPr>
        <w:t xml:space="preserve"> </w:t>
      </w:r>
      <w:r>
        <w:rPr>
          <w:color w:val="333333"/>
          <w:w w:val="110"/>
        </w:rPr>
        <w:t>defined</w:t>
      </w:r>
      <w:r>
        <w:rPr>
          <w:color w:val="333333"/>
          <w:spacing w:val="44"/>
          <w:w w:val="110"/>
        </w:rPr>
        <w:t xml:space="preserve"> </w:t>
      </w:r>
      <w:r>
        <w:rPr>
          <w:color w:val="333333"/>
          <w:w w:val="110"/>
        </w:rPr>
        <w:t>auto-configurations</w:t>
      </w:r>
      <w:r>
        <w:rPr>
          <w:color w:val="333333"/>
          <w:spacing w:val="43"/>
          <w:w w:val="110"/>
        </w:rPr>
        <w:t xml:space="preserve"> </w:t>
      </w:r>
      <w:r>
        <w:rPr>
          <w:color w:val="333333"/>
          <w:w w:val="110"/>
        </w:rPr>
        <w:t>directly</w:t>
      </w:r>
      <w:r>
        <w:rPr>
          <w:color w:val="333333"/>
          <w:spacing w:val="44"/>
          <w:w w:val="110"/>
        </w:rPr>
        <w:t xml:space="preserve"> </w:t>
      </w:r>
      <w:r>
        <w:rPr>
          <w:color w:val="333333"/>
          <w:w w:val="110"/>
        </w:rPr>
        <w:t>in</w:t>
      </w:r>
      <w:r>
        <w:rPr>
          <w:color w:val="333333"/>
          <w:spacing w:val="43"/>
          <w:w w:val="110"/>
        </w:rPr>
        <w:t xml:space="preserve"> </w:t>
      </w:r>
      <w:r>
        <w:rPr>
          <w:color w:val="333333"/>
          <w:w w:val="110"/>
        </w:rPr>
        <w:t>your</w:t>
      </w:r>
      <w:r>
        <w:rPr>
          <w:color w:val="333333"/>
          <w:spacing w:val="44"/>
          <w:w w:val="110"/>
        </w:rPr>
        <w:t xml:space="preserve"> </w:t>
      </w:r>
      <w:r>
        <w:rPr>
          <w:color w:val="333333"/>
          <w:w w:val="110"/>
        </w:rPr>
        <w:t>application,</w:t>
      </w:r>
      <w:r>
        <w:rPr>
          <w:color w:val="333333"/>
          <w:spacing w:val="43"/>
          <w:w w:val="110"/>
        </w:rPr>
        <w:t xml:space="preserve"> </w:t>
      </w:r>
      <w:r>
        <w:rPr>
          <w:color w:val="333333"/>
          <w:w w:val="110"/>
        </w:rPr>
        <w:t>make</w:t>
      </w:r>
      <w:r>
        <w:rPr>
          <w:color w:val="333333"/>
          <w:spacing w:val="45"/>
          <w:w w:val="110"/>
        </w:rPr>
        <w:t xml:space="preserve"> </w:t>
      </w:r>
      <w:r>
        <w:rPr>
          <w:color w:val="333333"/>
          <w:w w:val="110"/>
        </w:rPr>
        <w:t>sure</w:t>
      </w:r>
      <w:r>
        <w:rPr>
          <w:color w:val="333333"/>
          <w:spacing w:val="45"/>
          <w:w w:val="110"/>
        </w:rPr>
        <w:t xml:space="preserve"> </w:t>
      </w:r>
      <w:r>
        <w:rPr>
          <w:color w:val="333333"/>
          <w:w w:val="110"/>
        </w:rPr>
        <w:t>to</w:t>
      </w:r>
      <w:r>
        <w:rPr>
          <w:color w:val="333333"/>
          <w:spacing w:val="44"/>
          <w:w w:val="110"/>
        </w:rPr>
        <w:t xml:space="preserve"> </w:t>
      </w:r>
      <w:r>
        <w:rPr>
          <w:color w:val="333333"/>
          <w:w w:val="110"/>
        </w:rPr>
        <w:t>configure</w:t>
      </w:r>
      <w:r>
        <w:rPr>
          <w:color w:val="333333"/>
          <w:spacing w:val="45"/>
          <w:w w:val="110"/>
        </w:rPr>
        <w:t xml:space="preserve"> </w:t>
      </w:r>
      <w:r>
        <w:rPr>
          <w:color w:val="333333"/>
          <w:w w:val="110"/>
        </w:rPr>
        <w:t>the</w:t>
      </w:r>
    </w:p>
    <w:p w14:paraId="3E3E3209" w14:textId="77777777" w:rsidR="00A720EB" w:rsidRDefault="0030286B">
      <w:pPr>
        <w:pStyle w:val="a3"/>
        <w:spacing w:before="59"/>
        <w:ind w:left="124"/>
      </w:pPr>
      <w:r>
        <w:rPr>
          <w:rFonts w:ascii="MS Gothic"/>
          <w:color w:val="B02045"/>
          <w:w w:val="110"/>
        </w:rPr>
        <w:t>spring-boot-maven-plugin</w:t>
      </w:r>
      <w:r>
        <w:rPr>
          <w:rFonts w:ascii="MS Gothic"/>
          <w:color w:val="B02045"/>
          <w:spacing w:val="-85"/>
          <w:w w:val="110"/>
        </w:rPr>
        <w:t xml:space="preserve"> </w:t>
      </w:r>
      <w:r>
        <w:rPr>
          <w:color w:val="333333"/>
          <w:w w:val="110"/>
        </w:rPr>
        <w:t>to</w:t>
      </w:r>
      <w:r>
        <w:rPr>
          <w:color w:val="333333"/>
          <w:spacing w:val="-20"/>
          <w:w w:val="110"/>
        </w:rPr>
        <w:t xml:space="preserve"> </w:t>
      </w:r>
      <w:r>
        <w:rPr>
          <w:color w:val="333333"/>
          <w:w w:val="110"/>
        </w:rPr>
        <w:t>prevent</w:t>
      </w:r>
      <w:r>
        <w:rPr>
          <w:color w:val="333333"/>
          <w:spacing w:val="-21"/>
          <w:w w:val="110"/>
        </w:rPr>
        <w:t xml:space="preserve"> </w:t>
      </w:r>
      <w:r>
        <w:rPr>
          <w:color w:val="333333"/>
          <w:w w:val="110"/>
        </w:rPr>
        <w:t>the</w:t>
      </w:r>
      <w:r>
        <w:rPr>
          <w:color w:val="333333"/>
          <w:spacing w:val="-19"/>
          <w:w w:val="110"/>
        </w:rPr>
        <w:t xml:space="preserve"> </w:t>
      </w:r>
      <w:r>
        <w:rPr>
          <w:rFonts w:ascii="MS Gothic"/>
          <w:color w:val="B02045"/>
          <w:w w:val="110"/>
        </w:rPr>
        <w:t>repackage</w:t>
      </w:r>
      <w:r>
        <w:rPr>
          <w:rFonts w:ascii="MS Gothic"/>
          <w:color w:val="B02045"/>
          <w:spacing w:val="-85"/>
          <w:w w:val="110"/>
        </w:rPr>
        <w:t xml:space="preserve"> </w:t>
      </w:r>
      <w:r>
        <w:rPr>
          <w:color w:val="333333"/>
          <w:w w:val="110"/>
        </w:rPr>
        <w:t>goal</w:t>
      </w:r>
      <w:r>
        <w:rPr>
          <w:color w:val="333333"/>
          <w:spacing w:val="-20"/>
          <w:w w:val="110"/>
        </w:rPr>
        <w:t xml:space="preserve"> </w:t>
      </w:r>
      <w:r>
        <w:rPr>
          <w:color w:val="333333"/>
          <w:w w:val="110"/>
        </w:rPr>
        <w:t>from</w:t>
      </w:r>
      <w:r>
        <w:rPr>
          <w:color w:val="333333"/>
          <w:spacing w:val="-20"/>
          <w:w w:val="110"/>
        </w:rPr>
        <w:t xml:space="preserve"> </w:t>
      </w:r>
      <w:r>
        <w:rPr>
          <w:color w:val="333333"/>
          <w:w w:val="110"/>
        </w:rPr>
        <w:t>adding</w:t>
      </w:r>
      <w:r>
        <w:rPr>
          <w:color w:val="333333"/>
          <w:spacing w:val="-21"/>
          <w:w w:val="110"/>
        </w:rPr>
        <w:t xml:space="preserve"> </w:t>
      </w:r>
      <w:r>
        <w:rPr>
          <w:color w:val="333333"/>
          <w:w w:val="110"/>
        </w:rPr>
        <w:t>the</w:t>
      </w:r>
      <w:r>
        <w:rPr>
          <w:color w:val="333333"/>
          <w:spacing w:val="-20"/>
          <w:w w:val="110"/>
        </w:rPr>
        <w:t xml:space="preserve"> </w:t>
      </w:r>
      <w:r>
        <w:rPr>
          <w:color w:val="333333"/>
          <w:w w:val="110"/>
        </w:rPr>
        <w:t>dependency</w:t>
      </w:r>
      <w:r>
        <w:rPr>
          <w:color w:val="333333"/>
          <w:spacing w:val="-21"/>
          <w:w w:val="110"/>
        </w:rPr>
        <w:t xml:space="preserve"> </w:t>
      </w:r>
      <w:r>
        <w:rPr>
          <w:color w:val="333333"/>
          <w:w w:val="110"/>
        </w:rPr>
        <w:t>into</w:t>
      </w:r>
      <w:r>
        <w:rPr>
          <w:color w:val="333333"/>
          <w:spacing w:val="-20"/>
          <w:w w:val="110"/>
        </w:rPr>
        <w:t xml:space="preserve"> </w:t>
      </w:r>
      <w:r>
        <w:rPr>
          <w:color w:val="333333"/>
          <w:w w:val="110"/>
        </w:rPr>
        <w:t>the</w:t>
      </w:r>
      <w:r>
        <w:rPr>
          <w:color w:val="333333"/>
          <w:spacing w:val="-20"/>
          <w:w w:val="110"/>
        </w:rPr>
        <w:t xml:space="preserve"> </w:t>
      </w:r>
      <w:r>
        <w:rPr>
          <w:color w:val="333333"/>
          <w:w w:val="110"/>
        </w:rPr>
        <w:t>fat</w:t>
      </w:r>
      <w:r>
        <w:rPr>
          <w:color w:val="333333"/>
          <w:spacing w:val="-20"/>
          <w:w w:val="110"/>
        </w:rPr>
        <w:t xml:space="preserve"> </w:t>
      </w:r>
      <w:r>
        <w:rPr>
          <w:color w:val="333333"/>
          <w:w w:val="110"/>
        </w:rPr>
        <w:t>jar:</w:t>
      </w:r>
    </w:p>
    <w:p w14:paraId="731250D1" w14:textId="77777777" w:rsidR="00A720EB" w:rsidRDefault="00A720EB">
      <w:pPr>
        <w:sectPr w:rsidR="00A720EB">
          <w:pgSz w:w="11910" w:h="16840"/>
          <w:pgMar w:top="640" w:right="840" w:bottom="520" w:left="840" w:header="0" w:footer="323" w:gutter="0"/>
          <w:cols w:space="720"/>
        </w:sectPr>
      </w:pPr>
    </w:p>
    <w:p w14:paraId="20B3620E" w14:textId="77777777" w:rsidR="00A720EB" w:rsidRDefault="00E10349">
      <w:pPr>
        <w:pStyle w:val="a3"/>
        <w:ind w:left="116"/>
        <w:rPr>
          <w:sz w:val="20"/>
        </w:rPr>
      </w:pPr>
      <w:r>
        <w:rPr>
          <w:sz w:val="20"/>
        </w:rPr>
      </w:r>
      <w:r>
        <w:rPr>
          <w:sz w:val="20"/>
        </w:rPr>
        <w:pict w14:anchorId="2920CAC0">
          <v:group id="_x0000_s3396" style="width:499.55pt;height:302.85pt;mso-position-horizontal-relative:char;mso-position-vertical-relative:line" coordsize="9991,6057">
            <v:shape id="_x0000_s3399" style="position:absolute;left:7;top:7;width:9976;height:6042" coordorigin="8,8" coordsize="9976,6042" path="m9904,8l88,8,56,14,31,31,14,56,8,88r,5881l14,6000r17,25l56,6042r32,7l9904,6049r31,-7l9960,6025r17,-25l9984,5969r,-5881l9977,56,9960,31,9935,14,9904,8xe" fillcolor="#f5f5f5" stroked="f">
              <v:path arrowok="t"/>
            </v:shape>
            <v:shape id="_x0000_s3398" style="position:absolute;left:7;top:7;width:9976;height:6042" coordorigin="8,8" coordsize="9976,6042" path="m88,8r9816,l9935,14r25,17l9977,56r7,32l9984,5969r-7,31l9960,6025r-25,17l9904,6049r-9816,l56,6042,31,6025,14,6000,8,5969,8,88,14,56,31,31,56,14,88,8xe" filled="f" strokecolor="#ccc">
              <v:path arrowok="t"/>
            </v:shape>
            <v:shape id="_x0000_s3397" type="#_x0000_t202" style="position:absolute;left:26;top:22;width:9938;height:6011" filled="f" stroked="f">
              <v:textbox inset="0,0,0,0">
                <w:txbxContent>
                  <w:p w14:paraId="673FBB30" w14:textId="77777777" w:rsidR="00711A16" w:rsidRDefault="00711A16">
                    <w:pPr>
                      <w:spacing w:before="221"/>
                      <w:ind w:left="200"/>
                      <w:rPr>
                        <w:rFonts w:ascii="MS Gothic"/>
                      </w:rPr>
                    </w:pPr>
                    <w:r>
                      <w:rPr>
                        <w:rFonts w:ascii="MS Gothic"/>
                        <w:color w:val="333333"/>
                      </w:rPr>
                      <w:t>&lt;project&gt;</w:t>
                    </w:r>
                  </w:p>
                  <w:p w14:paraId="12FD1DF2" w14:textId="77777777" w:rsidR="00711A16" w:rsidRDefault="00711A16">
                    <w:pPr>
                      <w:spacing w:before="13"/>
                      <w:ind w:left="640"/>
                      <w:rPr>
                        <w:rFonts w:ascii="MS Gothic"/>
                      </w:rPr>
                    </w:pPr>
                    <w:r>
                      <w:rPr>
                        <w:rFonts w:ascii="MS Gothic"/>
                        <w:color w:val="333333"/>
                      </w:rPr>
                      <w:t>&lt;build&gt;</w:t>
                    </w:r>
                  </w:p>
                  <w:p w14:paraId="137289E9" w14:textId="77777777" w:rsidR="00711A16" w:rsidRDefault="00711A16">
                    <w:pPr>
                      <w:spacing w:before="13"/>
                      <w:ind w:left="1080"/>
                      <w:rPr>
                        <w:rFonts w:ascii="MS Gothic"/>
                      </w:rPr>
                    </w:pPr>
                    <w:r>
                      <w:rPr>
                        <w:rFonts w:ascii="MS Gothic"/>
                        <w:color w:val="333333"/>
                      </w:rPr>
                      <w:t>&lt;plugins&gt;</w:t>
                    </w:r>
                  </w:p>
                  <w:p w14:paraId="2C215D94" w14:textId="77777777" w:rsidR="00711A16" w:rsidRDefault="00711A16">
                    <w:pPr>
                      <w:spacing w:before="13"/>
                      <w:ind w:left="1520"/>
                      <w:rPr>
                        <w:rFonts w:ascii="MS Gothic"/>
                      </w:rPr>
                    </w:pPr>
                    <w:r>
                      <w:rPr>
                        <w:rFonts w:ascii="MS Gothic"/>
                        <w:color w:val="333333"/>
                      </w:rPr>
                      <w:t>&lt;plugin&gt;</w:t>
                    </w:r>
                  </w:p>
                  <w:p w14:paraId="170FB782" w14:textId="77777777" w:rsidR="00711A16" w:rsidRDefault="00711A16">
                    <w:pPr>
                      <w:spacing w:before="12"/>
                      <w:ind w:left="1960"/>
                      <w:rPr>
                        <w:rFonts w:ascii="MS Gothic"/>
                      </w:rPr>
                    </w:pPr>
                    <w:proofErr w:type="gramStart"/>
                    <w:r>
                      <w:rPr>
                        <w:rFonts w:ascii="MS Gothic"/>
                        <w:color w:val="333333"/>
                      </w:rPr>
                      <w:t>&lt;groupId&gt;org.springframework.boot</w:t>
                    </w:r>
                    <w:proofErr w:type="gramEnd"/>
                    <w:r>
                      <w:rPr>
                        <w:rFonts w:ascii="MS Gothic"/>
                        <w:color w:val="333333"/>
                      </w:rPr>
                      <w:t>&lt;/groupId&gt;</w:t>
                    </w:r>
                  </w:p>
                  <w:p w14:paraId="50FFA74E" w14:textId="77777777" w:rsidR="00711A16" w:rsidRDefault="00711A16">
                    <w:pPr>
                      <w:spacing w:before="13"/>
                      <w:ind w:left="1960"/>
                      <w:rPr>
                        <w:rFonts w:ascii="MS Gothic"/>
                      </w:rPr>
                    </w:pPr>
                    <w:r>
                      <w:rPr>
                        <w:rFonts w:ascii="MS Gothic"/>
                        <w:color w:val="333333"/>
                      </w:rPr>
                      <w:t>&lt;artifactId&gt;spring-boot-maven-plugin&lt;/artifactId&gt;</w:t>
                    </w:r>
                  </w:p>
                  <w:p w14:paraId="7AC23433" w14:textId="77777777" w:rsidR="00711A16" w:rsidRDefault="00711A16">
                    <w:pPr>
                      <w:spacing w:before="13"/>
                      <w:ind w:left="1960"/>
                      <w:rPr>
                        <w:rFonts w:ascii="MS Gothic"/>
                      </w:rPr>
                    </w:pPr>
                    <w:r>
                      <w:rPr>
                        <w:rFonts w:ascii="MS Gothic"/>
                        <w:color w:val="333333"/>
                      </w:rPr>
                      <w:t>&lt;configuration&gt;</w:t>
                    </w:r>
                  </w:p>
                  <w:p w14:paraId="075972B4" w14:textId="77777777" w:rsidR="00711A16" w:rsidRDefault="00711A16">
                    <w:pPr>
                      <w:spacing w:before="13"/>
                      <w:ind w:left="2400"/>
                      <w:rPr>
                        <w:rFonts w:ascii="MS Gothic"/>
                      </w:rPr>
                    </w:pPr>
                    <w:r>
                      <w:rPr>
                        <w:rFonts w:ascii="MS Gothic"/>
                        <w:color w:val="333333"/>
                      </w:rPr>
                      <w:t>&lt;excludes&gt;</w:t>
                    </w:r>
                  </w:p>
                  <w:p w14:paraId="0D9225B5" w14:textId="77777777" w:rsidR="00711A16" w:rsidRDefault="00711A16">
                    <w:pPr>
                      <w:spacing w:before="13"/>
                      <w:ind w:left="2840"/>
                      <w:rPr>
                        <w:rFonts w:ascii="MS Gothic"/>
                      </w:rPr>
                    </w:pPr>
                    <w:r>
                      <w:rPr>
                        <w:rFonts w:ascii="MS Gothic"/>
                        <w:color w:val="333333"/>
                      </w:rPr>
                      <w:t>&lt;exclude&gt;</w:t>
                    </w:r>
                  </w:p>
                  <w:p w14:paraId="3ABD3AB7" w14:textId="77777777" w:rsidR="00711A16" w:rsidRDefault="00711A16">
                    <w:pPr>
                      <w:spacing w:before="13"/>
                      <w:ind w:left="3280"/>
                      <w:rPr>
                        <w:rFonts w:ascii="MS Gothic"/>
                      </w:rPr>
                    </w:pPr>
                    <w:proofErr w:type="gramStart"/>
                    <w:r>
                      <w:rPr>
                        <w:rFonts w:ascii="MS Gothic"/>
                        <w:color w:val="333333"/>
                      </w:rPr>
                      <w:t>&lt;groupId&gt;org.springframework.boot</w:t>
                    </w:r>
                    <w:proofErr w:type="gramEnd"/>
                    <w:r>
                      <w:rPr>
                        <w:rFonts w:ascii="MS Gothic"/>
                        <w:color w:val="333333"/>
                      </w:rPr>
                      <w:t>&lt;/groupId&gt;</w:t>
                    </w:r>
                  </w:p>
                  <w:p w14:paraId="08824D89" w14:textId="77777777" w:rsidR="00711A16" w:rsidRDefault="00711A16">
                    <w:pPr>
                      <w:spacing w:before="13"/>
                      <w:ind w:left="3280"/>
                      <w:rPr>
                        <w:rFonts w:ascii="MS Gothic"/>
                      </w:rPr>
                    </w:pPr>
                    <w:r>
                      <w:rPr>
                        <w:rFonts w:ascii="MS Gothic"/>
                        <w:color w:val="333333"/>
                      </w:rPr>
                      <w:t>&lt;artifactId&gt;spring-boot-autoconfigure-</w:t>
                    </w:r>
                  </w:p>
                  <w:p w14:paraId="09E52616" w14:textId="77777777" w:rsidR="00711A16" w:rsidRDefault="00711A16">
                    <w:pPr>
                      <w:spacing w:before="13"/>
                      <w:ind w:left="200"/>
                      <w:rPr>
                        <w:rFonts w:ascii="MS Gothic"/>
                      </w:rPr>
                    </w:pPr>
                    <w:r>
                      <w:rPr>
                        <w:rFonts w:ascii="MS Gothic"/>
                        <w:color w:val="333333"/>
                      </w:rPr>
                      <w:t>processor&lt;/artifactId&gt;</w:t>
                    </w:r>
                  </w:p>
                  <w:p w14:paraId="36F2DF01" w14:textId="77777777" w:rsidR="00711A16" w:rsidRDefault="00711A16">
                    <w:pPr>
                      <w:spacing w:before="13"/>
                      <w:ind w:left="2840"/>
                      <w:rPr>
                        <w:rFonts w:ascii="MS Gothic"/>
                      </w:rPr>
                    </w:pPr>
                    <w:r>
                      <w:rPr>
                        <w:rFonts w:ascii="MS Gothic"/>
                        <w:color w:val="333333"/>
                      </w:rPr>
                      <w:t>&lt;/exclude&gt;</w:t>
                    </w:r>
                  </w:p>
                  <w:p w14:paraId="1E61E801" w14:textId="77777777" w:rsidR="00711A16" w:rsidRDefault="00711A16">
                    <w:pPr>
                      <w:spacing w:before="13"/>
                      <w:ind w:left="2400"/>
                      <w:rPr>
                        <w:rFonts w:ascii="MS Gothic"/>
                      </w:rPr>
                    </w:pPr>
                    <w:r>
                      <w:rPr>
                        <w:rFonts w:ascii="MS Gothic"/>
                        <w:color w:val="333333"/>
                      </w:rPr>
                      <w:t>&lt;/excludes&gt;</w:t>
                    </w:r>
                  </w:p>
                  <w:p w14:paraId="2D0E4282" w14:textId="77777777" w:rsidR="00711A16" w:rsidRDefault="00711A16">
                    <w:pPr>
                      <w:spacing w:before="13"/>
                      <w:ind w:left="1960"/>
                      <w:rPr>
                        <w:rFonts w:ascii="MS Gothic"/>
                      </w:rPr>
                    </w:pPr>
                    <w:r>
                      <w:rPr>
                        <w:rFonts w:ascii="MS Gothic"/>
                        <w:color w:val="333333"/>
                      </w:rPr>
                      <w:t>&lt;/configuration&gt;</w:t>
                    </w:r>
                  </w:p>
                  <w:p w14:paraId="171A4E65" w14:textId="77777777" w:rsidR="00711A16" w:rsidRDefault="00711A16">
                    <w:pPr>
                      <w:spacing w:before="13"/>
                      <w:ind w:left="1520"/>
                      <w:rPr>
                        <w:rFonts w:ascii="MS Gothic"/>
                      </w:rPr>
                    </w:pPr>
                    <w:r>
                      <w:rPr>
                        <w:rFonts w:ascii="MS Gothic"/>
                        <w:color w:val="333333"/>
                      </w:rPr>
                      <w:t>&lt;/plugin&gt;</w:t>
                    </w:r>
                  </w:p>
                  <w:p w14:paraId="673E3202" w14:textId="77777777" w:rsidR="00711A16" w:rsidRDefault="00711A16">
                    <w:pPr>
                      <w:spacing w:before="13"/>
                      <w:ind w:left="1080"/>
                      <w:rPr>
                        <w:rFonts w:ascii="MS Gothic"/>
                      </w:rPr>
                    </w:pPr>
                    <w:r>
                      <w:rPr>
                        <w:rFonts w:ascii="MS Gothic"/>
                        <w:color w:val="333333"/>
                      </w:rPr>
                      <w:t>&lt;/plugins&gt;</w:t>
                    </w:r>
                  </w:p>
                  <w:p w14:paraId="58117534" w14:textId="77777777" w:rsidR="00711A16" w:rsidRDefault="00711A16">
                    <w:pPr>
                      <w:spacing w:before="12"/>
                      <w:ind w:left="640"/>
                      <w:rPr>
                        <w:rFonts w:ascii="MS Gothic"/>
                      </w:rPr>
                    </w:pPr>
                    <w:r>
                      <w:rPr>
                        <w:rFonts w:ascii="MS Gothic"/>
                        <w:color w:val="333333"/>
                      </w:rPr>
                      <w:t>&lt;/build&gt;</w:t>
                    </w:r>
                  </w:p>
                  <w:p w14:paraId="30CA3D1C" w14:textId="77777777" w:rsidR="00711A16" w:rsidRDefault="00711A16">
                    <w:pPr>
                      <w:spacing w:before="13"/>
                      <w:ind w:left="200"/>
                      <w:rPr>
                        <w:rFonts w:ascii="MS Gothic"/>
                      </w:rPr>
                    </w:pPr>
                    <w:r>
                      <w:rPr>
                        <w:rFonts w:ascii="MS Gothic"/>
                        <w:color w:val="333333"/>
                      </w:rPr>
                      <w:t>&lt;/project&gt;</w:t>
                    </w:r>
                  </w:p>
                </w:txbxContent>
              </v:textbox>
            </v:shape>
            <w10:anchorlock/>
          </v:group>
        </w:pict>
      </w:r>
    </w:p>
    <w:p w14:paraId="1CC57DF1" w14:textId="77777777" w:rsidR="00A720EB" w:rsidRDefault="00A720EB">
      <w:pPr>
        <w:pStyle w:val="a3"/>
        <w:spacing w:before="11"/>
        <w:rPr>
          <w:sz w:val="9"/>
        </w:rPr>
      </w:pPr>
    </w:p>
    <w:p w14:paraId="5F7D4BA2" w14:textId="77777777" w:rsidR="00A720EB" w:rsidRDefault="0030286B">
      <w:pPr>
        <w:pStyle w:val="a3"/>
        <w:spacing w:before="116" w:line="290" w:lineRule="auto"/>
        <w:ind w:left="124"/>
      </w:pPr>
      <w:r>
        <w:rPr>
          <w:color w:val="333333"/>
          <w:w w:val="115"/>
        </w:rPr>
        <w:t>With</w:t>
      </w:r>
      <w:r>
        <w:rPr>
          <w:color w:val="333333"/>
          <w:spacing w:val="-27"/>
          <w:w w:val="115"/>
        </w:rPr>
        <w:t xml:space="preserve"> </w:t>
      </w:r>
      <w:r>
        <w:rPr>
          <w:color w:val="333333"/>
          <w:w w:val="115"/>
        </w:rPr>
        <w:t>Gradle</w:t>
      </w:r>
      <w:r>
        <w:rPr>
          <w:color w:val="333333"/>
          <w:spacing w:val="-27"/>
          <w:w w:val="115"/>
        </w:rPr>
        <w:t xml:space="preserve"> </w:t>
      </w:r>
      <w:r>
        <w:rPr>
          <w:color w:val="333333"/>
          <w:w w:val="115"/>
        </w:rPr>
        <w:t>4.5</w:t>
      </w:r>
      <w:r>
        <w:rPr>
          <w:color w:val="333333"/>
          <w:spacing w:val="-27"/>
          <w:w w:val="115"/>
        </w:rPr>
        <w:t xml:space="preserve"> </w:t>
      </w:r>
      <w:r>
        <w:rPr>
          <w:color w:val="333333"/>
          <w:w w:val="115"/>
        </w:rPr>
        <w:t>and</w:t>
      </w:r>
      <w:r>
        <w:rPr>
          <w:color w:val="333333"/>
          <w:spacing w:val="-27"/>
          <w:w w:val="115"/>
        </w:rPr>
        <w:t xml:space="preserve"> </w:t>
      </w:r>
      <w:r>
        <w:rPr>
          <w:color w:val="333333"/>
          <w:w w:val="115"/>
        </w:rPr>
        <w:t>earlier,</w:t>
      </w:r>
      <w:r>
        <w:rPr>
          <w:color w:val="333333"/>
          <w:spacing w:val="-26"/>
          <w:w w:val="115"/>
        </w:rPr>
        <w:t xml:space="preserve"> </w:t>
      </w:r>
      <w:r>
        <w:rPr>
          <w:color w:val="333333"/>
          <w:w w:val="115"/>
        </w:rPr>
        <w:t>the</w:t>
      </w:r>
      <w:r>
        <w:rPr>
          <w:color w:val="333333"/>
          <w:spacing w:val="-27"/>
          <w:w w:val="115"/>
        </w:rPr>
        <w:t xml:space="preserve"> </w:t>
      </w:r>
      <w:r>
        <w:rPr>
          <w:color w:val="333333"/>
          <w:w w:val="115"/>
        </w:rPr>
        <w:t>dependency</w:t>
      </w:r>
      <w:r>
        <w:rPr>
          <w:color w:val="333333"/>
          <w:spacing w:val="-27"/>
          <w:w w:val="115"/>
        </w:rPr>
        <w:t xml:space="preserve"> </w:t>
      </w:r>
      <w:r>
        <w:rPr>
          <w:color w:val="333333"/>
          <w:w w:val="115"/>
        </w:rPr>
        <w:t>should</w:t>
      </w:r>
      <w:r>
        <w:rPr>
          <w:color w:val="333333"/>
          <w:spacing w:val="-27"/>
          <w:w w:val="115"/>
        </w:rPr>
        <w:t xml:space="preserve"> </w:t>
      </w:r>
      <w:r>
        <w:rPr>
          <w:color w:val="333333"/>
          <w:w w:val="115"/>
        </w:rPr>
        <w:t>be</w:t>
      </w:r>
      <w:r>
        <w:rPr>
          <w:color w:val="333333"/>
          <w:spacing w:val="-27"/>
          <w:w w:val="115"/>
        </w:rPr>
        <w:t xml:space="preserve"> </w:t>
      </w:r>
      <w:r>
        <w:rPr>
          <w:color w:val="333333"/>
          <w:w w:val="115"/>
        </w:rPr>
        <w:t>declared</w:t>
      </w:r>
      <w:r>
        <w:rPr>
          <w:color w:val="333333"/>
          <w:spacing w:val="-26"/>
          <w:w w:val="115"/>
        </w:rPr>
        <w:t xml:space="preserve"> </w:t>
      </w:r>
      <w:r>
        <w:rPr>
          <w:color w:val="333333"/>
          <w:w w:val="115"/>
        </w:rPr>
        <w:t>in</w:t>
      </w:r>
      <w:r>
        <w:rPr>
          <w:color w:val="333333"/>
          <w:spacing w:val="-27"/>
          <w:w w:val="115"/>
        </w:rPr>
        <w:t xml:space="preserve"> </w:t>
      </w:r>
      <w:r>
        <w:rPr>
          <w:color w:val="333333"/>
          <w:w w:val="115"/>
        </w:rPr>
        <w:t>the</w:t>
      </w:r>
      <w:r>
        <w:rPr>
          <w:color w:val="333333"/>
          <w:spacing w:val="-23"/>
          <w:w w:val="115"/>
        </w:rPr>
        <w:t xml:space="preserve"> </w:t>
      </w:r>
      <w:r>
        <w:rPr>
          <w:rFonts w:ascii="MS Gothic"/>
          <w:color w:val="B02045"/>
          <w:w w:val="115"/>
        </w:rPr>
        <w:t>compileOnly</w:t>
      </w:r>
      <w:r>
        <w:rPr>
          <w:rFonts w:ascii="MS Gothic"/>
          <w:color w:val="B02045"/>
          <w:spacing w:val="-95"/>
          <w:w w:val="115"/>
        </w:rPr>
        <w:t xml:space="preserve"> </w:t>
      </w:r>
      <w:r>
        <w:rPr>
          <w:color w:val="333333"/>
          <w:w w:val="115"/>
        </w:rPr>
        <w:t>configuration,</w:t>
      </w:r>
      <w:r>
        <w:rPr>
          <w:color w:val="333333"/>
          <w:spacing w:val="-26"/>
          <w:w w:val="115"/>
        </w:rPr>
        <w:t xml:space="preserve"> </w:t>
      </w:r>
      <w:r>
        <w:rPr>
          <w:color w:val="333333"/>
          <w:w w:val="115"/>
        </w:rPr>
        <w:t>as shown in the following example:</w:t>
      </w:r>
    </w:p>
    <w:p w14:paraId="64CB71D2" w14:textId="77777777" w:rsidR="00A720EB" w:rsidRDefault="00E10349">
      <w:pPr>
        <w:pStyle w:val="a3"/>
        <w:spacing w:before="7"/>
        <w:rPr>
          <w:sz w:val="14"/>
        </w:rPr>
      </w:pPr>
      <w:r>
        <w:pict w14:anchorId="6A0EE39E">
          <v:group id="_x0000_s3392" style="position:absolute;margin-left:47.85pt;margin-top:10.55pt;width:499.55pt;height:67pt;z-index:-15281152;mso-wrap-distance-left:0;mso-wrap-distance-right:0;mso-position-horizontal-relative:page" coordorigin="957,211" coordsize="9991,1340">
            <v:shape id="_x0000_s3395" style="position:absolute;left:964;top:218;width:9976;height:1325" coordorigin="965,219" coordsize="9976,1325" path="m10861,219r-9816,l1014,225r-26,17l971,267r-6,32l965,1463r6,31l988,1520r26,17l1045,1543r9816,l10892,1537r25,-17l10935,1494r6,-31l10941,299r-6,-32l10917,242r-25,-17l10861,219xe" fillcolor="#f5f5f5" stroked="f">
              <v:path arrowok="t"/>
            </v:shape>
            <v:shape id="_x0000_s3394" style="position:absolute;left:964;top:218;width:9976;height:1325" coordorigin="965,219" coordsize="9976,1325" path="m1045,219r9816,l10892,225r25,17l10935,267r6,32l10941,1463r-6,31l10917,1520r-25,17l10861,1543r-9816,l1014,1537r-26,-17l971,1494r-6,-31l965,299r6,-32l988,242r26,-17l1045,219xe" filled="f" strokecolor="#ccc">
              <v:path arrowok="t"/>
            </v:shape>
            <v:shape id="_x0000_s3393" type="#_x0000_t202" style="position:absolute;left:984;top:234;width:9938;height:1294" filled="f" stroked="f">
              <v:textbox inset="0,0,0,0">
                <w:txbxContent>
                  <w:p w14:paraId="15BD4996" w14:textId="77777777" w:rsidR="00711A16" w:rsidRDefault="00711A16">
                    <w:pPr>
                      <w:spacing w:before="221"/>
                      <w:ind w:left="200"/>
                      <w:rPr>
                        <w:rFonts w:ascii="MS Gothic"/>
                      </w:rPr>
                    </w:pPr>
                    <w:r>
                      <w:rPr>
                        <w:rFonts w:ascii="MS Gothic"/>
                        <w:color w:val="333333"/>
                      </w:rPr>
                      <w:t>dependencies {</w:t>
                    </w:r>
                  </w:p>
                  <w:p w14:paraId="19BCCF85" w14:textId="77777777" w:rsidR="00711A16" w:rsidRDefault="00711A16">
                    <w:pPr>
                      <w:spacing w:before="13"/>
                      <w:ind w:left="640"/>
                      <w:rPr>
                        <w:rFonts w:ascii="MS Gothic"/>
                      </w:rPr>
                    </w:pPr>
                    <w:r>
                      <w:rPr>
                        <w:rFonts w:ascii="MS Gothic"/>
                        <w:color w:val="333333"/>
                      </w:rPr>
                      <w:t>compileOnly "</w:t>
                    </w:r>
                    <w:proofErr w:type="gramStart"/>
                    <w:r>
                      <w:rPr>
                        <w:rFonts w:ascii="MS Gothic"/>
                        <w:color w:val="333333"/>
                      </w:rPr>
                      <w:t>org.springframework</w:t>
                    </w:r>
                    <w:proofErr w:type="gramEnd"/>
                    <w:r>
                      <w:rPr>
                        <w:rFonts w:ascii="MS Gothic"/>
                        <w:color w:val="333333"/>
                      </w:rPr>
                      <w:t>.boot:spring-boot-autoconfigure-processor"</w:t>
                    </w:r>
                  </w:p>
                  <w:p w14:paraId="7B71D47D"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6BDA7BAC" w14:textId="77777777" w:rsidR="00A720EB" w:rsidRDefault="00A720EB">
      <w:pPr>
        <w:pStyle w:val="a3"/>
        <w:spacing w:before="11"/>
        <w:rPr>
          <w:sz w:val="9"/>
        </w:rPr>
      </w:pPr>
    </w:p>
    <w:p w14:paraId="37C77563" w14:textId="77777777" w:rsidR="00A720EB" w:rsidRDefault="0030286B">
      <w:pPr>
        <w:pStyle w:val="a3"/>
        <w:spacing w:before="115"/>
        <w:ind w:left="124"/>
        <w:rPr>
          <w:rFonts w:ascii="MS Gothic"/>
        </w:rPr>
      </w:pPr>
      <w:r>
        <w:rPr>
          <w:color w:val="333333"/>
          <w:w w:val="110"/>
        </w:rPr>
        <w:t xml:space="preserve">With Gradle 4.6 and later, the dependency should be declared in the </w:t>
      </w:r>
      <w:r>
        <w:rPr>
          <w:rFonts w:ascii="MS Gothic"/>
          <w:color w:val="B02045"/>
          <w:w w:val="110"/>
        </w:rPr>
        <w:t>annotationProcessor</w:t>
      </w:r>
    </w:p>
    <w:p w14:paraId="79EF3333" w14:textId="77777777" w:rsidR="00A720EB" w:rsidRDefault="0030286B">
      <w:pPr>
        <w:pStyle w:val="a3"/>
        <w:spacing w:before="57"/>
        <w:ind w:left="124"/>
      </w:pPr>
      <w:r>
        <w:rPr>
          <w:color w:val="333333"/>
          <w:w w:val="110"/>
        </w:rPr>
        <w:t>configuration, as shown in the following example:</w:t>
      </w:r>
    </w:p>
    <w:p w14:paraId="688C1C5E" w14:textId="77777777" w:rsidR="00A720EB" w:rsidRDefault="00E10349">
      <w:pPr>
        <w:pStyle w:val="a3"/>
        <w:rPr>
          <w:sz w:val="19"/>
        </w:rPr>
      </w:pPr>
      <w:r>
        <w:pict w14:anchorId="583F0342">
          <v:group id="_x0000_s3388" style="position:absolute;margin-left:47.85pt;margin-top:13.15pt;width:499.55pt;height:67pt;z-index:-15280640;mso-wrap-distance-left:0;mso-wrap-distance-right:0;mso-position-horizontal-relative:page" coordorigin="957,263" coordsize="9991,1340">
            <v:shape id="_x0000_s3391" style="position:absolute;left:964;top:270;width:9976;height:1325" coordorigin="965,270" coordsize="9976,1325" path="m10861,270r-9816,l1014,277r-26,17l971,319r-6,31l965,1515r6,31l988,1571r26,18l1045,1595r9816,l10892,1589r25,-18l10935,1546r6,-31l10941,350r-6,-31l10917,294r-25,-17l10861,270xe" fillcolor="#f5f5f5" stroked="f">
              <v:path arrowok="t"/>
            </v:shape>
            <v:shape id="_x0000_s3390" style="position:absolute;left:964;top:270;width:9976;height:1325" coordorigin="965,270" coordsize="9976,1325" path="m1045,270r9816,l10892,277r25,17l10935,319r6,31l10941,1515r-6,31l10917,1571r-25,18l10861,1595r-9816,l1014,1589r-26,-18l971,1546r-6,-31l965,350r6,-31l988,294r26,-17l1045,270xe" filled="f" strokecolor="#ccc">
              <v:path arrowok="t"/>
            </v:shape>
            <v:shape id="_x0000_s3389" type="#_x0000_t202" style="position:absolute;left:984;top:285;width:9938;height:1294" filled="f" stroked="f">
              <v:textbox inset="0,0,0,0">
                <w:txbxContent>
                  <w:p w14:paraId="4DA9D7D9" w14:textId="77777777" w:rsidR="00711A16" w:rsidRDefault="00711A16">
                    <w:pPr>
                      <w:spacing w:before="221"/>
                      <w:ind w:left="200"/>
                      <w:rPr>
                        <w:rFonts w:ascii="MS Gothic"/>
                      </w:rPr>
                    </w:pPr>
                    <w:r>
                      <w:rPr>
                        <w:rFonts w:ascii="MS Gothic"/>
                        <w:color w:val="333333"/>
                      </w:rPr>
                      <w:t>dependencies {</w:t>
                    </w:r>
                  </w:p>
                  <w:p w14:paraId="07CA7A80" w14:textId="77777777" w:rsidR="00711A16" w:rsidRDefault="00711A16">
                    <w:pPr>
                      <w:spacing w:before="13"/>
                      <w:ind w:left="640"/>
                      <w:rPr>
                        <w:rFonts w:ascii="MS Gothic"/>
                      </w:rPr>
                    </w:pPr>
                    <w:r>
                      <w:rPr>
                        <w:rFonts w:ascii="MS Gothic"/>
                        <w:color w:val="333333"/>
                      </w:rPr>
                      <w:t>annotationProcessor "</w:t>
                    </w:r>
                    <w:proofErr w:type="gramStart"/>
                    <w:r>
                      <w:rPr>
                        <w:rFonts w:ascii="MS Gothic"/>
                        <w:color w:val="333333"/>
                      </w:rPr>
                      <w:t>org.springframework</w:t>
                    </w:r>
                    <w:proofErr w:type="gramEnd"/>
                    <w:r>
                      <w:rPr>
                        <w:rFonts w:ascii="MS Gothic"/>
                        <w:color w:val="333333"/>
                      </w:rPr>
                      <w:t>.boot:spring-boot-autoconfigure-processor"</w:t>
                    </w:r>
                  </w:p>
                  <w:p w14:paraId="7DCA2BBB"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62293144" w14:textId="77777777" w:rsidR="00A720EB" w:rsidRDefault="00A720EB">
      <w:pPr>
        <w:pStyle w:val="a3"/>
        <w:spacing w:before="11"/>
        <w:rPr>
          <w:sz w:val="16"/>
        </w:rPr>
      </w:pPr>
    </w:p>
    <w:p w14:paraId="6153E5DA" w14:textId="77777777" w:rsidR="00A720EB" w:rsidRDefault="0030286B">
      <w:pPr>
        <w:pStyle w:val="4"/>
        <w:spacing w:before="104"/>
      </w:pPr>
      <w:bookmarkStart w:id="522" w:name="Starter_Module"/>
      <w:bookmarkEnd w:id="522"/>
      <w:r>
        <w:rPr>
          <w:color w:val="333333"/>
          <w:w w:val="115"/>
        </w:rPr>
        <w:t>Starter Module</w:t>
      </w:r>
    </w:p>
    <w:p w14:paraId="6AA5C877" w14:textId="77777777" w:rsidR="00A720EB" w:rsidRDefault="00A720EB">
      <w:pPr>
        <w:pStyle w:val="a3"/>
        <w:spacing w:before="11"/>
        <w:rPr>
          <w:rFonts w:ascii="Palatino Linotype"/>
          <w:b/>
          <w:sz w:val="18"/>
        </w:rPr>
      </w:pPr>
    </w:p>
    <w:p w14:paraId="75086920" w14:textId="77777777" w:rsidR="00A720EB" w:rsidRDefault="0030286B">
      <w:pPr>
        <w:pStyle w:val="a3"/>
        <w:spacing w:line="307" w:lineRule="auto"/>
        <w:ind w:left="124" w:right="131"/>
        <w:jc w:val="both"/>
      </w:pPr>
      <w:r>
        <w:rPr>
          <w:color w:val="333333"/>
          <w:w w:val="110"/>
        </w:rPr>
        <w:t>The starter is really an empty jar. Its only purpose is to provide the necessary dependencies to work with the library. You can think of it as an opinionated view of what is required to get started.</w:t>
      </w:r>
    </w:p>
    <w:p w14:paraId="5EB5E00B" w14:textId="77777777" w:rsidR="00A720EB" w:rsidRDefault="0030286B">
      <w:pPr>
        <w:pStyle w:val="a3"/>
        <w:spacing w:before="241" w:line="297" w:lineRule="auto"/>
        <w:ind w:left="124" w:right="132"/>
        <w:jc w:val="both"/>
      </w:pPr>
      <w:r>
        <w:rPr>
          <w:color w:val="333333"/>
          <w:w w:val="110"/>
        </w:rPr>
        <w:t xml:space="preserve">Do not make assumptions about the project in which your starter is added. If the library you are auto-configuring typically requires other starters, mention them as well. Providing a proper set </w:t>
      </w:r>
      <w:proofErr w:type="gramStart"/>
      <w:r>
        <w:rPr>
          <w:color w:val="333333"/>
          <w:w w:val="110"/>
        </w:rPr>
        <w:t xml:space="preserve">of  </w:t>
      </w:r>
      <w:r>
        <w:rPr>
          <w:rFonts w:ascii="Palatino Linotype"/>
          <w:i/>
          <w:color w:val="333333"/>
          <w:w w:val="110"/>
        </w:rPr>
        <w:t>default</w:t>
      </w:r>
      <w:proofErr w:type="gramEnd"/>
      <w:r>
        <w:rPr>
          <w:rFonts w:ascii="Palatino Linotype"/>
          <w:i/>
          <w:color w:val="333333"/>
          <w:w w:val="110"/>
        </w:rPr>
        <w:t xml:space="preserve"> </w:t>
      </w:r>
      <w:r>
        <w:rPr>
          <w:color w:val="333333"/>
          <w:w w:val="110"/>
        </w:rPr>
        <w:t xml:space="preserve">dependencies may be hard if the number of optional dependencies is high, as you should  avoid including dependencies that are unnecessary for a typical usage of the  </w:t>
      </w:r>
      <w:r>
        <w:rPr>
          <w:color w:val="333333"/>
          <w:spacing w:val="-4"/>
          <w:w w:val="110"/>
        </w:rPr>
        <w:t>library.</w:t>
      </w:r>
      <w:r>
        <w:rPr>
          <w:color w:val="333333"/>
          <w:spacing w:val="42"/>
          <w:w w:val="110"/>
        </w:rPr>
        <w:t xml:space="preserve"> </w:t>
      </w:r>
      <w:proofErr w:type="gramStart"/>
      <w:r>
        <w:rPr>
          <w:color w:val="333333"/>
          <w:w w:val="110"/>
        </w:rPr>
        <w:t>In  other</w:t>
      </w:r>
      <w:proofErr w:type="gramEnd"/>
      <w:r>
        <w:rPr>
          <w:color w:val="333333"/>
          <w:w w:val="110"/>
        </w:rPr>
        <w:t xml:space="preserve">  words, you should not include optional</w:t>
      </w:r>
      <w:r>
        <w:rPr>
          <w:color w:val="333333"/>
          <w:spacing w:val="19"/>
          <w:w w:val="110"/>
        </w:rPr>
        <w:t xml:space="preserve"> </w:t>
      </w:r>
      <w:r>
        <w:rPr>
          <w:color w:val="333333"/>
          <w:w w:val="110"/>
        </w:rPr>
        <w:t>dependencies.</w:t>
      </w:r>
    </w:p>
    <w:p w14:paraId="0260E3BC" w14:textId="77777777" w:rsidR="00A720EB" w:rsidRDefault="00A720EB">
      <w:pPr>
        <w:spacing w:line="297" w:lineRule="auto"/>
        <w:jc w:val="both"/>
        <w:sectPr w:rsidR="00A720EB">
          <w:pgSz w:w="11910" w:h="16840"/>
          <w:pgMar w:top="700" w:right="840" w:bottom="520" w:left="840" w:header="0" w:footer="323" w:gutter="0"/>
          <w:cols w:space="720"/>
        </w:sectPr>
      </w:pPr>
    </w:p>
    <w:p w14:paraId="5A0D5FB0" w14:textId="77777777" w:rsidR="00A720EB" w:rsidRDefault="00E10349">
      <w:pPr>
        <w:pStyle w:val="a3"/>
        <w:spacing w:before="111" w:line="292" w:lineRule="auto"/>
        <w:ind w:left="1564" w:right="362"/>
        <w:jc w:val="both"/>
      </w:pPr>
      <w:r>
        <w:lastRenderedPageBreak/>
        <w:pict w14:anchorId="046CD32C">
          <v:line id="_x0000_s3387" style="position:absolute;left:0;text-align:left;z-index:16177152;mso-position-horizontal-relative:page" from="108.25pt,.1pt" to="108.25pt,71.2pt" strokecolor="#ededed" strokeweight=".5pt">
            <w10:wrap anchorx="page"/>
          </v:line>
        </w:pict>
      </w:r>
      <w:r w:rsidR="0030286B">
        <w:rPr>
          <w:noProof/>
        </w:rPr>
        <w:drawing>
          <wp:anchor distT="0" distB="0" distL="0" distR="0" simplePos="0" relativeHeight="16177664" behindDoc="0" locked="0" layoutInCell="1" allowOverlap="1" wp14:anchorId="5DEDEA71" wp14:editId="0B47D861">
            <wp:simplePos x="0" y="0"/>
            <wp:positionH relativeFrom="page">
              <wp:posOffset>844422</wp:posOffset>
            </wp:positionH>
            <wp:positionV relativeFrom="paragraph">
              <wp:posOffset>303479</wp:posOffset>
            </wp:positionV>
            <wp:extent cx="298450" cy="298450"/>
            <wp:effectExtent l="0" t="0" r="0" b="0"/>
            <wp:wrapNone/>
            <wp:docPr id="5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Either way, your starter must reference the core Spring Boot starter (</w:t>
      </w:r>
      <w:r w:rsidR="0030286B">
        <w:rPr>
          <w:rFonts w:ascii="MS Gothic" w:hAnsi="MS Gothic"/>
          <w:color w:val="B02045"/>
          <w:w w:val="110"/>
        </w:rPr>
        <w:t>spring-boot- starter</w:t>
      </w:r>
      <w:r w:rsidR="0030286B">
        <w:rPr>
          <w:color w:val="333333"/>
          <w:w w:val="110"/>
        </w:rPr>
        <w:t>) directly or indirectly (i.e. no need to add it if your starter relies on another starter). If a project is created with only your custom starter, Spring Boot’s core features will be honoured by the presence of the core starter.</w:t>
      </w:r>
    </w:p>
    <w:p w14:paraId="4E1CCC37" w14:textId="77777777" w:rsidR="00A720EB" w:rsidRDefault="00A720EB">
      <w:pPr>
        <w:pStyle w:val="a3"/>
        <w:rPr>
          <w:sz w:val="34"/>
        </w:rPr>
      </w:pPr>
    </w:p>
    <w:p w14:paraId="41D32C54" w14:textId="77777777" w:rsidR="00A720EB" w:rsidRDefault="0030286B">
      <w:pPr>
        <w:pStyle w:val="2"/>
        <w:numPr>
          <w:ilvl w:val="1"/>
          <w:numId w:val="68"/>
        </w:numPr>
        <w:tabs>
          <w:tab w:val="left" w:pos="1034"/>
        </w:tabs>
        <w:ind w:left="1033" w:hanging="910"/>
      </w:pPr>
      <w:bookmarkStart w:id="523" w:name="4.30._Kotlin_support"/>
      <w:bookmarkStart w:id="524" w:name="_Toc54423824"/>
      <w:bookmarkEnd w:id="523"/>
      <w:r>
        <w:rPr>
          <w:color w:val="333333"/>
          <w:spacing w:val="-2"/>
          <w:w w:val="110"/>
        </w:rPr>
        <w:t>Kotlin</w:t>
      </w:r>
      <w:r>
        <w:rPr>
          <w:color w:val="333333"/>
          <w:spacing w:val="-8"/>
          <w:w w:val="110"/>
        </w:rPr>
        <w:t xml:space="preserve"> </w:t>
      </w:r>
      <w:r>
        <w:rPr>
          <w:color w:val="333333"/>
          <w:w w:val="110"/>
        </w:rPr>
        <w:t>support</w:t>
      </w:r>
      <w:bookmarkEnd w:id="524"/>
    </w:p>
    <w:p w14:paraId="5D585DE4" w14:textId="77777777" w:rsidR="00A720EB" w:rsidRDefault="00E10349">
      <w:pPr>
        <w:pStyle w:val="a3"/>
        <w:spacing w:before="253" w:line="307" w:lineRule="auto"/>
        <w:ind w:left="124" w:right="128"/>
        <w:jc w:val="both"/>
      </w:pPr>
      <w:hyperlink r:id="rId358">
        <w:r w:rsidR="0030286B">
          <w:rPr>
            <w:color w:val="418BCA"/>
            <w:w w:val="110"/>
          </w:rPr>
          <w:t>Kotlin</w:t>
        </w:r>
      </w:hyperlink>
      <w:r w:rsidR="0030286B">
        <w:rPr>
          <w:color w:val="418BCA"/>
          <w:w w:val="110"/>
        </w:rPr>
        <w:t xml:space="preserve"> </w:t>
      </w:r>
      <w:r w:rsidR="0030286B">
        <w:rPr>
          <w:color w:val="333333"/>
          <w:w w:val="110"/>
        </w:rPr>
        <w:t xml:space="preserve">is a statically-typed language targeting the JVM (and other platforms) which allows writing  concise and elegant code while providing </w:t>
      </w:r>
      <w:hyperlink r:id="rId359">
        <w:r w:rsidR="0030286B">
          <w:rPr>
            <w:color w:val="418BCA"/>
            <w:w w:val="110"/>
          </w:rPr>
          <w:t xml:space="preserve">interoperability </w:t>
        </w:r>
      </w:hyperlink>
      <w:r w:rsidR="0030286B">
        <w:rPr>
          <w:color w:val="333333"/>
          <w:w w:val="110"/>
        </w:rPr>
        <w:t>with existing libraries written in Java.</w:t>
      </w:r>
    </w:p>
    <w:p w14:paraId="2216E9B1" w14:textId="77777777" w:rsidR="00A720EB" w:rsidRDefault="0030286B">
      <w:pPr>
        <w:pStyle w:val="a3"/>
        <w:spacing w:before="241" w:line="307" w:lineRule="auto"/>
        <w:ind w:left="124" w:right="126"/>
        <w:jc w:val="both"/>
      </w:pPr>
      <w:r>
        <w:rPr>
          <w:color w:val="333333"/>
          <w:w w:val="110"/>
        </w:rPr>
        <w:t xml:space="preserve">Spring Boot provides Kotlin support </w:t>
      </w:r>
      <w:r>
        <w:rPr>
          <w:color w:val="333333"/>
          <w:spacing w:val="-3"/>
          <w:w w:val="110"/>
        </w:rPr>
        <w:t xml:space="preserve">by </w:t>
      </w:r>
      <w:r>
        <w:rPr>
          <w:color w:val="333333"/>
          <w:w w:val="110"/>
        </w:rPr>
        <w:t>leveraging the support in other Spring projects such as</w:t>
      </w:r>
      <w:r>
        <w:rPr>
          <w:color w:val="333333"/>
          <w:spacing w:val="50"/>
          <w:w w:val="110"/>
        </w:rPr>
        <w:t xml:space="preserve"> </w:t>
      </w:r>
      <w:r>
        <w:rPr>
          <w:color w:val="333333"/>
          <w:w w:val="110"/>
        </w:rPr>
        <w:t xml:space="preserve">Spring Framework, Spring Data, and Reactor. See the </w:t>
      </w:r>
      <w:hyperlink r:id="rId360" w:anchor="kotlin">
        <w:r>
          <w:rPr>
            <w:color w:val="418BCA"/>
            <w:w w:val="110"/>
          </w:rPr>
          <w:t>Spring Framework Kotlin support</w:t>
        </w:r>
      </w:hyperlink>
      <w:r>
        <w:rPr>
          <w:color w:val="418BCA"/>
          <w:w w:val="110"/>
        </w:rPr>
        <w:t xml:space="preserve"> </w:t>
      </w:r>
      <w:hyperlink r:id="rId361" w:anchor="kotlin">
        <w:r>
          <w:rPr>
            <w:color w:val="418BCA"/>
            <w:w w:val="110"/>
          </w:rPr>
          <w:t xml:space="preserve">documentation </w:t>
        </w:r>
      </w:hyperlink>
      <w:r>
        <w:rPr>
          <w:color w:val="333333"/>
          <w:w w:val="110"/>
        </w:rPr>
        <w:t>for more</w:t>
      </w:r>
      <w:r>
        <w:rPr>
          <w:color w:val="333333"/>
          <w:spacing w:val="11"/>
          <w:w w:val="110"/>
        </w:rPr>
        <w:t xml:space="preserve"> </w:t>
      </w:r>
      <w:r>
        <w:rPr>
          <w:color w:val="333333"/>
          <w:w w:val="110"/>
        </w:rPr>
        <w:t>information.</w:t>
      </w:r>
    </w:p>
    <w:p w14:paraId="640FFA6C" w14:textId="77777777" w:rsidR="00A720EB" w:rsidRDefault="0030286B">
      <w:pPr>
        <w:pStyle w:val="a3"/>
        <w:spacing w:before="241" w:line="302" w:lineRule="auto"/>
        <w:ind w:left="124" w:right="122"/>
        <w:jc w:val="both"/>
      </w:pPr>
      <w:r>
        <w:rPr>
          <w:color w:val="333333"/>
          <w:w w:val="110"/>
        </w:rPr>
        <w:t xml:space="preserve">The easiest way to start with Spring Boot and Kotlin is to follow  </w:t>
      </w:r>
      <w:hyperlink r:id="rId362">
        <w:r>
          <w:rPr>
            <w:color w:val="418BCA"/>
            <w:w w:val="110"/>
          </w:rPr>
          <w:t>this comprehensive tutorial</w:t>
        </w:r>
      </w:hyperlink>
      <w:r>
        <w:rPr>
          <w:color w:val="333333"/>
          <w:w w:val="110"/>
        </w:rPr>
        <w:t xml:space="preserve">. </w:t>
      </w:r>
      <w:proofErr w:type="gramStart"/>
      <w:r>
        <w:rPr>
          <w:color w:val="333333"/>
          <w:spacing w:val="-6"/>
          <w:w w:val="110"/>
        </w:rPr>
        <w:t xml:space="preserve">You </w:t>
      </w:r>
      <w:r>
        <w:rPr>
          <w:color w:val="333333"/>
          <w:spacing w:val="38"/>
          <w:w w:val="110"/>
        </w:rPr>
        <w:t xml:space="preserve"> </w:t>
      </w:r>
      <w:r>
        <w:rPr>
          <w:color w:val="333333"/>
          <w:w w:val="110"/>
        </w:rPr>
        <w:t>can</w:t>
      </w:r>
      <w:proofErr w:type="gramEnd"/>
      <w:r>
        <w:rPr>
          <w:color w:val="333333"/>
          <w:w w:val="110"/>
        </w:rPr>
        <w:t xml:space="preserve"> create new Kotlin projects via  </w:t>
      </w:r>
      <w:hyperlink r:id="rId363" w:anchor="!language%3Dkotlin">
        <w:r>
          <w:rPr>
            <w:color w:val="418BCA"/>
            <w:w w:val="110"/>
          </w:rPr>
          <w:t>start.spring.io</w:t>
        </w:r>
      </w:hyperlink>
      <w:r>
        <w:rPr>
          <w:color w:val="333333"/>
          <w:w w:val="110"/>
        </w:rPr>
        <w:t xml:space="preserve">. </w:t>
      </w:r>
      <w:r>
        <w:rPr>
          <w:color w:val="333333"/>
          <w:spacing w:val="-3"/>
          <w:w w:val="110"/>
        </w:rPr>
        <w:t xml:space="preserve">Feel  </w:t>
      </w:r>
      <w:r>
        <w:rPr>
          <w:color w:val="333333"/>
          <w:w w:val="110"/>
        </w:rPr>
        <w:t xml:space="preserve">free to join the #spring channel of </w:t>
      </w:r>
      <w:hyperlink r:id="rId364">
        <w:r>
          <w:rPr>
            <w:color w:val="418BCA"/>
            <w:w w:val="110"/>
          </w:rPr>
          <w:t>Kotlin</w:t>
        </w:r>
      </w:hyperlink>
      <w:r>
        <w:rPr>
          <w:color w:val="418BCA"/>
          <w:spacing w:val="50"/>
          <w:w w:val="110"/>
        </w:rPr>
        <w:t xml:space="preserve"> </w:t>
      </w:r>
      <w:hyperlink r:id="rId365">
        <w:r>
          <w:rPr>
            <w:color w:val="418BCA"/>
            <w:w w:val="110"/>
          </w:rPr>
          <w:t>Slack</w:t>
        </w:r>
        <w:r>
          <w:rPr>
            <w:color w:val="418BCA"/>
            <w:spacing w:val="1"/>
            <w:w w:val="110"/>
          </w:rPr>
          <w:t xml:space="preserve"> </w:t>
        </w:r>
      </w:hyperlink>
      <w:r>
        <w:rPr>
          <w:color w:val="333333"/>
          <w:w w:val="110"/>
        </w:rPr>
        <w:t>or</w:t>
      </w:r>
      <w:r>
        <w:rPr>
          <w:color w:val="333333"/>
          <w:spacing w:val="1"/>
          <w:w w:val="110"/>
        </w:rPr>
        <w:t xml:space="preserve"> </w:t>
      </w:r>
      <w:r>
        <w:rPr>
          <w:color w:val="333333"/>
          <w:w w:val="110"/>
        </w:rPr>
        <w:t>ask a question with the</w:t>
      </w:r>
      <w:r>
        <w:rPr>
          <w:color w:val="333333"/>
          <w:spacing w:val="4"/>
          <w:w w:val="110"/>
        </w:rPr>
        <w:t xml:space="preserve"> </w:t>
      </w:r>
      <w:r>
        <w:rPr>
          <w:rFonts w:ascii="MS Gothic"/>
          <w:color w:val="B02045"/>
          <w:w w:val="110"/>
        </w:rPr>
        <w:t>spring</w:t>
      </w:r>
      <w:r>
        <w:rPr>
          <w:rFonts w:ascii="MS Gothic"/>
          <w:color w:val="B02045"/>
          <w:spacing w:val="-64"/>
          <w:w w:val="110"/>
        </w:rPr>
        <w:t xml:space="preserve"> </w:t>
      </w:r>
      <w:r>
        <w:rPr>
          <w:color w:val="333333"/>
          <w:w w:val="110"/>
        </w:rPr>
        <w:t>and</w:t>
      </w:r>
      <w:r>
        <w:rPr>
          <w:color w:val="333333"/>
          <w:spacing w:val="2"/>
          <w:w w:val="110"/>
        </w:rPr>
        <w:t xml:space="preserve"> </w:t>
      </w:r>
      <w:r>
        <w:rPr>
          <w:rFonts w:ascii="MS Gothic"/>
          <w:color w:val="B02045"/>
          <w:w w:val="110"/>
        </w:rPr>
        <w:t>kotlin</w:t>
      </w:r>
      <w:r>
        <w:rPr>
          <w:rFonts w:ascii="MS Gothic"/>
          <w:color w:val="B02045"/>
          <w:spacing w:val="-64"/>
          <w:w w:val="110"/>
        </w:rPr>
        <w:t xml:space="preserve"> </w:t>
      </w:r>
      <w:r>
        <w:rPr>
          <w:color w:val="333333"/>
          <w:w w:val="110"/>
        </w:rPr>
        <w:t>tags</w:t>
      </w:r>
      <w:r>
        <w:rPr>
          <w:color w:val="333333"/>
          <w:spacing w:val="1"/>
          <w:w w:val="110"/>
        </w:rPr>
        <w:t xml:space="preserve"> </w:t>
      </w:r>
      <w:r>
        <w:rPr>
          <w:color w:val="333333"/>
          <w:w w:val="110"/>
        </w:rPr>
        <w:t xml:space="preserve">on </w:t>
      </w:r>
      <w:hyperlink r:id="rId366">
        <w:r>
          <w:rPr>
            <w:color w:val="418BCA"/>
            <w:w w:val="110"/>
          </w:rPr>
          <w:t>Stack Overflow</w:t>
        </w:r>
        <w:r>
          <w:rPr>
            <w:color w:val="418BCA"/>
            <w:spacing w:val="2"/>
            <w:w w:val="110"/>
          </w:rPr>
          <w:t xml:space="preserve"> </w:t>
        </w:r>
      </w:hyperlink>
      <w:r>
        <w:rPr>
          <w:color w:val="333333"/>
          <w:w w:val="110"/>
        </w:rPr>
        <w:t>if you need</w:t>
      </w:r>
      <w:r>
        <w:rPr>
          <w:color w:val="333333"/>
          <w:spacing w:val="2"/>
          <w:w w:val="110"/>
        </w:rPr>
        <w:t xml:space="preserve"> </w:t>
      </w:r>
      <w:r>
        <w:rPr>
          <w:color w:val="333333"/>
          <w:w w:val="110"/>
        </w:rPr>
        <w:t>support.</w:t>
      </w:r>
    </w:p>
    <w:p w14:paraId="5406FA3E" w14:textId="77777777" w:rsidR="00A720EB" w:rsidRDefault="00A720EB">
      <w:pPr>
        <w:pStyle w:val="a3"/>
        <w:spacing w:before="7"/>
        <w:rPr>
          <w:sz w:val="24"/>
        </w:rPr>
      </w:pPr>
    </w:p>
    <w:p w14:paraId="2ABB03C7" w14:textId="77777777" w:rsidR="00A720EB" w:rsidRDefault="0030286B">
      <w:pPr>
        <w:pStyle w:val="3"/>
        <w:numPr>
          <w:ilvl w:val="2"/>
          <w:numId w:val="68"/>
        </w:numPr>
        <w:tabs>
          <w:tab w:val="left" w:pos="1003"/>
        </w:tabs>
        <w:ind w:left="1002" w:hanging="879"/>
      </w:pPr>
      <w:bookmarkStart w:id="525" w:name="4.30.1._Requirements"/>
      <w:bookmarkStart w:id="526" w:name="_Toc54423825"/>
      <w:bookmarkEnd w:id="525"/>
      <w:r>
        <w:rPr>
          <w:color w:val="333333"/>
          <w:w w:val="110"/>
        </w:rPr>
        <w:t>Requirements</w:t>
      </w:r>
      <w:bookmarkEnd w:id="526"/>
    </w:p>
    <w:p w14:paraId="638CA84E" w14:textId="77777777" w:rsidR="00A720EB" w:rsidRDefault="0030286B">
      <w:pPr>
        <w:pStyle w:val="a3"/>
        <w:spacing w:before="244" w:line="280" w:lineRule="auto"/>
        <w:ind w:left="124" w:right="122"/>
        <w:jc w:val="both"/>
      </w:pPr>
      <w:r>
        <w:rPr>
          <w:color w:val="333333"/>
          <w:w w:val="110"/>
        </w:rPr>
        <w:t xml:space="preserve">Spring Boot supports Kotlin 1.3.x. </w:t>
      </w:r>
      <w:r>
        <w:rPr>
          <w:color w:val="333333"/>
          <w:spacing w:val="-4"/>
          <w:w w:val="110"/>
        </w:rPr>
        <w:t xml:space="preserve">To </w:t>
      </w:r>
      <w:r>
        <w:rPr>
          <w:color w:val="333333"/>
          <w:w w:val="110"/>
        </w:rPr>
        <w:t xml:space="preserve">use Kotlin, </w:t>
      </w:r>
      <w:proofErr w:type="gramStart"/>
      <w:r>
        <w:rPr>
          <w:rFonts w:ascii="MS Gothic"/>
          <w:color w:val="B02045"/>
          <w:w w:val="110"/>
        </w:rPr>
        <w:t>org.jetbrains</w:t>
      </w:r>
      <w:proofErr w:type="gramEnd"/>
      <w:r>
        <w:rPr>
          <w:rFonts w:ascii="MS Gothic"/>
          <w:color w:val="B02045"/>
          <w:w w:val="110"/>
        </w:rPr>
        <w:t xml:space="preserve">.kotlin:kotlin-stdlib </w:t>
      </w:r>
      <w:r>
        <w:rPr>
          <w:color w:val="333333"/>
          <w:w w:val="110"/>
        </w:rPr>
        <w:t xml:space="preserve">and </w:t>
      </w:r>
      <w:r>
        <w:rPr>
          <w:rFonts w:ascii="MS Gothic"/>
          <w:color w:val="B02045"/>
          <w:w w:val="105"/>
        </w:rPr>
        <w:t xml:space="preserve">org.jetbrains.kotlin:kotlin-reflect </w:t>
      </w:r>
      <w:r>
        <w:rPr>
          <w:color w:val="333333"/>
          <w:w w:val="105"/>
        </w:rPr>
        <w:t xml:space="preserve">must be present on the classpath. The </w:t>
      </w:r>
      <w:r>
        <w:rPr>
          <w:rFonts w:ascii="MS Gothic"/>
          <w:color w:val="B02045"/>
          <w:w w:val="105"/>
        </w:rPr>
        <w:t xml:space="preserve">kotlin-stdlib </w:t>
      </w:r>
      <w:r>
        <w:rPr>
          <w:color w:val="333333"/>
          <w:w w:val="105"/>
        </w:rPr>
        <w:t xml:space="preserve">variants </w:t>
      </w:r>
      <w:r>
        <w:rPr>
          <w:rFonts w:ascii="MS Gothic"/>
          <w:color w:val="B02045"/>
          <w:w w:val="110"/>
        </w:rPr>
        <w:t>kotlin-stdlib-jdk7</w:t>
      </w:r>
      <w:r>
        <w:rPr>
          <w:rFonts w:ascii="MS Gothic"/>
          <w:color w:val="B02045"/>
          <w:spacing w:val="-66"/>
          <w:w w:val="110"/>
        </w:rPr>
        <w:t xml:space="preserve"> </w:t>
      </w:r>
      <w:r>
        <w:rPr>
          <w:color w:val="333333"/>
          <w:w w:val="110"/>
        </w:rPr>
        <w:t xml:space="preserve">and </w:t>
      </w:r>
      <w:r>
        <w:rPr>
          <w:rFonts w:ascii="MS Gothic"/>
          <w:color w:val="B02045"/>
          <w:w w:val="110"/>
        </w:rPr>
        <w:t>kotlin-stdlib-jdk8</w:t>
      </w:r>
      <w:r>
        <w:rPr>
          <w:rFonts w:ascii="MS Gothic"/>
          <w:color w:val="B02045"/>
          <w:spacing w:val="-66"/>
          <w:w w:val="110"/>
        </w:rPr>
        <w:t xml:space="preserve"> </w:t>
      </w:r>
      <w:r>
        <w:rPr>
          <w:color w:val="333333"/>
          <w:w w:val="110"/>
        </w:rPr>
        <w:t>can also be used.</w:t>
      </w:r>
    </w:p>
    <w:p w14:paraId="2621AF53" w14:textId="77777777" w:rsidR="00A720EB" w:rsidRDefault="00A720EB">
      <w:pPr>
        <w:pStyle w:val="a3"/>
        <w:spacing w:before="6"/>
      </w:pPr>
    </w:p>
    <w:p w14:paraId="754FC7B5" w14:textId="77777777" w:rsidR="00A720EB" w:rsidRDefault="0030286B">
      <w:pPr>
        <w:pStyle w:val="a3"/>
        <w:spacing w:line="307" w:lineRule="auto"/>
        <w:ind w:left="124" w:right="124"/>
        <w:jc w:val="both"/>
      </w:pPr>
      <w:r>
        <w:rPr>
          <w:color w:val="333333"/>
          <w:w w:val="110"/>
        </w:rPr>
        <w:t xml:space="preserve">Since </w:t>
      </w:r>
      <w:hyperlink r:id="rId367">
        <w:r>
          <w:rPr>
            <w:color w:val="418BCA"/>
            <w:w w:val="110"/>
          </w:rPr>
          <w:t>Kotlin classes are final by default</w:t>
        </w:r>
      </w:hyperlink>
      <w:r>
        <w:rPr>
          <w:color w:val="333333"/>
          <w:w w:val="110"/>
        </w:rPr>
        <w:t xml:space="preserve">, you are likely to want to configure </w:t>
      </w:r>
      <w:hyperlink r:id="rId368" w:anchor="spring-support">
        <w:r>
          <w:rPr>
            <w:color w:val="418BCA"/>
            <w:w w:val="110"/>
          </w:rPr>
          <w:t>kotlin-spring</w:t>
        </w:r>
      </w:hyperlink>
      <w:r>
        <w:rPr>
          <w:color w:val="418BCA"/>
          <w:w w:val="110"/>
        </w:rPr>
        <w:t xml:space="preserve"> </w:t>
      </w:r>
      <w:r>
        <w:rPr>
          <w:color w:val="333333"/>
          <w:w w:val="110"/>
        </w:rPr>
        <w:t>plugin in order to automatically open Spring-annotated classes so that they can be proxied.</w:t>
      </w:r>
    </w:p>
    <w:p w14:paraId="10AD72AD" w14:textId="77777777" w:rsidR="00A720EB" w:rsidRDefault="00E10349">
      <w:pPr>
        <w:pStyle w:val="a3"/>
        <w:spacing w:before="241" w:line="307" w:lineRule="auto"/>
        <w:ind w:left="124" w:right="128"/>
        <w:jc w:val="both"/>
      </w:pPr>
      <w:hyperlink r:id="rId369">
        <w:r w:rsidR="0030286B">
          <w:rPr>
            <w:color w:val="418BCA"/>
            <w:w w:val="110"/>
          </w:rPr>
          <w:t>Jackson’s Kotlin module</w:t>
        </w:r>
      </w:hyperlink>
      <w:r w:rsidR="0030286B">
        <w:rPr>
          <w:color w:val="418BCA"/>
          <w:w w:val="110"/>
        </w:rPr>
        <w:t xml:space="preserve"> </w:t>
      </w:r>
      <w:r w:rsidR="0030286B">
        <w:rPr>
          <w:color w:val="333333"/>
          <w:w w:val="110"/>
        </w:rPr>
        <w:t xml:space="preserve">is required for serializing </w:t>
      </w:r>
      <w:r w:rsidR="0030286B">
        <w:rPr>
          <w:color w:val="333333"/>
        </w:rPr>
        <w:t xml:space="preserve">/ </w:t>
      </w:r>
      <w:r w:rsidR="0030286B">
        <w:rPr>
          <w:color w:val="333333"/>
          <w:w w:val="110"/>
        </w:rPr>
        <w:t>deserializing JSON data in Kotlin. It is automatically registered when found on the classpath. A warning message is logged if Jackson and Kotlin are present but the Jackson Kotlin module is not.</w:t>
      </w:r>
    </w:p>
    <w:p w14:paraId="69151D81" w14:textId="77777777" w:rsidR="00A720EB" w:rsidRDefault="00A720EB">
      <w:pPr>
        <w:pStyle w:val="a3"/>
        <w:spacing w:before="5"/>
        <w:rPr>
          <w:sz w:val="27"/>
        </w:rPr>
      </w:pPr>
    </w:p>
    <w:p w14:paraId="6A19C2B7" w14:textId="77777777" w:rsidR="00A720EB" w:rsidRDefault="00E10349">
      <w:pPr>
        <w:pStyle w:val="a3"/>
        <w:spacing w:line="307" w:lineRule="auto"/>
        <w:ind w:left="1564" w:right="376"/>
        <w:jc w:val="both"/>
      </w:pPr>
      <w:r>
        <w:pict w14:anchorId="5E44C738">
          <v:line id="_x0000_s3386" style="position:absolute;left:0;text-align:left;z-index:16178176;mso-position-horizontal-relative:page" from="108.25pt,-6pt" to="108.25pt,33.55pt" strokecolor="#ededed" strokeweight=".5pt">
            <w10:wrap anchorx="page"/>
          </v:line>
        </w:pict>
      </w:r>
      <w:r w:rsidR="0030286B">
        <w:rPr>
          <w:noProof/>
        </w:rPr>
        <w:drawing>
          <wp:anchor distT="0" distB="0" distL="0" distR="0" simplePos="0" relativeHeight="16178688" behindDoc="0" locked="0" layoutInCell="1" allowOverlap="1" wp14:anchorId="0F9BA236" wp14:editId="60AAB68D">
            <wp:simplePos x="0" y="0"/>
            <wp:positionH relativeFrom="page">
              <wp:posOffset>888949</wp:posOffset>
            </wp:positionH>
            <wp:positionV relativeFrom="paragraph">
              <wp:posOffset>22771</wp:posOffset>
            </wp:positionV>
            <wp:extent cx="209550" cy="304800"/>
            <wp:effectExtent l="0" t="0" r="0" b="0"/>
            <wp:wrapNone/>
            <wp:docPr id="55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26.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These dependencies and plugins are provided by default if one bootstraps a Kotlin project on </w:t>
      </w:r>
      <w:hyperlink r:id="rId370" w:anchor="!language%3Dkotlin">
        <w:r w:rsidR="0030286B">
          <w:rPr>
            <w:color w:val="418BCA"/>
            <w:w w:val="110"/>
          </w:rPr>
          <w:t>start.spring.io</w:t>
        </w:r>
      </w:hyperlink>
      <w:r w:rsidR="0030286B">
        <w:rPr>
          <w:color w:val="333333"/>
          <w:w w:val="110"/>
        </w:rPr>
        <w:t>.</w:t>
      </w:r>
    </w:p>
    <w:p w14:paraId="794FD30C" w14:textId="77777777" w:rsidR="00A720EB" w:rsidRDefault="00A720EB">
      <w:pPr>
        <w:pStyle w:val="a3"/>
        <w:spacing w:before="7"/>
        <w:rPr>
          <w:sz w:val="32"/>
        </w:rPr>
      </w:pPr>
    </w:p>
    <w:p w14:paraId="06607B22" w14:textId="77777777" w:rsidR="00A720EB" w:rsidRDefault="0030286B">
      <w:pPr>
        <w:pStyle w:val="3"/>
        <w:numPr>
          <w:ilvl w:val="2"/>
          <w:numId w:val="68"/>
        </w:numPr>
        <w:tabs>
          <w:tab w:val="left" w:pos="1003"/>
        </w:tabs>
        <w:ind w:left="1002" w:hanging="879"/>
      </w:pPr>
      <w:bookmarkStart w:id="527" w:name="4.30.2._Null-safety"/>
      <w:bookmarkStart w:id="528" w:name="_Toc54423826"/>
      <w:bookmarkEnd w:id="527"/>
      <w:r>
        <w:rPr>
          <w:color w:val="333333"/>
          <w:w w:val="105"/>
        </w:rPr>
        <w:t>Null-safety</w:t>
      </w:r>
      <w:bookmarkEnd w:id="528"/>
    </w:p>
    <w:p w14:paraId="3E607FEC" w14:textId="77777777" w:rsidR="00A720EB" w:rsidRDefault="0030286B">
      <w:pPr>
        <w:pStyle w:val="a3"/>
        <w:spacing w:before="243" w:line="290" w:lineRule="auto"/>
        <w:ind w:left="124" w:right="121"/>
        <w:jc w:val="both"/>
      </w:pPr>
      <w:r>
        <w:rPr>
          <w:color w:val="333333"/>
          <w:w w:val="110"/>
        </w:rPr>
        <w:t xml:space="preserve">One of Kotlin’s key features is </w:t>
      </w:r>
      <w:hyperlink r:id="rId371">
        <w:r>
          <w:rPr>
            <w:color w:val="418BCA"/>
            <w:w w:val="110"/>
          </w:rPr>
          <w:t>null-safety</w:t>
        </w:r>
      </w:hyperlink>
      <w:r>
        <w:rPr>
          <w:color w:val="333333"/>
          <w:w w:val="110"/>
        </w:rPr>
        <w:t xml:space="preserve">. It deals with </w:t>
      </w:r>
      <w:r>
        <w:rPr>
          <w:rFonts w:ascii="MS Gothic" w:hAnsi="MS Gothic"/>
          <w:color w:val="B02045"/>
          <w:w w:val="110"/>
        </w:rPr>
        <w:t xml:space="preserve">null </w:t>
      </w:r>
      <w:r>
        <w:rPr>
          <w:color w:val="333333"/>
          <w:w w:val="110"/>
        </w:rPr>
        <w:t xml:space="preserve">values at compile time rather than deferring the problem to runtime and encountering a </w:t>
      </w:r>
      <w:r>
        <w:rPr>
          <w:rFonts w:ascii="MS Gothic" w:hAnsi="MS Gothic"/>
          <w:color w:val="B02045"/>
          <w:w w:val="110"/>
        </w:rPr>
        <w:t>NullPointerException</w:t>
      </w:r>
      <w:r>
        <w:rPr>
          <w:color w:val="333333"/>
          <w:w w:val="110"/>
        </w:rPr>
        <w:t xml:space="preserve">. This helps to eliminate a common source of bugs without paying the cost of wrappers like </w:t>
      </w:r>
      <w:r>
        <w:rPr>
          <w:rFonts w:ascii="MS Gothic" w:hAnsi="MS Gothic"/>
          <w:color w:val="B02045"/>
          <w:w w:val="110"/>
        </w:rPr>
        <w:t>Optional</w:t>
      </w:r>
      <w:r>
        <w:rPr>
          <w:color w:val="333333"/>
          <w:w w:val="110"/>
        </w:rPr>
        <w:t xml:space="preserve">. Kotlin also allows using functional constructs with nullable values as described in this  </w:t>
      </w:r>
      <w:hyperlink r:id="rId372">
        <w:r>
          <w:rPr>
            <w:color w:val="418BCA"/>
            <w:w w:val="110"/>
          </w:rPr>
          <w:t>comprehensive  guide  to  null-safety</w:t>
        </w:r>
      </w:hyperlink>
      <w:r>
        <w:rPr>
          <w:color w:val="418BCA"/>
          <w:w w:val="110"/>
        </w:rPr>
        <w:t xml:space="preserve"> </w:t>
      </w:r>
      <w:hyperlink r:id="rId373">
        <w:r>
          <w:rPr>
            <w:color w:val="418BCA"/>
            <w:w w:val="110"/>
          </w:rPr>
          <w:t>in</w:t>
        </w:r>
        <w:r>
          <w:rPr>
            <w:color w:val="418BCA"/>
            <w:spacing w:val="2"/>
            <w:w w:val="110"/>
          </w:rPr>
          <w:t xml:space="preserve"> </w:t>
        </w:r>
        <w:r>
          <w:rPr>
            <w:color w:val="418BCA"/>
            <w:w w:val="110"/>
          </w:rPr>
          <w:t>Kotlin</w:t>
        </w:r>
      </w:hyperlink>
      <w:r>
        <w:rPr>
          <w:color w:val="333333"/>
          <w:w w:val="110"/>
        </w:rPr>
        <w:t>.</w:t>
      </w:r>
    </w:p>
    <w:p w14:paraId="17185FE5" w14:textId="77777777" w:rsidR="00A720EB" w:rsidRDefault="00A720EB">
      <w:pPr>
        <w:pStyle w:val="a3"/>
        <w:spacing w:before="10"/>
      </w:pPr>
    </w:p>
    <w:p w14:paraId="1D23A1E5" w14:textId="77777777" w:rsidR="00A720EB" w:rsidRDefault="0030286B">
      <w:pPr>
        <w:pStyle w:val="a3"/>
        <w:spacing w:line="307" w:lineRule="auto"/>
        <w:ind w:left="124" w:right="123"/>
        <w:jc w:val="both"/>
      </w:pPr>
      <w:r>
        <w:rPr>
          <w:color w:val="333333"/>
          <w:w w:val="110"/>
        </w:rPr>
        <w:t xml:space="preserve">Although Java does not allow one to express null-safety in its type </w:t>
      </w:r>
      <w:proofErr w:type="gramStart"/>
      <w:r>
        <w:rPr>
          <w:color w:val="333333"/>
          <w:w w:val="110"/>
        </w:rPr>
        <w:t>system,  Spring</w:t>
      </w:r>
      <w:proofErr w:type="gramEnd"/>
      <w:r>
        <w:rPr>
          <w:color w:val="333333"/>
          <w:w w:val="110"/>
        </w:rPr>
        <w:t xml:space="preserve">  Framework, Spring Data, and Reactor now provide null-safety of their API via tooling-friendly annotations. </w:t>
      </w:r>
      <w:r>
        <w:rPr>
          <w:color w:val="333333"/>
          <w:spacing w:val="-3"/>
          <w:w w:val="110"/>
        </w:rPr>
        <w:t xml:space="preserve">By </w:t>
      </w:r>
      <w:r>
        <w:rPr>
          <w:color w:val="333333"/>
          <w:w w:val="110"/>
        </w:rPr>
        <w:t xml:space="preserve">default, types from Java APIs used in Kotlin are recognized as </w:t>
      </w:r>
      <w:hyperlink r:id="rId374" w:anchor="null-safety-and-platform-types">
        <w:r>
          <w:rPr>
            <w:color w:val="418BCA"/>
            <w:w w:val="110"/>
          </w:rPr>
          <w:t xml:space="preserve">platform types </w:t>
        </w:r>
      </w:hyperlink>
      <w:r>
        <w:rPr>
          <w:color w:val="333333"/>
          <w:w w:val="110"/>
        </w:rPr>
        <w:t xml:space="preserve">for which null-checks are relaxed. </w:t>
      </w:r>
      <w:hyperlink r:id="rId375" w:anchor="jsr-305-support">
        <w:r>
          <w:rPr>
            <w:color w:val="418BCA"/>
            <w:w w:val="110"/>
          </w:rPr>
          <w:t xml:space="preserve">Kotlin’s support for JSR 305 annotations </w:t>
        </w:r>
      </w:hyperlink>
      <w:r>
        <w:rPr>
          <w:color w:val="333333"/>
          <w:w w:val="110"/>
        </w:rPr>
        <w:t>combined with nullability annotations provide null-safety for the related Spring API in</w:t>
      </w:r>
      <w:r>
        <w:rPr>
          <w:color w:val="333333"/>
          <w:spacing w:val="24"/>
          <w:w w:val="110"/>
        </w:rPr>
        <w:t xml:space="preserve"> </w:t>
      </w:r>
      <w:r>
        <w:rPr>
          <w:color w:val="333333"/>
          <w:w w:val="110"/>
        </w:rPr>
        <w:t>Kotlin.</w:t>
      </w:r>
    </w:p>
    <w:p w14:paraId="7B068F87" w14:textId="77777777" w:rsidR="00A720EB" w:rsidRDefault="00A720EB">
      <w:pPr>
        <w:spacing w:line="307" w:lineRule="auto"/>
        <w:jc w:val="both"/>
        <w:sectPr w:rsidR="00A720EB">
          <w:pgSz w:w="11910" w:h="16840"/>
          <w:pgMar w:top="700" w:right="840" w:bottom="520" w:left="840" w:header="0" w:footer="323" w:gutter="0"/>
          <w:cols w:space="720"/>
        </w:sectPr>
      </w:pPr>
    </w:p>
    <w:p w14:paraId="45BD16DE" w14:textId="77777777" w:rsidR="00A720EB" w:rsidRDefault="0030286B">
      <w:pPr>
        <w:pStyle w:val="a3"/>
        <w:spacing w:before="96" w:line="290" w:lineRule="auto"/>
        <w:ind w:left="124" w:right="122"/>
        <w:jc w:val="both"/>
      </w:pPr>
      <w:r>
        <w:rPr>
          <w:color w:val="333333"/>
          <w:w w:val="110"/>
        </w:rPr>
        <w:lastRenderedPageBreak/>
        <w:t xml:space="preserve">The JSR 305 checks can be configured </w:t>
      </w:r>
      <w:r>
        <w:rPr>
          <w:color w:val="333333"/>
          <w:spacing w:val="-3"/>
          <w:w w:val="110"/>
        </w:rPr>
        <w:t xml:space="preserve">by </w:t>
      </w:r>
      <w:r>
        <w:rPr>
          <w:color w:val="333333"/>
          <w:w w:val="110"/>
        </w:rPr>
        <w:t xml:space="preserve">adding the </w:t>
      </w:r>
      <w:r>
        <w:rPr>
          <w:rFonts w:ascii="MS Gothic"/>
          <w:color w:val="B02045"/>
          <w:w w:val="110"/>
        </w:rPr>
        <w:t xml:space="preserve">-Xjsr305 </w:t>
      </w:r>
      <w:r>
        <w:rPr>
          <w:color w:val="333333"/>
          <w:w w:val="110"/>
        </w:rPr>
        <w:t xml:space="preserve">compiler flag with the following options: </w:t>
      </w:r>
      <w:r>
        <w:rPr>
          <w:rFonts w:ascii="MS Gothic"/>
          <w:color w:val="B02045"/>
          <w:w w:val="110"/>
        </w:rPr>
        <w:t>-Xjsr305={strict|warn|ignore}</w:t>
      </w:r>
      <w:r>
        <w:rPr>
          <w:color w:val="333333"/>
          <w:w w:val="110"/>
        </w:rPr>
        <w:t xml:space="preserve">. The default behavior is the same as </w:t>
      </w:r>
      <w:r>
        <w:rPr>
          <w:rFonts w:ascii="MS Gothic"/>
          <w:color w:val="B02045"/>
          <w:w w:val="110"/>
        </w:rPr>
        <w:t>-Xjsr305=warn</w:t>
      </w:r>
      <w:r>
        <w:rPr>
          <w:color w:val="333333"/>
          <w:w w:val="110"/>
        </w:rPr>
        <w:t xml:space="preserve">. The </w:t>
      </w:r>
      <w:r>
        <w:rPr>
          <w:rFonts w:ascii="MS Gothic"/>
          <w:color w:val="B02045"/>
          <w:w w:val="110"/>
        </w:rPr>
        <w:t xml:space="preserve">strict </w:t>
      </w:r>
      <w:r>
        <w:rPr>
          <w:color w:val="333333"/>
          <w:w w:val="110"/>
        </w:rPr>
        <w:t xml:space="preserve">value is required to have null-safety taken in account in Kotlin types inferred from </w:t>
      </w:r>
      <w:proofErr w:type="gramStart"/>
      <w:r>
        <w:rPr>
          <w:color w:val="333333"/>
          <w:w w:val="110"/>
        </w:rPr>
        <w:t>Spring  API</w:t>
      </w:r>
      <w:proofErr w:type="gramEnd"/>
      <w:r>
        <w:rPr>
          <w:color w:val="333333"/>
          <w:w w:val="110"/>
        </w:rPr>
        <w:t xml:space="preserve"> but should be used with the knowledge that Spring API nullability declaration could evolve  </w:t>
      </w:r>
      <w:r>
        <w:rPr>
          <w:color w:val="333333"/>
          <w:spacing w:val="50"/>
          <w:w w:val="110"/>
        </w:rPr>
        <w:t xml:space="preserve"> </w:t>
      </w:r>
      <w:r>
        <w:rPr>
          <w:color w:val="333333"/>
          <w:w w:val="110"/>
        </w:rPr>
        <w:t>even between minor releases and more checks may be added in the</w:t>
      </w:r>
      <w:r>
        <w:rPr>
          <w:color w:val="333333"/>
          <w:spacing w:val="43"/>
          <w:w w:val="110"/>
        </w:rPr>
        <w:t xml:space="preserve"> </w:t>
      </w:r>
      <w:r>
        <w:rPr>
          <w:color w:val="333333"/>
          <w:w w:val="110"/>
        </w:rPr>
        <w:t>future).</w:t>
      </w:r>
    </w:p>
    <w:p w14:paraId="022320FD" w14:textId="77777777" w:rsidR="00A720EB" w:rsidRDefault="00A720EB">
      <w:pPr>
        <w:pStyle w:val="a3"/>
        <w:rPr>
          <w:sz w:val="18"/>
        </w:rPr>
      </w:pPr>
    </w:p>
    <w:p w14:paraId="18B53153" w14:textId="77777777" w:rsidR="00A720EB" w:rsidRDefault="00E10349">
      <w:pPr>
        <w:pStyle w:val="a3"/>
        <w:spacing w:before="125" w:line="307" w:lineRule="auto"/>
        <w:ind w:left="1564" w:right="370"/>
        <w:jc w:val="both"/>
      </w:pPr>
      <w:r>
        <w:pict w14:anchorId="102A1D43">
          <v:line id="_x0000_s3385" style="position:absolute;left:0;text-align:left;z-index:16180224;mso-position-horizontal-relative:page" from="108.25pt,.25pt" to="108.25pt,55.6pt" strokecolor="#ededed" strokeweight=".5pt">
            <w10:wrap anchorx="page"/>
          </v:line>
        </w:pict>
      </w:r>
      <w:r w:rsidR="0030286B">
        <w:rPr>
          <w:noProof/>
        </w:rPr>
        <w:drawing>
          <wp:anchor distT="0" distB="0" distL="0" distR="0" simplePos="0" relativeHeight="16180736" behindDoc="0" locked="0" layoutInCell="1" allowOverlap="1" wp14:anchorId="3AB1453E" wp14:editId="3DBA3450">
            <wp:simplePos x="0" y="0"/>
            <wp:positionH relativeFrom="page">
              <wp:posOffset>815847</wp:posOffset>
            </wp:positionH>
            <wp:positionV relativeFrom="paragraph">
              <wp:posOffset>202349</wp:posOffset>
            </wp:positionV>
            <wp:extent cx="355600" cy="304800"/>
            <wp:effectExtent l="0" t="0" r="0" b="0"/>
            <wp:wrapNone/>
            <wp:docPr id="5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5"/>
        </w:rPr>
        <w:t xml:space="preserve">Generic type arguments, varargs and array elements nullability are not yet supported. See </w:t>
      </w:r>
      <w:hyperlink r:id="rId376">
        <w:r w:rsidR="0030286B">
          <w:rPr>
            <w:color w:val="418BCA"/>
            <w:w w:val="115"/>
          </w:rPr>
          <w:t>SPR-15942</w:t>
        </w:r>
      </w:hyperlink>
      <w:r w:rsidR="0030286B">
        <w:rPr>
          <w:color w:val="418BCA"/>
          <w:w w:val="115"/>
        </w:rPr>
        <w:t xml:space="preserve"> </w:t>
      </w:r>
      <w:r w:rsidR="0030286B">
        <w:rPr>
          <w:color w:val="333333"/>
          <w:w w:val="115"/>
        </w:rPr>
        <w:t xml:space="preserve">for up-to-date information. Also be aware that Spring Boot’s own API is </w:t>
      </w:r>
      <w:hyperlink r:id="rId377">
        <w:r w:rsidR="0030286B">
          <w:rPr>
            <w:color w:val="418BCA"/>
            <w:w w:val="115"/>
          </w:rPr>
          <w:t>not yet annotated</w:t>
        </w:r>
      </w:hyperlink>
      <w:r w:rsidR="0030286B">
        <w:rPr>
          <w:color w:val="333333"/>
          <w:w w:val="115"/>
        </w:rPr>
        <w:t>.</w:t>
      </w:r>
    </w:p>
    <w:p w14:paraId="7A320575" w14:textId="77777777" w:rsidR="00A720EB" w:rsidRDefault="00A720EB">
      <w:pPr>
        <w:pStyle w:val="a3"/>
        <w:spacing w:before="8"/>
        <w:rPr>
          <w:sz w:val="23"/>
        </w:rPr>
      </w:pPr>
    </w:p>
    <w:p w14:paraId="6C085535" w14:textId="77777777" w:rsidR="00A720EB" w:rsidRDefault="0030286B">
      <w:pPr>
        <w:pStyle w:val="3"/>
        <w:numPr>
          <w:ilvl w:val="2"/>
          <w:numId w:val="68"/>
        </w:numPr>
        <w:tabs>
          <w:tab w:val="left" w:pos="1003"/>
        </w:tabs>
        <w:spacing w:before="105"/>
        <w:ind w:left="1002" w:hanging="879"/>
      </w:pPr>
      <w:bookmarkStart w:id="529" w:name="4.30.3._Kotlin_API"/>
      <w:bookmarkStart w:id="530" w:name="_Toc54423827"/>
      <w:bookmarkEnd w:id="529"/>
      <w:r>
        <w:rPr>
          <w:color w:val="333333"/>
          <w:w w:val="105"/>
        </w:rPr>
        <w:t>Kotlin</w:t>
      </w:r>
      <w:r>
        <w:rPr>
          <w:color w:val="333333"/>
          <w:spacing w:val="-3"/>
          <w:w w:val="105"/>
        </w:rPr>
        <w:t xml:space="preserve"> </w:t>
      </w:r>
      <w:r>
        <w:rPr>
          <w:color w:val="333333"/>
          <w:w w:val="105"/>
        </w:rPr>
        <w:t>API</w:t>
      </w:r>
      <w:bookmarkEnd w:id="530"/>
    </w:p>
    <w:p w14:paraId="16B9CE43" w14:textId="77777777" w:rsidR="00A720EB" w:rsidRDefault="00A720EB">
      <w:pPr>
        <w:pStyle w:val="a3"/>
        <w:spacing w:before="3"/>
        <w:rPr>
          <w:rFonts w:ascii="Palatino Linotype"/>
          <w:b/>
          <w:sz w:val="23"/>
        </w:rPr>
      </w:pPr>
    </w:p>
    <w:p w14:paraId="712AAB7E" w14:textId="77777777" w:rsidR="00A720EB" w:rsidRDefault="0030286B">
      <w:pPr>
        <w:pStyle w:val="4"/>
        <w:jc w:val="left"/>
      </w:pPr>
      <w:bookmarkStart w:id="531" w:name="runApplication"/>
      <w:bookmarkEnd w:id="531"/>
      <w:r>
        <w:rPr>
          <w:color w:val="333333"/>
          <w:w w:val="110"/>
        </w:rPr>
        <w:t>runApplication</w:t>
      </w:r>
    </w:p>
    <w:p w14:paraId="0D01E1BC" w14:textId="77777777" w:rsidR="00A720EB" w:rsidRDefault="00A720EB">
      <w:pPr>
        <w:pStyle w:val="a3"/>
        <w:spacing w:before="12"/>
        <w:rPr>
          <w:rFonts w:ascii="Palatino Linotype"/>
          <w:b/>
          <w:sz w:val="18"/>
        </w:rPr>
      </w:pPr>
    </w:p>
    <w:p w14:paraId="1C3D9E93" w14:textId="77777777" w:rsidR="00A720EB" w:rsidRDefault="0030286B">
      <w:pPr>
        <w:pStyle w:val="a3"/>
        <w:tabs>
          <w:tab w:val="left" w:pos="1178"/>
          <w:tab w:val="left" w:pos="2029"/>
          <w:tab w:val="left" w:pos="3298"/>
          <w:tab w:val="left" w:pos="3950"/>
          <w:tab w:val="left" w:pos="5290"/>
          <w:tab w:val="left" w:pos="6102"/>
          <w:tab w:val="left" w:pos="6695"/>
          <w:tab w:val="left" w:pos="7461"/>
          <w:tab w:val="left" w:pos="8112"/>
          <w:tab w:val="left" w:pos="9634"/>
        </w:tabs>
        <w:ind w:left="124"/>
      </w:pPr>
      <w:r>
        <w:rPr>
          <w:color w:val="333333"/>
          <w:w w:val="110"/>
        </w:rPr>
        <w:t>Spring</w:t>
      </w:r>
      <w:r>
        <w:rPr>
          <w:color w:val="333333"/>
          <w:w w:val="110"/>
        </w:rPr>
        <w:tab/>
        <w:t>Boot</w:t>
      </w:r>
      <w:r>
        <w:rPr>
          <w:color w:val="333333"/>
          <w:w w:val="110"/>
        </w:rPr>
        <w:tab/>
        <w:t>provides</w:t>
      </w:r>
      <w:r>
        <w:rPr>
          <w:color w:val="333333"/>
          <w:w w:val="110"/>
        </w:rPr>
        <w:tab/>
        <w:t>an</w:t>
      </w:r>
      <w:r>
        <w:rPr>
          <w:color w:val="333333"/>
          <w:w w:val="110"/>
        </w:rPr>
        <w:tab/>
        <w:t>idiomatic</w:t>
      </w:r>
      <w:r>
        <w:rPr>
          <w:color w:val="333333"/>
          <w:w w:val="110"/>
        </w:rPr>
        <w:tab/>
        <w:t>way</w:t>
      </w:r>
      <w:r>
        <w:rPr>
          <w:color w:val="333333"/>
          <w:w w:val="110"/>
        </w:rPr>
        <w:tab/>
        <w:t>to</w:t>
      </w:r>
      <w:r>
        <w:rPr>
          <w:color w:val="333333"/>
          <w:w w:val="110"/>
        </w:rPr>
        <w:tab/>
        <w:t>run</w:t>
      </w:r>
      <w:r>
        <w:rPr>
          <w:color w:val="333333"/>
          <w:w w:val="110"/>
        </w:rPr>
        <w:tab/>
        <w:t>an</w:t>
      </w:r>
      <w:r>
        <w:rPr>
          <w:color w:val="333333"/>
          <w:w w:val="110"/>
        </w:rPr>
        <w:tab/>
        <w:t>application</w:t>
      </w:r>
      <w:r>
        <w:rPr>
          <w:color w:val="333333"/>
          <w:w w:val="110"/>
        </w:rPr>
        <w:tab/>
        <w:t>with</w:t>
      </w:r>
    </w:p>
    <w:p w14:paraId="02F92680" w14:textId="77777777" w:rsidR="00A720EB" w:rsidRDefault="0030286B">
      <w:pPr>
        <w:pStyle w:val="a3"/>
        <w:spacing w:before="59"/>
        <w:ind w:left="124"/>
      </w:pPr>
      <w:r>
        <w:rPr>
          <w:rFonts w:ascii="MS Gothic"/>
          <w:color w:val="B02045"/>
          <w:w w:val="110"/>
        </w:rPr>
        <w:t>runApplication&lt;MyApplication&gt;(*args)</w:t>
      </w:r>
      <w:r>
        <w:rPr>
          <w:rFonts w:ascii="MS Gothic"/>
          <w:color w:val="B02045"/>
          <w:spacing w:val="-83"/>
          <w:w w:val="110"/>
        </w:rPr>
        <w:t xml:space="preserve"> </w:t>
      </w:r>
      <w:r>
        <w:rPr>
          <w:color w:val="333333"/>
          <w:w w:val="110"/>
        </w:rPr>
        <w:t>as shown in the following example:</w:t>
      </w:r>
    </w:p>
    <w:p w14:paraId="2B46BFB6" w14:textId="77777777" w:rsidR="00A720EB" w:rsidRDefault="00E10349">
      <w:pPr>
        <w:pStyle w:val="a3"/>
        <w:spacing w:before="11"/>
        <w:rPr>
          <w:sz w:val="17"/>
        </w:rPr>
      </w:pPr>
      <w:r>
        <w:pict w14:anchorId="2B75C445">
          <v:group id="_x0000_s3381" style="position:absolute;margin-left:47.85pt;margin-top:12.5pt;width:499.55pt;height:155.45pt;z-index:-15278080;mso-wrap-distance-left:0;mso-wrap-distance-right:0;mso-position-horizontal-relative:page" coordorigin="957,250" coordsize="9991,3109">
            <v:shape id="_x0000_s3384" style="position:absolute;left:964;top:257;width:9976;height:3094" coordorigin="965,257" coordsize="9976,3094" path="m10861,257r-9816,l1014,264r-26,17l971,306r-6,31l965,3271r6,31l988,3327r26,17l1045,3351r9816,l10892,3344r25,-17l10935,3302r6,-31l10941,337r-6,-31l10917,281r-25,-17l10861,257xe" fillcolor="#f5f5f5" stroked="f">
              <v:path arrowok="t"/>
            </v:shape>
            <v:shape id="_x0000_s3383" style="position:absolute;left:964;top:257;width:9976;height:3094" coordorigin="965,257" coordsize="9976,3094" path="m1045,257r9816,l10892,264r25,17l10935,306r6,31l10941,3271r-6,31l10917,3327r-25,17l10861,3351r-9816,l1014,3344r-26,-17l971,3302r-6,-31l965,337r6,-31l988,281r26,-17l1045,257xe" filled="f" strokecolor="#ccc">
              <v:path arrowok="t"/>
            </v:shape>
            <v:shape id="_x0000_s3382" type="#_x0000_t202" style="position:absolute;left:984;top:272;width:9938;height:3063" filled="f" stroked="f">
              <v:textbox inset="0,0,0,0">
                <w:txbxContent>
                  <w:p w14:paraId="293B6E31" w14:textId="77777777" w:rsidR="00711A16" w:rsidRDefault="00711A16">
                    <w:pPr>
                      <w:spacing w:before="221" w:line="252" w:lineRule="auto"/>
                      <w:ind w:left="200" w:right="234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.boot.autoconfigure.SpringBootApplication import org.springframework.boot.runApplication</w:t>
                    </w:r>
                  </w:p>
                  <w:p w14:paraId="67FF192D" w14:textId="77777777" w:rsidR="00711A16" w:rsidRDefault="00711A16">
                    <w:pPr>
                      <w:spacing w:before="10"/>
                      <w:rPr>
                        <w:rFonts w:ascii="MS Gothic"/>
                      </w:rPr>
                    </w:pPr>
                  </w:p>
                  <w:p w14:paraId="4075C936" w14:textId="77777777" w:rsidR="00711A16" w:rsidRDefault="00711A16">
                    <w:pPr>
                      <w:spacing w:line="252" w:lineRule="auto"/>
                      <w:ind w:left="200" w:right="7298"/>
                      <w:rPr>
                        <w:rFonts w:ascii="MS Gothic"/>
                      </w:rPr>
                    </w:pPr>
                    <w:r>
                      <w:rPr>
                        <w:rFonts w:ascii="MS Gothic"/>
                        <w:color w:val="333333"/>
                      </w:rPr>
                      <w:t>@SpringBootApplication class MyApplication</w:t>
                    </w:r>
                  </w:p>
                  <w:p w14:paraId="01B4EBBF" w14:textId="77777777" w:rsidR="00711A16" w:rsidRDefault="00711A16">
                    <w:pPr>
                      <w:spacing w:before="11"/>
                      <w:rPr>
                        <w:rFonts w:ascii="MS Gothic"/>
                      </w:rPr>
                    </w:pPr>
                  </w:p>
                  <w:p w14:paraId="14C4AAAC" w14:textId="77777777" w:rsidR="00711A16" w:rsidRDefault="00711A16">
                    <w:pPr>
                      <w:spacing w:line="252" w:lineRule="auto"/>
                      <w:ind w:left="640" w:right="5318" w:hanging="440"/>
                      <w:rPr>
                        <w:rFonts w:ascii="MS Gothic"/>
                      </w:rPr>
                    </w:pPr>
                    <w:r>
                      <w:rPr>
                        <w:rFonts w:ascii="MS Gothic"/>
                        <w:color w:val="333333"/>
                      </w:rPr>
                      <w:t xml:space="preserve">fun </w:t>
                    </w:r>
                    <w:proofErr w:type="gramStart"/>
                    <w:r>
                      <w:rPr>
                        <w:rFonts w:ascii="MS Gothic"/>
                        <w:color w:val="333333"/>
                      </w:rPr>
                      <w:t>main(</w:t>
                    </w:r>
                    <w:proofErr w:type="gramEnd"/>
                    <w:r>
                      <w:rPr>
                        <w:rFonts w:ascii="MS Gothic"/>
                        <w:color w:val="333333"/>
                      </w:rPr>
                      <w:t>args: Array&lt;String&gt;) { runApplication&lt;MyApplication&gt;(*args)</w:t>
                    </w:r>
                  </w:p>
                  <w:p w14:paraId="57D44960"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54358056" w14:textId="77777777" w:rsidR="00A720EB" w:rsidRDefault="00A720EB">
      <w:pPr>
        <w:pStyle w:val="a3"/>
        <w:spacing w:before="11"/>
        <w:rPr>
          <w:sz w:val="9"/>
        </w:rPr>
      </w:pPr>
    </w:p>
    <w:p w14:paraId="23893E35" w14:textId="77777777" w:rsidR="00A720EB" w:rsidRDefault="0030286B">
      <w:pPr>
        <w:pStyle w:val="a3"/>
        <w:spacing w:before="115" w:line="290" w:lineRule="auto"/>
        <w:ind w:left="124"/>
      </w:pPr>
      <w:r>
        <w:rPr>
          <w:color w:val="333333"/>
          <w:w w:val="105"/>
        </w:rPr>
        <w:t xml:space="preserve">This is a drop-in replacement for </w:t>
      </w:r>
      <w:proofErr w:type="gramStart"/>
      <w:r>
        <w:rPr>
          <w:rFonts w:ascii="MS Gothic"/>
          <w:color w:val="B02045"/>
          <w:w w:val="105"/>
        </w:rPr>
        <w:t>SpringApplication.run(</w:t>
      </w:r>
      <w:proofErr w:type="gramEnd"/>
      <w:r>
        <w:rPr>
          <w:rFonts w:ascii="MS Gothic"/>
          <w:color w:val="B02045"/>
          <w:w w:val="105"/>
        </w:rPr>
        <w:t>MyApplication::class.java, *args)</w:t>
      </w:r>
      <w:r>
        <w:rPr>
          <w:color w:val="333333"/>
          <w:w w:val="105"/>
        </w:rPr>
        <w:t xml:space="preserve">. It also </w:t>
      </w:r>
      <w:r>
        <w:rPr>
          <w:color w:val="333333"/>
          <w:w w:val="110"/>
        </w:rPr>
        <w:t>allows customization of the application as shown in the following example:</w:t>
      </w:r>
    </w:p>
    <w:p w14:paraId="63243E5C" w14:textId="77777777" w:rsidR="00A720EB" w:rsidRDefault="00E10349">
      <w:pPr>
        <w:pStyle w:val="a3"/>
        <w:spacing w:before="8"/>
        <w:rPr>
          <w:sz w:val="14"/>
        </w:rPr>
      </w:pPr>
      <w:r>
        <w:pict w14:anchorId="5FF7516C">
          <v:group id="_x0000_s3377" style="position:absolute;margin-left:47.85pt;margin-top:10.6pt;width:499.55pt;height:67pt;z-index:-15277568;mso-wrap-distance-left:0;mso-wrap-distance-right:0;mso-position-horizontal-relative:page" coordorigin="957,212" coordsize="9991,1340">
            <v:shape id="_x0000_s3380" style="position:absolute;left:964;top:219;width:9976;height:1325" coordorigin="965,219" coordsize="9976,1325" path="m10861,219r-9816,l1014,226r-26,17l971,268r-6,31l965,1464r6,31l988,1520r26,17l1045,1544r9816,l10892,1537r25,-17l10935,1495r6,-31l10941,299r-6,-31l10917,243r-25,-17l10861,219xe" fillcolor="#f5f5f5" stroked="f">
              <v:path arrowok="t"/>
            </v:shape>
            <v:shape id="_x0000_s3379" style="position:absolute;left:964;top:219;width:9976;height:1325" coordorigin="965,219" coordsize="9976,1325" path="m1045,219r9816,l10892,226r25,17l10935,268r6,31l10941,1464r-6,31l10917,1520r-25,17l10861,1544r-9816,l1014,1537r-26,-17l971,1495r-6,-31l965,299r6,-31l988,243r26,-17l1045,219xe" filled="f" strokecolor="#ccc">
              <v:path arrowok="t"/>
            </v:shape>
            <v:shape id="_x0000_s3378" type="#_x0000_t202" style="position:absolute;left:984;top:234;width:9938;height:1294" filled="f" stroked="f">
              <v:textbox inset="0,0,0,0">
                <w:txbxContent>
                  <w:p w14:paraId="24F4C1C0" w14:textId="77777777" w:rsidR="00711A16" w:rsidRDefault="00711A16">
                    <w:pPr>
                      <w:spacing w:before="221" w:line="252" w:lineRule="auto"/>
                      <w:ind w:left="640" w:right="5538" w:hanging="440"/>
                      <w:rPr>
                        <w:rFonts w:ascii="MS Gothic"/>
                      </w:rPr>
                    </w:pPr>
                    <w:r>
                      <w:rPr>
                        <w:rFonts w:ascii="MS Gothic"/>
                        <w:color w:val="333333"/>
                      </w:rPr>
                      <w:t xml:space="preserve">runApplication&lt;MyApplication&gt;(*args) </w:t>
                    </w:r>
                    <w:proofErr w:type="gramStart"/>
                    <w:r>
                      <w:rPr>
                        <w:rFonts w:ascii="MS Gothic"/>
                        <w:color w:val="333333"/>
                      </w:rPr>
                      <w:t>{ setBannerMode</w:t>
                    </w:r>
                    <w:proofErr w:type="gramEnd"/>
                    <w:r>
                      <w:rPr>
                        <w:rFonts w:ascii="MS Gothic"/>
                        <w:color w:val="333333"/>
                      </w:rPr>
                      <w:t>(OFF)</w:t>
                    </w:r>
                  </w:p>
                  <w:p w14:paraId="5CB9A822"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007937BA" w14:textId="77777777" w:rsidR="00A720EB" w:rsidRDefault="00A720EB">
      <w:pPr>
        <w:pStyle w:val="a3"/>
        <w:spacing w:before="11"/>
        <w:rPr>
          <w:sz w:val="16"/>
        </w:rPr>
      </w:pPr>
    </w:p>
    <w:p w14:paraId="455B880D" w14:textId="77777777" w:rsidR="00A720EB" w:rsidRDefault="0030286B">
      <w:pPr>
        <w:pStyle w:val="4"/>
        <w:spacing w:before="104"/>
        <w:jc w:val="left"/>
      </w:pPr>
      <w:bookmarkStart w:id="532" w:name="Extensions"/>
      <w:bookmarkEnd w:id="532"/>
      <w:r>
        <w:rPr>
          <w:color w:val="333333"/>
          <w:w w:val="110"/>
        </w:rPr>
        <w:t>Extensions</w:t>
      </w:r>
    </w:p>
    <w:p w14:paraId="637F3E60" w14:textId="77777777" w:rsidR="00A720EB" w:rsidRDefault="00A720EB">
      <w:pPr>
        <w:pStyle w:val="a3"/>
        <w:spacing w:before="11"/>
        <w:rPr>
          <w:rFonts w:ascii="Palatino Linotype"/>
          <w:b/>
          <w:sz w:val="18"/>
        </w:rPr>
      </w:pPr>
    </w:p>
    <w:p w14:paraId="2388E482" w14:textId="77777777" w:rsidR="00A720EB" w:rsidRDefault="0030286B">
      <w:pPr>
        <w:pStyle w:val="a3"/>
        <w:spacing w:line="307" w:lineRule="auto"/>
        <w:ind w:left="124" w:right="127"/>
        <w:jc w:val="both"/>
      </w:pPr>
      <w:r>
        <w:rPr>
          <w:color w:val="333333"/>
          <w:w w:val="110"/>
        </w:rPr>
        <w:t xml:space="preserve">Kotlin </w:t>
      </w:r>
      <w:hyperlink r:id="rId378">
        <w:r>
          <w:rPr>
            <w:color w:val="418BCA"/>
            <w:w w:val="110"/>
          </w:rPr>
          <w:t>extensions</w:t>
        </w:r>
      </w:hyperlink>
      <w:r>
        <w:rPr>
          <w:color w:val="418BCA"/>
          <w:w w:val="110"/>
        </w:rPr>
        <w:t xml:space="preserve"> </w:t>
      </w:r>
      <w:r>
        <w:rPr>
          <w:color w:val="333333"/>
          <w:w w:val="110"/>
        </w:rPr>
        <w:t>provide the ability to extend existing classes with additional functionality. The Spring Boot Kotlin API makes use of these extensions to add new Kotlin specific conveniences to existing APIs.</w:t>
      </w:r>
    </w:p>
    <w:p w14:paraId="55B31DD3" w14:textId="77777777" w:rsidR="00A720EB" w:rsidRDefault="0030286B">
      <w:pPr>
        <w:pStyle w:val="a3"/>
        <w:spacing w:before="231" w:line="300" w:lineRule="auto"/>
        <w:ind w:left="124" w:right="122"/>
        <w:jc w:val="both"/>
      </w:pPr>
      <w:r>
        <w:rPr>
          <w:rFonts w:ascii="MS Gothic"/>
          <w:color w:val="B02045"/>
          <w:w w:val="110"/>
        </w:rPr>
        <w:t>TestRestTemplate</w:t>
      </w:r>
      <w:r>
        <w:rPr>
          <w:rFonts w:ascii="MS Gothic"/>
          <w:color w:val="B02045"/>
          <w:spacing w:val="-68"/>
          <w:w w:val="110"/>
        </w:rPr>
        <w:t xml:space="preserve"> </w:t>
      </w:r>
      <w:r>
        <w:rPr>
          <w:color w:val="333333"/>
          <w:w w:val="110"/>
        </w:rPr>
        <w:t>extensions, similar to those provided</w:t>
      </w:r>
      <w:r>
        <w:rPr>
          <w:color w:val="333333"/>
          <w:spacing w:val="-3"/>
          <w:w w:val="110"/>
        </w:rPr>
        <w:t xml:space="preserve"> by </w:t>
      </w:r>
      <w:r>
        <w:rPr>
          <w:color w:val="333333"/>
          <w:w w:val="110"/>
        </w:rPr>
        <w:t xml:space="preserve">Spring Framework for </w:t>
      </w:r>
      <w:r>
        <w:rPr>
          <w:rFonts w:ascii="MS Gothic"/>
          <w:color w:val="B02045"/>
          <w:w w:val="110"/>
        </w:rPr>
        <w:t>RestOperations</w:t>
      </w:r>
      <w:r>
        <w:rPr>
          <w:rFonts w:ascii="MS Gothic"/>
          <w:color w:val="B02045"/>
          <w:spacing w:val="-67"/>
          <w:w w:val="110"/>
        </w:rPr>
        <w:t xml:space="preserve"> </w:t>
      </w:r>
      <w:r>
        <w:rPr>
          <w:color w:val="333333"/>
          <w:w w:val="110"/>
        </w:rPr>
        <w:t>in Spring Framework, are provided. Among other things, the extensions make it possible to take advantage of Kotlin reified type parameters.</w:t>
      </w:r>
    </w:p>
    <w:p w14:paraId="538C163F" w14:textId="77777777" w:rsidR="00A720EB" w:rsidRDefault="00A720EB">
      <w:pPr>
        <w:pStyle w:val="a3"/>
        <w:spacing w:before="2"/>
        <w:rPr>
          <w:sz w:val="26"/>
        </w:rPr>
      </w:pPr>
    </w:p>
    <w:p w14:paraId="403E4C9F" w14:textId="77777777" w:rsidR="00A720EB" w:rsidRDefault="0030286B">
      <w:pPr>
        <w:pStyle w:val="3"/>
        <w:numPr>
          <w:ilvl w:val="2"/>
          <w:numId w:val="68"/>
        </w:numPr>
        <w:tabs>
          <w:tab w:val="left" w:pos="1003"/>
        </w:tabs>
        <w:ind w:left="1002" w:hanging="879"/>
      </w:pPr>
      <w:bookmarkStart w:id="533" w:name="4.30.4._Dependency_management"/>
      <w:bookmarkStart w:id="534" w:name="_Toc54423828"/>
      <w:bookmarkEnd w:id="533"/>
      <w:r>
        <w:rPr>
          <w:color w:val="333333"/>
          <w:w w:val="110"/>
        </w:rPr>
        <w:t>Dependency</w:t>
      </w:r>
      <w:r>
        <w:rPr>
          <w:color w:val="333333"/>
          <w:spacing w:val="-5"/>
          <w:w w:val="110"/>
        </w:rPr>
        <w:t xml:space="preserve"> </w:t>
      </w:r>
      <w:r>
        <w:rPr>
          <w:color w:val="333333"/>
          <w:w w:val="110"/>
        </w:rPr>
        <w:t>management</w:t>
      </w:r>
      <w:bookmarkEnd w:id="534"/>
    </w:p>
    <w:p w14:paraId="310E5285" w14:textId="77777777" w:rsidR="00A720EB" w:rsidRDefault="0030286B">
      <w:pPr>
        <w:pStyle w:val="a3"/>
        <w:spacing w:before="254"/>
        <w:ind w:left="124"/>
        <w:jc w:val="both"/>
      </w:pPr>
      <w:r>
        <w:rPr>
          <w:color w:val="333333"/>
          <w:w w:val="110"/>
        </w:rPr>
        <w:t>In order to avoid mixing different versions of Kotlin dependencies on the classpath, Spring Boot</w:t>
      </w:r>
    </w:p>
    <w:p w14:paraId="0D807B3B" w14:textId="77777777" w:rsidR="00A720EB" w:rsidRDefault="00A720EB">
      <w:pPr>
        <w:jc w:val="both"/>
        <w:sectPr w:rsidR="00A720EB">
          <w:pgSz w:w="11910" w:h="16840"/>
          <w:pgMar w:top="620" w:right="840" w:bottom="520" w:left="840" w:header="0" w:footer="323" w:gutter="0"/>
          <w:cols w:space="720"/>
        </w:sectPr>
      </w:pPr>
    </w:p>
    <w:p w14:paraId="150441C8" w14:textId="77777777" w:rsidR="00A720EB" w:rsidRDefault="0030286B">
      <w:pPr>
        <w:pStyle w:val="a3"/>
        <w:spacing w:before="107"/>
        <w:ind w:left="124"/>
        <w:jc w:val="both"/>
      </w:pPr>
      <w:r>
        <w:rPr>
          <w:color w:val="333333"/>
          <w:w w:val="110"/>
        </w:rPr>
        <w:lastRenderedPageBreak/>
        <w:t>imports the Kotlin BOM.</w:t>
      </w:r>
    </w:p>
    <w:p w14:paraId="5F5C43BC" w14:textId="77777777" w:rsidR="00A720EB" w:rsidRDefault="00A720EB">
      <w:pPr>
        <w:pStyle w:val="a3"/>
        <w:spacing w:before="5"/>
        <w:rPr>
          <w:sz w:val="25"/>
        </w:rPr>
      </w:pPr>
    </w:p>
    <w:p w14:paraId="719F7855" w14:textId="77777777" w:rsidR="00A720EB" w:rsidRDefault="0030286B">
      <w:pPr>
        <w:pStyle w:val="a3"/>
        <w:spacing w:line="280" w:lineRule="auto"/>
        <w:ind w:left="124" w:right="126"/>
        <w:jc w:val="both"/>
      </w:pPr>
      <w:r>
        <w:rPr>
          <w:color w:val="333333"/>
          <w:w w:val="110"/>
        </w:rPr>
        <w:t xml:space="preserve">With Maven, the Kotlin version can be customized via the </w:t>
      </w:r>
      <w:proofErr w:type="gramStart"/>
      <w:r>
        <w:rPr>
          <w:rFonts w:ascii="MS Gothic"/>
          <w:color w:val="B02045"/>
          <w:w w:val="110"/>
        </w:rPr>
        <w:t>kotlin.version</w:t>
      </w:r>
      <w:proofErr w:type="gramEnd"/>
      <w:r>
        <w:rPr>
          <w:rFonts w:ascii="MS Gothic"/>
          <w:color w:val="B02045"/>
          <w:w w:val="110"/>
        </w:rPr>
        <w:t xml:space="preserve"> </w:t>
      </w:r>
      <w:r>
        <w:rPr>
          <w:color w:val="333333"/>
          <w:w w:val="110"/>
        </w:rPr>
        <w:t xml:space="preserve">property and plugin management is provided for </w:t>
      </w:r>
      <w:r>
        <w:rPr>
          <w:rFonts w:ascii="MS Gothic"/>
          <w:color w:val="B02045"/>
          <w:w w:val="110"/>
        </w:rPr>
        <w:t>kotlin-maven-plugin</w:t>
      </w:r>
      <w:r>
        <w:rPr>
          <w:color w:val="333333"/>
          <w:w w:val="110"/>
        </w:rPr>
        <w:t xml:space="preserve">. With Gradle, the Spring Boot plugin automatically aligns the </w:t>
      </w:r>
      <w:proofErr w:type="gramStart"/>
      <w:r>
        <w:rPr>
          <w:rFonts w:ascii="MS Gothic"/>
          <w:color w:val="B02045"/>
          <w:w w:val="110"/>
        </w:rPr>
        <w:t>kotlin.version</w:t>
      </w:r>
      <w:proofErr w:type="gramEnd"/>
      <w:r>
        <w:rPr>
          <w:rFonts w:ascii="MS Gothic"/>
          <w:color w:val="B02045"/>
          <w:spacing w:val="-47"/>
          <w:w w:val="110"/>
        </w:rPr>
        <w:t xml:space="preserve"> </w:t>
      </w:r>
      <w:r>
        <w:rPr>
          <w:color w:val="333333"/>
          <w:w w:val="110"/>
        </w:rPr>
        <w:t>with the version of the Kotlin plugin.</w:t>
      </w:r>
    </w:p>
    <w:p w14:paraId="0DD84A72" w14:textId="77777777" w:rsidR="00A720EB" w:rsidRDefault="00A720EB">
      <w:pPr>
        <w:pStyle w:val="a3"/>
        <w:spacing w:before="7"/>
      </w:pPr>
    </w:p>
    <w:p w14:paraId="3DACAABE" w14:textId="77777777" w:rsidR="00A720EB" w:rsidRDefault="0030286B">
      <w:pPr>
        <w:pStyle w:val="a3"/>
        <w:spacing w:line="297" w:lineRule="auto"/>
        <w:ind w:left="124" w:right="136"/>
        <w:jc w:val="both"/>
      </w:pPr>
      <w:r>
        <w:rPr>
          <w:color w:val="333333"/>
          <w:w w:val="110"/>
        </w:rPr>
        <w:t xml:space="preserve">Spring Boot also manages the version of Coroutines dependencies </w:t>
      </w:r>
      <w:r>
        <w:rPr>
          <w:color w:val="333333"/>
          <w:spacing w:val="-3"/>
          <w:w w:val="110"/>
        </w:rPr>
        <w:t xml:space="preserve">by </w:t>
      </w:r>
      <w:r>
        <w:rPr>
          <w:color w:val="333333"/>
          <w:w w:val="110"/>
        </w:rPr>
        <w:t xml:space="preserve">importing the </w:t>
      </w:r>
      <w:proofErr w:type="gramStart"/>
      <w:r>
        <w:rPr>
          <w:color w:val="333333"/>
          <w:w w:val="110"/>
        </w:rPr>
        <w:t>Kotlin  Coroutines</w:t>
      </w:r>
      <w:proofErr w:type="gramEnd"/>
      <w:r>
        <w:rPr>
          <w:color w:val="333333"/>
          <w:spacing w:val="-7"/>
          <w:w w:val="110"/>
        </w:rPr>
        <w:t xml:space="preserve"> </w:t>
      </w:r>
      <w:r>
        <w:rPr>
          <w:color w:val="333333"/>
          <w:w w:val="110"/>
        </w:rPr>
        <w:t>BOM.</w:t>
      </w:r>
      <w:r>
        <w:rPr>
          <w:color w:val="333333"/>
          <w:spacing w:val="-6"/>
          <w:w w:val="110"/>
        </w:rPr>
        <w:t xml:space="preserve"> </w:t>
      </w:r>
      <w:r>
        <w:rPr>
          <w:color w:val="333333"/>
          <w:w w:val="110"/>
        </w:rPr>
        <w:t>The</w:t>
      </w:r>
      <w:r>
        <w:rPr>
          <w:color w:val="333333"/>
          <w:spacing w:val="-6"/>
          <w:w w:val="110"/>
        </w:rPr>
        <w:t xml:space="preserve"> </w:t>
      </w:r>
      <w:r>
        <w:rPr>
          <w:color w:val="333333"/>
          <w:w w:val="110"/>
        </w:rPr>
        <w:t>version</w:t>
      </w:r>
      <w:r>
        <w:rPr>
          <w:color w:val="333333"/>
          <w:spacing w:val="-6"/>
          <w:w w:val="110"/>
        </w:rPr>
        <w:t xml:space="preserve"> </w:t>
      </w:r>
      <w:r>
        <w:rPr>
          <w:color w:val="333333"/>
          <w:w w:val="110"/>
        </w:rPr>
        <w:t>can</w:t>
      </w:r>
      <w:r>
        <w:rPr>
          <w:color w:val="333333"/>
          <w:spacing w:val="-5"/>
          <w:w w:val="110"/>
        </w:rPr>
        <w:t xml:space="preserve"> </w:t>
      </w:r>
      <w:r>
        <w:rPr>
          <w:color w:val="333333"/>
          <w:w w:val="110"/>
        </w:rPr>
        <w:t>be</w:t>
      </w:r>
      <w:r>
        <w:rPr>
          <w:color w:val="333333"/>
          <w:spacing w:val="-7"/>
          <w:w w:val="110"/>
        </w:rPr>
        <w:t xml:space="preserve"> </w:t>
      </w:r>
      <w:r>
        <w:rPr>
          <w:color w:val="333333"/>
          <w:w w:val="110"/>
        </w:rPr>
        <w:t>customized</w:t>
      </w:r>
      <w:r>
        <w:rPr>
          <w:color w:val="333333"/>
          <w:spacing w:val="-5"/>
          <w:w w:val="110"/>
        </w:rPr>
        <w:t xml:space="preserve"> </w:t>
      </w:r>
      <w:r>
        <w:rPr>
          <w:color w:val="333333"/>
          <w:w w:val="110"/>
        </w:rPr>
        <w:t>via</w:t>
      </w:r>
      <w:r>
        <w:rPr>
          <w:color w:val="333333"/>
          <w:spacing w:val="-5"/>
          <w:w w:val="110"/>
        </w:rPr>
        <w:t xml:space="preserve"> </w:t>
      </w:r>
      <w:r>
        <w:rPr>
          <w:color w:val="333333"/>
          <w:w w:val="110"/>
        </w:rPr>
        <w:t>the</w:t>
      </w:r>
      <w:r>
        <w:rPr>
          <w:color w:val="333333"/>
          <w:spacing w:val="-3"/>
          <w:w w:val="110"/>
        </w:rPr>
        <w:t xml:space="preserve"> </w:t>
      </w:r>
      <w:r>
        <w:rPr>
          <w:rFonts w:ascii="MS Gothic"/>
          <w:color w:val="B02045"/>
          <w:w w:val="110"/>
        </w:rPr>
        <w:t>kotlin-</w:t>
      </w:r>
      <w:proofErr w:type="gramStart"/>
      <w:r>
        <w:rPr>
          <w:rFonts w:ascii="MS Gothic"/>
          <w:color w:val="B02045"/>
          <w:w w:val="110"/>
        </w:rPr>
        <w:t>coroutines.version</w:t>
      </w:r>
      <w:proofErr w:type="gramEnd"/>
      <w:r>
        <w:rPr>
          <w:rFonts w:ascii="MS Gothic"/>
          <w:color w:val="B02045"/>
          <w:spacing w:val="-70"/>
          <w:w w:val="110"/>
        </w:rPr>
        <w:t xml:space="preserve"> </w:t>
      </w:r>
      <w:r>
        <w:rPr>
          <w:color w:val="333333"/>
          <w:spacing w:val="-3"/>
          <w:w w:val="110"/>
        </w:rPr>
        <w:t>property.</w:t>
      </w:r>
    </w:p>
    <w:p w14:paraId="241EFEC3" w14:textId="77777777" w:rsidR="00A720EB" w:rsidRDefault="00A720EB">
      <w:pPr>
        <w:pStyle w:val="a3"/>
        <w:spacing w:before="10"/>
        <w:rPr>
          <w:sz w:val="15"/>
        </w:rPr>
      </w:pPr>
    </w:p>
    <w:p w14:paraId="54203A1B" w14:textId="77777777" w:rsidR="00A720EB" w:rsidRDefault="00E10349">
      <w:pPr>
        <w:pStyle w:val="a3"/>
        <w:spacing w:before="116" w:line="300" w:lineRule="auto"/>
        <w:ind w:left="1564" w:right="367"/>
        <w:jc w:val="both"/>
      </w:pPr>
      <w:r>
        <w:pict w14:anchorId="2DFB8B94">
          <v:line id="_x0000_s3376" style="position:absolute;left:0;text-align:left;z-index:16181760;mso-position-horizontal-relative:page" from="108.25pt,.35pt" to="108.25pt,55.7pt" strokecolor="#ededed" strokeweight=".5pt">
            <w10:wrap anchorx="page"/>
          </v:line>
        </w:pict>
      </w:r>
      <w:r w:rsidR="0030286B">
        <w:rPr>
          <w:noProof/>
        </w:rPr>
        <w:drawing>
          <wp:anchor distT="0" distB="0" distL="0" distR="0" simplePos="0" relativeHeight="16182272" behindDoc="0" locked="0" layoutInCell="1" allowOverlap="1" wp14:anchorId="26268376" wp14:editId="2E8DFF6A">
            <wp:simplePos x="0" y="0"/>
            <wp:positionH relativeFrom="page">
              <wp:posOffset>888949</wp:posOffset>
            </wp:positionH>
            <wp:positionV relativeFrom="paragraph">
              <wp:posOffset>203275</wp:posOffset>
            </wp:positionV>
            <wp:extent cx="209550" cy="304800"/>
            <wp:effectExtent l="0" t="0" r="0" b="0"/>
            <wp:wrapNone/>
            <wp:docPr id="5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26.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rFonts w:ascii="MS Gothic"/>
          <w:color w:val="B02045"/>
          <w:w w:val="110"/>
        </w:rPr>
        <w:t xml:space="preserve">org.jetbrains.kotlinx:kotlinx-coroutines-reactor </w:t>
      </w:r>
      <w:r w:rsidR="0030286B">
        <w:rPr>
          <w:color w:val="333333"/>
          <w:w w:val="110"/>
        </w:rPr>
        <w:t>dependency is provided</w:t>
      </w:r>
      <w:r w:rsidR="0030286B">
        <w:rPr>
          <w:color w:val="333333"/>
          <w:spacing w:val="-17"/>
          <w:w w:val="110"/>
        </w:rPr>
        <w:t xml:space="preserve"> </w:t>
      </w:r>
      <w:r w:rsidR="0030286B">
        <w:rPr>
          <w:color w:val="333333"/>
          <w:spacing w:val="-3"/>
          <w:w w:val="110"/>
        </w:rPr>
        <w:t xml:space="preserve">by </w:t>
      </w:r>
      <w:r w:rsidR="0030286B">
        <w:rPr>
          <w:color w:val="333333"/>
          <w:w w:val="110"/>
        </w:rPr>
        <w:t xml:space="preserve">default if one bootstraps a Kotlin project with at least one reactive dependency on </w:t>
      </w:r>
      <w:hyperlink r:id="rId379" w:anchor="!language%3Dkotlin">
        <w:r w:rsidR="0030286B">
          <w:rPr>
            <w:color w:val="418BCA"/>
            <w:w w:val="110"/>
          </w:rPr>
          <w:t>start.spring.io</w:t>
        </w:r>
      </w:hyperlink>
      <w:r w:rsidR="0030286B">
        <w:rPr>
          <w:color w:val="333333"/>
          <w:w w:val="110"/>
        </w:rPr>
        <w:t>.</w:t>
      </w:r>
    </w:p>
    <w:p w14:paraId="736211A5" w14:textId="77777777" w:rsidR="00A720EB" w:rsidRDefault="00A720EB">
      <w:pPr>
        <w:pStyle w:val="a3"/>
        <w:rPr>
          <w:sz w:val="24"/>
        </w:rPr>
      </w:pPr>
    </w:p>
    <w:p w14:paraId="144BE01A" w14:textId="77777777" w:rsidR="00A720EB" w:rsidRDefault="0030286B">
      <w:pPr>
        <w:pStyle w:val="3"/>
        <w:numPr>
          <w:ilvl w:val="2"/>
          <w:numId w:val="68"/>
        </w:numPr>
        <w:tabs>
          <w:tab w:val="left" w:pos="1003"/>
        </w:tabs>
        <w:spacing w:before="105"/>
        <w:ind w:left="1002" w:hanging="879"/>
      </w:pPr>
      <w:bookmarkStart w:id="535" w:name="4.30.5._@ConfigurationProperties"/>
      <w:bookmarkStart w:id="536" w:name="_Toc54423829"/>
      <w:bookmarkEnd w:id="535"/>
      <w:r>
        <w:rPr>
          <w:color w:val="333333"/>
          <w:w w:val="115"/>
        </w:rPr>
        <w:t>@ConfigurationProperties</w:t>
      </w:r>
      <w:bookmarkEnd w:id="536"/>
    </w:p>
    <w:p w14:paraId="3DE11458" w14:textId="77777777" w:rsidR="00A720EB" w:rsidRDefault="0030286B">
      <w:pPr>
        <w:pStyle w:val="a3"/>
        <w:spacing w:before="244" w:line="280" w:lineRule="auto"/>
        <w:ind w:left="124"/>
      </w:pPr>
      <w:r>
        <w:rPr>
          <w:rFonts w:ascii="MS Gothic"/>
          <w:color w:val="B02045"/>
          <w:w w:val="105"/>
        </w:rPr>
        <w:t xml:space="preserve">@ConfigurationProperties </w:t>
      </w:r>
      <w:r>
        <w:rPr>
          <w:color w:val="333333"/>
          <w:w w:val="105"/>
        </w:rPr>
        <w:t xml:space="preserve">when used in combination with </w:t>
      </w:r>
      <w:hyperlink w:anchor="_bookmark116" w:history="1">
        <w:r>
          <w:rPr>
            <w:rFonts w:ascii="MS Gothic"/>
            <w:color w:val="B02045"/>
            <w:w w:val="105"/>
          </w:rPr>
          <w:t>@ConstructorBinding</w:t>
        </w:r>
        <w:r>
          <w:rPr>
            <w:rFonts w:ascii="MS Gothic"/>
            <w:color w:val="B02045"/>
            <w:spacing w:val="-54"/>
            <w:w w:val="105"/>
          </w:rPr>
          <w:t xml:space="preserve"> </w:t>
        </w:r>
      </w:hyperlink>
      <w:r>
        <w:rPr>
          <w:color w:val="333333"/>
          <w:w w:val="105"/>
        </w:rPr>
        <w:t xml:space="preserve">supports classes with </w:t>
      </w:r>
      <w:r>
        <w:rPr>
          <w:color w:val="333333"/>
          <w:w w:val="110"/>
        </w:rPr>
        <w:t xml:space="preserve">immutable </w:t>
      </w:r>
      <w:r>
        <w:rPr>
          <w:rFonts w:ascii="MS Gothic"/>
          <w:color w:val="B02045"/>
          <w:w w:val="110"/>
        </w:rPr>
        <w:t xml:space="preserve">val </w:t>
      </w:r>
      <w:r>
        <w:rPr>
          <w:color w:val="333333"/>
          <w:w w:val="110"/>
        </w:rPr>
        <w:t>properties as shown in the following example:</w:t>
      </w:r>
    </w:p>
    <w:p w14:paraId="7ED65812" w14:textId="77777777" w:rsidR="00A720EB" w:rsidRDefault="00E10349">
      <w:pPr>
        <w:pStyle w:val="a3"/>
        <w:spacing w:before="1"/>
        <w:rPr>
          <w:sz w:val="14"/>
        </w:rPr>
      </w:pPr>
      <w:r>
        <w:pict w14:anchorId="188C4C2B">
          <v:group id="_x0000_s3372" style="position:absolute;margin-left:47.85pt;margin-top:10.25pt;width:499.55pt;height:199.65pt;z-index:-15276032;mso-wrap-distance-left:0;mso-wrap-distance-right:0;mso-position-horizontal-relative:page" coordorigin="957,205" coordsize="9991,3993">
            <v:shape id="_x0000_s3375" style="position:absolute;left:964;top:212;width:9976;height:3978" coordorigin="965,212" coordsize="9976,3978" path="m10861,212r-9816,l1014,218r-26,18l971,261r-6,31l965,4110r6,31l988,4166r26,17l1045,4190r9816,l10892,4183r25,-17l10935,4141r6,-31l10941,292r-6,-31l10917,236r-25,-18l10861,212xe" fillcolor="#f5f5f5" stroked="f">
              <v:path arrowok="t"/>
            </v:shape>
            <v:shape id="_x0000_s3374" style="position:absolute;left:964;top:212;width:9976;height:3978" coordorigin="965,212" coordsize="9976,3978" path="m1045,212r9816,l10892,218r25,18l10935,261r6,31l10941,4110r-6,31l10917,4166r-25,17l10861,4190r-9816,l1014,4183r-26,-17l971,4141r-6,-31l965,292r6,-31l988,236r26,-18l1045,212xe" filled="f" strokecolor="#ccc">
              <v:path arrowok="t"/>
            </v:shape>
            <v:shape id="_x0000_s3373" type="#_x0000_t202" style="position:absolute;left:984;top:227;width:9938;height:3947" filled="f" stroked="f">
              <v:textbox inset="0,0,0,0">
                <w:txbxContent>
                  <w:p w14:paraId="52772E48" w14:textId="77777777" w:rsidR="00711A16" w:rsidRDefault="00711A16">
                    <w:pPr>
                      <w:spacing w:before="221" w:line="252" w:lineRule="auto"/>
                      <w:ind w:left="200" w:right="5098"/>
                      <w:rPr>
                        <w:rFonts w:ascii="MS Gothic"/>
                      </w:rPr>
                    </w:pPr>
                    <w:r>
                      <w:rPr>
                        <w:rFonts w:ascii="MS Gothic"/>
                        <w:color w:val="333333"/>
                      </w:rPr>
                      <w:t>@ConstructorBinding @ConfigurationProperties("</w:t>
                    </w:r>
                    <w:proofErr w:type="gramStart"/>
                    <w:r>
                      <w:rPr>
                        <w:rFonts w:ascii="MS Gothic"/>
                        <w:color w:val="333333"/>
                      </w:rPr>
                      <w:t>example.kotlin</w:t>
                    </w:r>
                    <w:proofErr w:type="gramEnd"/>
                    <w:r>
                      <w:rPr>
                        <w:rFonts w:ascii="MS Gothic"/>
                        <w:color w:val="333333"/>
                      </w:rPr>
                      <w:t>") data class KotlinExampleProperties(</w:t>
                    </w:r>
                  </w:p>
                  <w:p w14:paraId="41375B32" w14:textId="77777777" w:rsidR="00711A16" w:rsidRDefault="00711A16">
                    <w:pPr>
                      <w:spacing w:line="278" w:lineRule="exact"/>
                      <w:ind w:left="1080"/>
                      <w:rPr>
                        <w:rFonts w:ascii="MS Gothic"/>
                      </w:rPr>
                    </w:pPr>
                    <w:r>
                      <w:rPr>
                        <w:rFonts w:ascii="MS Gothic"/>
                        <w:color w:val="333333"/>
                      </w:rPr>
                      <w:t>val name: String,</w:t>
                    </w:r>
                  </w:p>
                  <w:p w14:paraId="03B25B3E" w14:textId="77777777" w:rsidR="00711A16" w:rsidRDefault="00711A16">
                    <w:pPr>
                      <w:spacing w:before="13" w:line="252" w:lineRule="auto"/>
                      <w:ind w:left="1080" w:right="5884"/>
                      <w:rPr>
                        <w:rFonts w:ascii="MS Gothic"/>
                      </w:rPr>
                    </w:pPr>
                    <w:r>
                      <w:rPr>
                        <w:rFonts w:ascii="MS Gothic"/>
                        <w:color w:val="333333"/>
                      </w:rPr>
                      <w:t xml:space="preserve">val description: String, val myService: MyService) </w:t>
                    </w:r>
                    <w:r>
                      <w:rPr>
                        <w:rFonts w:ascii="MS Gothic"/>
                        <w:color w:val="333333"/>
                        <w:spacing w:val="-17"/>
                      </w:rPr>
                      <w:t>{</w:t>
                    </w:r>
                  </w:p>
                  <w:p w14:paraId="6C631756" w14:textId="77777777" w:rsidR="00711A16" w:rsidRDefault="00711A16">
                    <w:pPr>
                      <w:spacing w:before="10"/>
                      <w:rPr>
                        <w:rFonts w:ascii="MS Gothic"/>
                      </w:rPr>
                    </w:pPr>
                  </w:p>
                  <w:p w14:paraId="308338D3" w14:textId="77777777" w:rsidR="00711A16" w:rsidRDefault="00711A16">
                    <w:pPr>
                      <w:ind w:left="640"/>
                      <w:rPr>
                        <w:rFonts w:ascii="MS Gothic"/>
                      </w:rPr>
                    </w:pPr>
                    <w:r>
                      <w:rPr>
                        <w:rFonts w:ascii="MS Gothic"/>
                        <w:color w:val="333333"/>
                      </w:rPr>
                      <w:t xml:space="preserve">data class </w:t>
                    </w:r>
                    <w:proofErr w:type="gramStart"/>
                    <w:r>
                      <w:rPr>
                        <w:rFonts w:ascii="MS Gothic"/>
                        <w:color w:val="333333"/>
                      </w:rPr>
                      <w:t>MyService(</w:t>
                    </w:r>
                    <w:proofErr w:type="gramEnd"/>
                  </w:p>
                  <w:p w14:paraId="3527D6C9" w14:textId="77777777" w:rsidR="00711A16" w:rsidRDefault="00711A16">
                    <w:pPr>
                      <w:spacing w:before="13" w:line="252" w:lineRule="auto"/>
                      <w:ind w:left="1520" w:right="5868"/>
                      <w:rPr>
                        <w:rFonts w:ascii="MS Gothic"/>
                      </w:rPr>
                    </w:pPr>
                    <w:r>
                      <w:rPr>
                        <w:rFonts w:ascii="MS Gothic"/>
                        <w:color w:val="333333"/>
                      </w:rPr>
                      <w:t xml:space="preserve">val apiToken: </w:t>
                    </w:r>
                    <w:r>
                      <w:rPr>
                        <w:rFonts w:ascii="MS Gothic"/>
                        <w:color w:val="333333"/>
                        <w:spacing w:val="-3"/>
                      </w:rPr>
                      <w:t xml:space="preserve">String, </w:t>
                    </w:r>
                    <w:r>
                      <w:rPr>
                        <w:rFonts w:ascii="MS Gothic"/>
                        <w:color w:val="333333"/>
                      </w:rPr>
                      <w:t>val uri: URI</w:t>
                    </w:r>
                  </w:p>
                  <w:p w14:paraId="5467B895" w14:textId="77777777" w:rsidR="00711A16" w:rsidRDefault="00711A16">
                    <w:pPr>
                      <w:spacing w:line="280" w:lineRule="exact"/>
                      <w:ind w:left="640"/>
                      <w:rPr>
                        <w:rFonts w:ascii="MS Gothic"/>
                      </w:rPr>
                    </w:pPr>
                    <w:r>
                      <w:rPr>
                        <w:rFonts w:ascii="MS Gothic"/>
                        <w:color w:val="333333"/>
                      </w:rPr>
                      <w:t>)</w:t>
                    </w:r>
                  </w:p>
                  <w:p w14:paraId="2A21049F"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7FFD9E26" w14:textId="77777777" w:rsidR="00A720EB" w:rsidRDefault="00A720EB">
      <w:pPr>
        <w:pStyle w:val="a3"/>
        <w:spacing w:before="8"/>
        <w:rPr>
          <w:sz w:val="16"/>
        </w:rPr>
      </w:pPr>
    </w:p>
    <w:p w14:paraId="3FA9227F" w14:textId="77777777" w:rsidR="00A720EB" w:rsidRDefault="00E10349">
      <w:pPr>
        <w:pStyle w:val="a3"/>
        <w:spacing w:before="116" w:line="292" w:lineRule="auto"/>
        <w:ind w:left="1564" w:right="362"/>
        <w:jc w:val="both"/>
      </w:pPr>
      <w:r>
        <w:pict w14:anchorId="5952CC1C">
          <v:line id="_x0000_s3371" style="position:absolute;left:0;text-align:left;z-index:16182784;mso-position-horizontal-relative:page" from="108.25pt,.35pt" to="108.25pt,71.45pt" strokecolor="#ededed" strokeweight=".5pt">
            <w10:wrap anchorx="page"/>
          </v:line>
        </w:pict>
      </w:r>
      <w:r w:rsidR="0030286B">
        <w:rPr>
          <w:noProof/>
        </w:rPr>
        <w:drawing>
          <wp:anchor distT="0" distB="0" distL="0" distR="0" simplePos="0" relativeHeight="16183296" behindDoc="0" locked="0" layoutInCell="1" allowOverlap="1" wp14:anchorId="586D3ABE" wp14:editId="71736C6D">
            <wp:simplePos x="0" y="0"/>
            <wp:positionH relativeFrom="page">
              <wp:posOffset>888949</wp:posOffset>
            </wp:positionH>
            <wp:positionV relativeFrom="paragraph">
              <wp:posOffset>303479</wp:posOffset>
            </wp:positionV>
            <wp:extent cx="209550" cy="304800"/>
            <wp:effectExtent l="0" t="0" r="0" b="0"/>
            <wp:wrapNone/>
            <wp:docPr id="56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26.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4"/>
          <w:w w:val="110"/>
        </w:rPr>
        <w:t xml:space="preserve">To </w:t>
      </w:r>
      <w:r w:rsidR="0030286B">
        <w:rPr>
          <w:color w:val="333333"/>
          <w:w w:val="110"/>
        </w:rPr>
        <w:t xml:space="preserve">generate </w:t>
      </w:r>
      <w:hyperlink w:anchor="_bookmark682" w:history="1">
        <w:r w:rsidR="0030286B">
          <w:rPr>
            <w:color w:val="418BCA"/>
            <w:w w:val="110"/>
          </w:rPr>
          <w:t>your own metadata</w:t>
        </w:r>
      </w:hyperlink>
      <w:r w:rsidR="0030286B">
        <w:rPr>
          <w:color w:val="418BCA"/>
          <w:w w:val="110"/>
        </w:rPr>
        <w:t xml:space="preserve"> </w:t>
      </w:r>
      <w:r w:rsidR="0030286B">
        <w:rPr>
          <w:color w:val="333333"/>
          <w:w w:val="110"/>
        </w:rPr>
        <w:t xml:space="preserve">using the annotation processor, </w:t>
      </w:r>
      <w:hyperlink r:id="rId380">
        <w:r w:rsidR="0030286B">
          <w:rPr>
            <w:rFonts w:ascii="MS Gothic"/>
            <w:color w:val="B02045"/>
            <w:w w:val="110"/>
          </w:rPr>
          <w:t xml:space="preserve">kapt </w:t>
        </w:r>
      </w:hyperlink>
      <w:hyperlink r:id="rId381">
        <w:r w:rsidR="0030286B">
          <w:rPr>
            <w:color w:val="418BCA"/>
            <w:w w:val="110"/>
          </w:rPr>
          <w:t>should be</w:t>
        </w:r>
      </w:hyperlink>
      <w:r w:rsidR="0030286B">
        <w:rPr>
          <w:color w:val="418BCA"/>
          <w:w w:val="110"/>
        </w:rPr>
        <w:t xml:space="preserve"> </w:t>
      </w:r>
      <w:hyperlink r:id="rId382">
        <w:r w:rsidR="0030286B">
          <w:rPr>
            <w:color w:val="418BCA"/>
            <w:w w:val="110"/>
          </w:rPr>
          <w:t>configured</w:t>
        </w:r>
      </w:hyperlink>
      <w:r w:rsidR="0030286B">
        <w:rPr>
          <w:color w:val="418BCA"/>
          <w:w w:val="110"/>
        </w:rPr>
        <w:t xml:space="preserve"> </w:t>
      </w:r>
      <w:r w:rsidR="0030286B">
        <w:rPr>
          <w:color w:val="333333"/>
          <w:w w:val="110"/>
        </w:rPr>
        <w:t xml:space="preserve">with the </w:t>
      </w:r>
      <w:r w:rsidR="0030286B">
        <w:rPr>
          <w:rFonts w:ascii="MS Gothic"/>
          <w:color w:val="B02045"/>
          <w:w w:val="110"/>
        </w:rPr>
        <w:t>spring-boot-configuration-processor</w:t>
      </w:r>
      <w:r w:rsidR="0030286B">
        <w:rPr>
          <w:rFonts w:ascii="MS Gothic"/>
          <w:color w:val="B02045"/>
          <w:spacing w:val="-39"/>
          <w:w w:val="110"/>
        </w:rPr>
        <w:t xml:space="preserve"> </w:t>
      </w:r>
      <w:r w:rsidR="0030286B">
        <w:rPr>
          <w:color w:val="333333"/>
          <w:spacing w:val="-3"/>
          <w:w w:val="110"/>
        </w:rPr>
        <w:t xml:space="preserve">dependency. </w:t>
      </w:r>
      <w:r w:rsidR="0030286B">
        <w:rPr>
          <w:color w:val="333333"/>
          <w:w w:val="110"/>
        </w:rPr>
        <w:t>Note that some features (such as detecting the default value or deprecated items) are not working due to limitations in the model kapt</w:t>
      </w:r>
      <w:r w:rsidR="0030286B">
        <w:rPr>
          <w:color w:val="333333"/>
          <w:spacing w:val="25"/>
          <w:w w:val="110"/>
        </w:rPr>
        <w:t xml:space="preserve"> </w:t>
      </w:r>
      <w:r w:rsidR="0030286B">
        <w:rPr>
          <w:color w:val="333333"/>
          <w:w w:val="110"/>
        </w:rPr>
        <w:t>provides.</w:t>
      </w:r>
    </w:p>
    <w:p w14:paraId="569D445E" w14:textId="77777777" w:rsidR="00A720EB" w:rsidRDefault="00A720EB">
      <w:pPr>
        <w:pStyle w:val="a3"/>
        <w:spacing w:before="11"/>
        <w:rPr>
          <w:sz w:val="24"/>
        </w:rPr>
      </w:pPr>
    </w:p>
    <w:p w14:paraId="6A54A901" w14:textId="77777777" w:rsidR="00A720EB" w:rsidRDefault="0030286B">
      <w:pPr>
        <w:pStyle w:val="3"/>
        <w:numPr>
          <w:ilvl w:val="2"/>
          <w:numId w:val="68"/>
        </w:numPr>
        <w:tabs>
          <w:tab w:val="left" w:pos="1003"/>
        </w:tabs>
        <w:spacing w:before="105"/>
        <w:ind w:left="1002" w:hanging="879"/>
      </w:pPr>
      <w:bookmarkStart w:id="537" w:name="4.30.6._Testing"/>
      <w:bookmarkStart w:id="538" w:name="_Toc54423830"/>
      <w:bookmarkEnd w:id="537"/>
      <w:r>
        <w:rPr>
          <w:color w:val="333333"/>
          <w:w w:val="110"/>
        </w:rPr>
        <w:t>Testing</w:t>
      </w:r>
      <w:bookmarkEnd w:id="538"/>
    </w:p>
    <w:p w14:paraId="4CE489EB" w14:textId="77777777" w:rsidR="00A720EB" w:rsidRDefault="0030286B">
      <w:pPr>
        <w:pStyle w:val="a3"/>
        <w:spacing w:before="253" w:line="297" w:lineRule="auto"/>
        <w:ind w:left="124" w:right="127"/>
        <w:jc w:val="both"/>
      </w:pPr>
      <w:r>
        <w:rPr>
          <w:color w:val="333333"/>
          <w:w w:val="110"/>
        </w:rPr>
        <w:t xml:space="preserve">While it is possible to use JUnit 4 to test Kotlin code, JUnit 5 is provided </w:t>
      </w:r>
      <w:r>
        <w:rPr>
          <w:color w:val="333333"/>
          <w:spacing w:val="-3"/>
          <w:w w:val="110"/>
        </w:rPr>
        <w:t xml:space="preserve">by </w:t>
      </w:r>
      <w:r>
        <w:rPr>
          <w:color w:val="333333"/>
          <w:w w:val="110"/>
        </w:rPr>
        <w:t xml:space="preserve">default and is recommended. JUnit 5 enables a test class to be instantiated once and reused for all of the class’s tests. This makes it possible to use </w:t>
      </w:r>
      <w:r>
        <w:rPr>
          <w:rFonts w:ascii="MS Gothic" w:hAnsi="MS Gothic"/>
          <w:color w:val="B02045"/>
          <w:w w:val="110"/>
        </w:rPr>
        <w:t xml:space="preserve">@BeforeAll </w:t>
      </w:r>
      <w:r>
        <w:rPr>
          <w:color w:val="333333"/>
          <w:w w:val="110"/>
        </w:rPr>
        <w:t xml:space="preserve">and </w:t>
      </w:r>
      <w:r>
        <w:rPr>
          <w:rFonts w:ascii="MS Gothic" w:hAnsi="MS Gothic"/>
          <w:color w:val="B02045"/>
          <w:w w:val="110"/>
        </w:rPr>
        <w:t xml:space="preserve">@AfterAll </w:t>
      </w:r>
      <w:r>
        <w:rPr>
          <w:color w:val="333333"/>
          <w:w w:val="110"/>
        </w:rPr>
        <w:t>annotations on non-static methods, which is a good fit for</w:t>
      </w:r>
      <w:r>
        <w:rPr>
          <w:color w:val="333333"/>
          <w:spacing w:val="18"/>
          <w:w w:val="110"/>
        </w:rPr>
        <w:t xml:space="preserve"> </w:t>
      </w:r>
      <w:r>
        <w:rPr>
          <w:color w:val="333333"/>
          <w:w w:val="110"/>
        </w:rPr>
        <w:t>Kotlin.</w:t>
      </w:r>
    </w:p>
    <w:p w14:paraId="768BCE31" w14:textId="77777777" w:rsidR="00A720EB" w:rsidRDefault="00A720EB">
      <w:pPr>
        <w:pStyle w:val="a3"/>
        <w:spacing w:before="7"/>
      </w:pPr>
    </w:p>
    <w:p w14:paraId="6C721520" w14:textId="77777777" w:rsidR="00A720EB" w:rsidRDefault="0030286B">
      <w:pPr>
        <w:pStyle w:val="a3"/>
        <w:spacing w:line="295" w:lineRule="auto"/>
        <w:ind w:left="124" w:right="122"/>
        <w:jc w:val="both"/>
      </w:pPr>
      <w:r>
        <w:rPr>
          <w:color w:val="333333"/>
          <w:w w:val="110"/>
        </w:rPr>
        <w:t xml:space="preserve">JUnit 5 is the default and the vintage engine is provided for backward compatibility with JUnit 4. If you don’t use it, exclude </w:t>
      </w:r>
      <w:proofErr w:type="gramStart"/>
      <w:r>
        <w:rPr>
          <w:rFonts w:ascii="MS Gothic" w:hAnsi="MS Gothic"/>
          <w:color w:val="B02045"/>
          <w:w w:val="110"/>
        </w:rPr>
        <w:t>org.junit</w:t>
      </w:r>
      <w:proofErr w:type="gramEnd"/>
      <w:r>
        <w:rPr>
          <w:rFonts w:ascii="MS Gothic" w:hAnsi="MS Gothic"/>
          <w:color w:val="B02045"/>
          <w:w w:val="110"/>
        </w:rPr>
        <w:t>.vintage:junit-vintage-engine</w:t>
      </w:r>
      <w:r>
        <w:rPr>
          <w:color w:val="333333"/>
          <w:w w:val="110"/>
        </w:rPr>
        <w:t xml:space="preserve">. You also need to </w:t>
      </w:r>
      <w:hyperlink r:id="rId383" w:anchor="writing-tests-test-instance-lifecycle-changing-default">
        <w:r>
          <w:rPr>
            <w:color w:val="418BCA"/>
            <w:w w:val="110"/>
          </w:rPr>
          <w:t>switch test</w:t>
        </w:r>
      </w:hyperlink>
      <w:r>
        <w:rPr>
          <w:color w:val="418BCA"/>
          <w:w w:val="110"/>
        </w:rPr>
        <w:t xml:space="preserve"> </w:t>
      </w:r>
      <w:hyperlink r:id="rId384" w:anchor="writing-tests-test-instance-lifecycle-changing-default">
        <w:r>
          <w:rPr>
            <w:color w:val="418BCA"/>
            <w:w w:val="110"/>
          </w:rPr>
          <w:t>instance lifecycle to "per-class"</w:t>
        </w:r>
      </w:hyperlink>
      <w:r>
        <w:rPr>
          <w:color w:val="333333"/>
          <w:w w:val="110"/>
        </w:rPr>
        <w:t>.</w:t>
      </w:r>
    </w:p>
    <w:p w14:paraId="6FA1590B" w14:textId="77777777" w:rsidR="00A720EB" w:rsidRDefault="0030286B">
      <w:pPr>
        <w:pStyle w:val="a3"/>
        <w:spacing w:before="240"/>
        <w:ind w:left="124"/>
        <w:jc w:val="both"/>
      </w:pPr>
      <w:r>
        <w:rPr>
          <w:color w:val="333333"/>
          <w:w w:val="110"/>
        </w:rPr>
        <w:t xml:space="preserve">To mock Kotlin classes, </w:t>
      </w:r>
      <w:hyperlink r:id="rId385">
        <w:r>
          <w:rPr>
            <w:color w:val="418BCA"/>
            <w:w w:val="110"/>
          </w:rPr>
          <w:t>MockK</w:t>
        </w:r>
      </w:hyperlink>
      <w:r>
        <w:rPr>
          <w:color w:val="418BCA"/>
          <w:w w:val="110"/>
        </w:rPr>
        <w:t xml:space="preserve"> </w:t>
      </w:r>
      <w:r>
        <w:rPr>
          <w:color w:val="333333"/>
          <w:w w:val="110"/>
        </w:rPr>
        <w:t xml:space="preserve">is recommended. If you need the </w:t>
      </w:r>
      <w:r>
        <w:rPr>
          <w:rFonts w:ascii="MS Gothic"/>
          <w:color w:val="B02045"/>
          <w:w w:val="110"/>
        </w:rPr>
        <w:t xml:space="preserve">Mockk </w:t>
      </w:r>
      <w:r>
        <w:rPr>
          <w:color w:val="333333"/>
          <w:w w:val="110"/>
        </w:rPr>
        <w:t>equivalent of the Mockito</w:t>
      </w:r>
    </w:p>
    <w:p w14:paraId="1BE1F4E8" w14:textId="77777777" w:rsidR="00A720EB" w:rsidRDefault="00A720EB">
      <w:pPr>
        <w:jc w:val="both"/>
        <w:sectPr w:rsidR="00A720EB">
          <w:pgSz w:w="11910" w:h="16840"/>
          <w:pgMar w:top="620" w:right="840" w:bottom="520" w:left="840" w:header="0" w:footer="323" w:gutter="0"/>
          <w:cols w:space="720"/>
        </w:sectPr>
      </w:pPr>
    </w:p>
    <w:p w14:paraId="467D3023" w14:textId="77777777" w:rsidR="00A720EB" w:rsidRDefault="0030286B">
      <w:pPr>
        <w:pStyle w:val="a3"/>
        <w:spacing w:before="96"/>
        <w:ind w:left="124"/>
        <w:jc w:val="both"/>
      </w:pPr>
      <w:r>
        <w:rPr>
          <w:color w:val="333333"/>
          <w:w w:val="110"/>
        </w:rPr>
        <w:lastRenderedPageBreak/>
        <w:t xml:space="preserve">specific </w:t>
      </w:r>
      <w:hyperlink w:anchor="_bookmark315" w:history="1">
        <w:r>
          <w:rPr>
            <w:rFonts w:ascii="MS Gothic"/>
            <w:color w:val="B02045"/>
            <w:w w:val="110"/>
          </w:rPr>
          <w:t xml:space="preserve">@MockBean </w:t>
        </w:r>
      </w:hyperlink>
      <w:hyperlink w:anchor="_bookmark315" w:history="1">
        <w:r>
          <w:rPr>
            <w:color w:val="418BCA"/>
            <w:w w:val="110"/>
          </w:rPr>
          <w:t>and</w:t>
        </w:r>
      </w:hyperlink>
      <w:r>
        <w:rPr>
          <w:color w:val="418BCA"/>
          <w:w w:val="110"/>
        </w:rPr>
        <w:t xml:space="preserve"> </w:t>
      </w:r>
      <w:hyperlink w:anchor="_bookmark315" w:history="1">
        <w:r>
          <w:rPr>
            <w:rFonts w:ascii="MS Gothic"/>
            <w:color w:val="B02045"/>
            <w:w w:val="110"/>
          </w:rPr>
          <w:t xml:space="preserve">@SpyBean </w:t>
        </w:r>
      </w:hyperlink>
      <w:hyperlink w:anchor="_bookmark315" w:history="1">
        <w:r>
          <w:rPr>
            <w:color w:val="418BCA"/>
            <w:w w:val="110"/>
          </w:rPr>
          <w:t>annotations</w:t>
        </w:r>
      </w:hyperlink>
      <w:r>
        <w:rPr>
          <w:color w:val="333333"/>
          <w:w w:val="110"/>
        </w:rPr>
        <w:t xml:space="preserve">, you can use </w:t>
      </w:r>
      <w:hyperlink r:id="rId386">
        <w:r>
          <w:rPr>
            <w:color w:val="418BCA"/>
            <w:w w:val="110"/>
          </w:rPr>
          <w:t>SpringMockK</w:t>
        </w:r>
      </w:hyperlink>
      <w:r>
        <w:rPr>
          <w:color w:val="418BCA"/>
          <w:w w:val="110"/>
        </w:rPr>
        <w:t xml:space="preserve"> </w:t>
      </w:r>
      <w:r>
        <w:rPr>
          <w:color w:val="333333"/>
          <w:w w:val="110"/>
        </w:rPr>
        <w:t>which provides similar</w:t>
      </w:r>
    </w:p>
    <w:p w14:paraId="4BAC8FF9" w14:textId="77777777" w:rsidR="00A720EB" w:rsidRDefault="0030286B">
      <w:pPr>
        <w:pStyle w:val="a3"/>
        <w:spacing w:before="47"/>
        <w:ind w:left="124"/>
        <w:jc w:val="both"/>
      </w:pPr>
      <w:r>
        <w:rPr>
          <w:rFonts w:ascii="MS Gothic"/>
          <w:color w:val="B02045"/>
          <w:w w:val="110"/>
        </w:rPr>
        <w:t>@MockkBean</w:t>
      </w:r>
      <w:r>
        <w:rPr>
          <w:rFonts w:ascii="MS Gothic"/>
          <w:color w:val="B02045"/>
          <w:spacing w:val="-63"/>
          <w:w w:val="110"/>
        </w:rPr>
        <w:t xml:space="preserve"> </w:t>
      </w:r>
      <w:r>
        <w:rPr>
          <w:color w:val="333333"/>
          <w:w w:val="110"/>
        </w:rPr>
        <w:t xml:space="preserve">and </w:t>
      </w:r>
      <w:r>
        <w:rPr>
          <w:rFonts w:ascii="MS Gothic"/>
          <w:color w:val="B02045"/>
          <w:w w:val="110"/>
        </w:rPr>
        <w:t>@SpykBean</w:t>
      </w:r>
      <w:r>
        <w:rPr>
          <w:rFonts w:ascii="MS Gothic"/>
          <w:color w:val="B02045"/>
          <w:spacing w:val="-63"/>
          <w:w w:val="110"/>
        </w:rPr>
        <w:t xml:space="preserve"> </w:t>
      </w:r>
      <w:r>
        <w:rPr>
          <w:color w:val="333333"/>
          <w:w w:val="110"/>
        </w:rPr>
        <w:t>annotations.</w:t>
      </w:r>
    </w:p>
    <w:p w14:paraId="361C1475" w14:textId="77777777" w:rsidR="00A720EB" w:rsidRDefault="00A720EB">
      <w:pPr>
        <w:pStyle w:val="a3"/>
        <w:spacing w:before="6"/>
        <w:rPr>
          <w:sz w:val="30"/>
        </w:rPr>
      </w:pPr>
    </w:p>
    <w:p w14:paraId="6E498D8A" w14:textId="77777777" w:rsidR="00A720EB" w:rsidRDefault="0030286B">
      <w:pPr>
        <w:pStyle w:val="3"/>
        <w:numPr>
          <w:ilvl w:val="2"/>
          <w:numId w:val="68"/>
        </w:numPr>
        <w:tabs>
          <w:tab w:val="left" w:pos="1003"/>
        </w:tabs>
        <w:ind w:left="1002" w:hanging="879"/>
      </w:pPr>
      <w:bookmarkStart w:id="539" w:name="4.30.7._Resources"/>
      <w:bookmarkStart w:id="540" w:name="_Toc54423831"/>
      <w:bookmarkEnd w:id="539"/>
      <w:r>
        <w:rPr>
          <w:color w:val="333333"/>
          <w:w w:val="110"/>
        </w:rPr>
        <w:t>Resources</w:t>
      </w:r>
      <w:bookmarkEnd w:id="540"/>
    </w:p>
    <w:p w14:paraId="16C7DA73" w14:textId="77777777" w:rsidR="00A720EB" w:rsidRDefault="00A720EB">
      <w:pPr>
        <w:pStyle w:val="a3"/>
        <w:spacing w:before="3"/>
        <w:rPr>
          <w:rFonts w:ascii="Palatino Linotype"/>
          <w:b/>
          <w:sz w:val="23"/>
        </w:rPr>
      </w:pPr>
    </w:p>
    <w:p w14:paraId="0C14363D" w14:textId="77777777" w:rsidR="00A720EB" w:rsidRDefault="0030286B">
      <w:pPr>
        <w:pStyle w:val="4"/>
        <w:spacing w:before="1"/>
        <w:jc w:val="left"/>
      </w:pPr>
      <w:bookmarkStart w:id="541" w:name="Further_reading"/>
      <w:bookmarkEnd w:id="541"/>
      <w:r>
        <w:rPr>
          <w:color w:val="333333"/>
          <w:w w:val="115"/>
        </w:rPr>
        <w:t>Further reading</w:t>
      </w:r>
    </w:p>
    <w:p w14:paraId="7E716812" w14:textId="77777777" w:rsidR="00A720EB" w:rsidRDefault="00A720EB">
      <w:pPr>
        <w:pStyle w:val="a3"/>
        <w:spacing w:before="11"/>
        <w:rPr>
          <w:rFonts w:ascii="Palatino Linotype"/>
          <w:b/>
          <w:sz w:val="18"/>
        </w:rPr>
      </w:pPr>
    </w:p>
    <w:p w14:paraId="5FB2774B" w14:textId="77777777" w:rsidR="00A720EB" w:rsidRDefault="00E10349">
      <w:pPr>
        <w:pStyle w:val="a6"/>
        <w:numPr>
          <w:ilvl w:val="0"/>
          <w:numId w:val="27"/>
        </w:numPr>
        <w:tabs>
          <w:tab w:val="left" w:pos="485"/>
        </w:tabs>
        <w:rPr>
          <w:sz w:val="21"/>
        </w:rPr>
      </w:pPr>
      <w:hyperlink r:id="rId387">
        <w:r w:rsidR="0030286B">
          <w:rPr>
            <w:color w:val="418BCA"/>
            <w:w w:val="110"/>
            <w:sz w:val="21"/>
          </w:rPr>
          <w:t>Kotlin language</w:t>
        </w:r>
        <w:r w:rsidR="0030286B">
          <w:rPr>
            <w:color w:val="418BCA"/>
            <w:spacing w:val="7"/>
            <w:w w:val="110"/>
            <w:sz w:val="21"/>
          </w:rPr>
          <w:t xml:space="preserve"> </w:t>
        </w:r>
        <w:r w:rsidR="0030286B">
          <w:rPr>
            <w:color w:val="418BCA"/>
            <w:w w:val="110"/>
            <w:sz w:val="21"/>
          </w:rPr>
          <w:t>reference</w:t>
        </w:r>
      </w:hyperlink>
    </w:p>
    <w:p w14:paraId="5C9762B8" w14:textId="77777777" w:rsidR="00A720EB" w:rsidRDefault="00E10349">
      <w:pPr>
        <w:pStyle w:val="a6"/>
        <w:numPr>
          <w:ilvl w:val="0"/>
          <w:numId w:val="27"/>
        </w:numPr>
        <w:tabs>
          <w:tab w:val="left" w:pos="485"/>
        </w:tabs>
        <w:spacing w:before="189"/>
        <w:rPr>
          <w:sz w:val="21"/>
        </w:rPr>
      </w:pPr>
      <w:hyperlink r:id="rId388">
        <w:r w:rsidR="0030286B">
          <w:rPr>
            <w:color w:val="418BCA"/>
            <w:w w:val="110"/>
            <w:sz w:val="21"/>
          </w:rPr>
          <w:t xml:space="preserve">Kotlin Slack </w:t>
        </w:r>
      </w:hyperlink>
      <w:r w:rsidR="0030286B">
        <w:rPr>
          <w:color w:val="333333"/>
          <w:w w:val="110"/>
          <w:sz w:val="21"/>
        </w:rPr>
        <w:t>(with a dedicated #spring</w:t>
      </w:r>
      <w:r w:rsidR="0030286B">
        <w:rPr>
          <w:color w:val="333333"/>
          <w:spacing w:val="16"/>
          <w:w w:val="110"/>
          <w:sz w:val="21"/>
        </w:rPr>
        <w:t xml:space="preserve"> </w:t>
      </w:r>
      <w:r w:rsidR="0030286B">
        <w:rPr>
          <w:color w:val="333333"/>
          <w:w w:val="110"/>
          <w:sz w:val="21"/>
        </w:rPr>
        <w:t>channel)</w:t>
      </w:r>
    </w:p>
    <w:p w14:paraId="36B30AF4" w14:textId="77777777" w:rsidR="00A720EB" w:rsidRDefault="00E10349">
      <w:pPr>
        <w:pStyle w:val="a6"/>
        <w:numPr>
          <w:ilvl w:val="0"/>
          <w:numId w:val="27"/>
        </w:numPr>
        <w:tabs>
          <w:tab w:val="left" w:pos="485"/>
        </w:tabs>
        <w:spacing w:before="179"/>
        <w:rPr>
          <w:sz w:val="21"/>
        </w:rPr>
      </w:pPr>
      <w:hyperlink r:id="rId389">
        <w:r w:rsidR="0030286B">
          <w:rPr>
            <w:color w:val="418BCA"/>
            <w:w w:val="110"/>
            <w:sz w:val="21"/>
          </w:rPr>
          <w:t>Stackoverflow</w:t>
        </w:r>
        <w:r w:rsidR="0030286B">
          <w:rPr>
            <w:color w:val="418BCA"/>
            <w:spacing w:val="2"/>
            <w:w w:val="110"/>
            <w:sz w:val="21"/>
          </w:rPr>
          <w:t xml:space="preserve"> </w:t>
        </w:r>
        <w:r w:rsidR="0030286B">
          <w:rPr>
            <w:color w:val="418BCA"/>
            <w:w w:val="110"/>
            <w:sz w:val="21"/>
          </w:rPr>
          <w:t>with</w:t>
        </w:r>
        <w:r w:rsidR="0030286B">
          <w:rPr>
            <w:color w:val="418BCA"/>
            <w:spacing w:val="3"/>
            <w:w w:val="110"/>
            <w:sz w:val="21"/>
          </w:rPr>
          <w:t xml:space="preserve"> </w:t>
        </w:r>
      </w:hyperlink>
      <w:hyperlink r:id="rId390">
        <w:r w:rsidR="0030286B">
          <w:rPr>
            <w:rFonts w:ascii="MS Gothic" w:hAnsi="MS Gothic"/>
            <w:color w:val="B02045"/>
            <w:w w:val="110"/>
            <w:sz w:val="21"/>
          </w:rPr>
          <w:t>spring</w:t>
        </w:r>
        <w:r w:rsidR="0030286B">
          <w:rPr>
            <w:rFonts w:ascii="MS Gothic" w:hAnsi="MS Gothic"/>
            <w:color w:val="B02045"/>
            <w:spacing w:val="-62"/>
            <w:w w:val="110"/>
            <w:sz w:val="21"/>
          </w:rPr>
          <w:t xml:space="preserve"> </w:t>
        </w:r>
      </w:hyperlink>
      <w:hyperlink r:id="rId391">
        <w:r w:rsidR="0030286B">
          <w:rPr>
            <w:color w:val="418BCA"/>
            <w:w w:val="110"/>
            <w:sz w:val="21"/>
          </w:rPr>
          <w:t>and</w:t>
        </w:r>
        <w:r w:rsidR="0030286B">
          <w:rPr>
            <w:color w:val="418BCA"/>
            <w:spacing w:val="2"/>
            <w:w w:val="110"/>
            <w:sz w:val="21"/>
          </w:rPr>
          <w:t xml:space="preserve"> </w:t>
        </w:r>
      </w:hyperlink>
      <w:hyperlink r:id="rId392">
        <w:r w:rsidR="0030286B">
          <w:rPr>
            <w:rFonts w:ascii="MS Gothic" w:hAnsi="MS Gothic"/>
            <w:color w:val="B02045"/>
            <w:w w:val="110"/>
            <w:sz w:val="21"/>
          </w:rPr>
          <w:t>kotlin</w:t>
        </w:r>
        <w:r w:rsidR="0030286B">
          <w:rPr>
            <w:rFonts w:ascii="MS Gothic" w:hAnsi="MS Gothic"/>
            <w:color w:val="B02045"/>
            <w:spacing w:val="-63"/>
            <w:w w:val="110"/>
            <w:sz w:val="21"/>
          </w:rPr>
          <w:t xml:space="preserve"> </w:t>
        </w:r>
      </w:hyperlink>
      <w:hyperlink r:id="rId393">
        <w:r w:rsidR="0030286B">
          <w:rPr>
            <w:color w:val="418BCA"/>
            <w:w w:val="110"/>
            <w:sz w:val="21"/>
          </w:rPr>
          <w:t>tags</w:t>
        </w:r>
      </w:hyperlink>
    </w:p>
    <w:p w14:paraId="0DB811E1" w14:textId="77777777" w:rsidR="00A720EB" w:rsidRDefault="00E10349">
      <w:pPr>
        <w:pStyle w:val="a6"/>
        <w:numPr>
          <w:ilvl w:val="0"/>
          <w:numId w:val="27"/>
        </w:numPr>
        <w:tabs>
          <w:tab w:val="left" w:pos="485"/>
        </w:tabs>
        <w:spacing w:before="177"/>
        <w:rPr>
          <w:sz w:val="21"/>
        </w:rPr>
      </w:pPr>
      <w:hyperlink r:id="rId394">
        <w:r w:rsidR="0030286B">
          <w:rPr>
            <w:color w:val="418BCA"/>
            <w:w w:val="110"/>
            <w:sz w:val="21"/>
          </w:rPr>
          <w:t>Try Kotlin in your</w:t>
        </w:r>
        <w:r w:rsidR="0030286B">
          <w:rPr>
            <w:color w:val="418BCA"/>
            <w:spacing w:val="10"/>
            <w:w w:val="110"/>
            <w:sz w:val="21"/>
          </w:rPr>
          <w:t xml:space="preserve"> </w:t>
        </w:r>
        <w:r w:rsidR="0030286B">
          <w:rPr>
            <w:color w:val="418BCA"/>
            <w:w w:val="110"/>
            <w:sz w:val="21"/>
          </w:rPr>
          <w:t>browser</w:t>
        </w:r>
      </w:hyperlink>
    </w:p>
    <w:p w14:paraId="6992930B" w14:textId="77777777" w:rsidR="00A720EB" w:rsidRDefault="00E10349">
      <w:pPr>
        <w:pStyle w:val="a6"/>
        <w:numPr>
          <w:ilvl w:val="0"/>
          <w:numId w:val="27"/>
        </w:numPr>
        <w:tabs>
          <w:tab w:val="left" w:pos="485"/>
        </w:tabs>
        <w:spacing w:before="190"/>
        <w:rPr>
          <w:sz w:val="21"/>
        </w:rPr>
      </w:pPr>
      <w:hyperlink r:id="rId395">
        <w:r w:rsidR="0030286B">
          <w:rPr>
            <w:color w:val="418BCA"/>
            <w:w w:val="110"/>
            <w:sz w:val="21"/>
          </w:rPr>
          <w:t>Kotlin</w:t>
        </w:r>
        <w:r w:rsidR="0030286B">
          <w:rPr>
            <w:color w:val="418BCA"/>
            <w:spacing w:val="3"/>
            <w:w w:val="110"/>
            <w:sz w:val="21"/>
          </w:rPr>
          <w:t xml:space="preserve"> </w:t>
        </w:r>
        <w:r w:rsidR="0030286B">
          <w:rPr>
            <w:color w:val="418BCA"/>
            <w:w w:val="110"/>
            <w:sz w:val="21"/>
          </w:rPr>
          <w:t>blog</w:t>
        </w:r>
      </w:hyperlink>
    </w:p>
    <w:p w14:paraId="371FF094" w14:textId="77777777" w:rsidR="00A720EB" w:rsidRDefault="00E10349">
      <w:pPr>
        <w:pStyle w:val="a6"/>
        <w:numPr>
          <w:ilvl w:val="0"/>
          <w:numId w:val="27"/>
        </w:numPr>
        <w:tabs>
          <w:tab w:val="left" w:pos="485"/>
        </w:tabs>
        <w:spacing w:before="189"/>
        <w:rPr>
          <w:sz w:val="21"/>
        </w:rPr>
      </w:pPr>
      <w:hyperlink r:id="rId396">
        <w:r w:rsidR="0030286B">
          <w:rPr>
            <w:color w:val="418BCA"/>
            <w:w w:val="110"/>
            <w:sz w:val="21"/>
          </w:rPr>
          <w:t>Awesome</w:t>
        </w:r>
        <w:r w:rsidR="0030286B">
          <w:rPr>
            <w:color w:val="418BCA"/>
            <w:spacing w:val="2"/>
            <w:w w:val="110"/>
            <w:sz w:val="21"/>
          </w:rPr>
          <w:t xml:space="preserve"> </w:t>
        </w:r>
        <w:r w:rsidR="0030286B">
          <w:rPr>
            <w:color w:val="418BCA"/>
            <w:w w:val="110"/>
            <w:sz w:val="21"/>
          </w:rPr>
          <w:t>Kotlin</w:t>
        </w:r>
      </w:hyperlink>
    </w:p>
    <w:p w14:paraId="5F5D209A" w14:textId="77777777" w:rsidR="00A720EB" w:rsidRDefault="00E10349">
      <w:pPr>
        <w:pStyle w:val="a6"/>
        <w:numPr>
          <w:ilvl w:val="0"/>
          <w:numId w:val="27"/>
        </w:numPr>
        <w:tabs>
          <w:tab w:val="left" w:pos="485"/>
        </w:tabs>
        <w:spacing w:before="190"/>
        <w:rPr>
          <w:sz w:val="21"/>
        </w:rPr>
      </w:pPr>
      <w:hyperlink r:id="rId397">
        <w:r w:rsidR="0030286B">
          <w:rPr>
            <w:color w:val="418BCA"/>
            <w:w w:val="110"/>
            <w:sz w:val="21"/>
          </w:rPr>
          <w:t>Tutorial: building web applications with Spring Boot and</w:t>
        </w:r>
        <w:r w:rsidR="0030286B">
          <w:rPr>
            <w:color w:val="418BCA"/>
            <w:spacing w:val="22"/>
            <w:w w:val="110"/>
            <w:sz w:val="21"/>
          </w:rPr>
          <w:t xml:space="preserve"> </w:t>
        </w:r>
        <w:r w:rsidR="0030286B">
          <w:rPr>
            <w:color w:val="418BCA"/>
            <w:w w:val="110"/>
            <w:sz w:val="21"/>
          </w:rPr>
          <w:t>Kotlin</w:t>
        </w:r>
      </w:hyperlink>
    </w:p>
    <w:p w14:paraId="12B88EB0" w14:textId="77777777" w:rsidR="00A720EB" w:rsidRDefault="00E10349">
      <w:pPr>
        <w:pStyle w:val="a6"/>
        <w:numPr>
          <w:ilvl w:val="0"/>
          <w:numId w:val="27"/>
        </w:numPr>
        <w:tabs>
          <w:tab w:val="left" w:pos="485"/>
        </w:tabs>
        <w:spacing w:before="189"/>
        <w:rPr>
          <w:sz w:val="21"/>
        </w:rPr>
      </w:pPr>
      <w:hyperlink r:id="rId398">
        <w:r w:rsidR="0030286B">
          <w:rPr>
            <w:color w:val="418BCA"/>
            <w:w w:val="110"/>
            <w:sz w:val="21"/>
          </w:rPr>
          <w:t>Developing Spring Boot applications with</w:t>
        </w:r>
        <w:r w:rsidR="0030286B">
          <w:rPr>
            <w:color w:val="418BCA"/>
            <w:spacing w:val="13"/>
            <w:w w:val="110"/>
            <w:sz w:val="21"/>
          </w:rPr>
          <w:t xml:space="preserve"> </w:t>
        </w:r>
        <w:r w:rsidR="0030286B">
          <w:rPr>
            <w:color w:val="418BCA"/>
            <w:w w:val="110"/>
            <w:sz w:val="21"/>
          </w:rPr>
          <w:t>Kotlin</w:t>
        </w:r>
      </w:hyperlink>
    </w:p>
    <w:p w14:paraId="4D46A824" w14:textId="77777777" w:rsidR="00A720EB" w:rsidRDefault="00E10349">
      <w:pPr>
        <w:pStyle w:val="a6"/>
        <w:numPr>
          <w:ilvl w:val="0"/>
          <w:numId w:val="27"/>
        </w:numPr>
        <w:tabs>
          <w:tab w:val="left" w:pos="485"/>
        </w:tabs>
        <w:spacing w:before="189"/>
        <w:rPr>
          <w:sz w:val="21"/>
        </w:rPr>
      </w:pPr>
      <w:hyperlink r:id="rId399">
        <w:r w:rsidR="0030286B">
          <w:rPr>
            <w:color w:val="418BCA"/>
            <w:w w:val="110"/>
            <w:sz w:val="21"/>
          </w:rPr>
          <w:t>A Geospatial Messenger with Kotlin, Spring Boot and</w:t>
        </w:r>
        <w:r w:rsidR="0030286B">
          <w:rPr>
            <w:color w:val="418BCA"/>
            <w:spacing w:val="23"/>
            <w:w w:val="110"/>
            <w:sz w:val="21"/>
          </w:rPr>
          <w:t xml:space="preserve"> </w:t>
        </w:r>
        <w:r w:rsidR="0030286B">
          <w:rPr>
            <w:color w:val="418BCA"/>
            <w:w w:val="110"/>
            <w:sz w:val="21"/>
          </w:rPr>
          <w:t>PostgreSQL</w:t>
        </w:r>
      </w:hyperlink>
    </w:p>
    <w:p w14:paraId="2AAD3B61" w14:textId="77777777" w:rsidR="00A720EB" w:rsidRDefault="00E10349">
      <w:pPr>
        <w:pStyle w:val="a6"/>
        <w:numPr>
          <w:ilvl w:val="0"/>
          <w:numId w:val="27"/>
        </w:numPr>
        <w:tabs>
          <w:tab w:val="left" w:pos="485"/>
        </w:tabs>
        <w:spacing w:before="190"/>
        <w:rPr>
          <w:sz w:val="21"/>
        </w:rPr>
      </w:pPr>
      <w:hyperlink r:id="rId400">
        <w:r w:rsidR="0030286B">
          <w:rPr>
            <w:color w:val="418BCA"/>
            <w:w w:val="110"/>
            <w:sz w:val="21"/>
          </w:rPr>
          <w:t>Introducing Kotlin support in Spring Framework</w:t>
        </w:r>
        <w:r w:rsidR="0030286B">
          <w:rPr>
            <w:color w:val="418BCA"/>
            <w:spacing w:val="27"/>
            <w:w w:val="110"/>
            <w:sz w:val="21"/>
          </w:rPr>
          <w:t xml:space="preserve"> </w:t>
        </w:r>
        <w:r w:rsidR="0030286B">
          <w:rPr>
            <w:color w:val="418BCA"/>
            <w:w w:val="110"/>
            <w:sz w:val="21"/>
          </w:rPr>
          <w:t>5.0</w:t>
        </w:r>
      </w:hyperlink>
    </w:p>
    <w:p w14:paraId="52CBCAF5" w14:textId="77777777" w:rsidR="00A720EB" w:rsidRDefault="00E10349">
      <w:pPr>
        <w:pStyle w:val="a6"/>
        <w:numPr>
          <w:ilvl w:val="0"/>
          <w:numId w:val="27"/>
        </w:numPr>
        <w:tabs>
          <w:tab w:val="left" w:pos="485"/>
        </w:tabs>
        <w:spacing w:before="189"/>
        <w:rPr>
          <w:sz w:val="21"/>
        </w:rPr>
      </w:pPr>
      <w:hyperlink r:id="rId401">
        <w:r w:rsidR="0030286B">
          <w:rPr>
            <w:color w:val="418BCA"/>
            <w:w w:val="110"/>
            <w:sz w:val="21"/>
          </w:rPr>
          <w:t xml:space="preserve">Spring Framework 5 Kotlin APIs, the </w:t>
        </w:r>
        <w:proofErr w:type="gramStart"/>
        <w:r w:rsidR="0030286B">
          <w:rPr>
            <w:color w:val="418BCA"/>
            <w:w w:val="110"/>
            <w:sz w:val="21"/>
          </w:rPr>
          <w:t>functional  way</w:t>
        </w:r>
        <w:proofErr w:type="gramEnd"/>
      </w:hyperlink>
    </w:p>
    <w:p w14:paraId="6F360739" w14:textId="77777777" w:rsidR="00A720EB" w:rsidRDefault="00A720EB">
      <w:pPr>
        <w:pStyle w:val="a3"/>
        <w:spacing w:before="6"/>
        <w:rPr>
          <w:sz w:val="31"/>
        </w:rPr>
      </w:pPr>
    </w:p>
    <w:p w14:paraId="06BFF6F8" w14:textId="77777777" w:rsidR="00A720EB" w:rsidRDefault="0030286B">
      <w:pPr>
        <w:pStyle w:val="4"/>
        <w:jc w:val="left"/>
      </w:pPr>
      <w:r>
        <w:rPr>
          <w:color w:val="333333"/>
          <w:w w:val="115"/>
        </w:rPr>
        <w:t>Examples</w:t>
      </w:r>
    </w:p>
    <w:p w14:paraId="0D7232E2" w14:textId="77777777" w:rsidR="00A720EB" w:rsidRDefault="00A720EB">
      <w:pPr>
        <w:pStyle w:val="a3"/>
        <w:spacing w:before="11"/>
        <w:rPr>
          <w:rFonts w:ascii="Palatino Linotype"/>
          <w:b/>
          <w:sz w:val="18"/>
        </w:rPr>
      </w:pPr>
    </w:p>
    <w:p w14:paraId="7116B0B6" w14:textId="77777777" w:rsidR="00A720EB" w:rsidRDefault="00E10349">
      <w:pPr>
        <w:pStyle w:val="a6"/>
        <w:numPr>
          <w:ilvl w:val="0"/>
          <w:numId w:val="27"/>
        </w:numPr>
        <w:tabs>
          <w:tab w:val="left" w:pos="485"/>
        </w:tabs>
        <w:spacing w:before="1"/>
        <w:rPr>
          <w:sz w:val="21"/>
        </w:rPr>
      </w:pPr>
      <w:hyperlink r:id="rId402">
        <w:r w:rsidR="0030286B">
          <w:rPr>
            <w:color w:val="418BCA"/>
            <w:w w:val="110"/>
            <w:sz w:val="21"/>
          </w:rPr>
          <w:t>spring-boot-kotlin-demo</w:t>
        </w:r>
      </w:hyperlink>
      <w:r w:rsidR="0030286B">
        <w:rPr>
          <w:color w:val="333333"/>
          <w:w w:val="110"/>
          <w:sz w:val="21"/>
        </w:rPr>
        <w:t xml:space="preserve">: regular Spring Boot + Spring Data </w:t>
      </w:r>
      <w:r w:rsidR="0030286B">
        <w:rPr>
          <w:color w:val="333333"/>
          <w:spacing w:val="-4"/>
          <w:w w:val="110"/>
          <w:sz w:val="21"/>
        </w:rPr>
        <w:t>JPA</w:t>
      </w:r>
      <w:r w:rsidR="0030286B">
        <w:rPr>
          <w:color w:val="333333"/>
          <w:spacing w:val="18"/>
          <w:w w:val="110"/>
          <w:sz w:val="21"/>
        </w:rPr>
        <w:t xml:space="preserve"> </w:t>
      </w:r>
      <w:r w:rsidR="0030286B">
        <w:rPr>
          <w:color w:val="333333"/>
          <w:w w:val="110"/>
          <w:sz w:val="21"/>
        </w:rPr>
        <w:t>project</w:t>
      </w:r>
    </w:p>
    <w:p w14:paraId="0E862131" w14:textId="77777777" w:rsidR="00A720EB" w:rsidRDefault="00E10349">
      <w:pPr>
        <w:pStyle w:val="a6"/>
        <w:numPr>
          <w:ilvl w:val="0"/>
          <w:numId w:val="27"/>
        </w:numPr>
        <w:tabs>
          <w:tab w:val="left" w:pos="485"/>
        </w:tabs>
        <w:spacing w:before="189"/>
        <w:rPr>
          <w:sz w:val="21"/>
        </w:rPr>
      </w:pPr>
      <w:hyperlink r:id="rId403">
        <w:r w:rsidR="0030286B">
          <w:rPr>
            <w:color w:val="418BCA"/>
            <w:w w:val="110"/>
            <w:sz w:val="21"/>
          </w:rPr>
          <w:t>mixit</w:t>
        </w:r>
      </w:hyperlink>
      <w:r w:rsidR="0030286B">
        <w:rPr>
          <w:color w:val="333333"/>
          <w:w w:val="110"/>
          <w:sz w:val="21"/>
        </w:rPr>
        <w:t xml:space="preserve">: Spring Boot 2 + </w:t>
      </w:r>
      <w:r w:rsidR="0030286B">
        <w:rPr>
          <w:color w:val="333333"/>
          <w:spacing w:val="-3"/>
          <w:w w:val="110"/>
          <w:sz w:val="21"/>
        </w:rPr>
        <w:t xml:space="preserve">WebFlux </w:t>
      </w:r>
      <w:r w:rsidR="0030286B">
        <w:rPr>
          <w:color w:val="333333"/>
          <w:w w:val="110"/>
          <w:sz w:val="21"/>
        </w:rPr>
        <w:t>+ Reactive Spring Data</w:t>
      </w:r>
      <w:r w:rsidR="0030286B">
        <w:rPr>
          <w:color w:val="333333"/>
          <w:spacing w:val="34"/>
          <w:w w:val="110"/>
          <w:sz w:val="21"/>
        </w:rPr>
        <w:t xml:space="preserve"> </w:t>
      </w:r>
      <w:r w:rsidR="0030286B">
        <w:rPr>
          <w:color w:val="333333"/>
          <w:w w:val="110"/>
          <w:sz w:val="21"/>
        </w:rPr>
        <w:t>MongoDB</w:t>
      </w:r>
    </w:p>
    <w:p w14:paraId="4AB41E01" w14:textId="77777777" w:rsidR="00A720EB" w:rsidRDefault="00E10349">
      <w:pPr>
        <w:pStyle w:val="a6"/>
        <w:numPr>
          <w:ilvl w:val="0"/>
          <w:numId w:val="27"/>
        </w:numPr>
        <w:tabs>
          <w:tab w:val="left" w:pos="485"/>
        </w:tabs>
        <w:spacing w:before="189" w:line="307" w:lineRule="auto"/>
        <w:ind w:right="125"/>
        <w:rPr>
          <w:sz w:val="21"/>
        </w:rPr>
      </w:pPr>
      <w:hyperlink r:id="rId404">
        <w:r w:rsidR="0030286B">
          <w:rPr>
            <w:color w:val="418BCA"/>
            <w:w w:val="110"/>
            <w:sz w:val="21"/>
          </w:rPr>
          <w:t>spring-kotlin-fullstack</w:t>
        </w:r>
      </w:hyperlink>
      <w:r w:rsidR="0030286B">
        <w:rPr>
          <w:color w:val="333333"/>
          <w:w w:val="110"/>
          <w:sz w:val="21"/>
        </w:rPr>
        <w:t xml:space="preserve">: </w:t>
      </w:r>
      <w:r w:rsidR="0030286B">
        <w:rPr>
          <w:color w:val="333333"/>
          <w:spacing w:val="-3"/>
          <w:w w:val="110"/>
          <w:sz w:val="21"/>
        </w:rPr>
        <w:t xml:space="preserve">WebFlux </w:t>
      </w:r>
      <w:r w:rsidR="0030286B">
        <w:rPr>
          <w:color w:val="333333"/>
          <w:w w:val="110"/>
          <w:sz w:val="21"/>
        </w:rPr>
        <w:t>Kotlin fullstack example with Kotlin2js for frontend instead of JavaScript or</w:t>
      </w:r>
      <w:r w:rsidR="0030286B">
        <w:rPr>
          <w:color w:val="333333"/>
          <w:spacing w:val="5"/>
          <w:w w:val="110"/>
          <w:sz w:val="21"/>
        </w:rPr>
        <w:t xml:space="preserve"> </w:t>
      </w:r>
      <w:r w:rsidR="0030286B">
        <w:rPr>
          <w:color w:val="333333"/>
          <w:w w:val="110"/>
          <w:sz w:val="21"/>
        </w:rPr>
        <w:t>TypeScript</w:t>
      </w:r>
    </w:p>
    <w:p w14:paraId="7AEFF7F5" w14:textId="77777777" w:rsidR="00A720EB" w:rsidRDefault="00E10349">
      <w:pPr>
        <w:pStyle w:val="a6"/>
        <w:numPr>
          <w:ilvl w:val="0"/>
          <w:numId w:val="27"/>
        </w:numPr>
        <w:tabs>
          <w:tab w:val="left" w:pos="485"/>
        </w:tabs>
        <w:spacing w:before="121"/>
        <w:rPr>
          <w:sz w:val="21"/>
        </w:rPr>
      </w:pPr>
      <w:hyperlink r:id="rId405">
        <w:r w:rsidR="0030286B">
          <w:rPr>
            <w:color w:val="418BCA"/>
            <w:w w:val="110"/>
            <w:sz w:val="21"/>
          </w:rPr>
          <w:t>spring-petclinic-kotlin</w:t>
        </w:r>
      </w:hyperlink>
      <w:r w:rsidR="0030286B">
        <w:rPr>
          <w:color w:val="333333"/>
          <w:w w:val="110"/>
          <w:sz w:val="21"/>
        </w:rPr>
        <w:t>: Kotlin version of the Spring PetClinic Sample</w:t>
      </w:r>
      <w:r w:rsidR="0030286B">
        <w:rPr>
          <w:color w:val="333333"/>
          <w:spacing w:val="28"/>
          <w:w w:val="110"/>
          <w:sz w:val="21"/>
        </w:rPr>
        <w:t xml:space="preserve"> </w:t>
      </w:r>
      <w:r w:rsidR="0030286B">
        <w:rPr>
          <w:color w:val="333333"/>
          <w:w w:val="110"/>
          <w:sz w:val="21"/>
        </w:rPr>
        <w:t>Application</w:t>
      </w:r>
    </w:p>
    <w:p w14:paraId="63086BE9" w14:textId="77777777" w:rsidR="00A720EB" w:rsidRDefault="00E10349">
      <w:pPr>
        <w:pStyle w:val="a6"/>
        <w:numPr>
          <w:ilvl w:val="0"/>
          <w:numId w:val="27"/>
        </w:numPr>
        <w:tabs>
          <w:tab w:val="left" w:pos="485"/>
        </w:tabs>
        <w:spacing w:before="190"/>
        <w:rPr>
          <w:sz w:val="21"/>
        </w:rPr>
      </w:pPr>
      <w:hyperlink r:id="rId406">
        <w:r w:rsidR="0030286B">
          <w:rPr>
            <w:color w:val="418BCA"/>
            <w:w w:val="110"/>
            <w:sz w:val="21"/>
          </w:rPr>
          <w:t>spring-kotlin-deepdive</w:t>
        </w:r>
      </w:hyperlink>
      <w:r w:rsidR="0030286B">
        <w:rPr>
          <w:color w:val="333333"/>
          <w:w w:val="110"/>
          <w:sz w:val="21"/>
        </w:rPr>
        <w:t xml:space="preserve">: a step </w:t>
      </w:r>
      <w:r w:rsidR="0030286B">
        <w:rPr>
          <w:color w:val="333333"/>
          <w:spacing w:val="-3"/>
          <w:w w:val="110"/>
          <w:sz w:val="21"/>
        </w:rPr>
        <w:t xml:space="preserve">by </w:t>
      </w:r>
      <w:r w:rsidR="0030286B">
        <w:rPr>
          <w:color w:val="333333"/>
          <w:w w:val="110"/>
          <w:sz w:val="21"/>
        </w:rPr>
        <w:t>step migration for Boot 1.0 + Java to Boot 2.0 +</w:t>
      </w:r>
      <w:r w:rsidR="0030286B">
        <w:rPr>
          <w:color w:val="333333"/>
          <w:spacing w:val="9"/>
          <w:w w:val="110"/>
          <w:sz w:val="21"/>
        </w:rPr>
        <w:t xml:space="preserve"> </w:t>
      </w:r>
      <w:r w:rsidR="0030286B">
        <w:rPr>
          <w:color w:val="333333"/>
          <w:w w:val="110"/>
          <w:sz w:val="21"/>
        </w:rPr>
        <w:t>Kotlin</w:t>
      </w:r>
    </w:p>
    <w:p w14:paraId="5520B7DD" w14:textId="77777777" w:rsidR="00A720EB" w:rsidRDefault="00E10349">
      <w:pPr>
        <w:pStyle w:val="a6"/>
        <w:numPr>
          <w:ilvl w:val="0"/>
          <w:numId w:val="27"/>
        </w:numPr>
        <w:tabs>
          <w:tab w:val="left" w:pos="485"/>
        </w:tabs>
        <w:spacing w:before="189"/>
        <w:rPr>
          <w:sz w:val="21"/>
        </w:rPr>
      </w:pPr>
      <w:hyperlink r:id="rId407">
        <w:r w:rsidR="0030286B">
          <w:rPr>
            <w:color w:val="418BCA"/>
            <w:w w:val="110"/>
            <w:sz w:val="21"/>
          </w:rPr>
          <w:t>spring-boot-coroutines-demo</w:t>
        </w:r>
      </w:hyperlink>
      <w:r w:rsidR="0030286B">
        <w:rPr>
          <w:color w:val="333333"/>
          <w:w w:val="110"/>
          <w:sz w:val="21"/>
        </w:rPr>
        <w:t>: Coroutines sample</w:t>
      </w:r>
      <w:r w:rsidR="0030286B">
        <w:rPr>
          <w:color w:val="333333"/>
          <w:spacing w:val="7"/>
          <w:w w:val="110"/>
          <w:sz w:val="21"/>
        </w:rPr>
        <w:t xml:space="preserve"> </w:t>
      </w:r>
      <w:r w:rsidR="0030286B">
        <w:rPr>
          <w:color w:val="333333"/>
          <w:w w:val="110"/>
          <w:sz w:val="21"/>
        </w:rPr>
        <w:t>project</w:t>
      </w:r>
    </w:p>
    <w:p w14:paraId="633A7A8A" w14:textId="77777777" w:rsidR="00A720EB" w:rsidRDefault="00A720EB">
      <w:pPr>
        <w:pStyle w:val="a3"/>
        <w:spacing w:before="9"/>
        <w:rPr>
          <w:sz w:val="31"/>
        </w:rPr>
      </w:pPr>
    </w:p>
    <w:p w14:paraId="557BF77E" w14:textId="77777777" w:rsidR="00A720EB" w:rsidRDefault="0030286B">
      <w:pPr>
        <w:pStyle w:val="2"/>
        <w:numPr>
          <w:ilvl w:val="1"/>
          <w:numId w:val="68"/>
        </w:numPr>
        <w:tabs>
          <w:tab w:val="left" w:pos="1034"/>
        </w:tabs>
        <w:ind w:left="1033" w:hanging="910"/>
      </w:pPr>
      <w:bookmarkStart w:id="542" w:name="4.31._Building_Container_Images"/>
      <w:bookmarkStart w:id="543" w:name="_Toc54423832"/>
      <w:bookmarkEnd w:id="542"/>
      <w:r>
        <w:rPr>
          <w:color w:val="333333"/>
          <w:w w:val="110"/>
        </w:rPr>
        <w:t>Building Container</w:t>
      </w:r>
      <w:r>
        <w:rPr>
          <w:color w:val="333333"/>
          <w:spacing w:val="-17"/>
          <w:w w:val="110"/>
        </w:rPr>
        <w:t xml:space="preserve"> </w:t>
      </w:r>
      <w:r>
        <w:rPr>
          <w:color w:val="333333"/>
          <w:w w:val="110"/>
        </w:rPr>
        <w:t>Images</w:t>
      </w:r>
      <w:bookmarkEnd w:id="543"/>
    </w:p>
    <w:p w14:paraId="0FD2842E" w14:textId="77777777" w:rsidR="00A720EB" w:rsidRDefault="0030286B">
      <w:pPr>
        <w:pStyle w:val="a3"/>
        <w:spacing w:before="253" w:line="307" w:lineRule="auto"/>
        <w:ind w:left="124" w:right="122"/>
        <w:jc w:val="both"/>
      </w:pPr>
      <w:r>
        <w:rPr>
          <w:color w:val="333333"/>
          <w:w w:val="110"/>
        </w:rPr>
        <w:t xml:space="preserve">Spring Boot applications can be containerized either by </w:t>
      </w:r>
      <w:hyperlink w:anchor="_bookmark373" w:history="1">
        <w:r>
          <w:rPr>
            <w:color w:val="418BCA"/>
            <w:w w:val="110"/>
          </w:rPr>
          <w:t>packaging them into Docker images</w:t>
        </w:r>
      </w:hyperlink>
      <w:r>
        <w:rPr>
          <w:color w:val="333333"/>
          <w:w w:val="110"/>
        </w:rPr>
        <w:t xml:space="preserve">, or by </w:t>
      </w:r>
      <w:hyperlink w:anchor="_bookmark376" w:history="1">
        <w:r>
          <w:rPr>
            <w:color w:val="418BCA"/>
            <w:w w:val="110"/>
          </w:rPr>
          <w:t>using Buildpacks to create docker compatible container images that you can run anywhere</w:t>
        </w:r>
      </w:hyperlink>
      <w:r>
        <w:rPr>
          <w:color w:val="333333"/>
          <w:w w:val="110"/>
        </w:rPr>
        <w:t>.</w:t>
      </w:r>
    </w:p>
    <w:p w14:paraId="1A257F4D" w14:textId="77777777" w:rsidR="00A720EB" w:rsidRDefault="00A720EB">
      <w:pPr>
        <w:pStyle w:val="a3"/>
        <w:spacing w:before="9"/>
        <w:rPr>
          <w:sz w:val="25"/>
        </w:rPr>
      </w:pPr>
    </w:p>
    <w:p w14:paraId="2B91755B" w14:textId="77777777" w:rsidR="00A720EB" w:rsidRDefault="0030286B">
      <w:pPr>
        <w:pStyle w:val="3"/>
        <w:numPr>
          <w:ilvl w:val="2"/>
          <w:numId w:val="68"/>
        </w:numPr>
        <w:tabs>
          <w:tab w:val="left" w:pos="1003"/>
        </w:tabs>
        <w:ind w:left="1002" w:hanging="879"/>
      </w:pPr>
      <w:bookmarkStart w:id="544" w:name="4.31.1._Building_Docker_images"/>
      <w:bookmarkStart w:id="545" w:name="_Toc54423833"/>
      <w:bookmarkEnd w:id="544"/>
      <w:r>
        <w:rPr>
          <w:color w:val="333333"/>
          <w:w w:val="110"/>
        </w:rPr>
        <w:t>Building Docker</w:t>
      </w:r>
      <w:r>
        <w:rPr>
          <w:color w:val="333333"/>
          <w:spacing w:val="-13"/>
          <w:w w:val="110"/>
        </w:rPr>
        <w:t xml:space="preserve"> </w:t>
      </w:r>
      <w:r>
        <w:rPr>
          <w:color w:val="333333"/>
          <w:w w:val="110"/>
        </w:rPr>
        <w:t>images</w:t>
      </w:r>
      <w:bookmarkEnd w:id="545"/>
    </w:p>
    <w:p w14:paraId="064FE95F" w14:textId="77777777" w:rsidR="00A720EB" w:rsidRDefault="0030286B">
      <w:pPr>
        <w:pStyle w:val="a3"/>
        <w:spacing w:before="254" w:line="307" w:lineRule="auto"/>
        <w:ind w:left="124" w:right="130"/>
        <w:jc w:val="both"/>
      </w:pPr>
      <w:r>
        <w:rPr>
          <w:color w:val="333333"/>
          <w:w w:val="110"/>
        </w:rPr>
        <w:t xml:space="preserve">A typical Spring Boot fat jar can be converted into a Docker image </w:t>
      </w:r>
      <w:r>
        <w:rPr>
          <w:color w:val="333333"/>
          <w:spacing w:val="-3"/>
          <w:w w:val="110"/>
        </w:rPr>
        <w:t xml:space="preserve">by </w:t>
      </w:r>
      <w:r>
        <w:rPr>
          <w:color w:val="333333"/>
          <w:w w:val="110"/>
        </w:rPr>
        <w:t xml:space="preserve">adding just a few lines to a Dockerfile that can be used to build the image. However, there are various downsides to copying   and running the fat jar as is in the </w:t>
      </w:r>
      <w:proofErr w:type="gramStart"/>
      <w:r>
        <w:rPr>
          <w:color w:val="333333"/>
          <w:w w:val="110"/>
        </w:rPr>
        <w:t>docker  image</w:t>
      </w:r>
      <w:proofErr w:type="gramEnd"/>
      <w:r>
        <w:rPr>
          <w:color w:val="333333"/>
          <w:w w:val="110"/>
        </w:rPr>
        <w:t xml:space="preserve">. There’s always a </w:t>
      </w:r>
      <w:proofErr w:type="gramStart"/>
      <w:r>
        <w:rPr>
          <w:color w:val="333333"/>
          <w:w w:val="110"/>
        </w:rPr>
        <w:t>certain  amount</w:t>
      </w:r>
      <w:proofErr w:type="gramEnd"/>
      <w:r>
        <w:rPr>
          <w:color w:val="333333"/>
          <w:w w:val="110"/>
        </w:rPr>
        <w:t xml:space="preserve"> of  overhead  when running a fat jar without unpacking it, and in a containerized environment this can be noticeable. The other issue is that putting your application’s code and all its dependencies in one layer</w:t>
      </w:r>
      <w:r>
        <w:rPr>
          <w:color w:val="333333"/>
          <w:spacing w:val="15"/>
          <w:w w:val="110"/>
        </w:rPr>
        <w:t xml:space="preserve"> </w:t>
      </w:r>
      <w:r>
        <w:rPr>
          <w:color w:val="333333"/>
          <w:w w:val="110"/>
        </w:rPr>
        <w:t>in</w:t>
      </w:r>
      <w:r>
        <w:rPr>
          <w:color w:val="333333"/>
          <w:spacing w:val="15"/>
          <w:w w:val="110"/>
        </w:rPr>
        <w:t xml:space="preserve"> </w:t>
      </w:r>
      <w:r>
        <w:rPr>
          <w:color w:val="333333"/>
          <w:w w:val="110"/>
        </w:rPr>
        <w:t>the</w:t>
      </w:r>
      <w:r>
        <w:rPr>
          <w:color w:val="333333"/>
          <w:spacing w:val="17"/>
          <w:w w:val="110"/>
        </w:rPr>
        <w:t xml:space="preserve"> </w:t>
      </w:r>
      <w:r>
        <w:rPr>
          <w:color w:val="333333"/>
          <w:w w:val="110"/>
        </w:rPr>
        <w:t>Docker</w:t>
      </w:r>
      <w:r>
        <w:rPr>
          <w:color w:val="333333"/>
          <w:spacing w:val="16"/>
          <w:w w:val="110"/>
        </w:rPr>
        <w:t xml:space="preserve"> </w:t>
      </w:r>
      <w:r>
        <w:rPr>
          <w:color w:val="333333"/>
          <w:w w:val="110"/>
        </w:rPr>
        <w:t>image</w:t>
      </w:r>
      <w:r>
        <w:rPr>
          <w:color w:val="333333"/>
          <w:spacing w:val="15"/>
          <w:w w:val="110"/>
        </w:rPr>
        <w:t xml:space="preserve"> </w:t>
      </w:r>
      <w:r>
        <w:rPr>
          <w:color w:val="333333"/>
          <w:w w:val="110"/>
        </w:rPr>
        <w:t>is</w:t>
      </w:r>
      <w:r>
        <w:rPr>
          <w:color w:val="333333"/>
          <w:spacing w:val="16"/>
          <w:w w:val="110"/>
        </w:rPr>
        <w:t xml:space="preserve"> </w:t>
      </w:r>
      <w:r>
        <w:rPr>
          <w:color w:val="333333"/>
          <w:w w:val="110"/>
        </w:rPr>
        <w:t>sub-optimal.</w:t>
      </w:r>
      <w:r>
        <w:rPr>
          <w:color w:val="333333"/>
          <w:spacing w:val="16"/>
          <w:w w:val="110"/>
        </w:rPr>
        <w:t xml:space="preserve"> </w:t>
      </w:r>
      <w:r>
        <w:rPr>
          <w:color w:val="333333"/>
          <w:w w:val="110"/>
        </w:rPr>
        <w:t>Since</w:t>
      </w:r>
      <w:r>
        <w:rPr>
          <w:color w:val="333333"/>
          <w:spacing w:val="16"/>
          <w:w w:val="110"/>
        </w:rPr>
        <w:t xml:space="preserve"> </w:t>
      </w:r>
      <w:r>
        <w:rPr>
          <w:color w:val="333333"/>
          <w:w w:val="110"/>
        </w:rPr>
        <w:t>you</w:t>
      </w:r>
      <w:r>
        <w:rPr>
          <w:color w:val="333333"/>
          <w:spacing w:val="15"/>
          <w:w w:val="110"/>
        </w:rPr>
        <w:t xml:space="preserve"> </w:t>
      </w:r>
      <w:r>
        <w:rPr>
          <w:color w:val="333333"/>
          <w:w w:val="110"/>
        </w:rPr>
        <w:t>probably</w:t>
      </w:r>
      <w:r>
        <w:rPr>
          <w:color w:val="333333"/>
          <w:spacing w:val="15"/>
          <w:w w:val="110"/>
        </w:rPr>
        <w:t xml:space="preserve"> </w:t>
      </w:r>
      <w:r>
        <w:rPr>
          <w:color w:val="333333"/>
          <w:w w:val="110"/>
        </w:rPr>
        <w:t>recompile</w:t>
      </w:r>
      <w:r>
        <w:rPr>
          <w:color w:val="333333"/>
          <w:spacing w:val="17"/>
          <w:w w:val="110"/>
        </w:rPr>
        <w:t xml:space="preserve"> </w:t>
      </w:r>
      <w:r>
        <w:rPr>
          <w:color w:val="333333"/>
          <w:w w:val="110"/>
        </w:rPr>
        <w:t>your</w:t>
      </w:r>
      <w:r>
        <w:rPr>
          <w:color w:val="333333"/>
          <w:spacing w:val="15"/>
          <w:w w:val="110"/>
        </w:rPr>
        <w:t xml:space="preserve"> </w:t>
      </w:r>
      <w:r>
        <w:rPr>
          <w:color w:val="333333"/>
          <w:w w:val="110"/>
        </w:rPr>
        <w:t>code</w:t>
      </w:r>
      <w:r>
        <w:rPr>
          <w:color w:val="333333"/>
          <w:spacing w:val="17"/>
          <w:w w:val="110"/>
        </w:rPr>
        <w:t xml:space="preserve"> </w:t>
      </w:r>
      <w:r>
        <w:rPr>
          <w:color w:val="333333"/>
          <w:w w:val="110"/>
        </w:rPr>
        <w:t>more</w:t>
      </w:r>
      <w:r>
        <w:rPr>
          <w:color w:val="333333"/>
          <w:spacing w:val="15"/>
          <w:w w:val="110"/>
        </w:rPr>
        <w:t xml:space="preserve"> </w:t>
      </w:r>
      <w:r>
        <w:rPr>
          <w:color w:val="333333"/>
          <w:w w:val="110"/>
        </w:rPr>
        <w:t>often</w:t>
      </w:r>
      <w:r>
        <w:rPr>
          <w:color w:val="333333"/>
          <w:spacing w:val="16"/>
          <w:w w:val="110"/>
        </w:rPr>
        <w:t xml:space="preserve"> </w:t>
      </w:r>
      <w:r>
        <w:rPr>
          <w:color w:val="333333"/>
          <w:w w:val="110"/>
        </w:rPr>
        <w:t>than</w:t>
      </w:r>
    </w:p>
    <w:p w14:paraId="42B895A9" w14:textId="77777777" w:rsidR="00A720EB" w:rsidRDefault="00A720EB">
      <w:pPr>
        <w:spacing w:line="307" w:lineRule="auto"/>
        <w:jc w:val="both"/>
        <w:sectPr w:rsidR="00A720EB">
          <w:pgSz w:w="11910" w:h="16840"/>
          <w:pgMar w:top="620" w:right="840" w:bottom="520" w:left="840" w:header="0" w:footer="323" w:gutter="0"/>
          <w:cols w:space="720"/>
        </w:sectPr>
      </w:pPr>
    </w:p>
    <w:p w14:paraId="3E525E6B" w14:textId="77777777" w:rsidR="00A720EB" w:rsidRDefault="0030286B">
      <w:pPr>
        <w:pStyle w:val="a3"/>
        <w:spacing w:before="107" w:line="307" w:lineRule="auto"/>
        <w:ind w:left="124" w:right="132"/>
        <w:jc w:val="both"/>
      </w:pPr>
      <w:r>
        <w:rPr>
          <w:color w:val="333333"/>
          <w:w w:val="110"/>
        </w:rPr>
        <w:lastRenderedPageBreak/>
        <w:t>you upgrade the version of Spring Boot you use, it’s often better to separate things a bit more. If you put jar files in the layer before your application classes, Docker often only needs to change the very bottom layer and can pick others up from its cache.</w:t>
      </w:r>
    </w:p>
    <w:p w14:paraId="78FD0988" w14:textId="77777777" w:rsidR="00A720EB" w:rsidRDefault="00A720EB">
      <w:pPr>
        <w:pStyle w:val="a3"/>
        <w:spacing w:before="8"/>
        <w:rPr>
          <w:sz w:val="25"/>
        </w:rPr>
      </w:pPr>
    </w:p>
    <w:p w14:paraId="1E639E5E" w14:textId="77777777" w:rsidR="00A720EB" w:rsidRDefault="0030286B">
      <w:pPr>
        <w:pStyle w:val="4"/>
      </w:pPr>
      <w:bookmarkStart w:id="546" w:name="Layering_Docker_Images"/>
      <w:bookmarkEnd w:id="546"/>
      <w:r>
        <w:rPr>
          <w:color w:val="333333"/>
          <w:w w:val="110"/>
        </w:rPr>
        <w:t>Layering Docker Images</w:t>
      </w:r>
    </w:p>
    <w:p w14:paraId="6EBF4EA4" w14:textId="77777777" w:rsidR="00A720EB" w:rsidRDefault="00A720EB">
      <w:pPr>
        <w:pStyle w:val="a3"/>
        <w:spacing w:before="11"/>
        <w:rPr>
          <w:rFonts w:ascii="Palatino Linotype"/>
          <w:b/>
          <w:sz w:val="18"/>
        </w:rPr>
      </w:pPr>
    </w:p>
    <w:p w14:paraId="3C38E942" w14:textId="77777777" w:rsidR="00A720EB" w:rsidRDefault="0030286B">
      <w:pPr>
        <w:pStyle w:val="a3"/>
        <w:spacing w:line="307" w:lineRule="auto"/>
        <w:ind w:left="124" w:right="129"/>
        <w:jc w:val="both"/>
      </w:pPr>
      <w:r>
        <w:rPr>
          <w:color w:val="333333"/>
          <w:w w:val="110"/>
        </w:rPr>
        <w:t>To make it easier to create optimized Docker images that can be built with a dockerfile, Spring Boot supports adding a layer index file to the jar. It provides a list of layers and the parts of the jar that should be contained within them. The list of layers in the index is ordered based on the order in which the layers should be added to the Docker/OCI image. Out-of-the-box, the following layers are supported:</w:t>
      </w:r>
    </w:p>
    <w:p w14:paraId="6E59503B" w14:textId="77777777" w:rsidR="00A720EB" w:rsidRDefault="0030286B">
      <w:pPr>
        <w:pStyle w:val="a6"/>
        <w:numPr>
          <w:ilvl w:val="0"/>
          <w:numId w:val="26"/>
        </w:numPr>
        <w:tabs>
          <w:tab w:val="left" w:pos="485"/>
        </w:tabs>
        <w:spacing w:before="232"/>
        <w:rPr>
          <w:sz w:val="21"/>
        </w:rPr>
      </w:pPr>
      <w:r>
        <w:rPr>
          <w:rFonts w:ascii="MS Gothic" w:hAnsi="MS Gothic"/>
          <w:color w:val="B02045"/>
          <w:w w:val="110"/>
          <w:sz w:val="21"/>
        </w:rPr>
        <w:t>dependencies</w:t>
      </w:r>
      <w:r>
        <w:rPr>
          <w:rFonts w:ascii="MS Gothic" w:hAnsi="MS Gothic"/>
          <w:color w:val="B02045"/>
          <w:spacing w:val="-58"/>
          <w:w w:val="110"/>
          <w:sz w:val="21"/>
        </w:rPr>
        <w:t xml:space="preserve"> </w:t>
      </w:r>
      <w:r>
        <w:rPr>
          <w:color w:val="333333"/>
          <w:w w:val="110"/>
          <w:sz w:val="21"/>
        </w:rPr>
        <w:t>(for regular released dependencies)</w:t>
      </w:r>
    </w:p>
    <w:p w14:paraId="7367DDAB" w14:textId="77777777" w:rsidR="00A720EB" w:rsidRDefault="0030286B">
      <w:pPr>
        <w:pStyle w:val="a6"/>
        <w:numPr>
          <w:ilvl w:val="0"/>
          <w:numId w:val="26"/>
        </w:numPr>
        <w:tabs>
          <w:tab w:val="left" w:pos="485"/>
        </w:tabs>
        <w:spacing w:before="167"/>
        <w:rPr>
          <w:sz w:val="21"/>
        </w:rPr>
      </w:pPr>
      <w:r>
        <w:rPr>
          <w:rFonts w:ascii="MS Gothic" w:hAnsi="MS Gothic"/>
          <w:color w:val="B02045"/>
          <w:w w:val="105"/>
          <w:sz w:val="21"/>
        </w:rPr>
        <w:t>spring-boot-loader</w:t>
      </w:r>
      <w:r>
        <w:rPr>
          <w:rFonts w:ascii="MS Gothic" w:hAnsi="MS Gothic"/>
          <w:color w:val="B02045"/>
          <w:spacing w:val="-53"/>
          <w:w w:val="105"/>
          <w:sz w:val="21"/>
        </w:rPr>
        <w:t xml:space="preserve"> </w:t>
      </w:r>
      <w:r>
        <w:rPr>
          <w:color w:val="333333"/>
          <w:w w:val="105"/>
          <w:sz w:val="21"/>
        </w:rPr>
        <w:t xml:space="preserve">(for everything under </w:t>
      </w:r>
      <w:r>
        <w:rPr>
          <w:rFonts w:ascii="MS Gothic" w:hAnsi="MS Gothic"/>
          <w:color w:val="B02045"/>
          <w:w w:val="105"/>
          <w:sz w:val="21"/>
        </w:rPr>
        <w:t>org/springframework/boot/loader</w:t>
      </w:r>
      <w:r>
        <w:rPr>
          <w:color w:val="333333"/>
          <w:w w:val="105"/>
          <w:sz w:val="21"/>
        </w:rPr>
        <w:t>)</w:t>
      </w:r>
    </w:p>
    <w:p w14:paraId="72AFDB3C" w14:textId="77777777" w:rsidR="00A720EB" w:rsidRDefault="0030286B">
      <w:pPr>
        <w:pStyle w:val="a6"/>
        <w:numPr>
          <w:ilvl w:val="0"/>
          <w:numId w:val="26"/>
        </w:numPr>
        <w:tabs>
          <w:tab w:val="left" w:pos="485"/>
        </w:tabs>
        <w:spacing w:before="166"/>
        <w:rPr>
          <w:sz w:val="21"/>
        </w:rPr>
      </w:pPr>
      <w:r>
        <w:rPr>
          <w:rFonts w:ascii="MS Gothic" w:hAnsi="MS Gothic"/>
          <w:color w:val="B02045"/>
          <w:w w:val="105"/>
          <w:sz w:val="21"/>
        </w:rPr>
        <w:t>snapshot-dependencies</w:t>
      </w:r>
      <w:r>
        <w:rPr>
          <w:rFonts w:ascii="MS Gothic" w:hAnsi="MS Gothic"/>
          <w:color w:val="B02045"/>
          <w:spacing w:val="-46"/>
          <w:w w:val="105"/>
          <w:sz w:val="21"/>
        </w:rPr>
        <w:t xml:space="preserve"> </w:t>
      </w:r>
      <w:r>
        <w:rPr>
          <w:color w:val="333333"/>
          <w:w w:val="105"/>
          <w:sz w:val="21"/>
        </w:rPr>
        <w:t>(for snapshot dependencies)</w:t>
      </w:r>
    </w:p>
    <w:p w14:paraId="5F7A7F36" w14:textId="77777777" w:rsidR="00A720EB" w:rsidRDefault="0030286B">
      <w:pPr>
        <w:pStyle w:val="a6"/>
        <w:numPr>
          <w:ilvl w:val="0"/>
          <w:numId w:val="26"/>
        </w:numPr>
        <w:tabs>
          <w:tab w:val="left" w:pos="485"/>
        </w:tabs>
        <w:spacing w:before="167"/>
        <w:rPr>
          <w:sz w:val="21"/>
        </w:rPr>
      </w:pPr>
      <w:r>
        <w:rPr>
          <w:rFonts w:ascii="MS Gothic" w:hAnsi="MS Gothic"/>
          <w:color w:val="B02045"/>
          <w:w w:val="110"/>
          <w:sz w:val="21"/>
        </w:rPr>
        <w:t>application</w:t>
      </w:r>
      <w:r>
        <w:rPr>
          <w:rFonts w:ascii="MS Gothic" w:hAnsi="MS Gothic"/>
          <w:color w:val="B02045"/>
          <w:spacing w:val="-58"/>
          <w:w w:val="110"/>
          <w:sz w:val="21"/>
        </w:rPr>
        <w:t xml:space="preserve"> </w:t>
      </w:r>
      <w:r>
        <w:rPr>
          <w:color w:val="333333"/>
          <w:w w:val="110"/>
          <w:sz w:val="21"/>
        </w:rPr>
        <w:t>(for application classes and resources)</w:t>
      </w:r>
    </w:p>
    <w:p w14:paraId="796F228A" w14:textId="77777777" w:rsidR="00A720EB" w:rsidRDefault="00A720EB">
      <w:pPr>
        <w:pStyle w:val="a3"/>
        <w:spacing w:before="5"/>
        <w:rPr>
          <w:sz w:val="24"/>
        </w:rPr>
      </w:pPr>
    </w:p>
    <w:p w14:paraId="378D05DD" w14:textId="77777777" w:rsidR="00A720EB" w:rsidRDefault="0030286B">
      <w:pPr>
        <w:pStyle w:val="a3"/>
        <w:ind w:left="124"/>
        <w:jc w:val="both"/>
      </w:pPr>
      <w:r>
        <w:rPr>
          <w:color w:val="333333"/>
          <w:w w:val="110"/>
        </w:rPr>
        <w:t xml:space="preserve">The following shows an example of a </w:t>
      </w:r>
      <w:r>
        <w:rPr>
          <w:rFonts w:ascii="MS Gothic"/>
          <w:color w:val="B02045"/>
          <w:w w:val="110"/>
        </w:rPr>
        <w:t xml:space="preserve">layers.idx </w:t>
      </w:r>
      <w:r>
        <w:rPr>
          <w:color w:val="333333"/>
          <w:w w:val="110"/>
        </w:rPr>
        <w:t>file:</w:t>
      </w:r>
    </w:p>
    <w:p w14:paraId="3826C155" w14:textId="77777777" w:rsidR="00A720EB" w:rsidRDefault="00E10349">
      <w:pPr>
        <w:pStyle w:val="a3"/>
        <w:spacing w:before="11"/>
        <w:rPr>
          <w:sz w:val="17"/>
        </w:rPr>
      </w:pPr>
      <w:r>
        <w:pict w14:anchorId="741396E4">
          <v:group id="_x0000_s3367" style="position:absolute;margin-left:47.85pt;margin-top:12.5pt;width:499.55pt;height:184.9pt;z-index:-15273472;mso-wrap-distance-left:0;mso-wrap-distance-right:0;mso-position-horizontal-relative:page" coordorigin="957,250" coordsize="9991,3698">
            <v:shape id="_x0000_s3370" style="position:absolute;left:964;top:257;width:9976;height:3683" coordorigin="965,258" coordsize="9976,3683" path="m10861,258r-9816,l1014,264r-26,17l971,306r-6,32l965,3860r6,32l988,3917r26,17l1045,3940r9816,l10892,3934r25,-17l10935,3892r6,-32l10941,338r-6,-32l10917,281r-25,-17l10861,258xe" fillcolor="#f5f5f5" stroked="f">
              <v:path arrowok="t"/>
            </v:shape>
            <v:shape id="_x0000_s3369" style="position:absolute;left:964;top:257;width:9976;height:3683" coordorigin="965,258" coordsize="9976,3683" path="m1045,258r9816,l10892,264r25,17l10935,306r6,32l10941,3860r-6,32l10917,3917r-25,17l10861,3940r-9816,l1014,3934r-26,-17l971,3892r-6,-32l965,338r6,-32l988,281r26,-17l1045,258xe" filled="f" strokecolor="#ccc">
              <v:path arrowok="t"/>
            </v:shape>
            <v:shape id="_x0000_s3368" type="#_x0000_t202" style="position:absolute;left:984;top:273;width:9938;height:3652" filled="f" stroked="f">
              <v:textbox inset="0,0,0,0">
                <w:txbxContent>
                  <w:p w14:paraId="563EE28F" w14:textId="77777777" w:rsidR="00711A16" w:rsidRDefault="00711A16">
                    <w:pPr>
                      <w:numPr>
                        <w:ilvl w:val="0"/>
                        <w:numId w:val="25"/>
                      </w:numPr>
                      <w:tabs>
                        <w:tab w:val="left" w:pos="421"/>
                      </w:tabs>
                      <w:spacing w:before="221"/>
                      <w:ind w:hanging="221"/>
                      <w:rPr>
                        <w:rFonts w:ascii="MS Gothic"/>
                      </w:rPr>
                    </w:pPr>
                    <w:r>
                      <w:rPr>
                        <w:rFonts w:ascii="MS Gothic"/>
                        <w:color w:val="333333"/>
                      </w:rPr>
                      <w:t>"dependencies":</w:t>
                    </w:r>
                  </w:p>
                  <w:p w14:paraId="458675CB" w14:textId="77777777" w:rsidR="00711A16" w:rsidRDefault="00711A16">
                    <w:pPr>
                      <w:numPr>
                        <w:ilvl w:val="1"/>
                        <w:numId w:val="25"/>
                      </w:numPr>
                      <w:tabs>
                        <w:tab w:val="left" w:pos="641"/>
                      </w:tabs>
                      <w:spacing w:before="13"/>
                      <w:ind w:hanging="221"/>
                      <w:rPr>
                        <w:rFonts w:ascii="MS Gothic"/>
                      </w:rPr>
                    </w:pPr>
                    <w:r>
                      <w:rPr>
                        <w:rFonts w:ascii="MS Gothic"/>
                        <w:color w:val="333333"/>
                      </w:rPr>
                      <w:t>BOOT-INF/lib/library1.jar</w:t>
                    </w:r>
                  </w:p>
                  <w:p w14:paraId="5261D186" w14:textId="77777777" w:rsidR="00711A16" w:rsidRDefault="00711A16">
                    <w:pPr>
                      <w:numPr>
                        <w:ilvl w:val="1"/>
                        <w:numId w:val="25"/>
                      </w:numPr>
                      <w:tabs>
                        <w:tab w:val="left" w:pos="641"/>
                      </w:tabs>
                      <w:spacing w:before="13"/>
                      <w:ind w:hanging="221"/>
                      <w:rPr>
                        <w:rFonts w:ascii="MS Gothic"/>
                      </w:rPr>
                    </w:pPr>
                    <w:r>
                      <w:rPr>
                        <w:rFonts w:ascii="MS Gothic"/>
                        <w:color w:val="333333"/>
                      </w:rPr>
                      <w:t>BOOT-INF/lib/library2.jar</w:t>
                    </w:r>
                  </w:p>
                  <w:p w14:paraId="0DAFE749" w14:textId="77777777" w:rsidR="00711A16" w:rsidRDefault="00711A16">
                    <w:pPr>
                      <w:numPr>
                        <w:ilvl w:val="0"/>
                        <w:numId w:val="25"/>
                      </w:numPr>
                      <w:tabs>
                        <w:tab w:val="left" w:pos="421"/>
                      </w:tabs>
                      <w:spacing w:before="13"/>
                      <w:ind w:hanging="221"/>
                      <w:rPr>
                        <w:rFonts w:ascii="MS Gothic"/>
                      </w:rPr>
                    </w:pPr>
                    <w:r>
                      <w:rPr>
                        <w:rFonts w:ascii="MS Gothic"/>
                        <w:color w:val="333333"/>
                      </w:rPr>
                      <w:t>"spring-boot-loader":</w:t>
                    </w:r>
                  </w:p>
                  <w:p w14:paraId="30489AAF" w14:textId="77777777" w:rsidR="00711A16" w:rsidRDefault="00711A16">
                    <w:pPr>
                      <w:numPr>
                        <w:ilvl w:val="1"/>
                        <w:numId w:val="25"/>
                      </w:numPr>
                      <w:tabs>
                        <w:tab w:val="left" w:pos="641"/>
                      </w:tabs>
                      <w:spacing w:before="12"/>
                      <w:ind w:hanging="221"/>
                      <w:rPr>
                        <w:rFonts w:ascii="MS Gothic"/>
                      </w:rPr>
                    </w:pPr>
                    <w:r>
                      <w:rPr>
                        <w:rFonts w:ascii="MS Gothic"/>
                        <w:color w:val="333333"/>
                      </w:rPr>
                      <w:t>org/springframework/boot/loader/JarLauncher.class</w:t>
                    </w:r>
                  </w:p>
                  <w:p w14:paraId="6C630A22" w14:textId="77777777" w:rsidR="00711A16" w:rsidRDefault="00711A16">
                    <w:pPr>
                      <w:numPr>
                        <w:ilvl w:val="1"/>
                        <w:numId w:val="25"/>
                      </w:numPr>
                      <w:tabs>
                        <w:tab w:val="left" w:pos="641"/>
                      </w:tabs>
                      <w:spacing w:before="13"/>
                      <w:ind w:hanging="221"/>
                      <w:rPr>
                        <w:rFonts w:ascii="MS Gothic"/>
                      </w:rPr>
                    </w:pPr>
                    <w:r>
                      <w:rPr>
                        <w:rFonts w:ascii="MS Gothic"/>
                        <w:color w:val="333333"/>
                      </w:rPr>
                      <w:t>org/springframework/boot/loader/jar/JarEntry.class</w:t>
                    </w:r>
                  </w:p>
                  <w:p w14:paraId="2E889D09" w14:textId="77777777" w:rsidR="00711A16" w:rsidRDefault="00711A16">
                    <w:pPr>
                      <w:numPr>
                        <w:ilvl w:val="0"/>
                        <w:numId w:val="25"/>
                      </w:numPr>
                      <w:tabs>
                        <w:tab w:val="left" w:pos="421"/>
                      </w:tabs>
                      <w:spacing w:before="13"/>
                      <w:ind w:hanging="221"/>
                      <w:rPr>
                        <w:rFonts w:ascii="MS Gothic"/>
                      </w:rPr>
                    </w:pPr>
                    <w:r>
                      <w:rPr>
                        <w:rFonts w:ascii="MS Gothic"/>
                        <w:color w:val="333333"/>
                      </w:rPr>
                      <w:t>"snapshot-dependencies":</w:t>
                    </w:r>
                  </w:p>
                  <w:p w14:paraId="49FD1E49" w14:textId="77777777" w:rsidR="00711A16" w:rsidRDefault="00711A16">
                    <w:pPr>
                      <w:numPr>
                        <w:ilvl w:val="1"/>
                        <w:numId w:val="25"/>
                      </w:numPr>
                      <w:tabs>
                        <w:tab w:val="left" w:pos="641"/>
                      </w:tabs>
                      <w:spacing w:before="13"/>
                      <w:ind w:hanging="221"/>
                      <w:rPr>
                        <w:rFonts w:ascii="MS Gothic"/>
                      </w:rPr>
                    </w:pPr>
                    <w:r>
                      <w:rPr>
                        <w:rFonts w:ascii="MS Gothic"/>
                        <w:color w:val="333333"/>
                      </w:rPr>
                      <w:t>BOOT-INF/lib/library3-SNAPSHOT.jar</w:t>
                    </w:r>
                  </w:p>
                  <w:p w14:paraId="0E7FC352" w14:textId="77777777" w:rsidR="00711A16" w:rsidRDefault="00711A16">
                    <w:pPr>
                      <w:numPr>
                        <w:ilvl w:val="0"/>
                        <w:numId w:val="25"/>
                      </w:numPr>
                      <w:tabs>
                        <w:tab w:val="left" w:pos="421"/>
                      </w:tabs>
                      <w:spacing w:before="13"/>
                      <w:ind w:hanging="221"/>
                      <w:rPr>
                        <w:rFonts w:ascii="MS Gothic"/>
                      </w:rPr>
                    </w:pPr>
                    <w:r>
                      <w:rPr>
                        <w:rFonts w:ascii="MS Gothic"/>
                        <w:color w:val="333333"/>
                      </w:rPr>
                      <w:t>"application":</w:t>
                    </w:r>
                  </w:p>
                  <w:p w14:paraId="5674CA60" w14:textId="77777777" w:rsidR="00711A16" w:rsidRDefault="00711A16">
                    <w:pPr>
                      <w:numPr>
                        <w:ilvl w:val="1"/>
                        <w:numId w:val="25"/>
                      </w:numPr>
                      <w:tabs>
                        <w:tab w:val="left" w:pos="641"/>
                      </w:tabs>
                      <w:spacing w:before="13"/>
                      <w:ind w:hanging="221"/>
                      <w:rPr>
                        <w:rFonts w:ascii="MS Gothic"/>
                      </w:rPr>
                    </w:pPr>
                    <w:r>
                      <w:rPr>
                        <w:rFonts w:ascii="MS Gothic"/>
                        <w:color w:val="333333"/>
                      </w:rPr>
                      <w:t>META-INF/MANIFEST.MF</w:t>
                    </w:r>
                  </w:p>
                  <w:p w14:paraId="59849772" w14:textId="77777777" w:rsidR="00711A16" w:rsidRDefault="00711A16">
                    <w:pPr>
                      <w:numPr>
                        <w:ilvl w:val="1"/>
                        <w:numId w:val="25"/>
                      </w:numPr>
                      <w:tabs>
                        <w:tab w:val="left" w:pos="641"/>
                      </w:tabs>
                      <w:spacing w:before="13"/>
                      <w:ind w:hanging="221"/>
                      <w:rPr>
                        <w:rFonts w:ascii="MS Gothic"/>
                      </w:rPr>
                    </w:pPr>
                    <w:r>
                      <w:rPr>
                        <w:rFonts w:ascii="MS Gothic"/>
                        <w:color w:val="333333"/>
                      </w:rPr>
                      <w:t>BOOT-INF/classes/a/b/C.class</w:t>
                    </w:r>
                  </w:p>
                </w:txbxContent>
              </v:textbox>
            </v:shape>
            <w10:wrap type="topAndBottom" anchorx="page"/>
          </v:group>
        </w:pict>
      </w:r>
    </w:p>
    <w:p w14:paraId="41D3AFBF" w14:textId="77777777" w:rsidR="00A720EB" w:rsidRDefault="00A720EB">
      <w:pPr>
        <w:pStyle w:val="a3"/>
        <w:rPr>
          <w:sz w:val="10"/>
        </w:rPr>
      </w:pPr>
    </w:p>
    <w:p w14:paraId="710A125E" w14:textId="77777777" w:rsidR="00A720EB" w:rsidRDefault="0030286B">
      <w:pPr>
        <w:pStyle w:val="a3"/>
        <w:spacing w:before="125" w:line="307" w:lineRule="auto"/>
        <w:ind w:left="124" w:right="127"/>
        <w:jc w:val="both"/>
      </w:pPr>
      <w:r>
        <w:rPr>
          <w:color w:val="333333"/>
          <w:w w:val="110"/>
        </w:rPr>
        <w:t xml:space="preserve">This layering is designed to separate code based on how likely it is to change between application builds. Library code is less likely to change between builds, so it is placed in its own layers to allow tooling to re-use the layers from cache. Application code is more likely to change between builds </w:t>
      </w:r>
      <w:proofErr w:type="gramStart"/>
      <w:r>
        <w:rPr>
          <w:color w:val="333333"/>
          <w:w w:val="110"/>
        </w:rPr>
        <w:t>so  it</w:t>
      </w:r>
      <w:proofErr w:type="gramEnd"/>
      <w:r>
        <w:rPr>
          <w:color w:val="333333"/>
          <w:w w:val="110"/>
        </w:rPr>
        <w:t xml:space="preserve"> is isolated in a separate</w:t>
      </w:r>
      <w:r>
        <w:rPr>
          <w:color w:val="333333"/>
          <w:spacing w:val="14"/>
          <w:w w:val="110"/>
        </w:rPr>
        <w:t xml:space="preserve"> </w:t>
      </w:r>
      <w:r>
        <w:rPr>
          <w:color w:val="333333"/>
          <w:w w:val="110"/>
        </w:rPr>
        <w:t>layer.</w:t>
      </w:r>
    </w:p>
    <w:p w14:paraId="2A6F9424" w14:textId="77777777" w:rsidR="00A720EB" w:rsidRDefault="0030286B">
      <w:pPr>
        <w:pStyle w:val="a3"/>
        <w:spacing w:before="242" w:line="307" w:lineRule="auto"/>
        <w:ind w:left="124" w:right="129"/>
        <w:jc w:val="both"/>
      </w:pPr>
      <w:r>
        <w:rPr>
          <w:color w:val="333333"/>
          <w:spacing w:val="-4"/>
          <w:w w:val="110"/>
        </w:rPr>
        <w:t xml:space="preserve">For </w:t>
      </w:r>
      <w:r>
        <w:rPr>
          <w:color w:val="333333"/>
          <w:w w:val="110"/>
        </w:rPr>
        <w:t xml:space="preserve">Maven, refer to the  </w:t>
      </w:r>
      <w:hyperlink r:id="rId408" w:anchor="repackage-layers">
        <w:r>
          <w:rPr>
            <w:color w:val="418BCA"/>
            <w:w w:val="110"/>
          </w:rPr>
          <w:t>packaging layered jars section</w:t>
        </w:r>
      </w:hyperlink>
      <w:r>
        <w:rPr>
          <w:color w:val="418BCA"/>
          <w:w w:val="110"/>
        </w:rPr>
        <w:t xml:space="preserve">  </w:t>
      </w:r>
      <w:r>
        <w:rPr>
          <w:color w:val="333333"/>
          <w:w w:val="110"/>
        </w:rPr>
        <w:t>for more details on adding a layer index to  the</w:t>
      </w:r>
      <w:r>
        <w:rPr>
          <w:color w:val="333333"/>
          <w:spacing w:val="8"/>
          <w:w w:val="110"/>
        </w:rPr>
        <w:t xml:space="preserve"> </w:t>
      </w:r>
      <w:r>
        <w:rPr>
          <w:color w:val="333333"/>
          <w:w w:val="110"/>
        </w:rPr>
        <w:t>jar.</w:t>
      </w:r>
      <w:r>
        <w:rPr>
          <w:color w:val="333333"/>
          <w:spacing w:val="7"/>
          <w:w w:val="110"/>
        </w:rPr>
        <w:t xml:space="preserve"> </w:t>
      </w:r>
      <w:r>
        <w:rPr>
          <w:color w:val="333333"/>
          <w:spacing w:val="-4"/>
          <w:w w:val="110"/>
        </w:rPr>
        <w:t>For</w:t>
      </w:r>
      <w:r>
        <w:rPr>
          <w:color w:val="333333"/>
          <w:spacing w:val="8"/>
          <w:w w:val="110"/>
        </w:rPr>
        <w:t xml:space="preserve"> </w:t>
      </w:r>
      <w:r>
        <w:rPr>
          <w:color w:val="333333"/>
          <w:w w:val="110"/>
        </w:rPr>
        <w:t>Gradle,</w:t>
      </w:r>
      <w:r>
        <w:rPr>
          <w:color w:val="333333"/>
          <w:spacing w:val="7"/>
          <w:w w:val="110"/>
        </w:rPr>
        <w:t xml:space="preserve"> </w:t>
      </w:r>
      <w:r>
        <w:rPr>
          <w:color w:val="333333"/>
          <w:w w:val="110"/>
        </w:rPr>
        <w:t>refer</w:t>
      </w:r>
      <w:r>
        <w:rPr>
          <w:color w:val="333333"/>
          <w:spacing w:val="8"/>
          <w:w w:val="110"/>
        </w:rPr>
        <w:t xml:space="preserve"> </w:t>
      </w:r>
      <w:r>
        <w:rPr>
          <w:color w:val="333333"/>
          <w:w w:val="110"/>
        </w:rPr>
        <w:t>to</w:t>
      </w:r>
      <w:r>
        <w:rPr>
          <w:color w:val="333333"/>
          <w:spacing w:val="8"/>
          <w:w w:val="110"/>
        </w:rPr>
        <w:t xml:space="preserve"> </w:t>
      </w:r>
      <w:r>
        <w:rPr>
          <w:color w:val="333333"/>
          <w:w w:val="110"/>
        </w:rPr>
        <w:t>the</w:t>
      </w:r>
      <w:r>
        <w:rPr>
          <w:color w:val="333333"/>
          <w:spacing w:val="10"/>
          <w:w w:val="110"/>
        </w:rPr>
        <w:t xml:space="preserve"> </w:t>
      </w:r>
      <w:hyperlink r:id="rId409" w:anchor="packaging-layered-jars">
        <w:r>
          <w:rPr>
            <w:color w:val="418BCA"/>
            <w:w w:val="110"/>
          </w:rPr>
          <w:t>packaging</w:t>
        </w:r>
        <w:r>
          <w:rPr>
            <w:color w:val="418BCA"/>
            <w:spacing w:val="7"/>
            <w:w w:val="110"/>
          </w:rPr>
          <w:t xml:space="preserve"> </w:t>
        </w:r>
        <w:r>
          <w:rPr>
            <w:color w:val="418BCA"/>
            <w:w w:val="110"/>
          </w:rPr>
          <w:t>layered</w:t>
        </w:r>
        <w:r>
          <w:rPr>
            <w:color w:val="418BCA"/>
            <w:spacing w:val="7"/>
            <w:w w:val="110"/>
          </w:rPr>
          <w:t xml:space="preserve"> </w:t>
        </w:r>
        <w:r>
          <w:rPr>
            <w:color w:val="418BCA"/>
            <w:w w:val="110"/>
          </w:rPr>
          <w:t>jars</w:t>
        </w:r>
        <w:r>
          <w:rPr>
            <w:color w:val="418BCA"/>
            <w:spacing w:val="7"/>
            <w:w w:val="110"/>
          </w:rPr>
          <w:t xml:space="preserve"> </w:t>
        </w:r>
        <w:r>
          <w:rPr>
            <w:color w:val="418BCA"/>
            <w:w w:val="110"/>
          </w:rPr>
          <w:t>section</w:t>
        </w:r>
        <w:r>
          <w:rPr>
            <w:color w:val="418BCA"/>
            <w:spacing w:val="12"/>
            <w:w w:val="110"/>
          </w:rPr>
          <w:t xml:space="preserve"> </w:t>
        </w:r>
      </w:hyperlink>
      <w:r>
        <w:rPr>
          <w:color w:val="333333"/>
          <w:w w:val="110"/>
        </w:rPr>
        <w:t>of</w:t>
      </w:r>
      <w:r>
        <w:rPr>
          <w:color w:val="333333"/>
          <w:spacing w:val="8"/>
          <w:w w:val="110"/>
        </w:rPr>
        <w:t xml:space="preserve"> </w:t>
      </w:r>
      <w:r>
        <w:rPr>
          <w:color w:val="333333"/>
          <w:w w:val="110"/>
        </w:rPr>
        <w:t>the</w:t>
      </w:r>
      <w:r>
        <w:rPr>
          <w:color w:val="333333"/>
          <w:spacing w:val="8"/>
          <w:w w:val="110"/>
        </w:rPr>
        <w:t xml:space="preserve"> </w:t>
      </w:r>
      <w:r>
        <w:rPr>
          <w:color w:val="333333"/>
          <w:w w:val="110"/>
        </w:rPr>
        <w:t>Gradle</w:t>
      </w:r>
      <w:r>
        <w:rPr>
          <w:color w:val="333333"/>
          <w:spacing w:val="7"/>
          <w:w w:val="110"/>
        </w:rPr>
        <w:t xml:space="preserve"> </w:t>
      </w:r>
      <w:r>
        <w:rPr>
          <w:color w:val="333333"/>
          <w:w w:val="110"/>
        </w:rPr>
        <w:t>plugin</w:t>
      </w:r>
      <w:r>
        <w:rPr>
          <w:color w:val="333333"/>
          <w:spacing w:val="7"/>
          <w:w w:val="110"/>
        </w:rPr>
        <w:t xml:space="preserve"> </w:t>
      </w:r>
      <w:r>
        <w:rPr>
          <w:color w:val="333333"/>
          <w:w w:val="110"/>
        </w:rPr>
        <w:t>documentation.</w:t>
      </w:r>
    </w:p>
    <w:p w14:paraId="1592E373" w14:textId="77777777" w:rsidR="00A720EB" w:rsidRDefault="00A720EB">
      <w:pPr>
        <w:pStyle w:val="a3"/>
        <w:spacing w:before="8"/>
        <w:rPr>
          <w:sz w:val="25"/>
        </w:rPr>
      </w:pPr>
    </w:p>
    <w:p w14:paraId="3F2C795C" w14:textId="77777777" w:rsidR="00A720EB" w:rsidRDefault="0030286B">
      <w:pPr>
        <w:pStyle w:val="4"/>
      </w:pPr>
      <w:bookmarkStart w:id="547" w:name="Writing_the_Dockerfile"/>
      <w:bookmarkEnd w:id="547"/>
      <w:r>
        <w:rPr>
          <w:color w:val="333333"/>
          <w:w w:val="110"/>
        </w:rPr>
        <w:t>Writing the Dockerfile</w:t>
      </w:r>
    </w:p>
    <w:p w14:paraId="28389C4F" w14:textId="77777777" w:rsidR="00A720EB" w:rsidRDefault="0030286B">
      <w:pPr>
        <w:pStyle w:val="a3"/>
        <w:spacing w:before="244" w:line="302" w:lineRule="auto"/>
        <w:ind w:left="124" w:right="123"/>
        <w:jc w:val="both"/>
      </w:pPr>
      <w:r>
        <w:rPr>
          <w:color w:val="333333"/>
          <w:w w:val="110"/>
        </w:rPr>
        <w:t xml:space="preserve">When you create a jar containing the layers index file, the </w:t>
      </w:r>
      <w:r>
        <w:rPr>
          <w:rFonts w:ascii="MS Gothic"/>
          <w:color w:val="B02045"/>
          <w:w w:val="110"/>
        </w:rPr>
        <w:t xml:space="preserve">spring-boot-jarmode-layertools </w:t>
      </w:r>
      <w:r>
        <w:rPr>
          <w:color w:val="333333"/>
          <w:w w:val="110"/>
        </w:rPr>
        <w:t xml:space="preserve">jar will be added as a dependency to your jar. With this jar on the classpath, you can </w:t>
      </w:r>
      <w:proofErr w:type="gramStart"/>
      <w:r>
        <w:rPr>
          <w:color w:val="333333"/>
          <w:w w:val="110"/>
        </w:rPr>
        <w:t>launch  your</w:t>
      </w:r>
      <w:proofErr w:type="gramEnd"/>
      <w:r>
        <w:rPr>
          <w:color w:val="333333"/>
          <w:w w:val="110"/>
        </w:rPr>
        <w:t xml:space="preserve">   application in a special mode which allows the bootstrap code to run something entirely different  from your application, for example, something that extracts the</w:t>
      </w:r>
      <w:r>
        <w:rPr>
          <w:color w:val="333333"/>
          <w:spacing w:val="36"/>
          <w:w w:val="110"/>
        </w:rPr>
        <w:t xml:space="preserve"> </w:t>
      </w:r>
      <w:r>
        <w:rPr>
          <w:color w:val="333333"/>
          <w:w w:val="110"/>
        </w:rPr>
        <w:t>layers.</w:t>
      </w:r>
    </w:p>
    <w:p w14:paraId="1ED14D08" w14:textId="77777777" w:rsidR="00A720EB" w:rsidRDefault="00A720EB">
      <w:pPr>
        <w:spacing w:line="302" w:lineRule="auto"/>
        <w:jc w:val="both"/>
        <w:sectPr w:rsidR="00A720EB">
          <w:pgSz w:w="11910" w:h="16840"/>
          <w:pgMar w:top="620" w:right="840" w:bottom="520" w:left="840" w:header="0" w:footer="323" w:gutter="0"/>
          <w:cols w:space="720"/>
        </w:sectPr>
      </w:pPr>
    </w:p>
    <w:p w14:paraId="5E84E693" w14:textId="77777777" w:rsidR="00A720EB" w:rsidRDefault="00E10349">
      <w:pPr>
        <w:pStyle w:val="a3"/>
        <w:spacing w:before="111" w:line="295" w:lineRule="auto"/>
        <w:ind w:left="1564" w:right="366"/>
        <w:jc w:val="both"/>
      </w:pPr>
      <w:r>
        <w:lastRenderedPageBreak/>
        <w:pict w14:anchorId="2E90AE6D">
          <v:line id="_x0000_s3366" style="position:absolute;left:0;text-align:left;z-index:16186368;mso-position-horizontal-relative:page" from="108.25pt,.1pt" to="108.25pt,55.45pt" strokecolor="#ededed" strokeweight=".5pt">
            <w10:wrap anchorx="page"/>
          </v:line>
        </w:pict>
      </w:r>
      <w:r w:rsidR="0030286B">
        <w:rPr>
          <w:noProof/>
        </w:rPr>
        <w:drawing>
          <wp:anchor distT="0" distB="0" distL="0" distR="0" simplePos="0" relativeHeight="16186880" behindDoc="0" locked="0" layoutInCell="1" allowOverlap="1" wp14:anchorId="7F806057" wp14:editId="7AFCD426">
            <wp:simplePos x="0" y="0"/>
            <wp:positionH relativeFrom="page">
              <wp:posOffset>879347</wp:posOffset>
            </wp:positionH>
            <wp:positionV relativeFrom="paragraph">
              <wp:posOffset>196926</wp:posOffset>
            </wp:positionV>
            <wp:extent cx="228600" cy="307975"/>
            <wp:effectExtent l="0" t="0" r="0" b="0"/>
            <wp:wrapNone/>
            <wp:docPr id="56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8.png"/>
                    <pic:cNvPicPr/>
                  </pic:nvPicPr>
                  <pic:blipFill>
                    <a:blip r:embed="rId266" cstate="print"/>
                    <a:stretch>
                      <a:fillRect/>
                    </a:stretch>
                  </pic:blipFill>
                  <pic:spPr>
                    <a:xfrm>
                      <a:off x="0" y="0"/>
                      <a:ext cx="228600" cy="307975"/>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layertools </w:t>
      </w:r>
      <w:r w:rsidR="0030286B">
        <w:rPr>
          <w:color w:val="333333"/>
          <w:w w:val="110"/>
        </w:rPr>
        <w:t xml:space="preserve">mode can not be used with a </w:t>
      </w:r>
      <w:hyperlink w:anchor="_bookmark483" w:history="1">
        <w:r w:rsidR="0030286B">
          <w:rPr>
            <w:color w:val="418BCA"/>
            <w:w w:val="110"/>
          </w:rPr>
          <w:t>fully executable Spring Boot archive</w:t>
        </w:r>
      </w:hyperlink>
      <w:r w:rsidR="0030286B">
        <w:rPr>
          <w:color w:val="418BCA"/>
          <w:w w:val="110"/>
        </w:rPr>
        <w:t xml:space="preserve"> </w:t>
      </w:r>
      <w:r w:rsidR="0030286B">
        <w:rPr>
          <w:color w:val="333333"/>
          <w:w w:val="110"/>
        </w:rPr>
        <w:t xml:space="preserve">that includes a launch script. Disable launch script configuration when building </w:t>
      </w:r>
      <w:proofErr w:type="gramStart"/>
      <w:r w:rsidR="0030286B">
        <w:rPr>
          <w:color w:val="333333"/>
          <w:w w:val="110"/>
        </w:rPr>
        <w:t>a  jar</w:t>
      </w:r>
      <w:proofErr w:type="gramEnd"/>
      <w:r w:rsidR="0030286B">
        <w:rPr>
          <w:color w:val="333333"/>
          <w:w w:val="110"/>
        </w:rPr>
        <w:t xml:space="preserve"> file that is intended to be used with</w:t>
      </w:r>
      <w:r w:rsidR="0030286B">
        <w:rPr>
          <w:color w:val="333333"/>
          <w:spacing w:val="18"/>
          <w:w w:val="110"/>
        </w:rPr>
        <w:t xml:space="preserve"> </w:t>
      </w:r>
      <w:r w:rsidR="0030286B">
        <w:rPr>
          <w:rFonts w:ascii="MS Gothic"/>
          <w:color w:val="B02045"/>
          <w:w w:val="110"/>
        </w:rPr>
        <w:t>layertools</w:t>
      </w:r>
      <w:r w:rsidR="0030286B">
        <w:rPr>
          <w:color w:val="333333"/>
          <w:w w:val="110"/>
        </w:rPr>
        <w:t>.</w:t>
      </w:r>
    </w:p>
    <w:p w14:paraId="2B8E77DC" w14:textId="77777777" w:rsidR="00A720EB" w:rsidRDefault="00A720EB">
      <w:pPr>
        <w:pStyle w:val="a3"/>
        <w:spacing w:before="10"/>
        <w:rPr>
          <w:sz w:val="15"/>
        </w:rPr>
      </w:pPr>
    </w:p>
    <w:p w14:paraId="13990053" w14:textId="77777777" w:rsidR="00A720EB" w:rsidRDefault="0030286B">
      <w:pPr>
        <w:pStyle w:val="a3"/>
        <w:spacing w:before="116"/>
        <w:ind w:left="124"/>
      </w:pPr>
      <w:r>
        <w:rPr>
          <w:color w:val="333333"/>
          <w:w w:val="110"/>
        </w:rPr>
        <w:t xml:space="preserve">Here’s how you can launch your jar with a </w:t>
      </w:r>
      <w:r>
        <w:rPr>
          <w:rFonts w:ascii="MS Gothic" w:hAnsi="MS Gothic"/>
          <w:color w:val="B02045"/>
          <w:w w:val="110"/>
        </w:rPr>
        <w:t xml:space="preserve">layertools </w:t>
      </w:r>
      <w:r>
        <w:rPr>
          <w:color w:val="333333"/>
          <w:w w:val="110"/>
        </w:rPr>
        <w:t>jar mode:</w:t>
      </w:r>
    </w:p>
    <w:p w14:paraId="6FAE3BFA" w14:textId="77777777" w:rsidR="00A720EB" w:rsidRDefault="00E10349">
      <w:pPr>
        <w:pStyle w:val="a3"/>
        <w:spacing w:before="11"/>
        <w:rPr>
          <w:sz w:val="17"/>
        </w:rPr>
      </w:pPr>
      <w:r>
        <w:pict w14:anchorId="5063C165">
          <v:group id="_x0000_s3362" style="position:absolute;margin-left:47.85pt;margin-top:12.5pt;width:499.55pt;height:37.5pt;z-index:-15272960;mso-wrap-distance-left:0;mso-wrap-distance-right:0;mso-position-horizontal-relative:page" coordorigin="957,250" coordsize="9991,750">
            <v:shape id="_x0000_s3365" style="position:absolute;left:964;top:257;width:9976;height:735" coordorigin="965,258" coordsize="9976,735" path="m10861,258r-9816,l1014,264r-26,17l971,307r-6,31l965,913r6,31l988,969r26,17l1045,993r9816,l10892,986r25,-17l10935,944r6,-31l10941,338r-6,-31l10917,281r-25,-17l10861,258xe" fillcolor="#f5f5f5" stroked="f">
              <v:path arrowok="t"/>
            </v:shape>
            <v:shape id="_x0000_s3364" style="position:absolute;left:964;top:257;width:9976;height:735" coordorigin="965,258" coordsize="9976,735" path="m1045,258r9816,l10892,264r25,17l10935,307r6,31l10941,913r-6,31l10917,969r-25,17l10861,993r-9816,l1014,986,988,969,971,944r-6,-31l965,338r6,-31l988,281r26,-17l1045,258xe" filled="f" strokecolor="#ccc">
              <v:path arrowok="t"/>
            </v:shape>
            <v:shape id="_x0000_s3363" type="#_x0000_t202" style="position:absolute;left:984;top:273;width:9938;height:704" filled="f" stroked="f">
              <v:textbox inset="0,0,0,0">
                <w:txbxContent>
                  <w:p w14:paraId="3CFD262A" w14:textId="77777777" w:rsidR="00711A16" w:rsidRDefault="00711A16">
                    <w:pPr>
                      <w:spacing w:before="221"/>
                      <w:ind w:left="200"/>
                      <w:rPr>
                        <w:rFonts w:ascii="MS Gothic"/>
                      </w:rPr>
                    </w:pPr>
                    <w:r>
                      <w:rPr>
                        <w:rFonts w:ascii="MS Gothic"/>
                        <w:color w:val="333333"/>
                      </w:rPr>
                      <w:t>$ java -Djarmode=layertools -jar my-app.jar</w:t>
                    </w:r>
                  </w:p>
                </w:txbxContent>
              </v:textbox>
            </v:shape>
            <w10:wrap type="topAndBottom" anchorx="page"/>
          </v:group>
        </w:pict>
      </w:r>
    </w:p>
    <w:p w14:paraId="0A3FDF22" w14:textId="77777777" w:rsidR="00A720EB" w:rsidRDefault="00A720EB">
      <w:pPr>
        <w:pStyle w:val="a3"/>
        <w:rPr>
          <w:sz w:val="10"/>
        </w:rPr>
      </w:pPr>
    </w:p>
    <w:p w14:paraId="4F5FD1D3" w14:textId="77777777" w:rsidR="00A720EB" w:rsidRDefault="0030286B">
      <w:pPr>
        <w:pStyle w:val="a3"/>
        <w:spacing w:before="125"/>
        <w:ind w:left="124"/>
      </w:pPr>
      <w:r>
        <w:rPr>
          <w:color w:val="333333"/>
          <w:w w:val="110"/>
        </w:rPr>
        <w:t>This will provide the following output:</w:t>
      </w:r>
    </w:p>
    <w:p w14:paraId="2A016784" w14:textId="77777777" w:rsidR="00A720EB" w:rsidRDefault="00E10349">
      <w:pPr>
        <w:pStyle w:val="a3"/>
        <w:rPr>
          <w:sz w:val="19"/>
        </w:rPr>
      </w:pPr>
      <w:r>
        <w:pict w14:anchorId="1DFF28D1">
          <v:group id="_x0000_s3358" style="position:absolute;margin-left:47.85pt;margin-top:13.15pt;width:499.55pt;height:125.95pt;z-index:-15272448;mso-wrap-distance-left:0;mso-wrap-distance-right:0;mso-position-horizontal-relative:page" coordorigin="957,263" coordsize="9991,2519">
            <v:shape id="_x0000_s3361" style="position:absolute;left:964;top:270;width:9976;height:2504" coordorigin="965,270" coordsize="9976,2504" path="m10861,270r-9816,l1014,276r-26,18l971,319r-6,31l965,2694r6,31l988,2750r26,17l1045,2774r9816,l10892,2767r25,-17l10935,2725r6,-31l10941,350r-6,-31l10917,294r-25,-18l10861,270xe" fillcolor="#f5f5f5" stroked="f">
              <v:path arrowok="t"/>
            </v:shape>
            <v:shape id="_x0000_s3360" style="position:absolute;left:964;top:270;width:9976;height:2504" coordorigin="965,270" coordsize="9976,2504" path="m1045,270r9816,l10892,276r25,18l10935,319r6,31l10941,2694r-6,31l10917,2750r-25,17l10861,2774r-9816,l1014,2767r-26,-17l971,2725r-6,-31l965,350r6,-31l988,294r26,-18l1045,270xe" filled="f" strokecolor="#ccc">
              <v:path arrowok="t"/>
            </v:shape>
            <v:shape id="_x0000_s3359" type="#_x0000_t202" style="position:absolute;left:984;top:285;width:9938;height:2473" filled="f" stroked="f">
              <v:textbox inset="0,0,0,0">
                <w:txbxContent>
                  <w:p w14:paraId="68E3E84E" w14:textId="77777777" w:rsidR="00711A16" w:rsidRDefault="00711A16">
                    <w:pPr>
                      <w:spacing w:before="221"/>
                      <w:ind w:left="200"/>
                      <w:rPr>
                        <w:rFonts w:ascii="MS Gothic"/>
                      </w:rPr>
                    </w:pPr>
                    <w:r>
                      <w:rPr>
                        <w:rFonts w:ascii="MS Gothic"/>
                        <w:color w:val="333333"/>
                      </w:rPr>
                      <w:t>Usage:</w:t>
                    </w:r>
                  </w:p>
                  <w:p w14:paraId="0A53EE80" w14:textId="77777777" w:rsidR="00711A16" w:rsidRDefault="00711A16">
                    <w:pPr>
                      <w:spacing w:before="13"/>
                      <w:ind w:left="420"/>
                      <w:rPr>
                        <w:rFonts w:ascii="MS Gothic"/>
                      </w:rPr>
                    </w:pPr>
                    <w:r>
                      <w:rPr>
                        <w:rFonts w:ascii="MS Gothic"/>
                        <w:color w:val="333333"/>
                      </w:rPr>
                      <w:t>java -Djarmode=layertools -jar my-app.jar</w:t>
                    </w:r>
                  </w:p>
                  <w:p w14:paraId="50F16922" w14:textId="77777777" w:rsidR="00711A16" w:rsidRDefault="00711A16">
                    <w:pPr>
                      <w:rPr>
                        <w:rFonts w:ascii="MS Gothic"/>
                        <w:sz w:val="24"/>
                      </w:rPr>
                    </w:pPr>
                  </w:p>
                  <w:p w14:paraId="585B25E0" w14:textId="77777777" w:rsidR="00711A16" w:rsidRDefault="00711A16">
                    <w:pPr>
                      <w:ind w:left="200"/>
                      <w:rPr>
                        <w:rFonts w:ascii="MS Gothic"/>
                      </w:rPr>
                    </w:pPr>
                    <w:r>
                      <w:rPr>
                        <w:rFonts w:ascii="MS Gothic"/>
                        <w:color w:val="333333"/>
                      </w:rPr>
                      <w:t>Available commands:</w:t>
                    </w:r>
                  </w:p>
                  <w:p w14:paraId="3BC8EB20" w14:textId="77777777" w:rsidR="00711A16" w:rsidRDefault="00711A16">
                    <w:pPr>
                      <w:tabs>
                        <w:tab w:val="left" w:pos="1410"/>
                      </w:tabs>
                      <w:spacing w:before="13" w:line="252" w:lineRule="auto"/>
                      <w:ind w:left="420" w:right="3354"/>
                      <w:rPr>
                        <w:rFonts w:ascii="MS Gothic"/>
                      </w:rPr>
                    </w:pPr>
                    <w:r>
                      <w:rPr>
                        <w:rFonts w:ascii="MS Gothic"/>
                        <w:color w:val="333333"/>
                      </w:rPr>
                      <w:t>list</w:t>
                    </w:r>
                    <w:r>
                      <w:rPr>
                        <w:rFonts w:ascii="MS Gothic"/>
                        <w:color w:val="333333"/>
                      </w:rPr>
                      <w:tab/>
                      <w:t>List layers from the jar that can be extracted extract</w:t>
                    </w:r>
                    <w:r>
                      <w:rPr>
                        <w:rFonts w:ascii="MS Gothic"/>
                        <w:color w:val="333333"/>
                      </w:rPr>
                      <w:tab/>
                      <w:t xml:space="preserve">Extracts layers from the jar for image </w:t>
                    </w:r>
                    <w:r>
                      <w:rPr>
                        <w:rFonts w:ascii="MS Gothic"/>
                        <w:color w:val="333333"/>
                        <w:spacing w:val="-3"/>
                      </w:rPr>
                      <w:t xml:space="preserve">creation </w:t>
                    </w:r>
                    <w:r>
                      <w:rPr>
                        <w:rFonts w:ascii="MS Gothic"/>
                        <w:color w:val="333333"/>
                      </w:rPr>
                      <w:t>help</w:t>
                    </w:r>
                    <w:r>
                      <w:rPr>
                        <w:rFonts w:ascii="MS Gothic"/>
                        <w:color w:val="333333"/>
                      </w:rPr>
                      <w:tab/>
                      <w:t>Help about any command</w:t>
                    </w:r>
                  </w:p>
                </w:txbxContent>
              </v:textbox>
            </v:shape>
            <w10:wrap type="topAndBottom" anchorx="page"/>
          </v:group>
        </w:pict>
      </w:r>
    </w:p>
    <w:p w14:paraId="12ED00F5" w14:textId="77777777" w:rsidR="00A720EB" w:rsidRDefault="00A720EB">
      <w:pPr>
        <w:pStyle w:val="a3"/>
        <w:spacing w:before="11"/>
        <w:rPr>
          <w:sz w:val="9"/>
        </w:rPr>
      </w:pPr>
    </w:p>
    <w:p w14:paraId="294A6DDA" w14:textId="77777777" w:rsidR="00A720EB" w:rsidRDefault="0030286B">
      <w:pPr>
        <w:pStyle w:val="a3"/>
        <w:spacing w:before="115" w:line="280" w:lineRule="auto"/>
        <w:ind w:left="124"/>
      </w:pPr>
      <w:r>
        <w:rPr>
          <w:color w:val="333333"/>
          <w:w w:val="110"/>
        </w:rPr>
        <w:t xml:space="preserve">The </w:t>
      </w:r>
      <w:r>
        <w:rPr>
          <w:rFonts w:ascii="MS Gothic" w:hAnsi="MS Gothic"/>
          <w:color w:val="B02045"/>
          <w:w w:val="110"/>
        </w:rPr>
        <w:t xml:space="preserve">extract </w:t>
      </w:r>
      <w:r>
        <w:rPr>
          <w:color w:val="333333"/>
          <w:w w:val="110"/>
        </w:rPr>
        <w:t xml:space="preserve">command can be used to easily split the application into layers to be added to the dockerfile. Here’s an example of a Dockerfile using </w:t>
      </w:r>
      <w:r>
        <w:rPr>
          <w:rFonts w:ascii="MS Gothic" w:hAnsi="MS Gothic"/>
          <w:color w:val="B02045"/>
          <w:w w:val="110"/>
        </w:rPr>
        <w:t>jarmode</w:t>
      </w:r>
      <w:r>
        <w:rPr>
          <w:color w:val="333333"/>
          <w:w w:val="110"/>
        </w:rPr>
        <w:t>.</w:t>
      </w:r>
    </w:p>
    <w:p w14:paraId="27651C8A" w14:textId="77777777" w:rsidR="00A720EB" w:rsidRDefault="00E10349">
      <w:pPr>
        <w:pStyle w:val="a3"/>
        <w:spacing w:before="1"/>
        <w:rPr>
          <w:sz w:val="14"/>
        </w:rPr>
      </w:pPr>
      <w:r>
        <w:pict w14:anchorId="60CDADB2">
          <v:group id="_x0000_s3354" style="position:absolute;margin-left:47.85pt;margin-top:10.3pt;width:499.55pt;height:214.4pt;z-index:-15271936;mso-wrap-distance-left:0;mso-wrap-distance-right:0;mso-position-horizontal-relative:page" coordorigin="957,206" coordsize="9991,4288">
            <v:shape id="_x0000_s3357" style="position:absolute;left:964;top:213;width:9976;height:4273" coordorigin="965,213" coordsize="9976,4273" path="m10861,213r-9816,l1014,219r-26,18l971,262r-6,31l965,4405r6,32l988,4462r26,17l1045,4485r9816,l10892,4479r25,-17l10935,4437r6,-32l10941,293r-6,-31l10917,237r-25,-18l10861,213xe" fillcolor="#f5f5f5" stroked="f">
              <v:path arrowok="t"/>
            </v:shape>
            <v:shape id="_x0000_s3356" style="position:absolute;left:964;top:213;width:9976;height:4273" coordorigin="965,213" coordsize="9976,4273" path="m1045,213r9816,l10892,219r25,18l10935,262r6,31l10941,4405r-6,32l10917,4462r-25,17l10861,4485r-9816,l1014,4479r-26,-17l971,4437r-6,-32l965,293r6,-31l988,237r26,-18l1045,213xe" filled="f" strokecolor="#ccc">
              <v:path arrowok="t"/>
            </v:shape>
            <v:shape id="_x0000_s3355" type="#_x0000_t202" style="position:absolute;left:984;top:228;width:9938;height:4242" filled="f" stroked="f">
              <v:textbox inset="0,0,0,0">
                <w:txbxContent>
                  <w:p w14:paraId="29E35F4D" w14:textId="77777777" w:rsidR="00711A16" w:rsidRDefault="00711A16">
                    <w:pPr>
                      <w:spacing w:before="221" w:line="252" w:lineRule="auto"/>
                      <w:ind w:left="200" w:right="4988"/>
                      <w:rPr>
                        <w:rFonts w:ascii="MS Gothic"/>
                      </w:rPr>
                    </w:pPr>
                    <w:r>
                      <w:rPr>
                        <w:rFonts w:ascii="MS Gothic"/>
                        <w:color w:val="333333"/>
                      </w:rPr>
                      <w:t>FROM adoptopenjdk:11-jre-hotspot as builder WORKDIR application</w:t>
                    </w:r>
                  </w:p>
                  <w:p w14:paraId="12CBD907" w14:textId="77777777" w:rsidR="00711A16" w:rsidRDefault="00711A16">
                    <w:pPr>
                      <w:spacing w:line="280" w:lineRule="exact"/>
                      <w:ind w:left="200"/>
                      <w:rPr>
                        <w:rFonts w:ascii="MS Gothic"/>
                      </w:rPr>
                    </w:pPr>
                    <w:r>
                      <w:rPr>
                        <w:rFonts w:ascii="MS Gothic"/>
                        <w:color w:val="333333"/>
                      </w:rPr>
                      <w:t>ARG JAR_FILE=target/*.jar</w:t>
                    </w:r>
                  </w:p>
                  <w:p w14:paraId="3151A308" w14:textId="77777777" w:rsidR="00711A16" w:rsidRDefault="00711A16">
                    <w:pPr>
                      <w:spacing w:before="13"/>
                      <w:ind w:left="200"/>
                      <w:rPr>
                        <w:rFonts w:ascii="MS Gothic"/>
                      </w:rPr>
                    </w:pPr>
                    <w:r>
                      <w:rPr>
                        <w:rFonts w:ascii="MS Gothic"/>
                        <w:color w:val="333333"/>
                      </w:rPr>
                      <w:t>COPY ${JAR_FILE} application.jar</w:t>
                    </w:r>
                  </w:p>
                  <w:p w14:paraId="23E83A4E" w14:textId="77777777" w:rsidR="00711A16" w:rsidRDefault="00711A16">
                    <w:pPr>
                      <w:spacing w:before="13"/>
                      <w:ind w:left="200"/>
                      <w:rPr>
                        <w:rFonts w:ascii="MS Gothic"/>
                      </w:rPr>
                    </w:pPr>
                    <w:r>
                      <w:rPr>
                        <w:rFonts w:ascii="MS Gothic"/>
                        <w:color w:val="333333"/>
                      </w:rPr>
                      <w:t>RUN java -Djarmode=layertools -jar application.jar extract</w:t>
                    </w:r>
                  </w:p>
                  <w:p w14:paraId="1F11985B" w14:textId="77777777" w:rsidR="00711A16" w:rsidRDefault="00711A16">
                    <w:pPr>
                      <w:rPr>
                        <w:rFonts w:ascii="MS Gothic"/>
                        <w:sz w:val="24"/>
                      </w:rPr>
                    </w:pPr>
                  </w:p>
                  <w:p w14:paraId="010EA29F" w14:textId="77777777" w:rsidR="00711A16" w:rsidRDefault="00711A16">
                    <w:pPr>
                      <w:spacing w:line="252" w:lineRule="auto"/>
                      <w:ind w:left="200" w:right="6198"/>
                      <w:rPr>
                        <w:rFonts w:ascii="MS Gothic"/>
                      </w:rPr>
                    </w:pPr>
                    <w:r>
                      <w:rPr>
                        <w:rFonts w:ascii="MS Gothic"/>
                        <w:color w:val="333333"/>
                      </w:rPr>
                      <w:t>FROM adoptopenjdk:11-jre-hotspot WORKDIR application</w:t>
                    </w:r>
                  </w:p>
                  <w:p w14:paraId="29814CC9" w14:textId="77777777" w:rsidR="00711A16" w:rsidRDefault="00711A16">
                    <w:pPr>
                      <w:spacing w:line="280" w:lineRule="exact"/>
                      <w:ind w:left="200"/>
                      <w:rPr>
                        <w:rFonts w:ascii="MS Gothic"/>
                      </w:rPr>
                    </w:pPr>
                    <w:r>
                      <w:rPr>
                        <w:rFonts w:ascii="MS Gothic"/>
                        <w:color w:val="333333"/>
                      </w:rPr>
                      <w:t>COPY --from=builder application/dependencies</w:t>
                    </w:r>
                    <w:proofErr w:type="gramStart"/>
                    <w:r>
                      <w:rPr>
                        <w:rFonts w:ascii="MS Gothic"/>
                        <w:color w:val="333333"/>
                      </w:rPr>
                      <w:t>/ .</w:t>
                    </w:r>
                    <w:proofErr w:type="gramEnd"/>
                    <w:r>
                      <w:rPr>
                        <w:rFonts w:ascii="MS Gothic"/>
                        <w:color w:val="333333"/>
                      </w:rPr>
                      <w:t>/</w:t>
                    </w:r>
                  </w:p>
                  <w:p w14:paraId="606B7623" w14:textId="77777777" w:rsidR="00711A16" w:rsidRDefault="00711A16">
                    <w:pPr>
                      <w:spacing w:before="13" w:line="252" w:lineRule="auto"/>
                      <w:ind w:left="200" w:right="3464"/>
                      <w:rPr>
                        <w:rFonts w:ascii="MS Gothic"/>
                      </w:rPr>
                    </w:pPr>
                    <w:r>
                      <w:rPr>
                        <w:rFonts w:ascii="MS Gothic"/>
                        <w:color w:val="333333"/>
                      </w:rPr>
                      <w:t>COPY --from=builder application/spring-boot-loader</w:t>
                    </w:r>
                    <w:proofErr w:type="gramStart"/>
                    <w:r>
                      <w:rPr>
                        <w:rFonts w:ascii="MS Gothic"/>
                        <w:color w:val="333333"/>
                      </w:rPr>
                      <w:t>/ .</w:t>
                    </w:r>
                    <w:proofErr w:type="gramEnd"/>
                    <w:r>
                      <w:rPr>
                        <w:rFonts w:ascii="MS Gothic"/>
                        <w:color w:val="333333"/>
                      </w:rPr>
                      <w:t xml:space="preserve">/ COPY --from=builder application/snapshot-dependencies/ </w:t>
                    </w:r>
                    <w:r>
                      <w:rPr>
                        <w:rFonts w:ascii="MS Gothic"/>
                        <w:color w:val="333333"/>
                        <w:spacing w:val="-9"/>
                      </w:rPr>
                      <w:t xml:space="preserve">./ </w:t>
                    </w:r>
                    <w:r>
                      <w:rPr>
                        <w:rFonts w:ascii="MS Gothic"/>
                        <w:color w:val="333333"/>
                      </w:rPr>
                      <w:t>COPY --from=builder application/application/ ./</w:t>
                    </w:r>
                  </w:p>
                  <w:p w14:paraId="15A00E1F" w14:textId="77777777" w:rsidR="00711A16" w:rsidRDefault="00711A16">
                    <w:pPr>
                      <w:spacing w:line="278" w:lineRule="exact"/>
                      <w:ind w:left="200"/>
                      <w:rPr>
                        <w:rFonts w:ascii="MS Gothic"/>
                      </w:rPr>
                    </w:pPr>
                    <w:r>
                      <w:rPr>
                        <w:rFonts w:ascii="MS Gothic"/>
                        <w:color w:val="333333"/>
                      </w:rPr>
                      <w:t>ENTRYPOINT ["java", "</w:t>
                    </w:r>
                    <w:proofErr w:type="gramStart"/>
                    <w:r>
                      <w:rPr>
                        <w:rFonts w:ascii="MS Gothic"/>
                        <w:color w:val="333333"/>
                      </w:rPr>
                      <w:t>org.springframework</w:t>
                    </w:r>
                    <w:proofErr w:type="gramEnd"/>
                    <w:r>
                      <w:rPr>
                        <w:rFonts w:ascii="MS Gothic"/>
                        <w:color w:val="333333"/>
                      </w:rPr>
                      <w:t>.boot.loader.JarLauncher"]</w:t>
                    </w:r>
                  </w:p>
                </w:txbxContent>
              </v:textbox>
            </v:shape>
            <w10:wrap type="topAndBottom" anchorx="page"/>
          </v:group>
        </w:pict>
      </w:r>
    </w:p>
    <w:p w14:paraId="6D049387" w14:textId="77777777" w:rsidR="00A720EB" w:rsidRDefault="00A720EB">
      <w:pPr>
        <w:pStyle w:val="a3"/>
        <w:spacing w:before="11"/>
        <w:rPr>
          <w:sz w:val="9"/>
        </w:rPr>
      </w:pPr>
    </w:p>
    <w:p w14:paraId="639C8120" w14:textId="77777777" w:rsidR="00A720EB" w:rsidRDefault="0030286B">
      <w:pPr>
        <w:pStyle w:val="a3"/>
        <w:spacing w:before="115" w:line="285" w:lineRule="auto"/>
        <w:ind w:left="124" w:right="128"/>
        <w:jc w:val="both"/>
      </w:pPr>
      <w:r>
        <w:rPr>
          <w:color w:val="333333"/>
          <w:w w:val="110"/>
        </w:rPr>
        <w:t xml:space="preserve">Assuming the above </w:t>
      </w:r>
      <w:r>
        <w:rPr>
          <w:rFonts w:ascii="MS Gothic"/>
          <w:color w:val="B02045"/>
          <w:w w:val="110"/>
        </w:rPr>
        <w:t xml:space="preserve">Dockerfile </w:t>
      </w:r>
      <w:r>
        <w:rPr>
          <w:color w:val="333333"/>
          <w:w w:val="110"/>
        </w:rPr>
        <w:t xml:space="preserve">is in the current directory, your docker image can be built with </w:t>
      </w:r>
      <w:r>
        <w:rPr>
          <w:rFonts w:ascii="MS Gothic"/>
          <w:color w:val="B02045"/>
          <w:w w:val="110"/>
        </w:rPr>
        <w:t xml:space="preserve">docker </w:t>
      </w:r>
      <w:proofErr w:type="gramStart"/>
      <w:r>
        <w:rPr>
          <w:rFonts w:ascii="MS Gothic"/>
          <w:color w:val="B02045"/>
          <w:w w:val="110"/>
        </w:rPr>
        <w:t>build .</w:t>
      </w:r>
      <w:proofErr w:type="gramEnd"/>
      <w:r>
        <w:rPr>
          <w:color w:val="333333"/>
          <w:w w:val="110"/>
        </w:rPr>
        <w:t>, or optionally specifying the path to your application jar, as shown in the following example:</w:t>
      </w:r>
    </w:p>
    <w:p w14:paraId="061295CD" w14:textId="77777777" w:rsidR="00A720EB" w:rsidRDefault="00E10349">
      <w:pPr>
        <w:pStyle w:val="a3"/>
        <w:spacing w:before="2"/>
        <w:rPr>
          <w:sz w:val="15"/>
        </w:rPr>
      </w:pPr>
      <w:r>
        <w:pict w14:anchorId="4D8D625A">
          <v:group id="_x0000_s3350" style="position:absolute;margin-left:47.85pt;margin-top:10.85pt;width:499.55pt;height:37.5pt;z-index:-15271424;mso-wrap-distance-left:0;mso-wrap-distance-right:0;mso-position-horizontal-relative:page" coordorigin="957,217" coordsize="9991,750">
            <v:shape id="_x0000_s3353" style="position:absolute;left:964;top:224;width:9976;height:735" coordorigin="965,225" coordsize="9976,735" path="m10861,225r-9816,l1014,231r-26,17l971,274r-6,31l965,880r6,31l988,936r26,17l1045,960r9816,l10892,953r25,-17l10935,911r6,-31l10941,305r-6,-31l10917,248r-25,-17l10861,225xe" fillcolor="#f5f5f5" stroked="f">
              <v:path arrowok="t"/>
            </v:shape>
            <v:shape id="_x0000_s3352" style="position:absolute;left:964;top:224;width:9976;height:735" coordorigin="965,225" coordsize="9976,735" path="m1045,225r9816,l10892,231r25,17l10935,274r6,31l10941,880r-6,31l10917,936r-25,17l10861,960r-9816,l1014,953,988,936,971,911r-6,-31l965,305r6,-31l988,248r26,-17l1045,225xe" filled="f" strokecolor="#ccc">
              <v:path arrowok="t"/>
            </v:shape>
            <v:shape id="_x0000_s3351" type="#_x0000_t202" style="position:absolute;left:984;top:240;width:9938;height:704" filled="f" stroked="f">
              <v:textbox inset="0,0,0,0">
                <w:txbxContent>
                  <w:p w14:paraId="1CE59F0C" w14:textId="77777777" w:rsidR="00711A16" w:rsidRDefault="00711A16">
                    <w:pPr>
                      <w:spacing w:before="221"/>
                      <w:ind w:left="200"/>
                      <w:rPr>
                        <w:rFonts w:ascii="MS Gothic"/>
                      </w:rPr>
                    </w:pPr>
                    <w:r>
                      <w:rPr>
                        <w:rFonts w:ascii="MS Gothic"/>
                        <w:color w:val="333333"/>
                      </w:rPr>
                      <w:t>docker build --build-arg JAR_FILE=</w:t>
                    </w:r>
                    <w:proofErr w:type="gramStart"/>
                    <w:r>
                      <w:rPr>
                        <w:rFonts w:ascii="MS Gothic"/>
                        <w:color w:val="333333"/>
                      </w:rPr>
                      <w:t>path/to/myapp.jar .</w:t>
                    </w:r>
                    <w:proofErr w:type="gramEnd"/>
                  </w:p>
                </w:txbxContent>
              </v:textbox>
            </v:shape>
            <w10:wrap type="topAndBottom" anchorx="page"/>
          </v:group>
        </w:pict>
      </w:r>
    </w:p>
    <w:p w14:paraId="12097F8A" w14:textId="77777777" w:rsidR="00A720EB" w:rsidRDefault="00A720EB">
      <w:pPr>
        <w:pStyle w:val="a3"/>
        <w:rPr>
          <w:sz w:val="10"/>
        </w:rPr>
      </w:pPr>
    </w:p>
    <w:p w14:paraId="116E8F1A" w14:textId="77777777" w:rsidR="00A720EB" w:rsidRDefault="0030286B">
      <w:pPr>
        <w:pStyle w:val="a3"/>
        <w:spacing w:before="125" w:line="297" w:lineRule="auto"/>
        <w:ind w:left="124" w:right="136"/>
      </w:pPr>
      <w:r>
        <w:rPr>
          <w:color w:val="333333"/>
          <w:w w:val="110"/>
        </w:rPr>
        <w:t xml:space="preserve">This is a multi-stage dockerfile. The builder stage extracts the directories that are needed later. Each of the </w:t>
      </w:r>
      <w:r>
        <w:rPr>
          <w:rFonts w:ascii="MS Gothic"/>
          <w:color w:val="B02045"/>
          <w:w w:val="110"/>
        </w:rPr>
        <w:t xml:space="preserve">COPY </w:t>
      </w:r>
      <w:r>
        <w:rPr>
          <w:color w:val="333333"/>
          <w:w w:val="110"/>
        </w:rPr>
        <w:t>commands relates to the layers extracted by the jarmode.</w:t>
      </w:r>
    </w:p>
    <w:p w14:paraId="5974943D" w14:textId="77777777" w:rsidR="00A720EB" w:rsidRDefault="0030286B">
      <w:pPr>
        <w:pStyle w:val="a3"/>
        <w:spacing w:before="232"/>
        <w:ind w:left="124"/>
      </w:pPr>
      <w:r>
        <w:rPr>
          <w:color w:val="333333"/>
          <w:w w:val="110"/>
        </w:rPr>
        <w:t>Of course, a Dockerfile can be written without using the jarmode. You can use some combination of</w:t>
      </w:r>
    </w:p>
    <w:p w14:paraId="6867C00D" w14:textId="77777777" w:rsidR="00A720EB" w:rsidRDefault="00A720EB">
      <w:pPr>
        <w:sectPr w:rsidR="00A720EB">
          <w:pgSz w:w="11910" w:h="16840"/>
          <w:pgMar w:top="700" w:right="840" w:bottom="520" w:left="840" w:header="0" w:footer="323" w:gutter="0"/>
          <w:cols w:space="720"/>
        </w:sectPr>
      </w:pPr>
    </w:p>
    <w:p w14:paraId="6F3F8F08" w14:textId="77777777" w:rsidR="00A720EB" w:rsidRDefault="0030286B">
      <w:pPr>
        <w:pStyle w:val="a3"/>
        <w:spacing w:before="96"/>
        <w:ind w:left="124"/>
        <w:jc w:val="both"/>
      </w:pPr>
      <w:r>
        <w:rPr>
          <w:rFonts w:ascii="MS Gothic"/>
          <w:color w:val="B02045"/>
          <w:w w:val="110"/>
        </w:rPr>
        <w:lastRenderedPageBreak/>
        <w:t xml:space="preserve">unzip </w:t>
      </w:r>
      <w:r>
        <w:rPr>
          <w:color w:val="333333"/>
          <w:w w:val="110"/>
        </w:rPr>
        <w:t xml:space="preserve">and </w:t>
      </w:r>
      <w:r>
        <w:rPr>
          <w:rFonts w:ascii="MS Gothic"/>
          <w:color w:val="B02045"/>
          <w:w w:val="110"/>
        </w:rPr>
        <w:t>mv</w:t>
      </w:r>
      <w:r>
        <w:rPr>
          <w:rFonts w:ascii="MS Gothic"/>
          <w:color w:val="B02045"/>
          <w:spacing w:val="-98"/>
          <w:w w:val="110"/>
        </w:rPr>
        <w:t xml:space="preserve"> </w:t>
      </w:r>
      <w:r>
        <w:rPr>
          <w:color w:val="333333"/>
          <w:w w:val="110"/>
        </w:rPr>
        <w:t>to move things to the right layer but jarmode simplifies that.</w:t>
      </w:r>
    </w:p>
    <w:p w14:paraId="745F1DB7" w14:textId="77777777" w:rsidR="00A720EB" w:rsidRDefault="00A720EB">
      <w:pPr>
        <w:pStyle w:val="a3"/>
        <w:spacing w:before="6"/>
        <w:rPr>
          <w:sz w:val="30"/>
        </w:rPr>
      </w:pPr>
    </w:p>
    <w:p w14:paraId="0003E068" w14:textId="77777777" w:rsidR="00A720EB" w:rsidRDefault="0030286B">
      <w:pPr>
        <w:pStyle w:val="3"/>
        <w:numPr>
          <w:ilvl w:val="2"/>
          <w:numId w:val="68"/>
        </w:numPr>
        <w:tabs>
          <w:tab w:val="left" w:pos="1003"/>
        </w:tabs>
        <w:ind w:left="1002" w:hanging="879"/>
      </w:pPr>
      <w:bookmarkStart w:id="548" w:name="4.31.2._Buildpacks"/>
      <w:bookmarkStart w:id="549" w:name="_Toc54423834"/>
      <w:bookmarkEnd w:id="548"/>
      <w:r>
        <w:rPr>
          <w:color w:val="333333"/>
          <w:w w:val="110"/>
        </w:rPr>
        <w:t>Buildpacks</w:t>
      </w:r>
      <w:bookmarkEnd w:id="549"/>
    </w:p>
    <w:p w14:paraId="2FC4B10D" w14:textId="77777777" w:rsidR="00A720EB" w:rsidRDefault="0030286B">
      <w:pPr>
        <w:pStyle w:val="a3"/>
        <w:spacing w:before="254" w:line="302" w:lineRule="auto"/>
        <w:ind w:left="124" w:right="122"/>
        <w:jc w:val="both"/>
      </w:pPr>
      <w:r>
        <w:rPr>
          <w:color w:val="333333"/>
          <w:w w:val="110"/>
        </w:rPr>
        <w:t xml:space="preserve">Dockerfiles are just one way to build docker images. Another way to build docker images is directly from your Maven or Gradle plugin, using buildpacks. If you’ve ever used an application </w:t>
      </w:r>
      <w:proofErr w:type="gramStart"/>
      <w:r>
        <w:rPr>
          <w:color w:val="333333"/>
          <w:w w:val="110"/>
        </w:rPr>
        <w:t xml:space="preserve">platform </w:t>
      </w:r>
      <w:r>
        <w:rPr>
          <w:color w:val="333333"/>
          <w:spacing w:val="50"/>
          <w:w w:val="110"/>
        </w:rPr>
        <w:t xml:space="preserve"> </w:t>
      </w:r>
      <w:r>
        <w:rPr>
          <w:color w:val="333333"/>
          <w:w w:val="110"/>
        </w:rPr>
        <w:t>such</w:t>
      </w:r>
      <w:proofErr w:type="gramEnd"/>
      <w:r>
        <w:rPr>
          <w:color w:val="333333"/>
          <w:w w:val="110"/>
        </w:rPr>
        <w:t xml:space="preserve"> as Cloud Foundry or Heroku then you’ve probably used a buildpack. Buildpacks are the part of the platform that takes your application and converts it into something that the </w:t>
      </w:r>
      <w:proofErr w:type="gramStart"/>
      <w:r>
        <w:rPr>
          <w:color w:val="333333"/>
          <w:w w:val="110"/>
        </w:rPr>
        <w:t>platform  can</w:t>
      </w:r>
      <w:proofErr w:type="gramEnd"/>
      <w:r>
        <w:rPr>
          <w:color w:val="333333"/>
          <w:w w:val="110"/>
        </w:rPr>
        <w:t xml:space="preserve">  actually run. </w:t>
      </w:r>
      <w:r>
        <w:rPr>
          <w:color w:val="333333"/>
          <w:spacing w:val="-4"/>
          <w:w w:val="110"/>
        </w:rPr>
        <w:t xml:space="preserve">For </w:t>
      </w:r>
      <w:r>
        <w:rPr>
          <w:color w:val="333333"/>
          <w:w w:val="110"/>
        </w:rPr>
        <w:t xml:space="preserve">example, Cloud Foundry’s Java buildpack will notice that you’re pushing a </w:t>
      </w:r>
      <w:r>
        <w:rPr>
          <w:rFonts w:ascii="MS Gothic" w:hAnsi="MS Gothic"/>
          <w:color w:val="B02045"/>
          <w:w w:val="110"/>
        </w:rPr>
        <w:t xml:space="preserve">.jar </w:t>
      </w:r>
      <w:r>
        <w:rPr>
          <w:color w:val="333333"/>
          <w:w w:val="110"/>
        </w:rPr>
        <w:t>file and automatically add a relevant</w:t>
      </w:r>
      <w:r>
        <w:rPr>
          <w:color w:val="333333"/>
          <w:spacing w:val="14"/>
          <w:w w:val="110"/>
        </w:rPr>
        <w:t xml:space="preserve"> </w:t>
      </w:r>
      <w:r>
        <w:rPr>
          <w:color w:val="333333"/>
          <w:w w:val="110"/>
        </w:rPr>
        <w:t>JRE.</w:t>
      </w:r>
    </w:p>
    <w:p w14:paraId="27C90D34" w14:textId="77777777" w:rsidR="00A720EB" w:rsidRDefault="0030286B">
      <w:pPr>
        <w:pStyle w:val="a3"/>
        <w:spacing w:before="244" w:line="307" w:lineRule="auto"/>
        <w:ind w:left="124" w:right="129"/>
        <w:jc w:val="both"/>
      </w:pPr>
      <w:r>
        <w:rPr>
          <w:color w:val="333333"/>
          <w:w w:val="110"/>
        </w:rPr>
        <w:t xml:space="preserve">With Cloud Native Buildpacks, you can create Docker compatible images that </w:t>
      </w:r>
      <w:proofErr w:type="gramStart"/>
      <w:r>
        <w:rPr>
          <w:color w:val="333333"/>
          <w:w w:val="110"/>
        </w:rPr>
        <w:t>you  can</w:t>
      </w:r>
      <w:proofErr w:type="gramEnd"/>
      <w:r>
        <w:rPr>
          <w:color w:val="333333"/>
          <w:w w:val="110"/>
        </w:rPr>
        <w:t xml:space="preserve">  run</w:t>
      </w:r>
      <w:r>
        <w:rPr>
          <w:color w:val="333333"/>
          <w:spacing w:val="50"/>
          <w:w w:val="110"/>
        </w:rPr>
        <w:t xml:space="preserve"> </w:t>
      </w:r>
      <w:r>
        <w:rPr>
          <w:color w:val="333333"/>
          <w:w w:val="110"/>
        </w:rPr>
        <w:t>anywhere. Spring Boot includes buildpack support directly for both Maven and Gradle. This means you can just type a single command and quickly get a sensible image into your locally running</w:t>
      </w:r>
      <w:r>
        <w:rPr>
          <w:color w:val="333333"/>
          <w:spacing w:val="50"/>
          <w:w w:val="110"/>
        </w:rPr>
        <w:t xml:space="preserve"> </w:t>
      </w:r>
      <w:r>
        <w:rPr>
          <w:color w:val="333333"/>
          <w:w w:val="110"/>
        </w:rPr>
        <w:t>Docker</w:t>
      </w:r>
      <w:r>
        <w:rPr>
          <w:color w:val="333333"/>
          <w:spacing w:val="3"/>
          <w:w w:val="110"/>
        </w:rPr>
        <w:t xml:space="preserve"> </w:t>
      </w:r>
      <w:r>
        <w:rPr>
          <w:color w:val="333333"/>
          <w:w w:val="110"/>
        </w:rPr>
        <w:t>daemon.</w:t>
      </w:r>
    </w:p>
    <w:p w14:paraId="670C3E25" w14:textId="77777777" w:rsidR="00A720EB" w:rsidRDefault="0030286B">
      <w:pPr>
        <w:pStyle w:val="a3"/>
        <w:spacing w:before="242"/>
        <w:ind w:left="124"/>
        <w:jc w:val="both"/>
      </w:pPr>
      <w:r>
        <w:rPr>
          <w:color w:val="333333"/>
          <w:w w:val="110"/>
        </w:rPr>
        <w:t xml:space="preserve">Refer to the individual plugin documentation on how to use buildpacks with </w:t>
      </w:r>
      <w:hyperlink r:id="rId410" w:anchor="build-image">
        <w:r>
          <w:rPr>
            <w:color w:val="418BCA"/>
            <w:w w:val="110"/>
          </w:rPr>
          <w:t xml:space="preserve">Maven </w:t>
        </w:r>
      </w:hyperlink>
      <w:r>
        <w:rPr>
          <w:color w:val="333333"/>
          <w:w w:val="110"/>
        </w:rPr>
        <w:t xml:space="preserve">and </w:t>
      </w:r>
      <w:hyperlink r:id="rId411" w:anchor="build-image">
        <w:r>
          <w:rPr>
            <w:color w:val="418BCA"/>
            <w:w w:val="110"/>
          </w:rPr>
          <w:t>Gradle</w:t>
        </w:r>
      </w:hyperlink>
      <w:r>
        <w:rPr>
          <w:color w:val="333333"/>
          <w:w w:val="110"/>
        </w:rPr>
        <w:t>.</w:t>
      </w:r>
    </w:p>
    <w:p w14:paraId="5BB9071D" w14:textId="77777777" w:rsidR="00A720EB" w:rsidRDefault="00A720EB">
      <w:pPr>
        <w:pStyle w:val="a3"/>
        <w:spacing w:before="8"/>
        <w:rPr>
          <w:sz w:val="31"/>
        </w:rPr>
      </w:pPr>
    </w:p>
    <w:p w14:paraId="6452DAD2" w14:textId="77777777" w:rsidR="00A720EB" w:rsidRDefault="0030286B">
      <w:pPr>
        <w:pStyle w:val="2"/>
        <w:numPr>
          <w:ilvl w:val="1"/>
          <w:numId w:val="68"/>
        </w:numPr>
        <w:tabs>
          <w:tab w:val="left" w:pos="1034"/>
        </w:tabs>
        <w:ind w:left="1033" w:hanging="910"/>
      </w:pPr>
      <w:bookmarkStart w:id="550" w:name="4.32._What_to_Read_Next"/>
      <w:bookmarkStart w:id="551" w:name="_Toc54423835"/>
      <w:bookmarkEnd w:id="550"/>
      <w:r>
        <w:rPr>
          <w:color w:val="333333"/>
          <w:w w:val="110"/>
        </w:rPr>
        <w:t>What to Read</w:t>
      </w:r>
      <w:r>
        <w:rPr>
          <w:color w:val="333333"/>
          <w:spacing w:val="-20"/>
          <w:w w:val="110"/>
        </w:rPr>
        <w:t xml:space="preserve"> </w:t>
      </w:r>
      <w:r>
        <w:rPr>
          <w:color w:val="333333"/>
          <w:w w:val="110"/>
        </w:rPr>
        <w:t>Next</w:t>
      </w:r>
      <w:bookmarkEnd w:id="551"/>
    </w:p>
    <w:p w14:paraId="59A18AB8" w14:textId="77777777" w:rsidR="00A720EB" w:rsidRDefault="0030286B">
      <w:pPr>
        <w:pStyle w:val="a3"/>
        <w:spacing w:before="254" w:line="307" w:lineRule="auto"/>
        <w:ind w:left="124" w:right="124"/>
        <w:jc w:val="both"/>
      </w:pPr>
      <w:r>
        <w:rPr>
          <w:color w:val="333333"/>
          <w:w w:val="110"/>
        </w:rPr>
        <w:t xml:space="preserve">If you want to learn more about any of the classes discussed in this section, you can check out the </w:t>
      </w:r>
      <w:hyperlink r:id="rId412">
        <w:r>
          <w:rPr>
            <w:color w:val="418BCA"/>
            <w:w w:val="110"/>
          </w:rPr>
          <w:t>Spring Boot API documentation</w:t>
        </w:r>
      </w:hyperlink>
      <w:r>
        <w:rPr>
          <w:color w:val="418BCA"/>
          <w:w w:val="110"/>
        </w:rPr>
        <w:t xml:space="preserve"> </w:t>
      </w:r>
      <w:r>
        <w:rPr>
          <w:color w:val="333333"/>
          <w:w w:val="110"/>
        </w:rPr>
        <w:t xml:space="preserve">or you can browse the </w:t>
      </w:r>
      <w:hyperlink r:id="rId413">
        <w:r>
          <w:rPr>
            <w:color w:val="418BCA"/>
            <w:w w:val="110"/>
          </w:rPr>
          <w:t>source code directly</w:t>
        </w:r>
      </w:hyperlink>
      <w:r>
        <w:rPr>
          <w:color w:val="333333"/>
          <w:w w:val="110"/>
        </w:rPr>
        <w:t xml:space="preserve">. If you have specific questions, take a look at the </w:t>
      </w:r>
      <w:hyperlink w:anchor="_bookmark525" w:history="1">
        <w:r>
          <w:rPr>
            <w:color w:val="418BCA"/>
            <w:w w:val="110"/>
          </w:rPr>
          <w:t xml:space="preserve">how-to </w:t>
        </w:r>
      </w:hyperlink>
      <w:r>
        <w:rPr>
          <w:color w:val="333333"/>
          <w:w w:val="110"/>
        </w:rPr>
        <w:t>section.</w:t>
      </w:r>
    </w:p>
    <w:p w14:paraId="2553AC48" w14:textId="77777777" w:rsidR="00A720EB" w:rsidRDefault="0030286B">
      <w:pPr>
        <w:pStyle w:val="a3"/>
        <w:spacing w:before="241" w:line="307" w:lineRule="auto"/>
        <w:ind w:left="124" w:right="131"/>
        <w:jc w:val="both"/>
      </w:pPr>
      <w:r>
        <w:rPr>
          <w:color w:val="333333"/>
          <w:w w:val="110"/>
        </w:rPr>
        <w:t xml:space="preserve">If you are comfortable with Spring Boot’s core features, you can continue on and read about </w:t>
      </w:r>
      <w:hyperlink w:anchor="_bookmark378" w:history="1">
        <w:r>
          <w:rPr>
            <w:color w:val="418BCA"/>
            <w:w w:val="110"/>
          </w:rPr>
          <w:t>production-ready features</w:t>
        </w:r>
      </w:hyperlink>
      <w:r>
        <w:rPr>
          <w:color w:val="333333"/>
          <w:w w:val="110"/>
        </w:rPr>
        <w:t>.</w:t>
      </w:r>
    </w:p>
    <w:p w14:paraId="16050E2A" w14:textId="77777777" w:rsidR="00A720EB" w:rsidRDefault="00A720EB">
      <w:pPr>
        <w:spacing w:line="307" w:lineRule="auto"/>
        <w:jc w:val="both"/>
        <w:sectPr w:rsidR="00A720EB">
          <w:pgSz w:w="11910" w:h="16840"/>
          <w:pgMar w:top="620" w:right="840" w:bottom="520" w:left="840" w:header="0" w:footer="323" w:gutter="0"/>
          <w:cols w:space="720"/>
        </w:sectPr>
      </w:pPr>
    </w:p>
    <w:p w14:paraId="5AFD2A16" w14:textId="77777777" w:rsidR="00A720EB" w:rsidRDefault="0030286B">
      <w:pPr>
        <w:spacing w:before="90" w:line="242" w:lineRule="auto"/>
        <w:ind w:left="124" w:right="176"/>
        <w:jc w:val="both"/>
        <w:rPr>
          <w:rFonts w:ascii="Palatino Linotype"/>
          <w:b/>
          <w:sz w:val="44"/>
        </w:rPr>
      </w:pPr>
      <w:bookmarkStart w:id="552" w:name="Chapter_5._Spring_Boot_Actuator:_Product"/>
      <w:bookmarkEnd w:id="552"/>
      <w:r>
        <w:rPr>
          <w:rFonts w:ascii="Palatino Linotype"/>
          <w:b/>
          <w:color w:val="333333"/>
          <w:w w:val="110"/>
          <w:sz w:val="44"/>
        </w:rPr>
        <w:lastRenderedPageBreak/>
        <w:t>Chapter 5. Spring Boot Actuator: Production- ready Features</w:t>
      </w:r>
    </w:p>
    <w:p w14:paraId="3D447D1D" w14:textId="77777777" w:rsidR="00A720EB" w:rsidRDefault="0030286B">
      <w:pPr>
        <w:pStyle w:val="a3"/>
        <w:spacing w:before="245" w:line="307" w:lineRule="auto"/>
        <w:ind w:left="124" w:right="136"/>
        <w:jc w:val="both"/>
      </w:pPr>
      <w:r>
        <w:rPr>
          <w:color w:val="333333"/>
          <w:w w:val="110"/>
        </w:rPr>
        <w:t xml:space="preserve">Spring Boot includes a number of additional features to help you monitor and manage your application when you push it to production. </w:t>
      </w:r>
      <w:r>
        <w:rPr>
          <w:color w:val="333333"/>
          <w:spacing w:val="-6"/>
          <w:w w:val="110"/>
        </w:rPr>
        <w:t xml:space="preserve">You </w:t>
      </w:r>
      <w:r>
        <w:rPr>
          <w:color w:val="333333"/>
          <w:w w:val="110"/>
        </w:rPr>
        <w:t>can choose to manage and</w:t>
      </w:r>
      <w:r>
        <w:rPr>
          <w:color w:val="333333"/>
          <w:spacing w:val="50"/>
          <w:w w:val="110"/>
        </w:rPr>
        <w:t xml:space="preserve"> </w:t>
      </w:r>
      <w:proofErr w:type="gramStart"/>
      <w:r>
        <w:rPr>
          <w:color w:val="333333"/>
          <w:w w:val="110"/>
        </w:rPr>
        <w:t>monitor  your</w:t>
      </w:r>
      <w:proofErr w:type="gramEnd"/>
      <w:r>
        <w:rPr>
          <w:color w:val="333333"/>
          <w:w w:val="110"/>
        </w:rPr>
        <w:t xml:space="preserve">  application </w:t>
      </w:r>
      <w:r>
        <w:rPr>
          <w:color w:val="333333"/>
          <w:spacing w:val="-3"/>
          <w:w w:val="110"/>
        </w:rPr>
        <w:t xml:space="preserve">by  </w:t>
      </w:r>
      <w:r>
        <w:rPr>
          <w:color w:val="333333"/>
          <w:w w:val="110"/>
        </w:rPr>
        <w:t xml:space="preserve">using HTTP endpoints or with JMX. Auditing, health, and metrics gathering can </w:t>
      </w:r>
      <w:proofErr w:type="gramStart"/>
      <w:r>
        <w:rPr>
          <w:color w:val="333333"/>
          <w:w w:val="110"/>
        </w:rPr>
        <w:t>also  be</w:t>
      </w:r>
      <w:proofErr w:type="gramEnd"/>
      <w:r>
        <w:rPr>
          <w:color w:val="333333"/>
          <w:w w:val="110"/>
        </w:rPr>
        <w:t xml:space="preserve"> automatically applied to your</w:t>
      </w:r>
      <w:r>
        <w:rPr>
          <w:color w:val="333333"/>
          <w:spacing w:val="14"/>
          <w:w w:val="110"/>
        </w:rPr>
        <w:t xml:space="preserve"> </w:t>
      </w:r>
      <w:r>
        <w:rPr>
          <w:color w:val="333333"/>
          <w:w w:val="110"/>
        </w:rPr>
        <w:t>application.</w:t>
      </w:r>
    </w:p>
    <w:p w14:paraId="07808353" w14:textId="77777777" w:rsidR="00A720EB" w:rsidRDefault="00A720EB">
      <w:pPr>
        <w:pStyle w:val="a3"/>
        <w:rPr>
          <w:sz w:val="26"/>
        </w:rPr>
      </w:pPr>
    </w:p>
    <w:p w14:paraId="683ACD0F" w14:textId="77777777" w:rsidR="00A720EB" w:rsidRDefault="0030286B">
      <w:pPr>
        <w:pStyle w:val="2"/>
        <w:numPr>
          <w:ilvl w:val="1"/>
          <w:numId w:val="24"/>
        </w:numPr>
        <w:tabs>
          <w:tab w:val="left" w:pos="832"/>
        </w:tabs>
      </w:pPr>
      <w:bookmarkStart w:id="553" w:name="5.1._Enabling_Production-ready_Features"/>
      <w:bookmarkStart w:id="554" w:name="_Toc54423836"/>
      <w:bookmarkEnd w:id="553"/>
      <w:r>
        <w:rPr>
          <w:color w:val="333333"/>
          <w:w w:val="110"/>
        </w:rPr>
        <w:t>Enabling Production-ready</w:t>
      </w:r>
      <w:r>
        <w:rPr>
          <w:color w:val="333333"/>
          <w:spacing w:val="-8"/>
          <w:w w:val="110"/>
        </w:rPr>
        <w:t xml:space="preserve"> </w:t>
      </w:r>
      <w:r>
        <w:rPr>
          <w:color w:val="333333"/>
          <w:spacing w:val="-3"/>
          <w:w w:val="110"/>
        </w:rPr>
        <w:t>Features</w:t>
      </w:r>
      <w:bookmarkEnd w:id="554"/>
    </w:p>
    <w:p w14:paraId="32D9A459" w14:textId="77777777" w:rsidR="00A720EB" w:rsidRDefault="0030286B">
      <w:pPr>
        <w:pStyle w:val="a3"/>
        <w:spacing w:before="243" w:line="280" w:lineRule="auto"/>
        <w:ind w:left="124" w:right="122"/>
        <w:jc w:val="both"/>
      </w:pPr>
      <w:r>
        <w:rPr>
          <w:color w:val="333333"/>
          <w:w w:val="110"/>
        </w:rPr>
        <w:t xml:space="preserve">The </w:t>
      </w:r>
      <w:hyperlink r:id="rId414">
        <w:r>
          <w:rPr>
            <w:rFonts w:ascii="MS Gothic" w:hAnsi="MS Gothic"/>
            <w:color w:val="B02045"/>
            <w:w w:val="110"/>
          </w:rPr>
          <w:t xml:space="preserve">spring-boot-actuator </w:t>
        </w:r>
      </w:hyperlink>
      <w:r>
        <w:rPr>
          <w:color w:val="333333"/>
          <w:w w:val="110"/>
        </w:rPr>
        <w:t xml:space="preserve">module provides all of Spring Boot’s production-ready features. </w:t>
      </w:r>
      <w:proofErr w:type="gramStart"/>
      <w:r>
        <w:rPr>
          <w:color w:val="333333"/>
          <w:w w:val="110"/>
        </w:rPr>
        <w:t>The  recommended</w:t>
      </w:r>
      <w:proofErr w:type="gramEnd"/>
      <w:r>
        <w:rPr>
          <w:color w:val="333333"/>
          <w:w w:val="110"/>
        </w:rPr>
        <w:t xml:space="preserve"> way to enable the features is to add a dependency on the </w:t>
      </w:r>
      <w:r>
        <w:rPr>
          <w:rFonts w:ascii="MS Gothic" w:hAnsi="MS Gothic"/>
          <w:color w:val="B02045"/>
          <w:w w:val="110"/>
        </w:rPr>
        <w:t>spring-boot-starter- actuator</w:t>
      </w:r>
      <w:r>
        <w:rPr>
          <w:rFonts w:ascii="MS Gothic" w:hAnsi="MS Gothic"/>
          <w:color w:val="B02045"/>
          <w:spacing w:val="-62"/>
          <w:w w:val="110"/>
        </w:rPr>
        <w:t xml:space="preserve"> </w:t>
      </w:r>
      <w:r>
        <w:rPr>
          <w:color w:val="333333"/>
          <w:w w:val="110"/>
        </w:rPr>
        <w:t>‘Starter’.</w:t>
      </w:r>
    </w:p>
    <w:p w14:paraId="6282B363" w14:textId="77777777" w:rsidR="00A720EB" w:rsidRDefault="00E10349">
      <w:pPr>
        <w:pStyle w:val="a3"/>
        <w:spacing w:before="5"/>
        <w:rPr>
          <w:sz w:val="14"/>
        </w:rPr>
      </w:pPr>
      <w:r>
        <w:pict w14:anchorId="4402E49F">
          <v:group id="_x0000_s3346" style="position:absolute;margin-left:48pt;margin-top:10.4pt;width:499.3pt;height:84.55pt;z-index:-15269888;mso-wrap-distance-left:0;mso-wrap-distance-right:0;mso-position-horizontal-relative:page" coordorigin="960,208" coordsize="9986,1691">
            <v:shape id="_x0000_s3349" style="position:absolute;left:964;top:213;width:9976;height:1681" coordorigin="965,213" coordsize="9976,1681" path="m10861,213r-9816,l1014,220r-26,17l971,262r-6,31l965,1814r6,31l988,1871r26,17l1045,1894r9816,l10892,1888r25,-17l10935,1845r6,-31l10941,293r-6,-31l10917,237r-25,-17l10861,213xe" fillcolor="#ededed" stroked="f">
              <v:path arrowok="t"/>
            </v:shape>
            <v:shape id="_x0000_s3348" style="position:absolute;left:964;top:213;width:9976;height:1681" coordorigin="965,213" coordsize="9976,1681" path="m1045,213r9816,l10892,220r25,17l10935,262r6,31l10941,1814r-6,31l10917,1871r-25,17l10861,1894r-9816,l1014,1888r-26,-17l971,1845r-6,-31l965,293r6,-31l988,237r26,-17l1045,213xe" filled="f" strokecolor="#e1e1e1" strokeweight=".5pt">
              <v:path arrowok="t"/>
            </v:shape>
            <v:shape id="_x0000_s3347" type="#_x0000_t202" style="position:absolute;left:972;top:218;width:9960;height:1670" filled="f" stroked="f">
              <v:textbox inset="0,0,0,0">
                <w:txbxContent>
                  <w:p w14:paraId="6FD22813" w14:textId="77777777" w:rsidR="00711A16" w:rsidRDefault="00711A16">
                    <w:pPr>
                      <w:spacing w:before="239"/>
                      <w:ind w:left="300" w:right="300"/>
                      <w:jc w:val="center"/>
                      <w:rPr>
                        <w:rFonts w:ascii="Palatino Linotype"/>
                        <w:b/>
                        <w:sz w:val="26"/>
                      </w:rPr>
                    </w:pPr>
                    <w:r>
                      <w:rPr>
                        <w:rFonts w:ascii="Palatino Linotype"/>
                        <w:b/>
                        <w:color w:val="333333"/>
                        <w:w w:val="110"/>
                        <w:sz w:val="26"/>
                      </w:rPr>
                      <w:t>Definition of Actuator</w:t>
                    </w:r>
                  </w:p>
                  <w:p w14:paraId="6C5844DB" w14:textId="77777777" w:rsidR="00711A16" w:rsidRDefault="00711A16">
                    <w:pPr>
                      <w:spacing w:before="254" w:line="307" w:lineRule="auto"/>
                      <w:ind w:left="300" w:right="311"/>
                      <w:jc w:val="center"/>
                      <w:rPr>
                        <w:sz w:val="21"/>
                      </w:rPr>
                    </w:pPr>
                    <w:r>
                      <w:rPr>
                        <w:color w:val="333333"/>
                        <w:w w:val="115"/>
                        <w:sz w:val="21"/>
                      </w:rPr>
                      <w:t>An actuator is a manufacturing term that refers to a mechanical device for moving or controlling</w:t>
                    </w:r>
                    <w:r>
                      <w:rPr>
                        <w:color w:val="333333"/>
                        <w:spacing w:val="-19"/>
                        <w:w w:val="115"/>
                        <w:sz w:val="21"/>
                      </w:rPr>
                      <w:t xml:space="preserve"> </w:t>
                    </w:r>
                    <w:r>
                      <w:rPr>
                        <w:color w:val="333333"/>
                        <w:w w:val="115"/>
                        <w:sz w:val="21"/>
                      </w:rPr>
                      <w:t>something.</w:t>
                    </w:r>
                    <w:r>
                      <w:rPr>
                        <w:color w:val="333333"/>
                        <w:spacing w:val="-19"/>
                        <w:w w:val="115"/>
                        <w:sz w:val="21"/>
                      </w:rPr>
                      <w:t xml:space="preserve"> </w:t>
                    </w:r>
                    <w:r>
                      <w:rPr>
                        <w:color w:val="333333"/>
                        <w:w w:val="115"/>
                        <w:sz w:val="21"/>
                      </w:rPr>
                      <w:t>Actuators</w:t>
                    </w:r>
                    <w:r>
                      <w:rPr>
                        <w:color w:val="333333"/>
                        <w:spacing w:val="-19"/>
                        <w:w w:val="115"/>
                        <w:sz w:val="21"/>
                      </w:rPr>
                      <w:t xml:space="preserve"> </w:t>
                    </w:r>
                    <w:r>
                      <w:rPr>
                        <w:color w:val="333333"/>
                        <w:w w:val="115"/>
                        <w:sz w:val="21"/>
                      </w:rPr>
                      <w:t>can</w:t>
                    </w:r>
                    <w:r>
                      <w:rPr>
                        <w:color w:val="333333"/>
                        <w:spacing w:val="-19"/>
                        <w:w w:val="115"/>
                        <w:sz w:val="21"/>
                      </w:rPr>
                      <w:t xml:space="preserve"> </w:t>
                    </w:r>
                    <w:r>
                      <w:rPr>
                        <w:color w:val="333333"/>
                        <w:w w:val="115"/>
                        <w:sz w:val="21"/>
                      </w:rPr>
                      <w:t>generate</w:t>
                    </w:r>
                    <w:r>
                      <w:rPr>
                        <w:color w:val="333333"/>
                        <w:spacing w:val="-20"/>
                        <w:w w:val="115"/>
                        <w:sz w:val="21"/>
                      </w:rPr>
                      <w:t xml:space="preserve"> </w:t>
                    </w:r>
                    <w:r>
                      <w:rPr>
                        <w:color w:val="333333"/>
                        <w:w w:val="115"/>
                        <w:sz w:val="21"/>
                      </w:rPr>
                      <w:t>a</w:t>
                    </w:r>
                    <w:r>
                      <w:rPr>
                        <w:color w:val="333333"/>
                        <w:spacing w:val="-20"/>
                        <w:w w:val="115"/>
                        <w:sz w:val="21"/>
                      </w:rPr>
                      <w:t xml:space="preserve"> </w:t>
                    </w:r>
                    <w:r>
                      <w:rPr>
                        <w:color w:val="333333"/>
                        <w:w w:val="115"/>
                        <w:sz w:val="21"/>
                      </w:rPr>
                      <w:t>large</w:t>
                    </w:r>
                    <w:r>
                      <w:rPr>
                        <w:color w:val="333333"/>
                        <w:spacing w:val="-19"/>
                        <w:w w:val="115"/>
                        <w:sz w:val="21"/>
                      </w:rPr>
                      <w:t xml:space="preserve"> </w:t>
                    </w:r>
                    <w:r>
                      <w:rPr>
                        <w:color w:val="333333"/>
                        <w:w w:val="115"/>
                        <w:sz w:val="21"/>
                      </w:rPr>
                      <w:t>amount</w:t>
                    </w:r>
                    <w:r>
                      <w:rPr>
                        <w:color w:val="333333"/>
                        <w:spacing w:val="-19"/>
                        <w:w w:val="115"/>
                        <w:sz w:val="21"/>
                      </w:rPr>
                      <w:t xml:space="preserve"> </w:t>
                    </w:r>
                    <w:r>
                      <w:rPr>
                        <w:color w:val="333333"/>
                        <w:w w:val="115"/>
                        <w:sz w:val="21"/>
                      </w:rPr>
                      <w:t>of</w:t>
                    </w:r>
                    <w:r>
                      <w:rPr>
                        <w:color w:val="333333"/>
                        <w:spacing w:val="-19"/>
                        <w:w w:val="115"/>
                        <w:sz w:val="21"/>
                      </w:rPr>
                      <w:t xml:space="preserve"> </w:t>
                    </w:r>
                    <w:r>
                      <w:rPr>
                        <w:color w:val="333333"/>
                        <w:w w:val="115"/>
                        <w:sz w:val="21"/>
                      </w:rPr>
                      <w:t>motion</w:t>
                    </w:r>
                    <w:r>
                      <w:rPr>
                        <w:color w:val="333333"/>
                        <w:spacing w:val="-20"/>
                        <w:w w:val="115"/>
                        <w:sz w:val="21"/>
                      </w:rPr>
                      <w:t xml:space="preserve"> </w:t>
                    </w:r>
                    <w:r>
                      <w:rPr>
                        <w:color w:val="333333"/>
                        <w:w w:val="115"/>
                        <w:sz w:val="21"/>
                      </w:rPr>
                      <w:t>from</w:t>
                    </w:r>
                    <w:r>
                      <w:rPr>
                        <w:color w:val="333333"/>
                        <w:spacing w:val="-19"/>
                        <w:w w:val="115"/>
                        <w:sz w:val="21"/>
                      </w:rPr>
                      <w:t xml:space="preserve"> </w:t>
                    </w:r>
                    <w:r>
                      <w:rPr>
                        <w:color w:val="333333"/>
                        <w:w w:val="115"/>
                        <w:sz w:val="21"/>
                      </w:rPr>
                      <w:t>a</w:t>
                    </w:r>
                    <w:r>
                      <w:rPr>
                        <w:color w:val="333333"/>
                        <w:spacing w:val="-20"/>
                        <w:w w:val="115"/>
                        <w:sz w:val="21"/>
                      </w:rPr>
                      <w:t xml:space="preserve"> </w:t>
                    </w:r>
                    <w:r>
                      <w:rPr>
                        <w:color w:val="333333"/>
                        <w:w w:val="115"/>
                        <w:sz w:val="21"/>
                      </w:rPr>
                      <w:t>small</w:t>
                    </w:r>
                    <w:r>
                      <w:rPr>
                        <w:color w:val="333333"/>
                        <w:spacing w:val="-19"/>
                        <w:w w:val="115"/>
                        <w:sz w:val="21"/>
                      </w:rPr>
                      <w:t xml:space="preserve"> </w:t>
                    </w:r>
                    <w:r>
                      <w:rPr>
                        <w:color w:val="333333"/>
                        <w:w w:val="115"/>
                        <w:sz w:val="21"/>
                      </w:rPr>
                      <w:t>change.</w:t>
                    </w:r>
                  </w:p>
                </w:txbxContent>
              </v:textbox>
            </v:shape>
            <w10:wrap type="topAndBottom" anchorx="page"/>
          </v:group>
        </w:pict>
      </w:r>
    </w:p>
    <w:p w14:paraId="4B28BAA0" w14:textId="77777777" w:rsidR="00A720EB" w:rsidRDefault="00A720EB">
      <w:pPr>
        <w:pStyle w:val="a3"/>
        <w:spacing w:before="3"/>
        <w:rPr>
          <w:sz w:val="10"/>
        </w:rPr>
      </w:pPr>
    </w:p>
    <w:p w14:paraId="748C67E9" w14:textId="77777777" w:rsidR="00A720EB" w:rsidRDefault="0030286B">
      <w:pPr>
        <w:pStyle w:val="a3"/>
        <w:spacing w:before="125"/>
        <w:ind w:left="124"/>
      </w:pPr>
      <w:r>
        <w:rPr>
          <w:color w:val="333333"/>
          <w:w w:val="110"/>
        </w:rPr>
        <w:t>To add the actuator to a Maven based project, add the following ‘Starter’ dependency:</w:t>
      </w:r>
    </w:p>
    <w:p w14:paraId="497B430A" w14:textId="77777777" w:rsidR="00A720EB" w:rsidRDefault="00E10349">
      <w:pPr>
        <w:pStyle w:val="a3"/>
        <w:rPr>
          <w:sz w:val="19"/>
        </w:rPr>
      </w:pPr>
      <w:r>
        <w:pict w14:anchorId="3E097E01">
          <v:group id="_x0000_s3342" style="position:absolute;margin-left:47.85pt;margin-top:13.15pt;width:499.55pt;height:111.2pt;z-index:-15269376;mso-wrap-distance-left:0;mso-wrap-distance-right:0;mso-position-horizontal-relative:page" coordorigin="957,263" coordsize="9991,2224">
            <v:shape id="_x0000_s3345" style="position:absolute;left:964;top:270;width:9976;height:2209" coordorigin="965,270" coordsize="9976,2209" path="m10861,270r-9816,l1014,276r-26,18l971,319r-6,31l965,2399r6,31l988,2456r26,17l1045,2479r9816,l10892,2473r25,-17l10935,2430r6,-31l10941,350r-6,-31l10917,294r-25,-18l10861,270xe" fillcolor="#f5f5f5" stroked="f">
              <v:path arrowok="t"/>
            </v:shape>
            <v:shape id="_x0000_s3344" style="position:absolute;left:964;top:270;width:9976;height:2209" coordorigin="965,270" coordsize="9976,2209" path="m1045,270r9816,l10892,276r25,18l10935,319r6,31l10941,2399r-6,31l10917,2456r-25,17l10861,2479r-9816,l1014,2473r-26,-17l971,2430r-6,-31l965,350r6,-31l988,294r26,-18l1045,270xe" filled="f" strokecolor="#ccc">
              <v:path arrowok="t"/>
            </v:shape>
            <v:shape id="_x0000_s3343" type="#_x0000_t202" style="position:absolute;left:984;top:285;width:9938;height:2178" filled="f" stroked="f">
              <v:textbox inset="0,0,0,0">
                <w:txbxContent>
                  <w:p w14:paraId="3B62891C" w14:textId="77777777" w:rsidR="00711A16" w:rsidRDefault="00711A16">
                    <w:pPr>
                      <w:spacing w:before="221"/>
                      <w:ind w:left="200"/>
                      <w:rPr>
                        <w:rFonts w:ascii="MS Gothic"/>
                      </w:rPr>
                    </w:pPr>
                    <w:r>
                      <w:rPr>
                        <w:rFonts w:ascii="MS Gothic"/>
                        <w:color w:val="333333"/>
                      </w:rPr>
                      <w:t>&lt;dependencies&gt;</w:t>
                    </w:r>
                  </w:p>
                  <w:p w14:paraId="4E32D056" w14:textId="77777777" w:rsidR="00711A16" w:rsidRDefault="00711A16">
                    <w:pPr>
                      <w:spacing w:before="13"/>
                      <w:ind w:left="640"/>
                      <w:rPr>
                        <w:rFonts w:ascii="MS Gothic"/>
                      </w:rPr>
                    </w:pPr>
                    <w:r>
                      <w:rPr>
                        <w:rFonts w:ascii="MS Gothic"/>
                        <w:color w:val="333333"/>
                      </w:rPr>
                      <w:t>&lt;dependency&gt;</w:t>
                    </w:r>
                  </w:p>
                  <w:p w14:paraId="0E6F52EE" w14:textId="77777777" w:rsidR="00711A16" w:rsidRDefault="00711A16">
                    <w:pPr>
                      <w:spacing w:before="13"/>
                      <w:ind w:left="1080"/>
                      <w:rPr>
                        <w:rFonts w:ascii="MS Gothic"/>
                      </w:rPr>
                    </w:pPr>
                    <w:proofErr w:type="gramStart"/>
                    <w:r>
                      <w:rPr>
                        <w:rFonts w:ascii="MS Gothic"/>
                        <w:color w:val="333333"/>
                      </w:rPr>
                      <w:t>&lt;groupId&gt;org.springframework.boot</w:t>
                    </w:r>
                    <w:proofErr w:type="gramEnd"/>
                    <w:r>
                      <w:rPr>
                        <w:rFonts w:ascii="MS Gothic"/>
                        <w:color w:val="333333"/>
                      </w:rPr>
                      <w:t>&lt;/groupId&gt;</w:t>
                    </w:r>
                  </w:p>
                  <w:p w14:paraId="5FCD2636" w14:textId="77777777" w:rsidR="00711A16" w:rsidRDefault="00711A16">
                    <w:pPr>
                      <w:spacing w:before="13"/>
                      <w:ind w:left="1080"/>
                      <w:rPr>
                        <w:rFonts w:ascii="MS Gothic"/>
                      </w:rPr>
                    </w:pPr>
                    <w:r>
                      <w:rPr>
                        <w:rFonts w:ascii="MS Gothic"/>
                        <w:color w:val="333333"/>
                      </w:rPr>
                      <w:t>&lt;artifactId&gt;spring-boot-starter-actuator&lt;/artifactId&gt;</w:t>
                    </w:r>
                  </w:p>
                  <w:p w14:paraId="5C3FD6D5" w14:textId="77777777" w:rsidR="00711A16" w:rsidRDefault="00711A16">
                    <w:pPr>
                      <w:spacing w:before="12"/>
                      <w:ind w:left="640"/>
                      <w:rPr>
                        <w:rFonts w:ascii="MS Gothic"/>
                      </w:rPr>
                    </w:pPr>
                    <w:r>
                      <w:rPr>
                        <w:rFonts w:ascii="MS Gothic"/>
                        <w:color w:val="333333"/>
                      </w:rPr>
                      <w:t>&lt;/dependency&gt;</w:t>
                    </w:r>
                  </w:p>
                  <w:p w14:paraId="182194D4" w14:textId="77777777" w:rsidR="00711A16" w:rsidRDefault="00711A16">
                    <w:pPr>
                      <w:spacing w:before="13"/>
                      <w:ind w:left="200"/>
                      <w:rPr>
                        <w:rFonts w:ascii="MS Gothic"/>
                      </w:rPr>
                    </w:pPr>
                    <w:r>
                      <w:rPr>
                        <w:rFonts w:ascii="MS Gothic"/>
                        <w:color w:val="333333"/>
                      </w:rPr>
                      <w:t>&lt;/dependencies&gt;</w:t>
                    </w:r>
                  </w:p>
                </w:txbxContent>
              </v:textbox>
            </v:shape>
            <w10:wrap type="topAndBottom" anchorx="page"/>
          </v:group>
        </w:pict>
      </w:r>
    </w:p>
    <w:p w14:paraId="18C7B7F8" w14:textId="77777777" w:rsidR="00A720EB" w:rsidRDefault="00A720EB">
      <w:pPr>
        <w:pStyle w:val="a3"/>
        <w:rPr>
          <w:sz w:val="10"/>
        </w:rPr>
      </w:pPr>
    </w:p>
    <w:p w14:paraId="40E956B2" w14:textId="77777777" w:rsidR="00A720EB" w:rsidRDefault="0030286B">
      <w:pPr>
        <w:pStyle w:val="a3"/>
        <w:spacing w:before="125"/>
        <w:ind w:left="124"/>
      </w:pPr>
      <w:r>
        <w:rPr>
          <w:color w:val="333333"/>
          <w:w w:val="110"/>
        </w:rPr>
        <w:t>For Gradle, use the following declaration:</w:t>
      </w:r>
    </w:p>
    <w:p w14:paraId="52AFCDF1" w14:textId="77777777" w:rsidR="00A720EB" w:rsidRDefault="00E10349">
      <w:pPr>
        <w:pStyle w:val="a3"/>
        <w:rPr>
          <w:sz w:val="19"/>
        </w:rPr>
      </w:pPr>
      <w:r>
        <w:pict w14:anchorId="0D33C8D4">
          <v:group id="_x0000_s3338" style="position:absolute;margin-left:47.85pt;margin-top:13.15pt;width:499.55pt;height:67pt;z-index:-15268864;mso-wrap-distance-left:0;mso-wrap-distance-right:0;mso-position-horizontal-relative:page" coordorigin="957,263" coordsize="9991,1340">
            <v:shape id="_x0000_s3341" style="position:absolute;left:964;top:270;width:9976;height:1325" coordorigin="965,270" coordsize="9976,1325" path="m10861,270r-9816,l1014,276r-26,18l971,319r-6,31l965,1515r6,31l988,1571r26,17l1045,1595r9816,l10892,1588r25,-17l10935,1546r6,-31l10941,350r-6,-31l10917,294r-25,-18l10861,270xe" fillcolor="#f5f5f5" stroked="f">
              <v:path arrowok="t"/>
            </v:shape>
            <v:shape id="_x0000_s3340" style="position:absolute;left:964;top:270;width:9976;height:1325" coordorigin="965,270" coordsize="9976,1325" path="m1045,270r9816,l10892,276r25,18l10935,319r6,31l10941,1515r-6,31l10917,1571r-25,17l10861,1595r-9816,l1014,1588r-26,-17l971,1546r-6,-31l965,350r6,-31l988,294r26,-18l1045,270xe" filled="f" strokecolor="#ccc">
              <v:path arrowok="t"/>
            </v:shape>
            <v:shape id="_x0000_s3339" type="#_x0000_t202" style="position:absolute;left:984;top:285;width:9938;height:1294" filled="f" stroked="f">
              <v:textbox inset="0,0,0,0">
                <w:txbxContent>
                  <w:p w14:paraId="3F702026" w14:textId="77777777" w:rsidR="00711A16" w:rsidRDefault="00711A16">
                    <w:pPr>
                      <w:spacing w:before="221"/>
                      <w:ind w:left="200"/>
                      <w:rPr>
                        <w:rFonts w:ascii="MS Gothic"/>
                      </w:rPr>
                    </w:pPr>
                    <w:r>
                      <w:rPr>
                        <w:rFonts w:ascii="MS Gothic"/>
                        <w:color w:val="333333"/>
                      </w:rPr>
                      <w:t>dependencies {</w:t>
                    </w:r>
                  </w:p>
                  <w:p w14:paraId="4B8E2B58" w14:textId="77777777" w:rsidR="00711A16" w:rsidRDefault="00711A16">
                    <w:pPr>
                      <w:spacing w:before="13"/>
                      <w:ind w:left="640"/>
                      <w:rPr>
                        <w:rFonts w:ascii="MS Gothic"/>
                      </w:rPr>
                    </w:pPr>
                    <w:r>
                      <w:rPr>
                        <w:rFonts w:ascii="MS Gothic"/>
                        <w:color w:val="333333"/>
                      </w:rPr>
                      <w:t>implementation '</w:t>
                    </w:r>
                    <w:proofErr w:type="gramStart"/>
                    <w:r>
                      <w:rPr>
                        <w:rFonts w:ascii="MS Gothic"/>
                        <w:color w:val="333333"/>
                      </w:rPr>
                      <w:t>org.springframework</w:t>
                    </w:r>
                    <w:proofErr w:type="gramEnd"/>
                    <w:r>
                      <w:rPr>
                        <w:rFonts w:ascii="MS Gothic"/>
                        <w:color w:val="333333"/>
                      </w:rPr>
                      <w:t>.boot:spring-boot-starter-actuator'</w:t>
                    </w:r>
                  </w:p>
                  <w:p w14:paraId="2821AB22"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3D7C8A3E" w14:textId="77777777" w:rsidR="00A720EB" w:rsidRDefault="00A720EB">
      <w:pPr>
        <w:pStyle w:val="a3"/>
        <w:spacing w:before="11"/>
        <w:rPr>
          <w:sz w:val="16"/>
        </w:rPr>
      </w:pPr>
    </w:p>
    <w:p w14:paraId="6DD03161" w14:textId="77777777" w:rsidR="00A720EB" w:rsidRDefault="0030286B">
      <w:pPr>
        <w:pStyle w:val="2"/>
        <w:numPr>
          <w:ilvl w:val="1"/>
          <w:numId w:val="24"/>
        </w:numPr>
        <w:tabs>
          <w:tab w:val="left" w:pos="832"/>
        </w:tabs>
        <w:spacing w:before="107"/>
      </w:pPr>
      <w:bookmarkStart w:id="555" w:name="5.2._Endpoints"/>
      <w:bookmarkStart w:id="556" w:name="_Toc54423837"/>
      <w:bookmarkEnd w:id="555"/>
      <w:r>
        <w:rPr>
          <w:color w:val="333333"/>
          <w:w w:val="110"/>
        </w:rPr>
        <w:t>Endpoints</w:t>
      </w:r>
      <w:bookmarkEnd w:id="556"/>
    </w:p>
    <w:p w14:paraId="670353AB" w14:textId="77777777" w:rsidR="00A720EB" w:rsidRDefault="0030286B">
      <w:pPr>
        <w:pStyle w:val="a3"/>
        <w:spacing w:before="253" w:line="295" w:lineRule="auto"/>
        <w:ind w:left="124" w:right="123"/>
        <w:jc w:val="both"/>
      </w:pPr>
      <w:r>
        <w:rPr>
          <w:color w:val="333333"/>
          <w:w w:val="115"/>
        </w:rPr>
        <w:t>Actuator endpoints let you monitor and interact with your application. Spring Boot includes a number</w:t>
      </w:r>
      <w:r>
        <w:rPr>
          <w:color w:val="333333"/>
          <w:spacing w:val="-23"/>
          <w:w w:val="115"/>
        </w:rPr>
        <w:t xml:space="preserve"> </w:t>
      </w:r>
      <w:r>
        <w:rPr>
          <w:color w:val="333333"/>
          <w:w w:val="115"/>
        </w:rPr>
        <w:t>of</w:t>
      </w:r>
      <w:r>
        <w:rPr>
          <w:color w:val="333333"/>
          <w:spacing w:val="-22"/>
          <w:w w:val="115"/>
        </w:rPr>
        <w:t xml:space="preserve"> </w:t>
      </w:r>
      <w:r>
        <w:rPr>
          <w:color w:val="333333"/>
          <w:w w:val="115"/>
        </w:rPr>
        <w:t>built-in</w:t>
      </w:r>
      <w:r>
        <w:rPr>
          <w:color w:val="333333"/>
          <w:spacing w:val="-23"/>
          <w:w w:val="115"/>
        </w:rPr>
        <w:t xml:space="preserve"> </w:t>
      </w:r>
      <w:r>
        <w:rPr>
          <w:color w:val="333333"/>
          <w:w w:val="115"/>
        </w:rPr>
        <w:t>endpoints</w:t>
      </w:r>
      <w:r>
        <w:rPr>
          <w:color w:val="333333"/>
          <w:spacing w:val="-23"/>
          <w:w w:val="115"/>
        </w:rPr>
        <w:t xml:space="preserve"> </w:t>
      </w:r>
      <w:r>
        <w:rPr>
          <w:color w:val="333333"/>
          <w:w w:val="115"/>
        </w:rPr>
        <w:t>and</w:t>
      </w:r>
      <w:r>
        <w:rPr>
          <w:color w:val="333333"/>
          <w:spacing w:val="-23"/>
          <w:w w:val="115"/>
        </w:rPr>
        <w:t xml:space="preserve"> </w:t>
      </w:r>
      <w:r>
        <w:rPr>
          <w:color w:val="333333"/>
          <w:w w:val="115"/>
        </w:rPr>
        <w:t>lets</w:t>
      </w:r>
      <w:r>
        <w:rPr>
          <w:color w:val="333333"/>
          <w:spacing w:val="-22"/>
          <w:w w:val="115"/>
        </w:rPr>
        <w:t xml:space="preserve"> </w:t>
      </w:r>
      <w:r>
        <w:rPr>
          <w:color w:val="333333"/>
          <w:w w:val="115"/>
        </w:rPr>
        <w:t>you</w:t>
      </w:r>
      <w:r>
        <w:rPr>
          <w:color w:val="333333"/>
          <w:spacing w:val="-23"/>
          <w:w w:val="115"/>
        </w:rPr>
        <w:t xml:space="preserve"> </w:t>
      </w:r>
      <w:r>
        <w:rPr>
          <w:color w:val="333333"/>
          <w:w w:val="115"/>
        </w:rPr>
        <w:t>add</w:t>
      </w:r>
      <w:r>
        <w:rPr>
          <w:color w:val="333333"/>
          <w:spacing w:val="-23"/>
          <w:w w:val="115"/>
        </w:rPr>
        <w:t xml:space="preserve"> </w:t>
      </w:r>
      <w:r>
        <w:rPr>
          <w:color w:val="333333"/>
          <w:w w:val="115"/>
        </w:rPr>
        <w:t>your</w:t>
      </w:r>
      <w:r>
        <w:rPr>
          <w:color w:val="333333"/>
          <w:spacing w:val="-23"/>
          <w:w w:val="115"/>
        </w:rPr>
        <w:t xml:space="preserve"> </w:t>
      </w:r>
      <w:r>
        <w:rPr>
          <w:color w:val="333333"/>
          <w:w w:val="115"/>
        </w:rPr>
        <w:t>own.</w:t>
      </w:r>
      <w:r>
        <w:rPr>
          <w:color w:val="333333"/>
          <w:spacing w:val="-22"/>
          <w:w w:val="115"/>
        </w:rPr>
        <w:t xml:space="preserve"> </w:t>
      </w:r>
      <w:r>
        <w:rPr>
          <w:color w:val="333333"/>
          <w:spacing w:val="-4"/>
          <w:w w:val="115"/>
        </w:rPr>
        <w:t>For</w:t>
      </w:r>
      <w:r>
        <w:rPr>
          <w:color w:val="333333"/>
          <w:spacing w:val="-23"/>
          <w:w w:val="115"/>
        </w:rPr>
        <w:t xml:space="preserve"> </w:t>
      </w:r>
      <w:r>
        <w:rPr>
          <w:color w:val="333333"/>
          <w:w w:val="115"/>
        </w:rPr>
        <w:t>example,</w:t>
      </w:r>
      <w:r>
        <w:rPr>
          <w:color w:val="333333"/>
          <w:spacing w:val="-22"/>
          <w:w w:val="115"/>
        </w:rPr>
        <w:t xml:space="preserve"> </w:t>
      </w:r>
      <w:r>
        <w:rPr>
          <w:color w:val="333333"/>
          <w:w w:val="115"/>
        </w:rPr>
        <w:t>the</w:t>
      </w:r>
      <w:r>
        <w:rPr>
          <w:color w:val="333333"/>
          <w:spacing w:val="-20"/>
          <w:w w:val="115"/>
        </w:rPr>
        <w:t xml:space="preserve"> </w:t>
      </w:r>
      <w:r>
        <w:rPr>
          <w:rFonts w:ascii="MS Gothic"/>
          <w:color w:val="B02045"/>
          <w:w w:val="115"/>
        </w:rPr>
        <w:t>health</w:t>
      </w:r>
      <w:r>
        <w:rPr>
          <w:rFonts w:ascii="MS Gothic"/>
          <w:color w:val="B02045"/>
          <w:spacing w:val="-90"/>
          <w:w w:val="115"/>
        </w:rPr>
        <w:t xml:space="preserve"> </w:t>
      </w:r>
      <w:r>
        <w:rPr>
          <w:color w:val="333333"/>
          <w:w w:val="115"/>
        </w:rPr>
        <w:t>endpoint</w:t>
      </w:r>
      <w:r>
        <w:rPr>
          <w:color w:val="333333"/>
          <w:spacing w:val="-23"/>
          <w:w w:val="115"/>
        </w:rPr>
        <w:t xml:space="preserve"> </w:t>
      </w:r>
      <w:r>
        <w:rPr>
          <w:color w:val="333333"/>
          <w:w w:val="115"/>
        </w:rPr>
        <w:t>provides basic application health</w:t>
      </w:r>
      <w:r>
        <w:rPr>
          <w:color w:val="333333"/>
          <w:spacing w:val="-3"/>
          <w:w w:val="115"/>
        </w:rPr>
        <w:t xml:space="preserve"> </w:t>
      </w:r>
      <w:r>
        <w:rPr>
          <w:color w:val="333333"/>
          <w:w w:val="115"/>
        </w:rPr>
        <w:t>information.</w:t>
      </w:r>
    </w:p>
    <w:p w14:paraId="05ADA3A9" w14:textId="77777777" w:rsidR="00A720EB" w:rsidRDefault="0030286B">
      <w:pPr>
        <w:pStyle w:val="a3"/>
        <w:spacing w:before="250" w:line="307" w:lineRule="auto"/>
        <w:ind w:left="124" w:right="126"/>
        <w:jc w:val="both"/>
      </w:pPr>
      <w:r>
        <w:rPr>
          <w:color w:val="333333"/>
          <w:w w:val="110"/>
        </w:rPr>
        <w:t xml:space="preserve">Each individual endpoint can be </w:t>
      </w:r>
      <w:hyperlink w:anchor="_bookmark381" w:history="1">
        <w:r>
          <w:rPr>
            <w:color w:val="418BCA"/>
            <w:w w:val="110"/>
          </w:rPr>
          <w:t xml:space="preserve">enabled or disabled </w:t>
        </w:r>
      </w:hyperlink>
      <w:r>
        <w:rPr>
          <w:color w:val="333333"/>
          <w:w w:val="110"/>
        </w:rPr>
        <w:t xml:space="preserve">and </w:t>
      </w:r>
      <w:hyperlink w:anchor="_bookmark382" w:history="1">
        <w:r>
          <w:rPr>
            <w:color w:val="418BCA"/>
            <w:w w:val="110"/>
          </w:rPr>
          <w:t>exposed (made remotely accessible) over</w:t>
        </w:r>
      </w:hyperlink>
      <w:r>
        <w:rPr>
          <w:color w:val="418BCA"/>
          <w:w w:val="110"/>
        </w:rPr>
        <w:t xml:space="preserve"> </w:t>
      </w:r>
      <w:hyperlink w:anchor="_bookmark382" w:history="1">
        <w:r>
          <w:rPr>
            <w:color w:val="418BCA"/>
            <w:w w:val="110"/>
          </w:rPr>
          <w:t>HTTP or JMX</w:t>
        </w:r>
      </w:hyperlink>
      <w:r>
        <w:rPr>
          <w:color w:val="333333"/>
          <w:w w:val="110"/>
        </w:rPr>
        <w:t>. An endpoint is considered to be available when it is both enabled and exposed. The built-in endpoints will only be auto-configured when they are available. Most applications choose</w:t>
      </w:r>
    </w:p>
    <w:p w14:paraId="716C4A61" w14:textId="77777777" w:rsidR="00A720EB" w:rsidRDefault="00A720EB">
      <w:pPr>
        <w:spacing w:line="307" w:lineRule="auto"/>
        <w:jc w:val="both"/>
        <w:sectPr w:rsidR="00A720EB">
          <w:pgSz w:w="11910" w:h="16840"/>
          <w:pgMar w:top="620" w:right="840" w:bottom="520" w:left="840" w:header="0" w:footer="323" w:gutter="0"/>
          <w:cols w:space="720"/>
        </w:sectPr>
      </w:pPr>
    </w:p>
    <w:p w14:paraId="626E7016" w14:textId="77777777" w:rsidR="00A720EB" w:rsidRDefault="0030286B">
      <w:pPr>
        <w:pStyle w:val="a3"/>
        <w:spacing w:before="96" w:line="280" w:lineRule="auto"/>
        <w:ind w:left="124" w:right="359"/>
      </w:pPr>
      <w:r>
        <w:rPr>
          <w:color w:val="333333"/>
          <w:w w:val="110"/>
        </w:rPr>
        <w:lastRenderedPageBreak/>
        <w:t xml:space="preserve">exposure via </w:t>
      </w:r>
      <w:r>
        <w:rPr>
          <w:color w:val="333333"/>
          <w:spacing w:val="-6"/>
          <w:w w:val="110"/>
        </w:rPr>
        <w:t xml:space="preserve">HTTP, </w:t>
      </w:r>
      <w:r>
        <w:rPr>
          <w:color w:val="333333"/>
          <w:w w:val="110"/>
        </w:rPr>
        <w:t xml:space="preserve">where the ID of the endpoint along with a prefix of </w:t>
      </w:r>
      <w:r>
        <w:rPr>
          <w:rFonts w:ascii="MS Gothic"/>
          <w:color w:val="B02045"/>
          <w:w w:val="110"/>
        </w:rPr>
        <w:t xml:space="preserve">/actuator </w:t>
      </w:r>
      <w:r>
        <w:rPr>
          <w:color w:val="333333"/>
          <w:w w:val="110"/>
        </w:rPr>
        <w:t xml:space="preserve">is mapped to a URL. </w:t>
      </w:r>
      <w:r>
        <w:rPr>
          <w:color w:val="333333"/>
          <w:spacing w:val="-4"/>
          <w:w w:val="110"/>
        </w:rPr>
        <w:t xml:space="preserve">For </w:t>
      </w:r>
      <w:r>
        <w:rPr>
          <w:color w:val="333333"/>
          <w:w w:val="110"/>
        </w:rPr>
        <w:t xml:space="preserve">example, </w:t>
      </w:r>
      <w:r>
        <w:rPr>
          <w:color w:val="333333"/>
          <w:spacing w:val="-3"/>
          <w:w w:val="110"/>
        </w:rPr>
        <w:t xml:space="preserve">by </w:t>
      </w:r>
      <w:r>
        <w:rPr>
          <w:color w:val="333333"/>
          <w:w w:val="110"/>
        </w:rPr>
        <w:t xml:space="preserve">default, the </w:t>
      </w:r>
      <w:r>
        <w:rPr>
          <w:rFonts w:ascii="MS Gothic"/>
          <w:color w:val="B02045"/>
          <w:w w:val="110"/>
        </w:rPr>
        <w:t>health</w:t>
      </w:r>
      <w:r>
        <w:rPr>
          <w:rFonts w:ascii="MS Gothic"/>
          <w:color w:val="B02045"/>
          <w:spacing w:val="-63"/>
          <w:w w:val="110"/>
        </w:rPr>
        <w:t xml:space="preserve"> </w:t>
      </w:r>
      <w:r>
        <w:rPr>
          <w:color w:val="333333"/>
          <w:w w:val="110"/>
        </w:rPr>
        <w:t xml:space="preserve">endpoint is mapped to </w:t>
      </w:r>
      <w:r>
        <w:rPr>
          <w:rFonts w:ascii="MS Gothic"/>
          <w:color w:val="B02045"/>
          <w:w w:val="110"/>
        </w:rPr>
        <w:t>/actuator/health</w:t>
      </w:r>
      <w:r>
        <w:rPr>
          <w:color w:val="333333"/>
          <w:w w:val="110"/>
        </w:rPr>
        <w:t>.</w:t>
      </w:r>
    </w:p>
    <w:p w14:paraId="41CED7C8" w14:textId="77777777" w:rsidR="00A720EB" w:rsidRDefault="00A720EB">
      <w:pPr>
        <w:pStyle w:val="a3"/>
        <w:spacing w:before="6"/>
      </w:pPr>
    </w:p>
    <w:p w14:paraId="3738DAB0" w14:textId="77777777" w:rsidR="00A720EB" w:rsidRDefault="0030286B">
      <w:pPr>
        <w:pStyle w:val="a3"/>
        <w:ind w:left="124"/>
      </w:pPr>
      <w:r>
        <w:rPr>
          <w:color w:val="333333"/>
          <w:w w:val="110"/>
        </w:rPr>
        <w:t>The following technology-agnostic endpoints are available:</w:t>
      </w:r>
    </w:p>
    <w:p w14:paraId="1B2A7346"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850"/>
        <w:gridCol w:w="7125"/>
      </w:tblGrid>
      <w:tr w:rsidR="00A720EB" w14:paraId="750922C3" w14:textId="77777777">
        <w:trPr>
          <w:trHeight w:val="415"/>
        </w:trPr>
        <w:tc>
          <w:tcPr>
            <w:tcW w:w="2850" w:type="dxa"/>
            <w:tcBorders>
              <w:bottom w:val="single" w:sz="12" w:space="0" w:color="DDDDDD"/>
            </w:tcBorders>
          </w:tcPr>
          <w:p w14:paraId="4694F608" w14:textId="77777777" w:rsidR="00A720EB" w:rsidRDefault="0030286B">
            <w:pPr>
              <w:pStyle w:val="TableParagraph"/>
              <w:spacing w:before="74"/>
              <w:rPr>
                <w:rFonts w:ascii="Palatino Linotype"/>
                <w:b/>
                <w:sz w:val="21"/>
              </w:rPr>
            </w:pPr>
            <w:r>
              <w:rPr>
                <w:rFonts w:ascii="Palatino Linotype"/>
                <w:b/>
                <w:color w:val="333333"/>
                <w:sz w:val="21"/>
              </w:rPr>
              <w:t>ID</w:t>
            </w:r>
          </w:p>
        </w:tc>
        <w:tc>
          <w:tcPr>
            <w:tcW w:w="7125" w:type="dxa"/>
            <w:tcBorders>
              <w:bottom w:val="single" w:sz="12" w:space="0" w:color="DDDDDD"/>
            </w:tcBorders>
          </w:tcPr>
          <w:p w14:paraId="5BAF742F"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710A2E11" w14:textId="77777777">
        <w:trPr>
          <w:trHeight w:val="731"/>
        </w:trPr>
        <w:tc>
          <w:tcPr>
            <w:tcW w:w="2850" w:type="dxa"/>
            <w:tcBorders>
              <w:top w:val="single" w:sz="12" w:space="0" w:color="DDDDDD"/>
            </w:tcBorders>
          </w:tcPr>
          <w:p w14:paraId="7A877E0F" w14:textId="77777777" w:rsidR="00A720EB" w:rsidRDefault="0030286B">
            <w:pPr>
              <w:pStyle w:val="TableParagraph"/>
              <w:spacing w:before="30"/>
              <w:rPr>
                <w:sz w:val="21"/>
              </w:rPr>
            </w:pPr>
            <w:r>
              <w:rPr>
                <w:color w:val="B02045"/>
                <w:sz w:val="21"/>
              </w:rPr>
              <w:t>auditevents</w:t>
            </w:r>
          </w:p>
        </w:tc>
        <w:tc>
          <w:tcPr>
            <w:tcW w:w="7125" w:type="dxa"/>
            <w:tcBorders>
              <w:top w:val="single" w:sz="12" w:space="0" w:color="DDDDDD"/>
            </w:tcBorders>
          </w:tcPr>
          <w:p w14:paraId="3AFC02F4" w14:textId="77777777" w:rsidR="00A720EB" w:rsidRDefault="0030286B">
            <w:pPr>
              <w:pStyle w:val="TableParagraph"/>
              <w:spacing w:before="1" w:line="330" w:lineRule="atLeast"/>
              <w:ind w:right="214"/>
              <w:rPr>
                <w:rFonts w:ascii="Cambria"/>
                <w:sz w:val="21"/>
              </w:rPr>
            </w:pPr>
            <w:r>
              <w:rPr>
                <w:rFonts w:ascii="Cambria"/>
                <w:color w:val="333333"/>
                <w:w w:val="110"/>
                <w:sz w:val="21"/>
              </w:rPr>
              <w:t xml:space="preserve">Exposes audit events information for the current application. Requires an </w:t>
            </w:r>
            <w:r>
              <w:rPr>
                <w:color w:val="B02045"/>
                <w:w w:val="110"/>
                <w:sz w:val="21"/>
              </w:rPr>
              <w:t>AuditEventRepository</w:t>
            </w:r>
            <w:r>
              <w:rPr>
                <w:color w:val="B02045"/>
                <w:spacing w:val="-67"/>
                <w:w w:val="110"/>
                <w:sz w:val="21"/>
              </w:rPr>
              <w:t xml:space="preserve"> </w:t>
            </w:r>
            <w:r>
              <w:rPr>
                <w:rFonts w:ascii="Cambria"/>
                <w:color w:val="333333"/>
                <w:w w:val="110"/>
                <w:sz w:val="21"/>
              </w:rPr>
              <w:t>bean.</w:t>
            </w:r>
          </w:p>
        </w:tc>
      </w:tr>
      <w:tr w:rsidR="00A720EB" w14:paraId="736EE3B2" w14:textId="77777777">
        <w:trPr>
          <w:trHeight w:val="425"/>
        </w:trPr>
        <w:tc>
          <w:tcPr>
            <w:tcW w:w="2850" w:type="dxa"/>
          </w:tcPr>
          <w:p w14:paraId="2E9643CE" w14:textId="77777777" w:rsidR="00A720EB" w:rsidRDefault="0030286B">
            <w:pPr>
              <w:pStyle w:val="TableParagraph"/>
              <w:spacing w:before="40"/>
              <w:rPr>
                <w:sz w:val="21"/>
              </w:rPr>
            </w:pPr>
            <w:r>
              <w:rPr>
                <w:color w:val="B02045"/>
                <w:sz w:val="21"/>
              </w:rPr>
              <w:t>beans</w:t>
            </w:r>
          </w:p>
        </w:tc>
        <w:tc>
          <w:tcPr>
            <w:tcW w:w="7125" w:type="dxa"/>
          </w:tcPr>
          <w:p w14:paraId="55B3F29A" w14:textId="77777777" w:rsidR="00A720EB" w:rsidRDefault="0030286B">
            <w:pPr>
              <w:pStyle w:val="TableParagraph"/>
              <w:spacing w:before="94"/>
              <w:rPr>
                <w:rFonts w:ascii="Cambria"/>
                <w:sz w:val="21"/>
              </w:rPr>
            </w:pPr>
            <w:r>
              <w:rPr>
                <w:rFonts w:ascii="Cambria"/>
                <w:color w:val="333333"/>
                <w:w w:val="110"/>
                <w:sz w:val="21"/>
              </w:rPr>
              <w:t>Displays a complete list of all the Spring beans in your application.</w:t>
            </w:r>
          </w:p>
        </w:tc>
      </w:tr>
      <w:tr w:rsidR="00A720EB" w14:paraId="03002AA4" w14:textId="77777777">
        <w:trPr>
          <w:trHeight w:val="425"/>
        </w:trPr>
        <w:tc>
          <w:tcPr>
            <w:tcW w:w="2850" w:type="dxa"/>
          </w:tcPr>
          <w:p w14:paraId="00221722" w14:textId="77777777" w:rsidR="00A720EB" w:rsidRDefault="0030286B">
            <w:pPr>
              <w:pStyle w:val="TableParagraph"/>
              <w:spacing w:before="40"/>
              <w:rPr>
                <w:sz w:val="21"/>
              </w:rPr>
            </w:pPr>
            <w:r>
              <w:rPr>
                <w:color w:val="B02045"/>
                <w:sz w:val="21"/>
              </w:rPr>
              <w:t>caches</w:t>
            </w:r>
          </w:p>
        </w:tc>
        <w:tc>
          <w:tcPr>
            <w:tcW w:w="7125" w:type="dxa"/>
          </w:tcPr>
          <w:p w14:paraId="36DE2362" w14:textId="77777777" w:rsidR="00A720EB" w:rsidRDefault="0030286B">
            <w:pPr>
              <w:pStyle w:val="TableParagraph"/>
              <w:spacing w:before="94"/>
              <w:rPr>
                <w:rFonts w:ascii="Cambria"/>
                <w:sz w:val="21"/>
              </w:rPr>
            </w:pPr>
            <w:r>
              <w:rPr>
                <w:rFonts w:ascii="Cambria"/>
                <w:color w:val="333333"/>
                <w:w w:val="110"/>
                <w:sz w:val="21"/>
              </w:rPr>
              <w:t>Exposes available caches.</w:t>
            </w:r>
          </w:p>
        </w:tc>
      </w:tr>
      <w:tr w:rsidR="00A720EB" w14:paraId="75BA1CCF" w14:textId="77777777">
        <w:trPr>
          <w:trHeight w:val="741"/>
        </w:trPr>
        <w:tc>
          <w:tcPr>
            <w:tcW w:w="2850" w:type="dxa"/>
          </w:tcPr>
          <w:p w14:paraId="387094BE" w14:textId="77777777" w:rsidR="00A720EB" w:rsidRDefault="0030286B">
            <w:pPr>
              <w:pStyle w:val="TableParagraph"/>
              <w:spacing w:before="40"/>
              <w:rPr>
                <w:sz w:val="21"/>
              </w:rPr>
            </w:pPr>
            <w:r>
              <w:rPr>
                <w:color w:val="B02045"/>
                <w:sz w:val="21"/>
              </w:rPr>
              <w:t>conditions</w:t>
            </w:r>
          </w:p>
        </w:tc>
        <w:tc>
          <w:tcPr>
            <w:tcW w:w="7125" w:type="dxa"/>
          </w:tcPr>
          <w:p w14:paraId="52071B96" w14:textId="77777777" w:rsidR="00A720EB" w:rsidRDefault="0030286B">
            <w:pPr>
              <w:pStyle w:val="TableParagraph"/>
              <w:spacing w:before="31" w:line="310" w:lineRule="atLeast"/>
              <w:rPr>
                <w:rFonts w:ascii="Cambria"/>
                <w:sz w:val="21"/>
              </w:rPr>
            </w:pPr>
            <w:r>
              <w:rPr>
                <w:rFonts w:ascii="Cambria"/>
                <w:color w:val="333333"/>
                <w:w w:val="110"/>
                <w:sz w:val="21"/>
              </w:rPr>
              <w:t>Shows the conditions that were evaluated on configuration and auto- configuration classes and the reasons why they did or did not match.</w:t>
            </w:r>
          </w:p>
        </w:tc>
      </w:tr>
      <w:tr w:rsidR="00A720EB" w14:paraId="0A8CF292" w14:textId="77777777">
        <w:trPr>
          <w:trHeight w:val="425"/>
        </w:trPr>
        <w:tc>
          <w:tcPr>
            <w:tcW w:w="2850" w:type="dxa"/>
          </w:tcPr>
          <w:p w14:paraId="7FF030CC" w14:textId="77777777" w:rsidR="00A720EB" w:rsidRDefault="0030286B">
            <w:pPr>
              <w:pStyle w:val="TableParagraph"/>
              <w:spacing w:before="40"/>
              <w:rPr>
                <w:sz w:val="21"/>
              </w:rPr>
            </w:pPr>
            <w:r>
              <w:rPr>
                <w:color w:val="B02045"/>
                <w:sz w:val="21"/>
              </w:rPr>
              <w:t>configprops</w:t>
            </w:r>
          </w:p>
        </w:tc>
        <w:tc>
          <w:tcPr>
            <w:tcW w:w="7125" w:type="dxa"/>
          </w:tcPr>
          <w:p w14:paraId="3C8D0F33" w14:textId="77777777" w:rsidR="00A720EB" w:rsidRDefault="0030286B">
            <w:pPr>
              <w:pStyle w:val="TableParagraph"/>
              <w:spacing w:before="84"/>
              <w:rPr>
                <w:rFonts w:ascii="Cambria"/>
                <w:sz w:val="21"/>
              </w:rPr>
            </w:pPr>
            <w:r>
              <w:rPr>
                <w:rFonts w:ascii="Cambria"/>
                <w:color w:val="333333"/>
                <w:w w:val="110"/>
                <w:sz w:val="21"/>
              </w:rPr>
              <w:t xml:space="preserve">Displays a collated list of all </w:t>
            </w:r>
            <w:r>
              <w:rPr>
                <w:color w:val="B02045"/>
                <w:w w:val="110"/>
                <w:sz w:val="21"/>
              </w:rPr>
              <w:t>@ConfigurationProperties</w:t>
            </w:r>
            <w:r>
              <w:rPr>
                <w:rFonts w:ascii="Cambria"/>
                <w:color w:val="333333"/>
                <w:w w:val="110"/>
                <w:sz w:val="21"/>
              </w:rPr>
              <w:t>.</w:t>
            </w:r>
          </w:p>
        </w:tc>
      </w:tr>
      <w:tr w:rsidR="00A720EB" w14:paraId="34BE65AE" w14:textId="77777777">
        <w:trPr>
          <w:trHeight w:val="425"/>
        </w:trPr>
        <w:tc>
          <w:tcPr>
            <w:tcW w:w="2850" w:type="dxa"/>
          </w:tcPr>
          <w:p w14:paraId="5C4272C0" w14:textId="77777777" w:rsidR="00A720EB" w:rsidRDefault="0030286B">
            <w:pPr>
              <w:pStyle w:val="TableParagraph"/>
              <w:spacing w:before="40"/>
              <w:rPr>
                <w:sz w:val="21"/>
              </w:rPr>
            </w:pPr>
            <w:r>
              <w:rPr>
                <w:color w:val="B02045"/>
                <w:sz w:val="21"/>
              </w:rPr>
              <w:t>env</w:t>
            </w:r>
          </w:p>
        </w:tc>
        <w:tc>
          <w:tcPr>
            <w:tcW w:w="7125" w:type="dxa"/>
          </w:tcPr>
          <w:p w14:paraId="7C3913ED" w14:textId="77777777" w:rsidR="00A720EB" w:rsidRDefault="0030286B">
            <w:pPr>
              <w:pStyle w:val="TableParagraph"/>
              <w:spacing w:before="84"/>
              <w:rPr>
                <w:rFonts w:ascii="Cambria" w:hAnsi="Cambria"/>
                <w:sz w:val="21"/>
              </w:rPr>
            </w:pPr>
            <w:r>
              <w:rPr>
                <w:rFonts w:ascii="Cambria" w:hAnsi="Cambria"/>
                <w:color w:val="333333"/>
                <w:w w:val="110"/>
                <w:sz w:val="21"/>
              </w:rPr>
              <w:t xml:space="preserve">Exposes properties from Spring’s </w:t>
            </w:r>
            <w:r>
              <w:rPr>
                <w:color w:val="B02045"/>
                <w:w w:val="110"/>
                <w:sz w:val="21"/>
              </w:rPr>
              <w:t>ConfigurableEnvironment</w:t>
            </w:r>
            <w:r>
              <w:rPr>
                <w:rFonts w:ascii="Cambria" w:hAnsi="Cambria"/>
                <w:color w:val="333333"/>
                <w:w w:val="110"/>
                <w:sz w:val="21"/>
              </w:rPr>
              <w:t>.</w:t>
            </w:r>
          </w:p>
        </w:tc>
      </w:tr>
      <w:tr w:rsidR="00A720EB" w14:paraId="36D4FCE6" w14:textId="77777777">
        <w:trPr>
          <w:trHeight w:val="741"/>
        </w:trPr>
        <w:tc>
          <w:tcPr>
            <w:tcW w:w="2850" w:type="dxa"/>
          </w:tcPr>
          <w:p w14:paraId="074FA459" w14:textId="77777777" w:rsidR="00A720EB" w:rsidRDefault="0030286B">
            <w:pPr>
              <w:pStyle w:val="TableParagraph"/>
              <w:spacing w:before="40"/>
              <w:rPr>
                <w:sz w:val="21"/>
              </w:rPr>
            </w:pPr>
            <w:r>
              <w:rPr>
                <w:color w:val="B02045"/>
                <w:sz w:val="21"/>
              </w:rPr>
              <w:t>flyway</w:t>
            </w:r>
          </w:p>
        </w:tc>
        <w:tc>
          <w:tcPr>
            <w:tcW w:w="7125" w:type="dxa"/>
          </w:tcPr>
          <w:p w14:paraId="15609F89" w14:textId="77777777" w:rsidR="00A720EB" w:rsidRDefault="0030286B">
            <w:pPr>
              <w:pStyle w:val="TableParagraph"/>
              <w:spacing w:before="11" w:line="330" w:lineRule="atLeast"/>
              <w:rPr>
                <w:rFonts w:ascii="Cambria"/>
                <w:sz w:val="21"/>
              </w:rPr>
            </w:pPr>
            <w:r>
              <w:rPr>
                <w:rFonts w:ascii="Cambria"/>
                <w:color w:val="333333"/>
                <w:w w:val="110"/>
                <w:sz w:val="21"/>
              </w:rPr>
              <w:t xml:space="preserve">Shows any Flyway database migrations that have been applied. Requires one or more </w:t>
            </w:r>
            <w:r>
              <w:rPr>
                <w:color w:val="B02045"/>
                <w:w w:val="110"/>
                <w:sz w:val="21"/>
              </w:rPr>
              <w:t>Flyway</w:t>
            </w:r>
            <w:r>
              <w:rPr>
                <w:color w:val="B02045"/>
                <w:spacing w:val="-52"/>
                <w:w w:val="110"/>
                <w:sz w:val="21"/>
              </w:rPr>
              <w:t xml:space="preserve"> </w:t>
            </w:r>
            <w:r>
              <w:rPr>
                <w:rFonts w:ascii="Cambria"/>
                <w:color w:val="333333"/>
                <w:w w:val="110"/>
                <w:sz w:val="21"/>
              </w:rPr>
              <w:t>beans.</w:t>
            </w:r>
          </w:p>
        </w:tc>
      </w:tr>
      <w:tr w:rsidR="00A720EB" w14:paraId="1586C72F" w14:textId="77777777">
        <w:trPr>
          <w:trHeight w:val="425"/>
        </w:trPr>
        <w:tc>
          <w:tcPr>
            <w:tcW w:w="2850" w:type="dxa"/>
          </w:tcPr>
          <w:p w14:paraId="23F6CAE3" w14:textId="77777777" w:rsidR="00A720EB" w:rsidRDefault="0030286B">
            <w:pPr>
              <w:pStyle w:val="TableParagraph"/>
              <w:spacing w:before="40"/>
              <w:rPr>
                <w:sz w:val="21"/>
              </w:rPr>
            </w:pPr>
            <w:r>
              <w:rPr>
                <w:color w:val="B02045"/>
                <w:sz w:val="21"/>
              </w:rPr>
              <w:t>health</w:t>
            </w:r>
          </w:p>
        </w:tc>
        <w:tc>
          <w:tcPr>
            <w:tcW w:w="7125" w:type="dxa"/>
          </w:tcPr>
          <w:p w14:paraId="4DD23D4E" w14:textId="77777777" w:rsidR="00A720EB" w:rsidRDefault="0030286B">
            <w:pPr>
              <w:pStyle w:val="TableParagraph"/>
              <w:spacing w:before="94"/>
              <w:rPr>
                <w:rFonts w:ascii="Cambria"/>
                <w:sz w:val="21"/>
              </w:rPr>
            </w:pPr>
            <w:r>
              <w:rPr>
                <w:rFonts w:ascii="Cambria"/>
                <w:color w:val="333333"/>
                <w:w w:val="110"/>
                <w:sz w:val="21"/>
              </w:rPr>
              <w:t>Shows application health information.</w:t>
            </w:r>
          </w:p>
        </w:tc>
      </w:tr>
      <w:tr w:rsidR="00A720EB" w14:paraId="3878899E" w14:textId="77777777">
        <w:trPr>
          <w:trHeight w:val="741"/>
        </w:trPr>
        <w:tc>
          <w:tcPr>
            <w:tcW w:w="2850" w:type="dxa"/>
          </w:tcPr>
          <w:p w14:paraId="6E94147D" w14:textId="77777777" w:rsidR="00A720EB" w:rsidRDefault="0030286B">
            <w:pPr>
              <w:pStyle w:val="TableParagraph"/>
              <w:spacing w:before="40"/>
              <w:rPr>
                <w:sz w:val="21"/>
              </w:rPr>
            </w:pPr>
            <w:r>
              <w:rPr>
                <w:color w:val="B02045"/>
                <w:sz w:val="21"/>
              </w:rPr>
              <w:t>httptrace</w:t>
            </w:r>
          </w:p>
        </w:tc>
        <w:tc>
          <w:tcPr>
            <w:tcW w:w="7125" w:type="dxa"/>
          </w:tcPr>
          <w:p w14:paraId="41E2E503" w14:textId="77777777" w:rsidR="00A720EB" w:rsidRDefault="0030286B">
            <w:pPr>
              <w:pStyle w:val="TableParagraph"/>
              <w:spacing w:before="11" w:line="330" w:lineRule="atLeast"/>
              <w:ind w:right="214"/>
              <w:rPr>
                <w:rFonts w:ascii="Cambria"/>
                <w:sz w:val="21"/>
              </w:rPr>
            </w:pPr>
            <w:r>
              <w:rPr>
                <w:rFonts w:ascii="Cambria"/>
                <w:color w:val="333333"/>
                <w:w w:val="110"/>
                <w:sz w:val="21"/>
              </w:rPr>
              <w:t>Displays HTTP trace information (by default, the last 100 HTTP request-response</w:t>
            </w:r>
            <w:r>
              <w:rPr>
                <w:rFonts w:ascii="Cambria"/>
                <w:color w:val="333333"/>
                <w:spacing w:val="-32"/>
                <w:w w:val="110"/>
                <w:sz w:val="21"/>
              </w:rPr>
              <w:t xml:space="preserve"> </w:t>
            </w:r>
            <w:r>
              <w:rPr>
                <w:rFonts w:ascii="Cambria"/>
                <w:color w:val="333333"/>
                <w:w w:val="110"/>
                <w:sz w:val="21"/>
              </w:rPr>
              <w:t>exchanges).</w:t>
            </w:r>
            <w:r>
              <w:rPr>
                <w:rFonts w:ascii="Cambria"/>
                <w:color w:val="333333"/>
                <w:spacing w:val="-32"/>
                <w:w w:val="110"/>
                <w:sz w:val="21"/>
              </w:rPr>
              <w:t xml:space="preserve"> </w:t>
            </w:r>
            <w:r>
              <w:rPr>
                <w:rFonts w:ascii="Cambria"/>
                <w:color w:val="333333"/>
                <w:w w:val="110"/>
                <w:sz w:val="21"/>
              </w:rPr>
              <w:t>Requires</w:t>
            </w:r>
            <w:r>
              <w:rPr>
                <w:rFonts w:ascii="Cambria"/>
                <w:color w:val="333333"/>
                <w:spacing w:val="-32"/>
                <w:w w:val="110"/>
                <w:sz w:val="21"/>
              </w:rPr>
              <w:t xml:space="preserve"> </w:t>
            </w:r>
            <w:r>
              <w:rPr>
                <w:rFonts w:ascii="Cambria"/>
                <w:color w:val="333333"/>
                <w:w w:val="110"/>
                <w:sz w:val="21"/>
              </w:rPr>
              <w:t>an</w:t>
            </w:r>
            <w:r>
              <w:rPr>
                <w:rFonts w:ascii="Cambria"/>
                <w:color w:val="333333"/>
                <w:spacing w:val="-31"/>
                <w:w w:val="110"/>
                <w:sz w:val="21"/>
              </w:rPr>
              <w:t xml:space="preserve"> </w:t>
            </w:r>
            <w:r>
              <w:rPr>
                <w:color w:val="B02045"/>
                <w:w w:val="110"/>
                <w:sz w:val="21"/>
              </w:rPr>
              <w:t>HttpTraceRepository</w:t>
            </w:r>
            <w:r>
              <w:rPr>
                <w:color w:val="B02045"/>
                <w:spacing w:val="-96"/>
                <w:w w:val="110"/>
                <w:sz w:val="21"/>
              </w:rPr>
              <w:t xml:space="preserve"> </w:t>
            </w:r>
            <w:r>
              <w:rPr>
                <w:rFonts w:ascii="Cambria"/>
                <w:color w:val="333333"/>
                <w:w w:val="110"/>
                <w:sz w:val="21"/>
              </w:rPr>
              <w:t>bean.</w:t>
            </w:r>
          </w:p>
        </w:tc>
      </w:tr>
      <w:tr w:rsidR="00A720EB" w14:paraId="089480E3" w14:textId="77777777">
        <w:trPr>
          <w:trHeight w:val="425"/>
        </w:trPr>
        <w:tc>
          <w:tcPr>
            <w:tcW w:w="2850" w:type="dxa"/>
          </w:tcPr>
          <w:p w14:paraId="034450F6" w14:textId="77777777" w:rsidR="00A720EB" w:rsidRDefault="0030286B">
            <w:pPr>
              <w:pStyle w:val="TableParagraph"/>
              <w:spacing w:before="40"/>
              <w:rPr>
                <w:sz w:val="21"/>
              </w:rPr>
            </w:pPr>
            <w:r>
              <w:rPr>
                <w:color w:val="B02045"/>
                <w:sz w:val="21"/>
              </w:rPr>
              <w:t>info</w:t>
            </w:r>
          </w:p>
        </w:tc>
        <w:tc>
          <w:tcPr>
            <w:tcW w:w="7125" w:type="dxa"/>
          </w:tcPr>
          <w:p w14:paraId="6EE2A9AF" w14:textId="77777777" w:rsidR="00A720EB" w:rsidRDefault="0030286B">
            <w:pPr>
              <w:pStyle w:val="TableParagraph"/>
              <w:spacing w:before="94"/>
              <w:rPr>
                <w:rFonts w:ascii="Cambria"/>
                <w:sz w:val="21"/>
              </w:rPr>
            </w:pPr>
            <w:r>
              <w:rPr>
                <w:rFonts w:ascii="Cambria"/>
                <w:color w:val="333333"/>
                <w:w w:val="115"/>
                <w:sz w:val="21"/>
              </w:rPr>
              <w:t>Displays arbitrary application info.</w:t>
            </w:r>
          </w:p>
        </w:tc>
      </w:tr>
      <w:tr w:rsidR="00A720EB" w14:paraId="750CD262" w14:textId="77777777">
        <w:trPr>
          <w:trHeight w:val="741"/>
        </w:trPr>
        <w:tc>
          <w:tcPr>
            <w:tcW w:w="2850" w:type="dxa"/>
          </w:tcPr>
          <w:p w14:paraId="442134A5" w14:textId="77777777" w:rsidR="00A720EB" w:rsidRDefault="0030286B">
            <w:pPr>
              <w:pStyle w:val="TableParagraph"/>
              <w:spacing w:before="40"/>
              <w:rPr>
                <w:sz w:val="21"/>
              </w:rPr>
            </w:pPr>
            <w:r>
              <w:rPr>
                <w:color w:val="B02045"/>
                <w:sz w:val="21"/>
              </w:rPr>
              <w:t>integrationgraph</w:t>
            </w:r>
          </w:p>
        </w:tc>
        <w:tc>
          <w:tcPr>
            <w:tcW w:w="7125" w:type="dxa"/>
          </w:tcPr>
          <w:p w14:paraId="48ED6FEA" w14:textId="77777777" w:rsidR="00A720EB" w:rsidRDefault="0030286B">
            <w:pPr>
              <w:pStyle w:val="TableParagraph"/>
              <w:spacing w:before="94"/>
              <w:rPr>
                <w:rFonts w:ascii="Cambria"/>
                <w:sz w:val="21"/>
              </w:rPr>
            </w:pPr>
            <w:r>
              <w:rPr>
                <w:rFonts w:ascii="Cambria"/>
                <w:color w:val="333333"/>
                <w:w w:val="110"/>
                <w:sz w:val="21"/>
              </w:rPr>
              <w:t>Shows the Spring Integration graph. Requires a dependency on</w:t>
            </w:r>
          </w:p>
          <w:p w14:paraId="57EB32E8" w14:textId="77777777" w:rsidR="00A720EB" w:rsidRDefault="0030286B">
            <w:pPr>
              <w:pStyle w:val="TableParagraph"/>
              <w:spacing w:before="59"/>
              <w:rPr>
                <w:rFonts w:ascii="Cambria"/>
                <w:sz w:val="21"/>
              </w:rPr>
            </w:pPr>
            <w:r>
              <w:rPr>
                <w:color w:val="B02045"/>
                <w:sz w:val="21"/>
              </w:rPr>
              <w:t>spring-integration-core</w:t>
            </w:r>
            <w:r>
              <w:rPr>
                <w:rFonts w:ascii="Cambria"/>
                <w:color w:val="333333"/>
                <w:sz w:val="21"/>
              </w:rPr>
              <w:t>.</w:t>
            </w:r>
          </w:p>
        </w:tc>
      </w:tr>
      <w:tr w:rsidR="00A720EB" w14:paraId="452C27DB" w14:textId="77777777">
        <w:trPr>
          <w:trHeight w:val="425"/>
        </w:trPr>
        <w:tc>
          <w:tcPr>
            <w:tcW w:w="2850" w:type="dxa"/>
          </w:tcPr>
          <w:p w14:paraId="07EFED38" w14:textId="77777777" w:rsidR="00A720EB" w:rsidRDefault="0030286B">
            <w:pPr>
              <w:pStyle w:val="TableParagraph"/>
              <w:spacing w:before="40"/>
              <w:rPr>
                <w:sz w:val="21"/>
              </w:rPr>
            </w:pPr>
            <w:r>
              <w:rPr>
                <w:color w:val="B02045"/>
                <w:sz w:val="21"/>
              </w:rPr>
              <w:t>loggers</w:t>
            </w:r>
          </w:p>
        </w:tc>
        <w:tc>
          <w:tcPr>
            <w:tcW w:w="7125" w:type="dxa"/>
          </w:tcPr>
          <w:p w14:paraId="1A6C3B50" w14:textId="77777777" w:rsidR="00A720EB" w:rsidRDefault="0030286B">
            <w:pPr>
              <w:pStyle w:val="TableParagraph"/>
              <w:spacing w:before="94"/>
              <w:rPr>
                <w:rFonts w:ascii="Cambria"/>
                <w:sz w:val="21"/>
              </w:rPr>
            </w:pPr>
            <w:r>
              <w:rPr>
                <w:rFonts w:ascii="Cambria"/>
                <w:color w:val="333333"/>
                <w:w w:val="110"/>
                <w:sz w:val="21"/>
              </w:rPr>
              <w:t>Shows and modifies the configuration of loggers in the application.</w:t>
            </w:r>
          </w:p>
        </w:tc>
      </w:tr>
      <w:tr w:rsidR="00A720EB" w14:paraId="0D826FCE" w14:textId="77777777">
        <w:trPr>
          <w:trHeight w:val="741"/>
        </w:trPr>
        <w:tc>
          <w:tcPr>
            <w:tcW w:w="2850" w:type="dxa"/>
          </w:tcPr>
          <w:p w14:paraId="4A01D473" w14:textId="77777777" w:rsidR="00A720EB" w:rsidRDefault="0030286B">
            <w:pPr>
              <w:pStyle w:val="TableParagraph"/>
              <w:spacing w:before="40"/>
              <w:rPr>
                <w:sz w:val="21"/>
              </w:rPr>
            </w:pPr>
            <w:r>
              <w:rPr>
                <w:color w:val="B02045"/>
                <w:sz w:val="21"/>
              </w:rPr>
              <w:t>liquibase</w:t>
            </w:r>
          </w:p>
        </w:tc>
        <w:tc>
          <w:tcPr>
            <w:tcW w:w="7125" w:type="dxa"/>
          </w:tcPr>
          <w:p w14:paraId="43401C17" w14:textId="77777777" w:rsidR="00A720EB" w:rsidRDefault="0030286B">
            <w:pPr>
              <w:pStyle w:val="TableParagraph"/>
              <w:spacing w:before="11" w:line="330" w:lineRule="atLeast"/>
              <w:rPr>
                <w:rFonts w:ascii="Cambria"/>
                <w:sz w:val="21"/>
              </w:rPr>
            </w:pPr>
            <w:r>
              <w:rPr>
                <w:rFonts w:ascii="Cambria"/>
                <w:color w:val="333333"/>
                <w:w w:val="110"/>
                <w:sz w:val="21"/>
              </w:rPr>
              <w:t xml:space="preserve">Shows any Liquibase database migrations that have been applied. Requires one or more </w:t>
            </w:r>
            <w:r>
              <w:rPr>
                <w:color w:val="B02045"/>
                <w:w w:val="110"/>
                <w:sz w:val="21"/>
              </w:rPr>
              <w:t>Liquibase</w:t>
            </w:r>
            <w:r>
              <w:rPr>
                <w:color w:val="B02045"/>
                <w:spacing w:val="-55"/>
                <w:w w:val="110"/>
                <w:sz w:val="21"/>
              </w:rPr>
              <w:t xml:space="preserve"> </w:t>
            </w:r>
            <w:r>
              <w:rPr>
                <w:rFonts w:ascii="Cambria"/>
                <w:color w:val="333333"/>
                <w:w w:val="110"/>
                <w:sz w:val="21"/>
              </w:rPr>
              <w:t>beans.</w:t>
            </w:r>
          </w:p>
        </w:tc>
      </w:tr>
      <w:tr w:rsidR="00A720EB" w14:paraId="7F738DDD" w14:textId="77777777">
        <w:trPr>
          <w:trHeight w:val="425"/>
        </w:trPr>
        <w:tc>
          <w:tcPr>
            <w:tcW w:w="2850" w:type="dxa"/>
          </w:tcPr>
          <w:p w14:paraId="6007F652" w14:textId="77777777" w:rsidR="00A720EB" w:rsidRDefault="0030286B">
            <w:pPr>
              <w:pStyle w:val="TableParagraph"/>
              <w:spacing w:before="40"/>
              <w:rPr>
                <w:sz w:val="21"/>
              </w:rPr>
            </w:pPr>
            <w:r>
              <w:rPr>
                <w:color w:val="B02045"/>
                <w:sz w:val="21"/>
              </w:rPr>
              <w:t>metrics</w:t>
            </w:r>
          </w:p>
        </w:tc>
        <w:tc>
          <w:tcPr>
            <w:tcW w:w="7125" w:type="dxa"/>
          </w:tcPr>
          <w:p w14:paraId="2C818261" w14:textId="77777777" w:rsidR="00A720EB" w:rsidRDefault="0030286B">
            <w:pPr>
              <w:pStyle w:val="TableParagraph"/>
              <w:spacing w:before="94"/>
              <w:rPr>
                <w:rFonts w:ascii="Cambria" w:hAnsi="Cambria"/>
                <w:sz w:val="21"/>
              </w:rPr>
            </w:pPr>
            <w:r>
              <w:rPr>
                <w:rFonts w:ascii="Cambria" w:hAnsi="Cambria"/>
                <w:color w:val="333333"/>
                <w:w w:val="110"/>
                <w:sz w:val="21"/>
              </w:rPr>
              <w:t>Shows ‘metrics’ information for the current application.</w:t>
            </w:r>
          </w:p>
        </w:tc>
      </w:tr>
      <w:tr w:rsidR="00A720EB" w14:paraId="702233B2" w14:textId="77777777">
        <w:trPr>
          <w:trHeight w:val="425"/>
        </w:trPr>
        <w:tc>
          <w:tcPr>
            <w:tcW w:w="2850" w:type="dxa"/>
          </w:tcPr>
          <w:p w14:paraId="0F165432" w14:textId="77777777" w:rsidR="00A720EB" w:rsidRDefault="0030286B">
            <w:pPr>
              <w:pStyle w:val="TableParagraph"/>
              <w:spacing w:before="40"/>
              <w:rPr>
                <w:sz w:val="21"/>
              </w:rPr>
            </w:pPr>
            <w:r>
              <w:rPr>
                <w:color w:val="B02045"/>
                <w:sz w:val="21"/>
              </w:rPr>
              <w:t>mappings</w:t>
            </w:r>
          </w:p>
        </w:tc>
        <w:tc>
          <w:tcPr>
            <w:tcW w:w="7125" w:type="dxa"/>
          </w:tcPr>
          <w:p w14:paraId="66A8ADD8" w14:textId="77777777" w:rsidR="00A720EB" w:rsidRDefault="0030286B">
            <w:pPr>
              <w:pStyle w:val="TableParagraph"/>
              <w:spacing w:before="84"/>
              <w:rPr>
                <w:rFonts w:ascii="Cambria"/>
                <w:sz w:val="21"/>
              </w:rPr>
            </w:pPr>
            <w:r>
              <w:rPr>
                <w:rFonts w:ascii="Cambria"/>
                <w:color w:val="333333"/>
                <w:w w:val="110"/>
                <w:sz w:val="21"/>
              </w:rPr>
              <w:t xml:space="preserve">Displays a collated list of all </w:t>
            </w:r>
            <w:r>
              <w:rPr>
                <w:color w:val="B02045"/>
                <w:w w:val="110"/>
                <w:sz w:val="21"/>
              </w:rPr>
              <w:t>@RequestMapping</w:t>
            </w:r>
            <w:r>
              <w:rPr>
                <w:color w:val="B02045"/>
                <w:spacing w:val="-66"/>
                <w:w w:val="110"/>
                <w:sz w:val="21"/>
              </w:rPr>
              <w:t xml:space="preserve"> </w:t>
            </w:r>
            <w:r>
              <w:rPr>
                <w:rFonts w:ascii="Cambria"/>
                <w:color w:val="333333"/>
                <w:w w:val="110"/>
                <w:sz w:val="21"/>
              </w:rPr>
              <w:t>paths.</w:t>
            </w:r>
          </w:p>
        </w:tc>
      </w:tr>
      <w:tr w:rsidR="00A720EB" w14:paraId="0650F72A" w14:textId="77777777">
        <w:trPr>
          <w:trHeight w:val="425"/>
        </w:trPr>
        <w:tc>
          <w:tcPr>
            <w:tcW w:w="2850" w:type="dxa"/>
          </w:tcPr>
          <w:p w14:paraId="6B263A02" w14:textId="77777777" w:rsidR="00A720EB" w:rsidRDefault="0030286B">
            <w:pPr>
              <w:pStyle w:val="TableParagraph"/>
              <w:spacing w:before="40"/>
              <w:rPr>
                <w:sz w:val="21"/>
              </w:rPr>
            </w:pPr>
            <w:r>
              <w:rPr>
                <w:color w:val="B02045"/>
                <w:sz w:val="21"/>
              </w:rPr>
              <w:t>scheduledtasks</w:t>
            </w:r>
          </w:p>
        </w:tc>
        <w:tc>
          <w:tcPr>
            <w:tcW w:w="7125" w:type="dxa"/>
          </w:tcPr>
          <w:p w14:paraId="348C52CB" w14:textId="77777777" w:rsidR="00A720EB" w:rsidRDefault="0030286B">
            <w:pPr>
              <w:pStyle w:val="TableParagraph"/>
              <w:spacing w:before="94"/>
              <w:rPr>
                <w:rFonts w:ascii="Cambria"/>
                <w:sz w:val="21"/>
              </w:rPr>
            </w:pPr>
            <w:r>
              <w:rPr>
                <w:rFonts w:ascii="Cambria"/>
                <w:color w:val="333333"/>
                <w:w w:val="110"/>
                <w:sz w:val="21"/>
              </w:rPr>
              <w:t>Displays the scheduled tasks in your application.</w:t>
            </w:r>
          </w:p>
        </w:tc>
      </w:tr>
      <w:tr w:rsidR="00A720EB" w14:paraId="77639780" w14:textId="77777777">
        <w:trPr>
          <w:trHeight w:val="1056"/>
        </w:trPr>
        <w:tc>
          <w:tcPr>
            <w:tcW w:w="2850" w:type="dxa"/>
          </w:tcPr>
          <w:p w14:paraId="6B26A952" w14:textId="77777777" w:rsidR="00A720EB" w:rsidRDefault="0030286B">
            <w:pPr>
              <w:pStyle w:val="TableParagraph"/>
              <w:spacing w:before="40"/>
              <w:rPr>
                <w:sz w:val="21"/>
              </w:rPr>
            </w:pPr>
            <w:r>
              <w:rPr>
                <w:color w:val="B02045"/>
                <w:sz w:val="21"/>
              </w:rPr>
              <w:t>sessions</w:t>
            </w:r>
          </w:p>
        </w:tc>
        <w:tc>
          <w:tcPr>
            <w:tcW w:w="7125" w:type="dxa"/>
          </w:tcPr>
          <w:p w14:paraId="453AAF4B" w14:textId="77777777" w:rsidR="00A720EB" w:rsidRDefault="0030286B">
            <w:pPr>
              <w:pStyle w:val="TableParagraph"/>
              <w:spacing w:before="31" w:line="310" w:lineRule="atLeast"/>
              <w:ind w:right="205"/>
              <w:jc w:val="both"/>
              <w:rPr>
                <w:rFonts w:ascii="Cambria"/>
                <w:sz w:val="21"/>
              </w:rPr>
            </w:pPr>
            <w:r>
              <w:rPr>
                <w:rFonts w:ascii="Cambria"/>
                <w:color w:val="333333"/>
                <w:w w:val="110"/>
                <w:sz w:val="21"/>
              </w:rPr>
              <w:t>Allows retrieval and deletion of user sessions from a Spring Session- backed session store. Requires a Servlet-based web application using Spring Session.</w:t>
            </w:r>
          </w:p>
        </w:tc>
      </w:tr>
      <w:tr w:rsidR="00A720EB" w14:paraId="0E3ACB7D" w14:textId="77777777">
        <w:trPr>
          <w:trHeight w:val="425"/>
        </w:trPr>
        <w:tc>
          <w:tcPr>
            <w:tcW w:w="2850" w:type="dxa"/>
          </w:tcPr>
          <w:p w14:paraId="42B7FFBD" w14:textId="77777777" w:rsidR="00A720EB" w:rsidRDefault="0030286B">
            <w:pPr>
              <w:pStyle w:val="TableParagraph"/>
              <w:spacing w:before="40"/>
              <w:rPr>
                <w:sz w:val="21"/>
              </w:rPr>
            </w:pPr>
            <w:r>
              <w:rPr>
                <w:color w:val="B02045"/>
                <w:sz w:val="21"/>
              </w:rPr>
              <w:t>shutdown</w:t>
            </w:r>
          </w:p>
        </w:tc>
        <w:tc>
          <w:tcPr>
            <w:tcW w:w="7125" w:type="dxa"/>
          </w:tcPr>
          <w:p w14:paraId="27DAC16A" w14:textId="77777777" w:rsidR="00A720EB" w:rsidRDefault="0030286B">
            <w:pPr>
              <w:pStyle w:val="TableParagraph"/>
              <w:spacing w:before="94"/>
              <w:rPr>
                <w:rFonts w:ascii="Cambria"/>
                <w:sz w:val="21"/>
              </w:rPr>
            </w:pPr>
            <w:r>
              <w:rPr>
                <w:rFonts w:ascii="Cambria"/>
                <w:color w:val="333333"/>
                <w:w w:val="110"/>
                <w:sz w:val="21"/>
              </w:rPr>
              <w:t>Lets the application be gracefully shutdown. Disabled by default.</w:t>
            </w:r>
          </w:p>
        </w:tc>
      </w:tr>
      <w:tr w:rsidR="00A720EB" w14:paraId="05560CD5" w14:textId="77777777">
        <w:trPr>
          <w:trHeight w:val="425"/>
        </w:trPr>
        <w:tc>
          <w:tcPr>
            <w:tcW w:w="2850" w:type="dxa"/>
          </w:tcPr>
          <w:p w14:paraId="009D34EF" w14:textId="77777777" w:rsidR="00A720EB" w:rsidRDefault="0030286B">
            <w:pPr>
              <w:pStyle w:val="TableParagraph"/>
              <w:spacing w:before="40"/>
              <w:rPr>
                <w:sz w:val="21"/>
              </w:rPr>
            </w:pPr>
            <w:r>
              <w:rPr>
                <w:color w:val="B02045"/>
                <w:sz w:val="21"/>
              </w:rPr>
              <w:t>threaddump</w:t>
            </w:r>
          </w:p>
        </w:tc>
        <w:tc>
          <w:tcPr>
            <w:tcW w:w="7125" w:type="dxa"/>
          </w:tcPr>
          <w:p w14:paraId="2A0462FB" w14:textId="77777777" w:rsidR="00A720EB" w:rsidRDefault="0030286B">
            <w:pPr>
              <w:pStyle w:val="TableParagraph"/>
              <w:spacing w:before="94"/>
              <w:rPr>
                <w:rFonts w:ascii="Cambria"/>
                <w:sz w:val="21"/>
              </w:rPr>
            </w:pPr>
            <w:r>
              <w:rPr>
                <w:rFonts w:ascii="Cambria"/>
                <w:color w:val="333333"/>
                <w:w w:val="115"/>
                <w:sz w:val="21"/>
              </w:rPr>
              <w:t>Performs a thread dump.</w:t>
            </w:r>
          </w:p>
        </w:tc>
      </w:tr>
    </w:tbl>
    <w:p w14:paraId="5136F798" w14:textId="77777777" w:rsidR="00A720EB" w:rsidRDefault="00A720EB">
      <w:pPr>
        <w:pStyle w:val="a3"/>
        <w:spacing w:before="5"/>
        <w:rPr>
          <w:sz w:val="23"/>
        </w:rPr>
      </w:pPr>
    </w:p>
    <w:p w14:paraId="44C56ADB" w14:textId="77777777" w:rsidR="00A720EB" w:rsidRDefault="0030286B">
      <w:pPr>
        <w:pStyle w:val="a3"/>
        <w:spacing w:line="307" w:lineRule="auto"/>
        <w:ind w:left="124"/>
      </w:pPr>
      <w:r>
        <w:rPr>
          <w:color w:val="333333"/>
          <w:w w:val="110"/>
        </w:rPr>
        <w:t>If your application is a web application (Spring MVC, Spring WebFlux, or Jersey), you can use the following additional endpoints:</w:t>
      </w:r>
    </w:p>
    <w:p w14:paraId="64A1339D" w14:textId="77777777" w:rsidR="00A720EB" w:rsidRDefault="00A720EB">
      <w:pPr>
        <w:pStyle w:val="a3"/>
        <w:spacing w:before="8"/>
        <w:rPr>
          <w:sz w:val="1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850"/>
        <w:gridCol w:w="7125"/>
      </w:tblGrid>
      <w:tr w:rsidR="00A720EB" w14:paraId="7D9ACF6B" w14:textId="77777777">
        <w:trPr>
          <w:trHeight w:val="415"/>
        </w:trPr>
        <w:tc>
          <w:tcPr>
            <w:tcW w:w="2850" w:type="dxa"/>
            <w:tcBorders>
              <w:bottom w:val="single" w:sz="12" w:space="0" w:color="DDDDDD"/>
            </w:tcBorders>
          </w:tcPr>
          <w:p w14:paraId="174608FF" w14:textId="77777777" w:rsidR="00A720EB" w:rsidRDefault="0030286B">
            <w:pPr>
              <w:pStyle w:val="TableParagraph"/>
              <w:spacing w:before="74"/>
              <w:rPr>
                <w:rFonts w:ascii="Palatino Linotype"/>
                <w:b/>
                <w:sz w:val="21"/>
              </w:rPr>
            </w:pPr>
            <w:r>
              <w:rPr>
                <w:rFonts w:ascii="Palatino Linotype"/>
                <w:b/>
                <w:color w:val="333333"/>
                <w:sz w:val="21"/>
              </w:rPr>
              <w:t>ID</w:t>
            </w:r>
          </w:p>
        </w:tc>
        <w:tc>
          <w:tcPr>
            <w:tcW w:w="7125" w:type="dxa"/>
            <w:tcBorders>
              <w:bottom w:val="single" w:sz="12" w:space="0" w:color="DDDDDD"/>
            </w:tcBorders>
          </w:tcPr>
          <w:p w14:paraId="74D3D4E2"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2874EDCA" w14:textId="77777777">
        <w:trPr>
          <w:trHeight w:val="415"/>
        </w:trPr>
        <w:tc>
          <w:tcPr>
            <w:tcW w:w="2850" w:type="dxa"/>
            <w:tcBorders>
              <w:top w:val="single" w:sz="12" w:space="0" w:color="DDDDDD"/>
            </w:tcBorders>
          </w:tcPr>
          <w:p w14:paraId="37143CAC" w14:textId="77777777" w:rsidR="00A720EB" w:rsidRDefault="0030286B">
            <w:pPr>
              <w:pStyle w:val="TableParagraph"/>
              <w:spacing w:before="30"/>
              <w:rPr>
                <w:sz w:val="21"/>
              </w:rPr>
            </w:pPr>
            <w:r>
              <w:rPr>
                <w:color w:val="B02045"/>
                <w:sz w:val="21"/>
              </w:rPr>
              <w:t>heapdump</w:t>
            </w:r>
          </w:p>
        </w:tc>
        <w:tc>
          <w:tcPr>
            <w:tcW w:w="7125" w:type="dxa"/>
            <w:tcBorders>
              <w:top w:val="single" w:sz="12" w:space="0" w:color="DDDDDD"/>
            </w:tcBorders>
          </w:tcPr>
          <w:p w14:paraId="1E68759E" w14:textId="77777777" w:rsidR="00A720EB" w:rsidRDefault="0030286B">
            <w:pPr>
              <w:pStyle w:val="TableParagraph"/>
              <w:spacing w:before="74"/>
              <w:rPr>
                <w:rFonts w:ascii="Cambria"/>
                <w:sz w:val="21"/>
              </w:rPr>
            </w:pPr>
            <w:r>
              <w:rPr>
                <w:rFonts w:ascii="Cambria"/>
                <w:color w:val="333333"/>
                <w:w w:val="110"/>
                <w:sz w:val="21"/>
              </w:rPr>
              <w:t xml:space="preserve">Returns an </w:t>
            </w:r>
            <w:r>
              <w:rPr>
                <w:color w:val="B02045"/>
                <w:w w:val="110"/>
                <w:sz w:val="21"/>
              </w:rPr>
              <w:t>hprof</w:t>
            </w:r>
            <w:r>
              <w:rPr>
                <w:color w:val="B02045"/>
                <w:spacing w:val="-51"/>
                <w:w w:val="110"/>
                <w:sz w:val="21"/>
              </w:rPr>
              <w:t xml:space="preserve"> </w:t>
            </w:r>
            <w:r>
              <w:rPr>
                <w:rFonts w:ascii="Cambria"/>
                <w:color w:val="333333"/>
                <w:w w:val="110"/>
                <w:sz w:val="21"/>
              </w:rPr>
              <w:t>heap dump file.</w:t>
            </w:r>
          </w:p>
        </w:tc>
      </w:tr>
    </w:tbl>
    <w:p w14:paraId="28D32B7C" w14:textId="77777777" w:rsidR="00A720EB" w:rsidRDefault="00A720EB">
      <w:pPr>
        <w:rPr>
          <w:sz w:val="21"/>
        </w:rPr>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850"/>
        <w:gridCol w:w="7125"/>
      </w:tblGrid>
      <w:tr w:rsidR="00A720EB" w14:paraId="78879A3D" w14:textId="77777777">
        <w:trPr>
          <w:trHeight w:val="415"/>
        </w:trPr>
        <w:tc>
          <w:tcPr>
            <w:tcW w:w="2850" w:type="dxa"/>
            <w:tcBorders>
              <w:bottom w:val="single" w:sz="12" w:space="0" w:color="DDDDDD"/>
            </w:tcBorders>
          </w:tcPr>
          <w:p w14:paraId="48380A5D" w14:textId="77777777" w:rsidR="00A720EB" w:rsidRDefault="0030286B">
            <w:pPr>
              <w:pStyle w:val="TableParagraph"/>
              <w:spacing w:before="71"/>
              <w:rPr>
                <w:rFonts w:ascii="Palatino Linotype"/>
                <w:b/>
                <w:sz w:val="21"/>
              </w:rPr>
            </w:pPr>
            <w:r>
              <w:rPr>
                <w:rFonts w:ascii="Palatino Linotype"/>
                <w:b/>
                <w:color w:val="333333"/>
                <w:sz w:val="21"/>
              </w:rPr>
              <w:lastRenderedPageBreak/>
              <w:t>ID</w:t>
            </w:r>
          </w:p>
        </w:tc>
        <w:tc>
          <w:tcPr>
            <w:tcW w:w="7125" w:type="dxa"/>
            <w:tcBorders>
              <w:bottom w:val="single" w:sz="12" w:space="0" w:color="DDDDDD"/>
            </w:tcBorders>
          </w:tcPr>
          <w:p w14:paraId="28F2753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BFA1B6D" w14:textId="77777777">
        <w:trPr>
          <w:trHeight w:val="731"/>
        </w:trPr>
        <w:tc>
          <w:tcPr>
            <w:tcW w:w="2850" w:type="dxa"/>
            <w:tcBorders>
              <w:top w:val="single" w:sz="12" w:space="0" w:color="DDDDDD"/>
            </w:tcBorders>
          </w:tcPr>
          <w:p w14:paraId="05351F82" w14:textId="77777777" w:rsidR="00A720EB" w:rsidRDefault="0030286B">
            <w:pPr>
              <w:pStyle w:val="TableParagraph"/>
              <w:spacing w:before="27"/>
              <w:rPr>
                <w:sz w:val="21"/>
              </w:rPr>
            </w:pPr>
            <w:r>
              <w:rPr>
                <w:color w:val="B02045"/>
                <w:sz w:val="21"/>
              </w:rPr>
              <w:t>jolokia</w:t>
            </w:r>
          </w:p>
        </w:tc>
        <w:tc>
          <w:tcPr>
            <w:tcW w:w="7125" w:type="dxa"/>
            <w:tcBorders>
              <w:top w:val="single" w:sz="12" w:space="0" w:color="DDDDDD"/>
            </w:tcBorders>
          </w:tcPr>
          <w:p w14:paraId="62066FC1" w14:textId="77777777" w:rsidR="00A720EB" w:rsidRDefault="0030286B">
            <w:pPr>
              <w:pStyle w:val="TableParagraph"/>
              <w:spacing w:before="0" w:line="330" w:lineRule="atLeast"/>
              <w:rPr>
                <w:rFonts w:ascii="Cambria"/>
                <w:sz w:val="21"/>
              </w:rPr>
            </w:pPr>
            <w:r>
              <w:rPr>
                <w:rFonts w:ascii="Cambria"/>
                <w:color w:val="333333"/>
                <w:w w:val="110"/>
                <w:sz w:val="21"/>
              </w:rPr>
              <w:t xml:space="preserve">Exposes JMX beans over HTTP (when Jolokia is on the classpath, not available for WebFlux). Requires a dependency on </w:t>
            </w:r>
            <w:r>
              <w:rPr>
                <w:color w:val="B02045"/>
                <w:w w:val="110"/>
                <w:sz w:val="21"/>
              </w:rPr>
              <w:t>jolokia-core</w:t>
            </w:r>
            <w:r>
              <w:rPr>
                <w:rFonts w:ascii="Cambria"/>
                <w:color w:val="333333"/>
                <w:w w:val="110"/>
                <w:sz w:val="21"/>
              </w:rPr>
              <w:t>.</w:t>
            </w:r>
          </w:p>
        </w:tc>
      </w:tr>
      <w:tr w:rsidR="00A720EB" w14:paraId="0380AF10" w14:textId="77777777">
        <w:trPr>
          <w:trHeight w:val="1056"/>
        </w:trPr>
        <w:tc>
          <w:tcPr>
            <w:tcW w:w="2850" w:type="dxa"/>
          </w:tcPr>
          <w:p w14:paraId="34FAF60C" w14:textId="77777777" w:rsidR="00A720EB" w:rsidRDefault="0030286B">
            <w:pPr>
              <w:pStyle w:val="TableParagraph"/>
              <w:spacing w:before="37"/>
              <w:rPr>
                <w:sz w:val="21"/>
              </w:rPr>
            </w:pPr>
            <w:r>
              <w:rPr>
                <w:color w:val="B02045"/>
                <w:sz w:val="21"/>
              </w:rPr>
              <w:t>logfile</w:t>
            </w:r>
          </w:p>
        </w:tc>
        <w:tc>
          <w:tcPr>
            <w:tcW w:w="7125" w:type="dxa"/>
          </w:tcPr>
          <w:p w14:paraId="1ABDEED9" w14:textId="77777777" w:rsidR="00A720EB" w:rsidRDefault="0030286B">
            <w:pPr>
              <w:pStyle w:val="TableParagraph"/>
              <w:spacing w:before="81" w:line="280" w:lineRule="auto"/>
              <w:rPr>
                <w:rFonts w:ascii="Cambria" w:hAnsi="Cambria"/>
                <w:sz w:val="21"/>
              </w:rPr>
            </w:pPr>
            <w:r>
              <w:rPr>
                <w:rFonts w:ascii="Cambria" w:hAnsi="Cambria"/>
                <w:color w:val="333333"/>
                <w:w w:val="110"/>
                <w:sz w:val="21"/>
              </w:rPr>
              <w:t xml:space="preserve">Returns the contents of the logfile (if </w:t>
            </w:r>
            <w:r>
              <w:rPr>
                <w:color w:val="B02045"/>
                <w:w w:val="110"/>
                <w:sz w:val="21"/>
              </w:rPr>
              <w:t xml:space="preserve">logging.file.name </w:t>
            </w:r>
            <w:r>
              <w:rPr>
                <w:rFonts w:ascii="Cambria" w:hAnsi="Cambria"/>
                <w:color w:val="333333"/>
                <w:w w:val="110"/>
                <w:sz w:val="21"/>
              </w:rPr>
              <w:t xml:space="preserve">or </w:t>
            </w:r>
            <w:proofErr w:type="gramStart"/>
            <w:r>
              <w:rPr>
                <w:color w:val="B02045"/>
                <w:w w:val="110"/>
                <w:sz w:val="21"/>
              </w:rPr>
              <w:t>logging.file</w:t>
            </w:r>
            <w:proofErr w:type="gramEnd"/>
            <w:r>
              <w:rPr>
                <w:color w:val="B02045"/>
                <w:w w:val="110"/>
                <w:sz w:val="21"/>
              </w:rPr>
              <w:t>.path</w:t>
            </w:r>
            <w:r>
              <w:rPr>
                <w:color w:val="B02045"/>
                <w:spacing w:val="-83"/>
                <w:w w:val="110"/>
                <w:sz w:val="21"/>
              </w:rPr>
              <w:t xml:space="preserve"> </w:t>
            </w:r>
            <w:r>
              <w:rPr>
                <w:rFonts w:ascii="Cambria" w:hAnsi="Cambria"/>
                <w:color w:val="333333"/>
                <w:w w:val="110"/>
                <w:sz w:val="21"/>
              </w:rPr>
              <w:t>properties</w:t>
            </w:r>
            <w:r>
              <w:rPr>
                <w:rFonts w:ascii="Cambria" w:hAnsi="Cambria"/>
                <w:color w:val="333333"/>
                <w:spacing w:val="-18"/>
                <w:w w:val="110"/>
                <w:sz w:val="21"/>
              </w:rPr>
              <w:t xml:space="preserve"> </w:t>
            </w:r>
            <w:r>
              <w:rPr>
                <w:rFonts w:ascii="Cambria" w:hAnsi="Cambria"/>
                <w:color w:val="333333"/>
                <w:w w:val="110"/>
                <w:sz w:val="21"/>
              </w:rPr>
              <w:t>have</w:t>
            </w:r>
            <w:r>
              <w:rPr>
                <w:rFonts w:ascii="Cambria" w:hAnsi="Cambria"/>
                <w:color w:val="333333"/>
                <w:spacing w:val="-18"/>
                <w:w w:val="110"/>
                <w:sz w:val="21"/>
              </w:rPr>
              <w:t xml:space="preserve"> </w:t>
            </w:r>
            <w:r>
              <w:rPr>
                <w:rFonts w:ascii="Cambria" w:hAnsi="Cambria"/>
                <w:color w:val="333333"/>
                <w:w w:val="110"/>
                <w:sz w:val="21"/>
              </w:rPr>
              <w:t>been</w:t>
            </w:r>
            <w:r>
              <w:rPr>
                <w:rFonts w:ascii="Cambria" w:hAnsi="Cambria"/>
                <w:color w:val="333333"/>
                <w:spacing w:val="-18"/>
                <w:w w:val="110"/>
                <w:sz w:val="21"/>
              </w:rPr>
              <w:t xml:space="preserve"> </w:t>
            </w:r>
            <w:r>
              <w:rPr>
                <w:rFonts w:ascii="Cambria" w:hAnsi="Cambria"/>
                <w:color w:val="333333"/>
                <w:w w:val="110"/>
                <w:sz w:val="21"/>
              </w:rPr>
              <w:t>set).</w:t>
            </w:r>
            <w:r>
              <w:rPr>
                <w:rFonts w:ascii="Cambria" w:hAnsi="Cambria"/>
                <w:color w:val="333333"/>
                <w:spacing w:val="-17"/>
                <w:w w:val="110"/>
                <w:sz w:val="21"/>
              </w:rPr>
              <w:t xml:space="preserve"> </w:t>
            </w:r>
            <w:r>
              <w:rPr>
                <w:rFonts w:ascii="Cambria" w:hAnsi="Cambria"/>
                <w:color w:val="333333"/>
                <w:w w:val="110"/>
                <w:sz w:val="21"/>
              </w:rPr>
              <w:t>Supports</w:t>
            </w:r>
            <w:r>
              <w:rPr>
                <w:rFonts w:ascii="Cambria" w:hAnsi="Cambria"/>
                <w:color w:val="333333"/>
                <w:spacing w:val="-18"/>
                <w:w w:val="110"/>
                <w:sz w:val="21"/>
              </w:rPr>
              <w:t xml:space="preserve"> </w:t>
            </w:r>
            <w:r>
              <w:rPr>
                <w:rFonts w:ascii="Cambria" w:hAnsi="Cambria"/>
                <w:color w:val="333333"/>
                <w:w w:val="110"/>
                <w:sz w:val="21"/>
              </w:rPr>
              <w:t>the</w:t>
            </w:r>
            <w:r>
              <w:rPr>
                <w:rFonts w:ascii="Cambria" w:hAnsi="Cambria"/>
                <w:color w:val="333333"/>
                <w:spacing w:val="-18"/>
                <w:w w:val="110"/>
                <w:sz w:val="21"/>
              </w:rPr>
              <w:t xml:space="preserve"> </w:t>
            </w:r>
            <w:r>
              <w:rPr>
                <w:rFonts w:ascii="Cambria" w:hAnsi="Cambria"/>
                <w:color w:val="333333"/>
                <w:w w:val="110"/>
                <w:sz w:val="21"/>
              </w:rPr>
              <w:t>use</w:t>
            </w:r>
            <w:r>
              <w:rPr>
                <w:rFonts w:ascii="Cambria" w:hAnsi="Cambria"/>
                <w:color w:val="333333"/>
                <w:spacing w:val="-18"/>
                <w:w w:val="110"/>
                <w:sz w:val="21"/>
              </w:rPr>
              <w:t xml:space="preserve"> </w:t>
            </w:r>
            <w:r>
              <w:rPr>
                <w:rFonts w:ascii="Cambria" w:hAnsi="Cambria"/>
                <w:color w:val="333333"/>
                <w:w w:val="110"/>
                <w:sz w:val="21"/>
              </w:rPr>
              <w:t>of</w:t>
            </w:r>
            <w:r>
              <w:rPr>
                <w:rFonts w:ascii="Cambria" w:hAnsi="Cambria"/>
                <w:color w:val="333333"/>
                <w:spacing w:val="-17"/>
                <w:w w:val="110"/>
                <w:sz w:val="21"/>
              </w:rPr>
              <w:t xml:space="preserve"> </w:t>
            </w:r>
            <w:r>
              <w:rPr>
                <w:rFonts w:ascii="Cambria" w:hAnsi="Cambria"/>
                <w:color w:val="333333"/>
                <w:w w:val="110"/>
                <w:sz w:val="21"/>
              </w:rPr>
              <w:t xml:space="preserve">the HTTP </w:t>
            </w:r>
            <w:r>
              <w:rPr>
                <w:color w:val="B02045"/>
                <w:w w:val="110"/>
                <w:sz w:val="21"/>
              </w:rPr>
              <w:t>Range</w:t>
            </w:r>
            <w:r>
              <w:rPr>
                <w:color w:val="B02045"/>
                <w:spacing w:val="-52"/>
                <w:w w:val="110"/>
                <w:sz w:val="21"/>
              </w:rPr>
              <w:t xml:space="preserve"> </w:t>
            </w:r>
            <w:r>
              <w:rPr>
                <w:rFonts w:ascii="Cambria" w:hAnsi="Cambria"/>
                <w:color w:val="333333"/>
                <w:w w:val="110"/>
                <w:sz w:val="21"/>
              </w:rPr>
              <w:t>header to retrieve part of the log file’s content.</w:t>
            </w:r>
          </w:p>
        </w:tc>
      </w:tr>
      <w:tr w:rsidR="00A720EB" w14:paraId="6FF67D3E" w14:textId="77777777">
        <w:trPr>
          <w:trHeight w:val="741"/>
        </w:trPr>
        <w:tc>
          <w:tcPr>
            <w:tcW w:w="2850" w:type="dxa"/>
          </w:tcPr>
          <w:p w14:paraId="7AC89D13" w14:textId="77777777" w:rsidR="00A720EB" w:rsidRDefault="0030286B">
            <w:pPr>
              <w:pStyle w:val="TableParagraph"/>
              <w:rPr>
                <w:sz w:val="21"/>
              </w:rPr>
            </w:pPr>
            <w:r>
              <w:rPr>
                <w:color w:val="B02045"/>
                <w:sz w:val="21"/>
              </w:rPr>
              <w:t>prometheus</w:t>
            </w:r>
          </w:p>
        </w:tc>
        <w:tc>
          <w:tcPr>
            <w:tcW w:w="7125" w:type="dxa"/>
          </w:tcPr>
          <w:p w14:paraId="7D3EDECE" w14:textId="77777777" w:rsidR="00A720EB" w:rsidRDefault="0030286B">
            <w:pPr>
              <w:pStyle w:val="TableParagraph"/>
              <w:spacing w:before="8" w:line="330" w:lineRule="atLeast"/>
              <w:ind w:right="214"/>
              <w:rPr>
                <w:rFonts w:ascii="Cambria"/>
                <w:sz w:val="21"/>
              </w:rPr>
            </w:pPr>
            <w:r>
              <w:rPr>
                <w:rFonts w:ascii="Cambria"/>
                <w:color w:val="333333"/>
                <w:w w:val="110"/>
                <w:sz w:val="21"/>
              </w:rPr>
              <w:t xml:space="preserve">Exposes metrics in a format that can be scraped by a Prometheus </w:t>
            </w:r>
            <w:r>
              <w:rPr>
                <w:rFonts w:ascii="Cambria"/>
                <w:color w:val="333333"/>
                <w:w w:val="105"/>
                <w:sz w:val="21"/>
              </w:rPr>
              <w:t xml:space="preserve">server. Requires a dependency on </w:t>
            </w:r>
            <w:r>
              <w:rPr>
                <w:color w:val="B02045"/>
                <w:w w:val="105"/>
                <w:sz w:val="21"/>
              </w:rPr>
              <w:t>micrometer-registry-prometheus</w:t>
            </w:r>
            <w:r>
              <w:rPr>
                <w:rFonts w:ascii="Cambria"/>
                <w:color w:val="333333"/>
                <w:w w:val="105"/>
                <w:sz w:val="21"/>
              </w:rPr>
              <w:t>.</w:t>
            </w:r>
          </w:p>
        </w:tc>
      </w:tr>
    </w:tbl>
    <w:p w14:paraId="5E2FAFD4" w14:textId="77777777" w:rsidR="00A720EB" w:rsidRDefault="00A720EB">
      <w:pPr>
        <w:pStyle w:val="a3"/>
        <w:spacing w:before="6"/>
        <w:rPr>
          <w:sz w:val="12"/>
        </w:rPr>
      </w:pPr>
    </w:p>
    <w:p w14:paraId="66793F0A" w14:textId="77777777" w:rsidR="00A720EB" w:rsidRDefault="0030286B">
      <w:pPr>
        <w:pStyle w:val="a3"/>
        <w:spacing w:before="125" w:line="307" w:lineRule="auto"/>
        <w:ind w:left="124" w:right="128"/>
        <w:jc w:val="both"/>
      </w:pPr>
      <w:r>
        <w:rPr>
          <w:color w:val="333333"/>
          <w:spacing w:val="-4"/>
          <w:w w:val="110"/>
        </w:rPr>
        <w:t xml:space="preserve">To </w:t>
      </w:r>
      <w:r>
        <w:rPr>
          <w:color w:val="333333"/>
          <w:w w:val="110"/>
        </w:rPr>
        <w:t>learn more about the Actuator’s endpoints and their request and response formats, please refer  to the separate API documentation (</w:t>
      </w:r>
      <w:hyperlink r:id="rId415">
        <w:r>
          <w:rPr>
            <w:color w:val="418BCA"/>
            <w:w w:val="110"/>
          </w:rPr>
          <w:t xml:space="preserve">HTML </w:t>
        </w:r>
      </w:hyperlink>
      <w:r>
        <w:rPr>
          <w:color w:val="333333"/>
          <w:w w:val="110"/>
        </w:rPr>
        <w:t>or</w:t>
      </w:r>
      <w:r>
        <w:rPr>
          <w:color w:val="333333"/>
          <w:spacing w:val="20"/>
          <w:w w:val="110"/>
        </w:rPr>
        <w:t xml:space="preserve"> </w:t>
      </w:r>
      <w:hyperlink r:id="rId416">
        <w:r>
          <w:rPr>
            <w:color w:val="418BCA"/>
            <w:w w:val="110"/>
          </w:rPr>
          <w:t>PDF</w:t>
        </w:r>
      </w:hyperlink>
      <w:r>
        <w:rPr>
          <w:color w:val="333333"/>
          <w:w w:val="110"/>
        </w:rPr>
        <w:t>).</w:t>
      </w:r>
    </w:p>
    <w:p w14:paraId="54745978" w14:textId="77777777" w:rsidR="00A720EB" w:rsidRDefault="00A720EB">
      <w:pPr>
        <w:pStyle w:val="a3"/>
        <w:spacing w:before="9"/>
        <w:rPr>
          <w:sz w:val="25"/>
        </w:rPr>
      </w:pPr>
    </w:p>
    <w:p w14:paraId="0E992D95" w14:textId="77777777" w:rsidR="00A720EB" w:rsidRDefault="0030286B">
      <w:pPr>
        <w:pStyle w:val="3"/>
        <w:numPr>
          <w:ilvl w:val="2"/>
          <w:numId w:val="24"/>
        </w:numPr>
        <w:tabs>
          <w:tab w:val="left" w:pos="858"/>
        </w:tabs>
        <w:ind w:hanging="734"/>
      </w:pPr>
      <w:bookmarkStart w:id="557" w:name="5.2.1._Enabling_Endpoints"/>
      <w:bookmarkStart w:id="558" w:name="_Toc54423838"/>
      <w:bookmarkEnd w:id="557"/>
      <w:r>
        <w:rPr>
          <w:color w:val="333333"/>
          <w:w w:val="110"/>
        </w:rPr>
        <w:t>Enabling</w:t>
      </w:r>
      <w:r>
        <w:rPr>
          <w:color w:val="333333"/>
          <w:spacing w:val="-6"/>
          <w:w w:val="110"/>
        </w:rPr>
        <w:t xml:space="preserve"> </w:t>
      </w:r>
      <w:r>
        <w:rPr>
          <w:color w:val="333333"/>
          <w:w w:val="110"/>
        </w:rPr>
        <w:t>Endpoints</w:t>
      </w:r>
      <w:bookmarkEnd w:id="558"/>
    </w:p>
    <w:p w14:paraId="25767091" w14:textId="77777777" w:rsidR="00A720EB" w:rsidRDefault="0030286B">
      <w:pPr>
        <w:pStyle w:val="a3"/>
        <w:spacing w:before="243" w:line="280" w:lineRule="auto"/>
        <w:ind w:left="124" w:right="123"/>
        <w:jc w:val="both"/>
      </w:pPr>
      <w:r>
        <w:rPr>
          <w:color w:val="333333"/>
          <w:spacing w:val="-3"/>
          <w:w w:val="110"/>
        </w:rPr>
        <w:t xml:space="preserve">By </w:t>
      </w:r>
      <w:r>
        <w:rPr>
          <w:color w:val="333333"/>
          <w:w w:val="110"/>
        </w:rPr>
        <w:t xml:space="preserve">default, all endpoints except for </w:t>
      </w:r>
      <w:r>
        <w:rPr>
          <w:rFonts w:ascii="MS Gothic"/>
          <w:color w:val="B02045"/>
          <w:w w:val="110"/>
        </w:rPr>
        <w:t xml:space="preserve">shutdown </w:t>
      </w:r>
      <w:r>
        <w:rPr>
          <w:color w:val="333333"/>
          <w:w w:val="110"/>
        </w:rPr>
        <w:t xml:space="preserve">are enabled. </w:t>
      </w:r>
      <w:r>
        <w:rPr>
          <w:color w:val="333333"/>
          <w:spacing w:val="-4"/>
          <w:w w:val="110"/>
        </w:rPr>
        <w:t xml:space="preserve">To </w:t>
      </w:r>
      <w:r>
        <w:rPr>
          <w:color w:val="333333"/>
          <w:w w:val="110"/>
        </w:rPr>
        <w:t xml:space="preserve">configure the enablement of an endpoint, use its </w:t>
      </w:r>
      <w:proofErr w:type="gramStart"/>
      <w:r>
        <w:rPr>
          <w:rFonts w:ascii="MS Gothic"/>
          <w:color w:val="B02045"/>
          <w:w w:val="110"/>
        </w:rPr>
        <w:t>management.endpoint</w:t>
      </w:r>
      <w:proofErr w:type="gramEnd"/>
      <w:r>
        <w:rPr>
          <w:rFonts w:ascii="MS Gothic"/>
          <w:color w:val="B02045"/>
          <w:w w:val="110"/>
        </w:rPr>
        <w:t xml:space="preserve">.&lt;id&gt;.enabled </w:t>
      </w:r>
      <w:r>
        <w:rPr>
          <w:color w:val="333333"/>
          <w:spacing w:val="-3"/>
          <w:w w:val="110"/>
        </w:rPr>
        <w:t xml:space="preserve">property. </w:t>
      </w:r>
      <w:r>
        <w:rPr>
          <w:color w:val="333333"/>
          <w:w w:val="110"/>
        </w:rPr>
        <w:t xml:space="preserve">The following example enables the </w:t>
      </w:r>
      <w:r>
        <w:rPr>
          <w:rFonts w:ascii="MS Gothic"/>
          <w:color w:val="B02045"/>
          <w:w w:val="110"/>
        </w:rPr>
        <w:t>shutdown</w:t>
      </w:r>
      <w:r>
        <w:rPr>
          <w:rFonts w:ascii="MS Gothic"/>
          <w:color w:val="B02045"/>
          <w:spacing w:val="-63"/>
          <w:w w:val="110"/>
        </w:rPr>
        <w:t xml:space="preserve"> </w:t>
      </w:r>
      <w:r>
        <w:rPr>
          <w:color w:val="333333"/>
          <w:w w:val="110"/>
        </w:rPr>
        <w:t>endpoint:</w:t>
      </w:r>
    </w:p>
    <w:p w14:paraId="4BC9306F" w14:textId="77777777" w:rsidR="00A720EB" w:rsidRDefault="00E10349">
      <w:pPr>
        <w:pStyle w:val="a3"/>
        <w:spacing w:before="2"/>
        <w:rPr>
          <w:sz w:val="14"/>
        </w:rPr>
      </w:pPr>
      <w:r>
        <w:pict w14:anchorId="16AC260A">
          <v:group id="_x0000_s3334" style="position:absolute;margin-left:47.85pt;margin-top:10.3pt;width:499.55pt;height:37.5pt;z-index:-15268352;mso-wrap-distance-left:0;mso-wrap-distance-right:0;mso-position-horizontal-relative:page" coordorigin="957,206" coordsize="9991,750">
            <v:shape id="_x0000_s3337" style="position:absolute;left:964;top:213;width:9976;height:735" coordorigin="965,214" coordsize="9976,735" path="m10861,214r-9816,l1014,220r-26,17l971,262r-6,32l965,868r6,32l988,925r26,17l1045,948r9816,l10892,942r25,-17l10935,900r6,-32l10941,294r-6,-32l10917,237r-25,-17l10861,214xe" fillcolor="#f5f5f5" stroked="f">
              <v:path arrowok="t"/>
            </v:shape>
            <v:shape id="_x0000_s3336" style="position:absolute;left:964;top:213;width:9976;height:735" coordorigin="965,214" coordsize="9976,735" path="m1045,214r9816,l10892,220r25,17l10935,262r6,32l10941,868r-6,32l10917,925r-25,17l10861,948r-9816,l1014,942,988,925,971,900r-6,-32l965,294r6,-32l988,237r26,-17l1045,214xe" filled="f" strokecolor="#ccc">
              <v:path arrowok="t"/>
            </v:shape>
            <v:shape id="_x0000_s3335" type="#_x0000_t202" style="position:absolute;left:984;top:229;width:9938;height:704" filled="f" stroked="f">
              <v:textbox inset="0,0,0,0">
                <w:txbxContent>
                  <w:p w14:paraId="09DABD04" w14:textId="77777777" w:rsidR="00711A16" w:rsidRDefault="00711A16">
                    <w:pPr>
                      <w:spacing w:before="221"/>
                      <w:ind w:left="200"/>
                      <w:rPr>
                        <w:rFonts w:ascii="MS Gothic"/>
                      </w:rPr>
                    </w:pPr>
                    <w:proofErr w:type="gramStart"/>
                    <w:r>
                      <w:rPr>
                        <w:rFonts w:ascii="MS Gothic"/>
                        <w:color w:val="333333"/>
                      </w:rPr>
                      <w:t>management.endpoint</w:t>
                    </w:r>
                    <w:proofErr w:type="gramEnd"/>
                    <w:r>
                      <w:rPr>
                        <w:rFonts w:ascii="MS Gothic"/>
                        <w:color w:val="333333"/>
                      </w:rPr>
                      <w:t>.shutdown.enabled=true</w:t>
                    </w:r>
                  </w:p>
                </w:txbxContent>
              </v:textbox>
            </v:shape>
            <w10:wrap type="topAndBottom" anchorx="page"/>
          </v:group>
        </w:pict>
      </w:r>
    </w:p>
    <w:p w14:paraId="0053F04A" w14:textId="77777777" w:rsidR="00A720EB" w:rsidRDefault="00A720EB">
      <w:pPr>
        <w:pStyle w:val="a3"/>
        <w:rPr>
          <w:sz w:val="10"/>
        </w:rPr>
      </w:pPr>
    </w:p>
    <w:p w14:paraId="2F35F1D1" w14:textId="77777777" w:rsidR="00A720EB" w:rsidRDefault="0030286B">
      <w:pPr>
        <w:pStyle w:val="a3"/>
        <w:spacing w:before="125" w:line="290" w:lineRule="auto"/>
        <w:ind w:left="124" w:right="122"/>
        <w:jc w:val="both"/>
      </w:pPr>
      <w:r>
        <w:rPr>
          <w:color w:val="333333"/>
          <w:w w:val="110"/>
        </w:rPr>
        <w:t xml:space="preserve">If you prefer endpoint enablement to be opt-in rather than opt-out, set the </w:t>
      </w:r>
      <w:proofErr w:type="gramStart"/>
      <w:r>
        <w:rPr>
          <w:rFonts w:ascii="MS Gothic"/>
          <w:color w:val="B02045"/>
          <w:w w:val="110"/>
        </w:rPr>
        <w:t>management.endpoints</w:t>
      </w:r>
      <w:proofErr w:type="gramEnd"/>
      <w:r>
        <w:rPr>
          <w:rFonts w:ascii="MS Gothic"/>
          <w:color w:val="B02045"/>
          <w:w w:val="110"/>
        </w:rPr>
        <w:t>.enabled-by-default</w:t>
      </w:r>
      <w:r>
        <w:rPr>
          <w:rFonts w:ascii="MS Gothic"/>
          <w:color w:val="B02045"/>
          <w:spacing w:val="-66"/>
          <w:w w:val="110"/>
        </w:rPr>
        <w:t xml:space="preserve"> </w:t>
      </w:r>
      <w:r>
        <w:rPr>
          <w:color w:val="333333"/>
          <w:w w:val="110"/>
        </w:rPr>
        <w:t xml:space="preserve">property to </w:t>
      </w:r>
      <w:r>
        <w:rPr>
          <w:rFonts w:ascii="MS Gothic"/>
          <w:color w:val="B02045"/>
          <w:w w:val="110"/>
        </w:rPr>
        <w:t>false</w:t>
      </w:r>
      <w:r>
        <w:rPr>
          <w:rFonts w:ascii="MS Gothic"/>
          <w:color w:val="B02045"/>
          <w:spacing w:val="-66"/>
          <w:w w:val="110"/>
        </w:rPr>
        <w:t xml:space="preserve"> </w:t>
      </w:r>
      <w:r>
        <w:rPr>
          <w:color w:val="333333"/>
          <w:w w:val="110"/>
        </w:rPr>
        <w:t xml:space="preserve">and use individual endpoint </w:t>
      </w:r>
      <w:r>
        <w:rPr>
          <w:rFonts w:ascii="MS Gothic"/>
          <w:color w:val="B02045"/>
          <w:w w:val="110"/>
        </w:rPr>
        <w:t xml:space="preserve">enabled </w:t>
      </w:r>
      <w:r>
        <w:rPr>
          <w:color w:val="333333"/>
          <w:w w:val="110"/>
        </w:rPr>
        <w:t xml:space="preserve">properties to opt back in. The following example enables the </w:t>
      </w:r>
      <w:r>
        <w:rPr>
          <w:rFonts w:ascii="MS Gothic"/>
          <w:color w:val="B02045"/>
          <w:w w:val="110"/>
        </w:rPr>
        <w:t xml:space="preserve">info </w:t>
      </w:r>
      <w:r>
        <w:rPr>
          <w:color w:val="333333"/>
          <w:w w:val="110"/>
        </w:rPr>
        <w:t>endpoint and disables all other endpoints:</w:t>
      </w:r>
    </w:p>
    <w:p w14:paraId="438ABBD7" w14:textId="77777777" w:rsidR="00A720EB" w:rsidRDefault="00E10349">
      <w:pPr>
        <w:pStyle w:val="a3"/>
        <w:spacing w:before="5"/>
        <w:rPr>
          <w:sz w:val="14"/>
        </w:rPr>
      </w:pPr>
      <w:r>
        <w:pict w14:anchorId="653C09E0">
          <v:group id="_x0000_s3330" style="position:absolute;margin-left:47.85pt;margin-top:10.45pt;width:499.55pt;height:52.25pt;z-index:-15267840;mso-wrap-distance-left:0;mso-wrap-distance-right:0;mso-position-horizontal-relative:page" coordorigin="957,209" coordsize="9991,1045">
            <v:shape id="_x0000_s3333" style="position:absolute;left:964;top:216;width:9976;height:1030" coordorigin="965,216" coordsize="9976,1030" path="m10861,216r-9816,l1014,223r-26,17l971,265r-6,31l965,1166r6,31l988,1222r26,18l1045,1246r9816,l10892,1240r25,-18l10935,1197r6,-31l10941,296r-6,-31l10917,240r-25,-17l10861,216xe" fillcolor="#f5f5f5" stroked="f">
              <v:path arrowok="t"/>
            </v:shape>
            <v:shape id="_x0000_s3332" style="position:absolute;left:964;top:216;width:9976;height:1030" coordorigin="965,216" coordsize="9976,1030" path="m1045,216r9816,l10892,223r25,17l10935,265r6,31l10941,1166r-6,31l10917,1222r-25,18l10861,1246r-9816,l1014,1240r-26,-18l971,1197r-6,-31l965,296r6,-31l988,240r26,-17l1045,216xe" filled="f" strokecolor="#ccc">
              <v:path arrowok="t"/>
            </v:shape>
            <v:shape id="_x0000_s3331" type="#_x0000_t202" style="position:absolute;left:984;top:231;width:9938;height:999" filled="f" stroked="f">
              <v:textbox inset="0,0,0,0">
                <w:txbxContent>
                  <w:p w14:paraId="25947D22" w14:textId="77777777" w:rsidR="00711A16" w:rsidRDefault="00711A16">
                    <w:pPr>
                      <w:spacing w:before="221" w:line="252" w:lineRule="auto"/>
                      <w:ind w:left="200" w:right="4768"/>
                      <w:rPr>
                        <w:rFonts w:ascii="MS Gothic"/>
                      </w:rPr>
                    </w:pPr>
                    <w:proofErr w:type="gramStart"/>
                    <w:r>
                      <w:rPr>
                        <w:rFonts w:ascii="MS Gothic"/>
                        <w:color w:val="333333"/>
                      </w:rPr>
                      <w:t>management.endpoints</w:t>
                    </w:r>
                    <w:proofErr w:type="gramEnd"/>
                    <w:r>
                      <w:rPr>
                        <w:rFonts w:ascii="MS Gothic"/>
                        <w:color w:val="333333"/>
                      </w:rPr>
                      <w:t>.enabled-by-default=false management.endpoint.info.enabled=true</w:t>
                    </w:r>
                  </w:p>
                </w:txbxContent>
              </v:textbox>
            </v:shape>
            <w10:wrap type="topAndBottom" anchorx="page"/>
          </v:group>
        </w:pict>
      </w:r>
    </w:p>
    <w:p w14:paraId="3C54F1F6" w14:textId="77777777" w:rsidR="00A720EB" w:rsidRDefault="00A720EB">
      <w:pPr>
        <w:pStyle w:val="a3"/>
        <w:spacing w:before="10"/>
        <w:rPr>
          <w:sz w:val="16"/>
        </w:rPr>
      </w:pPr>
    </w:p>
    <w:p w14:paraId="21D32F74" w14:textId="77777777" w:rsidR="00A720EB" w:rsidRDefault="00E10349">
      <w:pPr>
        <w:pStyle w:val="a3"/>
        <w:spacing w:before="125" w:line="290" w:lineRule="auto"/>
        <w:ind w:left="1564" w:right="362"/>
        <w:jc w:val="both"/>
      </w:pPr>
      <w:r>
        <w:pict w14:anchorId="4B53B1B6">
          <v:line id="_x0000_s3329" style="position:absolute;left:0;text-align:left;z-index:16189952;mso-position-horizontal-relative:page" from="108.25pt,.25pt" to="108.25pt,55.6pt" strokecolor="#ededed" strokeweight=".5pt">
            <w10:wrap anchorx="page"/>
          </v:line>
        </w:pict>
      </w:r>
      <w:r w:rsidR="0030286B">
        <w:rPr>
          <w:noProof/>
        </w:rPr>
        <w:drawing>
          <wp:anchor distT="0" distB="0" distL="0" distR="0" simplePos="0" relativeHeight="16190464" behindDoc="0" locked="0" layoutInCell="1" allowOverlap="1" wp14:anchorId="64D57D10" wp14:editId="6D2BC8DE">
            <wp:simplePos x="0" y="0"/>
            <wp:positionH relativeFrom="page">
              <wp:posOffset>844422</wp:posOffset>
            </wp:positionH>
            <wp:positionV relativeFrom="paragraph">
              <wp:posOffset>205524</wp:posOffset>
            </wp:positionV>
            <wp:extent cx="298450" cy="298450"/>
            <wp:effectExtent l="0" t="0" r="0" b="0"/>
            <wp:wrapNone/>
            <wp:docPr id="5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Disabled endpoints are removed entirely from the application context. If you want to change only the technologies over which an endpoint is exposed, use the </w:t>
      </w:r>
      <w:hyperlink w:anchor="_bookmark382" w:history="1">
        <w:r w:rsidR="0030286B">
          <w:rPr>
            <w:rFonts w:ascii="MS Gothic"/>
            <w:color w:val="B02045"/>
            <w:w w:val="110"/>
          </w:rPr>
          <w:t>include</w:t>
        </w:r>
      </w:hyperlink>
      <w:r w:rsidR="0030286B">
        <w:rPr>
          <w:rFonts w:ascii="MS Gothic"/>
          <w:color w:val="B02045"/>
          <w:w w:val="110"/>
        </w:rPr>
        <w:t xml:space="preserve"> </w:t>
      </w:r>
      <w:hyperlink w:anchor="_bookmark382" w:history="1">
        <w:r w:rsidR="0030286B">
          <w:rPr>
            <w:color w:val="418BCA"/>
            <w:w w:val="110"/>
          </w:rPr>
          <w:t xml:space="preserve">and </w:t>
        </w:r>
      </w:hyperlink>
      <w:hyperlink w:anchor="_bookmark382" w:history="1">
        <w:r w:rsidR="0030286B">
          <w:rPr>
            <w:rFonts w:ascii="MS Gothic"/>
            <w:color w:val="B02045"/>
            <w:w w:val="110"/>
          </w:rPr>
          <w:t>exclude</w:t>
        </w:r>
        <w:r w:rsidR="0030286B">
          <w:rPr>
            <w:rFonts w:ascii="MS Gothic"/>
            <w:color w:val="B02045"/>
            <w:spacing w:val="-57"/>
            <w:w w:val="110"/>
          </w:rPr>
          <w:t xml:space="preserve"> </w:t>
        </w:r>
      </w:hyperlink>
      <w:hyperlink w:anchor="_bookmark382" w:history="1">
        <w:r w:rsidR="0030286B">
          <w:rPr>
            <w:color w:val="418BCA"/>
            <w:w w:val="110"/>
          </w:rPr>
          <w:t xml:space="preserve">properties </w:t>
        </w:r>
      </w:hyperlink>
      <w:r w:rsidR="0030286B">
        <w:rPr>
          <w:color w:val="333333"/>
          <w:w w:val="110"/>
        </w:rPr>
        <w:t>instead.</w:t>
      </w:r>
    </w:p>
    <w:p w14:paraId="3DD03AC0" w14:textId="77777777" w:rsidR="00A720EB" w:rsidRDefault="00A720EB">
      <w:pPr>
        <w:pStyle w:val="a3"/>
        <w:spacing w:before="4"/>
        <w:rPr>
          <w:sz w:val="23"/>
        </w:rPr>
      </w:pPr>
    </w:p>
    <w:p w14:paraId="786AA7C5" w14:textId="77777777" w:rsidR="00A720EB" w:rsidRDefault="0030286B">
      <w:pPr>
        <w:pStyle w:val="3"/>
        <w:numPr>
          <w:ilvl w:val="2"/>
          <w:numId w:val="24"/>
        </w:numPr>
        <w:tabs>
          <w:tab w:val="left" w:pos="858"/>
        </w:tabs>
        <w:spacing w:before="105"/>
        <w:ind w:hanging="734"/>
      </w:pPr>
      <w:bookmarkStart w:id="559" w:name="5.2.2._Exposing_Endpoints"/>
      <w:bookmarkStart w:id="560" w:name="_Toc54423839"/>
      <w:bookmarkEnd w:id="559"/>
      <w:r>
        <w:rPr>
          <w:color w:val="333333"/>
          <w:w w:val="110"/>
        </w:rPr>
        <w:t>Exposing</w:t>
      </w:r>
      <w:r>
        <w:rPr>
          <w:color w:val="333333"/>
          <w:spacing w:val="-6"/>
          <w:w w:val="110"/>
        </w:rPr>
        <w:t xml:space="preserve"> </w:t>
      </w:r>
      <w:r>
        <w:rPr>
          <w:color w:val="333333"/>
          <w:w w:val="110"/>
        </w:rPr>
        <w:t>Endpoints</w:t>
      </w:r>
      <w:bookmarkEnd w:id="560"/>
    </w:p>
    <w:p w14:paraId="2EB33078" w14:textId="77777777" w:rsidR="00A720EB" w:rsidRDefault="0030286B">
      <w:pPr>
        <w:pStyle w:val="a3"/>
        <w:spacing w:before="254" w:line="307" w:lineRule="auto"/>
        <w:ind w:left="124" w:right="359"/>
      </w:pPr>
      <w:r>
        <w:rPr>
          <w:color w:val="333333"/>
          <w:w w:val="110"/>
        </w:rPr>
        <w:t>Since Endpoints may contain sensitive information, careful consideration should be given about when</w:t>
      </w:r>
      <w:r>
        <w:rPr>
          <w:color w:val="333333"/>
          <w:spacing w:val="3"/>
          <w:w w:val="110"/>
        </w:rPr>
        <w:t xml:space="preserve"> </w:t>
      </w:r>
      <w:r>
        <w:rPr>
          <w:color w:val="333333"/>
          <w:w w:val="110"/>
        </w:rPr>
        <w:t>to</w:t>
      </w:r>
      <w:r>
        <w:rPr>
          <w:color w:val="333333"/>
          <w:spacing w:val="5"/>
          <w:w w:val="110"/>
        </w:rPr>
        <w:t xml:space="preserve"> </w:t>
      </w:r>
      <w:r>
        <w:rPr>
          <w:color w:val="333333"/>
          <w:w w:val="110"/>
        </w:rPr>
        <w:t>expose</w:t>
      </w:r>
      <w:r>
        <w:rPr>
          <w:color w:val="333333"/>
          <w:spacing w:val="5"/>
          <w:w w:val="110"/>
        </w:rPr>
        <w:t xml:space="preserve"> </w:t>
      </w:r>
      <w:r>
        <w:rPr>
          <w:color w:val="333333"/>
          <w:w w:val="110"/>
        </w:rPr>
        <w:t>them.</w:t>
      </w:r>
      <w:r>
        <w:rPr>
          <w:color w:val="333333"/>
          <w:spacing w:val="5"/>
          <w:w w:val="110"/>
        </w:rPr>
        <w:t xml:space="preserve"> </w:t>
      </w:r>
      <w:r>
        <w:rPr>
          <w:color w:val="333333"/>
          <w:w w:val="110"/>
        </w:rPr>
        <w:t>The</w:t>
      </w:r>
      <w:r>
        <w:rPr>
          <w:color w:val="333333"/>
          <w:spacing w:val="4"/>
          <w:w w:val="110"/>
        </w:rPr>
        <w:t xml:space="preserve"> </w:t>
      </w:r>
      <w:r>
        <w:rPr>
          <w:color w:val="333333"/>
          <w:w w:val="110"/>
        </w:rPr>
        <w:t>following</w:t>
      </w:r>
      <w:r>
        <w:rPr>
          <w:color w:val="333333"/>
          <w:spacing w:val="5"/>
          <w:w w:val="110"/>
        </w:rPr>
        <w:t xml:space="preserve"> </w:t>
      </w:r>
      <w:r>
        <w:rPr>
          <w:color w:val="333333"/>
          <w:w w:val="110"/>
        </w:rPr>
        <w:t>table</w:t>
      </w:r>
      <w:r>
        <w:rPr>
          <w:color w:val="333333"/>
          <w:spacing w:val="5"/>
          <w:w w:val="110"/>
        </w:rPr>
        <w:t xml:space="preserve"> </w:t>
      </w:r>
      <w:r>
        <w:rPr>
          <w:color w:val="333333"/>
          <w:w w:val="110"/>
        </w:rPr>
        <w:t>shows</w:t>
      </w:r>
      <w:r>
        <w:rPr>
          <w:color w:val="333333"/>
          <w:spacing w:val="5"/>
          <w:w w:val="110"/>
        </w:rPr>
        <w:t xml:space="preserve"> </w:t>
      </w:r>
      <w:r>
        <w:rPr>
          <w:color w:val="333333"/>
          <w:w w:val="110"/>
        </w:rPr>
        <w:t>the</w:t>
      </w:r>
      <w:r>
        <w:rPr>
          <w:color w:val="333333"/>
          <w:spacing w:val="4"/>
          <w:w w:val="110"/>
        </w:rPr>
        <w:t xml:space="preserve"> </w:t>
      </w:r>
      <w:r>
        <w:rPr>
          <w:color w:val="333333"/>
          <w:w w:val="110"/>
        </w:rPr>
        <w:t>default</w:t>
      </w:r>
      <w:r>
        <w:rPr>
          <w:color w:val="333333"/>
          <w:spacing w:val="4"/>
          <w:w w:val="110"/>
        </w:rPr>
        <w:t xml:space="preserve"> </w:t>
      </w:r>
      <w:r>
        <w:rPr>
          <w:color w:val="333333"/>
          <w:w w:val="110"/>
        </w:rPr>
        <w:t>exposure</w:t>
      </w:r>
      <w:r>
        <w:rPr>
          <w:color w:val="333333"/>
          <w:spacing w:val="5"/>
          <w:w w:val="110"/>
        </w:rPr>
        <w:t xml:space="preserve"> </w:t>
      </w:r>
      <w:r>
        <w:rPr>
          <w:color w:val="333333"/>
          <w:w w:val="110"/>
        </w:rPr>
        <w:t>for</w:t>
      </w:r>
      <w:r>
        <w:rPr>
          <w:color w:val="333333"/>
          <w:spacing w:val="5"/>
          <w:w w:val="110"/>
        </w:rPr>
        <w:t xml:space="preserve"> </w:t>
      </w:r>
      <w:r>
        <w:rPr>
          <w:color w:val="333333"/>
          <w:w w:val="110"/>
        </w:rPr>
        <w:t>the</w:t>
      </w:r>
      <w:r>
        <w:rPr>
          <w:color w:val="333333"/>
          <w:spacing w:val="5"/>
          <w:w w:val="110"/>
        </w:rPr>
        <w:t xml:space="preserve"> </w:t>
      </w:r>
      <w:r>
        <w:rPr>
          <w:color w:val="333333"/>
          <w:w w:val="110"/>
        </w:rPr>
        <w:t>built-in</w:t>
      </w:r>
      <w:r>
        <w:rPr>
          <w:color w:val="333333"/>
          <w:spacing w:val="4"/>
          <w:w w:val="110"/>
        </w:rPr>
        <w:t xml:space="preserve"> </w:t>
      </w:r>
      <w:r>
        <w:rPr>
          <w:color w:val="333333"/>
          <w:w w:val="110"/>
        </w:rPr>
        <w:t>endpoints:</w:t>
      </w:r>
    </w:p>
    <w:p w14:paraId="2B5747D5" w14:textId="77777777" w:rsidR="00A720EB" w:rsidRDefault="00A720EB">
      <w:pPr>
        <w:pStyle w:val="a3"/>
        <w:spacing w:before="8"/>
        <w:rPr>
          <w:sz w:val="1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40FE9321" w14:textId="77777777">
        <w:trPr>
          <w:trHeight w:val="415"/>
        </w:trPr>
        <w:tc>
          <w:tcPr>
            <w:tcW w:w="3325" w:type="dxa"/>
            <w:tcBorders>
              <w:bottom w:val="single" w:sz="12" w:space="0" w:color="DDDDDD"/>
            </w:tcBorders>
          </w:tcPr>
          <w:p w14:paraId="4E6B80DB" w14:textId="77777777" w:rsidR="00A720EB" w:rsidRDefault="0030286B">
            <w:pPr>
              <w:pStyle w:val="TableParagraph"/>
              <w:spacing w:before="74"/>
              <w:rPr>
                <w:rFonts w:ascii="Palatino Linotype"/>
                <w:b/>
                <w:sz w:val="21"/>
              </w:rPr>
            </w:pPr>
            <w:r>
              <w:rPr>
                <w:rFonts w:ascii="Palatino Linotype"/>
                <w:b/>
                <w:color w:val="333333"/>
                <w:sz w:val="21"/>
              </w:rPr>
              <w:t>ID</w:t>
            </w:r>
          </w:p>
        </w:tc>
        <w:tc>
          <w:tcPr>
            <w:tcW w:w="3325" w:type="dxa"/>
            <w:tcBorders>
              <w:bottom w:val="single" w:sz="12" w:space="0" w:color="DDDDDD"/>
            </w:tcBorders>
          </w:tcPr>
          <w:p w14:paraId="0D3B4088" w14:textId="77777777" w:rsidR="00A720EB" w:rsidRDefault="0030286B">
            <w:pPr>
              <w:pStyle w:val="TableParagraph"/>
              <w:spacing w:before="74"/>
              <w:rPr>
                <w:rFonts w:ascii="Palatino Linotype"/>
                <w:b/>
                <w:sz w:val="21"/>
              </w:rPr>
            </w:pPr>
            <w:r>
              <w:rPr>
                <w:rFonts w:ascii="Palatino Linotype"/>
                <w:b/>
                <w:color w:val="333333"/>
                <w:sz w:val="21"/>
              </w:rPr>
              <w:t>JMX</w:t>
            </w:r>
          </w:p>
        </w:tc>
        <w:tc>
          <w:tcPr>
            <w:tcW w:w="3325" w:type="dxa"/>
            <w:tcBorders>
              <w:bottom w:val="single" w:sz="12" w:space="0" w:color="DDDDDD"/>
            </w:tcBorders>
          </w:tcPr>
          <w:p w14:paraId="35275542" w14:textId="77777777" w:rsidR="00A720EB" w:rsidRDefault="0030286B">
            <w:pPr>
              <w:pStyle w:val="TableParagraph"/>
              <w:spacing w:before="74"/>
              <w:rPr>
                <w:rFonts w:ascii="Palatino Linotype"/>
                <w:b/>
                <w:sz w:val="21"/>
              </w:rPr>
            </w:pPr>
            <w:r>
              <w:rPr>
                <w:rFonts w:ascii="Palatino Linotype"/>
                <w:b/>
                <w:color w:val="333333"/>
                <w:w w:val="110"/>
                <w:sz w:val="21"/>
              </w:rPr>
              <w:t>Web</w:t>
            </w:r>
          </w:p>
        </w:tc>
      </w:tr>
      <w:tr w:rsidR="00A720EB" w14:paraId="72B6DC3A" w14:textId="77777777">
        <w:trPr>
          <w:trHeight w:val="415"/>
        </w:trPr>
        <w:tc>
          <w:tcPr>
            <w:tcW w:w="3325" w:type="dxa"/>
            <w:tcBorders>
              <w:top w:val="single" w:sz="12" w:space="0" w:color="DDDDDD"/>
            </w:tcBorders>
          </w:tcPr>
          <w:p w14:paraId="015F1DC7" w14:textId="77777777" w:rsidR="00A720EB" w:rsidRDefault="0030286B">
            <w:pPr>
              <w:pStyle w:val="TableParagraph"/>
              <w:spacing w:before="30"/>
              <w:rPr>
                <w:sz w:val="21"/>
              </w:rPr>
            </w:pPr>
            <w:r>
              <w:rPr>
                <w:color w:val="B02045"/>
                <w:sz w:val="21"/>
              </w:rPr>
              <w:t>auditevents</w:t>
            </w:r>
          </w:p>
        </w:tc>
        <w:tc>
          <w:tcPr>
            <w:tcW w:w="3325" w:type="dxa"/>
            <w:tcBorders>
              <w:top w:val="single" w:sz="12" w:space="0" w:color="DDDDDD"/>
            </w:tcBorders>
          </w:tcPr>
          <w:p w14:paraId="39060507" w14:textId="77777777" w:rsidR="00A720EB" w:rsidRDefault="0030286B">
            <w:pPr>
              <w:pStyle w:val="TableParagraph"/>
              <w:spacing w:before="84"/>
              <w:rPr>
                <w:rFonts w:ascii="Cambria"/>
                <w:sz w:val="21"/>
              </w:rPr>
            </w:pPr>
            <w:r>
              <w:rPr>
                <w:rFonts w:ascii="Cambria"/>
                <w:color w:val="333333"/>
                <w:w w:val="110"/>
                <w:sz w:val="21"/>
              </w:rPr>
              <w:t>Yes</w:t>
            </w:r>
          </w:p>
        </w:tc>
        <w:tc>
          <w:tcPr>
            <w:tcW w:w="3325" w:type="dxa"/>
            <w:tcBorders>
              <w:top w:val="single" w:sz="12" w:space="0" w:color="DDDDDD"/>
            </w:tcBorders>
          </w:tcPr>
          <w:p w14:paraId="36FBBE0D" w14:textId="77777777" w:rsidR="00A720EB" w:rsidRDefault="0030286B">
            <w:pPr>
              <w:pStyle w:val="TableParagraph"/>
              <w:spacing w:before="84"/>
              <w:rPr>
                <w:rFonts w:ascii="Cambria"/>
                <w:sz w:val="21"/>
              </w:rPr>
            </w:pPr>
            <w:r>
              <w:rPr>
                <w:rFonts w:ascii="Cambria"/>
                <w:color w:val="333333"/>
                <w:w w:val="110"/>
                <w:sz w:val="21"/>
              </w:rPr>
              <w:t>No</w:t>
            </w:r>
          </w:p>
        </w:tc>
      </w:tr>
      <w:tr w:rsidR="00A720EB" w14:paraId="35A3F6A0" w14:textId="77777777">
        <w:trPr>
          <w:trHeight w:val="425"/>
        </w:trPr>
        <w:tc>
          <w:tcPr>
            <w:tcW w:w="3325" w:type="dxa"/>
          </w:tcPr>
          <w:p w14:paraId="6C2B7F4D" w14:textId="77777777" w:rsidR="00A720EB" w:rsidRDefault="0030286B">
            <w:pPr>
              <w:pStyle w:val="TableParagraph"/>
              <w:spacing w:before="40"/>
              <w:rPr>
                <w:sz w:val="21"/>
              </w:rPr>
            </w:pPr>
            <w:r>
              <w:rPr>
                <w:color w:val="B02045"/>
                <w:sz w:val="21"/>
              </w:rPr>
              <w:t>beans</w:t>
            </w:r>
          </w:p>
        </w:tc>
        <w:tc>
          <w:tcPr>
            <w:tcW w:w="3325" w:type="dxa"/>
          </w:tcPr>
          <w:p w14:paraId="5BBF8BE8" w14:textId="77777777" w:rsidR="00A720EB" w:rsidRDefault="0030286B">
            <w:pPr>
              <w:pStyle w:val="TableParagraph"/>
              <w:spacing w:before="94"/>
              <w:rPr>
                <w:rFonts w:ascii="Cambria"/>
                <w:sz w:val="21"/>
              </w:rPr>
            </w:pPr>
            <w:r>
              <w:rPr>
                <w:rFonts w:ascii="Cambria"/>
                <w:color w:val="333333"/>
                <w:w w:val="110"/>
                <w:sz w:val="21"/>
              </w:rPr>
              <w:t>Yes</w:t>
            </w:r>
          </w:p>
        </w:tc>
        <w:tc>
          <w:tcPr>
            <w:tcW w:w="3325" w:type="dxa"/>
          </w:tcPr>
          <w:p w14:paraId="5E672283" w14:textId="77777777" w:rsidR="00A720EB" w:rsidRDefault="0030286B">
            <w:pPr>
              <w:pStyle w:val="TableParagraph"/>
              <w:spacing w:before="94"/>
              <w:rPr>
                <w:rFonts w:ascii="Cambria"/>
                <w:sz w:val="21"/>
              </w:rPr>
            </w:pPr>
            <w:r>
              <w:rPr>
                <w:rFonts w:ascii="Cambria"/>
                <w:color w:val="333333"/>
                <w:w w:val="110"/>
                <w:sz w:val="21"/>
              </w:rPr>
              <w:t>No</w:t>
            </w:r>
          </w:p>
        </w:tc>
      </w:tr>
      <w:tr w:rsidR="00A720EB" w14:paraId="03097FF9" w14:textId="77777777">
        <w:trPr>
          <w:trHeight w:val="425"/>
        </w:trPr>
        <w:tc>
          <w:tcPr>
            <w:tcW w:w="3325" w:type="dxa"/>
          </w:tcPr>
          <w:p w14:paraId="6E391557" w14:textId="77777777" w:rsidR="00A720EB" w:rsidRDefault="0030286B">
            <w:pPr>
              <w:pStyle w:val="TableParagraph"/>
              <w:spacing w:before="40"/>
              <w:rPr>
                <w:sz w:val="21"/>
              </w:rPr>
            </w:pPr>
            <w:r>
              <w:rPr>
                <w:color w:val="B02045"/>
                <w:sz w:val="21"/>
              </w:rPr>
              <w:t>caches</w:t>
            </w:r>
          </w:p>
        </w:tc>
        <w:tc>
          <w:tcPr>
            <w:tcW w:w="3325" w:type="dxa"/>
          </w:tcPr>
          <w:p w14:paraId="1EF493CF" w14:textId="77777777" w:rsidR="00A720EB" w:rsidRDefault="0030286B">
            <w:pPr>
              <w:pStyle w:val="TableParagraph"/>
              <w:spacing w:before="94"/>
              <w:rPr>
                <w:rFonts w:ascii="Cambria"/>
                <w:sz w:val="21"/>
              </w:rPr>
            </w:pPr>
            <w:r>
              <w:rPr>
                <w:rFonts w:ascii="Cambria"/>
                <w:color w:val="333333"/>
                <w:w w:val="110"/>
                <w:sz w:val="21"/>
              </w:rPr>
              <w:t>Yes</w:t>
            </w:r>
          </w:p>
        </w:tc>
        <w:tc>
          <w:tcPr>
            <w:tcW w:w="3325" w:type="dxa"/>
          </w:tcPr>
          <w:p w14:paraId="27D72093" w14:textId="77777777" w:rsidR="00A720EB" w:rsidRDefault="0030286B">
            <w:pPr>
              <w:pStyle w:val="TableParagraph"/>
              <w:spacing w:before="94"/>
              <w:rPr>
                <w:rFonts w:ascii="Cambria"/>
                <w:sz w:val="21"/>
              </w:rPr>
            </w:pPr>
            <w:r>
              <w:rPr>
                <w:rFonts w:ascii="Cambria"/>
                <w:color w:val="333333"/>
                <w:w w:val="110"/>
                <w:sz w:val="21"/>
              </w:rPr>
              <w:t>No</w:t>
            </w:r>
          </w:p>
        </w:tc>
      </w:tr>
      <w:tr w:rsidR="00A720EB" w14:paraId="179AEF58" w14:textId="77777777">
        <w:trPr>
          <w:trHeight w:val="425"/>
        </w:trPr>
        <w:tc>
          <w:tcPr>
            <w:tcW w:w="3325" w:type="dxa"/>
          </w:tcPr>
          <w:p w14:paraId="1E7F1B65" w14:textId="77777777" w:rsidR="00A720EB" w:rsidRDefault="0030286B">
            <w:pPr>
              <w:pStyle w:val="TableParagraph"/>
              <w:spacing w:before="40"/>
              <w:rPr>
                <w:sz w:val="21"/>
              </w:rPr>
            </w:pPr>
            <w:r>
              <w:rPr>
                <w:color w:val="B02045"/>
                <w:sz w:val="21"/>
              </w:rPr>
              <w:t>conditions</w:t>
            </w:r>
          </w:p>
        </w:tc>
        <w:tc>
          <w:tcPr>
            <w:tcW w:w="3325" w:type="dxa"/>
          </w:tcPr>
          <w:p w14:paraId="0D4AC46B" w14:textId="77777777" w:rsidR="00A720EB" w:rsidRDefault="0030286B">
            <w:pPr>
              <w:pStyle w:val="TableParagraph"/>
              <w:spacing w:before="94"/>
              <w:rPr>
                <w:rFonts w:ascii="Cambria"/>
                <w:sz w:val="21"/>
              </w:rPr>
            </w:pPr>
            <w:r>
              <w:rPr>
                <w:rFonts w:ascii="Cambria"/>
                <w:color w:val="333333"/>
                <w:w w:val="110"/>
                <w:sz w:val="21"/>
              </w:rPr>
              <w:t>Yes</w:t>
            </w:r>
          </w:p>
        </w:tc>
        <w:tc>
          <w:tcPr>
            <w:tcW w:w="3325" w:type="dxa"/>
          </w:tcPr>
          <w:p w14:paraId="085DF55F" w14:textId="77777777" w:rsidR="00A720EB" w:rsidRDefault="0030286B">
            <w:pPr>
              <w:pStyle w:val="TableParagraph"/>
              <w:spacing w:before="94"/>
              <w:rPr>
                <w:rFonts w:ascii="Cambria"/>
                <w:sz w:val="21"/>
              </w:rPr>
            </w:pPr>
            <w:r>
              <w:rPr>
                <w:rFonts w:ascii="Cambria"/>
                <w:color w:val="333333"/>
                <w:w w:val="110"/>
                <w:sz w:val="21"/>
              </w:rPr>
              <w:t>No</w:t>
            </w:r>
          </w:p>
        </w:tc>
      </w:tr>
    </w:tbl>
    <w:p w14:paraId="2DDCAE6E" w14:textId="77777777" w:rsidR="00A720EB" w:rsidRDefault="00A720EB">
      <w:pPr>
        <w:rPr>
          <w:sz w:val="21"/>
        </w:rPr>
        <w:sectPr w:rsidR="00A720EB">
          <w:pgSz w:w="11910" w:h="16840"/>
          <w:pgMar w:top="70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50F31B49" w14:textId="77777777">
        <w:trPr>
          <w:trHeight w:val="415"/>
        </w:trPr>
        <w:tc>
          <w:tcPr>
            <w:tcW w:w="3325" w:type="dxa"/>
            <w:tcBorders>
              <w:bottom w:val="single" w:sz="12" w:space="0" w:color="DDDDDD"/>
            </w:tcBorders>
          </w:tcPr>
          <w:p w14:paraId="061C72ED" w14:textId="77777777" w:rsidR="00A720EB" w:rsidRDefault="0030286B">
            <w:pPr>
              <w:pStyle w:val="TableParagraph"/>
              <w:spacing w:before="71"/>
              <w:rPr>
                <w:rFonts w:ascii="Palatino Linotype"/>
                <w:b/>
                <w:sz w:val="21"/>
              </w:rPr>
            </w:pPr>
            <w:r>
              <w:rPr>
                <w:rFonts w:ascii="Palatino Linotype"/>
                <w:b/>
                <w:color w:val="333333"/>
                <w:sz w:val="21"/>
              </w:rPr>
              <w:lastRenderedPageBreak/>
              <w:t>ID</w:t>
            </w:r>
          </w:p>
        </w:tc>
        <w:tc>
          <w:tcPr>
            <w:tcW w:w="3325" w:type="dxa"/>
            <w:tcBorders>
              <w:bottom w:val="single" w:sz="12" w:space="0" w:color="DDDDDD"/>
            </w:tcBorders>
          </w:tcPr>
          <w:p w14:paraId="0C71B416" w14:textId="77777777" w:rsidR="00A720EB" w:rsidRDefault="0030286B">
            <w:pPr>
              <w:pStyle w:val="TableParagraph"/>
              <w:spacing w:before="71"/>
              <w:rPr>
                <w:rFonts w:ascii="Palatino Linotype"/>
                <w:b/>
                <w:sz w:val="21"/>
              </w:rPr>
            </w:pPr>
            <w:r>
              <w:rPr>
                <w:rFonts w:ascii="Palatino Linotype"/>
                <w:b/>
                <w:color w:val="333333"/>
                <w:sz w:val="21"/>
              </w:rPr>
              <w:t>JMX</w:t>
            </w:r>
          </w:p>
        </w:tc>
        <w:tc>
          <w:tcPr>
            <w:tcW w:w="3325" w:type="dxa"/>
            <w:tcBorders>
              <w:bottom w:val="single" w:sz="12" w:space="0" w:color="DDDDDD"/>
            </w:tcBorders>
          </w:tcPr>
          <w:p w14:paraId="01165623" w14:textId="77777777" w:rsidR="00A720EB" w:rsidRDefault="0030286B">
            <w:pPr>
              <w:pStyle w:val="TableParagraph"/>
              <w:spacing w:before="71"/>
              <w:rPr>
                <w:rFonts w:ascii="Palatino Linotype"/>
                <w:b/>
                <w:sz w:val="21"/>
              </w:rPr>
            </w:pPr>
            <w:r>
              <w:rPr>
                <w:rFonts w:ascii="Palatino Linotype"/>
                <w:b/>
                <w:color w:val="333333"/>
                <w:w w:val="110"/>
                <w:sz w:val="21"/>
              </w:rPr>
              <w:t>Web</w:t>
            </w:r>
          </w:p>
        </w:tc>
      </w:tr>
      <w:tr w:rsidR="00A720EB" w14:paraId="74ACEF05" w14:textId="77777777">
        <w:trPr>
          <w:trHeight w:val="415"/>
        </w:trPr>
        <w:tc>
          <w:tcPr>
            <w:tcW w:w="3325" w:type="dxa"/>
            <w:tcBorders>
              <w:top w:val="single" w:sz="12" w:space="0" w:color="DDDDDD"/>
            </w:tcBorders>
          </w:tcPr>
          <w:p w14:paraId="196A9D8F" w14:textId="77777777" w:rsidR="00A720EB" w:rsidRDefault="0030286B">
            <w:pPr>
              <w:pStyle w:val="TableParagraph"/>
              <w:spacing w:before="27"/>
              <w:rPr>
                <w:sz w:val="21"/>
              </w:rPr>
            </w:pPr>
            <w:r>
              <w:rPr>
                <w:color w:val="B02045"/>
                <w:sz w:val="21"/>
              </w:rPr>
              <w:t>configprops</w:t>
            </w:r>
          </w:p>
        </w:tc>
        <w:tc>
          <w:tcPr>
            <w:tcW w:w="3325" w:type="dxa"/>
            <w:tcBorders>
              <w:top w:val="single" w:sz="12" w:space="0" w:color="DDDDDD"/>
            </w:tcBorders>
          </w:tcPr>
          <w:p w14:paraId="2A2B3451" w14:textId="77777777" w:rsidR="00A720EB" w:rsidRDefault="0030286B">
            <w:pPr>
              <w:pStyle w:val="TableParagraph"/>
              <w:spacing w:before="82"/>
              <w:rPr>
                <w:rFonts w:ascii="Cambria"/>
                <w:sz w:val="21"/>
              </w:rPr>
            </w:pPr>
            <w:r>
              <w:rPr>
                <w:rFonts w:ascii="Cambria"/>
                <w:color w:val="333333"/>
                <w:w w:val="110"/>
                <w:sz w:val="21"/>
              </w:rPr>
              <w:t>Yes</w:t>
            </w:r>
          </w:p>
        </w:tc>
        <w:tc>
          <w:tcPr>
            <w:tcW w:w="3325" w:type="dxa"/>
            <w:tcBorders>
              <w:top w:val="single" w:sz="12" w:space="0" w:color="DDDDDD"/>
            </w:tcBorders>
          </w:tcPr>
          <w:p w14:paraId="5682D833" w14:textId="77777777" w:rsidR="00A720EB" w:rsidRDefault="0030286B">
            <w:pPr>
              <w:pStyle w:val="TableParagraph"/>
              <w:spacing w:before="82"/>
              <w:rPr>
                <w:rFonts w:ascii="Cambria"/>
                <w:sz w:val="21"/>
              </w:rPr>
            </w:pPr>
            <w:r>
              <w:rPr>
                <w:rFonts w:ascii="Cambria"/>
                <w:color w:val="333333"/>
                <w:w w:val="110"/>
                <w:sz w:val="21"/>
              </w:rPr>
              <w:t>No</w:t>
            </w:r>
          </w:p>
        </w:tc>
      </w:tr>
      <w:tr w:rsidR="00A720EB" w14:paraId="39D6D147" w14:textId="77777777">
        <w:trPr>
          <w:trHeight w:val="425"/>
        </w:trPr>
        <w:tc>
          <w:tcPr>
            <w:tcW w:w="3325" w:type="dxa"/>
          </w:tcPr>
          <w:p w14:paraId="295A927F" w14:textId="77777777" w:rsidR="00A720EB" w:rsidRDefault="0030286B">
            <w:pPr>
              <w:pStyle w:val="TableParagraph"/>
              <w:rPr>
                <w:sz w:val="21"/>
              </w:rPr>
            </w:pPr>
            <w:r>
              <w:rPr>
                <w:color w:val="B02045"/>
                <w:sz w:val="21"/>
              </w:rPr>
              <w:t>env</w:t>
            </w:r>
          </w:p>
        </w:tc>
        <w:tc>
          <w:tcPr>
            <w:tcW w:w="3325" w:type="dxa"/>
          </w:tcPr>
          <w:p w14:paraId="12B2D966"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724AC790" w14:textId="77777777" w:rsidR="00A720EB" w:rsidRDefault="0030286B">
            <w:pPr>
              <w:pStyle w:val="TableParagraph"/>
              <w:spacing w:before="92"/>
              <w:rPr>
                <w:rFonts w:ascii="Cambria"/>
                <w:sz w:val="21"/>
              </w:rPr>
            </w:pPr>
            <w:r>
              <w:rPr>
                <w:rFonts w:ascii="Cambria"/>
                <w:color w:val="333333"/>
                <w:w w:val="110"/>
                <w:sz w:val="21"/>
              </w:rPr>
              <w:t>No</w:t>
            </w:r>
          </w:p>
        </w:tc>
      </w:tr>
      <w:tr w:rsidR="00A720EB" w14:paraId="771B6905" w14:textId="77777777">
        <w:trPr>
          <w:trHeight w:val="425"/>
        </w:trPr>
        <w:tc>
          <w:tcPr>
            <w:tcW w:w="3325" w:type="dxa"/>
          </w:tcPr>
          <w:p w14:paraId="01277547" w14:textId="77777777" w:rsidR="00A720EB" w:rsidRDefault="0030286B">
            <w:pPr>
              <w:pStyle w:val="TableParagraph"/>
              <w:spacing w:before="37"/>
              <w:rPr>
                <w:sz w:val="21"/>
              </w:rPr>
            </w:pPr>
            <w:r>
              <w:rPr>
                <w:color w:val="B02045"/>
                <w:sz w:val="21"/>
              </w:rPr>
              <w:t>flyway</w:t>
            </w:r>
          </w:p>
        </w:tc>
        <w:tc>
          <w:tcPr>
            <w:tcW w:w="3325" w:type="dxa"/>
          </w:tcPr>
          <w:p w14:paraId="61CAC828"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3B6D9C8C" w14:textId="77777777" w:rsidR="00A720EB" w:rsidRDefault="0030286B">
            <w:pPr>
              <w:pStyle w:val="TableParagraph"/>
              <w:spacing w:before="92"/>
              <w:rPr>
                <w:rFonts w:ascii="Cambria"/>
                <w:sz w:val="21"/>
              </w:rPr>
            </w:pPr>
            <w:r>
              <w:rPr>
                <w:rFonts w:ascii="Cambria"/>
                <w:color w:val="333333"/>
                <w:w w:val="110"/>
                <w:sz w:val="21"/>
              </w:rPr>
              <w:t>No</w:t>
            </w:r>
          </w:p>
        </w:tc>
      </w:tr>
      <w:tr w:rsidR="00A720EB" w14:paraId="547640E2" w14:textId="77777777">
        <w:trPr>
          <w:trHeight w:val="425"/>
        </w:trPr>
        <w:tc>
          <w:tcPr>
            <w:tcW w:w="3325" w:type="dxa"/>
          </w:tcPr>
          <w:p w14:paraId="7198CD90" w14:textId="77777777" w:rsidR="00A720EB" w:rsidRDefault="0030286B">
            <w:pPr>
              <w:pStyle w:val="TableParagraph"/>
              <w:rPr>
                <w:sz w:val="21"/>
              </w:rPr>
            </w:pPr>
            <w:r>
              <w:rPr>
                <w:color w:val="B02045"/>
                <w:sz w:val="21"/>
              </w:rPr>
              <w:t>health</w:t>
            </w:r>
          </w:p>
        </w:tc>
        <w:tc>
          <w:tcPr>
            <w:tcW w:w="3325" w:type="dxa"/>
          </w:tcPr>
          <w:p w14:paraId="0E130B1F"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0B9E56D8" w14:textId="77777777" w:rsidR="00A720EB" w:rsidRDefault="0030286B">
            <w:pPr>
              <w:pStyle w:val="TableParagraph"/>
              <w:spacing w:before="92"/>
              <w:rPr>
                <w:rFonts w:ascii="Cambria"/>
                <w:sz w:val="21"/>
              </w:rPr>
            </w:pPr>
            <w:r>
              <w:rPr>
                <w:rFonts w:ascii="Cambria"/>
                <w:color w:val="333333"/>
                <w:w w:val="110"/>
                <w:sz w:val="21"/>
              </w:rPr>
              <w:t>Yes</w:t>
            </w:r>
          </w:p>
        </w:tc>
      </w:tr>
      <w:tr w:rsidR="00A720EB" w14:paraId="220CD81A" w14:textId="77777777">
        <w:trPr>
          <w:trHeight w:val="425"/>
        </w:trPr>
        <w:tc>
          <w:tcPr>
            <w:tcW w:w="3325" w:type="dxa"/>
          </w:tcPr>
          <w:p w14:paraId="57A40294" w14:textId="77777777" w:rsidR="00A720EB" w:rsidRDefault="0030286B">
            <w:pPr>
              <w:pStyle w:val="TableParagraph"/>
              <w:spacing w:before="37"/>
              <w:rPr>
                <w:sz w:val="21"/>
              </w:rPr>
            </w:pPr>
            <w:r>
              <w:rPr>
                <w:color w:val="B02045"/>
                <w:sz w:val="21"/>
              </w:rPr>
              <w:t>heapdump</w:t>
            </w:r>
          </w:p>
        </w:tc>
        <w:tc>
          <w:tcPr>
            <w:tcW w:w="3325" w:type="dxa"/>
          </w:tcPr>
          <w:p w14:paraId="4A03D7DC" w14:textId="77777777" w:rsidR="00A720EB" w:rsidRDefault="0030286B">
            <w:pPr>
              <w:pStyle w:val="TableParagraph"/>
              <w:spacing w:before="92"/>
              <w:rPr>
                <w:rFonts w:ascii="Cambria"/>
                <w:sz w:val="21"/>
              </w:rPr>
            </w:pPr>
            <w:r>
              <w:rPr>
                <w:rFonts w:ascii="Cambria"/>
                <w:color w:val="333333"/>
                <w:sz w:val="21"/>
              </w:rPr>
              <w:t>N/A</w:t>
            </w:r>
          </w:p>
        </w:tc>
        <w:tc>
          <w:tcPr>
            <w:tcW w:w="3325" w:type="dxa"/>
          </w:tcPr>
          <w:p w14:paraId="107CE293" w14:textId="77777777" w:rsidR="00A720EB" w:rsidRDefault="0030286B">
            <w:pPr>
              <w:pStyle w:val="TableParagraph"/>
              <w:spacing w:before="92"/>
              <w:rPr>
                <w:rFonts w:ascii="Cambria"/>
                <w:sz w:val="21"/>
              </w:rPr>
            </w:pPr>
            <w:r>
              <w:rPr>
                <w:rFonts w:ascii="Cambria"/>
                <w:color w:val="333333"/>
                <w:w w:val="110"/>
                <w:sz w:val="21"/>
              </w:rPr>
              <w:t>No</w:t>
            </w:r>
          </w:p>
        </w:tc>
      </w:tr>
      <w:tr w:rsidR="00A720EB" w14:paraId="5818CE41" w14:textId="77777777">
        <w:trPr>
          <w:trHeight w:val="425"/>
        </w:trPr>
        <w:tc>
          <w:tcPr>
            <w:tcW w:w="3325" w:type="dxa"/>
          </w:tcPr>
          <w:p w14:paraId="61CB27D9" w14:textId="77777777" w:rsidR="00A720EB" w:rsidRDefault="0030286B">
            <w:pPr>
              <w:pStyle w:val="TableParagraph"/>
              <w:rPr>
                <w:sz w:val="21"/>
              </w:rPr>
            </w:pPr>
            <w:r>
              <w:rPr>
                <w:color w:val="B02045"/>
                <w:sz w:val="21"/>
              </w:rPr>
              <w:t>httptrace</w:t>
            </w:r>
          </w:p>
        </w:tc>
        <w:tc>
          <w:tcPr>
            <w:tcW w:w="3325" w:type="dxa"/>
          </w:tcPr>
          <w:p w14:paraId="49C497D5"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1601A4B7" w14:textId="77777777" w:rsidR="00A720EB" w:rsidRDefault="0030286B">
            <w:pPr>
              <w:pStyle w:val="TableParagraph"/>
              <w:spacing w:before="92"/>
              <w:rPr>
                <w:rFonts w:ascii="Cambria"/>
                <w:sz w:val="21"/>
              </w:rPr>
            </w:pPr>
            <w:r>
              <w:rPr>
                <w:rFonts w:ascii="Cambria"/>
                <w:color w:val="333333"/>
                <w:w w:val="110"/>
                <w:sz w:val="21"/>
              </w:rPr>
              <w:t>No</w:t>
            </w:r>
          </w:p>
        </w:tc>
      </w:tr>
      <w:tr w:rsidR="00A720EB" w14:paraId="048E1750" w14:textId="77777777">
        <w:trPr>
          <w:trHeight w:val="425"/>
        </w:trPr>
        <w:tc>
          <w:tcPr>
            <w:tcW w:w="3325" w:type="dxa"/>
          </w:tcPr>
          <w:p w14:paraId="4AAD8248" w14:textId="77777777" w:rsidR="00A720EB" w:rsidRDefault="0030286B">
            <w:pPr>
              <w:pStyle w:val="TableParagraph"/>
              <w:spacing w:before="37"/>
              <w:rPr>
                <w:sz w:val="21"/>
              </w:rPr>
            </w:pPr>
            <w:r>
              <w:rPr>
                <w:color w:val="B02045"/>
                <w:sz w:val="21"/>
              </w:rPr>
              <w:t>info</w:t>
            </w:r>
          </w:p>
        </w:tc>
        <w:tc>
          <w:tcPr>
            <w:tcW w:w="3325" w:type="dxa"/>
          </w:tcPr>
          <w:p w14:paraId="7D6BE8DB"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2FD11E8F" w14:textId="77777777" w:rsidR="00A720EB" w:rsidRDefault="0030286B">
            <w:pPr>
              <w:pStyle w:val="TableParagraph"/>
              <w:spacing w:before="92"/>
              <w:rPr>
                <w:rFonts w:ascii="Cambria"/>
                <w:sz w:val="21"/>
              </w:rPr>
            </w:pPr>
            <w:r>
              <w:rPr>
                <w:rFonts w:ascii="Cambria"/>
                <w:color w:val="333333"/>
                <w:w w:val="110"/>
                <w:sz w:val="21"/>
              </w:rPr>
              <w:t>Yes</w:t>
            </w:r>
          </w:p>
        </w:tc>
      </w:tr>
      <w:tr w:rsidR="00A720EB" w14:paraId="569793EA" w14:textId="77777777">
        <w:trPr>
          <w:trHeight w:val="425"/>
        </w:trPr>
        <w:tc>
          <w:tcPr>
            <w:tcW w:w="3325" w:type="dxa"/>
          </w:tcPr>
          <w:p w14:paraId="5A2116DA" w14:textId="77777777" w:rsidR="00A720EB" w:rsidRDefault="0030286B">
            <w:pPr>
              <w:pStyle w:val="TableParagraph"/>
              <w:rPr>
                <w:sz w:val="21"/>
              </w:rPr>
            </w:pPr>
            <w:r>
              <w:rPr>
                <w:color w:val="B02045"/>
                <w:sz w:val="21"/>
              </w:rPr>
              <w:t>integrationgraph</w:t>
            </w:r>
          </w:p>
        </w:tc>
        <w:tc>
          <w:tcPr>
            <w:tcW w:w="3325" w:type="dxa"/>
          </w:tcPr>
          <w:p w14:paraId="42768B47"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58C9F3B7" w14:textId="77777777" w:rsidR="00A720EB" w:rsidRDefault="0030286B">
            <w:pPr>
              <w:pStyle w:val="TableParagraph"/>
              <w:spacing w:before="92"/>
              <w:rPr>
                <w:rFonts w:ascii="Cambria"/>
                <w:sz w:val="21"/>
              </w:rPr>
            </w:pPr>
            <w:r>
              <w:rPr>
                <w:rFonts w:ascii="Cambria"/>
                <w:color w:val="333333"/>
                <w:w w:val="110"/>
                <w:sz w:val="21"/>
              </w:rPr>
              <w:t>No</w:t>
            </w:r>
          </w:p>
        </w:tc>
      </w:tr>
      <w:tr w:rsidR="00A720EB" w14:paraId="1674B51E" w14:textId="77777777">
        <w:trPr>
          <w:trHeight w:val="425"/>
        </w:trPr>
        <w:tc>
          <w:tcPr>
            <w:tcW w:w="3325" w:type="dxa"/>
          </w:tcPr>
          <w:p w14:paraId="10124915" w14:textId="77777777" w:rsidR="00A720EB" w:rsidRDefault="0030286B">
            <w:pPr>
              <w:pStyle w:val="TableParagraph"/>
              <w:spacing w:before="37"/>
              <w:rPr>
                <w:sz w:val="21"/>
              </w:rPr>
            </w:pPr>
            <w:r>
              <w:rPr>
                <w:color w:val="B02045"/>
                <w:sz w:val="21"/>
              </w:rPr>
              <w:t>jolokia</w:t>
            </w:r>
          </w:p>
        </w:tc>
        <w:tc>
          <w:tcPr>
            <w:tcW w:w="3325" w:type="dxa"/>
          </w:tcPr>
          <w:p w14:paraId="288A72A3" w14:textId="77777777" w:rsidR="00A720EB" w:rsidRDefault="0030286B">
            <w:pPr>
              <w:pStyle w:val="TableParagraph"/>
              <w:spacing w:before="92"/>
              <w:rPr>
                <w:rFonts w:ascii="Cambria"/>
                <w:sz w:val="21"/>
              </w:rPr>
            </w:pPr>
            <w:r>
              <w:rPr>
                <w:rFonts w:ascii="Cambria"/>
                <w:color w:val="333333"/>
                <w:sz w:val="21"/>
              </w:rPr>
              <w:t>N/A</w:t>
            </w:r>
          </w:p>
        </w:tc>
        <w:tc>
          <w:tcPr>
            <w:tcW w:w="3325" w:type="dxa"/>
          </w:tcPr>
          <w:p w14:paraId="625CA00B" w14:textId="77777777" w:rsidR="00A720EB" w:rsidRDefault="0030286B">
            <w:pPr>
              <w:pStyle w:val="TableParagraph"/>
              <w:spacing w:before="92"/>
              <w:rPr>
                <w:rFonts w:ascii="Cambria"/>
                <w:sz w:val="21"/>
              </w:rPr>
            </w:pPr>
            <w:r>
              <w:rPr>
                <w:rFonts w:ascii="Cambria"/>
                <w:color w:val="333333"/>
                <w:w w:val="110"/>
                <w:sz w:val="21"/>
              </w:rPr>
              <w:t>No</w:t>
            </w:r>
          </w:p>
        </w:tc>
      </w:tr>
      <w:tr w:rsidR="00A720EB" w14:paraId="3208D334" w14:textId="77777777">
        <w:trPr>
          <w:trHeight w:val="425"/>
        </w:trPr>
        <w:tc>
          <w:tcPr>
            <w:tcW w:w="3325" w:type="dxa"/>
          </w:tcPr>
          <w:p w14:paraId="165501B0" w14:textId="77777777" w:rsidR="00A720EB" w:rsidRDefault="0030286B">
            <w:pPr>
              <w:pStyle w:val="TableParagraph"/>
              <w:rPr>
                <w:sz w:val="21"/>
              </w:rPr>
            </w:pPr>
            <w:r>
              <w:rPr>
                <w:color w:val="B02045"/>
                <w:sz w:val="21"/>
              </w:rPr>
              <w:t>logfile</w:t>
            </w:r>
          </w:p>
        </w:tc>
        <w:tc>
          <w:tcPr>
            <w:tcW w:w="3325" w:type="dxa"/>
          </w:tcPr>
          <w:p w14:paraId="562E82D8" w14:textId="77777777" w:rsidR="00A720EB" w:rsidRDefault="0030286B">
            <w:pPr>
              <w:pStyle w:val="TableParagraph"/>
              <w:spacing w:before="92"/>
              <w:rPr>
                <w:rFonts w:ascii="Cambria"/>
                <w:sz w:val="21"/>
              </w:rPr>
            </w:pPr>
            <w:r>
              <w:rPr>
                <w:rFonts w:ascii="Cambria"/>
                <w:color w:val="333333"/>
                <w:sz w:val="21"/>
              </w:rPr>
              <w:t>N/A</w:t>
            </w:r>
          </w:p>
        </w:tc>
        <w:tc>
          <w:tcPr>
            <w:tcW w:w="3325" w:type="dxa"/>
          </w:tcPr>
          <w:p w14:paraId="515E845D" w14:textId="77777777" w:rsidR="00A720EB" w:rsidRDefault="0030286B">
            <w:pPr>
              <w:pStyle w:val="TableParagraph"/>
              <w:spacing w:before="92"/>
              <w:rPr>
                <w:rFonts w:ascii="Cambria"/>
                <w:sz w:val="21"/>
              </w:rPr>
            </w:pPr>
            <w:r>
              <w:rPr>
                <w:rFonts w:ascii="Cambria"/>
                <w:color w:val="333333"/>
                <w:w w:val="110"/>
                <w:sz w:val="21"/>
              </w:rPr>
              <w:t>No</w:t>
            </w:r>
          </w:p>
        </w:tc>
      </w:tr>
      <w:tr w:rsidR="00A720EB" w14:paraId="76B4C897" w14:textId="77777777">
        <w:trPr>
          <w:trHeight w:val="425"/>
        </w:trPr>
        <w:tc>
          <w:tcPr>
            <w:tcW w:w="3325" w:type="dxa"/>
          </w:tcPr>
          <w:p w14:paraId="179B4F8E" w14:textId="77777777" w:rsidR="00A720EB" w:rsidRDefault="0030286B">
            <w:pPr>
              <w:pStyle w:val="TableParagraph"/>
              <w:spacing w:before="37"/>
              <w:rPr>
                <w:sz w:val="21"/>
              </w:rPr>
            </w:pPr>
            <w:r>
              <w:rPr>
                <w:color w:val="B02045"/>
                <w:sz w:val="21"/>
              </w:rPr>
              <w:t>loggers</w:t>
            </w:r>
          </w:p>
        </w:tc>
        <w:tc>
          <w:tcPr>
            <w:tcW w:w="3325" w:type="dxa"/>
          </w:tcPr>
          <w:p w14:paraId="3C47B003"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25382A20" w14:textId="77777777" w:rsidR="00A720EB" w:rsidRDefault="0030286B">
            <w:pPr>
              <w:pStyle w:val="TableParagraph"/>
              <w:spacing w:before="92"/>
              <w:rPr>
                <w:rFonts w:ascii="Cambria"/>
                <w:sz w:val="21"/>
              </w:rPr>
            </w:pPr>
            <w:r>
              <w:rPr>
                <w:rFonts w:ascii="Cambria"/>
                <w:color w:val="333333"/>
                <w:w w:val="110"/>
                <w:sz w:val="21"/>
              </w:rPr>
              <w:t>No</w:t>
            </w:r>
          </w:p>
        </w:tc>
      </w:tr>
      <w:tr w:rsidR="00A720EB" w14:paraId="57385F9B" w14:textId="77777777">
        <w:trPr>
          <w:trHeight w:val="425"/>
        </w:trPr>
        <w:tc>
          <w:tcPr>
            <w:tcW w:w="3325" w:type="dxa"/>
          </w:tcPr>
          <w:p w14:paraId="10804730" w14:textId="77777777" w:rsidR="00A720EB" w:rsidRDefault="0030286B">
            <w:pPr>
              <w:pStyle w:val="TableParagraph"/>
              <w:spacing w:before="37"/>
              <w:rPr>
                <w:sz w:val="21"/>
              </w:rPr>
            </w:pPr>
            <w:r>
              <w:rPr>
                <w:color w:val="B02045"/>
                <w:sz w:val="21"/>
              </w:rPr>
              <w:t>liquibase</w:t>
            </w:r>
          </w:p>
        </w:tc>
        <w:tc>
          <w:tcPr>
            <w:tcW w:w="3325" w:type="dxa"/>
          </w:tcPr>
          <w:p w14:paraId="2437B982"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08D46521" w14:textId="77777777" w:rsidR="00A720EB" w:rsidRDefault="0030286B">
            <w:pPr>
              <w:pStyle w:val="TableParagraph"/>
              <w:spacing w:before="92"/>
              <w:rPr>
                <w:rFonts w:ascii="Cambria"/>
                <w:sz w:val="21"/>
              </w:rPr>
            </w:pPr>
            <w:r>
              <w:rPr>
                <w:rFonts w:ascii="Cambria"/>
                <w:color w:val="333333"/>
                <w:w w:val="110"/>
                <w:sz w:val="21"/>
              </w:rPr>
              <w:t>No</w:t>
            </w:r>
          </w:p>
        </w:tc>
      </w:tr>
      <w:tr w:rsidR="00A720EB" w14:paraId="5B2369DE" w14:textId="77777777">
        <w:trPr>
          <w:trHeight w:val="425"/>
        </w:trPr>
        <w:tc>
          <w:tcPr>
            <w:tcW w:w="3325" w:type="dxa"/>
          </w:tcPr>
          <w:p w14:paraId="28B89520" w14:textId="77777777" w:rsidR="00A720EB" w:rsidRDefault="0030286B">
            <w:pPr>
              <w:pStyle w:val="TableParagraph"/>
              <w:spacing w:before="37"/>
              <w:rPr>
                <w:sz w:val="21"/>
              </w:rPr>
            </w:pPr>
            <w:r>
              <w:rPr>
                <w:color w:val="B02045"/>
                <w:sz w:val="21"/>
              </w:rPr>
              <w:t>metrics</w:t>
            </w:r>
          </w:p>
        </w:tc>
        <w:tc>
          <w:tcPr>
            <w:tcW w:w="3325" w:type="dxa"/>
          </w:tcPr>
          <w:p w14:paraId="4C3DC1F8"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78471CA9" w14:textId="77777777" w:rsidR="00A720EB" w:rsidRDefault="0030286B">
            <w:pPr>
              <w:pStyle w:val="TableParagraph"/>
              <w:spacing w:before="92"/>
              <w:rPr>
                <w:rFonts w:ascii="Cambria"/>
                <w:sz w:val="21"/>
              </w:rPr>
            </w:pPr>
            <w:r>
              <w:rPr>
                <w:rFonts w:ascii="Cambria"/>
                <w:color w:val="333333"/>
                <w:w w:val="110"/>
                <w:sz w:val="21"/>
              </w:rPr>
              <w:t>No</w:t>
            </w:r>
          </w:p>
        </w:tc>
      </w:tr>
      <w:tr w:rsidR="00A720EB" w14:paraId="695E60CD" w14:textId="77777777">
        <w:trPr>
          <w:trHeight w:val="425"/>
        </w:trPr>
        <w:tc>
          <w:tcPr>
            <w:tcW w:w="3325" w:type="dxa"/>
          </w:tcPr>
          <w:p w14:paraId="78A147D5" w14:textId="77777777" w:rsidR="00A720EB" w:rsidRDefault="0030286B">
            <w:pPr>
              <w:pStyle w:val="TableParagraph"/>
              <w:spacing w:before="37"/>
              <w:rPr>
                <w:sz w:val="21"/>
              </w:rPr>
            </w:pPr>
            <w:r>
              <w:rPr>
                <w:color w:val="B02045"/>
                <w:sz w:val="21"/>
              </w:rPr>
              <w:t>mappings</w:t>
            </w:r>
          </w:p>
        </w:tc>
        <w:tc>
          <w:tcPr>
            <w:tcW w:w="3325" w:type="dxa"/>
          </w:tcPr>
          <w:p w14:paraId="5E4D9C94"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627CD0AD" w14:textId="77777777" w:rsidR="00A720EB" w:rsidRDefault="0030286B">
            <w:pPr>
              <w:pStyle w:val="TableParagraph"/>
              <w:spacing w:before="92"/>
              <w:rPr>
                <w:rFonts w:ascii="Cambria"/>
                <w:sz w:val="21"/>
              </w:rPr>
            </w:pPr>
            <w:r>
              <w:rPr>
                <w:rFonts w:ascii="Cambria"/>
                <w:color w:val="333333"/>
                <w:w w:val="110"/>
                <w:sz w:val="21"/>
              </w:rPr>
              <w:t>No</w:t>
            </w:r>
          </w:p>
        </w:tc>
      </w:tr>
      <w:tr w:rsidR="00A720EB" w14:paraId="480B7746" w14:textId="77777777">
        <w:trPr>
          <w:trHeight w:val="425"/>
        </w:trPr>
        <w:tc>
          <w:tcPr>
            <w:tcW w:w="3325" w:type="dxa"/>
          </w:tcPr>
          <w:p w14:paraId="64B47E26" w14:textId="77777777" w:rsidR="00A720EB" w:rsidRDefault="0030286B">
            <w:pPr>
              <w:pStyle w:val="TableParagraph"/>
              <w:spacing w:before="37"/>
              <w:rPr>
                <w:sz w:val="21"/>
              </w:rPr>
            </w:pPr>
            <w:r>
              <w:rPr>
                <w:color w:val="B02045"/>
                <w:sz w:val="21"/>
              </w:rPr>
              <w:t>prometheus</w:t>
            </w:r>
          </w:p>
        </w:tc>
        <w:tc>
          <w:tcPr>
            <w:tcW w:w="3325" w:type="dxa"/>
          </w:tcPr>
          <w:p w14:paraId="7B58644C" w14:textId="77777777" w:rsidR="00A720EB" w:rsidRDefault="0030286B">
            <w:pPr>
              <w:pStyle w:val="TableParagraph"/>
              <w:spacing w:before="92"/>
              <w:rPr>
                <w:rFonts w:ascii="Cambria"/>
                <w:sz w:val="21"/>
              </w:rPr>
            </w:pPr>
            <w:r>
              <w:rPr>
                <w:rFonts w:ascii="Cambria"/>
                <w:color w:val="333333"/>
                <w:sz w:val="21"/>
              </w:rPr>
              <w:t>N/A</w:t>
            </w:r>
          </w:p>
        </w:tc>
        <w:tc>
          <w:tcPr>
            <w:tcW w:w="3325" w:type="dxa"/>
          </w:tcPr>
          <w:p w14:paraId="090CB86A" w14:textId="77777777" w:rsidR="00A720EB" w:rsidRDefault="0030286B">
            <w:pPr>
              <w:pStyle w:val="TableParagraph"/>
              <w:spacing w:before="92"/>
              <w:rPr>
                <w:rFonts w:ascii="Cambria"/>
                <w:sz w:val="21"/>
              </w:rPr>
            </w:pPr>
            <w:r>
              <w:rPr>
                <w:rFonts w:ascii="Cambria"/>
                <w:color w:val="333333"/>
                <w:w w:val="110"/>
                <w:sz w:val="21"/>
              </w:rPr>
              <w:t>No</w:t>
            </w:r>
          </w:p>
        </w:tc>
      </w:tr>
      <w:tr w:rsidR="00A720EB" w14:paraId="1E54AF10" w14:textId="77777777">
        <w:trPr>
          <w:trHeight w:val="425"/>
        </w:trPr>
        <w:tc>
          <w:tcPr>
            <w:tcW w:w="3325" w:type="dxa"/>
          </w:tcPr>
          <w:p w14:paraId="7AEB9E2E" w14:textId="77777777" w:rsidR="00A720EB" w:rsidRDefault="0030286B">
            <w:pPr>
              <w:pStyle w:val="TableParagraph"/>
              <w:spacing w:before="37"/>
              <w:rPr>
                <w:sz w:val="21"/>
              </w:rPr>
            </w:pPr>
            <w:r>
              <w:rPr>
                <w:color w:val="B02045"/>
                <w:sz w:val="21"/>
              </w:rPr>
              <w:t>scheduledtasks</w:t>
            </w:r>
          </w:p>
        </w:tc>
        <w:tc>
          <w:tcPr>
            <w:tcW w:w="3325" w:type="dxa"/>
          </w:tcPr>
          <w:p w14:paraId="3C203E2D"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3BFE1ABE" w14:textId="77777777" w:rsidR="00A720EB" w:rsidRDefault="0030286B">
            <w:pPr>
              <w:pStyle w:val="TableParagraph"/>
              <w:spacing w:before="92"/>
              <w:rPr>
                <w:rFonts w:ascii="Cambria"/>
                <w:sz w:val="21"/>
              </w:rPr>
            </w:pPr>
            <w:r>
              <w:rPr>
                <w:rFonts w:ascii="Cambria"/>
                <w:color w:val="333333"/>
                <w:w w:val="110"/>
                <w:sz w:val="21"/>
              </w:rPr>
              <w:t>No</w:t>
            </w:r>
          </w:p>
        </w:tc>
      </w:tr>
      <w:tr w:rsidR="00A720EB" w14:paraId="380921BF" w14:textId="77777777">
        <w:trPr>
          <w:trHeight w:val="425"/>
        </w:trPr>
        <w:tc>
          <w:tcPr>
            <w:tcW w:w="3325" w:type="dxa"/>
          </w:tcPr>
          <w:p w14:paraId="31CCA998" w14:textId="77777777" w:rsidR="00A720EB" w:rsidRDefault="0030286B">
            <w:pPr>
              <w:pStyle w:val="TableParagraph"/>
              <w:spacing w:before="37"/>
              <w:rPr>
                <w:sz w:val="21"/>
              </w:rPr>
            </w:pPr>
            <w:r>
              <w:rPr>
                <w:color w:val="B02045"/>
                <w:sz w:val="21"/>
              </w:rPr>
              <w:t>sessions</w:t>
            </w:r>
          </w:p>
        </w:tc>
        <w:tc>
          <w:tcPr>
            <w:tcW w:w="3325" w:type="dxa"/>
          </w:tcPr>
          <w:p w14:paraId="1392E937"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060990EA" w14:textId="77777777" w:rsidR="00A720EB" w:rsidRDefault="0030286B">
            <w:pPr>
              <w:pStyle w:val="TableParagraph"/>
              <w:spacing w:before="92"/>
              <w:rPr>
                <w:rFonts w:ascii="Cambria"/>
                <w:sz w:val="21"/>
              </w:rPr>
            </w:pPr>
            <w:r>
              <w:rPr>
                <w:rFonts w:ascii="Cambria"/>
                <w:color w:val="333333"/>
                <w:w w:val="110"/>
                <w:sz w:val="21"/>
              </w:rPr>
              <w:t>No</w:t>
            </w:r>
          </w:p>
        </w:tc>
      </w:tr>
      <w:tr w:rsidR="00A720EB" w14:paraId="09B0D453" w14:textId="77777777">
        <w:trPr>
          <w:trHeight w:val="425"/>
        </w:trPr>
        <w:tc>
          <w:tcPr>
            <w:tcW w:w="3325" w:type="dxa"/>
          </w:tcPr>
          <w:p w14:paraId="516073D4" w14:textId="77777777" w:rsidR="00A720EB" w:rsidRDefault="0030286B">
            <w:pPr>
              <w:pStyle w:val="TableParagraph"/>
              <w:spacing w:before="37"/>
              <w:rPr>
                <w:sz w:val="21"/>
              </w:rPr>
            </w:pPr>
            <w:r>
              <w:rPr>
                <w:color w:val="B02045"/>
                <w:sz w:val="21"/>
              </w:rPr>
              <w:t>shutdown</w:t>
            </w:r>
          </w:p>
        </w:tc>
        <w:tc>
          <w:tcPr>
            <w:tcW w:w="3325" w:type="dxa"/>
          </w:tcPr>
          <w:p w14:paraId="7C4864E1"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0052F5EA" w14:textId="77777777" w:rsidR="00A720EB" w:rsidRDefault="0030286B">
            <w:pPr>
              <w:pStyle w:val="TableParagraph"/>
              <w:spacing w:before="92"/>
              <w:rPr>
                <w:rFonts w:ascii="Cambria"/>
                <w:sz w:val="21"/>
              </w:rPr>
            </w:pPr>
            <w:r>
              <w:rPr>
                <w:rFonts w:ascii="Cambria"/>
                <w:color w:val="333333"/>
                <w:w w:val="110"/>
                <w:sz w:val="21"/>
              </w:rPr>
              <w:t>No</w:t>
            </w:r>
          </w:p>
        </w:tc>
      </w:tr>
      <w:tr w:rsidR="00A720EB" w14:paraId="7E0689CF" w14:textId="77777777">
        <w:trPr>
          <w:trHeight w:val="425"/>
        </w:trPr>
        <w:tc>
          <w:tcPr>
            <w:tcW w:w="3325" w:type="dxa"/>
          </w:tcPr>
          <w:p w14:paraId="5FCE1E1D" w14:textId="77777777" w:rsidR="00A720EB" w:rsidRDefault="0030286B">
            <w:pPr>
              <w:pStyle w:val="TableParagraph"/>
              <w:spacing w:before="37"/>
              <w:rPr>
                <w:sz w:val="21"/>
              </w:rPr>
            </w:pPr>
            <w:r>
              <w:rPr>
                <w:color w:val="B02045"/>
                <w:sz w:val="21"/>
              </w:rPr>
              <w:t>threaddump</w:t>
            </w:r>
          </w:p>
        </w:tc>
        <w:tc>
          <w:tcPr>
            <w:tcW w:w="3325" w:type="dxa"/>
          </w:tcPr>
          <w:p w14:paraId="01661BF7" w14:textId="77777777" w:rsidR="00A720EB" w:rsidRDefault="0030286B">
            <w:pPr>
              <w:pStyle w:val="TableParagraph"/>
              <w:spacing w:before="92"/>
              <w:rPr>
                <w:rFonts w:ascii="Cambria"/>
                <w:sz w:val="21"/>
              </w:rPr>
            </w:pPr>
            <w:r>
              <w:rPr>
                <w:rFonts w:ascii="Cambria"/>
                <w:color w:val="333333"/>
                <w:w w:val="110"/>
                <w:sz w:val="21"/>
              </w:rPr>
              <w:t>Yes</w:t>
            </w:r>
          </w:p>
        </w:tc>
        <w:tc>
          <w:tcPr>
            <w:tcW w:w="3325" w:type="dxa"/>
          </w:tcPr>
          <w:p w14:paraId="454B8A54" w14:textId="77777777" w:rsidR="00A720EB" w:rsidRDefault="0030286B">
            <w:pPr>
              <w:pStyle w:val="TableParagraph"/>
              <w:spacing w:before="92"/>
              <w:rPr>
                <w:rFonts w:ascii="Cambria"/>
                <w:sz w:val="21"/>
              </w:rPr>
            </w:pPr>
            <w:r>
              <w:rPr>
                <w:rFonts w:ascii="Cambria"/>
                <w:color w:val="333333"/>
                <w:w w:val="110"/>
                <w:sz w:val="21"/>
              </w:rPr>
              <w:t>No</w:t>
            </w:r>
          </w:p>
        </w:tc>
      </w:tr>
    </w:tbl>
    <w:p w14:paraId="5BE1D8F0" w14:textId="77777777" w:rsidR="00A720EB" w:rsidRDefault="00A720EB">
      <w:pPr>
        <w:pStyle w:val="a3"/>
        <w:spacing w:before="5"/>
        <w:rPr>
          <w:sz w:val="12"/>
        </w:rPr>
      </w:pPr>
    </w:p>
    <w:p w14:paraId="024C4A14" w14:textId="77777777" w:rsidR="00A720EB" w:rsidRDefault="0030286B">
      <w:pPr>
        <w:pStyle w:val="a3"/>
        <w:spacing w:before="115"/>
        <w:ind w:left="124"/>
        <w:rPr>
          <w:rFonts w:ascii="MS Gothic"/>
        </w:rPr>
      </w:pPr>
      <w:r>
        <w:rPr>
          <w:color w:val="333333"/>
          <w:w w:val="110"/>
        </w:rPr>
        <w:t xml:space="preserve">To change which endpoints are exposed, use the following technology-specific </w:t>
      </w:r>
      <w:r>
        <w:rPr>
          <w:rFonts w:ascii="MS Gothic"/>
          <w:color w:val="B02045"/>
          <w:w w:val="110"/>
        </w:rPr>
        <w:t xml:space="preserve">include </w:t>
      </w:r>
      <w:r>
        <w:rPr>
          <w:color w:val="333333"/>
          <w:w w:val="110"/>
        </w:rPr>
        <w:t xml:space="preserve">and </w:t>
      </w:r>
      <w:r>
        <w:rPr>
          <w:rFonts w:ascii="MS Gothic"/>
          <w:color w:val="B02045"/>
          <w:w w:val="110"/>
        </w:rPr>
        <w:t>exclude</w:t>
      </w:r>
    </w:p>
    <w:p w14:paraId="43C2A168" w14:textId="77777777" w:rsidR="00A720EB" w:rsidRDefault="0030286B">
      <w:pPr>
        <w:pStyle w:val="a3"/>
        <w:spacing w:before="57"/>
        <w:ind w:left="124"/>
      </w:pPr>
      <w:r>
        <w:rPr>
          <w:color w:val="333333"/>
          <w:w w:val="110"/>
        </w:rPr>
        <w:t>properties:</w:t>
      </w:r>
    </w:p>
    <w:p w14:paraId="1CB6D8D8"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482"/>
        <w:gridCol w:w="2494"/>
      </w:tblGrid>
      <w:tr w:rsidR="00A720EB" w14:paraId="2167599C" w14:textId="77777777">
        <w:trPr>
          <w:trHeight w:val="415"/>
        </w:trPr>
        <w:tc>
          <w:tcPr>
            <w:tcW w:w="7482" w:type="dxa"/>
            <w:tcBorders>
              <w:bottom w:val="single" w:sz="12" w:space="0" w:color="DDDDDD"/>
            </w:tcBorders>
          </w:tcPr>
          <w:p w14:paraId="2DA99A94" w14:textId="77777777" w:rsidR="00A720EB" w:rsidRDefault="0030286B">
            <w:pPr>
              <w:pStyle w:val="TableParagraph"/>
              <w:spacing w:before="74"/>
              <w:rPr>
                <w:rFonts w:ascii="Palatino Linotype"/>
                <w:b/>
                <w:sz w:val="21"/>
              </w:rPr>
            </w:pPr>
            <w:r>
              <w:rPr>
                <w:rFonts w:ascii="Palatino Linotype"/>
                <w:b/>
                <w:color w:val="333333"/>
                <w:w w:val="115"/>
                <w:sz w:val="21"/>
              </w:rPr>
              <w:t>Property</w:t>
            </w:r>
          </w:p>
        </w:tc>
        <w:tc>
          <w:tcPr>
            <w:tcW w:w="2494" w:type="dxa"/>
            <w:tcBorders>
              <w:bottom w:val="single" w:sz="12" w:space="0" w:color="DDDDDD"/>
            </w:tcBorders>
          </w:tcPr>
          <w:p w14:paraId="5E9BFDE0" w14:textId="77777777" w:rsidR="00A720EB" w:rsidRDefault="0030286B">
            <w:pPr>
              <w:pStyle w:val="TableParagraph"/>
              <w:spacing w:before="74"/>
              <w:ind w:left="59"/>
              <w:rPr>
                <w:rFonts w:ascii="Palatino Linotype"/>
                <w:b/>
                <w:sz w:val="21"/>
              </w:rPr>
            </w:pPr>
            <w:r>
              <w:rPr>
                <w:rFonts w:ascii="Palatino Linotype"/>
                <w:b/>
                <w:color w:val="333333"/>
                <w:w w:val="110"/>
                <w:sz w:val="21"/>
              </w:rPr>
              <w:t>Default</w:t>
            </w:r>
          </w:p>
        </w:tc>
      </w:tr>
      <w:tr w:rsidR="00A720EB" w14:paraId="21C86747" w14:textId="77777777">
        <w:trPr>
          <w:trHeight w:val="358"/>
        </w:trPr>
        <w:tc>
          <w:tcPr>
            <w:tcW w:w="7482" w:type="dxa"/>
            <w:tcBorders>
              <w:top w:val="single" w:sz="12" w:space="0" w:color="DDDDDD"/>
            </w:tcBorders>
          </w:tcPr>
          <w:p w14:paraId="14E58A58" w14:textId="77777777" w:rsidR="00A720EB" w:rsidRDefault="0030286B">
            <w:pPr>
              <w:pStyle w:val="TableParagraph"/>
              <w:spacing w:before="30"/>
              <w:rPr>
                <w:sz w:val="21"/>
              </w:rPr>
            </w:pPr>
            <w:proofErr w:type="gramStart"/>
            <w:r>
              <w:rPr>
                <w:color w:val="B02045"/>
                <w:sz w:val="21"/>
              </w:rPr>
              <w:t>management.endpoints.jmx.exposure</w:t>
            </w:r>
            <w:proofErr w:type="gramEnd"/>
            <w:r>
              <w:rPr>
                <w:color w:val="B02045"/>
                <w:sz w:val="21"/>
              </w:rPr>
              <w:t>.exclude</w:t>
            </w:r>
          </w:p>
        </w:tc>
        <w:tc>
          <w:tcPr>
            <w:tcW w:w="2494" w:type="dxa"/>
            <w:tcBorders>
              <w:top w:val="single" w:sz="12" w:space="0" w:color="DDDDDD"/>
            </w:tcBorders>
          </w:tcPr>
          <w:p w14:paraId="44F90F2F" w14:textId="77777777" w:rsidR="00A720EB" w:rsidRDefault="00A720EB">
            <w:pPr>
              <w:pStyle w:val="TableParagraph"/>
              <w:spacing w:before="0"/>
              <w:ind w:left="0"/>
              <w:rPr>
                <w:rFonts w:ascii="Times New Roman"/>
                <w:sz w:val="20"/>
              </w:rPr>
            </w:pPr>
          </w:p>
        </w:tc>
      </w:tr>
      <w:tr w:rsidR="00A720EB" w14:paraId="15BFFCBE" w14:textId="77777777">
        <w:trPr>
          <w:trHeight w:val="368"/>
        </w:trPr>
        <w:tc>
          <w:tcPr>
            <w:tcW w:w="7482" w:type="dxa"/>
          </w:tcPr>
          <w:p w14:paraId="202EC32C" w14:textId="77777777" w:rsidR="00A720EB" w:rsidRDefault="0030286B">
            <w:pPr>
              <w:pStyle w:val="TableParagraph"/>
              <w:spacing w:before="40"/>
              <w:rPr>
                <w:sz w:val="21"/>
              </w:rPr>
            </w:pPr>
            <w:proofErr w:type="gramStart"/>
            <w:r>
              <w:rPr>
                <w:color w:val="B02045"/>
                <w:sz w:val="21"/>
              </w:rPr>
              <w:t>management.endpoints.jmx.exposure</w:t>
            </w:r>
            <w:proofErr w:type="gramEnd"/>
            <w:r>
              <w:rPr>
                <w:color w:val="B02045"/>
                <w:sz w:val="21"/>
              </w:rPr>
              <w:t>.include</w:t>
            </w:r>
          </w:p>
        </w:tc>
        <w:tc>
          <w:tcPr>
            <w:tcW w:w="2494" w:type="dxa"/>
          </w:tcPr>
          <w:p w14:paraId="3D022130" w14:textId="77777777" w:rsidR="00A720EB" w:rsidRDefault="0030286B">
            <w:pPr>
              <w:pStyle w:val="TableParagraph"/>
              <w:spacing w:before="40"/>
              <w:ind w:left="59"/>
              <w:rPr>
                <w:sz w:val="21"/>
              </w:rPr>
            </w:pPr>
            <w:r>
              <w:rPr>
                <w:color w:val="B02045"/>
                <w:sz w:val="21"/>
              </w:rPr>
              <w:t>*</w:t>
            </w:r>
          </w:p>
        </w:tc>
      </w:tr>
      <w:tr w:rsidR="00A720EB" w14:paraId="74019DC2" w14:textId="77777777">
        <w:trPr>
          <w:trHeight w:val="368"/>
        </w:trPr>
        <w:tc>
          <w:tcPr>
            <w:tcW w:w="7482" w:type="dxa"/>
          </w:tcPr>
          <w:p w14:paraId="014FB163" w14:textId="77777777" w:rsidR="00A720EB" w:rsidRDefault="0030286B">
            <w:pPr>
              <w:pStyle w:val="TableParagraph"/>
              <w:spacing w:before="40"/>
              <w:rPr>
                <w:sz w:val="21"/>
              </w:rPr>
            </w:pPr>
            <w:proofErr w:type="gramStart"/>
            <w:r>
              <w:rPr>
                <w:color w:val="B02045"/>
                <w:sz w:val="21"/>
              </w:rPr>
              <w:t>management.endpoints.web.exposure</w:t>
            </w:r>
            <w:proofErr w:type="gramEnd"/>
            <w:r>
              <w:rPr>
                <w:color w:val="B02045"/>
                <w:sz w:val="21"/>
              </w:rPr>
              <w:t>.exclude</w:t>
            </w:r>
          </w:p>
        </w:tc>
        <w:tc>
          <w:tcPr>
            <w:tcW w:w="2494" w:type="dxa"/>
          </w:tcPr>
          <w:p w14:paraId="6954C475" w14:textId="77777777" w:rsidR="00A720EB" w:rsidRDefault="00A720EB">
            <w:pPr>
              <w:pStyle w:val="TableParagraph"/>
              <w:spacing w:before="0"/>
              <w:ind w:left="0"/>
              <w:rPr>
                <w:rFonts w:ascii="Times New Roman"/>
                <w:sz w:val="20"/>
              </w:rPr>
            </w:pPr>
          </w:p>
        </w:tc>
      </w:tr>
      <w:tr w:rsidR="00A720EB" w14:paraId="10CFF87C" w14:textId="77777777">
        <w:trPr>
          <w:trHeight w:val="368"/>
        </w:trPr>
        <w:tc>
          <w:tcPr>
            <w:tcW w:w="7482" w:type="dxa"/>
          </w:tcPr>
          <w:p w14:paraId="7D0E1E4C" w14:textId="77777777" w:rsidR="00A720EB" w:rsidRDefault="0030286B">
            <w:pPr>
              <w:pStyle w:val="TableParagraph"/>
              <w:spacing w:before="40"/>
              <w:rPr>
                <w:sz w:val="21"/>
              </w:rPr>
            </w:pPr>
            <w:proofErr w:type="gramStart"/>
            <w:r>
              <w:rPr>
                <w:color w:val="B02045"/>
                <w:sz w:val="21"/>
              </w:rPr>
              <w:t>management.endpoints.web.exposure</w:t>
            </w:r>
            <w:proofErr w:type="gramEnd"/>
            <w:r>
              <w:rPr>
                <w:color w:val="B02045"/>
                <w:sz w:val="21"/>
              </w:rPr>
              <w:t>.include</w:t>
            </w:r>
          </w:p>
        </w:tc>
        <w:tc>
          <w:tcPr>
            <w:tcW w:w="2494" w:type="dxa"/>
          </w:tcPr>
          <w:p w14:paraId="21AD4F82" w14:textId="77777777" w:rsidR="00A720EB" w:rsidRDefault="0030286B">
            <w:pPr>
              <w:pStyle w:val="TableParagraph"/>
              <w:spacing w:before="40"/>
              <w:ind w:left="59"/>
              <w:rPr>
                <w:sz w:val="21"/>
              </w:rPr>
            </w:pPr>
            <w:r>
              <w:rPr>
                <w:color w:val="B02045"/>
                <w:sz w:val="21"/>
              </w:rPr>
              <w:t>info, health</w:t>
            </w:r>
          </w:p>
        </w:tc>
      </w:tr>
    </w:tbl>
    <w:p w14:paraId="157C60C0" w14:textId="77777777" w:rsidR="00A720EB" w:rsidRDefault="00A720EB">
      <w:pPr>
        <w:pStyle w:val="a3"/>
        <w:spacing w:before="6"/>
        <w:rPr>
          <w:sz w:val="22"/>
        </w:rPr>
      </w:pPr>
    </w:p>
    <w:p w14:paraId="5F9865F6" w14:textId="77777777" w:rsidR="00A720EB" w:rsidRDefault="0030286B">
      <w:pPr>
        <w:pStyle w:val="a3"/>
        <w:spacing w:line="280" w:lineRule="auto"/>
        <w:ind w:left="124" w:right="124"/>
        <w:jc w:val="both"/>
      </w:pPr>
      <w:r>
        <w:rPr>
          <w:color w:val="333333"/>
          <w:w w:val="110"/>
        </w:rPr>
        <w:t xml:space="preserve">The </w:t>
      </w:r>
      <w:r>
        <w:rPr>
          <w:rFonts w:ascii="MS Gothic"/>
          <w:color w:val="B02045"/>
          <w:w w:val="110"/>
        </w:rPr>
        <w:t xml:space="preserve">include </w:t>
      </w:r>
      <w:r>
        <w:rPr>
          <w:color w:val="333333"/>
          <w:w w:val="110"/>
        </w:rPr>
        <w:t xml:space="preserve">property lists the IDs of the endpoints that are exposed. The </w:t>
      </w:r>
      <w:r>
        <w:rPr>
          <w:rFonts w:ascii="MS Gothic"/>
          <w:color w:val="B02045"/>
          <w:w w:val="110"/>
        </w:rPr>
        <w:t xml:space="preserve">exclude </w:t>
      </w:r>
      <w:r>
        <w:rPr>
          <w:color w:val="333333"/>
          <w:w w:val="110"/>
        </w:rPr>
        <w:t xml:space="preserve">property lists the IDs of the endpoints that should not be exposed. The </w:t>
      </w:r>
      <w:r>
        <w:rPr>
          <w:rFonts w:ascii="MS Gothic"/>
          <w:color w:val="B02045"/>
          <w:w w:val="110"/>
        </w:rPr>
        <w:t xml:space="preserve">exclude </w:t>
      </w:r>
      <w:r>
        <w:rPr>
          <w:color w:val="333333"/>
          <w:w w:val="110"/>
        </w:rPr>
        <w:t xml:space="preserve">property takes precedence over the </w:t>
      </w:r>
      <w:r>
        <w:rPr>
          <w:rFonts w:ascii="MS Gothic"/>
          <w:color w:val="B02045"/>
          <w:w w:val="110"/>
        </w:rPr>
        <w:t>include</w:t>
      </w:r>
      <w:r>
        <w:rPr>
          <w:rFonts w:ascii="MS Gothic"/>
          <w:color w:val="B02045"/>
          <w:spacing w:val="-72"/>
          <w:w w:val="110"/>
        </w:rPr>
        <w:t xml:space="preserve"> </w:t>
      </w:r>
      <w:r>
        <w:rPr>
          <w:color w:val="333333"/>
          <w:spacing w:val="-3"/>
          <w:w w:val="110"/>
        </w:rPr>
        <w:t xml:space="preserve">property. </w:t>
      </w:r>
      <w:r>
        <w:rPr>
          <w:color w:val="333333"/>
          <w:w w:val="110"/>
        </w:rPr>
        <w:t xml:space="preserve">Both </w:t>
      </w:r>
      <w:r>
        <w:rPr>
          <w:rFonts w:ascii="MS Gothic"/>
          <w:color w:val="B02045"/>
          <w:w w:val="110"/>
        </w:rPr>
        <w:t>include</w:t>
      </w:r>
      <w:r>
        <w:rPr>
          <w:rFonts w:ascii="MS Gothic"/>
          <w:color w:val="B02045"/>
          <w:spacing w:val="-71"/>
          <w:w w:val="110"/>
        </w:rPr>
        <w:t xml:space="preserve"> </w:t>
      </w:r>
      <w:r>
        <w:rPr>
          <w:color w:val="333333"/>
          <w:w w:val="110"/>
        </w:rPr>
        <w:t xml:space="preserve">and </w:t>
      </w:r>
      <w:r>
        <w:rPr>
          <w:rFonts w:ascii="MS Gothic"/>
          <w:color w:val="B02045"/>
          <w:w w:val="110"/>
        </w:rPr>
        <w:t>exclude</w:t>
      </w:r>
      <w:r>
        <w:rPr>
          <w:rFonts w:ascii="MS Gothic"/>
          <w:color w:val="B02045"/>
          <w:spacing w:val="-71"/>
          <w:w w:val="110"/>
        </w:rPr>
        <w:t xml:space="preserve"> </w:t>
      </w:r>
      <w:r>
        <w:rPr>
          <w:color w:val="333333"/>
          <w:w w:val="110"/>
        </w:rPr>
        <w:t>properties can be configured with a list of endpoint IDs.</w:t>
      </w:r>
    </w:p>
    <w:p w14:paraId="748C81C1" w14:textId="77777777" w:rsidR="00A720EB" w:rsidRDefault="0030286B">
      <w:pPr>
        <w:pStyle w:val="a3"/>
        <w:spacing w:before="242"/>
        <w:ind w:left="124"/>
        <w:rPr>
          <w:rFonts w:ascii="MS Gothic"/>
        </w:rPr>
      </w:pPr>
      <w:r>
        <w:rPr>
          <w:color w:val="333333"/>
          <w:w w:val="110"/>
        </w:rPr>
        <w:t xml:space="preserve">For example, to stop exposing all endpoints over JMX and only expose the </w:t>
      </w:r>
      <w:r>
        <w:rPr>
          <w:rFonts w:ascii="MS Gothic"/>
          <w:color w:val="B02045"/>
          <w:w w:val="110"/>
        </w:rPr>
        <w:t xml:space="preserve">health </w:t>
      </w:r>
      <w:r>
        <w:rPr>
          <w:color w:val="333333"/>
          <w:w w:val="110"/>
        </w:rPr>
        <w:t xml:space="preserve">and </w:t>
      </w:r>
      <w:r>
        <w:rPr>
          <w:rFonts w:ascii="MS Gothic"/>
          <w:color w:val="B02045"/>
          <w:w w:val="110"/>
        </w:rPr>
        <w:t>info</w:t>
      </w:r>
    </w:p>
    <w:p w14:paraId="4D5ABED3" w14:textId="77777777" w:rsidR="00A720EB" w:rsidRDefault="0030286B">
      <w:pPr>
        <w:pStyle w:val="a3"/>
        <w:spacing w:before="57"/>
        <w:ind w:left="124"/>
      </w:pPr>
      <w:r>
        <w:rPr>
          <w:color w:val="333333"/>
          <w:w w:val="110"/>
        </w:rPr>
        <w:t>endpoints, use the following property:</w:t>
      </w:r>
    </w:p>
    <w:p w14:paraId="2D578C48" w14:textId="77777777" w:rsidR="00A720EB" w:rsidRDefault="00E10349">
      <w:pPr>
        <w:pStyle w:val="a3"/>
        <w:rPr>
          <w:sz w:val="19"/>
        </w:rPr>
      </w:pPr>
      <w:r>
        <w:pict w14:anchorId="43C5E8BB">
          <v:group id="_x0000_s3325" style="position:absolute;margin-left:47.85pt;margin-top:13.1pt;width:499.55pt;height:37.5pt;z-index:-15266304;mso-wrap-distance-left:0;mso-wrap-distance-right:0;mso-position-horizontal-relative:page" coordorigin="957,262" coordsize="9991,750">
            <v:shape id="_x0000_s3328" style="position:absolute;left:964;top:269;width:9976;height:735" coordorigin="965,270" coordsize="9976,735" path="m10861,270r-9816,l1014,276r-26,17l971,319r-6,31l965,925r6,31l988,981r26,17l1045,1005r9816,l10892,998r25,-17l10935,956r6,-31l10941,350r-6,-31l10917,293r-25,-17l10861,270xe" fillcolor="#f5f5f5" stroked="f">
              <v:path arrowok="t"/>
            </v:shape>
            <v:shape id="_x0000_s3327" style="position:absolute;left:964;top:269;width:9976;height:735" coordorigin="965,270" coordsize="9976,735" path="m1045,270r9816,l10892,276r25,17l10935,319r6,31l10941,925r-6,31l10917,981r-25,17l10861,1005r-9816,l1014,998,988,981,971,956r-6,-31l965,350r6,-31l988,293r26,-17l1045,270xe" filled="f" strokecolor="#ccc">
              <v:path arrowok="t"/>
            </v:shape>
            <v:shape id="_x0000_s3326" type="#_x0000_t202" style="position:absolute;left:984;top:285;width:9938;height:704" filled="f" stroked="f">
              <v:textbox inset="0,0,0,0">
                <w:txbxContent>
                  <w:p w14:paraId="7F52F93F" w14:textId="77777777" w:rsidR="00711A16" w:rsidRDefault="00711A16">
                    <w:pPr>
                      <w:spacing w:before="221"/>
                      <w:ind w:left="200"/>
                      <w:rPr>
                        <w:rFonts w:ascii="MS Gothic"/>
                      </w:rPr>
                    </w:pPr>
                    <w:proofErr w:type="gramStart"/>
                    <w:r>
                      <w:rPr>
                        <w:rFonts w:ascii="MS Gothic"/>
                        <w:color w:val="333333"/>
                      </w:rPr>
                      <w:t>management.endpoints.jmx.exposure</w:t>
                    </w:r>
                    <w:proofErr w:type="gramEnd"/>
                    <w:r>
                      <w:rPr>
                        <w:rFonts w:ascii="MS Gothic"/>
                        <w:color w:val="333333"/>
                      </w:rPr>
                      <w:t>.include=health,info</w:t>
                    </w:r>
                  </w:p>
                </w:txbxContent>
              </v:textbox>
            </v:shape>
            <w10:wrap type="topAndBottom" anchorx="page"/>
          </v:group>
        </w:pict>
      </w:r>
    </w:p>
    <w:p w14:paraId="12AD61A7" w14:textId="77777777" w:rsidR="00A720EB" w:rsidRDefault="00A720EB">
      <w:pPr>
        <w:rPr>
          <w:sz w:val="19"/>
        </w:rPr>
        <w:sectPr w:rsidR="00A720EB">
          <w:pgSz w:w="11910" w:h="16840"/>
          <w:pgMar w:top="700" w:right="840" w:bottom="520" w:left="840" w:header="0" w:footer="323" w:gutter="0"/>
          <w:cols w:space="720"/>
        </w:sectPr>
      </w:pPr>
    </w:p>
    <w:p w14:paraId="2087FFB0" w14:textId="77777777" w:rsidR="00A720EB" w:rsidRDefault="0030286B">
      <w:pPr>
        <w:pStyle w:val="a3"/>
        <w:spacing w:before="96"/>
        <w:ind w:left="124"/>
        <w:rPr>
          <w:rFonts w:ascii="MS Gothic"/>
        </w:rPr>
      </w:pPr>
      <w:r>
        <w:rPr>
          <w:rFonts w:ascii="MS Gothic"/>
          <w:color w:val="B02045"/>
          <w:w w:val="110"/>
        </w:rPr>
        <w:lastRenderedPageBreak/>
        <w:t xml:space="preserve">* </w:t>
      </w:r>
      <w:r>
        <w:rPr>
          <w:color w:val="333333"/>
          <w:w w:val="110"/>
        </w:rPr>
        <w:t xml:space="preserve">can be used to select all endpoints. For example, to expose everything over HTTP except the </w:t>
      </w:r>
      <w:r>
        <w:rPr>
          <w:rFonts w:ascii="MS Gothic"/>
          <w:color w:val="B02045"/>
          <w:w w:val="110"/>
        </w:rPr>
        <w:t>env</w:t>
      </w:r>
    </w:p>
    <w:p w14:paraId="1C68C95F" w14:textId="77777777" w:rsidR="00A720EB" w:rsidRDefault="0030286B">
      <w:pPr>
        <w:pStyle w:val="a3"/>
        <w:spacing w:before="47"/>
        <w:ind w:left="124"/>
      </w:pPr>
      <w:r>
        <w:rPr>
          <w:color w:val="333333"/>
          <w:w w:val="110"/>
        </w:rPr>
        <w:t xml:space="preserve">and </w:t>
      </w:r>
      <w:r>
        <w:rPr>
          <w:rFonts w:ascii="MS Gothic"/>
          <w:color w:val="B02045"/>
          <w:w w:val="110"/>
        </w:rPr>
        <w:t xml:space="preserve">beans </w:t>
      </w:r>
      <w:r>
        <w:rPr>
          <w:color w:val="333333"/>
          <w:w w:val="110"/>
        </w:rPr>
        <w:t>endpoints, use the following properties:</w:t>
      </w:r>
    </w:p>
    <w:p w14:paraId="7B021175" w14:textId="77777777" w:rsidR="00A720EB" w:rsidRDefault="00E10349">
      <w:pPr>
        <w:pStyle w:val="a3"/>
        <w:spacing w:before="10"/>
        <w:rPr>
          <w:sz w:val="17"/>
        </w:rPr>
      </w:pPr>
      <w:r>
        <w:pict w14:anchorId="1A7E1FFC">
          <v:group id="_x0000_s3321" style="position:absolute;margin-left:47.85pt;margin-top:12.5pt;width:499.55pt;height:52.25pt;z-index:-15265792;mso-wrap-distance-left:0;mso-wrap-distance-right:0;mso-position-horizontal-relative:page" coordorigin="957,250" coordsize="9991,1045">
            <v:shape id="_x0000_s3324" style="position:absolute;left:964;top:257;width:9976;height:1030" coordorigin="965,257" coordsize="9976,1030" path="m10861,257r-9816,l1014,264r-26,17l971,306r-6,31l965,1207r6,31l988,1263r26,18l1045,1287r9816,l10892,1281r25,-18l10935,1238r6,-31l10941,337r-6,-31l10917,281r-25,-17l10861,257xe" fillcolor="#f5f5f5" stroked="f">
              <v:path arrowok="t"/>
            </v:shape>
            <v:shape id="_x0000_s3323" style="position:absolute;left:964;top:257;width:9976;height:1030" coordorigin="965,257" coordsize="9976,1030" path="m1045,257r9816,l10892,264r25,17l10935,306r6,31l10941,1207r-6,31l10917,1263r-25,18l10861,1287r-9816,l1014,1281r-26,-18l971,1238r-6,-31l965,337r6,-31l988,281r26,-17l1045,257xe" filled="f" strokecolor="#ccc">
              <v:path arrowok="t"/>
            </v:shape>
            <v:shape id="_x0000_s3322" type="#_x0000_t202" style="position:absolute;left:984;top:272;width:9938;height:999" filled="f" stroked="f">
              <v:textbox inset="0,0,0,0">
                <w:txbxContent>
                  <w:p w14:paraId="45DB6A6A" w14:textId="77777777" w:rsidR="00711A16" w:rsidRDefault="00711A16">
                    <w:pPr>
                      <w:spacing w:before="221" w:line="252" w:lineRule="auto"/>
                      <w:ind w:left="200" w:right="4108"/>
                      <w:rPr>
                        <w:rFonts w:ascii="MS Gothic"/>
                      </w:rPr>
                    </w:pPr>
                    <w:proofErr w:type="gramStart"/>
                    <w:r>
                      <w:rPr>
                        <w:rFonts w:ascii="MS Gothic"/>
                        <w:color w:val="333333"/>
                      </w:rPr>
                      <w:t>management.endpoints.web.exposure</w:t>
                    </w:r>
                    <w:proofErr w:type="gramEnd"/>
                    <w:r>
                      <w:rPr>
                        <w:rFonts w:ascii="MS Gothic"/>
                        <w:color w:val="333333"/>
                      </w:rPr>
                      <w:t>.include=* management.endpoints.web.exposure.exclude=env,beans</w:t>
                    </w:r>
                  </w:p>
                </w:txbxContent>
              </v:textbox>
            </v:shape>
            <w10:wrap type="topAndBottom" anchorx="page"/>
          </v:group>
        </w:pict>
      </w:r>
    </w:p>
    <w:p w14:paraId="1964AE71" w14:textId="77777777" w:rsidR="00A720EB" w:rsidRDefault="00A720EB">
      <w:pPr>
        <w:pStyle w:val="a3"/>
        <w:spacing w:before="8"/>
        <w:rPr>
          <w:sz w:val="16"/>
        </w:rPr>
      </w:pPr>
    </w:p>
    <w:p w14:paraId="4684DF1F" w14:textId="77777777" w:rsidR="00A720EB" w:rsidRDefault="00E10349">
      <w:pPr>
        <w:pStyle w:val="a3"/>
        <w:spacing w:before="116" w:line="290" w:lineRule="auto"/>
        <w:ind w:left="1564" w:right="462"/>
      </w:pPr>
      <w:r>
        <w:pict w14:anchorId="739DB60C">
          <v:line id="_x0000_s3320" style="position:absolute;left:0;text-align:left;z-index:16193536;mso-position-horizontal-relative:page" from="108.25pt,.35pt" to="108.25pt,147.6pt" strokecolor="#ededed" strokeweight=".5pt">
            <w10:wrap anchorx="page"/>
          </v:line>
        </w:pict>
      </w:r>
      <w:r w:rsidR="0030286B">
        <w:rPr>
          <w:rFonts w:ascii="MS Gothic"/>
          <w:color w:val="B02045"/>
          <w:w w:val="110"/>
        </w:rPr>
        <w:t xml:space="preserve">* </w:t>
      </w:r>
      <w:r w:rsidR="0030286B">
        <w:rPr>
          <w:color w:val="333333"/>
          <w:w w:val="110"/>
        </w:rPr>
        <w:t xml:space="preserve">has a special meaning in </w:t>
      </w:r>
      <w:proofErr w:type="gramStart"/>
      <w:r w:rsidR="0030286B">
        <w:rPr>
          <w:color w:val="333333"/>
          <w:spacing w:val="-4"/>
          <w:w w:val="110"/>
        </w:rPr>
        <w:t xml:space="preserve">YAML,  </w:t>
      </w:r>
      <w:r w:rsidR="0030286B">
        <w:rPr>
          <w:color w:val="333333"/>
          <w:w w:val="110"/>
        </w:rPr>
        <w:t>so</w:t>
      </w:r>
      <w:proofErr w:type="gramEnd"/>
      <w:r w:rsidR="0030286B">
        <w:rPr>
          <w:color w:val="333333"/>
          <w:w w:val="110"/>
        </w:rPr>
        <w:t xml:space="preserve"> be sure to add quotes if you want to include  (or exclude) all endpoints, as shown in the following</w:t>
      </w:r>
      <w:r w:rsidR="0030286B">
        <w:rPr>
          <w:color w:val="333333"/>
          <w:spacing w:val="33"/>
          <w:w w:val="110"/>
        </w:rPr>
        <w:t xml:space="preserve"> </w:t>
      </w:r>
      <w:r w:rsidR="0030286B">
        <w:rPr>
          <w:color w:val="333333"/>
          <w:w w:val="110"/>
        </w:rPr>
        <w:t>example:</w:t>
      </w:r>
    </w:p>
    <w:p w14:paraId="72707955" w14:textId="77777777" w:rsidR="00A720EB" w:rsidRDefault="0030286B">
      <w:pPr>
        <w:pStyle w:val="a3"/>
        <w:spacing w:before="8"/>
        <w:rPr>
          <w:sz w:val="14"/>
        </w:rPr>
      </w:pPr>
      <w:r>
        <w:rPr>
          <w:noProof/>
        </w:rPr>
        <w:drawing>
          <wp:anchor distT="0" distB="0" distL="0" distR="0" simplePos="0" relativeHeight="905" behindDoc="0" locked="0" layoutInCell="1" allowOverlap="1" wp14:anchorId="045DF0B6" wp14:editId="22E81D75">
            <wp:simplePos x="0" y="0"/>
            <wp:positionH relativeFrom="page">
              <wp:posOffset>844422</wp:posOffset>
            </wp:positionH>
            <wp:positionV relativeFrom="paragraph">
              <wp:posOffset>321029</wp:posOffset>
            </wp:positionV>
            <wp:extent cx="295465" cy="295465"/>
            <wp:effectExtent l="0" t="0" r="0" b="0"/>
            <wp:wrapTopAndBottom/>
            <wp:docPr id="5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1.png"/>
                    <pic:cNvPicPr/>
                  </pic:nvPicPr>
                  <pic:blipFill>
                    <a:blip r:embed="rId24" cstate="print"/>
                    <a:stretch>
                      <a:fillRect/>
                    </a:stretch>
                  </pic:blipFill>
                  <pic:spPr>
                    <a:xfrm>
                      <a:off x="0" y="0"/>
                      <a:ext cx="295465" cy="295465"/>
                    </a:xfrm>
                    <a:prstGeom prst="rect">
                      <a:avLst/>
                    </a:prstGeom>
                  </pic:spPr>
                </pic:pic>
              </a:graphicData>
            </a:graphic>
          </wp:anchor>
        </w:drawing>
      </w:r>
      <w:r w:rsidR="00E10349">
        <w:pict w14:anchorId="3DBED2D8">
          <v:group id="_x0000_s3316" style="position:absolute;margin-left:119.85pt;margin-top:10.6pt;width:415.55pt;height:96.45pt;z-index:-15264768;mso-wrap-distance-left:0;mso-wrap-distance-right:0;mso-position-horizontal-relative:page;mso-position-vertical-relative:text" coordorigin="2397,212" coordsize="8311,1929">
            <v:shape id="_x0000_s3319" style="position:absolute;left:2404;top:219;width:8296;height:1914" coordorigin="2405,219" coordsize="8296,1914" path="m10621,219r-8136,l2454,225r-26,18l2411,268r-6,31l2405,2053r6,31l2428,2110r26,17l2485,2133r8136,l10652,2127r25,-17l10695,2084r6,-31l10701,299r-6,-31l10677,243r-25,-18l10621,219xe" fillcolor="#f5f5f5" stroked="f">
              <v:path arrowok="t"/>
            </v:shape>
            <v:shape id="_x0000_s3318" style="position:absolute;left:2404;top:219;width:8296;height:1914" coordorigin="2405,219" coordsize="8296,1914" path="m2485,219r8136,l10652,225r25,18l10695,268r6,31l10701,2053r-6,31l10677,2110r-25,17l10621,2133r-8136,l2454,2127r-26,-17l2411,2084r-6,-31l2405,299r6,-31l2428,243r26,-18l2485,219xe" filled="f" strokecolor="#ccc">
              <v:path arrowok="t"/>
            </v:shape>
            <v:shape id="_x0000_s3317" type="#_x0000_t202" style="position:absolute;left:2424;top:234;width:8258;height:1884" filled="f" stroked="f">
              <v:textbox inset="0,0,0,0">
                <w:txbxContent>
                  <w:p w14:paraId="271435D2" w14:textId="77777777" w:rsidR="00711A16" w:rsidRDefault="00711A16">
                    <w:pPr>
                      <w:spacing w:before="221" w:line="252" w:lineRule="auto"/>
                      <w:ind w:left="420" w:right="6718" w:hanging="220"/>
                      <w:rPr>
                        <w:rFonts w:ascii="MS Gothic"/>
                      </w:rPr>
                    </w:pPr>
                    <w:r>
                      <w:rPr>
                        <w:rFonts w:ascii="MS Gothic"/>
                        <w:color w:val="333333"/>
                      </w:rPr>
                      <w:t>management: endpoints:</w:t>
                    </w:r>
                  </w:p>
                  <w:p w14:paraId="4D618F4E" w14:textId="77777777" w:rsidR="00711A16" w:rsidRDefault="00711A16">
                    <w:pPr>
                      <w:spacing w:line="280" w:lineRule="exact"/>
                      <w:ind w:left="640"/>
                      <w:rPr>
                        <w:rFonts w:ascii="MS Gothic"/>
                      </w:rPr>
                    </w:pPr>
                    <w:r>
                      <w:rPr>
                        <w:rFonts w:ascii="MS Gothic"/>
                        <w:color w:val="333333"/>
                      </w:rPr>
                      <w:t>web:</w:t>
                    </w:r>
                  </w:p>
                  <w:p w14:paraId="32C39142" w14:textId="77777777" w:rsidR="00711A16" w:rsidRDefault="00711A16">
                    <w:pPr>
                      <w:spacing w:before="13" w:line="252" w:lineRule="auto"/>
                      <w:ind w:left="1080" w:right="5838" w:hanging="220"/>
                      <w:rPr>
                        <w:rFonts w:ascii="MS Gothic"/>
                      </w:rPr>
                    </w:pPr>
                    <w:r>
                      <w:rPr>
                        <w:rFonts w:ascii="MS Gothic"/>
                        <w:color w:val="333333"/>
                      </w:rPr>
                      <w:t>exposure: include: "*"</w:t>
                    </w:r>
                  </w:p>
                </w:txbxContent>
              </v:textbox>
            </v:shape>
            <w10:wrap type="topAndBottom" anchorx="page"/>
          </v:group>
        </w:pict>
      </w:r>
    </w:p>
    <w:p w14:paraId="5FEBA03F" w14:textId="77777777" w:rsidR="00A720EB" w:rsidRDefault="00A720EB">
      <w:pPr>
        <w:pStyle w:val="a3"/>
        <w:spacing w:before="8"/>
        <w:rPr>
          <w:sz w:val="23"/>
        </w:rPr>
      </w:pPr>
    </w:p>
    <w:p w14:paraId="6D6F8027" w14:textId="77777777" w:rsidR="00A720EB" w:rsidRDefault="00E10349">
      <w:pPr>
        <w:pStyle w:val="a3"/>
        <w:spacing w:before="125" w:line="307" w:lineRule="auto"/>
        <w:ind w:left="1564" w:right="462"/>
      </w:pPr>
      <w:r>
        <w:pict w14:anchorId="5CAB6AEE">
          <v:line id="_x0000_s3315" style="position:absolute;left:0;text-align:left;z-index:16194048;mso-position-horizontal-relative:page" from="108.25pt,.25pt" to="108.25pt,39.8pt" strokecolor="#ededed" strokeweight=".5pt">
            <w10:wrap anchorx="page"/>
          </v:line>
        </w:pict>
      </w:r>
      <w:r w:rsidR="0030286B">
        <w:rPr>
          <w:noProof/>
        </w:rPr>
        <w:drawing>
          <wp:anchor distT="0" distB="0" distL="0" distR="0" simplePos="0" relativeHeight="16194560" behindDoc="0" locked="0" layoutInCell="1" allowOverlap="1" wp14:anchorId="37320AB9" wp14:editId="15D22204">
            <wp:simplePos x="0" y="0"/>
            <wp:positionH relativeFrom="page">
              <wp:posOffset>844422</wp:posOffset>
            </wp:positionH>
            <wp:positionV relativeFrom="paragraph">
              <wp:posOffset>105321</wp:posOffset>
            </wp:positionV>
            <wp:extent cx="298450" cy="298450"/>
            <wp:effectExtent l="0" t="0" r="0" b="0"/>
            <wp:wrapNone/>
            <wp:docPr id="5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your application is exposed </w:t>
      </w:r>
      <w:r w:rsidR="0030286B">
        <w:rPr>
          <w:color w:val="333333"/>
          <w:spacing w:val="-3"/>
          <w:w w:val="110"/>
        </w:rPr>
        <w:t xml:space="preserve">publicly, </w:t>
      </w:r>
      <w:r w:rsidR="0030286B">
        <w:rPr>
          <w:color w:val="333333"/>
          <w:w w:val="110"/>
        </w:rPr>
        <w:t xml:space="preserve">we strongly recommend that </w:t>
      </w:r>
      <w:proofErr w:type="gramStart"/>
      <w:r w:rsidR="0030286B">
        <w:rPr>
          <w:color w:val="333333"/>
          <w:w w:val="110"/>
        </w:rPr>
        <w:t>you  also</w:t>
      </w:r>
      <w:proofErr w:type="gramEnd"/>
      <w:r w:rsidR="0030286B">
        <w:rPr>
          <w:color w:val="333333"/>
          <w:w w:val="110"/>
        </w:rPr>
        <w:t xml:space="preserve">  </w:t>
      </w:r>
      <w:hyperlink w:anchor="_bookmark383" w:history="1">
        <w:r w:rsidR="0030286B">
          <w:rPr>
            <w:color w:val="418BCA"/>
            <w:w w:val="110"/>
          </w:rPr>
          <w:t>secure your</w:t>
        </w:r>
        <w:r w:rsidR="0030286B">
          <w:rPr>
            <w:color w:val="418BCA"/>
            <w:spacing w:val="5"/>
            <w:w w:val="110"/>
          </w:rPr>
          <w:t xml:space="preserve"> </w:t>
        </w:r>
        <w:r w:rsidR="0030286B">
          <w:rPr>
            <w:color w:val="418BCA"/>
            <w:w w:val="110"/>
          </w:rPr>
          <w:t>endpoints</w:t>
        </w:r>
      </w:hyperlink>
      <w:r w:rsidR="0030286B">
        <w:rPr>
          <w:color w:val="333333"/>
          <w:w w:val="110"/>
        </w:rPr>
        <w:t>.</w:t>
      </w:r>
    </w:p>
    <w:p w14:paraId="69944E41" w14:textId="77777777" w:rsidR="00A720EB" w:rsidRDefault="00A720EB">
      <w:pPr>
        <w:pStyle w:val="a3"/>
        <w:spacing w:before="2"/>
        <w:rPr>
          <w:sz w:val="34"/>
        </w:rPr>
      </w:pPr>
    </w:p>
    <w:p w14:paraId="798AF7A4" w14:textId="77777777" w:rsidR="00A720EB" w:rsidRDefault="00E10349">
      <w:pPr>
        <w:pStyle w:val="a3"/>
        <w:spacing w:line="297" w:lineRule="auto"/>
        <w:ind w:left="1564" w:right="462"/>
      </w:pPr>
      <w:r>
        <w:pict w14:anchorId="396FBFE1">
          <v:line id="_x0000_s3314" style="position:absolute;left:0;text-align:left;z-index:16195072;mso-position-horizontal-relative:page" from="108.25pt,-6pt" to="108.25pt,33.55pt" strokecolor="#ededed" strokeweight=".5pt">
            <w10:wrap anchorx="page"/>
          </v:line>
        </w:pict>
      </w:r>
      <w:r w:rsidR="0030286B">
        <w:rPr>
          <w:noProof/>
        </w:rPr>
        <w:drawing>
          <wp:anchor distT="0" distB="0" distL="0" distR="0" simplePos="0" relativeHeight="16195584" behindDoc="0" locked="0" layoutInCell="1" allowOverlap="1" wp14:anchorId="0F20FF12" wp14:editId="7FE61154">
            <wp:simplePos x="0" y="0"/>
            <wp:positionH relativeFrom="page">
              <wp:posOffset>888949</wp:posOffset>
            </wp:positionH>
            <wp:positionV relativeFrom="paragraph">
              <wp:posOffset>22771</wp:posOffset>
            </wp:positionV>
            <wp:extent cx="209550" cy="304800"/>
            <wp:effectExtent l="0" t="0" r="0" b="0"/>
            <wp:wrapNone/>
            <wp:docPr id="57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26.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want to implement your own strategy for when endpoints are exposed, you can register an </w:t>
      </w:r>
      <w:r w:rsidR="0030286B">
        <w:rPr>
          <w:rFonts w:ascii="MS Gothic"/>
          <w:color w:val="B02045"/>
          <w:w w:val="110"/>
        </w:rPr>
        <w:t>EndpointFilter</w:t>
      </w:r>
      <w:r w:rsidR="0030286B">
        <w:rPr>
          <w:rFonts w:ascii="MS Gothic"/>
          <w:color w:val="B02045"/>
          <w:spacing w:val="-57"/>
          <w:w w:val="110"/>
        </w:rPr>
        <w:t xml:space="preserve"> </w:t>
      </w:r>
      <w:r w:rsidR="0030286B">
        <w:rPr>
          <w:color w:val="333333"/>
          <w:w w:val="110"/>
        </w:rPr>
        <w:t>bean.</w:t>
      </w:r>
    </w:p>
    <w:p w14:paraId="634B3B39" w14:textId="77777777" w:rsidR="00A720EB" w:rsidRDefault="00A720EB">
      <w:pPr>
        <w:pStyle w:val="a3"/>
        <w:spacing w:before="10"/>
        <w:rPr>
          <w:sz w:val="22"/>
        </w:rPr>
      </w:pPr>
    </w:p>
    <w:p w14:paraId="582BE23B" w14:textId="77777777" w:rsidR="00A720EB" w:rsidRDefault="0030286B">
      <w:pPr>
        <w:pStyle w:val="3"/>
        <w:numPr>
          <w:ilvl w:val="2"/>
          <w:numId w:val="24"/>
        </w:numPr>
        <w:tabs>
          <w:tab w:val="left" w:pos="858"/>
        </w:tabs>
        <w:spacing w:before="105"/>
        <w:ind w:hanging="734"/>
      </w:pPr>
      <w:bookmarkStart w:id="561" w:name="5.2.3._Securing_HTTP_Endpoints"/>
      <w:bookmarkStart w:id="562" w:name="_Toc54423840"/>
      <w:bookmarkEnd w:id="561"/>
      <w:r>
        <w:rPr>
          <w:color w:val="333333"/>
          <w:w w:val="110"/>
        </w:rPr>
        <w:t>Securing HTTP</w:t>
      </w:r>
      <w:r>
        <w:rPr>
          <w:color w:val="333333"/>
          <w:spacing w:val="-14"/>
          <w:w w:val="110"/>
        </w:rPr>
        <w:t xml:space="preserve"> </w:t>
      </w:r>
      <w:r>
        <w:rPr>
          <w:color w:val="333333"/>
          <w:w w:val="110"/>
        </w:rPr>
        <w:t>Endpoints</w:t>
      </w:r>
      <w:bookmarkEnd w:id="562"/>
    </w:p>
    <w:p w14:paraId="2692DA2F" w14:textId="77777777" w:rsidR="00A720EB" w:rsidRDefault="0030286B">
      <w:pPr>
        <w:pStyle w:val="a3"/>
        <w:spacing w:before="254" w:line="304" w:lineRule="auto"/>
        <w:ind w:left="124" w:right="125"/>
        <w:jc w:val="both"/>
      </w:pPr>
      <w:r>
        <w:rPr>
          <w:color w:val="333333"/>
          <w:spacing w:val="-6"/>
          <w:w w:val="110"/>
        </w:rPr>
        <w:t xml:space="preserve">You </w:t>
      </w:r>
      <w:r>
        <w:rPr>
          <w:color w:val="333333"/>
          <w:w w:val="110"/>
        </w:rPr>
        <w:t xml:space="preserve">should take care to secure HTTP endpoints in the same way that you would any other sensitive URL. If Spring Security is present, endpoints are secured </w:t>
      </w:r>
      <w:r>
        <w:rPr>
          <w:color w:val="333333"/>
          <w:spacing w:val="-3"/>
          <w:w w:val="110"/>
        </w:rPr>
        <w:t xml:space="preserve">by </w:t>
      </w:r>
      <w:r>
        <w:rPr>
          <w:color w:val="333333"/>
          <w:w w:val="110"/>
        </w:rPr>
        <w:t xml:space="preserve">default using Spring Security’s content- negotiation </w:t>
      </w:r>
      <w:r>
        <w:rPr>
          <w:color w:val="333333"/>
          <w:spacing w:val="-4"/>
          <w:w w:val="110"/>
        </w:rPr>
        <w:t xml:space="preserve">strategy. </w:t>
      </w:r>
      <w:r>
        <w:rPr>
          <w:color w:val="333333"/>
          <w:w w:val="110"/>
        </w:rPr>
        <w:t xml:space="preserve">If you wish to configure custom security for HTTP endpoints, for example, only allow users with a certain role to access them, Spring Boot provides </w:t>
      </w:r>
      <w:proofErr w:type="gramStart"/>
      <w:r>
        <w:rPr>
          <w:color w:val="333333"/>
          <w:w w:val="110"/>
        </w:rPr>
        <w:t>some  convenient</w:t>
      </w:r>
      <w:proofErr w:type="gramEnd"/>
      <w:r>
        <w:rPr>
          <w:color w:val="333333"/>
          <w:w w:val="110"/>
        </w:rPr>
        <w:t xml:space="preserve">  </w:t>
      </w:r>
      <w:r>
        <w:rPr>
          <w:rFonts w:ascii="MS Gothic" w:hAnsi="MS Gothic"/>
          <w:color w:val="B02045"/>
          <w:w w:val="110"/>
        </w:rPr>
        <w:t>RequestMatcher</w:t>
      </w:r>
      <w:r>
        <w:rPr>
          <w:rFonts w:ascii="MS Gothic" w:hAnsi="MS Gothic"/>
          <w:color w:val="B02045"/>
          <w:spacing w:val="-54"/>
          <w:w w:val="110"/>
        </w:rPr>
        <w:t xml:space="preserve"> </w:t>
      </w:r>
      <w:r>
        <w:rPr>
          <w:color w:val="333333"/>
          <w:w w:val="110"/>
        </w:rPr>
        <w:t xml:space="preserve">objects that can be used in combination with Spring </w:t>
      </w:r>
      <w:r>
        <w:rPr>
          <w:color w:val="333333"/>
          <w:spacing w:val="-3"/>
          <w:w w:val="110"/>
        </w:rPr>
        <w:t>Security.</w:t>
      </w:r>
    </w:p>
    <w:p w14:paraId="6AC9145D" w14:textId="77777777" w:rsidR="00A720EB" w:rsidRDefault="0030286B">
      <w:pPr>
        <w:pStyle w:val="a3"/>
        <w:spacing w:before="226"/>
        <w:ind w:left="124"/>
        <w:jc w:val="both"/>
      </w:pPr>
      <w:r>
        <w:rPr>
          <w:color w:val="333333"/>
          <w:w w:val="110"/>
        </w:rPr>
        <w:t>A typical Spring Security configuration might look something like the following example:</w:t>
      </w:r>
    </w:p>
    <w:p w14:paraId="3F1F2514" w14:textId="77777777" w:rsidR="00A720EB" w:rsidRDefault="00E10349">
      <w:pPr>
        <w:pStyle w:val="a3"/>
        <w:rPr>
          <w:sz w:val="19"/>
        </w:rPr>
      </w:pPr>
      <w:r>
        <w:pict w14:anchorId="3833C1C5">
          <v:group id="_x0000_s3310" style="position:absolute;margin-left:47.85pt;margin-top:13.1pt;width:499.55pt;height:199.65pt;z-index:-15264256;mso-wrap-distance-left:0;mso-wrap-distance-right:0;mso-position-horizontal-relative:page" coordorigin="957,262" coordsize="9991,3993">
            <v:shape id="_x0000_s3313" style="position:absolute;left:964;top:269;width:9976;height:3978" coordorigin="965,270" coordsize="9976,3978" path="m10861,270r-9816,l1014,276r-26,17l971,319r-6,31l965,4167r6,32l988,4224r26,17l1045,4247r9816,l10892,4241r25,-17l10935,4199r6,-32l10941,350r-6,-31l10917,293r-25,-17l10861,270xe" fillcolor="#f5f5f5" stroked="f">
              <v:path arrowok="t"/>
            </v:shape>
            <v:shape id="_x0000_s3312" style="position:absolute;left:964;top:269;width:9976;height:3978" coordorigin="965,270" coordsize="9976,3978" path="m1045,270r9816,l10892,276r25,17l10935,319r6,31l10941,4167r-6,32l10917,4224r-25,17l10861,4247r-9816,l1014,4241r-26,-17l971,4199r-6,-32l965,350r6,-31l988,293r26,-17l1045,270xe" filled="f" strokecolor="#ccc">
              <v:path arrowok="t"/>
            </v:shape>
            <v:shape id="_x0000_s3311" type="#_x0000_t202" style="position:absolute;left:984;top:285;width:9938;height:3947" filled="f" stroked="f">
              <v:textbox inset="0,0,0,0">
                <w:txbxContent>
                  <w:p w14:paraId="3C05E8E7"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w:t>
                    </w:r>
                  </w:p>
                  <w:p w14:paraId="49C4CBD2" w14:textId="77777777" w:rsidR="00711A16" w:rsidRDefault="00711A16">
                    <w:pPr>
                      <w:spacing w:before="13"/>
                      <w:ind w:left="200"/>
                      <w:rPr>
                        <w:rFonts w:ascii="MS Gothic"/>
                      </w:rPr>
                    </w:pPr>
                    <w:r>
                      <w:rPr>
                        <w:rFonts w:ascii="MS Gothic"/>
                        <w:color w:val="333333"/>
                      </w:rPr>
                      <w:t>public class ActuatorSecurity extends WebSecurityConfigurerAdapter {</w:t>
                    </w:r>
                  </w:p>
                  <w:p w14:paraId="1DCC1254" w14:textId="77777777" w:rsidR="00711A16" w:rsidRDefault="00711A16">
                    <w:pPr>
                      <w:rPr>
                        <w:rFonts w:ascii="MS Gothic"/>
                        <w:sz w:val="24"/>
                      </w:rPr>
                    </w:pPr>
                  </w:p>
                  <w:p w14:paraId="38E7EE97" w14:textId="77777777" w:rsidR="00711A16" w:rsidRDefault="00711A16">
                    <w:pPr>
                      <w:ind w:left="640"/>
                      <w:rPr>
                        <w:rFonts w:ascii="MS Gothic"/>
                      </w:rPr>
                    </w:pPr>
                    <w:r>
                      <w:rPr>
                        <w:rFonts w:ascii="MS Gothic"/>
                        <w:color w:val="333333"/>
                      </w:rPr>
                      <w:t>@Override</w:t>
                    </w:r>
                  </w:p>
                  <w:p w14:paraId="34B8FB09" w14:textId="77777777" w:rsidR="00711A16" w:rsidRDefault="00711A16">
                    <w:pPr>
                      <w:spacing w:before="13"/>
                      <w:ind w:left="640"/>
                      <w:rPr>
                        <w:rFonts w:ascii="MS Gothic"/>
                      </w:rPr>
                    </w:pPr>
                    <w:r>
                      <w:rPr>
                        <w:rFonts w:ascii="MS Gothic"/>
                        <w:color w:val="333333"/>
                      </w:rPr>
                      <w:t xml:space="preserve">protected void </w:t>
                    </w:r>
                    <w:proofErr w:type="gramStart"/>
                    <w:r>
                      <w:rPr>
                        <w:rFonts w:ascii="MS Gothic"/>
                        <w:color w:val="333333"/>
                      </w:rPr>
                      <w:t>configure(</w:t>
                    </w:r>
                    <w:proofErr w:type="gramEnd"/>
                    <w:r>
                      <w:rPr>
                        <w:rFonts w:ascii="MS Gothic"/>
                        <w:color w:val="333333"/>
                      </w:rPr>
                      <w:t>HttpSecurity http) throws Exception {</w:t>
                    </w:r>
                  </w:p>
                  <w:p w14:paraId="37835C7D" w14:textId="77777777" w:rsidR="00711A16" w:rsidRDefault="00711A16">
                    <w:pPr>
                      <w:rPr>
                        <w:rFonts w:ascii="MS Gothic"/>
                        <w:sz w:val="24"/>
                      </w:rPr>
                    </w:pPr>
                  </w:p>
                  <w:p w14:paraId="4580078B" w14:textId="77777777" w:rsidR="00711A16" w:rsidRDefault="00711A16">
                    <w:pPr>
                      <w:spacing w:line="252" w:lineRule="auto"/>
                      <w:ind w:left="1960" w:hanging="1760"/>
                      <w:rPr>
                        <w:rFonts w:ascii="MS Gothic"/>
                      </w:rPr>
                    </w:pPr>
                    <w:proofErr w:type="gramStart"/>
                    <w:r>
                      <w:rPr>
                        <w:rFonts w:ascii="MS Gothic"/>
                        <w:color w:val="333333"/>
                      </w:rPr>
                      <w:t>http.requestMatcher</w:t>
                    </w:r>
                    <w:proofErr w:type="gramEnd"/>
                    <w:r>
                      <w:rPr>
                        <w:rFonts w:ascii="MS Gothic"/>
                        <w:color w:val="333333"/>
                      </w:rPr>
                      <w:t xml:space="preserve">(EndpointRequest.toAnyEndpoint()).authorizeRequests((requests) </w:t>
                    </w:r>
                    <w:r>
                      <w:rPr>
                        <w:rFonts w:ascii="MS Gothic"/>
                        <w:color w:val="333333"/>
                        <w:spacing w:val="-9"/>
                      </w:rPr>
                      <w:t xml:space="preserve">-&gt; </w:t>
                    </w:r>
                    <w:r>
                      <w:rPr>
                        <w:rFonts w:ascii="MS Gothic"/>
                        <w:color w:val="333333"/>
                      </w:rPr>
                      <w:t>requests.anyRequest().hasRole("ENDPOINT_ADMIN"));</w:t>
                    </w:r>
                  </w:p>
                  <w:p w14:paraId="5BAE3B0F" w14:textId="77777777" w:rsidR="00711A16" w:rsidRDefault="00711A16">
                    <w:pPr>
                      <w:spacing w:line="280" w:lineRule="exact"/>
                      <w:ind w:left="1080"/>
                      <w:rPr>
                        <w:rFonts w:ascii="MS Gothic"/>
                      </w:rPr>
                    </w:pPr>
                    <w:proofErr w:type="gramStart"/>
                    <w:r>
                      <w:rPr>
                        <w:rFonts w:ascii="MS Gothic"/>
                        <w:color w:val="333333"/>
                      </w:rPr>
                      <w:t>http.httpBasic</w:t>
                    </w:r>
                    <w:proofErr w:type="gramEnd"/>
                    <w:r>
                      <w:rPr>
                        <w:rFonts w:ascii="MS Gothic"/>
                        <w:color w:val="333333"/>
                      </w:rPr>
                      <w:t>();</w:t>
                    </w:r>
                  </w:p>
                  <w:p w14:paraId="461C86F1" w14:textId="77777777" w:rsidR="00711A16" w:rsidRDefault="00711A16">
                    <w:pPr>
                      <w:spacing w:before="13"/>
                      <w:ind w:left="640"/>
                      <w:rPr>
                        <w:rFonts w:ascii="MS Gothic"/>
                      </w:rPr>
                    </w:pPr>
                    <w:r>
                      <w:rPr>
                        <w:rFonts w:ascii="MS Gothic"/>
                        <w:color w:val="333333"/>
                      </w:rPr>
                      <w:t>}</w:t>
                    </w:r>
                  </w:p>
                  <w:p w14:paraId="4F7192E2" w14:textId="77777777" w:rsidR="00711A16" w:rsidRDefault="00711A16">
                    <w:pPr>
                      <w:rPr>
                        <w:rFonts w:ascii="MS Gothic"/>
                        <w:sz w:val="24"/>
                      </w:rPr>
                    </w:pPr>
                  </w:p>
                  <w:p w14:paraId="531CBEF1" w14:textId="77777777" w:rsidR="00711A16" w:rsidRDefault="00711A16">
                    <w:pPr>
                      <w:ind w:left="200"/>
                      <w:rPr>
                        <w:rFonts w:ascii="MS Gothic"/>
                      </w:rPr>
                    </w:pPr>
                    <w:r>
                      <w:rPr>
                        <w:rFonts w:ascii="MS Gothic"/>
                        <w:color w:val="333333"/>
                      </w:rPr>
                      <w:t>}</w:t>
                    </w:r>
                  </w:p>
                </w:txbxContent>
              </v:textbox>
            </v:shape>
            <w10:wrap type="topAndBottom" anchorx="page"/>
          </v:group>
        </w:pict>
      </w:r>
    </w:p>
    <w:p w14:paraId="28DE3C52" w14:textId="77777777" w:rsidR="00A720EB" w:rsidRDefault="00A720EB">
      <w:pPr>
        <w:pStyle w:val="a3"/>
        <w:spacing w:before="11"/>
        <w:rPr>
          <w:sz w:val="9"/>
        </w:rPr>
      </w:pPr>
    </w:p>
    <w:p w14:paraId="70BCD746" w14:textId="77777777" w:rsidR="00A720EB" w:rsidRDefault="0030286B">
      <w:pPr>
        <w:pStyle w:val="a3"/>
        <w:spacing w:before="115"/>
        <w:ind w:left="124"/>
      </w:pPr>
      <w:r>
        <w:rPr>
          <w:color w:val="333333"/>
          <w:w w:val="110"/>
        </w:rPr>
        <w:t xml:space="preserve">The preceding example uses </w:t>
      </w:r>
      <w:r>
        <w:rPr>
          <w:rFonts w:ascii="MS Gothic"/>
          <w:color w:val="B02045"/>
          <w:w w:val="110"/>
        </w:rPr>
        <w:t xml:space="preserve">EndpointRequest.toAnyEndpoint() </w:t>
      </w:r>
      <w:r>
        <w:rPr>
          <w:color w:val="333333"/>
          <w:w w:val="110"/>
        </w:rPr>
        <w:t>to match a request to any endpoint</w:t>
      </w:r>
    </w:p>
    <w:p w14:paraId="179B8F32" w14:textId="77777777" w:rsidR="00A720EB" w:rsidRDefault="00A720EB">
      <w:pPr>
        <w:sectPr w:rsidR="00A720EB">
          <w:pgSz w:w="11910" w:h="16840"/>
          <w:pgMar w:top="620" w:right="840" w:bottom="520" w:left="840" w:header="0" w:footer="323" w:gutter="0"/>
          <w:cols w:space="720"/>
        </w:sectPr>
      </w:pPr>
    </w:p>
    <w:p w14:paraId="45D120E5" w14:textId="77777777" w:rsidR="00A720EB" w:rsidRDefault="0030286B">
      <w:pPr>
        <w:pStyle w:val="a3"/>
        <w:spacing w:before="96" w:line="280" w:lineRule="auto"/>
        <w:ind w:left="124" w:right="129"/>
        <w:jc w:val="both"/>
      </w:pPr>
      <w:r>
        <w:rPr>
          <w:color w:val="333333"/>
          <w:w w:val="110"/>
        </w:rPr>
        <w:lastRenderedPageBreak/>
        <w:t xml:space="preserve">and then ensures that all have the </w:t>
      </w:r>
      <w:r>
        <w:rPr>
          <w:rFonts w:ascii="MS Gothic"/>
          <w:color w:val="B02045"/>
          <w:w w:val="110"/>
        </w:rPr>
        <w:t xml:space="preserve">ENDPOINT_ADMIN </w:t>
      </w:r>
      <w:r>
        <w:rPr>
          <w:color w:val="333333"/>
          <w:w w:val="110"/>
        </w:rPr>
        <w:t xml:space="preserve">role. Several other matcher methods are also available on </w:t>
      </w:r>
      <w:r>
        <w:rPr>
          <w:rFonts w:ascii="MS Gothic"/>
          <w:color w:val="B02045"/>
          <w:w w:val="110"/>
        </w:rPr>
        <w:t>EndpointRequest</w:t>
      </w:r>
      <w:r>
        <w:rPr>
          <w:color w:val="333333"/>
          <w:w w:val="110"/>
        </w:rPr>
        <w:t>. See the API documentation (</w:t>
      </w:r>
      <w:hyperlink r:id="rId417">
        <w:r>
          <w:rPr>
            <w:color w:val="418BCA"/>
            <w:w w:val="110"/>
          </w:rPr>
          <w:t xml:space="preserve">HTML </w:t>
        </w:r>
      </w:hyperlink>
      <w:r>
        <w:rPr>
          <w:color w:val="333333"/>
          <w:w w:val="110"/>
        </w:rPr>
        <w:t xml:space="preserve">or </w:t>
      </w:r>
      <w:hyperlink r:id="rId418">
        <w:r>
          <w:rPr>
            <w:color w:val="418BCA"/>
            <w:w w:val="110"/>
          </w:rPr>
          <w:t>PDF</w:t>
        </w:r>
      </w:hyperlink>
      <w:r>
        <w:rPr>
          <w:color w:val="333333"/>
          <w:w w:val="110"/>
        </w:rPr>
        <w:t>) for details.</w:t>
      </w:r>
    </w:p>
    <w:p w14:paraId="02E7BFB8" w14:textId="77777777" w:rsidR="00A720EB" w:rsidRDefault="00A720EB">
      <w:pPr>
        <w:pStyle w:val="a3"/>
        <w:spacing w:before="6"/>
      </w:pPr>
    </w:p>
    <w:p w14:paraId="0FB2B71C" w14:textId="77777777" w:rsidR="00A720EB" w:rsidRDefault="0030286B">
      <w:pPr>
        <w:pStyle w:val="a3"/>
        <w:spacing w:line="302" w:lineRule="auto"/>
        <w:ind w:left="124" w:right="132"/>
        <w:jc w:val="both"/>
      </w:pPr>
      <w:r>
        <w:rPr>
          <w:color w:val="333333"/>
          <w:w w:val="110"/>
        </w:rPr>
        <w:t xml:space="preserve">If you deploy applications behind a firewall, you may prefer that all your actuator endpoints can be accessed without requiring authentication. </w:t>
      </w:r>
      <w:r>
        <w:rPr>
          <w:color w:val="333333"/>
          <w:spacing w:val="-6"/>
          <w:w w:val="110"/>
        </w:rPr>
        <w:t xml:space="preserve">You </w:t>
      </w:r>
      <w:r>
        <w:rPr>
          <w:color w:val="333333"/>
          <w:w w:val="110"/>
        </w:rPr>
        <w:t xml:space="preserve">can do so </w:t>
      </w:r>
      <w:r>
        <w:rPr>
          <w:color w:val="333333"/>
          <w:spacing w:val="-3"/>
          <w:w w:val="110"/>
        </w:rPr>
        <w:t xml:space="preserve">by </w:t>
      </w:r>
      <w:r>
        <w:rPr>
          <w:color w:val="333333"/>
          <w:w w:val="110"/>
        </w:rPr>
        <w:t xml:space="preserve">changing the </w:t>
      </w:r>
      <w:proofErr w:type="gramStart"/>
      <w:r>
        <w:rPr>
          <w:rFonts w:ascii="MS Gothic"/>
          <w:color w:val="B02045"/>
          <w:w w:val="110"/>
        </w:rPr>
        <w:t>management.endpoints.web.exposure</w:t>
      </w:r>
      <w:proofErr w:type="gramEnd"/>
      <w:r>
        <w:rPr>
          <w:rFonts w:ascii="MS Gothic"/>
          <w:color w:val="B02045"/>
          <w:w w:val="110"/>
        </w:rPr>
        <w:t>.include</w:t>
      </w:r>
      <w:r>
        <w:rPr>
          <w:rFonts w:ascii="MS Gothic"/>
          <w:color w:val="B02045"/>
          <w:spacing w:val="-71"/>
          <w:w w:val="110"/>
        </w:rPr>
        <w:t xml:space="preserve"> </w:t>
      </w:r>
      <w:r>
        <w:rPr>
          <w:color w:val="333333"/>
          <w:spacing w:val="-3"/>
          <w:w w:val="110"/>
        </w:rPr>
        <w:t xml:space="preserve">property, </w:t>
      </w:r>
      <w:r>
        <w:rPr>
          <w:color w:val="333333"/>
          <w:w w:val="110"/>
        </w:rPr>
        <w:t>as follows:</w:t>
      </w:r>
    </w:p>
    <w:p w14:paraId="562768AB" w14:textId="77777777" w:rsidR="00A720EB" w:rsidRDefault="00E10349">
      <w:pPr>
        <w:spacing w:before="205"/>
        <w:ind w:left="124"/>
        <w:rPr>
          <w:rFonts w:ascii="Palatino Linotype"/>
          <w:i/>
          <w:sz w:val="20"/>
        </w:rPr>
      </w:pPr>
      <w:r>
        <w:pict w14:anchorId="349D7EF4">
          <v:group id="_x0000_s3306" style="position:absolute;left:0;text-align:left;margin-left:47.85pt;margin-top:28pt;width:499.55pt;height:37.5pt;z-index:-15261184;mso-wrap-distance-left:0;mso-wrap-distance-right:0;mso-position-horizontal-relative:page" coordorigin="957,560" coordsize="9991,750">
            <v:shape id="_x0000_s3309" style="position:absolute;left:964;top:567;width:9976;height:735" coordorigin="965,567" coordsize="9976,735" path="m10861,567r-9816,l1014,574r-26,17l971,616r-6,31l965,1222r6,31l988,1279r26,17l1045,1302r9816,l10892,1296r25,-17l10935,1253r6,-31l10941,647r-6,-31l10917,591r-25,-17l10861,567xe" fillcolor="#f5f5f5" stroked="f">
              <v:path arrowok="t"/>
            </v:shape>
            <v:shape id="_x0000_s3308" style="position:absolute;left:964;top:567;width:9976;height:735" coordorigin="965,567" coordsize="9976,735" path="m1045,567r9816,l10892,574r25,17l10935,616r6,31l10941,1222r-6,31l10917,1279r-25,17l10861,1302r-9816,l1014,1296r-26,-17l971,1253r-6,-31l965,647r6,-31l988,591r26,-17l1045,567xe" filled="f" strokecolor="#ccc">
              <v:path arrowok="t"/>
            </v:shape>
            <v:shape id="_x0000_s3307" type="#_x0000_t202" style="position:absolute;left:984;top:582;width:9938;height:704" filled="f" stroked="f">
              <v:textbox inset="0,0,0,0">
                <w:txbxContent>
                  <w:p w14:paraId="7F663477" w14:textId="77777777" w:rsidR="00711A16" w:rsidRDefault="00711A16">
                    <w:pPr>
                      <w:spacing w:before="221"/>
                      <w:ind w:left="200"/>
                      <w:rPr>
                        <w:rFonts w:ascii="MS Gothic"/>
                      </w:rPr>
                    </w:pPr>
                    <w:proofErr w:type="gramStart"/>
                    <w:r>
                      <w:rPr>
                        <w:rFonts w:ascii="MS Gothic"/>
                        <w:color w:val="333333"/>
                      </w:rPr>
                      <w:t>management.endpoints.web.exposure</w:t>
                    </w:r>
                    <w:proofErr w:type="gramEnd"/>
                    <w:r>
                      <w:rPr>
                        <w:rFonts w:ascii="MS Gothic"/>
                        <w:color w:val="333333"/>
                      </w:rPr>
                      <w:t>.include=*</w:t>
                    </w:r>
                  </w:p>
                </w:txbxContent>
              </v:textbox>
            </v:shape>
            <w10:wrap type="topAndBottom" anchorx="page"/>
          </v:group>
        </w:pict>
      </w:r>
      <w:proofErr w:type="gramStart"/>
      <w:r w:rsidR="0030286B">
        <w:rPr>
          <w:rFonts w:ascii="Palatino Linotype"/>
          <w:i/>
          <w:color w:val="333333"/>
          <w:w w:val="120"/>
          <w:sz w:val="20"/>
        </w:rPr>
        <w:t>application.properties</w:t>
      </w:r>
      <w:proofErr w:type="gramEnd"/>
    </w:p>
    <w:p w14:paraId="40E73B24" w14:textId="77777777" w:rsidR="00A720EB" w:rsidRDefault="00A720EB">
      <w:pPr>
        <w:pStyle w:val="a3"/>
        <w:spacing w:before="9"/>
        <w:rPr>
          <w:rFonts w:ascii="Palatino Linotype"/>
          <w:i/>
          <w:sz w:val="8"/>
        </w:rPr>
      </w:pPr>
    </w:p>
    <w:p w14:paraId="01D4B7D0" w14:textId="77777777" w:rsidR="00A720EB" w:rsidRDefault="0030286B">
      <w:pPr>
        <w:pStyle w:val="a3"/>
        <w:spacing w:before="126" w:line="307" w:lineRule="auto"/>
        <w:ind w:left="124"/>
      </w:pPr>
      <w:r>
        <w:rPr>
          <w:color w:val="333333"/>
          <w:w w:val="110"/>
        </w:rPr>
        <w:t>Additionally, if Spring Security is present, you would need to add custom security configuration that allows unauthenticated access to the endpoints as shown in the following example:</w:t>
      </w:r>
    </w:p>
    <w:p w14:paraId="589C50F9" w14:textId="77777777" w:rsidR="00A720EB" w:rsidRDefault="00E10349">
      <w:pPr>
        <w:pStyle w:val="a3"/>
        <w:spacing w:before="1"/>
        <w:rPr>
          <w:sz w:val="13"/>
        </w:rPr>
      </w:pPr>
      <w:r>
        <w:pict w14:anchorId="191C2F0F">
          <v:group id="_x0000_s3302" style="position:absolute;margin-left:47.85pt;margin-top:9.7pt;width:499.55pt;height:184.9pt;z-index:-15260672;mso-wrap-distance-left:0;mso-wrap-distance-right:0;mso-position-horizontal-relative:page" coordorigin="957,194" coordsize="9991,3698">
            <v:shape id="_x0000_s3305" style="position:absolute;left:964;top:201;width:9976;height:3683" coordorigin="965,201" coordsize="9976,3683" path="m10861,201r-9816,l1014,207r-26,17l971,250r-6,31l965,3804r6,31l988,3860r26,18l1045,3884r9816,l10892,3878r25,-18l10935,3835r6,-31l10941,281r-6,-31l10917,224r-25,-17l10861,201xe" fillcolor="#f5f5f5" stroked="f">
              <v:path arrowok="t"/>
            </v:shape>
            <v:shape id="_x0000_s3304" style="position:absolute;left:964;top:201;width:9976;height:3683" coordorigin="965,201" coordsize="9976,3683" path="m1045,201r9816,l10892,207r25,17l10935,250r6,31l10941,3804r-6,31l10917,3860r-25,18l10861,3884r-9816,l1014,3878r-26,-18l971,3835r-6,-31l965,281r6,-31l988,224r26,-17l1045,201xe" filled="f" strokecolor="#ccc">
              <v:path arrowok="t"/>
            </v:shape>
            <v:shape id="_x0000_s3303" type="#_x0000_t202" style="position:absolute;left:984;top:216;width:9938;height:3652" filled="f" stroked="f">
              <v:textbox inset="0,0,0,0">
                <w:txbxContent>
                  <w:p w14:paraId="5254F4B1"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w:t>
                    </w:r>
                  </w:p>
                  <w:p w14:paraId="203C08DD" w14:textId="77777777" w:rsidR="00711A16" w:rsidRDefault="00711A16">
                    <w:pPr>
                      <w:spacing w:before="13"/>
                      <w:ind w:left="200"/>
                      <w:rPr>
                        <w:rFonts w:ascii="MS Gothic"/>
                      </w:rPr>
                    </w:pPr>
                    <w:r>
                      <w:rPr>
                        <w:rFonts w:ascii="MS Gothic"/>
                        <w:color w:val="333333"/>
                      </w:rPr>
                      <w:t>public class ActuatorSecurity extends WebSecurityConfigurerAdapter {</w:t>
                    </w:r>
                  </w:p>
                  <w:p w14:paraId="3A2CC29A" w14:textId="77777777" w:rsidR="00711A16" w:rsidRDefault="00711A16">
                    <w:pPr>
                      <w:rPr>
                        <w:rFonts w:ascii="MS Gothic"/>
                        <w:sz w:val="24"/>
                      </w:rPr>
                    </w:pPr>
                  </w:p>
                  <w:p w14:paraId="62327040" w14:textId="77777777" w:rsidR="00711A16" w:rsidRDefault="00711A16">
                    <w:pPr>
                      <w:ind w:left="640"/>
                      <w:rPr>
                        <w:rFonts w:ascii="MS Gothic"/>
                      </w:rPr>
                    </w:pPr>
                    <w:r>
                      <w:rPr>
                        <w:rFonts w:ascii="MS Gothic"/>
                        <w:color w:val="333333"/>
                      </w:rPr>
                      <w:t>@Override</w:t>
                    </w:r>
                  </w:p>
                  <w:p w14:paraId="44092D14" w14:textId="77777777" w:rsidR="00711A16" w:rsidRDefault="00711A16">
                    <w:pPr>
                      <w:spacing w:before="13"/>
                      <w:ind w:left="640"/>
                      <w:rPr>
                        <w:rFonts w:ascii="MS Gothic"/>
                      </w:rPr>
                    </w:pPr>
                    <w:r>
                      <w:rPr>
                        <w:rFonts w:ascii="MS Gothic"/>
                        <w:color w:val="333333"/>
                      </w:rPr>
                      <w:t xml:space="preserve">protected void </w:t>
                    </w:r>
                    <w:proofErr w:type="gramStart"/>
                    <w:r>
                      <w:rPr>
                        <w:rFonts w:ascii="MS Gothic"/>
                        <w:color w:val="333333"/>
                      </w:rPr>
                      <w:t>configure(</w:t>
                    </w:r>
                    <w:proofErr w:type="gramEnd"/>
                    <w:r>
                      <w:rPr>
                        <w:rFonts w:ascii="MS Gothic"/>
                        <w:color w:val="333333"/>
                      </w:rPr>
                      <w:t>HttpSecurity http) throws Exception {</w:t>
                    </w:r>
                  </w:p>
                  <w:p w14:paraId="2F132C56" w14:textId="77777777" w:rsidR="00711A16" w:rsidRDefault="00711A16">
                    <w:pPr>
                      <w:rPr>
                        <w:rFonts w:ascii="MS Gothic"/>
                        <w:sz w:val="24"/>
                      </w:rPr>
                    </w:pPr>
                  </w:p>
                  <w:p w14:paraId="0D98B171" w14:textId="77777777" w:rsidR="00711A16" w:rsidRDefault="00711A16">
                    <w:pPr>
                      <w:spacing w:line="252" w:lineRule="auto"/>
                      <w:ind w:left="1520" w:right="478" w:hanging="1320"/>
                      <w:rPr>
                        <w:rFonts w:ascii="MS Gothic"/>
                      </w:rPr>
                    </w:pPr>
                    <w:proofErr w:type="gramStart"/>
                    <w:r>
                      <w:rPr>
                        <w:rFonts w:ascii="MS Gothic"/>
                        <w:color w:val="333333"/>
                      </w:rPr>
                      <w:t>http.requestMatcher</w:t>
                    </w:r>
                    <w:proofErr w:type="gramEnd"/>
                    <w:r>
                      <w:rPr>
                        <w:rFonts w:ascii="MS Gothic"/>
                        <w:color w:val="333333"/>
                      </w:rPr>
                      <w:t>(EndpointRequest.toAnyEndpoint()).authorizeRequests((requests) -&gt; requests.anyRequest().permitAll());</w:t>
                    </w:r>
                  </w:p>
                  <w:p w14:paraId="35DBF97E" w14:textId="77777777" w:rsidR="00711A16" w:rsidRDefault="00711A16">
                    <w:pPr>
                      <w:spacing w:line="280" w:lineRule="exact"/>
                      <w:ind w:left="640"/>
                      <w:rPr>
                        <w:rFonts w:ascii="MS Gothic"/>
                      </w:rPr>
                    </w:pPr>
                    <w:r>
                      <w:rPr>
                        <w:rFonts w:ascii="MS Gothic"/>
                        <w:color w:val="333333"/>
                      </w:rPr>
                      <w:t>}</w:t>
                    </w:r>
                  </w:p>
                  <w:p w14:paraId="52FF2E83" w14:textId="77777777" w:rsidR="00711A16" w:rsidRDefault="00711A16">
                    <w:pPr>
                      <w:rPr>
                        <w:rFonts w:ascii="MS Gothic"/>
                        <w:sz w:val="24"/>
                      </w:rPr>
                    </w:pPr>
                  </w:p>
                  <w:p w14:paraId="22A84C55" w14:textId="77777777" w:rsidR="00711A16" w:rsidRDefault="00711A16">
                    <w:pPr>
                      <w:ind w:left="200"/>
                      <w:rPr>
                        <w:rFonts w:ascii="MS Gothic"/>
                      </w:rPr>
                    </w:pPr>
                    <w:r>
                      <w:rPr>
                        <w:rFonts w:ascii="MS Gothic"/>
                        <w:color w:val="333333"/>
                      </w:rPr>
                      <w:t>}</w:t>
                    </w:r>
                  </w:p>
                </w:txbxContent>
              </v:textbox>
            </v:shape>
            <w10:wrap type="topAndBottom" anchorx="page"/>
          </v:group>
        </w:pict>
      </w:r>
    </w:p>
    <w:p w14:paraId="7FDB32F4" w14:textId="77777777" w:rsidR="00A720EB" w:rsidRDefault="00A720EB">
      <w:pPr>
        <w:pStyle w:val="a3"/>
        <w:spacing w:before="11"/>
        <w:rPr>
          <w:sz w:val="16"/>
        </w:rPr>
      </w:pPr>
    </w:p>
    <w:p w14:paraId="173EAAF6" w14:textId="77777777" w:rsidR="00A720EB" w:rsidRDefault="0030286B">
      <w:pPr>
        <w:pStyle w:val="3"/>
        <w:numPr>
          <w:ilvl w:val="2"/>
          <w:numId w:val="24"/>
        </w:numPr>
        <w:tabs>
          <w:tab w:val="left" w:pos="858"/>
        </w:tabs>
        <w:spacing w:before="105"/>
        <w:ind w:hanging="734"/>
      </w:pPr>
      <w:bookmarkStart w:id="563" w:name="5.2.4._Configuring_Endpoints"/>
      <w:bookmarkStart w:id="564" w:name="_Toc54423841"/>
      <w:bookmarkEnd w:id="563"/>
      <w:r>
        <w:rPr>
          <w:color w:val="333333"/>
          <w:w w:val="110"/>
        </w:rPr>
        <w:t>Configuring</w:t>
      </w:r>
      <w:r>
        <w:rPr>
          <w:color w:val="333333"/>
          <w:spacing w:val="-7"/>
          <w:w w:val="110"/>
        </w:rPr>
        <w:t xml:space="preserve"> </w:t>
      </w:r>
      <w:r>
        <w:rPr>
          <w:color w:val="333333"/>
          <w:w w:val="110"/>
        </w:rPr>
        <w:t>Endpoints</w:t>
      </w:r>
      <w:bookmarkEnd w:id="564"/>
    </w:p>
    <w:p w14:paraId="5A315DA2" w14:textId="77777777" w:rsidR="00A720EB" w:rsidRDefault="0030286B">
      <w:pPr>
        <w:pStyle w:val="a3"/>
        <w:spacing w:before="254" w:line="290" w:lineRule="auto"/>
        <w:ind w:left="124" w:right="122"/>
        <w:jc w:val="both"/>
      </w:pPr>
      <w:r>
        <w:rPr>
          <w:color w:val="333333"/>
          <w:w w:val="110"/>
        </w:rPr>
        <w:t xml:space="preserve">Endpoints automatically cache responses to read operations that do not take any parameters. To configure the amount of time for which an endpoint will cache a response, use its </w:t>
      </w:r>
      <w:proofErr w:type="gramStart"/>
      <w:r>
        <w:rPr>
          <w:rFonts w:ascii="MS Gothic" w:hAnsi="MS Gothic"/>
          <w:color w:val="B02045"/>
          <w:w w:val="110"/>
        </w:rPr>
        <w:t>cache.time</w:t>
      </w:r>
      <w:proofErr w:type="gramEnd"/>
      <w:r>
        <w:rPr>
          <w:rFonts w:ascii="MS Gothic" w:hAnsi="MS Gothic"/>
          <w:color w:val="B02045"/>
          <w:w w:val="110"/>
        </w:rPr>
        <w:t xml:space="preserve">-to- live </w:t>
      </w:r>
      <w:r>
        <w:rPr>
          <w:color w:val="333333"/>
          <w:w w:val="110"/>
        </w:rPr>
        <w:t xml:space="preserve">property. The following example sets the time-to-live of the </w:t>
      </w:r>
      <w:r>
        <w:rPr>
          <w:rFonts w:ascii="MS Gothic" w:hAnsi="MS Gothic"/>
          <w:color w:val="B02045"/>
          <w:w w:val="110"/>
        </w:rPr>
        <w:t xml:space="preserve">beans </w:t>
      </w:r>
      <w:r>
        <w:rPr>
          <w:color w:val="333333"/>
          <w:w w:val="110"/>
        </w:rPr>
        <w:t>endpoint’s cache to 10 seconds:</w:t>
      </w:r>
    </w:p>
    <w:p w14:paraId="32E1E785" w14:textId="77777777" w:rsidR="00A720EB" w:rsidRDefault="00E10349">
      <w:pPr>
        <w:spacing w:before="233"/>
        <w:ind w:left="124"/>
        <w:rPr>
          <w:rFonts w:ascii="Palatino Linotype"/>
          <w:i/>
          <w:sz w:val="20"/>
        </w:rPr>
      </w:pPr>
      <w:r>
        <w:pict w14:anchorId="694612CF">
          <v:group id="_x0000_s3298" style="position:absolute;left:0;text-align:left;margin-left:47.85pt;margin-top:29.4pt;width:499.55pt;height:37.5pt;z-index:-15260160;mso-wrap-distance-left:0;mso-wrap-distance-right:0;mso-position-horizontal-relative:page" coordorigin="957,588" coordsize="9991,750">
            <v:shape id="_x0000_s3301" style="position:absolute;left:964;top:595;width:9976;height:735" coordorigin="965,595" coordsize="9976,735" path="m10861,595r-9816,l1014,602r-26,17l971,644r-6,31l965,1250r6,31l988,1307r26,17l1045,1330r9816,l10892,1324r25,-17l10935,1281r6,-31l10941,675r-6,-31l10917,619r-25,-17l10861,595xe" fillcolor="#f5f5f5" stroked="f">
              <v:path arrowok="t"/>
            </v:shape>
            <v:shape id="_x0000_s3300" style="position:absolute;left:964;top:595;width:9976;height:735" coordorigin="965,595" coordsize="9976,735" path="m1045,595r9816,l10892,602r25,17l10935,644r6,31l10941,1250r-6,31l10917,1307r-25,17l10861,1330r-9816,l1014,1324r-26,-17l971,1281r-6,-31l965,675r6,-31l988,619r26,-17l1045,595xe" filled="f" strokecolor="#ccc">
              <v:path arrowok="t"/>
            </v:shape>
            <v:shape id="_x0000_s3299" type="#_x0000_t202" style="position:absolute;left:984;top:610;width:9938;height:704" filled="f" stroked="f">
              <v:textbox inset="0,0,0,0">
                <w:txbxContent>
                  <w:p w14:paraId="643210FD" w14:textId="77777777" w:rsidR="00711A16" w:rsidRDefault="00711A16">
                    <w:pPr>
                      <w:spacing w:before="221"/>
                      <w:ind w:left="200"/>
                      <w:rPr>
                        <w:rFonts w:ascii="MS Gothic"/>
                      </w:rPr>
                    </w:pPr>
                    <w:proofErr w:type="gramStart"/>
                    <w:r>
                      <w:rPr>
                        <w:rFonts w:ascii="MS Gothic"/>
                        <w:color w:val="333333"/>
                      </w:rPr>
                      <w:t>management.endpoint</w:t>
                    </w:r>
                    <w:proofErr w:type="gramEnd"/>
                    <w:r>
                      <w:rPr>
                        <w:rFonts w:ascii="MS Gothic"/>
                        <w:color w:val="333333"/>
                      </w:rPr>
                      <w:t>.beans.cache.time-to-live=10s</w:t>
                    </w:r>
                  </w:p>
                </w:txbxContent>
              </v:textbox>
            </v:shape>
            <w10:wrap type="topAndBottom" anchorx="page"/>
          </v:group>
        </w:pict>
      </w:r>
      <w:proofErr w:type="gramStart"/>
      <w:r w:rsidR="0030286B">
        <w:rPr>
          <w:rFonts w:ascii="Palatino Linotype"/>
          <w:i/>
          <w:color w:val="333333"/>
          <w:w w:val="120"/>
          <w:sz w:val="20"/>
        </w:rPr>
        <w:t>application.properties</w:t>
      </w:r>
      <w:proofErr w:type="gramEnd"/>
    </w:p>
    <w:p w14:paraId="1F7BA0BA" w14:textId="77777777" w:rsidR="00A720EB" w:rsidRDefault="00A720EB">
      <w:pPr>
        <w:pStyle w:val="a3"/>
        <w:spacing w:before="7"/>
        <w:rPr>
          <w:rFonts w:ascii="Palatino Linotype"/>
          <w:i/>
          <w:sz w:val="14"/>
        </w:rPr>
      </w:pPr>
    </w:p>
    <w:p w14:paraId="64D1B704" w14:textId="77777777" w:rsidR="00A720EB" w:rsidRDefault="00E10349">
      <w:pPr>
        <w:pStyle w:val="a3"/>
        <w:spacing w:before="116" w:line="290" w:lineRule="auto"/>
        <w:ind w:left="1564" w:right="462"/>
      </w:pPr>
      <w:r>
        <w:pict w14:anchorId="404C9087">
          <v:line id="_x0000_s3297" style="position:absolute;left:0;text-align:left;z-index:16197632;mso-position-horizontal-relative:page" from="108.25pt,.35pt" to="108.25pt,39.9pt" strokecolor="#ededed" strokeweight=".5pt">
            <w10:wrap anchorx="page"/>
          </v:line>
        </w:pict>
      </w:r>
      <w:r w:rsidR="0030286B">
        <w:rPr>
          <w:noProof/>
        </w:rPr>
        <w:drawing>
          <wp:anchor distT="0" distB="0" distL="0" distR="0" simplePos="0" relativeHeight="16198144" behindDoc="0" locked="0" layoutInCell="1" allowOverlap="1" wp14:anchorId="54515226" wp14:editId="4EC9641B">
            <wp:simplePos x="0" y="0"/>
            <wp:positionH relativeFrom="page">
              <wp:posOffset>844422</wp:posOffset>
            </wp:positionH>
            <wp:positionV relativeFrom="paragraph">
              <wp:posOffset>106248</wp:posOffset>
            </wp:positionV>
            <wp:extent cx="298450" cy="298450"/>
            <wp:effectExtent l="0" t="0" r="0" b="0"/>
            <wp:wrapNone/>
            <wp:docPr id="5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prefix </w:t>
      </w:r>
      <w:proofErr w:type="gramStart"/>
      <w:r w:rsidR="0030286B">
        <w:rPr>
          <w:rFonts w:ascii="MS Gothic"/>
          <w:color w:val="B02045"/>
          <w:w w:val="110"/>
        </w:rPr>
        <w:t>management.endpoint</w:t>
      </w:r>
      <w:proofErr w:type="gramEnd"/>
      <w:r w:rsidR="0030286B">
        <w:rPr>
          <w:rFonts w:ascii="MS Gothic"/>
          <w:color w:val="B02045"/>
          <w:w w:val="110"/>
        </w:rPr>
        <w:t xml:space="preserve">.&lt;name&gt; </w:t>
      </w:r>
      <w:r w:rsidR="0030286B">
        <w:rPr>
          <w:color w:val="333333"/>
          <w:w w:val="110"/>
        </w:rPr>
        <w:t>is used to uniquely identify the endpoint that is being configured.</w:t>
      </w:r>
    </w:p>
    <w:p w14:paraId="5C66FE2D" w14:textId="77777777" w:rsidR="00A720EB" w:rsidRDefault="00A720EB">
      <w:pPr>
        <w:pStyle w:val="a3"/>
        <w:spacing w:before="1"/>
        <w:rPr>
          <w:sz w:val="25"/>
        </w:rPr>
      </w:pPr>
    </w:p>
    <w:p w14:paraId="7631E97F" w14:textId="77777777" w:rsidR="00A720EB" w:rsidRDefault="0030286B">
      <w:pPr>
        <w:pStyle w:val="3"/>
        <w:numPr>
          <w:ilvl w:val="2"/>
          <w:numId w:val="24"/>
        </w:numPr>
        <w:tabs>
          <w:tab w:val="left" w:pos="858"/>
        </w:tabs>
        <w:spacing w:before="105"/>
        <w:ind w:hanging="734"/>
      </w:pPr>
      <w:bookmarkStart w:id="565" w:name="5.2.5._Hypermedia_for_Actuator_Web_Endpo"/>
      <w:bookmarkStart w:id="566" w:name="_Toc54423842"/>
      <w:bookmarkEnd w:id="565"/>
      <w:r>
        <w:rPr>
          <w:color w:val="333333"/>
          <w:w w:val="110"/>
        </w:rPr>
        <w:t xml:space="preserve">Hypermedia for Actuator </w:t>
      </w:r>
      <w:r>
        <w:rPr>
          <w:color w:val="333333"/>
          <w:spacing w:val="-6"/>
          <w:w w:val="110"/>
        </w:rPr>
        <w:t>Web</w:t>
      </w:r>
      <w:r>
        <w:rPr>
          <w:color w:val="333333"/>
          <w:spacing w:val="-21"/>
          <w:w w:val="110"/>
        </w:rPr>
        <w:t xml:space="preserve"> </w:t>
      </w:r>
      <w:r>
        <w:rPr>
          <w:color w:val="333333"/>
          <w:w w:val="110"/>
        </w:rPr>
        <w:t>Endpoints</w:t>
      </w:r>
      <w:bookmarkEnd w:id="566"/>
    </w:p>
    <w:p w14:paraId="73D7B594" w14:textId="77777777" w:rsidR="00A720EB" w:rsidRDefault="0030286B">
      <w:pPr>
        <w:pStyle w:val="a3"/>
        <w:spacing w:before="254"/>
        <w:ind w:left="124"/>
      </w:pPr>
      <w:r>
        <w:rPr>
          <w:color w:val="333333"/>
          <w:w w:val="110"/>
        </w:rPr>
        <w:t>A “discovery page” is added with links to all the endpoints. The “discovery page” is available on</w:t>
      </w:r>
    </w:p>
    <w:p w14:paraId="355DE621" w14:textId="77777777" w:rsidR="00A720EB" w:rsidRDefault="0030286B">
      <w:pPr>
        <w:pStyle w:val="a3"/>
        <w:spacing w:before="59"/>
        <w:ind w:left="124"/>
      </w:pPr>
      <w:r>
        <w:rPr>
          <w:rFonts w:ascii="MS Gothic"/>
          <w:color w:val="B02045"/>
          <w:w w:val="110"/>
        </w:rPr>
        <w:t>/actuator</w:t>
      </w:r>
      <w:r>
        <w:rPr>
          <w:rFonts w:ascii="MS Gothic"/>
          <w:color w:val="B02045"/>
          <w:spacing w:val="-58"/>
          <w:w w:val="110"/>
        </w:rPr>
        <w:t xml:space="preserve"> </w:t>
      </w:r>
      <w:r>
        <w:rPr>
          <w:color w:val="333333"/>
          <w:spacing w:val="-3"/>
          <w:w w:val="110"/>
        </w:rPr>
        <w:t xml:space="preserve">by </w:t>
      </w:r>
      <w:r>
        <w:rPr>
          <w:color w:val="333333"/>
          <w:w w:val="110"/>
        </w:rPr>
        <w:t>default.</w:t>
      </w:r>
    </w:p>
    <w:p w14:paraId="6E524119" w14:textId="77777777" w:rsidR="00A720EB" w:rsidRDefault="00A720EB">
      <w:pPr>
        <w:pStyle w:val="a3"/>
        <w:spacing w:before="4"/>
        <w:rPr>
          <w:sz w:val="25"/>
        </w:rPr>
      </w:pPr>
    </w:p>
    <w:p w14:paraId="6498565D" w14:textId="77777777" w:rsidR="00A720EB" w:rsidRDefault="0030286B">
      <w:pPr>
        <w:pStyle w:val="a3"/>
        <w:spacing w:line="297" w:lineRule="auto"/>
        <w:ind w:left="124"/>
      </w:pPr>
      <w:r>
        <w:rPr>
          <w:color w:val="333333"/>
          <w:w w:val="110"/>
        </w:rPr>
        <w:t xml:space="preserve">When a custom management context path is configured, the “discovery page” automatically moves from </w:t>
      </w:r>
      <w:r>
        <w:rPr>
          <w:rFonts w:ascii="MS Gothic" w:hAnsi="MS Gothic"/>
          <w:color w:val="B02045"/>
          <w:w w:val="110"/>
        </w:rPr>
        <w:t xml:space="preserve">/actuator </w:t>
      </w:r>
      <w:r>
        <w:rPr>
          <w:color w:val="333333"/>
          <w:w w:val="110"/>
        </w:rPr>
        <w:t>to the root of the management context. For example, if the management context</w:t>
      </w:r>
    </w:p>
    <w:p w14:paraId="43361869" w14:textId="77777777" w:rsidR="00A720EB" w:rsidRDefault="00A720EB">
      <w:pPr>
        <w:spacing w:line="297" w:lineRule="auto"/>
        <w:sectPr w:rsidR="00A720EB">
          <w:pgSz w:w="11910" w:h="16840"/>
          <w:pgMar w:top="620" w:right="840" w:bottom="520" w:left="840" w:header="0" w:footer="323" w:gutter="0"/>
          <w:cols w:space="720"/>
        </w:sectPr>
      </w:pPr>
    </w:p>
    <w:p w14:paraId="0D5339D5" w14:textId="77777777" w:rsidR="00A720EB" w:rsidRDefault="0030286B">
      <w:pPr>
        <w:pStyle w:val="a3"/>
        <w:spacing w:before="96" w:line="285" w:lineRule="auto"/>
        <w:ind w:left="124" w:right="124"/>
        <w:jc w:val="both"/>
      </w:pPr>
      <w:r>
        <w:rPr>
          <w:color w:val="333333"/>
          <w:w w:val="110"/>
        </w:rPr>
        <w:lastRenderedPageBreak/>
        <w:t xml:space="preserve">path is </w:t>
      </w:r>
      <w:r>
        <w:rPr>
          <w:rFonts w:ascii="MS Gothic"/>
          <w:color w:val="B02045"/>
          <w:w w:val="110"/>
        </w:rPr>
        <w:t>/management</w:t>
      </w:r>
      <w:r>
        <w:rPr>
          <w:color w:val="333333"/>
          <w:w w:val="110"/>
        </w:rPr>
        <w:t xml:space="preserve">, then the discovery page is available from </w:t>
      </w:r>
      <w:r>
        <w:rPr>
          <w:rFonts w:ascii="MS Gothic"/>
          <w:color w:val="B02045"/>
          <w:w w:val="110"/>
        </w:rPr>
        <w:t>/management</w:t>
      </w:r>
      <w:r>
        <w:rPr>
          <w:color w:val="333333"/>
          <w:w w:val="110"/>
        </w:rPr>
        <w:t xml:space="preserve">. When the management context path is set to </w:t>
      </w:r>
      <w:r>
        <w:rPr>
          <w:rFonts w:ascii="MS Gothic"/>
          <w:color w:val="B02045"/>
          <w:w w:val="110"/>
        </w:rPr>
        <w:t>/</w:t>
      </w:r>
      <w:r>
        <w:rPr>
          <w:color w:val="333333"/>
          <w:w w:val="110"/>
        </w:rPr>
        <w:t>, the discovery page is disabled to prevent the possibility of a clash with other mappings.</w:t>
      </w:r>
    </w:p>
    <w:p w14:paraId="4CDE5102" w14:textId="77777777" w:rsidR="00A720EB" w:rsidRDefault="00A720EB">
      <w:pPr>
        <w:pStyle w:val="a3"/>
        <w:spacing w:before="8"/>
        <w:rPr>
          <w:sz w:val="27"/>
        </w:rPr>
      </w:pPr>
    </w:p>
    <w:p w14:paraId="07D68F26" w14:textId="77777777" w:rsidR="00A720EB" w:rsidRDefault="0030286B">
      <w:pPr>
        <w:pStyle w:val="3"/>
        <w:numPr>
          <w:ilvl w:val="2"/>
          <w:numId w:val="24"/>
        </w:numPr>
        <w:tabs>
          <w:tab w:val="left" w:pos="858"/>
        </w:tabs>
        <w:spacing w:before="1"/>
        <w:ind w:hanging="734"/>
      </w:pPr>
      <w:bookmarkStart w:id="567" w:name="5.2.6._CORS_Support"/>
      <w:bookmarkStart w:id="568" w:name="_Toc54423843"/>
      <w:bookmarkEnd w:id="567"/>
      <w:r>
        <w:rPr>
          <w:color w:val="333333"/>
          <w:w w:val="105"/>
        </w:rPr>
        <w:t>CORS</w:t>
      </w:r>
      <w:r>
        <w:rPr>
          <w:color w:val="333333"/>
          <w:spacing w:val="-3"/>
          <w:w w:val="105"/>
        </w:rPr>
        <w:t xml:space="preserve"> </w:t>
      </w:r>
      <w:r>
        <w:rPr>
          <w:color w:val="333333"/>
          <w:w w:val="105"/>
        </w:rPr>
        <w:t>Support</w:t>
      </w:r>
      <w:bookmarkEnd w:id="568"/>
    </w:p>
    <w:p w14:paraId="4D3E5AFA" w14:textId="77777777" w:rsidR="00A720EB" w:rsidRDefault="00E10349">
      <w:pPr>
        <w:pStyle w:val="a3"/>
        <w:spacing w:before="253" w:line="307" w:lineRule="auto"/>
        <w:ind w:left="124" w:right="123"/>
        <w:jc w:val="both"/>
      </w:pPr>
      <w:hyperlink r:id="rId419">
        <w:r w:rsidR="0030286B">
          <w:rPr>
            <w:color w:val="418BCA"/>
            <w:w w:val="110"/>
          </w:rPr>
          <w:t>Cross-origin resource sharing</w:t>
        </w:r>
      </w:hyperlink>
      <w:r w:rsidR="0030286B">
        <w:rPr>
          <w:color w:val="418BCA"/>
          <w:w w:val="110"/>
        </w:rPr>
        <w:t xml:space="preserve"> </w:t>
      </w:r>
      <w:r w:rsidR="0030286B">
        <w:rPr>
          <w:color w:val="333333"/>
          <w:w w:val="110"/>
        </w:rPr>
        <w:t xml:space="preserve">(CORS) is a </w:t>
      </w:r>
      <w:hyperlink r:id="rId420">
        <w:r w:rsidR="0030286B">
          <w:rPr>
            <w:color w:val="418BCA"/>
            <w:w w:val="110"/>
          </w:rPr>
          <w:t>W3C specification</w:t>
        </w:r>
      </w:hyperlink>
      <w:r w:rsidR="0030286B">
        <w:rPr>
          <w:color w:val="418BCA"/>
          <w:w w:val="110"/>
        </w:rPr>
        <w:t xml:space="preserve"> </w:t>
      </w:r>
      <w:r w:rsidR="0030286B">
        <w:rPr>
          <w:color w:val="333333"/>
          <w:w w:val="110"/>
        </w:rPr>
        <w:t xml:space="preserve">that lets you specify in a flexible </w:t>
      </w:r>
      <w:proofErr w:type="gramStart"/>
      <w:r w:rsidR="0030286B">
        <w:rPr>
          <w:color w:val="333333"/>
          <w:w w:val="110"/>
        </w:rPr>
        <w:t>way  what</w:t>
      </w:r>
      <w:proofErr w:type="gramEnd"/>
      <w:r w:rsidR="0030286B">
        <w:rPr>
          <w:color w:val="333333"/>
          <w:w w:val="110"/>
        </w:rPr>
        <w:t xml:space="preserve"> kind of cross-domain requests are authorized. If you use Spring MVC or Spring WebFlux, Actuator’s web endpoints can be configured to support such scenarios.</w:t>
      </w:r>
    </w:p>
    <w:p w14:paraId="6C350F2C" w14:textId="77777777" w:rsidR="00A720EB" w:rsidRDefault="0030286B">
      <w:pPr>
        <w:pStyle w:val="a3"/>
        <w:spacing w:before="242" w:line="290" w:lineRule="auto"/>
        <w:ind w:left="124" w:right="127"/>
        <w:jc w:val="both"/>
      </w:pPr>
      <w:proofErr w:type="gramStart"/>
      <w:r>
        <w:rPr>
          <w:color w:val="333333"/>
          <w:w w:val="110"/>
        </w:rPr>
        <w:t>CORS  support</w:t>
      </w:r>
      <w:proofErr w:type="gramEnd"/>
      <w:r>
        <w:rPr>
          <w:color w:val="333333"/>
          <w:w w:val="110"/>
        </w:rPr>
        <w:t xml:space="preserve"> is  disabled  </w:t>
      </w:r>
      <w:r>
        <w:rPr>
          <w:color w:val="333333"/>
          <w:spacing w:val="-3"/>
          <w:w w:val="110"/>
        </w:rPr>
        <w:t xml:space="preserve">by </w:t>
      </w:r>
      <w:r>
        <w:rPr>
          <w:color w:val="333333"/>
          <w:w w:val="110"/>
        </w:rPr>
        <w:t xml:space="preserve">default  and  is  only enabled once the </w:t>
      </w:r>
      <w:r>
        <w:rPr>
          <w:rFonts w:ascii="MS Gothic"/>
          <w:color w:val="B02045"/>
          <w:w w:val="105"/>
        </w:rPr>
        <w:t xml:space="preserve">management.endpoints.web.cors.allowed-origins </w:t>
      </w:r>
      <w:r>
        <w:rPr>
          <w:color w:val="333333"/>
          <w:w w:val="105"/>
        </w:rPr>
        <w:t xml:space="preserve">property has been set. The following configuration </w:t>
      </w:r>
      <w:r>
        <w:rPr>
          <w:color w:val="333333"/>
          <w:w w:val="110"/>
        </w:rPr>
        <w:t xml:space="preserve">permits </w:t>
      </w:r>
      <w:r>
        <w:rPr>
          <w:rFonts w:ascii="MS Gothic"/>
          <w:color w:val="B02045"/>
          <w:w w:val="110"/>
        </w:rPr>
        <w:t>GET</w:t>
      </w:r>
      <w:r>
        <w:rPr>
          <w:rFonts w:ascii="MS Gothic"/>
          <w:color w:val="B02045"/>
          <w:spacing w:val="-63"/>
          <w:w w:val="110"/>
        </w:rPr>
        <w:t xml:space="preserve"> </w:t>
      </w:r>
      <w:r>
        <w:rPr>
          <w:color w:val="333333"/>
          <w:w w:val="110"/>
        </w:rPr>
        <w:t xml:space="preserve">and </w:t>
      </w:r>
      <w:r>
        <w:rPr>
          <w:rFonts w:ascii="MS Gothic"/>
          <w:color w:val="B02045"/>
          <w:w w:val="110"/>
        </w:rPr>
        <w:t>POST</w:t>
      </w:r>
      <w:r>
        <w:rPr>
          <w:rFonts w:ascii="MS Gothic"/>
          <w:color w:val="B02045"/>
          <w:spacing w:val="-64"/>
          <w:w w:val="110"/>
        </w:rPr>
        <w:t xml:space="preserve"> </w:t>
      </w:r>
      <w:r>
        <w:rPr>
          <w:color w:val="333333"/>
          <w:w w:val="110"/>
        </w:rPr>
        <w:t xml:space="preserve">calls from the </w:t>
      </w:r>
      <w:r>
        <w:rPr>
          <w:rFonts w:ascii="MS Gothic"/>
          <w:color w:val="B02045"/>
          <w:w w:val="110"/>
        </w:rPr>
        <w:t>example.com</w:t>
      </w:r>
      <w:r>
        <w:rPr>
          <w:rFonts w:ascii="MS Gothic"/>
          <w:color w:val="B02045"/>
          <w:spacing w:val="-63"/>
          <w:w w:val="110"/>
        </w:rPr>
        <w:t xml:space="preserve"> </w:t>
      </w:r>
      <w:r>
        <w:rPr>
          <w:color w:val="333333"/>
          <w:w w:val="110"/>
        </w:rPr>
        <w:t>domain:</w:t>
      </w:r>
    </w:p>
    <w:p w14:paraId="4A93E978" w14:textId="77777777" w:rsidR="00A720EB" w:rsidRDefault="00E10349">
      <w:pPr>
        <w:pStyle w:val="a3"/>
        <w:spacing w:before="10"/>
        <w:rPr>
          <w:sz w:val="12"/>
        </w:rPr>
      </w:pPr>
      <w:r>
        <w:pict w14:anchorId="1F1233A8">
          <v:group id="_x0000_s3293" style="position:absolute;margin-left:47.85pt;margin-top:9.55pt;width:499.55pt;height:52.25pt;z-index:-15258624;mso-wrap-distance-left:0;mso-wrap-distance-right:0;mso-position-horizontal-relative:page" coordorigin="957,191" coordsize="9991,1045">
            <v:shape id="_x0000_s3296" style="position:absolute;left:964;top:198;width:9976;height:1030" coordorigin="965,198" coordsize="9976,1030" path="m10861,198r-9816,l1014,204r-26,18l971,247r-6,31l965,1148r6,31l988,1204r26,17l1045,1228r9816,l10892,1221r25,-17l10935,1179r6,-31l10941,278r-6,-31l10917,222r-25,-18l10861,198xe" fillcolor="#f5f5f5" stroked="f">
              <v:path arrowok="t"/>
            </v:shape>
            <v:shape id="_x0000_s3295" style="position:absolute;left:964;top:198;width:9976;height:1030" coordorigin="965,198" coordsize="9976,1030" path="m1045,198r9816,l10892,204r25,18l10935,247r6,31l10941,1148r-6,31l10917,1204r-25,17l10861,1228r-9816,l1014,1221r-26,-17l971,1179r-6,-31l965,278r6,-31l988,222r26,-18l1045,198xe" filled="f" strokecolor="#ccc">
              <v:path arrowok="t"/>
            </v:shape>
            <v:shape id="_x0000_s3294" type="#_x0000_t202" style="position:absolute;left:984;top:213;width:9938;height:999" filled="f" stroked="f">
              <v:textbox inset="0,0,0,0">
                <w:txbxContent>
                  <w:p w14:paraId="17D5F0FA" w14:textId="77777777" w:rsidR="00711A16" w:rsidRDefault="00711A16">
                    <w:pPr>
                      <w:spacing w:before="221" w:line="252" w:lineRule="auto"/>
                      <w:ind w:left="200" w:right="2584"/>
                      <w:rPr>
                        <w:rFonts w:ascii="MS Gothic"/>
                      </w:rPr>
                    </w:pPr>
                    <w:proofErr w:type="gramStart"/>
                    <w:r>
                      <w:rPr>
                        <w:rFonts w:ascii="MS Gothic"/>
                        <w:color w:val="333333"/>
                      </w:rPr>
                      <w:t>management.endpoints.web.cors</w:t>
                    </w:r>
                    <w:proofErr w:type="gramEnd"/>
                    <w:r>
                      <w:rPr>
                        <w:rFonts w:ascii="MS Gothic"/>
                        <w:color w:val="333333"/>
                      </w:rPr>
                      <w:t>.allowed-origins=https://example.com management.endpoints.web.cors.allowed-methods=GET,POST</w:t>
                    </w:r>
                  </w:p>
                </w:txbxContent>
              </v:textbox>
            </v:shape>
            <w10:wrap type="topAndBottom" anchorx="page"/>
          </v:group>
        </w:pict>
      </w:r>
    </w:p>
    <w:p w14:paraId="27707C62" w14:textId="77777777" w:rsidR="00A720EB" w:rsidRDefault="00A720EB">
      <w:pPr>
        <w:pStyle w:val="a3"/>
        <w:spacing w:before="10"/>
        <w:rPr>
          <w:sz w:val="16"/>
        </w:rPr>
      </w:pPr>
    </w:p>
    <w:p w14:paraId="216082A3" w14:textId="77777777" w:rsidR="00A720EB" w:rsidRDefault="00E10349">
      <w:pPr>
        <w:pStyle w:val="a3"/>
        <w:spacing w:before="1"/>
        <w:ind w:left="561"/>
      </w:pPr>
      <w:r>
        <w:pict w14:anchorId="18547153">
          <v:line id="_x0000_s3292" style="position:absolute;left:0;text-align:left;z-index:-41334784;mso-position-horizontal-relative:page" from="108.25pt,.25pt" to="108.25pt,24pt" strokecolor="#ededed" strokeweight=".5pt">
            <w10:wrap anchorx="page"/>
          </v:line>
        </w:pict>
      </w:r>
      <w:r w:rsidR="0030286B">
        <w:rPr>
          <w:noProof/>
          <w:position w:val="-15"/>
        </w:rPr>
        <w:drawing>
          <wp:inline distT="0" distB="0" distL="0" distR="0" wp14:anchorId="7A8C46F4" wp14:editId="728AFB9E">
            <wp:extent cx="209550" cy="304800"/>
            <wp:effectExtent l="0" t="0" r="0" b="0"/>
            <wp:docPr id="57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27.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See </w:t>
      </w:r>
      <w:hyperlink r:id="rId421">
        <w:r w:rsidR="0030286B">
          <w:rPr>
            <w:color w:val="418BCA"/>
            <w:w w:val="110"/>
          </w:rPr>
          <w:t xml:space="preserve">CorsEndpointProperties </w:t>
        </w:r>
      </w:hyperlink>
      <w:r w:rsidR="0030286B">
        <w:rPr>
          <w:color w:val="333333"/>
          <w:w w:val="110"/>
        </w:rPr>
        <w:t>for a complete list of</w:t>
      </w:r>
      <w:r w:rsidR="0030286B">
        <w:rPr>
          <w:color w:val="333333"/>
          <w:spacing w:val="22"/>
          <w:w w:val="110"/>
        </w:rPr>
        <w:t xml:space="preserve"> </w:t>
      </w:r>
      <w:r w:rsidR="0030286B">
        <w:rPr>
          <w:color w:val="333333"/>
          <w:w w:val="110"/>
        </w:rPr>
        <w:t>options.</w:t>
      </w:r>
    </w:p>
    <w:p w14:paraId="0E806230" w14:textId="77777777" w:rsidR="00A720EB" w:rsidRDefault="0030286B">
      <w:pPr>
        <w:pStyle w:val="3"/>
        <w:numPr>
          <w:ilvl w:val="2"/>
          <w:numId w:val="24"/>
        </w:numPr>
        <w:tabs>
          <w:tab w:val="left" w:pos="858"/>
        </w:tabs>
        <w:spacing w:before="340"/>
        <w:ind w:hanging="734"/>
      </w:pPr>
      <w:bookmarkStart w:id="569" w:name="5.2.7._Implementing_Custom_Endpoints"/>
      <w:bookmarkStart w:id="570" w:name="_Toc54423844"/>
      <w:bookmarkEnd w:id="569"/>
      <w:r>
        <w:rPr>
          <w:color w:val="333333"/>
          <w:w w:val="110"/>
        </w:rPr>
        <w:t>Implementing Custom</w:t>
      </w:r>
      <w:r>
        <w:rPr>
          <w:color w:val="333333"/>
          <w:spacing w:val="-13"/>
          <w:w w:val="110"/>
        </w:rPr>
        <w:t xml:space="preserve"> </w:t>
      </w:r>
      <w:r>
        <w:rPr>
          <w:color w:val="333333"/>
          <w:w w:val="110"/>
        </w:rPr>
        <w:t>Endpoints</w:t>
      </w:r>
      <w:bookmarkEnd w:id="570"/>
    </w:p>
    <w:p w14:paraId="6E437D0A" w14:textId="77777777" w:rsidR="00A720EB" w:rsidRDefault="00A720EB">
      <w:pPr>
        <w:pStyle w:val="a3"/>
        <w:spacing w:before="6"/>
        <w:rPr>
          <w:rFonts w:ascii="Palatino Linotype"/>
          <w:b/>
          <w:sz w:val="9"/>
        </w:rPr>
      </w:pPr>
    </w:p>
    <w:p w14:paraId="2E20CBEA" w14:textId="77777777" w:rsidR="00A720EB" w:rsidRDefault="0030286B">
      <w:pPr>
        <w:pStyle w:val="a3"/>
        <w:spacing w:before="116" w:line="292" w:lineRule="auto"/>
        <w:ind w:left="124" w:right="122"/>
        <w:jc w:val="both"/>
      </w:pPr>
      <w:r>
        <w:rPr>
          <w:color w:val="333333"/>
          <w:w w:val="110"/>
        </w:rPr>
        <w:t xml:space="preserve">If you add a </w:t>
      </w:r>
      <w:r>
        <w:rPr>
          <w:rFonts w:ascii="MS Gothic"/>
          <w:color w:val="B02045"/>
          <w:w w:val="110"/>
        </w:rPr>
        <w:t xml:space="preserve">@Bean </w:t>
      </w:r>
      <w:r>
        <w:rPr>
          <w:color w:val="333333"/>
          <w:w w:val="110"/>
        </w:rPr>
        <w:t xml:space="preserve">annotated with </w:t>
      </w:r>
      <w:r>
        <w:rPr>
          <w:rFonts w:ascii="MS Gothic"/>
          <w:color w:val="B02045"/>
          <w:w w:val="110"/>
        </w:rPr>
        <w:t>@Endpoint</w:t>
      </w:r>
      <w:r>
        <w:rPr>
          <w:color w:val="333333"/>
          <w:w w:val="110"/>
        </w:rPr>
        <w:t xml:space="preserve">, any methods annotated with </w:t>
      </w:r>
      <w:r>
        <w:rPr>
          <w:rFonts w:ascii="MS Gothic"/>
          <w:color w:val="B02045"/>
          <w:w w:val="110"/>
        </w:rPr>
        <w:t>@ReadOperation</w:t>
      </w:r>
      <w:r>
        <w:rPr>
          <w:color w:val="333333"/>
          <w:w w:val="110"/>
        </w:rPr>
        <w:t xml:space="preserve">, </w:t>
      </w:r>
      <w:r>
        <w:rPr>
          <w:rFonts w:ascii="MS Gothic"/>
          <w:color w:val="B02045"/>
          <w:w w:val="110"/>
        </w:rPr>
        <w:t>@WriteOperation</w:t>
      </w:r>
      <w:r>
        <w:rPr>
          <w:color w:val="333333"/>
          <w:w w:val="110"/>
        </w:rPr>
        <w:t>,</w:t>
      </w:r>
      <w:r>
        <w:rPr>
          <w:color w:val="333333"/>
          <w:spacing w:val="-11"/>
          <w:w w:val="110"/>
        </w:rPr>
        <w:t xml:space="preserve"> </w:t>
      </w:r>
      <w:r>
        <w:rPr>
          <w:color w:val="333333"/>
          <w:w w:val="110"/>
        </w:rPr>
        <w:t>or</w:t>
      </w:r>
      <w:r>
        <w:rPr>
          <w:color w:val="333333"/>
          <w:spacing w:val="-10"/>
          <w:w w:val="110"/>
        </w:rPr>
        <w:t xml:space="preserve"> </w:t>
      </w:r>
      <w:r>
        <w:rPr>
          <w:rFonts w:ascii="MS Gothic"/>
          <w:color w:val="B02045"/>
          <w:w w:val="110"/>
        </w:rPr>
        <w:t>@DeleteOperation</w:t>
      </w:r>
      <w:r>
        <w:rPr>
          <w:rFonts w:ascii="MS Gothic"/>
          <w:color w:val="B02045"/>
          <w:spacing w:val="-75"/>
          <w:w w:val="110"/>
        </w:rPr>
        <w:t xml:space="preserve"> </w:t>
      </w:r>
      <w:r>
        <w:rPr>
          <w:color w:val="333333"/>
          <w:w w:val="110"/>
        </w:rPr>
        <w:t>are</w:t>
      </w:r>
      <w:r>
        <w:rPr>
          <w:color w:val="333333"/>
          <w:spacing w:val="-10"/>
          <w:w w:val="110"/>
        </w:rPr>
        <w:t xml:space="preserve"> </w:t>
      </w:r>
      <w:r>
        <w:rPr>
          <w:color w:val="333333"/>
          <w:w w:val="110"/>
        </w:rPr>
        <w:t>automatically</w:t>
      </w:r>
      <w:r>
        <w:rPr>
          <w:color w:val="333333"/>
          <w:spacing w:val="-11"/>
          <w:w w:val="110"/>
        </w:rPr>
        <w:t xml:space="preserve"> </w:t>
      </w:r>
      <w:r>
        <w:rPr>
          <w:color w:val="333333"/>
          <w:w w:val="110"/>
        </w:rPr>
        <w:t>exposed</w:t>
      </w:r>
      <w:r>
        <w:rPr>
          <w:color w:val="333333"/>
          <w:spacing w:val="-10"/>
          <w:w w:val="110"/>
        </w:rPr>
        <w:t xml:space="preserve"> </w:t>
      </w:r>
      <w:r>
        <w:rPr>
          <w:color w:val="333333"/>
          <w:w w:val="110"/>
        </w:rPr>
        <w:t>over</w:t>
      </w:r>
      <w:r>
        <w:rPr>
          <w:color w:val="333333"/>
          <w:spacing w:val="-10"/>
          <w:w w:val="110"/>
        </w:rPr>
        <w:t xml:space="preserve"> </w:t>
      </w:r>
      <w:r>
        <w:rPr>
          <w:color w:val="333333"/>
          <w:w w:val="110"/>
        </w:rPr>
        <w:t>JMX</w:t>
      </w:r>
      <w:r>
        <w:rPr>
          <w:color w:val="333333"/>
          <w:spacing w:val="-11"/>
          <w:w w:val="110"/>
        </w:rPr>
        <w:t xml:space="preserve"> </w:t>
      </w:r>
      <w:r>
        <w:rPr>
          <w:color w:val="333333"/>
          <w:w w:val="110"/>
        </w:rPr>
        <w:t>and,</w:t>
      </w:r>
      <w:r>
        <w:rPr>
          <w:color w:val="333333"/>
          <w:spacing w:val="-10"/>
          <w:w w:val="110"/>
        </w:rPr>
        <w:t xml:space="preserve"> </w:t>
      </w:r>
      <w:r>
        <w:rPr>
          <w:color w:val="333333"/>
          <w:w w:val="110"/>
        </w:rPr>
        <w:t>in</w:t>
      </w:r>
      <w:r>
        <w:rPr>
          <w:color w:val="333333"/>
          <w:spacing w:val="-10"/>
          <w:w w:val="110"/>
        </w:rPr>
        <w:t xml:space="preserve"> </w:t>
      </w:r>
      <w:r>
        <w:rPr>
          <w:color w:val="333333"/>
          <w:w w:val="110"/>
        </w:rPr>
        <w:t>a</w:t>
      </w:r>
      <w:r>
        <w:rPr>
          <w:color w:val="333333"/>
          <w:spacing w:val="-11"/>
          <w:w w:val="110"/>
        </w:rPr>
        <w:t xml:space="preserve"> </w:t>
      </w:r>
      <w:r>
        <w:rPr>
          <w:color w:val="333333"/>
          <w:w w:val="110"/>
        </w:rPr>
        <w:t>web</w:t>
      </w:r>
      <w:r>
        <w:rPr>
          <w:color w:val="333333"/>
          <w:spacing w:val="-10"/>
          <w:w w:val="110"/>
        </w:rPr>
        <w:t xml:space="preserve"> </w:t>
      </w:r>
      <w:r>
        <w:rPr>
          <w:color w:val="333333"/>
          <w:w w:val="110"/>
        </w:rPr>
        <w:t xml:space="preserve">application, over HTTP as well. Endpoints can be exposed over HTTP using </w:t>
      </w:r>
      <w:r>
        <w:rPr>
          <w:color w:val="333333"/>
          <w:spacing w:val="-4"/>
          <w:w w:val="110"/>
        </w:rPr>
        <w:t xml:space="preserve">Jersey, </w:t>
      </w:r>
      <w:r>
        <w:rPr>
          <w:color w:val="333333"/>
          <w:w w:val="110"/>
        </w:rPr>
        <w:t xml:space="preserve">Spring MVC, or Spring </w:t>
      </w:r>
      <w:r>
        <w:rPr>
          <w:color w:val="333333"/>
          <w:spacing w:val="-3"/>
          <w:w w:val="110"/>
        </w:rPr>
        <w:t>WebFlux.</w:t>
      </w:r>
      <w:r>
        <w:rPr>
          <w:color w:val="333333"/>
          <w:spacing w:val="5"/>
          <w:w w:val="110"/>
        </w:rPr>
        <w:t xml:space="preserve"> </w:t>
      </w:r>
      <w:r>
        <w:rPr>
          <w:color w:val="333333"/>
          <w:w w:val="110"/>
        </w:rPr>
        <w:t>If</w:t>
      </w:r>
      <w:r>
        <w:rPr>
          <w:color w:val="333333"/>
          <w:spacing w:val="6"/>
          <w:w w:val="110"/>
        </w:rPr>
        <w:t xml:space="preserve"> </w:t>
      </w:r>
      <w:r>
        <w:rPr>
          <w:color w:val="333333"/>
          <w:w w:val="110"/>
        </w:rPr>
        <w:t>both</w:t>
      </w:r>
      <w:r>
        <w:rPr>
          <w:color w:val="333333"/>
          <w:spacing w:val="5"/>
          <w:w w:val="110"/>
        </w:rPr>
        <w:t xml:space="preserve"> </w:t>
      </w:r>
      <w:r>
        <w:rPr>
          <w:color w:val="333333"/>
          <w:w w:val="110"/>
        </w:rPr>
        <w:t>Jersey</w:t>
      </w:r>
      <w:r>
        <w:rPr>
          <w:color w:val="333333"/>
          <w:spacing w:val="4"/>
          <w:w w:val="110"/>
        </w:rPr>
        <w:t xml:space="preserve"> </w:t>
      </w:r>
      <w:r>
        <w:rPr>
          <w:color w:val="333333"/>
          <w:w w:val="110"/>
        </w:rPr>
        <w:t>and</w:t>
      </w:r>
      <w:r>
        <w:rPr>
          <w:color w:val="333333"/>
          <w:spacing w:val="5"/>
          <w:w w:val="110"/>
        </w:rPr>
        <w:t xml:space="preserve"> </w:t>
      </w:r>
      <w:r>
        <w:rPr>
          <w:color w:val="333333"/>
          <w:w w:val="110"/>
        </w:rPr>
        <w:t>Spring</w:t>
      </w:r>
      <w:r>
        <w:rPr>
          <w:color w:val="333333"/>
          <w:spacing w:val="5"/>
          <w:w w:val="110"/>
        </w:rPr>
        <w:t xml:space="preserve"> </w:t>
      </w:r>
      <w:r>
        <w:rPr>
          <w:color w:val="333333"/>
          <w:w w:val="110"/>
        </w:rPr>
        <w:t>MVC</w:t>
      </w:r>
      <w:r>
        <w:rPr>
          <w:color w:val="333333"/>
          <w:spacing w:val="4"/>
          <w:w w:val="110"/>
        </w:rPr>
        <w:t xml:space="preserve"> </w:t>
      </w:r>
      <w:r>
        <w:rPr>
          <w:color w:val="333333"/>
          <w:w w:val="110"/>
        </w:rPr>
        <w:t>are</w:t>
      </w:r>
      <w:r>
        <w:rPr>
          <w:color w:val="333333"/>
          <w:spacing w:val="5"/>
          <w:w w:val="110"/>
        </w:rPr>
        <w:t xml:space="preserve"> </w:t>
      </w:r>
      <w:r>
        <w:rPr>
          <w:color w:val="333333"/>
          <w:w w:val="110"/>
        </w:rPr>
        <w:t>available,</w:t>
      </w:r>
      <w:r>
        <w:rPr>
          <w:color w:val="333333"/>
          <w:spacing w:val="5"/>
          <w:w w:val="110"/>
        </w:rPr>
        <w:t xml:space="preserve"> </w:t>
      </w:r>
      <w:r>
        <w:rPr>
          <w:color w:val="333333"/>
          <w:w w:val="110"/>
        </w:rPr>
        <w:t>Spring</w:t>
      </w:r>
      <w:r>
        <w:rPr>
          <w:color w:val="333333"/>
          <w:spacing w:val="4"/>
          <w:w w:val="110"/>
        </w:rPr>
        <w:t xml:space="preserve"> </w:t>
      </w:r>
      <w:r>
        <w:rPr>
          <w:color w:val="333333"/>
          <w:w w:val="110"/>
        </w:rPr>
        <w:t>MVC</w:t>
      </w:r>
      <w:r>
        <w:rPr>
          <w:color w:val="333333"/>
          <w:spacing w:val="5"/>
          <w:w w:val="110"/>
        </w:rPr>
        <w:t xml:space="preserve"> </w:t>
      </w:r>
      <w:r>
        <w:rPr>
          <w:color w:val="333333"/>
          <w:w w:val="110"/>
        </w:rPr>
        <w:t>will</w:t>
      </w:r>
      <w:r>
        <w:rPr>
          <w:color w:val="333333"/>
          <w:spacing w:val="5"/>
          <w:w w:val="110"/>
        </w:rPr>
        <w:t xml:space="preserve"> </w:t>
      </w:r>
      <w:r>
        <w:rPr>
          <w:color w:val="333333"/>
          <w:w w:val="110"/>
        </w:rPr>
        <w:t>be</w:t>
      </w:r>
      <w:r>
        <w:rPr>
          <w:color w:val="333333"/>
          <w:spacing w:val="4"/>
          <w:w w:val="110"/>
        </w:rPr>
        <w:t xml:space="preserve"> </w:t>
      </w:r>
      <w:r>
        <w:rPr>
          <w:color w:val="333333"/>
          <w:w w:val="110"/>
        </w:rPr>
        <w:t>used.</w:t>
      </w:r>
    </w:p>
    <w:p w14:paraId="3B3B9D69" w14:textId="77777777" w:rsidR="00A720EB" w:rsidRDefault="00A720EB">
      <w:pPr>
        <w:pStyle w:val="a3"/>
        <w:spacing w:before="10"/>
      </w:pPr>
    </w:p>
    <w:p w14:paraId="791290F8" w14:textId="77777777" w:rsidR="00A720EB" w:rsidRDefault="0030286B">
      <w:pPr>
        <w:pStyle w:val="a3"/>
        <w:ind w:left="124"/>
        <w:jc w:val="both"/>
      </w:pPr>
      <w:r>
        <w:rPr>
          <w:color w:val="333333"/>
          <w:w w:val="110"/>
        </w:rPr>
        <w:t>The following example exposes a read operation that returns a custom object:</w:t>
      </w:r>
    </w:p>
    <w:p w14:paraId="58507367" w14:textId="77777777" w:rsidR="00A720EB" w:rsidRDefault="00E10349">
      <w:pPr>
        <w:pStyle w:val="a3"/>
        <w:rPr>
          <w:sz w:val="19"/>
        </w:rPr>
      </w:pPr>
      <w:r>
        <w:pict w14:anchorId="58E3DBB3">
          <v:group id="_x0000_s3288" style="position:absolute;margin-left:47.85pt;margin-top:13.1pt;width:499.55pt;height:81.75pt;z-index:-15258112;mso-wrap-distance-left:0;mso-wrap-distance-right:0;mso-position-horizontal-relative:page" coordorigin="957,262" coordsize="9991,1635">
            <v:shape id="_x0000_s3291" style="position:absolute;left:964;top:269;width:9976;height:1620" coordorigin="965,270" coordsize="9976,1620" path="m10861,270r-9816,l1014,276r-26,17l971,319r-6,31l965,1809r6,31l988,1866r26,17l1045,1889r9816,l10892,1883r25,-17l10935,1840r6,-31l10941,350r-6,-31l10917,293r-25,-17l10861,270xe" fillcolor="#f5f5f5" stroked="f">
              <v:path arrowok="t"/>
            </v:shape>
            <v:shape id="_x0000_s3290" style="position:absolute;left:964;top:269;width:9976;height:1620" coordorigin="965,270" coordsize="9976,1620" path="m1045,270r9816,l10892,276r25,17l10935,319r6,31l10941,1809r-6,31l10917,1866r-25,17l10861,1889r-9816,l1014,1883r-26,-17l971,1840r-6,-31l965,350r6,-31l988,293r26,-17l1045,270xe" filled="f" strokecolor="#ccc">
              <v:path arrowok="t"/>
            </v:shape>
            <v:shape id="_x0000_s3289" type="#_x0000_t202" style="position:absolute;left:984;top:285;width:9938;height:1589" filled="f" stroked="f">
              <v:textbox inset="0,0,0,0">
                <w:txbxContent>
                  <w:p w14:paraId="26AE732E" w14:textId="77777777" w:rsidR="00711A16" w:rsidRDefault="00711A16">
                    <w:pPr>
                      <w:spacing w:before="221"/>
                      <w:ind w:left="200"/>
                      <w:rPr>
                        <w:rFonts w:ascii="MS Gothic"/>
                      </w:rPr>
                    </w:pPr>
                    <w:r>
                      <w:rPr>
                        <w:rFonts w:ascii="MS Gothic"/>
                        <w:color w:val="333333"/>
                      </w:rPr>
                      <w:t>@ReadOperation</w:t>
                    </w:r>
                  </w:p>
                  <w:p w14:paraId="0D85809C" w14:textId="77777777" w:rsidR="00711A16" w:rsidRDefault="00711A16">
                    <w:pPr>
                      <w:spacing w:before="13" w:line="252" w:lineRule="auto"/>
                      <w:ind w:left="640" w:right="5648" w:hanging="440"/>
                      <w:rPr>
                        <w:rFonts w:ascii="MS Gothic"/>
                      </w:rPr>
                    </w:pPr>
                    <w:r>
                      <w:rPr>
                        <w:rFonts w:ascii="MS Gothic"/>
                        <w:color w:val="333333"/>
                      </w:rPr>
                      <w:t xml:space="preserve">public CustomData </w:t>
                    </w:r>
                    <w:proofErr w:type="gramStart"/>
                    <w:r>
                      <w:rPr>
                        <w:rFonts w:ascii="MS Gothic"/>
                        <w:color w:val="333333"/>
                      </w:rPr>
                      <w:t>getCustomData(</w:t>
                    </w:r>
                    <w:proofErr w:type="gramEnd"/>
                    <w:r>
                      <w:rPr>
                        <w:rFonts w:ascii="MS Gothic"/>
                        <w:color w:val="333333"/>
                      </w:rPr>
                      <w:t>) { return new CustomData("test", 5);</w:t>
                    </w:r>
                  </w:p>
                  <w:p w14:paraId="55A38C6E"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21681342" w14:textId="77777777" w:rsidR="00A720EB" w:rsidRDefault="00A720EB">
      <w:pPr>
        <w:pStyle w:val="a3"/>
        <w:spacing w:before="11"/>
        <w:rPr>
          <w:sz w:val="9"/>
        </w:rPr>
      </w:pPr>
    </w:p>
    <w:p w14:paraId="30B7807A" w14:textId="77777777" w:rsidR="00A720EB" w:rsidRDefault="0030286B">
      <w:pPr>
        <w:pStyle w:val="a3"/>
        <w:spacing w:before="115" w:line="285" w:lineRule="auto"/>
        <w:ind w:left="124" w:right="123"/>
        <w:jc w:val="both"/>
      </w:pPr>
      <w:r>
        <w:rPr>
          <w:color w:val="333333"/>
          <w:w w:val="110"/>
        </w:rPr>
        <w:t xml:space="preserve">You can also write technology-specific endpoints by using </w:t>
      </w:r>
      <w:r>
        <w:rPr>
          <w:rFonts w:ascii="MS Gothic"/>
          <w:color w:val="B02045"/>
          <w:w w:val="110"/>
        </w:rPr>
        <w:t xml:space="preserve">@JmxEndpoint </w:t>
      </w:r>
      <w:r>
        <w:rPr>
          <w:color w:val="333333"/>
          <w:w w:val="110"/>
        </w:rPr>
        <w:t xml:space="preserve">or </w:t>
      </w:r>
      <w:r>
        <w:rPr>
          <w:rFonts w:ascii="MS Gothic"/>
          <w:color w:val="B02045"/>
          <w:w w:val="110"/>
        </w:rPr>
        <w:t>@WebEndpoint</w:t>
      </w:r>
      <w:r>
        <w:rPr>
          <w:color w:val="333333"/>
          <w:w w:val="110"/>
        </w:rPr>
        <w:t xml:space="preserve">. These endpoints are restricted to their respective technologies. For example, </w:t>
      </w:r>
      <w:r>
        <w:rPr>
          <w:rFonts w:ascii="MS Gothic"/>
          <w:color w:val="B02045"/>
          <w:w w:val="110"/>
        </w:rPr>
        <w:t xml:space="preserve">@WebEndpoint </w:t>
      </w:r>
      <w:r>
        <w:rPr>
          <w:color w:val="333333"/>
          <w:w w:val="110"/>
        </w:rPr>
        <w:t>is exposed only over HTTP and not over JMX.</w:t>
      </w:r>
    </w:p>
    <w:p w14:paraId="0AC89653" w14:textId="77777777" w:rsidR="00A720EB" w:rsidRDefault="00A720EB">
      <w:pPr>
        <w:pStyle w:val="a3"/>
        <w:spacing w:before="8"/>
      </w:pPr>
    </w:p>
    <w:p w14:paraId="4C3BA500" w14:textId="77777777" w:rsidR="00A720EB" w:rsidRDefault="0030286B">
      <w:pPr>
        <w:pStyle w:val="a3"/>
        <w:spacing w:line="285" w:lineRule="auto"/>
        <w:ind w:left="124" w:right="123"/>
        <w:jc w:val="both"/>
      </w:pPr>
      <w:r>
        <w:rPr>
          <w:color w:val="333333"/>
          <w:w w:val="110"/>
        </w:rPr>
        <w:t xml:space="preserve">You can write technology-specific extensions by using </w:t>
      </w:r>
      <w:r>
        <w:rPr>
          <w:rFonts w:ascii="MS Gothic"/>
          <w:color w:val="B02045"/>
          <w:w w:val="110"/>
        </w:rPr>
        <w:t xml:space="preserve">@EndpointWebExtension </w:t>
      </w:r>
      <w:r>
        <w:rPr>
          <w:color w:val="333333"/>
          <w:w w:val="110"/>
        </w:rPr>
        <w:t xml:space="preserve">and </w:t>
      </w:r>
      <w:r>
        <w:rPr>
          <w:rFonts w:ascii="MS Gothic"/>
          <w:color w:val="B02045"/>
          <w:w w:val="110"/>
        </w:rPr>
        <w:t>@EndpointJmxExtension</w:t>
      </w:r>
      <w:r>
        <w:rPr>
          <w:color w:val="333333"/>
          <w:w w:val="110"/>
        </w:rPr>
        <w:t xml:space="preserve">. These annotations let you provide technology-specific operations </w:t>
      </w:r>
      <w:proofErr w:type="gramStart"/>
      <w:r>
        <w:rPr>
          <w:color w:val="333333"/>
          <w:w w:val="110"/>
        </w:rPr>
        <w:t>to  augment</w:t>
      </w:r>
      <w:proofErr w:type="gramEnd"/>
      <w:r>
        <w:rPr>
          <w:color w:val="333333"/>
          <w:w w:val="110"/>
        </w:rPr>
        <w:t xml:space="preserve"> an existing endpoint.</w:t>
      </w:r>
    </w:p>
    <w:p w14:paraId="2735C958" w14:textId="77777777" w:rsidR="00A720EB" w:rsidRDefault="00A720EB">
      <w:pPr>
        <w:pStyle w:val="a3"/>
        <w:spacing w:before="6"/>
        <w:rPr>
          <w:sz w:val="22"/>
        </w:rPr>
      </w:pPr>
    </w:p>
    <w:p w14:paraId="5579EE5D" w14:textId="77777777" w:rsidR="00A720EB" w:rsidRDefault="0030286B">
      <w:pPr>
        <w:pStyle w:val="a3"/>
        <w:spacing w:line="295" w:lineRule="auto"/>
        <w:ind w:left="124" w:right="127"/>
        <w:jc w:val="both"/>
      </w:pPr>
      <w:r>
        <w:rPr>
          <w:color w:val="333333"/>
          <w:spacing w:val="-4"/>
          <w:w w:val="110"/>
        </w:rPr>
        <w:t xml:space="preserve">Finally, </w:t>
      </w:r>
      <w:r>
        <w:rPr>
          <w:color w:val="333333"/>
          <w:w w:val="110"/>
        </w:rPr>
        <w:t xml:space="preserve">if you need access to web-framework-specific </w:t>
      </w:r>
      <w:r>
        <w:rPr>
          <w:color w:val="333333"/>
          <w:spacing w:val="-3"/>
          <w:w w:val="110"/>
        </w:rPr>
        <w:t xml:space="preserve">functionality, </w:t>
      </w:r>
      <w:r>
        <w:rPr>
          <w:color w:val="333333"/>
          <w:w w:val="110"/>
        </w:rPr>
        <w:t xml:space="preserve">you can implement Servlet </w:t>
      </w:r>
      <w:proofErr w:type="gramStart"/>
      <w:r>
        <w:rPr>
          <w:color w:val="333333"/>
          <w:w w:val="110"/>
        </w:rPr>
        <w:t>or  Spring</w:t>
      </w:r>
      <w:proofErr w:type="gramEnd"/>
      <w:r>
        <w:rPr>
          <w:color w:val="333333"/>
          <w:w w:val="110"/>
        </w:rPr>
        <w:t xml:space="preserve"> </w:t>
      </w:r>
      <w:r>
        <w:rPr>
          <w:rFonts w:ascii="MS Gothic"/>
          <w:color w:val="B02045"/>
          <w:w w:val="110"/>
        </w:rPr>
        <w:t>@Controller</w:t>
      </w:r>
      <w:r>
        <w:rPr>
          <w:rFonts w:ascii="MS Gothic"/>
          <w:color w:val="B02045"/>
          <w:spacing w:val="-64"/>
          <w:w w:val="110"/>
        </w:rPr>
        <w:t xml:space="preserve"> </w:t>
      </w:r>
      <w:r>
        <w:rPr>
          <w:color w:val="333333"/>
          <w:w w:val="110"/>
        </w:rPr>
        <w:t xml:space="preserve">and </w:t>
      </w:r>
      <w:r>
        <w:rPr>
          <w:rFonts w:ascii="MS Gothic"/>
          <w:color w:val="B02045"/>
          <w:w w:val="110"/>
        </w:rPr>
        <w:t>@RestController</w:t>
      </w:r>
      <w:r>
        <w:rPr>
          <w:rFonts w:ascii="MS Gothic"/>
          <w:color w:val="B02045"/>
          <w:spacing w:val="-65"/>
          <w:w w:val="110"/>
        </w:rPr>
        <w:t xml:space="preserve"> </w:t>
      </w:r>
      <w:r>
        <w:rPr>
          <w:color w:val="333333"/>
          <w:w w:val="110"/>
        </w:rPr>
        <w:t>endpoints at the cost of them not being available over JMX or when using a different web framework.</w:t>
      </w:r>
    </w:p>
    <w:p w14:paraId="41BA44DF" w14:textId="77777777" w:rsidR="00A720EB" w:rsidRDefault="00A720EB">
      <w:pPr>
        <w:spacing w:line="295" w:lineRule="auto"/>
        <w:jc w:val="both"/>
        <w:sectPr w:rsidR="00A720EB">
          <w:pgSz w:w="11910" w:h="16840"/>
          <w:pgMar w:top="620" w:right="840" w:bottom="520" w:left="840" w:header="0" w:footer="323" w:gutter="0"/>
          <w:cols w:space="720"/>
        </w:sectPr>
      </w:pPr>
    </w:p>
    <w:p w14:paraId="21F0E5BF" w14:textId="77777777" w:rsidR="00A720EB" w:rsidRDefault="0030286B">
      <w:pPr>
        <w:pStyle w:val="4"/>
        <w:spacing w:before="86"/>
      </w:pPr>
      <w:bookmarkStart w:id="571" w:name="Receiving_Input"/>
      <w:bookmarkEnd w:id="571"/>
      <w:r>
        <w:rPr>
          <w:color w:val="333333"/>
          <w:w w:val="110"/>
        </w:rPr>
        <w:lastRenderedPageBreak/>
        <w:t>Receiving Input</w:t>
      </w:r>
    </w:p>
    <w:p w14:paraId="31AA95D9" w14:textId="77777777" w:rsidR="00A720EB" w:rsidRDefault="00A720EB">
      <w:pPr>
        <w:pStyle w:val="a3"/>
        <w:spacing w:before="11"/>
        <w:rPr>
          <w:rFonts w:ascii="Palatino Linotype"/>
          <w:b/>
          <w:sz w:val="18"/>
        </w:rPr>
      </w:pPr>
    </w:p>
    <w:p w14:paraId="784367EA" w14:textId="77777777" w:rsidR="00A720EB" w:rsidRDefault="0030286B">
      <w:pPr>
        <w:pStyle w:val="a3"/>
        <w:spacing w:line="304" w:lineRule="auto"/>
        <w:ind w:left="124" w:right="130"/>
        <w:jc w:val="both"/>
      </w:pPr>
      <w:r>
        <w:rPr>
          <w:color w:val="333333"/>
          <w:w w:val="110"/>
        </w:rPr>
        <w:t xml:space="preserve">Operations on an endpoint receive input via their parameters. When exposed </w:t>
      </w:r>
      <w:proofErr w:type="gramStart"/>
      <w:r>
        <w:rPr>
          <w:color w:val="333333"/>
          <w:w w:val="110"/>
        </w:rPr>
        <w:t>via  the</w:t>
      </w:r>
      <w:proofErr w:type="gramEnd"/>
      <w:r>
        <w:rPr>
          <w:color w:val="333333"/>
          <w:w w:val="110"/>
        </w:rPr>
        <w:t xml:space="preserve">  web,  the values for these parameters are taken from the </w:t>
      </w:r>
      <w:r>
        <w:rPr>
          <w:color w:val="333333"/>
          <w:spacing w:val="-4"/>
          <w:w w:val="110"/>
        </w:rPr>
        <w:t xml:space="preserve">URL’s </w:t>
      </w:r>
      <w:r>
        <w:rPr>
          <w:color w:val="333333"/>
          <w:w w:val="110"/>
        </w:rPr>
        <w:t xml:space="preserve">query parameters and from the JSON request </w:t>
      </w:r>
      <w:r>
        <w:rPr>
          <w:color w:val="333333"/>
          <w:spacing w:val="-5"/>
          <w:w w:val="110"/>
        </w:rPr>
        <w:t xml:space="preserve">body. </w:t>
      </w:r>
      <w:r>
        <w:rPr>
          <w:color w:val="333333"/>
          <w:w w:val="110"/>
        </w:rPr>
        <w:t xml:space="preserve">When exposed via JMX, the parameters are mapped to the parameters of the MBean’s operations. Parameters are required </w:t>
      </w:r>
      <w:proofErr w:type="gramStart"/>
      <w:r>
        <w:rPr>
          <w:color w:val="333333"/>
          <w:spacing w:val="-3"/>
          <w:w w:val="110"/>
        </w:rPr>
        <w:t xml:space="preserve">by  </w:t>
      </w:r>
      <w:r>
        <w:rPr>
          <w:color w:val="333333"/>
          <w:w w:val="110"/>
        </w:rPr>
        <w:t>default</w:t>
      </w:r>
      <w:proofErr w:type="gramEnd"/>
      <w:r>
        <w:rPr>
          <w:color w:val="333333"/>
          <w:w w:val="110"/>
        </w:rPr>
        <w:t xml:space="preserve">. They can be made optional </w:t>
      </w:r>
      <w:proofErr w:type="gramStart"/>
      <w:r>
        <w:rPr>
          <w:color w:val="333333"/>
          <w:spacing w:val="-3"/>
          <w:w w:val="110"/>
        </w:rPr>
        <w:t xml:space="preserve">by  </w:t>
      </w:r>
      <w:r>
        <w:rPr>
          <w:color w:val="333333"/>
          <w:w w:val="110"/>
        </w:rPr>
        <w:t>annotating</w:t>
      </w:r>
      <w:proofErr w:type="gramEnd"/>
      <w:r>
        <w:rPr>
          <w:color w:val="333333"/>
          <w:w w:val="110"/>
        </w:rPr>
        <w:t xml:space="preserve"> them </w:t>
      </w:r>
      <w:r>
        <w:rPr>
          <w:color w:val="333333"/>
          <w:spacing w:val="50"/>
          <w:w w:val="110"/>
        </w:rPr>
        <w:t xml:space="preserve"> </w:t>
      </w:r>
      <w:r>
        <w:rPr>
          <w:color w:val="333333"/>
          <w:w w:val="110"/>
        </w:rPr>
        <w:t xml:space="preserve">with </w:t>
      </w:r>
      <w:r>
        <w:rPr>
          <w:rFonts w:ascii="MS Gothic" w:hAnsi="MS Gothic"/>
          <w:color w:val="B02045"/>
          <w:w w:val="110"/>
        </w:rPr>
        <w:t>@org.springframework.lang.Nullable</w:t>
      </w:r>
      <w:r>
        <w:rPr>
          <w:color w:val="333333"/>
          <w:w w:val="110"/>
        </w:rPr>
        <w:t>.</w:t>
      </w:r>
    </w:p>
    <w:p w14:paraId="4CF68427" w14:textId="77777777" w:rsidR="00A720EB" w:rsidRDefault="0030286B">
      <w:pPr>
        <w:pStyle w:val="a3"/>
        <w:spacing w:before="226" w:line="307" w:lineRule="auto"/>
        <w:ind w:left="124" w:right="130"/>
        <w:jc w:val="both"/>
      </w:pPr>
      <w:r>
        <w:rPr>
          <w:color w:val="333333"/>
          <w:w w:val="110"/>
        </w:rPr>
        <w:t>Each root property in the JSON request body can be mapped to a parameter of the endpoint.  Consider the following JSON request</w:t>
      </w:r>
      <w:r>
        <w:rPr>
          <w:color w:val="333333"/>
          <w:spacing w:val="15"/>
          <w:w w:val="110"/>
        </w:rPr>
        <w:t xml:space="preserve"> </w:t>
      </w:r>
      <w:r>
        <w:rPr>
          <w:color w:val="333333"/>
          <w:w w:val="110"/>
        </w:rPr>
        <w:t>body:</w:t>
      </w:r>
    </w:p>
    <w:p w14:paraId="2838A7A8" w14:textId="77777777" w:rsidR="00A720EB" w:rsidRDefault="00E10349">
      <w:pPr>
        <w:pStyle w:val="a3"/>
        <w:spacing w:before="1"/>
        <w:rPr>
          <w:sz w:val="13"/>
        </w:rPr>
      </w:pPr>
      <w:r>
        <w:pict w14:anchorId="3870533F">
          <v:group id="_x0000_s3284" style="position:absolute;margin-left:47.85pt;margin-top:9.7pt;width:499.55pt;height:81.75pt;z-index:-15257088;mso-wrap-distance-left:0;mso-wrap-distance-right:0;mso-position-horizontal-relative:page" coordorigin="957,194" coordsize="9991,1635">
            <v:shape id="_x0000_s3287" style="position:absolute;left:964;top:201;width:9976;height:1620" coordorigin="965,201" coordsize="9976,1620" path="m10861,201r-9816,l1014,207r-26,18l971,250r-6,31l965,1740r6,32l988,1797r26,17l1045,1820r9816,l10892,1814r25,-17l10935,1772r6,-32l10941,281r-6,-31l10917,225r-25,-18l10861,201xe" fillcolor="#f5f5f5" stroked="f">
              <v:path arrowok="t"/>
            </v:shape>
            <v:shape id="_x0000_s3286" style="position:absolute;left:964;top:201;width:9976;height:1620" coordorigin="965,201" coordsize="9976,1620" path="m1045,201r9816,l10892,207r25,18l10935,250r6,31l10941,1740r-6,32l10917,1797r-25,17l10861,1820r-9816,l1014,1814r-26,-17l971,1772r-6,-32l965,281r6,-31l988,225r26,-18l1045,201xe" filled="f" strokecolor="#ccc">
              <v:path arrowok="t"/>
            </v:shape>
            <v:shape id="_x0000_s3285" type="#_x0000_t202" style="position:absolute;left:984;top:216;width:9938;height:1589" filled="f" stroked="f">
              <v:textbox inset="0,0,0,0">
                <w:txbxContent>
                  <w:p w14:paraId="3FA951F9" w14:textId="77777777" w:rsidR="00711A16" w:rsidRDefault="00711A16">
                    <w:pPr>
                      <w:spacing w:before="221"/>
                      <w:ind w:left="200"/>
                      <w:rPr>
                        <w:rFonts w:ascii="MS Gothic"/>
                      </w:rPr>
                    </w:pPr>
                    <w:r>
                      <w:rPr>
                        <w:rFonts w:ascii="MS Gothic"/>
                        <w:color w:val="333333"/>
                      </w:rPr>
                      <w:t>{</w:t>
                    </w:r>
                  </w:p>
                  <w:p w14:paraId="5DBA8B9B" w14:textId="77777777" w:rsidR="00711A16" w:rsidRDefault="00711A16">
                    <w:pPr>
                      <w:spacing w:before="13" w:line="252" w:lineRule="auto"/>
                      <w:ind w:left="640" w:right="7628"/>
                      <w:rPr>
                        <w:rFonts w:ascii="MS Gothic"/>
                      </w:rPr>
                    </w:pPr>
                    <w:r>
                      <w:rPr>
                        <w:rFonts w:ascii="MS Gothic"/>
                        <w:color w:val="333333"/>
                      </w:rPr>
                      <w:t>"name": "test", "counter": 42</w:t>
                    </w:r>
                  </w:p>
                  <w:p w14:paraId="588AA474"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2084A98E" w14:textId="77777777" w:rsidR="00A720EB" w:rsidRDefault="00A720EB">
      <w:pPr>
        <w:pStyle w:val="a3"/>
        <w:spacing w:before="11"/>
        <w:rPr>
          <w:sz w:val="9"/>
        </w:rPr>
      </w:pPr>
    </w:p>
    <w:p w14:paraId="1C69780B" w14:textId="77777777" w:rsidR="00A720EB" w:rsidRDefault="0030286B">
      <w:pPr>
        <w:pStyle w:val="a3"/>
        <w:spacing w:before="115" w:line="290" w:lineRule="auto"/>
        <w:ind w:left="124"/>
      </w:pPr>
      <w:r>
        <w:rPr>
          <w:color w:val="333333"/>
          <w:w w:val="110"/>
        </w:rPr>
        <w:t xml:space="preserve">This can be used to invoke a write operation that takes </w:t>
      </w:r>
      <w:r>
        <w:rPr>
          <w:rFonts w:ascii="MS Gothic"/>
          <w:color w:val="B02045"/>
          <w:w w:val="110"/>
        </w:rPr>
        <w:t>String name</w:t>
      </w:r>
      <w:r>
        <w:rPr>
          <w:rFonts w:ascii="MS Gothic"/>
          <w:color w:val="B02045"/>
          <w:spacing w:val="-62"/>
          <w:w w:val="110"/>
        </w:rPr>
        <w:t xml:space="preserve"> </w:t>
      </w:r>
      <w:r>
        <w:rPr>
          <w:color w:val="333333"/>
          <w:w w:val="110"/>
        </w:rPr>
        <w:t xml:space="preserve">and </w:t>
      </w:r>
      <w:r>
        <w:rPr>
          <w:rFonts w:ascii="MS Gothic"/>
          <w:color w:val="B02045"/>
          <w:w w:val="110"/>
        </w:rPr>
        <w:t>int counter</w:t>
      </w:r>
      <w:r>
        <w:rPr>
          <w:rFonts w:ascii="MS Gothic"/>
          <w:color w:val="B02045"/>
          <w:spacing w:val="-62"/>
          <w:w w:val="110"/>
        </w:rPr>
        <w:t xml:space="preserve"> </w:t>
      </w:r>
      <w:r>
        <w:rPr>
          <w:color w:val="333333"/>
          <w:w w:val="110"/>
        </w:rPr>
        <w:t>parameters, as shown in the following example:</w:t>
      </w:r>
    </w:p>
    <w:p w14:paraId="152EEE1A" w14:textId="77777777" w:rsidR="00A720EB" w:rsidRDefault="00E10349">
      <w:pPr>
        <w:pStyle w:val="a3"/>
        <w:spacing w:before="8"/>
        <w:rPr>
          <w:sz w:val="14"/>
        </w:rPr>
      </w:pPr>
      <w:r>
        <w:pict w14:anchorId="48365CF8">
          <v:group id="_x0000_s3280" style="position:absolute;margin-left:47.85pt;margin-top:10.6pt;width:499.55pt;height:81.75pt;z-index:-15256576;mso-wrap-distance-left:0;mso-wrap-distance-right:0;mso-position-horizontal-relative:page" coordorigin="957,212" coordsize="9991,1635">
            <v:shape id="_x0000_s3283" style="position:absolute;left:964;top:219;width:9976;height:1620" coordorigin="965,219" coordsize="9976,1620" path="m10861,219r-9816,l1014,226r-26,17l971,268r-6,31l965,1758r6,32l988,1815r26,17l1045,1838r9816,l10892,1832r25,-17l10935,1790r6,-32l10941,299r-6,-31l10917,243r-25,-17l10861,219xe" fillcolor="#f5f5f5" stroked="f">
              <v:path arrowok="t"/>
            </v:shape>
            <v:shape id="_x0000_s3282" style="position:absolute;left:964;top:219;width:9976;height:1620" coordorigin="965,219" coordsize="9976,1620" path="m1045,219r9816,l10892,226r25,17l10935,268r6,31l10941,1758r-6,32l10917,1815r-25,17l10861,1838r-9816,l1014,1832r-26,-17l971,1790r-6,-32l965,299r6,-31l988,243r26,-17l1045,219xe" filled="f" strokecolor="#ccc">
              <v:path arrowok="t"/>
            </v:shape>
            <v:shape id="_x0000_s3281" type="#_x0000_t202" style="position:absolute;left:984;top:234;width:9938;height:1589" filled="f" stroked="f">
              <v:textbox inset="0,0,0,0">
                <w:txbxContent>
                  <w:p w14:paraId="3228B074" w14:textId="77777777" w:rsidR="00711A16" w:rsidRDefault="00711A16">
                    <w:pPr>
                      <w:spacing w:before="221"/>
                      <w:ind w:left="200"/>
                      <w:rPr>
                        <w:rFonts w:ascii="MS Gothic"/>
                      </w:rPr>
                    </w:pPr>
                    <w:r>
                      <w:rPr>
                        <w:rFonts w:ascii="MS Gothic"/>
                        <w:color w:val="333333"/>
                      </w:rPr>
                      <w:t>@WriteOperation</w:t>
                    </w:r>
                  </w:p>
                  <w:p w14:paraId="5E062A2E" w14:textId="77777777" w:rsidR="00711A16" w:rsidRDefault="00711A16">
                    <w:pPr>
                      <w:spacing w:before="13"/>
                      <w:ind w:left="200"/>
                      <w:rPr>
                        <w:rFonts w:ascii="MS Gothic"/>
                      </w:rPr>
                    </w:pPr>
                    <w:r>
                      <w:rPr>
                        <w:rFonts w:ascii="MS Gothic"/>
                        <w:color w:val="333333"/>
                      </w:rPr>
                      <w:t xml:space="preserve">public void </w:t>
                    </w:r>
                    <w:proofErr w:type="gramStart"/>
                    <w:r>
                      <w:rPr>
                        <w:rFonts w:ascii="MS Gothic"/>
                        <w:color w:val="333333"/>
                      </w:rPr>
                      <w:t>updateCustomData(</w:t>
                    </w:r>
                    <w:proofErr w:type="gramEnd"/>
                    <w:r>
                      <w:rPr>
                        <w:rFonts w:ascii="MS Gothic"/>
                        <w:color w:val="333333"/>
                      </w:rPr>
                      <w:t>String name, int counter) {</w:t>
                    </w:r>
                  </w:p>
                  <w:p w14:paraId="2D8D10F6" w14:textId="77777777" w:rsidR="00711A16" w:rsidRDefault="00711A16">
                    <w:pPr>
                      <w:spacing w:before="13"/>
                      <w:ind w:left="640"/>
                      <w:rPr>
                        <w:rFonts w:ascii="MS Gothic"/>
                      </w:rPr>
                    </w:pPr>
                    <w:r>
                      <w:rPr>
                        <w:rFonts w:ascii="MS Gothic"/>
                        <w:color w:val="333333"/>
                      </w:rPr>
                      <w:t>// injects "test" and 42</w:t>
                    </w:r>
                  </w:p>
                  <w:p w14:paraId="17D07693"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44712673" w14:textId="77777777" w:rsidR="00A720EB" w:rsidRDefault="00A720EB">
      <w:pPr>
        <w:pStyle w:val="a3"/>
        <w:spacing w:before="10"/>
        <w:rPr>
          <w:sz w:val="16"/>
        </w:rPr>
      </w:pPr>
    </w:p>
    <w:p w14:paraId="43DCDCCC" w14:textId="77777777" w:rsidR="00A720EB" w:rsidRDefault="00E10349">
      <w:pPr>
        <w:pStyle w:val="a3"/>
        <w:spacing w:before="125" w:line="290" w:lineRule="auto"/>
        <w:ind w:left="1564" w:right="362"/>
        <w:jc w:val="both"/>
      </w:pPr>
      <w:r>
        <w:pict w14:anchorId="68998210">
          <v:line id="_x0000_s3279" style="position:absolute;left:0;text-align:left;z-index:16201216;mso-position-horizontal-relative:page" from="108.25pt,.25pt" to="108.25pt,55.6pt" strokecolor="#ededed" strokeweight=".5pt">
            <w10:wrap anchorx="page"/>
          </v:line>
        </w:pict>
      </w:r>
      <w:r w:rsidR="0030286B">
        <w:rPr>
          <w:noProof/>
        </w:rPr>
        <w:drawing>
          <wp:anchor distT="0" distB="0" distL="0" distR="0" simplePos="0" relativeHeight="16201728" behindDoc="0" locked="0" layoutInCell="1" allowOverlap="1" wp14:anchorId="641F9633" wp14:editId="2AD1FC11">
            <wp:simplePos x="0" y="0"/>
            <wp:positionH relativeFrom="page">
              <wp:posOffset>888949</wp:posOffset>
            </wp:positionH>
            <wp:positionV relativeFrom="paragraph">
              <wp:posOffset>202349</wp:posOffset>
            </wp:positionV>
            <wp:extent cx="209550" cy="304800"/>
            <wp:effectExtent l="0" t="0" r="0" b="0"/>
            <wp:wrapNone/>
            <wp:docPr id="58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2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Because endpoints are technology agnostic, only simple types can be </w:t>
      </w:r>
      <w:proofErr w:type="gramStart"/>
      <w:r w:rsidR="0030286B">
        <w:rPr>
          <w:color w:val="333333"/>
          <w:w w:val="110"/>
        </w:rPr>
        <w:t>specified  in</w:t>
      </w:r>
      <w:proofErr w:type="gramEnd"/>
      <w:r w:rsidR="0030286B">
        <w:rPr>
          <w:color w:val="333333"/>
          <w:w w:val="110"/>
        </w:rPr>
        <w:t xml:space="preserve"> the method signature. In particular declaring a single parameter with a </w:t>
      </w:r>
      <w:r w:rsidR="0030286B">
        <w:rPr>
          <w:rFonts w:ascii="MS Gothic"/>
          <w:color w:val="B02045"/>
          <w:w w:val="110"/>
        </w:rPr>
        <w:t xml:space="preserve">CustomData </w:t>
      </w:r>
      <w:r w:rsidR="0030286B">
        <w:rPr>
          <w:color w:val="333333"/>
          <w:w w:val="110"/>
        </w:rPr>
        <w:t>type</w:t>
      </w:r>
      <w:r w:rsidR="0030286B">
        <w:rPr>
          <w:color w:val="333333"/>
          <w:spacing w:val="1"/>
          <w:w w:val="110"/>
        </w:rPr>
        <w:t xml:space="preserve"> </w:t>
      </w:r>
      <w:r w:rsidR="0030286B">
        <w:rPr>
          <w:color w:val="333333"/>
          <w:w w:val="110"/>
        </w:rPr>
        <w:t>defining a</w:t>
      </w:r>
      <w:r w:rsidR="0030286B">
        <w:rPr>
          <w:color w:val="333333"/>
          <w:spacing w:val="3"/>
          <w:w w:val="110"/>
        </w:rPr>
        <w:t xml:space="preserve"> </w:t>
      </w:r>
      <w:r w:rsidR="0030286B">
        <w:rPr>
          <w:rFonts w:ascii="MS Gothic"/>
          <w:color w:val="B02045"/>
          <w:w w:val="110"/>
        </w:rPr>
        <w:t>name</w:t>
      </w:r>
      <w:r w:rsidR="0030286B">
        <w:rPr>
          <w:rFonts w:ascii="MS Gothic"/>
          <w:color w:val="B02045"/>
          <w:spacing w:val="-64"/>
          <w:w w:val="110"/>
        </w:rPr>
        <w:t xml:space="preserve"> </w:t>
      </w:r>
      <w:r w:rsidR="0030286B">
        <w:rPr>
          <w:color w:val="333333"/>
          <w:w w:val="110"/>
        </w:rPr>
        <w:t>and</w:t>
      </w:r>
      <w:r w:rsidR="0030286B">
        <w:rPr>
          <w:color w:val="333333"/>
          <w:spacing w:val="2"/>
          <w:w w:val="110"/>
        </w:rPr>
        <w:t xml:space="preserve"> </w:t>
      </w:r>
      <w:r w:rsidR="0030286B">
        <w:rPr>
          <w:rFonts w:ascii="MS Gothic"/>
          <w:color w:val="B02045"/>
          <w:w w:val="110"/>
        </w:rPr>
        <w:t>counter</w:t>
      </w:r>
      <w:r w:rsidR="0030286B">
        <w:rPr>
          <w:rFonts w:ascii="MS Gothic"/>
          <w:color w:val="B02045"/>
          <w:spacing w:val="-64"/>
          <w:w w:val="110"/>
        </w:rPr>
        <w:t xml:space="preserve"> </w:t>
      </w:r>
      <w:r w:rsidR="0030286B">
        <w:rPr>
          <w:color w:val="333333"/>
          <w:w w:val="110"/>
        </w:rPr>
        <w:t>properties</w:t>
      </w:r>
      <w:r w:rsidR="0030286B">
        <w:rPr>
          <w:color w:val="333333"/>
          <w:spacing w:val="1"/>
          <w:w w:val="110"/>
        </w:rPr>
        <w:t xml:space="preserve"> </w:t>
      </w:r>
      <w:r w:rsidR="0030286B">
        <w:rPr>
          <w:color w:val="333333"/>
          <w:w w:val="110"/>
        </w:rPr>
        <w:t>is not</w:t>
      </w:r>
      <w:r w:rsidR="0030286B">
        <w:rPr>
          <w:color w:val="333333"/>
          <w:spacing w:val="2"/>
          <w:w w:val="110"/>
        </w:rPr>
        <w:t xml:space="preserve"> </w:t>
      </w:r>
      <w:r w:rsidR="0030286B">
        <w:rPr>
          <w:color w:val="333333"/>
          <w:w w:val="110"/>
        </w:rPr>
        <w:t>supported.</w:t>
      </w:r>
    </w:p>
    <w:p w14:paraId="0B0F61D8" w14:textId="77777777" w:rsidR="00A720EB" w:rsidRDefault="00A720EB">
      <w:pPr>
        <w:pStyle w:val="a3"/>
        <w:spacing w:before="3"/>
        <w:rPr>
          <w:sz w:val="23"/>
        </w:rPr>
      </w:pPr>
    </w:p>
    <w:p w14:paraId="682945E0" w14:textId="77777777" w:rsidR="00A720EB" w:rsidRDefault="00E10349">
      <w:pPr>
        <w:pStyle w:val="a3"/>
        <w:spacing w:before="125" w:line="292" w:lineRule="auto"/>
        <w:ind w:left="1564" w:right="363"/>
        <w:jc w:val="both"/>
      </w:pPr>
      <w:r>
        <w:pict w14:anchorId="54BFF456">
          <v:line id="_x0000_s3278" style="position:absolute;left:0;text-align:left;z-index:16202240;mso-position-horizontal-relative:page" from="108.25pt,.25pt" to="108.25pt,87.15pt" strokecolor="#ededed" strokeweight=".5pt">
            <w10:wrap anchorx="page"/>
          </v:line>
        </w:pict>
      </w:r>
      <w:r w:rsidR="0030286B">
        <w:rPr>
          <w:noProof/>
        </w:rPr>
        <w:drawing>
          <wp:anchor distT="0" distB="0" distL="0" distR="0" simplePos="0" relativeHeight="16202752" behindDoc="0" locked="0" layoutInCell="1" allowOverlap="1" wp14:anchorId="630D711D" wp14:editId="15B958A1">
            <wp:simplePos x="0" y="0"/>
            <wp:positionH relativeFrom="page">
              <wp:posOffset>844422</wp:posOffset>
            </wp:positionH>
            <wp:positionV relativeFrom="paragraph">
              <wp:posOffset>405930</wp:posOffset>
            </wp:positionV>
            <wp:extent cx="298450" cy="298450"/>
            <wp:effectExtent l="0" t="0" r="0" b="0"/>
            <wp:wrapNone/>
            <wp:docPr id="5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4"/>
          <w:w w:val="110"/>
        </w:rPr>
        <w:t xml:space="preserve">To </w:t>
      </w:r>
      <w:r w:rsidR="0030286B">
        <w:rPr>
          <w:color w:val="333333"/>
          <w:w w:val="110"/>
        </w:rPr>
        <w:t xml:space="preserve">allow the input to be mapped to the operation method’s parameters, Java code implementing an endpoint should be compiled with </w:t>
      </w:r>
      <w:r w:rsidR="0030286B">
        <w:rPr>
          <w:rFonts w:ascii="MS Gothic" w:hAnsi="MS Gothic"/>
          <w:color w:val="B02045"/>
          <w:w w:val="110"/>
        </w:rPr>
        <w:t>-parameters</w:t>
      </w:r>
      <w:r w:rsidR="0030286B">
        <w:rPr>
          <w:color w:val="333333"/>
          <w:w w:val="110"/>
        </w:rPr>
        <w:t xml:space="preserve">, and Kotlin code implementing an endpoint should be compiled with </w:t>
      </w:r>
      <w:r w:rsidR="0030286B">
        <w:rPr>
          <w:rFonts w:ascii="MS Gothic" w:hAnsi="MS Gothic"/>
          <w:color w:val="B02045"/>
          <w:w w:val="110"/>
        </w:rPr>
        <w:t>-java-parameters</w:t>
      </w:r>
      <w:r w:rsidR="0030286B">
        <w:rPr>
          <w:color w:val="333333"/>
          <w:w w:val="110"/>
        </w:rPr>
        <w:t>. This will happen automatically if you are using Spring Boot’s Gradle plugin or if you are</w:t>
      </w:r>
      <w:r w:rsidR="0030286B">
        <w:rPr>
          <w:color w:val="333333"/>
          <w:spacing w:val="50"/>
          <w:w w:val="110"/>
        </w:rPr>
        <w:t xml:space="preserve"> </w:t>
      </w:r>
      <w:r w:rsidR="0030286B">
        <w:rPr>
          <w:color w:val="333333"/>
          <w:w w:val="110"/>
        </w:rPr>
        <w:t>using Maven and</w:t>
      </w:r>
      <w:r w:rsidR="0030286B">
        <w:rPr>
          <w:color w:val="333333"/>
          <w:spacing w:val="1"/>
          <w:w w:val="110"/>
        </w:rPr>
        <w:t xml:space="preserve"> </w:t>
      </w:r>
      <w:r w:rsidR="0030286B">
        <w:rPr>
          <w:rFonts w:ascii="MS Gothic" w:hAnsi="MS Gothic"/>
          <w:color w:val="B02045"/>
          <w:w w:val="110"/>
        </w:rPr>
        <w:t>spring-boot-starter-parent</w:t>
      </w:r>
      <w:r w:rsidR="0030286B">
        <w:rPr>
          <w:color w:val="333333"/>
          <w:w w:val="110"/>
        </w:rPr>
        <w:t>.</w:t>
      </w:r>
    </w:p>
    <w:p w14:paraId="126A9B3D" w14:textId="77777777" w:rsidR="00A720EB" w:rsidRDefault="00A720EB">
      <w:pPr>
        <w:pStyle w:val="a3"/>
        <w:spacing w:before="10"/>
        <w:rPr>
          <w:sz w:val="22"/>
        </w:rPr>
      </w:pPr>
    </w:p>
    <w:p w14:paraId="1ED2261D" w14:textId="77777777" w:rsidR="00A720EB" w:rsidRDefault="0030286B">
      <w:pPr>
        <w:spacing w:before="104"/>
        <w:ind w:left="124"/>
        <w:jc w:val="both"/>
        <w:rPr>
          <w:rFonts w:ascii="Palatino Linotype"/>
          <w:b/>
          <w:sz w:val="18"/>
        </w:rPr>
      </w:pPr>
      <w:r>
        <w:rPr>
          <w:rFonts w:ascii="Palatino Linotype"/>
          <w:b/>
          <w:color w:val="333333"/>
          <w:w w:val="110"/>
          <w:sz w:val="18"/>
        </w:rPr>
        <w:t>Input type conversion</w:t>
      </w:r>
    </w:p>
    <w:p w14:paraId="7F0CEDCA" w14:textId="77777777" w:rsidR="00A720EB" w:rsidRDefault="00A720EB">
      <w:pPr>
        <w:pStyle w:val="a3"/>
        <w:spacing w:before="12"/>
        <w:rPr>
          <w:rFonts w:ascii="Palatino Linotype"/>
          <w:b/>
          <w:sz w:val="18"/>
        </w:rPr>
      </w:pPr>
    </w:p>
    <w:p w14:paraId="2E0B549F" w14:textId="77777777" w:rsidR="00A720EB" w:rsidRDefault="0030286B">
      <w:pPr>
        <w:pStyle w:val="a3"/>
        <w:spacing w:line="295" w:lineRule="auto"/>
        <w:ind w:left="124" w:right="123"/>
        <w:jc w:val="both"/>
      </w:pPr>
      <w:r>
        <w:rPr>
          <w:color w:val="333333"/>
          <w:w w:val="110"/>
        </w:rPr>
        <w:t xml:space="preserve">The parameters passed to endpoint operation methods are, if necessary, automatically converted to the required type. Before calling an operation method, the input received via JMX or </w:t>
      </w:r>
      <w:proofErr w:type="gramStart"/>
      <w:r>
        <w:rPr>
          <w:color w:val="333333"/>
          <w:w w:val="110"/>
        </w:rPr>
        <w:t>an  HTTP</w:t>
      </w:r>
      <w:proofErr w:type="gramEnd"/>
      <w:r>
        <w:rPr>
          <w:color w:val="333333"/>
          <w:w w:val="110"/>
        </w:rPr>
        <w:t xml:space="preserve"> request</w:t>
      </w:r>
      <w:r>
        <w:rPr>
          <w:color w:val="333333"/>
          <w:spacing w:val="-16"/>
          <w:w w:val="110"/>
        </w:rPr>
        <w:t xml:space="preserve"> </w:t>
      </w:r>
      <w:r>
        <w:rPr>
          <w:color w:val="333333"/>
          <w:w w:val="110"/>
        </w:rPr>
        <w:t>is</w:t>
      </w:r>
      <w:r>
        <w:rPr>
          <w:color w:val="333333"/>
          <w:spacing w:val="-16"/>
          <w:w w:val="110"/>
        </w:rPr>
        <w:t xml:space="preserve"> </w:t>
      </w:r>
      <w:r>
        <w:rPr>
          <w:color w:val="333333"/>
          <w:w w:val="110"/>
        </w:rPr>
        <w:t>converted</w:t>
      </w:r>
      <w:r>
        <w:rPr>
          <w:color w:val="333333"/>
          <w:spacing w:val="-16"/>
          <w:w w:val="110"/>
        </w:rPr>
        <w:t xml:space="preserve"> </w:t>
      </w:r>
      <w:r>
        <w:rPr>
          <w:color w:val="333333"/>
          <w:w w:val="110"/>
        </w:rPr>
        <w:t>to</w:t>
      </w:r>
      <w:r>
        <w:rPr>
          <w:color w:val="333333"/>
          <w:spacing w:val="-16"/>
          <w:w w:val="110"/>
        </w:rPr>
        <w:t xml:space="preserve"> </w:t>
      </w:r>
      <w:r>
        <w:rPr>
          <w:color w:val="333333"/>
          <w:w w:val="110"/>
        </w:rPr>
        <w:t>the</w:t>
      </w:r>
      <w:r>
        <w:rPr>
          <w:color w:val="333333"/>
          <w:spacing w:val="-16"/>
          <w:w w:val="110"/>
        </w:rPr>
        <w:t xml:space="preserve"> </w:t>
      </w:r>
      <w:r>
        <w:rPr>
          <w:color w:val="333333"/>
          <w:w w:val="110"/>
        </w:rPr>
        <w:t>required</w:t>
      </w:r>
      <w:r>
        <w:rPr>
          <w:color w:val="333333"/>
          <w:spacing w:val="-16"/>
          <w:w w:val="110"/>
        </w:rPr>
        <w:t xml:space="preserve"> </w:t>
      </w:r>
      <w:r>
        <w:rPr>
          <w:color w:val="333333"/>
          <w:w w:val="110"/>
        </w:rPr>
        <w:t>types</w:t>
      </w:r>
      <w:r>
        <w:rPr>
          <w:color w:val="333333"/>
          <w:spacing w:val="-15"/>
          <w:w w:val="110"/>
        </w:rPr>
        <w:t xml:space="preserve"> </w:t>
      </w:r>
      <w:r>
        <w:rPr>
          <w:color w:val="333333"/>
          <w:w w:val="110"/>
        </w:rPr>
        <w:t>using</w:t>
      </w:r>
      <w:r>
        <w:rPr>
          <w:color w:val="333333"/>
          <w:spacing w:val="-16"/>
          <w:w w:val="110"/>
        </w:rPr>
        <w:t xml:space="preserve"> </w:t>
      </w:r>
      <w:r>
        <w:rPr>
          <w:color w:val="333333"/>
          <w:w w:val="110"/>
        </w:rPr>
        <w:t>an</w:t>
      </w:r>
      <w:r>
        <w:rPr>
          <w:color w:val="333333"/>
          <w:spacing w:val="-16"/>
          <w:w w:val="110"/>
        </w:rPr>
        <w:t xml:space="preserve"> </w:t>
      </w:r>
      <w:r>
        <w:rPr>
          <w:color w:val="333333"/>
          <w:w w:val="110"/>
        </w:rPr>
        <w:t>instance</w:t>
      </w:r>
      <w:r>
        <w:rPr>
          <w:color w:val="333333"/>
          <w:spacing w:val="-16"/>
          <w:w w:val="110"/>
        </w:rPr>
        <w:t xml:space="preserve"> </w:t>
      </w:r>
      <w:r>
        <w:rPr>
          <w:color w:val="333333"/>
          <w:w w:val="110"/>
        </w:rPr>
        <w:t>of</w:t>
      </w:r>
      <w:r>
        <w:rPr>
          <w:color w:val="333333"/>
          <w:spacing w:val="-13"/>
          <w:w w:val="110"/>
        </w:rPr>
        <w:t xml:space="preserve"> </w:t>
      </w:r>
      <w:r>
        <w:rPr>
          <w:rFonts w:ascii="MS Gothic"/>
          <w:color w:val="B02045"/>
          <w:w w:val="110"/>
        </w:rPr>
        <w:t>ApplicationConversionService</w:t>
      </w:r>
      <w:r>
        <w:rPr>
          <w:rFonts w:ascii="MS Gothic"/>
          <w:color w:val="B02045"/>
          <w:spacing w:val="-80"/>
          <w:w w:val="110"/>
        </w:rPr>
        <w:t xml:space="preserve"> </w:t>
      </w:r>
      <w:r>
        <w:rPr>
          <w:color w:val="333333"/>
          <w:w w:val="110"/>
        </w:rPr>
        <w:t>as</w:t>
      </w:r>
      <w:r>
        <w:rPr>
          <w:color w:val="333333"/>
          <w:spacing w:val="-16"/>
          <w:w w:val="110"/>
        </w:rPr>
        <w:t xml:space="preserve"> </w:t>
      </w:r>
      <w:r>
        <w:rPr>
          <w:color w:val="333333"/>
          <w:w w:val="110"/>
        </w:rPr>
        <w:t>well as</w:t>
      </w:r>
      <w:r>
        <w:rPr>
          <w:color w:val="333333"/>
          <w:spacing w:val="-6"/>
          <w:w w:val="110"/>
        </w:rPr>
        <w:t xml:space="preserve"> </w:t>
      </w:r>
      <w:r>
        <w:rPr>
          <w:color w:val="333333"/>
          <w:w w:val="110"/>
        </w:rPr>
        <w:t>any</w:t>
      </w:r>
      <w:r>
        <w:rPr>
          <w:color w:val="333333"/>
          <w:spacing w:val="-5"/>
          <w:w w:val="110"/>
        </w:rPr>
        <w:t xml:space="preserve"> </w:t>
      </w:r>
      <w:r>
        <w:rPr>
          <w:rFonts w:ascii="MS Gothic"/>
          <w:color w:val="B02045"/>
          <w:w w:val="110"/>
        </w:rPr>
        <w:t>Converter</w:t>
      </w:r>
      <w:r>
        <w:rPr>
          <w:rFonts w:ascii="MS Gothic"/>
          <w:color w:val="B02045"/>
          <w:spacing w:val="-70"/>
          <w:w w:val="110"/>
        </w:rPr>
        <w:t xml:space="preserve"> </w:t>
      </w:r>
      <w:r>
        <w:rPr>
          <w:color w:val="333333"/>
          <w:w w:val="110"/>
        </w:rPr>
        <w:t>or</w:t>
      </w:r>
      <w:r>
        <w:rPr>
          <w:color w:val="333333"/>
          <w:spacing w:val="-4"/>
          <w:w w:val="110"/>
        </w:rPr>
        <w:t xml:space="preserve"> </w:t>
      </w:r>
      <w:r>
        <w:rPr>
          <w:rFonts w:ascii="MS Gothic"/>
          <w:color w:val="B02045"/>
          <w:w w:val="110"/>
        </w:rPr>
        <w:t>GenericConverter</w:t>
      </w:r>
      <w:r>
        <w:rPr>
          <w:rFonts w:ascii="MS Gothic"/>
          <w:color w:val="B02045"/>
          <w:spacing w:val="-70"/>
          <w:w w:val="110"/>
        </w:rPr>
        <w:t xml:space="preserve"> </w:t>
      </w:r>
      <w:r>
        <w:rPr>
          <w:color w:val="333333"/>
          <w:w w:val="110"/>
        </w:rPr>
        <w:t>beans</w:t>
      </w:r>
      <w:r>
        <w:rPr>
          <w:color w:val="333333"/>
          <w:spacing w:val="-6"/>
          <w:w w:val="110"/>
        </w:rPr>
        <w:t xml:space="preserve"> </w:t>
      </w:r>
      <w:r>
        <w:rPr>
          <w:color w:val="333333"/>
          <w:w w:val="110"/>
        </w:rPr>
        <w:t>qualified</w:t>
      </w:r>
      <w:r>
        <w:rPr>
          <w:color w:val="333333"/>
          <w:spacing w:val="-5"/>
          <w:w w:val="110"/>
        </w:rPr>
        <w:t xml:space="preserve"> </w:t>
      </w:r>
      <w:r>
        <w:rPr>
          <w:color w:val="333333"/>
          <w:w w:val="110"/>
        </w:rPr>
        <w:t>with</w:t>
      </w:r>
      <w:r>
        <w:rPr>
          <w:color w:val="333333"/>
          <w:spacing w:val="-3"/>
          <w:w w:val="110"/>
        </w:rPr>
        <w:t xml:space="preserve"> </w:t>
      </w:r>
      <w:r>
        <w:rPr>
          <w:rFonts w:ascii="MS Gothic"/>
          <w:color w:val="B02045"/>
          <w:w w:val="110"/>
        </w:rPr>
        <w:t>@EndpointConverter</w:t>
      </w:r>
      <w:r>
        <w:rPr>
          <w:color w:val="333333"/>
          <w:w w:val="110"/>
        </w:rPr>
        <w:t>.</w:t>
      </w:r>
    </w:p>
    <w:p w14:paraId="03BA2385" w14:textId="77777777" w:rsidR="00A720EB" w:rsidRDefault="00A720EB">
      <w:pPr>
        <w:pStyle w:val="a3"/>
        <w:spacing w:before="1"/>
        <w:rPr>
          <w:sz w:val="25"/>
        </w:rPr>
      </w:pPr>
    </w:p>
    <w:p w14:paraId="16F14AEF" w14:textId="77777777" w:rsidR="00A720EB" w:rsidRDefault="0030286B">
      <w:pPr>
        <w:pStyle w:val="4"/>
        <w:spacing w:before="1"/>
      </w:pPr>
      <w:bookmarkStart w:id="572" w:name="Custom_Web_Endpoints"/>
      <w:bookmarkEnd w:id="572"/>
      <w:r>
        <w:rPr>
          <w:color w:val="333333"/>
          <w:w w:val="110"/>
        </w:rPr>
        <w:t>Custom</w:t>
      </w:r>
      <w:r>
        <w:rPr>
          <w:color w:val="333333"/>
          <w:spacing w:val="-29"/>
          <w:w w:val="110"/>
        </w:rPr>
        <w:t xml:space="preserve"> </w:t>
      </w:r>
      <w:r>
        <w:rPr>
          <w:color w:val="333333"/>
          <w:spacing w:val="-5"/>
          <w:w w:val="110"/>
        </w:rPr>
        <w:t>Web</w:t>
      </w:r>
      <w:r>
        <w:rPr>
          <w:color w:val="333333"/>
          <w:spacing w:val="-28"/>
          <w:w w:val="110"/>
        </w:rPr>
        <w:t xml:space="preserve"> </w:t>
      </w:r>
      <w:r>
        <w:rPr>
          <w:color w:val="333333"/>
          <w:w w:val="110"/>
        </w:rPr>
        <w:t>Endpoints</w:t>
      </w:r>
    </w:p>
    <w:p w14:paraId="41D46D58" w14:textId="77777777" w:rsidR="00A720EB" w:rsidRDefault="0030286B">
      <w:pPr>
        <w:pStyle w:val="a3"/>
        <w:spacing w:before="243" w:line="300" w:lineRule="auto"/>
        <w:ind w:left="124" w:right="127"/>
        <w:jc w:val="both"/>
      </w:pPr>
      <w:r>
        <w:rPr>
          <w:color w:val="333333"/>
          <w:w w:val="110"/>
        </w:rPr>
        <w:t>Operations</w:t>
      </w:r>
      <w:r>
        <w:rPr>
          <w:color w:val="333333"/>
          <w:spacing w:val="-23"/>
          <w:w w:val="110"/>
        </w:rPr>
        <w:t xml:space="preserve"> </w:t>
      </w:r>
      <w:r>
        <w:rPr>
          <w:color w:val="333333"/>
          <w:w w:val="110"/>
        </w:rPr>
        <w:t>on</w:t>
      </w:r>
      <w:r>
        <w:rPr>
          <w:color w:val="333333"/>
          <w:spacing w:val="-23"/>
          <w:w w:val="110"/>
        </w:rPr>
        <w:t xml:space="preserve"> </w:t>
      </w:r>
      <w:r>
        <w:rPr>
          <w:color w:val="333333"/>
          <w:w w:val="110"/>
        </w:rPr>
        <w:t>an</w:t>
      </w:r>
      <w:r>
        <w:rPr>
          <w:color w:val="333333"/>
          <w:spacing w:val="-22"/>
          <w:w w:val="110"/>
        </w:rPr>
        <w:t xml:space="preserve"> </w:t>
      </w:r>
      <w:r>
        <w:rPr>
          <w:rFonts w:ascii="MS Gothic"/>
          <w:color w:val="B02045"/>
          <w:w w:val="110"/>
        </w:rPr>
        <w:t>@Endpoint</w:t>
      </w:r>
      <w:r>
        <w:rPr>
          <w:color w:val="333333"/>
          <w:w w:val="110"/>
        </w:rPr>
        <w:t>,</w:t>
      </w:r>
      <w:r>
        <w:rPr>
          <w:color w:val="333333"/>
          <w:spacing w:val="-22"/>
          <w:w w:val="110"/>
        </w:rPr>
        <w:t xml:space="preserve"> </w:t>
      </w:r>
      <w:r>
        <w:rPr>
          <w:rFonts w:ascii="MS Gothic"/>
          <w:color w:val="B02045"/>
          <w:w w:val="110"/>
        </w:rPr>
        <w:t>@WebEndpoint</w:t>
      </w:r>
      <w:r>
        <w:rPr>
          <w:color w:val="333333"/>
          <w:w w:val="110"/>
        </w:rPr>
        <w:t>,</w:t>
      </w:r>
      <w:r>
        <w:rPr>
          <w:color w:val="333333"/>
          <w:spacing w:val="-23"/>
          <w:w w:val="110"/>
        </w:rPr>
        <w:t xml:space="preserve"> </w:t>
      </w:r>
      <w:r>
        <w:rPr>
          <w:color w:val="333333"/>
          <w:w w:val="110"/>
        </w:rPr>
        <w:t>or</w:t>
      </w:r>
      <w:r>
        <w:rPr>
          <w:color w:val="333333"/>
          <w:spacing w:val="-22"/>
          <w:w w:val="110"/>
        </w:rPr>
        <w:t xml:space="preserve"> </w:t>
      </w:r>
      <w:r>
        <w:rPr>
          <w:rFonts w:ascii="MS Gothic"/>
          <w:color w:val="B02045"/>
          <w:w w:val="110"/>
        </w:rPr>
        <w:t>@EndpointWebExtension</w:t>
      </w:r>
      <w:r>
        <w:rPr>
          <w:rFonts w:ascii="MS Gothic"/>
          <w:color w:val="B02045"/>
          <w:spacing w:val="-87"/>
          <w:w w:val="110"/>
        </w:rPr>
        <w:t xml:space="preserve"> </w:t>
      </w:r>
      <w:r>
        <w:rPr>
          <w:color w:val="333333"/>
          <w:w w:val="110"/>
        </w:rPr>
        <w:t>are</w:t>
      </w:r>
      <w:r>
        <w:rPr>
          <w:color w:val="333333"/>
          <w:spacing w:val="-23"/>
          <w:w w:val="110"/>
        </w:rPr>
        <w:t xml:space="preserve"> </w:t>
      </w:r>
      <w:r>
        <w:rPr>
          <w:color w:val="333333"/>
          <w:w w:val="110"/>
        </w:rPr>
        <w:t>automatically</w:t>
      </w:r>
      <w:r>
        <w:rPr>
          <w:color w:val="333333"/>
          <w:spacing w:val="-23"/>
          <w:w w:val="110"/>
        </w:rPr>
        <w:t xml:space="preserve"> </w:t>
      </w:r>
      <w:r>
        <w:rPr>
          <w:color w:val="333333"/>
          <w:w w:val="110"/>
        </w:rPr>
        <w:t>exposed</w:t>
      </w:r>
      <w:r>
        <w:rPr>
          <w:color w:val="333333"/>
          <w:spacing w:val="-23"/>
          <w:w w:val="110"/>
        </w:rPr>
        <w:t xml:space="preserve"> </w:t>
      </w:r>
      <w:r>
        <w:rPr>
          <w:color w:val="333333"/>
          <w:w w:val="110"/>
        </w:rPr>
        <w:t xml:space="preserve">over HTTP using </w:t>
      </w:r>
      <w:r>
        <w:rPr>
          <w:color w:val="333333"/>
          <w:spacing w:val="-4"/>
          <w:w w:val="110"/>
        </w:rPr>
        <w:t xml:space="preserve">Jersey, </w:t>
      </w:r>
      <w:r>
        <w:rPr>
          <w:color w:val="333333"/>
          <w:w w:val="110"/>
        </w:rPr>
        <w:t xml:space="preserve">Spring MVC, or Spring </w:t>
      </w:r>
      <w:r>
        <w:rPr>
          <w:color w:val="333333"/>
          <w:spacing w:val="-3"/>
          <w:w w:val="110"/>
        </w:rPr>
        <w:t xml:space="preserve">WebFlux. </w:t>
      </w:r>
      <w:r>
        <w:rPr>
          <w:color w:val="333333"/>
          <w:w w:val="110"/>
        </w:rPr>
        <w:t>If both Jersey and Spring MVC are available, Spring MVC will be</w:t>
      </w:r>
      <w:r>
        <w:rPr>
          <w:color w:val="333333"/>
          <w:spacing w:val="10"/>
          <w:w w:val="110"/>
        </w:rPr>
        <w:t xml:space="preserve"> </w:t>
      </w:r>
      <w:r>
        <w:rPr>
          <w:color w:val="333333"/>
          <w:w w:val="110"/>
        </w:rPr>
        <w:t>used.</w:t>
      </w:r>
    </w:p>
    <w:p w14:paraId="0D739D7E" w14:textId="77777777" w:rsidR="00A720EB" w:rsidRDefault="00A720EB">
      <w:pPr>
        <w:spacing w:line="300" w:lineRule="auto"/>
        <w:jc w:val="both"/>
        <w:sectPr w:rsidR="00A720EB">
          <w:pgSz w:w="11910" w:h="16840"/>
          <w:pgMar w:top="620" w:right="840" w:bottom="520" w:left="840" w:header="0" w:footer="323" w:gutter="0"/>
          <w:cols w:space="720"/>
        </w:sectPr>
      </w:pPr>
    </w:p>
    <w:p w14:paraId="276D9A0E" w14:textId="77777777" w:rsidR="00A720EB" w:rsidRDefault="0030286B">
      <w:pPr>
        <w:spacing w:before="85"/>
        <w:ind w:left="124"/>
        <w:rPr>
          <w:rFonts w:ascii="Palatino Linotype"/>
          <w:b/>
          <w:sz w:val="18"/>
        </w:rPr>
      </w:pPr>
      <w:r>
        <w:rPr>
          <w:rFonts w:ascii="Palatino Linotype"/>
          <w:b/>
          <w:color w:val="333333"/>
          <w:w w:val="110"/>
          <w:sz w:val="18"/>
        </w:rPr>
        <w:lastRenderedPageBreak/>
        <w:t>Web Endpoint Request Predicates</w:t>
      </w:r>
    </w:p>
    <w:p w14:paraId="32BBD62A" w14:textId="77777777" w:rsidR="00A720EB" w:rsidRDefault="00A720EB">
      <w:pPr>
        <w:pStyle w:val="a3"/>
        <w:spacing w:before="12"/>
        <w:rPr>
          <w:rFonts w:ascii="Palatino Linotype"/>
          <w:b/>
          <w:sz w:val="18"/>
        </w:rPr>
      </w:pPr>
    </w:p>
    <w:p w14:paraId="6B13E33F" w14:textId="77777777" w:rsidR="00A720EB" w:rsidRDefault="0030286B">
      <w:pPr>
        <w:pStyle w:val="a3"/>
        <w:ind w:left="124"/>
        <w:jc w:val="both"/>
      </w:pPr>
      <w:r>
        <w:rPr>
          <w:color w:val="333333"/>
          <w:w w:val="110"/>
        </w:rPr>
        <w:t>A request predicate is automatically generated for each operation on a web-exposed endpoint.</w:t>
      </w:r>
    </w:p>
    <w:p w14:paraId="7501C77E" w14:textId="77777777" w:rsidR="00A720EB" w:rsidRDefault="00A720EB">
      <w:pPr>
        <w:pStyle w:val="a3"/>
        <w:spacing w:before="5"/>
        <w:rPr>
          <w:sz w:val="31"/>
        </w:rPr>
      </w:pPr>
    </w:p>
    <w:p w14:paraId="604F2448" w14:textId="77777777" w:rsidR="00A720EB" w:rsidRDefault="0030286B">
      <w:pPr>
        <w:ind w:left="124"/>
        <w:rPr>
          <w:rFonts w:ascii="Palatino Linotype"/>
          <w:b/>
          <w:sz w:val="18"/>
        </w:rPr>
      </w:pPr>
      <w:r>
        <w:rPr>
          <w:rFonts w:ascii="Palatino Linotype"/>
          <w:b/>
          <w:color w:val="333333"/>
          <w:w w:val="110"/>
          <w:sz w:val="18"/>
        </w:rPr>
        <w:t>Path</w:t>
      </w:r>
    </w:p>
    <w:p w14:paraId="572FD391" w14:textId="77777777" w:rsidR="00A720EB" w:rsidRDefault="00A720EB">
      <w:pPr>
        <w:pStyle w:val="a3"/>
        <w:spacing w:before="12"/>
        <w:rPr>
          <w:rFonts w:ascii="Palatino Linotype"/>
          <w:b/>
          <w:sz w:val="18"/>
        </w:rPr>
      </w:pPr>
    </w:p>
    <w:p w14:paraId="60D453B7" w14:textId="77777777" w:rsidR="00A720EB" w:rsidRDefault="0030286B">
      <w:pPr>
        <w:pStyle w:val="a3"/>
        <w:spacing w:line="290" w:lineRule="auto"/>
        <w:ind w:left="124" w:right="123"/>
        <w:jc w:val="both"/>
      </w:pPr>
      <w:r>
        <w:rPr>
          <w:color w:val="333333"/>
          <w:w w:val="110"/>
        </w:rPr>
        <w:t xml:space="preserve">The path of the predicate is determined </w:t>
      </w:r>
      <w:r>
        <w:rPr>
          <w:color w:val="333333"/>
          <w:spacing w:val="-3"/>
          <w:w w:val="110"/>
        </w:rPr>
        <w:t xml:space="preserve">by </w:t>
      </w:r>
      <w:r>
        <w:rPr>
          <w:color w:val="333333"/>
          <w:w w:val="110"/>
        </w:rPr>
        <w:t xml:space="preserve">the ID of the endpoint and the base path of web-exposed endpoints. The default base path is </w:t>
      </w:r>
      <w:r>
        <w:rPr>
          <w:rFonts w:ascii="MS Gothic"/>
          <w:color w:val="B02045"/>
          <w:w w:val="110"/>
        </w:rPr>
        <w:t>/actuator</w:t>
      </w:r>
      <w:r>
        <w:rPr>
          <w:color w:val="333333"/>
          <w:w w:val="110"/>
        </w:rPr>
        <w:t xml:space="preserve">. </w:t>
      </w:r>
      <w:r>
        <w:rPr>
          <w:color w:val="333333"/>
          <w:spacing w:val="-4"/>
          <w:w w:val="110"/>
        </w:rPr>
        <w:t xml:space="preserve">For </w:t>
      </w:r>
      <w:r>
        <w:rPr>
          <w:color w:val="333333"/>
          <w:w w:val="110"/>
        </w:rPr>
        <w:t xml:space="preserve">example, an endpoint with the ID </w:t>
      </w:r>
      <w:r>
        <w:rPr>
          <w:rFonts w:ascii="MS Gothic"/>
          <w:color w:val="B02045"/>
          <w:w w:val="110"/>
        </w:rPr>
        <w:t xml:space="preserve">sessions </w:t>
      </w:r>
      <w:r>
        <w:rPr>
          <w:color w:val="333333"/>
          <w:w w:val="110"/>
        </w:rPr>
        <w:t xml:space="preserve">will use </w:t>
      </w:r>
      <w:r>
        <w:rPr>
          <w:rFonts w:ascii="MS Gothic"/>
          <w:color w:val="B02045"/>
          <w:w w:val="110"/>
        </w:rPr>
        <w:t>/actuator/sessions</w:t>
      </w:r>
      <w:r>
        <w:rPr>
          <w:rFonts w:ascii="MS Gothic"/>
          <w:color w:val="B02045"/>
          <w:spacing w:val="-58"/>
          <w:w w:val="110"/>
        </w:rPr>
        <w:t xml:space="preserve"> </w:t>
      </w:r>
      <w:r>
        <w:rPr>
          <w:color w:val="333333"/>
          <w:w w:val="110"/>
        </w:rPr>
        <w:t>as its path in the predicate.</w:t>
      </w:r>
    </w:p>
    <w:p w14:paraId="4C9C7EDA" w14:textId="77777777" w:rsidR="00A720EB" w:rsidRDefault="0030286B">
      <w:pPr>
        <w:pStyle w:val="a3"/>
        <w:spacing w:before="238" w:line="292" w:lineRule="auto"/>
        <w:ind w:left="124" w:right="122"/>
        <w:jc w:val="both"/>
      </w:pPr>
      <w:r>
        <w:rPr>
          <w:color w:val="333333"/>
          <w:w w:val="110"/>
        </w:rPr>
        <w:t xml:space="preserve">The path can be further customized by annotating one or more parameters of the operation method with </w:t>
      </w:r>
      <w:r>
        <w:rPr>
          <w:rFonts w:ascii="MS Gothic" w:hAnsi="MS Gothic"/>
          <w:color w:val="B02045"/>
          <w:w w:val="110"/>
        </w:rPr>
        <w:t>@Selector</w:t>
      </w:r>
      <w:r>
        <w:rPr>
          <w:color w:val="333333"/>
          <w:w w:val="110"/>
        </w:rPr>
        <w:t xml:space="preserve">. Such a parameter is added to the path predicate as a path variable. The </w:t>
      </w:r>
      <w:proofErr w:type="gramStart"/>
      <w:r>
        <w:rPr>
          <w:color w:val="333333"/>
          <w:w w:val="110"/>
        </w:rPr>
        <w:t>variable’s  value</w:t>
      </w:r>
      <w:proofErr w:type="gramEnd"/>
      <w:r>
        <w:rPr>
          <w:color w:val="333333"/>
          <w:w w:val="110"/>
        </w:rPr>
        <w:t xml:space="preserve"> is passed into the operation method when the endpoint operation is invoked. If you want </w:t>
      </w:r>
      <w:proofErr w:type="gramStart"/>
      <w:r>
        <w:rPr>
          <w:color w:val="333333"/>
          <w:w w:val="110"/>
        </w:rPr>
        <w:t>to  capture</w:t>
      </w:r>
      <w:proofErr w:type="gramEnd"/>
      <w:r>
        <w:rPr>
          <w:color w:val="333333"/>
          <w:w w:val="110"/>
        </w:rPr>
        <w:t xml:space="preserve"> all remaining path elements, you can add </w:t>
      </w:r>
      <w:r>
        <w:rPr>
          <w:rFonts w:ascii="MS Gothic" w:hAnsi="MS Gothic"/>
          <w:color w:val="B02045"/>
          <w:w w:val="110"/>
        </w:rPr>
        <w:t xml:space="preserve">@Selector(Match=ALL_REMAINING) </w:t>
      </w:r>
      <w:r>
        <w:rPr>
          <w:color w:val="333333"/>
          <w:w w:val="110"/>
        </w:rPr>
        <w:t xml:space="preserve">to the last parameter and make it a type that is conversion compatible with a </w:t>
      </w:r>
      <w:r>
        <w:rPr>
          <w:rFonts w:ascii="MS Gothic" w:hAnsi="MS Gothic"/>
          <w:color w:val="B02045"/>
          <w:w w:val="110"/>
        </w:rPr>
        <w:t>String[]</w:t>
      </w:r>
      <w:r>
        <w:rPr>
          <w:color w:val="333333"/>
          <w:w w:val="110"/>
        </w:rPr>
        <w:t>.</w:t>
      </w:r>
    </w:p>
    <w:p w14:paraId="2ABB5633" w14:textId="77777777" w:rsidR="00A720EB" w:rsidRDefault="00A720EB">
      <w:pPr>
        <w:pStyle w:val="a3"/>
        <w:spacing w:before="10"/>
        <w:rPr>
          <w:sz w:val="24"/>
        </w:rPr>
      </w:pPr>
    </w:p>
    <w:p w14:paraId="6FE6B6AB" w14:textId="77777777" w:rsidR="00A720EB" w:rsidRDefault="0030286B">
      <w:pPr>
        <w:ind w:left="124"/>
        <w:rPr>
          <w:rFonts w:ascii="Palatino Linotype"/>
          <w:b/>
          <w:sz w:val="18"/>
        </w:rPr>
      </w:pPr>
      <w:r>
        <w:rPr>
          <w:rFonts w:ascii="Palatino Linotype"/>
          <w:b/>
          <w:color w:val="333333"/>
          <w:w w:val="110"/>
          <w:sz w:val="18"/>
        </w:rPr>
        <w:t>HTTP method</w:t>
      </w:r>
    </w:p>
    <w:p w14:paraId="00FABDA7" w14:textId="77777777" w:rsidR="00A720EB" w:rsidRDefault="00A720EB">
      <w:pPr>
        <w:pStyle w:val="a3"/>
        <w:spacing w:before="12"/>
        <w:rPr>
          <w:rFonts w:ascii="Palatino Linotype"/>
          <w:b/>
          <w:sz w:val="18"/>
        </w:rPr>
      </w:pPr>
    </w:p>
    <w:p w14:paraId="2E4A6924" w14:textId="77777777" w:rsidR="00A720EB" w:rsidRDefault="0030286B">
      <w:pPr>
        <w:pStyle w:val="a3"/>
        <w:spacing w:line="307" w:lineRule="auto"/>
        <w:ind w:left="124" w:right="132"/>
        <w:jc w:val="both"/>
      </w:pPr>
      <w:r>
        <w:rPr>
          <w:color w:val="333333"/>
          <w:w w:val="110"/>
        </w:rPr>
        <w:t>The HTTP method of the predicate is determined by the operation type, as shown in the following table:</w:t>
      </w:r>
    </w:p>
    <w:p w14:paraId="77B049C4" w14:textId="77777777" w:rsidR="00A720EB" w:rsidRDefault="00A720EB">
      <w:pPr>
        <w:pStyle w:val="a3"/>
        <w:spacing w:before="8"/>
        <w:rPr>
          <w:sz w:val="1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482"/>
        <w:gridCol w:w="2494"/>
      </w:tblGrid>
      <w:tr w:rsidR="00A720EB" w14:paraId="79933E72" w14:textId="77777777">
        <w:trPr>
          <w:trHeight w:val="415"/>
        </w:trPr>
        <w:tc>
          <w:tcPr>
            <w:tcW w:w="7482" w:type="dxa"/>
            <w:tcBorders>
              <w:bottom w:val="single" w:sz="12" w:space="0" w:color="DDDDDD"/>
            </w:tcBorders>
          </w:tcPr>
          <w:p w14:paraId="410AD8AE" w14:textId="77777777" w:rsidR="00A720EB" w:rsidRDefault="0030286B">
            <w:pPr>
              <w:pStyle w:val="TableParagraph"/>
              <w:spacing w:before="74"/>
              <w:rPr>
                <w:rFonts w:ascii="Palatino Linotype"/>
                <w:b/>
                <w:sz w:val="21"/>
              </w:rPr>
            </w:pPr>
            <w:r>
              <w:rPr>
                <w:rFonts w:ascii="Palatino Linotype"/>
                <w:b/>
                <w:color w:val="333333"/>
                <w:w w:val="110"/>
                <w:sz w:val="21"/>
              </w:rPr>
              <w:t>Operation</w:t>
            </w:r>
          </w:p>
        </w:tc>
        <w:tc>
          <w:tcPr>
            <w:tcW w:w="2494" w:type="dxa"/>
            <w:tcBorders>
              <w:bottom w:val="single" w:sz="12" w:space="0" w:color="DDDDDD"/>
            </w:tcBorders>
          </w:tcPr>
          <w:p w14:paraId="58275FCE" w14:textId="77777777" w:rsidR="00A720EB" w:rsidRDefault="0030286B">
            <w:pPr>
              <w:pStyle w:val="TableParagraph"/>
              <w:spacing w:before="74"/>
              <w:ind w:left="59"/>
              <w:rPr>
                <w:rFonts w:ascii="Palatino Linotype"/>
                <w:b/>
                <w:sz w:val="21"/>
              </w:rPr>
            </w:pPr>
            <w:r>
              <w:rPr>
                <w:rFonts w:ascii="Palatino Linotype"/>
                <w:b/>
                <w:color w:val="333333"/>
                <w:w w:val="110"/>
                <w:sz w:val="21"/>
              </w:rPr>
              <w:t>HTTP method</w:t>
            </w:r>
          </w:p>
        </w:tc>
      </w:tr>
      <w:tr w:rsidR="00A720EB" w14:paraId="024E055B" w14:textId="77777777">
        <w:trPr>
          <w:trHeight w:val="358"/>
        </w:trPr>
        <w:tc>
          <w:tcPr>
            <w:tcW w:w="7482" w:type="dxa"/>
            <w:tcBorders>
              <w:top w:val="single" w:sz="12" w:space="0" w:color="DDDDDD"/>
            </w:tcBorders>
          </w:tcPr>
          <w:p w14:paraId="20CF88BD" w14:textId="77777777" w:rsidR="00A720EB" w:rsidRDefault="0030286B">
            <w:pPr>
              <w:pStyle w:val="TableParagraph"/>
              <w:spacing w:before="30"/>
              <w:rPr>
                <w:sz w:val="21"/>
              </w:rPr>
            </w:pPr>
            <w:r>
              <w:rPr>
                <w:color w:val="B02045"/>
                <w:sz w:val="21"/>
              </w:rPr>
              <w:t>@ReadOperation</w:t>
            </w:r>
          </w:p>
        </w:tc>
        <w:tc>
          <w:tcPr>
            <w:tcW w:w="2494" w:type="dxa"/>
            <w:tcBorders>
              <w:top w:val="single" w:sz="12" w:space="0" w:color="DDDDDD"/>
            </w:tcBorders>
          </w:tcPr>
          <w:p w14:paraId="54BD6EBC" w14:textId="77777777" w:rsidR="00A720EB" w:rsidRDefault="0030286B">
            <w:pPr>
              <w:pStyle w:val="TableParagraph"/>
              <w:spacing w:before="30"/>
              <w:ind w:left="59"/>
              <w:rPr>
                <w:sz w:val="21"/>
              </w:rPr>
            </w:pPr>
            <w:r>
              <w:rPr>
                <w:color w:val="B02045"/>
                <w:sz w:val="21"/>
              </w:rPr>
              <w:t>GET</w:t>
            </w:r>
          </w:p>
        </w:tc>
      </w:tr>
      <w:tr w:rsidR="00A720EB" w14:paraId="59322037" w14:textId="77777777">
        <w:trPr>
          <w:trHeight w:val="368"/>
        </w:trPr>
        <w:tc>
          <w:tcPr>
            <w:tcW w:w="7482" w:type="dxa"/>
          </w:tcPr>
          <w:p w14:paraId="06302C7C" w14:textId="77777777" w:rsidR="00A720EB" w:rsidRDefault="0030286B">
            <w:pPr>
              <w:pStyle w:val="TableParagraph"/>
              <w:spacing w:before="40"/>
              <w:rPr>
                <w:sz w:val="21"/>
              </w:rPr>
            </w:pPr>
            <w:r>
              <w:rPr>
                <w:color w:val="B02045"/>
                <w:sz w:val="21"/>
              </w:rPr>
              <w:t>@WriteOperation</w:t>
            </w:r>
          </w:p>
        </w:tc>
        <w:tc>
          <w:tcPr>
            <w:tcW w:w="2494" w:type="dxa"/>
          </w:tcPr>
          <w:p w14:paraId="01273BEA" w14:textId="77777777" w:rsidR="00A720EB" w:rsidRDefault="0030286B">
            <w:pPr>
              <w:pStyle w:val="TableParagraph"/>
              <w:spacing w:before="40"/>
              <w:ind w:left="59"/>
              <w:rPr>
                <w:sz w:val="21"/>
              </w:rPr>
            </w:pPr>
            <w:r>
              <w:rPr>
                <w:color w:val="B02045"/>
                <w:sz w:val="21"/>
              </w:rPr>
              <w:t>POST</w:t>
            </w:r>
          </w:p>
        </w:tc>
      </w:tr>
      <w:tr w:rsidR="00A720EB" w14:paraId="6D473715" w14:textId="77777777">
        <w:trPr>
          <w:trHeight w:val="368"/>
        </w:trPr>
        <w:tc>
          <w:tcPr>
            <w:tcW w:w="7482" w:type="dxa"/>
          </w:tcPr>
          <w:p w14:paraId="730AD2F8" w14:textId="77777777" w:rsidR="00A720EB" w:rsidRDefault="0030286B">
            <w:pPr>
              <w:pStyle w:val="TableParagraph"/>
              <w:spacing w:before="40"/>
              <w:rPr>
                <w:sz w:val="21"/>
              </w:rPr>
            </w:pPr>
            <w:r>
              <w:rPr>
                <w:color w:val="B02045"/>
                <w:sz w:val="21"/>
              </w:rPr>
              <w:t>@DeleteOperation</w:t>
            </w:r>
          </w:p>
        </w:tc>
        <w:tc>
          <w:tcPr>
            <w:tcW w:w="2494" w:type="dxa"/>
          </w:tcPr>
          <w:p w14:paraId="014C7593" w14:textId="77777777" w:rsidR="00A720EB" w:rsidRDefault="0030286B">
            <w:pPr>
              <w:pStyle w:val="TableParagraph"/>
              <w:spacing w:before="40"/>
              <w:ind w:left="59"/>
              <w:rPr>
                <w:sz w:val="21"/>
              </w:rPr>
            </w:pPr>
            <w:r>
              <w:rPr>
                <w:color w:val="B02045"/>
                <w:sz w:val="21"/>
              </w:rPr>
              <w:t>DELETE</w:t>
            </w:r>
          </w:p>
        </w:tc>
      </w:tr>
    </w:tbl>
    <w:p w14:paraId="601900B0" w14:textId="77777777" w:rsidR="00A720EB" w:rsidRDefault="00A720EB">
      <w:pPr>
        <w:pStyle w:val="a3"/>
        <w:spacing w:before="6"/>
        <w:rPr>
          <w:sz w:val="28"/>
        </w:rPr>
      </w:pPr>
    </w:p>
    <w:p w14:paraId="3A3C4012" w14:textId="77777777" w:rsidR="00A720EB" w:rsidRDefault="0030286B">
      <w:pPr>
        <w:ind w:left="124"/>
        <w:rPr>
          <w:rFonts w:ascii="Palatino Linotype"/>
          <w:b/>
          <w:sz w:val="18"/>
        </w:rPr>
      </w:pPr>
      <w:r>
        <w:rPr>
          <w:rFonts w:ascii="Palatino Linotype"/>
          <w:b/>
          <w:color w:val="333333"/>
          <w:w w:val="110"/>
          <w:sz w:val="18"/>
        </w:rPr>
        <w:t>Consumes</w:t>
      </w:r>
    </w:p>
    <w:p w14:paraId="3472CE1A" w14:textId="77777777" w:rsidR="00A720EB" w:rsidRDefault="00A720EB">
      <w:pPr>
        <w:pStyle w:val="a3"/>
        <w:spacing w:before="1"/>
        <w:rPr>
          <w:rFonts w:ascii="Palatino Linotype"/>
          <w:b/>
          <w:sz w:val="18"/>
        </w:rPr>
      </w:pPr>
    </w:p>
    <w:p w14:paraId="335993F0" w14:textId="77777777" w:rsidR="00A720EB" w:rsidRDefault="0030286B">
      <w:pPr>
        <w:pStyle w:val="a3"/>
        <w:spacing w:line="285" w:lineRule="auto"/>
        <w:ind w:left="124" w:right="124"/>
        <w:jc w:val="both"/>
      </w:pPr>
      <w:r>
        <w:rPr>
          <w:color w:val="333333"/>
          <w:spacing w:val="-4"/>
          <w:w w:val="110"/>
        </w:rPr>
        <w:t xml:space="preserve">For </w:t>
      </w:r>
      <w:r>
        <w:rPr>
          <w:color w:val="333333"/>
          <w:w w:val="110"/>
        </w:rPr>
        <w:t xml:space="preserve">a </w:t>
      </w:r>
      <w:r>
        <w:rPr>
          <w:rFonts w:ascii="MS Gothic"/>
          <w:color w:val="B02045"/>
          <w:w w:val="110"/>
        </w:rPr>
        <w:t>@WriteOperation</w:t>
      </w:r>
      <w:r>
        <w:rPr>
          <w:rFonts w:ascii="MS Gothic"/>
          <w:color w:val="B02045"/>
          <w:spacing w:val="-52"/>
          <w:w w:val="110"/>
        </w:rPr>
        <w:t xml:space="preserve"> </w:t>
      </w:r>
      <w:r>
        <w:rPr>
          <w:color w:val="333333"/>
          <w:w w:val="110"/>
        </w:rPr>
        <w:t xml:space="preserve">(HTTP </w:t>
      </w:r>
      <w:r>
        <w:rPr>
          <w:rFonts w:ascii="MS Gothic"/>
          <w:color w:val="B02045"/>
          <w:w w:val="110"/>
        </w:rPr>
        <w:t>POST</w:t>
      </w:r>
      <w:r>
        <w:rPr>
          <w:color w:val="333333"/>
          <w:w w:val="110"/>
        </w:rPr>
        <w:t xml:space="preserve">) that uses the request </w:t>
      </w:r>
      <w:r>
        <w:rPr>
          <w:color w:val="333333"/>
          <w:spacing w:val="-5"/>
          <w:w w:val="110"/>
        </w:rPr>
        <w:t xml:space="preserve">body, </w:t>
      </w:r>
      <w:r>
        <w:rPr>
          <w:color w:val="333333"/>
          <w:w w:val="110"/>
        </w:rPr>
        <w:t xml:space="preserve">the consumes clause of the predicate </w:t>
      </w:r>
      <w:r>
        <w:rPr>
          <w:color w:val="333333"/>
          <w:w w:val="105"/>
        </w:rPr>
        <w:t xml:space="preserve">is </w:t>
      </w:r>
      <w:proofErr w:type="gramStart"/>
      <w:r>
        <w:rPr>
          <w:rFonts w:ascii="MS Gothic"/>
          <w:color w:val="B02045"/>
          <w:w w:val="105"/>
        </w:rPr>
        <w:t>application/vnd.spring-boot.actuator.v</w:t>
      </w:r>
      <w:proofErr w:type="gramEnd"/>
      <w:r>
        <w:rPr>
          <w:rFonts w:ascii="MS Gothic"/>
          <w:color w:val="B02045"/>
          <w:w w:val="105"/>
        </w:rPr>
        <w:t>2+json, application/json</w:t>
      </w:r>
      <w:r>
        <w:rPr>
          <w:color w:val="333333"/>
          <w:w w:val="105"/>
        </w:rPr>
        <w:t xml:space="preserve">. </w:t>
      </w:r>
      <w:r>
        <w:rPr>
          <w:color w:val="333333"/>
          <w:spacing w:val="-4"/>
          <w:w w:val="105"/>
        </w:rPr>
        <w:t xml:space="preserve">For </w:t>
      </w:r>
      <w:r>
        <w:rPr>
          <w:color w:val="333333"/>
          <w:w w:val="105"/>
        </w:rPr>
        <w:t xml:space="preserve">all other operations the </w:t>
      </w:r>
      <w:r>
        <w:rPr>
          <w:color w:val="333333"/>
          <w:w w:val="110"/>
        </w:rPr>
        <w:t xml:space="preserve">consumes clause is </w:t>
      </w:r>
      <w:r>
        <w:rPr>
          <w:color w:val="333333"/>
          <w:spacing w:val="-4"/>
          <w:w w:val="110"/>
        </w:rPr>
        <w:t>empty.</w:t>
      </w:r>
    </w:p>
    <w:p w14:paraId="0E8D2586" w14:textId="77777777" w:rsidR="00A720EB" w:rsidRDefault="00A720EB">
      <w:pPr>
        <w:pStyle w:val="a3"/>
        <w:spacing w:before="7"/>
        <w:rPr>
          <w:sz w:val="27"/>
        </w:rPr>
      </w:pPr>
    </w:p>
    <w:p w14:paraId="57E53628" w14:textId="77777777" w:rsidR="00A720EB" w:rsidRDefault="0030286B">
      <w:pPr>
        <w:ind w:left="124"/>
        <w:rPr>
          <w:rFonts w:ascii="Palatino Linotype"/>
          <w:b/>
          <w:sz w:val="18"/>
        </w:rPr>
      </w:pPr>
      <w:r>
        <w:rPr>
          <w:rFonts w:ascii="Palatino Linotype"/>
          <w:b/>
          <w:color w:val="333333"/>
          <w:w w:val="110"/>
          <w:sz w:val="18"/>
        </w:rPr>
        <w:t>Produces</w:t>
      </w:r>
    </w:p>
    <w:p w14:paraId="0F5B8A61" w14:textId="77777777" w:rsidR="00A720EB" w:rsidRDefault="00A720EB">
      <w:pPr>
        <w:pStyle w:val="a3"/>
        <w:spacing w:before="1"/>
        <w:rPr>
          <w:rFonts w:ascii="Palatino Linotype"/>
          <w:b/>
          <w:sz w:val="18"/>
        </w:rPr>
      </w:pPr>
    </w:p>
    <w:p w14:paraId="45D869A7" w14:textId="77777777" w:rsidR="00A720EB" w:rsidRDefault="0030286B">
      <w:pPr>
        <w:pStyle w:val="a3"/>
        <w:spacing w:line="285" w:lineRule="auto"/>
        <w:ind w:left="124" w:right="125"/>
        <w:jc w:val="both"/>
      </w:pPr>
      <w:r>
        <w:rPr>
          <w:color w:val="333333"/>
          <w:w w:val="110"/>
        </w:rPr>
        <w:t xml:space="preserve">The produces clause of the predicate can be determined </w:t>
      </w:r>
      <w:r>
        <w:rPr>
          <w:color w:val="333333"/>
          <w:spacing w:val="-3"/>
          <w:w w:val="110"/>
        </w:rPr>
        <w:t xml:space="preserve">by </w:t>
      </w:r>
      <w:r>
        <w:rPr>
          <w:color w:val="333333"/>
          <w:w w:val="110"/>
        </w:rPr>
        <w:t xml:space="preserve">the </w:t>
      </w:r>
      <w:r>
        <w:rPr>
          <w:rFonts w:ascii="MS Gothic"/>
          <w:color w:val="B02045"/>
          <w:w w:val="110"/>
        </w:rPr>
        <w:t xml:space="preserve">produces </w:t>
      </w:r>
      <w:r>
        <w:rPr>
          <w:color w:val="333333"/>
          <w:w w:val="110"/>
        </w:rPr>
        <w:t xml:space="preserve">attribute of the </w:t>
      </w:r>
      <w:r>
        <w:rPr>
          <w:rFonts w:ascii="MS Gothic"/>
          <w:color w:val="B02045"/>
          <w:w w:val="110"/>
        </w:rPr>
        <w:t>@DeleteOperation</w:t>
      </w:r>
      <w:r>
        <w:rPr>
          <w:color w:val="333333"/>
          <w:w w:val="110"/>
        </w:rPr>
        <w:t>,</w:t>
      </w:r>
      <w:r>
        <w:rPr>
          <w:color w:val="333333"/>
          <w:spacing w:val="-20"/>
          <w:w w:val="110"/>
        </w:rPr>
        <w:t xml:space="preserve"> </w:t>
      </w:r>
      <w:r>
        <w:rPr>
          <w:rFonts w:ascii="MS Gothic"/>
          <w:color w:val="B02045"/>
          <w:w w:val="110"/>
        </w:rPr>
        <w:t>@ReadOperation</w:t>
      </w:r>
      <w:r>
        <w:rPr>
          <w:color w:val="333333"/>
          <w:w w:val="110"/>
        </w:rPr>
        <w:t>,</w:t>
      </w:r>
      <w:r>
        <w:rPr>
          <w:color w:val="333333"/>
          <w:spacing w:val="-20"/>
          <w:w w:val="110"/>
        </w:rPr>
        <w:t xml:space="preserve"> </w:t>
      </w:r>
      <w:r>
        <w:rPr>
          <w:color w:val="333333"/>
          <w:w w:val="110"/>
        </w:rPr>
        <w:t>and</w:t>
      </w:r>
      <w:r>
        <w:rPr>
          <w:color w:val="333333"/>
          <w:spacing w:val="-20"/>
          <w:w w:val="110"/>
        </w:rPr>
        <w:t xml:space="preserve"> </w:t>
      </w:r>
      <w:r>
        <w:rPr>
          <w:rFonts w:ascii="MS Gothic"/>
          <w:color w:val="B02045"/>
          <w:w w:val="110"/>
        </w:rPr>
        <w:t>@WriteOperation</w:t>
      </w:r>
      <w:r>
        <w:rPr>
          <w:rFonts w:ascii="MS Gothic"/>
          <w:color w:val="B02045"/>
          <w:spacing w:val="-84"/>
          <w:w w:val="110"/>
        </w:rPr>
        <w:t xml:space="preserve"> </w:t>
      </w:r>
      <w:r>
        <w:rPr>
          <w:color w:val="333333"/>
          <w:w w:val="110"/>
        </w:rPr>
        <w:t>annotations.</w:t>
      </w:r>
      <w:r>
        <w:rPr>
          <w:color w:val="333333"/>
          <w:spacing w:val="-20"/>
          <w:w w:val="110"/>
        </w:rPr>
        <w:t xml:space="preserve"> </w:t>
      </w:r>
      <w:r>
        <w:rPr>
          <w:color w:val="333333"/>
          <w:w w:val="110"/>
        </w:rPr>
        <w:t>The</w:t>
      </w:r>
      <w:r>
        <w:rPr>
          <w:color w:val="333333"/>
          <w:spacing w:val="-20"/>
          <w:w w:val="110"/>
        </w:rPr>
        <w:t xml:space="preserve"> </w:t>
      </w:r>
      <w:r>
        <w:rPr>
          <w:color w:val="333333"/>
          <w:w w:val="110"/>
        </w:rPr>
        <w:t>attribute</w:t>
      </w:r>
      <w:r>
        <w:rPr>
          <w:color w:val="333333"/>
          <w:spacing w:val="-20"/>
          <w:w w:val="110"/>
        </w:rPr>
        <w:t xml:space="preserve"> </w:t>
      </w:r>
      <w:r>
        <w:rPr>
          <w:color w:val="333333"/>
          <w:w w:val="110"/>
        </w:rPr>
        <w:t>is</w:t>
      </w:r>
      <w:r>
        <w:rPr>
          <w:color w:val="333333"/>
          <w:spacing w:val="-20"/>
          <w:w w:val="110"/>
        </w:rPr>
        <w:t xml:space="preserve"> </w:t>
      </w:r>
      <w:r>
        <w:rPr>
          <w:color w:val="333333"/>
          <w:w w:val="110"/>
        </w:rPr>
        <w:t>optional.</w:t>
      </w:r>
      <w:r>
        <w:rPr>
          <w:color w:val="333333"/>
          <w:spacing w:val="-20"/>
          <w:w w:val="110"/>
        </w:rPr>
        <w:t xml:space="preserve"> </w:t>
      </w:r>
      <w:r>
        <w:rPr>
          <w:color w:val="333333"/>
          <w:w w:val="110"/>
        </w:rPr>
        <w:t>If</w:t>
      </w:r>
      <w:r>
        <w:rPr>
          <w:color w:val="333333"/>
          <w:spacing w:val="-20"/>
          <w:w w:val="110"/>
        </w:rPr>
        <w:t xml:space="preserve"> </w:t>
      </w:r>
      <w:r>
        <w:rPr>
          <w:color w:val="333333"/>
          <w:w w:val="110"/>
        </w:rPr>
        <w:t>it</w:t>
      </w:r>
      <w:r>
        <w:rPr>
          <w:color w:val="333333"/>
          <w:spacing w:val="-20"/>
          <w:w w:val="110"/>
        </w:rPr>
        <w:t xml:space="preserve"> </w:t>
      </w:r>
      <w:r>
        <w:rPr>
          <w:color w:val="333333"/>
          <w:w w:val="110"/>
        </w:rPr>
        <w:t>is not used, the produces clause is determined</w:t>
      </w:r>
      <w:r>
        <w:rPr>
          <w:color w:val="333333"/>
          <w:spacing w:val="24"/>
          <w:w w:val="110"/>
        </w:rPr>
        <w:t xml:space="preserve"> </w:t>
      </w:r>
      <w:r>
        <w:rPr>
          <w:color w:val="333333"/>
          <w:spacing w:val="-3"/>
          <w:w w:val="110"/>
        </w:rPr>
        <w:t>automatically.</w:t>
      </w:r>
    </w:p>
    <w:p w14:paraId="1A5A1146" w14:textId="77777777" w:rsidR="00A720EB" w:rsidRDefault="00A720EB">
      <w:pPr>
        <w:pStyle w:val="a3"/>
        <w:spacing w:before="7"/>
      </w:pPr>
    </w:p>
    <w:p w14:paraId="0C556999" w14:textId="77777777" w:rsidR="00A720EB" w:rsidRDefault="0030286B">
      <w:pPr>
        <w:pStyle w:val="a3"/>
        <w:spacing w:line="280" w:lineRule="auto"/>
        <w:ind w:left="124" w:right="122"/>
        <w:jc w:val="both"/>
      </w:pPr>
      <w:r>
        <w:rPr>
          <w:color w:val="333333"/>
          <w:w w:val="110"/>
        </w:rPr>
        <w:t xml:space="preserve">If the operation method returns </w:t>
      </w:r>
      <w:r>
        <w:rPr>
          <w:rFonts w:ascii="MS Gothic"/>
          <w:color w:val="B02045"/>
          <w:w w:val="110"/>
        </w:rPr>
        <w:t xml:space="preserve">void </w:t>
      </w:r>
      <w:r>
        <w:rPr>
          <w:color w:val="333333"/>
          <w:w w:val="110"/>
        </w:rPr>
        <w:t xml:space="preserve">or </w:t>
      </w:r>
      <w:r>
        <w:rPr>
          <w:rFonts w:ascii="MS Gothic"/>
          <w:color w:val="B02045"/>
          <w:w w:val="110"/>
        </w:rPr>
        <w:t xml:space="preserve">Void </w:t>
      </w:r>
      <w:r>
        <w:rPr>
          <w:color w:val="333333"/>
          <w:w w:val="110"/>
        </w:rPr>
        <w:t xml:space="preserve">the produces clause is empty. If the operation method </w:t>
      </w:r>
      <w:r>
        <w:rPr>
          <w:color w:val="333333"/>
          <w:w w:val="105"/>
        </w:rPr>
        <w:t xml:space="preserve">returns a </w:t>
      </w:r>
      <w:proofErr w:type="gramStart"/>
      <w:r>
        <w:rPr>
          <w:rFonts w:ascii="MS Gothic"/>
          <w:color w:val="B02045"/>
          <w:w w:val="105"/>
        </w:rPr>
        <w:t>org.springframework.core.io.Resource</w:t>
      </w:r>
      <w:proofErr w:type="gramEnd"/>
      <w:r>
        <w:rPr>
          <w:color w:val="333333"/>
          <w:w w:val="105"/>
        </w:rPr>
        <w:t xml:space="preserve">, the produces clause is </w:t>
      </w:r>
      <w:r>
        <w:rPr>
          <w:rFonts w:ascii="MS Gothic"/>
          <w:color w:val="B02045"/>
          <w:w w:val="105"/>
        </w:rPr>
        <w:t>application/octet-stream</w:t>
      </w:r>
      <w:r>
        <w:rPr>
          <w:color w:val="333333"/>
          <w:w w:val="105"/>
        </w:rPr>
        <w:t xml:space="preserve">. </w:t>
      </w:r>
      <w:r>
        <w:rPr>
          <w:color w:val="333333"/>
          <w:w w:val="110"/>
        </w:rPr>
        <w:t xml:space="preserve">For all other operations the produces clause is </w:t>
      </w:r>
      <w:proofErr w:type="gramStart"/>
      <w:r>
        <w:rPr>
          <w:rFonts w:ascii="MS Gothic"/>
          <w:color w:val="B02045"/>
          <w:w w:val="110"/>
        </w:rPr>
        <w:t>application/vnd.spring-boot.actuator.v</w:t>
      </w:r>
      <w:proofErr w:type="gramEnd"/>
      <w:r>
        <w:rPr>
          <w:rFonts w:ascii="MS Gothic"/>
          <w:color w:val="B02045"/>
          <w:w w:val="110"/>
        </w:rPr>
        <w:t>2+json, application/json</w:t>
      </w:r>
      <w:r>
        <w:rPr>
          <w:color w:val="333333"/>
          <w:w w:val="110"/>
        </w:rPr>
        <w:t>.</w:t>
      </w:r>
    </w:p>
    <w:p w14:paraId="43C0CAC7" w14:textId="77777777" w:rsidR="00A720EB" w:rsidRDefault="00A720EB">
      <w:pPr>
        <w:pStyle w:val="a3"/>
        <w:spacing w:before="8"/>
        <w:rPr>
          <w:sz w:val="26"/>
        </w:rPr>
      </w:pPr>
    </w:p>
    <w:p w14:paraId="563016F9" w14:textId="77777777" w:rsidR="00A720EB" w:rsidRDefault="0030286B">
      <w:pPr>
        <w:spacing w:before="1"/>
        <w:ind w:left="124"/>
        <w:rPr>
          <w:rFonts w:ascii="Palatino Linotype"/>
          <w:b/>
          <w:sz w:val="18"/>
        </w:rPr>
      </w:pPr>
      <w:r>
        <w:rPr>
          <w:rFonts w:ascii="Palatino Linotype"/>
          <w:b/>
          <w:color w:val="333333"/>
          <w:w w:val="110"/>
          <w:sz w:val="18"/>
        </w:rPr>
        <w:t>Web Endpoint Response Status</w:t>
      </w:r>
    </w:p>
    <w:p w14:paraId="0DEE30C4" w14:textId="77777777" w:rsidR="00A720EB" w:rsidRDefault="00A720EB">
      <w:pPr>
        <w:pStyle w:val="a3"/>
        <w:spacing w:before="11"/>
        <w:rPr>
          <w:rFonts w:ascii="Palatino Linotype"/>
          <w:b/>
          <w:sz w:val="18"/>
        </w:rPr>
      </w:pPr>
    </w:p>
    <w:p w14:paraId="05D18EAC" w14:textId="77777777" w:rsidR="00A720EB" w:rsidRDefault="0030286B">
      <w:pPr>
        <w:pStyle w:val="a3"/>
        <w:spacing w:line="307" w:lineRule="auto"/>
        <w:ind w:left="124" w:right="130"/>
        <w:jc w:val="both"/>
      </w:pPr>
      <w:r>
        <w:rPr>
          <w:color w:val="333333"/>
          <w:w w:val="110"/>
        </w:rPr>
        <w:t xml:space="preserve">The default response status for an endpoint operation depends on the operation type (read, </w:t>
      </w:r>
      <w:proofErr w:type="gramStart"/>
      <w:r>
        <w:rPr>
          <w:color w:val="333333"/>
          <w:w w:val="110"/>
        </w:rPr>
        <w:t xml:space="preserve">write,   </w:t>
      </w:r>
      <w:proofErr w:type="gramEnd"/>
      <w:r>
        <w:rPr>
          <w:color w:val="333333"/>
          <w:w w:val="110"/>
        </w:rPr>
        <w:t>or delete) and what, if anything, the operation</w:t>
      </w:r>
      <w:r>
        <w:rPr>
          <w:color w:val="333333"/>
          <w:spacing w:val="23"/>
          <w:w w:val="110"/>
        </w:rPr>
        <w:t xml:space="preserve"> </w:t>
      </w:r>
      <w:r>
        <w:rPr>
          <w:color w:val="333333"/>
          <w:w w:val="110"/>
        </w:rPr>
        <w:t>returns.</w:t>
      </w:r>
    </w:p>
    <w:p w14:paraId="535B0A31" w14:textId="77777777" w:rsidR="00A720EB" w:rsidRDefault="0030286B">
      <w:pPr>
        <w:pStyle w:val="a3"/>
        <w:spacing w:before="231" w:line="290" w:lineRule="auto"/>
        <w:ind w:left="124" w:right="126"/>
        <w:jc w:val="both"/>
      </w:pPr>
      <w:r>
        <w:rPr>
          <w:color w:val="333333"/>
          <w:w w:val="110"/>
        </w:rPr>
        <w:t xml:space="preserve">A </w:t>
      </w:r>
      <w:r>
        <w:rPr>
          <w:rFonts w:ascii="MS Gothic"/>
          <w:color w:val="B02045"/>
          <w:w w:val="110"/>
        </w:rPr>
        <w:t xml:space="preserve">@ReadOperation </w:t>
      </w:r>
      <w:r>
        <w:rPr>
          <w:color w:val="333333"/>
          <w:w w:val="110"/>
        </w:rPr>
        <w:t>returns a value, the response status will be 200 (OK). If it does not return a value, the response status will be 404 (Not Found).</w:t>
      </w:r>
    </w:p>
    <w:p w14:paraId="66A2CBFF" w14:textId="77777777" w:rsidR="00A720EB" w:rsidRDefault="00A720EB">
      <w:pPr>
        <w:spacing w:line="290" w:lineRule="auto"/>
        <w:jc w:val="both"/>
        <w:sectPr w:rsidR="00A720EB">
          <w:pgSz w:w="11910" w:h="16840"/>
          <w:pgMar w:top="620" w:right="840" w:bottom="520" w:left="840" w:header="0" w:footer="323" w:gutter="0"/>
          <w:cols w:space="720"/>
        </w:sectPr>
      </w:pPr>
    </w:p>
    <w:p w14:paraId="0E78D972" w14:textId="77777777" w:rsidR="00A720EB" w:rsidRDefault="0030286B">
      <w:pPr>
        <w:pStyle w:val="a3"/>
        <w:spacing w:before="96" w:line="290" w:lineRule="auto"/>
        <w:ind w:left="124" w:right="125"/>
        <w:jc w:val="both"/>
      </w:pPr>
      <w:r>
        <w:rPr>
          <w:color w:val="333333"/>
          <w:w w:val="110"/>
        </w:rPr>
        <w:lastRenderedPageBreak/>
        <w:t xml:space="preserve">If a </w:t>
      </w:r>
      <w:r>
        <w:rPr>
          <w:rFonts w:ascii="MS Gothic"/>
          <w:color w:val="B02045"/>
          <w:w w:val="110"/>
        </w:rPr>
        <w:t xml:space="preserve">@WriteOperation </w:t>
      </w:r>
      <w:r>
        <w:rPr>
          <w:color w:val="333333"/>
          <w:w w:val="110"/>
        </w:rPr>
        <w:t xml:space="preserve">or </w:t>
      </w:r>
      <w:r>
        <w:rPr>
          <w:rFonts w:ascii="MS Gothic"/>
          <w:color w:val="B02045"/>
          <w:w w:val="110"/>
        </w:rPr>
        <w:t>@DeleteOperation</w:t>
      </w:r>
      <w:r>
        <w:rPr>
          <w:rFonts w:ascii="MS Gothic"/>
          <w:color w:val="B02045"/>
          <w:spacing w:val="-97"/>
          <w:w w:val="110"/>
        </w:rPr>
        <w:t xml:space="preserve"> </w:t>
      </w:r>
      <w:r>
        <w:rPr>
          <w:color w:val="333333"/>
          <w:w w:val="110"/>
        </w:rPr>
        <w:t>returns a value, the response status will be 200 (OK). If it does not return a value the response status will be 204 (No Content).</w:t>
      </w:r>
    </w:p>
    <w:p w14:paraId="4D3A9BCB" w14:textId="77777777" w:rsidR="00A720EB" w:rsidRDefault="00A720EB">
      <w:pPr>
        <w:pStyle w:val="a3"/>
        <w:rPr>
          <w:sz w:val="22"/>
        </w:rPr>
      </w:pPr>
    </w:p>
    <w:p w14:paraId="5C77891F" w14:textId="77777777" w:rsidR="00A720EB" w:rsidRDefault="0030286B">
      <w:pPr>
        <w:pStyle w:val="a3"/>
        <w:spacing w:line="307" w:lineRule="auto"/>
        <w:ind w:left="124" w:right="128"/>
        <w:jc w:val="both"/>
      </w:pPr>
      <w:r>
        <w:rPr>
          <w:color w:val="333333"/>
          <w:w w:val="110"/>
        </w:rPr>
        <w:t>If an operation is invoked without a required parameter, or with a parameter that cannot be converted to the required type, the operation method will not be called and the response status will be 400 (Bad Request).</w:t>
      </w:r>
    </w:p>
    <w:p w14:paraId="70D443F3" w14:textId="77777777" w:rsidR="00A720EB" w:rsidRDefault="00A720EB">
      <w:pPr>
        <w:pStyle w:val="a3"/>
        <w:spacing w:before="8"/>
        <w:rPr>
          <w:sz w:val="25"/>
        </w:rPr>
      </w:pPr>
    </w:p>
    <w:p w14:paraId="1A3FAB61" w14:textId="77777777" w:rsidR="00A720EB" w:rsidRDefault="0030286B">
      <w:pPr>
        <w:ind w:left="124"/>
        <w:rPr>
          <w:rFonts w:ascii="Palatino Linotype"/>
          <w:b/>
          <w:sz w:val="18"/>
        </w:rPr>
      </w:pPr>
      <w:r>
        <w:rPr>
          <w:rFonts w:ascii="Palatino Linotype"/>
          <w:b/>
          <w:color w:val="333333"/>
          <w:w w:val="110"/>
          <w:sz w:val="18"/>
        </w:rPr>
        <w:t>Web Endpoint Range Requests</w:t>
      </w:r>
    </w:p>
    <w:p w14:paraId="179E6382" w14:textId="77777777" w:rsidR="00A720EB" w:rsidRDefault="00A720EB">
      <w:pPr>
        <w:pStyle w:val="a3"/>
        <w:spacing w:before="12"/>
        <w:rPr>
          <w:rFonts w:ascii="Palatino Linotype"/>
          <w:b/>
          <w:sz w:val="18"/>
        </w:rPr>
      </w:pPr>
    </w:p>
    <w:p w14:paraId="325C3FB4" w14:textId="77777777" w:rsidR="00A720EB" w:rsidRDefault="0030286B">
      <w:pPr>
        <w:pStyle w:val="a3"/>
        <w:spacing w:line="295" w:lineRule="auto"/>
        <w:ind w:left="124" w:right="124"/>
        <w:jc w:val="both"/>
      </w:pPr>
      <w:r>
        <w:rPr>
          <w:color w:val="333333"/>
          <w:w w:val="110"/>
        </w:rPr>
        <w:t xml:space="preserve">An HTTP range request can be used to request part of an HTTP resource. When using Spring MVC    or Spring </w:t>
      </w:r>
      <w:r>
        <w:rPr>
          <w:color w:val="333333"/>
          <w:spacing w:val="-5"/>
          <w:w w:val="110"/>
        </w:rPr>
        <w:t xml:space="preserve">Web </w:t>
      </w:r>
      <w:r>
        <w:rPr>
          <w:color w:val="333333"/>
          <w:w w:val="110"/>
        </w:rPr>
        <w:t xml:space="preserve">Flux, operations that return a </w:t>
      </w:r>
      <w:proofErr w:type="gramStart"/>
      <w:r>
        <w:rPr>
          <w:rFonts w:ascii="MS Gothic"/>
          <w:color w:val="B02045"/>
          <w:w w:val="110"/>
        </w:rPr>
        <w:t>org.springframework.core.io.Resource</w:t>
      </w:r>
      <w:proofErr w:type="gramEnd"/>
      <w:r>
        <w:rPr>
          <w:rFonts w:ascii="MS Gothic"/>
          <w:color w:val="B02045"/>
          <w:spacing w:val="-52"/>
          <w:w w:val="110"/>
        </w:rPr>
        <w:t xml:space="preserve"> </w:t>
      </w:r>
      <w:r>
        <w:rPr>
          <w:color w:val="333333"/>
          <w:w w:val="110"/>
        </w:rPr>
        <w:t>automatically support range</w:t>
      </w:r>
      <w:r>
        <w:rPr>
          <w:color w:val="333333"/>
          <w:spacing w:val="5"/>
          <w:w w:val="110"/>
        </w:rPr>
        <w:t xml:space="preserve"> </w:t>
      </w:r>
      <w:r>
        <w:rPr>
          <w:color w:val="333333"/>
          <w:w w:val="110"/>
        </w:rPr>
        <w:t>requests.</w:t>
      </w:r>
    </w:p>
    <w:p w14:paraId="1804AF30" w14:textId="77777777" w:rsidR="00A720EB" w:rsidRDefault="00E10349">
      <w:pPr>
        <w:pStyle w:val="a3"/>
        <w:spacing w:before="217"/>
        <w:ind w:left="491"/>
      </w:pPr>
      <w:r>
        <w:pict w14:anchorId="0289CBF8">
          <v:line id="_x0000_s3277" style="position:absolute;left:0;text-align:left;z-index:-41331200;mso-position-horizontal-relative:page" from="108.25pt,10.55pt" to="108.25pt,34.3pt" strokecolor="#ededed" strokeweight=".5pt">
            <w10:wrap anchorx="page"/>
          </v:line>
        </w:pict>
      </w:r>
      <w:r w:rsidR="0030286B">
        <w:rPr>
          <w:noProof/>
          <w:position w:val="-14"/>
        </w:rPr>
        <w:drawing>
          <wp:inline distT="0" distB="0" distL="0" distR="0" wp14:anchorId="7B629466" wp14:editId="0FE40CD0">
            <wp:extent cx="295275" cy="295275"/>
            <wp:effectExtent l="0" t="0" r="0" b="0"/>
            <wp:docPr id="58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6.png"/>
                    <pic:cNvPicPr/>
                  </pic:nvPicPr>
                  <pic:blipFill>
                    <a:blip r:embed="rId100" cstate="print"/>
                    <a:stretch>
                      <a:fillRect/>
                    </a:stretch>
                  </pic:blipFill>
                  <pic:spPr>
                    <a:xfrm>
                      <a:off x="0" y="0"/>
                      <a:ext cx="295275" cy="295275"/>
                    </a:xfrm>
                    <a:prstGeom prst="rect">
                      <a:avLst/>
                    </a:prstGeom>
                  </pic:spPr>
                </pic:pic>
              </a:graphicData>
            </a:graphic>
          </wp:inline>
        </w:drawing>
      </w:r>
      <w:r w:rsidR="0030286B">
        <w:rPr>
          <w:rFonts w:ascii="Times New Roman"/>
          <w:sz w:val="20"/>
        </w:rPr>
        <w:t xml:space="preserve">           </w:t>
      </w:r>
      <w:r w:rsidR="0030286B">
        <w:rPr>
          <w:rFonts w:ascii="Times New Roman"/>
          <w:spacing w:val="7"/>
          <w:sz w:val="20"/>
        </w:rPr>
        <w:t xml:space="preserve"> </w:t>
      </w:r>
      <w:r w:rsidR="0030286B">
        <w:rPr>
          <w:color w:val="333333"/>
          <w:w w:val="110"/>
        </w:rPr>
        <w:t>Range requests are not supported when using</w:t>
      </w:r>
      <w:r w:rsidR="0030286B">
        <w:rPr>
          <w:color w:val="333333"/>
          <w:spacing w:val="21"/>
          <w:w w:val="110"/>
        </w:rPr>
        <w:t xml:space="preserve"> </w:t>
      </w:r>
      <w:r w:rsidR="0030286B">
        <w:rPr>
          <w:color w:val="333333"/>
          <w:spacing w:val="-4"/>
          <w:w w:val="110"/>
        </w:rPr>
        <w:t>Jersey.</w:t>
      </w:r>
    </w:p>
    <w:p w14:paraId="06C19344" w14:textId="77777777" w:rsidR="00A720EB" w:rsidRDefault="0030286B">
      <w:pPr>
        <w:spacing w:before="343"/>
        <w:ind w:left="124"/>
        <w:rPr>
          <w:rFonts w:ascii="Palatino Linotype"/>
          <w:b/>
          <w:sz w:val="18"/>
        </w:rPr>
      </w:pPr>
      <w:r>
        <w:rPr>
          <w:rFonts w:ascii="Palatino Linotype"/>
          <w:b/>
          <w:color w:val="333333"/>
          <w:w w:val="110"/>
          <w:sz w:val="18"/>
        </w:rPr>
        <w:t>Web Endpoint Security</w:t>
      </w:r>
    </w:p>
    <w:p w14:paraId="4B3B4E7A" w14:textId="77777777" w:rsidR="00A720EB" w:rsidRDefault="00A720EB">
      <w:pPr>
        <w:pStyle w:val="a3"/>
        <w:spacing w:before="12"/>
        <w:rPr>
          <w:rFonts w:ascii="Palatino Linotype"/>
          <w:b/>
          <w:sz w:val="18"/>
        </w:rPr>
      </w:pPr>
    </w:p>
    <w:p w14:paraId="3D3E6FB1" w14:textId="77777777" w:rsidR="00A720EB" w:rsidRDefault="0030286B">
      <w:pPr>
        <w:pStyle w:val="a3"/>
        <w:spacing w:line="292" w:lineRule="auto"/>
        <w:ind w:left="124" w:right="123"/>
        <w:jc w:val="both"/>
      </w:pPr>
      <w:r>
        <w:rPr>
          <w:color w:val="333333"/>
          <w:w w:val="110"/>
        </w:rPr>
        <w:t xml:space="preserve">An operation on a web endpoint or a web-specific endpoint extension can receive the current </w:t>
      </w:r>
      <w:proofErr w:type="gramStart"/>
      <w:r>
        <w:rPr>
          <w:rFonts w:ascii="MS Gothic"/>
          <w:color w:val="B02045"/>
          <w:w w:val="105"/>
        </w:rPr>
        <w:t>java.security</w:t>
      </w:r>
      <w:proofErr w:type="gramEnd"/>
      <w:r>
        <w:rPr>
          <w:rFonts w:ascii="MS Gothic"/>
          <w:color w:val="B02045"/>
          <w:w w:val="105"/>
        </w:rPr>
        <w:t xml:space="preserve">.Principal </w:t>
      </w:r>
      <w:r>
        <w:rPr>
          <w:color w:val="333333"/>
          <w:w w:val="105"/>
        </w:rPr>
        <w:t xml:space="preserve">or </w:t>
      </w:r>
      <w:r>
        <w:rPr>
          <w:rFonts w:ascii="MS Gothic"/>
          <w:color w:val="B02045"/>
          <w:w w:val="105"/>
        </w:rPr>
        <w:t xml:space="preserve">org.springframework.boot.actuate.endpoint.SecurityContext </w:t>
      </w:r>
      <w:r>
        <w:rPr>
          <w:color w:val="333333"/>
          <w:w w:val="105"/>
        </w:rPr>
        <w:t xml:space="preserve">as </w:t>
      </w:r>
      <w:r>
        <w:rPr>
          <w:color w:val="333333"/>
          <w:spacing w:val="-14"/>
          <w:w w:val="105"/>
        </w:rPr>
        <w:t xml:space="preserve">a </w:t>
      </w:r>
      <w:r>
        <w:rPr>
          <w:color w:val="333333"/>
          <w:w w:val="110"/>
        </w:rPr>
        <w:t xml:space="preserve">method parameter. The former is typically used in conjunction with </w:t>
      </w:r>
      <w:r>
        <w:rPr>
          <w:rFonts w:ascii="MS Gothic"/>
          <w:color w:val="B02045"/>
          <w:w w:val="110"/>
        </w:rPr>
        <w:t xml:space="preserve">@Nullable </w:t>
      </w:r>
      <w:r>
        <w:rPr>
          <w:color w:val="333333"/>
          <w:w w:val="110"/>
        </w:rPr>
        <w:t xml:space="preserve">to provide different behavior for authenticated and unauthenticated users. The latter is typically used to perform authorization checks using its </w:t>
      </w:r>
      <w:proofErr w:type="gramStart"/>
      <w:r>
        <w:rPr>
          <w:rFonts w:ascii="MS Gothic"/>
          <w:color w:val="B02045"/>
          <w:w w:val="110"/>
        </w:rPr>
        <w:t>isUserInRole(</w:t>
      </w:r>
      <w:proofErr w:type="gramEnd"/>
      <w:r>
        <w:rPr>
          <w:rFonts w:ascii="MS Gothic"/>
          <w:color w:val="B02045"/>
          <w:w w:val="110"/>
        </w:rPr>
        <w:t>String)</w:t>
      </w:r>
      <w:r>
        <w:rPr>
          <w:rFonts w:ascii="MS Gothic"/>
          <w:color w:val="B02045"/>
          <w:spacing w:val="-58"/>
          <w:w w:val="110"/>
        </w:rPr>
        <w:t xml:space="preserve"> </w:t>
      </w:r>
      <w:r>
        <w:rPr>
          <w:color w:val="333333"/>
          <w:w w:val="110"/>
        </w:rPr>
        <w:t>method.</w:t>
      </w:r>
    </w:p>
    <w:p w14:paraId="1F4FBD2F" w14:textId="77777777" w:rsidR="00A720EB" w:rsidRDefault="00A720EB">
      <w:pPr>
        <w:pStyle w:val="a3"/>
        <w:spacing w:before="11"/>
        <w:rPr>
          <w:sz w:val="24"/>
        </w:rPr>
      </w:pPr>
    </w:p>
    <w:p w14:paraId="51196C6B" w14:textId="77777777" w:rsidR="00A720EB" w:rsidRDefault="0030286B">
      <w:pPr>
        <w:pStyle w:val="4"/>
        <w:jc w:val="left"/>
      </w:pPr>
      <w:bookmarkStart w:id="573" w:name="Servlet_endpoints"/>
      <w:bookmarkEnd w:id="573"/>
      <w:r>
        <w:rPr>
          <w:color w:val="333333"/>
          <w:w w:val="110"/>
        </w:rPr>
        <w:t>Servlet endpoints</w:t>
      </w:r>
    </w:p>
    <w:p w14:paraId="5761357D" w14:textId="77777777" w:rsidR="00A720EB" w:rsidRDefault="0030286B">
      <w:pPr>
        <w:pStyle w:val="a3"/>
        <w:spacing w:before="244" w:line="290" w:lineRule="auto"/>
        <w:ind w:left="124" w:right="122"/>
        <w:jc w:val="both"/>
      </w:pPr>
      <w:r>
        <w:rPr>
          <w:color w:val="333333"/>
          <w:w w:val="110"/>
        </w:rPr>
        <w:t xml:space="preserve">A </w:t>
      </w:r>
      <w:r>
        <w:rPr>
          <w:rFonts w:ascii="MS Gothic"/>
          <w:color w:val="B02045"/>
          <w:w w:val="110"/>
        </w:rPr>
        <w:t xml:space="preserve">Servlet </w:t>
      </w:r>
      <w:r>
        <w:rPr>
          <w:color w:val="333333"/>
          <w:w w:val="110"/>
        </w:rPr>
        <w:t xml:space="preserve">can be exposed as an endpoint </w:t>
      </w:r>
      <w:r>
        <w:rPr>
          <w:color w:val="333333"/>
          <w:spacing w:val="-3"/>
          <w:w w:val="110"/>
        </w:rPr>
        <w:t xml:space="preserve">by </w:t>
      </w:r>
      <w:r>
        <w:rPr>
          <w:color w:val="333333"/>
          <w:w w:val="110"/>
        </w:rPr>
        <w:t xml:space="preserve">implementing a class annotated with </w:t>
      </w:r>
      <w:r>
        <w:rPr>
          <w:rFonts w:ascii="MS Gothic"/>
          <w:color w:val="B02045"/>
          <w:w w:val="110"/>
        </w:rPr>
        <w:t xml:space="preserve">@ServletEndpoint </w:t>
      </w:r>
      <w:r>
        <w:rPr>
          <w:color w:val="333333"/>
          <w:w w:val="110"/>
        </w:rPr>
        <w:t>that</w:t>
      </w:r>
      <w:r>
        <w:rPr>
          <w:color w:val="333333"/>
          <w:spacing w:val="-12"/>
          <w:w w:val="110"/>
        </w:rPr>
        <w:t xml:space="preserve"> </w:t>
      </w:r>
      <w:r>
        <w:rPr>
          <w:color w:val="333333"/>
          <w:w w:val="110"/>
        </w:rPr>
        <w:t>also</w:t>
      </w:r>
      <w:r>
        <w:rPr>
          <w:color w:val="333333"/>
          <w:spacing w:val="-12"/>
          <w:w w:val="110"/>
        </w:rPr>
        <w:t xml:space="preserve"> </w:t>
      </w:r>
      <w:r>
        <w:rPr>
          <w:color w:val="333333"/>
          <w:w w:val="110"/>
        </w:rPr>
        <w:t>implements</w:t>
      </w:r>
      <w:r>
        <w:rPr>
          <w:color w:val="333333"/>
          <w:spacing w:val="-9"/>
          <w:w w:val="110"/>
        </w:rPr>
        <w:t xml:space="preserve"> </w:t>
      </w:r>
      <w:r>
        <w:rPr>
          <w:rFonts w:ascii="MS Gothic"/>
          <w:color w:val="B02045"/>
          <w:w w:val="110"/>
        </w:rPr>
        <w:t>Supplier&lt;EndpointServlet&gt;</w:t>
      </w:r>
      <w:r>
        <w:rPr>
          <w:color w:val="333333"/>
          <w:w w:val="110"/>
        </w:rPr>
        <w:t>.</w:t>
      </w:r>
      <w:r>
        <w:rPr>
          <w:color w:val="333333"/>
          <w:spacing w:val="-11"/>
          <w:w w:val="110"/>
        </w:rPr>
        <w:t xml:space="preserve"> </w:t>
      </w:r>
      <w:r>
        <w:rPr>
          <w:color w:val="333333"/>
          <w:w w:val="110"/>
        </w:rPr>
        <w:t>Servlet</w:t>
      </w:r>
      <w:r>
        <w:rPr>
          <w:color w:val="333333"/>
          <w:spacing w:val="-12"/>
          <w:w w:val="110"/>
        </w:rPr>
        <w:t xml:space="preserve"> </w:t>
      </w:r>
      <w:r>
        <w:rPr>
          <w:color w:val="333333"/>
          <w:w w:val="110"/>
        </w:rPr>
        <w:t>endpoints</w:t>
      </w:r>
      <w:r>
        <w:rPr>
          <w:color w:val="333333"/>
          <w:spacing w:val="-12"/>
          <w:w w:val="110"/>
        </w:rPr>
        <w:t xml:space="preserve"> </w:t>
      </w:r>
      <w:r>
        <w:rPr>
          <w:color w:val="333333"/>
          <w:w w:val="110"/>
        </w:rPr>
        <w:t>provide</w:t>
      </w:r>
      <w:r>
        <w:rPr>
          <w:color w:val="333333"/>
          <w:spacing w:val="-12"/>
          <w:w w:val="110"/>
        </w:rPr>
        <w:t xml:space="preserve"> </w:t>
      </w:r>
      <w:r>
        <w:rPr>
          <w:color w:val="333333"/>
          <w:w w:val="110"/>
        </w:rPr>
        <w:t>deeper</w:t>
      </w:r>
      <w:r>
        <w:rPr>
          <w:color w:val="333333"/>
          <w:spacing w:val="-11"/>
          <w:w w:val="110"/>
        </w:rPr>
        <w:t xml:space="preserve"> </w:t>
      </w:r>
      <w:r>
        <w:rPr>
          <w:color w:val="333333"/>
          <w:w w:val="110"/>
        </w:rPr>
        <w:t>integration</w:t>
      </w:r>
      <w:r>
        <w:rPr>
          <w:color w:val="333333"/>
          <w:spacing w:val="-12"/>
          <w:w w:val="110"/>
        </w:rPr>
        <w:t xml:space="preserve"> </w:t>
      </w:r>
      <w:r>
        <w:rPr>
          <w:color w:val="333333"/>
          <w:w w:val="110"/>
        </w:rPr>
        <w:t xml:space="preserve">with the Servlet container but at the expense of </w:t>
      </w:r>
      <w:r>
        <w:rPr>
          <w:color w:val="333333"/>
          <w:spacing w:val="-3"/>
          <w:w w:val="110"/>
        </w:rPr>
        <w:t xml:space="preserve">portability. </w:t>
      </w:r>
      <w:r>
        <w:rPr>
          <w:color w:val="333333"/>
          <w:w w:val="110"/>
        </w:rPr>
        <w:t xml:space="preserve">They are intended to be used to expose an existing </w:t>
      </w:r>
      <w:r>
        <w:rPr>
          <w:rFonts w:ascii="MS Gothic"/>
          <w:color w:val="B02045"/>
          <w:w w:val="110"/>
        </w:rPr>
        <w:t xml:space="preserve">Servlet </w:t>
      </w:r>
      <w:r>
        <w:rPr>
          <w:color w:val="333333"/>
          <w:w w:val="110"/>
        </w:rPr>
        <w:t xml:space="preserve">as an endpoint. </w:t>
      </w:r>
      <w:r>
        <w:rPr>
          <w:color w:val="333333"/>
          <w:spacing w:val="-4"/>
          <w:w w:val="110"/>
        </w:rPr>
        <w:t xml:space="preserve">For </w:t>
      </w:r>
      <w:r>
        <w:rPr>
          <w:color w:val="333333"/>
          <w:w w:val="110"/>
        </w:rPr>
        <w:t xml:space="preserve">new endpoints, the </w:t>
      </w:r>
      <w:r>
        <w:rPr>
          <w:rFonts w:ascii="MS Gothic"/>
          <w:color w:val="B02045"/>
          <w:w w:val="110"/>
        </w:rPr>
        <w:t xml:space="preserve">@Endpoint </w:t>
      </w:r>
      <w:r>
        <w:rPr>
          <w:color w:val="333333"/>
          <w:w w:val="110"/>
        </w:rPr>
        <w:t xml:space="preserve">and </w:t>
      </w:r>
      <w:r>
        <w:rPr>
          <w:rFonts w:ascii="MS Gothic"/>
          <w:color w:val="B02045"/>
          <w:w w:val="110"/>
        </w:rPr>
        <w:t xml:space="preserve">@WebEndpoint </w:t>
      </w:r>
      <w:r>
        <w:rPr>
          <w:color w:val="333333"/>
          <w:w w:val="110"/>
        </w:rPr>
        <w:t>annotations should be preferred whenever</w:t>
      </w:r>
      <w:r>
        <w:rPr>
          <w:color w:val="333333"/>
          <w:spacing w:val="11"/>
          <w:w w:val="110"/>
        </w:rPr>
        <w:t xml:space="preserve"> </w:t>
      </w:r>
      <w:r>
        <w:rPr>
          <w:color w:val="333333"/>
          <w:w w:val="110"/>
        </w:rPr>
        <w:t>possible.</w:t>
      </w:r>
    </w:p>
    <w:p w14:paraId="474DD679" w14:textId="77777777" w:rsidR="00A720EB" w:rsidRDefault="00A720EB">
      <w:pPr>
        <w:pStyle w:val="a3"/>
        <w:spacing w:before="11"/>
        <w:rPr>
          <w:sz w:val="26"/>
        </w:rPr>
      </w:pPr>
    </w:p>
    <w:p w14:paraId="1029C689" w14:textId="77777777" w:rsidR="00A720EB" w:rsidRDefault="0030286B">
      <w:pPr>
        <w:pStyle w:val="4"/>
        <w:jc w:val="left"/>
      </w:pPr>
      <w:bookmarkStart w:id="574" w:name="Controller_endpoints"/>
      <w:bookmarkEnd w:id="574"/>
      <w:r>
        <w:rPr>
          <w:color w:val="333333"/>
          <w:w w:val="110"/>
        </w:rPr>
        <w:t>Controller endpoints</w:t>
      </w:r>
    </w:p>
    <w:p w14:paraId="2DB242CC" w14:textId="77777777" w:rsidR="00A720EB" w:rsidRDefault="0030286B">
      <w:pPr>
        <w:pStyle w:val="a3"/>
        <w:spacing w:before="244" w:line="292" w:lineRule="auto"/>
        <w:ind w:left="124" w:right="122"/>
        <w:jc w:val="both"/>
      </w:pPr>
      <w:r>
        <w:rPr>
          <w:rFonts w:ascii="MS Gothic" w:hAnsi="MS Gothic"/>
          <w:color w:val="B02045"/>
          <w:w w:val="110"/>
        </w:rPr>
        <w:t>@ControllerEndpoint</w:t>
      </w:r>
      <w:r>
        <w:rPr>
          <w:rFonts w:ascii="MS Gothic" w:hAnsi="MS Gothic"/>
          <w:color w:val="B02045"/>
          <w:spacing w:val="-91"/>
          <w:w w:val="110"/>
        </w:rPr>
        <w:t xml:space="preserve"> </w:t>
      </w:r>
      <w:r>
        <w:rPr>
          <w:color w:val="333333"/>
          <w:w w:val="110"/>
        </w:rPr>
        <w:t>and</w:t>
      </w:r>
      <w:r>
        <w:rPr>
          <w:color w:val="333333"/>
          <w:spacing w:val="-26"/>
          <w:w w:val="110"/>
        </w:rPr>
        <w:t xml:space="preserve"> </w:t>
      </w:r>
      <w:r>
        <w:rPr>
          <w:rFonts w:ascii="MS Gothic" w:hAnsi="MS Gothic"/>
          <w:color w:val="B02045"/>
          <w:w w:val="110"/>
        </w:rPr>
        <w:t>@RestControllerEndpoint</w:t>
      </w:r>
      <w:r>
        <w:rPr>
          <w:rFonts w:ascii="MS Gothic" w:hAnsi="MS Gothic"/>
          <w:color w:val="B02045"/>
          <w:spacing w:val="-91"/>
          <w:w w:val="110"/>
        </w:rPr>
        <w:t xml:space="preserve"> </w:t>
      </w:r>
      <w:r>
        <w:rPr>
          <w:color w:val="333333"/>
          <w:w w:val="110"/>
        </w:rPr>
        <w:t>can</w:t>
      </w:r>
      <w:r>
        <w:rPr>
          <w:color w:val="333333"/>
          <w:spacing w:val="-26"/>
          <w:w w:val="110"/>
        </w:rPr>
        <w:t xml:space="preserve"> </w:t>
      </w:r>
      <w:r>
        <w:rPr>
          <w:color w:val="333333"/>
          <w:w w:val="110"/>
        </w:rPr>
        <w:t>be</w:t>
      </w:r>
      <w:r>
        <w:rPr>
          <w:color w:val="333333"/>
          <w:spacing w:val="-26"/>
          <w:w w:val="110"/>
        </w:rPr>
        <w:t xml:space="preserve"> </w:t>
      </w:r>
      <w:r>
        <w:rPr>
          <w:color w:val="333333"/>
          <w:w w:val="110"/>
        </w:rPr>
        <w:t>used</w:t>
      </w:r>
      <w:r>
        <w:rPr>
          <w:color w:val="333333"/>
          <w:spacing w:val="-27"/>
          <w:w w:val="110"/>
        </w:rPr>
        <w:t xml:space="preserve"> </w:t>
      </w:r>
      <w:r>
        <w:rPr>
          <w:color w:val="333333"/>
          <w:w w:val="110"/>
        </w:rPr>
        <w:t>to</w:t>
      </w:r>
      <w:r>
        <w:rPr>
          <w:color w:val="333333"/>
          <w:spacing w:val="-26"/>
          <w:w w:val="110"/>
        </w:rPr>
        <w:t xml:space="preserve"> </w:t>
      </w:r>
      <w:r>
        <w:rPr>
          <w:color w:val="333333"/>
          <w:w w:val="110"/>
        </w:rPr>
        <w:t>implement</w:t>
      </w:r>
      <w:r>
        <w:rPr>
          <w:color w:val="333333"/>
          <w:spacing w:val="-26"/>
          <w:w w:val="110"/>
        </w:rPr>
        <w:t xml:space="preserve"> </w:t>
      </w:r>
      <w:r>
        <w:rPr>
          <w:color w:val="333333"/>
          <w:w w:val="110"/>
        </w:rPr>
        <w:t>an</w:t>
      </w:r>
      <w:r>
        <w:rPr>
          <w:color w:val="333333"/>
          <w:spacing w:val="-27"/>
          <w:w w:val="110"/>
        </w:rPr>
        <w:t xml:space="preserve"> </w:t>
      </w:r>
      <w:r>
        <w:rPr>
          <w:color w:val="333333"/>
          <w:w w:val="110"/>
        </w:rPr>
        <w:t>endpoint</w:t>
      </w:r>
      <w:r>
        <w:rPr>
          <w:color w:val="333333"/>
          <w:spacing w:val="-26"/>
          <w:w w:val="110"/>
        </w:rPr>
        <w:t xml:space="preserve"> </w:t>
      </w:r>
      <w:r>
        <w:rPr>
          <w:color w:val="333333"/>
          <w:w w:val="110"/>
        </w:rPr>
        <w:t>that</w:t>
      </w:r>
      <w:r>
        <w:rPr>
          <w:color w:val="333333"/>
          <w:spacing w:val="-27"/>
          <w:w w:val="110"/>
        </w:rPr>
        <w:t xml:space="preserve"> </w:t>
      </w:r>
      <w:r>
        <w:rPr>
          <w:color w:val="333333"/>
          <w:w w:val="110"/>
        </w:rPr>
        <w:t>is</w:t>
      </w:r>
      <w:r>
        <w:rPr>
          <w:color w:val="333333"/>
          <w:spacing w:val="-26"/>
          <w:w w:val="110"/>
        </w:rPr>
        <w:t xml:space="preserve"> </w:t>
      </w:r>
      <w:r>
        <w:rPr>
          <w:color w:val="333333"/>
          <w:w w:val="110"/>
        </w:rPr>
        <w:t xml:space="preserve">only exposed </w:t>
      </w:r>
      <w:proofErr w:type="gramStart"/>
      <w:r>
        <w:rPr>
          <w:color w:val="333333"/>
          <w:spacing w:val="-3"/>
          <w:w w:val="110"/>
        </w:rPr>
        <w:t xml:space="preserve">by  </w:t>
      </w:r>
      <w:r>
        <w:rPr>
          <w:color w:val="333333"/>
          <w:w w:val="110"/>
        </w:rPr>
        <w:t>Spring</w:t>
      </w:r>
      <w:proofErr w:type="gramEnd"/>
      <w:r>
        <w:rPr>
          <w:color w:val="333333"/>
          <w:w w:val="110"/>
        </w:rPr>
        <w:t xml:space="preserve"> MVC or Spring </w:t>
      </w:r>
      <w:r>
        <w:rPr>
          <w:color w:val="333333"/>
          <w:spacing w:val="-3"/>
          <w:w w:val="110"/>
        </w:rPr>
        <w:t xml:space="preserve">WebFlux.  </w:t>
      </w:r>
      <w:r>
        <w:rPr>
          <w:color w:val="333333"/>
          <w:w w:val="110"/>
        </w:rPr>
        <w:t xml:space="preserve">Methods are mapped using the standard annotations   for Spring MVC and Spring </w:t>
      </w:r>
      <w:r>
        <w:rPr>
          <w:color w:val="333333"/>
          <w:spacing w:val="-3"/>
          <w:w w:val="110"/>
        </w:rPr>
        <w:t xml:space="preserve">WebFlux </w:t>
      </w:r>
      <w:r>
        <w:rPr>
          <w:color w:val="333333"/>
          <w:w w:val="110"/>
        </w:rPr>
        <w:t xml:space="preserve">such as </w:t>
      </w:r>
      <w:r>
        <w:rPr>
          <w:rFonts w:ascii="MS Gothic" w:hAnsi="MS Gothic"/>
          <w:color w:val="B02045"/>
          <w:w w:val="110"/>
        </w:rPr>
        <w:t xml:space="preserve">@RequestMapping </w:t>
      </w:r>
      <w:r>
        <w:rPr>
          <w:color w:val="333333"/>
          <w:w w:val="110"/>
        </w:rPr>
        <w:t xml:space="preserve">and </w:t>
      </w:r>
      <w:r>
        <w:rPr>
          <w:rFonts w:ascii="MS Gothic" w:hAnsi="MS Gothic"/>
          <w:color w:val="B02045"/>
          <w:w w:val="110"/>
        </w:rPr>
        <w:t>@GetMapping</w:t>
      </w:r>
      <w:r>
        <w:rPr>
          <w:color w:val="333333"/>
          <w:w w:val="110"/>
        </w:rPr>
        <w:t xml:space="preserve">, with the endpoint’s ID being used as a prefix for the path. Controller endpoints </w:t>
      </w:r>
      <w:proofErr w:type="gramStart"/>
      <w:r>
        <w:rPr>
          <w:color w:val="333333"/>
          <w:w w:val="110"/>
        </w:rPr>
        <w:t>provide  deeper</w:t>
      </w:r>
      <w:proofErr w:type="gramEnd"/>
      <w:r>
        <w:rPr>
          <w:color w:val="333333"/>
          <w:w w:val="110"/>
        </w:rPr>
        <w:t xml:space="preserve">  integration  with  Spring’s web frameworks but at the expense of </w:t>
      </w:r>
      <w:r>
        <w:rPr>
          <w:color w:val="333333"/>
          <w:spacing w:val="-3"/>
          <w:w w:val="110"/>
        </w:rPr>
        <w:t xml:space="preserve">portability. </w:t>
      </w:r>
      <w:r>
        <w:rPr>
          <w:color w:val="333333"/>
          <w:w w:val="110"/>
        </w:rPr>
        <w:t xml:space="preserve">The </w:t>
      </w:r>
      <w:r>
        <w:rPr>
          <w:rFonts w:ascii="MS Gothic" w:hAnsi="MS Gothic"/>
          <w:color w:val="B02045"/>
          <w:w w:val="110"/>
        </w:rPr>
        <w:t xml:space="preserve">@Endpoint </w:t>
      </w:r>
      <w:r>
        <w:rPr>
          <w:color w:val="333333"/>
          <w:w w:val="110"/>
        </w:rPr>
        <w:t xml:space="preserve">and </w:t>
      </w:r>
      <w:r>
        <w:rPr>
          <w:rFonts w:ascii="MS Gothic" w:hAnsi="MS Gothic"/>
          <w:color w:val="B02045"/>
          <w:w w:val="110"/>
        </w:rPr>
        <w:t xml:space="preserve">@WebEndpoint </w:t>
      </w:r>
      <w:r>
        <w:rPr>
          <w:color w:val="333333"/>
          <w:w w:val="110"/>
        </w:rPr>
        <w:t>annotations should be preferred whenever</w:t>
      </w:r>
      <w:r>
        <w:rPr>
          <w:color w:val="333333"/>
          <w:spacing w:val="14"/>
          <w:w w:val="110"/>
        </w:rPr>
        <w:t xml:space="preserve"> </w:t>
      </w:r>
      <w:r>
        <w:rPr>
          <w:color w:val="333333"/>
          <w:w w:val="110"/>
        </w:rPr>
        <w:t>possible.</w:t>
      </w:r>
    </w:p>
    <w:p w14:paraId="2AB95B76" w14:textId="77777777" w:rsidR="00A720EB" w:rsidRDefault="00A720EB">
      <w:pPr>
        <w:pStyle w:val="a3"/>
        <w:spacing w:before="2"/>
        <w:rPr>
          <w:sz w:val="27"/>
        </w:rPr>
      </w:pPr>
    </w:p>
    <w:p w14:paraId="23F67F0F" w14:textId="77777777" w:rsidR="00A720EB" w:rsidRDefault="0030286B">
      <w:pPr>
        <w:pStyle w:val="3"/>
        <w:numPr>
          <w:ilvl w:val="2"/>
          <w:numId w:val="24"/>
        </w:numPr>
        <w:tabs>
          <w:tab w:val="left" w:pos="858"/>
        </w:tabs>
        <w:ind w:hanging="734"/>
      </w:pPr>
      <w:bookmarkStart w:id="575" w:name="5.2.8._Health_Information"/>
      <w:bookmarkStart w:id="576" w:name="_Toc54423845"/>
      <w:bookmarkEnd w:id="575"/>
      <w:r>
        <w:rPr>
          <w:color w:val="333333"/>
          <w:w w:val="110"/>
        </w:rPr>
        <w:t>Health</w:t>
      </w:r>
      <w:r>
        <w:rPr>
          <w:color w:val="333333"/>
          <w:spacing w:val="-6"/>
          <w:w w:val="110"/>
        </w:rPr>
        <w:t xml:space="preserve"> </w:t>
      </w:r>
      <w:r>
        <w:rPr>
          <w:color w:val="333333"/>
          <w:w w:val="110"/>
        </w:rPr>
        <w:t>Information</w:t>
      </w:r>
      <w:bookmarkEnd w:id="576"/>
    </w:p>
    <w:p w14:paraId="427516F9" w14:textId="77777777" w:rsidR="00A720EB" w:rsidRDefault="0030286B">
      <w:pPr>
        <w:pStyle w:val="a3"/>
        <w:spacing w:before="254" w:line="295" w:lineRule="auto"/>
        <w:ind w:left="124" w:right="123"/>
        <w:jc w:val="both"/>
      </w:pPr>
      <w:r>
        <w:rPr>
          <w:color w:val="333333"/>
          <w:w w:val="110"/>
        </w:rPr>
        <w:t xml:space="preserve">You can use health information to check the status of your running application. It is often used by monitoring software to alert someone when a production system goes down. The information exposed by the </w:t>
      </w:r>
      <w:r>
        <w:rPr>
          <w:rFonts w:ascii="MS Gothic"/>
          <w:color w:val="B02045"/>
          <w:w w:val="110"/>
        </w:rPr>
        <w:t xml:space="preserve">health </w:t>
      </w:r>
      <w:r>
        <w:rPr>
          <w:color w:val="333333"/>
          <w:w w:val="110"/>
        </w:rPr>
        <w:t xml:space="preserve">endpoint depends on the </w:t>
      </w:r>
      <w:proofErr w:type="gramStart"/>
      <w:r>
        <w:rPr>
          <w:rFonts w:ascii="MS Gothic"/>
          <w:color w:val="B02045"/>
          <w:w w:val="110"/>
        </w:rPr>
        <w:t>management.endpoint</w:t>
      </w:r>
      <w:proofErr w:type="gramEnd"/>
      <w:r>
        <w:rPr>
          <w:rFonts w:ascii="MS Gothic"/>
          <w:color w:val="B02045"/>
          <w:w w:val="110"/>
        </w:rPr>
        <w:t xml:space="preserve">.health.show-details </w:t>
      </w:r>
      <w:r>
        <w:rPr>
          <w:color w:val="333333"/>
          <w:w w:val="110"/>
        </w:rPr>
        <w:t xml:space="preserve">and </w:t>
      </w:r>
      <w:r>
        <w:rPr>
          <w:rFonts w:ascii="MS Gothic"/>
          <w:color w:val="B02045"/>
          <w:w w:val="110"/>
        </w:rPr>
        <w:t xml:space="preserve">management.endpoint.health.show-components </w:t>
      </w:r>
      <w:r>
        <w:rPr>
          <w:color w:val="333333"/>
          <w:w w:val="110"/>
        </w:rPr>
        <w:t>properties which can be configured with one of the following values:</w:t>
      </w:r>
    </w:p>
    <w:p w14:paraId="20FF34F6" w14:textId="77777777" w:rsidR="00A720EB" w:rsidRDefault="00A720EB">
      <w:pPr>
        <w:spacing w:line="295" w:lineRule="auto"/>
        <w:jc w:val="both"/>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7482"/>
      </w:tblGrid>
      <w:tr w:rsidR="00A720EB" w14:paraId="46A95780" w14:textId="77777777">
        <w:trPr>
          <w:trHeight w:val="415"/>
        </w:trPr>
        <w:tc>
          <w:tcPr>
            <w:tcW w:w="2494" w:type="dxa"/>
            <w:tcBorders>
              <w:bottom w:val="single" w:sz="12" w:space="0" w:color="DDDDDD"/>
            </w:tcBorders>
          </w:tcPr>
          <w:p w14:paraId="799F876C"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7482" w:type="dxa"/>
            <w:tcBorders>
              <w:bottom w:val="single" w:sz="12" w:space="0" w:color="DDDDDD"/>
            </w:tcBorders>
          </w:tcPr>
          <w:p w14:paraId="781B3411"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A899C11" w14:textId="77777777">
        <w:trPr>
          <w:trHeight w:val="415"/>
        </w:trPr>
        <w:tc>
          <w:tcPr>
            <w:tcW w:w="2494" w:type="dxa"/>
            <w:tcBorders>
              <w:top w:val="single" w:sz="12" w:space="0" w:color="DDDDDD"/>
            </w:tcBorders>
          </w:tcPr>
          <w:p w14:paraId="698EB5EB" w14:textId="77777777" w:rsidR="00A720EB" w:rsidRDefault="0030286B">
            <w:pPr>
              <w:pStyle w:val="TableParagraph"/>
              <w:spacing w:before="27"/>
              <w:rPr>
                <w:sz w:val="21"/>
              </w:rPr>
            </w:pPr>
            <w:r>
              <w:rPr>
                <w:color w:val="B02045"/>
                <w:sz w:val="21"/>
              </w:rPr>
              <w:t>never</w:t>
            </w:r>
          </w:p>
        </w:tc>
        <w:tc>
          <w:tcPr>
            <w:tcW w:w="7482" w:type="dxa"/>
            <w:tcBorders>
              <w:top w:val="single" w:sz="12" w:space="0" w:color="DDDDDD"/>
            </w:tcBorders>
          </w:tcPr>
          <w:p w14:paraId="22E5F235" w14:textId="77777777" w:rsidR="00A720EB" w:rsidRDefault="0030286B">
            <w:pPr>
              <w:pStyle w:val="TableParagraph"/>
              <w:spacing w:before="82"/>
              <w:rPr>
                <w:rFonts w:ascii="Cambria"/>
                <w:sz w:val="21"/>
              </w:rPr>
            </w:pPr>
            <w:r>
              <w:rPr>
                <w:rFonts w:ascii="Cambria"/>
                <w:color w:val="333333"/>
                <w:w w:val="110"/>
                <w:sz w:val="21"/>
              </w:rPr>
              <w:t>Details are never shown.</w:t>
            </w:r>
          </w:p>
        </w:tc>
      </w:tr>
      <w:tr w:rsidR="00A720EB" w14:paraId="158FE159" w14:textId="77777777">
        <w:trPr>
          <w:trHeight w:val="741"/>
        </w:trPr>
        <w:tc>
          <w:tcPr>
            <w:tcW w:w="2494" w:type="dxa"/>
          </w:tcPr>
          <w:p w14:paraId="3C351696" w14:textId="77777777" w:rsidR="00A720EB" w:rsidRDefault="0030286B">
            <w:pPr>
              <w:pStyle w:val="TableParagraph"/>
              <w:rPr>
                <w:sz w:val="21"/>
              </w:rPr>
            </w:pPr>
            <w:r>
              <w:rPr>
                <w:color w:val="B02045"/>
                <w:sz w:val="21"/>
              </w:rPr>
              <w:t>when-authorized</w:t>
            </w:r>
          </w:p>
        </w:tc>
        <w:tc>
          <w:tcPr>
            <w:tcW w:w="7482" w:type="dxa"/>
          </w:tcPr>
          <w:p w14:paraId="5BB04D3C" w14:textId="77777777" w:rsidR="00A720EB" w:rsidRDefault="0030286B">
            <w:pPr>
              <w:pStyle w:val="TableParagraph"/>
              <w:spacing w:before="8" w:line="330" w:lineRule="atLeast"/>
              <w:rPr>
                <w:rFonts w:ascii="Cambria"/>
                <w:sz w:val="21"/>
              </w:rPr>
            </w:pPr>
            <w:r>
              <w:rPr>
                <w:rFonts w:ascii="Cambria"/>
                <w:color w:val="333333"/>
                <w:w w:val="110"/>
                <w:sz w:val="21"/>
              </w:rPr>
              <w:t xml:space="preserve">Details are only shown to authorized users. Authorized roles can be configured using </w:t>
            </w:r>
            <w:proofErr w:type="gramStart"/>
            <w:r>
              <w:rPr>
                <w:color w:val="B02045"/>
                <w:w w:val="110"/>
                <w:sz w:val="21"/>
              </w:rPr>
              <w:t>management.endpoint</w:t>
            </w:r>
            <w:proofErr w:type="gramEnd"/>
            <w:r>
              <w:rPr>
                <w:color w:val="B02045"/>
                <w:w w:val="110"/>
                <w:sz w:val="21"/>
              </w:rPr>
              <w:t>.health.roles</w:t>
            </w:r>
            <w:r>
              <w:rPr>
                <w:rFonts w:ascii="Cambria"/>
                <w:color w:val="333333"/>
                <w:w w:val="110"/>
                <w:sz w:val="21"/>
              </w:rPr>
              <w:t>.</w:t>
            </w:r>
          </w:p>
        </w:tc>
      </w:tr>
      <w:tr w:rsidR="00A720EB" w14:paraId="16CE8401" w14:textId="77777777">
        <w:trPr>
          <w:trHeight w:val="425"/>
        </w:trPr>
        <w:tc>
          <w:tcPr>
            <w:tcW w:w="2494" w:type="dxa"/>
          </w:tcPr>
          <w:p w14:paraId="4BC4D20C" w14:textId="77777777" w:rsidR="00A720EB" w:rsidRDefault="0030286B">
            <w:pPr>
              <w:pStyle w:val="TableParagraph"/>
              <w:rPr>
                <w:sz w:val="21"/>
              </w:rPr>
            </w:pPr>
            <w:r>
              <w:rPr>
                <w:color w:val="B02045"/>
                <w:sz w:val="21"/>
              </w:rPr>
              <w:t>always</w:t>
            </w:r>
          </w:p>
        </w:tc>
        <w:tc>
          <w:tcPr>
            <w:tcW w:w="7482" w:type="dxa"/>
          </w:tcPr>
          <w:p w14:paraId="58BAF179" w14:textId="77777777" w:rsidR="00A720EB" w:rsidRDefault="0030286B">
            <w:pPr>
              <w:pStyle w:val="TableParagraph"/>
              <w:spacing w:before="92"/>
              <w:rPr>
                <w:rFonts w:ascii="Cambria"/>
                <w:sz w:val="21"/>
              </w:rPr>
            </w:pPr>
            <w:r>
              <w:rPr>
                <w:rFonts w:ascii="Cambria"/>
                <w:color w:val="333333"/>
                <w:w w:val="110"/>
                <w:sz w:val="21"/>
              </w:rPr>
              <w:t>Details are shown to all users.</w:t>
            </w:r>
          </w:p>
        </w:tc>
      </w:tr>
    </w:tbl>
    <w:p w14:paraId="0BAAD410" w14:textId="77777777" w:rsidR="00A720EB" w:rsidRDefault="00A720EB">
      <w:pPr>
        <w:pStyle w:val="a3"/>
        <w:spacing w:before="5"/>
        <w:rPr>
          <w:sz w:val="12"/>
        </w:rPr>
      </w:pPr>
    </w:p>
    <w:p w14:paraId="3396180B" w14:textId="77777777" w:rsidR="00A720EB" w:rsidRDefault="0030286B">
      <w:pPr>
        <w:pStyle w:val="a3"/>
        <w:spacing w:before="115" w:line="297" w:lineRule="auto"/>
        <w:ind w:left="124" w:right="129"/>
        <w:jc w:val="both"/>
      </w:pPr>
      <w:r>
        <w:rPr>
          <w:color w:val="333333"/>
          <w:w w:val="110"/>
        </w:rPr>
        <w:t xml:space="preserve">The default value is </w:t>
      </w:r>
      <w:r>
        <w:rPr>
          <w:rFonts w:ascii="MS Gothic" w:hAnsi="MS Gothic"/>
          <w:color w:val="B02045"/>
          <w:w w:val="110"/>
        </w:rPr>
        <w:t>never</w:t>
      </w:r>
      <w:r>
        <w:rPr>
          <w:color w:val="333333"/>
          <w:w w:val="110"/>
        </w:rPr>
        <w:t xml:space="preserve">. A user is considered to be authorized when they are in one or more of    the endpoint’s roles. If the endpoint has no configured roles (the default) all authenticated users are </w:t>
      </w:r>
      <w:proofErr w:type="gramStart"/>
      <w:r>
        <w:rPr>
          <w:color w:val="333333"/>
          <w:w w:val="110"/>
        </w:rPr>
        <w:t>considered  to</w:t>
      </w:r>
      <w:proofErr w:type="gramEnd"/>
      <w:r>
        <w:rPr>
          <w:color w:val="333333"/>
          <w:w w:val="110"/>
        </w:rPr>
        <w:t xml:space="preserve">  be  authorized.  </w:t>
      </w:r>
      <w:proofErr w:type="gramStart"/>
      <w:r>
        <w:rPr>
          <w:color w:val="333333"/>
          <w:w w:val="110"/>
        </w:rPr>
        <w:t>The  roles</w:t>
      </w:r>
      <w:proofErr w:type="gramEnd"/>
      <w:r>
        <w:rPr>
          <w:color w:val="333333"/>
          <w:w w:val="110"/>
        </w:rPr>
        <w:t xml:space="preserve">  can  be  configured  using  the  </w:t>
      </w:r>
      <w:r>
        <w:rPr>
          <w:rFonts w:ascii="MS Gothic" w:hAnsi="MS Gothic"/>
          <w:color w:val="B02045"/>
          <w:w w:val="110"/>
        </w:rPr>
        <w:t>management.endpoint.health.roles</w:t>
      </w:r>
      <w:r>
        <w:rPr>
          <w:rFonts w:ascii="MS Gothic" w:hAnsi="MS Gothic"/>
          <w:color w:val="B02045"/>
          <w:spacing w:val="-65"/>
          <w:w w:val="110"/>
        </w:rPr>
        <w:t xml:space="preserve"> </w:t>
      </w:r>
      <w:r>
        <w:rPr>
          <w:color w:val="333333"/>
          <w:spacing w:val="-3"/>
          <w:w w:val="110"/>
        </w:rPr>
        <w:t>property.</w:t>
      </w:r>
    </w:p>
    <w:p w14:paraId="20253A9C" w14:textId="77777777" w:rsidR="00A720EB" w:rsidRDefault="00A720EB">
      <w:pPr>
        <w:pStyle w:val="a3"/>
        <w:spacing w:before="2"/>
        <w:rPr>
          <w:sz w:val="16"/>
        </w:rPr>
      </w:pPr>
    </w:p>
    <w:p w14:paraId="4F4639A1" w14:textId="77777777" w:rsidR="00A720EB" w:rsidRDefault="00E10349">
      <w:pPr>
        <w:pStyle w:val="a3"/>
        <w:spacing w:before="115" w:line="300" w:lineRule="auto"/>
        <w:ind w:left="1564" w:right="363"/>
        <w:jc w:val="both"/>
      </w:pPr>
      <w:r>
        <w:pict w14:anchorId="3ACC466E">
          <v:line id="_x0000_s3276" style="position:absolute;left:0;text-align:left;z-index:16203776;mso-position-horizontal-relative:page" from="108.25pt,.3pt" to="108.25pt,55.65pt" strokecolor="#ededed" strokeweight=".5pt">
            <w10:wrap anchorx="page"/>
          </v:line>
        </w:pict>
      </w:r>
      <w:r w:rsidR="0030286B">
        <w:rPr>
          <w:noProof/>
        </w:rPr>
        <w:drawing>
          <wp:anchor distT="0" distB="0" distL="0" distR="0" simplePos="0" relativeHeight="16204288" behindDoc="0" locked="0" layoutInCell="1" allowOverlap="1" wp14:anchorId="49B6ACA6" wp14:editId="000A291C">
            <wp:simplePos x="0" y="0"/>
            <wp:positionH relativeFrom="page">
              <wp:posOffset>844422</wp:posOffset>
            </wp:positionH>
            <wp:positionV relativeFrom="paragraph">
              <wp:posOffset>205816</wp:posOffset>
            </wp:positionV>
            <wp:extent cx="298450" cy="298450"/>
            <wp:effectExtent l="0" t="0" r="0" b="0"/>
            <wp:wrapNone/>
            <wp:docPr id="5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have secured your application and wish to use </w:t>
      </w:r>
      <w:r w:rsidR="0030286B">
        <w:rPr>
          <w:rFonts w:ascii="MS Gothic"/>
          <w:color w:val="B02045"/>
          <w:w w:val="110"/>
        </w:rPr>
        <w:t>always</w:t>
      </w:r>
      <w:r w:rsidR="0030286B">
        <w:rPr>
          <w:color w:val="333333"/>
          <w:w w:val="110"/>
        </w:rPr>
        <w:t xml:space="preserve">, your security configuration must permit access to the health </w:t>
      </w:r>
      <w:proofErr w:type="gramStart"/>
      <w:r w:rsidR="0030286B">
        <w:rPr>
          <w:color w:val="333333"/>
          <w:w w:val="110"/>
        </w:rPr>
        <w:t>endpoint  for</w:t>
      </w:r>
      <w:proofErr w:type="gramEnd"/>
      <w:r w:rsidR="0030286B">
        <w:rPr>
          <w:color w:val="333333"/>
          <w:w w:val="110"/>
        </w:rPr>
        <w:t xml:space="preserve">  both  authenticated and unauthenticated</w:t>
      </w:r>
      <w:r w:rsidR="0030286B">
        <w:rPr>
          <w:color w:val="333333"/>
          <w:spacing w:val="5"/>
          <w:w w:val="110"/>
        </w:rPr>
        <w:t xml:space="preserve"> </w:t>
      </w:r>
      <w:r w:rsidR="0030286B">
        <w:rPr>
          <w:color w:val="333333"/>
          <w:w w:val="110"/>
        </w:rPr>
        <w:t>users.</w:t>
      </w:r>
    </w:p>
    <w:p w14:paraId="541DAFDA" w14:textId="77777777" w:rsidR="00A720EB" w:rsidRDefault="00A720EB">
      <w:pPr>
        <w:pStyle w:val="a3"/>
        <w:rPr>
          <w:sz w:val="17"/>
        </w:rPr>
      </w:pPr>
    </w:p>
    <w:p w14:paraId="11F01A49" w14:textId="77777777" w:rsidR="00A720EB" w:rsidRDefault="0030286B">
      <w:pPr>
        <w:pStyle w:val="a3"/>
        <w:spacing w:before="116" w:line="280" w:lineRule="auto"/>
        <w:ind w:left="124" w:right="124"/>
        <w:jc w:val="both"/>
      </w:pPr>
      <w:r>
        <w:rPr>
          <w:color w:val="333333"/>
          <w:w w:val="110"/>
        </w:rPr>
        <w:t xml:space="preserve">Health information is collected from the content of a </w:t>
      </w:r>
      <w:hyperlink r:id="rId422">
        <w:r>
          <w:rPr>
            <w:rFonts w:ascii="MS Gothic"/>
            <w:color w:val="B02045"/>
            <w:w w:val="110"/>
          </w:rPr>
          <w:t xml:space="preserve">HealthContributorRegistry </w:t>
        </w:r>
      </w:hyperlink>
      <w:r>
        <w:rPr>
          <w:color w:val="333333"/>
          <w:w w:val="110"/>
        </w:rPr>
        <w:t xml:space="preserve">(by default all  </w:t>
      </w:r>
      <w:hyperlink r:id="rId423">
        <w:r>
          <w:rPr>
            <w:rFonts w:ascii="MS Gothic"/>
            <w:color w:val="B02045"/>
            <w:w w:val="110"/>
          </w:rPr>
          <w:t>HealthContributor</w:t>
        </w:r>
        <w:r>
          <w:rPr>
            <w:rFonts w:ascii="MS Gothic"/>
            <w:color w:val="B02045"/>
            <w:spacing w:val="-77"/>
            <w:w w:val="110"/>
          </w:rPr>
          <w:t xml:space="preserve"> </w:t>
        </w:r>
      </w:hyperlink>
      <w:r>
        <w:rPr>
          <w:color w:val="333333"/>
          <w:w w:val="110"/>
        </w:rPr>
        <w:t>instances</w:t>
      </w:r>
      <w:r>
        <w:rPr>
          <w:color w:val="333333"/>
          <w:spacing w:val="-12"/>
          <w:w w:val="110"/>
        </w:rPr>
        <w:t xml:space="preserve"> </w:t>
      </w:r>
      <w:r>
        <w:rPr>
          <w:color w:val="333333"/>
          <w:w w:val="110"/>
        </w:rPr>
        <w:t>defined</w:t>
      </w:r>
      <w:r>
        <w:rPr>
          <w:color w:val="333333"/>
          <w:spacing w:val="-13"/>
          <w:w w:val="110"/>
        </w:rPr>
        <w:t xml:space="preserve"> </w:t>
      </w:r>
      <w:r>
        <w:rPr>
          <w:color w:val="333333"/>
          <w:w w:val="110"/>
        </w:rPr>
        <w:t>in</w:t>
      </w:r>
      <w:r>
        <w:rPr>
          <w:color w:val="333333"/>
          <w:spacing w:val="-12"/>
          <w:w w:val="110"/>
        </w:rPr>
        <w:t xml:space="preserve"> </w:t>
      </w:r>
      <w:r>
        <w:rPr>
          <w:color w:val="333333"/>
          <w:w w:val="110"/>
        </w:rPr>
        <w:t>your</w:t>
      </w:r>
      <w:r>
        <w:rPr>
          <w:color w:val="333333"/>
          <w:spacing w:val="-9"/>
          <w:w w:val="110"/>
        </w:rPr>
        <w:t xml:space="preserve"> </w:t>
      </w:r>
      <w:r>
        <w:rPr>
          <w:rFonts w:ascii="MS Gothic"/>
          <w:color w:val="B02045"/>
          <w:w w:val="110"/>
        </w:rPr>
        <w:t>ApplicationContext</w:t>
      </w:r>
      <w:r>
        <w:rPr>
          <w:color w:val="333333"/>
          <w:w w:val="110"/>
        </w:rPr>
        <w:t>).</w:t>
      </w:r>
      <w:r>
        <w:rPr>
          <w:color w:val="333333"/>
          <w:spacing w:val="-12"/>
          <w:w w:val="110"/>
        </w:rPr>
        <w:t xml:space="preserve"> </w:t>
      </w:r>
      <w:r>
        <w:rPr>
          <w:color w:val="333333"/>
          <w:w w:val="110"/>
        </w:rPr>
        <w:t>Spring</w:t>
      </w:r>
      <w:r>
        <w:rPr>
          <w:color w:val="333333"/>
          <w:spacing w:val="-12"/>
          <w:w w:val="110"/>
        </w:rPr>
        <w:t xml:space="preserve"> </w:t>
      </w:r>
      <w:r>
        <w:rPr>
          <w:color w:val="333333"/>
          <w:w w:val="110"/>
        </w:rPr>
        <w:t>Boot</w:t>
      </w:r>
      <w:r>
        <w:rPr>
          <w:color w:val="333333"/>
          <w:spacing w:val="-12"/>
          <w:w w:val="110"/>
        </w:rPr>
        <w:t xml:space="preserve"> </w:t>
      </w:r>
      <w:r>
        <w:rPr>
          <w:color w:val="333333"/>
          <w:w w:val="110"/>
        </w:rPr>
        <w:t>includes</w:t>
      </w:r>
      <w:r>
        <w:rPr>
          <w:color w:val="333333"/>
          <w:spacing w:val="-13"/>
          <w:w w:val="110"/>
        </w:rPr>
        <w:t xml:space="preserve"> </w:t>
      </w:r>
      <w:r>
        <w:rPr>
          <w:color w:val="333333"/>
          <w:w w:val="110"/>
        </w:rPr>
        <w:t>a</w:t>
      </w:r>
      <w:r>
        <w:rPr>
          <w:color w:val="333333"/>
          <w:spacing w:val="-12"/>
          <w:w w:val="110"/>
        </w:rPr>
        <w:t xml:space="preserve"> </w:t>
      </w:r>
      <w:r>
        <w:rPr>
          <w:color w:val="333333"/>
          <w:w w:val="110"/>
        </w:rPr>
        <w:t>number</w:t>
      </w:r>
      <w:r>
        <w:rPr>
          <w:color w:val="333333"/>
          <w:spacing w:val="-12"/>
          <w:w w:val="110"/>
        </w:rPr>
        <w:t xml:space="preserve"> </w:t>
      </w:r>
      <w:r>
        <w:rPr>
          <w:color w:val="333333"/>
          <w:w w:val="110"/>
        </w:rPr>
        <w:t xml:space="preserve">of auto-configured </w:t>
      </w:r>
      <w:r>
        <w:rPr>
          <w:rFonts w:ascii="MS Gothic"/>
          <w:color w:val="B02045"/>
          <w:w w:val="110"/>
        </w:rPr>
        <w:t>HealthContributors</w:t>
      </w:r>
      <w:r>
        <w:rPr>
          <w:rFonts w:ascii="MS Gothic"/>
          <w:color w:val="B02045"/>
          <w:spacing w:val="-57"/>
          <w:w w:val="110"/>
        </w:rPr>
        <w:t xml:space="preserve"> </w:t>
      </w:r>
      <w:r>
        <w:rPr>
          <w:color w:val="333333"/>
          <w:w w:val="110"/>
        </w:rPr>
        <w:t>and you can also write your own.</w:t>
      </w:r>
    </w:p>
    <w:p w14:paraId="432D1F10" w14:textId="77777777" w:rsidR="00A720EB" w:rsidRDefault="0030286B">
      <w:pPr>
        <w:pStyle w:val="a3"/>
        <w:spacing w:before="243" w:line="285" w:lineRule="auto"/>
        <w:ind w:left="124" w:right="122"/>
        <w:jc w:val="both"/>
      </w:pPr>
      <w:r>
        <w:rPr>
          <w:color w:val="333333"/>
          <w:w w:val="110"/>
        </w:rPr>
        <w:t xml:space="preserve">A </w:t>
      </w:r>
      <w:r>
        <w:rPr>
          <w:rFonts w:ascii="MS Gothic"/>
          <w:color w:val="B02045"/>
          <w:w w:val="110"/>
        </w:rPr>
        <w:t xml:space="preserve">HealthContributor </w:t>
      </w:r>
      <w:r>
        <w:rPr>
          <w:color w:val="333333"/>
          <w:w w:val="110"/>
        </w:rPr>
        <w:t xml:space="preserve">can either be a </w:t>
      </w:r>
      <w:r>
        <w:rPr>
          <w:rFonts w:ascii="MS Gothic"/>
          <w:color w:val="B02045"/>
          <w:w w:val="110"/>
        </w:rPr>
        <w:t xml:space="preserve">HealthIndicator </w:t>
      </w:r>
      <w:r>
        <w:rPr>
          <w:color w:val="333333"/>
          <w:w w:val="110"/>
        </w:rPr>
        <w:t xml:space="preserve">or a </w:t>
      </w:r>
      <w:r>
        <w:rPr>
          <w:rFonts w:ascii="MS Gothic"/>
          <w:color w:val="B02045"/>
          <w:w w:val="110"/>
        </w:rPr>
        <w:t>CompositeHealthContributor</w:t>
      </w:r>
      <w:r>
        <w:rPr>
          <w:color w:val="333333"/>
          <w:w w:val="110"/>
        </w:rPr>
        <w:t xml:space="preserve">. A </w:t>
      </w:r>
      <w:r>
        <w:rPr>
          <w:rFonts w:ascii="MS Gothic"/>
          <w:color w:val="B02045"/>
          <w:w w:val="110"/>
        </w:rPr>
        <w:t xml:space="preserve">HealthIndicator </w:t>
      </w:r>
      <w:proofErr w:type="gramStart"/>
      <w:r>
        <w:rPr>
          <w:color w:val="333333"/>
          <w:w w:val="110"/>
        </w:rPr>
        <w:t>provides  actual</w:t>
      </w:r>
      <w:proofErr w:type="gramEnd"/>
      <w:r>
        <w:rPr>
          <w:color w:val="333333"/>
          <w:w w:val="110"/>
        </w:rPr>
        <w:t xml:space="preserve">  health  information,  including  a </w:t>
      </w:r>
      <w:r>
        <w:rPr>
          <w:rFonts w:ascii="MS Gothic"/>
          <w:color w:val="B02045"/>
          <w:w w:val="110"/>
        </w:rPr>
        <w:t>Status</w:t>
      </w:r>
      <w:r>
        <w:rPr>
          <w:color w:val="333333"/>
          <w:w w:val="110"/>
        </w:rPr>
        <w:t xml:space="preserve">.  A </w:t>
      </w:r>
      <w:r>
        <w:rPr>
          <w:rFonts w:ascii="MS Gothic"/>
          <w:color w:val="B02045"/>
          <w:w w:val="110"/>
        </w:rPr>
        <w:t xml:space="preserve">CompositeHealthContributor </w:t>
      </w:r>
      <w:r>
        <w:rPr>
          <w:color w:val="333333"/>
          <w:w w:val="110"/>
        </w:rPr>
        <w:t xml:space="preserve">provides a composite of other </w:t>
      </w:r>
      <w:r>
        <w:rPr>
          <w:rFonts w:ascii="MS Gothic"/>
          <w:color w:val="B02045"/>
          <w:w w:val="110"/>
        </w:rPr>
        <w:t>HealthContributors</w:t>
      </w:r>
      <w:r>
        <w:rPr>
          <w:color w:val="333333"/>
          <w:w w:val="110"/>
        </w:rPr>
        <w:t>. Taken together, contributors form a tree structure to represent the overall system health.</w:t>
      </w:r>
    </w:p>
    <w:p w14:paraId="350D79A9" w14:textId="77777777" w:rsidR="00A720EB" w:rsidRDefault="0030286B">
      <w:pPr>
        <w:pStyle w:val="a3"/>
        <w:spacing w:before="248" w:line="280" w:lineRule="auto"/>
        <w:ind w:left="124" w:right="123"/>
        <w:jc w:val="both"/>
      </w:pPr>
      <w:r>
        <w:rPr>
          <w:color w:val="333333"/>
          <w:spacing w:val="-3"/>
          <w:w w:val="110"/>
        </w:rPr>
        <w:t xml:space="preserve">By </w:t>
      </w:r>
      <w:r>
        <w:rPr>
          <w:color w:val="333333"/>
          <w:w w:val="110"/>
        </w:rPr>
        <w:t xml:space="preserve">default, the final system health is derived </w:t>
      </w:r>
      <w:r>
        <w:rPr>
          <w:color w:val="333333"/>
          <w:spacing w:val="-3"/>
          <w:w w:val="110"/>
        </w:rPr>
        <w:t xml:space="preserve">by </w:t>
      </w:r>
      <w:r>
        <w:rPr>
          <w:color w:val="333333"/>
          <w:w w:val="110"/>
        </w:rPr>
        <w:t xml:space="preserve">a </w:t>
      </w:r>
      <w:r>
        <w:rPr>
          <w:rFonts w:ascii="MS Gothic"/>
          <w:color w:val="B02045"/>
          <w:w w:val="110"/>
        </w:rPr>
        <w:t xml:space="preserve">StatusAggregator </w:t>
      </w:r>
      <w:r>
        <w:rPr>
          <w:color w:val="333333"/>
          <w:w w:val="110"/>
        </w:rPr>
        <w:t>which sorts the statuses from each</w:t>
      </w:r>
      <w:r>
        <w:rPr>
          <w:color w:val="333333"/>
          <w:spacing w:val="-4"/>
          <w:w w:val="110"/>
        </w:rPr>
        <w:t xml:space="preserve"> </w:t>
      </w:r>
      <w:r>
        <w:rPr>
          <w:rFonts w:ascii="MS Gothic"/>
          <w:color w:val="B02045"/>
          <w:w w:val="110"/>
        </w:rPr>
        <w:t>HealthIndicator</w:t>
      </w:r>
      <w:r>
        <w:rPr>
          <w:rFonts w:ascii="MS Gothic"/>
          <w:color w:val="B02045"/>
          <w:spacing w:val="-69"/>
          <w:w w:val="110"/>
        </w:rPr>
        <w:t xml:space="preserve"> </w:t>
      </w:r>
      <w:r>
        <w:rPr>
          <w:color w:val="333333"/>
          <w:w w:val="110"/>
        </w:rPr>
        <w:t>based</w:t>
      </w:r>
      <w:r>
        <w:rPr>
          <w:color w:val="333333"/>
          <w:spacing w:val="-4"/>
          <w:w w:val="110"/>
        </w:rPr>
        <w:t xml:space="preserve"> </w:t>
      </w:r>
      <w:r>
        <w:rPr>
          <w:color w:val="333333"/>
          <w:w w:val="110"/>
        </w:rPr>
        <w:t>on</w:t>
      </w:r>
      <w:r>
        <w:rPr>
          <w:color w:val="333333"/>
          <w:spacing w:val="-4"/>
          <w:w w:val="110"/>
        </w:rPr>
        <w:t xml:space="preserve"> </w:t>
      </w:r>
      <w:r>
        <w:rPr>
          <w:color w:val="333333"/>
          <w:w w:val="110"/>
        </w:rPr>
        <w:t>an</w:t>
      </w:r>
      <w:r>
        <w:rPr>
          <w:color w:val="333333"/>
          <w:spacing w:val="-4"/>
          <w:w w:val="110"/>
        </w:rPr>
        <w:t xml:space="preserve"> </w:t>
      </w:r>
      <w:r>
        <w:rPr>
          <w:color w:val="333333"/>
          <w:w w:val="110"/>
        </w:rPr>
        <w:t>ordered</w:t>
      </w:r>
      <w:r>
        <w:rPr>
          <w:color w:val="333333"/>
          <w:spacing w:val="-4"/>
          <w:w w:val="110"/>
        </w:rPr>
        <w:t xml:space="preserve"> </w:t>
      </w:r>
      <w:r>
        <w:rPr>
          <w:color w:val="333333"/>
          <w:w w:val="110"/>
        </w:rPr>
        <w:t>list</w:t>
      </w:r>
      <w:r>
        <w:rPr>
          <w:color w:val="333333"/>
          <w:spacing w:val="-3"/>
          <w:w w:val="110"/>
        </w:rPr>
        <w:t xml:space="preserve"> </w:t>
      </w:r>
      <w:r>
        <w:rPr>
          <w:color w:val="333333"/>
          <w:w w:val="110"/>
        </w:rPr>
        <w:t>of</w:t>
      </w:r>
      <w:r>
        <w:rPr>
          <w:color w:val="333333"/>
          <w:spacing w:val="-4"/>
          <w:w w:val="110"/>
        </w:rPr>
        <w:t xml:space="preserve"> </w:t>
      </w:r>
      <w:r>
        <w:rPr>
          <w:color w:val="333333"/>
          <w:w w:val="110"/>
        </w:rPr>
        <w:t>statuses.</w:t>
      </w:r>
      <w:r>
        <w:rPr>
          <w:color w:val="333333"/>
          <w:spacing w:val="-4"/>
          <w:w w:val="110"/>
        </w:rPr>
        <w:t xml:space="preserve"> </w:t>
      </w:r>
      <w:r>
        <w:rPr>
          <w:color w:val="333333"/>
          <w:w w:val="110"/>
        </w:rPr>
        <w:t>The</w:t>
      </w:r>
      <w:r>
        <w:rPr>
          <w:color w:val="333333"/>
          <w:spacing w:val="-4"/>
          <w:w w:val="110"/>
        </w:rPr>
        <w:t xml:space="preserve"> </w:t>
      </w:r>
      <w:r>
        <w:rPr>
          <w:color w:val="333333"/>
          <w:w w:val="110"/>
        </w:rPr>
        <w:t>first</w:t>
      </w:r>
      <w:r>
        <w:rPr>
          <w:color w:val="333333"/>
          <w:spacing w:val="-4"/>
          <w:w w:val="110"/>
        </w:rPr>
        <w:t xml:space="preserve"> </w:t>
      </w:r>
      <w:r>
        <w:rPr>
          <w:color w:val="333333"/>
          <w:w w:val="110"/>
        </w:rPr>
        <w:t>status</w:t>
      </w:r>
      <w:r>
        <w:rPr>
          <w:color w:val="333333"/>
          <w:spacing w:val="-4"/>
          <w:w w:val="110"/>
        </w:rPr>
        <w:t xml:space="preserve"> </w:t>
      </w:r>
      <w:r>
        <w:rPr>
          <w:color w:val="333333"/>
          <w:w w:val="110"/>
        </w:rPr>
        <w:t>in</w:t>
      </w:r>
      <w:r>
        <w:rPr>
          <w:color w:val="333333"/>
          <w:spacing w:val="-4"/>
          <w:w w:val="110"/>
        </w:rPr>
        <w:t xml:space="preserve"> </w:t>
      </w:r>
      <w:r>
        <w:rPr>
          <w:color w:val="333333"/>
          <w:w w:val="110"/>
        </w:rPr>
        <w:t>the</w:t>
      </w:r>
      <w:r>
        <w:rPr>
          <w:color w:val="333333"/>
          <w:spacing w:val="-4"/>
          <w:w w:val="110"/>
        </w:rPr>
        <w:t xml:space="preserve"> </w:t>
      </w:r>
      <w:r>
        <w:rPr>
          <w:color w:val="333333"/>
          <w:w w:val="110"/>
        </w:rPr>
        <w:t>sorted</w:t>
      </w:r>
      <w:r>
        <w:rPr>
          <w:color w:val="333333"/>
          <w:spacing w:val="-3"/>
          <w:w w:val="110"/>
        </w:rPr>
        <w:t xml:space="preserve"> </w:t>
      </w:r>
      <w:r>
        <w:rPr>
          <w:color w:val="333333"/>
          <w:w w:val="110"/>
        </w:rPr>
        <w:t>list</w:t>
      </w:r>
      <w:r>
        <w:rPr>
          <w:color w:val="333333"/>
          <w:spacing w:val="-4"/>
          <w:w w:val="110"/>
        </w:rPr>
        <w:t xml:space="preserve"> </w:t>
      </w:r>
      <w:r>
        <w:rPr>
          <w:color w:val="333333"/>
          <w:w w:val="110"/>
        </w:rPr>
        <w:t>is</w:t>
      </w:r>
      <w:r>
        <w:rPr>
          <w:color w:val="333333"/>
          <w:spacing w:val="-4"/>
          <w:w w:val="110"/>
        </w:rPr>
        <w:t xml:space="preserve"> </w:t>
      </w:r>
      <w:r>
        <w:rPr>
          <w:color w:val="333333"/>
          <w:w w:val="110"/>
        </w:rPr>
        <w:t>used</w:t>
      </w:r>
      <w:r>
        <w:rPr>
          <w:color w:val="333333"/>
          <w:spacing w:val="-4"/>
          <w:w w:val="110"/>
        </w:rPr>
        <w:t xml:space="preserve"> </w:t>
      </w:r>
      <w:r>
        <w:rPr>
          <w:color w:val="333333"/>
          <w:w w:val="110"/>
        </w:rPr>
        <w:t xml:space="preserve">as the overall health status. If no </w:t>
      </w:r>
      <w:r>
        <w:rPr>
          <w:rFonts w:ascii="MS Gothic"/>
          <w:color w:val="B02045"/>
          <w:w w:val="110"/>
        </w:rPr>
        <w:t xml:space="preserve">HealthIndicator </w:t>
      </w:r>
      <w:r>
        <w:rPr>
          <w:color w:val="333333"/>
          <w:w w:val="110"/>
        </w:rPr>
        <w:t xml:space="preserve">returns a status that is known to the </w:t>
      </w:r>
      <w:r>
        <w:rPr>
          <w:rFonts w:ascii="MS Gothic"/>
          <w:color w:val="B02045"/>
          <w:w w:val="110"/>
        </w:rPr>
        <w:t>StatusAggregator</w:t>
      </w:r>
      <w:r>
        <w:rPr>
          <w:color w:val="333333"/>
          <w:w w:val="110"/>
        </w:rPr>
        <w:t xml:space="preserve">, an </w:t>
      </w:r>
      <w:r>
        <w:rPr>
          <w:rFonts w:ascii="MS Gothic"/>
          <w:color w:val="B02045"/>
          <w:w w:val="110"/>
        </w:rPr>
        <w:t>UNKNOWN</w:t>
      </w:r>
      <w:r>
        <w:rPr>
          <w:rFonts w:ascii="MS Gothic"/>
          <w:color w:val="B02045"/>
          <w:spacing w:val="-60"/>
          <w:w w:val="110"/>
        </w:rPr>
        <w:t xml:space="preserve"> </w:t>
      </w:r>
      <w:r>
        <w:rPr>
          <w:color w:val="333333"/>
          <w:w w:val="110"/>
        </w:rPr>
        <w:t>status is used.</w:t>
      </w:r>
    </w:p>
    <w:p w14:paraId="610121DB" w14:textId="77777777" w:rsidR="00A720EB" w:rsidRDefault="00A720EB">
      <w:pPr>
        <w:pStyle w:val="a3"/>
        <w:spacing w:before="7"/>
        <w:rPr>
          <w:sz w:val="27"/>
        </w:rPr>
      </w:pPr>
    </w:p>
    <w:p w14:paraId="037CCA1F" w14:textId="77777777" w:rsidR="00A720EB" w:rsidRDefault="00E10349">
      <w:pPr>
        <w:pStyle w:val="a3"/>
        <w:spacing w:line="290" w:lineRule="auto"/>
        <w:ind w:left="1564"/>
      </w:pPr>
      <w:r>
        <w:pict w14:anchorId="20D7D19E">
          <v:line id="_x0000_s3275" style="position:absolute;left:0;text-align:left;z-index:16204800;mso-position-horizontal-relative:page" from="108.25pt,-5.45pt" to="108.25pt,34.1pt" strokecolor="#ededed" strokeweight=".5pt">
            <w10:wrap anchorx="page"/>
          </v:line>
        </w:pict>
      </w:r>
      <w:r w:rsidR="0030286B">
        <w:rPr>
          <w:noProof/>
        </w:rPr>
        <w:drawing>
          <wp:anchor distT="0" distB="0" distL="0" distR="0" simplePos="0" relativeHeight="16205312" behindDoc="0" locked="0" layoutInCell="1" allowOverlap="1" wp14:anchorId="129167F4" wp14:editId="6F4DBCAD">
            <wp:simplePos x="0" y="0"/>
            <wp:positionH relativeFrom="page">
              <wp:posOffset>888949</wp:posOffset>
            </wp:positionH>
            <wp:positionV relativeFrom="paragraph">
              <wp:posOffset>29413</wp:posOffset>
            </wp:positionV>
            <wp:extent cx="209550" cy="304800"/>
            <wp:effectExtent l="0" t="0" r="0" b="0"/>
            <wp:wrapNone/>
            <wp:docPr id="58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2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HealthContributorRegistry </w:t>
      </w:r>
      <w:r w:rsidR="0030286B">
        <w:rPr>
          <w:color w:val="333333"/>
          <w:w w:val="110"/>
        </w:rPr>
        <w:t>can be used to register and unregister health indicators at</w:t>
      </w:r>
      <w:r w:rsidR="0030286B">
        <w:rPr>
          <w:color w:val="333333"/>
          <w:spacing w:val="5"/>
          <w:w w:val="110"/>
        </w:rPr>
        <w:t xml:space="preserve"> </w:t>
      </w:r>
      <w:r w:rsidR="0030286B">
        <w:rPr>
          <w:color w:val="333333"/>
          <w:w w:val="110"/>
        </w:rPr>
        <w:t>runtime.</w:t>
      </w:r>
    </w:p>
    <w:p w14:paraId="6562A887" w14:textId="77777777" w:rsidR="00A720EB" w:rsidRDefault="00A720EB">
      <w:pPr>
        <w:pStyle w:val="a3"/>
        <w:rPr>
          <w:sz w:val="34"/>
        </w:rPr>
      </w:pPr>
    </w:p>
    <w:p w14:paraId="14E835C3" w14:textId="77777777" w:rsidR="00A720EB" w:rsidRDefault="0030286B">
      <w:pPr>
        <w:pStyle w:val="4"/>
      </w:pPr>
      <w:bookmarkStart w:id="577" w:name="Auto-configured_HealthIndicators"/>
      <w:bookmarkEnd w:id="577"/>
      <w:r>
        <w:rPr>
          <w:color w:val="333333"/>
          <w:spacing w:val="-1"/>
          <w:w w:val="110"/>
        </w:rPr>
        <w:t>Auto-configured</w:t>
      </w:r>
      <w:r>
        <w:rPr>
          <w:color w:val="333333"/>
          <w:spacing w:val="-12"/>
          <w:w w:val="110"/>
        </w:rPr>
        <w:t xml:space="preserve"> </w:t>
      </w:r>
      <w:r>
        <w:rPr>
          <w:color w:val="333333"/>
          <w:w w:val="110"/>
        </w:rPr>
        <w:t>HealthIndicators</w:t>
      </w:r>
    </w:p>
    <w:p w14:paraId="2B6330D7" w14:textId="77777777" w:rsidR="00A720EB" w:rsidRDefault="0030286B">
      <w:pPr>
        <w:pStyle w:val="a3"/>
        <w:spacing w:before="243" w:line="285" w:lineRule="auto"/>
        <w:ind w:left="124" w:right="122"/>
        <w:jc w:val="both"/>
      </w:pPr>
      <w:r>
        <w:rPr>
          <w:color w:val="333333"/>
          <w:w w:val="110"/>
        </w:rPr>
        <w:t xml:space="preserve">The following </w:t>
      </w:r>
      <w:r>
        <w:rPr>
          <w:rFonts w:ascii="MS Gothic"/>
          <w:color w:val="B02045"/>
          <w:w w:val="110"/>
        </w:rPr>
        <w:t xml:space="preserve">HealthIndicators </w:t>
      </w:r>
      <w:r>
        <w:rPr>
          <w:color w:val="333333"/>
          <w:w w:val="110"/>
        </w:rPr>
        <w:t xml:space="preserve">are auto-configured </w:t>
      </w:r>
      <w:r>
        <w:rPr>
          <w:color w:val="333333"/>
          <w:spacing w:val="-3"/>
          <w:w w:val="110"/>
        </w:rPr>
        <w:t xml:space="preserve">by </w:t>
      </w:r>
      <w:r>
        <w:rPr>
          <w:color w:val="333333"/>
          <w:w w:val="110"/>
        </w:rPr>
        <w:t xml:space="preserve">Spring Boot when appropriate. </w:t>
      </w:r>
      <w:r>
        <w:rPr>
          <w:color w:val="333333"/>
          <w:spacing w:val="-6"/>
          <w:w w:val="110"/>
        </w:rPr>
        <w:t xml:space="preserve">You </w:t>
      </w:r>
      <w:r>
        <w:rPr>
          <w:color w:val="333333"/>
          <w:w w:val="110"/>
        </w:rPr>
        <w:t>can also enable/disable</w:t>
      </w:r>
      <w:r>
        <w:rPr>
          <w:color w:val="333333"/>
          <w:spacing w:val="-23"/>
          <w:w w:val="110"/>
        </w:rPr>
        <w:t xml:space="preserve"> </w:t>
      </w:r>
      <w:r>
        <w:rPr>
          <w:color w:val="333333"/>
          <w:w w:val="110"/>
        </w:rPr>
        <w:t>selected</w:t>
      </w:r>
      <w:r>
        <w:rPr>
          <w:color w:val="333333"/>
          <w:spacing w:val="-23"/>
          <w:w w:val="110"/>
        </w:rPr>
        <w:t xml:space="preserve"> </w:t>
      </w:r>
      <w:r>
        <w:rPr>
          <w:color w:val="333333"/>
          <w:w w:val="110"/>
        </w:rPr>
        <w:t>indicators</w:t>
      </w:r>
      <w:r>
        <w:rPr>
          <w:color w:val="333333"/>
          <w:spacing w:val="-22"/>
          <w:w w:val="110"/>
        </w:rPr>
        <w:t xml:space="preserve"> </w:t>
      </w:r>
      <w:r>
        <w:rPr>
          <w:color w:val="333333"/>
          <w:spacing w:val="-3"/>
          <w:w w:val="110"/>
        </w:rPr>
        <w:t>by</w:t>
      </w:r>
      <w:r>
        <w:rPr>
          <w:color w:val="333333"/>
          <w:spacing w:val="-23"/>
          <w:w w:val="110"/>
        </w:rPr>
        <w:t xml:space="preserve"> </w:t>
      </w:r>
      <w:r>
        <w:rPr>
          <w:color w:val="333333"/>
          <w:w w:val="110"/>
        </w:rPr>
        <w:t>configuring</w:t>
      </w:r>
      <w:r>
        <w:rPr>
          <w:color w:val="333333"/>
          <w:spacing w:val="-21"/>
          <w:w w:val="110"/>
        </w:rPr>
        <w:t xml:space="preserve"> </w:t>
      </w:r>
      <w:proofErr w:type="gramStart"/>
      <w:r>
        <w:rPr>
          <w:rFonts w:ascii="MS Gothic"/>
          <w:color w:val="B02045"/>
          <w:w w:val="110"/>
        </w:rPr>
        <w:t>management.health.key.enabled</w:t>
      </w:r>
      <w:proofErr w:type="gramEnd"/>
      <w:r>
        <w:rPr>
          <w:color w:val="333333"/>
          <w:w w:val="110"/>
        </w:rPr>
        <w:t>,</w:t>
      </w:r>
      <w:r>
        <w:rPr>
          <w:color w:val="333333"/>
          <w:spacing w:val="-23"/>
          <w:w w:val="110"/>
        </w:rPr>
        <w:t xml:space="preserve"> </w:t>
      </w:r>
      <w:r>
        <w:rPr>
          <w:color w:val="333333"/>
          <w:w w:val="110"/>
        </w:rPr>
        <w:t>with</w:t>
      </w:r>
      <w:r>
        <w:rPr>
          <w:color w:val="333333"/>
          <w:spacing w:val="-22"/>
          <w:w w:val="110"/>
        </w:rPr>
        <w:t xml:space="preserve"> </w:t>
      </w:r>
      <w:r>
        <w:rPr>
          <w:color w:val="333333"/>
          <w:w w:val="110"/>
        </w:rPr>
        <w:t>the</w:t>
      </w:r>
      <w:r>
        <w:rPr>
          <w:color w:val="333333"/>
          <w:spacing w:val="-23"/>
          <w:w w:val="110"/>
        </w:rPr>
        <w:t xml:space="preserve"> </w:t>
      </w:r>
      <w:r>
        <w:rPr>
          <w:rFonts w:ascii="MS Gothic"/>
          <w:color w:val="B02045"/>
          <w:w w:val="110"/>
        </w:rPr>
        <w:t>key</w:t>
      </w:r>
      <w:r>
        <w:rPr>
          <w:rFonts w:ascii="MS Gothic"/>
          <w:color w:val="B02045"/>
          <w:spacing w:val="-87"/>
          <w:w w:val="110"/>
        </w:rPr>
        <w:t xml:space="preserve"> </w:t>
      </w:r>
      <w:r>
        <w:rPr>
          <w:color w:val="333333"/>
          <w:w w:val="110"/>
        </w:rPr>
        <w:t>listed in the table</w:t>
      </w:r>
      <w:r>
        <w:rPr>
          <w:color w:val="333333"/>
          <w:spacing w:val="9"/>
          <w:w w:val="110"/>
        </w:rPr>
        <w:t xml:space="preserve"> </w:t>
      </w:r>
      <w:r>
        <w:rPr>
          <w:color w:val="333333"/>
          <w:spacing w:val="-4"/>
          <w:w w:val="110"/>
        </w:rPr>
        <w:t>below.</w:t>
      </w:r>
    </w:p>
    <w:p w14:paraId="17556806" w14:textId="77777777" w:rsidR="00A720EB" w:rsidRDefault="00A720EB">
      <w:pPr>
        <w:pStyle w:val="a3"/>
        <w:spacing w:before="8" w:after="1"/>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3326"/>
        <w:gridCol w:w="4989"/>
      </w:tblGrid>
      <w:tr w:rsidR="00A720EB" w14:paraId="0648ADC0" w14:textId="77777777">
        <w:trPr>
          <w:trHeight w:val="415"/>
        </w:trPr>
        <w:tc>
          <w:tcPr>
            <w:tcW w:w="1663" w:type="dxa"/>
            <w:tcBorders>
              <w:bottom w:val="single" w:sz="12" w:space="0" w:color="DDDDDD"/>
            </w:tcBorders>
          </w:tcPr>
          <w:p w14:paraId="42845F55"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3326" w:type="dxa"/>
            <w:tcBorders>
              <w:bottom w:val="single" w:sz="12" w:space="0" w:color="DDDDDD"/>
            </w:tcBorders>
          </w:tcPr>
          <w:p w14:paraId="6B4A1FB6" w14:textId="77777777" w:rsidR="00A720EB" w:rsidRDefault="0030286B">
            <w:pPr>
              <w:pStyle w:val="TableParagraph"/>
              <w:spacing w:before="74"/>
              <w:ind w:left="59"/>
              <w:rPr>
                <w:rFonts w:ascii="Palatino Linotype"/>
                <w:b/>
                <w:sz w:val="21"/>
              </w:rPr>
            </w:pPr>
            <w:r>
              <w:rPr>
                <w:rFonts w:ascii="Palatino Linotype"/>
                <w:b/>
                <w:color w:val="333333"/>
                <w:w w:val="110"/>
                <w:sz w:val="21"/>
              </w:rPr>
              <w:t>Name</w:t>
            </w:r>
          </w:p>
        </w:tc>
        <w:tc>
          <w:tcPr>
            <w:tcW w:w="4989" w:type="dxa"/>
            <w:tcBorders>
              <w:bottom w:val="single" w:sz="12" w:space="0" w:color="DDDDDD"/>
            </w:tcBorders>
          </w:tcPr>
          <w:p w14:paraId="15AF6F2C" w14:textId="77777777" w:rsidR="00A720EB" w:rsidRDefault="0030286B">
            <w:pPr>
              <w:pStyle w:val="TableParagraph"/>
              <w:spacing w:before="74"/>
              <w:ind w:left="58"/>
              <w:rPr>
                <w:rFonts w:ascii="Palatino Linotype"/>
                <w:b/>
                <w:sz w:val="21"/>
              </w:rPr>
            </w:pPr>
            <w:r>
              <w:rPr>
                <w:rFonts w:ascii="Palatino Linotype"/>
                <w:b/>
                <w:color w:val="333333"/>
                <w:w w:val="110"/>
                <w:sz w:val="21"/>
              </w:rPr>
              <w:t>Description</w:t>
            </w:r>
          </w:p>
        </w:tc>
      </w:tr>
      <w:tr w:rsidR="00A720EB" w14:paraId="5B4AC64F" w14:textId="77777777">
        <w:trPr>
          <w:trHeight w:val="415"/>
        </w:trPr>
        <w:tc>
          <w:tcPr>
            <w:tcW w:w="1663" w:type="dxa"/>
            <w:tcBorders>
              <w:top w:val="single" w:sz="12" w:space="0" w:color="DDDDDD"/>
            </w:tcBorders>
          </w:tcPr>
          <w:p w14:paraId="2D3E4C28" w14:textId="77777777" w:rsidR="00A720EB" w:rsidRDefault="0030286B">
            <w:pPr>
              <w:pStyle w:val="TableParagraph"/>
              <w:spacing w:before="30"/>
              <w:rPr>
                <w:sz w:val="21"/>
              </w:rPr>
            </w:pPr>
            <w:r>
              <w:rPr>
                <w:color w:val="B02045"/>
                <w:sz w:val="21"/>
              </w:rPr>
              <w:t>cassandra</w:t>
            </w:r>
          </w:p>
        </w:tc>
        <w:tc>
          <w:tcPr>
            <w:tcW w:w="3326" w:type="dxa"/>
            <w:tcBorders>
              <w:top w:val="single" w:sz="12" w:space="0" w:color="DDDDDD"/>
            </w:tcBorders>
          </w:tcPr>
          <w:p w14:paraId="49FC7738" w14:textId="77777777" w:rsidR="00A720EB" w:rsidRDefault="00E10349">
            <w:pPr>
              <w:pStyle w:val="TableParagraph"/>
              <w:spacing w:before="30"/>
              <w:ind w:left="59"/>
              <w:rPr>
                <w:sz w:val="21"/>
              </w:rPr>
            </w:pPr>
            <w:hyperlink r:id="rId424">
              <w:r w:rsidR="0030286B">
                <w:rPr>
                  <w:color w:val="B02045"/>
                  <w:sz w:val="21"/>
                </w:rPr>
                <w:t>CassandraHealthIndicator</w:t>
              </w:r>
            </w:hyperlink>
          </w:p>
        </w:tc>
        <w:tc>
          <w:tcPr>
            <w:tcW w:w="4989" w:type="dxa"/>
            <w:tcBorders>
              <w:top w:val="single" w:sz="12" w:space="0" w:color="DDDDDD"/>
            </w:tcBorders>
          </w:tcPr>
          <w:p w14:paraId="75766D44" w14:textId="77777777" w:rsidR="00A720EB" w:rsidRDefault="0030286B">
            <w:pPr>
              <w:pStyle w:val="TableParagraph"/>
              <w:spacing w:before="84"/>
              <w:ind w:left="58"/>
              <w:rPr>
                <w:rFonts w:ascii="Cambria"/>
                <w:sz w:val="21"/>
              </w:rPr>
            </w:pPr>
            <w:r>
              <w:rPr>
                <w:rFonts w:ascii="Cambria"/>
                <w:color w:val="333333"/>
                <w:w w:val="110"/>
                <w:sz w:val="21"/>
              </w:rPr>
              <w:t>Checks that a Cassandra database is up.</w:t>
            </w:r>
          </w:p>
        </w:tc>
      </w:tr>
      <w:tr w:rsidR="00A720EB" w14:paraId="75C36B98" w14:textId="77777777">
        <w:trPr>
          <w:trHeight w:val="425"/>
        </w:trPr>
        <w:tc>
          <w:tcPr>
            <w:tcW w:w="1663" w:type="dxa"/>
          </w:tcPr>
          <w:p w14:paraId="5EA6A13C" w14:textId="77777777" w:rsidR="00A720EB" w:rsidRDefault="0030286B">
            <w:pPr>
              <w:pStyle w:val="TableParagraph"/>
              <w:spacing w:before="40"/>
              <w:rPr>
                <w:sz w:val="21"/>
              </w:rPr>
            </w:pPr>
            <w:r>
              <w:rPr>
                <w:color w:val="B02045"/>
                <w:sz w:val="21"/>
              </w:rPr>
              <w:t>couchbase</w:t>
            </w:r>
          </w:p>
        </w:tc>
        <w:tc>
          <w:tcPr>
            <w:tcW w:w="3326" w:type="dxa"/>
          </w:tcPr>
          <w:p w14:paraId="39846126" w14:textId="77777777" w:rsidR="00A720EB" w:rsidRDefault="00E10349">
            <w:pPr>
              <w:pStyle w:val="TableParagraph"/>
              <w:spacing w:before="40"/>
              <w:ind w:left="59"/>
              <w:rPr>
                <w:sz w:val="21"/>
              </w:rPr>
            </w:pPr>
            <w:hyperlink r:id="rId425">
              <w:r w:rsidR="0030286B">
                <w:rPr>
                  <w:color w:val="B02045"/>
                  <w:sz w:val="21"/>
                </w:rPr>
                <w:t>CouchbaseHealthIndicator</w:t>
              </w:r>
            </w:hyperlink>
          </w:p>
        </w:tc>
        <w:tc>
          <w:tcPr>
            <w:tcW w:w="4989" w:type="dxa"/>
          </w:tcPr>
          <w:p w14:paraId="268FCD4B" w14:textId="77777777" w:rsidR="00A720EB" w:rsidRDefault="0030286B">
            <w:pPr>
              <w:pStyle w:val="TableParagraph"/>
              <w:spacing w:before="94"/>
              <w:ind w:left="58"/>
              <w:rPr>
                <w:rFonts w:ascii="Cambria"/>
                <w:sz w:val="21"/>
              </w:rPr>
            </w:pPr>
            <w:r>
              <w:rPr>
                <w:rFonts w:ascii="Cambria"/>
                <w:color w:val="333333"/>
                <w:w w:val="110"/>
                <w:sz w:val="21"/>
              </w:rPr>
              <w:t>Checks that a Couchbase cluster is up.</w:t>
            </w:r>
          </w:p>
        </w:tc>
      </w:tr>
      <w:tr w:rsidR="00A720EB" w14:paraId="64027FD9" w14:textId="77777777">
        <w:trPr>
          <w:trHeight w:val="741"/>
        </w:trPr>
        <w:tc>
          <w:tcPr>
            <w:tcW w:w="1663" w:type="dxa"/>
          </w:tcPr>
          <w:p w14:paraId="65038CA5" w14:textId="77777777" w:rsidR="00A720EB" w:rsidRDefault="0030286B">
            <w:pPr>
              <w:pStyle w:val="TableParagraph"/>
              <w:spacing w:before="40"/>
              <w:rPr>
                <w:sz w:val="21"/>
              </w:rPr>
            </w:pPr>
            <w:r>
              <w:rPr>
                <w:color w:val="B02045"/>
                <w:sz w:val="21"/>
              </w:rPr>
              <w:t>datasource</w:t>
            </w:r>
          </w:p>
        </w:tc>
        <w:tc>
          <w:tcPr>
            <w:tcW w:w="3326" w:type="dxa"/>
          </w:tcPr>
          <w:p w14:paraId="54377B78" w14:textId="77777777" w:rsidR="00A720EB" w:rsidRDefault="00E10349">
            <w:pPr>
              <w:pStyle w:val="TableParagraph"/>
              <w:spacing w:before="40"/>
              <w:ind w:left="59"/>
              <w:rPr>
                <w:sz w:val="21"/>
              </w:rPr>
            </w:pPr>
            <w:hyperlink r:id="rId426">
              <w:r w:rsidR="0030286B">
                <w:rPr>
                  <w:color w:val="B02045"/>
                  <w:sz w:val="21"/>
                </w:rPr>
                <w:t>DataSourceHealthIndicator</w:t>
              </w:r>
            </w:hyperlink>
          </w:p>
        </w:tc>
        <w:tc>
          <w:tcPr>
            <w:tcW w:w="4989" w:type="dxa"/>
          </w:tcPr>
          <w:p w14:paraId="6F888927" w14:textId="77777777" w:rsidR="00A720EB" w:rsidRDefault="0030286B">
            <w:pPr>
              <w:pStyle w:val="TableParagraph"/>
              <w:spacing w:before="84" w:line="290" w:lineRule="auto"/>
              <w:ind w:left="58"/>
              <w:rPr>
                <w:rFonts w:ascii="Cambria"/>
                <w:sz w:val="21"/>
              </w:rPr>
            </w:pPr>
            <w:r>
              <w:rPr>
                <w:rFonts w:ascii="Cambria"/>
                <w:color w:val="333333"/>
                <w:w w:val="110"/>
                <w:sz w:val="21"/>
              </w:rPr>
              <w:t xml:space="preserve">Checks that a connection to </w:t>
            </w:r>
            <w:r>
              <w:rPr>
                <w:color w:val="B02045"/>
                <w:w w:val="110"/>
                <w:sz w:val="21"/>
              </w:rPr>
              <w:t>DataSource</w:t>
            </w:r>
            <w:r>
              <w:rPr>
                <w:color w:val="B02045"/>
                <w:spacing w:val="-73"/>
                <w:w w:val="110"/>
                <w:sz w:val="21"/>
              </w:rPr>
              <w:t xml:space="preserve"> </w:t>
            </w:r>
            <w:r>
              <w:rPr>
                <w:rFonts w:ascii="Cambria"/>
                <w:color w:val="333333"/>
                <w:w w:val="110"/>
                <w:sz w:val="21"/>
              </w:rPr>
              <w:t>can be obtained.</w:t>
            </w:r>
          </w:p>
        </w:tc>
      </w:tr>
      <w:tr w:rsidR="00A720EB" w14:paraId="66E8DB13" w14:textId="77777777">
        <w:trPr>
          <w:trHeight w:val="425"/>
        </w:trPr>
        <w:tc>
          <w:tcPr>
            <w:tcW w:w="1663" w:type="dxa"/>
          </w:tcPr>
          <w:p w14:paraId="4EEF8A36" w14:textId="77777777" w:rsidR="00A720EB" w:rsidRDefault="0030286B">
            <w:pPr>
              <w:pStyle w:val="TableParagraph"/>
              <w:spacing w:before="40"/>
              <w:rPr>
                <w:sz w:val="21"/>
              </w:rPr>
            </w:pPr>
            <w:r>
              <w:rPr>
                <w:color w:val="B02045"/>
                <w:sz w:val="21"/>
              </w:rPr>
              <w:t>diskspace</w:t>
            </w:r>
          </w:p>
        </w:tc>
        <w:tc>
          <w:tcPr>
            <w:tcW w:w="3326" w:type="dxa"/>
          </w:tcPr>
          <w:p w14:paraId="56962669" w14:textId="77777777" w:rsidR="00A720EB" w:rsidRDefault="00E10349">
            <w:pPr>
              <w:pStyle w:val="TableParagraph"/>
              <w:spacing w:before="40"/>
              <w:ind w:left="59"/>
              <w:rPr>
                <w:sz w:val="21"/>
              </w:rPr>
            </w:pPr>
            <w:hyperlink r:id="rId427">
              <w:r w:rsidR="0030286B">
                <w:rPr>
                  <w:color w:val="B02045"/>
                  <w:sz w:val="21"/>
                </w:rPr>
                <w:t>DiskSpaceHealthIndicator</w:t>
              </w:r>
            </w:hyperlink>
          </w:p>
        </w:tc>
        <w:tc>
          <w:tcPr>
            <w:tcW w:w="4989" w:type="dxa"/>
          </w:tcPr>
          <w:p w14:paraId="594C8075" w14:textId="77777777" w:rsidR="00A720EB" w:rsidRDefault="0030286B">
            <w:pPr>
              <w:pStyle w:val="TableParagraph"/>
              <w:spacing w:before="94"/>
              <w:ind w:left="58"/>
              <w:rPr>
                <w:rFonts w:ascii="Cambria"/>
                <w:sz w:val="21"/>
              </w:rPr>
            </w:pPr>
            <w:r>
              <w:rPr>
                <w:rFonts w:ascii="Cambria"/>
                <w:color w:val="333333"/>
                <w:w w:val="110"/>
                <w:sz w:val="21"/>
              </w:rPr>
              <w:t>Checks for low disk space.</w:t>
            </w:r>
          </w:p>
        </w:tc>
      </w:tr>
    </w:tbl>
    <w:p w14:paraId="0E294830" w14:textId="77777777" w:rsidR="00A720EB" w:rsidRDefault="00A720EB">
      <w:pPr>
        <w:rPr>
          <w:sz w:val="21"/>
        </w:rPr>
        <w:sectPr w:rsidR="00A720EB">
          <w:pgSz w:w="11910" w:h="16840"/>
          <w:pgMar w:top="70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3326"/>
        <w:gridCol w:w="4989"/>
      </w:tblGrid>
      <w:tr w:rsidR="00A720EB" w14:paraId="6A3EC68C" w14:textId="77777777">
        <w:trPr>
          <w:trHeight w:val="415"/>
        </w:trPr>
        <w:tc>
          <w:tcPr>
            <w:tcW w:w="1663" w:type="dxa"/>
            <w:tcBorders>
              <w:bottom w:val="single" w:sz="12" w:space="0" w:color="DDDDDD"/>
            </w:tcBorders>
          </w:tcPr>
          <w:p w14:paraId="60C31C9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3326" w:type="dxa"/>
            <w:tcBorders>
              <w:bottom w:val="single" w:sz="12" w:space="0" w:color="DDDDDD"/>
            </w:tcBorders>
          </w:tcPr>
          <w:p w14:paraId="382C03A7" w14:textId="77777777" w:rsidR="00A720EB" w:rsidRDefault="0030286B">
            <w:pPr>
              <w:pStyle w:val="TableParagraph"/>
              <w:spacing w:before="71"/>
              <w:ind w:left="59"/>
              <w:rPr>
                <w:rFonts w:ascii="Palatino Linotype"/>
                <w:b/>
                <w:sz w:val="21"/>
              </w:rPr>
            </w:pPr>
            <w:r>
              <w:rPr>
                <w:rFonts w:ascii="Palatino Linotype"/>
                <w:b/>
                <w:color w:val="333333"/>
                <w:w w:val="110"/>
                <w:sz w:val="21"/>
              </w:rPr>
              <w:t>Name</w:t>
            </w:r>
          </w:p>
        </w:tc>
        <w:tc>
          <w:tcPr>
            <w:tcW w:w="4989" w:type="dxa"/>
            <w:tcBorders>
              <w:bottom w:val="single" w:sz="12" w:space="0" w:color="DDDDDD"/>
            </w:tcBorders>
          </w:tcPr>
          <w:p w14:paraId="0B94E5C1" w14:textId="77777777" w:rsidR="00A720EB" w:rsidRDefault="0030286B">
            <w:pPr>
              <w:pStyle w:val="TableParagraph"/>
              <w:spacing w:before="71"/>
              <w:ind w:left="58"/>
              <w:rPr>
                <w:rFonts w:ascii="Palatino Linotype"/>
                <w:b/>
                <w:sz w:val="21"/>
              </w:rPr>
            </w:pPr>
            <w:r>
              <w:rPr>
                <w:rFonts w:ascii="Palatino Linotype"/>
                <w:b/>
                <w:color w:val="333333"/>
                <w:w w:val="110"/>
                <w:sz w:val="21"/>
              </w:rPr>
              <w:t>Description</w:t>
            </w:r>
          </w:p>
        </w:tc>
      </w:tr>
      <w:tr w:rsidR="00A720EB" w14:paraId="31B89FAE" w14:textId="77777777">
        <w:trPr>
          <w:trHeight w:val="617"/>
        </w:trPr>
        <w:tc>
          <w:tcPr>
            <w:tcW w:w="1663" w:type="dxa"/>
            <w:tcBorders>
              <w:top w:val="single" w:sz="12" w:space="0" w:color="DDDDDD"/>
            </w:tcBorders>
          </w:tcPr>
          <w:p w14:paraId="0553D3DC" w14:textId="77777777" w:rsidR="00A720EB" w:rsidRDefault="0030286B">
            <w:pPr>
              <w:pStyle w:val="TableParagraph"/>
              <w:spacing w:before="27"/>
              <w:rPr>
                <w:sz w:val="21"/>
              </w:rPr>
            </w:pPr>
            <w:r>
              <w:rPr>
                <w:color w:val="B02045"/>
                <w:sz w:val="21"/>
              </w:rPr>
              <w:t>elasticsearch</w:t>
            </w:r>
          </w:p>
        </w:tc>
        <w:tc>
          <w:tcPr>
            <w:tcW w:w="3326" w:type="dxa"/>
            <w:tcBorders>
              <w:top w:val="single" w:sz="12" w:space="0" w:color="DDDDDD"/>
            </w:tcBorders>
          </w:tcPr>
          <w:p w14:paraId="7BF36115" w14:textId="77777777" w:rsidR="00A720EB" w:rsidRDefault="00E10349">
            <w:pPr>
              <w:pStyle w:val="TableParagraph"/>
              <w:spacing w:before="36" w:line="230" w:lineRule="auto"/>
              <w:ind w:left="59" w:right="87"/>
              <w:rPr>
                <w:sz w:val="21"/>
              </w:rPr>
            </w:pPr>
            <w:hyperlink r:id="rId428">
              <w:r w:rsidR="0030286B">
                <w:rPr>
                  <w:color w:val="B02045"/>
                  <w:sz w:val="21"/>
                </w:rPr>
                <w:t>ElasticsearchRestHealthIndicat</w:t>
              </w:r>
            </w:hyperlink>
            <w:r w:rsidR="0030286B">
              <w:rPr>
                <w:color w:val="B02045"/>
                <w:sz w:val="21"/>
              </w:rPr>
              <w:t xml:space="preserve"> </w:t>
            </w:r>
            <w:hyperlink r:id="rId429">
              <w:r w:rsidR="0030286B">
                <w:rPr>
                  <w:color w:val="B02045"/>
                  <w:sz w:val="21"/>
                </w:rPr>
                <w:t>or</w:t>
              </w:r>
            </w:hyperlink>
          </w:p>
        </w:tc>
        <w:tc>
          <w:tcPr>
            <w:tcW w:w="4989" w:type="dxa"/>
            <w:tcBorders>
              <w:top w:val="single" w:sz="12" w:space="0" w:color="DDDDDD"/>
            </w:tcBorders>
          </w:tcPr>
          <w:p w14:paraId="42E04B61" w14:textId="77777777" w:rsidR="00A720EB" w:rsidRDefault="0030286B">
            <w:pPr>
              <w:pStyle w:val="TableParagraph"/>
              <w:spacing w:before="82"/>
              <w:ind w:left="58"/>
              <w:rPr>
                <w:rFonts w:ascii="Cambria"/>
                <w:sz w:val="21"/>
              </w:rPr>
            </w:pPr>
            <w:r>
              <w:rPr>
                <w:rFonts w:ascii="Cambria"/>
                <w:color w:val="333333"/>
                <w:w w:val="110"/>
                <w:sz w:val="21"/>
              </w:rPr>
              <w:t>Checks that an Elasticsearch cluster is up.</w:t>
            </w:r>
          </w:p>
        </w:tc>
      </w:tr>
      <w:tr w:rsidR="00A720EB" w14:paraId="59ABC138" w14:textId="77777777">
        <w:trPr>
          <w:trHeight w:val="425"/>
        </w:trPr>
        <w:tc>
          <w:tcPr>
            <w:tcW w:w="1663" w:type="dxa"/>
          </w:tcPr>
          <w:p w14:paraId="12D2AF14" w14:textId="77777777" w:rsidR="00A720EB" w:rsidRDefault="0030286B">
            <w:pPr>
              <w:pStyle w:val="TableParagraph"/>
              <w:spacing w:before="37"/>
              <w:rPr>
                <w:sz w:val="21"/>
              </w:rPr>
            </w:pPr>
            <w:r>
              <w:rPr>
                <w:color w:val="B02045"/>
                <w:sz w:val="21"/>
              </w:rPr>
              <w:t>hazelcast</w:t>
            </w:r>
          </w:p>
        </w:tc>
        <w:tc>
          <w:tcPr>
            <w:tcW w:w="3326" w:type="dxa"/>
          </w:tcPr>
          <w:p w14:paraId="37935614" w14:textId="77777777" w:rsidR="00A720EB" w:rsidRDefault="00E10349">
            <w:pPr>
              <w:pStyle w:val="TableParagraph"/>
              <w:spacing w:before="37"/>
              <w:ind w:left="59"/>
              <w:rPr>
                <w:sz w:val="21"/>
              </w:rPr>
            </w:pPr>
            <w:hyperlink r:id="rId430">
              <w:r w:rsidR="0030286B">
                <w:rPr>
                  <w:color w:val="B02045"/>
                  <w:sz w:val="21"/>
                </w:rPr>
                <w:t>HazelcastHealthIndicator</w:t>
              </w:r>
            </w:hyperlink>
          </w:p>
        </w:tc>
        <w:tc>
          <w:tcPr>
            <w:tcW w:w="4989" w:type="dxa"/>
          </w:tcPr>
          <w:p w14:paraId="2A59FF81" w14:textId="77777777" w:rsidR="00A720EB" w:rsidRDefault="0030286B">
            <w:pPr>
              <w:pStyle w:val="TableParagraph"/>
              <w:spacing w:before="92"/>
              <w:ind w:left="58"/>
              <w:rPr>
                <w:rFonts w:ascii="Cambria"/>
                <w:sz w:val="21"/>
              </w:rPr>
            </w:pPr>
            <w:r>
              <w:rPr>
                <w:rFonts w:ascii="Cambria"/>
                <w:color w:val="333333"/>
                <w:w w:val="110"/>
                <w:sz w:val="21"/>
              </w:rPr>
              <w:t>Checks that a Hazelcast server is up.</w:t>
            </w:r>
          </w:p>
        </w:tc>
      </w:tr>
      <w:tr w:rsidR="00A720EB" w14:paraId="3540D979" w14:textId="77777777">
        <w:trPr>
          <w:trHeight w:val="425"/>
        </w:trPr>
        <w:tc>
          <w:tcPr>
            <w:tcW w:w="1663" w:type="dxa"/>
          </w:tcPr>
          <w:p w14:paraId="2D205484" w14:textId="77777777" w:rsidR="00A720EB" w:rsidRDefault="0030286B">
            <w:pPr>
              <w:pStyle w:val="TableParagraph"/>
              <w:rPr>
                <w:sz w:val="21"/>
              </w:rPr>
            </w:pPr>
            <w:r>
              <w:rPr>
                <w:color w:val="B02045"/>
                <w:sz w:val="21"/>
              </w:rPr>
              <w:t>influxdb</w:t>
            </w:r>
          </w:p>
        </w:tc>
        <w:tc>
          <w:tcPr>
            <w:tcW w:w="3326" w:type="dxa"/>
          </w:tcPr>
          <w:p w14:paraId="4C571741" w14:textId="77777777" w:rsidR="00A720EB" w:rsidRDefault="00E10349">
            <w:pPr>
              <w:pStyle w:val="TableParagraph"/>
              <w:ind w:left="59"/>
              <w:rPr>
                <w:sz w:val="21"/>
              </w:rPr>
            </w:pPr>
            <w:hyperlink r:id="rId431">
              <w:r w:rsidR="0030286B">
                <w:rPr>
                  <w:color w:val="B02045"/>
                  <w:sz w:val="21"/>
                </w:rPr>
                <w:t>InfluxDbHealthIndicator</w:t>
              </w:r>
            </w:hyperlink>
          </w:p>
        </w:tc>
        <w:tc>
          <w:tcPr>
            <w:tcW w:w="4989" w:type="dxa"/>
          </w:tcPr>
          <w:p w14:paraId="44240782" w14:textId="77777777" w:rsidR="00A720EB" w:rsidRDefault="0030286B">
            <w:pPr>
              <w:pStyle w:val="TableParagraph"/>
              <w:spacing w:before="92"/>
              <w:ind w:left="58"/>
              <w:rPr>
                <w:rFonts w:ascii="Cambria"/>
                <w:sz w:val="21"/>
              </w:rPr>
            </w:pPr>
            <w:r>
              <w:rPr>
                <w:rFonts w:ascii="Cambria"/>
                <w:color w:val="333333"/>
                <w:w w:val="110"/>
                <w:sz w:val="21"/>
              </w:rPr>
              <w:t>Checks that an InfluxDB server is up.</w:t>
            </w:r>
          </w:p>
        </w:tc>
      </w:tr>
      <w:tr w:rsidR="00A720EB" w14:paraId="0FC80B1C" w14:textId="77777777">
        <w:trPr>
          <w:trHeight w:val="425"/>
        </w:trPr>
        <w:tc>
          <w:tcPr>
            <w:tcW w:w="1663" w:type="dxa"/>
          </w:tcPr>
          <w:p w14:paraId="13E3C93B" w14:textId="77777777" w:rsidR="00A720EB" w:rsidRDefault="0030286B">
            <w:pPr>
              <w:pStyle w:val="TableParagraph"/>
              <w:spacing w:before="37"/>
              <w:rPr>
                <w:sz w:val="21"/>
              </w:rPr>
            </w:pPr>
            <w:r>
              <w:rPr>
                <w:color w:val="B02045"/>
                <w:sz w:val="21"/>
              </w:rPr>
              <w:t>jms</w:t>
            </w:r>
          </w:p>
        </w:tc>
        <w:tc>
          <w:tcPr>
            <w:tcW w:w="3326" w:type="dxa"/>
          </w:tcPr>
          <w:p w14:paraId="24ABA0D8" w14:textId="77777777" w:rsidR="00A720EB" w:rsidRDefault="00E10349">
            <w:pPr>
              <w:pStyle w:val="TableParagraph"/>
              <w:spacing w:before="37"/>
              <w:ind w:left="59"/>
              <w:rPr>
                <w:sz w:val="21"/>
              </w:rPr>
            </w:pPr>
            <w:hyperlink r:id="rId432">
              <w:r w:rsidR="0030286B">
                <w:rPr>
                  <w:color w:val="B02045"/>
                  <w:sz w:val="21"/>
                </w:rPr>
                <w:t>JmsHealthIndicator</w:t>
              </w:r>
            </w:hyperlink>
          </w:p>
        </w:tc>
        <w:tc>
          <w:tcPr>
            <w:tcW w:w="4989" w:type="dxa"/>
          </w:tcPr>
          <w:p w14:paraId="67465216" w14:textId="77777777" w:rsidR="00A720EB" w:rsidRDefault="0030286B">
            <w:pPr>
              <w:pStyle w:val="TableParagraph"/>
              <w:spacing w:before="92"/>
              <w:ind w:left="58"/>
              <w:rPr>
                <w:rFonts w:ascii="Cambria"/>
                <w:sz w:val="21"/>
              </w:rPr>
            </w:pPr>
            <w:r>
              <w:rPr>
                <w:rFonts w:ascii="Cambria"/>
                <w:color w:val="333333"/>
                <w:w w:val="110"/>
                <w:sz w:val="21"/>
              </w:rPr>
              <w:t>Checks that a JMS broker is up.</w:t>
            </w:r>
          </w:p>
        </w:tc>
      </w:tr>
      <w:tr w:rsidR="00A720EB" w14:paraId="3DE008E8" w14:textId="77777777">
        <w:trPr>
          <w:trHeight w:val="425"/>
        </w:trPr>
        <w:tc>
          <w:tcPr>
            <w:tcW w:w="1663" w:type="dxa"/>
          </w:tcPr>
          <w:p w14:paraId="085EE0FB" w14:textId="77777777" w:rsidR="00A720EB" w:rsidRDefault="0030286B">
            <w:pPr>
              <w:pStyle w:val="TableParagraph"/>
              <w:rPr>
                <w:sz w:val="21"/>
              </w:rPr>
            </w:pPr>
            <w:r>
              <w:rPr>
                <w:color w:val="B02045"/>
                <w:sz w:val="21"/>
              </w:rPr>
              <w:t>ldap</w:t>
            </w:r>
          </w:p>
        </w:tc>
        <w:tc>
          <w:tcPr>
            <w:tcW w:w="3326" w:type="dxa"/>
          </w:tcPr>
          <w:p w14:paraId="3AE9AC50" w14:textId="77777777" w:rsidR="00A720EB" w:rsidRDefault="00E10349">
            <w:pPr>
              <w:pStyle w:val="TableParagraph"/>
              <w:ind w:left="59"/>
              <w:rPr>
                <w:sz w:val="21"/>
              </w:rPr>
            </w:pPr>
            <w:hyperlink r:id="rId433">
              <w:r w:rsidR="0030286B">
                <w:rPr>
                  <w:color w:val="B02045"/>
                  <w:sz w:val="21"/>
                </w:rPr>
                <w:t>LdapHealthIndicator</w:t>
              </w:r>
            </w:hyperlink>
          </w:p>
        </w:tc>
        <w:tc>
          <w:tcPr>
            <w:tcW w:w="4989" w:type="dxa"/>
          </w:tcPr>
          <w:p w14:paraId="31845C92" w14:textId="77777777" w:rsidR="00A720EB" w:rsidRDefault="0030286B">
            <w:pPr>
              <w:pStyle w:val="TableParagraph"/>
              <w:spacing w:before="92"/>
              <w:ind w:left="58"/>
              <w:rPr>
                <w:rFonts w:ascii="Cambria"/>
                <w:sz w:val="21"/>
              </w:rPr>
            </w:pPr>
            <w:r>
              <w:rPr>
                <w:rFonts w:ascii="Cambria"/>
                <w:color w:val="333333"/>
                <w:w w:val="110"/>
                <w:sz w:val="21"/>
              </w:rPr>
              <w:t>Checks that an LDAP server is up.</w:t>
            </w:r>
          </w:p>
        </w:tc>
      </w:tr>
      <w:tr w:rsidR="00A720EB" w14:paraId="5D480FCA" w14:textId="77777777">
        <w:trPr>
          <w:trHeight w:val="425"/>
        </w:trPr>
        <w:tc>
          <w:tcPr>
            <w:tcW w:w="1663" w:type="dxa"/>
          </w:tcPr>
          <w:p w14:paraId="56C28B24" w14:textId="77777777" w:rsidR="00A720EB" w:rsidRDefault="0030286B">
            <w:pPr>
              <w:pStyle w:val="TableParagraph"/>
              <w:spacing w:before="37"/>
              <w:rPr>
                <w:sz w:val="21"/>
              </w:rPr>
            </w:pPr>
            <w:r>
              <w:rPr>
                <w:color w:val="B02045"/>
                <w:sz w:val="21"/>
              </w:rPr>
              <w:t>mail</w:t>
            </w:r>
          </w:p>
        </w:tc>
        <w:tc>
          <w:tcPr>
            <w:tcW w:w="3326" w:type="dxa"/>
          </w:tcPr>
          <w:p w14:paraId="0060BC46" w14:textId="77777777" w:rsidR="00A720EB" w:rsidRDefault="00E10349">
            <w:pPr>
              <w:pStyle w:val="TableParagraph"/>
              <w:spacing w:before="37"/>
              <w:ind w:left="59"/>
              <w:rPr>
                <w:sz w:val="21"/>
              </w:rPr>
            </w:pPr>
            <w:hyperlink r:id="rId434">
              <w:r w:rsidR="0030286B">
                <w:rPr>
                  <w:color w:val="B02045"/>
                  <w:sz w:val="21"/>
                </w:rPr>
                <w:t>MailHealthIndicator</w:t>
              </w:r>
            </w:hyperlink>
          </w:p>
        </w:tc>
        <w:tc>
          <w:tcPr>
            <w:tcW w:w="4989" w:type="dxa"/>
          </w:tcPr>
          <w:p w14:paraId="1A2374E4" w14:textId="77777777" w:rsidR="00A720EB" w:rsidRDefault="0030286B">
            <w:pPr>
              <w:pStyle w:val="TableParagraph"/>
              <w:spacing w:before="92"/>
              <w:ind w:left="58"/>
              <w:rPr>
                <w:rFonts w:ascii="Cambria"/>
                <w:sz w:val="21"/>
              </w:rPr>
            </w:pPr>
            <w:r>
              <w:rPr>
                <w:rFonts w:ascii="Cambria"/>
                <w:color w:val="333333"/>
                <w:w w:val="110"/>
                <w:sz w:val="21"/>
              </w:rPr>
              <w:t>Checks that a mail server is up.</w:t>
            </w:r>
          </w:p>
        </w:tc>
      </w:tr>
      <w:tr w:rsidR="00A720EB" w14:paraId="1EDDAE27" w14:textId="77777777">
        <w:trPr>
          <w:trHeight w:val="425"/>
        </w:trPr>
        <w:tc>
          <w:tcPr>
            <w:tcW w:w="1663" w:type="dxa"/>
          </w:tcPr>
          <w:p w14:paraId="3092B319" w14:textId="77777777" w:rsidR="00A720EB" w:rsidRDefault="0030286B">
            <w:pPr>
              <w:pStyle w:val="TableParagraph"/>
              <w:rPr>
                <w:sz w:val="21"/>
              </w:rPr>
            </w:pPr>
            <w:r>
              <w:rPr>
                <w:color w:val="B02045"/>
                <w:sz w:val="21"/>
              </w:rPr>
              <w:t>mongo</w:t>
            </w:r>
          </w:p>
        </w:tc>
        <w:tc>
          <w:tcPr>
            <w:tcW w:w="3326" w:type="dxa"/>
          </w:tcPr>
          <w:p w14:paraId="06ED95A9" w14:textId="77777777" w:rsidR="00A720EB" w:rsidRDefault="00E10349">
            <w:pPr>
              <w:pStyle w:val="TableParagraph"/>
              <w:ind w:left="59"/>
              <w:rPr>
                <w:sz w:val="21"/>
              </w:rPr>
            </w:pPr>
            <w:hyperlink r:id="rId435">
              <w:r w:rsidR="0030286B">
                <w:rPr>
                  <w:color w:val="B02045"/>
                  <w:sz w:val="21"/>
                </w:rPr>
                <w:t>MongoHealthIndicator</w:t>
              </w:r>
            </w:hyperlink>
          </w:p>
        </w:tc>
        <w:tc>
          <w:tcPr>
            <w:tcW w:w="4989" w:type="dxa"/>
          </w:tcPr>
          <w:p w14:paraId="6393241F" w14:textId="77777777" w:rsidR="00A720EB" w:rsidRDefault="0030286B">
            <w:pPr>
              <w:pStyle w:val="TableParagraph"/>
              <w:spacing w:before="92"/>
              <w:ind w:left="58"/>
              <w:rPr>
                <w:rFonts w:ascii="Cambria"/>
                <w:sz w:val="21"/>
              </w:rPr>
            </w:pPr>
            <w:r>
              <w:rPr>
                <w:rFonts w:ascii="Cambria"/>
                <w:color w:val="333333"/>
                <w:w w:val="110"/>
                <w:sz w:val="21"/>
              </w:rPr>
              <w:t>Checks that a Mongo database is up.</w:t>
            </w:r>
          </w:p>
        </w:tc>
      </w:tr>
      <w:tr w:rsidR="00A720EB" w14:paraId="32789135" w14:textId="77777777">
        <w:trPr>
          <w:trHeight w:val="425"/>
        </w:trPr>
        <w:tc>
          <w:tcPr>
            <w:tcW w:w="1663" w:type="dxa"/>
          </w:tcPr>
          <w:p w14:paraId="396ECF6E" w14:textId="77777777" w:rsidR="00A720EB" w:rsidRDefault="0030286B">
            <w:pPr>
              <w:pStyle w:val="TableParagraph"/>
              <w:spacing w:before="37"/>
              <w:rPr>
                <w:sz w:val="21"/>
              </w:rPr>
            </w:pPr>
            <w:r>
              <w:rPr>
                <w:color w:val="B02045"/>
                <w:sz w:val="21"/>
              </w:rPr>
              <w:t>neo4j</w:t>
            </w:r>
          </w:p>
        </w:tc>
        <w:tc>
          <w:tcPr>
            <w:tcW w:w="3326" w:type="dxa"/>
          </w:tcPr>
          <w:p w14:paraId="6B1890D1" w14:textId="77777777" w:rsidR="00A720EB" w:rsidRDefault="00E10349">
            <w:pPr>
              <w:pStyle w:val="TableParagraph"/>
              <w:spacing w:before="37"/>
              <w:ind w:left="59"/>
              <w:rPr>
                <w:sz w:val="21"/>
              </w:rPr>
            </w:pPr>
            <w:hyperlink r:id="rId436">
              <w:r w:rsidR="0030286B">
                <w:rPr>
                  <w:color w:val="B02045"/>
                  <w:sz w:val="21"/>
                </w:rPr>
                <w:t>Neo4jHealthIndicator</w:t>
              </w:r>
            </w:hyperlink>
          </w:p>
        </w:tc>
        <w:tc>
          <w:tcPr>
            <w:tcW w:w="4989" w:type="dxa"/>
          </w:tcPr>
          <w:p w14:paraId="2878844F" w14:textId="77777777" w:rsidR="00A720EB" w:rsidRDefault="0030286B">
            <w:pPr>
              <w:pStyle w:val="TableParagraph"/>
              <w:spacing w:before="92"/>
              <w:ind w:left="58"/>
              <w:rPr>
                <w:rFonts w:ascii="Cambria"/>
                <w:sz w:val="21"/>
              </w:rPr>
            </w:pPr>
            <w:r>
              <w:rPr>
                <w:rFonts w:ascii="Cambria"/>
                <w:color w:val="333333"/>
                <w:w w:val="110"/>
                <w:sz w:val="21"/>
              </w:rPr>
              <w:t>Checks that a Neo4j database is up.</w:t>
            </w:r>
          </w:p>
        </w:tc>
      </w:tr>
      <w:tr w:rsidR="00A720EB" w14:paraId="772D1C28" w14:textId="77777777">
        <w:trPr>
          <w:trHeight w:val="425"/>
        </w:trPr>
        <w:tc>
          <w:tcPr>
            <w:tcW w:w="1663" w:type="dxa"/>
          </w:tcPr>
          <w:p w14:paraId="5667752B" w14:textId="77777777" w:rsidR="00A720EB" w:rsidRDefault="0030286B">
            <w:pPr>
              <w:pStyle w:val="TableParagraph"/>
              <w:rPr>
                <w:sz w:val="21"/>
              </w:rPr>
            </w:pPr>
            <w:r>
              <w:rPr>
                <w:color w:val="B02045"/>
                <w:sz w:val="21"/>
              </w:rPr>
              <w:t>ping</w:t>
            </w:r>
          </w:p>
        </w:tc>
        <w:tc>
          <w:tcPr>
            <w:tcW w:w="3326" w:type="dxa"/>
          </w:tcPr>
          <w:p w14:paraId="5A06E76F" w14:textId="77777777" w:rsidR="00A720EB" w:rsidRDefault="00E10349">
            <w:pPr>
              <w:pStyle w:val="TableParagraph"/>
              <w:ind w:left="59"/>
              <w:rPr>
                <w:sz w:val="21"/>
              </w:rPr>
            </w:pPr>
            <w:hyperlink r:id="rId437">
              <w:r w:rsidR="0030286B">
                <w:rPr>
                  <w:color w:val="B02045"/>
                  <w:sz w:val="21"/>
                </w:rPr>
                <w:t>PingHealthIndicator</w:t>
              </w:r>
            </w:hyperlink>
          </w:p>
        </w:tc>
        <w:tc>
          <w:tcPr>
            <w:tcW w:w="4989" w:type="dxa"/>
          </w:tcPr>
          <w:p w14:paraId="55E96DFB" w14:textId="77777777" w:rsidR="00A720EB" w:rsidRDefault="0030286B">
            <w:pPr>
              <w:pStyle w:val="TableParagraph"/>
              <w:spacing w:before="81"/>
              <w:ind w:left="58"/>
              <w:rPr>
                <w:rFonts w:ascii="Cambria"/>
                <w:sz w:val="21"/>
              </w:rPr>
            </w:pPr>
            <w:r>
              <w:rPr>
                <w:rFonts w:ascii="Cambria"/>
                <w:color w:val="333333"/>
                <w:w w:val="110"/>
                <w:sz w:val="21"/>
              </w:rPr>
              <w:t xml:space="preserve">Always responds with </w:t>
            </w:r>
            <w:r>
              <w:rPr>
                <w:color w:val="B02045"/>
                <w:w w:val="110"/>
                <w:sz w:val="21"/>
              </w:rPr>
              <w:t>UP</w:t>
            </w:r>
            <w:r>
              <w:rPr>
                <w:rFonts w:ascii="Cambria"/>
                <w:color w:val="333333"/>
                <w:w w:val="110"/>
                <w:sz w:val="21"/>
              </w:rPr>
              <w:t>.</w:t>
            </w:r>
          </w:p>
        </w:tc>
      </w:tr>
      <w:tr w:rsidR="00A720EB" w14:paraId="5319175F" w14:textId="77777777">
        <w:trPr>
          <w:trHeight w:val="425"/>
        </w:trPr>
        <w:tc>
          <w:tcPr>
            <w:tcW w:w="1663" w:type="dxa"/>
          </w:tcPr>
          <w:p w14:paraId="189E32E7" w14:textId="77777777" w:rsidR="00A720EB" w:rsidRDefault="0030286B">
            <w:pPr>
              <w:pStyle w:val="TableParagraph"/>
              <w:spacing w:before="37"/>
              <w:rPr>
                <w:sz w:val="21"/>
              </w:rPr>
            </w:pPr>
            <w:r>
              <w:rPr>
                <w:color w:val="B02045"/>
                <w:sz w:val="21"/>
              </w:rPr>
              <w:t>rabbit</w:t>
            </w:r>
          </w:p>
        </w:tc>
        <w:tc>
          <w:tcPr>
            <w:tcW w:w="3326" w:type="dxa"/>
          </w:tcPr>
          <w:p w14:paraId="081391E0" w14:textId="77777777" w:rsidR="00A720EB" w:rsidRDefault="00E10349">
            <w:pPr>
              <w:pStyle w:val="TableParagraph"/>
              <w:spacing w:before="37"/>
              <w:ind w:left="59"/>
              <w:rPr>
                <w:sz w:val="21"/>
              </w:rPr>
            </w:pPr>
            <w:hyperlink r:id="rId438">
              <w:r w:rsidR="0030286B">
                <w:rPr>
                  <w:color w:val="B02045"/>
                  <w:sz w:val="21"/>
                </w:rPr>
                <w:t>RabbitHealthIndicator</w:t>
              </w:r>
            </w:hyperlink>
          </w:p>
        </w:tc>
        <w:tc>
          <w:tcPr>
            <w:tcW w:w="4989" w:type="dxa"/>
          </w:tcPr>
          <w:p w14:paraId="71CFFC90" w14:textId="77777777" w:rsidR="00A720EB" w:rsidRDefault="0030286B">
            <w:pPr>
              <w:pStyle w:val="TableParagraph"/>
              <w:spacing w:before="92"/>
              <w:ind w:left="58"/>
              <w:rPr>
                <w:rFonts w:ascii="Cambria"/>
                <w:sz w:val="21"/>
              </w:rPr>
            </w:pPr>
            <w:r>
              <w:rPr>
                <w:rFonts w:ascii="Cambria"/>
                <w:color w:val="333333"/>
                <w:w w:val="110"/>
                <w:sz w:val="21"/>
              </w:rPr>
              <w:t>Checks that a Rabbit server is up.</w:t>
            </w:r>
          </w:p>
        </w:tc>
      </w:tr>
      <w:tr w:rsidR="00A720EB" w14:paraId="2112A3A7" w14:textId="77777777">
        <w:trPr>
          <w:trHeight w:val="425"/>
        </w:trPr>
        <w:tc>
          <w:tcPr>
            <w:tcW w:w="1663" w:type="dxa"/>
          </w:tcPr>
          <w:p w14:paraId="04A2897B" w14:textId="77777777" w:rsidR="00A720EB" w:rsidRDefault="0030286B">
            <w:pPr>
              <w:pStyle w:val="TableParagraph"/>
              <w:rPr>
                <w:sz w:val="21"/>
              </w:rPr>
            </w:pPr>
            <w:r>
              <w:rPr>
                <w:color w:val="B02045"/>
                <w:sz w:val="21"/>
              </w:rPr>
              <w:t>redis</w:t>
            </w:r>
          </w:p>
        </w:tc>
        <w:tc>
          <w:tcPr>
            <w:tcW w:w="3326" w:type="dxa"/>
          </w:tcPr>
          <w:p w14:paraId="6A80F1B9" w14:textId="77777777" w:rsidR="00A720EB" w:rsidRDefault="00E10349">
            <w:pPr>
              <w:pStyle w:val="TableParagraph"/>
              <w:ind w:left="59"/>
              <w:rPr>
                <w:sz w:val="21"/>
              </w:rPr>
            </w:pPr>
            <w:hyperlink r:id="rId439">
              <w:r w:rsidR="0030286B">
                <w:rPr>
                  <w:color w:val="B02045"/>
                  <w:sz w:val="21"/>
                </w:rPr>
                <w:t>RedisHealthIndicator</w:t>
              </w:r>
            </w:hyperlink>
          </w:p>
        </w:tc>
        <w:tc>
          <w:tcPr>
            <w:tcW w:w="4989" w:type="dxa"/>
          </w:tcPr>
          <w:p w14:paraId="6FC62F54" w14:textId="77777777" w:rsidR="00A720EB" w:rsidRDefault="0030286B">
            <w:pPr>
              <w:pStyle w:val="TableParagraph"/>
              <w:spacing w:before="92"/>
              <w:ind w:left="58"/>
              <w:rPr>
                <w:rFonts w:ascii="Cambria"/>
                <w:sz w:val="21"/>
              </w:rPr>
            </w:pPr>
            <w:r>
              <w:rPr>
                <w:rFonts w:ascii="Cambria"/>
                <w:color w:val="333333"/>
                <w:w w:val="110"/>
                <w:sz w:val="21"/>
              </w:rPr>
              <w:t>Checks that a Redis server is up.</w:t>
            </w:r>
          </w:p>
        </w:tc>
      </w:tr>
      <w:tr w:rsidR="00A720EB" w14:paraId="638E616E" w14:textId="77777777">
        <w:trPr>
          <w:trHeight w:val="425"/>
        </w:trPr>
        <w:tc>
          <w:tcPr>
            <w:tcW w:w="1663" w:type="dxa"/>
          </w:tcPr>
          <w:p w14:paraId="631CF424" w14:textId="77777777" w:rsidR="00A720EB" w:rsidRDefault="0030286B">
            <w:pPr>
              <w:pStyle w:val="TableParagraph"/>
              <w:spacing w:before="37"/>
              <w:rPr>
                <w:sz w:val="21"/>
              </w:rPr>
            </w:pPr>
            <w:r>
              <w:rPr>
                <w:color w:val="B02045"/>
                <w:sz w:val="21"/>
              </w:rPr>
              <w:t>solr</w:t>
            </w:r>
          </w:p>
        </w:tc>
        <w:tc>
          <w:tcPr>
            <w:tcW w:w="3326" w:type="dxa"/>
          </w:tcPr>
          <w:p w14:paraId="68CEE4F0" w14:textId="77777777" w:rsidR="00A720EB" w:rsidRDefault="00E10349">
            <w:pPr>
              <w:pStyle w:val="TableParagraph"/>
              <w:spacing w:before="37"/>
              <w:ind w:left="59"/>
              <w:rPr>
                <w:sz w:val="21"/>
              </w:rPr>
            </w:pPr>
            <w:hyperlink r:id="rId440">
              <w:r w:rsidR="0030286B">
                <w:rPr>
                  <w:color w:val="B02045"/>
                  <w:sz w:val="21"/>
                </w:rPr>
                <w:t>SolrHealthIndicator</w:t>
              </w:r>
            </w:hyperlink>
          </w:p>
        </w:tc>
        <w:tc>
          <w:tcPr>
            <w:tcW w:w="4989" w:type="dxa"/>
          </w:tcPr>
          <w:p w14:paraId="6431BF8D" w14:textId="77777777" w:rsidR="00A720EB" w:rsidRDefault="0030286B">
            <w:pPr>
              <w:pStyle w:val="TableParagraph"/>
              <w:spacing w:before="92"/>
              <w:ind w:left="58"/>
              <w:rPr>
                <w:rFonts w:ascii="Cambria"/>
                <w:sz w:val="21"/>
              </w:rPr>
            </w:pPr>
            <w:r>
              <w:rPr>
                <w:rFonts w:ascii="Cambria"/>
                <w:color w:val="333333"/>
                <w:w w:val="110"/>
                <w:sz w:val="21"/>
              </w:rPr>
              <w:t>Checks that a Solr server is up.</w:t>
            </w:r>
          </w:p>
        </w:tc>
      </w:tr>
    </w:tbl>
    <w:p w14:paraId="683CB7AA" w14:textId="77777777" w:rsidR="00A720EB" w:rsidRDefault="00A720EB">
      <w:pPr>
        <w:pStyle w:val="a3"/>
        <w:spacing w:before="2"/>
        <w:rPr>
          <w:sz w:val="19"/>
        </w:rPr>
      </w:pPr>
    </w:p>
    <w:p w14:paraId="7C5ED483" w14:textId="77777777" w:rsidR="00A720EB" w:rsidRDefault="00E10349">
      <w:pPr>
        <w:pStyle w:val="a3"/>
        <w:spacing w:before="116"/>
        <w:ind w:left="1564"/>
        <w:rPr>
          <w:rFonts w:ascii="MS Gothic"/>
        </w:rPr>
      </w:pPr>
      <w:r>
        <w:pict w14:anchorId="144C2C2A">
          <v:line id="_x0000_s3274" style="position:absolute;left:0;text-align:left;z-index:16205824;mso-position-horizontal-relative:page" from="108.25pt,.35pt" to="108.25pt,39.9pt" strokecolor="#ededed" strokeweight=".5pt">
            <w10:wrap anchorx="page"/>
          </v:line>
        </w:pict>
      </w:r>
      <w:r w:rsidR="0030286B">
        <w:rPr>
          <w:noProof/>
        </w:rPr>
        <w:drawing>
          <wp:anchor distT="0" distB="0" distL="0" distR="0" simplePos="0" relativeHeight="16206336" behindDoc="0" locked="0" layoutInCell="1" allowOverlap="1" wp14:anchorId="49470FB7" wp14:editId="4632ABC2">
            <wp:simplePos x="0" y="0"/>
            <wp:positionH relativeFrom="page">
              <wp:posOffset>888949</wp:posOffset>
            </wp:positionH>
            <wp:positionV relativeFrom="paragraph">
              <wp:posOffset>103073</wp:posOffset>
            </wp:positionV>
            <wp:extent cx="209550" cy="304800"/>
            <wp:effectExtent l="0" t="0" r="0" b="0"/>
            <wp:wrapNone/>
            <wp:docPr id="59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8.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You can disable them all by setting the </w:t>
      </w:r>
      <w:proofErr w:type="gramStart"/>
      <w:r w:rsidR="0030286B">
        <w:rPr>
          <w:rFonts w:ascii="MS Gothic"/>
          <w:color w:val="B02045"/>
          <w:w w:val="110"/>
        </w:rPr>
        <w:t>management.health</w:t>
      </w:r>
      <w:proofErr w:type="gramEnd"/>
      <w:r w:rsidR="0030286B">
        <w:rPr>
          <w:rFonts w:ascii="MS Gothic"/>
          <w:color w:val="B02045"/>
          <w:w w:val="110"/>
        </w:rPr>
        <w:t>.defaults.enabled</w:t>
      </w:r>
    </w:p>
    <w:p w14:paraId="5D0BAB09" w14:textId="77777777" w:rsidR="00A720EB" w:rsidRDefault="0030286B">
      <w:pPr>
        <w:pStyle w:val="a3"/>
        <w:spacing w:before="57"/>
        <w:ind w:left="1564"/>
      </w:pPr>
      <w:r>
        <w:rPr>
          <w:color w:val="333333"/>
          <w:w w:val="110"/>
        </w:rPr>
        <w:t>property.</w:t>
      </w:r>
    </w:p>
    <w:p w14:paraId="23AD6571" w14:textId="77777777" w:rsidR="00A720EB" w:rsidRDefault="00A720EB">
      <w:pPr>
        <w:pStyle w:val="a3"/>
        <w:spacing w:before="6"/>
        <w:rPr>
          <w:sz w:val="22"/>
        </w:rPr>
      </w:pPr>
    </w:p>
    <w:p w14:paraId="4E196C7A" w14:textId="77777777" w:rsidR="00A720EB" w:rsidRDefault="0030286B">
      <w:pPr>
        <w:pStyle w:val="a3"/>
        <w:spacing w:before="115"/>
        <w:ind w:left="124"/>
        <w:jc w:val="both"/>
      </w:pPr>
      <w:r>
        <w:rPr>
          <w:color w:val="333333"/>
          <w:w w:val="110"/>
        </w:rPr>
        <w:t xml:space="preserve">Additional </w:t>
      </w:r>
      <w:r>
        <w:rPr>
          <w:rFonts w:ascii="MS Gothic"/>
          <w:color w:val="B02045"/>
          <w:w w:val="110"/>
        </w:rPr>
        <w:t xml:space="preserve">HealthIndicators </w:t>
      </w:r>
      <w:r>
        <w:rPr>
          <w:color w:val="333333"/>
          <w:w w:val="110"/>
        </w:rPr>
        <w:t>are available but not enabled by default:</w:t>
      </w:r>
    </w:p>
    <w:p w14:paraId="406368A6" w14:textId="77777777" w:rsidR="00A720EB" w:rsidRDefault="00A720EB">
      <w:pPr>
        <w:pStyle w:val="a3"/>
        <w:spacing w:before="6" w:after="1"/>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302"/>
        <w:gridCol w:w="3069"/>
        <w:gridCol w:w="4604"/>
      </w:tblGrid>
      <w:tr w:rsidR="00A720EB" w14:paraId="7DEC74D4" w14:textId="77777777">
        <w:trPr>
          <w:trHeight w:val="415"/>
        </w:trPr>
        <w:tc>
          <w:tcPr>
            <w:tcW w:w="2302" w:type="dxa"/>
            <w:tcBorders>
              <w:bottom w:val="single" w:sz="12" w:space="0" w:color="DDDDDD"/>
            </w:tcBorders>
          </w:tcPr>
          <w:p w14:paraId="40B28A76"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3069" w:type="dxa"/>
            <w:tcBorders>
              <w:bottom w:val="single" w:sz="12" w:space="0" w:color="DDDDDD"/>
            </w:tcBorders>
          </w:tcPr>
          <w:p w14:paraId="1C76A8C3"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4604" w:type="dxa"/>
            <w:tcBorders>
              <w:bottom w:val="single" w:sz="12" w:space="0" w:color="DDDDDD"/>
            </w:tcBorders>
          </w:tcPr>
          <w:p w14:paraId="0F34F6CB"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2699F38F" w14:textId="77777777">
        <w:trPr>
          <w:trHeight w:val="731"/>
        </w:trPr>
        <w:tc>
          <w:tcPr>
            <w:tcW w:w="2302" w:type="dxa"/>
            <w:tcBorders>
              <w:top w:val="single" w:sz="12" w:space="0" w:color="DDDDDD"/>
            </w:tcBorders>
          </w:tcPr>
          <w:p w14:paraId="734AD3DC" w14:textId="77777777" w:rsidR="00A720EB" w:rsidRDefault="0030286B">
            <w:pPr>
              <w:pStyle w:val="TableParagraph"/>
              <w:spacing w:before="30"/>
              <w:rPr>
                <w:sz w:val="21"/>
              </w:rPr>
            </w:pPr>
            <w:r>
              <w:rPr>
                <w:color w:val="B02045"/>
                <w:sz w:val="21"/>
              </w:rPr>
              <w:t>livenessstate</w:t>
            </w:r>
          </w:p>
        </w:tc>
        <w:tc>
          <w:tcPr>
            <w:tcW w:w="3069" w:type="dxa"/>
            <w:tcBorders>
              <w:top w:val="single" w:sz="12" w:space="0" w:color="DDDDDD"/>
            </w:tcBorders>
          </w:tcPr>
          <w:p w14:paraId="18AEA007" w14:textId="77777777" w:rsidR="00A720EB" w:rsidRDefault="00E10349">
            <w:pPr>
              <w:pStyle w:val="TableParagraph"/>
              <w:spacing w:before="30"/>
              <w:rPr>
                <w:sz w:val="21"/>
              </w:rPr>
            </w:pPr>
            <w:hyperlink r:id="rId441">
              <w:r w:rsidR="0030286B">
                <w:rPr>
                  <w:color w:val="B02045"/>
                  <w:sz w:val="21"/>
                </w:rPr>
                <w:t>LivenessStateHealthIndicator</w:t>
              </w:r>
            </w:hyperlink>
          </w:p>
        </w:tc>
        <w:tc>
          <w:tcPr>
            <w:tcW w:w="4604" w:type="dxa"/>
            <w:tcBorders>
              <w:top w:val="single" w:sz="12" w:space="0" w:color="DDDDDD"/>
            </w:tcBorders>
          </w:tcPr>
          <w:p w14:paraId="7E3DDED1" w14:textId="77777777" w:rsidR="00A720EB" w:rsidRDefault="0030286B">
            <w:pPr>
              <w:pStyle w:val="TableParagraph"/>
              <w:spacing w:before="21" w:line="310" w:lineRule="atLeast"/>
              <w:ind w:right="38"/>
              <w:rPr>
                <w:rFonts w:ascii="Cambria"/>
                <w:sz w:val="21"/>
              </w:rPr>
            </w:pPr>
            <w:r>
              <w:rPr>
                <w:rFonts w:ascii="Cambria"/>
                <w:color w:val="333333"/>
                <w:w w:val="110"/>
                <w:sz w:val="21"/>
              </w:rPr>
              <w:t>Exposes the "Liveness" application availability state.</w:t>
            </w:r>
          </w:p>
        </w:tc>
      </w:tr>
      <w:tr w:rsidR="00A720EB" w14:paraId="35C83747" w14:textId="77777777">
        <w:trPr>
          <w:trHeight w:val="741"/>
        </w:trPr>
        <w:tc>
          <w:tcPr>
            <w:tcW w:w="2302" w:type="dxa"/>
          </w:tcPr>
          <w:p w14:paraId="7B2183B2" w14:textId="77777777" w:rsidR="00A720EB" w:rsidRDefault="0030286B">
            <w:pPr>
              <w:pStyle w:val="TableParagraph"/>
              <w:spacing w:before="40"/>
              <w:rPr>
                <w:sz w:val="21"/>
              </w:rPr>
            </w:pPr>
            <w:r>
              <w:rPr>
                <w:color w:val="B02045"/>
                <w:sz w:val="21"/>
              </w:rPr>
              <w:t>readinessstate</w:t>
            </w:r>
          </w:p>
        </w:tc>
        <w:tc>
          <w:tcPr>
            <w:tcW w:w="3069" w:type="dxa"/>
          </w:tcPr>
          <w:p w14:paraId="4FC64032" w14:textId="77777777" w:rsidR="00A720EB" w:rsidRDefault="00E10349">
            <w:pPr>
              <w:pStyle w:val="TableParagraph"/>
              <w:spacing w:before="49" w:line="230" w:lineRule="auto"/>
              <w:ind w:right="39"/>
              <w:rPr>
                <w:sz w:val="21"/>
              </w:rPr>
            </w:pPr>
            <w:hyperlink r:id="rId442">
              <w:r w:rsidR="0030286B">
                <w:rPr>
                  <w:color w:val="B02045"/>
                  <w:sz w:val="21"/>
                </w:rPr>
                <w:t>ReadinessStateHealthIndicato</w:t>
              </w:r>
            </w:hyperlink>
            <w:r w:rsidR="0030286B">
              <w:rPr>
                <w:color w:val="B02045"/>
                <w:sz w:val="21"/>
              </w:rPr>
              <w:t xml:space="preserve"> </w:t>
            </w:r>
            <w:hyperlink r:id="rId443">
              <w:r w:rsidR="0030286B">
                <w:rPr>
                  <w:color w:val="B02045"/>
                  <w:sz w:val="21"/>
                </w:rPr>
                <w:t>r</w:t>
              </w:r>
            </w:hyperlink>
          </w:p>
        </w:tc>
        <w:tc>
          <w:tcPr>
            <w:tcW w:w="4604" w:type="dxa"/>
          </w:tcPr>
          <w:p w14:paraId="039993D0" w14:textId="77777777" w:rsidR="00A720EB" w:rsidRDefault="0030286B">
            <w:pPr>
              <w:pStyle w:val="TableParagraph"/>
              <w:spacing w:before="31" w:line="310" w:lineRule="atLeast"/>
              <w:rPr>
                <w:rFonts w:ascii="Cambria"/>
                <w:sz w:val="21"/>
              </w:rPr>
            </w:pPr>
            <w:r>
              <w:rPr>
                <w:rFonts w:ascii="Cambria"/>
                <w:color w:val="333333"/>
                <w:w w:val="110"/>
                <w:sz w:val="21"/>
              </w:rPr>
              <w:t>Exposes the "Readiness" application availability state.</w:t>
            </w:r>
          </w:p>
        </w:tc>
      </w:tr>
    </w:tbl>
    <w:p w14:paraId="5CFD78C8" w14:textId="77777777" w:rsidR="00A720EB" w:rsidRDefault="00A720EB">
      <w:pPr>
        <w:pStyle w:val="a3"/>
        <w:spacing w:before="6"/>
        <w:rPr>
          <w:sz w:val="28"/>
        </w:rPr>
      </w:pPr>
    </w:p>
    <w:p w14:paraId="030F7045" w14:textId="77777777" w:rsidR="00A720EB" w:rsidRDefault="0030286B">
      <w:pPr>
        <w:pStyle w:val="4"/>
      </w:pPr>
      <w:bookmarkStart w:id="578" w:name="Writing_Custom_HealthIndicators"/>
      <w:bookmarkEnd w:id="578"/>
      <w:r>
        <w:rPr>
          <w:color w:val="333333"/>
          <w:w w:val="110"/>
        </w:rPr>
        <w:t>Writing Custom HealthIndicators</w:t>
      </w:r>
    </w:p>
    <w:p w14:paraId="0252B1DB" w14:textId="77777777" w:rsidR="00A720EB" w:rsidRDefault="00A720EB">
      <w:pPr>
        <w:pStyle w:val="a3"/>
        <w:spacing w:before="11"/>
        <w:rPr>
          <w:rFonts w:ascii="Palatino Linotype"/>
          <w:b/>
          <w:sz w:val="18"/>
        </w:rPr>
      </w:pPr>
    </w:p>
    <w:p w14:paraId="397DC72C" w14:textId="77777777" w:rsidR="00A720EB" w:rsidRDefault="0030286B">
      <w:pPr>
        <w:pStyle w:val="a3"/>
        <w:spacing w:before="1" w:line="288" w:lineRule="auto"/>
        <w:ind w:left="124" w:right="122"/>
        <w:jc w:val="both"/>
      </w:pPr>
      <w:r>
        <w:rPr>
          <w:color w:val="333333"/>
          <w:w w:val="110"/>
        </w:rPr>
        <w:t xml:space="preserve">To provide custom health information, you can register Spring beans that implement the </w:t>
      </w:r>
      <w:hyperlink r:id="rId444">
        <w:r>
          <w:rPr>
            <w:rFonts w:ascii="MS Gothic"/>
            <w:color w:val="B02045"/>
            <w:w w:val="110"/>
          </w:rPr>
          <w:t xml:space="preserve">HealthIndicator </w:t>
        </w:r>
      </w:hyperlink>
      <w:r>
        <w:rPr>
          <w:color w:val="333333"/>
          <w:w w:val="110"/>
        </w:rPr>
        <w:t xml:space="preserve">interface. You need to provide an implementation of the </w:t>
      </w:r>
      <w:proofErr w:type="gramStart"/>
      <w:r>
        <w:rPr>
          <w:rFonts w:ascii="MS Gothic"/>
          <w:color w:val="B02045"/>
          <w:w w:val="110"/>
        </w:rPr>
        <w:t>health(</w:t>
      </w:r>
      <w:proofErr w:type="gramEnd"/>
      <w:r>
        <w:rPr>
          <w:rFonts w:ascii="MS Gothic"/>
          <w:color w:val="B02045"/>
          <w:w w:val="110"/>
        </w:rPr>
        <w:t xml:space="preserve">) </w:t>
      </w:r>
      <w:r>
        <w:rPr>
          <w:color w:val="333333"/>
          <w:w w:val="110"/>
        </w:rPr>
        <w:t xml:space="preserve">method and return a </w:t>
      </w:r>
      <w:r>
        <w:rPr>
          <w:rFonts w:ascii="MS Gothic"/>
          <w:color w:val="B02045"/>
          <w:w w:val="110"/>
        </w:rPr>
        <w:t xml:space="preserve">Health </w:t>
      </w:r>
      <w:r>
        <w:rPr>
          <w:color w:val="333333"/>
          <w:w w:val="110"/>
        </w:rPr>
        <w:t xml:space="preserve">response. The </w:t>
      </w:r>
      <w:r>
        <w:rPr>
          <w:rFonts w:ascii="MS Gothic"/>
          <w:color w:val="B02045"/>
          <w:w w:val="110"/>
        </w:rPr>
        <w:t xml:space="preserve">Health </w:t>
      </w:r>
      <w:r>
        <w:rPr>
          <w:color w:val="333333"/>
          <w:w w:val="110"/>
        </w:rPr>
        <w:t xml:space="preserve">response should include a status and can optionally include additional details to be displayed. The following code shows a sample </w:t>
      </w:r>
      <w:r>
        <w:rPr>
          <w:rFonts w:ascii="MS Gothic"/>
          <w:color w:val="B02045"/>
          <w:w w:val="110"/>
        </w:rPr>
        <w:t xml:space="preserve">HealthIndicator </w:t>
      </w:r>
      <w:r>
        <w:rPr>
          <w:color w:val="333333"/>
          <w:w w:val="110"/>
        </w:rPr>
        <w:t>implementation:</w:t>
      </w:r>
    </w:p>
    <w:p w14:paraId="294EBEB2" w14:textId="77777777" w:rsidR="00A720EB" w:rsidRDefault="00A720EB">
      <w:pPr>
        <w:spacing w:line="288" w:lineRule="auto"/>
        <w:jc w:val="both"/>
        <w:sectPr w:rsidR="00A720EB">
          <w:pgSz w:w="11910" w:h="16840"/>
          <w:pgMar w:top="700" w:right="840" w:bottom="520" w:left="840" w:header="0" w:footer="323" w:gutter="0"/>
          <w:cols w:space="720"/>
        </w:sectPr>
      </w:pPr>
    </w:p>
    <w:p w14:paraId="4CF66B16" w14:textId="77777777" w:rsidR="00A720EB" w:rsidRDefault="00E10349">
      <w:pPr>
        <w:pStyle w:val="a3"/>
        <w:ind w:left="116"/>
        <w:rPr>
          <w:sz w:val="20"/>
        </w:rPr>
      </w:pPr>
      <w:r>
        <w:rPr>
          <w:sz w:val="20"/>
        </w:rPr>
      </w:r>
      <w:r>
        <w:rPr>
          <w:sz w:val="20"/>
        </w:rPr>
        <w:pict w14:anchorId="4CDEBA0C">
          <v:group id="_x0000_s3270" style="width:499.55pt;height:273.35pt;mso-position-horizontal-relative:char;mso-position-vertical-relative:line" coordsize="9991,5467">
            <v:shape id="_x0000_s3273" style="position:absolute;left:7;top:7;width:9976;height:5452" coordorigin="8,8" coordsize="9976,5452" path="m9904,8l88,8,56,14,31,31,14,56,8,88r,5291l14,5410r17,26l56,5453r32,6l9904,5459r31,-6l9960,5436r17,-26l9984,5379r,-5291l9977,56,9960,31,9935,14,9904,8xe" fillcolor="#f5f5f5" stroked="f">
              <v:path arrowok="t"/>
            </v:shape>
            <v:shape id="_x0000_s3272" style="position:absolute;left:7;top:7;width:9976;height:5452" coordorigin="8,8" coordsize="9976,5452" path="m88,8r9816,l9935,14r25,17l9977,56r7,32l9984,5379r-7,31l9960,5436r-25,17l9904,5459r-9816,l56,5453,31,5436,14,5410,8,5379,8,88,14,56,31,31,56,14,88,8xe" filled="f" strokecolor="#ccc">
              <v:path arrowok="t"/>
            </v:shape>
            <v:shape id="_x0000_s3271" type="#_x0000_t202" style="position:absolute;left:26;top:22;width:9938;height:5421" filled="f" stroked="f">
              <v:textbox inset="0,0,0,0">
                <w:txbxContent>
                  <w:p w14:paraId="44DC02C3"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.boot.actuate.health.Health;</w:t>
                    </w:r>
                  </w:p>
                  <w:p w14:paraId="4762BA9F" w14:textId="77777777" w:rsidR="00711A16" w:rsidRDefault="00711A16">
                    <w:pPr>
                      <w:spacing w:before="13" w:line="252" w:lineRule="auto"/>
                      <w:ind w:left="200" w:right="2788"/>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.boot.actuate.health.HealthIndicator; import org.springframework.stereotype.Component;</w:t>
                    </w:r>
                  </w:p>
                  <w:p w14:paraId="319E400D" w14:textId="77777777" w:rsidR="00711A16" w:rsidRDefault="00711A16">
                    <w:pPr>
                      <w:spacing w:before="10"/>
                      <w:rPr>
                        <w:rFonts w:ascii="MS Gothic"/>
                      </w:rPr>
                    </w:pPr>
                  </w:p>
                  <w:p w14:paraId="1F0C07D8" w14:textId="77777777" w:rsidR="00711A16" w:rsidRDefault="00711A16">
                    <w:pPr>
                      <w:ind w:left="200"/>
                      <w:rPr>
                        <w:rFonts w:ascii="MS Gothic"/>
                      </w:rPr>
                    </w:pPr>
                    <w:r>
                      <w:rPr>
                        <w:rFonts w:ascii="MS Gothic"/>
                        <w:color w:val="333333"/>
                      </w:rPr>
                      <w:t>@Component</w:t>
                    </w:r>
                  </w:p>
                  <w:p w14:paraId="2B95AA22" w14:textId="77777777" w:rsidR="00711A16" w:rsidRDefault="00711A16">
                    <w:pPr>
                      <w:spacing w:before="13"/>
                      <w:ind w:left="200"/>
                      <w:rPr>
                        <w:rFonts w:ascii="MS Gothic"/>
                      </w:rPr>
                    </w:pPr>
                    <w:r>
                      <w:rPr>
                        <w:rFonts w:ascii="MS Gothic"/>
                        <w:color w:val="333333"/>
                      </w:rPr>
                      <w:t>public class MyHealthIndicator implements HealthIndicator {</w:t>
                    </w:r>
                  </w:p>
                  <w:p w14:paraId="27ACAAD4" w14:textId="77777777" w:rsidR="00711A16" w:rsidRDefault="00711A16">
                    <w:pPr>
                      <w:rPr>
                        <w:rFonts w:ascii="MS Gothic"/>
                        <w:sz w:val="24"/>
                      </w:rPr>
                    </w:pPr>
                  </w:p>
                  <w:p w14:paraId="26223DA4" w14:textId="77777777" w:rsidR="00711A16" w:rsidRDefault="00711A16">
                    <w:pPr>
                      <w:ind w:left="640"/>
                      <w:rPr>
                        <w:rFonts w:ascii="MS Gothic"/>
                      </w:rPr>
                    </w:pPr>
                    <w:r>
                      <w:rPr>
                        <w:rFonts w:ascii="MS Gothic"/>
                        <w:color w:val="333333"/>
                      </w:rPr>
                      <w:t>@Override</w:t>
                    </w:r>
                  </w:p>
                  <w:p w14:paraId="0AA38004" w14:textId="77777777" w:rsidR="00711A16" w:rsidRDefault="00711A16">
                    <w:pPr>
                      <w:spacing w:before="13"/>
                      <w:ind w:left="640"/>
                      <w:rPr>
                        <w:rFonts w:ascii="MS Gothic"/>
                      </w:rPr>
                    </w:pPr>
                    <w:r>
                      <w:rPr>
                        <w:rFonts w:ascii="MS Gothic"/>
                        <w:color w:val="333333"/>
                      </w:rPr>
                      <w:t xml:space="preserve">public Health </w:t>
                    </w:r>
                    <w:proofErr w:type="gramStart"/>
                    <w:r>
                      <w:rPr>
                        <w:rFonts w:ascii="MS Gothic"/>
                        <w:color w:val="333333"/>
                      </w:rPr>
                      <w:t>health(</w:t>
                    </w:r>
                    <w:proofErr w:type="gramEnd"/>
                    <w:r>
                      <w:rPr>
                        <w:rFonts w:ascii="MS Gothic"/>
                        <w:color w:val="333333"/>
                      </w:rPr>
                      <w:t>) {</w:t>
                    </w:r>
                  </w:p>
                  <w:p w14:paraId="3D72DF36" w14:textId="77777777" w:rsidR="00711A16" w:rsidRDefault="00711A16">
                    <w:pPr>
                      <w:spacing w:before="13" w:line="252" w:lineRule="auto"/>
                      <w:ind w:left="1080" w:right="1908"/>
                      <w:rPr>
                        <w:rFonts w:ascii="MS Gothic"/>
                      </w:rPr>
                    </w:pPr>
                    <w:r>
                      <w:rPr>
                        <w:rFonts w:ascii="MS Gothic"/>
                        <w:color w:val="333333"/>
                      </w:rPr>
                      <w:t xml:space="preserve">int errorCode = </w:t>
                    </w:r>
                    <w:proofErr w:type="gramStart"/>
                    <w:r>
                      <w:rPr>
                        <w:rFonts w:ascii="MS Gothic"/>
                        <w:color w:val="333333"/>
                      </w:rPr>
                      <w:t>check(</w:t>
                    </w:r>
                    <w:proofErr w:type="gramEnd"/>
                    <w:r>
                      <w:rPr>
                        <w:rFonts w:ascii="MS Gothic"/>
                        <w:color w:val="333333"/>
                      </w:rPr>
                      <w:t xml:space="preserve">); // perform some specific health </w:t>
                    </w:r>
                    <w:r>
                      <w:rPr>
                        <w:rFonts w:ascii="MS Gothic"/>
                        <w:color w:val="333333"/>
                        <w:spacing w:val="-4"/>
                      </w:rPr>
                      <w:t xml:space="preserve">check </w:t>
                    </w:r>
                    <w:r>
                      <w:rPr>
                        <w:rFonts w:ascii="MS Gothic"/>
                        <w:color w:val="333333"/>
                      </w:rPr>
                      <w:t>if (errorCode != 0) {</w:t>
                    </w:r>
                  </w:p>
                  <w:p w14:paraId="7AE9F893" w14:textId="77777777" w:rsidR="00711A16" w:rsidRDefault="00711A16">
                    <w:pPr>
                      <w:spacing w:line="280" w:lineRule="exact"/>
                      <w:ind w:left="1520"/>
                      <w:rPr>
                        <w:rFonts w:ascii="MS Gothic"/>
                      </w:rPr>
                    </w:pPr>
                    <w:r>
                      <w:rPr>
                        <w:rFonts w:ascii="MS Gothic"/>
                        <w:color w:val="333333"/>
                      </w:rPr>
                      <w:t>return Health.down(</w:t>
                    </w:r>
                    <w:proofErr w:type="gramStart"/>
                    <w:r>
                      <w:rPr>
                        <w:rFonts w:ascii="MS Gothic"/>
                        <w:color w:val="333333"/>
                      </w:rPr>
                      <w:t>).withDetail</w:t>
                    </w:r>
                    <w:proofErr w:type="gramEnd"/>
                    <w:r>
                      <w:rPr>
                        <w:rFonts w:ascii="MS Gothic"/>
                        <w:color w:val="333333"/>
                      </w:rPr>
                      <w:t>("Error Code", errorCode).build();</w:t>
                    </w:r>
                  </w:p>
                  <w:p w14:paraId="7CF2170F" w14:textId="77777777" w:rsidR="00711A16" w:rsidRDefault="00711A16">
                    <w:pPr>
                      <w:spacing w:before="13"/>
                      <w:ind w:left="1080"/>
                      <w:rPr>
                        <w:rFonts w:ascii="MS Gothic"/>
                      </w:rPr>
                    </w:pPr>
                    <w:r>
                      <w:rPr>
                        <w:rFonts w:ascii="MS Gothic"/>
                        <w:color w:val="333333"/>
                      </w:rPr>
                      <w:t>}</w:t>
                    </w:r>
                  </w:p>
                  <w:p w14:paraId="6E6B9DCC" w14:textId="77777777" w:rsidR="00711A16" w:rsidRDefault="00711A16">
                    <w:pPr>
                      <w:spacing w:before="13"/>
                      <w:ind w:left="1080"/>
                      <w:rPr>
                        <w:rFonts w:ascii="MS Gothic"/>
                      </w:rPr>
                    </w:pPr>
                    <w:r>
                      <w:rPr>
                        <w:rFonts w:ascii="MS Gothic"/>
                        <w:color w:val="333333"/>
                      </w:rPr>
                      <w:t>return Health.up(</w:t>
                    </w:r>
                    <w:proofErr w:type="gramStart"/>
                    <w:r>
                      <w:rPr>
                        <w:rFonts w:ascii="MS Gothic"/>
                        <w:color w:val="333333"/>
                      </w:rPr>
                      <w:t>).build</w:t>
                    </w:r>
                    <w:proofErr w:type="gramEnd"/>
                    <w:r>
                      <w:rPr>
                        <w:rFonts w:ascii="MS Gothic"/>
                        <w:color w:val="333333"/>
                      </w:rPr>
                      <w:t>();</w:t>
                    </w:r>
                  </w:p>
                  <w:p w14:paraId="319184FC" w14:textId="77777777" w:rsidR="00711A16" w:rsidRDefault="00711A16">
                    <w:pPr>
                      <w:spacing w:before="13"/>
                      <w:ind w:left="640"/>
                      <w:rPr>
                        <w:rFonts w:ascii="MS Gothic"/>
                      </w:rPr>
                    </w:pPr>
                    <w:r>
                      <w:rPr>
                        <w:rFonts w:ascii="MS Gothic"/>
                        <w:color w:val="333333"/>
                      </w:rPr>
                      <w:t>}</w:t>
                    </w:r>
                  </w:p>
                  <w:p w14:paraId="36A78459" w14:textId="77777777" w:rsidR="00711A16" w:rsidRDefault="00711A16">
                    <w:pPr>
                      <w:rPr>
                        <w:rFonts w:ascii="MS Gothic"/>
                        <w:sz w:val="24"/>
                      </w:rPr>
                    </w:pPr>
                  </w:p>
                  <w:p w14:paraId="538D2B23" w14:textId="77777777" w:rsidR="00711A16" w:rsidRDefault="00711A16">
                    <w:pPr>
                      <w:ind w:left="200"/>
                      <w:rPr>
                        <w:rFonts w:ascii="MS Gothic"/>
                      </w:rPr>
                    </w:pPr>
                    <w:r>
                      <w:rPr>
                        <w:rFonts w:ascii="MS Gothic"/>
                        <w:color w:val="333333"/>
                      </w:rPr>
                      <w:t>}</w:t>
                    </w:r>
                  </w:p>
                </w:txbxContent>
              </v:textbox>
            </v:shape>
            <w10:anchorlock/>
          </v:group>
        </w:pict>
      </w:r>
    </w:p>
    <w:p w14:paraId="2476FC37" w14:textId="77777777" w:rsidR="00A720EB" w:rsidRDefault="00A720EB">
      <w:pPr>
        <w:pStyle w:val="a3"/>
        <w:spacing w:before="4"/>
        <w:rPr>
          <w:sz w:val="16"/>
        </w:rPr>
      </w:pPr>
    </w:p>
    <w:p w14:paraId="03B69FED" w14:textId="77777777" w:rsidR="00A720EB" w:rsidRDefault="00E10349">
      <w:pPr>
        <w:pStyle w:val="a3"/>
        <w:spacing w:before="116" w:line="280" w:lineRule="auto"/>
        <w:ind w:left="1564" w:right="365"/>
        <w:jc w:val="both"/>
      </w:pPr>
      <w:r>
        <w:pict w14:anchorId="17943581">
          <v:line id="_x0000_s3269" style="position:absolute;left:0;text-align:left;z-index:16208384;mso-position-horizontal-relative:page" from="108.25pt,.35pt" to="108.25pt,55.7pt" strokecolor="#ededed" strokeweight=".5pt">
            <w10:wrap anchorx="page"/>
          </v:line>
        </w:pict>
      </w:r>
      <w:r w:rsidR="0030286B">
        <w:rPr>
          <w:noProof/>
        </w:rPr>
        <w:drawing>
          <wp:anchor distT="0" distB="0" distL="0" distR="0" simplePos="0" relativeHeight="16208896" behindDoc="0" locked="0" layoutInCell="1" allowOverlap="1" wp14:anchorId="2BD552DB" wp14:editId="31D86FDB">
            <wp:simplePos x="0" y="0"/>
            <wp:positionH relativeFrom="page">
              <wp:posOffset>844422</wp:posOffset>
            </wp:positionH>
            <wp:positionV relativeFrom="paragraph">
              <wp:posOffset>206451</wp:posOffset>
            </wp:positionV>
            <wp:extent cx="298450" cy="298450"/>
            <wp:effectExtent l="0" t="0" r="0" b="0"/>
            <wp:wrapNone/>
            <wp:docPr id="5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identifier for a given </w:t>
      </w:r>
      <w:r w:rsidR="0030286B">
        <w:rPr>
          <w:rFonts w:ascii="MS Gothic"/>
          <w:color w:val="B02045"/>
          <w:w w:val="110"/>
        </w:rPr>
        <w:t xml:space="preserve">HealthIndicator </w:t>
      </w:r>
      <w:r w:rsidR="0030286B">
        <w:rPr>
          <w:color w:val="333333"/>
          <w:w w:val="110"/>
        </w:rPr>
        <w:t xml:space="preserve">is the name of the bean without the </w:t>
      </w:r>
      <w:r w:rsidR="0030286B">
        <w:rPr>
          <w:rFonts w:ascii="MS Gothic"/>
          <w:color w:val="B02045"/>
          <w:w w:val="110"/>
        </w:rPr>
        <w:t xml:space="preserve">HealthIndicator </w:t>
      </w:r>
      <w:r w:rsidR="0030286B">
        <w:rPr>
          <w:color w:val="333333"/>
          <w:w w:val="110"/>
        </w:rPr>
        <w:t>suffix, if it exists. In the preceding example, the health information is available in an entry named</w:t>
      </w:r>
      <w:r w:rsidR="0030286B">
        <w:rPr>
          <w:color w:val="333333"/>
          <w:spacing w:val="31"/>
          <w:w w:val="110"/>
        </w:rPr>
        <w:t xml:space="preserve"> </w:t>
      </w:r>
      <w:proofErr w:type="gramStart"/>
      <w:r w:rsidR="0030286B">
        <w:rPr>
          <w:rFonts w:ascii="MS Gothic"/>
          <w:color w:val="B02045"/>
          <w:w w:val="110"/>
        </w:rPr>
        <w:t>my</w:t>
      </w:r>
      <w:proofErr w:type="gramEnd"/>
      <w:r w:rsidR="0030286B">
        <w:rPr>
          <w:color w:val="333333"/>
          <w:w w:val="110"/>
        </w:rPr>
        <w:t>.</w:t>
      </w:r>
    </w:p>
    <w:p w14:paraId="102207B0" w14:textId="77777777" w:rsidR="00A720EB" w:rsidRDefault="00A720EB">
      <w:pPr>
        <w:pStyle w:val="a3"/>
        <w:spacing w:before="7"/>
        <w:rPr>
          <w:sz w:val="17"/>
        </w:rPr>
      </w:pPr>
    </w:p>
    <w:p w14:paraId="048DB472" w14:textId="77777777" w:rsidR="00A720EB" w:rsidRDefault="0030286B">
      <w:pPr>
        <w:pStyle w:val="a3"/>
        <w:spacing w:before="116" w:line="280" w:lineRule="auto"/>
        <w:ind w:left="124" w:right="122"/>
        <w:jc w:val="both"/>
      </w:pPr>
      <w:r>
        <w:rPr>
          <w:color w:val="333333"/>
          <w:w w:val="110"/>
        </w:rPr>
        <w:t xml:space="preserve">In addition to Spring Boot’s predefined </w:t>
      </w:r>
      <w:hyperlink r:id="rId445">
        <w:r>
          <w:rPr>
            <w:rFonts w:ascii="MS Gothic" w:hAnsi="MS Gothic"/>
            <w:color w:val="B02045"/>
            <w:w w:val="110"/>
          </w:rPr>
          <w:t xml:space="preserve">Status </w:t>
        </w:r>
      </w:hyperlink>
      <w:r>
        <w:rPr>
          <w:color w:val="333333"/>
          <w:w w:val="110"/>
        </w:rPr>
        <w:t xml:space="preserve">types, it is also possible for </w:t>
      </w:r>
      <w:r>
        <w:rPr>
          <w:rFonts w:ascii="MS Gothic" w:hAnsi="MS Gothic"/>
          <w:color w:val="B02045"/>
          <w:w w:val="110"/>
        </w:rPr>
        <w:t>Health</w:t>
      </w:r>
      <w:r>
        <w:rPr>
          <w:rFonts w:ascii="MS Gothic" w:hAnsi="MS Gothic"/>
          <w:color w:val="B02045"/>
          <w:spacing w:val="-86"/>
          <w:w w:val="110"/>
        </w:rPr>
        <w:t xml:space="preserve"> </w:t>
      </w:r>
      <w:r>
        <w:rPr>
          <w:color w:val="333333"/>
          <w:w w:val="110"/>
        </w:rPr>
        <w:t xml:space="preserve">to return a custom </w:t>
      </w:r>
      <w:r>
        <w:rPr>
          <w:rFonts w:ascii="MS Gothic" w:hAnsi="MS Gothic"/>
          <w:color w:val="B02045"/>
          <w:w w:val="110"/>
        </w:rPr>
        <w:t xml:space="preserve">Status </w:t>
      </w:r>
      <w:r>
        <w:rPr>
          <w:color w:val="333333"/>
          <w:w w:val="110"/>
        </w:rPr>
        <w:t xml:space="preserve">that represents a new system state. In such cases, a custom implementation of the </w:t>
      </w:r>
      <w:hyperlink r:id="rId446">
        <w:r>
          <w:rPr>
            <w:rFonts w:ascii="MS Gothic" w:hAnsi="MS Gothic"/>
            <w:color w:val="B02045"/>
            <w:w w:val="110"/>
          </w:rPr>
          <w:t xml:space="preserve">StatusAggregator </w:t>
        </w:r>
      </w:hyperlink>
      <w:r>
        <w:rPr>
          <w:color w:val="333333"/>
          <w:w w:val="110"/>
        </w:rPr>
        <w:t xml:space="preserve">interface also needs to be provided, or the default implementation has to be configured </w:t>
      </w:r>
      <w:r>
        <w:rPr>
          <w:color w:val="333333"/>
          <w:spacing w:val="-3"/>
          <w:w w:val="110"/>
        </w:rPr>
        <w:t xml:space="preserve">by </w:t>
      </w:r>
      <w:r>
        <w:rPr>
          <w:color w:val="333333"/>
          <w:w w:val="110"/>
        </w:rPr>
        <w:t xml:space="preserve">using the </w:t>
      </w:r>
      <w:r>
        <w:rPr>
          <w:rFonts w:ascii="MS Gothic" w:hAnsi="MS Gothic"/>
          <w:color w:val="B02045"/>
          <w:w w:val="110"/>
        </w:rPr>
        <w:t>management.endpoint.health.status.order</w:t>
      </w:r>
      <w:r>
        <w:rPr>
          <w:rFonts w:ascii="MS Gothic" w:hAnsi="MS Gothic"/>
          <w:color w:val="B02045"/>
          <w:spacing w:val="-75"/>
          <w:w w:val="110"/>
        </w:rPr>
        <w:t xml:space="preserve"> </w:t>
      </w:r>
      <w:r>
        <w:rPr>
          <w:color w:val="333333"/>
          <w:w w:val="110"/>
        </w:rPr>
        <w:t xml:space="preserve">configuration </w:t>
      </w:r>
      <w:r>
        <w:rPr>
          <w:color w:val="333333"/>
          <w:spacing w:val="-3"/>
          <w:w w:val="110"/>
        </w:rPr>
        <w:t>property.</w:t>
      </w:r>
    </w:p>
    <w:p w14:paraId="4B503428" w14:textId="77777777" w:rsidR="00A720EB" w:rsidRDefault="0030286B">
      <w:pPr>
        <w:pStyle w:val="a3"/>
        <w:spacing w:before="243" w:line="300" w:lineRule="auto"/>
        <w:ind w:left="124" w:right="122"/>
        <w:jc w:val="both"/>
      </w:pPr>
      <w:r>
        <w:rPr>
          <w:color w:val="333333"/>
          <w:w w:val="110"/>
        </w:rPr>
        <w:t xml:space="preserve">For example, assume a new </w:t>
      </w:r>
      <w:r>
        <w:rPr>
          <w:rFonts w:ascii="MS Gothic"/>
          <w:color w:val="B02045"/>
          <w:w w:val="110"/>
        </w:rPr>
        <w:t xml:space="preserve">Status </w:t>
      </w:r>
      <w:r>
        <w:rPr>
          <w:color w:val="333333"/>
          <w:w w:val="110"/>
        </w:rPr>
        <w:t xml:space="preserve">with code </w:t>
      </w:r>
      <w:r>
        <w:rPr>
          <w:rFonts w:ascii="MS Gothic"/>
          <w:color w:val="B02045"/>
          <w:w w:val="110"/>
        </w:rPr>
        <w:t xml:space="preserve">FATAL </w:t>
      </w:r>
      <w:r>
        <w:rPr>
          <w:color w:val="333333"/>
          <w:w w:val="110"/>
        </w:rPr>
        <w:t xml:space="preserve">is being used in one of your </w:t>
      </w:r>
      <w:r>
        <w:rPr>
          <w:rFonts w:ascii="MS Gothic"/>
          <w:color w:val="B02045"/>
          <w:w w:val="110"/>
        </w:rPr>
        <w:t xml:space="preserve">HealthIndicator </w:t>
      </w:r>
      <w:r>
        <w:rPr>
          <w:color w:val="333333"/>
          <w:w w:val="110"/>
        </w:rPr>
        <w:t>implementations. To configure the severity order, add the following property to your application properties:</w:t>
      </w:r>
    </w:p>
    <w:p w14:paraId="5EEDCBF4" w14:textId="77777777" w:rsidR="00A720EB" w:rsidRDefault="00E10349">
      <w:pPr>
        <w:pStyle w:val="a3"/>
        <w:spacing w:before="7"/>
        <w:rPr>
          <w:sz w:val="13"/>
        </w:rPr>
      </w:pPr>
      <w:r>
        <w:pict w14:anchorId="5747E54C">
          <v:group id="_x0000_s3265" style="position:absolute;margin-left:47.85pt;margin-top:9.95pt;width:499.55pt;height:37.5pt;z-index:-15249920;mso-wrap-distance-left:0;mso-wrap-distance-right:0;mso-position-horizontal-relative:page" coordorigin="957,199" coordsize="9991,750">
            <v:shape id="_x0000_s3268" style="position:absolute;left:964;top:206;width:9976;height:735" coordorigin="965,206" coordsize="9976,735" path="m10861,206r-9816,l1014,213r-26,17l971,255r-6,31l965,861r6,31l988,918r26,17l1045,941r9816,l10892,935r25,-17l10935,892r6,-31l10941,286r-6,-31l10917,230r-25,-17l10861,206xe" fillcolor="#f5f5f5" stroked="f">
              <v:path arrowok="t"/>
            </v:shape>
            <v:shape id="_x0000_s3267" style="position:absolute;left:964;top:206;width:9976;height:735" coordorigin="965,206" coordsize="9976,735" path="m1045,206r9816,l10892,213r25,17l10935,255r6,31l10941,861r-6,31l10917,918r-25,17l10861,941r-9816,l1014,935,988,918,971,892r-6,-31l965,286r6,-31l988,230r26,-17l1045,206xe" filled="f" strokecolor="#ccc">
              <v:path arrowok="t"/>
            </v:shape>
            <v:shape id="_x0000_s3266" type="#_x0000_t202" style="position:absolute;left:984;top:221;width:9938;height:704" filled="f" stroked="f">
              <v:textbox inset="0,0,0,0">
                <w:txbxContent>
                  <w:p w14:paraId="0BC2E742" w14:textId="77777777" w:rsidR="00711A16" w:rsidRDefault="00711A16">
                    <w:pPr>
                      <w:spacing w:before="221"/>
                      <w:ind w:left="200"/>
                      <w:rPr>
                        <w:rFonts w:ascii="MS Gothic"/>
                      </w:rPr>
                    </w:pPr>
                    <w:proofErr w:type="gramStart"/>
                    <w:r>
                      <w:rPr>
                        <w:rFonts w:ascii="MS Gothic"/>
                        <w:color w:val="333333"/>
                      </w:rPr>
                      <w:t>management.endpoint</w:t>
                    </w:r>
                    <w:proofErr w:type="gramEnd"/>
                    <w:r>
                      <w:rPr>
                        <w:rFonts w:ascii="MS Gothic"/>
                        <w:color w:val="333333"/>
                      </w:rPr>
                      <w:t>.health.status.order=fatal,down,out-of-service,unknown,up</w:t>
                    </w:r>
                  </w:p>
                </w:txbxContent>
              </v:textbox>
            </v:shape>
            <w10:wrap type="topAndBottom" anchorx="page"/>
          </v:group>
        </w:pict>
      </w:r>
    </w:p>
    <w:p w14:paraId="63B63F48" w14:textId="77777777" w:rsidR="00A720EB" w:rsidRDefault="00A720EB">
      <w:pPr>
        <w:pStyle w:val="a3"/>
        <w:spacing w:before="11"/>
        <w:rPr>
          <w:sz w:val="9"/>
        </w:rPr>
      </w:pPr>
    </w:p>
    <w:p w14:paraId="61A69FB8" w14:textId="77777777" w:rsidR="00A720EB" w:rsidRDefault="0030286B">
      <w:pPr>
        <w:pStyle w:val="a3"/>
        <w:spacing w:before="115" w:line="290" w:lineRule="auto"/>
        <w:ind w:left="124" w:right="122"/>
        <w:jc w:val="both"/>
      </w:pPr>
      <w:r>
        <w:rPr>
          <w:color w:val="333333"/>
          <w:w w:val="110"/>
        </w:rPr>
        <w:t xml:space="preserve">The HTTP status code in the response reflects the overall health status. </w:t>
      </w:r>
      <w:r>
        <w:rPr>
          <w:color w:val="333333"/>
          <w:spacing w:val="-3"/>
          <w:w w:val="110"/>
        </w:rPr>
        <w:t xml:space="preserve">By </w:t>
      </w:r>
      <w:r>
        <w:rPr>
          <w:color w:val="333333"/>
          <w:w w:val="110"/>
        </w:rPr>
        <w:t xml:space="preserve">default, </w:t>
      </w:r>
      <w:r>
        <w:rPr>
          <w:rFonts w:ascii="MS Gothic"/>
          <w:color w:val="B02045"/>
          <w:w w:val="110"/>
        </w:rPr>
        <w:t xml:space="preserve">OUT_OF_SERVICE </w:t>
      </w:r>
      <w:r>
        <w:rPr>
          <w:color w:val="333333"/>
          <w:w w:val="110"/>
        </w:rPr>
        <w:t xml:space="preserve">and </w:t>
      </w:r>
      <w:r>
        <w:rPr>
          <w:rFonts w:ascii="MS Gothic"/>
          <w:color w:val="B02045"/>
          <w:w w:val="110"/>
        </w:rPr>
        <w:t xml:space="preserve">DOWN </w:t>
      </w:r>
      <w:r>
        <w:rPr>
          <w:color w:val="333333"/>
          <w:w w:val="110"/>
        </w:rPr>
        <w:t xml:space="preserve">map to 503. Any unmapped health statuses, including </w:t>
      </w:r>
      <w:r>
        <w:rPr>
          <w:rFonts w:ascii="MS Gothic"/>
          <w:color w:val="B02045"/>
          <w:w w:val="110"/>
        </w:rPr>
        <w:t>UP</w:t>
      </w:r>
      <w:r>
        <w:rPr>
          <w:color w:val="333333"/>
          <w:w w:val="110"/>
        </w:rPr>
        <w:t xml:space="preserve">, map to 200. </w:t>
      </w:r>
      <w:r>
        <w:rPr>
          <w:color w:val="333333"/>
          <w:spacing w:val="-6"/>
          <w:w w:val="110"/>
        </w:rPr>
        <w:t xml:space="preserve">You </w:t>
      </w:r>
      <w:r>
        <w:rPr>
          <w:color w:val="333333"/>
          <w:w w:val="110"/>
        </w:rPr>
        <w:t xml:space="preserve">might also want to register custom status mappings if you access the health endpoint over </w:t>
      </w:r>
      <w:r>
        <w:rPr>
          <w:color w:val="333333"/>
          <w:spacing w:val="-6"/>
          <w:w w:val="110"/>
        </w:rPr>
        <w:t xml:space="preserve">HTTP. </w:t>
      </w:r>
      <w:r>
        <w:rPr>
          <w:color w:val="333333"/>
          <w:w w:val="110"/>
        </w:rPr>
        <w:t xml:space="preserve">Configuring a custom mapping disables the defaults mappings for </w:t>
      </w:r>
      <w:r>
        <w:rPr>
          <w:rFonts w:ascii="MS Gothic"/>
          <w:color w:val="B02045"/>
          <w:w w:val="110"/>
        </w:rPr>
        <w:t xml:space="preserve">DOWN </w:t>
      </w:r>
      <w:r>
        <w:rPr>
          <w:color w:val="333333"/>
          <w:w w:val="110"/>
        </w:rPr>
        <w:t xml:space="preserve">and </w:t>
      </w:r>
      <w:r>
        <w:rPr>
          <w:rFonts w:ascii="MS Gothic"/>
          <w:color w:val="B02045"/>
          <w:w w:val="110"/>
        </w:rPr>
        <w:t>OUT_OF_SERVICE</w:t>
      </w:r>
      <w:r>
        <w:rPr>
          <w:color w:val="333333"/>
          <w:w w:val="110"/>
        </w:rPr>
        <w:t xml:space="preserve">. If you want to retain the default mappings they must be configured explicitly alongside any custom mappings. </w:t>
      </w:r>
      <w:r>
        <w:rPr>
          <w:color w:val="333333"/>
          <w:spacing w:val="-4"/>
          <w:w w:val="110"/>
        </w:rPr>
        <w:t xml:space="preserve">For </w:t>
      </w:r>
      <w:r>
        <w:rPr>
          <w:color w:val="333333"/>
          <w:w w:val="110"/>
        </w:rPr>
        <w:t xml:space="preserve">example, the following property maps </w:t>
      </w:r>
      <w:r>
        <w:rPr>
          <w:rFonts w:ascii="MS Gothic"/>
          <w:color w:val="B02045"/>
          <w:w w:val="110"/>
        </w:rPr>
        <w:t xml:space="preserve">FATAL </w:t>
      </w:r>
      <w:r>
        <w:rPr>
          <w:color w:val="333333"/>
          <w:w w:val="110"/>
        </w:rPr>
        <w:t xml:space="preserve">to 503 (service unavailable) and retains the default mappings for </w:t>
      </w:r>
      <w:r>
        <w:rPr>
          <w:rFonts w:ascii="MS Gothic"/>
          <w:color w:val="B02045"/>
          <w:w w:val="110"/>
        </w:rPr>
        <w:t>DOWN</w:t>
      </w:r>
      <w:r>
        <w:rPr>
          <w:rFonts w:ascii="MS Gothic"/>
          <w:color w:val="B02045"/>
          <w:spacing w:val="-56"/>
          <w:w w:val="110"/>
        </w:rPr>
        <w:t xml:space="preserve"> </w:t>
      </w:r>
      <w:r>
        <w:rPr>
          <w:color w:val="333333"/>
          <w:w w:val="110"/>
        </w:rPr>
        <w:t xml:space="preserve">and </w:t>
      </w:r>
      <w:r>
        <w:rPr>
          <w:rFonts w:ascii="MS Gothic"/>
          <w:color w:val="B02045"/>
          <w:w w:val="110"/>
        </w:rPr>
        <w:t>OUT_OF_SERVICE</w:t>
      </w:r>
      <w:r>
        <w:rPr>
          <w:color w:val="333333"/>
          <w:w w:val="110"/>
        </w:rPr>
        <w:t>:</w:t>
      </w:r>
    </w:p>
    <w:p w14:paraId="504A4BA1" w14:textId="77777777" w:rsidR="00A720EB" w:rsidRDefault="00E10349">
      <w:pPr>
        <w:pStyle w:val="a3"/>
        <w:spacing w:before="9"/>
        <w:rPr>
          <w:sz w:val="12"/>
        </w:rPr>
      </w:pPr>
      <w:r>
        <w:pict w14:anchorId="7C346C0C">
          <v:group id="_x0000_s3261" style="position:absolute;margin-left:47.85pt;margin-top:9.45pt;width:499.55pt;height:67pt;z-index:-15249408;mso-wrap-distance-left:0;mso-wrap-distance-right:0;mso-position-horizontal-relative:page" coordorigin="957,189" coordsize="9991,1340">
            <v:shape id="_x0000_s3264" style="position:absolute;left:964;top:196;width:9976;height:1325" coordorigin="965,197" coordsize="9976,1325" path="m10861,197r-9816,l1014,203r-26,17l971,246r-6,31l965,1441r6,31l988,1498r26,17l1045,1521r9816,l10892,1515r25,-17l10935,1472r6,-31l10941,277r-6,-31l10917,220r-25,-17l10861,197xe" fillcolor="#f5f5f5" stroked="f">
              <v:path arrowok="t"/>
            </v:shape>
            <v:shape id="_x0000_s3263" style="position:absolute;left:964;top:196;width:9976;height:1325" coordorigin="965,197" coordsize="9976,1325" path="m1045,197r9816,l10892,203r25,17l10935,246r6,31l10941,1441r-6,31l10917,1498r-25,17l10861,1521r-9816,l1014,1515r-26,-17l971,1472r-6,-31l965,277r6,-31l988,220r26,-17l1045,197xe" filled="f" strokecolor="#ccc">
              <v:path arrowok="t"/>
            </v:shape>
            <v:shape id="_x0000_s3262" type="#_x0000_t202" style="position:absolute;left:984;top:212;width:9938;height:1294" filled="f" stroked="f">
              <v:textbox inset="0,0,0,0">
                <w:txbxContent>
                  <w:p w14:paraId="440AC7F0" w14:textId="77777777" w:rsidR="00711A16" w:rsidRDefault="00711A16">
                    <w:pPr>
                      <w:spacing w:before="221" w:line="252" w:lineRule="auto"/>
                      <w:ind w:left="200" w:right="2584"/>
                      <w:rPr>
                        <w:rFonts w:ascii="MS Gothic"/>
                      </w:rPr>
                    </w:pPr>
                    <w:proofErr w:type="gramStart"/>
                    <w:r>
                      <w:rPr>
                        <w:rFonts w:ascii="MS Gothic"/>
                        <w:color w:val="333333"/>
                      </w:rPr>
                      <w:t>management.endpoint</w:t>
                    </w:r>
                    <w:proofErr w:type="gramEnd"/>
                    <w:r>
                      <w:rPr>
                        <w:rFonts w:ascii="MS Gothic"/>
                        <w:color w:val="333333"/>
                      </w:rPr>
                      <w:t>.health.status.http-mapping.down=503 management.endpoint.health.status.http-mapping.fatal=503 management.endpoint.health.status.http-mapping.out-of-service=503</w:t>
                    </w:r>
                  </w:p>
                </w:txbxContent>
              </v:textbox>
            </v:shape>
            <w10:wrap type="topAndBottom" anchorx="page"/>
          </v:group>
        </w:pict>
      </w:r>
    </w:p>
    <w:p w14:paraId="4D444E02" w14:textId="77777777" w:rsidR="00A720EB" w:rsidRDefault="00A720EB">
      <w:pPr>
        <w:rPr>
          <w:sz w:val="12"/>
        </w:rPr>
        <w:sectPr w:rsidR="00A720EB">
          <w:pgSz w:w="11910" w:h="16840"/>
          <w:pgMar w:top="700" w:right="840" w:bottom="520" w:left="840" w:header="0" w:footer="323" w:gutter="0"/>
          <w:cols w:space="720"/>
        </w:sectPr>
      </w:pPr>
    </w:p>
    <w:p w14:paraId="5071797E" w14:textId="77777777" w:rsidR="00A720EB" w:rsidRDefault="00E10349">
      <w:pPr>
        <w:pStyle w:val="a3"/>
        <w:spacing w:before="78"/>
        <w:ind w:left="561"/>
      </w:pPr>
      <w:r>
        <w:lastRenderedPageBreak/>
        <w:pict w14:anchorId="02220797">
          <v:line id="_x0000_s3260" style="position:absolute;left:0;text-align:left;z-index:-41324544;mso-position-horizontal-relative:page" from="108.25pt,4.1pt" to="108.25pt,27.85pt" strokecolor="#ededed" strokeweight=".5pt">
            <w10:wrap anchorx="page"/>
          </v:line>
        </w:pict>
      </w:r>
      <w:r w:rsidR="0030286B">
        <w:rPr>
          <w:noProof/>
          <w:position w:val="-15"/>
        </w:rPr>
        <w:drawing>
          <wp:inline distT="0" distB="0" distL="0" distR="0" wp14:anchorId="6E89EFD0" wp14:editId="3CC1F51A">
            <wp:extent cx="209550" cy="304800"/>
            <wp:effectExtent l="0" t="0" r="0" b="0"/>
            <wp:docPr id="59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9.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If you need more control, you can define your own </w:t>
      </w:r>
      <w:r w:rsidR="0030286B">
        <w:rPr>
          <w:rFonts w:ascii="MS Gothic"/>
          <w:color w:val="B02045"/>
          <w:w w:val="110"/>
        </w:rPr>
        <w:t>HttpCodeStatusMapper</w:t>
      </w:r>
      <w:r w:rsidR="0030286B">
        <w:rPr>
          <w:rFonts w:ascii="MS Gothic"/>
          <w:color w:val="B02045"/>
          <w:spacing w:val="-80"/>
          <w:w w:val="110"/>
        </w:rPr>
        <w:t xml:space="preserve"> </w:t>
      </w:r>
      <w:r w:rsidR="0030286B">
        <w:rPr>
          <w:color w:val="333333"/>
          <w:w w:val="110"/>
        </w:rPr>
        <w:t>bean.</w:t>
      </w:r>
    </w:p>
    <w:p w14:paraId="2C4EBDA7" w14:textId="77777777" w:rsidR="00A720EB" w:rsidRDefault="0030286B">
      <w:pPr>
        <w:pStyle w:val="a3"/>
        <w:spacing w:before="279"/>
        <w:ind w:left="124"/>
        <w:jc w:val="both"/>
      </w:pPr>
      <w:r>
        <w:rPr>
          <w:color w:val="333333"/>
          <w:w w:val="110"/>
        </w:rPr>
        <w:t>The following table shows the default status mappings for the built-in statuses:</w:t>
      </w:r>
    </w:p>
    <w:p w14:paraId="63CE7234"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7482"/>
      </w:tblGrid>
      <w:tr w:rsidR="00A720EB" w14:paraId="11140C16" w14:textId="77777777">
        <w:trPr>
          <w:trHeight w:val="415"/>
        </w:trPr>
        <w:tc>
          <w:tcPr>
            <w:tcW w:w="2494" w:type="dxa"/>
            <w:tcBorders>
              <w:bottom w:val="single" w:sz="12" w:space="0" w:color="DDDDDD"/>
            </w:tcBorders>
          </w:tcPr>
          <w:p w14:paraId="02001A1F" w14:textId="77777777" w:rsidR="00A720EB" w:rsidRDefault="0030286B">
            <w:pPr>
              <w:pStyle w:val="TableParagraph"/>
              <w:spacing w:before="74"/>
              <w:rPr>
                <w:rFonts w:ascii="Palatino Linotype"/>
                <w:b/>
                <w:sz w:val="21"/>
              </w:rPr>
            </w:pPr>
            <w:r>
              <w:rPr>
                <w:rFonts w:ascii="Palatino Linotype"/>
                <w:b/>
                <w:color w:val="333333"/>
                <w:w w:val="110"/>
                <w:sz w:val="21"/>
              </w:rPr>
              <w:t>Status</w:t>
            </w:r>
          </w:p>
        </w:tc>
        <w:tc>
          <w:tcPr>
            <w:tcW w:w="7482" w:type="dxa"/>
            <w:tcBorders>
              <w:bottom w:val="single" w:sz="12" w:space="0" w:color="DDDDDD"/>
            </w:tcBorders>
          </w:tcPr>
          <w:p w14:paraId="58F6D9F2" w14:textId="77777777" w:rsidR="00A720EB" w:rsidRDefault="0030286B">
            <w:pPr>
              <w:pStyle w:val="TableParagraph"/>
              <w:spacing w:before="74"/>
              <w:rPr>
                <w:rFonts w:ascii="Palatino Linotype"/>
                <w:b/>
                <w:sz w:val="21"/>
              </w:rPr>
            </w:pPr>
            <w:r>
              <w:rPr>
                <w:rFonts w:ascii="Palatino Linotype"/>
                <w:b/>
                <w:color w:val="333333"/>
                <w:w w:val="105"/>
                <w:sz w:val="21"/>
              </w:rPr>
              <w:t>Mapping</w:t>
            </w:r>
          </w:p>
        </w:tc>
      </w:tr>
      <w:tr w:rsidR="00A720EB" w14:paraId="7B7DA256" w14:textId="77777777">
        <w:trPr>
          <w:trHeight w:val="415"/>
        </w:trPr>
        <w:tc>
          <w:tcPr>
            <w:tcW w:w="2494" w:type="dxa"/>
            <w:tcBorders>
              <w:top w:val="single" w:sz="12" w:space="0" w:color="DDDDDD"/>
            </w:tcBorders>
          </w:tcPr>
          <w:p w14:paraId="49205313" w14:textId="77777777" w:rsidR="00A720EB" w:rsidRDefault="0030286B">
            <w:pPr>
              <w:pStyle w:val="TableParagraph"/>
              <w:spacing w:before="84"/>
              <w:rPr>
                <w:rFonts w:ascii="Cambria"/>
                <w:sz w:val="21"/>
              </w:rPr>
            </w:pPr>
            <w:r>
              <w:rPr>
                <w:rFonts w:ascii="Cambria"/>
                <w:color w:val="333333"/>
                <w:w w:val="110"/>
                <w:sz w:val="21"/>
              </w:rPr>
              <w:t>DOWN</w:t>
            </w:r>
          </w:p>
        </w:tc>
        <w:tc>
          <w:tcPr>
            <w:tcW w:w="7482" w:type="dxa"/>
            <w:tcBorders>
              <w:top w:val="single" w:sz="12" w:space="0" w:color="DDDDDD"/>
            </w:tcBorders>
          </w:tcPr>
          <w:p w14:paraId="781FEABF" w14:textId="77777777" w:rsidR="00A720EB" w:rsidRDefault="0030286B">
            <w:pPr>
              <w:pStyle w:val="TableParagraph"/>
              <w:spacing w:before="84"/>
              <w:rPr>
                <w:rFonts w:ascii="Cambria"/>
                <w:sz w:val="21"/>
              </w:rPr>
            </w:pPr>
            <w:r>
              <w:rPr>
                <w:rFonts w:ascii="Cambria"/>
                <w:color w:val="333333"/>
                <w:w w:val="110"/>
                <w:sz w:val="21"/>
              </w:rPr>
              <w:t>SERVICE_UNAVAILABLE (503)</w:t>
            </w:r>
          </w:p>
        </w:tc>
      </w:tr>
      <w:tr w:rsidR="00A720EB" w14:paraId="3898C757" w14:textId="77777777">
        <w:trPr>
          <w:trHeight w:val="425"/>
        </w:trPr>
        <w:tc>
          <w:tcPr>
            <w:tcW w:w="2494" w:type="dxa"/>
          </w:tcPr>
          <w:p w14:paraId="1DC9AE50" w14:textId="77777777" w:rsidR="00A720EB" w:rsidRDefault="0030286B">
            <w:pPr>
              <w:pStyle w:val="TableParagraph"/>
              <w:spacing w:before="94"/>
              <w:rPr>
                <w:rFonts w:ascii="Cambria"/>
                <w:sz w:val="21"/>
              </w:rPr>
            </w:pPr>
            <w:r>
              <w:rPr>
                <w:rFonts w:ascii="Cambria"/>
                <w:color w:val="333333"/>
                <w:w w:val="110"/>
                <w:sz w:val="21"/>
              </w:rPr>
              <w:t>OUT_OF_SERVICE</w:t>
            </w:r>
          </w:p>
        </w:tc>
        <w:tc>
          <w:tcPr>
            <w:tcW w:w="7482" w:type="dxa"/>
          </w:tcPr>
          <w:p w14:paraId="5D30EA48" w14:textId="77777777" w:rsidR="00A720EB" w:rsidRDefault="0030286B">
            <w:pPr>
              <w:pStyle w:val="TableParagraph"/>
              <w:spacing w:before="94"/>
              <w:rPr>
                <w:rFonts w:ascii="Cambria"/>
                <w:sz w:val="21"/>
              </w:rPr>
            </w:pPr>
            <w:r>
              <w:rPr>
                <w:rFonts w:ascii="Cambria"/>
                <w:color w:val="333333"/>
                <w:w w:val="110"/>
                <w:sz w:val="21"/>
              </w:rPr>
              <w:t>SERVICE_UNAVAILABLE (503)</w:t>
            </w:r>
          </w:p>
        </w:tc>
      </w:tr>
      <w:tr w:rsidR="00A720EB" w14:paraId="33AC1BD0" w14:textId="77777777">
        <w:trPr>
          <w:trHeight w:val="425"/>
        </w:trPr>
        <w:tc>
          <w:tcPr>
            <w:tcW w:w="2494" w:type="dxa"/>
          </w:tcPr>
          <w:p w14:paraId="58241FC2" w14:textId="77777777" w:rsidR="00A720EB" w:rsidRDefault="0030286B">
            <w:pPr>
              <w:pStyle w:val="TableParagraph"/>
              <w:spacing w:before="94"/>
              <w:rPr>
                <w:rFonts w:ascii="Cambria"/>
                <w:sz w:val="21"/>
              </w:rPr>
            </w:pPr>
            <w:r>
              <w:rPr>
                <w:rFonts w:ascii="Cambria"/>
                <w:color w:val="333333"/>
                <w:w w:val="110"/>
                <w:sz w:val="21"/>
              </w:rPr>
              <w:t>UP</w:t>
            </w:r>
          </w:p>
        </w:tc>
        <w:tc>
          <w:tcPr>
            <w:tcW w:w="7482" w:type="dxa"/>
          </w:tcPr>
          <w:p w14:paraId="7CE3366E" w14:textId="77777777" w:rsidR="00A720EB" w:rsidRDefault="0030286B">
            <w:pPr>
              <w:pStyle w:val="TableParagraph"/>
              <w:spacing w:before="94"/>
              <w:rPr>
                <w:rFonts w:ascii="Cambria"/>
                <w:sz w:val="21"/>
              </w:rPr>
            </w:pPr>
            <w:r>
              <w:rPr>
                <w:rFonts w:ascii="Cambria"/>
                <w:color w:val="333333"/>
                <w:w w:val="110"/>
                <w:sz w:val="21"/>
              </w:rPr>
              <w:t>No mapping by default, so http status is 200</w:t>
            </w:r>
          </w:p>
        </w:tc>
      </w:tr>
      <w:tr w:rsidR="00A720EB" w14:paraId="0C6DDCC7" w14:textId="77777777">
        <w:trPr>
          <w:trHeight w:val="425"/>
        </w:trPr>
        <w:tc>
          <w:tcPr>
            <w:tcW w:w="2494" w:type="dxa"/>
          </w:tcPr>
          <w:p w14:paraId="6CB3CC28" w14:textId="77777777" w:rsidR="00A720EB" w:rsidRDefault="0030286B">
            <w:pPr>
              <w:pStyle w:val="TableParagraph"/>
              <w:spacing w:before="94"/>
              <w:rPr>
                <w:rFonts w:ascii="Cambria"/>
                <w:sz w:val="21"/>
              </w:rPr>
            </w:pPr>
            <w:r>
              <w:rPr>
                <w:rFonts w:ascii="Cambria"/>
                <w:color w:val="333333"/>
                <w:w w:val="110"/>
                <w:sz w:val="21"/>
              </w:rPr>
              <w:t>UNKNOWN</w:t>
            </w:r>
          </w:p>
        </w:tc>
        <w:tc>
          <w:tcPr>
            <w:tcW w:w="7482" w:type="dxa"/>
          </w:tcPr>
          <w:p w14:paraId="48AC1351" w14:textId="77777777" w:rsidR="00A720EB" w:rsidRDefault="0030286B">
            <w:pPr>
              <w:pStyle w:val="TableParagraph"/>
              <w:spacing w:before="94"/>
              <w:rPr>
                <w:rFonts w:ascii="Cambria"/>
                <w:sz w:val="21"/>
              </w:rPr>
            </w:pPr>
            <w:r>
              <w:rPr>
                <w:rFonts w:ascii="Cambria"/>
                <w:color w:val="333333"/>
                <w:w w:val="110"/>
                <w:sz w:val="21"/>
              </w:rPr>
              <w:t>No mapping by default, so http status is 200</w:t>
            </w:r>
          </w:p>
        </w:tc>
      </w:tr>
    </w:tbl>
    <w:p w14:paraId="6DBB634E" w14:textId="77777777" w:rsidR="00A720EB" w:rsidRDefault="00A720EB">
      <w:pPr>
        <w:pStyle w:val="a3"/>
        <w:spacing w:before="6"/>
        <w:rPr>
          <w:sz w:val="28"/>
        </w:rPr>
      </w:pPr>
    </w:p>
    <w:p w14:paraId="48DD9D33" w14:textId="77777777" w:rsidR="00A720EB" w:rsidRDefault="0030286B">
      <w:pPr>
        <w:pStyle w:val="4"/>
      </w:pPr>
      <w:bookmarkStart w:id="579" w:name="Reactive_Health_Indicators"/>
      <w:bookmarkEnd w:id="579"/>
      <w:r>
        <w:rPr>
          <w:color w:val="333333"/>
          <w:w w:val="110"/>
        </w:rPr>
        <w:t>Reactive Health Indicators</w:t>
      </w:r>
    </w:p>
    <w:p w14:paraId="78E47CB9" w14:textId="77777777" w:rsidR="00A720EB" w:rsidRDefault="0030286B">
      <w:pPr>
        <w:pStyle w:val="a3"/>
        <w:spacing w:before="244" w:line="283" w:lineRule="auto"/>
        <w:ind w:left="124" w:right="122"/>
        <w:jc w:val="both"/>
      </w:pPr>
      <w:r>
        <w:rPr>
          <w:color w:val="333333"/>
          <w:spacing w:val="-4"/>
          <w:w w:val="110"/>
        </w:rPr>
        <w:t xml:space="preserve">For </w:t>
      </w:r>
      <w:r>
        <w:rPr>
          <w:color w:val="333333"/>
          <w:w w:val="110"/>
        </w:rPr>
        <w:t xml:space="preserve">reactive applications, such as those using Spring </w:t>
      </w:r>
      <w:r>
        <w:rPr>
          <w:color w:val="333333"/>
          <w:spacing w:val="-3"/>
          <w:w w:val="110"/>
        </w:rPr>
        <w:t xml:space="preserve">WebFlux, </w:t>
      </w:r>
      <w:r>
        <w:rPr>
          <w:rFonts w:ascii="MS Gothic"/>
          <w:color w:val="B02045"/>
          <w:w w:val="110"/>
        </w:rPr>
        <w:t>ReactiveHealthContributor</w:t>
      </w:r>
      <w:r>
        <w:rPr>
          <w:rFonts w:ascii="MS Gothic"/>
          <w:color w:val="B02045"/>
          <w:spacing w:val="-45"/>
          <w:w w:val="110"/>
        </w:rPr>
        <w:t xml:space="preserve"> </w:t>
      </w:r>
      <w:r>
        <w:rPr>
          <w:color w:val="333333"/>
          <w:w w:val="110"/>
        </w:rPr>
        <w:t xml:space="preserve">provides a non-blocking contract for getting application health. Similar to a traditional </w:t>
      </w:r>
      <w:r>
        <w:rPr>
          <w:rFonts w:ascii="MS Gothic"/>
          <w:color w:val="B02045"/>
          <w:w w:val="110"/>
        </w:rPr>
        <w:t>HealthContributor</w:t>
      </w:r>
      <w:r>
        <w:rPr>
          <w:color w:val="333333"/>
          <w:w w:val="110"/>
        </w:rPr>
        <w:t>, health</w:t>
      </w:r>
      <w:r>
        <w:rPr>
          <w:color w:val="333333"/>
          <w:spacing w:val="-14"/>
          <w:w w:val="110"/>
        </w:rPr>
        <w:t xml:space="preserve"> </w:t>
      </w:r>
      <w:r>
        <w:rPr>
          <w:color w:val="333333"/>
          <w:w w:val="110"/>
        </w:rPr>
        <w:t>information</w:t>
      </w:r>
      <w:r>
        <w:rPr>
          <w:color w:val="333333"/>
          <w:spacing w:val="-13"/>
          <w:w w:val="110"/>
        </w:rPr>
        <w:t xml:space="preserve"> </w:t>
      </w:r>
      <w:r>
        <w:rPr>
          <w:color w:val="333333"/>
          <w:w w:val="110"/>
        </w:rPr>
        <w:t>is</w:t>
      </w:r>
      <w:r>
        <w:rPr>
          <w:color w:val="333333"/>
          <w:spacing w:val="-13"/>
          <w:w w:val="110"/>
        </w:rPr>
        <w:t xml:space="preserve"> </w:t>
      </w:r>
      <w:r>
        <w:rPr>
          <w:color w:val="333333"/>
          <w:w w:val="110"/>
        </w:rPr>
        <w:t>collected</w:t>
      </w:r>
      <w:r>
        <w:rPr>
          <w:color w:val="333333"/>
          <w:spacing w:val="-14"/>
          <w:w w:val="110"/>
        </w:rPr>
        <w:t xml:space="preserve"> </w:t>
      </w:r>
      <w:r>
        <w:rPr>
          <w:color w:val="333333"/>
          <w:w w:val="110"/>
        </w:rPr>
        <w:t>from</w:t>
      </w:r>
      <w:r>
        <w:rPr>
          <w:color w:val="333333"/>
          <w:spacing w:val="-13"/>
          <w:w w:val="110"/>
        </w:rPr>
        <w:t xml:space="preserve"> </w:t>
      </w:r>
      <w:r>
        <w:rPr>
          <w:color w:val="333333"/>
          <w:w w:val="110"/>
        </w:rPr>
        <w:t>the</w:t>
      </w:r>
      <w:r>
        <w:rPr>
          <w:color w:val="333333"/>
          <w:spacing w:val="-13"/>
          <w:w w:val="110"/>
        </w:rPr>
        <w:t xml:space="preserve"> </w:t>
      </w:r>
      <w:r>
        <w:rPr>
          <w:color w:val="333333"/>
          <w:w w:val="110"/>
        </w:rPr>
        <w:t>content</w:t>
      </w:r>
      <w:r>
        <w:rPr>
          <w:color w:val="333333"/>
          <w:spacing w:val="-14"/>
          <w:w w:val="110"/>
        </w:rPr>
        <w:t xml:space="preserve"> </w:t>
      </w:r>
      <w:r>
        <w:rPr>
          <w:color w:val="333333"/>
          <w:w w:val="110"/>
        </w:rPr>
        <w:t>of</w:t>
      </w:r>
      <w:r>
        <w:rPr>
          <w:color w:val="333333"/>
          <w:spacing w:val="-13"/>
          <w:w w:val="110"/>
        </w:rPr>
        <w:t xml:space="preserve"> </w:t>
      </w:r>
      <w:r>
        <w:rPr>
          <w:color w:val="333333"/>
          <w:w w:val="110"/>
        </w:rPr>
        <w:t>a</w:t>
      </w:r>
      <w:r>
        <w:rPr>
          <w:color w:val="333333"/>
          <w:spacing w:val="-10"/>
          <w:w w:val="110"/>
        </w:rPr>
        <w:t xml:space="preserve"> </w:t>
      </w:r>
      <w:hyperlink r:id="rId447">
        <w:r>
          <w:rPr>
            <w:rFonts w:ascii="MS Gothic"/>
            <w:color w:val="B02045"/>
            <w:w w:val="110"/>
          </w:rPr>
          <w:t>ReactiveHealthContributorRegistry</w:t>
        </w:r>
        <w:r>
          <w:rPr>
            <w:rFonts w:ascii="MS Gothic"/>
            <w:color w:val="B02045"/>
            <w:spacing w:val="-79"/>
            <w:w w:val="110"/>
          </w:rPr>
          <w:t xml:space="preserve"> </w:t>
        </w:r>
      </w:hyperlink>
      <w:r>
        <w:rPr>
          <w:color w:val="333333"/>
          <w:w w:val="110"/>
        </w:rPr>
        <w:t>(by</w:t>
      </w:r>
      <w:r>
        <w:rPr>
          <w:color w:val="333333"/>
          <w:spacing w:val="-13"/>
          <w:w w:val="110"/>
        </w:rPr>
        <w:t xml:space="preserve"> </w:t>
      </w:r>
      <w:r>
        <w:rPr>
          <w:color w:val="333333"/>
          <w:w w:val="110"/>
        </w:rPr>
        <w:t xml:space="preserve">default </w:t>
      </w:r>
      <w:r>
        <w:rPr>
          <w:color w:val="333333"/>
          <w:w w:val="105"/>
        </w:rPr>
        <w:t xml:space="preserve">all </w:t>
      </w:r>
      <w:hyperlink r:id="rId448">
        <w:r>
          <w:rPr>
            <w:rFonts w:ascii="MS Gothic"/>
            <w:color w:val="B02045"/>
            <w:w w:val="105"/>
          </w:rPr>
          <w:t xml:space="preserve">HealthContributor </w:t>
        </w:r>
      </w:hyperlink>
      <w:r>
        <w:rPr>
          <w:color w:val="333333"/>
          <w:w w:val="105"/>
        </w:rPr>
        <w:t xml:space="preserve">and </w:t>
      </w:r>
      <w:hyperlink r:id="rId449">
        <w:r>
          <w:rPr>
            <w:rFonts w:ascii="MS Gothic"/>
            <w:color w:val="B02045"/>
            <w:w w:val="105"/>
          </w:rPr>
          <w:t>ReactiveHealthContributor</w:t>
        </w:r>
        <w:r>
          <w:rPr>
            <w:rFonts w:ascii="MS Gothic"/>
            <w:color w:val="B02045"/>
            <w:spacing w:val="-94"/>
            <w:w w:val="105"/>
          </w:rPr>
          <w:t xml:space="preserve"> </w:t>
        </w:r>
      </w:hyperlink>
      <w:r>
        <w:rPr>
          <w:color w:val="333333"/>
          <w:w w:val="105"/>
        </w:rPr>
        <w:t xml:space="preserve">instances defined in your </w:t>
      </w:r>
      <w:r>
        <w:rPr>
          <w:rFonts w:ascii="MS Gothic"/>
          <w:color w:val="B02045"/>
          <w:w w:val="105"/>
        </w:rPr>
        <w:t>ApplicationContext</w:t>
      </w:r>
      <w:r>
        <w:rPr>
          <w:color w:val="333333"/>
          <w:w w:val="105"/>
        </w:rPr>
        <w:t xml:space="preserve">). </w:t>
      </w:r>
      <w:r>
        <w:rPr>
          <w:color w:val="333333"/>
          <w:w w:val="110"/>
        </w:rPr>
        <w:t xml:space="preserve">Regular </w:t>
      </w:r>
      <w:r>
        <w:rPr>
          <w:rFonts w:ascii="MS Gothic"/>
          <w:color w:val="B02045"/>
          <w:w w:val="110"/>
        </w:rPr>
        <w:t xml:space="preserve">HealthContributors </w:t>
      </w:r>
      <w:r>
        <w:rPr>
          <w:color w:val="333333"/>
          <w:w w:val="110"/>
        </w:rPr>
        <w:t>that do not check against a reactive API are executed on the elastic scheduler.</w:t>
      </w:r>
    </w:p>
    <w:p w14:paraId="7091C52F" w14:textId="77777777" w:rsidR="00A720EB" w:rsidRDefault="00A720EB">
      <w:pPr>
        <w:pStyle w:val="a3"/>
        <w:spacing w:before="9"/>
        <w:rPr>
          <w:sz w:val="18"/>
        </w:rPr>
      </w:pPr>
    </w:p>
    <w:p w14:paraId="23467F35" w14:textId="77777777" w:rsidR="00A720EB" w:rsidRDefault="00E10349">
      <w:pPr>
        <w:pStyle w:val="a3"/>
        <w:tabs>
          <w:tab w:val="left" w:pos="2881"/>
          <w:tab w:val="left" w:pos="5296"/>
          <w:tab w:val="left" w:pos="6245"/>
          <w:tab w:val="left" w:pos="7498"/>
          <w:tab w:val="left" w:pos="8597"/>
          <w:tab w:val="left" w:pos="9315"/>
        </w:tabs>
        <w:spacing w:before="116" w:line="290" w:lineRule="auto"/>
        <w:ind w:left="1564" w:right="365"/>
        <w:jc w:val="both"/>
      </w:pPr>
      <w:r>
        <w:pict w14:anchorId="77E4BEA2">
          <v:line id="_x0000_s3259" style="position:absolute;left:0;text-align:left;z-index:16210432;mso-position-horizontal-relative:page" from="108.25pt,.35pt" to="108.25pt,71.45pt" strokecolor="#ededed" strokeweight=".5pt">
            <w10:wrap anchorx="page"/>
          </v:line>
        </w:pict>
      </w:r>
      <w:r w:rsidR="0030286B">
        <w:rPr>
          <w:noProof/>
        </w:rPr>
        <w:drawing>
          <wp:anchor distT="0" distB="0" distL="0" distR="0" simplePos="0" relativeHeight="16210944" behindDoc="0" locked="0" layoutInCell="1" allowOverlap="1" wp14:anchorId="1D72450A" wp14:editId="43CF5199">
            <wp:simplePos x="0" y="0"/>
            <wp:positionH relativeFrom="page">
              <wp:posOffset>888949</wp:posOffset>
            </wp:positionH>
            <wp:positionV relativeFrom="paragraph">
              <wp:posOffset>303479</wp:posOffset>
            </wp:positionV>
            <wp:extent cx="209550" cy="304800"/>
            <wp:effectExtent l="0" t="0" r="0" b="0"/>
            <wp:wrapNone/>
            <wp:docPr id="59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In</w:t>
      </w:r>
      <w:r w:rsidR="0030286B">
        <w:rPr>
          <w:color w:val="333333"/>
          <w:spacing w:val="-23"/>
          <w:w w:val="110"/>
        </w:rPr>
        <w:t xml:space="preserve"> </w:t>
      </w:r>
      <w:r w:rsidR="0030286B">
        <w:rPr>
          <w:color w:val="333333"/>
          <w:w w:val="110"/>
        </w:rPr>
        <w:t>a</w:t>
      </w:r>
      <w:r w:rsidR="0030286B">
        <w:rPr>
          <w:color w:val="333333"/>
          <w:spacing w:val="-23"/>
          <w:w w:val="110"/>
        </w:rPr>
        <w:t xml:space="preserve"> </w:t>
      </w:r>
      <w:r w:rsidR="0030286B">
        <w:rPr>
          <w:color w:val="333333"/>
          <w:w w:val="110"/>
        </w:rPr>
        <w:t>reactive</w:t>
      </w:r>
      <w:r w:rsidR="0030286B">
        <w:rPr>
          <w:color w:val="333333"/>
          <w:spacing w:val="-22"/>
          <w:w w:val="110"/>
        </w:rPr>
        <w:t xml:space="preserve"> </w:t>
      </w:r>
      <w:r w:rsidR="0030286B">
        <w:rPr>
          <w:color w:val="333333"/>
          <w:w w:val="110"/>
        </w:rPr>
        <w:t>application,</w:t>
      </w:r>
      <w:r w:rsidR="0030286B">
        <w:rPr>
          <w:color w:val="333333"/>
          <w:spacing w:val="-23"/>
          <w:w w:val="110"/>
        </w:rPr>
        <w:t xml:space="preserve"> </w:t>
      </w:r>
      <w:r w:rsidR="0030286B">
        <w:rPr>
          <w:color w:val="333333"/>
          <w:w w:val="110"/>
        </w:rPr>
        <w:t>The</w:t>
      </w:r>
      <w:r w:rsidR="0030286B">
        <w:rPr>
          <w:color w:val="333333"/>
          <w:spacing w:val="-20"/>
          <w:w w:val="110"/>
        </w:rPr>
        <w:t xml:space="preserve"> </w:t>
      </w:r>
      <w:r w:rsidR="0030286B">
        <w:rPr>
          <w:rFonts w:ascii="MS Gothic"/>
          <w:color w:val="B02045"/>
          <w:w w:val="110"/>
        </w:rPr>
        <w:t>ReactiveHealthContributorRegistry</w:t>
      </w:r>
      <w:r w:rsidR="0030286B">
        <w:rPr>
          <w:rFonts w:ascii="MS Gothic"/>
          <w:color w:val="B02045"/>
          <w:spacing w:val="-87"/>
          <w:w w:val="110"/>
        </w:rPr>
        <w:t xml:space="preserve"> </w:t>
      </w:r>
      <w:r w:rsidR="0030286B">
        <w:rPr>
          <w:color w:val="333333"/>
          <w:w w:val="110"/>
        </w:rPr>
        <w:t>should</w:t>
      </w:r>
      <w:r w:rsidR="0030286B">
        <w:rPr>
          <w:color w:val="333333"/>
          <w:spacing w:val="-22"/>
          <w:w w:val="110"/>
        </w:rPr>
        <w:t xml:space="preserve"> </w:t>
      </w:r>
      <w:r w:rsidR="0030286B">
        <w:rPr>
          <w:color w:val="333333"/>
          <w:w w:val="110"/>
        </w:rPr>
        <w:t>be</w:t>
      </w:r>
      <w:r w:rsidR="0030286B">
        <w:rPr>
          <w:color w:val="333333"/>
          <w:spacing w:val="-23"/>
          <w:w w:val="110"/>
        </w:rPr>
        <w:t xml:space="preserve"> </w:t>
      </w:r>
      <w:r w:rsidR="0030286B">
        <w:rPr>
          <w:color w:val="333333"/>
          <w:w w:val="110"/>
        </w:rPr>
        <w:t>used</w:t>
      </w:r>
      <w:r w:rsidR="0030286B">
        <w:rPr>
          <w:color w:val="333333"/>
          <w:spacing w:val="-23"/>
          <w:w w:val="110"/>
        </w:rPr>
        <w:t xml:space="preserve"> </w:t>
      </w:r>
      <w:r w:rsidR="0030286B">
        <w:rPr>
          <w:color w:val="333333"/>
          <w:w w:val="110"/>
        </w:rPr>
        <w:t xml:space="preserve">to register and unregister health indicators at runtime. If you need to register </w:t>
      </w:r>
      <w:proofErr w:type="gramStart"/>
      <w:r w:rsidR="0030286B">
        <w:rPr>
          <w:color w:val="333333"/>
          <w:w w:val="110"/>
        </w:rPr>
        <w:t>a  regular</w:t>
      </w:r>
      <w:proofErr w:type="gramEnd"/>
      <w:r w:rsidR="0030286B">
        <w:rPr>
          <w:color w:val="333333"/>
          <w:w w:val="110"/>
        </w:rPr>
        <w:tab/>
      </w:r>
      <w:r w:rsidR="0030286B">
        <w:rPr>
          <w:rFonts w:ascii="MS Gothic"/>
          <w:color w:val="B02045"/>
          <w:w w:val="105"/>
        </w:rPr>
        <w:t>HealthContributor</w:t>
      </w:r>
      <w:r w:rsidR="0030286B">
        <w:rPr>
          <w:color w:val="333333"/>
          <w:w w:val="105"/>
        </w:rPr>
        <w:t>,</w:t>
      </w:r>
      <w:r w:rsidR="0030286B">
        <w:rPr>
          <w:color w:val="333333"/>
          <w:w w:val="105"/>
        </w:rPr>
        <w:tab/>
      </w:r>
      <w:r w:rsidR="0030286B">
        <w:rPr>
          <w:color w:val="333333"/>
          <w:w w:val="110"/>
        </w:rPr>
        <w:t>you</w:t>
      </w:r>
      <w:r w:rsidR="0030286B">
        <w:rPr>
          <w:color w:val="333333"/>
          <w:w w:val="110"/>
        </w:rPr>
        <w:tab/>
        <w:t>should</w:t>
      </w:r>
      <w:r w:rsidR="0030286B">
        <w:rPr>
          <w:color w:val="333333"/>
          <w:w w:val="110"/>
        </w:rPr>
        <w:tab/>
        <w:t>wrap</w:t>
      </w:r>
      <w:r w:rsidR="0030286B">
        <w:rPr>
          <w:color w:val="333333"/>
          <w:w w:val="110"/>
        </w:rPr>
        <w:tab/>
        <w:t>it</w:t>
      </w:r>
      <w:r w:rsidR="0030286B">
        <w:rPr>
          <w:color w:val="333333"/>
          <w:w w:val="110"/>
        </w:rPr>
        <w:tab/>
      </w:r>
      <w:r w:rsidR="0030286B">
        <w:rPr>
          <w:color w:val="333333"/>
          <w:spacing w:val="-4"/>
          <w:w w:val="110"/>
        </w:rPr>
        <w:t xml:space="preserve">using </w:t>
      </w:r>
      <w:r w:rsidR="0030286B">
        <w:rPr>
          <w:rFonts w:ascii="MS Gothic"/>
          <w:color w:val="B02045"/>
          <w:w w:val="110"/>
        </w:rPr>
        <w:t>ReactiveHealthContributor#adapt</w:t>
      </w:r>
      <w:r w:rsidR="0030286B">
        <w:rPr>
          <w:color w:val="333333"/>
          <w:w w:val="110"/>
        </w:rPr>
        <w:t>.</w:t>
      </w:r>
    </w:p>
    <w:p w14:paraId="628AD3B7" w14:textId="77777777" w:rsidR="00A720EB" w:rsidRDefault="00A720EB">
      <w:pPr>
        <w:pStyle w:val="a3"/>
        <w:spacing w:before="5"/>
        <w:rPr>
          <w:sz w:val="16"/>
        </w:rPr>
      </w:pPr>
    </w:p>
    <w:p w14:paraId="02E90DEB" w14:textId="77777777" w:rsidR="00A720EB" w:rsidRDefault="0030286B">
      <w:pPr>
        <w:pStyle w:val="a3"/>
        <w:spacing w:before="125" w:line="290" w:lineRule="auto"/>
        <w:ind w:left="124" w:right="126"/>
        <w:jc w:val="both"/>
      </w:pPr>
      <w:r>
        <w:rPr>
          <w:color w:val="333333"/>
          <w:spacing w:val="-4"/>
          <w:w w:val="110"/>
        </w:rPr>
        <w:t xml:space="preserve">To </w:t>
      </w:r>
      <w:r>
        <w:rPr>
          <w:color w:val="333333"/>
          <w:w w:val="110"/>
        </w:rPr>
        <w:t xml:space="preserve">provide custom health information from a reactive API, you can register Spring beans that implement the </w:t>
      </w:r>
      <w:hyperlink r:id="rId450">
        <w:r>
          <w:rPr>
            <w:rFonts w:ascii="MS Gothic"/>
            <w:color w:val="B02045"/>
            <w:w w:val="110"/>
          </w:rPr>
          <w:t>ReactiveHealthIndicator</w:t>
        </w:r>
      </w:hyperlink>
      <w:r>
        <w:rPr>
          <w:rFonts w:ascii="MS Gothic"/>
          <w:color w:val="B02045"/>
          <w:w w:val="110"/>
        </w:rPr>
        <w:t xml:space="preserve"> </w:t>
      </w:r>
      <w:r>
        <w:rPr>
          <w:color w:val="333333"/>
          <w:w w:val="110"/>
        </w:rPr>
        <w:t xml:space="preserve">interface. The following code shows a sample </w:t>
      </w:r>
      <w:r>
        <w:rPr>
          <w:rFonts w:ascii="MS Gothic"/>
          <w:color w:val="B02045"/>
          <w:w w:val="110"/>
        </w:rPr>
        <w:t>ReactiveHealthIndicator</w:t>
      </w:r>
      <w:r>
        <w:rPr>
          <w:rFonts w:ascii="MS Gothic"/>
          <w:color w:val="B02045"/>
          <w:spacing w:val="-64"/>
          <w:w w:val="110"/>
        </w:rPr>
        <w:t xml:space="preserve"> </w:t>
      </w:r>
      <w:r>
        <w:rPr>
          <w:color w:val="333333"/>
          <w:w w:val="110"/>
        </w:rPr>
        <w:t>implementation:</w:t>
      </w:r>
    </w:p>
    <w:p w14:paraId="41C79C34" w14:textId="77777777" w:rsidR="00A720EB" w:rsidRDefault="00E10349">
      <w:pPr>
        <w:pStyle w:val="a3"/>
        <w:spacing w:before="10"/>
        <w:rPr>
          <w:sz w:val="12"/>
        </w:rPr>
      </w:pPr>
      <w:r>
        <w:pict w14:anchorId="037A2092">
          <v:group id="_x0000_s3255" style="position:absolute;margin-left:47.85pt;margin-top:9.55pt;width:499.55pt;height:184.9pt;z-index:-15247872;mso-wrap-distance-left:0;mso-wrap-distance-right:0;mso-position-horizontal-relative:page" coordorigin="957,191" coordsize="9991,3698">
            <v:shape id="_x0000_s3258" style="position:absolute;left:964;top:198;width:9976;height:3683" coordorigin="965,199" coordsize="9976,3683" path="m10861,199r-9816,l1014,205r-26,17l971,247r-6,32l965,3801r6,32l988,3858r26,17l1045,3881r9816,l10892,3875r25,-17l10935,3833r6,-32l10941,279r-6,-32l10917,222r-25,-17l10861,199xe" fillcolor="#f5f5f5" stroked="f">
              <v:path arrowok="t"/>
            </v:shape>
            <v:shape id="_x0000_s3257" style="position:absolute;left:964;top:198;width:9976;height:3683" coordorigin="965,199" coordsize="9976,3683" path="m1045,199r9816,l10892,205r25,17l10935,247r6,32l10941,3801r-6,32l10917,3858r-25,17l10861,3881r-9816,l1014,3875r-26,-17l971,3833r-6,-32l965,279r6,-32l988,222r26,-17l1045,199xe" filled="f" strokecolor="#ccc">
              <v:path arrowok="t"/>
            </v:shape>
            <v:shape id="_x0000_s3256" type="#_x0000_t202" style="position:absolute;left:984;top:214;width:9938;height:3652" filled="f" stroked="f">
              <v:textbox inset="0,0,0,0">
                <w:txbxContent>
                  <w:p w14:paraId="13651EE9" w14:textId="77777777" w:rsidR="00711A16" w:rsidRDefault="00711A16">
                    <w:pPr>
                      <w:spacing w:before="221"/>
                      <w:ind w:left="200"/>
                      <w:rPr>
                        <w:rFonts w:ascii="MS Gothic"/>
                      </w:rPr>
                    </w:pPr>
                    <w:r>
                      <w:rPr>
                        <w:rFonts w:ascii="MS Gothic"/>
                        <w:color w:val="333333"/>
                      </w:rPr>
                      <w:t>@Component</w:t>
                    </w:r>
                  </w:p>
                  <w:p w14:paraId="295F8B04" w14:textId="77777777" w:rsidR="00711A16" w:rsidRDefault="00711A16">
                    <w:pPr>
                      <w:spacing w:before="13"/>
                      <w:ind w:left="200"/>
                      <w:rPr>
                        <w:rFonts w:ascii="MS Gothic"/>
                      </w:rPr>
                    </w:pPr>
                    <w:r>
                      <w:rPr>
                        <w:rFonts w:ascii="MS Gothic"/>
                        <w:color w:val="333333"/>
                      </w:rPr>
                      <w:t>public class MyReactiveHealthIndicator implements ReactiveHealthIndicator {</w:t>
                    </w:r>
                  </w:p>
                  <w:p w14:paraId="5164DF09" w14:textId="77777777" w:rsidR="00711A16" w:rsidRDefault="00711A16">
                    <w:pPr>
                      <w:rPr>
                        <w:rFonts w:ascii="MS Gothic"/>
                        <w:sz w:val="24"/>
                      </w:rPr>
                    </w:pPr>
                  </w:p>
                  <w:p w14:paraId="25CD3A28" w14:textId="77777777" w:rsidR="00711A16" w:rsidRDefault="00711A16">
                    <w:pPr>
                      <w:ind w:left="640"/>
                      <w:rPr>
                        <w:rFonts w:ascii="MS Gothic"/>
                      </w:rPr>
                    </w:pPr>
                    <w:r>
                      <w:rPr>
                        <w:rFonts w:ascii="MS Gothic"/>
                        <w:color w:val="333333"/>
                      </w:rPr>
                      <w:t>@Override</w:t>
                    </w:r>
                  </w:p>
                  <w:p w14:paraId="4D3CDADC" w14:textId="77777777" w:rsidR="00711A16" w:rsidRDefault="00711A16">
                    <w:pPr>
                      <w:spacing w:before="13"/>
                      <w:ind w:left="640"/>
                      <w:rPr>
                        <w:rFonts w:ascii="MS Gothic"/>
                      </w:rPr>
                    </w:pPr>
                    <w:r>
                      <w:rPr>
                        <w:rFonts w:ascii="MS Gothic"/>
                        <w:color w:val="333333"/>
                      </w:rPr>
                      <w:t xml:space="preserve">public Mono&lt;Health&gt; </w:t>
                    </w:r>
                    <w:proofErr w:type="gramStart"/>
                    <w:r>
                      <w:rPr>
                        <w:rFonts w:ascii="MS Gothic"/>
                        <w:color w:val="333333"/>
                      </w:rPr>
                      <w:t>health(</w:t>
                    </w:r>
                    <w:proofErr w:type="gramEnd"/>
                    <w:r>
                      <w:rPr>
                        <w:rFonts w:ascii="MS Gothic"/>
                        <w:color w:val="333333"/>
                      </w:rPr>
                      <w:t>) {</w:t>
                    </w:r>
                  </w:p>
                  <w:p w14:paraId="32A50AF5" w14:textId="77777777" w:rsidR="00711A16" w:rsidRDefault="00711A16">
                    <w:pPr>
                      <w:spacing w:before="13" w:line="252" w:lineRule="auto"/>
                      <w:ind w:left="200" w:right="698" w:firstLine="880"/>
                      <w:rPr>
                        <w:rFonts w:ascii="MS Gothic"/>
                      </w:rPr>
                    </w:pPr>
                    <w:r>
                      <w:rPr>
                        <w:rFonts w:ascii="MS Gothic"/>
                        <w:color w:val="333333"/>
                      </w:rPr>
                      <w:t xml:space="preserve">return </w:t>
                    </w:r>
                    <w:proofErr w:type="gramStart"/>
                    <w:r>
                      <w:rPr>
                        <w:rFonts w:ascii="MS Gothic"/>
                        <w:color w:val="333333"/>
                      </w:rPr>
                      <w:t>doHealthCheck(</w:t>
                    </w:r>
                    <w:proofErr w:type="gramEnd"/>
                    <w:r>
                      <w:rPr>
                        <w:rFonts w:ascii="MS Gothic"/>
                        <w:color w:val="333333"/>
                      </w:rPr>
                      <w:t>) //perform some specific health check that returns a Mono&lt;Health&gt;</w:t>
                    </w:r>
                  </w:p>
                  <w:p w14:paraId="00A2151A" w14:textId="77777777" w:rsidR="00711A16" w:rsidRDefault="00711A16">
                    <w:pPr>
                      <w:spacing w:line="280" w:lineRule="exact"/>
                      <w:ind w:left="1520"/>
                      <w:rPr>
                        <w:rFonts w:ascii="MS Gothic"/>
                      </w:rPr>
                    </w:pPr>
                    <w:proofErr w:type="gramStart"/>
                    <w:r>
                      <w:rPr>
                        <w:rFonts w:ascii="MS Gothic"/>
                        <w:color w:val="333333"/>
                      </w:rPr>
                      <w:t>.onErrorResume</w:t>
                    </w:r>
                    <w:proofErr w:type="gramEnd"/>
                    <w:r>
                      <w:rPr>
                        <w:rFonts w:ascii="MS Gothic"/>
                        <w:color w:val="333333"/>
                      </w:rPr>
                      <w:t>(ex -&gt; Mono.just(new Health.Builder().down(ex).build()));</w:t>
                    </w:r>
                  </w:p>
                  <w:p w14:paraId="65102D7B" w14:textId="77777777" w:rsidR="00711A16" w:rsidRDefault="00711A16">
                    <w:pPr>
                      <w:spacing w:before="13"/>
                      <w:ind w:left="640"/>
                      <w:rPr>
                        <w:rFonts w:ascii="MS Gothic"/>
                      </w:rPr>
                    </w:pPr>
                    <w:r>
                      <w:rPr>
                        <w:rFonts w:ascii="MS Gothic"/>
                        <w:color w:val="333333"/>
                      </w:rPr>
                      <w:t>}</w:t>
                    </w:r>
                  </w:p>
                  <w:p w14:paraId="38ADB9E0" w14:textId="77777777" w:rsidR="00711A16" w:rsidRDefault="00711A16">
                    <w:pPr>
                      <w:rPr>
                        <w:rFonts w:ascii="MS Gothic"/>
                        <w:sz w:val="24"/>
                      </w:rPr>
                    </w:pPr>
                  </w:p>
                  <w:p w14:paraId="7BC0A4C8" w14:textId="77777777" w:rsidR="00711A16" w:rsidRDefault="00711A16">
                    <w:pPr>
                      <w:ind w:left="200"/>
                      <w:rPr>
                        <w:rFonts w:ascii="MS Gothic"/>
                      </w:rPr>
                    </w:pPr>
                    <w:r>
                      <w:rPr>
                        <w:rFonts w:ascii="MS Gothic"/>
                        <w:color w:val="333333"/>
                      </w:rPr>
                      <w:t>}</w:t>
                    </w:r>
                  </w:p>
                </w:txbxContent>
              </v:textbox>
            </v:shape>
            <w10:wrap type="topAndBottom" anchorx="page"/>
          </v:group>
        </w:pict>
      </w:r>
    </w:p>
    <w:p w14:paraId="21C05AB3" w14:textId="77777777" w:rsidR="00A720EB" w:rsidRDefault="00A720EB">
      <w:pPr>
        <w:pStyle w:val="a3"/>
        <w:spacing w:before="10"/>
        <w:rPr>
          <w:sz w:val="16"/>
        </w:rPr>
      </w:pPr>
    </w:p>
    <w:p w14:paraId="6B644D68" w14:textId="77777777" w:rsidR="00A720EB" w:rsidRDefault="00E10349">
      <w:pPr>
        <w:pStyle w:val="a3"/>
        <w:tabs>
          <w:tab w:val="left" w:pos="2200"/>
          <w:tab w:val="left" w:pos="3284"/>
          <w:tab w:val="left" w:pos="3995"/>
          <w:tab w:val="left" w:pos="4918"/>
          <w:tab w:val="left" w:pos="6716"/>
          <w:tab w:val="left" w:pos="7970"/>
          <w:tab w:val="left" w:pos="9362"/>
        </w:tabs>
        <w:spacing w:before="125"/>
        <w:ind w:left="1564"/>
      </w:pPr>
      <w:r>
        <w:pict w14:anchorId="7F40272D">
          <v:line id="_x0000_s3254" style="position:absolute;left:0;text-align:left;z-index:16211456;mso-position-horizontal-relative:page" from="108.25pt,.25pt" to="108.25pt,39.8pt" strokecolor="#ededed" strokeweight=".5pt">
            <w10:wrap anchorx="page"/>
          </v:line>
        </w:pict>
      </w:r>
      <w:r w:rsidR="0030286B">
        <w:rPr>
          <w:noProof/>
        </w:rPr>
        <w:drawing>
          <wp:anchor distT="0" distB="0" distL="0" distR="0" simplePos="0" relativeHeight="16211968" behindDoc="0" locked="0" layoutInCell="1" allowOverlap="1" wp14:anchorId="5B2BD4A5" wp14:editId="3B899BFA">
            <wp:simplePos x="0" y="0"/>
            <wp:positionH relativeFrom="page">
              <wp:posOffset>888949</wp:posOffset>
            </wp:positionH>
            <wp:positionV relativeFrom="paragraph">
              <wp:posOffset>102146</wp:posOffset>
            </wp:positionV>
            <wp:extent cx="209550" cy="304800"/>
            <wp:effectExtent l="0" t="0" r="0" b="0"/>
            <wp:wrapNone/>
            <wp:docPr id="59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4"/>
          <w:w w:val="110"/>
        </w:rPr>
        <w:t>To</w:t>
      </w:r>
      <w:r w:rsidR="0030286B">
        <w:rPr>
          <w:color w:val="333333"/>
          <w:spacing w:val="-4"/>
          <w:w w:val="110"/>
        </w:rPr>
        <w:tab/>
      </w:r>
      <w:r w:rsidR="0030286B">
        <w:rPr>
          <w:color w:val="333333"/>
          <w:w w:val="110"/>
        </w:rPr>
        <w:t>handle</w:t>
      </w:r>
      <w:r w:rsidR="0030286B">
        <w:rPr>
          <w:color w:val="333333"/>
          <w:w w:val="110"/>
        </w:rPr>
        <w:tab/>
        <w:t>the</w:t>
      </w:r>
      <w:r w:rsidR="0030286B">
        <w:rPr>
          <w:color w:val="333333"/>
          <w:w w:val="110"/>
        </w:rPr>
        <w:tab/>
        <w:t>error</w:t>
      </w:r>
      <w:r w:rsidR="0030286B">
        <w:rPr>
          <w:color w:val="333333"/>
          <w:w w:val="110"/>
        </w:rPr>
        <w:tab/>
      </w:r>
      <w:r w:rsidR="0030286B">
        <w:rPr>
          <w:color w:val="333333"/>
          <w:spacing w:val="-3"/>
          <w:w w:val="110"/>
        </w:rPr>
        <w:t>automatically,</w:t>
      </w:r>
      <w:r w:rsidR="0030286B">
        <w:rPr>
          <w:color w:val="333333"/>
          <w:spacing w:val="-3"/>
          <w:w w:val="110"/>
        </w:rPr>
        <w:tab/>
      </w:r>
      <w:r w:rsidR="0030286B">
        <w:rPr>
          <w:color w:val="333333"/>
          <w:w w:val="110"/>
        </w:rPr>
        <w:t>consider</w:t>
      </w:r>
      <w:r w:rsidR="0030286B">
        <w:rPr>
          <w:color w:val="333333"/>
          <w:w w:val="110"/>
        </w:rPr>
        <w:tab/>
        <w:t>extending</w:t>
      </w:r>
      <w:r w:rsidR="0030286B">
        <w:rPr>
          <w:color w:val="333333"/>
          <w:w w:val="110"/>
        </w:rPr>
        <w:tab/>
        <w:t>from</w:t>
      </w:r>
    </w:p>
    <w:p w14:paraId="01FA7A75" w14:textId="77777777" w:rsidR="00A720EB" w:rsidRDefault="0030286B">
      <w:pPr>
        <w:pStyle w:val="a3"/>
        <w:spacing w:before="59"/>
        <w:ind w:left="1564"/>
      </w:pPr>
      <w:r>
        <w:rPr>
          <w:rFonts w:ascii="MS Gothic"/>
          <w:color w:val="B02045"/>
        </w:rPr>
        <w:t>AbstractReactiveHealthIndicator</w:t>
      </w:r>
      <w:r>
        <w:rPr>
          <w:color w:val="333333"/>
        </w:rPr>
        <w:t>.</w:t>
      </w:r>
    </w:p>
    <w:p w14:paraId="01388EBC" w14:textId="77777777" w:rsidR="00A720EB" w:rsidRDefault="00A720EB">
      <w:pPr>
        <w:sectPr w:rsidR="00A720EB">
          <w:pgSz w:w="11910" w:h="16840"/>
          <w:pgMar w:top="620" w:right="840" w:bottom="520" w:left="840" w:header="0" w:footer="323" w:gutter="0"/>
          <w:cols w:space="720"/>
        </w:sectPr>
      </w:pPr>
    </w:p>
    <w:p w14:paraId="71C86690" w14:textId="77777777" w:rsidR="00A720EB" w:rsidRDefault="0030286B">
      <w:pPr>
        <w:pStyle w:val="4"/>
        <w:spacing w:before="86"/>
      </w:pPr>
      <w:bookmarkStart w:id="580" w:name="Auto-configured_ReactiveHealthIndicators"/>
      <w:bookmarkEnd w:id="580"/>
      <w:r>
        <w:rPr>
          <w:color w:val="333333"/>
          <w:w w:val="110"/>
        </w:rPr>
        <w:lastRenderedPageBreak/>
        <w:t>Auto-configured ReactiveHealthIndicators</w:t>
      </w:r>
    </w:p>
    <w:p w14:paraId="30138FDA" w14:textId="77777777" w:rsidR="00A720EB" w:rsidRDefault="0030286B">
      <w:pPr>
        <w:pStyle w:val="a3"/>
        <w:spacing w:before="243"/>
        <w:ind w:left="124"/>
        <w:jc w:val="both"/>
      </w:pPr>
      <w:r>
        <w:rPr>
          <w:color w:val="333333"/>
          <w:w w:val="110"/>
        </w:rPr>
        <w:t xml:space="preserve">The following </w:t>
      </w:r>
      <w:r>
        <w:rPr>
          <w:rFonts w:ascii="MS Gothic"/>
          <w:color w:val="B02045"/>
          <w:w w:val="110"/>
        </w:rPr>
        <w:t>ReactiveHealthIndicators</w:t>
      </w:r>
      <w:r>
        <w:rPr>
          <w:rFonts w:ascii="MS Gothic"/>
          <w:color w:val="B02045"/>
          <w:spacing w:val="-72"/>
          <w:w w:val="110"/>
        </w:rPr>
        <w:t xml:space="preserve"> </w:t>
      </w:r>
      <w:r>
        <w:rPr>
          <w:color w:val="333333"/>
          <w:w w:val="110"/>
        </w:rPr>
        <w:t xml:space="preserve">are auto-configured </w:t>
      </w:r>
      <w:r>
        <w:rPr>
          <w:color w:val="333333"/>
          <w:spacing w:val="-3"/>
          <w:w w:val="110"/>
        </w:rPr>
        <w:t xml:space="preserve">by </w:t>
      </w:r>
      <w:r>
        <w:rPr>
          <w:color w:val="333333"/>
          <w:w w:val="110"/>
        </w:rPr>
        <w:t>Spring Boot when appropriate:</w:t>
      </w:r>
    </w:p>
    <w:p w14:paraId="79827A6E" w14:textId="77777777" w:rsidR="00A720EB" w:rsidRDefault="00A720EB">
      <w:pPr>
        <w:pStyle w:val="a3"/>
        <w:spacing w:before="6" w:after="1"/>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7981"/>
      </w:tblGrid>
      <w:tr w:rsidR="00A720EB" w14:paraId="687B6201" w14:textId="77777777">
        <w:trPr>
          <w:trHeight w:val="415"/>
        </w:trPr>
        <w:tc>
          <w:tcPr>
            <w:tcW w:w="1995" w:type="dxa"/>
            <w:tcBorders>
              <w:bottom w:val="single" w:sz="12" w:space="0" w:color="DDDDDD"/>
            </w:tcBorders>
          </w:tcPr>
          <w:p w14:paraId="1D9FBECE"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7981" w:type="dxa"/>
            <w:tcBorders>
              <w:bottom w:val="single" w:sz="12" w:space="0" w:color="DDDDDD"/>
            </w:tcBorders>
          </w:tcPr>
          <w:p w14:paraId="1467AD98"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039EC4CF" w14:textId="77777777">
        <w:trPr>
          <w:trHeight w:val="617"/>
        </w:trPr>
        <w:tc>
          <w:tcPr>
            <w:tcW w:w="1995" w:type="dxa"/>
            <w:tcBorders>
              <w:top w:val="single" w:sz="12" w:space="0" w:color="DDDDDD"/>
            </w:tcBorders>
          </w:tcPr>
          <w:p w14:paraId="606BACA2" w14:textId="77777777" w:rsidR="00A720EB" w:rsidRDefault="00E10349">
            <w:pPr>
              <w:pStyle w:val="TableParagraph"/>
              <w:spacing w:before="39" w:line="230" w:lineRule="auto"/>
              <w:ind w:right="15"/>
              <w:rPr>
                <w:sz w:val="21"/>
              </w:rPr>
            </w:pPr>
            <w:hyperlink r:id="rId451">
              <w:r w:rsidR="0030286B">
                <w:rPr>
                  <w:color w:val="B02045"/>
                  <w:sz w:val="21"/>
                </w:rPr>
                <w:t>CassandraReactiveH</w:t>
              </w:r>
            </w:hyperlink>
            <w:r w:rsidR="0030286B">
              <w:rPr>
                <w:color w:val="B02045"/>
                <w:sz w:val="21"/>
              </w:rPr>
              <w:t xml:space="preserve"> </w:t>
            </w:r>
            <w:hyperlink r:id="rId452">
              <w:r w:rsidR="0030286B">
                <w:rPr>
                  <w:color w:val="B02045"/>
                  <w:sz w:val="21"/>
                </w:rPr>
                <w:t>ealthIndicator</w:t>
              </w:r>
            </w:hyperlink>
          </w:p>
        </w:tc>
        <w:tc>
          <w:tcPr>
            <w:tcW w:w="7981" w:type="dxa"/>
            <w:tcBorders>
              <w:top w:val="single" w:sz="12" w:space="0" w:color="DDDDDD"/>
            </w:tcBorders>
          </w:tcPr>
          <w:p w14:paraId="1DCAAEC0" w14:textId="77777777" w:rsidR="00A720EB" w:rsidRDefault="0030286B">
            <w:pPr>
              <w:pStyle w:val="TableParagraph"/>
              <w:spacing w:before="84"/>
              <w:rPr>
                <w:rFonts w:ascii="Cambria"/>
                <w:sz w:val="21"/>
              </w:rPr>
            </w:pPr>
            <w:r>
              <w:rPr>
                <w:rFonts w:ascii="Cambria"/>
                <w:color w:val="333333"/>
                <w:w w:val="110"/>
                <w:sz w:val="21"/>
              </w:rPr>
              <w:t>Checks that a Cassandra database is up.</w:t>
            </w:r>
          </w:p>
        </w:tc>
      </w:tr>
      <w:tr w:rsidR="00A720EB" w14:paraId="3BD43235" w14:textId="77777777">
        <w:trPr>
          <w:trHeight w:val="627"/>
        </w:trPr>
        <w:tc>
          <w:tcPr>
            <w:tcW w:w="1995" w:type="dxa"/>
          </w:tcPr>
          <w:p w14:paraId="7CF0F07E" w14:textId="77777777" w:rsidR="00A720EB" w:rsidRDefault="00E10349">
            <w:pPr>
              <w:pStyle w:val="TableParagraph"/>
              <w:spacing w:before="49" w:line="230" w:lineRule="auto"/>
              <w:ind w:right="15"/>
              <w:rPr>
                <w:sz w:val="21"/>
              </w:rPr>
            </w:pPr>
            <w:hyperlink r:id="rId453">
              <w:r w:rsidR="0030286B">
                <w:rPr>
                  <w:color w:val="B02045"/>
                  <w:sz w:val="21"/>
                </w:rPr>
                <w:t>CouchbaseReactiveH</w:t>
              </w:r>
            </w:hyperlink>
            <w:r w:rsidR="0030286B">
              <w:rPr>
                <w:color w:val="B02045"/>
                <w:sz w:val="21"/>
              </w:rPr>
              <w:t xml:space="preserve"> </w:t>
            </w:r>
            <w:hyperlink r:id="rId454">
              <w:r w:rsidR="0030286B">
                <w:rPr>
                  <w:color w:val="B02045"/>
                  <w:sz w:val="21"/>
                </w:rPr>
                <w:t>ealthIndicator</w:t>
              </w:r>
            </w:hyperlink>
          </w:p>
        </w:tc>
        <w:tc>
          <w:tcPr>
            <w:tcW w:w="7981" w:type="dxa"/>
          </w:tcPr>
          <w:p w14:paraId="424713ED" w14:textId="77777777" w:rsidR="00A720EB" w:rsidRDefault="0030286B">
            <w:pPr>
              <w:pStyle w:val="TableParagraph"/>
              <w:spacing w:before="94"/>
              <w:rPr>
                <w:rFonts w:ascii="Cambria"/>
                <w:sz w:val="21"/>
              </w:rPr>
            </w:pPr>
            <w:r>
              <w:rPr>
                <w:rFonts w:ascii="Cambria"/>
                <w:color w:val="333333"/>
                <w:w w:val="110"/>
                <w:sz w:val="21"/>
              </w:rPr>
              <w:t>Checks that a Couchbase cluster is up.</w:t>
            </w:r>
          </w:p>
        </w:tc>
      </w:tr>
      <w:tr w:rsidR="00A720EB" w14:paraId="3077C199" w14:textId="77777777">
        <w:trPr>
          <w:trHeight w:val="627"/>
        </w:trPr>
        <w:tc>
          <w:tcPr>
            <w:tcW w:w="1995" w:type="dxa"/>
          </w:tcPr>
          <w:p w14:paraId="5696DD31" w14:textId="77777777" w:rsidR="00A720EB" w:rsidRDefault="00E10349">
            <w:pPr>
              <w:pStyle w:val="TableParagraph"/>
              <w:spacing w:before="49" w:line="230" w:lineRule="auto"/>
              <w:ind w:right="15"/>
              <w:rPr>
                <w:sz w:val="21"/>
              </w:rPr>
            </w:pPr>
            <w:hyperlink r:id="rId455">
              <w:r w:rsidR="0030286B">
                <w:rPr>
                  <w:color w:val="B02045"/>
                  <w:sz w:val="21"/>
                </w:rPr>
                <w:t>ElasticsearchReact</w:t>
              </w:r>
            </w:hyperlink>
            <w:r w:rsidR="0030286B">
              <w:rPr>
                <w:color w:val="B02045"/>
                <w:sz w:val="21"/>
              </w:rPr>
              <w:t xml:space="preserve"> </w:t>
            </w:r>
            <w:hyperlink r:id="rId456">
              <w:r w:rsidR="0030286B">
                <w:rPr>
                  <w:color w:val="B02045"/>
                  <w:sz w:val="21"/>
                </w:rPr>
                <w:t>iveHealthIndicator</w:t>
              </w:r>
            </w:hyperlink>
          </w:p>
        </w:tc>
        <w:tc>
          <w:tcPr>
            <w:tcW w:w="7981" w:type="dxa"/>
          </w:tcPr>
          <w:p w14:paraId="74B074A5" w14:textId="77777777" w:rsidR="00A720EB" w:rsidRDefault="0030286B">
            <w:pPr>
              <w:pStyle w:val="TableParagraph"/>
              <w:spacing w:before="94"/>
              <w:rPr>
                <w:rFonts w:ascii="Cambria"/>
                <w:sz w:val="21"/>
              </w:rPr>
            </w:pPr>
            <w:r>
              <w:rPr>
                <w:rFonts w:ascii="Cambria"/>
                <w:color w:val="333333"/>
                <w:w w:val="110"/>
                <w:sz w:val="21"/>
              </w:rPr>
              <w:t>Checks that an Elasticsearch cluster is up.</w:t>
            </w:r>
          </w:p>
        </w:tc>
      </w:tr>
      <w:tr w:rsidR="00A720EB" w14:paraId="3689F100" w14:textId="77777777">
        <w:trPr>
          <w:trHeight w:val="627"/>
        </w:trPr>
        <w:tc>
          <w:tcPr>
            <w:tcW w:w="1995" w:type="dxa"/>
          </w:tcPr>
          <w:p w14:paraId="7D4AD488" w14:textId="77777777" w:rsidR="00A720EB" w:rsidRDefault="00E10349">
            <w:pPr>
              <w:pStyle w:val="TableParagraph"/>
              <w:spacing w:before="49" w:line="230" w:lineRule="auto"/>
              <w:ind w:right="15"/>
              <w:rPr>
                <w:sz w:val="21"/>
              </w:rPr>
            </w:pPr>
            <w:hyperlink r:id="rId457">
              <w:r w:rsidR="0030286B">
                <w:rPr>
                  <w:color w:val="B02045"/>
                  <w:sz w:val="21"/>
                </w:rPr>
                <w:t>MongoReactiveHealt</w:t>
              </w:r>
            </w:hyperlink>
            <w:r w:rsidR="0030286B">
              <w:rPr>
                <w:color w:val="B02045"/>
                <w:sz w:val="21"/>
              </w:rPr>
              <w:t xml:space="preserve"> </w:t>
            </w:r>
            <w:hyperlink r:id="rId458">
              <w:r w:rsidR="0030286B">
                <w:rPr>
                  <w:color w:val="B02045"/>
                  <w:sz w:val="21"/>
                </w:rPr>
                <w:t>hIndicator</w:t>
              </w:r>
            </w:hyperlink>
          </w:p>
        </w:tc>
        <w:tc>
          <w:tcPr>
            <w:tcW w:w="7981" w:type="dxa"/>
          </w:tcPr>
          <w:p w14:paraId="3AC87053" w14:textId="77777777" w:rsidR="00A720EB" w:rsidRDefault="0030286B">
            <w:pPr>
              <w:pStyle w:val="TableParagraph"/>
              <w:spacing w:before="94"/>
              <w:rPr>
                <w:rFonts w:ascii="Cambria"/>
                <w:sz w:val="21"/>
              </w:rPr>
            </w:pPr>
            <w:r>
              <w:rPr>
                <w:rFonts w:ascii="Cambria"/>
                <w:color w:val="333333"/>
                <w:w w:val="110"/>
                <w:sz w:val="21"/>
              </w:rPr>
              <w:t>Checks that a Mongo database is up.</w:t>
            </w:r>
          </w:p>
        </w:tc>
      </w:tr>
      <w:tr w:rsidR="00A720EB" w14:paraId="1AC1F53B" w14:textId="77777777">
        <w:trPr>
          <w:trHeight w:val="627"/>
        </w:trPr>
        <w:tc>
          <w:tcPr>
            <w:tcW w:w="1995" w:type="dxa"/>
          </w:tcPr>
          <w:p w14:paraId="64EF6676" w14:textId="77777777" w:rsidR="00A720EB" w:rsidRDefault="00E10349">
            <w:pPr>
              <w:pStyle w:val="TableParagraph"/>
              <w:spacing w:before="49" w:line="230" w:lineRule="auto"/>
              <w:ind w:right="15"/>
              <w:rPr>
                <w:sz w:val="21"/>
              </w:rPr>
            </w:pPr>
            <w:hyperlink r:id="rId459">
              <w:r w:rsidR="0030286B">
                <w:rPr>
                  <w:color w:val="B02045"/>
                  <w:sz w:val="21"/>
                </w:rPr>
                <w:t>RedisReactiveHealt</w:t>
              </w:r>
            </w:hyperlink>
            <w:r w:rsidR="0030286B">
              <w:rPr>
                <w:color w:val="B02045"/>
                <w:sz w:val="21"/>
              </w:rPr>
              <w:t xml:space="preserve"> </w:t>
            </w:r>
            <w:hyperlink r:id="rId460">
              <w:r w:rsidR="0030286B">
                <w:rPr>
                  <w:color w:val="B02045"/>
                  <w:sz w:val="21"/>
                </w:rPr>
                <w:t>hIndicator</w:t>
              </w:r>
            </w:hyperlink>
          </w:p>
        </w:tc>
        <w:tc>
          <w:tcPr>
            <w:tcW w:w="7981" w:type="dxa"/>
          </w:tcPr>
          <w:p w14:paraId="4F3AB86C" w14:textId="77777777" w:rsidR="00A720EB" w:rsidRDefault="0030286B">
            <w:pPr>
              <w:pStyle w:val="TableParagraph"/>
              <w:spacing w:before="94"/>
              <w:rPr>
                <w:rFonts w:ascii="Cambria"/>
                <w:sz w:val="21"/>
              </w:rPr>
            </w:pPr>
            <w:r>
              <w:rPr>
                <w:rFonts w:ascii="Cambria"/>
                <w:color w:val="333333"/>
                <w:w w:val="110"/>
                <w:sz w:val="21"/>
              </w:rPr>
              <w:t>Checks that a Redis server is up.</w:t>
            </w:r>
          </w:p>
        </w:tc>
      </w:tr>
    </w:tbl>
    <w:p w14:paraId="1DE9A4CA" w14:textId="77777777" w:rsidR="00A720EB" w:rsidRDefault="00A720EB">
      <w:pPr>
        <w:pStyle w:val="a3"/>
        <w:spacing w:before="4"/>
        <w:rPr>
          <w:sz w:val="29"/>
        </w:rPr>
      </w:pPr>
    </w:p>
    <w:p w14:paraId="27639062" w14:textId="77777777" w:rsidR="00A720EB" w:rsidRDefault="00E10349">
      <w:pPr>
        <w:pStyle w:val="a3"/>
        <w:ind w:left="1564"/>
        <w:rPr>
          <w:rFonts w:ascii="MS Gothic"/>
        </w:rPr>
      </w:pPr>
      <w:r>
        <w:pict w14:anchorId="29319E16">
          <v:line id="_x0000_s3253" style="position:absolute;left:0;text-align:left;z-index:16213504;mso-position-horizontal-relative:page" from="108.25pt,-5.45pt" to="108.25pt,34.1pt" strokecolor="#ededed" strokeweight=".5pt">
            <w10:wrap anchorx="page"/>
          </v:line>
        </w:pict>
      </w:r>
      <w:r w:rsidR="0030286B">
        <w:rPr>
          <w:noProof/>
        </w:rPr>
        <w:drawing>
          <wp:anchor distT="0" distB="0" distL="0" distR="0" simplePos="0" relativeHeight="16214016" behindDoc="0" locked="0" layoutInCell="1" allowOverlap="1" wp14:anchorId="6F8A8AC8" wp14:editId="30FAFDDD">
            <wp:simplePos x="0" y="0"/>
            <wp:positionH relativeFrom="page">
              <wp:posOffset>888949</wp:posOffset>
            </wp:positionH>
            <wp:positionV relativeFrom="paragraph">
              <wp:posOffset>29413</wp:posOffset>
            </wp:positionV>
            <wp:extent cx="209550" cy="304800"/>
            <wp:effectExtent l="0" t="0" r="0" b="0"/>
            <wp:wrapNone/>
            <wp:docPr id="60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necessary, reactive indicators replace the regular ones. Also, any </w:t>
      </w:r>
      <w:r w:rsidR="0030286B">
        <w:rPr>
          <w:rFonts w:ascii="MS Gothic"/>
          <w:color w:val="B02045"/>
          <w:w w:val="110"/>
        </w:rPr>
        <w:t>HealthIndicator</w:t>
      </w:r>
    </w:p>
    <w:p w14:paraId="31A6BF84" w14:textId="77777777" w:rsidR="00A720EB" w:rsidRDefault="0030286B">
      <w:pPr>
        <w:pStyle w:val="a3"/>
        <w:spacing w:before="57"/>
        <w:ind w:left="1564"/>
      </w:pPr>
      <w:r>
        <w:rPr>
          <w:color w:val="333333"/>
          <w:w w:val="110"/>
        </w:rPr>
        <w:t>that is not handled explicitly is wrapped automatically.</w:t>
      </w:r>
    </w:p>
    <w:p w14:paraId="650E0278" w14:textId="77777777" w:rsidR="00A720EB" w:rsidRDefault="00A720EB">
      <w:pPr>
        <w:pStyle w:val="a3"/>
        <w:spacing w:before="4"/>
        <w:rPr>
          <w:sz w:val="38"/>
        </w:rPr>
      </w:pPr>
    </w:p>
    <w:p w14:paraId="6581956D" w14:textId="77777777" w:rsidR="00A720EB" w:rsidRDefault="0030286B">
      <w:pPr>
        <w:pStyle w:val="4"/>
      </w:pPr>
      <w:bookmarkStart w:id="581" w:name="Health_Groups"/>
      <w:bookmarkEnd w:id="581"/>
      <w:r>
        <w:rPr>
          <w:color w:val="333333"/>
          <w:w w:val="110"/>
        </w:rPr>
        <w:t>Health Groups</w:t>
      </w:r>
    </w:p>
    <w:p w14:paraId="374E5CA7" w14:textId="77777777" w:rsidR="00A720EB" w:rsidRDefault="00A720EB">
      <w:pPr>
        <w:pStyle w:val="a3"/>
        <w:spacing w:before="11"/>
        <w:rPr>
          <w:rFonts w:ascii="Palatino Linotype"/>
          <w:b/>
          <w:sz w:val="18"/>
        </w:rPr>
      </w:pPr>
    </w:p>
    <w:p w14:paraId="54453547" w14:textId="77777777" w:rsidR="00A720EB" w:rsidRDefault="0030286B">
      <w:pPr>
        <w:pStyle w:val="a3"/>
        <w:spacing w:line="307" w:lineRule="auto"/>
        <w:ind w:left="124" w:right="131"/>
        <w:jc w:val="both"/>
      </w:pPr>
      <w:r>
        <w:rPr>
          <w:color w:val="333333"/>
          <w:w w:val="110"/>
        </w:rPr>
        <w:t>It’s sometimes useful to organize health indicators into groups that can be used for different purposes.</w:t>
      </w:r>
    </w:p>
    <w:p w14:paraId="7E19D0FC" w14:textId="77777777" w:rsidR="00A720EB" w:rsidRDefault="0030286B">
      <w:pPr>
        <w:pStyle w:val="a3"/>
        <w:spacing w:before="231" w:line="285" w:lineRule="auto"/>
        <w:ind w:left="124" w:right="122"/>
        <w:jc w:val="both"/>
      </w:pPr>
      <w:r>
        <w:rPr>
          <w:color w:val="333333"/>
          <w:w w:val="110"/>
        </w:rPr>
        <w:t xml:space="preserve">To create a health indicator group you can use the </w:t>
      </w:r>
      <w:proofErr w:type="gramStart"/>
      <w:r>
        <w:rPr>
          <w:rFonts w:ascii="MS Gothic"/>
          <w:color w:val="B02045"/>
          <w:w w:val="110"/>
        </w:rPr>
        <w:t>management.endpoint</w:t>
      </w:r>
      <w:proofErr w:type="gramEnd"/>
      <w:r>
        <w:rPr>
          <w:rFonts w:ascii="MS Gothic"/>
          <w:color w:val="B02045"/>
          <w:w w:val="110"/>
        </w:rPr>
        <w:t xml:space="preserve">.health.group.&lt;name&gt; </w:t>
      </w:r>
      <w:r>
        <w:rPr>
          <w:color w:val="333333"/>
          <w:w w:val="110"/>
        </w:rPr>
        <w:t xml:space="preserve">property and specify a list of health indicator IDs to </w:t>
      </w:r>
      <w:r>
        <w:rPr>
          <w:rFonts w:ascii="MS Gothic"/>
          <w:color w:val="B02045"/>
          <w:w w:val="110"/>
        </w:rPr>
        <w:t xml:space="preserve">include </w:t>
      </w:r>
      <w:r>
        <w:rPr>
          <w:color w:val="333333"/>
          <w:w w:val="110"/>
        </w:rPr>
        <w:t xml:space="preserve">or </w:t>
      </w:r>
      <w:r>
        <w:rPr>
          <w:rFonts w:ascii="MS Gothic"/>
          <w:color w:val="B02045"/>
          <w:w w:val="110"/>
        </w:rPr>
        <w:t>exclude</w:t>
      </w:r>
      <w:r>
        <w:rPr>
          <w:color w:val="333333"/>
          <w:w w:val="110"/>
        </w:rPr>
        <w:t>. For example, to create a group that includes only database indicators you can define the following:</w:t>
      </w:r>
    </w:p>
    <w:p w14:paraId="3F735ED7" w14:textId="77777777" w:rsidR="00A720EB" w:rsidRDefault="00E10349">
      <w:pPr>
        <w:pStyle w:val="a3"/>
        <w:spacing w:before="1"/>
        <w:rPr>
          <w:sz w:val="15"/>
        </w:rPr>
      </w:pPr>
      <w:r>
        <w:pict w14:anchorId="27E9CDA5">
          <v:group id="_x0000_s3249" style="position:absolute;margin-left:47.85pt;margin-top:10.85pt;width:499.55pt;height:37.5pt;z-index:-15244800;mso-wrap-distance-left:0;mso-wrap-distance-right:0;mso-position-horizontal-relative:page" coordorigin="957,217" coordsize="9991,750">
            <v:shape id="_x0000_s3252" style="position:absolute;left:964;top:224;width:9976;height:735" coordorigin="965,224" coordsize="9976,735" path="m10861,224r-9816,l1014,231r-26,17l971,273r-6,31l965,879r6,31l988,936r26,17l1045,959r9816,l10892,953r25,-17l10935,910r6,-31l10941,304r-6,-31l10917,248r-25,-17l10861,224xe" fillcolor="#f5f5f5" stroked="f">
              <v:path arrowok="t"/>
            </v:shape>
            <v:shape id="_x0000_s3251" style="position:absolute;left:964;top:224;width:9976;height:735" coordorigin="965,224" coordsize="9976,735" path="m1045,224r9816,l10892,231r25,17l10935,273r6,31l10941,879r-6,31l10917,936r-25,17l10861,959r-9816,l1014,953,988,936,971,910r-6,-31l965,304r6,-31l988,248r26,-17l1045,224xe" filled="f" strokecolor="#ccc">
              <v:path arrowok="t"/>
            </v:shape>
            <v:shape id="_x0000_s3250" type="#_x0000_t202" style="position:absolute;left:984;top:239;width:9938;height:704" filled="f" stroked="f">
              <v:textbox inset="0,0,0,0">
                <w:txbxContent>
                  <w:p w14:paraId="192B2E77" w14:textId="77777777" w:rsidR="00711A16" w:rsidRDefault="00711A16">
                    <w:pPr>
                      <w:spacing w:before="221"/>
                      <w:ind w:left="200"/>
                      <w:rPr>
                        <w:rFonts w:ascii="MS Gothic"/>
                      </w:rPr>
                    </w:pPr>
                    <w:proofErr w:type="gramStart"/>
                    <w:r>
                      <w:rPr>
                        <w:rFonts w:ascii="MS Gothic"/>
                        <w:color w:val="333333"/>
                      </w:rPr>
                      <w:t>management.endpoint</w:t>
                    </w:r>
                    <w:proofErr w:type="gramEnd"/>
                    <w:r>
                      <w:rPr>
                        <w:rFonts w:ascii="MS Gothic"/>
                        <w:color w:val="333333"/>
                      </w:rPr>
                      <w:t>.health.group.custom.include=db</w:t>
                    </w:r>
                  </w:p>
                </w:txbxContent>
              </v:textbox>
            </v:shape>
            <w10:wrap type="topAndBottom" anchorx="page"/>
          </v:group>
        </w:pict>
      </w:r>
    </w:p>
    <w:p w14:paraId="480A2B5B" w14:textId="77777777" w:rsidR="00A720EB" w:rsidRDefault="00A720EB">
      <w:pPr>
        <w:pStyle w:val="a3"/>
        <w:spacing w:before="11"/>
        <w:rPr>
          <w:sz w:val="9"/>
        </w:rPr>
      </w:pPr>
    </w:p>
    <w:p w14:paraId="492E2650" w14:textId="77777777" w:rsidR="00A720EB" w:rsidRDefault="0030286B">
      <w:pPr>
        <w:pStyle w:val="a3"/>
        <w:spacing w:before="115"/>
        <w:ind w:left="124"/>
        <w:jc w:val="both"/>
      </w:pPr>
      <w:r>
        <w:rPr>
          <w:color w:val="333333"/>
          <w:w w:val="110"/>
        </w:rPr>
        <w:t xml:space="preserve">You can then check the result by hitting </w:t>
      </w:r>
      <w:r>
        <w:rPr>
          <w:rFonts w:ascii="MS Gothic"/>
          <w:color w:val="418BCA"/>
          <w:w w:val="110"/>
        </w:rPr>
        <w:t>localhost:8080/actuator/health/custom</w:t>
      </w:r>
      <w:r>
        <w:rPr>
          <w:color w:val="333333"/>
          <w:w w:val="110"/>
        </w:rPr>
        <w:t>.</w:t>
      </w:r>
    </w:p>
    <w:p w14:paraId="0A80A641" w14:textId="77777777" w:rsidR="00A720EB" w:rsidRDefault="00A720EB">
      <w:pPr>
        <w:pStyle w:val="a3"/>
        <w:spacing w:before="5"/>
        <w:rPr>
          <w:sz w:val="24"/>
        </w:rPr>
      </w:pPr>
    </w:p>
    <w:p w14:paraId="0476C144" w14:textId="77777777" w:rsidR="00A720EB" w:rsidRDefault="0030286B">
      <w:pPr>
        <w:pStyle w:val="a3"/>
        <w:spacing w:before="1" w:line="295" w:lineRule="auto"/>
        <w:ind w:left="124" w:right="123"/>
        <w:jc w:val="both"/>
      </w:pPr>
      <w:r>
        <w:rPr>
          <w:color w:val="333333"/>
          <w:spacing w:val="-3"/>
          <w:w w:val="110"/>
        </w:rPr>
        <w:t xml:space="preserve">By </w:t>
      </w:r>
      <w:proofErr w:type="gramStart"/>
      <w:r>
        <w:rPr>
          <w:color w:val="333333"/>
          <w:w w:val="110"/>
        </w:rPr>
        <w:t>default</w:t>
      </w:r>
      <w:proofErr w:type="gramEnd"/>
      <w:r>
        <w:rPr>
          <w:color w:val="333333"/>
          <w:w w:val="110"/>
        </w:rPr>
        <w:t xml:space="preserve"> groups will inherit the same </w:t>
      </w:r>
      <w:r>
        <w:rPr>
          <w:rFonts w:ascii="MS Gothic" w:hAnsi="MS Gothic"/>
          <w:color w:val="B02045"/>
          <w:w w:val="110"/>
        </w:rPr>
        <w:t>StatusAggregator</w:t>
      </w:r>
      <w:r>
        <w:rPr>
          <w:rFonts w:ascii="MS Gothic" w:hAnsi="MS Gothic"/>
          <w:color w:val="B02045"/>
          <w:spacing w:val="-65"/>
          <w:w w:val="110"/>
        </w:rPr>
        <w:t xml:space="preserve"> </w:t>
      </w:r>
      <w:r>
        <w:rPr>
          <w:color w:val="333333"/>
          <w:w w:val="110"/>
        </w:rPr>
        <w:t xml:space="preserve">and </w:t>
      </w:r>
      <w:r>
        <w:rPr>
          <w:rFonts w:ascii="MS Gothic" w:hAnsi="MS Gothic"/>
          <w:color w:val="B02045"/>
          <w:w w:val="110"/>
        </w:rPr>
        <w:t>HttpCodeStatusMapper</w:t>
      </w:r>
      <w:r>
        <w:rPr>
          <w:rFonts w:ascii="MS Gothic" w:hAnsi="MS Gothic"/>
          <w:color w:val="B02045"/>
          <w:spacing w:val="-64"/>
          <w:w w:val="110"/>
        </w:rPr>
        <w:t xml:space="preserve"> </w:t>
      </w:r>
      <w:r>
        <w:rPr>
          <w:color w:val="333333"/>
          <w:w w:val="110"/>
        </w:rPr>
        <w:t xml:space="preserve">settings as the system health, however, these can also be defined on a per-group basis. It’s also possible to override the </w:t>
      </w:r>
      <w:r>
        <w:rPr>
          <w:rFonts w:ascii="MS Gothic" w:hAnsi="MS Gothic"/>
          <w:color w:val="B02045"/>
          <w:w w:val="110"/>
        </w:rPr>
        <w:t>show-details</w:t>
      </w:r>
      <w:r>
        <w:rPr>
          <w:rFonts w:ascii="MS Gothic" w:hAnsi="MS Gothic"/>
          <w:color w:val="B02045"/>
          <w:spacing w:val="-63"/>
          <w:w w:val="110"/>
        </w:rPr>
        <w:t xml:space="preserve"> </w:t>
      </w:r>
      <w:r>
        <w:rPr>
          <w:color w:val="333333"/>
          <w:w w:val="110"/>
        </w:rPr>
        <w:t xml:space="preserve">and </w:t>
      </w:r>
      <w:r>
        <w:rPr>
          <w:rFonts w:ascii="MS Gothic" w:hAnsi="MS Gothic"/>
          <w:color w:val="B02045"/>
          <w:w w:val="110"/>
        </w:rPr>
        <w:t>roles</w:t>
      </w:r>
      <w:r>
        <w:rPr>
          <w:rFonts w:ascii="MS Gothic" w:hAnsi="MS Gothic"/>
          <w:color w:val="B02045"/>
          <w:spacing w:val="-63"/>
          <w:w w:val="110"/>
        </w:rPr>
        <w:t xml:space="preserve"> </w:t>
      </w:r>
      <w:r>
        <w:rPr>
          <w:color w:val="333333"/>
          <w:w w:val="110"/>
        </w:rPr>
        <w:t>properties if required:</w:t>
      </w:r>
    </w:p>
    <w:p w14:paraId="5AE10347" w14:textId="77777777" w:rsidR="00A720EB" w:rsidRDefault="00E10349">
      <w:pPr>
        <w:pStyle w:val="a3"/>
        <w:spacing w:before="5"/>
        <w:rPr>
          <w:sz w:val="12"/>
        </w:rPr>
      </w:pPr>
      <w:r>
        <w:pict w14:anchorId="4F82FBEC">
          <v:group id="_x0000_s3245" style="position:absolute;margin-left:47.85pt;margin-top:9.25pt;width:499.55pt;height:96.45pt;z-index:-15244288;mso-wrap-distance-left:0;mso-wrap-distance-right:0;mso-position-horizontal-relative:page" coordorigin="957,185" coordsize="9991,1929">
            <v:shape id="_x0000_s3248" style="position:absolute;left:964;top:192;width:9976;height:1914" coordorigin="965,193" coordsize="9976,1914" path="m10861,193r-9816,l1014,199r-26,17l971,242r-6,31l965,2027r6,31l988,2083r26,17l1045,2107r9816,l10892,2100r25,-17l10935,2058r6,-31l10941,273r-6,-31l10917,216r-25,-17l10861,193xe" fillcolor="#f5f5f5" stroked="f">
              <v:path arrowok="t"/>
            </v:shape>
            <v:shape id="_x0000_s3247" style="position:absolute;left:964;top:192;width:9976;height:1914" coordorigin="965,193" coordsize="9976,1914" path="m1045,193r9816,l10892,199r25,17l10935,242r6,31l10941,2027r-6,31l10917,2083r-25,17l10861,2107r-9816,l1014,2100r-26,-17l971,2058r-6,-31l965,273r6,-31l988,216r26,-17l1045,193xe" filled="f" strokecolor="#ccc">
              <v:path arrowok="t"/>
            </v:shape>
            <v:shape id="_x0000_s3246" type="#_x0000_t202" style="position:absolute;left:984;top:208;width:9938;height:1884" filled="f" stroked="f">
              <v:textbox inset="0,0,0,0">
                <w:txbxContent>
                  <w:p w14:paraId="7606F7FF" w14:textId="77777777" w:rsidR="00711A16" w:rsidRDefault="00711A16">
                    <w:pPr>
                      <w:spacing w:before="221" w:line="252" w:lineRule="auto"/>
                      <w:ind w:left="200" w:right="1154"/>
                      <w:rPr>
                        <w:rFonts w:ascii="MS Gothic"/>
                      </w:rPr>
                    </w:pPr>
                    <w:proofErr w:type="gramStart"/>
                    <w:r>
                      <w:rPr>
                        <w:rFonts w:ascii="MS Gothic"/>
                        <w:color w:val="333333"/>
                      </w:rPr>
                      <w:t>management.endpoint</w:t>
                    </w:r>
                    <w:proofErr w:type="gramEnd"/>
                    <w:r>
                      <w:rPr>
                        <w:rFonts w:ascii="MS Gothic"/>
                        <w:color w:val="333333"/>
                      </w:rPr>
                      <w:t>.health.group.custom.show-details=when-authorized management.endpoint.health.group.custom.roles=admin management.endpoint.health.group.custom.status.order=fatal,up management.endpoint.health.group.custom.status.http-mapping.fatal=500 management.endpoint.health.group.custom.status.http-mapping.out-of-service=500</w:t>
                    </w:r>
                  </w:p>
                </w:txbxContent>
              </v:textbox>
            </v:shape>
            <w10:wrap type="topAndBottom" anchorx="page"/>
          </v:group>
        </w:pict>
      </w:r>
    </w:p>
    <w:p w14:paraId="05478FC4" w14:textId="77777777" w:rsidR="00A720EB" w:rsidRDefault="00A720EB">
      <w:pPr>
        <w:pStyle w:val="a3"/>
        <w:spacing w:before="8"/>
        <w:rPr>
          <w:sz w:val="16"/>
        </w:rPr>
      </w:pPr>
    </w:p>
    <w:p w14:paraId="256304EE" w14:textId="77777777" w:rsidR="00A720EB" w:rsidRDefault="00E10349">
      <w:pPr>
        <w:pStyle w:val="a3"/>
        <w:tabs>
          <w:tab w:val="left" w:pos="2170"/>
          <w:tab w:val="left" w:pos="2762"/>
          <w:tab w:val="left" w:pos="3338"/>
          <w:tab w:val="left" w:pos="6367"/>
          <w:tab w:val="left" w:pos="6974"/>
          <w:tab w:val="left" w:pos="7698"/>
          <w:tab w:val="left" w:pos="8128"/>
          <w:tab w:val="left" w:pos="9134"/>
        </w:tabs>
        <w:spacing w:before="116"/>
        <w:ind w:left="1564"/>
      </w:pPr>
      <w:r>
        <w:pict w14:anchorId="6F07636D">
          <v:line id="_x0000_s3244" style="position:absolute;left:0;text-align:left;z-index:16214528;mso-position-horizontal-relative:page" from="108.25pt,.35pt" to="108.25pt,39.9pt" strokecolor="#ededed" strokeweight=".5pt">
            <w10:wrap anchorx="page"/>
          </v:line>
        </w:pict>
      </w:r>
      <w:r w:rsidR="0030286B">
        <w:rPr>
          <w:noProof/>
        </w:rPr>
        <w:drawing>
          <wp:anchor distT="0" distB="0" distL="0" distR="0" simplePos="0" relativeHeight="16215040" behindDoc="0" locked="0" layoutInCell="1" allowOverlap="1" wp14:anchorId="097E2C82" wp14:editId="487E3DE2">
            <wp:simplePos x="0" y="0"/>
            <wp:positionH relativeFrom="page">
              <wp:posOffset>888949</wp:posOffset>
            </wp:positionH>
            <wp:positionV relativeFrom="paragraph">
              <wp:posOffset>103073</wp:posOffset>
            </wp:positionV>
            <wp:extent cx="209550" cy="304800"/>
            <wp:effectExtent l="0" t="0" r="0" b="0"/>
            <wp:wrapNone/>
            <wp:docPr id="60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6"/>
          <w:w w:val="110"/>
        </w:rPr>
        <w:t>You</w:t>
      </w:r>
      <w:r w:rsidR="0030286B">
        <w:rPr>
          <w:color w:val="333333"/>
          <w:spacing w:val="-6"/>
          <w:w w:val="110"/>
        </w:rPr>
        <w:tab/>
      </w:r>
      <w:r w:rsidR="0030286B">
        <w:rPr>
          <w:color w:val="333333"/>
          <w:w w:val="110"/>
        </w:rPr>
        <w:t>can</w:t>
      </w:r>
      <w:r w:rsidR="0030286B">
        <w:rPr>
          <w:color w:val="333333"/>
          <w:w w:val="110"/>
        </w:rPr>
        <w:tab/>
        <w:t>use</w:t>
      </w:r>
      <w:r w:rsidR="0030286B">
        <w:rPr>
          <w:color w:val="333333"/>
          <w:w w:val="110"/>
        </w:rPr>
        <w:tab/>
      </w:r>
      <w:r w:rsidR="0030286B">
        <w:rPr>
          <w:rFonts w:ascii="MS Gothic"/>
          <w:color w:val="B02045"/>
          <w:w w:val="110"/>
        </w:rPr>
        <w:t>@Qualifier("groupname")</w:t>
      </w:r>
      <w:r w:rsidR="0030286B">
        <w:rPr>
          <w:rFonts w:ascii="MS Gothic"/>
          <w:color w:val="B02045"/>
          <w:spacing w:val="-15"/>
          <w:w w:val="110"/>
        </w:rPr>
        <w:t xml:space="preserve"> </w:t>
      </w:r>
      <w:r w:rsidR="0030286B">
        <w:rPr>
          <w:color w:val="333333"/>
          <w:w w:val="110"/>
        </w:rPr>
        <w:t>if</w:t>
      </w:r>
      <w:r w:rsidR="0030286B">
        <w:rPr>
          <w:color w:val="333333"/>
          <w:w w:val="110"/>
        </w:rPr>
        <w:tab/>
        <w:t>you</w:t>
      </w:r>
      <w:r w:rsidR="0030286B">
        <w:rPr>
          <w:color w:val="333333"/>
          <w:w w:val="110"/>
        </w:rPr>
        <w:tab/>
        <w:t>need</w:t>
      </w:r>
      <w:r w:rsidR="0030286B">
        <w:rPr>
          <w:color w:val="333333"/>
          <w:w w:val="110"/>
        </w:rPr>
        <w:tab/>
        <w:t>to</w:t>
      </w:r>
      <w:r w:rsidR="0030286B">
        <w:rPr>
          <w:color w:val="333333"/>
          <w:w w:val="110"/>
        </w:rPr>
        <w:tab/>
        <w:t>register</w:t>
      </w:r>
      <w:r w:rsidR="0030286B">
        <w:rPr>
          <w:color w:val="333333"/>
          <w:w w:val="110"/>
        </w:rPr>
        <w:tab/>
        <w:t>custom</w:t>
      </w:r>
    </w:p>
    <w:p w14:paraId="62C0F72D" w14:textId="77777777" w:rsidR="00A720EB" w:rsidRDefault="0030286B">
      <w:pPr>
        <w:pStyle w:val="a3"/>
        <w:spacing w:before="47"/>
        <w:ind w:left="1564"/>
      </w:pPr>
      <w:r>
        <w:rPr>
          <w:rFonts w:ascii="MS Gothic"/>
          <w:color w:val="B02045"/>
          <w:w w:val="110"/>
        </w:rPr>
        <w:t>StatusAggregator</w:t>
      </w:r>
      <w:r>
        <w:rPr>
          <w:rFonts w:ascii="MS Gothic"/>
          <w:color w:val="B02045"/>
          <w:spacing w:val="-71"/>
          <w:w w:val="110"/>
        </w:rPr>
        <w:t xml:space="preserve"> </w:t>
      </w:r>
      <w:r>
        <w:rPr>
          <w:color w:val="333333"/>
          <w:w w:val="110"/>
        </w:rPr>
        <w:t xml:space="preserve">or </w:t>
      </w:r>
      <w:r>
        <w:rPr>
          <w:rFonts w:ascii="MS Gothic"/>
          <w:color w:val="B02045"/>
          <w:w w:val="110"/>
        </w:rPr>
        <w:t>HttpCodeStatusMapper</w:t>
      </w:r>
      <w:r>
        <w:rPr>
          <w:rFonts w:ascii="MS Gothic"/>
          <w:color w:val="B02045"/>
          <w:spacing w:val="-70"/>
          <w:w w:val="110"/>
        </w:rPr>
        <w:t xml:space="preserve"> </w:t>
      </w:r>
      <w:r>
        <w:rPr>
          <w:color w:val="333333"/>
          <w:w w:val="110"/>
        </w:rPr>
        <w:t>beans for use with the group.</w:t>
      </w:r>
    </w:p>
    <w:p w14:paraId="1FD75596" w14:textId="77777777" w:rsidR="00A720EB" w:rsidRDefault="00A720EB">
      <w:pPr>
        <w:sectPr w:rsidR="00A720EB">
          <w:pgSz w:w="11910" w:h="16840"/>
          <w:pgMar w:top="620" w:right="840" w:bottom="520" w:left="840" w:header="0" w:footer="323" w:gutter="0"/>
          <w:cols w:space="720"/>
        </w:sectPr>
      </w:pPr>
    </w:p>
    <w:p w14:paraId="22FB25F9" w14:textId="77777777" w:rsidR="00A720EB" w:rsidRDefault="0030286B">
      <w:pPr>
        <w:pStyle w:val="3"/>
        <w:numPr>
          <w:ilvl w:val="2"/>
          <w:numId w:val="24"/>
        </w:numPr>
        <w:tabs>
          <w:tab w:val="left" w:pos="858"/>
        </w:tabs>
        <w:spacing w:before="87"/>
        <w:ind w:hanging="734"/>
      </w:pPr>
      <w:bookmarkStart w:id="582" w:name="5.2.9._Kubernetes_Probes"/>
      <w:bookmarkStart w:id="583" w:name="_Toc54423846"/>
      <w:bookmarkEnd w:id="582"/>
      <w:r>
        <w:rPr>
          <w:color w:val="333333"/>
          <w:w w:val="110"/>
        </w:rPr>
        <w:lastRenderedPageBreak/>
        <w:t>Kubernetes</w:t>
      </w:r>
      <w:r>
        <w:rPr>
          <w:color w:val="333333"/>
          <w:spacing w:val="-6"/>
          <w:w w:val="110"/>
        </w:rPr>
        <w:t xml:space="preserve"> </w:t>
      </w:r>
      <w:r>
        <w:rPr>
          <w:color w:val="333333"/>
          <w:w w:val="110"/>
        </w:rPr>
        <w:t>Probes</w:t>
      </w:r>
      <w:bookmarkEnd w:id="583"/>
    </w:p>
    <w:p w14:paraId="17EC8A11" w14:textId="77777777" w:rsidR="00A720EB" w:rsidRDefault="0030286B">
      <w:pPr>
        <w:pStyle w:val="a3"/>
        <w:spacing w:before="253" w:line="307" w:lineRule="auto"/>
        <w:ind w:left="124" w:right="126"/>
        <w:jc w:val="both"/>
      </w:pPr>
      <w:r>
        <w:rPr>
          <w:color w:val="333333"/>
          <w:w w:val="110"/>
        </w:rPr>
        <w:t xml:space="preserve">Applications deployed on Kubernetes can provide information about their internal state with </w:t>
      </w:r>
      <w:hyperlink r:id="rId461" w:anchor="container-probes">
        <w:r>
          <w:rPr>
            <w:color w:val="418BCA"/>
            <w:w w:val="110"/>
          </w:rPr>
          <w:t>Container Probes</w:t>
        </w:r>
      </w:hyperlink>
      <w:r>
        <w:rPr>
          <w:color w:val="333333"/>
          <w:w w:val="110"/>
        </w:rPr>
        <w:t xml:space="preserve">. Depending on </w:t>
      </w:r>
      <w:hyperlink r:id="rId462">
        <w:r>
          <w:rPr>
            <w:color w:val="418BCA"/>
            <w:w w:val="110"/>
          </w:rPr>
          <w:t>your Kubernetes configuration</w:t>
        </w:r>
      </w:hyperlink>
      <w:r>
        <w:rPr>
          <w:color w:val="333333"/>
          <w:w w:val="110"/>
        </w:rPr>
        <w:t>, the kubelet will call those probes and react to the result.</w:t>
      </w:r>
    </w:p>
    <w:p w14:paraId="68796206" w14:textId="77777777" w:rsidR="00A720EB" w:rsidRDefault="0030286B">
      <w:pPr>
        <w:pStyle w:val="a3"/>
        <w:spacing w:before="242" w:line="290" w:lineRule="auto"/>
        <w:ind w:left="124" w:right="122"/>
        <w:jc w:val="both"/>
      </w:pPr>
      <w:r>
        <w:rPr>
          <w:color w:val="333333"/>
          <w:w w:val="110"/>
        </w:rPr>
        <w:t xml:space="preserve">Spring Boot manages your </w:t>
      </w:r>
      <w:hyperlink w:anchor="_bookmark91" w:history="1">
        <w:r>
          <w:rPr>
            <w:color w:val="418BCA"/>
            <w:w w:val="110"/>
          </w:rPr>
          <w:t xml:space="preserve">Application Availability State </w:t>
        </w:r>
      </w:hyperlink>
      <w:r>
        <w:rPr>
          <w:color w:val="333333"/>
          <w:w w:val="110"/>
        </w:rPr>
        <w:t xml:space="preserve">out-of-the-box. If deployed in a Kubernetes environment, actuator will gather the "Liveness" and "Readiness" information from </w:t>
      </w:r>
      <w:proofErr w:type="gramStart"/>
      <w:r>
        <w:rPr>
          <w:color w:val="333333"/>
          <w:w w:val="110"/>
        </w:rPr>
        <w:t xml:space="preserve">the  </w:t>
      </w:r>
      <w:r>
        <w:rPr>
          <w:rFonts w:ascii="MS Gothic"/>
          <w:color w:val="B02045"/>
          <w:w w:val="110"/>
        </w:rPr>
        <w:t>ApplicationAvailability</w:t>
      </w:r>
      <w:proofErr w:type="gramEnd"/>
      <w:r>
        <w:rPr>
          <w:rFonts w:ascii="MS Gothic"/>
          <w:color w:val="B02045"/>
          <w:w w:val="110"/>
        </w:rPr>
        <w:t xml:space="preserve"> </w:t>
      </w:r>
      <w:r>
        <w:rPr>
          <w:color w:val="333333"/>
          <w:w w:val="110"/>
        </w:rPr>
        <w:t xml:space="preserve">interface and use that information in dedicated </w:t>
      </w:r>
      <w:hyperlink w:anchor="_bookmark393" w:history="1">
        <w:r>
          <w:rPr>
            <w:color w:val="418BCA"/>
            <w:w w:val="110"/>
          </w:rPr>
          <w:t>Health Indicators</w:t>
        </w:r>
      </w:hyperlink>
      <w:r>
        <w:rPr>
          <w:color w:val="333333"/>
          <w:w w:val="110"/>
        </w:rPr>
        <w:t xml:space="preserve">: </w:t>
      </w:r>
      <w:r>
        <w:rPr>
          <w:rFonts w:ascii="MS Gothic"/>
          <w:color w:val="B02045"/>
          <w:w w:val="105"/>
        </w:rPr>
        <w:t xml:space="preserve">LivenessStateHealthIndicator </w:t>
      </w:r>
      <w:r>
        <w:rPr>
          <w:color w:val="333333"/>
          <w:w w:val="105"/>
        </w:rPr>
        <w:t xml:space="preserve">and </w:t>
      </w:r>
      <w:r>
        <w:rPr>
          <w:rFonts w:ascii="MS Gothic"/>
          <w:color w:val="B02045"/>
          <w:w w:val="105"/>
        </w:rPr>
        <w:t>ReadinessStateHealthIndicator</w:t>
      </w:r>
      <w:r>
        <w:rPr>
          <w:color w:val="333333"/>
          <w:w w:val="105"/>
        </w:rPr>
        <w:t xml:space="preserve">. These indicators will be shown </w:t>
      </w:r>
      <w:r>
        <w:rPr>
          <w:color w:val="333333"/>
          <w:w w:val="110"/>
        </w:rPr>
        <w:t>on the global health endpoint (</w:t>
      </w:r>
      <w:r>
        <w:rPr>
          <w:rFonts w:ascii="MS Gothic"/>
          <w:color w:val="B02045"/>
          <w:w w:val="110"/>
        </w:rPr>
        <w:t>"/actuator/health"</w:t>
      </w:r>
      <w:r>
        <w:rPr>
          <w:color w:val="333333"/>
          <w:w w:val="110"/>
        </w:rPr>
        <w:t xml:space="preserve">). They will also be exposed as separate </w:t>
      </w:r>
      <w:proofErr w:type="gramStart"/>
      <w:r>
        <w:rPr>
          <w:color w:val="333333"/>
          <w:w w:val="110"/>
        </w:rPr>
        <w:t>HTTP  Probes</w:t>
      </w:r>
      <w:proofErr w:type="gramEnd"/>
      <w:r>
        <w:rPr>
          <w:color w:val="333333"/>
          <w:w w:val="110"/>
        </w:rPr>
        <w:t xml:space="preserve"> using </w:t>
      </w:r>
      <w:hyperlink w:anchor="_bookmark397" w:history="1">
        <w:r>
          <w:rPr>
            <w:color w:val="418BCA"/>
            <w:w w:val="110"/>
          </w:rPr>
          <w:t>Health Groups</w:t>
        </w:r>
      </w:hyperlink>
      <w:r>
        <w:rPr>
          <w:color w:val="333333"/>
          <w:w w:val="110"/>
        </w:rPr>
        <w:t xml:space="preserve">: </w:t>
      </w:r>
      <w:r>
        <w:rPr>
          <w:rFonts w:ascii="MS Gothic"/>
          <w:color w:val="B02045"/>
          <w:w w:val="110"/>
        </w:rPr>
        <w:t>"/actuator/health/liveness"</w:t>
      </w:r>
      <w:r>
        <w:rPr>
          <w:rFonts w:ascii="MS Gothic"/>
          <w:color w:val="B02045"/>
          <w:spacing w:val="-87"/>
          <w:w w:val="110"/>
        </w:rPr>
        <w:t xml:space="preserve"> </w:t>
      </w:r>
      <w:r>
        <w:rPr>
          <w:color w:val="333333"/>
          <w:w w:val="110"/>
        </w:rPr>
        <w:t xml:space="preserve">and </w:t>
      </w:r>
      <w:r>
        <w:rPr>
          <w:rFonts w:ascii="MS Gothic"/>
          <w:color w:val="B02045"/>
          <w:w w:val="110"/>
        </w:rPr>
        <w:t>"/actuator/health/readiness"</w:t>
      </w:r>
      <w:r>
        <w:rPr>
          <w:color w:val="333333"/>
          <w:w w:val="110"/>
        </w:rPr>
        <w:t>.</w:t>
      </w:r>
    </w:p>
    <w:p w14:paraId="13B274B2" w14:textId="77777777" w:rsidR="00A720EB" w:rsidRDefault="0030286B">
      <w:pPr>
        <w:pStyle w:val="a3"/>
        <w:spacing w:before="235"/>
        <w:ind w:left="124"/>
        <w:jc w:val="both"/>
      </w:pPr>
      <w:r>
        <w:rPr>
          <w:color w:val="333333"/>
          <w:w w:val="110"/>
        </w:rPr>
        <w:t>You can then configure your Kubernetes infrastructure with the following endpoint information:</w:t>
      </w:r>
    </w:p>
    <w:p w14:paraId="40339573" w14:textId="77777777" w:rsidR="00A720EB" w:rsidRDefault="00E10349">
      <w:pPr>
        <w:pStyle w:val="a3"/>
        <w:rPr>
          <w:sz w:val="19"/>
        </w:rPr>
      </w:pPr>
      <w:r>
        <w:pict w14:anchorId="2E18EBF5">
          <v:group id="_x0000_s3240" style="position:absolute;margin-left:47.85pt;margin-top:13.15pt;width:499.55pt;height:214.4pt;z-index:-15241728;mso-wrap-distance-left:0;mso-wrap-distance-right:0;mso-position-horizontal-relative:page" coordorigin="957,263" coordsize="9991,4288">
            <v:shape id="_x0000_s3243" style="position:absolute;left:964;top:270;width:9976;height:4273" coordorigin="965,270" coordsize="9976,4273" path="m10861,270r-9816,l1014,277r-26,17l971,319r-6,31l965,4463r6,31l988,4519r26,17l1045,4543r9816,l10892,4536r25,-17l10935,4494r6,-31l10941,350r-6,-31l10917,294r-25,-17l10861,270xe" fillcolor="#f5f5f5" stroked="f">
              <v:path arrowok="t"/>
            </v:shape>
            <v:shape id="_x0000_s3242" style="position:absolute;left:964;top:270;width:9976;height:4273" coordorigin="965,270" coordsize="9976,4273" path="m1045,270r9816,l10892,277r25,17l10935,319r6,31l10941,4463r-6,31l10917,4519r-25,17l10861,4543r-9816,l1014,4536r-26,-17l971,4494r-6,-31l965,350r6,-31l988,294r26,-17l1045,270xe" filled="f" strokecolor="#ccc">
              <v:path arrowok="t"/>
            </v:shape>
            <v:shape id="_x0000_s3241" type="#_x0000_t202" style="position:absolute;left:984;top:285;width:9938;height:4242" filled="f" stroked="f">
              <v:textbox inset="0,0,0,0">
                <w:txbxContent>
                  <w:p w14:paraId="2EF4FE69" w14:textId="77777777" w:rsidR="00711A16" w:rsidRDefault="00711A16">
                    <w:pPr>
                      <w:spacing w:before="221" w:line="252" w:lineRule="auto"/>
                      <w:ind w:left="420" w:right="8178" w:hanging="220"/>
                      <w:rPr>
                        <w:rFonts w:ascii="MS Gothic"/>
                      </w:rPr>
                    </w:pPr>
                    <w:r>
                      <w:rPr>
                        <w:rFonts w:ascii="MS Gothic"/>
                        <w:color w:val="333333"/>
                      </w:rPr>
                      <w:t>livenessProbe: httpGet:</w:t>
                    </w:r>
                  </w:p>
                  <w:p w14:paraId="07D0C223" w14:textId="77777777" w:rsidR="00711A16" w:rsidRDefault="00711A16">
                    <w:pPr>
                      <w:spacing w:line="252" w:lineRule="auto"/>
                      <w:ind w:left="640" w:right="5868"/>
                      <w:rPr>
                        <w:rFonts w:ascii="MS Gothic"/>
                      </w:rPr>
                    </w:pPr>
                    <w:r>
                      <w:rPr>
                        <w:rFonts w:ascii="MS Gothic"/>
                        <w:color w:val="333333"/>
                      </w:rPr>
                      <w:t>path: /actuator/health/liveness port: &lt;actuator-port&gt;</w:t>
                    </w:r>
                  </w:p>
                  <w:p w14:paraId="6EB470D5" w14:textId="77777777" w:rsidR="00711A16" w:rsidRDefault="00711A16">
                    <w:pPr>
                      <w:spacing w:line="252" w:lineRule="auto"/>
                      <w:ind w:left="420" w:right="7188"/>
                      <w:rPr>
                        <w:rFonts w:ascii="MS Gothic"/>
                      </w:rPr>
                    </w:pPr>
                    <w:r>
                      <w:rPr>
                        <w:rFonts w:ascii="MS Gothic"/>
                        <w:color w:val="333333"/>
                      </w:rPr>
                      <w:t>failureThreshold: ... periodSeconds: ...</w:t>
                    </w:r>
                  </w:p>
                  <w:p w14:paraId="1B599D75" w14:textId="77777777" w:rsidR="00711A16" w:rsidRDefault="00711A16">
                    <w:pPr>
                      <w:spacing w:before="5"/>
                      <w:rPr>
                        <w:rFonts w:ascii="MS Gothic"/>
                      </w:rPr>
                    </w:pPr>
                  </w:p>
                  <w:p w14:paraId="57FA5191" w14:textId="77777777" w:rsidR="00711A16" w:rsidRDefault="00711A16">
                    <w:pPr>
                      <w:spacing w:before="1" w:line="252" w:lineRule="auto"/>
                      <w:ind w:left="420" w:right="8068" w:hanging="220"/>
                      <w:rPr>
                        <w:rFonts w:ascii="MS Gothic"/>
                      </w:rPr>
                    </w:pPr>
                    <w:r>
                      <w:rPr>
                        <w:rFonts w:ascii="MS Gothic"/>
                        <w:color w:val="333333"/>
                      </w:rPr>
                      <w:t>readinessProbe: httpGet:</w:t>
                    </w:r>
                  </w:p>
                  <w:p w14:paraId="39180D21" w14:textId="77777777" w:rsidR="00711A16" w:rsidRDefault="00711A16">
                    <w:pPr>
                      <w:spacing w:line="252" w:lineRule="auto"/>
                      <w:ind w:left="640" w:right="5758"/>
                      <w:rPr>
                        <w:rFonts w:ascii="MS Gothic"/>
                      </w:rPr>
                    </w:pPr>
                    <w:r>
                      <w:rPr>
                        <w:rFonts w:ascii="MS Gothic"/>
                        <w:color w:val="333333"/>
                      </w:rPr>
                      <w:t>path: /actuator/health/readiness port: &lt;actuator-port&gt;</w:t>
                    </w:r>
                  </w:p>
                  <w:p w14:paraId="6ABC8294" w14:textId="77777777" w:rsidR="00711A16" w:rsidRDefault="00711A16">
                    <w:pPr>
                      <w:spacing w:line="252" w:lineRule="auto"/>
                      <w:ind w:left="420" w:right="7188"/>
                      <w:rPr>
                        <w:rFonts w:ascii="MS Gothic"/>
                      </w:rPr>
                    </w:pPr>
                    <w:r>
                      <w:rPr>
                        <w:rFonts w:ascii="MS Gothic"/>
                        <w:color w:val="333333"/>
                      </w:rPr>
                      <w:t>failureThreshold: ... periodSeconds: ...</w:t>
                    </w:r>
                  </w:p>
                </w:txbxContent>
              </v:textbox>
            </v:shape>
            <w10:wrap type="topAndBottom" anchorx="page"/>
          </v:group>
        </w:pict>
      </w:r>
    </w:p>
    <w:p w14:paraId="15F92CE1" w14:textId="77777777" w:rsidR="00A720EB" w:rsidRDefault="00A720EB">
      <w:pPr>
        <w:pStyle w:val="a3"/>
        <w:spacing w:before="8"/>
        <w:rPr>
          <w:sz w:val="16"/>
        </w:rPr>
      </w:pPr>
    </w:p>
    <w:p w14:paraId="133B6DE3" w14:textId="77777777" w:rsidR="00A720EB" w:rsidRDefault="00E10349">
      <w:pPr>
        <w:pStyle w:val="a3"/>
        <w:spacing w:before="116" w:line="295" w:lineRule="auto"/>
        <w:ind w:left="1564" w:right="368"/>
        <w:jc w:val="both"/>
      </w:pPr>
      <w:r>
        <w:pict w14:anchorId="0D20DC37">
          <v:line id="_x0000_s3239" style="position:absolute;left:0;text-align:left;z-index:16216064;mso-position-horizontal-relative:page" from="108.25pt,.35pt" to="108.25pt,55.7pt" strokecolor="#ededed" strokeweight=".5pt">
            <w10:wrap anchorx="page"/>
          </v:line>
        </w:pict>
      </w:r>
      <w:r w:rsidR="0030286B">
        <w:rPr>
          <w:noProof/>
        </w:rPr>
        <w:drawing>
          <wp:anchor distT="0" distB="0" distL="0" distR="0" simplePos="0" relativeHeight="16216576" behindDoc="0" locked="0" layoutInCell="1" allowOverlap="1" wp14:anchorId="40ACE506" wp14:editId="43DAF61D">
            <wp:simplePos x="0" y="0"/>
            <wp:positionH relativeFrom="page">
              <wp:posOffset>844422</wp:posOffset>
            </wp:positionH>
            <wp:positionV relativeFrom="paragraph">
              <wp:posOffset>206451</wp:posOffset>
            </wp:positionV>
            <wp:extent cx="298450" cy="298450"/>
            <wp:effectExtent l="0" t="0" r="0" b="0"/>
            <wp:wrapNone/>
            <wp:docPr id="6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w w:val="110"/>
        </w:rPr>
        <w:t xml:space="preserve">&lt;actuator-port&gt; </w:t>
      </w:r>
      <w:r w:rsidR="0030286B">
        <w:rPr>
          <w:color w:val="333333"/>
          <w:w w:val="110"/>
        </w:rPr>
        <w:t xml:space="preserve">should be set to the port that the actuator endpoints are available on. It could be the main web server port, or a separate management port if the </w:t>
      </w:r>
      <w:r w:rsidR="0030286B">
        <w:rPr>
          <w:rFonts w:ascii="MS Gothic"/>
          <w:color w:val="B02045"/>
          <w:w w:val="110"/>
        </w:rPr>
        <w:t>"</w:t>
      </w:r>
      <w:proofErr w:type="gramStart"/>
      <w:r w:rsidR="0030286B">
        <w:rPr>
          <w:rFonts w:ascii="MS Gothic"/>
          <w:color w:val="B02045"/>
          <w:w w:val="110"/>
        </w:rPr>
        <w:t>management.server</w:t>
      </w:r>
      <w:proofErr w:type="gramEnd"/>
      <w:r w:rsidR="0030286B">
        <w:rPr>
          <w:rFonts w:ascii="MS Gothic"/>
          <w:color w:val="B02045"/>
          <w:w w:val="110"/>
        </w:rPr>
        <w:t>.port"</w:t>
      </w:r>
      <w:r w:rsidR="0030286B">
        <w:rPr>
          <w:rFonts w:ascii="MS Gothic"/>
          <w:color w:val="B02045"/>
          <w:spacing w:val="-69"/>
          <w:w w:val="110"/>
        </w:rPr>
        <w:t xml:space="preserve"> </w:t>
      </w:r>
      <w:r w:rsidR="0030286B">
        <w:rPr>
          <w:color w:val="333333"/>
          <w:w w:val="110"/>
        </w:rPr>
        <w:t>property has been set.</w:t>
      </w:r>
    </w:p>
    <w:p w14:paraId="69F34F24" w14:textId="77777777" w:rsidR="00A720EB" w:rsidRDefault="00A720EB">
      <w:pPr>
        <w:pStyle w:val="a3"/>
        <w:rPr>
          <w:sz w:val="16"/>
        </w:rPr>
      </w:pPr>
    </w:p>
    <w:p w14:paraId="36300254" w14:textId="77777777" w:rsidR="00A720EB" w:rsidRDefault="0030286B">
      <w:pPr>
        <w:pStyle w:val="a3"/>
        <w:spacing w:before="125" w:line="302" w:lineRule="auto"/>
        <w:ind w:left="124" w:right="124"/>
        <w:jc w:val="both"/>
      </w:pPr>
      <w:r>
        <w:rPr>
          <w:color w:val="333333"/>
          <w:w w:val="110"/>
        </w:rPr>
        <w:t xml:space="preserve">These health groups are only enabled automatically if the application is </w:t>
      </w:r>
      <w:hyperlink w:anchor="_bookmark474" w:history="1">
        <w:r>
          <w:rPr>
            <w:color w:val="418BCA"/>
            <w:w w:val="110"/>
          </w:rPr>
          <w:t>running in a Kubernetes</w:t>
        </w:r>
      </w:hyperlink>
      <w:r>
        <w:rPr>
          <w:color w:val="418BCA"/>
          <w:w w:val="110"/>
        </w:rPr>
        <w:t xml:space="preserve"> </w:t>
      </w:r>
      <w:hyperlink w:anchor="_bookmark474" w:history="1">
        <w:r>
          <w:rPr>
            <w:color w:val="418BCA"/>
            <w:w w:val="110"/>
          </w:rPr>
          <w:t>environment</w:t>
        </w:r>
      </w:hyperlink>
      <w:r>
        <w:rPr>
          <w:color w:val="333333"/>
          <w:w w:val="110"/>
        </w:rPr>
        <w:t xml:space="preserve">. </w:t>
      </w:r>
      <w:r>
        <w:rPr>
          <w:color w:val="333333"/>
          <w:spacing w:val="-6"/>
          <w:w w:val="110"/>
        </w:rPr>
        <w:t xml:space="preserve">You </w:t>
      </w:r>
      <w:r>
        <w:rPr>
          <w:color w:val="333333"/>
          <w:w w:val="110"/>
        </w:rPr>
        <w:t xml:space="preserve">can enable them in any environment using </w:t>
      </w:r>
      <w:proofErr w:type="gramStart"/>
      <w:r>
        <w:rPr>
          <w:color w:val="333333"/>
          <w:w w:val="110"/>
        </w:rPr>
        <w:t xml:space="preserve">the  </w:t>
      </w:r>
      <w:r>
        <w:rPr>
          <w:rFonts w:ascii="MS Gothic"/>
          <w:color w:val="B02045"/>
          <w:w w:val="110"/>
        </w:rPr>
        <w:t>management</w:t>
      </w:r>
      <w:proofErr w:type="gramEnd"/>
      <w:r>
        <w:rPr>
          <w:rFonts w:ascii="MS Gothic"/>
          <w:color w:val="B02045"/>
          <w:w w:val="110"/>
        </w:rPr>
        <w:t>.endpoint.health.probes.enabled</w:t>
      </w:r>
      <w:r>
        <w:rPr>
          <w:rFonts w:ascii="MS Gothic"/>
          <w:color w:val="B02045"/>
          <w:spacing w:val="-72"/>
          <w:w w:val="110"/>
        </w:rPr>
        <w:t xml:space="preserve"> </w:t>
      </w:r>
      <w:r>
        <w:rPr>
          <w:color w:val="333333"/>
          <w:w w:val="110"/>
        </w:rPr>
        <w:t xml:space="preserve">configuration </w:t>
      </w:r>
      <w:r>
        <w:rPr>
          <w:color w:val="333333"/>
          <w:spacing w:val="-3"/>
          <w:w w:val="110"/>
        </w:rPr>
        <w:t>property.</w:t>
      </w:r>
    </w:p>
    <w:p w14:paraId="6AD619B8" w14:textId="77777777" w:rsidR="00A720EB" w:rsidRDefault="00A720EB">
      <w:pPr>
        <w:pStyle w:val="a3"/>
        <w:spacing w:before="7"/>
        <w:rPr>
          <w:sz w:val="15"/>
        </w:rPr>
      </w:pPr>
    </w:p>
    <w:p w14:paraId="32A59371" w14:textId="77777777" w:rsidR="00A720EB" w:rsidRDefault="00E10349">
      <w:pPr>
        <w:pStyle w:val="a3"/>
        <w:spacing w:before="125" w:line="290" w:lineRule="auto"/>
        <w:ind w:left="1564" w:right="362"/>
        <w:jc w:val="both"/>
      </w:pPr>
      <w:r>
        <w:pict w14:anchorId="422095B2">
          <v:line id="_x0000_s3238" style="position:absolute;left:0;text-align:left;z-index:16217088;mso-position-horizontal-relative:page" from="108.25pt,.25pt" to="108.25pt,71.4pt" strokecolor="#ededed" strokeweight=".5pt">
            <w10:wrap anchorx="page"/>
          </v:line>
        </w:pict>
      </w:r>
      <w:r w:rsidR="0030286B">
        <w:rPr>
          <w:noProof/>
        </w:rPr>
        <w:drawing>
          <wp:anchor distT="0" distB="0" distL="0" distR="0" simplePos="0" relativeHeight="16217600" behindDoc="0" locked="0" layoutInCell="1" allowOverlap="1" wp14:anchorId="771B9B5D" wp14:editId="7924267C">
            <wp:simplePos x="0" y="0"/>
            <wp:positionH relativeFrom="page">
              <wp:posOffset>844422</wp:posOffset>
            </wp:positionH>
            <wp:positionV relativeFrom="paragraph">
              <wp:posOffset>305727</wp:posOffset>
            </wp:positionV>
            <wp:extent cx="298450" cy="298450"/>
            <wp:effectExtent l="0" t="0" r="0" b="0"/>
            <wp:wrapNone/>
            <wp:docPr id="6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 an application takes longer to start than the configured liveness period, Kubernetes</w:t>
      </w:r>
      <w:r w:rsidR="0030286B">
        <w:rPr>
          <w:color w:val="333333"/>
          <w:spacing w:val="-8"/>
          <w:w w:val="110"/>
        </w:rPr>
        <w:t xml:space="preserve"> </w:t>
      </w:r>
      <w:r w:rsidR="0030286B">
        <w:rPr>
          <w:color w:val="333333"/>
          <w:w w:val="110"/>
        </w:rPr>
        <w:t>mention</w:t>
      </w:r>
      <w:r w:rsidR="0030286B">
        <w:rPr>
          <w:color w:val="333333"/>
          <w:spacing w:val="-8"/>
          <w:w w:val="110"/>
        </w:rPr>
        <w:t xml:space="preserve"> </w:t>
      </w:r>
      <w:r w:rsidR="0030286B">
        <w:rPr>
          <w:color w:val="333333"/>
          <w:w w:val="110"/>
        </w:rPr>
        <w:t>the</w:t>
      </w:r>
      <w:r w:rsidR="0030286B">
        <w:rPr>
          <w:color w:val="333333"/>
          <w:spacing w:val="-6"/>
          <w:w w:val="110"/>
        </w:rPr>
        <w:t xml:space="preserve"> </w:t>
      </w:r>
      <w:r w:rsidR="0030286B">
        <w:rPr>
          <w:rFonts w:ascii="MS Gothic"/>
          <w:color w:val="B02045"/>
          <w:w w:val="110"/>
        </w:rPr>
        <w:t>"startupProbe"</w:t>
      </w:r>
      <w:r w:rsidR="0030286B">
        <w:rPr>
          <w:rFonts w:ascii="MS Gothic"/>
          <w:color w:val="B02045"/>
          <w:spacing w:val="-72"/>
          <w:w w:val="110"/>
        </w:rPr>
        <w:t xml:space="preserve"> </w:t>
      </w:r>
      <w:r w:rsidR="0030286B">
        <w:rPr>
          <w:color w:val="333333"/>
          <w:w w:val="110"/>
        </w:rPr>
        <w:t>as</w:t>
      </w:r>
      <w:r w:rsidR="0030286B">
        <w:rPr>
          <w:color w:val="333333"/>
          <w:spacing w:val="-8"/>
          <w:w w:val="110"/>
        </w:rPr>
        <w:t xml:space="preserve"> </w:t>
      </w:r>
      <w:r w:rsidR="0030286B">
        <w:rPr>
          <w:color w:val="333333"/>
          <w:w w:val="110"/>
        </w:rPr>
        <w:t>a</w:t>
      </w:r>
      <w:r w:rsidR="0030286B">
        <w:rPr>
          <w:color w:val="333333"/>
          <w:spacing w:val="-7"/>
          <w:w w:val="110"/>
        </w:rPr>
        <w:t xml:space="preserve"> </w:t>
      </w:r>
      <w:r w:rsidR="0030286B">
        <w:rPr>
          <w:color w:val="333333"/>
          <w:w w:val="110"/>
        </w:rPr>
        <w:t>possible</w:t>
      </w:r>
      <w:r w:rsidR="0030286B">
        <w:rPr>
          <w:color w:val="333333"/>
          <w:spacing w:val="-8"/>
          <w:w w:val="110"/>
        </w:rPr>
        <w:t xml:space="preserve"> </w:t>
      </w:r>
      <w:r w:rsidR="0030286B">
        <w:rPr>
          <w:color w:val="333333"/>
          <w:w w:val="110"/>
        </w:rPr>
        <w:t>solution.</w:t>
      </w:r>
      <w:r w:rsidR="0030286B">
        <w:rPr>
          <w:color w:val="333333"/>
          <w:spacing w:val="-8"/>
          <w:w w:val="110"/>
        </w:rPr>
        <w:t xml:space="preserve"> </w:t>
      </w:r>
      <w:r w:rsidR="0030286B">
        <w:rPr>
          <w:color w:val="333333"/>
          <w:w w:val="110"/>
        </w:rPr>
        <w:t>The</w:t>
      </w:r>
      <w:r w:rsidR="0030286B">
        <w:rPr>
          <w:color w:val="333333"/>
          <w:spacing w:val="-6"/>
          <w:w w:val="110"/>
        </w:rPr>
        <w:t xml:space="preserve"> </w:t>
      </w:r>
      <w:r w:rsidR="0030286B">
        <w:rPr>
          <w:rFonts w:ascii="MS Gothic"/>
          <w:color w:val="B02045"/>
          <w:w w:val="110"/>
        </w:rPr>
        <w:t xml:space="preserve">"startupProbe" </w:t>
      </w:r>
      <w:r w:rsidR="0030286B">
        <w:rPr>
          <w:color w:val="333333"/>
          <w:w w:val="110"/>
        </w:rPr>
        <w:t xml:space="preserve">is not necessarily needed here as the </w:t>
      </w:r>
      <w:r w:rsidR="0030286B">
        <w:rPr>
          <w:rFonts w:ascii="MS Gothic"/>
          <w:color w:val="B02045"/>
          <w:w w:val="110"/>
        </w:rPr>
        <w:t xml:space="preserve">"readinessProbe" </w:t>
      </w:r>
      <w:r w:rsidR="0030286B">
        <w:rPr>
          <w:color w:val="333333"/>
          <w:w w:val="110"/>
        </w:rPr>
        <w:t xml:space="preserve">fails until all startup tasks are done, see </w:t>
      </w:r>
      <w:hyperlink w:anchor="_bookmark400" w:history="1">
        <w:r w:rsidR="0030286B">
          <w:rPr>
            <w:color w:val="418BCA"/>
            <w:w w:val="110"/>
          </w:rPr>
          <w:t>how Probes behave during the application</w:t>
        </w:r>
        <w:r w:rsidR="0030286B">
          <w:rPr>
            <w:color w:val="418BCA"/>
            <w:spacing w:val="40"/>
            <w:w w:val="110"/>
          </w:rPr>
          <w:t xml:space="preserve"> </w:t>
        </w:r>
        <w:r w:rsidR="0030286B">
          <w:rPr>
            <w:color w:val="418BCA"/>
            <w:w w:val="110"/>
          </w:rPr>
          <w:t>lifecycle</w:t>
        </w:r>
      </w:hyperlink>
      <w:r w:rsidR="0030286B">
        <w:rPr>
          <w:color w:val="333333"/>
          <w:w w:val="110"/>
        </w:rPr>
        <w:t>.</w:t>
      </w:r>
    </w:p>
    <w:p w14:paraId="15162999" w14:textId="77777777" w:rsidR="00A720EB" w:rsidRDefault="00A720EB">
      <w:pPr>
        <w:pStyle w:val="a3"/>
        <w:spacing w:before="9"/>
        <w:rPr>
          <w:sz w:val="24"/>
        </w:rPr>
      </w:pPr>
    </w:p>
    <w:p w14:paraId="0E469A5E" w14:textId="77777777" w:rsidR="00A720EB" w:rsidRDefault="00E10349">
      <w:pPr>
        <w:pStyle w:val="a3"/>
        <w:spacing w:before="125" w:line="307" w:lineRule="auto"/>
        <w:ind w:left="1564" w:right="370"/>
        <w:jc w:val="both"/>
      </w:pPr>
      <w:r>
        <w:pict w14:anchorId="7AE54BDE">
          <v:line id="_x0000_s3237" style="position:absolute;left:0;text-align:left;z-index:16218112;mso-position-horizontal-relative:page" from="108.25pt,.25pt" to="108.25pt,87.15pt" strokecolor="#ededed" strokeweight=".5pt">
            <w10:wrap anchorx="page"/>
          </v:line>
        </w:pict>
      </w:r>
      <w:r w:rsidR="0030286B">
        <w:rPr>
          <w:noProof/>
        </w:rPr>
        <w:drawing>
          <wp:anchor distT="0" distB="0" distL="0" distR="0" simplePos="0" relativeHeight="16218624" behindDoc="0" locked="0" layoutInCell="1" allowOverlap="1" wp14:anchorId="499C8859" wp14:editId="15278C2F">
            <wp:simplePos x="0" y="0"/>
            <wp:positionH relativeFrom="page">
              <wp:posOffset>815847</wp:posOffset>
            </wp:positionH>
            <wp:positionV relativeFrom="paragraph">
              <wp:posOffset>402755</wp:posOffset>
            </wp:positionV>
            <wp:extent cx="355600" cy="304800"/>
            <wp:effectExtent l="0" t="0" r="0" b="0"/>
            <wp:wrapNone/>
            <wp:docPr id="6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 xml:space="preserve">If your Actuator endpoints are deployed on a separate management context, be aware that endpoints are then not using the same web infrastructure (port, connection pools, framework components) as the main application. In this case, a probe check could be successful even if the main application does not </w:t>
      </w:r>
      <w:proofErr w:type="gramStart"/>
      <w:r w:rsidR="0030286B">
        <w:rPr>
          <w:color w:val="333333"/>
          <w:w w:val="110"/>
        </w:rPr>
        <w:t>work  properly</w:t>
      </w:r>
      <w:proofErr w:type="gramEnd"/>
      <w:r w:rsidR="0030286B">
        <w:rPr>
          <w:color w:val="333333"/>
          <w:w w:val="110"/>
        </w:rPr>
        <w:t xml:space="preserve"> (for example, it cannot accept new</w:t>
      </w:r>
      <w:r w:rsidR="0030286B">
        <w:rPr>
          <w:color w:val="333333"/>
          <w:spacing w:val="23"/>
          <w:w w:val="110"/>
        </w:rPr>
        <w:t xml:space="preserve"> </w:t>
      </w:r>
      <w:r w:rsidR="0030286B">
        <w:rPr>
          <w:color w:val="333333"/>
          <w:w w:val="110"/>
        </w:rPr>
        <w:t>connections).</w:t>
      </w:r>
    </w:p>
    <w:p w14:paraId="459CBC13" w14:textId="77777777" w:rsidR="00A720EB" w:rsidRDefault="00A720EB">
      <w:pPr>
        <w:spacing w:line="307" w:lineRule="auto"/>
        <w:jc w:val="both"/>
        <w:sectPr w:rsidR="00A720EB">
          <w:pgSz w:w="11910" w:h="16840"/>
          <w:pgMar w:top="620" w:right="840" w:bottom="520" w:left="840" w:header="0" w:footer="323" w:gutter="0"/>
          <w:cols w:space="720"/>
        </w:sectPr>
      </w:pPr>
    </w:p>
    <w:p w14:paraId="28E7FA06" w14:textId="77777777" w:rsidR="00A720EB" w:rsidRDefault="0030286B">
      <w:pPr>
        <w:pStyle w:val="4"/>
        <w:spacing w:before="86"/>
      </w:pPr>
      <w:bookmarkStart w:id="584" w:name="Checking_external_state_with_Kubernetes_"/>
      <w:bookmarkEnd w:id="584"/>
      <w:r>
        <w:rPr>
          <w:color w:val="333333"/>
          <w:w w:val="110"/>
        </w:rPr>
        <w:lastRenderedPageBreak/>
        <w:t>Checking external state with Kubernetes Probes</w:t>
      </w:r>
    </w:p>
    <w:p w14:paraId="666F78D7" w14:textId="77777777" w:rsidR="00A720EB" w:rsidRDefault="00A720EB">
      <w:pPr>
        <w:pStyle w:val="a3"/>
        <w:spacing w:before="11"/>
        <w:rPr>
          <w:rFonts w:ascii="Palatino Linotype"/>
          <w:b/>
          <w:sz w:val="18"/>
        </w:rPr>
      </w:pPr>
    </w:p>
    <w:p w14:paraId="5D7BC6F1" w14:textId="77777777" w:rsidR="00A720EB" w:rsidRDefault="0030286B">
      <w:pPr>
        <w:pStyle w:val="a3"/>
        <w:spacing w:line="307" w:lineRule="auto"/>
        <w:ind w:left="124" w:right="130"/>
        <w:jc w:val="both"/>
      </w:pPr>
      <w:r>
        <w:rPr>
          <w:color w:val="333333"/>
          <w:w w:val="110"/>
        </w:rPr>
        <w:t xml:space="preserve">Actuator configures the "liveness" and "readiness" probes as Health Groups; this means that all the </w:t>
      </w:r>
      <w:hyperlink w:anchor="_bookmark397" w:history="1">
        <w:r>
          <w:rPr>
            <w:color w:val="418BCA"/>
            <w:w w:val="110"/>
          </w:rPr>
          <w:t>Health Groups features</w:t>
        </w:r>
      </w:hyperlink>
      <w:r>
        <w:rPr>
          <w:color w:val="418BCA"/>
          <w:w w:val="110"/>
        </w:rPr>
        <w:t xml:space="preserve"> </w:t>
      </w:r>
      <w:r>
        <w:rPr>
          <w:color w:val="333333"/>
          <w:w w:val="110"/>
        </w:rPr>
        <w:t>are available for them. You can, for example, configure additional Health Indicators:</w:t>
      </w:r>
    </w:p>
    <w:p w14:paraId="708BE889" w14:textId="77777777" w:rsidR="00A720EB" w:rsidRDefault="00E10349">
      <w:pPr>
        <w:pStyle w:val="a3"/>
        <w:spacing w:before="2"/>
        <w:rPr>
          <w:sz w:val="13"/>
        </w:rPr>
      </w:pPr>
      <w:r>
        <w:pict w14:anchorId="2939B65A">
          <v:group id="_x0000_s3233" style="position:absolute;margin-left:47.85pt;margin-top:9.75pt;width:499.55pt;height:37.5pt;z-index:-15238144;mso-wrap-distance-left:0;mso-wrap-distance-right:0;mso-position-horizontal-relative:page" coordorigin="957,195" coordsize="9991,750">
            <v:shape id="_x0000_s3236" style="position:absolute;left:964;top:202;width:9976;height:735" coordorigin="965,202" coordsize="9976,735" path="m10861,202r-9816,l1014,208r-26,17l971,251r-6,31l965,857r6,31l988,913r26,18l1045,937r9816,l10892,931r25,-18l10935,888r6,-31l10941,282r-6,-31l10917,225r-25,-17l10861,202xe" fillcolor="#f5f5f5" stroked="f">
              <v:path arrowok="t"/>
            </v:shape>
            <v:shape id="_x0000_s3235" style="position:absolute;left:964;top:202;width:9976;height:735" coordorigin="965,202" coordsize="9976,735" path="m1045,202r9816,l10892,208r25,17l10935,251r6,31l10941,857r-6,31l10917,913r-25,18l10861,937r-9816,l1014,931,988,913,971,888r-6,-31l965,282r6,-31l988,225r26,-17l1045,202xe" filled="f" strokecolor="#ccc">
              <v:path arrowok="t"/>
            </v:shape>
            <v:shape id="_x0000_s3234" type="#_x0000_t202" style="position:absolute;left:984;top:217;width:9938;height:704" filled="f" stroked="f">
              <v:textbox inset="0,0,0,0">
                <w:txbxContent>
                  <w:p w14:paraId="23D4F29C" w14:textId="77777777" w:rsidR="00711A16" w:rsidRDefault="00711A16">
                    <w:pPr>
                      <w:spacing w:before="221"/>
                      <w:ind w:left="200"/>
                      <w:rPr>
                        <w:rFonts w:ascii="MS Gothic"/>
                      </w:rPr>
                    </w:pPr>
                    <w:proofErr w:type="gramStart"/>
                    <w:r>
                      <w:rPr>
                        <w:rFonts w:ascii="MS Gothic"/>
                        <w:color w:val="333333"/>
                      </w:rPr>
                      <w:t>management.endpoint</w:t>
                    </w:r>
                    <w:proofErr w:type="gramEnd"/>
                    <w:r>
                      <w:rPr>
                        <w:rFonts w:ascii="MS Gothic"/>
                        <w:color w:val="333333"/>
                      </w:rPr>
                      <w:t>.health.group.readiness.include=readinessState,customCheck</w:t>
                    </w:r>
                  </w:p>
                </w:txbxContent>
              </v:textbox>
            </v:shape>
            <w10:wrap type="topAndBottom" anchorx="page"/>
          </v:group>
        </w:pict>
      </w:r>
    </w:p>
    <w:p w14:paraId="4264B992" w14:textId="77777777" w:rsidR="00A720EB" w:rsidRDefault="00A720EB">
      <w:pPr>
        <w:pStyle w:val="a3"/>
        <w:rPr>
          <w:sz w:val="10"/>
        </w:rPr>
      </w:pPr>
    </w:p>
    <w:p w14:paraId="2D2FDBCC" w14:textId="77777777" w:rsidR="00A720EB" w:rsidRDefault="0030286B">
      <w:pPr>
        <w:pStyle w:val="a3"/>
        <w:spacing w:before="125"/>
        <w:ind w:left="124"/>
        <w:jc w:val="both"/>
      </w:pPr>
      <w:r>
        <w:rPr>
          <w:color w:val="333333"/>
          <w:w w:val="110"/>
        </w:rPr>
        <w:t>By default, Spring Boot does not add other Health Indicators to these groups.</w:t>
      </w:r>
    </w:p>
    <w:p w14:paraId="200FFF12" w14:textId="77777777" w:rsidR="00A720EB" w:rsidRDefault="00A720EB">
      <w:pPr>
        <w:pStyle w:val="a3"/>
        <w:spacing w:before="5"/>
        <w:rPr>
          <w:sz w:val="26"/>
        </w:rPr>
      </w:pPr>
    </w:p>
    <w:p w14:paraId="20B926D7" w14:textId="77777777" w:rsidR="00A720EB" w:rsidRDefault="0030286B">
      <w:pPr>
        <w:pStyle w:val="a3"/>
        <w:spacing w:line="307" w:lineRule="auto"/>
        <w:ind w:left="124" w:right="123"/>
        <w:jc w:val="both"/>
      </w:pPr>
      <w:r>
        <w:rPr>
          <w:color w:val="333333"/>
          <w:w w:val="110"/>
        </w:rPr>
        <w:t xml:space="preserve">The “liveness” Probe should not depend on health checks for external systems. If the </w:t>
      </w:r>
      <w:hyperlink w:anchor="_bookmark92" w:history="1">
        <w:r>
          <w:rPr>
            <w:color w:val="418BCA"/>
            <w:w w:val="110"/>
          </w:rPr>
          <w:t>Liveness State</w:t>
        </w:r>
      </w:hyperlink>
      <w:r>
        <w:rPr>
          <w:color w:val="418BCA"/>
          <w:w w:val="110"/>
        </w:rPr>
        <w:t xml:space="preserve">  </w:t>
      </w:r>
      <w:hyperlink w:anchor="_bookmark92" w:history="1">
        <w:r>
          <w:rPr>
            <w:color w:val="418BCA"/>
            <w:w w:val="110"/>
          </w:rPr>
          <w:t>of an application</w:t>
        </w:r>
      </w:hyperlink>
      <w:r>
        <w:rPr>
          <w:color w:val="418BCA"/>
          <w:w w:val="110"/>
        </w:rPr>
        <w:t xml:space="preserve"> </w:t>
      </w:r>
      <w:r>
        <w:rPr>
          <w:color w:val="333333"/>
          <w:w w:val="110"/>
        </w:rPr>
        <w:t xml:space="preserve">is broken, Kubernetes will try to solve that problem </w:t>
      </w:r>
      <w:r>
        <w:rPr>
          <w:color w:val="333333"/>
          <w:spacing w:val="-3"/>
          <w:w w:val="110"/>
        </w:rPr>
        <w:t xml:space="preserve">by </w:t>
      </w:r>
      <w:r>
        <w:rPr>
          <w:color w:val="333333"/>
          <w:w w:val="110"/>
        </w:rPr>
        <w:t xml:space="preserve">restarting the application instance. This means that if an external system fails (e.g. a database, a </w:t>
      </w:r>
      <w:r>
        <w:rPr>
          <w:color w:val="333333"/>
          <w:spacing w:val="-5"/>
          <w:w w:val="110"/>
        </w:rPr>
        <w:t xml:space="preserve">Web </w:t>
      </w:r>
      <w:r>
        <w:rPr>
          <w:color w:val="333333"/>
          <w:w w:val="110"/>
        </w:rPr>
        <w:t>API, an external cache), Kubernetes might restart all application instances and create cascading</w:t>
      </w:r>
      <w:r>
        <w:rPr>
          <w:color w:val="333333"/>
          <w:spacing w:val="35"/>
          <w:w w:val="110"/>
        </w:rPr>
        <w:t xml:space="preserve"> </w:t>
      </w:r>
      <w:r>
        <w:rPr>
          <w:color w:val="333333"/>
          <w:w w:val="110"/>
        </w:rPr>
        <w:t>failures.</w:t>
      </w:r>
    </w:p>
    <w:p w14:paraId="7A13BCA6" w14:textId="77777777" w:rsidR="00A720EB" w:rsidRDefault="0030286B">
      <w:pPr>
        <w:pStyle w:val="a3"/>
        <w:spacing w:before="242" w:line="307" w:lineRule="auto"/>
        <w:ind w:left="124" w:right="124"/>
        <w:jc w:val="both"/>
      </w:pPr>
      <w:r>
        <w:rPr>
          <w:color w:val="333333"/>
          <w:w w:val="110"/>
        </w:rPr>
        <w:t xml:space="preserve">As for the “readiness” Probe, the choice of checking external systems must be made carefully </w:t>
      </w:r>
      <w:r>
        <w:rPr>
          <w:color w:val="333333"/>
          <w:spacing w:val="-3"/>
          <w:w w:val="110"/>
        </w:rPr>
        <w:t xml:space="preserve">by </w:t>
      </w:r>
      <w:r>
        <w:rPr>
          <w:color w:val="333333"/>
          <w:w w:val="110"/>
        </w:rPr>
        <w:t xml:space="preserve">the application developers, i.e. Spring Boot does not include any additional health checks in </w:t>
      </w:r>
      <w:proofErr w:type="gramStart"/>
      <w:r>
        <w:rPr>
          <w:color w:val="333333"/>
          <w:w w:val="110"/>
        </w:rPr>
        <w:t>the  readiness</w:t>
      </w:r>
      <w:proofErr w:type="gramEnd"/>
      <w:r>
        <w:rPr>
          <w:color w:val="333333"/>
          <w:w w:val="110"/>
        </w:rPr>
        <w:t xml:space="preserve"> probe. If the </w:t>
      </w:r>
      <w:hyperlink w:anchor="_bookmark93" w:history="1">
        <w:r>
          <w:rPr>
            <w:color w:val="418BCA"/>
            <w:w w:val="110"/>
          </w:rPr>
          <w:t>Readiness State of an application instance</w:t>
        </w:r>
      </w:hyperlink>
      <w:r>
        <w:rPr>
          <w:color w:val="418BCA"/>
          <w:w w:val="110"/>
        </w:rPr>
        <w:t xml:space="preserve"> </w:t>
      </w:r>
      <w:r>
        <w:rPr>
          <w:color w:val="333333"/>
          <w:w w:val="110"/>
        </w:rPr>
        <w:t xml:space="preserve">is </w:t>
      </w:r>
      <w:r>
        <w:rPr>
          <w:color w:val="333333"/>
          <w:spacing w:val="-4"/>
          <w:w w:val="110"/>
        </w:rPr>
        <w:t xml:space="preserve">unready, </w:t>
      </w:r>
      <w:r>
        <w:rPr>
          <w:color w:val="333333"/>
          <w:w w:val="110"/>
        </w:rPr>
        <w:t xml:space="preserve">Kubernetes will </w:t>
      </w:r>
      <w:proofErr w:type="gramStart"/>
      <w:r>
        <w:rPr>
          <w:color w:val="333333"/>
          <w:w w:val="110"/>
        </w:rPr>
        <w:t>not  route</w:t>
      </w:r>
      <w:proofErr w:type="gramEnd"/>
      <w:r>
        <w:rPr>
          <w:color w:val="333333"/>
          <w:w w:val="110"/>
        </w:rPr>
        <w:t xml:space="preserve"> traffic to that instance. Some external systems might not be shared </w:t>
      </w:r>
      <w:proofErr w:type="gramStart"/>
      <w:r>
        <w:rPr>
          <w:color w:val="333333"/>
          <w:spacing w:val="-3"/>
          <w:w w:val="110"/>
        </w:rPr>
        <w:t xml:space="preserve">by  </w:t>
      </w:r>
      <w:r>
        <w:rPr>
          <w:color w:val="333333"/>
          <w:w w:val="110"/>
        </w:rPr>
        <w:t>application</w:t>
      </w:r>
      <w:proofErr w:type="gramEnd"/>
      <w:r>
        <w:rPr>
          <w:color w:val="333333"/>
          <w:w w:val="110"/>
        </w:rPr>
        <w:t xml:space="preserve"> instances,   in which case they could quite naturally be included in a readiness probe. Other external systems might not be essential to the application (the application could have circuit breakers and fallbacks), in which case they definitely should not be included. </w:t>
      </w:r>
      <w:r>
        <w:rPr>
          <w:color w:val="333333"/>
          <w:spacing w:val="-3"/>
          <w:w w:val="110"/>
        </w:rPr>
        <w:t xml:space="preserve">Unfortunately, </w:t>
      </w:r>
      <w:r>
        <w:rPr>
          <w:color w:val="333333"/>
          <w:w w:val="110"/>
        </w:rPr>
        <w:t xml:space="preserve">an external </w:t>
      </w:r>
      <w:proofErr w:type="gramStart"/>
      <w:r>
        <w:rPr>
          <w:color w:val="333333"/>
          <w:w w:val="110"/>
        </w:rPr>
        <w:t>system  that</w:t>
      </w:r>
      <w:proofErr w:type="gramEnd"/>
      <w:r>
        <w:rPr>
          <w:color w:val="333333"/>
          <w:w w:val="110"/>
        </w:rPr>
        <w:t xml:space="preserve">  is  shared </w:t>
      </w:r>
      <w:r>
        <w:rPr>
          <w:color w:val="333333"/>
          <w:spacing w:val="-3"/>
          <w:w w:val="110"/>
        </w:rPr>
        <w:t xml:space="preserve">by </w:t>
      </w:r>
      <w:r>
        <w:rPr>
          <w:color w:val="333333"/>
          <w:w w:val="110"/>
        </w:rPr>
        <w:t xml:space="preserve">all application instances is common, and you have to make a judgement call: include it in the readiness probe and expect that the application is taken out of service when  the  external  service is down, or leave it out and deal with failures higher up the stack,  e.g.  </w:t>
      </w:r>
      <w:proofErr w:type="gramStart"/>
      <w:r>
        <w:rPr>
          <w:color w:val="333333"/>
          <w:w w:val="110"/>
        </w:rPr>
        <w:t>using  a</w:t>
      </w:r>
      <w:proofErr w:type="gramEnd"/>
      <w:r>
        <w:rPr>
          <w:color w:val="333333"/>
          <w:w w:val="110"/>
        </w:rPr>
        <w:t xml:space="preserve">  circuit breaker in the</w:t>
      </w:r>
      <w:r>
        <w:rPr>
          <w:color w:val="333333"/>
          <w:spacing w:val="9"/>
          <w:w w:val="110"/>
        </w:rPr>
        <w:t xml:space="preserve"> </w:t>
      </w:r>
      <w:r>
        <w:rPr>
          <w:color w:val="333333"/>
          <w:w w:val="110"/>
        </w:rPr>
        <w:t>caller.</w:t>
      </w:r>
    </w:p>
    <w:p w14:paraId="6239357F" w14:textId="77777777" w:rsidR="00A720EB" w:rsidRDefault="00A720EB">
      <w:pPr>
        <w:pStyle w:val="a3"/>
        <w:rPr>
          <w:sz w:val="17"/>
        </w:rPr>
      </w:pPr>
    </w:p>
    <w:p w14:paraId="47C63974" w14:textId="77777777" w:rsidR="00A720EB" w:rsidRDefault="00E10349">
      <w:pPr>
        <w:pStyle w:val="a3"/>
        <w:spacing w:before="126" w:line="300" w:lineRule="auto"/>
        <w:ind w:left="1564" w:right="365"/>
        <w:jc w:val="both"/>
      </w:pPr>
      <w:r>
        <w:pict w14:anchorId="261554EB">
          <v:line id="_x0000_s3232" style="position:absolute;left:0;text-align:left;z-index:16219648;mso-position-horizontal-relative:page" from="108.25pt,.3pt" to="108.25pt,134.55pt" strokecolor="#ededed" strokeweight=".5pt">
            <w10:wrap anchorx="page"/>
          </v:line>
        </w:pict>
      </w:r>
      <w:r w:rsidR="0030286B">
        <w:rPr>
          <w:noProof/>
        </w:rPr>
        <w:drawing>
          <wp:anchor distT="0" distB="0" distL="0" distR="0" simplePos="0" relativeHeight="16220160" behindDoc="0" locked="0" layoutInCell="1" allowOverlap="1" wp14:anchorId="1B677405" wp14:editId="6ADAA394">
            <wp:simplePos x="0" y="0"/>
            <wp:positionH relativeFrom="page">
              <wp:posOffset>844422</wp:posOffset>
            </wp:positionH>
            <wp:positionV relativeFrom="paragraph">
              <wp:posOffset>707174</wp:posOffset>
            </wp:positionV>
            <wp:extent cx="298450" cy="298450"/>
            <wp:effectExtent l="0" t="0" r="0" b="0"/>
            <wp:wrapNone/>
            <wp:docPr id="6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all instances of an application are </w:t>
      </w:r>
      <w:r w:rsidR="0030286B">
        <w:rPr>
          <w:color w:val="333333"/>
          <w:spacing w:val="-4"/>
          <w:w w:val="110"/>
        </w:rPr>
        <w:t xml:space="preserve">unready, </w:t>
      </w:r>
      <w:r w:rsidR="0030286B">
        <w:rPr>
          <w:color w:val="333333"/>
          <w:w w:val="110"/>
        </w:rPr>
        <w:t xml:space="preserve">a Kubernetes Service with </w:t>
      </w:r>
      <w:r w:rsidR="0030286B">
        <w:rPr>
          <w:rFonts w:ascii="MS Gothic"/>
          <w:color w:val="B02045"/>
          <w:w w:val="110"/>
        </w:rPr>
        <w:t xml:space="preserve">type=ClusterIP </w:t>
      </w:r>
      <w:r w:rsidR="0030286B">
        <w:rPr>
          <w:color w:val="333333"/>
          <w:w w:val="110"/>
        </w:rPr>
        <w:t xml:space="preserve">or </w:t>
      </w:r>
      <w:r w:rsidR="0030286B">
        <w:rPr>
          <w:rFonts w:ascii="MS Gothic"/>
          <w:color w:val="B02045"/>
          <w:w w:val="110"/>
        </w:rPr>
        <w:t xml:space="preserve">NodePort </w:t>
      </w:r>
      <w:r w:rsidR="0030286B">
        <w:rPr>
          <w:color w:val="333333"/>
          <w:w w:val="110"/>
        </w:rPr>
        <w:t xml:space="preserve">will not accept any incoming connections. There is no HTTP error response (503 etc.) since there is no connection. A Service with </w:t>
      </w:r>
      <w:r w:rsidR="0030286B">
        <w:rPr>
          <w:rFonts w:ascii="MS Gothic"/>
          <w:color w:val="B02045"/>
          <w:w w:val="110"/>
        </w:rPr>
        <w:t xml:space="preserve">type=LoadBalancer </w:t>
      </w:r>
      <w:r w:rsidR="0030286B">
        <w:rPr>
          <w:color w:val="333333"/>
          <w:w w:val="110"/>
        </w:rPr>
        <w:t xml:space="preserve">might or might not accept connections, depending on the provider. A Service that has an explicit </w:t>
      </w:r>
      <w:hyperlink r:id="rId463">
        <w:r w:rsidR="0030286B">
          <w:rPr>
            <w:color w:val="418BCA"/>
            <w:w w:val="110"/>
          </w:rPr>
          <w:t>Ingress</w:t>
        </w:r>
      </w:hyperlink>
      <w:r w:rsidR="0030286B">
        <w:rPr>
          <w:color w:val="418BCA"/>
          <w:w w:val="110"/>
        </w:rPr>
        <w:t xml:space="preserve"> </w:t>
      </w:r>
      <w:r w:rsidR="0030286B">
        <w:rPr>
          <w:color w:val="333333"/>
          <w:w w:val="110"/>
        </w:rPr>
        <w:t>will also respond in a way that depends on the implementation - the ingress service itself will have to decide how to handle the "connection refused" from downstream. HTTP 503 is quite likely in the case of both load balancer and</w:t>
      </w:r>
      <w:r w:rsidR="0030286B">
        <w:rPr>
          <w:color w:val="333333"/>
          <w:spacing w:val="23"/>
          <w:w w:val="110"/>
        </w:rPr>
        <w:t xml:space="preserve"> </w:t>
      </w:r>
      <w:r w:rsidR="0030286B">
        <w:rPr>
          <w:color w:val="333333"/>
          <w:w w:val="110"/>
        </w:rPr>
        <w:t>ingress.</w:t>
      </w:r>
    </w:p>
    <w:p w14:paraId="1A96FBB2" w14:textId="77777777" w:rsidR="00A720EB" w:rsidRDefault="00A720EB">
      <w:pPr>
        <w:pStyle w:val="a3"/>
        <w:spacing w:before="1"/>
        <w:rPr>
          <w:sz w:val="17"/>
        </w:rPr>
      </w:pPr>
    </w:p>
    <w:p w14:paraId="2D42AC5D" w14:textId="77777777" w:rsidR="00A720EB" w:rsidRDefault="0030286B">
      <w:pPr>
        <w:pStyle w:val="a3"/>
        <w:spacing w:before="125" w:line="307" w:lineRule="auto"/>
        <w:ind w:left="124"/>
      </w:pPr>
      <w:r>
        <w:rPr>
          <w:color w:val="333333"/>
          <w:w w:val="110"/>
        </w:rPr>
        <w:t xml:space="preserve">Also, if an application is using Kubernetes </w:t>
      </w:r>
      <w:hyperlink r:id="rId464">
        <w:r>
          <w:rPr>
            <w:color w:val="418BCA"/>
            <w:w w:val="110"/>
          </w:rPr>
          <w:t xml:space="preserve">autoscaling </w:t>
        </w:r>
      </w:hyperlink>
      <w:r>
        <w:rPr>
          <w:color w:val="333333"/>
          <w:w w:val="110"/>
        </w:rPr>
        <w:t>it may react differently to applications being taken out of the load-balancer, depending on its autoscaler configuration.</w:t>
      </w:r>
    </w:p>
    <w:p w14:paraId="71DB374F" w14:textId="77777777" w:rsidR="00A720EB" w:rsidRDefault="00A720EB">
      <w:pPr>
        <w:pStyle w:val="a3"/>
        <w:spacing w:before="8"/>
        <w:rPr>
          <w:sz w:val="25"/>
        </w:rPr>
      </w:pPr>
    </w:p>
    <w:p w14:paraId="01E5D581" w14:textId="77777777" w:rsidR="00A720EB" w:rsidRDefault="0030286B">
      <w:pPr>
        <w:pStyle w:val="4"/>
        <w:jc w:val="left"/>
      </w:pPr>
      <w:bookmarkStart w:id="585" w:name="Application_lifecycle_and_Probes_states"/>
      <w:bookmarkEnd w:id="585"/>
      <w:r>
        <w:rPr>
          <w:color w:val="333333"/>
          <w:w w:val="110"/>
        </w:rPr>
        <w:t>Application lifecycle and Probes states</w:t>
      </w:r>
    </w:p>
    <w:p w14:paraId="693C5674" w14:textId="77777777" w:rsidR="00A720EB" w:rsidRDefault="00A720EB">
      <w:pPr>
        <w:pStyle w:val="a3"/>
        <w:spacing w:before="11"/>
        <w:rPr>
          <w:rFonts w:ascii="Palatino Linotype"/>
          <w:b/>
          <w:sz w:val="18"/>
        </w:rPr>
      </w:pPr>
    </w:p>
    <w:p w14:paraId="4ACDA0DF" w14:textId="77777777" w:rsidR="00A720EB" w:rsidRDefault="0030286B">
      <w:pPr>
        <w:pStyle w:val="a3"/>
        <w:spacing w:line="307" w:lineRule="auto"/>
        <w:ind w:left="124" w:right="462"/>
      </w:pPr>
      <w:r>
        <w:rPr>
          <w:color w:val="333333"/>
          <w:w w:val="110"/>
        </w:rPr>
        <w:t xml:space="preserve">An important aspect of the Kubernetes Probes support is its consistency with the application lifecycle. Spring Boot publishes </w:t>
      </w:r>
      <w:hyperlink w:anchor="_bookmark95" w:history="1">
        <w:r>
          <w:rPr>
            <w:color w:val="418BCA"/>
            <w:w w:val="110"/>
          </w:rPr>
          <w:t>Application Events during startup and</w:t>
        </w:r>
        <w:r>
          <w:rPr>
            <w:color w:val="418BCA"/>
            <w:spacing w:val="40"/>
            <w:w w:val="110"/>
          </w:rPr>
          <w:t xml:space="preserve"> </w:t>
        </w:r>
        <w:r>
          <w:rPr>
            <w:color w:val="418BCA"/>
            <w:w w:val="110"/>
          </w:rPr>
          <w:t>shutdown</w:t>
        </w:r>
      </w:hyperlink>
      <w:r>
        <w:rPr>
          <w:color w:val="333333"/>
          <w:w w:val="110"/>
        </w:rPr>
        <w:t>.</w:t>
      </w:r>
    </w:p>
    <w:p w14:paraId="4DA157BD" w14:textId="77777777" w:rsidR="00A720EB" w:rsidRDefault="0030286B">
      <w:pPr>
        <w:pStyle w:val="a3"/>
        <w:spacing w:before="241"/>
        <w:ind w:left="124"/>
      </w:pPr>
      <w:r>
        <w:rPr>
          <w:color w:val="333333"/>
          <w:w w:val="110"/>
        </w:rPr>
        <w:t>When a Spring Boot application starts:</w:t>
      </w:r>
    </w:p>
    <w:p w14:paraId="41AFC780" w14:textId="77777777" w:rsidR="00A720EB" w:rsidRDefault="00A720EB">
      <w:pPr>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302"/>
        <w:gridCol w:w="1535"/>
        <w:gridCol w:w="1535"/>
        <w:gridCol w:w="4605"/>
      </w:tblGrid>
      <w:tr w:rsidR="00A720EB" w14:paraId="5C99A681" w14:textId="77777777">
        <w:trPr>
          <w:trHeight w:val="731"/>
        </w:trPr>
        <w:tc>
          <w:tcPr>
            <w:tcW w:w="2302" w:type="dxa"/>
            <w:tcBorders>
              <w:bottom w:val="single" w:sz="12" w:space="0" w:color="DDDDDD"/>
            </w:tcBorders>
          </w:tcPr>
          <w:p w14:paraId="0F854B2D" w14:textId="77777777" w:rsidR="00A720EB" w:rsidRDefault="0030286B">
            <w:pPr>
              <w:pStyle w:val="TableParagraph"/>
              <w:spacing w:before="71" w:line="266" w:lineRule="auto"/>
              <w:ind w:right="153"/>
              <w:rPr>
                <w:rFonts w:ascii="Palatino Linotype"/>
                <w:b/>
                <w:sz w:val="21"/>
              </w:rPr>
            </w:pPr>
            <w:r>
              <w:rPr>
                <w:rFonts w:ascii="Palatino Linotype"/>
                <w:b/>
                <w:color w:val="333333"/>
                <w:w w:val="110"/>
                <w:sz w:val="21"/>
              </w:rPr>
              <w:lastRenderedPageBreak/>
              <w:t>Application startup phase</w:t>
            </w:r>
          </w:p>
        </w:tc>
        <w:tc>
          <w:tcPr>
            <w:tcW w:w="1535" w:type="dxa"/>
            <w:tcBorders>
              <w:bottom w:val="single" w:sz="12" w:space="0" w:color="DDDDDD"/>
            </w:tcBorders>
          </w:tcPr>
          <w:p w14:paraId="07A1B061" w14:textId="77777777" w:rsidR="00A720EB" w:rsidRDefault="0030286B">
            <w:pPr>
              <w:pStyle w:val="TableParagraph"/>
              <w:spacing w:before="71" w:line="266" w:lineRule="auto"/>
              <w:ind w:right="522"/>
              <w:rPr>
                <w:rFonts w:ascii="Palatino Linotype"/>
                <w:b/>
                <w:sz w:val="21"/>
              </w:rPr>
            </w:pPr>
            <w:r>
              <w:rPr>
                <w:rFonts w:ascii="Palatino Linotype"/>
                <w:b/>
                <w:color w:val="333333"/>
                <w:w w:val="110"/>
                <w:sz w:val="21"/>
              </w:rPr>
              <w:t>Liveness State</w:t>
            </w:r>
          </w:p>
        </w:tc>
        <w:tc>
          <w:tcPr>
            <w:tcW w:w="1535" w:type="dxa"/>
            <w:tcBorders>
              <w:bottom w:val="single" w:sz="12" w:space="0" w:color="DDDDDD"/>
            </w:tcBorders>
          </w:tcPr>
          <w:p w14:paraId="60F82119" w14:textId="77777777" w:rsidR="00A720EB" w:rsidRDefault="0030286B">
            <w:pPr>
              <w:pStyle w:val="TableParagraph"/>
              <w:spacing w:before="71" w:line="266" w:lineRule="auto"/>
              <w:ind w:left="59"/>
              <w:rPr>
                <w:rFonts w:ascii="Palatino Linotype"/>
                <w:b/>
                <w:sz w:val="21"/>
              </w:rPr>
            </w:pPr>
            <w:r>
              <w:rPr>
                <w:rFonts w:ascii="Palatino Linotype"/>
                <w:b/>
                <w:color w:val="333333"/>
                <w:w w:val="105"/>
                <w:sz w:val="21"/>
              </w:rPr>
              <w:t xml:space="preserve">Readiness </w:t>
            </w:r>
            <w:r>
              <w:rPr>
                <w:rFonts w:ascii="Palatino Linotype"/>
                <w:b/>
                <w:color w:val="333333"/>
                <w:w w:val="110"/>
                <w:sz w:val="21"/>
              </w:rPr>
              <w:t>State</w:t>
            </w:r>
          </w:p>
        </w:tc>
        <w:tc>
          <w:tcPr>
            <w:tcW w:w="4605" w:type="dxa"/>
            <w:tcBorders>
              <w:bottom w:val="single" w:sz="12" w:space="0" w:color="DDDDDD"/>
            </w:tcBorders>
          </w:tcPr>
          <w:p w14:paraId="2A1AAE33" w14:textId="77777777" w:rsidR="00A720EB" w:rsidRDefault="0030286B">
            <w:pPr>
              <w:pStyle w:val="TableParagraph"/>
              <w:spacing w:before="71"/>
              <w:ind w:left="59"/>
              <w:rPr>
                <w:rFonts w:ascii="Palatino Linotype"/>
                <w:b/>
                <w:sz w:val="21"/>
              </w:rPr>
            </w:pPr>
            <w:r>
              <w:rPr>
                <w:rFonts w:ascii="Palatino Linotype"/>
                <w:b/>
                <w:color w:val="333333"/>
                <w:w w:val="105"/>
                <w:sz w:val="21"/>
              </w:rPr>
              <w:t>Notes</w:t>
            </w:r>
          </w:p>
        </w:tc>
      </w:tr>
      <w:tr w:rsidR="00A720EB" w14:paraId="1C1A9E57" w14:textId="77777777">
        <w:trPr>
          <w:trHeight w:val="731"/>
        </w:trPr>
        <w:tc>
          <w:tcPr>
            <w:tcW w:w="2302" w:type="dxa"/>
            <w:tcBorders>
              <w:top w:val="single" w:sz="12" w:space="0" w:color="DDDDDD"/>
            </w:tcBorders>
          </w:tcPr>
          <w:p w14:paraId="0D9583C0" w14:textId="77777777" w:rsidR="00A720EB" w:rsidRDefault="0030286B">
            <w:pPr>
              <w:pStyle w:val="TableParagraph"/>
              <w:spacing w:before="82"/>
              <w:rPr>
                <w:rFonts w:ascii="Cambria"/>
                <w:sz w:val="21"/>
              </w:rPr>
            </w:pPr>
            <w:r>
              <w:rPr>
                <w:rFonts w:ascii="Cambria"/>
                <w:color w:val="333333"/>
                <w:w w:val="110"/>
                <w:sz w:val="21"/>
              </w:rPr>
              <w:t>Starting</w:t>
            </w:r>
          </w:p>
        </w:tc>
        <w:tc>
          <w:tcPr>
            <w:tcW w:w="1535" w:type="dxa"/>
            <w:tcBorders>
              <w:top w:val="single" w:sz="12" w:space="0" w:color="DDDDDD"/>
            </w:tcBorders>
          </w:tcPr>
          <w:p w14:paraId="3BEC0AE8" w14:textId="77777777" w:rsidR="00A720EB" w:rsidRDefault="0030286B">
            <w:pPr>
              <w:pStyle w:val="TableParagraph"/>
              <w:spacing w:before="28"/>
              <w:rPr>
                <w:sz w:val="21"/>
              </w:rPr>
            </w:pPr>
            <w:r>
              <w:rPr>
                <w:color w:val="B02045"/>
                <w:sz w:val="21"/>
              </w:rPr>
              <w:t>BROKEN</w:t>
            </w:r>
          </w:p>
        </w:tc>
        <w:tc>
          <w:tcPr>
            <w:tcW w:w="1535" w:type="dxa"/>
            <w:tcBorders>
              <w:top w:val="single" w:sz="12" w:space="0" w:color="DDDDDD"/>
            </w:tcBorders>
          </w:tcPr>
          <w:p w14:paraId="696B3BEC" w14:textId="77777777" w:rsidR="00A720EB" w:rsidRDefault="0030286B">
            <w:pPr>
              <w:pStyle w:val="TableParagraph"/>
              <w:spacing w:before="36" w:line="230" w:lineRule="auto"/>
              <w:ind w:left="59" w:right="81"/>
              <w:rPr>
                <w:sz w:val="21"/>
              </w:rPr>
            </w:pPr>
            <w:r>
              <w:rPr>
                <w:color w:val="B02045"/>
                <w:sz w:val="21"/>
              </w:rPr>
              <w:t>REFUSING_TRAF FIC</w:t>
            </w:r>
          </w:p>
        </w:tc>
        <w:tc>
          <w:tcPr>
            <w:tcW w:w="4605" w:type="dxa"/>
            <w:tcBorders>
              <w:top w:val="single" w:sz="12" w:space="0" w:color="DDDDDD"/>
            </w:tcBorders>
          </w:tcPr>
          <w:p w14:paraId="51E6BE2D" w14:textId="77777777" w:rsidR="00A720EB" w:rsidRDefault="0030286B">
            <w:pPr>
              <w:pStyle w:val="TableParagraph"/>
              <w:spacing w:before="18" w:line="310" w:lineRule="atLeast"/>
              <w:ind w:left="59"/>
              <w:rPr>
                <w:rFonts w:ascii="Cambria"/>
                <w:sz w:val="21"/>
              </w:rPr>
            </w:pPr>
            <w:r>
              <w:rPr>
                <w:rFonts w:ascii="Cambria"/>
                <w:color w:val="333333"/>
                <w:w w:val="110"/>
                <w:sz w:val="21"/>
              </w:rPr>
              <w:t>Kubernetes checks the "liveness" Probe and restarts the application if it takes too long.</w:t>
            </w:r>
          </w:p>
        </w:tc>
      </w:tr>
      <w:tr w:rsidR="00A720EB" w14:paraId="33982D42" w14:textId="77777777">
        <w:trPr>
          <w:trHeight w:val="1056"/>
        </w:trPr>
        <w:tc>
          <w:tcPr>
            <w:tcW w:w="2302" w:type="dxa"/>
          </w:tcPr>
          <w:p w14:paraId="443928DA" w14:textId="77777777" w:rsidR="00A720EB" w:rsidRDefault="0030286B">
            <w:pPr>
              <w:pStyle w:val="TableParagraph"/>
              <w:spacing w:before="92"/>
              <w:rPr>
                <w:rFonts w:ascii="Cambria"/>
                <w:sz w:val="21"/>
              </w:rPr>
            </w:pPr>
            <w:r>
              <w:rPr>
                <w:rFonts w:ascii="Cambria"/>
                <w:color w:val="333333"/>
                <w:w w:val="110"/>
                <w:sz w:val="21"/>
              </w:rPr>
              <w:t>Started</w:t>
            </w:r>
          </w:p>
        </w:tc>
        <w:tc>
          <w:tcPr>
            <w:tcW w:w="1535" w:type="dxa"/>
          </w:tcPr>
          <w:p w14:paraId="5FE10457" w14:textId="77777777" w:rsidR="00A720EB" w:rsidRDefault="0030286B">
            <w:pPr>
              <w:pStyle w:val="TableParagraph"/>
              <w:rPr>
                <w:sz w:val="21"/>
              </w:rPr>
            </w:pPr>
            <w:r>
              <w:rPr>
                <w:color w:val="B02045"/>
                <w:sz w:val="21"/>
              </w:rPr>
              <w:t>CORRECT</w:t>
            </w:r>
          </w:p>
        </w:tc>
        <w:tc>
          <w:tcPr>
            <w:tcW w:w="1535" w:type="dxa"/>
          </w:tcPr>
          <w:p w14:paraId="567072F1" w14:textId="77777777" w:rsidR="00A720EB" w:rsidRDefault="0030286B">
            <w:pPr>
              <w:pStyle w:val="TableParagraph"/>
              <w:spacing w:before="46" w:line="230" w:lineRule="auto"/>
              <w:ind w:left="59" w:right="81"/>
              <w:rPr>
                <w:sz w:val="21"/>
              </w:rPr>
            </w:pPr>
            <w:r>
              <w:rPr>
                <w:color w:val="B02045"/>
                <w:sz w:val="21"/>
              </w:rPr>
              <w:t>REFUSING_TRAF FIC</w:t>
            </w:r>
          </w:p>
        </w:tc>
        <w:tc>
          <w:tcPr>
            <w:tcW w:w="4605" w:type="dxa"/>
          </w:tcPr>
          <w:p w14:paraId="32F672A0" w14:textId="77777777" w:rsidR="00A720EB" w:rsidRDefault="0030286B">
            <w:pPr>
              <w:pStyle w:val="TableParagraph"/>
              <w:spacing w:before="28" w:line="310" w:lineRule="atLeast"/>
              <w:ind w:left="59"/>
              <w:rPr>
                <w:rFonts w:ascii="Cambria"/>
                <w:sz w:val="21"/>
              </w:rPr>
            </w:pPr>
            <w:r>
              <w:rPr>
                <w:rFonts w:ascii="Cambria"/>
                <w:color w:val="333333"/>
                <w:w w:val="110"/>
                <w:sz w:val="21"/>
              </w:rPr>
              <w:t>The application context is refreshed. The application performs startup tasks and does not receive traffic yet.</w:t>
            </w:r>
          </w:p>
        </w:tc>
      </w:tr>
      <w:tr w:rsidR="00A720EB" w14:paraId="0F294252" w14:textId="77777777">
        <w:trPr>
          <w:trHeight w:val="741"/>
        </w:trPr>
        <w:tc>
          <w:tcPr>
            <w:tcW w:w="2302" w:type="dxa"/>
          </w:tcPr>
          <w:p w14:paraId="700CFB3D" w14:textId="77777777" w:rsidR="00A720EB" w:rsidRDefault="0030286B">
            <w:pPr>
              <w:pStyle w:val="TableParagraph"/>
              <w:spacing w:before="92"/>
              <w:rPr>
                <w:rFonts w:ascii="Cambria"/>
                <w:sz w:val="21"/>
              </w:rPr>
            </w:pPr>
            <w:r>
              <w:rPr>
                <w:rFonts w:ascii="Cambria"/>
                <w:color w:val="333333"/>
                <w:w w:val="110"/>
                <w:sz w:val="21"/>
              </w:rPr>
              <w:t>Ready</w:t>
            </w:r>
          </w:p>
        </w:tc>
        <w:tc>
          <w:tcPr>
            <w:tcW w:w="1535" w:type="dxa"/>
          </w:tcPr>
          <w:p w14:paraId="3D0F5131" w14:textId="77777777" w:rsidR="00A720EB" w:rsidRDefault="0030286B">
            <w:pPr>
              <w:pStyle w:val="TableParagraph"/>
              <w:spacing w:before="37"/>
              <w:rPr>
                <w:sz w:val="21"/>
              </w:rPr>
            </w:pPr>
            <w:r>
              <w:rPr>
                <w:color w:val="B02045"/>
                <w:sz w:val="21"/>
              </w:rPr>
              <w:t>CORRECT</w:t>
            </w:r>
          </w:p>
        </w:tc>
        <w:tc>
          <w:tcPr>
            <w:tcW w:w="1535" w:type="dxa"/>
          </w:tcPr>
          <w:p w14:paraId="0FAA8C5C" w14:textId="77777777" w:rsidR="00A720EB" w:rsidRDefault="0030286B">
            <w:pPr>
              <w:pStyle w:val="TableParagraph"/>
              <w:spacing w:before="46" w:line="230" w:lineRule="auto"/>
              <w:ind w:left="59" w:right="81"/>
              <w:rPr>
                <w:sz w:val="21"/>
              </w:rPr>
            </w:pPr>
            <w:r>
              <w:rPr>
                <w:color w:val="B02045"/>
                <w:sz w:val="21"/>
              </w:rPr>
              <w:t>ACCEPTING_TRA FFIC</w:t>
            </w:r>
          </w:p>
        </w:tc>
        <w:tc>
          <w:tcPr>
            <w:tcW w:w="4605" w:type="dxa"/>
          </w:tcPr>
          <w:p w14:paraId="1CD76ACF" w14:textId="77777777" w:rsidR="00A720EB" w:rsidRDefault="0030286B">
            <w:pPr>
              <w:pStyle w:val="TableParagraph"/>
              <w:spacing w:before="28" w:line="310" w:lineRule="atLeast"/>
              <w:ind w:left="59"/>
              <w:rPr>
                <w:rFonts w:ascii="Cambria"/>
                <w:sz w:val="21"/>
              </w:rPr>
            </w:pPr>
            <w:r>
              <w:rPr>
                <w:rFonts w:ascii="Cambria"/>
                <w:color w:val="333333"/>
                <w:w w:val="110"/>
                <w:sz w:val="21"/>
              </w:rPr>
              <w:t>Startup tasks are finished. The application is receiving traffic.</w:t>
            </w:r>
          </w:p>
        </w:tc>
      </w:tr>
    </w:tbl>
    <w:p w14:paraId="3CE20354" w14:textId="77777777" w:rsidR="00A720EB" w:rsidRDefault="00A720EB">
      <w:pPr>
        <w:pStyle w:val="a3"/>
        <w:spacing w:before="6"/>
        <w:rPr>
          <w:sz w:val="12"/>
        </w:rPr>
      </w:pPr>
    </w:p>
    <w:p w14:paraId="45A6888E" w14:textId="77777777" w:rsidR="00A720EB" w:rsidRDefault="0030286B">
      <w:pPr>
        <w:pStyle w:val="a3"/>
        <w:spacing w:before="125"/>
        <w:ind w:left="124"/>
        <w:jc w:val="both"/>
      </w:pPr>
      <w:r>
        <w:rPr>
          <w:color w:val="333333"/>
          <w:w w:val="110"/>
        </w:rPr>
        <w:t>When a Spring Boot application shuts down:</w:t>
      </w:r>
    </w:p>
    <w:p w14:paraId="20D17DAA"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302"/>
        <w:gridCol w:w="1535"/>
        <w:gridCol w:w="1535"/>
        <w:gridCol w:w="4605"/>
      </w:tblGrid>
      <w:tr w:rsidR="00A720EB" w14:paraId="4EA3329A" w14:textId="77777777">
        <w:trPr>
          <w:trHeight w:val="731"/>
        </w:trPr>
        <w:tc>
          <w:tcPr>
            <w:tcW w:w="2302" w:type="dxa"/>
            <w:tcBorders>
              <w:bottom w:val="single" w:sz="12" w:space="0" w:color="DDDDDD"/>
            </w:tcBorders>
          </w:tcPr>
          <w:p w14:paraId="1FCEA093" w14:textId="77777777" w:rsidR="00A720EB" w:rsidRDefault="0030286B">
            <w:pPr>
              <w:pStyle w:val="TableParagraph"/>
              <w:spacing w:before="74" w:line="266" w:lineRule="auto"/>
              <w:rPr>
                <w:rFonts w:ascii="Palatino Linotype"/>
                <w:b/>
                <w:sz w:val="21"/>
              </w:rPr>
            </w:pPr>
            <w:r>
              <w:rPr>
                <w:rFonts w:ascii="Palatino Linotype"/>
                <w:b/>
                <w:color w:val="333333"/>
                <w:w w:val="110"/>
                <w:sz w:val="21"/>
              </w:rPr>
              <w:t>Application shutdown phase</w:t>
            </w:r>
          </w:p>
        </w:tc>
        <w:tc>
          <w:tcPr>
            <w:tcW w:w="1535" w:type="dxa"/>
            <w:tcBorders>
              <w:bottom w:val="single" w:sz="12" w:space="0" w:color="DDDDDD"/>
            </w:tcBorders>
          </w:tcPr>
          <w:p w14:paraId="54F2FB9F" w14:textId="77777777" w:rsidR="00A720EB" w:rsidRDefault="0030286B">
            <w:pPr>
              <w:pStyle w:val="TableParagraph"/>
              <w:spacing w:before="74" w:line="266" w:lineRule="auto"/>
              <w:ind w:right="522"/>
              <w:rPr>
                <w:rFonts w:ascii="Palatino Linotype"/>
                <w:b/>
                <w:sz w:val="21"/>
              </w:rPr>
            </w:pPr>
            <w:r>
              <w:rPr>
                <w:rFonts w:ascii="Palatino Linotype"/>
                <w:b/>
                <w:color w:val="333333"/>
                <w:w w:val="110"/>
                <w:sz w:val="21"/>
              </w:rPr>
              <w:t>Liveness State</w:t>
            </w:r>
          </w:p>
        </w:tc>
        <w:tc>
          <w:tcPr>
            <w:tcW w:w="1535" w:type="dxa"/>
            <w:tcBorders>
              <w:bottom w:val="single" w:sz="12" w:space="0" w:color="DDDDDD"/>
            </w:tcBorders>
          </w:tcPr>
          <w:p w14:paraId="08ABE2E6" w14:textId="77777777" w:rsidR="00A720EB" w:rsidRDefault="0030286B">
            <w:pPr>
              <w:pStyle w:val="TableParagraph"/>
              <w:spacing w:before="74" w:line="266" w:lineRule="auto"/>
              <w:ind w:left="59"/>
              <w:rPr>
                <w:rFonts w:ascii="Palatino Linotype"/>
                <w:b/>
                <w:sz w:val="21"/>
              </w:rPr>
            </w:pPr>
            <w:r>
              <w:rPr>
                <w:rFonts w:ascii="Palatino Linotype"/>
                <w:b/>
                <w:color w:val="333333"/>
                <w:w w:val="105"/>
                <w:sz w:val="21"/>
              </w:rPr>
              <w:t xml:space="preserve">Readiness </w:t>
            </w:r>
            <w:r>
              <w:rPr>
                <w:rFonts w:ascii="Palatino Linotype"/>
                <w:b/>
                <w:color w:val="333333"/>
                <w:w w:val="110"/>
                <w:sz w:val="21"/>
              </w:rPr>
              <w:t>State</w:t>
            </w:r>
          </w:p>
        </w:tc>
        <w:tc>
          <w:tcPr>
            <w:tcW w:w="4605" w:type="dxa"/>
            <w:tcBorders>
              <w:bottom w:val="single" w:sz="12" w:space="0" w:color="DDDDDD"/>
            </w:tcBorders>
          </w:tcPr>
          <w:p w14:paraId="452C46C1" w14:textId="77777777" w:rsidR="00A720EB" w:rsidRDefault="0030286B">
            <w:pPr>
              <w:pStyle w:val="TableParagraph"/>
              <w:spacing w:before="74"/>
              <w:ind w:left="59"/>
              <w:rPr>
                <w:rFonts w:ascii="Palatino Linotype"/>
                <w:b/>
                <w:sz w:val="21"/>
              </w:rPr>
            </w:pPr>
            <w:r>
              <w:rPr>
                <w:rFonts w:ascii="Palatino Linotype"/>
                <w:b/>
                <w:color w:val="333333"/>
                <w:w w:val="105"/>
                <w:sz w:val="21"/>
              </w:rPr>
              <w:t>Notes</w:t>
            </w:r>
          </w:p>
        </w:tc>
      </w:tr>
      <w:tr w:rsidR="00A720EB" w14:paraId="31418995" w14:textId="77777777">
        <w:trPr>
          <w:trHeight w:val="415"/>
        </w:trPr>
        <w:tc>
          <w:tcPr>
            <w:tcW w:w="2302" w:type="dxa"/>
            <w:tcBorders>
              <w:top w:val="single" w:sz="12" w:space="0" w:color="DDDDDD"/>
            </w:tcBorders>
          </w:tcPr>
          <w:p w14:paraId="65D92BA3" w14:textId="77777777" w:rsidR="00A720EB" w:rsidRDefault="0030286B">
            <w:pPr>
              <w:pStyle w:val="TableParagraph"/>
              <w:spacing w:before="84"/>
              <w:rPr>
                <w:rFonts w:ascii="Cambria"/>
                <w:sz w:val="21"/>
              </w:rPr>
            </w:pPr>
            <w:r>
              <w:rPr>
                <w:rFonts w:ascii="Cambria"/>
                <w:color w:val="333333"/>
                <w:w w:val="115"/>
                <w:sz w:val="21"/>
              </w:rPr>
              <w:t>Running</w:t>
            </w:r>
          </w:p>
        </w:tc>
        <w:tc>
          <w:tcPr>
            <w:tcW w:w="1535" w:type="dxa"/>
            <w:tcBorders>
              <w:top w:val="single" w:sz="12" w:space="0" w:color="DDDDDD"/>
            </w:tcBorders>
          </w:tcPr>
          <w:p w14:paraId="576C096B" w14:textId="77777777" w:rsidR="00A720EB" w:rsidRDefault="0030286B">
            <w:pPr>
              <w:pStyle w:val="TableParagraph"/>
              <w:spacing w:before="84"/>
              <w:rPr>
                <w:rFonts w:ascii="Cambria"/>
                <w:sz w:val="21"/>
              </w:rPr>
            </w:pPr>
            <w:r>
              <w:rPr>
                <w:rFonts w:ascii="Cambria"/>
                <w:color w:val="333333"/>
                <w:w w:val="115"/>
                <w:sz w:val="21"/>
              </w:rPr>
              <w:t>live</w:t>
            </w:r>
          </w:p>
        </w:tc>
        <w:tc>
          <w:tcPr>
            <w:tcW w:w="1535" w:type="dxa"/>
            <w:tcBorders>
              <w:top w:val="single" w:sz="12" w:space="0" w:color="DDDDDD"/>
            </w:tcBorders>
          </w:tcPr>
          <w:p w14:paraId="66B23BB7" w14:textId="77777777" w:rsidR="00A720EB" w:rsidRDefault="0030286B">
            <w:pPr>
              <w:pStyle w:val="TableParagraph"/>
              <w:spacing w:before="84"/>
              <w:ind w:left="59"/>
              <w:rPr>
                <w:rFonts w:ascii="Cambria"/>
                <w:sz w:val="21"/>
              </w:rPr>
            </w:pPr>
            <w:r>
              <w:rPr>
                <w:rFonts w:ascii="Cambria"/>
                <w:color w:val="333333"/>
                <w:w w:val="110"/>
                <w:sz w:val="21"/>
              </w:rPr>
              <w:t>ready</w:t>
            </w:r>
          </w:p>
        </w:tc>
        <w:tc>
          <w:tcPr>
            <w:tcW w:w="4605" w:type="dxa"/>
            <w:tcBorders>
              <w:top w:val="single" w:sz="12" w:space="0" w:color="DDDDDD"/>
            </w:tcBorders>
          </w:tcPr>
          <w:p w14:paraId="5EA9C042" w14:textId="77777777" w:rsidR="00A720EB" w:rsidRDefault="0030286B">
            <w:pPr>
              <w:pStyle w:val="TableParagraph"/>
              <w:spacing w:before="84"/>
              <w:ind w:left="59"/>
              <w:rPr>
                <w:rFonts w:ascii="Cambria"/>
                <w:sz w:val="21"/>
              </w:rPr>
            </w:pPr>
            <w:r>
              <w:rPr>
                <w:rFonts w:ascii="Cambria"/>
                <w:color w:val="333333"/>
                <w:w w:val="110"/>
                <w:sz w:val="21"/>
              </w:rPr>
              <w:t>Shutdown has been requested.</w:t>
            </w:r>
          </w:p>
        </w:tc>
      </w:tr>
      <w:tr w:rsidR="00A720EB" w14:paraId="0B2AD3C1" w14:textId="77777777">
        <w:trPr>
          <w:trHeight w:val="741"/>
        </w:trPr>
        <w:tc>
          <w:tcPr>
            <w:tcW w:w="2302" w:type="dxa"/>
          </w:tcPr>
          <w:p w14:paraId="3A47D84B" w14:textId="77777777" w:rsidR="00A720EB" w:rsidRDefault="0030286B">
            <w:pPr>
              <w:pStyle w:val="TableParagraph"/>
              <w:spacing w:before="94"/>
              <w:rPr>
                <w:rFonts w:ascii="Cambria"/>
                <w:sz w:val="21"/>
              </w:rPr>
            </w:pPr>
            <w:r>
              <w:rPr>
                <w:rFonts w:ascii="Cambria"/>
                <w:color w:val="333333"/>
                <w:w w:val="115"/>
                <w:sz w:val="21"/>
              </w:rPr>
              <w:t>Graceful shutdown</w:t>
            </w:r>
          </w:p>
        </w:tc>
        <w:tc>
          <w:tcPr>
            <w:tcW w:w="1535" w:type="dxa"/>
          </w:tcPr>
          <w:p w14:paraId="714193CE" w14:textId="77777777" w:rsidR="00A720EB" w:rsidRDefault="0030286B">
            <w:pPr>
              <w:pStyle w:val="TableParagraph"/>
              <w:spacing w:before="94"/>
              <w:rPr>
                <w:rFonts w:ascii="Cambria"/>
                <w:sz w:val="21"/>
              </w:rPr>
            </w:pPr>
            <w:r>
              <w:rPr>
                <w:rFonts w:ascii="Cambria"/>
                <w:color w:val="333333"/>
                <w:w w:val="115"/>
                <w:sz w:val="21"/>
              </w:rPr>
              <w:t>live</w:t>
            </w:r>
          </w:p>
        </w:tc>
        <w:tc>
          <w:tcPr>
            <w:tcW w:w="1535" w:type="dxa"/>
          </w:tcPr>
          <w:p w14:paraId="7BD02883" w14:textId="77777777" w:rsidR="00A720EB" w:rsidRDefault="0030286B">
            <w:pPr>
              <w:pStyle w:val="TableParagraph"/>
              <w:spacing w:before="94"/>
              <w:ind w:left="59"/>
              <w:rPr>
                <w:rFonts w:ascii="Cambria"/>
                <w:sz w:val="21"/>
              </w:rPr>
            </w:pPr>
            <w:r>
              <w:rPr>
                <w:rFonts w:ascii="Cambria"/>
                <w:color w:val="333333"/>
                <w:w w:val="115"/>
                <w:sz w:val="21"/>
              </w:rPr>
              <w:t>unready</w:t>
            </w:r>
          </w:p>
        </w:tc>
        <w:tc>
          <w:tcPr>
            <w:tcW w:w="4605" w:type="dxa"/>
          </w:tcPr>
          <w:p w14:paraId="7BAF3255" w14:textId="77777777" w:rsidR="00A720EB" w:rsidRDefault="0030286B">
            <w:pPr>
              <w:pStyle w:val="TableParagraph"/>
              <w:spacing w:before="31" w:line="310" w:lineRule="atLeast"/>
              <w:ind w:left="59"/>
              <w:rPr>
                <w:rFonts w:ascii="Cambria"/>
                <w:sz w:val="21"/>
              </w:rPr>
            </w:pPr>
            <w:r>
              <w:rPr>
                <w:rFonts w:ascii="Cambria"/>
                <w:color w:val="333333"/>
                <w:w w:val="110"/>
                <w:sz w:val="21"/>
              </w:rPr>
              <w:t xml:space="preserve">If enabled, </w:t>
            </w:r>
            <w:hyperlink w:anchor="_bookmark181" w:history="1">
              <w:r>
                <w:rPr>
                  <w:rFonts w:ascii="Cambria"/>
                  <w:color w:val="418BCA"/>
                  <w:w w:val="110"/>
                  <w:sz w:val="21"/>
                </w:rPr>
                <w:t>graceful shutdown processes in-</w:t>
              </w:r>
            </w:hyperlink>
            <w:r>
              <w:rPr>
                <w:rFonts w:ascii="Cambria"/>
                <w:color w:val="418BCA"/>
                <w:w w:val="110"/>
                <w:sz w:val="21"/>
              </w:rPr>
              <w:t xml:space="preserve"> </w:t>
            </w:r>
            <w:hyperlink w:anchor="_bookmark181" w:history="1">
              <w:r>
                <w:rPr>
                  <w:rFonts w:ascii="Cambria"/>
                  <w:color w:val="418BCA"/>
                  <w:w w:val="110"/>
                  <w:sz w:val="21"/>
                </w:rPr>
                <w:t>flight requests</w:t>
              </w:r>
            </w:hyperlink>
            <w:r>
              <w:rPr>
                <w:rFonts w:ascii="Cambria"/>
                <w:color w:val="333333"/>
                <w:w w:val="110"/>
                <w:sz w:val="21"/>
              </w:rPr>
              <w:t>.</w:t>
            </w:r>
          </w:p>
        </w:tc>
      </w:tr>
      <w:tr w:rsidR="00A720EB" w14:paraId="2AA198D3" w14:textId="77777777">
        <w:trPr>
          <w:trHeight w:val="741"/>
        </w:trPr>
        <w:tc>
          <w:tcPr>
            <w:tcW w:w="2302" w:type="dxa"/>
          </w:tcPr>
          <w:p w14:paraId="050A43BF" w14:textId="77777777" w:rsidR="00A720EB" w:rsidRDefault="0030286B">
            <w:pPr>
              <w:pStyle w:val="TableParagraph"/>
              <w:spacing w:before="94"/>
              <w:rPr>
                <w:rFonts w:ascii="Cambria"/>
                <w:sz w:val="21"/>
              </w:rPr>
            </w:pPr>
            <w:r>
              <w:rPr>
                <w:rFonts w:ascii="Cambria"/>
                <w:color w:val="333333"/>
                <w:w w:val="110"/>
                <w:sz w:val="21"/>
              </w:rPr>
              <w:t>Shutdown complete</w:t>
            </w:r>
          </w:p>
        </w:tc>
        <w:tc>
          <w:tcPr>
            <w:tcW w:w="1535" w:type="dxa"/>
          </w:tcPr>
          <w:p w14:paraId="75D5A570" w14:textId="77777777" w:rsidR="00A720EB" w:rsidRDefault="0030286B">
            <w:pPr>
              <w:pStyle w:val="TableParagraph"/>
              <w:spacing w:before="94"/>
              <w:rPr>
                <w:rFonts w:ascii="Cambria"/>
                <w:sz w:val="21"/>
              </w:rPr>
            </w:pPr>
            <w:r>
              <w:rPr>
                <w:rFonts w:ascii="Cambria"/>
                <w:color w:val="333333"/>
                <w:w w:val="110"/>
                <w:sz w:val="21"/>
              </w:rPr>
              <w:t>broken</w:t>
            </w:r>
          </w:p>
        </w:tc>
        <w:tc>
          <w:tcPr>
            <w:tcW w:w="1535" w:type="dxa"/>
          </w:tcPr>
          <w:p w14:paraId="2038BC97" w14:textId="77777777" w:rsidR="00A720EB" w:rsidRDefault="0030286B">
            <w:pPr>
              <w:pStyle w:val="TableParagraph"/>
              <w:spacing w:before="94"/>
              <w:ind w:left="59"/>
              <w:rPr>
                <w:rFonts w:ascii="Cambria"/>
                <w:sz w:val="21"/>
              </w:rPr>
            </w:pPr>
            <w:r>
              <w:rPr>
                <w:rFonts w:ascii="Cambria"/>
                <w:color w:val="333333"/>
                <w:w w:val="115"/>
                <w:sz w:val="21"/>
              </w:rPr>
              <w:t>unready</w:t>
            </w:r>
          </w:p>
        </w:tc>
        <w:tc>
          <w:tcPr>
            <w:tcW w:w="4605" w:type="dxa"/>
          </w:tcPr>
          <w:p w14:paraId="3BA7ACEB" w14:textId="77777777" w:rsidR="00A720EB" w:rsidRDefault="0030286B">
            <w:pPr>
              <w:pStyle w:val="TableParagraph"/>
              <w:spacing w:before="31" w:line="310" w:lineRule="atLeast"/>
              <w:ind w:left="59"/>
              <w:rPr>
                <w:rFonts w:ascii="Cambria"/>
                <w:sz w:val="21"/>
              </w:rPr>
            </w:pPr>
            <w:r>
              <w:rPr>
                <w:rFonts w:ascii="Cambria"/>
                <w:color w:val="333333"/>
                <w:w w:val="110"/>
                <w:sz w:val="21"/>
              </w:rPr>
              <w:t>The application context is closed and the application cannot serve traffic.</w:t>
            </w:r>
          </w:p>
        </w:tc>
      </w:tr>
    </w:tbl>
    <w:p w14:paraId="1470AE3F" w14:textId="77777777" w:rsidR="00A720EB" w:rsidRDefault="00A720EB">
      <w:pPr>
        <w:pStyle w:val="a3"/>
        <w:spacing w:before="3"/>
        <w:rPr>
          <w:sz w:val="30"/>
        </w:rPr>
      </w:pPr>
    </w:p>
    <w:p w14:paraId="41D96753" w14:textId="77777777" w:rsidR="00A720EB" w:rsidRDefault="00E10349">
      <w:pPr>
        <w:pStyle w:val="a3"/>
        <w:spacing w:line="307" w:lineRule="auto"/>
        <w:ind w:left="1564"/>
      </w:pPr>
      <w:r>
        <w:pict w14:anchorId="60C254B5">
          <v:line id="_x0000_s3231" style="position:absolute;left:0;text-align:left;z-index:16221184;mso-position-horizontal-relative:page" from="108.25pt,-6pt" to="108.25pt,33.55pt" strokecolor="#ededed" strokeweight=".5pt">
            <w10:wrap anchorx="page"/>
          </v:line>
        </w:pict>
      </w:r>
      <w:r w:rsidR="0030286B">
        <w:rPr>
          <w:noProof/>
        </w:rPr>
        <w:drawing>
          <wp:anchor distT="0" distB="0" distL="0" distR="0" simplePos="0" relativeHeight="16221696" behindDoc="0" locked="0" layoutInCell="1" allowOverlap="1" wp14:anchorId="1A388BFB" wp14:editId="065EE910">
            <wp:simplePos x="0" y="0"/>
            <wp:positionH relativeFrom="page">
              <wp:posOffset>888949</wp:posOffset>
            </wp:positionH>
            <wp:positionV relativeFrom="paragraph">
              <wp:posOffset>22771</wp:posOffset>
            </wp:positionV>
            <wp:extent cx="209550" cy="304800"/>
            <wp:effectExtent l="0" t="0" r="0" b="0"/>
            <wp:wrapNone/>
            <wp:docPr id="6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Check out the </w:t>
      </w:r>
      <w:hyperlink w:anchor="_bookmark475" w:history="1">
        <w:r w:rsidR="0030286B">
          <w:rPr>
            <w:color w:val="418BCA"/>
            <w:w w:val="110"/>
          </w:rPr>
          <w:t>Kubernetes container lifecycle section</w:t>
        </w:r>
      </w:hyperlink>
      <w:r w:rsidR="0030286B">
        <w:rPr>
          <w:color w:val="418BCA"/>
          <w:w w:val="110"/>
        </w:rPr>
        <w:t xml:space="preserve"> </w:t>
      </w:r>
      <w:r w:rsidR="0030286B">
        <w:rPr>
          <w:color w:val="333333"/>
          <w:w w:val="110"/>
        </w:rPr>
        <w:t xml:space="preserve">for more information </w:t>
      </w:r>
      <w:proofErr w:type="gramStart"/>
      <w:r w:rsidR="0030286B">
        <w:rPr>
          <w:color w:val="333333"/>
          <w:w w:val="110"/>
        </w:rPr>
        <w:t>about  Kubernetes</w:t>
      </w:r>
      <w:proofErr w:type="gramEnd"/>
      <w:r w:rsidR="0030286B">
        <w:rPr>
          <w:color w:val="333333"/>
          <w:w w:val="110"/>
        </w:rPr>
        <w:t xml:space="preserve"> deployment.</w:t>
      </w:r>
    </w:p>
    <w:p w14:paraId="4C5DBD15" w14:textId="77777777" w:rsidR="00A720EB" w:rsidRDefault="00A720EB">
      <w:pPr>
        <w:pStyle w:val="a3"/>
        <w:spacing w:before="6"/>
        <w:rPr>
          <w:sz w:val="32"/>
        </w:rPr>
      </w:pPr>
    </w:p>
    <w:p w14:paraId="432BB7FA" w14:textId="77777777" w:rsidR="00A720EB" w:rsidRDefault="0030286B">
      <w:pPr>
        <w:pStyle w:val="3"/>
        <w:numPr>
          <w:ilvl w:val="2"/>
          <w:numId w:val="24"/>
        </w:numPr>
        <w:tabs>
          <w:tab w:val="left" w:pos="1003"/>
        </w:tabs>
        <w:spacing w:before="1"/>
        <w:ind w:left="1002" w:hanging="879"/>
      </w:pPr>
      <w:bookmarkStart w:id="586" w:name="5.2.10._Application_Information"/>
      <w:bookmarkStart w:id="587" w:name="_Toc54423847"/>
      <w:bookmarkEnd w:id="586"/>
      <w:r>
        <w:rPr>
          <w:color w:val="333333"/>
          <w:w w:val="110"/>
        </w:rPr>
        <w:t>Application</w:t>
      </w:r>
      <w:r>
        <w:rPr>
          <w:color w:val="333333"/>
          <w:spacing w:val="-6"/>
          <w:w w:val="110"/>
        </w:rPr>
        <w:t xml:space="preserve"> </w:t>
      </w:r>
      <w:r>
        <w:rPr>
          <w:color w:val="333333"/>
          <w:w w:val="110"/>
        </w:rPr>
        <w:t>Information</w:t>
      </w:r>
      <w:bookmarkEnd w:id="587"/>
    </w:p>
    <w:p w14:paraId="7F3DDA7E" w14:textId="77777777" w:rsidR="00A720EB" w:rsidRDefault="0030286B">
      <w:pPr>
        <w:pStyle w:val="a3"/>
        <w:spacing w:before="243" w:line="280" w:lineRule="auto"/>
        <w:ind w:left="124" w:right="123"/>
        <w:jc w:val="both"/>
      </w:pPr>
      <w:r>
        <w:rPr>
          <w:color w:val="333333"/>
          <w:w w:val="110"/>
        </w:rPr>
        <w:t xml:space="preserve">Application information exposes various information collected from all </w:t>
      </w:r>
      <w:hyperlink r:id="rId465">
        <w:r>
          <w:rPr>
            <w:rFonts w:ascii="MS Gothic"/>
            <w:color w:val="B02045"/>
            <w:w w:val="110"/>
          </w:rPr>
          <w:t xml:space="preserve">InfoContributor </w:t>
        </w:r>
      </w:hyperlink>
      <w:r>
        <w:rPr>
          <w:color w:val="333333"/>
          <w:w w:val="110"/>
        </w:rPr>
        <w:t xml:space="preserve">beans defined in your </w:t>
      </w:r>
      <w:r>
        <w:rPr>
          <w:rFonts w:ascii="MS Gothic"/>
          <w:color w:val="B02045"/>
          <w:w w:val="110"/>
        </w:rPr>
        <w:t>ApplicationContext</w:t>
      </w:r>
      <w:r>
        <w:rPr>
          <w:color w:val="333333"/>
          <w:w w:val="110"/>
        </w:rPr>
        <w:t xml:space="preserve">. Spring Boot includes a number of auto-configured </w:t>
      </w:r>
      <w:r>
        <w:rPr>
          <w:rFonts w:ascii="MS Gothic"/>
          <w:color w:val="B02045"/>
          <w:w w:val="110"/>
        </w:rPr>
        <w:t>InfoContributor</w:t>
      </w:r>
      <w:r>
        <w:rPr>
          <w:rFonts w:ascii="MS Gothic"/>
          <w:color w:val="B02045"/>
          <w:spacing w:val="-54"/>
          <w:w w:val="110"/>
        </w:rPr>
        <w:t xml:space="preserve"> </w:t>
      </w:r>
      <w:r>
        <w:rPr>
          <w:color w:val="333333"/>
          <w:w w:val="110"/>
        </w:rPr>
        <w:t>beans, and you can write your own.</w:t>
      </w:r>
    </w:p>
    <w:p w14:paraId="02F40A77" w14:textId="77777777" w:rsidR="00A720EB" w:rsidRDefault="00A720EB">
      <w:pPr>
        <w:pStyle w:val="a3"/>
        <w:spacing w:before="8"/>
        <w:rPr>
          <w:sz w:val="26"/>
        </w:rPr>
      </w:pPr>
    </w:p>
    <w:p w14:paraId="67421FEA" w14:textId="77777777" w:rsidR="00A720EB" w:rsidRDefault="0030286B">
      <w:pPr>
        <w:pStyle w:val="4"/>
      </w:pPr>
      <w:bookmarkStart w:id="588" w:name="Auto-configured_InfoContributors"/>
      <w:bookmarkEnd w:id="588"/>
      <w:r>
        <w:rPr>
          <w:color w:val="333333"/>
          <w:w w:val="110"/>
        </w:rPr>
        <w:t>Auto-configured InfoContributors</w:t>
      </w:r>
    </w:p>
    <w:p w14:paraId="6ECF460C" w14:textId="77777777" w:rsidR="00A720EB" w:rsidRDefault="0030286B">
      <w:pPr>
        <w:pStyle w:val="a3"/>
        <w:spacing w:before="244"/>
        <w:ind w:left="124"/>
        <w:jc w:val="both"/>
      </w:pPr>
      <w:r>
        <w:rPr>
          <w:color w:val="333333"/>
          <w:w w:val="110"/>
        </w:rPr>
        <w:t xml:space="preserve">The following </w:t>
      </w:r>
      <w:r>
        <w:rPr>
          <w:rFonts w:ascii="MS Gothic"/>
          <w:color w:val="B02045"/>
          <w:w w:val="110"/>
        </w:rPr>
        <w:t>InfoContributor</w:t>
      </w:r>
      <w:r>
        <w:rPr>
          <w:rFonts w:ascii="MS Gothic"/>
          <w:color w:val="B02045"/>
          <w:spacing w:val="-77"/>
          <w:w w:val="110"/>
        </w:rPr>
        <w:t xml:space="preserve"> </w:t>
      </w:r>
      <w:r>
        <w:rPr>
          <w:color w:val="333333"/>
          <w:w w:val="110"/>
        </w:rPr>
        <w:t xml:space="preserve">beans are auto-configured </w:t>
      </w:r>
      <w:r>
        <w:rPr>
          <w:color w:val="333333"/>
          <w:spacing w:val="-3"/>
          <w:w w:val="110"/>
        </w:rPr>
        <w:t xml:space="preserve">by </w:t>
      </w:r>
      <w:r>
        <w:rPr>
          <w:color w:val="333333"/>
          <w:w w:val="110"/>
        </w:rPr>
        <w:t>Spring Boot, when appropriate:</w:t>
      </w:r>
    </w:p>
    <w:p w14:paraId="20BF3CBD" w14:textId="77777777" w:rsidR="00A720EB" w:rsidRDefault="00A720EB">
      <w:pPr>
        <w:pStyle w:val="a3"/>
        <w:spacing w:before="6"/>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7981"/>
      </w:tblGrid>
      <w:tr w:rsidR="00A720EB" w14:paraId="43FEF64B" w14:textId="77777777">
        <w:trPr>
          <w:trHeight w:val="415"/>
        </w:trPr>
        <w:tc>
          <w:tcPr>
            <w:tcW w:w="1995" w:type="dxa"/>
            <w:tcBorders>
              <w:bottom w:val="single" w:sz="12" w:space="0" w:color="DDDDDD"/>
            </w:tcBorders>
          </w:tcPr>
          <w:p w14:paraId="6389D43B"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7981" w:type="dxa"/>
            <w:tcBorders>
              <w:bottom w:val="single" w:sz="12" w:space="0" w:color="DDDDDD"/>
            </w:tcBorders>
          </w:tcPr>
          <w:p w14:paraId="399FD6C4"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5C3E84C9" w14:textId="77777777">
        <w:trPr>
          <w:trHeight w:val="617"/>
        </w:trPr>
        <w:tc>
          <w:tcPr>
            <w:tcW w:w="1995" w:type="dxa"/>
            <w:tcBorders>
              <w:top w:val="single" w:sz="12" w:space="0" w:color="DDDDDD"/>
            </w:tcBorders>
          </w:tcPr>
          <w:p w14:paraId="273B73F7" w14:textId="77777777" w:rsidR="00A720EB" w:rsidRDefault="00E10349">
            <w:pPr>
              <w:pStyle w:val="TableParagraph"/>
              <w:spacing w:before="39" w:line="230" w:lineRule="auto"/>
              <w:ind w:right="15"/>
              <w:rPr>
                <w:sz w:val="21"/>
              </w:rPr>
            </w:pPr>
            <w:hyperlink r:id="rId466">
              <w:r w:rsidR="0030286B">
                <w:rPr>
                  <w:color w:val="B02045"/>
                  <w:sz w:val="21"/>
                </w:rPr>
                <w:t>EnvironmentInfoCon</w:t>
              </w:r>
            </w:hyperlink>
            <w:r w:rsidR="0030286B">
              <w:rPr>
                <w:color w:val="B02045"/>
                <w:sz w:val="21"/>
              </w:rPr>
              <w:t xml:space="preserve"> </w:t>
            </w:r>
            <w:hyperlink r:id="rId467">
              <w:r w:rsidR="0030286B">
                <w:rPr>
                  <w:color w:val="B02045"/>
                  <w:sz w:val="21"/>
                </w:rPr>
                <w:t>tributor</w:t>
              </w:r>
            </w:hyperlink>
          </w:p>
        </w:tc>
        <w:tc>
          <w:tcPr>
            <w:tcW w:w="7981" w:type="dxa"/>
            <w:tcBorders>
              <w:top w:val="single" w:sz="12" w:space="0" w:color="DDDDDD"/>
            </w:tcBorders>
          </w:tcPr>
          <w:p w14:paraId="2EDC809B" w14:textId="77777777" w:rsidR="00A720EB" w:rsidRDefault="0030286B">
            <w:pPr>
              <w:pStyle w:val="TableParagraph"/>
              <w:spacing w:before="74"/>
              <w:rPr>
                <w:rFonts w:ascii="Cambria"/>
                <w:sz w:val="21"/>
              </w:rPr>
            </w:pPr>
            <w:r>
              <w:rPr>
                <w:rFonts w:ascii="Cambria"/>
                <w:color w:val="333333"/>
                <w:w w:val="110"/>
                <w:sz w:val="21"/>
              </w:rPr>
              <w:t xml:space="preserve">Exposes any key from the </w:t>
            </w:r>
            <w:r>
              <w:rPr>
                <w:color w:val="B02045"/>
                <w:w w:val="110"/>
                <w:sz w:val="21"/>
              </w:rPr>
              <w:t>Environment</w:t>
            </w:r>
            <w:r>
              <w:rPr>
                <w:color w:val="B02045"/>
                <w:spacing w:val="-64"/>
                <w:w w:val="110"/>
                <w:sz w:val="21"/>
              </w:rPr>
              <w:t xml:space="preserve"> </w:t>
            </w:r>
            <w:r>
              <w:rPr>
                <w:rFonts w:ascii="Cambria"/>
                <w:color w:val="333333"/>
                <w:w w:val="110"/>
                <w:sz w:val="21"/>
              </w:rPr>
              <w:t xml:space="preserve">under the </w:t>
            </w:r>
            <w:r>
              <w:rPr>
                <w:color w:val="B02045"/>
                <w:w w:val="110"/>
                <w:sz w:val="21"/>
              </w:rPr>
              <w:t>info</w:t>
            </w:r>
            <w:r>
              <w:rPr>
                <w:color w:val="B02045"/>
                <w:spacing w:val="-64"/>
                <w:w w:val="110"/>
                <w:sz w:val="21"/>
              </w:rPr>
              <w:t xml:space="preserve"> </w:t>
            </w:r>
            <w:r>
              <w:rPr>
                <w:rFonts w:ascii="Cambria"/>
                <w:color w:val="333333"/>
                <w:spacing w:val="-7"/>
                <w:w w:val="110"/>
                <w:sz w:val="21"/>
              </w:rPr>
              <w:t>key.</w:t>
            </w:r>
          </w:p>
        </w:tc>
      </w:tr>
      <w:tr w:rsidR="00A720EB" w14:paraId="465996C6" w14:textId="77777777">
        <w:trPr>
          <w:trHeight w:val="425"/>
        </w:trPr>
        <w:tc>
          <w:tcPr>
            <w:tcW w:w="1995" w:type="dxa"/>
          </w:tcPr>
          <w:p w14:paraId="657901FD" w14:textId="77777777" w:rsidR="00A720EB" w:rsidRDefault="00E10349">
            <w:pPr>
              <w:pStyle w:val="TableParagraph"/>
              <w:spacing w:before="40"/>
              <w:rPr>
                <w:sz w:val="21"/>
              </w:rPr>
            </w:pPr>
            <w:hyperlink r:id="rId468">
              <w:r w:rsidR="0030286B">
                <w:rPr>
                  <w:color w:val="B02045"/>
                  <w:sz w:val="21"/>
                </w:rPr>
                <w:t>GitInfoContributor</w:t>
              </w:r>
            </w:hyperlink>
          </w:p>
        </w:tc>
        <w:tc>
          <w:tcPr>
            <w:tcW w:w="7981" w:type="dxa"/>
          </w:tcPr>
          <w:p w14:paraId="6E4E211F" w14:textId="77777777" w:rsidR="00A720EB" w:rsidRDefault="0030286B">
            <w:pPr>
              <w:pStyle w:val="TableParagraph"/>
              <w:spacing w:before="84"/>
              <w:rPr>
                <w:rFonts w:ascii="Cambria"/>
                <w:sz w:val="21"/>
              </w:rPr>
            </w:pPr>
            <w:r>
              <w:rPr>
                <w:rFonts w:ascii="Cambria"/>
                <w:color w:val="333333"/>
                <w:w w:val="110"/>
                <w:sz w:val="21"/>
              </w:rPr>
              <w:t xml:space="preserve">Exposes git information if a </w:t>
            </w:r>
            <w:proofErr w:type="gramStart"/>
            <w:r>
              <w:rPr>
                <w:color w:val="B02045"/>
                <w:w w:val="110"/>
                <w:sz w:val="21"/>
              </w:rPr>
              <w:t>git.properties</w:t>
            </w:r>
            <w:proofErr w:type="gramEnd"/>
            <w:r>
              <w:rPr>
                <w:color w:val="B02045"/>
                <w:spacing w:val="-53"/>
                <w:w w:val="110"/>
                <w:sz w:val="21"/>
              </w:rPr>
              <w:t xml:space="preserve"> </w:t>
            </w:r>
            <w:r>
              <w:rPr>
                <w:rFonts w:ascii="Cambria"/>
                <w:color w:val="333333"/>
                <w:w w:val="110"/>
                <w:sz w:val="21"/>
              </w:rPr>
              <w:t>file is available.</w:t>
            </w:r>
          </w:p>
        </w:tc>
      </w:tr>
      <w:tr w:rsidR="00A720EB" w14:paraId="24B4EA56" w14:textId="77777777">
        <w:trPr>
          <w:trHeight w:val="627"/>
        </w:trPr>
        <w:tc>
          <w:tcPr>
            <w:tcW w:w="1995" w:type="dxa"/>
          </w:tcPr>
          <w:p w14:paraId="75FA1526" w14:textId="77777777" w:rsidR="00A720EB" w:rsidRDefault="00E10349">
            <w:pPr>
              <w:pStyle w:val="TableParagraph"/>
              <w:spacing w:before="49" w:line="230" w:lineRule="auto"/>
              <w:ind w:right="15"/>
              <w:rPr>
                <w:sz w:val="21"/>
              </w:rPr>
            </w:pPr>
            <w:hyperlink r:id="rId469">
              <w:r w:rsidR="0030286B">
                <w:rPr>
                  <w:color w:val="B02045"/>
                  <w:sz w:val="21"/>
                </w:rPr>
                <w:t>BuildInfoContribut</w:t>
              </w:r>
            </w:hyperlink>
            <w:r w:rsidR="0030286B">
              <w:rPr>
                <w:color w:val="B02045"/>
                <w:sz w:val="21"/>
              </w:rPr>
              <w:t xml:space="preserve"> </w:t>
            </w:r>
            <w:hyperlink r:id="rId470">
              <w:r w:rsidR="0030286B">
                <w:rPr>
                  <w:color w:val="B02045"/>
                  <w:sz w:val="21"/>
                </w:rPr>
                <w:t>or</w:t>
              </w:r>
            </w:hyperlink>
          </w:p>
        </w:tc>
        <w:tc>
          <w:tcPr>
            <w:tcW w:w="7981" w:type="dxa"/>
          </w:tcPr>
          <w:p w14:paraId="160A503D" w14:textId="77777777" w:rsidR="00A720EB" w:rsidRDefault="0030286B">
            <w:pPr>
              <w:pStyle w:val="TableParagraph"/>
              <w:spacing w:before="84"/>
              <w:rPr>
                <w:rFonts w:ascii="Cambria"/>
                <w:sz w:val="21"/>
              </w:rPr>
            </w:pPr>
            <w:r>
              <w:rPr>
                <w:rFonts w:ascii="Cambria"/>
                <w:color w:val="333333"/>
                <w:w w:val="110"/>
                <w:sz w:val="21"/>
              </w:rPr>
              <w:t>Exposes</w:t>
            </w:r>
            <w:r>
              <w:rPr>
                <w:rFonts w:ascii="Cambria"/>
                <w:color w:val="333333"/>
                <w:spacing w:val="-21"/>
                <w:w w:val="110"/>
                <w:sz w:val="21"/>
              </w:rPr>
              <w:t xml:space="preserve"> </w:t>
            </w:r>
            <w:r>
              <w:rPr>
                <w:rFonts w:ascii="Cambria"/>
                <w:color w:val="333333"/>
                <w:w w:val="110"/>
                <w:sz w:val="21"/>
              </w:rPr>
              <w:t>build</w:t>
            </w:r>
            <w:r>
              <w:rPr>
                <w:rFonts w:ascii="Cambria"/>
                <w:color w:val="333333"/>
                <w:spacing w:val="-22"/>
                <w:w w:val="110"/>
                <w:sz w:val="21"/>
              </w:rPr>
              <w:t xml:space="preserve"> </w:t>
            </w:r>
            <w:r>
              <w:rPr>
                <w:rFonts w:ascii="Cambria"/>
                <w:color w:val="333333"/>
                <w:w w:val="110"/>
                <w:sz w:val="21"/>
              </w:rPr>
              <w:t>information</w:t>
            </w:r>
            <w:r>
              <w:rPr>
                <w:rFonts w:ascii="Cambria"/>
                <w:color w:val="333333"/>
                <w:spacing w:val="-21"/>
                <w:w w:val="110"/>
                <w:sz w:val="21"/>
              </w:rPr>
              <w:t xml:space="preserve"> </w:t>
            </w:r>
            <w:r>
              <w:rPr>
                <w:rFonts w:ascii="Cambria"/>
                <w:color w:val="333333"/>
                <w:w w:val="110"/>
                <w:sz w:val="21"/>
              </w:rPr>
              <w:t>if</w:t>
            </w:r>
            <w:r>
              <w:rPr>
                <w:rFonts w:ascii="Cambria"/>
                <w:color w:val="333333"/>
                <w:spacing w:val="-21"/>
                <w:w w:val="110"/>
                <w:sz w:val="21"/>
              </w:rPr>
              <w:t xml:space="preserve"> </w:t>
            </w:r>
            <w:r>
              <w:rPr>
                <w:rFonts w:ascii="Cambria"/>
                <w:color w:val="333333"/>
                <w:w w:val="110"/>
                <w:sz w:val="21"/>
              </w:rPr>
              <w:t>a</w:t>
            </w:r>
            <w:r>
              <w:rPr>
                <w:rFonts w:ascii="Cambria"/>
                <w:color w:val="333333"/>
                <w:spacing w:val="-19"/>
                <w:w w:val="110"/>
                <w:sz w:val="21"/>
              </w:rPr>
              <w:t xml:space="preserve"> </w:t>
            </w:r>
            <w:r>
              <w:rPr>
                <w:color w:val="B02045"/>
                <w:w w:val="110"/>
                <w:sz w:val="21"/>
              </w:rPr>
              <w:t>META-INF/build-info.properties</w:t>
            </w:r>
            <w:r>
              <w:rPr>
                <w:color w:val="B02045"/>
                <w:spacing w:val="-85"/>
                <w:w w:val="110"/>
                <w:sz w:val="21"/>
              </w:rPr>
              <w:t xml:space="preserve"> </w:t>
            </w:r>
            <w:r>
              <w:rPr>
                <w:rFonts w:ascii="Cambria"/>
                <w:color w:val="333333"/>
                <w:w w:val="110"/>
                <w:sz w:val="21"/>
              </w:rPr>
              <w:t>file</w:t>
            </w:r>
            <w:r>
              <w:rPr>
                <w:rFonts w:ascii="Cambria"/>
                <w:color w:val="333333"/>
                <w:spacing w:val="-21"/>
                <w:w w:val="110"/>
                <w:sz w:val="21"/>
              </w:rPr>
              <w:t xml:space="preserve"> </w:t>
            </w:r>
            <w:r>
              <w:rPr>
                <w:rFonts w:ascii="Cambria"/>
                <w:color w:val="333333"/>
                <w:w w:val="110"/>
                <w:sz w:val="21"/>
              </w:rPr>
              <w:t>is</w:t>
            </w:r>
            <w:r>
              <w:rPr>
                <w:rFonts w:ascii="Cambria"/>
                <w:color w:val="333333"/>
                <w:spacing w:val="-21"/>
                <w:w w:val="110"/>
                <w:sz w:val="21"/>
              </w:rPr>
              <w:t xml:space="preserve"> </w:t>
            </w:r>
            <w:r>
              <w:rPr>
                <w:rFonts w:ascii="Cambria"/>
                <w:color w:val="333333"/>
                <w:w w:val="110"/>
                <w:sz w:val="21"/>
              </w:rPr>
              <w:t>available.</w:t>
            </w:r>
          </w:p>
        </w:tc>
      </w:tr>
    </w:tbl>
    <w:p w14:paraId="4B8EA53B" w14:textId="77777777" w:rsidR="00A720EB" w:rsidRDefault="00A720EB">
      <w:pPr>
        <w:pStyle w:val="a3"/>
        <w:spacing w:before="4"/>
        <w:rPr>
          <w:sz w:val="29"/>
        </w:rPr>
      </w:pPr>
    </w:p>
    <w:p w14:paraId="3A65A6EB" w14:textId="77777777" w:rsidR="00A720EB" w:rsidRDefault="00E10349">
      <w:pPr>
        <w:pStyle w:val="a3"/>
        <w:ind w:left="1564"/>
        <w:rPr>
          <w:rFonts w:ascii="MS Gothic"/>
        </w:rPr>
      </w:pPr>
      <w:r>
        <w:pict w14:anchorId="021FCC3B">
          <v:shape id="_x0000_s3230" type="#_x0000_t202" style="position:absolute;left:0;text-align:left;margin-left:120.25pt;margin-top:14.65pt;width:45.75pt;height:14.3pt;z-index:-15236608;mso-wrap-distance-left:0;mso-wrap-distance-right:0;mso-position-horizontal-relative:page" filled="f" stroked="f">
            <v:textbox inset="0,0,0,0">
              <w:txbxContent>
                <w:p w14:paraId="3B54CEB5" w14:textId="77777777" w:rsidR="00711A16" w:rsidRDefault="00711A16">
                  <w:pPr>
                    <w:pStyle w:val="a3"/>
                    <w:spacing w:before="25"/>
                  </w:pPr>
                  <w:r>
                    <w:rPr>
                      <w:color w:val="333333"/>
                      <w:spacing w:val="-4"/>
                      <w:w w:val="110"/>
                    </w:rPr>
                    <w:t>property.</w:t>
                  </w:r>
                </w:p>
              </w:txbxContent>
            </v:textbox>
            <w10:wrap type="topAndBottom" anchorx="page"/>
          </v:shape>
        </w:pict>
      </w:r>
      <w:r>
        <w:pict w14:anchorId="18EA9681">
          <v:line id="_x0000_s3229" style="position:absolute;left:0;text-align:left;z-index:16222208;mso-position-horizontal-relative:page" from="108.25pt,-5.45pt" to="108.25pt,34.1pt" strokecolor="#ededed" strokeweight=".5pt">
            <w10:wrap anchorx="page"/>
          </v:line>
        </w:pict>
      </w:r>
      <w:r w:rsidR="0030286B">
        <w:rPr>
          <w:noProof/>
        </w:rPr>
        <w:drawing>
          <wp:anchor distT="0" distB="0" distL="0" distR="0" simplePos="0" relativeHeight="16222720" behindDoc="0" locked="0" layoutInCell="1" allowOverlap="1" wp14:anchorId="7A9C86A3" wp14:editId="61E61FC3">
            <wp:simplePos x="0" y="0"/>
            <wp:positionH relativeFrom="page">
              <wp:posOffset>888949</wp:posOffset>
            </wp:positionH>
            <wp:positionV relativeFrom="paragraph">
              <wp:posOffset>29413</wp:posOffset>
            </wp:positionV>
            <wp:extent cx="209550" cy="304800"/>
            <wp:effectExtent l="0" t="0" r="0" b="0"/>
            <wp:wrapNone/>
            <wp:docPr id="61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It is possible to disable them all by setting the </w:t>
      </w:r>
      <w:proofErr w:type="gramStart"/>
      <w:r w:rsidR="0030286B">
        <w:rPr>
          <w:rFonts w:ascii="MS Gothic"/>
          <w:color w:val="B02045"/>
          <w:w w:val="110"/>
        </w:rPr>
        <w:t>management.info.defaults</w:t>
      </w:r>
      <w:proofErr w:type="gramEnd"/>
      <w:r w:rsidR="0030286B">
        <w:rPr>
          <w:rFonts w:ascii="MS Gothic"/>
          <w:color w:val="B02045"/>
          <w:w w:val="110"/>
        </w:rPr>
        <w:t>.enabled</w:t>
      </w:r>
    </w:p>
    <w:p w14:paraId="68C16115" w14:textId="77777777" w:rsidR="00A720EB" w:rsidRDefault="00A720EB">
      <w:pPr>
        <w:rPr>
          <w:rFonts w:ascii="MS Gothic"/>
        </w:rPr>
        <w:sectPr w:rsidR="00A720EB">
          <w:pgSz w:w="11910" w:h="16840"/>
          <w:pgMar w:top="700" w:right="840" w:bottom="520" w:left="840" w:header="0" w:footer="323" w:gutter="0"/>
          <w:cols w:space="720"/>
        </w:sectPr>
      </w:pPr>
    </w:p>
    <w:p w14:paraId="5DB6490E" w14:textId="77777777" w:rsidR="00A720EB" w:rsidRDefault="0030286B">
      <w:pPr>
        <w:pStyle w:val="4"/>
        <w:spacing w:before="86"/>
      </w:pPr>
      <w:bookmarkStart w:id="589" w:name="Custom_Application_Information"/>
      <w:bookmarkEnd w:id="589"/>
      <w:r>
        <w:rPr>
          <w:color w:val="333333"/>
          <w:w w:val="110"/>
        </w:rPr>
        <w:lastRenderedPageBreak/>
        <w:t>Custom Application Information</w:t>
      </w:r>
    </w:p>
    <w:p w14:paraId="351D838A" w14:textId="77777777" w:rsidR="00A720EB" w:rsidRDefault="0030286B">
      <w:pPr>
        <w:pStyle w:val="a3"/>
        <w:spacing w:before="243" w:line="280" w:lineRule="auto"/>
        <w:ind w:left="124" w:right="127"/>
        <w:jc w:val="both"/>
      </w:pPr>
      <w:r>
        <w:rPr>
          <w:color w:val="333333"/>
          <w:spacing w:val="-6"/>
          <w:w w:val="110"/>
        </w:rPr>
        <w:t xml:space="preserve">You </w:t>
      </w:r>
      <w:r>
        <w:rPr>
          <w:color w:val="333333"/>
          <w:w w:val="110"/>
        </w:rPr>
        <w:t xml:space="preserve">can customize the data exposed </w:t>
      </w:r>
      <w:r>
        <w:rPr>
          <w:color w:val="333333"/>
          <w:spacing w:val="-3"/>
          <w:w w:val="110"/>
        </w:rPr>
        <w:t xml:space="preserve">by </w:t>
      </w:r>
      <w:r>
        <w:rPr>
          <w:color w:val="333333"/>
          <w:w w:val="110"/>
        </w:rPr>
        <w:t xml:space="preserve">the </w:t>
      </w:r>
      <w:r>
        <w:rPr>
          <w:rFonts w:ascii="MS Gothic"/>
          <w:color w:val="B02045"/>
          <w:w w:val="110"/>
        </w:rPr>
        <w:t xml:space="preserve">info </w:t>
      </w:r>
      <w:r>
        <w:rPr>
          <w:color w:val="333333"/>
          <w:w w:val="110"/>
        </w:rPr>
        <w:t xml:space="preserve">endpoint </w:t>
      </w:r>
      <w:r>
        <w:rPr>
          <w:color w:val="333333"/>
          <w:spacing w:val="-3"/>
          <w:w w:val="110"/>
        </w:rPr>
        <w:t xml:space="preserve">by </w:t>
      </w:r>
      <w:r>
        <w:rPr>
          <w:color w:val="333333"/>
          <w:w w:val="110"/>
        </w:rPr>
        <w:t xml:space="preserve">setting </w:t>
      </w:r>
      <w:proofErr w:type="gramStart"/>
      <w:r>
        <w:rPr>
          <w:rFonts w:ascii="MS Gothic"/>
          <w:color w:val="B02045"/>
          <w:w w:val="110"/>
        </w:rPr>
        <w:t>info.*</w:t>
      </w:r>
      <w:proofErr w:type="gramEnd"/>
      <w:r>
        <w:rPr>
          <w:rFonts w:ascii="MS Gothic"/>
          <w:color w:val="B02045"/>
          <w:w w:val="110"/>
        </w:rPr>
        <w:t xml:space="preserve"> </w:t>
      </w:r>
      <w:r>
        <w:rPr>
          <w:color w:val="333333"/>
          <w:w w:val="110"/>
        </w:rPr>
        <w:t xml:space="preserve">Spring properties. All </w:t>
      </w:r>
      <w:r>
        <w:rPr>
          <w:rFonts w:ascii="MS Gothic"/>
          <w:color w:val="B02045"/>
          <w:w w:val="110"/>
        </w:rPr>
        <w:t xml:space="preserve">Environment </w:t>
      </w:r>
      <w:r>
        <w:rPr>
          <w:color w:val="333333"/>
          <w:w w:val="110"/>
        </w:rPr>
        <w:t xml:space="preserve">properties under the </w:t>
      </w:r>
      <w:r>
        <w:rPr>
          <w:rFonts w:ascii="MS Gothic"/>
          <w:color w:val="B02045"/>
          <w:w w:val="110"/>
        </w:rPr>
        <w:t xml:space="preserve">info </w:t>
      </w:r>
      <w:r>
        <w:rPr>
          <w:color w:val="333333"/>
          <w:w w:val="110"/>
        </w:rPr>
        <w:t xml:space="preserve">key are automatically exposed. </w:t>
      </w:r>
      <w:r>
        <w:rPr>
          <w:color w:val="333333"/>
          <w:spacing w:val="-4"/>
          <w:w w:val="110"/>
        </w:rPr>
        <w:t xml:space="preserve">For </w:t>
      </w:r>
      <w:r>
        <w:rPr>
          <w:color w:val="333333"/>
          <w:w w:val="110"/>
        </w:rPr>
        <w:t xml:space="preserve">example, you could add the following settings to your </w:t>
      </w:r>
      <w:proofErr w:type="gramStart"/>
      <w:r>
        <w:rPr>
          <w:rFonts w:ascii="MS Gothic"/>
          <w:color w:val="B02045"/>
          <w:w w:val="110"/>
        </w:rPr>
        <w:t>application.properties</w:t>
      </w:r>
      <w:proofErr w:type="gramEnd"/>
      <w:r>
        <w:rPr>
          <w:rFonts w:ascii="MS Gothic"/>
          <w:color w:val="B02045"/>
          <w:spacing w:val="-60"/>
          <w:w w:val="110"/>
        </w:rPr>
        <w:t xml:space="preserve"> </w:t>
      </w:r>
      <w:r>
        <w:rPr>
          <w:color w:val="333333"/>
          <w:w w:val="110"/>
        </w:rPr>
        <w:t>file:</w:t>
      </w:r>
    </w:p>
    <w:p w14:paraId="484C1CB9" w14:textId="77777777" w:rsidR="00A720EB" w:rsidRDefault="00E10349">
      <w:pPr>
        <w:pStyle w:val="a3"/>
        <w:spacing w:before="2"/>
        <w:rPr>
          <w:sz w:val="14"/>
        </w:rPr>
      </w:pPr>
      <w:r>
        <w:pict w14:anchorId="545D621E">
          <v:group id="_x0000_s3225" style="position:absolute;margin-left:47.85pt;margin-top:10.3pt;width:499.55pt;height:67pt;z-index:-15234048;mso-wrap-distance-left:0;mso-wrap-distance-right:0;mso-position-horizontal-relative:page" coordorigin="957,206" coordsize="9991,1340">
            <v:shape id="_x0000_s3228" style="position:absolute;left:964;top:213;width:9976;height:1325" coordorigin="965,214" coordsize="9976,1325" path="m10861,214r-9816,l1014,220r-26,17l971,263r-6,31l965,1458r6,31l988,1515r26,17l1045,1538r9816,l10892,1532r25,-17l10935,1489r6,-31l10941,294r-6,-31l10917,237r-25,-17l10861,214xe" fillcolor="#f5f5f5" stroked="f">
              <v:path arrowok="t"/>
            </v:shape>
            <v:shape id="_x0000_s3227" style="position:absolute;left:964;top:213;width:9976;height:1325" coordorigin="965,214" coordsize="9976,1325" path="m1045,214r9816,l10892,220r25,17l10935,263r6,31l10941,1458r-6,31l10917,1515r-25,17l10861,1538r-9816,l1014,1532r-26,-17l971,1489r-6,-31l965,294r6,-31l988,237r26,-17l1045,214xe" filled="f" strokecolor="#ccc">
              <v:path arrowok="t"/>
            </v:shape>
            <v:shape id="_x0000_s3226" type="#_x0000_t202" style="position:absolute;left:984;top:229;width:9938;height:1294" filled="f" stroked="f">
              <v:textbox inset="0,0,0,0">
                <w:txbxContent>
                  <w:p w14:paraId="49DDBC51" w14:textId="77777777" w:rsidR="00711A16" w:rsidRDefault="00711A16">
                    <w:pPr>
                      <w:spacing w:before="221" w:line="252" w:lineRule="auto"/>
                      <w:ind w:left="200" w:right="7078"/>
                      <w:rPr>
                        <w:rFonts w:ascii="MS Gothic"/>
                      </w:rPr>
                    </w:pPr>
                    <w:proofErr w:type="gramStart"/>
                    <w:r>
                      <w:rPr>
                        <w:rFonts w:ascii="MS Gothic"/>
                        <w:color w:val="333333"/>
                      </w:rPr>
                      <w:t>info.app.encoding</w:t>
                    </w:r>
                    <w:proofErr w:type="gramEnd"/>
                    <w:r>
                      <w:rPr>
                        <w:rFonts w:ascii="MS Gothic"/>
                        <w:color w:val="333333"/>
                      </w:rPr>
                      <w:t>=UTF-8 info.app.java.source=1.8 info.app.java.target=1.8</w:t>
                    </w:r>
                  </w:p>
                </w:txbxContent>
              </v:textbox>
            </v:shape>
            <w10:wrap type="topAndBottom" anchorx="page"/>
          </v:group>
        </w:pict>
      </w:r>
    </w:p>
    <w:p w14:paraId="2AF6CC03" w14:textId="77777777" w:rsidR="00A720EB" w:rsidRDefault="00A720EB">
      <w:pPr>
        <w:pStyle w:val="a3"/>
        <w:spacing w:before="10"/>
        <w:rPr>
          <w:sz w:val="16"/>
        </w:rPr>
      </w:pPr>
    </w:p>
    <w:p w14:paraId="58FD4AA8" w14:textId="77777777" w:rsidR="00A720EB" w:rsidRDefault="00E10349">
      <w:pPr>
        <w:pStyle w:val="a3"/>
        <w:spacing w:before="125" w:line="307" w:lineRule="auto"/>
        <w:ind w:left="1564" w:right="462"/>
      </w:pPr>
      <w:r>
        <w:pict w14:anchorId="1D89F06B">
          <v:line id="_x0000_s3224" style="position:absolute;left:0;text-align:left;z-index:16224768;mso-position-horizontal-relative:page" from="108.25pt,.25pt" to="108.25pt,145.8pt" strokecolor="#ededed" strokeweight=".5pt">
            <w10:wrap anchorx="page"/>
          </v:line>
        </w:pict>
      </w:r>
      <w:r w:rsidR="0030286B">
        <w:rPr>
          <w:color w:val="333333"/>
          <w:w w:val="110"/>
        </w:rPr>
        <w:t xml:space="preserve">Rather than hardcoding those values, you could also </w:t>
      </w:r>
      <w:hyperlink w:anchor="_bookmark533" w:history="1">
        <w:r w:rsidR="0030286B">
          <w:rPr>
            <w:color w:val="418BCA"/>
            <w:w w:val="110"/>
          </w:rPr>
          <w:t xml:space="preserve">expand </w:t>
        </w:r>
        <w:proofErr w:type="gramStart"/>
        <w:r w:rsidR="0030286B">
          <w:rPr>
            <w:color w:val="418BCA"/>
            <w:w w:val="110"/>
          </w:rPr>
          <w:t>info  properties</w:t>
        </w:r>
        <w:proofErr w:type="gramEnd"/>
        <w:r w:rsidR="0030286B">
          <w:rPr>
            <w:color w:val="418BCA"/>
            <w:w w:val="110"/>
          </w:rPr>
          <w:t xml:space="preserve">  at</w:t>
        </w:r>
      </w:hyperlink>
      <w:r w:rsidR="0030286B">
        <w:rPr>
          <w:color w:val="418BCA"/>
          <w:w w:val="110"/>
        </w:rPr>
        <w:t xml:space="preserve"> </w:t>
      </w:r>
      <w:hyperlink w:anchor="_bookmark533" w:history="1">
        <w:r w:rsidR="0030286B">
          <w:rPr>
            <w:color w:val="418BCA"/>
            <w:w w:val="110"/>
          </w:rPr>
          <w:t>build</w:t>
        </w:r>
        <w:r w:rsidR="0030286B">
          <w:rPr>
            <w:color w:val="418BCA"/>
            <w:spacing w:val="2"/>
            <w:w w:val="110"/>
          </w:rPr>
          <w:t xml:space="preserve"> </w:t>
        </w:r>
        <w:r w:rsidR="0030286B">
          <w:rPr>
            <w:color w:val="418BCA"/>
            <w:w w:val="110"/>
          </w:rPr>
          <w:t>time</w:t>
        </w:r>
      </w:hyperlink>
      <w:r w:rsidR="0030286B">
        <w:rPr>
          <w:color w:val="333333"/>
          <w:w w:val="110"/>
        </w:rPr>
        <w:t>.</w:t>
      </w:r>
    </w:p>
    <w:p w14:paraId="0825F862" w14:textId="77777777" w:rsidR="00A720EB" w:rsidRDefault="0030286B">
      <w:pPr>
        <w:pStyle w:val="a3"/>
        <w:spacing w:before="241"/>
        <w:ind w:left="1564"/>
      </w:pPr>
      <w:r>
        <w:rPr>
          <w:noProof/>
        </w:rPr>
        <w:drawing>
          <wp:anchor distT="0" distB="0" distL="0" distR="0" simplePos="0" relativeHeight="16225280" behindDoc="0" locked="0" layoutInCell="1" allowOverlap="1" wp14:anchorId="4FD8F257" wp14:editId="50D5D9A8">
            <wp:simplePos x="0" y="0"/>
            <wp:positionH relativeFrom="page">
              <wp:posOffset>888949</wp:posOffset>
            </wp:positionH>
            <wp:positionV relativeFrom="paragraph">
              <wp:posOffset>295694</wp:posOffset>
            </wp:positionV>
            <wp:extent cx="209550" cy="304800"/>
            <wp:effectExtent l="0" t="0" r="0" b="0"/>
            <wp:wrapNone/>
            <wp:docPr id="6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0.png"/>
                    <pic:cNvPicPr/>
                  </pic:nvPicPr>
                  <pic:blipFill>
                    <a:blip r:embed="rId31" cstate="print"/>
                    <a:stretch>
                      <a:fillRect/>
                    </a:stretch>
                  </pic:blipFill>
                  <pic:spPr>
                    <a:xfrm>
                      <a:off x="0" y="0"/>
                      <a:ext cx="209550" cy="304800"/>
                    </a:xfrm>
                    <a:prstGeom prst="rect">
                      <a:avLst/>
                    </a:prstGeom>
                  </pic:spPr>
                </pic:pic>
              </a:graphicData>
            </a:graphic>
          </wp:anchor>
        </w:drawing>
      </w:r>
      <w:r>
        <w:rPr>
          <w:color w:val="333333"/>
          <w:w w:val="110"/>
        </w:rPr>
        <w:t>Assuming you use Maven, you could rewrite the preceding example as follows:</w:t>
      </w:r>
    </w:p>
    <w:p w14:paraId="33B689EA" w14:textId="77777777" w:rsidR="00A720EB" w:rsidRDefault="00E10349">
      <w:pPr>
        <w:pStyle w:val="a3"/>
        <w:rPr>
          <w:sz w:val="19"/>
        </w:rPr>
      </w:pPr>
      <w:r>
        <w:pict w14:anchorId="370BEB02">
          <v:group id="_x0000_s3220" style="position:absolute;margin-left:119.85pt;margin-top:13.1pt;width:415.55pt;height:67pt;z-index:-15233536;mso-wrap-distance-left:0;mso-wrap-distance-right:0;mso-position-horizontal-relative:page" coordorigin="2397,262" coordsize="8311,1340">
            <v:shape id="_x0000_s3223" style="position:absolute;left:2404;top:269;width:8296;height:1325" coordorigin="2405,270" coordsize="8296,1325" path="m10621,270r-8136,l2454,276r-26,17l2411,319r-6,31l2405,1514r6,31l2428,1571r26,17l2485,1594r8136,l10652,1588r25,-17l10695,1545r6,-31l10701,350r-6,-31l10677,293r-25,-17l10621,270xe" fillcolor="#f5f5f5" stroked="f">
              <v:path arrowok="t"/>
            </v:shape>
            <v:shape id="_x0000_s3222" style="position:absolute;left:2404;top:269;width:8296;height:1325" coordorigin="2405,270" coordsize="8296,1325" path="m2485,270r8136,l10652,276r25,17l10695,319r6,31l10701,1514r-6,31l10677,1571r-25,17l10621,1594r-8136,l2454,1588r-26,-17l2411,1545r-6,-31l2405,350r6,-31l2428,293r26,-17l2485,270xe" filled="f" strokecolor="#ccc">
              <v:path arrowok="t"/>
            </v:shape>
            <v:shape id="_x0000_s3221" type="#_x0000_t202" style="position:absolute;left:2424;top:285;width:8258;height:1294" filled="f" stroked="f">
              <v:textbox inset="0,0,0,0">
                <w:txbxContent>
                  <w:p w14:paraId="1D7E3FD2" w14:textId="77777777" w:rsidR="00711A16" w:rsidRDefault="00711A16">
                    <w:pPr>
                      <w:spacing w:before="221" w:line="252" w:lineRule="auto"/>
                      <w:ind w:left="200" w:right="2758"/>
                      <w:rPr>
                        <w:rFonts w:ascii="MS Gothic"/>
                      </w:rPr>
                    </w:pPr>
                    <w:hyperlink r:id="rId471">
                      <w:r>
                        <w:rPr>
                          <w:rFonts w:ascii="MS Gothic"/>
                          <w:color w:val="333333"/>
                        </w:rPr>
                        <w:t>info.app.encoding=@project.build.sourceEncoding@</w:t>
                      </w:r>
                    </w:hyperlink>
                    <w:r>
                      <w:rPr>
                        <w:rFonts w:ascii="MS Gothic"/>
                        <w:color w:val="333333"/>
                      </w:rPr>
                      <w:t xml:space="preserve"> </w:t>
                    </w:r>
                    <w:hyperlink r:id="rId472">
                      <w:r>
                        <w:rPr>
                          <w:rFonts w:ascii="MS Gothic"/>
                          <w:color w:val="333333"/>
                        </w:rPr>
                        <w:t>info.app.java.source=@java.version@</w:t>
                      </w:r>
                    </w:hyperlink>
                    <w:r>
                      <w:rPr>
                        <w:rFonts w:ascii="MS Gothic"/>
                        <w:color w:val="333333"/>
                      </w:rPr>
                      <w:t xml:space="preserve"> </w:t>
                    </w:r>
                    <w:hyperlink r:id="rId473">
                      <w:r>
                        <w:rPr>
                          <w:rFonts w:ascii="MS Gothic"/>
                          <w:color w:val="333333"/>
                        </w:rPr>
                        <w:t>info.app.java.target=@java.version@</w:t>
                      </w:r>
                    </w:hyperlink>
                  </w:p>
                </w:txbxContent>
              </v:textbox>
            </v:shape>
            <w10:wrap type="topAndBottom" anchorx="page"/>
          </v:group>
        </w:pict>
      </w:r>
    </w:p>
    <w:p w14:paraId="7CD5A654" w14:textId="77777777" w:rsidR="00A720EB" w:rsidRDefault="00A720EB">
      <w:pPr>
        <w:pStyle w:val="a3"/>
        <w:spacing w:before="9"/>
        <w:rPr>
          <w:sz w:val="23"/>
        </w:rPr>
      </w:pPr>
    </w:p>
    <w:p w14:paraId="2B5AD9EE" w14:textId="77777777" w:rsidR="00A720EB" w:rsidRDefault="0030286B">
      <w:pPr>
        <w:pStyle w:val="4"/>
        <w:spacing w:before="104"/>
      </w:pPr>
      <w:bookmarkStart w:id="590" w:name="Git_Commit_Information"/>
      <w:bookmarkEnd w:id="590"/>
      <w:r>
        <w:rPr>
          <w:color w:val="333333"/>
          <w:w w:val="110"/>
        </w:rPr>
        <w:t>Git Commit Information</w:t>
      </w:r>
    </w:p>
    <w:p w14:paraId="57674B36" w14:textId="77777777" w:rsidR="00A720EB" w:rsidRDefault="0030286B">
      <w:pPr>
        <w:pStyle w:val="a3"/>
        <w:spacing w:before="244" w:line="280" w:lineRule="auto"/>
        <w:ind w:left="124" w:right="127"/>
        <w:jc w:val="both"/>
      </w:pPr>
      <w:r>
        <w:rPr>
          <w:color w:val="333333"/>
          <w:w w:val="110"/>
        </w:rPr>
        <w:t xml:space="preserve">Another useful feature of the </w:t>
      </w:r>
      <w:r>
        <w:rPr>
          <w:rFonts w:ascii="MS Gothic"/>
          <w:color w:val="B02045"/>
          <w:w w:val="110"/>
        </w:rPr>
        <w:t xml:space="preserve">info </w:t>
      </w:r>
      <w:r>
        <w:rPr>
          <w:color w:val="333333"/>
          <w:w w:val="110"/>
        </w:rPr>
        <w:t xml:space="preserve">endpoint is its ability to publish information about the state </w:t>
      </w:r>
      <w:proofErr w:type="gramStart"/>
      <w:r>
        <w:rPr>
          <w:color w:val="333333"/>
          <w:w w:val="110"/>
        </w:rPr>
        <w:t>of  your</w:t>
      </w:r>
      <w:proofErr w:type="gramEnd"/>
      <w:r>
        <w:rPr>
          <w:color w:val="333333"/>
          <w:w w:val="110"/>
        </w:rPr>
        <w:t xml:space="preserve"> </w:t>
      </w:r>
      <w:r>
        <w:rPr>
          <w:rFonts w:ascii="MS Gothic"/>
          <w:color w:val="B02045"/>
          <w:w w:val="110"/>
        </w:rPr>
        <w:t>git</w:t>
      </w:r>
      <w:r>
        <w:rPr>
          <w:rFonts w:ascii="MS Gothic"/>
          <w:color w:val="B02045"/>
          <w:spacing w:val="-63"/>
          <w:w w:val="110"/>
        </w:rPr>
        <w:t xml:space="preserve"> </w:t>
      </w:r>
      <w:r>
        <w:rPr>
          <w:color w:val="333333"/>
          <w:w w:val="110"/>
        </w:rPr>
        <w:t xml:space="preserve">source code repository when the project was built. If a </w:t>
      </w:r>
      <w:r>
        <w:rPr>
          <w:rFonts w:ascii="MS Gothic"/>
          <w:color w:val="B02045"/>
          <w:w w:val="110"/>
        </w:rPr>
        <w:t>GitProperties</w:t>
      </w:r>
      <w:r>
        <w:rPr>
          <w:rFonts w:ascii="MS Gothic"/>
          <w:color w:val="B02045"/>
          <w:spacing w:val="-63"/>
          <w:w w:val="110"/>
        </w:rPr>
        <w:t xml:space="preserve"> </w:t>
      </w:r>
      <w:r>
        <w:rPr>
          <w:color w:val="333333"/>
          <w:w w:val="110"/>
        </w:rPr>
        <w:t xml:space="preserve">bean is available, the </w:t>
      </w:r>
      <w:proofErr w:type="gramStart"/>
      <w:r>
        <w:rPr>
          <w:rFonts w:ascii="MS Gothic"/>
          <w:color w:val="B02045"/>
          <w:w w:val="110"/>
        </w:rPr>
        <w:t>git.branch</w:t>
      </w:r>
      <w:proofErr w:type="gramEnd"/>
      <w:r>
        <w:rPr>
          <w:color w:val="333333"/>
          <w:w w:val="110"/>
        </w:rPr>
        <w:t xml:space="preserve">, </w:t>
      </w:r>
      <w:r>
        <w:rPr>
          <w:rFonts w:ascii="MS Gothic"/>
          <w:color w:val="B02045"/>
          <w:w w:val="110"/>
        </w:rPr>
        <w:t>git.commit.id</w:t>
      </w:r>
      <w:r>
        <w:rPr>
          <w:color w:val="333333"/>
          <w:w w:val="110"/>
        </w:rPr>
        <w:t xml:space="preserve">, and </w:t>
      </w:r>
      <w:r>
        <w:rPr>
          <w:rFonts w:ascii="MS Gothic"/>
          <w:color w:val="B02045"/>
          <w:w w:val="110"/>
        </w:rPr>
        <w:t>git.commit.time</w:t>
      </w:r>
      <w:r>
        <w:rPr>
          <w:rFonts w:ascii="MS Gothic"/>
          <w:color w:val="B02045"/>
          <w:spacing w:val="-84"/>
          <w:w w:val="110"/>
        </w:rPr>
        <w:t xml:space="preserve"> </w:t>
      </w:r>
      <w:r>
        <w:rPr>
          <w:color w:val="333333"/>
          <w:w w:val="110"/>
        </w:rPr>
        <w:t>properties are exposed.</w:t>
      </w:r>
    </w:p>
    <w:p w14:paraId="30BD48F6" w14:textId="77777777" w:rsidR="00A720EB" w:rsidRDefault="00A720EB">
      <w:pPr>
        <w:pStyle w:val="a3"/>
        <w:spacing w:before="5"/>
        <w:rPr>
          <w:sz w:val="27"/>
        </w:rPr>
      </w:pPr>
    </w:p>
    <w:p w14:paraId="68A4BFE2" w14:textId="77777777" w:rsidR="00A720EB" w:rsidRDefault="00E10349">
      <w:pPr>
        <w:pStyle w:val="a3"/>
        <w:spacing w:line="290" w:lineRule="auto"/>
        <w:ind w:left="1564"/>
      </w:pPr>
      <w:r>
        <w:pict w14:anchorId="5F43718F">
          <v:line id="_x0000_s3219" style="position:absolute;left:0;text-align:left;z-index:16225792;mso-position-horizontal-relative:page" from="108.25pt,-5.45pt" to="108.25pt,34.1pt" strokecolor="#ededed" strokeweight=".5pt">
            <w10:wrap anchorx="page"/>
          </v:line>
        </w:pict>
      </w:r>
      <w:r w:rsidR="0030286B">
        <w:rPr>
          <w:noProof/>
        </w:rPr>
        <w:drawing>
          <wp:anchor distT="0" distB="0" distL="0" distR="0" simplePos="0" relativeHeight="16226304" behindDoc="0" locked="0" layoutInCell="1" allowOverlap="1" wp14:anchorId="39685FE1" wp14:editId="743307E9">
            <wp:simplePos x="0" y="0"/>
            <wp:positionH relativeFrom="page">
              <wp:posOffset>888949</wp:posOffset>
            </wp:positionH>
            <wp:positionV relativeFrom="paragraph">
              <wp:posOffset>29413</wp:posOffset>
            </wp:positionV>
            <wp:extent cx="209550" cy="304800"/>
            <wp:effectExtent l="0" t="0" r="0" b="0"/>
            <wp:wrapNone/>
            <wp:docPr id="6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A </w:t>
      </w:r>
      <w:r w:rsidR="0030286B">
        <w:rPr>
          <w:rFonts w:ascii="MS Gothic"/>
          <w:color w:val="B02045"/>
          <w:w w:val="110"/>
        </w:rPr>
        <w:t xml:space="preserve">GitProperties </w:t>
      </w:r>
      <w:r w:rsidR="0030286B">
        <w:rPr>
          <w:color w:val="333333"/>
          <w:w w:val="110"/>
        </w:rPr>
        <w:t xml:space="preserve">bean is auto-configured if a </w:t>
      </w:r>
      <w:proofErr w:type="gramStart"/>
      <w:r w:rsidR="0030286B">
        <w:rPr>
          <w:rFonts w:ascii="MS Gothic"/>
          <w:color w:val="B02045"/>
          <w:w w:val="110"/>
        </w:rPr>
        <w:t>git.properties</w:t>
      </w:r>
      <w:proofErr w:type="gramEnd"/>
      <w:r w:rsidR="0030286B">
        <w:rPr>
          <w:rFonts w:ascii="MS Gothic"/>
          <w:color w:val="B02045"/>
          <w:spacing w:val="-72"/>
          <w:w w:val="110"/>
        </w:rPr>
        <w:t xml:space="preserve"> </w:t>
      </w:r>
      <w:r w:rsidR="0030286B">
        <w:rPr>
          <w:color w:val="333333"/>
          <w:w w:val="110"/>
        </w:rPr>
        <w:t>file is available at the root of the classpath. See "</w:t>
      </w:r>
      <w:hyperlink w:anchor="_bookmark641" w:history="1">
        <w:r w:rsidR="0030286B">
          <w:rPr>
            <w:color w:val="418BCA"/>
            <w:w w:val="110"/>
          </w:rPr>
          <w:t>Generate git information</w:t>
        </w:r>
      </w:hyperlink>
      <w:r w:rsidR="0030286B">
        <w:rPr>
          <w:color w:val="333333"/>
          <w:w w:val="110"/>
        </w:rPr>
        <w:t>" for more details.</w:t>
      </w:r>
    </w:p>
    <w:p w14:paraId="13623BFD" w14:textId="77777777" w:rsidR="00A720EB" w:rsidRDefault="00A720EB">
      <w:pPr>
        <w:pStyle w:val="a3"/>
        <w:rPr>
          <w:sz w:val="28"/>
        </w:rPr>
      </w:pPr>
    </w:p>
    <w:p w14:paraId="3AA40831" w14:textId="77777777" w:rsidR="00A720EB" w:rsidRDefault="0030286B">
      <w:pPr>
        <w:pStyle w:val="a3"/>
        <w:ind w:left="124"/>
        <w:jc w:val="both"/>
      </w:pPr>
      <w:r>
        <w:rPr>
          <w:color w:val="333333"/>
          <w:w w:val="110"/>
        </w:rPr>
        <w:t xml:space="preserve">If you want to display the full git information (that is, the full content of </w:t>
      </w:r>
      <w:proofErr w:type="gramStart"/>
      <w:r>
        <w:rPr>
          <w:rFonts w:ascii="MS Gothic"/>
          <w:color w:val="B02045"/>
          <w:w w:val="110"/>
        </w:rPr>
        <w:t>git.properties</w:t>
      </w:r>
      <w:proofErr w:type="gramEnd"/>
      <w:r>
        <w:rPr>
          <w:color w:val="333333"/>
          <w:w w:val="110"/>
        </w:rPr>
        <w:t>), use the</w:t>
      </w:r>
    </w:p>
    <w:p w14:paraId="41DB0AE1" w14:textId="77777777" w:rsidR="00A720EB" w:rsidRDefault="0030286B">
      <w:pPr>
        <w:pStyle w:val="a3"/>
        <w:spacing w:before="46"/>
        <w:ind w:left="124"/>
        <w:jc w:val="both"/>
      </w:pPr>
      <w:proofErr w:type="gramStart"/>
      <w:r>
        <w:rPr>
          <w:rFonts w:ascii="MS Gothic"/>
          <w:color w:val="B02045"/>
          <w:w w:val="110"/>
        </w:rPr>
        <w:t>management.info.git.mode</w:t>
      </w:r>
      <w:proofErr w:type="gramEnd"/>
      <w:r>
        <w:rPr>
          <w:rFonts w:ascii="MS Gothic"/>
          <w:color w:val="B02045"/>
          <w:spacing w:val="-60"/>
          <w:w w:val="110"/>
        </w:rPr>
        <w:t xml:space="preserve"> </w:t>
      </w:r>
      <w:r>
        <w:rPr>
          <w:color w:val="333333"/>
          <w:spacing w:val="-3"/>
          <w:w w:val="110"/>
        </w:rPr>
        <w:t xml:space="preserve">property, </w:t>
      </w:r>
      <w:r>
        <w:rPr>
          <w:color w:val="333333"/>
          <w:w w:val="110"/>
        </w:rPr>
        <w:t>as follows:</w:t>
      </w:r>
    </w:p>
    <w:p w14:paraId="0B3D33BB" w14:textId="77777777" w:rsidR="00A720EB" w:rsidRDefault="00E10349">
      <w:pPr>
        <w:pStyle w:val="a3"/>
        <w:rPr>
          <w:sz w:val="18"/>
        </w:rPr>
      </w:pPr>
      <w:r>
        <w:pict w14:anchorId="64C3794B">
          <v:group id="_x0000_s3215" style="position:absolute;margin-left:47.85pt;margin-top:12.55pt;width:499.55pt;height:37.5pt;z-index:-15233024;mso-wrap-distance-left:0;mso-wrap-distance-right:0;mso-position-horizontal-relative:page" coordorigin="957,251" coordsize="9991,750">
            <v:shape id="_x0000_s3218" style="position:absolute;left:964;top:258;width:9976;height:735" coordorigin="965,258" coordsize="9976,735" path="m10861,258r-9816,l1014,264r-26,17l971,307r-6,31l965,913r6,31l988,969r26,18l1045,993r9816,l10892,987r25,-18l10935,944r6,-31l10941,338r-6,-31l10917,281r-25,-17l10861,258xe" fillcolor="#f5f5f5" stroked="f">
              <v:path arrowok="t"/>
            </v:shape>
            <v:shape id="_x0000_s3217" style="position:absolute;left:964;top:258;width:9976;height:735" coordorigin="965,258" coordsize="9976,735" path="m1045,258r9816,l10892,264r25,17l10935,307r6,31l10941,913r-6,31l10917,969r-25,18l10861,993r-9816,l1014,987,988,969,971,944r-6,-31l965,338r6,-31l988,281r26,-17l1045,258xe" filled="f" strokecolor="#ccc">
              <v:path arrowok="t"/>
            </v:shape>
            <v:shape id="_x0000_s3216" type="#_x0000_t202" style="position:absolute;left:984;top:273;width:9938;height:704" filled="f" stroked="f">
              <v:textbox inset="0,0,0,0">
                <w:txbxContent>
                  <w:p w14:paraId="67E6939A" w14:textId="77777777" w:rsidR="00711A16" w:rsidRDefault="00711A16">
                    <w:pPr>
                      <w:spacing w:before="221"/>
                      <w:ind w:left="200"/>
                      <w:rPr>
                        <w:rFonts w:ascii="MS Gothic"/>
                      </w:rPr>
                    </w:pPr>
                    <w:proofErr w:type="gramStart"/>
                    <w:r>
                      <w:rPr>
                        <w:rFonts w:ascii="MS Gothic"/>
                        <w:color w:val="333333"/>
                      </w:rPr>
                      <w:t>management.info.git.mode</w:t>
                    </w:r>
                    <w:proofErr w:type="gramEnd"/>
                    <w:r>
                      <w:rPr>
                        <w:rFonts w:ascii="MS Gothic"/>
                        <w:color w:val="333333"/>
                      </w:rPr>
                      <w:t>=full</w:t>
                    </w:r>
                  </w:p>
                </w:txbxContent>
              </v:textbox>
            </v:shape>
            <w10:wrap type="topAndBottom" anchorx="page"/>
          </v:group>
        </w:pict>
      </w:r>
    </w:p>
    <w:p w14:paraId="45F6462E" w14:textId="77777777" w:rsidR="00A720EB" w:rsidRDefault="00A720EB">
      <w:pPr>
        <w:pStyle w:val="a3"/>
        <w:spacing w:before="11"/>
        <w:rPr>
          <w:sz w:val="16"/>
        </w:rPr>
      </w:pPr>
    </w:p>
    <w:p w14:paraId="13EF23DC" w14:textId="77777777" w:rsidR="00A720EB" w:rsidRDefault="0030286B">
      <w:pPr>
        <w:pStyle w:val="4"/>
        <w:spacing w:before="104"/>
        <w:jc w:val="left"/>
      </w:pPr>
      <w:bookmarkStart w:id="591" w:name="Build_Information"/>
      <w:bookmarkEnd w:id="591"/>
      <w:r>
        <w:rPr>
          <w:color w:val="333333"/>
          <w:w w:val="110"/>
        </w:rPr>
        <w:t>Build Information</w:t>
      </w:r>
    </w:p>
    <w:p w14:paraId="583F7DE5" w14:textId="77777777" w:rsidR="00A720EB" w:rsidRDefault="0030286B">
      <w:pPr>
        <w:pStyle w:val="a3"/>
        <w:spacing w:before="244" w:line="280" w:lineRule="auto"/>
        <w:ind w:left="124"/>
      </w:pPr>
      <w:r>
        <w:rPr>
          <w:color w:val="333333"/>
          <w:w w:val="110"/>
        </w:rPr>
        <w:t xml:space="preserve">If a </w:t>
      </w:r>
      <w:r>
        <w:rPr>
          <w:rFonts w:ascii="MS Gothic"/>
          <w:color w:val="B02045"/>
          <w:w w:val="110"/>
        </w:rPr>
        <w:t xml:space="preserve">BuildProperties </w:t>
      </w:r>
      <w:r>
        <w:rPr>
          <w:color w:val="333333"/>
          <w:w w:val="110"/>
        </w:rPr>
        <w:t xml:space="preserve">bean is available, the </w:t>
      </w:r>
      <w:r>
        <w:rPr>
          <w:rFonts w:ascii="MS Gothic"/>
          <w:color w:val="B02045"/>
          <w:w w:val="110"/>
        </w:rPr>
        <w:t xml:space="preserve">info </w:t>
      </w:r>
      <w:r>
        <w:rPr>
          <w:color w:val="333333"/>
          <w:w w:val="110"/>
        </w:rPr>
        <w:t xml:space="preserve">endpoint can also publish information about your build. This happens if a </w:t>
      </w:r>
      <w:r>
        <w:rPr>
          <w:rFonts w:ascii="MS Gothic"/>
          <w:color w:val="B02045"/>
          <w:w w:val="110"/>
        </w:rPr>
        <w:t>META-INF/build-info.properties</w:t>
      </w:r>
      <w:r>
        <w:rPr>
          <w:rFonts w:ascii="MS Gothic"/>
          <w:color w:val="B02045"/>
          <w:spacing w:val="-69"/>
          <w:w w:val="110"/>
        </w:rPr>
        <w:t xml:space="preserve"> </w:t>
      </w:r>
      <w:r>
        <w:rPr>
          <w:color w:val="333333"/>
          <w:w w:val="110"/>
        </w:rPr>
        <w:t>file is available in the classpath.</w:t>
      </w:r>
    </w:p>
    <w:p w14:paraId="16CDA544" w14:textId="77777777" w:rsidR="00A720EB" w:rsidRDefault="00A720EB">
      <w:pPr>
        <w:pStyle w:val="a3"/>
        <w:spacing w:before="3"/>
        <w:rPr>
          <w:sz w:val="28"/>
        </w:rPr>
      </w:pPr>
    </w:p>
    <w:p w14:paraId="6A49EAD5" w14:textId="77777777" w:rsidR="00A720EB" w:rsidRDefault="00E10349">
      <w:pPr>
        <w:pStyle w:val="a3"/>
        <w:spacing w:line="307" w:lineRule="auto"/>
        <w:ind w:left="1564" w:right="359"/>
      </w:pPr>
      <w:r>
        <w:pict w14:anchorId="3A1111A1">
          <v:line id="_x0000_s3214" style="position:absolute;left:0;text-align:left;z-index:16226816;mso-position-horizontal-relative:page" from="108.25pt,-6pt" to="108.25pt,33.55pt" strokecolor="#ededed" strokeweight=".5pt">
            <w10:wrap anchorx="page"/>
          </v:line>
        </w:pict>
      </w:r>
      <w:r w:rsidR="0030286B">
        <w:rPr>
          <w:noProof/>
        </w:rPr>
        <w:drawing>
          <wp:anchor distT="0" distB="0" distL="0" distR="0" simplePos="0" relativeHeight="16227328" behindDoc="0" locked="0" layoutInCell="1" allowOverlap="1" wp14:anchorId="3BDE3018" wp14:editId="55E7E40E">
            <wp:simplePos x="0" y="0"/>
            <wp:positionH relativeFrom="page">
              <wp:posOffset>888949</wp:posOffset>
            </wp:positionH>
            <wp:positionV relativeFrom="paragraph">
              <wp:posOffset>22771</wp:posOffset>
            </wp:positionV>
            <wp:extent cx="209550" cy="304800"/>
            <wp:effectExtent l="0" t="0" r="0" b="0"/>
            <wp:wrapNone/>
            <wp:docPr id="62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The Maven and Gradle plugins can both generate that file. See "</w:t>
      </w:r>
      <w:hyperlink w:anchor="_bookmark640" w:history="1">
        <w:r w:rsidR="0030286B">
          <w:rPr>
            <w:color w:val="418BCA"/>
            <w:w w:val="110"/>
          </w:rPr>
          <w:t>Generate build</w:t>
        </w:r>
      </w:hyperlink>
      <w:r w:rsidR="0030286B">
        <w:rPr>
          <w:color w:val="418BCA"/>
          <w:w w:val="110"/>
        </w:rPr>
        <w:t xml:space="preserve"> </w:t>
      </w:r>
      <w:hyperlink w:anchor="_bookmark640" w:history="1">
        <w:r w:rsidR="0030286B">
          <w:rPr>
            <w:color w:val="418BCA"/>
            <w:w w:val="110"/>
          </w:rPr>
          <w:t>information</w:t>
        </w:r>
      </w:hyperlink>
      <w:r w:rsidR="0030286B">
        <w:rPr>
          <w:color w:val="333333"/>
          <w:w w:val="110"/>
        </w:rPr>
        <w:t>" for more details.</w:t>
      </w:r>
    </w:p>
    <w:p w14:paraId="30C2D202" w14:textId="77777777" w:rsidR="00A720EB" w:rsidRDefault="00A720EB">
      <w:pPr>
        <w:pStyle w:val="a3"/>
        <w:spacing w:before="6"/>
        <w:rPr>
          <w:sz w:val="32"/>
        </w:rPr>
      </w:pPr>
    </w:p>
    <w:p w14:paraId="3CFF6E65" w14:textId="77777777" w:rsidR="00A720EB" w:rsidRDefault="0030286B">
      <w:pPr>
        <w:pStyle w:val="4"/>
        <w:jc w:val="left"/>
      </w:pPr>
      <w:bookmarkStart w:id="592" w:name="Writing_Custom_InfoContributors"/>
      <w:bookmarkEnd w:id="592"/>
      <w:r>
        <w:rPr>
          <w:color w:val="333333"/>
          <w:w w:val="110"/>
        </w:rPr>
        <w:t>Writing Custom InfoContributors</w:t>
      </w:r>
    </w:p>
    <w:p w14:paraId="2E3AE019" w14:textId="77777777" w:rsidR="00A720EB" w:rsidRDefault="00A720EB">
      <w:pPr>
        <w:pStyle w:val="a3"/>
        <w:spacing w:before="12"/>
        <w:rPr>
          <w:rFonts w:ascii="Palatino Linotype"/>
          <w:b/>
          <w:sz w:val="18"/>
        </w:rPr>
      </w:pPr>
    </w:p>
    <w:p w14:paraId="23B3FCE5" w14:textId="77777777" w:rsidR="00A720EB" w:rsidRDefault="0030286B">
      <w:pPr>
        <w:pStyle w:val="a3"/>
        <w:ind w:left="124"/>
      </w:pPr>
      <w:r>
        <w:rPr>
          <w:color w:val="333333"/>
          <w:w w:val="110"/>
        </w:rPr>
        <w:t>To provide custom application information, you can register Spring beans that implement the</w:t>
      </w:r>
    </w:p>
    <w:p w14:paraId="4AF9A08D" w14:textId="77777777" w:rsidR="00A720EB" w:rsidRDefault="00E10349">
      <w:pPr>
        <w:pStyle w:val="a3"/>
        <w:spacing w:before="59"/>
        <w:ind w:left="124"/>
      </w:pPr>
      <w:hyperlink r:id="rId474">
        <w:r w:rsidR="0030286B">
          <w:rPr>
            <w:rFonts w:ascii="MS Gothic"/>
            <w:color w:val="B02045"/>
            <w:w w:val="110"/>
          </w:rPr>
          <w:t>InfoContributor</w:t>
        </w:r>
        <w:r w:rsidR="0030286B">
          <w:rPr>
            <w:rFonts w:ascii="MS Gothic"/>
            <w:color w:val="B02045"/>
            <w:spacing w:val="-63"/>
            <w:w w:val="110"/>
          </w:rPr>
          <w:t xml:space="preserve"> </w:t>
        </w:r>
      </w:hyperlink>
      <w:r w:rsidR="0030286B">
        <w:rPr>
          <w:color w:val="333333"/>
          <w:w w:val="110"/>
        </w:rPr>
        <w:t>interface.</w:t>
      </w:r>
    </w:p>
    <w:p w14:paraId="65912660" w14:textId="77777777" w:rsidR="00A720EB" w:rsidRDefault="00A720EB">
      <w:pPr>
        <w:sectPr w:rsidR="00A720EB">
          <w:pgSz w:w="11910" w:h="16840"/>
          <w:pgMar w:top="620" w:right="840" w:bottom="520" w:left="840" w:header="0" w:footer="323" w:gutter="0"/>
          <w:cols w:space="720"/>
        </w:sectPr>
      </w:pPr>
    </w:p>
    <w:p w14:paraId="0C7A12F6" w14:textId="77777777" w:rsidR="00A720EB" w:rsidRDefault="0030286B">
      <w:pPr>
        <w:pStyle w:val="a3"/>
        <w:spacing w:before="96"/>
        <w:ind w:left="124"/>
      </w:pPr>
      <w:r>
        <w:rPr>
          <w:color w:val="333333"/>
          <w:w w:val="110"/>
        </w:rPr>
        <w:lastRenderedPageBreak/>
        <w:t xml:space="preserve">The following example contributes an </w:t>
      </w:r>
      <w:r>
        <w:rPr>
          <w:rFonts w:ascii="MS Gothic"/>
          <w:color w:val="B02045"/>
          <w:w w:val="110"/>
        </w:rPr>
        <w:t xml:space="preserve">example </w:t>
      </w:r>
      <w:r>
        <w:rPr>
          <w:color w:val="333333"/>
          <w:w w:val="110"/>
        </w:rPr>
        <w:t>entry with a single value:</w:t>
      </w:r>
    </w:p>
    <w:p w14:paraId="423611ED" w14:textId="77777777" w:rsidR="00A720EB" w:rsidRDefault="00E10349">
      <w:pPr>
        <w:pStyle w:val="a3"/>
        <w:spacing w:before="11"/>
        <w:rPr>
          <w:sz w:val="17"/>
        </w:rPr>
      </w:pPr>
      <w:r>
        <w:pict w14:anchorId="3C24D709">
          <v:group id="_x0000_s3210" style="position:absolute;margin-left:47.85pt;margin-top:12.5pt;width:499.55pt;height:258.6pt;z-index:-15229440;mso-wrap-distance-left:0;mso-wrap-distance-right:0;mso-position-horizontal-relative:page" coordorigin="957,250" coordsize="9991,5172">
            <v:shape id="_x0000_s3213" style="position:absolute;left:964;top:257;width:9976;height:5157" coordorigin="965,258" coordsize="9976,5157" path="m10861,258r-9816,l1014,264r-26,17l971,307r-6,31l965,5335r6,31l988,5391r26,17l1045,5415r9816,l10892,5408r25,-17l10935,5366r6,-31l10941,338r-6,-31l10917,281r-25,-17l10861,258xe" fillcolor="#f5f5f5" stroked="f">
              <v:path arrowok="t"/>
            </v:shape>
            <v:shape id="_x0000_s3212" style="position:absolute;left:964;top:257;width:9976;height:5157" coordorigin="965,258" coordsize="9976,5157" path="m1045,258r9816,l10892,264r25,17l10935,307r6,31l10941,5335r-6,31l10917,5391r-25,17l10861,5415r-9816,l1014,5408r-26,-17l971,5366r-6,-31l965,338r6,-31l988,281r26,-17l1045,258xe" filled="f" strokecolor="#ccc">
              <v:path arrowok="t"/>
            </v:shape>
            <v:shape id="_x0000_s3211" type="#_x0000_t202" style="position:absolute;left:984;top:273;width:9938;height:5126" filled="f" stroked="f">
              <v:textbox inset="0,0,0,0">
                <w:txbxContent>
                  <w:p w14:paraId="4D9C53A4"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java.util</w:t>
                    </w:r>
                    <w:proofErr w:type="gramEnd"/>
                    <w:r>
                      <w:rPr>
                        <w:rFonts w:ascii="MS Gothic"/>
                        <w:color w:val="333333"/>
                      </w:rPr>
                      <w:t>.Collections;</w:t>
                    </w:r>
                  </w:p>
                  <w:p w14:paraId="014192B3" w14:textId="77777777" w:rsidR="00711A16" w:rsidRDefault="00711A16">
                    <w:pPr>
                      <w:rPr>
                        <w:rFonts w:ascii="MS Gothic"/>
                        <w:sz w:val="24"/>
                      </w:rPr>
                    </w:pPr>
                  </w:p>
                  <w:p w14:paraId="4BA58184" w14:textId="77777777" w:rsidR="00711A16" w:rsidRDefault="00711A16">
                    <w:pPr>
                      <w:ind w:left="200"/>
                      <w:rPr>
                        <w:rFonts w:ascii="MS Gothic"/>
                      </w:rPr>
                    </w:pPr>
                    <w:r>
                      <w:rPr>
                        <w:rFonts w:ascii="MS Gothic"/>
                        <w:color w:val="333333"/>
                      </w:rPr>
                      <w:t xml:space="preserve">import </w:t>
                    </w:r>
                    <w:proofErr w:type="gramStart"/>
                    <w:r>
                      <w:rPr>
                        <w:rFonts w:ascii="MS Gothic"/>
                        <w:color w:val="333333"/>
                      </w:rPr>
                      <w:t>org.springframework.boot.actuate.info.Info</w:t>
                    </w:r>
                    <w:proofErr w:type="gramEnd"/>
                    <w:r>
                      <w:rPr>
                        <w:rFonts w:ascii="MS Gothic"/>
                        <w:color w:val="333333"/>
                      </w:rPr>
                      <w:t>;</w:t>
                    </w:r>
                  </w:p>
                  <w:p w14:paraId="27669067" w14:textId="77777777" w:rsidR="00711A16" w:rsidRDefault="00711A16">
                    <w:pPr>
                      <w:spacing w:before="13" w:line="252" w:lineRule="auto"/>
                      <w:ind w:left="200" w:right="3008"/>
                      <w:rPr>
                        <w:rFonts w:ascii="MS Gothic"/>
                      </w:rPr>
                    </w:pPr>
                    <w:r>
                      <w:rPr>
                        <w:rFonts w:ascii="MS Gothic"/>
                        <w:color w:val="333333"/>
                      </w:rPr>
                      <w:t xml:space="preserve">import </w:t>
                    </w:r>
                    <w:proofErr w:type="gramStart"/>
                    <w:r>
                      <w:rPr>
                        <w:rFonts w:ascii="MS Gothic"/>
                        <w:color w:val="333333"/>
                      </w:rPr>
                      <w:t>org.springframework.boot.actuate.info.InfoContributor</w:t>
                    </w:r>
                    <w:proofErr w:type="gramEnd"/>
                    <w:r>
                      <w:rPr>
                        <w:rFonts w:ascii="MS Gothic"/>
                        <w:color w:val="333333"/>
                      </w:rPr>
                      <w:t>; import org.springframework.stereotype.Component;</w:t>
                    </w:r>
                  </w:p>
                  <w:p w14:paraId="24BE907E" w14:textId="77777777" w:rsidR="00711A16" w:rsidRDefault="00711A16">
                    <w:pPr>
                      <w:spacing w:before="10"/>
                      <w:rPr>
                        <w:rFonts w:ascii="MS Gothic"/>
                      </w:rPr>
                    </w:pPr>
                  </w:p>
                  <w:p w14:paraId="3DB9F9C8" w14:textId="77777777" w:rsidR="00711A16" w:rsidRDefault="00711A16">
                    <w:pPr>
                      <w:ind w:left="200"/>
                      <w:rPr>
                        <w:rFonts w:ascii="MS Gothic"/>
                      </w:rPr>
                    </w:pPr>
                    <w:r>
                      <w:rPr>
                        <w:rFonts w:ascii="MS Gothic"/>
                        <w:color w:val="333333"/>
                      </w:rPr>
                      <w:t>@Component</w:t>
                    </w:r>
                  </w:p>
                  <w:p w14:paraId="22B0367D" w14:textId="77777777" w:rsidR="00711A16" w:rsidRDefault="00711A16">
                    <w:pPr>
                      <w:spacing w:before="13"/>
                      <w:ind w:left="200"/>
                      <w:rPr>
                        <w:rFonts w:ascii="MS Gothic"/>
                      </w:rPr>
                    </w:pPr>
                    <w:r>
                      <w:rPr>
                        <w:rFonts w:ascii="MS Gothic"/>
                        <w:color w:val="333333"/>
                      </w:rPr>
                      <w:t>public class ExampleInfoContributor implements InfoContributor {</w:t>
                    </w:r>
                  </w:p>
                  <w:p w14:paraId="5D27222A" w14:textId="77777777" w:rsidR="00711A16" w:rsidRDefault="00711A16">
                    <w:pPr>
                      <w:rPr>
                        <w:rFonts w:ascii="MS Gothic"/>
                        <w:sz w:val="24"/>
                      </w:rPr>
                    </w:pPr>
                  </w:p>
                  <w:p w14:paraId="41568D69" w14:textId="77777777" w:rsidR="00711A16" w:rsidRDefault="00711A16">
                    <w:pPr>
                      <w:spacing w:before="1"/>
                      <w:ind w:left="640"/>
                      <w:rPr>
                        <w:rFonts w:ascii="MS Gothic"/>
                      </w:rPr>
                    </w:pPr>
                    <w:r>
                      <w:rPr>
                        <w:rFonts w:ascii="MS Gothic"/>
                        <w:color w:val="333333"/>
                      </w:rPr>
                      <w:t>@Override</w:t>
                    </w:r>
                  </w:p>
                  <w:p w14:paraId="307BBB0E" w14:textId="77777777" w:rsidR="00711A16" w:rsidRDefault="00711A16">
                    <w:pPr>
                      <w:spacing w:before="13" w:line="252" w:lineRule="auto"/>
                      <w:ind w:left="1080" w:right="4218" w:hanging="440"/>
                      <w:rPr>
                        <w:rFonts w:ascii="MS Gothic"/>
                      </w:rPr>
                    </w:pPr>
                    <w:r>
                      <w:rPr>
                        <w:rFonts w:ascii="MS Gothic"/>
                        <w:color w:val="333333"/>
                      </w:rPr>
                      <w:t xml:space="preserve">public void </w:t>
                    </w:r>
                    <w:proofErr w:type="gramStart"/>
                    <w:r>
                      <w:rPr>
                        <w:rFonts w:ascii="MS Gothic"/>
                        <w:color w:val="333333"/>
                      </w:rPr>
                      <w:t>contribute(</w:t>
                    </w:r>
                    <w:proofErr w:type="gramEnd"/>
                    <w:r>
                      <w:rPr>
                        <w:rFonts w:ascii="MS Gothic"/>
                        <w:color w:val="333333"/>
                      </w:rPr>
                      <w:t>Info.Builder builder) { builder.withDetail("example",</w:t>
                    </w:r>
                  </w:p>
                  <w:p w14:paraId="15C3CD9F" w14:textId="77777777" w:rsidR="00711A16" w:rsidRDefault="00711A16">
                    <w:pPr>
                      <w:spacing w:line="280" w:lineRule="exact"/>
                      <w:ind w:left="1960"/>
                      <w:rPr>
                        <w:rFonts w:ascii="MS Gothic"/>
                      </w:rPr>
                    </w:pPr>
                    <w:r>
                      <w:rPr>
                        <w:rFonts w:ascii="MS Gothic"/>
                        <w:color w:val="333333"/>
                      </w:rPr>
                      <w:t>Collections.singletonMap("key", "value"));</w:t>
                    </w:r>
                  </w:p>
                  <w:p w14:paraId="13B415D2" w14:textId="77777777" w:rsidR="00711A16" w:rsidRDefault="00711A16">
                    <w:pPr>
                      <w:spacing w:before="12"/>
                      <w:ind w:left="640"/>
                      <w:rPr>
                        <w:rFonts w:ascii="MS Gothic"/>
                      </w:rPr>
                    </w:pPr>
                    <w:r>
                      <w:rPr>
                        <w:rFonts w:ascii="MS Gothic"/>
                        <w:color w:val="333333"/>
                      </w:rPr>
                      <w:t>}</w:t>
                    </w:r>
                  </w:p>
                  <w:p w14:paraId="7EB5D095" w14:textId="77777777" w:rsidR="00711A16" w:rsidRDefault="00711A16">
                    <w:pPr>
                      <w:spacing w:before="1"/>
                      <w:rPr>
                        <w:rFonts w:ascii="MS Gothic"/>
                        <w:sz w:val="24"/>
                      </w:rPr>
                    </w:pPr>
                  </w:p>
                  <w:p w14:paraId="200FE648" w14:textId="77777777" w:rsidR="00711A16" w:rsidRDefault="00711A16">
                    <w:pPr>
                      <w:ind w:left="200"/>
                      <w:rPr>
                        <w:rFonts w:ascii="MS Gothic"/>
                      </w:rPr>
                    </w:pPr>
                    <w:r>
                      <w:rPr>
                        <w:rFonts w:ascii="MS Gothic"/>
                        <w:color w:val="333333"/>
                      </w:rPr>
                      <w:t>}</w:t>
                    </w:r>
                  </w:p>
                </w:txbxContent>
              </v:textbox>
            </v:shape>
            <w10:wrap type="topAndBottom" anchorx="page"/>
          </v:group>
        </w:pict>
      </w:r>
    </w:p>
    <w:p w14:paraId="2F5A9188" w14:textId="77777777" w:rsidR="00A720EB" w:rsidRDefault="00A720EB">
      <w:pPr>
        <w:pStyle w:val="a3"/>
        <w:spacing w:before="11"/>
        <w:rPr>
          <w:sz w:val="9"/>
        </w:rPr>
      </w:pPr>
    </w:p>
    <w:p w14:paraId="408DDF7B" w14:textId="77777777" w:rsidR="00A720EB" w:rsidRDefault="0030286B">
      <w:pPr>
        <w:pStyle w:val="a3"/>
        <w:spacing w:before="115" w:line="290" w:lineRule="auto"/>
        <w:ind w:left="124" w:right="359"/>
      </w:pPr>
      <w:r>
        <w:rPr>
          <w:color w:val="333333"/>
          <w:w w:val="110"/>
        </w:rPr>
        <w:t xml:space="preserve">If you reach the </w:t>
      </w:r>
      <w:r>
        <w:rPr>
          <w:rFonts w:ascii="MS Gothic"/>
          <w:color w:val="B02045"/>
          <w:w w:val="110"/>
        </w:rPr>
        <w:t xml:space="preserve">info </w:t>
      </w:r>
      <w:r>
        <w:rPr>
          <w:color w:val="333333"/>
          <w:w w:val="110"/>
        </w:rPr>
        <w:t>endpoint, you should see a response that contains the following additional entry:</w:t>
      </w:r>
    </w:p>
    <w:p w14:paraId="1DC339B1" w14:textId="77777777" w:rsidR="00A720EB" w:rsidRDefault="00E10349">
      <w:pPr>
        <w:pStyle w:val="a3"/>
        <w:spacing w:before="8"/>
        <w:rPr>
          <w:sz w:val="14"/>
        </w:rPr>
      </w:pPr>
      <w:r>
        <w:pict w14:anchorId="6C5A47F6">
          <v:group id="_x0000_s3206" style="position:absolute;margin-left:47.85pt;margin-top:10.6pt;width:499.55pt;height:96.45pt;z-index:-15228928;mso-wrap-distance-left:0;mso-wrap-distance-right:0;mso-position-horizontal-relative:page" coordorigin="957,212" coordsize="9991,1929">
            <v:shape id="_x0000_s3209" style="position:absolute;left:964;top:219;width:9976;height:1914" coordorigin="965,219" coordsize="9976,1914" path="m10861,219r-9816,l1014,226r-26,17l971,268r-6,31l965,2053r6,31l988,2110r26,17l1045,2133r9816,l10892,2127r25,-17l10935,2084r6,-31l10941,299r-6,-31l10917,243r-25,-17l10861,219xe" fillcolor="#f5f5f5" stroked="f">
              <v:path arrowok="t"/>
            </v:shape>
            <v:shape id="_x0000_s3208" style="position:absolute;left:964;top:219;width:9976;height:1914" coordorigin="965,219" coordsize="9976,1914" path="m1045,219r9816,l10892,226r25,17l10935,268r6,31l10941,2053r-6,31l10917,2110r-25,17l10861,2133r-9816,l1014,2127r-26,-17l971,2084r-6,-31l965,299r6,-31l988,243r26,-17l1045,219xe" filled="f" strokecolor="#ccc">
              <v:path arrowok="t"/>
            </v:shape>
            <v:shape id="_x0000_s3207" type="#_x0000_t202" style="position:absolute;left:984;top:234;width:9938;height:1884" filled="f" stroked="f">
              <v:textbox inset="0,0,0,0">
                <w:txbxContent>
                  <w:p w14:paraId="757635A3" w14:textId="77777777" w:rsidR="00711A16" w:rsidRDefault="00711A16">
                    <w:pPr>
                      <w:spacing w:before="221"/>
                      <w:ind w:left="200"/>
                      <w:rPr>
                        <w:rFonts w:ascii="MS Gothic"/>
                      </w:rPr>
                    </w:pPr>
                    <w:r>
                      <w:rPr>
                        <w:rFonts w:ascii="MS Gothic"/>
                        <w:color w:val="333333"/>
                      </w:rPr>
                      <w:t>{</w:t>
                    </w:r>
                  </w:p>
                  <w:p w14:paraId="52F4A86C" w14:textId="77777777" w:rsidR="00711A16" w:rsidRDefault="00711A16">
                    <w:pPr>
                      <w:spacing w:before="13"/>
                      <w:ind w:left="640"/>
                      <w:rPr>
                        <w:rFonts w:ascii="MS Gothic"/>
                      </w:rPr>
                    </w:pPr>
                    <w:r>
                      <w:rPr>
                        <w:rFonts w:ascii="MS Gothic"/>
                        <w:color w:val="333333"/>
                      </w:rPr>
                      <w:t>"example": {</w:t>
                    </w:r>
                  </w:p>
                  <w:p w14:paraId="0EEE1AF8" w14:textId="77777777" w:rsidR="00711A16" w:rsidRDefault="00711A16">
                    <w:pPr>
                      <w:spacing w:before="13"/>
                      <w:ind w:left="1080"/>
                      <w:rPr>
                        <w:rFonts w:ascii="MS Gothic"/>
                      </w:rPr>
                    </w:pPr>
                    <w:r>
                      <w:rPr>
                        <w:rFonts w:ascii="MS Gothic"/>
                        <w:color w:val="333333"/>
                      </w:rPr>
                      <w:t>"key</w:t>
                    </w:r>
                    <w:proofErr w:type="gramStart"/>
                    <w:r>
                      <w:rPr>
                        <w:rFonts w:ascii="MS Gothic"/>
                        <w:color w:val="333333"/>
                      </w:rPr>
                      <w:t>" :</w:t>
                    </w:r>
                    <w:proofErr w:type="gramEnd"/>
                    <w:r>
                      <w:rPr>
                        <w:rFonts w:ascii="MS Gothic"/>
                        <w:color w:val="333333"/>
                      </w:rPr>
                      <w:t xml:space="preserve"> "value"</w:t>
                    </w:r>
                  </w:p>
                  <w:p w14:paraId="5F8D4680" w14:textId="77777777" w:rsidR="00711A16" w:rsidRDefault="00711A16">
                    <w:pPr>
                      <w:spacing w:before="13"/>
                      <w:ind w:left="640"/>
                      <w:rPr>
                        <w:rFonts w:ascii="MS Gothic"/>
                      </w:rPr>
                    </w:pPr>
                    <w:r>
                      <w:rPr>
                        <w:rFonts w:ascii="MS Gothic"/>
                        <w:color w:val="333333"/>
                      </w:rPr>
                      <w:t>}</w:t>
                    </w:r>
                  </w:p>
                  <w:p w14:paraId="49D6955C" w14:textId="77777777" w:rsidR="00711A16" w:rsidRDefault="00711A16">
                    <w:pPr>
                      <w:spacing w:before="12"/>
                      <w:ind w:left="200"/>
                      <w:rPr>
                        <w:rFonts w:ascii="MS Gothic"/>
                      </w:rPr>
                    </w:pPr>
                    <w:r>
                      <w:rPr>
                        <w:rFonts w:ascii="MS Gothic"/>
                        <w:color w:val="333333"/>
                      </w:rPr>
                      <w:t>}</w:t>
                    </w:r>
                  </w:p>
                </w:txbxContent>
              </v:textbox>
            </v:shape>
            <w10:wrap type="topAndBottom" anchorx="page"/>
          </v:group>
        </w:pict>
      </w:r>
    </w:p>
    <w:p w14:paraId="65890421" w14:textId="77777777" w:rsidR="00A720EB" w:rsidRDefault="00A720EB">
      <w:pPr>
        <w:pStyle w:val="a3"/>
        <w:spacing w:before="11"/>
        <w:rPr>
          <w:sz w:val="16"/>
        </w:rPr>
      </w:pPr>
    </w:p>
    <w:p w14:paraId="5470551B" w14:textId="77777777" w:rsidR="00A720EB" w:rsidRDefault="0030286B">
      <w:pPr>
        <w:pStyle w:val="2"/>
        <w:numPr>
          <w:ilvl w:val="1"/>
          <w:numId w:val="24"/>
        </w:numPr>
        <w:tabs>
          <w:tab w:val="left" w:pos="832"/>
        </w:tabs>
        <w:spacing w:before="107"/>
      </w:pPr>
      <w:bookmarkStart w:id="593" w:name="5.3._Monitoring_and_Management_over_HTTP"/>
      <w:bookmarkStart w:id="594" w:name="_Toc54423848"/>
      <w:bookmarkEnd w:id="593"/>
      <w:r>
        <w:rPr>
          <w:color w:val="333333"/>
          <w:w w:val="110"/>
        </w:rPr>
        <w:t>Monitoring and Management over</w:t>
      </w:r>
      <w:r>
        <w:rPr>
          <w:color w:val="333333"/>
          <w:spacing w:val="-45"/>
          <w:w w:val="110"/>
        </w:rPr>
        <w:t xml:space="preserve"> </w:t>
      </w:r>
      <w:r>
        <w:rPr>
          <w:color w:val="333333"/>
          <w:w w:val="110"/>
        </w:rPr>
        <w:t>HTTP</w:t>
      </w:r>
      <w:bookmarkEnd w:id="594"/>
    </w:p>
    <w:p w14:paraId="747DD4F5" w14:textId="77777777" w:rsidR="00A720EB" w:rsidRDefault="0030286B">
      <w:pPr>
        <w:pStyle w:val="a3"/>
        <w:spacing w:before="253" w:line="290" w:lineRule="auto"/>
        <w:ind w:left="124" w:right="123"/>
        <w:jc w:val="both"/>
      </w:pPr>
      <w:r>
        <w:rPr>
          <w:color w:val="333333"/>
          <w:w w:val="110"/>
        </w:rPr>
        <w:t xml:space="preserve">If you are developing a web application, Spring Boot </w:t>
      </w:r>
      <w:proofErr w:type="gramStart"/>
      <w:r>
        <w:rPr>
          <w:color w:val="333333"/>
          <w:w w:val="110"/>
        </w:rPr>
        <w:t>Actuator  auto</w:t>
      </w:r>
      <w:proofErr w:type="gramEnd"/>
      <w:r>
        <w:rPr>
          <w:color w:val="333333"/>
          <w:w w:val="110"/>
        </w:rPr>
        <w:t>-configures  all  enabled</w:t>
      </w:r>
      <w:r>
        <w:rPr>
          <w:color w:val="333333"/>
          <w:spacing w:val="50"/>
          <w:w w:val="110"/>
        </w:rPr>
        <w:t xml:space="preserve"> </w:t>
      </w:r>
      <w:r>
        <w:rPr>
          <w:color w:val="333333"/>
          <w:w w:val="110"/>
        </w:rPr>
        <w:t xml:space="preserve">endpoints to be exposed over </w:t>
      </w:r>
      <w:r>
        <w:rPr>
          <w:color w:val="333333"/>
          <w:spacing w:val="-6"/>
          <w:w w:val="110"/>
        </w:rPr>
        <w:t xml:space="preserve">HTTP. </w:t>
      </w:r>
      <w:r>
        <w:rPr>
          <w:color w:val="333333"/>
          <w:w w:val="110"/>
        </w:rPr>
        <w:t xml:space="preserve">The default convention is to use the </w:t>
      </w:r>
      <w:r>
        <w:rPr>
          <w:rFonts w:ascii="MS Gothic"/>
          <w:color w:val="B02045"/>
          <w:w w:val="110"/>
        </w:rPr>
        <w:t xml:space="preserve">id </w:t>
      </w:r>
      <w:r>
        <w:rPr>
          <w:color w:val="333333"/>
          <w:w w:val="110"/>
        </w:rPr>
        <w:t>of the endpoint with a prefix</w:t>
      </w:r>
      <w:r>
        <w:rPr>
          <w:color w:val="333333"/>
          <w:spacing w:val="-5"/>
          <w:w w:val="110"/>
        </w:rPr>
        <w:t xml:space="preserve"> </w:t>
      </w:r>
      <w:r>
        <w:rPr>
          <w:color w:val="333333"/>
          <w:w w:val="110"/>
        </w:rPr>
        <w:t>of</w:t>
      </w:r>
      <w:r>
        <w:rPr>
          <w:color w:val="333333"/>
          <w:spacing w:val="-3"/>
          <w:w w:val="110"/>
        </w:rPr>
        <w:t xml:space="preserve"> </w:t>
      </w:r>
      <w:r>
        <w:rPr>
          <w:rFonts w:ascii="MS Gothic"/>
          <w:color w:val="B02045"/>
          <w:w w:val="110"/>
        </w:rPr>
        <w:t>/actuator</w:t>
      </w:r>
      <w:r>
        <w:rPr>
          <w:rFonts w:ascii="MS Gothic"/>
          <w:color w:val="B02045"/>
          <w:spacing w:val="-69"/>
          <w:w w:val="110"/>
        </w:rPr>
        <w:t xml:space="preserve"> </w:t>
      </w:r>
      <w:r>
        <w:rPr>
          <w:color w:val="333333"/>
          <w:w w:val="110"/>
        </w:rPr>
        <w:t>as</w:t>
      </w:r>
      <w:r>
        <w:rPr>
          <w:color w:val="333333"/>
          <w:spacing w:val="-5"/>
          <w:w w:val="110"/>
        </w:rPr>
        <w:t xml:space="preserve"> </w:t>
      </w:r>
      <w:r>
        <w:rPr>
          <w:color w:val="333333"/>
          <w:w w:val="110"/>
        </w:rPr>
        <w:t>the</w:t>
      </w:r>
      <w:r>
        <w:rPr>
          <w:color w:val="333333"/>
          <w:spacing w:val="-3"/>
          <w:w w:val="110"/>
        </w:rPr>
        <w:t xml:space="preserve"> </w:t>
      </w:r>
      <w:r>
        <w:rPr>
          <w:color w:val="333333"/>
          <w:w w:val="110"/>
        </w:rPr>
        <w:t>URL</w:t>
      </w:r>
      <w:r>
        <w:rPr>
          <w:color w:val="333333"/>
          <w:spacing w:val="-5"/>
          <w:w w:val="110"/>
        </w:rPr>
        <w:t xml:space="preserve"> </w:t>
      </w:r>
      <w:r>
        <w:rPr>
          <w:color w:val="333333"/>
          <w:w w:val="110"/>
        </w:rPr>
        <w:t>path.</w:t>
      </w:r>
      <w:r>
        <w:rPr>
          <w:color w:val="333333"/>
          <w:spacing w:val="-5"/>
          <w:w w:val="110"/>
        </w:rPr>
        <w:t xml:space="preserve"> </w:t>
      </w:r>
      <w:r>
        <w:rPr>
          <w:color w:val="333333"/>
          <w:spacing w:val="-4"/>
          <w:w w:val="110"/>
        </w:rPr>
        <w:t xml:space="preserve">For </w:t>
      </w:r>
      <w:r>
        <w:rPr>
          <w:color w:val="333333"/>
          <w:w w:val="110"/>
        </w:rPr>
        <w:t>example,</w:t>
      </w:r>
      <w:r>
        <w:rPr>
          <w:color w:val="333333"/>
          <w:spacing w:val="-2"/>
          <w:w w:val="110"/>
        </w:rPr>
        <w:t xml:space="preserve"> </w:t>
      </w:r>
      <w:r>
        <w:rPr>
          <w:rFonts w:ascii="MS Gothic"/>
          <w:color w:val="B02045"/>
          <w:w w:val="110"/>
        </w:rPr>
        <w:t>health</w:t>
      </w:r>
      <w:r>
        <w:rPr>
          <w:rFonts w:ascii="MS Gothic"/>
          <w:color w:val="B02045"/>
          <w:spacing w:val="-69"/>
          <w:w w:val="110"/>
        </w:rPr>
        <w:t xml:space="preserve"> </w:t>
      </w:r>
      <w:r>
        <w:rPr>
          <w:color w:val="333333"/>
          <w:w w:val="110"/>
        </w:rPr>
        <w:t>is</w:t>
      </w:r>
      <w:r>
        <w:rPr>
          <w:color w:val="333333"/>
          <w:spacing w:val="-4"/>
          <w:w w:val="110"/>
        </w:rPr>
        <w:t xml:space="preserve"> </w:t>
      </w:r>
      <w:r>
        <w:rPr>
          <w:color w:val="333333"/>
          <w:w w:val="110"/>
        </w:rPr>
        <w:t>exposed</w:t>
      </w:r>
      <w:r>
        <w:rPr>
          <w:color w:val="333333"/>
          <w:spacing w:val="-4"/>
          <w:w w:val="110"/>
        </w:rPr>
        <w:t xml:space="preserve"> </w:t>
      </w:r>
      <w:r>
        <w:rPr>
          <w:color w:val="333333"/>
          <w:w w:val="110"/>
        </w:rPr>
        <w:t>as</w:t>
      </w:r>
      <w:r>
        <w:rPr>
          <w:color w:val="333333"/>
          <w:spacing w:val="-4"/>
          <w:w w:val="110"/>
        </w:rPr>
        <w:t xml:space="preserve"> </w:t>
      </w:r>
      <w:r>
        <w:rPr>
          <w:rFonts w:ascii="MS Gothic"/>
          <w:color w:val="B02045"/>
          <w:w w:val="110"/>
        </w:rPr>
        <w:t>/actuator/health</w:t>
      </w:r>
      <w:r>
        <w:rPr>
          <w:color w:val="333333"/>
          <w:w w:val="110"/>
        </w:rPr>
        <w:t>.</w:t>
      </w:r>
    </w:p>
    <w:p w14:paraId="1A5FA747" w14:textId="77777777" w:rsidR="00A720EB" w:rsidRDefault="00A720EB">
      <w:pPr>
        <w:pStyle w:val="a3"/>
        <w:spacing w:before="1"/>
        <w:rPr>
          <w:sz w:val="27"/>
        </w:rPr>
      </w:pPr>
    </w:p>
    <w:p w14:paraId="62A11466" w14:textId="77777777" w:rsidR="00A720EB" w:rsidRDefault="00E10349">
      <w:pPr>
        <w:pStyle w:val="a3"/>
        <w:spacing w:line="307" w:lineRule="auto"/>
        <w:ind w:left="1564" w:right="462"/>
      </w:pPr>
      <w:r>
        <w:pict w14:anchorId="5E87A472">
          <v:line id="_x0000_s3205" style="position:absolute;left:0;text-align:left;z-index:16228864;mso-position-horizontal-relative:page" from="108.25pt,-6pt" to="108.25pt,33.55pt" strokecolor="#ededed" strokeweight=".5pt">
            <w10:wrap anchorx="page"/>
          </v:line>
        </w:pict>
      </w:r>
      <w:r w:rsidR="0030286B">
        <w:rPr>
          <w:noProof/>
        </w:rPr>
        <w:drawing>
          <wp:anchor distT="0" distB="0" distL="0" distR="0" simplePos="0" relativeHeight="16229376" behindDoc="0" locked="0" layoutInCell="1" allowOverlap="1" wp14:anchorId="14BCA1D4" wp14:editId="2398F186">
            <wp:simplePos x="0" y="0"/>
            <wp:positionH relativeFrom="page">
              <wp:posOffset>888949</wp:posOffset>
            </wp:positionH>
            <wp:positionV relativeFrom="paragraph">
              <wp:posOffset>22771</wp:posOffset>
            </wp:positionV>
            <wp:extent cx="209550" cy="304800"/>
            <wp:effectExtent l="0" t="0" r="0" b="0"/>
            <wp:wrapNone/>
            <wp:docPr id="62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5"/>
        </w:rPr>
        <w:t>Actuator is supported natively with Spring MVC, Spring WebFlux, and Jersey. If both Jersey and Spring MVC are available, Spring MVC will be used.</w:t>
      </w:r>
    </w:p>
    <w:p w14:paraId="58988371" w14:textId="77777777" w:rsidR="00A720EB" w:rsidRDefault="00A720EB">
      <w:pPr>
        <w:pStyle w:val="a3"/>
        <w:spacing w:before="2"/>
        <w:rPr>
          <w:sz w:val="34"/>
        </w:rPr>
      </w:pPr>
    </w:p>
    <w:p w14:paraId="6DF75F96" w14:textId="77777777" w:rsidR="00A720EB" w:rsidRDefault="00E10349">
      <w:pPr>
        <w:pStyle w:val="a3"/>
        <w:spacing w:line="307" w:lineRule="auto"/>
        <w:ind w:left="1564"/>
      </w:pPr>
      <w:r>
        <w:pict w14:anchorId="3D765B4D">
          <v:line id="_x0000_s3204" style="position:absolute;left:0;text-align:left;z-index:16229888;mso-position-horizontal-relative:page" from="108.25pt,-6pt" to="108.25pt,33.55pt" strokecolor="#ededed" strokeweight=".5pt">
            <w10:wrap anchorx="page"/>
          </v:line>
        </w:pict>
      </w:r>
      <w:r w:rsidR="0030286B">
        <w:rPr>
          <w:noProof/>
        </w:rPr>
        <w:drawing>
          <wp:anchor distT="0" distB="0" distL="0" distR="0" simplePos="0" relativeHeight="16230400" behindDoc="0" locked="0" layoutInCell="1" allowOverlap="1" wp14:anchorId="0099669A" wp14:editId="1801DC51">
            <wp:simplePos x="0" y="0"/>
            <wp:positionH relativeFrom="page">
              <wp:posOffset>844422</wp:posOffset>
            </wp:positionH>
            <wp:positionV relativeFrom="paragraph">
              <wp:posOffset>25946</wp:posOffset>
            </wp:positionV>
            <wp:extent cx="298450" cy="298450"/>
            <wp:effectExtent l="0" t="0" r="0" b="0"/>
            <wp:wrapNone/>
            <wp:docPr id="6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Jackson is a required dependency in order to get the correct JSON responses as documented in the API documentation (</w:t>
      </w:r>
      <w:hyperlink r:id="rId475">
        <w:r w:rsidR="0030286B">
          <w:rPr>
            <w:color w:val="418BCA"/>
            <w:w w:val="110"/>
          </w:rPr>
          <w:t xml:space="preserve">HTML </w:t>
        </w:r>
      </w:hyperlink>
      <w:r w:rsidR="0030286B">
        <w:rPr>
          <w:color w:val="333333"/>
          <w:w w:val="110"/>
        </w:rPr>
        <w:t xml:space="preserve">or </w:t>
      </w:r>
      <w:hyperlink r:id="rId476">
        <w:r w:rsidR="0030286B">
          <w:rPr>
            <w:color w:val="418BCA"/>
            <w:w w:val="110"/>
          </w:rPr>
          <w:t>PDF</w:t>
        </w:r>
      </w:hyperlink>
      <w:r w:rsidR="0030286B">
        <w:rPr>
          <w:color w:val="333333"/>
          <w:w w:val="110"/>
        </w:rPr>
        <w:t>).</w:t>
      </w:r>
    </w:p>
    <w:p w14:paraId="461B0004" w14:textId="77777777" w:rsidR="00A720EB" w:rsidRDefault="00A720EB">
      <w:pPr>
        <w:pStyle w:val="a3"/>
        <w:spacing w:before="7"/>
        <w:rPr>
          <w:sz w:val="32"/>
        </w:rPr>
      </w:pPr>
    </w:p>
    <w:p w14:paraId="14DC837B" w14:textId="77777777" w:rsidR="00A720EB" w:rsidRDefault="0030286B">
      <w:pPr>
        <w:pStyle w:val="3"/>
        <w:numPr>
          <w:ilvl w:val="2"/>
          <w:numId w:val="24"/>
        </w:numPr>
        <w:tabs>
          <w:tab w:val="left" w:pos="858"/>
        </w:tabs>
        <w:ind w:hanging="734"/>
      </w:pPr>
      <w:bookmarkStart w:id="595" w:name="5.3.1._Customizing_the_Management_Endpoi"/>
      <w:bookmarkStart w:id="596" w:name="_Toc54423849"/>
      <w:bookmarkEnd w:id="595"/>
      <w:r>
        <w:rPr>
          <w:color w:val="333333"/>
          <w:w w:val="110"/>
        </w:rPr>
        <w:t>Customizing the Management Endpoint</w:t>
      </w:r>
      <w:r>
        <w:rPr>
          <w:color w:val="333333"/>
          <w:spacing w:val="-27"/>
          <w:w w:val="110"/>
        </w:rPr>
        <w:t xml:space="preserve"> </w:t>
      </w:r>
      <w:r>
        <w:rPr>
          <w:color w:val="333333"/>
          <w:w w:val="110"/>
        </w:rPr>
        <w:t>Paths</w:t>
      </w:r>
      <w:bookmarkEnd w:id="596"/>
    </w:p>
    <w:p w14:paraId="6AACB9FB" w14:textId="77777777" w:rsidR="00A720EB" w:rsidRDefault="0030286B">
      <w:pPr>
        <w:pStyle w:val="a3"/>
        <w:spacing w:before="254" w:line="290" w:lineRule="auto"/>
        <w:ind w:left="124" w:right="127"/>
        <w:jc w:val="both"/>
      </w:pPr>
      <w:r>
        <w:rPr>
          <w:color w:val="333333"/>
          <w:w w:val="110"/>
        </w:rPr>
        <w:t xml:space="preserve">Sometimes, it is useful to customize the prefix for the management endpoints. </w:t>
      </w:r>
      <w:r>
        <w:rPr>
          <w:color w:val="333333"/>
          <w:spacing w:val="-4"/>
          <w:w w:val="110"/>
        </w:rPr>
        <w:t xml:space="preserve">For </w:t>
      </w:r>
      <w:r>
        <w:rPr>
          <w:color w:val="333333"/>
          <w:w w:val="110"/>
        </w:rPr>
        <w:t xml:space="preserve">example, your application might already use </w:t>
      </w:r>
      <w:r>
        <w:rPr>
          <w:rFonts w:ascii="MS Gothic"/>
          <w:color w:val="B02045"/>
          <w:w w:val="110"/>
        </w:rPr>
        <w:t xml:space="preserve">/actuator </w:t>
      </w:r>
      <w:r>
        <w:rPr>
          <w:color w:val="333333"/>
          <w:w w:val="110"/>
        </w:rPr>
        <w:t xml:space="preserve">for another purpose. </w:t>
      </w:r>
      <w:r>
        <w:rPr>
          <w:color w:val="333333"/>
          <w:spacing w:val="-6"/>
          <w:w w:val="110"/>
        </w:rPr>
        <w:t xml:space="preserve">You </w:t>
      </w:r>
      <w:r>
        <w:rPr>
          <w:color w:val="333333"/>
          <w:w w:val="110"/>
        </w:rPr>
        <w:t xml:space="preserve">can use the </w:t>
      </w:r>
      <w:proofErr w:type="gramStart"/>
      <w:r>
        <w:rPr>
          <w:rFonts w:ascii="MS Gothic"/>
          <w:color w:val="B02045"/>
          <w:w w:val="110"/>
        </w:rPr>
        <w:t>management.endpoints.web.base</w:t>
      </w:r>
      <w:proofErr w:type="gramEnd"/>
      <w:r>
        <w:rPr>
          <w:rFonts w:ascii="MS Gothic"/>
          <w:color w:val="B02045"/>
          <w:w w:val="110"/>
        </w:rPr>
        <w:t>-path</w:t>
      </w:r>
      <w:r>
        <w:rPr>
          <w:rFonts w:ascii="MS Gothic"/>
          <w:color w:val="B02045"/>
          <w:spacing w:val="-74"/>
          <w:w w:val="110"/>
        </w:rPr>
        <w:t xml:space="preserve"> </w:t>
      </w:r>
      <w:r>
        <w:rPr>
          <w:color w:val="333333"/>
          <w:w w:val="110"/>
        </w:rPr>
        <w:t>property</w:t>
      </w:r>
      <w:r>
        <w:rPr>
          <w:color w:val="333333"/>
          <w:spacing w:val="-10"/>
          <w:w w:val="110"/>
        </w:rPr>
        <w:t xml:space="preserve"> </w:t>
      </w:r>
      <w:r>
        <w:rPr>
          <w:color w:val="333333"/>
          <w:w w:val="110"/>
        </w:rPr>
        <w:t>to</w:t>
      </w:r>
      <w:r>
        <w:rPr>
          <w:color w:val="333333"/>
          <w:spacing w:val="-10"/>
          <w:w w:val="110"/>
        </w:rPr>
        <w:t xml:space="preserve"> </w:t>
      </w:r>
      <w:r>
        <w:rPr>
          <w:color w:val="333333"/>
          <w:w w:val="110"/>
        </w:rPr>
        <w:t>change</w:t>
      </w:r>
      <w:r>
        <w:rPr>
          <w:color w:val="333333"/>
          <w:spacing w:val="-9"/>
          <w:w w:val="110"/>
        </w:rPr>
        <w:t xml:space="preserve"> </w:t>
      </w:r>
      <w:r>
        <w:rPr>
          <w:color w:val="333333"/>
          <w:w w:val="110"/>
        </w:rPr>
        <w:t>the</w:t>
      </w:r>
      <w:r>
        <w:rPr>
          <w:color w:val="333333"/>
          <w:spacing w:val="-10"/>
          <w:w w:val="110"/>
        </w:rPr>
        <w:t xml:space="preserve"> </w:t>
      </w:r>
      <w:r>
        <w:rPr>
          <w:color w:val="333333"/>
          <w:w w:val="110"/>
        </w:rPr>
        <w:t>prefix</w:t>
      </w:r>
      <w:r>
        <w:rPr>
          <w:color w:val="333333"/>
          <w:spacing w:val="-9"/>
          <w:w w:val="110"/>
        </w:rPr>
        <w:t xml:space="preserve"> </w:t>
      </w:r>
      <w:r>
        <w:rPr>
          <w:color w:val="333333"/>
          <w:w w:val="110"/>
        </w:rPr>
        <w:t>for</w:t>
      </w:r>
      <w:r>
        <w:rPr>
          <w:color w:val="333333"/>
          <w:spacing w:val="-10"/>
          <w:w w:val="110"/>
        </w:rPr>
        <w:t xml:space="preserve"> </w:t>
      </w:r>
      <w:r>
        <w:rPr>
          <w:color w:val="333333"/>
          <w:w w:val="110"/>
        </w:rPr>
        <w:t>your</w:t>
      </w:r>
      <w:r>
        <w:rPr>
          <w:color w:val="333333"/>
          <w:spacing w:val="-9"/>
          <w:w w:val="110"/>
        </w:rPr>
        <w:t xml:space="preserve"> </w:t>
      </w:r>
      <w:r>
        <w:rPr>
          <w:color w:val="333333"/>
          <w:w w:val="110"/>
        </w:rPr>
        <w:t>management</w:t>
      </w:r>
      <w:r>
        <w:rPr>
          <w:color w:val="333333"/>
          <w:spacing w:val="-10"/>
          <w:w w:val="110"/>
        </w:rPr>
        <w:t xml:space="preserve"> </w:t>
      </w:r>
      <w:r>
        <w:rPr>
          <w:color w:val="333333"/>
          <w:w w:val="110"/>
        </w:rPr>
        <w:t>endpoint, as shown in the following</w:t>
      </w:r>
      <w:r>
        <w:rPr>
          <w:color w:val="333333"/>
          <w:spacing w:val="16"/>
          <w:w w:val="110"/>
        </w:rPr>
        <w:t xml:space="preserve"> </w:t>
      </w:r>
      <w:r>
        <w:rPr>
          <w:color w:val="333333"/>
          <w:w w:val="110"/>
        </w:rPr>
        <w:t>example:</w:t>
      </w:r>
    </w:p>
    <w:p w14:paraId="7F67CA24" w14:textId="77777777" w:rsidR="00A720EB" w:rsidRDefault="00A720EB">
      <w:pPr>
        <w:spacing w:line="290" w:lineRule="auto"/>
        <w:jc w:val="both"/>
        <w:sectPr w:rsidR="00A720EB">
          <w:pgSz w:w="11910" w:h="16840"/>
          <w:pgMar w:top="620" w:right="840" w:bottom="520" w:left="840" w:header="0" w:footer="323" w:gutter="0"/>
          <w:cols w:space="720"/>
        </w:sectPr>
      </w:pPr>
    </w:p>
    <w:p w14:paraId="4BC2BFDD" w14:textId="77777777" w:rsidR="00A720EB" w:rsidRDefault="00E10349">
      <w:pPr>
        <w:pStyle w:val="a3"/>
        <w:ind w:left="116"/>
        <w:rPr>
          <w:sz w:val="20"/>
        </w:rPr>
      </w:pPr>
      <w:r>
        <w:rPr>
          <w:sz w:val="20"/>
        </w:rPr>
      </w:r>
      <w:r>
        <w:rPr>
          <w:sz w:val="20"/>
        </w:rPr>
        <w:pict w14:anchorId="02B7F41E">
          <v:group id="_x0000_s3200" style="width:499.55pt;height:37.5pt;mso-position-horizontal-relative:char;mso-position-vertical-relative:line" coordsize="9991,750">
            <v:shape id="_x0000_s3203" style="position:absolute;left:7;top:7;width:9976;height:735" coordorigin="8,8" coordsize="9976,735" path="m9904,8l88,8,56,14,31,31,14,56,8,88r,574l14,693r17,26l56,736r32,6l9904,742r31,-6l9960,719r17,-26l9984,662r,-574l9977,56,9960,31,9935,14,9904,8xe" fillcolor="#f5f5f5" stroked="f">
              <v:path arrowok="t"/>
            </v:shape>
            <v:shape id="_x0000_s3202" style="position:absolute;left:7;top:7;width:9976;height:735" coordorigin="8,8" coordsize="9976,735" path="m88,8r9816,l9935,14r25,17l9977,56r7,32l9984,662r-7,31l9960,719r-25,17l9904,742,88,742,56,736,31,719,14,693,8,662,8,88,14,56,31,31,56,14,88,8xe" filled="f" strokecolor="#ccc">
              <v:path arrowok="t"/>
            </v:shape>
            <v:shape id="_x0000_s3201" type="#_x0000_t202" style="position:absolute;left:26;top:22;width:9938;height:704" filled="f" stroked="f">
              <v:textbox inset="0,0,0,0">
                <w:txbxContent>
                  <w:p w14:paraId="785DF0EA" w14:textId="77777777" w:rsidR="00711A16" w:rsidRDefault="00711A16">
                    <w:pPr>
                      <w:spacing w:before="221"/>
                      <w:ind w:left="200"/>
                      <w:rPr>
                        <w:rFonts w:ascii="MS Gothic"/>
                      </w:rPr>
                    </w:pPr>
                    <w:proofErr w:type="gramStart"/>
                    <w:r>
                      <w:rPr>
                        <w:rFonts w:ascii="MS Gothic"/>
                        <w:color w:val="333333"/>
                      </w:rPr>
                      <w:t>management.endpoints.web.base</w:t>
                    </w:r>
                    <w:proofErr w:type="gramEnd"/>
                    <w:r>
                      <w:rPr>
                        <w:rFonts w:ascii="MS Gothic"/>
                        <w:color w:val="333333"/>
                      </w:rPr>
                      <w:t>-path=/manage</w:t>
                    </w:r>
                  </w:p>
                </w:txbxContent>
              </v:textbox>
            </v:shape>
            <w10:anchorlock/>
          </v:group>
        </w:pict>
      </w:r>
    </w:p>
    <w:p w14:paraId="094753A3" w14:textId="77777777" w:rsidR="00A720EB" w:rsidRDefault="00A720EB">
      <w:pPr>
        <w:pStyle w:val="a3"/>
        <w:rPr>
          <w:sz w:val="9"/>
        </w:rPr>
      </w:pPr>
    </w:p>
    <w:p w14:paraId="1060393C" w14:textId="77777777" w:rsidR="00A720EB" w:rsidRDefault="0030286B">
      <w:pPr>
        <w:pStyle w:val="a3"/>
        <w:spacing w:before="115"/>
        <w:ind w:left="124"/>
      </w:pPr>
      <w:r>
        <w:rPr>
          <w:color w:val="333333"/>
          <w:w w:val="110"/>
        </w:rPr>
        <w:t xml:space="preserve">The preceding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example changes the endpoint from </w:t>
      </w:r>
      <w:r>
        <w:rPr>
          <w:rFonts w:ascii="MS Gothic"/>
          <w:color w:val="B02045"/>
          <w:w w:val="110"/>
        </w:rPr>
        <w:t xml:space="preserve">/actuator/{id} </w:t>
      </w:r>
      <w:r>
        <w:rPr>
          <w:color w:val="333333"/>
          <w:w w:val="110"/>
        </w:rPr>
        <w:t>to</w:t>
      </w:r>
    </w:p>
    <w:p w14:paraId="56805BEE" w14:textId="77777777" w:rsidR="00A720EB" w:rsidRDefault="0030286B">
      <w:pPr>
        <w:pStyle w:val="a3"/>
        <w:spacing w:before="47"/>
        <w:ind w:left="124"/>
      </w:pPr>
      <w:r>
        <w:rPr>
          <w:rFonts w:ascii="MS Gothic"/>
          <w:color w:val="B02045"/>
          <w:w w:val="105"/>
        </w:rPr>
        <w:t xml:space="preserve">/manage/{id} </w:t>
      </w:r>
      <w:r>
        <w:rPr>
          <w:color w:val="333333"/>
          <w:w w:val="105"/>
        </w:rPr>
        <w:t xml:space="preserve">(for example, </w:t>
      </w:r>
      <w:r>
        <w:rPr>
          <w:rFonts w:ascii="MS Gothic"/>
          <w:color w:val="B02045"/>
          <w:w w:val="105"/>
        </w:rPr>
        <w:t>/manage/info</w:t>
      </w:r>
      <w:r>
        <w:rPr>
          <w:color w:val="333333"/>
          <w:w w:val="105"/>
        </w:rPr>
        <w:t>).</w:t>
      </w:r>
    </w:p>
    <w:p w14:paraId="1553AEF4" w14:textId="77777777" w:rsidR="00A720EB" w:rsidRDefault="00A720EB">
      <w:pPr>
        <w:pStyle w:val="a3"/>
        <w:spacing w:before="6"/>
      </w:pPr>
    </w:p>
    <w:p w14:paraId="466B72EC" w14:textId="77777777" w:rsidR="00A720EB" w:rsidRDefault="00E10349">
      <w:pPr>
        <w:pStyle w:val="a3"/>
        <w:tabs>
          <w:tab w:val="left" w:pos="6334"/>
          <w:tab w:val="left" w:pos="7695"/>
          <w:tab w:val="left" w:pos="9665"/>
        </w:tabs>
        <w:spacing w:before="125" w:line="285" w:lineRule="auto"/>
        <w:ind w:left="1564" w:right="363"/>
        <w:jc w:val="both"/>
      </w:pPr>
      <w:r>
        <w:pict w14:anchorId="661CD583">
          <v:line id="_x0000_s3199" style="position:absolute;left:0;text-align:left;z-index:16232448;mso-position-horizontal-relative:page" from="108.25pt,.25pt" to="108.25pt,87.15pt" strokecolor="#ededed" strokeweight=".5pt">
            <w10:wrap anchorx="page"/>
          </v:line>
        </w:pict>
      </w:r>
      <w:r w:rsidR="0030286B">
        <w:rPr>
          <w:noProof/>
        </w:rPr>
        <w:drawing>
          <wp:anchor distT="0" distB="0" distL="0" distR="0" simplePos="0" relativeHeight="16232960" behindDoc="0" locked="0" layoutInCell="1" allowOverlap="1" wp14:anchorId="7B37E408" wp14:editId="2A341379">
            <wp:simplePos x="0" y="0"/>
            <wp:positionH relativeFrom="page">
              <wp:posOffset>844422</wp:posOffset>
            </wp:positionH>
            <wp:positionV relativeFrom="paragraph">
              <wp:posOffset>405930</wp:posOffset>
            </wp:positionV>
            <wp:extent cx="298450" cy="298450"/>
            <wp:effectExtent l="0" t="0" r="0" b="0"/>
            <wp:wrapNone/>
            <wp:docPr id="6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Unless the management port has been configured to </w:t>
      </w:r>
      <w:hyperlink w:anchor="_bookmark409" w:history="1">
        <w:r w:rsidR="0030286B">
          <w:rPr>
            <w:color w:val="418BCA"/>
            <w:w w:val="110"/>
          </w:rPr>
          <w:t xml:space="preserve">expose endpoints </w:t>
        </w:r>
        <w:r w:rsidR="0030286B">
          <w:rPr>
            <w:color w:val="418BCA"/>
            <w:spacing w:val="-3"/>
            <w:w w:val="110"/>
          </w:rPr>
          <w:t xml:space="preserve">by </w:t>
        </w:r>
        <w:r w:rsidR="0030286B">
          <w:rPr>
            <w:color w:val="418BCA"/>
            <w:w w:val="110"/>
          </w:rPr>
          <w:t>using a</w:t>
        </w:r>
      </w:hyperlink>
      <w:r w:rsidR="0030286B">
        <w:rPr>
          <w:color w:val="418BCA"/>
          <w:w w:val="110"/>
        </w:rPr>
        <w:t xml:space="preserve"> </w:t>
      </w:r>
      <w:hyperlink w:anchor="_bookmark409" w:history="1">
        <w:r w:rsidR="0030286B">
          <w:rPr>
            <w:color w:val="418BCA"/>
            <w:w w:val="110"/>
          </w:rPr>
          <w:t>different HTTP port</w:t>
        </w:r>
      </w:hyperlink>
      <w:r w:rsidR="0030286B">
        <w:rPr>
          <w:color w:val="333333"/>
          <w:w w:val="110"/>
        </w:rPr>
        <w:t xml:space="preserve">, </w:t>
      </w:r>
      <w:r w:rsidR="0030286B">
        <w:rPr>
          <w:rFonts w:ascii="MS Gothic"/>
          <w:color w:val="B02045"/>
          <w:w w:val="110"/>
        </w:rPr>
        <w:t xml:space="preserve">management.endpoints.web.base-path </w:t>
      </w:r>
      <w:r w:rsidR="0030286B">
        <w:rPr>
          <w:color w:val="333333"/>
          <w:w w:val="110"/>
        </w:rPr>
        <w:t xml:space="preserve">is relative to </w:t>
      </w:r>
      <w:r w:rsidR="0030286B">
        <w:rPr>
          <w:rFonts w:ascii="MS Gothic"/>
          <w:color w:val="B02045"/>
          <w:w w:val="110"/>
        </w:rPr>
        <w:t>server.servlet.context-path</w:t>
      </w:r>
      <w:r w:rsidR="0030286B">
        <w:rPr>
          <w:color w:val="333333"/>
          <w:w w:val="110"/>
        </w:rPr>
        <w:t xml:space="preserve">. If </w:t>
      </w:r>
      <w:proofErr w:type="gramStart"/>
      <w:r w:rsidR="0030286B">
        <w:rPr>
          <w:rFonts w:ascii="MS Gothic"/>
          <w:color w:val="B02045"/>
          <w:w w:val="110"/>
        </w:rPr>
        <w:t>management.server</w:t>
      </w:r>
      <w:proofErr w:type="gramEnd"/>
      <w:r w:rsidR="0030286B">
        <w:rPr>
          <w:rFonts w:ascii="MS Gothic"/>
          <w:color w:val="B02045"/>
          <w:w w:val="110"/>
        </w:rPr>
        <w:t xml:space="preserve">.port </w:t>
      </w:r>
      <w:r w:rsidR="0030286B">
        <w:rPr>
          <w:color w:val="333333"/>
          <w:w w:val="110"/>
        </w:rPr>
        <w:t xml:space="preserve">is configured, </w:t>
      </w:r>
      <w:r w:rsidR="0030286B">
        <w:rPr>
          <w:rFonts w:ascii="MS Gothic"/>
          <w:color w:val="B02045"/>
        </w:rPr>
        <w:t>management.endpoints.web.base-path</w:t>
      </w:r>
      <w:r w:rsidR="0030286B">
        <w:rPr>
          <w:rFonts w:ascii="MS Gothic"/>
          <w:color w:val="B02045"/>
        </w:rPr>
        <w:tab/>
      </w:r>
      <w:r w:rsidR="0030286B">
        <w:rPr>
          <w:color w:val="333333"/>
          <w:w w:val="110"/>
        </w:rPr>
        <w:t>is</w:t>
      </w:r>
      <w:r w:rsidR="0030286B">
        <w:rPr>
          <w:color w:val="333333"/>
          <w:w w:val="110"/>
        </w:rPr>
        <w:tab/>
        <w:t>relative</w:t>
      </w:r>
      <w:r w:rsidR="0030286B">
        <w:rPr>
          <w:color w:val="333333"/>
          <w:w w:val="110"/>
        </w:rPr>
        <w:tab/>
      </w:r>
      <w:r w:rsidR="0030286B">
        <w:rPr>
          <w:color w:val="333333"/>
          <w:spacing w:val="-9"/>
          <w:w w:val="110"/>
        </w:rPr>
        <w:t xml:space="preserve">to </w:t>
      </w:r>
      <w:r w:rsidR="0030286B">
        <w:rPr>
          <w:rFonts w:ascii="MS Gothic"/>
          <w:color w:val="B02045"/>
          <w:w w:val="110"/>
        </w:rPr>
        <w:t>management.server.servlet.context-path</w:t>
      </w:r>
      <w:r w:rsidR="0030286B">
        <w:rPr>
          <w:color w:val="333333"/>
          <w:w w:val="110"/>
        </w:rPr>
        <w:t>.</w:t>
      </w:r>
    </w:p>
    <w:p w14:paraId="2324AEFD" w14:textId="77777777" w:rsidR="00A720EB" w:rsidRDefault="00A720EB">
      <w:pPr>
        <w:pStyle w:val="a3"/>
        <w:spacing w:before="10"/>
        <w:rPr>
          <w:sz w:val="16"/>
        </w:rPr>
      </w:pPr>
    </w:p>
    <w:p w14:paraId="5159DEED" w14:textId="77777777" w:rsidR="00A720EB" w:rsidRDefault="0030286B">
      <w:pPr>
        <w:pStyle w:val="a3"/>
        <w:spacing w:before="116" w:line="280" w:lineRule="auto"/>
        <w:ind w:left="124"/>
      </w:pPr>
      <w:r>
        <w:rPr>
          <w:color w:val="333333"/>
          <w:w w:val="110"/>
        </w:rPr>
        <w:t xml:space="preserve">If you want to map endpoints to a different path, you can use the </w:t>
      </w:r>
      <w:proofErr w:type="gramStart"/>
      <w:r>
        <w:rPr>
          <w:rFonts w:ascii="MS Gothic"/>
          <w:color w:val="B02045"/>
          <w:w w:val="110"/>
        </w:rPr>
        <w:t>management.endpoints.web.path</w:t>
      </w:r>
      <w:proofErr w:type="gramEnd"/>
      <w:r>
        <w:rPr>
          <w:rFonts w:ascii="MS Gothic"/>
          <w:color w:val="B02045"/>
          <w:w w:val="110"/>
        </w:rPr>
        <w:t>- mapping</w:t>
      </w:r>
      <w:r>
        <w:rPr>
          <w:rFonts w:ascii="MS Gothic"/>
          <w:color w:val="B02045"/>
          <w:spacing w:val="-62"/>
          <w:w w:val="110"/>
        </w:rPr>
        <w:t xml:space="preserve"> </w:t>
      </w:r>
      <w:r>
        <w:rPr>
          <w:color w:val="333333"/>
          <w:spacing w:val="-3"/>
          <w:w w:val="110"/>
        </w:rPr>
        <w:t>property.</w:t>
      </w:r>
    </w:p>
    <w:p w14:paraId="7FC9FAB8" w14:textId="77777777" w:rsidR="00A720EB" w:rsidRDefault="0030286B">
      <w:pPr>
        <w:pStyle w:val="a3"/>
        <w:spacing w:before="242"/>
        <w:ind w:left="124"/>
      </w:pPr>
      <w:r>
        <w:rPr>
          <w:color w:val="333333"/>
          <w:w w:val="105"/>
        </w:rPr>
        <w:t xml:space="preserve">The following example remaps </w:t>
      </w:r>
      <w:r>
        <w:rPr>
          <w:rFonts w:ascii="MS Gothic"/>
          <w:color w:val="B02045"/>
          <w:w w:val="105"/>
        </w:rPr>
        <w:t xml:space="preserve">/actuator/health </w:t>
      </w:r>
      <w:r>
        <w:rPr>
          <w:color w:val="333333"/>
          <w:w w:val="105"/>
        </w:rPr>
        <w:t xml:space="preserve">to </w:t>
      </w:r>
      <w:r>
        <w:rPr>
          <w:rFonts w:ascii="MS Gothic"/>
          <w:color w:val="B02045"/>
          <w:w w:val="105"/>
        </w:rPr>
        <w:t>/healthcheck</w:t>
      </w:r>
      <w:r>
        <w:rPr>
          <w:color w:val="333333"/>
          <w:w w:val="105"/>
        </w:rPr>
        <w:t>:</w:t>
      </w:r>
    </w:p>
    <w:p w14:paraId="02A44FC5" w14:textId="77777777" w:rsidR="00A720EB" w:rsidRDefault="00A720EB">
      <w:pPr>
        <w:pStyle w:val="a3"/>
        <w:spacing w:before="4"/>
        <w:rPr>
          <w:sz w:val="23"/>
        </w:rPr>
      </w:pPr>
    </w:p>
    <w:p w14:paraId="7494F3D5" w14:textId="77777777" w:rsidR="00A720EB" w:rsidRDefault="00E10349">
      <w:pPr>
        <w:spacing w:before="1"/>
        <w:ind w:left="124"/>
        <w:rPr>
          <w:rFonts w:ascii="Palatino Linotype"/>
          <w:i/>
          <w:sz w:val="20"/>
        </w:rPr>
      </w:pPr>
      <w:r>
        <w:pict w14:anchorId="2ADBD982">
          <v:group id="_x0000_s3195" style="position:absolute;left:0;text-align:left;margin-left:47.85pt;margin-top:17.8pt;width:499.55pt;height:52.25pt;z-index:-15225856;mso-wrap-distance-left:0;mso-wrap-distance-right:0;mso-position-horizontal-relative:page" coordorigin="957,356" coordsize="9991,1045">
            <v:shape id="_x0000_s3198" style="position:absolute;left:964;top:363;width:9976;height:1030" coordorigin="965,363" coordsize="9976,1030" path="m10861,363r-9816,l1014,370r-26,17l971,412r-6,31l965,1313r6,31l988,1370r26,17l1045,1393r9816,l10892,1387r25,-17l10935,1344r6,-31l10941,443r-6,-31l10917,387r-25,-17l10861,363xe" fillcolor="#f5f5f5" stroked="f">
              <v:path arrowok="t"/>
            </v:shape>
            <v:shape id="_x0000_s3197" style="position:absolute;left:964;top:363;width:9976;height:1030" coordorigin="965,363" coordsize="9976,1030" path="m1045,363r9816,l10892,370r25,17l10935,412r6,31l10941,1313r-6,31l10917,1370r-25,17l10861,1393r-9816,l1014,1387r-26,-17l971,1344r-6,-31l965,443r6,-31l988,387r26,-17l1045,363xe" filled="f" strokecolor="#ccc">
              <v:path arrowok="t"/>
            </v:shape>
            <v:shape id="_x0000_s3196" type="#_x0000_t202" style="position:absolute;left:984;top:378;width:9938;height:999" filled="f" stroked="f">
              <v:textbox inset="0,0,0,0">
                <w:txbxContent>
                  <w:p w14:paraId="088437A5" w14:textId="77777777" w:rsidR="00711A16" w:rsidRDefault="00711A16">
                    <w:pPr>
                      <w:spacing w:before="221" w:line="252" w:lineRule="auto"/>
                      <w:ind w:left="200" w:right="3574"/>
                      <w:rPr>
                        <w:rFonts w:ascii="MS Gothic"/>
                      </w:rPr>
                    </w:pPr>
                    <w:proofErr w:type="gramStart"/>
                    <w:r>
                      <w:rPr>
                        <w:rFonts w:ascii="MS Gothic"/>
                        <w:color w:val="333333"/>
                      </w:rPr>
                      <w:t>management.endpoints.web.base</w:t>
                    </w:r>
                    <w:proofErr w:type="gramEnd"/>
                    <w:r>
                      <w:rPr>
                        <w:rFonts w:ascii="MS Gothic"/>
                        <w:color w:val="333333"/>
                      </w:rPr>
                      <w:t>-path=/ management.endpoints.web.path-mapping.health=healthcheck</w:t>
                    </w:r>
                  </w:p>
                </w:txbxContent>
              </v:textbox>
            </v:shape>
            <w10:wrap type="topAndBottom" anchorx="page"/>
          </v:group>
        </w:pict>
      </w:r>
      <w:proofErr w:type="gramStart"/>
      <w:r w:rsidR="0030286B">
        <w:rPr>
          <w:rFonts w:ascii="Palatino Linotype"/>
          <w:i/>
          <w:color w:val="333333"/>
          <w:w w:val="120"/>
          <w:sz w:val="20"/>
        </w:rPr>
        <w:t>application.properties</w:t>
      </w:r>
      <w:proofErr w:type="gramEnd"/>
    </w:p>
    <w:p w14:paraId="115B2639" w14:textId="77777777" w:rsidR="00A720EB" w:rsidRDefault="00A720EB">
      <w:pPr>
        <w:pStyle w:val="a3"/>
        <w:spacing w:before="9"/>
        <w:rPr>
          <w:rFonts w:ascii="Palatino Linotype"/>
          <w:i/>
          <w:sz w:val="14"/>
        </w:rPr>
      </w:pPr>
    </w:p>
    <w:p w14:paraId="70D61C37" w14:textId="77777777" w:rsidR="00A720EB" w:rsidRDefault="0030286B">
      <w:pPr>
        <w:pStyle w:val="3"/>
        <w:numPr>
          <w:ilvl w:val="2"/>
          <w:numId w:val="24"/>
        </w:numPr>
        <w:tabs>
          <w:tab w:val="left" w:pos="858"/>
        </w:tabs>
        <w:spacing w:before="106"/>
        <w:ind w:hanging="734"/>
      </w:pPr>
      <w:bookmarkStart w:id="597" w:name="5.3.2._Customizing_the_Management_Server"/>
      <w:bookmarkStart w:id="598" w:name="_Toc54423850"/>
      <w:bookmarkEnd w:id="597"/>
      <w:r>
        <w:rPr>
          <w:color w:val="333333"/>
          <w:w w:val="110"/>
        </w:rPr>
        <w:t>Customizing the Management Server</w:t>
      </w:r>
      <w:r>
        <w:rPr>
          <w:color w:val="333333"/>
          <w:spacing w:val="-22"/>
          <w:w w:val="110"/>
        </w:rPr>
        <w:t xml:space="preserve"> </w:t>
      </w:r>
      <w:r>
        <w:rPr>
          <w:color w:val="333333"/>
          <w:w w:val="110"/>
        </w:rPr>
        <w:t>Port</w:t>
      </w:r>
      <w:bookmarkEnd w:id="598"/>
    </w:p>
    <w:p w14:paraId="61055D12" w14:textId="77777777" w:rsidR="00A720EB" w:rsidRDefault="0030286B">
      <w:pPr>
        <w:pStyle w:val="a3"/>
        <w:spacing w:before="253" w:line="307" w:lineRule="auto"/>
        <w:ind w:left="124" w:right="130"/>
        <w:jc w:val="both"/>
      </w:pPr>
      <w:r>
        <w:rPr>
          <w:color w:val="333333"/>
          <w:w w:val="110"/>
        </w:rPr>
        <w:t xml:space="preserve">Exposing management endpoints </w:t>
      </w:r>
      <w:proofErr w:type="gramStart"/>
      <w:r>
        <w:rPr>
          <w:color w:val="333333"/>
          <w:spacing w:val="-3"/>
          <w:w w:val="110"/>
        </w:rPr>
        <w:t xml:space="preserve">by  </w:t>
      </w:r>
      <w:r>
        <w:rPr>
          <w:color w:val="333333"/>
          <w:w w:val="110"/>
        </w:rPr>
        <w:t>using</w:t>
      </w:r>
      <w:proofErr w:type="gramEnd"/>
      <w:r>
        <w:rPr>
          <w:color w:val="333333"/>
          <w:w w:val="110"/>
        </w:rPr>
        <w:t xml:space="preserve"> the default HTTP port is a sensible choice for cloud-</w:t>
      </w:r>
      <w:r>
        <w:rPr>
          <w:color w:val="333333"/>
          <w:spacing w:val="50"/>
          <w:w w:val="110"/>
        </w:rPr>
        <w:t xml:space="preserve"> </w:t>
      </w:r>
      <w:r>
        <w:rPr>
          <w:color w:val="333333"/>
          <w:w w:val="110"/>
        </w:rPr>
        <w:t xml:space="preserve">based deployments. If, however, your application runs inside your own data center, you may prefer to expose endpoints </w:t>
      </w:r>
      <w:r>
        <w:rPr>
          <w:color w:val="333333"/>
          <w:spacing w:val="-3"/>
          <w:w w:val="110"/>
        </w:rPr>
        <w:t xml:space="preserve">by </w:t>
      </w:r>
      <w:r>
        <w:rPr>
          <w:color w:val="333333"/>
          <w:w w:val="110"/>
        </w:rPr>
        <w:t>using a different HTTP</w:t>
      </w:r>
      <w:r>
        <w:rPr>
          <w:color w:val="333333"/>
          <w:spacing w:val="25"/>
          <w:w w:val="110"/>
        </w:rPr>
        <w:t xml:space="preserve"> </w:t>
      </w:r>
      <w:r>
        <w:rPr>
          <w:color w:val="333333"/>
          <w:w w:val="110"/>
        </w:rPr>
        <w:t>port.</w:t>
      </w:r>
    </w:p>
    <w:p w14:paraId="25D05561" w14:textId="77777777" w:rsidR="00A720EB" w:rsidRDefault="0030286B">
      <w:pPr>
        <w:pStyle w:val="a3"/>
        <w:spacing w:before="231" w:line="290" w:lineRule="auto"/>
        <w:ind w:left="124" w:right="127"/>
        <w:jc w:val="both"/>
      </w:pPr>
      <w:r>
        <w:rPr>
          <w:color w:val="333333"/>
          <w:spacing w:val="-6"/>
          <w:w w:val="110"/>
        </w:rPr>
        <w:t>You</w:t>
      </w:r>
      <w:r>
        <w:rPr>
          <w:color w:val="333333"/>
          <w:spacing w:val="-9"/>
          <w:w w:val="110"/>
        </w:rPr>
        <w:t xml:space="preserve"> </w:t>
      </w:r>
      <w:r>
        <w:rPr>
          <w:color w:val="333333"/>
          <w:w w:val="110"/>
        </w:rPr>
        <w:t>can</w:t>
      </w:r>
      <w:r>
        <w:rPr>
          <w:color w:val="333333"/>
          <w:spacing w:val="-8"/>
          <w:w w:val="110"/>
        </w:rPr>
        <w:t xml:space="preserve"> </w:t>
      </w:r>
      <w:r>
        <w:rPr>
          <w:color w:val="333333"/>
          <w:w w:val="110"/>
        </w:rPr>
        <w:t>set</w:t>
      </w:r>
      <w:r>
        <w:rPr>
          <w:color w:val="333333"/>
          <w:spacing w:val="-8"/>
          <w:w w:val="110"/>
        </w:rPr>
        <w:t xml:space="preserve"> </w:t>
      </w:r>
      <w:r>
        <w:rPr>
          <w:color w:val="333333"/>
          <w:w w:val="110"/>
        </w:rPr>
        <w:t>the</w:t>
      </w:r>
      <w:r>
        <w:rPr>
          <w:color w:val="333333"/>
          <w:spacing w:val="-8"/>
          <w:w w:val="110"/>
        </w:rPr>
        <w:t xml:space="preserve"> </w:t>
      </w:r>
      <w:proofErr w:type="gramStart"/>
      <w:r>
        <w:rPr>
          <w:rFonts w:ascii="MS Gothic"/>
          <w:color w:val="B02045"/>
          <w:w w:val="110"/>
        </w:rPr>
        <w:t>management.server</w:t>
      </w:r>
      <w:proofErr w:type="gramEnd"/>
      <w:r>
        <w:rPr>
          <w:rFonts w:ascii="MS Gothic"/>
          <w:color w:val="B02045"/>
          <w:w w:val="110"/>
        </w:rPr>
        <w:t>.port</w:t>
      </w:r>
      <w:r>
        <w:rPr>
          <w:rFonts w:ascii="MS Gothic"/>
          <w:color w:val="B02045"/>
          <w:spacing w:val="-72"/>
          <w:w w:val="110"/>
        </w:rPr>
        <w:t xml:space="preserve"> </w:t>
      </w:r>
      <w:r>
        <w:rPr>
          <w:color w:val="333333"/>
          <w:w w:val="110"/>
        </w:rPr>
        <w:t>property</w:t>
      </w:r>
      <w:r>
        <w:rPr>
          <w:color w:val="333333"/>
          <w:spacing w:val="-8"/>
          <w:w w:val="110"/>
        </w:rPr>
        <w:t xml:space="preserve"> </w:t>
      </w:r>
      <w:r>
        <w:rPr>
          <w:color w:val="333333"/>
          <w:w w:val="110"/>
        </w:rPr>
        <w:t>to</w:t>
      </w:r>
      <w:r>
        <w:rPr>
          <w:color w:val="333333"/>
          <w:spacing w:val="-8"/>
          <w:w w:val="110"/>
        </w:rPr>
        <w:t xml:space="preserve"> </w:t>
      </w:r>
      <w:r>
        <w:rPr>
          <w:color w:val="333333"/>
          <w:w w:val="110"/>
        </w:rPr>
        <w:t>change</w:t>
      </w:r>
      <w:r>
        <w:rPr>
          <w:color w:val="333333"/>
          <w:spacing w:val="-9"/>
          <w:w w:val="110"/>
        </w:rPr>
        <w:t xml:space="preserve"> </w:t>
      </w:r>
      <w:r>
        <w:rPr>
          <w:color w:val="333333"/>
          <w:w w:val="110"/>
        </w:rPr>
        <w:t>the</w:t>
      </w:r>
      <w:r>
        <w:rPr>
          <w:color w:val="333333"/>
          <w:spacing w:val="-8"/>
          <w:w w:val="110"/>
        </w:rPr>
        <w:t xml:space="preserve"> </w:t>
      </w:r>
      <w:r>
        <w:rPr>
          <w:color w:val="333333"/>
          <w:w w:val="110"/>
        </w:rPr>
        <w:t>HTTP</w:t>
      </w:r>
      <w:r>
        <w:rPr>
          <w:color w:val="333333"/>
          <w:spacing w:val="-8"/>
          <w:w w:val="110"/>
        </w:rPr>
        <w:t xml:space="preserve"> </w:t>
      </w:r>
      <w:r>
        <w:rPr>
          <w:color w:val="333333"/>
          <w:w w:val="110"/>
        </w:rPr>
        <w:t>port,</w:t>
      </w:r>
      <w:r>
        <w:rPr>
          <w:color w:val="333333"/>
          <w:spacing w:val="-8"/>
          <w:w w:val="110"/>
        </w:rPr>
        <w:t xml:space="preserve"> </w:t>
      </w:r>
      <w:r>
        <w:rPr>
          <w:color w:val="333333"/>
          <w:w w:val="110"/>
        </w:rPr>
        <w:t>as</w:t>
      </w:r>
      <w:r>
        <w:rPr>
          <w:color w:val="333333"/>
          <w:spacing w:val="-8"/>
          <w:w w:val="110"/>
        </w:rPr>
        <w:t xml:space="preserve"> </w:t>
      </w:r>
      <w:r>
        <w:rPr>
          <w:color w:val="333333"/>
          <w:w w:val="110"/>
        </w:rPr>
        <w:t>shown</w:t>
      </w:r>
      <w:r>
        <w:rPr>
          <w:color w:val="333333"/>
          <w:spacing w:val="-8"/>
          <w:w w:val="110"/>
        </w:rPr>
        <w:t xml:space="preserve"> </w:t>
      </w:r>
      <w:r>
        <w:rPr>
          <w:color w:val="333333"/>
          <w:w w:val="110"/>
        </w:rPr>
        <w:t>in</w:t>
      </w:r>
      <w:r>
        <w:rPr>
          <w:color w:val="333333"/>
          <w:spacing w:val="-8"/>
          <w:w w:val="110"/>
        </w:rPr>
        <w:t xml:space="preserve"> </w:t>
      </w:r>
      <w:r>
        <w:rPr>
          <w:color w:val="333333"/>
          <w:w w:val="110"/>
        </w:rPr>
        <w:t>the</w:t>
      </w:r>
      <w:r>
        <w:rPr>
          <w:color w:val="333333"/>
          <w:spacing w:val="-8"/>
          <w:w w:val="110"/>
        </w:rPr>
        <w:t xml:space="preserve"> </w:t>
      </w:r>
      <w:r>
        <w:rPr>
          <w:color w:val="333333"/>
          <w:w w:val="110"/>
        </w:rPr>
        <w:t>following example:</w:t>
      </w:r>
    </w:p>
    <w:p w14:paraId="44683BE9" w14:textId="77777777" w:rsidR="00A720EB" w:rsidRDefault="00E10349">
      <w:pPr>
        <w:pStyle w:val="a3"/>
        <w:spacing w:before="7"/>
        <w:rPr>
          <w:sz w:val="14"/>
        </w:rPr>
      </w:pPr>
      <w:r>
        <w:pict w14:anchorId="4F340DD1">
          <v:group id="_x0000_s3191" style="position:absolute;margin-left:47.85pt;margin-top:10.6pt;width:499.55pt;height:37.5pt;z-index:-15225344;mso-wrap-distance-left:0;mso-wrap-distance-right:0;mso-position-horizontal-relative:page" coordorigin="957,212" coordsize="9991,750">
            <v:shape id="_x0000_s3194" style="position:absolute;left:964;top:219;width:9976;height:735" coordorigin="965,219" coordsize="9976,735" path="m10861,219r-9816,l1014,225r-26,18l971,268r-6,31l965,874r6,31l988,930r26,18l1045,954r9816,l10892,948r25,-18l10935,905r6,-31l10941,299r-6,-31l10917,243r-25,-18l10861,219xe" fillcolor="#f5f5f5" stroked="f">
              <v:path arrowok="t"/>
            </v:shape>
            <v:shape id="_x0000_s3193" style="position:absolute;left:964;top:219;width:9976;height:735" coordorigin="965,219" coordsize="9976,735" path="m1045,219r9816,l10892,225r25,18l10935,268r6,31l10941,874r-6,31l10917,930r-25,18l10861,954r-9816,l1014,948,988,930,971,905r-6,-31l965,299r6,-31l988,243r26,-18l1045,219xe" filled="f" strokecolor="#ccc">
              <v:path arrowok="t"/>
            </v:shape>
            <v:shape id="_x0000_s3192" type="#_x0000_t202" style="position:absolute;left:984;top:234;width:9938;height:704" filled="f" stroked="f">
              <v:textbox inset="0,0,0,0">
                <w:txbxContent>
                  <w:p w14:paraId="5939DA78" w14:textId="77777777" w:rsidR="00711A16" w:rsidRDefault="00711A16">
                    <w:pPr>
                      <w:spacing w:before="221"/>
                      <w:ind w:left="200"/>
                      <w:rPr>
                        <w:rFonts w:ascii="MS Gothic"/>
                      </w:rPr>
                    </w:pPr>
                    <w:proofErr w:type="gramStart"/>
                    <w:r>
                      <w:rPr>
                        <w:rFonts w:ascii="MS Gothic"/>
                        <w:color w:val="333333"/>
                      </w:rPr>
                      <w:t>management.server</w:t>
                    </w:r>
                    <w:proofErr w:type="gramEnd"/>
                    <w:r>
                      <w:rPr>
                        <w:rFonts w:ascii="MS Gothic"/>
                        <w:color w:val="333333"/>
                      </w:rPr>
                      <w:t>.port=8081</w:t>
                    </w:r>
                  </w:p>
                </w:txbxContent>
              </v:textbox>
            </v:shape>
            <w10:wrap type="topAndBottom" anchorx="page"/>
          </v:group>
        </w:pict>
      </w:r>
    </w:p>
    <w:p w14:paraId="6DCF3308" w14:textId="77777777" w:rsidR="00A720EB" w:rsidRDefault="00A720EB">
      <w:pPr>
        <w:pStyle w:val="a3"/>
        <w:spacing w:before="10"/>
        <w:rPr>
          <w:sz w:val="16"/>
        </w:rPr>
      </w:pPr>
    </w:p>
    <w:p w14:paraId="40E5AE7F" w14:textId="77777777" w:rsidR="00A720EB" w:rsidRDefault="00E10349">
      <w:pPr>
        <w:pStyle w:val="a3"/>
        <w:spacing w:before="125" w:line="307" w:lineRule="auto"/>
        <w:ind w:left="1564" w:right="369"/>
        <w:jc w:val="both"/>
      </w:pPr>
      <w:r>
        <w:pict w14:anchorId="1B02F09B">
          <v:line id="_x0000_s3190" style="position:absolute;left:0;text-align:left;z-index:16233472;mso-position-horizontal-relative:page" from="108.25pt,.25pt" to="108.25pt,71.4pt" strokecolor="#ededed" strokeweight=".5pt">
            <w10:wrap anchorx="page"/>
          </v:line>
        </w:pict>
      </w:r>
      <w:r w:rsidR="0030286B">
        <w:rPr>
          <w:noProof/>
        </w:rPr>
        <w:drawing>
          <wp:anchor distT="0" distB="0" distL="0" distR="0" simplePos="0" relativeHeight="16233984" behindDoc="0" locked="0" layoutInCell="1" allowOverlap="1" wp14:anchorId="5AD53071" wp14:editId="3FB0397D">
            <wp:simplePos x="0" y="0"/>
            <wp:positionH relativeFrom="page">
              <wp:posOffset>844422</wp:posOffset>
            </wp:positionH>
            <wp:positionV relativeFrom="paragraph">
              <wp:posOffset>305727</wp:posOffset>
            </wp:positionV>
            <wp:extent cx="298450" cy="298450"/>
            <wp:effectExtent l="0" t="0" r="0" b="0"/>
            <wp:wrapNone/>
            <wp:docPr id="6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On Cloud </w:t>
      </w:r>
      <w:r w:rsidR="0030286B">
        <w:rPr>
          <w:color w:val="333333"/>
          <w:spacing w:val="-5"/>
          <w:w w:val="110"/>
        </w:rPr>
        <w:t xml:space="preserve">Foundry, </w:t>
      </w:r>
      <w:r w:rsidR="0030286B">
        <w:rPr>
          <w:color w:val="333333"/>
          <w:w w:val="110"/>
        </w:rPr>
        <w:t xml:space="preserve">applications only receive requests on port 8080 for both HTTP and TCP routing, </w:t>
      </w:r>
      <w:r w:rsidR="0030286B">
        <w:rPr>
          <w:color w:val="333333"/>
          <w:spacing w:val="-3"/>
          <w:w w:val="110"/>
        </w:rPr>
        <w:t xml:space="preserve">by </w:t>
      </w:r>
      <w:r w:rsidR="0030286B">
        <w:rPr>
          <w:color w:val="333333"/>
          <w:w w:val="110"/>
        </w:rPr>
        <w:t xml:space="preserve">default. If you want to use a custom </w:t>
      </w:r>
      <w:proofErr w:type="gramStart"/>
      <w:r w:rsidR="0030286B">
        <w:rPr>
          <w:color w:val="333333"/>
          <w:w w:val="110"/>
        </w:rPr>
        <w:t>management  port</w:t>
      </w:r>
      <w:proofErr w:type="gramEnd"/>
      <w:r w:rsidR="0030286B">
        <w:rPr>
          <w:color w:val="333333"/>
          <w:w w:val="110"/>
        </w:rPr>
        <w:t xml:space="preserve">  on Cloud </w:t>
      </w:r>
      <w:r w:rsidR="0030286B">
        <w:rPr>
          <w:color w:val="333333"/>
          <w:spacing w:val="-5"/>
          <w:w w:val="110"/>
        </w:rPr>
        <w:t xml:space="preserve">Foundry, </w:t>
      </w:r>
      <w:r w:rsidR="0030286B">
        <w:rPr>
          <w:color w:val="333333"/>
          <w:w w:val="110"/>
        </w:rPr>
        <w:t>you will need to explicitly set up the application’s  routes  to  forward traffic to the custom</w:t>
      </w:r>
      <w:r w:rsidR="0030286B">
        <w:rPr>
          <w:color w:val="333333"/>
          <w:spacing w:val="16"/>
          <w:w w:val="110"/>
        </w:rPr>
        <w:t xml:space="preserve"> </w:t>
      </w:r>
      <w:r w:rsidR="0030286B">
        <w:rPr>
          <w:color w:val="333333"/>
          <w:w w:val="110"/>
        </w:rPr>
        <w:t>port.</w:t>
      </w:r>
    </w:p>
    <w:p w14:paraId="466409E4" w14:textId="77777777" w:rsidR="00A720EB" w:rsidRDefault="00A720EB">
      <w:pPr>
        <w:pStyle w:val="a3"/>
        <w:spacing w:before="8"/>
        <w:rPr>
          <w:sz w:val="23"/>
        </w:rPr>
      </w:pPr>
    </w:p>
    <w:p w14:paraId="06DC3BCF" w14:textId="77777777" w:rsidR="00A720EB" w:rsidRDefault="0030286B">
      <w:pPr>
        <w:pStyle w:val="3"/>
        <w:numPr>
          <w:ilvl w:val="2"/>
          <w:numId w:val="24"/>
        </w:numPr>
        <w:tabs>
          <w:tab w:val="left" w:pos="858"/>
        </w:tabs>
        <w:spacing w:before="105"/>
        <w:ind w:hanging="734"/>
      </w:pPr>
      <w:bookmarkStart w:id="599" w:name="5.3.3._Configuring_Management-specific_S"/>
      <w:bookmarkStart w:id="600" w:name="_Toc54423851"/>
      <w:bookmarkEnd w:id="599"/>
      <w:r>
        <w:rPr>
          <w:color w:val="333333"/>
          <w:w w:val="105"/>
        </w:rPr>
        <w:t>Configuring Management-specific</w:t>
      </w:r>
      <w:r>
        <w:rPr>
          <w:color w:val="333333"/>
          <w:spacing w:val="-2"/>
          <w:w w:val="105"/>
        </w:rPr>
        <w:t xml:space="preserve"> </w:t>
      </w:r>
      <w:r>
        <w:rPr>
          <w:color w:val="333333"/>
          <w:w w:val="105"/>
        </w:rPr>
        <w:t>SSL</w:t>
      </w:r>
      <w:bookmarkEnd w:id="600"/>
    </w:p>
    <w:p w14:paraId="49EF2EB8" w14:textId="77777777" w:rsidR="00A720EB" w:rsidRDefault="0030286B">
      <w:pPr>
        <w:pStyle w:val="a3"/>
        <w:spacing w:before="254" w:line="297" w:lineRule="auto"/>
        <w:ind w:left="124" w:right="126"/>
        <w:jc w:val="both"/>
      </w:pPr>
      <w:r>
        <w:rPr>
          <w:color w:val="333333"/>
          <w:w w:val="110"/>
        </w:rPr>
        <w:t xml:space="preserve">When configured to use a custom port, the management server can also be configured with its own SSL </w:t>
      </w:r>
      <w:r>
        <w:rPr>
          <w:color w:val="333333"/>
          <w:spacing w:val="-3"/>
          <w:w w:val="110"/>
        </w:rPr>
        <w:t xml:space="preserve">by </w:t>
      </w:r>
      <w:r>
        <w:rPr>
          <w:color w:val="333333"/>
          <w:w w:val="110"/>
        </w:rPr>
        <w:t xml:space="preserve">using the various </w:t>
      </w:r>
      <w:proofErr w:type="gramStart"/>
      <w:r>
        <w:rPr>
          <w:rFonts w:ascii="MS Gothic"/>
          <w:color w:val="B02045"/>
          <w:w w:val="110"/>
        </w:rPr>
        <w:t>management.server.ssl.*</w:t>
      </w:r>
      <w:proofErr w:type="gramEnd"/>
      <w:r>
        <w:rPr>
          <w:rFonts w:ascii="MS Gothic"/>
          <w:color w:val="B02045"/>
          <w:w w:val="110"/>
        </w:rPr>
        <w:t xml:space="preserve"> </w:t>
      </w:r>
      <w:r>
        <w:rPr>
          <w:color w:val="333333"/>
          <w:w w:val="110"/>
        </w:rPr>
        <w:t xml:space="preserve">properties. </w:t>
      </w:r>
      <w:r>
        <w:rPr>
          <w:color w:val="333333"/>
          <w:spacing w:val="-4"/>
          <w:w w:val="110"/>
        </w:rPr>
        <w:t xml:space="preserve">For </w:t>
      </w:r>
      <w:r>
        <w:rPr>
          <w:color w:val="333333"/>
          <w:w w:val="110"/>
        </w:rPr>
        <w:t>example, doing so lets a management server be available over HTTP while the main application uses HTTPS, as shown in     the following property</w:t>
      </w:r>
      <w:r>
        <w:rPr>
          <w:color w:val="333333"/>
          <w:spacing w:val="8"/>
          <w:w w:val="110"/>
        </w:rPr>
        <w:t xml:space="preserve"> </w:t>
      </w:r>
      <w:r>
        <w:rPr>
          <w:color w:val="333333"/>
          <w:w w:val="110"/>
        </w:rPr>
        <w:t>settings:</w:t>
      </w:r>
    </w:p>
    <w:p w14:paraId="77E01D5C" w14:textId="77777777" w:rsidR="00A720EB" w:rsidRDefault="00A720EB">
      <w:pPr>
        <w:spacing w:line="297" w:lineRule="auto"/>
        <w:jc w:val="both"/>
        <w:sectPr w:rsidR="00A720EB">
          <w:pgSz w:w="11910" w:h="16840"/>
          <w:pgMar w:top="700" w:right="840" w:bottom="520" w:left="840" w:header="0" w:footer="323" w:gutter="0"/>
          <w:cols w:space="720"/>
        </w:sectPr>
      </w:pPr>
    </w:p>
    <w:p w14:paraId="6BD34E6D" w14:textId="77777777" w:rsidR="00A720EB" w:rsidRDefault="00E10349">
      <w:pPr>
        <w:pStyle w:val="a3"/>
        <w:ind w:left="116"/>
        <w:rPr>
          <w:sz w:val="20"/>
        </w:rPr>
      </w:pPr>
      <w:r>
        <w:rPr>
          <w:sz w:val="20"/>
        </w:rPr>
      </w:r>
      <w:r>
        <w:rPr>
          <w:sz w:val="20"/>
        </w:rPr>
        <w:pict w14:anchorId="4980DB04">
          <v:group id="_x0000_s3186" style="width:499.55pt;height:111.2pt;mso-position-horizontal-relative:char;mso-position-vertical-relative:line" coordsize="9991,2224">
            <v:shape id="_x0000_s3189" style="position:absolute;left:7;top:7;width:9976;height:2209" coordorigin="8,8" coordsize="9976,2209" path="m9904,8l88,8,56,14,31,31,14,56,8,88r,2048l14,2167r17,26l56,2210r32,6l9904,2216r31,-6l9960,2193r17,-26l9984,2136r,-2048l9977,56,9960,31,9935,14,9904,8xe" fillcolor="#f5f5f5" stroked="f">
              <v:path arrowok="t"/>
            </v:shape>
            <v:shape id="_x0000_s3188" style="position:absolute;left:7;top:7;width:9976;height:2209" coordorigin="8,8" coordsize="9976,2209" path="m88,8r9816,l9935,14r25,17l9977,56r7,32l9984,2136r-7,31l9960,2193r-25,17l9904,2216r-9816,l56,2210,31,2193,14,2167,8,2136,8,88,14,56,31,31,56,14,88,8xe" filled="f" strokecolor="#ccc">
              <v:path arrowok="t"/>
            </v:shape>
            <v:shape id="_x0000_s3187" type="#_x0000_t202" style="position:absolute;left:26;top:22;width:9938;height:2178" filled="f" stroked="f">
              <v:textbox inset="0,0,0,0">
                <w:txbxContent>
                  <w:p w14:paraId="7280E82D" w14:textId="77777777" w:rsidR="00711A16" w:rsidRDefault="00711A16">
                    <w:pPr>
                      <w:spacing w:before="221" w:line="252" w:lineRule="auto"/>
                      <w:ind w:left="200" w:right="7188"/>
                      <w:rPr>
                        <w:rFonts w:ascii="MS Gothic"/>
                      </w:rPr>
                    </w:pPr>
                    <w:proofErr w:type="gramStart"/>
                    <w:r>
                      <w:rPr>
                        <w:rFonts w:ascii="MS Gothic"/>
                        <w:color w:val="333333"/>
                      </w:rPr>
                      <w:t>server.port</w:t>
                    </w:r>
                    <w:proofErr w:type="gramEnd"/>
                    <w:r>
                      <w:rPr>
                        <w:rFonts w:ascii="MS Gothic"/>
                        <w:color w:val="333333"/>
                      </w:rPr>
                      <w:t>=8443 server.ssl.enabled=true</w:t>
                    </w:r>
                  </w:p>
                  <w:p w14:paraId="5657F7CA" w14:textId="77777777" w:rsidR="00711A16" w:rsidRDefault="00711A16">
                    <w:pPr>
                      <w:spacing w:line="252" w:lineRule="auto"/>
                      <w:ind w:left="200" w:right="5334"/>
                      <w:rPr>
                        <w:rFonts w:ascii="MS Gothic"/>
                      </w:rPr>
                    </w:pPr>
                    <w:r>
                      <w:rPr>
                        <w:rFonts w:ascii="MS Gothic"/>
                        <w:color w:val="333333"/>
                      </w:rPr>
                      <w:t>server.ssl.key-store=</w:t>
                    </w:r>
                    <w:proofErr w:type="gramStart"/>
                    <w:r>
                      <w:rPr>
                        <w:rFonts w:ascii="MS Gothic"/>
                        <w:color w:val="333333"/>
                      </w:rPr>
                      <w:t>classpath:store.jks</w:t>
                    </w:r>
                    <w:proofErr w:type="gramEnd"/>
                    <w:r>
                      <w:rPr>
                        <w:rFonts w:ascii="MS Gothic"/>
                        <w:color w:val="333333"/>
                      </w:rPr>
                      <w:t xml:space="preserve"> server.ssl.key-password=secret management.server.port=8080 management.server.ssl.enabled=false</w:t>
                    </w:r>
                  </w:p>
                </w:txbxContent>
              </v:textbox>
            </v:shape>
            <w10:anchorlock/>
          </v:group>
        </w:pict>
      </w:r>
    </w:p>
    <w:p w14:paraId="24749D1E" w14:textId="77777777" w:rsidR="00A720EB" w:rsidRDefault="00A720EB">
      <w:pPr>
        <w:pStyle w:val="a3"/>
        <w:spacing w:before="5"/>
        <w:rPr>
          <w:sz w:val="9"/>
        </w:rPr>
      </w:pPr>
    </w:p>
    <w:p w14:paraId="28BC4292" w14:textId="77777777" w:rsidR="00A720EB" w:rsidRDefault="0030286B">
      <w:pPr>
        <w:pStyle w:val="a3"/>
        <w:spacing w:before="125" w:line="307" w:lineRule="auto"/>
        <w:ind w:left="124"/>
      </w:pPr>
      <w:r>
        <w:rPr>
          <w:color w:val="333333"/>
          <w:w w:val="110"/>
        </w:rPr>
        <w:t>Alternatively, both the main server and the management server can use SSL but with different key stores, as follows:</w:t>
      </w:r>
    </w:p>
    <w:p w14:paraId="59529721" w14:textId="77777777" w:rsidR="00A720EB" w:rsidRDefault="00E10349">
      <w:pPr>
        <w:pStyle w:val="a3"/>
        <w:spacing w:before="2"/>
        <w:rPr>
          <w:sz w:val="13"/>
        </w:rPr>
      </w:pPr>
      <w:r>
        <w:pict w14:anchorId="6F5EF9AC">
          <v:group id="_x0000_s3182" style="position:absolute;margin-left:47.85pt;margin-top:9.7pt;width:499.55pt;height:140.7pt;z-index:-15222272;mso-wrap-distance-left:0;mso-wrap-distance-right:0;mso-position-horizontal-relative:page" coordorigin="957,194" coordsize="9991,2814">
            <v:shape id="_x0000_s3185" style="position:absolute;left:964;top:201;width:9976;height:2799" coordorigin="965,201" coordsize="9976,2799" path="m10861,201r-9816,l1014,208r-26,17l971,250r-6,31l965,2920r6,31l988,2976r26,18l1045,3000r9816,l10892,2994r25,-18l10935,2951r6,-31l10941,281r-6,-31l10917,225r-25,-17l10861,201xe" fillcolor="#f5f5f5" stroked="f">
              <v:path arrowok="t"/>
            </v:shape>
            <v:shape id="_x0000_s3184" style="position:absolute;left:964;top:201;width:9976;height:2799" coordorigin="965,201" coordsize="9976,2799" path="m1045,201r9816,l10892,208r25,17l10935,250r6,31l10941,2920r-6,31l10917,2976r-25,18l10861,3000r-9816,l1014,2994r-26,-18l971,2951r-6,-31l965,281r6,-31l988,225r26,-17l1045,201xe" filled="f" strokecolor="#ccc">
              <v:path arrowok="t"/>
            </v:shape>
            <v:shape id="_x0000_s3183" type="#_x0000_t202" style="position:absolute;left:984;top:216;width:9938;height:2768" filled="f" stroked="f">
              <v:textbox inset="0,0,0,0">
                <w:txbxContent>
                  <w:p w14:paraId="65D10DDC" w14:textId="77777777" w:rsidR="00711A16" w:rsidRDefault="00711A16">
                    <w:pPr>
                      <w:spacing w:before="221" w:line="252" w:lineRule="auto"/>
                      <w:ind w:left="200" w:right="7188"/>
                      <w:rPr>
                        <w:rFonts w:ascii="MS Gothic"/>
                      </w:rPr>
                    </w:pPr>
                    <w:proofErr w:type="gramStart"/>
                    <w:r>
                      <w:rPr>
                        <w:rFonts w:ascii="MS Gothic"/>
                        <w:color w:val="333333"/>
                      </w:rPr>
                      <w:t>server.port</w:t>
                    </w:r>
                    <w:proofErr w:type="gramEnd"/>
                    <w:r>
                      <w:rPr>
                        <w:rFonts w:ascii="MS Gothic"/>
                        <w:color w:val="333333"/>
                      </w:rPr>
                      <w:t>=8443 server.ssl.enabled=true</w:t>
                    </w:r>
                  </w:p>
                  <w:p w14:paraId="200DA031" w14:textId="77777777" w:rsidR="00711A16" w:rsidRDefault="00711A16">
                    <w:pPr>
                      <w:spacing w:line="252" w:lineRule="auto"/>
                      <w:ind w:left="200" w:right="5444"/>
                      <w:rPr>
                        <w:rFonts w:ascii="MS Gothic"/>
                      </w:rPr>
                    </w:pPr>
                    <w:r>
                      <w:rPr>
                        <w:rFonts w:ascii="MS Gothic"/>
                        <w:color w:val="333333"/>
                      </w:rPr>
                      <w:t>server.ssl.key-store=</w:t>
                    </w:r>
                    <w:proofErr w:type="gramStart"/>
                    <w:r>
                      <w:rPr>
                        <w:rFonts w:ascii="MS Gothic"/>
                        <w:color w:val="333333"/>
                      </w:rPr>
                      <w:t>classpath:main.jks</w:t>
                    </w:r>
                    <w:proofErr w:type="gramEnd"/>
                    <w:r>
                      <w:rPr>
                        <w:rFonts w:ascii="MS Gothic"/>
                        <w:color w:val="333333"/>
                      </w:rPr>
                      <w:t xml:space="preserve"> server.ssl.key-password=secret management.server.port=8080 management.server.ssl.enabled=true</w:t>
                    </w:r>
                  </w:p>
                  <w:p w14:paraId="45C74786" w14:textId="77777777" w:rsidR="00711A16" w:rsidRDefault="00711A16">
                    <w:pPr>
                      <w:spacing w:line="252" w:lineRule="auto"/>
                      <w:ind w:left="200" w:right="3574"/>
                      <w:rPr>
                        <w:rFonts w:ascii="MS Gothic"/>
                      </w:rPr>
                    </w:pPr>
                    <w:r>
                      <w:rPr>
                        <w:rFonts w:ascii="MS Gothic"/>
                        <w:color w:val="333333"/>
                      </w:rPr>
                      <w:t>management.server.ssl.key-store=</w:t>
                    </w:r>
                    <w:proofErr w:type="gramStart"/>
                    <w:r>
                      <w:rPr>
                        <w:rFonts w:ascii="MS Gothic"/>
                        <w:color w:val="333333"/>
                      </w:rPr>
                      <w:t>classpath:management.jks</w:t>
                    </w:r>
                    <w:proofErr w:type="gramEnd"/>
                    <w:r>
                      <w:rPr>
                        <w:rFonts w:ascii="MS Gothic"/>
                        <w:color w:val="333333"/>
                      </w:rPr>
                      <w:t xml:space="preserve"> management.server.ssl.key-password=secret</w:t>
                    </w:r>
                  </w:p>
                </w:txbxContent>
              </v:textbox>
            </v:shape>
            <w10:wrap type="topAndBottom" anchorx="page"/>
          </v:group>
        </w:pict>
      </w:r>
    </w:p>
    <w:p w14:paraId="507CC0C0" w14:textId="77777777" w:rsidR="00A720EB" w:rsidRDefault="00A720EB">
      <w:pPr>
        <w:pStyle w:val="a3"/>
        <w:spacing w:before="11"/>
        <w:rPr>
          <w:sz w:val="16"/>
        </w:rPr>
      </w:pPr>
    </w:p>
    <w:p w14:paraId="5CFB77F0" w14:textId="77777777" w:rsidR="00A720EB" w:rsidRDefault="0030286B">
      <w:pPr>
        <w:pStyle w:val="3"/>
        <w:numPr>
          <w:ilvl w:val="2"/>
          <w:numId w:val="24"/>
        </w:numPr>
        <w:tabs>
          <w:tab w:val="left" w:pos="858"/>
        </w:tabs>
        <w:spacing w:before="105"/>
        <w:ind w:hanging="734"/>
      </w:pPr>
      <w:bookmarkStart w:id="601" w:name="5.3.4._Customizing_the_Management_Server"/>
      <w:bookmarkStart w:id="602" w:name="_Toc54423852"/>
      <w:bookmarkEnd w:id="601"/>
      <w:r>
        <w:rPr>
          <w:color w:val="333333"/>
          <w:w w:val="110"/>
        </w:rPr>
        <w:t>Customizing the Management Server</w:t>
      </w:r>
      <w:r>
        <w:rPr>
          <w:color w:val="333333"/>
          <w:spacing w:val="-25"/>
          <w:w w:val="110"/>
        </w:rPr>
        <w:t xml:space="preserve"> </w:t>
      </w:r>
      <w:r>
        <w:rPr>
          <w:color w:val="333333"/>
          <w:w w:val="110"/>
        </w:rPr>
        <w:t>Address</w:t>
      </w:r>
      <w:bookmarkEnd w:id="602"/>
    </w:p>
    <w:p w14:paraId="36352B7F" w14:textId="77777777" w:rsidR="00A720EB" w:rsidRDefault="0030286B">
      <w:pPr>
        <w:pStyle w:val="a3"/>
        <w:spacing w:before="254" w:line="290" w:lineRule="auto"/>
        <w:ind w:left="124" w:right="129"/>
        <w:jc w:val="both"/>
      </w:pPr>
      <w:r>
        <w:rPr>
          <w:color w:val="333333"/>
          <w:spacing w:val="-6"/>
          <w:w w:val="110"/>
        </w:rPr>
        <w:t xml:space="preserve">You </w:t>
      </w:r>
      <w:r>
        <w:rPr>
          <w:color w:val="333333"/>
          <w:w w:val="110"/>
        </w:rPr>
        <w:t xml:space="preserve">can customize the address that the management endpoints are available on </w:t>
      </w:r>
      <w:r>
        <w:rPr>
          <w:color w:val="333333"/>
          <w:spacing w:val="-3"/>
          <w:w w:val="110"/>
        </w:rPr>
        <w:t xml:space="preserve">by </w:t>
      </w:r>
      <w:r>
        <w:rPr>
          <w:color w:val="333333"/>
          <w:w w:val="110"/>
        </w:rPr>
        <w:t xml:space="preserve">setting the </w:t>
      </w:r>
      <w:proofErr w:type="gramStart"/>
      <w:r>
        <w:rPr>
          <w:rFonts w:ascii="MS Gothic"/>
          <w:color w:val="B02045"/>
          <w:w w:val="110"/>
        </w:rPr>
        <w:t>management.server</w:t>
      </w:r>
      <w:proofErr w:type="gramEnd"/>
      <w:r>
        <w:rPr>
          <w:rFonts w:ascii="MS Gothic"/>
          <w:color w:val="B02045"/>
          <w:w w:val="110"/>
        </w:rPr>
        <w:t>.address</w:t>
      </w:r>
      <w:r>
        <w:rPr>
          <w:rFonts w:ascii="MS Gothic"/>
          <w:color w:val="B02045"/>
          <w:spacing w:val="-69"/>
          <w:w w:val="110"/>
        </w:rPr>
        <w:t xml:space="preserve"> </w:t>
      </w:r>
      <w:r>
        <w:rPr>
          <w:color w:val="333333"/>
          <w:spacing w:val="-3"/>
          <w:w w:val="110"/>
        </w:rPr>
        <w:t xml:space="preserve">property. </w:t>
      </w:r>
      <w:r>
        <w:rPr>
          <w:color w:val="333333"/>
          <w:w w:val="110"/>
        </w:rPr>
        <w:t>Doing</w:t>
      </w:r>
      <w:r>
        <w:rPr>
          <w:color w:val="333333"/>
          <w:spacing w:val="-3"/>
          <w:w w:val="110"/>
        </w:rPr>
        <w:t xml:space="preserve"> </w:t>
      </w:r>
      <w:r>
        <w:rPr>
          <w:color w:val="333333"/>
          <w:w w:val="110"/>
        </w:rPr>
        <w:t>so</w:t>
      </w:r>
      <w:r>
        <w:rPr>
          <w:color w:val="333333"/>
          <w:spacing w:val="-4"/>
          <w:w w:val="110"/>
        </w:rPr>
        <w:t xml:space="preserve"> </w:t>
      </w:r>
      <w:r>
        <w:rPr>
          <w:color w:val="333333"/>
          <w:w w:val="110"/>
        </w:rPr>
        <w:t>can</w:t>
      </w:r>
      <w:r>
        <w:rPr>
          <w:color w:val="333333"/>
          <w:spacing w:val="-3"/>
          <w:w w:val="110"/>
        </w:rPr>
        <w:t xml:space="preserve"> </w:t>
      </w:r>
      <w:r>
        <w:rPr>
          <w:color w:val="333333"/>
          <w:w w:val="110"/>
        </w:rPr>
        <w:t>be</w:t>
      </w:r>
      <w:r>
        <w:rPr>
          <w:color w:val="333333"/>
          <w:spacing w:val="-4"/>
          <w:w w:val="110"/>
        </w:rPr>
        <w:t xml:space="preserve"> </w:t>
      </w:r>
      <w:r>
        <w:rPr>
          <w:color w:val="333333"/>
          <w:w w:val="110"/>
        </w:rPr>
        <w:t>useful</w:t>
      </w:r>
      <w:r>
        <w:rPr>
          <w:color w:val="333333"/>
          <w:spacing w:val="-4"/>
          <w:w w:val="110"/>
        </w:rPr>
        <w:t xml:space="preserve"> </w:t>
      </w:r>
      <w:r>
        <w:rPr>
          <w:color w:val="333333"/>
          <w:w w:val="110"/>
        </w:rPr>
        <w:t>if</w:t>
      </w:r>
      <w:r>
        <w:rPr>
          <w:color w:val="333333"/>
          <w:spacing w:val="-4"/>
          <w:w w:val="110"/>
        </w:rPr>
        <w:t xml:space="preserve"> </w:t>
      </w:r>
      <w:r>
        <w:rPr>
          <w:color w:val="333333"/>
          <w:w w:val="110"/>
        </w:rPr>
        <w:t>you</w:t>
      </w:r>
      <w:r>
        <w:rPr>
          <w:color w:val="333333"/>
          <w:spacing w:val="-4"/>
          <w:w w:val="110"/>
        </w:rPr>
        <w:t xml:space="preserve"> </w:t>
      </w:r>
      <w:r>
        <w:rPr>
          <w:color w:val="333333"/>
          <w:w w:val="110"/>
        </w:rPr>
        <w:t>want</w:t>
      </w:r>
      <w:r>
        <w:rPr>
          <w:color w:val="333333"/>
          <w:spacing w:val="-4"/>
          <w:w w:val="110"/>
        </w:rPr>
        <w:t xml:space="preserve"> </w:t>
      </w:r>
      <w:r>
        <w:rPr>
          <w:color w:val="333333"/>
          <w:w w:val="110"/>
        </w:rPr>
        <w:t>to</w:t>
      </w:r>
      <w:r>
        <w:rPr>
          <w:color w:val="333333"/>
          <w:spacing w:val="-4"/>
          <w:w w:val="110"/>
        </w:rPr>
        <w:t xml:space="preserve"> </w:t>
      </w:r>
      <w:r>
        <w:rPr>
          <w:color w:val="333333"/>
          <w:w w:val="110"/>
        </w:rPr>
        <w:t>listen</w:t>
      </w:r>
      <w:r>
        <w:rPr>
          <w:color w:val="333333"/>
          <w:spacing w:val="-3"/>
          <w:w w:val="110"/>
        </w:rPr>
        <w:t xml:space="preserve"> </w:t>
      </w:r>
      <w:r>
        <w:rPr>
          <w:color w:val="333333"/>
          <w:w w:val="110"/>
        </w:rPr>
        <w:t>only</w:t>
      </w:r>
      <w:r>
        <w:rPr>
          <w:color w:val="333333"/>
          <w:spacing w:val="-3"/>
          <w:w w:val="110"/>
        </w:rPr>
        <w:t xml:space="preserve"> </w:t>
      </w:r>
      <w:r>
        <w:rPr>
          <w:color w:val="333333"/>
          <w:w w:val="110"/>
        </w:rPr>
        <w:t>on</w:t>
      </w:r>
      <w:r>
        <w:rPr>
          <w:color w:val="333333"/>
          <w:spacing w:val="-4"/>
          <w:w w:val="110"/>
        </w:rPr>
        <w:t xml:space="preserve"> </w:t>
      </w:r>
      <w:r>
        <w:rPr>
          <w:color w:val="333333"/>
          <w:w w:val="110"/>
        </w:rPr>
        <w:t>an</w:t>
      </w:r>
      <w:r>
        <w:rPr>
          <w:color w:val="333333"/>
          <w:spacing w:val="-4"/>
          <w:w w:val="110"/>
        </w:rPr>
        <w:t xml:space="preserve"> </w:t>
      </w:r>
      <w:r>
        <w:rPr>
          <w:color w:val="333333"/>
          <w:w w:val="110"/>
        </w:rPr>
        <w:t>internal or ops-facing network or to listen only for connections from</w:t>
      </w:r>
      <w:r>
        <w:rPr>
          <w:color w:val="333333"/>
          <w:spacing w:val="24"/>
          <w:w w:val="110"/>
        </w:rPr>
        <w:t xml:space="preserve"> </w:t>
      </w:r>
      <w:r>
        <w:rPr>
          <w:rFonts w:ascii="MS Gothic"/>
          <w:color w:val="B02045"/>
          <w:w w:val="110"/>
        </w:rPr>
        <w:t>localhost</w:t>
      </w:r>
      <w:r>
        <w:rPr>
          <w:color w:val="333333"/>
          <w:w w:val="110"/>
        </w:rPr>
        <w:t>.</w:t>
      </w:r>
    </w:p>
    <w:p w14:paraId="30D283E6" w14:textId="77777777" w:rsidR="00A720EB" w:rsidRDefault="00A720EB">
      <w:pPr>
        <w:pStyle w:val="a3"/>
        <w:spacing w:before="1"/>
        <w:rPr>
          <w:sz w:val="27"/>
        </w:rPr>
      </w:pPr>
    </w:p>
    <w:p w14:paraId="171AE374" w14:textId="77777777" w:rsidR="00A720EB" w:rsidRDefault="00E10349">
      <w:pPr>
        <w:pStyle w:val="a3"/>
        <w:spacing w:line="307" w:lineRule="auto"/>
        <w:ind w:left="1564" w:right="462"/>
      </w:pPr>
      <w:r>
        <w:pict w14:anchorId="299D37CB">
          <v:line id="_x0000_s3181" style="position:absolute;left:0;text-align:left;z-index:16236544;mso-position-horizontal-relative:page" from="108.25pt,-6pt" to="108.25pt,33.55pt" strokecolor="#ededed" strokeweight=".5pt">
            <w10:wrap anchorx="page"/>
          </v:line>
        </w:pict>
      </w:r>
      <w:r w:rsidR="0030286B">
        <w:rPr>
          <w:noProof/>
        </w:rPr>
        <w:drawing>
          <wp:anchor distT="0" distB="0" distL="0" distR="0" simplePos="0" relativeHeight="16237056" behindDoc="0" locked="0" layoutInCell="1" allowOverlap="1" wp14:anchorId="0F72276A" wp14:editId="295EB79F">
            <wp:simplePos x="0" y="0"/>
            <wp:positionH relativeFrom="page">
              <wp:posOffset>844422</wp:posOffset>
            </wp:positionH>
            <wp:positionV relativeFrom="paragraph">
              <wp:posOffset>25946</wp:posOffset>
            </wp:positionV>
            <wp:extent cx="298450" cy="298450"/>
            <wp:effectExtent l="0" t="0" r="0" b="0"/>
            <wp:wrapNone/>
            <wp:docPr id="6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6"/>
          <w:w w:val="110"/>
        </w:rPr>
        <w:t xml:space="preserve">You </w:t>
      </w:r>
      <w:r w:rsidR="0030286B">
        <w:rPr>
          <w:color w:val="333333"/>
          <w:w w:val="110"/>
        </w:rPr>
        <w:t>can listen on a different address only when the port differs from the main server</w:t>
      </w:r>
      <w:r w:rsidR="0030286B">
        <w:rPr>
          <w:color w:val="333333"/>
          <w:spacing w:val="3"/>
          <w:w w:val="110"/>
        </w:rPr>
        <w:t xml:space="preserve"> </w:t>
      </w:r>
      <w:r w:rsidR="0030286B">
        <w:rPr>
          <w:color w:val="333333"/>
          <w:w w:val="110"/>
        </w:rPr>
        <w:t>port.</w:t>
      </w:r>
    </w:p>
    <w:p w14:paraId="7D9484E5" w14:textId="77777777" w:rsidR="00A720EB" w:rsidRDefault="00A720EB">
      <w:pPr>
        <w:pStyle w:val="a3"/>
        <w:spacing w:before="5"/>
        <w:rPr>
          <w:sz w:val="26"/>
        </w:rPr>
      </w:pPr>
    </w:p>
    <w:p w14:paraId="45BB4864" w14:textId="77777777" w:rsidR="00A720EB" w:rsidRDefault="0030286B">
      <w:pPr>
        <w:pStyle w:val="a3"/>
        <w:spacing w:before="1"/>
        <w:ind w:left="124"/>
        <w:jc w:val="both"/>
      </w:pPr>
      <w:r>
        <w:rPr>
          <w:color w:val="333333"/>
          <w:w w:val="110"/>
        </w:rPr>
        <w:t xml:space="preserve">The following example </w:t>
      </w:r>
      <w:proofErr w:type="gramStart"/>
      <w:r>
        <w:rPr>
          <w:rFonts w:ascii="MS Gothic"/>
          <w:color w:val="B02045"/>
          <w:w w:val="110"/>
        </w:rPr>
        <w:t>application.properties</w:t>
      </w:r>
      <w:proofErr w:type="gramEnd"/>
      <w:r>
        <w:rPr>
          <w:rFonts w:ascii="MS Gothic"/>
          <w:color w:val="B02045"/>
          <w:spacing w:val="-71"/>
          <w:w w:val="110"/>
        </w:rPr>
        <w:t xml:space="preserve"> </w:t>
      </w:r>
      <w:r>
        <w:rPr>
          <w:color w:val="333333"/>
          <w:w w:val="110"/>
        </w:rPr>
        <w:t>does not allow remote management connections:</w:t>
      </w:r>
    </w:p>
    <w:p w14:paraId="3CD50044" w14:textId="77777777" w:rsidR="00A720EB" w:rsidRDefault="00E10349">
      <w:pPr>
        <w:pStyle w:val="a3"/>
        <w:spacing w:before="10"/>
        <w:rPr>
          <w:sz w:val="17"/>
        </w:rPr>
      </w:pPr>
      <w:r>
        <w:pict w14:anchorId="31B70563">
          <v:group id="_x0000_s3177" style="position:absolute;margin-left:47.85pt;margin-top:12.5pt;width:499.55pt;height:52.25pt;z-index:-15221760;mso-wrap-distance-left:0;mso-wrap-distance-right:0;mso-position-horizontal-relative:page" coordorigin="957,250" coordsize="9991,1045">
            <v:shape id="_x0000_s3180" style="position:absolute;left:964;top:257;width:9976;height:1030" coordorigin="965,257" coordsize="9976,1030" path="m10861,257r-9816,l1014,263r-26,18l971,306r-6,31l965,1207r6,31l988,1263r26,17l1045,1287r9816,l10892,1280r25,-17l10935,1238r6,-31l10941,337r-6,-31l10917,281r-25,-18l10861,257xe" fillcolor="#f5f5f5" stroked="f">
              <v:path arrowok="t"/>
            </v:shape>
            <v:shape id="_x0000_s3179" style="position:absolute;left:964;top:257;width:9976;height:1030" coordorigin="965,257" coordsize="9976,1030" path="m1045,257r9816,l10892,263r25,18l10935,306r6,31l10941,1207r-6,31l10917,1263r-25,17l10861,1287r-9816,l1014,1280r-26,-17l971,1238r-6,-31l965,337r6,-31l988,281r26,-18l1045,257xe" filled="f" strokecolor="#ccc">
              <v:path arrowok="t"/>
            </v:shape>
            <v:shape id="_x0000_s3178" type="#_x0000_t202" style="position:absolute;left:984;top:272;width:9938;height:999" filled="f" stroked="f">
              <v:textbox inset="0,0,0,0">
                <w:txbxContent>
                  <w:p w14:paraId="3CD3E367" w14:textId="77777777" w:rsidR="00711A16" w:rsidRDefault="00711A16">
                    <w:pPr>
                      <w:spacing w:before="221" w:line="252" w:lineRule="auto"/>
                      <w:ind w:left="200" w:right="5868"/>
                      <w:rPr>
                        <w:rFonts w:ascii="MS Gothic"/>
                      </w:rPr>
                    </w:pPr>
                    <w:proofErr w:type="gramStart"/>
                    <w:r>
                      <w:rPr>
                        <w:rFonts w:ascii="MS Gothic"/>
                        <w:color w:val="333333"/>
                      </w:rPr>
                      <w:t>management.server</w:t>
                    </w:r>
                    <w:proofErr w:type="gramEnd"/>
                    <w:r>
                      <w:rPr>
                        <w:rFonts w:ascii="MS Gothic"/>
                        <w:color w:val="333333"/>
                      </w:rPr>
                      <w:t>.port=8081 management.server.address=127.0.0.1</w:t>
                    </w:r>
                  </w:p>
                </w:txbxContent>
              </v:textbox>
            </v:shape>
            <w10:wrap type="topAndBottom" anchorx="page"/>
          </v:group>
        </w:pict>
      </w:r>
    </w:p>
    <w:p w14:paraId="527805AC" w14:textId="77777777" w:rsidR="00A720EB" w:rsidRDefault="00A720EB">
      <w:pPr>
        <w:pStyle w:val="a3"/>
        <w:spacing w:before="11"/>
        <w:rPr>
          <w:sz w:val="16"/>
        </w:rPr>
      </w:pPr>
    </w:p>
    <w:p w14:paraId="617E7093" w14:textId="77777777" w:rsidR="00A720EB" w:rsidRDefault="0030286B">
      <w:pPr>
        <w:pStyle w:val="3"/>
        <w:numPr>
          <w:ilvl w:val="2"/>
          <w:numId w:val="24"/>
        </w:numPr>
        <w:tabs>
          <w:tab w:val="left" w:pos="858"/>
        </w:tabs>
        <w:spacing w:before="105"/>
        <w:ind w:hanging="734"/>
      </w:pPr>
      <w:bookmarkStart w:id="603" w:name="5.3.5._Disabling_HTTP_Endpoints"/>
      <w:bookmarkStart w:id="604" w:name="_Toc54423853"/>
      <w:bookmarkEnd w:id="603"/>
      <w:r>
        <w:rPr>
          <w:color w:val="333333"/>
          <w:w w:val="105"/>
        </w:rPr>
        <w:t>Disabling HTTP</w:t>
      </w:r>
      <w:r>
        <w:rPr>
          <w:color w:val="333333"/>
          <w:spacing w:val="-4"/>
          <w:w w:val="105"/>
        </w:rPr>
        <w:t xml:space="preserve"> </w:t>
      </w:r>
      <w:r>
        <w:rPr>
          <w:color w:val="333333"/>
          <w:w w:val="105"/>
        </w:rPr>
        <w:t>Endpoints</w:t>
      </w:r>
      <w:bookmarkEnd w:id="604"/>
    </w:p>
    <w:p w14:paraId="4AB1901E" w14:textId="77777777" w:rsidR="00A720EB" w:rsidRDefault="0030286B">
      <w:pPr>
        <w:pStyle w:val="a3"/>
        <w:spacing w:before="243" w:line="290" w:lineRule="auto"/>
        <w:ind w:left="124" w:right="136"/>
      </w:pPr>
      <w:r>
        <w:rPr>
          <w:color w:val="333333"/>
          <w:w w:val="110"/>
        </w:rPr>
        <w:t xml:space="preserve">If you do not want to expose endpoints over HTTP, you can set the management port to </w:t>
      </w:r>
      <w:r>
        <w:rPr>
          <w:rFonts w:ascii="MS Gothic"/>
          <w:color w:val="B02045"/>
          <w:w w:val="110"/>
        </w:rPr>
        <w:t>-1</w:t>
      </w:r>
      <w:r>
        <w:rPr>
          <w:color w:val="333333"/>
          <w:w w:val="110"/>
        </w:rPr>
        <w:t>, as shown in the following example:</w:t>
      </w:r>
    </w:p>
    <w:p w14:paraId="18F2AB23" w14:textId="77777777" w:rsidR="00A720EB" w:rsidRDefault="00E10349">
      <w:pPr>
        <w:pStyle w:val="a3"/>
        <w:spacing w:before="7"/>
        <w:rPr>
          <w:sz w:val="14"/>
        </w:rPr>
      </w:pPr>
      <w:r>
        <w:pict w14:anchorId="55566A66">
          <v:group id="_x0000_s3173" style="position:absolute;margin-left:47.85pt;margin-top:10.55pt;width:499.55pt;height:37.5pt;z-index:-15221248;mso-wrap-distance-left:0;mso-wrap-distance-right:0;mso-position-horizontal-relative:page" coordorigin="957,211" coordsize="9991,750">
            <v:shape id="_x0000_s3176" style="position:absolute;left:964;top:218;width:9976;height:735" coordorigin="965,219" coordsize="9976,735" path="m10861,219r-9816,l1014,225r-26,17l971,268r-6,31l965,874r6,31l988,930r26,18l1045,954r9816,l10892,948r25,-18l10935,905r6,-31l10941,299r-6,-31l10917,242r-25,-17l10861,219xe" fillcolor="#f5f5f5" stroked="f">
              <v:path arrowok="t"/>
            </v:shape>
            <v:shape id="_x0000_s3175" style="position:absolute;left:964;top:218;width:9976;height:735" coordorigin="965,219" coordsize="9976,735" path="m1045,219r9816,l10892,225r25,17l10935,268r6,31l10941,874r-6,31l10917,930r-25,18l10861,954r-9816,l1014,948,988,930,971,905r-6,-31l965,299r6,-31l988,242r26,-17l1045,219xe" filled="f" strokecolor="#ccc">
              <v:path arrowok="t"/>
            </v:shape>
            <v:shape id="_x0000_s3174" type="#_x0000_t202" style="position:absolute;left:984;top:234;width:9938;height:704" filled="f" stroked="f">
              <v:textbox inset="0,0,0,0">
                <w:txbxContent>
                  <w:p w14:paraId="31955EC6" w14:textId="77777777" w:rsidR="00711A16" w:rsidRDefault="00711A16">
                    <w:pPr>
                      <w:spacing w:before="221"/>
                      <w:ind w:left="200"/>
                      <w:rPr>
                        <w:rFonts w:ascii="MS Gothic"/>
                      </w:rPr>
                    </w:pPr>
                    <w:proofErr w:type="gramStart"/>
                    <w:r>
                      <w:rPr>
                        <w:rFonts w:ascii="MS Gothic"/>
                        <w:color w:val="333333"/>
                      </w:rPr>
                      <w:t>management.server</w:t>
                    </w:r>
                    <w:proofErr w:type="gramEnd"/>
                    <w:r>
                      <w:rPr>
                        <w:rFonts w:ascii="MS Gothic"/>
                        <w:color w:val="333333"/>
                      </w:rPr>
                      <w:t>.port=-1</w:t>
                    </w:r>
                  </w:p>
                </w:txbxContent>
              </v:textbox>
            </v:shape>
            <w10:wrap type="topAndBottom" anchorx="page"/>
          </v:group>
        </w:pict>
      </w:r>
    </w:p>
    <w:p w14:paraId="309C2832" w14:textId="77777777" w:rsidR="00A720EB" w:rsidRDefault="00A720EB">
      <w:pPr>
        <w:pStyle w:val="a3"/>
        <w:spacing w:before="11"/>
        <w:rPr>
          <w:sz w:val="9"/>
        </w:rPr>
      </w:pPr>
    </w:p>
    <w:p w14:paraId="71BECEC4" w14:textId="77777777" w:rsidR="00A720EB" w:rsidRDefault="0030286B">
      <w:pPr>
        <w:pStyle w:val="a3"/>
        <w:spacing w:before="115" w:line="290" w:lineRule="auto"/>
        <w:ind w:left="124"/>
      </w:pPr>
      <w:r>
        <w:rPr>
          <w:color w:val="333333"/>
          <w:w w:val="110"/>
        </w:rPr>
        <w:t xml:space="preserve">This can be achieved using the </w:t>
      </w:r>
      <w:proofErr w:type="gramStart"/>
      <w:r>
        <w:rPr>
          <w:rFonts w:ascii="MS Gothic"/>
          <w:color w:val="B02045"/>
          <w:w w:val="110"/>
        </w:rPr>
        <w:t>management.endpoints.web.exposure</w:t>
      </w:r>
      <w:proofErr w:type="gramEnd"/>
      <w:r>
        <w:rPr>
          <w:rFonts w:ascii="MS Gothic"/>
          <w:color w:val="B02045"/>
          <w:w w:val="110"/>
        </w:rPr>
        <w:t xml:space="preserve">.exclude </w:t>
      </w:r>
      <w:r>
        <w:rPr>
          <w:color w:val="333333"/>
          <w:w w:val="110"/>
        </w:rPr>
        <w:t>property as well, as shown in following example:</w:t>
      </w:r>
    </w:p>
    <w:p w14:paraId="400F35C8" w14:textId="77777777" w:rsidR="00A720EB" w:rsidRDefault="00A720EB">
      <w:pPr>
        <w:spacing w:line="290" w:lineRule="auto"/>
        <w:sectPr w:rsidR="00A720EB">
          <w:pgSz w:w="11910" w:h="16840"/>
          <w:pgMar w:top="700" w:right="840" w:bottom="520" w:left="840" w:header="0" w:footer="323" w:gutter="0"/>
          <w:cols w:space="720"/>
        </w:sectPr>
      </w:pPr>
    </w:p>
    <w:p w14:paraId="228F07CF" w14:textId="77777777" w:rsidR="00A720EB" w:rsidRDefault="00E10349">
      <w:pPr>
        <w:pStyle w:val="a3"/>
        <w:ind w:left="116"/>
        <w:rPr>
          <w:sz w:val="20"/>
        </w:rPr>
      </w:pPr>
      <w:r>
        <w:rPr>
          <w:sz w:val="20"/>
        </w:rPr>
      </w:r>
      <w:r>
        <w:rPr>
          <w:sz w:val="20"/>
        </w:rPr>
        <w:pict w14:anchorId="074C1750">
          <v:group id="_x0000_s3169" style="width:499.55pt;height:37.5pt;mso-position-horizontal-relative:char;mso-position-vertical-relative:line" coordsize="9991,750">
            <v:shape id="_x0000_s3172" style="position:absolute;left:7;top:7;width:9976;height:735" coordorigin="8,8" coordsize="9976,735" path="m9904,8l88,8,56,14,31,31,14,56,8,88r,574l14,693r17,26l56,736r32,6l9904,742r31,-6l9960,719r17,-26l9984,662r,-574l9977,56,9960,31,9935,14,9904,8xe" fillcolor="#f5f5f5" stroked="f">
              <v:path arrowok="t"/>
            </v:shape>
            <v:shape id="_x0000_s3171" style="position:absolute;left:7;top:7;width:9976;height:735" coordorigin="8,8" coordsize="9976,735" path="m88,8r9816,l9935,14r25,17l9977,56r7,32l9984,662r-7,31l9960,719r-25,17l9904,742,88,742,56,736,31,719,14,693,8,662,8,88,14,56,31,31,56,14,88,8xe" filled="f" strokecolor="#ccc">
              <v:path arrowok="t"/>
            </v:shape>
            <v:shape id="_x0000_s3170" type="#_x0000_t202" style="position:absolute;left:26;top:22;width:9938;height:704" filled="f" stroked="f">
              <v:textbox inset="0,0,0,0">
                <w:txbxContent>
                  <w:p w14:paraId="20E1EC69" w14:textId="77777777" w:rsidR="00711A16" w:rsidRDefault="00711A16">
                    <w:pPr>
                      <w:spacing w:before="221"/>
                      <w:ind w:left="200"/>
                      <w:rPr>
                        <w:rFonts w:ascii="MS Gothic"/>
                      </w:rPr>
                    </w:pPr>
                    <w:proofErr w:type="gramStart"/>
                    <w:r>
                      <w:rPr>
                        <w:rFonts w:ascii="MS Gothic"/>
                        <w:color w:val="333333"/>
                      </w:rPr>
                      <w:t>management.endpoints.web.exposure</w:t>
                    </w:r>
                    <w:proofErr w:type="gramEnd"/>
                    <w:r>
                      <w:rPr>
                        <w:rFonts w:ascii="MS Gothic"/>
                        <w:color w:val="333333"/>
                      </w:rPr>
                      <w:t>.exclude=*</w:t>
                    </w:r>
                  </w:p>
                </w:txbxContent>
              </v:textbox>
            </v:shape>
            <w10:anchorlock/>
          </v:group>
        </w:pict>
      </w:r>
    </w:p>
    <w:p w14:paraId="642B54FB" w14:textId="77777777" w:rsidR="00A720EB" w:rsidRDefault="00A720EB">
      <w:pPr>
        <w:pStyle w:val="a3"/>
        <w:rPr>
          <w:sz w:val="16"/>
        </w:rPr>
      </w:pPr>
    </w:p>
    <w:p w14:paraId="6D6817A5" w14:textId="77777777" w:rsidR="00A720EB" w:rsidRDefault="0030286B">
      <w:pPr>
        <w:pStyle w:val="2"/>
        <w:numPr>
          <w:ilvl w:val="1"/>
          <w:numId w:val="24"/>
        </w:numPr>
        <w:tabs>
          <w:tab w:val="left" w:pos="832"/>
        </w:tabs>
        <w:spacing w:before="107"/>
      </w:pPr>
      <w:bookmarkStart w:id="605" w:name="5.4._Monitoring_and_Management_over_JMX"/>
      <w:bookmarkStart w:id="606" w:name="_Toc54423854"/>
      <w:bookmarkEnd w:id="605"/>
      <w:r>
        <w:rPr>
          <w:color w:val="333333"/>
          <w:w w:val="110"/>
        </w:rPr>
        <w:t>Monitoring and Management over</w:t>
      </w:r>
      <w:r>
        <w:rPr>
          <w:color w:val="333333"/>
          <w:spacing w:val="-39"/>
          <w:w w:val="110"/>
        </w:rPr>
        <w:t xml:space="preserve"> </w:t>
      </w:r>
      <w:r>
        <w:rPr>
          <w:color w:val="333333"/>
          <w:w w:val="110"/>
        </w:rPr>
        <w:t>JMX</w:t>
      </w:r>
      <w:bookmarkEnd w:id="606"/>
    </w:p>
    <w:p w14:paraId="4D5FF573" w14:textId="77777777" w:rsidR="00A720EB" w:rsidRDefault="0030286B">
      <w:pPr>
        <w:pStyle w:val="a3"/>
        <w:spacing w:before="253" w:line="295" w:lineRule="auto"/>
        <w:ind w:left="124" w:right="128"/>
        <w:jc w:val="both"/>
      </w:pPr>
      <w:r>
        <w:rPr>
          <w:color w:val="333333"/>
          <w:w w:val="110"/>
        </w:rPr>
        <w:t xml:space="preserve">Java Management Extensions (JMX) provide a standard mechanism to monitor and manage applications. </w:t>
      </w:r>
      <w:r>
        <w:rPr>
          <w:color w:val="333333"/>
          <w:spacing w:val="-3"/>
          <w:w w:val="110"/>
        </w:rPr>
        <w:t xml:space="preserve">By </w:t>
      </w:r>
      <w:r>
        <w:rPr>
          <w:color w:val="333333"/>
          <w:w w:val="110"/>
        </w:rPr>
        <w:t xml:space="preserve">default, this feature is not enabled and can be turned </w:t>
      </w:r>
      <w:proofErr w:type="gramStart"/>
      <w:r>
        <w:rPr>
          <w:color w:val="333333"/>
          <w:w w:val="110"/>
        </w:rPr>
        <w:t xml:space="preserve">on  </w:t>
      </w:r>
      <w:r>
        <w:rPr>
          <w:color w:val="333333"/>
          <w:spacing w:val="-3"/>
          <w:w w:val="110"/>
        </w:rPr>
        <w:t>by</w:t>
      </w:r>
      <w:proofErr w:type="gramEnd"/>
      <w:r>
        <w:rPr>
          <w:color w:val="333333"/>
          <w:spacing w:val="-3"/>
          <w:w w:val="110"/>
        </w:rPr>
        <w:t xml:space="preserve">  </w:t>
      </w:r>
      <w:r>
        <w:rPr>
          <w:color w:val="333333"/>
          <w:w w:val="110"/>
        </w:rPr>
        <w:t xml:space="preserve">setting  the configuration property </w:t>
      </w:r>
      <w:r>
        <w:rPr>
          <w:rFonts w:ascii="MS Gothic"/>
          <w:color w:val="B02045"/>
          <w:w w:val="110"/>
        </w:rPr>
        <w:t xml:space="preserve">spring.jmx.enabled </w:t>
      </w:r>
      <w:r>
        <w:rPr>
          <w:color w:val="333333"/>
          <w:w w:val="110"/>
        </w:rPr>
        <w:t xml:space="preserve">to </w:t>
      </w:r>
      <w:r>
        <w:rPr>
          <w:rFonts w:ascii="MS Gothic"/>
          <w:color w:val="B02045"/>
          <w:w w:val="110"/>
        </w:rPr>
        <w:t>true</w:t>
      </w:r>
      <w:r>
        <w:rPr>
          <w:color w:val="333333"/>
          <w:w w:val="110"/>
        </w:rPr>
        <w:t xml:space="preserve">. Spring Boot exposes management endpoints as JMX MBeans under the </w:t>
      </w:r>
      <w:proofErr w:type="gramStart"/>
      <w:r>
        <w:rPr>
          <w:rFonts w:ascii="MS Gothic"/>
          <w:color w:val="B02045"/>
          <w:w w:val="110"/>
        </w:rPr>
        <w:t>org.springframework</w:t>
      </w:r>
      <w:proofErr w:type="gramEnd"/>
      <w:r>
        <w:rPr>
          <w:rFonts w:ascii="MS Gothic"/>
          <w:color w:val="B02045"/>
          <w:w w:val="110"/>
        </w:rPr>
        <w:t>.boot</w:t>
      </w:r>
      <w:r>
        <w:rPr>
          <w:rFonts w:ascii="MS Gothic"/>
          <w:color w:val="B02045"/>
          <w:spacing w:val="-60"/>
          <w:w w:val="110"/>
        </w:rPr>
        <w:t xml:space="preserve"> </w:t>
      </w:r>
      <w:r>
        <w:rPr>
          <w:color w:val="333333"/>
          <w:w w:val="110"/>
        </w:rPr>
        <w:t xml:space="preserve">domain </w:t>
      </w:r>
      <w:r>
        <w:rPr>
          <w:color w:val="333333"/>
          <w:spacing w:val="-3"/>
          <w:w w:val="110"/>
        </w:rPr>
        <w:t xml:space="preserve">by </w:t>
      </w:r>
      <w:r>
        <w:rPr>
          <w:color w:val="333333"/>
          <w:w w:val="110"/>
        </w:rPr>
        <w:t>default.</w:t>
      </w:r>
    </w:p>
    <w:p w14:paraId="755814D1" w14:textId="77777777" w:rsidR="00A720EB" w:rsidRDefault="00A720EB">
      <w:pPr>
        <w:pStyle w:val="a3"/>
        <w:spacing w:before="2"/>
        <w:rPr>
          <w:sz w:val="25"/>
        </w:rPr>
      </w:pPr>
    </w:p>
    <w:p w14:paraId="4F23802C" w14:textId="77777777" w:rsidR="00A720EB" w:rsidRDefault="0030286B">
      <w:pPr>
        <w:pStyle w:val="3"/>
        <w:numPr>
          <w:ilvl w:val="2"/>
          <w:numId w:val="24"/>
        </w:numPr>
        <w:tabs>
          <w:tab w:val="left" w:pos="858"/>
        </w:tabs>
        <w:spacing w:before="1"/>
        <w:ind w:hanging="734"/>
      </w:pPr>
      <w:bookmarkStart w:id="607" w:name="5.4.1._Customizing_MBean_Names"/>
      <w:bookmarkStart w:id="608" w:name="_Toc54423855"/>
      <w:bookmarkEnd w:id="607"/>
      <w:r>
        <w:rPr>
          <w:color w:val="333333"/>
          <w:w w:val="105"/>
        </w:rPr>
        <w:t>Customizing MBean</w:t>
      </w:r>
      <w:r>
        <w:rPr>
          <w:color w:val="333333"/>
          <w:spacing w:val="-3"/>
          <w:w w:val="105"/>
        </w:rPr>
        <w:t xml:space="preserve"> </w:t>
      </w:r>
      <w:r>
        <w:rPr>
          <w:color w:val="333333"/>
          <w:w w:val="105"/>
        </w:rPr>
        <w:t>Names</w:t>
      </w:r>
      <w:bookmarkEnd w:id="608"/>
    </w:p>
    <w:p w14:paraId="1FF907B4" w14:textId="77777777" w:rsidR="00A720EB" w:rsidRDefault="0030286B">
      <w:pPr>
        <w:pStyle w:val="a3"/>
        <w:spacing w:before="243"/>
        <w:ind w:left="124"/>
        <w:jc w:val="both"/>
        <w:rPr>
          <w:rFonts w:ascii="MS Gothic"/>
        </w:rPr>
      </w:pPr>
      <w:r>
        <w:rPr>
          <w:color w:val="333333"/>
          <w:w w:val="110"/>
        </w:rPr>
        <w:t xml:space="preserve">The name of the MBean is usually generated from the </w:t>
      </w:r>
      <w:r>
        <w:rPr>
          <w:rFonts w:ascii="MS Gothic"/>
          <w:color w:val="B02045"/>
          <w:w w:val="110"/>
        </w:rPr>
        <w:t xml:space="preserve">id </w:t>
      </w:r>
      <w:r>
        <w:rPr>
          <w:color w:val="333333"/>
          <w:w w:val="110"/>
        </w:rPr>
        <w:t xml:space="preserve">of the endpoint. For example, the </w:t>
      </w:r>
      <w:r>
        <w:rPr>
          <w:rFonts w:ascii="MS Gothic"/>
          <w:color w:val="B02045"/>
          <w:w w:val="110"/>
        </w:rPr>
        <w:t>health</w:t>
      </w:r>
    </w:p>
    <w:p w14:paraId="2FA95790" w14:textId="77777777" w:rsidR="00A720EB" w:rsidRDefault="0030286B">
      <w:pPr>
        <w:pStyle w:val="a3"/>
        <w:spacing w:before="46"/>
        <w:ind w:left="124"/>
        <w:jc w:val="both"/>
      </w:pPr>
      <w:r>
        <w:rPr>
          <w:color w:val="333333"/>
          <w:w w:val="105"/>
        </w:rPr>
        <w:t xml:space="preserve">endpoint is exposed as </w:t>
      </w:r>
      <w:proofErr w:type="gramStart"/>
      <w:r>
        <w:rPr>
          <w:rFonts w:ascii="MS Gothic"/>
          <w:color w:val="B02045"/>
          <w:w w:val="105"/>
        </w:rPr>
        <w:t>org.springframework</w:t>
      </w:r>
      <w:proofErr w:type="gramEnd"/>
      <w:r>
        <w:rPr>
          <w:rFonts w:ascii="MS Gothic"/>
          <w:color w:val="B02045"/>
          <w:w w:val="105"/>
        </w:rPr>
        <w:t>.boot:type=Endpoint,name=Health</w:t>
      </w:r>
      <w:r>
        <w:rPr>
          <w:color w:val="333333"/>
          <w:w w:val="105"/>
        </w:rPr>
        <w:t>.</w:t>
      </w:r>
    </w:p>
    <w:p w14:paraId="0E90FA9E" w14:textId="77777777" w:rsidR="00A720EB" w:rsidRDefault="00A720EB">
      <w:pPr>
        <w:pStyle w:val="a3"/>
        <w:spacing w:before="5"/>
        <w:rPr>
          <w:sz w:val="24"/>
        </w:rPr>
      </w:pPr>
    </w:p>
    <w:p w14:paraId="6AEB47ED" w14:textId="77777777" w:rsidR="00A720EB" w:rsidRDefault="0030286B">
      <w:pPr>
        <w:pStyle w:val="a3"/>
        <w:spacing w:before="1" w:line="285" w:lineRule="auto"/>
        <w:ind w:left="124" w:right="122"/>
        <w:jc w:val="both"/>
      </w:pPr>
      <w:r>
        <w:rPr>
          <w:color w:val="333333"/>
          <w:w w:val="110"/>
        </w:rPr>
        <w:t xml:space="preserve">If your application contains more than one Spring </w:t>
      </w:r>
      <w:r>
        <w:rPr>
          <w:rFonts w:ascii="MS Gothic"/>
          <w:color w:val="B02045"/>
          <w:w w:val="110"/>
        </w:rPr>
        <w:t>ApplicationContext</w:t>
      </w:r>
      <w:r>
        <w:rPr>
          <w:color w:val="333333"/>
          <w:w w:val="110"/>
        </w:rPr>
        <w:t xml:space="preserve">, you may find that </w:t>
      </w:r>
      <w:proofErr w:type="gramStart"/>
      <w:r>
        <w:rPr>
          <w:color w:val="333333"/>
          <w:w w:val="110"/>
        </w:rPr>
        <w:t>names  clash</w:t>
      </w:r>
      <w:proofErr w:type="gramEnd"/>
      <w:r>
        <w:rPr>
          <w:color w:val="333333"/>
          <w:w w:val="110"/>
        </w:rPr>
        <w:t>.</w:t>
      </w:r>
      <w:r>
        <w:rPr>
          <w:color w:val="333333"/>
          <w:spacing w:val="-14"/>
          <w:w w:val="110"/>
        </w:rPr>
        <w:t xml:space="preserve"> </w:t>
      </w:r>
      <w:r>
        <w:rPr>
          <w:color w:val="333333"/>
          <w:spacing w:val="-4"/>
          <w:w w:val="110"/>
        </w:rPr>
        <w:t>To</w:t>
      </w:r>
      <w:r>
        <w:rPr>
          <w:color w:val="333333"/>
          <w:spacing w:val="-14"/>
          <w:w w:val="110"/>
        </w:rPr>
        <w:t xml:space="preserve"> </w:t>
      </w:r>
      <w:r>
        <w:rPr>
          <w:color w:val="333333"/>
          <w:w w:val="110"/>
        </w:rPr>
        <w:t>solve</w:t>
      </w:r>
      <w:r>
        <w:rPr>
          <w:color w:val="333333"/>
          <w:spacing w:val="-14"/>
          <w:w w:val="110"/>
        </w:rPr>
        <w:t xml:space="preserve"> </w:t>
      </w:r>
      <w:r>
        <w:rPr>
          <w:color w:val="333333"/>
          <w:w w:val="110"/>
        </w:rPr>
        <w:t>this</w:t>
      </w:r>
      <w:r>
        <w:rPr>
          <w:color w:val="333333"/>
          <w:spacing w:val="-14"/>
          <w:w w:val="110"/>
        </w:rPr>
        <w:t xml:space="preserve"> </w:t>
      </w:r>
      <w:r>
        <w:rPr>
          <w:color w:val="333333"/>
          <w:w w:val="110"/>
        </w:rPr>
        <w:t>problem,</w:t>
      </w:r>
      <w:r>
        <w:rPr>
          <w:color w:val="333333"/>
          <w:spacing w:val="-14"/>
          <w:w w:val="110"/>
        </w:rPr>
        <w:t xml:space="preserve"> </w:t>
      </w:r>
      <w:r>
        <w:rPr>
          <w:color w:val="333333"/>
          <w:w w:val="110"/>
        </w:rPr>
        <w:t>you</w:t>
      </w:r>
      <w:r>
        <w:rPr>
          <w:color w:val="333333"/>
          <w:spacing w:val="-14"/>
          <w:w w:val="110"/>
        </w:rPr>
        <w:t xml:space="preserve"> </w:t>
      </w:r>
      <w:r>
        <w:rPr>
          <w:color w:val="333333"/>
          <w:w w:val="110"/>
        </w:rPr>
        <w:t>can</w:t>
      </w:r>
      <w:r>
        <w:rPr>
          <w:color w:val="333333"/>
          <w:spacing w:val="-14"/>
          <w:w w:val="110"/>
        </w:rPr>
        <w:t xml:space="preserve"> </w:t>
      </w:r>
      <w:r>
        <w:rPr>
          <w:color w:val="333333"/>
          <w:w w:val="110"/>
        </w:rPr>
        <w:t>set</w:t>
      </w:r>
      <w:r>
        <w:rPr>
          <w:color w:val="333333"/>
          <w:spacing w:val="-14"/>
          <w:w w:val="110"/>
        </w:rPr>
        <w:t xml:space="preserve"> </w:t>
      </w:r>
      <w:r>
        <w:rPr>
          <w:color w:val="333333"/>
          <w:w w:val="110"/>
        </w:rPr>
        <w:t>the</w:t>
      </w:r>
      <w:r>
        <w:rPr>
          <w:color w:val="333333"/>
          <w:spacing w:val="-12"/>
          <w:w w:val="110"/>
        </w:rPr>
        <w:t xml:space="preserve"> </w:t>
      </w:r>
      <w:proofErr w:type="gramStart"/>
      <w:r>
        <w:rPr>
          <w:rFonts w:ascii="MS Gothic"/>
          <w:color w:val="B02045"/>
          <w:w w:val="110"/>
        </w:rPr>
        <w:t>spring.jmx.unique</w:t>
      </w:r>
      <w:proofErr w:type="gramEnd"/>
      <w:r>
        <w:rPr>
          <w:rFonts w:ascii="MS Gothic"/>
          <w:color w:val="B02045"/>
          <w:w w:val="110"/>
        </w:rPr>
        <w:t>-names</w:t>
      </w:r>
      <w:r>
        <w:rPr>
          <w:rFonts w:ascii="MS Gothic"/>
          <w:color w:val="B02045"/>
          <w:spacing w:val="-78"/>
          <w:w w:val="110"/>
        </w:rPr>
        <w:t xml:space="preserve"> </w:t>
      </w:r>
      <w:r>
        <w:rPr>
          <w:color w:val="333333"/>
          <w:w w:val="110"/>
        </w:rPr>
        <w:t>property</w:t>
      </w:r>
      <w:r>
        <w:rPr>
          <w:color w:val="333333"/>
          <w:spacing w:val="-14"/>
          <w:w w:val="110"/>
        </w:rPr>
        <w:t xml:space="preserve"> </w:t>
      </w:r>
      <w:r>
        <w:rPr>
          <w:color w:val="333333"/>
          <w:w w:val="110"/>
        </w:rPr>
        <w:t>to</w:t>
      </w:r>
      <w:r>
        <w:rPr>
          <w:color w:val="333333"/>
          <w:spacing w:val="-13"/>
          <w:w w:val="110"/>
        </w:rPr>
        <w:t xml:space="preserve"> </w:t>
      </w:r>
      <w:r>
        <w:rPr>
          <w:rFonts w:ascii="MS Gothic"/>
          <w:color w:val="B02045"/>
          <w:w w:val="110"/>
        </w:rPr>
        <w:t>true</w:t>
      </w:r>
      <w:r>
        <w:rPr>
          <w:rFonts w:ascii="MS Gothic"/>
          <w:color w:val="B02045"/>
          <w:spacing w:val="-78"/>
          <w:w w:val="110"/>
        </w:rPr>
        <w:t xml:space="preserve"> </w:t>
      </w:r>
      <w:r>
        <w:rPr>
          <w:color w:val="333333"/>
          <w:w w:val="110"/>
        </w:rPr>
        <w:t>so</w:t>
      </w:r>
      <w:r>
        <w:rPr>
          <w:color w:val="333333"/>
          <w:spacing w:val="-14"/>
          <w:w w:val="110"/>
        </w:rPr>
        <w:t xml:space="preserve"> </w:t>
      </w:r>
      <w:r>
        <w:rPr>
          <w:color w:val="333333"/>
          <w:w w:val="110"/>
        </w:rPr>
        <w:t>that</w:t>
      </w:r>
      <w:r>
        <w:rPr>
          <w:color w:val="333333"/>
          <w:spacing w:val="-14"/>
          <w:w w:val="110"/>
        </w:rPr>
        <w:t xml:space="preserve"> </w:t>
      </w:r>
      <w:r>
        <w:rPr>
          <w:color w:val="333333"/>
          <w:w w:val="110"/>
        </w:rPr>
        <w:t>MBean names are always</w:t>
      </w:r>
      <w:r>
        <w:rPr>
          <w:color w:val="333333"/>
          <w:spacing w:val="9"/>
          <w:w w:val="110"/>
        </w:rPr>
        <w:t xml:space="preserve"> </w:t>
      </w:r>
      <w:r>
        <w:rPr>
          <w:color w:val="333333"/>
          <w:w w:val="110"/>
        </w:rPr>
        <w:t>unique.</w:t>
      </w:r>
    </w:p>
    <w:p w14:paraId="5F3348B4" w14:textId="77777777" w:rsidR="00A720EB" w:rsidRDefault="00A720EB">
      <w:pPr>
        <w:pStyle w:val="a3"/>
        <w:spacing w:before="5"/>
        <w:rPr>
          <w:sz w:val="22"/>
        </w:rPr>
      </w:pPr>
    </w:p>
    <w:p w14:paraId="4D791A19" w14:textId="77777777" w:rsidR="00A720EB" w:rsidRDefault="0030286B">
      <w:pPr>
        <w:pStyle w:val="a3"/>
        <w:spacing w:before="1" w:line="297" w:lineRule="auto"/>
        <w:ind w:left="124" w:right="129"/>
        <w:jc w:val="both"/>
      </w:pPr>
      <w:r>
        <w:rPr>
          <w:color w:val="333333"/>
          <w:w w:val="110"/>
        </w:rPr>
        <w:t xml:space="preserve">You can also customize the JMX domain under which endpoints are exposed. The following settings show an example of doing so in </w:t>
      </w:r>
      <w:proofErr w:type="gramStart"/>
      <w:r>
        <w:rPr>
          <w:rFonts w:ascii="MS Gothic"/>
          <w:color w:val="B02045"/>
          <w:w w:val="110"/>
        </w:rPr>
        <w:t>application.properties</w:t>
      </w:r>
      <w:proofErr w:type="gramEnd"/>
      <w:r>
        <w:rPr>
          <w:color w:val="333333"/>
          <w:w w:val="110"/>
        </w:rPr>
        <w:t>:</w:t>
      </w:r>
    </w:p>
    <w:p w14:paraId="39EB22D3" w14:textId="77777777" w:rsidR="00A720EB" w:rsidRDefault="00E10349">
      <w:pPr>
        <w:pStyle w:val="a3"/>
        <w:spacing w:before="4"/>
        <w:rPr>
          <w:sz w:val="12"/>
        </w:rPr>
      </w:pPr>
      <w:r>
        <w:pict w14:anchorId="0D270326">
          <v:group id="_x0000_s3165" style="position:absolute;margin-left:47.85pt;margin-top:9.25pt;width:499.55pt;height:52.25pt;z-index:-15219200;mso-wrap-distance-left:0;mso-wrap-distance-right:0;mso-position-horizontal-relative:page" coordorigin="957,185" coordsize="9991,1045">
            <v:shape id="_x0000_s3168" style="position:absolute;left:964;top:192;width:9976;height:1030" coordorigin="965,192" coordsize="9976,1030" path="m10861,192r-9816,l1014,199r-26,17l971,241r-6,31l965,1142r6,31l988,1199r26,17l1045,1222r9816,l10892,1216r25,-17l10935,1173r6,-31l10941,272r-6,-31l10917,216r-25,-17l10861,192xe" fillcolor="#f5f5f5" stroked="f">
              <v:path arrowok="t"/>
            </v:shape>
            <v:shape id="_x0000_s3167" style="position:absolute;left:964;top:192;width:9976;height:1030" coordorigin="965,192" coordsize="9976,1030" path="m1045,192r9816,l10892,199r25,17l10935,241r6,31l10941,1142r-6,31l10917,1199r-25,17l10861,1222r-9816,l1014,1216r-26,-17l971,1173r-6,-31l965,272r6,-31l988,216r26,-17l1045,192xe" filled="f" strokecolor="#ccc">
              <v:path arrowok="t"/>
            </v:shape>
            <v:shape id="_x0000_s3166" type="#_x0000_t202" style="position:absolute;left:984;top:207;width:9938;height:999" filled="f" stroked="f">
              <v:textbox inset="0,0,0,0">
                <w:txbxContent>
                  <w:p w14:paraId="624E4DDB" w14:textId="77777777" w:rsidR="00711A16" w:rsidRDefault="00711A16">
                    <w:pPr>
                      <w:spacing w:before="221" w:line="252" w:lineRule="auto"/>
                      <w:ind w:left="200" w:right="4328"/>
                      <w:rPr>
                        <w:rFonts w:ascii="MS Gothic"/>
                      </w:rPr>
                    </w:pPr>
                    <w:proofErr w:type="gramStart"/>
                    <w:r>
                      <w:rPr>
                        <w:rFonts w:ascii="MS Gothic"/>
                        <w:color w:val="333333"/>
                      </w:rPr>
                      <w:t>spring.jmx.unique</w:t>
                    </w:r>
                    <w:proofErr w:type="gramEnd"/>
                    <w:r>
                      <w:rPr>
                        <w:rFonts w:ascii="MS Gothic"/>
                        <w:color w:val="333333"/>
                      </w:rPr>
                      <w:t>-names=true management.endpoints.jmx.domain=com.example.myapp</w:t>
                    </w:r>
                  </w:p>
                </w:txbxContent>
              </v:textbox>
            </v:shape>
            <w10:wrap type="topAndBottom" anchorx="page"/>
          </v:group>
        </w:pict>
      </w:r>
    </w:p>
    <w:p w14:paraId="0CA3C828" w14:textId="77777777" w:rsidR="00A720EB" w:rsidRDefault="00A720EB">
      <w:pPr>
        <w:pStyle w:val="a3"/>
        <w:spacing w:before="11"/>
        <w:rPr>
          <w:sz w:val="16"/>
        </w:rPr>
      </w:pPr>
    </w:p>
    <w:p w14:paraId="02424F4C" w14:textId="77777777" w:rsidR="00A720EB" w:rsidRDefault="0030286B">
      <w:pPr>
        <w:pStyle w:val="3"/>
        <w:numPr>
          <w:ilvl w:val="2"/>
          <w:numId w:val="24"/>
        </w:numPr>
        <w:tabs>
          <w:tab w:val="left" w:pos="858"/>
        </w:tabs>
        <w:spacing w:before="105"/>
        <w:ind w:hanging="734"/>
      </w:pPr>
      <w:bookmarkStart w:id="609" w:name="5.4.2._Disabling_JMX_Endpoints"/>
      <w:bookmarkStart w:id="610" w:name="_Toc54423856"/>
      <w:bookmarkEnd w:id="609"/>
      <w:r>
        <w:rPr>
          <w:color w:val="333333"/>
          <w:w w:val="105"/>
        </w:rPr>
        <w:t>Disabling JMX</w:t>
      </w:r>
      <w:r>
        <w:rPr>
          <w:color w:val="333333"/>
          <w:spacing w:val="-3"/>
          <w:w w:val="105"/>
        </w:rPr>
        <w:t xml:space="preserve"> </w:t>
      </w:r>
      <w:r>
        <w:rPr>
          <w:color w:val="333333"/>
          <w:w w:val="105"/>
        </w:rPr>
        <w:t>Endpoints</w:t>
      </w:r>
      <w:bookmarkEnd w:id="610"/>
    </w:p>
    <w:p w14:paraId="44E8C2E4" w14:textId="77777777" w:rsidR="00A720EB" w:rsidRDefault="0030286B">
      <w:pPr>
        <w:pStyle w:val="a3"/>
        <w:tabs>
          <w:tab w:val="left" w:pos="604"/>
          <w:tab w:val="left" w:pos="1301"/>
          <w:tab w:val="left" w:pos="1876"/>
          <w:tab w:val="left" w:pos="2532"/>
          <w:tab w:val="left" w:pos="3365"/>
          <w:tab w:val="left" w:pos="3885"/>
          <w:tab w:val="left" w:pos="4901"/>
          <w:tab w:val="left" w:pos="6224"/>
          <w:tab w:val="left" w:pos="7004"/>
          <w:tab w:val="left" w:pos="7790"/>
          <w:tab w:val="left" w:pos="8488"/>
          <w:tab w:val="left" w:pos="9170"/>
          <w:tab w:val="left" w:pos="9776"/>
        </w:tabs>
        <w:spacing w:before="254"/>
        <w:ind w:left="124"/>
      </w:pPr>
      <w:r>
        <w:rPr>
          <w:color w:val="333333"/>
          <w:w w:val="110"/>
        </w:rPr>
        <w:t>If</w:t>
      </w:r>
      <w:r>
        <w:rPr>
          <w:color w:val="333333"/>
          <w:w w:val="110"/>
        </w:rPr>
        <w:tab/>
        <w:t>you</w:t>
      </w:r>
      <w:r>
        <w:rPr>
          <w:color w:val="333333"/>
          <w:w w:val="110"/>
        </w:rPr>
        <w:tab/>
        <w:t>do</w:t>
      </w:r>
      <w:r>
        <w:rPr>
          <w:color w:val="333333"/>
          <w:w w:val="110"/>
        </w:rPr>
        <w:tab/>
        <w:t>not</w:t>
      </w:r>
      <w:r>
        <w:rPr>
          <w:color w:val="333333"/>
          <w:w w:val="110"/>
        </w:rPr>
        <w:tab/>
        <w:t>want</w:t>
      </w:r>
      <w:r>
        <w:rPr>
          <w:color w:val="333333"/>
          <w:w w:val="110"/>
        </w:rPr>
        <w:tab/>
        <w:t>to</w:t>
      </w:r>
      <w:r>
        <w:rPr>
          <w:color w:val="333333"/>
          <w:w w:val="110"/>
        </w:rPr>
        <w:tab/>
        <w:t>expose</w:t>
      </w:r>
      <w:r>
        <w:rPr>
          <w:color w:val="333333"/>
          <w:w w:val="110"/>
        </w:rPr>
        <w:tab/>
        <w:t>endpoints</w:t>
      </w:r>
      <w:r>
        <w:rPr>
          <w:color w:val="333333"/>
          <w:w w:val="110"/>
        </w:rPr>
        <w:tab/>
        <w:t>over</w:t>
      </w:r>
      <w:r>
        <w:rPr>
          <w:color w:val="333333"/>
          <w:w w:val="110"/>
        </w:rPr>
        <w:tab/>
        <w:t>JMX,</w:t>
      </w:r>
      <w:r>
        <w:rPr>
          <w:color w:val="333333"/>
          <w:w w:val="110"/>
        </w:rPr>
        <w:tab/>
        <w:t>you</w:t>
      </w:r>
      <w:r>
        <w:rPr>
          <w:color w:val="333333"/>
          <w:w w:val="110"/>
        </w:rPr>
        <w:tab/>
        <w:t>can</w:t>
      </w:r>
      <w:r>
        <w:rPr>
          <w:color w:val="333333"/>
          <w:w w:val="110"/>
        </w:rPr>
        <w:tab/>
        <w:t>set</w:t>
      </w:r>
      <w:r>
        <w:rPr>
          <w:color w:val="333333"/>
          <w:w w:val="110"/>
        </w:rPr>
        <w:tab/>
        <w:t>the</w:t>
      </w:r>
    </w:p>
    <w:p w14:paraId="30898C15" w14:textId="77777777" w:rsidR="00A720EB" w:rsidRDefault="0030286B">
      <w:pPr>
        <w:pStyle w:val="a3"/>
        <w:spacing w:before="59"/>
        <w:ind w:left="124"/>
      </w:pPr>
      <w:proofErr w:type="gramStart"/>
      <w:r>
        <w:rPr>
          <w:rFonts w:ascii="MS Gothic"/>
          <w:color w:val="B02045"/>
          <w:w w:val="110"/>
        </w:rPr>
        <w:t>management.endpoints.jmx.exposure</w:t>
      </w:r>
      <w:proofErr w:type="gramEnd"/>
      <w:r>
        <w:rPr>
          <w:rFonts w:ascii="MS Gothic"/>
          <w:color w:val="B02045"/>
          <w:w w:val="110"/>
        </w:rPr>
        <w:t>.exclude</w:t>
      </w:r>
      <w:r>
        <w:rPr>
          <w:rFonts w:ascii="MS Gothic"/>
          <w:color w:val="B02045"/>
          <w:spacing w:val="-78"/>
          <w:w w:val="110"/>
        </w:rPr>
        <w:t xml:space="preserve"> </w:t>
      </w:r>
      <w:r>
        <w:rPr>
          <w:color w:val="333333"/>
          <w:w w:val="110"/>
        </w:rPr>
        <w:t xml:space="preserve">property to </w:t>
      </w:r>
      <w:r>
        <w:rPr>
          <w:rFonts w:ascii="MS Gothic"/>
          <w:color w:val="B02045"/>
          <w:w w:val="110"/>
        </w:rPr>
        <w:t>*</w:t>
      </w:r>
      <w:r>
        <w:rPr>
          <w:color w:val="333333"/>
          <w:w w:val="110"/>
        </w:rPr>
        <w:t>, as shown in the following example:</w:t>
      </w:r>
    </w:p>
    <w:p w14:paraId="27CFD7A6" w14:textId="77777777" w:rsidR="00A720EB" w:rsidRDefault="00E10349">
      <w:pPr>
        <w:pStyle w:val="a3"/>
        <w:spacing w:before="10"/>
        <w:rPr>
          <w:sz w:val="17"/>
        </w:rPr>
      </w:pPr>
      <w:r>
        <w:pict w14:anchorId="2CB08D4A">
          <v:group id="_x0000_s3161" style="position:absolute;margin-left:47.85pt;margin-top:12.5pt;width:499.55pt;height:37.5pt;z-index:-15218688;mso-wrap-distance-left:0;mso-wrap-distance-right:0;mso-position-horizontal-relative:page" coordorigin="957,250" coordsize="9991,750">
            <v:shape id="_x0000_s3164" style="position:absolute;left:964;top:257;width:9976;height:735" coordorigin="965,257" coordsize="9976,735" path="m10861,257r-9816,l1014,263r-26,18l971,306r-6,31l965,912r6,31l988,969r26,17l1045,992r9816,l10892,986r25,-17l10935,943r6,-31l10941,337r-6,-31l10917,281r-25,-18l10861,257xe" fillcolor="#f5f5f5" stroked="f">
              <v:path arrowok="t"/>
            </v:shape>
            <v:shape id="_x0000_s3163" style="position:absolute;left:964;top:257;width:9976;height:735" coordorigin="965,257" coordsize="9976,735" path="m1045,257r9816,l10892,263r25,18l10935,306r6,31l10941,912r-6,31l10917,969r-25,17l10861,992r-9816,l1014,986,988,969,971,943r-6,-31l965,337r6,-31l988,281r26,-18l1045,257xe" filled="f" strokecolor="#ccc">
              <v:path arrowok="t"/>
            </v:shape>
            <v:shape id="_x0000_s3162" type="#_x0000_t202" style="position:absolute;left:984;top:272;width:9938;height:704" filled="f" stroked="f">
              <v:textbox inset="0,0,0,0">
                <w:txbxContent>
                  <w:p w14:paraId="372E8346" w14:textId="77777777" w:rsidR="00711A16" w:rsidRDefault="00711A16">
                    <w:pPr>
                      <w:spacing w:before="221"/>
                      <w:ind w:left="200"/>
                      <w:rPr>
                        <w:rFonts w:ascii="MS Gothic"/>
                      </w:rPr>
                    </w:pPr>
                    <w:proofErr w:type="gramStart"/>
                    <w:r>
                      <w:rPr>
                        <w:rFonts w:ascii="MS Gothic"/>
                        <w:color w:val="333333"/>
                      </w:rPr>
                      <w:t>management.endpoints.jmx.exposure</w:t>
                    </w:r>
                    <w:proofErr w:type="gramEnd"/>
                    <w:r>
                      <w:rPr>
                        <w:rFonts w:ascii="MS Gothic"/>
                        <w:color w:val="333333"/>
                      </w:rPr>
                      <w:t>.exclude=*</w:t>
                    </w:r>
                  </w:p>
                </w:txbxContent>
              </v:textbox>
            </v:shape>
            <w10:wrap type="topAndBottom" anchorx="page"/>
          </v:group>
        </w:pict>
      </w:r>
    </w:p>
    <w:p w14:paraId="6B90C2DC" w14:textId="77777777" w:rsidR="00A720EB" w:rsidRDefault="00A720EB">
      <w:pPr>
        <w:pStyle w:val="a3"/>
        <w:spacing w:before="11"/>
        <w:rPr>
          <w:sz w:val="16"/>
        </w:rPr>
      </w:pPr>
    </w:p>
    <w:p w14:paraId="2B905DAC" w14:textId="77777777" w:rsidR="00A720EB" w:rsidRDefault="0030286B">
      <w:pPr>
        <w:pStyle w:val="3"/>
        <w:numPr>
          <w:ilvl w:val="2"/>
          <w:numId w:val="24"/>
        </w:numPr>
        <w:tabs>
          <w:tab w:val="left" w:pos="858"/>
        </w:tabs>
        <w:spacing w:before="105"/>
        <w:ind w:hanging="734"/>
      </w:pPr>
      <w:bookmarkStart w:id="611" w:name="5.4.3._Using_Jolokia_for_JMX_over_HTTP"/>
      <w:bookmarkStart w:id="612" w:name="_Toc54423857"/>
      <w:bookmarkEnd w:id="611"/>
      <w:r>
        <w:rPr>
          <w:color w:val="333333"/>
          <w:w w:val="105"/>
        </w:rPr>
        <w:t>Using Jolokia for JMX over</w:t>
      </w:r>
      <w:r>
        <w:rPr>
          <w:color w:val="333333"/>
          <w:spacing w:val="-7"/>
          <w:w w:val="105"/>
        </w:rPr>
        <w:t xml:space="preserve"> </w:t>
      </w:r>
      <w:r>
        <w:rPr>
          <w:color w:val="333333"/>
          <w:w w:val="105"/>
        </w:rPr>
        <w:t>HTTP</w:t>
      </w:r>
      <w:bookmarkEnd w:id="612"/>
    </w:p>
    <w:p w14:paraId="5C664AC0" w14:textId="77777777" w:rsidR="00A720EB" w:rsidRDefault="0030286B">
      <w:pPr>
        <w:pStyle w:val="a3"/>
        <w:spacing w:before="254" w:line="295" w:lineRule="auto"/>
        <w:ind w:left="124" w:right="126"/>
        <w:jc w:val="both"/>
      </w:pPr>
      <w:r>
        <w:rPr>
          <w:color w:val="333333"/>
          <w:w w:val="110"/>
        </w:rPr>
        <w:t xml:space="preserve">Jolokia is a JMX-HTTP bridge that provides an alternative method of accessing JMX beans. To use Jolokia, include a dependency to </w:t>
      </w:r>
      <w:proofErr w:type="gramStart"/>
      <w:r>
        <w:rPr>
          <w:rFonts w:ascii="MS Gothic"/>
          <w:color w:val="B02045"/>
          <w:w w:val="110"/>
        </w:rPr>
        <w:t>org.jolokia</w:t>
      </w:r>
      <w:proofErr w:type="gramEnd"/>
      <w:r>
        <w:rPr>
          <w:rFonts w:ascii="MS Gothic"/>
          <w:color w:val="B02045"/>
          <w:w w:val="110"/>
        </w:rPr>
        <w:t>:jolokia-core</w:t>
      </w:r>
      <w:r>
        <w:rPr>
          <w:color w:val="333333"/>
          <w:w w:val="110"/>
        </w:rPr>
        <w:t>. For example, with Maven, you would add the following dependency:</w:t>
      </w:r>
    </w:p>
    <w:p w14:paraId="5B4E9B96" w14:textId="77777777" w:rsidR="00A720EB" w:rsidRDefault="00E10349">
      <w:pPr>
        <w:pStyle w:val="a3"/>
        <w:spacing w:before="11"/>
        <w:rPr>
          <w:sz w:val="13"/>
        </w:rPr>
      </w:pPr>
      <w:r>
        <w:pict w14:anchorId="0C292A79">
          <v:group id="_x0000_s3157" style="position:absolute;margin-left:47.85pt;margin-top:10.15pt;width:499.55pt;height:81.75pt;z-index:-15218176;mso-wrap-distance-left:0;mso-wrap-distance-right:0;mso-position-horizontal-relative:page" coordorigin="957,203" coordsize="9991,1635">
            <v:shape id="_x0000_s3160" style="position:absolute;left:964;top:210;width:9976;height:1620" coordorigin="965,210" coordsize="9976,1620" path="m10861,210r-9816,l1014,217r-26,17l971,259r-6,31l965,1750r6,31l988,1806r26,17l1045,1830r9816,l10892,1823r25,-17l10935,1781r6,-31l10941,290r-6,-31l10917,234r-25,-17l10861,210xe" fillcolor="#f5f5f5" stroked="f">
              <v:path arrowok="t"/>
            </v:shape>
            <v:shape id="_x0000_s3159" style="position:absolute;left:964;top:210;width:9976;height:1620" coordorigin="965,210" coordsize="9976,1620" path="m1045,210r9816,l10892,217r25,17l10935,259r6,31l10941,1750r-6,31l10917,1806r-25,17l10861,1830r-9816,l1014,1823r-26,-17l971,1781r-6,-31l965,290r6,-31l988,234r26,-17l1045,210xe" filled="f" strokecolor="#ccc">
              <v:path arrowok="t"/>
            </v:shape>
            <v:shape id="_x0000_s3158" type="#_x0000_t202" style="position:absolute;left:984;top:225;width:9938;height:1589" filled="f" stroked="f">
              <v:textbox inset="0,0,0,0">
                <w:txbxContent>
                  <w:p w14:paraId="50222576" w14:textId="77777777" w:rsidR="00711A16" w:rsidRDefault="00711A16">
                    <w:pPr>
                      <w:spacing w:before="221"/>
                      <w:ind w:left="200"/>
                      <w:rPr>
                        <w:rFonts w:ascii="MS Gothic"/>
                      </w:rPr>
                    </w:pPr>
                    <w:r>
                      <w:rPr>
                        <w:rFonts w:ascii="MS Gothic"/>
                        <w:color w:val="333333"/>
                      </w:rPr>
                      <w:t>&lt;dependency&gt;</w:t>
                    </w:r>
                  </w:p>
                  <w:p w14:paraId="49040FBC" w14:textId="77777777" w:rsidR="00711A16" w:rsidRDefault="00711A16">
                    <w:pPr>
                      <w:spacing w:before="13"/>
                      <w:ind w:left="640"/>
                      <w:rPr>
                        <w:rFonts w:ascii="MS Gothic"/>
                      </w:rPr>
                    </w:pPr>
                    <w:r>
                      <w:rPr>
                        <w:rFonts w:ascii="MS Gothic"/>
                        <w:color w:val="333333"/>
                      </w:rPr>
                      <w:t>&lt;groupId&gt;org.jolokia&lt;/groupId&gt;</w:t>
                    </w:r>
                  </w:p>
                  <w:p w14:paraId="3BDC8068" w14:textId="77777777" w:rsidR="00711A16" w:rsidRDefault="00711A16">
                    <w:pPr>
                      <w:spacing w:before="13"/>
                      <w:ind w:left="640"/>
                      <w:rPr>
                        <w:rFonts w:ascii="MS Gothic"/>
                      </w:rPr>
                    </w:pPr>
                    <w:r>
                      <w:rPr>
                        <w:rFonts w:ascii="MS Gothic"/>
                        <w:color w:val="333333"/>
                      </w:rPr>
                      <w:t>&lt;artifactId&gt;jolokia-core&lt;/artifactId&gt;</w:t>
                    </w:r>
                  </w:p>
                  <w:p w14:paraId="1536D8D8"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71B3C2A6" w14:textId="77777777" w:rsidR="00A720EB" w:rsidRDefault="00A720EB">
      <w:pPr>
        <w:pStyle w:val="a3"/>
        <w:spacing w:before="11"/>
        <w:rPr>
          <w:sz w:val="9"/>
        </w:rPr>
      </w:pPr>
    </w:p>
    <w:p w14:paraId="183F4F7F" w14:textId="77777777" w:rsidR="00A720EB" w:rsidRDefault="0030286B">
      <w:pPr>
        <w:pStyle w:val="a3"/>
        <w:tabs>
          <w:tab w:val="left" w:pos="777"/>
          <w:tab w:val="left" w:pos="1744"/>
          <w:tab w:val="left" w:pos="2926"/>
          <w:tab w:val="left" w:pos="3562"/>
          <w:tab w:val="left" w:pos="4296"/>
          <w:tab w:val="left" w:pos="4816"/>
          <w:tab w:val="left" w:pos="5914"/>
          <w:tab w:val="left" w:pos="6436"/>
          <w:tab w:val="left" w:pos="7409"/>
          <w:tab w:val="left" w:pos="8423"/>
          <w:tab w:val="left" w:pos="8922"/>
          <w:tab w:val="left" w:pos="9307"/>
          <w:tab w:val="left" w:pos="9781"/>
        </w:tabs>
        <w:spacing w:before="115"/>
        <w:ind w:left="124"/>
      </w:pPr>
      <w:r>
        <w:rPr>
          <w:color w:val="333333"/>
          <w:w w:val="110"/>
        </w:rPr>
        <w:t>The</w:t>
      </w:r>
      <w:r>
        <w:rPr>
          <w:color w:val="333333"/>
          <w:w w:val="110"/>
        </w:rPr>
        <w:tab/>
        <w:t>Jolokia</w:t>
      </w:r>
      <w:r>
        <w:rPr>
          <w:color w:val="333333"/>
          <w:w w:val="110"/>
        </w:rPr>
        <w:tab/>
        <w:t>endpoint</w:t>
      </w:r>
      <w:r>
        <w:rPr>
          <w:color w:val="333333"/>
          <w:w w:val="110"/>
        </w:rPr>
        <w:tab/>
        <w:t>can</w:t>
      </w:r>
      <w:r>
        <w:rPr>
          <w:color w:val="333333"/>
          <w:w w:val="110"/>
        </w:rPr>
        <w:tab/>
        <w:t>then</w:t>
      </w:r>
      <w:r>
        <w:rPr>
          <w:color w:val="333333"/>
          <w:w w:val="110"/>
        </w:rPr>
        <w:tab/>
        <w:t>be</w:t>
      </w:r>
      <w:r>
        <w:rPr>
          <w:color w:val="333333"/>
          <w:w w:val="110"/>
        </w:rPr>
        <w:tab/>
        <w:t>exposed</w:t>
      </w:r>
      <w:r>
        <w:rPr>
          <w:color w:val="333333"/>
          <w:w w:val="110"/>
        </w:rPr>
        <w:tab/>
      </w:r>
      <w:r>
        <w:rPr>
          <w:color w:val="333333"/>
          <w:spacing w:val="-3"/>
          <w:w w:val="110"/>
        </w:rPr>
        <w:t>by</w:t>
      </w:r>
      <w:r>
        <w:rPr>
          <w:color w:val="333333"/>
          <w:spacing w:val="-3"/>
          <w:w w:val="110"/>
        </w:rPr>
        <w:tab/>
      </w:r>
      <w:r>
        <w:rPr>
          <w:color w:val="333333"/>
          <w:w w:val="110"/>
        </w:rPr>
        <w:t>adding</w:t>
      </w:r>
      <w:r>
        <w:rPr>
          <w:color w:val="333333"/>
          <w:w w:val="110"/>
        </w:rPr>
        <w:tab/>
      </w:r>
      <w:r>
        <w:rPr>
          <w:rFonts w:ascii="MS Gothic"/>
          <w:color w:val="B02045"/>
          <w:w w:val="110"/>
        </w:rPr>
        <w:t>jolokia</w:t>
      </w:r>
      <w:r>
        <w:rPr>
          <w:rFonts w:ascii="MS Gothic"/>
          <w:color w:val="B02045"/>
          <w:w w:val="110"/>
        </w:rPr>
        <w:tab/>
      </w:r>
      <w:r>
        <w:rPr>
          <w:color w:val="333333"/>
          <w:w w:val="110"/>
        </w:rPr>
        <w:t>or</w:t>
      </w:r>
      <w:r>
        <w:rPr>
          <w:color w:val="333333"/>
          <w:w w:val="110"/>
        </w:rPr>
        <w:tab/>
      </w:r>
      <w:r>
        <w:rPr>
          <w:rFonts w:ascii="MS Gothic"/>
          <w:color w:val="B02045"/>
          <w:w w:val="110"/>
        </w:rPr>
        <w:t>*</w:t>
      </w:r>
      <w:r>
        <w:rPr>
          <w:rFonts w:ascii="MS Gothic"/>
          <w:color w:val="B02045"/>
          <w:w w:val="110"/>
        </w:rPr>
        <w:tab/>
      </w:r>
      <w:r>
        <w:rPr>
          <w:color w:val="333333"/>
          <w:w w:val="110"/>
        </w:rPr>
        <w:t>to</w:t>
      </w:r>
      <w:r>
        <w:rPr>
          <w:color w:val="333333"/>
          <w:w w:val="110"/>
        </w:rPr>
        <w:tab/>
        <w:t>the</w:t>
      </w:r>
    </w:p>
    <w:p w14:paraId="4FD971E9" w14:textId="77777777" w:rsidR="00A720EB" w:rsidRDefault="0030286B">
      <w:pPr>
        <w:pStyle w:val="a3"/>
        <w:tabs>
          <w:tab w:val="left" w:pos="5848"/>
          <w:tab w:val="left" w:pos="6472"/>
          <w:tab w:val="left" w:pos="7081"/>
          <w:tab w:val="left" w:pos="7789"/>
          <w:tab w:val="left" w:pos="8666"/>
          <w:tab w:val="left" w:pos="9058"/>
          <w:tab w:val="left" w:pos="9554"/>
        </w:tabs>
        <w:spacing w:before="47"/>
        <w:ind w:left="124"/>
      </w:pPr>
      <w:proofErr w:type="gramStart"/>
      <w:r>
        <w:rPr>
          <w:rFonts w:ascii="MS Gothic"/>
          <w:color w:val="B02045"/>
          <w:w w:val="105"/>
        </w:rPr>
        <w:t>management.endpoints.web.exposure</w:t>
      </w:r>
      <w:proofErr w:type="gramEnd"/>
      <w:r>
        <w:rPr>
          <w:rFonts w:ascii="MS Gothic"/>
          <w:color w:val="B02045"/>
          <w:w w:val="105"/>
        </w:rPr>
        <w:t>.include</w:t>
      </w:r>
      <w:r>
        <w:rPr>
          <w:rFonts w:ascii="MS Gothic"/>
          <w:color w:val="B02045"/>
          <w:spacing w:val="43"/>
          <w:w w:val="105"/>
        </w:rPr>
        <w:t xml:space="preserve"> </w:t>
      </w:r>
      <w:r>
        <w:rPr>
          <w:color w:val="333333"/>
          <w:spacing w:val="-3"/>
          <w:w w:val="105"/>
        </w:rPr>
        <w:t>property.</w:t>
      </w:r>
      <w:r>
        <w:rPr>
          <w:color w:val="333333"/>
          <w:spacing w:val="-3"/>
          <w:w w:val="105"/>
        </w:rPr>
        <w:tab/>
      </w:r>
      <w:r>
        <w:rPr>
          <w:color w:val="333333"/>
          <w:spacing w:val="-6"/>
          <w:w w:val="110"/>
        </w:rPr>
        <w:t>You</w:t>
      </w:r>
      <w:r>
        <w:rPr>
          <w:color w:val="333333"/>
          <w:spacing w:val="-6"/>
          <w:w w:val="110"/>
        </w:rPr>
        <w:tab/>
      </w:r>
      <w:r>
        <w:rPr>
          <w:color w:val="333333"/>
          <w:w w:val="110"/>
        </w:rPr>
        <w:t>can</w:t>
      </w:r>
      <w:r>
        <w:rPr>
          <w:color w:val="333333"/>
          <w:w w:val="110"/>
        </w:rPr>
        <w:tab/>
        <w:t>then</w:t>
      </w:r>
      <w:r>
        <w:rPr>
          <w:color w:val="333333"/>
          <w:w w:val="110"/>
        </w:rPr>
        <w:tab/>
        <w:t>access</w:t>
      </w:r>
      <w:r>
        <w:rPr>
          <w:color w:val="333333"/>
          <w:w w:val="110"/>
        </w:rPr>
        <w:tab/>
        <w:t>it</w:t>
      </w:r>
      <w:r>
        <w:rPr>
          <w:color w:val="333333"/>
          <w:w w:val="110"/>
        </w:rPr>
        <w:tab/>
      </w:r>
      <w:r>
        <w:rPr>
          <w:color w:val="333333"/>
          <w:spacing w:val="-3"/>
          <w:w w:val="110"/>
        </w:rPr>
        <w:t>by</w:t>
      </w:r>
      <w:r>
        <w:rPr>
          <w:color w:val="333333"/>
          <w:spacing w:val="-3"/>
          <w:w w:val="110"/>
        </w:rPr>
        <w:tab/>
      </w:r>
      <w:r>
        <w:rPr>
          <w:color w:val="333333"/>
          <w:w w:val="110"/>
        </w:rPr>
        <w:t>using</w:t>
      </w:r>
    </w:p>
    <w:p w14:paraId="63F3C904" w14:textId="77777777" w:rsidR="00A720EB" w:rsidRDefault="00A720EB">
      <w:pPr>
        <w:sectPr w:rsidR="00A720EB">
          <w:pgSz w:w="11910" w:h="16840"/>
          <w:pgMar w:top="700" w:right="840" w:bottom="520" w:left="840" w:header="0" w:footer="323" w:gutter="0"/>
          <w:cols w:space="720"/>
        </w:sectPr>
      </w:pPr>
    </w:p>
    <w:p w14:paraId="1A738256" w14:textId="77777777" w:rsidR="00A720EB" w:rsidRDefault="0030286B">
      <w:pPr>
        <w:pStyle w:val="a3"/>
        <w:spacing w:before="96"/>
        <w:ind w:left="124"/>
      </w:pPr>
      <w:r>
        <w:rPr>
          <w:rFonts w:ascii="MS Gothic"/>
          <w:color w:val="B02045"/>
          <w:w w:val="110"/>
        </w:rPr>
        <w:lastRenderedPageBreak/>
        <w:t>/actuator/jolokia</w:t>
      </w:r>
      <w:r>
        <w:rPr>
          <w:rFonts w:ascii="MS Gothic"/>
          <w:color w:val="B02045"/>
          <w:spacing w:val="-60"/>
          <w:w w:val="110"/>
        </w:rPr>
        <w:t xml:space="preserve"> </w:t>
      </w:r>
      <w:r>
        <w:rPr>
          <w:color w:val="333333"/>
          <w:w w:val="110"/>
        </w:rPr>
        <w:t>on your management HTTP server.</w:t>
      </w:r>
    </w:p>
    <w:p w14:paraId="5C5BD596" w14:textId="77777777" w:rsidR="00A720EB" w:rsidRDefault="00A720EB">
      <w:pPr>
        <w:pStyle w:val="a3"/>
        <w:spacing w:before="6"/>
      </w:pPr>
    </w:p>
    <w:p w14:paraId="4A1DCC1C" w14:textId="77777777" w:rsidR="00A720EB" w:rsidRDefault="00E10349">
      <w:pPr>
        <w:pStyle w:val="a3"/>
        <w:spacing w:before="125" w:line="307" w:lineRule="auto"/>
        <w:ind w:left="1564" w:right="368"/>
        <w:jc w:val="both"/>
      </w:pPr>
      <w:r>
        <w:pict w14:anchorId="224F2E96">
          <v:line id="_x0000_s3156" style="position:absolute;left:0;text-align:left;z-index:16240640;mso-position-horizontal-relative:page" from="108.25pt,.25pt" to="108.25pt,55.6pt" strokecolor="#ededed" strokeweight=".5pt">
            <w10:wrap anchorx="page"/>
          </v:line>
        </w:pict>
      </w:r>
      <w:r w:rsidR="0030286B">
        <w:rPr>
          <w:noProof/>
        </w:rPr>
        <w:drawing>
          <wp:anchor distT="0" distB="0" distL="0" distR="0" simplePos="0" relativeHeight="16241152" behindDoc="0" locked="0" layoutInCell="1" allowOverlap="1" wp14:anchorId="52BB0709" wp14:editId="6C09B63D">
            <wp:simplePos x="0" y="0"/>
            <wp:positionH relativeFrom="page">
              <wp:posOffset>844422</wp:posOffset>
            </wp:positionH>
            <wp:positionV relativeFrom="paragraph">
              <wp:posOffset>205524</wp:posOffset>
            </wp:positionV>
            <wp:extent cx="298450" cy="298450"/>
            <wp:effectExtent l="0" t="0" r="0" b="0"/>
            <wp:wrapNone/>
            <wp:docPr id="6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Jolokia endpoint exposes Jolokia’s servlet as an actuator endpoint. As a </w:t>
      </w:r>
      <w:proofErr w:type="gramStart"/>
      <w:r w:rsidR="0030286B">
        <w:rPr>
          <w:color w:val="333333"/>
          <w:w w:val="110"/>
        </w:rPr>
        <w:t xml:space="preserve">result,   </w:t>
      </w:r>
      <w:proofErr w:type="gramEnd"/>
      <w:r w:rsidR="0030286B">
        <w:rPr>
          <w:color w:val="333333"/>
          <w:w w:val="110"/>
        </w:rPr>
        <w:t xml:space="preserve">it is specific to servlet environments such as Spring MVC and </w:t>
      </w:r>
      <w:r w:rsidR="0030286B">
        <w:rPr>
          <w:color w:val="333333"/>
          <w:spacing w:val="-4"/>
          <w:w w:val="110"/>
        </w:rPr>
        <w:t xml:space="preserve">Jersey. </w:t>
      </w:r>
      <w:r w:rsidR="0030286B">
        <w:rPr>
          <w:color w:val="333333"/>
          <w:w w:val="110"/>
        </w:rPr>
        <w:t xml:space="preserve">The endpoint will not be available in a </w:t>
      </w:r>
      <w:r w:rsidR="0030286B">
        <w:rPr>
          <w:color w:val="333333"/>
          <w:spacing w:val="-3"/>
          <w:w w:val="110"/>
        </w:rPr>
        <w:t>WebFlux</w:t>
      </w:r>
      <w:r w:rsidR="0030286B">
        <w:rPr>
          <w:color w:val="333333"/>
          <w:spacing w:val="27"/>
          <w:w w:val="110"/>
        </w:rPr>
        <w:t xml:space="preserve"> </w:t>
      </w:r>
      <w:r w:rsidR="0030286B">
        <w:rPr>
          <w:color w:val="333333"/>
          <w:w w:val="110"/>
        </w:rPr>
        <w:t>application.</w:t>
      </w:r>
    </w:p>
    <w:p w14:paraId="742C283C" w14:textId="77777777" w:rsidR="00A720EB" w:rsidRDefault="00A720EB">
      <w:pPr>
        <w:pStyle w:val="a3"/>
        <w:spacing w:before="8"/>
        <w:rPr>
          <w:sz w:val="23"/>
        </w:rPr>
      </w:pPr>
    </w:p>
    <w:p w14:paraId="5D106C5F" w14:textId="77777777" w:rsidR="00A720EB" w:rsidRDefault="0030286B">
      <w:pPr>
        <w:pStyle w:val="4"/>
        <w:spacing w:before="104"/>
      </w:pPr>
      <w:bookmarkStart w:id="613" w:name="Customizing_Jolokia"/>
      <w:bookmarkEnd w:id="613"/>
      <w:r>
        <w:rPr>
          <w:color w:val="333333"/>
          <w:w w:val="105"/>
        </w:rPr>
        <w:t>Customizing Jolokia</w:t>
      </w:r>
    </w:p>
    <w:p w14:paraId="5A1A6BFA" w14:textId="77777777" w:rsidR="00A720EB" w:rsidRDefault="00A720EB">
      <w:pPr>
        <w:pStyle w:val="a3"/>
        <w:spacing w:before="11"/>
        <w:rPr>
          <w:rFonts w:ascii="Palatino Linotype"/>
          <w:b/>
          <w:sz w:val="18"/>
        </w:rPr>
      </w:pPr>
    </w:p>
    <w:p w14:paraId="42AD2C23" w14:textId="77777777" w:rsidR="00A720EB" w:rsidRDefault="0030286B">
      <w:pPr>
        <w:pStyle w:val="a3"/>
        <w:spacing w:line="290" w:lineRule="auto"/>
        <w:ind w:left="124" w:right="124"/>
        <w:jc w:val="both"/>
      </w:pPr>
      <w:r>
        <w:rPr>
          <w:color w:val="333333"/>
          <w:w w:val="110"/>
        </w:rPr>
        <w:t xml:space="preserve">Jolokia has a number of settings that you would traditionally configure </w:t>
      </w:r>
      <w:r>
        <w:rPr>
          <w:color w:val="333333"/>
          <w:spacing w:val="-3"/>
          <w:w w:val="110"/>
        </w:rPr>
        <w:t xml:space="preserve">by </w:t>
      </w:r>
      <w:proofErr w:type="gramStart"/>
      <w:r>
        <w:rPr>
          <w:color w:val="333333"/>
          <w:w w:val="110"/>
        </w:rPr>
        <w:t>setting  servlet</w:t>
      </w:r>
      <w:proofErr w:type="gramEnd"/>
      <w:r>
        <w:rPr>
          <w:color w:val="333333"/>
          <w:spacing w:val="50"/>
          <w:w w:val="110"/>
        </w:rPr>
        <w:t xml:space="preserve"> </w:t>
      </w:r>
      <w:r>
        <w:rPr>
          <w:color w:val="333333"/>
          <w:w w:val="110"/>
        </w:rPr>
        <w:t xml:space="preserve">parameters. With Spring Boot, you can use your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file. </w:t>
      </w:r>
      <w:r>
        <w:rPr>
          <w:color w:val="333333"/>
          <w:spacing w:val="-4"/>
          <w:w w:val="110"/>
        </w:rPr>
        <w:t xml:space="preserve">To </w:t>
      </w:r>
      <w:r>
        <w:rPr>
          <w:color w:val="333333"/>
          <w:w w:val="110"/>
        </w:rPr>
        <w:t>do so, prefix the parameter</w:t>
      </w:r>
      <w:r>
        <w:rPr>
          <w:color w:val="333333"/>
          <w:spacing w:val="-9"/>
          <w:w w:val="110"/>
        </w:rPr>
        <w:t xml:space="preserve"> </w:t>
      </w:r>
      <w:r>
        <w:rPr>
          <w:color w:val="333333"/>
          <w:w w:val="110"/>
        </w:rPr>
        <w:t>with</w:t>
      </w:r>
      <w:r>
        <w:rPr>
          <w:color w:val="333333"/>
          <w:spacing w:val="-6"/>
          <w:w w:val="110"/>
        </w:rPr>
        <w:t xml:space="preserve"> </w:t>
      </w:r>
      <w:proofErr w:type="gramStart"/>
      <w:r>
        <w:rPr>
          <w:rFonts w:ascii="MS Gothic"/>
          <w:color w:val="B02045"/>
          <w:w w:val="110"/>
        </w:rPr>
        <w:t>management.endpoint</w:t>
      </w:r>
      <w:proofErr w:type="gramEnd"/>
      <w:r>
        <w:rPr>
          <w:rFonts w:ascii="MS Gothic"/>
          <w:color w:val="B02045"/>
          <w:w w:val="110"/>
        </w:rPr>
        <w:t>.jolokia.config.</w:t>
      </w:r>
      <w:r>
        <w:rPr>
          <w:color w:val="333333"/>
          <w:w w:val="110"/>
        </w:rPr>
        <w:t>,</w:t>
      </w:r>
      <w:r>
        <w:rPr>
          <w:color w:val="333333"/>
          <w:spacing w:val="-8"/>
          <w:w w:val="110"/>
        </w:rPr>
        <w:t xml:space="preserve"> </w:t>
      </w:r>
      <w:r>
        <w:rPr>
          <w:color w:val="333333"/>
          <w:w w:val="110"/>
        </w:rPr>
        <w:t>as</w:t>
      </w:r>
      <w:r>
        <w:rPr>
          <w:color w:val="333333"/>
          <w:spacing w:val="-9"/>
          <w:w w:val="110"/>
        </w:rPr>
        <w:t xml:space="preserve"> </w:t>
      </w:r>
      <w:r>
        <w:rPr>
          <w:color w:val="333333"/>
          <w:w w:val="110"/>
        </w:rPr>
        <w:t>shown</w:t>
      </w:r>
      <w:r>
        <w:rPr>
          <w:color w:val="333333"/>
          <w:spacing w:val="-8"/>
          <w:w w:val="110"/>
        </w:rPr>
        <w:t xml:space="preserve"> </w:t>
      </w:r>
      <w:r>
        <w:rPr>
          <w:color w:val="333333"/>
          <w:w w:val="110"/>
        </w:rPr>
        <w:t>in</w:t>
      </w:r>
      <w:r>
        <w:rPr>
          <w:color w:val="333333"/>
          <w:spacing w:val="-8"/>
          <w:w w:val="110"/>
        </w:rPr>
        <w:t xml:space="preserve"> </w:t>
      </w:r>
      <w:r>
        <w:rPr>
          <w:color w:val="333333"/>
          <w:w w:val="110"/>
        </w:rPr>
        <w:t>the</w:t>
      </w:r>
      <w:r>
        <w:rPr>
          <w:color w:val="333333"/>
          <w:spacing w:val="-8"/>
          <w:w w:val="110"/>
        </w:rPr>
        <w:t xml:space="preserve"> </w:t>
      </w:r>
      <w:r>
        <w:rPr>
          <w:color w:val="333333"/>
          <w:w w:val="110"/>
        </w:rPr>
        <w:t>following</w:t>
      </w:r>
      <w:r>
        <w:rPr>
          <w:color w:val="333333"/>
          <w:spacing w:val="-8"/>
          <w:w w:val="110"/>
        </w:rPr>
        <w:t xml:space="preserve"> </w:t>
      </w:r>
      <w:r>
        <w:rPr>
          <w:color w:val="333333"/>
          <w:w w:val="110"/>
        </w:rPr>
        <w:t>example:</w:t>
      </w:r>
    </w:p>
    <w:p w14:paraId="08831E26" w14:textId="77777777" w:rsidR="00A720EB" w:rsidRDefault="00E10349">
      <w:pPr>
        <w:pStyle w:val="a3"/>
        <w:spacing w:before="10"/>
        <w:rPr>
          <w:sz w:val="12"/>
        </w:rPr>
      </w:pPr>
      <w:r>
        <w:pict w14:anchorId="4BA1376C">
          <v:group id="_x0000_s3152" style="position:absolute;margin-left:47.85pt;margin-top:9.55pt;width:499.55pt;height:37.5pt;z-index:-15217664;mso-wrap-distance-left:0;mso-wrap-distance-right:0;mso-position-horizontal-relative:page" coordorigin="957,191" coordsize="9991,750">
            <v:shape id="_x0000_s3155" style="position:absolute;left:964;top:198;width:9976;height:735" coordorigin="965,199" coordsize="9976,735" path="m10861,199r-9816,l1014,205r-26,17l971,247r-6,32l965,853r6,31l988,910r26,17l1045,933r9816,l10892,927r25,-17l10935,884r6,-31l10941,279r-6,-32l10917,222r-25,-17l10861,199xe" fillcolor="#f5f5f5" stroked="f">
              <v:path arrowok="t"/>
            </v:shape>
            <v:shape id="_x0000_s3154" style="position:absolute;left:964;top:198;width:9976;height:735" coordorigin="965,199" coordsize="9976,735" path="m1045,199r9816,l10892,205r25,17l10935,247r6,32l10941,853r-6,31l10917,910r-25,17l10861,933r-9816,l1014,927,988,910,971,884r-6,-31l965,279r6,-32l988,222r26,-17l1045,199xe" filled="f" strokecolor="#ccc">
              <v:path arrowok="t"/>
            </v:shape>
            <v:shape id="_x0000_s3153" type="#_x0000_t202" style="position:absolute;left:984;top:213;width:9938;height:704" filled="f" stroked="f">
              <v:textbox inset="0,0,0,0">
                <w:txbxContent>
                  <w:p w14:paraId="7BE254F3" w14:textId="77777777" w:rsidR="00711A16" w:rsidRDefault="00711A16">
                    <w:pPr>
                      <w:spacing w:before="221"/>
                      <w:ind w:left="200"/>
                      <w:rPr>
                        <w:rFonts w:ascii="MS Gothic"/>
                      </w:rPr>
                    </w:pPr>
                    <w:proofErr w:type="gramStart"/>
                    <w:r>
                      <w:rPr>
                        <w:rFonts w:ascii="MS Gothic"/>
                        <w:color w:val="333333"/>
                      </w:rPr>
                      <w:t>management.endpoint</w:t>
                    </w:r>
                    <w:proofErr w:type="gramEnd"/>
                    <w:r>
                      <w:rPr>
                        <w:rFonts w:ascii="MS Gothic"/>
                        <w:color w:val="333333"/>
                      </w:rPr>
                      <w:t>.jolokia.config.debug=true</w:t>
                    </w:r>
                  </w:p>
                </w:txbxContent>
              </v:textbox>
            </v:shape>
            <w10:wrap type="topAndBottom" anchorx="page"/>
          </v:group>
        </w:pict>
      </w:r>
    </w:p>
    <w:p w14:paraId="29284CB5" w14:textId="77777777" w:rsidR="00A720EB" w:rsidRDefault="00A720EB">
      <w:pPr>
        <w:pStyle w:val="a3"/>
        <w:spacing w:before="11"/>
        <w:rPr>
          <w:sz w:val="16"/>
        </w:rPr>
      </w:pPr>
    </w:p>
    <w:p w14:paraId="0A137860" w14:textId="77777777" w:rsidR="00A720EB" w:rsidRDefault="0030286B">
      <w:pPr>
        <w:pStyle w:val="4"/>
        <w:spacing w:before="104"/>
        <w:jc w:val="left"/>
      </w:pPr>
      <w:bookmarkStart w:id="614" w:name="Disabling_Jolokia"/>
      <w:bookmarkEnd w:id="614"/>
      <w:r>
        <w:rPr>
          <w:color w:val="333333"/>
          <w:w w:val="105"/>
        </w:rPr>
        <w:t>Disabling Jolokia</w:t>
      </w:r>
    </w:p>
    <w:p w14:paraId="27FDAC54" w14:textId="77777777" w:rsidR="00A720EB" w:rsidRDefault="00A720EB">
      <w:pPr>
        <w:pStyle w:val="a3"/>
        <w:spacing w:before="11"/>
        <w:rPr>
          <w:rFonts w:ascii="Palatino Linotype"/>
          <w:b/>
          <w:sz w:val="18"/>
        </w:rPr>
      </w:pPr>
    </w:p>
    <w:p w14:paraId="49C8E7DC" w14:textId="77777777" w:rsidR="00A720EB" w:rsidRDefault="0030286B">
      <w:pPr>
        <w:pStyle w:val="a3"/>
        <w:tabs>
          <w:tab w:val="left" w:pos="560"/>
          <w:tab w:val="left" w:pos="1212"/>
          <w:tab w:val="left" w:pos="1833"/>
          <w:tab w:val="left" w:pos="2802"/>
          <w:tab w:val="left" w:pos="3418"/>
          <w:tab w:val="left" w:pos="3948"/>
          <w:tab w:val="left" w:pos="4560"/>
          <w:tab w:val="left" w:pos="5348"/>
          <w:tab w:val="left" w:pos="6284"/>
          <w:tab w:val="left" w:pos="7017"/>
          <w:tab w:val="left" w:pos="7493"/>
          <w:tab w:val="left" w:pos="8736"/>
          <w:tab w:val="left" w:pos="9209"/>
          <w:tab w:val="left" w:pos="9771"/>
        </w:tabs>
        <w:ind w:left="124"/>
      </w:pPr>
      <w:r>
        <w:rPr>
          <w:color w:val="333333"/>
          <w:w w:val="110"/>
        </w:rPr>
        <w:t>If</w:t>
      </w:r>
      <w:r>
        <w:rPr>
          <w:color w:val="333333"/>
          <w:w w:val="110"/>
        </w:rPr>
        <w:tab/>
        <w:t>you</w:t>
      </w:r>
      <w:r>
        <w:rPr>
          <w:color w:val="333333"/>
          <w:w w:val="110"/>
        </w:rPr>
        <w:tab/>
        <w:t>use</w:t>
      </w:r>
      <w:r>
        <w:rPr>
          <w:color w:val="333333"/>
          <w:w w:val="110"/>
        </w:rPr>
        <w:tab/>
        <w:t>Jolokia</w:t>
      </w:r>
      <w:r>
        <w:rPr>
          <w:color w:val="333333"/>
          <w:w w:val="110"/>
        </w:rPr>
        <w:tab/>
        <w:t>but</w:t>
      </w:r>
      <w:r>
        <w:rPr>
          <w:color w:val="333333"/>
          <w:w w:val="110"/>
        </w:rPr>
        <w:tab/>
        <w:t>do</w:t>
      </w:r>
      <w:r>
        <w:rPr>
          <w:color w:val="333333"/>
          <w:w w:val="110"/>
        </w:rPr>
        <w:tab/>
        <w:t>not</w:t>
      </w:r>
      <w:r>
        <w:rPr>
          <w:color w:val="333333"/>
          <w:w w:val="110"/>
        </w:rPr>
        <w:tab/>
        <w:t>want</w:t>
      </w:r>
      <w:r>
        <w:rPr>
          <w:color w:val="333333"/>
          <w:w w:val="110"/>
        </w:rPr>
        <w:tab/>
        <w:t>Spring</w:t>
      </w:r>
      <w:r>
        <w:rPr>
          <w:color w:val="333333"/>
          <w:w w:val="110"/>
        </w:rPr>
        <w:tab/>
        <w:t>Boot</w:t>
      </w:r>
      <w:r>
        <w:rPr>
          <w:color w:val="333333"/>
          <w:w w:val="110"/>
        </w:rPr>
        <w:tab/>
        <w:t>to</w:t>
      </w:r>
      <w:r>
        <w:rPr>
          <w:color w:val="333333"/>
          <w:w w:val="110"/>
        </w:rPr>
        <w:tab/>
        <w:t>configure</w:t>
      </w:r>
      <w:r>
        <w:rPr>
          <w:color w:val="333333"/>
          <w:w w:val="110"/>
        </w:rPr>
        <w:tab/>
        <w:t>it,</w:t>
      </w:r>
      <w:r>
        <w:rPr>
          <w:color w:val="333333"/>
          <w:w w:val="110"/>
        </w:rPr>
        <w:tab/>
        <w:t>set</w:t>
      </w:r>
      <w:r>
        <w:rPr>
          <w:color w:val="333333"/>
          <w:w w:val="110"/>
        </w:rPr>
        <w:tab/>
        <w:t>the</w:t>
      </w:r>
    </w:p>
    <w:p w14:paraId="3B73B87E" w14:textId="77777777" w:rsidR="00A720EB" w:rsidRDefault="0030286B">
      <w:pPr>
        <w:pStyle w:val="a3"/>
        <w:spacing w:before="59"/>
        <w:ind w:left="124"/>
      </w:pPr>
      <w:proofErr w:type="gramStart"/>
      <w:r>
        <w:rPr>
          <w:rFonts w:ascii="MS Gothic"/>
          <w:color w:val="B02045"/>
          <w:w w:val="105"/>
        </w:rPr>
        <w:t>management.endpoint</w:t>
      </w:r>
      <w:proofErr w:type="gramEnd"/>
      <w:r>
        <w:rPr>
          <w:rFonts w:ascii="MS Gothic"/>
          <w:color w:val="B02045"/>
          <w:w w:val="105"/>
        </w:rPr>
        <w:t xml:space="preserve">.jolokia.enabled </w:t>
      </w:r>
      <w:r>
        <w:rPr>
          <w:color w:val="333333"/>
          <w:w w:val="105"/>
        </w:rPr>
        <w:t xml:space="preserve">property to </w:t>
      </w:r>
      <w:r>
        <w:rPr>
          <w:rFonts w:ascii="MS Gothic"/>
          <w:color w:val="B02045"/>
          <w:w w:val="105"/>
        </w:rPr>
        <w:t>false</w:t>
      </w:r>
      <w:r>
        <w:rPr>
          <w:color w:val="333333"/>
          <w:w w:val="105"/>
        </w:rPr>
        <w:t>, as follows:</w:t>
      </w:r>
    </w:p>
    <w:p w14:paraId="61797DE2" w14:textId="77777777" w:rsidR="00A720EB" w:rsidRDefault="00E10349">
      <w:pPr>
        <w:pStyle w:val="a3"/>
        <w:spacing w:before="11"/>
        <w:rPr>
          <w:sz w:val="17"/>
        </w:rPr>
      </w:pPr>
      <w:r>
        <w:pict w14:anchorId="02D80E6B">
          <v:group id="_x0000_s3148" style="position:absolute;margin-left:47.85pt;margin-top:12.5pt;width:499.55pt;height:37.5pt;z-index:-15217152;mso-wrap-distance-left:0;mso-wrap-distance-right:0;mso-position-horizontal-relative:page" coordorigin="957,250" coordsize="9991,750">
            <v:shape id="_x0000_s3151" style="position:absolute;left:964;top:257;width:9976;height:735" coordorigin="965,258" coordsize="9976,735" path="m10861,258r-9816,l1014,264r-26,17l971,307r-6,31l965,913r6,31l988,969r26,17l1045,993r9816,l10892,986r25,-17l10935,944r6,-31l10941,338r-6,-31l10917,281r-25,-17l10861,258xe" fillcolor="#f5f5f5" stroked="f">
              <v:path arrowok="t"/>
            </v:shape>
            <v:shape id="_x0000_s3150" style="position:absolute;left:964;top:257;width:9976;height:735" coordorigin="965,258" coordsize="9976,735" path="m1045,258r9816,l10892,264r25,17l10935,307r6,31l10941,913r-6,31l10917,969r-25,17l10861,993r-9816,l1014,986,988,969,971,944r-6,-31l965,338r6,-31l988,281r26,-17l1045,258xe" filled="f" strokecolor="#ccc">
              <v:path arrowok="t"/>
            </v:shape>
            <v:shape id="_x0000_s3149" type="#_x0000_t202" style="position:absolute;left:984;top:273;width:9938;height:704" filled="f" stroked="f">
              <v:textbox inset="0,0,0,0">
                <w:txbxContent>
                  <w:p w14:paraId="58FA0847" w14:textId="77777777" w:rsidR="00711A16" w:rsidRDefault="00711A16">
                    <w:pPr>
                      <w:spacing w:before="221"/>
                      <w:ind w:left="200"/>
                      <w:rPr>
                        <w:rFonts w:ascii="MS Gothic"/>
                      </w:rPr>
                    </w:pPr>
                    <w:proofErr w:type="gramStart"/>
                    <w:r>
                      <w:rPr>
                        <w:rFonts w:ascii="MS Gothic"/>
                        <w:color w:val="333333"/>
                      </w:rPr>
                      <w:t>management.endpoint</w:t>
                    </w:r>
                    <w:proofErr w:type="gramEnd"/>
                    <w:r>
                      <w:rPr>
                        <w:rFonts w:ascii="MS Gothic"/>
                        <w:color w:val="333333"/>
                      </w:rPr>
                      <w:t>.jolokia.enabled=false</w:t>
                    </w:r>
                  </w:p>
                </w:txbxContent>
              </v:textbox>
            </v:shape>
            <w10:wrap type="topAndBottom" anchorx="page"/>
          </v:group>
        </w:pict>
      </w:r>
    </w:p>
    <w:p w14:paraId="0CDF2537" w14:textId="77777777" w:rsidR="00A720EB" w:rsidRDefault="00A720EB">
      <w:pPr>
        <w:pStyle w:val="a3"/>
        <w:spacing w:before="11"/>
        <w:rPr>
          <w:sz w:val="16"/>
        </w:rPr>
      </w:pPr>
    </w:p>
    <w:p w14:paraId="67A367D9" w14:textId="77777777" w:rsidR="00A720EB" w:rsidRDefault="0030286B">
      <w:pPr>
        <w:pStyle w:val="2"/>
        <w:numPr>
          <w:ilvl w:val="1"/>
          <w:numId w:val="24"/>
        </w:numPr>
        <w:tabs>
          <w:tab w:val="left" w:pos="832"/>
        </w:tabs>
        <w:spacing w:before="107"/>
      </w:pPr>
      <w:bookmarkStart w:id="615" w:name="5.5._Loggers"/>
      <w:bookmarkStart w:id="616" w:name="_Toc54423858"/>
      <w:bookmarkEnd w:id="615"/>
      <w:r>
        <w:rPr>
          <w:color w:val="333333"/>
          <w:w w:val="110"/>
        </w:rPr>
        <w:t>Loggers</w:t>
      </w:r>
      <w:bookmarkEnd w:id="616"/>
    </w:p>
    <w:p w14:paraId="02D3EADE" w14:textId="77777777" w:rsidR="00A720EB" w:rsidRDefault="0030286B">
      <w:pPr>
        <w:pStyle w:val="a3"/>
        <w:spacing w:before="253" w:line="307" w:lineRule="auto"/>
        <w:ind w:left="124" w:right="126"/>
        <w:jc w:val="both"/>
      </w:pPr>
      <w:r>
        <w:rPr>
          <w:color w:val="333333"/>
          <w:w w:val="110"/>
        </w:rPr>
        <w:t xml:space="preserve">Spring Boot Actuator includes the ability to view and configure the log levels of your application at runtime. </w:t>
      </w:r>
      <w:proofErr w:type="gramStart"/>
      <w:r>
        <w:rPr>
          <w:color w:val="333333"/>
          <w:spacing w:val="-6"/>
          <w:w w:val="110"/>
        </w:rPr>
        <w:t xml:space="preserve">You  </w:t>
      </w:r>
      <w:r>
        <w:rPr>
          <w:color w:val="333333"/>
          <w:w w:val="110"/>
        </w:rPr>
        <w:t>can</w:t>
      </w:r>
      <w:proofErr w:type="gramEnd"/>
      <w:r>
        <w:rPr>
          <w:color w:val="333333"/>
          <w:w w:val="110"/>
        </w:rPr>
        <w:t xml:space="preserve"> view either the entire list or an individual logger’s configuration, which is made    up of both the explicitly configured logging level as well as the effective logging level given to it </w:t>
      </w:r>
      <w:r>
        <w:rPr>
          <w:color w:val="333333"/>
          <w:spacing w:val="-3"/>
          <w:w w:val="110"/>
        </w:rPr>
        <w:t xml:space="preserve">by  </w:t>
      </w:r>
      <w:r>
        <w:rPr>
          <w:color w:val="333333"/>
          <w:w w:val="110"/>
        </w:rPr>
        <w:t>the logging framework. These levels can be one</w:t>
      </w:r>
      <w:r>
        <w:rPr>
          <w:color w:val="333333"/>
          <w:spacing w:val="26"/>
          <w:w w:val="110"/>
        </w:rPr>
        <w:t xml:space="preserve"> </w:t>
      </w:r>
      <w:r>
        <w:rPr>
          <w:color w:val="333333"/>
          <w:w w:val="110"/>
        </w:rPr>
        <w:t>of:</w:t>
      </w:r>
    </w:p>
    <w:p w14:paraId="16E603DE" w14:textId="77777777" w:rsidR="00A720EB" w:rsidRDefault="0030286B">
      <w:pPr>
        <w:pStyle w:val="a6"/>
        <w:numPr>
          <w:ilvl w:val="0"/>
          <w:numId w:val="23"/>
        </w:numPr>
        <w:tabs>
          <w:tab w:val="left" w:pos="485"/>
        </w:tabs>
        <w:spacing w:before="231"/>
        <w:rPr>
          <w:rFonts w:ascii="MS Gothic" w:hAnsi="MS Gothic"/>
          <w:sz w:val="21"/>
        </w:rPr>
      </w:pPr>
      <w:r>
        <w:rPr>
          <w:rFonts w:ascii="MS Gothic" w:hAnsi="MS Gothic"/>
          <w:color w:val="B02045"/>
          <w:sz w:val="21"/>
        </w:rPr>
        <w:t>TRACE</w:t>
      </w:r>
    </w:p>
    <w:p w14:paraId="112F1E7D" w14:textId="77777777" w:rsidR="00A720EB" w:rsidRDefault="0030286B">
      <w:pPr>
        <w:pStyle w:val="a6"/>
        <w:numPr>
          <w:ilvl w:val="0"/>
          <w:numId w:val="23"/>
        </w:numPr>
        <w:tabs>
          <w:tab w:val="left" w:pos="485"/>
        </w:tabs>
        <w:spacing w:before="167"/>
        <w:rPr>
          <w:rFonts w:ascii="MS Gothic" w:hAnsi="MS Gothic"/>
          <w:sz w:val="21"/>
        </w:rPr>
      </w:pPr>
      <w:r>
        <w:rPr>
          <w:rFonts w:ascii="MS Gothic" w:hAnsi="MS Gothic"/>
          <w:color w:val="B02045"/>
          <w:sz w:val="21"/>
        </w:rPr>
        <w:t>DEBUG</w:t>
      </w:r>
    </w:p>
    <w:p w14:paraId="57B16CC9" w14:textId="77777777" w:rsidR="00A720EB" w:rsidRDefault="0030286B">
      <w:pPr>
        <w:pStyle w:val="a6"/>
        <w:numPr>
          <w:ilvl w:val="0"/>
          <w:numId w:val="23"/>
        </w:numPr>
        <w:tabs>
          <w:tab w:val="left" w:pos="485"/>
        </w:tabs>
        <w:spacing w:before="166"/>
        <w:rPr>
          <w:rFonts w:ascii="MS Gothic" w:hAnsi="MS Gothic"/>
          <w:sz w:val="21"/>
        </w:rPr>
      </w:pPr>
      <w:r>
        <w:rPr>
          <w:rFonts w:ascii="MS Gothic" w:hAnsi="MS Gothic"/>
          <w:color w:val="B02045"/>
          <w:sz w:val="21"/>
        </w:rPr>
        <w:t>INFO</w:t>
      </w:r>
    </w:p>
    <w:p w14:paraId="4CA750E2" w14:textId="77777777" w:rsidR="00A720EB" w:rsidRDefault="0030286B">
      <w:pPr>
        <w:pStyle w:val="a6"/>
        <w:numPr>
          <w:ilvl w:val="0"/>
          <w:numId w:val="23"/>
        </w:numPr>
        <w:tabs>
          <w:tab w:val="left" w:pos="485"/>
        </w:tabs>
        <w:spacing w:before="167"/>
        <w:rPr>
          <w:rFonts w:ascii="MS Gothic" w:hAnsi="MS Gothic"/>
          <w:sz w:val="21"/>
        </w:rPr>
      </w:pPr>
      <w:r>
        <w:rPr>
          <w:rFonts w:ascii="MS Gothic" w:hAnsi="MS Gothic"/>
          <w:color w:val="B02045"/>
          <w:sz w:val="21"/>
        </w:rPr>
        <w:t>WARN</w:t>
      </w:r>
    </w:p>
    <w:p w14:paraId="49D6BD3A" w14:textId="77777777" w:rsidR="00A720EB" w:rsidRDefault="0030286B">
      <w:pPr>
        <w:pStyle w:val="a6"/>
        <w:numPr>
          <w:ilvl w:val="0"/>
          <w:numId w:val="23"/>
        </w:numPr>
        <w:tabs>
          <w:tab w:val="left" w:pos="485"/>
        </w:tabs>
        <w:spacing w:before="166"/>
        <w:rPr>
          <w:rFonts w:ascii="MS Gothic" w:hAnsi="MS Gothic"/>
          <w:sz w:val="21"/>
        </w:rPr>
      </w:pPr>
      <w:r>
        <w:rPr>
          <w:rFonts w:ascii="MS Gothic" w:hAnsi="MS Gothic"/>
          <w:color w:val="B02045"/>
          <w:sz w:val="21"/>
        </w:rPr>
        <w:t>ERROR</w:t>
      </w:r>
    </w:p>
    <w:p w14:paraId="4E262CB7" w14:textId="77777777" w:rsidR="00A720EB" w:rsidRDefault="0030286B">
      <w:pPr>
        <w:pStyle w:val="a6"/>
        <w:numPr>
          <w:ilvl w:val="0"/>
          <w:numId w:val="23"/>
        </w:numPr>
        <w:tabs>
          <w:tab w:val="left" w:pos="485"/>
        </w:tabs>
        <w:spacing w:before="167"/>
        <w:rPr>
          <w:rFonts w:ascii="MS Gothic" w:hAnsi="MS Gothic"/>
          <w:sz w:val="21"/>
        </w:rPr>
      </w:pPr>
      <w:r>
        <w:rPr>
          <w:rFonts w:ascii="MS Gothic" w:hAnsi="MS Gothic"/>
          <w:color w:val="B02045"/>
          <w:sz w:val="21"/>
        </w:rPr>
        <w:t>FATAL</w:t>
      </w:r>
    </w:p>
    <w:p w14:paraId="298E4FBC" w14:textId="77777777" w:rsidR="00A720EB" w:rsidRDefault="0030286B">
      <w:pPr>
        <w:pStyle w:val="a6"/>
        <w:numPr>
          <w:ilvl w:val="0"/>
          <w:numId w:val="23"/>
        </w:numPr>
        <w:tabs>
          <w:tab w:val="left" w:pos="485"/>
        </w:tabs>
        <w:spacing w:before="166"/>
        <w:rPr>
          <w:rFonts w:ascii="MS Gothic" w:hAnsi="MS Gothic"/>
          <w:sz w:val="21"/>
        </w:rPr>
      </w:pPr>
      <w:r>
        <w:rPr>
          <w:rFonts w:ascii="MS Gothic" w:hAnsi="MS Gothic"/>
          <w:color w:val="B02045"/>
          <w:sz w:val="21"/>
        </w:rPr>
        <w:t>OFF</w:t>
      </w:r>
    </w:p>
    <w:p w14:paraId="53959E50" w14:textId="77777777" w:rsidR="00A720EB" w:rsidRDefault="0030286B">
      <w:pPr>
        <w:pStyle w:val="a6"/>
        <w:numPr>
          <w:ilvl w:val="0"/>
          <w:numId w:val="23"/>
        </w:numPr>
        <w:tabs>
          <w:tab w:val="left" w:pos="485"/>
        </w:tabs>
        <w:spacing w:before="167"/>
        <w:rPr>
          <w:rFonts w:ascii="MS Gothic" w:hAnsi="MS Gothic"/>
          <w:sz w:val="21"/>
        </w:rPr>
      </w:pPr>
      <w:r>
        <w:rPr>
          <w:rFonts w:ascii="MS Gothic" w:hAnsi="MS Gothic"/>
          <w:color w:val="B02045"/>
          <w:sz w:val="21"/>
        </w:rPr>
        <w:t>null</w:t>
      </w:r>
    </w:p>
    <w:p w14:paraId="2DE733B0" w14:textId="77777777" w:rsidR="00A720EB" w:rsidRDefault="00A720EB">
      <w:pPr>
        <w:pStyle w:val="a3"/>
        <w:spacing w:before="4"/>
        <w:rPr>
          <w:rFonts w:ascii="MS Gothic"/>
          <w:sz w:val="22"/>
        </w:rPr>
      </w:pPr>
    </w:p>
    <w:p w14:paraId="19B6AB80" w14:textId="77777777" w:rsidR="00A720EB" w:rsidRDefault="0030286B">
      <w:pPr>
        <w:pStyle w:val="a3"/>
        <w:spacing w:before="1"/>
        <w:ind w:left="124"/>
        <w:jc w:val="both"/>
      </w:pPr>
      <w:r>
        <w:rPr>
          <w:rFonts w:ascii="MS Gothic"/>
          <w:color w:val="B02045"/>
          <w:w w:val="110"/>
        </w:rPr>
        <w:t xml:space="preserve">null </w:t>
      </w:r>
      <w:r>
        <w:rPr>
          <w:color w:val="333333"/>
          <w:w w:val="110"/>
        </w:rPr>
        <w:t>indicates that there is no explicit configuration.</w:t>
      </w:r>
    </w:p>
    <w:p w14:paraId="0FDE08B2" w14:textId="77777777" w:rsidR="00A720EB" w:rsidRDefault="00A720EB">
      <w:pPr>
        <w:pStyle w:val="a3"/>
        <w:spacing w:before="6"/>
        <w:rPr>
          <w:sz w:val="30"/>
        </w:rPr>
      </w:pPr>
    </w:p>
    <w:p w14:paraId="54005B2C" w14:textId="77777777" w:rsidR="00A720EB" w:rsidRDefault="0030286B">
      <w:pPr>
        <w:pStyle w:val="3"/>
        <w:numPr>
          <w:ilvl w:val="2"/>
          <w:numId w:val="24"/>
        </w:numPr>
        <w:tabs>
          <w:tab w:val="left" w:pos="858"/>
        </w:tabs>
        <w:ind w:hanging="734"/>
      </w:pPr>
      <w:bookmarkStart w:id="617" w:name="5.5.1._Configure_a_Logger"/>
      <w:bookmarkStart w:id="618" w:name="_Toc54423859"/>
      <w:bookmarkEnd w:id="617"/>
      <w:r>
        <w:rPr>
          <w:color w:val="333333"/>
          <w:w w:val="110"/>
        </w:rPr>
        <w:t>Configure a</w:t>
      </w:r>
      <w:r>
        <w:rPr>
          <w:color w:val="333333"/>
          <w:spacing w:val="-11"/>
          <w:w w:val="110"/>
        </w:rPr>
        <w:t xml:space="preserve"> </w:t>
      </w:r>
      <w:r>
        <w:rPr>
          <w:color w:val="333333"/>
          <w:w w:val="110"/>
        </w:rPr>
        <w:t>Logger</w:t>
      </w:r>
      <w:bookmarkEnd w:id="618"/>
    </w:p>
    <w:p w14:paraId="2CB67DE7" w14:textId="77777777" w:rsidR="00A720EB" w:rsidRDefault="0030286B">
      <w:pPr>
        <w:pStyle w:val="a3"/>
        <w:spacing w:before="243" w:line="290" w:lineRule="auto"/>
        <w:ind w:left="124" w:right="126"/>
        <w:jc w:val="both"/>
      </w:pPr>
      <w:r>
        <w:rPr>
          <w:color w:val="333333"/>
          <w:w w:val="110"/>
        </w:rPr>
        <w:t xml:space="preserve">To configure a given logger, </w:t>
      </w:r>
      <w:r>
        <w:rPr>
          <w:rFonts w:ascii="MS Gothic" w:hAnsi="MS Gothic"/>
          <w:color w:val="B02045"/>
          <w:w w:val="110"/>
        </w:rPr>
        <w:t xml:space="preserve">POST </w:t>
      </w:r>
      <w:r>
        <w:rPr>
          <w:color w:val="333333"/>
          <w:w w:val="110"/>
        </w:rPr>
        <w:t>a partial entity to the resource’s URI, as shown in the following example:</w:t>
      </w:r>
    </w:p>
    <w:p w14:paraId="7008D55E" w14:textId="77777777" w:rsidR="00A720EB" w:rsidRDefault="00A720EB">
      <w:pPr>
        <w:spacing w:line="290" w:lineRule="auto"/>
        <w:jc w:val="both"/>
        <w:sectPr w:rsidR="00A720EB">
          <w:pgSz w:w="11910" w:h="16840"/>
          <w:pgMar w:top="620" w:right="840" w:bottom="520" w:left="840" w:header="0" w:footer="323" w:gutter="0"/>
          <w:cols w:space="720"/>
        </w:sectPr>
      </w:pPr>
    </w:p>
    <w:p w14:paraId="1DEE57CF" w14:textId="77777777" w:rsidR="00A720EB" w:rsidRDefault="00E10349">
      <w:pPr>
        <w:pStyle w:val="a3"/>
        <w:ind w:left="116"/>
        <w:rPr>
          <w:sz w:val="20"/>
        </w:rPr>
      </w:pPr>
      <w:r>
        <w:rPr>
          <w:sz w:val="20"/>
        </w:rPr>
      </w:r>
      <w:r>
        <w:rPr>
          <w:sz w:val="20"/>
        </w:rPr>
        <w:pict w14:anchorId="6793DBB4">
          <v:group id="_x0000_s3144" style="width:499.55pt;height:67pt;mso-position-horizontal-relative:char;mso-position-vertical-relative:line" coordsize="9991,1340">
            <v:shape id="_x0000_s3147" style="position:absolute;left:7;top:7;width:9976;height:1325" coordorigin="8,8" coordsize="9976,1325" path="m9904,8l88,8,56,14,31,31,14,56,8,88r,1164l14,1283r17,25l56,1326r32,6l9904,1332r31,-6l9960,1308r17,-25l9984,1252r,-1164l9977,56,9960,31,9935,14,9904,8xe" fillcolor="#f5f5f5" stroked="f">
              <v:path arrowok="t"/>
            </v:shape>
            <v:shape id="_x0000_s3146" style="position:absolute;left:7;top:7;width:9976;height:1325" coordorigin="8,8" coordsize="9976,1325" path="m88,8r9816,l9935,14r25,17l9977,56r7,32l9984,1252r-7,31l9960,1308r-25,18l9904,1332r-9816,l56,1326,31,1308,14,1283,8,1252,8,88,14,56,31,31,56,14,88,8xe" filled="f" strokecolor="#ccc">
              <v:path arrowok="t"/>
            </v:shape>
            <v:shape id="_x0000_s3145" type="#_x0000_t202" style="position:absolute;left:26;top:22;width:9938;height:1294" filled="f" stroked="f">
              <v:textbox inset="0,0,0,0">
                <w:txbxContent>
                  <w:p w14:paraId="5B6B29E9" w14:textId="77777777" w:rsidR="00711A16" w:rsidRDefault="00711A16">
                    <w:pPr>
                      <w:spacing w:before="221"/>
                      <w:ind w:left="200"/>
                      <w:rPr>
                        <w:rFonts w:ascii="MS Gothic"/>
                      </w:rPr>
                    </w:pPr>
                    <w:r>
                      <w:rPr>
                        <w:rFonts w:ascii="MS Gothic"/>
                        <w:color w:val="333333"/>
                      </w:rPr>
                      <w:t>{</w:t>
                    </w:r>
                  </w:p>
                  <w:p w14:paraId="3933B566" w14:textId="77777777" w:rsidR="00711A16" w:rsidRDefault="00711A16">
                    <w:pPr>
                      <w:spacing w:before="13"/>
                      <w:ind w:left="640"/>
                      <w:rPr>
                        <w:rFonts w:ascii="MS Gothic"/>
                      </w:rPr>
                    </w:pPr>
                    <w:r>
                      <w:rPr>
                        <w:rFonts w:ascii="MS Gothic"/>
                        <w:color w:val="333333"/>
                      </w:rPr>
                      <w:t>"configuredLevel": "DEBUG"</w:t>
                    </w:r>
                  </w:p>
                  <w:p w14:paraId="0FC2D729" w14:textId="77777777" w:rsidR="00711A16" w:rsidRDefault="00711A16">
                    <w:pPr>
                      <w:spacing w:before="13"/>
                      <w:ind w:left="200"/>
                      <w:rPr>
                        <w:rFonts w:ascii="MS Gothic"/>
                      </w:rPr>
                    </w:pPr>
                    <w:r>
                      <w:rPr>
                        <w:rFonts w:ascii="MS Gothic"/>
                        <w:color w:val="333333"/>
                      </w:rPr>
                      <w:t>}</w:t>
                    </w:r>
                  </w:p>
                </w:txbxContent>
              </v:textbox>
            </v:shape>
            <w10:anchorlock/>
          </v:group>
        </w:pict>
      </w:r>
    </w:p>
    <w:p w14:paraId="5BAB5FF6" w14:textId="77777777" w:rsidR="00A720EB" w:rsidRDefault="00A720EB">
      <w:pPr>
        <w:pStyle w:val="a3"/>
        <w:spacing w:before="3"/>
        <w:rPr>
          <w:sz w:val="16"/>
        </w:rPr>
      </w:pPr>
    </w:p>
    <w:p w14:paraId="588D504F" w14:textId="77777777" w:rsidR="00A720EB" w:rsidRDefault="00E10349">
      <w:pPr>
        <w:pStyle w:val="a3"/>
        <w:spacing w:before="125" w:line="297" w:lineRule="auto"/>
        <w:ind w:left="1564" w:right="462"/>
      </w:pPr>
      <w:r>
        <w:pict w14:anchorId="2E607AF5">
          <v:line id="_x0000_s3143" style="position:absolute;left:0;text-align:left;z-index:16242176;mso-position-horizontal-relative:page" from="108.25pt,.25pt" to="108.25pt,39.8pt" strokecolor="#ededed" strokeweight=".5pt">
            <w10:wrap anchorx="page"/>
          </v:line>
        </w:pict>
      </w:r>
      <w:r w:rsidR="0030286B">
        <w:rPr>
          <w:noProof/>
        </w:rPr>
        <w:drawing>
          <wp:anchor distT="0" distB="0" distL="0" distR="0" simplePos="0" relativeHeight="16242688" behindDoc="0" locked="0" layoutInCell="1" allowOverlap="1" wp14:anchorId="4659D86E" wp14:editId="7FD0BC1D">
            <wp:simplePos x="0" y="0"/>
            <wp:positionH relativeFrom="page">
              <wp:posOffset>888949</wp:posOffset>
            </wp:positionH>
            <wp:positionV relativeFrom="paragraph">
              <wp:posOffset>102146</wp:posOffset>
            </wp:positionV>
            <wp:extent cx="209550" cy="304800"/>
            <wp:effectExtent l="0" t="0" r="0" b="0"/>
            <wp:wrapNone/>
            <wp:docPr id="6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4"/>
          <w:w w:val="110"/>
        </w:rPr>
        <w:t xml:space="preserve">To </w:t>
      </w:r>
      <w:r w:rsidR="0030286B">
        <w:rPr>
          <w:color w:val="333333"/>
          <w:w w:val="110"/>
        </w:rPr>
        <w:t>“reset” the specific level of the logger (and use the default</w:t>
      </w:r>
      <w:r w:rsidR="0030286B">
        <w:rPr>
          <w:color w:val="333333"/>
          <w:spacing w:val="50"/>
          <w:w w:val="110"/>
        </w:rPr>
        <w:t xml:space="preserve"> </w:t>
      </w:r>
      <w:proofErr w:type="gramStart"/>
      <w:r w:rsidR="0030286B">
        <w:rPr>
          <w:color w:val="333333"/>
          <w:w w:val="110"/>
        </w:rPr>
        <w:t>configuration  instead</w:t>
      </w:r>
      <w:proofErr w:type="gramEnd"/>
      <w:r w:rsidR="0030286B">
        <w:rPr>
          <w:color w:val="333333"/>
          <w:w w:val="110"/>
        </w:rPr>
        <w:t xml:space="preserve">), you can pass a value of </w:t>
      </w:r>
      <w:r w:rsidR="0030286B">
        <w:rPr>
          <w:rFonts w:ascii="MS Gothic" w:hAnsi="MS Gothic"/>
          <w:color w:val="B02045"/>
          <w:w w:val="110"/>
        </w:rPr>
        <w:t>null</w:t>
      </w:r>
      <w:r w:rsidR="0030286B">
        <w:rPr>
          <w:rFonts w:ascii="MS Gothic" w:hAnsi="MS Gothic"/>
          <w:color w:val="B02045"/>
          <w:spacing w:val="-65"/>
          <w:w w:val="110"/>
        </w:rPr>
        <w:t xml:space="preserve"> </w:t>
      </w:r>
      <w:r w:rsidR="0030286B">
        <w:rPr>
          <w:color w:val="333333"/>
          <w:w w:val="110"/>
        </w:rPr>
        <w:t xml:space="preserve">as the </w:t>
      </w:r>
      <w:r w:rsidR="0030286B">
        <w:rPr>
          <w:rFonts w:ascii="MS Gothic" w:hAnsi="MS Gothic"/>
          <w:color w:val="B02045"/>
          <w:w w:val="110"/>
        </w:rPr>
        <w:t>configuredLevel</w:t>
      </w:r>
      <w:r w:rsidR="0030286B">
        <w:rPr>
          <w:color w:val="333333"/>
          <w:w w:val="110"/>
        </w:rPr>
        <w:t>.</w:t>
      </w:r>
    </w:p>
    <w:p w14:paraId="404ECEC6" w14:textId="77777777" w:rsidR="00A720EB" w:rsidRDefault="00A720EB">
      <w:pPr>
        <w:pStyle w:val="a3"/>
        <w:rPr>
          <w:sz w:val="32"/>
        </w:rPr>
      </w:pPr>
    </w:p>
    <w:p w14:paraId="2A5F673C" w14:textId="77777777" w:rsidR="00A720EB" w:rsidRDefault="0030286B">
      <w:pPr>
        <w:pStyle w:val="2"/>
        <w:numPr>
          <w:ilvl w:val="1"/>
          <w:numId w:val="24"/>
        </w:numPr>
        <w:tabs>
          <w:tab w:val="left" w:pos="832"/>
        </w:tabs>
      </w:pPr>
      <w:bookmarkStart w:id="619" w:name="5.6._Metrics"/>
      <w:bookmarkStart w:id="620" w:name="_Toc54423860"/>
      <w:bookmarkEnd w:id="619"/>
      <w:r>
        <w:rPr>
          <w:color w:val="333333"/>
          <w:w w:val="110"/>
        </w:rPr>
        <w:t>Metrics</w:t>
      </w:r>
      <w:bookmarkEnd w:id="620"/>
    </w:p>
    <w:p w14:paraId="29083274" w14:textId="77777777" w:rsidR="00A720EB" w:rsidRDefault="0030286B">
      <w:pPr>
        <w:pStyle w:val="a3"/>
        <w:spacing w:before="254" w:line="307" w:lineRule="auto"/>
        <w:ind w:left="124"/>
      </w:pPr>
      <w:r>
        <w:rPr>
          <w:color w:val="333333"/>
          <w:w w:val="110"/>
        </w:rPr>
        <w:t xml:space="preserve">Spring Boot Actuator provides dependency management and auto-configuration for </w:t>
      </w:r>
      <w:hyperlink r:id="rId477">
        <w:r>
          <w:rPr>
            <w:color w:val="418BCA"/>
            <w:w w:val="110"/>
          </w:rPr>
          <w:t>Micrometer</w:t>
        </w:r>
      </w:hyperlink>
      <w:r>
        <w:rPr>
          <w:color w:val="333333"/>
          <w:w w:val="110"/>
        </w:rPr>
        <w:t xml:space="preserve">, an application metrics facade that supports </w:t>
      </w:r>
      <w:hyperlink r:id="rId478">
        <w:r>
          <w:rPr>
            <w:color w:val="418BCA"/>
            <w:w w:val="110"/>
          </w:rPr>
          <w:t>numerous monitoring systems</w:t>
        </w:r>
      </w:hyperlink>
      <w:r>
        <w:rPr>
          <w:color w:val="333333"/>
          <w:w w:val="110"/>
        </w:rPr>
        <w:t>, including:</w:t>
      </w:r>
    </w:p>
    <w:p w14:paraId="3A8454D2" w14:textId="77777777" w:rsidR="00A720EB" w:rsidRDefault="00E10349">
      <w:pPr>
        <w:pStyle w:val="a6"/>
        <w:numPr>
          <w:ilvl w:val="0"/>
          <w:numId w:val="22"/>
        </w:numPr>
        <w:tabs>
          <w:tab w:val="left" w:pos="485"/>
        </w:tabs>
        <w:spacing w:before="240"/>
        <w:rPr>
          <w:sz w:val="21"/>
        </w:rPr>
      </w:pPr>
      <w:hyperlink w:anchor="_bookmark424" w:history="1">
        <w:r w:rsidR="0030286B">
          <w:rPr>
            <w:color w:val="418BCA"/>
            <w:w w:val="110"/>
            <w:sz w:val="21"/>
          </w:rPr>
          <w:t>AppOptics</w:t>
        </w:r>
      </w:hyperlink>
    </w:p>
    <w:p w14:paraId="01B6DD7A" w14:textId="77777777" w:rsidR="00A720EB" w:rsidRDefault="00E10349">
      <w:pPr>
        <w:pStyle w:val="a6"/>
        <w:numPr>
          <w:ilvl w:val="0"/>
          <w:numId w:val="22"/>
        </w:numPr>
        <w:tabs>
          <w:tab w:val="left" w:pos="485"/>
        </w:tabs>
        <w:spacing w:before="190"/>
        <w:rPr>
          <w:sz w:val="21"/>
        </w:rPr>
      </w:pPr>
      <w:hyperlink w:anchor="_bookmark425" w:history="1">
        <w:r w:rsidR="0030286B">
          <w:rPr>
            <w:color w:val="418BCA"/>
            <w:w w:val="110"/>
            <w:sz w:val="21"/>
          </w:rPr>
          <w:t>Atlas</w:t>
        </w:r>
      </w:hyperlink>
    </w:p>
    <w:p w14:paraId="5F5B34FC" w14:textId="77777777" w:rsidR="00A720EB" w:rsidRDefault="00E10349">
      <w:pPr>
        <w:pStyle w:val="a6"/>
        <w:numPr>
          <w:ilvl w:val="0"/>
          <w:numId w:val="22"/>
        </w:numPr>
        <w:tabs>
          <w:tab w:val="left" w:pos="485"/>
        </w:tabs>
        <w:spacing w:before="189"/>
        <w:rPr>
          <w:sz w:val="21"/>
        </w:rPr>
      </w:pPr>
      <w:hyperlink w:anchor="_bookmark426" w:history="1">
        <w:r w:rsidR="0030286B">
          <w:rPr>
            <w:color w:val="418BCA"/>
            <w:w w:val="110"/>
            <w:sz w:val="21"/>
          </w:rPr>
          <w:t>Datadog</w:t>
        </w:r>
      </w:hyperlink>
    </w:p>
    <w:p w14:paraId="490C9312" w14:textId="77777777" w:rsidR="00A720EB" w:rsidRDefault="00E10349">
      <w:pPr>
        <w:pStyle w:val="a6"/>
        <w:numPr>
          <w:ilvl w:val="0"/>
          <w:numId w:val="22"/>
        </w:numPr>
        <w:tabs>
          <w:tab w:val="left" w:pos="485"/>
        </w:tabs>
        <w:spacing w:before="190"/>
        <w:rPr>
          <w:sz w:val="21"/>
        </w:rPr>
      </w:pPr>
      <w:hyperlink w:anchor="_bookmark427" w:history="1">
        <w:r w:rsidR="0030286B">
          <w:rPr>
            <w:color w:val="418BCA"/>
            <w:w w:val="110"/>
            <w:sz w:val="21"/>
          </w:rPr>
          <w:t>Dynatrace</w:t>
        </w:r>
      </w:hyperlink>
    </w:p>
    <w:p w14:paraId="0272FD1F" w14:textId="77777777" w:rsidR="00A720EB" w:rsidRDefault="00E10349">
      <w:pPr>
        <w:pStyle w:val="a6"/>
        <w:numPr>
          <w:ilvl w:val="0"/>
          <w:numId w:val="22"/>
        </w:numPr>
        <w:tabs>
          <w:tab w:val="left" w:pos="485"/>
        </w:tabs>
        <w:spacing w:before="189"/>
        <w:rPr>
          <w:sz w:val="21"/>
        </w:rPr>
      </w:pPr>
      <w:hyperlink w:anchor="_bookmark428" w:history="1">
        <w:r w:rsidR="0030286B">
          <w:rPr>
            <w:color w:val="418BCA"/>
            <w:w w:val="110"/>
            <w:sz w:val="21"/>
          </w:rPr>
          <w:t>Elastic</w:t>
        </w:r>
      </w:hyperlink>
    </w:p>
    <w:p w14:paraId="1065511A" w14:textId="77777777" w:rsidR="00A720EB" w:rsidRDefault="00E10349">
      <w:pPr>
        <w:pStyle w:val="a6"/>
        <w:numPr>
          <w:ilvl w:val="0"/>
          <w:numId w:val="22"/>
        </w:numPr>
        <w:tabs>
          <w:tab w:val="left" w:pos="485"/>
        </w:tabs>
        <w:spacing w:before="189"/>
        <w:rPr>
          <w:sz w:val="21"/>
        </w:rPr>
      </w:pPr>
      <w:hyperlink w:anchor="_bookmark429" w:history="1">
        <w:r w:rsidR="0030286B">
          <w:rPr>
            <w:color w:val="418BCA"/>
            <w:w w:val="115"/>
            <w:sz w:val="21"/>
          </w:rPr>
          <w:t>Ganglia</w:t>
        </w:r>
      </w:hyperlink>
    </w:p>
    <w:p w14:paraId="19E506D3" w14:textId="77777777" w:rsidR="00A720EB" w:rsidRDefault="00E10349">
      <w:pPr>
        <w:pStyle w:val="a6"/>
        <w:numPr>
          <w:ilvl w:val="0"/>
          <w:numId w:val="22"/>
        </w:numPr>
        <w:tabs>
          <w:tab w:val="left" w:pos="485"/>
        </w:tabs>
        <w:spacing w:before="190"/>
        <w:rPr>
          <w:sz w:val="21"/>
        </w:rPr>
      </w:pPr>
      <w:hyperlink w:anchor="_bookmark430" w:history="1">
        <w:r w:rsidR="0030286B">
          <w:rPr>
            <w:color w:val="418BCA"/>
            <w:w w:val="115"/>
            <w:sz w:val="21"/>
          </w:rPr>
          <w:t>Graphite</w:t>
        </w:r>
      </w:hyperlink>
    </w:p>
    <w:p w14:paraId="024395DD" w14:textId="77777777" w:rsidR="00A720EB" w:rsidRDefault="00E10349">
      <w:pPr>
        <w:pStyle w:val="a6"/>
        <w:numPr>
          <w:ilvl w:val="0"/>
          <w:numId w:val="22"/>
        </w:numPr>
        <w:tabs>
          <w:tab w:val="left" w:pos="485"/>
        </w:tabs>
        <w:spacing w:before="189"/>
        <w:rPr>
          <w:sz w:val="21"/>
        </w:rPr>
      </w:pPr>
      <w:hyperlink w:anchor="_bookmark431" w:history="1">
        <w:r w:rsidR="0030286B">
          <w:rPr>
            <w:color w:val="418BCA"/>
            <w:w w:val="115"/>
            <w:sz w:val="21"/>
          </w:rPr>
          <w:t>Humio</w:t>
        </w:r>
      </w:hyperlink>
    </w:p>
    <w:p w14:paraId="75D8DE27" w14:textId="77777777" w:rsidR="00A720EB" w:rsidRDefault="00E10349">
      <w:pPr>
        <w:pStyle w:val="a6"/>
        <w:numPr>
          <w:ilvl w:val="0"/>
          <w:numId w:val="22"/>
        </w:numPr>
        <w:tabs>
          <w:tab w:val="left" w:pos="485"/>
        </w:tabs>
        <w:spacing w:before="190"/>
        <w:rPr>
          <w:sz w:val="21"/>
        </w:rPr>
      </w:pPr>
      <w:hyperlink w:anchor="_bookmark432" w:history="1">
        <w:r w:rsidR="0030286B">
          <w:rPr>
            <w:color w:val="418BCA"/>
            <w:w w:val="115"/>
            <w:sz w:val="21"/>
          </w:rPr>
          <w:t>Influx</w:t>
        </w:r>
      </w:hyperlink>
    </w:p>
    <w:p w14:paraId="1BCF7815" w14:textId="77777777" w:rsidR="00A720EB" w:rsidRDefault="00E10349">
      <w:pPr>
        <w:pStyle w:val="a6"/>
        <w:numPr>
          <w:ilvl w:val="0"/>
          <w:numId w:val="22"/>
        </w:numPr>
        <w:tabs>
          <w:tab w:val="left" w:pos="485"/>
        </w:tabs>
        <w:spacing w:before="189"/>
        <w:rPr>
          <w:sz w:val="21"/>
        </w:rPr>
      </w:pPr>
      <w:hyperlink w:anchor="_bookmark433" w:history="1">
        <w:r w:rsidR="0030286B">
          <w:rPr>
            <w:color w:val="418BCA"/>
            <w:w w:val="115"/>
            <w:sz w:val="21"/>
          </w:rPr>
          <w:t>JMX</w:t>
        </w:r>
      </w:hyperlink>
    </w:p>
    <w:p w14:paraId="013E760E" w14:textId="77777777" w:rsidR="00A720EB" w:rsidRDefault="00E10349">
      <w:pPr>
        <w:pStyle w:val="a6"/>
        <w:numPr>
          <w:ilvl w:val="0"/>
          <w:numId w:val="22"/>
        </w:numPr>
        <w:tabs>
          <w:tab w:val="left" w:pos="485"/>
        </w:tabs>
        <w:spacing w:before="189"/>
        <w:rPr>
          <w:sz w:val="21"/>
        </w:rPr>
      </w:pPr>
      <w:hyperlink w:anchor="_bookmark434" w:history="1">
        <w:r w:rsidR="0030286B">
          <w:rPr>
            <w:color w:val="418BCA"/>
            <w:w w:val="110"/>
            <w:sz w:val="21"/>
          </w:rPr>
          <w:t>KairosDB</w:t>
        </w:r>
      </w:hyperlink>
    </w:p>
    <w:p w14:paraId="5443A1F2" w14:textId="77777777" w:rsidR="00A720EB" w:rsidRDefault="00E10349">
      <w:pPr>
        <w:pStyle w:val="a6"/>
        <w:numPr>
          <w:ilvl w:val="0"/>
          <w:numId w:val="22"/>
        </w:numPr>
        <w:tabs>
          <w:tab w:val="left" w:pos="485"/>
        </w:tabs>
        <w:spacing w:before="190"/>
        <w:rPr>
          <w:sz w:val="21"/>
        </w:rPr>
      </w:pPr>
      <w:hyperlink w:anchor="_bookmark435" w:history="1">
        <w:r w:rsidR="0030286B">
          <w:rPr>
            <w:color w:val="418BCA"/>
            <w:w w:val="110"/>
            <w:sz w:val="21"/>
          </w:rPr>
          <w:t>New</w:t>
        </w:r>
        <w:r w:rsidR="0030286B">
          <w:rPr>
            <w:color w:val="418BCA"/>
            <w:spacing w:val="3"/>
            <w:w w:val="110"/>
            <w:sz w:val="21"/>
          </w:rPr>
          <w:t xml:space="preserve"> </w:t>
        </w:r>
        <w:r w:rsidR="0030286B">
          <w:rPr>
            <w:color w:val="418BCA"/>
            <w:w w:val="110"/>
            <w:sz w:val="21"/>
          </w:rPr>
          <w:t>Relic</w:t>
        </w:r>
      </w:hyperlink>
    </w:p>
    <w:p w14:paraId="41A896DC" w14:textId="77777777" w:rsidR="00A720EB" w:rsidRDefault="00E10349">
      <w:pPr>
        <w:pStyle w:val="a6"/>
        <w:numPr>
          <w:ilvl w:val="0"/>
          <w:numId w:val="22"/>
        </w:numPr>
        <w:tabs>
          <w:tab w:val="left" w:pos="485"/>
        </w:tabs>
        <w:spacing w:before="189"/>
        <w:rPr>
          <w:sz w:val="21"/>
        </w:rPr>
      </w:pPr>
      <w:hyperlink w:anchor="_bookmark436" w:history="1">
        <w:r w:rsidR="0030286B">
          <w:rPr>
            <w:color w:val="418BCA"/>
            <w:w w:val="110"/>
            <w:sz w:val="21"/>
          </w:rPr>
          <w:t>Prometheus</w:t>
        </w:r>
      </w:hyperlink>
    </w:p>
    <w:p w14:paraId="7BB041F9" w14:textId="77777777" w:rsidR="00A720EB" w:rsidRDefault="00E10349">
      <w:pPr>
        <w:pStyle w:val="a6"/>
        <w:numPr>
          <w:ilvl w:val="0"/>
          <w:numId w:val="22"/>
        </w:numPr>
        <w:tabs>
          <w:tab w:val="left" w:pos="485"/>
        </w:tabs>
        <w:spacing w:before="190"/>
        <w:rPr>
          <w:sz w:val="21"/>
        </w:rPr>
      </w:pPr>
      <w:hyperlink w:anchor="_bookmark437" w:history="1">
        <w:r w:rsidR="0030286B">
          <w:rPr>
            <w:color w:val="418BCA"/>
            <w:w w:val="115"/>
            <w:sz w:val="21"/>
          </w:rPr>
          <w:t>SignalFx</w:t>
        </w:r>
      </w:hyperlink>
    </w:p>
    <w:p w14:paraId="33DFD54F" w14:textId="77777777" w:rsidR="00A720EB" w:rsidRDefault="00E10349">
      <w:pPr>
        <w:pStyle w:val="a6"/>
        <w:numPr>
          <w:ilvl w:val="0"/>
          <w:numId w:val="22"/>
        </w:numPr>
        <w:tabs>
          <w:tab w:val="left" w:pos="485"/>
        </w:tabs>
        <w:spacing w:before="189"/>
        <w:rPr>
          <w:sz w:val="21"/>
        </w:rPr>
      </w:pPr>
      <w:hyperlink w:anchor="_bookmark438" w:history="1">
        <w:r w:rsidR="0030286B">
          <w:rPr>
            <w:color w:val="418BCA"/>
            <w:w w:val="110"/>
            <w:sz w:val="21"/>
          </w:rPr>
          <w:t>Simple</w:t>
        </w:r>
        <w:r w:rsidR="0030286B">
          <w:rPr>
            <w:color w:val="418BCA"/>
            <w:spacing w:val="2"/>
            <w:w w:val="110"/>
            <w:sz w:val="21"/>
          </w:rPr>
          <w:t xml:space="preserve"> </w:t>
        </w:r>
        <w:r w:rsidR="0030286B">
          <w:rPr>
            <w:color w:val="418BCA"/>
            <w:w w:val="110"/>
            <w:sz w:val="21"/>
          </w:rPr>
          <w:t>(in-memory)</w:t>
        </w:r>
      </w:hyperlink>
    </w:p>
    <w:p w14:paraId="2D070840" w14:textId="77777777" w:rsidR="00A720EB" w:rsidRDefault="00E10349">
      <w:pPr>
        <w:pStyle w:val="a6"/>
        <w:numPr>
          <w:ilvl w:val="0"/>
          <w:numId w:val="22"/>
        </w:numPr>
        <w:tabs>
          <w:tab w:val="left" w:pos="485"/>
        </w:tabs>
        <w:spacing w:before="189"/>
        <w:rPr>
          <w:sz w:val="21"/>
        </w:rPr>
      </w:pPr>
      <w:hyperlink w:anchor="_bookmark439" w:history="1">
        <w:r w:rsidR="0030286B">
          <w:rPr>
            <w:color w:val="418BCA"/>
            <w:w w:val="110"/>
            <w:sz w:val="21"/>
          </w:rPr>
          <w:t>Stackdriver</w:t>
        </w:r>
      </w:hyperlink>
    </w:p>
    <w:p w14:paraId="01D43CD8" w14:textId="77777777" w:rsidR="00A720EB" w:rsidRDefault="00E10349">
      <w:pPr>
        <w:pStyle w:val="a6"/>
        <w:numPr>
          <w:ilvl w:val="0"/>
          <w:numId w:val="22"/>
        </w:numPr>
        <w:tabs>
          <w:tab w:val="left" w:pos="485"/>
        </w:tabs>
        <w:spacing w:before="190"/>
        <w:rPr>
          <w:sz w:val="21"/>
        </w:rPr>
      </w:pPr>
      <w:hyperlink w:anchor="_bookmark440" w:history="1">
        <w:r w:rsidR="0030286B">
          <w:rPr>
            <w:color w:val="418BCA"/>
            <w:w w:val="110"/>
            <w:sz w:val="21"/>
          </w:rPr>
          <w:t>StatsD</w:t>
        </w:r>
      </w:hyperlink>
    </w:p>
    <w:p w14:paraId="462EE9C8" w14:textId="77777777" w:rsidR="00A720EB" w:rsidRDefault="00E10349">
      <w:pPr>
        <w:pStyle w:val="a6"/>
        <w:numPr>
          <w:ilvl w:val="0"/>
          <w:numId w:val="22"/>
        </w:numPr>
        <w:tabs>
          <w:tab w:val="left" w:pos="485"/>
        </w:tabs>
        <w:spacing w:before="189"/>
        <w:rPr>
          <w:sz w:val="21"/>
        </w:rPr>
      </w:pPr>
      <w:hyperlink w:anchor="_bookmark441" w:history="1">
        <w:r w:rsidR="0030286B">
          <w:rPr>
            <w:color w:val="418BCA"/>
            <w:spacing w:val="-3"/>
            <w:w w:val="115"/>
            <w:sz w:val="21"/>
          </w:rPr>
          <w:t>Wavefront</w:t>
        </w:r>
      </w:hyperlink>
    </w:p>
    <w:p w14:paraId="10CB8A28" w14:textId="77777777" w:rsidR="00A720EB" w:rsidRDefault="00A720EB">
      <w:pPr>
        <w:pStyle w:val="a3"/>
        <w:spacing w:before="7"/>
        <w:rPr>
          <w:sz w:val="22"/>
        </w:rPr>
      </w:pPr>
    </w:p>
    <w:p w14:paraId="6B7FEB9B" w14:textId="77777777" w:rsidR="00A720EB" w:rsidRDefault="00E10349">
      <w:pPr>
        <w:pStyle w:val="a3"/>
        <w:spacing w:before="125" w:line="307" w:lineRule="auto"/>
        <w:ind w:left="1564"/>
      </w:pPr>
      <w:r>
        <w:pict w14:anchorId="05CDA1AB">
          <v:line id="_x0000_s3142" style="position:absolute;left:0;text-align:left;z-index:16243200;mso-position-horizontal-relative:page" from="108.25pt,.25pt" to="108.25pt,39.8pt" strokecolor="#ededed" strokeweight=".5pt">
            <w10:wrap anchorx="page"/>
          </v:line>
        </w:pict>
      </w:r>
      <w:r w:rsidR="0030286B">
        <w:rPr>
          <w:noProof/>
        </w:rPr>
        <w:drawing>
          <wp:anchor distT="0" distB="0" distL="0" distR="0" simplePos="0" relativeHeight="16243712" behindDoc="0" locked="0" layoutInCell="1" allowOverlap="1" wp14:anchorId="3CBFDDC9" wp14:editId="27AC387F">
            <wp:simplePos x="0" y="0"/>
            <wp:positionH relativeFrom="page">
              <wp:posOffset>888949</wp:posOffset>
            </wp:positionH>
            <wp:positionV relativeFrom="paragraph">
              <wp:posOffset>102146</wp:posOffset>
            </wp:positionV>
            <wp:extent cx="209550" cy="304800"/>
            <wp:effectExtent l="0" t="0" r="0" b="0"/>
            <wp:wrapNone/>
            <wp:docPr id="63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To learn more about Micrometer’s capabilities, please refer to its </w:t>
      </w:r>
      <w:hyperlink r:id="rId479">
        <w:r w:rsidR="0030286B">
          <w:rPr>
            <w:color w:val="418BCA"/>
            <w:w w:val="110"/>
          </w:rPr>
          <w:t>reference</w:t>
        </w:r>
      </w:hyperlink>
      <w:r w:rsidR="0030286B">
        <w:rPr>
          <w:color w:val="418BCA"/>
          <w:w w:val="110"/>
        </w:rPr>
        <w:t xml:space="preserve"> </w:t>
      </w:r>
      <w:hyperlink r:id="rId480">
        <w:r w:rsidR="0030286B">
          <w:rPr>
            <w:color w:val="418BCA"/>
            <w:w w:val="110"/>
          </w:rPr>
          <w:t>documentation</w:t>
        </w:r>
      </w:hyperlink>
      <w:r w:rsidR="0030286B">
        <w:rPr>
          <w:color w:val="333333"/>
          <w:w w:val="110"/>
        </w:rPr>
        <w:t xml:space="preserve">, in particular the </w:t>
      </w:r>
      <w:hyperlink r:id="rId481">
        <w:r w:rsidR="0030286B">
          <w:rPr>
            <w:color w:val="418BCA"/>
            <w:w w:val="110"/>
          </w:rPr>
          <w:t>concepts section</w:t>
        </w:r>
      </w:hyperlink>
      <w:r w:rsidR="0030286B">
        <w:rPr>
          <w:color w:val="333333"/>
          <w:w w:val="110"/>
        </w:rPr>
        <w:t>.</w:t>
      </w:r>
    </w:p>
    <w:p w14:paraId="257E99AA" w14:textId="77777777" w:rsidR="00A720EB" w:rsidRDefault="00A720EB">
      <w:pPr>
        <w:pStyle w:val="a3"/>
        <w:spacing w:before="7"/>
        <w:rPr>
          <w:sz w:val="23"/>
        </w:rPr>
      </w:pPr>
    </w:p>
    <w:p w14:paraId="04D9C815" w14:textId="77777777" w:rsidR="00A720EB" w:rsidRDefault="0030286B">
      <w:pPr>
        <w:pStyle w:val="3"/>
        <w:numPr>
          <w:ilvl w:val="2"/>
          <w:numId w:val="24"/>
        </w:numPr>
        <w:tabs>
          <w:tab w:val="left" w:pos="858"/>
        </w:tabs>
        <w:spacing w:before="105"/>
        <w:ind w:hanging="734"/>
      </w:pPr>
      <w:bookmarkStart w:id="621" w:name="5.6.1._Getting_started"/>
      <w:bookmarkStart w:id="622" w:name="_Toc54423861"/>
      <w:bookmarkEnd w:id="621"/>
      <w:r>
        <w:rPr>
          <w:color w:val="333333"/>
          <w:w w:val="115"/>
        </w:rPr>
        <w:t>Getting</w:t>
      </w:r>
      <w:r>
        <w:rPr>
          <w:color w:val="333333"/>
          <w:spacing w:val="-9"/>
          <w:w w:val="115"/>
        </w:rPr>
        <w:t xml:space="preserve"> </w:t>
      </w:r>
      <w:r>
        <w:rPr>
          <w:color w:val="333333"/>
          <w:w w:val="115"/>
        </w:rPr>
        <w:t>started</w:t>
      </w:r>
      <w:bookmarkEnd w:id="622"/>
    </w:p>
    <w:p w14:paraId="31DD7F62" w14:textId="77777777" w:rsidR="00A720EB" w:rsidRDefault="0030286B">
      <w:pPr>
        <w:pStyle w:val="a3"/>
        <w:spacing w:before="243" w:line="295" w:lineRule="auto"/>
        <w:ind w:left="124" w:right="124"/>
        <w:jc w:val="both"/>
      </w:pPr>
      <w:r>
        <w:rPr>
          <w:color w:val="333333"/>
          <w:w w:val="110"/>
        </w:rPr>
        <w:t xml:space="preserve">Spring Boot auto-configures a composite </w:t>
      </w:r>
      <w:r>
        <w:rPr>
          <w:rFonts w:ascii="MS Gothic"/>
          <w:color w:val="B02045"/>
          <w:w w:val="110"/>
        </w:rPr>
        <w:t xml:space="preserve">MeterRegistry </w:t>
      </w:r>
      <w:r>
        <w:rPr>
          <w:color w:val="333333"/>
          <w:w w:val="110"/>
        </w:rPr>
        <w:t xml:space="preserve">and adds a registry to the composite for each of the supported implementations that it finds on the classpath. Having a dependency on </w:t>
      </w:r>
      <w:r>
        <w:rPr>
          <w:rFonts w:ascii="MS Gothic"/>
          <w:color w:val="B02045"/>
          <w:w w:val="110"/>
        </w:rPr>
        <w:t>micrometer-registry-{system}</w:t>
      </w:r>
      <w:r>
        <w:rPr>
          <w:rFonts w:ascii="MS Gothic"/>
          <w:color w:val="B02045"/>
          <w:spacing w:val="-99"/>
          <w:w w:val="110"/>
        </w:rPr>
        <w:t xml:space="preserve"> </w:t>
      </w:r>
      <w:r>
        <w:rPr>
          <w:color w:val="333333"/>
          <w:w w:val="110"/>
        </w:rPr>
        <w:t>in your runtime classpath is enough for Spring Boot to configure the</w:t>
      </w:r>
    </w:p>
    <w:p w14:paraId="196C9D75" w14:textId="77777777" w:rsidR="00A720EB" w:rsidRDefault="00A720EB">
      <w:pPr>
        <w:spacing w:line="295" w:lineRule="auto"/>
        <w:jc w:val="both"/>
        <w:sectPr w:rsidR="00A720EB">
          <w:pgSz w:w="11910" w:h="16840"/>
          <w:pgMar w:top="700" w:right="840" w:bottom="520" w:left="840" w:header="0" w:footer="323" w:gutter="0"/>
          <w:cols w:space="720"/>
        </w:sectPr>
      </w:pPr>
    </w:p>
    <w:p w14:paraId="76E15696" w14:textId="77777777" w:rsidR="00A720EB" w:rsidRDefault="0030286B">
      <w:pPr>
        <w:pStyle w:val="a3"/>
        <w:spacing w:before="107"/>
        <w:ind w:left="124"/>
      </w:pPr>
      <w:r>
        <w:rPr>
          <w:color w:val="333333"/>
          <w:w w:val="110"/>
        </w:rPr>
        <w:lastRenderedPageBreak/>
        <w:t>registry.</w:t>
      </w:r>
    </w:p>
    <w:p w14:paraId="3DC3A477" w14:textId="77777777" w:rsidR="00A720EB" w:rsidRDefault="00A720EB">
      <w:pPr>
        <w:pStyle w:val="a3"/>
        <w:spacing w:before="4"/>
        <w:rPr>
          <w:sz w:val="26"/>
        </w:rPr>
      </w:pPr>
    </w:p>
    <w:p w14:paraId="15893955" w14:textId="77777777" w:rsidR="00A720EB" w:rsidRDefault="0030286B">
      <w:pPr>
        <w:pStyle w:val="a3"/>
        <w:spacing w:line="307" w:lineRule="auto"/>
        <w:ind w:left="124" w:right="462"/>
      </w:pPr>
      <w:r>
        <w:rPr>
          <w:color w:val="333333"/>
          <w:w w:val="110"/>
        </w:rPr>
        <w:t xml:space="preserve">Most registries share common features. </w:t>
      </w:r>
      <w:proofErr w:type="gramStart"/>
      <w:r>
        <w:rPr>
          <w:color w:val="333333"/>
          <w:spacing w:val="-4"/>
          <w:w w:val="110"/>
        </w:rPr>
        <w:t xml:space="preserve">For  </w:t>
      </w:r>
      <w:r>
        <w:rPr>
          <w:color w:val="333333"/>
          <w:w w:val="110"/>
        </w:rPr>
        <w:t>instance</w:t>
      </w:r>
      <w:proofErr w:type="gramEnd"/>
      <w:r>
        <w:rPr>
          <w:color w:val="333333"/>
          <w:w w:val="110"/>
        </w:rPr>
        <w:t xml:space="preserve">, you can disable a particular registry even if   the Micrometer registry implementation is on the classpath. </w:t>
      </w:r>
      <w:r>
        <w:rPr>
          <w:color w:val="333333"/>
          <w:spacing w:val="-4"/>
          <w:w w:val="110"/>
        </w:rPr>
        <w:t>For</w:t>
      </w:r>
      <w:r>
        <w:rPr>
          <w:color w:val="333333"/>
          <w:spacing w:val="10"/>
          <w:w w:val="110"/>
        </w:rPr>
        <w:t xml:space="preserve"> </w:t>
      </w:r>
      <w:r>
        <w:rPr>
          <w:color w:val="333333"/>
          <w:w w:val="110"/>
        </w:rPr>
        <w:t>example, to disable Datadog:</w:t>
      </w:r>
    </w:p>
    <w:p w14:paraId="4C692C06" w14:textId="77777777" w:rsidR="00A720EB" w:rsidRDefault="00E10349">
      <w:pPr>
        <w:pStyle w:val="a3"/>
        <w:spacing w:before="2"/>
        <w:rPr>
          <w:sz w:val="13"/>
        </w:rPr>
      </w:pPr>
      <w:r>
        <w:pict w14:anchorId="150016C3">
          <v:group id="_x0000_s3138" style="position:absolute;margin-left:47.85pt;margin-top:9.7pt;width:499.55pt;height:37.5pt;z-index:-15213056;mso-wrap-distance-left:0;mso-wrap-distance-right:0;mso-position-horizontal-relative:page" coordorigin="957,194" coordsize="9991,750">
            <v:shape id="_x0000_s3141"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3140"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3139" type="#_x0000_t202" style="position:absolute;left:984;top:217;width:9938;height:704" filled="f" stroked="f">
              <v:textbox inset="0,0,0,0">
                <w:txbxContent>
                  <w:p w14:paraId="5E323B43"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.export.datadog.enabled=false</w:t>
                    </w:r>
                  </w:p>
                </w:txbxContent>
              </v:textbox>
            </v:shape>
            <w10:wrap type="topAndBottom" anchorx="page"/>
          </v:group>
        </w:pict>
      </w:r>
    </w:p>
    <w:p w14:paraId="79CABA38" w14:textId="77777777" w:rsidR="00A720EB" w:rsidRDefault="00A720EB">
      <w:pPr>
        <w:pStyle w:val="a3"/>
        <w:rPr>
          <w:sz w:val="10"/>
        </w:rPr>
      </w:pPr>
    </w:p>
    <w:p w14:paraId="7156E097" w14:textId="77777777" w:rsidR="00A720EB" w:rsidRDefault="0030286B">
      <w:pPr>
        <w:pStyle w:val="a3"/>
        <w:spacing w:before="125" w:line="297" w:lineRule="auto"/>
        <w:ind w:left="124" w:right="359"/>
      </w:pPr>
      <w:r>
        <w:rPr>
          <w:color w:val="333333"/>
          <w:w w:val="110"/>
        </w:rPr>
        <w:t xml:space="preserve">Spring Boot will also add any auto-configured registries to the global static composite registry on   the </w:t>
      </w:r>
      <w:r>
        <w:rPr>
          <w:rFonts w:ascii="MS Gothic"/>
          <w:color w:val="B02045"/>
          <w:w w:val="110"/>
        </w:rPr>
        <w:t>Metrics</w:t>
      </w:r>
      <w:r>
        <w:rPr>
          <w:rFonts w:ascii="MS Gothic"/>
          <w:color w:val="B02045"/>
          <w:spacing w:val="-46"/>
          <w:w w:val="110"/>
        </w:rPr>
        <w:t xml:space="preserve"> </w:t>
      </w:r>
      <w:r>
        <w:rPr>
          <w:color w:val="333333"/>
          <w:w w:val="110"/>
        </w:rPr>
        <w:t>class unless you explicitly tell it not to:</w:t>
      </w:r>
    </w:p>
    <w:p w14:paraId="2CF2F093" w14:textId="77777777" w:rsidR="00A720EB" w:rsidRDefault="00E10349">
      <w:pPr>
        <w:pStyle w:val="a3"/>
        <w:spacing w:before="5"/>
        <w:rPr>
          <w:sz w:val="12"/>
        </w:rPr>
      </w:pPr>
      <w:r>
        <w:pict w14:anchorId="3F75FA47">
          <v:group id="_x0000_s3134" style="position:absolute;margin-left:47.85pt;margin-top:9.3pt;width:499.55pt;height:37.5pt;z-index:-15212544;mso-wrap-distance-left:0;mso-wrap-distance-right:0;mso-position-horizontal-relative:page" coordorigin="957,186" coordsize="9991,750">
            <v:shape id="_x0000_s3137" style="position:absolute;left:964;top:193;width:9976;height:735" coordorigin="965,193" coordsize="9976,735" path="m10861,193r-9816,l1014,199r-26,17l971,242r-6,31l965,848r6,31l988,904r26,18l1045,928r9816,l10892,922r25,-18l10935,879r6,-31l10941,273r-6,-31l10917,216r-25,-17l10861,193xe" fillcolor="#f5f5f5" stroked="f">
              <v:path arrowok="t"/>
            </v:shape>
            <v:shape id="_x0000_s3136" style="position:absolute;left:964;top:193;width:9976;height:735" coordorigin="965,193" coordsize="9976,735" path="m1045,193r9816,l10892,199r25,17l10935,242r6,31l10941,848r-6,31l10917,904r-25,18l10861,928r-9816,l1014,922,988,904,971,879r-6,-31l965,273r6,-31l988,216r26,-17l1045,193xe" filled="f" strokecolor="#ccc">
              <v:path arrowok="t"/>
            </v:shape>
            <v:shape id="_x0000_s3135" type="#_x0000_t202" style="position:absolute;left:984;top:208;width:9938;height:704" filled="f" stroked="f">
              <v:textbox inset="0,0,0,0">
                <w:txbxContent>
                  <w:p w14:paraId="68727AEC" w14:textId="77777777" w:rsidR="00711A16" w:rsidRDefault="00711A16">
                    <w:pPr>
                      <w:spacing w:before="221"/>
                      <w:ind w:left="200"/>
                      <w:rPr>
                        <w:rFonts w:ascii="MS Gothic"/>
                      </w:rPr>
                    </w:pPr>
                    <w:r>
                      <w:rPr>
                        <w:rFonts w:ascii="MS Gothic"/>
                        <w:color w:val="333333"/>
                      </w:rPr>
                      <w:t>management.metrics.use-global-registry=false</w:t>
                    </w:r>
                  </w:p>
                </w:txbxContent>
              </v:textbox>
            </v:shape>
            <w10:wrap type="topAndBottom" anchorx="page"/>
          </v:group>
        </w:pict>
      </w:r>
    </w:p>
    <w:p w14:paraId="7F040AA5" w14:textId="77777777" w:rsidR="00A720EB" w:rsidRDefault="00A720EB">
      <w:pPr>
        <w:pStyle w:val="a3"/>
        <w:spacing w:before="11"/>
        <w:rPr>
          <w:sz w:val="9"/>
        </w:rPr>
      </w:pPr>
    </w:p>
    <w:p w14:paraId="59195493" w14:textId="77777777" w:rsidR="00A720EB" w:rsidRDefault="0030286B">
      <w:pPr>
        <w:pStyle w:val="a3"/>
        <w:spacing w:before="115" w:line="290" w:lineRule="auto"/>
        <w:ind w:left="124"/>
      </w:pPr>
      <w:r>
        <w:rPr>
          <w:color w:val="333333"/>
          <w:w w:val="110"/>
        </w:rPr>
        <w:t xml:space="preserve">You can register any number of </w:t>
      </w:r>
      <w:r>
        <w:rPr>
          <w:rFonts w:ascii="MS Gothic"/>
          <w:color w:val="B02045"/>
          <w:w w:val="110"/>
        </w:rPr>
        <w:t xml:space="preserve">MeterRegistryCustomizer </w:t>
      </w:r>
      <w:r>
        <w:rPr>
          <w:color w:val="333333"/>
          <w:w w:val="110"/>
        </w:rPr>
        <w:t>beans to further configure the registry, such as applying common tags, before any meters are registered with the registry:</w:t>
      </w:r>
    </w:p>
    <w:p w14:paraId="3BCE7653" w14:textId="77777777" w:rsidR="00A720EB" w:rsidRDefault="00E10349">
      <w:pPr>
        <w:pStyle w:val="a3"/>
        <w:spacing w:before="8"/>
        <w:rPr>
          <w:sz w:val="14"/>
        </w:rPr>
      </w:pPr>
      <w:r>
        <w:pict w14:anchorId="2C0F3B8E">
          <v:group id="_x0000_s3130" style="position:absolute;margin-left:47.85pt;margin-top:10.6pt;width:499.55pt;height:81.75pt;z-index:-15212032;mso-wrap-distance-left:0;mso-wrap-distance-right:0;mso-position-horizontal-relative:page" coordorigin="957,212" coordsize="9991,1635">
            <v:shape id="_x0000_s3133" style="position:absolute;left:964;top:219;width:9976;height:1620" coordorigin="965,219" coordsize="9976,1620" path="m10861,219r-9816,l1014,226r-26,17l971,268r-6,31l965,1758r6,32l988,1815r26,17l1045,1838r9816,l10892,1832r25,-17l10935,1790r6,-32l10941,299r-6,-31l10917,243r-25,-17l10861,219xe" fillcolor="#f5f5f5" stroked="f">
              <v:path arrowok="t"/>
            </v:shape>
            <v:shape id="_x0000_s3132" style="position:absolute;left:964;top:219;width:9976;height:1620" coordorigin="965,219" coordsize="9976,1620" path="m1045,219r9816,l10892,226r25,17l10935,268r6,31l10941,1758r-6,32l10917,1815r-25,17l10861,1838r-9816,l1014,1832r-26,-17l971,1790r-6,-32l965,299r6,-31l988,243r26,-17l1045,219xe" filled="f" strokecolor="#ccc">
              <v:path arrowok="t"/>
            </v:shape>
            <v:shape id="_x0000_s3131" type="#_x0000_t202" style="position:absolute;left:984;top:234;width:9938;height:1589" filled="f" stroked="f">
              <v:textbox inset="0,0,0,0">
                <w:txbxContent>
                  <w:p w14:paraId="3536BF5A" w14:textId="77777777" w:rsidR="00711A16" w:rsidRDefault="00711A16">
                    <w:pPr>
                      <w:spacing w:before="221"/>
                      <w:ind w:left="200"/>
                      <w:rPr>
                        <w:rFonts w:ascii="MS Gothic"/>
                      </w:rPr>
                    </w:pPr>
                    <w:r>
                      <w:rPr>
                        <w:rFonts w:ascii="MS Gothic"/>
                        <w:color w:val="333333"/>
                      </w:rPr>
                      <w:t>@Bean</w:t>
                    </w:r>
                  </w:p>
                  <w:p w14:paraId="1057B544" w14:textId="77777777" w:rsidR="00711A16" w:rsidRDefault="00711A16">
                    <w:pPr>
                      <w:spacing w:before="13"/>
                      <w:ind w:left="200"/>
                      <w:rPr>
                        <w:rFonts w:ascii="MS Gothic"/>
                      </w:rPr>
                    </w:pPr>
                    <w:r>
                      <w:rPr>
                        <w:rFonts w:ascii="MS Gothic"/>
                        <w:color w:val="333333"/>
                      </w:rPr>
                      <w:t xml:space="preserve">MeterRegistryCustomizer&lt;MeterRegistry&gt; </w:t>
                    </w:r>
                    <w:proofErr w:type="gramStart"/>
                    <w:r>
                      <w:rPr>
                        <w:rFonts w:ascii="MS Gothic"/>
                        <w:color w:val="333333"/>
                      </w:rPr>
                      <w:t>metricsCommonTags(</w:t>
                    </w:r>
                    <w:proofErr w:type="gramEnd"/>
                    <w:r>
                      <w:rPr>
                        <w:rFonts w:ascii="MS Gothic"/>
                        <w:color w:val="333333"/>
                      </w:rPr>
                      <w:t>) {</w:t>
                    </w:r>
                  </w:p>
                  <w:p w14:paraId="0FD1B5D1" w14:textId="77777777" w:rsidR="00711A16" w:rsidRDefault="00711A16">
                    <w:pPr>
                      <w:spacing w:before="13"/>
                      <w:ind w:left="640"/>
                      <w:rPr>
                        <w:rFonts w:ascii="MS Gothic"/>
                      </w:rPr>
                    </w:pPr>
                    <w:r>
                      <w:rPr>
                        <w:rFonts w:ascii="MS Gothic"/>
                        <w:color w:val="333333"/>
                      </w:rPr>
                      <w:t>return registry -&gt; registry.</w:t>
                    </w:r>
                    <w:proofErr w:type="gramStart"/>
                    <w:r>
                      <w:rPr>
                        <w:rFonts w:ascii="MS Gothic"/>
                        <w:color w:val="333333"/>
                      </w:rPr>
                      <w:t>config(</w:t>
                    </w:r>
                    <w:proofErr w:type="gramEnd"/>
                    <w:r>
                      <w:rPr>
                        <w:rFonts w:ascii="MS Gothic"/>
                        <w:color w:val="333333"/>
                      </w:rPr>
                      <w:t>).commonTags("region", "us-east-1");</w:t>
                    </w:r>
                  </w:p>
                  <w:p w14:paraId="7B38CAAB"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7A9E2FB5" w14:textId="77777777" w:rsidR="00A720EB" w:rsidRDefault="00A720EB">
      <w:pPr>
        <w:pStyle w:val="a3"/>
        <w:rPr>
          <w:sz w:val="10"/>
        </w:rPr>
      </w:pPr>
    </w:p>
    <w:p w14:paraId="21991FA0" w14:textId="77777777" w:rsidR="00A720EB" w:rsidRDefault="0030286B">
      <w:pPr>
        <w:pStyle w:val="a3"/>
        <w:spacing w:before="125" w:line="307" w:lineRule="auto"/>
        <w:ind w:left="124" w:right="359"/>
      </w:pPr>
      <w:r>
        <w:rPr>
          <w:color w:val="333333"/>
          <w:spacing w:val="-6"/>
          <w:w w:val="110"/>
        </w:rPr>
        <w:t xml:space="preserve">You </w:t>
      </w:r>
      <w:r>
        <w:rPr>
          <w:color w:val="333333"/>
          <w:w w:val="110"/>
        </w:rPr>
        <w:t xml:space="preserve">can apply customizations to particular registry implementations </w:t>
      </w:r>
      <w:r>
        <w:rPr>
          <w:color w:val="333333"/>
          <w:spacing w:val="-3"/>
          <w:w w:val="110"/>
        </w:rPr>
        <w:t xml:space="preserve">by </w:t>
      </w:r>
      <w:r>
        <w:rPr>
          <w:color w:val="333333"/>
          <w:w w:val="110"/>
        </w:rPr>
        <w:t>being more specific about the generic</w:t>
      </w:r>
      <w:r>
        <w:rPr>
          <w:color w:val="333333"/>
          <w:spacing w:val="6"/>
          <w:w w:val="110"/>
        </w:rPr>
        <w:t xml:space="preserve"> </w:t>
      </w:r>
      <w:r>
        <w:rPr>
          <w:color w:val="333333"/>
          <w:w w:val="110"/>
        </w:rPr>
        <w:t>type:</w:t>
      </w:r>
    </w:p>
    <w:p w14:paraId="0A5F141F" w14:textId="77777777" w:rsidR="00A720EB" w:rsidRDefault="00E10349">
      <w:pPr>
        <w:pStyle w:val="a3"/>
        <w:spacing w:before="2"/>
        <w:rPr>
          <w:sz w:val="13"/>
        </w:rPr>
      </w:pPr>
      <w:r>
        <w:pict w14:anchorId="5F6C6E2E">
          <v:group id="_x0000_s3126" style="position:absolute;margin-left:47.85pt;margin-top:9.7pt;width:499.55pt;height:81.75pt;z-index:-15211520;mso-wrap-distance-left:0;mso-wrap-distance-right:0;mso-position-horizontal-relative:page" coordorigin="957,194" coordsize="9991,1635">
            <v:shape id="_x0000_s3129" style="position:absolute;left:964;top:201;width:9976;height:1620" coordorigin="965,202" coordsize="9976,1620" path="m10861,202r-9816,l1014,208r-26,17l971,251r-6,31l965,1741r6,31l988,1797r26,18l1045,1821r9816,l10892,1815r25,-18l10935,1772r6,-31l10941,282r-6,-31l10917,225r-25,-17l10861,202xe" fillcolor="#f5f5f5" stroked="f">
              <v:path arrowok="t"/>
            </v:shape>
            <v:shape id="_x0000_s3128" style="position:absolute;left:964;top:201;width:9976;height:1620" coordorigin="965,202" coordsize="9976,1620" path="m1045,202r9816,l10892,208r25,17l10935,251r6,31l10941,1741r-6,31l10917,1797r-25,18l10861,1821r-9816,l1014,1815r-26,-18l971,1772r-6,-31l965,282r6,-31l988,225r26,-17l1045,202xe" filled="f" strokecolor="#ccc">
              <v:path arrowok="t"/>
            </v:shape>
            <v:shape id="_x0000_s3127" type="#_x0000_t202" style="position:absolute;left:984;top:217;width:9938;height:1589" filled="f" stroked="f">
              <v:textbox inset="0,0,0,0">
                <w:txbxContent>
                  <w:p w14:paraId="1768F297" w14:textId="77777777" w:rsidR="00711A16" w:rsidRDefault="00711A16">
                    <w:pPr>
                      <w:spacing w:before="221"/>
                      <w:ind w:left="200"/>
                      <w:rPr>
                        <w:rFonts w:ascii="MS Gothic"/>
                      </w:rPr>
                    </w:pPr>
                    <w:r>
                      <w:rPr>
                        <w:rFonts w:ascii="MS Gothic"/>
                        <w:color w:val="333333"/>
                      </w:rPr>
                      <w:t>@Bean</w:t>
                    </w:r>
                  </w:p>
                  <w:p w14:paraId="302F4F0B" w14:textId="77777777" w:rsidR="00711A16" w:rsidRDefault="00711A16">
                    <w:pPr>
                      <w:spacing w:before="13" w:line="252" w:lineRule="auto"/>
                      <w:ind w:left="640" w:right="698" w:hanging="440"/>
                      <w:rPr>
                        <w:rFonts w:ascii="MS Gothic"/>
                      </w:rPr>
                    </w:pPr>
                    <w:r>
                      <w:rPr>
                        <w:rFonts w:ascii="MS Gothic"/>
                        <w:color w:val="333333"/>
                      </w:rPr>
                      <w:t xml:space="preserve">MeterRegistryCustomizer&lt;GraphiteMeterRegistry&gt; </w:t>
                    </w:r>
                    <w:proofErr w:type="gramStart"/>
                    <w:r>
                      <w:rPr>
                        <w:rFonts w:ascii="MS Gothic"/>
                        <w:color w:val="333333"/>
                      </w:rPr>
                      <w:t>graphiteMetricsNamingConvention(</w:t>
                    </w:r>
                    <w:proofErr w:type="gramEnd"/>
                    <w:r>
                      <w:rPr>
                        <w:rFonts w:ascii="MS Gothic"/>
                        <w:color w:val="333333"/>
                      </w:rPr>
                      <w:t>) { return registry -&gt; registry.config().namingConvention(MY_CUSTOM_CONVENTION);</w:t>
                    </w:r>
                  </w:p>
                  <w:p w14:paraId="21F817B7"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7C939850" w14:textId="77777777" w:rsidR="00A720EB" w:rsidRDefault="00A720EB">
      <w:pPr>
        <w:pStyle w:val="a3"/>
        <w:rPr>
          <w:sz w:val="10"/>
        </w:rPr>
      </w:pPr>
    </w:p>
    <w:p w14:paraId="454737F6" w14:textId="77777777" w:rsidR="00A720EB" w:rsidRDefault="0030286B">
      <w:pPr>
        <w:pStyle w:val="a3"/>
        <w:spacing w:before="125" w:line="307" w:lineRule="auto"/>
        <w:ind w:left="124" w:right="359"/>
      </w:pPr>
      <w:r>
        <w:rPr>
          <w:color w:val="333333"/>
          <w:w w:val="110"/>
        </w:rPr>
        <w:t xml:space="preserve">Spring Boot also </w:t>
      </w:r>
      <w:hyperlink w:anchor="_bookmark442" w:history="1">
        <w:r>
          <w:rPr>
            <w:color w:val="418BCA"/>
            <w:w w:val="110"/>
          </w:rPr>
          <w:t>configures built-in instrumentation</w:t>
        </w:r>
      </w:hyperlink>
      <w:r>
        <w:rPr>
          <w:color w:val="418BCA"/>
          <w:w w:val="110"/>
        </w:rPr>
        <w:t xml:space="preserve"> </w:t>
      </w:r>
      <w:r>
        <w:rPr>
          <w:color w:val="333333"/>
          <w:w w:val="110"/>
        </w:rPr>
        <w:t>that you can control via configuration or dedicated annotation markers.</w:t>
      </w:r>
    </w:p>
    <w:p w14:paraId="583ABECB" w14:textId="77777777" w:rsidR="00A720EB" w:rsidRDefault="00A720EB">
      <w:pPr>
        <w:pStyle w:val="a3"/>
        <w:spacing w:before="9"/>
        <w:rPr>
          <w:sz w:val="25"/>
        </w:rPr>
      </w:pPr>
    </w:p>
    <w:p w14:paraId="60B65733" w14:textId="77777777" w:rsidR="00A720EB" w:rsidRDefault="0030286B">
      <w:pPr>
        <w:pStyle w:val="3"/>
        <w:numPr>
          <w:ilvl w:val="2"/>
          <w:numId w:val="24"/>
        </w:numPr>
        <w:tabs>
          <w:tab w:val="left" w:pos="858"/>
        </w:tabs>
        <w:ind w:hanging="734"/>
      </w:pPr>
      <w:bookmarkStart w:id="623" w:name="5.6.2._Supported_monitoring_systems"/>
      <w:bookmarkStart w:id="624" w:name="_Toc54423862"/>
      <w:bookmarkEnd w:id="623"/>
      <w:r>
        <w:rPr>
          <w:color w:val="333333"/>
          <w:w w:val="110"/>
        </w:rPr>
        <w:t>Supported monitoring</w:t>
      </w:r>
      <w:r>
        <w:rPr>
          <w:color w:val="333333"/>
          <w:spacing w:val="-12"/>
          <w:w w:val="110"/>
        </w:rPr>
        <w:t xml:space="preserve"> </w:t>
      </w:r>
      <w:r>
        <w:rPr>
          <w:color w:val="333333"/>
          <w:w w:val="110"/>
        </w:rPr>
        <w:t>systems</w:t>
      </w:r>
      <w:bookmarkEnd w:id="624"/>
    </w:p>
    <w:p w14:paraId="4E3C171E" w14:textId="77777777" w:rsidR="00A720EB" w:rsidRDefault="00A720EB">
      <w:pPr>
        <w:pStyle w:val="a3"/>
        <w:spacing w:before="3"/>
        <w:rPr>
          <w:rFonts w:ascii="Palatino Linotype"/>
          <w:b/>
          <w:sz w:val="23"/>
        </w:rPr>
      </w:pPr>
    </w:p>
    <w:p w14:paraId="724FC0B3" w14:textId="77777777" w:rsidR="00A720EB" w:rsidRDefault="0030286B">
      <w:pPr>
        <w:pStyle w:val="4"/>
        <w:spacing w:before="1"/>
        <w:jc w:val="left"/>
      </w:pPr>
      <w:bookmarkStart w:id="625" w:name="AppOptics"/>
      <w:bookmarkEnd w:id="625"/>
      <w:r>
        <w:rPr>
          <w:color w:val="333333"/>
          <w:w w:val="105"/>
        </w:rPr>
        <w:t>AppOptics</w:t>
      </w:r>
    </w:p>
    <w:p w14:paraId="78A074F5" w14:textId="77777777" w:rsidR="00A720EB" w:rsidRDefault="0030286B">
      <w:pPr>
        <w:pStyle w:val="a3"/>
        <w:spacing w:before="243" w:line="290" w:lineRule="auto"/>
        <w:ind w:left="124"/>
      </w:pPr>
      <w:r>
        <w:rPr>
          <w:color w:val="333333"/>
          <w:spacing w:val="-3"/>
          <w:w w:val="110"/>
        </w:rPr>
        <w:t>By</w:t>
      </w:r>
      <w:r>
        <w:rPr>
          <w:color w:val="333333"/>
          <w:spacing w:val="-27"/>
          <w:w w:val="110"/>
        </w:rPr>
        <w:t xml:space="preserve"> </w:t>
      </w:r>
      <w:r>
        <w:rPr>
          <w:color w:val="333333"/>
          <w:w w:val="110"/>
        </w:rPr>
        <w:t>default,</w:t>
      </w:r>
      <w:r>
        <w:rPr>
          <w:color w:val="333333"/>
          <w:spacing w:val="-27"/>
          <w:w w:val="110"/>
        </w:rPr>
        <w:t xml:space="preserve"> </w:t>
      </w:r>
      <w:r>
        <w:rPr>
          <w:color w:val="333333"/>
          <w:w w:val="110"/>
        </w:rPr>
        <w:t>the</w:t>
      </w:r>
      <w:r>
        <w:rPr>
          <w:color w:val="333333"/>
          <w:spacing w:val="-27"/>
          <w:w w:val="110"/>
        </w:rPr>
        <w:t xml:space="preserve"> </w:t>
      </w:r>
      <w:r>
        <w:rPr>
          <w:color w:val="333333"/>
          <w:w w:val="110"/>
        </w:rPr>
        <w:t>AppOptics</w:t>
      </w:r>
      <w:r>
        <w:rPr>
          <w:color w:val="333333"/>
          <w:spacing w:val="-27"/>
          <w:w w:val="110"/>
        </w:rPr>
        <w:t xml:space="preserve"> </w:t>
      </w:r>
      <w:r>
        <w:rPr>
          <w:color w:val="333333"/>
          <w:w w:val="110"/>
        </w:rPr>
        <w:t>registry</w:t>
      </w:r>
      <w:r>
        <w:rPr>
          <w:color w:val="333333"/>
          <w:spacing w:val="-26"/>
          <w:w w:val="110"/>
        </w:rPr>
        <w:t xml:space="preserve"> </w:t>
      </w:r>
      <w:r>
        <w:rPr>
          <w:color w:val="333333"/>
          <w:w w:val="110"/>
        </w:rPr>
        <w:t>pushes</w:t>
      </w:r>
      <w:r>
        <w:rPr>
          <w:color w:val="333333"/>
          <w:spacing w:val="-27"/>
          <w:w w:val="110"/>
        </w:rPr>
        <w:t xml:space="preserve"> </w:t>
      </w:r>
      <w:r>
        <w:rPr>
          <w:color w:val="333333"/>
          <w:w w:val="110"/>
        </w:rPr>
        <w:t>metrics</w:t>
      </w:r>
      <w:r>
        <w:rPr>
          <w:color w:val="333333"/>
          <w:spacing w:val="-27"/>
          <w:w w:val="110"/>
        </w:rPr>
        <w:t xml:space="preserve"> </w:t>
      </w:r>
      <w:r>
        <w:rPr>
          <w:color w:val="333333"/>
          <w:w w:val="110"/>
        </w:rPr>
        <w:t>to</w:t>
      </w:r>
      <w:r>
        <w:rPr>
          <w:color w:val="333333"/>
          <w:spacing w:val="-24"/>
          <w:w w:val="110"/>
        </w:rPr>
        <w:t xml:space="preserve"> </w:t>
      </w:r>
      <w:hyperlink r:id="rId482">
        <w:r>
          <w:rPr>
            <w:rFonts w:ascii="MS Gothic"/>
            <w:color w:val="418BCA"/>
            <w:w w:val="110"/>
          </w:rPr>
          <w:t>api.appoptics.com/v1/measurements</w:t>
        </w:r>
        <w:r>
          <w:rPr>
            <w:rFonts w:ascii="MS Gothic"/>
            <w:color w:val="418BCA"/>
            <w:spacing w:val="-91"/>
            <w:w w:val="110"/>
          </w:rPr>
          <w:t xml:space="preserve"> </w:t>
        </w:r>
      </w:hyperlink>
      <w:r>
        <w:rPr>
          <w:color w:val="333333"/>
          <w:spacing w:val="-3"/>
          <w:w w:val="110"/>
        </w:rPr>
        <w:t xml:space="preserve">periodically. </w:t>
      </w:r>
      <w:r>
        <w:rPr>
          <w:color w:val="333333"/>
          <w:spacing w:val="-4"/>
          <w:w w:val="110"/>
        </w:rPr>
        <w:t xml:space="preserve">To </w:t>
      </w:r>
      <w:r>
        <w:rPr>
          <w:color w:val="333333"/>
          <w:w w:val="110"/>
        </w:rPr>
        <w:t xml:space="preserve">export metrics to SaaS </w:t>
      </w:r>
      <w:hyperlink r:id="rId483">
        <w:r>
          <w:rPr>
            <w:color w:val="418BCA"/>
            <w:w w:val="110"/>
          </w:rPr>
          <w:t>AppOptics</w:t>
        </w:r>
      </w:hyperlink>
      <w:r>
        <w:rPr>
          <w:color w:val="333333"/>
          <w:w w:val="110"/>
        </w:rPr>
        <w:t>, your API token must be</w:t>
      </w:r>
      <w:r>
        <w:rPr>
          <w:color w:val="333333"/>
          <w:spacing w:val="39"/>
          <w:w w:val="110"/>
        </w:rPr>
        <w:t xml:space="preserve"> </w:t>
      </w:r>
      <w:r>
        <w:rPr>
          <w:color w:val="333333"/>
          <w:w w:val="110"/>
        </w:rPr>
        <w:t>provided:</w:t>
      </w:r>
    </w:p>
    <w:p w14:paraId="3EB3C46E" w14:textId="77777777" w:rsidR="00A720EB" w:rsidRDefault="00E10349">
      <w:pPr>
        <w:pStyle w:val="a3"/>
        <w:spacing w:before="8"/>
        <w:rPr>
          <w:sz w:val="14"/>
        </w:rPr>
      </w:pPr>
      <w:r>
        <w:pict w14:anchorId="5DCBD25F">
          <v:group id="_x0000_s3122" style="position:absolute;margin-left:47.85pt;margin-top:10.6pt;width:499.55pt;height:37.5pt;z-index:-15211008;mso-wrap-distance-left:0;mso-wrap-distance-right:0;mso-position-horizontal-relative:page" coordorigin="957,212" coordsize="9991,750">
            <v:shape id="_x0000_s3125" style="position:absolute;left:964;top:219;width:9976;height:735" coordorigin="965,219" coordsize="9976,735" path="m10861,219r-9816,l1014,225r-26,18l971,268r-6,31l965,874r6,31l988,931r26,17l1045,954r9816,l10892,948r25,-17l10935,905r6,-31l10941,299r-6,-31l10917,243r-25,-18l10861,219xe" fillcolor="#f5f5f5" stroked="f">
              <v:path arrowok="t"/>
            </v:shape>
            <v:shape id="_x0000_s3124" style="position:absolute;left:964;top:219;width:9976;height:735" coordorigin="965,219" coordsize="9976,735" path="m1045,219r9816,l10892,225r25,18l10935,268r6,31l10941,874r-6,31l10917,931r-25,17l10861,954r-9816,l1014,948,988,931,971,905r-6,-31l965,299r6,-31l988,243r26,-18l1045,219xe" filled="f" strokecolor="#ccc">
              <v:path arrowok="t"/>
            </v:shape>
            <v:shape id="_x0000_s3123" type="#_x0000_t202" style="position:absolute;left:984;top:234;width:9938;height:704" filled="f" stroked="f">
              <v:textbox inset="0,0,0,0">
                <w:txbxContent>
                  <w:p w14:paraId="6B54B87A" w14:textId="77777777" w:rsidR="00711A16" w:rsidRDefault="00711A16">
                    <w:pPr>
                      <w:spacing w:before="221"/>
                      <w:ind w:left="200"/>
                      <w:rPr>
                        <w:rFonts w:ascii="MS Gothic"/>
                      </w:rPr>
                    </w:pPr>
                    <w:r>
                      <w:rPr>
                        <w:rFonts w:ascii="MS Gothic"/>
                        <w:color w:val="333333"/>
                      </w:rPr>
                      <w:t>management.metrics.export.appoptics.api-token=YOUR_TOKEN</w:t>
                    </w:r>
                  </w:p>
                </w:txbxContent>
              </v:textbox>
            </v:shape>
            <w10:wrap type="topAndBottom" anchorx="page"/>
          </v:group>
        </w:pict>
      </w:r>
    </w:p>
    <w:p w14:paraId="11837952" w14:textId="77777777" w:rsidR="00A720EB" w:rsidRDefault="00A720EB">
      <w:pPr>
        <w:pStyle w:val="a3"/>
        <w:spacing w:before="11"/>
        <w:rPr>
          <w:sz w:val="16"/>
        </w:rPr>
      </w:pPr>
    </w:p>
    <w:p w14:paraId="7BD1EB98" w14:textId="77777777" w:rsidR="00A720EB" w:rsidRDefault="0030286B">
      <w:pPr>
        <w:pStyle w:val="4"/>
        <w:spacing w:before="104"/>
        <w:jc w:val="left"/>
      </w:pPr>
      <w:bookmarkStart w:id="626" w:name="Atlas"/>
      <w:bookmarkEnd w:id="626"/>
      <w:r>
        <w:rPr>
          <w:color w:val="333333"/>
          <w:w w:val="110"/>
        </w:rPr>
        <w:t>Atlas</w:t>
      </w:r>
    </w:p>
    <w:p w14:paraId="3F4817E3" w14:textId="77777777" w:rsidR="00A720EB" w:rsidRDefault="00A720EB">
      <w:pPr>
        <w:pStyle w:val="a3"/>
        <w:spacing w:before="11"/>
        <w:rPr>
          <w:rFonts w:ascii="Palatino Linotype"/>
          <w:b/>
          <w:sz w:val="18"/>
        </w:rPr>
      </w:pPr>
    </w:p>
    <w:p w14:paraId="4BC92812" w14:textId="77777777" w:rsidR="00A720EB" w:rsidRDefault="0030286B">
      <w:pPr>
        <w:pStyle w:val="a3"/>
        <w:spacing w:line="307" w:lineRule="auto"/>
        <w:ind w:left="124" w:right="462"/>
      </w:pPr>
      <w:r>
        <w:rPr>
          <w:color w:val="333333"/>
          <w:w w:val="110"/>
        </w:rPr>
        <w:t xml:space="preserve">By default, metrics are exported to </w:t>
      </w:r>
      <w:hyperlink r:id="rId484">
        <w:r>
          <w:rPr>
            <w:color w:val="418BCA"/>
            <w:w w:val="110"/>
          </w:rPr>
          <w:t>Atlas</w:t>
        </w:r>
      </w:hyperlink>
      <w:r>
        <w:rPr>
          <w:color w:val="418BCA"/>
          <w:w w:val="110"/>
        </w:rPr>
        <w:t xml:space="preserve"> </w:t>
      </w:r>
      <w:r>
        <w:rPr>
          <w:color w:val="333333"/>
          <w:w w:val="110"/>
        </w:rPr>
        <w:t xml:space="preserve">running on your local machine. The location of the </w:t>
      </w:r>
      <w:hyperlink r:id="rId485">
        <w:r>
          <w:rPr>
            <w:color w:val="418BCA"/>
            <w:w w:val="110"/>
          </w:rPr>
          <w:t>Atlas</w:t>
        </w:r>
      </w:hyperlink>
      <w:r>
        <w:rPr>
          <w:color w:val="418BCA"/>
          <w:w w:val="110"/>
        </w:rPr>
        <w:t xml:space="preserve"> </w:t>
      </w:r>
      <w:hyperlink r:id="rId486">
        <w:r>
          <w:rPr>
            <w:color w:val="418BCA"/>
            <w:w w:val="110"/>
          </w:rPr>
          <w:t xml:space="preserve">server </w:t>
        </w:r>
      </w:hyperlink>
      <w:r>
        <w:rPr>
          <w:color w:val="333333"/>
          <w:w w:val="110"/>
        </w:rPr>
        <w:t>to use can be provided using:</w:t>
      </w:r>
    </w:p>
    <w:p w14:paraId="7F1314C0" w14:textId="77777777" w:rsidR="00A720EB" w:rsidRDefault="00A720EB">
      <w:pPr>
        <w:spacing w:line="307" w:lineRule="auto"/>
        <w:sectPr w:rsidR="00A720EB">
          <w:pgSz w:w="11910" w:h="16840"/>
          <w:pgMar w:top="620" w:right="840" w:bottom="520" w:left="840" w:header="0" w:footer="323" w:gutter="0"/>
          <w:cols w:space="720"/>
        </w:sectPr>
      </w:pPr>
    </w:p>
    <w:p w14:paraId="1A0FFE44" w14:textId="77777777" w:rsidR="00A720EB" w:rsidRDefault="00E10349">
      <w:pPr>
        <w:pStyle w:val="a3"/>
        <w:ind w:left="116"/>
        <w:rPr>
          <w:sz w:val="20"/>
        </w:rPr>
      </w:pPr>
      <w:r>
        <w:rPr>
          <w:sz w:val="20"/>
        </w:rPr>
      </w:r>
      <w:r>
        <w:rPr>
          <w:sz w:val="20"/>
        </w:rPr>
        <w:pict w14:anchorId="46BD0911">
          <v:group id="_x0000_s3118" style="width:499.55pt;height:37.5pt;mso-position-horizontal-relative:char;mso-position-vertical-relative:line" coordsize="9991,750">
            <v:shape id="_x0000_s3121" style="position:absolute;left:7;top:7;width:9976;height:735" coordorigin="8,8" coordsize="9976,735" path="m9904,8l88,8,56,14,31,31,14,56,8,88r,574l14,693r17,26l56,736r32,6l9904,742r31,-6l9960,719r17,-26l9984,662r,-574l9977,56,9960,31,9935,14,9904,8xe" fillcolor="#f5f5f5" stroked="f">
              <v:path arrowok="t"/>
            </v:shape>
            <v:shape id="_x0000_s3120" style="position:absolute;left:7;top:7;width:9976;height:735" coordorigin="8,8" coordsize="9976,735" path="m88,8r9816,l9935,14r25,17l9977,56r7,32l9984,662r-7,31l9960,719r-25,17l9904,742,88,742,56,736,31,719,14,693,8,662,8,88,14,56,31,31,56,14,88,8xe" filled="f" strokecolor="#ccc">
              <v:path arrowok="t"/>
            </v:shape>
            <v:shape id="_x0000_s3119" type="#_x0000_t202" style="position:absolute;left:26;top:22;width:9938;height:704" filled="f" stroked="f">
              <v:textbox inset="0,0,0,0">
                <w:txbxContent>
                  <w:p w14:paraId="2EB95DFC" w14:textId="77777777" w:rsidR="00711A16" w:rsidRDefault="00711A16">
                    <w:pPr>
                      <w:spacing w:before="221"/>
                      <w:ind w:left="200"/>
                      <w:rPr>
                        <w:rFonts w:ascii="MS Gothic"/>
                      </w:rPr>
                    </w:pPr>
                    <w:r>
                      <w:rPr>
                        <w:rFonts w:ascii="MS Gothic"/>
                        <w:color w:val="333333"/>
                      </w:rPr>
                      <w:t>management.metrics.export.atlas.uri=https://atlas.example.com:7101/api/v1/publish</w:t>
                    </w:r>
                  </w:p>
                </w:txbxContent>
              </v:textbox>
            </v:shape>
            <w10:anchorlock/>
          </v:group>
        </w:pict>
      </w:r>
    </w:p>
    <w:p w14:paraId="729A3B8F" w14:textId="77777777" w:rsidR="00A720EB" w:rsidRDefault="00A720EB">
      <w:pPr>
        <w:pStyle w:val="a3"/>
        <w:rPr>
          <w:sz w:val="16"/>
        </w:rPr>
      </w:pPr>
    </w:p>
    <w:p w14:paraId="21EBDA62" w14:textId="77777777" w:rsidR="00A720EB" w:rsidRDefault="0030286B">
      <w:pPr>
        <w:pStyle w:val="4"/>
        <w:spacing w:before="104"/>
        <w:jc w:val="left"/>
      </w:pPr>
      <w:bookmarkStart w:id="627" w:name="Datadog"/>
      <w:bookmarkEnd w:id="627"/>
      <w:r>
        <w:rPr>
          <w:color w:val="333333"/>
          <w:w w:val="110"/>
        </w:rPr>
        <w:t>Datadog</w:t>
      </w:r>
    </w:p>
    <w:p w14:paraId="702597C6" w14:textId="77777777" w:rsidR="00A720EB" w:rsidRDefault="00A720EB">
      <w:pPr>
        <w:pStyle w:val="a3"/>
        <w:spacing w:before="11"/>
        <w:rPr>
          <w:rFonts w:ascii="Palatino Linotype"/>
          <w:b/>
          <w:sz w:val="18"/>
        </w:rPr>
      </w:pPr>
    </w:p>
    <w:p w14:paraId="6D3C6D48" w14:textId="77777777" w:rsidR="00A720EB" w:rsidRDefault="0030286B">
      <w:pPr>
        <w:pStyle w:val="a3"/>
        <w:spacing w:line="307" w:lineRule="auto"/>
        <w:ind w:left="124" w:right="359"/>
      </w:pPr>
      <w:r>
        <w:rPr>
          <w:color w:val="333333"/>
          <w:w w:val="110"/>
        </w:rPr>
        <w:t xml:space="preserve">Datadog registry pushes metrics to </w:t>
      </w:r>
      <w:hyperlink r:id="rId487">
        <w:r>
          <w:rPr>
            <w:color w:val="418BCA"/>
            <w:w w:val="110"/>
          </w:rPr>
          <w:t xml:space="preserve">datadoghq </w:t>
        </w:r>
      </w:hyperlink>
      <w:r>
        <w:rPr>
          <w:color w:val="333333"/>
          <w:w w:val="110"/>
        </w:rPr>
        <w:t xml:space="preserve">periodically. To export metrics to </w:t>
      </w:r>
      <w:hyperlink r:id="rId488">
        <w:r>
          <w:rPr>
            <w:color w:val="418BCA"/>
            <w:w w:val="110"/>
          </w:rPr>
          <w:t>Datadog</w:t>
        </w:r>
      </w:hyperlink>
      <w:r>
        <w:rPr>
          <w:color w:val="333333"/>
          <w:w w:val="110"/>
        </w:rPr>
        <w:t>, your API key must be provided:</w:t>
      </w:r>
    </w:p>
    <w:p w14:paraId="423941CA" w14:textId="77777777" w:rsidR="00A720EB" w:rsidRDefault="00E10349">
      <w:pPr>
        <w:pStyle w:val="a3"/>
        <w:spacing w:before="2"/>
        <w:rPr>
          <w:sz w:val="13"/>
        </w:rPr>
      </w:pPr>
      <w:r>
        <w:pict w14:anchorId="5D119B21">
          <v:group id="_x0000_s3114" style="position:absolute;margin-left:47.85pt;margin-top:9.7pt;width:499.55pt;height:37.5pt;z-index:-15209984;mso-wrap-distance-left:0;mso-wrap-distance-right:0;mso-position-horizontal-relative:page" coordorigin="957,194" coordsize="9991,750">
            <v:shape id="_x0000_s3117"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3116"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3115" type="#_x0000_t202" style="position:absolute;left:984;top:217;width:9938;height:704" filled="f" stroked="f">
              <v:textbox inset="0,0,0,0">
                <w:txbxContent>
                  <w:p w14:paraId="68C0FB02" w14:textId="77777777" w:rsidR="00711A16" w:rsidRDefault="00711A16">
                    <w:pPr>
                      <w:spacing w:before="221"/>
                      <w:ind w:left="200"/>
                      <w:rPr>
                        <w:rFonts w:ascii="MS Gothic"/>
                      </w:rPr>
                    </w:pPr>
                    <w:r>
                      <w:rPr>
                        <w:rFonts w:ascii="MS Gothic"/>
                        <w:color w:val="333333"/>
                      </w:rPr>
                      <w:t>management.metrics.export.datadog.api-key=YOUR_KEY</w:t>
                    </w:r>
                  </w:p>
                </w:txbxContent>
              </v:textbox>
            </v:shape>
            <w10:wrap type="topAndBottom" anchorx="page"/>
          </v:group>
        </w:pict>
      </w:r>
    </w:p>
    <w:p w14:paraId="299DCC1C" w14:textId="77777777" w:rsidR="00A720EB" w:rsidRDefault="00A720EB">
      <w:pPr>
        <w:pStyle w:val="a3"/>
        <w:rPr>
          <w:sz w:val="10"/>
        </w:rPr>
      </w:pPr>
    </w:p>
    <w:p w14:paraId="25AC0CF7" w14:textId="77777777" w:rsidR="00A720EB" w:rsidRDefault="0030286B">
      <w:pPr>
        <w:pStyle w:val="a3"/>
        <w:spacing w:before="125"/>
        <w:ind w:left="124"/>
      </w:pPr>
      <w:r>
        <w:rPr>
          <w:color w:val="333333"/>
          <w:w w:val="110"/>
        </w:rPr>
        <w:t>You can also change the interval at which metrics are sent to Datadog:</w:t>
      </w:r>
    </w:p>
    <w:p w14:paraId="547A1B73" w14:textId="77777777" w:rsidR="00A720EB" w:rsidRDefault="00E10349">
      <w:pPr>
        <w:pStyle w:val="a3"/>
        <w:rPr>
          <w:sz w:val="19"/>
        </w:rPr>
      </w:pPr>
      <w:r>
        <w:pict w14:anchorId="0779258C">
          <v:group id="_x0000_s3110" style="position:absolute;margin-left:47.85pt;margin-top:13.15pt;width:499.55pt;height:37.5pt;z-index:-15209472;mso-wrap-distance-left:0;mso-wrap-distance-right:0;mso-position-horizontal-relative:page" coordorigin="957,263" coordsize="9991,750">
            <v:shape id="_x0000_s3113" style="position:absolute;left:964;top:270;width:9976;height:735" coordorigin="965,270" coordsize="9976,735" path="m10861,270r-9816,l1014,276r-26,18l971,319r-6,31l965,925r6,31l988,982r26,17l1045,1005r9816,l10892,999r25,-17l10935,956r6,-31l10941,350r-6,-31l10917,294r-25,-18l10861,270xe" fillcolor="#f5f5f5" stroked="f">
              <v:path arrowok="t"/>
            </v:shape>
            <v:shape id="_x0000_s3112" style="position:absolute;left:964;top:270;width:9976;height:735" coordorigin="965,270" coordsize="9976,735" path="m1045,270r9816,l10892,276r25,18l10935,319r6,31l10941,925r-6,31l10917,982r-25,17l10861,1005r-9816,l1014,999,988,982,971,956r-6,-31l965,350r6,-31l988,294r26,-18l1045,270xe" filled="f" strokecolor="#ccc">
              <v:path arrowok="t"/>
            </v:shape>
            <v:shape id="_x0000_s3111" type="#_x0000_t202" style="position:absolute;left:984;top:285;width:9938;height:704" filled="f" stroked="f">
              <v:textbox inset="0,0,0,0">
                <w:txbxContent>
                  <w:p w14:paraId="665208EF"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.export.datadog.step=30s</w:t>
                    </w:r>
                  </w:p>
                </w:txbxContent>
              </v:textbox>
            </v:shape>
            <w10:wrap type="topAndBottom" anchorx="page"/>
          </v:group>
        </w:pict>
      </w:r>
    </w:p>
    <w:p w14:paraId="6B7BDBB3" w14:textId="77777777" w:rsidR="00A720EB" w:rsidRDefault="00A720EB">
      <w:pPr>
        <w:pStyle w:val="a3"/>
        <w:spacing w:before="11"/>
        <w:rPr>
          <w:sz w:val="16"/>
        </w:rPr>
      </w:pPr>
    </w:p>
    <w:p w14:paraId="09A84277" w14:textId="77777777" w:rsidR="00A720EB" w:rsidRDefault="0030286B">
      <w:pPr>
        <w:pStyle w:val="4"/>
        <w:spacing w:before="104"/>
        <w:jc w:val="left"/>
      </w:pPr>
      <w:bookmarkStart w:id="628" w:name="Dynatrace"/>
      <w:bookmarkEnd w:id="628"/>
      <w:r>
        <w:rPr>
          <w:color w:val="333333"/>
          <w:w w:val="110"/>
        </w:rPr>
        <w:t>Dynatrace</w:t>
      </w:r>
    </w:p>
    <w:p w14:paraId="170A7A04" w14:textId="77777777" w:rsidR="00A720EB" w:rsidRDefault="00A720EB">
      <w:pPr>
        <w:pStyle w:val="a3"/>
        <w:spacing w:before="11"/>
        <w:rPr>
          <w:rFonts w:ascii="Palatino Linotype"/>
          <w:b/>
          <w:sz w:val="18"/>
        </w:rPr>
      </w:pPr>
    </w:p>
    <w:p w14:paraId="07F7BA6E" w14:textId="77777777" w:rsidR="00A720EB" w:rsidRDefault="0030286B">
      <w:pPr>
        <w:pStyle w:val="a3"/>
        <w:spacing w:line="307" w:lineRule="auto"/>
        <w:ind w:left="124" w:right="462"/>
      </w:pPr>
      <w:r>
        <w:rPr>
          <w:color w:val="333333"/>
          <w:w w:val="110"/>
        </w:rPr>
        <w:t xml:space="preserve">Dynatrace registry pushes metrics to the configured URI </w:t>
      </w:r>
      <w:r>
        <w:rPr>
          <w:color w:val="333333"/>
          <w:spacing w:val="-3"/>
          <w:w w:val="110"/>
        </w:rPr>
        <w:t xml:space="preserve">periodically. </w:t>
      </w:r>
      <w:r>
        <w:rPr>
          <w:color w:val="333333"/>
          <w:spacing w:val="-4"/>
          <w:w w:val="110"/>
        </w:rPr>
        <w:t xml:space="preserve">To </w:t>
      </w:r>
      <w:r>
        <w:rPr>
          <w:color w:val="333333"/>
          <w:w w:val="110"/>
        </w:rPr>
        <w:t>export metrics</w:t>
      </w:r>
      <w:r>
        <w:rPr>
          <w:color w:val="333333"/>
          <w:spacing w:val="50"/>
          <w:w w:val="110"/>
        </w:rPr>
        <w:t xml:space="preserve"> </w:t>
      </w:r>
      <w:r>
        <w:rPr>
          <w:color w:val="333333"/>
          <w:w w:val="110"/>
        </w:rPr>
        <w:t xml:space="preserve">to  </w:t>
      </w:r>
      <w:hyperlink r:id="rId489">
        <w:r>
          <w:rPr>
            <w:color w:val="418BCA"/>
            <w:w w:val="110"/>
          </w:rPr>
          <w:t>Dynatrace</w:t>
        </w:r>
      </w:hyperlink>
      <w:r>
        <w:rPr>
          <w:color w:val="333333"/>
          <w:w w:val="110"/>
        </w:rPr>
        <w:t>, your API token, device ID, and URI must be</w:t>
      </w:r>
      <w:r>
        <w:rPr>
          <w:color w:val="333333"/>
          <w:spacing w:val="32"/>
          <w:w w:val="110"/>
        </w:rPr>
        <w:t xml:space="preserve"> </w:t>
      </w:r>
      <w:r>
        <w:rPr>
          <w:color w:val="333333"/>
          <w:w w:val="110"/>
        </w:rPr>
        <w:t>provided:</w:t>
      </w:r>
    </w:p>
    <w:p w14:paraId="45B7D2AC" w14:textId="77777777" w:rsidR="00A720EB" w:rsidRDefault="00E10349">
      <w:pPr>
        <w:pStyle w:val="a3"/>
        <w:spacing w:before="2"/>
        <w:rPr>
          <w:sz w:val="13"/>
        </w:rPr>
      </w:pPr>
      <w:r>
        <w:pict w14:anchorId="4DA21631">
          <v:group id="_x0000_s3106" style="position:absolute;margin-left:47.85pt;margin-top:9.7pt;width:499.55pt;height:67pt;z-index:-15208960;mso-wrap-distance-left:0;mso-wrap-distance-right:0;mso-position-horizontal-relative:page" coordorigin="957,194" coordsize="9991,1340">
            <v:shape id="_x0000_s3109" style="position:absolute;left:964;top:201;width:9976;height:1325" coordorigin="965,202" coordsize="9976,1325" path="m10861,202r-9816,l1014,208r-26,17l971,251r-6,31l965,1446r6,31l988,1503r26,17l1045,1526r9816,l10892,1520r25,-17l10935,1477r6,-31l10941,282r-6,-31l10917,225r-25,-17l10861,202xe" fillcolor="#f5f5f5" stroked="f">
              <v:path arrowok="t"/>
            </v:shape>
            <v:shape id="_x0000_s3108" style="position:absolute;left:964;top:201;width:9976;height:1325" coordorigin="965,202" coordsize="9976,1325" path="m1045,202r9816,l10892,208r25,17l10935,251r6,31l10941,1446r-6,31l10917,1503r-25,17l10861,1526r-9816,l1014,1520r-26,-17l971,1477r-6,-31l965,282r6,-31l988,225r26,-17l1045,202xe" filled="f" strokecolor="#ccc">
              <v:path arrowok="t"/>
            </v:shape>
            <v:shape id="_x0000_s3107" type="#_x0000_t202" style="position:absolute;left:984;top:217;width:9938;height:1294" filled="f" stroked="f">
              <v:textbox inset="0,0,0,0">
                <w:txbxContent>
                  <w:p w14:paraId="144EEAB3" w14:textId="77777777" w:rsidR="00711A16" w:rsidRDefault="00711A16">
                    <w:pPr>
                      <w:spacing w:before="221" w:line="252" w:lineRule="auto"/>
                      <w:ind w:left="200" w:right="3134"/>
                      <w:rPr>
                        <w:rFonts w:ascii="MS Gothic"/>
                      </w:rPr>
                    </w:pPr>
                    <w:r>
                      <w:rPr>
                        <w:rFonts w:ascii="MS Gothic"/>
                        <w:color w:val="333333"/>
                      </w:rPr>
                      <w:t xml:space="preserve">management.metrics.export.dynatrace.api-token=YOUR_TOKEN </w:t>
                    </w:r>
                    <w:proofErr w:type="gramStart"/>
                    <w:r>
                      <w:rPr>
                        <w:rFonts w:ascii="MS Gothic"/>
                        <w:color w:val="333333"/>
                      </w:rPr>
                      <w:t>management.metrics</w:t>
                    </w:r>
                    <w:proofErr w:type="gramEnd"/>
                    <w:r>
                      <w:rPr>
                        <w:rFonts w:ascii="MS Gothic"/>
                        <w:color w:val="333333"/>
                      </w:rPr>
                      <w:t>.export.dynatrace.device-id=YOUR_DEVICE_ID management.metrics.export.dynatrace.uri=YOUR_URI</w:t>
                    </w:r>
                  </w:p>
                </w:txbxContent>
              </v:textbox>
            </v:shape>
            <w10:wrap type="topAndBottom" anchorx="page"/>
          </v:group>
        </w:pict>
      </w:r>
    </w:p>
    <w:p w14:paraId="3819D99D" w14:textId="77777777" w:rsidR="00A720EB" w:rsidRDefault="00A720EB">
      <w:pPr>
        <w:pStyle w:val="a3"/>
        <w:rPr>
          <w:sz w:val="10"/>
        </w:rPr>
      </w:pPr>
    </w:p>
    <w:p w14:paraId="52BE40AA" w14:textId="77777777" w:rsidR="00A720EB" w:rsidRDefault="0030286B">
      <w:pPr>
        <w:pStyle w:val="a3"/>
        <w:spacing w:before="125"/>
        <w:ind w:left="124"/>
      </w:pPr>
      <w:r>
        <w:rPr>
          <w:color w:val="333333"/>
          <w:w w:val="110"/>
        </w:rPr>
        <w:t>You can also change the interval at which metrics are sent to Dynatrace:</w:t>
      </w:r>
    </w:p>
    <w:p w14:paraId="67C3916C" w14:textId="77777777" w:rsidR="00A720EB" w:rsidRDefault="00E10349">
      <w:pPr>
        <w:pStyle w:val="a3"/>
        <w:rPr>
          <w:sz w:val="19"/>
        </w:rPr>
      </w:pPr>
      <w:r>
        <w:pict w14:anchorId="5E3A47B1">
          <v:group id="_x0000_s3102" style="position:absolute;margin-left:47.85pt;margin-top:13.15pt;width:499.55pt;height:37.5pt;z-index:-15208448;mso-wrap-distance-left:0;mso-wrap-distance-right:0;mso-position-horizontal-relative:page" coordorigin="957,263" coordsize="9991,750">
            <v:shape id="_x0000_s3105" style="position:absolute;left:964;top:270;width:9976;height:735" coordorigin="965,270" coordsize="9976,735" path="m10861,270r-9816,l1014,276r-26,18l971,319r-6,31l965,925r6,31l988,982r26,17l1045,1005r9816,l10892,999r25,-17l10935,956r6,-31l10941,350r-6,-31l10917,294r-25,-18l10861,270xe" fillcolor="#f5f5f5" stroked="f">
              <v:path arrowok="t"/>
            </v:shape>
            <v:shape id="_x0000_s3104" style="position:absolute;left:964;top:270;width:9976;height:735" coordorigin="965,270" coordsize="9976,735" path="m1045,270r9816,l10892,276r25,18l10935,319r6,31l10941,925r-6,31l10917,982r-25,17l10861,1005r-9816,l1014,999,988,982,971,956r-6,-31l965,350r6,-31l988,294r26,-18l1045,270xe" filled="f" strokecolor="#ccc">
              <v:path arrowok="t"/>
            </v:shape>
            <v:shape id="_x0000_s3103" type="#_x0000_t202" style="position:absolute;left:984;top:285;width:9938;height:704" filled="f" stroked="f">
              <v:textbox inset="0,0,0,0">
                <w:txbxContent>
                  <w:p w14:paraId="2184C99F"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.export.dynatrace.step=30s</w:t>
                    </w:r>
                  </w:p>
                </w:txbxContent>
              </v:textbox>
            </v:shape>
            <w10:wrap type="topAndBottom" anchorx="page"/>
          </v:group>
        </w:pict>
      </w:r>
    </w:p>
    <w:p w14:paraId="54AECA01" w14:textId="77777777" w:rsidR="00A720EB" w:rsidRDefault="00A720EB">
      <w:pPr>
        <w:pStyle w:val="a3"/>
        <w:spacing w:before="11"/>
        <w:rPr>
          <w:sz w:val="16"/>
        </w:rPr>
      </w:pPr>
    </w:p>
    <w:p w14:paraId="5088662C" w14:textId="77777777" w:rsidR="00A720EB" w:rsidRDefault="0030286B">
      <w:pPr>
        <w:pStyle w:val="4"/>
        <w:spacing w:before="104"/>
        <w:jc w:val="left"/>
      </w:pPr>
      <w:bookmarkStart w:id="629" w:name="Elastic"/>
      <w:bookmarkEnd w:id="629"/>
      <w:r>
        <w:rPr>
          <w:color w:val="333333"/>
          <w:w w:val="115"/>
        </w:rPr>
        <w:t>Elastic</w:t>
      </w:r>
    </w:p>
    <w:p w14:paraId="1BC48FB6" w14:textId="77777777" w:rsidR="00A720EB" w:rsidRDefault="00A720EB">
      <w:pPr>
        <w:pStyle w:val="a3"/>
        <w:spacing w:before="11"/>
        <w:rPr>
          <w:rFonts w:ascii="Palatino Linotype"/>
          <w:b/>
          <w:sz w:val="18"/>
        </w:rPr>
      </w:pPr>
    </w:p>
    <w:p w14:paraId="5EC9F7E8" w14:textId="77777777" w:rsidR="00A720EB" w:rsidRDefault="0030286B">
      <w:pPr>
        <w:pStyle w:val="a3"/>
        <w:spacing w:line="307" w:lineRule="auto"/>
        <w:ind w:left="124" w:right="462"/>
      </w:pPr>
      <w:r>
        <w:rPr>
          <w:color w:val="333333"/>
          <w:spacing w:val="-3"/>
          <w:w w:val="110"/>
        </w:rPr>
        <w:t xml:space="preserve">By </w:t>
      </w:r>
      <w:r>
        <w:rPr>
          <w:color w:val="333333"/>
          <w:w w:val="110"/>
        </w:rPr>
        <w:t xml:space="preserve">default, metrics are exported to </w:t>
      </w:r>
      <w:hyperlink r:id="rId490">
        <w:r>
          <w:rPr>
            <w:color w:val="418BCA"/>
            <w:w w:val="110"/>
          </w:rPr>
          <w:t>Elastic</w:t>
        </w:r>
      </w:hyperlink>
      <w:r>
        <w:rPr>
          <w:color w:val="418BCA"/>
          <w:w w:val="110"/>
        </w:rPr>
        <w:t xml:space="preserve"> </w:t>
      </w:r>
      <w:r>
        <w:rPr>
          <w:color w:val="333333"/>
          <w:w w:val="110"/>
        </w:rPr>
        <w:t xml:space="preserve">running on your local machine. </w:t>
      </w:r>
      <w:proofErr w:type="gramStart"/>
      <w:r>
        <w:rPr>
          <w:color w:val="333333"/>
          <w:w w:val="110"/>
        </w:rPr>
        <w:t>The  location</w:t>
      </w:r>
      <w:proofErr w:type="gramEnd"/>
      <w:r>
        <w:rPr>
          <w:color w:val="333333"/>
          <w:w w:val="110"/>
        </w:rPr>
        <w:t xml:space="preserve">  of  the  Elastic server to use can be provided using the following</w:t>
      </w:r>
      <w:r>
        <w:rPr>
          <w:color w:val="333333"/>
          <w:spacing w:val="32"/>
          <w:w w:val="110"/>
        </w:rPr>
        <w:t xml:space="preserve"> </w:t>
      </w:r>
      <w:r>
        <w:rPr>
          <w:color w:val="333333"/>
          <w:w w:val="110"/>
        </w:rPr>
        <w:t>property:</w:t>
      </w:r>
    </w:p>
    <w:p w14:paraId="0538615E" w14:textId="77777777" w:rsidR="00A720EB" w:rsidRDefault="00E10349">
      <w:pPr>
        <w:pStyle w:val="a3"/>
        <w:spacing w:before="2"/>
        <w:rPr>
          <w:sz w:val="13"/>
        </w:rPr>
      </w:pPr>
      <w:r>
        <w:pict w14:anchorId="7CDD2EBC">
          <v:group id="_x0000_s3098" style="position:absolute;margin-left:47.85pt;margin-top:9.7pt;width:499.55pt;height:37.5pt;z-index:-15207936;mso-wrap-distance-left:0;mso-wrap-distance-right:0;mso-position-horizontal-relative:page" coordorigin="957,194" coordsize="9991,750">
            <v:shape id="_x0000_s3101"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3100"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3099" type="#_x0000_t202" style="position:absolute;left:984;top:217;width:9938;height:704" filled="f" stroked="f">
              <v:textbox inset="0,0,0,0">
                <w:txbxContent>
                  <w:p w14:paraId="394195D3"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.export.elastic.host=https://elastic.example.com:8086</w:t>
                    </w:r>
                  </w:p>
                </w:txbxContent>
              </v:textbox>
            </v:shape>
            <w10:wrap type="topAndBottom" anchorx="page"/>
          </v:group>
        </w:pict>
      </w:r>
    </w:p>
    <w:p w14:paraId="5EFBFDB5" w14:textId="77777777" w:rsidR="00A720EB" w:rsidRDefault="00A720EB">
      <w:pPr>
        <w:pStyle w:val="a3"/>
        <w:spacing w:before="11"/>
        <w:rPr>
          <w:sz w:val="16"/>
        </w:rPr>
      </w:pPr>
    </w:p>
    <w:p w14:paraId="0440E931" w14:textId="77777777" w:rsidR="00A720EB" w:rsidRDefault="0030286B">
      <w:pPr>
        <w:pStyle w:val="4"/>
        <w:spacing w:before="104"/>
        <w:jc w:val="left"/>
      </w:pPr>
      <w:bookmarkStart w:id="630" w:name="Ganglia"/>
      <w:bookmarkEnd w:id="630"/>
      <w:r>
        <w:rPr>
          <w:color w:val="333333"/>
          <w:w w:val="105"/>
        </w:rPr>
        <w:t>Ganglia</w:t>
      </w:r>
    </w:p>
    <w:p w14:paraId="493EA782" w14:textId="77777777" w:rsidR="00A720EB" w:rsidRDefault="00A720EB">
      <w:pPr>
        <w:pStyle w:val="a3"/>
        <w:spacing w:before="11"/>
        <w:rPr>
          <w:rFonts w:ascii="Palatino Linotype"/>
          <w:b/>
          <w:sz w:val="18"/>
        </w:rPr>
      </w:pPr>
    </w:p>
    <w:p w14:paraId="03AD149A" w14:textId="77777777" w:rsidR="00A720EB" w:rsidRDefault="0030286B">
      <w:pPr>
        <w:pStyle w:val="a3"/>
        <w:spacing w:line="307" w:lineRule="auto"/>
        <w:ind w:left="124" w:right="359"/>
      </w:pPr>
      <w:r>
        <w:rPr>
          <w:color w:val="333333"/>
          <w:w w:val="110"/>
        </w:rPr>
        <w:t xml:space="preserve">By default, metrics are exported to </w:t>
      </w:r>
      <w:hyperlink r:id="rId491">
        <w:r>
          <w:rPr>
            <w:color w:val="418BCA"/>
            <w:w w:val="110"/>
          </w:rPr>
          <w:t xml:space="preserve">Ganglia </w:t>
        </w:r>
      </w:hyperlink>
      <w:r>
        <w:rPr>
          <w:color w:val="333333"/>
          <w:w w:val="110"/>
        </w:rPr>
        <w:t xml:space="preserve">running on your local machine. The </w:t>
      </w:r>
      <w:hyperlink r:id="rId492">
        <w:r>
          <w:rPr>
            <w:color w:val="418BCA"/>
            <w:w w:val="110"/>
          </w:rPr>
          <w:t xml:space="preserve">Ganglia server </w:t>
        </w:r>
      </w:hyperlink>
      <w:r>
        <w:rPr>
          <w:color w:val="333333"/>
          <w:w w:val="110"/>
        </w:rPr>
        <w:t>host and port to use can be provided using:</w:t>
      </w:r>
    </w:p>
    <w:p w14:paraId="21FBFA6A" w14:textId="77777777" w:rsidR="00A720EB" w:rsidRDefault="00E10349">
      <w:pPr>
        <w:pStyle w:val="a3"/>
        <w:spacing w:before="2"/>
        <w:rPr>
          <w:sz w:val="13"/>
        </w:rPr>
      </w:pPr>
      <w:r>
        <w:pict w14:anchorId="4C56CF8B">
          <v:group id="_x0000_s3094" style="position:absolute;margin-left:47.85pt;margin-top:9.7pt;width:499.55pt;height:52.25pt;z-index:-15207424;mso-wrap-distance-left:0;mso-wrap-distance-right:0;mso-position-horizontal-relative:page" coordorigin="957,194" coordsize="9991,1045">
            <v:shape id="_x0000_s3097" style="position:absolute;left:964;top:201;width:9976;height:1030" coordorigin="965,201" coordsize="9976,1030" path="m10861,201r-9816,l1014,208r-26,17l971,250r-6,31l965,1151r6,31l988,1208r26,17l1045,1231r9816,l10892,1225r25,-17l10935,1182r6,-31l10941,281r-6,-31l10917,225r-25,-17l10861,201xe" fillcolor="#f5f5f5" stroked="f">
              <v:path arrowok="t"/>
            </v:shape>
            <v:shape id="_x0000_s3096" style="position:absolute;left:964;top:201;width:9976;height:1030" coordorigin="965,201" coordsize="9976,1030" path="m1045,201r9816,l10892,208r25,17l10935,250r6,31l10941,1151r-6,31l10917,1208r-25,17l10861,1231r-9816,l1014,1225r-26,-17l971,1182r-6,-31l965,281r6,-31l988,225r26,-17l1045,201xe" filled="f" strokecolor="#ccc">
              <v:path arrowok="t"/>
            </v:shape>
            <v:shape id="_x0000_s3095" type="#_x0000_t202" style="position:absolute;left:984;top:216;width:9938;height:999" filled="f" stroked="f">
              <v:textbox inset="0,0,0,0">
                <w:txbxContent>
                  <w:p w14:paraId="1F70BE9E" w14:textId="77777777" w:rsidR="00711A16" w:rsidRDefault="00711A16">
                    <w:pPr>
                      <w:spacing w:before="221" w:line="252" w:lineRule="auto"/>
                      <w:ind w:left="200" w:right="3338"/>
                      <w:rPr>
                        <w:rFonts w:ascii="MS Gothic"/>
                      </w:rPr>
                    </w:pPr>
                    <w:r>
                      <w:rPr>
                        <w:rFonts w:ascii="MS Gothic"/>
                        <w:color w:val="333333"/>
                      </w:rPr>
                      <w:t xml:space="preserve">management.metrics.export.ganglia.host=ganglia.example.com </w:t>
                    </w:r>
                    <w:proofErr w:type="gramStart"/>
                    <w:r>
                      <w:rPr>
                        <w:rFonts w:ascii="MS Gothic"/>
                        <w:color w:val="333333"/>
                      </w:rPr>
                      <w:t>management.metrics</w:t>
                    </w:r>
                    <w:proofErr w:type="gramEnd"/>
                    <w:r>
                      <w:rPr>
                        <w:rFonts w:ascii="MS Gothic"/>
                        <w:color w:val="333333"/>
                      </w:rPr>
                      <w:t>.export.ganglia.port=9649</w:t>
                    </w:r>
                  </w:p>
                </w:txbxContent>
              </v:textbox>
            </v:shape>
            <w10:wrap type="topAndBottom" anchorx="page"/>
          </v:group>
        </w:pict>
      </w:r>
    </w:p>
    <w:p w14:paraId="5AC27D43" w14:textId="77777777" w:rsidR="00A720EB" w:rsidRDefault="00A720EB">
      <w:pPr>
        <w:rPr>
          <w:sz w:val="13"/>
        </w:rPr>
        <w:sectPr w:rsidR="00A720EB">
          <w:pgSz w:w="11910" w:h="16840"/>
          <w:pgMar w:top="700" w:right="840" w:bottom="520" w:left="840" w:header="0" w:footer="323" w:gutter="0"/>
          <w:cols w:space="720"/>
        </w:sectPr>
      </w:pPr>
    </w:p>
    <w:p w14:paraId="724C5B7D" w14:textId="77777777" w:rsidR="00A720EB" w:rsidRDefault="0030286B">
      <w:pPr>
        <w:pStyle w:val="4"/>
        <w:spacing w:before="86"/>
        <w:jc w:val="left"/>
      </w:pPr>
      <w:bookmarkStart w:id="631" w:name="Graphite"/>
      <w:bookmarkEnd w:id="631"/>
      <w:r>
        <w:rPr>
          <w:color w:val="333333"/>
          <w:w w:val="110"/>
        </w:rPr>
        <w:lastRenderedPageBreak/>
        <w:t>Graphite</w:t>
      </w:r>
    </w:p>
    <w:p w14:paraId="765EB6AE" w14:textId="77777777" w:rsidR="00A720EB" w:rsidRDefault="00A720EB">
      <w:pPr>
        <w:pStyle w:val="a3"/>
        <w:spacing w:before="11"/>
        <w:rPr>
          <w:rFonts w:ascii="Palatino Linotype"/>
          <w:b/>
          <w:sz w:val="18"/>
        </w:rPr>
      </w:pPr>
    </w:p>
    <w:p w14:paraId="2A931D2F" w14:textId="77777777" w:rsidR="00A720EB" w:rsidRDefault="0030286B">
      <w:pPr>
        <w:pStyle w:val="a3"/>
        <w:spacing w:line="307" w:lineRule="auto"/>
        <w:ind w:left="124" w:right="359"/>
      </w:pPr>
      <w:r>
        <w:rPr>
          <w:color w:val="333333"/>
          <w:spacing w:val="-3"/>
          <w:w w:val="110"/>
        </w:rPr>
        <w:t xml:space="preserve">By </w:t>
      </w:r>
      <w:r>
        <w:rPr>
          <w:color w:val="333333"/>
          <w:w w:val="110"/>
        </w:rPr>
        <w:t xml:space="preserve">default, metrics are exported to </w:t>
      </w:r>
      <w:hyperlink r:id="rId493">
        <w:r>
          <w:rPr>
            <w:color w:val="418BCA"/>
            <w:w w:val="110"/>
          </w:rPr>
          <w:t>Graphite</w:t>
        </w:r>
      </w:hyperlink>
      <w:r>
        <w:rPr>
          <w:color w:val="418BCA"/>
          <w:w w:val="110"/>
        </w:rPr>
        <w:t xml:space="preserve"> </w:t>
      </w:r>
      <w:r>
        <w:rPr>
          <w:color w:val="333333"/>
          <w:w w:val="110"/>
        </w:rPr>
        <w:t xml:space="preserve">running on your local machine. The </w:t>
      </w:r>
      <w:hyperlink r:id="rId494">
        <w:r>
          <w:rPr>
            <w:color w:val="418BCA"/>
            <w:w w:val="110"/>
          </w:rPr>
          <w:t>Graphite server</w:t>
        </w:r>
      </w:hyperlink>
      <w:r>
        <w:rPr>
          <w:color w:val="418BCA"/>
          <w:w w:val="110"/>
        </w:rPr>
        <w:t xml:space="preserve">   </w:t>
      </w:r>
      <w:r>
        <w:rPr>
          <w:color w:val="333333"/>
          <w:w w:val="110"/>
        </w:rPr>
        <w:t>host and port to use can be provided</w:t>
      </w:r>
      <w:r>
        <w:rPr>
          <w:color w:val="333333"/>
          <w:spacing w:val="21"/>
          <w:w w:val="110"/>
        </w:rPr>
        <w:t xml:space="preserve"> </w:t>
      </w:r>
      <w:r>
        <w:rPr>
          <w:color w:val="333333"/>
          <w:w w:val="110"/>
        </w:rPr>
        <w:t>using:</w:t>
      </w:r>
    </w:p>
    <w:p w14:paraId="68D3642C" w14:textId="77777777" w:rsidR="00A720EB" w:rsidRDefault="00E10349">
      <w:pPr>
        <w:pStyle w:val="a3"/>
        <w:spacing w:before="2"/>
        <w:rPr>
          <w:sz w:val="13"/>
        </w:rPr>
      </w:pPr>
      <w:r>
        <w:pict w14:anchorId="3964DB0B">
          <v:group id="_x0000_s3090" style="position:absolute;margin-left:47.85pt;margin-top:9.7pt;width:499.55pt;height:52.25pt;z-index:-15206912;mso-wrap-distance-left:0;mso-wrap-distance-right:0;mso-position-horizontal-relative:page" coordorigin="957,194" coordsize="9991,1045">
            <v:shape id="_x0000_s3093" style="position:absolute;left:964;top:201;width:9976;height:1030" coordorigin="965,202" coordsize="9976,1030" path="m10861,202r-9816,l1014,208r-26,17l971,250r-6,32l965,1151r6,31l988,1208r26,17l1045,1231r9816,l10892,1225r25,-17l10935,1182r6,-31l10941,282r-6,-32l10917,225r-25,-17l10861,202xe" fillcolor="#f5f5f5" stroked="f">
              <v:path arrowok="t"/>
            </v:shape>
            <v:shape id="_x0000_s3092" style="position:absolute;left:964;top:201;width:9976;height:1030" coordorigin="965,202" coordsize="9976,1030" path="m1045,202r9816,l10892,208r25,17l10935,250r6,32l10941,1151r-6,31l10917,1208r-25,17l10861,1231r-9816,l1014,1225r-26,-17l971,1182r-6,-31l965,282r6,-32l988,225r26,-17l1045,202xe" filled="f" strokecolor="#ccc">
              <v:path arrowok="t"/>
            </v:shape>
            <v:shape id="_x0000_s3091" type="#_x0000_t202" style="position:absolute;left:984;top:217;width:9938;height:999" filled="f" stroked="f">
              <v:textbox inset="0,0,0,0">
                <w:txbxContent>
                  <w:p w14:paraId="102D7A79" w14:textId="77777777" w:rsidR="00711A16" w:rsidRDefault="00711A16">
                    <w:pPr>
                      <w:spacing w:before="221" w:line="252" w:lineRule="auto"/>
                      <w:ind w:left="200" w:right="3118"/>
                      <w:rPr>
                        <w:rFonts w:ascii="MS Gothic"/>
                      </w:rPr>
                    </w:pPr>
                    <w:r>
                      <w:rPr>
                        <w:rFonts w:ascii="MS Gothic"/>
                        <w:color w:val="333333"/>
                      </w:rPr>
                      <w:t xml:space="preserve">management.metrics.export.graphite.host=graphite.example.com </w:t>
                    </w:r>
                    <w:proofErr w:type="gramStart"/>
                    <w:r>
                      <w:rPr>
                        <w:rFonts w:ascii="MS Gothic"/>
                        <w:color w:val="333333"/>
                      </w:rPr>
                      <w:t>management.metrics</w:t>
                    </w:r>
                    <w:proofErr w:type="gramEnd"/>
                    <w:r>
                      <w:rPr>
                        <w:rFonts w:ascii="MS Gothic"/>
                        <w:color w:val="333333"/>
                      </w:rPr>
                      <w:t>.export.graphite.port=9004</w:t>
                    </w:r>
                  </w:p>
                </w:txbxContent>
              </v:textbox>
            </v:shape>
            <w10:wrap type="topAndBottom" anchorx="page"/>
          </v:group>
        </w:pict>
      </w:r>
    </w:p>
    <w:p w14:paraId="10B6CC7F" w14:textId="77777777" w:rsidR="00A720EB" w:rsidRDefault="00A720EB">
      <w:pPr>
        <w:pStyle w:val="a3"/>
        <w:spacing w:before="11"/>
        <w:rPr>
          <w:sz w:val="9"/>
        </w:rPr>
      </w:pPr>
    </w:p>
    <w:p w14:paraId="4FCFD5D0" w14:textId="77777777" w:rsidR="00A720EB" w:rsidRDefault="0030286B">
      <w:pPr>
        <w:pStyle w:val="a3"/>
        <w:spacing w:before="115" w:line="290" w:lineRule="auto"/>
        <w:ind w:left="124"/>
      </w:pPr>
      <w:r>
        <w:rPr>
          <w:color w:val="333333"/>
          <w:w w:val="110"/>
        </w:rPr>
        <w:t xml:space="preserve">Micrometer provides a default </w:t>
      </w:r>
      <w:r>
        <w:rPr>
          <w:rFonts w:ascii="MS Gothic"/>
          <w:color w:val="B02045"/>
          <w:w w:val="110"/>
        </w:rPr>
        <w:t xml:space="preserve">HierarchicalNameMapper </w:t>
      </w:r>
      <w:r>
        <w:rPr>
          <w:color w:val="333333"/>
          <w:w w:val="110"/>
        </w:rPr>
        <w:t xml:space="preserve">that governs how a dimensional meter id is </w:t>
      </w:r>
      <w:hyperlink r:id="rId495" w:anchor="_hierarchical_name_mapping">
        <w:r>
          <w:rPr>
            <w:color w:val="418BCA"/>
            <w:w w:val="110"/>
          </w:rPr>
          <w:t>mapped to flat hierarchical names</w:t>
        </w:r>
      </w:hyperlink>
      <w:r>
        <w:rPr>
          <w:color w:val="333333"/>
          <w:w w:val="110"/>
        </w:rPr>
        <w:t>.</w:t>
      </w:r>
    </w:p>
    <w:p w14:paraId="734A76CF" w14:textId="77777777" w:rsidR="00A720EB" w:rsidRDefault="00A720EB">
      <w:pPr>
        <w:pStyle w:val="a3"/>
        <w:spacing w:before="1"/>
        <w:rPr>
          <w:sz w:val="18"/>
        </w:rPr>
      </w:pPr>
    </w:p>
    <w:p w14:paraId="0ABCD2C5" w14:textId="77777777" w:rsidR="00A720EB" w:rsidRDefault="00E10349">
      <w:pPr>
        <w:pStyle w:val="a3"/>
        <w:spacing w:before="116" w:line="285" w:lineRule="auto"/>
        <w:ind w:left="1564" w:right="362"/>
        <w:jc w:val="both"/>
      </w:pPr>
      <w:r>
        <w:pict w14:anchorId="6D33FCC6">
          <v:line id="_x0000_s3089" style="position:absolute;left:0;text-align:left;z-index:16252928;mso-position-horizontal-relative:page" from="108.25pt,.35pt" to="108.25pt,55.7pt" strokecolor="#ededed" strokeweight=".5pt">
            <w10:wrap anchorx="page"/>
          </v:line>
        </w:pict>
      </w:r>
      <w:r w:rsidR="0030286B">
        <w:rPr>
          <w:noProof/>
        </w:rPr>
        <w:drawing>
          <wp:anchor distT="0" distB="0" distL="0" distR="0" simplePos="0" relativeHeight="16253440" behindDoc="0" locked="0" layoutInCell="1" allowOverlap="1" wp14:anchorId="7E753894" wp14:editId="72088152">
            <wp:simplePos x="0" y="0"/>
            <wp:positionH relativeFrom="page">
              <wp:posOffset>888949</wp:posOffset>
            </wp:positionH>
            <wp:positionV relativeFrom="paragraph">
              <wp:posOffset>203275</wp:posOffset>
            </wp:positionV>
            <wp:extent cx="209550" cy="304800"/>
            <wp:effectExtent l="0" t="0" r="0" b="0"/>
            <wp:wrapNone/>
            <wp:docPr id="63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4"/>
          <w:w w:val="110"/>
        </w:rPr>
        <w:t xml:space="preserve">To </w:t>
      </w:r>
      <w:r w:rsidR="0030286B">
        <w:rPr>
          <w:color w:val="333333"/>
          <w:w w:val="110"/>
        </w:rPr>
        <w:t xml:space="preserve">take control over this behaviour, define your </w:t>
      </w:r>
      <w:r w:rsidR="0030286B">
        <w:rPr>
          <w:rFonts w:ascii="MS Gothic"/>
          <w:color w:val="B02045"/>
          <w:w w:val="110"/>
        </w:rPr>
        <w:t>GraphiteMeterRegistry</w:t>
      </w:r>
      <w:r w:rsidR="0030286B">
        <w:rPr>
          <w:rFonts w:ascii="MS Gothic"/>
          <w:color w:val="B02045"/>
          <w:spacing w:val="-95"/>
          <w:w w:val="110"/>
        </w:rPr>
        <w:t xml:space="preserve"> </w:t>
      </w:r>
      <w:r w:rsidR="0030286B">
        <w:rPr>
          <w:color w:val="333333"/>
          <w:w w:val="110"/>
        </w:rPr>
        <w:t xml:space="preserve">and supply your own </w:t>
      </w:r>
      <w:r w:rsidR="0030286B">
        <w:rPr>
          <w:rFonts w:ascii="MS Gothic"/>
          <w:color w:val="B02045"/>
          <w:w w:val="110"/>
        </w:rPr>
        <w:t>HierarchicalNameMapper</w:t>
      </w:r>
      <w:r w:rsidR="0030286B">
        <w:rPr>
          <w:color w:val="333333"/>
          <w:w w:val="110"/>
        </w:rPr>
        <w:t xml:space="preserve">. An auto-configured </w:t>
      </w:r>
      <w:r w:rsidR="0030286B">
        <w:rPr>
          <w:rFonts w:ascii="MS Gothic"/>
          <w:color w:val="B02045"/>
          <w:w w:val="110"/>
        </w:rPr>
        <w:t xml:space="preserve">GraphiteConfig </w:t>
      </w:r>
      <w:r w:rsidR="0030286B">
        <w:rPr>
          <w:color w:val="333333"/>
          <w:w w:val="110"/>
        </w:rPr>
        <w:t>and</w:t>
      </w:r>
      <w:r w:rsidR="0030286B">
        <w:rPr>
          <w:color w:val="333333"/>
          <w:spacing w:val="-32"/>
          <w:w w:val="110"/>
        </w:rPr>
        <w:t xml:space="preserve"> </w:t>
      </w:r>
      <w:r w:rsidR="0030286B">
        <w:rPr>
          <w:rFonts w:ascii="MS Gothic"/>
          <w:color w:val="B02045"/>
          <w:w w:val="110"/>
        </w:rPr>
        <w:t xml:space="preserve">Clock </w:t>
      </w:r>
      <w:r w:rsidR="0030286B">
        <w:rPr>
          <w:color w:val="333333"/>
          <w:w w:val="110"/>
        </w:rPr>
        <w:t>beans are provided unless you define your</w:t>
      </w:r>
      <w:r w:rsidR="0030286B">
        <w:rPr>
          <w:color w:val="333333"/>
          <w:spacing w:val="20"/>
          <w:w w:val="110"/>
        </w:rPr>
        <w:t xml:space="preserve"> </w:t>
      </w:r>
      <w:r w:rsidR="0030286B">
        <w:rPr>
          <w:color w:val="333333"/>
          <w:w w:val="110"/>
        </w:rPr>
        <w:t>own:</w:t>
      </w:r>
    </w:p>
    <w:p w14:paraId="08EE94E1" w14:textId="77777777" w:rsidR="00A720EB" w:rsidRDefault="00E10349">
      <w:pPr>
        <w:pStyle w:val="a3"/>
        <w:spacing w:before="11"/>
      </w:pPr>
      <w:r>
        <w:pict w14:anchorId="4B5614DC">
          <v:group id="_x0000_s3085" style="position:absolute;margin-left:47.85pt;margin-top:14.85pt;width:499.55pt;height:96.45pt;z-index:-15206400;mso-wrap-distance-left:0;mso-wrap-distance-right:0;mso-position-horizontal-relative:page" coordorigin="957,297" coordsize="9991,1929">
            <v:shape id="_x0000_s3088" style="position:absolute;left:964;top:304;width:9976;height:1914" coordorigin="965,305" coordsize="9976,1914" path="m10861,305r-9816,l1014,311r-26,17l971,354r-6,31l965,2139r6,31l988,2195r26,17l1045,2219r9816,l10892,2212r25,-17l10935,2170r6,-31l10941,385r-6,-31l10917,328r-25,-17l10861,305xe" fillcolor="#f5f5f5" stroked="f">
              <v:path arrowok="t"/>
            </v:shape>
            <v:shape id="_x0000_s3087" style="position:absolute;left:964;top:304;width:9976;height:1914" coordorigin="965,305" coordsize="9976,1914" path="m1045,305r9816,l10892,311r25,17l10935,354r6,31l10941,2139r-6,31l10917,2195r-25,17l10861,2219r-9816,l1014,2212r-26,-17l971,2170r-6,-31l965,385r6,-31l988,328r26,-17l1045,305xe" filled="f" strokecolor="#ccc">
              <v:path arrowok="t"/>
            </v:shape>
            <v:shape id="_x0000_s3086" type="#_x0000_t202" style="position:absolute;left:984;top:320;width:9938;height:1884" filled="f" stroked="f">
              <v:textbox inset="0,0,0,0">
                <w:txbxContent>
                  <w:p w14:paraId="597B738B" w14:textId="77777777" w:rsidR="00711A16" w:rsidRDefault="00711A16">
                    <w:pPr>
                      <w:spacing w:before="221"/>
                      <w:ind w:left="200"/>
                      <w:rPr>
                        <w:rFonts w:ascii="MS Gothic"/>
                      </w:rPr>
                    </w:pPr>
                    <w:r>
                      <w:rPr>
                        <w:rFonts w:ascii="MS Gothic"/>
                        <w:color w:val="333333"/>
                      </w:rPr>
                      <w:t>@Bean</w:t>
                    </w:r>
                  </w:p>
                  <w:p w14:paraId="700C7149" w14:textId="77777777" w:rsidR="00711A16" w:rsidRDefault="00711A16">
                    <w:pPr>
                      <w:spacing w:before="13"/>
                      <w:ind w:left="200"/>
                      <w:rPr>
                        <w:rFonts w:ascii="MS Gothic"/>
                      </w:rPr>
                    </w:pPr>
                    <w:r>
                      <w:rPr>
                        <w:rFonts w:ascii="MS Gothic"/>
                        <w:color w:val="333333"/>
                      </w:rPr>
                      <w:t xml:space="preserve">public GraphiteMeterRegistry </w:t>
                    </w:r>
                    <w:proofErr w:type="gramStart"/>
                    <w:r>
                      <w:rPr>
                        <w:rFonts w:ascii="MS Gothic"/>
                        <w:color w:val="333333"/>
                      </w:rPr>
                      <w:t>graphiteMeterRegistry(</w:t>
                    </w:r>
                    <w:proofErr w:type="gramEnd"/>
                    <w:r>
                      <w:rPr>
                        <w:rFonts w:ascii="MS Gothic"/>
                        <w:color w:val="333333"/>
                      </w:rPr>
                      <w:t>GraphiteConfig config, Clock clock)</w:t>
                    </w:r>
                  </w:p>
                  <w:p w14:paraId="2862FCE6" w14:textId="77777777" w:rsidR="00711A16" w:rsidRDefault="00711A16">
                    <w:pPr>
                      <w:spacing w:before="13"/>
                      <w:ind w:left="200"/>
                      <w:rPr>
                        <w:rFonts w:ascii="MS Gothic"/>
                      </w:rPr>
                    </w:pPr>
                    <w:r>
                      <w:rPr>
                        <w:rFonts w:ascii="MS Gothic"/>
                        <w:color w:val="333333"/>
                      </w:rPr>
                      <w:t>{</w:t>
                    </w:r>
                  </w:p>
                  <w:p w14:paraId="788CD54C" w14:textId="77777777" w:rsidR="00711A16" w:rsidRDefault="00711A16">
                    <w:pPr>
                      <w:spacing w:before="13"/>
                      <w:ind w:left="640"/>
                      <w:rPr>
                        <w:rFonts w:ascii="MS Gothic"/>
                      </w:rPr>
                    </w:pPr>
                    <w:r>
                      <w:rPr>
                        <w:rFonts w:ascii="MS Gothic"/>
                        <w:color w:val="333333"/>
                      </w:rPr>
                      <w:t xml:space="preserve">return new </w:t>
                    </w:r>
                    <w:proofErr w:type="gramStart"/>
                    <w:r>
                      <w:rPr>
                        <w:rFonts w:ascii="MS Gothic"/>
                        <w:color w:val="333333"/>
                      </w:rPr>
                      <w:t>GraphiteMeterRegistry(</w:t>
                    </w:r>
                    <w:proofErr w:type="gramEnd"/>
                    <w:r>
                      <w:rPr>
                        <w:rFonts w:ascii="MS Gothic"/>
                        <w:color w:val="333333"/>
                      </w:rPr>
                      <w:t>config, clock, MY_HIERARCHICAL_MAPPER);</w:t>
                    </w:r>
                  </w:p>
                  <w:p w14:paraId="4DDFCB54" w14:textId="77777777" w:rsidR="00711A16" w:rsidRDefault="00711A16">
                    <w:pPr>
                      <w:spacing w:before="12"/>
                      <w:ind w:left="200"/>
                      <w:rPr>
                        <w:rFonts w:ascii="MS Gothic"/>
                      </w:rPr>
                    </w:pPr>
                    <w:r>
                      <w:rPr>
                        <w:rFonts w:ascii="MS Gothic"/>
                        <w:color w:val="333333"/>
                      </w:rPr>
                      <w:t>}</w:t>
                    </w:r>
                  </w:p>
                </w:txbxContent>
              </v:textbox>
            </v:shape>
            <w10:wrap type="topAndBottom" anchorx="page"/>
          </v:group>
        </w:pict>
      </w:r>
    </w:p>
    <w:p w14:paraId="43D22FE3" w14:textId="77777777" w:rsidR="00A720EB" w:rsidRDefault="00A720EB">
      <w:pPr>
        <w:pStyle w:val="a3"/>
        <w:spacing w:before="11"/>
        <w:rPr>
          <w:sz w:val="16"/>
        </w:rPr>
      </w:pPr>
    </w:p>
    <w:p w14:paraId="7184017C" w14:textId="77777777" w:rsidR="00A720EB" w:rsidRDefault="0030286B">
      <w:pPr>
        <w:pStyle w:val="4"/>
        <w:spacing w:before="104"/>
        <w:jc w:val="left"/>
      </w:pPr>
      <w:bookmarkStart w:id="632" w:name="Humio"/>
      <w:bookmarkEnd w:id="632"/>
      <w:r>
        <w:rPr>
          <w:color w:val="333333"/>
          <w:w w:val="105"/>
        </w:rPr>
        <w:t>Humio</w:t>
      </w:r>
    </w:p>
    <w:p w14:paraId="7039F312" w14:textId="77777777" w:rsidR="00A720EB" w:rsidRDefault="00A720EB">
      <w:pPr>
        <w:pStyle w:val="a3"/>
        <w:spacing w:before="11"/>
        <w:rPr>
          <w:rFonts w:ascii="Palatino Linotype"/>
          <w:b/>
          <w:sz w:val="18"/>
        </w:rPr>
      </w:pPr>
    </w:p>
    <w:p w14:paraId="7A2EF1A5" w14:textId="77777777" w:rsidR="00A720EB" w:rsidRDefault="0030286B">
      <w:pPr>
        <w:pStyle w:val="a3"/>
        <w:spacing w:line="307" w:lineRule="auto"/>
        <w:ind w:left="124"/>
      </w:pPr>
      <w:r>
        <w:rPr>
          <w:color w:val="333333"/>
          <w:w w:val="110"/>
        </w:rPr>
        <w:t xml:space="preserve">By default, the Humio registry pushes metrics to </w:t>
      </w:r>
      <w:hyperlink r:id="rId496">
        <w:r>
          <w:rPr>
            <w:color w:val="418BCA"/>
            <w:w w:val="110"/>
          </w:rPr>
          <w:t xml:space="preserve">cloud.humio.com </w:t>
        </w:r>
      </w:hyperlink>
      <w:r>
        <w:rPr>
          <w:color w:val="333333"/>
          <w:w w:val="110"/>
        </w:rPr>
        <w:t xml:space="preserve">periodically. To export metrics to SaaS </w:t>
      </w:r>
      <w:hyperlink r:id="rId497">
        <w:r>
          <w:rPr>
            <w:color w:val="418BCA"/>
            <w:w w:val="110"/>
          </w:rPr>
          <w:t>Humio</w:t>
        </w:r>
      </w:hyperlink>
      <w:r>
        <w:rPr>
          <w:color w:val="333333"/>
          <w:w w:val="110"/>
        </w:rPr>
        <w:t>, your API token must be provided:</w:t>
      </w:r>
    </w:p>
    <w:p w14:paraId="75F94DBC" w14:textId="77777777" w:rsidR="00A720EB" w:rsidRDefault="00E10349">
      <w:pPr>
        <w:pStyle w:val="a3"/>
        <w:spacing w:before="2"/>
        <w:rPr>
          <w:sz w:val="13"/>
        </w:rPr>
      </w:pPr>
      <w:r>
        <w:pict w14:anchorId="406B0F51">
          <v:group id="_x0000_s3081" style="position:absolute;margin-left:47.85pt;margin-top:9.7pt;width:499.55pt;height:37.5pt;z-index:-15205888;mso-wrap-distance-left:0;mso-wrap-distance-right:0;mso-position-horizontal-relative:page" coordorigin="957,194" coordsize="9991,750">
            <v:shape id="_x0000_s3084"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3083"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3082" type="#_x0000_t202" style="position:absolute;left:984;top:217;width:9938;height:704" filled="f" stroked="f">
              <v:textbox inset="0,0,0,0">
                <w:txbxContent>
                  <w:p w14:paraId="0FF7606B" w14:textId="77777777" w:rsidR="00711A16" w:rsidRDefault="00711A16">
                    <w:pPr>
                      <w:spacing w:before="221"/>
                      <w:ind w:left="200"/>
                      <w:rPr>
                        <w:rFonts w:ascii="MS Gothic"/>
                      </w:rPr>
                    </w:pPr>
                    <w:r>
                      <w:rPr>
                        <w:rFonts w:ascii="MS Gothic"/>
                        <w:color w:val="333333"/>
                      </w:rPr>
                      <w:t>management.metrics.export.humio.api-token=YOUR_TOKEN</w:t>
                    </w:r>
                  </w:p>
                </w:txbxContent>
              </v:textbox>
            </v:shape>
            <w10:wrap type="topAndBottom" anchorx="page"/>
          </v:group>
        </w:pict>
      </w:r>
    </w:p>
    <w:p w14:paraId="78281CCE" w14:textId="77777777" w:rsidR="00A720EB" w:rsidRDefault="00A720EB">
      <w:pPr>
        <w:pStyle w:val="a3"/>
        <w:rPr>
          <w:sz w:val="10"/>
        </w:rPr>
      </w:pPr>
    </w:p>
    <w:p w14:paraId="35E60040" w14:textId="77777777" w:rsidR="00A720EB" w:rsidRDefault="0030286B">
      <w:pPr>
        <w:pStyle w:val="a3"/>
        <w:spacing w:before="125" w:line="307" w:lineRule="auto"/>
        <w:ind w:left="124" w:right="462"/>
      </w:pPr>
      <w:r>
        <w:rPr>
          <w:color w:val="333333"/>
          <w:w w:val="110"/>
        </w:rPr>
        <w:t>You should also configure one or more tags to identify the data source to which metrics will be pushed:</w:t>
      </w:r>
    </w:p>
    <w:p w14:paraId="53A46300" w14:textId="77777777" w:rsidR="00A720EB" w:rsidRDefault="00E10349">
      <w:pPr>
        <w:pStyle w:val="a3"/>
        <w:spacing w:before="2"/>
        <w:rPr>
          <w:sz w:val="13"/>
        </w:rPr>
      </w:pPr>
      <w:r>
        <w:pict w14:anchorId="663776A2">
          <v:group id="_x0000_s3077" style="position:absolute;margin-left:47.85pt;margin-top:9.7pt;width:499.55pt;height:52.25pt;z-index:-15205376;mso-wrap-distance-left:0;mso-wrap-distance-right:0;mso-position-horizontal-relative:page" coordorigin="957,194" coordsize="9991,1045">
            <v:shape id="_x0000_s3080" style="position:absolute;left:964;top:201;width:9976;height:1030" coordorigin="965,202" coordsize="9976,1030" path="m10861,202r-9816,l1014,208r-26,17l971,251r-6,31l965,1151r6,31l988,1208r26,17l1045,1231r9816,l10892,1225r25,-17l10935,1182r6,-31l10941,282r-6,-31l10917,225r-25,-17l10861,202xe" fillcolor="#f5f5f5" stroked="f">
              <v:path arrowok="t"/>
            </v:shape>
            <v:shape id="_x0000_s3079" style="position:absolute;left:964;top:201;width:9976;height:1030" coordorigin="965,202" coordsize="9976,1030" path="m1045,202r9816,l10892,208r25,17l10935,251r6,31l10941,1151r-6,31l10917,1208r-25,17l10861,1231r-9816,l1014,1225r-26,-17l971,1182r-6,-31l965,282r6,-31l988,225r26,-17l1045,202xe" filled="f" strokecolor="#ccc">
              <v:path arrowok="t"/>
            </v:shape>
            <v:shape id="_x0000_s3078" type="#_x0000_t202" style="position:absolute;left:984;top:217;width:9938;height:999" filled="f" stroked="f">
              <v:textbox inset="0,0,0,0">
                <w:txbxContent>
                  <w:p w14:paraId="05757E06" w14:textId="77777777" w:rsidR="00711A16" w:rsidRDefault="00711A16">
                    <w:pPr>
                      <w:spacing w:before="221" w:line="252" w:lineRule="auto"/>
                      <w:ind w:left="200" w:right="4878"/>
                      <w:rPr>
                        <w:rFonts w:ascii="MS Gothic"/>
                      </w:rPr>
                    </w:pPr>
                    <w:proofErr w:type="gramStart"/>
                    <w:r>
                      <w:rPr>
                        <w:rFonts w:ascii="MS Gothic"/>
                        <w:color w:val="333333"/>
                      </w:rPr>
                      <w:t>management.metrics</w:t>
                    </w:r>
                    <w:proofErr w:type="gramEnd"/>
                    <w:r>
                      <w:rPr>
                        <w:rFonts w:ascii="MS Gothic"/>
                        <w:color w:val="333333"/>
                      </w:rPr>
                      <w:t>.export.humio.tags.alpha=a management.metrics.export.humio.tags.bravo=b</w:t>
                    </w:r>
                  </w:p>
                </w:txbxContent>
              </v:textbox>
            </v:shape>
            <w10:wrap type="topAndBottom" anchorx="page"/>
          </v:group>
        </w:pict>
      </w:r>
    </w:p>
    <w:p w14:paraId="6476E957" w14:textId="77777777" w:rsidR="00A720EB" w:rsidRDefault="00A720EB">
      <w:pPr>
        <w:pStyle w:val="a3"/>
        <w:spacing w:before="11"/>
        <w:rPr>
          <w:sz w:val="16"/>
        </w:rPr>
      </w:pPr>
    </w:p>
    <w:p w14:paraId="40E28F7D" w14:textId="77777777" w:rsidR="00A720EB" w:rsidRDefault="0030286B">
      <w:pPr>
        <w:pStyle w:val="4"/>
        <w:spacing w:before="104"/>
        <w:jc w:val="left"/>
      </w:pPr>
      <w:bookmarkStart w:id="633" w:name="Influx"/>
      <w:bookmarkEnd w:id="633"/>
      <w:r>
        <w:rPr>
          <w:color w:val="333333"/>
          <w:w w:val="110"/>
        </w:rPr>
        <w:t>Influx</w:t>
      </w:r>
    </w:p>
    <w:p w14:paraId="4EA782EE" w14:textId="77777777" w:rsidR="00A720EB" w:rsidRDefault="00A720EB">
      <w:pPr>
        <w:pStyle w:val="a3"/>
        <w:spacing w:before="11"/>
        <w:rPr>
          <w:rFonts w:ascii="Palatino Linotype"/>
          <w:b/>
          <w:sz w:val="18"/>
        </w:rPr>
      </w:pPr>
    </w:p>
    <w:p w14:paraId="0B56BA1C" w14:textId="77777777" w:rsidR="00A720EB" w:rsidRDefault="0030286B">
      <w:pPr>
        <w:pStyle w:val="a3"/>
        <w:spacing w:line="307" w:lineRule="auto"/>
        <w:ind w:left="124"/>
      </w:pPr>
      <w:r>
        <w:rPr>
          <w:color w:val="333333"/>
          <w:w w:val="110"/>
        </w:rPr>
        <w:t xml:space="preserve">By default, metrics are exported to </w:t>
      </w:r>
      <w:hyperlink r:id="rId498">
        <w:r>
          <w:rPr>
            <w:color w:val="418BCA"/>
            <w:w w:val="110"/>
          </w:rPr>
          <w:t xml:space="preserve">Influx </w:t>
        </w:r>
      </w:hyperlink>
      <w:r>
        <w:rPr>
          <w:color w:val="333333"/>
          <w:w w:val="110"/>
        </w:rPr>
        <w:t xml:space="preserve">running on your local machine. The location of the </w:t>
      </w:r>
      <w:hyperlink r:id="rId499">
        <w:r>
          <w:rPr>
            <w:color w:val="418BCA"/>
            <w:w w:val="110"/>
          </w:rPr>
          <w:t>Influx</w:t>
        </w:r>
      </w:hyperlink>
      <w:r>
        <w:rPr>
          <w:color w:val="418BCA"/>
          <w:w w:val="110"/>
        </w:rPr>
        <w:t xml:space="preserve"> </w:t>
      </w:r>
      <w:hyperlink r:id="rId500">
        <w:r>
          <w:rPr>
            <w:color w:val="418BCA"/>
            <w:w w:val="110"/>
          </w:rPr>
          <w:t xml:space="preserve">server </w:t>
        </w:r>
      </w:hyperlink>
      <w:r>
        <w:rPr>
          <w:color w:val="333333"/>
          <w:w w:val="110"/>
        </w:rPr>
        <w:t>to use can be provided using:</w:t>
      </w:r>
    </w:p>
    <w:p w14:paraId="192E68E4" w14:textId="77777777" w:rsidR="00A720EB" w:rsidRDefault="00E10349">
      <w:pPr>
        <w:pStyle w:val="a3"/>
        <w:spacing w:before="2"/>
        <w:rPr>
          <w:sz w:val="13"/>
        </w:rPr>
      </w:pPr>
      <w:r>
        <w:pict w14:anchorId="78CF0761">
          <v:group id="_x0000_s3073" style="position:absolute;margin-left:47.85pt;margin-top:9.7pt;width:499.55pt;height:37.5pt;z-index:-15204864;mso-wrap-distance-left:0;mso-wrap-distance-right:0;mso-position-horizontal-relative:page" coordorigin="957,194" coordsize="9991,750">
            <v:shape id="_x0000_s3076"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3075"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3074" type="#_x0000_t202" style="position:absolute;left:984;top:217;width:9938;height:704" filled="f" stroked="f">
              <v:textbox inset="0,0,0,0">
                <w:txbxContent>
                  <w:p w14:paraId="7B8013CE" w14:textId="77777777" w:rsidR="00711A16" w:rsidRDefault="00711A16">
                    <w:pPr>
                      <w:spacing w:before="221"/>
                      <w:ind w:left="200"/>
                      <w:rPr>
                        <w:rFonts w:ascii="MS Gothic"/>
                      </w:rPr>
                    </w:pPr>
                    <w:r>
                      <w:rPr>
                        <w:rFonts w:ascii="MS Gothic"/>
                        <w:color w:val="333333"/>
                      </w:rPr>
                      <w:t>management.metrics.export.influx.uri=https://influx.example.com:8086</w:t>
                    </w:r>
                  </w:p>
                </w:txbxContent>
              </v:textbox>
            </v:shape>
            <w10:wrap type="topAndBottom" anchorx="page"/>
          </v:group>
        </w:pict>
      </w:r>
    </w:p>
    <w:p w14:paraId="247AA675" w14:textId="77777777" w:rsidR="00A720EB" w:rsidRDefault="00A720EB">
      <w:pPr>
        <w:pStyle w:val="a3"/>
        <w:spacing w:before="11"/>
        <w:rPr>
          <w:sz w:val="16"/>
        </w:rPr>
      </w:pPr>
    </w:p>
    <w:p w14:paraId="10508FC1" w14:textId="77777777" w:rsidR="00A720EB" w:rsidRDefault="0030286B">
      <w:pPr>
        <w:pStyle w:val="4"/>
        <w:spacing w:before="104"/>
        <w:jc w:val="left"/>
      </w:pPr>
      <w:bookmarkStart w:id="634" w:name="JMX"/>
      <w:bookmarkEnd w:id="634"/>
      <w:r>
        <w:rPr>
          <w:color w:val="333333"/>
        </w:rPr>
        <w:t>JMX</w:t>
      </w:r>
    </w:p>
    <w:p w14:paraId="7DA789E5" w14:textId="77777777" w:rsidR="00A720EB" w:rsidRDefault="00A720EB">
      <w:pPr>
        <w:pStyle w:val="a3"/>
        <w:spacing w:before="11"/>
        <w:rPr>
          <w:rFonts w:ascii="Palatino Linotype"/>
          <w:b/>
          <w:sz w:val="18"/>
        </w:rPr>
      </w:pPr>
    </w:p>
    <w:p w14:paraId="1F620B88" w14:textId="77777777" w:rsidR="00A720EB" w:rsidRDefault="0030286B">
      <w:pPr>
        <w:pStyle w:val="a3"/>
        <w:ind w:left="124"/>
      </w:pPr>
      <w:r>
        <w:rPr>
          <w:color w:val="333333"/>
          <w:w w:val="110"/>
        </w:rPr>
        <w:t xml:space="preserve">Micrometer provides a hierarchical mapping to </w:t>
      </w:r>
      <w:hyperlink r:id="rId501">
        <w:r>
          <w:rPr>
            <w:color w:val="418BCA"/>
            <w:w w:val="110"/>
          </w:rPr>
          <w:t>JMX</w:t>
        </w:r>
      </w:hyperlink>
      <w:r>
        <w:rPr>
          <w:color w:val="333333"/>
          <w:w w:val="110"/>
        </w:rPr>
        <w:t>, primarily as a cheap and portable way to view</w:t>
      </w:r>
    </w:p>
    <w:p w14:paraId="0F612545" w14:textId="77777777" w:rsidR="00A720EB" w:rsidRDefault="00A720EB">
      <w:pPr>
        <w:sectPr w:rsidR="00A720EB">
          <w:pgSz w:w="11910" w:h="16840"/>
          <w:pgMar w:top="620" w:right="840" w:bottom="520" w:left="840" w:header="0" w:footer="323" w:gutter="0"/>
          <w:cols w:space="720"/>
        </w:sectPr>
      </w:pPr>
    </w:p>
    <w:p w14:paraId="1CDF78C6" w14:textId="77777777" w:rsidR="00A720EB" w:rsidRDefault="0030286B">
      <w:pPr>
        <w:pStyle w:val="a3"/>
        <w:spacing w:before="96" w:line="290" w:lineRule="auto"/>
        <w:ind w:left="124" w:right="136"/>
      </w:pPr>
      <w:r>
        <w:rPr>
          <w:color w:val="333333"/>
          <w:w w:val="110"/>
        </w:rPr>
        <w:lastRenderedPageBreak/>
        <w:t xml:space="preserve">metrics locally. By default, metrics are exported to the </w:t>
      </w:r>
      <w:r>
        <w:rPr>
          <w:rFonts w:ascii="MS Gothic"/>
          <w:color w:val="B02045"/>
          <w:w w:val="110"/>
        </w:rPr>
        <w:t xml:space="preserve">metrics </w:t>
      </w:r>
      <w:r>
        <w:rPr>
          <w:color w:val="333333"/>
          <w:w w:val="110"/>
        </w:rPr>
        <w:t>JMX domain. The domain to use can be provided using:</w:t>
      </w:r>
    </w:p>
    <w:p w14:paraId="4428F9F4" w14:textId="77777777" w:rsidR="00A720EB" w:rsidRDefault="00E10349">
      <w:pPr>
        <w:pStyle w:val="a3"/>
        <w:spacing w:before="7"/>
        <w:rPr>
          <w:sz w:val="14"/>
        </w:rPr>
      </w:pPr>
      <w:r>
        <w:pict w14:anchorId="395B0EF9">
          <v:group id="_x0000_s2045" style="position:absolute;margin-left:47.85pt;margin-top:10.55pt;width:499.55pt;height:37.5pt;z-index:-15203328;mso-wrap-distance-left:0;mso-wrap-distance-right:0;mso-position-horizontal-relative:page" coordorigin="957,211" coordsize="9991,750">
            <v:shape id="_x0000_s3072" style="position:absolute;left:964;top:218;width:9976;height:735" coordorigin="965,219" coordsize="9976,735" path="m10861,219r-9816,l1014,225r-26,17l971,268r-6,31l965,874r6,31l988,930r26,17l1045,954r9816,l10892,947r25,-17l10935,905r6,-31l10941,299r-6,-31l10917,242r-25,-17l10861,219xe" fillcolor="#f5f5f5" stroked="f">
              <v:path arrowok="t"/>
            </v:shape>
            <v:shape id="_x0000_s2047" style="position:absolute;left:964;top:218;width:9976;height:735" coordorigin="965,219" coordsize="9976,735" path="m1045,219r9816,l10892,225r25,17l10935,268r6,31l10941,874r-6,31l10917,930r-25,17l10861,954r-9816,l1014,947,988,930,971,905r-6,-31l965,299r6,-31l988,242r26,-17l1045,219xe" filled="f" strokecolor="#ccc">
              <v:path arrowok="t"/>
            </v:shape>
            <v:shape id="_x0000_s2046" type="#_x0000_t202" style="position:absolute;left:984;top:234;width:9938;height:704" filled="f" stroked="f">
              <v:textbox inset="0,0,0,0">
                <w:txbxContent>
                  <w:p w14:paraId="2FD67D92" w14:textId="77777777" w:rsidR="00711A16" w:rsidRDefault="00711A16">
                    <w:pPr>
                      <w:spacing w:before="221"/>
                      <w:ind w:left="200"/>
                      <w:rPr>
                        <w:rFonts w:ascii="MS Gothic"/>
                      </w:rPr>
                    </w:pPr>
                    <w:proofErr w:type="gramStart"/>
                    <w:r>
                      <w:rPr>
                        <w:rFonts w:ascii="MS Gothic"/>
                        <w:color w:val="333333"/>
                      </w:rPr>
                      <w:t>management.metrics.export.jmx.domain</w:t>
                    </w:r>
                    <w:proofErr w:type="gramEnd"/>
                    <w:r>
                      <w:rPr>
                        <w:rFonts w:ascii="MS Gothic"/>
                        <w:color w:val="333333"/>
                      </w:rPr>
                      <w:t>=com.example.app.metrics</w:t>
                    </w:r>
                  </w:p>
                </w:txbxContent>
              </v:textbox>
            </v:shape>
            <w10:wrap type="topAndBottom" anchorx="page"/>
          </v:group>
        </w:pict>
      </w:r>
    </w:p>
    <w:p w14:paraId="7309DE0E" w14:textId="77777777" w:rsidR="00A720EB" w:rsidRDefault="00A720EB">
      <w:pPr>
        <w:pStyle w:val="a3"/>
        <w:spacing w:before="11"/>
        <w:rPr>
          <w:sz w:val="9"/>
        </w:rPr>
      </w:pPr>
    </w:p>
    <w:p w14:paraId="5C98A5D0" w14:textId="77777777" w:rsidR="00A720EB" w:rsidRDefault="0030286B">
      <w:pPr>
        <w:pStyle w:val="a3"/>
        <w:spacing w:before="115" w:line="290" w:lineRule="auto"/>
        <w:ind w:left="124"/>
      </w:pPr>
      <w:r>
        <w:rPr>
          <w:color w:val="333333"/>
          <w:w w:val="110"/>
        </w:rPr>
        <w:t xml:space="preserve">Micrometer provides a default </w:t>
      </w:r>
      <w:r>
        <w:rPr>
          <w:rFonts w:ascii="MS Gothic"/>
          <w:color w:val="B02045"/>
          <w:w w:val="110"/>
        </w:rPr>
        <w:t xml:space="preserve">HierarchicalNameMapper </w:t>
      </w:r>
      <w:r>
        <w:rPr>
          <w:color w:val="333333"/>
          <w:w w:val="110"/>
        </w:rPr>
        <w:t xml:space="preserve">that governs how a dimensional meter id is </w:t>
      </w:r>
      <w:hyperlink r:id="rId502" w:anchor="_hierarchical_name_mapping">
        <w:r>
          <w:rPr>
            <w:color w:val="418BCA"/>
            <w:w w:val="110"/>
          </w:rPr>
          <w:t>mapped to flat hierarchical names</w:t>
        </w:r>
      </w:hyperlink>
      <w:r>
        <w:rPr>
          <w:color w:val="333333"/>
          <w:w w:val="110"/>
        </w:rPr>
        <w:t>.</w:t>
      </w:r>
    </w:p>
    <w:p w14:paraId="671DF799" w14:textId="77777777" w:rsidR="00A720EB" w:rsidRDefault="00A720EB">
      <w:pPr>
        <w:pStyle w:val="a3"/>
        <w:spacing w:before="1"/>
        <w:rPr>
          <w:sz w:val="18"/>
        </w:rPr>
      </w:pPr>
    </w:p>
    <w:p w14:paraId="03B09D06" w14:textId="77777777" w:rsidR="00A720EB" w:rsidRDefault="00E10349">
      <w:pPr>
        <w:pStyle w:val="a3"/>
        <w:spacing w:before="116" w:line="285" w:lineRule="auto"/>
        <w:ind w:left="1564" w:right="363"/>
        <w:jc w:val="both"/>
      </w:pPr>
      <w:r>
        <w:pict w14:anchorId="755A2E4F">
          <v:line id="_x0000_s2044" style="position:absolute;left:0;text-align:left;z-index:16257024;mso-position-horizontal-relative:page" from="108.25pt,.35pt" to="108.25pt,55.7pt" strokecolor="#ededed" strokeweight=".5pt">
            <w10:wrap anchorx="page"/>
          </v:line>
        </w:pict>
      </w:r>
      <w:r w:rsidR="0030286B">
        <w:rPr>
          <w:noProof/>
        </w:rPr>
        <w:drawing>
          <wp:anchor distT="0" distB="0" distL="0" distR="0" simplePos="0" relativeHeight="16257536" behindDoc="0" locked="0" layoutInCell="1" allowOverlap="1" wp14:anchorId="1FAF9452" wp14:editId="2DD9DEF0">
            <wp:simplePos x="0" y="0"/>
            <wp:positionH relativeFrom="page">
              <wp:posOffset>888949</wp:posOffset>
            </wp:positionH>
            <wp:positionV relativeFrom="paragraph">
              <wp:posOffset>203275</wp:posOffset>
            </wp:positionV>
            <wp:extent cx="209550" cy="304800"/>
            <wp:effectExtent l="0" t="0" r="0" b="0"/>
            <wp:wrapNone/>
            <wp:docPr id="64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4"/>
          <w:w w:val="110"/>
        </w:rPr>
        <w:t xml:space="preserve">To </w:t>
      </w:r>
      <w:r w:rsidR="0030286B">
        <w:rPr>
          <w:color w:val="333333"/>
          <w:w w:val="110"/>
        </w:rPr>
        <w:t xml:space="preserve">take control over this behaviour, define your </w:t>
      </w:r>
      <w:r w:rsidR="0030286B">
        <w:rPr>
          <w:rFonts w:ascii="MS Gothic"/>
          <w:color w:val="B02045"/>
          <w:w w:val="110"/>
        </w:rPr>
        <w:t xml:space="preserve">JmxMeterRegistry </w:t>
      </w:r>
      <w:r w:rsidR="0030286B">
        <w:rPr>
          <w:color w:val="333333"/>
          <w:w w:val="110"/>
        </w:rPr>
        <w:t xml:space="preserve">and supply your own </w:t>
      </w:r>
      <w:r w:rsidR="0030286B">
        <w:rPr>
          <w:rFonts w:ascii="MS Gothic"/>
          <w:color w:val="B02045"/>
          <w:w w:val="110"/>
        </w:rPr>
        <w:t>HierarchicalNameMapper</w:t>
      </w:r>
      <w:r w:rsidR="0030286B">
        <w:rPr>
          <w:color w:val="333333"/>
          <w:w w:val="110"/>
        </w:rPr>
        <w:t xml:space="preserve">. An auto-configured </w:t>
      </w:r>
      <w:r w:rsidR="0030286B">
        <w:rPr>
          <w:rFonts w:ascii="MS Gothic"/>
          <w:color w:val="B02045"/>
          <w:w w:val="110"/>
        </w:rPr>
        <w:t xml:space="preserve">JmxConfig </w:t>
      </w:r>
      <w:r w:rsidR="0030286B">
        <w:rPr>
          <w:color w:val="333333"/>
          <w:w w:val="110"/>
        </w:rPr>
        <w:t xml:space="preserve">and </w:t>
      </w:r>
      <w:r w:rsidR="0030286B">
        <w:rPr>
          <w:rFonts w:ascii="MS Gothic"/>
          <w:color w:val="B02045"/>
          <w:w w:val="110"/>
        </w:rPr>
        <w:t xml:space="preserve">Clock </w:t>
      </w:r>
      <w:r w:rsidR="0030286B">
        <w:rPr>
          <w:color w:val="333333"/>
          <w:w w:val="110"/>
        </w:rPr>
        <w:t>beans are provided unless you define your own:</w:t>
      </w:r>
    </w:p>
    <w:p w14:paraId="2984ACFF" w14:textId="77777777" w:rsidR="00A720EB" w:rsidRDefault="00E10349">
      <w:pPr>
        <w:pStyle w:val="a3"/>
        <w:spacing w:before="11"/>
      </w:pPr>
      <w:r>
        <w:pict w14:anchorId="1A4A6C2A">
          <v:group id="_x0000_s2040" style="position:absolute;margin-left:47.85pt;margin-top:14.85pt;width:499.55pt;height:81.75pt;z-index:-15202816;mso-wrap-distance-left:0;mso-wrap-distance-right:0;mso-position-horizontal-relative:page" coordorigin="957,297" coordsize="9991,1635">
            <v:shape id="_x0000_s2043" style="position:absolute;left:964;top:304;width:9976;height:1620" coordorigin="965,305" coordsize="9976,1620" path="m10861,305r-9816,l1014,311r-26,17l971,354r-6,31l965,1844r6,31l988,1900r26,18l1045,1924r9816,l10892,1918r25,-18l10935,1875r6,-31l10941,385r-6,-31l10917,328r-25,-17l10861,305xe" fillcolor="#f5f5f5" stroked="f">
              <v:path arrowok="t"/>
            </v:shape>
            <v:shape id="_x0000_s2042" style="position:absolute;left:964;top:304;width:9976;height:1620" coordorigin="965,305" coordsize="9976,1620" path="m1045,305r9816,l10892,311r25,17l10935,354r6,31l10941,1844r-6,31l10917,1900r-25,18l10861,1924r-9816,l1014,1918r-26,-18l971,1875r-6,-31l965,385r6,-31l988,328r26,-17l1045,305xe" filled="f" strokecolor="#ccc">
              <v:path arrowok="t"/>
            </v:shape>
            <v:shape id="_x0000_s2041" type="#_x0000_t202" style="position:absolute;left:984;top:320;width:9938;height:1589" filled="f" stroked="f">
              <v:textbox inset="0,0,0,0">
                <w:txbxContent>
                  <w:p w14:paraId="49309665" w14:textId="77777777" w:rsidR="00711A16" w:rsidRDefault="00711A16">
                    <w:pPr>
                      <w:spacing w:before="221"/>
                      <w:ind w:left="200"/>
                      <w:rPr>
                        <w:rFonts w:ascii="MS Gothic"/>
                      </w:rPr>
                    </w:pPr>
                    <w:r>
                      <w:rPr>
                        <w:rFonts w:ascii="MS Gothic"/>
                        <w:color w:val="333333"/>
                      </w:rPr>
                      <w:t>@Bean</w:t>
                    </w:r>
                  </w:p>
                  <w:p w14:paraId="6806841E" w14:textId="77777777" w:rsidR="00711A16" w:rsidRDefault="00711A16">
                    <w:pPr>
                      <w:spacing w:before="13" w:line="252" w:lineRule="auto"/>
                      <w:ind w:left="640" w:right="1688" w:hanging="440"/>
                      <w:rPr>
                        <w:rFonts w:ascii="MS Gothic"/>
                      </w:rPr>
                    </w:pPr>
                    <w:r>
                      <w:rPr>
                        <w:rFonts w:ascii="MS Gothic"/>
                        <w:color w:val="333333"/>
                      </w:rPr>
                      <w:t xml:space="preserve">public JmxMeterRegistry </w:t>
                    </w:r>
                    <w:proofErr w:type="gramStart"/>
                    <w:r>
                      <w:rPr>
                        <w:rFonts w:ascii="MS Gothic"/>
                        <w:color w:val="333333"/>
                      </w:rPr>
                      <w:t>jmxMeterRegistry(</w:t>
                    </w:r>
                    <w:proofErr w:type="gramEnd"/>
                    <w:r>
                      <w:rPr>
                        <w:rFonts w:ascii="MS Gothic"/>
                        <w:color w:val="333333"/>
                      </w:rPr>
                      <w:t>JmxConfig config, Clock clock) { return new JmxMeterRegistry(config, clock, MY_HIERARCHICAL_MAPPER);</w:t>
                    </w:r>
                  </w:p>
                  <w:p w14:paraId="5D077486"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61ED86DB" w14:textId="77777777" w:rsidR="00A720EB" w:rsidRDefault="00A720EB">
      <w:pPr>
        <w:pStyle w:val="a3"/>
        <w:spacing w:before="11"/>
        <w:rPr>
          <w:sz w:val="16"/>
        </w:rPr>
      </w:pPr>
    </w:p>
    <w:p w14:paraId="705B5FB0" w14:textId="77777777" w:rsidR="00A720EB" w:rsidRDefault="0030286B">
      <w:pPr>
        <w:pStyle w:val="4"/>
        <w:spacing w:before="104"/>
        <w:jc w:val="left"/>
      </w:pPr>
      <w:bookmarkStart w:id="635" w:name="KairosDB"/>
      <w:bookmarkEnd w:id="635"/>
      <w:r>
        <w:rPr>
          <w:color w:val="333333"/>
          <w:w w:val="105"/>
        </w:rPr>
        <w:t>KairosDB</w:t>
      </w:r>
    </w:p>
    <w:p w14:paraId="7C72E4DC" w14:textId="77777777" w:rsidR="00A720EB" w:rsidRDefault="00A720EB">
      <w:pPr>
        <w:pStyle w:val="a3"/>
        <w:spacing w:before="11"/>
        <w:rPr>
          <w:rFonts w:ascii="Palatino Linotype"/>
          <w:b/>
          <w:sz w:val="18"/>
        </w:rPr>
      </w:pPr>
    </w:p>
    <w:p w14:paraId="5EC2CAEC" w14:textId="77777777" w:rsidR="00A720EB" w:rsidRDefault="0030286B">
      <w:pPr>
        <w:pStyle w:val="a3"/>
        <w:spacing w:line="307" w:lineRule="auto"/>
        <w:ind w:left="124"/>
      </w:pPr>
      <w:r>
        <w:rPr>
          <w:color w:val="333333"/>
          <w:w w:val="110"/>
        </w:rPr>
        <w:t xml:space="preserve">By default, metrics are exported to </w:t>
      </w:r>
      <w:hyperlink r:id="rId503">
        <w:r>
          <w:rPr>
            <w:color w:val="418BCA"/>
            <w:w w:val="110"/>
          </w:rPr>
          <w:t>KairosDB</w:t>
        </w:r>
      </w:hyperlink>
      <w:r>
        <w:rPr>
          <w:color w:val="418BCA"/>
          <w:w w:val="110"/>
        </w:rPr>
        <w:t xml:space="preserve"> </w:t>
      </w:r>
      <w:r>
        <w:rPr>
          <w:color w:val="333333"/>
          <w:w w:val="110"/>
        </w:rPr>
        <w:t xml:space="preserve">running on your local machine. The location of the </w:t>
      </w:r>
      <w:hyperlink r:id="rId504">
        <w:r>
          <w:rPr>
            <w:color w:val="418BCA"/>
            <w:w w:val="110"/>
          </w:rPr>
          <w:t xml:space="preserve">KairosDB server </w:t>
        </w:r>
      </w:hyperlink>
      <w:r>
        <w:rPr>
          <w:color w:val="333333"/>
          <w:w w:val="110"/>
        </w:rPr>
        <w:t>to use can be provided using:</w:t>
      </w:r>
    </w:p>
    <w:p w14:paraId="71EFBB70" w14:textId="77777777" w:rsidR="00A720EB" w:rsidRDefault="00E10349">
      <w:pPr>
        <w:pStyle w:val="a3"/>
        <w:spacing w:before="2"/>
        <w:rPr>
          <w:sz w:val="13"/>
        </w:rPr>
      </w:pPr>
      <w:r>
        <w:pict w14:anchorId="34244BF8">
          <v:group id="_x0000_s2036" style="position:absolute;margin-left:47.85pt;margin-top:9.7pt;width:499.55pt;height:52.25pt;z-index:-15202304;mso-wrap-distance-left:0;mso-wrap-distance-right:0;mso-position-horizontal-relative:page" coordorigin="957,194" coordsize="9991,1045">
            <v:shape id="_x0000_s2039" style="position:absolute;left:964;top:201;width:9976;height:1030" coordorigin="965,202" coordsize="9976,1030" path="m10861,202r-9816,l1014,208r-26,17l971,251r-6,31l965,1151r6,32l988,1208r26,17l1045,1231r9816,l10892,1225r25,-17l10935,1183r6,-32l10941,282r-6,-31l10917,225r-25,-17l10861,202xe" fillcolor="#f5f5f5" stroked="f">
              <v:path arrowok="t"/>
            </v:shape>
            <v:shape id="_x0000_s2038" style="position:absolute;left:964;top:201;width:9976;height:1030" coordorigin="965,202" coordsize="9976,1030" path="m1045,202r9816,l10892,208r25,17l10935,251r6,31l10941,1151r-6,32l10917,1208r-25,17l10861,1231r-9816,l1014,1225r-26,-17l971,1183r-6,-32l965,282r6,-31l988,225r26,-17l1045,202xe" filled="f" strokecolor="#ccc">
              <v:path arrowok="t"/>
            </v:shape>
            <v:shape id="_x0000_s2037" type="#_x0000_t202" style="position:absolute;left:984;top:217;width:9938;height:999" filled="f" stroked="f">
              <v:textbox inset="0,0,0,0">
                <w:txbxContent>
                  <w:p w14:paraId="7247FA35" w14:textId="77777777" w:rsidR="00711A16" w:rsidRDefault="00711A16">
                    <w:pPr>
                      <w:spacing w:before="221" w:line="252" w:lineRule="auto"/>
                      <w:ind w:left="200" w:right="258"/>
                      <w:rPr>
                        <w:rFonts w:ascii="MS Gothic"/>
                      </w:rPr>
                    </w:pPr>
                    <w:r>
                      <w:rPr>
                        <w:rFonts w:ascii="MS Gothic"/>
                        <w:color w:val="333333"/>
                      </w:rPr>
                      <w:t>management.metrics.export.kairos.uri=https://kairosdb.example.com:8080/api/v1/datapoin ts</w:t>
                    </w:r>
                  </w:p>
                </w:txbxContent>
              </v:textbox>
            </v:shape>
            <w10:wrap type="topAndBottom" anchorx="page"/>
          </v:group>
        </w:pict>
      </w:r>
    </w:p>
    <w:p w14:paraId="14F6B39F" w14:textId="77777777" w:rsidR="00A720EB" w:rsidRDefault="00A720EB">
      <w:pPr>
        <w:pStyle w:val="a3"/>
        <w:spacing w:before="11"/>
        <w:rPr>
          <w:sz w:val="16"/>
        </w:rPr>
      </w:pPr>
    </w:p>
    <w:p w14:paraId="57559F05" w14:textId="77777777" w:rsidR="00A720EB" w:rsidRDefault="0030286B">
      <w:pPr>
        <w:pStyle w:val="4"/>
        <w:spacing w:before="104"/>
        <w:jc w:val="left"/>
      </w:pPr>
      <w:bookmarkStart w:id="636" w:name="New_Relic"/>
      <w:bookmarkEnd w:id="636"/>
      <w:r>
        <w:rPr>
          <w:color w:val="333333"/>
          <w:w w:val="105"/>
        </w:rPr>
        <w:t>New Relic</w:t>
      </w:r>
    </w:p>
    <w:p w14:paraId="0AC26EDE" w14:textId="77777777" w:rsidR="00A720EB" w:rsidRDefault="00A720EB">
      <w:pPr>
        <w:pStyle w:val="a3"/>
        <w:spacing w:before="11"/>
        <w:rPr>
          <w:rFonts w:ascii="Palatino Linotype"/>
          <w:b/>
          <w:sz w:val="18"/>
        </w:rPr>
      </w:pPr>
    </w:p>
    <w:p w14:paraId="6023EB46" w14:textId="77777777" w:rsidR="00A720EB" w:rsidRDefault="0030286B">
      <w:pPr>
        <w:pStyle w:val="a3"/>
        <w:spacing w:line="307" w:lineRule="auto"/>
        <w:ind w:left="124" w:right="462"/>
      </w:pPr>
      <w:r>
        <w:rPr>
          <w:color w:val="333333"/>
          <w:w w:val="110"/>
        </w:rPr>
        <w:t xml:space="preserve">New Relic registry pushes metrics to </w:t>
      </w:r>
      <w:hyperlink r:id="rId505">
        <w:r>
          <w:rPr>
            <w:color w:val="418BCA"/>
            <w:w w:val="110"/>
          </w:rPr>
          <w:t>New Relic</w:t>
        </w:r>
      </w:hyperlink>
      <w:r>
        <w:rPr>
          <w:color w:val="418BCA"/>
          <w:w w:val="110"/>
        </w:rPr>
        <w:t xml:space="preserve"> </w:t>
      </w:r>
      <w:r>
        <w:rPr>
          <w:color w:val="333333"/>
          <w:spacing w:val="-3"/>
          <w:w w:val="110"/>
        </w:rPr>
        <w:t xml:space="preserve">periodically. </w:t>
      </w:r>
      <w:r>
        <w:rPr>
          <w:color w:val="333333"/>
          <w:spacing w:val="-4"/>
          <w:w w:val="110"/>
        </w:rPr>
        <w:t xml:space="preserve">To </w:t>
      </w:r>
      <w:r>
        <w:rPr>
          <w:color w:val="333333"/>
          <w:w w:val="110"/>
        </w:rPr>
        <w:t xml:space="preserve">export metrics to  </w:t>
      </w:r>
      <w:hyperlink r:id="rId506">
        <w:r>
          <w:rPr>
            <w:color w:val="418BCA"/>
            <w:w w:val="110"/>
          </w:rPr>
          <w:t>New Relic</w:t>
        </w:r>
      </w:hyperlink>
      <w:r>
        <w:rPr>
          <w:color w:val="333333"/>
          <w:w w:val="110"/>
        </w:rPr>
        <w:t xml:space="preserve">, </w:t>
      </w:r>
      <w:proofErr w:type="gramStart"/>
      <w:r>
        <w:rPr>
          <w:color w:val="333333"/>
          <w:w w:val="110"/>
        </w:rPr>
        <w:t>your  API</w:t>
      </w:r>
      <w:proofErr w:type="gramEnd"/>
      <w:r>
        <w:rPr>
          <w:color w:val="333333"/>
          <w:w w:val="110"/>
        </w:rPr>
        <w:t xml:space="preserve"> key and account id must be</w:t>
      </w:r>
      <w:r>
        <w:rPr>
          <w:color w:val="333333"/>
          <w:spacing w:val="20"/>
          <w:w w:val="110"/>
        </w:rPr>
        <w:t xml:space="preserve"> </w:t>
      </w:r>
      <w:r>
        <w:rPr>
          <w:color w:val="333333"/>
          <w:w w:val="110"/>
        </w:rPr>
        <w:t>provided:</w:t>
      </w:r>
    </w:p>
    <w:p w14:paraId="5D05D836" w14:textId="77777777" w:rsidR="00A720EB" w:rsidRDefault="00E10349">
      <w:pPr>
        <w:pStyle w:val="a3"/>
        <w:spacing w:before="2"/>
        <w:rPr>
          <w:sz w:val="13"/>
        </w:rPr>
      </w:pPr>
      <w:r>
        <w:pict w14:anchorId="6F833239">
          <v:group id="_x0000_s2032" style="position:absolute;margin-left:47.85pt;margin-top:9.7pt;width:499.55pt;height:52.25pt;z-index:-15201792;mso-wrap-distance-left:0;mso-wrap-distance-right:0;mso-position-horizontal-relative:page" coordorigin="957,194" coordsize="9991,1045">
            <v:shape id="_x0000_s2035" style="position:absolute;left:964;top:201;width:9976;height:1030" coordorigin="965,202" coordsize="9976,1030" path="m10861,202r-9816,l1014,208r-26,17l971,251r-6,31l965,1151r6,32l988,1208r26,17l1045,1231r9816,l10892,1225r25,-17l10935,1183r6,-32l10941,282r-6,-31l10917,225r-25,-17l10861,202xe" fillcolor="#f5f5f5" stroked="f">
              <v:path arrowok="t"/>
            </v:shape>
            <v:shape id="_x0000_s2034" style="position:absolute;left:964;top:201;width:9976;height:1030" coordorigin="965,202" coordsize="9976,1030" path="m1045,202r9816,l10892,208r25,17l10935,251r6,31l10941,1151r-6,32l10917,1208r-25,17l10861,1231r-9816,l1014,1225r-26,-17l971,1183r-6,-32l965,282r6,-31l988,225r26,-17l1045,202xe" filled="f" strokecolor="#ccc">
              <v:path arrowok="t"/>
            </v:shape>
            <v:shape id="_x0000_s2033" type="#_x0000_t202" style="position:absolute;left:984;top:217;width:9938;height:999" filled="f" stroked="f">
              <v:textbox inset="0,0,0,0">
                <w:txbxContent>
                  <w:p w14:paraId="70E8CFF0" w14:textId="77777777" w:rsidR="00711A16" w:rsidRDefault="00711A16">
                    <w:pPr>
                      <w:spacing w:before="221" w:line="252" w:lineRule="auto"/>
                      <w:ind w:left="200" w:right="3024"/>
                      <w:rPr>
                        <w:rFonts w:ascii="MS Gothic"/>
                      </w:rPr>
                    </w:pPr>
                    <w:r>
                      <w:rPr>
                        <w:rFonts w:ascii="MS Gothic"/>
                        <w:color w:val="333333"/>
                      </w:rPr>
                      <w:t xml:space="preserve">management.metrics.export.newrelic.api-key=YOUR_KEY </w:t>
                    </w:r>
                    <w:proofErr w:type="gramStart"/>
                    <w:r>
                      <w:rPr>
                        <w:rFonts w:ascii="MS Gothic"/>
                        <w:color w:val="333333"/>
                      </w:rPr>
                      <w:t>management.metrics</w:t>
                    </w:r>
                    <w:proofErr w:type="gramEnd"/>
                    <w:r>
                      <w:rPr>
                        <w:rFonts w:ascii="MS Gothic"/>
                        <w:color w:val="333333"/>
                      </w:rPr>
                      <w:t>.export.newrelic.account-id=YOUR_ACCOUNT_ID</w:t>
                    </w:r>
                  </w:p>
                </w:txbxContent>
              </v:textbox>
            </v:shape>
            <w10:wrap type="topAndBottom" anchorx="page"/>
          </v:group>
        </w:pict>
      </w:r>
    </w:p>
    <w:p w14:paraId="44446C27" w14:textId="77777777" w:rsidR="00A720EB" w:rsidRDefault="00A720EB">
      <w:pPr>
        <w:pStyle w:val="a3"/>
        <w:rPr>
          <w:sz w:val="10"/>
        </w:rPr>
      </w:pPr>
    </w:p>
    <w:p w14:paraId="0FF5FA86" w14:textId="77777777" w:rsidR="00A720EB" w:rsidRDefault="0030286B">
      <w:pPr>
        <w:pStyle w:val="a3"/>
        <w:spacing w:before="125"/>
        <w:ind w:left="124"/>
      </w:pPr>
      <w:r>
        <w:rPr>
          <w:color w:val="333333"/>
          <w:w w:val="110"/>
        </w:rPr>
        <w:t>You can also change the interval at which metrics are sent to New Relic:</w:t>
      </w:r>
    </w:p>
    <w:p w14:paraId="6A989ECC" w14:textId="77777777" w:rsidR="00A720EB" w:rsidRDefault="00E10349">
      <w:pPr>
        <w:pStyle w:val="a3"/>
        <w:rPr>
          <w:sz w:val="19"/>
        </w:rPr>
      </w:pPr>
      <w:r>
        <w:pict w14:anchorId="172A9957">
          <v:group id="_x0000_s2028" style="position:absolute;margin-left:47.85pt;margin-top:13.15pt;width:499.55pt;height:37.5pt;z-index:-15201280;mso-wrap-distance-left:0;mso-wrap-distance-right:0;mso-position-horizontal-relative:page" coordorigin="957,263" coordsize="9991,750">
            <v:shape id="_x0000_s2031" style="position:absolute;left:964;top:270;width:9976;height:735" coordorigin="965,270" coordsize="9976,735" path="m10861,270r-9816,l1014,276r-26,18l971,319r-6,31l965,925r6,31l988,982r26,17l1045,1005r9816,l10892,999r25,-17l10935,956r6,-31l10941,350r-6,-31l10917,294r-25,-18l10861,270xe" fillcolor="#f5f5f5" stroked="f">
              <v:path arrowok="t"/>
            </v:shape>
            <v:shape id="_x0000_s2030" style="position:absolute;left:964;top:270;width:9976;height:735" coordorigin="965,270" coordsize="9976,735" path="m1045,270r9816,l10892,276r25,18l10935,319r6,31l10941,925r-6,31l10917,982r-25,17l10861,1005r-9816,l1014,999,988,982,971,956r-6,-31l965,350r6,-31l988,294r26,-18l1045,270xe" filled="f" strokecolor="#ccc">
              <v:path arrowok="t"/>
            </v:shape>
            <v:shape id="_x0000_s2029" type="#_x0000_t202" style="position:absolute;left:984;top:285;width:9938;height:704" filled="f" stroked="f">
              <v:textbox inset="0,0,0,0">
                <w:txbxContent>
                  <w:p w14:paraId="348FA527"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.export.newrelic.step=30s</w:t>
                    </w:r>
                  </w:p>
                </w:txbxContent>
              </v:textbox>
            </v:shape>
            <w10:wrap type="topAndBottom" anchorx="page"/>
          </v:group>
        </w:pict>
      </w:r>
    </w:p>
    <w:p w14:paraId="7C10FA2E" w14:textId="77777777" w:rsidR="00A720EB" w:rsidRDefault="00A720EB">
      <w:pPr>
        <w:pStyle w:val="a3"/>
        <w:rPr>
          <w:sz w:val="10"/>
        </w:rPr>
      </w:pPr>
    </w:p>
    <w:p w14:paraId="325AC381" w14:textId="77777777" w:rsidR="00A720EB" w:rsidRDefault="0030286B">
      <w:pPr>
        <w:pStyle w:val="a3"/>
        <w:spacing w:before="125" w:line="307" w:lineRule="auto"/>
        <w:ind w:left="124" w:right="45"/>
      </w:pPr>
      <w:r>
        <w:rPr>
          <w:color w:val="333333"/>
          <w:w w:val="110"/>
        </w:rPr>
        <w:t>By default, metrics are published via REST calls but it also possible to use the Java Agent API if you have it on the classpath:</w:t>
      </w:r>
    </w:p>
    <w:p w14:paraId="5F0AEB07" w14:textId="77777777" w:rsidR="00A720EB" w:rsidRDefault="00E10349">
      <w:pPr>
        <w:pStyle w:val="a3"/>
        <w:spacing w:before="2"/>
        <w:rPr>
          <w:sz w:val="13"/>
        </w:rPr>
      </w:pPr>
      <w:r>
        <w:pict w14:anchorId="58494FFB">
          <v:group id="_x0000_s2024" style="position:absolute;margin-left:47.85pt;margin-top:9.7pt;width:499.55pt;height:37.5pt;z-index:-15200768;mso-wrap-distance-left:0;mso-wrap-distance-right:0;mso-position-horizontal-relative:page" coordorigin="957,194" coordsize="9991,750">
            <v:shape id="_x0000_s2027"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2026"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2025" type="#_x0000_t202" style="position:absolute;left:984;top:217;width:9938;height:704" filled="f" stroked="f">
              <v:textbox inset="0,0,0,0">
                <w:txbxContent>
                  <w:p w14:paraId="24A96C38"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.export.newrelic.client-provider-type=insights-agent</w:t>
                    </w:r>
                  </w:p>
                </w:txbxContent>
              </v:textbox>
            </v:shape>
            <w10:wrap type="topAndBottom" anchorx="page"/>
          </v:group>
        </w:pict>
      </w:r>
    </w:p>
    <w:p w14:paraId="40E74A1A" w14:textId="77777777" w:rsidR="00A720EB" w:rsidRDefault="00A720EB">
      <w:pPr>
        <w:pStyle w:val="a3"/>
        <w:spacing w:before="11"/>
        <w:rPr>
          <w:sz w:val="9"/>
        </w:rPr>
      </w:pPr>
    </w:p>
    <w:p w14:paraId="0412AA21" w14:textId="77777777" w:rsidR="00A720EB" w:rsidRDefault="0030286B">
      <w:pPr>
        <w:pStyle w:val="a3"/>
        <w:spacing w:before="115"/>
        <w:ind w:left="124"/>
      </w:pPr>
      <w:r>
        <w:rPr>
          <w:color w:val="333333"/>
          <w:spacing w:val="-4"/>
          <w:w w:val="110"/>
        </w:rPr>
        <w:t xml:space="preserve">Finally, </w:t>
      </w:r>
      <w:r>
        <w:rPr>
          <w:color w:val="333333"/>
          <w:w w:val="110"/>
        </w:rPr>
        <w:t xml:space="preserve">you can take full control </w:t>
      </w:r>
      <w:r>
        <w:rPr>
          <w:color w:val="333333"/>
          <w:spacing w:val="-3"/>
          <w:w w:val="110"/>
        </w:rPr>
        <w:t xml:space="preserve">by </w:t>
      </w:r>
      <w:r>
        <w:rPr>
          <w:color w:val="333333"/>
          <w:w w:val="110"/>
        </w:rPr>
        <w:t xml:space="preserve">defining your own </w:t>
      </w:r>
      <w:r>
        <w:rPr>
          <w:rFonts w:ascii="MS Gothic"/>
          <w:color w:val="B02045"/>
          <w:w w:val="110"/>
        </w:rPr>
        <w:t>NewRelicClientProvider</w:t>
      </w:r>
      <w:r>
        <w:rPr>
          <w:rFonts w:ascii="MS Gothic"/>
          <w:color w:val="B02045"/>
          <w:spacing w:val="-51"/>
          <w:w w:val="110"/>
        </w:rPr>
        <w:t xml:space="preserve"> </w:t>
      </w:r>
      <w:r>
        <w:rPr>
          <w:color w:val="333333"/>
          <w:w w:val="110"/>
        </w:rPr>
        <w:t>bean.</w:t>
      </w:r>
    </w:p>
    <w:p w14:paraId="5B156FEE" w14:textId="77777777" w:rsidR="00A720EB" w:rsidRDefault="00A720EB">
      <w:pPr>
        <w:sectPr w:rsidR="00A720EB">
          <w:pgSz w:w="11910" w:h="16840"/>
          <w:pgMar w:top="620" w:right="840" w:bottom="520" w:left="840" w:header="0" w:footer="323" w:gutter="0"/>
          <w:cols w:space="720"/>
        </w:sectPr>
      </w:pPr>
    </w:p>
    <w:p w14:paraId="6073E349" w14:textId="77777777" w:rsidR="00A720EB" w:rsidRDefault="0030286B">
      <w:pPr>
        <w:pStyle w:val="4"/>
        <w:spacing w:before="86"/>
        <w:jc w:val="left"/>
      </w:pPr>
      <w:bookmarkStart w:id="637" w:name="Prometheus"/>
      <w:bookmarkEnd w:id="637"/>
      <w:r>
        <w:rPr>
          <w:color w:val="333333"/>
          <w:w w:val="115"/>
        </w:rPr>
        <w:lastRenderedPageBreak/>
        <w:t>Prometheus</w:t>
      </w:r>
    </w:p>
    <w:p w14:paraId="58E361F3" w14:textId="77777777" w:rsidR="00A720EB" w:rsidRDefault="00A720EB">
      <w:pPr>
        <w:pStyle w:val="a3"/>
        <w:spacing w:before="11"/>
        <w:rPr>
          <w:rFonts w:ascii="Palatino Linotype"/>
          <w:b/>
          <w:sz w:val="18"/>
        </w:rPr>
      </w:pPr>
    </w:p>
    <w:p w14:paraId="26319FD7" w14:textId="77777777" w:rsidR="00A720EB" w:rsidRDefault="00E10349">
      <w:pPr>
        <w:pStyle w:val="a3"/>
        <w:spacing w:line="295" w:lineRule="auto"/>
        <w:ind w:left="124" w:right="123"/>
        <w:jc w:val="both"/>
      </w:pPr>
      <w:hyperlink r:id="rId507">
        <w:r w:rsidR="0030286B">
          <w:rPr>
            <w:color w:val="418BCA"/>
            <w:w w:val="110"/>
          </w:rPr>
          <w:t xml:space="preserve">Prometheus </w:t>
        </w:r>
      </w:hyperlink>
      <w:r w:rsidR="0030286B">
        <w:rPr>
          <w:color w:val="333333"/>
          <w:w w:val="110"/>
        </w:rPr>
        <w:t xml:space="preserve">expects to scrape or poll individual app instances for metrics. Spring Boot provides an actuator endpoint available at </w:t>
      </w:r>
      <w:r w:rsidR="0030286B">
        <w:rPr>
          <w:rFonts w:ascii="MS Gothic"/>
          <w:color w:val="B02045"/>
          <w:w w:val="110"/>
        </w:rPr>
        <w:t xml:space="preserve">/actuator/prometheus </w:t>
      </w:r>
      <w:r w:rsidR="0030286B">
        <w:rPr>
          <w:color w:val="333333"/>
          <w:w w:val="110"/>
        </w:rPr>
        <w:t xml:space="preserve">to present a </w:t>
      </w:r>
      <w:hyperlink r:id="rId508">
        <w:r w:rsidR="0030286B">
          <w:rPr>
            <w:color w:val="418BCA"/>
            <w:w w:val="110"/>
          </w:rPr>
          <w:t>Prometheus scrape</w:t>
        </w:r>
      </w:hyperlink>
      <w:r w:rsidR="0030286B">
        <w:rPr>
          <w:color w:val="418BCA"/>
          <w:w w:val="110"/>
        </w:rPr>
        <w:t xml:space="preserve"> </w:t>
      </w:r>
      <w:r w:rsidR="0030286B">
        <w:rPr>
          <w:color w:val="333333"/>
          <w:w w:val="110"/>
        </w:rPr>
        <w:t>with the appropriate format.</w:t>
      </w:r>
    </w:p>
    <w:p w14:paraId="58CDB88C" w14:textId="77777777" w:rsidR="00A720EB" w:rsidRDefault="00A720EB">
      <w:pPr>
        <w:pStyle w:val="a3"/>
        <w:spacing w:before="2"/>
        <w:rPr>
          <w:sz w:val="28"/>
        </w:rPr>
      </w:pPr>
    </w:p>
    <w:p w14:paraId="672DAA99" w14:textId="77777777" w:rsidR="00A720EB" w:rsidRDefault="00E10349">
      <w:pPr>
        <w:pStyle w:val="a3"/>
        <w:spacing w:line="307" w:lineRule="auto"/>
        <w:ind w:left="1564" w:right="462"/>
      </w:pPr>
      <w:r>
        <w:pict w14:anchorId="0F8E44ED">
          <v:line id="_x0000_s2023" style="position:absolute;left:0;text-align:left;z-index:16260096;mso-position-horizontal-relative:page" from="108.25pt,-6pt" to="108.25pt,33.55pt" strokecolor="#ededed" strokeweight=".5pt">
            <w10:wrap anchorx="page"/>
          </v:line>
        </w:pict>
      </w:r>
      <w:r w:rsidR="0030286B">
        <w:rPr>
          <w:noProof/>
        </w:rPr>
        <w:drawing>
          <wp:anchor distT="0" distB="0" distL="0" distR="0" simplePos="0" relativeHeight="16260608" behindDoc="0" locked="0" layoutInCell="1" allowOverlap="1" wp14:anchorId="5FF6EB6C" wp14:editId="1EB27856">
            <wp:simplePos x="0" y="0"/>
            <wp:positionH relativeFrom="page">
              <wp:posOffset>888949</wp:posOffset>
            </wp:positionH>
            <wp:positionV relativeFrom="paragraph">
              <wp:posOffset>22771</wp:posOffset>
            </wp:positionV>
            <wp:extent cx="209550" cy="304800"/>
            <wp:effectExtent l="0" t="0" r="0" b="0"/>
            <wp:wrapNone/>
            <wp:docPr id="64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 endpoint is not available by default and must be exposed, see </w:t>
      </w:r>
      <w:hyperlink w:anchor="_bookmark382" w:history="1">
        <w:r w:rsidR="0030286B">
          <w:rPr>
            <w:color w:val="418BCA"/>
            <w:w w:val="110"/>
          </w:rPr>
          <w:t>exposing</w:t>
        </w:r>
      </w:hyperlink>
      <w:r w:rsidR="0030286B">
        <w:rPr>
          <w:color w:val="418BCA"/>
          <w:w w:val="110"/>
        </w:rPr>
        <w:t xml:space="preserve"> </w:t>
      </w:r>
      <w:hyperlink w:anchor="_bookmark382" w:history="1">
        <w:r w:rsidR="0030286B">
          <w:rPr>
            <w:color w:val="418BCA"/>
            <w:w w:val="110"/>
          </w:rPr>
          <w:t xml:space="preserve">endpoints </w:t>
        </w:r>
      </w:hyperlink>
      <w:r w:rsidR="0030286B">
        <w:rPr>
          <w:color w:val="333333"/>
          <w:w w:val="110"/>
        </w:rPr>
        <w:t>for more details.</w:t>
      </w:r>
    </w:p>
    <w:p w14:paraId="5DF6A452" w14:textId="77777777" w:rsidR="00A720EB" w:rsidRDefault="00A720EB">
      <w:pPr>
        <w:pStyle w:val="a3"/>
        <w:spacing w:before="6"/>
        <w:rPr>
          <w:sz w:val="26"/>
        </w:rPr>
      </w:pPr>
    </w:p>
    <w:p w14:paraId="5A0AB77A" w14:textId="77777777" w:rsidR="00A720EB" w:rsidRDefault="0030286B">
      <w:pPr>
        <w:pStyle w:val="a3"/>
        <w:ind w:left="124"/>
        <w:jc w:val="both"/>
      </w:pPr>
      <w:r>
        <w:rPr>
          <w:color w:val="333333"/>
          <w:w w:val="105"/>
        </w:rPr>
        <w:t xml:space="preserve">Here is an example </w:t>
      </w:r>
      <w:r>
        <w:rPr>
          <w:rFonts w:ascii="MS Gothic"/>
          <w:color w:val="B02045"/>
          <w:w w:val="105"/>
        </w:rPr>
        <w:t xml:space="preserve">scrape_config </w:t>
      </w:r>
      <w:r>
        <w:rPr>
          <w:color w:val="333333"/>
          <w:w w:val="105"/>
        </w:rPr>
        <w:t xml:space="preserve">to add to </w:t>
      </w:r>
      <w:r>
        <w:rPr>
          <w:rFonts w:ascii="MS Gothic"/>
          <w:color w:val="B02045"/>
          <w:w w:val="105"/>
        </w:rPr>
        <w:t>prometheus.yml</w:t>
      </w:r>
      <w:r>
        <w:rPr>
          <w:color w:val="333333"/>
          <w:w w:val="105"/>
        </w:rPr>
        <w:t>:</w:t>
      </w:r>
    </w:p>
    <w:p w14:paraId="682DAD6B" w14:textId="77777777" w:rsidR="00A720EB" w:rsidRDefault="00E10349">
      <w:pPr>
        <w:pStyle w:val="a3"/>
        <w:spacing w:before="10"/>
        <w:rPr>
          <w:sz w:val="17"/>
        </w:rPr>
      </w:pPr>
      <w:r>
        <w:pict w14:anchorId="3FBF3683">
          <v:group id="_x0000_s2019" style="position:absolute;margin-left:47.85pt;margin-top:12.5pt;width:499.55pt;height:96.45pt;z-index:-15199232;mso-wrap-distance-left:0;mso-wrap-distance-right:0;mso-position-horizontal-relative:page" coordorigin="957,250" coordsize="9991,1929">
            <v:shape id="_x0000_s2022" style="position:absolute;left:964;top:257;width:9976;height:1914" coordorigin="965,257" coordsize="9976,1914" path="m10861,257r-9816,l1014,264r-26,17l971,306r-6,31l965,2091r6,31l988,2148r26,17l1045,2171r9816,l10892,2165r25,-17l10935,2122r6,-31l10941,337r-6,-31l10917,281r-25,-17l10861,257xe" fillcolor="#f5f5f5" stroked="f">
              <v:path arrowok="t"/>
            </v:shape>
            <v:shape id="_x0000_s2021" style="position:absolute;left:964;top:257;width:9976;height:1914" coordorigin="965,257" coordsize="9976,1914" path="m1045,257r9816,l10892,264r25,17l10935,306r6,31l10941,2091r-6,31l10917,2148r-25,17l10861,2171r-9816,l1014,2165r-26,-17l971,2122r-6,-31l965,337r6,-31l988,281r26,-17l1045,257xe" filled="f" strokecolor="#ccc">
              <v:path arrowok="t"/>
            </v:shape>
            <v:shape id="_x0000_s2020" type="#_x0000_t202" style="position:absolute;left:984;top:272;width:9938;height:1884" filled="f" stroked="f">
              <v:textbox inset="0,0,0,0">
                <w:txbxContent>
                  <w:p w14:paraId="0715390A" w14:textId="77777777" w:rsidR="00711A16" w:rsidRDefault="00711A16">
                    <w:pPr>
                      <w:spacing w:before="221"/>
                      <w:ind w:left="200"/>
                      <w:rPr>
                        <w:rFonts w:ascii="MS Gothic"/>
                      </w:rPr>
                    </w:pPr>
                    <w:r>
                      <w:rPr>
                        <w:rFonts w:ascii="MS Gothic"/>
                        <w:color w:val="333333"/>
                      </w:rPr>
                      <w:t>scrape_configs:</w:t>
                    </w:r>
                  </w:p>
                  <w:p w14:paraId="5439EC87" w14:textId="77777777" w:rsidR="00711A16" w:rsidRDefault="00711A16">
                    <w:pPr>
                      <w:spacing w:before="13"/>
                      <w:ind w:left="420"/>
                      <w:rPr>
                        <w:rFonts w:ascii="MS Gothic"/>
                      </w:rPr>
                    </w:pPr>
                    <w:r>
                      <w:rPr>
                        <w:rFonts w:ascii="MS Gothic"/>
                        <w:color w:val="333333"/>
                      </w:rPr>
                      <w:t>- job_name: 'spring'</w:t>
                    </w:r>
                  </w:p>
                  <w:p w14:paraId="4D33E437" w14:textId="77777777" w:rsidR="00711A16" w:rsidRDefault="00711A16">
                    <w:pPr>
                      <w:spacing w:before="13" w:line="252" w:lineRule="auto"/>
                      <w:ind w:left="640" w:right="5318"/>
                      <w:rPr>
                        <w:rFonts w:ascii="MS Gothic"/>
                      </w:rPr>
                    </w:pPr>
                    <w:r>
                      <w:rPr>
                        <w:rFonts w:ascii="MS Gothic"/>
                        <w:color w:val="333333"/>
                      </w:rPr>
                      <w:t>metrics_path: '/actuator/prometheus' static_configs:</w:t>
                    </w:r>
                  </w:p>
                  <w:p w14:paraId="5AC6DE68" w14:textId="77777777" w:rsidR="00711A16" w:rsidRDefault="00711A16">
                    <w:pPr>
                      <w:spacing w:line="280" w:lineRule="exact"/>
                      <w:ind w:left="860"/>
                      <w:rPr>
                        <w:rFonts w:ascii="MS Gothic"/>
                      </w:rPr>
                    </w:pPr>
                    <w:r>
                      <w:rPr>
                        <w:rFonts w:ascii="MS Gothic"/>
                        <w:color w:val="333333"/>
                      </w:rPr>
                      <w:t>- targets: ['</w:t>
                    </w:r>
                    <w:proofErr w:type="gramStart"/>
                    <w:r>
                      <w:rPr>
                        <w:rFonts w:ascii="MS Gothic"/>
                        <w:color w:val="333333"/>
                      </w:rPr>
                      <w:t>HOST:PORT</w:t>
                    </w:r>
                    <w:proofErr w:type="gramEnd"/>
                    <w:r>
                      <w:rPr>
                        <w:rFonts w:ascii="MS Gothic"/>
                        <w:color w:val="333333"/>
                      </w:rPr>
                      <w:t>']</w:t>
                    </w:r>
                  </w:p>
                </w:txbxContent>
              </v:textbox>
            </v:shape>
            <w10:wrap type="topAndBottom" anchorx="page"/>
          </v:group>
        </w:pict>
      </w:r>
    </w:p>
    <w:p w14:paraId="3B62C381" w14:textId="77777777" w:rsidR="00A720EB" w:rsidRDefault="00A720EB">
      <w:pPr>
        <w:pStyle w:val="a3"/>
        <w:rPr>
          <w:sz w:val="10"/>
        </w:rPr>
      </w:pPr>
    </w:p>
    <w:p w14:paraId="56F2F957" w14:textId="77777777" w:rsidR="00A720EB" w:rsidRDefault="0030286B">
      <w:pPr>
        <w:pStyle w:val="a3"/>
        <w:spacing w:before="125" w:line="307" w:lineRule="auto"/>
        <w:ind w:left="124" w:right="122"/>
        <w:jc w:val="both"/>
      </w:pPr>
      <w:r>
        <w:rPr>
          <w:color w:val="333333"/>
          <w:w w:val="110"/>
        </w:rPr>
        <w:t xml:space="preserve">For ephemeral or batch jobs which may not exist long enough to be scraped, </w:t>
      </w:r>
      <w:hyperlink r:id="rId509">
        <w:r>
          <w:rPr>
            <w:color w:val="418BCA"/>
            <w:w w:val="110"/>
          </w:rPr>
          <w:t>Prometheus</w:t>
        </w:r>
      </w:hyperlink>
      <w:r>
        <w:rPr>
          <w:color w:val="418BCA"/>
          <w:w w:val="110"/>
        </w:rPr>
        <w:t xml:space="preserve"> </w:t>
      </w:r>
      <w:hyperlink r:id="rId510">
        <w:r>
          <w:rPr>
            <w:color w:val="418BCA"/>
            <w:w w:val="110"/>
          </w:rPr>
          <w:t>Pushgateway</w:t>
        </w:r>
      </w:hyperlink>
      <w:r>
        <w:rPr>
          <w:color w:val="418BCA"/>
          <w:w w:val="110"/>
        </w:rPr>
        <w:t xml:space="preserve"> </w:t>
      </w:r>
      <w:r>
        <w:rPr>
          <w:color w:val="333333"/>
          <w:w w:val="110"/>
        </w:rPr>
        <w:t>support can be used to expose their metrics to Prometheus. To enable Prometheus Pushgateway support, add the following dependency to your project:</w:t>
      </w:r>
    </w:p>
    <w:p w14:paraId="42545167" w14:textId="77777777" w:rsidR="00A720EB" w:rsidRDefault="00E10349">
      <w:pPr>
        <w:pStyle w:val="a3"/>
        <w:spacing w:before="2"/>
        <w:rPr>
          <w:sz w:val="13"/>
        </w:rPr>
      </w:pPr>
      <w:r>
        <w:pict w14:anchorId="259B0D11">
          <v:group id="_x0000_s2015" style="position:absolute;margin-left:47.85pt;margin-top:9.75pt;width:499.55pt;height:81.75pt;z-index:-15198720;mso-wrap-distance-left:0;mso-wrap-distance-right:0;mso-position-horizontal-relative:page" coordorigin="957,195" coordsize="9991,1635">
            <v:shape id="_x0000_s2018" style="position:absolute;left:964;top:202;width:9976;height:1620" coordorigin="965,202" coordsize="9976,1620" path="m10861,202r-9816,l1014,208r-26,18l971,251r-6,31l965,1741r6,32l988,1798r26,17l1045,1821r9816,l10892,1815r25,-17l10935,1773r6,-32l10941,282r-6,-31l10917,226r-25,-18l10861,202xe" fillcolor="#f5f5f5" stroked="f">
              <v:path arrowok="t"/>
            </v:shape>
            <v:shape id="_x0000_s2017" style="position:absolute;left:964;top:202;width:9976;height:1620" coordorigin="965,202" coordsize="9976,1620" path="m1045,202r9816,l10892,208r25,18l10935,251r6,31l10941,1741r-6,32l10917,1798r-25,17l10861,1821r-9816,l1014,1815r-26,-17l971,1773r-6,-32l965,282r6,-31l988,226r26,-18l1045,202xe" filled="f" strokecolor="#ccc">
              <v:path arrowok="t"/>
            </v:shape>
            <v:shape id="_x0000_s2016" type="#_x0000_t202" style="position:absolute;left:984;top:217;width:9938;height:1589" filled="f" stroked="f">
              <v:textbox inset="0,0,0,0">
                <w:txbxContent>
                  <w:p w14:paraId="688FB453" w14:textId="77777777" w:rsidR="00711A16" w:rsidRDefault="00711A16">
                    <w:pPr>
                      <w:spacing w:before="221"/>
                      <w:ind w:left="200"/>
                      <w:rPr>
                        <w:rFonts w:ascii="MS Gothic"/>
                      </w:rPr>
                    </w:pPr>
                    <w:r>
                      <w:rPr>
                        <w:rFonts w:ascii="MS Gothic"/>
                        <w:color w:val="333333"/>
                      </w:rPr>
                      <w:t>&lt;dependency&gt;</w:t>
                    </w:r>
                  </w:p>
                  <w:p w14:paraId="6C05D267" w14:textId="77777777" w:rsidR="00711A16" w:rsidRDefault="00711A16">
                    <w:pPr>
                      <w:spacing w:before="13"/>
                      <w:ind w:left="640"/>
                      <w:rPr>
                        <w:rFonts w:ascii="MS Gothic"/>
                      </w:rPr>
                    </w:pPr>
                    <w:r>
                      <w:rPr>
                        <w:rFonts w:ascii="MS Gothic"/>
                        <w:color w:val="333333"/>
                      </w:rPr>
                      <w:t>&lt;groupId&gt;io.prometheus&lt;/groupId&gt;</w:t>
                    </w:r>
                  </w:p>
                  <w:p w14:paraId="3665BC18" w14:textId="77777777" w:rsidR="00711A16" w:rsidRDefault="00711A16">
                    <w:pPr>
                      <w:spacing w:before="13"/>
                      <w:ind w:left="640"/>
                      <w:rPr>
                        <w:rFonts w:ascii="MS Gothic"/>
                      </w:rPr>
                    </w:pPr>
                    <w:r>
                      <w:rPr>
                        <w:rFonts w:ascii="MS Gothic"/>
                        <w:color w:val="333333"/>
                      </w:rPr>
                      <w:t>&lt;artifactId&gt;simpleclient_pushgateway&lt;/artifactId&gt;</w:t>
                    </w:r>
                  </w:p>
                  <w:p w14:paraId="77EDB62A"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37C3AB3E" w14:textId="77777777" w:rsidR="00A720EB" w:rsidRDefault="00A720EB">
      <w:pPr>
        <w:pStyle w:val="a3"/>
        <w:rPr>
          <w:sz w:val="10"/>
        </w:rPr>
      </w:pPr>
    </w:p>
    <w:p w14:paraId="688D46A8" w14:textId="77777777" w:rsidR="00A720EB" w:rsidRDefault="0030286B">
      <w:pPr>
        <w:pStyle w:val="a3"/>
        <w:spacing w:before="125" w:line="290" w:lineRule="auto"/>
        <w:ind w:left="124" w:right="122"/>
        <w:jc w:val="both"/>
      </w:pPr>
      <w:r>
        <w:rPr>
          <w:color w:val="333333"/>
          <w:w w:val="110"/>
        </w:rPr>
        <w:t xml:space="preserve">When the Prometheus Pushgateway dependency is present on the classpath and the </w:t>
      </w:r>
      <w:proofErr w:type="gramStart"/>
      <w:r>
        <w:rPr>
          <w:rFonts w:ascii="MS Gothic"/>
          <w:color w:val="B02045"/>
          <w:w w:val="110"/>
        </w:rPr>
        <w:t>management.metrics</w:t>
      </w:r>
      <w:proofErr w:type="gramEnd"/>
      <w:r>
        <w:rPr>
          <w:rFonts w:ascii="MS Gothic"/>
          <w:color w:val="B02045"/>
          <w:w w:val="110"/>
        </w:rPr>
        <w:t xml:space="preserve">.export.prometheus.pushgateway.enabled </w:t>
      </w:r>
      <w:r>
        <w:rPr>
          <w:color w:val="333333"/>
          <w:w w:val="110"/>
        </w:rPr>
        <w:t xml:space="preserve">property is set to </w:t>
      </w:r>
      <w:r>
        <w:rPr>
          <w:rFonts w:ascii="MS Gothic"/>
          <w:color w:val="B02045"/>
          <w:w w:val="110"/>
        </w:rPr>
        <w:t>true</w:t>
      </w:r>
      <w:r>
        <w:rPr>
          <w:color w:val="333333"/>
          <w:w w:val="110"/>
        </w:rPr>
        <w:t xml:space="preserve">, a </w:t>
      </w:r>
      <w:r>
        <w:rPr>
          <w:rFonts w:ascii="MS Gothic"/>
          <w:color w:val="B02045"/>
          <w:w w:val="110"/>
        </w:rPr>
        <w:t xml:space="preserve">PrometheusPushGatewayManager </w:t>
      </w:r>
      <w:r>
        <w:rPr>
          <w:color w:val="333333"/>
          <w:w w:val="110"/>
        </w:rPr>
        <w:t>bean is auto-configured. This manages the pushing of metrics to a Prometheus Pushgateway.</w:t>
      </w:r>
    </w:p>
    <w:p w14:paraId="0EDC92C5" w14:textId="77777777" w:rsidR="00A720EB" w:rsidRDefault="0030286B">
      <w:pPr>
        <w:pStyle w:val="a3"/>
        <w:spacing w:before="245" w:line="280" w:lineRule="auto"/>
        <w:ind w:left="124" w:right="127"/>
        <w:jc w:val="both"/>
      </w:pPr>
      <w:r>
        <w:rPr>
          <w:color w:val="333333"/>
          <w:w w:val="110"/>
        </w:rPr>
        <w:t xml:space="preserve">The </w:t>
      </w:r>
      <w:r>
        <w:rPr>
          <w:rFonts w:ascii="MS Gothic"/>
          <w:color w:val="B02045"/>
          <w:w w:val="110"/>
        </w:rPr>
        <w:t xml:space="preserve">PrometheusPushGatewayManager </w:t>
      </w:r>
      <w:r>
        <w:rPr>
          <w:color w:val="333333"/>
          <w:w w:val="110"/>
        </w:rPr>
        <w:t xml:space="preserve">can be tuned using properties under </w:t>
      </w:r>
      <w:proofErr w:type="gramStart"/>
      <w:r>
        <w:rPr>
          <w:rFonts w:ascii="MS Gothic"/>
          <w:color w:val="B02045"/>
          <w:w w:val="110"/>
        </w:rPr>
        <w:t>management.metrics</w:t>
      </w:r>
      <w:proofErr w:type="gramEnd"/>
      <w:r>
        <w:rPr>
          <w:rFonts w:ascii="MS Gothic"/>
          <w:color w:val="B02045"/>
          <w:w w:val="110"/>
        </w:rPr>
        <w:t>.export.prometheus.pushgateway</w:t>
      </w:r>
      <w:r>
        <w:rPr>
          <w:color w:val="333333"/>
          <w:w w:val="110"/>
        </w:rPr>
        <w:t xml:space="preserve">. </w:t>
      </w:r>
      <w:r>
        <w:rPr>
          <w:color w:val="333333"/>
          <w:spacing w:val="-4"/>
          <w:w w:val="110"/>
        </w:rPr>
        <w:t xml:space="preserve">For </w:t>
      </w:r>
      <w:r>
        <w:rPr>
          <w:color w:val="333333"/>
          <w:w w:val="110"/>
        </w:rPr>
        <w:t xml:space="preserve">advanced configuration, you can also provide your own </w:t>
      </w:r>
      <w:r>
        <w:rPr>
          <w:rFonts w:ascii="MS Gothic"/>
          <w:color w:val="B02045"/>
          <w:w w:val="110"/>
        </w:rPr>
        <w:t>PrometheusPushGatewayManager</w:t>
      </w:r>
      <w:r>
        <w:rPr>
          <w:rFonts w:ascii="MS Gothic"/>
          <w:color w:val="B02045"/>
          <w:spacing w:val="-64"/>
          <w:w w:val="110"/>
        </w:rPr>
        <w:t xml:space="preserve"> </w:t>
      </w:r>
      <w:r>
        <w:rPr>
          <w:color w:val="333333"/>
          <w:w w:val="110"/>
        </w:rPr>
        <w:t>bean.</w:t>
      </w:r>
    </w:p>
    <w:p w14:paraId="3EF74D15" w14:textId="77777777" w:rsidR="00A720EB" w:rsidRDefault="00A720EB">
      <w:pPr>
        <w:pStyle w:val="a3"/>
        <w:spacing w:before="8"/>
        <w:rPr>
          <w:sz w:val="26"/>
        </w:rPr>
      </w:pPr>
    </w:p>
    <w:p w14:paraId="3054FD57" w14:textId="77777777" w:rsidR="00A720EB" w:rsidRDefault="0030286B">
      <w:pPr>
        <w:pStyle w:val="4"/>
        <w:jc w:val="left"/>
      </w:pPr>
      <w:bookmarkStart w:id="638" w:name="SignalFx"/>
      <w:bookmarkEnd w:id="638"/>
      <w:r>
        <w:rPr>
          <w:color w:val="333333"/>
          <w:w w:val="110"/>
        </w:rPr>
        <w:t>SignalFx</w:t>
      </w:r>
    </w:p>
    <w:p w14:paraId="4787BCDC" w14:textId="77777777" w:rsidR="00A720EB" w:rsidRDefault="00A720EB">
      <w:pPr>
        <w:pStyle w:val="a3"/>
        <w:spacing w:before="12"/>
        <w:rPr>
          <w:rFonts w:ascii="Palatino Linotype"/>
          <w:b/>
          <w:sz w:val="18"/>
        </w:rPr>
      </w:pPr>
    </w:p>
    <w:p w14:paraId="3D651DFC" w14:textId="77777777" w:rsidR="00A720EB" w:rsidRDefault="0030286B">
      <w:pPr>
        <w:pStyle w:val="a3"/>
        <w:spacing w:line="307" w:lineRule="auto"/>
        <w:ind w:left="124" w:right="124"/>
        <w:jc w:val="both"/>
      </w:pPr>
      <w:r>
        <w:rPr>
          <w:color w:val="333333"/>
          <w:w w:val="110"/>
        </w:rPr>
        <w:t xml:space="preserve">SignalFx registry pushes metrics to </w:t>
      </w:r>
      <w:hyperlink r:id="rId511">
        <w:r>
          <w:rPr>
            <w:color w:val="418BCA"/>
            <w:w w:val="110"/>
          </w:rPr>
          <w:t xml:space="preserve">SignalFx </w:t>
        </w:r>
      </w:hyperlink>
      <w:r>
        <w:rPr>
          <w:color w:val="333333"/>
          <w:w w:val="110"/>
        </w:rPr>
        <w:t xml:space="preserve">periodically. To export metrics to </w:t>
      </w:r>
      <w:hyperlink r:id="rId512">
        <w:r>
          <w:rPr>
            <w:color w:val="418BCA"/>
            <w:w w:val="110"/>
          </w:rPr>
          <w:t>SignalFx</w:t>
        </w:r>
      </w:hyperlink>
      <w:r>
        <w:rPr>
          <w:color w:val="333333"/>
          <w:w w:val="110"/>
        </w:rPr>
        <w:t>, your access token must be provided:</w:t>
      </w:r>
    </w:p>
    <w:p w14:paraId="6B3C331F" w14:textId="77777777" w:rsidR="00A720EB" w:rsidRDefault="00E10349">
      <w:pPr>
        <w:pStyle w:val="a3"/>
        <w:spacing w:before="1"/>
        <w:rPr>
          <w:sz w:val="13"/>
        </w:rPr>
      </w:pPr>
      <w:r>
        <w:pict w14:anchorId="485117F9">
          <v:group id="_x0000_s2011" style="position:absolute;margin-left:47.85pt;margin-top:9.7pt;width:499.55pt;height:37.5pt;z-index:-15198208;mso-wrap-distance-left:0;mso-wrap-distance-right:0;mso-position-horizontal-relative:page" coordorigin="957,194" coordsize="9991,750">
            <v:shape id="_x0000_s2014" style="position:absolute;left:964;top:201;width:9976;height:735" coordorigin="965,201" coordsize="9976,735" path="m10861,201r-9816,l1014,207r-26,18l971,250r-6,31l965,856r6,31l988,913r26,17l1045,936r9816,l10892,930r25,-17l10935,887r6,-31l10941,281r-6,-31l10917,225r-25,-18l10861,201xe" fillcolor="#f5f5f5" stroked="f">
              <v:path arrowok="t"/>
            </v:shape>
            <v:shape id="_x0000_s2013" style="position:absolute;left:964;top:201;width:9976;height:735" coordorigin="965,201" coordsize="9976,735" path="m1045,201r9816,l10892,207r25,18l10935,250r6,31l10941,856r-6,31l10917,913r-25,17l10861,936r-9816,l1014,930,988,913,971,887r-6,-31l965,281r6,-31l988,225r26,-18l1045,201xe" filled="f" strokecolor="#ccc">
              <v:path arrowok="t"/>
            </v:shape>
            <v:shape id="_x0000_s2012" type="#_x0000_t202" style="position:absolute;left:984;top:216;width:9938;height:704" filled="f" stroked="f">
              <v:textbox inset="0,0,0,0">
                <w:txbxContent>
                  <w:p w14:paraId="3E116A8C"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.export.signalfx.access-token=YOUR_ACCESS_TOKEN</w:t>
                    </w:r>
                  </w:p>
                </w:txbxContent>
              </v:textbox>
            </v:shape>
            <w10:wrap type="topAndBottom" anchorx="page"/>
          </v:group>
        </w:pict>
      </w:r>
    </w:p>
    <w:p w14:paraId="7F821FA6" w14:textId="77777777" w:rsidR="00A720EB" w:rsidRDefault="00A720EB">
      <w:pPr>
        <w:pStyle w:val="a3"/>
        <w:rPr>
          <w:sz w:val="10"/>
        </w:rPr>
      </w:pPr>
    </w:p>
    <w:p w14:paraId="3E051904" w14:textId="77777777" w:rsidR="00A720EB" w:rsidRDefault="0030286B">
      <w:pPr>
        <w:pStyle w:val="a3"/>
        <w:spacing w:before="125"/>
        <w:ind w:left="124"/>
      </w:pPr>
      <w:r>
        <w:rPr>
          <w:color w:val="333333"/>
          <w:w w:val="110"/>
        </w:rPr>
        <w:t>You can also change the interval at which metrics are sent to SignalFx:</w:t>
      </w:r>
    </w:p>
    <w:p w14:paraId="649D9614" w14:textId="77777777" w:rsidR="00A720EB" w:rsidRDefault="00E10349">
      <w:pPr>
        <w:pStyle w:val="a3"/>
        <w:rPr>
          <w:sz w:val="19"/>
        </w:rPr>
      </w:pPr>
      <w:r>
        <w:pict w14:anchorId="6A117A48">
          <v:group id="_x0000_s2007" style="position:absolute;margin-left:47.85pt;margin-top:13.1pt;width:499.55pt;height:37.5pt;z-index:-15197696;mso-wrap-distance-left:0;mso-wrap-distance-right:0;mso-position-horizontal-relative:page" coordorigin="957,262" coordsize="9991,750">
            <v:shape id="_x0000_s2010" style="position:absolute;left:964;top:269;width:9976;height:735" coordorigin="965,270" coordsize="9976,735" path="m10861,270r-9816,l1014,276r-26,17l971,319r-6,31l965,925r6,31l988,981r26,17l1045,1005r9816,l10892,998r25,-17l10935,956r6,-31l10941,350r-6,-31l10917,293r-25,-17l10861,270xe" fillcolor="#f5f5f5" stroked="f">
              <v:path arrowok="t"/>
            </v:shape>
            <v:shape id="_x0000_s2009" style="position:absolute;left:964;top:269;width:9976;height:735" coordorigin="965,270" coordsize="9976,735" path="m1045,270r9816,l10892,276r25,17l10935,319r6,31l10941,925r-6,31l10917,981r-25,17l10861,1005r-9816,l1014,998,988,981,971,956r-6,-31l965,350r6,-31l988,293r26,-17l1045,270xe" filled="f" strokecolor="#ccc">
              <v:path arrowok="t"/>
            </v:shape>
            <v:shape id="_x0000_s2008" type="#_x0000_t202" style="position:absolute;left:984;top:285;width:9938;height:704" filled="f" stroked="f">
              <v:textbox inset="0,0,0,0">
                <w:txbxContent>
                  <w:p w14:paraId="28A9E4C5"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.export.signalfx.step=30s</w:t>
                    </w:r>
                  </w:p>
                </w:txbxContent>
              </v:textbox>
            </v:shape>
            <w10:wrap type="topAndBottom" anchorx="page"/>
          </v:group>
        </w:pict>
      </w:r>
    </w:p>
    <w:p w14:paraId="0C935F20" w14:textId="77777777" w:rsidR="00A720EB" w:rsidRDefault="00A720EB">
      <w:pPr>
        <w:rPr>
          <w:sz w:val="19"/>
        </w:rPr>
        <w:sectPr w:rsidR="00A720EB">
          <w:pgSz w:w="11910" w:h="16840"/>
          <w:pgMar w:top="620" w:right="840" w:bottom="520" w:left="840" w:header="0" w:footer="323" w:gutter="0"/>
          <w:cols w:space="720"/>
        </w:sectPr>
      </w:pPr>
    </w:p>
    <w:p w14:paraId="0CB50AA5" w14:textId="77777777" w:rsidR="00A720EB" w:rsidRDefault="0030286B">
      <w:pPr>
        <w:pStyle w:val="4"/>
        <w:spacing w:before="86"/>
        <w:jc w:val="left"/>
      </w:pPr>
      <w:bookmarkStart w:id="639" w:name="Simple"/>
      <w:bookmarkEnd w:id="639"/>
      <w:r>
        <w:rPr>
          <w:color w:val="333333"/>
          <w:w w:val="105"/>
        </w:rPr>
        <w:lastRenderedPageBreak/>
        <w:t>Simple</w:t>
      </w:r>
    </w:p>
    <w:p w14:paraId="18662260" w14:textId="77777777" w:rsidR="00A720EB" w:rsidRDefault="00A720EB">
      <w:pPr>
        <w:pStyle w:val="a3"/>
        <w:spacing w:before="11"/>
        <w:rPr>
          <w:rFonts w:ascii="Palatino Linotype"/>
          <w:b/>
          <w:sz w:val="18"/>
        </w:rPr>
      </w:pPr>
    </w:p>
    <w:p w14:paraId="21418CD3" w14:textId="77777777" w:rsidR="00A720EB" w:rsidRDefault="0030286B">
      <w:pPr>
        <w:pStyle w:val="a3"/>
        <w:spacing w:line="307" w:lineRule="auto"/>
        <w:ind w:left="124" w:right="123"/>
        <w:jc w:val="both"/>
      </w:pPr>
      <w:r>
        <w:rPr>
          <w:color w:val="333333"/>
          <w:w w:val="110"/>
        </w:rPr>
        <w:t xml:space="preserve">Micrometer ships with a simple, in-memory backend that is automatically used as a fallback if no other registry is configured. This allows you to see what metrics are collected in the </w:t>
      </w:r>
      <w:hyperlink w:anchor="_bookmark456" w:history="1">
        <w:r>
          <w:rPr>
            <w:color w:val="418BCA"/>
            <w:w w:val="110"/>
          </w:rPr>
          <w:t>metrics</w:t>
        </w:r>
      </w:hyperlink>
      <w:r>
        <w:rPr>
          <w:color w:val="418BCA"/>
          <w:w w:val="110"/>
        </w:rPr>
        <w:t xml:space="preserve"> </w:t>
      </w:r>
      <w:hyperlink w:anchor="_bookmark456" w:history="1">
        <w:r>
          <w:rPr>
            <w:color w:val="418BCA"/>
            <w:w w:val="110"/>
          </w:rPr>
          <w:t>endpoint</w:t>
        </w:r>
      </w:hyperlink>
      <w:r>
        <w:rPr>
          <w:color w:val="333333"/>
          <w:w w:val="110"/>
        </w:rPr>
        <w:t>.</w:t>
      </w:r>
    </w:p>
    <w:p w14:paraId="6AC44D39" w14:textId="77777777" w:rsidR="00A720EB" w:rsidRDefault="0030286B">
      <w:pPr>
        <w:pStyle w:val="a3"/>
        <w:spacing w:before="241" w:line="307" w:lineRule="auto"/>
        <w:ind w:left="124" w:right="136"/>
        <w:jc w:val="both"/>
      </w:pPr>
      <w:r>
        <w:rPr>
          <w:color w:val="333333"/>
          <w:w w:val="110"/>
        </w:rPr>
        <w:t xml:space="preserve">The in-memory backend disables itself as soon as you’re using any of the other available backend. </w:t>
      </w:r>
      <w:r>
        <w:rPr>
          <w:color w:val="333333"/>
          <w:spacing w:val="-6"/>
          <w:w w:val="110"/>
        </w:rPr>
        <w:t xml:space="preserve">You </w:t>
      </w:r>
      <w:r>
        <w:rPr>
          <w:color w:val="333333"/>
          <w:w w:val="110"/>
        </w:rPr>
        <w:t>can also disable it</w:t>
      </w:r>
      <w:r>
        <w:rPr>
          <w:color w:val="333333"/>
          <w:spacing w:val="20"/>
          <w:w w:val="110"/>
        </w:rPr>
        <w:t xml:space="preserve"> </w:t>
      </w:r>
      <w:r>
        <w:rPr>
          <w:color w:val="333333"/>
          <w:w w:val="110"/>
        </w:rPr>
        <w:t>explicitly:</w:t>
      </w:r>
    </w:p>
    <w:p w14:paraId="07D363FE" w14:textId="77777777" w:rsidR="00A720EB" w:rsidRDefault="00E10349">
      <w:pPr>
        <w:pStyle w:val="a3"/>
        <w:spacing w:before="2"/>
        <w:rPr>
          <w:sz w:val="13"/>
        </w:rPr>
      </w:pPr>
      <w:r>
        <w:pict w14:anchorId="3B8CF94B">
          <v:group id="_x0000_s2003" style="position:absolute;margin-left:47.85pt;margin-top:9.7pt;width:499.55pt;height:37.5pt;z-index:-15196160;mso-wrap-distance-left:0;mso-wrap-distance-right:0;mso-position-horizontal-relative:page" coordorigin="957,194" coordsize="9991,750">
            <v:shape id="_x0000_s2006"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2005"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2004" type="#_x0000_t202" style="position:absolute;left:984;top:217;width:9938;height:704" filled="f" stroked="f">
              <v:textbox inset="0,0,0,0">
                <w:txbxContent>
                  <w:p w14:paraId="38A3C1DA"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.export.simple.enabled=false</w:t>
                    </w:r>
                  </w:p>
                </w:txbxContent>
              </v:textbox>
            </v:shape>
            <w10:wrap type="topAndBottom" anchorx="page"/>
          </v:group>
        </w:pict>
      </w:r>
    </w:p>
    <w:p w14:paraId="53AFCA7C" w14:textId="77777777" w:rsidR="00A720EB" w:rsidRDefault="00A720EB">
      <w:pPr>
        <w:pStyle w:val="a3"/>
        <w:spacing w:before="11"/>
        <w:rPr>
          <w:sz w:val="16"/>
        </w:rPr>
      </w:pPr>
    </w:p>
    <w:p w14:paraId="19F7CE44" w14:textId="77777777" w:rsidR="00A720EB" w:rsidRDefault="0030286B">
      <w:pPr>
        <w:pStyle w:val="4"/>
        <w:spacing w:before="104"/>
        <w:jc w:val="left"/>
      </w:pPr>
      <w:bookmarkStart w:id="640" w:name="Stackdriver"/>
      <w:bookmarkEnd w:id="640"/>
      <w:r>
        <w:rPr>
          <w:color w:val="333333"/>
          <w:w w:val="115"/>
        </w:rPr>
        <w:t>Stackdriver</w:t>
      </w:r>
    </w:p>
    <w:p w14:paraId="52B0CAAA" w14:textId="77777777" w:rsidR="00A720EB" w:rsidRDefault="00A720EB">
      <w:pPr>
        <w:pStyle w:val="a3"/>
        <w:spacing w:before="11"/>
        <w:rPr>
          <w:rFonts w:ascii="Palatino Linotype"/>
          <w:b/>
          <w:sz w:val="18"/>
        </w:rPr>
      </w:pPr>
    </w:p>
    <w:p w14:paraId="635BABEE" w14:textId="77777777" w:rsidR="00A720EB" w:rsidRDefault="0030286B">
      <w:pPr>
        <w:pStyle w:val="a3"/>
        <w:spacing w:line="307" w:lineRule="auto"/>
        <w:ind w:left="124" w:right="462"/>
      </w:pPr>
      <w:r>
        <w:rPr>
          <w:color w:val="333333"/>
          <w:w w:val="110"/>
        </w:rPr>
        <w:t xml:space="preserve">Stackdriver registry pushes metrics to </w:t>
      </w:r>
      <w:hyperlink r:id="rId513">
        <w:r>
          <w:rPr>
            <w:color w:val="418BCA"/>
            <w:w w:val="110"/>
          </w:rPr>
          <w:t>Stackdriver</w:t>
        </w:r>
      </w:hyperlink>
      <w:r>
        <w:rPr>
          <w:color w:val="418BCA"/>
          <w:w w:val="110"/>
        </w:rPr>
        <w:t xml:space="preserve"> </w:t>
      </w:r>
      <w:r>
        <w:rPr>
          <w:color w:val="333333"/>
          <w:spacing w:val="-3"/>
          <w:w w:val="110"/>
        </w:rPr>
        <w:t xml:space="preserve">periodically. </w:t>
      </w:r>
      <w:r>
        <w:rPr>
          <w:color w:val="333333"/>
          <w:spacing w:val="-4"/>
          <w:w w:val="110"/>
        </w:rPr>
        <w:t xml:space="preserve">To </w:t>
      </w:r>
      <w:r>
        <w:rPr>
          <w:color w:val="333333"/>
          <w:w w:val="110"/>
        </w:rPr>
        <w:t xml:space="preserve">export metrics </w:t>
      </w:r>
      <w:proofErr w:type="gramStart"/>
      <w:r>
        <w:rPr>
          <w:color w:val="333333"/>
          <w:w w:val="110"/>
        </w:rPr>
        <w:t>to  SaaS</w:t>
      </w:r>
      <w:proofErr w:type="gramEnd"/>
      <w:r>
        <w:rPr>
          <w:color w:val="333333"/>
          <w:w w:val="110"/>
        </w:rPr>
        <w:t xml:space="preserve"> </w:t>
      </w:r>
      <w:hyperlink r:id="rId514">
        <w:r>
          <w:rPr>
            <w:color w:val="418BCA"/>
            <w:w w:val="110"/>
          </w:rPr>
          <w:t>Stackdriver</w:t>
        </w:r>
      </w:hyperlink>
      <w:r>
        <w:rPr>
          <w:color w:val="333333"/>
          <w:w w:val="110"/>
        </w:rPr>
        <w:t>, your Google Cloud project id must be</w:t>
      </w:r>
      <w:r>
        <w:rPr>
          <w:color w:val="333333"/>
          <w:spacing w:val="22"/>
          <w:w w:val="110"/>
        </w:rPr>
        <w:t xml:space="preserve"> </w:t>
      </w:r>
      <w:r>
        <w:rPr>
          <w:color w:val="333333"/>
          <w:w w:val="110"/>
        </w:rPr>
        <w:t>provided:</w:t>
      </w:r>
    </w:p>
    <w:p w14:paraId="4EDFB0F0" w14:textId="77777777" w:rsidR="00A720EB" w:rsidRDefault="00E10349">
      <w:pPr>
        <w:pStyle w:val="a3"/>
        <w:spacing w:before="2"/>
        <w:rPr>
          <w:sz w:val="13"/>
        </w:rPr>
      </w:pPr>
      <w:r>
        <w:pict w14:anchorId="2A44839F">
          <v:group id="_x0000_s1999" style="position:absolute;margin-left:47.85pt;margin-top:9.7pt;width:499.55pt;height:37.5pt;z-index:-15195648;mso-wrap-distance-left:0;mso-wrap-distance-right:0;mso-position-horizontal-relative:page" coordorigin="957,194" coordsize="9991,750">
            <v:shape id="_x0000_s2002"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2001"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2000" type="#_x0000_t202" style="position:absolute;left:984;top:217;width:9938;height:704" filled="f" stroked="f">
              <v:textbox inset="0,0,0,0">
                <w:txbxContent>
                  <w:p w14:paraId="19FA7E38"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.export.stackdriver.project-id=my-project</w:t>
                    </w:r>
                  </w:p>
                </w:txbxContent>
              </v:textbox>
            </v:shape>
            <w10:wrap type="topAndBottom" anchorx="page"/>
          </v:group>
        </w:pict>
      </w:r>
    </w:p>
    <w:p w14:paraId="7693BB1B" w14:textId="77777777" w:rsidR="00A720EB" w:rsidRDefault="00A720EB">
      <w:pPr>
        <w:pStyle w:val="a3"/>
        <w:rPr>
          <w:sz w:val="10"/>
        </w:rPr>
      </w:pPr>
    </w:p>
    <w:p w14:paraId="1C7DE56F" w14:textId="77777777" w:rsidR="00A720EB" w:rsidRDefault="0030286B">
      <w:pPr>
        <w:pStyle w:val="a3"/>
        <w:spacing w:before="125"/>
        <w:ind w:left="124"/>
      </w:pPr>
      <w:r>
        <w:rPr>
          <w:color w:val="333333"/>
          <w:w w:val="110"/>
        </w:rPr>
        <w:t>You can also change the interval at which metrics are sent to Stackdriver:</w:t>
      </w:r>
    </w:p>
    <w:p w14:paraId="24D79916" w14:textId="77777777" w:rsidR="00A720EB" w:rsidRDefault="00E10349">
      <w:pPr>
        <w:pStyle w:val="a3"/>
        <w:rPr>
          <w:sz w:val="19"/>
        </w:rPr>
      </w:pPr>
      <w:r>
        <w:pict w14:anchorId="217A2848">
          <v:group id="_x0000_s1995" style="position:absolute;margin-left:47.85pt;margin-top:13.15pt;width:499.55pt;height:37.5pt;z-index:-15195136;mso-wrap-distance-left:0;mso-wrap-distance-right:0;mso-position-horizontal-relative:page" coordorigin="957,263" coordsize="9991,750">
            <v:shape id="_x0000_s1998" style="position:absolute;left:964;top:270;width:9976;height:735" coordorigin="965,270" coordsize="9976,735" path="m10861,270r-9816,l1014,276r-26,18l971,319r-6,31l965,925r6,31l988,982r26,17l1045,1005r9816,l10892,999r25,-17l10935,956r6,-31l10941,350r-6,-31l10917,294r-25,-18l10861,270xe" fillcolor="#f5f5f5" stroked="f">
              <v:path arrowok="t"/>
            </v:shape>
            <v:shape id="_x0000_s1997" style="position:absolute;left:964;top:270;width:9976;height:735" coordorigin="965,270" coordsize="9976,735" path="m1045,270r9816,l10892,276r25,18l10935,319r6,31l10941,925r-6,31l10917,982r-25,17l10861,1005r-9816,l1014,999,988,982,971,956r-6,-31l965,350r6,-31l988,294r26,-18l1045,270xe" filled="f" strokecolor="#ccc">
              <v:path arrowok="t"/>
            </v:shape>
            <v:shape id="_x0000_s1996" type="#_x0000_t202" style="position:absolute;left:984;top:285;width:9938;height:704" filled="f" stroked="f">
              <v:textbox inset="0,0,0,0">
                <w:txbxContent>
                  <w:p w14:paraId="6C48780F"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.export.stackdriver.step=30s</w:t>
                    </w:r>
                  </w:p>
                </w:txbxContent>
              </v:textbox>
            </v:shape>
            <w10:wrap type="topAndBottom" anchorx="page"/>
          </v:group>
        </w:pict>
      </w:r>
    </w:p>
    <w:p w14:paraId="7E189896" w14:textId="77777777" w:rsidR="00A720EB" w:rsidRDefault="00A720EB">
      <w:pPr>
        <w:pStyle w:val="a3"/>
        <w:spacing w:before="11"/>
        <w:rPr>
          <w:sz w:val="16"/>
        </w:rPr>
      </w:pPr>
    </w:p>
    <w:p w14:paraId="10A2AA28" w14:textId="77777777" w:rsidR="00A720EB" w:rsidRDefault="0030286B">
      <w:pPr>
        <w:pStyle w:val="4"/>
        <w:spacing w:before="104"/>
        <w:jc w:val="left"/>
      </w:pPr>
      <w:bookmarkStart w:id="641" w:name="StatsD"/>
      <w:bookmarkEnd w:id="641"/>
      <w:r>
        <w:rPr>
          <w:color w:val="333333"/>
          <w:w w:val="105"/>
        </w:rPr>
        <w:t>StatsD</w:t>
      </w:r>
    </w:p>
    <w:p w14:paraId="4B667727" w14:textId="77777777" w:rsidR="00A720EB" w:rsidRDefault="00A720EB">
      <w:pPr>
        <w:pStyle w:val="a3"/>
        <w:spacing w:before="11"/>
        <w:rPr>
          <w:rFonts w:ascii="Palatino Linotype"/>
          <w:b/>
          <w:sz w:val="18"/>
        </w:rPr>
      </w:pPr>
    </w:p>
    <w:p w14:paraId="34F5FCF8" w14:textId="77777777" w:rsidR="00A720EB" w:rsidRDefault="0030286B">
      <w:pPr>
        <w:pStyle w:val="a3"/>
        <w:spacing w:line="307" w:lineRule="auto"/>
        <w:ind w:left="124" w:right="135"/>
        <w:jc w:val="both"/>
      </w:pPr>
      <w:r>
        <w:rPr>
          <w:color w:val="333333"/>
          <w:w w:val="110"/>
        </w:rPr>
        <w:t xml:space="preserve">The StatsD registry pushes metrics over UDP to a StatsD agent eagerly. By default, metrics are exported to a </w:t>
      </w:r>
      <w:hyperlink r:id="rId515">
        <w:r>
          <w:rPr>
            <w:color w:val="418BCA"/>
            <w:w w:val="110"/>
          </w:rPr>
          <w:t>StatsD</w:t>
        </w:r>
      </w:hyperlink>
      <w:r>
        <w:rPr>
          <w:color w:val="418BCA"/>
          <w:w w:val="110"/>
        </w:rPr>
        <w:t xml:space="preserve"> </w:t>
      </w:r>
      <w:r>
        <w:rPr>
          <w:color w:val="333333"/>
          <w:w w:val="110"/>
        </w:rPr>
        <w:t>agent running on your local machine. The StatsD agent host and port to use   can be provided using:</w:t>
      </w:r>
    </w:p>
    <w:p w14:paraId="5BF67BDA" w14:textId="77777777" w:rsidR="00A720EB" w:rsidRDefault="00E10349">
      <w:pPr>
        <w:pStyle w:val="a3"/>
        <w:spacing w:before="2"/>
        <w:rPr>
          <w:sz w:val="13"/>
        </w:rPr>
      </w:pPr>
      <w:r>
        <w:pict w14:anchorId="66680A80">
          <v:group id="_x0000_s1991" style="position:absolute;margin-left:47.85pt;margin-top:9.75pt;width:499.55pt;height:52.25pt;z-index:-15194624;mso-wrap-distance-left:0;mso-wrap-distance-right:0;mso-position-horizontal-relative:page" coordorigin="957,195" coordsize="9991,1045">
            <v:shape id="_x0000_s1994" style="position:absolute;left:964;top:202;width:9976;height:1030" coordorigin="965,202" coordsize="9976,1030" path="m10861,202r-9816,l1014,209r-26,17l971,251r-6,31l965,1152r6,31l988,1208r26,18l1045,1232r9816,l10892,1226r25,-18l10935,1183r6,-31l10941,282r-6,-31l10917,226r-25,-17l10861,202xe" fillcolor="#f5f5f5" stroked="f">
              <v:path arrowok="t"/>
            </v:shape>
            <v:shape id="_x0000_s1993" style="position:absolute;left:964;top:202;width:9976;height:1030" coordorigin="965,202" coordsize="9976,1030" path="m1045,202r9816,l10892,209r25,17l10935,251r6,31l10941,1152r-6,31l10917,1208r-25,18l10861,1232r-9816,l1014,1226r-26,-18l971,1183r-6,-31l965,282r6,-31l988,226r26,-17l1045,202xe" filled="f" strokecolor="#ccc">
              <v:path arrowok="t"/>
            </v:shape>
            <v:shape id="_x0000_s1992" type="#_x0000_t202" style="position:absolute;left:984;top:217;width:9938;height:999" filled="f" stroked="f">
              <v:textbox inset="0,0,0,0">
                <w:txbxContent>
                  <w:p w14:paraId="3E7CCAF4" w14:textId="77777777" w:rsidR="00711A16" w:rsidRDefault="00711A16">
                    <w:pPr>
                      <w:spacing w:before="221" w:line="252" w:lineRule="auto"/>
                      <w:ind w:left="200" w:right="3558"/>
                      <w:rPr>
                        <w:rFonts w:ascii="MS Gothic"/>
                      </w:rPr>
                    </w:pPr>
                    <w:r>
                      <w:rPr>
                        <w:rFonts w:ascii="MS Gothic"/>
                        <w:color w:val="333333"/>
                      </w:rPr>
                      <w:t xml:space="preserve">management.metrics.export.statsd.host=statsd.example.com </w:t>
                    </w:r>
                    <w:proofErr w:type="gramStart"/>
                    <w:r>
                      <w:rPr>
                        <w:rFonts w:ascii="MS Gothic"/>
                        <w:color w:val="333333"/>
                      </w:rPr>
                      <w:t>management.metrics</w:t>
                    </w:r>
                    <w:proofErr w:type="gramEnd"/>
                    <w:r>
                      <w:rPr>
                        <w:rFonts w:ascii="MS Gothic"/>
                        <w:color w:val="333333"/>
                      </w:rPr>
                      <w:t>.export.statsd.port=9125</w:t>
                    </w:r>
                  </w:p>
                </w:txbxContent>
              </v:textbox>
            </v:shape>
            <w10:wrap type="topAndBottom" anchorx="page"/>
          </v:group>
        </w:pict>
      </w:r>
    </w:p>
    <w:p w14:paraId="19FA3828" w14:textId="77777777" w:rsidR="00A720EB" w:rsidRDefault="00A720EB">
      <w:pPr>
        <w:pStyle w:val="a3"/>
        <w:rPr>
          <w:sz w:val="10"/>
        </w:rPr>
      </w:pPr>
    </w:p>
    <w:p w14:paraId="2F4927D4" w14:textId="77777777" w:rsidR="00A720EB" w:rsidRDefault="0030286B">
      <w:pPr>
        <w:pStyle w:val="a3"/>
        <w:spacing w:before="125"/>
        <w:ind w:left="124"/>
      </w:pPr>
      <w:r>
        <w:rPr>
          <w:color w:val="333333"/>
          <w:w w:val="110"/>
        </w:rPr>
        <w:t>You can also change the StatsD line protocol to use (default to Datadog):</w:t>
      </w:r>
    </w:p>
    <w:p w14:paraId="2489CCEE" w14:textId="77777777" w:rsidR="00A720EB" w:rsidRDefault="00E10349">
      <w:pPr>
        <w:pStyle w:val="a3"/>
        <w:rPr>
          <w:sz w:val="19"/>
        </w:rPr>
      </w:pPr>
      <w:r>
        <w:pict w14:anchorId="4067C11E">
          <v:group id="_x0000_s1987" style="position:absolute;margin-left:47.85pt;margin-top:13.15pt;width:499.55pt;height:37.5pt;z-index:-15194112;mso-wrap-distance-left:0;mso-wrap-distance-right:0;mso-position-horizontal-relative:page" coordorigin="957,263" coordsize="9991,750">
            <v:shape id="_x0000_s1990" style="position:absolute;left:964;top:270;width:9976;height:735" coordorigin="965,270" coordsize="9976,735" path="m10861,270r-9816,l1014,276r-26,18l971,319r-6,31l965,925r6,31l988,982r26,17l1045,1005r9816,l10892,999r25,-17l10935,956r6,-31l10941,350r-6,-31l10917,294r-25,-18l10861,270xe" fillcolor="#f5f5f5" stroked="f">
              <v:path arrowok="t"/>
            </v:shape>
            <v:shape id="_x0000_s1989" style="position:absolute;left:964;top:270;width:9976;height:735" coordorigin="965,270" coordsize="9976,735" path="m1045,270r9816,l10892,276r25,18l10935,319r6,31l10941,925r-6,31l10917,982r-25,17l10861,1005r-9816,l1014,999,988,982,971,956r-6,-31l965,350r6,-31l988,294r26,-18l1045,270xe" filled="f" strokecolor="#ccc">
              <v:path arrowok="t"/>
            </v:shape>
            <v:shape id="_x0000_s1988" type="#_x0000_t202" style="position:absolute;left:984;top:285;width:9938;height:704" filled="f" stroked="f">
              <v:textbox inset="0,0,0,0">
                <w:txbxContent>
                  <w:p w14:paraId="37504EDA"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.export.statsd.flavor=etsy</w:t>
                    </w:r>
                  </w:p>
                </w:txbxContent>
              </v:textbox>
            </v:shape>
            <w10:wrap type="topAndBottom" anchorx="page"/>
          </v:group>
        </w:pict>
      </w:r>
    </w:p>
    <w:p w14:paraId="558782ED" w14:textId="77777777" w:rsidR="00A720EB" w:rsidRDefault="00A720EB">
      <w:pPr>
        <w:pStyle w:val="a3"/>
        <w:spacing w:before="11"/>
        <w:rPr>
          <w:sz w:val="16"/>
        </w:rPr>
      </w:pPr>
    </w:p>
    <w:p w14:paraId="4AB6AE57" w14:textId="77777777" w:rsidR="00A720EB" w:rsidRDefault="0030286B">
      <w:pPr>
        <w:pStyle w:val="4"/>
        <w:spacing w:before="104"/>
        <w:jc w:val="left"/>
      </w:pPr>
      <w:bookmarkStart w:id="642" w:name="Wavefront"/>
      <w:bookmarkEnd w:id="642"/>
      <w:r>
        <w:rPr>
          <w:color w:val="333333"/>
          <w:w w:val="115"/>
        </w:rPr>
        <w:t>Wavefront</w:t>
      </w:r>
    </w:p>
    <w:p w14:paraId="5D4B1D30" w14:textId="77777777" w:rsidR="00A720EB" w:rsidRDefault="00A720EB">
      <w:pPr>
        <w:pStyle w:val="a3"/>
        <w:spacing w:before="11"/>
        <w:rPr>
          <w:rFonts w:ascii="Palatino Linotype"/>
          <w:b/>
          <w:sz w:val="18"/>
        </w:rPr>
      </w:pPr>
    </w:p>
    <w:p w14:paraId="25ABB59F" w14:textId="77777777" w:rsidR="00A720EB" w:rsidRDefault="0030286B">
      <w:pPr>
        <w:pStyle w:val="a3"/>
        <w:spacing w:line="307" w:lineRule="auto"/>
        <w:ind w:left="124" w:right="462"/>
      </w:pPr>
      <w:r>
        <w:rPr>
          <w:color w:val="333333"/>
          <w:spacing w:val="-2"/>
          <w:w w:val="110"/>
        </w:rPr>
        <w:t xml:space="preserve">Wavefront </w:t>
      </w:r>
      <w:r>
        <w:rPr>
          <w:color w:val="333333"/>
          <w:w w:val="110"/>
        </w:rPr>
        <w:t xml:space="preserve">registry pushes metrics to </w:t>
      </w:r>
      <w:hyperlink r:id="rId516">
        <w:r>
          <w:rPr>
            <w:color w:val="418BCA"/>
            <w:spacing w:val="-2"/>
            <w:w w:val="110"/>
          </w:rPr>
          <w:t>Wavefront</w:t>
        </w:r>
      </w:hyperlink>
      <w:r>
        <w:rPr>
          <w:color w:val="418BCA"/>
          <w:spacing w:val="-2"/>
          <w:w w:val="110"/>
        </w:rPr>
        <w:t xml:space="preserve"> </w:t>
      </w:r>
      <w:r>
        <w:rPr>
          <w:color w:val="333333"/>
          <w:spacing w:val="-3"/>
          <w:w w:val="110"/>
        </w:rPr>
        <w:t xml:space="preserve">periodically. </w:t>
      </w:r>
      <w:r>
        <w:rPr>
          <w:color w:val="333333"/>
          <w:w w:val="110"/>
        </w:rPr>
        <w:t xml:space="preserve">If you are exporting metrics to </w:t>
      </w:r>
      <w:hyperlink r:id="rId517">
        <w:r>
          <w:rPr>
            <w:color w:val="418BCA"/>
            <w:spacing w:val="-2"/>
            <w:w w:val="110"/>
          </w:rPr>
          <w:t xml:space="preserve">Wavefront </w:t>
        </w:r>
      </w:hyperlink>
      <w:r>
        <w:rPr>
          <w:color w:val="333333"/>
          <w:spacing w:val="-3"/>
          <w:w w:val="110"/>
        </w:rPr>
        <w:t xml:space="preserve">directly, </w:t>
      </w:r>
      <w:r>
        <w:rPr>
          <w:color w:val="333333"/>
          <w:w w:val="110"/>
        </w:rPr>
        <w:t>your API token must be</w:t>
      </w:r>
      <w:r>
        <w:rPr>
          <w:color w:val="333333"/>
          <w:spacing w:val="30"/>
          <w:w w:val="110"/>
        </w:rPr>
        <w:t xml:space="preserve"> </w:t>
      </w:r>
      <w:r>
        <w:rPr>
          <w:color w:val="333333"/>
          <w:w w:val="110"/>
        </w:rPr>
        <w:t>provided:</w:t>
      </w:r>
    </w:p>
    <w:p w14:paraId="47635FEA" w14:textId="77777777" w:rsidR="00A720EB" w:rsidRDefault="00E10349">
      <w:pPr>
        <w:pStyle w:val="a3"/>
        <w:spacing w:before="2"/>
        <w:rPr>
          <w:sz w:val="13"/>
        </w:rPr>
      </w:pPr>
      <w:r>
        <w:pict w14:anchorId="676875F6">
          <v:group id="_x0000_s1983" style="position:absolute;margin-left:47.85pt;margin-top:9.7pt;width:499.55pt;height:37.5pt;z-index:-15193600;mso-wrap-distance-left:0;mso-wrap-distance-right:0;mso-position-horizontal-relative:page" coordorigin="957,194" coordsize="9991,750">
            <v:shape id="_x0000_s1986"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1985"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1984" type="#_x0000_t202" style="position:absolute;left:984;top:217;width:9938;height:704" filled="f" stroked="f">
              <v:textbox inset="0,0,0,0">
                <w:txbxContent>
                  <w:p w14:paraId="223B8502" w14:textId="77777777" w:rsidR="00711A16" w:rsidRDefault="00711A16">
                    <w:pPr>
                      <w:spacing w:before="221"/>
                      <w:ind w:left="200"/>
                      <w:rPr>
                        <w:rFonts w:ascii="MS Gothic"/>
                      </w:rPr>
                    </w:pPr>
                    <w:r>
                      <w:rPr>
                        <w:rFonts w:ascii="MS Gothic"/>
                        <w:color w:val="333333"/>
                      </w:rPr>
                      <w:t>management.metrics.export.wavefront.api-token=YOUR_API_TOKEN</w:t>
                    </w:r>
                  </w:p>
                </w:txbxContent>
              </v:textbox>
            </v:shape>
            <w10:wrap type="topAndBottom" anchorx="page"/>
          </v:group>
        </w:pict>
      </w:r>
    </w:p>
    <w:p w14:paraId="4A6374F7" w14:textId="77777777" w:rsidR="00A720EB" w:rsidRDefault="00A720EB">
      <w:pPr>
        <w:pStyle w:val="a3"/>
        <w:rPr>
          <w:sz w:val="10"/>
        </w:rPr>
      </w:pPr>
    </w:p>
    <w:p w14:paraId="648B0337" w14:textId="77777777" w:rsidR="00A720EB" w:rsidRDefault="0030286B">
      <w:pPr>
        <w:pStyle w:val="a3"/>
        <w:spacing w:before="125" w:line="307" w:lineRule="auto"/>
        <w:ind w:left="124" w:right="462"/>
      </w:pPr>
      <w:proofErr w:type="gramStart"/>
      <w:r>
        <w:rPr>
          <w:color w:val="333333"/>
          <w:spacing w:val="-3"/>
          <w:w w:val="110"/>
        </w:rPr>
        <w:t xml:space="preserve">Alternatively,  </w:t>
      </w:r>
      <w:r>
        <w:rPr>
          <w:color w:val="333333"/>
          <w:w w:val="110"/>
        </w:rPr>
        <w:t>you</w:t>
      </w:r>
      <w:proofErr w:type="gramEnd"/>
      <w:r>
        <w:rPr>
          <w:color w:val="333333"/>
          <w:w w:val="110"/>
        </w:rPr>
        <w:t xml:space="preserve"> may use a </w:t>
      </w:r>
      <w:r>
        <w:rPr>
          <w:color w:val="333333"/>
          <w:spacing w:val="-2"/>
          <w:w w:val="110"/>
        </w:rPr>
        <w:t xml:space="preserve">Wavefront  </w:t>
      </w:r>
      <w:r>
        <w:rPr>
          <w:color w:val="333333"/>
          <w:w w:val="110"/>
        </w:rPr>
        <w:t xml:space="preserve">sidecar or an internal proxy set up in your environment </w:t>
      </w:r>
      <w:r>
        <w:rPr>
          <w:color w:val="333333"/>
          <w:spacing w:val="50"/>
          <w:w w:val="110"/>
        </w:rPr>
        <w:t xml:space="preserve"> </w:t>
      </w:r>
      <w:r>
        <w:rPr>
          <w:color w:val="333333"/>
          <w:w w:val="110"/>
        </w:rPr>
        <w:t xml:space="preserve">that forwards metrics data to the </w:t>
      </w:r>
      <w:r>
        <w:rPr>
          <w:color w:val="333333"/>
          <w:spacing w:val="-2"/>
          <w:w w:val="110"/>
        </w:rPr>
        <w:t xml:space="preserve">Wavefront </w:t>
      </w:r>
      <w:r>
        <w:rPr>
          <w:color w:val="333333"/>
          <w:w w:val="110"/>
        </w:rPr>
        <w:t>API</w:t>
      </w:r>
      <w:r>
        <w:rPr>
          <w:color w:val="333333"/>
          <w:spacing w:val="28"/>
          <w:w w:val="110"/>
        </w:rPr>
        <w:t xml:space="preserve"> </w:t>
      </w:r>
      <w:r>
        <w:rPr>
          <w:color w:val="333333"/>
          <w:w w:val="110"/>
        </w:rPr>
        <w:t>host:</w:t>
      </w:r>
    </w:p>
    <w:p w14:paraId="44074CDE" w14:textId="77777777" w:rsidR="00A720EB" w:rsidRDefault="00A720EB">
      <w:pPr>
        <w:spacing w:line="307" w:lineRule="auto"/>
        <w:sectPr w:rsidR="00A720EB">
          <w:pgSz w:w="11910" w:h="16840"/>
          <w:pgMar w:top="620" w:right="840" w:bottom="520" w:left="840" w:header="0" w:footer="323" w:gutter="0"/>
          <w:cols w:space="720"/>
        </w:sectPr>
      </w:pPr>
    </w:p>
    <w:p w14:paraId="671CAC19" w14:textId="77777777" w:rsidR="00A720EB" w:rsidRDefault="00E10349">
      <w:pPr>
        <w:pStyle w:val="a3"/>
        <w:ind w:left="116"/>
        <w:rPr>
          <w:sz w:val="20"/>
        </w:rPr>
      </w:pPr>
      <w:r>
        <w:rPr>
          <w:sz w:val="20"/>
        </w:rPr>
      </w:r>
      <w:r>
        <w:rPr>
          <w:sz w:val="20"/>
        </w:rPr>
        <w:pict w14:anchorId="799BC4F0">
          <v:group id="_x0000_s1979" style="width:499.55pt;height:37.5pt;mso-position-horizontal-relative:char;mso-position-vertical-relative:line" coordsize="9991,750">
            <v:shape id="_x0000_s1982" style="position:absolute;left:7;top:7;width:9976;height:735" coordorigin="8,8" coordsize="9976,735" path="m9904,8l88,8,56,14,31,31,14,56,8,88r,574l14,693r17,26l56,736r32,6l9904,742r31,-6l9960,719r17,-26l9984,662r,-574l9977,56,9960,31,9935,14,9904,8xe" fillcolor="#f5f5f5" stroked="f">
              <v:path arrowok="t"/>
            </v:shape>
            <v:shape id="_x0000_s1981" style="position:absolute;left:7;top:7;width:9976;height:735" coordorigin="8,8" coordsize="9976,735" path="m88,8r9816,l9935,14r25,17l9977,56r7,32l9984,662r-7,31l9960,719r-25,17l9904,742,88,742,56,736,31,719,14,693,8,662,8,88,14,56,31,31,56,14,88,8xe" filled="f" strokecolor="#ccc">
              <v:path arrowok="t"/>
            </v:shape>
            <v:shape id="_x0000_s1980" type="#_x0000_t202" style="position:absolute;left:26;top:22;width:9938;height:704" filled="f" stroked="f">
              <v:textbox inset="0,0,0,0">
                <w:txbxContent>
                  <w:p w14:paraId="6E183741" w14:textId="77777777" w:rsidR="00711A16" w:rsidRDefault="00711A16">
                    <w:pPr>
                      <w:spacing w:before="221"/>
                      <w:ind w:left="200"/>
                      <w:rPr>
                        <w:rFonts w:ascii="MS Gothic"/>
                      </w:rPr>
                    </w:pPr>
                    <w:r>
                      <w:rPr>
                        <w:rFonts w:ascii="MS Gothic"/>
                        <w:color w:val="333333"/>
                      </w:rPr>
                      <w:t>management.metrics.export.wavefront.uri=proxy://localhost:2878</w:t>
                    </w:r>
                  </w:p>
                </w:txbxContent>
              </v:textbox>
            </v:shape>
            <w10:anchorlock/>
          </v:group>
        </w:pict>
      </w:r>
    </w:p>
    <w:p w14:paraId="520337E9" w14:textId="77777777" w:rsidR="00A720EB" w:rsidRDefault="00A720EB">
      <w:pPr>
        <w:pStyle w:val="a3"/>
        <w:spacing w:before="10"/>
        <w:rPr>
          <w:sz w:val="15"/>
        </w:rPr>
      </w:pPr>
    </w:p>
    <w:p w14:paraId="6084D702" w14:textId="77777777" w:rsidR="00A720EB" w:rsidRDefault="00E10349">
      <w:pPr>
        <w:pStyle w:val="a3"/>
        <w:spacing w:before="126" w:line="297" w:lineRule="auto"/>
        <w:ind w:left="1564" w:right="638"/>
      </w:pPr>
      <w:r>
        <w:pict w14:anchorId="67DF20E6">
          <v:line id="_x0000_s1978" style="position:absolute;left:0;text-align:left;z-index:16265216;mso-position-horizontal-relative:page" from="108.25pt,.3pt" to="108.25pt,39.85pt" strokecolor="#ededed" strokeweight=".5pt">
            <w10:wrap anchorx="page"/>
          </v:line>
        </w:pict>
      </w:r>
      <w:r w:rsidR="0030286B">
        <w:rPr>
          <w:noProof/>
        </w:rPr>
        <w:drawing>
          <wp:anchor distT="0" distB="0" distL="0" distR="0" simplePos="0" relativeHeight="16265728" behindDoc="0" locked="0" layoutInCell="1" allowOverlap="1" wp14:anchorId="75FDFF2D" wp14:editId="2C336992">
            <wp:simplePos x="0" y="0"/>
            <wp:positionH relativeFrom="page">
              <wp:posOffset>888949</wp:posOffset>
            </wp:positionH>
            <wp:positionV relativeFrom="paragraph">
              <wp:posOffset>102781</wp:posOffset>
            </wp:positionV>
            <wp:extent cx="209550" cy="304800"/>
            <wp:effectExtent l="0" t="0" r="0" b="0"/>
            <wp:wrapNone/>
            <wp:docPr id="64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publishing metrics to a </w:t>
      </w:r>
      <w:r w:rsidR="0030286B">
        <w:rPr>
          <w:color w:val="333333"/>
          <w:spacing w:val="-2"/>
          <w:w w:val="110"/>
        </w:rPr>
        <w:t xml:space="preserve">Wavefront </w:t>
      </w:r>
      <w:r w:rsidR="0030286B">
        <w:rPr>
          <w:color w:val="333333"/>
          <w:w w:val="110"/>
        </w:rPr>
        <w:t xml:space="preserve">proxy (as described in  </w:t>
      </w:r>
      <w:hyperlink r:id="rId518">
        <w:r w:rsidR="0030286B">
          <w:rPr>
            <w:color w:val="418BCA"/>
            <w:w w:val="110"/>
          </w:rPr>
          <w:t>the documentation</w:t>
        </w:r>
      </w:hyperlink>
      <w:r w:rsidR="0030286B">
        <w:rPr>
          <w:color w:val="333333"/>
          <w:w w:val="110"/>
        </w:rPr>
        <w:t xml:space="preserve">),   the host must be in the </w:t>
      </w:r>
      <w:r w:rsidR="0030286B">
        <w:rPr>
          <w:rFonts w:ascii="MS Gothic"/>
          <w:color w:val="B02045"/>
          <w:w w:val="110"/>
        </w:rPr>
        <w:t>proxy://HOST:PORT</w:t>
      </w:r>
      <w:r w:rsidR="0030286B">
        <w:rPr>
          <w:rFonts w:ascii="MS Gothic"/>
          <w:color w:val="B02045"/>
          <w:spacing w:val="-60"/>
          <w:w w:val="110"/>
        </w:rPr>
        <w:t xml:space="preserve"> </w:t>
      </w:r>
      <w:r w:rsidR="0030286B">
        <w:rPr>
          <w:color w:val="333333"/>
          <w:w w:val="110"/>
        </w:rPr>
        <w:t>format.</w:t>
      </w:r>
    </w:p>
    <w:p w14:paraId="6339611C" w14:textId="77777777" w:rsidR="00A720EB" w:rsidRDefault="00A720EB">
      <w:pPr>
        <w:pStyle w:val="a3"/>
        <w:spacing w:before="11"/>
        <w:rPr>
          <w:sz w:val="15"/>
        </w:rPr>
      </w:pPr>
    </w:p>
    <w:p w14:paraId="2B4F52E7" w14:textId="77777777" w:rsidR="00A720EB" w:rsidRDefault="0030286B">
      <w:pPr>
        <w:pStyle w:val="a3"/>
        <w:spacing w:before="125"/>
        <w:ind w:left="124"/>
      </w:pPr>
      <w:r>
        <w:rPr>
          <w:color w:val="333333"/>
          <w:w w:val="110"/>
        </w:rPr>
        <w:t>You can also change the interval at which metrics are sent to Wavefront:</w:t>
      </w:r>
    </w:p>
    <w:p w14:paraId="1D2C38B1" w14:textId="77777777" w:rsidR="00A720EB" w:rsidRDefault="00E10349">
      <w:pPr>
        <w:pStyle w:val="a3"/>
        <w:rPr>
          <w:sz w:val="19"/>
        </w:rPr>
      </w:pPr>
      <w:r>
        <w:pict w14:anchorId="4B65C235">
          <v:group id="_x0000_s1974" style="position:absolute;margin-left:47.85pt;margin-top:13.1pt;width:499.55pt;height:37.5pt;z-index:-15192576;mso-wrap-distance-left:0;mso-wrap-distance-right:0;mso-position-horizontal-relative:page" coordorigin="957,262" coordsize="9991,750">
            <v:shape id="_x0000_s1977" style="position:absolute;left:964;top:269;width:9976;height:735" coordorigin="965,270" coordsize="9976,735" path="m10861,270r-9816,l1014,276r-26,17l971,319r-6,31l965,925r6,31l988,981r26,17l1045,1005r9816,l10892,998r25,-17l10935,956r6,-31l10941,350r-6,-31l10917,293r-25,-17l10861,270xe" fillcolor="#f5f5f5" stroked="f">
              <v:path arrowok="t"/>
            </v:shape>
            <v:shape id="_x0000_s1976" style="position:absolute;left:964;top:269;width:9976;height:735" coordorigin="965,270" coordsize="9976,735" path="m1045,270r9816,l10892,276r25,17l10935,319r6,31l10941,925r-6,31l10917,981r-25,17l10861,1005r-9816,l1014,998,988,981,971,956r-6,-31l965,350r6,-31l988,293r26,-17l1045,270xe" filled="f" strokecolor="#ccc">
              <v:path arrowok="t"/>
            </v:shape>
            <v:shape id="_x0000_s1975" type="#_x0000_t202" style="position:absolute;left:984;top:285;width:9938;height:704" filled="f" stroked="f">
              <v:textbox inset="0,0,0,0">
                <w:txbxContent>
                  <w:p w14:paraId="288350A5"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.export.wavefront.step=30s</w:t>
                    </w:r>
                  </w:p>
                </w:txbxContent>
              </v:textbox>
            </v:shape>
            <w10:wrap type="topAndBottom" anchorx="page"/>
          </v:group>
        </w:pict>
      </w:r>
    </w:p>
    <w:p w14:paraId="4487B0CC" w14:textId="77777777" w:rsidR="00A720EB" w:rsidRDefault="00A720EB">
      <w:pPr>
        <w:pStyle w:val="a3"/>
        <w:spacing w:before="11"/>
        <w:rPr>
          <w:sz w:val="16"/>
        </w:rPr>
      </w:pPr>
    </w:p>
    <w:p w14:paraId="24965B6D" w14:textId="77777777" w:rsidR="00A720EB" w:rsidRDefault="0030286B">
      <w:pPr>
        <w:pStyle w:val="3"/>
        <w:numPr>
          <w:ilvl w:val="2"/>
          <w:numId w:val="24"/>
        </w:numPr>
        <w:tabs>
          <w:tab w:val="left" w:pos="858"/>
        </w:tabs>
        <w:spacing w:before="105"/>
        <w:ind w:hanging="734"/>
      </w:pPr>
      <w:bookmarkStart w:id="643" w:name="5.6.3._Supported_Metrics"/>
      <w:bookmarkStart w:id="644" w:name="_Toc54423863"/>
      <w:bookmarkEnd w:id="643"/>
      <w:r>
        <w:rPr>
          <w:color w:val="333333"/>
          <w:w w:val="110"/>
        </w:rPr>
        <w:t>Supported</w:t>
      </w:r>
      <w:r>
        <w:rPr>
          <w:color w:val="333333"/>
          <w:spacing w:val="-6"/>
          <w:w w:val="110"/>
        </w:rPr>
        <w:t xml:space="preserve"> </w:t>
      </w:r>
      <w:r>
        <w:rPr>
          <w:color w:val="333333"/>
          <w:w w:val="110"/>
        </w:rPr>
        <w:t>Metrics</w:t>
      </w:r>
      <w:bookmarkEnd w:id="644"/>
    </w:p>
    <w:p w14:paraId="373E2BDB" w14:textId="77777777" w:rsidR="00A720EB" w:rsidRDefault="0030286B">
      <w:pPr>
        <w:pStyle w:val="a3"/>
        <w:spacing w:before="254"/>
        <w:ind w:left="124"/>
        <w:jc w:val="both"/>
      </w:pPr>
      <w:r>
        <w:rPr>
          <w:color w:val="333333"/>
          <w:w w:val="110"/>
        </w:rPr>
        <w:t>Spring Boot registers the following core metrics when applicable:</w:t>
      </w:r>
    </w:p>
    <w:p w14:paraId="6725406E" w14:textId="77777777" w:rsidR="00A720EB" w:rsidRDefault="00A720EB">
      <w:pPr>
        <w:pStyle w:val="a3"/>
        <w:spacing w:before="4"/>
        <w:rPr>
          <w:sz w:val="26"/>
        </w:rPr>
      </w:pPr>
    </w:p>
    <w:p w14:paraId="1B25ADEE" w14:textId="77777777" w:rsidR="00A720EB" w:rsidRDefault="0030286B">
      <w:pPr>
        <w:pStyle w:val="a6"/>
        <w:numPr>
          <w:ilvl w:val="3"/>
          <w:numId w:val="24"/>
        </w:numPr>
        <w:tabs>
          <w:tab w:val="left" w:pos="485"/>
        </w:tabs>
        <w:rPr>
          <w:sz w:val="21"/>
        </w:rPr>
      </w:pPr>
      <w:r>
        <w:rPr>
          <w:color w:val="333333"/>
          <w:w w:val="110"/>
          <w:sz w:val="21"/>
        </w:rPr>
        <w:t>JVM metrics, report utilization</w:t>
      </w:r>
      <w:r>
        <w:rPr>
          <w:color w:val="333333"/>
          <w:spacing w:val="11"/>
          <w:w w:val="110"/>
          <w:sz w:val="21"/>
        </w:rPr>
        <w:t xml:space="preserve"> </w:t>
      </w:r>
      <w:r>
        <w:rPr>
          <w:color w:val="333333"/>
          <w:w w:val="110"/>
          <w:sz w:val="21"/>
        </w:rPr>
        <w:t>of:</w:t>
      </w:r>
    </w:p>
    <w:p w14:paraId="0F8E4181" w14:textId="77777777" w:rsidR="00A720EB" w:rsidRDefault="0030286B">
      <w:pPr>
        <w:pStyle w:val="a6"/>
        <w:numPr>
          <w:ilvl w:val="4"/>
          <w:numId w:val="24"/>
        </w:numPr>
        <w:tabs>
          <w:tab w:val="left" w:pos="845"/>
        </w:tabs>
        <w:spacing w:before="190"/>
        <w:rPr>
          <w:sz w:val="21"/>
        </w:rPr>
      </w:pPr>
      <w:r>
        <w:rPr>
          <w:color w:val="333333"/>
          <w:spacing w:val="-3"/>
          <w:w w:val="110"/>
          <w:sz w:val="21"/>
        </w:rPr>
        <w:t xml:space="preserve">Various </w:t>
      </w:r>
      <w:r>
        <w:rPr>
          <w:color w:val="333333"/>
          <w:w w:val="110"/>
          <w:sz w:val="21"/>
        </w:rPr>
        <w:t>memory and buffer</w:t>
      </w:r>
      <w:r>
        <w:rPr>
          <w:color w:val="333333"/>
          <w:spacing w:val="14"/>
          <w:w w:val="110"/>
          <w:sz w:val="21"/>
        </w:rPr>
        <w:t xml:space="preserve"> </w:t>
      </w:r>
      <w:r>
        <w:rPr>
          <w:color w:val="333333"/>
          <w:w w:val="110"/>
          <w:sz w:val="21"/>
        </w:rPr>
        <w:t>pools</w:t>
      </w:r>
    </w:p>
    <w:p w14:paraId="5F73B49F" w14:textId="77777777" w:rsidR="00A720EB" w:rsidRDefault="0030286B">
      <w:pPr>
        <w:pStyle w:val="a6"/>
        <w:numPr>
          <w:ilvl w:val="4"/>
          <w:numId w:val="24"/>
        </w:numPr>
        <w:tabs>
          <w:tab w:val="left" w:pos="845"/>
        </w:tabs>
        <w:spacing w:before="189"/>
        <w:rPr>
          <w:sz w:val="21"/>
        </w:rPr>
      </w:pPr>
      <w:r>
        <w:rPr>
          <w:color w:val="333333"/>
          <w:w w:val="110"/>
          <w:sz w:val="21"/>
        </w:rPr>
        <w:t>Statistics related to garbage</w:t>
      </w:r>
      <w:r>
        <w:rPr>
          <w:color w:val="333333"/>
          <w:spacing w:val="11"/>
          <w:w w:val="110"/>
          <w:sz w:val="21"/>
        </w:rPr>
        <w:t xml:space="preserve"> </w:t>
      </w:r>
      <w:r>
        <w:rPr>
          <w:color w:val="333333"/>
          <w:w w:val="110"/>
          <w:sz w:val="21"/>
        </w:rPr>
        <w:t>collection</w:t>
      </w:r>
    </w:p>
    <w:p w14:paraId="74E531E4" w14:textId="77777777" w:rsidR="00A720EB" w:rsidRDefault="0030286B">
      <w:pPr>
        <w:pStyle w:val="a6"/>
        <w:numPr>
          <w:ilvl w:val="4"/>
          <w:numId w:val="24"/>
        </w:numPr>
        <w:tabs>
          <w:tab w:val="left" w:pos="845"/>
        </w:tabs>
        <w:spacing w:before="189"/>
        <w:rPr>
          <w:sz w:val="21"/>
        </w:rPr>
      </w:pPr>
      <w:r>
        <w:rPr>
          <w:color w:val="333333"/>
          <w:w w:val="110"/>
          <w:sz w:val="21"/>
        </w:rPr>
        <w:t>Threads</w:t>
      </w:r>
      <w:r>
        <w:rPr>
          <w:color w:val="333333"/>
          <w:spacing w:val="2"/>
          <w:w w:val="110"/>
          <w:sz w:val="21"/>
        </w:rPr>
        <w:t xml:space="preserve"> </w:t>
      </w:r>
      <w:r>
        <w:rPr>
          <w:color w:val="333333"/>
          <w:w w:val="110"/>
          <w:sz w:val="21"/>
        </w:rPr>
        <w:t>utilization</w:t>
      </w:r>
    </w:p>
    <w:p w14:paraId="17B7FAE1" w14:textId="77777777" w:rsidR="00A720EB" w:rsidRDefault="0030286B">
      <w:pPr>
        <w:pStyle w:val="a6"/>
        <w:numPr>
          <w:ilvl w:val="4"/>
          <w:numId w:val="24"/>
        </w:numPr>
        <w:tabs>
          <w:tab w:val="left" w:pos="845"/>
        </w:tabs>
        <w:spacing w:before="190"/>
        <w:rPr>
          <w:sz w:val="21"/>
        </w:rPr>
      </w:pPr>
      <w:r>
        <w:rPr>
          <w:color w:val="333333"/>
          <w:w w:val="110"/>
          <w:sz w:val="21"/>
        </w:rPr>
        <w:t>Number of classes</w:t>
      </w:r>
      <w:r>
        <w:rPr>
          <w:color w:val="333333"/>
          <w:spacing w:val="9"/>
          <w:w w:val="110"/>
          <w:sz w:val="21"/>
        </w:rPr>
        <w:t xml:space="preserve"> </w:t>
      </w:r>
      <w:r>
        <w:rPr>
          <w:color w:val="333333"/>
          <w:w w:val="110"/>
          <w:sz w:val="21"/>
        </w:rPr>
        <w:t>loaded/unloaded</w:t>
      </w:r>
    </w:p>
    <w:p w14:paraId="082057BE" w14:textId="77777777" w:rsidR="00A720EB" w:rsidRDefault="0030286B">
      <w:pPr>
        <w:pStyle w:val="a6"/>
        <w:numPr>
          <w:ilvl w:val="3"/>
          <w:numId w:val="24"/>
        </w:numPr>
        <w:tabs>
          <w:tab w:val="left" w:pos="485"/>
        </w:tabs>
        <w:spacing w:before="189"/>
        <w:rPr>
          <w:sz w:val="21"/>
        </w:rPr>
      </w:pPr>
      <w:r>
        <w:rPr>
          <w:color w:val="333333"/>
          <w:w w:val="110"/>
          <w:sz w:val="21"/>
        </w:rPr>
        <w:t>CPU</w:t>
      </w:r>
      <w:r>
        <w:rPr>
          <w:color w:val="333333"/>
          <w:spacing w:val="2"/>
          <w:w w:val="110"/>
          <w:sz w:val="21"/>
        </w:rPr>
        <w:t xml:space="preserve"> </w:t>
      </w:r>
      <w:r>
        <w:rPr>
          <w:color w:val="333333"/>
          <w:w w:val="110"/>
          <w:sz w:val="21"/>
        </w:rPr>
        <w:t>metrics</w:t>
      </w:r>
    </w:p>
    <w:p w14:paraId="5BD2CADF" w14:textId="77777777" w:rsidR="00A720EB" w:rsidRDefault="0030286B">
      <w:pPr>
        <w:pStyle w:val="a6"/>
        <w:numPr>
          <w:ilvl w:val="3"/>
          <w:numId w:val="24"/>
        </w:numPr>
        <w:tabs>
          <w:tab w:val="left" w:pos="485"/>
        </w:tabs>
        <w:spacing w:before="190"/>
        <w:rPr>
          <w:sz w:val="21"/>
        </w:rPr>
      </w:pPr>
      <w:r>
        <w:rPr>
          <w:color w:val="333333"/>
          <w:w w:val="110"/>
          <w:sz w:val="21"/>
        </w:rPr>
        <w:t>File descriptor</w:t>
      </w:r>
      <w:r>
        <w:rPr>
          <w:color w:val="333333"/>
          <w:spacing w:val="4"/>
          <w:w w:val="110"/>
          <w:sz w:val="21"/>
        </w:rPr>
        <w:t xml:space="preserve"> </w:t>
      </w:r>
      <w:r>
        <w:rPr>
          <w:color w:val="333333"/>
          <w:w w:val="110"/>
          <w:sz w:val="21"/>
        </w:rPr>
        <w:t>metrics</w:t>
      </w:r>
    </w:p>
    <w:p w14:paraId="40BDA55A" w14:textId="77777777" w:rsidR="00A720EB" w:rsidRDefault="0030286B">
      <w:pPr>
        <w:pStyle w:val="a6"/>
        <w:numPr>
          <w:ilvl w:val="3"/>
          <w:numId w:val="24"/>
        </w:numPr>
        <w:tabs>
          <w:tab w:val="left" w:pos="485"/>
        </w:tabs>
        <w:spacing w:before="189"/>
        <w:rPr>
          <w:sz w:val="21"/>
        </w:rPr>
      </w:pPr>
      <w:r>
        <w:rPr>
          <w:color w:val="333333"/>
          <w:w w:val="110"/>
          <w:sz w:val="21"/>
        </w:rPr>
        <w:t>Kafka consumer and producer</w:t>
      </w:r>
      <w:r>
        <w:rPr>
          <w:color w:val="333333"/>
          <w:spacing w:val="13"/>
          <w:w w:val="110"/>
          <w:sz w:val="21"/>
        </w:rPr>
        <w:t xml:space="preserve"> </w:t>
      </w:r>
      <w:r>
        <w:rPr>
          <w:color w:val="333333"/>
          <w:w w:val="110"/>
          <w:sz w:val="21"/>
        </w:rPr>
        <w:t>metrics</w:t>
      </w:r>
    </w:p>
    <w:p w14:paraId="467D4D74" w14:textId="77777777" w:rsidR="00A720EB" w:rsidRDefault="0030286B">
      <w:pPr>
        <w:pStyle w:val="a6"/>
        <w:numPr>
          <w:ilvl w:val="3"/>
          <w:numId w:val="24"/>
        </w:numPr>
        <w:tabs>
          <w:tab w:val="left" w:pos="485"/>
        </w:tabs>
        <w:spacing w:before="190"/>
        <w:rPr>
          <w:sz w:val="21"/>
        </w:rPr>
      </w:pPr>
      <w:r>
        <w:rPr>
          <w:color w:val="333333"/>
          <w:w w:val="110"/>
          <w:sz w:val="21"/>
        </w:rPr>
        <w:t>Log4j2 metrics: record the number of events logged to Log4j2 at each</w:t>
      </w:r>
      <w:r>
        <w:rPr>
          <w:color w:val="333333"/>
          <w:spacing w:val="35"/>
          <w:w w:val="110"/>
          <w:sz w:val="21"/>
        </w:rPr>
        <w:t xml:space="preserve"> </w:t>
      </w:r>
      <w:r>
        <w:rPr>
          <w:color w:val="333333"/>
          <w:w w:val="110"/>
          <w:sz w:val="21"/>
        </w:rPr>
        <w:t>level</w:t>
      </w:r>
    </w:p>
    <w:p w14:paraId="50113A39" w14:textId="77777777" w:rsidR="00A720EB" w:rsidRDefault="0030286B">
      <w:pPr>
        <w:pStyle w:val="a6"/>
        <w:numPr>
          <w:ilvl w:val="3"/>
          <w:numId w:val="24"/>
        </w:numPr>
        <w:tabs>
          <w:tab w:val="left" w:pos="485"/>
        </w:tabs>
        <w:spacing w:before="189"/>
        <w:rPr>
          <w:sz w:val="21"/>
        </w:rPr>
      </w:pPr>
      <w:r>
        <w:rPr>
          <w:color w:val="333333"/>
          <w:w w:val="110"/>
          <w:sz w:val="21"/>
        </w:rPr>
        <w:t>Logback metrics: record the number of events logged to Logback at each</w:t>
      </w:r>
      <w:r>
        <w:rPr>
          <w:color w:val="333333"/>
          <w:spacing w:val="49"/>
          <w:w w:val="110"/>
          <w:sz w:val="21"/>
        </w:rPr>
        <w:t xml:space="preserve"> </w:t>
      </w:r>
      <w:r>
        <w:rPr>
          <w:color w:val="333333"/>
          <w:w w:val="110"/>
          <w:sz w:val="21"/>
        </w:rPr>
        <w:t>level</w:t>
      </w:r>
    </w:p>
    <w:p w14:paraId="3FF389CE" w14:textId="77777777" w:rsidR="00A720EB" w:rsidRDefault="0030286B">
      <w:pPr>
        <w:pStyle w:val="a6"/>
        <w:numPr>
          <w:ilvl w:val="3"/>
          <w:numId w:val="24"/>
        </w:numPr>
        <w:tabs>
          <w:tab w:val="left" w:pos="485"/>
        </w:tabs>
        <w:spacing w:before="189" w:line="307" w:lineRule="auto"/>
        <w:ind w:right="130"/>
        <w:rPr>
          <w:sz w:val="21"/>
        </w:rPr>
      </w:pPr>
      <w:r>
        <w:rPr>
          <w:color w:val="333333"/>
          <w:w w:val="110"/>
          <w:sz w:val="21"/>
        </w:rPr>
        <w:t>Uptime metrics: report a gauge for uptime and a fixed gauge representing the application’s absolute start</w:t>
      </w:r>
      <w:r>
        <w:rPr>
          <w:color w:val="333333"/>
          <w:spacing w:val="5"/>
          <w:w w:val="110"/>
          <w:sz w:val="21"/>
        </w:rPr>
        <w:t xml:space="preserve"> </w:t>
      </w:r>
      <w:r>
        <w:rPr>
          <w:color w:val="333333"/>
          <w:w w:val="110"/>
          <w:sz w:val="21"/>
        </w:rPr>
        <w:t>time</w:t>
      </w:r>
    </w:p>
    <w:p w14:paraId="7CFA694B" w14:textId="77777777" w:rsidR="00A720EB" w:rsidRDefault="0030286B">
      <w:pPr>
        <w:pStyle w:val="a6"/>
        <w:numPr>
          <w:ilvl w:val="3"/>
          <w:numId w:val="24"/>
        </w:numPr>
        <w:tabs>
          <w:tab w:val="left" w:pos="485"/>
        </w:tabs>
        <w:spacing w:before="111" w:line="290" w:lineRule="auto"/>
        <w:ind w:right="124"/>
        <w:rPr>
          <w:sz w:val="21"/>
        </w:rPr>
      </w:pPr>
      <w:r>
        <w:rPr>
          <w:color w:val="333333"/>
          <w:w w:val="110"/>
          <w:sz w:val="21"/>
        </w:rPr>
        <w:t>Tomcat</w:t>
      </w:r>
      <w:r>
        <w:rPr>
          <w:color w:val="333333"/>
          <w:spacing w:val="-26"/>
          <w:w w:val="110"/>
          <w:sz w:val="21"/>
        </w:rPr>
        <w:t xml:space="preserve"> </w:t>
      </w:r>
      <w:r>
        <w:rPr>
          <w:color w:val="333333"/>
          <w:w w:val="110"/>
          <w:sz w:val="21"/>
        </w:rPr>
        <w:t>metrics</w:t>
      </w:r>
      <w:r>
        <w:rPr>
          <w:color w:val="333333"/>
          <w:spacing w:val="-25"/>
          <w:w w:val="110"/>
          <w:sz w:val="21"/>
        </w:rPr>
        <w:t xml:space="preserve"> </w:t>
      </w:r>
      <w:r>
        <w:rPr>
          <w:color w:val="333333"/>
          <w:w w:val="110"/>
          <w:sz w:val="21"/>
        </w:rPr>
        <w:t>(</w:t>
      </w:r>
      <w:proofErr w:type="gramStart"/>
      <w:r>
        <w:rPr>
          <w:rFonts w:ascii="MS Gothic" w:hAnsi="MS Gothic"/>
          <w:color w:val="B02045"/>
          <w:w w:val="110"/>
          <w:sz w:val="21"/>
        </w:rPr>
        <w:t>server.tomcat</w:t>
      </w:r>
      <w:proofErr w:type="gramEnd"/>
      <w:r>
        <w:rPr>
          <w:rFonts w:ascii="MS Gothic" w:hAnsi="MS Gothic"/>
          <w:color w:val="B02045"/>
          <w:w w:val="110"/>
          <w:sz w:val="21"/>
        </w:rPr>
        <w:t>.mbeanregistry.enabled</w:t>
      </w:r>
      <w:r>
        <w:rPr>
          <w:rFonts w:ascii="MS Gothic" w:hAnsi="MS Gothic"/>
          <w:color w:val="B02045"/>
          <w:spacing w:val="-90"/>
          <w:w w:val="110"/>
          <w:sz w:val="21"/>
        </w:rPr>
        <w:t xml:space="preserve"> </w:t>
      </w:r>
      <w:r>
        <w:rPr>
          <w:color w:val="333333"/>
          <w:w w:val="110"/>
          <w:sz w:val="21"/>
        </w:rPr>
        <w:t>must</w:t>
      </w:r>
      <w:r>
        <w:rPr>
          <w:color w:val="333333"/>
          <w:spacing w:val="-25"/>
          <w:w w:val="110"/>
          <w:sz w:val="21"/>
        </w:rPr>
        <w:t xml:space="preserve"> </w:t>
      </w:r>
      <w:r>
        <w:rPr>
          <w:color w:val="333333"/>
          <w:w w:val="110"/>
          <w:sz w:val="21"/>
        </w:rPr>
        <w:t>be</w:t>
      </w:r>
      <w:r>
        <w:rPr>
          <w:color w:val="333333"/>
          <w:spacing w:val="-25"/>
          <w:w w:val="110"/>
          <w:sz w:val="21"/>
        </w:rPr>
        <w:t xml:space="preserve"> </w:t>
      </w:r>
      <w:r>
        <w:rPr>
          <w:color w:val="333333"/>
          <w:w w:val="110"/>
          <w:sz w:val="21"/>
        </w:rPr>
        <w:t>set</w:t>
      </w:r>
      <w:r>
        <w:rPr>
          <w:color w:val="333333"/>
          <w:spacing w:val="-26"/>
          <w:w w:val="110"/>
          <w:sz w:val="21"/>
        </w:rPr>
        <w:t xml:space="preserve"> </w:t>
      </w:r>
      <w:r>
        <w:rPr>
          <w:color w:val="333333"/>
          <w:w w:val="110"/>
          <w:sz w:val="21"/>
        </w:rPr>
        <w:t>to</w:t>
      </w:r>
      <w:r>
        <w:rPr>
          <w:color w:val="333333"/>
          <w:spacing w:val="-24"/>
          <w:w w:val="110"/>
          <w:sz w:val="21"/>
        </w:rPr>
        <w:t xml:space="preserve"> </w:t>
      </w:r>
      <w:r>
        <w:rPr>
          <w:rFonts w:ascii="MS Gothic" w:hAnsi="MS Gothic"/>
          <w:color w:val="B02045"/>
          <w:w w:val="110"/>
          <w:sz w:val="21"/>
        </w:rPr>
        <w:t>true</w:t>
      </w:r>
      <w:r>
        <w:rPr>
          <w:rFonts w:ascii="MS Gothic" w:hAnsi="MS Gothic"/>
          <w:color w:val="B02045"/>
          <w:spacing w:val="-90"/>
          <w:w w:val="110"/>
          <w:sz w:val="21"/>
        </w:rPr>
        <w:t xml:space="preserve"> </w:t>
      </w:r>
      <w:r>
        <w:rPr>
          <w:color w:val="333333"/>
          <w:w w:val="110"/>
          <w:sz w:val="21"/>
        </w:rPr>
        <w:t>for</w:t>
      </w:r>
      <w:r>
        <w:rPr>
          <w:color w:val="333333"/>
          <w:spacing w:val="-25"/>
          <w:w w:val="110"/>
          <w:sz w:val="21"/>
        </w:rPr>
        <w:t xml:space="preserve"> </w:t>
      </w:r>
      <w:r>
        <w:rPr>
          <w:color w:val="333333"/>
          <w:w w:val="110"/>
          <w:sz w:val="21"/>
        </w:rPr>
        <w:t>all</w:t>
      </w:r>
      <w:r>
        <w:rPr>
          <w:color w:val="333333"/>
          <w:spacing w:val="-26"/>
          <w:w w:val="110"/>
          <w:sz w:val="21"/>
        </w:rPr>
        <w:t xml:space="preserve"> </w:t>
      </w:r>
      <w:r>
        <w:rPr>
          <w:color w:val="333333"/>
          <w:w w:val="110"/>
          <w:sz w:val="21"/>
        </w:rPr>
        <w:t>Tomcat</w:t>
      </w:r>
      <w:r>
        <w:rPr>
          <w:color w:val="333333"/>
          <w:spacing w:val="-25"/>
          <w:w w:val="110"/>
          <w:sz w:val="21"/>
        </w:rPr>
        <w:t xml:space="preserve"> </w:t>
      </w:r>
      <w:r>
        <w:rPr>
          <w:color w:val="333333"/>
          <w:w w:val="110"/>
          <w:sz w:val="21"/>
        </w:rPr>
        <w:t>metrics to be</w:t>
      </w:r>
      <w:r>
        <w:rPr>
          <w:color w:val="333333"/>
          <w:spacing w:val="5"/>
          <w:w w:val="110"/>
          <w:sz w:val="21"/>
        </w:rPr>
        <w:t xml:space="preserve"> </w:t>
      </w:r>
      <w:r>
        <w:rPr>
          <w:color w:val="333333"/>
          <w:w w:val="110"/>
          <w:sz w:val="21"/>
        </w:rPr>
        <w:t>registered)</w:t>
      </w:r>
    </w:p>
    <w:p w14:paraId="2DA64AB3" w14:textId="77777777" w:rsidR="00A720EB" w:rsidRDefault="00E10349">
      <w:pPr>
        <w:pStyle w:val="a6"/>
        <w:numPr>
          <w:ilvl w:val="3"/>
          <w:numId w:val="24"/>
        </w:numPr>
        <w:tabs>
          <w:tab w:val="left" w:pos="485"/>
        </w:tabs>
        <w:spacing w:before="138"/>
        <w:rPr>
          <w:sz w:val="21"/>
        </w:rPr>
      </w:pPr>
      <w:hyperlink r:id="rId519" w:anchor="micrometer-integration">
        <w:r w:rsidR="0030286B">
          <w:rPr>
            <w:color w:val="418BCA"/>
            <w:w w:val="110"/>
            <w:sz w:val="21"/>
          </w:rPr>
          <w:t>Spring Integration</w:t>
        </w:r>
        <w:r w:rsidR="0030286B">
          <w:rPr>
            <w:color w:val="418BCA"/>
            <w:spacing w:val="7"/>
            <w:w w:val="110"/>
            <w:sz w:val="21"/>
          </w:rPr>
          <w:t xml:space="preserve"> </w:t>
        </w:r>
      </w:hyperlink>
      <w:r w:rsidR="0030286B">
        <w:rPr>
          <w:color w:val="333333"/>
          <w:w w:val="110"/>
          <w:sz w:val="21"/>
        </w:rPr>
        <w:t>metrics</w:t>
      </w:r>
    </w:p>
    <w:p w14:paraId="5F8C7098" w14:textId="77777777" w:rsidR="00A720EB" w:rsidRDefault="00A720EB">
      <w:pPr>
        <w:pStyle w:val="a3"/>
        <w:spacing w:before="6"/>
        <w:rPr>
          <w:sz w:val="31"/>
        </w:rPr>
      </w:pPr>
    </w:p>
    <w:p w14:paraId="29C86092" w14:textId="77777777" w:rsidR="00A720EB" w:rsidRDefault="0030286B">
      <w:pPr>
        <w:pStyle w:val="4"/>
      </w:pPr>
      <w:bookmarkStart w:id="645" w:name="Spring_MVC_Metrics"/>
      <w:bookmarkEnd w:id="645"/>
      <w:r>
        <w:rPr>
          <w:color w:val="333333"/>
          <w:w w:val="105"/>
        </w:rPr>
        <w:t>Spring MVC Metrics</w:t>
      </w:r>
    </w:p>
    <w:p w14:paraId="072D835B" w14:textId="77777777" w:rsidR="00A720EB" w:rsidRDefault="00A720EB">
      <w:pPr>
        <w:pStyle w:val="a3"/>
        <w:spacing w:before="11"/>
        <w:rPr>
          <w:rFonts w:ascii="Palatino Linotype"/>
          <w:b/>
          <w:sz w:val="18"/>
        </w:rPr>
      </w:pPr>
    </w:p>
    <w:p w14:paraId="7814E404" w14:textId="77777777" w:rsidR="00A720EB" w:rsidRDefault="0030286B">
      <w:pPr>
        <w:pStyle w:val="a3"/>
        <w:spacing w:line="290" w:lineRule="auto"/>
        <w:ind w:left="124" w:right="122"/>
        <w:jc w:val="both"/>
      </w:pPr>
      <w:r>
        <w:rPr>
          <w:color w:val="333333"/>
          <w:w w:val="110"/>
        </w:rPr>
        <w:t xml:space="preserve">Auto-configuration enables the instrumentation of requests handled </w:t>
      </w:r>
      <w:r>
        <w:rPr>
          <w:color w:val="333333"/>
          <w:spacing w:val="-3"/>
          <w:w w:val="110"/>
        </w:rPr>
        <w:t xml:space="preserve">by </w:t>
      </w:r>
      <w:r>
        <w:rPr>
          <w:color w:val="333333"/>
          <w:w w:val="110"/>
        </w:rPr>
        <w:t xml:space="preserve">Spring MVC. When </w:t>
      </w:r>
      <w:proofErr w:type="gramStart"/>
      <w:r>
        <w:rPr>
          <w:rFonts w:ascii="MS Gothic"/>
          <w:color w:val="B02045"/>
          <w:w w:val="105"/>
        </w:rPr>
        <w:t>management.metrics.web.server</w:t>
      </w:r>
      <w:proofErr w:type="gramEnd"/>
      <w:r>
        <w:rPr>
          <w:rFonts w:ascii="MS Gothic"/>
          <w:color w:val="B02045"/>
          <w:w w:val="105"/>
        </w:rPr>
        <w:t>.request.autotime.enabled</w:t>
      </w:r>
      <w:r>
        <w:rPr>
          <w:rFonts w:ascii="MS Gothic"/>
          <w:color w:val="B02045"/>
          <w:spacing w:val="-55"/>
          <w:w w:val="105"/>
        </w:rPr>
        <w:t xml:space="preserve"> </w:t>
      </w:r>
      <w:r>
        <w:rPr>
          <w:color w:val="333333"/>
          <w:w w:val="105"/>
        </w:rPr>
        <w:t xml:space="preserve">is </w:t>
      </w:r>
      <w:r>
        <w:rPr>
          <w:rFonts w:ascii="MS Gothic"/>
          <w:color w:val="B02045"/>
          <w:w w:val="105"/>
        </w:rPr>
        <w:t>true</w:t>
      </w:r>
      <w:r>
        <w:rPr>
          <w:color w:val="333333"/>
          <w:w w:val="105"/>
        </w:rPr>
        <w:t xml:space="preserve">, this instrumentation occurs for all </w:t>
      </w:r>
      <w:r>
        <w:rPr>
          <w:color w:val="333333"/>
          <w:w w:val="110"/>
        </w:rPr>
        <w:t xml:space="preserve">requests. </w:t>
      </w:r>
      <w:r>
        <w:rPr>
          <w:color w:val="333333"/>
          <w:spacing w:val="-3"/>
          <w:w w:val="110"/>
        </w:rPr>
        <w:t xml:space="preserve">Alternatively, </w:t>
      </w:r>
      <w:r>
        <w:rPr>
          <w:color w:val="333333"/>
          <w:w w:val="110"/>
        </w:rPr>
        <w:t xml:space="preserve">when set to </w:t>
      </w:r>
      <w:r>
        <w:rPr>
          <w:rFonts w:ascii="MS Gothic"/>
          <w:color w:val="B02045"/>
          <w:w w:val="110"/>
        </w:rPr>
        <w:t>false</w:t>
      </w:r>
      <w:r>
        <w:rPr>
          <w:color w:val="333333"/>
          <w:w w:val="110"/>
        </w:rPr>
        <w:t xml:space="preserve">, you can enable instrumentation </w:t>
      </w:r>
      <w:r>
        <w:rPr>
          <w:color w:val="333333"/>
          <w:spacing w:val="-3"/>
          <w:w w:val="110"/>
        </w:rPr>
        <w:t xml:space="preserve">by </w:t>
      </w:r>
      <w:r>
        <w:rPr>
          <w:color w:val="333333"/>
          <w:w w:val="110"/>
        </w:rPr>
        <w:t xml:space="preserve">adding </w:t>
      </w:r>
      <w:r>
        <w:rPr>
          <w:rFonts w:ascii="MS Gothic"/>
          <w:color w:val="B02045"/>
          <w:w w:val="110"/>
        </w:rPr>
        <w:t xml:space="preserve">@Timed </w:t>
      </w:r>
      <w:r>
        <w:rPr>
          <w:color w:val="333333"/>
          <w:w w:val="110"/>
        </w:rPr>
        <w:t>to a request-handling method:</w:t>
      </w:r>
    </w:p>
    <w:p w14:paraId="547C62DD" w14:textId="77777777" w:rsidR="00A720EB" w:rsidRDefault="00A720EB">
      <w:pPr>
        <w:spacing w:line="290" w:lineRule="auto"/>
        <w:jc w:val="both"/>
        <w:sectPr w:rsidR="00A720EB">
          <w:pgSz w:w="11910" w:h="16840"/>
          <w:pgMar w:top="700" w:right="840" w:bottom="520" w:left="840" w:header="0" w:footer="323" w:gutter="0"/>
          <w:cols w:space="720"/>
        </w:sectPr>
      </w:pPr>
    </w:p>
    <w:p w14:paraId="42E9AA67" w14:textId="77777777" w:rsidR="00A720EB" w:rsidRDefault="00E10349">
      <w:pPr>
        <w:pStyle w:val="a3"/>
        <w:ind w:left="116"/>
        <w:rPr>
          <w:sz w:val="20"/>
        </w:rPr>
      </w:pPr>
      <w:r>
        <w:rPr>
          <w:sz w:val="20"/>
        </w:rPr>
      </w:r>
      <w:r>
        <w:rPr>
          <w:sz w:val="20"/>
        </w:rPr>
        <w:pict w14:anchorId="180DA4D6">
          <v:group id="_x0000_s1970" style="width:499.55pt;height:170.15pt;mso-position-horizontal-relative:char;mso-position-vertical-relative:line" coordsize="9991,3403">
            <v:shape id="_x0000_s1973" style="position:absolute;left:7;top:7;width:9976;height:3388" coordorigin="8,8" coordsize="9976,3388" path="m9904,8l88,8,56,14,31,31,14,56,8,88r,3227l14,3347r17,25l56,3389r32,6l9904,3395r31,-6l9960,3372r17,-25l9984,3315r,-3227l9977,56,9960,31,9935,14,9904,8xe" fillcolor="#f5f5f5" stroked="f">
              <v:path arrowok="t"/>
            </v:shape>
            <v:shape id="_x0000_s1972" style="position:absolute;left:7;top:7;width:9976;height:3388" coordorigin="8,8" coordsize="9976,3388" path="m88,8r9816,l9935,14r25,17l9977,56r7,32l9984,3315r-7,32l9960,3372r-25,17l9904,3395r-9816,l56,3389,31,3372,14,3347,8,3315,8,88,14,56,31,31,56,14,88,8xe" filled="f" strokecolor="#ccc">
              <v:path arrowok="t"/>
            </v:shape>
            <v:shape id="_x0000_s1971" type="#_x0000_t202" style="position:absolute;left:26;top:22;width:9938;height:3358" filled="f" stroked="f">
              <v:textbox inset="0,0,0,0">
                <w:txbxContent>
                  <w:p w14:paraId="78B3D087" w14:textId="77777777" w:rsidR="00711A16" w:rsidRDefault="00711A16">
                    <w:pPr>
                      <w:spacing w:before="221" w:line="252" w:lineRule="auto"/>
                      <w:ind w:left="200" w:right="8068"/>
                      <w:rPr>
                        <w:rFonts w:ascii="MS UI Gothic" w:hAnsi="MS UI Gothic"/>
                      </w:rPr>
                    </w:pPr>
                    <w:r>
                      <w:rPr>
                        <w:rFonts w:ascii="MS Gothic" w:hAnsi="MS Gothic"/>
                        <w:color w:val="333333"/>
                      </w:rPr>
                      <w:t xml:space="preserve">@RestController @Timed </w:t>
                    </w:r>
                    <w:r>
                      <w:rPr>
                        <w:rFonts w:ascii="MS UI Gothic" w:hAnsi="MS UI Gothic"/>
                        <w:color w:val="B02045"/>
                      </w:rPr>
                      <w:t>①</w:t>
                    </w:r>
                  </w:p>
                  <w:p w14:paraId="2553D2D1" w14:textId="77777777" w:rsidR="00711A16" w:rsidRDefault="00711A16">
                    <w:pPr>
                      <w:spacing w:line="280" w:lineRule="exact"/>
                      <w:ind w:left="200"/>
                      <w:rPr>
                        <w:rFonts w:ascii="MS Gothic"/>
                      </w:rPr>
                    </w:pPr>
                    <w:r>
                      <w:rPr>
                        <w:rFonts w:ascii="MS Gothic"/>
                        <w:color w:val="333333"/>
                      </w:rPr>
                      <w:t>public class MyController {</w:t>
                    </w:r>
                  </w:p>
                  <w:p w14:paraId="1BCB5480" w14:textId="77777777" w:rsidR="00711A16" w:rsidRDefault="00711A16">
                    <w:pPr>
                      <w:rPr>
                        <w:rFonts w:ascii="MS Gothic"/>
                        <w:sz w:val="24"/>
                      </w:rPr>
                    </w:pPr>
                  </w:p>
                  <w:p w14:paraId="62756B4B" w14:textId="77777777" w:rsidR="00711A16" w:rsidRDefault="00711A16">
                    <w:pPr>
                      <w:ind w:left="640"/>
                      <w:rPr>
                        <w:rFonts w:ascii="MS Gothic"/>
                      </w:rPr>
                    </w:pPr>
                    <w:r>
                      <w:rPr>
                        <w:rFonts w:ascii="MS Gothic"/>
                        <w:color w:val="333333"/>
                      </w:rPr>
                      <w:t>@GetMapping("/api/people")</w:t>
                    </w:r>
                  </w:p>
                  <w:p w14:paraId="4DA2104F" w14:textId="77777777" w:rsidR="00711A16" w:rsidRDefault="00711A16">
                    <w:pPr>
                      <w:spacing w:before="13" w:line="252" w:lineRule="auto"/>
                      <w:ind w:left="640" w:right="4014"/>
                      <w:jc w:val="both"/>
                      <w:rPr>
                        <w:rFonts w:ascii="MS Gothic" w:hAnsi="MS Gothic"/>
                      </w:rPr>
                    </w:pPr>
                    <w:r>
                      <w:rPr>
                        <w:rFonts w:ascii="MS Gothic" w:hAnsi="MS Gothic"/>
                        <w:color w:val="333333"/>
                      </w:rPr>
                      <w:t>@</w:t>
                    </w:r>
                    <w:proofErr w:type="gramStart"/>
                    <w:r>
                      <w:rPr>
                        <w:rFonts w:ascii="MS Gothic" w:hAnsi="MS Gothic"/>
                        <w:color w:val="333333"/>
                      </w:rPr>
                      <w:t>Timed(</w:t>
                    </w:r>
                    <w:proofErr w:type="gramEnd"/>
                    <w:r>
                      <w:rPr>
                        <w:rFonts w:ascii="MS Gothic" w:hAnsi="MS Gothic"/>
                        <w:color w:val="333333"/>
                      </w:rPr>
                      <w:t xml:space="preserve">extraTags = { "region", "us-east-1" }) </w:t>
                    </w:r>
                    <w:r>
                      <w:rPr>
                        <w:rFonts w:ascii="MS UI Gothic" w:hAnsi="MS UI Gothic"/>
                        <w:color w:val="B02045"/>
                      </w:rPr>
                      <w:t xml:space="preserve">Ⓒ </w:t>
                    </w:r>
                    <w:r>
                      <w:rPr>
                        <w:rFonts w:ascii="MS Gothic" w:hAnsi="MS Gothic"/>
                        <w:color w:val="333333"/>
                      </w:rPr>
                      <w:t xml:space="preserve">@Timed(value = "all.people", longTask = true) </w:t>
                    </w:r>
                    <w:r>
                      <w:rPr>
                        <w:rFonts w:ascii="MS UI Gothic" w:hAnsi="MS UI Gothic"/>
                        <w:color w:val="B02045"/>
                      </w:rPr>
                      <w:t xml:space="preserve">Ⓒ </w:t>
                    </w:r>
                    <w:r>
                      <w:rPr>
                        <w:rFonts w:ascii="MS Gothic" w:hAnsi="MS Gothic"/>
                        <w:color w:val="333333"/>
                      </w:rPr>
                      <w:t>public List&lt;Person&gt; listPeople() { ... }</w:t>
                    </w:r>
                  </w:p>
                  <w:p w14:paraId="5D588E66" w14:textId="77777777" w:rsidR="00711A16" w:rsidRDefault="00711A16">
                    <w:pPr>
                      <w:spacing w:before="9"/>
                      <w:rPr>
                        <w:rFonts w:ascii="MS Gothic"/>
                      </w:rPr>
                    </w:pPr>
                  </w:p>
                  <w:p w14:paraId="295BC7E2" w14:textId="77777777" w:rsidR="00711A16" w:rsidRDefault="00711A16">
                    <w:pPr>
                      <w:ind w:left="200"/>
                      <w:rPr>
                        <w:rFonts w:ascii="MS Gothic"/>
                      </w:rPr>
                    </w:pPr>
                    <w:r>
                      <w:rPr>
                        <w:rFonts w:ascii="MS Gothic"/>
                        <w:color w:val="333333"/>
                      </w:rPr>
                      <w:t>}</w:t>
                    </w:r>
                  </w:p>
                </w:txbxContent>
              </v:textbox>
            </v:shape>
            <w10:anchorlock/>
          </v:group>
        </w:pict>
      </w:r>
    </w:p>
    <w:p w14:paraId="193AFD66" w14:textId="77777777" w:rsidR="00A720EB" w:rsidRDefault="0030286B">
      <w:pPr>
        <w:pStyle w:val="a3"/>
        <w:spacing w:before="114"/>
        <w:ind w:left="177"/>
      </w:pPr>
      <w:r>
        <w:rPr>
          <w:rFonts w:ascii="MS UI Gothic" w:hAnsi="MS UI Gothic"/>
          <w:color w:val="B02045"/>
          <w:w w:val="110"/>
        </w:rPr>
        <w:t xml:space="preserve">① </w:t>
      </w:r>
      <w:r>
        <w:rPr>
          <w:color w:val="333333"/>
          <w:w w:val="110"/>
        </w:rPr>
        <w:t>A controller class to enable timings on every request handler in the controller.</w:t>
      </w:r>
    </w:p>
    <w:p w14:paraId="0717EC94" w14:textId="77777777" w:rsidR="00A720EB" w:rsidRDefault="0030286B">
      <w:pPr>
        <w:pStyle w:val="a3"/>
        <w:spacing w:before="167" w:line="290" w:lineRule="auto"/>
        <w:ind w:left="439" w:right="462" w:hanging="263"/>
      </w:pPr>
      <w:r>
        <w:rPr>
          <w:rFonts w:ascii="MS UI Gothic" w:hAnsi="MS UI Gothic"/>
          <w:color w:val="B02045"/>
          <w:w w:val="110"/>
        </w:rPr>
        <w:t xml:space="preserve">Ⓒ </w:t>
      </w:r>
      <w:r>
        <w:rPr>
          <w:color w:val="333333"/>
          <w:w w:val="110"/>
        </w:rPr>
        <w:t xml:space="preserve">A method to enable for an individual endpoint. This is not necessary if you have it on the </w:t>
      </w:r>
      <w:proofErr w:type="gramStart"/>
      <w:r>
        <w:rPr>
          <w:color w:val="333333"/>
          <w:w w:val="110"/>
        </w:rPr>
        <w:t>class,  but</w:t>
      </w:r>
      <w:proofErr w:type="gramEnd"/>
      <w:r>
        <w:rPr>
          <w:color w:val="333333"/>
          <w:w w:val="110"/>
        </w:rPr>
        <w:t xml:space="preserve"> can be used to further customize the timer for this particular</w:t>
      </w:r>
      <w:r>
        <w:rPr>
          <w:color w:val="333333"/>
          <w:spacing w:val="48"/>
          <w:w w:val="110"/>
        </w:rPr>
        <w:t xml:space="preserve"> </w:t>
      </w:r>
      <w:r>
        <w:rPr>
          <w:color w:val="333333"/>
          <w:w w:val="110"/>
        </w:rPr>
        <w:t>endpoint.</w:t>
      </w:r>
    </w:p>
    <w:p w14:paraId="3BDB97EC" w14:textId="77777777" w:rsidR="00A720EB" w:rsidRDefault="0030286B">
      <w:pPr>
        <w:pStyle w:val="a3"/>
        <w:spacing w:before="127" w:line="290" w:lineRule="auto"/>
        <w:ind w:left="439" w:hanging="263"/>
      </w:pPr>
      <w:r>
        <w:rPr>
          <w:rFonts w:ascii="MS UI Gothic" w:hAnsi="MS UI Gothic"/>
          <w:color w:val="B02045"/>
          <w:w w:val="110"/>
        </w:rPr>
        <w:t xml:space="preserve">Ⓒ </w:t>
      </w:r>
      <w:r>
        <w:rPr>
          <w:color w:val="333333"/>
          <w:w w:val="110"/>
        </w:rPr>
        <w:t xml:space="preserve">A method with </w:t>
      </w:r>
      <w:r>
        <w:rPr>
          <w:rFonts w:ascii="MS Gothic" w:hAnsi="MS Gothic"/>
          <w:color w:val="B02045"/>
          <w:w w:val="110"/>
        </w:rPr>
        <w:t xml:space="preserve">longTask = true </w:t>
      </w:r>
      <w:r>
        <w:rPr>
          <w:color w:val="333333"/>
          <w:w w:val="110"/>
        </w:rPr>
        <w:t>to enable a long task timer for the method. Long task timers require a separate metric name, and can be stacked with a short task timer.</w:t>
      </w:r>
    </w:p>
    <w:p w14:paraId="72600E60" w14:textId="77777777" w:rsidR="00A720EB" w:rsidRDefault="0030286B">
      <w:pPr>
        <w:pStyle w:val="a3"/>
        <w:spacing w:before="248" w:line="280" w:lineRule="auto"/>
        <w:ind w:left="124" w:right="462"/>
      </w:pPr>
      <w:r>
        <w:rPr>
          <w:color w:val="333333"/>
          <w:spacing w:val="-3"/>
          <w:w w:val="110"/>
        </w:rPr>
        <w:t xml:space="preserve">By </w:t>
      </w:r>
      <w:r>
        <w:rPr>
          <w:color w:val="333333"/>
          <w:w w:val="110"/>
        </w:rPr>
        <w:t xml:space="preserve">default, metrics are generated with the name, </w:t>
      </w:r>
      <w:proofErr w:type="gramStart"/>
      <w:r>
        <w:rPr>
          <w:rFonts w:ascii="MS Gothic"/>
          <w:color w:val="B02045"/>
          <w:w w:val="110"/>
        </w:rPr>
        <w:t>http.server</w:t>
      </w:r>
      <w:proofErr w:type="gramEnd"/>
      <w:r>
        <w:rPr>
          <w:rFonts w:ascii="MS Gothic"/>
          <w:color w:val="B02045"/>
          <w:w w:val="110"/>
        </w:rPr>
        <w:t>.requests</w:t>
      </w:r>
      <w:r>
        <w:rPr>
          <w:color w:val="333333"/>
          <w:w w:val="110"/>
        </w:rPr>
        <w:t xml:space="preserve">. The name can be customized </w:t>
      </w:r>
      <w:r>
        <w:rPr>
          <w:color w:val="333333"/>
          <w:spacing w:val="-3"/>
          <w:w w:val="110"/>
        </w:rPr>
        <w:t xml:space="preserve">by </w:t>
      </w:r>
      <w:r>
        <w:rPr>
          <w:color w:val="333333"/>
          <w:w w:val="110"/>
        </w:rPr>
        <w:t xml:space="preserve">setting the </w:t>
      </w:r>
      <w:proofErr w:type="gramStart"/>
      <w:r>
        <w:rPr>
          <w:rFonts w:ascii="MS Gothic"/>
          <w:color w:val="B02045"/>
          <w:w w:val="110"/>
        </w:rPr>
        <w:t>management.metrics.web.server</w:t>
      </w:r>
      <w:proofErr w:type="gramEnd"/>
      <w:r>
        <w:rPr>
          <w:rFonts w:ascii="MS Gothic"/>
          <w:color w:val="B02045"/>
          <w:w w:val="110"/>
        </w:rPr>
        <w:t>.request.metric-name</w:t>
      </w:r>
      <w:r>
        <w:rPr>
          <w:rFonts w:ascii="MS Gothic"/>
          <w:color w:val="B02045"/>
          <w:spacing w:val="-79"/>
          <w:w w:val="110"/>
        </w:rPr>
        <w:t xml:space="preserve"> </w:t>
      </w:r>
      <w:r>
        <w:rPr>
          <w:color w:val="333333"/>
          <w:spacing w:val="-3"/>
          <w:w w:val="110"/>
        </w:rPr>
        <w:t>property.</w:t>
      </w:r>
    </w:p>
    <w:p w14:paraId="6A146A50" w14:textId="77777777" w:rsidR="00A720EB" w:rsidRDefault="00A720EB">
      <w:pPr>
        <w:pStyle w:val="a3"/>
        <w:spacing w:before="6"/>
      </w:pPr>
    </w:p>
    <w:p w14:paraId="2C3F7F91" w14:textId="77777777" w:rsidR="00A720EB" w:rsidRDefault="0030286B">
      <w:pPr>
        <w:pStyle w:val="a3"/>
        <w:ind w:left="124"/>
      </w:pPr>
      <w:r>
        <w:rPr>
          <w:color w:val="333333"/>
          <w:w w:val="110"/>
        </w:rPr>
        <w:t>By default, Spring MVC-related metrics are tagged with the following information:</w:t>
      </w:r>
    </w:p>
    <w:p w14:paraId="1B0DA4DC"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5162EEB0" w14:textId="77777777">
        <w:trPr>
          <w:trHeight w:val="415"/>
        </w:trPr>
        <w:tc>
          <w:tcPr>
            <w:tcW w:w="4988" w:type="dxa"/>
            <w:tcBorders>
              <w:bottom w:val="single" w:sz="12" w:space="0" w:color="DDDDDD"/>
            </w:tcBorders>
          </w:tcPr>
          <w:p w14:paraId="757A54D3" w14:textId="77777777" w:rsidR="00A720EB" w:rsidRDefault="0030286B">
            <w:pPr>
              <w:pStyle w:val="TableParagraph"/>
              <w:spacing w:before="74"/>
              <w:rPr>
                <w:rFonts w:ascii="Palatino Linotype"/>
                <w:b/>
                <w:sz w:val="21"/>
              </w:rPr>
            </w:pPr>
            <w:r>
              <w:rPr>
                <w:rFonts w:ascii="Palatino Linotype"/>
                <w:b/>
                <w:color w:val="333333"/>
                <w:w w:val="105"/>
                <w:sz w:val="21"/>
              </w:rPr>
              <w:t>Tag</w:t>
            </w:r>
          </w:p>
        </w:tc>
        <w:tc>
          <w:tcPr>
            <w:tcW w:w="4988" w:type="dxa"/>
            <w:tcBorders>
              <w:bottom w:val="single" w:sz="12" w:space="0" w:color="DDDDDD"/>
            </w:tcBorders>
          </w:tcPr>
          <w:p w14:paraId="711518BD"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33F0B791" w14:textId="77777777">
        <w:trPr>
          <w:trHeight w:val="731"/>
        </w:trPr>
        <w:tc>
          <w:tcPr>
            <w:tcW w:w="4988" w:type="dxa"/>
            <w:tcBorders>
              <w:top w:val="single" w:sz="12" w:space="0" w:color="DDDDDD"/>
            </w:tcBorders>
          </w:tcPr>
          <w:p w14:paraId="5B6BC2A8" w14:textId="77777777" w:rsidR="00A720EB" w:rsidRDefault="0030286B">
            <w:pPr>
              <w:pStyle w:val="TableParagraph"/>
              <w:spacing w:before="30"/>
              <w:rPr>
                <w:sz w:val="21"/>
              </w:rPr>
            </w:pPr>
            <w:r>
              <w:rPr>
                <w:color w:val="B02045"/>
                <w:sz w:val="21"/>
              </w:rPr>
              <w:t>exception</w:t>
            </w:r>
          </w:p>
        </w:tc>
        <w:tc>
          <w:tcPr>
            <w:tcW w:w="4988" w:type="dxa"/>
            <w:tcBorders>
              <w:top w:val="single" w:sz="12" w:space="0" w:color="DDDDDD"/>
            </w:tcBorders>
          </w:tcPr>
          <w:p w14:paraId="50179660" w14:textId="77777777" w:rsidR="00A720EB" w:rsidRDefault="0030286B">
            <w:pPr>
              <w:pStyle w:val="TableParagraph"/>
              <w:spacing w:before="21" w:line="310" w:lineRule="atLeast"/>
              <w:rPr>
                <w:rFonts w:ascii="Cambria"/>
                <w:sz w:val="21"/>
              </w:rPr>
            </w:pPr>
            <w:r>
              <w:rPr>
                <w:rFonts w:ascii="Cambria"/>
                <w:color w:val="333333"/>
                <w:w w:val="110"/>
                <w:sz w:val="21"/>
              </w:rPr>
              <w:t>Simple class name of any exception that was thrown while handling the request.</w:t>
            </w:r>
          </w:p>
        </w:tc>
      </w:tr>
      <w:tr w:rsidR="00A720EB" w14:paraId="5A0FB0A8" w14:textId="77777777">
        <w:trPr>
          <w:trHeight w:val="425"/>
        </w:trPr>
        <w:tc>
          <w:tcPr>
            <w:tcW w:w="4988" w:type="dxa"/>
          </w:tcPr>
          <w:p w14:paraId="34BF1596" w14:textId="77777777" w:rsidR="00A720EB" w:rsidRDefault="0030286B">
            <w:pPr>
              <w:pStyle w:val="TableParagraph"/>
              <w:spacing w:before="40"/>
              <w:rPr>
                <w:sz w:val="21"/>
              </w:rPr>
            </w:pPr>
            <w:r>
              <w:rPr>
                <w:color w:val="B02045"/>
                <w:sz w:val="21"/>
              </w:rPr>
              <w:t>method</w:t>
            </w:r>
          </w:p>
        </w:tc>
        <w:tc>
          <w:tcPr>
            <w:tcW w:w="4988" w:type="dxa"/>
          </w:tcPr>
          <w:p w14:paraId="21ABE227" w14:textId="77777777" w:rsidR="00A720EB" w:rsidRDefault="0030286B">
            <w:pPr>
              <w:pStyle w:val="TableParagraph"/>
              <w:spacing w:before="84"/>
              <w:rPr>
                <w:rFonts w:ascii="Cambria" w:hAnsi="Cambria"/>
                <w:sz w:val="21"/>
              </w:rPr>
            </w:pPr>
            <w:r>
              <w:rPr>
                <w:rFonts w:ascii="Cambria" w:hAnsi="Cambria"/>
                <w:color w:val="333333"/>
                <w:w w:val="110"/>
                <w:sz w:val="21"/>
              </w:rPr>
              <w:t xml:space="preserve">Request’s method (for example, </w:t>
            </w:r>
            <w:r>
              <w:rPr>
                <w:color w:val="B02045"/>
                <w:w w:val="110"/>
                <w:sz w:val="21"/>
              </w:rPr>
              <w:t>GET</w:t>
            </w:r>
            <w:r>
              <w:rPr>
                <w:color w:val="B02045"/>
                <w:spacing w:val="-76"/>
                <w:w w:val="110"/>
                <w:sz w:val="21"/>
              </w:rPr>
              <w:t xml:space="preserve"> </w:t>
            </w:r>
            <w:r>
              <w:rPr>
                <w:rFonts w:ascii="Cambria" w:hAnsi="Cambria"/>
                <w:color w:val="333333"/>
                <w:w w:val="110"/>
                <w:sz w:val="21"/>
              </w:rPr>
              <w:t xml:space="preserve">or </w:t>
            </w:r>
            <w:r>
              <w:rPr>
                <w:color w:val="B02045"/>
                <w:w w:val="110"/>
                <w:sz w:val="21"/>
              </w:rPr>
              <w:t>POST</w:t>
            </w:r>
            <w:r>
              <w:rPr>
                <w:rFonts w:ascii="Cambria" w:hAnsi="Cambria"/>
                <w:color w:val="333333"/>
                <w:w w:val="110"/>
                <w:sz w:val="21"/>
              </w:rPr>
              <w:t>)</w:t>
            </w:r>
          </w:p>
        </w:tc>
      </w:tr>
      <w:tr w:rsidR="00A720EB" w14:paraId="403B98A6" w14:textId="77777777">
        <w:trPr>
          <w:trHeight w:val="1372"/>
        </w:trPr>
        <w:tc>
          <w:tcPr>
            <w:tcW w:w="4988" w:type="dxa"/>
          </w:tcPr>
          <w:p w14:paraId="26F9099B" w14:textId="77777777" w:rsidR="00A720EB" w:rsidRDefault="0030286B">
            <w:pPr>
              <w:pStyle w:val="TableParagraph"/>
              <w:spacing w:before="40"/>
              <w:rPr>
                <w:sz w:val="21"/>
              </w:rPr>
            </w:pPr>
            <w:r>
              <w:rPr>
                <w:color w:val="B02045"/>
                <w:sz w:val="21"/>
              </w:rPr>
              <w:t>outcome</w:t>
            </w:r>
          </w:p>
        </w:tc>
        <w:tc>
          <w:tcPr>
            <w:tcW w:w="4988" w:type="dxa"/>
          </w:tcPr>
          <w:p w14:paraId="3AF23A5A" w14:textId="77777777" w:rsidR="00A720EB" w:rsidRDefault="0030286B">
            <w:pPr>
              <w:pStyle w:val="TableParagraph"/>
              <w:spacing w:before="94" w:line="290" w:lineRule="auto"/>
              <w:ind w:right="218"/>
              <w:rPr>
                <w:rFonts w:ascii="Cambria" w:hAnsi="Cambria"/>
                <w:sz w:val="21"/>
              </w:rPr>
            </w:pPr>
            <w:r>
              <w:rPr>
                <w:rFonts w:ascii="Cambria" w:hAnsi="Cambria"/>
                <w:color w:val="333333"/>
                <w:w w:val="110"/>
                <w:sz w:val="21"/>
              </w:rPr>
              <w:t xml:space="preserve">Request’s outcome based on the status code of the response. 1xx is </w:t>
            </w:r>
            <w:r>
              <w:rPr>
                <w:color w:val="B02045"/>
                <w:w w:val="110"/>
                <w:sz w:val="21"/>
              </w:rPr>
              <w:t>INFORMATIONAL</w:t>
            </w:r>
            <w:r>
              <w:rPr>
                <w:rFonts w:ascii="Cambria" w:hAnsi="Cambria"/>
                <w:color w:val="333333"/>
                <w:w w:val="110"/>
                <w:sz w:val="21"/>
              </w:rPr>
              <w:t xml:space="preserve">, 2xx is </w:t>
            </w:r>
            <w:r>
              <w:rPr>
                <w:color w:val="B02045"/>
                <w:w w:val="105"/>
                <w:sz w:val="21"/>
              </w:rPr>
              <w:t>SUCCESS</w:t>
            </w:r>
            <w:r>
              <w:rPr>
                <w:rFonts w:ascii="Cambria" w:hAnsi="Cambria"/>
                <w:color w:val="333333"/>
                <w:w w:val="105"/>
                <w:sz w:val="21"/>
              </w:rPr>
              <w:t xml:space="preserve">, 3xx is </w:t>
            </w:r>
            <w:r>
              <w:rPr>
                <w:color w:val="B02045"/>
                <w:w w:val="105"/>
                <w:sz w:val="21"/>
              </w:rPr>
              <w:t>REDIRECTION</w:t>
            </w:r>
            <w:r>
              <w:rPr>
                <w:rFonts w:ascii="Cambria" w:hAnsi="Cambria"/>
                <w:color w:val="333333"/>
                <w:w w:val="105"/>
                <w:sz w:val="21"/>
              </w:rPr>
              <w:t xml:space="preserve">, 4xx </w:t>
            </w:r>
            <w:r>
              <w:rPr>
                <w:color w:val="B02045"/>
                <w:w w:val="105"/>
                <w:sz w:val="21"/>
              </w:rPr>
              <w:t>CLIENT_ERROR</w:t>
            </w:r>
            <w:r>
              <w:rPr>
                <w:rFonts w:ascii="Cambria" w:hAnsi="Cambria"/>
                <w:color w:val="333333"/>
                <w:w w:val="105"/>
                <w:sz w:val="21"/>
              </w:rPr>
              <w:t>,</w:t>
            </w:r>
          </w:p>
          <w:p w14:paraId="79B56DA0" w14:textId="77777777" w:rsidR="00A720EB" w:rsidRDefault="0030286B">
            <w:pPr>
              <w:pStyle w:val="TableParagraph"/>
              <w:spacing w:before="0" w:line="256" w:lineRule="exact"/>
              <w:rPr>
                <w:sz w:val="21"/>
              </w:rPr>
            </w:pPr>
            <w:r>
              <w:rPr>
                <w:rFonts w:ascii="Cambria"/>
                <w:color w:val="333333"/>
                <w:w w:val="110"/>
                <w:sz w:val="21"/>
              </w:rPr>
              <w:t xml:space="preserve">and 5xx is </w:t>
            </w:r>
            <w:r>
              <w:rPr>
                <w:color w:val="B02045"/>
                <w:w w:val="110"/>
                <w:sz w:val="21"/>
              </w:rPr>
              <w:t>SERVER_ERROR</w:t>
            </w:r>
          </w:p>
        </w:tc>
      </w:tr>
      <w:tr w:rsidR="00A720EB" w14:paraId="5AF2BDE1" w14:textId="77777777">
        <w:trPr>
          <w:trHeight w:val="741"/>
        </w:trPr>
        <w:tc>
          <w:tcPr>
            <w:tcW w:w="4988" w:type="dxa"/>
          </w:tcPr>
          <w:p w14:paraId="495BE628" w14:textId="77777777" w:rsidR="00A720EB" w:rsidRDefault="0030286B">
            <w:pPr>
              <w:pStyle w:val="TableParagraph"/>
              <w:spacing w:before="40"/>
              <w:rPr>
                <w:sz w:val="21"/>
              </w:rPr>
            </w:pPr>
            <w:r>
              <w:rPr>
                <w:color w:val="B02045"/>
                <w:sz w:val="21"/>
              </w:rPr>
              <w:t>status</w:t>
            </w:r>
          </w:p>
        </w:tc>
        <w:tc>
          <w:tcPr>
            <w:tcW w:w="4988" w:type="dxa"/>
          </w:tcPr>
          <w:p w14:paraId="65995BCE" w14:textId="77777777" w:rsidR="00A720EB" w:rsidRDefault="0030286B">
            <w:pPr>
              <w:pStyle w:val="TableParagraph"/>
              <w:spacing w:before="84"/>
              <w:rPr>
                <w:rFonts w:ascii="Cambria" w:hAnsi="Cambria"/>
                <w:sz w:val="21"/>
              </w:rPr>
            </w:pPr>
            <w:r>
              <w:rPr>
                <w:rFonts w:ascii="Cambria" w:hAnsi="Cambria"/>
                <w:color w:val="333333"/>
                <w:w w:val="110"/>
                <w:sz w:val="21"/>
              </w:rPr>
              <w:t xml:space="preserve">Response’s HTTP status code (for example, </w:t>
            </w:r>
            <w:r>
              <w:rPr>
                <w:color w:val="B02045"/>
                <w:w w:val="110"/>
                <w:sz w:val="21"/>
              </w:rPr>
              <w:t>200</w:t>
            </w:r>
            <w:r>
              <w:rPr>
                <w:color w:val="B02045"/>
                <w:spacing w:val="-101"/>
                <w:w w:val="110"/>
                <w:sz w:val="21"/>
              </w:rPr>
              <w:t xml:space="preserve"> </w:t>
            </w:r>
            <w:r>
              <w:rPr>
                <w:rFonts w:ascii="Cambria" w:hAnsi="Cambria"/>
                <w:color w:val="333333"/>
                <w:w w:val="110"/>
                <w:sz w:val="21"/>
              </w:rPr>
              <w:t>or</w:t>
            </w:r>
          </w:p>
          <w:p w14:paraId="4763CE6B" w14:textId="77777777" w:rsidR="00A720EB" w:rsidRDefault="0030286B">
            <w:pPr>
              <w:pStyle w:val="TableParagraph"/>
              <w:spacing w:before="47"/>
              <w:rPr>
                <w:rFonts w:ascii="Cambria"/>
                <w:sz w:val="21"/>
              </w:rPr>
            </w:pPr>
            <w:r>
              <w:rPr>
                <w:color w:val="B02045"/>
                <w:sz w:val="21"/>
              </w:rPr>
              <w:t>500</w:t>
            </w:r>
            <w:r>
              <w:rPr>
                <w:rFonts w:ascii="Cambria"/>
                <w:color w:val="333333"/>
                <w:sz w:val="21"/>
              </w:rPr>
              <w:t>)</w:t>
            </w:r>
          </w:p>
        </w:tc>
      </w:tr>
      <w:tr w:rsidR="00A720EB" w14:paraId="53E861BE" w14:textId="77777777">
        <w:trPr>
          <w:trHeight w:val="1056"/>
        </w:trPr>
        <w:tc>
          <w:tcPr>
            <w:tcW w:w="4988" w:type="dxa"/>
          </w:tcPr>
          <w:p w14:paraId="2D6B46DE" w14:textId="77777777" w:rsidR="00A720EB" w:rsidRDefault="0030286B">
            <w:pPr>
              <w:pStyle w:val="TableParagraph"/>
              <w:spacing w:before="40"/>
              <w:rPr>
                <w:sz w:val="21"/>
              </w:rPr>
            </w:pPr>
            <w:r>
              <w:rPr>
                <w:color w:val="B02045"/>
                <w:sz w:val="21"/>
              </w:rPr>
              <w:t>uri</w:t>
            </w:r>
          </w:p>
        </w:tc>
        <w:tc>
          <w:tcPr>
            <w:tcW w:w="4988" w:type="dxa"/>
          </w:tcPr>
          <w:p w14:paraId="078A7C3B" w14:textId="77777777" w:rsidR="00A720EB" w:rsidRDefault="0030286B">
            <w:pPr>
              <w:pStyle w:val="TableParagraph"/>
              <w:spacing w:before="94" w:line="307" w:lineRule="auto"/>
              <w:ind w:right="640"/>
              <w:rPr>
                <w:rFonts w:ascii="Cambria" w:hAnsi="Cambria"/>
                <w:sz w:val="21"/>
              </w:rPr>
            </w:pPr>
            <w:r>
              <w:rPr>
                <w:rFonts w:ascii="Cambria" w:hAnsi="Cambria"/>
                <w:color w:val="333333"/>
                <w:w w:val="110"/>
                <w:sz w:val="21"/>
              </w:rPr>
              <w:t>Request’s URI template prior to variable substitution, if possible (for example,</w:t>
            </w:r>
          </w:p>
          <w:p w14:paraId="66CCA525" w14:textId="77777777" w:rsidR="00A720EB" w:rsidRDefault="0030286B">
            <w:pPr>
              <w:pStyle w:val="TableParagraph"/>
              <w:spacing w:before="0" w:line="260" w:lineRule="exact"/>
              <w:rPr>
                <w:rFonts w:ascii="Cambria"/>
                <w:sz w:val="21"/>
              </w:rPr>
            </w:pPr>
            <w:r>
              <w:rPr>
                <w:color w:val="B02045"/>
                <w:sz w:val="21"/>
              </w:rPr>
              <w:t>/api/person/{id}</w:t>
            </w:r>
            <w:r>
              <w:rPr>
                <w:rFonts w:ascii="Cambria"/>
                <w:color w:val="333333"/>
                <w:sz w:val="21"/>
              </w:rPr>
              <w:t>)</w:t>
            </w:r>
          </w:p>
        </w:tc>
      </w:tr>
    </w:tbl>
    <w:p w14:paraId="14FAA60B" w14:textId="77777777" w:rsidR="00A720EB" w:rsidRDefault="00A720EB">
      <w:pPr>
        <w:pStyle w:val="a3"/>
        <w:spacing w:before="6"/>
        <w:rPr>
          <w:sz w:val="22"/>
        </w:rPr>
      </w:pPr>
    </w:p>
    <w:p w14:paraId="6EC0BCAD" w14:textId="77777777" w:rsidR="00A720EB" w:rsidRDefault="0030286B">
      <w:pPr>
        <w:pStyle w:val="a3"/>
        <w:spacing w:line="280" w:lineRule="auto"/>
        <w:ind w:left="124"/>
      </w:pPr>
      <w:r>
        <w:rPr>
          <w:color w:val="333333"/>
          <w:spacing w:val="-4"/>
          <w:w w:val="110"/>
        </w:rPr>
        <w:t xml:space="preserve">To </w:t>
      </w:r>
      <w:r>
        <w:rPr>
          <w:color w:val="333333"/>
          <w:w w:val="110"/>
        </w:rPr>
        <w:t xml:space="preserve">add to the default tags, provide one or more </w:t>
      </w:r>
      <w:r>
        <w:rPr>
          <w:rFonts w:ascii="MS Gothic"/>
          <w:color w:val="B02045"/>
          <w:w w:val="110"/>
        </w:rPr>
        <w:t>@Bean</w:t>
      </w:r>
      <w:r>
        <w:rPr>
          <w:color w:val="333333"/>
          <w:w w:val="110"/>
        </w:rPr>
        <w:t xml:space="preserve">s that implement </w:t>
      </w:r>
      <w:r>
        <w:rPr>
          <w:rFonts w:ascii="MS Gothic"/>
          <w:color w:val="B02045"/>
          <w:w w:val="110"/>
        </w:rPr>
        <w:t>WebMvcTagsContributor</w:t>
      </w:r>
      <w:r>
        <w:rPr>
          <w:color w:val="333333"/>
          <w:w w:val="110"/>
        </w:rPr>
        <w:t xml:space="preserve">. </w:t>
      </w:r>
      <w:r>
        <w:rPr>
          <w:color w:val="333333"/>
          <w:spacing w:val="-4"/>
          <w:w w:val="110"/>
        </w:rPr>
        <w:t xml:space="preserve">To </w:t>
      </w:r>
      <w:r>
        <w:rPr>
          <w:color w:val="333333"/>
          <w:w w:val="110"/>
        </w:rPr>
        <w:t xml:space="preserve">replace the default tags, provide a </w:t>
      </w:r>
      <w:r>
        <w:rPr>
          <w:rFonts w:ascii="MS Gothic"/>
          <w:color w:val="B02045"/>
          <w:w w:val="110"/>
        </w:rPr>
        <w:t>@Bean</w:t>
      </w:r>
      <w:r>
        <w:rPr>
          <w:rFonts w:ascii="MS Gothic"/>
          <w:color w:val="B02045"/>
          <w:spacing w:val="-68"/>
          <w:w w:val="110"/>
        </w:rPr>
        <w:t xml:space="preserve"> </w:t>
      </w:r>
      <w:r>
        <w:rPr>
          <w:color w:val="333333"/>
          <w:w w:val="110"/>
        </w:rPr>
        <w:t xml:space="preserve">that implements </w:t>
      </w:r>
      <w:r>
        <w:rPr>
          <w:rFonts w:ascii="MS Gothic"/>
          <w:color w:val="B02045"/>
          <w:w w:val="110"/>
        </w:rPr>
        <w:t>WebMvcTagsProvider</w:t>
      </w:r>
      <w:r>
        <w:rPr>
          <w:color w:val="333333"/>
          <w:w w:val="110"/>
        </w:rPr>
        <w:t>.</w:t>
      </w:r>
    </w:p>
    <w:p w14:paraId="73131A07" w14:textId="77777777" w:rsidR="00A720EB" w:rsidRDefault="00A720EB">
      <w:pPr>
        <w:pStyle w:val="a3"/>
        <w:spacing w:before="7"/>
        <w:rPr>
          <w:sz w:val="26"/>
        </w:rPr>
      </w:pPr>
    </w:p>
    <w:p w14:paraId="3EDA6F03" w14:textId="77777777" w:rsidR="00A720EB" w:rsidRDefault="0030286B">
      <w:pPr>
        <w:pStyle w:val="4"/>
        <w:jc w:val="left"/>
      </w:pPr>
      <w:bookmarkStart w:id="646" w:name="Spring_WebFlux_Metrics"/>
      <w:bookmarkEnd w:id="646"/>
      <w:r>
        <w:rPr>
          <w:color w:val="333333"/>
          <w:w w:val="110"/>
        </w:rPr>
        <w:t>Spring WebFlux Metrics</w:t>
      </w:r>
    </w:p>
    <w:p w14:paraId="5CE1924A" w14:textId="77777777" w:rsidR="00A720EB" w:rsidRDefault="00A720EB">
      <w:pPr>
        <w:pStyle w:val="a3"/>
        <w:spacing w:before="12"/>
        <w:rPr>
          <w:rFonts w:ascii="Palatino Linotype"/>
          <w:b/>
          <w:sz w:val="18"/>
        </w:rPr>
      </w:pPr>
    </w:p>
    <w:p w14:paraId="54B616AB" w14:textId="77777777" w:rsidR="00A720EB" w:rsidRDefault="0030286B">
      <w:pPr>
        <w:pStyle w:val="a3"/>
        <w:spacing w:line="307" w:lineRule="auto"/>
        <w:ind w:left="124"/>
      </w:pPr>
      <w:r>
        <w:rPr>
          <w:color w:val="333333"/>
          <w:w w:val="110"/>
        </w:rPr>
        <w:t>Auto-configuration enables the instrumentation of all requests handled by WebFlux controllers and functional handlers.</w:t>
      </w:r>
    </w:p>
    <w:p w14:paraId="68908CA3" w14:textId="77777777" w:rsidR="00A720EB" w:rsidRDefault="0030286B">
      <w:pPr>
        <w:pStyle w:val="a3"/>
        <w:spacing w:before="230" w:line="280" w:lineRule="auto"/>
        <w:ind w:left="124"/>
      </w:pPr>
      <w:r>
        <w:rPr>
          <w:color w:val="333333"/>
          <w:spacing w:val="-3"/>
          <w:w w:val="110"/>
        </w:rPr>
        <w:t xml:space="preserve">By </w:t>
      </w:r>
      <w:r>
        <w:rPr>
          <w:color w:val="333333"/>
          <w:w w:val="110"/>
        </w:rPr>
        <w:t xml:space="preserve">default, metrics are generated with the name </w:t>
      </w:r>
      <w:proofErr w:type="gramStart"/>
      <w:r>
        <w:rPr>
          <w:rFonts w:ascii="MS Gothic"/>
          <w:color w:val="B02045"/>
          <w:w w:val="110"/>
        </w:rPr>
        <w:t>http.server</w:t>
      </w:r>
      <w:proofErr w:type="gramEnd"/>
      <w:r>
        <w:rPr>
          <w:rFonts w:ascii="MS Gothic"/>
          <w:color w:val="B02045"/>
          <w:w w:val="110"/>
        </w:rPr>
        <w:t>.requests</w:t>
      </w:r>
      <w:r>
        <w:rPr>
          <w:color w:val="333333"/>
          <w:w w:val="110"/>
        </w:rPr>
        <w:t xml:space="preserve">. </w:t>
      </w:r>
      <w:r>
        <w:rPr>
          <w:color w:val="333333"/>
          <w:spacing w:val="-6"/>
          <w:w w:val="110"/>
        </w:rPr>
        <w:t xml:space="preserve">You </w:t>
      </w:r>
      <w:r>
        <w:rPr>
          <w:color w:val="333333"/>
          <w:w w:val="110"/>
        </w:rPr>
        <w:t xml:space="preserve">can customize the name </w:t>
      </w:r>
      <w:r>
        <w:rPr>
          <w:color w:val="333333"/>
          <w:spacing w:val="-3"/>
          <w:w w:val="110"/>
        </w:rPr>
        <w:t xml:space="preserve">by </w:t>
      </w:r>
      <w:r>
        <w:rPr>
          <w:color w:val="333333"/>
          <w:w w:val="110"/>
        </w:rPr>
        <w:t xml:space="preserve">setting the </w:t>
      </w:r>
      <w:proofErr w:type="gramStart"/>
      <w:r>
        <w:rPr>
          <w:rFonts w:ascii="MS Gothic"/>
          <w:color w:val="B02045"/>
          <w:w w:val="110"/>
        </w:rPr>
        <w:t>management.metrics.web.server</w:t>
      </w:r>
      <w:proofErr w:type="gramEnd"/>
      <w:r>
        <w:rPr>
          <w:rFonts w:ascii="MS Gothic"/>
          <w:color w:val="B02045"/>
          <w:w w:val="110"/>
        </w:rPr>
        <w:t>.request.metric-name</w:t>
      </w:r>
      <w:r>
        <w:rPr>
          <w:rFonts w:ascii="MS Gothic"/>
          <w:color w:val="B02045"/>
          <w:spacing w:val="-91"/>
          <w:w w:val="110"/>
        </w:rPr>
        <w:t xml:space="preserve"> </w:t>
      </w:r>
      <w:r>
        <w:rPr>
          <w:color w:val="333333"/>
          <w:spacing w:val="-3"/>
          <w:w w:val="110"/>
        </w:rPr>
        <w:t>property.</w:t>
      </w:r>
    </w:p>
    <w:p w14:paraId="0C704659" w14:textId="77777777" w:rsidR="00A720EB" w:rsidRDefault="00A720EB">
      <w:pPr>
        <w:spacing w:line="280" w:lineRule="auto"/>
        <w:sectPr w:rsidR="00A720EB">
          <w:pgSz w:w="11910" w:h="16840"/>
          <w:pgMar w:top="700" w:right="840" w:bottom="520" w:left="840" w:header="0" w:footer="323" w:gutter="0"/>
          <w:cols w:space="720"/>
        </w:sectPr>
      </w:pPr>
    </w:p>
    <w:p w14:paraId="4A4784D8" w14:textId="77777777" w:rsidR="00A720EB" w:rsidRDefault="0030286B">
      <w:pPr>
        <w:pStyle w:val="a3"/>
        <w:spacing w:before="102"/>
        <w:ind w:left="124"/>
        <w:jc w:val="both"/>
      </w:pPr>
      <w:r>
        <w:rPr>
          <w:color w:val="333333"/>
          <w:w w:val="110"/>
        </w:rPr>
        <w:lastRenderedPageBreak/>
        <w:t>By default, WebFlux-related metrics are tagged with the following information:</w:t>
      </w:r>
    </w:p>
    <w:p w14:paraId="34C03B5F" w14:textId="77777777" w:rsidR="00A720EB" w:rsidRDefault="00A720EB">
      <w:pPr>
        <w:pStyle w:val="a3"/>
        <w:spacing w:before="6"/>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5093C9E6" w14:textId="77777777">
        <w:trPr>
          <w:trHeight w:val="415"/>
        </w:trPr>
        <w:tc>
          <w:tcPr>
            <w:tcW w:w="4988" w:type="dxa"/>
            <w:tcBorders>
              <w:bottom w:val="single" w:sz="12" w:space="0" w:color="DDDDDD"/>
            </w:tcBorders>
          </w:tcPr>
          <w:p w14:paraId="4DB26A60" w14:textId="77777777" w:rsidR="00A720EB" w:rsidRDefault="0030286B">
            <w:pPr>
              <w:pStyle w:val="TableParagraph"/>
              <w:spacing w:before="74"/>
              <w:rPr>
                <w:rFonts w:ascii="Palatino Linotype"/>
                <w:b/>
                <w:sz w:val="21"/>
              </w:rPr>
            </w:pPr>
            <w:r>
              <w:rPr>
                <w:rFonts w:ascii="Palatino Linotype"/>
                <w:b/>
                <w:color w:val="333333"/>
                <w:w w:val="105"/>
                <w:sz w:val="21"/>
              </w:rPr>
              <w:t>Tag</w:t>
            </w:r>
          </w:p>
        </w:tc>
        <w:tc>
          <w:tcPr>
            <w:tcW w:w="4988" w:type="dxa"/>
            <w:tcBorders>
              <w:bottom w:val="single" w:sz="12" w:space="0" w:color="DDDDDD"/>
            </w:tcBorders>
          </w:tcPr>
          <w:p w14:paraId="50A7CDEC"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12ED6B02" w14:textId="77777777">
        <w:trPr>
          <w:trHeight w:val="731"/>
        </w:trPr>
        <w:tc>
          <w:tcPr>
            <w:tcW w:w="4988" w:type="dxa"/>
            <w:tcBorders>
              <w:top w:val="single" w:sz="12" w:space="0" w:color="DDDDDD"/>
            </w:tcBorders>
          </w:tcPr>
          <w:p w14:paraId="50B55D5D" w14:textId="77777777" w:rsidR="00A720EB" w:rsidRDefault="0030286B">
            <w:pPr>
              <w:pStyle w:val="TableParagraph"/>
              <w:spacing w:before="30"/>
              <w:rPr>
                <w:sz w:val="21"/>
              </w:rPr>
            </w:pPr>
            <w:r>
              <w:rPr>
                <w:color w:val="B02045"/>
                <w:sz w:val="21"/>
              </w:rPr>
              <w:t>exception</w:t>
            </w:r>
          </w:p>
        </w:tc>
        <w:tc>
          <w:tcPr>
            <w:tcW w:w="4988" w:type="dxa"/>
            <w:tcBorders>
              <w:top w:val="single" w:sz="12" w:space="0" w:color="DDDDDD"/>
            </w:tcBorders>
          </w:tcPr>
          <w:p w14:paraId="58CB8656" w14:textId="77777777" w:rsidR="00A720EB" w:rsidRDefault="0030286B">
            <w:pPr>
              <w:pStyle w:val="TableParagraph"/>
              <w:spacing w:before="21" w:line="310" w:lineRule="atLeast"/>
              <w:rPr>
                <w:rFonts w:ascii="Cambria"/>
                <w:sz w:val="21"/>
              </w:rPr>
            </w:pPr>
            <w:r>
              <w:rPr>
                <w:rFonts w:ascii="Cambria"/>
                <w:color w:val="333333"/>
                <w:w w:val="110"/>
                <w:sz w:val="21"/>
              </w:rPr>
              <w:t>Simple class name of any exception that was thrown while handling the request.</w:t>
            </w:r>
          </w:p>
        </w:tc>
      </w:tr>
      <w:tr w:rsidR="00A720EB" w14:paraId="6B7B6ACE" w14:textId="77777777">
        <w:trPr>
          <w:trHeight w:val="425"/>
        </w:trPr>
        <w:tc>
          <w:tcPr>
            <w:tcW w:w="4988" w:type="dxa"/>
          </w:tcPr>
          <w:p w14:paraId="392EF66E" w14:textId="77777777" w:rsidR="00A720EB" w:rsidRDefault="0030286B">
            <w:pPr>
              <w:pStyle w:val="TableParagraph"/>
              <w:spacing w:before="40"/>
              <w:rPr>
                <w:sz w:val="21"/>
              </w:rPr>
            </w:pPr>
            <w:r>
              <w:rPr>
                <w:color w:val="B02045"/>
                <w:sz w:val="21"/>
              </w:rPr>
              <w:t>method</w:t>
            </w:r>
          </w:p>
        </w:tc>
        <w:tc>
          <w:tcPr>
            <w:tcW w:w="4988" w:type="dxa"/>
          </w:tcPr>
          <w:p w14:paraId="59B0B778" w14:textId="77777777" w:rsidR="00A720EB" w:rsidRDefault="0030286B">
            <w:pPr>
              <w:pStyle w:val="TableParagraph"/>
              <w:spacing w:before="84"/>
              <w:rPr>
                <w:rFonts w:ascii="Cambria" w:hAnsi="Cambria"/>
                <w:sz w:val="21"/>
              </w:rPr>
            </w:pPr>
            <w:r>
              <w:rPr>
                <w:rFonts w:ascii="Cambria" w:hAnsi="Cambria"/>
                <w:color w:val="333333"/>
                <w:w w:val="110"/>
                <w:sz w:val="21"/>
              </w:rPr>
              <w:t xml:space="preserve">Request’s method (for example, </w:t>
            </w:r>
            <w:r>
              <w:rPr>
                <w:color w:val="B02045"/>
                <w:w w:val="110"/>
                <w:sz w:val="21"/>
              </w:rPr>
              <w:t>GET</w:t>
            </w:r>
            <w:r>
              <w:rPr>
                <w:color w:val="B02045"/>
                <w:spacing w:val="-76"/>
                <w:w w:val="110"/>
                <w:sz w:val="21"/>
              </w:rPr>
              <w:t xml:space="preserve"> </w:t>
            </w:r>
            <w:r>
              <w:rPr>
                <w:rFonts w:ascii="Cambria" w:hAnsi="Cambria"/>
                <w:color w:val="333333"/>
                <w:w w:val="110"/>
                <w:sz w:val="21"/>
              </w:rPr>
              <w:t xml:space="preserve">or </w:t>
            </w:r>
            <w:r>
              <w:rPr>
                <w:color w:val="B02045"/>
                <w:w w:val="110"/>
                <w:sz w:val="21"/>
              </w:rPr>
              <w:t>POST</w:t>
            </w:r>
            <w:r>
              <w:rPr>
                <w:rFonts w:ascii="Cambria" w:hAnsi="Cambria"/>
                <w:color w:val="333333"/>
                <w:w w:val="110"/>
                <w:sz w:val="21"/>
              </w:rPr>
              <w:t>)</w:t>
            </w:r>
          </w:p>
        </w:tc>
      </w:tr>
      <w:tr w:rsidR="00A720EB" w14:paraId="247577DC" w14:textId="77777777">
        <w:trPr>
          <w:trHeight w:val="1372"/>
        </w:trPr>
        <w:tc>
          <w:tcPr>
            <w:tcW w:w="4988" w:type="dxa"/>
          </w:tcPr>
          <w:p w14:paraId="78BD5678" w14:textId="77777777" w:rsidR="00A720EB" w:rsidRDefault="0030286B">
            <w:pPr>
              <w:pStyle w:val="TableParagraph"/>
              <w:spacing w:before="40"/>
              <w:rPr>
                <w:sz w:val="21"/>
              </w:rPr>
            </w:pPr>
            <w:r>
              <w:rPr>
                <w:color w:val="B02045"/>
                <w:sz w:val="21"/>
              </w:rPr>
              <w:t>outcome</w:t>
            </w:r>
          </w:p>
        </w:tc>
        <w:tc>
          <w:tcPr>
            <w:tcW w:w="4988" w:type="dxa"/>
          </w:tcPr>
          <w:p w14:paraId="12AB40B1" w14:textId="77777777" w:rsidR="00A720EB" w:rsidRDefault="0030286B">
            <w:pPr>
              <w:pStyle w:val="TableParagraph"/>
              <w:spacing w:before="94" w:line="290" w:lineRule="auto"/>
              <w:ind w:right="218"/>
              <w:rPr>
                <w:rFonts w:ascii="Cambria" w:hAnsi="Cambria"/>
                <w:sz w:val="21"/>
              </w:rPr>
            </w:pPr>
            <w:r>
              <w:rPr>
                <w:rFonts w:ascii="Cambria" w:hAnsi="Cambria"/>
                <w:color w:val="333333"/>
                <w:w w:val="110"/>
                <w:sz w:val="21"/>
              </w:rPr>
              <w:t xml:space="preserve">Request’s outcome based on the status code of the response. 1xx is </w:t>
            </w:r>
            <w:r>
              <w:rPr>
                <w:color w:val="B02045"/>
                <w:w w:val="110"/>
                <w:sz w:val="21"/>
              </w:rPr>
              <w:t>INFORMATIONAL</w:t>
            </w:r>
            <w:r>
              <w:rPr>
                <w:rFonts w:ascii="Cambria" w:hAnsi="Cambria"/>
                <w:color w:val="333333"/>
                <w:w w:val="110"/>
                <w:sz w:val="21"/>
              </w:rPr>
              <w:t xml:space="preserve">, 2xx is </w:t>
            </w:r>
            <w:r>
              <w:rPr>
                <w:color w:val="B02045"/>
                <w:w w:val="105"/>
                <w:sz w:val="21"/>
              </w:rPr>
              <w:t>SUCCESS</w:t>
            </w:r>
            <w:r>
              <w:rPr>
                <w:rFonts w:ascii="Cambria" w:hAnsi="Cambria"/>
                <w:color w:val="333333"/>
                <w:w w:val="105"/>
                <w:sz w:val="21"/>
              </w:rPr>
              <w:t xml:space="preserve">, 3xx is </w:t>
            </w:r>
            <w:r>
              <w:rPr>
                <w:color w:val="B02045"/>
                <w:w w:val="105"/>
                <w:sz w:val="21"/>
              </w:rPr>
              <w:t>REDIRECTION</w:t>
            </w:r>
            <w:r>
              <w:rPr>
                <w:rFonts w:ascii="Cambria" w:hAnsi="Cambria"/>
                <w:color w:val="333333"/>
                <w:w w:val="105"/>
                <w:sz w:val="21"/>
              </w:rPr>
              <w:t xml:space="preserve">, 4xx </w:t>
            </w:r>
            <w:r>
              <w:rPr>
                <w:color w:val="B02045"/>
                <w:w w:val="105"/>
                <w:sz w:val="21"/>
              </w:rPr>
              <w:t>CLIENT_ERROR</w:t>
            </w:r>
            <w:r>
              <w:rPr>
                <w:rFonts w:ascii="Cambria" w:hAnsi="Cambria"/>
                <w:color w:val="333333"/>
                <w:w w:val="105"/>
                <w:sz w:val="21"/>
              </w:rPr>
              <w:t>,</w:t>
            </w:r>
          </w:p>
          <w:p w14:paraId="4EDD8CF5" w14:textId="77777777" w:rsidR="00A720EB" w:rsidRDefault="0030286B">
            <w:pPr>
              <w:pStyle w:val="TableParagraph"/>
              <w:spacing w:before="0" w:line="256" w:lineRule="exact"/>
              <w:rPr>
                <w:sz w:val="21"/>
              </w:rPr>
            </w:pPr>
            <w:r>
              <w:rPr>
                <w:rFonts w:ascii="Cambria"/>
                <w:color w:val="333333"/>
                <w:w w:val="110"/>
                <w:sz w:val="21"/>
              </w:rPr>
              <w:t xml:space="preserve">and 5xx is </w:t>
            </w:r>
            <w:r>
              <w:rPr>
                <w:color w:val="B02045"/>
                <w:w w:val="110"/>
                <w:sz w:val="21"/>
              </w:rPr>
              <w:t>SERVER_ERROR</w:t>
            </w:r>
          </w:p>
        </w:tc>
      </w:tr>
      <w:tr w:rsidR="00A720EB" w14:paraId="3858BE49" w14:textId="77777777">
        <w:trPr>
          <w:trHeight w:val="741"/>
        </w:trPr>
        <w:tc>
          <w:tcPr>
            <w:tcW w:w="4988" w:type="dxa"/>
          </w:tcPr>
          <w:p w14:paraId="4983F921" w14:textId="77777777" w:rsidR="00A720EB" w:rsidRDefault="0030286B">
            <w:pPr>
              <w:pStyle w:val="TableParagraph"/>
              <w:spacing w:before="40"/>
              <w:rPr>
                <w:sz w:val="21"/>
              </w:rPr>
            </w:pPr>
            <w:r>
              <w:rPr>
                <w:color w:val="B02045"/>
                <w:sz w:val="21"/>
              </w:rPr>
              <w:t>status</w:t>
            </w:r>
          </w:p>
        </w:tc>
        <w:tc>
          <w:tcPr>
            <w:tcW w:w="4988" w:type="dxa"/>
          </w:tcPr>
          <w:p w14:paraId="66F94865" w14:textId="77777777" w:rsidR="00A720EB" w:rsidRDefault="0030286B">
            <w:pPr>
              <w:pStyle w:val="TableParagraph"/>
              <w:spacing w:before="84"/>
              <w:rPr>
                <w:rFonts w:ascii="Cambria" w:hAnsi="Cambria"/>
                <w:sz w:val="21"/>
              </w:rPr>
            </w:pPr>
            <w:r>
              <w:rPr>
                <w:rFonts w:ascii="Cambria" w:hAnsi="Cambria"/>
                <w:color w:val="333333"/>
                <w:w w:val="110"/>
                <w:sz w:val="21"/>
              </w:rPr>
              <w:t xml:space="preserve">Response’s HTTP status code (for example, </w:t>
            </w:r>
            <w:r>
              <w:rPr>
                <w:color w:val="B02045"/>
                <w:w w:val="110"/>
                <w:sz w:val="21"/>
              </w:rPr>
              <w:t>200</w:t>
            </w:r>
            <w:r>
              <w:rPr>
                <w:color w:val="B02045"/>
                <w:spacing w:val="-101"/>
                <w:w w:val="110"/>
                <w:sz w:val="21"/>
              </w:rPr>
              <w:t xml:space="preserve"> </w:t>
            </w:r>
            <w:r>
              <w:rPr>
                <w:rFonts w:ascii="Cambria" w:hAnsi="Cambria"/>
                <w:color w:val="333333"/>
                <w:w w:val="110"/>
                <w:sz w:val="21"/>
              </w:rPr>
              <w:t>or</w:t>
            </w:r>
          </w:p>
          <w:p w14:paraId="045B29A1" w14:textId="77777777" w:rsidR="00A720EB" w:rsidRDefault="0030286B">
            <w:pPr>
              <w:pStyle w:val="TableParagraph"/>
              <w:spacing w:before="47"/>
              <w:rPr>
                <w:rFonts w:ascii="Cambria"/>
                <w:sz w:val="21"/>
              </w:rPr>
            </w:pPr>
            <w:r>
              <w:rPr>
                <w:color w:val="B02045"/>
                <w:sz w:val="21"/>
              </w:rPr>
              <w:t>500</w:t>
            </w:r>
            <w:r>
              <w:rPr>
                <w:rFonts w:ascii="Cambria"/>
                <w:color w:val="333333"/>
                <w:sz w:val="21"/>
              </w:rPr>
              <w:t>)</w:t>
            </w:r>
          </w:p>
        </w:tc>
      </w:tr>
      <w:tr w:rsidR="00A720EB" w14:paraId="6C2A6C9F" w14:textId="77777777">
        <w:trPr>
          <w:trHeight w:val="1056"/>
        </w:trPr>
        <w:tc>
          <w:tcPr>
            <w:tcW w:w="4988" w:type="dxa"/>
          </w:tcPr>
          <w:p w14:paraId="3F88C438" w14:textId="77777777" w:rsidR="00A720EB" w:rsidRDefault="0030286B">
            <w:pPr>
              <w:pStyle w:val="TableParagraph"/>
              <w:spacing w:before="40"/>
              <w:rPr>
                <w:sz w:val="21"/>
              </w:rPr>
            </w:pPr>
            <w:r>
              <w:rPr>
                <w:color w:val="B02045"/>
                <w:sz w:val="21"/>
              </w:rPr>
              <w:t>uri</w:t>
            </w:r>
          </w:p>
        </w:tc>
        <w:tc>
          <w:tcPr>
            <w:tcW w:w="4988" w:type="dxa"/>
          </w:tcPr>
          <w:p w14:paraId="7CDC800B" w14:textId="77777777" w:rsidR="00A720EB" w:rsidRDefault="0030286B">
            <w:pPr>
              <w:pStyle w:val="TableParagraph"/>
              <w:spacing w:before="94" w:line="307" w:lineRule="auto"/>
              <w:ind w:right="640"/>
              <w:rPr>
                <w:rFonts w:ascii="Cambria" w:hAnsi="Cambria"/>
                <w:sz w:val="21"/>
              </w:rPr>
            </w:pPr>
            <w:r>
              <w:rPr>
                <w:rFonts w:ascii="Cambria" w:hAnsi="Cambria"/>
                <w:color w:val="333333"/>
                <w:w w:val="110"/>
                <w:sz w:val="21"/>
              </w:rPr>
              <w:t>Request’s URI template prior to variable substitution, if possible (for example,</w:t>
            </w:r>
          </w:p>
          <w:p w14:paraId="32290ED2" w14:textId="77777777" w:rsidR="00A720EB" w:rsidRDefault="0030286B">
            <w:pPr>
              <w:pStyle w:val="TableParagraph"/>
              <w:spacing w:before="0" w:line="260" w:lineRule="exact"/>
              <w:rPr>
                <w:rFonts w:ascii="Cambria"/>
                <w:sz w:val="21"/>
              </w:rPr>
            </w:pPr>
            <w:r>
              <w:rPr>
                <w:color w:val="B02045"/>
                <w:sz w:val="21"/>
              </w:rPr>
              <w:t>/api/person/{id}</w:t>
            </w:r>
            <w:r>
              <w:rPr>
                <w:rFonts w:ascii="Cambria"/>
                <w:color w:val="333333"/>
                <w:sz w:val="21"/>
              </w:rPr>
              <w:t>)</w:t>
            </w:r>
          </w:p>
        </w:tc>
      </w:tr>
    </w:tbl>
    <w:p w14:paraId="329603E7" w14:textId="77777777" w:rsidR="00A720EB" w:rsidRDefault="00A720EB">
      <w:pPr>
        <w:pStyle w:val="a3"/>
        <w:spacing w:before="6"/>
        <w:rPr>
          <w:sz w:val="22"/>
        </w:rPr>
      </w:pPr>
    </w:p>
    <w:p w14:paraId="40207D60" w14:textId="77777777" w:rsidR="00A720EB" w:rsidRDefault="0030286B">
      <w:pPr>
        <w:pStyle w:val="a3"/>
        <w:spacing w:line="280" w:lineRule="auto"/>
        <w:ind w:left="124" w:right="122"/>
        <w:jc w:val="both"/>
      </w:pPr>
      <w:r>
        <w:rPr>
          <w:color w:val="333333"/>
          <w:spacing w:val="-4"/>
          <w:w w:val="110"/>
        </w:rPr>
        <w:t xml:space="preserve">To </w:t>
      </w:r>
      <w:r>
        <w:rPr>
          <w:color w:val="333333"/>
          <w:w w:val="110"/>
        </w:rPr>
        <w:t xml:space="preserve">add to the default tags, provide one or more </w:t>
      </w:r>
      <w:r>
        <w:rPr>
          <w:rFonts w:ascii="MS Gothic"/>
          <w:color w:val="B02045"/>
          <w:w w:val="110"/>
        </w:rPr>
        <w:t>@Bean</w:t>
      </w:r>
      <w:r>
        <w:rPr>
          <w:color w:val="333333"/>
          <w:w w:val="110"/>
        </w:rPr>
        <w:t xml:space="preserve">s that implement </w:t>
      </w:r>
      <w:r>
        <w:rPr>
          <w:rFonts w:ascii="MS Gothic"/>
          <w:color w:val="B02045"/>
          <w:w w:val="110"/>
        </w:rPr>
        <w:t>WebFluxTagsContributor</w:t>
      </w:r>
      <w:r>
        <w:rPr>
          <w:color w:val="333333"/>
          <w:w w:val="110"/>
        </w:rPr>
        <w:t xml:space="preserve">. </w:t>
      </w:r>
      <w:r>
        <w:rPr>
          <w:color w:val="333333"/>
          <w:spacing w:val="-4"/>
          <w:w w:val="110"/>
        </w:rPr>
        <w:t xml:space="preserve">To </w:t>
      </w:r>
      <w:r>
        <w:rPr>
          <w:color w:val="333333"/>
          <w:w w:val="110"/>
        </w:rPr>
        <w:t xml:space="preserve">replace the default tags, provide a </w:t>
      </w:r>
      <w:r>
        <w:rPr>
          <w:rFonts w:ascii="MS Gothic"/>
          <w:color w:val="B02045"/>
          <w:w w:val="110"/>
        </w:rPr>
        <w:t>@Bean</w:t>
      </w:r>
      <w:r>
        <w:rPr>
          <w:rFonts w:ascii="MS Gothic"/>
          <w:color w:val="B02045"/>
          <w:spacing w:val="-72"/>
          <w:w w:val="110"/>
        </w:rPr>
        <w:t xml:space="preserve"> </w:t>
      </w:r>
      <w:r>
        <w:rPr>
          <w:color w:val="333333"/>
          <w:w w:val="110"/>
        </w:rPr>
        <w:t xml:space="preserve">that implements </w:t>
      </w:r>
      <w:r>
        <w:rPr>
          <w:rFonts w:ascii="MS Gothic"/>
          <w:color w:val="B02045"/>
          <w:w w:val="110"/>
        </w:rPr>
        <w:t>WebFluxTagsProvider</w:t>
      </w:r>
      <w:r>
        <w:rPr>
          <w:color w:val="333333"/>
          <w:w w:val="110"/>
        </w:rPr>
        <w:t>.</w:t>
      </w:r>
    </w:p>
    <w:p w14:paraId="39769827" w14:textId="77777777" w:rsidR="00A720EB" w:rsidRDefault="00A720EB">
      <w:pPr>
        <w:pStyle w:val="a3"/>
        <w:spacing w:before="7"/>
        <w:rPr>
          <w:sz w:val="26"/>
        </w:rPr>
      </w:pPr>
    </w:p>
    <w:p w14:paraId="15B7E690" w14:textId="77777777" w:rsidR="00A720EB" w:rsidRDefault="0030286B">
      <w:pPr>
        <w:pStyle w:val="4"/>
      </w:pPr>
      <w:bookmarkStart w:id="647" w:name="Jersey_Server_Metrics"/>
      <w:bookmarkEnd w:id="647"/>
      <w:r>
        <w:rPr>
          <w:color w:val="333333"/>
          <w:w w:val="110"/>
        </w:rPr>
        <w:t>Jersey Server Metrics</w:t>
      </w:r>
    </w:p>
    <w:p w14:paraId="4B14E659" w14:textId="77777777" w:rsidR="00A720EB" w:rsidRDefault="0030286B">
      <w:pPr>
        <w:pStyle w:val="a3"/>
        <w:spacing w:before="244" w:line="290" w:lineRule="auto"/>
        <w:ind w:left="124" w:right="122"/>
        <w:jc w:val="both"/>
      </w:pPr>
      <w:r>
        <w:rPr>
          <w:color w:val="333333"/>
          <w:w w:val="110"/>
        </w:rPr>
        <w:t xml:space="preserve">When Micrometer’s </w:t>
      </w:r>
      <w:r>
        <w:rPr>
          <w:rFonts w:ascii="MS Gothic" w:hAnsi="MS Gothic"/>
          <w:color w:val="B02045"/>
          <w:w w:val="110"/>
        </w:rPr>
        <w:t xml:space="preserve">micrometer-jersey2 </w:t>
      </w:r>
      <w:r>
        <w:rPr>
          <w:color w:val="333333"/>
          <w:w w:val="110"/>
        </w:rPr>
        <w:t xml:space="preserve">module is on the classpath, auto-configuration enables the instrumentation of requests handled </w:t>
      </w:r>
      <w:r>
        <w:rPr>
          <w:color w:val="333333"/>
          <w:spacing w:val="-3"/>
          <w:w w:val="110"/>
        </w:rPr>
        <w:t xml:space="preserve">by </w:t>
      </w:r>
      <w:r>
        <w:rPr>
          <w:color w:val="333333"/>
          <w:w w:val="110"/>
        </w:rPr>
        <w:t xml:space="preserve">the Jersey JAX-RS implementation. When </w:t>
      </w:r>
      <w:proofErr w:type="gramStart"/>
      <w:r>
        <w:rPr>
          <w:rFonts w:ascii="MS Gothic" w:hAnsi="MS Gothic"/>
          <w:color w:val="B02045"/>
          <w:w w:val="105"/>
        </w:rPr>
        <w:t>management.metrics.web.server</w:t>
      </w:r>
      <w:proofErr w:type="gramEnd"/>
      <w:r>
        <w:rPr>
          <w:rFonts w:ascii="MS Gothic" w:hAnsi="MS Gothic"/>
          <w:color w:val="B02045"/>
          <w:w w:val="105"/>
        </w:rPr>
        <w:t>.request.autotime.enabled</w:t>
      </w:r>
      <w:r>
        <w:rPr>
          <w:rFonts w:ascii="MS Gothic" w:hAnsi="MS Gothic"/>
          <w:color w:val="B02045"/>
          <w:spacing w:val="-55"/>
          <w:w w:val="105"/>
        </w:rPr>
        <w:t xml:space="preserve"> </w:t>
      </w:r>
      <w:r>
        <w:rPr>
          <w:color w:val="333333"/>
          <w:w w:val="105"/>
        </w:rPr>
        <w:t xml:space="preserve">is </w:t>
      </w:r>
      <w:r>
        <w:rPr>
          <w:rFonts w:ascii="MS Gothic" w:hAnsi="MS Gothic"/>
          <w:color w:val="B02045"/>
          <w:w w:val="105"/>
        </w:rPr>
        <w:t>true</w:t>
      </w:r>
      <w:r>
        <w:rPr>
          <w:color w:val="333333"/>
          <w:w w:val="105"/>
        </w:rPr>
        <w:t xml:space="preserve">, this instrumentation occurs for all </w:t>
      </w:r>
      <w:r>
        <w:rPr>
          <w:color w:val="333333"/>
          <w:w w:val="110"/>
        </w:rPr>
        <w:t xml:space="preserve">requests. </w:t>
      </w:r>
      <w:r>
        <w:rPr>
          <w:color w:val="333333"/>
          <w:spacing w:val="-3"/>
          <w:w w:val="110"/>
        </w:rPr>
        <w:t xml:space="preserve">Alternatively, </w:t>
      </w:r>
      <w:r>
        <w:rPr>
          <w:color w:val="333333"/>
          <w:w w:val="110"/>
        </w:rPr>
        <w:t xml:space="preserve">when set to </w:t>
      </w:r>
      <w:r>
        <w:rPr>
          <w:rFonts w:ascii="MS Gothic" w:hAnsi="MS Gothic"/>
          <w:color w:val="B02045"/>
          <w:w w:val="110"/>
        </w:rPr>
        <w:t>false</w:t>
      </w:r>
      <w:r>
        <w:rPr>
          <w:color w:val="333333"/>
          <w:w w:val="110"/>
        </w:rPr>
        <w:t xml:space="preserve">, you can enable instrumentation </w:t>
      </w:r>
      <w:r>
        <w:rPr>
          <w:color w:val="333333"/>
          <w:spacing w:val="-3"/>
          <w:w w:val="110"/>
        </w:rPr>
        <w:t xml:space="preserve">by </w:t>
      </w:r>
      <w:r>
        <w:rPr>
          <w:color w:val="333333"/>
          <w:w w:val="110"/>
        </w:rPr>
        <w:t xml:space="preserve">adding </w:t>
      </w:r>
      <w:r>
        <w:rPr>
          <w:rFonts w:ascii="MS Gothic" w:hAnsi="MS Gothic"/>
          <w:color w:val="B02045"/>
          <w:w w:val="110"/>
        </w:rPr>
        <w:t xml:space="preserve">@Timed </w:t>
      </w:r>
      <w:r>
        <w:rPr>
          <w:color w:val="333333"/>
          <w:w w:val="110"/>
        </w:rPr>
        <w:t>to a request-handling method:</w:t>
      </w:r>
    </w:p>
    <w:p w14:paraId="7BD5BB78" w14:textId="77777777" w:rsidR="00A720EB" w:rsidRDefault="00E10349">
      <w:pPr>
        <w:pStyle w:val="a3"/>
        <w:spacing w:before="5"/>
        <w:rPr>
          <w:sz w:val="14"/>
        </w:rPr>
      </w:pPr>
      <w:r>
        <w:pict w14:anchorId="5E7952B3">
          <v:group id="_x0000_s1966" style="position:absolute;margin-left:47.85pt;margin-top:10.45pt;width:499.55pt;height:155.45pt;z-index:-15190528;mso-wrap-distance-left:0;mso-wrap-distance-right:0;mso-position-horizontal-relative:page" coordorigin="957,209" coordsize="9991,3109">
            <v:shape id="_x0000_s1969" style="position:absolute;left:964;top:216;width:9976;height:3094" coordorigin="965,217" coordsize="9976,3094" path="m10861,217r-9816,l1014,223r-26,17l971,266r-6,31l965,3230r6,31l988,3286r26,18l1045,3310r9816,l10892,3304r25,-18l10935,3261r6,-31l10941,297r-6,-31l10917,240r-25,-17l10861,217xe" fillcolor="#f5f5f5" stroked="f">
              <v:path arrowok="t"/>
            </v:shape>
            <v:shape id="_x0000_s1968" style="position:absolute;left:964;top:216;width:9976;height:3094" coordorigin="965,217" coordsize="9976,3094" path="m1045,217r9816,l10892,223r25,17l10935,266r6,31l10941,3230r-6,31l10917,3286r-25,18l10861,3310r-9816,l1014,3304r-26,-18l971,3261r-6,-31l965,297r6,-31l988,240r26,-17l1045,217xe" filled="f" strokecolor="#ccc">
              <v:path arrowok="t"/>
            </v:shape>
            <v:shape id="_x0000_s1967" type="#_x0000_t202" style="position:absolute;left:984;top:232;width:9938;height:3063" filled="f" stroked="f">
              <v:textbox inset="0,0,0,0">
                <w:txbxContent>
                  <w:p w14:paraId="193783CF" w14:textId="77777777" w:rsidR="00711A16" w:rsidRDefault="00711A16">
                    <w:pPr>
                      <w:spacing w:before="221" w:line="252" w:lineRule="auto"/>
                      <w:ind w:left="200" w:right="7518"/>
                      <w:rPr>
                        <w:rFonts w:ascii="MS UI Gothic" w:hAnsi="MS UI Gothic"/>
                      </w:rPr>
                    </w:pPr>
                    <w:r>
                      <w:rPr>
                        <w:rFonts w:ascii="MS Gothic" w:hAnsi="MS Gothic"/>
                        <w:color w:val="333333"/>
                      </w:rPr>
                      <w:t xml:space="preserve">@Component @Path("/api/people") @Timed </w:t>
                    </w:r>
                    <w:r>
                      <w:rPr>
                        <w:rFonts w:ascii="MS UI Gothic" w:hAnsi="MS UI Gothic"/>
                        <w:color w:val="B02045"/>
                      </w:rPr>
                      <w:t>①</w:t>
                    </w:r>
                  </w:p>
                  <w:p w14:paraId="01C868A1" w14:textId="77777777" w:rsidR="00711A16" w:rsidRDefault="00711A16">
                    <w:pPr>
                      <w:spacing w:line="252" w:lineRule="auto"/>
                      <w:ind w:left="640" w:right="7188" w:hanging="440"/>
                      <w:rPr>
                        <w:rFonts w:ascii="MS Gothic"/>
                      </w:rPr>
                    </w:pPr>
                    <w:r>
                      <w:rPr>
                        <w:rFonts w:ascii="MS Gothic"/>
                        <w:color w:val="333333"/>
                      </w:rPr>
                      <w:t xml:space="preserve">public class Endpoint </w:t>
                    </w:r>
                    <w:proofErr w:type="gramStart"/>
                    <w:r>
                      <w:rPr>
                        <w:rFonts w:ascii="MS Gothic"/>
                        <w:color w:val="333333"/>
                      </w:rPr>
                      <w:t>{ @</w:t>
                    </w:r>
                    <w:proofErr w:type="gramEnd"/>
                    <w:r>
                      <w:rPr>
                        <w:rFonts w:ascii="MS Gothic"/>
                        <w:color w:val="333333"/>
                      </w:rPr>
                      <w:t>GET</w:t>
                    </w:r>
                  </w:p>
                  <w:p w14:paraId="0062A675" w14:textId="77777777" w:rsidR="00711A16" w:rsidRDefault="00711A16">
                    <w:pPr>
                      <w:spacing w:line="252" w:lineRule="auto"/>
                      <w:ind w:left="640" w:right="4014"/>
                      <w:jc w:val="both"/>
                      <w:rPr>
                        <w:rFonts w:ascii="MS Gothic" w:hAnsi="MS Gothic"/>
                      </w:rPr>
                    </w:pPr>
                    <w:r>
                      <w:rPr>
                        <w:rFonts w:ascii="MS Gothic" w:hAnsi="MS Gothic"/>
                        <w:color w:val="333333"/>
                      </w:rPr>
                      <w:t>@</w:t>
                    </w:r>
                    <w:proofErr w:type="gramStart"/>
                    <w:r>
                      <w:rPr>
                        <w:rFonts w:ascii="MS Gothic" w:hAnsi="MS Gothic"/>
                        <w:color w:val="333333"/>
                      </w:rPr>
                      <w:t>Timed(</w:t>
                    </w:r>
                    <w:proofErr w:type="gramEnd"/>
                    <w:r>
                      <w:rPr>
                        <w:rFonts w:ascii="MS Gothic" w:hAnsi="MS Gothic"/>
                        <w:color w:val="333333"/>
                      </w:rPr>
                      <w:t xml:space="preserve">extraTags = { "region", "us-east-1" }) </w:t>
                    </w:r>
                    <w:r>
                      <w:rPr>
                        <w:rFonts w:ascii="MS UI Gothic" w:hAnsi="MS UI Gothic"/>
                        <w:color w:val="B02045"/>
                      </w:rPr>
                      <w:t xml:space="preserve">Ⓒ </w:t>
                    </w:r>
                    <w:r>
                      <w:rPr>
                        <w:rFonts w:ascii="MS Gothic" w:hAnsi="MS Gothic"/>
                        <w:color w:val="333333"/>
                      </w:rPr>
                      <w:t xml:space="preserve">@Timed(value = "all.people", longTask = true) </w:t>
                    </w:r>
                    <w:r>
                      <w:rPr>
                        <w:rFonts w:ascii="MS UI Gothic" w:hAnsi="MS UI Gothic"/>
                        <w:color w:val="B02045"/>
                      </w:rPr>
                      <w:t xml:space="preserve">Ⓒ </w:t>
                    </w:r>
                    <w:r>
                      <w:rPr>
                        <w:rFonts w:ascii="MS Gothic" w:hAnsi="MS Gothic"/>
                        <w:color w:val="333333"/>
                      </w:rPr>
                      <w:t>public List&lt;Person&gt; listPeople() { ... }</w:t>
                    </w:r>
                  </w:p>
                  <w:p w14:paraId="6398924C" w14:textId="77777777" w:rsidR="00711A16" w:rsidRDefault="00711A16">
                    <w:pPr>
                      <w:spacing w:line="278" w:lineRule="exact"/>
                      <w:ind w:left="200"/>
                      <w:rPr>
                        <w:rFonts w:ascii="MS Gothic"/>
                      </w:rPr>
                    </w:pPr>
                    <w:r>
                      <w:rPr>
                        <w:rFonts w:ascii="MS Gothic"/>
                        <w:color w:val="333333"/>
                      </w:rPr>
                      <w:t>}</w:t>
                    </w:r>
                  </w:p>
                </w:txbxContent>
              </v:textbox>
            </v:shape>
            <w10:wrap type="topAndBottom" anchorx="page"/>
          </v:group>
        </w:pict>
      </w:r>
    </w:p>
    <w:p w14:paraId="5185F450" w14:textId="77777777" w:rsidR="00A720EB" w:rsidRDefault="0030286B">
      <w:pPr>
        <w:pStyle w:val="a3"/>
        <w:spacing w:before="112"/>
        <w:ind w:left="177"/>
      </w:pPr>
      <w:r>
        <w:rPr>
          <w:rFonts w:ascii="MS UI Gothic" w:hAnsi="MS UI Gothic"/>
          <w:color w:val="B02045"/>
          <w:w w:val="110"/>
        </w:rPr>
        <w:t xml:space="preserve">① </w:t>
      </w:r>
      <w:proofErr w:type="gramStart"/>
      <w:r>
        <w:rPr>
          <w:color w:val="333333"/>
          <w:w w:val="110"/>
        </w:rPr>
        <w:t>On</w:t>
      </w:r>
      <w:proofErr w:type="gramEnd"/>
      <w:r>
        <w:rPr>
          <w:color w:val="333333"/>
          <w:w w:val="110"/>
        </w:rPr>
        <w:t xml:space="preserve"> a resource class to enable timings on every request handler in the resource.</w:t>
      </w:r>
    </w:p>
    <w:p w14:paraId="1AFA7582" w14:textId="77777777" w:rsidR="00A720EB" w:rsidRDefault="0030286B">
      <w:pPr>
        <w:pStyle w:val="a3"/>
        <w:spacing w:before="167" w:line="290" w:lineRule="auto"/>
        <w:ind w:left="439" w:right="462" w:hanging="263"/>
      </w:pPr>
      <w:r>
        <w:rPr>
          <w:rFonts w:ascii="MS UI Gothic" w:hAnsi="MS UI Gothic"/>
          <w:color w:val="B02045"/>
          <w:w w:val="110"/>
        </w:rPr>
        <w:t xml:space="preserve">Ⓒ </w:t>
      </w:r>
      <w:r>
        <w:rPr>
          <w:color w:val="333333"/>
          <w:w w:val="110"/>
        </w:rPr>
        <w:t xml:space="preserve">On a method to enable for an individual endpoint. This is not necessary if you have it on </w:t>
      </w:r>
      <w:proofErr w:type="gramStart"/>
      <w:r>
        <w:rPr>
          <w:color w:val="333333"/>
          <w:w w:val="110"/>
        </w:rPr>
        <w:t xml:space="preserve">the </w:t>
      </w:r>
      <w:r>
        <w:rPr>
          <w:color w:val="333333"/>
          <w:spacing w:val="50"/>
          <w:w w:val="110"/>
        </w:rPr>
        <w:t xml:space="preserve"> </w:t>
      </w:r>
      <w:r>
        <w:rPr>
          <w:color w:val="333333"/>
          <w:w w:val="110"/>
        </w:rPr>
        <w:t>class</w:t>
      </w:r>
      <w:proofErr w:type="gramEnd"/>
      <w:r>
        <w:rPr>
          <w:color w:val="333333"/>
          <w:w w:val="110"/>
        </w:rPr>
        <w:t>, but can be used to further customize the timer for this particular</w:t>
      </w:r>
      <w:r>
        <w:rPr>
          <w:color w:val="333333"/>
          <w:spacing w:val="5"/>
          <w:w w:val="110"/>
        </w:rPr>
        <w:t xml:space="preserve"> </w:t>
      </w:r>
      <w:r>
        <w:rPr>
          <w:color w:val="333333"/>
          <w:w w:val="110"/>
        </w:rPr>
        <w:t>endpoint.</w:t>
      </w:r>
    </w:p>
    <w:p w14:paraId="157ACAE7" w14:textId="77777777" w:rsidR="00A720EB" w:rsidRDefault="0030286B">
      <w:pPr>
        <w:pStyle w:val="a3"/>
        <w:spacing w:before="127" w:line="290" w:lineRule="auto"/>
        <w:ind w:left="439" w:hanging="263"/>
      </w:pPr>
      <w:r>
        <w:rPr>
          <w:rFonts w:ascii="MS UI Gothic" w:hAnsi="MS UI Gothic"/>
          <w:color w:val="B02045"/>
          <w:w w:val="110"/>
        </w:rPr>
        <w:t xml:space="preserve">Ⓒ </w:t>
      </w:r>
      <w:r>
        <w:rPr>
          <w:color w:val="333333"/>
          <w:w w:val="110"/>
        </w:rPr>
        <w:t xml:space="preserve">On a method with </w:t>
      </w:r>
      <w:r>
        <w:rPr>
          <w:rFonts w:ascii="MS Gothic" w:hAnsi="MS Gothic"/>
          <w:color w:val="B02045"/>
          <w:w w:val="110"/>
        </w:rPr>
        <w:t xml:space="preserve">longTask = true </w:t>
      </w:r>
      <w:r>
        <w:rPr>
          <w:color w:val="333333"/>
          <w:w w:val="110"/>
        </w:rPr>
        <w:t>to enable a long task timer for the method. Long task timers require a separate metric name, and can be stacked with a short task timer.</w:t>
      </w:r>
    </w:p>
    <w:p w14:paraId="22C6CF1F" w14:textId="77777777" w:rsidR="00A720EB" w:rsidRDefault="0030286B">
      <w:pPr>
        <w:pStyle w:val="a3"/>
        <w:spacing w:before="248" w:line="280" w:lineRule="auto"/>
        <w:ind w:left="124" w:right="462"/>
      </w:pPr>
      <w:r>
        <w:rPr>
          <w:color w:val="333333"/>
          <w:spacing w:val="-3"/>
          <w:w w:val="110"/>
        </w:rPr>
        <w:t xml:space="preserve">By </w:t>
      </w:r>
      <w:r>
        <w:rPr>
          <w:color w:val="333333"/>
          <w:w w:val="110"/>
        </w:rPr>
        <w:t xml:space="preserve">default, metrics are generated with the name, </w:t>
      </w:r>
      <w:proofErr w:type="gramStart"/>
      <w:r>
        <w:rPr>
          <w:rFonts w:ascii="MS Gothic"/>
          <w:color w:val="B02045"/>
          <w:w w:val="110"/>
        </w:rPr>
        <w:t>http.server</w:t>
      </w:r>
      <w:proofErr w:type="gramEnd"/>
      <w:r>
        <w:rPr>
          <w:rFonts w:ascii="MS Gothic"/>
          <w:color w:val="B02045"/>
          <w:w w:val="110"/>
        </w:rPr>
        <w:t>.requests</w:t>
      </w:r>
      <w:r>
        <w:rPr>
          <w:color w:val="333333"/>
          <w:w w:val="110"/>
        </w:rPr>
        <w:t xml:space="preserve">. The name can be customized </w:t>
      </w:r>
      <w:r>
        <w:rPr>
          <w:color w:val="333333"/>
          <w:spacing w:val="-3"/>
          <w:w w:val="110"/>
        </w:rPr>
        <w:t xml:space="preserve">by </w:t>
      </w:r>
      <w:r>
        <w:rPr>
          <w:color w:val="333333"/>
          <w:w w:val="110"/>
        </w:rPr>
        <w:t xml:space="preserve">setting the </w:t>
      </w:r>
      <w:proofErr w:type="gramStart"/>
      <w:r>
        <w:rPr>
          <w:rFonts w:ascii="MS Gothic"/>
          <w:color w:val="B02045"/>
          <w:w w:val="110"/>
        </w:rPr>
        <w:t>management.metrics.web.server</w:t>
      </w:r>
      <w:proofErr w:type="gramEnd"/>
      <w:r>
        <w:rPr>
          <w:rFonts w:ascii="MS Gothic"/>
          <w:color w:val="B02045"/>
          <w:w w:val="110"/>
        </w:rPr>
        <w:t>.request.metric-name</w:t>
      </w:r>
      <w:r>
        <w:rPr>
          <w:rFonts w:ascii="MS Gothic"/>
          <w:color w:val="B02045"/>
          <w:spacing w:val="-79"/>
          <w:w w:val="110"/>
        </w:rPr>
        <w:t xml:space="preserve"> </w:t>
      </w:r>
      <w:r>
        <w:rPr>
          <w:color w:val="333333"/>
          <w:spacing w:val="-3"/>
          <w:w w:val="110"/>
        </w:rPr>
        <w:t>property.</w:t>
      </w:r>
    </w:p>
    <w:p w14:paraId="40048B83" w14:textId="77777777" w:rsidR="00A720EB" w:rsidRDefault="00A720EB">
      <w:pPr>
        <w:spacing w:line="280" w:lineRule="auto"/>
        <w:sectPr w:rsidR="00A720EB">
          <w:pgSz w:w="11910" w:h="16840"/>
          <w:pgMar w:top="640" w:right="840" w:bottom="520" w:left="840" w:header="0" w:footer="323" w:gutter="0"/>
          <w:cols w:space="720"/>
        </w:sectPr>
      </w:pPr>
    </w:p>
    <w:p w14:paraId="096903B9" w14:textId="77777777" w:rsidR="00A720EB" w:rsidRDefault="0030286B">
      <w:pPr>
        <w:pStyle w:val="a3"/>
        <w:spacing w:before="107"/>
        <w:ind w:left="124"/>
      </w:pPr>
      <w:r>
        <w:rPr>
          <w:color w:val="333333"/>
          <w:w w:val="110"/>
        </w:rPr>
        <w:lastRenderedPageBreak/>
        <w:t>By default, Jersey server metrics are tagged with the following information:</w:t>
      </w:r>
    </w:p>
    <w:p w14:paraId="1CC08F99" w14:textId="77777777" w:rsidR="00A720EB" w:rsidRDefault="00A720EB">
      <w:pPr>
        <w:pStyle w:val="a3"/>
        <w:spacing w:before="6"/>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16735643" w14:textId="77777777">
        <w:trPr>
          <w:trHeight w:val="415"/>
        </w:trPr>
        <w:tc>
          <w:tcPr>
            <w:tcW w:w="4988" w:type="dxa"/>
            <w:tcBorders>
              <w:bottom w:val="single" w:sz="12" w:space="0" w:color="DDDDDD"/>
            </w:tcBorders>
          </w:tcPr>
          <w:p w14:paraId="2251ADAF" w14:textId="77777777" w:rsidR="00A720EB" w:rsidRDefault="0030286B">
            <w:pPr>
              <w:pStyle w:val="TableParagraph"/>
              <w:spacing w:before="74"/>
              <w:rPr>
                <w:rFonts w:ascii="Palatino Linotype"/>
                <w:b/>
                <w:sz w:val="21"/>
              </w:rPr>
            </w:pPr>
            <w:r>
              <w:rPr>
                <w:rFonts w:ascii="Palatino Linotype"/>
                <w:b/>
                <w:color w:val="333333"/>
                <w:w w:val="105"/>
                <w:sz w:val="21"/>
              </w:rPr>
              <w:t>Tag</w:t>
            </w:r>
          </w:p>
        </w:tc>
        <w:tc>
          <w:tcPr>
            <w:tcW w:w="4988" w:type="dxa"/>
            <w:tcBorders>
              <w:bottom w:val="single" w:sz="12" w:space="0" w:color="DDDDDD"/>
            </w:tcBorders>
          </w:tcPr>
          <w:p w14:paraId="3280E8E5"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356C6CE5" w14:textId="77777777">
        <w:trPr>
          <w:trHeight w:val="731"/>
        </w:trPr>
        <w:tc>
          <w:tcPr>
            <w:tcW w:w="4988" w:type="dxa"/>
            <w:tcBorders>
              <w:top w:val="single" w:sz="12" w:space="0" w:color="DDDDDD"/>
            </w:tcBorders>
          </w:tcPr>
          <w:p w14:paraId="61C0FD3D" w14:textId="77777777" w:rsidR="00A720EB" w:rsidRDefault="0030286B">
            <w:pPr>
              <w:pStyle w:val="TableParagraph"/>
              <w:spacing w:before="30"/>
              <w:rPr>
                <w:sz w:val="21"/>
              </w:rPr>
            </w:pPr>
            <w:r>
              <w:rPr>
                <w:color w:val="B02045"/>
                <w:sz w:val="21"/>
              </w:rPr>
              <w:t>exception</w:t>
            </w:r>
          </w:p>
        </w:tc>
        <w:tc>
          <w:tcPr>
            <w:tcW w:w="4988" w:type="dxa"/>
            <w:tcBorders>
              <w:top w:val="single" w:sz="12" w:space="0" w:color="DDDDDD"/>
            </w:tcBorders>
          </w:tcPr>
          <w:p w14:paraId="43BFF024" w14:textId="77777777" w:rsidR="00A720EB" w:rsidRDefault="0030286B">
            <w:pPr>
              <w:pStyle w:val="TableParagraph"/>
              <w:spacing w:before="21" w:line="310" w:lineRule="atLeast"/>
              <w:rPr>
                <w:rFonts w:ascii="Cambria"/>
                <w:sz w:val="21"/>
              </w:rPr>
            </w:pPr>
            <w:r>
              <w:rPr>
                <w:rFonts w:ascii="Cambria"/>
                <w:color w:val="333333"/>
                <w:w w:val="110"/>
                <w:sz w:val="21"/>
              </w:rPr>
              <w:t>Simple class name of any exception that was thrown while handling the request.</w:t>
            </w:r>
          </w:p>
        </w:tc>
      </w:tr>
      <w:tr w:rsidR="00A720EB" w14:paraId="2E9788B7" w14:textId="77777777">
        <w:trPr>
          <w:trHeight w:val="425"/>
        </w:trPr>
        <w:tc>
          <w:tcPr>
            <w:tcW w:w="4988" w:type="dxa"/>
          </w:tcPr>
          <w:p w14:paraId="1B9A628A" w14:textId="77777777" w:rsidR="00A720EB" w:rsidRDefault="0030286B">
            <w:pPr>
              <w:pStyle w:val="TableParagraph"/>
              <w:spacing w:before="40"/>
              <w:rPr>
                <w:sz w:val="21"/>
              </w:rPr>
            </w:pPr>
            <w:r>
              <w:rPr>
                <w:color w:val="B02045"/>
                <w:sz w:val="21"/>
              </w:rPr>
              <w:t>method</w:t>
            </w:r>
          </w:p>
        </w:tc>
        <w:tc>
          <w:tcPr>
            <w:tcW w:w="4988" w:type="dxa"/>
          </w:tcPr>
          <w:p w14:paraId="0CC2F757" w14:textId="77777777" w:rsidR="00A720EB" w:rsidRDefault="0030286B">
            <w:pPr>
              <w:pStyle w:val="TableParagraph"/>
              <w:spacing w:before="84"/>
              <w:rPr>
                <w:rFonts w:ascii="Cambria" w:hAnsi="Cambria"/>
                <w:sz w:val="21"/>
              </w:rPr>
            </w:pPr>
            <w:r>
              <w:rPr>
                <w:rFonts w:ascii="Cambria" w:hAnsi="Cambria"/>
                <w:color w:val="333333"/>
                <w:w w:val="110"/>
                <w:sz w:val="21"/>
              </w:rPr>
              <w:t xml:space="preserve">Request’s method (for example, </w:t>
            </w:r>
            <w:r>
              <w:rPr>
                <w:color w:val="B02045"/>
                <w:w w:val="110"/>
                <w:sz w:val="21"/>
              </w:rPr>
              <w:t>GET</w:t>
            </w:r>
            <w:r>
              <w:rPr>
                <w:color w:val="B02045"/>
                <w:spacing w:val="-76"/>
                <w:w w:val="110"/>
                <w:sz w:val="21"/>
              </w:rPr>
              <w:t xml:space="preserve"> </w:t>
            </w:r>
            <w:r>
              <w:rPr>
                <w:rFonts w:ascii="Cambria" w:hAnsi="Cambria"/>
                <w:color w:val="333333"/>
                <w:w w:val="110"/>
                <w:sz w:val="21"/>
              </w:rPr>
              <w:t xml:space="preserve">or </w:t>
            </w:r>
            <w:r>
              <w:rPr>
                <w:color w:val="B02045"/>
                <w:w w:val="110"/>
                <w:sz w:val="21"/>
              </w:rPr>
              <w:t>POST</w:t>
            </w:r>
            <w:r>
              <w:rPr>
                <w:rFonts w:ascii="Cambria" w:hAnsi="Cambria"/>
                <w:color w:val="333333"/>
                <w:w w:val="110"/>
                <w:sz w:val="21"/>
              </w:rPr>
              <w:t>)</w:t>
            </w:r>
          </w:p>
        </w:tc>
      </w:tr>
      <w:tr w:rsidR="00A720EB" w14:paraId="5FE88EC2" w14:textId="77777777">
        <w:trPr>
          <w:trHeight w:val="1372"/>
        </w:trPr>
        <w:tc>
          <w:tcPr>
            <w:tcW w:w="4988" w:type="dxa"/>
          </w:tcPr>
          <w:p w14:paraId="0664B298" w14:textId="77777777" w:rsidR="00A720EB" w:rsidRDefault="0030286B">
            <w:pPr>
              <w:pStyle w:val="TableParagraph"/>
              <w:spacing w:before="40"/>
              <w:rPr>
                <w:sz w:val="21"/>
              </w:rPr>
            </w:pPr>
            <w:r>
              <w:rPr>
                <w:color w:val="B02045"/>
                <w:sz w:val="21"/>
              </w:rPr>
              <w:t>outcome</w:t>
            </w:r>
          </w:p>
        </w:tc>
        <w:tc>
          <w:tcPr>
            <w:tcW w:w="4988" w:type="dxa"/>
          </w:tcPr>
          <w:p w14:paraId="60242A16" w14:textId="77777777" w:rsidR="00A720EB" w:rsidRDefault="0030286B">
            <w:pPr>
              <w:pStyle w:val="TableParagraph"/>
              <w:spacing w:before="94" w:line="290" w:lineRule="auto"/>
              <w:ind w:right="218"/>
              <w:rPr>
                <w:rFonts w:ascii="Cambria" w:hAnsi="Cambria"/>
                <w:sz w:val="21"/>
              </w:rPr>
            </w:pPr>
            <w:r>
              <w:rPr>
                <w:rFonts w:ascii="Cambria" w:hAnsi="Cambria"/>
                <w:color w:val="333333"/>
                <w:w w:val="110"/>
                <w:sz w:val="21"/>
              </w:rPr>
              <w:t xml:space="preserve">Request’s outcome based on the status code of the response. 1xx is </w:t>
            </w:r>
            <w:r>
              <w:rPr>
                <w:color w:val="B02045"/>
                <w:w w:val="110"/>
                <w:sz w:val="21"/>
              </w:rPr>
              <w:t>INFORMATIONAL</w:t>
            </w:r>
            <w:r>
              <w:rPr>
                <w:rFonts w:ascii="Cambria" w:hAnsi="Cambria"/>
                <w:color w:val="333333"/>
                <w:w w:val="110"/>
                <w:sz w:val="21"/>
              </w:rPr>
              <w:t xml:space="preserve">, 2xx is </w:t>
            </w:r>
            <w:r>
              <w:rPr>
                <w:color w:val="B02045"/>
                <w:w w:val="105"/>
                <w:sz w:val="21"/>
              </w:rPr>
              <w:t>SUCCESS</w:t>
            </w:r>
            <w:r>
              <w:rPr>
                <w:rFonts w:ascii="Cambria" w:hAnsi="Cambria"/>
                <w:color w:val="333333"/>
                <w:w w:val="105"/>
                <w:sz w:val="21"/>
              </w:rPr>
              <w:t xml:space="preserve">, 3xx is </w:t>
            </w:r>
            <w:r>
              <w:rPr>
                <w:color w:val="B02045"/>
                <w:w w:val="105"/>
                <w:sz w:val="21"/>
              </w:rPr>
              <w:t>REDIRECTION</w:t>
            </w:r>
            <w:r>
              <w:rPr>
                <w:rFonts w:ascii="Cambria" w:hAnsi="Cambria"/>
                <w:color w:val="333333"/>
                <w:w w:val="105"/>
                <w:sz w:val="21"/>
              </w:rPr>
              <w:t xml:space="preserve">, 4xx </w:t>
            </w:r>
            <w:r>
              <w:rPr>
                <w:color w:val="B02045"/>
                <w:w w:val="105"/>
                <w:sz w:val="21"/>
              </w:rPr>
              <w:t>CLIENT_ERROR</w:t>
            </w:r>
            <w:r>
              <w:rPr>
                <w:rFonts w:ascii="Cambria" w:hAnsi="Cambria"/>
                <w:color w:val="333333"/>
                <w:w w:val="105"/>
                <w:sz w:val="21"/>
              </w:rPr>
              <w:t>,</w:t>
            </w:r>
          </w:p>
          <w:p w14:paraId="666F8906" w14:textId="77777777" w:rsidR="00A720EB" w:rsidRDefault="0030286B">
            <w:pPr>
              <w:pStyle w:val="TableParagraph"/>
              <w:spacing w:before="0" w:line="256" w:lineRule="exact"/>
              <w:rPr>
                <w:sz w:val="21"/>
              </w:rPr>
            </w:pPr>
            <w:r>
              <w:rPr>
                <w:rFonts w:ascii="Cambria"/>
                <w:color w:val="333333"/>
                <w:w w:val="110"/>
                <w:sz w:val="21"/>
              </w:rPr>
              <w:t xml:space="preserve">and 5xx is </w:t>
            </w:r>
            <w:r>
              <w:rPr>
                <w:color w:val="B02045"/>
                <w:w w:val="110"/>
                <w:sz w:val="21"/>
              </w:rPr>
              <w:t>SERVER_ERROR</w:t>
            </w:r>
          </w:p>
        </w:tc>
      </w:tr>
      <w:tr w:rsidR="00A720EB" w14:paraId="737E289E" w14:textId="77777777">
        <w:trPr>
          <w:trHeight w:val="741"/>
        </w:trPr>
        <w:tc>
          <w:tcPr>
            <w:tcW w:w="4988" w:type="dxa"/>
          </w:tcPr>
          <w:p w14:paraId="77B991AC" w14:textId="77777777" w:rsidR="00A720EB" w:rsidRDefault="0030286B">
            <w:pPr>
              <w:pStyle w:val="TableParagraph"/>
              <w:spacing w:before="40"/>
              <w:rPr>
                <w:sz w:val="21"/>
              </w:rPr>
            </w:pPr>
            <w:r>
              <w:rPr>
                <w:color w:val="B02045"/>
                <w:sz w:val="21"/>
              </w:rPr>
              <w:t>status</w:t>
            </w:r>
          </w:p>
        </w:tc>
        <w:tc>
          <w:tcPr>
            <w:tcW w:w="4988" w:type="dxa"/>
          </w:tcPr>
          <w:p w14:paraId="25167496" w14:textId="77777777" w:rsidR="00A720EB" w:rsidRDefault="0030286B">
            <w:pPr>
              <w:pStyle w:val="TableParagraph"/>
              <w:spacing w:before="84"/>
              <w:rPr>
                <w:rFonts w:ascii="Cambria" w:hAnsi="Cambria"/>
                <w:sz w:val="21"/>
              </w:rPr>
            </w:pPr>
            <w:r>
              <w:rPr>
                <w:rFonts w:ascii="Cambria" w:hAnsi="Cambria"/>
                <w:color w:val="333333"/>
                <w:w w:val="110"/>
                <w:sz w:val="21"/>
              </w:rPr>
              <w:t xml:space="preserve">Response’s HTTP status code (for example, </w:t>
            </w:r>
            <w:r>
              <w:rPr>
                <w:color w:val="B02045"/>
                <w:w w:val="110"/>
                <w:sz w:val="21"/>
              </w:rPr>
              <w:t>200</w:t>
            </w:r>
            <w:r>
              <w:rPr>
                <w:color w:val="B02045"/>
                <w:spacing w:val="-101"/>
                <w:w w:val="110"/>
                <w:sz w:val="21"/>
              </w:rPr>
              <w:t xml:space="preserve"> </w:t>
            </w:r>
            <w:r>
              <w:rPr>
                <w:rFonts w:ascii="Cambria" w:hAnsi="Cambria"/>
                <w:color w:val="333333"/>
                <w:w w:val="110"/>
                <w:sz w:val="21"/>
              </w:rPr>
              <w:t>or</w:t>
            </w:r>
          </w:p>
          <w:p w14:paraId="69837721" w14:textId="77777777" w:rsidR="00A720EB" w:rsidRDefault="0030286B">
            <w:pPr>
              <w:pStyle w:val="TableParagraph"/>
              <w:spacing w:before="47"/>
              <w:rPr>
                <w:rFonts w:ascii="Cambria"/>
                <w:sz w:val="21"/>
              </w:rPr>
            </w:pPr>
            <w:r>
              <w:rPr>
                <w:color w:val="B02045"/>
                <w:sz w:val="21"/>
              </w:rPr>
              <w:t>500</w:t>
            </w:r>
            <w:r>
              <w:rPr>
                <w:rFonts w:ascii="Cambria"/>
                <w:color w:val="333333"/>
                <w:sz w:val="21"/>
              </w:rPr>
              <w:t>)</w:t>
            </w:r>
          </w:p>
        </w:tc>
      </w:tr>
      <w:tr w:rsidR="00A720EB" w14:paraId="5F190315" w14:textId="77777777">
        <w:trPr>
          <w:trHeight w:val="1056"/>
        </w:trPr>
        <w:tc>
          <w:tcPr>
            <w:tcW w:w="4988" w:type="dxa"/>
          </w:tcPr>
          <w:p w14:paraId="49E92A5C" w14:textId="77777777" w:rsidR="00A720EB" w:rsidRDefault="0030286B">
            <w:pPr>
              <w:pStyle w:val="TableParagraph"/>
              <w:spacing w:before="40"/>
              <w:rPr>
                <w:sz w:val="21"/>
              </w:rPr>
            </w:pPr>
            <w:r>
              <w:rPr>
                <w:color w:val="B02045"/>
                <w:sz w:val="21"/>
              </w:rPr>
              <w:t>uri</w:t>
            </w:r>
          </w:p>
        </w:tc>
        <w:tc>
          <w:tcPr>
            <w:tcW w:w="4988" w:type="dxa"/>
          </w:tcPr>
          <w:p w14:paraId="110AFA18" w14:textId="77777777" w:rsidR="00A720EB" w:rsidRDefault="0030286B">
            <w:pPr>
              <w:pStyle w:val="TableParagraph"/>
              <w:spacing w:before="94" w:line="307" w:lineRule="auto"/>
              <w:ind w:right="640"/>
              <w:rPr>
                <w:rFonts w:ascii="Cambria" w:hAnsi="Cambria"/>
                <w:sz w:val="21"/>
              </w:rPr>
            </w:pPr>
            <w:r>
              <w:rPr>
                <w:rFonts w:ascii="Cambria" w:hAnsi="Cambria"/>
                <w:color w:val="333333"/>
                <w:w w:val="110"/>
                <w:sz w:val="21"/>
              </w:rPr>
              <w:t>Request’s URI template prior to variable substitution, if possible (for example,</w:t>
            </w:r>
          </w:p>
          <w:p w14:paraId="6D29290F" w14:textId="77777777" w:rsidR="00A720EB" w:rsidRDefault="0030286B">
            <w:pPr>
              <w:pStyle w:val="TableParagraph"/>
              <w:spacing w:before="0" w:line="260" w:lineRule="exact"/>
              <w:rPr>
                <w:rFonts w:ascii="Cambria"/>
                <w:sz w:val="21"/>
              </w:rPr>
            </w:pPr>
            <w:r>
              <w:rPr>
                <w:color w:val="B02045"/>
                <w:sz w:val="21"/>
              </w:rPr>
              <w:t>/api/person/{id}</w:t>
            </w:r>
            <w:r>
              <w:rPr>
                <w:rFonts w:ascii="Cambria"/>
                <w:color w:val="333333"/>
                <w:sz w:val="21"/>
              </w:rPr>
              <w:t>)</w:t>
            </w:r>
          </w:p>
        </w:tc>
      </w:tr>
    </w:tbl>
    <w:p w14:paraId="5D98265A" w14:textId="77777777" w:rsidR="00A720EB" w:rsidRDefault="00A720EB">
      <w:pPr>
        <w:pStyle w:val="a3"/>
        <w:spacing w:before="6"/>
        <w:rPr>
          <w:sz w:val="22"/>
        </w:rPr>
      </w:pPr>
    </w:p>
    <w:p w14:paraId="31042FDA" w14:textId="77777777" w:rsidR="00A720EB" w:rsidRDefault="0030286B">
      <w:pPr>
        <w:pStyle w:val="a3"/>
        <w:ind w:left="124"/>
      </w:pPr>
      <w:r>
        <w:rPr>
          <w:color w:val="333333"/>
          <w:spacing w:val="-4"/>
          <w:w w:val="110"/>
        </w:rPr>
        <w:t xml:space="preserve">To </w:t>
      </w:r>
      <w:r>
        <w:rPr>
          <w:color w:val="333333"/>
          <w:w w:val="110"/>
        </w:rPr>
        <w:t xml:space="preserve">customize the tags, provide a </w:t>
      </w:r>
      <w:r>
        <w:rPr>
          <w:rFonts w:ascii="MS Gothic"/>
          <w:color w:val="B02045"/>
          <w:w w:val="110"/>
        </w:rPr>
        <w:t>@Bean</w:t>
      </w:r>
      <w:r>
        <w:rPr>
          <w:rFonts w:ascii="MS Gothic"/>
          <w:color w:val="B02045"/>
          <w:spacing w:val="-65"/>
          <w:w w:val="110"/>
        </w:rPr>
        <w:t xml:space="preserve"> </w:t>
      </w:r>
      <w:r>
        <w:rPr>
          <w:color w:val="333333"/>
          <w:w w:val="110"/>
        </w:rPr>
        <w:t xml:space="preserve">that implements </w:t>
      </w:r>
      <w:r>
        <w:rPr>
          <w:rFonts w:ascii="MS Gothic"/>
          <w:color w:val="B02045"/>
          <w:w w:val="110"/>
        </w:rPr>
        <w:t>JerseyTagsProvider</w:t>
      </w:r>
      <w:r>
        <w:rPr>
          <w:color w:val="333333"/>
          <w:w w:val="110"/>
        </w:rPr>
        <w:t>.</w:t>
      </w:r>
    </w:p>
    <w:p w14:paraId="08AC79EB" w14:textId="77777777" w:rsidR="00A720EB" w:rsidRDefault="00A720EB">
      <w:pPr>
        <w:pStyle w:val="a3"/>
        <w:spacing w:before="5"/>
        <w:rPr>
          <w:sz w:val="30"/>
        </w:rPr>
      </w:pPr>
    </w:p>
    <w:p w14:paraId="5BCDD6EE" w14:textId="77777777" w:rsidR="00A720EB" w:rsidRDefault="0030286B">
      <w:pPr>
        <w:pStyle w:val="4"/>
        <w:jc w:val="left"/>
      </w:pPr>
      <w:bookmarkStart w:id="648" w:name="HTTP_Client_Metrics"/>
      <w:bookmarkEnd w:id="648"/>
      <w:r>
        <w:rPr>
          <w:color w:val="333333"/>
          <w:w w:val="110"/>
        </w:rPr>
        <w:t>HTTP Client Metrics</w:t>
      </w:r>
    </w:p>
    <w:p w14:paraId="02BB48E6" w14:textId="77777777" w:rsidR="00A720EB" w:rsidRDefault="0030286B">
      <w:pPr>
        <w:pStyle w:val="a3"/>
        <w:spacing w:before="244" w:line="290" w:lineRule="auto"/>
        <w:ind w:left="124" w:right="45"/>
      </w:pPr>
      <w:r>
        <w:rPr>
          <w:color w:val="333333"/>
          <w:w w:val="110"/>
        </w:rPr>
        <w:t xml:space="preserve">Spring Boot Actuator manages the instrumentation of both </w:t>
      </w:r>
      <w:r>
        <w:rPr>
          <w:rFonts w:ascii="MS Gothic"/>
          <w:color w:val="B02045"/>
          <w:w w:val="110"/>
        </w:rPr>
        <w:t xml:space="preserve">RestTemplate </w:t>
      </w:r>
      <w:r>
        <w:rPr>
          <w:color w:val="333333"/>
          <w:w w:val="110"/>
        </w:rPr>
        <w:t xml:space="preserve">and </w:t>
      </w:r>
      <w:r>
        <w:rPr>
          <w:rFonts w:ascii="MS Gothic"/>
          <w:color w:val="B02045"/>
          <w:w w:val="110"/>
        </w:rPr>
        <w:t>WebClient</w:t>
      </w:r>
      <w:r>
        <w:rPr>
          <w:color w:val="333333"/>
          <w:w w:val="110"/>
        </w:rPr>
        <w:t>. For that, you have to get injected with an auto-configured builder and use it to create instances:</w:t>
      </w:r>
    </w:p>
    <w:p w14:paraId="65E84A43" w14:textId="77777777" w:rsidR="00A720EB" w:rsidRDefault="0030286B">
      <w:pPr>
        <w:pStyle w:val="a6"/>
        <w:numPr>
          <w:ilvl w:val="3"/>
          <w:numId w:val="24"/>
        </w:numPr>
        <w:tabs>
          <w:tab w:val="left" w:pos="485"/>
        </w:tabs>
        <w:spacing w:before="248"/>
        <w:rPr>
          <w:rFonts w:ascii="MS Gothic" w:hAnsi="MS Gothic"/>
          <w:sz w:val="21"/>
        </w:rPr>
      </w:pPr>
      <w:r>
        <w:rPr>
          <w:rFonts w:ascii="MS Gothic" w:hAnsi="MS Gothic"/>
          <w:color w:val="B02045"/>
          <w:sz w:val="21"/>
        </w:rPr>
        <w:t>RestTemplateBuilder</w:t>
      </w:r>
      <w:r>
        <w:rPr>
          <w:rFonts w:ascii="MS Gothic" w:hAnsi="MS Gothic"/>
          <w:color w:val="B02045"/>
          <w:spacing w:val="-43"/>
          <w:sz w:val="21"/>
        </w:rPr>
        <w:t xml:space="preserve"> </w:t>
      </w:r>
      <w:r>
        <w:rPr>
          <w:color w:val="333333"/>
          <w:sz w:val="21"/>
        </w:rPr>
        <w:t xml:space="preserve">for </w:t>
      </w:r>
      <w:r>
        <w:rPr>
          <w:rFonts w:ascii="MS Gothic" w:hAnsi="MS Gothic"/>
          <w:color w:val="B02045"/>
          <w:sz w:val="21"/>
        </w:rPr>
        <w:t>RestTemplate</w:t>
      </w:r>
    </w:p>
    <w:p w14:paraId="1B75DAB7" w14:textId="77777777" w:rsidR="00A720EB" w:rsidRDefault="0030286B">
      <w:pPr>
        <w:pStyle w:val="a6"/>
        <w:numPr>
          <w:ilvl w:val="3"/>
          <w:numId w:val="24"/>
        </w:numPr>
        <w:tabs>
          <w:tab w:val="left" w:pos="485"/>
        </w:tabs>
        <w:spacing w:before="166"/>
        <w:rPr>
          <w:rFonts w:ascii="MS Gothic" w:hAnsi="MS Gothic"/>
          <w:sz w:val="21"/>
        </w:rPr>
      </w:pPr>
      <w:r>
        <w:rPr>
          <w:rFonts w:ascii="MS Gothic" w:hAnsi="MS Gothic"/>
          <w:color w:val="B02045"/>
          <w:sz w:val="21"/>
        </w:rPr>
        <w:t>WebClient.Builder</w:t>
      </w:r>
      <w:r>
        <w:rPr>
          <w:rFonts w:ascii="MS Gothic" w:hAnsi="MS Gothic"/>
          <w:color w:val="B02045"/>
          <w:spacing w:val="-43"/>
          <w:sz w:val="21"/>
        </w:rPr>
        <w:t xml:space="preserve"> </w:t>
      </w:r>
      <w:r>
        <w:rPr>
          <w:color w:val="333333"/>
          <w:sz w:val="21"/>
        </w:rPr>
        <w:t xml:space="preserve">for </w:t>
      </w:r>
      <w:r>
        <w:rPr>
          <w:rFonts w:ascii="MS Gothic" w:hAnsi="MS Gothic"/>
          <w:color w:val="B02045"/>
          <w:sz w:val="21"/>
        </w:rPr>
        <w:t>WebClient</w:t>
      </w:r>
    </w:p>
    <w:p w14:paraId="135457F4" w14:textId="77777777" w:rsidR="00A720EB" w:rsidRDefault="00A720EB">
      <w:pPr>
        <w:pStyle w:val="a3"/>
        <w:spacing w:before="3"/>
        <w:rPr>
          <w:rFonts w:ascii="MS Gothic"/>
          <w:sz w:val="23"/>
        </w:rPr>
      </w:pPr>
    </w:p>
    <w:p w14:paraId="25BEEB55" w14:textId="77777777" w:rsidR="00A720EB" w:rsidRDefault="0030286B">
      <w:pPr>
        <w:pStyle w:val="a3"/>
        <w:ind w:left="124"/>
      </w:pPr>
      <w:r>
        <w:rPr>
          <w:color w:val="333333"/>
          <w:w w:val="110"/>
        </w:rPr>
        <w:t>It is also possible to apply manually the customizers responsible for this instrumentation, namely</w:t>
      </w:r>
    </w:p>
    <w:p w14:paraId="2856DE7E" w14:textId="77777777" w:rsidR="00A720EB" w:rsidRDefault="0030286B">
      <w:pPr>
        <w:pStyle w:val="a3"/>
        <w:spacing w:before="59"/>
        <w:ind w:left="124"/>
      </w:pPr>
      <w:r>
        <w:rPr>
          <w:rFonts w:ascii="MS Gothic"/>
          <w:color w:val="B02045"/>
        </w:rPr>
        <w:t xml:space="preserve">MetricsRestTemplateCustomizer </w:t>
      </w:r>
      <w:r>
        <w:rPr>
          <w:color w:val="333333"/>
        </w:rPr>
        <w:t xml:space="preserve">and </w:t>
      </w:r>
      <w:r>
        <w:rPr>
          <w:rFonts w:ascii="MS Gothic"/>
          <w:color w:val="B02045"/>
        </w:rPr>
        <w:t>MetricsWebClientCustomizer</w:t>
      </w:r>
      <w:r>
        <w:rPr>
          <w:color w:val="333333"/>
        </w:rPr>
        <w:t>.</w:t>
      </w:r>
    </w:p>
    <w:p w14:paraId="27A24D9C" w14:textId="77777777" w:rsidR="00A720EB" w:rsidRDefault="00A720EB">
      <w:pPr>
        <w:pStyle w:val="a3"/>
        <w:spacing w:before="5"/>
        <w:rPr>
          <w:sz w:val="24"/>
        </w:rPr>
      </w:pPr>
    </w:p>
    <w:p w14:paraId="1888183D" w14:textId="77777777" w:rsidR="00A720EB" w:rsidRDefault="0030286B">
      <w:pPr>
        <w:pStyle w:val="a3"/>
        <w:spacing w:line="280" w:lineRule="auto"/>
        <w:ind w:left="124" w:right="462"/>
      </w:pPr>
      <w:r>
        <w:rPr>
          <w:color w:val="333333"/>
          <w:spacing w:val="-3"/>
          <w:w w:val="110"/>
        </w:rPr>
        <w:t xml:space="preserve">By </w:t>
      </w:r>
      <w:r>
        <w:rPr>
          <w:color w:val="333333"/>
          <w:w w:val="110"/>
        </w:rPr>
        <w:t xml:space="preserve">default, metrics are generated with the name, </w:t>
      </w:r>
      <w:proofErr w:type="gramStart"/>
      <w:r>
        <w:rPr>
          <w:rFonts w:ascii="MS Gothic"/>
          <w:color w:val="B02045"/>
          <w:w w:val="110"/>
        </w:rPr>
        <w:t>http.client</w:t>
      </w:r>
      <w:proofErr w:type="gramEnd"/>
      <w:r>
        <w:rPr>
          <w:rFonts w:ascii="MS Gothic"/>
          <w:color w:val="B02045"/>
          <w:w w:val="110"/>
        </w:rPr>
        <w:t>.requests</w:t>
      </w:r>
      <w:r>
        <w:rPr>
          <w:color w:val="333333"/>
          <w:w w:val="110"/>
        </w:rPr>
        <w:t xml:space="preserve">. The name can be customized </w:t>
      </w:r>
      <w:r>
        <w:rPr>
          <w:color w:val="333333"/>
          <w:spacing w:val="-3"/>
          <w:w w:val="110"/>
        </w:rPr>
        <w:t xml:space="preserve">by </w:t>
      </w:r>
      <w:r>
        <w:rPr>
          <w:color w:val="333333"/>
          <w:w w:val="110"/>
        </w:rPr>
        <w:t xml:space="preserve">setting the </w:t>
      </w:r>
      <w:proofErr w:type="gramStart"/>
      <w:r>
        <w:rPr>
          <w:rFonts w:ascii="MS Gothic"/>
          <w:color w:val="B02045"/>
          <w:w w:val="110"/>
        </w:rPr>
        <w:t>management.metrics.web.client</w:t>
      </w:r>
      <w:proofErr w:type="gramEnd"/>
      <w:r>
        <w:rPr>
          <w:rFonts w:ascii="MS Gothic"/>
          <w:color w:val="B02045"/>
          <w:w w:val="110"/>
        </w:rPr>
        <w:t>.request.metric-name</w:t>
      </w:r>
      <w:r>
        <w:rPr>
          <w:rFonts w:ascii="MS Gothic"/>
          <w:color w:val="B02045"/>
          <w:spacing w:val="-79"/>
          <w:w w:val="110"/>
        </w:rPr>
        <w:t xml:space="preserve"> </w:t>
      </w:r>
      <w:r>
        <w:rPr>
          <w:color w:val="333333"/>
          <w:spacing w:val="-3"/>
          <w:w w:val="110"/>
        </w:rPr>
        <w:t>property.</w:t>
      </w:r>
    </w:p>
    <w:p w14:paraId="3816A956" w14:textId="77777777" w:rsidR="00A720EB" w:rsidRDefault="00A720EB">
      <w:pPr>
        <w:pStyle w:val="a3"/>
        <w:spacing w:before="6"/>
      </w:pPr>
    </w:p>
    <w:p w14:paraId="586B2587" w14:textId="77777777" w:rsidR="00A720EB" w:rsidRDefault="0030286B">
      <w:pPr>
        <w:pStyle w:val="a3"/>
        <w:ind w:left="124"/>
      </w:pPr>
      <w:r>
        <w:rPr>
          <w:color w:val="333333"/>
          <w:w w:val="110"/>
        </w:rPr>
        <w:t>By default, metrics generated by an instrumented client are tagged with the following information:</w:t>
      </w:r>
    </w:p>
    <w:p w14:paraId="218B8B5B" w14:textId="77777777" w:rsidR="00A720EB" w:rsidRDefault="00A720EB">
      <w:pPr>
        <w:pStyle w:val="a3"/>
        <w:spacing w:before="6"/>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608847D1" w14:textId="77777777">
        <w:trPr>
          <w:trHeight w:val="415"/>
        </w:trPr>
        <w:tc>
          <w:tcPr>
            <w:tcW w:w="4988" w:type="dxa"/>
            <w:tcBorders>
              <w:bottom w:val="single" w:sz="12" w:space="0" w:color="DDDDDD"/>
            </w:tcBorders>
          </w:tcPr>
          <w:p w14:paraId="016DD756" w14:textId="77777777" w:rsidR="00A720EB" w:rsidRDefault="0030286B">
            <w:pPr>
              <w:pStyle w:val="TableParagraph"/>
              <w:spacing w:before="74"/>
              <w:rPr>
                <w:rFonts w:ascii="Palatino Linotype"/>
                <w:b/>
                <w:sz w:val="21"/>
              </w:rPr>
            </w:pPr>
            <w:r>
              <w:rPr>
                <w:rFonts w:ascii="Palatino Linotype"/>
                <w:b/>
                <w:color w:val="333333"/>
                <w:w w:val="105"/>
                <w:sz w:val="21"/>
              </w:rPr>
              <w:t>Tag</w:t>
            </w:r>
          </w:p>
        </w:tc>
        <w:tc>
          <w:tcPr>
            <w:tcW w:w="4988" w:type="dxa"/>
            <w:tcBorders>
              <w:bottom w:val="single" w:sz="12" w:space="0" w:color="DDDDDD"/>
            </w:tcBorders>
          </w:tcPr>
          <w:p w14:paraId="6DEAB756"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5331A3A5" w14:textId="77777777">
        <w:trPr>
          <w:trHeight w:val="415"/>
        </w:trPr>
        <w:tc>
          <w:tcPr>
            <w:tcW w:w="4988" w:type="dxa"/>
            <w:tcBorders>
              <w:top w:val="single" w:sz="12" w:space="0" w:color="DDDDDD"/>
            </w:tcBorders>
          </w:tcPr>
          <w:p w14:paraId="6737FFC1" w14:textId="77777777" w:rsidR="00A720EB" w:rsidRDefault="0030286B">
            <w:pPr>
              <w:pStyle w:val="TableParagraph"/>
              <w:spacing w:before="30"/>
              <w:rPr>
                <w:sz w:val="21"/>
              </w:rPr>
            </w:pPr>
            <w:r>
              <w:rPr>
                <w:color w:val="B02045"/>
                <w:sz w:val="21"/>
              </w:rPr>
              <w:t>clientName</w:t>
            </w:r>
          </w:p>
        </w:tc>
        <w:tc>
          <w:tcPr>
            <w:tcW w:w="4988" w:type="dxa"/>
            <w:tcBorders>
              <w:top w:val="single" w:sz="12" w:space="0" w:color="DDDDDD"/>
            </w:tcBorders>
          </w:tcPr>
          <w:p w14:paraId="6A5B7F5B" w14:textId="77777777" w:rsidR="00A720EB" w:rsidRDefault="0030286B">
            <w:pPr>
              <w:pStyle w:val="TableParagraph"/>
              <w:spacing w:before="84"/>
              <w:rPr>
                <w:rFonts w:ascii="Cambria"/>
                <w:sz w:val="21"/>
              </w:rPr>
            </w:pPr>
            <w:r>
              <w:rPr>
                <w:rFonts w:ascii="Cambria"/>
                <w:color w:val="333333"/>
                <w:w w:val="110"/>
                <w:sz w:val="21"/>
              </w:rPr>
              <w:t>Host portion of the URI</w:t>
            </w:r>
          </w:p>
        </w:tc>
      </w:tr>
      <w:tr w:rsidR="00A720EB" w14:paraId="728AB53A" w14:textId="77777777">
        <w:trPr>
          <w:trHeight w:val="425"/>
        </w:trPr>
        <w:tc>
          <w:tcPr>
            <w:tcW w:w="4988" w:type="dxa"/>
          </w:tcPr>
          <w:p w14:paraId="325FC5C3" w14:textId="77777777" w:rsidR="00A720EB" w:rsidRDefault="0030286B">
            <w:pPr>
              <w:pStyle w:val="TableParagraph"/>
              <w:spacing w:before="40"/>
              <w:rPr>
                <w:sz w:val="21"/>
              </w:rPr>
            </w:pPr>
            <w:r>
              <w:rPr>
                <w:color w:val="B02045"/>
                <w:sz w:val="21"/>
              </w:rPr>
              <w:t>method</w:t>
            </w:r>
          </w:p>
        </w:tc>
        <w:tc>
          <w:tcPr>
            <w:tcW w:w="4988" w:type="dxa"/>
          </w:tcPr>
          <w:p w14:paraId="1F3294FF" w14:textId="77777777" w:rsidR="00A720EB" w:rsidRDefault="0030286B">
            <w:pPr>
              <w:pStyle w:val="TableParagraph"/>
              <w:spacing w:before="84"/>
              <w:rPr>
                <w:rFonts w:ascii="Cambria" w:hAnsi="Cambria"/>
                <w:sz w:val="21"/>
              </w:rPr>
            </w:pPr>
            <w:r>
              <w:rPr>
                <w:rFonts w:ascii="Cambria" w:hAnsi="Cambria"/>
                <w:color w:val="333333"/>
                <w:w w:val="110"/>
                <w:sz w:val="21"/>
              </w:rPr>
              <w:t xml:space="preserve">Request’s method (for example, </w:t>
            </w:r>
            <w:r>
              <w:rPr>
                <w:color w:val="B02045"/>
                <w:w w:val="110"/>
                <w:sz w:val="21"/>
              </w:rPr>
              <w:t>GET</w:t>
            </w:r>
            <w:r>
              <w:rPr>
                <w:color w:val="B02045"/>
                <w:spacing w:val="-76"/>
                <w:w w:val="110"/>
                <w:sz w:val="21"/>
              </w:rPr>
              <w:t xml:space="preserve"> </w:t>
            </w:r>
            <w:r>
              <w:rPr>
                <w:rFonts w:ascii="Cambria" w:hAnsi="Cambria"/>
                <w:color w:val="333333"/>
                <w:w w:val="110"/>
                <w:sz w:val="21"/>
              </w:rPr>
              <w:t xml:space="preserve">or </w:t>
            </w:r>
            <w:r>
              <w:rPr>
                <w:color w:val="B02045"/>
                <w:w w:val="110"/>
                <w:sz w:val="21"/>
              </w:rPr>
              <w:t>POST</w:t>
            </w:r>
            <w:r>
              <w:rPr>
                <w:rFonts w:ascii="Cambria" w:hAnsi="Cambria"/>
                <w:color w:val="333333"/>
                <w:w w:val="110"/>
                <w:sz w:val="21"/>
              </w:rPr>
              <w:t>)</w:t>
            </w:r>
          </w:p>
        </w:tc>
      </w:tr>
      <w:tr w:rsidR="00A720EB" w14:paraId="5DB07551" w14:textId="77777777">
        <w:trPr>
          <w:trHeight w:val="1372"/>
        </w:trPr>
        <w:tc>
          <w:tcPr>
            <w:tcW w:w="4988" w:type="dxa"/>
          </w:tcPr>
          <w:p w14:paraId="4E5773EC" w14:textId="77777777" w:rsidR="00A720EB" w:rsidRDefault="0030286B">
            <w:pPr>
              <w:pStyle w:val="TableParagraph"/>
              <w:spacing w:before="40"/>
              <w:rPr>
                <w:sz w:val="21"/>
              </w:rPr>
            </w:pPr>
            <w:r>
              <w:rPr>
                <w:color w:val="B02045"/>
                <w:sz w:val="21"/>
              </w:rPr>
              <w:t>outcome</w:t>
            </w:r>
          </w:p>
        </w:tc>
        <w:tc>
          <w:tcPr>
            <w:tcW w:w="4988" w:type="dxa"/>
          </w:tcPr>
          <w:p w14:paraId="0C06F656" w14:textId="77777777" w:rsidR="00A720EB" w:rsidRDefault="0030286B">
            <w:pPr>
              <w:pStyle w:val="TableParagraph"/>
              <w:spacing w:before="94" w:line="290" w:lineRule="auto"/>
              <w:ind w:right="218"/>
              <w:rPr>
                <w:rFonts w:ascii="Cambria" w:hAnsi="Cambria"/>
                <w:sz w:val="21"/>
              </w:rPr>
            </w:pPr>
            <w:r>
              <w:rPr>
                <w:rFonts w:ascii="Cambria" w:hAnsi="Cambria"/>
                <w:color w:val="333333"/>
                <w:w w:val="110"/>
                <w:sz w:val="21"/>
              </w:rPr>
              <w:t xml:space="preserve">Request’s outcome based on the status code of the response. 1xx is </w:t>
            </w:r>
            <w:r>
              <w:rPr>
                <w:color w:val="B02045"/>
                <w:w w:val="110"/>
                <w:sz w:val="21"/>
              </w:rPr>
              <w:t>INFORMATIONAL</w:t>
            </w:r>
            <w:r>
              <w:rPr>
                <w:rFonts w:ascii="Cambria" w:hAnsi="Cambria"/>
                <w:color w:val="333333"/>
                <w:w w:val="110"/>
                <w:sz w:val="21"/>
              </w:rPr>
              <w:t xml:space="preserve">, 2xx is </w:t>
            </w:r>
            <w:r>
              <w:rPr>
                <w:color w:val="B02045"/>
                <w:w w:val="105"/>
                <w:sz w:val="21"/>
              </w:rPr>
              <w:t>SUCCESS</w:t>
            </w:r>
            <w:r>
              <w:rPr>
                <w:rFonts w:ascii="Cambria" w:hAnsi="Cambria"/>
                <w:color w:val="333333"/>
                <w:w w:val="105"/>
                <w:sz w:val="21"/>
              </w:rPr>
              <w:t xml:space="preserve">, 3xx is </w:t>
            </w:r>
            <w:r>
              <w:rPr>
                <w:color w:val="B02045"/>
                <w:w w:val="105"/>
                <w:sz w:val="21"/>
              </w:rPr>
              <w:t>REDIRECTION</w:t>
            </w:r>
            <w:r>
              <w:rPr>
                <w:rFonts w:ascii="Cambria" w:hAnsi="Cambria"/>
                <w:color w:val="333333"/>
                <w:w w:val="105"/>
                <w:sz w:val="21"/>
              </w:rPr>
              <w:t xml:space="preserve">, 4xx </w:t>
            </w:r>
            <w:r>
              <w:rPr>
                <w:color w:val="B02045"/>
                <w:w w:val="105"/>
                <w:sz w:val="21"/>
              </w:rPr>
              <w:t>CLIENT_ERROR</w:t>
            </w:r>
            <w:r>
              <w:rPr>
                <w:rFonts w:ascii="Cambria" w:hAnsi="Cambria"/>
                <w:color w:val="333333"/>
                <w:w w:val="105"/>
                <w:sz w:val="21"/>
              </w:rPr>
              <w:t>,</w:t>
            </w:r>
          </w:p>
          <w:p w14:paraId="0224ED4E" w14:textId="77777777" w:rsidR="00A720EB" w:rsidRDefault="0030286B">
            <w:pPr>
              <w:pStyle w:val="TableParagraph"/>
              <w:spacing w:before="0" w:line="256" w:lineRule="exact"/>
              <w:rPr>
                <w:rFonts w:ascii="Cambria"/>
                <w:sz w:val="21"/>
              </w:rPr>
            </w:pPr>
            <w:r>
              <w:rPr>
                <w:rFonts w:ascii="Cambria"/>
                <w:color w:val="333333"/>
                <w:w w:val="110"/>
                <w:sz w:val="21"/>
              </w:rPr>
              <w:t xml:space="preserve">and 5xx is </w:t>
            </w:r>
            <w:r>
              <w:rPr>
                <w:color w:val="B02045"/>
                <w:w w:val="110"/>
                <w:sz w:val="21"/>
              </w:rPr>
              <w:t>SERVER_ERROR</w:t>
            </w:r>
            <w:r>
              <w:rPr>
                <w:rFonts w:ascii="Cambria"/>
                <w:color w:val="333333"/>
                <w:w w:val="110"/>
                <w:sz w:val="21"/>
              </w:rPr>
              <w:t xml:space="preserve">, </w:t>
            </w:r>
            <w:r>
              <w:rPr>
                <w:color w:val="B02045"/>
                <w:w w:val="110"/>
                <w:sz w:val="21"/>
              </w:rPr>
              <w:t>UNKNOWN</w:t>
            </w:r>
            <w:r>
              <w:rPr>
                <w:color w:val="B02045"/>
                <w:spacing w:val="-99"/>
                <w:w w:val="110"/>
                <w:sz w:val="21"/>
              </w:rPr>
              <w:t xml:space="preserve"> </w:t>
            </w:r>
            <w:r>
              <w:rPr>
                <w:rFonts w:ascii="Cambria"/>
                <w:color w:val="333333"/>
                <w:w w:val="110"/>
                <w:sz w:val="21"/>
              </w:rPr>
              <w:t>otherwise</w:t>
            </w:r>
          </w:p>
        </w:tc>
      </w:tr>
      <w:tr w:rsidR="00A720EB" w14:paraId="65354FAE" w14:textId="77777777">
        <w:trPr>
          <w:trHeight w:val="1056"/>
        </w:trPr>
        <w:tc>
          <w:tcPr>
            <w:tcW w:w="4988" w:type="dxa"/>
          </w:tcPr>
          <w:p w14:paraId="5591962B" w14:textId="77777777" w:rsidR="00A720EB" w:rsidRDefault="0030286B">
            <w:pPr>
              <w:pStyle w:val="TableParagraph"/>
              <w:spacing w:before="40"/>
              <w:rPr>
                <w:sz w:val="21"/>
              </w:rPr>
            </w:pPr>
            <w:r>
              <w:rPr>
                <w:color w:val="B02045"/>
                <w:sz w:val="21"/>
              </w:rPr>
              <w:t>status</w:t>
            </w:r>
          </w:p>
        </w:tc>
        <w:tc>
          <w:tcPr>
            <w:tcW w:w="4988" w:type="dxa"/>
          </w:tcPr>
          <w:p w14:paraId="4D3AD61F" w14:textId="77777777" w:rsidR="00A720EB" w:rsidRDefault="0030286B">
            <w:pPr>
              <w:pStyle w:val="TableParagraph"/>
              <w:spacing w:before="41" w:line="316" w:lineRule="exact"/>
              <w:ind w:right="355"/>
              <w:rPr>
                <w:rFonts w:ascii="Cambria" w:hAnsi="Cambria"/>
                <w:sz w:val="21"/>
              </w:rPr>
            </w:pPr>
            <w:r>
              <w:rPr>
                <w:rFonts w:ascii="Cambria" w:hAnsi="Cambria"/>
                <w:color w:val="333333"/>
                <w:w w:val="110"/>
                <w:sz w:val="21"/>
              </w:rPr>
              <w:t>Response’s HTTP status code if available (for example,</w:t>
            </w:r>
            <w:r>
              <w:rPr>
                <w:rFonts w:ascii="Cambria" w:hAnsi="Cambria"/>
                <w:color w:val="333333"/>
                <w:spacing w:val="-16"/>
                <w:w w:val="110"/>
                <w:sz w:val="21"/>
              </w:rPr>
              <w:t xml:space="preserve"> </w:t>
            </w:r>
            <w:r>
              <w:rPr>
                <w:color w:val="B02045"/>
                <w:w w:val="110"/>
                <w:sz w:val="21"/>
              </w:rPr>
              <w:t>200</w:t>
            </w:r>
            <w:r>
              <w:rPr>
                <w:color w:val="B02045"/>
                <w:spacing w:val="-80"/>
                <w:w w:val="110"/>
                <w:sz w:val="21"/>
              </w:rPr>
              <w:t xml:space="preserve"> </w:t>
            </w:r>
            <w:r>
              <w:rPr>
                <w:rFonts w:ascii="Cambria" w:hAnsi="Cambria"/>
                <w:color w:val="333333"/>
                <w:w w:val="110"/>
                <w:sz w:val="21"/>
              </w:rPr>
              <w:t>or</w:t>
            </w:r>
            <w:r>
              <w:rPr>
                <w:rFonts w:ascii="Cambria" w:hAnsi="Cambria"/>
                <w:color w:val="333333"/>
                <w:spacing w:val="-14"/>
                <w:w w:val="110"/>
                <w:sz w:val="21"/>
              </w:rPr>
              <w:t xml:space="preserve"> </w:t>
            </w:r>
            <w:r>
              <w:rPr>
                <w:color w:val="B02045"/>
                <w:w w:val="110"/>
                <w:sz w:val="21"/>
              </w:rPr>
              <w:t>500</w:t>
            </w:r>
            <w:r>
              <w:rPr>
                <w:rFonts w:ascii="Cambria" w:hAnsi="Cambria"/>
                <w:color w:val="333333"/>
                <w:w w:val="110"/>
                <w:sz w:val="21"/>
              </w:rPr>
              <w:t>),</w:t>
            </w:r>
            <w:r>
              <w:rPr>
                <w:rFonts w:ascii="Cambria" w:hAnsi="Cambria"/>
                <w:color w:val="333333"/>
                <w:spacing w:val="-15"/>
                <w:w w:val="110"/>
                <w:sz w:val="21"/>
              </w:rPr>
              <w:t xml:space="preserve"> </w:t>
            </w:r>
            <w:r>
              <w:rPr>
                <w:rFonts w:ascii="Cambria" w:hAnsi="Cambria"/>
                <w:color w:val="333333"/>
                <w:w w:val="110"/>
                <w:sz w:val="21"/>
              </w:rPr>
              <w:t>or</w:t>
            </w:r>
            <w:r>
              <w:rPr>
                <w:rFonts w:ascii="Cambria" w:hAnsi="Cambria"/>
                <w:color w:val="333333"/>
                <w:spacing w:val="-15"/>
                <w:w w:val="110"/>
                <w:sz w:val="21"/>
              </w:rPr>
              <w:t xml:space="preserve"> </w:t>
            </w:r>
            <w:r>
              <w:rPr>
                <w:color w:val="B02045"/>
                <w:w w:val="110"/>
                <w:sz w:val="21"/>
              </w:rPr>
              <w:t>IO_ERROR</w:t>
            </w:r>
            <w:r>
              <w:rPr>
                <w:color w:val="B02045"/>
                <w:spacing w:val="-80"/>
                <w:w w:val="110"/>
                <w:sz w:val="21"/>
              </w:rPr>
              <w:t xml:space="preserve"> </w:t>
            </w:r>
            <w:r>
              <w:rPr>
                <w:rFonts w:ascii="Cambria" w:hAnsi="Cambria"/>
                <w:color w:val="333333"/>
                <w:w w:val="110"/>
                <w:sz w:val="21"/>
              </w:rPr>
              <w:t>in</w:t>
            </w:r>
            <w:r>
              <w:rPr>
                <w:rFonts w:ascii="Cambria" w:hAnsi="Cambria"/>
                <w:color w:val="333333"/>
                <w:spacing w:val="-15"/>
                <w:w w:val="110"/>
                <w:sz w:val="21"/>
              </w:rPr>
              <w:t xml:space="preserve"> </w:t>
            </w:r>
            <w:r>
              <w:rPr>
                <w:rFonts w:ascii="Cambria" w:hAnsi="Cambria"/>
                <w:color w:val="333333"/>
                <w:w w:val="110"/>
                <w:sz w:val="21"/>
              </w:rPr>
              <w:t>case</w:t>
            </w:r>
            <w:r>
              <w:rPr>
                <w:rFonts w:ascii="Cambria" w:hAnsi="Cambria"/>
                <w:color w:val="333333"/>
                <w:spacing w:val="-15"/>
                <w:w w:val="110"/>
                <w:sz w:val="21"/>
              </w:rPr>
              <w:t xml:space="preserve"> </w:t>
            </w:r>
            <w:r>
              <w:rPr>
                <w:rFonts w:ascii="Cambria" w:hAnsi="Cambria"/>
                <w:color w:val="333333"/>
                <w:w w:val="110"/>
                <w:sz w:val="21"/>
              </w:rPr>
              <w:t>of</w:t>
            </w:r>
            <w:r>
              <w:rPr>
                <w:rFonts w:ascii="Cambria" w:hAnsi="Cambria"/>
                <w:color w:val="333333"/>
                <w:spacing w:val="-15"/>
                <w:w w:val="110"/>
                <w:sz w:val="21"/>
              </w:rPr>
              <w:t xml:space="preserve"> </w:t>
            </w:r>
            <w:r>
              <w:rPr>
                <w:rFonts w:ascii="Cambria" w:hAnsi="Cambria"/>
                <w:color w:val="333333"/>
                <w:w w:val="110"/>
                <w:sz w:val="21"/>
              </w:rPr>
              <w:t xml:space="preserve">I/O issues, </w:t>
            </w:r>
            <w:r>
              <w:rPr>
                <w:color w:val="B02045"/>
                <w:w w:val="110"/>
                <w:sz w:val="21"/>
              </w:rPr>
              <w:t>CLIENT_ERROR</w:t>
            </w:r>
            <w:r>
              <w:rPr>
                <w:color w:val="B02045"/>
                <w:spacing w:val="-67"/>
                <w:w w:val="110"/>
                <w:sz w:val="21"/>
              </w:rPr>
              <w:t xml:space="preserve"> </w:t>
            </w:r>
            <w:r>
              <w:rPr>
                <w:rFonts w:ascii="Cambria" w:hAnsi="Cambria"/>
                <w:color w:val="333333"/>
                <w:w w:val="110"/>
                <w:sz w:val="21"/>
              </w:rPr>
              <w:t>otherwise</w:t>
            </w:r>
          </w:p>
        </w:tc>
      </w:tr>
    </w:tbl>
    <w:p w14:paraId="493EC00B" w14:textId="77777777" w:rsidR="00A720EB" w:rsidRDefault="00A720EB">
      <w:pPr>
        <w:spacing w:line="316" w:lineRule="exact"/>
        <w:rPr>
          <w:sz w:val="21"/>
        </w:rPr>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38714A70" w14:textId="77777777">
        <w:trPr>
          <w:trHeight w:val="415"/>
        </w:trPr>
        <w:tc>
          <w:tcPr>
            <w:tcW w:w="4988" w:type="dxa"/>
            <w:tcBorders>
              <w:bottom w:val="single" w:sz="12" w:space="0" w:color="DDDDDD"/>
            </w:tcBorders>
          </w:tcPr>
          <w:p w14:paraId="075A4D2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Tag</w:t>
            </w:r>
          </w:p>
        </w:tc>
        <w:tc>
          <w:tcPr>
            <w:tcW w:w="4988" w:type="dxa"/>
            <w:tcBorders>
              <w:bottom w:val="single" w:sz="12" w:space="0" w:color="DDDDDD"/>
            </w:tcBorders>
          </w:tcPr>
          <w:p w14:paraId="2E4F6F65"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E1F9F82" w14:textId="77777777">
        <w:trPr>
          <w:trHeight w:val="1046"/>
        </w:trPr>
        <w:tc>
          <w:tcPr>
            <w:tcW w:w="4988" w:type="dxa"/>
            <w:tcBorders>
              <w:top w:val="single" w:sz="12" w:space="0" w:color="DDDDDD"/>
            </w:tcBorders>
          </w:tcPr>
          <w:p w14:paraId="6D416EDF" w14:textId="77777777" w:rsidR="00A720EB" w:rsidRDefault="0030286B">
            <w:pPr>
              <w:pStyle w:val="TableParagraph"/>
              <w:spacing w:before="27"/>
              <w:rPr>
                <w:sz w:val="21"/>
              </w:rPr>
            </w:pPr>
            <w:r>
              <w:rPr>
                <w:color w:val="B02045"/>
                <w:sz w:val="21"/>
              </w:rPr>
              <w:t>uri</w:t>
            </w:r>
          </w:p>
        </w:tc>
        <w:tc>
          <w:tcPr>
            <w:tcW w:w="4988" w:type="dxa"/>
            <w:tcBorders>
              <w:top w:val="single" w:sz="12" w:space="0" w:color="DDDDDD"/>
            </w:tcBorders>
          </w:tcPr>
          <w:p w14:paraId="02474618" w14:textId="77777777" w:rsidR="00A720EB" w:rsidRDefault="0030286B">
            <w:pPr>
              <w:pStyle w:val="TableParagraph"/>
              <w:spacing w:before="82" w:line="307" w:lineRule="auto"/>
              <w:ind w:right="640"/>
              <w:rPr>
                <w:rFonts w:ascii="Cambria" w:hAnsi="Cambria"/>
                <w:sz w:val="21"/>
              </w:rPr>
            </w:pPr>
            <w:r>
              <w:rPr>
                <w:rFonts w:ascii="Cambria" w:hAnsi="Cambria"/>
                <w:color w:val="333333"/>
                <w:w w:val="110"/>
                <w:sz w:val="21"/>
              </w:rPr>
              <w:t>Request’s URI template prior to variable substitution, if possible (for example,</w:t>
            </w:r>
          </w:p>
          <w:p w14:paraId="0358BB8C" w14:textId="77777777" w:rsidR="00A720EB" w:rsidRDefault="0030286B">
            <w:pPr>
              <w:pStyle w:val="TableParagraph"/>
              <w:spacing w:before="0" w:line="260" w:lineRule="exact"/>
              <w:rPr>
                <w:rFonts w:ascii="Cambria"/>
                <w:sz w:val="21"/>
              </w:rPr>
            </w:pPr>
            <w:r>
              <w:rPr>
                <w:color w:val="B02045"/>
                <w:sz w:val="21"/>
              </w:rPr>
              <w:t>/api/person/{id}</w:t>
            </w:r>
            <w:r>
              <w:rPr>
                <w:rFonts w:ascii="Cambria"/>
                <w:color w:val="333333"/>
                <w:sz w:val="21"/>
              </w:rPr>
              <w:t>)</w:t>
            </w:r>
          </w:p>
        </w:tc>
      </w:tr>
    </w:tbl>
    <w:p w14:paraId="1E373129" w14:textId="77777777" w:rsidR="00A720EB" w:rsidRDefault="00A720EB">
      <w:pPr>
        <w:pStyle w:val="a3"/>
        <w:spacing w:before="5"/>
        <w:rPr>
          <w:sz w:val="12"/>
        </w:rPr>
      </w:pPr>
    </w:p>
    <w:p w14:paraId="4665AEA9" w14:textId="77777777" w:rsidR="00A720EB" w:rsidRDefault="0030286B">
      <w:pPr>
        <w:pStyle w:val="a3"/>
        <w:spacing w:before="115" w:line="280" w:lineRule="auto"/>
        <w:ind w:left="124" w:right="122"/>
        <w:jc w:val="both"/>
      </w:pPr>
      <w:r>
        <w:rPr>
          <w:color w:val="333333"/>
          <w:spacing w:val="-4"/>
          <w:w w:val="110"/>
        </w:rPr>
        <w:t xml:space="preserve">To </w:t>
      </w:r>
      <w:r>
        <w:rPr>
          <w:color w:val="333333"/>
          <w:w w:val="110"/>
        </w:rPr>
        <w:t xml:space="preserve">customize the tags, and depending on your choice of client, you can provide a </w:t>
      </w:r>
      <w:r>
        <w:rPr>
          <w:rFonts w:ascii="MS Gothic"/>
          <w:color w:val="B02045"/>
          <w:w w:val="110"/>
        </w:rPr>
        <w:t xml:space="preserve">@Bean </w:t>
      </w:r>
      <w:r>
        <w:rPr>
          <w:color w:val="333333"/>
          <w:w w:val="110"/>
        </w:rPr>
        <w:t xml:space="preserve">that implements </w:t>
      </w:r>
      <w:r>
        <w:rPr>
          <w:rFonts w:ascii="MS Gothic"/>
          <w:color w:val="B02045"/>
          <w:w w:val="110"/>
        </w:rPr>
        <w:t xml:space="preserve">RestTemplateExchangeTagsProvider </w:t>
      </w:r>
      <w:r>
        <w:rPr>
          <w:color w:val="333333"/>
          <w:w w:val="110"/>
        </w:rPr>
        <w:t xml:space="preserve">or </w:t>
      </w:r>
      <w:r>
        <w:rPr>
          <w:rFonts w:ascii="MS Gothic"/>
          <w:color w:val="B02045"/>
          <w:w w:val="110"/>
        </w:rPr>
        <w:t>WebClientExchangeTagsProvider</w:t>
      </w:r>
      <w:r>
        <w:rPr>
          <w:color w:val="333333"/>
          <w:w w:val="110"/>
        </w:rPr>
        <w:t xml:space="preserve">. There are convenience static functions in </w:t>
      </w:r>
      <w:r>
        <w:rPr>
          <w:rFonts w:ascii="MS Gothic"/>
          <w:color w:val="B02045"/>
          <w:w w:val="110"/>
        </w:rPr>
        <w:t>RestTemplateExchangeTags</w:t>
      </w:r>
      <w:r>
        <w:rPr>
          <w:rFonts w:ascii="MS Gothic"/>
          <w:color w:val="B02045"/>
          <w:spacing w:val="-74"/>
          <w:w w:val="110"/>
        </w:rPr>
        <w:t xml:space="preserve"> </w:t>
      </w:r>
      <w:r>
        <w:rPr>
          <w:color w:val="333333"/>
          <w:w w:val="110"/>
        </w:rPr>
        <w:t xml:space="preserve">and </w:t>
      </w:r>
      <w:r>
        <w:rPr>
          <w:rFonts w:ascii="MS Gothic"/>
          <w:color w:val="B02045"/>
          <w:w w:val="110"/>
        </w:rPr>
        <w:t>WebClientExchangeTags</w:t>
      </w:r>
      <w:r>
        <w:rPr>
          <w:color w:val="333333"/>
          <w:w w:val="110"/>
        </w:rPr>
        <w:t>.</w:t>
      </w:r>
    </w:p>
    <w:p w14:paraId="45EA6F26" w14:textId="77777777" w:rsidR="00A720EB" w:rsidRDefault="00A720EB">
      <w:pPr>
        <w:pStyle w:val="a3"/>
        <w:spacing w:before="8"/>
        <w:rPr>
          <w:sz w:val="26"/>
        </w:rPr>
      </w:pPr>
    </w:p>
    <w:p w14:paraId="4DB6D1E8" w14:textId="77777777" w:rsidR="00A720EB" w:rsidRDefault="0030286B">
      <w:pPr>
        <w:pStyle w:val="4"/>
        <w:spacing w:before="1"/>
      </w:pPr>
      <w:bookmarkStart w:id="649" w:name="Cache_Metrics"/>
      <w:bookmarkEnd w:id="649"/>
      <w:r>
        <w:rPr>
          <w:color w:val="333333"/>
          <w:w w:val="110"/>
        </w:rPr>
        <w:t>Cache Metrics</w:t>
      </w:r>
    </w:p>
    <w:p w14:paraId="799F8798" w14:textId="77777777" w:rsidR="00A720EB" w:rsidRDefault="0030286B">
      <w:pPr>
        <w:pStyle w:val="a3"/>
        <w:spacing w:before="243" w:line="285" w:lineRule="auto"/>
        <w:ind w:left="124" w:right="124"/>
        <w:jc w:val="both"/>
      </w:pPr>
      <w:r>
        <w:rPr>
          <w:color w:val="333333"/>
          <w:w w:val="110"/>
        </w:rPr>
        <w:t xml:space="preserve">Auto-configuration enables the instrumentation of all available </w:t>
      </w:r>
      <w:r>
        <w:rPr>
          <w:rFonts w:ascii="MS Gothic"/>
          <w:color w:val="B02045"/>
          <w:w w:val="110"/>
        </w:rPr>
        <w:t>Cache</w:t>
      </w:r>
      <w:r>
        <w:rPr>
          <w:color w:val="333333"/>
          <w:w w:val="110"/>
        </w:rPr>
        <w:t xml:space="preserve">s on startup with metrics prefixed with </w:t>
      </w:r>
      <w:r>
        <w:rPr>
          <w:rFonts w:ascii="MS Gothic"/>
          <w:color w:val="B02045"/>
          <w:w w:val="110"/>
        </w:rPr>
        <w:t>cache</w:t>
      </w:r>
      <w:r>
        <w:rPr>
          <w:color w:val="333333"/>
          <w:w w:val="110"/>
        </w:rPr>
        <w:t>. Cache instrumentation is standardized for a basic set of metrics. Additional, cache-specific metrics are also available.</w:t>
      </w:r>
    </w:p>
    <w:p w14:paraId="7821DC02" w14:textId="77777777" w:rsidR="00A720EB" w:rsidRDefault="00A720EB">
      <w:pPr>
        <w:pStyle w:val="a3"/>
        <w:spacing w:before="6"/>
        <w:rPr>
          <w:sz w:val="22"/>
        </w:rPr>
      </w:pPr>
    </w:p>
    <w:p w14:paraId="46023A6D" w14:textId="77777777" w:rsidR="00A720EB" w:rsidRDefault="0030286B">
      <w:pPr>
        <w:pStyle w:val="a3"/>
        <w:ind w:left="124"/>
        <w:jc w:val="both"/>
      </w:pPr>
      <w:r>
        <w:rPr>
          <w:color w:val="333333"/>
          <w:w w:val="110"/>
        </w:rPr>
        <w:t>The following cache libraries are supported:</w:t>
      </w:r>
    </w:p>
    <w:p w14:paraId="5E88519F" w14:textId="77777777" w:rsidR="00A720EB" w:rsidRDefault="00A720EB">
      <w:pPr>
        <w:pStyle w:val="a3"/>
        <w:spacing w:before="5"/>
        <w:rPr>
          <w:sz w:val="26"/>
        </w:rPr>
      </w:pPr>
    </w:p>
    <w:p w14:paraId="2EB01B6D" w14:textId="77777777" w:rsidR="00A720EB" w:rsidRDefault="0030286B">
      <w:pPr>
        <w:pStyle w:val="a6"/>
        <w:numPr>
          <w:ilvl w:val="3"/>
          <w:numId w:val="24"/>
        </w:numPr>
        <w:tabs>
          <w:tab w:val="left" w:pos="485"/>
        </w:tabs>
        <w:rPr>
          <w:sz w:val="21"/>
        </w:rPr>
      </w:pPr>
      <w:r>
        <w:rPr>
          <w:color w:val="333333"/>
          <w:w w:val="115"/>
          <w:sz w:val="21"/>
        </w:rPr>
        <w:t>Caffeine</w:t>
      </w:r>
    </w:p>
    <w:p w14:paraId="3518F632" w14:textId="77777777" w:rsidR="00A720EB" w:rsidRDefault="0030286B">
      <w:pPr>
        <w:pStyle w:val="a6"/>
        <w:numPr>
          <w:ilvl w:val="3"/>
          <w:numId w:val="24"/>
        </w:numPr>
        <w:tabs>
          <w:tab w:val="left" w:pos="485"/>
        </w:tabs>
        <w:spacing w:before="189"/>
        <w:rPr>
          <w:sz w:val="21"/>
        </w:rPr>
      </w:pPr>
      <w:r>
        <w:rPr>
          <w:color w:val="333333"/>
          <w:w w:val="110"/>
          <w:sz w:val="21"/>
        </w:rPr>
        <w:t>EhCache</w:t>
      </w:r>
      <w:r>
        <w:rPr>
          <w:color w:val="333333"/>
          <w:spacing w:val="3"/>
          <w:w w:val="110"/>
          <w:sz w:val="21"/>
        </w:rPr>
        <w:t xml:space="preserve"> </w:t>
      </w:r>
      <w:r>
        <w:rPr>
          <w:color w:val="333333"/>
          <w:w w:val="110"/>
          <w:sz w:val="21"/>
        </w:rPr>
        <w:t>2</w:t>
      </w:r>
    </w:p>
    <w:p w14:paraId="19A9AE96" w14:textId="77777777" w:rsidR="00A720EB" w:rsidRDefault="0030286B">
      <w:pPr>
        <w:pStyle w:val="a6"/>
        <w:numPr>
          <w:ilvl w:val="3"/>
          <w:numId w:val="24"/>
        </w:numPr>
        <w:tabs>
          <w:tab w:val="left" w:pos="485"/>
        </w:tabs>
        <w:spacing w:before="190"/>
        <w:rPr>
          <w:sz w:val="21"/>
        </w:rPr>
      </w:pPr>
      <w:r>
        <w:rPr>
          <w:color w:val="333333"/>
          <w:w w:val="110"/>
          <w:sz w:val="21"/>
        </w:rPr>
        <w:t>Hazelcast</w:t>
      </w:r>
    </w:p>
    <w:p w14:paraId="1D9B82D7" w14:textId="77777777" w:rsidR="00A720EB" w:rsidRDefault="0030286B">
      <w:pPr>
        <w:pStyle w:val="a6"/>
        <w:numPr>
          <w:ilvl w:val="3"/>
          <w:numId w:val="24"/>
        </w:numPr>
        <w:tabs>
          <w:tab w:val="left" w:pos="485"/>
        </w:tabs>
        <w:spacing w:before="189"/>
        <w:rPr>
          <w:sz w:val="21"/>
        </w:rPr>
      </w:pPr>
      <w:r>
        <w:rPr>
          <w:color w:val="333333"/>
          <w:w w:val="110"/>
          <w:sz w:val="21"/>
        </w:rPr>
        <w:t>Any compliant JCache (JSR-107)</w:t>
      </w:r>
      <w:r>
        <w:rPr>
          <w:color w:val="333333"/>
          <w:spacing w:val="9"/>
          <w:w w:val="110"/>
          <w:sz w:val="21"/>
        </w:rPr>
        <w:t xml:space="preserve"> </w:t>
      </w:r>
      <w:r>
        <w:rPr>
          <w:color w:val="333333"/>
          <w:w w:val="110"/>
          <w:sz w:val="21"/>
        </w:rPr>
        <w:t>implementation</w:t>
      </w:r>
    </w:p>
    <w:p w14:paraId="71F73D7B" w14:textId="77777777" w:rsidR="00A720EB" w:rsidRDefault="00A720EB">
      <w:pPr>
        <w:pStyle w:val="a3"/>
        <w:spacing w:before="6"/>
        <w:rPr>
          <w:sz w:val="25"/>
        </w:rPr>
      </w:pPr>
    </w:p>
    <w:p w14:paraId="34FE8D8C" w14:textId="77777777" w:rsidR="00A720EB" w:rsidRDefault="0030286B">
      <w:pPr>
        <w:pStyle w:val="a3"/>
        <w:spacing w:line="290" w:lineRule="auto"/>
        <w:ind w:left="124" w:right="123"/>
        <w:jc w:val="both"/>
      </w:pPr>
      <w:r>
        <w:rPr>
          <w:color w:val="333333"/>
          <w:w w:val="110"/>
        </w:rPr>
        <w:t xml:space="preserve">Metrics are tagged by the name of the cache and by the name of the </w:t>
      </w:r>
      <w:r>
        <w:rPr>
          <w:rFonts w:ascii="MS Gothic"/>
          <w:color w:val="B02045"/>
          <w:w w:val="110"/>
        </w:rPr>
        <w:t xml:space="preserve">CacheManager </w:t>
      </w:r>
      <w:r>
        <w:rPr>
          <w:color w:val="333333"/>
          <w:w w:val="110"/>
        </w:rPr>
        <w:t>that is derived from the bean name.</w:t>
      </w:r>
    </w:p>
    <w:p w14:paraId="24890310" w14:textId="77777777" w:rsidR="00A720EB" w:rsidRDefault="00A720EB">
      <w:pPr>
        <w:pStyle w:val="a3"/>
        <w:spacing w:before="2"/>
        <w:rPr>
          <w:sz w:val="18"/>
        </w:rPr>
      </w:pPr>
    </w:p>
    <w:p w14:paraId="37473010" w14:textId="77777777" w:rsidR="00A720EB" w:rsidRDefault="00E10349">
      <w:pPr>
        <w:pStyle w:val="a3"/>
        <w:spacing w:before="125" w:line="304" w:lineRule="auto"/>
        <w:ind w:left="1564" w:right="366"/>
        <w:jc w:val="both"/>
      </w:pPr>
      <w:r>
        <w:pict w14:anchorId="6F667644">
          <v:line id="_x0000_s1965" style="position:absolute;left:0;text-align:left;z-index:16267264;mso-position-horizontal-relative:page" from="108.25pt,.25pt" to="108.25pt,71.4pt" strokecolor="#ededed" strokeweight=".5pt">
            <w10:wrap anchorx="page"/>
          </v:line>
        </w:pict>
      </w:r>
      <w:r w:rsidR="0030286B">
        <w:rPr>
          <w:noProof/>
        </w:rPr>
        <w:drawing>
          <wp:anchor distT="0" distB="0" distL="0" distR="0" simplePos="0" relativeHeight="16267776" behindDoc="0" locked="0" layoutInCell="1" allowOverlap="1" wp14:anchorId="48D3F55B" wp14:editId="06787835">
            <wp:simplePos x="0" y="0"/>
            <wp:positionH relativeFrom="page">
              <wp:posOffset>844422</wp:posOffset>
            </wp:positionH>
            <wp:positionV relativeFrom="paragraph">
              <wp:posOffset>305727</wp:posOffset>
            </wp:positionV>
            <wp:extent cx="298450" cy="298450"/>
            <wp:effectExtent l="0" t="0" r="0" b="0"/>
            <wp:wrapNone/>
            <wp:docPr id="6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Only caches that are configured on startup are bound to the </w:t>
      </w:r>
      <w:r w:rsidR="0030286B">
        <w:rPr>
          <w:color w:val="333333"/>
          <w:spacing w:val="-3"/>
          <w:w w:val="110"/>
        </w:rPr>
        <w:t xml:space="preserve">registry.  </w:t>
      </w:r>
      <w:proofErr w:type="gramStart"/>
      <w:r w:rsidR="0030286B">
        <w:rPr>
          <w:color w:val="333333"/>
          <w:spacing w:val="-4"/>
          <w:w w:val="110"/>
        </w:rPr>
        <w:t xml:space="preserve">For  </w:t>
      </w:r>
      <w:r w:rsidR="0030286B">
        <w:rPr>
          <w:color w:val="333333"/>
          <w:w w:val="110"/>
        </w:rPr>
        <w:t>caches</w:t>
      </w:r>
      <w:proofErr w:type="gramEnd"/>
      <w:r w:rsidR="0030286B">
        <w:rPr>
          <w:color w:val="333333"/>
          <w:w w:val="110"/>
        </w:rPr>
        <w:t xml:space="preserve">  not defined in the cache’s configuration, e.g. caches created on-the-fly or programmatically after the startup phase, an explicit registration is required. A </w:t>
      </w:r>
      <w:r w:rsidR="0030286B">
        <w:rPr>
          <w:rFonts w:ascii="MS Gothic" w:hAnsi="MS Gothic"/>
          <w:color w:val="B02045"/>
          <w:w w:val="110"/>
        </w:rPr>
        <w:t>CacheMetricsRegistrar</w:t>
      </w:r>
      <w:r w:rsidR="0030286B">
        <w:rPr>
          <w:rFonts w:ascii="MS Gothic" w:hAnsi="MS Gothic"/>
          <w:color w:val="B02045"/>
          <w:spacing w:val="-69"/>
          <w:w w:val="110"/>
        </w:rPr>
        <w:t xml:space="preserve"> </w:t>
      </w:r>
      <w:r w:rsidR="0030286B">
        <w:rPr>
          <w:color w:val="333333"/>
          <w:w w:val="110"/>
        </w:rPr>
        <w:t>bean</w:t>
      </w:r>
      <w:r w:rsidR="0030286B">
        <w:rPr>
          <w:color w:val="333333"/>
          <w:spacing w:val="-4"/>
          <w:w w:val="110"/>
        </w:rPr>
        <w:t xml:space="preserve"> </w:t>
      </w:r>
      <w:r w:rsidR="0030286B">
        <w:rPr>
          <w:color w:val="333333"/>
          <w:w w:val="110"/>
        </w:rPr>
        <w:t>is</w:t>
      </w:r>
      <w:r w:rsidR="0030286B">
        <w:rPr>
          <w:color w:val="333333"/>
          <w:spacing w:val="-5"/>
          <w:w w:val="110"/>
        </w:rPr>
        <w:t xml:space="preserve"> </w:t>
      </w:r>
      <w:r w:rsidR="0030286B">
        <w:rPr>
          <w:color w:val="333333"/>
          <w:w w:val="110"/>
        </w:rPr>
        <w:t>made</w:t>
      </w:r>
      <w:r w:rsidR="0030286B">
        <w:rPr>
          <w:color w:val="333333"/>
          <w:spacing w:val="-4"/>
          <w:w w:val="110"/>
        </w:rPr>
        <w:t xml:space="preserve"> </w:t>
      </w:r>
      <w:r w:rsidR="0030286B">
        <w:rPr>
          <w:color w:val="333333"/>
          <w:w w:val="110"/>
        </w:rPr>
        <w:t>available</w:t>
      </w:r>
      <w:r w:rsidR="0030286B">
        <w:rPr>
          <w:color w:val="333333"/>
          <w:spacing w:val="-5"/>
          <w:w w:val="110"/>
        </w:rPr>
        <w:t xml:space="preserve"> </w:t>
      </w:r>
      <w:r w:rsidR="0030286B">
        <w:rPr>
          <w:color w:val="333333"/>
          <w:w w:val="110"/>
        </w:rPr>
        <w:t>to</w:t>
      </w:r>
      <w:r w:rsidR="0030286B">
        <w:rPr>
          <w:color w:val="333333"/>
          <w:spacing w:val="-4"/>
          <w:w w:val="110"/>
        </w:rPr>
        <w:t xml:space="preserve"> </w:t>
      </w:r>
      <w:r w:rsidR="0030286B">
        <w:rPr>
          <w:color w:val="333333"/>
          <w:w w:val="110"/>
        </w:rPr>
        <w:t>make</w:t>
      </w:r>
      <w:r w:rsidR="0030286B">
        <w:rPr>
          <w:color w:val="333333"/>
          <w:spacing w:val="-3"/>
          <w:w w:val="110"/>
        </w:rPr>
        <w:t xml:space="preserve"> </w:t>
      </w:r>
      <w:r w:rsidR="0030286B">
        <w:rPr>
          <w:color w:val="333333"/>
          <w:w w:val="110"/>
        </w:rPr>
        <w:t>that</w:t>
      </w:r>
      <w:r w:rsidR="0030286B">
        <w:rPr>
          <w:color w:val="333333"/>
          <w:spacing w:val="-4"/>
          <w:w w:val="110"/>
        </w:rPr>
        <w:t xml:space="preserve"> </w:t>
      </w:r>
      <w:r w:rsidR="0030286B">
        <w:rPr>
          <w:color w:val="333333"/>
          <w:w w:val="110"/>
        </w:rPr>
        <w:t>process</w:t>
      </w:r>
      <w:r w:rsidR="0030286B">
        <w:rPr>
          <w:color w:val="333333"/>
          <w:spacing w:val="-4"/>
          <w:w w:val="110"/>
        </w:rPr>
        <w:t xml:space="preserve"> </w:t>
      </w:r>
      <w:r w:rsidR="0030286B">
        <w:rPr>
          <w:color w:val="333333"/>
          <w:w w:val="110"/>
        </w:rPr>
        <w:t>easier.</w:t>
      </w:r>
    </w:p>
    <w:p w14:paraId="410BB8F1" w14:textId="77777777" w:rsidR="00A720EB" w:rsidRDefault="00A720EB">
      <w:pPr>
        <w:pStyle w:val="a3"/>
        <w:spacing w:before="1"/>
        <w:rPr>
          <w:sz w:val="22"/>
        </w:rPr>
      </w:pPr>
    </w:p>
    <w:p w14:paraId="79C2DB4D" w14:textId="77777777" w:rsidR="00A720EB" w:rsidRDefault="0030286B">
      <w:pPr>
        <w:pStyle w:val="4"/>
        <w:spacing w:before="104"/>
      </w:pPr>
      <w:bookmarkStart w:id="650" w:name="DataSource_Metrics"/>
      <w:bookmarkEnd w:id="650"/>
      <w:r>
        <w:rPr>
          <w:color w:val="333333"/>
          <w:w w:val="110"/>
        </w:rPr>
        <w:t>DataSource Metrics</w:t>
      </w:r>
    </w:p>
    <w:p w14:paraId="43640C70" w14:textId="77777777" w:rsidR="00A720EB" w:rsidRDefault="0030286B">
      <w:pPr>
        <w:pStyle w:val="a3"/>
        <w:spacing w:before="244" w:line="285" w:lineRule="auto"/>
        <w:ind w:left="124" w:right="124"/>
        <w:jc w:val="both"/>
      </w:pPr>
      <w:r>
        <w:rPr>
          <w:color w:val="333333"/>
          <w:w w:val="110"/>
        </w:rPr>
        <w:t xml:space="preserve">Auto-configuration enables the instrumentation of all available </w:t>
      </w:r>
      <w:r>
        <w:rPr>
          <w:rFonts w:ascii="MS Gothic"/>
          <w:color w:val="B02045"/>
          <w:w w:val="110"/>
        </w:rPr>
        <w:t xml:space="preserve">DataSource </w:t>
      </w:r>
      <w:r>
        <w:rPr>
          <w:color w:val="333333"/>
          <w:w w:val="110"/>
        </w:rPr>
        <w:t xml:space="preserve">objects with metrics prefixed with </w:t>
      </w:r>
      <w:proofErr w:type="gramStart"/>
      <w:r>
        <w:rPr>
          <w:rFonts w:ascii="MS Gothic"/>
          <w:color w:val="B02045"/>
          <w:w w:val="110"/>
        </w:rPr>
        <w:t>jdbc.connections</w:t>
      </w:r>
      <w:proofErr w:type="gramEnd"/>
      <w:r>
        <w:rPr>
          <w:color w:val="333333"/>
          <w:w w:val="110"/>
        </w:rPr>
        <w:t xml:space="preserve">. Data source instrumentation results in gauges representing </w:t>
      </w:r>
      <w:proofErr w:type="gramStart"/>
      <w:r>
        <w:rPr>
          <w:color w:val="333333"/>
          <w:w w:val="110"/>
        </w:rPr>
        <w:t>the  currently</w:t>
      </w:r>
      <w:proofErr w:type="gramEnd"/>
      <w:r>
        <w:rPr>
          <w:color w:val="333333"/>
          <w:w w:val="110"/>
        </w:rPr>
        <w:t xml:space="preserve"> active, idle, maximum allowed, and minimum allowed connections in the pool.</w:t>
      </w:r>
    </w:p>
    <w:p w14:paraId="703DFB14" w14:textId="77777777" w:rsidR="00A720EB" w:rsidRDefault="00A720EB">
      <w:pPr>
        <w:pStyle w:val="a3"/>
        <w:spacing w:before="7"/>
      </w:pPr>
    </w:p>
    <w:p w14:paraId="14D618AB" w14:textId="77777777" w:rsidR="00A720EB" w:rsidRDefault="0030286B">
      <w:pPr>
        <w:pStyle w:val="a3"/>
        <w:ind w:left="124"/>
        <w:jc w:val="both"/>
      </w:pPr>
      <w:r>
        <w:rPr>
          <w:color w:val="333333"/>
          <w:w w:val="110"/>
        </w:rPr>
        <w:t xml:space="preserve">Metrics are also tagged by the name of the </w:t>
      </w:r>
      <w:r>
        <w:rPr>
          <w:rFonts w:ascii="MS Gothic"/>
          <w:color w:val="B02045"/>
          <w:w w:val="110"/>
        </w:rPr>
        <w:t xml:space="preserve">DataSource </w:t>
      </w:r>
      <w:r>
        <w:rPr>
          <w:color w:val="333333"/>
          <w:w w:val="110"/>
        </w:rPr>
        <w:t>computed based on the bean name.</w:t>
      </w:r>
    </w:p>
    <w:p w14:paraId="747D08E6" w14:textId="77777777" w:rsidR="00A720EB" w:rsidRDefault="00A720EB">
      <w:pPr>
        <w:pStyle w:val="a3"/>
        <w:spacing w:before="6"/>
      </w:pPr>
    </w:p>
    <w:p w14:paraId="7BCB42E8" w14:textId="77777777" w:rsidR="00A720EB" w:rsidRDefault="00E10349">
      <w:pPr>
        <w:pStyle w:val="a3"/>
        <w:spacing w:before="125" w:line="290" w:lineRule="auto"/>
        <w:ind w:left="1564" w:right="362"/>
        <w:jc w:val="both"/>
      </w:pPr>
      <w:r>
        <w:pict w14:anchorId="56A83C0E">
          <v:line id="_x0000_s1964" style="position:absolute;left:0;text-align:left;z-index:16268288;mso-position-horizontal-relative:page" from="108.25pt,.25pt" to="108.25pt,71.4pt" strokecolor="#ededed" strokeweight=".5pt">
            <w10:wrap anchorx="page"/>
          </v:line>
        </w:pict>
      </w:r>
      <w:r w:rsidR="0030286B">
        <w:rPr>
          <w:noProof/>
        </w:rPr>
        <w:drawing>
          <wp:anchor distT="0" distB="0" distL="0" distR="0" simplePos="0" relativeHeight="16268800" behindDoc="0" locked="0" layoutInCell="1" allowOverlap="1" wp14:anchorId="0F14C4C6" wp14:editId="2ACD91AF">
            <wp:simplePos x="0" y="0"/>
            <wp:positionH relativeFrom="page">
              <wp:posOffset>888949</wp:posOffset>
            </wp:positionH>
            <wp:positionV relativeFrom="paragraph">
              <wp:posOffset>302552</wp:posOffset>
            </wp:positionV>
            <wp:extent cx="209550" cy="304800"/>
            <wp:effectExtent l="0" t="0" r="0" b="0"/>
            <wp:wrapNone/>
            <wp:docPr id="6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spacing w:val="-3"/>
          <w:w w:val="110"/>
        </w:rPr>
        <w:t xml:space="preserve">By </w:t>
      </w:r>
      <w:r w:rsidR="0030286B">
        <w:rPr>
          <w:color w:val="333333"/>
          <w:w w:val="110"/>
        </w:rPr>
        <w:t xml:space="preserve">default, Spring Boot provides metadata for all supported data sources; you can add additional </w:t>
      </w:r>
      <w:r w:rsidR="0030286B">
        <w:rPr>
          <w:rFonts w:ascii="MS Gothic" w:hAnsi="MS Gothic"/>
          <w:color w:val="B02045"/>
          <w:w w:val="110"/>
        </w:rPr>
        <w:t>DataSourcePoolMetadataProvider</w:t>
      </w:r>
      <w:r w:rsidR="0030286B">
        <w:rPr>
          <w:rFonts w:ascii="MS Gothic" w:hAnsi="MS Gothic"/>
          <w:color w:val="B02045"/>
          <w:spacing w:val="-70"/>
          <w:w w:val="110"/>
        </w:rPr>
        <w:t xml:space="preserve"> </w:t>
      </w:r>
      <w:r w:rsidR="0030286B">
        <w:rPr>
          <w:color w:val="333333"/>
          <w:w w:val="110"/>
        </w:rPr>
        <w:t xml:space="preserve">beans if your favorite data source </w:t>
      </w:r>
      <w:r w:rsidR="0030286B">
        <w:rPr>
          <w:color w:val="333333"/>
          <w:w w:val="105"/>
        </w:rPr>
        <w:t xml:space="preserve">isn’t supported out of the box. See </w:t>
      </w:r>
      <w:r w:rsidR="0030286B">
        <w:rPr>
          <w:rFonts w:ascii="MS Gothic" w:hAnsi="MS Gothic"/>
          <w:color w:val="B02045"/>
          <w:w w:val="105"/>
        </w:rPr>
        <w:t xml:space="preserve">DataSourcePoolMetadataProvidersConfiguration </w:t>
      </w:r>
      <w:r w:rsidR="0030286B">
        <w:rPr>
          <w:color w:val="333333"/>
          <w:w w:val="110"/>
        </w:rPr>
        <w:t>for examples.</w:t>
      </w:r>
    </w:p>
    <w:p w14:paraId="3FD2B917" w14:textId="77777777" w:rsidR="00A720EB" w:rsidRDefault="00A720EB">
      <w:pPr>
        <w:pStyle w:val="a3"/>
        <w:spacing w:before="10"/>
        <w:rPr>
          <w:sz w:val="17"/>
        </w:rPr>
      </w:pPr>
    </w:p>
    <w:p w14:paraId="1213761C" w14:textId="77777777" w:rsidR="00A720EB" w:rsidRDefault="0030286B">
      <w:pPr>
        <w:pStyle w:val="a3"/>
        <w:spacing w:before="116" w:line="280" w:lineRule="auto"/>
        <w:ind w:left="124" w:right="136"/>
      </w:pPr>
      <w:r>
        <w:rPr>
          <w:color w:val="333333"/>
          <w:w w:val="110"/>
        </w:rPr>
        <w:t xml:space="preserve">Also, Hikari-specific metrics are exposed with a </w:t>
      </w:r>
      <w:r>
        <w:rPr>
          <w:rFonts w:ascii="MS Gothic"/>
          <w:color w:val="B02045"/>
          <w:w w:val="110"/>
        </w:rPr>
        <w:t xml:space="preserve">hikaricp </w:t>
      </w:r>
      <w:r>
        <w:rPr>
          <w:color w:val="333333"/>
          <w:w w:val="110"/>
        </w:rPr>
        <w:t xml:space="preserve">prefix. Each metric is tagged </w:t>
      </w:r>
      <w:r>
        <w:rPr>
          <w:color w:val="333333"/>
          <w:spacing w:val="-3"/>
          <w:w w:val="110"/>
        </w:rPr>
        <w:t xml:space="preserve">by </w:t>
      </w:r>
      <w:r>
        <w:rPr>
          <w:color w:val="333333"/>
          <w:w w:val="110"/>
        </w:rPr>
        <w:t>the name of the Pool (can be controlled with</w:t>
      </w:r>
      <w:r>
        <w:rPr>
          <w:color w:val="333333"/>
          <w:spacing w:val="2"/>
          <w:w w:val="110"/>
        </w:rPr>
        <w:t xml:space="preserve"> </w:t>
      </w:r>
      <w:r>
        <w:rPr>
          <w:rFonts w:ascii="MS Gothic"/>
          <w:color w:val="B02045"/>
          <w:w w:val="110"/>
        </w:rPr>
        <w:t>spring.datasource.name</w:t>
      </w:r>
      <w:r>
        <w:rPr>
          <w:color w:val="333333"/>
          <w:w w:val="110"/>
        </w:rPr>
        <w:t>).</w:t>
      </w:r>
    </w:p>
    <w:p w14:paraId="0FA6BFFB" w14:textId="77777777" w:rsidR="00A720EB" w:rsidRDefault="00A720EB">
      <w:pPr>
        <w:spacing w:line="280" w:lineRule="auto"/>
        <w:sectPr w:rsidR="00A720EB">
          <w:pgSz w:w="11910" w:h="16840"/>
          <w:pgMar w:top="700" w:right="840" w:bottom="520" w:left="840" w:header="0" w:footer="323" w:gutter="0"/>
          <w:cols w:space="720"/>
        </w:sectPr>
      </w:pPr>
    </w:p>
    <w:p w14:paraId="0B1FAF51" w14:textId="77777777" w:rsidR="00A720EB" w:rsidRDefault="0030286B">
      <w:pPr>
        <w:pStyle w:val="4"/>
        <w:spacing w:before="86"/>
      </w:pPr>
      <w:bookmarkStart w:id="651" w:name="Hibernate_Metrics"/>
      <w:bookmarkEnd w:id="651"/>
      <w:r>
        <w:rPr>
          <w:color w:val="333333"/>
          <w:w w:val="110"/>
        </w:rPr>
        <w:lastRenderedPageBreak/>
        <w:t>Hibernate Metrics</w:t>
      </w:r>
    </w:p>
    <w:p w14:paraId="59957391" w14:textId="77777777" w:rsidR="00A720EB" w:rsidRDefault="0030286B">
      <w:pPr>
        <w:pStyle w:val="a3"/>
        <w:spacing w:before="243"/>
        <w:ind w:left="124"/>
        <w:jc w:val="both"/>
        <w:rPr>
          <w:rFonts w:ascii="MS Gothic"/>
        </w:rPr>
      </w:pPr>
      <w:r>
        <w:rPr>
          <w:color w:val="333333"/>
          <w:w w:val="110"/>
        </w:rPr>
        <w:t xml:space="preserve">Auto-configuration enables the instrumentation of all available Hibernate </w:t>
      </w:r>
      <w:r>
        <w:rPr>
          <w:rFonts w:ascii="MS Gothic"/>
          <w:color w:val="B02045"/>
          <w:w w:val="110"/>
        </w:rPr>
        <w:t>EntityManagerFactory</w:t>
      </w:r>
    </w:p>
    <w:p w14:paraId="557F63E8" w14:textId="77777777" w:rsidR="00A720EB" w:rsidRDefault="0030286B">
      <w:pPr>
        <w:pStyle w:val="a3"/>
        <w:spacing w:before="47"/>
        <w:ind w:left="124"/>
        <w:jc w:val="both"/>
      </w:pPr>
      <w:r>
        <w:rPr>
          <w:color w:val="333333"/>
          <w:w w:val="110"/>
        </w:rPr>
        <w:t xml:space="preserve">instances that have statistics enabled with a metric named </w:t>
      </w:r>
      <w:r>
        <w:rPr>
          <w:rFonts w:ascii="MS Gothic"/>
          <w:color w:val="B02045"/>
          <w:w w:val="110"/>
        </w:rPr>
        <w:t>hibernate</w:t>
      </w:r>
      <w:r>
        <w:rPr>
          <w:color w:val="333333"/>
          <w:w w:val="110"/>
        </w:rPr>
        <w:t>.</w:t>
      </w:r>
    </w:p>
    <w:p w14:paraId="13289A25" w14:textId="77777777" w:rsidR="00A720EB" w:rsidRDefault="00A720EB">
      <w:pPr>
        <w:pStyle w:val="a3"/>
        <w:spacing w:before="5"/>
        <w:rPr>
          <w:sz w:val="24"/>
        </w:rPr>
      </w:pPr>
    </w:p>
    <w:p w14:paraId="17AE2F46" w14:textId="77777777" w:rsidR="00A720EB" w:rsidRDefault="0030286B">
      <w:pPr>
        <w:pStyle w:val="a3"/>
        <w:spacing w:line="290" w:lineRule="auto"/>
        <w:ind w:left="124" w:right="124"/>
        <w:jc w:val="both"/>
      </w:pPr>
      <w:r>
        <w:rPr>
          <w:color w:val="333333"/>
          <w:w w:val="110"/>
        </w:rPr>
        <w:t xml:space="preserve">Metrics are also tagged by the name of the </w:t>
      </w:r>
      <w:r>
        <w:rPr>
          <w:rFonts w:ascii="MS Gothic"/>
          <w:color w:val="B02045"/>
          <w:w w:val="110"/>
        </w:rPr>
        <w:t xml:space="preserve">EntityManagerFactory </w:t>
      </w:r>
      <w:r>
        <w:rPr>
          <w:color w:val="333333"/>
          <w:w w:val="110"/>
        </w:rPr>
        <w:t>that is derived from the bean name.</w:t>
      </w:r>
    </w:p>
    <w:p w14:paraId="10583BE4" w14:textId="77777777" w:rsidR="00A720EB" w:rsidRDefault="0030286B">
      <w:pPr>
        <w:pStyle w:val="a3"/>
        <w:spacing w:before="248" w:line="285" w:lineRule="auto"/>
        <w:ind w:left="124" w:right="122"/>
        <w:jc w:val="both"/>
      </w:pPr>
      <w:r>
        <w:rPr>
          <w:color w:val="333333"/>
          <w:spacing w:val="-4"/>
          <w:w w:val="110"/>
        </w:rPr>
        <w:t xml:space="preserve">To </w:t>
      </w:r>
      <w:r>
        <w:rPr>
          <w:color w:val="333333"/>
          <w:w w:val="110"/>
        </w:rPr>
        <w:t xml:space="preserve">enable statistics, the standard </w:t>
      </w:r>
      <w:r>
        <w:rPr>
          <w:color w:val="333333"/>
          <w:spacing w:val="-4"/>
          <w:w w:val="110"/>
        </w:rPr>
        <w:t xml:space="preserve">JPA </w:t>
      </w:r>
      <w:r>
        <w:rPr>
          <w:color w:val="333333"/>
          <w:w w:val="110"/>
        </w:rPr>
        <w:t xml:space="preserve">property </w:t>
      </w:r>
      <w:proofErr w:type="gramStart"/>
      <w:r>
        <w:rPr>
          <w:rFonts w:ascii="MS Gothic"/>
          <w:color w:val="B02045"/>
          <w:w w:val="110"/>
        </w:rPr>
        <w:t>hibernate.generate</w:t>
      </w:r>
      <w:proofErr w:type="gramEnd"/>
      <w:r>
        <w:rPr>
          <w:rFonts w:ascii="MS Gothic"/>
          <w:color w:val="B02045"/>
          <w:w w:val="110"/>
        </w:rPr>
        <w:t>_statistics</w:t>
      </w:r>
      <w:r>
        <w:rPr>
          <w:rFonts w:ascii="MS Gothic"/>
          <w:color w:val="B02045"/>
          <w:spacing w:val="-46"/>
          <w:w w:val="110"/>
        </w:rPr>
        <w:t xml:space="preserve"> </w:t>
      </w:r>
      <w:r>
        <w:rPr>
          <w:color w:val="333333"/>
          <w:w w:val="110"/>
        </w:rPr>
        <w:t xml:space="preserve">must be set to </w:t>
      </w:r>
      <w:r>
        <w:rPr>
          <w:rFonts w:ascii="MS Gothic"/>
          <w:color w:val="B02045"/>
          <w:w w:val="110"/>
        </w:rPr>
        <w:t>true</w:t>
      </w:r>
      <w:r>
        <w:rPr>
          <w:color w:val="333333"/>
          <w:w w:val="110"/>
        </w:rPr>
        <w:t xml:space="preserve">. </w:t>
      </w:r>
      <w:r>
        <w:rPr>
          <w:color w:val="333333"/>
          <w:spacing w:val="-6"/>
          <w:w w:val="110"/>
        </w:rPr>
        <w:t xml:space="preserve">You </w:t>
      </w:r>
      <w:r>
        <w:rPr>
          <w:color w:val="333333"/>
          <w:w w:val="110"/>
        </w:rPr>
        <w:t xml:space="preserve">can enable that on the auto-configured </w:t>
      </w:r>
      <w:r>
        <w:rPr>
          <w:rFonts w:ascii="MS Gothic"/>
          <w:color w:val="B02045"/>
          <w:w w:val="110"/>
        </w:rPr>
        <w:t xml:space="preserve">EntityManagerFactory </w:t>
      </w:r>
      <w:r>
        <w:rPr>
          <w:color w:val="333333"/>
          <w:w w:val="110"/>
        </w:rPr>
        <w:t>as shown in the following example:</w:t>
      </w:r>
    </w:p>
    <w:p w14:paraId="23FE5ACB" w14:textId="77777777" w:rsidR="00A720EB" w:rsidRDefault="00E10349">
      <w:pPr>
        <w:pStyle w:val="a3"/>
        <w:spacing w:before="1"/>
        <w:rPr>
          <w:sz w:val="15"/>
        </w:rPr>
      </w:pPr>
      <w:r>
        <w:pict w14:anchorId="2B5AB16E">
          <v:group id="_x0000_s1960" style="position:absolute;margin-left:47.85pt;margin-top:10.85pt;width:499.55pt;height:37.5pt;z-index:-15187968;mso-wrap-distance-left:0;mso-wrap-distance-right:0;mso-position-horizontal-relative:page" coordorigin="957,217" coordsize="9991,750">
            <v:shape id="_x0000_s1963" style="position:absolute;left:964;top:224;width:9976;height:735" coordorigin="965,224" coordsize="9976,735" path="m10861,224r-9816,l1014,231r-26,17l971,273r-6,31l965,879r6,31l988,936r26,17l1045,959r9816,l10892,953r25,-17l10935,910r6,-31l10941,304r-6,-31l10917,248r-25,-17l10861,224xe" fillcolor="#f5f5f5" stroked="f">
              <v:path arrowok="t"/>
            </v:shape>
            <v:shape id="_x0000_s1962" style="position:absolute;left:964;top:224;width:9976;height:735" coordorigin="965,224" coordsize="9976,735" path="m1045,224r9816,l10892,231r25,17l10935,273r6,31l10941,879r-6,31l10917,936r-25,17l10861,959r-9816,l1014,953,988,936,971,910r-6,-31l965,304r6,-31l988,248r26,-17l1045,224xe" filled="f" strokecolor="#ccc">
              <v:path arrowok="t"/>
            </v:shape>
            <v:shape id="_x0000_s1961" type="#_x0000_t202" style="position:absolute;left:984;top:239;width:9938;height:704" filled="f" stroked="f">
              <v:textbox inset="0,0,0,0">
                <w:txbxContent>
                  <w:p w14:paraId="53B65D7C" w14:textId="77777777" w:rsidR="00711A16" w:rsidRDefault="00711A16">
                    <w:pPr>
                      <w:spacing w:before="221"/>
                      <w:ind w:left="200"/>
                      <w:rPr>
                        <w:rFonts w:ascii="MS Gothic"/>
                      </w:rPr>
                    </w:pPr>
                    <w:proofErr w:type="gramStart"/>
                    <w:r>
                      <w:rPr>
                        <w:rFonts w:ascii="MS Gothic"/>
                        <w:color w:val="333333"/>
                      </w:rPr>
                      <w:t>spring.jpa.properties</w:t>
                    </w:r>
                    <w:proofErr w:type="gramEnd"/>
                    <w:r>
                      <w:rPr>
                        <w:rFonts w:ascii="MS Gothic"/>
                        <w:color w:val="333333"/>
                      </w:rPr>
                      <w:t>.hibernate.generate_statistics=true</w:t>
                    </w:r>
                  </w:p>
                </w:txbxContent>
              </v:textbox>
            </v:shape>
            <w10:wrap type="topAndBottom" anchorx="page"/>
          </v:group>
        </w:pict>
      </w:r>
    </w:p>
    <w:p w14:paraId="6FEDE3BA" w14:textId="77777777" w:rsidR="00A720EB" w:rsidRDefault="00A720EB">
      <w:pPr>
        <w:pStyle w:val="a3"/>
        <w:spacing w:before="11"/>
        <w:rPr>
          <w:sz w:val="16"/>
        </w:rPr>
      </w:pPr>
    </w:p>
    <w:p w14:paraId="14464970" w14:textId="77777777" w:rsidR="00A720EB" w:rsidRDefault="0030286B">
      <w:pPr>
        <w:pStyle w:val="4"/>
        <w:spacing w:before="104"/>
      </w:pPr>
      <w:bookmarkStart w:id="652" w:name="RabbitMQ_Metrics"/>
      <w:bookmarkEnd w:id="652"/>
      <w:r>
        <w:rPr>
          <w:color w:val="333333"/>
          <w:w w:val="105"/>
        </w:rPr>
        <w:t>RabbitMQ Metrics</w:t>
      </w:r>
    </w:p>
    <w:p w14:paraId="677C12B2" w14:textId="77777777" w:rsidR="00A720EB" w:rsidRDefault="00A720EB">
      <w:pPr>
        <w:pStyle w:val="a3"/>
        <w:spacing w:before="11"/>
        <w:rPr>
          <w:rFonts w:ascii="Palatino Linotype"/>
          <w:b/>
          <w:sz w:val="18"/>
        </w:rPr>
      </w:pPr>
    </w:p>
    <w:p w14:paraId="1DE61BAB" w14:textId="77777777" w:rsidR="00A720EB" w:rsidRDefault="0030286B">
      <w:pPr>
        <w:pStyle w:val="a3"/>
        <w:spacing w:line="297" w:lineRule="auto"/>
        <w:ind w:left="124" w:right="135"/>
        <w:jc w:val="both"/>
      </w:pPr>
      <w:r>
        <w:rPr>
          <w:color w:val="333333"/>
          <w:w w:val="110"/>
        </w:rPr>
        <w:t xml:space="preserve">Auto-configuration will enable the instrumentation of all available RabbitMQ connection factories with a metric named </w:t>
      </w:r>
      <w:r>
        <w:rPr>
          <w:rFonts w:ascii="MS Gothic"/>
          <w:color w:val="B02045"/>
          <w:w w:val="110"/>
        </w:rPr>
        <w:t>rabbitmq</w:t>
      </w:r>
      <w:r>
        <w:rPr>
          <w:color w:val="333333"/>
          <w:w w:val="110"/>
        </w:rPr>
        <w:t>.</w:t>
      </w:r>
    </w:p>
    <w:p w14:paraId="1FC04345" w14:textId="77777777" w:rsidR="00A720EB" w:rsidRDefault="00A720EB">
      <w:pPr>
        <w:pStyle w:val="a3"/>
        <w:spacing w:before="11"/>
        <w:rPr>
          <w:sz w:val="24"/>
        </w:rPr>
      </w:pPr>
    </w:p>
    <w:p w14:paraId="2DE160DF" w14:textId="77777777" w:rsidR="00A720EB" w:rsidRDefault="0030286B">
      <w:pPr>
        <w:pStyle w:val="4"/>
      </w:pPr>
      <w:bookmarkStart w:id="653" w:name="Kafka_Metrics"/>
      <w:bookmarkEnd w:id="653"/>
      <w:r>
        <w:rPr>
          <w:color w:val="333333"/>
          <w:w w:val="110"/>
        </w:rPr>
        <w:t>Kafka Metrics</w:t>
      </w:r>
    </w:p>
    <w:p w14:paraId="3A4E0455" w14:textId="77777777" w:rsidR="00A720EB" w:rsidRDefault="0030286B">
      <w:pPr>
        <w:pStyle w:val="a3"/>
        <w:spacing w:before="244" w:line="300" w:lineRule="auto"/>
        <w:ind w:left="124" w:right="122"/>
        <w:jc w:val="both"/>
      </w:pPr>
      <w:r>
        <w:rPr>
          <w:color w:val="333333"/>
          <w:w w:val="105"/>
        </w:rPr>
        <w:t xml:space="preserve">Auto-configuration will register a </w:t>
      </w:r>
      <w:r>
        <w:rPr>
          <w:rFonts w:ascii="MS Gothic"/>
          <w:color w:val="B02045"/>
          <w:w w:val="105"/>
        </w:rPr>
        <w:t xml:space="preserve">MicrometerConsumerListener </w:t>
      </w:r>
      <w:r>
        <w:rPr>
          <w:color w:val="333333"/>
          <w:w w:val="105"/>
        </w:rPr>
        <w:t xml:space="preserve">and </w:t>
      </w:r>
      <w:r>
        <w:rPr>
          <w:rFonts w:ascii="MS Gothic"/>
          <w:color w:val="B02045"/>
          <w:w w:val="105"/>
        </w:rPr>
        <w:t xml:space="preserve">MicrometerProducerListener </w:t>
      </w:r>
      <w:r>
        <w:rPr>
          <w:color w:val="333333"/>
          <w:w w:val="105"/>
        </w:rPr>
        <w:t xml:space="preserve">for </w:t>
      </w:r>
      <w:r>
        <w:rPr>
          <w:color w:val="333333"/>
          <w:w w:val="110"/>
        </w:rPr>
        <w:t xml:space="preserve">the auto-configured consumer factory and producer factory respectively. For more details refer to </w:t>
      </w:r>
      <w:hyperlink r:id="rId520" w:anchor="micrometer-native">
        <w:r>
          <w:rPr>
            <w:color w:val="418BCA"/>
            <w:w w:val="110"/>
          </w:rPr>
          <w:t xml:space="preserve">Micrometer Native Metrics </w:t>
        </w:r>
      </w:hyperlink>
      <w:r>
        <w:rPr>
          <w:color w:val="333333"/>
          <w:w w:val="110"/>
        </w:rPr>
        <w:t>section of the Spring Kafka documentation.</w:t>
      </w:r>
    </w:p>
    <w:p w14:paraId="5E0908FE" w14:textId="77777777" w:rsidR="00A720EB" w:rsidRDefault="00A720EB">
      <w:pPr>
        <w:pStyle w:val="a3"/>
        <w:spacing w:before="1"/>
        <w:rPr>
          <w:sz w:val="26"/>
        </w:rPr>
      </w:pPr>
    </w:p>
    <w:p w14:paraId="1BAAE97E" w14:textId="77777777" w:rsidR="00A720EB" w:rsidRDefault="0030286B">
      <w:pPr>
        <w:pStyle w:val="3"/>
        <w:numPr>
          <w:ilvl w:val="2"/>
          <w:numId w:val="24"/>
        </w:numPr>
        <w:tabs>
          <w:tab w:val="left" w:pos="858"/>
        </w:tabs>
        <w:spacing w:before="1"/>
        <w:ind w:hanging="734"/>
      </w:pPr>
      <w:bookmarkStart w:id="654" w:name="5.6.4._Registering_custom_metrics"/>
      <w:bookmarkStart w:id="655" w:name="_Toc54423864"/>
      <w:bookmarkEnd w:id="654"/>
      <w:r>
        <w:rPr>
          <w:color w:val="333333"/>
          <w:w w:val="110"/>
        </w:rPr>
        <w:t>Registering custom</w:t>
      </w:r>
      <w:r>
        <w:rPr>
          <w:color w:val="333333"/>
          <w:spacing w:val="-10"/>
          <w:w w:val="110"/>
        </w:rPr>
        <w:t xml:space="preserve"> </w:t>
      </w:r>
      <w:r>
        <w:rPr>
          <w:color w:val="333333"/>
          <w:w w:val="110"/>
        </w:rPr>
        <w:t>metrics</w:t>
      </w:r>
      <w:bookmarkEnd w:id="655"/>
    </w:p>
    <w:p w14:paraId="06CC4BDC" w14:textId="77777777" w:rsidR="00A720EB" w:rsidRDefault="0030286B">
      <w:pPr>
        <w:pStyle w:val="a3"/>
        <w:spacing w:before="243" w:line="290" w:lineRule="auto"/>
        <w:ind w:left="124" w:right="126"/>
        <w:jc w:val="both"/>
      </w:pPr>
      <w:r>
        <w:rPr>
          <w:color w:val="333333"/>
          <w:w w:val="110"/>
        </w:rPr>
        <w:t xml:space="preserve">To register custom metrics, inject </w:t>
      </w:r>
      <w:r>
        <w:rPr>
          <w:rFonts w:ascii="MS Gothic"/>
          <w:color w:val="B02045"/>
          <w:w w:val="110"/>
        </w:rPr>
        <w:t xml:space="preserve">MeterRegistry </w:t>
      </w:r>
      <w:r>
        <w:rPr>
          <w:color w:val="333333"/>
          <w:w w:val="110"/>
        </w:rPr>
        <w:t>into your component, as shown in the following example:</w:t>
      </w:r>
    </w:p>
    <w:p w14:paraId="6686FC87" w14:textId="77777777" w:rsidR="00A720EB" w:rsidRDefault="00E10349">
      <w:pPr>
        <w:pStyle w:val="a3"/>
        <w:spacing w:before="7"/>
        <w:rPr>
          <w:sz w:val="14"/>
        </w:rPr>
      </w:pPr>
      <w:r>
        <w:pict w14:anchorId="51558E0B">
          <v:group id="_x0000_s1956" style="position:absolute;margin-left:47.85pt;margin-top:10.55pt;width:499.55pt;height:184.9pt;z-index:-15187456;mso-wrap-distance-left:0;mso-wrap-distance-right:0;mso-position-horizontal-relative:page" coordorigin="957,211" coordsize="9991,3698">
            <v:shape id="_x0000_s1959" style="position:absolute;left:964;top:218;width:9976;height:3683" coordorigin="965,219" coordsize="9976,3683" path="m10861,219r-9816,l1014,225r-26,17l971,268r-6,31l965,3822r6,31l988,3878r26,17l1045,3902r9816,l10892,3895r25,-17l10935,3853r6,-31l10941,299r-6,-31l10917,242r-25,-17l10861,219xe" fillcolor="#f5f5f5" stroked="f">
              <v:path arrowok="t"/>
            </v:shape>
            <v:shape id="_x0000_s1958" style="position:absolute;left:964;top:218;width:9976;height:3683" coordorigin="965,219" coordsize="9976,3683" path="m1045,219r9816,l10892,225r25,17l10935,268r6,31l10941,3822r-6,31l10917,3878r-25,17l10861,3902r-9816,l1014,3895r-26,-17l971,3853r-6,-31l965,299r6,-31l988,242r26,-17l1045,219xe" filled="f" strokecolor="#ccc">
              <v:path arrowok="t"/>
            </v:shape>
            <v:shape id="_x0000_s1957" type="#_x0000_t202" style="position:absolute;left:984;top:234;width:9938;height:3652" filled="f" stroked="f">
              <v:textbox inset="0,0,0,0">
                <w:txbxContent>
                  <w:p w14:paraId="6204B745" w14:textId="77777777" w:rsidR="00711A16" w:rsidRDefault="00711A16">
                    <w:pPr>
                      <w:spacing w:before="221"/>
                      <w:ind w:left="200"/>
                      <w:rPr>
                        <w:rFonts w:ascii="MS Gothic"/>
                      </w:rPr>
                    </w:pPr>
                    <w:r>
                      <w:rPr>
                        <w:rFonts w:ascii="MS Gothic"/>
                        <w:color w:val="333333"/>
                      </w:rPr>
                      <w:t>class Dictionary {</w:t>
                    </w:r>
                  </w:p>
                  <w:p w14:paraId="69F7BF3C" w14:textId="77777777" w:rsidR="00711A16" w:rsidRDefault="00711A16">
                    <w:pPr>
                      <w:spacing w:line="590" w:lineRule="atLeast"/>
                      <w:ind w:left="640" w:right="2238"/>
                      <w:rPr>
                        <w:rFonts w:ascii="MS Gothic"/>
                      </w:rPr>
                    </w:pPr>
                    <w:r>
                      <w:rPr>
                        <w:rFonts w:ascii="MS Gothic"/>
                        <w:color w:val="333333"/>
                      </w:rPr>
                      <w:t>private final List&lt;String&gt; words = new CopyOnWriteArrayList&lt;</w:t>
                    </w:r>
                    <w:proofErr w:type="gramStart"/>
                    <w:r>
                      <w:rPr>
                        <w:rFonts w:ascii="MS Gothic"/>
                        <w:color w:val="333333"/>
                      </w:rPr>
                      <w:t>&gt;(</w:t>
                    </w:r>
                    <w:proofErr w:type="gramEnd"/>
                    <w:r>
                      <w:rPr>
                        <w:rFonts w:ascii="MS Gothic"/>
                        <w:color w:val="333333"/>
                      </w:rPr>
                      <w:t>); Dictionary(MeterRegistry registry) {</w:t>
                    </w:r>
                  </w:p>
                  <w:p w14:paraId="60705396" w14:textId="77777777" w:rsidR="00711A16" w:rsidRDefault="00711A16">
                    <w:pPr>
                      <w:spacing w:before="12"/>
                      <w:ind w:left="1080"/>
                      <w:rPr>
                        <w:rFonts w:ascii="MS Gothic"/>
                      </w:rPr>
                    </w:pPr>
                    <w:proofErr w:type="gramStart"/>
                    <w:r>
                      <w:rPr>
                        <w:rFonts w:ascii="MS Gothic"/>
                        <w:color w:val="333333"/>
                      </w:rPr>
                      <w:t>registry.gaugeCollectionSize</w:t>
                    </w:r>
                    <w:proofErr w:type="gramEnd"/>
                    <w:r>
                      <w:rPr>
                        <w:rFonts w:ascii="MS Gothic"/>
                        <w:color w:val="333333"/>
                      </w:rPr>
                      <w:t>("dictionary.size", Tags.empty(), this.words);</w:t>
                    </w:r>
                  </w:p>
                  <w:p w14:paraId="504385D2" w14:textId="77777777" w:rsidR="00711A16" w:rsidRDefault="00711A16">
                    <w:pPr>
                      <w:spacing w:before="13"/>
                      <w:ind w:left="640"/>
                      <w:rPr>
                        <w:rFonts w:ascii="MS Gothic"/>
                      </w:rPr>
                    </w:pPr>
                    <w:r>
                      <w:rPr>
                        <w:rFonts w:ascii="MS Gothic"/>
                        <w:color w:val="333333"/>
                      </w:rPr>
                      <w:t>}</w:t>
                    </w:r>
                  </w:p>
                  <w:p w14:paraId="4971AB72" w14:textId="77777777" w:rsidR="00711A16" w:rsidRDefault="00711A16">
                    <w:pPr>
                      <w:rPr>
                        <w:rFonts w:ascii="MS Gothic"/>
                        <w:sz w:val="24"/>
                      </w:rPr>
                    </w:pPr>
                  </w:p>
                  <w:p w14:paraId="28CB0C4F" w14:textId="77777777" w:rsidR="00711A16" w:rsidRDefault="00711A16">
                    <w:pPr>
                      <w:ind w:left="640"/>
                      <w:rPr>
                        <w:rFonts w:ascii="MS Gothic" w:hAnsi="MS Gothic"/>
                      </w:rPr>
                    </w:pPr>
                    <w:r>
                      <w:rPr>
                        <w:rFonts w:ascii="MS Gothic" w:hAnsi="MS Gothic"/>
                        <w:color w:val="333333"/>
                      </w:rPr>
                      <w:t>// …</w:t>
                    </w:r>
                  </w:p>
                  <w:p w14:paraId="10A3E8A7" w14:textId="77777777" w:rsidR="00711A16" w:rsidRDefault="00711A16">
                    <w:pPr>
                      <w:rPr>
                        <w:rFonts w:ascii="MS Gothic"/>
                        <w:sz w:val="24"/>
                      </w:rPr>
                    </w:pPr>
                  </w:p>
                  <w:p w14:paraId="7B20F9C0" w14:textId="77777777" w:rsidR="00711A16" w:rsidRDefault="00711A16">
                    <w:pPr>
                      <w:ind w:left="200"/>
                      <w:rPr>
                        <w:rFonts w:ascii="MS Gothic"/>
                      </w:rPr>
                    </w:pPr>
                    <w:r>
                      <w:rPr>
                        <w:rFonts w:ascii="MS Gothic"/>
                        <w:color w:val="333333"/>
                      </w:rPr>
                      <w:t>}</w:t>
                    </w:r>
                  </w:p>
                </w:txbxContent>
              </v:textbox>
            </v:shape>
            <w10:wrap type="topAndBottom" anchorx="page"/>
          </v:group>
        </w:pict>
      </w:r>
    </w:p>
    <w:p w14:paraId="6392BD6E" w14:textId="77777777" w:rsidR="00A720EB" w:rsidRDefault="00A720EB">
      <w:pPr>
        <w:pStyle w:val="a3"/>
        <w:spacing w:before="11"/>
        <w:rPr>
          <w:sz w:val="9"/>
        </w:rPr>
      </w:pPr>
    </w:p>
    <w:p w14:paraId="0F79FE81" w14:textId="77777777" w:rsidR="00A720EB" w:rsidRDefault="0030286B">
      <w:pPr>
        <w:pStyle w:val="a3"/>
        <w:spacing w:before="115" w:line="290" w:lineRule="auto"/>
        <w:ind w:left="124"/>
      </w:pPr>
      <w:r>
        <w:rPr>
          <w:color w:val="333333"/>
          <w:w w:val="110"/>
        </w:rPr>
        <w:t xml:space="preserve">If your metrics depend on other beans, it is recommended that you use a </w:t>
      </w:r>
      <w:r>
        <w:rPr>
          <w:rFonts w:ascii="MS Gothic"/>
          <w:color w:val="B02045"/>
          <w:w w:val="110"/>
        </w:rPr>
        <w:t xml:space="preserve">MeterBinder </w:t>
      </w:r>
      <w:r>
        <w:rPr>
          <w:color w:val="333333"/>
          <w:w w:val="110"/>
        </w:rPr>
        <w:t xml:space="preserve">to </w:t>
      </w:r>
      <w:proofErr w:type="gramStart"/>
      <w:r>
        <w:rPr>
          <w:color w:val="333333"/>
          <w:w w:val="110"/>
        </w:rPr>
        <w:t>register  them</w:t>
      </w:r>
      <w:proofErr w:type="gramEnd"/>
      <w:r>
        <w:rPr>
          <w:color w:val="333333"/>
          <w:w w:val="110"/>
        </w:rPr>
        <w:t>, as shown in the following example:</w:t>
      </w:r>
    </w:p>
    <w:p w14:paraId="562550A9" w14:textId="77777777" w:rsidR="00A720EB" w:rsidRDefault="00A720EB">
      <w:pPr>
        <w:spacing w:line="290" w:lineRule="auto"/>
        <w:sectPr w:rsidR="00A720EB">
          <w:pgSz w:w="11910" w:h="16840"/>
          <w:pgMar w:top="620" w:right="840" w:bottom="520" w:left="840" w:header="0" w:footer="323" w:gutter="0"/>
          <w:cols w:space="720"/>
        </w:sectPr>
      </w:pPr>
    </w:p>
    <w:p w14:paraId="70944D44" w14:textId="77777777" w:rsidR="00A720EB" w:rsidRDefault="00E10349">
      <w:pPr>
        <w:pStyle w:val="a3"/>
        <w:ind w:left="116"/>
        <w:rPr>
          <w:sz w:val="20"/>
        </w:rPr>
      </w:pPr>
      <w:r>
        <w:rPr>
          <w:sz w:val="20"/>
        </w:rPr>
      </w:r>
      <w:r>
        <w:rPr>
          <w:sz w:val="20"/>
        </w:rPr>
        <w:pict w14:anchorId="1105251F">
          <v:group id="_x0000_s1952" style="width:499.55pt;height:81.75pt;mso-position-horizontal-relative:char;mso-position-vertical-relative:line" coordsize="9991,1635">
            <v:shape id="_x0000_s1955" style="position:absolute;left:7;top:7;width:9976;height:1620" coordorigin="8,8" coordsize="9976,1620" path="m9904,8l88,8,56,14,31,31,14,56,8,88r,1459l14,1578r17,25l56,1620r32,7l9904,1627r31,-7l9960,1603r17,-25l9984,1547r,-1459l9977,56,9960,31,9935,14,9904,8xe" fillcolor="#f5f5f5" stroked="f">
              <v:path arrowok="t"/>
            </v:shape>
            <v:shape id="_x0000_s1954" style="position:absolute;left:7;top:7;width:9976;height:1620" coordorigin="8,8" coordsize="9976,1620" path="m88,8r9816,l9935,14r25,17l9977,56r7,32l9984,1547r-7,31l9960,1603r-25,17l9904,1627r-9816,l56,1620,31,1603,14,1578,8,1547,8,88,14,56,31,31,56,14,88,8xe" filled="f" strokecolor="#ccc">
              <v:path arrowok="t"/>
            </v:shape>
            <v:shape id="_x0000_s1953" type="#_x0000_t202" style="position:absolute;left:26;top:22;width:9938;height:1589" filled="f" stroked="f">
              <v:textbox inset="0,0,0,0">
                <w:txbxContent>
                  <w:p w14:paraId="75213951" w14:textId="77777777" w:rsidR="00711A16" w:rsidRDefault="00711A16">
                    <w:pPr>
                      <w:spacing w:before="221"/>
                      <w:ind w:left="200"/>
                      <w:rPr>
                        <w:rFonts w:ascii="MS Gothic"/>
                      </w:rPr>
                    </w:pPr>
                    <w:r>
                      <w:rPr>
                        <w:rFonts w:ascii="MS Gothic"/>
                        <w:color w:val="333333"/>
                      </w:rPr>
                      <w:t>@Bean</w:t>
                    </w:r>
                  </w:p>
                  <w:p w14:paraId="16A0D75B" w14:textId="77777777" w:rsidR="00711A16" w:rsidRDefault="00711A16">
                    <w:pPr>
                      <w:spacing w:before="13"/>
                      <w:ind w:left="200"/>
                      <w:rPr>
                        <w:rFonts w:ascii="MS Gothic"/>
                      </w:rPr>
                    </w:pPr>
                    <w:r>
                      <w:rPr>
                        <w:rFonts w:ascii="MS Gothic"/>
                        <w:color w:val="333333"/>
                      </w:rPr>
                      <w:t xml:space="preserve">MeterBinder </w:t>
                    </w:r>
                    <w:proofErr w:type="gramStart"/>
                    <w:r>
                      <w:rPr>
                        <w:rFonts w:ascii="MS Gothic"/>
                        <w:color w:val="333333"/>
                      </w:rPr>
                      <w:t>queueSize(</w:t>
                    </w:r>
                    <w:proofErr w:type="gramEnd"/>
                    <w:r>
                      <w:rPr>
                        <w:rFonts w:ascii="MS Gothic"/>
                        <w:color w:val="333333"/>
                      </w:rPr>
                      <w:t>Queue queue) {</w:t>
                    </w:r>
                  </w:p>
                  <w:p w14:paraId="33728C82" w14:textId="77777777" w:rsidR="00711A16" w:rsidRDefault="00711A16">
                    <w:pPr>
                      <w:spacing w:before="13"/>
                      <w:ind w:left="640"/>
                      <w:rPr>
                        <w:rFonts w:ascii="MS Gothic"/>
                      </w:rPr>
                    </w:pPr>
                    <w:r>
                      <w:rPr>
                        <w:rFonts w:ascii="MS Gothic"/>
                        <w:color w:val="333333"/>
                      </w:rPr>
                      <w:t xml:space="preserve">return (registry) -&gt; Gauge.builder("queueSize", </w:t>
                    </w:r>
                    <w:proofErr w:type="gramStart"/>
                    <w:r>
                      <w:rPr>
                        <w:rFonts w:ascii="MS Gothic"/>
                        <w:color w:val="333333"/>
                      </w:rPr>
                      <w:t>queue::</w:t>
                    </w:r>
                    <w:proofErr w:type="gramEnd"/>
                    <w:r>
                      <w:rPr>
                        <w:rFonts w:ascii="MS Gothic"/>
                        <w:color w:val="333333"/>
                      </w:rPr>
                      <w:t>size).register(registry);</w:t>
                    </w:r>
                  </w:p>
                  <w:p w14:paraId="4C8537E2" w14:textId="77777777" w:rsidR="00711A16" w:rsidRDefault="00711A16">
                    <w:pPr>
                      <w:spacing w:before="13"/>
                      <w:ind w:left="200"/>
                      <w:rPr>
                        <w:rFonts w:ascii="MS Gothic"/>
                      </w:rPr>
                    </w:pPr>
                    <w:r>
                      <w:rPr>
                        <w:rFonts w:ascii="MS Gothic"/>
                        <w:color w:val="333333"/>
                      </w:rPr>
                      <w:t>}</w:t>
                    </w:r>
                  </w:p>
                </w:txbxContent>
              </v:textbox>
            </v:shape>
            <w10:anchorlock/>
          </v:group>
        </w:pict>
      </w:r>
    </w:p>
    <w:p w14:paraId="04651CCC" w14:textId="77777777" w:rsidR="00A720EB" w:rsidRDefault="00A720EB">
      <w:pPr>
        <w:pStyle w:val="a3"/>
        <w:spacing w:before="11"/>
        <w:rPr>
          <w:sz w:val="8"/>
        </w:rPr>
      </w:pPr>
    </w:p>
    <w:p w14:paraId="360E7196" w14:textId="77777777" w:rsidR="00A720EB" w:rsidRDefault="0030286B">
      <w:pPr>
        <w:pStyle w:val="a3"/>
        <w:spacing w:before="116" w:line="290" w:lineRule="auto"/>
        <w:ind w:left="124" w:right="124"/>
        <w:jc w:val="both"/>
      </w:pPr>
      <w:r>
        <w:rPr>
          <w:color w:val="333333"/>
          <w:w w:val="110"/>
        </w:rPr>
        <w:t xml:space="preserve">Using a </w:t>
      </w:r>
      <w:r>
        <w:rPr>
          <w:rFonts w:ascii="MS Gothic" w:hAnsi="MS Gothic"/>
          <w:color w:val="B02045"/>
          <w:w w:val="110"/>
        </w:rPr>
        <w:t xml:space="preserve">MeterBinder </w:t>
      </w:r>
      <w:r>
        <w:rPr>
          <w:color w:val="333333"/>
          <w:w w:val="110"/>
        </w:rPr>
        <w:t xml:space="preserve">ensures that the correct dependency relationships are set up and that the bean is available when the metric’s value is retrieved. By default, metrics from all </w:t>
      </w:r>
      <w:r>
        <w:rPr>
          <w:rFonts w:ascii="MS Gothic" w:hAnsi="MS Gothic"/>
          <w:color w:val="B02045"/>
          <w:w w:val="110"/>
        </w:rPr>
        <w:t xml:space="preserve">MeterBinder </w:t>
      </w:r>
      <w:r>
        <w:rPr>
          <w:color w:val="333333"/>
          <w:w w:val="110"/>
        </w:rPr>
        <w:t xml:space="preserve">beans will be automatically bound to the Spring-managed </w:t>
      </w:r>
      <w:r>
        <w:rPr>
          <w:rFonts w:ascii="MS Gothic" w:hAnsi="MS Gothic"/>
          <w:color w:val="B02045"/>
          <w:w w:val="110"/>
        </w:rPr>
        <w:t>MeterRegistry</w:t>
      </w:r>
      <w:r>
        <w:rPr>
          <w:color w:val="333333"/>
          <w:w w:val="110"/>
        </w:rPr>
        <w:t xml:space="preserve">. A </w:t>
      </w:r>
      <w:r>
        <w:rPr>
          <w:rFonts w:ascii="MS Gothic" w:hAnsi="MS Gothic"/>
          <w:color w:val="B02045"/>
          <w:w w:val="110"/>
        </w:rPr>
        <w:t xml:space="preserve">MeterBinder </w:t>
      </w:r>
      <w:r>
        <w:rPr>
          <w:color w:val="333333"/>
          <w:w w:val="110"/>
        </w:rPr>
        <w:t>implementation can also be useful if you find that you repeatedly instrument a suite of metrics across components or applications.</w:t>
      </w:r>
    </w:p>
    <w:p w14:paraId="6328592A" w14:textId="77777777" w:rsidR="00A720EB" w:rsidRDefault="00A720EB">
      <w:pPr>
        <w:pStyle w:val="a3"/>
        <w:rPr>
          <w:sz w:val="27"/>
        </w:rPr>
      </w:pPr>
    </w:p>
    <w:p w14:paraId="1DF179A6" w14:textId="77777777" w:rsidR="00A720EB" w:rsidRDefault="0030286B">
      <w:pPr>
        <w:pStyle w:val="3"/>
        <w:numPr>
          <w:ilvl w:val="2"/>
          <w:numId w:val="24"/>
        </w:numPr>
        <w:tabs>
          <w:tab w:val="left" w:pos="858"/>
        </w:tabs>
        <w:ind w:hanging="734"/>
      </w:pPr>
      <w:bookmarkStart w:id="656" w:name="5.6.5._Customizing_individual_metrics"/>
      <w:bookmarkStart w:id="657" w:name="_Toc54423865"/>
      <w:bookmarkEnd w:id="656"/>
      <w:r>
        <w:rPr>
          <w:color w:val="333333"/>
          <w:w w:val="110"/>
        </w:rPr>
        <w:t>Customizing individual</w:t>
      </w:r>
      <w:r>
        <w:rPr>
          <w:color w:val="333333"/>
          <w:spacing w:val="-12"/>
          <w:w w:val="110"/>
        </w:rPr>
        <w:t xml:space="preserve"> </w:t>
      </w:r>
      <w:r>
        <w:rPr>
          <w:color w:val="333333"/>
          <w:w w:val="110"/>
        </w:rPr>
        <w:t>metrics</w:t>
      </w:r>
      <w:bookmarkEnd w:id="657"/>
    </w:p>
    <w:p w14:paraId="53D4A387" w14:textId="77777777" w:rsidR="00A720EB" w:rsidRDefault="0030286B">
      <w:pPr>
        <w:pStyle w:val="a3"/>
        <w:spacing w:before="243" w:line="280" w:lineRule="auto"/>
        <w:ind w:left="124" w:right="124"/>
        <w:jc w:val="both"/>
      </w:pPr>
      <w:r>
        <w:rPr>
          <w:color w:val="333333"/>
          <w:w w:val="110"/>
        </w:rPr>
        <w:t xml:space="preserve">If you need to apply customizations to specific </w:t>
      </w:r>
      <w:r>
        <w:rPr>
          <w:rFonts w:ascii="MS Gothic"/>
          <w:color w:val="B02045"/>
          <w:w w:val="110"/>
        </w:rPr>
        <w:t xml:space="preserve">Meter </w:t>
      </w:r>
      <w:r>
        <w:rPr>
          <w:color w:val="333333"/>
          <w:w w:val="110"/>
        </w:rPr>
        <w:t xml:space="preserve">instances you can use the </w:t>
      </w:r>
      <w:proofErr w:type="gramStart"/>
      <w:r>
        <w:rPr>
          <w:rFonts w:ascii="MS Gothic"/>
          <w:color w:val="B02045"/>
          <w:w w:val="105"/>
        </w:rPr>
        <w:t>io.micrometer</w:t>
      </w:r>
      <w:proofErr w:type="gramEnd"/>
      <w:r>
        <w:rPr>
          <w:rFonts w:ascii="MS Gothic"/>
          <w:color w:val="B02045"/>
          <w:w w:val="105"/>
        </w:rPr>
        <w:t xml:space="preserve">.core.instrument.config.MeterFilter </w:t>
      </w:r>
      <w:r>
        <w:rPr>
          <w:color w:val="333333"/>
          <w:w w:val="105"/>
        </w:rPr>
        <w:t xml:space="preserve">interface. By default, all </w:t>
      </w:r>
      <w:r>
        <w:rPr>
          <w:rFonts w:ascii="MS Gothic"/>
          <w:color w:val="B02045"/>
          <w:w w:val="105"/>
        </w:rPr>
        <w:t xml:space="preserve">MeterFilter </w:t>
      </w:r>
      <w:r>
        <w:rPr>
          <w:color w:val="333333"/>
          <w:w w:val="105"/>
        </w:rPr>
        <w:t xml:space="preserve">beans will </w:t>
      </w:r>
      <w:r>
        <w:rPr>
          <w:color w:val="333333"/>
          <w:w w:val="110"/>
        </w:rPr>
        <w:t xml:space="preserve">be automatically applied to the micrometer </w:t>
      </w:r>
      <w:r>
        <w:rPr>
          <w:rFonts w:ascii="MS Gothic"/>
          <w:color w:val="B02045"/>
          <w:w w:val="110"/>
        </w:rPr>
        <w:t>MeterRegistry.Config</w:t>
      </w:r>
      <w:r>
        <w:rPr>
          <w:color w:val="333333"/>
          <w:w w:val="110"/>
        </w:rPr>
        <w:t>.</w:t>
      </w:r>
    </w:p>
    <w:p w14:paraId="1F926429" w14:textId="77777777" w:rsidR="00A720EB" w:rsidRDefault="0030286B">
      <w:pPr>
        <w:pStyle w:val="a3"/>
        <w:spacing w:before="243" w:line="280" w:lineRule="auto"/>
        <w:ind w:left="124" w:right="126"/>
        <w:jc w:val="both"/>
      </w:pPr>
      <w:r>
        <w:rPr>
          <w:color w:val="333333"/>
          <w:w w:val="110"/>
        </w:rPr>
        <w:t xml:space="preserve">For example, if you want to rename the </w:t>
      </w:r>
      <w:proofErr w:type="gramStart"/>
      <w:r>
        <w:rPr>
          <w:rFonts w:ascii="MS Gothic"/>
          <w:color w:val="B02045"/>
          <w:w w:val="110"/>
        </w:rPr>
        <w:t>mytag.region</w:t>
      </w:r>
      <w:proofErr w:type="gramEnd"/>
      <w:r>
        <w:rPr>
          <w:rFonts w:ascii="MS Gothic"/>
          <w:color w:val="B02045"/>
          <w:w w:val="110"/>
        </w:rPr>
        <w:t xml:space="preserve"> </w:t>
      </w:r>
      <w:r>
        <w:rPr>
          <w:color w:val="333333"/>
          <w:w w:val="110"/>
        </w:rPr>
        <w:t xml:space="preserve">tag to </w:t>
      </w:r>
      <w:r>
        <w:rPr>
          <w:rFonts w:ascii="MS Gothic"/>
          <w:color w:val="B02045"/>
          <w:w w:val="110"/>
        </w:rPr>
        <w:t xml:space="preserve">mytag.area </w:t>
      </w:r>
      <w:r>
        <w:rPr>
          <w:color w:val="333333"/>
          <w:w w:val="110"/>
        </w:rPr>
        <w:t xml:space="preserve">for all meter IDs beginning with </w:t>
      </w:r>
      <w:r>
        <w:rPr>
          <w:rFonts w:ascii="MS Gothic"/>
          <w:color w:val="B02045"/>
          <w:w w:val="110"/>
        </w:rPr>
        <w:t>com.example</w:t>
      </w:r>
      <w:r>
        <w:rPr>
          <w:color w:val="333333"/>
          <w:w w:val="110"/>
        </w:rPr>
        <w:t>, you can do the following:</w:t>
      </w:r>
    </w:p>
    <w:p w14:paraId="4E1944DF" w14:textId="77777777" w:rsidR="00A720EB" w:rsidRDefault="00E10349">
      <w:pPr>
        <w:pStyle w:val="a3"/>
        <w:spacing w:before="1"/>
        <w:rPr>
          <w:sz w:val="14"/>
        </w:rPr>
      </w:pPr>
      <w:r>
        <w:pict w14:anchorId="0D6DC971">
          <v:group id="_x0000_s1948" style="position:absolute;margin-left:47.85pt;margin-top:10.25pt;width:499.55pt;height:81.75pt;z-index:-15186432;mso-wrap-distance-left:0;mso-wrap-distance-right:0;mso-position-horizontal-relative:page" coordorigin="957,205" coordsize="9991,1635">
            <v:shape id="_x0000_s1951" style="position:absolute;left:964;top:212;width:9976;height:1620" coordorigin="965,212" coordsize="9976,1620" path="m10861,212r-9816,l1014,219r-26,17l971,261r-6,31l965,1752r6,31l988,1808r26,17l1045,1832r9816,l10892,1825r25,-17l10935,1783r6,-31l10941,292r-6,-31l10917,236r-25,-17l10861,212xe" fillcolor="#f5f5f5" stroked="f">
              <v:path arrowok="t"/>
            </v:shape>
            <v:shape id="_x0000_s1950" style="position:absolute;left:964;top:212;width:9976;height:1620" coordorigin="965,212" coordsize="9976,1620" path="m1045,212r9816,l10892,219r25,17l10935,261r6,31l10941,1752r-6,31l10917,1808r-25,17l10861,1832r-9816,l1014,1825r-26,-17l971,1783r-6,-31l965,292r6,-31l988,236r26,-17l1045,212xe" filled="f" strokecolor="#ccc">
              <v:path arrowok="t"/>
            </v:shape>
            <v:shape id="_x0000_s1949" type="#_x0000_t202" style="position:absolute;left:984;top:227;width:9938;height:1589" filled="f" stroked="f">
              <v:textbox inset="0,0,0,0">
                <w:txbxContent>
                  <w:p w14:paraId="63584445" w14:textId="77777777" w:rsidR="00711A16" w:rsidRDefault="00711A16">
                    <w:pPr>
                      <w:spacing w:before="221"/>
                      <w:ind w:left="200"/>
                      <w:rPr>
                        <w:rFonts w:ascii="MS Gothic"/>
                      </w:rPr>
                    </w:pPr>
                    <w:r>
                      <w:rPr>
                        <w:rFonts w:ascii="MS Gothic"/>
                        <w:color w:val="333333"/>
                      </w:rPr>
                      <w:t>@Bean</w:t>
                    </w:r>
                  </w:p>
                  <w:p w14:paraId="4C3FFB62" w14:textId="77777777" w:rsidR="00711A16" w:rsidRDefault="00711A16">
                    <w:pPr>
                      <w:spacing w:before="13"/>
                      <w:ind w:left="200"/>
                      <w:rPr>
                        <w:rFonts w:ascii="MS Gothic"/>
                      </w:rPr>
                    </w:pPr>
                    <w:r>
                      <w:rPr>
                        <w:rFonts w:ascii="MS Gothic"/>
                        <w:color w:val="333333"/>
                      </w:rPr>
                      <w:t xml:space="preserve">public MeterFilter </w:t>
                    </w:r>
                    <w:proofErr w:type="gramStart"/>
                    <w:r>
                      <w:rPr>
                        <w:rFonts w:ascii="MS Gothic"/>
                        <w:color w:val="333333"/>
                      </w:rPr>
                      <w:t>renameRegionTagMeterFilter(</w:t>
                    </w:r>
                    <w:proofErr w:type="gramEnd"/>
                    <w:r>
                      <w:rPr>
                        <w:rFonts w:ascii="MS Gothic"/>
                        <w:color w:val="333333"/>
                      </w:rPr>
                      <w:t>) {</w:t>
                    </w:r>
                  </w:p>
                  <w:p w14:paraId="4D9BC328" w14:textId="77777777" w:rsidR="00711A16" w:rsidRDefault="00711A16">
                    <w:pPr>
                      <w:spacing w:before="13"/>
                      <w:ind w:left="640"/>
                      <w:rPr>
                        <w:rFonts w:ascii="MS Gothic"/>
                      </w:rPr>
                    </w:pPr>
                    <w:r>
                      <w:rPr>
                        <w:rFonts w:ascii="MS Gothic"/>
                        <w:color w:val="333333"/>
                      </w:rPr>
                      <w:t>return MeterFilter.renameTag("com.example", "</w:t>
                    </w:r>
                    <w:proofErr w:type="gramStart"/>
                    <w:r>
                      <w:rPr>
                        <w:rFonts w:ascii="MS Gothic"/>
                        <w:color w:val="333333"/>
                      </w:rPr>
                      <w:t>mytag.region</w:t>
                    </w:r>
                    <w:proofErr w:type="gramEnd"/>
                    <w:r>
                      <w:rPr>
                        <w:rFonts w:ascii="MS Gothic"/>
                        <w:color w:val="333333"/>
                      </w:rPr>
                      <w:t>", "mytag.area");</w:t>
                    </w:r>
                  </w:p>
                  <w:p w14:paraId="6B9AA63A"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3A73FFE5" w14:textId="77777777" w:rsidR="00A720EB" w:rsidRDefault="00A720EB">
      <w:pPr>
        <w:pStyle w:val="a3"/>
        <w:spacing w:before="11"/>
        <w:rPr>
          <w:sz w:val="16"/>
        </w:rPr>
      </w:pPr>
    </w:p>
    <w:p w14:paraId="0F2CC8B7" w14:textId="77777777" w:rsidR="00A720EB" w:rsidRDefault="0030286B">
      <w:pPr>
        <w:pStyle w:val="4"/>
        <w:spacing w:before="104"/>
      </w:pPr>
      <w:bookmarkStart w:id="658" w:name="Common_tags"/>
      <w:bookmarkEnd w:id="658"/>
      <w:r>
        <w:rPr>
          <w:color w:val="333333"/>
          <w:w w:val="110"/>
        </w:rPr>
        <w:t>Common tags</w:t>
      </w:r>
    </w:p>
    <w:p w14:paraId="441CC3C3" w14:textId="77777777" w:rsidR="00A720EB" w:rsidRDefault="00A720EB">
      <w:pPr>
        <w:pStyle w:val="a3"/>
        <w:spacing w:before="11"/>
        <w:rPr>
          <w:rFonts w:ascii="Palatino Linotype"/>
          <w:b/>
          <w:sz w:val="18"/>
        </w:rPr>
      </w:pPr>
    </w:p>
    <w:p w14:paraId="1E8EDAEC" w14:textId="77777777" w:rsidR="00A720EB" w:rsidRDefault="0030286B">
      <w:pPr>
        <w:pStyle w:val="a3"/>
        <w:spacing w:line="307" w:lineRule="auto"/>
        <w:ind w:left="124" w:right="133"/>
        <w:jc w:val="both"/>
      </w:pPr>
      <w:r>
        <w:rPr>
          <w:color w:val="333333"/>
          <w:w w:val="110"/>
        </w:rPr>
        <w:t xml:space="preserve">Common tags are generally used for dimensional drill-down on </w:t>
      </w:r>
      <w:proofErr w:type="gramStart"/>
      <w:r>
        <w:rPr>
          <w:color w:val="333333"/>
          <w:w w:val="110"/>
        </w:rPr>
        <w:t>the  operating</w:t>
      </w:r>
      <w:proofErr w:type="gramEnd"/>
      <w:r>
        <w:rPr>
          <w:color w:val="333333"/>
          <w:w w:val="110"/>
        </w:rPr>
        <w:t xml:space="preserve">  environment  like host, instance, region, stack, etc. Commons tags are applied to all meters and can be configured </w:t>
      </w:r>
      <w:proofErr w:type="gramStart"/>
      <w:r>
        <w:rPr>
          <w:color w:val="333333"/>
          <w:w w:val="110"/>
        </w:rPr>
        <w:t>as  shown</w:t>
      </w:r>
      <w:proofErr w:type="gramEnd"/>
      <w:r>
        <w:rPr>
          <w:color w:val="333333"/>
          <w:w w:val="110"/>
        </w:rPr>
        <w:t xml:space="preserve"> in the following</w:t>
      </w:r>
      <w:r>
        <w:rPr>
          <w:color w:val="333333"/>
          <w:spacing w:val="13"/>
          <w:w w:val="110"/>
        </w:rPr>
        <w:t xml:space="preserve"> </w:t>
      </w:r>
      <w:r>
        <w:rPr>
          <w:color w:val="333333"/>
          <w:w w:val="110"/>
        </w:rPr>
        <w:t>example:</w:t>
      </w:r>
    </w:p>
    <w:p w14:paraId="6971435C" w14:textId="77777777" w:rsidR="00A720EB" w:rsidRDefault="00E10349">
      <w:pPr>
        <w:pStyle w:val="a3"/>
        <w:spacing w:before="2"/>
        <w:rPr>
          <w:sz w:val="13"/>
        </w:rPr>
      </w:pPr>
      <w:r>
        <w:pict w14:anchorId="47D5A9D9">
          <v:group id="_x0000_s1944" style="position:absolute;margin-left:47.85pt;margin-top:9.75pt;width:499.55pt;height:52.25pt;z-index:-15185920;mso-wrap-distance-left:0;mso-wrap-distance-right:0;mso-position-horizontal-relative:page" coordorigin="957,195" coordsize="9991,1045">
            <v:shape id="_x0000_s1947" style="position:absolute;left:964;top:202;width:9976;height:1030" coordorigin="965,202" coordsize="9976,1030" path="m10861,202r-9816,l1014,209r-26,17l971,251r-6,31l965,1152r6,31l988,1208r26,18l1045,1232r9816,l10892,1226r25,-18l10935,1183r6,-31l10941,282r-6,-31l10917,226r-25,-17l10861,202xe" fillcolor="#f5f5f5" stroked="f">
              <v:path arrowok="t"/>
            </v:shape>
            <v:shape id="_x0000_s1946" style="position:absolute;left:964;top:202;width:9976;height:1030" coordorigin="965,202" coordsize="9976,1030" path="m1045,202r9816,l10892,209r25,17l10935,251r6,31l10941,1152r-6,31l10917,1208r-25,18l10861,1232r-9816,l1014,1226r-26,-18l971,1183r-6,-31l965,282r6,-31l988,226r26,-17l1045,202xe" filled="f" strokecolor="#ccc">
              <v:path arrowok="t"/>
            </v:shape>
            <v:shape id="_x0000_s1945" type="#_x0000_t202" style="position:absolute;left:984;top:217;width:9938;height:999" filled="f" stroked="f">
              <v:textbox inset="0,0,0,0">
                <w:txbxContent>
                  <w:p w14:paraId="2B13EACE" w14:textId="77777777" w:rsidR="00711A16" w:rsidRDefault="00711A16">
                    <w:pPr>
                      <w:spacing w:before="221" w:line="252" w:lineRule="auto"/>
                      <w:ind w:left="200" w:right="5318"/>
                      <w:rPr>
                        <w:rFonts w:ascii="MS Gothic"/>
                      </w:rPr>
                    </w:pPr>
                    <w:proofErr w:type="gramStart"/>
                    <w:r>
                      <w:rPr>
                        <w:rFonts w:ascii="MS Gothic"/>
                        <w:color w:val="333333"/>
                      </w:rPr>
                      <w:t>management.metrics</w:t>
                    </w:r>
                    <w:proofErr w:type="gramEnd"/>
                    <w:r>
                      <w:rPr>
                        <w:rFonts w:ascii="MS Gothic"/>
                        <w:color w:val="333333"/>
                      </w:rPr>
                      <w:t>.tags.region=us-east-1 management.metrics.tags.stack=prod</w:t>
                    </w:r>
                  </w:p>
                </w:txbxContent>
              </v:textbox>
            </v:shape>
            <w10:wrap type="topAndBottom" anchorx="page"/>
          </v:group>
        </w:pict>
      </w:r>
    </w:p>
    <w:p w14:paraId="39320008" w14:textId="77777777" w:rsidR="00A720EB" w:rsidRDefault="00A720EB">
      <w:pPr>
        <w:pStyle w:val="a3"/>
        <w:spacing w:before="11"/>
        <w:rPr>
          <w:sz w:val="9"/>
        </w:rPr>
      </w:pPr>
    </w:p>
    <w:p w14:paraId="4E38040E" w14:textId="77777777" w:rsidR="00A720EB" w:rsidRDefault="0030286B">
      <w:pPr>
        <w:pStyle w:val="a3"/>
        <w:spacing w:before="115"/>
        <w:ind w:left="124"/>
        <w:rPr>
          <w:rFonts w:ascii="MS Gothic"/>
        </w:rPr>
      </w:pPr>
      <w:r>
        <w:rPr>
          <w:color w:val="333333"/>
          <w:w w:val="110"/>
        </w:rPr>
        <w:t xml:space="preserve">The example above adds </w:t>
      </w:r>
      <w:r>
        <w:rPr>
          <w:rFonts w:ascii="MS Gothic"/>
          <w:color w:val="B02045"/>
          <w:w w:val="110"/>
        </w:rPr>
        <w:t xml:space="preserve">region </w:t>
      </w:r>
      <w:r>
        <w:rPr>
          <w:color w:val="333333"/>
          <w:w w:val="110"/>
        </w:rPr>
        <w:t xml:space="preserve">and </w:t>
      </w:r>
      <w:r>
        <w:rPr>
          <w:rFonts w:ascii="MS Gothic"/>
          <w:color w:val="B02045"/>
          <w:w w:val="110"/>
        </w:rPr>
        <w:t xml:space="preserve">stack </w:t>
      </w:r>
      <w:r>
        <w:rPr>
          <w:color w:val="333333"/>
          <w:w w:val="110"/>
        </w:rPr>
        <w:t xml:space="preserve">tags to all meters with a value of </w:t>
      </w:r>
      <w:r>
        <w:rPr>
          <w:rFonts w:ascii="MS Gothic"/>
          <w:color w:val="B02045"/>
          <w:w w:val="110"/>
        </w:rPr>
        <w:t xml:space="preserve">us-east-1 </w:t>
      </w:r>
      <w:r>
        <w:rPr>
          <w:color w:val="333333"/>
          <w:w w:val="110"/>
        </w:rPr>
        <w:t xml:space="preserve">and </w:t>
      </w:r>
      <w:r>
        <w:rPr>
          <w:rFonts w:ascii="MS Gothic"/>
          <w:color w:val="B02045"/>
          <w:w w:val="110"/>
        </w:rPr>
        <w:t>prod</w:t>
      </w:r>
    </w:p>
    <w:p w14:paraId="56005C0F" w14:textId="77777777" w:rsidR="00A720EB" w:rsidRDefault="0030286B">
      <w:pPr>
        <w:pStyle w:val="a3"/>
        <w:spacing w:before="57"/>
        <w:ind w:left="124"/>
      </w:pPr>
      <w:r>
        <w:rPr>
          <w:color w:val="333333"/>
          <w:w w:val="110"/>
        </w:rPr>
        <w:t>respectively.</w:t>
      </w:r>
    </w:p>
    <w:p w14:paraId="66D89685" w14:textId="77777777" w:rsidR="00A720EB" w:rsidRDefault="00A720EB">
      <w:pPr>
        <w:pStyle w:val="a3"/>
        <w:spacing w:before="7"/>
        <w:rPr>
          <w:sz w:val="22"/>
        </w:rPr>
      </w:pPr>
    </w:p>
    <w:p w14:paraId="1E135BD0" w14:textId="77777777" w:rsidR="00A720EB" w:rsidRDefault="00E10349">
      <w:pPr>
        <w:pStyle w:val="a3"/>
        <w:spacing w:before="125" w:line="302" w:lineRule="auto"/>
        <w:ind w:left="1564" w:right="371"/>
        <w:jc w:val="both"/>
      </w:pPr>
      <w:r>
        <w:pict w14:anchorId="6AE1D3B4">
          <v:line id="_x0000_s1943" style="position:absolute;left:0;text-align:left;z-index:16271872;mso-position-horizontal-relative:page" from="108.25pt,.25pt" to="108.25pt,55.6pt" strokecolor="#ededed" strokeweight=".5pt">
            <w10:wrap anchorx="page"/>
          </v:line>
        </w:pict>
      </w:r>
      <w:r w:rsidR="0030286B">
        <w:rPr>
          <w:noProof/>
        </w:rPr>
        <w:drawing>
          <wp:anchor distT="0" distB="0" distL="0" distR="0" simplePos="0" relativeHeight="16272384" behindDoc="0" locked="0" layoutInCell="1" allowOverlap="1" wp14:anchorId="7483937A" wp14:editId="76BDAF85">
            <wp:simplePos x="0" y="0"/>
            <wp:positionH relativeFrom="page">
              <wp:posOffset>844422</wp:posOffset>
            </wp:positionH>
            <wp:positionV relativeFrom="paragraph">
              <wp:posOffset>205524</wp:posOffset>
            </wp:positionV>
            <wp:extent cx="298450" cy="298450"/>
            <wp:effectExtent l="0" t="0" r="0" b="0"/>
            <wp:wrapNone/>
            <wp:docPr id="6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order of common tags is important if you are using Graphite. As the order </w:t>
      </w:r>
      <w:proofErr w:type="gramStart"/>
      <w:r w:rsidR="0030286B">
        <w:rPr>
          <w:color w:val="333333"/>
          <w:w w:val="110"/>
        </w:rPr>
        <w:t>of  common</w:t>
      </w:r>
      <w:proofErr w:type="gramEnd"/>
      <w:r w:rsidR="0030286B">
        <w:rPr>
          <w:color w:val="333333"/>
          <w:w w:val="110"/>
        </w:rPr>
        <w:t xml:space="preserve"> tags cannot be guaranteed using this approach, Graphite users are   advised to define a custom </w:t>
      </w:r>
      <w:r w:rsidR="0030286B">
        <w:rPr>
          <w:rFonts w:ascii="MS Gothic"/>
          <w:color w:val="B02045"/>
          <w:w w:val="110"/>
        </w:rPr>
        <w:t>MeterFilter</w:t>
      </w:r>
      <w:r w:rsidR="0030286B">
        <w:rPr>
          <w:rFonts w:ascii="MS Gothic"/>
          <w:color w:val="B02045"/>
          <w:spacing w:val="-53"/>
          <w:w w:val="110"/>
        </w:rPr>
        <w:t xml:space="preserve"> </w:t>
      </w:r>
      <w:r w:rsidR="0030286B">
        <w:rPr>
          <w:color w:val="333333"/>
          <w:w w:val="110"/>
        </w:rPr>
        <w:t>instead.</w:t>
      </w:r>
    </w:p>
    <w:p w14:paraId="67B5F8D3" w14:textId="77777777" w:rsidR="00A720EB" w:rsidRDefault="00A720EB">
      <w:pPr>
        <w:pStyle w:val="a3"/>
        <w:spacing w:before="5"/>
        <w:rPr>
          <w:sz w:val="22"/>
        </w:rPr>
      </w:pPr>
    </w:p>
    <w:p w14:paraId="4B17B4AE" w14:textId="77777777" w:rsidR="00A720EB" w:rsidRDefault="0030286B">
      <w:pPr>
        <w:pStyle w:val="4"/>
        <w:spacing w:before="104"/>
      </w:pPr>
      <w:bookmarkStart w:id="659" w:name="Per-meter_properties"/>
      <w:bookmarkEnd w:id="659"/>
      <w:r>
        <w:rPr>
          <w:color w:val="333333"/>
          <w:w w:val="115"/>
        </w:rPr>
        <w:t>Per-meter properties</w:t>
      </w:r>
    </w:p>
    <w:p w14:paraId="677B64FB" w14:textId="77777777" w:rsidR="00A720EB" w:rsidRDefault="0030286B">
      <w:pPr>
        <w:pStyle w:val="a3"/>
        <w:spacing w:before="244" w:line="300" w:lineRule="auto"/>
        <w:ind w:left="124" w:right="128"/>
        <w:jc w:val="both"/>
      </w:pPr>
      <w:r>
        <w:rPr>
          <w:color w:val="333333"/>
          <w:w w:val="110"/>
        </w:rPr>
        <w:t xml:space="preserve">In addition to </w:t>
      </w:r>
      <w:r>
        <w:rPr>
          <w:rFonts w:ascii="MS Gothic" w:hAnsi="MS Gothic"/>
          <w:color w:val="B02045"/>
          <w:w w:val="110"/>
        </w:rPr>
        <w:t xml:space="preserve">MeterFilter </w:t>
      </w:r>
      <w:r>
        <w:rPr>
          <w:color w:val="333333"/>
          <w:w w:val="110"/>
        </w:rPr>
        <w:t xml:space="preserve">beans, it’s also possible to apply a limited set of </w:t>
      </w:r>
      <w:proofErr w:type="gramStart"/>
      <w:r>
        <w:rPr>
          <w:color w:val="333333"/>
          <w:w w:val="110"/>
        </w:rPr>
        <w:t>customization</w:t>
      </w:r>
      <w:proofErr w:type="gramEnd"/>
      <w:r>
        <w:rPr>
          <w:color w:val="333333"/>
          <w:w w:val="110"/>
        </w:rPr>
        <w:t xml:space="preserve"> on a per- meter basis using properties. Per-meter customizations apply to any all meter IDs that start with    the</w:t>
      </w:r>
      <w:r>
        <w:rPr>
          <w:color w:val="333333"/>
          <w:spacing w:val="31"/>
          <w:w w:val="110"/>
        </w:rPr>
        <w:t xml:space="preserve"> </w:t>
      </w:r>
      <w:r>
        <w:rPr>
          <w:color w:val="333333"/>
          <w:w w:val="110"/>
        </w:rPr>
        <w:t>given</w:t>
      </w:r>
      <w:r>
        <w:rPr>
          <w:color w:val="333333"/>
          <w:spacing w:val="32"/>
          <w:w w:val="110"/>
        </w:rPr>
        <w:t xml:space="preserve"> </w:t>
      </w:r>
      <w:r>
        <w:rPr>
          <w:color w:val="333333"/>
          <w:w w:val="110"/>
        </w:rPr>
        <w:t>name.</w:t>
      </w:r>
      <w:r>
        <w:rPr>
          <w:color w:val="333333"/>
          <w:spacing w:val="32"/>
          <w:w w:val="110"/>
        </w:rPr>
        <w:t xml:space="preserve"> </w:t>
      </w:r>
      <w:r>
        <w:rPr>
          <w:color w:val="333333"/>
          <w:spacing w:val="-4"/>
          <w:w w:val="110"/>
        </w:rPr>
        <w:t>For</w:t>
      </w:r>
      <w:r>
        <w:rPr>
          <w:color w:val="333333"/>
          <w:spacing w:val="32"/>
          <w:w w:val="110"/>
        </w:rPr>
        <w:t xml:space="preserve"> </w:t>
      </w:r>
      <w:r>
        <w:rPr>
          <w:color w:val="333333"/>
          <w:w w:val="110"/>
        </w:rPr>
        <w:t>example,</w:t>
      </w:r>
      <w:r>
        <w:rPr>
          <w:color w:val="333333"/>
          <w:spacing w:val="32"/>
          <w:w w:val="110"/>
        </w:rPr>
        <w:t xml:space="preserve"> </w:t>
      </w:r>
      <w:r>
        <w:rPr>
          <w:color w:val="333333"/>
          <w:w w:val="110"/>
        </w:rPr>
        <w:t>the</w:t>
      </w:r>
      <w:r>
        <w:rPr>
          <w:color w:val="333333"/>
          <w:spacing w:val="32"/>
          <w:w w:val="110"/>
        </w:rPr>
        <w:t xml:space="preserve"> </w:t>
      </w:r>
      <w:r>
        <w:rPr>
          <w:color w:val="333333"/>
          <w:w w:val="110"/>
        </w:rPr>
        <w:t>following</w:t>
      </w:r>
      <w:r>
        <w:rPr>
          <w:color w:val="333333"/>
          <w:spacing w:val="32"/>
          <w:w w:val="110"/>
        </w:rPr>
        <w:t xml:space="preserve"> </w:t>
      </w:r>
      <w:r>
        <w:rPr>
          <w:color w:val="333333"/>
          <w:w w:val="110"/>
        </w:rPr>
        <w:t>will</w:t>
      </w:r>
      <w:r>
        <w:rPr>
          <w:color w:val="333333"/>
          <w:spacing w:val="32"/>
          <w:w w:val="110"/>
        </w:rPr>
        <w:t xml:space="preserve"> </w:t>
      </w:r>
      <w:r>
        <w:rPr>
          <w:color w:val="333333"/>
          <w:w w:val="110"/>
        </w:rPr>
        <w:t>disable</w:t>
      </w:r>
      <w:r>
        <w:rPr>
          <w:color w:val="333333"/>
          <w:spacing w:val="32"/>
          <w:w w:val="110"/>
        </w:rPr>
        <w:t xml:space="preserve"> </w:t>
      </w:r>
      <w:r>
        <w:rPr>
          <w:color w:val="333333"/>
          <w:w w:val="110"/>
        </w:rPr>
        <w:t>any</w:t>
      </w:r>
      <w:r>
        <w:rPr>
          <w:color w:val="333333"/>
          <w:spacing w:val="32"/>
          <w:w w:val="110"/>
        </w:rPr>
        <w:t xml:space="preserve"> </w:t>
      </w:r>
      <w:r>
        <w:rPr>
          <w:color w:val="333333"/>
          <w:w w:val="110"/>
        </w:rPr>
        <w:t>meters</w:t>
      </w:r>
      <w:r>
        <w:rPr>
          <w:color w:val="333333"/>
          <w:spacing w:val="32"/>
          <w:w w:val="110"/>
        </w:rPr>
        <w:t xml:space="preserve"> </w:t>
      </w:r>
      <w:r>
        <w:rPr>
          <w:color w:val="333333"/>
          <w:w w:val="110"/>
        </w:rPr>
        <w:t>that</w:t>
      </w:r>
      <w:r>
        <w:rPr>
          <w:color w:val="333333"/>
          <w:spacing w:val="32"/>
          <w:w w:val="110"/>
        </w:rPr>
        <w:t xml:space="preserve"> </w:t>
      </w:r>
      <w:r>
        <w:rPr>
          <w:color w:val="333333"/>
          <w:w w:val="110"/>
        </w:rPr>
        <w:t>have</w:t>
      </w:r>
      <w:r>
        <w:rPr>
          <w:color w:val="333333"/>
          <w:spacing w:val="32"/>
          <w:w w:val="110"/>
        </w:rPr>
        <w:t xml:space="preserve"> </w:t>
      </w:r>
      <w:r>
        <w:rPr>
          <w:color w:val="333333"/>
          <w:w w:val="110"/>
        </w:rPr>
        <w:t>an</w:t>
      </w:r>
      <w:r>
        <w:rPr>
          <w:color w:val="333333"/>
          <w:spacing w:val="32"/>
          <w:w w:val="110"/>
        </w:rPr>
        <w:t xml:space="preserve"> </w:t>
      </w:r>
      <w:r>
        <w:rPr>
          <w:color w:val="333333"/>
          <w:w w:val="110"/>
        </w:rPr>
        <w:t>ID</w:t>
      </w:r>
      <w:r>
        <w:rPr>
          <w:color w:val="333333"/>
          <w:spacing w:val="32"/>
          <w:w w:val="110"/>
        </w:rPr>
        <w:t xml:space="preserve"> </w:t>
      </w:r>
      <w:r>
        <w:rPr>
          <w:color w:val="333333"/>
          <w:w w:val="110"/>
        </w:rPr>
        <w:t>starting</w:t>
      </w:r>
      <w:r>
        <w:rPr>
          <w:color w:val="333333"/>
          <w:spacing w:val="32"/>
          <w:w w:val="110"/>
        </w:rPr>
        <w:t xml:space="preserve"> </w:t>
      </w:r>
      <w:r>
        <w:rPr>
          <w:color w:val="333333"/>
          <w:w w:val="110"/>
        </w:rPr>
        <w:t>with</w:t>
      </w:r>
    </w:p>
    <w:p w14:paraId="03DDCEFF" w14:textId="77777777" w:rsidR="00A720EB" w:rsidRDefault="00A720EB">
      <w:pPr>
        <w:spacing w:line="300" w:lineRule="auto"/>
        <w:jc w:val="both"/>
        <w:sectPr w:rsidR="00A720EB">
          <w:pgSz w:w="11910" w:h="16840"/>
          <w:pgMar w:top="700" w:right="840" w:bottom="520" w:left="840" w:header="0" w:footer="323" w:gutter="0"/>
          <w:cols w:space="720"/>
        </w:sectPr>
      </w:pPr>
    </w:p>
    <w:p w14:paraId="6F5ACFFF" w14:textId="77777777" w:rsidR="00A720EB" w:rsidRDefault="0030286B">
      <w:pPr>
        <w:pStyle w:val="a3"/>
        <w:spacing w:before="93"/>
        <w:ind w:left="124"/>
        <w:rPr>
          <w:rFonts w:ascii="MS Gothic"/>
        </w:rPr>
      </w:pPr>
      <w:proofErr w:type="gramStart"/>
      <w:r>
        <w:rPr>
          <w:rFonts w:ascii="MS Gothic"/>
          <w:color w:val="B02045"/>
        </w:rPr>
        <w:lastRenderedPageBreak/>
        <w:t>example.remote</w:t>
      </w:r>
      <w:proofErr w:type="gramEnd"/>
    </w:p>
    <w:p w14:paraId="09EA4ECB" w14:textId="77777777" w:rsidR="00A720EB" w:rsidRDefault="00E10349">
      <w:pPr>
        <w:pStyle w:val="a3"/>
        <w:spacing w:before="11"/>
        <w:rPr>
          <w:rFonts w:ascii="MS Gothic"/>
          <w:sz w:val="13"/>
        </w:rPr>
      </w:pPr>
      <w:r>
        <w:pict w14:anchorId="6603796D">
          <v:group id="_x0000_s1939" style="position:absolute;margin-left:47.85pt;margin-top:10.9pt;width:499.55pt;height:37.5pt;z-index:-15184384;mso-wrap-distance-left:0;mso-wrap-distance-right:0;mso-position-horizontal-relative:page" coordorigin="957,218" coordsize="9991,750">
            <v:shape id="_x0000_s1942" style="position:absolute;left:964;top:225;width:9976;height:735" coordorigin="965,225" coordsize="9976,735" path="m10861,225r-9816,l1014,231r-26,18l971,274r-6,31l965,880r6,31l988,937r26,17l1045,960r9816,l10892,954r25,-17l10935,911r6,-31l10941,305r-6,-31l10917,249r-25,-18l10861,225xe" fillcolor="#f5f5f5" stroked="f">
              <v:path arrowok="t"/>
            </v:shape>
            <v:shape id="_x0000_s1941" style="position:absolute;left:964;top:225;width:9976;height:735" coordorigin="965,225" coordsize="9976,735" path="m1045,225r9816,l10892,231r25,18l10935,274r6,31l10941,880r-6,31l10917,937r-25,17l10861,960r-9816,l1014,954,988,937,971,911r-6,-31l965,305r6,-31l988,249r26,-18l1045,225xe" filled="f" strokecolor="#ccc">
              <v:path arrowok="t"/>
            </v:shape>
            <v:shape id="_x0000_s1940" type="#_x0000_t202" style="position:absolute;left:984;top:240;width:9938;height:704" filled="f" stroked="f">
              <v:textbox inset="0,0,0,0">
                <w:txbxContent>
                  <w:p w14:paraId="10E6113E" w14:textId="77777777" w:rsidR="00711A16" w:rsidRDefault="00711A16">
                    <w:pPr>
                      <w:spacing w:before="221"/>
                      <w:ind w:left="200"/>
                      <w:rPr>
                        <w:rFonts w:ascii="MS Gothic"/>
                      </w:rPr>
                    </w:pPr>
                    <w:proofErr w:type="gramStart"/>
                    <w:r>
                      <w:rPr>
                        <w:rFonts w:ascii="MS Gothic"/>
                        <w:color w:val="333333"/>
                      </w:rPr>
                      <w:t>management.metrics</w:t>
                    </w:r>
                    <w:proofErr w:type="gramEnd"/>
                    <w:r>
                      <w:rPr>
                        <w:rFonts w:ascii="MS Gothic"/>
                        <w:color w:val="333333"/>
                      </w:rPr>
                      <w:t>.enable.example.remote=false</w:t>
                    </w:r>
                  </w:p>
                </w:txbxContent>
              </v:textbox>
            </v:shape>
            <w10:wrap type="topAndBottom" anchorx="page"/>
          </v:group>
        </w:pict>
      </w:r>
    </w:p>
    <w:p w14:paraId="7CDD7D9C" w14:textId="77777777" w:rsidR="00A720EB" w:rsidRDefault="00A720EB">
      <w:pPr>
        <w:pStyle w:val="a3"/>
        <w:spacing w:before="2"/>
        <w:rPr>
          <w:rFonts w:ascii="MS Gothic"/>
          <w:sz w:val="9"/>
        </w:rPr>
      </w:pPr>
    </w:p>
    <w:p w14:paraId="5828CEE5" w14:textId="77777777" w:rsidR="00A720EB" w:rsidRDefault="0030286B">
      <w:pPr>
        <w:pStyle w:val="a3"/>
        <w:spacing w:before="125"/>
        <w:ind w:left="124"/>
        <w:jc w:val="both"/>
      </w:pPr>
      <w:r>
        <w:rPr>
          <w:color w:val="333333"/>
          <w:w w:val="110"/>
        </w:rPr>
        <w:t>The following properties allow per-meter customization:</w:t>
      </w:r>
    </w:p>
    <w:p w14:paraId="3095FF88" w14:textId="77777777" w:rsidR="00A720EB" w:rsidRDefault="00A720EB">
      <w:pPr>
        <w:pStyle w:val="a3"/>
        <w:spacing w:before="6"/>
        <w:rPr>
          <w:sz w:val="24"/>
        </w:rPr>
      </w:pPr>
    </w:p>
    <w:p w14:paraId="0578E42B" w14:textId="77777777" w:rsidR="00A720EB" w:rsidRDefault="0030286B">
      <w:pPr>
        <w:ind w:left="124"/>
        <w:jc w:val="both"/>
        <w:rPr>
          <w:rFonts w:ascii="Palatino Linotype"/>
          <w:i/>
          <w:sz w:val="20"/>
        </w:rPr>
      </w:pPr>
      <w:r>
        <w:rPr>
          <w:rFonts w:ascii="Palatino Linotype"/>
          <w:i/>
          <w:color w:val="333333"/>
          <w:w w:val="115"/>
          <w:sz w:val="20"/>
        </w:rPr>
        <w:t>Table 8. Per-meter customizations</w:t>
      </w:r>
    </w:p>
    <w:p w14:paraId="09D5FE58" w14:textId="77777777" w:rsidR="00A720EB" w:rsidRDefault="00A720EB">
      <w:pPr>
        <w:pStyle w:val="a3"/>
        <w:spacing w:before="6"/>
        <w:rPr>
          <w:rFonts w:ascii="Palatino Linotype"/>
          <w:i/>
          <w:sz w:val="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146F8F5C" w14:textId="77777777">
        <w:trPr>
          <w:trHeight w:val="415"/>
        </w:trPr>
        <w:tc>
          <w:tcPr>
            <w:tcW w:w="4988" w:type="dxa"/>
            <w:tcBorders>
              <w:bottom w:val="single" w:sz="12" w:space="0" w:color="DDDDDD"/>
            </w:tcBorders>
          </w:tcPr>
          <w:p w14:paraId="718B3CB3" w14:textId="77777777" w:rsidR="00A720EB" w:rsidRDefault="0030286B">
            <w:pPr>
              <w:pStyle w:val="TableParagraph"/>
              <w:spacing w:before="74"/>
              <w:rPr>
                <w:rFonts w:ascii="Palatino Linotype"/>
                <w:b/>
                <w:sz w:val="21"/>
              </w:rPr>
            </w:pPr>
            <w:r>
              <w:rPr>
                <w:rFonts w:ascii="Palatino Linotype"/>
                <w:b/>
                <w:color w:val="333333"/>
                <w:w w:val="115"/>
                <w:sz w:val="21"/>
              </w:rPr>
              <w:t>Property</w:t>
            </w:r>
          </w:p>
        </w:tc>
        <w:tc>
          <w:tcPr>
            <w:tcW w:w="4988" w:type="dxa"/>
            <w:tcBorders>
              <w:bottom w:val="single" w:sz="12" w:space="0" w:color="DDDDDD"/>
            </w:tcBorders>
          </w:tcPr>
          <w:p w14:paraId="05A48ADA"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7D1286B3" w14:textId="77777777">
        <w:trPr>
          <w:trHeight w:val="731"/>
        </w:trPr>
        <w:tc>
          <w:tcPr>
            <w:tcW w:w="4988" w:type="dxa"/>
            <w:tcBorders>
              <w:top w:val="single" w:sz="12" w:space="0" w:color="DDDDDD"/>
            </w:tcBorders>
          </w:tcPr>
          <w:p w14:paraId="16DB7ED0" w14:textId="77777777" w:rsidR="00A720EB" w:rsidRDefault="0030286B">
            <w:pPr>
              <w:pStyle w:val="TableParagraph"/>
              <w:spacing w:before="30"/>
              <w:rPr>
                <w:sz w:val="21"/>
              </w:rPr>
            </w:pPr>
            <w:proofErr w:type="gramStart"/>
            <w:r>
              <w:rPr>
                <w:color w:val="B02045"/>
                <w:sz w:val="21"/>
              </w:rPr>
              <w:t>management.metrics</w:t>
            </w:r>
            <w:proofErr w:type="gramEnd"/>
            <w:r>
              <w:rPr>
                <w:color w:val="B02045"/>
                <w:sz w:val="21"/>
              </w:rPr>
              <w:t>.enable</w:t>
            </w:r>
          </w:p>
        </w:tc>
        <w:tc>
          <w:tcPr>
            <w:tcW w:w="4988" w:type="dxa"/>
            <w:tcBorders>
              <w:top w:val="single" w:sz="12" w:space="0" w:color="DDDDDD"/>
            </w:tcBorders>
          </w:tcPr>
          <w:p w14:paraId="7D9CA27D" w14:textId="77777777" w:rsidR="00A720EB" w:rsidRDefault="0030286B">
            <w:pPr>
              <w:pStyle w:val="TableParagraph"/>
              <w:spacing w:before="21" w:line="310" w:lineRule="atLeast"/>
              <w:rPr>
                <w:rFonts w:ascii="Cambria"/>
                <w:sz w:val="21"/>
              </w:rPr>
            </w:pPr>
            <w:r>
              <w:rPr>
                <w:rFonts w:ascii="Cambria"/>
                <w:color w:val="333333"/>
                <w:w w:val="110"/>
                <w:sz w:val="21"/>
              </w:rPr>
              <w:t>Whether to deny meters from emitting any metrics.</w:t>
            </w:r>
          </w:p>
        </w:tc>
      </w:tr>
      <w:tr w:rsidR="00A720EB" w14:paraId="6884572F" w14:textId="77777777">
        <w:trPr>
          <w:trHeight w:val="1056"/>
        </w:trPr>
        <w:tc>
          <w:tcPr>
            <w:tcW w:w="4988" w:type="dxa"/>
          </w:tcPr>
          <w:p w14:paraId="4AC67371" w14:textId="77777777" w:rsidR="00A720EB" w:rsidRDefault="0030286B">
            <w:pPr>
              <w:pStyle w:val="TableParagraph"/>
              <w:spacing w:before="49" w:line="230" w:lineRule="auto"/>
              <w:ind w:right="278"/>
              <w:rPr>
                <w:sz w:val="21"/>
              </w:rPr>
            </w:pPr>
            <w:proofErr w:type="gramStart"/>
            <w:r>
              <w:rPr>
                <w:color w:val="B02045"/>
                <w:sz w:val="21"/>
              </w:rPr>
              <w:t>management.metrics</w:t>
            </w:r>
            <w:proofErr w:type="gramEnd"/>
            <w:r>
              <w:rPr>
                <w:color w:val="B02045"/>
                <w:sz w:val="21"/>
              </w:rPr>
              <w:t>.distribution.percentiles- histogram</w:t>
            </w:r>
          </w:p>
        </w:tc>
        <w:tc>
          <w:tcPr>
            <w:tcW w:w="4988" w:type="dxa"/>
          </w:tcPr>
          <w:p w14:paraId="3A479DFA" w14:textId="77777777" w:rsidR="00A720EB" w:rsidRDefault="0030286B">
            <w:pPr>
              <w:pStyle w:val="TableParagraph"/>
              <w:spacing w:before="31" w:line="310" w:lineRule="atLeast"/>
              <w:rPr>
                <w:rFonts w:ascii="Cambria"/>
                <w:sz w:val="21"/>
              </w:rPr>
            </w:pPr>
            <w:r>
              <w:rPr>
                <w:rFonts w:ascii="Cambria"/>
                <w:color w:val="333333"/>
                <w:w w:val="110"/>
                <w:sz w:val="21"/>
              </w:rPr>
              <w:t>Whether to publish a histogram suitable for computing aggregable (across dimension) percentile approximations.</w:t>
            </w:r>
          </w:p>
        </w:tc>
      </w:tr>
      <w:tr w:rsidR="00A720EB" w14:paraId="3B58BD7F" w14:textId="77777777">
        <w:trPr>
          <w:trHeight w:val="1202"/>
        </w:trPr>
        <w:tc>
          <w:tcPr>
            <w:tcW w:w="4988" w:type="dxa"/>
          </w:tcPr>
          <w:p w14:paraId="38119E56" w14:textId="77777777" w:rsidR="00A720EB" w:rsidRDefault="0030286B">
            <w:pPr>
              <w:pStyle w:val="TableParagraph"/>
              <w:spacing w:before="40"/>
              <w:rPr>
                <w:sz w:val="21"/>
              </w:rPr>
            </w:pPr>
            <w:proofErr w:type="gramStart"/>
            <w:r>
              <w:rPr>
                <w:color w:val="B02045"/>
                <w:sz w:val="21"/>
              </w:rPr>
              <w:t>management.metrics</w:t>
            </w:r>
            <w:proofErr w:type="gramEnd"/>
            <w:r>
              <w:rPr>
                <w:color w:val="B02045"/>
                <w:sz w:val="21"/>
              </w:rPr>
              <w:t>.distribution.minimum-</w:t>
            </w:r>
          </w:p>
          <w:p w14:paraId="16F4112D" w14:textId="77777777" w:rsidR="00A720EB" w:rsidRDefault="0030286B">
            <w:pPr>
              <w:pStyle w:val="TableParagraph"/>
              <w:spacing w:before="55" w:line="230" w:lineRule="auto"/>
              <w:ind w:right="717"/>
              <w:rPr>
                <w:sz w:val="21"/>
              </w:rPr>
            </w:pPr>
            <w:r>
              <w:rPr>
                <w:color w:val="B02045"/>
                <w:sz w:val="21"/>
              </w:rPr>
              <w:t>expected-value</w:t>
            </w:r>
            <w:r>
              <w:rPr>
                <w:rFonts w:ascii="Cambria"/>
                <w:color w:val="333333"/>
                <w:sz w:val="21"/>
              </w:rPr>
              <w:t xml:space="preserve">, </w:t>
            </w:r>
            <w:proofErr w:type="gramStart"/>
            <w:r>
              <w:rPr>
                <w:color w:val="B02045"/>
                <w:sz w:val="21"/>
              </w:rPr>
              <w:t>management.metrics</w:t>
            </w:r>
            <w:proofErr w:type="gramEnd"/>
            <w:r>
              <w:rPr>
                <w:color w:val="B02045"/>
                <w:sz w:val="21"/>
              </w:rPr>
              <w:t>.distribution.maximum- expected-value</w:t>
            </w:r>
          </w:p>
        </w:tc>
        <w:tc>
          <w:tcPr>
            <w:tcW w:w="4988" w:type="dxa"/>
          </w:tcPr>
          <w:p w14:paraId="2C43AD36" w14:textId="77777777" w:rsidR="00A720EB" w:rsidRDefault="0030286B">
            <w:pPr>
              <w:pStyle w:val="TableParagraph"/>
              <w:spacing w:before="94" w:line="307" w:lineRule="auto"/>
              <w:rPr>
                <w:rFonts w:ascii="Cambria"/>
                <w:sz w:val="21"/>
              </w:rPr>
            </w:pPr>
            <w:r>
              <w:rPr>
                <w:rFonts w:ascii="Cambria"/>
                <w:color w:val="333333"/>
                <w:w w:val="110"/>
                <w:sz w:val="21"/>
              </w:rPr>
              <w:t>Publish less histogram buckets by clamping the range of expected values.</w:t>
            </w:r>
          </w:p>
        </w:tc>
      </w:tr>
      <w:tr w:rsidR="00A720EB" w14:paraId="7CF164CE" w14:textId="77777777">
        <w:trPr>
          <w:trHeight w:val="741"/>
        </w:trPr>
        <w:tc>
          <w:tcPr>
            <w:tcW w:w="4988" w:type="dxa"/>
          </w:tcPr>
          <w:p w14:paraId="566A728C" w14:textId="77777777" w:rsidR="00A720EB" w:rsidRDefault="0030286B">
            <w:pPr>
              <w:pStyle w:val="TableParagraph"/>
              <w:spacing w:before="40"/>
              <w:rPr>
                <w:sz w:val="21"/>
              </w:rPr>
            </w:pPr>
            <w:proofErr w:type="gramStart"/>
            <w:r>
              <w:rPr>
                <w:color w:val="B02045"/>
                <w:sz w:val="21"/>
              </w:rPr>
              <w:t>management.metrics</w:t>
            </w:r>
            <w:proofErr w:type="gramEnd"/>
            <w:r>
              <w:rPr>
                <w:color w:val="B02045"/>
                <w:sz w:val="21"/>
              </w:rPr>
              <w:t>.distribution.percentiles</w:t>
            </w:r>
          </w:p>
        </w:tc>
        <w:tc>
          <w:tcPr>
            <w:tcW w:w="4988" w:type="dxa"/>
          </w:tcPr>
          <w:p w14:paraId="4CB954A7" w14:textId="77777777" w:rsidR="00A720EB" w:rsidRDefault="0030286B">
            <w:pPr>
              <w:pStyle w:val="TableParagraph"/>
              <w:spacing w:before="31" w:line="310" w:lineRule="atLeast"/>
              <w:rPr>
                <w:rFonts w:ascii="Cambria"/>
                <w:sz w:val="21"/>
              </w:rPr>
            </w:pPr>
            <w:r>
              <w:rPr>
                <w:rFonts w:ascii="Cambria"/>
                <w:color w:val="333333"/>
                <w:w w:val="110"/>
                <w:sz w:val="21"/>
              </w:rPr>
              <w:t>Publish percentile values computed in your application</w:t>
            </w:r>
          </w:p>
        </w:tc>
      </w:tr>
      <w:tr w:rsidR="00A720EB" w14:paraId="59C6C2B1" w14:textId="77777777">
        <w:trPr>
          <w:trHeight w:val="741"/>
        </w:trPr>
        <w:tc>
          <w:tcPr>
            <w:tcW w:w="4988" w:type="dxa"/>
          </w:tcPr>
          <w:p w14:paraId="53B52061" w14:textId="77777777" w:rsidR="00A720EB" w:rsidRDefault="0030286B">
            <w:pPr>
              <w:pStyle w:val="TableParagraph"/>
              <w:spacing w:before="40"/>
              <w:rPr>
                <w:sz w:val="21"/>
              </w:rPr>
            </w:pPr>
            <w:r>
              <w:rPr>
                <w:color w:val="B02045"/>
                <w:sz w:val="21"/>
              </w:rPr>
              <w:t>management.metrics.distribution.slo</w:t>
            </w:r>
          </w:p>
        </w:tc>
        <w:tc>
          <w:tcPr>
            <w:tcW w:w="4988" w:type="dxa"/>
          </w:tcPr>
          <w:p w14:paraId="66A818A8" w14:textId="77777777" w:rsidR="00A720EB" w:rsidRDefault="0030286B">
            <w:pPr>
              <w:pStyle w:val="TableParagraph"/>
              <w:spacing w:before="31" w:line="310" w:lineRule="atLeast"/>
              <w:rPr>
                <w:rFonts w:ascii="Cambria"/>
                <w:sz w:val="21"/>
              </w:rPr>
            </w:pPr>
            <w:r>
              <w:rPr>
                <w:rFonts w:ascii="Cambria"/>
                <w:color w:val="333333"/>
                <w:w w:val="110"/>
                <w:sz w:val="21"/>
              </w:rPr>
              <w:t>Publish a cumulative histogram with buckets defined by your service-level objectives.</w:t>
            </w:r>
          </w:p>
        </w:tc>
      </w:tr>
    </w:tbl>
    <w:p w14:paraId="3927DC17" w14:textId="77777777" w:rsidR="00A720EB" w:rsidRDefault="00A720EB">
      <w:pPr>
        <w:pStyle w:val="a3"/>
        <w:spacing w:before="8"/>
        <w:rPr>
          <w:rFonts w:ascii="Palatino Linotype"/>
          <w:i/>
          <w:sz w:val="19"/>
        </w:rPr>
      </w:pPr>
    </w:p>
    <w:p w14:paraId="49332563" w14:textId="77777777" w:rsidR="00A720EB" w:rsidRDefault="0030286B">
      <w:pPr>
        <w:pStyle w:val="a3"/>
        <w:spacing w:line="290" w:lineRule="auto"/>
        <w:ind w:left="124" w:right="122"/>
        <w:jc w:val="both"/>
      </w:pPr>
      <w:r>
        <w:rPr>
          <w:color w:val="333333"/>
          <w:w w:val="110"/>
        </w:rPr>
        <w:t xml:space="preserve">For more details on concepts behind </w:t>
      </w:r>
      <w:r>
        <w:rPr>
          <w:rFonts w:ascii="MS Gothic"/>
          <w:color w:val="B02045"/>
          <w:w w:val="110"/>
        </w:rPr>
        <w:t>percentiles-histogram</w:t>
      </w:r>
      <w:r>
        <w:rPr>
          <w:color w:val="333333"/>
          <w:w w:val="110"/>
        </w:rPr>
        <w:t xml:space="preserve">, </w:t>
      </w:r>
      <w:r>
        <w:rPr>
          <w:rFonts w:ascii="MS Gothic"/>
          <w:color w:val="B02045"/>
          <w:w w:val="110"/>
        </w:rPr>
        <w:t xml:space="preserve">percentiles </w:t>
      </w:r>
      <w:r>
        <w:rPr>
          <w:color w:val="333333"/>
          <w:w w:val="110"/>
        </w:rPr>
        <w:t xml:space="preserve">and </w:t>
      </w:r>
      <w:r>
        <w:rPr>
          <w:rFonts w:ascii="MS Gothic"/>
          <w:color w:val="B02045"/>
          <w:w w:val="110"/>
        </w:rPr>
        <w:t xml:space="preserve">sla </w:t>
      </w:r>
      <w:r>
        <w:rPr>
          <w:color w:val="333333"/>
          <w:w w:val="110"/>
        </w:rPr>
        <w:t xml:space="preserve">refer to the  </w:t>
      </w:r>
      <w:hyperlink r:id="rId521" w:anchor="_histograms_and_percentiles">
        <w:r>
          <w:rPr>
            <w:color w:val="418BCA"/>
            <w:w w:val="110"/>
          </w:rPr>
          <w:t xml:space="preserve">"Histograms and percentiles" section </w:t>
        </w:r>
      </w:hyperlink>
      <w:r>
        <w:rPr>
          <w:color w:val="333333"/>
          <w:w w:val="110"/>
        </w:rPr>
        <w:t>of the micrometer documentation.</w:t>
      </w:r>
    </w:p>
    <w:p w14:paraId="4A2E284C" w14:textId="77777777" w:rsidR="00A720EB" w:rsidRDefault="00A720EB">
      <w:pPr>
        <w:pStyle w:val="a3"/>
        <w:spacing w:before="3"/>
        <w:rPr>
          <w:sz w:val="27"/>
        </w:rPr>
      </w:pPr>
    </w:p>
    <w:p w14:paraId="67CCC393" w14:textId="77777777" w:rsidR="00A720EB" w:rsidRDefault="0030286B">
      <w:pPr>
        <w:pStyle w:val="3"/>
        <w:numPr>
          <w:ilvl w:val="2"/>
          <w:numId w:val="24"/>
        </w:numPr>
        <w:tabs>
          <w:tab w:val="left" w:pos="858"/>
        </w:tabs>
        <w:ind w:hanging="734"/>
      </w:pPr>
      <w:bookmarkStart w:id="660" w:name="5.6.6._Metrics_endpoint"/>
      <w:bookmarkStart w:id="661" w:name="_Toc54423866"/>
      <w:bookmarkEnd w:id="660"/>
      <w:r>
        <w:rPr>
          <w:color w:val="333333"/>
          <w:w w:val="110"/>
        </w:rPr>
        <w:t>Metrics</w:t>
      </w:r>
      <w:r>
        <w:rPr>
          <w:color w:val="333333"/>
          <w:spacing w:val="-5"/>
          <w:w w:val="110"/>
        </w:rPr>
        <w:t xml:space="preserve"> </w:t>
      </w:r>
      <w:r>
        <w:rPr>
          <w:color w:val="333333"/>
          <w:w w:val="110"/>
        </w:rPr>
        <w:t>endpoint</w:t>
      </w:r>
      <w:bookmarkEnd w:id="661"/>
    </w:p>
    <w:p w14:paraId="3577C1AF" w14:textId="77777777" w:rsidR="00A720EB" w:rsidRDefault="0030286B">
      <w:pPr>
        <w:pStyle w:val="a3"/>
        <w:spacing w:before="243" w:line="300" w:lineRule="auto"/>
        <w:ind w:left="124" w:right="127"/>
        <w:jc w:val="both"/>
      </w:pPr>
      <w:r>
        <w:rPr>
          <w:color w:val="333333"/>
          <w:w w:val="110"/>
        </w:rPr>
        <w:t xml:space="preserve">Spring Boot provides a </w:t>
      </w:r>
      <w:r>
        <w:rPr>
          <w:rFonts w:ascii="MS Gothic"/>
          <w:color w:val="B02045"/>
          <w:w w:val="110"/>
        </w:rPr>
        <w:t xml:space="preserve">metrics </w:t>
      </w:r>
      <w:r>
        <w:rPr>
          <w:color w:val="333333"/>
          <w:w w:val="110"/>
        </w:rPr>
        <w:t xml:space="preserve">endpoint that can be used diagnostically to examine the metrics collected by an application. The endpoint is not available by default and must be exposed, see </w:t>
      </w:r>
      <w:hyperlink w:anchor="_bookmark382" w:history="1">
        <w:r>
          <w:rPr>
            <w:color w:val="418BCA"/>
            <w:w w:val="110"/>
          </w:rPr>
          <w:t xml:space="preserve">exposing endpoints </w:t>
        </w:r>
      </w:hyperlink>
      <w:r>
        <w:rPr>
          <w:color w:val="333333"/>
          <w:w w:val="110"/>
        </w:rPr>
        <w:t>for more details.</w:t>
      </w:r>
    </w:p>
    <w:p w14:paraId="4E4E23E6" w14:textId="77777777" w:rsidR="00A720EB" w:rsidRDefault="0030286B">
      <w:pPr>
        <w:pStyle w:val="a3"/>
        <w:spacing w:before="235" w:line="290" w:lineRule="auto"/>
        <w:ind w:left="124" w:right="129"/>
        <w:jc w:val="both"/>
      </w:pPr>
      <w:r>
        <w:rPr>
          <w:color w:val="333333"/>
          <w:w w:val="110"/>
        </w:rPr>
        <w:t xml:space="preserve">Navigating to </w:t>
      </w:r>
      <w:r>
        <w:rPr>
          <w:rFonts w:ascii="MS Gothic"/>
          <w:color w:val="B02045"/>
          <w:w w:val="110"/>
        </w:rPr>
        <w:t>/actuator/metrics</w:t>
      </w:r>
      <w:r>
        <w:rPr>
          <w:rFonts w:ascii="MS Gothic"/>
          <w:color w:val="B02045"/>
          <w:spacing w:val="-60"/>
          <w:w w:val="110"/>
        </w:rPr>
        <w:t xml:space="preserve"> </w:t>
      </w:r>
      <w:r>
        <w:rPr>
          <w:color w:val="333333"/>
          <w:w w:val="110"/>
        </w:rPr>
        <w:t xml:space="preserve">displays a list of available meter names. </w:t>
      </w:r>
      <w:r>
        <w:rPr>
          <w:color w:val="333333"/>
          <w:spacing w:val="-6"/>
          <w:w w:val="110"/>
        </w:rPr>
        <w:t xml:space="preserve">You </w:t>
      </w:r>
      <w:r>
        <w:rPr>
          <w:color w:val="333333"/>
          <w:w w:val="110"/>
        </w:rPr>
        <w:t xml:space="preserve">can drill down to view information about a particular meter </w:t>
      </w:r>
      <w:r>
        <w:rPr>
          <w:color w:val="333333"/>
          <w:spacing w:val="-3"/>
          <w:w w:val="110"/>
        </w:rPr>
        <w:t xml:space="preserve">by </w:t>
      </w:r>
      <w:r>
        <w:rPr>
          <w:color w:val="333333"/>
          <w:w w:val="110"/>
        </w:rPr>
        <w:t>providing its name as a selector, e.g.</w:t>
      </w:r>
    </w:p>
    <w:p w14:paraId="26C419C7" w14:textId="77777777" w:rsidR="00A720EB" w:rsidRDefault="0030286B">
      <w:pPr>
        <w:pStyle w:val="a3"/>
        <w:spacing w:before="8"/>
        <w:ind w:left="124"/>
      </w:pPr>
      <w:r>
        <w:rPr>
          <w:rFonts w:ascii="MS Gothic"/>
          <w:color w:val="B02045"/>
        </w:rPr>
        <w:t>/actuator/metrics/jvm.memory.max</w:t>
      </w:r>
      <w:r>
        <w:rPr>
          <w:color w:val="333333"/>
        </w:rPr>
        <w:t>.</w:t>
      </w:r>
    </w:p>
    <w:p w14:paraId="4C1DBE5C" w14:textId="77777777" w:rsidR="00A720EB" w:rsidRDefault="00A720EB">
      <w:pPr>
        <w:pStyle w:val="a3"/>
        <w:spacing w:before="6"/>
      </w:pPr>
    </w:p>
    <w:p w14:paraId="2C1CABCF" w14:textId="77777777" w:rsidR="00A720EB" w:rsidRDefault="00E10349">
      <w:pPr>
        <w:pStyle w:val="a3"/>
        <w:spacing w:before="125" w:line="297" w:lineRule="auto"/>
        <w:ind w:left="1564" w:right="362"/>
        <w:jc w:val="both"/>
      </w:pPr>
      <w:r>
        <w:pict w14:anchorId="2E562B08">
          <v:line id="_x0000_s1938" style="position:absolute;left:0;text-align:left;z-index:16273408;mso-position-horizontal-relative:page" from="108.25pt,.25pt" to="108.25pt,87.15pt" strokecolor="#ededed" strokeweight=".5pt">
            <w10:wrap anchorx="page"/>
          </v:line>
        </w:pict>
      </w:r>
      <w:r w:rsidR="0030286B">
        <w:rPr>
          <w:noProof/>
        </w:rPr>
        <w:drawing>
          <wp:anchor distT="0" distB="0" distL="0" distR="0" simplePos="0" relativeHeight="16273920" behindDoc="0" locked="0" layoutInCell="1" allowOverlap="1" wp14:anchorId="3ABDA2FB" wp14:editId="18223F31">
            <wp:simplePos x="0" y="0"/>
            <wp:positionH relativeFrom="page">
              <wp:posOffset>888949</wp:posOffset>
            </wp:positionH>
            <wp:positionV relativeFrom="paragraph">
              <wp:posOffset>402755</wp:posOffset>
            </wp:positionV>
            <wp:extent cx="209550" cy="304800"/>
            <wp:effectExtent l="0" t="0" r="0" b="0"/>
            <wp:wrapNone/>
            <wp:docPr id="6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30.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 name you use here should match the name used in the code, not the name  </w:t>
      </w:r>
      <w:r w:rsidR="0030286B">
        <w:rPr>
          <w:color w:val="333333"/>
          <w:spacing w:val="50"/>
          <w:w w:val="110"/>
        </w:rPr>
        <w:t xml:space="preserve"> </w:t>
      </w:r>
      <w:r w:rsidR="0030286B">
        <w:rPr>
          <w:color w:val="333333"/>
          <w:w w:val="110"/>
        </w:rPr>
        <w:t xml:space="preserve">after it has been naming-convention normalized for a monitoring system it is shipped to. In other words, if </w:t>
      </w:r>
      <w:r w:rsidR="0030286B">
        <w:rPr>
          <w:rFonts w:ascii="MS Gothic"/>
          <w:color w:val="B02045"/>
          <w:w w:val="110"/>
        </w:rPr>
        <w:t xml:space="preserve">jvm.memory.max </w:t>
      </w:r>
      <w:r w:rsidR="0030286B">
        <w:rPr>
          <w:color w:val="333333"/>
          <w:w w:val="110"/>
        </w:rPr>
        <w:t xml:space="preserve">appears as </w:t>
      </w:r>
      <w:r w:rsidR="0030286B">
        <w:rPr>
          <w:rFonts w:ascii="MS Gothic"/>
          <w:color w:val="B02045"/>
          <w:w w:val="110"/>
        </w:rPr>
        <w:t xml:space="preserve">jvm_memory_max </w:t>
      </w:r>
      <w:r w:rsidR="0030286B">
        <w:rPr>
          <w:color w:val="333333"/>
          <w:w w:val="110"/>
        </w:rPr>
        <w:t xml:space="preserve">in Prometheus because of its snake case naming convention, you should still use </w:t>
      </w:r>
      <w:r w:rsidR="0030286B">
        <w:rPr>
          <w:rFonts w:ascii="MS Gothic"/>
          <w:color w:val="B02045"/>
          <w:w w:val="110"/>
        </w:rPr>
        <w:t>jvm.memory.max</w:t>
      </w:r>
      <w:r w:rsidR="0030286B">
        <w:rPr>
          <w:rFonts w:ascii="MS Gothic"/>
          <w:color w:val="B02045"/>
          <w:spacing w:val="-75"/>
          <w:w w:val="110"/>
        </w:rPr>
        <w:t xml:space="preserve"> </w:t>
      </w:r>
      <w:r w:rsidR="0030286B">
        <w:rPr>
          <w:color w:val="333333"/>
          <w:w w:val="110"/>
        </w:rPr>
        <w:t>as</w:t>
      </w:r>
      <w:r w:rsidR="0030286B">
        <w:rPr>
          <w:color w:val="333333"/>
          <w:spacing w:val="-11"/>
          <w:w w:val="110"/>
        </w:rPr>
        <w:t xml:space="preserve"> </w:t>
      </w:r>
      <w:r w:rsidR="0030286B">
        <w:rPr>
          <w:color w:val="333333"/>
          <w:w w:val="110"/>
        </w:rPr>
        <w:t>the</w:t>
      </w:r>
      <w:r w:rsidR="0030286B">
        <w:rPr>
          <w:color w:val="333333"/>
          <w:spacing w:val="-9"/>
          <w:w w:val="110"/>
        </w:rPr>
        <w:t xml:space="preserve"> </w:t>
      </w:r>
      <w:r w:rsidR="0030286B">
        <w:rPr>
          <w:color w:val="333333"/>
          <w:w w:val="110"/>
        </w:rPr>
        <w:t>selector</w:t>
      </w:r>
      <w:r w:rsidR="0030286B">
        <w:rPr>
          <w:color w:val="333333"/>
          <w:spacing w:val="-10"/>
          <w:w w:val="110"/>
        </w:rPr>
        <w:t xml:space="preserve"> </w:t>
      </w:r>
      <w:r w:rsidR="0030286B">
        <w:rPr>
          <w:color w:val="333333"/>
          <w:w w:val="110"/>
        </w:rPr>
        <w:t>when</w:t>
      </w:r>
      <w:r w:rsidR="0030286B">
        <w:rPr>
          <w:color w:val="333333"/>
          <w:spacing w:val="-11"/>
          <w:w w:val="110"/>
        </w:rPr>
        <w:t xml:space="preserve"> </w:t>
      </w:r>
      <w:r w:rsidR="0030286B">
        <w:rPr>
          <w:color w:val="333333"/>
          <w:w w:val="110"/>
        </w:rPr>
        <w:t>inspecting</w:t>
      </w:r>
      <w:r w:rsidR="0030286B">
        <w:rPr>
          <w:color w:val="333333"/>
          <w:spacing w:val="-10"/>
          <w:w w:val="110"/>
        </w:rPr>
        <w:t xml:space="preserve"> </w:t>
      </w:r>
      <w:r w:rsidR="0030286B">
        <w:rPr>
          <w:color w:val="333333"/>
          <w:w w:val="110"/>
        </w:rPr>
        <w:t>the</w:t>
      </w:r>
      <w:r w:rsidR="0030286B">
        <w:rPr>
          <w:color w:val="333333"/>
          <w:spacing w:val="-10"/>
          <w:w w:val="110"/>
        </w:rPr>
        <w:t xml:space="preserve"> </w:t>
      </w:r>
      <w:r w:rsidR="0030286B">
        <w:rPr>
          <w:color w:val="333333"/>
          <w:w w:val="110"/>
        </w:rPr>
        <w:t>meter</w:t>
      </w:r>
      <w:r w:rsidR="0030286B">
        <w:rPr>
          <w:color w:val="333333"/>
          <w:spacing w:val="-11"/>
          <w:w w:val="110"/>
        </w:rPr>
        <w:t xml:space="preserve"> </w:t>
      </w:r>
      <w:r w:rsidR="0030286B">
        <w:rPr>
          <w:color w:val="333333"/>
          <w:w w:val="110"/>
        </w:rPr>
        <w:t>in</w:t>
      </w:r>
      <w:r w:rsidR="0030286B">
        <w:rPr>
          <w:color w:val="333333"/>
          <w:spacing w:val="-10"/>
          <w:w w:val="110"/>
        </w:rPr>
        <w:t xml:space="preserve"> </w:t>
      </w:r>
      <w:r w:rsidR="0030286B">
        <w:rPr>
          <w:color w:val="333333"/>
          <w:w w:val="110"/>
        </w:rPr>
        <w:t>the</w:t>
      </w:r>
      <w:r w:rsidR="0030286B">
        <w:rPr>
          <w:color w:val="333333"/>
          <w:spacing w:val="-6"/>
          <w:w w:val="110"/>
        </w:rPr>
        <w:t xml:space="preserve"> </w:t>
      </w:r>
      <w:r w:rsidR="0030286B">
        <w:rPr>
          <w:rFonts w:ascii="MS Gothic"/>
          <w:color w:val="B02045"/>
          <w:w w:val="110"/>
        </w:rPr>
        <w:t>metrics</w:t>
      </w:r>
      <w:r w:rsidR="0030286B">
        <w:rPr>
          <w:rFonts w:ascii="MS Gothic"/>
          <w:color w:val="B02045"/>
          <w:spacing w:val="-74"/>
          <w:w w:val="110"/>
        </w:rPr>
        <w:t xml:space="preserve"> </w:t>
      </w:r>
      <w:r w:rsidR="0030286B">
        <w:rPr>
          <w:color w:val="333333"/>
          <w:w w:val="110"/>
        </w:rPr>
        <w:t>endpoint.</w:t>
      </w:r>
    </w:p>
    <w:p w14:paraId="62F7FC9D" w14:textId="77777777" w:rsidR="00A720EB" w:rsidRDefault="00A720EB">
      <w:pPr>
        <w:pStyle w:val="a3"/>
        <w:spacing w:before="1"/>
        <w:rPr>
          <w:sz w:val="16"/>
        </w:rPr>
      </w:pPr>
    </w:p>
    <w:p w14:paraId="5EA2F9C3" w14:textId="77777777" w:rsidR="00A720EB" w:rsidRDefault="0030286B">
      <w:pPr>
        <w:pStyle w:val="a3"/>
        <w:spacing w:before="116" w:line="280" w:lineRule="auto"/>
        <w:ind w:left="124"/>
      </w:pPr>
      <w:r>
        <w:rPr>
          <w:color w:val="333333"/>
          <w:w w:val="110"/>
        </w:rPr>
        <w:t xml:space="preserve">You can also add any number of </w:t>
      </w:r>
      <w:r>
        <w:rPr>
          <w:rFonts w:ascii="MS Gothic"/>
          <w:color w:val="B02045"/>
          <w:w w:val="110"/>
        </w:rPr>
        <w:t xml:space="preserve">tag=KEY:VALUE </w:t>
      </w:r>
      <w:r>
        <w:rPr>
          <w:color w:val="333333"/>
          <w:w w:val="110"/>
        </w:rPr>
        <w:t xml:space="preserve">query parameters to the end of the URL to dimensionally drill down on a meter, e.g. </w:t>
      </w:r>
      <w:r>
        <w:rPr>
          <w:rFonts w:ascii="MS Gothic"/>
          <w:color w:val="B02045"/>
          <w:w w:val="110"/>
        </w:rPr>
        <w:t>/actuator/metrics/jvm.memory.max?tag=</w:t>
      </w:r>
      <w:proofErr w:type="gramStart"/>
      <w:r>
        <w:rPr>
          <w:rFonts w:ascii="MS Gothic"/>
          <w:color w:val="B02045"/>
          <w:w w:val="110"/>
        </w:rPr>
        <w:t>area:nonheap</w:t>
      </w:r>
      <w:proofErr w:type="gramEnd"/>
      <w:r>
        <w:rPr>
          <w:color w:val="333333"/>
          <w:w w:val="110"/>
        </w:rPr>
        <w:t>.</w:t>
      </w:r>
    </w:p>
    <w:p w14:paraId="2D5488CE" w14:textId="77777777" w:rsidR="00A720EB" w:rsidRDefault="00A720EB">
      <w:pPr>
        <w:spacing w:line="280" w:lineRule="auto"/>
        <w:sectPr w:rsidR="00A720EB">
          <w:pgSz w:w="11910" w:h="16840"/>
          <w:pgMar w:top="580" w:right="840" w:bottom="520" w:left="840" w:header="0" w:footer="323" w:gutter="0"/>
          <w:cols w:space="720"/>
        </w:sectPr>
      </w:pPr>
    </w:p>
    <w:p w14:paraId="1F110DF2" w14:textId="77777777" w:rsidR="00A720EB" w:rsidRDefault="00E10349">
      <w:pPr>
        <w:pStyle w:val="a3"/>
        <w:spacing w:before="68" w:line="316" w:lineRule="exact"/>
        <w:ind w:left="1564" w:right="367"/>
        <w:jc w:val="both"/>
      </w:pPr>
      <w:r>
        <w:lastRenderedPageBreak/>
        <w:pict w14:anchorId="74DF03A1">
          <v:line id="_x0000_s1937" style="position:absolute;left:0;text-align:left;z-index:-41260032;mso-position-horizontal-relative:page" from="108.25pt,.1pt" to="108.25pt,118.55pt" strokecolor="#ededed" strokeweight=".5pt">
            <w10:wrap anchorx="page"/>
          </v:line>
        </w:pict>
      </w:r>
      <w:r w:rsidR="0030286B">
        <w:rPr>
          <w:color w:val="333333"/>
          <w:w w:val="110"/>
        </w:rPr>
        <w:t xml:space="preserve">The reported measurements are the </w:t>
      </w:r>
      <w:r w:rsidR="0030286B">
        <w:rPr>
          <w:rFonts w:ascii="Palatino Linotype"/>
          <w:i/>
          <w:color w:val="333333"/>
          <w:w w:val="110"/>
        </w:rPr>
        <w:t xml:space="preserve">sum </w:t>
      </w:r>
      <w:r w:rsidR="0030286B">
        <w:rPr>
          <w:color w:val="333333"/>
          <w:w w:val="110"/>
        </w:rPr>
        <w:t xml:space="preserve">of the statistics of all meters matching the meter name and any tags that have been applied. </w:t>
      </w:r>
      <w:proofErr w:type="gramStart"/>
      <w:r w:rsidR="0030286B">
        <w:rPr>
          <w:color w:val="333333"/>
          <w:w w:val="110"/>
        </w:rPr>
        <w:t>So</w:t>
      </w:r>
      <w:proofErr w:type="gramEnd"/>
      <w:r w:rsidR="0030286B">
        <w:rPr>
          <w:color w:val="333333"/>
          <w:w w:val="110"/>
        </w:rPr>
        <w:t xml:space="preserve"> in the example above, the returned</w:t>
      </w:r>
      <w:r w:rsidR="0030286B">
        <w:rPr>
          <w:color w:val="333333"/>
          <w:spacing w:val="22"/>
          <w:w w:val="110"/>
        </w:rPr>
        <w:t xml:space="preserve"> </w:t>
      </w:r>
      <w:r w:rsidR="0030286B">
        <w:rPr>
          <w:color w:val="333333"/>
          <w:spacing w:val="-3"/>
          <w:w w:val="110"/>
        </w:rPr>
        <w:t>"Value"</w:t>
      </w:r>
      <w:r w:rsidR="0030286B">
        <w:rPr>
          <w:color w:val="333333"/>
          <w:spacing w:val="20"/>
          <w:w w:val="110"/>
        </w:rPr>
        <w:t xml:space="preserve"> </w:t>
      </w:r>
      <w:r w:rsidR="0030286B">
        <w:rPr>
          <w:color w:val="333333"/>
          <w:w w:val="110"/>
        </w:rPr>
        <w:t>statistic</w:t>
      </w:r>
      <w:r w:rsidR="0030286B">
        <w:rPr>
          <w:color w:val="333333"/>
          <w:spacing w:val="23"/>
          <w:w w:val="110"/>
        </w:rPr>
        <w:t xml:space="preserve"> </w:t>
      </w:r>
      <w:r w:rsidR="0030286B">
        <w:rPr>
          <w:color w:val="333333"/>
          <w:w w:val="110"/>
        </w:rPr>
        <w:t>is</w:t>
      </w:r>
      <w:r w:rsidR="0030286B">
        <w:rPr>
          <w:color w:val="333333"/>
          <w:spacing w:val="20"/>
          <w:w w:val="110"/>
        </w:rPr>
        <w:t xml:space="preserve"> </w:t>
      </w:r>
      <w:r w:rsidR="0030286B">
        <w:rPr>
          <w:color w:val="333333"/>
          <w:w w:val="110"/>
        </w:rPr>
        <w:t>the</w:t>
      </w:r>
      <w:r w:rsidR="0030286B">
        <w:rPr>
          <w:color w:val="333333"/>
          <w:spacing w:val="23"/>
          <w:w w:val="110"/>
        </w:rPr>
        <w:t xml:space="preserve"> </w:t>
      </w:r>
      <w:r w:rsidR="0030286B">
        <w:rPr>
          <w:color w:val="333333"/>
          <w:w w:val="110"/>
        </w:rPr>
        <w:t>sum</w:t>
      </w:r>
      <w:r w:rsidR="0030286B">
        <w:rPr>
          <w:color w:val="333333"/>
          <w:spacing w:val="22"/>
          <w:w w:val="110"/>
        </w:rPr>
        <w:t xml:space="preserve"> </w:t>
      </w:r>
      <w:r w:rsidR="0030286B">
        <w:rPr>
          <w:color w:val="333333"/>
          <w:w w:val="110"/>
        </w:rPr>
        <w:t>of</w:t>
      </w:r>
      <w:r w:rsidR="0030286B">
        <w:rPr>
          <w:color w:val="333333"/>
          <w:spacing w:val="22"/>
          <w:w w:val="110"/>
        </w:rPr>
        <w:t xml:space="preserve"> </w:t>
      </w:r>
      <w:r w:rsidR="0030286B">
        <w:rPr>
          <w:color w:val="333333"/>
          <w:w w:val="110"/>
        </w:rPr>
        <w:t>the</w:t>
      </w:r>
      <w:r w:rsidR="0030286B">
        <w:rPr>
          <w:color w:val="333333"/>
          <w:spacing w:val="22"/>
          <w:w w:val="110"/>
        </w:rPr>
        <w:t xml:space="preserve"> </w:t>
      </w:r>
      <w:r w:rsidR="0030286B">
        <w:rPr>
          <w:color w:val="333333"/>
          <w:w w:val="110"/>
        </w:rPr>
        <w:t>maximum</w:t>
      </w:r>
      <w:r w:rsidR="0030286B">
        <w:rPr>
          <w:color w:val="333333"/>
          <w:spacing w:val="21"/>
          <w:w w:val="110"/>
        </w:rPr>
        <w:t xml:space="preserve"> </w:t>
      </w:r>
      <w:r w:rsidR="0030286B">
        <w:rPr>
          <w:color w:val="333333"/>
          <w:w w:val="110"/>
        </w:rPr>
        <w:t>memory</w:t>
      </w:r>
      <w:r w:rsidR="0030286B">
        <w:rPr>
          <w:color w:val="333333"/>
          <w:spacing w:val="20"/>
          <w:w w:val="110"/>
        </w:rPr>
        <w:t xml:space="preserve"> </w:t>
      </w:r>
      <w:r w:rsidR="0030286B">
        <w:rPr>
          <w:color w:val="333333"/>
          <w:w w:val="110"/>
        </w:rPr>
        <w:t>footprints</w:t>
      </w:r>
      <w:r w:rsidR="0030286B">
        <w:rPr>
          <w:color w:val="333333"/>
          <w:spacing w:val="23"/>
          <w:w w:val="110"/>
        </w:rPr>
        <w:t xml:space="preserve"> </w:t>
      </w:r>
      <w:r w:rsidR="0030286B">
        <w:rPr>
          <w:color w:val="333333"/>
          <w:w w:val="110"/>
        </w:rPr>
        <w:t>of</w:t>
      </w:r>
      <w:r w:rsidR="0030286B">
        <w:rPr>
          <w:color w:val="333333"/>
          <w:spacing w:val="22"/>
          <w:w w:val="110"/>
        </w:rPr>
        <w:t xml:space="preserve"> </w:t>
      </w:r>
      <w:r w:rsidR="0030286B">
        <w:rPr>
          <w:color w:val="333333"/>
          <w:w w:val="110"/>
        </w:rPr>
        <w:t>"Code</w:t>
      </w:r>
    </w:p>
    <w:p w14:paraId="6C50BED9" w14:textId="77777777" w:rsidR="00A720EB" w:rsidRDefault="0030286B">
      <w:pPr>
        <w:pStyle w:val="a3"/>
        <w:spacing w:line="389" w:lineRule="exact"/>
        <w:ind w:left="559"/>
      </w:pPr>
      <w:r>
        <w:rPr>
          <w:noProof/>
          <w:position w:val="-15"/>
        </w:rPr>
        <w:drawing>
          <wp:inline distT="0" distB="0" distL="0" distR="0" wp14:anchorId="2A9B269C" wp14:editId="1D24F089">
            <wp:extent cx="209550" cy="304800"/>
            <wp:effectExtent l="0" t="0" r="0" b="0"/>
            <wp:docPr id="6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0.png"/>
                    <pic:cNvPicPr/>
                  </pic:nvPicPr>
                  <pic:blipFill>
                    <a:blip r:embed="rId31" cstate="print"/>
                    <a:stretch>
                      <a:fillRect/>
                    </a:stretch>
                  </pic:blipFill>
                  <pic:spPr>
                    <a:xfrm>
                      <a:off x="0" y="0"/>
                      <a:ext cx="209550" cy="304800"/>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33333"/>
          <w:w w:val="110"/>
        </w:rPr>
        <w:t>Cache",</w:t>
      </w:r>
      <w:r>
        <w:rPr>
          <w:color w:val="333333"/>
          <w:spacing w:val="21"/>
          <w:w w:val="110"/>
        </w:rPr>
        <w:t xml:space="preserve"> </w:t>
      </w:r>
      <w:r>
        <w:rPr>
          <w:color w:val="333333"/>
          <w:w w:val="110"/>
        </w:rPr>
        <w:t>"Compressed</w:t>
      </w:r>
      <w:r>
        <w:rPr>
          <w:color w:val="333333"/>
          <w:spacing w:val="22"/>
          <w:w w:val="110"/>
        </w:rPr>
        <w:t xml:space="preserve"> </w:t>
      </w:r>
      <w:r>
        <w:rPr>
          <w:color w:val="333333"/>
          <w:w w:val="110"/>
        </w:rPr>
        <w:t>Class</w:t>
      </w:r>
      <w:r>
        <w:rPr>
          <w:color w:val="333333"/>
          <w:spacing w:val="22"/>
          <w:w w:val="110"/>
        </w:rPr>
        <w:t xml:space="preserve"> </w:t>
      </w:r>
      <w:r>
        <w:rPr>
          <w:color w:val="333333"/>
          <w:w w:val="110"/>
        </w:rPr>
        <w:t>Space",</w:t>
      </w:r>
      <w:r>
        <w:rPr>
          <w:color w:val="333333"/>
          <w:spacing w:val="22"/>
          <w:w w:val="110"/>
        </w:rPr>
        <w:t xml:space="preserve"> </w:t>
      </w:r>
      <w:r>
        <w:rPr>
          <w:color w:val="333333"/>
          <w:w w:val="110"/>
        </w:rPr>
        <w:t>and</w:t>
      </w:r>
      <w:r>
        <w:rPr>
          <w:color w:val="333333"/>
          <w:spacing w:val="22"/>
          <w:w w:val="110"/>
        </w:rPr>
        <w:t xml:space="preserve"> </w:t>
      </w:r>
      <w:r>
        <w:rPr>
          <w:color w:val="333333"/>
          <w:w w:val="110"/>
        </w:rPr>
        <w:t>"Metaspace"</w:t>
      </w:r>
      <w:r>
        <w:rPr>
          <w:color w:val="333333"/>
          <w:spacing w:val="22"/>
          <w:w w:val="110"/>
        </w:rPr>
        <w:t xml:space="preserve"> </w:t>
      </w:r>
      <w:r>
        <w:rPr>
          <w:color w:val="333333"/>
          <w:w w:val="110"/>
        </w:rPr>
        <w:t>areas</w:t>
      </w:r>
      <w:r>
        <w:rPr>
          <w:color w:val="333333"/>
          <w:spacing w:val="22"/>
          <w:w w:val="110"/>
        </w:rPr>
        <w:t xml:space="preserve"> </w:t>
      </w:r>
      <w:r>
        <w:rPr>
          <w:color w:val="333333"/>
          <w:w w:val="110"/>
        </w:rPr>
        <w:t>of</w:t>
      </w:r>
      <w:r>
        <w:rPr>
          <w:color w:val="333333"/>
          <w:spacing w:val="22"/>
          <w:w w:val="110"/>
        </w:rPr>
        <w:t xml:space="preserve"> </w:t>
      </w:r>
      <w:r>
        <w:rPr>
          <w:color w:val="333333"/>
          <w:w w:val="110"/>
        </w:rPr>
        <w:t>the</w:t>
      </w:r>
      <w:r>
        <w:rPr>
          <w:color w:val="333333"/>
          <w:spacing w:val="22"/>
          <w:w w:val="110"/>
        </w:rPr>
        <w:t xml:space="preserve"> </w:t>
      </w:r>
      <w:r>
        <w:rPr>
          <w:color w:val="333333"/>
          <w:w w:val="110"/>
        </w:rPr>
        <w:t>heap.</w:t>
      </w:r>
      <w:r>
        <w:rPr>
          <w:color w:val="333333"/>
          <w:spacing w:val="22"/>
          <w:w w:val="110"/>
        </w:rPr>
        <w:t xml:space="preserve"> </w:t>
      </w:r>
      <w:r>
        <w:rPr>
          <w:color w:val="333333"/>
          <w:w w:val="110"/>
        </w:rPr>
        <w:t>If</w:t>
      </w:r>
      <w:r>
        <w:rPr>
          <w:color w:val="333333"/>
          <w:spacing w:val="22"/>
          <w:w w:val="110"/>
        </w:rPr>
        <w:t xml:space="preserve"> </w:t>
      </w:r>
      <w:r>
        <w:rPr>
          <w:color w:val="333333"/>
          <w:w w:val="110"/>
        </w:rPr>
        <w:t>you</w:t>
      </w:r>
      <w:r>
        <w:rPr>
          <w:color w:val="333333"/>
          <w:spacing w:val="22"/>
          <w:w w:val="110"/>
        </w:rPr>
        <w:t xml:space="preserve"> </w:t>
      </w:r>
      <w:r>
        <w:rPr>
          <w:color w:val="333333"/>
          <w:w w:val="110"/>
        </w:rPr>
        <w:t>only</w:t>
      </w:r>
    </w:p>
    <w:p w14:paraId="70B6850A" w14:textId="77777777" w:rsidR="00A720EB" w:rsidRDefault="0030286B">
      <w:pPr>
        <w:pStyle w:val="a3"/>
        <w:spacing w:line="225" w:lineRule="exact"/>
        <w:ind w:left="1564"/>
        <w:jc w:val="both"/>
      </w:pPr>
      <w:r>
        <w:rPr>
          <w:color w:val="333333"/>
          <w:w w:val="110"/>
        </w:rPr>
        <w:t>wanted</w:t>
      </w:r>
      <w:r>
        <w:rPr>
          <w:color w:val="333333"/>
          <w:spacing w:val="16"/>
          <w:w w:val="110"/>
        </w:rPr>
        <w:t xml:space="preserve"> </w:t>
      </w:r>
      <w:r>
        <w:rPr>
          <w:color w:val="333333"/>
          <w:w w:val="110"/>
        </w:rPr>
        <w:t>to</w:t>
      </w:r>
      <w:r>
        <w:rPr>
          <w:color w:val="333333"/>
          <w:spacing w:val="16"/>
          <w:w w:val="110"/>
        </w:rPr>
        <w:t xml:space="preserve"> </w:t>
      </w:r>
      <w:r>
        <w:rPr>
          <w:color w:val="333333"/>
          <w:w w:val="110"/>
        </w:rPr>
        <w:t>see</w:t>
      </w:r>
      <w:r>
        <w:rPr>
          <w:color w:val="333333"/>
          <w:spacing w:val="17"/>
          <w:w w:val="110"/>
        </w:rPr>
        <w:t xml:space="preserve"> </w:t>
      </w:r>
      <w:r>
        <w:rPr>
          <w:color w:val="333333"/>
          <w:w w:val="110"/>
        </w:rPr>
        <w:t>the</w:t>
      </w:r>
      <w:r>
        <w:rPr>
          <w:color w:val="333333"/>
          <w:spacing w:val="16"/>
          <w:w w:val="110"/>
        </w:rPr>
        <w:t xml:space="preserve"> </w:t>
      </w:r>
      <w:r>
        <w:rPr>
          <w:color w:val="333333"/>
          <w:w w:val="110"/>
        </w:rPr>
        <w:t>maximum</w:t>
      </w:r>
      <w:r>
        <w:rPr>
          <w:color w:val="333333"/>
          <w:spacing w:val="16"/>
          <w:w w:val="110"/>
        </w:rPr>
        <w:t xml:space="preserve"> </w:t>
      </w:r>
      <w:r>
        <w:rPr>
          <w:color w:val="333333"/>
          <w:w w:val="110"/>
        </w:rPr>
        <w:t>size</w:t>
      </w:r>
      <w:r>
        <w:rPr>
          <w:color w:val="333333"/>
          <w:spacing w:val="17"/>
          <w:w w:val="110"/>
        </w:rPr>
        <w:t xml:space="preserve"> </w:t>
      </w:r>
      <w:r>
        <w:rPr>
          <w:color w:val="333333"/>
          <w:w w:val="110"/>
        </w:rPr>
        <w:t>for</w:t>
      </w:r>
      <w:r>
        <w:rPr>
          <w:color w:val="333333"/>
          <w:spacing w:val="16"/>
          <w:w w:val="110"/>
        </w:rPr>
        <w:t xml:space="preserve"> </w:t>
      </w:r>
      <w:r>
        <w:rPr>
          <w:color w:val="333333"/>
          <w:w w:val="110"/>
        </w:rPr>
        <w:t>the</w:t>
      </w:r>
      <w:r>
        <w:rPr>
          <w:color w:val="333333"/>
          <w:spacing w:val="17"/>
          <w:w w:val="110"/>
        </w:rPr>
        <w:t xml:space="preserve"> </w:t>
      </w:r>
      <w:r>
        <w:rPr>
          <w:color w:val="333333"/>
          <w:w w:val="110"/>
        </w:rPr>
        <w:t>"Metaspace",</w:t>
      </w:r>
      <w:r>
        <w:rPr>
          <w:color w:val="333333"/>
          <w:spacing w:val="16"/>
          <w:w w:val="110"/>
        </w:rPr>
        <w:t xml:space="preserve"> </w:t>
      </w:r>
      <w:r>
        <w:rPr>
          <w:color w:val="333333"/>
          <w:w w:val="110"/>
        </w:rPr>
        <w:t>you</w:t>
      </w:r>
      <w:r>
        <w:rPr>
          <w:color w:val="333333"/>
          <w:spacing w:val="16"/>
          <w:w w:val="110"/>
        </w:rPr>
        <w:t xml:space="preserve"> </w:t>
      </w:r>
      <w:r>
        <w:rPr>
          <w:color w:val="333333"/>
          <w:w w:val="110"/>
        </w:rPr>
        <w:t>could</w:t>
      </w:r>
      <w:r>
        <w:rPr>
          <w:color w:val="333333"/>
          <w:spacing w:val="17"/>
          <w:w w:val="110"/>
        </w:rPr>
        <w:t xml:space="preserve"> </w:t>
      </w:r>
      <w:r>
        <w:rPr>
          <w:color w:val="333333"/>
          <w:w w:val="110"/>
        </w:rPr>
        <w:t>add</w:t>
      </w:r>
      <w:r>
        <w:rPr>
          <w:color w:val="333333"/>
          <w:spacing w:val="16"/>
          <w:w w:val="110"/>
        </w:rPr>
        <w:t xml:space="preserve"> </w:t>
      </w:r>
      <w:r>
        <w:rPr>
          <w:color w:val="333333"/>
          <w:w w:val="110"/>
        </w:rPr>
        <w:t>an</w:t>
      </w:r>
      <w:r>
        <w:rPr>
          <w:color w:val="333333"/>
          <w:spacing w:val="16"/>
          <w:w w:val="110"/>
        </w:rPr>
        <w:t xml:space="preserve"> </w:t>
      </w:r>
      <w:r>
        <w:rPr>
          <w:color w:val="333333"/>
          <w:w w:val="110"/>
        </w:rPr>
        <w:t>additional</w:t>
      </w:r>
    </w:p>
    <w:p w14:paraId="251AB45D" w14:textId="77777777" w:rsidR="00A720EB" w:rsidRDefault="0030286B">
      <w:pPr>
        <w:pStyle w:val="a3"/>
        <w:tabs>
          <w:tab w:val="left" w:pos="9576"/>
        </w:tabs>
        <w:spacing w:before="59"/>
        <w:ind w:left="1564"/>
      </w:pPr>
      <w:r>
        <w:rPr>
          <w:rFonts w:ascii="MS Gothic"/>
          <w:color w:val="B02045"/>
          <w:w w:val="105"/>
        </w:rPr>
        <w:t>tag=</w:t>
      </w:r>
      <w:proofErr w:type="gramStart"/>
      <w:r>
        <w:rPr>
          <w:rFonts w:ascii="MS Gothic"/>
          <w:color w:val="B02045"/>
          <w:w w:val="105"/>
        </w:rPr>
        <w:t>id:Metaspace</w:t>
      </w:r>
      <w:proofErr w:type="gramEnd"/>
      <w:r>
        <w:rPr>
          <w:color w:val="333333"/>
          <w:w w:val="105"/>
        </w:rPr>
        <w:t>,</w:t>
      </w:r>
      <w:r>
        <w:rPr>
          <w:color w:val="333333"/>
          <w:w w:val="105"/>
        </w:rPr>
        <w:tab/>
      </w:r>
      <w:r>
        <w:rPr>
          <w:color w:val="333333"/>
          <w:w w:val="110"/>
        </w:rPr>
        <w:t>i.e.</w:t>
      </w:r>
    </w:p>
    <w:p w14:paraId="0C8624A3" w14:textId="77777777" w:rsidR="00A720EB" w:rsidRDefault="0030286B">
      <w:pPr>
        <w:pStyle w:val="a3"/>
        <w:spacing w:before="47"/>
        <w:ind w:left="1564"/>
      </w:pPr>
      <w:r>
        <w:rPr>
          <w:rFonts w:ascii="MS Gothic"/>
          <w:color w:val="B02045"/>
        </w:rPr>
        <w:t>/actuator/metrics/jvm.memory.max?tag=</w:t>
      </w:r>
      <w:proofErr w:type="gramStart"/>
      <w:r>
        <w:rPr>
          <w:rFonts w:ascii="MS Gothic"/>
          <w:color w:val="B02045"/>
        </w:rPr>
        <w:t>area:nonheap</w:t>
      </w:r>
      <w:proofErr w:type="gramEnd"/>
      <w:r>
        <w:rPr>
          <w:rFonts w:ascii="MS Gothic"/>
          <w:color w:val="B02045"/>
        </w:rPr>
        <w:t>&amp;tag=id:Metaspace</w:t>
      </w:r>
      <w:r>
        <w:rPr>
          <w:color w:val="333333"/>
        </w:rPr>
        <w:t>.</w:t>
      </w:r>
    </w:p>
    <w:p w14:paraId="11383452" w14:textId="77777777" w:rsidR="00A720EB" w:rsidRDefault="00A720EB">
      <w:pPr>
        <w:pStyle w:val="a3"/>
        <w:spacing w:before="6"/>
        <w:rPr>
          <w:sz w:val="37"/>
        </w:rPr>
      </w:pPr>
    </w:p>
    <w:p w14:paraId="343BDC9F" w14:textId="77777777" w:rsidR="00A720EB" w:rsidRDefault="0030286B">
      <w:pPr>
        <w:pStyle w:val="2"/>
        <w:numPr>
          <w:ilvl w:val="1"/>
          <w:numId w:val="24"/>
        </w:numPr>
        <w:tabs>
          <w:tab w:val="left" w:pos="832"/>
        </w:tabs>
      </w:pPr>
      <w:bookmarkStart w:id="662" w:name="5.7._Auditing"/>
      <w:bookmarkStart w:id="663" w:name="_Toc54423867"/>
      <w:bookmarkEnd w:id="662"/>
      <w:r>
        <w:rPr>
          <w:color w:val="333333"/>
          <w:w w:val="105"/>
        </w:rPr>
        <w:t>Auditing</w:t>
      </w:r>
      <w:bookmarkEnd w:id="663"/>
    </w:p>
    <w:p w14:paraId="778B8764" w14:textId="77777777" w:rsidR="00A720EB" w:rsidRDefault="0030286B">
      <w:pPr>
        <w:pStyle w:val="a3"/>
        <w:spacing w:before="253" w:line="307" w:lineRule="auto"/>
        <w:ind w:left="124" w:right="128"/>
        <w:jc w:val="both"/>
      </w:pPr>
      <w:r>
        <w:rPr>
          <w:color w:val="333333"/>
          <w:w w:val="110"/>
        </w:rPr>
        <w:t>Once Spring Security is in play, Spring Boot Actuator has a flexible audit framework that publishes events (by default, “authentication success”, “failure” and “access denied” exceptions). This feature can be very useful for reporting and for implementing a lock-out policy based on authentication failures.</w:t>
      </w:r>
    </w:p>
    <w:p w14:paraId="3ED5FA0B" w14:textId="77777777" w:rsidR="00A720EB" w:rsidRDefault="0030286B">
      <w:pPr>
        <w:pStyle w:val="a3"/>
        <w:spacing w:before="231" w:line="288" w:lineRule="auto"/>
        <w:ind w:left="124" w:right="122"/>
        <w:jc w:val="both"/>
      </w:pPr>
      <w:r>
        <w:rPr>
          <w:color w:val="333333"/>
          <w:w w:val="110"/>
        </w:rPr>
        <w:t xml:space="preserve">Auditing can be enabled </w:t>
      </w:r>
      <w:r>
        <w:rPr>
          <w:color w:val="333333"/>
          <w:spacing w:val="-3"/>
          <w:w w:val="110"/>
        </w:rPr>
        <w:t xml:space="preserve">by </w:t>
      </w:r>
      <w:r>
        <w:rPr>
          <w:color w:val="333333"/>
          <w:w w:val="110"/>
        </w:rPr>
        <w:t xml:space="preserve">providing a bean of type </w:t>
      </w:r>
      <w:r>
        <w:rPr>
          <w:rFonts w:ascii="MS Gothic" w:hAnsi="MS Gothic"/>
          <w:color w:val="B02045"/>
          <w:w w:val="110"/>
        </w:rPr>
        <w:t xml:space="preserve">AuditEventRepository </w:t>
      </w:r>
      <w:r>
        <w:rPr>
          <w:color w:val="333333"/>
          <w:w w:val="110"/>
        </w:rPr>
        <w:t xml:space="preserve">in your application’s configuration. </w:t>
      </w:r>
      <w:r>
        <w:rPr>
          <w:color w:val="333333"/>
          <w:spacing w:val="-4"/>
          <w:w w:val="110"/>
        </w:rPr>
        <w:t xml:space="preserve">For </w:t>
      </w:r>
      <w:r>
        <w:rPr>
          <w:color w:val="333333"/>
          <w:w w:val="110"/>
        </w:rPr>
        <w:t xml:space="preserve">convenience, Spring Boot offers an </w:t>
      </w:r>
      <w:r>
        <w:rPr>
          <w:rFonts w:ascii="MS Gothic" w:hAnsi="MS Gothic"/>
          <w:color w:val="B02045"/>
          <w:w w:val="110"/>
        </w:rPr>
        <w:t>InMemoryAuditEventRepository</w:t>
      </w:r>
      <w:r>
        <w:rPr>
          <w:color w:val="333333"/>
          <w:w w:val="110"/>
        </w:rPr>
        <w:t xml:space="preserve">. </w:t>
      </w:r>
      <w:r>
        <w:rPr>
          <w:rFonts w:ascii="MS Gothic" w:hAnsi="MS Gothic"/>
          <w:color w:val="B02045"/>
          <w:w w:val="110"/>
        </w:rPr>
        <w:t xml:space="preserve">InMemoryAuditEventRepository </w:t>
      </w:r>
      <w:r>
        <w:rPr>
          <w:color w:val="333333"/>
          <w:w w:val="110"/>
        </w:rPr>
        <w:t xml:space="preserve">has limited capabilities and we recommend using it only for development environments. </w:t>
      </w:r>
      <w:r>
        <w:rPr>
          <w:color w:val="333333"/>
          <w:spacing w:val="-4"/>
          <w:w w:val="110"/>
        </w:rPr>
        <w:t xml:space="preserve">For </w:t>
      </w:r>
      <w:r>
        <w:rPr>
          <w:color w:val="333333"/>
          <w:w w:val="110"/>
        </w:rPr>
        <w:t xml:space="preserve">production environments, consider creating your own alternative </w:t>
      </w:r>
      <w:r>
        <w:rPr>
          <w:rFonts w:ascii="MS Gothic" w:hAnsi="MS Gothic"/>
          <w:color w:val="B02045"/>
          <w:w w:val="110"/>
        </w:rPr>
        <w:t>AuditEventRepository</w:t>
      </w:r>
      <w:r>
        <w:rPr>
          <w:rFonts w:ascii="MS Gothic" w:hAnsi="MS Gothic"/>
          <w:color w:val="B02045"/>
          <w:spacing w:val="-64"/>
          <w:w w:val="110"/>
        </w:rPr>
        <w:t xml:space="preserve"> </w:t>
      </w:r>
      <w:r>
        <w:rPr>
          <w:color w:val="333333"/>
          <w:w w:val="110"/>
        </w:rPr>
        <w:t>implementation.</w:t>
      </w:r>
    </w:p>
    <w:p w14:paraId="31E6556F" w14:textId="77777777" w:rsidR="00A720EB" w:rsidRDefault="00A720EB">
      <w:pPr>
        <w:pStyle w:val="a3"/>
        <w:spacing w:before="10"/>
        <w:rPr>
          <w:sz w:val="25"/>
        </w:rPr>
      </w:pPr>
    </w:p>
    <w:p w14:paraId="6C684A34" w14:textId="77777777" w:rsidR="00A720EB" w:rsidRDefault="0030286B">
      <w:pPr>
        <w:pStyle w:val="3"/>
        <w:numPr>
          <w:ilvl w:val="2"/>
          <w:numId w:val="24"/>
        </w:numPr>
        <w:tabs>
          <w:tab w:val="left" w:pos="858"/>
        </w:tabs>
        <w:ind w:hanging="734"/>
      </w:pPr>
      <w:bookmarkStart w:id="664" w:name="5.7.1._Custom_Auditing"/>
      <w:bookmarkStart w:id="665" w:name="_Toc54423868"/>
      <w:bookmarkEnd w:id="664"/>
      <w:r>
        <w:rPr>
          <w:color w:val="333333"/>
          <w:w w:val="105"/>
        </w:rPr>
        <w:t>Custom</w:t>
      </w:r>
      <w:r>
        <w:rPr>
          <w:color w:val="333333"/>
          <w:spacing w:val="12"/>
          <w:w w:val="105"/>
        </w:rPr>
        <w:t xml:space="preserve"> </w:t>
      </w:r>
      <w:r>
        <w:rPr>
          <w:color w:val="333333"/>
          <w:w w:val="105"/>
        </w:rPr>
        <w:t>Auditing</w:t>
      </w:r>
      <w:bookmarkEnd w:id="665"/>
    </w:p>
    <w:p w14:paraId="77F3A6A5" w14:textId="77777777" w:rsidR="00A720EB" w:rsidRDefault="0030286B">
      <w:pPr>
        <w:pStyle w:val="a3"/>
        <w:spacing w:before="254"/>
        <w:ind w:left="124"/>
        <w:jc w:val="both"/>
      </w:pPr>
      <w:r>
        <w:rPr>
          <w:color w:val="333333"/>
          <w:w w:val="110"/>
        </w:rPr>
        <w:t>To customize published security events, you can provide your own implementations of</w:t>
      </w:r>
    </w:p>
    <w:p w14:paraId="594D0E96" w14:textId="77777777" w:rsidR="00A720EB" w:rsidRDefault="0030286B">
      <w:pPr>
        <w:pStyle w:val="a3"/>
        <w:spacing w:before="59"/>
        <w:ind w:left="124"/>
        <w:jc w:val="both"/>
      </w:pPr>
      <w:r>
        <w:rPr>
          <w:rFonts w:ascii="MS Gothic"/>
          <w:color w:val="B02045"/>
        </w:rPr>
        <w:t xml:space="preserve">AbstractAuthenticationAuditListener </w:t>
      </w:r>
      <w:r>
        <w:rPr>
          <w:color w:val="333333"/>
        </w:rPr>
        <w:t xml:space="preserve">and </w:t>
      </w:r>
      <w:r>
        <w:rPr>
          <w:rFonts w:ascii="MS Gothic"/>
          <w:color w:val="B02045"/>
        </w:rPr>
        <w:t>AbstractAuthorizationAuditListener</w:t>
      </w:r>
      <w:r>
        <w:rPr>
          <w:color w:val="333333"/>
        </w:rPr>
        <w:t>.</w:t>
      </w:r>
    </w:p>
    <w:p w14:paraId="7C357A10" w14:textId="77777777" w:rsidR="00A720EB" w:rsidRDefault="00A720EB">
      <w:pPr>
        <w:pStyle w:val="a3"/>
        <w:spacing w:before="3"/>
        <w:rPr>
          <w:sz w:val="25"/>
        </w:rPr>
      </w:pPr>
    </w:p>
    <w:p w14:paraId="2A98B565" w14:textId="77777777" w:rsidR="00A720EB" w:rsidRDefault="0030286B">
      <w:pPr>
        <w:pStyle w:val="a3"/>
        <w:spacing w:before="1" w:line="288" w:lineRule="auto"/>
        <w:ind w:left="124" w:right="123"/>
        <w:jc w:val="both"/>
      </w:pPr>
      <w:r>
        <w:rPr>
          <w:color w:val="333333"/>
          <w:w w:val="110"/>
        </w:rPr>
        <w:t xml:space="preserve">You can also use the audit services for your own business events. To do so, either inject the </w:t>
      </w:r>
      <w:r>
        <w:rPr>
          <w:rFonts w:ascii="MS Gothic"/>
          <w:color w:val="B02045"/>
          <w:w w:val="110"/>
        </w:rPr>
        <w:t xml:space="preserve">AuditEventRepository </w:t>
      </w:r>
      <w:r>
        <w:rPr>
          <w:color w:val="333333"/>
          <w:w w:val="110"/>
        </w:rPr>
        <w:t xml:space="preserve">bean into your own components and use that directly or publish </w:t>
      </w:r>
      <w:proofErr w:type="gramStart"/>
      <w:r>
        <w:rPr>
          <w:color w:val="333333"/>
          <w:w w:val="110"/>
        </w:rPr>
        <w:t xml:space="preserve">an  </w:t>
      </w:r>
      <w:r>
        <w:rPr>
          <w:rFonts w:ascii="MS Gothic"/>
          <w:color w:val="B02045"/>
          <w:w w:val="110"/>
        </w:rPr>
        <w:t>AuditApplicationEvent</w:t>
      </w:r>
      <w:proofErr w:type="gramEnd"/>
      <w:r>
        <w:rPr>
          <w:rFonts w:ascii="MS Gothic"/>
          <w:color w:val="B02045"/>
          <w:w w:val="110"/>
        </w:rPr>
        <w:t xml:space="preserve"> </w:t>
      </w:r>
      <w:r>
        <w:rPr>
          <w:color w:val="333333"/>
          <w:w w:val="110"/>
        </w:rPr>
        <w:t xml:space="preserve">with the Spring </w:t>
      </w:r>
      <w:r>
        <w:rPr>
          <w:rFonts w:ascii="MS Gothic"/>
          <w:color w:val="B02045"/>
          <w:w w:val="110"/>
        </w:rPr>
        <w:t xml:space="preserve">ApplicationEventPublisher </w:t>
      </w:r>
      <w:r>
        <w:rPr>
          <w:color w:val="333333"/>
          <w:w w:val="110"/>
        </w:rPr>
        <w:t xml:space="preserve">(by implementing </w:t>
      </w:r>
      <w:r>
        <w:rPr>
          <w:rFonts w:ascii="MS Gothic"/>
          <w:color w:val="B02045"/>
          <w:w w:val="110"/>
        </w:rPr>
        <w:t>ApplicationEventPublisherAware</w:t>
      </w:r>
      <w:r>
        <w:rPr>
          <w:color w:val="333333"/>
          <w:w w:val="110"/>
        </w:rPr>
        <w:t>).</w:t>
      </w:r>
    </w:p>
    <w:p w14:paraId="3F73A7A7" w14:textId="77777777" w:rsidR="00A720EB" w:rsidRDefault="00A720EB">
      <w:pPr>
        <w:pStyle w:val="a3"/>
        <w:spacing w:before="7"/>
        <w:rPr>
          <w:sz w:val="25"/>
        </w:rPr>
      </w:pPr>
    </w:p>
    <w:p w14:paraId="52F381D7" w14:textId="77777777" w:rsidR="00A720EB" w:rsidRDefault="0030286B">
      <w:pPr>
        <w:pStyle w:val="2"/>
        <w:numPr>
          <w:ilvl w:val="1"/>
          <w:numId w:val="24"/>
        </w:numPr>
        <w:tabs>
          <w:tab w:val="left" w:pos="832"/>
        </w:tabs>
        <w:spacing w:before="1"/>
      </w:pPr>
      <w:bookmarkStart w:id="666" w:name="5.8._HTTP_Tracing"/>
      <w:bookmarkStart w:id="667" w:name="_Toc54423869"/>
      <w:bookmarkEnd w:id="666"/>
      <w:r>
        <w:rPr>
          <w:color w:val="333333"/>
          <w:w w:val="110"/>
        </w:rPr>
        <w:t>HTTP</w:t>
      </w:r>
      <w:r>
        <w:rPr>
          <w:color w:val="333333"/>
          <w:spacing w:val="-9"/>
          <w:w w:val="110"/>
        </w:rPr>
        <w:t xml:space="preserve"> </w:t>
      </w:r>
      <w:r>
        <w:rPr>
          <w:color w:val="333333"/>
          <w:w w:val="110"/>
        </w:rPr>
        <w:t>Tracing</w:t>
      </w:r>
      <w:bookmarkEnd w:id="667"/>
    </w:p>
    <w:p w14:paraId="62C8FC94" w14:textId="77777777" w:rsidR="00A720EB" w:rsidRDefault="0030286B">
      <w:pPr>
        <w:pStyle w:val="a3"/>
        <w:spacing w:before="242" w:line="295" w:lineRule="auto"/>
        <w:ind w:left="124" w:right="122"/>
        <w:jc w:val="both"/>
      </w:pPr>
      <w:r>
        <w:rPr>
          <w:color w:val="333333"/>
          <w:w w:val="110"/>
        </w:rPr>
        <w:t xml:space="preserve">HTTP Tracing can be enabled </w:t>
      </w:r>
      <w:r>
        <w:rPr>
          <w:color w:val="333333"/>
          <w:spacing w:val="-3"/>
          <w:w w:val="110"/>
        </w:rPr>
        <w:t xml:space="preserve">by </w:t>
      </w:r>
      <w:r>
        <w:rPr>
          <w:color w:val="333333"/>
          <w:w w:val="110"/>
        </w:rPr>
        <w:t xml:space="preserve">providing a bean of type </w:t>
      </w:r>
      <w:r>
        <w:rPr>
          <w:rFonts w:ascii="MS Gothic" w:hAnsi="MS Gothic"/>
          <w:color w:val="B02045"/>
          <w:w w:val="110"/>
        </w:rPr>
        <w:t>HttpTraceRepository</w:t>
      </w:r>
      <w:r>
        <w:rPr>
          <w:rFonts w:ascii="MS Gothic" w:hAnsi="MS Gothic"/>
          <w:color w:val="B02045"/>
          <w:spacing w:val="-50"/>
          <w:w w:val="110"/>
        </w:rPr>
        <w:t xml:space="preserve"> </w:t>
      </w:r>
      <w:r>
        <w:rPr>
          <w:color w:val="333333"/>
          <w:w w:val="110"/>
        </w:rPr>
        <w:t xml:space="preserve">in your application’s configuration. </w:t>
      </w:r>
      <w:r>
        <w:rPr>
          <w:color w:val="333333"/>
          <w:spacing w:val="-4"/>
          <w:w w:val="110"/>
        </w:rPr>
        <w:t xml:space="preserve">For </w:t>
      </w:r>
      <w:r>
        <w:rPr>
          <w:color w:val="333333"/>
          <w:w w:val="110"/>
        </w:rPr>
        <w:t xml:space="preserve">convenience, Spring Boot offers an </w:t>
      </w:r>
      <w:r>
        <w:rPr>
          <w:rFonts w:ascii="MS Gothic" w:hAnsi="MS Gothic"/>
          <w:color w:val="B02045"/>
          <w:w w:val="110"/>
        </w:rPr>
        <w:t xml:space="preserve">InMemoryHttpTraceRepository </w:t>
      </w:r>
      <w:r>
        <w:rPr>
          <w:color w:val="333333"/>
          <w:w w:val="110"/>
        </w:rPr>
        <w:t xml:space="preserve">that stores traces for the last 100 request-response exchanges, </w:t>
      </w:r>
      <w:r>
        <w:rPr>
          <w:color w:val="333333"/>
          <w:spacing w:val="-3"/>
          <w:w w:val="110"/>
        </w:rPr>
        <w:t xml:space="preserve">by </w:t>
      </w:r>
      <w:r>
        <w:rPr>
          <w:color w:val="333333"/>
          <w:w w:val="110"/>
        </w:rPr>
        <w:t xml:space="preserve">default. </w:t>
      </w:r>
      <w:r>
        <w:rPr>
          <w:rFonts w:ascii="MS Gothic" w:hAnsi="MS Gothic"/>
          <w:color w:val="B02045"/>
          <w:w w:val="110"/>
        </w:rPr>
        <w:t xml:space="preserve">InMemoryHttpTraceRepository </w:t>
      </w:r>
      <w:r>
        <w:rPr>
          <w:color w:val="333333"/>
          <w:w w:val="110"/>
        </w:rPr>
        <w:t xml:space="preserve">is limited compared to other tracing solutions and we recommend using it only for development environments. </w:t>
      </w:r>
      <w:r>
        <w:rPr>
          <w:color w:val="333333"/>
          <w:spacing w:val="-4"/>
          <w:w w:val="110"/>
        </w:rPr>
        <w:t xml:space="preserve">For </w:t>
      </w:r>
      <w:r>
        <w:rPr>
          <w:color w:val="333333"/>
          <w:w w:val="110"/>
        </w:rPr>
        <w:t xml:space="preserve">production environments, use of a production-ready tracing or observability solution, such as Zipkin or Spring Cloud Sleuth, is recommended. </w:t>
      </w:r>
      <w:r>
        <w:rPr>
          <w:color w:val="333333"/>
          <w:spacing w:val="-3"/>
          <w:w w:val="110"/>
        </w:rPr>
        <w:t xml:space="preserve">Alternatively, </w:t>
      </w:r>
      <w:r>
        <w:rPr>
          <w:color w:val="333333"/>
          <w:w w:val="110"/>
        </w:rPr>
        <w:t xml:space="preserve">create your own </w:t>
      </w:r>
      <w:r>
        <w:rPr>
          <w:rFonts w:ascii="MS Gothic" w:hAnsi="MS Gothic"/>
          <w:color w:val="B02045"/>
          <w:w w:val="110"/>
        </w:rPr>
        <w:t>HttpTraceRepository</w:t>
      </w:r>
      <w:r>
        <w:rPr>
          <w:rFonts w:ascii="MS Gothic" w:hAnsi="MS Gothic"/>
          <w:color w:val="B02045"/>
          <w:spacing w:val="-61"/>
          <w:w w:val="110"/>
        </w:rPr>
        <w:t xml:space="preserve"> </w:t>
      </w:r>
      <w:r>
        <w:rPr>
          <w:color w:val="333333"/>
          <w:w w:val="110"/>
        </w:rPr>
        <w:t>that meets your needs.</w:t>
      </w:r>
    </w:p>
    <w:p w14:paraId="538EB40C" w14:textId="77777777" w:rsidR="00A720EB" w:rsidRDefault="0030286B">
      <w:pPr>
        <w:pStyle w:val="a3"/>
        <w:spacing w:before="217" w:line="280" w:lineRule="auto"/>
        <w:ind w:left="124" w:right="128"/>
        <w:jc w:val="both"/>
      </w:pPr>
      <w:r>
        <w:rPr>
          <w:color w:val="333333"/>
          <w:w w:val="110"/>
        </w:rPr>
        <w:t xml:space="preserve">The </w:t>
      </w:r>
      <w:r>
        <w:rPr>
          <w:rFonts w:ascii="MS Gothic"/>
          <w:color w:val="B02045"/>
          <w:w w:val="110"/>
        </w:rPr>
        <w:t xml:space="preserve">httptrace </w:t>
      </w:r>
      <w:r>
        <w:rPr>
          <w:color w:val="333333"/>
          <w:w w:val="110"/>
        </w:rPr>
        <w:t xml:space="preserve">endpoint can be used to obtain information about the request-response exchanges that are stored in the </w:t>
      </w:r>
      <w:r>
        <w:rPr>
          <w:rFonts w:ascii="MS Gothic"/>
          <w:color w:val="B02045"/>
          <w:w w:val="110"/>
        </w:rPr>
        <w:t>HttpTraceRepository</w:t>
      </w:r>
      <w:r>
        <w:rPr>
          <w:color w:val="333333"/>
          <w:w w:val="110"/>
        </w:rPr>
        <w:t>.</w:t>
      </w:r>
    </w:p>
    <w:p w14:paraId="249E1AFC" w14:textId="77777777" w:rsidR="00A720EB" w:rsidRDefault="00A720EB">
      <w:pPr>
        <w:pStyle w:val="a3"/>
        <w:spacing w:before="8"/>
        <w:rPr>
          <w:sz w:val="26"/>
        </w:rPr>
      </w:pPr>
    </w:p>
    <w:p w14:paraId="607DFB3B" w14:textId="77777777" w:rsidR="00A720EB" w:rsidRDefault="0030286B">
      <w:pPr>
        <w:pStyle w:val="3"/>
        <w:numPr>
          <w:ilvl w:val="2"/>
          <w:numId w:val="24"/>
        </w:numPr>
        <w:tabs>
          <w:tab w:val="left" w:pos="858"/>
        </w:tabs>
        <w:ind w:hanging="734"/>
      </w:pPr>
      <w:bookmarkStart w:id="668" w:name="5.8.1._Custom_HTTP_tracing"/>
      <w:bookmarkStart w:id="669" w:name="_Toc54423870"/>
      <w:bookmarkEnd w:id="668"/>
      <w:r>
        <w:rPr>
          <w:color w:val="333333"/>
          <w:w w:val="110"/>
        </w:rPr>
        <w:t>Custom HTTP</w:t>
      </w:r>
      <w:r>
        <w:rPr>
          <w:color w:val="333333"/>
          <w:spacing w:val="-13"/>
          <w:w w:val="110"/>
        </w:rPr>
        <w:t xml:space="preserve"> </w:t>
      </w:r>
      <w:r>
        <w:rPr>
          <w:color w:val="333333"/>
          <w:w w:val="110"/>
        </w:rPr>
        <w:t>tracing</w:t>
      </w:r>
      <w:bookmarkEnd w:id="669"/>
    </w:p>
    <w:p w14:paraId="5C1BDD6D" w14:textId="77777777" w:rsidR="00A720EB" w:rsidRDefault="0030286B">
      <w:pPr>
        <w:pStyle w:val="a3"/>
        <w:spacing w:before="244"/>
        <w:ind w:left="124"/>
        <w:jc w:val="both"/>
        <w:rPr>
          <w:rFonts w:ascii="MS Gothic"/>
        </w:rPr>
      </w:pPr>
      <w:r>
        <w:rPr>
          <w:color w:val="333333"/>
          <w:w w:val="110"/>
        </w:rPr>
        <w:t xml:space="preserve">To customize the items that are included in each trace, use the </w:t>
      </w:r>
      <w:proofErr w:type="gramStart"/>
      <w:r>
        <w:rPr>
          <w:rFonts w:ascii="MS Gothic"/>
          <w:color w:val="B02045"/>
          <w:w w:val="110"/>
        </w:rPr>
        <w:t>management.trace</w:t>
      </w:r>
      <w:proofErr w:type="gramEnd"/>
      <w:r>
        <w:rPr>
          <w:rFonts w:ascii="MS Gothic"/>
          <w:color w:val="B02045"/>
          <w:w w:val="110"/>
        </w:rPr>
        <w:t>.http.include</w:t>
      </w:r>
    </w:p>
    <w:p w14:paraId="340A7404" w14:textId="77777777" w:rsidR="00A720EB" w:rsidRDefault="00A720EB">
      <w:pPr>
        <w:jc w:val="both"/>
        <w:rPr>
          <w:rFonts w:ascii="MS Gothic"/>
        </w:rPr>
        <w:sectPr w:rsidR="00A720EB">
          <w:pgSz w:w="11910" w:h="16840"/>
          <w:pgMar w:top="700" w:right="840" w:bottom="520" w:left="840" w:header="0" w:footer="323" w:gutter="0"/>
          <w:cols w:space="720"/>
        </w:sectPr>
      </w:pPr>
    </w:p>
    <w:p w14:paraId="101199FE" w14:textId="77777777" w:rsidR="00A720EB" w:rsidRDefault="0030286B">
      <w:pPr>
        <w:pStyle w:val="a3"/>
        <w:tabs>
          <w:tab w:val="left" w:pos="1743"/>
          <w:tab w:val="left" w:pos="2916"/>
          <w:tab w:val="left" w:pos="3511"/>
          <w:tab w:val="left" w:pos="4734"/>
          <w:tab w:val="left" w:pos="6460"/>
          <w:tab w:val="left" w:pos="7581"/>
          <w:tab w:val="left" w:pos="8927"/>
          <w:tab w:val="left" w:pos="9657"/>
        </w:tabs>
        <w:spacing w:before="107"/>
        <w:ind w:left="124"/>
      </w:pPr>
      <w:r>
        <w:rPr>
          <w:color w:val="333333"/>
          <w:w w:val="110"/>
        </w:rPr>
        <w:lastRenderedPageBreak/>
        <w:t>configuration</w:t>
      </w:r>
      <w:r>
        <w:rPr>
          <w:color w:val="333333"/>
          <w:w w:val="110"/>
        </w:rPr>
        <w:tab/>
      </w:r>
      <w:r>
        <w:rPr>
          <w:color w:val="333333"/>
          <w:spacing w:val="-3"/>
          <w:w w:val="110"/>
        </w:rPr>
        <w:t>property.</w:t>
      </w:r>
      <w:r>
        <w:rPr>
          <w:color w:val="333333"/>
          <w:spacing w:val="-3"/>
          <w:w w:val="110"/>
        </w:rPr>
        <w:tab/>
      </w:r>
      <w:r>
        <w:rPr>
          <w:color w:val="333333"/>
          <w:spacing w:val="-4"/>
          <w:w w:val="110"/>
        </w:rPr>
        <w:t>For</w:t>
      </w:r>
      <w:r>
        <w:rPr>
          <w:color w:val="333333"/>
          <w:spacing w:val="-4"/>
          <w:w w:val="110"/>
        </w:rPr>
        <w:tab/>
      </w:r>
      <w:r>
        <w:rPr>
          <w:color w:val="333333"/>
          <w:w w:val="110"/>
        </w:rPr>
        <w:t>advanced</w:t>
      </w:r>
      <w:r>
        <w:rPr>
          <w:color w:val="333333"/>
          <w:w w:val="110"/>
        </w:rPr>
        <w:tab/>
        <w:t>customization,</w:t>
      </w:r>
      <w:r>
        <w:rPr>
          <w:color w:val="333333"/>
          <w:w w:val="110"/>
        </w:rPr>
        <w:tab/>
        <w:t>consider</w:t>
      </w:r>
      <w:r>
        <w:rPr>
          <w:color w:val="333333"/>
          <w:w w:val="110"/>
        </w:rPr>
        <w:tab/>
        <w:t>registering</w:t>
      </w:r>
      <w:r>
        <w:rPr>
          <w:color w:val="333333"/>
          <w:w w:val="110"/>
        </w:rPr>
        <w:tab/>
        <w:t>your</w:t>
      </w:r>
      <w:r>
        <w:rPr>
          <w:color w:val="333333"/>
          <w:w w:val="110"/>
        </w:rPr>
        <w:tab/>
        <w:t>own</w:t>
      </w:r>
    </w:p>
    <w:p w14:paraId="0E4D6544" w14:textId="77777777" w:rsidR="00A720EB" w:rsidRDefault="0030286B">
      <w:pPr>
        <w:pStyle w:val="a3"/>
        <w:spacing w:before="59"/>
        <w:ind w:left="124"/>
      </w:pPr>
      <w:r>
        <w:rPr>
          <w:rFonts w:ascii="MS Gothic"/>
          <w:color w:val="B02045"/>
          <w:w w:val="110"/>
        </w:rPr>
        <w:t>HttpExchangeTracer</w:t>
      </w:r>
      <w:r>
        <w:rPr>
          <w:rFonts w:ascii="MS Gothic"/>
          <w:color w:val="B02045"/>
          <w:spacing w:val="-63"/>
          <w:w w:val="110"/>
        </w:rPr>
        <w:t xml:space="preserve"> </w:t>
      </w:r>
      <w:r>
        <w:rPr>
          <w:color w:val="333333"/>
          <w:w w:val="110"/>
        </w:rPr>
        <w:t>implementation.</w:t>
      </w:r>
    </w:p>
    <w:p w14:paraId="4A3299D3" w14:textId="77777777" w:rsidR="00A720EB" w:rsidRDefault="00A720EB">
      <w:pPr>
        <w:pStyle w:val="a3"/>
        <w:spacing w:before="7"/>
        <w:rPr>
          <w:sz w:val="30"/>
        </w:rPr>
      </w:pPr>
    </w:p>
    <w:p w14:paraId="12440F5E" w14:textId="77777777" w:rsidR="00A720EB" w:rsidRDefault="0030286B">
      <w:pPr>
        <w:pStyle w:val="2"/>
        <w:numPr>
          <w:ilvl w:val="1"/>
          <w:numId w:val="24"/>
        </w:numPr>
        <w:tabs>
          <w:tab w:val="left" w:pos="832"/>
        </w:tabs>
        <w:spacing w:before="1"/>
      </w:pPr>
      <w:bookmarkStart w:id="670" w:name="5.9._Process_Monitoring"/>
      <w:bookmarkStart w:id="671" w:name="_Toc54423871"/>
      <w:bookmarkEnd w:id="670"/>
      <w:r>
        <w:rPr>
          <w:color w:val="333333"/>
          <w:w w:val="110"/>
        </w:rPr>
        <w:t>Process</w:t>
      </w:r>
      <w:r>
        <w:rPr>
          <w:color w:val="333333"/>
          <w:spacing w:val="-7"/>
          <w:w w:val="110"/>
        </w:rPr>
        <w:t xml:space="preserve"> </w:t>
      </w:r>
      <w:r>
        <w:rPr>
          <w:color w:val="333333"/>
          <w:w w:val="110"/>
        </w:rPr>
        <w:t>Monitoring</w:t>
      </w:r>
      <w:bookmarkEnd w:id="671"/>
    </w:p>
    <w:p w14:paraId="580E4936" w14:textId="77777777" w:rsidR="00A720EB" w:rsidRDefault="0030286B">
      <w:pPr>
        <w:pStyle w:val="a3"/>
        <w:spacing w:before="242" w:line="290" w:lineRule="auto"/>
        <w:ind w:left="124"/>
      </w:pPr>
      <w:r>
        <w:rPr>
          <w:color w:val="333333"/>
          <w:w w:val="110"/>
        </w:rPr>
        <w:t xml:space="preserve">In the </w:t>
      </w:r>
      <w:r>
        <w:rPr>
          <w:rFonts w:ascii="MS Gothic"/>
          <w:color w:val="B02045"/>
          <w:w w:val="110"/>
        </w:rPr>
        <w:t xml:space="preserve">spring-boot </w:t>
      </w:r>
      <w:r>
        <w:rPr>
          <w:color w:val="333333"/>
          <w:w w:val="110"/>
        </w:rPr>
        <w:t>module, you can find two classes to create files that are often useful for process monitoring:</w:t>
      </w:r>
    </w:p>
    <w:p w14:paraId="371B8212" w14:textId="77777777" w:rsidR="00A720EB" w:rsidRDefault="0030286B">
      <w:pPr>
        <w:pStyle w:val="a6"/>
        <w:numPr>
          <w:ilvl w:val="0"/>
          <w:numId w:val="21"/>
        </w:numPr>
        <w:tabs>
          <w:tab w:val="left" w:pos="485"/>
        </w:tabs>
        <w:spacing w:before="248" w:line="280" w:lineRule="auto"/>
        <w:ind w:right="128"/>
        <w:rPr>
          <w:sz w:val="21"/>
        </w:rPr>
      </w:pPr>
      <w:r>
        <w:rPr>
          <w:rFonts w:ascii="MS Gothic" w:hAnsi="MS Gothic"/>
          <w:color w:val="B02045"/>
          <w:w w:val="110"/>
          <w:sz w:val="21"/>
        </w:rPr>
        <w:t xml:space="preserve">ApplicationPidFileWriter </w:t>
      </w:r>
      <w:r>
        <w:rPr>
          <w:color w:val="333333"/>
          <w:w w:val="110"/>
          <w:sz w:val="21"/>
        </w:rPr>
        <w:t>creates a file containing the application PID (by default, in the application directory with a file name of</w:t>
      </w:r>
      <w:r>
        <w:rPr>
          <w:color w:val="333333"/>
          <w:spacing w:val="15"/>
          <w:w w:val="110"/>
          <w:sz w:val="21"/>
        </w:rPr>
        <w:t xml:space="preserve"> </w:t>
      </w:r>
      <w:r>
        <w:rPr>
          <w:rFonts w:ascii="MS Gothic" w:hAnsi="MS Gothic"/>
          <w:color w:val="B02045"/>
          <w:w w:val="110"/>
          <w:sz w:val="21"/>
        </w:rPr>
        <w:t>application.pid</w:t>
      </w:r>
      <w:r>
        <w:rPr>
          <w:color w:val="333333"/>
          <w:w w:val="110"/>
          <w:sz w:val="21"/>
        </w:rPr>
        <w:t>).</w:t>
      </w:r>
    </w:p>
    <w:p w14:paraId="3559C422" w14:textId="77777777" w:rsidR="00A720EB" w:rsidRDefault="0030286B">
      <w:pPr>
        <w:pStyle w:val="a6"/>
        <w:numPr>
          <w:ilvl w:val="0"/>
          <w:numId w:val="21"/>
        </w:numPr>
        <w:tabs>
          <w:tab w:val="left" w:pos="485"/>
        </w:tabs>
        <w:spacing w:before="122" w:line="280" w:lineRule="auto"/>
        <w:ind w:right="125"/>
        <w:rPr>
          <w:sz w:val="21"/>
        </w:rPr>
      </w:pPr>
      <w:r>
        <w:rPr>
          <w:rFonts w:ascii="MS Gothic" w:hAnsi="MS Gothic"/>
          <w:color w:val="B02045"/>
          <w:w w:val="110"/>
          <w:sz w:val="21"/>
        </w:rPr>
        <w:t xml:space="preserve">WebServerPortFileWriter </w:t>
      </w:r>
      <w:r>
        <w:rPr>
          <w:color w:val="333333"/>
          <w:w w:val="110"/>
          <w:sz w:val="21"/>
        </w:rPr>
        <w:t>creates a file (or files) containing the ports of the running web server (by default, in the application directory with a file name of</w:t>
      </w:r>
      <w:r>
        <w:rPr>
          <w:color w:val="333333"/>
          <w:spacing w:val="10"/>
          <w:w w:val="110"/>
          <w:sz w:val="21"/>
        </w:rPr>
        <w:t xml:space="preserve"> </w:t>
      </w:r>
      <w:proofErr w:type="gramStart"/>
      <w:r>
        <w:rPr>
          <w:rFonts w:ascii="MS Gothic" w:hAnsi="MS Gothic"/>
          <w:color w:val="B02045"/>
          <w:w w:val="110"/>
          <w:sz w:val="21"/>
        </w:rPr>
        <w:t>application.port</w:t>
      </w:r>
      <w:proofErr w:type="gramEnd"/>
      <w:r>
        <w:rPr>
          <w:color w:val="333333"/>
          <w:w w:val="110"/>
          <w:sz w:val="21"/>
        </w:rPr>
        <w:t>).</w:t>
      </w:r>
    </w:p>
    <w:p w14:paraId="4FC60CCA" w14:textId="77777777" w:rsidR="00A720EB" w:rsidRDefault="00A720EB">
      <w:pPr>
        <w:pStyle w:val="a3"/>
        <w:spacing w:before="5"/>
      </w:pPr>
    </w:p>
    <w:p w14:paraId="7BE58350" w14:textId="77777777" w:rsidR="00A720EB" w:rsidRDefault="0030286B">
      <w:pPr>
        <w:pStyle w:val="a3"/>
        <w:spacing w:before="1"/>
        <w:ind w:left="124"/>
      </w:pPr>
      <w:r>
        <w:rPr>
          <w:color w:val="333333"/>
          <w:w w:val="110"/>
        </w:rPr>
        <w:t>By default, these writers are not activated, but you can enable:</w:t>
      </w:r>
    </w:p>
    <w:p w14:paraId="2EEB7D6A" w14:textId="77777777" w:rsidR="00A720EB" w:rsidRDefault="00A720EB">
      <w:pPr>
        <w:pStyle w:val="a3"/>
        <w:spacing w:before="4"/>
        <w:rPr>
          <w:sz w:val="26"/>
        </w:rPr>
      </w:pPr>
    </w:p>
    <w:p w14:paraId="1B370DF9" w14:textId="77777777" w:rsidR="00A720EB" w:rsidRDefault="00E10349">
      <w:pPr>
        <w:pStyle w:val="a6"/>
        <w:numPr>
          <w:ilvl w:val="0"/>
          <w:numId w:val="21"/>
        </w:numPr>
        <w:tabs>
          <w:tab w:val="left" w:pos="485"/>
        </w:tabs>
        <w:rPr>
          <w:sz w:val="21"/>
        </w:rPr>
      </w:pPr>
      <w:hyperlink w:anchor="_bookmark462" w:history="1">
        <w:r w:rsidR="0030286B">
          <w:rPr>
            <w:color w:val="418BCA"/>
            <w:spacing w:val="-3"/>
            <w:w w:val="110"/>
            <w:sz w:val="21"/>
          </w:rPr>
          <w:t xml:space="preserve">By </w:t>
        </w:r>
        <w:r w:rsidR="0030286B">
          <w:rPr>
            <w:color w:val="418BCA"/>
            <w:w w:val="110"/>
            <w:sz w:val="21"/>
          </w:rPr>
          <w:t>Extending</w:t>
        </w:r>
        <w:r w:rsidR="0030286B">
          <w:rPr>
            <w:color w:val="418BCA"/>
            <w:spacing w:val="9"/>
            <w:w w:val="110"/>
            <w:sz w:val="21"/>
          </w:rPr>
          <w:t xml:space="preserve"> </w:t>
        </w:r>
        <w:r w:rsidR="0030286B">
          <w:rPr>
            <w:color w:val="418BCA"/>
            <w:w w:val="110"/>
            <w:sz w:val="21"/>
          </w:rPr>
          <w:t>Configuration</w:t>
        </w:r>
      </w:hyperlink>
    </w:p>
    <w:p w14:paraId="2A1FC15B" w14:textId="77777777" w:rsidR="00A720EB" w:rsidRDefault="00E10349">
      <w:pPr>
        <w:pStyle w:val="a6"/>
        <w:numPr>
          <w:ilvl w:val="0"/>
          <w:numId w:val="21"/>
        </w:numPr>
        <w:tabs>
          <w:tab w:val="left" w:pos="485"/>
        </w:tabs>
        <w:spacing w:before="190"/>
        <w:rPr>
          <w:sz w:val="21"/>
        </w:rPr>
      </w:pPr>
      <w:hyperlink w:anchor="_bookmark463" w:history="1">
        <w:r w:rsidR="0030286B">
          <w:rPr>
            <w:color w:val="418BCA"/>
            <w:w w:val="110"/>
            <w:sz w:val="21"/>
          </w:rPr>
          <w:t>Programmatically</w:t>
        </w:r>
      </w:hyperlink>
    </w:p>
    <w:p w14:paraId="1F4986DE" w14:textId="77777777" w:rsidR="00A720EB" w:rsidRDefault="00A720EB">
      <w:pPr>
        <w:pStyle w:val="a3"/>
        <w:spacing w:before="6"/>
        <w:rPr>
          <w:sz w:val="31"/>
        </w:rPr>
      </w:pPr>
    </w:p>
    <w:p w14:paraId="62C7BF13" w14:textId="77777777" w:rsidR="00A720EB" w:rsidRDefault="0030286B">
      <w:pPr>
        <w:pStyle w:val="3"/>
        <w:numPr>
          <w:ilvl w:val="2"/>
          <w:numId w:val="24"/>
        </w:numPr>
        <w:tabs>
          <w:tab w:val="left" w:pos="858"/>
        </w:tabs>
        <w:ind w:hanging="734"/>
      </w:pPr>
      <w:bookmarkStart w:id="672" w:name="5.9.1._Extending_Configuration"/>
      <w:bookmarkStart w:id="673" w:name="_Toc54423872"/>
      <w:bookmarkEnd w:id="672"/>
      <w:r>
        <w:rPr>
          <w:color w:val="333333"/>
          <w:w w:val="110"/>
        </w:rPr>
        <w:t>Extending</w:t>
      </w:r>
      <w:r>
        <w:rPr>
          <w:color w:val="333333"/>
          <w:spacing w:val="-6"/>
          <w:w w:val="110"/>
        </w:rPr>
        <w:t xml:space="preserve"> </w:t>
      </w:r>
      <w:r>
        <w:rPr>
          <w:color w:val="333333"/>
          <w:w w:val="110"/>
        </w:rPr>
        <w:t>Configuration</w:t>
      </w:r>
      <w:bookmarkEnd w:id="673"/>
    </w:p>
    <w:p w14:paraId="23FA203C" w14:textId="77777777" w:rsidR="00A720EB" w:rsidRDefault="0030286B">
      <w:pPr>
        <w:pStyle w:val="a3"/>
        <w:spacing w:before="244" w:line="290" w:lineRule="auto"/>
        <w:ind w:left="124"/>
      </w:pPr>
      <w:r>
        <w:rPr>
          <w:color w:val="333333"/>
          <w:w w:val="110"/>
        </w:rPr>
        <w:t>In</w:t>
      </w:r>
      <w:r>
        <w:rPr>
          <w:color w:val="333333"/>
          <w:spacing w:val="-10"/>
          <w:w w:val="110"/>
        </w:rPr>
        <w:t xml:space="preserve"> </w:t>
      </w:r>
      <w:r>
        <w:rPr>
          <w:color w:val="333333"/>
          <w:w w:val="110"/>
        </w:rPr>
        <w:t>the</w:t>
      </w:r>
      <w:r>
        <w:rPr>
          <w:color w:val="333333"/>
          <w:spacing w:val="-11"/>
          <w:w w:val="110"/>
        </w:rPr>
        <w:t xml:space="preserve"> </w:t>
      </w:r>
      <w:r>
        <w:rPr>
          <w:rFonts w:ascii="MS Gothic"/>
          <w:color w:val="B02045"/>
          <w:w w:val="110"/>
        </w:rPr>
        <w:t>META-INF/spring.factories</w:t>
      </w:r>
      <w:r>
        <w:rPr>
          <w:rFonts w:ascii="MS Gothic"/>
          <w:color w:val="B02045"/>
          <w:spacing w:val="-74"/>
          <w:w w:val="110"/>
        </w:rPr>
        <w:t xml:space="preserve"> </w:t>
      </w:r>
      <w:r>
        <w:rPr>
          <w:color w:val="333333"/>
          <w:w w:val="110"/>
        </w:rPr>
        <w:t>file,</w:t>
      </w:r>
      <w:r>
        <w:rPr>
          <w:color w:val="333333"/>
          <w:spacing w:val="-10"/>
          <w:w w:val="110"/>
        </w:rPr>
        <w:t xml:space="preserve"> </w:t>
      </w:r>
      <w:r>
        <w:rPr>
          <w:color w:val="333333"/>
          <w:w w:val="110"/>
        </w:rPr>
        <w:t>you</w:t>
      </w:r>
      <w:r>
        <w:rPr>
          <w:color w:val="333333"/>
          <w:spacing w:val="-10"/>
          <w:w w:val="110"/>
        </w:rPr>
        <w:t xml:space="preserve"> </w:t>
      </w:r>
      <w:r>
        <w:rPr>
          <w:color w:val="333333"/>
          <w:w w:val="110"/>
        </w:rPr>
        <w:t>can</w:t>
      </w:r>
      <w:r>
        <w:rPr>
          <w:color w:val="333333"/>
          <w:spacing w:val="-10"/>
          <w:w w:val="110"/>
        </w:rPr>
        <w:t xml:space="preserve"> </w:t>
      </w:r>
      <w:r>
        <w:rPr>
          <w:color w:val="333333"/>
          <w:w w:val="110"/>
        </w:rPr>
        <w:t>activate</w:t>
      </w:r>
      <w:r>
        <w:rPr>
          <w:color w:val="333333"/>
          <w:spacing w:val="-10"/>
          <w:w w:val="110"/>
        </w:rPr>
        <w:t xml:space="preserve"> </w:t>
      </w:r>
      <w:r>
        <w:rPr>
          <w:color w:val="333333"/>
          <w:w w:val="110"/>
        </w:rPr>
        <w:t>the</w:t>
      </w:r>
      <w:r>
        <w:rPr>
          <w:color w:val="333333"/>
          <w:spacing w:val="-10"/>
          <w:w w:val="110"/>
        </w:rPr>
        <w:t xml:space="preserve"> </w:t>
      </w:r>
      <w:r>
        <w:rPr>
          <w:color w:val="333333"/>
          <w:w w:val="110"/>
        </w:rPr>
        <w:t>listener(s)</w:t>
      </w:r>
      <w:r>
        <w:rPr>
          <w:color w:val="333333"/>
          <w:spacing w:val="-10"/>
          <w:w w:val="110"/>
        </w:rPr>
        <w:t xml:space="preserve"> </w:t>
      </w:r>
      <w:r>
        <w:rPr>
          <w:color w:val="333333"/>
          <w:w w:val="110"/>
        </w:rPr>
        <w:t>that</w:t>
      </w:r>
      <w:r>
        <w:rPr>
          <w:color w:val="333333"/>
          <w:spacing w:val="-10"/>
          <w:w w:val="110"/>
        </w:rPr>
        <w:t xml:space="preserve"> </w:t>
      </w:r>
      <w:r>
        <w:rPr>
          <w:color w:val="333333"/>
          <w:w w:val="110"/>
        </w:rPr>
        <w:t>writes</w:t>
      </w:r>
      <w:r>
        <w:rPr>
          <w:color w:val="333333"/>
          <w:spacing w:val="-10"/>
          <w:w w:val="110"/>
        </w:rPr>
        <w:t xml:space="preserve"> </w:t>
      </w:r>
      <w:r>
        <w:rPr>
          <w:color w:val="333333"/>
          <w:w w:val="110"/>
        </w:rPr>
        <w:t>a</w:t>
      </w:r>
      <w:r>
        <w:rPr>
          <w:color w:val="333333"/>
          <w:spacing w:val="-10"/>
          <w:w w:val="110"/>
        </w:rPr>
        <w:t xml:space="preserve"> </w:t>
      </w:r>
      <w:r>
        <w:rPr>
          <w:color w:val="333333"/>
          <w:w w:val="110"/>
        </w:rPr>
        <w:t>PID</w:t>
      </w:r>
      <w:r>
        <w:rPr>
          <w:color w:val="333333"/>
          <w:spacing w:val="-10"/>
          <w:w w:val="110"/>
        </w:rPr>
        <w:t xml:space="preserve"> </w:t>
      </w:r>
      <w:r>
        <w:rPr>
          <w:color w:val="333333"/>
          <w:w w:val="110"/>
        </w:rPr>
        <w:t>file,</w:t>
      </w:r>
      <w:r>
        <w:rPr>
          <w:color w:val="333333"/>
          <w:spacing w:val="-10"/>
          <w:w w:val="110"/>
        </w:rPr>
        <w:t xml:space="preserve"> </w:t>
      </w:r>
      <w:r>
        <w:rPr>
          <w:color w:val="333333"/>
          <w:w w:val="110"/>
        </w:rPr>
        <w:t>as</w:t>
      </w:r>
      <w:r>
        <w:rPr>
          <w:color w:val="333333"/>
          <w:spacing w:val="-10"/>
          <w:w w:val="110"/>
        </w:rPr>
        <w:t xml:space="preserve"> </w:t>
      </w:r>
      <w:r>
        <w:rPr>
          <w:color w:val="333333"/>
          <w:w w:val="110"/>
        </w:rPr>
        <w:t>shown in the following</w:t>
      </w:r>
      <w:r>
        <w:rPr>
          <w:color w:val="333333"/>
          <w:spacing w:val="9"/>
          <w:w w:val="110"/>
        </w:rPr>
        <w:t xml:space="preserve"> </w:t>
      </w:r>
      <w:r>
        <w:rPr>
          <w:color w:val="333333"/>
          <w:w w:val="110"/>
        </w:rPr>
        <w:t>example:</w:t>
      </w:r>
    </w:p>
    <w:p w14:paraId="4DB35997" w14:textId="77777777" w:rsidR="00A720EB" w:rsidRDefault="00E10349">
      <w:pPr>
        <w:pStyle w:val="a3"/>
        <w:spacing w:before="7"/>
        <w:rPr>
          <w:sz w:val="14"/>
        </w:rPr>
      </w:pPr>
      <w:r>
        <w:pict w14:anchorId="2D2C84A6">
          <v:group id="_x0000_s1933" style="position:absolute;margin-left:47.85pt;margin-top:10.55pt;width:499.55pt;height:67pt;z-index:-15182336;mso-wrap-distance-left:0;mso-wrap-distance-right:0;mso-position-horizontal-relative:page" coordorigin="957,211" coordsize="9991,1340">
            <v:shape id="_x0000_s1936" style="position:absolute;left:964;top:218;width:9976;height:1325" coordorigin="965,219" coordsize="9976,1325" path="m10861,219r-9816,l1014,225r-26,17l971,267r-6,32l965,1463r6,31l988,1520r26,17l1045,1543r9816,l10892,1537r25,-17l10935,1494r6,-31l10941,299r-6,-32l10917,242r-25,-17l10861,219xe" fillcolor="#f5f5f5" stroked="f">
              <v:path arrowok="t"/>
            </v:shape>
            <v:shape id="_x0000_s1935" style="position:absolute;left:964;top:218;width:9976;height:1325" coordorigin="965,219" coordsize="9976,1325" path="m1045,219r9816,l10892,225r25,17l10935,267r6,32l10941,1463r-6,31l10917,1520r-25,17l10861,1543r-9816,l1014,1537r-26,-17l971,1494r-6,-31l965,299r6,-32l988,242r26,-17l1045,219xe" filled="f" strokecolor="#ccc">
              <v:path arrowok="t"/>
            </v:shape>
            <v:shape id="_x0000_s1934" type="#_x0000_t202" style="position:absolute;left:984;top:234;width:9938;height:1294" filled="f" stroked="f">
              <v:textbox inset="0,0,0,0">
                <w:txbxContent>
                  <w:p w14:paraId="04E2C5AF" w14:textId="77777777" w:rsidR="00711A16" w:rsidRDefault="00711A16">
                    <w:pPr>
                      <w:spacing w:before="221" w:line="252" w:lineRule="auto"/>
                      <w:ind w:left="200" w:right="3118"/>
                      <w:rPr>
                        <w:rFonts w:ascii="MS Gothic"/>
                      </w:rPr>
                    </w:pPr>
                    <w:proofErr w:type="gramStart"/>
                    <w:r>
                      <w:rPr>
                        <w:rFonts w:ascii="MS Gothic"/>
                        <w:color w:val="333333"/>
                      </w:rPr>
                      <w:t>org.springframework</w:t>
                    </w:r>
                    <w:proofErr w:type="gramEnd"/>
                    <w:r>
                      <w:rPr>
                        <w:rFonts w:ascii="MS Gothic"/>
                        <w:color w:val="333333"/>
                      </w:rPr>
                      <w:t>.context.ApplicationListener=\ org.springframework.boot.context.ApplicationPidFileWriter,\ org.springframework.boot.web.context.WebServerPortFileWriter</w:t>
                    </w:r>
                  </w:p>
                </w:txbxContent>
              </v:textbox>
            </v:shape>
            <w10:wrap type="topAndBottom" anchorx="page"/>
          </v:group>
        </w:pict>
      </w:r>
    </w:p>
    <w:p w14:paraId="7480CDBE" w14:textId="77777777" w:rsidR="00A720EB" w:rsidRDefault="00A720EB">
      <w:pPr>
        <w:pStyle w:val="a3"/>
        <w:spacing w:before="11"/>
        <w:rPr>
          <w:sz w:val="16"/>
        </w:rPr>
      </w:pPr>
    </w:p>
    <w:p w14:paraId="0C61F4B4" w14:textId="77777777" w:rsidR="00A720EB" w:rsidRDefault="0030286B">
      <w:pPr>
        <w:pStyle w:val="3"/>
        <w:numPr>
          <w:ilvl w:val="2"/>
          <w:numId w:val="24"/>
        </w:numPr>
        <w:tabs>
          <w:tab w:val="left" w:pos="858"/>
        </w:tabs>
        <w:spacing w:before="105"/>
        <w:ind w:hanging="734"/>
      </w:pPr>
      <w:bookmarkStart w:id="674" w:name="5.9.2._Programmatically"/>
      <w:bookmarkStart w:id="675" w:name="_Toc54423873"/>
      <w:bookmarkEnd w:id="674"/>
      <w:r>
        <w:rPr>
          <w:color w:val="333333"/>
          <w:w w:val="115"/>
        </w:rPr>
        <w:t>Programmatically</w:t>
      </w:r>
      <w:bookmarkEnd w:id="675"/>
    </w:p>
    <w:p w14:paraId="24F5487A" w14:textId="77777777" w:rsidR="00A720EB" w:rsidRDefault="0030286B">
      <w:pPr>
        <w:pStyle w:val="a3"/>
        <w:spacing w:before="243" w:line="280" w:lineRule="auto"/>
        <w:ind w:left="124" w:right="124"/>
        <w:jc w:val="both"/>
      </w:pPr>
      <w:r>
        <w:rPr>
          <w:color w:val="333333"/>
          <w:spacing w:val="-6"/>
          <w:w w:val="110"/>
        </w:rPr>
        <w:t xml:space="preserve">You </w:t>
      </w:r>
      <w:r>
        <w:rPr>
          <w:color w:val="333333"/>
          <w:w w:val="110"/>
        </w:rPr>
        <w:t xml:space="preserve">can also activate a listener </w:t>
      </w:r>
      <w:r>
        <w:rPr>
          <w:color w:val="333333"/>
          <w:spacing w:val="-3"/>
          <w:w w:val="110"/>
        </w:rPr>
        <w:t xml:space="preserve">by </w:t>
      </w:r>
      <w:r>
        <w:rPr>
          <w:color w:val="333333"/>
          <w:w w:val="110"/>
        </w:rPr>
        <w:t xml:space="preserve">invoking the </w:t>
      </w:r>
      <w:r>
        <w:rPr>
          <w:rFonts w:ascii="MS Gothic" w:hAnsi="MS Gothic"/>
          <w:color w:val="B02045"/>
          <w:w w:val="110"/>
        </w:rPr>
        <w:t xml:space="preserve">SpringApplication.addListeners(…) </w:t>
      </w:r>
      <w:r>
        <w:rPr>
          <w:color w:val="333333"/>
          <w:w w:val="110"/>
        </w:rPr>
        <w:t xml:space="preserve">method and passing the appropriate </w:t>
      </w:r>
      <w:r>
        <w:rPr>
          <w:rFonts w:ascii="MS Gothic" w:hAnsi="MS Gothic"/>
          <w:color w:val="B02045"/>
          <w:w w:val="110"/>
        </w:rPr>
        <w:t xml:space="preserve">Writer </w:t>
      </w:r>
      <w:r>
        <w:rPr>
          <w:color w:val="333333"/>
          <w:w w:val="110"/>
        </w:rPr>
        <w:t xml:space="preserve">object. This method also lets you customize the file name and </w:t>
      </w:r>
      <w:proofErr w:type="gramStart"/>
      <w:r>
        <w:rPr>
          <w:color w:val="333333"/>
          <w:w w:val="110"/>
        </w:rPr>
        <w:t>path  in</w:t>
      </w:r>
      <w:proofErr w:type="gramEnd"/>
      <w:r>
        <w:rPr>
          <w:color w:val="333333"/>
          <w:w w:val="110"/>
        </w:rPr>
        <w:t xml:space="preserve"> the </w:t>
      </w:r>
      <w:r>
        <w:rPr>
          <w:rFonts w:ascii="MS Gothic" w:hAnsi="MS Gothic"/>
          <w:color w:val="B02045"/>
          <w:w w:val="110"/>
        </w:rPr>
        <w:t>Writer</w:t>
      </w:r>
      <w:r>
        <w:rPr>
          <w:rFonts w:ascii="MS Gothic" w:hAnsi="MS Gothic"/>
          <w:color w:val="B02045"/>
          <w:spacing w:val="-57"/>
          <w:w w:val="110"/>
        </w:rPr>
        <w:t xml:space="preserve"> </w:t>
      </w:r>
      <w:r>
        <w:rPr>
          <w:color w:val="333333"/>
          <w:w w:val="110"/>
        </w:rPr>
        <w:t>constructor.</w:t>
      </w:r>
    </w:p>
    <w:p w14:paraId="70EA34CD" w14:textId="77777777" w:rsidR="00A720EB" w:rsidRDefault="00A720EB">
      <w:pPr>
        <w:pStyle w:val="a3"/>
        <w:spacing w:before="11"/>
        <w:rPr>
          <w:sz w:val="26"/>
        </w:rPr>
      </w:pPr>
    </w:p>
    <w:p w14:paraId="63F89D6C" w14:textId="77777777" w:rsidR="00A720EB" w:rsidRDefault="0030286B">
      <w:pPr>
        <w:pStyle w:val="2"/>
        <w:numPr>
          <w:ilvl w:val="1"/>
          <w:numId w:val="24"/>
        </w:numPr>
        <w:tabs>
          <w:tab w:val="left" w:pos="1034"/>
        </w:tabs>
        <w:ind w:left="1033" w:hanging="910"/>
      </w:pPr>
      <w:bookmarkStart w:id="676" w:name="5.10._Cloud_Foundry_Support"/>
      <w:bookmarkStart w:id="677" w:name="_Toc54423874"/>
      <w:bookmarkEnd w:id="676"/>
      <w:r>
        <w:rPr>
          <w:color w:val="333333"/>
          <w:w w:val="110"/>
        </w:rPr>
        <w:t xml:space="preserve">Cloud </w:t>
      </w:r>
      <w:r>
        <w:rPr>
          <w:color w:val="333333"/>
          <w:spacing w:val="-3"/>
          <w:w w:val="110"/>
        </w:rPr>
        <w:t>Foundry</w:t>
      </w:r>
      <w:r>
        <w:rPr>
          <w:color w:val="333333"/>
          <w:spacing w:val="-17"/>
          <w:w w:val="110"/>
        </w:rPr>
        <w:t xml:space="preserve"> </w:t>
      </w:r>
      <w:r>
        <w:rPr>
          <w:color w:val="333333"/>
          <w:w w:val="110"/>
        </w:rPr>
        <w:t>Support</w:t>
      </w:r>
      <w:bookmarkEnd w:id="677"/>
    </w:p>
    <w:p w14:paraId="53BC294D" w14:textId="77777777" w:rsidR="00A720EB" w:rsidRDefault="0030286B">
      <w:pPr>
        <w:pStyle w:val="a3"/>
        <w:spacing w:before="253" w:line="290" w:lineRule="auto"/>
        <w:ind w:left="124" w:right="127"/>
        <w:jc w:val="both"/>
      </w:pPr>
      <w:r>
        <w:rPr>
          <w:color w:val="333333"/>
          <w:w w:val="110"/>
        </w:rPr>
        <w:t xml:space="preserve">Spring Boot’s actuator module includes additional support that is activated when you deploy to a compatible Cloud Foundry instance. The </w:t>
      </w:r>
      <w:r>
        <w:rPr>
          <w:rFonts w:ascii="MS Gothic" w:hAnsi="MS Gothic"/>
          <w:color w:val="B02045"/>
          <w:w w:val="110"/>
        </w:rPr>
        <w:t xml:space="preserve">/cloudfoundryapplication </w:t>
      </w:r>
      <w:r>
        <w:rPr>
          <w:color w:val="333333"/>
          <w:w w:val="110"/>
        </w:rPr>
        <w:t xml:space="preserve">path provides an alternative secured route to all </w:t>
      </w:r>
      <w:r>
        <w:rPr>
          <w:rFonts w:ascii="MS Gothic" w:hAnsi="MS Gothic"/>
          <w:color w:val="B02045"/>
          <w:w w:val="110"/>
        </w:rPr>
        <w:t>@Endpoint</w:t>
      </w:r>
      <w:r>
        <w:rPr>
          <w:rFonts w:ascii="MS Gothic" w:hAnsi="MS Gothic"/>
          <w:color w:val="B02045"/>
          <w:spacing w:val="-52"/>
          <w:w w:val="110"/>
        </w:rPr>
        <w:t xml:space="preserve"> </w:t>
      </w:r>
      <w:r>
        <w:rPr>
          <w:color w:val="333333"/>
          <w:w w:val="110"/>
        </w:rPr>
        <w:t>beans.</w:t>
      </w:r>
    </w:p>
    <w:p w14:paraId="74894C7B" w14:textId="77777777" w:rsidR="00A720EB" w:rsidRDefault="0030286B">
      <w:pPr>
        <w:pStyle w:val="a3"/>
        <w:spacing w:before="238" w:line="307" w:lineRule="auto"/>
        <w:ind w:left="124" w:right="131"/>
        <w:jc w:val="both"/>
      </w:pPr>
      <w:r>
        <w:rPr>
          <w:color w:val="333333"/>
          <w:w w:val="110"/>
        </w:rPr>
        <w:t xml:space="preserve">The extended support lets Cloud Foundry management UIs (such as the web application that you   can use to view deployed applications) be augmented with Spring Boot actuator information. </w:t>
      </w:r>
      <w:r>
        <w:rPr>
          <w:color w:val="333333"/>
          <w:spacing w:val="-4"/>
          <w:w w:val="110"/>
        </w:rPr>
        <w:t xml:space="preserve">For </w:t>
      </w:r>
      <w:r>
        <w:rPr>
          <w:color w:val="333333"/>
          <w:w w:val="110"/>
        </w:rPr>
        <w:t>example, an application status page may include full health information instead of the typical “running” or “stopped”</w:t>
      </w:r>
      <w:r>
        <w:rPr>
          <w:color w:val="333333"/>
          <w:spacing w:val="10"/>
          <w:w w:val="110"/>
        </w:rPr>
        <w:t xml:space="preserve"> </w:t>
      </w:r>
      <w:r>
        <w:rPr>
          <w:color w:val="333333"/>
          <w:w w:val="110"/>
        </w:rPr>
        <w:t>status.</w:t>
      </w:r>
    </w:p>
    <w:p w14:paraId="5247FEE6" w14:textId="77777777" w:rsidR="00A720EB" w:rsidRDefault="00A720EB">
      <w:pPr>
        <w:pStyle w:val="a3"/>
        <w:spacing w:before="6"/>
        <w:rPr>
          <w:sz w:val="26"/>
        </w:rPr>
      </w:pPr>
    </w:p>
    <w:p w14:paraId="2F0A8CE8" w14:textId="77777777" w:rsidR="00A720EB" w:rsidRDefault="00E10349">
      <w:pPr>
        <w:pStyle w:val="a3"/>
        <w:spacing w:before="1" w:line="290" w:lineRule="auto"/>
        <w:ind w:left="1564" w:right="462"/>
      </w:pPr>
      <w:r>
        <w:pict w14:anchorId="1FE995B8">
          <v:line id="_x0000_s1932" style="position:absolute;left:0;text-align:left;z-index:16275456;mso-position-horizontal-relative:page" from="108.25pt,-5.4pt" to="108.25pt,34.15pt" strokecolor="#ededed" strokeweight=".5pt">
            <w10:wrap anchorx="page"/>
          </v:line>
        </w:pict>
      </w:r>
      <w:r w:rsidR="0030286B">
        <w:rPr>
          <w:noProof/>
        </w:rPr>
        <w:drawing>
          <wp:anchor distT="0" distB="0" distL="0" distR="0" simplePos="0" relativeHeight="16275968" behindDoc="0" locked="0" layoutInCell="1" allowOverlap="1" wp14:anchorId="5F217D46" wp14:editId="22CFC092">
            <wp:simplePos x="0" y="0"/>
            <wp:positionH relativeFrom="page">
              <wp:posOffset>844422</wp:posOffset>
            </wp:positionH>
            <wp:positionV relativeFrom="paragraph">
              <wp:posOffset>33223</wp:posOffset>
            </wp:positionV>
            <wp:extent cx="298450" cy="298450"/>
            <wp:effectExtent l="0" t="0" r="0" b="0"/>
            <wp:wrapNone/>
            <wp:docPr id="6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/cloudfoundryapplication </w:t>
      </w:r>
      <w:r w:rsidR="0030286B">
        <w:rPr>
          <w:color w:val="333333"/>
          <w:w w:val="110"/>
        </w:rPr>
        <w:t>path is not directly accessible to regular users. In order to use the endpoint, a valid UAA token must be passed with the request.</w:t>
      </w:r>
    </w:p>
    <w:p w14:paraId="42CC6178" w14:textId="77777777" w:rsidR="00A720EB" w:rsidRDefault="00A720EB">
      <w:pPr>
        <w:spacing w:line="290" w:lineRule="auto"/>
        <w:sectPr w:rsidR="00A720EB">
          <w:pgSz w:w="11910" w:h="16840"/>
          <w:pgMar w:top="620" w:right="840" w:bottom="520" w:left="840" w:header="0" w:footer="323" w:gutter="0"/>
          <w:cols w:space="720"/>
        </w:sectPr>
      </w:pPr>
    </w:p>
    <w:p w14:paraId="35C4137C" w14:textId="77777777" w:rsidR="00A720EB" w:rsidRDefault="0030286B">
      <w:pPr>
        <w:pStyle w:val="3"/>
        <w:numPr>
          <w:ilvl w:val="2"/>
          <w:numId w:val="24"/>
        </w:numPr>
        <w:tabs>
          <w:tab w:val="left" w:pos="1003"/>
        </w:tabs>
        <w:spacing w:before="87"/>
        <w:ind w:left="1002" w:hanging="879"/>
      </w:pPr>
      <w:bookmarkStart w:id="678" w:name="5.10.1._Disabling_Extended_Cloud_Foundry"/>
      <w:bookmarkStart w:id="679" w:name="_Toc54423875"/>
      <w:bookmarkEnd w:id="678"/>
      <w:r>
        <w:rPr>
          <w:color w:val="333333"/>
          <w:w w:val="110"/>
        </w:rPr>
        <w:lastRenderedPageBreak/>
        <w:t xml:space="preserve">Disabling Extended Cloud </w:t>
      </w:r>
      <w:r>
        <w:rPr>
          <w:color w:val="333333"/>
          <w:spacing w:val="-3"/>
          <w:w w:val="110"/>
        </w:rPr>
        <w:t xml:space="preserve">Foundry </w:t>
      </w:r>
      <w:r>
        <w:rPr>
          <w:color w:val="333333"/>
          <w:w w:val="110"/>
        </w:rPr>
        <w:t>Actuator</w:t>
      </w:r>
      <w:r>
        <w:rPr>
          <w:color w:val="333333"/>
          <w:spacing w:val="-31"/>
          <w:w w:val="110"/>
        </w:rPr>
        <w:t xml:space="preserve"> </w:t>
      </w:r>
      <w:r>
        <w:rPr>
          <w:color w:val="333333"/>
          <w:w w:val="110"/>
        </w:rPr>
        <w:t>Support</w:t>
      </w:r>
      <w:bookmarkEnd w:id="679"/>
    </w:p>
    <w:p w14:paraId="3E2C3C30" w14:textId="77777777" w:rsidR="00A720EB" w:rsidRDefault="0030286B">
      <w:pPr>
        <w:pStyle w:val="a3"/>
        <w:spacing w:before="243" w:line="280" w:lineRule="auto"/>
        <w:ind w:left="124"/>
      </w:pPr>
      <w:r>
        <w:rPr>
          <w:color w:val="333333"/>
          <w:w w:val="110"/>
        </w:rPr>
        <w:t xml:space="preserve">If you want to fully disable the </w:t>
      </w:r>
      <w:r>
        <w:rPr>
          <w:rFonts w:ascii="MS Gothic"/>
          <w:color w:val="B02045"/>
          <w:w w:val="110"/>
        </w:rPr>
        <w:t xml:space="preserve">/cloudfoundryapplication </w:t>
      </w:r>
      <w:r>
        <w:rPr>
          <w:color w:val="333333"/>
          <w:w w:val="110"/>
        </w:rPr>
        <w:t xml:space="preserve">endpoints, you can add the following setting to your </w:t>
      </w:r>
      <w:proofErr w:type="gramStart"/>
      <w:r>
        <w:rPr>
          <w:rFonts w:ascii="MS Gothic"/>
          <w:color w:val="B02045"/>
          <w:w w:val="110"/>
        </w:rPr>
        <w:t>application.properties</w:t>
      </w:r>
      <w:proofErr w:type="gramEnd"/>
      <w:r>
        <w:rPr>
          <w:rFonts w:ascii="MS Gothic"/>
          <w:color w:val="B02045"/>
          <w:spacing w:val="-59"/>
          <w:w w:val="110"/>
        </w:rPr>
        <w:t xml:space="preserve"> </w:t>
      </w:r>
      <w:r>
        <w:rPr>
          <w:color w:val="333333"/>
          <w:w w:val="110"/>
        </w:rPr>
        <w:t>file:</w:t>
      </w:r>
    </w:p>
    <w:p w14:paraId="420DC37F" w14:textId="77777777" w:rsidR="00A720EB" w:rsidRDefault="00E10349">
      <w:pPr>
        <w:spacing w:before="230"/>
        <w:ind w:left="124"/>
        <w:rPr>
          <w:rFonts w:ascii="Palatino Linotype"/>
          <w:i/>
          <w:sz w:val="20"/>
        </w:rPr>
      </w:pPr>
      <w:r>
        <w:pict w14:anchorId="171B6839">
          <v:group id="_x0000_s1928" style="position:absolute;left:0;text-align:left;margin-left:47.85pt;margin-top:29.25pt;width:499.55pt;height:37.5pt;z-index:-15180800;mso-wrap-distance-left:0;mso-wrap-distance-right:0;mso-position-horizontal-relative:page" coordorigin="957,585" coordsize="9991,750">
            <v:shape id="_x0000_s1931" style="position:absolute;left:964;top:592;width:9976;height:735" coordorigin="965,592" coordsize="9976,735" path="m10861,592r-9816,l1014,599r-26,17l971,641r-6,31l965,1247r6,31l988,1304r26,17l1045,1327r9816,l10892,1321r25,-17l10935,1278r6,-31l10941,672r-6,-31l10917,616r-25,-17l10861,592xe" fillcolor="#f5f5f5" stroked="f">
              <v:path arrowok="t"/>
            </v:shape>
            <v:shape id="_x0000_s1930" style="position:absolute;left:964;top:592;width:9976;height:735" coordorigin="965,592" coordsize="9976,735" path="m1045,592r9816,l10892,599r25,17l10935,641r6,31l10941,1247r-6,31l10917,1304r-25,17l10861,1327r-9816,l1014,1321r-26,-17l971,1278r-6,-31l965,672r6,-31l988,616r26,-17l1045,592xe" filled="f" strokecolor="#ccc">
              <v:path arrowok="t"/>
            </v:shape>
            <v:shape id="_x0000_s1929" type="#_x0000_t202" style="position:absolute;left:984;top:607;width:9938;height:704" filled="f" stroked="f">
              <v:textbox inset="0,0,0,0">
                <w:txbxContent>
                  <w:p w14:paraId="7B0CB3D5" w14:textId="77777777" w:rsidR="00711A16" w:rsidRDefault="00711A16">
                    <w:pPr>
                      <w:spacing w:before="221"/>
                      <w:ind w:left="200"/>
                      <w:rPr>
                        <w:rFonts w:ascii="MS Gothic"/>
                      </w:rPr>
                    </w:pPr>
                    <w:proofErr w:type="gramStart"/>
                    <w:r>
                      <w:rPr>
                        <w:rFonts w:ascii="MS Gothic"/>
                        <w:color w:val="333333"/>
                      </w:rPr>
                      <w:t>management.cloudfoundry</w:t>
                    </w:r>
                    <w:proofErr w:type="gramEnd"/>
                    <w:r>
                      <w:rPr>
                        <w:rFonts w:ascii="MS Gothic"/>
                        <w:color w:val="333333"/>
                      </w:rPr>
                      <w:t>.enabled=false</w:t>
                    </w:r>
                  </w:p>
                </w:txbxContent>
              </v:textbox>
            </v:shape>
            <w10:wrap type="topAndBottom" anchorx="page"/>
          </v:group>
        </w:pict>
      </w:r>
      <w:proofErr w:type="gramStart"/>
      <w:r w:rsidR="0030286B">
        <w:rPr>
          <w:rFonts w:ascii="Palatino Linotype"/>
          <w:i/>
          <w:color w:val="333333"/>
          <w:w w:val="120"/>
          <w:sz w:val="20"/>
        </w:rPr>
        <w:t>application.properties</w:t>
      </w:r>
      <w:proofErr w:type="gramEnd"/>
    </w:p>
    <w:p w14:paraId="2511B29C" w14:textId="77777777" w:rsidR="00A720EB" w:rsidRDefault="00A720EB">
      <w:pPr>
        <w:pStyle w:val="a3"/>
        <w:spacing w:before="9"/>
        <w:rPr>
          <w:rFonts w:ascii="Palatino Linotype"/>
          <w:i/>
          <w:sz w:val="14"/>
        </w:rPr>
      </w:pPr>
    </w:p>
    <w:p w14:paraId="32FDCB7C" w14:textId="77777777" w:rsidR="00A720EB" w:rsidRDefault="0030286B">
      <w:pPr>
        <w:pStyle w:val="3"/>
        <w:numPr>
          <w:ilvl w:val="2"/>
          <w:numId w:val="24"/>
        </w:numPr>
        <w:tabs>
          <w:tab w:val="left" w:pos="1003"/>
        </w:tabs>
        <w:spacing w:before="106"/>
        <w:ind w:left="1002" w:hanging="879"/>
      </w:pPr>
      <w:bookmarkStart w:id="680" w:name="5.10.2._Cloud_Foundry_Self-signed_Certif"/>
      <w:bookmarkStart w:id="681" w:name="_Toc54423876"/>
      <w:bookmarkEnd w:id="680"/>
      <w:r>
        <w:rPr>
          <w:color w:val="333333"/>
          <w:w w:val="110"/>
        </w:rPr>
        <w:t xml:space="preserve">Cloud </w:t>
      </w:r>
      <w:r>
        <w:rPr>
          <w:color w:val="333333"/>
          <w:spacing w:val="-3"/>
          <w:w w:val="110"/>
        </w:rPr>
        <w:t xml:space="preserve">Foundry </w:t>
      </w:r>
      <w:r>
        <w:rPr>
          <w:color w:val="333333"/>
          <w:w w:val="110"/>
        </w:rPr>
        <w:t>Self-</w:t>
      </w:r>
      <w:proofErr w:type="gramStart"/>
      <w:r>
        <w:rPr>
          <w:color w:val="333333"/>
          <w:w w:val="110"/>
        </w:rPr>
        <w:t>signed</w:t>
      </w:r>
      <w:proofErr w:type="gramEnd"/>
      <w:r>
        <w:rPr>
          <w:color w:val="333333"/>
          <w:spacing w:val="-18"/>
          <w:w w:val="110"/>
        </w:rPr>
        <w:t xml:space="preserve"> </w:t>
      </w:r>
      <w:r>
        <w:rPr>
          <w:color w:val="333333"/>
          <w:w w:val="110"/>
        </w:rPr>
        <w:t>Certificates</w:t>
      </w:r>
      <w:bookmarkEnd w:id="681"/>
    </w:p>
    <w:p w14:paraId="4D743275" w14:textId="77777777" w:rsidR="00A720EB" w:rsidRDefault="0030286B">
      <w:pPr>
        <w:pStyle w:val="a3"/>
        <w:spacing w:before="243" w:line="300" w:lineRule="auto"/>
        <w:ind w:left="124" w:right="123"/>
        <w:jc w:val="both"/>
      </w:pPr>
      <w:r>
        <w:rPr>
          <w:color w:val="333333"/>
          <w:w w:val="110"/>
        </w:rPr>
        <w:t xml:space="preserve">By default, the security verification for </w:t>
      </w:r>
      <w:r>
        <w:rPr>
          <w:rFonts w:ascii="MS Gothic"/>
          <w:color w:val="B02045"/>
          <w:w w:val="110"/>
        </w:rPr>
        <w:t xml:space="preserve">/cloudfoundryapplication </w:t>
      </w:r>
      <w:r>
        <w:rPr>
          <w:color w:val="333333"/>
          <w:w w:val="110"/>
        </w:rPr>
        <w:t>endpoints makes SSL calls to various Cloud Foundry services. If your Cloud Foundry UAA or Cloud Controller services use self- signed certificates, you need to set the following property:</w:t>
      </w:r>
    </w:p>
    <w:p w14:paraId="7DC0873F" w14:textId="77777777" w:rsidR="00A720EB" w:rsidRDefault="00E10349">
      <w:pPr>
        <w:spacing w:before="223"/>
        <w:ind w:left="124"/>
        <w:rPr>
          <w:rFonts w:ascii="Palatino Linotype"/>
          <w:i/>
          <w:sz w:val="20"/>
        </w:rPr>
      </w:pPr>
      <w:r>
        <w:pict w14:anchorId="117A1B9E">
          <v:group id="_x0000_s1924" style="position:absolute;left:0;text-align:left;margin-left:47.85pt;margin-top:28.9pt;width:499.55pt;height:37.5pt;z-index:-15180288;mso-wrap-distance-left:0;mso-wrap-distance-right:0;mso-position-horizontal-relative:page" coordorigin="957,578" coordsize="9991,750">
            <v:shape id="_x0000_s1927" style="position:absolute;left:964;top:585;width:9976;height:735" coordorigin="965,585" coordsize="9976,735" path="m10861,585r-9816,l1014,592r-26,17l971,634r-6,31l965,1240r6,31l988,1297r26,17l1045,1320r9816,l10892,1314r25,-17l10935,1271r6,-31l10941,665r-6,-31l10917,609r-25,-17l10861,585xe" fillcolor="#f5f5f5" stroked="f">
              <v:path arrowok="t"/>
            </v:shape>
            <v:shape id="_x0000_s1926" style="position:absolute;left:964;top:585;width:9976;height:735" coordorigin="965,585" coordsize="9976,735" path="m1045,585r9816,l10892,592r25,17l10935,634r6,31l10941,1240r-6,31l10917,1297r-25,17l10861,1320r-9816,l1014,1314r-26,-17l971,1271r-6,-31l965,665r6,-31l988,609r26,-17l1045,585xe" filled="f" strokecolor="#ccc">
              <v:path arrowok="t"/>
            </v:shape>
            <v:shape id="_x0000_s1925" type="#_x0000_t202" style="position:absolute;left:984;top:600;width:9938;height:704" filled="f" stroked="f">
              <v:textbox inset="0,0,0,0">
                <w:txbxContent>
                  <w:p w14:paraId="2E7BFB0E" w14:textId="77777777" w:rsidR="00711A16" w:rsidRDefault="00711A16">
                    <w:pPr>
                      <w:spacing w:before="221"/>
                      <w:ind w:left="200"/>
                      <w:rPr>
                        <w:rFonts w:ascii="MS Gothic"/>
                      </w:rPr>
                    </w:pPr>
                    <w:proofErr w:type="gramStart"/>
                    <w:r>
                      <w:rPr>
                        <w:rFonts w:ascii="MS Gothic"/>
                        <w:color w:val="333333"/>
                      </w:rPr>
                      <w:t>management.cloudfoundry</w:t>
                    </w:r>
                    <w:proofErr w:type="gramEnd"/>
                    <w:r>
                      <w:rPr>
                        <w:rFonts w:ascii="MS Gothic"/>
                        <w:color w:val="333333"/>
                      </w:rPr>
                      <w:t>.skip-ssl-validation=true</w:t>
                    </w:r>
                  </w:p>
                </w:txbxContent>
              </v:textbox>
            </v:shape>
            <w10:wrap type="topAndBottom" anchorx="page"/>
          </v:group>
        </w:pict>
      </w:r>
      <w:proofErr w:type="gramStart"/>
      <w:r w:rsidR="0030286B">
        <w:rPr>
          <w:rFonts w:ascii="Palatino Linotype"/>
          <w:i/>
          <w:color w:val="333333"/>
          <w:w w:val="120"/>
          <w:sz w:val="20"/>
        </w:rPr>
        <w:t>application.properties</w:t>
      </w:r>
      <w:proofErr w:type="gramEnd"/>
    </w:p>
    <w:p w14:paraId="5E11666F" w14:textId="77777777" w:rsidR="00A720EB" w:rsidRDefault="00A720EB">
      <w:pPr>
        <w:pStyle w:val="a3"/>
        <w:spacing w:before="9"/>
        <w:rPr>
          <w:rFonts w:ascii="Palatino Linotype"/>
          <w:i/>
          <w:sz w:val="14"/>
        </w:rPr>
      </w:pPr>
    </w:p>
    <w:p w14:paraId="5C93958D" w14:textId="77777777" w:rsidR="00A720EB" w:rsidRDefault="0030286B">
      <w:pPr>
        <w:pStyle w:val="3"/>
        <w:numPr>
          <w:ilvl w:val="2"/>
          <w:numId w:val="24"/>
        </w:numPr>
        <w:tabs>
          <w:tab w:val="left" w:pos="1003"/>
        </w:tabs>
        <w:spacing w:before="106"/>
        <w:ind w:left="1002" w:hanging="879"/>
      </w:pPr>
      <w:bookmarkStart w:id="682" w:name="5.10.3._Custom_context_path"/>
      <w:bookmarkStart w:id="683" w:name="_Toc54423877"/>
      <w:bookmarkEnd w:id="682"/>
      <w:r>
        <w:rPr>
          <w:color w:val="333333"/>
          <w:w w:val="115"/>
        </w:rPr>
        <w:t>Custom context</w:t>
      </w:r>
      <w:r>
        <w:rPr>
          <w:color w:val="333333"/>
          <w:spacing w:val="-19"/>
          <w:w w:val="115"/>
        </w:rPr>
        <w:t xml:space="preserve"> </w:t>
      </w:r>
      <w:r>
        <w:rPr>
          <w:color w:val="333333"/>
          <w:w w:val="115"/>
        </w:rPr>
        <w:t>path</w:t>
      </w:r>
      <w:bookmarkEnd w:id="683"/>
    </w:p>
    <w:p w14:paraId="24DD2B46" w14:textId="77777777" w:rsidR="00A720EB" w:rsidRDefault="0030286B">
      <w:pPr>
        <w:pStyle w:val="a3"/>
        <w:spacing w:before="243" w:line="295" w:lineRule="auto"/>
        <w:ind w:left="124" w:right="123"/>
        <w:jc w:val="both"/>
      </w:pPr>
      <w:r>
        <w:rPr>
          <w:color w:val="333333"/>
          <w:w w:val="110"/>
        </w:rPr>
        <w:t xml:space="preserve">If the server’s context-path has been configured to anything other than </w:t>
      </w:r>
      <w:r>
        <w:rPr>
          <w:rFonts w:ascii="MS Gothic" w:hAnsi="MS Gothic"/>
          <w:color w:val="B02045"/>
          <w:w w:val="110"/>
        </w:rPr>
        <w:t>/</w:t>
      </w:r>
      <w:r>
        <w:rPr>
          <w:color w:val="333333"/>
          <w:w w:val="110"/>
        </w:rPr>
        <w:t xml:space="preserve">, the Cloud Foundry endpoints will not be available at the root of the application. For example, if </w:t>
      </w:r>
      <w:proofErr w:type="gramStart"/>
      <w:r>
        <w:rPr>
          <w:rFonts w:ascii="MS Gothic" w:hAnsi="MS Gothic"/>
          <w:color w:val="B02045"/>
          <w:w w:val="110"/>
        </w:rPr>
        <w:t>server.servlet</w:t>
      </w:r>
      <w:proofErr w:type="gramEnd"/>
      <w:r>
        <w:rPr>
          <w:rFonts w:ascii="MS Gothic" w:hAnsi="MS Gothic"/>
          <w:color w:val="B02045"/>
          <w:w w:val="110"/>
        </w:rPr>
        <w:t>.context-path=/app</w:t>
      </w:r>
      <w:r>
        <w:rPr>
          <w:color w:val="333333"/>
          <w:w w:val="110"/>
        </w:rPr>
        <w:t>, Cloud Foundry endpoints will be available at</w:t>
      </w:r>
    </w:p>
    <w:p w14:paraId="53D1E93B" w14:textId="77777777" w:rsidR="00A720EB" w:rsidRDefault="0030286B">
      <w:pPr>
        <w:pStyle w:val="a3"/>
        <w:spacing w:line="251" w:lineRule="exact"/>
        <w:ind w:left="124"/>
      </w:pPr>
      <w:r>
        <w:rPr>
          <w:rFonts w:ascii="MS Gothic"/>
          <w:color w:val="B02045"/>
        </w:rPr>
        <w:t>/app/cloudfoundryapplication/*</w:t>
      </w:r>
      <w:r>
        <w:rPr>
          <w:color w:val="333333"/>
        </w:rPr>
        <w:t>.</w:t>
      </w:r>
    </w:p>
    <w:p w14:paraId="36ED5D3E" w14:textId="77777777" w:rsidR="00A720EB" w:rsidRDefault="00A720EB">
      <w:pPr>
        <w:pStyle w:val="a3"/>
        <w:spacing w:before="5"/>
        <w:rPr>
          <w:sz w:val="24"/>
        </w:rPr>
      </w:pPr>
    </w:p>
    <w:p w14:paraId="4B1EE113" w14:textId="77777777" w:rsidR="00A720EB" w:rsidRDefault="0030286B">
      <w:pPr>
        <w:pStyle w:val="a3"/>
        <w:spacing w:line="302" w:lineRule="auto"/>
        <w:ind w:left="124" w:right="122"/>
        <w:jc w:val="both"/>
      </w:pPr>
      <w:r>
        <w:rPr>
          <w:color w:val="333333"/>
          <w:w w:val="110"/>
        </w:rPr>
        <w:t xml:space="preserve">If you expect the Cloud Foundry endpoints to always be available at </w:t>
      </w:r>
      <w:r>
        <w:rPr>
          <w:rFonts w:ascii="MS Gothic" w:hAnsi="MS Gothic"/>
          <w:color w:val="B02045"/>
          <w:w w:val="110"/>
        </w:rPr>
        <w:t>/cloudfoundryapplication/*</w:t>
      </w:r>
      <w:r>
        <w:rPr>
          <w:color w:val="333333"/>
          <w:w w:val="110"/>
        </w:rPr>
        <w:t xml:space="preserve">, regardless of the server’s context-path, you will need to </w:t>
      </w:r>
      <w:proofErr w:type="gramStart"/>
      <w:r>
        <w:rPr>
          <w:color w:val="333333"/>
          <w:w w:val="110"/>
        </w:rPr>
        <w:t>explicitly  configure</w:t>
      </w:r>
      <w:proofErr w:type="gramEnd"/>
      <w:r>
        <w:rPr>
          <w:color w:val="333333"/>
          <w:w w:val="110"/>
        </w:rPr>
        <w:t xml:space="preserve">  that  in  your application. The configuration will differ depending on the web server in use. </w:t>
      </w:r>
      <w:r>
        <w:rPr>
          <w:color w:val="333333"/>
          <w:spacing w:val="-4"/>
          <w:w w:val="110"/>
        </w:rPr>
        <w:t xml:space="preserve">For </w:t>
      </w:r>
      <w:r>
        <w:rPr>
          <w:color w:val="333333"/>
          <w:w w:val="110"/>
        </w:rPr>
        <w:t>Tomcat, the following configuration can be</w:t>
      </w:r>
      <w:r>
        <w:rPr>
          <w:color w:val="333333"/>
          <w:spacing w:val="12"/>
          <w:w w:val="110"/>
        </w:rPr>
        <w:t xml:space="preserve"> </w:t>
      </w:r>
      <w:r>
        <w:rPr>
          <w:color w:val="333333"/>
          <w:w w:val="110"/>
        </w:rPr>
        <w:t>added:</w:t>
      </w:r>
    </w:p>
    <w:p w14:paraId="7AAD6FAA" w14:textId="77777777" w:rsidR="00A720EB" w:rsidRDefault="00A720EB">
      <w:pPr>
        <w:spacing w:line="302" w:lineRule="auto"/>
        <w:jc w:val="both"/>
        <w:sectPr w:rsidR="00A720EB">
          <w:pgSz w:w="11910" w:h="16840"/>
          <w:pgMar w:top="620" w:right="840" w:bottom="520" w:left="840" w:header="0" w:footer="323" w:gutter="0"/>
          <w:cols w:space="720"/>
        </w:sectPr>
      </w:pPr>
    </w:p>
    <w:p w14:paraId="6AA1BDD3" w14:textId="77777777" w:rsidR="00A720EB" w:rsidRDefault="00A720EB">
      <w:pPr>
        <w:pStyle w:val="a3"/>
        <w:spacing w:before="4"/>
        <w:rPr>
          <w:sz w:val="10"/>
        </w:rPr>
      </w:pPr>
    </w:p>
    <w:p w14:paraId="59FC253D" w14:textId="77777777" w:rsidR="00A720EB" w:rsidRDefault="00E10349">
      <w:pPr>
        <w:spacing w:before="117"/>
        <w:ind w:left="344"/>
        <w:rPr>
          <w:rFonts w:ascii="MS Gothic"/>
        </w:rPr>
      </w:pPr>
      <w:r>
        <w:pict w14:anchorId="148225C3">
          <v:group id="_x0000_s1921" style="position:absolute;left:0;text-align:left;margin-left:47.85pt;margin-top:-6.35pt;width:499.55pt;height:582.9pt;z-index:-41256960;mso-position-horizontal-relative:page" coordorigin="957,-127" coordsize="9991,11658">
            <v:shape id="_x0000_s1923" style="position:absolute;left:964;top:-120;width:9976;height:11643" coordorigin="965,-119" coordsize="9976,11643" path="m10861,-119r-9816,l1014,-113r-26,17l971,-71r-6,32l965,11443r6,31l988,11499r26,18l1045,11523r9816,l10892,11517r25,-18l10935,11474r6,-31l10941,-39r-6,-32l10917,-96r-25,-17l10861,-119xe" fillcolor="#f5f5f5" stroked="f">
              <v:path arrowok="t"/>
            </v:shape>
            <v:shape id="_x0000_s1922" style="position:absolute;left:964;top:-120;width:9976;height:11643" coordorigin="965,-119" coordsize="9976,11643" path="m1045,-119r9816,l10892,-113r25,17l10935,-71r6,32l10941,11443r-6,31l10917,11499r-25,18l10861,11523r-9816,l1014,11517r-26,-18l971,11474r-6,-31l965,-39r6,-32l988,-96r26,-17l1045,-119xe" filled="f" strokecolor="#ccc">
              <v:path arrowok="t"/>
            </v:shape>
            <w10:wrap anchorx="page"/>
          </v:group>
        </w:pict>
      </w:r>
      <w:r w:rsidR="0030286B">
        <w:rPr>
          <w:rFonts w:ascii="MS Gothic"/>
          <w:color w:val="333333"/>
        </w:rPr>
        <w:t>@Bean</w:t>
      </w:r>
    </w:p>
    <w:p w14:paraId="392D69FB" w14:textId="77777777" w:rsidR="00A720EB" w:rsidRDefault="0030286B">
      <w:pPr>
        <w:spacing w:before="13" w:line="252" w:lineRule="auto"/>
        <w:ind w:left="784" w:right="2826" w:hanging="440"/>
        <w:rPr>
          <w:rFonts w:ascii="MS Gothic"/>
        </w:rPr>
      </w:pPr>
      <w:r>
        <w:rPr>
          <w:rFonts w:ascii="MS Gothic"/>
          <w:color w:val="333333"/>
        </w:rPr>
        <w:t xml:space="preserve">public TomcatServletWebServerFactory </w:t>
      </w:r>
      <w:proofErr w:type="gramStart"/>
      <w:r>
        <w:rPr>
          <w:rFonts w:ascii="MS Gothic"/>
          <w:color w:val="333333"/>
        </w:rPr>
        <w:t>servletWebServerFactory(</w:t>
      </w:r>
      <w:proofErr w:type="gramEnd"/>
      <w:r>
        <w:rPr>
          <w:rFonts w:ascii="MS Gothic"/>
          <w:color w:val="333333"/>
        </w:rPr>
        <w:t>) { return new TomcatServletWebServerFactory() {</w:t>
      </w:r>
    </w:p>
    <w:p w14:paraId="1E478D57" w14:textId="77777777" w:rsidR="00A720EB" w:rsidRDefault="00A720EB">
      <w:pPr>
        <w:pStyle w:val="a3"/>
        <w:spacing w:before="10"/>
        <w:rPr>
          <w:rFonts w:ascii="MS Gothic"/>
          <w:sz w:val="22"/>
        </w:rPr>
      </w:pPr>
    </w:p>
    <w:p w14:paraId="3A05FD33" w14:textId="77777777" w:rsidR="00A720EB" w:rsidRDefault="0030286B">
      <w:pPr>
        <w:spacing w:before="1"/>
        <w:ind w:left="1224"/>
        <w:rPr>
          <w:rFonts w:ascii="MS Gothic"/>
        </w:rPr>
      </w:pPr>
      <w:r>
        <w:rPr>
          <w:rFonts w:ascii="MS Gothic"/>
          <w:color w:val="333333"/>
        </w:rPr>
        <w:t>@Override</w:t>
      </w:r>
    </w:p>
    <w:p w14:paraId="12CF6905" w14:textId="77777777" w:rsidR="00A720EB" w:rsidRDefault="0030286B">
      <w:pPr>
        <w:spacing w:before="13" w:line="252" w:lineRule="auto"/>
        <w:ind w:left="344" w:right="1506" w:firstLine="880"/>
        <w:rPr>
          <w:rFonts w:ascii="MS Gothic"/>
        </w:rPr>
      </w:pPr>
      <w:r>
        <w:rPr>
          <w:rFonts w:ascii="MS Gothic"/>
          <w:color w:val="333333"/>
        </w:rPr>
        <w:t xml:space="preserve">protected void </w:t>
      </w:r>
      <w:proofErr w:type="gramStart"/>
      <w:r>
        <w:rPr>
          <w:rFonts w:ascii="MS Gothic"/>
          <w:color w:val="333333"/>
        </w:rPr>
        <w:t>prepareContext(</w:t>
      </w:r>
      <w:proofErr w:type="gramEnd"/>
      <w:r>
        <w:rPr>
          <w:rFonts w:ascii="MS Gothic"/>
          <w:color w:val="333333"/>
        </w:rPr>
        <w:t>Host host, ServletContextInitializer[] initializers) {</w:t>
      </w:r>
    </w:p>
    <w:p w14:paraId="39FC8FFA" w14:textId="77777777" w:rsidR="00A720EB" w:rsidRDefault="0030286B">
      <w:pPr>
        <w:spacing w:line="252" w:lineRule="auto"/>
        <w:ind w:left="1664" w:right="3486"/>
        <w:rPr>
          <w:rFonts w:ascii="MS Gothic"/>
        </w:rPr>
      </w:pPr>
      <w:proofErr w:type="gramStart"/>
      <w:r>
        <w:rPr>
          <w:rFonts w:ascii="MS Gothic"/>
          <w:color w:val="333333"/>
        </w:rPr>
        <w:t>super.prepareContext</w:t>
      </w:r>
      <w:proofErr w:type="gramEnd"/>
      <w:r>
        <w:rPr>
          <w:rFonts w:ascii="MS Gothic"/>
          <w:color w:val="333333"/>
        </w:rPr>
        <w:t>(host, initializers); StandardContext child = new StandardContext();</w:t>
      </w:r>
    </w:p>
    <w:p w14:paraId="292C3546" w14:textId="77777777" w:rsidR="00A720EB" w:rsidRDefault="0030286B">
      <w:pPr>
        <w:spacing w:line="252" w:lineRule="auto"/>
        <w:ind w:left="1664" w:right="1946"/>
        <w:rPr>
          <w:rFonts w:ascii="MS Gothic"/>
        </w:rPr>
      </w:pPr>
      <w:proofErr w:type="gramStart"/>
      <w:r>
        <w:rPr>
          <w:rFonts w:ascii="MS Gothic"/>
          <w:color w:val="333333"/>
        </w:rPr>
        <w:t>child.addLifecycleListener</w:t>
      </w:r>
      <w:proofErr w:type="gramEnd"/>
      <w:r>
        <w:rPr>
          <w:rFonts w:ascii="MS Gothic"/>
          <w:color w:val="333333"/>
        </w:rPr>
        <w:t>(new Tomcat.FixContextListener()); child.setPath("/cloudfoundryapplication"); ServletContainerInitializer initializer =</w:t>
      </w:r>
    </w:p>
    <w:p w14:paraId="200494E6" w14:textId="77777777" w:rsidR="00A720EB" w:rsidRDefault="0030286B">
      <w:pPr>
        <w:spacing w:line="252" w:lineRule="auto"/>
        <w:ind w:left="1664" w:right="406" w:hanging="1320"/>
        <w:rPr>
          <w:rFonts w:ascii="MS Gothic"/>
        </w:rPr>
      </w:pPr>
      <w:r>
        <w:rPr>
          <w:rFonts w:ascii="MS Gothic"/>
          <w:color w:val="333333"/>
        </w:rPr>
        <w:t>getServletContextInitializer(</w:t>
      </w:r>
      <w:proofErr w:type="gramStart"/>
      <w:r>
        <w:rPr>
          <w:rFonts w:ascii="MS Gothic"/>
          <w:color w:val="333333"/>
        </w:rPr>
        <w:t>getContextPath(</w:t>
      </w:r>
      <w:proofErr w:type="gramEnd"/>
      <w:r>
        <w:rPr>
          <w:rFonts w:ascii="MS Gothic"/>
          <w:color w:val="333333"/>
        </w:rPr>
        <w:t>)); child.addServletContainerInitializer(initializer, Collections.emptySet()); child.setCrossContext(true);</w:t>
      </w:r>
    </w:p>
    <w:p w14:paraId="6AD1068E" w14:textId="77777777" w:rsidR="00A720EB" w:rsidRDefault="0030286B">
      <w:pPr>
        <w:spacing w:line="275" w:lineRule="exact"/>
        <w:ind w:left="1664"/>
        <w:rPr>
          <w:rFonts w:ascii="MS Gothic"/>
        </w:rPr>
      </w:pPr>
      <w:proofErr w:type="gramStart"/>
      <w:r>
        <w:rPr>
          <w:rFonts w:ascii="MS Gothic"/>
          <w:color w:val="333333"/>
        </w:rPr>
        <w:t>host.addChild</w:t>
      </w:r>
      <w:proofErr w:type="gramEnd"/>
      <w:r>
        <w:rPr>
          <w:rFonts w:ascii="MS Gothic"/>
          <w:color w:val="333333"/>
        </w:rPr>
        <w:t>(child);</w:t>
      </w:r>
    </w:p>
    <w:p w14:paraId="6FF56EF8" w14:textId="77777777" w:rsidR="00A720EB" w:rsidRDefault="0030286B">
      <w:pPr>
        <w:spacing w:before="8"/>
        <w:ind w:left="1224"/>
        <w:rPr>
          <w:rFonts w:ascii="MS Gothic"/>
        </w:rPr>
      </w:pPr>
      <w:r>
        <w:rPr>
          <w:rFonts w:ascii="MS Gothic"/>
          <w:color w:val="333333"/>
        </w:rPr>
        <w:t>}</w:t>
      </w:r>
    </w:p>
    <w:p w14:paraId="35AF03D3" w14:textId="77777777" w:rsidR="00A720EB" w:rsidRDefault="00A720EB">
      <w:pPr>
        <w:pStyle w:val="a3"/>
        <w:rPr>
          <w:rFonts w:ascii="MS Gothic"/>
          <w:sz w:val="24"/>
        </w:rPr>
      </w:pPr>
    </w:p>
    <w:p w14:paraId="16328681" w14:textId="77777777" w:rsidR="00A720EB" w:rsidRDefault="0030286B">
      <w:pPr>
        <w:ind w:left="784"/>
        <w:rPr>
          <w:rFonts w:ascii="MS Gothic"/>
        </w:rPr>
      </w:pPr>
      <w:r>
        <w:rPr>
          <w:rFonts w:ascii="MS Gothic"/>
          <w:color w:val="333333"/>
        </w:rPr>
        <w:t>};</w:t>
      </w:r>
    </w:p>
    <w:p w14:paraId="2B5EB5F7" w14:textId="77777777" w:rsidR="00A720EB" w:rsidRDefault="0030286B">
      <w:pPr>
        <w:spacing w:before="13"/>
        <w:ind w:left="344"/>
        <w:rPr>
          <w:rFonts w:ascii="MS Gothic"/>
        </w:rPr>
      </w:pPr>
      <w:r>
        <w:rPr>
          <w:rFonts w:ascii="MS Gothic"/>
          <w:color w:val="333333"/>
        </w:rPr>
        <w:t>}</w:t>
      </w:r>
    </w:p>
    <w:p w14:paraId="6B7799EC" w14:textId="77777777" w:rsidR="00A720EB" w:rsidRDefault="00A720EB">
      <w:pPr>
        <w:pStyle w:val="a3"/>
        <w:spacing w:before="12"/>
        <w:rPr>
          <w:rFonts w:ascii="MS Gothic"/>
          <w:sz w:val="14"/>
        </w:rPr>
      </w:pPr>
    </w:p>
    <w:p w14:paraId="6658E0BA" w14:textId="77777777" w:rsidR="00A720EB" w:rsidRDefault="0030286B">
      <w:pPr>
        <w:spacing w:before="116" w:line="252" w:lineRule="auto"/>
        <w:ind w:left="784" w:right="406" w:hanging="440"/>
        <w:rPr>
          <w:rFonts w:ascii="MS Gothic"/>
        </w:rPr>
      </w:pPr>
      <w:r>
        <w:rPr>
          <w:rFonts w:ascii="MS Gothic"/>
          <w:color w:val="333333"/>
        </w:rPr>
        <w:t xml:space="preserve">private ServletContainerInitializer </w:t>
      </w:r>
      <w:proofErr w:type="gramStart"/>
      <w:r>
        <w:rPr>
          <w:rFonts w:ascii="MS Gothic"/>
          <w:color w:val="333333"/>
        </w:rPr>
        <w:t>getServletContextInitializer(</w:t>
      </w:r>
      <w:proofErr w:type="gramEnd"/>
      <w:r>
        <w:rPr>
          <w:rFonts w:ascii="MS Gothic"/>
          <w:color w:val="333333"/>
        </w:rPr>
        <w:t>String contextPath) { return (c, context) -&gt; {</w:t>
      </w:r>
    </w:p>
    <w:p w14:paraId="7AB23248" w14:textId="77777777" w:rsidR="00A720EB" w:rsidRDefault="0030286B">
      <w:pPr>
        <w:spacing w:line="280" w:lineRule="exact"/>
        <w:ind w:left="1224"/>
        <w:rPr>
          <w:rFonts w:ascii="MS Gothic"/>
        </w:rPr>
      </w:pPr>
      <w:r>
        <w:rPr>
          <w:rFonts w:ascii="MS Gothic"/>
          <w:color w:val="333333"/>
        </w:rPr>
        <w:t xml:space="preserve">Servlet servlet = new </w:t>
      </w:r>
      <w:proofErr w:type="gramStart"/>
      <w:r>
        <w:rPr>
          <w:rFonts w:ascii="MS Gothic"/>
          <w:color w:val="333333"/>
        </w:rPr>
        <w:t>GenericServlet(</w:t>
      </w:r>
      <w:proofErr w:type="gramEnd"/>
      <w:r>
        <w:rPr>
          <w:rFonts w:ascii="MS Gothic"/>
          <w:color w:val="333333"/>
        </w:rPr>
        <w:t>) {</w:t>
      </w:r>
    </w:p>
    <w:p w14:paraId="213FF7E2" w14:textId="77777777" w:rsidR="00A720EB" w:rsidRDefault="00A720EB">
      <w:pPr>
        <w:pStyle w:val="a3"/>
        <w:rPr>
          <w:rFonts w:ascii="MS Gothic"/>
          <w:sz w:val="24"/>
        </w:rPr>
      </w:pPr>
    </w:p>
    <w:p w14:paraId="2E15592B" w14:textId="77777777" w:rsidR="00A720EB" w:rsidRDefault="0030286B">
      <w:pPr>
        <w:spacing w:before="1"/>
        <w:ind w:left="1664"/>
        <w:rPr>
          <w:rFonts w:ascii="MS Gothic"/>
        </w:rPr>
      </w:pPr>
      <w:r>
        <w:rPr>
          <w:rFonts w:ascii="MS Gothic"/>
          <w:color w:val="333333"/>
        </w:rPr>
        <w:t>@Override</w:t>
      </w:r>
    </w:p>
    <w:p w14:paraId="040A85B7" w14:textId="77777777" w:rsidR="00A720EB" w:rsidRDefault="0030286B">
      <w:pPr>
        <w:spacing w:before="13" w:line="252" w:lineRule="auto"/>
        <w:ind w:left="344" w:right="1176" w:firstLine="1320"/>
        <w:rPr>
          <w:rFonts w:ascii="MS Gothic"/>
        </w:rPr>
      </w:pPr>
      <w:r>
        <w:rPr>
          <w:rFonts w:ascii="MS Gothic"/>
          <w:color w:val="333333"/>
        </w:rPr>
        <w:t xml:space="preserve">public void </w:t>
      </w:r>
      <w:proofErr w:type="gramStart"/>
      <w:r>
        <w:rPr>
          <w:rFonts w:ascii="MS Gothic"/>
          <w:color w:val="333333"/>
        </w:rPr>
        <w:t>service(</w:t>
      </w:r>
      <w:proofErr w:type="gramEnd"/>
      <w:r>
        <w:rPr>
          <w:rFonts w:ascii="MS Gothic"/>
          <w:color w:val="333333"/>
        </w:rPr>
        <w:t>ServletRequest req, ServletResponse res) throws ServletException, IOException {</w:t>
      </w:r>
    </w:p>
    <w:p w14:paraId="22B86EB6" w14:textId="77777777" w:rsidR="00A720EB" w:rsidRDefault="0030286B">
      <w:pPr>
        <w:spacing w:line="252" w:lineRule="auto"/>
        <w:ind w:left="344" w:right="4586" w:firstLine="1760"/>
        <w:rPr>
          <w:rFonts w:ascii="MS Gothic"/>
        </w:rPr>
      </w:pPr>
      <w:r>
        <w:rPr>
          <w:rFonts w:ascii="MS Gothic"/>
          <w:color w:val="333333"/>
        </w:rPr>
        <w:t xml:space="preserve">ServletContext context = </w:t>
      </w:r>
      <w:proofErr w:type="gramStart"/>
      <w:r>
        <w:rPr>
          <w:rFonts w:ascii="MS Gothic"/>
          <w:color w:val="333333"/>
        </w:rPr>
        <w:t>req.getServletContext</w:t>
      </w:r>
      <w:proofErr w:type="gramEnd"/>
      <w:r>
        <w:rPr>
          <w:rFonts w:ascii="MS Gothic"/>
          <w:color w:val="333333"/>
        </w:rPr>
        <w:t>().getContext(contextPath);</w:t>
      </w:r>
    </w:p>
    <w:p w14:paraId="187BFC8F" w14:textId="77777777" w:rsidR="00A720EB" w:rsidRDefault="0030286B">
      <w:pPr>
        <w:spacing w:line="276" w:lineRule="exact"/>
        <w:ind w:left="2104"/>
        <w:rPr>
          <w:rFonts w:ascii="MS Gothic"/>
        </w:rPr>
      </w:pPr>
      <w:proofErr w:type="gramStart"/>
      <w:r>
        <w:rPr>
          <w:rFonts w:ascii="MS Gothic"/>
          <w:color w:val="333333"/>
        </w:rPr>
        <w:t>context.getRequestDispatcher</w:t>
      </w:r>
      <w:proofErr w:type="gramEnd"/>
      <w:r>
        <w:rPr>
          <w:rFonts w:ascii="MS Gothic"/>
          <w:color w:val="333333"/>
        </w:rPr>
        <w:t>("/cloudfoundryapplication").forward(req,</w:t>
      </w:r>
    </w:p>
    <w:p w14:paraId="6794B584" w14:textId="77777777" w:rsidR="00A720EB" w:rsidRDefault="0030286B">
      <w:pPr>
        <w:spacing w:before="14"/>
        <w:ind w:left="344"/>
        <w:rPr>
          <w:rFonts w:ascii="MS Gothic"/>
        </w:rPr>
      </w:pPr>
      <w:r>
        <w:rPr>
          <w:rFonts w:ascii="MS Gothic"/>
          <w:color w:val="333333"/>
        </w:rPr>
        <w:t>res);</w:t>
      </w:r>
    </w:p>
    <w:p w14:paraId="4F04724D" w14:textId="77777777" w:rsidR="00A720EB" w:rsidRDefault="0030286B">
      <w:pPr>
        <w:spacing w:before="13"/>
        <w:ind w:left="1664"/>
        <w:rPr>
          <w:rFonts w:ascii="MS Gothic"/>
        </w:rPr>
      </w:pPr>
      <w:r>
        <w:rPr>
          <w:rFonts w:ascii="MS Gothic"/>
          <w:color w:val="333333"/>
        </w:rPr>
        <w:t>}</w:t>
      </w:r>
    </w:p>
    <w:p w14:paraId="78A1DCA5" w14:textId="77777777" w:rsidR="00A720EB" w:rsidRDefault="00A720EB">
      <w:pPr>
        <w:pStyle w:val="a3"/>
        <w:rPr>
          <w:rFonts w:ascii="MS Gothic"/>
          <w:sz w:val="24"/>
        </w:rPr>
      </w:pPr>
    </w:p>
    <w:p w14:paraId="749A9CA0" w14:textId="77777777" w:rsidR="00A720EB" w:rsidRDefault="0030286B">
      <w:pPr>
        <w:spacing w:line="278" w:lineRule="exact"/>
        <w:ind w:left="1224"/>
        <w:rPr>
          <w:rFonts w:ascii="MS Gothic"/>
        </w:rPr>
      </w:pPr>
      <w:r>
        <w:rPr>
          <w:rFonts w:ascii="MS Gothic"/>
          <w:color w:val="333333"/>
        </w:rPr>
        <w:t>};</w:t>
      </w:r>
    </w:p>
    <w:p w14:paraId="6A779B89" w14:textId="77777777" w:rsidR="00A720EB" w:rsidRDefault="0030286B">
      <w:pPr>
        <w:spacing w:before="16"/>
        <w:ind w:left="1224"/>
        <w:rPr>
          <w:rFonts w:ascii="MS Gothic"/>
        </w:rPr>
      </w:pPr>
      <w:proofErr w:type="gramStart"/>
      <w:r>
        <w:rPr>
          <w:rFonts w:ascii="MS Gothic"/>
          <w:color w:val="333333"/>
        </w:rPr>
        <w:t>context.addServlet</w:t>
      </w:r>
      <w:proofErr w:type="gramEnd"/>
      <w:r>
        <w:rPr>
          <w:rFonts w:ascii="MS Gothic"/>
          <w:color w:val="333333"/>
        </w:rPr>
        <w:t>("cloudfoundry", servlet).addMapping("/*");</w:t>
      </w:r>
    </w:p>
    <w:p w14:paraId="0996C8E4" w14:textId="77777777" w:rsidR="00A720EB" w:rsidRDefault="0030286B">
      <w:pPr>
        <w:spacing w:before="13"/>
        <w:ind w:left="784"/>
        <w:rPr>
          <w:rFonts w:ascii="MS Gothic"/>
        </w:rPr>
      </w:pPr>
      <w:r>
        <w:rPr>
          <w:rFonts w:ascii="MS Gothic"/>
          <w:color w:val="333333"/>
        </w:rPr>
        <w:t>};</w:t>
      </w:r>
    </w:p>
    <w:p w14:paraId="78A57870" w14:textId="77777777" w:rsidR="00A720EB" w:rsidRDefault="0030286B">
      <w:pPr>
        <w:spacing w:before="13"/>
        <w:ind w:left="344"/>
        <w:rPr>
          <w:rFonts w:ascii="MS Gothic"/>
        </w:rPr>
      </w:pPr>
      <w:r>
        <w:rPr>
          <w:rFonts w:ascii="MS Gothic"/>
          <w:color w:val="333333"/>
        </w:rPr>
        <w:t>}</w:t>
      </w:r>
    </w:p>
    <w:p w14:paraId="7F0A67EE" w14:textId="77777777" w:rsidR="00A720EB" w:rsidRDefault="00A720EB">
      <w:pPr>
        <w:pStyle w:val="a3"/>
        <w:rPr>
          <w:rFonts w:ascii="MS Gothic"/>
          <w:sz w:val="20"/>
        </w:rPr>
      </w:pPr>
    </w:p>
    <w:p w14:paraId="4D42106B" w14:textId="77777777" w:rsidR="00A720EB" w:rsidRDefault="00A720EB">
      <w:pPr>
        <w:pStyle w:val="a3"/>
        <w:spacing w:before="4"/>
        <w:rPr>
          <w:rFonts w:ascii="MS Gothic"/>
          <w:sz w:val="15"/>
        </w:rPr>
      </w:pPr>
    </w:p>
    <w:p w14:paraId="7A7CB58E" w14:textId="77777777" w:rsidR="00A720EB" w:rsidRDefault="0030286B">
      <w:pPr>
        <w:pStyle w:val="2"/>
        <w:numPr>
          <w:ilvl w:val="1"/>
          <w:numId w:val="24"/>
        </w:numPr>
        <w:tabs>
          <w:tab w:val="left" w:pos="1034"/>
        </w:tabs>
        <w:spacing w:before="107"/>
        <w:ind w:left="1033" w:hanging="910"/>
      </w:pPr>
      <w:bookmarkStart w:id="684" w:name="5.11._What_to_Read_Next"/>
      <w:bookmarkStart w:id="685" w:name="_Toc54423878"/>
      <w:bookmarkEnd w:id="684"/>
      <w:r>
        <w:rPr>
          <w:color w:val="333333"/>
          <w:w w:val="110"/>
        </w:rPr>
        <w:t>What to Read</w:t>
      </w:r>
      <w:r>
        <w:rPr>
          <w:color w:val="333333"/>
          <w:spacing w:val="-20"/>
          <w:w w:val="110"/>
        </w:rPr>
        <w:t xml:space="preserve"> </w:t>
      </w:r>
      <w:r>
        <w:rPr>
          <w:color w:val="333333"/>
          <w:w w:val="110"/>
        </w:rPr>
        <w:t>Next</w:t>
      </w:r>
      <w:bookmarkEnd w:id="685"/>
    </w:p>
    <w:p w14:paraId="1D4DFCE1" w14:textId="77777777" w:rsidR="00A720EB" w:rsidRDefault="0030286B">
      <w:pPr>
        <w:pStyle w:val="a3"/>
        <w:spacing w:before="253"/>
        <w:ind w:left="124"/>
      </w:pPr>
      <w:r>
        <w:rPr>
          <w:color w:val="333333"/>
          <w:w w:val="110"/>
        </w:rPr>
        <w:t xml:space="preserve">You might want to read about graphing tools such as </w:t>
      </w:r>
      <w:hyperlink r:id="rId522">
        <w:r>
          <w:rPr>
            <w:color w:val="418BCA"/>
            <w:w w:val="110"/>
          </w:rPr>
          <w:t>Graphite</w:t>
        </w:r>
      </w:hyperlink>
      <w:r>
        <w:rPr>
          <w:color w:val="333333"/>
          <w:w w:val="110"/>
        </w:rPr>
        <w:t>.</w:t>
      </w:r>
    </w:p>
    <w:p w14:paraId="53EAF39E" w14:textId="77777777" w:rsidR="00A720EB" w:rsidRDefault="00A720EB">
      <w:pPr>
        <w:pStyle w:val="a3"/>
        <w:spacing w:before="4"/>
        <w:rPr>
          <w:sz w:val="26"/>
        </w:rPr>
      </w:pPr>
    </w:p>
    <w:p w14:paraId="7790D0DB" w14:textId="77777777" w:rsidR="00A720EB" w:rsidRDefault="0030286B">
      <w:pPr>
        <w:pStyle w:val="a3"/>
        <w:spacing w:line="288" w:lineRule="auto"/>
        <w:ind w:left="124" w:right="462"/>
      </w:pPr>
      <w:r>
        <w:rPr>
          <w:color w:val="333333"/>
          <w:w w:val="110"/>
        </w:rPr>
        <w:t xml:space="preserve">Otherwise, you can continue on, to read about </w:t>
      </w:r>
      <w:hyperlink w:anchor="_bookmark469" w:history="1">
        <w:r>
          <w:rPr>
            <w:color w:val="418BCA"/>
            <w:w w:val="110"/>
          </w:rPr>
          <w:t>‘deployment options’</w:t>
        </w:r>
      </w:hyperlink>
      <w:r>
        <w:rPr>
          <w:color w:val="418BCA"/>
          <w:w w:val="110"/>
        </w:rPr>
        <w:t xml:space="preserve"> </w:t>
      </w:r>
      <w:r>
        <w:rPr>
          <w:color w:val="333333"/>
          <w:w w:val="110"/>
        </w:rPr>
        <w:t xml:space="preserve">or jump ahead for some in- depth information about Spring Boot’s </w:t>
      </w:r>
      <w:hyperlink w:anchor="_bookmark510" w:history="1">
        <w:r>
          <w:rPr>
            <w:rFonts w:ascii="Palatino Linotype" w:hAnsi="Palatino Linotype"/>
            <w:i/>
            <w:color w:val="418BCA"/>
            <w:w w:val="110"/>
          </w:rPr>
          <w:t>build tool</w:t>
        </w:r>
        <w:r>
          <w:rPr>
            <w:rFonts w:ascii="Palatino Linotype" w:hAnsi="Palatino Linotype"/>
            <w:i/>
            <w:color w:val="418BCA"/>
            <w:spacing w:val="17"/>
            <w:w w:val="110"/>
          </w:rPr>
          <w:t xml:space="preserve"> </w:t>
        </w:r>
        <w:r>
          <w:rPr>
            <w:rFonts w:ascii="Palatino Linotype" w:hAnsi="Palatino Linotype"/>
            <w:i/>
            <w:color w:val="418BCA"/>
            <w:w w:val="110"/>
          </w:rPr>
          <w:t>plugins</w:t>
        </w:r>
      </w:hyperlink>
      <w:r>
        <w:rPr>
          <w:color w:val="333333"/>
          <w:w w:val="110"/>
        </w:rPr>
        <w:t>.</w:t>
      </w:r>
    </w:p>
    <w:p w14:paraId="09A9674F" w14:textId="77777777" w:rsidR="00A720EB" w:rsidRDefault="00A720EB">
      <w:pPr>
        <w:spacing w:line="288" w:lineRule="auto"/>
        <w:sectPr w:rsidR="00A720EB">
          <w:pgSz w:w="11910" w:h="16840"/>
          <w:pgMar w:top="700" w:right="840" w:bottom="520" w:left="840" w:header="0" w:footer="323" w:gutter="0"/>
          <w:cols w:space="720"/>
        </w:sectPr>
      </w:pPr>
    </w:p>
    <w:p w14:paraId="42ECFE04" w14:textId="77777777" w:rsidR="00A720EB" w:rsidRDefault="0030286B">
      <w:pPr>
        <w:spacing w:before="90" w:line="242" w:lineRule="auto"/>
        <w:ind w:left="124" w:right="2763"/>
        <w:rPr>
          <w:rFonts w:ascii="Palatino Linotype"/>
          <w:b/>
          <w:sz w:val="44"/>
        </w:rPr>
      </w:pPr>
      <w:bookmarkStart w:id="686" w:name="Chapter_6._Deploying_Spring_Boot_Applica"/>
      <w:bookmarkEnd w:id="686"/>
      <w:r>
        <w:rPr>
          <w:rFonts w:ascii="Palatino Linotype"/>
          <w:b/>
          <w:color w:val="333333"/>
          <w:w w:val="110"/>
          <w:sz w:val="44"/>
        </w:rPr>
        <w:lastRenderedPageBreak/>
        <w:t>Chapter</w:t>
      </w:r>
      <w:r>
        <w:rPr>
          <w:rFonts w:ascii="Palatino Linotype"/>
          <w:b/>
          <w:color w:val="333333"/>
          <w:spacing w:val="-48"/>
          <w:w w:val="110"/>
          <w:sz w:val="44"/>
        </w:rPr>
        <w:t xml:space="preserve"> </w:t>
      </w:r>
      <w:r>
        <w:rPr>
          <w:rFonts w:ascii="Palatino Linotype"/>
          <w:b/>
          <w:color w:val="333333"/>
          <w:w w:val="110"/>
          <w:sz w:val="44"/>
        </w:rPr>
        <w:t>6.</w:t>
      </w:r>
      <w:r>
        <w:rPr>
          <w:rFonts w:ascii="Palatino Linotype"/>
          <w:b/>
          <w:color w:val="333333"/>
          <w:spacing w:val="-47"/>
          <w:w w:val="110"/>
          <w:sz w:val="44"/>
        </w:rPr>
        <w:t xml:space="preserve"> </w:t>
      </w:r>
      <w:r>
        <w:rPr>
          <w:rFonts w:ascii="Palatino Linotype"/>
          <w:b/>
          <w:color w:val="333333"/>
          <w:w w:val="110"/>
          <w:sz w:val="44"/>
        </w:rPr>
        <w:t>Deploying</w:t>
      </w:r>
      <w:r>
        <w:rPr>
          <w:rFonts w:ascii="Palatino Linotype"/>
          <w:b/>
          <w:color w:val="333333"/>
          <w:spacing w:val="-47"/>
          <w:w w:val="110"/>
          <w:sz w:val="44"/>
        </w:rPr>
        <w:t xml:space="preserve"> </w:t>
      </w:r>
      <w:r>
        <w:rPr>
          <w:rFonts w:ascii="Palatino Linotype"/>
          <w:b/>
          <w:color w:val="333333"/>
          <w:w w:val="110"/>
          <w:sz w:val="44"/>
        </w:rPr>
        <w:t>Spring</w:t>
      </w:r>
      <w:r>
        <w:rPr>
          <w:rFonts w:ascii="Palatino Linotype"/>
          <w:b/>
          <w:color w:val="333333"/>
          <w:spacing w:val="-47"/>
          <w:w w:val="110"/>
          <w:sz w:val="44"/>
        </w:rPr>
        <w:t xml:space="preserve"> </w:t>
      </w:r>
      <w:r>
        <w:rPr>
          <w:rFonts w:ascii="Palatino Linotype"/>
          <w:b/>
          <w:color w:val="333333"/>
          <w:w w:val="110"/>
          <w:sz w:val="44"/>
        </w:rPr>
        <w:t>Boot Applications</w:t>
      </w:r>
    </w:p>
    <w:p w14:paraId="18D9C1C3" w14:textId="77777777" w:rsidR="00A720EB" w:rsidRDefault="0030286B">
      <w:pPr>
        <w:pStyle w:val="a3"/>
        <w:spacing w:before="245" w:line="307" w:lineRule="auto"/>
        <w:ind w:left="124" w:right="133"/>
        <w:jc w:val="both"/>
      </w:pPr>
      <w:r>
        <w:rPr>
          <w:color w:val="333333"/>
          <w:w w:val="110"/>
        </w:rPr>
        <w:t xml:space="preserve">Spring Boot’s flexible packaging options provide a great deal of choice when it comes to deploying your application. </w:t>
      </w:r>
      <w:r>
        <w:rPr>
          <w:color w:val="333333"/>
          <w:spacing w:val="-6"/>
          <w:w w:val="110"/>
        </w:rPr>
        <w:t xml:space="preserve">You </w:t>
      </w:r>
      <w:r>
        <w:rPr>
          <w:color w:val="333333"/>
          <w:w w:val="110"/>
        </w:rPr>
        <w:t xml:space="preserve">can deploy Spring Boot applications to a variety of cloud platforms, </w:t>
      </w:r>
      <w:proofErr w:type="gramStart"/>
      <w:r>
        <w:rPr>
          <w:color w:val="333333"/>
          <w:w w:val="110"/>
        </w:rPr>
        <w:t>to  container</w:t>
      </w:r>
      <w:proofErr w:type="gramEnd"/>
      <w:r>
        <w:rPr>
          <w:color w:val="333333"/>
          <w:w w:val="110"/>
        </w:rPr>
        <w:t xml:space="preserve"> images (such as Docker), or to virtual/real</w:t>
      </w:r>
      <w:r>
        <w:rPr>
          <w:color w:val="333333"/>
          <w:spacing w:val="22"/>
          <w:w w:val="110"/>
        </w:rPr>
        <w:t xml:space="preserve"> </w:t>
      </w:r>
      <w:r>
        <w:rPr>
          <w:color w:val="333333"/>
          <w:w w:val="110"/>
        </w:rPr>
        <w:t>machines.</w:t>
      </w:r>
    </w:p>
    <w:p w14:paraId="74EB154D" w14:textId="77777777" w:rsidR="00A720EB" w:rsidRDefault="0030286B">
      <w:pPr>
        <w:pStyle w:val="a3"/>
        <w:spacing w:before="242"/>
        <w:ind w:left="124"/>
        <w:jc w:val="both"/>
      </w:pPr>
      <w:r>
        <w:rPr>
          <w:color w:val="333333"/>
          <w:w w:val="110"/>
        </w:rPr>
        <w:t>This section covers some of the more common deployment scenarios.</w:t>
      </w:r>
    </w:p>
    <w:p w14:paraId="799D2567" w14:textId="77777777" w:rsidR="00A720EB" w:rsidRDefault="00A720EB">
      <w:pPr>
        <w:pStyle w:val="a3"/>
        <w:spacing w:before="8"/>
        <w:rPr>
          <w:sz w:val="31"/>
        </w:rPr>
      </w:pPr>
    </w:p>
    <w:p w14:paraId="1CB0D921" w14:textId="77777777" w:rsidR="00A720EB" w:rsidRDefault="0030286B">
      <w:pPr>
        <w:pStyle w:val="2"/>
        <w:numPr>
          <w:ilvl w:val="1"/>
          <w:numId w:val="20"/>
        </w:numPr>
        <w:tabs>
          <w:tab w:val="left" w:pos="832"/>
        </w:tabs>
        <w:spacing w:before="1"/>
      </w:pPr>
      <w:bookmarkStart w:id="687" w:name="6.1._Deploying_to_Containers"/>
      <w:bookmarkStart w:id="688" w:name="_Toc54423879"/>
      <w:bookmarkEnd w:id="687"/>
      <w:r>
        <w:rPr>
          <w:color w:val="333333"/>
          <w:w w:val="110"/>
        </w:rPr>
        <w:t>Deploying to</w:t>
      </w:r>
      <w:r>
        <w:rPr>
          <w:color w:val="333333"/>
          <w:spacing w:val="-17"/>
          <w:w w:val="110"/>
        </w:rPr>
        <w:t xml:space="preserve"> </w:t>
      </w:r>
      <w:r>
        <w:rPr>
          <w:color w:val="333333"/>
          <w:w w:val="110"/>
        </w:rPr>
        <w:t>Containers</w:t>
      </w:r>
      <w:bookmarkEnd w:id="688"/>
    </w:p>
    <w:p w14:paraId="47869271" w14:textId="77777777" w:rsidR="00A720EB" w:rsidRDefault="0030286B">
      <w:pPr>
        <w:pStyle w:val="a3"/>
        <w:spacing w:before="253" w:line="307" w:lineRule="auto"/>
        <w:ind w:left="124" w:right="131"/>
        <w:jc w:val="both"/>
      </w:pPr>
      <w:r>
        <w:rPr>
          <w:color w:val="333333"/>
          <w:w w:val="110"/>
        </w:rPr>
        <w:t>If you are running your application from a container, you can use an executable jar, but it is also</w:t>
      </w:r>
      <w:r>
        <w:rPr>
          <w:color w:val="333333"/>
          <w:spacing w:val="50"/>
          <w:w w:val="110"/>
        </w:rPr>
        <w:t xml:space="preserve"> </w:t>
      </w:r>
      <w:r>
        <w:rPr>
          <w:color w:val="333333"/>
          <w:w w:val="110"/>
        </w:rPr>
        <w:t xml:space="preserve">often an advantage to explode it and run it in a different </w:t>
      </w:r>
      <w:r>
        <w:rPr>
          <w:color w:val="333333"/>
          <w:spacing w:val="-7"/>
          <w:w w:val="110"/>
        </w:rPr>
        <w:t xml:space="preserve">way.  </w:t>
      </w:r>
      <w:r>
        <w:rPr>
          <w:color w:val="333333"/>
          <w:w w:val="110"/>
        </w:rPr>
        <w:t xml:space="preserve">Certain PaaS implementations </w:t>
      </w:r>
      <w:proofErr w:type="gramStart"/>
      <w:r>
        <w:rPr>
          <w:color w:val="333333"/>
          <w:w w:val="110"/>
        </w:rPr>
        <w:t>may  also</w:t>
      </w:r>
      <w:proofErr w:type="gramEnd"/>
      <w:r>
        <w:rPr>
          <w:color w:val="333333"/>
          <w:w w:val="110"/>
        </w:rPr>
        <w:t xml:space="preserve"> choose to unpack archives before they run. </w:t>
      </w:r>
      <w:r>
        <w:rPr>
          <w:color w:val="333333"/>
          <w:spacing w:val="-4"/>
          <w:w w:val="110"/>
        </w:rPr>
        <w:t xml:space="preserve">For </w:t>
      </w:r>
      <w:r>
        <w:rPr>
          <w:color w:val="333333"/>
          <w:w w:val="110"/>
        </w:rPr>
        <w:t xml:space="preserve">example, Cloud Foundry operates this </w:t>
      </w:r>
      <w:r>
        <w:rPr>
          <w:color w:val="333333"/>
          <w:spacing w:val="-7"/>
          <w:w w:val="110"/>
        </w:rPr>
        <w:t xml:space="preserve">way. </w:t>
      </w:r>
      <w:r>
        <w:rPr>
          <w:color w:val="333333"/>
          <w:w w:val="110"/>
        </w:rPr>
        <w:t>One way</w:t>
      </w:r>
      <w:r>
        <w:rPr>
          <w:color w:val="333333"/>
          <w:spacing w:val="4"/>
          <w:w w:val="110"/>
        </w:rPr>
        <w:t xml:space="preserve"> </w:t>
      </w:r>
      <w:r>
        <w:rPr>
          <w:color w:val="333333"/>
          <w:w w:val="110"/>
        </w:rPr>
        <w:t>to</w:t>
      </w:r>
      <w:r>
        <w:rPr>
          <w:color w:val="333333"/>
          <w:spacing w:val="5"/>
          <w:w w:val="110"/>
        </w:rPr>
        <w:t xml:space="preserve"> </w:t>
      </w:r>
      <w:r>
        <w:rPr>
          <w:color w:val="333333"/>
          <w:w w:val="110"/>
        </w:rPr>
        <w:t>run</w:t>
      </w:r>
      <w:r>
        <w:rPr>
          <w:color w:val="333333"/>
          <w:spacing w:val="5"/>
          <w:w w:val="110"/>
        </w:rPr>
        <w:t xml:space="preserve"> </w:t>
      </w:r>
      <w:r>
        <w:rPr>
          <w:color w:val="333333"/>
          <w:w w:val="110"/>
        </w:rPr>
        <w:t>an</w:t>
      </w:r>
      <w:r>
        <w:rPr>
          <w:color w:val="333333"/>
          <w:spacing w:val="4"/>
          <w:w w:val="110"/>
        </w:rPr>
        <w:t xml:space="preserve"> </w:t>
      </w:r>
      <w:r>
        <w:rPr>
          <w:color w:val="333333"/>
          <w:w w:val="110"/>
        </w:rPr>
        <w:t>unpacked</w:t>
      </w:r>
      <w:r>
        <w:rPr>
          <w:color w:val="333333"/>
          <w:spacing w:val="6"/>
          <w:w w:val="110"/>
        </w:rPr>
        <w:t xml:space="preserve"> </w:t>
      </w:r>
      <w:r>
        <w:rPr>
          <w:color w:val="333333"/>
          <w:w w:val="110"/>
        </w:rPr>
        <w:t>archive</w:t>
      </w:r>
      <w:r>
        <w:rPr>
          <w:color w:val="333333"/>
          <w:spacing w:val="4"/>
          <w:w w:val="110"/>
        </w:rPr>
        <w:t xml:space="preserve"> </w:t>
      </w:r>
      <w:r>
        <w:rPr>
          <w:color w:val="333333"/>
          <w:w w:val="110"/>
        </w:rPr>
        <w:t>is</w:t>
      </w:r>
      <w:r>
        <w:rPr>
          <w:color w:val="333333"/>
          <w:spacing w:val="4"/>
          <w:w w:val="110"/>
        </w:rPr>
        <w:t xml:space="preserve"> </w:t>
      </w:r>
      <w:r>
        <w:rPr>
          <w:color w:val="333333"/>
          <w:spacing w:val="-3"/>
          <w:w w:val="110"/>
        </w:rPr>
        <w:t>by</w:t>
      </w:r>
      <w:r>
        <w:rPr>
          <w:color w:val="333333"/>
          <w:spacing w:val="4"/>
          <w:w w:val="110"/>
        </w:rPr>
        <w:t xml:space="preserve"> </w:t>
      </w:r>
      <w:r>
        <w:rPr>
          <w:color w:val="333333"/>
          <w:w w:val="110"/>
        </w:rPr>
        <w:t>starting</w:t>
      </w:r>
      <w:r>
        <w:rPr>
          <w:color w:val="333333"/>
          <w:spacing w:val="5"/>
          <w:w w:val="110"/>
        </w:rPr>
        <w:t xml:space="preserve"> </w:t>
      </w:r>
      <w:r>
        <w:rPr>
          <w:color w:val="333333"/>
          <w:w w:val="110"/>
        </w:rPr>
        <w:t>the</w:t>
      </w:r>
      <w:r>
        <w:rPr>
          <w:color w:val="333333"/>
          <w:spacing w:val="6"/>
          <w:w w:val="110"/>
        </w:rPr>
        <w:t xml:space="preserve"> </w:t>
      </w:r>
      <w:r>
        <w:rPr>
          <w:color w:val="333333"/>
          <w:w w:val="110"/>
        </w:rPr>
        <w:t>appropriate</w:t>
      </w:r>
      <w:r>
        <w:rPr>
          <w:color w:val="333333"/>
          <w:spacing w:val="4"/>
          <w:w w:val="110"/>
        </w:rPr>
        <w:t xml:space="preserve"> </w:t>
      </w:r>
      <w:r>
        <w:rPr>
          <w:color w:val="333333"/>
          <w:w w:val="110"/>
        </w:rPr>
        <w:t>launcher,</w:t>
      </w:r>
      <w:r>
        <w:rPr>
          <w:color w:val="333333"/>
          <w:spacing w:val="5"/>
          <w:w w:val="110"/>
        </w:rPr>
        <w:t xml:space="preserve"> </w:t>
      </w:r>
      <w:r>
        <w:rPr>
          <w:color w:val="333333"/>
          <w:w w:val="110"/>
        </w:rPr>
        <w:t>as</w:t>
      </w:r>
      <w:r>
        <w:rPr>
          <w:color w:val="333333"/>
          <w:spacing w:val="4"/>
          <w:w w:val="110"/>
        </w:rPr>
        <w:t xml:space="preserve"> </w:t>
      </w:r>
      <w:r>
        <w:rPr>
          <w:color w:val="333333"/>
          <w:w w:val="110"/>
        </w:rPr>
        <w:t>follows:</w:t>
      </w:r>
    </w:p>
    <w:p w14:paraId="10ACCF85" w14:textId="77777777" w:rsidR="00A720EB" w:rsidRDefault="00E10349">
      <w:pPr>
        <w:pStyle w:val="a3"/>
        <w:spacing w:before="2"/>
        <w:rPr>
          <w:sz w:val="13"/>
        </w:rPr>
      </w:pPr>
      <w:r>
        <w:pict w14:anchorId="5FEF6781">
          <v:group id="_x0000_s1917" style="position:absolute;margin-left:47.85pt;margin-top:9.75pt;width:499.55pt;height:52.25pt;z-index:-15179264;mso-wrap-distance-left:0;mso-wrap-distance-right:0;mso-position-horizontal-relative:page" coordorigin="957,195" coordsize="9991,1045">
            <v:shape id="_x0000_s1920" style="position:absolute;left:964;top:202;width:9976;height:1030" coordorigin="965,202" coordsize="9976,1030" path="m10861,202r-9816,l1014,208r-26,18l971,251r-6,31l965,1152r6,31l988,1208r26,17l1045,1232r9816,l10892,1225r25,-17l10935,1183r6,-31l10941,282r-6,-31l10917,226r-25,-18l10861,202xe" fillcolor="#f5f5f5" stroked="f">
              <v:path arrowok="t"/>
            </v:shape>
            <v:shape id="_x0000_s1919" style="position:absolute;left:964;top:202;width:9976;height:1030" coordorigin="965,202" coordsize="9976,1030" path="m1045,202r9816,l10892,208r25,18l10935,251r6,31l10941,1152r-6,31l10917,1208r-25,17l10861,1232r-9816,l1014,1225r-26,-17l971,1183r-6,-31l965,282r6,-31l988,226r26,-18l1045,202xe" filled="f" strokecolor="#ccc">
              <v:path arrowok="t"/>
            </v:shape>
            <v:shape id="_x0000_s1918" type="#_x0000_t202" style="position:absolute;left:984;top:217;width:9938;height:999" filled="f" stroked="f">
              <v:textbox inset="0,0,0,0">
                <w:txbxContent>
                  <w:p w14:paraId="705D1EDE" w14:textId="77777777" w:rsidR="00711A16" w:rsidRDefault="00711A16">
                    <w:pPr>
                      <w:spacing w:before="221"/>
                      <w:ind w:left="200"/>
                      <w:rPr>
                        <w:rFonts w:ascii="MS Gothic"/>
                      </w:rPr>
                    </w:pPr>
                    <w:r>
                      <w:rPr>
                        <w:rFonts w:ascii="MS Gothic"/>
                        <w:color w:val="333333"/>
                      </w:rPr>
                      <w:t>$ jar -xf myapp.jar</w:t>
                    </w:r>
                  </w:p>
                  <w:p w14:paraId="3F761C3D" w14:textId="77777777" w:rsidR="00711A16" w:rsidRDefault="00711A16">
                    <w:pPr>
                      <w:spacing w:before="13"/>
                      <w:ind w:left="200"/>
                      <w:rPr>
                        <w:rFonts w:ascii="MS Gothic"/>
                      </w:rPr>
                    </w:pPr>
                    <w:r>
                      <w:rPr>
                        <w:rFonts w:ascii="MS Gothic"/>
                        <w:color w:val="333333"/>
                      </w:rPr>
                      <w:t xml:space="preserve">$ java </w:t>
                    </w:r>
                    <w:proofErr w:type="gramStart"/>
                    <w:r>
                      <w:rPr>
                        <w:rFonts w:ascii="MS Gothic"/>
                        <w:color w:val="333333"/>
                      </w:rPr>
                      <w:t>org.springframework</w:t>
                    </w:r>
                    <w:proofErr w:type="gramEnd"/>
                    <w:r>
                      <w:rPr>
                        <w:rFonts w:ascii="MS Gothic"/>
                        <w:color w:val="333333"/>
                      </w:rPr>
                      <w:t>.boot.loader.JarLauncher</w:t>
                    </w:r>
                  </w:p>
                </w:txbxContent>
              </v:textbox>
            </v:shape>
            <w10:wrap type="topAndBottom" anchorx="page"/>
          </v:group>
        </w:pict>
      </w:r>
    </w:p>
    <w:p w14:paraId="50A1EC52" w14:textId="77777777" w:rsidR="00A720EB" w:rsidRDefault="00A720EB">
      <w:pPr>
        <w:pStyle w:val="a3"/>
        <w:rPr>
          <w:sz w:val="10"/>
        </w:rPr>
      </w:pPr>
    </w:p>
    <w:p w14:paraId="6EF3D8CF" w14:textId="77777777" w:rsidR="00A720EB" w:rsidRDefault="0030286B">
      <w:pPr>
        <w:pStyle w:val="a3"/>
        <w:spacing w:before="125" w:line="307" w:lineRule="auto"/>
        <w:ind w:left="124"/>
      </w:pPr>
      <w:r>
        <w:rPr>
          <w:color w:val="333333"/>
          <w:w w:val="110"/>
        </w:rPr>
        <w:t>This is actually slightly faster on startup (depending on the size of the jar) than running from an unexploded archive. At runtime you shouldn’t expect any differences.</w:t>
      </w:r>
    </w:p>
    <w:p w14:paraId="1BD160EE" w14:textId="77777777" w:rsidR="00A720EB" w:rsidRDefault="0030286B">
      <w:pPr>
        <w:pStyle w:val="a3"/>
        <w:spacing w:before="241" w:line="297" w:lineRule="auto"/>
        <w:ind w:left="124" w:right="359"/>
      </w:pPr>
      <w:r>
        <w:rPr>
          <w:color w:val="333333"/>
          <w:w w:val="110"/>
        </w:rPr>
        <w:t xml:space="preserve">Once you have unpacked the jar file, you can also get an extra boost to startup time by running the app with its "natural" main method instead of the </w:t>
      </w:r>
      <w:r>
        <w:rPr>
          <w:rFonts w:ascii="MS Gothic"/>
          <w:color w:val="B02045"/>
          <w:w w:val="110"/>
        </w:rPr>
        <w:t>JarLauncher</w:t>
      </w:r>
      <w:r>
        <w:rPr>
          <w:color w:val="333333"/>
          <w:w w:val="110"/>
        </w:rPr>
        <w:t>. For example:</w:t>
      </w:r>
    </w:p>
    <w:p w14:paraId="4A805B4F" w14:textId="77777777" w:rsidR="00A720EB" w:rsidRDefault="00E10349">
      <w:pPr>
        <w:pStyle w:val="a3"/>
        <w:spacing w:before="5"/>
        <w:rPr>
          <w:sz w:val="12"/>
        </w:rPr>
      </w:pPr>
      <w:r>
        <w:pict w14:anchorId="7E62AC81">
          <v:group id="_x0000_s1913" style="position:absolute;margin-left:47.85pt;margin-top:9.25pt;width:499.55pt;height:52.25pt;z-index:-15178752;mso-wrap-distance-left:0;mso-wrap-distance-right:0;mso-position-horizontal-relative:page" coordorigin="957,185" coordsize="9991,1045">
            <v:shape id="_x0000_s1916" style="position:absolute;left:964;top:192;width:9976;height:1030" coordorigin="965,193" coordsize="9976,1030" path="m10861,193r-9816,l1014,199r-26,17l971,242r-6,31l965,1143r6,31l988,1199r26,17l1045,1223r9816,l10892,1216r25,-17l10935,1174r6,-31l10941,273r-6,-31l10917,216r-25,-17l10861,193xe" fillcolor="#f5f5f5" stroked="f">
              <v:path arrowok="t"/>
            </v:shape>
            <v:shape id="_x0000_s1915" style="position:absolute;left:964;top:192;width:9976;height:1030" coordorigin="965,193" coordsize="9976,1030" path="m1045,193r9816,l10892,199r25,17l10935,242r6,31l10941,1143r-6,31l10917,1199r-25,17l10861,1223r-9816,l1014,1216r-26,-17l971,1174r-6,-31l965,273r6,-31l988,216r26,-17l1045,193xe" filled="f" strokecolor="#ccc">
              <v:path arrowok="t"/>
            </v:shape>
            <v:shape id="_x0000_s1914" type="#_x0000_t202" style="position:absolute;left:984;top:208;width:9938;height:999" filled="f" stroked="f">
              <v:textbox inset="0,0,0,0">
                <w:txbxContent>
                  <w:p w14:paraId="22427B5C" w14:textId="77777777" w:rsidR="00711A16" w:rsidRDefault="00711A16">
                    <w:pPr>
                      <w:spacing w:before="221"/>
                      <w:ind w:left="200"/>
                      <w:rPr>
                        <w:rFonts w:ascii="MS Gothic"/>
                      </w:rPr>
                    </w:pPr>
                    <w:r>
                      <w:rPr>
                        <w:rFonts w:ascii="MS Gothic"/>
                        <w:color w:val="333333"/>
                      </w:rPr>
                      <w:t>$ jar -xf myapp.jar</w:t>
                    </w:r>
                  </w:p>
                  <w:p w14:paraId="6B834A51" w14:textId="77777777" w:rsidR="00711A16" w:rsidRDefault="00711A16">
                    <w:pPr>
                      <w:spacing w:before="13"/>
                      <w:ind w:left="200"/>
                      <w:rPr>
                        <w:rFonts w:ascii="MS Gothic"/>
                      </w:rPr>
                    </w:pPr>
                    <w:r>
                      <w:rPr>
                        <w:rFonts w:ascii="MS Gothic"/>
                        <w:color w:val="333333"/>
                      </w:rPr>
                      <w:t>$ java -cp BOOT-INF/</w:t>
                    </w:r>
                    <w:proofErr w:type="gramStart"/>
                    <w:r>
                      <w:rPr>
                        <w:rFonts w:ascii="MS Gothic"/>
                        <w:color w:val="333333"/>
                      </w:rPr>
                      <w:t>classes:BOOT</w:t>
                    </w:r>
                    <w:proofErr w:type="gramEnd"/>
                    <w:r>
                      <w:rPr>
                        <w:rFonts w:ascii="MS Gothic"/>
                        <w:color w:val="333333"/>
                      </w:rPr>
                      <w:t>-INF/lib/* com.example.MyApplication</w:t>
                    </w:r>
                  </w:p>
                </w:txbxContent>
              </v:textbox>
            </v:shape>
            <w10:wrap type="topAndBottom" anchorx="page"/>
          </v:group>
        </w:pict>
      </w:r>
    </w:p>
    <w:p w14:paraId="393BBF2A" w14:textId="77777777" w:rsidR="00A720EB" w:rsidRDefault="00A720EB">
      <w:pPr>
        <w:pStyle w:val="a3"/>
        <w:spacing w:before="8"/>
        <w:rPr>
          <w:sz w:val="16"/>
        </w:rPr>
      </w:pPr>
    </w:p>
    <w:p w14:paraId="44218374" w14:textId="77777777" w:rsidR="00A720EB" w:rsidRDefault="00E10349">
      <w:pPr>
        <w:pStyle w:val="a3"/>
        <w:spacing w:before="116" w:line="280" w:lineRule="auto"/>
        <w:ind w:left="1564" w:right="364"/>
        <w:jc w:val="both"/>
      </w:pPr>
      <w:r>
        <w:pict w14:anchorId="2A80DF9A">
          <v:line id="_x0000_s1912" style="position:absolute;left:0;text-align:left;z-index:16279040;mso-position-horizontal-relative:page" from="108.25pt,.35pt" to="108.25pt,55.7pt" strokecolor="#ededed" strokeweight=".5pt">
            <w10:wrap anchorx="page"/>
          </v:line>
        </w:pict>
      </w:r>
      <w:r w:rsidR="0030286B">
        <w:rPr>
          <w:noProof/>
        </w:rPr>
        <w:drawing>
          <wp:anchor distT="0" distB="0" distL="0" distR="0" simplePos="0" relativeHeight="16279552" behindDoc="0" locked="0" layoutInCell="1" allowOverlap="1" wp14:anchorId="2D0EF1D6" wp14:editId="31605EE2">
            <wp:simplePos x="0" y="0"/>
            <wp:positionH relativeFrom="page">
              <wp:posOffset>844422</wp:posOffset>
            </wp:positionH>
            <wp:positionV relativeFrom="paragraph">
              <wp:posOffset>206451</wp:posOffset>
            </wp:positionV>
            <wp:extent cx="298450" cy="298450"/>
            <wp:effectExtent l="0" t="0" r="0" b="0"/>
            <wp:wrapNone/>
            <wp:docPr id="6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Using the </w:t>
      </w:r>
      <w:r w:rsidR="0030286B">
        <w:rPr>
          <w:rFonts w:ascii="MS Gothic" w:hAnsi="MS Gothic"/>
          <w:color w:val="B02045"/>
          <w:w w:val="110"/>
        </w:rPr>
        <w:t xml:space="preserve">JarLauncher </w:t>
      </w:r>
      <w:r w:rsidR="0030286B">
        <w:rPr>
          <w:color w:val="333333"/>
          <w:w w:val="110"/>
        </w:rPr>
        <w:t xml:space="preserve">over the application’s main method has the added benefit of a predictable classpath order. The jar contains a </w:t>
      </w:r>
      <w:r w:rsidR="0030286B">
        <w:rPr>
          <w:rFonts w:ascii="MS Gothic" w:hAnsi="MS Gothic"/>
          <w:color w:val="B02045"/>
          <w:w w:val="110"/>
        </w:rPr>
        <w:t xml:space="preserve">classpath.idx </w:t>
      </w:r>
      <w:r w:rsidR="0030286B">
        <w:rPr>
          <w:color w:val="333333"/>
          <w:w w:val="110"/>
        </w:rPr>
        <w:t xml:space="preserve">file which is used </w:t>
      </w:r>
      <w:r w:rsidR="0030286B">
        <w:rPr>
          <w:color w:val="333333"/>
          <w:spacing w:val="-3"/>
          <w:w w:val="110"/>
        </w:rPr>
        <w:t xml:space="preserve">by </w:t>
      </w:r>
      <w:r w:rsidR="0030286B">
        <w:rPr>
          <w:color w:val="333333"/>
          <w:w w:val="110"/>
        </w:rPr>
        <w:t xml:space="preserve">the </w:t>
      </w:r>
      <w:r w:rsidR="0030286B">
        <w:rPr>
          <w:rFonts w:ascii="MS Gothic" w:hAnsi="MS Gothic"/>
          <w:color w:val="B02045"/>
          <w:w w:val="110"/>
        </w:rPr>
        <w:t>JarLauncher</w:t>
      </w:r>
      <w:r w:rsidR="0030286B">
        <w:rPr>
          <w:rFonts w:ascii="MS Gothic" w:hAnsi="MS Gothic"/>
          <w:color w:val="B02045"/>
          <w:spacing w:val="-53"/>
          <w:w w:val="110"/>
        </w:rPr>
        <w:t xml:space="preserve"> </w:t>
      </w:r>
      <w:r w:rsidR="0030286B">
        <w:rPr>
          <w:color w:val="333333"/>
          <w:w w:val="110"/>
        </w:rPr>
        <w:t>when constructing the classpath.</w:t>
      </w:r>
    </w:p>
    <w:p w14:paraId="54BCC0C5" w14:textId="77777777" w:rsidR="00A720EB" w:rsidRDefault="00A720EB">
      <w:pPr>
        <w:pStyle w:val="a3"/>
        <w:spacing w:before="9"/>
        <w:rPr>
          <w:sz w:val="17"/>
        </w:rPr>
      </w:pPr>
    </w:p>
    <w:p w14:paraId="683C3848" w14:textId="77777777" w:rsidR="00A720EB" w:rsidRDefault="0030286B">
      <w:pPr>
        <w:pStyle w:val="a3"/>
        <w:spacing w:before="125" w:line="307" w:lineRule="auto"/>
        <w:ind w:left="124" w:right="123"/>
        <w:jc w:val="both"/>
      </w:pPr>
      <w:r>
        <w:rPr>
          <w:color w:val="333333"/>
          <w:w w:val="110"/>
        </w:rPr>
        <w:t xml:space="preserve">More efficient container images can also be created </w:t>
      </w:r>
      <w:r>
        <w:rPr>
          <w:color w:val="333333"/>
          <w:spacing w:val="-3"/>
          <w:w w:val="110"/>
        </w:rPr>
        <w:t xml:space="preserve">by </w:t>
      </w:r>
      <w:hyperlink w:anchor="_bookmark373" w:history="1">
        <w:r>
          <w:rPr>
            <w:color w:val="418BCA"/>
            <w:w w:val="110"/>
          </w:rPr>
          <w:t>creating separate layers</w:t>
        </w:r>
      </w:hyperlink>
      <w:r>
        <w:rPr>
          <w:color w:val="418BCA"/>
          <w:w w:val="110"/>
        </w:rPr>
        <w:t xml:space="preserve"> </w:t>
      </w:r>
      <w:r>
        <w:rPr>
          <w:color w:val="333333"/>
          <w:w w:val="110"/>
        </w:rPr>
        <w:t>for your dependencies and application classes and resources (which normally change more</w:t>
      </w:r>
      <w:r>
        <w:rPr>
          <w:color w:val="333333"/>
          <w:spacing w:val="11"/>
          <w:w w:val="110"/>
        </w:rPr>
        <w:t xml:space="preserve"> </w:t>
      </w:r>
      <w:r>
        <w:rPr>
          <w:color w:val="333333"/>
          <w:w w:val="110"/>
        </w:rPr>
        <w:t>frequently).</w:t>
      </w:r>
    </w:p>
    <w:p w14:paraId="6947FF84" w14:textId="77777777" w:rsidR="00A720EB" w:rsidRDefault="00A720EB">
      <w:pPr>
        <w:pStyle w:val="a3"/>
        <w:spacing w:before="10"/>
        <w:rPr>
          <w:sz w:val="25"/>
        </w:rPr>
      </w:pPr>
    </w:p>
    <w:p w14:paraId="0A22513C" w14:textId="77777777" w:rsidR="00A720EB" w:rsidRDefault="0030286B">
      <w:pPr>
        <w:pStyle w:val="2"/>
        <w:numPr>
          <w:ilvl w:val="1"/>
          <w:numId w:val="20"/>
        </w:numPr>
        <w:tabs>
          <w:tab w:val="left" w:pos="832"/>
        </w:tabs>
        <w:spacing w:before="1"/>
      </w:pPr>
      <w:bookmarkStart w:id="689" w:name="6.2._Deploying_to_the_Cloud"/>
      <w:bookmarkStart w:id="690" w:name="_Toc54423880"/>
      <w:bookmarkEnd w:id="689"/>
      <w:r>
        <w:rPr>
          <w:color w:val="333333"/>
          <w:w w:val="105"/>
        </w:rPr>
        <w:t>Deploying to the</w:t>
      </w:r>
      <w:r>
        <w:rPr>
          <w:color w:val="333333"/>
          <w:spacing w:val="-5"/>
          <w:w w:val="105"/>
        </w:rPr>
        <w:t xml:space="preserve"> </w:t>
      </w:r>
      <w:r>
        <w:rPr>
          <w:color w:val="333333"/>
          <w:w w:val="105"/>
        </w:rPr>
        <w:t>Cloud</w:t>
      </w:r>
      <w:bookmarkEnd w:id="690"/>
    </w:p>
    <w:p w14:paraId="61931BF3" w14:textId="77777777" w:rsidR="00A720EB" w:rsidRDefault="0030286B">
      <w:pPr>
        <w:pStyle w:val="a3"/>
        <w:spacing w:before="253" w:line="300" w:lineRule="auto"/>
        <w:ind w:left="124" w:right="129"/>
        <w:jc w:val="both"/>
      </w:pPr>
      <w:r>
        <w:rPr>
          <w:color w:val="333333"/>
          <w:w w:val="110"/>
        </w:rPr>
        <w:t xml:space="preserve">Spring Boot’s executable jars are ready-made for most popular cloud PaaS (Platform-as-a-Service) providers. These providers tend to require that you “bring your own container”. They manage application processes (not Java applications specifically), so they need an intermediary layer that adapts </w:t>
      </w:r>
      <w:r>
        <w:rPr>
          <w:rFonts w:ascii="Palatino Linotype" w:hAnsi="Palatino Linotype"/>
          <w:i/>
          <w:color w:val="333333"/>
          <w:w w:val="110"/>
        </w:rPr>
        <w:t xml:space="preserve">your </w:t>
      </w:r>
      <w:r>
        <w:rPr>
          <w:color w:val="333333"/>
          <w:w w:val="110"/>
        </w:rPr>
        <w:t xml:space="preserve">application to the </w:t>
      </w:r>
      <w:r>
        <w:rPr>
          <w:rFonts w:ascii="Palatino Linotype" w:hAnsi="Palatino Linotype"/>
          <w:i/>
          <w:color w:val="333333"/>
          <w:w w:val="110"/>
        </w:rPr>
        <w:t xml:space="preserve">cloud’s </w:t>
      </w:r>
      <w:r>
        <w:rPr>
          <w:color w:val="333333"/>
          <w:w w:val="110"/>
        </w:rPr>
        <w:t>notion of a running process.</w:t>
      </w:r>
    </w:p>
    <w:p w14:paraId="63A4191C" w14:textId="77777777" w:rsidR="00A720EB" w:rsidRDefault="0030286B">
      <w:pPr>
        <w:pStyle w:val="a3"/>
        <w:spacing w:before="225" w:line="288" w:lineRule="auto"/>
        <w:ind w:left="124" w:right="129"/>
        <w:jc w:val="both"/>
      </w:pPr>
      <w:r>
        <w:rPr>
          <w:color w:val="333333"/>
          <w:w w:val="115"/>
        </w:rPr>
        <w:t xml:space="preserve">Two popular cloud providers, Heroku and Cloud </w:t>
      </w:r>
      <w:r>
        <w:rPr>
          <w:color w:val="333333"/>
          <w:spacing w:val="-5"/>
          <w:w w:val="115"/>
        </w:rPr>
        <w:t xml:space="preserve">Foundry, </w:t>
      </w:r>
      <w:r>
        <w:rPr>
          <w:color w:val="333333"/>
          <w:w w:val="115"/>
        </w:rPr>
        <w:t>employ a “buildpack” approach. The buildpack</w:t>
      </w:r>
      <w:r>
        <w:rPr>
          <w:color w:val="333333"/>
          <w:spacing w:val="-6"/>
          <w:w w:val="115"/>
        </w:rPr>
        <w:t xml:space="preserve"> </w:t>
      </w:r>
      <w:r>
        <w:rPr>
          <w:color w:val="333333"/>
          <w:w w:val="115"/>
        </w:rPr>
        <w:t>wraps</w:t>
      </w:r>
      <w:r>
        <w:rPr>
          <w:color w:val="333333"/>
          <w:spacing w:val="-6"/>
          <w:w w:val="115"/>
        </w:rPr>
        <w:t xml:space="preserve"> </w:t>
      </w:r>
      <w:r>
        <w:rPr>
          <w:color w:val="333333"/>
          <w:w w:val="115"/>
        </w:rPr>
        <w:t>your</w:t>
      </w:r>
      <w:r>
        <w:rPr>
          <w:color w:val="333333"/>
          <w:spacing w:val="-6"/>
          <w:w w:val="115"/>
        </w:rPr>
        <w:t xml:space="preserve"> </w:t>
      </w:r>
      <w:r>
        <w:rPr>
          <w:color w:val="333333"/>
          <w:w w:val="115"/>
        </w:rPr>
        <w:t>deployed</w:t>
      </w:r>
      <w:r>
        <w:rPr>
          <w:color w:val="333333"/>
          <w:spacing w:val="-6"/>
          <w:w w:val="115"/>
        </w:rPr>
        <w:t xml:space="preserve"> </w:t>
      </w:r>
      <w:r>
        <w:rPr>
          <w:color w:val="333333"/>
          <w:w w:val="115"/>
        </w:rPr>
        <w:t>code</w:t>
      </w:r>
      <w:r>
        <w:rPr>
          <w:color w:val="333333"/>
          <w:spacing w:val="-6"/>
          <w:w w:val="115"/>
        </w:rPr>
        <w:t xml:space="preserve"> </w:t>
      </w:r>
      <w:r>
        <w:rPr>
          <w:color w:val="333333"/>
          <w:w w:val="115"/>
        </w:rPr>
        <w:t>in</w:t>
      </w:r>
      <w:r>
        <w:rPr>
          <w:color w:val="333333"/>
          <w:spacing w:val="-6"/>
          <w:w w:val="115"/>
        </w:rPr>
        <w:t xml:space="preserve"> </w:t>
      </w:r>
      <w:r>
        <w:rPr>
          <w:color w:val="333333"/>
          <w:w w:val="115"/>
        </w:rPr>
        <w:t>whatever</w:t>
      </w:r>
      <w:r>
        <w:rPr>
          <w:color w:val="333333"/>
          <w:spacing w:val="-6"/>
          <w:w w:val="115"/>
        </w:rPr>
        <w:t xml:space="preserve"> </w:t>
      </w:r>
      <w:r>
        <w:rPr>
          <w:color w:val="333333"/>
          <w:w w:val="115"/>
        </w:rPr>
        <w:t>is</w:t>
      </w:r>
      <w:r>
        <w:rPr>
          <w:color w:val="333333"/>
          <w:spacing w:val="-6"/>
          <w:w w:val="115"/>
        </w:rPr>
        <w:t xml:space="preserve"> </w:t>
      </w:r>
      <w:r>
        <w:rPr>
          <w:color w:val="333333"/>
          <w:w w:val="115"/>
        </w:rPr>
        <w:t>needed</w:t>
      </w:r>
      <w:r>
        <w:rPr>
          <w:color w:val="333333"/>
          <w:spacing w:val="-6"/>
          <w:w w:val="115"/>
        </w:rPr>
        <w:t xml:space="preserve"> </w:t>
      </w:r>
      <w:r>
        <w:rPr>
          <w:color w:val="333333"/>
          <w:w w:val="115"/>
        </w:rPr>
        <w:t xml:space="preserve">to </w:t>
      </w:r>
      <w:r>
        <w:rPr>
          <w:rFonts w:ascii="Palatino Linotype" w:hAnsi="Palatino Linotype"/>
          <w:i/>
          <w:color w:val="333333"/>
          <w:w w:val="115"/>
        </w:rPr>
        <w:t>start</w:t>
      </w:r>
      <w:r>
        <w:rPr>
          <w:rFonts w:ascii="Palatino Linotype" w:hAnsi="Palatino Linotype"/>
          <w:i/>
          <w:color w:val="333333"/>
          <w:spacing w:val="-12"/>
          <w:w w:val="115"/>
        </w:rPr>
        <w:t xml:space="preserve"> </w:t>
      </w:r>
      <w:r>
        <w:rPr>
          <w:color w:val="333333"/>
          <w:w w:val="115"/>
        </w:rPr>
        <w:t>your</w:t>
      </w:r>
      <w:r>
        <w:rPr>
          <w:color w:val="333333"/>
          <w:spacing w:val="-6"/>
          <w:w w:val="115"/>
        </w:rPr>
        <w:t xml:space="preserve"> </w:t>
      </w:r>
      <w:r>
        <w:rPr>
          <w:color w:val="333333"/>
          <w:w w:val="115"/>
        </w:rPr>
        <w:t>application.</w:t>
      </w:r>
      <w:r>
        <w:rPr>
          <w:color w:val="333333"/>
          <w:spacing w:val="-6"/>
          <w:w w:val="115"/>
        </w:rPr>
        <w:t xml:space="preserve"> </w:t>
      </w:r>
      <w:r>
        <w:rPr>
          <w:color w:val="333333"/>
          <w:w w:val="115"/>
        </w:rPr>
        <w:t>It</w:t>
      </w:r>
      <w:r>
        <w:rPr>
          <w:color w:val="333333"/>
          <w:spacing w:val="-6"/>
          <w:w w:val="115"/>
        </w:rPr>
        <w:t xml:space="preserve"> </w:t>
      </w:r>
      <w:r>
        <w:rPr>
          <w:color w:val="333333"/>
          <w:w w:val="115"/>
        </w:rPr>
        <w:t>might</w:t>
      </w:r>
      <w:r>
        <w:rPr>
          <w:color w:val="333333"/>
          <w:spacing w:val="-6"/>
          <w:w w:val="115"/>
        </w:rPr>
        <w:t xml:space="preserve"> </w:t>
      </w:r>
      <w:r>
        <w:rPr>
          <w:color w:val="333333"/>
          <w:w w:val="115"/>
        </w:rPr>
        <w:t>be</w:t>
      </w:r>
      <w:r>
        <w:rPr>
          <w:color w:val="333333"/>
          <w:spacing w:val="-6"/>
          <w:w w:val="115"/>
        </w:rPr>
        <w:t xml:space="preserve"> </w:t>
      </w:r>
      <w:r>
        <w:rPr>
          <w:color w:val="333333"/>
          <w:w w:val="115"/>
        </w:rPr>
        <w:t>a</w:t>
      </w:r>
    </w:p>
    <w:p w14:paraId="29642D3A" w14:textId="77777777" w:rsidR="00A720EB" w:rsidRDefault="00A720EB">
      <w:pPr>
        <w:spacing w:line="288" w:lineRule="auto"/>
        <w:jc w:val="both"/>
        <w:sectPr w:rsidR="00A720EB">
          <w:pgSz w:w="11910" w:h="16840"/>
          <w:pgMar w:top="620" w:right="840" w:bottom="520" w:left="840" w:header="0" w:footer="323" w:gutter="0"/>
          <w:cols w:space="720"/>
        </w:sectPr>
      </w:pPr>
    </w:p>
    <w:p w14:paraId="0327CCB0" w14:textId="77777777" w:rsidR="00A720EB" w:rsidRDefault="0030286B">
      <w:pPr>
        <w:pStyle w:val="a3"/>
        <w:spacing w:before="96" w:line="302" w:lineRule="auto"/>
        <w:ind w:left="124" w:right="128"/>
        <w:jc w:val="both"/>
      </w:pPr>
      <w:r>
        <w:rPr>
          <w:color w:val="333333"/>
          <w:w w:val="110"/>
        </w:rPr>
        <w:lastRenderedPageBreak/>
        <w:t xml:space="preserve">JDK and a call to </w:t>
      </w:r>
      <w:r>
        <w:rPr>
          <w:rFonts w:ascii="MS Gothic"/>
          <w:color w:val="B02045"/>
          <w:w w:val="110"/>
        </w:rPr>
        <w:t>java</w:t>
      </w:r>
      <w:r>
        <w:rPr>
          <w:color w:val="333333"/>
          <w:w w:val="110"/>
        </w:rPr>
        <w:t xml:space="preserve">, an embedded web server, or a full-fledged application server. A buildpack is pluggable, but ideally you should be able to get </w:t>
      </w:r>
      <w:r>
        <w:rPr>
          <w:color w:val="333333"/>
          <w:spacing w:val="-3"/>
          <w:w w:val="110"/>
        </w:rPr>
        <w:t xml:space="preserve">by </w:t>
      </w:r>
      <w:r>
        <w:rPr>
          <w:color w:val="333333"/>
          <w:w w:val="110"/>
        </w:rPr>
        <w:t xml:space="preserve">with as few customizations to it as possible. This reduces the footprint of functionality that is not under your control. It minimizes </w:t>
      </w:r>
      <w:proofErr w:type="gramStart"/>
      <w:r>
        <w:rPr>
          <w:color w:val="333333"/>
          <w:w w:val="110"/>
        </w:rPr>
        <w:t>divergence  between</w:t>
      </w:r>
      <w:proofErr w:type="gramEnd"/>
      <w:r>
        <w:rPr>
          <w:color w:val="333333"/>
          <w:w w:val="110"/>
        </w:rPr>
        <w:t xml:space="preserve"> development and production</w:t>
      </w:r>
      <w:r>
        <w:rPr>
          <w:color w:val="333333"/>
          <w:spacing w:val="11"/>
          <w:w w:val="110"/>
        </w:rPr>
        <w:t xml:space="preserve"> </w:t>
      </w:r>
      <w:r>
        <w:rPr>
          <w:color w:val="333333"/>
          <w:w w:val="110"/>
        </w:rPr>
        <w:t>environments.</w:t>
      </w:r>
    </w:p>
    <w:p w14:paraId="28E41B69" w14:textId="77777777" w:rsidR="00A720EB" w:rsidRDefault="0030286B">
      <w:pPr>
        <w:pStyle w:val="a3"/>
        <w:spacing w:before="243" w:line="307" w:lineRule="auto"/>
        <w:ind w:left="124" w:right="131"/>
        <w:jc w:val="both"/>
      </w:pPr>
      <w:r>
        <w:rPr>
          <w:color w:val="333333"/>
          <w:w w:val="110"/>
        </w:rPr>
        <w:t>Ideally, your application, like a Spring Boot executable jar, has everything that it needs to run packaged within it.</w:t>
      </w:r>
    </w:p>
    <w:p w14:paraId="51FC49B6" w14:textId="77777777" w:rsidR="00A720EB" w:rsidRDefault="0030286B">
      <w:pPr>
        <w:pStyle w:val="a3"/>
        <w:spacing w:before="241" w:line="307" w:lineRule="auto"/>
        <w:ind w:left="124" w:right="123"/>
        <w:jc w:val="both"/>
      </w:pPr>
      <w:r>
        <w:rPr>
          <w:color w:val="333333"/>
          <w:w w:val="110"/>
        </w:rPr>
        <w:t xml:space="preserve">In this section, we look at what it takes to get the </w:t>
      </w:r>
      <w:hyperlink w:anchor="_bookmark26" w:history="1">
        <w:r>
          <w:rPr>
            <w:color w:val="418BCA"/>
            <w:w w:val="110"/>
          </w:rPr>
          <w:t>application that we developed</w:t>
        </w:r>
      </w:hyperlink>
      <w:r>
        <w:rPr>
          <w:color w:val="418BCA"/>
          <w:w w:val="110"/>
        </w:rPr>
        <w:t xml:space="preserve"> </w:t>
      </w:r>
      <w:r>
        <w:rPr>
          <w:color w:val="333333"/>
          <w:w w:val="110"/>
        </w:rPr>
        <w:t>in the “Getting Started” section up and running in the Cloud.</w:t>
      </w:r>
    </w:p>
    <w:p w14:paraId="56A4AF4C" w14:textId="77777777" w:rsidR="00A720EB" w:rsidRDefault="00A720EB">
      <w:pPr>
        <w:pStyle w:val="a3"/>
        <w:spacing w:before="9"/>
        <w:rPr>
          <w:sz w:val="25"/>
        </w:rPr>
      </w:pPr>
    </w:p>
    <w:p w14:paraId="06E5CAD5" w14:textId="77777777" w:rsidR="00A720EB" w:rsidRDefault="0030286B">
      <w:pPr>
        <w:pStyle w:val="3"/>
        <w:numPr>
          <w:ilvl w:val="2"/>
          <w:numId w:val="20"/>
        </w:numPr>
        <w:tabs>
          <w:tab w:val="left" w:pos="858"/>
        </w:tabs>
        <w:ind w:hanging="734"/>
      </w:pPr>
      <w:bookmarkStart w:id="691" w:name="6.2.1._Cloud_Foundry"/>
      <w:bookmarkStart w:id="692" w:name="_Toc54423881"/>
      <w:bookmarkEnd w:id="691"/>
      <w:r>
        <w:rPr>
          <w:color w:val="333333"/>
          <w:w w:val="110"/>
        </w:rPr>
        <w:t>Cloud</w:t>
      </w:r>
      <w:r>
        <w:rPr>
          <w:color w:val="333333"/>
          <w:spacing w:val="-6"/>
          <w:w w:val="110"/>
        </w:rPr>
        <w:t xml:space="preserve"> </w:t>
      </w:r>
      <w:r>
        <w:rPr>
          <w:color w:val="333333"/>
          <w:spacing w:val="-3"/>
          <w:w w:val="110"/>
        </w:rPr>
        <w:t>Foundry</w:t>
      </w:r>
      <w:bookmarkEnd w:id="692"/>
    </w:p>
    <w:p w14:paraId="38A30726" w14:textId="77777777" w:rsidR="00A720EB" w:rsidRDefault="0030286B">
      <w:pPr>
        <w:pStyle w:val="a3"/>
        <w:spacing w:before="254" w:line="297" w:lineRule="auto"/>
        <w:ind w:left="124" w:right="123"/>
        <w:jc w:val="both"/>
      </w:pPr>
      <w:r>
        <w:rPr>
          <w:color w:val="333333"/>
          <w:w w:val="110"/>
        </w:rPr>
        <w:t xml:space="preserve">Cloud Foundry provides default buildpacks that come into play if no other buildpack is specified.   The Cloud Foundry </w:t>
      </w:r>
      <w:hyperlink r:id="rId523">
        <w:r>
          <w:rPr>
            <w:color w:val="418BCA"/>
            <w:w w:val="110"/>
          </w:rPr>
          <w:t>Java buildpack</w:t>
        </w:r>
      </w:hyperlink>
      <w:r>
        <w:rPr>
          <w:color w:val="418BCA"/>
          <w:w w:val="110"/>
        </w:rPr>
        <w:t xml:space="preserve"> </w:t>
      </w:r>
      <w:r>
        <w:rPr>
          <w:color w:val="333333"/>
          <w:w w:val="110"/>
        </w:rPr>
        <w:t xml:space="preserve">has excellent support for Spring applications, including Spring Boot. </w:t>
      </w:r>
      <w:r>
        <w:rPr>
          <w:color w:val="333333"/>
          <w:spacing w:val="-6"/>
          <w:w w:val="110"/>
        </w:rPr>
        <w:t xml:space="preserve">You </w:t>
      </w:r>
      <w:r>
        <w:rPr>
          <w:color w:val="333333"/>
          <w:w w:val="110"/>
        </w:rPr>
        <w:t xml:space="preserve">can deploy stand-alone executable jar applications as well as traditional </w:t>
      </w:r>
      <w:r>
        <w:rPr>
          <w:rFonts w:ascii="MS Gothic"/>
          <w:color w:val="B02045"/>
          <w:w w:val="110"/>
        </w:rPr>
        <w:t xml:space="preserve">.war </w:t>
      </w:r>
      <w:r>
        <w:rPr>
          <w:color w:val="333333"/>
          <w:w w:val="110"/>
        </w:rPr>
        <w:t>packaged applications.</w:t>
      </w:r>
    </w:p>
    <w:p w14:paraId="6156185E" w14:textId="77777777" w:rsidR="00A720EB" w:rsidRDefault="0030286B">
      <w:pPr>
        <w:pStyle w:val="a3"/>
        <w:spacing w:before="242" w:line="283" w:lineRule="auto"/>
        <w:ind w:left="124" w:right="122"/>
        <w:jc w:val="both"/>
      </w:pPr>
      <w:r>
        <w:rPr>
          <w:color w:val="333333"/>
          <w:w w:val="110"/>
        </w:rPr>
        <w:t xml:space="preserve">Once you have built your application (by using, for example, </w:t>
      </w:r>
      <w:r>
        <w:rPr>
          <w:rFonts w:ascii="MS Gothic"/>
          <w:color w:val="B02045"/>
          <w:w w:val="110"/>
        </w:rPr>
        <w:t>mvn clean package</w:t>
      </w:r>
      <w:r>
        <w:rPr>
          <w:color w:val="333333"/>
          <w:w w:val="110"/>
        </w:rPr>
        <w:t xml:space="preserve">) and have </w:t>
      </w:r>
      <w:hyperlink r:id="rId524">
        <w:r>
          <w:rPr>
            <w:color w:val="418BCA"/>
            <w:w w:val="110"/>
          </w:rPr>
          <w:t>installed</w:t>
        </w:r>
      </w:hyperlink>
      <w:r>
        <w:rPr>
          <w:color w:val="418BCA"/>
          <w:w w:val="110"/>
        </w:rPr>
        <w:t xml:space="preserve"> </w:t>
      </w:r>
      <w:hyperlink r:id="rId525">
        <w:r>
          <w:rPr>
            <w:color w:val="418BCA"/>
            <w:w w:val="110"/>
          </w:rPr>
          <w:t xml:space="preserve">the </w:t>
        </w:r>
      </w:hyperlink>
      <w:hyperlink r:id="rId526">
        <w:r>
          <w:rPr>
            <w:rFonts w:ascii="MS Gothic"/>
            <w:color w:val="B02045"/>
            <w:w w:val="110"/>
          </w:rPr>
          <w:t xml:space="preserve">cf </w:t>
        </w:r>
      </w:hyperlink>
      <w:hyperlink r:id="rId527">
        <w:r>
          <w:rPr>
            <w:color w:val="418BCA"/>
            <w:w w:val="110"/>
          </w:rPr>
          <w:t>command line tool</w:t>
        </w:r>
      </w:hyperlink>
      <w:r>
        <w:rPr>
          <w:color w:val="333333"/>
          <w:w w:val="110"/>
        </w:rPr>
        <w:t xml:space="preserve">, deploy your application by using the </w:t>
      </w:r>
      <w:r>
        <w:rPr>
          <w:rFonts w:ascii="MS Gothic"/>
          <w:color w:val="B02045"/>
          <w:w w:val="110"/>
        </w:rPr>
        <w:t xml:space="preserve">cf push </w:t>
      </w:r>
      <w:r>
        <w:rPr>
          <w:color w:val="333333"/>
          <w:w w:val="110"/>
        </w:rPr>
        <w:t xml:space="preserve">command, substituting the path to your compiled </w:t>
      </w:r>
      <w:r>
        <w:rPr>
          <w:rFonts w:ascii="MS Gothic"/>
          <w:color w:val="B02045"/>
          <w:w w:val="110"/>
        </w:rPr>
        <w:t>.jar</w:t>
      </w:r>
      <w:r>
        <w:rPr>
          <w:color w:val="333333"/>
          <w:w w:val="110"/>
        </w:rPr>
        <w:t xml:space="preserve">. Be sure to have </w:t>
      </w:r>
      <w:hyperlink r:id="rId528" w:anchor="login">
        <w:r>
          <w:rPr>
            <w:color w:val="418BCA"/>
            <w:w w:val="110"/>
          </w:rPr>
          <w:t>logged in with your</w:t>
        </w:r>
      </w:hyperlink>
      <w:r>
        <w:rPr>
          <w:color w:val="418BCA"/>
          <w:w w:val="110"/>
        </w:rPr>
        <w:t xml:space="preserve"> </w:t>
      </w:r>
      <w:hyperlink r:id="rId529" w:anchor="login">
        <w:r>
          <w:rPr>
            <w:rFonts w:ascii="MS Gothic"/>
            <w:color w:val="B02045"/>
            <w:w w:val="110"/>
          </w:rPr>
          <w:t xml:space="preserve">cf </w:t>
        </w:r>
      </w:hyperlink>
      <w:hyperlink r:id="rId530" w:anchor="login">
        <w:r>
          <w:rPr>
            <w:color w:val="418BCA"/>
            <w:w w:val="110"/>
          </w:rPr>
          <w:t>command line client</w:t>
        </w:r>
      </w:hyperlink>
      <w:r>
        <w:rPr>
          <w:color w:val="418BCA"/>
          <w:w w:val="110"/>
        </w:rPr>
        <w:t xml:space="preserve"> </w:t>
      </w:r>
      <w:r>
        <w:rPr>
          <w:color w:val="333333"/>
          <w:w w:val="110"/>
        </w:rPr>
        <w:t xml:space="preserve">before pushing an application. The following line shows using the </w:t>
      </w:r>
      <w:r>
        <w:rPr>
          <w:rFonts w:ascii="MS Gothic"/>
          <w:color w:val="B02045"/>
          <w:w w:val="110"/>
        </w:rPr>
        <w:t xml:space="preserve">cf push </w:t>
      </w:r>
      <w:r>
        <w:rPr>
          <w:color w:val="333333"/>
          <w:w w:val="110"/>
        </w:rPr>
        <w:t>command to deploy an application:</w:t>
      </w:r>
    </w:p>
    <w:p w14:paraId="3EF1A6A4" w14:textId="77777777" w:rsidR="00A720EB" w:rsidRDefault="00E10349">
      <w:pPr>
        <w:pStyle w:val="a3"/>
        <w:spacing w:before="6"/>
        <w:rPr>
          <w:sz w:val="15"/>
        </w:rPr>
      </w:pPr>
      <w:r>
        <w:pict w14:anchorId="5924CA29">
          <v:group id="_x0000_s1908" style="position:absolute;margin-left:47.85pt;margin-top:11.05pt;width:499.55pt;height:37.5pt;z-index:-15177216;mso-wrap-distance-left:0;mso-wrap-distance-right:0;mso-position-horizontal-relative:page" coordorigin="957,221" coordsize="9991,750">
            <v:shape id="_x0000_s1911" style="position:absolute;left:964;top:229;width:9976;height:735" coordorigin="965,229" coordsize="9976,735" path="m10861,229r-9816,l1014,235r-26,17l971,278r-6,31l965,884r6,31l988,940r26,18l1045,964r9816,l10892,958r25,-18l10935,915r6,-31l10941,309r-6,-31l10917,252r-25,-17l10861,229xe" fillcolor="#f5f5f5" stroked="f">
              <v:path arrowok="t"/>
            </v:shape>
            <v:shape id="_x0000_s1910" style="position:absolute;left:964;top:229;width:9976;height:735" coordorigin="965,229" coordsize="9976,735" path="m1045,229r9816,l10892,235r25,17l10935,278r6,31l10941,884r-6,31l10917,940r-25,18l10861,964r-9816,l1014,958,988,940,971,915r-6,-31l965,309r6,-31l988,252r26,-17l1045,229xe" filled="f" strokecolor="#ccc">
              <v:path arrowok="t"/>
            </v:shape>
            <v:shape id="_x0000_s1909" type="#_x0000_t202" style="position:absolute;left:984;top:244;width:9938;height:704" filled="f" stroked="f">
              <v:textbox inset="0,0,0,0">
                <w:txbxContent>
                  <w:p w14:paraId="3980C212" w14:textId="77777777" w:rsidR="00711A16" w:rsidRDefault="00711A16">
                    <w:pPr>
                      <w:spacing w:before="221"/>
                      <w:ind w:left="200"/>
                      <w:rPr>
                        <w:rFonts w:ascii="MS Gothic"/>
                      </w:rPr>
                    </w:pPr>
                    <w:r>
                      <w:rPr>
                        <w:rFonts w:ascii="MS Gothic"/>
                        <w:color w:val="333333"/>
                      </w:rPr>
                      <w:t>$ cf push acloudyspringtime -p target/demo-0.0.1-SNAPSHOT.jar</w:t>
                    </w:r>
                  </w:p>
                </w:txbxContent>
              </v:textbox>
            </v:shape>
            <w10:wrap type="topAndBottom" anchorx="page"/>
          </v:group>
        </w:pict>
      </w:r>
    </w:p>
    <w:p w14:paraId="5792A8E9" w14:textId="77777777" w:rsidR="00A720EB" w:rsidRDefault="00A720EB">
      <w:pPr>
        <w:pStyle w:val="a3"/>
        <w:spacing w:before="8"/>
        <w:rPr>
          <w:sz w:val="16"/>
        </w:rPr>
      </w:pPr>
    </w:p>
    <w:p w14:paraId="3066C97D" w14:textId="77777777" w:rsidR="00A720EB" w:rsidRDefault="00E10349">
      <w:pPr>
        <w:pStyle w:val="a3"/>
        <w:spacing w:before="116" w:line="280" w:lineRule="auto"/>
        <w:ind w:left="1564" w:right="359"/>
      </w:pPr>
      <w:r>
        <w:pict w14:anchorId="736C5A5D">
          <v:line id="_x0000_s1907" style="position:absolute;left:0;text-align:left;z-index:16280576;mso-position-horizontal-relative:page" from="108.25pt,.35pt" to="108.25pt,39.9pt" strokecolor="#ededed" strokeweight=".5pt">
            <w10:wrap anchorx="page"/>
          </v:line>
        </w:pict>
      </w:r>
      <w:r w:rsidR="0030286B">
        <w:rPr>
          <w:noProof/>
        </w:rPr>
        <w:drawing>
          <wp:anchor distT="0" distB="0" distL="0" distR="0" simplePos="0" relativeHeight="16281088" behindDoc="0" locked="0" layoutInCell="1" allowOverlap="1" wp14:anchorId="1ED388F7" wp14:editId="343A23DA">
            <wp:simplePos x="0" y="0"/>
            <wp:positionH relativeFrom="page">
              <wp:posOffset>844422</wp:posOffset>
            </wp:positionH>
            <wp:positionV relativeFrom="paragraph">
              <wp:posOffset>106248</wp:posOffset>
            </wp:positionV>
            <wp:extent cx="298450" cy="298450"/>
            <wp:effectExtent l="0" t="0" r="0" b="0"/>
            <wp:wrapNone/>
            <wp:docPr id="6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In the preceding example, we substitute </w:t>
      </w:r>
      <w:r w:rsidR="0030286B">
        <w:rPr>
          <w:rFonts w:ascii="MS Gothic"/>
          <w:color w:val="B02045"/>
          <w:w w:val="110"/>
        </w:rPr>
        <w:t>acloudyspringtime</w:t>
      </w:r>
      <w:r w:rsidR="0030286B">
        <w:rPr>
          <w:rFonts w:ascii="MS Gothic"/>
          <w:color w:val="B02045"/>
          <w:spacing w:val="-70"/>
          <w:w w:val="110"/>
        </w:rPr>
        <w:t xml:space="preserve"> </w:t>
      </w:r>
      <w:r w:rsidR="0030286B">
        <w:rPr>
          <w:color w:val="333333"/>
          <w:w w:val="110"/>
        </w:rPr>
        <w:t xml:space="preserve">for whatever value you give </w:t>
      </w:r>
      <w:r w:rsidR="0030286B">
        <w:rPr>
          <w:rFonts w:ascii="MS Gothic"/>
          <w:color w:val="B02045"/>
          <w:w w:val="110"/>
        </w:rPr>
        <w:t xml:space="preserve">cf </w:t>
      </w:r>
      <w:r w:rsidR="0030286B">
        <w:rPr>
          <w:color w:val="333333"/>
          <w:w w:val="110"/>
        </w:rPr>
        <w:t>as the name of your application.</w:t>
      </w:r>
    </w:p>
    <w:p w14:paraId="724C87E4" w14:textId="77777777" w:rsidR="00A720EB" w:rsidRDefault="00A720EB">
      <w:pPr>
        <w:pStyle w:val="a3"/>
        <w:spacing w:before="7"/>
        <w:rPr>
          <w:sz w:val="17"/>
        </w:rPr>
      </w:pPr>
    </w:p>
    <w:p w14:paraId="7D061A9A" w14:textId="77777777" w:rsidR="00A720EB" w:rsidRDefault="0030286B">
      <w:pPr>
        <w:pStyle w:val="a3"/>
        <w:spacing w:before="116" w:line="290" w:lineRule="auto"/>
        <w:ind w:left="124"/>
      </w:pPr>
      <w:r>
        <w:rPr>
          <w:color w:val="333333"/>
          <w:w w:val="110"/>
        </w:rPr>
        <w:t xml:space="preserve">See the </w:t>
      </w:r>
      <w:hyperlink r:id="rId531" w:anchor="push">
        <w:r>
          <w:rPr>
            <w:rFonts w:ascii="MS Gothic"/>
            <w:color w:val="B02045"/>
            <w:w w:val="110"/>
          </w:rPr>
          <w:t xml:space="preserve">cf push </w:t>
        </w:r>
      </w:hyperlink>
      <w:hyperlink r:id="rId532" w:anchor="push">
        <w:r>
          <w:rPr>
            <w:color w:val="418BCA"/>
            <w:w w:val="110"/>
          </w:rPr>
          <w:t>documentation</w:t>
        </w:r>
      </w:hyperlink>
      <w:r>
        <w:rPr>
          <w:color w:val="418BCA"/>
          <w:w w:val="110"/>
        </w:rPr>
        <w:t xml:space="preserve"> </w:t>
      </w:r>
      <w:r>
        <w:rPr>
          <w:color w:val="333333"/>
          <w:w w:val="110"/>
        </w:rPr>
        <w:t xml:space="preserve">for more options. If there is a Cloud Foundry </w:t>
      </w:r>
      <w:hyperlink r:id="rId533">
        <w:r>
          <w:rPr>
            <w:rFonts w:ascii="MS Gothic"/>
            <w:color w:val="B02045"/>
            <w:w w:val="110"/>
          </w:rPr>
          <w:t xml:space="preserve">manifest.yml </w:t>
        </w:r>
      </w:hyperlink>
      <w:r>
        <w:rPr>
          <w:color w:val="333333"/>
          <w:w w:val="110"/>
        </w:rPr>
        <w:t>file present in the same directory, it is considered.</w:t>
      </w:r>
    </w:p>
    <w:p w14:paraId="6E3791FC" w14:textId="77777777" w:rsidR="00A720EB" w:rsidRDefault="0030286B">
      <w:pPr>
        <w:pStyle w:val="a3"/>
        <w:spacing w:before="247" w:line="290" w:lineRule="auto"/>
        <w:ind w:left="124" w:right="462"/>
      </w:pPr>
      <w:r>
        <w:rPr>
          <w:color w:val="333333"/>
          <w:w w:val="110"/>
        </w:rPr>
        <w:t xml:space="preserve">At this point, </w:t>
      </w:r>
      <w:r>
        <w:rPr>
          <w:rFonts w:ascii="MS Gothic"/>
          <w:color w:val="B02045"/>
          <w:w w:val="110"/>
        </w:rPr>
        <w:t xml:space="preserve">cf </w:t>
      </w:r>
      <w:r>
        <w:rPr>
          <w:color w:val="333333"/>
          <w:w w:val="110"/>
        </w:rPr>
        <w:t>starts uploading your application, producing output similar to the following example:</w:t>
      </w:r>
    </w:p>
    <w:p w14:paraId="64E85D1E" w14:textId="77777777" w:rsidR="00A720EB" w:rsidRDefault="00A720EB">
      <w:pPr>
        <w:spacing w:line="290" w:lineRule="auto"/>
        <w:sectPr w:rsidR="00A720EB">
          <w:pgSz w:w="11910" w:h="16840"/>
          <w:pgMar w:top="620" w:right="840" w:bottom="520" w:left="840" w:header="0" w:footer="323" w:gutter="0"/>
          <w:cols w:space="720"/>
        </w:sectPr>
      </w:pPr>
    </w:p>
    <w:p w14:paraId="41492961" w14:textId="77777777" w:rsidR="00A720EB" w:rsidRDefault="00A720EB">
      <w:pPr>
        <w:pStyle w:val="a3"/>
        <w:spacing w:before="4"/>
        <w:rPr>
          <w:sz w:val="10"/>
        </w:rPr>
      </w:pPr>
    </w:p>
    <w:p w14:paraId="2EC55424" w14:textId="77777777" w:rsidR="00A720EB" w:rsidRDefault="00E10349">
      <w:pPr>
        <w:spacing w:before="117"/>
        <w:ind w:left="344"/>
        <w:rPr>
          <w:rFonts w:ascii="宋体"/>
        </w:rPr>
      </w:pPr>
      <w:r>
        <w:pict w14:anchorId="357E3DE9">
          <v:group id="_x0000_s1904" style="position:absolute;left:0;text-align:left;margin-left:47.85pt;margin-top:-6.35pt;width:499.55pt;height:494.45pt;z-index:-41252864;mso-position-horizontal-relative:page" coordorigin="957,-127" coordsize="9991,9889">
            <v:shape id="_x0000_s1906" style="position:absolute;left:964;top:-120;width:9976;height:9874" coordorigin="965,-119" coordsize="9976,9874" path="m10861,-119r-9816,l1014,-113r-26,17l971,-71r-6,32l965,9674r6,31l988,9731r26,17l1045,9754r9816,l10892,9748r25,-17l10935,9705r6,-31l10941,-39r-6,-32l10917,-96r-25,-17l10861,-119xe" fillcolor="#f5f5f5" stroked="f">
              <v:path arrowok="t"/>
            </v:shape>
            <v:shape id="_x0000_s1905" style="position:absolute;left:964;top:-120;width:9976;height:9874" coordorigin="965,-119" coordsize="9976,9874" path="m1045,-119r9816,l10892,-113r25,17l10935,-71r6,32l10941,9674r-6,31l10917,9731r-25,17l10861,9754r-9816,l1014,9748r-26,-17l971,9705r-6,-31l965,-39r6,-32l988,-96r26,-17l1045,-119xe" filled="f" strokecolor="#ccc">
              <v:path arrowok="t"/>
            </v:shape>
            <w10:wrap anchorx="page"/>
          </v:group>
        </w:pict>
      </w:r>
      <w:r w:rsidR="0030286B">
        <w:rPr>
          <w:rFonts w:ascii="MS Gothic"/>
          <w:color w:val="333333"/>
        </w:rPr>
        <w:t xml:space="preserve">Uploading acloudyspringtime... </w:t>
      </w:r>
      <w:r w:rsidR="0030286B">
        <w:rPr>
          <w:rFonts w:ascii="宋体"/>
          <w:color w:val="333333"/>
        </w:rPr>
        <w:t>OK</w:t>
      </w:r>
    </w:p>
    <w:p w14:paraId="6339C41D" w14:textId="77777777" w:rsidR="00A720EB" w:rsidRDefault="0030286B">
      <w:pPr>
        <w:spacing w:before="13"/>
        <w:ind w:left="344"/>
        <w:rPr>
          <w:rFonts w:ascii="宋体"/>
        </w:rPr>
      </w:pPr>
      <w:r>
        <w:rPr>
          <w:rFonts w:ascii="MS Gothic"/>
          <w:color w:val="333333"/>
        </w:rPr>
        <w:t xml:space="preserve">Preparing to start acloudyspringtime... </w:t>
      </w:r>
      <w:r>
        <w:rPr>
          <w:rFonts w:ascii="宋体"/>
          <w:color w:val="333333"/>
        </w:rPr>
        <w:t>OK</w:t>
      </w:r>
    </w:p>
    <w:p w14:paraId="3A2580F9" w14:textId="77777777" w:rsidR="00A720EB" w:rsidRDefault="0030286B">
      <w:pPr>
        <w:spacing w:before="13"/>
        <w:ind w:left="344"/>
        <w:rPr>
          <w:rFonts w:ascii="MS Gothic"/>
        </w:rPr>
      </w:pPr>
      <w:r>
        <w:rPr>
          <w:rFonts w:ascii="MS Gothic"/>
          <w:color w:val="333333"/>
        </w:rPr>
        <w:t>-----&gt; Downloaded app package (</w:t>
      </w:r>
      <w:r>
        <w:rPr>
          <w:rFonts w:ascii="宋体"/>
          <w:color w:val="333333"/>
        </w:rPr>
        <w:t>8.9M</w:t>
      </w:r>
      <w:r>
        <w:rPr>
          <w:rFonts w:ascii="MS Gothic"/>
          <w:color w:val="333333"/>
        </w:rPr>
        <w:t>)</w:t>
      </w:r>
    </w:p>
    <w:p w14:paraId="4BD1B4A3" w14:textId="77777777" w:rsidR="00A720EB" w:rsidRDefault="0030286B">
      <w:pPr>
        <w:spacing w:before="13" w:line="252" w:lineRule="auto"/>
        <w:ind w:left="344" w:right="406"/>
        <w:rPr>
          <w:rFonts w:ascii="MS Gothic"/>
        </w:rPr>
      </w:pPr>
      <w:r>
        <w:rPr>
          <w:rFonts w:ascii="MS Gothic"/>
          <w:color w:val="333333"/>
        </w:rPr>
        <w:t>-----&gt; Java Buildpack Version: v3.12 (offline) | https://github.com/cloudfoundry/java- buildpack.git#6f25b7e</w:t>
      </w:r>
    </w:p>
    <w:p w14:paraId="470BA56F" w14:textId="77777777" w:rsidR="00A720EB" w:rsidRDefault="0030286B">
      <w:pPr>
        <w:spacing w:line="252" w:lineRule="auto"/>
        <w:ind w:left="344" w:right="748"/>
        <w:rPr>
          <w:rFonts w:ascii="MS Gothic"/>
        </w:rPr>
      </w:pPr>
      <w:r>
        <w:rPr>
          <w:rFonts w:ascii="MS Gothic"/>
          <w:color w:val="333333"/>
        </w:rPr>
        <w:t>-----&gt; Downloading Open Jdk JRE 1.8.0_121 from https://java- buildpack.cloudfoundry.org/openjdk/trusty/x86_64/openjdk-1.8.0_121.tar.gz (found in cache)</w:t>
      </w:r>
    </w:p>
    <w:p w14:paraId="24D67376" w14:textId="77777777" w:rsidR="00A720EB" w:rsidRDefault="0030286B">
      <w:pPr>
        <w:spacing w:line="276" w:lineRule="exact"/>
        <w:ind w:left="1114"/>
        <w:rPr>
          <w:rFonts w:ascii="MS Gothic"/>
        </w:rPr>
      </w:pPr>
      <w:r>
        <w:rPr>
          <w:rFonts w:ascii="MS Gothic"/>
          <w:color w:val="333333"/>
        </w:rPr>
        <w:t>Expanding Open Jdk JRE to .java-buildpack/open_jdk_jre (1.6s)</w:t>
      </w:r>
    </w:p>
    <w:p w14:paraId="52182B11" w14:textId="77777777" w:rsidR="00A720EB" w:rsidRDefault="0030286B">
      <w:pPr>
        <w:spacing w:before="13" w:line="252" w:lineRule="auto"/>
        <w:ind w:left="344" w:right="748"/>
        <w:rPr>
          <w:rFonts w:ascii="MS Gothic"/>
        </w:rPr>
      </w:pPr>
      <w:r>
        <w:rPr>
          <w:rFonts w:ascii="MS Gothic"/>
          <w:color w:val="333333"/>
        </w:rPr>
        <w:t>-----&gt; Downloading Open JDK Like Memory Calculator 2.0.2_RELEASE from https://java- buildpack.cloudfoundry.org/memory-calculator/trusty/x86_64/memory-calculator- 2.0.2_RELEASE.tar.gz (found in cache)</w:t>
      </w:r>
    </w:p>
    <w:p w14:paraId="043903AC" w14:textId="77777777" w:rsidR="00A720EB" w:rsidRDefault="0030286B">
      <w:pPr>
        <w:spacing w:line="278" w:lineRule="exact"/>
        <w:ind w:left="1114"/>
        <w:rPr>
          <w:rFonts w:ascii="MS Gothic"/>
        </w:rPr>
      </w:pPr>
      <w:r>
        <w:rPr>
          <w:rFonts w:ascii="MS Gothic"/>
          <w:color w:val="333333"/>
        </w:rPr>
        <w:t>Memory Settings: -Xss349K -Xmx681574K -</w:t>
      </w:r>
      <w:proofErr w:type="gramStart"/>
      <w:r>
        <w:rPr>
          <w:rFonts w:ascii="MS Gothic"/>
          <w:color w:val="333333"/>
        </w:rPr>
        <w:t>XX:MaxMetaspaceSize</w:t>
      </w:r>
      <w:proofErr w:type="gramEnd"/>
      <w:r>
        <w:rPr>
          <w:rFonts w:ascii="MS Gothic"/>
          <w:color w:val="333333"/>
        </w:rPr>
        <w:t>=104857K -Xms681574K</w:t>
      </w:r>
    </w:p>
    <w:p w14:paraId="1A4E7E75" w14:textId="77777777" w:rsidR="00A720EB" w:rsidRDefault="0030286B">
      <w:pPr>
        <w:spacing w:before="13"/>
        <w:ind w:left="344"/>
        <w:rPr>
          <w:rFonts w:ascii="MS Gothic"/>
        </w:rPr>
      </w:pPr>
      <w:r>
        <w:rPr>
          <w:rFonts w:ascii="MS Gothic"/>
          <w:color w:val="333333"/>
        </w:rPr>
        <w:t>-</w:t>
      </w:r>
      <w:proofErr w:type="gramStart"/>
      <w:r>
        <w:rPr>
          <w:rFonts w:ascii="MS Gothic"/>
          <w:color w:val="333333"/>
        </w:rPr>
        <w:t>XX:MetaspaceSize</w:t>
      </w:r>
      <w:proofErr w:type="gramEnd"/>
      <w:r>
        <w:rPr>
          <w:rFonts w:ascii="MS Gothic"/>
          <w:color w:val="333333"/>
        </w:rPr>
        <w:t>=104857K</w:t>
      </w:r>
    </w:p>
    <w:p w14:paraId="5055FEFB" w14:textId="77777777" w:rsidR="00A720EB" w:rsidRDefault="0030286B">
      <w:pPr>
        <w:spacing w:before="12" w:line="252" w:lineRule="auto"/>
        <w:ind w:left="344" w:right="528"/>
        <w:rPr>
          <w:rFonts w:ascii="MS Gothic"/>
        </w:rPr>
      </w:pPr>
      <w:r>
        <w:rPr>
          <w:rFonts w:ascii="MS Gothic"/>
          <w:color w:val="333333"/>
        </w:rPr>
        <w:t>-----&gt; Downloading Container Certificate Trust Store 1.0.0_RELEASE from https://java- buildpack.cloudfoundry.org/container-certificate-trust-store/container-certificate- trust-store-1.0.0_RELEASE.jar (found in cache)</w:t>
      </w:r>
    </w:p>
    <w:p w14:paraId="0E23D108" w14:textId="77777777" w:rsidR="00A720EB" w:rsidRDefault="0030286B">
      <w:pPr>
        <w:spacing w:line="252" w:lineRule="auto"/>
        <w:ind w:left="344" w:right="2716" w:firstLine="770"/>
        <w:rPr>
          <w:rFonts w:ascii="MS Gothic"/>
        </w:rPr>
      </w:pPr>
      <w:r>
        <w:rPr>
          <w:rFonts w:ascii="MS Gothic"/>
          <w:color w:val="333333"/>
        </w:rPr>
        <w:t>Adding certificates to .java- buildpack/container_certificate_trust_store/truststore.jks (0.6s)</w:t>
      </w:r>
    </w:p>
    <w:p w14:paraId="0F16DE53" w14:textId="77777777" w:rsidR="00A720EB" w:rsidRDefault="0030286B">
      <w:pPr>
        <w:spacing w:line="252" w:lineRule="auto"/>
        <w:ind w:left="344" w:right="1078"/>
        <w:rPr>
          <w:rFonts w:ascii="MS Gothic"/>
        </w:rPr>
      </w:pPr>
      <w:r>
        <w:rPr>
          <w:rFonts w:ascii="MS Gothic"/>
          <w:color w:val="333333"/>
        </w:rPr>
        <w:t>-----&gt; Downloading Spring Auto Reconfiguration 1.10.0_RELEASE from https://java- buildpack.cloudfoundry.org/auto-reconfiguration/auto-reconfiguration- 1.10.0_RELEASE.jar (found in cache)</w:t>
      </w:r>
    </w:p>
    <w:p w14:paraId="7B5BD563" w14:textId="77777777" w:rsidR="00A720EB" w:rsidRDefault="0030286B">
      <w:pPr>
        <w:spacing w:line="278" w:lineRule="exact"/>
        <w:ind w:left="344"/>
        <w:rPr>
          <w:rFonts w:ascii="MS Gothic"/>
        </w:rPr>
      </w:pPr>
      <w:r>
        <w:rPr>
          <w:rFonts w:ascii="MS Gothic"/>
          <w:color w:val="333333"/>
        </w:rPr>
        <w:t>Checking status of app 'acloudyspringtime'...</w:t>
      </w:r>
    </w:p>
    <w:p w14:paraId="0D1642DC" w14:textId="77777777" w:rsidR="00A720EB" w:rsidRDefault="0030286B">
      <w:pPr>
        <w:spacing w:before="8"/>
        <w:ind w:left="564"/>
        <w:rPr>
          <w:rFonts w:ascii="MS Gothic"/>
        </w:rPr>
      </w:pPr>
      <w:r>
        <w:rPr>
          <w:rFonts w:ascii="MS Gothic"/>
          <w:color w:val="333333"/>
        </w:rPr>
        <w:t xml:space="preserve">0 of 1 </w:t>
      </w:r>
      <w:proofErr w:type="gramStart"/>
      <w:r>
        <w:rPr>
          <w:rFonts w:ascii="MS Gothic"/>
          <w:color w:val="333333"/>
        </w:rPr>
        <w:t>instances</w:t>
      </w:r>
      <w:proofErr w:type="gramEnd"/>
      <w:r>
        <w:rPr>
          <w:rFonts w:ascii="MS Gothic"/>
          <w:color w:val="333333"/>
        </w:rPr>
        <w:t xml:space="preserve"> running (1 starting)</w:t>
      </w:r>
    </w:p>
    <w:p w14:paraId="2A0FAA32" w14:textId="77777777" w:rsidR="00A720EB" w:rsidRDefault="0030286B">
      <w:pPr>
        <w:spacing w:before="12"/>
        <w:ind w:left="564"/>
        <w:rPr>
          <w:rFonts w:ascii="MS Gothic"/>
        </w:rPr>
      </w:pPr>
      <w:r>
        <w:rPr>
          <w:rFonts w:ascii="MS Gothic"/>
          <w:color w:val="333333"/>
        </w:rPr>
        <w:t>...</w:t>
      </w:r>
    </w:p>
    <w:p w14:paraId="36010373" w14:textId="77777777" w:rsidR="00A720EB" w:rsidRDefault="0030286B">
      <w:pPr>
        <w:spacing w:before="13"/>
        <w:ind w:left="564"/>
        <w:rPr>
          <w:rFonts w:ascii="MS Gothic"/>
        </w:rPr>
      </w:pPr>
      <w:r>
        <w:rPr>
          <w:rFonts w:ascii="MS Gothic"/>
          <w:color w:val="333333"/>
        </w:rPr>
        <w:t xml:space="preserve">0 of 1 </w:t>
      </w:r>
      <w:proofErr w:type="gramStart"/>
      <w:r>
        <w:rPr>
          <w:rFonts w:ascii="MS Gothic"/>
          <w:color w:val="333333"/>
        </w:rPr>
        <w:t>instances</w:t>
      </w:r>
      <w:proofErr w:type="gramEnd"/>
      <w:r>
        <w:rPr>
          <w:rFonts w:ascii="MS Gothic"/>
          <w:color w:val="333333"/>
        </w:rPr>
        <w:t xml:space="preserve"> running (1 starting)</w:t>
      </w:r>
    </w:p>
    <w:p w14:paraId="5FEE30F6" w14:textId="77777777" w:rsidR="00A720EB" w:rsidRDefault="0030286B">
      <w:pPr>
        <w:spacing w:before="13"/>
        <w:ind w:left="564"/>
        <w:rPr>
          <w:rFonts w:ascii="MS Gothic"/>
        </w:rPr>
      </w:pPr>
      <w:r>
        <w:rPr>
          <w:rFonts w:ascii="MS Gothic"/>
          <w:color w:val="333333"/>
        </w:rPr>
        <w:t>...</w:t>
      </w:r>
    </w:p>
    <w:p w14:paraId="4FD93392" w14:textId="77777777" w:rsidR="00A720EB" w:rsidRDefault="0030286B">
      <w:pPr>
        <w:pStyle w:val="a6"/>
        <w:numPr>
          <w:ilvl w:val="0"/>
          <w:numId w:val="19"/>
        </w:numPr>
        <w:tabs>
          <w:tab w:val="left" w:pos="785"/>
        </w:tabs>
        <w:spacing w:before="13"/>
        <w:ind w:hanging="221"/>
        <w:rPr>
          <w:rFonts w:ascii="MS Gothic"/>
        </w:rPr>
      </w:pPr>
      <w:r>
        <w:rPr>
          <w:rFonts w:ascii="MS Gothic"/>
          <w:color w:val="333333"/>
        </w:rPr>
        <w:t xml:space="preserve">of 1 </w:t>
      </w:r>
      <w:proofErr w:type="gramStart"/>
      <w:r>
        <w:rPr>
          <w:rFonts w:ascii="MS Gothic"/>
          <w:color w:val="333333"/>
        </w:rPr>
        <w:t>instances</w:t>
      </w:r>
      <w:proofErr w:type="gramEnd"/>
      <w:r>
        <w:rPr>
          <w:rFonts w:ascii="MS Gothic"/>
          <w:color w:val="333333"/>
        </w:rPr>
        <w:t xml:space="preserve"> running (1 starting)</w:t>
      </w:r>
    </w:p>
    <w:p w14:paraId="5A9C3896" w14:textId="77777777" w:rsidR="00A720EB" w:rsidRDefault="0030286B">
      <w:pPr>
        <w:spacing w:before="13"/>
        <w:ind w:left="564"/>
        <w:rPr>
          <w:rFonts w:ascii="MS Gothic"/>
        </w:rPr>
      </w:pPr>
      <w:r>
        <w:rPr>
          <w:rFonts w:ascii="MS Gothic"/>
          <w:color w:val="333333"/>
        </w:rPr>
        <w:t>...</w:t>
      </w:r>
    </w:p>
    <w:p w14:paraId="3633B673" w14:textId="77777777" w:rsidR="00A720EB" w:rsidRDefault="0030286B">
      <w:pPr>
        <w:pStyle w:val="a6"/>
        <w:numPr>
          <w:ilvl w:val="0"/>
          <w:numId w:val="19"/>
        </w:numPr>
        <w:tabs>
          <w:tab w:val="left" w:pos="785"/>
        </w:tabs>
        <w:spacing w:before="13" w:line="501" w:lineRule="auto"/>
        <w:ind w:left="344" w:right="5698" w:firstLine="220"/>
        <w:rPr>
          <w:rFonts w:ascii="MS Gothic"/>
        </w:rPr>
      </w:pPr>
      <w:r>
        <w:rPr>
          <w:rFonts w:ascii="MS Gothic"/>
          <w:color w:val="333333"/>
        </w:rPr>
        <w:t xml:space="preserve">of 1 </w:t>
      </w:r>
      <w:proofErr w:type="gramStart"/>
      <w:r>
        <w:rPr>
          <w:rFonts w:ascii="MS Gothic"/>
          <w:color w:val="333333"/>
        </w:rPr>
        <w:t>instances</w:t>
      </w:r>
      <w:proofErr w:type="gramEnd"/>
      <w:r>
        <w:rPr>
          <w:rFonts w:ascii="MS Gothic"/>
          <w:color w:val="333333"/>
        </w:rPr>
        <w:t xml:space="preserve"> running (1 </w:t>
      </w:r>
      <w:r>
        <w:rPr>
          <w:rFonts w:ascii="MS Gothic"/>
          <w:color w:val="333333"/>
          <w:spacing w:val="-3"/>
        </w:rPr>
        <w:t xml:space="preserve">running) </w:t>
      </w:r>
      <w:r>
        <w:rPr>
          <w:rFonts w:ascii="MS Gothic"/>
          <w:color w:val="333333"/>
        </w:rPr>
        <w:t>App started</w:t>
      </w:r>
    </w:p>
    <w:p w14:paraId="78EB1917" w14:textId="77777777" w:rsidR="00A720EB" w:rsidRDefault="0030286B">
      <w:pPr>
        <w:pStyle w:val="a3"/>
        <w:spacing w:before="190"/>
        <w:ind w:left="124"/>
      </w:pPr>
      <w:r>
        <w:rPr>
          <w:color w:val="333333"/>
          <w:w w:val="110"/>
        </w:rPr>
        <w:t>Congratulations! The application is now live!</w:t>
      </w:r>
    </w:p>
    <w:p w14:paraId="6E2E73D9" w14:textId="77777777" w:rsidR="00A720EB" w:rsidRDefault="00A720EB">
      <w:pPr>
        <w:pStyle w:val="a3"/>
        <w:spacing w:before="5"/>
        <w:rPr>
          <w:sz w:val="25"/>
        </w:rPr>
      </w:pPr>
    </w:p>
    <w:p w14:paraId="071F4CA3" w14:textId="77777777" w:rsidR="00A720EB" w:rsidRDefault="00E10349">
      <w:pPr>
        <w:pStyle w:val="a3"/>
        <w:spacing w:line="280" w:lineRule="auto"/>
        <w:ind w:left="124" w:right="462"/>
      </w:pPr>
      <w:r>
        <w:pict w14:anchorId="4719D3B5">
          <v:group id="_x0000_s1900" style="position:absolute;left:0;text-align:left;margin-left:47.85pt;margin-top:41.7pt;width:499.55pt;height:155.45pt;z-index:-41252352;mso-position-horizontal-relative:page" coordorigin="957,834" coordsize="9991,3109">
            <v:shape id="_x0000_s1903" style="position:absolute;left:964;top:841;width:9976;height:3094" coordorigin="965,842" coordsize="9976,3094" path="m10861,842r-9816,l1014,848r-26,17l971,891r-6,31l965,3855r6,31l988,3912r26,17l1045,3935r9816,l10892,3929r25,-17l10935,3886r6,-31l10941,922r-6,-31l10917,865r-25,-17l10861,842xe" fillcolor="#f5f5f5" stroked="f">
              <v:path arrowok="t"/>
            </v:shape>
            <v:shape id="_x0000_s1902" style="position:absolute;left:964;top:841;width:9976;height:3094" coordorigin="965,842" coordsize="9976,3094" path="m1045,842r9816,l10892,848r25,17l10935,891r6,31l10941,3855r-6,31l10917,3912r-25,17l10861,3935r-9816,l1014,3929r-26,-17l971,3886r-6,-31l965,922r6,-31l988,865r26,-17l1045,842xe" filled="f" strokecolor="#ccc">
              <v:path arrowok="t"/>
            </v:shape>
            <v:shape id="_x0000_s1901" type="#_x0000_t202" style="position:absolute;left:957;top:834;width:9991;height:3109" filled="f" stroked="f">
              <v:textbox inset="0,0,0,0">
                <w:txbxContent>
                  <w:p w14:paraId="2FEA3F49" w14:textId="77777777" w:rsidR="00711A16" w:rsidRDefault="00711A16">
                    <w:pPr>
                      <w:rPr>
                        <w:sz w:val="30"/>
                      </w:rPr>
                    </w:pPr>
                  </w:p>
                  <w:p w14:paraId="488A9CF3" w14:textId="77777777" w:rsidR="00711A16" w:rsidRDefault="00711A16">
                    <w:pPr>
                      <w:rPr>
                        <w:sz w:val="30"/>
                      </w:rPr>
                    </w:pPr>
                  </w:p>
                  <w:p w14:paraId="08B3F06B" w14:textId="77777777" w:rsidR="00711A16" w:rsidRDefault="00711A16">
                    <w:pPr>
                      <w:rPr>
                        <w:sz w:val="30"/>
                      </w:rPr>
                    </w:pPr>
                  </w:p>
                  <w:p w14:paraId="7A1B000D" w14:textId="77777777" w:rsidR="00711A16" w:rsidRDefault="00711A16">
                    <w:pPr>
                      <w:rPr>
                        <w:sz w:val="30"/>
                      </w:rPr>
                    </w:pPr>
                  </w:p>
                  <w:p w14:paraId="78DDE1FD" w14:textId="77777777" w:rsidR="00711A16" w:rsidRDefault="00711A16">
                    <w:pPr>
                      <w:rPr>
                        <w:sz w:val="30"/>
                      </w:rPr>
                    </w:pPr>
                  </w:p>
                  <w:p w14:paraId="73339D12" w14:textId="77777777" w:rsidR="00711A16" w:rsidRDefault="00711A16">
                    <w:pPr>
                      <w:rPr>
                        <w:sz w:val="30"/>
                      </w:rPr>
                    </w:pPr>
                  </w:p>
                  <w:p w14:paraId="1E1DA69D" w14:textId="77777777" w:rsidR="00711A16" w:rsidRDefault="00711A16">
                    <w:pPr>
                      <w:spacing w:before="197"/>
                      <w:ind w:left="227"/>
                      <w:rPr>
                        <w:rFonts w:ascii="MS Gothic"/>
                      </w:rPr>
                    </w:pPr>
                    <w:r>
                      <w:rPr>
                        <w:rFonts w:ascii="MS Gothic"/>
                        <w:color w:val="333333"/>
                      </w:rPr>
                      <w:t>acloudyspringtime.cfapps.io</w:t>
                    </w:r>
                  </w:p>
                  <w:p w14:paraId="728D9E3D" w14:textId="77777777" w:rsidR="00711A16" w:rsidRDefault="00711A16">
                    <w:pPr>
                      <w:spacing w:before="13"/>
                      <w:ind w:left="227"/>
                      <w:rPr>
                        <w:rFonts w:ascii="MS Gothic"/>
                      </w:rPr>
                    </w:pPr>
                    <w:r>
                      <w:rPr>
                        <w:rFonts w:ascii="MS Gothic"/>
                        <w:color w:val="333333"/>
                      </w:rPr>
                      <w:t>...</w:t>
                    </w:r>
                  </w:p>
                </w:txbxContent>
              </v:textbox>
            </v:shape>
            <w10:wrap anchorx="page"/>
          </v:group>
        </w:pict>
      </w:r>
      <w:r w:rsidR="0030286B">
        <w:rPr>
          <w:color w:val="333333"/>
          <w:w w:val="110"/>
        </w:rPr>
        <w:t xml:space="preserve">Once your application is live, you can verify the status of the deployed application by using the </w:t>
      </w:r>
      <w:r w:rsidR="0030286B">
        <w:rPr>
          <w:rFonts w:ascii="MS Gothic"/>
          <w:color w:val="B02045"/>
          <w:w w:val="110"/>
        </w:rPr>
        <w:t xml:space="preserve">cf apps </w:t>
      </w:r>
      <w:r w:rsidR="0030286B">
        <w:rPr>
          <w:color w:val="333333"/>
          <w:w w:val="110"/>
        </w:rPr>
        <w:t>command, as shown in the following example:</w:t>
      </w:r>
    </w:p>
    <w:p w14:paraId="56CBC5FB" w14:textId="77777777" w:rsidR="00A720EB" w:rsidRDefault="00A720EB">
      <w:pPr>
        <w:pStyle w:val="a3"/>
        <w:rPr>
          <w:sz w:val="20"/>
        </w:rPr>
      </w:pPr>
    </w:p>
    <w:p w14:paraId="627713EF" w14:textId="77777777" w:rsidR="00A720EB" w:rsidRDefault="00A720EB">
      <w:pPr>
        <w:pStyle w:val="a3"/>
        <w:spacing w:before="10" w:after="1"/>
        <w:rPr>
          <w:sz w:val="16"/>
        </w:rPr>
      </w:pPr>
    </w:p>
    <w:tbl>
      <w:tblPr>
        <w:tblStyle w:val="40"/>
        <w:tblW w:w="0" w:type="auto"/>
        <w:tblInd w:w="302" w:type="dxa"/>
        <w:tblLayout w:type="fixed"/>
        <w:tblLook w:val="01E0" w:firstRow="1" w:lastRow="1" w:firstColumn="1" w:lastColumn="1" w:noHBand="0" w:noVBand="0"/>
      </w:tblPr>
      <w:tblGrid>
        <w:gridCol w:w="2305"/>
        <w:gridCol w:w="1870"/>
        <w:gridCol w:w="1320"/>
        <w:gridCol w:w="990"/>
        <w:gridCol w:w="1425"/>
      </w:tblGrid>
      <w:tr w:rsidR="00A720EB" w14:paraId="64F90963" w14:textId="77777777">
        <w:trPr>
          <w:trHeight w:val="595"/>
        </w:trPr>
        <w:tc>
          <w:tcPr>
            <w:tcW w:w="2305" w:type="dxa"/>
          </w:tcPr>
          <w:p w14:paraId="0D44AB4B" w14:textId="77777777" w:rsidR="00A720EB" w:rsidRDefault="0030286B">
            <w:pPr>
              <w:pStyle w:val="TableParagraph"/>
              <w:spacing w:before="16"/>
              <w:ind w:left="50"/>
            </w:pPr>
            <w:r>
              <w:rPr>
                <w:color w:val="333333"/>
              </w:rPr>
              <w:t>$ cf apps</w:t>
            </w:r>
          </w:p>
          <w:p w14:paraId="1E6C0C34" w14:textId="77777777" w:rsidR="00A720EB" w:rsidRDefault="0030286B">
            <w:pPr>
              <w:pStyle w:val="TableParagraph"/>
              <w:spacing w:before="13" w:line="264" w:lineRule="exact"/>
              <w:ind w:left="50"/>
            </w:pPr>
            <w:r>
              <w:rPr>
                <w:color w:val="333333"/>
              </w:rPr>
              <w:t>Getting applications</w:t>
            </w:r>
          </w:p>
        </w:tc>
        <w:tc>
          <w:tcPr>
            <w:tcW w:w="1870" w:type="dxa"/>
          </w:tcPr>
          <w:p w14:paraId="321CE3F5" w14:textId="77777777" w:rsidR="00A720EB" w:rsidRDefault="00A720EB">
            <w:pPr>
              <w:pStyle w:val="TableParagraph"/>
              <w:spacing w:before="6"/>
              <w:ind w:left="0"/>
              <w:rPr>
                <w:rFonts w:ascii="Cambria"/>
                <w:sz w:val="26"/>
              </w:rPr>
            </w:pPr>
          </w:p>
          <w:p w14:paraId="19620945" w14:textId="77777777" w:rsidR="00A720EB" w:rsidRDefault="0030286B">
            <w:pPr>
              <w:pStyle w:val="TableParagraph"/>
              <w:spacing w:before="0" w:line="264" w:lineRule="exact"/>
              <w:ind w:left="55"/>
            </w:pPr>
            <w:r>
              <w:rPr>
                <w:color w:val="333333"/>
              </w:rPr>
              <w:t>in ...</w:t>
            </w:r>
          </w:p>
        </w:tc>
        <w:tc>
          <w:tcPr>
            <w:tcW w:w="3735" w:type="dxa"/>
            <w:gridSpan w:val="3"/>
            <w:vMerge w:val="restart"/>
          </w:tcPr>
          <w:p w14:paraId="610A58AF" w14:textId="77777777" w:rsidR="00A720EB" w:rsidRDefault="00A720EB">
            <w:pPr>
              <w:pStyle w:val="TableParagraph"/>
              <w:spacing w:before="0"/>
              <w:ind w:left="0"/>
              <w:rPr>
                <w:rFonts w:ascii="Times New Roman"/>
                <w:sz w:val="20"/>
              </w:rPr>
            </w:pPr>
          </w:p>
        </w:tc>
      </w:tr>
      <w:tr w:rsidR="00A720EB" w14:paraId="22878F5A" w14:textId="77777777">
        <w:trPr>
          <w:trHeight w:val="442"/>
        </w:trPr>
        <w:tc>
          <w:tcPr>
            <w:tcW w:w="2305" w:type="dxa"/>
          </w:tcPr>
          <w:p w14:paraId="40EA16AC" w14:textId="77777777" w:rsidR="00A720EB" w:rsidRDefault="0030286B">
            <w:pPr>
              <w:pStyle w:val="TableParagraph"/>
              <w:spacing w:before="10"/>
              <w:ind w:left="50"/>
            </w:pPr>
            <w:r>
              <w:rPr>
                <w:color w:val="333333"/>
              </w:rPr>
              <w:t>OK</w:t>
            </w:r>
          </w:p>
        </w:tc>
        <w:tc>
          <w:tcPr>
            <w:tcW w:w="1870" w:type="dxa"/>
          </w:tcPr>
          <w:p w14:paraId="6F749A0D" w14:textId="77777777" w:rsidR="00A720EB" w:rsidRDefault="00A720EB">
            <w:pPr>
              <w:pStyle w:val="TableParagraph"/>
              <w:spacing w:before="0"/>
              <w:ind w:left="0"/>
              <w:rPr>
                <w:rFonts w:ascii="Times New Roman"/>
                <w:sz w:val="20"/>
              </w:rPr>
            </w:pPr>
          </w:p>
        </w:tc>
        <w:tc>
          <w:tcPr>
            <w:tcW w:w="3735" w:type="dxa"/>
            <w:gridSpan w:val="3"/>
            <w:vMerge/>
            <w:tcBorders>
              <w:top w:val="nil"/>
            </w:tcBorders>
          </w:tcPr>
          <w:p w14:paraId="6746CF32" w14:textId="77777777" w:rsidR="00A720EB" w:rsidRDefault="00A720EB">
            <w:pPr>
              <w:rPr>
                <w:sz w:val="2"/>
                <w:szCs w:val="2"/>
              </w:rPr>
            </w:pPr>
          </w:p>
        </w:tc>
      </w:tr>
      <w:tr w:rsidR="00A720EB" w14:paraId="1238F44E" w14:textId="77777777">
        <w:trPr>
          <w:trHeight w:val="442"/>
        </w:trPr>
        <w:tc>
          <w:tcPr>
            <w:tcW w:w="2305" w:type="dxa"/>
          </w:tcPr>
          <w:p w14:paraId="45932F89" w14:textId="77777777" w:rsidR="00A720EB" w:rsidRDefault="0030286B">
            <w:pPr>
              <w:pStyle w:val="TableParagraph"/>
              <w:spacing w:before="158" w:line="264" w:lineRule="exact"/>
              <w:ind w:left="50"/>
            </w:pPr>
            <w:r>
              <w:rPr>
                <w:color w:val="333333"/>
              </w:rPr>
              <w:t>name</w:t>
            </w:r>
          </w:p>
        </w:tc>
        <w:tc>
          <w:tcPr>
            <w:tcW w:w="1870" w:type="dxa"/>
          </w:tcPr>
          <w:p w14:paraId="3A936B51" w14:textId="77777777" w:rsidR="00A720EB" w:rsidRDefault="0030286B">
            <w:pPr>
              <w:pStyle w:val="TableParagraph"/>
              <w:spacing w:before="158" w:line="264" w:lineRule="exact"/>
              <w:ind w:left="55"/>
            </w:pPr>
            <w:r>
              <w:rPr>
                <w:color w:val="333333"/>
              </w:rPr>
              <w:t>requested state</w:t>
            </w:r>
          </w:p>
        </w:tc>
        <w:tc>
          <w:tcPr>
            <w:tcW w:w="1320" w:type="dxa"/>
          </w:tcPr>
          <w:p w14:paraId="4488E661" w14:textId="77777777" w:rsidR="00A720EB" w:rsidRDefault="0030286B">
            <w:pPr>
              <w:pStyle w:val="TableParagraph"/>
              <w:spacing w:before="158" w:line="264" w:lineRule="exact"/>
              <w:ind w:left="165"/>
            </w:pPr>
            <w:r>
              <w:rPr>
                <w:color w:val="333333"/>
              </w:rPr>
              <w:t>instances</w:t>
            </w:r>
          </w:p>
        </w:tc>
        <w:tc>
          <w:tcPr>
            <w:tcW w:w="990" w:type="dxa"/>
          </w:tcPr>
          <w:p w14:paraId="52FAFCEA" w14:textId="77777777" w:rsidR="00A720EB" w:rsidRDefault="0030286B">
            <w:pPr>
              <w:pStyle w:val="TableParagraph"/>
              <w:spacing w:before="158" w:line="264" w:lineRule="exact"/>
              <w:ind w:left="165"/>
            </w:pPr>
            <w:r>
              <w:rPr>
                <w:color w:val="333333"/>
              </w:rPr>
              <w:t>memory</w:t>
            </w:r>
          </w:p>
        </w:tc>
        <w:tc>
          <w:tcPr>
            <w:tcW w:w="1425" w:type="dxa"/>
          </w:tcPr>
          <w:p w14:paraId="01C58982" w14:textId="77777777" w:rsidR="00A720EB" w:rsidRDefault="0030286B">
            <w:pPr>
              <w:pStyle w:val="TableParagraph"/>
              <w:tabs>
                <w:tab w:val="left" w:pos="934"/>
              </w:tabs>
              <w:spacing w:before="158" w:line="264" w:lineRule="exact"/>
              <w:ind w:left="165"/>
            </w:pPr>
            <w:r>
              <w:rPr>
                <w:color w:val="333333"/>
              </w:rPr>
              <w:t>disk</w:t>
            </w:r>
            <w:r>
              <w:rPr>
                <w:color w:val="333333"/>
              </w:rPr>
              <w:tab/>
              <w:t>urls</w:t>
            </w:r>
          </w:p>
        </w:tc>
      </w:tr>
      <w:tr w:rsidR="00A720EB" w14:paraId="2A4B95C8" w14:textId="77777777">
        <w:trPr>
          <w:trHeight w:val="595"/>
        </w:trPr>
        <w:tc>
          <w:tcPr>
            <w:tcW w:w="2305" w:type="dxa"/>
          </w:tcPr>
          <w:p w14:paraId="2E011108" w14:textId="77777777" w:rsidR="00A720EB" w:rsidRDefault="0030286B">
            <w:pPr>
              <w:pStyle w:val="TableParagraph"/>
              <w:spacing w:before="10"/>
              <w:ind w:left="50"/>
            </w:pPr>
            <w:r>
              <w:rPr>
                <w:color w:val="333333"/>
              </w:rPr>
              <w:t>...</w:t>
            </w:r>
          </w:p>
          <w:p w14:paraId="79F72F54" w14:textId="77777777" w:rsidR="00A720EB" w:rsidRDefault="0030286B">
            <w:pPr>
              <w:pStyle w:val="TableParagraph"/>
              <w:spacing w:before="13" w:line="270" w:lineRule="exact"/>
              <w:ind w:left="50"/>
            </w:pPr>
            <w:r>
              <w:rPr>
                <w:color w:val="333333"/>
              </w:rPr>
              <w:t>acloudyspringtime</w:t>
            </w:r>
          </w:p>
        </w:tc>
        <w:tc>
          <w:tcPr>
            <w:tcW w:w="1870" w:type="dxa"/>
          </w:tcPr>
          <w:p w14:paraId="1ADF980A" w14:textId="77777777" w:rsidR="00A720EB" w:rsidRDefault="00A720EB">
            <w:pPr>
              <w:pStyle w:val="TableParagraph"/>
              <w:spacing w:before="0"/>
              <w:ind w:left="0"/>
              <w:rPr>
                <w:rFonts w:ascii="Cambria"/>
                <w:sz w:val="26"/>
              </w:rPr>
            </w:pPr>
          </w:p>
          <w:p w14:paraId="0ED8681D" w14:textId="77777777" w:rsidR="00A720EB" w:rsidRDefault="0030286B">
            <w:pPr>
              <w:pStyle w:val="TableParagraph"/>
              <w:spacing w:before="0" w:line="270" w:lineRule="exact"/>
              <w:ind w:left="55"/>
            </w:pPr>
            <w:r>
              <w:rPr>
                <w:color w:val="333333"/>
              </w:rPr>
              <w:t>started</w:t>
            </w:r>
          </w:p>
        </w:tc>
        <w:tc>
          <w:tcPr>
            <w:tcW w:w="1320" w:type="dxa"/>
          </w:tcPr>
          <w:p w14:paraId="1F1EE805" w14:textId="77777777" w:rsidR="00A720EB" w:rsidRDefault="00A720EB">
            <w:pPr>
              <w:pStyle w:val="TableParagraph"/>
              <w:spacing w:before="0"/>
              <w:ind w:left="0"/>
              <w:rPr>
                <w:rFonts w:ascii="Cambria"/>
                <w:sz w:val="26"/>
              </w:rPr>
            </w:pPr>
          </w:p>
          <w:p w14:paraId="7FB7C63A" w14:textId="77777777" w:rsidR="00A720EB" w:rsidRDefault="0030286B">
            <w:pPr>
              <w:pStyle w:val="TableParagraph"/>
              <w:spacing w:before="0" w:line="270" w:lineRule="exact"/>
              <w:ind w:left="165"/>
            </w:pPr>
            <w:r>
              <w:rPr>
                <w:color w:val="333333"/>
              </w:rPr>
              <w:t>1/1</w:t>
            </w:r>
          </w:p>
        </w:tc>
        <w:tc>
          <w:tcPr>
            <w:tcW w:w="990" w:type="dxa"/>
          </w:tcPr>
          <w:p w14:paraId="483CAB09" w14:textId="77777777" w:rsidR="00A720EB" w:rsidRDefault="00A720EB">
            <w:pPr>
              <w:pStyle w:val="TableParagraph"/>
              <w:spacing w:before="0"/>
              <w:ind w:left="0"/>
              <w:rPr>
                <w:rFonts w:ascii="Cambria"/>
                <w:sz w:val="26"/>
              </w:rPr>
            </w:pPr>
          </w:p>
          <w:p w14:paraId="5A7A5DCC" w14:textId="77777777" w:rsidR="00A720EB" w:rsidRDefault="0030286B">
            <w:pPr>
              <w:pStyle w:val="TableParagraph"/>
              <w:spacing w:before="0" w:line="270" w:lineRule="exact"/>
              <w:ind w:left="165"/>
            </w:pPr>
            <w:r>
              <w:rPr>
                <w:color w:val="333333"/>
              </w:rPr>
              <w:t>512M</w:t>
            </w:r>
          </w:p>
        </w:tc>
        <w:tc>
          <w:tcPr>
            <w:tcW w:w="1425" w:type="dxa"/>
          </w:tcPr>
          <w:p w14:paraId="236D39AC" w14:textId="77777777" w:rsidR="00A720EB" w:rsidRDefault="00A720EB">
            <w:pPr>
              <w:pStyle w:val="TableParagraph"/>
              <w:spacing w:before="0"/>
              <w:ind w:left="0"/>
              <w:rPr>
                <w:rFonts w:ascii="Cambria"/>
                <w:sz w:val="26"/>
              </w:rPr>
            </w:pPr>
          </w:p>
          <w:p w14:paraId="304A37CE" w14:textId="77777777" w:rsidR="00A720EB" w:rsidRDefault="0030286B">
            <w:pPr>
              <w:pStyle w:val="TableParagraph"/>
              <w:spacing w:before="0" w:line="270" w:lineRule="exact"/>
              <w:ind w:left="165"/>
            </w:pPr>
            <w:r>
              <w:rPr>
                <w:color w:val="333333"/>
              </w:rPr>
              <w:t>1G</w:t>
            </w:r>
          </w:p>
        </w:tc>
      </w:tr>
    </w:tbl>
    <w:p w14:paraId="30BDD91F" w14:textId="77777777" w:rsidR="00A720EB" w:rsidRDefault="00A720EB">
      <w:pPr>
        <w:spacing w:line="270" w:lineRule="exact"/>
        <w:sectPr w:rsidR="00A720EB">
          <w:pgSz w:w="11910" w:h="16840"/>
          <w:pgMar w:top="700" w:right="840" w:bottom="520" w:left="840" w:header="0" w:footer="323" w:gutter="0"/>
          <w:cols w:space="720"/>
        </w:sectPr>
      </w:pPr>
    </w:p>
    <w:p w14:paraId="7E3F4E54" w14:textId="77777777" w:rsidR="00A720EB" w:rsidRDefault="0030286B">
      <w:pPr>
        <w:pStyle w:val="a3"/>
        <w:spacing w:before="107" w:line="302" w:lineRule="auto"/>
        <w:ind w:left="124" w:right="130"/>
        <w:jc w:val="both"/>
      </w:pPr>
      <w:r>
        <w:rPr>
          <w:color w:val="333333"/>
          <w:w w:val="110"/>
        </w:rPr>
        <w:lastRenderedPageBreak/>
        <w:t xml:space="preserve">Once Cloud Foundry acknowledges that your application has been deployed, you should be able to find the application at the URI given. In the preceding example, you could find it </w:t>
      </w:r>
      <w:proofErr w:type="gramStart"/>
      <w:r>
        <w:rPr>
          <w:color w:val="333333"/>
          <w:w w:val="110"/>
        </w:rPr>
        <w:t xml:space="preserve">at  </w:t>
      </w:r>
      <w:r>
        <w:rPr>
          <w:rFonts w:ascii="MS Gothic"/>
          <w:color w:val="B02045"/>
          <w:w w:val="110"/>
        </w:rPr>
        <w:t>https://acloudyspringtime.cfapps.io/</w:t>
      </w:r>
      <w:proofErr w:type="gramEnd"/>
      <w:r>
        <w:rPr>
          <w:color w:val="333333"/>
          <w:w w:val="110"/>
        </w:rPr>
        <w:t>.</w:t>
      </w:r>
    </w:p>
    <w:p w14:paraId="5DACE513" w14:textId="77777777" w:rsidR="00A720EB" w:rsidRDefault="00A720EB">
      <w:pPr>
        <w:pStyle w:val="a3"/>
        <w:spacing w:before="6"/>
        <w:rPr>
          <w:sz w:val="24"/>
        </w:rPr>
      </w:pPr>
    </w:p>
    <w:p w14:paraId="4CDCEDC8" w14:textId="77777777" w:rsidR="00A720EB" w:rsidRDefault="0030286B">
      <w:pPr>
        <w:pStyle w:val="4"/>
      </w:pPr>
      <w:bookmarkStart w:id="693" w:name="Binding_to_Services"/>
      <w:bookmarkEnd w:id="693"/>
      <w:r>
        <w:rPr>
          <w:color w:val="333333"/>
          <w:w w:val="110"/>
        </w:rPr>
        <w:t>Binding to Services</w:t>
      </w:r>
    </w:p>
    <w:p w14:paraId="529AF05D" w14:textId="77777777" w:rsidR="00A720EB" w:rsidRDefault="00A720EB">
      <w:pPr>
        <w:pStyle w:val="a3"/>
        <w:spacing w:before="11"/>
        <w:rPr>
          <w:rFonts w:ascii="Palatino Linotype"/>
          <w:b/>
          <w:sz w:val="18"/>
        </w:rPr>
      </w:pPr>
    </w:p>
    <w:p w14:paraId="1D041068" w14:textId="77777777" w:rsidR="00A720EB" w:rsidRDefault="0030286B">
      <w:pPr>
        <w:pStyle w:val="a3"/>
        <w:spacing w:line="297" w:lineRule="auto"/>
        <w:ind w:left="124" w:right="123"/>
        <w:jc w:val="both"/>
      </w:pPr>
      <w:r>
        <w:rPr>
          <w:color w:val="333333"/>
          <w:spacing w:val="-3"/>
          <w:w w:val="110"/>
        </w:rPr>
        <w:t xml:space="preserve">By </w:t>
      </w:r>
      <w:r>
        <w:rPr>
          <w:color w:val="333333"/>
          <w:w w:val="110"/>
        </w:rPr>
        <w:t xml:space="preserve">default, metadata about the running application as well as service connection information is exposed to the application as environment variables (for example: </w:t>
      </w:r>
      <w:r>
        <w:rPr>
          <w:rFonts w:ascii="MS Gothic" w:hAnsi="MS Gothic"/>
          <w:color w:val="B02045"/>
          <w:w w:val="110"/>
        </w:rPr>
        <w:t>$VCAP_SERVICES</w:t>
      </w:r>
      <w:r>
        <w:rPr>
          <w:color w:val="333333"/>
          <w:w w:val="110"/>
        </w:rPr>
        <w:t>). This architecture decision is due to Cloud Foundry’s polyglot (any language and platform can be supported as a buildpack) nature. Process-scoped environment variables are language</w:t>
      </w:r>
      <w:r>
        <w:rPr>
          <w:color w:val="333333"/>
          <w:spacing w:val="6"/>
          <w:w w:val="110"/>
        </w:rPr>
        <w:t xml:space="preserve"> </w:t>
      </w:r>
      <w:r>
        <w:rPr>
          <w:color w:val="333333"/>
          <w:w w:val="110"/>
        </w:rPr>
        <w:t>agnostic.</w:t>
      </w:r>
    </w:p>
    <w:p w14:paraId="3FF6197B" w14:textId="77777777" w:rsidR="00A720EB" w:rsidRDefault="00A720EB">
      <w:pPr>
        <w:pStyle w:val="a3"/>
        <w:spacing w:before="7"/>
      </w:pPr>
    </w:p>
    <w:p w14:paraId="5F3C6A42" w14:textId="77777777" w:rsidR="00A720EB" w:rsidRDefault="0030286B">
      <w:pPr>
        <w:pStyle w:val="a3"/>
        <w:spacing w:line="302" w:lineRule="auto"/>
        <w:ind w:left="124" w:right="127"/>
        <w:jc w:val="both"/>
      </w:pPr>
      <w:r>
        <w:rPr>
          <w:color w:val="333333"/>
          <w:w w:val="110"/>
        </w:rPr>
        <w:t xml:space="preserve">Environment variables do not always make for the easiest API, so </w:t>
      </w:r>
      <w:proofErr w:type="gramStart"/>
      <w:r>
        <w:rPr>
          <w:color w:val="333333"/>
          <w:w w:val="110"/>
        </w:rPr>
        <w:t>Spring  Boot</w:t>
      </w:r>
      <w:proofErr w:type="gramEnd"/>
      <w:r>
        <w:rPr>
          <w:color w:val="333333"/>
          <w:w w:val="110"/>
        </w:rPr>
        <w:t xml:space="preserve">  automatically  extracts them and flattens the data into properties that can be accessed through  Spring’s</w:t>
      </w:r>
      <w:r>
        <w:rPr>
          <w:color w:val="333333"/>
          <w:spacing w:val="50"/>
          <w:w w:val="110"/>
        </w:rPr>
        <w:t xml:space="preserve"> </w:t>
      </w:r>
      <w:r>
        <w:rPr>
          <w:rFonts w:ascii="MS Gothic" w:hAnsi="MS Gothic"/>
          <w:color w:val="B02045"/>
          <w:w w:val="110"/>
        </w:rPr>
        <w:t>Environment</w:t>
      </w:r>
      <w:r>
        <w:rPr>
          <w:rFonts w:ascii="MS Gothic" w:hAnsi="MS Gothic"/>
          <w:color w:val="B02045"/>
          <w:spacing w:val="-51"/>
          <w:w w:val="110"/>
        </w:rPr>
        <w:t xml:space="preserve"> </w:t>
      </w:r>
      <w:r>
        <w:rPr>
          <w:color w:val="333333"/>
          <w:w w:val="110"/>
        </w:rPr>
        <w:t>abstraction, as shown in the following example:</w:t>
      </w:r>
    </w:p>
    <w:p w14:paraId="2BC5595E" w14:textId="77777777" w:rsidR="00A720EB" w:rsidRDefault="00E10349">
      <w:pPr>
        <w:pStyle w:val="a3"/>
        <w:rPr>
          <w:sz w:val="12"/>
        </w:rPr>
      </w:pPr>
      <w:r>
        <w:pict w14:anchorId="44DBAC35">
          <v:group id="_x0000_s1896" style="position:absolute;margin-left:47.85pt;margin-top:9pt;width:499.55pt;height:214.4pt;z-index:-15174656;mso-wrap-distance-left:0;mso-wrap-distance-right:0;mso-position-horizontal-relative:page" coordorigin="957,180" coordsize="9991,4288">
            <v:shape id="_x0000_s1899" style="position:absolute;left:964;top:187;width:9976;height:4273" coordorigin="965,188" coordsize="9976,4273" path="m10861,188r-9816,l1014,194r-26,17l971,237r-6,31l965,4380r6,31l988,4437r26,17l1045,4460r9816,l10892,4454r25,-17l10935,4411r6,-31l10941,268r-6,-31l10917,211r-25,-17l10861,188xe" fillcolor="#f5f5f5" stroked="f">
              <v:path arrowok="t"/>
            </v:shape>
            <v:shape id="_x0000_s1898" style="position:absolute;left:964;top:187;width:9976;height:4273" coordorigin="965,188" coordsize="9976,4273" path="m1045,188r9816,l10892,194r25,17l10935,237r6,31l10941,4380r-6,31l10917,4437r-25,17l10861,4460r-9816,l1014,4454r-26,-17l971,4411r-6,-31l965,268r6,-31l988,211r26,-17l1045,188xe" filled="f" strokecolor="#ccc">
              <v:path arrowok="t"/>
            </v:shape>
            <v:shape id="_x0000_s1897" type="#_x0000_t202" style="position:absolute;left:984;top:203;width:9938;height:4242" filled="f" stroked="f">
              <v:textbox inset="0,0,0,0">
                <w:txbxContent>
                  <w:p w14:paraId="193E6706" w14:textId="77777777" w:rsidR="00711A16" w:rsidRDefault="00711A16">
                    <w:pPr>
                      <w:spacing w:before="221"/>
                      <w:ind w:left="200"/>
                      <w:rPr>
                        <w:rFonts w:ascii="MS Gothic"/>
                      </w:rPr>
                    </w:pPr>
                    <w:r>
                      <w:rPr>
                        <w:rFonts w:ascii="MS Gothic"/>
                        <w:color w:val="333333"/>
                      </w:rPr>
                      <w:t>@Component</w:t>
                    </w:r>
                  </w:p>
                  <w:p w14:paraId="0A0318F7" w14:textId="77777777" w:rsidR="00711A16" w:rsidRDefault="00711A16">
                    <w:pPr>
                      <w:spacing w:before="13" w:line="501" w:lineRule="auto"/>
                      <w:ind w:left="640" w:right="5098" w:hanging="440"/>
                      <w:rPr>
                        <w:rFonts w:ascii="MS Gothic"/>
                      </w:rPr>
                    </w:pPr>
                    <w:r>
                      <w:rPr>
                        <w:rFonts w:ascii="MS Gothic"/>
                        <w:color w:val="333333"/>
                      </w:rPr>
                      <w:t xml:space="preserve">class MyBean implements EnvironmentAware </w:t>
                    </w:r>
                    <w:proofErr w:type="gramStart"/>
                    <w:r>
                      <w:rPr>
                        <w:rFonts w:ascii="MS Gothic"/>
                        <w:color w:val="333333"/>
                      </w:rPr>
                      <w:t>{ private</w:t>
                    </w:r>
                    <w:proofErr w:type="gramEnd"/>
                    <w:r>
                      <w:rPr>
                        <w:rFonts w:ascii="MS Gothic"/>
                        <w:color w:val="333333"/>
                      </w:rPr>
                      <w:t xml:space="preserve"> String instanceId;</w:t>
                    </w:r>
                  </w:p>
                  <w:p w14:paraId="33E16FA8" w14:textId="77777777" w:rsidR="00711A16" w:rsidRDefault="00711A16">
                    <w:pPr>
                      <w:spacing w:before="1"/>
                      <w:ind w:left="640"/>
                      <w:rPr>
                        <w:rFonts w:ascii="MS Gothic"/>
                      </w:rPr>
                    </w:pPr>
                    <w:r>
                      <w:rPr>
                        <w:rFonts w:ascii="MS Gothic"/>
                        <w:color w:val="333333"/>
                      </w:rPr>
                      <w:t>@Override</w:t>
                    </w:r>
                  </w:p>
                  <w:p w14:paraId="6A855526" w14:textId="77777777" w:rsidR="00711A16" w:rsidRDefault="00711A16">
                    <w:pPr>
                      <w:spacing w:before="13"/>
                      <w:ind w:left="640"/>
                      <w:rPr>
                        <w:rFonts w:ascii="MS Gothic"/>
                      </w:rPr>
                    </w:pPr>
                    <w:r>
                      <w:rPr>
                        <w:rFonts w:ascii="MS Gothic"/>
                        <w:color w:val="333333"/>
                      </w:rPr>
                      <w:t xml:space="preserve">public void </w:t>
                    </w:r>
                    <w:proofErr w:type="gramStart"/>
                    <w:r>
                      <w:rPr>
                        <w:rFonts w:ascii="MS Gothic"/>
                        <w:color w:val="333333"/>
                      </w:rPr>
                      <w:t>setEnvironment(</w:t>
                    </w:r>
                    <w:proofErr w:type="gramEnd"/>
                    <w:r>
                      <w:rPr>
                        <w:rFonts w:ascii="MS Gothic"/>
                        <w:color w:val="333333"/>
                      </w:rPr>
                      <w:t>Environment environment) {</w:t>
                    </w:r>
                  </w:p>
                  <w:p w14:paraId="182079D5" w14:textId="77777777" w:rsidR="00711A16" w:rsidRDefault="00711A16">
                    <w:pPr>
                      <w:spacing w:before="12"/>
                      <w:ind w:left="1080"/>
                      <w:rPr>
                        <w:rFonts w:ascii="MS Gothic"/>
                      </w:rPr>
                    </w:pPr>
                    <w:proofErr w:type="gramStart"/>
                    <w:r>
                      <w:rPr>
                        <w:rFonts w:ascii="MS Gothic"/>
                        <w:color w:val="333333"/>
                      </w:rPr>
                      <w:t>this.instanceId</w:t>
                    </w:r>
                    <w:proofErr w:type="gramEnd"/>
                    <w:r>
                      <w:rPr>
                        <w:rFonts w:ascii="MS Gothic"/>
                        <w:color w:val="333333"/>
                      </w:rPr>
                      <w:t xml:space="preserve"> = environment.getProperty("vcap.application.instance_id");</w:t>
                    </w:r>
                  </w:p>
                  <w:p w14:paraId="30EEB0DA" w14:textId="77777777" w:rsidR="00711A16" w:rsidRDefault="00711A16">
                    <w:pPr>
                      <w:spacing w:before="13"/>
                      <w:ind w:left="640"/>
                      <w:rPr>
                        <w:rFonts w:ascii="MS Gothic"/>
                      </w:rPr>
                    </w:pPr>
                    <w:r>
                      <w:rPr>
                        <w:rFonts w:ascii="MS Gothic"/>
                        <w:color w:val="333333"/>
                      </w:rPr>
                      <w:t>}</w:t>
                    </w:r>
                  </w:p>
                  <w:p w14:paraId="5003782E" w14:textId="77777777" w:rsidR="00711A16" w:rsidRDefault="00711A16">
                    <w:pPr>
                      <w:rPr>
                        <w:rFonts w:ascii="MS Gothic"/>
                        <w:sz w:val="24"/>
                      </w:rPr>
                    </w:pPr>
                  </w:p>
                  <w:p w14:paraId="30266683" w14:textId="77777777" w:rsidR="00711A16" w:rsidRDefault="00711A16">
                    <w:pPr>
                      <w:spacing w:before="1"/>
                      <w:ind w:left="640"/>
                      <w:rPr>
                        <w:rFonts w:ascii="MS Gothic"/>
                      </w:rPr>
                    </w:pPr>
                    <w:r>
                      <w:rPr>
                        <w:rFonts w:ascii="MS Gothic"/>
                        <w:color w:val="333333"/>
                      </w:rPr>
                      <w:t>// ...</w:t>
                    </w:r>
                  </w:p>
                  <w:p w14:paraId="4C377559" w14:textId="77777777" w:rsidR="00711A16" w:rsidRDefault="00711A16">
                    <w:pPr>
                      <w:rPr>
                        <w:rFonts w:ascii="MS Gothic"/>
                        <w:sz w:val="24"/>
                      </w:rPr>
                    </w:pPr>
                  </w:p>
                  <w:p w14:paraId="069DB54C" w14:textId="77777777" w:rsidR="00711A16" w:rsidRDefault="00711A16">
                    <w:pPr>
                      <w:ind w:left="200"/>
                      <w:rPr>
                        <w:rFonts w:ascii="MS Gothic"/>
                      </w:rPr>
                    </w:pPr>
                    <w:r>
                      <w:rPr>
                        <w:rFonts w:ascii="MS Gothic"/>
                        <w:color w:val="333333"/>
                      </w:rPr>
                      <w:t>}</w:t>
                    </w:r>
                  </w:p>
                </w:txbxContent>
              </v:textbox>
            </v:shape>
            <w10:wrap type="topAndBottom" anchorx="page"/>
          </v:group>
        </w:pict>
      </w:r>
    </w:p>
    <w:p w14:paraId="4D023A7F" w14:textId="77777777" w:rsidR="00A720EB" w:rsidRDefault="00A720EB">
      <w:pPr>
        <w:pStyle w:val="a3"/>
        <w:spacing w:before="11"/>
        <w:rPr>
          <w:sz w:val="9"/>
        </w:rPr>
      </w:pPr>
    </w:p>
    <w:p w14:paraId="698B01AF" w14:textId="77777777" w:rsidR="00A720EB" w:rsidRDefault="0030286B">
      <w:pPr>
        <w:pStyle w:val="a3"/>
        <w:spacing w:before="115" w:line="302" w:lineRule="auto"/>
        <w:ind w:left="124" w:right="124"/>
        <w:jc w:val="both"/>
      </w:pPr>
      <w:r>
        <w:rPr>
          <w:color w:val="333333"/>
          <w:w w:val="110"/>
        </w:rPr>
        <w:t xml:space="preserve">All Cloud Foundry properties are prefixed with </w:t>
      </w:r>
      <w:r>
        <w:rPr>
          <w:rFonts w:ascii="MS Gothic" w:hAnsi="MS Gothic"/>
          <w:color w:val="B02045"/>
          <w:w w:val="110"/>
        </w:rPr>
        <w:t>vcap</w:t>
      </w:r>
      <w:r>
        <w:rPr>
          <w:color w:val="333333"/>
          <w:w w:val="110"/>
        </w:rPr>
        <w:t xml:space="preserve">. </w:t>
      </w:r>
      <w:r>
        <w:rPr>
          <w:color w:val="333333"/>
          <w:spacing w:val="-6"/>
          <w:w w:val="110"/>
        </w:rPr>
        <w:t xml:space="preserve">You </w:t>
      </w:r>
      <w:r>
        <w:rPr>
          <w:color w:val="333333"/>
          <w:w w:val="110"/>
        </w:rPr>
        <w:t xml:space="preserve">can use </w:t>
      </w:r>
      <w:r>
        <w:rPr>
          <w:rFonts w:ascii="MS Gothic" w:hAnsi="MS Gothic"/>
          <w:color w:val="B02045"/>
          <w:w w:val="110"/>
        </w:rPr>
        <w:t xml:space="preserve">vcap </w:t>
      </w:r>
      <w:r>
        <w:rPr>
          <w:color w:val="333333"/>
          <w:w w:val="110"/>
        </w:rPr>
        <w:t xml:space="preserve">properties to access application information (such as the public URL of the application) and service information (such     as database credentials). See the </w:t>
      </w:r>
      <w:hyperlink r:id="rId534">
        <w:r>
          <w:rPr>
            <w:color w:val="418BCA"/>
            <w:w w:val="110"/>
          </w:rPr>
          <w:t>‘CloudFoundryVcapEnvironmentPostProcessor’</w:t>
        </w:r>
      </w:hyperlink>
      <w:r>
        <w:rPr>
          <w:color w:val="418BCA"/>
          <w:w w:val="110"/>
        </w:rPr>
        <w:t xml:space="preserve"> </w:t>
      </w:r>
      <w:r>
        <w:rPr>
          <w:color w:val="333333"/>
          <w:w w:val="110"/>
        </w:rPr>
        <w:t>Javadoc for complete</w:t>
      </w:r>
      <w:r>
        <w:rPr>
          <w:color w:val="333333"/>
          <w:spacing w:val="3"/>
          <w:w w:val="110"/>
        </w:rPr>
        <w:t xml:space="preserve"> </w:t>
      </w:r>
      <w:r>
        <w:rPr>
          <w:color w:val="333333"/>
          <w:w w:val="110"/>
        </w:rPr>
        <w:t>details.</w:t>
      </w:r>
    </w:p>
    <w:p w14:paraId="14CC97D4" w14:textId="77777777" w:rsidR="00A720EB" w:rsidRDefault="00E10349">
      <w:pPr>
        <w:pStyle w:val="a3"/>
        <w:spacing w:before="200"/>
        <w:ind w:left="561"/>
      </w:pPr>
      <w:r>
        <w:pict w14:anchorId="3A6A44D9">
          <v:line id="_x0000_s1895" style="position:absolute;left:0;text-align:left;z-index:-41251328;mso-position-horizontal-relative:page" from="108.25pt,10.2pt" to="108.25pt,33.95pt" strokecolor="#ededed" strokeweight=".5pt">
            <w10:wrap anchorx="page"/>
          </v:line>
        </w:pict>
      </w:r>
      <w:r w:rsidR="0030286B">
        <w:rPr>
          <w:noProof/>
          <w:position w:val="-15"/>
        </w:rPr>
        <w:drawing>
          <wp:inline distT="0" distB="0" distL="0" distR="0" wp14:anchorId="19DFF946" wp14:editId="406AADFF">
            <wp:extent cx="209550" cy="304800"/>
            <wp:effectExtent l="0" t="0" r="0" b="0"/>
            <wp:docPr id="6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1.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The</w:t>
      </w:r>
      <w:r w:rsidR="0030286B">
        <w:rPr>
          <w:color w:val="333333"/>
          <w:spacing w:val="5"/>
          <w:w w:val="110"/>
        </w:rPr>
        <w:t xml:space="preserve"> </w:t>
      </w:r>
      <w:hyperlink r:id="rId535">
        <w:r w:rsidR="0030286B">
          <w:rPr>
            <w:color w:val="418BCA"/>
            <w:w w:val="110"/>
          </w:rPr>
          <w:t>Java</w:t>
        </w:r>
        <w:r w:rsidR="0030286B">
          <w:rPr>
            <w:color w:val="418BCA"/>
            <w:spacing w:val="4"/>
            <w:w w:val="110"/>
          </w:rPr>
          <w:t xml:space="preserve"> </w:t>
        </w:r>
        <w:r w:rsidR="0030286B">
          <w:rPr>
            <w:color w:val="418BCA"/>
            <w:w w:val="110"/>
          </w:rPr>
          <w:t>CFEnv</w:t>
        </w:r>
        <w:r w:rsidR="0030286B">
          <w:rPr>
            <w:color w:val="418BCA"/>
            <w:spacing w:val="6"/>
            <w:w w:val="110"/>
          </w:rPr>
          <w:t xml:space="preserve"> </w:t>
        </w:r>
      </w:hyperlink>
      <w:r w:rsidR="0030286B">
        <w:rPr>
          <w:color w:val="333333"/>
          <w:w w:val="110"/>
        </w:rPr>
        <w:t>project</w:t>
      </w:r>
      <w:r w:rsidR="0030286B">
        <w:rPr>
          <w:color w:val="333333"/>
          <w:spacing w:val="4"/>
          <w:w w:val="110"/>
        </w:rPr>
        <w:t xml:space="preserve"> </w:t>
      </w:r>
      <w:r w:rsidR="0030286B">
        <w:rPr>
          <w:color w:val="333333"/>
          <w:w w:val="110"/>
        </w:rPr>
        <w:t>is</w:t>
      </w:r>
      <w:r w:rsidR="0030286B">
        <w:rPr>
          <w:color w:val="333333"/>
          <w:spacing w:val="5"/>
          <w:w w:val="110"/>
        </w:rPr>
        <w:t xml:space="preserve"> </w:t>
      </w:r>
      <w:r w:rsidR="0030286B">
        <w:rPr>
          <w:color w:val="333333"/>
          <w:w w:val="110"/>
        </w:rPr>
        <w:t>a</w:t>
      </w:r>
      <w:r w:rsidR="0030286B">
        <w:rPr>
          <w:color w:val="333333"/>
          <w:spacing w:val="4"/>
          <w:w w:val="110"/>
        </w:rPr>
        <w:t xml:space="preserve"> </w:t>
      </w:r>
      <w:r w:rsidR="0030286B">
        <w:rPr>
          <w:color w:val="333333"/>
          <w:w w:val="110"/>
        </w:rPr>
        <w:t>better</w:t>
      </w:r>
      <w:r w:rsidR="0030286B">
        <w:rPr>
          <w:color w:val="333333"/>
          <w:spacing w:val="4"/>
          <w:w w:val="110"/>
        </w:rPr>
        <w:t xml:space="preserve"> </w:t>
      </w:r>
      <w:r w:rsidR="0030286B">
        <w:rPr>
          <w:color w:val="333333"/>
          <w:w w:val="110"/>
        </w:rPr>
        <w:t>fit</w:t>
      </w:r>
      <w:r w:rsidR="0030286B">
        <w:rPr>
          <w:color w:val="333333"/>
          <w:spacing w:val="5"/>
          <w:w w:val="110"/>
        </w:rPr>
        <w:t xml:space="preserve"> </w:t>
      </w:r>
      <w:r w:rsidR="0030286B">
        <w:rPr>
          <w:color w:val="333333"/>
          <w:w w:val="110"/>
        </w:rPr>
        <w:t>for</w:t>
      </w:r>
      <w:r w:rsidR="0030286B">
        <w:rPr>
          <w:color w:val="333333"/>
          <w:spacing w:val="6"/>
          <w:w w:val="110"/>
        </w:rPr>
        <w:t xml:space="preserve"> </w:t>
      </w:r>
      <w:r w:rsidR="0030286B">
        <w:rPr>
          <w:color w:val="333333"/>
          <w:w w:val="110"/>
        </w:rPr>
        <w:t>tasks</w:t>
      </w:r>
      <w:r w:rsidR="0030286B">
        <w:rPr>
          <w:color w:val="333333"/>
          <w:spacing w:val="5"/>
          <w:w w:val="110"/>
        </w:rPr>
        <w:t xml:space="preserve"> </w:t>
      </w:r>
      <w:r w:rsidR="0030286B">
        <w:rPr>
          <w:color w:val="333333"/>
          <w:w w:val="110"/>
        </w:rPr>
        <w:t>such</w:t>
      </w:r>
      <w:r w:rsidR="0030286B">
        <w:rPr>
          <w:color w:val="333333"/>
          <w:spacing w:val="5"/>
          <w:w w:val="110"/>
        </w:rPr>
        <w:t xml:space="preserve"> </w:t>
      </w:r>
      <w:r w:rsidR="0030286B">
        <w:rPr>
          <w:color w:val="333333"/>
          <w:w w:val="110"/>
        </w:rPr>
        <w:t>as</w:t>
      </w:r>
      <w:r w:rsidR="0030286B">
        <w:rPr>
          <w:color w:val="333333"/>
          <w:spacing w:val="4"/>
          <w:w w:val="110"/>
        </w:rPr>
        <w:t xml:space="preserve"> </w:t>
      </w:r>
      <w:r w:rsidR="0030286B">
        <w:rPr>
          <w:color w:val="333333"/>
          <w:w w:val="110"/>
        </w:rPr>
        <w:t>configuring</w:t>
      </w:r>
      <w:r w:rsidR="0030286B">
        <w:rPr>
          <w:color w:val="333333"/>
          <w:spacing w:val="6"/>
          <w:w w:val="110"/>
        </w:rPr>
        <w:t xml:space="preserve"> </w:t>
      </w:r>
      <w:r w:rsidR="0030286B">
        <w:rPr>
          <w:color w:val="333333"/>
          <w:w w:val="110"/>
        </w:rPr>
        <w:t>a</w:t>
      </w:r>
      <w:r w:rsidR="0030286B">
        <w:rPr>
          <w:color w:val="333333"/>
          <w:spacing w:val="4"/>
          <w:w w:val="110"/>
        </w:rPr>
        <w:t xml:space="preserve"> </w:t>
      </w:r>
      <w:r w:rsidR="0030286B">
        <w:rPr>
          <w:color w:val="333333"/>
          <w:w w:val="110"/>
        </w:rPr>
        <w:t>DataSource.</w:t>
      </w:r>
    </w:p>
    <w:p w14:paraId="07E96028" w14:textId="77777777" w:rsidR="00A720EB" w:rsidRDefault="0030286B">
      <w:pPr>
        <w:pStyle w:val="3"/>
        <w:numPr>
          <w:ilvl w:val="2"/>
          <w:numId w:val="20"/>
        </w:numPr>
        <w:tabs>
          <w:tab w:val="left" w:pos="858"/>
        </w:tabs>
        <w:spacing w:before="340"/>
        <w:ind w:hanging="734"/>
      </w:pPr>
      <w:bookmarkStart w:id="694" w:name="6.2.2._Kubernetes"/>
      <w:bookmarkStart w:id="695" w:name="_Toc54423882"/>
      <w:bookmarkEnd w:id="694"/>
      <w:r>
        <w:rPr>
          <w:color w:val="333333"/>
          <w:w w:val="110"/>
        </w:rPr>
        <w:t>Kubernetes</w:t>
      </w:r>
      <w:bookmarkEnd w:id="695"/>
    </w:p>
    <w:p w14:paraId="1F1AA497" w14:textId="77777777" w:rsidR="00A720EB" w:rsidRDefault="0030286B">
      <w:pPr>
        <w:pStyle w:val="a3"/>
        <w:spacing w:before="254" w:line="290" w:lineRule="auto"/>
        <w:ind w:left="124" w:right="125"/>
        <w:jc w:val="both"/>
      </w:pPr>
      <w:r>
        <w:rPr>
          <w:color w:val="333333"/>
          <w:w w:val="110"/>
        </w:rPr>
        <w:t xml:space="preserve">Spring Boot auto-detects Kubernetes deployment environments </w:t>
      </w:r>
      <w:r>
        <w:rPr>
          <w:color w:val="333333"/>
          <w:spacing w:val="-3"/>
          <w:w w:val="110"/>
        </w:rPr>
        <w:t xml:space="preserve">by </w:t>
      </w:r>
      <w:r>
        <w:rPr>
          <w:color w:val="333333"/>
          <w:w w:val="110"/>
        </w:rPr>
        <w:t xml:space="preserve">checking the environment </w:t>
      </w:r>
      <w:proofErr w:type="gramStart"/>
      <w:r>
        <w:rPr>
          <w:color w:val="333333"/>
          <w:w w:val="110"/>
        </w:rPr>
        <w:t xml:space="preserve">for  </w:t>
      </w:r>
      <w:r>
        <w:rPr>
          <w:rFonts w:ascii="MS Gothic"/>
          <w:color w:val="B02045"/>
          <w:w w:val="110"/>
        </w:rPr>
        <w:t>"</w:t>
      </w:r>
      <w:proofErr w:type="gramEnd"/>
      <w:r>
        <w:rPr>
          <w:rFonts w:ascii="MS Gothic"/>
          <w:color w:val="B02045"/>
          <w:w w:val="110"/>
        </w:rPr>
        <w:t xml:space="preserve">*_SERVICE_HOST" </w:t>
      </w:r>
      <w:r>
        <w:rPr>
          <w:color w:val="333333"/>
          <w:w w:val="110"/>
        </w:rPr>
        <w:t xml:space="preserve">and </w:t>
      </w:r>
      <w:r>
        <w:rPr>
          <w:rFonts w:ascii="MS Gothic"/>
          <w:color w:val="B02045"/>
          <w:w w:val="110"/>
        </w:rPr>
        <w:t xml:space="preserve">"*_SERVICE_PORT" </w:t>
      </w:r>
      <w:r>
        <w:rPr>
          <w:color w:val="333333"/>
          <w:w w:val="110"/>
        </w:rPr>
        <w:t xml:space="preserve">variables. </w:t>
      </w:r>
      <w:r>
        <w:rPr>
          <w:color w:val="333333"/>
          <w:spacing w:val="-6"/>
          <w:w w:val="110"/>
        </w:rPr>
        <w:t xml:space="preserve">You </w:t>
      </w:r>
      <w:r>
        <w:rPr>
          <w:color w:val="333333"/>
          <w:w w:val="110"/>
        </w:rPr>
        <w:t xml:space="preserve">can override this detection with the </w:t>
      </w:r>
      <w:proofErr w:type="gramStart"/>
      <w:r>
        <w:rPr>
          <w:rFonts w:ascii="MS Gothic"/>
          <w:color w:val="B02045"/>
          <w:w w:val="110"/>
        </w:rPr>
        <w:t>spring.main</w:t>
      </w:r>
      <w:proofErr w:type="gramEnd"/>
      <w:r>
        <w:rPr>
          <w:rFonts w:ascii="MS Gothic"/>
          <w:color w:val="B02045"/>
          <w:w w:val="110"/>
        </w:rPr>
        <w:t>.cloud-platform</w:t>
      </w:r>
      <w:r>
        <w:rPr>
          <w:rFonts w:ascii="MS Gothic"/>
          <w:color w:val="B02045"/>
          <w:spacing w:val="-65"/>
          <w:w w:val="110"/>
        </w:rPr>
        <w:t xml:space="preserve"> </w:t>
      </w:r>
      <w:r>
        <w:rPr>
          <w:color w:val="333333"/>
          <w:w w:val="110"/>
        </w:rPr>
        <w:t xml:space="preserve">configuration </w:t>
      </w:r>
      <w:r>
        <w:rPr>
          <w:color w:val="333333"/>
          <w:spacing w:val="-3"/>
          <w:w w:val="110"/>
        </w:rPr>
        <w:t>property.</w:t>
      </w:r>
    </w:p>
    <w:p w14:paraId="5C290853" w14:textId="77777777" w:rsidR="00A720EB" w:rsidRDefault="0030286B">
      <w:pPr>
        <w:pStyle w:val="a3"/>
        <w:spacing w:before="238" w:line="307" w:lineRule="auto"/>
        <w:ind w:left="124" w:right="124"/>
        <w:jc w:val="both"/>
      </w:pPr>
      <w:r>
        <w:rPr>
          <w:color w:val="333333"/>
          <w:w w:val="110"/>
        </w:rPr>
        <w:t xml:space="preserve">Spring Boot helps you to </w:t>
      </w:r>
      <w:hyperlink w:anchor="_bookmark91" w:history="1">
        <w:r>
          <w:rPr>
            <w:color w:val="418BCA"/>
            <w:w w:val="110"/>
          </w:rPr>
          <w:t xml:space="preserve">manage the state of your application </w:t>
        </w:r>
      </w:hyperlink>
      <w:r>
        <w:rPr>
          <w:color w:val="333333"/>
          <w:w w:val="110"/>
        </w:rPr>
        <w:t xml:space="preserve">and export it with </w:t>
      </w:r>
      <w:hyperlink w:anchor="_bookmark398" w:history="1">
        <w:r>
          <w:rPr>
            <w:color w:val="418BCA"/>
            <w:w w:val="110"/>
          </w:rPr>
          <w:t>HTTP Kubernetes</w:t>
        </w:r>
      </w:hyperlink>
      <w:r>
        <w:rPr>
          <w:color w:val="418BCA"/>
          <w:w w:val="110"/>
        </w:rPr>
        <w:t xml:space="preserve"> </w:t>
      </w:r>
      <w:hyperlink w:anchor="_bookmark398" w:history="1">
        <w:r>
          <w:rPr>
            <w:color w:val="418BCA"/>
            <w:w w:val="110"/>
          </w:rPr>
          <w:t>Probes using Actuator</w:t>
        </w:r>
      </w:hyperlink>
      <w:r>
        <w:rPr>
          <w:color w:val="333333"/>
          <w:w w:val="110"/>
        </w:rPr>
        <w:t>.</w:t>
      </w:r>
    </w:p>
    <w:p w14:paraId="2D313F54" w14:textId="77777777" w:rsidR="00A720EB" w:rsidRDefault="00A720EB">
      <w:pPr>
        <w:pStyle w:val="a3"/>
        <w:spacing w:before="8"/>
        <w:rPr>
          <w:sz w:val="25"/>
        </w:rPr>
      </w:pPr>
    </w:p>
    <w:p w14:paraId="555757ED" w14:textId="77777777" w:rsidR="00A720EB" w:rsidRDefault="0030286B">
      <w:pPr>
        <w:pStyle w:val="4"/>
      </w:pPr>
      <w:bookmarkStart w:id="696" w:name="Kubernetes_Container_Lifecycle"/>
      <w:bookmarkEnd w:id="696"/>
      <w:r>
        <w:rPr>
          <w:color w:val="333333"/>
          <w:w w:val="110"/>
        </w:rPr>
        <w:t>Kubernetes Container Lifecycle</w:t>
      </w:r>
    </w:p>
    <w:p w14:paraId="12D4F3D8" w14:textId="77777777" w:rsidR="00A720EB" w:rsidRDefault="00A720EB">
      <w:pPr>
        <w:pStyle w:val="a3"/>
        <w:spacing w:before="11"/>
        <w:rPr>
          <w:rFonts w:ascii="Palatino Linotype"/>
          <w:b/>
          <w:sz w:val="18"/>
        </w:rPr>
      </w:pPr>
    </w:p>
    <w:p w14:paraId="0E9B69A8" w14:textId="77777777" w:rsidR="00A720EB" w:rsidRDefault="0030286B">
      <w:pPr>
        <w:pStyle w:val="a3"/>
        <w:spacing w:line="307" w:lineRule="auto"/>
        <w:ind w:left="124" w:right="129"/>
        <w:jc w:val="both"/>
      </w:pPr>
      <w:r>
        <w:rPr>
          <w:color w:val="333333"/>
          <w:w w:val="110"/>
        </w:rPr>
        <w:t xml:space="preserve">When Kubernetes deletes an application instance, the shutdown process involves </w:t>
      </w:r>
      <w:proofErr w:type="gramStart"/>
      <w:r>
        <w:rPr>
          <w:color w:val="333333"/>
          <w:w w:val="110"/>
        </w:rPr>
        <w:t>several  subsystems</w:t>
      </w:r>
      <w:proofErr w:type="gramEnd"/>
      <w:r>
        <w:rPr>
          <w:color w:val="333333"/>
          <w:spacing w:val="30"/>
          <w:w w:val="110"/>
        </w:rPr>
        <w:t xml:space="preserve"> </w:t>
      </w:r>
      <w:r>
        <w:rPr>
          <w:color w:val="333333"/>
          <w:w w:val="110"/>
        </w:rPr>
        <w:t>concurrently:</w:t>
      </w:r>
      <w:r>
        <w:rPr>
          <w:color w:val="333333"/>
          <w:spacing w:val="30"/>
          <w:w w:val="110"/>
        </w:rPr>
        <w:t xml:space="preserve"> </w:t>
      </w:r>
      <w:r>
        <w:rPr>
          <w:color w:val="333333"/>
          <w:w w:val="110"/>
        </w:rPr>
        <w:t>shutdown</w:t>
      </w:r>
      <w:r>
        <w:rPr>
          <w:color w:val="333333"/>
          <w:spacing w:val="30"/>
          <w:w w:val="110"/>
        </w:rPr>
        <w:t xml:space="preserve"> </w:t>
      </w:r>
      <w:r>
        <w:rPr>
          <w:color w:val="333333"/>
          <w:w w:val="110"/>
        </w:rPr>
        <w:t>hooks,</w:t>
      </w:r>
      <w:r>
        <w:rPr>
          <w:color w:val="333333"/>
          <w:spacing w:val="29"/>
          <w:w w:val="110"/>
        </w:rPr>
        <w:t xml:space="preserve"> </w:t>
      </w:r>
      <w:r>
        <w:rPr>
          <w:color w:val="333333"/>
          <w:w w:val="110"/>
        </w:rPr>
        <w:t>unregistering</w:t>
      </w:r>
      <w:r>
        <w:rPr>
          <w:color w:val="333333"/>
          <w:spacing w:val="29"/>
          <w:w w:val="110"/>
        </w:rPr>
        <w:t xml:space="preserve"> </w:t>
      </w:r>
      <w:r>
        <w:rPr>
          <w:color w:val="333333"/>
          <w:w w:val="110"/>
        </w:rPr>
        <w:t>the</w:t>
      </w:r>
      <w:r>
        <w:rPr>
          <w:color w:val="333333"/>
          <w:spacing w:val="30"/>
          <w:w w:val="110"/>
        </w:rPr>
        <w:t xml:space="preserve"> </w:t>
      </w:r>
      <w:r>
        <w:rPr>
          <w:color w:val="333333"/>
          <w:w w:val="110"/>
        </w:rPr>
        <w:t>service,</w:t>
      </w:r>
      <w:r>
        <w:rPr>
          <w:color w:val="333333"/>
          <w:spacing w:val="31"/>
          <w:w w:val="110"/>
        </w:rPr>
        <w:t xml:space="preserve"> </w:t>
      </w:r>
      <w:r>
        <w:rPr>
          <w:color w:val="333333"/>
          <w:w w:val="110"/>
        </w:rPr>
        <w:t>removing</w:t>
      </w:r>
      <w:r>
        <w:rPr>
          <w:color w:val="333333"/>
          <w:spacing w:val="30"/>
          <w:w w:val="110"/>
        </w:rPr>
        <w:t xml:space="preserve"> </w:t>
      </w:r>
      <w:r>
        <w:rPr>
          <w:color w:val="333333"/>
          <w:w w:val="110"/>
        </w:rPr>
        <w:t>the</w:t>
      </w:r>
      <w:r>
        <w:rPr>
          <w:color w:val="333333"/>
          <w:spacing w:val="30"/>
          <w:w w:val="110"/>
        </w:rPr>
        <w:t xml:space="preserve"> </w:t>
      </w:r>
      <w:r>
        <w:rPr>
          <w:color w:val="333333"/>
          <w:w w:val="110"/>
        </w:rPr>
        <w:t>instance</w:t>
      </w:r>
      <w:r>
        <w:rPr>
          <w:color w:val="333333"/>
          <w:spacing w:val="29"/>
          <w:w w:val="110"/>
        </w:rPr>
        <w:t xml:space="preserve"> </w:t>
      </w:r>
      <w:r>
        <w:rPr>
          <w:color w:val="333333"/>
          <w:w w:val="110"/>
        </w:rPr>
        <w:t>from</w:t>
      </w:r>
    </w:p>
    <w:p w14:paraId="7B3110BE" w14:textId="77777777" w:rsidR="00A720EB" w:rsidRDefault="00A720EB">
      <w:pPr>
        <w:spacing w:line="307" w:lineRule="auto"/>
        <w:jc w:val="both"/>
        <w:sectPr w:rsidR="00A720EB">
          <w:pgSz w:w="11910" w:h="16840"/>
          <w:pgMar w:top="620" w:right="840" w:bottom="520" w:left="840" w:header="0" w:footer="323" w:gutter="0"/>
          <w:cols w:space="720"/>
        </w:sectPr>
      </w:pPr>
    </w:p>
    <w:p w14:paraId="245C4A80" w14:textId="77777777" w:rsidR="00A720EB" w:rsidRDefault="0030286B">
      <w:pPr>
        <w:pStyle w:val="a3"/>
        <w:spacing w:before="107" w:line="307" w:lineRule="auto"/>
        <w:ind w:left="124" w:right="129"/>
        <w:jc w:val="both"/>
      </w:pPr>
      <w:r>
        <w:rPr>
          <w:color w:val="333333"/>
          <w:w w:val="110"/>
        </w:rPr>
        <w:lastRenderedPageBreak/>
        <w:t>the load-balancer… Because this shutdown processing happens in parallel (and due to the nature of distributed systems), there is a window during which traffic can be routed to a pod that has also begun its shutdown processing.</w:t>
      </w:r>
    </w:p>
    <w:p w14:paraId="03A2E58C" w14:textId="77777777" w:rsidR="00A720EB" w:rsidRDefault="0030286B">
      <w:pPr>
        <w:pStyle w:val="a3"/>
        <w:spacing w:before="241" w:line="307" w:lineRule="auto"/>
        <w:ind w:left="124" w:right="128"/>
        <w:jc w:val="both"/>
      </w:pPr>
      <w:proofErr w:type="gramStart"/>
      <w:r>
        <w:rPr>
          <w:color w:val="333333"/>
          <w:spacing w:val="-6"/>
          <w:w w:val="110"/>
        </w:rPr>
        <w:t xml:space="preserve">You  </w:t>
      </w:r>
      <w:r>
        <w:rPr>
          <w:color w:val="333333"/>
          <w:w w:val="110"/>
        </w:rPr>
        <w:t>can</w:t>
      </w:r>
      <w:proofErr w:type="gramEnd"/>
      <w:r>
        <w:rPr>
          <w:color w:val="333333"/>
          <w:w w:val="110"/>
        </w:rPr>
        <w:t xml:space="preserve"> configure a sleep execution in a preStop handler to avoid requests being routed to a pod  that has already begun shutting down. This sleep should be long enough for new requests to stop being routed to the pod and its duration will vary from deployment to deployment. The preStop handler</w:t>
      </w:r>
      <w:r>
        <w:rPr>
          <w:color w:val="333333"/>
          <w:spacing w:val="4"/>
          <w:w w:val="110"/>
        </w:rPr>
        <w:t xml:space="preserve"> </w:t>
      </w:r>
      <w:r>
        <w:rPr>
          <w:color w:val="333333"/>
          <w:w w:val="110"/>
        </w:rPr>
        <w:t>can</w:t>
      </w:r>
      <w:r>
        <w:rPr>
          <w:color w:val="333333"/>
          <w:spacing w:val="5"/>
          <w:w w:val="110"/>
        </w:rPr>
        <w:t xml:space="preserve"> </w:t>
      </w:r>
      <w:r>
        <w:rPr>
          <w:color w:val="333333"/>
          <w:w w:val="110"/>
        </w:rPr>
        <w:t>be</w:t>
      </w:r>
      <w:r>
        <w:rPr>
          <w:color w:val="333333"/>
          <w:spacing w:val="4"/>
          <w:w w:val="110"/>
        </w:rPr>
        <w:t xml:space="preserve"> </w:t>
      </w:r>
      <w:r>
        <w:rPr>
          <w:color w:val="333333"/>
          <w:w w:val="110"/>
        </w:rPr>
        <w:t>configured</w:t>
      </w:r>
      <w:r>
        <w:rPr>
          <w:color w:val="333333"/>
          <w:spacing w:val="5"/>
          <w:w w:val="110"/>
        </w:rPr>
        <w:t xml:space="preserve"> </w:t>
      </w:r>
      <w:r>
        <w:rPr>
          <w:color w:val="333333"/>
          <w:w w:val="110"/>
        </w:rPr>
        <w:t>via</w:t>
      </w:r>
      <w:r>
        <w:rPr>
          <w:color w:val="333333"/>
          <w:spacing w:val="6"/>
          <w:w w:val="110"/>
        </w:rPr>
        <w:t xml:space="preserve"> </w:t>
      </w:r>
      <w:r>
        <w:rPr>
          <w:color w:val="333333"/>
          <w:w w:val="110"/>
        </w:rPr>
        <w:t>the</w:t>
      </w:r>
      <w:r>
        <w:rPr>
          <w:color w:val="333333"/>
          <w:spacing w:val="5"/>
          <w:w w:val="110"/>
        </w:rPr>
        <w:t xml:space="preserve"> </w:t>
      </w:r>
      <w:r>
        <w:rPr>
          <w:color w:val="333333"/>
          <w:w w:val="110"/>
        </w:rPr>
        <w:t>PodSpec</w:t>
      </w:r>
      <w:r>
        <w:rPr>
          <w:color w:val="333333"/>
          <w:spacing w:val="5"/>
          <w:w w:val="110"/>
        </w:rPr>
        <w:t xml:space="preserve"> </w:t>
      </w:r>
      <w:r>
        <w:rPr>
          <w:color w:val="333333"/>
          <w:w w:val="110"/>
        </w:rPr>
        <w:t>in</w:t>
      </w:r>
      <w:r>
        <w:rPr>
          <w:color w:val="333333"/>
          <w:spacing w:val="4"/>
          <w:w w:val="110"/>
        </w:rPr>
        <w:t xml:space="preserve"> </w:t>
      </w:r>
      <w:r>
        <w:rPr>
          <w:color w:val="333333"/>
          <w:w w:val="110"/>
        </w:rPr>
        <w:t>the</w:t>
      </w:r>
      <w:r>
        <w:rPr>
          <w:color w:val="333333"/>
          <w:spacing w:val="6"/>
          <w:w w:val="110"/>
        </w:rPr>
        <w:t xml:space="preserve"> </w:t>
      </w:r>
      <w:r>
        <w:rPr>
          <w:color w:val="333333"/>
          <w:w w:val="110"/>
        </w:rPr>
        <w:t>pod’s</w:t>
      </w:r>
      <w:r>
        <w:rPr>
          <w:color w:val="333333"/>
          <w:spacing w:val="4"/>
          <w:w w:val="110"/>
        </w:rPr>
        <w:t xml:space="preserve"> </w:t>
      </w:r>
      <w:r>
        <w:rPr>
          <w:color w:val="333333"/>
          <w:w w:val="110"/>
        </w:rPr>
        <w:t>configuration</w:t>
      </w:r>
      <w:r>
        <w:rPr>
          <w:color w:val="333333"/>
          <w:spacing w:val="4"/>
          <w:w w:val="110"/>
        </w:rPr>
        <w:t xml:space="preserve"> </w:t>
      </w:r>
      <w:r>
        <w:rPr>
          <w:color w:val="333333"/>
          <w:w w:val="110"/>
        </w:rPr>
        <w:t>file</w:t>
      </w:r>
      <w:r>
        <w:rPr>
          <w:color w:val="333333"/>
          <w:spacing w:val="5"/>
          <w:w w:val="110"/>
        </w:rPr>
        <w:t xml:space="preserve"> </w:t>
      </w:r>
      <w:r>
        <w:rPr>
          <w:color w:val="333333"/>
          <w:w w:val="110"/>
        </w:rPr>
        <w:t>as</w:t>
      </w:r>
      <w:r>
        <w:rPr>
          <w:color w:val="333333"/>
          <w:spacing w:val="5"/>
          <w:w w:val="110"/>
        </w:rPr>
        <w:t xml:space="preserve"> </w:t>
      </w:r>
      <w:r>
        <w:rPr>
          <w:color w:val="333333"/>
          <w:w w:val="110"/>
        </w:rPr>
        <w:t>follows:</w:t>
      </w:r>
    </w:p>
    <w:p w14:paraId="1B4CE58F" w14:textId="77777777" w:rsidR="00A720EB" w:rsidRDefault="00E10349">
      <w:pPr>
        <w:pStyle w:val="a3"/>
        <w:spacing w:before="3"/>
        <w:rPr>
          <w:sz w:val="13"/>
        </w:rPr>
      </w:pPr>
      <w:r>
        <w:pict w14:anchorId="57A1F8FC">
          <v:group id="_x0000_s1891" style="position:absolute;margin-left:47.85pt;margin-top:9.75pt;width:499.55pt;height:140.7pt;z-index:-15173632;mso-wrap-distance-left:0;mso-wrap-distance-right:0;mso-position-horizontal-relative:page" coordorigin="957,195" coordsize="9991,2814">
            <v:shape id="_x0000_s1894" style="position:absolute;left:964;top:202;width:9976;height:2799" coordorigin="965,202" coordsize="9976,2799" path="m10861,202r-9816,l1014,209r-26,17l971,251r-6,31l965,2921r6,31l988,2977r26,18l1045,3001r9816,l10892,2995r25,-18l10935,2952r6,-31l10941,282r-6,-31l10917,226r-25,-17l10861,202xe" fillcolor="#f5f5f5" stroked="f">
              <v:path arrowok="t"/>
            </v:shape>
            <v:shape id="_x0000_s1893" style="position:absolute;left:964;top:202;width:9976;height:2799" coordorigin="965,202" coordsize="9976,2799" path="m1045,202r9816,l10892,209r25,17l10935,251r6,31l10941,2921r-6,31l10917,2977r-25,18l10861,3001r-9816,l1014,2995r-26,-18l971,2952r-6,-31l965,282r6,-31l988,226r26,-17l1045,202xe" filled="f" strokecolor="#ccc">
              <v:path arrowok="t"/>
            </v:shape>
            <v:shape id="_x0000_s1892" type="#_x0000_t202" style="position:absolute;left:984;top:217;width:9938;height:2768" filled="f" stroked="f">
              <v:textbox inset="0,0,0,0">
                <w:txbxContent>
                  <w:p w14:paraId="3066E469" w14:textId="77777777" w:rsidR="00711A16" w:rsidRDefault="00711A16">
                    <w:pPr>
                      <w:spacing w:before="221"/>
                      <w:ind w:left="200"/>
                      <w:rPr>
                        <w:rFonts w:ascii="MS Gothic"/>
                      </w:rPr>
                    </w:pPr>
                    <w:r>
                      <w:rPr>
                        <w:rFonts w:ascii="MS Gothic"/>
                        <w:color w:val="333333"/>
                      </w:rPr>
                      <w:t>spec:</w:t>
                    </w:r>
                  </w:p>
                  <w:p w14:paraId="76554C9C" w14:textId="77777777" w:rsidR="00711A16" w:rsidRDefault="00711A16">
                    <w:pPr>
                      <w:spacing w:before="13"/>
                      <w:ind w:left="420"/>
                      <w:rPr>
                        <w:rFonts w:ascii="MS Gothic"/>
                      </w:rPr>
                    </w:pPr>
                    <w:r>
                      <w:rPr>
                        <w:rFonts w:ascii="MS Gothic"/>
                        <w:color w:val="333333"/>
                      </w:rPr>
                      <w:t>containers:</w:t>
                    </w:r>
                  </w:p>
                  <w:p w14:paraId="4168ECEA" w14:textId="77777777" w:rsidR="00711A16" w:rsidRDefault="00711A16">
                    <w:pPr>
                      <w:spacing w:before="13" w:line="252" w:lineRule="auto"/>
                      <w:ind w:left="640" w:right="6748" w:hanging="220"/>
                      <w:rPr>
                        <w:rFonts w:ascii="MS Gothic"/>
                      </w:rPr>
                    </w:pPr>
                    <w:r>
                      <w:rPr>
                        <w:rFonts w:ascii="MS Gothic"/>
                        <w:color w:val="333333"/>
                      </w:rPr>
                      <w:t>- name: example-container image: example-image lifecycle:</w:t>
                    </w:r>
                  </w:p>
                  <w:p w14:paraId="7155AABE" w14:textId="77777777" w:rsidR="00711A16" w:rsidRDefault="00711A16">
                    <w:pPr>
                      <w:spacing w:line="252" w:lineRule="auto"/>
                      <w:ind w:left="1080" w:right="8178" w:hanging="220"/>
                      <w:rPr>
                        <w:rFonts w:ascii="MS Gothic"/>
                      </w:rPr>
                    </w:pPr>
                    <w:r>
                      <w:rPr>
                        <w:rFonts w:ascii="MS Gothic"/>
                        <w:color w:val="333333"/>
                      </w:rPr>
                      <w:t>preStop: exec:</w:t>
                    </w:r>
                  </w:p>
                  <w:p w14:paraId="7E841DC7" w14:textId="77777777" w:rsidR="00711A16" w:rsidRDefault="00711A16">
                    <w:pPr>
                      <w:spacing w:line="280" w:lineRule="exact"/>
                      <w:ind w:left="1300"/>
                      <w:rPr>
                        <w:rFonts w:ascii="MS Gothic"/>
                      </w:rPr>
                    </w:pPr>
                    <w:r>
                      <w:rPr>
                        <w:rFonts w:ascii="MS Gothic"/>
                        <w:color w:val="333333"/>
                      </w:rPr>
                      <w:t>command: ["sh", "-c", "sleep 10"]</w:t>
                    </w:r>
                  </w:p>
                </w:txbxContent>
              </v:textbox>
            </v:shape>
            <w10:wrap type="topAndBottom" anchorx="page"/>
          </v:group>
        </w:pict>
      </w:r>
    </w:p>
    <w:p w14:paraId="700F4D2D" w14:textId="77777777" w:rsidR="00A720EB" w:rsidRDefault="00A720EB">
      <w:pPr>
        <w:pStyle w:val="a3"/>
        <w:rPr>
          <w:sz w:val="10"/>
        </w:rPr>
      </w:pPr>
    </w:p>
    <w:p w14:paraId="1610BA53" w14:textId="77777777" w:rsidR="00A720EB" w:rsidRDefault="0030286B">
      <w:pPr>
        <w:pStyle w:val="a3"/>
        <w:spacing w:before="125" w:line="307" w:lineRule="auto"/>
        <w:ind w:left="124" w:right="123"/>
        <w:jc w:val="both"/>
      </w:pPr>
      <w:r>
        <w:rPr>
          <w:color w:val="333333"/>
          <w:w w:val="110"/>
        </w:rPr>
        <w:t xml:space="preserve">Once the pre-stop hook has completed, SIGTERM will be sent to the container and  </w:t>
      </w:r>
      <w:hyperlink w:anchor="_bookmark181" w:history="1">
        <w:r>
          <w:rPr>
            <w:color w:val="418BCA"/>
            <w:w w:val="110"/>
          </w:rPr>
          <w:t>graceful</w:t>
        </w:r>
      </w:hyperlink>
      <w:r>
        <w:rPr>
          <w:color w:val="418BCA"/>
          <w:w w:val="110"/>
        </w:rPr>
        <w:t xml:space="preserve">  </w:t>
      </w:r>
      <w:hyperlink w:anchor="_bookmark181" w:history="1">
        <w:r>
          <w:rPr>
            <w:color w:val="418BCA"/>
            <w:w w:val="110"/>
          </w:rPr>
          <w:t xml:space="preserve">shutdown </w:t>
        </w:r>
      </w:hyperlink>
      <w:r>
        <w:rPr>
          <w:color w:val="333333"/>
          <w:w w:val="110"/>
        </w:rPr>
        <w:t>will begin, allowing any remaining in-flight requests to</w:t>
      </w:r>
      <w:r>
        <w:rPr>
          <w:color w:val="333333"/>
          <w:spacing w:val="33"/>
          <w:w w:val="110"/>
        </w:rPr>
        <w:t xml:space="preserve"> </w:t>
      </w:r>
      <w:r>
        <w:rPr>
          <w:color w:val="333333"/>
          <w:w w:val="110"/>
        </w:rPr>
        <w:t>complete.</w:t>
      </w:r>
    </w:p>
    <w:p w14:paraId="1AC8C91D" w14:textId="77777777" w:rsidR="00A720EB" w:rsidRDefault="00A720EB">
      <w:pPr>
        <w:pStyle w:val="a3"/>
        <w:spacing w:before="9"/>
        <w:rPr>
          <w:sz w:val="25"/>
        </w:rPr>
      </w:pPr>
    </w:p>
    <w:p w14:paraId="23D8118A" w14:textId="77777777" w:rsidR="00A720EB" w:rsidRDefault="0030286B">
      <w:pPr>
        <w:pStyle w:val="3"/>
        <w:numPr>
          <w:ilvl w:val="2"/>
          <w:numId w:val="20"/>
        </w:numPr>
        <w:tabs>
          <w:tab w:val="left" w:pos="858"/>
        </w:tabs>
        <w:ind w:hanging="734"/>
      </w:pPr>
      <w:bookmarkStart w:id="697" w:name="6.2.3._Heroku"/>
      <w:bookmarkStart w:id="698" w:name="_Toc54423883"/>
      <w:bookmarkEnd w:id="697"/>
      <w:r>
        <w:rPr>
          <w:color w:val="333333"/>
          <w:w w:val="110"/>
        </w:rPr>
        <w:t>Heroku</w:t>
      </w:r>
      <w:bookmarkEnd w:id="698"/>
    </w:p>
    <w:p w14:paraId="332590DC" w14:textId="77777777" w:rsidR="00A720EB" w:rsidRDefault="0030286B">
      <w:pPr>
        <w:pStyle w:val="a3"/>
        <w:spacing w:before="243" w:line="285" w:lineRule="auto"/>
        <w:ind w:left="124" w:right="122"/>
        <w:jc w:val="both"/>
      </w:pPr>
      <w:r>
        <w:rPr>
          <w:color w:val="333333"/>
          <w:w w:val="110"/>
        </w:rPr>
        <w:t xml:space="preserve">Heroku is another popular PaaS platform. </w:t>
      </w:r>
      <w:r>
        <w:rPr>
          <w:color w:val="333333"/>
          <w:spacing w:val="-4"/>
          <w:w w:val="110"/>
        </w:rPr>
        <w:t xml:space="preserve">To </w:t>
      </w:r>
      <w:r>
        <w:rPr>
          <w:color w:val="333333"/>
          <w:w w:val="110"/>
        </w:rPr>
        <w:t xml:space="preserve">customize Heroku builds, you provide a </w:t>
      </w:r>
      <w:r>
        <w:rPr>
          <w:rFonts w:ascii="MS Gothic"/>
          <w:color w:val="B02045"/>
          <w:w w:val="110"/>
        </w:rPr>
        <w:t>Procfile</w:t>
      </w:r>
      <w:r>
        <w:rPr>
          <w:color w:val="333333"/>
          <w:w w:val="110"/>
        </w:rPr>
        <w:t xml:space="preserve">, which provides the incantation required to deploy an application. Heroku assigns </w:t>
      </w:r>
      <w:proofErr w:type="gramStart"/>
      <w:r>
        <w:rPr>
          <w:color w:val="333333"/>
          <w:w w:val="110"/>
        </w:rPr>
        <w:t xml:space="preserve">a  </w:t>
      </w:r>
      <w:r>
        <w:rPr>
          <w:rFonts w:ascii="MS Gothic"/>
          <w:color w:val="B02045"/>
          <w:w w:val="110"/>
        </w:rPr>
        <w:t>port</w:t>
      </w:r>
      <w:proofErr w:type="gramEnd"/>
      <w:r>
        <w:rPr>
          <w:rFonts w:ascii="MS Gothic"/>
          <w:color w:val="B02045"/>
          <w:w w:val="110"/>
        </w:rPr>
        <w:t xml:space="preserve"> </w:t>
      </w:r>
      <w:r>
        <w:rPr>
          <w:color w:val="333333"/>
          <w:w w:val="110"/>
        </w:rPr>
        <w:t>for the  Java application to use and then ensures that routing to the external URI</w:t>
      </w:r>
      <w:r>
        <w:rPr>
          <w:color w:val="333333"/>
          <w:spacing w:val="50"/>
          <w:w w:val="110"/>
        </w:rPr>
        <w:t xml:space="preserve"> </w:t>
      </w:r>
      <w:r>
        <w:rPr>
          <w:color w:val="333333"/>
          <w:w w:val="110"/>
        </w:rPr>
        <w:t>works.</w:t>
      </w:r>
    </w:p>
    <w:p w14:paraId="43330477" w14:textId="77777777" w:rsidR="00A720EB" w:rsidRDefault="00A720EB">
      <w:pPr>
        <w:pStyle w:val="a3"/>
        <w:spacing w:before="6"/>
        <w:rPr>
          <w:sz w:val="22"/>
        </w:rPr>
      </w:pPr>
    </w:p>
    <w:p w14:paraId="173F1A15" w14:textId="77777777" w:rsidR="00A720EB" w:rsidRDefault="0030286B">
      <w:pPr>
        <w:pStyle w:val="a3"/>
        <w:ind w:left="124"/>
        <w:jc w:val="both"/>
      </w:pPr>
      <w:r>
        <w:rPr>
          <w:color w:val="333333"/>
          <w:w w:val="110"/>
        </w:rPr>
        <w:t>You must configure your application to listen on the correct port. The following example shows the</w:t>
      </w:r>
    </w:p>
    <w:p w14:paraId="6AD84ABA" w14:textId="77777777" w:rsidR="00A720EB" w:rsidRDefault="0030286B">
      <w:pPr>
        <w:pStyle w:val="a3"/>
        <w:spacing w:before="59"/>
        <w:ind w:left="124"/>
        <w:jc w:val="both"/>
      </w:pPr>
      <w:r>
        <w:rPr>
          <w:rFonts w:ascii="MS Gothic"/>
          <w:color w:val="B02045"/>
          <w:w w:val="110"/>
        </w:rPr>
        <w:t>Procfile</w:t>
      </w:r>
      <w:r>
        <w:rPr>
          <w:rFonts w:ascii="MS Gothic"/>
          <w:color w:val="B02045"/>
          <w:spacing w:val="-53"/>
          <w:w w:val="110"/>
        </w:rPr>
        <w:t xml:space="preserve"> </w:t>
      </w:r>
      <w:r>
        <w:rPr>
          <w:color w:val="333333"/>
          <w:w w:val="110"/>
        </w:rPr>
        <w:t>for our starter REST application:</w:t>
      </w:r>
    </w:p>
    <w:p w14:paraId="06B7BD22" w14:textId="77777777" w:rsidR="00A720EB" w:rsidRDefault="00E10349">
      <w:pPr>
        <w:pStyle w:val="a3"/>
        <w:spacing w:before="11"/>
        <w:rPr>
          <w:sz w:val="17"/>
        </w:rPr>
      </w:pPr>
      <w:r>
        <w:pict w14:anchorId="7BD9C438">
          <v:group id="_x0000_s1887" style="position:absolute;margin-left:47.85pt;margin-top:12.5pt;width:499.55pt;height:37.5pt;z-index:-15173120;mso-wrap-distance-left:0;mso-wrap-distance-right:0;mso-position-horizontal-relative:page" coordorigin="957,250" coordsize="9991,750">
            <v:shape id="_x0000_s1890" style="position:absolute;left:964;top:257;width:9976;height:735" coordorigin="965,258" coordsize="9976,735" path="m10861,258r-9816,l1014,264r-26,17l971,307r-6,31l965,913r6,31l988,969r26,17l1045,993r9816,l10892,986r25,-17l10935,944r6,-31l10941,338r-6,-31l10917,281r-25,-17l10861,258xe" fillcolor="#f5f5f5" stroked="f">
              <v:path arrowok="t"/>
            </v:shape>
            <v:shape id="_x0000_s1889" style="position:absolute;left:964;top:257;width:9976;height:735" coordorigin="965,258" coordsize="9976,735" path="m1045,258r9816,l10892,264r25,17l10935,307r6,31l10941,913r-6,31l10917,969r-25,17l10861,993r-9816,l1014,986,988,969,971,944r-6,-31l965,338r6,-31l988,281r26,-17l1045,258xe" filled="f" strokecolor="#ccc">
              <v:path arrowok="t"/>
            </v:shape>
            <v:shape id="_x0000_s1888" type="#_x0000_t202" style="position:absolute;left:984;top:273;width:9938;height:704" filled="f" stroked="f">
              <v:textbox inset="0,0,0,0">
                <w:txbxContent>
                  <w:p w14:paraId="53941033" w14:textId="77777777" w:rsidR="00711A16" w:rsidRDefault="00711A16">
                    <w:pPr>
                      <w:spacing w:before="221"/>
                      <w:ind w:left="200"/>
                      <w:rPr>
                        <w:rFonts w:ascii="MS Gothic"/>
                      </w:rPr>
                    </w:pPr>
                    <w:r>
                      <w:rPr>
                        <w:rFonts w:ascii="MS Gothic"/>
                        <w:color w:val="333333"/>
                      </w:rPr>
                      <w:t>web: java -Dserver.port=$PORT -jar target/demo-0.0.1-SNAPSHOT.jar</w:t>
                    </w:r>
                  </w:p>
                </w:txbxContent>
              </v:textbox>
            </v:shape>
            <w10:wrap type="topAndBottom" anchorx="page"/>
          </v:group>
        </w:pict>
      </w:r>
    </w:p>
    <w:p w14:paraId="51DF62B2" w14:textId="77777777" w:rsidR="00A720EB" w:rsidRDefault="00A720EB">
      <w:pPr>
        <w:pStyle w:val="a3"/>
        <w:spacing w:before="11"/>
        <w:rPr>
          <w:sz w:val="9"/>
        </w:rPr>
      </w:pPr>
    </w:p>
    <w:p w14:paraId="01DA19FD" w14:textId="77777777" w:rsidR="00A720EB" w:rsidRDefault="0030286B">
      <w:pPr>
        <w:pStyle w:val="a3"/>
        <w:spacing w:before="115" w:line="285" w:lineRule="auto"/>
        <w:ind w:left="124" w:right="122"/>
        <w:jc w:val="both"/>
      </w:pPr>
      <w:r>
        <w:rPr>
          <w:color w:val="333333"/>
          <w:w w:val="110"/>
        </w:rPr>
        <w:t xml:space="preserve">Spring Boot makes </w:t>
      </w:r>
      <w:r>
        <w:rPr>
          <w:rFonts w:ascii="MS Gothic"/>
          <w:color w:val="B02045"/>
          <w:w w:val="110"/>
        </w:rPr>
        <w:t xml:space="preserve">-D </w:t>
      </w:r>
      <w:r>
        <w:rPr>
          <w:color w:val="333333"/>
          <w:w w:val="110"/>
        </w:rPr>
        <w:t xml:space="preserve">arguments available as properties accessible from a Spring </w:t>
      </w:r>
      <w:r>
        <w:rPr>
          <w:rFonts w:ascii="MS Gothic"/>
          <w:color w:val="B02045"/>
          <w:w w:val="110"/>
        </w:rPr>
        <w:t xml:space="preserve">Environment </w:t>
      </w:r>
      <w:r>
        <w:rPr>
          <w:color w:val="333333"/>
          <w:w w:val="110"/>
        </w:rPr>
        <w:t xml:space="preserve">instance. The </w:t>
      </w:r>
      <w:proofErr w:type="gramStart"/>
      <w:r>
        <w:rPr>
          <w:rFonts w:ascii="MS Gothic"/>
          <w:color w:val="B02045"/>
          <w:w w:val="110"/>
        </w:rPr>
        <w:t>server.port</w:t>
      </w:r>
      <w:proofErr w:type="gramEnd"/>
      <w:r>
        <w:rPr>
          <w:rFonts w:ascii="MS Gothic"/>
          <w:color w:val="B02045"/>
          <w:w w:val="110"/>
        </w:rPr>
        <w:t xml:space="preserve"> </w:t>
      </w:r>
      <w:r>
        <w:rPr>
          <w:color w:val="333333"/>
          <w:w w:val="110"/>
        </w:rPr>
        <w:t xml:space="preserve">configuration property is fed to the embedded Tomcat, </w:t>
      </w:r>
      <w:r>
        <w:rPr>
          <w:color w:val="333333"/>
          <w:spacing w:val="-4"/>
          <w:w w:val="110"/>
        </w:rPr>
        <w:t xml:space="preserve">Jetty, </w:t>
      </w:r>
      <w:r>
        <w:rPr>
          <w:color w:val="333333"/>
          <w:w w:val="110"/>
        </w:rPr>
        <w:t xml:space="preserve">or Undertow instance, which then uses the port when it starts up. The </w:t>
      </w:r>
      <w:r>
        <w:rPr>
          <w:rFonts w:ascii="MS Gothic"/>
          <w:color w:val="B02045"/>
          <w:w w:val="110"/>
        </w:rPr>
        <w:t xml:space="preserve">$PORT </w:t>
      </w:r>
      <w:r>
        <w:rPr>
          <w:color w:val="333333"/>
          <w:w w:val="110"/>
        </w:rPr>
        <w:t xml:space="preserve">environment variable is assigned to us </w:t>
      </w:r>
      <w:r>
        <w:rPr>
          <w:color w:val="333333"/>
          <w:spacing w:val="-3"/>
          <w:w w:val="110"/>
        </w:rPr>
        <w:t xml:space="preserve">by </w:t>
      </w:r>
      <w:r>
        <w:rPr>
          <w:color w:val="333333"/>
          <w:w w:val="110"/>
        </w:rPr>
        <w:t>the Heroku PaaS.</w:t>
      </w:r>
    </w:p>
    <w:p w14:paraId="2723B1CA" w14:textId="77777777" w:rsidR="00A720EB" w:rsidRDefault="00A720EB">
      <w:pPr>
        <w:pStyle w:val="a3"/>
        <w:spacing w:before="2"/>
        <w:rPr>
          <w:sz w:val="22"/>
        </w:rPr>
      </w:pPr>
    </w:p>
    <w:p w14:paraId="1F6852AD" w14:textId="77777777" w:rsidR="00A720EB" w:rsidRDefault="0030286B">
      <w:pPr>
        <w:pStyle w:val="a3"/>
        <w:spacing w:line="297" w:lineRule="auto"/>
        <w:ind w:left="124" w:right="130"/>
        <w:jc w:val="both"/>
      </w:pPr>
      <w:r>
        <w:rPr>
          <w:color w:val="333333"/>
          <w:w w:val="110"/>
        </w:rPr>
        <w:t xml:space="preserve">This should be everything you need. The most common deployment workflow for Heroku deployments is to </w:t>
      </w:r>
      <w:r>
        <w:rPr>
          <w:rFonts w:ascii="MS Gothic"/>
          <w:color w:val="B02045"/>
          <w:w w:val="110"/>
        </w:rPr>
        <w:t>git push</w:t>
      </w:r>
      <w:r>
        <w:rPr>
          <w:rFonts w:ascii="MS Gothic"/>
          <w:color w:val="B02045"/>
          <w:spacing w:val="-53"/>
          <w:w w:val="110"/>
        </w:rPr>
        <w:t xml:space="preserve"> </w:t>
      </w:r>
      <w:r>
        <w:rPr>
          <w:color w:val="333333"/>
          <w:w w:val="110"/>
        </w:rPr>
        <w:t>the code to production, as shown in the following example:</w:t>
      </w:r>
    </w:p>
    <w:p w14:paraId="00387B7C" w14:textId="77777777" w:rsidR="00A720EB" w:rsidRDefault="00A720EB">
      <w:pPr>
        <w:spacing w:line="297" w:lineRule="auto"/>
        <w:jc w:val="both"/>
        <w:sectPr w:rsidR="00A720EB">
          <w:pgSz w:w="11910" w:h="16840"/>
          <w:pgMar w:top="620" w:right="840" w:bottom="520" w:left="840" w:header="0" w:footer="323" w:gutter="0"/>
          <w:cols w:space="720"/>
        </w:sectPr>
      </w:pPr>
    </w:p>
    <w:p w14:paraId="11E60636" w14:textId="77777777" w:rsidR="00A720EB" w:rsidRDefault="00A720EB">
      <w:pPr>
        <w:pStyle w:val="a3"/>
        <w:spacing w:before="4"/>
        <w:rPr>
          <w:sz w:val="10"/>
        </w:rPr>
      </w:pPr>
    </w:p>
    <w:p w14:paraId="40890801" w14:textId="77777777" w:rsidR="00A720EB" w:rsidRDefault="00E10349">
      <w:pPr>
        <w:spacing w:before="117"/>
        <w:ind w:left="344"/>
        <w:rPr>
          <w:rFonts w:ascii="MS Gothic"/>
        </w:rPr>
      </w:pPr>
      <w:r>
        <w:pict w14:anchorId="6C498F07">
          <v:group id="_x0000_s1884" style="position:absolute;left:0;text-align:left;margin-left:47.85pt;margin-top:-6.35pt;width:499.55pt;height:597.65pt;z-index:-41249792;mso-position-horizontal-relative:page" coordorigin="957,-127" coordsize="9991,11953">
            <v:shape id="_x0000_s1886" style="position:absolute;left:964;top:-120;width:9976;height:11938" coordorigin="965,-119" coordsize="9976,11938" path="m10861,-119r-9816,l1014,-113r-26,17l971,-71r-6,32l965,11738r6,31l988,11794r26,17l1045,11818r9816,l10892,11811r25,-17l10935,11769r6,-31l10941,-39r-6,-32l10917,-96r-25,-17l10861,-119xe" fillcolor="#f5f5f5" stroked="f">
              <v:path arrowok="t"/>
            </v:shape>
            <v:shape id="_x0000_s1885" style="position:absolute;left:964;top:-120;width:9976;height:11938" coordorigin="965,-119" coordsize="9976,11938" path="m1045,-119r9816,l10892,-113r25,17l10935,-71r6,32l10941,11738r-6,31l10917,11794r-25,17l10861,11818r-9816,l1014,11811r-26,-17l971,11769r-6,-31l965,-39r6,-32l988,-96r26,-17l1045,-119xe" filled="f" strokecolor="#ccc">
              <v:path arrowok="t"/>
            </v:shape>
            <w10:wrap anchorx="page"/>
          </v:group>
        </w:pict>
      </w:r>
      <w:r w:rsidR="0030286B">
        <w:rPr>
          <w:rFonts w:ascii="MS Gothic"/>
          <w:color w:val="333333"/>
        </w:rPr>
        <w:t>$ git push heroku master</w:t>
      </w:r>
    </w:p>
    <w:p w14:paraId="6404F405" w14:textId="77777777" w:rsidR="00A720EB" w:rsidRDefault="00A720EB">
      <w:pPr>
        <w:pStyle w:val="a3"/>
        <w:rPr>
          <w:rFonts w:ascii="MS Gothic"/>
          <w:sz w:val="24"/>
        </w:rPr>
      </w:pPr>
    </w:p>
    <w:p w14:paraId="2D12582E" w14:textId="77777777" w:rsidR="00A720EB" w:rsidRDefault="0030286B">
      <w:pPr>
        <w:spacing w:line="252" w:lineRule="auto"/>
        <w:ind w:left="344" w:right="6566"/>
        <w:rPr>
          <w:rFonts w:ascii="MS Gothic"/>
        </w:rPr>
      </w:pPr>
      <w:r>
        <w:rPr>
          <w:rFonts w:ascii="MS Gothic"/>
          <w:color w:val="333333"/>
        </w:rPr>
        <w:t xml:space="preserve">Initializing repository, </w:t>
      </w:r>
      <w:r>
        <w:rPr>
          <w:rFonts w:ascii="宋体"/>
          <w:color w:val="333333"/>
        </w:rPr>
        <w:t>done</w:t>
      </w:r>
      <w:r>
        <w:rPr>
          <w:rFonts w:ascii="MS Gothic"/>
          <w:color w:val="333333"/>
        </w:rPr>
        <w:t xml:space="preserve">. Counting objects: 95, </w:t>
      </w:r>
      <w:r>
        <w:rPr>
          <w:rFonts w:ascii="宋体"/>
          <w:color w:val="333333"/>
        </w:rPr>
        <w:t>done</w:t>
      </w:r>
      <w:r>
        <w:rPr>
          <w:rFonts w:ascii="MS Gothic"/>
          <w:color w:val="333333"/>
        </w:rPr>
        <w:t>.</w:t>
      </w:r>
    </w:p>
    <w:p w14:paraId="33CDB9EC" w14:textId="77777777" w:rsidR="00A720EB" w:rsidRDefault="0030286B">
      <w:pPr>
        <w:spacing w:line="252" w:lineRule="auto"/>
        <w:ind w:left="344" w:right="5368"/>
        <w:rPr>
          <w:rFonts w:ascii="MS Gothic"/>
        </w:rPr>
      </w:pPr>
      <w:r>
        <w:rPr>
          <w:rFonts w:ascii="MS Gothic"/>
          <w:color w:val="333333"/>
        </w:rPr>
        <w:t xml:space="preserve">Delta compression using up to 8 </w:t>
      </w:r>
      <w:r>
        <w:rPr>
          <w:rFonts w:ascii="MS Gothic"/>
          <w:color w:val="333333"/>
          <w:spacing w:val="-3"/>
        </w:rPr>
        <w:t xml:space="preserve">threads. </w:t>
      </w:r>
      <w:r>
        <w:rPr>
          <w:rFonts w:ascii="MS Gothic"/>
          <w:color w:val="333333"/>
        </w:rPr>
        <w:t>Compressing objects: 100% (78/78),</w:t>
      </w:r>
      <w:r>
        <w:rPr>
          <w:rFonts w:ascii="MS Gothic"/>
          <w:color w:val="333333"/>
          <w:spacing w:val="3"/>
        </w:rPr>
        <w:t xml:space="preserve"> </w:t>
      </w:r>
      <w:r>
        <w:rPr>
          <w:rFonts w:ascii="宋体"/>
          <w:color w:val="333333"/>
          <w:spacing w:val="-4"/>
        </w:rPr>
        <w:t>done</w:t>
      </w:r>
      <w:r>
        <w:rPr>
          <w:rFonts w:ascii="MS Gothic"/>
          <w:color w:val="333333"/>
          <w:spacing w:val="-4"/>
        </w:rPr>
        <w:t>.</w:t>
      </w:r>
    </w:p>
    <w:p w14:paraId="76626B12" w14:textId="77777777" w:rsidR="00A720EB" w:rsidRDefault="0030286B">
      <w:pPr>
        <w:spacing w:line="252" w:lineRule="auto"/>
        <w:ind w:left="344" w:right="3046"/>
        <w:rPr>
          <w:rFonts w:ascii="MS Gothic"/>
        </w:rPr>
      </w:pPr>
      <w:r>
        <w:rPr>
          <w:rFonts w:ascii="MS Gothic"/>
          <w:color w:val="333333"/>
        </w:rPr>
        <w:t xml:space="preserve">Writing objects: 100% (95/95), 8.66 MiB | 606.00 KiB/s, </w:t>
      </w:r>
      <w:r>
        <w:rPr>
          <w:rFonts w:ascii="宋体"/>
          <w:color w:val="333333"/>
          <w:spacing w:val="-4"/>
        </w:rPr>
        <w:t>done</w:t>
      </w:r>
      <w:r>
        <w:rPr>
          <w:rFonts w:ascii="MS Gothic"/>
          <w:color w:val="333333"/>
          <w:spacing w:val="-4"/>
        </w:rPr>
        <w:t xml:space="preserve">. </w:t>
      </w:r>
      <w:r>
        <w:rPr>
          <w:rFonts w:ascii="MS Gothic"/>
          <w:color w:val="333333"/>
        </w:rPr>
        <w:t>Total 95 (delta 31), reused 0 (delta 0)</w:t>
      </w:r>
    </w:p>
    <w:p w14:paraId="38B297A9" w14:textId="77777777" w:rsidR="00A720EB" w:rsidRDefault="00A720EB">
      <w:pPr>
        <w:pStyle w:val="a3"/>
        <w:spacing w:before="6"/>
        <w:rPr>
          <w:rFonts w:ascii="MS Gothic"/>
          <w:sz w:val="22"/>
        </w:rPr>
      </w:pPr>
    </w:p>
    <w:p w14:paraId="36710DA1" w14:textId="77777777" w:rsidR="00A720EB" w:rsidRDefault="0030286B">
      <w:pPr>
        <w:ind w:left="344"/>
        <w:rPr>
          <w:rFonts w:ascii="MS Gothic"/>
        </w:rPr>
      </w:pPr>
      <w:r>
        <w:rPr>
          <w:rFonts w:ascii="MS Gothic"/>
          <w:color w:val="333333"/>
        </w:rPr>
        <w:t>-----&gt; Java app detected</w:t>
      </w:r>
    </w:p>
    <w:p w14:paraId="2A24AE29" w14:textId="77777777" w:rsidR="00A720EB" w:rsidRDefault="0030286B">
      <w:pPr>
        <w:spacing w:before="13"/>
        <w:ind w:left="344"/>
        <w:rPr>
          <w:rFonts w:ascii="宋体"/>
        </w:rPr>
      </w:pPr>
      <w:r>
        <w:rPr>
          <w:rFonts w:ascii="MS Gothic"/>
          <w:color w:val="333333"/>
        </w:rPr>
        <w:t xml:space="preserve">-----&gt; Installing OpenJDK 1.8... </w:t>
      </w:r>
      <w:r>
        <w:rPr>
          <w:rFonts w:ascii="宋体"/>
          <w:color w:val="333333"/>
        </w:rPr>
        <w:t>done</w:t>
      </w:r>
    </w:p>
    <w:p w14:paraId="5C3A181C" w14:textId="77777777" w:rsidR="00A720EB" w:rsidRDefault="0030286B">
      <w:pPr>
        <w:spacing w:before="13"/>
        <w:ind w:left="344"/>
        <w:rPr>
          <w:rFonts w:ascii="宋体"/>
        </w:rPr>
      </w:pPr>
      <w:r>
        <w:rPr>
          <w:rFonts w:ascii="MS Gothic"/>
          <w:color w:val="333333"/>
        </w:rPr>
        <w:t xml:space="preserve">-----&gt; Installing Maven 3.3.1... </w:t>
      </w:r>
      <w:r>
        <w:rPr>
          <w:rFonts w:ascii="宋体"/>
          <w:color w:val="333333"/>
        </w:rPr>
        <w:t>done</w:t>
      </w:r>
    </w:p>
    <w:p w14:paraId="3BBBD35F" w14:textId="77777777" w:rsidR="00A720EB" w:rsidRDefault="0030286B">
      <w:pPr>
        <w:spacing w:before="13"/>
        <w:ind w:left="344"/>
        <w:rPr>
          <w:rFonts w:ascii="宋体"/>
        </w:rPr>
      </w:pPr>
      <w:r>
        <w:rPr>
          <w:rFonts w:ascii="MS Gothic"/>
          <w:color w:val="333333"/>
        </w:rPr>
        <w:t xml:space="preserve">-----&gt; Installing settings.xml... </w:t>
      </w:r>
      <w:r>
        <w:rPr>
          <w:rFonts w:ascii="宋体"/>
          <w:color w:val="333333"/>
        </w:rPr>
        <w:t>done</w:t>
      </w:r>
    </w:p>
    <w:p w14:paraId="2FA8BE40" w14:textId="77777777" w:rsidR="00A720EB" w:rsidRDefault="0030286B">
      <w:pPr>
        <w:spacing w:before="13"/>
        <w:ind w:left="344"/>
        <w:rPr>
          <w:rFonts w:ascii="MS Gothic"/>
        </w:rPr>
      </w:pPr>
      <w:r>
        <w:rPr>
          <w:rFonts w:ascii="MS Gothic"/>
          <w:color w:val="333333"/>
        </w:rPr>
        <w:t>-----&gt; Executing: mvn -B -DskipTests=true clean install</w:t>
      </w:r>
    </w:p>
    <w:p w14:paraId="779775D0" w14:textId="77777777" w:rsidR="00A720EB" w:rsidRDefault="00A720EB">
      <w:pPr>
        <w:pStyle w:val="a3"/>
        <w:rPr>
          <w:rFonts w:ascii="MS Gothic"/>
          <w:sz w:val="24"/>
        </w:rPr>
      </w:pPr>
    </w:p>
    <w:p w14:paraId="088FA13B" w14:textId="77777777" w:rsidR="00A720EB" w:rsidRDefault="0030286B">
      <w:pPr>
        <w:spacing w:line="252" w:lineRule="auto"/>
        <w:ind w:left="1114" w:right="4806"/>
        <w:rPr>
          <w:rFonts w:ascii="MS Gothic"/>
        </w:rPr>
      </w:pPr>
      <w:r>
        <w:rPr>
          <w:rFonts w:ascii="MS Gothic"/>
          <w:color w:val="333333"/>
        </w:rPr>
        <w:t>[INFO] Scanning for projects... Downloading: https://repo.spring.io/...</w:t>
      </w:r>
    </w:p>
    <w:p w14:paraId="092900DF" w14:textId="77777777" w:rsidR="00A720EB" w:rsidRDefault="0030286B">
      <w:pPr>
        <w:spacing w:line="280" w:lineRule="exact"/>
        <w:ind w:left="1114"/>
        <w:rPr>
          <w:rFonts w:ascii="MS Gothic"/>
        </w:rPr>
      </w:pPr>
      <w:r>
        <w:rPr>
          <w:rFonts w:ascii="MS Gothic"/>
          <w:color w:val="333333"/>
        </w:rPr>
        <w:t>Downloaded: https://repo.spring.io/... (818 B at 1.8 KB/sec)</w:t>
      </w:r>
    </w:p>
    <w:p w14:paraId="0513137A" w14:textId="77777777" w:rsidR="00A720EB" w:rsidRDefault="0030286B">
      <w:pPr>
        <w:spacing w:before="13"/>
        <w:ind w:left="1224"/>
        <w:rPr>
          <w:rFonts w:ascii="MS Gothic"/>
        </w:rPr>
      </w:pPr>
      <w:r>
        <w:rPr>
          <w:rFonts w:ascii="MS Gothic"/>
          <w:color w:val="333333"/>
        </w:rPr>
        <w:t>....</w:t>
      </w:r>
    </w:p>
    <w:p w14:paraId="47DEE618" w14:textId="77777777" w:rsidR="00A720EB" w:rsidRDefault="0030286B">
      <w:pPr>
        <w:tabs>
          <w:tab w:val="left" w:pos="9904"/>
        </w:tabs>
        <w:spacing w:before="13" w:line="252" w:lineRule="auto"/>
        <w:ind w:left="1114" w:right="318"/>
        <w:rPr>
          <w:rFonts w:ascii="宋体"/>
        </w:rPr>
      </w:pPr>
      <w:r>
        <w:rPr>
          <w:rFonts w:ascii="MS Gothic"/>
          <w:color w:val="333333"/>
        </w:rPr>
        <w:t>Downloaded: https://s3pository.heroku.com/jvm/... (152 KB at 595.3 KB/sec) [INFO] Installing /tmp/build_0c35a5d2-a067-4abc-a232-14b1fb7a8229/target/... [INFO] Installing /tmp/build_0c35a5d2-a067-4abc-a232-14b1fb7a8229/pom.xml ... [INFO]</w:t>
      </w:r>
      <w:r>
        <w:rPr>
          <w:rFonts w:ascii="MS Gothic"/>
          <w:color w:val="333333"/>
          <w:u w:val="dotted" w:color="323232"/>
        </w:rPr>
        <w:t xml:space="preserve"> </w:t>
      </w:r>
      <w:r>
        <w:rPr>
          <w:rFonts w:ascii="MS Gothic"/>
          <w:color w:val="333333"/>
          <w:u w:val="dotted" w:color="323232"/>
        </w:rPr>
        <w:tab/>
      </w:r>
      <w:r>
        <w:rPr>
          <w:rFonts w:ascii="MS Gothic"/>
          <w:color w:val="333333"/>
        </w:rPr>
        <w:t xml:space="preserve"> [INFO] </w:t>
      </w:r>
      <w:r>
        <w:rPr>
          <w:rFonts w:ascii="宋体"/>
          <w:color w:val="333333"/>
        </w:rPr>
        <w:t>BUILD SUCCESS</w:t>
      </w:r>
    </w:p>
    <w:p w14:paraId="4D2DF817" w14:textId="77777777" w:rsidR="00A720EB" w:rsidRDefault="0030286B">
      <w:pPr>
        <w:tabs>
          <w:tab w:val="left" w:pos="9904"/>
        </w:tabs>
        <w:spacing w:line="276" w:lineRule="exact"/>
        <w:ind w:left="1114"/>
        <w:rPr>
          <w:rFonts w:ascii="MS Gothic"/>
        </w:rPr>
      </w:pPr>
      <w:r>
        <w:rPr>
          <w:rFonts w:ascii="MS Gothic"/>
          <w:color w:val="333333"/>
        </w:rPr>
        <w:t xml:space="preserve">[INFO] </w:t>
      </w:r>
      <w:r>
        <w:rPr>
          <w:rFonts w:ascii="MS Gothic"/>
          <w:color w:val="333333"/>
          <w:u w:val="dotted" w:color="323232"/>
        </w:rPr>
        <w:t xml:space="preserve"> </w:t>
      </w:r>
      <w:r>
        <w:rPr>
          <w:rFonts w:ascii="MS Gothic"/>
          <w:color w:val="333333"/>
          <w:u w:val="dotted" w:color="323232"/>
        </w:rPr>
        <w:tab/>
      </w:r>
    </w:p>
    <w:p w14:paraId="77936E3B" w14:textId="77777777" w:rsidR="00A720EB" w:rsidRDefault="0030286B">
      <w:pPr>
        <w:spacing w:before="13"/>
        <w:ind w:left="1114"/>
        <w:rPr>
          <w:rFonts w:ascii="MS Gothic"/>
        </w:rPr>
      </w:pPr>
      <w:r>
        <w:rPr>
          <w:rFonts w:ascii="MS Gothic"/>
          <w:color w:val="333333"/>
        </w:rPr>
        <w:t>[INFO] Total time: 59.358s</w:t>
      </w:r>
    </w:p>
    <w:p w14:paraId="6DF8D281" w14:textId="77777777" w:rsidR="00A720EB" w:rsidRDefault="0030286B">
      <w:pPr>
        <w:spacing w:before="13" w:line="252" w:lineRule="auto"/>
        <w:ind w:left="1114" w:right="3816"/>
        <w:rPr>
          <w:rFonts w:ascii="MS Gothic"/>
        </w:rPr>
      </w:pPr>
      <w:r>
        <w:rPr>
          <w:rFonts w:ascii="MS Gothic"/>
          <w:color w:val="333333"/>
        </w:rPr>
        <w:t>[INFO] Finished at: Fri Mar 07 07:28:25 UTC 2014 [INFO] Final Memory: 20M/493M</w:t>
      </w:r>
    </w:p>
    <w:p w14:paraId="7DB08F7A" w14:textId="77777777" w:rsidR="00A720EB" w:rsidRDefault="0030286B">
      <w:pPr>
        <w:tabs>
          <w:tab w:val="left" w:pos="9904"/>
        </w:tabs>
        <w:spacing w:line="280" w:lineRule="exact"/>
        <w:ind w:left="1114"/>
        <w:rPr>
          <w:rFonts w:ascii="MS Gothic"/>
        </w:rPr>
      </w:pPr>
      <w:r>
        <w:rPr>
          <w:rFonts w:ascii="MS Gothic"/>
          <w:color w:val="333333"/>
        </w:rPr>
        <w:t xml:space="preserve">[INFO] </w:t>
      </w:r>
      <w:r>
        <w:rPr>
          <w:rFonts w:ascii="MS Gothic"/>
          <w:color w:val="333333"/>
          <w:u w:val="dotted" w:color="323232"/>
        </w:rPr>
        <w:t xml:space="preserve"> </w:t>
      </w:r>
      <w:r>
        <w:rPr>
          <w:rFonts w:ascii="MS Gothic"/>
          <w:color w:val="333333"/>
          <w:u w:val="dotted" w:color="323232"/>
        </w:rPr>
        <w:tab/>
      </w:r>
    </w:p>
    <w:p w14:paraId="797D3BD2" w14:textId="77777777" w:rsidR="00A720EB" w:rsidRDefault="00A720EB">
      <w:pPr>
        <w:pStyle w:val="a3"/>
        <w:rPr>
          <w:rFonts w:ascii="MS Gothic"/>
          <w:sz w:val="24"/>
        </w:rPr>
      </w:pPr>
    </w:p>
    <w:p w14:paraId="546CD4E9" w14:textId="77777777" w:rsidR="00A720EB" w:rsidRDefault="0030286B">
      <w:pPr>
        <w:spacing w:line="252" w:lineRule="auto"/>
        <w:ind w:left="1114" w:right="5796" w:hanging="770"/>
        <w:rPr>
          <w:rFonts w:ascii="宋体"/>
        </w:rPr>
      </w:pPr>
      <w:r>
        <w:rPr>
          <w:rFonts w:ascii="MS Gothic"/>
          <w:color w:val="333333"/>
        </w:rPr>
        <w:t xml:space="preserve">-----&gt; Discovering process types Procfile declares types -&gt; </w:t>
      </w:r>
      <w:r>
        <w:rPr>
          <w:rFonts w:ascii="宋体"/>
          <w:color w:val="333333"/>
        </w:rPr>
        <w:t>web</w:t>
      </w:r>
    </w:p>
    <w:p w14:paraId="6E30BE97" w14:textId="77777777" w:rsidR="00A720EB" w:rsidRDefault="00A720EB">
      <w:pPr>
        <w:pStyle w:val="a3"/>
        <w:spacing w:before="11"/>
        <w:rPr>
          <w:rFonts w:ascii="宋体"/>
          <w:sz w:val="22"/>
        </w:rPr>
      </w:pPr>
    </w:p>
    <w:p w14:paraId="5F0C9FCA" w14:textId="77777777" w:rsidR="00A720EB" w:rsidRDefault="0030286B">
      <w:pPr>
        <w:ind w:left="344"/>
        <w:rPr>
          <w:rFonts w:ascii="MS Gothic"/>
        </w:rPr>
      </w:pPr>
      <w:r>
        <w:rPr>
          <w:rFonts w:ascii="MS Gothic"/>
          <w:color w:val="333333"/>
        </w:rPr>
        <w:t xml:space="preserve">-----&gt; Compressing... </w:t>
      </w:r>
      <w:r>
        <w:rPr>
          <w:rFonts w:ascii="宋体"/>
          <w:color w:val="333333"/>
        </w:rPr>
        <w:t>done</w:t>
      </w:r>
      <w:r>
        <w:rPr>
          <w:rFonts w:ascii="MS Gothic"/>
          <w:color w:val="333333"/>
        </w:rPr>
        <w:t>, 70.4MB</w:t>
      </w:r>
    </w:p>
    <w:p w14:paraId="025AE8D2" w14:textId="77777777" w:rsidR="00A720EB" w:rsidRDefault="0030286B">
      <w:pPr>
        <w:spacing w:before="13"/>
        <w:ind w:left="344"/>
        <w:rPr>
          <w:rFonts w:ascii="MS Gothic"/>
        </w:rPr>
      </w:pPr>
      <w:r>
        <w:rPr>
          <w:rFonts w:ascii="MS Gothic"/>
          <w:color w:val="333333"/>
        </w:rPr>
        <w:t xml:space="preserve">-----&gt; Launching... </w:t>
      </w:r>
      <w:r>
        <w:rPr>
          <w:rFonts w:ascii="宋体"/>
          <w:color w:val="333333"/>
        </w:rPr>
        <w:t>done</w:t>
      </w:r>
      <w:r>
        <w:rPr>
          <w:rFonts w:ascii="MS Gothic"/>
          <w:color w:val="333333"/>
        </w:rPr>
        <w:t>, v6</w:t>
      </w:r>
    </w:p>
    <w:p w14:paraId="74A26AFF" w14:textId="77777777" w:rsidR="00A720EB" w:rsidRDefault="0030286B">
      <w:pPr>
        <w:spacing w:before="13"/>
        <w:ind w:left="1114"/>
        <w:rPr>
          <w:rFonts w:ascii="宋体"/>
        </w:rPr>
      </w:pPr>
      <w:r>
        <w:rPr>
          <w:rFonts w:ascii="MS Gothic"/>
          <w:color w:val="333333"/>
        </w:rPr>
        <w:t xml:space="preserve">https://agile-sierra-1405.herokuapp.com/ </w:t>
      </w:r>
      <w:r>
        <w:rPr>
          <w:rFonts w:ascii="宋体"/>
          <w:color w:val="333333"/>
        </w:rPr>
        <w:t>deployed to Heroku</w:t>
      </w:r>
    </w:p>
    <w:p w14:paraId="15EFA703" w14:textId="77777777" w:rsidR="00A720EB" w:rsidRDefault="00A720EB">
      <w:pPr>
        <w:pStyle w:val="a3"/>
        <w:rPr>
          <w:rFonts w:ascii="宋体"/>
          <w:sz w:val="24"/>
        </w:rPr>
      </w:pPr>
    </w:p>
    <w:p w14:paraId="25E6D790" w14:textId="77777777" w:rsidR="00A720EB" w:rsidRDefault="0030286B">
      <w:pPr>
        <w:ind w:left="344"/>
        <w:rPr>
          <w:rFonts w:ascii="MS Gothic"/>
        </w:rPr>
      </w:pPr>
      <w:r>
        <w:rPr>
          <w:rFonts w:ascii="MS Gothic"/>
          <w:color w:val="333333"/>
        </w:rPr>
        <w:t xml:space="preserve">To </w:t>
      </w:r>
      <w:proofErr w:type="gramStart"/>
      <w:r>
        <w:rPr>
          <w:rFonts w:ascii="MS Gothic"/>
          <w:color w:val="333333"/>
        </w:rPr>
        <w:t>git@heroku.com:agile-sierra-1405.git</w:t>
      </w:r>
      <w:proofErr w:type="gramEnd"/>
    </w:p>
    <w:p w14:paraId="23E86F01" w14:textId="77777777" w:rsidR="00A720EB" w:rsidRDefault="0030286B">
      <w:pPr>
        <w:tabs>
          <w:tab w:val="left" w:pos="2654"/>
        </w:tabs>
        <w:spacing w:before="13"/>
        <w:ind w:left="454"/>
        <w:rPr>
          <w:rFonts w:ascii="MS Gothic"/>
        </w:rPr>
      </w:pPr>
      <w:r>
        <w:rPr>
          <w:rFonts w:ascii="MS Gothic"/>
          <w:color w:val="333333"/>
        </w:rPr>
        <w:t>* [new branch]</w:t>
      </w:r>
      <w:r>
        <w:rPr>
          <w:rFonts w:ascii="MS Gothic"/>
          <w:color w:val="333333"/>
        </w:rPr>
        <w:tab/>
        <w:t>master -&gt; master</w:t>
      </w:r>
    </w:p>
    <w:p w14:paraId="26F73BFA" w14:textId="77777777" w:rsidR="00A720EB" w:rsidRDefault="00A720EB">
      <w:pPr>
        <w:pStyle w:val="a3"/>
        <w:spacing w:before="9"/>
        <w:rPr>
          <w:rFonts w:ascii="MS Gothic"/>
          <w:sz w:val="38"/>
        </w:rPr>
      </w:pPr>
    </w:p>
    <w:p w14:paraId="75C4ABA7" w14:textId="77777777" w:rsidR="00A720EB" w:rsidRDefault="0030286B">
      <w:pPr>
        <w:pStyle w:val="a3"/>
        <w:spacing w:line="307" w:lineRule="auto"/>
        <w:ind w:left="124" w:right="462"/>
      </w:pPr>
      <w:r>
        <w:rPr>
          <w:color w:val="333333"/>
          <w:w w:val="110"/>
        </w:rPr>
        <w:t xml:space="preserve">Your application should now be up and running on Heroku. For more details, refer to </w:t>
      </w:r>
      <w:hyperlink r:id="rId536">
        <w:r>
          <w:rPr>
            <w:color w:val="418BCA"/>
            <w:w w:val="110"/>
          </w:rPr>
          <w:t>Deploying</w:t>
        </w:r>
      </w:hyperlink>
      <w:r>
        <w:rPr>
          <w:color w:val="418BCA"/>
          <w:w w:val="110"/>
        </w:rPr>
        <w:t xml:space="preserve"> </w:t>
      </w:r>
      <w:hyperlink r:id="rId537">
        <w:r>
          <w:rPr>
            <w:color w:val="418BCA"/>
            <w:w w:val="110"/>
          </w:rPr>
          <w:t>Spring Boot Applications to Heroku</w:t>
        </w:r>
      </w:hyperlink>
      <w:r>
        <w:rPr>
          <w:color w:val="333333"/>
          <w:w w:val="110"/>
        </w:rPr>
        <w:t>.</w:t>
      </w:r>
    </w:p>
    <w:p w14:paraId="14FA0A99" w14:textId="77777777" w:rsidR="00A720EB" w:rsidRDefault="00A720EB">
      <w:pPr>
        <w:pStyle w:val="a3"/>
        <w:spacing w:before="9"/>
        <w:rPr>
          <w:sz w:val="25"/>
        </w:rPr>
      </w:pPr>
    </w:p>
    <w:p w14:paraId="57755CD5" w14:textId="77777777" w:rsidR="00A720EB" w:rsidRDefault="0030286B">
      <w:pPr>
        <w:pStyle w:val="3"/>
        <w:numPr>
          <w:ilvl w:val="2"/>
          <w:numId w:val="20"/>
        </w:numPr>
        <w:tabs>
          <w:tab w:val="left" w:pos="858"/>
        </w:tabs>
        <w:ind w:hanging="734"/>
      </w:pPr>
      <w:bookmarkStart w:id="699" w:name="6.2.4._OpenShift"/>
      <w:bookmarkStart w:id="700" w:name="_Toc54423884"/>
      <w:bookmarkEnd w:id="699"/>
      <w:r>
        <w:rPr>
          <w:color w:val="333333"/>
          <w:w w:val="105"/>
        </w:rPr>
        <w:t>OpenShift</w:t>
      </w:r>
      <w:bookmarkEnd w:id="700"/>
    </w:p>
    <w:p w14:paraId="4C773BA2" w14:textId="77777777" w:rsidR="00A720EB" w:rsidRDefault="00E10349">
      <w:pPr>
        <w:pStyle w:val="a3"/>
        <w:spacing w:before="254"/>
        <w:ind w:left="124"/>
      </w:pPr>
      <w:hyperlink r:id="rId538">
        <w:r w:rsidR="0030286B">
          <w:rPr>
            <w:color w:val="418BCA"/>
            <w:w w:val="110"/>
          </w:rPr>
          <w:t xml:space="preserve">OpenShift </w:t>
        </w:r>
      </w:hyperlink>
      <w:r w:rsidR="0030286B">
        <w:rPr>
          <w:color w:val="333333"/>
          <w:w w:val="110"/>
        </w:rPr>
        <w:t>has many resources describing how to deploy Spring Boot applications, including:</w:t>
      </w:r>
    </w:p>
    <w:p w14:paraId="1537910B" w14:textId="77777777" w:rsidR="00A720EB" w:rsidRDefault="00A720EB">
      <w:pPr>
        <w:pStyle w:val="a3"/>
        <w:spacing w:before="4"/>
        <w:rPr>
          <w:sz w:val="26"/>
        </w:rPr>
      </w:pPr>
    </w:p>
    <w:p w14:paraId="0FC408A6" w14:textId="77777777" w:rsidR="00A720EB" w:rsidRDefault="00E10349">
      <w:pPr>
        <w:pStyle w:val="a6"/>
        <w:numPr>
          <w:ilvl w:val="3"/>
          <w:numId w:val="20"/>
        </w:numPr>
        <w:tabs>
          <w:tab w:val="left" w:pos="485"/>
        </w:tabs>
        <w:rPr>
          <w:sz w:val="21"/>
        </w:rPr>
      </w:pPr>
      <w:hyperlink r:id="rId539">
        <w:r w:rsidR="0030286B">
          <w:rPr>
            <w:color w:val="418BCA"/>
            <w:w w:val="110"/>
            <w:sz w:val="21"/>
          </w:rPr>
          <w:t>Using the S2I</w:t>
        </w:r>
        <w:r w:rsidR="0030286B">
          <w:rPr>
            <w:color w:val="418BCA"/>
            <w:spacing w:val="8"/>
            <w:w w:val="110"/>
            <w:sz w:val="21"/>
          </w:rPr>
          <w:t xml:space="preserve"> </w:t>
        </w:r>
        <w:r w:rsidR="0030286B">
          <w:rPr>
            <w:color w:val="418BCA"/>
            <w:w w:val="110"/>
            <w:sz w:val="21"/>
          </w:rPr>
          <w:t>builder</w:t>
        </w:r>
      </w:hyperlink>
    </w:p>
    <w:p w14:paraId="6E8C7DE0" w14:textId="77777777" w:rsidR="00A720EB" w:rsidRDefault="00E10349">
      <w:pPr>
        <w:pStyle w:val="a6"/>
        <w:numPr>
          <w:ilvl w:val="3"/>
          <w:numId w:val="20"/>
        </w:numPr>
        <w:tabs>
          <w:tab w:val="left" w:pos="485"/>
        </w:tabs>
        <w:spacing w:before="190"/>
        <w:rPr>
          <w:sz w:val="21"/>
        </w:rPr>
      </w:pPr>
      <w:hyperlink r:id="rId540">
        <w:r w:rsidR="0030286B">
          <w:rPr>
            <w:color w:val="418BCA"/>
            <w:w w:val="110"/>
            <w:sz w:val="21"/>
          </w:rPr>
          <w:t>Architecture</w:t>
        </w:r>
        <w:r w:rsidR="0030286B">
          <w:rPr>
            <w:color w:val="418BCA"/>
            <w:spacing w:val="3"/>
            <w:w w:val="110"/>
            <w:sz w:val="21"/>
          </w:rPr>
          <w:t xml:space="preserve"> </w:t>
        </w:r>
        <w:r w:rsidR="0030286B">
          <w:rPr>
            <w:color w:val="418BCA"/>
            <w:w w:val="110"/>
            <w:sz w:val="21"/>
          </w:rPr>
          <w:t>guide</w:t>
        </w:r>
      </w:hyperlink>
    </w:p>
    <w:p w14:paraId="1EC5F5B6" w14:textId="77777777" w:rsidR="00A720EB" w:rsidRDefault="00A720EB">
      <w:pPr>
        <w:rPr>
          <w:sz w:val="21"/>
        </w:rPr>
        <w:sectPr w:rsidR="00A720EB">
          <w:pgSz w:w="11910" w:h="16840"/>
          <w:pgMar w:top="700" w:right="840" w:bottom="520" w:left="840" w:header="0" w:footer="323" w:gutter="0"/>
          <w:cols w:space="720"/>
        </w:sectPr>
      </w:pPr>
    </w:p>
    <w:p w14:paraId="2B6FF9FF" w14:textId="77777777" w:rsidR="00A720EB" w:rsidRDefault="00E10349">
      <w:pPr>
        <w:pStyle w:val="a6"/>
        <w:numPr>
          <w:ilvl w:val="3"/>
          <w:numId w:val="20"/>
        </w:numPr>
        <w:tabs>
          <w:tab w:val="left" w:pos="485"/>
        </w:tabs>
        <w:spacing w:before="102"/>
        <w:rPr>
          <w:sz w:val="21"/>
        </w:rPr>
      </w:pPr>
      <w:hyperlink r:id="rId541">
        <w:r w:rsidR="0030286B">
          <w:rPr>
            <w:color w:val="418BCA"/>
            <w:w w:val="115"/>
            <w:sz w:val="21"/>
          </w:rPr>
          <w:t>Running as a traditional web application on</w:t>
        </w:r>
        <w:r w:rsidR="0030286B">
          <w:rPr>
            <w:color w:val="418BCA"/>
            <w:spacing w:val="-10"/>
            <w:w w:val="115"/>
            <w:sz w:val="21"/>
          </w:rPr>
          <w:t xml:space="preserve"> </w:t>
        </w:r>
        <w:r w:rsidR="0030286B">
          <w:rPr>
            <w:color w:val="418BCA"/>
            <w:w w:val="115"/>
            <w:sz w:val="21"/>
          </w:rPr>
          <w:t>Wildfly</w:t>
        </w:r>
      </w:hyperlink>
    </w:p>
    <w:p w14:paraId="01D66BEE" w14:textId="77777777" w:rsidR="00A720EB" w:rsidRDefault="00E10349">
      <w:pPr>
        <w:pStyle w:val="a6"/>
        <w:numPr>
          <w:ilvl w:val="3"/>
          <w:numId w:val="20"/>
        </w:numPr>
        <w:tabs>
          <w:tab w:val="left" w:pos="485"/>
        </w:tabs>
        <w:spacing w:before="189"/>
        <w:rPr>
          <w:sz w:val="21"/>
        </w:rPr>
      </w:pPr>
      <w:hyperlink r:id="rId542">
        <w:r w:rsidR="0030286B">
          <w:rPr>
            <w:color w:val="418BCA"/>
            <w:w w:val="110"/>
            <w:sz w:val="21"/>
          </w:rPr>
          <w:t>OpenShift Commons</w:t>
        </w:r>
        <w:r w:rsidR="0030286B">
          <w:rPr>
            <w:color w:val="418BCA"/>
            <w:spacing w:val="6"/>
            <w:w w:val="110"/>
            <w:sz w:val="21"/>
          </w:rPr>
          <w:t xml:space="preserve"> </w:t>
        </w:r>
        <w:r w:rsidR="0030286B">
          <w:rPr>
            <w:color w:val="418BCA"/>
            <w:w w:val="110"/>
            <w:sz w:val="21"/>
          </w:rPr>
          <w:t>Briefing</w:t>
        </w:r>
      </w:hyperlink>
    </w:p>
    <w:p w14:paraId="19F73718" w14:textId="77777777" w:rsidR="00A720EB" w:rsidRDefault="00A720EB">
      <w:pPr>
        <w:pStyle w:val="a3"/>
        <w:spacing w:before="7"/>
        <w:rPr>
          <w:sz w:val="31"/>
        </w:rPr>
      </w:pPr>
    </w:p>
    <w:p w14:paraId="3C095EF3" w14:textId="77777777" w:rsidR="00A720EB" w:rsidRDefault="0030286B">
      <w:pPr>
        <w:pStyle w:val="3"/>
        <w:numPr>
          <w:ilvl w:val="2"/>
          <w:numId w:val="20"/>
        </w:numPr>
        <w:tabs>
          <w:tab w:val="left" w:pos="858"/>
        </w:tabs>
        <w:ind w:hanging="734"/>
      </w:pPr>
      <w:bookmarkStart w:id="701" w:name="6.2.5._Amazon_Web_Services_(AWS)"/>
      <w:bookmarkStart w:id="702" w:name="_Toc54423885"/>
      <w:bookmarkEnd w:id="701"/>
      <w:r>
        <w:rPr>
          <w:color w:val="333333"/>
          <w:w w:val="110"/>
        </w:rPr>
        <w:t xml:space="preserve">Amazon </w:t>
      </w:r>
      <w:r>
        <w:rPr>
          <w:color w:val="333333"/>
          <w:spacing w:val="-6"/>
          <w:w w:val="110"/>
        </w:rPr>
        <w:t xml:space="preserve">Web </w:t>
      </w:r>
      <w:r>
        <w:rPr>
          <w:color w:val="333333"/>
          <w:w w:val="110"/>
        </w:rPr>
        <w:t>Services</w:t>
      </w:r>
      <w:r>
        <w:rPr>
          <w:color w:val="333333"/>
          <w:spacing w:val="-13"/>
          <w:w w:val="110"/>
        </w:rPr>
        <w:t xml:space="preserve"> </w:t>
      </w:r>
      <w:r>
        <w:rPr>
          <w:color w:val="333333"/>
          <w:spacing w:val="-5"/>
          <w:w w:val="110"/>
        </w:rPr>
        <w:t>(AWS)</w:t>
      </w:r>
      <w:bookmarkEnd w:id="702"/>
    </w:p>
    <w:p w14:paraId="4E8C68D8" w14:textId="77777777" w:rsidR="00A720EB" w:rsidRDefault="0030286B">
      <w:pPr>
        <w:pStyle w:val="a3"/>
        <w:spacing w:before="254" w:line="307" w:lineRule="auto"/>
        <w:ind w:left="124" w:right="133"/>
        <w:jc w:val="both"/>
      </w:pPr>
      <w:r>
        <w:rPr>
          <w:color w:val="333333"/>
          <w:w w:val="110"/>
        </w:rPr>
        <w:t>Amazon Web Services offers multiple ways to install Spring Boot-based applications, either as traditional web applications (war) or as executable jar files with an embedded web server. The options include:</w:t>
      </w:r>
    </w:p>
    <w:p w14:paraId="7B9EF4C4" w14:textId="77777777" w:rsidR="00A720EB" w:rsidRDefault="0030286B">
      <w:pPr>
        <w:pStyle w:val="a6"/>
        <w:numPr>
          <w:ilvl w:val="3"/>
          <w:numId w:val="20"/>
        </w:numPr>
        <w:tabs>
          <w:tab w:val="left" w:pos="485"/>
        </w:tabs>
        <w:spacing w:before="241"/>
        <w:rPr>
          <w:sz w:val="21"/>
        </w:rPr>
      </w:pPr>
      <w:r>
        <w:rPr>
          <w:color w:val="333333"/>
          <w:spacing w:val="-6"/>
          <w:w w:val="110"/>
          <w:sz w:val="21"/>
        </w:rPr>
        <w:t xml:space="preserve">AWS </w:t>
      </w:r>
      <w:r>
        <w:rPr>
          <w:color w:val="333333"/>
          <w:w w:val="110"/>
          <w:sz w:val="21"/>
        </w:rPr>
        <w:t>Elastic</w:t>
      </w:r>
      <w:r>
        <w:rPr>
          <w:color w:val="333333"/>
          <w:spacing w:val="11"/>
          <w:w w:val="110"/>
          <w:sz w:val="21"/>
        </w:rPr>
        <w:t xml:space="preserve"> </w:t>
      </w:r>
      <w:r>
        <w:rPr>
          <w:color w:val="333333"/>
          <w:w w:val="110"/>
          <w:sz w:val="21"/>
        </w:rPr>
        <w:t>Beanstalk</w:t>
      </w:r>
    </w:p>
    <w:p w14:paraId="1C20FC4A" w14:textId="77777777" w:rsidR="00A720EB" w:rsidRDefault="0030286B">
      <w:pPr>
        <w:pStyle w:val="a6"/>
        <w:numPr>
          <w:ilvl w:val="3"/>
          <w:numId w:val="20"/>
        </w:numPr>
        <w:tabs>
          <w:tab w:val="left" w:pos="485"/>
        </w:tabs>
        <w:spacing w:before="190"/>
        <w:rPr>
          <w:sz w:val="21"/>
        </w:rPr>
      </w:pPr>
      <w:r>
        <w:rPr>
          <w:color w:val="333333"/>
          <w:spacing w:val="-6"/>
          <w:w w:val="110"/>
          <w:sz w:val="21"/>
        </w:rPr>
        <w:t xml:space="preserve">AWS </w:t>
      </w:r>
      <w:r>
        <w:rPr>
          <w:color w:val="333333"/>
          <w:w w:val="110"/>
          <w:sz w:val="21"/>
        </w:rPr>
        <w:t>Code</w:t>
      </w:r>
      <w:r>
        <w:rPr>
          <w:color w:val="333333"/>
          <w:spacing w:val="10"/>
          <w:w w:val="110"/>
          <w:sz w:val="21"/>
        </w:rPr>
        <w:t xml:space="preserve"> </w:t>
      </w:r>
      <w:r>
        <w:rPr>
          <w:color w:val="333333"/>
          <w:w w:val="110"/>
          <w:sz w:val="21"/>
        </w:rPr>
        <w:t>Deploy</w:t>
      </w:r>
    </w:p>
    <w:p w14:paraId="387B6ABD" w14:textId="77777777" w:rsidR="00A720EB" w:rsidRDefault="0030286B">
      <w:pPr>
        <w:pStyle w:val="a6"/>
        <w:numPr>
          <w:ilvl w:val="3"/>
          <w:numId w:val="20"/>
        </w:numPr>
        <w:tabs>
          <w:tab w:val="left" w:pos="485"/>
        </w:tabs>
        <w:spacing w:before="189"/>
        <w:rPr>
          <w:sz w:val="21"/>
        </w:rPr>
      </w:pPr>
      <w:r>
        <w:rPr>
          <w:color w:val="333333"/>
          <w:spacing w:val="-6"/>
          <w:w w:val="110"/>
          <w:sz w:val="21"/>
        </w:rPr>
        <w:t xml:space="preserve">AWS </w:t>
      </w:r>
      <w:r>
        <w:rPr>
          <w:color w:val="333333"/>
          <w:w w:val="110"/>
          <w:sz w:val="21"/>
        </w:rPr>
        <w:t>OPS</w:t>
      </w:r>
      <w:r>
        <w:rPr>
          <w:color w:val="333333"/>
          <w:spacing w:val="12"/>
          <w:w w:val="110"/>
          <w:sz w:val="21"/>
        </w:rPr>
        <w:t xml:space="preserve"> </w:t>
      </w:r>
      <w:r>
        <w:rPr>
          <w:color w:val="333333"/>
          <w:spacing w:val="-4"/>
          <w:w w:val="110"/>
          <w:sz w:val="21"/>
        </w:rPr>
        <w:t>Works</w:t>
      </w:r>
    </w:p>
    <w:p w14:paraId="71BAB5EA" w14:textId="77777777" w:rsidR="00A720EB" w:rsidRDefault="0030286B">
      <w:pPr>
        <w:pStyle w:val="a6"/>
        <w:numPr>
          <w:ilvl w:val="3"/>
          <w:numId w:val="20"/>
        </w:numPr>
        <w:tabs>
          <w:tab w:val="left" w:pos="485"/>
        </w:tabs>
        <w:spacing w:before="189"/>
        <w:rPr>
          <w:sz w:val="21"/>
        </w:rPr>
      </w:pPr>
      <w:r>
        <w:rPr>
          <w:color w:val="333333"/>
          <w:spacing w:val="-6"/>
          <w:w w:val="110"/>
          <w:sz w:val="21"/>
        </w:rPr>
        <w:t xml:space="preserve">AWS </w:t>
      </w:r>
      <w:r>
        <w:rPr>
          <w:color w:val="333333"/>
          <w:w w:val="110"/>
          <w:sz w:val="21"/>
        </w:rPr>
        <w:t>Cloud</w:t>
      </w:r>
      <w:r>
        <w:rPr>
          <w:color w:val="333333"/>
          <w:spacing w:val="10"/>
          <w:w w:val="110"/>
          <w:sz w:val="21"/>
        </w:rPr>
        <w:t xml:space="preserve"> </w:t>
      </w:r>
      <w:r>
        <w:rPr>
          <w:color w:val="333333"/>
          <w:w w:val="110"/>
          <w:sz w:val="21"/>
        </w:rPr>
        <w:t>Formation</w:t>
      </w:r>
    </w:p>
    <w:p w14:paraId="22E1C95F" w14:textId="77777777" w:rsidR="00A720EB" w:rsidRDefault="0030286B">
      <w:pPr>
        <w:pStyle w:val="a6"/>
        <w:numPr>
          <w:ilvl w:val="3"/>
          <w:numId w:val="20"/>
        </w:numPr>
        <w:tabs>
          <w:tab w:val="left" w:pos="485"/>
        </w:tabs>
        <w:spacing w:before="190"/>
        <w:rPr>
          <w:sz w:val="21"/>
        </w:rPr>
      </w:pPr>
      <w:r>
        <w:rPr>
          <w:color w:val="333333"/>
          <w:spacing w:val="-6"/>
          <w:w w:val="110"/>
          <w:sz w:val="21"/>
        </w:rPr>
        <w:t xml:space="preserve">AWS </w:t>
      </w:r>
      <w:r>
        <w:rPr>
          <w:color w:val="333333"/>
          <w:w w:val="110"/>
          <w:sz w:val="21"/>
        </w:rPr>
        <w:t>Container</w:t>
      </w:r>
      <w:r>
        <w:rPr>
          <w:color w:val="333333"/>
          <w:spacing w:val="10"/>
          <w:w w:val="110"/>
          <w:sz w:val="21"/>
        </w:rPr>
        <w:t xml:space="preserve"> </w:t>
      </w:r>
      <w:r>
        <w:rPr>
          <w:color w:val="333333"/>
          <w:w w:val="110"/>
          <w:sz w:val="21"/>
        </w:rPr>
        <w:t>Registry</w:t>
      </w:r>
    </w:p>
    <w:p w14:paraId="4AF702A0" w14:textId="77777777" w:rsidR="00A720EB" w:rsidRDefault="00A720EB">
      <w:pPr>
        <w:pStyle w:val="a3"/>
        <w:spacing w:before="4"/>
        <w:rPr>
          <w:sz w:val="26"/>
        </w:rPr>
      </w:pPr>
    </w:p>
    <w:p w14:paraId="012C880D" w14:textId="77777777" w:rsidR="00A720EB" w:rsidRDefault="0030286B">
      <w:pPr>
        <w:pStyle w:val="a3"/>
        <w:spacing w:line="307" w:lineRule="auto"/>
        <w:ind w:left="124" w:right="137"/>
        <w:jc w:val="both"/>
      </w:pPr>
      <w:r>
        <w:rPr>
          <w:color w:val="333333"/>
          <w:w w:val="110"/>
        </w:rPr>
        <w:t>Each has different features and pricing models. In this document, we describe to approach using</w:t>
      </w:r>
      <w:r>
        <w:rPr>
          <w:color w:val="333333"/>
          <w:spacing w:val="50"/>
          <w:w w:val="110"/>
        </w:rPr>
        <w:t xml:space="preserve"> </w:t>
      </w:r>
      <w:r>
        <w:rPr>
          <w:color w:val="333333"/>
          <w:spacing w:val="-6"/>
          <w:w w:val="110"/>
        </w:rPr>
        <w:t xml:space="preserve">AWS </w:t>
      </w:r>
      <w:r>
        <w:rPr>
          <w:color w:val="333333"/>
          <w:w w:val="110"/>
        </w:rPr>
        <w:t>Elastic</w:t>
      </w:r>
      <w:r>
        <w:rPr>
          <w:color w:val="333333"/>
          <w:spacing w:val="11"/>
          <w:w w:val="110"/>
        </w:rPr>
        <w:t xml:space="preserve"> </w:t>
      </w:r>
      <w:r>
        <w:rPr>
          <w:color w:val="333333"/>
          <w:w w:val="110"/>
        </w:rPr>
        <w:t>Beanstalk.</w:t>
      </w:r>
    </w:p>
    <w:p w14:paraId="246BF89F" w14:textId="77777777" w:rsidR="00A720EB" w:rsidRDefault="00A720EB">
      <w:pPr>
        <w:pStyle w:val="a3"/>
        <w:spacing w:before="8"/>
        <w:rPr>
          <w:sz w:val="25"/>
        </w:rPr>
      </w:pPr>
    </w:p>
    <w:p w14:paraId="5D2DB172" w14:textId="77777777" w:rsidR="00A720EB" w:rsidRDefault="0030286B">
      <w:pPr>
        <w:pStyle w:val="4"/>
        <w:jc w:val="left"/>
      </w:pPr>
      <w:bookmarkStart w:id="703" w:name="AWS_Elastic_Beanstalk"/>
      <w:bookmarkEnd w:id="703"/>
      <w:r>
        <w:rPr>
          <w:color w:val="333333"/>
          <w:w w:val="110"/>
        </w:rPr>
        <w:t>AWS Elastic Beanstalk</w:t>
      </w:r>
    </w:p>
    <w:p w14:paraId="3CFD44E8" w14:textId="77777777" w:rsidR="00A720EB" w:rsidRDefault="00A720EB">
      <w:pPr>
        <w:pStyle w:val="a3"/>
        <w:spacing w:before="12"/>
        <w:rPr>
          <w:rFonts w:ascii="Palatino Linotype"/>
          <w:b/>
          <w:sz w:val="18"/>
        </w:rPr>
      </w:pPr>
    </w:p>
    <w:p w14:paraId="5B495C62" w14:textId="77777777" w:rsidR="00A720EB" w:rsidRDefault="0030286B">
      <w:pPr>
        <w:pStyle w:val="a3"/>
        <w:spacing w:line="307" w:lineRule="auto"/>
        <w:ind w:left="124" w:right="125"/>
        <w:jc w:val="both"/>
      </w:pPr>
      <w:r>
        <w:rPr>
          <w:color w:val="333333"/>
          <w:w w:val="110"/>
        </w:rPr>
        <w:t xml:space="preserve">As described in the official </w:t>
      </w:r>
      <w:hyperlink r:id="rId543">
        <w:r>
          <w:rPr>
            <w:color w:val="418BCA"/>
            <w:w w:val="110"/>
          </w:rPr>
          <w:t>Elastic Beanstalk Java guide</w:t>
        </w:r>
      </w:hyperlink>
      <w:r>
        <w:rPr>
          <w:color w:val="333333"/>
          <w:w w:val="110"/>
        </w:rPr>
        <w:t>, there are two main options to deploy a Java application. You can either use the “Tomcat Platform” or the “Java SE platform”.</w:t>
      </w:r>
    </w:p>
    <w:p w14:paraId="286A0F38" w14:textId="77777777" w:rsidR="00A720EB" w:rsidRDefault="00A720EB">
      <w:pPr>
        <w:pStyle w:val="a3"/>
        <w:spacing w:before="7"/>
        <w:rPr>
          <w:sz w:val="25"/>
        </w:rPr>
      </w:pPr>
    </w:p>
    <w:p w14:paraId="07D6953D" w14:textId="77777777" w:rsidR="00A720EB" w:rsidRDefault="0030286B">
      <w:pPr>
        <w:ind w:left="124"/>
        <w:rPr>
          <w:rFonts w:ascii="Palatino Linotype"/>
          <w:b/>
          <w:sz w:val="18"/>
        </w:rPr>
      </w:pPr>
      <w:r>
        <w:rPr>
          <w:rFonts w:ascii="Palatino Linotype"/>
          <w:b/>
          <w:color w:val="333333"/>
          <w:w w:val="110"/>
          <w:sz w:val="18"/>
        </w:rPr>
        <w:t>Using the Tomcat Platform</w:t>
      </w:r>
    </w:p>
    <w:p w14:paraId="4E27F9FC" w14:textId="77777777" w:rsidR="00A720EB" w:rsidRDefault="00A720EB">
      <w:pPr>
        <w:pStyle w:val="a3"/>
        <w:spacing w:before="12"/>
        <w:rPr>
          <w:rFonts w:ascii="Palatino Linotype"/>
          <w:b/>
          <w:sz w:val="18"/>
        </w:rPr>
      </w:pPr>
    </w:p>
    <w:p w14:paraId="6EAE148E" w14:textId="77777777" w:rsidR="00A720EB" w:rsidRDefault="0030286B">
      <w:pPr>
        <w:pStyle w:val="a3"/>
        <w:spacing w:line="307" w:lineRule="auto"/>
        <w:ind w:left="124" w:right="134"/>
        <w:jc w:val="both"/>
      </w:pPr>
      <w:r>
        <w:rPr>
          <w:color w:val="333333"/>
          <w:w w:val="110"/>
        </w:rPr>
        <w:t>This option applies to Spring Boot projects that produce a war file. No special configuration is required. You need only follow the official guide.</w:t>
      </w:r>
    </w:p>
    <w:p w14:paraId="27578DE3" w14:textId="77777777" w:rsidR="00A720EB" w:rsidRDefault="00A720EB">
      <w:pPr>
        <w:pStyle w:val="a3"/>
        <w:spacing w:before="7"/>
        <w:rPr>
          <w:sz w:val="25"/>
        </w:rPr>
      </w:pPr>
    </w:p>
    <w:p w14:paraId="64EB1282" w14:textId="77777777" w:rsidR="00A720EB" w:rsidRDefault="0030286B">
      <w:pPr>
        <w:ind w:left="124"/>
        <w:rPr>
          <w:rFonts w:ascii="Palatino Linotype"/>
          <w:b/>
          <w:sz w:val="18"/>
        </w:rPr>
      </w:pPr>
      <w:r>
        <w:rPr>
          <w:rFonts w:ascii="Palatino Linotype"/>
          <w:b/>
          <w:color w:val="333333"/>
          <w:w w:val="110"/>
          <w:sz w:val="18"/>
        </w:rPr>
        <w:t>Using the Java SE Platform</w:t>
      </w:r>
    </w:p>
    <w:p w14:paraId="2931E549" w14:textId="77777777" w:rsidR="00A720EB" w:rsidRDefault="00A720EB">
      <w:pPr>
        <w:pStyle w:val="a3"/>
        <w:spacing w:before="11"/>
        <w:rPr>
          <w:rFonts w:ascii="Palatino Linotype"/>
          <w:b/>
          <w:sz w:val="18"/>
        </w:rPr>
      </w:pPr>
    </w:p>
    <w:p w14:paraId="7A35F61C" w14:textId="77777777" w:rsidR="00A720EB" w:rsidRDefault="0030286B">
      <w:pPr>
        <w:pStyle w:val="a3"/>
        <w:spacing w:before="1" w:line="304" w:lineRule="auto"/>
        <w:ind w:left="124" w:right="129"/>
        <w:jc w:val="both"/>
      </w:pPr>
      <w:r>
        <w:rPr>
          <w:color w:val="333333"/>
          <w:w w:val="110"/>
        </w:rPr>
        <w:t xml:space="preserve">This option applies to Spring Boot projects that produce a jar file and run an embedded web container. Elastic Beanstalk environments run </w:t>
      </w:r>
      <w:proofErr w:type="gramStart"/>
      <w:r>
        <w:rPr>
          <w:color w:val="333333"/>
          <w:w w:val="110"/>
        </w:rPr>
        <w:t>an</w:t>
      </w:r>
      <w:proofErr w:type="gramEnd"/>
      <w:r>
        <w:rPr>
          <w:color w:val="333333"/>
          <w:w w:val="110"/>
        </w:rPr>
        <w:t xml:space="preserve"> nginx instance on port 80 to proxy the actual application, running on port 5000. </w:t>
      </w:r>
      <w:r>
        <w:rPr>
          <w:color w:val="333333"/>
          <w:spacing w:val="-4"/>
          <w:w w:val="110"/>
        </w:rPr>
        <w:t xml:space="preserve">To </w:t>
      </w:r>
      <w:r>
        <w:rPr>
          <w:color w:val="333333"/>
          <w:w w:val="110"/>
        </w:rPr>
        <w:t xml:space="preserve">configure it, add the following line to your </w:t>
      </w:r>
      <w:proofErr w:type="gramStart"/>
      <w:r>
        <w:rPr>
          <w:rFonts w:ascii="MS Gothic"/>
          <w:color w:val="B02045"/>
          <w:w w:val="110"/>
        </w:rPr>
        <w:t>application.properties</w:t>
      </w:r>
      <w:proofErr w:type="gramEnd"/>
      <w:r>
        <w:rPr>
          <w:rFonts w:ascii="MS Gothic"/>
          <w:color w:val="B02045"/>
          <w:spacing w:val="-64"/>
          <w:w w:val="110"/>
        </w:rPr>
        <w:t xml:space="preserve"> </w:t>
      </w:r>
      <w:r>
        <w:rPr>
          <w:color w:val="333333"/>
          <w:w w:val="110"/>
        </w:rPr>
        <w:t>file:</w:t>
      </w:r>
    </w:p>
    <w:p w14:paraId="032F9327" w14:textId="77777777" w:rsidR="00A720EB" w:rsidRDefault="00E10349">
      <w:pPr>
        <w:pStyle w:val="a3"/>
        <w:spacing w:before="6"/>
        <w:rPr>
          <w:sz w:val="11"/>
        </w:rPr>
      </w:pPr>
      <w:r>
        <w:pict w14:anchorId="5D00F4F4">
          <v:group id="_x0000_s1880" style="position:absolute;margin-left:47.85pt;margin-top:8.75pt;width:499.55pt;height:37.5pt;z-index:-15172096;mso-wrap-distance-left:0;mso-wrap-distance-right:0;mso-position-horizontal-relative:page" coordorigin="957,175" coordsize="9991,750">
            <v:shape id="_x0000_s1883" style="position:absolute;left:964;top:182;width:9976;height:735" coordorigin="965,183" coordsize="9976,735" path="m10861,183r-9816,l1014,189r-26,17l971,232r-6,31l965,838r6,31l988,894r26,17l1045,918r9816,l10892,911r25,-17l10935,869r6,-31l10941,263r-6,-31l10917,206r-25,-17l10861,183xe" fillcolor="#f5f5f5" stroked="f">
              <v:path arrowok="t"/>
            </v:shape>
            <v:shape id="_x0000_s1882" style="position:absolute;left:964;top:182;width:9976;height:735" coordorigin="965,183" coordsize="9976,735" path="m1045,183r9816,l10892,189r25,17l10935,232r6,31l10941,838r-6,31l10917,894r-25,17l10861,918r-9816,l1014,911,988,894,971,869r-6,-31l965,263r6,-31l988,206r26,-17l1045,183xe" filled="f" strokecolor="#ccc">
              <v:path arrowok="t"/>
            </v:shape>
            <v:shape id="_x0000_s1881" type="#_x0000_t202" style="position:absolute;left:984;top:198;width:9938;height:704" filled="f" stroked="f">
              <v:textbox inset="0,0,0,0">
                <w:txbxContent>
                  <w:p w14:paraId="5A516954" w14:textId="77777777" w:rsidR="00711A16" w:rsidRDefault="00711A16">
                    <w:pPr>
                      <w:spacing w:before="221"/>
                      <w:ind w:left="200"/>
                      <w:rPr>
                        <w:rFonts w:ascii="MS Gothic"/>
                      </w:rPr>
                    </w:pPr>
                    <w:proofErr w:type="gramStart"/>
                    <w:r>
                      <w:rPr>
                        <w:rFonts w:ascii="MS Gothic"/>
                        <w:color w:val="333333"/>
                      </w:rPr>
                      <w:t>server.port</w:t>
                    </w:r>
                    <w:proofErr w:type="gramEnd"/>
                    <w:r>
                      <w:rPr>
                        <w:rFonts w:ascii="MS Gothic"/>
                        <w:color w:val="333333"/>
                      </w:rPr>
                      <w:t>=5000</w:t>
                    </w:r>
                  </w:p>
                </w:txbxContent>
              </v:textbox>
            </v:shape>
            <w10:wrap type="topAndBottom" anchorx="page"/>
          </v:group>
        </w:pict>
      </w:r>
    </w:p>
    <w:p w14:paraId="532CDFC3" w14:textId="77777777" w:rsidR="00A720EB" w:rsidRDefault="00A720EB">
      <w:pPr>
        <w:pStyle w:val="a3"/>
        <w:spacing w:before="9"/>
        <w:rPr>
          <w:sz w:val="16"/>
        </w:rPr>
      </w:pPr>
    </w:p>
    <w:p w14:paraId="7B911634" w14:textId="77777777" w:rsidR="00A720EB" w:rsidRDefault="00E10349">
      <w:pPr>
        <w:spacing w:before="103"/>
        <w:ind w:left="1564"/>
        <w:rPr>
          <w:rFonts w:ascii="Palatino Linotype"/>
          <w:i/>
          <w:sz w:val="20"/>
        </w:rPr>
      </w:pPr>
      <w:r>
        <w:pict w14:anchorId="08C226C3">
          <v:line id="_x0000_s1879" style="position:absolute;left:0;text-align:left;z-index:-41248256;mso-position-horizontal-relative:page" from="108.25pt,.3pt" to="108.25pt,138.1pt" strokecolor="#ededed" strokeweight=".5pt">
            <w10:wrap anchorx="page"/>
          </v:line>
        </w:pict>
      </w:r>
      <w:r w:rsidR="0030286B">
        <w:rPr>
          <w:rFonts w:ascii="Palatino Linotype"/>
          <w:i/>
          <w:color w:val="333333"/>
          <w:w w:val="120"/>
          <w:sz w:val="20"/>
        </w:rPr>
        <w:t>Upload binaries instead of sources</w:t>
      </w:r>
    </w:p>
    <w:p w14:paraId="080DBBFC" w14:textId="77777777" w:rsidR="00A720EB" w:rsidRDefault="0030286B">
      <w:pPr>
        <w:pStyle w:val="a3"/>
        <w:spacing w:before="133" w:line="307" w:lineRule="auto"/>
        <w:ind w:left="1564" w:right="398"/>
      </w:pPr>
      <w:r>
        <w:rPr>
          <w:color w:val="333333"/>
          <w:spacing w:val="-3"/>
          <w:w w:val="110"/>
        </w:rPr>
        <w:t xml:space="preserve">By </w:t>
      </w:r>
      <w:r>
        <w:rPr>
          <w:color w:val="333333"/>
          <w:w w:val="110"/>
        </w:rPr>
        <w:t xml:space="preserve">default, Elastic Beanstalk uploads sources and compiles them in </w:t>
      </w:r>
      <w:r>
        <w:rPr>
          <w:color w:val="333333"/>
          <w:spacing w:val="-5"/>
          <w:w w:val="110"/>
        </w:rPr>
        <w:t xml:space="preserve">AWS. </w:t>
      </w:r>
      <w:r>
        <w:rPr>
          <w:color w:val="333333"/>
          <w:w w:val="110"/>
        </w:rPr>
        <w:t>However, it</w:t>
      </w:r>
      <w:r>
        <w:rPr>
          <w:color w:val="333333"/>
          <w:spacing w:val="11"/>
          <w:w w:val="110"/>
        </w:rPr>
        <w:t xml:space="preserve"> </w:t>
      </w:r>
      <w:r>
        <w:rPr>
          <w:color w:val="333333"/>
          <w:w w:val="110"/>
        </w:rPr>
        <w:t>is</w:t>
      </w:r>
      <w:r>
        <w:rPr>
          <w:color w:val="333333"/>
          <w:spacing w:val="11"/>
          <w:w w:val="110"/>
        </w:rPr>
        <w:t xml:space="preserve"> </w:t>
      </w:r>
      <w:r>
        <w:rPr>
          <w:color w:val="333333"/>
          <w:w w:val="110"/>
        </w:rPr>
        <w:t>best</w:t>
      </w:r>
      <w:r>
        <w:rPr>
          <w:color w:val="333333"/>
          <w:spacing w:val="11"/>
          <w:w w:val="110"/>
        </w:rPr>
        <w:t xml:space="preserve"> </w:t>
      </w:r>
      <w:r>
        <w:rPr>
          <w:color w:val="333333"/>
          <w:w w:val="110"/>
        </w:rPr>
        <w:t>to</w:t>
      </w:r>
      <w:r>
        <w:rPr>
          <w:color w:val="333333"/>
          <w:spacing w:val="12"/>
          <w:w w:val="110"/>
        </w:rPr>
        <w:t xml:space="preserve"> </w:t>
      </w:r>
      <w:r>
        <w:rPr>
          <w:color w:val="333333"/>
          <w:w w:val="110"/>
        </w:rPr>
        <w:t>upload</w:t>
      </w:r>
      <w:r>
        <w:rPr>
          <w:color w:val="333333"/>
          <w:spacing w:val="11"/>
          <w:w w:val="110"/>
        </w:rPr>
        <w:t xml:space="preserve"> </w:t>
      </w:r>
      <w:r>
        <w:rPr>
          <w:color w:val="333333"/>
          <w:w w:val="110"/>
        </w:rPr>
        <w:t>the</w:t>
      </w:r>
      <w:r>
        <w:rPr>
          <w:color w:val="333333"/>
          <w:spacing w:val="11"/>
          <w:w w:val="110"/>
        </w:rPr>
        <w:t xml:space="preserve"> </w:t>
      </w:r>
      <w:r>
        <w:rPr>
          <w:color w:val="333333"/>
          <w:w w:val="110"/>
        </w:rPr>
        <w:t>binaries</w:t>
      </w:r>
      <w:r>
        <w:rPr>
          <w:color w:val="333333"/>
          <w:spacing w:val="11"/>
          <w:w w:val="110"/>
        </w:rPr>
        <w:t xml:space="preserve"> </w:t>
      </w:r>
      <w:r>
        <w:rPr>
          <w:color w:val="333333"/>
          <w:w w:val="110"/>
        </w:rPr>
        <w:t>instead.</w:t>
      </w:r>
      <w:r>
        <w:rPr>
          <w:color w:val="333333"/>
          <w:spacing w:val="12"/>
          <w:w w:val="110"/>
        </w:rPr>
        <w:t xml:space="preserve"> </w:t>
      </w:r>
      <w:r>
        <w:rPr>
          <w:color w:val="333333"/>
          <w:spacing w:val="-4"/>
          <w:w w:val="110"/>
        </w:rPr>
        <w:t>To</w:t>
      </w:r>
      <w:r>
        <w:rPr>
          <w:color w:val="333333"/>
          <w:spacing w:val="11"/>
          <w:w w:val="110"/>
        </w:rPr>
        <w:t xml:space="preserve"> </w:t>
      </w:r>
      <w:r>
        <w:rPr>
          <w:color w:val="333333"/>
          <w:w w:val="110"/>
        </w:rPr>
        <w:t>do</w:t>
      </w:r>
      <w:r>
        <w:rPr>
          <w:color w:val="333333"/>
          <w:spacing w:val="11"/>
          <w:w w:val="110"/>
        </w:rPr>
        <w:t xml:space="preserve"> </w:t>
      </w:r>
      <w:r>
        <w:rPr>
          <w:color w:val="333333"/>
          <w:w w:val="110"/>
        </w:rPr>
        <w:t>so,</w:t>
      </w:r>
      <w:r>
        <w:rPr>
          <w:color w:val="333333"/>
          <w:spacing w:val="11"/>
          <w:w w:val="110"/>
        </w:rPr>
        <w:t xml:space="preserve"> </w:t>
      </w:r>
      <w:r>
        <w:rPr>
          <w:color w:val="333333"/>
          <w:w w:val="110"/>
        </w:rPr>
        <w:t>add</w:t>
      </w:r>
      <w:r>
        <w:rPr>
          <w:color w:val="333333"/>
          <w:spacing w:val="12"/>
          <w:w w:val="110"/>
        </w:rPr>
        <w:t xml:space="preserve"> </w:t>
      </w:r>
      <w:r>
        <w:rPr>
          <w:color w:val="333333"/>
          <w:w w:val="110"/>
        </w:rPr>
        <w:t>lines</w:t>
      </w:r>
      <w:r>
        <w:rPr>
          <w:color w:val="333333"/>
          <w:spacing w:val="11"/>
          <w:w w:val="110"/>
        </w:rPr>
        <w:t xml:space="preserve"> </w:t>
      </w:r>
      <w:r>
        <w:rPr>
          <w:color w:val="333333"/>
          <w:w w:val="110"/>
        </w:rPr>
        <w:t>similar</w:t>
      </w:r>
      <w:r>
        <w:rPr>
          <w:color w:val="333333"/>
          <w:spacing w:val="11"/>
          <w:w w:val="110"/>
        </w:rPr>
        <w:t xml:space="preserve"> </w:t>
      </w:r>
      <w:r>
        <w:rPr>
          <w:color w:val="333333"/>
          <w:w w:val="110"/>
        </w:rPr>
        <w:t>to</w:t>
      </w:r>
      <w:r>
        <w:rPr>
          <w:color w:val="333333"/>
          <w:spacing w:val="11"/>
          <w:w w:val="110"/>
        </w:rPr>
        <w:t xml:space="preserve"> </w:t>
      </w:r>
      <w:r>
        <w:rPr>
          <w:color w:val="333333"/>
          <w:w w:val="110"/>
        </w:rPr>
        <w:t>the</w:t>
      </w:r>
      <w:r>
        <w:rPr>
          <w:color w:val="333333"/>
          <w:spacing w:val="12"/>
          <w:w w:val="110"/>
        </w:rPr>
        <w:t xml:space="preserve"> </w:t>
      </w:r>
      <w:r>
        <w:rPr>
          <w:color w:val="333333"/>
          <w:w w:val="110"/>
        </w:rPr>
        <w:t>following</w:t>
      </w:r>
    </w:p>
    <w:p w14:paraId="11F16607" w14:textId="77777777" w:rsidR="00A720EB" w:rsidRDefault="0030286B">
      <w:pPr>
        <w:spacing w:after="19" w:line="488" w:lineRule="exact"/>
        <w:ind w:left="559"/>
        <w:rPr>
          <w:sz w:val="21"/>
        </w:rPr>
      </w:pPr>
      <w:r>
        <w:rPr>
          <w:noProof/>
          <w:position w:val="-28"/>
        </w:rPr>
        <w:drawing>
          <wp:inline distT="0" distB="0" distL="0" distR="0" wp14:anchorId="1B55AC75" wp14:editId="40C5BF06">
            <wp:extent cx="209550" cy="304800"/>
            <wp:effectExtent l="0" t="0" r="0" b="0"/>
            <wp:docPr id="6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32.png"/>
                    <pic:cNvPicPr/>
                  </pic:nvPicPr>
                  <pic:blipFill>
                    <a:blip r:embed="rId31" cstate="print"/>
                    <a:stretch>
                      <a:fillRect/>
                    </a:stretch>
                  </pic:blipFill>
                  <pic:spPr>
                    <a:xfrm>
                      <a:off x="0" y="0"/>
                      <a:ext cx="209550" cy="304800"/>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33333"/>
          <w:w w:val="110"/>
          <w:sz w:val="21"/>
        </w:rPr>
        <w:t xml:space="preserve">to your </w:t>
      </w:r>
      <w:r>
        <w:rPr>
          <w:rFonts w:ascii="MS Gothic"/>
          <w:color w:val="B02045"/>
          <w:w w:val="110"/>
          <w:sz w:val="21"/>
        </w:rPr>
        <w:t>.elasticbeanstalk/config.yml</w:t>
      </w:r>
      <w:r>
        <w:rPr>
          <w:rFonts w:ascii="MS Gothic"/>
          <w:color w:val="B02045"/>
          <w:spacing w:val="-65"/>
          <w:w w:val="110"/>
          <w:sz w:val="21"/>
        </w:rPr>
        <w:t xml:space="preserve"> </w:t>
      </w:r>
      <w:r>
        <w:rPr>
          <w:color w:val="333333"/>
          <w:w w:val="110"/>
          <w:sz w:val="21"/>
        </w:rPr>
        <w:t>file:</w:t>
      </w:r>
    </w:p>
    <w:p w14:paraId="74E3C5D9" w14:textId="77777777" w:rsidR="00A720EB" w:rsidRDefault="00E10349">
      <w:pPr>
        <w:pStyle w:val="a3"/>
        <w:ind w:left="1556"/>
        <w:rPr>
          <w:sz w:val="20"/>
        </w:rPr>
      </w:pPr>
      <w:r>
        <w:rPr>
          <w:sz w:val="20"/>
        </w:rPr>
      </w:r>
      <w:r>
        <w:rPr>
          <w:sz w:val="20"/>
        </w:rPr>
        <w:pict w14:anchorId="530631AB">
          <v:group id="_x0000_s1875" style="width:415.55pt;height:52.25pt;mso-position-horizontal-relative:char;mso-position-vertical-relative:line" coordsize="8311,1045">
            <v:shape id="_x0000_s1878" style="position:absolute;left:7;top:7;width:8296;height:1030" coordorigin="8,8" coordsize="8296,1030" path="m8224,8l88,8,56,14,31,31,14,56,8,88r,869l14,988r17,26l56,1031r32,6l8224,1037r31,-6l8280,1014r17,-26l8304,957r,-869l8297,56,8280,31,8255,14,8224,8xe" fillcolor="#f5f5f5" stroked="f">
              <v:path arrowok="t"/>
            </v:shape>
            <v:shape id="_x0000_s1877" style="position:absolute;left:7;top:7;width:8296;height:1030" coordorigin="8,8" coordsize="8296,1030" path="m88,8r8136,l8255,14r25,17l8297,56r7,32l8304,957r-7,31l8280,1014r-25,17l8224,1037r-8136,l56,1031,31,1014,14,988,8,957,8,88,14,56,31,31,56,14,88,8xe" filled="f" strokecolor="#ccc">
              <v:path arrowok="t"/>
            </v:shape>
            <v:shape id="_x0000_s1876" type="#_x0000_t202" style="position:absolute;left:26;top:22;width:8258;height:999" filled="f" stroked="f">
              <v:textbox inset="0,0,0,0">
                <w:txbxContent>
                  <w:p w14:paraId="18933143" w14:textId="77777777" w:rsidR="00711A16" w:rsidRDefault="00711A16">
                    <w:pPr>
                      <w:spacing w:before="221"/>
                      <w:ind w:left="200"/>
                      <w:rPr>
                        <w:rFonts w:ascii="MS Gothic"/>
                      </w:rPr>
                    </w:pPr>
                    <w:r>
                      <w:rPr>
                        <w:rFonts w:ascii="MS Gothic"/>
                        <w:color w:val="333333"/>
                      </w:rPr>
                      <w:t>deploy:</w:t>
                    </w:r>
                  </w:p>
                  <w:p w14:paraId="61D5A57D" w14:textId="77777777" w:rsidR="00711A16" w:rsidRDefault="00711A16">
                    <w:pPr>
                      <w:spacing w:before="13"/>
                      <w:ind w:left="640"/>
                      <w:rPr>
                        <w:rFonts w:ascii="MS Gothic"/>
                      </w:rPr>
                    </w:pPr>
                    <w:r>
                      <w:rPr>
                        <w:rFonts w:ascii="MS Gothic"/>
                        <w:color w:val="333333"/>
                      </w:rPr>
                      <w:t>artifact: target/demo-0.0.1-SNAPSHOT.jar</w:t>
                    </w:r>
                  </w:p>
                </w:txbxContent>
              </v:textbox>
            </v:shape>
            <w10:anchorlock/>
          </v:group>
        </w:pict>
      </w:r>
    </w:p>
    <w:p w14:paraId="612A1595" w14:textId="77777777" w:rsidR="00A720EB" w:rsidRDefault="00A720EB">
      <w:pPr>
        <w:rPr>
          <w:sz w:val="20"/>
        </w:rPr>
        <w:sectPr w:rsidR="00A720EB">
          <w:pgSz w:w="11910" w:h="16840"/>
          <w:pgMar w:top="640" w:right="840" w:bottom="520" w:left="840" w:header="0" w:footer="323" w:gutter="0"/>
          <w:cols w:space="720"/>
        </w:sectPr>
      </w:pPr>
    </w:p>
    <w:p w14:paraId="268AE9CB" w14:textId="77777777" w:rsidR="00A720EB" w:rsidRDefault="00E10349">
      <w:pPr>
        <w:spacing w:before="99"/>
        <w:ind w:left="1564"/>
        <w:jc w:val="both"/>
        <w:rPr>
          <w:rFonts w:ascii="Palatino Linotype"/>
          <w:i/>
          <w:sz w:val="20"/>
        </w:rPr>
      </w:pPr>
      <w:r>
        <w:lastRenderedPageBreak/>
        <w:pict w14:anchorId="2FAC5EA4">
          <v:line id="_x0000_s1874" style="position:absolute;left:0;text-align:left;z-index:16287744;mso-position-horizontal-relative:page" from="108.25pt,.1pt" to="108.25pt,138.95pt" strokecolor="#ededed" strokeweight=".5pt">
            <w10:wrap anchorx="page"/>
          </v:line>
        </w:pict>
      </w:r>
      <w:r w:rsidR="0030286B">
        <w:rPr>
          <w:rFonts w:ascii="Palatino Linotype"/>
          <w:i/>
          <w:color w:val="333333"/>
          <w:w w:val="115"/>
          <w:sz w:val="20"/>
        </w:rPr>
        <w:t>Reduce costs by setting the environment type</w:t>
      </w:r>
    </w:p>
    <w:p w14:paraId="3A37E378" w14:textId="77777777" w:rsidR="00A720EB" w:rsidRDefault="0030286B">
      <w:pPr>
        <w:pStyle w:val="a3"/>
        <w:spacing w:before="133" w:line="307" w:lineRule="auto"/>
        <w:ind w:left="1564" w:right="364"/>
        <w:jc w:val="both"/>
      </w:pPr>
      <w:r>
        <w:rPr>
          <w:noProof/>
        </w:rPr>
        <w:drawing>
          <wp:anchor distT="0" distB="0" distL="0" distR="0" simplePos="0" relativeHeight="16288256" behindDoc="0" locked="0" layoutInCell="1" allowOverlap="1" wp14:anchorId="02B7742D" wp14:editId="52F09779">
            <wp:simplePos x="0" y="0"/>
            <wp:positionH relativeFrom="page">
              <wp:posOffset>888949</wp:posOffset>
            </wp:positionH>
            <wp:positionV relativeFrom="paragraph">
              <wp:posOffset>496538</wp:posOffset>
            </wp:positionV>
            <wp:extent cx="209550" cy="304800"/>
            <wp:effectExtent l="0" t="0" r="0" b="0"/>
            <wp:wrapNone/>
            <wp:docPr id="6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2.png"/>
                    <pic:cNvPicPr/>
                  </pic:nvPicPr>
                  <pic:blipFill>
                    <a:blip r:embed="rId31" cstate="print"/>
                    <a:stretch>
                      <a:fillRect/>
                    </a:stretch>
                  </pic:blipFill>
                  <pic:spPr>
                    <a:xfrm>
                      <a:off x="0" y="0"/>
                      <a:ext cx="209550" cy="304800"/>
                    </a:xfrm>
                    <a:prstGeom prst="rect">
                      <a:avLst/>
                    </a:prstGeom>
                  </pic:spPr>
                </pic:pic>
              </a:graphicData>
            </a:graphic>
          </wp:anchor>
        </w:drawing>
      </w:r>
      <w:proofErr w:type="gramStart"/>
      <w:r>
        <w:rPr>
          <w:color w:val="333333"/>
          <w:spacing w:val="-3"/>
          <w:w w:val="110"/>
        </w:rPr>
        <w:t xml:space="preserve">By  </w:t>
      </w:r>
      <w:r>
        <w:rPr>
          <w:color w:val="333333"/>
          <w:w w:val="110"/>
        </w:rPr>
        <w:t>default</w:t>
      </w:r>
      <w:proofErr w:type="gramEnd"/>
      <w:r>
        <w:rPr>
          <w:color w:val="333333"/>
          <w:w w:val="110"/>
        </w:rPr>
        <w:t xml:space="preserve"> an Elastic Beanstalk environment is load balanced. The load </w:t>
      </w:r>
      <w:proofErr w:type="gramStart"/>
      <w:r>
        <w:rPr>
          <w:color w:val="333333"/>
          <w:w w:val="110"/>
        </w:rPr>
        <w:t>balancer  has</w:t>
      </w:r>
      <w:proofErr w:type="gramEnd"/>
      <w:r>
        <w:rPr>
          <w:color w:val="333333"/>
          <w:w w:val="110"/>
        </w:rPr>
        <w:t xml:space="preserve"> a significant cost. </w:t>
      </w:r>
      <w:r>
        <w:rPr>
          <w:color w:val="333333"/>
          <w:spacing w:val="-4"/>
          <w:w w:val="110"/>
        </w:rPr>
        <w:t xml:space="preserve">To </w:t>
      </w:r>
      <w:r>
        <w:rPr>
          <w:color w:val="333333"/>
          <w:w w:val="110"/>
        </w:rPr>
        <w:t xml:space="preserve">avoid that cost, set the environment type to “Single instance”, as described in </w:t>
      </w:r>
      <w:hyperlink r:id="rId544" w:anchor="environments-create-wizard-capacity">
        <w:r>
          <w:rPr>
            <w:color w:val="418BCA"/>
            <w:w w:val="110"/>
          </w:rPr>
          <w:t>the Amazon documentation</w:t>
        </w:r>
      </w:hyperlink>
      <w:r>
        <w:rPr>
          <w:color w:val="333333"/>
          <w:w w:val="110"/>
        </w:rPr>
        <w:t xml:space="preserve">. </w:t>
      </w:r>
      <w:r>
        <w:rPr>
          <w:color w:val="333333"/>
          <w:spacing w:val="-6"/>
          <w:w w:val="110"/>
        </w:rPr>
        <w:t xml:space="preserve">You </w:t>
      </w:r>
      <w:r>
        <w:rPr>
          <w:color w:val="333333"/>
          <w:w w:val="110"/>
        </w:rPr>
        <w:t xml:space="preserve">can also create single instance environments </w:t>
      </w:r>
      <w:r>
        <w:rPr>
          <w:color w:val="333333"/>
          <w:spacing w:val="-3"/>
          <w:w w:val="110"/>
        </w:rPr>
        <w:t xml:space="preserve">by </w:t>
      </w:r>
      <w:r>
        <w:rPr>
          <w:color w:val="333333"/>
          <w:w w:val="110"/>
        </w:rPr>
        <w:t>using the CLI and the following</w:t>
      </w:r>
      <w:r>
        <w:rPr>
          <w:color w:val="333333"/>
          <w:spacing w:val="47"/>
          <w:w w:val="110"/>
        </w:rPr>
        <w:t xml:space="preserve"> </w:t>
      </w:r>
      <w:r>
        <w:rPr>
          <w:color w:val="333333"/>
          <w:w w:val="110"/>
        </w:rPr>
        <w:t>command:</w:t>
      </w:r>
    </w:p>
    <w:p w14:paraId="0D1E3A74" w14:textId="77777777" w:rsidR="00A720EB" w:rsidRDefault="00E10349">
      <w:pPr>
        <w:pStyle w:val="a3"/>
        <w:spacing w:before="2"/>
        <w:rPr>
          <w:sz w:val="13"/>
        </w:rPr>
      </w:pPr>
      <w:r>
        <w:pict w14:anchorId="72EFCE7B">
          <v:group id="_x0000_s1870" style="position:absolute;margin-left:119.85pt;margin-top:9.75pt;width:415.55pt;height:37.5pt;z-index:-15170560;mso-wrap-distance-left:0;mso-wrap-distance-right:0;mso-position-horizontal-relative:page" coordorigin="2397,195" coordsize="8311,750">
            <v:shape id="_x0000_s1873" style="position:absolute;left:2404;top:202;width:8296;height:735" coordorigin="2405,202" coordsize="8296,735" path="m10621,202r-8136,l2454,208r-26,18l2411,251r-6,31l2405,857r6,31l2428,913r26,18l2485,937r8136,l10652,931r25,-18l10695,888r6,-31l10701,282r-6,-31l10677,226r-25,-18l10621,202xe" fillcolor="#f5f5f5" stroked="f">
              <v:path arrowok="t"/>
            </v:shape>
            <v:shape id="_x0000_s1872" style="position:absolute;left:2404;top:202;width:8296;height:735" coordorigin="2405,202" coordsize="8296,735" path="m2485,202r8136,l10652,208r25,18l10695,251r6,31l10701,857r-6,31l10677,913r-25,18l10621,937r-8136,l2454,931r-26,-18l2411,888r-6,-31l2405,282r6,-31l2428,226r26,-18l2485,202xe" filled="f" strokecolor="#ccc">
              <v:path arrowok="t"/>
            </v:shape>
            <v:shape id="_x0000_s1871" type="#_x0000_t202" style="position:absolute;left:2424;top:217;width:8258;height:704" filled="f" stroked="f">
              <v:textbox inset="0,0,0,0">
                <w:txbxContent>
                  <w:p w14:paraId="50FC4844" w14:textId="77777777" w:rsidR="00711A16" w:rsidRDefault="00711A16">
                    <w:pPr>
                      <w:spacing w:before="221"/>
                      <w:ind w:left="200"/>
                      <w:rPr>
                        <w:rFonts w:ascii="MS Gothic"/>
                      </w:rPr>
                    </w:pPr>
                    <w:r>
                      <w:rPr>
                        <w:rFonts w:ascii="MS Gothic"/>
                        <w:color w:val="333333"/>
                      </w:rPr>
                      <w:t>eb create -s</w:t>
                    </w:r>
                  </w:p>
                </w:txbxContent>
              </v:textbox>
            </v:shape>
            <w10:wrap type="topAndBottom" anchorx="page"/>
          </v:group>
        </w:pict>
      </w:r>
    </w:p>
    <w:p w14:paraId="5BB52F08" w14:textId="77777777" w:rsidR="00A720EB" w:rsidRDefault="00A720EB">
      <w:pPr>
        <w:pStyle w:val="a3"/>
        <w:spacing w:before="9"/>
        <w:rPr>
          <w:sz w:val="23"/>
        </w:rPr>
      </w:pPr>
    </w:p>
    <w:p w14:paraId="50DA3D44" w14:textId="77777777" w:rsidR="00A720EB" w:rsidRDefault="0030286B">
      <w:pPr>
        <w:pStyle w:val="4"/>
        <w:spacing w:before="104"/>
        <w:jc w:val="left"/>
      </w:pPr>
      <w:bookmarkStart w:id="704" w:name="Summary"/>
      <w:bookmarkEnd w:id="704"/>
      <w:r>
        <w:rPr>
          <w:color w:val="333333"/>
          <w:w w:val="110"/>
        </w:rPr>
        <w:t>Summary</w:t>
      </w:r>
    </w:p>
    <w:p w14:paraId="5F6D411A" w14:textId="77777777" w:rsidR="00A720EB" w:rsidRDefault="00A720EB">
      <w:pPr>
        <w:pStyle w:val="a3"/>
        <w:spacing w:before="11"/>
        <w:rPr>
          <w:rFonts w:ascii="Palatino Linotype"/>
          <w:b/>
          <w:sz w:val="18"/>
        </w:rPr>
      </w:pPr>
    </w:p>
    <w:p w14:paraId="7D6775C2" w14:textId="77777777" w:rsidR="00A720EB" w:rsidRDefault="0030286B">
      <w:pPr>
        <w:pStyle w:val="a3"/>
        <w:spacing w:line="307" w:lineRule="auto"/>
        <w:ind w:left="124" w:right="128"/>
        <w:jc w:val="both"/>
      </w:pPr>
      <w:r>
        <w:rPr>
          <w:color w:val="333333"/>
          <w:w w:val="110"/>
        </w:rPr>
        <w:t xml:space="preserve">This is one of the easiest ways to get to </w:t>
      </w:r>
      <w:r>
        <w:rPr>
          <w:color w:val="333333"/>
          <w:spacing w:val="-5"/>
          <w:w w:val="110"/>
        </w:rPr>
        <w:t xml:space="preserve">AWS, </w:t>
      </w:r>
      <w:r>
        <w:rPr>
          <w:color w:val="333333"/>
          <w:w w:val="110"/>
        </w:rPr>
        <w:t xml:space="preserve">but there are more things to cover, such as how to integrate Elastic Beanstalk into any CI </w:t>
      </w:r>
      <w:r>
        <w:rPr>
          <w:color w:val="333333"/>
        </w:rPr>
        <w:t xml:space="preserve">/ </w:t>
      </w:r>
      <w:r>
        <w:rPr>
          <w:color w:val="333333"/>
          <w:w w:val="110"/>
        </w:rPr>
        <w:t xml:space="preserve">CD tool, use the Elastic Beanstalk Maven plugin instead </w:t>
      </w:r>
      <w:proofErr w:type="gramStart"/>
      <w:r>
        <w:rPr>
          <w:color w:val="333333"/>
          <w:w w:val="110"/>
        </w:rPr>
        <w:t>of  the</w:t>
      </w:r>
      <w:proofErr w:type="gramEnd"/>
      <w:r>
        <w:rPr>
          <w:color w:val="333333"/>
          <w:w w:val="110"/>
        </w:rPr>
        <w:t xml:space="preserve"> CLI, and others. There is a </w:t>
      </w:r>
      <w:hyperlink r:id="rId545">
        <w:r>
          <w:rPr>
            <w:color w:val="418BCA"/>
            <w:w w:val="110"/>
          </w:rPr>
          <w:t xml:space="preserve">blog post </w:t>
        </w:r>
      </w:hyperlink>
      <w:r>
        <w:rPr>
          <w:color w:val="333333"/>
          <w:w w:val="110"/>
        </w:rPr>
        <w:t>covering these topics more in</w:t>
      </w:r>
      <w:r>
        <w:rPr>
          <w:color w:val="333333"/>
          <w:spacing w:val="47"/>
          <w:w w:val="110"/>
        </w:rPr>
        <w:t xml:space="preserve"> </w:t>
      </w:r>
      <w:r>
        <w:rPr>
          <w:color w:val="333333"/>
          <w:w w:val="110"/>
        </w:rPr>
        <w:t>detail.</w:t>
      </w:r>
    </w:p>
    <w:p w14:paraId="051D8239" w14:textId="77777777" w:rsidR="00A720EB" w:rsidRDefault="00A720EB">
      <w:pPr>
        <w:pStyle w:val="a3"/>
        <w:spacing w:before="9"/>
        <w:rPr>
          <w:sz w:val="25"/>
        </w:rPr>
      </w:pPr>
    </w:p>
    <w:p w14:paraId="58198A2A" w14:textId="77777777" w:rsidR="00A720EB" w:rsidRDefault="0030286B">
      <w:pPr>
        <w:pStyle w:val="3"/>
        <w:numPr>
          <w:ilvl w:val="2"/>
          <w:numId w:val="20"/>
        </w:numPr>
        <w:tabs>
          <w:tab w:val="left" w:pos="858"/>
        </w:tabs>
        <w:spacing w:before="1"/>
        <w:ind w:hanging="734"/>
      </w:pPr>
      <w:bookmarkStart w:id="705" w:name="6.2.6._Boxfuse_and_Amazon_Web_Services"/>
      <w:bookmarkStart w:id="706" w:name="_Toc54423886"/>
      <w:bookmarkEnd w:id="705"/>
      <w:r>
        <w:rPr>
          <w:color w:val="333333"/>
          <w:w w:val="110"/>
        </w:rPr>
        <w:t xml:space="preserve">Boxfuse and Amazon </w:t>
      </w:r>
      <w:r>
        <w:rPr>
          <w:color w:val="333333"/>
          <w:spacing w:val="-6"/>
          <w:w w:val="110"/>
        </w:rPr>
        <w:t>Web</w:t>
      </w:r>
      <w:r>
        <w:rPr>
          <w:color w:val="333333"/>
          <w:spacing w:val="-22"/>
          <w:w w:val="110"/>
        </w:rPr>
        <w:t xml:space="preserve"> </w:t>
      </w:r>
      <w:r>
        <w:rPr>
          <w:color w:val="333333"/>
          <w:w w:val="110"/>
        </w:rPr>
        <w:t>Services</w:t>
      </w:r>
      <w:bookmarkEnd w:id="706"/>
    </w:p>
    <w:p w14:paraId="66D655B5" w14:textId="77777777" w:rsidR="00A720EB" w:rsidRDefault="00E10349">
      <w:pPr>
        <w:pStyle w:val="a3"/>
        <w:spacing w:before="253" w:line="307" w:lineRule="auto"/>
        <w:ind w:left="124" w:right="130"/>
        <w:jc w:val="both"/>
      </w:pPr>
      <w:hyperlink r:id="rId546">
        <w:r w:rsidR="0030286B">
          <w:rPr>
            <w:color w:val="418BCA"/>
            <w:w w:val="110"/>
          </w:rPr>
          <w:t xml:space="preserve">Boxfuse </w:t>
        </w:r>
      </w:hyperlink>
      <w:r w:rsidR="0030286B">
        <w:rPr>
          <w:color w:val="333333"/>
          <w:w w:val="110"/>
        </w:rPr>
        <w:t xml:space="preserve">works </w:t>
      </w:r>
      <w:r w:rsidR="0030286B">
        <w:rPr>
          <w:color w:val="333333"/>
          <w:spacing w:val="-3"/>
          <w:w w:val="110"/>
        </w:rPr>
        <w:t xml:space="preserve">by </w:t>
      </w:r>
      <w:r w:rsidR="0030286B">
        <w:rPr>
          <w:color w:val="333333"/>
          <w:w w:val="110"/>
        </w:rPr>
        <w:t xml:space="preserve">turning your Spring Boot executable jar or war into a minimal VM image that can be deployed unchanged either on VirtualBox or on </w:t>
      </w:r>
      <w:r w:rsidR="0030286B">
        <w:rPr>
          <w:color w:val="333333"/>
          <w:spacing w:val="-5"/>
          <w:w w:val="110"/>
        </w:rPr>
        <w:t xml:space="preserve">AWS. </w:t>
      </w:r>
      <w:r w:rsidR="0030286B">
        <w:rPr>
          <w:color w:val="333333"/>
          <w:w w:val="110"/>
        </w:rPr>
        <w:t xml:space="preserve">Boxfuse comes with deep integration </w:t>
      </w:r>
      <w:proofErr w:type="gramStart"/>
      <w:r w:rsidR="0030286B">
        <w:rPr>
          <w:color w:val="333333"/>
          <w:w w:val="110"/>
        </w:rPr>
        <w:t>for  Spring</w:t>
      </w:r>
      <w:proofErr w:type="gramEnd"/>
      <w:r w:rsidR="0030286B">
        <w:rPr>
          <w:color w:val="333333"/>
          <w:w w:val="110"/>
        </w:rPr>
        <w:t xml:space="preserve"> Boot and uses the information from your Spring Boot configuration file to automatically configure ports and health check URLs. Boxfuse leverages this information both for the images it produces as well as for all the resources it provisions (instances, security groups, elastic load balancers, and so</w:t>
      </w:r>
      <w:r w:rsidR="0030286B">
        <w:rPr>
          <w:color w:val="333333"/>
          <w:spacing w:val="8"/>
          <w:w w:val="110"/>
        </w:rPr>
        <w:t xml:space="preserve"> </w:t>
      </w:r>
      <w:r w:rsidR="0030286B">
        <w:rPr>
          <w:color w:val="333333"/>
          <w:w w:val="110"/>
        </w:rPr>
        <w:t>on).</w:t>
      </w:r>
    </w:p>
    <w:p w14:paraId="47A2E289" w14:textId="77777777" w:rsidR="00A720EB" w:rsidRDefault="0030286B">
      <w:pPr>
        <w:pStyle w:val="a3"/>
        <w:spacing w:before="243" w:line="297" w:lineRule="auto"/>
        <w:ind w:left="124" w:right="130"/>
        <w:jc w:val="both"/>
      </w:pPr>
      <w:r>
        <w:rPr>
          <w:color w:val="333333"/>
          <w:w w:val="110"/>
        </w:rPr>
        <w:t xml:space="preserve">Once you have created a </w:t>
      </w:r>
      <w:hyperlink r:id="rId547">
        <w:r>
          <w:rPr>
            <w:color w:val="418BCA"/>
            <w:w w:val="110"/>
          </w:rPr>
          <w:t>Boxfuse account</w:t>
        </w:r>
      </w:hyperlink>
      <w:r>
        <w:rPr>
          <w:color w:val="333333"/>
          <w:w w:val="110"/>
        </w:rPr>
        <w:t xml:space="preserve">, connected it to your </w:t>
      </w:r>
      <w:r>
        <w:rPr>
          <w:color w:val="333333"/>
          <w:spacing w:val="-6"/>
          <w:w w:val="110"/>
        </w:rPr>
        <w:t xml:space="preserve">AWS </w:t>
      </w:r>
      <w:r>
        <w:rPr>
          <w:color w:val="333333"/>
          <w:w w:val="110"/>
        </w:rPr>
        <w:t xml:space="preserve">account, installed the latest version of the Boxfuse Client, and ensured that the application has been built </w:t>
      </w:r>
      <w:r>
        <w:rPr>
          <w:color w:val="333333"/>
          <w:spacing w:val="-3"/>
          <w:w w:val="110"/>
        </w:rPr>
        <w:t xml:space="preserve">by  </w:t>
      </w:r>
      <w:r>
        <w:rPr>
          <w:color w:val="333333"/>
          <w:w w:val="110"/>
        </w:rPr>
        <w:t>Maven or</w:t>
      </w:r>
      <w:r>
        <w:rPr>
          <w:color w:val="333333"/>
          <w:spacing w:val="50"/>
          <w:w w:val="110"/>
        </w:rPr>
        <w:t xml:space="preserve"> </w:t>
      </w:r>
      <w:r>
        <w:rPr>
          <w:color w:val="333333"/>
          <w:w w:val="110"/>
        </w:rPr>
        <w:t xml:space="preserve">Gradle (by using, for example, </w:t>
      </w:r>
      <w:r>
        <w:rPr>
          <w:rFonts w:ascii="MS Gothic"/>
          <w:color w:val="B02045"/>
          <w:w w:val="110"/>
        </w:rPr>
        <w:t>mvn clean package</w:t>
      </w:r>
      <w:r>
        <w:rPr>
          <w:color w:val="333333"/>
          <w:w w:val="110"/>
        </w:rPr>
        <w:t xml:space="preserve">), you can deploy your Spring Boot application to </w:t>
      </w:r>
      <w:r>
        <w:rPr>
          <w:color w:val="333333"/>
          <w:spacing w:val="-6"/>
          <w:w w:val="110"/>
        </w:rPr>
        <w:t xml:space="preserve">AWS </w:t>
      </w:r>
      <w:r>
        <w:rPr>
          <w:color w:val="333333"/>
          <w:w w:val="110"/>
        </w:rPr>
        <w:t>with a command similar to the</w:t>
      </w:r>
      <w:r>
        <w:rPr>
          <w:color w:val="333333"/>
          <w:spacing w:val="20"/>
          <w:w w:val="110"/>
        </w:rPr>
        <w:t xml:space="preserve"> </w:t>
      </w:r>
      <w:r>
        <w:rPr>
          <w:color w:val="333333"/>
          <w:w w:val="110"/>
        </w:rPr>
        <w:t>following:</w:t>
      </w:r>
    </w:p>
    <w:p w14:paraId="4ED97D2E" w14:textId="77777777" w:rsidR="00A720EB" w:rsidRDefault="00E10349">
      <w:pPr>
        <w:pStyle w:val="a3"/>
        <w:spacing w:before="2"/>
        <w:rPr>
          <w:sz w:val="14"/>
        </w:rPr>
      </w:pPr>
      <w:r>
        <w:pict w14:anchorId="74D12723">
          <v:group id="_x0000_s1866" style="position:absolute;margin-left:47.85pt;margin-top:10.3pt;width:499.55pt;height:37.5pt;z-index:-15170048;mso-wrap-distance-left:0;mso-wrap-distance-right:0;mso-position-horizontal-relative:page" coordorigin="957,206" coordsize="9991,750">
            <v:shape id="_x0000_s1869" style="position:absolute;left:964;top:213;width:9976;height:735" coordorigin="965,214" coordsize="9976,735" path="m10861,214r-9816,l1014,220r-26,17l971,263r-6,31l965,868r6,32l988,925r26,17l1045,948r9816,l10892,942r25,-17l10935,900r6,-32l10941,294r-6,-31l10917,237r-25,-17l10861,214xe" fillcolor="#f5f5f5" stroked="f">
              <v:path arrowok="t"/>
            </v:shape>
            <v:shape id="_x0000_s1868" style="position:absolute;left:964;top:213;width:9976;height:735" coordorigin="965,214" coordsize="9976,735" path="m1045,214r9816,l10892,220r25,17l10935,263r6,31l10941,868r-6,32l10917,925r-25,17l10861,948r-9816,l1014,942,988,925,971,900r-6,-32l965,294r6,-31l988,237r26,-17l1045,214xe" filled="f" strokecolor="#ccc">
              <v:path arrowok="t"/>
            </v:shape>
            <v:shape id="_x0000_s1867" type="#_x0000_t202" style="position:absolute;left:984;top:229;width:9938;height:704" filled="f" stroked="f">
              <v:textbox inset="0,0,0,0">
                <w:txbxContent>
                  <w:p w14:paraId="70CAE70A" w14:textId="77777777" w:rsidR="00711A16" w:rsidRDefault="00711A16">
                    <w:pPr>
                      <w:spacing w:before="221"/>
                      <w:ind w:left="200"/>
                      <w:rPr>
                        <w:rFonts w:ascii="MS Gothic"/>
                      </w:rPr>
                    </w:pPr>
                    <w:r>
                      <w:rPr>
                        <w:rFonts w:ascii="MS Gothic"/>
                        <w:color w:val="333333"/>
                      </w:rPr>
                      <w:t>$ boxfuse run myapp-1.0.jar -env=prod</w:t>
                    </w:r>
                  </w:p>
                </w:txbxContent>
              </v:textbox>
            </v:shape>
            <w10:wrap type="topAndBottom" anchorx="page"/>
          </v:group>
        </w:pict>
      </w:r>
    </w:p>
    <w:p w14:paraId="08A43EA2" w14:textId="77777777" w:rsidR="00A720EB" w:rsidRDefault="00A720EB">
      <w:pPr>
        <w:pStyle w:val="a3"/>
        <w:spacing w:before="11"/>
        <w:rPr>
          <w:sz w:val="9"/>
        </w:rPr>
      </w:pPr>
    </w:p>
    <w:p w14:paraId="20037610" w14:textId="77777777" w:rsidR="00A720EB" w:rsidRDefault="0030286B">
      <w:pPr>
        <w:pStyle w:val="a3"/>
        <w:spacing w:before="115" w:line="290" w:lineRule="auto"/>
        <w:ind w:left="124"/>
      </w:pPr>
      <w:r>
        <w:rPr>
          <w:color w:val="333333"/>
          <w:w w:val="110"/>
        </w:rPr>
        <w:t xml:space="preserve">See the </w:t>
      </w:r>
      <w:hyperlink r:id="rId548">
        <w:r>
          <w:rPr>
            <w:rFonts w:ascii="MS Gothic"/>
            <w:color w:val="B02045"/>
            <w:w w:val="110"/>
          </w:rPr>
          <w:t xml:space="preserve">boxfuse run </w:t>
        </w:r>
      </w:hyperlink>
      <w:hyperlink r:id="rId549">
        <w:r>
          <w:rPr>
            <w:color w:val="418BCA"/>
            <w:w w:val="110"/>
          </w:rPr>
          <w:t>documentation</w:t>
        </w:r>
      </w:hyperlink>
      <w:r>
        <w:rPr>
          <w:color w:val="418BCA"/>
          <w:w w:val="110"/>
        </w:rPr>
        <w:t xml:space="preserve"> </w:t>
      </w:r>
      <w:r>
        <w:rPr>
          <w:color w:val="333333"/>
          <w:w w:val="110"/>
        </w:rPr>
        <w:t xml:space="preserve">for more options. If there is a </w:t>
      </w:r>
      <w:hyperlink r:id="rId550" w:anchor="configuration">
        <w:r>
          <w:rPr>
            <w:rFonts w:ascii="MS Gothic"/>
            <w:color w:val="B02045"/>
            <w:w w:val="110"/>
          </w:rPr>
          <w:t xml:space="preserve">boxfuse.conf </w:t>
        </w:r>
      </w:hyperlink>
      <w:r>
        <w:rPr>
          <w:color w:val="333333"/>
          <w:w w:val="110"/>
        </w:rPr>
        <w:t>file present in the current directory, it is considered.</w:t>
      </w:r>
    </w:p>
    <w:p w14:paraId="3FD519E8" w14:textId="77777777" w:rsidR="00A720EB" w:rsidRDefault="00A720EB">
      <w:pPr>
        <w:pStyle w:val="a3"/>
        <w:spacing w:before="1"/>
        <w:rPr>
          <w:sz w:val="18"/>
        </w:rPr>
      </w:pPr>
    </w:p>
    <w:p w14:paraId="6D4FA7CE" w14:textId="77777777" w:rsidR="00A720EB" w:rsidRDefault="00E10349">
      <w:pPr>
        <w:pStyle w:val="a3"/>
        <w:spacing w:before="116" w:line="285" w:lineRule="auto"/>
        <w:ind w:left="1564" w:right="363"/>
        <w:jc w:val="both"/>
      </w:pPr>
      <w:r>
        <w:pict w14:anchorId="16D75DA2">
          <v:line id="_x0000_s1865" style="position:absolute;left:0;text-align:left;z-index:16288768;mso-position-horizontal-relative:page" from="108.25pt,.35pt" to="108.25pt,55.7pt" strokecolor="#ededed" strokeweight=".5pt">
            <w10:wrap anchorx="page"/>
          </v:line>
        </w:pict>
      </w:r>
      <w:r w:rsidR="0030286B">
        <w:rPr>
          <w:noProof/>
        </w:rPr>
        <w:drawing>
          <wp:anchor distT="0" distB="0" distL="0" distR="0" simplePos="0" relativeHeight="16289280" behindDoc="0" locked="0" layoutInCell="1" allowOverlap="1" wp14:anchorId="5F2FC353" wp14:editId="46653F30">
            <wp:simplePos x="0" y="0"/>
            <wp:positionH relativeFrom="page">
              <wp:posOffset>888949</wp:posOffset>
            </wp:positionH>
            <wp:positionV relativeFrom="paragraph">
              <wp:posOffset>203276</wp:posOffset>
            </wp:positionV>
            <wp:extent cx="209550" cy="304800"/>
            <wp:effectExtent l="0" t="0" r="0" b="0"/>
            <wp:wrapNone/>
            <wp:docPr id="66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By default, Boxfuse activates a Spring profile named </w:t>
      </w:r>
      <w:r w:rsidR="0030286B">
        <w:rPr>
          <w:rFonts w:ascii="MS Gothic"/>
          <w:color w:val="B02045"/>
          <w:w w:val="110"/>
        </w:rPr>
        <w:t xml:space="preserve">boxfuse </w:t>
      </w:r>
      <w:r w:rsidR="0030286B">
        <w:rPr>
          <w:color w:val="333333"/>
          <w:w w:val="110"/>
        </w:rPr>
        <w:t xml:space="preserve">on startup. If your  executable jar or war contains an </w:t>
      </w:r>
      <w:hyperlink r:id="rId551" w:anchor="configuration">
        <w:r w:rsidR="0030286B">
          <w:rPr>
            <w:rFonts w:ascii="MS Gothic"/>
            <w:color w:val="B02045"/>
            <w:w w:val="110"/>
          </w:rPr>
          <w:t xml:space="preserve">application-boxfuse.properties </w:t>
        </w:r>
      </w:hyperlink>
      <w:r w:rsidR="0030286B">
        <w:rPr>
          <w:color w:val="333333"/>
          <w:w w:val="110"/>
        </w:rPr>
        <w:t>file, Boxfuse bases its configuration on the properties it contains.</w:t>
      </w:r>
    </w:p>
    <w:p w14:paraId="23E57177" w14:textId="77777777" w:rsidR="00A720EB" w:rsidRDefault="00A720EB">
      <w:pPr>
        <w:pStyle w:val="a3"/>
        <w:spacing w:before="7"/>
        <w:rPr>
          <w:sz w:val="18"/>
        </w:rPr>
      </w:pPr>
    </w:p>
    <w:p w14:paraId="343E9DCD" w14:textId="77777777" w:rsidR="00A720EB" w:rsidRDefault="0030286B">
      <w:pPr>
        <w:pStyle w:val="a3"/>
        <w:spacing w:before="116" w:line="290" w:lineRule="auto"/>
        <w:ind w:left="124" w:right="462"/>
      </w:pPr>
      <w:r>
        <w:rPr>
          <w:color w:val="333333"/>
          <w:w w:val="110"/>
        </w:rPr>
        <w:t xml:space="preserve">At this point, </w:t>
      </w:r>
      <w:r>
        <w:rPr>
          <w:rFonts w:ascii="MS Gothic"/>
          <w:color w:val="B02045"/>
          <w:w w:val="110"/>
        </w:rPr>
        <w:t xml:space="preserve">boxfuse </w:t>
      </w:r>
      <w:r>
        <w:rPr>
          <w:color w:val="333333"/>
          <w:w w:val="110"/>
        </w:rPr>
        <w:t xml:space="preserve">creates an image for your application, uploads it, and configures and </w:t>
      </w:r>
      <w:proofErr w:type="gramStart"/>
      <w:r>
        <w:rPr>
          <w:color w:val="333333"/>
          <w:w w:val="110"/>
        </w:rPr>
        <w:t>starts  the</w:t>
      </w:r>
      <w:proofErr w:type="gramEnd"/>
      <w:r>
        <w:rPr>
          <w:color w:val="333333"/>
          <w:spacing w:val="5"/>
          <w:w w:val="110"/>
        </w:rPr>
        <w:t xml:space="preserve"> </w:t>
      </w:r>
      <w:r>
        <w:rPr>
          <w:color w:val="333333"/>
          <w:w w:val="110"/>
        </w:rPr>
        <w:t>necessary</w:t>
      </w:r>
      <w:r>
        <w:rPr>
          <w:color w:val="333333"/>
          <w:spacing w:val="5"/>
          <w:w w:val="110"/>
        </w:rPr>
        <w:t xml:space="preserve"> </w:t>
      </w:r>
      <w:r>
        <w:rPr>
          <w:color w:val="333333"/>
          <w:w w:val="110"/>
        </w:rPr>
        <w:t>resources</w:t>
      </w:r>
      <w:r>
        <w:rPr>
          <w:color w:val="333333"/>
          <w:spacing w:val="5"/>
          <w:w w:val="110"/>
        </w:rPr>
        <w:t xml:space="preserve"> </w:t>
      </w:r>
      <w:r>
        <w:rPr>
          <w:color w:val="333333"/>
          <w:w w:val="110"/>
        </w:rPr>
        <w:t>on</w:t>
      </w:r>
      <w:r>
        <w:rPr>
          <w:color w:val="333333"/>
          <w:spacing w:val="5"/>
          <w:w w:val="110"/>
        </w:rPr>
        <w:t xml:space="preserve"> </w:t>
      </w:r>
      <w:r>
        <w:rPr>
          <w:color w:val="333333"/>
          <w:spacing w:val="-5"/>
          <w:w w:val="110"/>
        </w:rPr>
        <w:t>AWS,</w:t>
      </w:r>
      <w:r>
        <w:rPr>
          <w:color w:val="333333"/>
          <w:spacing w:val="4"/>
          <w:w w:val="110"/>
        </w:rPr>
        <w:t xml:space="preserve"> </w:t>
      </w:r>
      <w:r>
        <w:rPr>
          <w:color w:val="333333"/>
          <w:w w:val="110"/>
        </w:rPr>
        <w:t>resulting</w:t>
      </w:r>
      <w:r>
        <w:rPr>
          <w:color w:val="333333"/>
          <w:spacing w:val="5"/>
          <w:w w:val="110"/>
        </w:rPr>
        <w:t xml:space="preserve"> </w:t>
      </w:r>
      <w:r>
        <w:rPr>
          <w:color w:val="333333"/>
          <w:w w:val="110"/>
        </w:rPr>
        <w:t>in</w:t>
      </w:r>
      <w:r>
        <w:rPr>
          <w:color w:val="333333"/>
          <w:spacing w:val="4"/>
          <w:w w:val="110"/>
        </w:rPr>
        <w:t xml:space="preserve"> </w:t>
      </w:r>
      <w:r>
        <w:rPr>
          <w:color w:val="333333"/>
          <w:w w:val="110"/>
        </w:rPr>
        <w:t>output</w:t>
      </w:r>
      <w:r>
        <w:rPr>
          <w:color w:val="333333"/>
          <w:spacing w:val="5"/>
          <w:w w:val="110"/>
        </w:rPr>
        <w:t xml:space="preserve"> </w:t>
      </w:r>
      <w:r>
        <w:rPr>
          <w:color w:val="333333"/>
          <w:w w:val="110"/>
        </w:rPr>
        <w:t>similar</w:t>
      </w:r>
      <w:r>
        <w:rPr>
          <w:color w:val="333333"/>
          <w:spacing w:val="5"/>
          <w:w w:val="110"/>
        </w:rPr>
        <w:t xml:space="preserve"> </w:t>
      </w:r>
      <w:r>
        <w:rPr>
          <w:color w:val="333333"/>
          <w:w w:val="110"/>
        </w:rPr>
        <w:t>to</w:t>
      </w:r>
      <w:r>
        <w:rPr>
          <w:color w:val="333333"/>
          <w:spacing w:val="6"/>
          <w:w w:val="110"/>
        </w:rPr>
        <w:t xml:space="preserve"> </w:t>
      </w:r>
      <w:r>
        <w:rPr>
          <w:color w:val="333333"/>
          <w:w w:val="110"/>
        </w:rPr>
        <w:t>the</w:t>
      </w:r>
      <w:r>
        <w:rPr>
          <w:color w:val="333333"/>
          <w:spacing w:val="5"/>
          <w:w w:val="110"/>
        </w:rPr>
        <w:t xml:space="preserve"> </w:t>
      </w:r>
      <w:r>
        <w:rPr>
          <w:color w:val="333333"/>
          <w:w w:val="110"/>
        </w:rPr>
        <w:t>following</w:t>
      </w:r>
      <w:r>
        <w:rPr>
          <w:color w:val="333333"/>
          <w:spacing w:val="5"/>
          <w:w w:val="110"/>
        </w:rPr>
        <w:t xml:space="preserve"> </w:t>
      </w:r>
      <w:r>
        <w:rPr>
          <w:color w:val="333333"/>
          <w:w w:val="110"/>
        </w:rPr>
        <w:t>example:</w:t>
      </w:r>
    </w:p>
    <w:p w14:paraId="61388475" w14:textId="77777777" w:rsidR="00A720EB" w:rsidRDefault="00A720EB">
      <w:pPr>
        <w:spacing w:line="290" w:lineRule="auto"/>
        <w:sectPr w:rsidR="00A720EB">
          <w:pgSz w:w="11910" w:h="16840"/>
          <w:pgMar w:top="700" w:right="840" w:bottom="520" w:left="840" w:header="0" w:footer="323" w:gutter="0"/>
          <w:cols w:space="720"/>
        </w:sectPr>
      </w:pPr>
    </w:p>
    <w:p w14:paraId="503E652E" w14:textId="77777777" w:rsidR="00A720EB" w:rsidRDefault="00A720EB">
      <w:pPr>
        <w:pStyle w:val="a3"/>
        <w:spacing w:before="4"/>
        <w:rPr>
          <w:sz w:val="10"/>
        </w:rPr>
      </w:pPr>
    </w:p>
    <w:p w14:paraId="04BC660A" w14:textId="77777777" w:rsidR="00A720EB" w:rsidRDefault="00E10349">
      <w:pPr>
        <w:spacing w:before="117"/>
        <w:ind w:left="344"/>
        <w:rPr>
          <w:rFonts w:ascii="MS Gothic"/>
        </w:rPr>
      </w:pPr>
      <w:r>
        <w:pict w14:anchorId="3535EDD4">
          <v:group id="_x0000_s1862" style="position:absolute;left:0;text-align:left;margin-left:47.85pt;margin-top:-6.35pt;width:499.55pt;height:332.3pt;z-index:-41244672;mso-position-horizontal-relative:page" coordorigin="957,-127" coordsize="9991,6646">
            <v:shape id="_x0000_s1864" style="position:absolute;left:964;top:-120;width:9976;height:6631" coordorigin="965,-119" coordsize="9976,6631" path="m10861,-119r-9816,l1014,-113r-26,17l971,-71r-6,32l965,6431r6,31l988,6488r26,17l1045,6511r9816,l10892,6505r25,-17l10935,6462r6,-31l10941,-39r-6,-32l10917,-96r-25,-17l10861,-119xe" fillcolor="#f5f5f5" stroked="f">
              <v:path arrowok="t"/>
            </v:shape>
            <v:shape id="_x0000_s1863" style="position:absolute;left:964;top:-120;width:9976;height:6631" coordorigin="965,-119" coordsize="9976,6631" path="m1045,-119r9816,l10892,-113r25,17l10935,-71r6,32l10941,6431r-6,31l10917,6488r-25,17l10861,6511r-9816,l1014,6505r-26,-17l971,6462r-6,-31l965,-39r6,-32l988,-96r26,-17l1045,-119xe" filled="f" strokecolor="#ccc">
              <v:path arrowok="t"/>
            </v:shape>
            <w10:wrap anchorx="page"/>
          </v:group>
        </w:pict>
      </w:r>
      <w:r w:rsidR="0030286B">
        <w:rPr>
          <w:rFonts w:ascii="MS Gothic"/>
          <w:color w:val="333333"/>
        </w:rPr>
        <w:t>Fusing Image for myapp-1.0.jar ...</w:t>
      </w:r>
    </w:p>
    <w:p w14:paraId="4AA33652" w14:textId="77777777" w:rsidR="00A720EB" w:rsidRDefault="0030286B">
      <w:pPr>
        <w:spacing w:before="13" w:line="252" w:lineRule="auto"/>
        <w:ind w:left="344" w:right="3156"/>
        <w:rPr>
          <w:rFonts w:ascii="MS Gothic"/>
        </w:rPr>
      </w:pPr>
      <w:r>
        <w:rPr>
          <w:rFonts w:ascii="MS Gothic"/>
          <w:color w:val="333333"/>
        </w:rPr>
        <w:t>Image fused in 00:06.838s (53937 K) -&gt; axelfontaine/myapp:1.0 Creating axelfontaine/myapp ...</w:t>
      </w:r>
    </w:p>
    <w:p w14:paraId="7267B377" w14:textId="77777777" w:rsidR="00A720EB" w:rsidRDefault="0030286B">
      <w:pPr>
        <w:spacing w:line="252" w:lineRule="auto"/>
        <w:ind w:left="344" w:right="5906"/>
        <w:rPr>
          <w:rFonts w:ascii="MS Gothic"/>
        </w:rPr>
      </w:pPr>
      <w:r>
        <w:rPr>
          <w:rFonts w:ascii="MS Gothic"/>
          <w:color w:val="333333"/>
        </w:rPr>
        <w:t>Pushing axelfontaine/myapp:1.0 ... Verifying axelfontaine/myapp:1.0 ... Creating Elastic IP ...</w:t>
      </w:r>
    </w:p>
    <w:p w14:paraId="0F5CC79B" w14:textId="77777777" w:rsidR="00A720EB" w:rsidRDefault="0030286B">
      <w:pPr>
        <w:spacing w:line="278" w:lineRule="exact"/>
        <w:ind w:left="344"/>
        <w:rPr>
          <w:rFonts w:ascii="MS Gothic"/>
        </w:rPr>
      </w:pPr>
      <w:r>
        <w:rPr>
          <w:rFonts w:ascii="MS Gothic"/>
          <w:color w:val="333333"/>
        </w:rPr>
        <w:t>Mapping myapp-axelfontaine.boxfuse.io to 52.28.233.167 ...</w:t>
      </w:r>
    </w:p>
    <w:p w14:paraId="75624405" w14:textId="77777777" w:rsidR="00A720EB" w:rsidRDefault="0030286B">
      <w:pPr>
        <w:spacing w:before="11" w:line="252" w:lineRule="auto"/>
        <w:ind w:left="344" w:right="516"/>
        <w:rPr>
          <w:rFonts w:ascii="MS Gothic"/>
        </w:rPr>
      </w:pPr>
      <w:r>
        <w:rPr>
          <w:rFonts w:ascii="MS Gothic"/>
          <w:color w:val="333333"/>
        </w:rPr>
        <w:t>Waiting for AWS to create an AMI for axelfontaine/myapp:1.0 in eu-central-1 (this may take up to 50 seconds) ...</w:t>
      </w:r>
    </w:p>
    <w:p w14:paraId="55D8754B" w14:textId="77777777" w:rsidR="00A720EB" w:rsidRDefault="0030286B">
      <w:pPr>
        <w:spacing w:line="280" w:lineRule="exact"/>
        <w:ind w:left="344"/>
        <w:rPr>
          <w:rFonts w:ascii="MS Gothic"/>
        </w:rPr>
      </w:pPr>
      <w:r>
        <w:rPr>
          <w:rFonts w:ascii="MS Gothic"/>
          <w:color w:val="333333"/>
        </w:rPr>
        <w:t>AMI created in 00:23.557s -&gt; ami-d23f38cf</w:t>
      </w:r>
    </w:p>
    <w:p w14:paraId="6C18934A" w14:textId="77777777" w:rsidR="00A720EB" w:rsidRDefault="0030286B">
      <w:pPr>
        <w:spacing w:before="13"/>
        <w:ind w:left="344"/>
        <w:rPr>
          <w:rFonts w:ascii="MS Gothic"/>
        </w:rPr>
      </w:pPr>
      <w:r>
        <w:rPr>
          <w:rFonts w:ascii="MS Gothic"/>
          <w:color w:val="333333"/>
        </w:rPr>
        <w:t>Creating security group boxfuse-sg_axelfontaine/myapp:1.0 ...</w:t>
      </w:r>
    </w:p>
    <w:p w14:paraId="05D75DF2" w14:textId="77777777" w:rsidR="00A720EB" w:rsidRDefault="0030286B">
      <w:pPr>
        <w:spacing w:before="13"/>
        <w:ind w:left="344"/>
        <w:rPr>
          <w:rFonts w:ascii="MS Gothic"/>
        </w:rPr>
      </w:pPr>
      <w:r>
        <w:rPr>
          <w:rFonts w:ascii="MS Gothic"/>
          <w:color w:val="333333"/>
        </w:rPr>
        <w:t>Launching t</w:t>
      </w:r>
      <w:proofErr w:type="gramStart"/>
      <w:r>
        <w:rPr>
          <w:rFonts w:ascii="MS Gothic"/>
          <w:color w:val="333333"/>
        </w:rPr>
        <w:t>2.micro</w:t>
      </w:r>
      <w:proofErr w:type="gramEnd"/>
      <w:r>
        <w:rPr>
          <w:rFonts w:ascii="MS Gothic"/>
          <w:color w:val="333333"/>
        </w:rPr>
        <w:t xml:space="preserve"> instance of axelfontaine/myapp:1.0 (ami-d23f38cf) in eu-central-1</w:t>
      </w:r>
    </w:p>
    <w:p w14:paraId="323BBB4C" w14:textId="77777777" w:rsidR="00A720EB" w:rsidRDefault="0030286B">
      <w:pPr>
        <w:spacing w:before="12"/>
        <w:ind w:left="344"/>
        <w:rPr>
          <w:rFonts w:ascii="MS Gothic"/>
        </w:rPr>
      </w:pPr>
      <w:r>
        <w:rPr>
          <w:rFonts w:ascii="MS Gothic"/>
          <w:color w:val="333333"/>
        </w:rPr>
        <w:t>...</w:t>
      </w:r>
    </w:p>
    <w:p w14:paraId="388D16CB" w14:textId="77777777" w:rsidR="00A720EB" w:rsidRDefault="0030286B">
      <w:pPr>
        <w:spacing w:before="13"/>
        <w:ind w:left="344"/>
        <w:rPr>
          <w:rFonts w:ascii="MS Gothic"/>
        </w:rPr>
      </w:pPr>
      <w:r>
        <w:rPr>
          <w:rFonts w:ascii="MS Gothic"/>
          <w:color w:val="333333"/>
        </w:rPr>
        <w:t>Instance launched in 00:30.306s -&gt; i-92ef9f53</w:t>
      </w:r>
    </w:p>
    <w:p w14:paraId="17B04ED4" w14:textId="77777777" w:rsidR="00A720EB" w:rsidRDefault="0030286B">
      <w:pPr>
        <w:spacing w:before="13" w:line="252" w:lineRule="auto"/>
        <w:ind w:left="344" w:right="2496"/>
        <w:rPr>
          <w:rFonts w:ascii="MS Gothic"/>
        </w:rPr>
      </w:pPr>
      <w:r>
        <w:rPr>
          <w:rFonts w:ascii="MS Gothic"/>
          <w:color w:val="333333"/>
        </w:rPr>
        <w:t>Waiting for AWS to boot Instance i-92ef9f53 and Payload to start at https://52.28.235.61/ ...</w:t>
      </w:r>
    </w:p>
    <w:p w14:paraId="61CCCFC3" w14:textId="77777777" w:rsidR="00A720EB" w:rsidRDefault="0030286B">
      <w:pPr>
        <w:spacing w:line="252" w:lineRule="auto"/>
        <w:ind w:left="344" w:right="3926"/>
        <w:rPr>
          <w:rFonts w:ascii="MS Gothic"/>
        </w:rPr>
      </w:pPr>
      <w:r>
        <w:rPr>
          <w:rFonts w:ascii="MS Gothic"/>
          <w:color w:val="333333"/>
        </w:rPr>
        <w:t>Payload started in 00:29.266s -&gt; https://52.28.235.61/ Remapping Elastic IP 52.28.233.167 to i-92ef9f53 ...</w:t>
      </w:r>
    </w:p>
    <w:p w14:paraId="094B6740" w14:textId="77777777" w:rsidR="00A720EB" w:rsidRDefault="0030286B">
      <w:pPr>
        <w:spacing w:line="252" w:lineRule="auto"/>
        <w:ind w:left="344" w:right="1298"/>
        <w:rPr>
          <w:rFonts w:ascii="MS Gothic"/>
        </w:rPr>
      </w:pPr>
      <w:r>
        <w:rPr>
          <w:rFonts w:ascii="MS Gothic"/>
          <w:color w:val="333333"/>
        </w:rPr>
        <w:t>Waiting 15s for AWS to complete Elastic IP Zero Downtime transition ... Deployment completed successfully. axelfontaine/myapp:1.0 is up and running at https://myapp-axelfontaine.boxfuse.io/</w:t>
      </w:r>
    </w:p>
    <w:p w14:paraId="2CC4BBF2" w14:textId="77777777" w:rsidR="00A720EB" w:rsidRDefault="00A720EB">
      <w:pPr>
        <w:pStyle w:val="a3"/>
        <w:spacing w:before="1"/>
        <w:rPr>
          <w:rFonts w:ascii="MS Gothic"/>
          <w:sz w:val="37"/>
        </w:rPr>
      </w:pPr>
    </w:p>
    <w:p w14:paraId="126B0783" w14:textId="77777777" w:rsidR="00A720EB" w:rsidRDefault="0030286B">
      <w:pPr>
        <w:pStyle w:val="a3"/>
        <w:ind w:left="124"/>
        <w:jc w:val="both"/>
      </w:pPr>
      <w:r>
        <w:rPr>
          <w:color w:val="333333"/>
          <w:w w:val="110"/>
        </w:rPr>
        <w:t>Your application should now be up and running on AWS.</w:t>
      </w:r>
    </w:p>
    <w:p w14:paraId="2F0BE2D7" w14:textId="77777777" w:rsidR="00A720EB" w:rsidRDefault="00A720EB">
      <w:pPr>
        <w:pStyle w:val="a3"/>
        <w:spacing w:before="5"/>
        <w:rPr>
          <w:sz w:val="26"/>
        </w:rPr>
      </w:pPr>
    </w:p>
    <w:p w14:paraId="760A190F" w14:textId="77777777" w:rsidR="00A720EB" w:rsidRDefault="0030286B">
      <w:pPr>
        <w:pStyle w:val="a3"/>
        <w:spacing w:line="307" w:lineRule="auto"/>
        <w:ind w:left="124" w:right="125"/>
        <w:jc w:val="both"/>
      </w:pPr>
      <w:r>
        <w:rPr>
          <w:color w:val="333333"/>
          <w:w w:val="110"/>
        </w:rPr>
        <w:t xml:space="preserve">See the blog post on </w:t>
      </w:r>
      <w:hyperlink r:id="rId552">
        <w:r>
          <w:rPr>
            <w:color w:val="418BCA"/>
            <w:w w:val="110"/>
          </w:rPr>
          <w:t>deploying Spring Boot apps on EC2</w:t>
        </w:r>
      </w:hyperlink>
      <w:r>
        <w:rPr>
          <w:color w:val="418BCA"/>
          <w:w w:val="110"/>
        </w:rPr>
        <w:t xml:space="preserve"> </w:t>
      </w:r>
      <w:r>
        <w:rPr>
          <w:color w:val="333333"/>
          <w:w w:val="110"/>
        </w:rPr>
        <w:t xml:space="preserve">as well as the </w:t>
      </w:r>
      <w:hyperlink r:id="rId553">
        <w:r>
          <w:rPr>
            <w:color w:val="418BCA"/>
            <w:w w:val="110"/>
          </w:rPr>
          <w:t>documentation  for  the</w:t>
        </w:r>
      </w:hyperlink>
      <w:r>
        <w:rPr>
          <w:color w:val="418BCA"/>
          <w:w w:val="110"/>
        </w:rPr>
        <w:t xml:space="preserve"> </w:t>
      </w:r>
      <w:hyperlink r:id="rId554">
        <w:r>
          <w:rPr>
            <w:color w:val="418BCA"/>
            <w:w w:val="110"/>
          </w:rPr>
          <w:t xml:space="preserve">Boxfuse Spring Boot integration </w:t>
        </w:r>
      </w:hyperlink>
      <w:r>
        <w:rPr>
          <w:color w:val="333333"/>
          <w:w w:val="110"/>
        </w:rPr>
        <w:t>to get started with a Maven build to run the</w:t>
      </w:r>
      <w:r>
        <w:rPr>
          <w:color w:val="333333"/>
          <w:spacing w:val="4"/>
          <w:w w:val="110"/>
        </w:rPr>
        <w:t xml:space="preserve"> </w:t>
      </w:r>
      <w:r>
        <w:rPr>
          <w:color w:val="333333"/>
          <w:w w:val="110"/>
        </w:rPr>
        <w:t>app.</w:t>
      </w:r>
    </w:p>
    <w:p w14:paraId="7C70552C" w14:textId="77777777" w:rsidR="00A720EB" w:rsidRDefault="00A720EB">
      <w:pPr>
        <w:pStyle w:val="a3"/>
        <w:spacing w:before="9"/>
        <w:rPr>
          <w:sz w:val="25"/>
        </w:rPr>
      </w:pPr>
    </w:p>
    <w:p w14:paraId="7C807B95" w14:textId="77777777" w:rsidR="00A720EB" w:rsidRDefault="0030286B">
      <w:pPr>
        <w:pStyle w:val="3"/>
        <w:numPr>
          <w:ilvl w:val="2"/>
          <w:numId w:val="20"/>
        </w:numPr>
        <w:tabs>
          <w:tab w:val="left" w:pos="858"/>
        </w:tabs>
        <w:ind w:hanging="734"/>
      </w:pPr>
      <w:bookmarkStart w:id="707" w:name="6.2.7._Google_Cloud"/>
      <w:bookmarkStart w:id="708" w:name="_Toc54423887"/>
      <w:bookmarkEnd w:id="707"/>
      <w:r>
        <w:rPr>
          <w:color w:val="333333"/>
          <w:w w:val="105"/>
        </w:rPr>
        <w:t>Google</w:t>
      </w:r>
      <w:r>
        <w:rPr>
          <w:color w:val="333333"/>
          <w:spacing w:val="-2"/>
          <w:w w:val="105"/>
        </w:rPr>
        <w:t xml:space="preserve"> </w:t>
      </w:r>
      <w:r>
        <w:rPr>
          <w:color w:val="333333"/>
          <w:w w:val="105"/>
        </w:rPr>
        <w:t>Cloud</w:t>
      </w:r>
      <w:bookmarkEnd w:id="708"/>
    </w:p>
    <w:p w14:paraId="6811F40B" w14:textId="77777777" w:rsidR="00A720EB" w:rsidRDefault="0030286B">
      <w:pPr>
        <w:pStyle w:val="a3"/>
        <w:spacing w:before="254" w:line="307" w:lineRule="auto"/>
        <w:ind w:left="124" w:right="131"/>
        <w:jc w:val="both"/>
      </w:pPr>
      <w:r>
        <w:rPr>
          <w:color w:val="333333"/>
          <w:w w:val="110"/>
        </w:rPr>
        <w:t>Google Cloud has several options that can be used to launch Spring Boot applications. The easiest to get started with is probably App Engine, but you could also find ways to run Spring Boot in a container with Container Engine or on a virtual machine with Compute Engine.</w:t>
      </w:r>
    </w:p>
    <w:p w14:paraId="13CC4003" w14:textId="77777777" w:rsidR="00A720EB" w:rsidRDefault="0030286B">
      <w:pPr>
        <w:pStyle w:val="a3"/>
        <w:spacing w:before="241" w:line="307" w:lineRule="auto"/>
        <w:ind w:left="124" w:right="132"/>
        <w:jc w:val="both"/>
      </w:pPr>
      <w:r>
        <w:rPr>
          <w:color w:val="333333"/>
          <w:spacing w:val="-4"/>
          <w:w w:val="110"/>
        </w:rPr>
        <w:t xml:space="preserve">To </w:t>
      </w:r>
      <w:r>
        <w:rPr>
          <w:color w:val="333333"/>
          <w:w w:val="110"/>
        </w:rPr>
        <w:t xml:space="preserve">run in App Engine, you can create a project in the UI first, which sets up a unique identifier </w:t>
      </w:r>
      <w:proofErr w:type="gramStart"/>
      <w:r>
        <w:rPr>
          <w:color w:val="333333"/>
          <w:w w:val="110"/>
        </w:rPr>
        <w:t>for  you</w:t>
      </w:r>
      <w:proofErr w:type="gramEnd"/>
      <w:r>
        <w:rPr>
          <w:color w:val="333333"/>
          <w:w w:val="110"/>
        </w:rPr>
        <w:t xml:space="preserve"> and also sets up HTTP routes. Add a Java app to the project and leave it empty and then use the </w:t>
      </w:r>
      <w:hyperlink r:id="rId555">
        <w:r>
          <w:rPr>
            <w:color w:val="418BCA"/>
            <w:w w:val="110"/>
          </w:rPr>
          <w:t>Google</w:t>
        </w:r>
        <w:r>
          <w:rPr>
            <w:color w:val="418BCA"/>
            <w:spacing w:val="4"/>
            <w:w w:val="110"/>
          </w:rPr>
          <w:t xml:space="preserve"> </w:t>
        </w:r>
        <w:r>
          <w:rPr>
            <w:color w:val="418BCA"/>
            <w:w w:val="110"/>
          </w:rPr>
          <w:t>Cloud</w:t>
        </w:r>
        <w:r>
          <w:rPr>
            <w:color w:val="418BCA"/>
            <w:spacing w:val="4"/>
            <w:w w:val="110"/>
          </w:rPr>
          <w:t xml:space="preserve"> </w:t>
        </w:r>
        <w:r>
          <w:rPr>
            <w:color w:val="418BCA"/>
            <w:w w:val="110"/>
          </w:rPr>
          <w:t>SDK</w:t>
        </w:r>
        <w:r>
          <w:rPr>
            <w:color w:val="418BCA"/>
            <w:spacing w:val="9"/>
            <w:w w:val="110"/>
          </w:rPr>
          <w:t xml:space="preserve"> </w:t>
        </w:r>
      </w:hyperlink>
      <w:r>
        <w:rPr>
          <w:color w:val="333333"/>
          <w:w w:val="110"/>
        </w:rPr>
        <w:t>to</w:t>
      </w:r>
      <w:r>
        <w:rPr>
          <w:color w:val="333333"/>
          <w:spacing w:val="5"/>
          <w:w w:val="110"/>
        </w:rPr>
        <w:t xml:space="preserve"> </w:t>
      </w:r>
      <w:r>
        <w:rPr>
          <w:color w:val="333333"/>
          <w:w w:val="110"/>
        </w:rPr>
        <w:t>push</w:t>
      </w:r>
      <w:r>
        <w:rPr>
          <w:color w:val="333333"/>
          <w:spacing w:val="4"/>
          <w:w w:val="110"/>
        </w:rPr>
        <w:t xml:space="preserve"> </w:t>
      </w:r>
      <w:r>
        <w:rPr>
          <w:color w:val="333333"/>
          <w:w w:val="110"/>
        </w:rPr>
        <w:t>your</w:t>
      </w:r>
      <w:r>
        <w:rPr>
          <w:color w:val="333333"/>
          <w:spacing w:val="5"/>
          <w:w w:val="110"/>
        </w:rPr>
        <w:t xml:space="preserve"> </w:t>
      </w:r>
      <w:r>
        <w:rPr>
          <w:color w:val="333333"/>
          <w:w w:val="110"/>
        </w:rPr>
        <w:t>Spring</w:t>
      </w:r>
      <w:r>
        <w:rPr>
          <w:color w:val="333333"/>
          <w:spacing w:val="4"/>
          <w:w w:val="110"/>
        </w:rPr>
        <w:t xml:space="preserve"> </w:t>
      </w:r>
      <w:r>
        <w:rPr>
          <w:color w:val="333333"/>
          <w:w w:val="110"/>
        </w:rPr>
        <w:t>Boot</w:t>
      </w:r>
      <w:r>
        <w:rPr>
          <w:color w:val="333333"/>
          <w:spacing w:val="4"/>
          <w:w w:val="110"/>
        </w:rPr>
        <w:t xml:space="preserve"> </w:t>
      </w:r>
      <w:r>
        <w:rPr>
          <w:color w:val="333333"/>
          <w:w w:val="110"/>
        </w:rPr>
        <w:t>app</w:t>
      </w:r>
      <w:r>
        <w:rPr>
          <w:color w:val="333333"/>
          <w:spacing w:val="5"/>
          <w:w w:val="110"/>
        </w:rPr>
        <w:t xml:space="preserve"> </w:t>
      </w:r>
      <w:r>
        <w:rPr>
          <w:color w:val="333333"/>
          <w:w w:val="110"/>
        </w:rPr>
        <w:t>into</w:t>
      </w:r>
      <w:r>
        <w:rPr>
          <w:color w:val="333333"/>
          <w:spacing w:val="4"/>
          <w:w w:val="110"/>
        </w:rPr>
        <w:t xml:space="preserve"> </w:t>
      </w:r>
      <w:r>
        <w:rPr>
          <w:color w:val="333333"/>
          <w:w w:val="110"/>
        </w:rPr>
        <w:t>that</w:t>
      </w:r>
      <w:r>
        <w:rPr>
          <w:color w:val="333333"/>
          <w:spacing w:val="5"/>
          <w:w w:val="110"/>
        </w:rPr>
        <w:t xml:space="preserve"> </w:t>
      </w:r>
      <w:r>
        <w:rPr>
          <w:color w:val="333333"/>
          <w:w w:val="110"/>
        </w:rPr>
        <w:t>slot</w:t>
      </w:r>
      <w:r>
        <w:rPr>
          <w:color w:val="333333"/>
          <w:spacing w:val="6"/>
          <w:w w:val="110"/>
        </w:rPr>
        <w:t xml:space="preserve"> </w:t>
      </w:r>
      <w:r>
        <w:rPr>
          <w:color w:val="333333"/>
          <w:w w:val="110"/>
        </w:rPr>
        <w:t>from</w:t>
      </w:r>
      <w:r>
        <w:rPr>
          <w:color w:val="333333"/>
          <w:spacing w:val="5"/>
          <w:w w:val="110"/>
        </w:rPr>
        <w:t xml:space="preserve"> </w:t>
      </w:r>
      <w:r>
        <w:rPr>
          <w:color w:val="333333"/>
          <w:w w:val="110"/>
        </w:rPr>
        <w:t>the</w:t>
      </w:r>
      <w:r>
        <w:rPr>
          <w:color w:val="333333"/>
          <w:spacing w:val="6"/>
          <w:w w:val="110"/>
        </w:rPr>
        <w:t xml:space="preserve"> </w:t>
      </w:r>
      <w:r>
        <w:rPr>
          <w:color w:val="333333"/>
          <w:w w:val="110"/>
        </w:rPr>
        <w:t>command</w:t>
      </w:r>
      <w:r>
        <w:rPr>
          <w:color w:val="333333"/>
          <w:spacing w:val="5"/>
          <w:w w:val="110"/>
        </w:rPr>
        <w:t xml:space="preserve"> </w:t>
      </w:r>
      <w:r>
        <w:rPr>
          <w:color w:val="333333"/>
          <w:w w:val="110"/>
        </w:rPr>
        <w:t>line</w:t>
      </w:r>
      <w:r>
        <w:rPr>
          <w:color w:val="333333"/>
          <w:spacing w:val="5"/>
          <w:w w:val="110"/>
        </w:rPr>
        <w:t xml:space="preserve"> </w:t>
      </w:r>
      <w:r>
        <w:rPr>
          <w:color w:val="333333"/>
          <w:w w:val="110"/>
        </w:rPr>
        <w:t>or</w:t>
      </w:r>
      <w:r>
        <w:rPr>
          <w:color w:val="333333"/>
          <w:spacing w:val="6"/>
          <w:w w:val="110"/>
        </w:rPr>
        <w:t xml:space="preserve"> </w:t>
      </w:r>
      <w:r>
        <w:rPr>
          <w:color w:val="333333"/>
          <w:w w:val="110"/>
        </w:rPr>
        <w:t>CI</w:t>
      </w:r>
      <w:r>
        <w:rPr>
          <w:color w:val="333333"/>
          <w:spacing w:val="4"/>
          <w:w w:val="110"/>
        </w:rPr>
        <w:t xml:space="preserve"> </w:t>
      </w:r>
      <w:r>
        <w:rPr>
          <w:color w:val="333333"/>
          <w:w w:val="110"/>
        </w:rPr>
        <w:t>build.</w:t>
      </w:r>
    </w:p>
    <w:p w14:paraId="1DC069CA" w14:textId="77777777" w:rsidR="00A720EB" w:rsidRDefault="0030286B">
      <w:pPr>
        <w:pStyle w:val="a3"/>
        <w:spacing w:before="241" w:line="307" w:lineRule="auto"/>
        <w:ind w:left="124" w:right="122"/>
        <w:jc w:val="both"/>
      </w:pPr>
      <w:r>
        <w:rPr>
          <w:color w:val="333333"/>
          <w:w w:val="110"/>
        </w:rPr>
        <w:t xml:space="preserve">App Engine Standard requires you to use WAR packaging. Follow </w:t>
      </w:r>
      <w:hyperlink r:id="rId556">
        <w:r>
          <w:rPr>
            <w:color w:val="418BCA"/>
            <w:w w:val="110"/>
          </w:rPr>
          <w:t xml:space="preserve">these steps </w:t>
        </w:r>
      </w:hyperlink>
      <w:r>
        <w:rPr>
          <w:color w:val="333333"/>
          <w:w w:val="110"/>
        </w:rPr>
        <w:t>to deploy App Engine Standard application to Google Cloud.</w:t>
      </w:r>
    </w:p>
    <w:p w14:paraId="79A734C9" w14:textId="77777777" w:rsidR="00A720EB" w:rsidRDefault="0030286B">
      <w:pPr>
        <w:pStyle w:val="a3"/>
        <w:spacing w:before="231" w:line="285" w:lineRule="auto"/>
        <w:ind w:left="124" w:right="123"/>
        <w:jc w:val="both"/>
      </w:pPr>
      <w:r>
        <w:rPr>
          <w:color w:val="333333"/>
          <w:w w:val="110"/>
        </w:rPr>
        <w:t xml:space="preserve">Alternatively, App Engine Flex requires you to create an </w:t>
      </w:r>
      <w:r>
        <w:rPr>
          <w:rFonts w:ascii="MS Gothic"/>
          <w:color w:val="B02045"/>
          <w:w w:val="110"/>
        </w:rPr>
        <w:t xml:space="preserve">app.yaml </w:t>
      </w:r>
      <w:r>
        <w:rPr>
          <w:color w:val="333333"/>
          <w:w w:val="110"/>
        </w:rPr>
        <w:t xml:space="preserve">file to describe the resources your app requires. Normally, you put this file in </w:t>
      </w:r>
      <w:r>
        <w:rPr>
          <w:rFonts w:ascii="MS Gothic"/>
          <w:color w:val="B02045"/>
          <w:w w:val="110"/>
        </w:rPr>
        <w:t>src/main/appengine</w:t>
      </w:r>
      <w:r>
        <w:rPr>
          <w:color w:val="333333"/>
          <w:w w:val="110"/>
        </w:rPr>
        <w:t>, and it should resemble the following file:</w:t>
      </w:r>
    </w:p>
    <w:p w14:paraId="1EA0EB06" w14:textId="77777777" w:rsidR="00A720EB" w:rsidRDefault="00A720EB">
      <w:pPr>
        <w:spacing w:line="285" w:lineRule="auto"/>
        <w:jc w:val="both"/>
        <w:sectPr w:rsidR="00A720EB">
          <w:pgSz w:w="11910" w:h="16840"/>
          <w:pgMar w:top="700" w:right="840" w:bottom="520" w:left="840" w:header="0" w:footer="323" w:gutter="0"/>
          <w:cols w:space="720"/>
        </w:sectPr>
      </w:pPr>
    </w:p>
    <w:p w14:paraId="1E64FD27" w14:textId="77777777" w:rsidR="00A720EB" w:rsidRDefault="00E10349">
      <w:pPr>
        <w:pStyle w:val="a3"/>
        <w:ind w:left="116"/>
        <w:rPr>
          <w:sz w:val="20"/>
        </w:rPr>
      </w:pPr>
      <w:r>
        <w:rPr>
          <w:sz w:val="20"/>
        </w:rPr>
      </w:r>
      <w:r>
        <w:rPr>
          <w:sz w:val="20"/>
        </w:rPr>
        <w:pict w14:anchorId="02699248">
          <v:group id="_x0000_s1858" style="width:499.55pt;height:317.55pt;mso-position-horizontal-relative:char;mso-position-vertical-relative:line" coordsize="9991,6351">
            <v:shape id="_x0000_s1861" style="position:absolute;left:7;top:7;width:9976;height:6336" coordorigin="8,8" coordsize="9976,6336" path="m9904,8l88,8,56,14,31,31,14,56,8,88r,6176l14,6295r17,25l56,6337r32,7l9904,6344r31,-7l9960,6320r17,-25l9984,6264r,-6176l9977,56,9960,31,9935,14,9904,8xe" fillcolor="#f5f5f5" stroked="f">
              <v:path arrowok="t"/>
            </v:shape>
            <v:shape id="_x0000_s1860" style="position:absolute;left:7;top:7;width:9976;height:6336" coordorigin="8,8" coordsize="9976,6336" path="m88,8r9816,l9935,14r25,17l9977,56r7,32l9984,6264r-7,31l9960,6320r-25,17l9904,6344r-9816,l56,6337,31,6320,14,6295,8,6264,8,88,14,56,31,31,56,14,88,8xe" filled="f" strokecolor="#ccc">
              <v:path arrowok="t"/>
            </v:shape>
            <v:shape id="_x0000_s1859" type="#_x0000_t202" style="position:absolute;left:26;top:22;width:9938;height:6306" filled="f" stroked="f">
              <v:textbox inset="0,0,0,0">
                <w:txbxContent>
                  <w:p w14:paraId="4A2870DF" w14:textId="77777777" w:rsidR="00711A16" w:rsidRDefault="00711A16">
                    <w:pPr>
                      <w:spacing w:before="221"/>
                      <w:ind w:left="200"/>
                      <w:rPr>
                        <w:rFonts w:ascii="MS Gothic"/>
                      </w:rPr>
                    </w:pPr>
                    <w:r>
                      <w:rPr>
                        <w:rFonts w:ascii="MS Gothic"/>
                        <w:color w:val="333333"/>
                      </w:rPr>
                      <w:t>service: default</w:t>
                    </w:r>
                  </w:p>
                  <w:p w14:paraId="0C7EE665" w14:textId="77777777" w:rsidR="00711A16" w:rsidRDefault="00711A16">
                    <w:pPr>
                      <w:rPr>
                        <w:rFonts w:ascii="MS Gothic"/>
                        <w:sz w:val="24"/>
                      </w:rPr>
                    </w:pPr>
                  </w:p>
                  <w:p w14:paraId="7B5959D3" w14:textId="77777777" w:rsidR="00711A16" w:rsidRDefault="00711A16">
                    <w:pPr>
                      <w:spacing w:line="252" w:lineRule="auto"/>
                      <w:ind w:left="200" w:right="8288"/>
                      <w:rPr>
                        <w:rFonts w:ascii="MS Gothic"/>
                      </w:rPr>
                    </w:pPr>
                    <w:r>
                      <w:rPr>
                        <w:rFonts w:ascii="MS Gothic"/>
                        <w:color w:val="333333"/>
                      </w:rPr>
                      <w:t>runtime: java env: flex</w:t>
                    </w:r>
                  </w:p>
                  <w:p w14:paraId="2DD7E924" w14:textId="77777777" w:rsidR="00711A16" w:rsidRDefault="00711A16">
                    <w:pPr>
                      <w:spacing w:before="10"/>
                      <w:rPr>
                        <w:rFonts w:ascii="MS Gothic"/>
                      </w:rPr>
                    </w:pPr>
                  </w:p>
                  <w:p w14:paraId="4F17DCB9" w14:textId="77777777" w:rsidR="00711A16" w:rsidRDefault="00711A16">
                    <w:pPr>
                      <w:spacing w:before="1" w:line="252" w:lineRule="auto"/>
                      <w:ind w:left="420" w:right="8068" w:hanging="220"/>
                      <w:rPr>
                        <w:rFonts w:ascii="MS Gothic"/>
                      </w:rPr>
                    </w:pPr>
                    <w:r>
                      <w:rPr>
                        <w:rFonts w:ascii="MS Gothic"/>
                        <w:color w:val="333333"/>
                      </w:rPr>
                      <w:t>runtime_config: jdk: openjdk8</w:t>
                    </w:r>
                  </w:p>
                  <w:p w14:paraId="617B8C75" w14:textId="77777777" w:rsidR="00711A16" w:rsidRDefault="00711A16">
                    <w:pPr>
                      <w:spacing w:before="10"/>
                      <w:rPr>
                        <w:rFonts w:ascii="MS Gothic"/>
                      </w:rPr>
                    </w:pPr>
                  </w:p>
                  <w:p w14:paraId="5BC849E1" w14:textId="77777777" w:rsidR="00711A16" w:rsidRDefault="00711A16">
                    <w:pPr>
                      <w:ind w:left="200"/>
                      <w:rPr>
                        <w:rFonts w:ascii="MS Gothic"/>
                      </w:rPr>
                    </w:pPr>
                    <w:r>
                      <w:rPr>
                        <w:rFonts w:ascii="MS Gothic"/>
                        <w:color w:val="333333"/>
                      </w:rPr>
                      <w:t>handlers:</w:t>
                    </w:r>
                  </w:p>
                  <w:p w14:paraId="2DC733BA" w14:textId="77777777" w:rsidR="00711A16" w:rsidRDefault="00711A16">
                    <w:pPr>
                      <w:spacing w:before="13"/>
                      <w:ind w:left="200"/>
                      <w:rPr>
                        <w:rFonts w:ascii="MS Gothic"/>
                      </w:rPr>
                    </w:pPr>
                    <w:r>
                      <w:rPr>
                        <w:rFonts w:ascii="MS Gothic"/>
                        <w:color w:val="333333"/>
                      </w:rPr>
                      <w:t xml:space="preserve">- url: </w:t>
                    </w:r>
                    <w:proofErr w:type="gramStart"/>
                    <w:r>
                      <w:rPr>
                        <w:rFonts w:ascii="MS Gothic"/>
                        <w:color w:val="333333"/>
                      </w:rPr>
                      <w:t>/.*</w:t>
                    </w:r>
                    <w:proofErr w:type="gramEnd"/>
                  </w:p>
                  <w:p w14:paraId="4E182B21" w14:textId="77777777" w:rsidR="00711A16" w:rsidRDefault="00711A16">
                    <w:pPr>
                      <w:spacing w:before="13"/>
                      <w:ind w:left="420"/>
                      <w:rPr>
                        <w:rFonts w:ascii="MS Gothic"/>
                      </w:rPr>
                    </w:pPr>
                    <w:r>
                      <w:rPr>
                        <w:rFonts w:ascii="MS Gothic"/>
                        <w:color w:val="333333"/>
                      </w:rPr>
                      <w:t>script: this field is required, but ignored</w:t>
                    </w:r>
                  </w:p>
                  <w:p w14:paraId="103B728C" w14:textId="77777777" w:rsidR="00711A16" w:rsidRDefault="00711A16">
                    <w:pPr>
                      <w:rPr>
                        <w:rFonts w:ascii="MS Gothic"/>
                        <w:sz w:val="24"/>
                      </w:rPr>
                    </w:pPr>
                  </w:p>
                  <w:p w14:paraId="53A62B5E" w14:textId="77777777" w:rsidR="00711A16" w:rsidRDefault="00711A16">
                    <w:pPr>
                      <w:spacing w:line="252" w:lineRule="auto"/>
                      <w:ind w:left="420" w:right="8068" w:hanging="220"/>
                      <w:rPr>
                        <w:rFonts w:ascii="MS Gothic"/>
                      </w:rPr>
                    </w:pPr>
                    <w:r>
                      <w:rPr>
                        <w:rFonts w:ascii="MS Gothic"/>
                        <w:color w:val="333333"/>
                      </w:rPr>
                      <w:t>manual_scaling: instances: 1</w:t>
                    </w:r>
                  </w:p>
                  <w:p w14:paraId="28DA8C11" w14:textId="77777777" w:rsidR="00711A16" w:rsidRDefault="00711A16">
                    <w:pPr>
                      <w:spacing w:before="11"/>
                      <w:rPr>
                        <w:rFonts w:ascii="MS Gothic"/>
                      </w:rPr>
                    </w:pPr>
                  </w:p>
                  <w:p w14:paraId="633C36A0" w14:textId="77777777" w:rsidR="00711A16" w:rsidRDefault="00711A16">
                    <w:pPr>
                      <w:spacing w:line="252" w:lineRule="auto"/>
                      <w:ind w:left="420" w:right="6638" w:hanging="220"/>
                      <w:rPr>
                        <w:rFonts w:ascii="MS Gothic"/>
                      </w:rPr>
                    </w:pPr>
                    <w:r>
                      <w:rPr>
                        <w:rFonts w:ascii="MS Gothic"/>
                        <w:color w:val="333333"/>
                      </w:rPr>
                      <w:t>health_check: enable_health_check: False</w:t>
                    </w:r>
                  </w:p>
                  <w:p w14:paraId="180878C9" w14:textId="77777777" w:rsidR="00711A16" w:rsidRDefault="00711A16">
                    <w:pPr>
                      <w:spacing w:before="10"/>
                      <w:rPr>
                        <w:rFonts w:ascii="MS Gothic"/>
                      </w:rPr>
                    </w:pPr>
                  </w:p>
                  <w:p w14:paraId="180E76A3" w14:textId="77777777" w:rsidR="00711A16" w:rsidRDefault="00711A16">
                    <w:pPr>
                      <w:ind w:left="200"/>
                      <w:rPr>
                        <w:rFonts w:ascii="MS Gothic"/>
                      </w:rPr>
                    </w:pPr>
                    <w:r>
                      <w:rPr>
                        <w:rFonts w:ascii="MS Gothic"/>
                        <w:color w:val="333333"/>
                      </w:rPr>
                      <w:t>env_variables:</w:t>
                    </w:r>
                  </w:p>
                  <w:p w14:paraId="7DEA06DB" w14:textId="77777777" w:rsidR="00711A16" w:rsidRDefault="00711A16">
                    <w:pPr>
                      <w:spacing w:before="13"/>
                      <w:ind w:left="420"/>
                      <w:rPr>
                        <w:rFonts w:ascii="MS Gothic"/>
                      </w:rPr>
                    </w:pPr>
                    <w:r>
                      <w:rPr>
                        <w:rFonts w:ascii="MS Gothic"/>
                        <w:color w:val="333333"/>
                      </w:rPr>
                      <w:t>ENCRYPT_KEY: your_encryption_key_here</w:t>
                    </w:r>
                  </w:p>
                </w:txbxContent>
              </v:textbox>
            </v:shape>
            <w10:anchorlock/>
          </v:group>
        </w:pict>
      </w:r>
    </w:p>
    <w:p w14:paraId="23508EF2" w14:textId="77777777" w:rsidR="00A720EB" w:rsidRDefault="00A720EB">
      <w:pPr>
        <w:pStyle w:val="a3"/>
        <w:spacing w:before="7"/>
        <w:rPr>
          <w:sz w:val="9"/>
        </w:rPr>
      </w:pPr>
    </w:p>
    <w:p w14:paraId="6488A238" w14:textId="77777777" w:rsidR="00A720EB" w:rsidRDefault="0030286B">
      <w:pPr>
        <w:pStyle w:val="a3"/>
        <w:spacing w:before="125" w:line="307" w:lineRule="auto"/>
        <w:ind w:left="124"/>
      </w:pPr>
      <w:r>
        <w:rPr>
          <w:color w:val="333333"/>
          <w:w w:val="110"/>
        </w:rPr>
        <w:t>You can deploy the app (for example, with a Maven plugin) by adding the project ID to the build configuration, as shown in the following example:</w:t>
      </w:r>
    </w:p>
    <w:p w14:paraId="68C4230C" w14:textId="77777777" w:rsidR="00A720EB" w:rsidRDefault="00E10349">
      <w:pPr>
        <w:pStyle w:val="a3"/>
        <w:spacing w:before="2"/>
        <w:rPr>
          <w:sz w:val="13"/>
        </w:rPr>
      </w:pPr>
      <w:r>
        <w:pict w14:anchorId="271D79D9">
          <v:group id="_x0000_s1854" style="position:absolute;margin-left:47.85pt;margin-top:9.7pt;width:499.55pt;height:140.7pt;z-index:-15166464;mso-wrap-distance-left:0;mso-wrap-distance-right:0;mso-position-horizontal-relative:page" coordorigin="957,194" coordsize="9991,2814">
            <v:shape id="_x0000_s1857" style="position:absolute;left:964;top:201;width:9976;height:2799" coordorigin="965,202" coordsize="9976,2799" path="m10861,202r-9816,l1014,208r-26,17l971,250r-6,32l965,2920r6,31l988,2977r26,17l1045,3000r9816,l10892,2994r25,-17l10935,2951r6,-31l10941,282r-6,-32l10917,225r-25,-17l10861,202xe" fillcolor="#f5f5f5" stroked="f">
              <v:path arrowok="t"/>
            </v:shape>
            <v:shape id="_x0000_s1856" style="position:absolute;left:964;top:201;width:9976;height:2799" coordorigin="965,202" coordsize="9976,2799" path="m1045,202r9816,l10892,208r25,17l10935,250r6,32l10941,2920r-6,31l10917,2977r-25,17l10861,3000r-9816,l1014,2994r-26,-17l971,2951r-6,-31l965,282r6,-32l988,225r26,-17l1045,202xe" filled="f" strokecolor="#ccc">
              <v:path arrowok="t"/>
            </v:shape>
            <v:shape id="_x0000_s1855" type="#_x0000_t202" style="position:absolute;left:984;top:217;width:9938;height:2768" filled="f" stroked="f">
              <v:textbox inset="0,0,0,0">
                <w:txbxContent>
                  <w:p w14:paraId="62A04900" w14:textId="77777777" w:rsidR="00711A16" w:rsidRDefault="00711A16">
                    <w:pPr>
                      <w:spacing w:before="221"/>
                      <w:ind w:left="200"/>
                      <w:rPr>
                        <w:rFonts w:ascii="MS Gothic"/>
                      </w:rPr>
                    </w:pPr>
                    <w:r>
                      <w:rPr>
                        <w:rFonts w:ascii="MS Gothic"/>
                        <w:color w:val="333333"/>
                      </w:rPr>
                      <w:t>&lt;plugin&gt;</w:t>
                    </w:r>
                  </w:p>
                  <w:p w14:paraId="3A1D8308" w14:textId="77777777" w:rsidR="00711A16" w:rsidRDefault="00711A16">
                    <w:pPr>
                      <w:spacing w:before="13"/>
                      <w:ind w:left="640"/>
                      <w:rPr>
                        <w:rFonts w:ascii="MS Gothic"/>
                      </w:rPr>
                    </w:pPr>
                    <w:proofErr w:type="gramStart"/>
                    <w:r>
                      <w:rPr>
                        <w:rFonts w:ascii="MS Gothic"/>
                        <w:color w:val="333333"/>
                      </w:rPr>
                      <w:t>&lt;groupId&gt;com.google.cloud</w:t>
                    </w:r>
                    <w:proofErr w:type="gramEnd"/>
                    <w:r>
                      <w:rPr>
                        <w:rFonts w:ascii="MS Gothic"/>
                        <w:color w:val="333333"/>
                      </w:rPr>
                      <w:t>.tools&lt;/groupId&gt;</w:t>
                    </w:r>
                  </w:p>
                  <w:p w14:paraId="19389151" w14:textId="77777777" w:rsidR="00711A16" w:rsidRDefault="00711A16">
                    <w:pPr>
                      <w:spacing w:before="13"/>
                      <w:ind w:left="640"/>
                      <w:rPr>
                        <w:rFonts w:ascii="MS Gothic"/>
                      </w:rPr>
                    </w:pPr>
                    <w:r>
                      <w:rPr>
                        <w:rFonts w:ascii="MS Gothic"/>
                        <w:color w:val="333333"/>
                      </w:rPr>
                      <w:t>&lt;artifactId&gt;appengine-maven-plugin&lt;/artifactId&gt;</w:t>
                    </w:r>
                  </w:p>
                  <w:p w14:paraId="2A2B87E0" w14:textId="77777777" w:rsidR="00711A16" w:rsidRDefault="00711A16">
                    <w:pPr>
                      <w:spacing w:before="13"/>
                      <w:ind w:left="640"/>
                      <w:rPr>
                        <w:rFonts w:ascii="MS Gothic"/>
                      </w:rPr>
                    </w:pPr>
                    <w:r>
                      <w:rPr>
                        <w:rFonts w:ascii="MS Gothic"/>
                        <w:color w:val="333333"/>
                      </w:rPr>
                      <w:t>&lt;version&gt;1.3.0&lt;/version&gt;</w:t>
                    </w:r>
                  </w:p>
                  <w:p w14:paraId="63085FBC" w14:textId="77777777" w:rsidR="00711A16" w:rsidRDefault="00711A16">
                    <w:pPr>
                      <w:spacing w:before="12"/>
                      <w:ind w:left="640"/>
                      <w:rPr>
                        <w:rFonts w:ascii="MS Gothic"/>
                      </w:rPr>
                    </w:pPr>
                    <w:r>
                      <w:rPr>
                        <w:rFonts w:ascii="MS Gothic"/>
                        <w:color w:val="333333"/>
                      </w:rPr>
                      <w:t>&lt;configuration&gt;</w:t>
                    </w:r>
                  </w:p>
                  <w:p w14:paraId="534D9473" w14:textId="77777777" w:rsidR="00711A16" w:rsidRDefault="00711A16">
                    <w:pPr>
                      <w:spacing w:before="13"/>
                      <w:ind w:left="1080"/>
                      <w:rPr>
                        <w:rFonts w:ascii="MS Gothic"/>
                      </w:rPr>
                    </w:pPr>
                    <w:r>
                      <w:rPr>
                        <w:rFonts w:ascii="MS Gothic"/>
                        <w:color w:val="333333"/>
                      </w:rPr>
                      <w:t>&lt;project&gt;myproject&lt;/project&gt;</w:t>
                    </w:r>
                  </w:p>
                  <w:p w14:paraId="6244E1DB" w14:textId="77777777" w:rsidR="00711A16" w:rsidRDefault="00711A16">
                    <w:pPr>
                      <w:spacing w:before="13"/>
                      <w:ind w:left="640"/>
                      <w:rPr>
                        <w:rFonts w:ascii="MS Gothic"/>
                      </w:rPr>
                    </w:pPr>
                    <w:r>
                      <w:rPr>
                        <w:rFonts w:ascii="MS Gothic"/>
                        <w:color w:val="333333"/>
                      </w:rPr>
                      <w:t>&lt;/configuration&gt;</w:t>
                    </w:r>
                  </w:p>
                  <w:p w14:paraId="079985D9" w14:textId="77777777" w:rsidR="00711A16" w:rsidRDefault="00711A16">
                    <w:pPr>
                      <w:spacing w:before="13"/>
                      <w:ind w:left="200"/>
                      <w:rPr>
                        <w:rFonts w:ascii="MS Gothic"/>
                      </w:rPr>
                    </w:pPr>
                    <w:r>
                      <w:rPr>
                        <w:rFonts w:ascii="MS Gothic"/>
                        <w:color w:val="333333"/>
                      </w:rPr>
                      <w:t>&lt;/plugin&gt;</w:t>
                    </w:r>
                  </w:p>
                </w:txbxContent>
              </v:textbox>
            </v:shape>
            <w10:wrap type="topAndBottom" anchorx="page"/>
          </v:group>
        </w:pict>
      </w:r>
    </w:p>
    <w:p w14:paraId="478161FE" w14:textId="77777777" w:rsidR="00A720EB" w:rsidRDefault="00A720EB">
      <w:pPr>
        <w:pStyle w:val="a3"/>
        <w:spacing w:before="11"/>
        <w:rPr>
          <w:sz w:val="9"/>
        </w:rPr>
      </w:pPr>
    </w:p>
    <w:p w14:paraId="499936EC" w14:textId="77777777" w:rsidR="00A720EB" w:rsidRDefault="0030286B">
      <w:pPr>
        <w:pStyle w:val="a3"/>
        <w:spacing w:before="115"/>
        <w:ind w:left="124"/>
        <w:jc w:val="both"/>
      </w:pPr>
      <w:r>
        <w:rPr>
          <w:color w:val="333333"/>
          <w:w w:val="110"/>
        </w:rPr>
        <w:t xml:space="preserve">Then deploy with </w:t>
      </w:r>
      <w:r>
        <w:rPr>
          <w:rFonts w:ascii="MS Gothic"/>
          <w:color w:val="B02045"/>
          <w:w w:val="110"/>
        </w:rPr>
        <w:t>mvn appengine:deploy</w:t>
      </w:r>
      <w:r>
        <w:rPr>
          <w:rFonts w:ascii="MS Gothic"/>
          <w:color w:val="B02045"/>
          <w:spacing w:val="-66"/>
          <w:w w:val="110"/>
        </w:rPr>
        <w:t xml:space="preserve"> </w:t>
      </w:r>
      <w:r>
        <w:rPr>
          <w:color w:val="333333"/>
          <w:w w:val="110"/>
        </w:rPr>
        <w:t>(if you need to authenticate first, the build fails).</w:t>
      </w:r>
    </w:p>
    <w:p w14:paraId="15DCD9EC" w14:textId="77777777" w:rsidR="00A720EB" w:rsidRDefault="00A720EB">
      <w:pPr>
        <w:pStyle w:val="a3"/>
        <w:spacing w:before="8"/>
        <w:rPr>
          <w:sz w:val="30"/>
        </w:rPr>
      </w:pPr>
    </w:p>
    <w:p w14:paraId="54A0F293" w14:textId="77777777" w:rsidR="00A720EB" w:rsidRDefault="0030286B">
      <w:pPr>
        <w:pStyle w:val="2"/>
        <w:numPr>
          <w:ilvl w:val="1"/>
          <w:numId w:val="20"/>
        </w:numPr>
        <w:tabs>
          <w:tab w:val="left" w:pos="832"/>
        </w:tabs>
        <w:spacing w:before="1"/>
      </w:pPr>
      <w:bookmarkStart w:id="709" w:name="6.3._Installing_Spring_Boot_Applications"/>
      <w:bookmarkStart w:id="710" w:name="_Toc54423888"/>
      <w:bookmarkEnd w:id="709"/>
      <w:r>
        <w:rPr>
          <w:color w:val="333333"/>
          <w:w w:val="110"/>
        </w:rPr>
        <w:t>Installing Spring Boot</w:t>
      </w:r>
      <w:r>
        <w:rPr>
          <w:color w:val="333333"/>
          <w:spacing w:val="-31"/>
          <w:w w:val="110"/>
        </w:rPr>
        <w:t xml:space="preserve"> </w:t>
      </w:r>
      <w:r>
        <w:rPr>
          <w:color w:val="333333"/>
          <w:w w:val="110"/>
        </w:rPr>
        <w:t>Applications</w:t>
      </w:r>
      <w:bookmarkEnd w:id="710"/>
    </w:p>
    <w:p w14:paraId="3D86C1F3" w14:textId="77777777" w:rsidR="00A720EB" w:rsidRDefault="0030286B">
      <w:pPr>
        <w:pStyle w:val="a3"/>
        <w:spacing w:before="242" w:line="292" w:lineRule="auto"/>
        <w:ind w:left="124" w:right="126"/>
        <w:jc w:val="both"/>
      </w:pPr>
      <w:r>
        <w:rPr>
          <w:color w:val="333333"/>
          <w:w w:val="110"/>
        </w:rPr>
        <w:t xml:space="preserve">In addition to running Spring Boot applications by using </w:t>
      </w:r>
      <w:r>
        <w:rPr>
          <w:rFonts w:ascii="MS Gothic"/>
          <w:color w:val="B02045"/>
          <w:w w:val="110"/>
        </w:rPr>
        <w:t>java -jar</w:t>
      </w:r>
      <w:r>
        <w:rPr>
          <w:color w:val="333333"/>
          <w:w w:val="110"/>
        </w:rPr>
        <w:t xml:space="preserve">, it is also possible to make fully executable applications for Unix systems. A fully executable jar can be executed like any other executable binary or it can be </w:t>
      </w:r>
      <w:hyperlink w:anchor="_bookmark485" w:history="1">
        <w:r>
          <w:rPr>
            <w:color w:val="418BCA"/>
            <w:w w:val="110"/>
          </w:rPr>
          <w:t>registered with</w:t>
        </w:r>
      </w:hyperlink>
      <w:r>
        <w:rPr>
          <w:color w:val="418BCA"/>
          <w:w w:val="110"/>
        </w:rPr>
        <w:t xml:space="preserve"> </w:t>
      </w:r>
      <w:hyperlink w:anchor="_bookmark485" w:history="1">
        <w:r>
          <w:rPr>
            <w:rFonts w:ascii="MS Gothic"/>
            <w:color w:val="B02045"/>
            <w:w w:val="110"/>
          </w:rPr>
          <w:t xml:space="preserve">init.d </w:t>
        </w:r>
      </w:hyperlink>
      <w:hyperlink w:anchor="_bookmark485" w:history="1">
        <w:r>
          <w:rPr>
            <w:color w:val="418BCA"/>
            <w:w w:val="110"/>
          </w:rPr>
          <w:t>or</w:t>
        </w:r>
      </w:hyperlink>
      <w:r>
        <w:rPr>
          <w:color w:val="418BCA"/>
          <w:w w:val="110"/>
        </w:rPr>
        <w:t xml:space="preserve"> </w:t>
      </w:r>
      <w:hyperlink w:anchor="_bookmark485" w:history="1">
        <w:r>
          <w:rPr>
            <w:rFonts w:ascii="MS Gothic"/>
            <w:color w:val="B02045"/>
            <w:w w:val="110"/>
          </w:rPr>
          <w:t>systemd</w:t>
        </w:r>
      </w:hyperlink>
      <w:r>
        <w:rPr>
          <w:color w:val="333333"/>
          <w:w w:val="110"/>
        </w:rPr>
        <w:t>. This helps when installing and managing Spring Boot applications in common production environments.</w:t>
      </w:r>
    </w:p>
    <w:p w14:paraId="75CB6B3B" w14:textId="77777777" w:rsidR="00A720EB" w:rsidRDefault="00A720EB">
      <w:pPr>
        <w:spacing w:line="292" w:lineRule="auto"/>
        <w:jc w:val="both"/>
        <w:sectPr w:rsidR="00A720EB">
          <w:pgSz w:w="11910" w:h="16840"/>
          <w:pgMar w:top="700" w:right="840" w:bottom="520" w:left="840" w:header="0" w:footer="323" w:gutter="0"/>
          <w:cols w:space="720"/>
        </w:sectPr>
      </w:pPr>
    </w:p>
    <w:p w14:paraId="17DD9C1D" w14:textId="77777777" w:rsidR="00A720EB" w:rsidRDefault="00E10349">
      <w:pPr>
        <w:pStyle w:val="a3"/>
        <w:spacing w:before="122" w:line="300" w:lineRule="auto"/>
        <w:ind w:left="1564" w:right="364"/>
        <w:jc w:val="both"/>
      </w:pPr>
      <w:r>
        <w:lastRenderedPageBreak/>
        <w:pict w14:anchorId="30D83B53">
          <v:line id="_x0000_s1853" style="position:absolute;left:0;text-align:left;z-index:16292352;mso-position-horizontal-relative:page" from="108.25pt,.1pt" to="108.25pt,102.8pt" strokecolor="#ededed" strokeweight=".5pt">
            <w10:wrap anchorx="page"/>
          </v:line>
        </w:pict>
      </w:r>
      <w:r w:rsidR="0030286B">
        <w:rPr>
          <w:noProof/>
        </w:rPr>
        <w:drawing>
          <wp:anchor distT="0" distB="0" distL="0" distR="0" simplePos="0" relativeHeight="16292864" behindDoc="0" locked="0" layoutInCell="1" allowOverlap="1" wp14:anchorId="7268A030" wp14:editId="32D644C1">
            <wp:simplePos x="0" y="0"/>
            <wp:positionH relativeFrom="page">
              <wp:posOffset>879347</wp:posOffset>
            </wp:positionH>
            <wp:positionV relativeFrom="paragraph">
              <wp:posOffset>497879</wp:posOffset>
            </wp:positionV>
            <wp:extent cx="228600" cy="307975"/>
            <wp:effectExtent l="0" t="0" r="0" b="0"/>
            <wp:wrapNone/>
            <wp:docPr id="67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18.png"/>
                    <pic:cNvPicPr/>
                  </pic:nvPicPr>
                  <pic:blipFill>
                    <a:blip r:embed="rId266" cstate="print"/>
                    <a:stretch>
                      <a:fillRect/>
                    </a:stretch>
                  </pic:blipFill>
                  <pic:spPr>
                    <a:xfrm>
                      <a:off x="0" y="0"/>
                      <a:ext cx="228600" cy="307975"/>
                    </a:xfrm>
                    <a:prstGeom prst="rect">
                      <a:avLst/>
                    </a:prstGeom>
                  </pic:spPr>
                </pic:pic>
              </a:graphicData>
            </a:graphic>
          </wp:anchor>
        </w:drawing>
      </w:r>
      <w:r w:rsidR="0030286B">
        <w:rPr>
          <w:color w:val="333333"/>
          <w:w w:val="110"/>
        </w:rPr>
        <w:t xml:space="preserve">Fully executable jars work </w:t>
      </w:r>
      <w:r w:rsidR="0030286B">
        <w:rPr>
          <w:color w:val="333333"/>
          <w:spacing w:val="-3"/>
          <w:w w:val="110"/>
        </w:rPr>
        <w:t xml:space="preserve">by </w:t>
      </w:r>
      <w:r w:rsidR="0030286B">
        <w:rPr>
          <w:color w:val="333333"/>
          <w:w w:val="110"/>
        </w:rPr>
        <w:t xml:space="preserve">embedding an extra script at the front of the file. </w:t>
      </w:r>
      <w:r w:rsidR="0030286B">
        <w:rPr>
          <w:color w:val="333333"/>
          <w:spacing w:val="-3"/>
          <w:w w:val="110"/>
        </w:rPr>
        <w:t xml:space="preserve">Currently, </w:t>
      </w:r>
      <w:r w:rsidR="0030286B">
        <w:rPr>
          <w:color w:val="333333"/>
          <w:w w:val="110"/>
        </w:rPr>
        <w:t xml:space="preserve">some tools do not accept this format, so you may not always be able to use this technique. </w:t>
      </w:r>
      <w:r w:rsidR="0030286B">
        <w:rPr>
          <w:color w:val="333333"/>
          <w:spacing w:val="-4"/>
          <w:w w:val="110"/>
        </w:rPr>
        <w:t xml:space="preserve">For </w:t>
      </w:r>
      <w:r w:rsidR="0030286B">
        <w:rPr>
          <w:color w:val="333333"/>
          <w:w w:val="110"/>
        </w:rPr>
        <w:t xml:space="preserve">example, </w:t>
      </w:r>
      <w:r w:rsidR="0030286B">
        <w:rPr>
          <w:rFonts w:ascii="MS Gothic"/>
          <w:color w:val="B02045"/>
          <w:w w:val="110"/>
        </w:rPr>
        <w:t xml:space="preserve">jar -xf </w:t>
      </w:r>
      <w:r w:rsidR="0030286B">
        <w:rPr>
          <w:color w:val="333333"/>
          <w:w w:val="110"/>
        </w:rPr>
        <w:t xml:space="preserve">may silently fail to extract a jar or </w:t>
      </w:r>
      <w:proofErr w:type="gramStart"/>
      <w:r w:rsidR="0030286B">
        <w:rPr>
          <w:color w:val="333333"/>
          <w:w w:val="110"/>
        </w:rPr>
        <w:t>war  that</w:t>
      </w:r>
      <w:proofErr w:type="gramEnd"/>
      <w:r w:rsidR="0030286B">
        <w:rPr>
          <w:color w:val="333333"/>
          <w:w w:val="110"/>
        </w:rPr>
        <w:t xml:space="preserve"> has been made fully executable. It is recommended that you make your jar or war fully executable only if you intend to execute it </w:t>
      </w:r>
      <w:r w:rsidR="0030286B">
        <w:rPr>
          <w:color w:val="333333"/>
          <w:spacing w:val="-3"/>
          <w:w w:val="110"/>
        </w:rPr>
        <w:t xml:space="preserve">directly, </w:t>
      </w:r>
      <w:r w:rsidR="0030286B">
        <w:rPr>
          <w:color w:val="333333"/>
          <w:w w:val="110"/>
        </w:rPr>
        <w:t xml:space="preserve">rather than running it with </w:t>
      </w:r>
      <w:r w:rsidR="0030286B">
        <w:rPr>
          <w:rFonts w:ascii="MS Gothic"/>
          <w:color w:val="B02045"/>
          <w:w w:val="110"/>
        </w:rPr>
        <w:t>java -jar</w:t>
      </w:r>
      <w:r w:rsidR="0030286B">
        <w:rPr>
          <w:rFonts w:ascii="MS Gothic"/>
          <w:color w:val="B02045"/>
          <w:spacing w:val="-62"/>
          <w:w w:val="110"/>
        </w:rPr>
        <w:t xml:space="preserve"> </w:t>
      </w:r>
      <w:r w:rsidR="0030286B">
        <w:rPr>
          <w:color w:val="333333"/>
          <w:w w:val="110"/>
        </w:rPr>
        <w:t>or deploying it to a servlet container.</w:t>
      </w:r>
    </w:p>
    <w:p w14:paraId="2BBACABF" w14:textId="77777777" w:rsidR="00A720EB" w:rsidRDefault="00A720EB">
      <w:pPr>
        <w:pStyle w:val="a3"/>
        <w:spacing w:before="7"/>
        <w:rPr>
          <w:sz w:val="22"/>
        </w:rPr>
      </w:pPr>
    </w:p>
    <w:p w14:paraId="3800BC6E" w14:textId="77777777" w:rsidR="00A720EB" w:rsidRDefault="00E10349">
      <w:pPr>
        <w:pStyle w:val="a3"/>
        <w:spacing w:before="125" w:line="297" w:lineRule="auto"/>
        <w:ind w:left="1564" w:right="359"/>
        <w:rPr>
          <w:rFonts w:ascii="MS Gothic"/>
        </w:rPr>
      </w:pPr>
      <w:r>
        <w:pict w14:anchorId="61186891">
          <v:line id="_x0000_s1852" style="position:absolute;left:0;text-align:left;z-index:16293376;mso-position-horizontal-relative:page" from="108.25pt,.25pt" to="108.25pt,71.4pt" strokecolor="#ededed" strokeweight=".5pt">
            <w10:wrap anchorx="page"/>
          </v:line>
        </w:pict>
      </w:r>
      <w:r w:rsidR="0030286B">
        <w:rPr>
          <w:noProof/>
        </w:rPr>
        <w:drawing>
          <wp:anchor distT="0" distB="0" distL="0" distR="0" simplePos="0" relativeHeight="16293888" behindDoc="0" locked="0" layoutInCell="1" allowOverlap="1" wp14:anchorId="00707552" wp14:editId="75517AD1">
            <wp:simplePos x="0" y="0"/>
            <wp:positionH relativeFrom="page">
              <wp:posOffset>879347</wp:posOffset>
            </wp:positionH>
            <wp:positionV relativeFrom="paragraph">
              <wp:posOffset>299377</wp:posOffset>
            </wp:positionV>
            <wp:extent cx="228600" cy="307975"/>
            <wp:effectExtent l="0" t="0" r="0" b="0"/>
            <wp:wrapNone/>
            <wp:docPr id="6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18.png"/>
                    <pic:cNvPicPr/>
                  </pic:nvPicPr>
                  <pic:blipFill>
                    <a:blip r:embed="rId266" cstate="print"/>
                    <a:stretch>
                      <a:fillRect/>
                    </a:stretch>
                  </pic:blipFill>
                  <pic:spPr>
                    <a:xfrm>
                      <a:off x="0" y="0"/>
                      <a:ext cx="228600" cy="307975"/>
                    </a:xfrm>
                    <a:prstGeom prst="rect">
                      <a:avLst/>
                    </a:prstGeom>
                  </pic:spPr>
                </pic:pic>
              </a:graphicData>
            </a:graphic>
          </wp:anchor>
        </w:drawing>
      </w:r>
      <w:r w:rsidR="0030286B">
        <w:rPr>
          <w:color w:val="333333"/>
          <w:w w:val="110"/>
        </w:rPr>
        <w:t>A zip64-format jar file cannot be made fully executable. Attempting to do so will result</w:t>
      </w:r>
      <w:r w:rsidR="0030286B">
        <w:rPr>
          <w:color w:val="333333"/>
          <w:spacing w:val="19"/>
          <w:w w:val="110"/>
        </w:rPr>
        <w:t xml:space="preserve"> </w:t>
      </w:r>
      <w:r w:rsidR="0030286B">
        <w:rPr>
          <w:color w:val="333333"/>
          <w:w w:val="110"/>
        </w:rPr>
        <w:t>in</w:t>
      </w:r>
      <w:r w:rsidR="0030286B">
        <w:rPr>
          <w:color w:val="333333"/>
          <w:spacing w:val="20"/>
          <w:w w:val="110"/>
        </w:rPr>
        <w:t xml:space="preserve"> </w:t>
      </w:r>
      <w:r w:rsidR="0030286B">
        <w:rPr>
          <w:color w:val="333333"/>
          <w:w w:val="110"/>
        </w:rPr>
        <w:t>a</w:t>
      </w:r>
      <w:r w:rsidR="0030286B">
        <w:rPr>
          <w:color w:val="333333"/>
          <w:spacing w:val="20"/>
          <w:w w:val="110"/>
        </w:rPr>
        <w:t xml:space="preserve"> </w:t>
      </w:r>
      <w:r w:rsidR="0030286B">
        <w:rPr>
          <w:color w:val="333333"/>
          <w:w w:val="110"/>
        </w:rPr>
        <w:t>jar</w:t>
      </w:r>
      <w:r w:rsidR="0030286B">
        <w:rPr>
          <w:color w:val="333333"/>
          <w:spacing w:val="20"/>
          <w:w w:val="110"/>
        </w:rPr>
        <w:t xml:space="preserve"> </w:t>
      </w:r>
      <w:r w:rsidR="0030286B">
        <w:rPr>
          <w:color w:val="333333"/>
          <w:w w:val="110"/>
        </w:rPr>
        <w:t>file</w:t>
      </w:r>
      <w:r w:rsidR="0030286B">
        <w:rPr>
          <w:color w:val="333333"/>
          <w:spacing w:val="20"/>
          <w:w w:val="110"/>
        </w:rPr>
        <w:t xml:space="preserve"> </w:t>
      </w:r>
      <w:r w:rsidR="0030286B">
        <w:rPr>
          <w:color w:val="333333"/>
          <w:w w:val="110"/>
        </w:rPr>
        <w:t>that</w:t>
      </w:r>
      <w:r w:rsidR="0030286B">
        <w:rPr>
          <w:color w:val="333333"/>
          <w:spacing w:val="20"/>
          <w:w w:val="110"/>
        </w:rPr>
        <w:t xml:space="preserve"> </w:t>
      </w:r>
      <w:r w:rsidR="0030286B">
        <w:rPr>
          <w:color w:val="333333"/>
          <w:w w:val="110"/>
        </w:rPr>
        <w:t>is</w:t>
      </w:r>
      <w:r w:rsidR="0030286B">
        <w:rPr>
          <w:color w:val="333333"/>
          <w:spacing w:val="20"/>
          <w:w w:val="110"/>
        </w:rPr>
        <w:t xml:space="preserve"> </w:t>
      </w:r>
      <w:r w:rsidR="0030286B">
        <w:rPr>
          <w:color w:val="333333"/>
          <w:w w:val="110"/>
        </w:rPr>
        <w:t>reported</w:t>
      </w:r>
      <w:r w:rsidR="0030286B">
        <w:rPr>
          <w:color w:val="333333"/>
          <w:spacing w:val="20"/>
          <w:w w:val="110"/>
        </w:rPr>
        <w:t xml:space="preserve"> </w:t>
      </w:r>
      <w:r w:rsidR="0030286B">
        <w:rPr>
          <w:color w:val="333333"/>
          <w:w w:val="110"/>
        </w:rPr>
        <w:t>as</w:t>
      </w:r>
      <w:r w:rsidR="0030286B">
        <w:rPr>
          <w:color w:val="333333"/>
          <w:spacing w:val="20"/>
          <w:w w:val="110"/>
        </w:rPr>
        <w:t xml:space="preserve"> </w:t>
      </w:r>
      <w:r w:rsidR="0030286B">
        <w:rPr>
          <w:color w:val="333333"/>
          <w:w w:val="110"/>
        </w:rPr>
        <w:t>corrupt</w:t>
      </w:r>
      <w:r w:rsidR="0030286B">
        <w:rPr>
          <w:color w:val="333333"/>
          <w:spacing w:val="20"/>
          <w:w w:val="110"/>
        </w:rPr>
        <w:t xml:space="preserve"> </w:t>
      </w:r>
      <w:r w:rsidR="0030286B">
        <w:rPr>
          <w:color w:val="333333"/>
          <w:w w:val="110"/>
        </w:rPr>
        <w:t>when</w:t>
      </w:r>
      <w:r w:rsidR="0030286B">
        <w:rPr>
          <w:color w:val="333333"/>
          <w:spacing w:val="20"/>
          <w:w w:val="110"/>
        </w:rPr>
        <w:t xml:space="preserve"> </w:t>
      </w:r>
      <w:r w:rsidR="0030286B">
        <w:rPr>
          <w:color w:val="333333"/>
          <w:w w:val="110"/>
        </w:rPr>
        <w:t>executed</w:t>
      </w:r>
      <w:r w:rsidR="0030286B">
        <w:rPr>
          <w:color w:val="333333"/>
          <w:spacing w:val="20"/>
          <w:w w:val="110"/>
        </w:rPr>
        <w:t xml:space="preserve"> </w:t>
      </w:r>
      <w:r w:rsidR="0030286B">
        <w:rPr>
          <w:color w:val="333333"/>
          <w:w w:val="110"/>
        </w:rPr>
        <w:t>directly</w:t>
      </w:r>
      <w:r w:rsidR="0030286B">
        <w:rPr>
          <w:color w:val="333333"/>
          <w:spacing w:val="20"/>
          <w:w w:val="110"/>
        </w:rPr>
        <w:t xml:space="preserve"> </w:t>
      </w:r>
      <w:r w:rsidR="0030286B">
        <w:rPr>
          <w:color w:val="333333"/>
          <w:w w:val="110"/>
        </w:rPr>
        <w:t>or</w:t>
      </w:r>
      <w:r w:rsidR="0030286B">
        <w:rPr>
          <w:color w:val="333333"/>
          <w:spacing w:val="20"/>
          <w:w w:val="110"/>
        </w:rPr>
        <w:t xml:space="preserve"> </w:t>
      </w:r>
      <w:r w:rsidR="0030286B">
        <w:rPr>
          <w:color w:val="333333"/>
          <w:w w:val="110"/>
        </w:rPr>
        <w:t>with</w:t>
      </w:r>
      <w:r w:rsidR="0030286B">
        <w:rPr>
          <w:color w:val="333333"/>
          <w:spacing w:val="26"/>
          <w:w w:val="110"/>
        </w:rPr>
        <w:t xml:space="preserve"> </w:t>
      </w:r>
      <w:r w:rsidR="0030286B">
        <w:rPr>
          <w:rFonts w:ascii="MS Gothic"/>
          <w:color w:val="B02045"/>
          <w:w w:val="110"/>
        </w:rPr>
        <w:t>java</w:t>
      </w:r>
    </w:p>
    <w:p w14:paraId="0F49A6E6" w14:textId="77777777" w:rsidR="00A720EB" w:rsidRDefault="0030286B">
      <w:pPr>
        <w:pStyle w:val="a3"/>
        <w:spacing w:line="251" w:lineRule="exact"/>
        <w:ind w:left="1564"/>
      </w:pPr>
      <w:r>
        <w:rPr>
          <w:rFonts w:ascii="MS Gothic"/>
          <w:color w:val="B02045"/>
          <w:w w:val="110"/>
        </w:rPr>
        <w:t>-jar</w:t>
      </w:r>
      <w:r>
        <w:rPr>
          <w:color w:val="333333"/>
          <w:w w:val="110"/>
        </w:rPr>
        <w:t>.</w:t>
      </w:r>
      <w:r>
        <w:rPr>
          <w:color w:val="333333"/>
          <w:spacing w:val="8"/>
          <w:w w:val="110"/>
        </w:rPr>
        <w:t xml:space="preserve"> </w:t>
      </w:r>
      <w:r>
        <w:rPr>
          <w:color w:val="333333"/>
          <w:w w:val="110"/>
        </w:rPr>
        <w:t>A</w:t>
      </w:r>
      <w:r>
        <w:rPr>
          <w:color w:val="333333"/>
          <w:spacing w:val="8"/>
          <w:w w:val="110"/>
        </w:rPr>
        <w:t xml:space="preserve"> </w:t>
      </w:r>
      <w:r>
        <w:rPr>
          <w:color w:val="333333"/>
          <w:w w:val="110"/>
        </w:rPr>
        <w:t>standard-format</w:t>
      </w:r>
      <w:r>
        <w:rPr>
          <w:color w:val="333333"/>
          <w:spacing w:val="8"/>
          <w:w w:val="110"/>
        </w:rPr>
        <w:t xml:space="preserve"> </w:t>
      </w:r>
      <w:r>
        <w:rPr>
          <w:color w:val="333333"/>
          <w:w w:val="110"/>
        </w:rPr>
        <w:t>jar</w:t>
      </w:r>
      <w:r>
        <w:rPr>
          <w:color w:val="333333"/>
          <w:spacing w:val="8"/>
          <w:w w:val="110"/>
        </w:rPr>
        <w:t xml:space="preserve"> </w:t>
      </w:r>
      <w:r>
        <w:rPr>
          <w:color w:val="333333"/>
          <w:w w:val="110"/>
        </w:rPr>
        <w:t>file</w:t>
      </w:r>
      <w:r>
        <w:rPr>
          <w:color w:val="333333"/>
          <w:spacing w:val="8"/>
          <w:w w:val="110"/>
        </w:rPr>
        <w:t xml:space="preserve"> </w:t>
      </w:r>
      <w:r>
        <w:rPr>
          <w:color w:val="333333"/>
          <w:w w:val="110"/>
        </w:rPr>
        <w:t>that</w:t>
      </w:r>
      <w:r>
        <w:rPr>
          <w:color w:val="333333"/>
          <w:spacing w:val="8"/>
          <w:w w:val="110"/>
        </w:rPr>
        <w:t xml:space="preserve"> </w:t>
      </w:r>
      <w:r>
        <w:rPr>
          <w:color w:val="333333"/>
          <w:w w:val="110"/>
        </w:rPr>
        <w:t>contains</w:t>
      </w:r>
      <w:r>
        <w:rPr>
          <w:color w:val="333333"/>
          <w:spacing w:val="8"/>
          <w:w w:val="110"/>
        </w:rPr>
        <w:t xml:space="preserve"> </w:t>
      </w:r>
      <w:r>
        <w:rPr>
          <w:color w:val="333333"/>
          <w:w w:val="110"/>
        </w:rPr>
        <w:t>one</w:t>
      </w:r>
      <w:r>
        <w:rPr>
          <w:color w:val="333333"/>
          <w:spacing w:val="8"/>
          <w:w w:val="110"/>
        </w:rPr>
        <w:t xml:space="preserve"> </w:t>
      </w:r>
      <w:r>
        <w:rPr>
          <w:color w:val="333333"/>
          <w:w w:val="110"/>
        </w:rPr>
        <w:t>or</w:t>
      </w:r>
      <w:r>
        <w:rPr>
          <w:color w:val="333333"/>
          <w:spacing w:val="8"/>
          <w:w w:val="110"/>
        </w:rPr>
        <w:t xml:space="preserve"> </w:t>
      </w:r>
      <w:r>
        <w:rPr>
          <w:color w:val="333333"/>
          <w:w w:val="110"/>
        </w:rPr>
        <w:t>more</w:t>
      </w:r>
      <w:r>
        <w:rPr>
          <w:color w:val="333333"/>
          <w:spacing w:val="8"/>
          <w:w w:val="110"/>
        </w:rPr>
        <w:t xml:space="preserve"> </w:t>
      </w:r>
      <w:r>
        <w:rPr>
          <w:color w:val="333333"/>
          <w:w w:val="110"/>
        </w:rPr>
        <w:t>zip64-format</w:t>
      </w:r>
      <w:r>
        <w:rPr>
          <w:color w:val="333333"/>
          <w:spacing w:val="8"/>
          <w:w w:val="110"/>
        </w:rPr>
        <w:t xml:space="preserve"> </w:t>
      </w:r>
      <w:r>
        <w:rPr>
          <w:color w:val="333333"/>
          <w:w w:val="110"/>
        </w:rPr>
        <w:t>nested</w:t>
      </w:r>
      <w:r>
        <w:rPr>
          <w:color w:val="333333"/>
          <w:spacing w:val="8"/>
          <w:w w:val="110"/>
        </w:rPr>
        <w:t xml:space="preserve"> </w:t>
      </w:r>
      <w:r>
        <w:rPr>
          <w:color w:val="333333"/>
          <w:w w:val="110"/>
        </w:rPr>
        <w:t>jars</w:t>
      </w:r>
    </w:p>
    <w:p w14:paraId="17947E5A" w14:textId="77777777" w:rsidR="00A720EB" w:rsidRDefault="0030286B">
      <w:pPr>
        <w:pStyle w:val="a3"/>
        <w:spacing w:before="57"/>
        <w:ind w:left="1564"/>
      </w:pPr>
      <w:r>
        <w:rPr>
          <w:color w:val="333333"/>
          <w:w w:val="115"/>
        </w:rPr>
        <w:t>can be fully executable.</w:t>
      </w:r>
    </w:p>
    <w:p w14:paraId="36C01066" w14:textId="77777777" w:rsidR="00A720EB" w:rsidRDefault="00A720EB">
      <w:pPr>
        <w:pStyle w:val="a3"/>
        <w:spacing w:before="6"/>
        <w:rPr>
          <w:sz w:val="22"/>
        </w:rPr>
      </w:pPr>
    </w:p>
    <w:p w14:paraId="0141DA65" w14:textId="77777777" w:rsidR="00A720EB" w:rsidRDefault="0030286B">
      <w:pPr>
        <w:pStyle w:val="a3"/>
        <w:spacing w:before="125"/>
        <w:ind w:left="124"/>
      </w:pPr>
      <w:r>
        <w:rPr>
          <w:color w:val="333333"/>
          <w:w w:val="110"/>
        </w:rPr>
        <w:t>To create a ‘fully executable’ jar with Maven, use the following plugin configuration:</w:t>
      </w:r>
    </w:p>
    <w:p w14:paraId="56641727" w14:textId="77777777" w:rsidR="00A720EB" w:rsidRDefault="00E10349">
      <w:pPr>
        <w:pStyle w:val="a3"/>
        <w:rPr>
          <w:sz w:val="19"/>
        </w:rPr>
      </w:pPr>
      <w:r>
        <w:pict w14:anchorId="51E18E53">
          <v:group id="_x0000_s1848" style="position:absolute;margin-left:47.85pt;margin-top:13.15pt;width:499.55pt;height:125.95pt;z-index:-15165952;mso-wrap-distance-left:0;mso-wrap-distance-right:0;mso-position-horizontal-relative:page" coordorigin="957,263" coordsize="9991,2519">
            <v:shape id="_x0000_s1851" style="position:absolute;left:964;top:270;width:9976;height:2504" coordorigin="965,270" coordsize="9976,2504" path="m10861,270r-9816,l1014,276r-26,18l971,319r-6,31l965,2694r6,31l988,2750r26,17l1045,2774r9816,l10892,2767r25,-17l10935,2725r6,-31l10941,350r-6,-31l10917,294r-25,-18l10861,270xe" fillcolor="#f5f5f5" stroked="f">
              <v:path arrowok="t"/>
            </v:shape>
            <v:shape id="_x0000_s1850" style="position:absolute;left:964;top:270;width:9976;height:2504" coordorigin="965,270" coordsize="9976,2504" path="m1045,270r9816,l10892,276r25,18l10935,319r6,31l10941,2694r-6,31l10917,2750r-25,17l10861,2774r-9816,l1014,2767r-26,-17l971,2725r-6,-31l965,350r6,-31l988,294r26,-18l1045,270xe" filled="f" strokecolor="#ccc">
              <v:path arrowok="t"/>
            </v:shape>
            <v:shape id="_x0000_s1849" type="#_x0000_t202" style="position:absolute;left:984;top:285;width:9938;height:2473" filled="f" stroked="f">
              <v:textbox inset="0,0,0,0">
                <w:txbxContent>
                  <w:p w14:paraId="3B8D61FE" w14:textId="77777777" w:rsidR="00711A16" w:rsidRDefault="00711A16">
                    <w:pPr>
                      <w:spacing w:before="221"/>
                      <w:ind w:left="200"/>
                      <w:rPr>
                        <w:rFonts w:ascii="MS Gothic"/>
                      </w:rPr>
                    </w:pPr>
                    <w:r>
                      <w:rPr>
                        <w:rFonts w:ascii="MS Gothic"/>
                        <w:color w:val="333333"/>
                      </w:rPr>
                      <w:t>&lt;plugin&gt;</w:t>
                    </w:r>
                  </w:p>
                  <w:p w14:paraId="39F51548"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0A3E33FD" w14:textId="77777777" w:rsidR="00711A16" w:rsidRDefault="00711A16">
                    <w:pPr>
                      <w:spacing w:before="13"/>
                      <w:ind w:left="640"/>
                      <w:rPr>
                        <w:rFonts w:ascii="MS Gothic"/>
                      </w:rPr>
                    </w:pPr>
                    <w:r>
                      <w:rPr>
                        <w:rFonts w:ascii="MS Gothic"/>
                        <w:color w:val="333333"/>
                      </w:rPr>
                      <w:t>&lt;artifactId&gt;spring-boot-maven-plugin&lt;/artifactId&gt;</w:t>
                    </w:r>
                  </w:p>
                  <w:p w14:paraId="0F5D39AB" w14:textId="77777777" w:rsidR="00711A16" w:rsidRDefault="00711A16">
                    <w:pPr>
                      <w:spacing w:before="13"/>
                      <w:ind w:left="640"/>
                      <w:rPr>
                        <w:rFonts w:ascii="MS Gothic"/>
                      </w:rPr>
                    </w:pPr>
                    <w:r>
                      <w:rPr>
                        <w:rFonts w:ascii="MS Gothic"/>
                        <w:color w:val="333333"/>
                      </w:rPr>
                      <w:t>&lt;configuration&gt;</w:t>
                    </w:r>
                  </w:p>
                  <w:p w14:paraId="067A16E9" w14:textId="77777777" w:rsidR="00711A16" w:rsidRDefault="00711A16">
                    <w:pPr>
                      <w:spacing w:before="12"/>
                      <w:ind w:left="1080"/>
                      <w:rPr>
                        <w:rFonts w:ascii="MS Gothic"/>
                      </w:rPr>
                    </w:pPr>
                    <w:r>
                      <w:rPr>
                        <w:rFonts w:ascii="MS Gothic"/>
                        <w:color w:val="333333"/>
                      </w:rPr>
                      <w:t>&lt;executable&gt;true&lt;/executable&gt;</w:t>
                    </w:r>
                  </w:p>
                  <w:p w14:paraId="14CDAE8E" w14:textId="77777777" w:rsidR="00711A16" w:rsidRDefault="00711A16">
                    <w:pPr>
                      <w:spacing w:before="13"/>
                      <w:ind w:left="640"/>
                      <w:rPr>
                        <w:rFonts w:ascii="MS Gothic"/>
                      </w:rPr>
                    </w:pPr>
                    <w:r>
                      <w:rPr>
                        <w:rFonts w:ascii="MS Gothic"/>
                        <w:color w:val="333333"/>
                      </w:rPr>
                      <w:t>&lt;/configuration&gt;</w:t>
                    </w:r>
                  </w:p>
                  <w:p w14:paraId="31AE431F" w14:textId="77777777" w:rsidR="00711A16" w:rsidRDefault="00711A16">
                    <w:pPr>
                      <w:spacing w:before="13"/>
                      <w:ind w:left="200"/>
                      <w:rPr>
                        <w:rFonts w:ascii="MS Gothic"/>
                      </w:rPr>
                    </w:pPr>
                    <w:r>
                      <w:rPr>
                        <w:rFonts w:ascii="MS Gothic"/>
                        <w:color w:val="333333"/>
                      </w:rPr>
                      <w:t>&lt;/plugin&gt;</w:t>
                    </w:r>
                  </w:p>
                </w:txbxContent>
              </v:textbox>
            </v:shape>
            <w10:wrap type="topAndBottom" anchorx="page"/>
          </v:group>
        </w:pict>
      </w:r>
    </w:p>
    <w:p w14:paraId="58D9116E" w14:textId="77777777" w:rsidR="00A720EB" w:rsidRDefault="00A720EB">
      <w:pPr>
        <w:pStyle w:val="a3"/>
        <w:rPr>
          <w:sz w:val="10"/>
        </w:rPr>
      </w:pPr>
    </w:p>
    <w:p w14:paraId="1A7E7B3C" w14:textId="77777777" w:rsidR="00A720EB" w:rsidRDefault="0030286B">
      <w:pPr>
        <w:pStyle w:val="a3"/>
        <w:spacing w:before="125"/>
        <w:ind w:left="124"/>
      </w:pPr>
      <w:r>
        <w:rPr>
          <w:color w:val="333333"/>
          <w:w w:val="110"/>
        </w:rPr>
        <w:t>The following example shows the equivalent Gradle configuration:</w:t>
      </w:r>
    </w:p>
    <w:p w14:paraId="014A7136" w14:textId="77777777" w:rsidR="00A720EB" w:rsidRDefault="00E10349">
      <w:pPr>
        <w:pStyle w:val="a3"/>
        <w:rPr>
          <w:sz w:val="19"/>
        </w:rPr>
      </w:pPr>
      <w:r>
        <w:pict w14:anchorId="551DE8D5">
          <v:group id="_x0000_s1844" style="position:absolute;margin-left:47.85pt;margin-top:13.15pt;width:499.55pt;height:67pt;z-index:-15165440;mso-wrap-distance-left:0;mso-wrap-distance-right:0;mso-position-horizontal-relative:page" coordorigin="957,263" coordsize="9991,1340">
            <v:shape id="_x0000_s1847" style="position:absolute;left:964;top:270;width:9976;height:1325" coordorigin="965,270" coordsize="9976,1325" path="m10861,270r-9816,l1014,276r-26,18l971,319r-6,31l965,1515r6,31l988,1571r26,17l1045,1595r9816,l10892,1588r25,-17l10935,1546r6,-31l10941,350r-6,-31l10917,294r-25,-18l10861,270xe" fillcolor="#f5f5f5" stroked="f">
              <v:path arrowok="t"/>
            </v:shape>
            <v:shape id="_x0000_s1846" style="position:absolute;left:964;top:270;width:9976;height:1325" coordorigin="965,270" coordsize="9976,1325" path="m1045,270r9816,l10892,276r25,18l10935,319r6,31l10941,1515r-6,31l10917,1571r-25,17l10861,1595r-9816,l1014,1588r-26,-17l971,1546r-6,-31l965,350r6,-31l988,294r26,-18l1045,270xe" filled="f" strokecolor="#ccc">
              <v:path arrowok="t"/>
            </v:shape>
            <v:shape id="_x0000_s1845" type="#_x0000_t202" style="position:absolute;left:984;top:285;width:9938;height:1294" filled="f" stroked="f">
              <v:textbox inset="0,0,0,0">
                <w:txbxContent>
                  <w:p w14:paraId="2D0B9216" w14:textId="77777777" w:rsidR="00711A16" w:rsidRDefault="00711A16">
                    <w:pPr>
                      <w:spacing w:before="221"/>
                      <w:ind w:left="200"/>
                      <w:rPr>
                        <w:rFonts w:ascii="MS Gothic"/>
                      </w:rPr>
                    </w:pPr>
                    <w:r>
                      <w:rPr>
                        <w:rFonts w:ascii="MS Gothic"/>
                        <w:color w:val="333333"/>
                      </w:rPr>
                      <w:t>bootJar {</w:t>
                    </w:r>
                  </w:p>
                  <w:p w14:paraId="2FF031C8" w14:textId="77777777" w:rsidR="00711A16" w:rsidRDefault="00711A16">
                    <w:pPr>
                      <w:spacing w:before="13"/>
                      <w:ind w:left="640"/>
                      <w:rPr>
                        <w:rFonts w:ascii="MS Gothic"/>
                      </w:rPr>
                    </w:pPr>
                    <w:proofErr w:type="gramStart"/>
                    <w:r>
                      <w:rPr>
                        <w:rFonts w:ascii="MS Gothic"/>
                        <w:color w:val="333333"/>
                      </w:rPr>
                      <w:t>launchScript(</w:t>
                    </w:r>
                    <w:proofErr w:type="gramEnd"/>
                    <w:r>
                      <w:rPr>
                        <w:rFonts w:ascii="MS Gothic"/>
                        <w:color w:val="333333"/>
                      </w:rPr>
                      <w:t>)</w:t>
                    </w:r>
                  </w:p>
                  <w:p w14:paraId="2CB28CB1"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1FE5D1E0" w14:textId="77777777" w:rsidR="00A720EB" w:rsidRDefault="00A720EB">
      <w:pPr>
        <w:pStyle w:val="a3"/>
        <w:spacing w:before="11"/>
        <w:rPr>
          <w:sz w:val="9"/>
        </w:rPr>
      </w:pPr>
    </w:p>
    <w:p w14:paraId="4EB14D20" w14:textId="77777777" w:rsidR="00A720EB" w:rsidRDefault="0030286B">
      <w:pPr>
        <w:pStyle w:val="a3"/>
        <w:spacing w:before="115" w:line="300" w:lineRule="auto"/>
        <w:ind w:left="124" w:right="123"/>
        <w:jc w:val="both"/>
      </w:pPr>
      <w:r>
        <w:rPr>
          <w:color w:val="333333"/>
          <w:w w:val="110"/>
        </w:rPr>
        <w:t xml:space="preserve">You can then run your application by typing </w:t>
      </w:r>
      <w:r>
        <w:rPr>
          <w:rFonts w:ascii="MS Gothic" w:hAnsi="MS Gothic"/>
          <w:color w:val="B02045"/>
          <w:w w:val="110"/>
        </w:rPr>
        <w:t xml:space="preserve">./my-application.jar </w:t>
      </w:r>
      <w:r>
        <w:rPr>
          <w:color w:val="333333"/>
          <w:w w:val="110"/>
        </w:rPr>
        <w:t xml:space="preserve">(where </w:t>
      </w:r>
      <w:r>
        <w:rPr>
          <w:rFonts w:ascii="MS Gothic" w:hAnsi="MS Gothic"/>
          <w:color w:val="B02045"/>
          <w:w w:val="110"/>
        </w:rPr>
        <w:t xml:space="preserve">my-application </w:t>
      </w:r>
      <w:r>
        <w:rPr>
          <w:color w:val="333333"/>
          <w:w w:val="110"/>
        </w:rPr>
        <w:t>is the name of your artifact). The directory containing the jar is used as your application’s working directory.</w:t>
      </w:r>
    </w:p>
    <w:p w14:paraId="02E8A64C" w14:textId="77777777" w:rsidR="00A720EB" w:rsidRDefault="00A720EB">
      <w:pPr>
        <w:pStyle w:val="a3"/>
        <w:spacing w:before="2"/>
        <w:rPr>
          <w:sz w:val="26"/>
        </w:rPr>
      </w:pPr>
    </w:p>
    <w:p w14:paraId="32406F5A" w14:textId="77777777" w:rsidR="00A720EB" w:rsidRDefault="0030286B">
      <w:pPr>
        <w:pStyle w:val="3"/>
        <w:numPr>
          <w:ilvl w:val="2"/>
          <w:numId w:val="20"/>
        </w:numPr>
        <w:tabs>
          <w:tab w:val="left" w:pos="858"/>
        </w:tabs>
        <w:ind w:hanging="734"/>
      </w:pPr>
      <w:bookmarkStart w:id="711" w:name="6.3.1._Supported_Operating_Systems"/>
      <w:bookmarkStart w:id="712" w:name="_Toc54423889"/>
      <w:bookmarkEnd w:id="711"/>
      <w:r>
        <w:rPr>
          <w:color w:val="333333"/>
          <w:w w:val="110"/>
        </w:rPr>
        <w:t>Supported Operating</w:t>
      </w:r>
      <w:r>
        <w:rPr>
          <w:color w:val="333333"/>
          <w:spacing w:val="-12"/>
          <w:w w:val="110"/>
        </w:rPr>
        <w:t xml:space="preserve"> </w:t>
      </w:r>
      <w:r>
        <w:rPr>
          <w:color w:val="333333"/>
          <w:w w:val="110"/>
        </w:rPr>
        <w:t>Systems</w:t>
      </w:r>
      <w:bookmarkEnd w:id="712"/>
    </w:p>
    <w:p w14:paraId="6CFC9CF2" w14:textId="77777777" w:rsidR="00A720EB" w:rsidRDefault="0030286B">
      <w:pPr>
        <w:pStyle w:val="a3"/>
        <w:spacing w:before="254" w:line="297" w:lineRule="auto"/>
        <w:ind w:left="124" w:right="134"/>
        <w:jc w:val="both"/>
      </w:pPr>
      <w:r>
        <w:rPr>
          <w:color w:val="333333"/>
          <w:w w:val="110"/>
        </w:rPr>
        <w:t xml:space="preserve">The default script supports most Linux distributions and is tested on CentOS and Ubuntu. Other platforms, such as OS X and FreeBSD, require the use of a custom </w:t>
      </w:r>
      <w:r>
        <w:rPr>
          <w:rFonts w:ascii="MS Gothic"/>
          <w:color w:val="B02045"/>
          <w:w w:val="110"/>
        </w:rPr>
        <w:t>embeddedLaunchScript</w:t>
      </w:r>
      <w:r>
        <w:rPr>
          <w:color w:val="333333"/>
          <w:w w:val="110"/>
        </w:rPr>
        <w:t>.</w:t>
      </w:r>
    </w:p>
    <w:p w14:paraId="321DEB2C" w14:textId="77777777" w:rsidR="00A720EB" w:rsidRDefault="00A720EB">
      <w:pPr>
        <w:pStyle w:val="a3"/>
        <w:rPr>
          <w:sz w:val="25"/>
        </w:rPr>
      </w:pPr>
    </w:p>
    <w:p w14:paraId="40D3C92E" w14:textId="77777777" w:rsidR="00A720EB" w:rsidRDefault="0030286B">
      <w:pPr>
        <w:pStyle w:val="3"/>
        <w:numPr>
          <w:ilvl w:val="2"/>
          <w:numId w:val="20"/>
        </w:numPr>
        <w:tabs>
          <w:tab w:val="left" w:pos="858"/>
        </w:tabs>
        <w:ind w:hanging="734"/>
      </w:pPr>
      <w:bookmarkStart w:id="713" w:name="6.3.2._Unix/Linux_Services"/>
      <w:bookmarkStart w:id="714" w:name="_Toc54423890"/>
      <w:bookmarkEnd w:id="713"/>
      <w:r>
        <w:rPr>
          <w:color w:val="333333"/>
          <w:w w:val="110"/>
        </w:rPr>
        <w:t>Unix/Linux</w:t>
      </w:r>
      <w:r>
        <w:rPr>
          <w:color w:val="333333"/>
          <w:spacing w:val="-5"/>
          <w:w w:val="110"/>
        </w:rPr>
        <w:t xml:space="preserve"> </w:t>
      </w:r>
      <w:r>
        <w:rPr>
          <w:color w:val="333333"/>
          <w:w w:val="110"/>
        </w:rPr>
        <w:t>Services</w:t>
      </w:r>
      <w:bookmarkEnd w:id="714"/>
    </w:p>
    <w:p w14:paraId="17D9CD85" w14:textId="77777777" w:rsidR="00A720EB" w:rsidRDefault="0030286B">
      <w:pPr>
        <w:pStyle w:val="a3"/>
        <w:spacing w:before="243"/>
        <w:ind w:left="124"/>
        <w:jc w:val="both"/>
      </w:pPr>
      <w:r>
        <w:rPr>
          <w:color w:val="333333"/>
          <w:w w:val="110"/>
        </w:rPr>
        <w:t xml:space="preserve">Spring Boot application can be easily started as Unix/Linux services by using either </w:t>
      </w:r>
      <w:proofErr w:type="gramStart"/>
      <w:r>
        <w:rPr>
          <w:rFonts w:ascii="MS Gothic"/>
          <w:color w:val="B02045"/>
          <w:w w:val="110"/>
        </w:rPr>
        <w:t>init.d</w:t>
      </w:r>
      <w:proofErr w:type="gramEnd"/>
      <w:r>
        <w:rPr>
          <w:rFonts w:ascii="MS Gothic"/>
          <w:color w:val="B02045"/>
          <w:w w:val="110"/>
        </w:rPr>
        <w:t xml:space="preserve"> </w:t>
      </w:r>
      <w:r>
        <w:rPr>
          <w:color w:val="333333"/>
          <w:w w:val="110"/>
        </w:rPr>
        <w:t>or</w:t>
      </w:r>
    </w:p>
    <w:p w14:paraId="19AE18B2" w14:textId="77777777" w:rsidR="00A720EB" w:rsidRDefault="0030286B">
      <w:pPr>
        <w:pStyle w:val="a3"/>
        <w:spacing w:before="47"/>
        <w:ind w:left="124"/>
      </w:pPr>
      <w:r>
        <w:rPr>
          <w:rFonts w:ascii="MS Gothic"/>
          <w:color w:val="B02045"/>
          <w:w w:val="105"/>
        </w:rPr>
        <w:t>systemd</w:t>
      </w:r>
      <w:r>
        <w:rPr>
          <w:color w:val="333333"/>
          <w:w w:val="105"/>
        </w:rPr>
        <w:t>.</w:t>
      </w:r>
    </w:p>
    <w:p w14:paraId="46F6330A" w14:textId="77777777" w:rsidR="00A720EB" w:rsidRDefault="00A720EB">
      <w:pPr>
        <w:pStyle w:val="a3"/>
        <w:spacing w:before="5"/>
        <w:rPr>
          <w:sz w:val="30"/>
        </w:rPr>
      </w:pPr>
    </w:p>
    <w:p w14:paraId="6E10E052" w14:textId="77777777" w:rsidR="00A720EB" w:rsidRDefault="0030286B">
      <w:pPr>
        <w:pStyle w:val="4"/>
        <w:jc w:val="left"/>
      </w:pPr>
      <w:bookmarkStart w:id="715" w:name="Installation_as_an_init.d_Service_(Syste"/>
      <w:bookmarkEnd w:id="715"/>
      <w:r>
        <w:rPr>
          <w:color w:val="333333"/>
          <w:w w:val="110"/>
        </w:rPr>
        <w:t xml:space="preserve">Installation as an </w:t>
      </w:r>
      <w:proofErr w:type="gramStart"/>
      <w:r>
        <w:rPr>
          <w:color w:val="333333"/>
          <w:w w:val="110"/>
        </w:rPr>
        <w:t>init.d</w:t>
      </w:r>
      <w:proofErr w:type="gramEnd"/>
      <w:r>
        <w:rPr>
          <w:color w:val="333333"/>
          <w:w w:val="110"/>
        </w:rPr>
        <w:t xml:space="preserve"> Service (System V)</w:t>
      </w:r>
    </w:p>
    <w:p w14:paraId="187A93E4" w14:textId="77777777" w:rsidR="00A720EB" w:rsidRDefault="00A720EB">
      <w:pPr>
        <w:pStyle w:val="a3"/>
        <w:spacing w:before="12"/>
        <w:rPr>
          <w:rFonts w:ascii="Palatino Linotype"/>
          <w:b/>
          <w:sz w:val="18"/>
        </w:rPr>
      </w:pPr>
    </w:p>
    <w:p w14:paraId="31884D19" w14:textId="77777777" w:rsidR="00A720EB" w:rsidRDefault="0030286B">
      <w:pPr>
        <w:pStyle w:val="a3"/>
        <w:spacing w:line="297" w:lineRule="auto"/>
        <w:ind w:left="124" w:right="123"/>
        <w:jc w:val="both"/>
      </w:pPr>
      <w:r>
        <w:rPr>
          <w:color w:val="333333"/>
          <w:w w:val="110"/>
        </w:rPr>
        <w:t xml:space="preserve">If you configured Spring Boot’s Maven or Gradle plugin to generate a  </w:t>
      </w:r>
      <w:hyperlink w:anchor="_bookmark483" w:history="1">
        <w:r>
          <w:rPr>
            <w:color w:val="418BCA"/>
            <w:w w:val="110"/>
          </w:rPr>
          <w:t>fully executable jar</w:t>
        </w:r>
      </w:hyperlink>
      <w:r>
        <w:rPr>
          <w:color w:val="333333"/>
          <w:w w:val="110"/>
        </w:rPr>
        <w:t xml:space="preserve">, and you   do not use a custom </w:t>
      </w:r>
      <w:r>
        <w:rPr>
          <w:rFonts w:ascii="MS Gothic" w:hAnsi="MS Gothic"/>
          <w:color w:val="B02045"/>
          <w:w w:val="110"/>
        </w:rPr>
        <w:t>embeddedLaunchScript</w:t>
      </w:r>
      <w:r>
        <w:rPr>
          <w:color w:val="333333"/>
          <w:w w:val="110"/>
        </w:rPr>
        <w:t xml:space="preserve">, your application can be used as an </w:t>
      </w:r>
      <w:proofErr w:type="gramStart"/>
      <w:r>
        <w:rPr>
          <w:rFonts w:ascii="MS Gothic" w:hAnsi="MS Gothic"/>
          <w:color w:val="B02045"/>
          <w:w w:val="110"/>
        </w:rPr>
        <w:t>init.d</w:t>
      </w:r>
      <w:proofErr w:type="gramEnd"/>
      <w:r>
        <w:rPr>
          <w:rFonts w:ascii="MS Gothic" w:hAnsi="MS Gothic"/>
          <w:color w:val="B02045"/>
          <w:spacing w:val="-57"/>
          <w:w w:val="110"/>
        </w:rPr>
        <w:t xml:space="preserve"> </w:t>
      </w:r>
      <w:r>
        <w:rPr>
          <w:color w:val="333333"/>
          <w:w w:val="110"/>
        </w:rPr>
        <w:t xml:space="preserve">service. </w:t>
      </w:r>
      <w:r>
        <w:rPr>
          <w:color w:val="333333"/>
          <w:spacing w:val="-4"/>
          <w:w w:val="110"/>
        </w:rPr>
        <w:t xml:space="preserve">To </w:t>
      </w:r>
      <w:r>
        <w:rPr>
          <w:color w:val="333333"/>
          <w:w w:val="110"/>
        </w:rPr>
        <w:t>do</w:t>
      </w:r>
    </w:p>
    <w:p w14:paraId="5502858F" w14:textId="77777777" w:rsidR="00A720EB" w:rsidRDefault="00A720EB">
      <w:pPr>
        <w:spacing w:line="297" w:lineRule="auto"/>
        <w:jc w:val="both"/>
        <w:sectPr w:rsidR="00A720EB">
          <w:pgSz w:w="11910" w:h="16840"/>
          <w:pgMar w:top="700" w:right="840" w:bottom="520" w:left="840" w:header="0" w:footer="323" w:gutter="0"/>
          <w:cols w:space="720"/>
        </w:sectPr>
      </w:pPr>
    </w:p>
    <w:p w14:paraId="5CCA91BE" w14:textId="77777777" w:rsidR="00A720EB" w:rsidRDefault="0030286B">
      <w:pPr>
        <w:pStyle w:val="a3"/>
        <w:spacing w:before="96" w:line="504" w:lineRule="auto"/>
        <w:ind w:left="124" w:right="462"/>
      </w:pPr>
      <w:r>
        <w:rPr>
          <w:color w:val="333333"/>
          <w:w w:val="110"/>
        </w:rPr>
        <w:lastRenderedPageBreak/>
        <w:t>so,</w:t>
      </w:r>
      <w:r>
        <w:rPr>
          <w:color w:val="333333"/>
          <w:spacing w:val="-13"/>
          <w:w w:val="110"/>
        </w:rPr>
        <w:t xml:space="preserve"> </w:t>
      </w:r>
      <w:r>
        <w:rPr>
          <w:color w:val="333333"/>
          <w:w w:val="110"/>
        </w:rPr>
        <w:t>symlink</w:t>
      </w:r>
      <w:r>
        <w:rPr>
          <w:color w:val="333333"/>
          <w:spacing w:val="-12"/>
          <w:w w:val="110"/>
        </w:rPr>
        <w:t xml:space="preserve"> </w:t>
      </w:r>
      <w:r>
        <w:rPr>
          <w:color w:val="333333"/>
          <w:w w:val="110"/>
        </w:rPr>
        <w:t>the</w:t>
      </w:r>
      <w:r>
        <w:rPr>
          <w:color w:val="333333"/>
          <w:spacing w:val="-12"/>
          <w:w w:val="110"/>
        </w:rPr>
        <w:t xml:space="preserve"> </w:t>
      </w:r>
      <w:r>
        <w:rPr>
          <w:color w:val="333333"/>
          <w:w w:val="110"/>
        </w:rPr>
        <w:t>jar</w:t>
      </w:r>
      <w:r>
        <w:rPr>
          <w:color w:val="333333"/>
          <w:spacing w:val="-13"/>
          <w:w w:val="110"/>
        </w:rPr>
        <w:t xml:space="preserve"> </w:t>
      </w:r>
      <w:r>
        <w:rPr>
          <w:color w:val="333333"/>
          <w:w w:val="110"/>
        </w:rPr>
        <w:t>to</w:t>
      </w:r>
      <w:r>
        <w:rPr>
          <w:color w:val="333333"/>
          <w:spacing w:val="-13"/>
          <w:w w:val="110"/>
        </w:rPr>
        <w:t xml:space="preserve"> </w:t>
      </w:r>
      <w:proofErr w:type="gramStart"/>
      <w:r>
        <w:rPr>
          <w:rFonts w:ascii="MS Gothic"/>
          <w:color w:val="B02045"/>
          <w:w w:val="110"/>
        </w:rPr>
        <w:t>init.d</w:t>
      </w:r>
      <w:proofErr w:type="gramEnd"/>
      <w:r>
        <w:rPr>
          <w:rFonts w:ascii="MS Gothic"/>
          <w:color w:val="B02045"/>
          <w:spacing w:val="-77"/>
          <w:w w:val="110"/>
        </w:rPr>
        <w:t xml:space="preserve"> </w:t>
      </w:r>
      <w:r>
        <w:rPr>
          <w:color w:val="333333"/>
          <w:w w:val="110"/>
        </w:rPr>
        <w:t>to</w:t>
      </w:r>
      <w:r>
        <w:rPr>
          <w:color w:val="333333"/>
          <w:spacing w:val="-12"/>
          <w:w w:val="110"/>
        </w:rPr>
        <w:t xml:space="preserve"> </w:t>
      </w:r>
      <w:r>
        <w:rPr>
          <w:color w:val="333333"/>
          <w:w w:val="110"/>
        </w:rPr>
        <w:t>support</w:t>
      </w:r>
      <w:r>
        <w:rPr>
          <w:color w:val="333333"/>
          <w:spacing w:val="-12"/>
          <w:w w:val="110"/>
        </w:rPr>
        <w:t xml:space="preserve"> </w:t>
      </w:r>
      <w:r>
        <w:rPr>
          <w:color w:val="333333"/>
          <w:w w:val="110"/>
        </w:rPr>
        <w:t>the</w:t>
      </w:r>
      <w:r>
        <w:rPr>
          <w:color w:val="333333"/>
          <w:spacing w:val="-12"/>
          <w:w w:val="110"/>
        </w:rPr>
        <w:t xml:space="preserve"> </w:t>
      </w:r>
      <w:r>
        <w:rPr>
          <w:color w:val="333333"/>
          <w:w w:val="110"/>
        </w:rPr>
        <w:t>standard</w:t>
      </w:r>
      <w:r>
        <w:rPr>
          <w:color w:val="333333"/>
          <w:spacing w:val="-13"/>
          <w:w w:val="110"/>
        </w:rPr>
        <w:t xml:space="preserve"> </w:t>
      </w:r>
      <w:r>
        <w:rPr>
          <w:rFonts w:ascii="MS Gothic"/>
          <w:color w:val="B02045"/>
          <w:w w:val="110"/>
        </w:rPr>
        <w:t>start</w:t>
      </w:r>
      <w:r>
        <w:rPr>
          <w:color w:val="333333"/>
          <w:w w:val="110"/>
        </w:rPr>
        <w:t>,</w:t>
      </w:r>
      <w:r>
        <w:rPr>
          <w:color w:val="333333"/>
          <w:spacing w:val="-13"/>
          <w:w w:val="110"/>
        </w:rPr>
        <w:t xml:space="preserve"> </w:t>
      </w:r>
      <w:r>
        <w:rPr>
          <w:rFonts w:ascii="MS Gothic"/>
          <w:color w:val="B02045"/>
          <w:w w:val="110"/>
        </w:rPr>
        <w:t>stop</w:t>
      </w:r>
      <w:r>
        <w:rPr>
          <w:color w:val="333333"/>
          <w:w w:val="110"/>
        </w:rPr>
        <w:t>,</w:t>
      </w:r>
      <w:r>
        <w:rPr>
          <w:color w:val="333333"/>
          <w:spacing w:val="-12"/>
          <w:w w:val="110"/>
        </w:rPr>
        <w:t xml:space="preserve"> </w:t>
      </w:r>
      <w:r>
        <w:rPr>
          <w:rFonts w:ascii="MS Gothic"/>
          <w:color w:val="B02045"/>
          <w:w w:val="110"/>
        </w:rPr>
        <w:t>restart</w:t>
      </w:r>
      <w:r>
        <w:rPr>
          <w:color w:val="333333"/>
          <w:w w:val="110"/>
        </w:rPr>
        <w:t>,</w:t>
      </w:r>
      <w:r>
        <w:rPr>
          <w:color w:val="333333"/>
          <w:spacing w:val="-12"/>
          <w:w w:val="110"/>
        </w:rPr>
        <w:t xml:space="preserve"> </w:t>
      </w:r>
      <w:r>
        <w:rPr>
          <w:color w:val="333333"/>
          <w:w w:val="110"/>
        </w:rPr>
        <w:t>and</w:t>
      </w:r>
      <w:r>
        <w:rPr>
          <w:color w:val="333333"/>
          <w:spacing w:val="-13"/>
          <w:w w:val="110"/>
        </w:rPr>
        <w:t xml:space="preserve"> </w:t>
      </w:r>
      <w:r>
        <w:rPr>
          <w:rFonts w:ascii="MS Gothic"/>
          <w:color w:val="B02045"/>
          <w:w w:val="110"/>
        </w:rPr>
        <w:t>status</w:t>
      </w:r>
      <w:r>
        <w:rPr>
          <w:rFonts w:ascii="MS Gothic"/>
          <w:color w:val="B02045"/>
          <w:spacing w:val="-77"/>
          <w:w w:val="110"/>
        </w:rPr>
        <w:t xml:space="preserve"> </w:t>
      </w:r>
      <w:r>
        <w:rPr>
          <w:color w:val="333333"/>
          <w:w w:val="110"/>
        </w:rPr>
        <w:t>commands. The script supports the following</w:t>
      </w:r>
      <w:r>
        <w:rPr>
          <w:color w:val="333333"/>
          <w:spacing w:val="15"/>
          <w:w w:val="110"/>
        </w:rPr>
        <w:t xml:space="preserve"> </w:t>
      </w:r>
      <w:r>
        <w:rPr>
          <w:color w:val="333333"/>
          <w:w w:val="110"/>
        </w:rPr>
        <w:t>features:</w:t>
      </w:r>
    </w:p>
    <w:p w14:paraId="62461B36" w14:textId="77777777" w:rsidR="00A720EB" w:rsidRDefault="0030286B">
      <w:pPr>
        <w:pStyle w:val="a6"/>
        <w:numPr>
          <w:ilvl w:val="3"/>
          <w:numId w:val="20"/>
        </w:numPr>
        <w:tabs>
          <w:tab w:val="left" w:pos="485"/>
        </w:tabs>
        <w:spacing w:before="40"/>
        <w:rPr>
          <w:sz w:val="21"/>
        </w:rPr>
      </w:pPr>
      <w:r>
        <w:rPr>
          <w:color w:val="333333"/>
          <w:w w:val="110"/>
          <w:sz w:val="21"/>
        </w:rPr>
        <w:t>Starts the services as the user that owns the jar</w:t>
      </w:r>
      <w:r>
        <w:rPr>
          <w:color w:val="333333"/>
          <w:spacing w:val="30"/>
          <w:w w:val="110"/>
          <w:sz w:val="21"/>
        </w:rPr>
        <w:t xml:space="preserve"> </w:t>
      </w:r>
      <w:r>
        <w:rPr>
          <w:color w:val="333333"/>
          <w:w w:val="110"/>
          <w:sz w:val="21"/>
        </w:rPr>
        <w:t>file</w:t>
      </w:r>
    </w:p>
    <w:p w14:paraId="368EC3C1" w14:textId="77777777" w:rsidR="00A720EB" w:rsidRDefault="0030286B">
      <w:pPr>
        <w:pStyle w:val="a6"/>
        <w:numPr>
          <w:ilvl w:val="3"/>
          <w:numId w:val="20"/>
        </w:numPr>
        <w:tabs>
          <w:tab w:val="left" w:pos="485"/>
        </w:tabs>
        <w:spacing w:before="179"/>
        <w:rPr>
          <w:rFonts w:ascii="MS Gothic" w:hAnsi="MS Gothic"/>
          <w:sz w:val="21"/>
        </w:rPr>
      </w:pPr>
      <w:r>
        <w:rPr>
          <w:color w:val="333333"/>
          <w:w w:val="110"/>
          <w:sz w:val="21"/>
        </w:rPr>
        <w:t xml:space="preserve">Tracks the application’s PID </w:t>
      </w:r>
      <w:r>
        <w:rPr>
          <w:color w:val="333333"/>
          <w:spacing w:val="-3"/>
          <w:w w:val="110"/>
          <w:sz w:val="21"/>
        </w:rPr>
        <w:t xml:space="preserve">by </w:t>
      </w:r>
      <w:r>
        <w:rPr>
          <w:color w:val="333333"/>
          <w:w w:val="110"/>
          <w:sz w:val="21"/>
        </w:rPr>
        <w:t>using</w:t>
      </w:r>
      <w:r>
        <w:rPr>
          <w:color w:val="333333"/>
          <w:spacing w:val="-10"/>
          <w:w w:val="110"/>
          <w:sz w:val="21"/>
        </w:rPr>
        <w:t xml:space="preserve"> </w:t>
      </w:r>
      <w:r>
        <w:rPr>
          <w:rFonts w:ascii="MS Gothic" w:hAnsi="MS Gothic"/>
          <w:color w:val="B02045"/>
          <w:w w:val="110"/>
          <w:sz w:val="21"/>
        </w:rPr>
        <w:t>/var/run/&lt;appname&gt;/&lt;appname</w:t>
      </w:r>
      <w:proofErr w:type="gramStart"/>
      <w:r>
        <w:rPr>
          <w:rFonts w:ascii="MS Gothic" w:hAnsi="MS Gothic"/>
          <w:color w:val="B02045"/>
          <w:w w:val="110"/>
          <w:sz w:val="21"/>
        </w:rPr>
        <w:t>&gt;.pid</w:t>
      </w:r>
      <w:proofErr w:type="gramEnd"/>
    </w:p>
    <w:p w14:paraId="1DF8947D" w14:textId="77777777" w:rsidR="00A720EB" w:rsidRDefault="0030286B">
      <w:pPr>
        <w:pStyle w:val="a6"/>
        <w:numPr>
          <w:ilvl w:val="3"/>
          <w:numId w:val="20"/>
        </w:numPr>
        <w:tabs>
          <w:tab w:val="left" w:pos="485"/>
        </w:tabs>
        <w:spacing w:before="166"/>
        <w:rPr>
          <w:rFonts w:ascii="MS Gothic" w:hAnsi="MS Gothic"/>
          <w:sz w:val="21"/>
        </w:rPr>
      </w:pPr>
      <w:r>
        <w:rPr>
          <w:color w:val="333333"/>
          <w:w w:val="105"/>
          <w:sz w:val="21"/>
        </w:rPr>
        <w:t>Writes console logs to</w:t>
      </w:r>
      <w:r>
        <w:rPr>
          <w:color w:val="333333"/>
          <w:spacing w:val="22"/>
          <w:w w:val="105"/>
          <w:sz w:val="21"/>
        </w:rPr>
        <w:t xml:space="preserve"> </w:t>
      </w:r>
      <w:r>
        <w:rPr>
          <w:rFonts w:ascii="MS Gothic" w:hAnsi="MS Gothic"/>
          <w:color w:val="B02045"/>
          <w:w w:val="105"/>
          <w:sz w:val="21"/>
        </w:rPr>
        <w:t>/var/log/&lt;appname&gt;.log</w:t>
      </w:r>
    </w:p>
    <w:p w14:paraId="64653CED" w14:textId="77777777" w:rsidR="00A720EB" w:rsidRDefault="00A720EB">
      <w:pPr>
        <w:pStyle w:val="a3"/>
        <w:spacing w:before="5"/>
        <w:rPr>
          <w:rFonts w:ascii="MS Gothic"/>
          <w:sz w:val="22"/>
        </w:rPr>
      </w:pPr>
    </w:p>
    <w:p w14:paraId="1ADF2ECF" w14:textId="77777777" w:rsidR="00A720EB" w:rsidRDefault="0030286B">
      <w:pPr>
        <w:pStyle w:val="a3"/>
        <w:spacing w:line="280" w:lineRule="auto"/>
        <w:ind w:left="124"/>
      </w:pPr>
      <w:r>
        <w:rPr>
          <w:color w:val="333333"/>
          <w:w w:val="110"/>
        </w:rPr>
        <w:t xml:space="preserve">Assuming that you have a Spring Boot application installed in </w:t>
      </w:r>
      <w:r>
        <w:rPr>
          <w:rFonts w:ascii="MS Gothic"/>
          <w:color w:val="B02045"/>
          <w:w w:val="110"/>
        </w:rPr>
        <w:t>/var/myapp</w:t>
      </w:r>
      <w:r>
        <w:rPr>
          <w:color w:val="333333"/>
          <w:w w:val="110"/>
        </w:rPr>
        <w:t xml:space="preserve">, to install a Spring </w:t>
      </w:r>
      <w:proofErr w:type="gramStart"/>
      <w:r>
        <w:rPr>
          <w:color w:val="333333"/>
          <w:w w:val="110"/>
        </w:rPr>
        <w:t>Boot  application</w:t>
      </w:r>
      <w:proofErr w:type="gramEnd"/>
      <w:r>
        <w:rPr>
          <w:color w:val="333333"/>
          <w:w w:val="110"/>
        </w:rPr>
        <w:t xml:space="preserve"> as an </w:t>
      </w:r>
      <w:r>
        <w:rPr>
          <w:rFonts w:ascii="MS Gothic"/>
          <w:color w:val="B02045"/>
          <w:w w:val="110"/>
        </w:rPr>
        <w:t xml:space="preserve">init.d </w:t>
      </w:r>
      <w:r>
        <w:rPr>
          <w:color w:val="333333"/>
          <w:w w:val="110"/>
        </w:rPr>
        <w:t>service, create a symlink, as follows:</w:t>
      </w:r>
    </w:p>
    <w:p w14:paraId="7F138573" w14:textId="77777777" w:rsidR="00A720EB" w:rsidRDefault="00E10349">
      <w:pPr>
        <w:pStyle w:val="a3"/>
        <w:spacing w:before="1"/>
        <w:rPr>
          <w:sz w:val="14"/>
        </w:rPr>
      </w:pPr>
      <w:r>
        <w:pict w14:anchorId="777A15AF">
          <v:group id="_x0000_s1840" style="position:absolute;margin-left:47.85pt;margin-top:10.25pt;width:499.55pt;height:37.5pt;z-index:-15162880;mso-wrap-distance-left:0;mso-wrap-distance-right:0;mso-position-horizontal-relative:page" coordorigin="957,205" coordsize="9991,750">
            <v:shape id="_x0000_s1843" style="position:absolute;left:964;top:212;width:9976;height:735" coordorigin="965,213" coordsize="9976,735" path="m10861,213r-9816,l1014,219r-26,17l971,261r-6,32l965,867r6,31l988,924r26,17l1045,947r9816,l10892,941r25,-17l10935,898r6,-31l10941,293r-6,-32l10917,236r-25,-17l10861,213xe" fillcolor="#f5f5f5" stroked="f">
              <v:path arrowok="t"/>
            </v:shape>
            <v:shape id="_x0000_s1842" style="position:absolute;left:964;top:212;width:9976;height:735" coordorigin="965,213" coordsize="9976,735" path="m1045,213r9816,l10892,219r25,17l10935,261r6,32l10941,867r-6,31l10917,924r-25,17l10861,947r-9816,l1014,941,988,924,971,898r-6,-31l965,293r6,-32l988,236r26,-17l1045,213xe" filled="f" strokecolor="#ccc">
              <v:path arrowok="t"/>
            </v:shape>
            <v:shape id="_x0000_s1841" type="#_x0000_t202" style="position:absolute;left:984;top:228;width:9938;height:704" filled="f" stroked="f">
              <v:textbox inset="0,0,0,0">
                <w:txbxContent>
                  <w:p w14:paraId="298BB809" w14:textId="77777777" w:rsidR="00711A16" w:rsidRDefault="00711A16">
                    <w:pPr>
                      <w:spacing w:before="221"/>
                      <w:ind w:left="200"/>
                      <w:rPr>
                        <w:rFonts w:ascii="MS Gothic"/>
                      </w:rPr>
                    </w:pPr>
                    <w:r>
                      <w:rPr>
                        <w:rFonts w:ascii="MS Gothic"/>
                        <w:color w:val="333333"/>
                      </w:rPr>
                      <w:t>$ sudo ln -s /var/myapp/myapp.jar /etc/</w:t>
                    </w:r>
                    <w:proofErr w:type="gramStart"/>
                    <w:r>
                      <w:rPr>
                        <w:rFonts w:ascii="MS Gothic"/>
                        <w:color w:val="333333"/>
                      </w:rPr>
                      <w:t>init.d</w:t>
                    </w:r>
                    <w:proofErr w:type="gramEnd"/>
                    <w:r>
                      <w:rPr>
                        <w:rFonts w:ascii="MS Gothic"/>
                        <w:color w:val="333333"/>
                      </w:rPr>
                      <w:t>/myapp</w:t>
                    </w:r>
                  </w:p>
                </w:txbxContent>
              </v:textbox>
            </v:shape>
            <w10:wrap type="topAndBottom" anchorx="page"/>
          </v:group>
        </w:pict>
      </w:r>
    </w:p>
    <w:p w14:paraId="2AF38D35" w14:textId="77777777" w:rsidR="00A720EB" w:rsidRDefault="00A720EB">
      <w:pPr>
        <w:pStyle w:val="a3"/>
        <w:rPr>
          <w:sz w:val="10"/>
        </w:rPr>
      </w:pPr>
    </w:p>
    <w:p w14:paraId="5C7CEA9E" w14:textId="77777777" w:rsidR="00A720EB" w:rsidRDefault="0030286B">
      <w:pPr>
        <w:pStyle w:val="a3"/>
        <w:spacing w:before="125" w:line="307" w:lineRule="auto"/>
        <w:ind w:left="124"/>
      </w:pPr>
      <w:r>
        <w:rPr>
          <w:color w:val="333333"/>
          <w:w w:val="110"/>
        </w:rPr>
        <w:t>Once installed, you can start and stop the service in the usual way. For example, on a Debian-based system, you could start it with the following command:</w:t>
      </w:r>
    </w:p>
    <w:p w14:paraId="3F418A5D" w14:textId="77777777" w:rsidR="00A720EB" w:rsidRDefault="00E10349">
      <w:pPr>
        <w:pStyle w:val="a3"/>
        <w:spacing w:before="2"/>
        <w:rPr>
          <w:sz w:val="13"/>
        </w:rPr>
      </w:pPr>
      <w:r>
        <w:pict w14:anchorId="219EC067">
          <v:group id="_x0000_s1836" style="position:absolute;margin-left:47.85pt;margin-top:9.7pt;width:499.55pt;height:37.5pt;z-index:-15162368;mso-wrap-distance-left:0;mso-wrap-distance-right:0;mso-position-horizontal-relative:page" coordorigin="957,194" coordsize="9991,750">
            <v:shape id="_x0000_s1839" style="position:absolute;left:964;top:201;width:9976;height:735" coordorigin="965,202" coordsize="9976,735" path="m10861,202r-9816,l1014,208r-26,17l971,251r-6,31l965,857r6,31l988,913r26,17l1045,937r9816,l10892,930r25,-17l10935,888r6,-31l10941,282r-6,-31l10917,225r-25,-17l10861,202xe" fillcolor="#f5f5f5" stroked="f">
              <v:path arrowok="t"/>
            </v:shape>
            <v:shape id="_x0000_s1838" style="position:absolute;left:964;top:201;width:9976;height:735" coordorigin="965,202" coordsize="9976,735" path="m1045,202r9816,l10892,208r25,17l10935,251r6,31l10941,857r-6,31l10917,913r-25,17l10861,937r-9816,l1014,930,988,913,971,888r-6,-31l965,282r6,-31l988,225r26,-17l1045,202xe" filled="f" strokecolor="#ccc">
              <v:path arrowok="t"/>
            </v:shape>
            <v:shape id="_x0000_s1837" type="#_x0000_t202" style="position:absolute;left:984;top:217;width:9938;height:704" filled="f" stroked="f">
              <v:textbox inset="0,0,0,0">
                <w:txbxContent>
                  <w:p w14:paraId="140174C4" w14:textId="77777777" w:rsidR="00711A16" w:rsidRDefault="00711A16">
                    <w:pPr>
                      <w:spacing w:before="221"/>
                      <w:ind w:left="200"/>
                      <w:rPr>
                        <w:rFonts w:ascii="MS Gothic"/>
                      </w:rPr>
                    </w:pPr>
                    <w:r>
                      <w:rPr>
                        <w:rFonts w:ascii="MS Gothic"/>
                        <w:color w:val="333333"/>
                      </w:rPr>
                      <w:t>$ service myapp start</w:t>
                    </w:r>
                  </w:p>
                </w:txbxContent>
              </v:textbox>
            </v:shape>
            <w10:wrap type="topAndBottom" anchorx="page"/>
          </v:group>
        </w:pict>
      </w:r>
    </w:p>
    <w:p w14:paraId="5065D8E4" w14:textId="77777777" w:rsidR="00A720EB" w:rsidRDefault="00A720EB">
      <w:pPr>
        <w:pStyle w:val="a3"/>
        <w:spacing w:before="10"/>
        <w:rPr>
          <w:sz w:val="16"/>
        </w:rPr>
      </w:pPr>
    </w:p>
    <w:p w14:paraId="6E3E8B20" w14:textId="77777777" w:rsidR="00A720EB" w:rsidRDefault="00E10349">
      <w:pPr>
        <w:pStyle w:val="a3"/>
        <w:tabs>
          <w:tab w:val="left" w:pos="1988"/>
          <w:tab w:val="left" w:pos="2728"/>
          <w:tab w:val="left" w:pos="4120"/>
          <w:tab w:val="left" w:pos="4812"/>
          <w:tab w:val="left" w:pos="5276"/>
          <w:tab w:val="left" w:pos="6057"/>
          <w:tab w:val="left" w:pos="6901"/>
          <w:tab w:val="left" w:pos="7490"/>
          <w:tab w:val="left" w:pos="8058"/>
          <w:tab w:val="left" w:pos="8649"/>
          <w:tab w:val="left" w:pos="9659"/>
        </w:tabs>
        <w:spacing w:before="125"/>
        <w:ind w:left="1564"/>
      </w:pPr>
      <w:r>
        <w:pict w14:anchorId="62480390">
          <v:line id="_x0000_s1835" style="position:absolute;left:0;text-align:left;z-index:16296448;mso-position-horizontal-relative:page" from="108.25pt,.25pt" to="108.25pt,39.8pt" strokecolor="#ededed" strokeweight=".5pt">
            <w10:wrap anchorx="page"/>
          </v:line>
        </w:pict>
      </w:r>
      <w:r w:rsidR="0030286B">
        <w:rPr>
          <w:noProof/>
        </w:rPr>
        <w:drawing>
          <wp:anchor distT="0" distB="0" distL="0" distR="0" simplePos="0" relativeHeight="16296960" behindDoc="0" locked="0" layoutInCell="1" allowOverlap="1" wp14:anchorId="7FBD8479" wp14:editId="24901C01">
            <wp:simplePos x="0" y="0"/>
            <wp:positionH relativeFrom="page">
              <wp:posOffset>888949</wp:posOffset>
            </wp:positionH>
            <wp:positionV relativeFrom="paragraph">
              <wp:posOffset>102146</wp:posOffset>
            </wp:positionV>
            <wp:extent cx="209550" cy="304800"/>
            <wp:effectExtent l="0" t="0" r="0" b="0"/>
            <wp:wrapNone/>
            <wp:docPr id="67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If</w:t>
      </w:r>
      <w:r w:rsidR="0030286B">
        <w:rPr>
          <w:color w:val="333333"/>
          <w:w w:val="110"/>
        </w:rPr>
        <w:tab/>
        <w:t>your</w:t>
      </w:r>
      <w:r w:rsidR="0030286B">
        <w:rPr>
          <w:color w:val="333333"/>
          <w:w w:val="110"/>
        </w:rPr>
        <w:tab/>
        <w:t>application</w:t>
      </w:r>
      <w:r w:rsidR="0030286B">
        <w:rPr>
          <w:color w:val="333333"/>
          <w:w w:val="110"/>
        </w:rPr>
        <w:tab/>
        <w:t>fails</w:t>
      </w:r>
      <w:r w:rsidR="0030286B">
        <w:rPr>
          <w:color w:val="333333"/>
          <w:w w:val="110"/>
        </w:rPr>
        <w:tab/>
        <w:t>to</w:t>
      </w:r>
      <w:r w:rsidR="0030286B">
        <w:rPr>
          <w:color w:val="333333"/>
          <w:w w:val="110"/>
        </w:rPr>
        <w:tab/>
        <w:t>start,</w:t>
      </w:r>
      <w:r w:rsidR="0030286B">
        <w:rPr>
          <w:color w:val="333333"/>
          <w:w w:val="110"/>
        </w:rPr>
        <w:tab/>
        <w:t>check</w:t>
      </w:r>
      <w:r w:rsidR="0030286B">
        <w:rPr>
          <w:color w:val="333333"/>
          <w:w w:val="110"/>
        </w:rPr>
        <w:tab/>
        <w:t>the</w:t>
      </w:r>
      <w:r w:rsidR="0030286B">
        <w:rPr>
          <w:color w:val="333333"/>
          <w:w w:val="110"/>
        </w:rPr>
        <w:tab/>
        <w:t>log</w:t>
      </w:r>
      <w:r w:rsidR="0030286B">
        <w:rPr>
          <w:color w:val="333333"/>
          <w:w w:val="110"/>
        </w:rPr>
        <w:tab/>
        <w:t>file</w:t>
      </w:r>
      <w:r w:rsidR="0030286B">
        <w:rPr>
          <w:color w:val="333333"/>
          <w:w w:val="110"/>
        </w:rPr>
        <w:tab/>
        <w:t>written</w:t>
      </w:r>
      <w:r w:rsidR="0030286B">
        <w:rPr>
          <w:color w:val="333333"/>
          <w:w w:val="110"/>
        </w:rPr>
        <w:tab/>
        <w:t>to</w:t>
      </w:r>
    </w:p>
    <w:p w14:paraId="706C44D5" w14:textId="77777777" w:rsidR="00A720EB" w:rsidRDefault="0030286B">
      <w:pPr>
        <w:pStyle w:val="a3"/>
        <w:spacing w:before="59"/>
        <w:ind w:left="1564"/>
      </w:pPr>
      <w:r>
        <w:rPr>
          <w:rFonts w:ascii="MS Gothic"/>
          <w:color w:val="B02045"/>
          <w:w w:val="110"/>
        </w:rPr>
        <w:t>/var/log/&lt;appname&gt;.log</w:t>
      </w:r>
      <w:r>
        <w:rPr>
          <w:rFonts w:ascii="MS Gothic"/>
          <w:color w:val="B02045"/>
          <w:spacing w:val="-63"/>
          <w:w w:val="110"/>
        </w:rPr>
        <w:t xml:space="preserve"> </w:t>
      </w:r>
      <w:r>
        <w:rPr>
          <w:color w:val="333333"/>
          <w:w w:val="110"/>
        </w:rPr>
        <w:t>for errors.</w:t>
      </w:r>
    </w:p>
    <w:p w14:paraId="0499831D" w14:textId="77777777" w:rsidR="00A720EB" w:rsidRDefault="00A720EB">
      <w:pPr>
        <w:pStyle w:val="a3"/>
        <w:spacing w:before="5"/>
      </w:pPr>
    </w:p>
    <w:p w14:paraId="10479A06" w14:textId="77777777" w:rsidR="00A720EB" w:rsidRDefault="0030286B">
      <w:pPr>
        <w:pStyle w:val="a3"/>
        <w:spacing w:before="126" w:line="307" w:lineRule="auto"/>
        <w:ind w:left="124" w:right="359"/>
      </w:pPr>
      <w:r>
        <w:rPr>
          <w:color w:val="333333"/>
          <w:spacing w:val="-6"/>
          <w:w w:val="110"/>
        </w:rPr>
        <w:t xml:space="preserve">You </w:t>
      </w:r>
      <w:r>
        <w:rPr>
          <w:color w:val="333333"/>
          <w:w w:val="110"/>
        </w:rPr>
        <w:t xml:space="preserve">can also flag the application to start automatically </w:t>
      </w:r>
      <w:r>
        <w:rPr>
          <w:color w:val="333333"/>
          <w:spacing w:val="-3"/>
          <w:w w:val="110"/>
        </w:rPr>
        <w:t xml:space="preserve">by </w:t>
      </w:r>
      <w:r>
        <w:rPr>
          <w:color w:val="333333"/>
          <w:w w:val="110"/>
        </w:rPr>
        <w:t xml:space="preserve">using your standard operating </w:t>
      </w:r>
      <w:proofErr w:type="gramStart"/>
      <w:r>
        <w:rPr>
          <w:color w:val="333333"/>
          <w:w w:val="110"/>
        </w:rPr>
        <w:t>system  tools</w:t>
      </w:r>
      <w:proofErr w:type="gramEnd"/>
      <w:r>
        <w:rPr>
          <w:color w:val="333333"/>
          <w:w w:val="110"/>
        </w:rPr>
        <w:t xml:space="preserve">. </w:t>
      </w:r>
      <w:r>
        <w:rPr>
          <w:color w:val="333333"/>
          <w:spacing w:val="-4"/>
          <w:w w:val="110"/>
        </w:rPr>
        <w:t xml:space="preserve">For </w:t>
      </w:r>
      <w:r>
        <w:rPr>
          <w:color w:val="333333"/>
          <w:w w:val="110"/>
        </w:rPr>
        <w:t>example, on Debian, you could use the following</w:t>
      </w:r>
      <w:r>
        <w:rPr>
          <w:color w:val="333333"/>
          <w:spacing w:val="46"/>
          <w:w w:val="110"/>
        </w:rPr>
        <w:t xml:space="preserve"> </w:t>
      </w:r>
      <w:r>
        <w:rPr>
          <w:color w:val="333333"/>
          <w:w w:val="110"/>
        </w:rPr>
        <w:t>command:</w:t>
      </w:r>
    </w:p>
    <w:p w14:paraId="25EC8B48" w14:textId="77777777" w:rsidR="00A720EB" w:rsidRDefault="00E10349">
      <w:pPr>
        <w:pStyle w:val="a3"/>
        <w:spacing w:before="1"/>
        <w:rPr>
          <w:sz w:val="13"/>
        </w:rPr>
      </w:pPr>
      <w:r>
        <w:pict w14:anchorId="478F2A8E">
          <v:group id="_x0000_s1831" style="position:absolute;margin-left:47.85pt;margin-top:9.7pt;width:499.55pt;height:37.5pt;z-index:-15161856;mso-wrap-distance-left:0;mso-wrap-distance-right:0;mso-position-horizontal-relative:page" coordorigin="957,194" coordsize="9991,750">
            <v:shape id="_x0000_s1834" style="position:absolute;left:964;top:201;width:9976;height:735" coordorigin="965,201" coordsize="9976,735" path="m10861,201r-9816,l1014,207r-26,18l971,250r-6,31l965,856r6,31l988,912r26,18l1045,936r9816,l10892,930r25,-18l10935,887r6,-31l10941,281r-6,-31l10917,225r-25,-18l10861,201xe" fillcolor="#f5f5f5" stroked="f">
              <v:path arrowok="t"/>
            </v:shape>
            <v:shape id="_x0000_s1833" style="position:absolute;left:964;top:201;width:9976;height:735" coordorigin="965,201" coordsize="9976,735" path="m1045,201r9816,l10892,207r25,18l10935,250r6,31l10941,856r-6,31l10917,912r-25,18l10861,936r-9816,l1014,930,988,912,971,887r-6,-31l965,281r6,-31l988,225r26,-18l1045,201xe" filled="f" strokecolor="#ccc">
              <v:path arrowok="t"/>
            </v:shape>
            <v:shape id="_x0000_s1832" type="#_x0000_t202" style="position:absolute;left:984;top:216;width:9938;height:704" filled="f" stroked="f">
              <v:textbox inset="0,0,0,0">
                <w:txbxContent>
                  <w:p w14:paraId="0E7E64E2" w14:textId="77777777" w:rsidR="00711A16" w:rsidRDefault="00711A16">
                    <w:pPr>
                      <w:spacing w:before="221"/>
                      <w:ind w:left="200"/>
                      <w:rPr>
                        <w:rFonts w:ascii="MS Gothic"/>
                      </w:rPr>
                    </w:pPr>
                    <w:r>
                      <w:rPr>
                        <w:rFonts w:ascii="MS Gothic"/>
                        <w:color w:val="333333"/>
                      </w:rPr>
                      <w:t>$ update-</w:t>
                    </w:r>
                    <w:proofErr w:type="gramStart"/>
                    <w:r>
                      <w:rPr>
                        <w:rFonts w:ascii="MS Gothic"/>
                        <w:color w:val="333333"/>
                      </w:rPr>
                      <w:t>rc.d</w:t>
                    </w:r>
                    <w:proofErr w:type="gramEnd"/>
                    <w:r>
                      <w:rPr>
                        <w:rFonts w:ascii="MS Gothic"/>
                        <w:color w:val="333333"/>
                      </w:rPr>
                      <w:t xml:space="preserve"> myapp defaults &lt;priority&gt;</w:t>
                    </w:r>
                  </w:p>
                </w:txbxContent>
              </v:textbox>
            </v:shape>
            <w10:wrap type="topAndBottom" anchorx="page"/>
          </v:group>
        </w:pict>
      </w:r>
    </w:p>
    <w:p w14:paraId="7EA81E59" w14:textId="77777777" w:rsidR="00A720EB" w:rsidRDefault="00A720EB">
      <w:pPr>
        <w:pStyle w:val="a3"/>
        <w:spacing w:before="11"/>
        <w:rPr>
          <w:sz w:val="16"/>
        </w:rPr>
      </w:pPr>
    </w:p>
    <w:p w14:paraId="12A12A54" w14:textId="77777777" w:rsidR="00A720EB" w:rsidRDefault="0030286B">
      <w:pPr>
        <w:spacing w:before="103"/>
        <w:ind w:left="124"/>
        <w:rPr>
          <w:rFonts w:ascii="Palatino Linotype"/>
          <w:b/>
          <w:sz w:val="18"/>
        </w:rPr>
      </w:pPr>
      <w:bookmarkStart w:id="716" w:name="_bookmark487"/>
      <w:bookmarkEnd w:id="716"/>
      <w:r>
        <w:rPr>
          <w:rFonts w:ascii="Palatino Linotype"/>
          <w:b/>
          <w:color w:val="333333"/>
          <w:w w:val="110"/>
          <w:sz w:val="18"/>
        </w:rPr>
        <w:t xml:space="preserve">Securing an </w:t>
      </w:r>
      <w:proofErr w:type="gramStart"/>
      <w:r>
        <w:rPr>
          <w:rFonts w:ascii="Palatino Linotype"/>
          <w:b/>
          <w:color w:val="333333"/>
          <w:w w:val="110"/>
          <w:sz w:val="18"/>
        </w:rPr>
        <w:t>init.d</w:t>
      </w:r>
      <w:proofErr w:type="gramEnd"/>
      <w:r>
        <w:rPr>
          <w:rFonts w:ascii="Palatino Linotype"/>
          <w:b/>
          <w:color w:val="333333"/>
          <w:w w:val="110"/>
          <w:sz w:val="18"/>
        </w:rPr>
        <w:t xml:space="preserve"> Service</w:t>
      </w:r>
    </w:p>
    <w:p w14:paraId="4BE1A4DE" w14:textId="77777777" w:rsidR="00A720EB" w:rsidRDefault="00A720EB">
      <w:pPr>
        <w:pStyle w:val="a3"/>
        <w:spacing w:before="7"/>
        <w:rPr>
          <w:rFonts w:ascii="Palatino Linotype"/>
          <w:b/>
          <w:sz w:val="15"/>
        </w:rPr>
      </w:pPr>
    </w:p>
    <w:p w14:paraId="2A7EB603" w14:textId="77777777" w:rsidR="00A720EB" w:rsidRDefault="00E10349">
      <w:pPr>
        <w:pStyle w:val="a3"/>
        <w:spacing w:before="125" w:line="307" w:lineRule="auto"/>
        <w:ind w:left="1564" w:right="369"/>
        <w:jc w:val="both"/>
      </w:pPr>
      <w:r>
        <w:pict w14:anchorId="5A605B68">
          <v:line id="_x0000_s1830" style="position:absolute;left:0;text-align:left;z-index:16297472;mso-position-horizontal-relative:page" from="108.25pt,.25pt" to="108.25pt,71.4pt" strokecolor="#ededed" strokeweight=".5pt">
            <w10:wrap anchorx="page"/>
          </v:line>
        </w:pict>
      </w:r>
      <w:r w:rsidR="0030286B">
        <w:rPr>
          <w:noProof/>
        </w:rPr>
        <w:drawing>
          <wp:anchor distT="0" distB="0" distL="0" distR="0" simplePos="0" relativeHeight="16297984" behindDoc="0" locked="0" layoutInCell="1" allowOverlap="1" wp14:anchorId="3D9F8C1C" wp14:editId="2CCED428">
            <wp:simplePos x="0" y="0"/>
            <wp:positionH relativeFrom="page">
              <wp:posOffset>844422</wp:posOffset>
            </wp:positionH>
            <wp:positionV relativeFrom="paragraph">
              <wp:posOffset>305727</wp:posOffset>
            </wp:positionV>
            <wp:extent cx="298450" cy="298450"/>
            <wp:effectExtent l="0" t="0" r="0" b="0"/>
            <wp:wrapNone/>
            <wp:docPr id="6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following is a set of guidelines on how to secure a Spring Boot application that runs as an </w:t>
      </w:r>
      <w:proofErr w:type="gramStart"/>
      <w:r w:rsidR="0030286B">
        <w:rPr>
          <w:color w:val="333333"/>
          <w:w w:val="110"/>
        </w:rPr>
        <w:t>init.d</w:t>
      </w:r>
      <w:proofErr w:type="gramEnd"/>
      <w:r w:rsidR="0030286B">
        <w:rPr>
          <w:color w:val="333333"/>
          <w:w w:val="110"/>
        </w:rPr>
        <w:t xml:space="preserve"> service. It is not intended to be an exhaustive list </w:t>
      </w:r>
      <w:proofErr w:type="gramStart"/>
      <w:r w:rsidR="0030286B">
        <w:rPr>
          <w:color w:val="333333"/>
          <w:w w:val="110"/>
        </w:rPr>
        <w:t>of  everything</w:t>
      </w:r>
      <w:proofErr w:type="gramEnd"/>
      <w:r w:rsidR="0030286B">
        <w:rPr>
          <w:color w:val="333333"/>
          <w:w w:val="110"/>
        </w:rPr>
        <w:t xml:space="preserve">  that should be done to harden an application and the environment  in  which  it runs.</w:t>
      </w:r>
    </w:p>
    <w:p w14:paraId="5A195101" w14:textId="77777777" w:rsidR="00A720EB" w:rsidRDefault="00A720EB">
      <w:pPr>
        <w:pStyle w:val="a3"/>
        <w:spacing w:before="10"/>
        <w:rPr>
          <w:sz w:val="16"/>
        </w:rPr>
      </w:pPr>
    </w:p>
    <w:p w14:paraId="18456AE2" w14:textId="77777777" w:rsidR="00A720EB" w:rsidRDefault="0030286B">
      <w:pPr>
        <w:pStyle w:val="a3"/>
        <w:spacing w:before="125" w:line="295" w:lineRule="auto"/>
        <w:ind w:left="124" w:right="122"/>
        <w:jc w:val="both"/>
      </w:pPr>
      <w:r>
        <w:rPr>
          <w:color w:val="333333"/>
          <w:w w:val="110"/>
        </w:rPr>
        <w:t xml:space="preserve">When executed as root, as is the case when root is being used to start an </w:t>
      </w:r>
      <w:proofErr w:type="gramStart"/>
      <w:r>
        <w:rPr>
          <w:color w:val="333333"/>
          <w:w w:val="110"/>
        </w:rPr>
        <w:t>init.d</w:t>
      </w:r>
      <w:proofErr w:type="gramEnd"/>
      <w:r>
        <w:rPr>
          <w:color w:val="333333"/>
          <w:w w:val="110"/>
        </w:rPr>
        <w:t xml:space="preserve"> service, the default  executable script runs the application as the user specified in the </w:t>
      </w:r>
      <w:r>
        <w:rPr>
          <w:rFonts w:ascii="MS Gothic" w:hAnsi="MS Gothic"/>
          <w:color w:val="B02045"/>
          <w:w w:val="110"/>
        </w:rPr>
        <w:t xml:space="preserve">RUN_AS_USER </w:t>
      </w:r>
      <w:r>
        <w:rPr>
          <w:color w:val="333333"/>
          <w:w w:val="110"/>
        </w:rPr>
        <w:t xml:space="preserve">environment variable. When the environment variable is not set, the user who owns the jar file is used instead.  </w:t>
      </w:r>
      <w:r>
        <w:rPr>
          <w:color w:val="333333"/>
          <w:spacing w:val="-6"/>
          <w:w w:val="110"/>
        </w:rPr>
        <w:t xml:space="preserve">You </w:t>
      </w:r>
      <w:r>
        <w:rPr>
          <w:color w:val="333333"/>
          <w:w w:val="110"/>
        </w:rPr>
        <w:t xml:space="preserve">should never run a Spring Boot application as </w:t>
      </w:r>
      <w:r>
        <w:rPr>
          <w:rFonts w:ascii="MS Gothic" w:hAnsi="MS Gothic"/>
          <w:color w:val="B02045"/>
          <w:w w:val="110"/>
        </w:rPr>
        <w:t>root</w:t>
      </w:r>
      <w:r>
        <w:rPr>
          <w:color w:val="333333"/>
          <w:w w:val="110"/>
        </w:rPr>
        <w:t xml:space="preserve">, so </w:t>
      </w:r>
      <w:r>
        <w:rPr>
          <w:rFonts w:ascii="MS Gothic" w:hAnsi="MS Gothic"/>
          <w:color w:val="B02045"/>
          <w:w w:val="110"/>
        </w:rPr>
        <w:t xml:space="preserve">RUN_AS_USER </w:t>
      </w:r>
      <w:r>
        <w:rPr>
          <w:color w:val="333333"/>
          <w:w w:val="110"/>
        </w:rPr>
        <w:t xml:space="preserve">should never be root and your application’s jar file should never be owned </w:t>
      </w:r>
      <w:r>
        <w:rPr>
          <w:color w:val="333333"/>
          <w:spacing w:val="-3"/>
          <w:w w:val="110"/>
        </w:rPr>
        <w:t xml:space="preserve">by </w:t>
      </w:r>
      <w:r>
        <w:rPr>
          <w:color w:val="333333"/>
          <w:w w:val="110"/>
        </w:rPr>
        <w:t xml:space="preserve">root. Instead, create a specific user to run your application and set the </w:t>
      </w:r>
      <w:r>
        <w:rPr>
          <w:rFonts w:ascii="MS Gothic" w:hAnsi="MS Gothic"/>
          <w:color w:val="B02045"/>
          <w:w w:val="110"/>
        </w:rPr>
        <w:t xml:space="preserve">RUN_AS_USER </w:t>
      </w:r>
      <w:r>
        <w:rPr>
          <w:color w:val="333333"/>
          <w:w w:val="110"/>
        </w:rPr>
        <w:t xml:space="preserve">environment variable or use </w:t>
      </w:r>
      <w:r>
        <w:rPr>
          <w:rFonts w:ascii="MS Gothic" w:hAnsi="MS Gothic"/>
          <w:color w:val="B02045"/>
          <w:w w:val="110"/>
        </w:rPr>
        <w:t xml:space="preserve">chown </w:t>
      </w:r>
      <w:r>
        <w:rPr>
          <w:color w:val="333333"/>
          <w:w w:val="110"/>
        </w:rPr>
        <w:t>to make it the owner of the jar file, as shown in the following</w:t>
      </w:r>
      <w:r>
        <w:rPr>
          <w:color w:val="333333"/>
          <w:spacing w:val="24"/>
          <w:w w:val="110"/>
        </w:rPr>
        <w:t xml:space="preserve"> </w:t>
      </w:r>
      <w:r>
        <w:rPr>
          <w:color w:val="333333"/>
          <w:w w:val="110"/>
        </w:rPr>
        <w:t>example:</w:t>
      </w:r>
    </w:p>
    <w:p w14:paraId="3A221992" w14:textId="77777777" w:rsidR="00A720EB" w:rsidRDefault="00E10349">
      <w:pPr>
        <w:pStyle w:val="a3"/>
        <w:spacing w:before="5"/>
        <w:rPr>
          <w:sz w:val="13"/>
        </w:rPr>
      </w:pPr>
      <w:r>
        <w:pict w14:anchorId="15ADCF09">
          <v:group id="_x0000_s1826" style="position:absolute;margin-left:47.85pt;margin-top:9.9pt;width:499.55pt;height:37.5pt;z-index:-15161344;mso-wrap-distance-left:0;mso-wrap-distance-right:0;mso-position-horizontal-relative:page" coordorigin="957,198" coordsize="9991,750">
            <v:shape id="_x0000_s1829" style="position:absolute;left:964;top:205;width:9976;height:735" coordorigin="965,205" coordsize="9976,735" path="m10861,205r-9816,l1014,212r-26,17l971,254r-6,31l965,860r6,31l988,917r26,17l1045,940r9816,l10892,934r25,-17l10935,891r6,-31l10941,285r-6,-31l10917,229r-25,-17l10861,205xe" fillcolor="#f5f5f5" stroked="f">
              <v:path arrowok="t"/>
            </v:shape>
            <v:shape id="_x0000_s1828" style="position:absolute;left:964;top:205;width:9976;height:735" coordorigin="965,205" coordsize="9976,735" path="m1045,205r9816,l10892,212r25,17l10935,254r6,31l10941,860r-6,31l10917,917r-25,17l10861,940r-9816,l1014,934,988,917,971,891r-6,-31l965,285r6,-31l988,229r26,-17l1045,205xe" filled="f" strokecolor="#ccc">
              <v:path arrowok="t"/>
            </v:shape>
            <v:shape id="_x0000_s1827" type="#_x0000_t202" style="position:absolute;left:984;top:220;width:9938;height:704" filled="f" stroked="f">
              <v:textbox inset="0,0,0,0">
                <w:txbxContent>
                  <w:p w14:paraId="3205EC0B" w14:textId="77777777" w:rsidR="00711A16" w:rsidRDefault="00711A16">
                    <w:pPr>
                      <w:spacing w:before="221"/>
                      <w:ind w:left="200"/>
                      <w:rPr>
                        <w:rFonts w:ascii="MS Gothic"/>
                      </w:rPr>
                    </w:pPr>
                    <w:r>
                      <w:rPr>
                        <w:rFonts w:ascii="MS Gothic"/>
                        <w:color w:val="333333"/>
                      </w:rPr>
                      <w:t xml:space="preserve">$ chown </w:t>
                    </w:r>
                    <w:proofErr w:type="gramStart"/>
                    <w:r>
                      <w:rPr>
                        <w:rFonts w:ascii="MS Gothic"/>
                        <w:color w:val="333333"/>
                      </w:rPr>
                      <w:t>bootapp:bootapp</w:t>
                    </w:r>
                    <w:proofErr w:type="gramEnd"/>
                    <w:r>
                      <w:rPr>
                        <w:rFonts w:ascii="MS Gothic"/>
                        <w:color w:val="333333"/>
                      </w:rPr>
                      <w:t xml:space="preserve"> your-app.jar</w:t>
                    </w:r>
                  </w:p>
                </w:txbxContent>
              </v:textbox>
            </v:shape>
            <w10:wrap type="topAndBottom" anchorx="page"/>
          </v:group>
        </w:pict>
      </w:r>
    </w:p>
    <w:p w14:paraId="493BDC17" w14:textId="77777777" w:rsidR="00A720EB" w:rsidRDefault="00A720EB">
      <w:pPr>
        <w:pStyle w:val="a3"/>
        <w:spacing w:before="11"/>
        <w:rPr>
          <w:sz w:val="9"/>
        </w:rPr>
      </w:pPr>
    </w:p>
    <w:p w14:paraId="18774755" w14:textId="77777777" w:rsidR="00A720EB" w:rsidRDefault="0030286B">
      <w:pPr>
        <w:pStyle w:val="a3"/>
        <w:spacing w:before="115"/>
        <w:ind w:left="124"/>
      </w:pPr>
      <w:r>
        <w:rPr>
          <w:color w:val="333333"/>
          <w:w w:val="110"/>
        </w:rPr>
        <w:t xml:space="preserve">In this case, the default executable script runs the application as the </w:t>
      </w:r>
      <w:r>
        <w:rPr>
          <w:rFonts w:ascii="MS Gothic"/>
          <w:color w:val="B02045"/>
          <w:w w:val="110"/>
        </w:rPr>
        <w:t xml:space="preserve">bootapp </w:t>
      </w:r>
      <w:r>
        <w:rPr>
          <w:color w:val="333333"/>
          <w:w w:val="110"/>
        </w:rPr>
        <w:t>user.</w:t>
      </w:r>
    </w:p>
    <w:p w14:paraId="32F84DB7" w14:textId="77777777" w:rsidR="00A720EB" w:rsidRDefault="00A720EB">
      <w:pPr>
        <w:sectPr w:rsidR="00A720EB">
          <w:pgSz w:w="11910" w:h="16840"/>
          <w:pgMar w:top="620" w:right="840" w:bottom="520" w:left="840" w:header="0" w:footer="323" w:gutter="0"/>
          <w:cols w:space="720"/>
        </w:sectPr>
      </w:pPr>
    </w:p>
    <w:p w14:paraId="7ACA240B" w14:textId="77777777" w:rsidR="00A720EB" w:rsidRDefault="00E10349">
      <w:pPr>
        <w:pStyle w:val="a3"/>
        <w:spacing w:before="122" w:line="302" w:lineRule="auto"/>
        <w:ind w:left="1564" w:right="368"/>
        <w:jc w:val="both"/>
      </w:pPr>
      <w:r>
        <w:lastRenderedPageBreak/>
        <w:pict w14:anchorId="47EC5134">
          <v:line id="_x0000_s1825" style="position:absolute;left:0;text-align:left;z-index:16300032;mso-position-horizontal-relative:page" from="108.25pt,.1pt" to="108.25pt,55.45pt" strokecolor="#ededed" strokeweight=".5pt">
            <w10:wrap anchorx="page"/>
          </v:line>
        </w:pict>
      </w:r>
      <w:r w:rsidR="0030286B">
        <w:rPr>
          <w:noProof/>
        </w:rPr>
        <w:drawing>
          <wp:anchor distT="0" distB="0" distL="0" distR="0" simplePos="0" relativeHeight="16300544" behindDoc="0" locked="0" layoutInCell="1" allowOverlap="1" wp14:anchorId="4FF415ED" wp14:editId="61F9FD5D">
            <wp:simplePos x="0" y="0"/>
            <wp:positionH relativeFrom="page">
              <wp:posOffset>888949</wp:posOffset>
            </wp:positionH>
            <wp:positionV relativeFrom="paragraph">
              <wp:posOffset>200445</wp:posOffset>
            </wp:positionV>
            <wp:extent cx="209550" cy="304800"/>
            <wp:effectExtent l="0" t="0" r="0" b="0"/>
            <wp:wrapNone/>
            <wp:docPr id="67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To reduce the chances of the application’s user account being compromised, </w:t>
      </w:r>
      <w:proofErr w:type="gramStart"/>
      <w:r w:rsidR="0030286B">
        <w:rPr>
          <w:color w:val="333333"/>
          <w:w w:val="110"/>
        </w:rPr>
        <w:t>you  should</w:t>
      </w:r>
      <w:proofErr w:type="gramEnd"/>
      <w:r w:rsidR="0030286B">
        <w:rPr>
          <w:color w:val="333333"/>
          <w:w w:val="110"/>
        </w:rPr>
        <w:t xml:space="preserve"> consider preventing it from using a login shell. For example, you can set the account’s shell to </w:t>
      </w:r>
      <w:r w:rsidR="0030286B">
        <w:rPr>
          <w:rFonts w:ascii="MS Gothic" w:hAnsi="MS Gothic"/>
          <w:color w:val="B02045"/>
          <w:w w:val="110"/>
        </w:rPr>
        <w:t>/usr/sbin/nologin</w:t>
      </w:r>
      <w:r w:rsidR="0030286B">
        <w:rPr>
          <w:color w:val="333333"/>
          <w:w w:val="110"/>
        </w:rPr>
        <w:t>.</w:t>
      </w:r>
    </w:p>
    <w:p w14:paraId="37D5AD89" w14:textId="77777777" w:rsidR="00A720EB" w:rsidRDefault="00A720EB">
      <w:pPr>
        <w:pStyle w:val="a3"/>
        <w:spacing w:before="6"/>
        <w:rPr>
          <w:sz w:val="15"/>
        </w:rPr>
      </w:pPr>
    </w:p>
    <w:p w14:paraId="1B6F3E35" w14:textId="77777777" w:rsidR="00A720EB" w:rsidRDefault="0030286B">
      <w:pPr>
        <w:pStyle w:val="a3"/>
        <w:spacing w:before="125" w:line="307" w:lineRule="auto"/>
        <w:ind w:left="124" w:right="131"/>
        <w:jc w:val="both"/>
      </w:pPr>
      <w:r>
        <w:rPr>
          <w:color w:val="333333"/>
          <w:spacing w:val="-6"/>
          <w:w w:val="110"/>
        </w:rPr>
        <w:t xml:space="preserve">You </w:t>
      </w:r>
      <w:r>
        <w:rPr>
          <w:color w:val="333333"/>
          <w:w w:val="110"/>
        </w:rPr>
        <w:t>should also take steps to prevent the modification of your application’s</w:t>
      </w:r>
      <w:r>
        <w:rPr>
          <w:color w:val="333333"/>
          <w:spacing w:val="50"/>
          <w:w w:val="110"/>
        </w:rPr>
        <w:t xml:space="preserve"> </w:t>
      </w:r>
      <w:proofErr w:type="gramStart"/>
      <w:r>
        <w:rPr>
          <w:color w:val="333333"/>
          <w:w w:val="110"/>
        </w:rPr>
        <w:t>jar  file</w:t>
      </w:r>
      <w:proofErr w:type="gramEnd"/>
      <w:r>
        <w:rPr>
          <w:color w:val="333333"/>
          <w:w w:val="110"/>
        </w:rPr>
        <w:t xml:space="preserve">.  </w:t>
      </w:r>
      <w:proofErr w:type="gramStart"/>
      <w:r>
        <w:rPr>
          <w:color w:val="333333"/>
          <w:spacing w:val="-4"/>
          <w:w w:val="110"/>
        </w:rPr>
        <w:t xml:space="preserve">Firstly,  </w:t>
      </w:r>
      <w:r>
        <w:rPr>
          <w:color w:val="333333"/>
          <w:w w:val="110"/>
        </w:rPr>
        <w:t>configure</w:t>
      </w:r>
      <w:proofErr w:type="gramEnd"/>
      <w:r>
        <w:rPr>
          <w:color w:val="333333"/>
          <w:w w:val="110"/>
        </w:rPr>
        <w:t xml:space="preserve"> its permissions so that it cannot be written and can only be read  or  executed  </w:t>
      </w:r>
      <w:r>
        <w:rPr>
          <w:color w:val="333333"/>
          <w:spacing w:val="-3"/>
          <w:w w:val="110"/>
        </w:rPr>
        <w:t xml:space="preserve">by  </w:t>
      </w:r>
      <w:r>
        <w:rPr>
          <w:color w:val="333333"/>
          <w:w w:val="110"/>
        </w:rPr>
        <w:t>its owner, as shown in the following</w:t>
      </w:r>
      <w:r>
        <w:rPr>
          <w:color w:val="333333"/>
          <w:spacing w:val="20"/>
          <w:w w:val="110"/>
        </w:rPr>
        <w:t xml:space="preserve"> </w:t>
      </w:r>
      <w:r>
        <w:rPr>
          <w:color w:val="333333"/>
          <w:w w:val="110"/>
        </w:rPr>
        <w:t>example:</w:t>
      </w:r>
    </w:p>
    <w:p w14:paraId="15B23E24" w14:textId="77777777" w:rsidR="00A720EB" w:rsidRDefault="00E10349">
      <w:pPr>
        <w:pStyle w:val="a3"/>
        <w:spacing w:before="2"/>
        <w:rPr>
          <w:sz w:val="13"/>
        </w:rPr>
      </w:pPr>
      <w:r>
        <w:pict w14:anchorId="4E79B193">
          <v:group id="_x0000_s1821" style="position:absolute;margin-left:47.85pt;margin-top:9.75pt;width:499.55pt;height:37.5pt;z-index:-15158784;mso-wrap-distance-left:0;mso-wrap-distance-right:0;mso-position-horizontal-relative:page" coordorigin="957,195" coordsize="9991,750">
            <v:shape id="_x0000_s1824" style="position:absolute;left:964;top:202;width:9976;height:735" coordorigin="965,202" coordsize="9976,735" path="m10861,202r-9816,l1014,208r-26,18l971,251r-6,31l965,857r6,31l988,913r26,18l1045,937r9816,l10892,931r25,-18l10935,888r6,-31l10941,282r-6,-31l10917,226r-25,-18l10861,202xe" fillcolor="#f5f5f5" stroked="f">
              <v:path arrowok="t"/>
            </v:shape>
            <v:shape id="_x0000_s1823" style="position:absolute;left:964;top:202;width:9976;height:735" coordorigin="965,202" coordsize="9976,735" path="m1045,202r9816,l10892,208r25,18l10935,251r6,31l10941,857r-6,31l10917,913r-25,18l10861,937r-9816,l1014,931,988,913,971,888r-6,-31l965,282r6,-31l988,226r26,-18l1045,202xe" filled="f" strokecolor="#ccc">
              <v:path arrowok="t"/>
            </v:shape>
            <v:shape id="_x0000_s1822" type="#_x0000_t202" style="position:absolute;left:984;top:217;width:9938;height:704" filled="f" stroked="f">
              <v:textbox inset="0,0,0,0">
                <w:txbxContent>
                  <w:p w14:paraId="4C5BFE62" w14:textId="77777777" w:rsidR="00711A16" w:rsidRDefault="00711A16">
                    <w:pPr>
                      <w:spacing w:before="221"/>
                      <w:ind w:left="200"/>
                      <w:rPr>
                        <w:rFonts w:ascii="MS Gothic"/>
                      </w:rPr>
                    </w:pPr>
                    <w:r>
                      <w:rPr>
                        <w:rFonts w:ascii="MS Gothic"/>
                        <w:color w:val="333333"/>
                      </w:rPr>
                      <w:t>$ chmod 500 your-app.jar</w:t>
                    </w:r>
                  </w:p>
                </w:txbxContent>
              </v:textbox>
            </v:shape>
            <w10:wrap type="topAndBottom" anchorx="page"/>
          </v:group>
        </w:pict>
      </w:r>
    </w:p>
    <w:p w14:paraId="7206981B" w14:textId="77777777" w:rsidR="00A720EB" w:rsidRDefault="00A720EB">
      <w:pPr>
        <w:pStyle w:val="a3"/>
        <w:rPr>
          <w:sz w:val="10"/>
        </w:rPr>
      </w:pPr>
    </w:p>
    <w:p w14:paraId="02064A62" w14:textId="77777777" w:rsidR="00A720EB" w:rsidRDefault="0030286B">
      <w:pPr>
        <w:pStyle w:val="a3"/>
        <w:spacing w:before="125" w:line="297" w:lineRule="auto"/>
        <w:ind w:left="124" w:right="122"/>
        <w:jc w:val="both"/>
      </w:pPr>
      <w:r>
        <w:rPr>
          <w:color w:val="333333"/>
          <w:w w:val="110"/>
        </w:rPr>
        <w:t xml:space="preserve">Second, you should also take steps to limit the damage if your application or the account that’s running it is compromised. If an attacker does gain access, they could make the jar file writable and change its contents. One way to protect against this is to make it immutable by using </w:t>
      </w:r>
      <w:r>
        <w:rPr>
          <w:rFonts w:ascii="MS Gothic" w:hAnsi="MS Gothic"/>
          <w:color w:val="B02045"/>
          <w:w w:val="110"/>
        </w:rPr>
        <w:t>chattr</w:t>
      </w:r>
      <w:r>
        <w:rPr>
          <w:color w:val="333333"/>
          <w:w w:val="110"/>
        </w:rPr>
        <w:t>, as shown in the following example:</w:t>
      </w:r>
    </w:p>
    <w:p w14:paraId="46604DC5" w14:textId="77777777" w:rsidR="00A720EB" w:rsidRDefault="00E10349">
      <w:pPr>
        <w:pStyle w:val="a3"/>
        <w:spacing w:before="2"/>
        <w:rPr>
          <w:sz w:val="14"/>
        </w:rPr>
      </w:pPr>
      <w:r>
        <w:pict w14:anchorId="2D9E379C">
          <v:group id="_x0000_s1817" style="position:absolute;margin-left:47.85pt;margin-top:10.3pt;width:499.55pt;height:37.5pt;z-index:-15158272;mso-wrap-distance-left:0;mso-wrap-distance-right:0;mso-position-horizontal-relative:page" coordorigin="957,206" coordsize="9991,750">
            <v:shape id="_x0000_s1820" style="position:absolute;left:964;top:213;width:9976;height:735" coordorigin="965,214" coordsize="9976,735" path="m10861,214r-9816,l1014,220r-26,17l971,263r-6,31l965,868r6,32l988,925r26,17l1045,948r9816,l10892,942r25,-17l10935,900r6,-32l10941,294r-6,-31l10917,237r-25,-17l10861,214xe" fillcolor="#f5f5f5" stroked="f">
              <v:path arrowok="t"/>
            </v:shape>
            <v:shape id="_x0000_s1819" style="position:absolute;left:964;top:213;width:9976;height:735" coordorigin="965,214" coordsize="9976,735" path="m1045,214r9816,l10892,220r25,17l10935,263r6,31l10941,868r-6,32l10917,925r-25,17l10861,948r-9816,l1014,942,988,925,971,900r-6,-32l965,294r6,-31l988,237r26,-17l1045,214xe" filled="f" strokecolor="#ccc">
              <v:path arrowok="t"/>
            </v:shape>
            <v:shape id="_x0000_s1818" type="#_x0000_t202" style="position:absolute;left:984;top:229;width:9938;height:704" filled="f" stroked="f">
              <v:textbox inset="0,0,0,0">
                <w:txbxContent>
                  <w:p w14:paraId="6E2611D6" w14:textId="77777777" w:rsidR="00711A16" w:rsidRDefault="00711A16">
                    <w:pPr>
                      <w:spacing w:before="221"/>
                      <w:ind w:left="200"/>
                      <w:rPr>
                        <w:rFonts w:ascii="MS Gothic"/>
                      </w:rPr>
                    </w:pPr>
                    <w:r>
                      <w:rPr>
                        <w:rFonts w:ascii="MS Gothic"/>
                        <w:color w:val="333333"/>
                      </w:rPr>
                      <w:t>$ sudo chattr +i your-app.jar</w:t>
                    </w:r>
                  </w:p>
                </w:txbxContent>
              </v:textbox>
            </v:shape>
            <w10:wrap type="topAndBottom" anchorx="page"/>
          </v:group>
        </w:pict>
      </w:r>
    </w:p>
    <w:p w14:paraId="779452EF" w14:textId="77777777" w:rsidR="00A720EB" w:rsidRDefault="00A720EB">
      <w:pPr>
        <w:pStyle w:val="a3"/>
        <w:rPr>
          <w:sz w:val="10"/>
        </w:rPr>
      </w:pPr>
    </w:p>
    <w:p w14:paraId="103E9FE6" w14:textId="77777777" w:rsidR="00A720EB" w:rsidRDefault="0030286B">
      <w:pPr>
        <w:pStyle w:val="a3"/>
        <w:spacing w:before="125"/>
        <w:ind w:left="124"/>
        <w:jc w:val="both"/>
      </w:pPr>
      <w:r>
        <w:rPr>
          <w:color w:val="333333"/>
          <w:w w:val="110"/>
        </w:rPr>
        <w:t>This will prevent any user, including root, from modifying the jar.</w:t>
      </w:r>
    </w:p>
    <w:p w14:paraId="4D8904CF" w14:textId="77777777" w:rsidR="00A720EB" w:rsidRDefault="00A720EB">
      <w:pPr>
        <w:pStyle w:val="a3"/>
        <w:spacing w:before="6"/>
        <w:rPr>
          <w:sz w:val="25"/>
        </w:rPr>
      </w:pPr>
    </w:p>
    <w:p w14:paraId="1C8A5344" w14:textId="77777777" w:rsidR="00A720EB" w:rsidRDefault="0030286B">
      <w:pPr>
        <w:pStyle w:val="a3"/>
        <w:spacing w:line="285" w:lineRule="auto"/>
        <w:ind w:left="124" w:right="122"/>
        <w:jc w:val="both"/>
      </w:pPr>
      <w:r>
        <w:rPr>
          <w:color w:val="333333"/>
          <w:w w:val="110"/>
        </w:rPr>
        <w:t xml:space="preserve">If root is used to control the application’s service and you </w:t>
      </w:r>
      <w:hyperlink w:anchor="_bookmark490" w:history="1">
        <w:r>
          <w:rPr>
            <w:color w:val="418BCA"/>
            <w:w w:val="110"/>
          </w:rPr>
          <w:t>use a</w:t>
        </w:r>
      </w:hyperlink>
      <w:r>
        <w:rPr>
          <w:color w:val="418BCA"/>
          <w:w w:val="110"/>
        </w:rPr>
        <w:t xml:space="preserve"> </w:t>
      </w:r>
      <w:hyperlink w:anchor="_bookmark490" w:history="1">
        <w:r>
          <w:rPr>
            <w:rFonts w:ascii="MS Gothic" w:hAnsi="MS Gothic"/>
            <w:color w:val="B02045"/>
            <w:w w:val="110"/>
          </w:rPr>
          <w:t xml:space="preserve">.conf </w:t>
        </w:r>
      </w:hyperlink>
      <w:hyperlink w:anchor="_bookmark490" w:history="1">
        <w:r>
          <w:rPr>
            <w:color w:val="418BCA"/>
            <w:w w:val="110"/>
          </w:rPr>
          <w:t>file</w:t>
        </w:r>
      </w:hyperlink>
      <w:r>
        <w:rPr>
          <w:color w:val="418BCA"/>
          <w:w w:val="110"/>
        </w:rPr>
        <w:t xml:space="preserve"> </w:t>
      </w:r>
      <w:r>
        <w:rPr>
          <w:color w:val="333333"/>
          <w:w w:val="110"/>
        </w:rPr>
        <w:t xml:space="preserve">to customize its startup, the </w:t>
      </w:r>
      <w:r>
        <w:rPr>
          <w:rFonts w:ascii="MS Gothic" w:hAnsi="MS Gothic"/>
          <w:color w:val="B02045"/>
          <w:w w:val="110"/>
        </w:rPr>
        <w:t xml:space="preserve">.conf </w:t>
      </w:r>
      <w:r>
        <w:rPr>
          <w:color w:val="333333"/>
          <w:w w:val="110"/>
        </w:rPr>
        <w:t xml:space="preserve">file is read and evaluated </w:t>
      </w:r>
      <w:r>
        <w:rPr>
          <w:color w:val="333333"/>
          <w:spacing w:val="-3"/>
          <w:w w:val="110"/>
        </w:rPr>
        <w:t xml:space="preserve">by </w:t>
      </w:r>
      <w:r>
        <w:rPr>
          <w:color w:val="333333"/>
          <w:w w:val="110"/>
        </w:rPr>
        <w:t xml:space="preserve">the root user. It should be secured </w:t>
      </w:r>
      <w:r>
        <w:rPr>
          <w:color w:val="333333"/>
          <w:spacing w:val="-3"/>
          <w:w w:val="110"/>
        </w:rPr>
        <w:t xml:space="preserve">accordingly. </w:t>
      </w:r>
      <w:r>
        <w:rPr>
          <w:color w:val="333333"/>
          <w:w w:val="110"/>
        </w:rPr>
        <w:t xml:space="preserve">Use </w:t>
      </w:r>
      <w:r>
        <w:rPr>
          <w:rFonts w:ascii="MS Gothic" w:hAnsi="MS Gothic"/>
          <w:color w:val="B02045"/>
          <w:w w:val="110"/>
        </w:rPr>
        <w:t xml:space="preserve">chmod </w:t>
      </w:r>
      <w:r>
        <w:rPr>
          <w:color w:val="333333"/>
          <w:w w:val="110"/>
        </w:rPr>
        <w:t xml:space="preserve">so that the file can only be read </w:t>
      </w:r>
      <w:r>
        <w:rPr>
          <w:color w:val="333333"/>
          <w:spacing w:val="-3"/>
          <w:w w:val="110"/>
        </w:rPr>
        <w:t xml:space="preserve">by </w:t>
      </w:r>
      <w:r>
        <w:rPr>
          <w:color w:val="333333"/>
          <w:w w:val="110"/>
        </w:rPr>
        <w:t xml:space="preserve">the owner and use </w:t>
      </w:r>
      <w:r>
        <w:rPr>
          <w:rFonts w:ascii="MS Gothic" w:hAnsi="MS Gothic"/>
          <w:color w:val="B02045"/>
          <w:w w:val="110"/>
        </w:rPr>
        <w:t xml:space="preserve">chown </w:t>
      </w:r>
      <w:r>
        <w:rPr>
          <w:color w:val="333333"/>
          <w:w w:val="110"/>
        </w:rPr>
        <w:t>to make root the owner, as shown in the following</w:t>
      </w:r>
      <w:r>
        <w:rPr>
          <w:color w:val="333333"/>
          <w:spacing w:val="3"/>
          <w:w w:val="110"/>
        </w:rPr>
        <w:t xml:space="preserve"> </w:t>
      </w:r>
      <w:r>
        <w:rPr>
          <w:color w:val="333333"/>
          <w:w w:val="110"/>
        </w:rPr>
        <w:t>example:</w:t>
      </w:r>
    </w:p>
    <w:p w14:paraId="01A917EC" w14:textId="77777777" w:rsidR="00A720EB" w:rsidRDefault="00E10349">
      <w:pPr>
        <w:pStyle w:val="a3"/>
        <w:spacing w:before="8"/>
        <w:rPr>
          <w:sz w:val="14"/>
        </w:rPr>
      </w:pPr>
      <w:r>
        <w:pict w14:anchorId="29C82208">
          <v:group id="_x0000_s1813" style="position:absolute;margin-left:47.85pt;margin-top:10.6pt;width:499.55pt;height:52.25pt;z-index:-15157760;mso-wrap-distance-left:0;mso-wrap-distance-right:0;mso-position-horizontal-relative:page" coordorigin="957,212" coordsize="9991,1045">
            <v:shape id="_x0000_s1816" style="position:absolute;left:964;top:219;width:9976;height:1030" coordorigin="965,220" coordsize="9976,1030" path="m10861,220r-9816,l1014,226r-26,17l971,269r-6,31l965,1170r6,31l988,1226r26,17l1045,1250r9816,l10892,1243r25,-17l10935,1201r6,-31l10941,300r-6,-31l10917,243r-25,-17l10861,220xe" fillcolor="#f5f5f5" stroked="f">
              <v:path arrowok="t"/>
            </v:shape>
            <v:shape id="_x0000_s1815" style="position:absolute;left:964;top:219;width:9976;height:1030" coordorigin="965,220" coordsize="9976,1030" path="m1045,220r9816,l10892,226r25,17l10935,269r6,31l10941,1170r-6,31l10917,1226r-25,17l10861,1250r-9816,l1014,1243r-26,-17l971,1201r-6,-31l965,300r6,-31l988,243r26,-17l1045,220xe" filled="f" strokecolor="#ccc">
              <v:path arrowok="t"/>
            </v:shape>
            <v:shape id="_x0000_s1814" type="#_x0000_t202" style="position:absolute;left:984;top:235;width:9938;height:999" filled="f" stroked="f">
              <v:textbox inset="0,0,0,0">
                <w:txbxContent>
                  <w:p w14:paraId="6FA0B464" w14:textId="77777777" w:rsidR="00711A16" w:rsidRDefault="00711A16">
                    <w:pPr>
                      <w:spacing w:before="221"/>
                      <w:ind w:left="200"/>
                      <w:rPr>
                        <w:rFonts w:ascii="MS Gothic"/>
                      </w:rPr>
                    </w:pPr>
                    <w:r>
                      <w:rPr>
                        <w:rFonts w:ascii="MS Gothic"/>
                        <w:color w:val="333333"/>
                      </w:rPr>
                      <w:t>$ chmod 400 your-app.conf</w:t>
                    </w:r>
                  </w:p>
                  <w:p w14:paraId="033552AC" w14:textId="77777777" w:rsidR="00711A16" w:rsidRDefault="00711A16">
                    <w:pPr>
                      <w:spacing w:before="13"/>
                      <w:ind w:left="200"/>
                      <w:rPr>
                        <w:rFonts w:ascii="MS Gothic"/>
                      </w:rPr>
                    </w:pPr>
                    <w:r>
                      <w:rPr>
                        <w:rFonts w:ascii="MS Gothic"/>
                        <w:color w:val="333333"/>
                      </w:rPr>
                      <w:t xml:space="preserve">$ sudo chown </w:t>
                    </w:r>
                    <w:proofErr w:type="gramStart"/>
                    <w:r>
                      <w:rPr>
                        <w:rFonts w:ascii="MS Gothic"/>
                        <w:color w:val="333333"/>
                      </w:rPr>
                      <w:t>root:root</w:t>
                    </w:r>
                    <w:proofErr w:type="gramEnd"/>
                    <w:r>
                      <w:rPr>
                        <w:rFonts w:ascii="MS Gothic"/>
                        <w:color w:val="333333"/>
                      </w:rPr>
                      <w:t xml:space="preserve"> your-app.conf</w:t>
                    </w:r>
                  </w:p>
                </w:txbxContent>
              </v:textbox>
            </v:shape>
            <w10:wrap type="topAndBottom" anchorx="page"/>
          </v:group>
        </w:pict>
      </w:r>
    </w:p>
    <w:p w14:paraId="4F075F66" w14:textId="77777777" w:rsidR="00A720EB" w:rsidRDefault="00A720EB">
      <w:pPr>
        <w:pStyle w:val="a3"/>
        <w:spacing w:before="11"/>
        <w:rPr>
          <w:sz w:val="16"/>
        </w:rPr>
      </w:pPr>
    </w:p>
    <w:p w14:paraId="68E39B67" w14:textId="77777777" w:rsidR="00A720EB" w:rsidRDefault="0030286B">
      <w:pPr>
        <w:pStyle w:val="4"/>
        <w:spacing w:before="104"/>
      </w:pPr>
      <w:bookmarkStart w:id="717" w:name="Installation_as_a_systemd_Service"/>
      <w:bookmarkEnd w:id="717"/>
      <w:r>
        <w:rPr>
          <w:color w:val="333333"/>
          <w:w w:val="115"/>
        </w:rPr>
        <w:t>Installation as a systemd Service</w:t>
      </w:r>
    </w:p>
    <w:p w14:paraId="7ECDB16E" w14:textId="77777777" w:rsidR="00A720EB" w:rsidRDefault="0030286B">
      <w:pPr>
        <w:pStyle w:val="a3"/>
        <w:spacing w:before="244" w:line="280" w:lineRule="auto"/>
        <w:ind w:left="124" w:right="127"/>
        <w:jc w:val="both"/>
      </w:pPr>
      <w:r>
        <w:rPr>
          <w:rFonts w:ascii="MS Gothic" w:hAnsi="MS Gothic"/>
          <w:color w:val="B02045"/>
          <w:w w:val="110"/>
        </w:rPr>
        <w:t xml:space="preserve">systemd </w:t>
      </w:r>
      <w:r>
        <w:rPr>
          <w:color w:val="333333"/>
          <w:w w:val="110"/>
        </w:rPr>
        <w:t xml:space="preserve">is the successor of the System V init system and is now being used by many modern Linux distributions. Although you can continue to use </w:t>
      </w:r>
      <w:proofErr w:type="gramStart"/>
      <w:r>
        <w:rPr>
          <w:rFonts w:ascii="MS Gothic" w:hAnsi="MS Gothic"/>
          <w:color w:val="B02045"/>
          <w:w w:val="110"/>
        </w:rPr>
        <w:t>init.d</w:t>
      </w:r>
      <w:proofErr w:type="gramEnd"/>
      <w:r>
        <w:rPr>
          <w:rFonts w:ascii="MS Gothic" w:hAnsi="MS Gothic"/>
          <w:color w:val="B02045"/>
          <w:w w:val="110"/>
        </w:rPr>
        <w:t xml:space="preserve"> </w:t>
      </w:r>
      <w:r>
        <w:rPr>
          <w:color w:val="333333"/>
          <w:w w:val="110"/>
        </w:rPr>
        <w:t xml:space="preserve">scripts with </w:t>
      </w:r>
      <w:r>
        <w:rPr>
          <w:rFonts w:ascii="MS Gothic" w:hAnsi="MS Gothic"/>
          <w:color w:val="B02045"/>
          <w:w w:val="110"/>
        </w:rPr>
        <w:t>systemd</w:t>
      </w:r>
      <w:r>
        <w:rPr>
          <w:color w:val="333333"/>
          <w:w w:val="110"/>
        </w:rPr>
        <w:t xml:space="preserve">, it is also possible to  launch Spring Boot applications by using </w:t>
      </w:r>
      <w:r>
        <w:rPr>
          <w:rFonts w:ascii="MS Gothic" w:hAnsi="MS Gothic"/>
          <w:color w:val="B02045"/>
          <w:w w:val="110"/>
        </w:rPr>
        <w:t xml:space="preserve">systemd </w:t>
      </w:r>
      <w:r>
        <w:rPr>
          <w:color w:val="333333"/>
          <w:w w:val="110"/>
        </w:rPr>
        <w:t>‘service’ scripts.</w:t>
      </w:r>
    </w:p>
    <w:p w14:paraId="341CC232" w14:textId="77777777" w:rsidR="00A720EB" w:rsidRDefault="0030286B">
      <w:pPr>
        <w:pStyle w:val="a3"/>
        <w:spacing w:before="242" w:line="280" w:lineRule="auto"/>
        <w:ind w:left="124" w:right="125"/>
        <w:jc w:val="both"/>
      </w:pPr>
      <w:r>
        <w:rPr>
          <w:color w:val="333333"/>
          <w:w w:val="110"/>
        </w:rPr>
        <w:t xml:space="preserve">Assuming that you have a Spring Boot application installed in </w:t>
      </w:r>
      <w:r>
        <w:rPr>
          <w:rFonts w:ascii="MS Gothic"/>
          <w:color w:val="B02045"/>
          <w:w w:val="110"/>
        </w:rPr>
        <w:t>/var/myapp</w:t>
      </w:r>
      <w:r>
        <w:rPr>
          <w:color w:val="333333"/>
          <w:w w:val="110"/>
        </w:rPr>
        <w:t xml:space="preserve">, to install a Spring </w:t>
      </w:r>
      <w:proofErr w:type="gramStart"/>
      <w:r>
        <w:rPr>
          <w:color w:val="333333"/>
          <w:w w:val="110"/>
        </w:rPr>
        <w:t>Boot  application</w:t>
      </w:r>
      <w:proofErr w:type="gramEnd"/>
      <w:r>
        <w:rPr>
          <w:color w:val="333333"/>
          <w:w w:val="110"/>
        </w:rPr>
        <w:t xml:space="preserve"> as a </w:t>
      </w:r>
      <w:r>
        <w:rPr>
          <w:rFonts w:ascii="MS Gothic"/>
          <w:color w:val="B02045"/>
          <w:w w:val="110"/>
        </w:rPr>
        <w:t xml:space="preserve">systemd </w:t>
      </w:r>
      <w:r>
        <w:rPr>
          <w:color w:val="333333"/>
          <w:w w:val="110"/>
        </w:rPr>
        <w:t xml:space="preserve">service, create a script named </w:t>
      </w:r>
      <w:r>
        <w:rPr>
          <w:rFonts w:ascii="MS Gothic"/>
          <w:color w:val="B02045"/>
          <w:w w:val="110"/>
        </w:rPr>
        <w:t xml:space="preserve">myapp.service </w:t>
      </w:r>
      <w:r>
        <w:rPr>
          <w:color w:val="333333"/>
          <w:w w:val="110"/>
        </w:rPr>
        <w:t>and place it in</w:t>
      </w:r>
    </w:p>
    <w:p w14:paraId="4E52CE1B" w14:textId="77777777" w:rsidR="00A720EB" w:rsidRDefault="0030286B">
      <w:pPr>
        <w:pStyle w:val="a3"/>
        <w:spacing w:before="2"/>
        <w:ind w:left="124"/>
        <w:jc w:val="both"/>
      </w:pPr>
      <w:r>
        <w:rPr>
          <w:rFonts w:ascii="MS Gothic"/>
          <w:color w:val="B02045"/>
          <w:w w:val="110"/>
        </w:rPr>
        <w:t>/etc/systemd/system</w:t>
      </w:r>
      <w:r>
        <w:rPr>
          <w:rFonts w:ascii="MS Gothic"/>
          <w:color w:val="B02045"/>
          <w:spacing w:val="-57"/>
          <w:w w:val="110"/>
        </w:rPr>
        <w:t xml:space="preserve"> </w:t>
      </w:r>
      <w:r>
        <w:rPr>
          <w:color w:val="333333"/>
          <w:spacing w:val="-3"/>
          <w:w w:val="110"/>
        </w:rPr>
        <w:t xml:space="preserve">directory. </w:t>
      </w:r>
      <w:r>
        <w:rPr>
          <w:color w:val="333333"/>
          <w:w w:val="110"/>
        </w:rPr>
        <w:t>The following script offers an example:</w:t>
      </w:r>
    </w:p>
    <w:p w14:paraId="59B9C8C2" w14:textId="77777777" w:rsidR="00A720EB" w:rsidRDefault="00A720EB">
      <w:pPr>
        <w:jc w:val="both"/>
        <w:sectPr w:rsidR="00A720EB">
          <w:pgSz w:w="11910" w:h="16840"/>
          <w:pgMar w:top="700" w:right="840" w:bottom="520" w:left="840" w:header="0" w:footer="323" w:gutter="0"/>
          <w:cols w:space="720"/>
        </w:sectPr>
      </w:pPr>
    </w:p>
    <w:p w14:paraId="4757AA58" w14:textId="77777777" w:rsidR="00A720EB" w:rsidRDefault="00E10349">
      <w:pPr>
        <w:pStyle w:val="a3"/>
        <w:ind w:left="116"/>
        <w:rPr>
          <w:sz w:val="20"/>
        </w:rPr>
      </w:pPr>
      <w:r>
        <w:rPr>
          <w:sz w:val="20"/>
        </w:rPr>
      </w:r>
      <w:r>
        <w:rPr>
          <w:sz w:val="20"/>
        </w:rPr>
        <w:pict w14:anchorId="6FC1BC27">
          <v:group id="_x0000_s1809" style="width:499.55pt;height:184.9pt;mso-position-horizontal-relative:char;mso-position-vertical-relative:line" coordsize="9991,3698">
            <v:shape id="_x0000_s1812" style="position:absolute;left:7;top:7;width:9976;height:3683" coordorigin="8,8" coordsize="9976,3683" path="m9904,8l88,8,56,14,31,31,14,56,8,88r,3522l14,3641r17,26l56,3684r32,6l9904,3690r31,-6l9960,3667r17,-26l9984,3610r,-3522l9977,56,9960,31,9935,14,9904,8xe" fillcolor="#f5f5f5" stroked="f">
              <v:path arrowok="t"/>
            </v:shape>
            <v:shape id="_x0000_s1811" style="position:absolute;left:7;top:7;width:9976;height:3683" coordorigin="8,8" coordsize="9976,3683" path="m88,8r9816,l9935,14r25,17l9977,56r7,32l9984,3610r-7,31l9960,3667r-25,17l9904,3690r-9816,l56,3684,31,3667,14,3641,8,3610,8,88,14,56,31,31,56,14,88,8xe" filled="f" strokecolor="#ccc">
              <v:path arrowok="t"/>
            </v:shape>
            <v:shape id="_x0000_s1810" type="#_x0000_t202" style="position:absolute;left:26;top:22;width:9938;height:3652" filled="f" stroked="f">
              <v:textbox inset="0,0,0,0">
                <w:txbxContent>
                  <w:p w14:paraId="3F9CF9A0" w14:textId="77777777" w:rsidR="00711A16" w:rsidRDefault="00711A16">
                    <w:pPr>
                      <w:spacing w:before="221" w:line="252" w:lineRule="auto"/>
                      <w:ind w:left="200" w:right="7628"/>
                      <w:rPr>
                        <w:rFonts w:ascii="MS Gothic"/>
                      </w:rPr>
                    </w:pPr>
                    <w:r>
                      <w:rPr>
                        <w:rFonts w:ascii="MS Gothic"/>
                        <w:color w:val="333333"/>
                      </w:rPr>
                      <w:t>[Unit] Description=myapp After=syslog.target</w:t>
                    </w:r>
                  </w:p>
                  <w:p w14:paraId="04215388" w14:textId="77777777" w:rsidR="00711A16" w:rsidRDefault="00711A16">
                    <w:pPr>
                      <w:spacing w:before="9"/>
                      <w:rPr>
                        <w:rFonts w:ascii="MS Gothic"/>
                      </w:rPr>
                    </w:pPr>
                  </w:p>
                  <w:p w14:paraId="0D8E4B2C" w14:textId="77777777" w:rsidR="00711A16" w:rsidRDefault="00711A16">
                    <w:pPr>
                      <w:spacing w:line="252" w:lineRule="auto"/>
                      <w:ind w:left="200" w:right="8618"/>
                      <w:rPr>
                        <w:rFonts w:ascii="MS Gothic"/>
                      </w:rPr>
                    </w:pPr>
                    <w:r>
                      <w:rPr>
                        <w:rFonts w:ascii="MS Gothic"/>
                        <w:color w:val="333333"/>
                      </w:rPr>
                      <w:t>[Service] User=myapp</w:t>
                    </w:r>
                  </w:p>
                  <w:p w14:paraId="26E68465" w14:textId="77777777" w:rsidR="00711A16" w:rsidRDefault="00711A16">
                    <w:pPr>
                      <w:spacing w:line="252" w:lineRule="auto"/>
                      <w:ind w:left="200" w:right="6418"/>
                      <w:rPr>
                        <w:rFonts w:ascii="MS Gothic"/>
                      </w:rPr>
                    </w:pPr>
                    <w:r>
                      <w:rPr>
                        <w:rFonts w:ascii="MS Gothic"/>
                        <w:color w:val="333333"/>
                      </w:rPr>
                      <w:t>ExecStart=/var/myapp/myapp.jar SuccessExitStatus=143</w:t>
                    </w:r>
                  </w:p>
                  <w:p w14:paraId="7471CD03" w14:textId="77777777" w:rsidR="00711A16" w:rsidRDefault="00711A16">
                    <w:pPr>
                      <w:spacing w:before="8"/>
                      <w:rPr>
                        <w:rFonts w:ascii="MS Gothic"/>
                      </w:rPr>
                    </w:pPr>
                  </w:p>
                  <w:p w14:paraId="4CD2E061" w14:textId="77777777" w:rsidR="00711A16" w:rsidRDefault="00711A16">
                    <w:pPr>
                      <w:ind w:left="200"/>
                      <w:rPr>
                        <w:rFonts w:ascii="MS Gothic"/>
                      </w:rPr>
                    </w:pPr>
                    <w:r>
                      <w:rPr>
                        <w:rFonts w:ascii="MS Gothic"/>
                        <w:color w:val="333333"/>
                      </w:rPr>
                      <w:t>[Install]</w:t>
                    </w:r>
                  </w:p>
                  <w:p w14:paraId="50F6BF7B" w14:textId="77777777" w:rsidR="00711A16" w:rsidRDefault="00711A16">
                    <w:pPr>
                      <w:spacing w:before="13"/>
                      <w:ind w:left="200"/>
                      <w:rPr>
                        <w:rFonts w:ascii="MS Gothic"/>
                      </w:rPr>
                    </w:pPr>
                    <w:r>
                      <w:rPr>
                        <w:rFonts w:ascii="MS Gothic"/>
                        <w:color w:val="333333"/>
                      </w:rPr>
                      <w:t>WantedBy=multi-</w:t>
                    </w:r>
                    <w:proofErr w:type="gramStart"/>
                    <w:r>
                      <w:rPr>
                        <w:rFonts w:ascii="MS Gothic"/>
                        <w:color w:val="333333"/>
                      </w:rPr>
                      <w:t>user.target</w:t>
                    </w:r>
                    <w:proofErr w:type="gramEnd"/>
                  </w:p>
                </w:txbxContent>
              </v:textbox>
            </v:shape>
            <w10:anchorlock/>
          </v:group>
        </w:pict>
      </w:r>
    </w:p>
    <w:p w14:paraId="092ED314" w14:textId="77777777" w:rsidR="00A720EB" w:rsidRDefault="00A720EB">
      <w:pPr>
        <w:pStyle w:val="a3"/>
        <w:spacing w:before="5"/>
        <w:rPr>
          <w:sz w:val="16"/>
        </w:rPr>
      </w:pPr>
    </w:p>
    <w:p w14:paraId="64646953" w14:textId="77777777" w:rsidR="00A720EB" w:rsidRDefault="00E10349">
      <w:pPr>
        <w:pStyle w:val="a3"/>
        <w:spacing w:before="116" w:line="290" w:lineRule="auto"/>
        <w:ind w:left="1564" w:right="462"/>
      </w:pPr>
      <w:r>
        <w:pict w14:anchorId="765C2A83">
          <v:line id="_x0000_s1808" style="position:absolute;left:0;text-align:left;z-index:16302080;mso-position-horizontal-relative:page" from="108.25pt,.35pt" to="108.25pt,39.9pt" strokecolor="#ededed" strokeweight=".5pt">
            <w10:wrap anchorx="page"/>
          </v:line>
        </w:pict>
      </w:r>
      <w:r w:rsidR="0030286B">
        <w:rPr>
          <w:noProof/>
        </w:rPr>
        <w:drawing>
          <wp:anchor distT="0" distB="0" distL="0" distR="0" simplePos="0" relativeHeight="16302592" behindDoc="0" locked="0" layoutInCell="1" allowOverlap="1" wp14:anchorId="48D7D7A7" wp14:editId="1B790972">
            <wp:simplePos x="0" y="0"/>
            <wp:positionH relativeFrom="page">
              <wp:posOffset>844422</wp:posOffset>
            </wp:positionH>
            <wp:positionV relativeFrom="paragraph">
              <wp:posOffset>106248</wp:posOffset>
            </wp:positionV>
            <wp:extent cx="298450" cy="298450"/>
            <wp:effectExtent l="0" t="0" r="0" b="0"/>
            <wp:wrapNone/>
            <wp:docPr id="68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10.png"/>
                    <pic:cNvPicPr/>
                  </pic:nvPicPr>
                  <pic:blipFill>
                    <a:blip r:embed="rId171" cstate="print"/>
                    <a:stretch>
                      <a:fillRect/>
                    </a:stretch>
                  </pic:blipFill>
                  <pic:spPr>
                    <a:xfrm>
                      <a:off x="0" y="0"/>
                      <a:ext cx="298450" cy="298450"/>
                    </a:xfrm>
                    <a:prstGeom prst="rect">
                      <a:avLst/>
                    </a:prstGeom>
                  </pic:spPr>
                </pic:pic>
              </a:graphicData>
            </a:graphic>
          </wp:anchor>
        </w:drawing>
      </w:r>
      <w:r w:rsidR="0030286B">
        <w:rPr>
          <w:color w:val="333333"/>
          <w:w w:val="110"/>
        </w:rPr>
        <w:t xml:space="preserve">Remember to change the </w:t>
      </w:r>
      <w:r w:rsidR="0030286B">
        <w:rPr>
          <w:rFonts w:ascii="MS Gothic"/>
          <w:color w:val="B02045"/>
          <w:w w:val="110"/>
        </w:rPr>
        <w:t>Description</w:t>
      </w:r>
      <w:r w:rsidR="0030286B">
        <w:rPr>
          <w:color w:val="333333"/>
          <w:w w:val="110"/>
        </w:rPr>
        <w:t xml:space="preserve">, </w:t>
      </w:r>
      <w:r w:rsidR="0030286B">
        <w:rPr>
          <w:rFonts w:ascii="MS Gothic"/>
          <w:color w:val="B02045"/>
          <w:w w:val="110"/>
        </w:rPr>
        <w:t>User</w:t>
      </w:r>
      <w:r w:rsidR="0030286B">
        <w:rPr>
          <w:color w:val="333333"/>
          <w:w w:val="110"/>
        </w:rPr>
        <w:t xml:space="preserve">, and </w:t>
      </w:r>
      <w:r w:rsidR="0030286B">
        <w:rPr>
          <w:rFonts w:ascii="MS Gothic"/>
          <w:color w:val="B02045"/>
          <w:w w:val="110"/>
        </w:rPr>
        <w:t xml:space="preserve">ExecStart </w:t>
      </w:r>
      <w:r w:rsidR="0030286B">
        <w:rPr>
          <w:color w:val="333333"/>
          <w:w w:val="110"/>
        </w:rPr>
        <w:t xml:space="preserve">fields for </w:t>
      </w:r>
      <w:proofErr w:type="gramStart"/>
      <w:r w:rsidR="0030286B">
        <w:rPr>
          <w:color w:val="333333"/>
          <w:w w:val="110"/>
        </w:rPr>
        <w:t>your  application</w:t>
      </w:r>
      <w:proofErr w:type="gramEnd"/>
      <w:r w:rsidR="0030286B">
        <w:rPr>
          <w:color w:val="333333"/>
          <w:w w:val="110"/>
        </w:rPr>
        <w:t>.</w:t>
      </w:r>
    </w:p>
    <w:p w14:paraId="7B2984CB" w14:textId="77777777" w:rsidR="00A720EB" w:rsidRDefault="00A720EB">
      <w:pPr>
        <w:pStyle w:val="a3"/>
        <w:spacing w:before="9"/>
        <w:rPr>
          <w:sz w:val="34"/>
        </w:rPr>
      </w:pPr>
    </w:p>
    <w:p w14:paraId="02D85251" w14:textId="77777777" w:rsidR="00A720EB" w:rsidRDefault="00E10349">
      <w:pPr>
        <w:pStyle w:val="a3"/>
        <w:spacing w:before="1" w:line="280" w:lineRule="auto"/>
        <w:ind w:left="1564" w:right="359"/>
      </w:pPr>
      <w:r>
        <w:pict w14:anchorId="0D6C23D9">
          <v:line id="_x0000_s1807" style="position:absolute;left:0;text-align:left;z-index:16303104;mso-position-horizontal-relative:page" from="108.25pt,-5.4pt" to="108.25pt,34.15pt" strokecolor="#ededed" strokeweight=".5pt">
            <w10:wrap anchorx="page"/>
          </v:line>
        </w:pict>
      </w:r>
      <w:r w:rsidR="0030286B">
        <w:rPr>
          <w:noProof/>
        </w:rPr>
        <w:drawing>
          <wp:anchor distT="0" distB="0" distL="0" distR="0" simplePos="0" relativeHeight="16303616" behindDoc="0" locked="0" layoutInCell="1" allowOverlap="1" wp14:anchorId="08A7EF9C" wp14:editId="2D9FFADB">
            <wp:simplePos x="0" y="0"/>
            <wp:positionH relativeFrom="page">
              <wp:posOffset>844422</wp:posOffset>
            </wp:positionH>
            <wp:positionV relativeFrom="paragraph">
              <wp:posOffset>33223</wp:posOffset>
            </wp:positionV>
            <wp:extent cx="298450" cy="298450"/>
            <wp:effectExtent l="0" t="0" r="0" b="0"/>
            <wp:wrapNone/>
            <wp:docPr id="6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ExecStart </w:t>
      </w:r>
      <w:r w:rsidR="0030286B">
        <w:rPr>
          <w:color w:val="333333"/>
          <w:w w:val="110"/>
        </w:rPr>
        <w:t xml:space="preserve">field does not declare the script action command, which means that the </w:t>
      </w:r>
      <w:r w:rsidR="0030286B">
        <w:rPr>
          <w:rFonts w:ascii="MS Gothic"/>
          <w:color w:val="B02045"/>
          <w:w w:val="110"/>
        </w:rPr>
        <w:t xml:space="preserve">run </w:t>
      </w:r>
      <w:r w:rsidR="0030286B">
        <w:rPr>
          <w:color w:val="333333"/>
          <w:w w:val="110"/>
        </w:rPr>
        <w:t>command is used by default.</w:t>
      </w:r>
    </w:p>
    <w:p w14:paraId="3FDA9690" w14:textId="77777777" w:rsidR="00A720EB" w:rsidRDefault="00A720EB">
      <w:pPr>
        <w:pStyle w:val="a3"/>
        <w:spacing w:before="6"/>
        <w:rPr>
          <w:sz w:val="17"/>
        </w:rPr>
      </w:pPr>
    </w:p>
    <w:p w14:paraId="3FCEE171" w14:textId="77777777" w:rsidR="00A720EB" w:rsidRDefault="0030286B">
      <w:pPr>
        <w:pStyle w:val="a3"/>
        <w:spacing w:before="116" w:line="292" w:lineRule="auto"/>
        <w:ind w:left="124" w:right="123"/>
        <w:jc w:val="both"/>
      </w:pPr>
      <w:r>
        <w:rPr>
          <w:color w:val="333333"/>
          <w:w w:val="110"/>
        </w:rPr>
        <w:t xml:space="preserve">Note that, unlike when running as an </w:t>
      </w:r>
      <w:proofErr w:type="gramStart"/>
      <w:r>
        <w:rPr>
          <w:rFonts w:ascii="MS Gothic" w:hAnsi="MS Gothic"/>
          <w:color w:val="B02045"/>
          <w:w w:val="110"/>
        </w:rPr>
        <w:t>init.d</w:t>
      </w:r>
      <w:proofErr w:type="gramEnd"/>
      <w:r>
        <w:rPr>
          <w:rFonts w:ascii="MS Gothic" w:hAnsi="MS Gothic"/>
          <w:color w:val="B02045"/>
          <w:w w:val="110"/>
        </w:rPr>
        <w:t xml:space="preserve"> </w:t>
      </w:r>
      <w:r>
        <w:rPr>
          <w:color w:val="333333"/>
          <w:w w:val="110"/>
        </w:rPr>
        <w:t xml:space="preserve">service, the user that runs the application, the PID file, and the console log file are managed by </w:t>
      </w:r>
      <w:r>
        <w:rPr>
          <w:rFonts w:ascii="MS Gothic" w:hAnsi="MS Gothic"/>
          <w:color w:val="B02045"/>
          <w:w w:val="110"/>
        </w:rPr>
        <w:t xml:space="preserve">systemd </w:t>
      </w:r>
      <w:r>
        <w:rPr>
          <w:color w:val="333333"/>
          <w:w w:val="110"/>
        </w:rPr>
        <w:t xml:space="preserve">itself and therefore must be configured by using appropriate fields in the ‘service’ script. Consult the </w:t>
      </w:r>
      <w:hyperlink r:id="rId557">
        <w:r>
          <w:rPr>
            <w:color w:val="418BCA"/>
            <w:w w:val="110"/>
          </w:rPr>
          <w:t>service unit configuration man page</w:t>
        </w:r>
      </w:hyperlink>
      <w:r>
        <w:rPr>
          <w:color w:val="418BCA"/>
          <w:w w:val="110"/>
        </w:rPr>
        <w:t xml:space="preserve"> </w:t>
      </w:r>
      <w:r>
        <w:rPr>
          <w:color w:val="333333"/>
          <w:w w:val="110"/>
        </w:rPr>
        <w:t>for more details.</w:t>
      </w:r>
    </w:p>
    <w:p w14:paraId="7EAB6F55" w14:textId="77777777" w:rsidR="00A720EB" w:rsidRDefault="00A720EB">
      <w:pPr>
        <w:pStyle w:val="a3"/>
        <w:spacing w:before="9"/>
      </w:pPr>
    </w:p>
    <w:p w14:paraId="11DB146E" w14:textId="77777777" w:rsidR="00A720EB" w:rsidRDefault="0030286B">
      <w:pPr>
        <w:pStyle w:val="a3"/>
        <w:ind w:left="124"/>
        <w:jc w:val="both"/>
      </w:pPr>
      <w:r>
        <w:rPr>
          <w:color w:val="333333"/>
          <w:w w:val="110"/>
        </w:rPr>
        <w:t>To flag the application to start automatically on system boot, use the following command:</w:t>
      </w:r>
    </w:p>
    <w:p w14:paraId="1CAB7FE1" w14:textId="77777777" w:rsidR="00A720EB" w:rsidRDefault="00E10349">
      <w:pPr>
        <w:pStyle w:val="a3"/>
        <w:rPr>
          <w:sz w:val="19"/>
        </w:rPr>
      </w:pPr>
      <w:r>
        <w:pict w14:anchorId="6D676C76">
          <v:group id="_x0000_s1803" style="position:absolute;margin-left:47.85pt;margin-top:13.15pt;width:499.55pt;height:37.5pt;z-index:-15155712;mso-wrap-distance-left:0;mso-wrap-distance-right:0;mso-position-horizontal-relative:page" coordorigin="957,263" coordsize="9991,750">
            <v:shape id="_x0000_s1806" style="position:absolute;left:964;top:270;width:9976;height:735" coordorigin="965,270" coordsize="9976,735" path="m10861,270r-9816,l1014,277r-26,17l971,319r-6,31l965,925r6,31l988,982r26,17l1045,1005r9816,l10892,999r25,-17l10935,956r6,-31l10941,350r-6,-31l10917,294r-25,-17l10861,270xe" fillcolor="#f5f5f5" stroked="f">
              <v:path arrowok="t"/>
            </v:shape>
            <v:shape id="_x0000_s1805" style="position:absolute;left:964;top:270;width:9976;height:735" coordorigin="965,270" coordsize="9976,735" path="m1045,270r9816,l10892,277r25,17l10935,319r6,31l10941,925r-6,31l10917,982r-25,17l10861,1005r-9816,l1014,999,988,982,971,956r-6,-31l965,350r6,-31l988,294r26,-17l1045,270xe" filled="f" strokecolor="#ccc">
              <v:path arrowok="t"/>
            </v:shape>
            <v:shape id="_x0000_s1804" type="#_x0000_t202" style="position:absolute;left:984;top:285;width:9938;height:704" filled="f" stroked="f">
              <v:textbox inset="0,0,0,0">
                <w:txbxContent>
                  <w:p w14:paraId="5851A0D3" w14:textId="77777777" w:rsidR="00711A16" w:rsidRDefault="00711A16">
                    <w:pPr>
                      <w:spacing w:before="221"/>
                      <w:ind w:left="200"/>
                      <w:rPr>
                        <w:rFonts w:ascii="MS Gothic"/>
                      </w:rPr>
                    </w:pPr>
                    <w:r>
                      <w:rPr>
                        <w:rFonts w:ascii="MS Gothic"/>
                        <w:color w:val="333333"/>
                      </w:rPr>
                      <w:t xml:space="preserve">$ systemctl enable </w:t>
                    </w:r>
                    <w:proofErr w:type="gramStart"/>
                    <w:r>
                      <w:rPr>
                        <w:rFonts w:ascii="MS Gothic"/>
                        <w:color w:val="333333"/>
                      </w:rPr>
                      <w:t>myapp.service</w:t>
                    </w:r>
                    <w:proofErr w:type="gramEnd"/>
                  </w:p>
                </w:txbxContent>
              </v:textbox>
            </v:shape>
            <w10:wrap type="topAndBottom" anchorx="page"/>
          </v:group>
        </w:pict>
      </w:r>
    </w:p>
    <w:p w14:paraId="7A558BE3" w14:textId="77777777" w:rsidR="00A720EB" w:rsidRDefault="00A720EB">
      <w:pPr>
        <w:pStyle w:val="a3"/>
        <w:spacing w:before="11"/>
        <w:rPr>
          <w:sz w:val="9"/>
        </w:rPr>
      </w:pPr>
    </w:p>
    <w:p w14:paraId="3EE489A9" w14:textId="77777777" w:rsidR="00A720EB" w:rsidRDefault="0030286B">
      <w:pPr>
        <w:pStyle w:val="a3"/>
        <w:spacing w:before="115"/>
        <w:ind w:left="124"/>
        <w:jc w:val="both"/>
      </w:pPr>
      <w:r>
        <w:rPr>
          <w:color w:val="333333"/>
          <w:w w:val="110"/>
        </w:rPr>
        <w:t xml:space="preserve">Refer to </w:t>
      </w:r>
      <w:r>
        <w:rPr>
          <w:rFonts w:ascii="MS Gothic"/>
          <w:color w:val="B02045"/>
          <w:w w:val="110"/>
        </w:rPr>
        <w:t>man systemctl</w:t>
      </w:r>
      <w:r>
        <w:rPr>
          <w:rFonts w:ascii="MS Gothic"/>
          <w:color w:val="B02045"/>
          <w:spacing w:val="-67"/>
          <w:w w:val="110"/>
        </w:rPr>
        <w:t xml:space="preserve"> </w:t>
      </w:r>
      <w:r>
        <w:rPr>
          <w:color w:val="333333"/>
          <w:w w:val="110"/>
        </w:rPr>
        <w:t>for more details.</w:t>
      </w:r>
    </w:p>
    <w:p w14:paraId="6081FE85" w14:textId="77777777" w:rsidR="00A720EB" w:rsidRDefault="00A720EB">
      <w:pPr>
        <w:pStyle w:val="a3"/>
        <w:spacing w:before="6"/>
        <w:rPr>
          <w:sz w:val="30"/>
        </w:rPr>
      </w:pPr>
    </w:p>
    <w:p w14:paraId="760E2442" w14:textId="77777777" w:rsidR="00A720EB" w:rsidRDefault="0030286B">
      <w:pPr>
        <w:pStyle w:val="4"/>
      </w:pPr>
      <w:bookmarkStart w:id="718" w:name="Customizing_the_Startup_Script"/>
      <w:bookmarkEnd w:id="718"/>
      <w:r>
        <w:rPr>
          <w:color w:val="333333"/>
          <w:w w:val="110"/>
        </w:rPr>
        <w:t>Customizing the Startup Script</w:t>
      </w:r>
    </w:p>
    <w:p w14:paraId="1791E00E" w14:textId="77777777" w:rsidR="00A720EB" w:rsidRDefault="00A720EB">
      <w:pPr>
        <w:pStyle w:val="a3"/>
        <w:spacing w:before="11"/>
        <w:rPr>
          <w:rFonts w:ascii="Palatino Linotype"/>
          <w:b/>
          <w:sz w:val="18"/>
        </w:rPr>
      </w:pPr>
    </w:p>
    <w:p w14:paraId="524D381A" w14:textId="77777777" w:rsidR="00A720EB" w:rsidRDefault="0030286B">
      <w:pPr>
        <w:pStyle w:val="a3"/>
        <w:spacing w:line="304" w:lineRule="auto"/>
        <w:ind w:left="124" w:right="126"/>
        <w:jc w:val="both"/>
      </w:pPr>
      <w:r>
        <w:rPr>
          <w:color w:val="333333"/>
          <w:w w:val="110"/>
        </w:rPr>
        <w:t xml:space="preserve">The default embedded startup script written </w:t>
      </w:r>
      <w:r>
        <w:rPr>
          <w:color w:val="333333"/>
          <w:spacing w:val="-3"/>
          <w:w w:val="110"/>
        </w:rPr>
        <w:t xml:space="preserve">by </w:t>
      </w:r>
      <w:r>
        <w:rPr>
          <w:color w:val="333333"/>
          <w:w w:val="110"/>
        </w:rPr>
        <w:t xml:space="preserve">the Maven or Gradle plugin can be customized in a number of ways. </w:t>
      </w:r>
      <w:r>
        <w:rPr>
          <w:color w:val="333333"/>
          <w:spacing w:val="-4"/>
          <w:w w:val="110"/>
        </w:rPr>
        <w:t xml:space="preserve">For </w:t>
      </w:r>
      <w:r>
        <w:rPr>
          <w:color w:val="333333"/>
          <w:w w:val="110"/>
        </w:rPr>
        <w:t xml:space="preserve">most people, using the default script along with </w:t>
      </w:r>
      <w:proofErr w:type="gramStart"/>
      <w:r>
        <w:rPr>
          <w:color w:val="333333"/>
          <w:w w:val="110"/>
        </w:rPr>
        <w:t>a  few</w:t>
      </w:r>
      <w:proofErr w:type="gramEnd"/>
      <w:r>
        <w:rPr>
          <w:color w:val="333333"/>
          <w:w w:val="110"/>
        </w:rPr>
        <w:t xml:space="preserve">  customizations  is  usually enough. If you find you cannot customize something that you need to, use the </w:t>
      </w:r>
      <w:r>
        <w:rPr>
          <w:rFonts w:ascii="MS Gothic"/>
          <w:color w:val="B02045"/>
          <w:w w:val="110"/>
        </w:rPr>
        <w:t>embeddedLaunchScript</w:t>
      </w:r>
      <w:r>
        <w:rPr>
          <w:rFonts w:ascii="MS Gothic"/>
          <w:color w:val="B02045"/>
          <w:spacing w:val="-59"/>
          <w:w w:val="110"/>
        </w:rPr>
        <w:t xml:space="preserve"> </w:t>
      </w:r>
      <w:r>
        <w:rPr>
          <w:color w:val="333333"/>
          <w:w w:val="110"/>
        </w:rPr>
        <w:t xml:space="preserve">option to write your own file </w:t>
      </w:r>
      <w:r>
        <w:rPr>
          <w:color w:val="333333"/>
          <w:spacing w:val="-3"/>
          <w:w w:val="110"/>
        </w:rPr>
        <w:t>entirely.</w:t>
      </w:r>
    </w:p>
    <w:p w14:paraId="776E0E11" w14:textId="77777777" w:rsidR="00A720EB" w:rsidRDefault="00A720EB">
      <w:pPr>
        <w:pStyle w:val="a3"/>
        <w:spacing w:before="1"/>
        <w:rPr>
          <w:sz w:val="24"/>
        </w:rPr>
      </w:pPr>
    </w:p>
    <w:p w14:paraId="541E8D19" w14:textId="77777777" w:rsidR="00A720EB" w:rsidRDefault="0030286B">
      <w:pPr>
        <w:ind w:left="124"/>
        <w:jc w:val="both"/>
        <w:rPr>
          <w:rFonts w:ascii="Palatino Linotype"/>
          <w:b/>
          <w:sz w:val="18"/>
        </w:rPr>
      </w:pPr>
      <w:r>
        <w:rPr>
          <w:rFonts w:ascii="Palatino Linotype"/>
          <w:b/>
          <w:color w:val="333333"/>
          <w:w w:val="110"/>
          <w:sz w:val="18"/>
        </w:rPr>
        <w:t>Customizing the Start Script when It Is Written</w:t>
      </w:r>
    </w:p>
    <w:p w14:paraId="3317D9B7" w14:textId="77777777" w:rsidR="00A720EB" w:rsidRDefault="00A720EB">
      <w:pPr>
        <w:pStyle w:val="a3"/>
        <w:spacing w:before="11"/>
        <w:rPr>
          <w:rFonts w:ascii="Palatino Linotype"/>
          <w:b/>
          <w:sz w:val="18"/>
        </w:rPr>
      </w:pPr>
    </w:p>
    <w:p w14:paraId="35080EF5" w14:textId="77777777" w:rsidR="00A720EB" w:rsidRDefault="0030286B">
      <w:pPr>
        <w:pStyle w:val="a3"/>
        <w:spacing w:before="1" w:line="307" w:lineRule="auto"/>
        <w:ind w:left="124" w:right="128"/>
        <w:jc w:val="both"/>
      </w:pPr>
      <w:r>
        <w:rPr>
          <w:color w:val="333333"/>
          <w:w w:val="110"/>
        </w:rPr>
        <w:t xml:space="preserve">It often makes sense to customize elements of the start script as it is written into the jar file. For example, </w:t>
      </w:r>
      <w:proofErr w:type="gramStart"/>
      <w:r>
        <w:rPr>
          <w:color w:val="333333"/>
          <w:w w:val="110"/>
        </w:rPr>
        <w:t>init.d</w:t>
      </w:r>
      <w:proofErr w:type="gramEnd"/>
      <w:r>
        <w:rPr>
          <w:color w:val="333333"/>
          <w:w w:val="110"/>
        </w:rPr>
        <w:t xml:space="preserve"> scripts can provide a “description”. Since you know the description up front (and it need not change), you may as well provide it when the jar is generated.</w:t>
      </w:r>
    </w:p>
    <w:p w14:paraId="11329FCE" w14:textId="77777777" w:rsidR="00A720EB" w:rsidRDefault="0030286B">
      <w:pPr>
        <w:pStyle w:val="a3"/>
        <w:spacing w:before="231" w:line="280" w:lineRule="auto"/>
        <w:ind w:left="124" w:right="124"/>
        <w:jc w:val="both"/>
      </w:pPr>
      <w:r>
        <w:rPr>
          <w:color w:val="333333"/>
          <w:spacing w:val="-4"/>
          <w:w w:val="110"/>
        </w:rPr>
        <w:t xml:space="preserve">To </w:t>
      </w:r>
      <w:r>
        <w:rPr>
          <w:color w:val="333333"/>
          <w:w w:val="110"/>
        </w:rPr>
        <w:t xml:space="preserve">customize written elements, use the </w:t>
      </w:r>
      <w:r>
        <w:rPr>
          <w:rFonts w:ascii="MS Gothic" w:hAnsi="MS Gothic"/>
          <w:color w:val="B02045"/>
          <w:w w:val="110"/>
        </w:rPr>
        <w:t xml:space="preserve">embeddedLaunchScriptProperties </w:t>
      </w:r>
      <w:r>
        <w:rPr>
          <w:color w:val="333333"/>
          <w:w w:val="110"/>
        </w:rPr>
        <w:t xml:space="preserve">option of the Spring Boot Maven plugin or the </w:t>
      </w:r>
      <w:hyperlink r:id="rId558" w:anchor="packaging-executable-configuring-launch-script">
        <w:r>
          <w:rPr>
            <w:rFonts w:ascii="MS Gothic" w:hAnsi="MS Gothic"/>
            <w:color w:val="B02045"/>
            <w:w w:val="110"/>
          </w:rPr>
          <w:t>properties</w:t>
        </w:r>
        <w:r>
          <w:rPr>
            <w:rFonts w:ascii="MS Gothic" w:hAnsi="MS Gothic"/>
            <w:color w:val="B02045"/>
            <w:spacing w:val="-85"/>
            <w:w w:val="110"/>
          </w:rPr>
          <w:t xml:space="preserve"> </w:t>
        </w:r>
      </w:hyperlink>
      <w:hyperlink r:id="rId559" w:anchor="packaging-executable-configuring-launch-script">
        <w:r>
          <w:rPr>
            <w:color w:val="418BCA"/>
            <w:w w:val="110"/>
          </w:rPr>
          <w:t xml:space="preserve">property of the Spring Boot Gradle plugin’s </w:t>
        </w:r>
      </w:hyperlink>
      <w:hyperlink r:id="rId560" w:anchor="packaging-executable-configuring-launch-script">
        <w:r>
          <w:rPr>
            <w:rFonts w:ascii="MS Gothic" w:hAnsi="MS Gothic"/>
            <w:color w:val="B02045"/>
            <w:w w:val="110"/>
          </w:rPr>
          <w:t>launchScript</w:t>
        </w:r>
      </w:hyperlink>
      <w:r>
        <w:rPr>
          <w:color w:val="333333"/>
          <w:w w:val="110"/>
        </w:rPr>
        <w:t>.</w:t>
      </w:r>
    </w:p>
    <w:p w14:paraId="5E294A4C" w14:textId="77777777" w:rsidR="00A720EB" w:rsidRDefault="0030286B">
      <w:pPr>
        <w:pStyle w:val="a3"/>
        <w:spacing w:before="252"/>
        <w:ind w:left="124"/>
        <w:jc w:val="both"/>
      </w:pPr>
      <w:r>
        <w:rPr>
          <w:color w:val="333333"/>
          <w:w w:val="110"/>
        </w:rPr>
        <w:t>The following property substitutions are supported with the default script:</w:t>
      </w:r>
    </w:p>
    <w:p w14:paraId="711422BE" w14:textId="77777777" w:rsidR="00A720EB" w:rsidRDefault="00A720EB">
      <w:pPr>
        <w:jc w:val="both"/>
        <w:sectPr w:rsidR="00A720EB">
          <w:pgSz w:w="11910" w:h="16840"/>
          <w:pgMar w:top="70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998"/>
        <w:gridCol w:w="2993"/>
        <w:gridCol w:w="480"/>
        <w:gridCol w:w="236"/>
        <w:gridCol w:w="263"/>
        <w:gridCol w:w="2146"/>
        <w:gridCol w:w="481"/>
        <w:gridCol w:w="236"/>
        <w:gridCol w:w="264"/>
        <w:gridCol w:w="2147"/>
      </w:tblGrid>
      <w:tr w:rsidR="00A720EB" w14:paraId="5F6BA6C2" w14:textId="77777777">
        <w:trPr>
          <w:trHeight w:val="415"/>
        </w:trPr>
        <w:tc>
          <w:tcPr>
            <w:tcW w:w="998" w:type="dxa"/>
            <w:tcBorders>
              <w:bottom w:val="single" w:sz="12" w:space="0" w:color="DDDDDD"/>
            </w:tcBorders>
          </w:tcPr>
          <w:p w14:paraId="2C85CAC3"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2993" w:type="dxa"/>
            <w:tcBorders>
              <w:bottom w:val="single" w:sz="12" w:space="0" w:color="DDDDDD"/>
            </w:tcBorders>
          </w:tcPr>
          <w:p w14:paraId="23C05882" w14:textId="77777777" w:rsidR="00A720EB" w:rsidRDefault="0030286B">
            <w:pPr>
              <w:pStyle w:val="TableParagraph"/>
              <w:spacing w:before="71"/>
              <w:ind w:left="59"/>
              <w:rPr>
                <w:rFonts w:ascii="Palatino Linotype"/>
                <w:b/>
                <w:sz w:val="21"/>
              </w:rPr>
            </w:pPr>
            <w:r>
              <w:rPr>
                <w:rFonts w:ascii="Palatino Linotype"/>
                <w:b/>
                <w:color w:val="333333"/>
                <w:w w:val="110"/>
                <w:sz w:val="21"/>
              </w:rPr>
              <w:t>Description</w:t>
            </w:r>
          </w:p>
        </w:tc>
        <w:tc>
          <w:tcPr>
            <w:tcW w:w="2994" w:type="dxa"/>
            <w:gridSpan w:val="4"/>
            <w:tcBorders>
              <w:bottom w:val="single" w:sz="12" w:space="0" w:color="DDDDDD"/>
            </w:tcBorders>
          </w:tcPr>
          <w:p w14:paraId="25103983" w14:textId="77777777" w:rsidR="00A720EB" w:rsidRDefault="0030286B">
            <w:pPr>
              <w:pStyle w:val="TableParagraph"/>
              <w:spacing w:before="71"/>
              <w:ind w:left="59"/>
              <w:rPr>
                <w:rFonts w:ascii="Palatino Linotype"/>
                <w:b/>
                <w:sz w:val="21"/>
              </w:rPr>
            </w:pPr>
            <w:r>
              <w:rPr>
                <w:rFonts w:ascii="Palatino Linotype"/>
                <w:b/>
                <w:color w:val="333333"/>
                <w:w w:val="110"/>
                <w:sz w:val="21"/>
              </w:rPr>
              <w:t>Gradle default</w:t>
            </w:r>
          </w:p>
        </w:tc>
        <w:tc>
          <w:tcPr>
            <w:tcW w:w="2998" w:type="dxa"/>
            <w:gridSpan w:val="4"/>
            <w:tcBorders>
              <w:bottom w:val="single" w:sz="12" w:space="0" w:color="DDDDDD"/>
            </w:tcBorders>
          </w:tcPr>
          <w:p w14:paraId="7A7B1899" w14:textId="77777777" w:rsidR="00A720EB" w:rsidRDefault="0030286B">
            <w:pPr>
              <w:pStyle w:val="TableParagraph"/>
              <w:spacing w:before="71"/>
              <w:ind w:left="58"/>
              <w:rPr>
                <w:rFonts w:ascii="Palatino Linotype"/>
                <w:b/>
                <w:sz w:val="21"/>
              </w:rPr>
            </w:pPr>
            <w:r>
              <w:rPr>
                <w:rFonts w:ascii="Palatino Linotype"/>
                <w:b/>
                <w:color w:val="333333"/>
                <w:w w:val="110"/>
                <w:sz w:val="21"/>
              </w:rPr>
              <w:t>Maven default</w:t>
            </w:r>
          </w:p>
        </w:tc>
      </w:tr>
      <w:tr w:rsidR="00A720EB" w14:paraId="269651BE" w14:textId="77777777">
        <w:trPr>
          <w:trHeight w:val="415"/>
        </w:trPr>
        <w:tc>
          <w:tcPr>
            <w:tcW w:w="998" w:type="dxa"/>
            <w:tcBorders>
              <w:top w:val="single" w:sz="12" w:space="0" w:color="DDDDDD"/>
            </w:tcBorders>
          </w:tcPr>
          <w:p w14:paraId="3FE94003" w14:textId="77777777" w:rsidR="00A720EB" w:rsidRDefault="0030286B">
            <w:pPr>
              <w:pStyle w:val="TableParagraph"/>
              <w:spacing w:before="27"/>
              <w:rPr>
                <w:sz w:val="21"/>
              </w:rPr>
            </w:pPr>
            <w:r>
              <w:rPr>
                <w:color w:val="B02045"/>
                <w:sz w:val="21"/>
              </w:rPr>
              <w:t>mode</w:t>
            </w:r>
          </w:p>
        </w:tc>
        <w:tc>
          <w:tcPr>
            <w:tcW w:w="2993" w:type="dxa"/>
            <w:tcBorders>
              <w:top w:val="single" w:sz="12" w:space="0" w:color="DDDDDD"/>
            </w:tcBorders>
          </w:tcPr>
          <w:p w14:paraId="72497D44" w14:textId="77777777" w:rsidR="00A720EB" w:rsidRDefault="0030286B">
            <w:pPr>
              <w:pStyle w:val="TableParagraph"/>
              <w:spacing w:before="82"/>
              <w:ind w:left="59"/>
              <w:rPr>
                <w:rFonts w:ascii="Cambria"/>
                <w:sz w:val="21"/>
              </w:rPr>
            </w:pPr>
            <w:r>
              <w:rPr>
                <w:rFonts w:ascii="Cambria"/>
                <w:color w:val="333333"/>
                <w:w w:val="110"/>
                <w:sz w:val="21"/>
              </w:rPr>
              <w:t>The script mode.</w:t>
            </w:r>
          </w:p>
        </w:tc>
        <w:tc>
          <w:tcPr>
            <w:tcW w:w="2994" w:type="dxa"/>
            <w:gridSpan w:val="4"/>
            <w:tcBorders>
              <w:top w:val="single" w:sz="12" w:space="0" w:color="DDDDDD"/>
            </w:tcBorders>
          </w:tcPr>
          <w:p w14:paraId="0857932A" w14:textId="77777777" w:rsidR="00A720EB" w:rsidRDefault="0030286B">
            <w:pPr>
              <w:pStyle w:val="TableParagraph"/>
              <w:spacing w:before="27"/>
              <w:ind w:left="59"/>
              <w:rPr>
                <w:sz w:val="21"/>
              </w:rPr>
            </w:pPr>
            <w:r>
              <w:rPr>
                <w:color w:val="B02045"/>
                <w:sz w:val="21"/>
              </w:rPr>
              <w:t>auto</w:t>
            </w:r>
          </w:p>
        </w:tc>
        <w:tc>
          <w:tcPr>
            <w:tcW w:w="2998" w:type="dxa"/>
            <w:gridSpan w:val="4"/>
            <w:tcBorders>
              <w:top w:val="single" w:sz="12" w:space="0" w:color="DDDDDD"/>
            </w:tcBorders>
          </w:tcPr>
          <w:p w14:paraId="22B576AB" w14:textId="77777777" w:rsidR="00A720EB" w:rsidRDefault="0030286B">
            <w:pPr>
              <w:pStyle w:val="TableParagraph"/>
              <w:spacing w:before="27"/>
              <w:ind w:left="58"/>
              <w:rPr>
                <w:sz w:val="21"/>
              </w:rPr>
            </w:pPr>
            <w:r>
              <w:rPr>
                <w:color w:val="B02045"/>
                <w:sz w:val="21"/>
              </w:rPr>
              <w:t>auto</w:t>
            </w:r>
          </w:p>
        </w:tc>
      </w:tr>
      <w:tr w:rsidR="00A720EB" w14:paraId="21BD2E4C" w14:textId="77777777">
        <w:trPr>
          <w:trHeight w:val="741"/>
        </w:trPr>
        <w:tc>
          <w:tcPr>
            <w:tcW w:w="998" w:type="dxa"/>
          </w:tcPr>
          <w:p w14:paraId="6FCAB4C5" w14:textId="77777777" w:rsidR="00A720EB" w:rsidRDefault="0030286B">
            <w:pPr>
              <w:pStyle w:val="TableParagraph"/>
              <w:spacing w:before="46" w:line="230" w:lineRule="auto"/>
              <w:ind w:right="68"/>
              <w:rPr>
                <w:sz w:val="21"/>
              </w:rPr>
            </w:pPr>
            <w:r>
              <w:rPr>
                <w:color w:val="B02045"/>
                <w:sz w:val="21"/>
              </w:rPr>
              <w:t>initInfo Provides</w:t>
            </w:r>
          </w:p>
        </w:tc>
        <w:tc>
          <w:tcPr>
            <w:tcW w:w="2993" w:type="dxa"/>
          </w:tcPr>
          <w:p w14:paraId="4E85E619" w14:textId="77777777" w:rsidR="00A720EB" w:rsidRDefault="0030286B">
            <w:pPr>
              <w:pStyle w:val="TableParagraph"/>
              <w:spacing w:before="81" w:line="290" w:lineRule="auto"/>
              <w:ind w:left="59" w:right="-15"/>
              <w:rPr>
                <w:rFonts w:ascii="Cambria" w:hAnsi="Cambria"/>
                <w:sz w:val="21"/>
              </w:rPr>
            </w:pPr>
            <w:r>
              <w:rPr>
                <w:rFonts w:ascii="Cambria" w:hAnsi="Cambria"/>
                <w:color w:val="333333"/>
                <w:w w:val="110"/>
                <w:sz w:val="21"/>
              </w:rPr>
              <w:t xml:space="preserve">The </w:t>
            </w:r>
            <w:r>
              <w:rPr>
                <w:color w:val="B02045"/>
                <w:w w:val="110"/>
                <w:sz w:val="21"/>
              </w:rPr>
              <w:t>Provides</w:t>
            </w:r>
            <w:r>
              <w:rPr>
                <w:color w:val="B02045"/>
                <w:spacing w:val="-82"/>
                <w:w w:val="110"/>
                <w:sz w:val="21"/>
              </w:rPr>
              <w:t xml:space="preserve"> </w:t>
            </w:r>
            <w:r>
              <w:rPr>
                <w:rFonts w:ascii="Cambria" w:hAnsi="Cambria"/>
                <w:color w:val="333333"/>
                <w:w w:val="110"/>
                <w:sz w:val="21"/>
              </w:rPr>
              <w:t>section of “INIT INFO”</w:t>
            </w:r>
          </w:p>
        </w:tc>
        <w:tc>
          <w:tcPr>
            <w:tcW w:w="2994" w:type="dxa"/>
            <w:gridSpan w:val="4"/>
          </w:tcPr>
          <w:p w14:paraId="01D922BB" w14:textId="77777777" w:rsidR="00A720EB" w:rsidRDefault="0030286B">
            <w:pPr>
              <w:pStyle w:val="TableParagraph"/>
              <w:ind w:left="59"/>
              <w:rPr>
                <w:sz w:val="21"/>
              </w:rPr>
            </w:pPr>
            <w:r>
              <w:rPr>
                <w:color w:val="B02045"/>
                <w:sz w:val="21"/>
              </w:rPr>
              <w:t>${</w:t>
            </w:r>
            <w:proofErr w:type="gramStart"/>
            <w:r>
              <w:rPr>
                <w:color w:val="B02045"/>
                <w:sz w:val="21"/>
              </w:rPr>
              <w:t>task.baseName</w:t>
            </w:r>
            <w:proofErr w:type="gramEnd"/>
            <w:r>
              <w:rPr>
                <w:color w:val="B02045"/>
                <w:sz w:val="21"/>
              </w:rPr>
              <w:t>}</w:t>
            </w:r>
          </w:p>
        </w:tc>
        <w:tc>
          <w:tcPr>
            <w:tcW w:w="2998" w:type="dxa"/>
            <w:gridSpan w:val="4"/>
          </w:tcPr>
          <w:p w14:paraId="021604A7" w14:textId="77777777" w:rsidR="00A720EB" w:rsidRDefault="0030286B">
            <w:pPr>
              <w:pStyle w:val="TableParagraph"/>
              <w:ind w:left="58"/>
              <w:rPr>
                <w:sz w:val="21"/>
              </w:rPr>
            </w:pPr>
            <w:r>
              <w:rPr>
                <w:color w:val="B02045"/>
                <w:sz w:val="21"/>
              </w:rPr>
              <w:t>${</w:t>
            </w:r>
            <w:proofErr w:type="gramStart"/>
            <w:r>
              <w:rPr>
                <w:color w:val="B02045"/>
                <w:sz w:val="21"/>
              </w:rPr>
              <w:t>project.artifactId</w:t>
            </w:r>
            <w:proofErr w:type="gramEnd"/>
            <w:r>
              <w:rPr>
                <w:color w:val="B02045"/>
                <w:sz w:val="21"/>
              </w:rPr>
              <w:t>}</w:t>
            </w:r>
          </w:p>
        </w:tc>
      </w:tr>
      <w:tr w:rsidR="00A720EB" w14:paraId="642F48DA" w14:textId="77777777">
        <w:trPr>
          <w:trHeight w:val="886"/>
        </w:trPr>
        <w:tc>
          <w:tcPr>
            <w:tcW w:w="998" w:type="dxa"/>
          </w:tcPr>
          <w:p w14:paraId="71A5E9DA" w14:textId="77777777" w:rsidR="00A720EB" w:rsidRDefault="0030286B">
            <w:pPr>
              <w:pStyle w:val="TableParagraph"/>
              <w:spacing w:before="46" w:line="230" w:lineRule="auto"/>
              <w:ind w:right="87"/>
              <w:jc w:val="both"/>
              <w:rPr>
                <w:sz w:val="21"/>
              </w:rPr>
            </w:pPr>
            <w:r>
              <w:rPr>
                <w:color w:val="B02045"/>
                <w:sz w:val="21"/>
              </w:rPr>
              <w:t>initInfo Required Start</w:t>
            </w:r>
          </w:p>
        </w:tc>
        <w:tc>
          <w:tcPr>
            <w:tcW w:w="2993" w:type="dxa"/>
          </w:tcPr>
          <w:p w14:paraId="05093700" w14:textId="77777777" w:rsidR="00A720EB" w:rsidRDefault="0030286B">
            <w:pPr>
              <w:pStyle w:val="TableParagraph"/>
              <w:spacing w:before="81" w:line="290" w:lineRule="auto"/>
              <w:ind w:left="59" w:right="424"/>
              <w:rPr>
                <w:rFonts w:ascii="Cambria" w:hAnsi="Cambria"/>
                <w:sz w:val="21"/>
              </w:rPr>
            </w:pPr>
            <w:r>
              <w:rPr>
                <w:color w:val="B02045"/>
                <w:w w:val="105"/>
                <w:sz w:val="21"/>
              </w:rPr>
              <w:t>Required-Start</w:t>
            </w:r>
            <w:r>
              <w:rPr>
                <w:color w:val="B02045"/>
                <w:spacing w:val="-82"/>
                <w:w w:val="105"/>
                <w:sz w:val="21"/>
              </w:rPr>
              <w:t xml:space="preserve"> </w:t>
            </w:r>
            <w:r>
              <w:rPr>
                <w:rFonts w:ascii="Cambria" w:hAnsi="Cambria"/>
                <w:color w:val="333333"/>
                <w:w w:val="105"/>
                <w:sz w:val="21"/>
              </w:rPr>
              <w:t xml:space="preserve">section of </w:t>
            </w:r>
            <w:r>
              <w:rPr>
                <w:rFonts w:ascii="Cambria" w:hAnsi="Cambria"/>
                <w:color w:val="333333"/>
                <w:w w:val="110"/>
                <w:sz w:val="21"/>
              </w:rPr>
              <w:t>“INIT INFO”.</w:t>
            </w:r>
          </w:p>
        </w:tc>
        <w:tc>
          <w:tcPr>
            <w:tcW w:w="2994" w:type="dxa"/>
            <w:gridSpan w:val="4"/>
          </w:tcPr>
          <w:p w14:paraId="4D8FB691" w14:textId="77777777" w:rsidR="00A720EB" w:rsidRDefault="0030286B">
            <w:pPr>
              <w:pStyle w:val="TableParagraph"/>
              <w:ind w:left="59"/>
              <w:rPr>
                <w:sz w:val="21"/>
              </w:rPr>
            </w:pPr>
            <w:r>
              <w:rPr>
                <w:color w:val="B02045"/>
                <w:sz w:val="21"/>
              </w:rPr>
              <w:t>$remote_fs $syslog $network</w:t>
            </w:r>
          </w:p>
        </w:tc>
        <w:tc>
          <w:tcPr>
            <w:tcW w:w="2998" w:type="dxa"/>
            <w:gridSpan w:val="4"/>
          </w:tcPr>
          <w:p w14:paraId="1D5BC207" w14:textId="77777777" w:rsidR="00A720EB" w:rsidRDefault="0030286B">
            <w:pPr>
              <w:pStyle w:val="TableParagraph"/>
              <w:ind w:left="58"/>
              <w:rPr>
                <w:sz w:val="21"/>
              </w:rPr>
            </w:pPr>
            <w:r>
              <w:rPr>
                <w:color w:val="B02045"/>
                <w:sz w:val="21"/>
              </w:rPr>
              <w:t>$remote_fs $syslog $network</w:t>
            </w:r>
          </w:p>
        </w:tc>
      </w:tr>
      <w:tr w:rsidR="00A720EB" w14:paraId="7F2E171B" w14:textId="77777777">
        <w:trPr>
          <w:trHeight w:val="886"/>
        </w:trPr>
        <w:tc>
          <w:tcPr>
            <w:tcW w:w="998" w:type="dxa"/>
          </w:tcPr>
          <w:p w14:paraId="050AC9E3" w14:textId="77777777" w:rsidR="00A720EB" w:rsidRDefault="0030286B">
            <w:pPr>
              <w:pStyle w:val="TableParagraph"/>
              <w:spacing w:before="46" w:line="230" w:lineRule="auto"/>
              <w:ind w:right="87"/>
              <w:jc w:val="both"/>
              <w:rPr>
                <w:sz w:val="21"/>
              </w:rPr>
            </w:pPr>
            <w:r>
              <w:rPr>
                <w:color w:val="B02045"/>
                <w:sz w:val="21"/>
              </w:rPr>
              <w:t>initInfo Required Stop</w:t>
            </w:r>
          </w:p>
        </w:tc>
        <w:tc>
          <w:tcPr>
            <w:tcW w:w="2993" w:type="dxa"/>
          </w:tcPr>
          <w:p w14:paraId="09EFB228" w14:textId="77777777" w:rsidR="00A720EB" w:rsidRDefault="0030286B">
            <w:pPr>
              <w:pStyle w:val="TableParagraph"/>
              <w:spacing w:before="81" w:line="290" w:lineRule="auto"/>
              <w:ind w:left="59" w:right="529"/>
              <w:rPr>
                <w:rFonts w:ascii="Cambria" w:hAnsi="Cambria"/>
                <w:sz w:val="21"/>
              </w:rPr>
            </w:pPr>
            <w:r>
              <w:rPr>
                <w:color w:val="B02045"/>
                <w:w w:val="105"/>
                <w:sz w:val="21"/>
              </w:rPr>
              <w:t>Required-Stop</w:t>
            </w:r>
            <w:r>
              <w:rPr>
                <w:color w:val="B02045"/>
                <w:spacing w:val="-77"/>
                <w:w w:val="105"/>
                <w:sz w:val="21"/>
              </w:rPr>
              <w:t xml:space="preserve"> </w:t>
            </w:r>
            <w:r>
              <w:rPr>
                <w:rFonts w:ascii="Cambria" w:hAnsi="Cambria"/>
                <w:color w:val="333333"/>
                <w:w w:val="105"/>
                <w:sz w:val="21"/>
              </w:rPr>
              <w:t xml:space="preserve">section of </w:t>
            </w:r>
            <w:r>
              <w:rPr>
                <w:rFonts w:ascii="Cambria" w:hAnsi="Cambria"/>
                <w:color w:val="333333"/>
                <w:w w:val="110"/>
                <w:sz w:val="21"/>
              </w:rPr>
              <w:t>“INIT INFO”.</w:t>
            </w:r>
          </w:p>
        </w:tc>
        <w:tc>
          <w:tcPr>
            <w:tcW w:w="2994" w:type="dxa"/>
            <w:gridSpan w:val="4"/>
          </w:tcPr>
          <w:p w14:paraId="4B924DD8" w14:textId="77777777" w:rsidR="00A720EB" w:rsidRDefault="0030286B">
            <w:pPr>
              <w:pStyle w:val="TableParagraph"/>
              <w:spacing w:before="37"/>
              <w:ind w:left="59"/>
              <w:rPr>
                <w:sz w:val="21"/>
              </w:rPr>
            </w:pPr>
            <w:r>
              <w:rPr>
                <w:color w:val="B02045"/>
                <w:sz w:val="21"/>
              </w:rPr>
              <w:t>$remote_fs $syslog $network</w:t>
            </w:r>
          </w:p>
        </w:tc>
        <w:tc>
          <w:tcPr>
            <w:tcW w:w="2998" w:type="dxa"/>
            <w:gridSpan w:val="4"/>
          </w:tcPr>
          <w:p w14:paraId="46C142D7" w14:textId="77777777" w:rsidR="00A720EB" w:rsidRDefault="0030286B">
            <w:pPr>
              <w:pStyle w:val="TableParagraph"/>
              <w:spacing w:before="37"/>
              <w:ind w:left="58"/>
              <w:rPr>
                <w:sz w:val="21"/>
              </w:rPr>
            </w:pPr>
            <w:r>
              <w:rPr>
                <w:color w:val="B02045"/>
                <w:sz w:val="21"/>
              </w:rPr>
              <w:t>$remote_fs $syslog $network</w:t>
            </w:r>
          </w:p>
        </w:tc>
      </w:tr>
      <w:tr w:rsidR="00A720EB" w14:paraId="23101450" w14:textId="77777777">
        <w:trPr>
          <w:trHeight w:val="886"/>
        </w:trPr>
        <w:tc>
          <w:tcPr>
            <w:tcW w:w="998" w:type="dxa"/>
          </w:tcPr>
          <w:p w14:paraId="26396151" w14:textId="77777777" w:rsidR="00A720EB" w:rsidRDefault="0030286B">
            <w:pPr>
              <w:pStyle w:val="TableParagraph"/>
              <w:spacing w:before="46" w:line="230" w:lineRule="auto"/>
              <w:ind w:right="87"/>
              <w:jc w:val="both"/>
              <w:rPr>
                <w:sz w:val="21"/>
              </w:rPr>
            </w:pPr>
            <w:r>
              <w:rPr>
                <w:color w:val="B02045"/>
                <w:sz w:val="21"/>
              </w:rPr>
              <w:t>initInfo DefaultS tart</w:t>
            </w:r>
          </w:p>
        </w:tc>
        <w:tc>
          <w:tcPr>
            <w:tcW w:w="2993" w:type="dxa"/>
          </w:tcPr>
          <w:p w14:paraId="025739AB" w14:textId="77777777" w:rsidR="00A720EB" w:rsidRDefault="0030286B">
            <w:pPr>
              <w:pStyle w:val="TableParagraph"/>
              <w:spacing w:before="81" w:line="290" w:lineRule="auto"/>
              <w:ind w:left="59" w:right="529"/>
              <w:rPr>
                <w:rFonts w:ascii="Cambria" w:hAnsi="Cambria"/>
                <w:sz w:val="21"/>
              </w:rPr>
            </w:pPr>
            <w:r>
              <w:rPr>
                <w:color w:val="B02045"/>
                <w:w w:val="105"/>
                <w:sz w:val="21"/>
              </w:rPr>
              <w:t>Default-Start</w:t>
            </w:r>
            <w:r>
              <w:rPr>
                <w:color w:val="B02045"/>
                <w:spacing w:val="-77"/>
                <w:w w:val="105"/>
                <w:sz w:val="21"/>
              </w:rPr>
              <w:t xml:space="preserve"> </w:t>
            </w:r>
            <w:r>
              <w:rPr>
                <w:rFonts w:ascii="Cambria" w:hAnsi="Cambria"/>
                <w:color w:val="333333"/>
                <w:w w:val="105"/>
                <w:sz w:val="21"/>
              </w:rPr>
              <w:t xml:space="preserve">section of </w:t>
            </w:r>
            <w:r>
              <w:rPr>
                <w:rFonts w:ascii="Cambria" w:hAnsi="Cambria"/>
                <w:color w:val="333333"/>
                <w:w w:val="110"/>
                <w:sz w:val="21"/>
              </w:rPr>
              <w:t>“INIT INFO”.</w:t>
            </w:r>
          </w:p>
        </w:tc>
        <w:tc>
          <w:tcPr>
            <w:tcW w:w="2994" w:type="dxa"/>
            <w:gridSpan w:val="4"/>
          </w:tcPr>
          <w:p w14:paraId="674C1568" w14:textId="77777777" w:rsidR="00A720EB" w:rsidRDefault="0030286B">
            <w:pPr>
              <w:pStyle w:val="TableParagraph"/>
              <w:spacing w:before="37"/>
              <w:ind w:left="59"/>
              <w:rPr>
                <w:sz w:val="21"/>
              </w:rPr>
            </w:pPr>
            <w:r>
              <w:rPr>
                <w:color w:val="B02045"/>
                <w:sz w:val="21"/>
              </w:rPr>
              <w:t>2 3 4 5</w:t>
            </w:r>
          </w:p>
        </w:tc>
        <w:tc>
          <w:tcPr>
            <w:tcW w:w="2998" w:type="dxa"/>
            <w:gridSpan w:val="4"/>
          </w:tcPr>
          <w:p w14:paraId="6CDE3124" w14:textId="77777777" w:rsidR="00A720EB" w:rsidRDefault="0030286B">
            <w:pPr>
              <w:pStyle w:val="TableParagraph"/>
              <w:spacing w:before="37"/>
              <w:ind w:left="58"/>
              <w:rPr>
                <w:sz w:val="21"/>
              </w:rPr>
            </w:pPr>
            <w:r>
              <w:rPr>
                <w:color w:val="B02045"/>
                <w:sz w:val="21"/>
              </w:rPr>
              <w:t>2 3 4 5</w:t>
            </w:r>
          </w:p>
        </w:tc>
      </w:tr>
      <w:tr w:rsidR="00A720EB" w14:paraId="14128E54" w14:textId="77777777">
        <w:trPr>
          <w:trHeight w:val="886"/>
        </w:trPr>
        <w:tc>
          <w:tcPr>
            <w:tcW w:w="998" w:type="dxa"/>
          </w:tcPr>
          <w:p w14:paraId="3AE7F9A2" w14:textId="77777777" w:rsidR="00A720EB" w:rsidRDefault="0030286B">
            <w:pPr>
              <w:pStyle w:val="TableParagraph"/>
              <w:spacing w:before="46" w:line="230" w:lineRule="auto"/>
              <w:ind w:right="87"/>
              <w:jc w:val="both"/>
              <w:rPr>
                <w:sz w:val="21"/>
              </w:rPr>
            </w:pPr>
            <w:r>
              <w:rPr>
                <w:color w:val="B02045"/>
                <w:sz w:val="21"/>
              </w:rPr>
              <w:t>initInfo DefaultS top</w:t>
            </w:r>
          </w:p>
        </w:tc>
        <w:tc>
          <w:tcPr>
            <w:tcW w:w="2993" w:type="dxa"/>
          </w:tcPr>
          <w:p w14:paraId="70609B02" w14:textId="77777777" w:rsidR="00A720EB" w:rsidRDefault="0030286B">
            <w:pPr>
              <w:pStyle w:val="TableParagraph"/>
              <w:spacing w:before="81" w:line="290" w:lineRule="auto"/>
              <w:ind w:left="59" w:right="7"/>
              <w:rPr>
                <w:rFonts w:ascii="Cambria" w:hAnsi="Cambria"/>
                <w:sz w:val="21"/>
              </w:rPr>
            </w:pPr>
            <w:r>
              <w:rPr>
                <w:color w:val="B02045"/>
                <w:w w:val="105"/>
                <w:sz w:val="21"/>
              </w:rPr>
              <w:t xml:space="preserve">Default-Stop </w:t>
            </w:r>
            <w:r>
              <w:rPr>
                <w:rFonts w:ascii="Cambria" w:hAnsi="Cambria"/>
                <w:color w:val="333333"/>
                <w:w w:val="105"/>
                <w:sz w:val="21"/>
              </w:rPr>
              <w:t xml:space="preserve">section of “INIT </w:t>
            </w:r>
            <w:r>
              <w:rPr>
                <w:rFonts w:ascii="Cambria" w:hAnsi="Cambria"/>
                <w:color w:val="333333"/>
                <w:w w:val="110"/>
                <w:sz w:val="21"/>
              </w:rPr>
              <w:t>INFO”.</w:t>
            </w:r>
          </w:p>
        </w:tc>
        <w:tc>
          <w:tcPr>
            <w:tcW w:w="2994" w:type="dxa"/>
            <w:gridSpan w:val="4"/>
          </w:tcPr>
          <w:p w14:paraId="45278FCA" w14:textId="77777777" w:rsidR="00A720EB" w:rsidRDefault="0030286B">
            <w:pPr>
              <w:pStyle w:val="TableParagraph"/>
              <w:ind w:left="59"/>
              <w:rPr>
                <w:sz w:val="21"/>
              </w:rPr>
            </w:pPr>
            <w:r>
              <w:rPr>
                <w:color w:val="B02045"/>
                <w:sz w:val="21"/>
              </w:rPr>
              <w:t>0 1 6</w:t>
            </w:r>
          </w:p>
        </w:tc>
        <w:tc>
          <w:tcPr>
            <w:tcW w:w="2998" w:type="dxa"/>
            <w:gridSpan w:val="4"/>
          </w:tcPr>
          <w:p w14:paraId="19C42029" w14:textId="77777777" w:rsidR="00A720EB" w:rsidRDefault="0030286B">
            <w:pPr>
              <w:pStyle w:val="TableParagraph"/>
              <w:ind w:left="58"/>
              <w:rPr>
                <w:sz w:val="21"/>
              </w:rPr>
            </w:pPr>
            <w:r>
              <w:rPr>
                <w:color w:val="B02045"/>
                <w:sz w:val="21"/>
              </w:rPr>
              <w:t>0 1 6</w:t>
            </w:r>
          </w:p>
        </w:tc>
      </w:tr>
      <w:tr w:rsidR="00A720EB" w14:paraId="5F92A2EF" w14:textId="77777777">
        <w:trPr>
          <w:trHeight w:val="1372"/>
        </w:trPr>
        <w:tc>
          <w:tcPr>
            <w:tcW w:w="998" w:type="dxa"/>
          </w:tcPr>
          <w:p w14:paraId="26EAE04B" w14:textId="77777777" w:rsidR="00A720EB" w:rsidRDefault="0030286B">
            <w:pPr>
              <w:pStyle w:val="TableParagraph"/>
              <w:spacing w:before="46" w:line="230" w:lineRule="auto"/>
              <w:ind w:right="87"/>
              <w:jc w:val="both"/>
              <w:rPr>
                <w:sz w:val="21"/>
              </w:rPr>
            </w:pPr>
            <w:r>
              <w:rPr>
                <w:color w:val="B02045"/>
                <w:sz w:val="21"/>
              </w:rPr>
              <w:t>initInfo ShortDes cription</w:t>
            </w:r>
          </w:p>
        </w:tc>
        <w:tc>
          <w:tcPr>
            <w:tcW w:w="2993" w:type="dxa"/>
          </w:tcPr>
          <w:p w14:paraId="1BAB646E" w14:textId="77777777" w:rsidR="00A720EB" w:rsidRDefault="0030286B">
            <w:pPr>
              <w:pStyle w:val="TableParagraph"/>
              <w:spacing w:before="81" w:line="290" w:lineRule="auto"/>
              <w:ind w:left="59" w:right="107"/>
              <w:rPr>
                <w:rFonts w:ascii="Cambria" w:hAnsi="Cambria"/>
                <w:sz w:val="21"/>
              </w:rPr>
            </w:pPr>
            <w:r>
              <w:rPr>
                <w:color w:val="B02045"/>
                <w:w w:val="105"/>
                <w:sz w:val="21"/>
              </w:rPr>
              <w:t>Short-Description</w:t>
            </w:r>
            <w:r>
              <w:rPr>
                <w:color w:val="B02045"/>
                <w:spacing w:val="-96"/>
                <w:w w:val="105"/>
                <w:sz w:val="21"/>
              </w:rPr>
              <w:t xml:space="preserve"> </w:t>
            </w:r>
            <w:r>
              <w:rPr>
                <w:rFonts w:ascii="Cambria" w:hAnsi="Cambria"/>
                <w:color w:val="333333"/>
                <w:w w:val="105"/>
                <w:sz w:val="21"/>
              </w:rPr>
              <w:t xml:space="preserve">section of </w:t>
            </w:r>
            <w:r>
              <w:rPr>
                <w:rFonts w:ascii="Cambria" w:hAnsi="Cambria"/>
                <w:color w:val="333333"/>
                <w:w w:val="110"/>
                <w:sz w:val="21"/>
              </w:rPr>
              <w:t>“INIT INFO”.</w:t>
            </w:r>
          </w:p>
        </w:tc>
        <w:tc>
          <w:tcPr>
            <w:tcW w:w="2994" w:type="dxa"/>
            <w:gridSpan w:val="4"/>
          </w:tcPr>
          <w:p w14:paraId="193898DE" w14:textId="77777777" w:rsidR="00A720EB" w:rsidRDefault="0030286B">
            <w:pPr>
              <w:pStyle w:val="TableParagraph"/>
              <w:spacing w:before="92"/>
              <w:ind w:left="59"/>
              <w:rPr>
                <w:rFonts w:ascii="Cambria"/>
                <w:sz w:val="21"/>
              </w:rPr>
            </w:pPr>
            <w:r>
              <w:rPr>
                <w:rFonts w:ascii="Cambria"/>
                <w:color w:val="333333"/>
                <w:w w:val="110"/>
                <w:sz w:val="21"/>
              </w:rPr>
              <w:t>Single-line version of</w:t>
            </w:r>
          </w:p>
          <w:p w14:paraId="2B4D4C60" w14:textId="77777777" w:rsidR="00A720EB" w:rsidRDefault="0030286B">
            <w:pPr>
              <w:pStyle w:val="TableParagraph"/>
              <w:spacing w:before="59"/>
              <w:ind w:left="59"/>
              <w:rPr>
                <w:sz w:val="21"/>
              </w:rPr>
            </w:pPr>
            <w:r>
              <w:rPr>
                <w:color w:val="B02045"/>
                <w:sz w:val="21"/>
              </w:rPr>
              <w:t>${</w:t>
            </w:r>
            <w:proofErr w:type="gramStart"/>
            <w:r>
              <w:rPr>
                <w:color w:val="B02045"/>
                <w:sz w:val="21"/>
              </w:rPr>
              <w:t>project.description</w:t>
            </w:r>
            <w:proofErr w:type="gramEnd"/>
            <w:r>
              <w:rPr>
                <w:color w:val="B02045"/>
                <w:sz w:val="21"/>
              </w:rPr>
              <w:t>}</w:t>
            </w:r>
          </w:p>
          <w:p w14:paraId="4F77BC8A" w14:textId="77777777" w:rsidR="00A720EB" w:rsidRDefault="0030286B">
            <w:pPr>
              <w:pStyle w:val="TableParagraph"/>
              <w:spacing w:before="57"/>
              <w:ind w:left="59"/>
              <w:rPr>
                <w:rFonts w:ascii="Cambria"/>
                <w:sz w:val="21"/>
              </w:rPr>
            </w:pPr>
            <w:r>
              <w:rPr>
                <w:rFonts w:ascii="Cambria"/>
                <w:color w:val="333333"/>
                <w:w w:val="110"/>
                <w:sz w:val="21"/>
              </w:rPr>
              <w:t>(falling back to</w:t>
            </w:r>
          </w:p>
          <w:p w14:paraId="3F88E6C7" w14:textId="77777777" w:rsidR="00A720EB" w:rsidRDefault="0030286B">
            <w:pPr>
              <w:pStyle w:val="TableParagraph"/>
              <w:spacing w:before="59"/>
              <w:ind w:left="59"/>
              <w:rPr>
                <w:rFonts w:ascii="Cambria"/>
                <w:sz w:val="21"/>
              </w:rPr>
            </w:pPr>
            <w:r>
              <w:rPr>
                <w:color w:val="B02045"/>
                <w:sz w:val="21"/>
              </w:rPr>
              <w:t>${</w:t>
            </w:r>
            <w:proofErr w:type="gramStart"/>
            <w:r>
              <w:rPr>
                <w:color w:val="B02045"/>
                <w:sz w:val="21"/>
              </w:rPr>
              <w:t>task.baseName</w:t>
            </w:r>
            <w:proofErr w:type="gramEnd"/>
            <w:r>
              <w:rPr>
                <w:color w:val="B02045"/>
                <w:sz w:val="21"/>
              </w:rPr>
              <w:t>}</w:t>
            </w:r>
            <w:r>
              <w:rPr>
                <w:rFonts w:ascii="Cambria"/>
                <w:color w:val="333333"/>
                <w:sz w:val="21"/>
              </w:rPr>
              <w:t>)</w:t>
            </w:r>
          </w:p>
        </w:tc>
        <w:tc>
          <w:tcPr>
            <w:tcW w:w="2998" w:type="dxa"/>
            <w:gridSpan w:val="4"/>
          </w:tcPr>
          <w:p w14:paraId="020A48AC" w14:textId="77777777" w:rsidR="00A720EB" w:rsidRDefault="0030286B">
            <w:pPr>
              <w:pStyle w:val="TableParagraph"/>
              <w:spacing w:before="37"/>
              <w:ind w:left="58"/>
              <w:rPr>
                <w:sz w:val="21"/>
              </w:rPr>
            </w:pPr>
            <w:r>
              <w:rPr>
                <w:color w:val="B02045"/>
                <w:sz w:val="21"/>
              </w:rPr>
              <w:t>${project.name}</w:t>
            </w:r>
          </w:p>
        </w:tc>
      </w:tr>
      <w:tr w:rsidR="00A720EB" w14:paraId="798A12BB" w14:textId="77777777">
        <w:trPr>
          <w:trHeight w:val="1056"/>
        </w:trPr>
        <w:tc>
          <w:tcPr>
            <w:tcW w:w="998" w:type="dxa"/>
          </w:tcPr>
          <w:p w14:paraId="17818A5D" w14:textId="77777777" w:rsidR="00A720EB" w:rsidRDefault="0030286B">
            <w:pPr>
              <w:pStyle w:val="TableParagraph"/>
              <w:spacing w:before="46" w:line="230" w:lineRule="auto"/>
              <w:ind w:right="87"/>
              <w:jc w:val="both"/>
              <w:rPr>
                <w:sz w:val="21"/>
              </w:rPr>
            </w:pPr>
            <w:r>
              <w:rPr>
                <w:color w:val="B02045"/>
                <w:sz w:val="21"/>
              </w:rPr>
              <w:t>initInfo Descript ion</w:t>
            </w:r>
          </w:p>
        </w:tc>
        <w:tc>
          <w:tcPr>
            <w:tcW w:w="2993" w:type="dxa"/>
          </w:tcPr>
          <w:p w14:paraId="5FA5CC9A" w14:textId="77777777" w:rsidR="00A720EB" w:rsidRDefault="0030286B">
            <w:pPr>
              <w:pStyle w:val="TableParagraph"/>
              <w:spacing w:before="81" w:line="290" w:lineRule="auto"/>
              <w:ind w:left="59" w:right="82"/>
              <w:rPr>
                <w:rFonts w:ascii="Cambria" w:hAnsi="Cambria"/>
                <w:sz w:val="21"/>
              </w:rPr>
            </w:pPr>
            <w:r>
              <w:rPr>
                <w:color w:val="B02045"/>
                <w:w w:val="110"/>
                <w:sz w:val="21"/>
              </w:rPr>
              <w:t>Description</w:t>
            </w:r>
            <w:r>
              <w:rPr>
                <w:color w:val="B02045"/>
                <w:spacing w:val="-97"/>
                <w:w w:val="110"/>
                <w:sz w:val="21"/>
              </w:rPr>
              <w:t xml:space="preserve"> </w:t>
            </w:r>
            <w:r>
              <w:rPr>
                <w:rFonts w:ascii="Cambria" w:hAnsi="Cambria"/>
                <w:color w:val="333333"/>
                <w:w w:val="110"/>
                <w:sz w:val="21"/>
              </w:rPr>
              <w:t>section of “INIT INFO”.</w:t>
            </w:r>
          </w:p>
        </w:tc>
        <w:tc>
          <w:tcPr>
            <w:tcW w:w="2994" w:type="dxa"/>
            <w:gridSpan w:val="4"/>
          </w:tcPr>
          <w:p w14:paraId="76A72056" w14:textId="77777777" w:rsidR="00A720EB" w:rsidRDefault="0030286B">
            <w:pPr>
              <w:pStyle w:val="TableParagraph"/>
              <w:spacing w:before="81"/>
              <w:ind w:left="59"/>
              <w:rPr>
                <w:sz w:val="21"/>
              </w:rPr>
            </w:pPr>
            <w:r>
              <w:rPr>
                <w:color w:val="B02045"/>
                <w:sz w:val="21"/>
              </w:rPr>
              <w:t>${</w:t>
            </w:r>
            <w:proofErr w:type="gramStart"/>
            <w:r>
              <w:rPr>
                <w:color w:val="B02045"/>
                <w:sz w:val="21"/>
              </w:rPr>
              <w:t>project.description</w:t>
            </w:r>
            <w:proofErr w:type="gramEnd"/>
            <w:r>
              <w:rPr>
                <w:color w:val="B02045"/>
                <w:sz w:val="21"/>
              </w:rPr>
              <w:t>}</w:t>
            </w:r>
          </w:p>
          <w:p w14:paraId="04906EC5" w14:textId="77777777" w:rsidR="00A720EB" w:rsidRDefault="0030286B">
            <w:pPr>
              <w:pStyle w:val="TableParagraph"/>
              <w:spacing w:before="57"/>
              <w:ind w:left="59"/>
              <w:rPr>
                <w:rFonts w:ascii="Cambria"/>
                <w:sz w:val="21"/>
              </w:rPr>
            </w:pPr>
            <w:r>
              <w:rPr>
                <w:rFonts w:ascii="Cambria"/>
                <w:color w:val="333333"/>
                <w:w w:val="110"/>
                <w:sz w:val="21"/>
              </w:rPr>
              <w:t>(falling back to</w:t>
            </w:r>
          </w:p>
          <w:p w14:paraId="33F621DB" w14:textId="77777777" w:rsidR="00A720EB" w:rsidRDefault="0030286B">
            <w:pPr>
              <w:pStyle w:val="TableParagraph"/>
              <w:spacing w:before="59"/>
              <w:ind w:left="59"/>
              <w:rPr>
                <w:rFonts w:ascii="Cambria"/>
                <w:sz w:val="21"/>
              </w:rPr>
            </w:pPr>
            <w:r>
              <w:rPr>
                <w:color w:val="B02045"/>
                <w:sz w:val="21"/>
              </w:rPr>
              <w:t>${</w:t>
            </w:r>
            <w:proofErr w:type="gramStart"/>
            <w:r>
              <w:rPr>
                <w:color w:val="B02045"/>
                <w:sz w:val="21"/>
              </w:rPr>
              <w:t>task.baseName</w:t>
            </w:r>
            <w:proofErr w:type="gramEnd"/>
            <w:r>
              <w:rPr>
                <w:color w:val="B02045"/>
                <w:sz w:val="21"/>
              </w:rPr>
              <w:t>}</w:t>
            </w:r>
            <w:r>
              <w:rPr>
                <w:rFonts w:ascii="Cambria"/>
                <w:color w:val="333333"/>
                <w:sz w:val="21"/>
              </w:rPr>
              <w:t>)</w:t>
            </w:r>
          </w:p>
        </w:tc>
        <w:tc>
          <w:tcPr>
            <w:tcW w:w="2998" w:type="dxa"/>
            <w:gridSpan w:val="4"/>
          </w:tcPr>
          <w:p w14:paraId="047DA16F" w14:textId="77777777" w:rsidR="00A720EB" w:rsidRDefault="0030286B">
            <w:pPr>
              <w:pStyle w:val="TableParagraph"/>
              <w:spacing w:before="81"/>
              <w:ind w:left="58"/>
              <w:rPr>
                <w:sz w:val="21"/>
              </w:rPr>
            </w:pPr>
            <w:r>
              <w:rPr>
                <w:color w:val="B02045"/>
                <w:sz w:val="21"/>
              </w:rPr>
              <w:t>${</w:t>
            </w:r>
            <w:proofErr w:type="gramStart"/>
            <w:r>
              <w:rPr>
                <w:color w:val="B02045"/>
                <w:sz w:val="21"/>
              </w:rPr>
              <w:t>project.description</w:t>
            </w:r>
            <w:proofErr w:type="gramEnd"/>
            <w:r>
              <w:rPr>
                <w:color w:val="B02045"/>
                <w:sz w:val="21"/>
              </w:rPr>
              <w:t>}</w:t>
            </w:r>
          </w:p>
          <w:p w14:paraId="62A6CEC1" w14:textId="77777777" w:rsidR="00A720EB" w:rsidRDefault="0030286B">
            <w:pPr>
              <w:pStyle w:val="TableParagraph"/>
              <w:spacing w:before="57"/>
              <w:ind w:left="58"/>
              <w:rPr>
                <w:rFonts w:ascii="Cambria"/>
                <w:sz w:val="21"/>
              </w:rPr>
            </w:pPr>
            <w:r>
              <w:rPr>
                <w:rFonts w:ascii="Cambria"/>
                <w:color w:val="333333"/>
                <w:w w:val="110"/>
                <w:sz w:val="21"/>
              </w:rPr>
              <w:t>(falling back to</w:t>
            </w:r>
          </w:p>
          <w:p w14:paraId="34569B21" w14:textId="77777777" w:rsidR="00A720EB" w:rsidRDefault="0030286B">
            <w:pPr>
              <w:pStyle w:val="TableParagraph"/>
              <w:spacing w:before="59"/>
              <w:ind w:left="58"/>
              <w:rPr>
                <w:rFonts w:ascii="Cambria"/>
                <w:sz w:val="21"/>
              </w:rPr>
            </w:pPr>
            <w:r>
              <w:rPr>
                <w:color w:val="B02045"/>
                <w:sz w:val="21"/>
              </w:rPr>
              <w:t>${project.name}</w:t>
            </w:r>
            <w:r>
              <w:rPr>
                <w:rFonts w:ascii="Cambria"/>
                <w:color w:val="333333"/>
                <w:sz w:val="21"/>
              </w:rPr>
              <w:t>)</w:t>
            </w:r>
          </w:p>
        </w:tc>
      </w:tr>
      <w:tr w:rsidR="00A720EB" w14:paraId="68677AC0" w14:textId="77777777">
        <w:trPr>
          <w:trHeight w:val="886"/>
        </w:trPr>
        <w:tc>
          <w:tcPr>
            <w:tcW w:w="998" w:type="dxa"/>
          </w:tcPr>
          <w:p w14:paraId="40FD96A8" w14:textId="77777777" w:rsidR="00A720EB" w:rsidRDefault="0030286B">
            <w:pPr>
              <w:pStyle w:val="TableParagraph"/>
              <w:spacing w:before="46" w:line="230" w:lineRule="auto"/>
              <w:ind w:right="87"/>
              <w:jc w:val="both"/>
              <w:rPr>
                <w:sz w:val="21"/>
              </w:rPr>
            </w:pPr>
            <w:r>
              <w:rPr>
                <w:color w:val="B02045"/>
                <w:sz w:val="21"/>
              </w:rPr>
              <w:t>initInfo Chkconfi g</w:t>
            </w:r>
          </w:p>
        </w:tc>
        <w:tc>
          <w:tcPr>
            <w:tcW w:w="2993" w:type="dxa"/>
          </w:tcPr>
          <w:p w14:paraId="5B897549" w14:textId="77777777" w:rsidR="00A720EB" w:rsidRDefault="0030286B">
            <w:pPr>
              <w:pStyle w:val="TableParagraph"/>
              <w:spacing w:before="81" w:line="290" w:lineRule="auto"/>
              <w:ind w:left="59" w:right="306"/>
              <w:rPr>
                <w:rFonts w:ascii="Cambria" w:hAnsi="Cambria"/>
                <w:sz w:val="21"/>
              </w:rPr>
            </w:pPr>
            <w:r>
              <w:rPr>
                <w:color w:val="B02045"/>
                <w:w w:val="110"/>
                <w:sz w:val="21"/>
              </w:rPr>
              <w:t>chkconfig</w:t>
            </w:r>
            <w:r>
              <w:rPr>
                <w:color w:val="B02045"/>
                <w:spacing w:val="-90"/>
                <w:w w:val="110"/>
                <w:sz w:val="21"/>
              </w:rPr>
              <w:t xml:space="preserve"> </w:t>
            </w:r>
            <w:r>
              <w:rPr>
                <w:rFonts w:ascii="Cambria" w:hAnsi="Cambria"/>
                <w:color w:val="333333"/>
                <w:w w:val="110"/>
                <w:sz w:val="21"/>
              </w:rPr>
              <w:t>section of “INIT INFO”</w:t>
            </w:r>
          </w:p>
        </w:tc>
        <w:tc>
          <w:tcPr>
            <w:tcW w:w="480" w:type="dxa"/>
            <w:tcBorders>
              <w:right w:val="nil"/>
            </w:tcBorders>
          </w:tcPr>
          <w:p w14:paraId="43654B95" w14:textId="77777777" w:rsidR="00A720EB" w:rsidRDefault="0030286B">
            <w:pPr>
              <w:pStyle w:val="TableParagraph"/>
              <w:spacing w:before="37"/>
              <w:ind w:left="59" w:right="-15"/>
              <w:rPr>
                <w:sz w:val="21"/>
              </w:rPr>
            </w:pPr>
            <w:r>
              <w:rPr>
                <w:color w:val="B02045"/>
                <w:sz w:val="21"/>
              </w:rPr>
              <w:t>2345</w:t>
            </w:r>
          </w:p>
        </w:tc>
        <w:tc>
          <w:tcPr>
            <w:tcW w:w="105" w:type="dxa"/>
            <w:tcBorders>
              <w:left w:val="nil"/>
              <w:right w:val="nil"/>
            </w:tcBorders>
          </w:tcPr>
          <w:p w14:paraId="201179B5" w14:textId="77777777" w:rsidR="00A720EB" w:rsidRDefault="00A720EB">
            <w:pPr>
              <w:pStyle w:val="TableParagraph"/>
              <w:spacing w:before="0"/>
              <w:ind w:left="0"/>
              <w:rPr>
                <w:rFonts w:ascii="Times New Roman"/>
                <w:sz w:val="20"/>
              </w:rPr>
            </w:pPr>
          </w:p>
        </w:tc>
        <w:tc>
          <w:tcPr>
            <w:tcW w:w="263" w:type="dxa"/>
            <w:tcBorders>
              <w:left w:val="nil"/>
              <w:right w:val="nil"/>
            </w:tcBorders>
          </w:tcPr>
          <w:p w14:paraId="5976E1C7" w14:textId="77777777" w:rsidR="00A720EB" w:rsidRDefault="0030286B">
            <w:pPr>
              <w:pStyle w:val="TableParagraph"/>
              <w:spacing w:before="37"/>
              <w:ind w:left="4"/>
              <w:rPr>
                <w:sz w:val="21"/>
              </w:rPr>
            </w:pPr>
            <w:r>
              <w:rPr>
                <w:color w:val="B02045"/>
                <w:sz w:val="21"/>
              </w:rPr>
              <w:t>99</w:t>
            </w:r>
          </w:p>
        </w:tc>
        <w:tc>
          <w:tcPr>
            <w:tcW w:w="2146" w:type="dxa"/>
            <w:tcBorders>
              <w:left w:val="nil"/>
            </w:tcBorders>
          </w:tcPr>
          <w:p w14:paraId="40C08501" w14:textId="77777777" w:rsidR="00A720EB" w:rsidRDefault="0030286B">
            <w:pPr>
              <w:pStyle w:val="TableParagraph"/>
              <w:spacing w:before="37"/>
              <w:ind w:left="56"/>
              <w:rPr>
                <w:sz w:val="21"/>
              </w:rPr>
            </w:pPr>
            <w:r>
              <w:rPr>
                <w:color w:val="B02045"/>
                <w:sz w:val="21"/>
              </w:rPr>
              <w:t>01</w:t>
            </w:r>
          </w:p>
        </w:tc>
        <w:tc>
          <w:tcPr>
            <w:tcW w:w="481" w:type="dxa"/>
            <w:tcBorders>
              <w:right w:val="nil"/>
            </w:tcBorders>
          </w:tcPr>
          <w:p w14:paraId="34BB5EEA" w14:textId="77777777" w:rsidR="00A720EB" w:rsidRDefault="0030286B">
            <w:pPr>
              <w:pStyle w:val="TableParagraph"/>
              <w:spacing w:before="37"/>
              <w:ind w:left="58" w:right="-15"/>
              <w:rPr>
                <w:sz w:val="21"/>
              </w:rPr>
            </w:pPr>
            <w:r>
              <w:rPr>
                <w:color w:val="B02045"/>
                <w:sz w:val="21"/>
              </w:rPr>
              <w:t>2345</w:t>
            </w:r>
          </w:p>
        </w:tc>
        <w:tc>
          <w:tcPr>
            <w:tcW w:w="106" w:type="dxa"/>
            <w:tcBorders>
              <w:left w:val="nil"/>
              <w:right w:val="nil"/>
            </w:tcBorders>
          </w:tcPr>
          <w:p w14:paraId="133511E6" w14:textId="77777777" w:rsidR="00A720EB" w:rsidRDefault="00A720EB">
            <w:pPr>
              <w:pStyle w:val="TableParagraph"/>
              <w:spacing w:before="0"/>
              <w:ind w:left="0"/>
              <w:rPr>
                <w:rFonts w:ascii="Times New Roman"/>
                <w:sz w:val="20"/>
              </w:rPr>
            </w:pPr>
          </w:p>
        </w:tc>
        <w:tc>
          <w:tcPr>
            <w:tcW w:w="264" w:type="dxa"/>
            <w:tcBorders>
              <w:left w:val="nil"/>
              <w:right w:val="nil"/>
            </w:tcBorders>
          </w:tcPr>
          <w:p w14:paraId="75FC64B1" w14:textId="77777777" w:rsidR="00A720EB" w:rsidRDefault="0030286B">
            <w:pPr>
              <w:pStyle w:val="TableParagraph"/>
              <w:spacing w:before="37"/>
              <w:ind w:left="1"/>
              <w:rPr>
                <w:sz w:val="21"/>
              </w:rPr>
            </w:pPr>
            <w:r>
              <w:rPr>
                <w:color w:val="B02045"/>
                <w:sz w:val="21"/>
              </w:rPr>
              <w:t>99</w:t>
            </w:r>
          </w:p>
        </w:tc>
        <w:tc>
          <w:tcPr>
            <w:tcW w:w="2147" w:type="dxa"/>
            <w:tcBorders>
              <w:left w:val="nil"/>
            </w:tcBorders>
          </w:tcPr>
          <w:p w14:paraId="6EAFC6B8" w14:textId="77777777" w:rsidR="00A720EB" w:rsidRDefault="0030286B">
            <w:pPr>
              <w:pStyle w:val="TableParagraph"/>
              <w:spacing w:before="37"/>
              <w:ind w:left="52"/>
              <w:rPr>
                <w:sz w:val="21"/>
              </w:rPr>
            </w:pPr>
            <w:r>
              <w:rPr>
                <w:color w:val="B02045"/>
                <w:sz w:val="21"/>
              </w:rPr>
              <w:t>01</w:t>
            </w:r>
          </w:p>
        </w:tc>
      </w:tr>
      <w:tr w:rsidR="00A720EB" w14:paraId="779BAF59" w14:textId="77777777">
        <w:trPr>
          <w:trHeight w:val="671"/>
        </w:trPr>
        <w:tc>
          <w:tcPr>
            <w:tcW w:w="998" w:type="dxa"/>
          </w:tcPr>
          <w:p w14:paraId="64DD05F8" w14:textId="77777777" w:rsidR="00A720EB" w:rsidRDefault="0030286B">
            <w:pPr>
              <w:pStyle w:val="TableParagraph"/>
              <w:spacing w:before="46" w:line="230" w:lineRule="auto"/>
              <w:ind w:right="68"/>
              <w:rPr>
                <w:sz w:val="21"/>
              </w:rPr>
            </w:pPr>
            <w:r>
              <w:rPr>
                <w:color w:val="B02045"/>
                <w:sz w:val="21"/>
              </w:rPr>
              <w:t>confFold er</w:t>
            </w:r>
          </w:p>
        </w:tc>
        <w:tc>
          <w:tcPr>
            <w:tcW w:w="2993" w:type="dxa"/>
          </w:tcPr>
          <w:p w14:paraId="0E3ADC5B" w14:textId="77777777" w:rsidR="00A720EB" w:rsidRDefault="0030286B">
            <w:pPr>
              <w:pStyle w:val="TableParagraph"/>
              <w:spacing w:before="92"/>
              <w:ind w:left="59"/>
              <w:rPr>
                <w:rFonts w:ascii="Cambria"/>
                <w:sz w:val="21"/>
              </w:rPr>
            </w:pPr>
            <w:r>
              <w:rPr>
                <w:rFonts w:ascii="Cambria"/>
                <w:color w:val="333333"/>
                <w:w w:val="110"/>
                <w:sz w:val="21"/>
              </w:rPr>
              <w:t>The default value for</w:t>
            </w:r>
          </w:p>
          <w:p w14:paraId="032439B2" w14:textId="77777777" w:rsidR="00A720EB" w:rsidRDefault="0030286B">
            <w:pPr>
              <w:pStyle w:val="TableParagraph"/>
              <w:spacing w:before="2"/>
              <w:ind w:left="59"/>
              <w:rPr>
                <w:sz w:val="21"/>
              </w:rPr>
            </w:pPr>
            <w:r>
              <w:rPr>
                <w:color w:val="B02045"/>
                <w:sz w:val="21"/>
              </w:rPr>
              <w:t>CONF_FOLDER</w:t>
            </w:r>
          </w:p>
        </w:tc>
        <w:tc>
          <w:tcPr>
            <w:tcW w:w="2994" w:type="dxa"/>
            <w:gridSpan w:val="4"/>
          </w:tcPr>
          <w:p w14:paraId="1FC622B4" w14:textId="77777777" w:rsidR="00A720EB" w:rsidRDefault="0030286B">
            <w:pPr>
              <w:pStyle w:val="TableParagraph"/>
              <w:spacing w:before="92"/>
              <w:ind w:left="59"/>
              <w:rPr>
                <w:rFonts w:ascii="Cambria"/>
                <w:sz w:val="21"/>
              </w:rPr>
            </w:pPr>
            <w:r>
              <w:rPr>
                <w:rFonts w:ascii="Cambria"/>
                <w:color w:val="333333"/>
                <w:w w:val="110"/>
                <w:sz w:val="21"/>
              </w:rPr>
              <w:t>Folder containing the jar</w:t>
            </w:r>
          </w:p>
        </w:tc>
        <w:tc>
          <w:tcPr>
            <w:tcW w:w="2998" w:type="dxa"/>
            <w:gridSpan w:val="4"/>
          </w:tcPr>
          <w:p w14:paraId="0F2E2059" w14:textId="77777777" w:rsidR="00A720EB" w:rsidRDefault="0030286B">
            <w:pPr>
              <w:pStyle w:val="TableParagraph"/>
              <w:spacing w:before="92"/>
              <w:ind w:left="58"/>
              <w:rPr>
                <w:rFonts w:ascii="Cambria"/>
                <w:sz w:val="21"/>
              </w:rPr>
            </w:pPr>
            <w:r>
              <w:rPr>
                <w:rFonts w:ascii="Cambria"/>
                <w:color w:val="333333"/>
                <w:w w:val="110"/>
                <w:sz w:val="21"/>
              </w:rPr>
              <w:t>Folder containing the jar</w:t>
            </w:r>
          </w:p>
        </w:tc>
      </w:tr>
      <w:tr w:rsidR="00A720EB" w14:paraId="506D84B8" w14:textId="77777777">
        <w:trPr>
          <w:trHeight w:val="2634"/>
        </w:trPr>
        <w:tc>
          <w:tcPr>
            <w:tcW w:w="998" w:type="dxa"/>
          </w:tcPr>
          <w:p w14:paraId="2AA2F24D" w14:textId="77777777" w:rsidR="00A720EB" w:rsidRDefault="0030286B">
            <w:pPr>
              <w:pStyle w:val="TableParagraph"/>
              <w:spacing w:before="46" w:line="230" w:lineRule="auto"/>
              <w:ind w:right="87"/>
              <w:jc w:val="both"/>
              <w:rPr>
                <w:sz w:val="21"/>
              </w:rPr>
            </w:pPr>
            <w:r>
              <w:rPr>
                <w:color w:val="B02045"/>
                <w:sz w:val="21"/>
              </w:rPr>
              <w:t>inlinedC onfScrip t</w:t>
            </w:r>
          </w:p>
        </w:tc>
        <w:tc>
          <w:tcPr>
            <w:tcW w:w="2993" w:type="dxa"/>
          </w:tcPr>
          <w:p w14:paraId="48364F4F" w14:textId="77777777" w:rsidR="00A720EB" w:rsidRDefault="0030286B">
            <w:pPr>
              <w:pStyle w:val="TableParagraph"/>
              <w:spacing w:line="316" w:lineRule="exact"/>
              <w:ind w:left="59" w:right="49"/>
              <w:rPr>
                <w:rFonts w:ascii="Cambria"/>
                <w:sz w:val="21"/>
              </w:rPr>
            </w:pPr>
            <w:r>
              <w:rPr>
                <w:rFonts w:ascii="Cambria"/>
                <w:color w:val="333333"/>
                <w:w w:val="110"/>
                <w:sz w:val="21"/>
              </w:rPr>
              <w:t>Reference to a file script that should be inlined in the default launch script. This can be used to set environmental variables such</w:t>
            </w:r>
            <w:r>
              <w:rPr>
                <w:rFonts w:ascii="Cambria"/>
                <w:color w:val="333333"/>
                <w:spacing w:val="-14"/>
                <w:w w:val="110"/>
                <w:sz w:val="21"/>
              </w:rPr>
              <w:t xml:space="preserve"> </w:t>
            </w:r>
            <w:r>
              <w:rPr>
                <w:rFonts w:ascii="Cambria"/>
                <w:color w:val="333333"/>
                <w:w w:val="110"/>
                <w:sz w:val="21"/>
              </w:rPr>
              <w:t>as</w:t>
            </w:r>
            <w:r>
              <w:rPr>
                <w:rFonts w:ascii="Cambria"/>
                <w:color w:val="333333"/>
                <w:spacing w:val="-13"/>
                <w:w w:val="110"/>
                <w:sz w:val="21"/>
              </w:rPr>
              <w:t xml:space="preserve"> </w:t>
            </w:r>
            <w:r>
              <w:rPr>
                <w:color w:val="B02045"/>
                <w:w w:val="110"/>
                <w:sz w:val="21"/>
              </w:rPr>
              <w:t>JAVA_OPTS</w:t>
            </w:r>
            <w:r>
              <w:rPr>
                <w:color w:val="B02045"/>
                <w:spacing w:val="-78"/>
                <w:w w:val="110"/>
                <w:sz w:val="21"/>
              </w:rPr>
              <w:t xml:space="preserve"> </w:t>
            </w:r>
            <w:r>
              <w:rPr>
                <w:rFonts w:ascii="Cambria"/>
                <w:color w:val="333333"/>
                <w:w w:val="110"/>
                <w:sz w:val="21"/>
              </w:rPr>
              <w:t>before</w:t>
            </w:r>
            <w:r>
              <w:rPr>
                <w:rFonts w:ascii="Cambria"/>
                <w:color w:val="333333"/>
                <w:spacing w:val="-14"/>
                <w:w w:val="110"/>
                <w:sz w:val="21"/>
              </w:rPr>
              <w:t xml:space="preserve"> </w:t>
            </w:r>
            <w:r>
              <w:rPr>
                <w:rFonts w:ascii="Cambria"/>
                <w:color w:val="333333"/>
                <w:w w:val="110"/>
                <w:sz w:val="21"/>
              </w:rPr>
              <w:t>any external config files are loaded</w:t>
            </w:r>
          </w:p>
        </w:tc>
        <w:tc>
          <w:tcPr>
            <w:tcW w:w="2994" w:type="dxa"/>
            <w:gridSpan w:val="4"/>
          </w:tcPr>
          <w:p w14:paraId="668D73A5" w14:textId="77777777" w:rsidR="00A720EB" w:rsidRDefault="00A720EB">
            <w:pPr>
              <w:pStyle w:val="TableParagraph"/>
              <w:spacing w:before="0"/>
              <w:ind w:left="0"/>
              <w:rPr>
                <w:rFonts w:ascii="Times New Roman"/>
                <w:sz w:val="20"/>
              </w:rPr>
            </w:pPr>
          </w:p>
        </w:tc>
        <w:tc>
          <w:tcPr>
            <w:tcW w:w="2998" w:type="dxa"/>
            <w:gridSpan w:val="4"/>
          </w:tcPr>
          <w:p w14:paraId="5B9A7B00" w14:textId="77777777" w:rsidR="00A720EB" w:rsidRDefault="00A720EB">
            <w:pPr>
              <w:pStyle w:val="TableParagraph"/>
              <w:spacing w:before="0"/>
              <w:ind w:left="0"/>
              <w:rPr>
                <w:rFonts w:ascii="Times New Roman"/>
                <w:sz w:val="20"/>
              </w:rPr>
            </w:pPr>
          </w:p>
        </w:tc>
      </w:tr>
      <w:tr w:rsidR="00A720EB" w14:paraId="4E6E0810" w14:textId="77777777">
        <w:trPr>
          <w:trHeight w:val="1056"/>
        </w:trPr>
        <w:tc>
          <w:tcPr>
            <w:tcW w:w="998" w:type="dxa"/>
          </w:tcPr>
          <w:p w14:paraId="148958E5" w14:textId="77777777" w:rsidR="00A720EB" w:rsidRDefault="0030286B">
            <w:pPr>
              <w:pStyle w:val="TableParagraph"/>
              <w:spacing w:before="46" w:line="230" w:lineRule="auto"/>
              <w:ind w:right="68"/>
              <w:rPr>
                <w:sz w:val="21"/>
              </w:rPr>
            </w:pPr>
            <w:r>
              <w:rPr>
                <w:color w:val="B02045"/>
                <w:sz w:val="21"/>
              </w:rPr>
              <w:t>logFolde r</w:t>
            </w:r>
          </w:p>
        </w:tc>
        <w:tc>
          <w:tcPr>
            <w:tcW w:w="2993" w:type="dxa"/>
          </w:tcPr>
          <w:p w14:paraId="7423F8B1" w14:textId="77777777" w:rsidR="00A720EB" w:rsidRDefault="0030286B">
            <w:pPr>
              <w:pStyle w:val="TableParagraph"/>
              <w:spacing w:before="81" w:line="285" w:lineRule="auto"/>
              <w:ind w:left="59" w:right="12"/>
              <w:rPr>
                <w:rFonts w:ascii="Cambria"/>
                <w:sz w:val="21"/>
              </w:rPr>
            </w:pPr>
            <w:r>
              <w:rPr>
                <w:rFonts w:ascii="Cambria"/>
                <w:color w:val="333333"/>
                <w:w w:val="110"/>
                <w:sz w:val="21"/>
              </w:rPr>
              <w:t xml:space="preserve">Default value for </w:t>
            </w:r>
            <w:r>
              <w:rPr>
                <w:color w:val="B02045"/>
                <w:w w:val="110"/>
                <w:sz w:val="21"/>
              </w:rPr>
              <w:t>LOG_FOLDER</w:t>
            </w:r>
            <w:r>
              <w:rPr>
                <w:rFonts w:ascii="Cambria"/>
                <w:color w:val="333333"/>
                <w:w w:val="110"/>
                <w:sz w:val="21"/>
              </w:rPr>
              <w:t xml:space="preserve">. Only valid for an </w:t>
            </w:r>
            <w:proofErr w:type="gramStart"/>
            <w:r>
              <w:rPr>
                <w:color w:val="B02045"/>
                <w:w w:val="110"/>
                <w:sz w:val="21"/>
              </w:rPr>
              <w:t>init.d</w:t>
            </w:r>
            <w:proofErr w:type="gramEnd"/>
            <w:r>
              <w:rPr>
                <w:color w:val="B02045"/>
                <w:w w:val="110"/>
                <w:sz w:val="21"/>
              </w:rPr>
              <w:t xml:space="preserve"> </w:t>
            </w:r>
            <w:r>
              <w:rPr>
                <w:rFonts w:ascii="Cambria"/>
                <w:color w:val="333333"/>
                <w:w w:val="110"/>
                <w:sz w:val="21"/>
              </w:rPr>
              <w:t>service</w:t>
            </w:r>
          </w:p>
        </w:tc>
        <w:tc>
          <w:tcPr>
            <w:tcW w:w="2994" w:type="dxa"/>
            <w:gridSpan w:val="4"/>
          </w:tcPr>
          <w:p w14:paraId="2308A4A6" w14:textId="77777777" w:rsidR="00A720EB" w:rsidRDefault="00A720EB">
            <w:pPr>
              <w:pStyle w:val="TableParagraph"/>
              <w:spacing w:before="0"/>
              <w:ind w:left="0"/>
              <w:rPr>
                <w:rFonts w:ascii="Times New Roman"/>
                <w:sz w:val="20"/>
              </w:rPr>
            </w:pPr>
          </w:p>
        </w:tc>
        <w:tc>
          <w:tcPr>
            <w:tcW w:w="2998" w:type="dxa"/>
            <w:gridSpan w:val="4"/>
          </w:tcPr>
          <w:p w14:paraId="1DA14202" w14:textId="77777777" w:rsidR="00A720EB" w:rsidRDefault="00A720EB">
            <w:pPr>
              <w:pStyle w:val="TableParagraph"/>
              <w:spacing w:before="0"/>
              <w:ind w:left="0"/>
              <w:rPr>
                <w:rFonts w:ascii="Times New Roman"/>
                <w:sz w:val="20"/>
              </w:rPr>
            </w:pPr>
          </w:p>
        </w:tc>
      </w:tr>
      <w:tr w:rsidR="00A720EB" w14:paraId="2EB8D47D" w14:textId="77777777">
        <w:trPr>
          <w:trHeight w:val="1056"/>
        </w:trPr>
        <w:tc>
          <w:tcPr>
            <w:tcW w:w="998" w:type="dxa"/>
          </w:tcPr>
          <w:p w14:paraId="6E3836A2" w14:textId="77777777" w:rsidR="00A720EB" w:rsidRDefault="0030286B">
            <w:pPr>
              <w:pStyle w:val="TableParagraph"/>
              <w:spacing w:before="46" w:line="230" w:lineRule="auto"/>
              <w:ind w:right="68"/>
              <w:rPr>
                <w:sz w:val="21"/>
              </w:rPr>
            </w:pPr>
            <w:r>
              <w:rPr>
                <w:color w:val="B02045"/>
                <w:sz w:val="21"/>
              </w:rPr>
              <w:lastRenderedPageBreak/>
              <w:t>logFilen ame</w:t>
            </w:r>
          </w:p>
        </w:tc>
        <w:tc>
          <w:tcPr>
            <w:tcW w:w="2993" w:type="dxa"/>
          </w:tcPr>
          <w:p w14:paraId="7D94E979" w14:textId="77777777" w:rsidR="00A720EB" w:rsidRDefault="0030286B">
            <w:pPr>
              <w:pStyle w:val="TableParagraph"/>
              <w:spacing w:line="316" w:lineRule="exact"/>
              <w:ind w:left="59" w:right="86"/>
              <w:rPr>
                <w:rFonts w:ascii="Cambria"/>
                <w:sz w:val="21"/>
              </w:rPr>
            </w:pPr>
            <w:r>
              <w:rPr>
                <w:rFonts w:ascii="Cambria"/>
                <w:color w:val="333333"/>
                <w:w w:val="110"/>
                <w:sz w:val="21"/>
              </w:rPr>
              <w:t xml:space="preserve">Default value for </w:t>
            </w:r>
            <w:r>
              <w:rPr>
                <w:color w:val="B02045"/>
                <w:w w:val="110"/>
                <w:sz w:val="21"/>
              </w:rPr>
              <w:t>LOG_FILENAME</w:t>
            </w:r>
            <w:r>
              <w:rPr>
                <w:rFonts w:ascii="Cambria"/>
                <w:color w:val="333333"/>
                <w:w w:val="110"/>
                <w:sz w:val="21"/>
              </w:rPr>
              <w:t xml:space="preserve">. Only valid for an </w:t>
            </w:r>
            <w:proofErr w:type="gramStart"/>
            <w:r>
              <w:rPr>
                <w:color w:val="B02045"/>
                <w:w w:val="110"/>
                <w:sz w:val="21"/>
              </w:rPr>
              <w:t>init.d</w:t>
            </w:r>
            <w:proofErr w:type="gramEnd"/>
            <w:r>
              <w:rPr>
                <w:color w:val="B02045"/>
                <w:spacing w:val="-63"/>
                <w:w w:val="110"/>
                <w:sz w:val="21"/>
              </w:rPr>
              <w:t xml:space="preserve"> </w:t>
            </w:r>
            <w:r>
              <w:rPr>
                <w:rFonts w:ascii="Cambria"/>
                <w:color w:val="333333"/>
                <w:w w:val="110"/>
                <w:sz w:val="21"/>
              </w:rPr>
              <w:t>service</w:t>
            </w:r>
          </w:p>
        </w:tc>
        <w:tc>
          <w:tcPr>
            <w:tcW w:w="2994" w:type="dxa"/>
            <w:gridSpan w:val="4"/>
          </w:tcPr>
          <w:p w14:paraId="54CDB447" w14:textId="77777777" w:rsidR="00A720EB" w:rsidRDefault="00A720EB">
            <w:pPr>
              <w:pStyle w:val="TableParagraph"/>
              <w:spacing w:before="0"/>
              <w:ind w:left="0"/>
              <w:rPr>
                <w:rFonts w:ascii="Times New Roman"/>
                <w:sz w:val="20"/>
              </w:rPr>
            </w:pPr>
          </w:p>
        </w:tc>
        <w:tc>
          <w:tcPr>
            <w:tcW w:w="2998" w:type="dxa"/>
            <w:gridSpan w:val="4"/>
          </w:tcPr>
          <w:p w14:paraId="7289E23B" w14:textId="77777777" w:rsidR="00A720EB" w:rsidRDefault="00A720EB">
            <w:pPr>
              <w:pStyle w:val="TableParagraph"/>
              <w:spacing w:before="0"/>
              <w:ind w:left="0"/>
              <w:rPr>
                <w:rFonts w:ascii="Times New Roman"/>
                <w:sz w:val="20"/>
              </w:rPr>
            </w:pPr>
          </w:p>
        </w:tc>
      </w:tr>
      <w:tr w:rsidR="00A720EB" w14:paraId="19B240EA" w14:textId="77777777">
        <w:trPr>
          <w:trHeight w:val="1056"/>
        </w:trPr>
        <w:tc>
          <w:tcPr>
            <w:tcW w:w="998" w:type="dxa"/>
          </w:tcPr>
          <w:p w14:paraId="03BC9E59" w14:textId="77777777" w:rsidR="00A720EB" w:rsidRDefault="0030286B">
            <w:pPr>
              <w:pStyle w:val="TableParagraph"/>
              <w:spacing w:before="46" w:line="230" w:lineRule="auto"/>
              <w:ind w:right="68"/>
              <w:rPr>
                <w:sz w:val="21"/>
              </w:rPr>
            </w:pPr>
            <w:r>
              <w:rPr>
                <w:color w:val="B02045"/>
                <w:sz w:val="21"/>
              </w:rPr>
              <w:t>pidFolde r</w:t>
            </w:r>
          </w:p>
        </w:tc>
        <w:tc>
          <w:tcPr>
            <w:tcW w:w="2993" w:type="dxa"/>
          </w:tcPr>
          <w:p w14:paraId="76137520" w14:textId="77777777" w:rsidR="00A720EB" w:rsidRDefault="0030286B">
            <w:pPr>
              <w:pStyle w:val="TableParagraph"/>
              <w:spacing w:before="81" w:line="285" w:lineRule="auto"/>
              <w:ind w:left="59" w:right="12"/>
              <w:rPr>
                <w:rFonts w:ascii="Cambria"/>
                <w:sz w:val="21"/>
              </w:rPr>
            </w:pPr>
            <w:r>
              <w:rPr>
                <w:rFonts w:ascii="Cambria"/>
                <w:color w:val="333333"/>
                <w:w w:val="110"/>
                <w:sz w:val="21"/>
              </w:rPr>
              <w:t xml:space="preserve">Default value for </w:t>
            </w:r>
            <w:r>
              <w:rPr>
                <w:color w:val="B02045"/>
                <w:w w:val="110"/>
                <w:sz w:val="21"/>
              </w:rPr>
              <w:t>PID_FOLDER</w:t>
            </w:r>
            <w:r>
              <w:rPr>
                <w:rFonts w:ascii="Cambria"/>
                <w:color w:val="333333"/>
                <w:w w:val="110"/>
                <w:sz w:val="21"/>
              </w:rPr>
              <w:t xml:space="preserve">. Only valid for an </w:t>
            </w:r>
            <w:proofErr w:type="gramStart"/>
            <w:r>
              <w:rPr>
                <w:color w:val="B02045"/>
                <w:w w:val="110"/>
                <w:sz w:val="21"/>
              </w:rPr>
              <w:t>init.d</w:t>
            </w:r>
            <w:proofErr w:type="gramEnd"/>
            <w:r>
              <w:rPr>
                <w:color w:val="B02045"/>
                <w:w w:val="110"/>
                <w:sz w:val="21"/>
              </w:rPr>
              <w:t xml:space="preserve"> </w:t>
            </w:r>
            <w:r>
              <w:rPr>
                <w:rFonts w:ascii="Cambria"/>
                <w:color w:val="333333"/>
                <w:w w:val="110"/>
                <w:sz w:val="21"/>
              </w:rPr>
              <w:t>service</w:t>
            </w:r>
          </w:p>
        </w:tc>
        <w:tc>
          <w:tcPr>
            <w:tcW w:w="2994" w:type="dxa"/>
            <w:gridSpan w:val="4"/>
          </w:tcPr>
          <w:p w14:paraId="638140B0" w14:textId="77777777" w:rsidR="00A720EB" w:rsidRDefault="00A720EB">
            <w:pPr>
              <w:pStyle w:val="TableParagraph"/>
              <w:spacing w:before="0"/>
              <w:ind w:left="0"/>
              <w:rPr>
                <w:rFonts w:ascii="Times New Roman"/>
                <w:sz w:val="20"/>
              </w:rPr>
            </w:pPr>
          </w:p>
        </w:tc>
        <w:tc>
          <w:tcPr>
            <w:tcW w:w="2998" w:type="dxa"/>
            <w:gridSpan w:val="4"/>
          </w:tcPr>
          <w:p w14:paraId="709B87B6" w14:textId="77777777" w:rsidR="00A720EB" w:rsidRDefault="00A720EB">
            <w:pPr>
              <w:pStyle w:val="TableParagraph"/>
              <w:spacing w:before="0"/>
              <w:ind w:left="0"/>
              <w:rPr>
                <w:rFonts w:ascii="Times New Roman"/>
                <w:sz w:val="20"/>
              </w:rPr>
            </w:pPr>
          </w:p>
        </w:tc>
      </w:tr>
    </w:tbl>
    <w:p w14:paraId="667104C8" w14:textId="77777777" w:rsidR="00A720EB" w:rsidRDefault="00A720EB">
      <w:pPr>
        <w:rPr>
          <w:rFonts w:ascii="Times New Roman"/>
          <w:sz w:val="20"/>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998"/>
        <w:gridCol w:w="2993"/>
        <w:gridCol w:w="2993"/>
        <w:gridCol w:w="2993"/>
      </w:tblGrid>
      <w:tr w:rsidR="00A720EB" w14:paraId="5D29376D" w14:textId="77777777">
        <w:trPr>
          <w:trHeight w:val="415"/>
        </w:trPr>
        <w:tc>
          <w:tcPr>
            <w:tcW w:w="998" w:type="dxa"/>
            <w:tcBorders>
              <w:bottom w:val="single" w:sz="12" w:space="0" w:color="DDDDDD"/>
            </w:tcBorders>
          </w:tcPr>
          <w:p w14:paraId="18D15A34"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2993" w:type="dxa"/>
            <w:tcBorders>
              <w:bottom w:val="single" w:sz="12" w:space="0" w:color="DDDDDD"/>
            </w:tcBorders>
          </w:tcPr>
          <w:p w14:paraId="327E45CC" w14:textId="77777777" w:rsidR="00A720EB" w:rsidRDefault="0030286B">
            <w:pPr>
              <w:pStyle w:val="TableParagraph"/>
              <w:spacing w:before="71"/>
              <w:ind w:left="59"/>
              <w:rPr>
                <w:rFonts w:ascii="Palatino Linotype"/>
                <w:b/>
                <w:sz w:val="21"/>
              </w:rPr>
            </w:pPr>
            <w:r>
              <w:rPr>
                <w:rFonts w:ascii="Palatino Linotype"/>
                <w:b/>
                <w:color w:val="333333"/>
                <w:w w:val="110"/>
                <w:sz w:val="21"/>
              </w:rPr>
              <w:t>Description</w:t>
            </w:r>
          </w:p>
        </w:tc>
        <w:tc>
          <w:tcPr>
            <w:tcW w:w="2993" w:type="dxa"/>
            <w:tcBorders>
              <w:bottom w:val="single" w:sz="12" w:space="0" w:color="DDDDDD"/>
            </w:tcBorders>
          </w:tcPr>
          <w:p w14:paraId="314872D6" w14:textId="77777777" w:rsidR="00A720EB" w:rsidRDefault="0030286B">
            <w:pPr>
              <w:pStyle w:val="TableParagraph"/>
              <w:spacing w:before="71"/>
              <w:ind w:left="59"/>
              <w:rPr>
                <w:rFonts w:ascii="Palatino Linotype"/>
                <w:b/>
                <w:sz w:val="21"/>
              </w:rPr>
            </w:pPr>
            <w:r>
              <w:rPr>
                <w:rFonts w:ascii="Palatino Linotype"/>
                <w:b/>
                <w:color w:val="333333"/>
                <w:w w:val="110"/>
                <w:sz w:val="21"/>
              </w:rPr>
              <w:t>Gradle default</w:t>
            </w:r>
          </w:p>
        </w:tc>
        <w:tc>
          <w:tcPr>
            <w:tcW w:w="2993" w:type="dxa"/>
            <w:tcBorders>
              <w:bottom w:val="single" w:sz="12" w:space="0" w:color="DDDDDD"/>
            </w:tcBorders>
          </w:tcPr>
          <w:p w14:paraId="436A3969" w14:textId="77777777" w:rsidR="00A720EB" w:rsidRDefault="0030286B">
            <w:pPr>
              <w:pStyle w:val="TableParagraph"/>
              <w:spacing w:before="71"/>
              <w:ind w:left="59"/>
              <w:rPr>
                <w:rFonts w:ascii="Palatino Linotype"/>
                <w:b/>
                <w:sz w:val="21"/>
              </w:rPr>
            </w:pPr>
            <w:r>
              <w:rPr>
                <w:rFonts w:ascii="Palatino Linotype"/>
                <w:b/>
                <w:color w:val="333333"/>
                <w:w w:val="110"/>
                <w:sz w:val="21"/>
              </w:rPr>
              <w:t>Maven default</w:t>
            </w:r>
          </w:p>
        </w:tc>
      </w:tr>
      <w:tr w:rsidR="00A720EB" w14:paraId="12AD39B9" w14:textId="77777777">
        <w:trPr>
          <w:trHeight w:val="1362"/>
        </w:trPr>
        <w:tc>
          <w:tcPr>
            <w:tcW w:w="998" w:type="dxa"/>
            <w:tcBorders>
              <w:top w:val="single" w:sz="12" w:space="0" w:color="DDDDDD"/>
            </w:tcBorders>
          </w:tcPr>
          <w:p w14:paraId="114038FA" w14:textId="77777777" w:rsidR="00A720EB" w:rsidRDefault="0030286B">
            <w:pPr>
              <w:pStyle w:val="TableParagraph"/>
              <w:spacing w:before="36" w:line="230" w:lineRule="auto"/>
              <w:ind w:right="68"/>
              <w:rPr>
                <w:sz w:val="21"/>
              </w:rPr>
            </w:pPr>
            <w:r>
              <w:rPr>
                <w:color w:val="B02045"/>
                <w:sz w:val="21"/>
              </w:rPr>
              <w:t>pidFilen ame</w:t>
            </w:r>
          </w:p>
        </w:tc>
        <w:tc>
          <w:tcPr>
            <w:tcW w:w="2993" w:type="dxa"/>
            <w:tcBorders>
              <w:top w:val="single" w:sz="12" w:space="0" w:color="DDDDDD"/>
            </w:tcBorders>
          </w:tcPr>
          <w:p w14:paraId="67D68345" w14:textId="77777777" w:rsidR="00A720EB" w:rsidRDefault="0030286B">
            <w:pPr>
              <w:pStyle w:val="TableParagraph"/>
              <w:spacing w:before="82" w:line="290" w:lineRule="auto"/>
              <w:ind w:left="59" w:right="134"/>
              <w:rPr>
                <w:rFonts w:ascii="Cambria"/>
                <w:sz w:val="21"/>
              </w:rPr>
            </w:pPr>
            <w:r>
              <w:rPr>
                <w:rFonts w:ascii="Cambria"/>
                <w:color w:val="333333"/>
                <w:w w:val="110"/>
                <w:sz w:val="21"/>
              </w:rPr>
              <w:t>Default value for the name of</w:t>
            </w:r>
            <w:r>
              <w:rPr>
                <w:rFonts w:ascii="Cambria"/>
                <w:color w:val="333333"/>
                <w:spacing w:val="-12"/>
                <w:w w:val="110"/>
                <w:sz w:val="21"/>
              </w:rPr>
              <w:t xml:space="preserve"> </w:t>
            </w:r>
            <w:r>
              <w:rPr>
                <w:rFonts w:ascii="Cambria"/>
                <w:color w:val="333333"/>
                <w:w w:val="110"/>
                <w:sz w:val="21"/>
              </w:rPr>
              <w:t>the</w:t>
            </w:r>
            <w:r>
              <w:rPr>
                <w:rFonts w:ascii="Cambria"/>
                <w:color w:val="333333"/>
                <w:spacing w:val="-12"/>
                <w:w w:val="110"/>
                <w:sz w:val="21"/>
              </w:rPr>
              <w:t xml:space="preserve"> </w:t>
            </w:r>
            <w:r>
              <w:rPr>
                <w:rFonts w:ascii="Cambria"/>
                <w:color w:val="333333"/>
                <w:w w:val="110"/>
                <w:sz w:val="21"/>
              </w:rPr>
              <w:t>PID</w:t>
            </w:r>
            <w:r>
              <w:rPr>
                <w:rFonts w:ascii="Cambria"/>
                <w:color w:val="333333"/>
                <w:spacing w:val="-12"/>
                <w:w w:val="110"/>
                <w:sz w:val="21"/>
              </w:rPr>
              <w:t xml:space="preserve"> </w:t>
            </w:r>
            <w:r>
              <w:rPr>
                <w:rFonts w:ascii="Cambria"/>
                <w:color w:val="333333"/>
                <w:w w:val="110"/>
                <w:sz w:val="21"/>
              </w:rPr>
              <w:t>file</w:t>
            </w:r>
            <w:r>
              <w:rPr>
                <w:rFonts w:ascii="Cambria"/>
                <w:color w:val="333333"/>
                <w:spacing w:val="-12"/>
                <w:w w:val="110"/>
                <w:sz w:val="21"/>
              </w:rPr>
              <w:t xml:space="preserve"> </w:t>
            </w:r>
            <w:r>
              <w:rPr>
                <w:rFonts w:ascii="Cambria"/>
                <w:color w:val="333333"/>
                <w:w w:val="110"/>
                <w:sz w:val="21"/>
              </w:rPr>
              <w:t>in</w:t>
            </w:r>
            <w:r>
              <w:rPr>
                <w:rFonts w:ascii="Cambria"/>
                <w:color w:val="333333"/>
                <w:spacing w:val="-12"/>
                <w:w w:val="110"/>
                <w:sz w:val="21"/>
              </w:rPr>
              <w:t xml:space="preserve"> </w:t>
            </w:r>
            <w:r>
              <w:rPr>
                <w:color w:val="B02045"/>
                <w:w w:val="110"/>
                <w:sz w:val="21"/>
              </w:rPr>
              <w:t>PID_FOLDER</w:t>
            </w:r>
            <w:r>
              <w:rPr>
                <w:rFonts w:ascii="Cambria"/>
                <w:color w:val="333333"/>
                <w:w w:val="110"/>
                <w:sz w:val="21"/>
              </w:rPr>
              <w:t xml:space="preserve">. Only valid for an </w:t>
            </w:r>
            <w:proofErr w:type="gramStart"/>
            <w:r>
              <w:rPr>
                <w:color w:val="B02045"/>
                <w:w w:val="110"/>
                <w:sz w:val="21"/>
              </w:rPr>
              <w:t>init.d</w:t>
            </w:r>
            <w:proofErr w:type="gramEnd"/>
            <w:r>
              <w:rPr>
                <w:color w:val="B02045"/>
                <w:w w:val="110"/>
                <w:sz w:val="21"/>
              </w:rPr>
              <w:t xml:space="preserve"> </w:t>
            </w:r>
            <w:r>
              <w:rPr>
                <w:rFonts w:ascii="Cambria"/>
                <w:color w:val="333333"/>
                <w:w w:val="110"/>
                <w:sz w:val="21"/>
              </w:rPr>
              <w:t>service</w:t>
            </w:r>
          </w:p>
        </w:tc>
        <w:tc>
          <w:tcPr>
            <w:tcW w:w="2993" w:type="dxa"/>
            <w:tcBorders>
              <w:top w:val="single" w:sz="12" w:space="0" w:color="DDDDDD"/>
            </w:tcBorders>
          </w:tcPr>
          <w:p w14:paraId="2B76CD9A" w14:textId="77777777" w:rsidR="00A720EB" w:rsidRDefault="00A720EB">
            <w:pPr>
              <w:pStyle w:val="TableParagraph"/>
              <w:spacing w:before="0"/>
              <w:ind w:left="0"/>
              <w:rPr>
                <w:rFonts w:ascii="Times New Roman"/>
                <w:sz w:val="20"/>
              </w:rPr>
            </w:pPr>
          </w:p>
        </w:tc>
        <w:tc>
          <w:tcPr>
            <w:tcW w:w="2993" w:type="dxa"/>
            <w:tcBorders>
              <w:top w:val="single" w:sz="12" w:space="0" w:color="DDDDDD"/>
            </w:tcBorders>
          </w:tcPr>
          <w:p w14:paraId="07BA5721" w14:textId="77777777" w:rsidR="00A720EB" w:rsidRDefault="00A720EB">
            <w:pPr>
              <w:pStyle w:val="TableParagraph"/>
              <w:spacing w:before="0"/>
              <w:ind w:left="0"/>
              <w:rPr>
                <w:rFonts w:ascii="Times New Roman"/>
                <w:sz w:val="20"/>
              </w:rPr>
            </w:pPr>
          </w:p>
        </w:tc>
      </w:tr>
      <w:tr w:rsidR="00A720EB" w14:paraId="77068197" w14:textId="77777777">
        <w:trPr>
          <w:trHeight w:val="1372"/>
        </w:trPr>
        <w:tc>
          <w:tcPr>
            <w:tcW w:w="998" w:type="dxa"/>
          </w:tcPr>
          <w:p w14:paraId="1A8C328B" w14:textId="77777777" w:rsidR="00A720EB" w:rsidRDefault="0030286B">
            <w:pPr>
              <w:pStyle w:val="TableParagraph"/>
              <w:spacing w:before="46" w:line="230" w:lineRule="auto"/>
              <w:ind w:right="87"/>
              <w:jc w:val="both"/>
              <w:rPr>
                <w:sz w:val="21"/>
              </w:rPr>
            </w:pPr>
            <w:r>
              <w:rPr>
                <w:color w:val="B02045"/>
                <w:sz w:val="21"/>
              </w:rPr>
              <w:t>useStart StopDaem on</w:t>
            </w:r>
          </w:p>
        </w:tc>
        <w:tc>
          <w:tcPr>
            <w:tcW w:w="2993" w:type="dxa"/>
          </w:tcPr>
          <w:p w14:paraId="0F7BCB27" w14:textId="77777777" w:rsidR="00A720EB" w:rsidRDefault="0030286B">
            <w:pPr>
              <w:pStyle w:val="TableParagraph"/>
              <w:spacing w:before="81" w:line="292" w:lineRule="auto"/>
              <w:ind w:left="59"/>
              <w:rPr>
                <w:rFonts w:ascii="Cambria" w:hAnsi="Cambria"/>
                <w:sz w:val="21"/>
              </w:rPr>
            </w:pPr>
            <w:r>
              <w:rPr>
                <w:rFonts w:ascii="Cambria" w:hAnsi="Cambria"/>
                <w:color w:val="333333"/>
                <w:w w:val="110"/>
                <w:sz w:val="21"/>
              </w:rPr>
              <w:t xml:space="preserve">Whether the </w:t>
            </w:r>
            <w:r>
              <w:rPr>
                <w:color w:val="B02045"/>
                <w:w w:val="110"/>
                <w:sz w:val="21"/>
              </w:rPr>
              <w:t>start-stop- daemon</w:t>
            </w:r>
            <w:r>
              <w:rPr>
                <w:color w:val="B02045"/>
                <w:spacing w:val="-81"/>
                <w:w w:val="110"/>
                <w:sz w:val="21"/>
              </w:rPr>
              <w:t xml:space="preserve"> </w:t>
            </w:r>
            <w:r>
              <w:rPr>
                <w:rFonts w:ascii="Cambria" w:hAnsi="Cambria"/>
                <w:color w:val="333333"/>
                <w:w w:val="110"/>
                <w:sz w:val="21"/>
              </w:rPr>
              <w:t>command, when it’s available, should be used to control the process</w:t>
            </w:r>
          </w:p>
        </w:tc>
        <w:tc>
          <w:tcPr>
            <w:tcW w:w="2993" w:type="dxa"/>
          </w:tcPr>
          <w:p w14:paraId="1B2D43AE" w14:textId="77777777" w:rsidR="00A720EB" w:rsidRDefault="0030286B">
            <w:pPr>
              <w:pStyle w:val="TableParagraph"/>
              <w:spacing w:before="37"/>
              <w:ind w:left="59"/>
              <w:rPr>
                <w:sz w:val="21"/>
              </w:rPr>
            </w:pPr>
            <w:r>
              <w:rPr>
                <w:color w:val="B02045"/>
                <w:sz w:val="21"/>
              </w:rPr>
              <w:t>true</w:t>
            </w:r>
          </w:p>
        </w:tc>
        <w:tc>
          <w:tcPr>
            <w:tcW w:w="2993" w:type="dxa"/>
          </w:tcPr>
          <w:p w14:paraId="328A19A4" w14:textId="77777777" w:rsidR="00A720EB" w:rsidRDefault="0030286B">
            <w:pPr>
              <w:pStyle w:val="TableParagraph"/>
              <w:spacing w:before="37"/>
              <w:ind w:left="59"/>
              <w:rPr>
                <w:sz w:val="21"/>
              </w:rPr>
            </w:pPr>
            <w:r>
              <w:rPr>
                <w:color w:val="B02045"/>
                <w:sz w:val="21"/>
              </w:rPr>
              <w:t>true</w:t>
            </w:r>
          </w:p>
        </w:tc>
      </w:tr>
      <w:tr w:rsidR="00A720EB" w14:paraId="0CCAB64C" w14:textId="77777777">
        <w:trPr>
          <w:trHeight w:val="1372"/>
        </w:trPr>
        <w:tc>
          <w:tcPr>
            <w:tcW w:w="998" w:type="dxa"/>
          </w:tcPr>
          <w:p w14:paraId="4FA675F7" w14:textId="77777777" w:rsidR="00A720EB" w:rsidRDefault="0030286B">
            <w:pPr>
              <w:pStyle w:val="TableParagraph"/>
              <w:spacing w:before="46" w:line="230" w:lineRule="auto"/>
              <w:ind w:right="68"/>
              <w:rPr>
                <w:sz w:val="21"/>
              </w:rPr>
            </w:pPr>
            <w:r>
              <w:rPr>
                <w:color w:val="B02045"/>
                <w:sz w:val="21"/>
              </w:rPr>
              <w:t>stopWait Time</w:t>
            </w:r>
          </w:p>
        </w:tc>
        <w:tc>
          <w:tcPr>
            <w:tcW w:w="2993" w:type="dxa"/>
          </w:tcPr>
          <w:p w14:paraId="4008652A" w14:textId="77777777" w:rsidR="00A720EB" w:rsidRDefault="0030286B">
            <w:pPr>
              <w:pStyle w:val="TableParagraph"/>
              <w:spacing w:before="92" w:line="290" w:lineRule="auto"/>
              <w:ind w:left="59" w:right="287"/>
              <w:rPr>
                <w:rFonts w:ascii="Cambria"/>
                <w:sz w:val="21"/>
              </w:rPr>
            </w:pPr>
            <w:r>
              <w:rPr>
                <w:rFonts w:ascii="Cambria"/>
                <w:color w:val="333333"/>
                <w:w w:val="110"/>
                <w:sz w:val="21"/>
              </w:rPr>
              <w:t xml:space="preserve">Default value for </w:t>
            </w:r>
            <w:r>
              <w:rPr>
                <w:color w:val="B02045"/>
                <w:w w:val="105"/>
                <w:sz w:val="21"/>
              </w:rPr>
              <w:t>STOP_WAIT_TIME</w:t>
            </w:r>
            <w:r>
              <w:rPr>
                <w:color w:val="B02045"/>
                <w:spacing w:val="-72"/>
                <w:w w:val="105"/>
                <w:sz w:val="21"/>
              </w:rPr>
              <w:t xml:space="preserve"> </w:t>
            </w:r>
            <w:r>
              <w:rPr>
                <w:rFonts w:ascii="Cambria"/>
                <w:color w:val="333333"/>
                <w:w w:val="105"/>
                <w:sz w:val="21"/>
              </w:rPr>
              <w:t xml:space="preserve">in seconds. </w:t>
            </w:r>
            <w:r>
              <w:rPr>
                <w:rFonts w:ascii="Cambria"/>
                <w:color w:val="333333"/>
                <w:w w:val="110"/>
                <w:sz w:val="21"/>
              </w:rPr>
              <w:t xml:space="preserve">Only valid for an </w:t>
            </w:r>
            <w:proofErr w:type="gramStart"/>
            <w:r>
              <w:rPr>
                <w:color w:val="B02045"/>
                <w:w w:val="110"/>
                <w:sz w:val="21"/>
              </w:rPr>
              <w:t>init.d</w:t>
            </w:r>
            <w:proofErr w:type="gramEnd"/>
            <w:r>
              <w:rPr>
                <w:color w:val="B02045"/>
                <w:w w:val="110"/>
                <w:sz w:val="21"/>
              </w:rPr>
              <w:t xml:space="preserve"> </w:t>
            </w:r>
            <w:r>
              <w:rPr>
                <w:rFonts w:ascii="Cambria"/>
                <w:color w:val="333333"/>
                <w:w w:val="110"/>
                <w:sz w:val="21"/>
              </w:rPr>
              <w:t>service</w:t>
            </w:r>
          </w:p>
        </w:tc>
        <w:tc>
          <w:tcPr>
            <w:tcW w:w="2993" w:type="dxa"/>
          </w:tcPr>
          <w:p w14:paraId="1D1DCD55" w14:textId="77777777" w:rsidR="00A720EB" w:rsidRDefault="0030286B">
            <w:pPr>
              <w:pStyle w:val="TableParagraph"/>
              <w:spacing w:before="92"/>
              <w:ind w:left="59"/>
              <w:rPr>
                <w:rFonts w:ascii="Cambria"/>
                <w:sz w:val="21"/>
              </w:rPr>
            </w:pPr>
            <w:r>
              <w:rPr>
                <w:rFonts w:ascii="Cambria"/>
                <w:color w:val="333333"/>
                <w:sz w:val="21"/>
              </w:rPr>
              <w:t>60</w:t>
            </w:r>
          </w:p>
        </w:tc>
        <w:tc>
          <w:tcPr>
            <w:tcW w:w="2993" w:type="dxa"/>
          </w:tcPr>
          <w:p w14:paraId="1B5AFDE3" w14:textId="77777777" w:rsidR="00A720EB" w:rsidRDefault="0030286B">
            <w:pPr>
              <w:pStyle w:val="TableParagraph"/>
              <w:spacing w:before="92"/>
              <w:ind w:left="59"/>
              <w:rPr>
                <w:rFonts w:ascii="Cambria"/>
                <w:sz w:val="21"/>
              </w:rPr>
            </w:pPr>
            <w:r>
              <w:rPr>
                <w:rFonts w:ascii="Cambria"/>
                <w:color w:val="333333"/>
                <w:sz w:val="21"/>
              </w:rPr>
              <w:t>60</w:t>
            </w:r>
          </w:p>
        </w:tc>
      </w:tr>
    </w:tbl>
    <w:p w14:paraId="57C04A5D" w14:textId="77777777" w:rsidR="00A720EB" w:rsidRDefault="00A720EB">
      <w:pPr>
        <w:pStyle w:val="a3"/>
        <w:spacing w:before="5"/>
        <w:rPr>
          <w:sz w:val="19"/>
        </w:rPr>
      </w:pPr>
    </w:p>
    <w:p w14:paraId="06F1B9F0" w14:textId="77777777" w:rsidR="00A720EB" w:rsidRDefault="0030286B">
      <w:pPr>
        <w:spacing w:before="103"/>
        <w:ind w:left="124"/>
        <w:rPr>
          <w:rFonts w:ascii="Palatino Linotype"/>
          <w:b/>
          <w:sz w:val="18"/>
        </w:rPr>
      </w:pPr>
      <w:r>
        <w:rPr>
          <w:rFonts w:ascii="Palatino Linotype"/>
          <w:b/>
          <w:color w:val="333333"/>
          <w:w w:val="110"/>
          <w:sz w:val="18"/>
        </w:rPr>
        <w:t>Customizing a Script When It Runs</w:t>
      </w:r>
    </w:p>
    <w:p w14:paraId="0276F21A" w14:textId="77777777" w:rsidR="00A720EB" w:rsidRDefault="00A720EB">
      <w:pPr>
        <w:pStyle w:val="a3"/>
        <w:spacing w:before="4"/>
        <w:rPr>
          <w:rFonts w:ascii="Palatino Linotype"/>
          <w:b/>
          <w:sz w:val="17"/>
        </w:rPr>
      </w:pPr>
    </w:p>
    <w:p w14:paraId="28326E9E" w14:textId="77777777" w:rsidR="00A720EB" w:rsidRDefault="0030286B">
      <w:pPr>
        <w:pStyle w:val="a3"/>
        <w:spacing w:before="1" w:line="285" w:lineRule="auto"/>
        <w:ind w:left="124"/>
      </w:pPr>
      <w:r>
        <w:rPr>
          <w:color w:val="333333"/>
          <w:w w:val="115"/>
        </w:rPr>
        <w:t xml:space="preserve">For items of the script that need to be customized </w:t>
      </w:r>
      <w:r>
        <w:rPr>
          <w:rFonts w:ascii="Palatino Linotype"/>
          <w:i/>
          <w:color w:val="333333"/>
          <w:w w:val="115"/>
        </w:rPr>
        <w:t xml:space="preserve">after </w:t>
      </w:r>
      <w:r>
        <w:rPr>
          <w:color w:val="333333"/>
          <w:w w:val="115"/>
        </w:rPr>
        <w:t xml:space="preserve">the jar has been written, you can use environment variables or a </w:t>
      </w:r>
      <w:hyperlink w:anchor="_bookmark490" w:history="1">
        <w:r>
          <w:rPr>
            <w:color w:val="418BCA"/>
            <w:w w:val="115"/>
          </w:rPr>
          <w:t>config file</w:t>
        </w:r>
      </w:hyperlink>
      <w:r>
        <w:rPr>
          <w:color w:val="333333"/>
          <w:w w:val="115"/>
        </w:rPr>
        <w:t>.</w:t>
      </w:r>
    </w:p>
    <w:p w14:paraId="31CA6C75" w14:textId="77777777" w:rsidR="00A720EB" w:rsidRDefault="00A720EB">
      <w:pPr>
        <w:pStyle w:val="a3"/>
        <w:spacing w:before="3"/>
        <w:rPr>
          <w:sz w:val="22"/>
        </w:rPr>
      </w:pPr>
    </w:p>
    <w:p w14:paraId="3DAF92CE" w14:textId="77777777" w:rsidR="00A720EB" w:rsidRDefault="0030286B">
      <w:pPr>
        <w:pStyle w:val="a3"/>
        <w:spacing w:before="1"/>
        <w:ind w:left="124"/>
      </w:pPr>
      <w:r>
        <w:rPr>
          <w:color w:val="333333"/>
          <w:w w:val="110"/>
        </w:rPr>
        <w:t>The following environment properties are supported with the default script:</w:t>
      </w:r>
    </w:p>
    <w:p w14:paraId="139FBB8F" w14:textId="77777777" w:rsidR="00A720EB" w:rsidRDefault="00A720EB">
      <w:pPr>
        <w:pStyle w:val="a3"/>
        <w:spacing w:before="6"/>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425"/>
        <w:gridCol w:w="8551"/>
      </w:tblGrid>
      <w:tr w:rsidR="00A720EB" w14:paraId="5FA86DDD" w14:textId="77777777">
        <w:trPr>
          <w:trHeight w:val="415"/>
        </w:trPr>
        <w:tc>
          <w:tcPr>
            <w:tcW w:w="1425" w:type="dxa"/>
            <w:tcBorders>
              <w:bottom w:val="single" w:sz="12" w:space="0" w:color="DDDDDD"/>
            </w:tcBorders>
          </w:tcPr>
          <w:p w14:paraId="71EB24CD" w14:textId="77777777" w:rsidR="00A720EB" w:rsidRDefault="0030286B">
            <w:pPr>
              <w:pStyle w:val="TableParagraph"/>
              <w:spacing w:before="74"/>
              <w:rPr>
                <w:rFonts w:ascii="Palatino Linotype"/>
                <w:b/>
                <w:sz w:val="21"/>
              </w:rPr>
            </w:pPr>
            <w:r>
              <w:rPr>
                <w:rFonts w:ascii="Palatino Linotype"/>
                <w:b/>
                <w:color w:val="333333"/>
                <w:w w:val="110"/>
                <w:sz w:val="21"/>
              </w:rPr>
              <w:t>Variable</w:t>
            </w:r>
          </w:p>
        </w:tc>
        <w:tc>
          <w:tcPr>
            <w:tcW w:w="8551" w:type="dxa"/>
            <w:tcBorders>
              <w:bottom w:val="single" w:sz="12" w:space="0" w:color="DDDDDD"/>
            </w:tcBorders>
          </w:tcPr>
          <w:p w14:paraId="64EFD417"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3E5FECDF" w14:textId="77777777">
        <w:trPr>
          <w:trHeight w:val="1678"/>
        </w:trPr>
        <w:tc>
          <w:tcPr>
            <w:tcW w:w="1425" w:type="dxa"/>
            <w:tcBorders>
              <w:top w:val="single" w:sz="12" w:space="0" w:color="DDDDDD"/>
            </w:tcBorders>
          </w:tcPr>
          <w:p w14:paraId="5B8BAC9F" w14:textId="77777777" w:rsidR="00A720EB" w:rsidRDefault="0030286B">
            <w:pPr>
              <w:pStyle w:val="TableParagraph"/>
              <w:spacing w:before="30"/>
              <w:rPr>
                <w:sz w:val="21"/>
              </w:rPr>
            </w:pPr>
            <w:r>
              <w:rPr>
                <w:color w:val="B02045"/>
                <w:sz w:val="21"/>
              </w:rPr>
              <w:t>MODE</w:t>
            </w:r>
          </w:p>
        </w:tc>
        <w:tc>
          <w:tcPr>
            <w:tcW w:w="8551" w:type="dxa"/>
            <w:tcBorders>
              <w:top w:val="single" w:sz="12" w:space="0" w:color="DDDDDD"/>
            </w:tcBorders>
          </w:tcPr>
          <w:p w14:paraId="186A3AD6" w14:textId="77777777" w:rsidR="00A720EB" w:rsidRDefault="0030286B">
            <w:pPr>
              <w:pStyle w:val="TableParagraph"/>
              <w:spacing w:before="84" w:line="288" w:lineRule="auto"/>
              <w:ind w:right="113"/>
              <w:rPr>
                <w:rFonts w:ascii="Cambria" w:hAnsi="Cambria"/>
                <w:sz w:val="21"/>
              </w:rPr>
            </w:pPr>
            <w:r>
              <w:rPr>
                <w:rFonts w:ascii="Cambria" w:hAnsi="Cambria"/>
                <w:color w:val="333333"/>
                <w:w w:val="110"/>
                <w:sz w:val="21"/>
              </w:rPr>
              <w:t xml:space="preserve">The “mode” of operation. The default depends on the way the jar was built but is usually </w:t>
            </w:r>
            <w:r>
              <w:rPr>
                <w:color w:val="B02045"/>
                <w:w w:val="110"/>
                <w:sz w:val="21"/>
              </w:rPr>
              <w:t xml:space="preserve">auto </w:t>
            </w:r>
            <w:r>
              <w:rPr>
                <w:rFonts w:ascii="Cambria" w:hAnsi="Cambria"/>
                <w:color w:val="333333"/>
                <w:w w:val="110"/>
                <w:sz w:val="21"/>
              </w:rPr>
              <w:t xml:space="preserve">(meaning it tries to guess if it is an init script </w:t>
            </w:r>
            <w:r>
              <w:rPr>
                <w:rFonts w:ascii="Cambria" w:hAnsi="Cambria"/>
                <w:color w:val="333333"/>
                <w:spacing w:val="-3"/>
                <w:w w:val="110"/>
                <w:sz w:val="21"/>
              </w:rPr>
              <w:t xml:space="preserve">by </w:t>
            </w:r>
            <w:r>
              <w:rPr>
                <w:rFonts w:ascii="Cambria" w:hAnsi="Cambria"/>
                <w:color w:val="333333"/>
                <w:w w:val="110"/>
                <w:sz w:val="21"/>
              </w:rPr>
              <w:t xml:space="preserve">checking if it is a symlink in a directory called </w:t>
            </w:r>
            <w:proofErr w:type="gramStart"/>
            <w:r>
              <w:rPr>
                <w:color w:val="B02045"/>
                <w:w w:val="110"/>
                <w:sz w:val="21"/>
              </w:rPr>
              <w:t>init.d</w:t>
            </w:r>
            <w:proofErr w:type="gramEnd"/>
            <w:r>
              <w:rPr>
                <w:rFonts w:ascii="Cambria" w:hAnsi="Cambria"/>
                <w:color w:val="333333"/>
                <w:w w:val="110"/>
                <w:sz w:val="21"/>
              </w:rPr>
              <w:t xml:space="preserve">). </w:t>
            </w:r>
            <w:r>
              <w:rPr>
                <w:rFonts w:ascii="Cambria" w:hAnsi="Cambria"/>
                <w:color w:val="333333"/>
                <w:spacing w:val="-6"/>
                <w:w w:val="110"/>
                <w:sz w:val="21"/>
              </w:rPr>
              <w:t xml:space="preserve">You </w:t>
            </w:r>
            <w:r>
              <w:rPr>
                <w:rFonts w:ascii="Cambria" w:hAnsi="Cambria"/>
                <w:color w:val="333333"/>
                <w:w w:val="110"/>
                <w:sz w:val="21"/>
              </w:rPr>
              <w:t xml:space="preserve">can explicitly set it to </w:t>
            </w:r>
            <w:r>
              <w:rPr>
                <w:color w:val="B02045"/>
                <w:w w:val="110"/>
                <w:sz w:val="21"/>
              </w:rPr>
              <w:t xml:space="preserve">service </w:t>
            </w:r>
            <w:r>
              <w:rPr>
                <w:rFonts w:ascii="Cambria" w:hAnsi="Cambria"/>
                <w:color w:val="333333"/>
                <w:w w:val="110"/>
                <w:sz w:val="21"/>
              </w:rPr>
              <w:t xml:space="preserve">so that the </w:t>
            </w:r>
            <w:r>
              <w:rPr>
                <w:color w:val="B02045"/>
                <w:w w:val="110"/>
                <w:sz w:val="21"/>
              </w:rPr>
              <w:t>stop|start|status|restart</w:t>
            </w:r>
            <w:r>
              <w:rPr>
                <w:color w:val="B02045"/>
                <w:spacing w:val="-81"/>
                <w:w w:val="110"/>
                <w:sz w:val="21"/>
              </w:rPr>
              <w:t xml:space="preserve"> </w:t>
            </w:r>
            <w:r>
              <w:rPr>
                <w:rFonts w:ascii="Cambria" w:hAnsi="Cambria"/>
                <w:color w:val="333333"/>
                <w:w w:val="110"/>
                <w:sz w:val="21"/>
              </w:rPr>
              <w:t>commands</w:t>
            </w:r>
            <w:r>
              <w:rPr>
                <w:rFonts w:ascii="Cambria" w:hAnsi="Cambria"/>
                <w:color w:val="333333"/>
                <w:spacing w:val="-15"/>
                <w:w w:val="110"/>
                <w:sz w:val="21"/>
              </w:rPr>
              <w:t xml:space="preserve"> </w:t>
            </w:r>
            <w:r>
              <w:rPr>
                <w:rFonts w:ascii="Cambria" w:hAnsi="Cambria"/>
                <w:color w:val="333333"/>
                <w:w w:val="110"/>
                <w:sz w:val="21"/>
              </w:rPr>
              <w:t>work</w:t>
            </w:r>
            <w:r>
              <w:rPr>
                <w:rFonts w:ascii="Cambria" w:hAnsi="Cambria"/>
                <w:color w:val="333333"/>
                <w:spacing w:val="-16"/>
                <w:w w:val="110"/>
                <w:sz w:val="21"/>
              </w:rPr>
              <w:t xml:space="preserve"> </w:t>
            </w:r>
            <w:r>
              <w:rPr>
                <w:rFonts w:ascii="Cambria" w:hAnsi="Cambria"/>
                <w:color w:val="333333"/>
                <w:w w:val="110"/>
                <w:sz w:val="21"/>
              </w:rPr>
              <w:t>or</w:t>
            </w:r>
            <w:r>
              <w:rPr>
                <w:rFonts w:ascii="Cambria" w:hAnsi="Cambria"/>
                <w:color w:val="333333"/>
                <w:spacing w:val="-15"/>
                <w:w w:val="110"/>
                <w:sz w:val="21"/>
              </w:rPr>
              <w:t xml:space="preserve"> </w:t>
            </w:r>
            <w:r>
              <w:rPr>
                <w:rFonts w:ascii="Cambria" w:hAnsi="Cambria"/>
                <w:color w:val="333333"/>
                <w:w w:val="110"/>
                <w:sz w:val="21"/>
              </w:rPr>
              <w:t>to</w:t>
            </w:r>
            <w:r>
              <w:rPr>
                <w:rFonts w:ascii="Cambria" w:hAnsi="Cambria"/>
                <w:color w:val="333333"/>
                <w:spacing w:val="-16"/>
                <w:w w:val="110"/>
                <w:sz w:val="21"/>
              </w:rPr>
              <w:t xml:space="preserve"> </w:t>
            </w:r>
            <w:r>
              <w:rPr>
                <w:color w:val="B02045"/>
                <w:w w:val="110"/>
                <w:sz w:val="21"/>
              </w:rPr>
              <w:t>run</w:t>
            </w:r>
            <w:r>
              <w:rPr>
                <w:color w:val="B02045"/>
                <w:spacing w:val="-80"/>
                <w:w w:val="110"/>
                <w:sz w:val="21"/>
              </w:rPr>
              <w:t xml:space="preserve"> </w:t>
            </w:r>
            <w:r>
              <w:rPr>
                <w:rFonts w:ascii="Cambria" w:hAnsi="Cambria"/>
                <w:color w:val="333333"/>
                <w:w w:val="110"/>
                <w:sz w:val="21"/>
              </w:rPr>
              <w:t>if</w:t>
            </w:r>
            <w:r>
              <w:rPr>
                <w:rFonts w:ascii="Cambria" w:hAnsi="Cambria"/>
                <w:color w:val="333333"/>
                <w:spacing w:val="-16"/>
                <w:w w:val="110"/>
                <w:sz w:val="21"/>
              </w:rPr>
              <w:t xml:space="preserve"> </w:t>
            </w:r>
            <w:r>
              <w:rPr>
                <w:rFonts w:ascii="Cambria" w:hAnsi="Cambria"/>
                <w:color w:val="333333"/>
                <w:w w:val="110"/>
                <w:sz w:val="21"/>
              </w:rPr>
              <w:t>you</w:t>
            </w:r>
            <w:r>
              <w:rPr>
                <w:rFonts w:ascii="Cambria" w:hAnsi="Cambria"/>
                <w:color w:val="333333"/>
                <w:spacing w:val="-16"/>
                <w:w w:val="110"/>
                <w:sz w:val="21"/>
              </w:rPr>
              <w:t xml:space="preserve"> </w:t>
            </w:r>
            <w:r>
              <w:rPr>
                <w:rFonts w:ascii="Cambria" w:hAnsi="Cambria"/>
                <w:color w:val="333333"/>
                <w:w w:val="110"/>
                <w:sz w:val="21"/>
              </w:rPr>
              <w:t>want</w:t>
            </w:r>
            <w:r>
              <w:rPr>
                <w:rFonts w:ascii="Cambria" w:hAnsi="Cambria"/>
                <w:color w:val="333333"/>
                <w:spacing w:val="-16"/>
                <w:w w:val="110"/>
                <w:sz w:val="21"/>
              </w:rPr>
              <w:t xml:space="preserve"> </w:t>
            </w:r>
            <w:r>
              <w:rPr>
                <w:rFonts w:ascii="Cambria" w:hAnsi="Cambria"/>
                <w:color w:val="333333"/>
                <w:w w:val="110"/>
                <w:sz w:val="21"/>
              </w:rPr>
              <w:t>to</w:t>
            </w:r>
            <w:r>
              <w:rPr>
                <w:rFonts w:ascii="Cambria" w:hAnsi="Cambria"/>
                <w:color w:val="333333"/>
                <w:spacing w:val="-16"/>
                <w:w w:val="110"/>
                <w:sz w:val="21"/>
              </w:rPr>
              <w:t xml:space="preserve"> </w:t>
            </w:r>
            <w:r>
              <w:rPr>
                <w:rFonts w:ascii="Cambria" w:hAnsi="Cambria"/>
                <w:color w:val="333333"/>
                <w:w w:val="110"/>
                <w:sz w:val="21"/>
              </w:rPr>
              <w:t>run</w:t>
            </w:r>
            <w:r>
              <w:rPr>
                <w:rFonts w:ascii="Cambria" w:hAnsi="Cambria"/>
                <w:color w:val="333333"/>
                <w:spacing w:val="-15"/>
                <w:w w:val="110"/>
                <w:sz w:val="21"/>
              </w:rPr>
              <w:t xml:space="preserve"> </w:t>
            </w:r>
            <w:r>
              <w:rPr>
                <w:rFonts w:ascii="Cambria" w:hAnsi="Cambria"/>
                <w:color w:val="333333"/>
                <w:w w:val="110"/>
                <w:sz w:val="21"/>
              </w:rPr>
              <w:t>the</w:t>
            </w:r>
            <w:r>
              <w:rPr>
                <w:rFonts w:ascii="Cambria" w:hAnsi="Cambria"/>
                <w:color w:val="333333"/>
                <w:spacing w:val="-15"/>
                <w:w w:val="110"/>
                <w:sz w:val="21"/>
              </w:rPr>
              <w:t xml:space="preserve"> </w:t>
            </w:r>
            <w:r>
              <w:rPr>
                <w:rFonts w:ascii="Cambria" w:hAnsi="Cambria"/>
                <w:color w:val="333333"/>
                <w:w w:val="110"/>
                <w:sz w:val="21"/>
              </w:rPr>
              <w:t>script</w:t>
            </w:r>
            <w:r>
              <w:rPr>
                <w:rFonts w:ascii="Cambria" w:hAnsi="Cambria"/>
                <w:color w:val="333333"/>
                <w:spacing w:val="-16"/>
                <w:w w:val="110"/>
                <w:sz w:val="21"/>
              </w:rPr>
              <w:t xml:space="preserve"> </w:t>
            </w:r>
            <w:r>
              <w:rPr>
                <w:rFonts w:ascii="Cambria" w:hAnsi="Cambria"/>
                <w:color w:val="333333"/>
                <w:w w:val="110"/>
                <w:sz w:val="21"/>
              </w:rPr>
              <w:t>in the</w:t>
            </w:r>
            <w:r>
              <w:rPr>
                <w:rFonts w:ascii="Cambria" w:hAnsi="Cambria"/>
                <w:color w:val="333333"/>
                <w:spacing w:val="3"/>
                <w:w w:val="110"/>
                <w:sz w:val="21"/>
              </w:rPr>
              <w:t xml:space="preserve"> </w:t>
            </w:r>
            <w:r>
              <w:rPr>
                <w:rFonts w:ascii="Cambria" w:hAnsi="Cambria"/>
                <w:color w:val="333333"/>
                <w:w w:val="110"/>
                <w:sz w:val="21"/>
              </w:rPr>
              <w:t>foreground.</w:t>
            </w:r>
          </w:p>
        </w:tc>
      </w:tr>
      <w:tr w:rsidR="00A720EB" w14:paraId="2A7EBA4C" w14:textId="77777777">
        <w:trPr>
          <w:trHeight w:val="741"/>
        </w:trPr>
        <w:tc>
          <w:tcPr>
            <w:tcW w:w="1425" w:type="dxa"/>
          </w:tcPr>
          <w:p w14:paraId="010F0BA5" w14:textId="77777777" w:rsidR="00A720EB" w:rsidRDefault="0030286B">
            <w:pPr>
              <w:pStyle w:val="TableParagraph"/>
              <w:spacing w:before="40"/>
              <w:rPr>
                <w:sz w:val="21"/>
              </w:rPr>
            </w:pPr>
            <w:r>
              <w:rPr>
                <w:color w:val="B02045"/>
                <w:sz w:val="21"/>
              </w:rPr>
              <w:t>RUN_AS_USER</w:t>
            </w:r>
          </w:p>
        </w:tc>
        <w:tc>
          <w:tcPr>
            <w:tcW w:w="8551" w:type="dxa"/>
          </w:tcPr>
          <w:p w14:paraId="393E6A3F" w14:textId="77777777" w:rsidR="00A720EB" w:rsidRDefault="0030286B">
            <w:pPr>
              <w:pStyle w:val="TableParagraph"/>
              <w:spacing w:before="31" w:line="310" w:lineRule="atLeast"/>
              <w:ind w:right="279"/>
              <w:rPr>
                <w:rFonts w:ascii="Cambria"/>
                <w:sz w:val="21"/>
              </w:rPr>
            </w:pPr>
            <w:r>
              <w:rPr>
                <w:rFonts w:ascii="Cambria"/>
                <w:color w:val="333333"/>
                <w:w w:val="110"/>
                <w:sz w:val="21"/>
              </w:rPr>
              <w:t>The user that will be used to run the application. When not set, the user that owns the jar file will be used.</w:t>
            </w:r>
          </w:p>
        </w:tc>
      </w:tr>
      <w:tr w:rsidR="00A720EB" w14:paraId="6CA6C29F" w14:textId="77777777">
        <w:trPr>
          <w:trHeight w:val="741"/>
        </w:trPr>
        <w:tc>
          <w:tcPr>
            <w:tcW w:w="1425" w:type="dxa"/>
          </w:tcPr>
          <w:p w14:paraId="5ABDB885" w14:textId="77777777" w:rsidR="00A720EB" w:rsidRDefault="0030286B">
            <w:pPr>
              <w:pStyle w:val="TableParagraph"/>
              <w:spacing w:before="49" w:line="230" w:lineRule="auto"/>
              <w:ind w:right="75"/>
              <w:rPr>
                <w:sz w:val="21"/>
              </w:rPr>
            </w:pPr>
            <w:r>
              <w:rPr>
                <w:color w:val="B02045"/>
                <w:sz w:val="21"/>
              </w:rPr>
              <w:t>USE_START_ST OP_DAEMON</w:t>
            </w:r>
          </w:p>
        </w:tc>
        <w:tc>
          <w:tcPr>
            <w:tcW w:w="8551" w:type="dxa"/>
          </w:tcPr>
          <w:p w14:paraId="3B5CA806" w14:textId="77777777" w:rsidR="00A720EB" w:rsidRDefault="0030286B">
            <w:pPr>
              <w:pStyle w:val="TableParagraph"/>
              <w:spacing w:before="84" w:line="280" w:lineRule="auto"/>
              <w:ind w:right="438"/>
              <w:rPr>
                <w:rFonts w:ascii="Cambria" w:hAnsi="Cambria"/>
                <w:sz w:val="21"/>
              </w:rPr>
            </w:pPr>
            <w:r>
              <w:rPr>
                <w:rFonts w:ascii="Cambria" w:hAnsi="Cambria"/>
                <w:color w:val="333333"/>
                <w:w w:val="110"/>
                <w:sz w:val="21"/>
              </w:rPr>
              <w:t xml:space="preserve">Whether the </w:t>
            </w:r>
            <w:r>
              <w:rPr>
                <w:color w:val="B02045"/>
                <w:w w:val="110"/>
                <w:sz w:val="21"/>
              </w:rPr>
              <w:t>start-stop-daemon</w:t>
            </w:r>
            <w:r>
              <w:rPr>
                <w:color w:val="B02045"/>
                <w:spacing w:val="-72"/>
                <w:w w:val="110"/>
                <w:sz w:val="21"/>
              </w:rPr>
              <w:t xml:space="preserve"> </w:t>
            </w:r>
            <w:r>
              <w:rPr>
                <w:rFonts w:ascii="Cambria" w:hAnsi="Cambria"/>
                <w:color w:val="333333"/>
                <w:w w:val="110"/>
                <w:sz w:val="21"/>
              </w:rPr>
              <w:t xml:space="preserve">command, when it’s available, should be used to control the process. Defaults to </w:t>
            </w:r>
            <w:r>
              <w:rPr>
                <w:color w:val="B02045"/>
                <w:w w:val="110"/>
                <w:sz w:val="21"/>
              </w:rPr>
              <w:t>true</w:t>
            </w:r>
            <w:r>
              <w:rPr>
                <w:rFonts w:ascii="Cambria" w:hAnsi="Cambria"/>
                <w:color w:val="333333"/>
                <w:w w:val="110"/>
                <w:sz w:val="21"/>
              </w:rPr>
              <w:t>.</w:t>
            </w:r>
          </w:p>
        </w:tc>
      </w:tr>
      <w:tr w:rsidR="00A720EB" w14:paraId="6C613CD6" w14:textId="77777777">
        <w:trPr>
          <w:trHeight w:val="425"/>
        </w:trPr>
        <w:tc>
          <w:tcPr>
            <w:tcW w:w="1425" w:type="dxa"/>
          </w:tcPr>
          <w:p w14:paraId="548542CC" w14:textId="77777777" w:rsidR="00A720EB" w:rsidRDefault="0030286B">
            <w:pPr>
              <w:pStyle w:val="TableParagraph"/>
              <w:spacing w:before="40"/>
              <w:rPr>
                <w:sz w:val="21"/>
              </w:rPr>
            </w:pPr>
            <w:r>
              <w:rPr>
                <w:color w:val="B02045"/>
                <w:sz w:val="21"/>
              </w:rPr>
              <w:t>PID_FOLDER</w:t>
            </w:r>
          </w:p>
        </w:tc>
        <w:tc>
          <w:tcPr>
            <w:tcW w:w="8551" w:type="dxa"/>
          </w:tcPr>
          <w:p w14:paraId="176081D3" w14:textId="77777777" w:rsidR="00A720EB" w:rsidRDefault="0030286B">
            <w:pPr>
              <w:pStyle w:val="TableParagraph"/>
              <w:spacing w:before="84"/>
              <w:rPr>
                <w:rFonts w:ascii="Cambria"/>
                <w:sz w:val="21"/>
              </w:rPr>
            </w:pPr>
            <w:r>
              <w:rPr>
                <w:rFonts w:ascii="Cambria"/>
                <w:color w:val="333333"/>
                <w:w w:val="110"/>
                <w:sz w:val="21"/>
              </w:rPr>
              <w:t>The root name of the pid folder (</w:t>
            </w:r>
            <w:r>
              <w:rPr>
                <w:color w:val="B02045"/>
                <w:w w:val="110"/>
                <w:sz w:val="21"/>
              </w:rPr>
              <w:t xml:space="preserve">/var/run </w:t>
            </w:r>
            <w:r>
              <w:rPr>
                <w:rFonts w:ascii="Cambria"/>
                <w:color w:val="333333"/>
                <w:w w:val="110"/>
                <w:sz w:val="21"/>
              </w:rPr>
              <w:t>by default).</w:t>
            </w:r>
          </w:p>
        </w:tc>
      </w:tr>
      <w:tr w:rsidR="00A720EB" w14:paraId="20A82439" w14:textId="77777777">
        <w:trPr>
          <w:trHeight w:val="425"/>
        </w:trPr>
        <w:tc>
          <w:tcPr>
            <w:tcW w:w="1425" w:type="dxa"/>
          </w:tcPr>
          <w:p w14:paraId="6967DEFE" w14:textId="77777777" w:rsidR="00A720EB" w:rsidRDefault="0030286B">
            <w:pPr>
              <w:pStyle w:val="TableParagraph"/>
              <w:spacing w:before="40"/>
              <w:rPr>
                <w:sz w:val="21"/>
              </w:rPr>
            </w:pPr>
            <w:r>
              <w:rPr>
                <w:color w:val="B02045"/>
                <w:sz w:val="21"/>
              </w:rPr>
              <w:t>LOG_FOLDER</w:t>
            </w:r>
          </w:p>
        </w:tc>
        <w:tc>
          <w:tcPr>
            <w:tcW w:w="8551" w:type="dxa"/>
          </w:tcPr>
          <w:p w14:paraId="50E29CD9" w14:textId="77777777" w:rsidR="00A720EB" w:rsidRDefault="0030286B">
            <w:pPr>
              <w:pStyle w:val="TableParagraph"/>
              <w:spacing w:before="84"/>
              <w:rPr>
                <w:rFonts w:ascii="Cambria"/>
                <w:sz w:val="21"/>
              </w:rPr>
            </w:pPr>
            <w:r>
              <w:rPr>
                <w:rFonts w:ascii="Cambria"/>
                <w:color w:val="333333"/>
                <w:w w:val="110"/>
                <w:sz w:val="21"/>
              </w:rPr>
              <w:t>The name of the folder in which to put log files (</w:t>
            </w:r>
            <w:r>
              <w:rPr>
                <w:color w:val="B02045"/>
                <w:w w:val="110"/>
                <w:sz w:val="21"/>
              </w:rPr>
              <w:t xml:space="preserve">/var/log </w:t>
            </w:r>
            <w:r>
              <w:rPr>
                <w:rFonts w:ascii="Cambria"/>
                <w:color w:val="333333"/>
                <w:w w:val="110"/>
                <w:sz w:val="21"/>
              </w:rPr>
              <w:t>by default).</w:t>
            </w:r>
          </w:p>
        </w:tc>
      </w:tr>
      <w:tr w:rsidR="00A720EB" w14:paraId="0236A642" w14:textId="77777777">
        <w:trPr>
          <w:trHeight w:val="741"/>
        </w:trPr>
        <w:tc>
          <w:tcPr>
            <w:tcW w:w="1425" w:type="dxa"/>
          </w:tcPr>
          <w:p w14:paraId="6D826E0E" w14:textId="77777777" w:rsidR="00A720EB" w:rsidRDefault="0030286B">
            <w:pPr>
              <w:pStyle w:val="TableParagraph"/>
              <w:spacing w:before="40"/>
              <w:rPr>
                <w:sz w:val="21"/>
              </w:rPr>
            </w:pPr>
            <w:r>
              <w:rPr>
                <w:color w:val="B02045"/>
                <w:sz w:val="21"/>
              </w:rPr>
              <w:t>CONF_FOLDER</w:t>
            </w:r>
          </w:p>
        </w:tc>
        <w:tc>
          <w:tcPr>
            <w:tcW w:w="8551" w:type="dxa"/>
          </w:tcPr>
          <w:p w14:paraId="3FC4F6A3" w14:textId="77777777" w:rsidR="00A720EB" w:rsidRDefault="0030286B">
            <w:pPr>
              <w:pStyle w:val="TableParagraph"/>
              <w:spacing w:before="31" w:line="310" w:lineRule="atLeast"/>
              <w:rPr>
                <w:rFonts w:ascii="Cambria"/>
                <w:sz w:val="21"/>
              </w:rPr>
            </w:pPr>
            <w:r>
              <w:rPr>
                <w:rFonts w:ascii="Cambria"/>
                <w:color w:val="333333"/>
                <w:w w:val="110"/>
                <w:sz w:val="21"/>
              </w:rPr>
              <w:t>The name of the folder from which to read .conf files (same folder as jar-file by default).</w:t>
            </w:r>
          </w:p>
        </w:tc>
      </w:tr>
      <w:tr w:rsidR="00A720EB" w14:paraId="79807F1C" w14:textId="77777777">
        <w:trPr>
          <w:trHeight w:val="425"/>
        </w:trPr>
        <w:tc>
          <w:tcPr>
            <w:tcW w:w="1425" w:type="dxa"/>
          </w:tcPr>
          <w:p w14:paraId="0594D9B1" w14:textId="77777777" w:rsidR="00A720EB" w:rsidRDefault="0030286B">
            <w:pPr>
              <w:pStyle w:val="TableParagraph"/>
              <w:spacing w:before="40"/>
              <w:rPr>
                <w:sz w:val="21"/>
              </w:rPr>
            </w:pPr>
            <w:r>
              <w:rPr>
                <w:color w:val="B02045"/>
                <w:sz w:val="21"/>
              </w:rPr>
              <w:t>LOG_FILENAME</w:t>
            </w:r>
          </w:p>
        </w:tc>
        <w:tc>
          <w:tcPr>
            <w:tcW w:w="8551" w:type="dxa"/>
          </w:tcPr>
          <w:p w14:paraId="3A70191F" w14:textId="77777777" w:rsidR="00A720EB" w:rsidRDefault="0030286B">
            <w:pPr>
              <w:pStyle w:val="TableParagraph"/>
              <w:spacing w:before="84"/>
              <w:rPr>
                <w:rFonts w:ascii="Cambria"/>
                <w:sz w:val="21"/>
              </w:rPr>
            </w:pPr>
            <w:r>
              <w:rPr>
                <w:rFonts w:ascii="Cambria"/>
                <w:color w:val="333333"/>
                <w:w w:val="110"/>
                <w:sz w:val="21"/>
              </w:rPr>
              <w:t xml:space="preserve">The name of the log file in the </w:t>
            </w:r>
            <w:r>
              <w:rPr>
                <w:color w:val="B02045"/>
                <w:w w:val="110"/>
                <w:sz w:val="21"/>
              </w:rPr>
              <w:t>LOG_FOLDER</w:t>
            </w:r>
            <w:r>
              <w:rPr>
                <w:color w:val="B02045"/>
                <w:spacing w:val="-67"/>
                <w:w w:val="110"/>
                <w:sz w:val="21"/>
              </w:rPr>
              <w:t xml:space="preserve"> </w:t>
            </w:r>
            <w:r>
              <w:rPr>
                <w:rFonts w:ascii="Cambria"/>
                <w:color w:val="333333"/>
                <w:w w:val="110"/>
                <w:sz w:val="21"/>
              </w:rPr>
              <w:t>(</w:t>
            </w:r>
            <w:r>
              <w:rPr>
                <w:color w:val="B02045"/>
                <w:w w:val="110"/>
                <w:sz w:val="21"/>
              </w:rPr>
              <w:t>&lt;appname&gt;.log</w:t>
            </w:r>
            <w:r>
              <w:rPr>
                <w:color w:val="B02045"/>
                <w:spacing w:val="-67"/>
                <w:w w:val="110"/>
                <w:sz w:val="21"/>
              </w:rPr>
              <w:t xml:space="preserve"> </w:t>
            </w:r>
            <w:r>
              <w:rPr>
                <w:rFonts w:ascii="Cambria"/>
                <w:color w:val="333333"/>
                <w:spacing w:val="-3"/>
                <w:w w:val="110"/>
                <w:sz w:val="21"/>
              </w:rPr>
              <w:t xml:space="preserve">by </w:t>
            </w:r>
            <w:r>
              <w:rPr>
                <w:rFonts w:ascii="Cambria"/>
                <w:color w:val="333333"/>
                <w:w w:val="110"/>
                <w:sz w:val="21"/>
              </w:rPr>
              <w:t>default).</w:t>
            </w:r>
          </w:p>
        </w:tc>
      </w:tr>
      <w:tr w:rsidR="00A720EB" w14:paraId="5D9C8557" w14:textId="77777777">
        <w:trPr>
          <w:trHeight w:val="1056"/>
        </w:trPr>
        <w:tc>
          <w:tcPr>
            <w:tcW w:w="1425" w:type="dxa"/>
          </w:tcPr>
          <w:p w14:paraId="51994351" w14:textId="77777777" w:rsidR="00A720EB" w:rsidRDefault="0030286B">
            <w:pPr>
              <w:pStyle w:val="TableParagraph"/>
              <w:spacing w:before="40"/>
              <w:rPr>
                <w:sz w:val="21"/>
              </w:rPr>
            </w:pPr>
            <w:r>
              <w:rPr>
                <w:color w:val="B02045"/>
                <w:sz w:val="21"/>
              </w:rPr>
              <w:t>APP_NAME</w:t>
            </w:r>
          </w:p>
        </w:tc>
        <w:tc>
          <w:tcPr>
            <w:tcW w:w="8551" w:type="dxa"/>
          </w:tcPr>
          <w:p w14:paraId="7FB854DC" w14:textId="77777777" w:rsidR="00A720EB" w:rsidRDefault="0030286B">
            <w:pPr>
              <w:pStyle w:val="TableParagraph"/>
              <w:spacing w:before="31" w:line="310" w:lineRule="atLeast"/>
              <w:ind w:right="279"/>
              <w:rPr>
                <w:rFonts w:ascii="Cambria"/>
                <w:sz w:val="21"/>
              </w:rPr>
            </w:pPr>
            <w:r>
              <w:rPr>
                <w:rFonts w:ascii="Cambria"/>
                <w:color w:val="333333"/>
                <w:w w:val="110"/>
                <w:sz w:val="21"/>
              </w:rPr>
              <w:t>The name of the app. If the jar is run from a symlink, the script guesses the app name. If it is not a symlink or you want to explicitly set the app name, this can be useful.</w:t>
            </w:r>
          </w:p>
        </w:tc>
      </w:tr>
      <w:tr w:rsidR="00A720EB" w14:paraId="2BCC04F3" w14:textId="77777777">
        <w:trPr>
          <w:trHeight w:val="425"/>
        </w:trPr>
        <w:tc>
          <w:tcPr>
            <w:tcW w:w="1425" w:type="dxa"/>
          </w:tcPr>
          <w:p w14:paraId="58B4398A" w14:textId="77777777" w:rsidR="00A720EB" w:rsidRDefault="0030286B">
            <w:pPr>
              <w:pStyle w:val="TableParagraph"/>
              <w:spacing w:before="40"/>
              <w:rPr>
                <w:sz w:val="21"/>
              </w:rPr>
            </w:pPr>
            <w:r>
              <w:rPr>
                <w:color w:val="B02045"/>
                <w:sz w:val="21"/>
              </w:rPr>
              <w:t>RUN_ARGS</w:t>
            </w:r>
          </w:p>
        </w:tc>
        <w:tc>
          <w:tcPr>
            <w:tcW w:w="8551" w:type="dxa"/>
          </w:tcPr>
          <w:p w14:paraId="1510424B" w14:textId="77777777" w:rsidR="00A720EB" w:rsidRDefault="0030286B">
            <w:pPr>
              <w:pStyle w:val="TableParagraph"/>
              <w:spacing w:before="94"/>
              <w:rPr>
                <w:rFonts w:ascii="Cambria"/>
                <w:sz w:val="21"/>
              </w:rPr>
            </w:pPr>
            <w:r>
              <w:rPr>
                <w:rFonts w:ascii="Cambria"/>
                <w:color w:val="333333"/>
                <w:w w:val="110"/>
                <w:sz w:val="21"/>
              </w:rPr>
              <w:t>The arguments to pass to the program (the Spring Boot app).</w:t>
            </w:r>
          </w:p>
        </w:tc>
      </w:tr>
      <w:tr w:rsidR="00A720EB" w14:paraId="255A002F" w14:textId="77777777">
        <w:trPr>
          <w:trHeight w:val="741"/>
        </w:trPr>
        <w:tc>
          <w:tcPr>
            <w:tcW w:w="1425" w:type="dxa"/>
          </w:tcPr>
          <w:p w14:paraId="4CE69F9D" w14:textId="77777777" w:rsidR="00A720EB" w:rsidRDefault="0030286B">
            <w:pPr>
              <w:pStyle w:val="TableParagraph"/>
              <w:spacing w:before="40"/>
              <w:rPr>
                <w:sz w:val="21"/>
              </w:rPr>
            </w:pPr>
            <w:r>
              <w:rPr>
                <w:color w:val="B02045"/>
                <w:sz w:val="21"/>
              </w:rPr>
              <w:t>JAVA_HOME</w:t>
            </w:r>
          </w:p>
        </w:tc>
        <w:tc>
          <w:tcPr>
            <w:tcW w:w="8551" w:type="dxa"/>
          </w:tcPr>
          <w:p w14:paraId="468632DC" w14:textId="77777777" w:rsidR="00A720EB" w:rsidRDefault="0030286B">
            <w:pPr>
              <w:pStyle w:val="TableParagraph"/>
              <w:spacing w:before="84" w:line="280" w:lineRule="auto"/>
              <w:ind w:right="113"/>
              <w:rPr>
                <w:rFonts w:ascii="Cambria"/>
                <w:sz w:val="21"/>
              </w:rPr>
            </w:pPr>
            <w:r>
              <w:rPr>
                <w:rFonts w:ascii="Cambria"/>
                <w:color w:val="333333"/>
                <w:w w:val="110"/>
                <w:sz w:val="21"/>
              </w:rPr>
              <w:t xml:space="preserve">The location of the </w:t>
            </w:r>
            <w:r>
              <w:rPr>
                <w:color w:val="B02045"/>
                <w:w w:val="110"/>
                <w:sz w:val="21"/>
              </w:rPr>
              <w:t>java</w:t>
            </w:r>
            <w:r>
              <w:rPr>
                <w:color w:val="B02045"/>
                <w:spacing w:val="-64"/>
                <w:w w:val="110"/>
                <w:sz w:val="21"/>
              </w:rPr>
              <w:t xml:space="preserve"> </w:t>
            </w:r>
            <w:r>
              <w:rPr>
                <w:rFonts w:ascii="Cambria"/>
                <w:color w:val="333333"/>
                <w:w w:val="110"/>
                <w:sz w:val="21"/>
              </w:rPr>
              <w:t xml:space="preserve">executable is discovered </w:t>
            </w:r>
            <w:r>
              <w:rPr>
                <w:rFonts w:ascii="Cambria"/>
                <w:color w:val="333333"/>
                <w:spacing w:val="-3"/>
                <w:w w:val="110"/>
                <w:sz w:val="21"/>
              </w:rPr>
              <w:t>by</w:t>
            </w:r>
            <w:r>
              <w:rPr>
                <w:rFonts w:ascii="Cambria"/>
                <w:color w:val="333333"/>
                <w:w w:val="110"/>
                <w:sz w:val="21"/>
              </w:rPr>
              <w:t xml:space="preserve"> using the </w:t>
            </w:r>
            <w:r>
              <w:rPr>
                <w:color w:val="B02045"/>
                <w:w w:val="110"/>
                <w:sz w:val="21"/>
              </w:rPr>
              <w:t>PATH</w:t>
            </w:r>
            <w:r>
              <w:rPr>
                <w:color w:val="B02045"/>
                <w:spacing w:val="-64"/>
                <w:w w:val="110"/>
                <w:sz w:val="21"/>
              </w:rPr>
              <w:t xml:space="preserve"> </w:t>
            </w:r>
            <w:r>
              <w:rPr>
                <w:rFonts w:ascii="Cambria"/>
                <w:color w:val="333333"/>
                <w:spacing w:val="-3"/>
                <w:w w:val="110"/>
                <w:sz w:val="21"/>
              </w:rPr>
              <w:t>by</w:t>
            </w:r>
            <w:r>
              <w:rPr>
                <w:rFonts w:ascii="Cambria"/>
                <w:color w:val="333333"/>
                <w:w w:val="110"/>
                <w:sz w:val="21"/>
              </w:rPr>
              <w:t xml:space="preserve"> default, but you can set it explicitly if there is an executable file at </w:t>
            </w:r>
            <w:r>
              <w:rPr>
                <w:color w:val="B02045"/>
                <w:w w:val="110"/>
                <w:sz w:val="21"/>
              </w:rPr>
              <w:t>$JAVA_HOME/bin/java</w:t>
            </w:r>
            <w:r>
              <w:rPr>
                <w:rFonts w:ascii="Cambria"/>
                <w:color w:val="333333"/>
                <w:w w:val="110"/>
                <w:sz w:val="21"/>
              </w:rPr>
              <w:t>.</w:t>
            </w:r>
          </w:p>
        </w:tc>
      </w:tr>
    </w:tbl>
    <w:p w14:paraId="08C5D1E3" w14:textId="77777777" w:rsidR="00A720EB" w:rsidRDefault="00A720EB">
      <w:pPr>
        <w:spacing w:line="280" w:lineRule="auto"/>
        <w:rPr>
          <w:sz w:val="21"/>
        </w:rPr>
        <w:sectPr w:rsidR="00A720EB">
          <w:pgSz w:w="11910" w:h="16840"/>
          <w:pgMar w:top="70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425"/>
        <w:gridCol w:w="8551"/>
      </w:tblGrid>
      <w:tr w:rsidR="00A720EB" w14:paraId="7C07F0AA" w14:textId="77777777">
        <w:trPr>
          <w:trHeight w:val="415"/>
        </w:trPr>
        <w:tc>
          <w:tcPr>
            <w:tcW w:w="1425" w:type="dxa"/>
            <w:tcBorders>
              <w:bottom w:val="single" w:sz="12" w:space="0" w:color="DDDDDD"/>
            </w:tcBorders>
          </w:tcPr>
          <w:p w14:paraId="28119788"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Variable</w:t>
            </w:r>
          </w:p>
        </w:tc>
        <w:tc>
          <w:tcPr>
            <w:tcW w:w="8551" w:type="dxa"/>
            <w:tcBorders>
              <w:bottom w:val="single" w:sz="12" w:space="0" w:color="DDDDDD"/>
            </w:tcBorders>
          </w:tcPr>
          <w:p w14:paraId="45EEFA5F"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822BBBD" w14:textId="77777777">
        <w:trPr>
          <w:trHeight w:val="415"/>
        </w:trPr>
        <w:tc>
          <w:tcPr>
            <w:tcW w:w="1425" w:type="dxa"/>
            <w:tcBorders>
              <w:top w:val="single" w:sz="12" w:space="0" w:color="DDDDDD"/>
            </w:tcBorders>
          </w:tcPr>
          <w:p w14:paraId="57A8A803" w14:textId="77777777" w:rsidR="00A720EB" w:rsidRDefault="0030286B">
            <w:pPr>
              <w:pStyle w:val="TableParagraph"/>
              <w:spacing w:before="27"/>
              <w:rPr>
                <w:sz w:val="21"/>
              </w:rPr>
            </w:pPr>
            <w:r>
              <w:rPr>
                <w:color w:val="B02045"/>
                <w:sz w:val="21"/>
              </w:rPr>
              <w:t>JAVA_OPTS</w:t>
            </w:r>
          </w:p>
        </w:tc>
        <w:tc>
          <w:tcPr>
            <w:tcW w:w="8551" w:type="dxa"/>
            <w:tcBorders>
              <w:top w:val="single" w:sz="12" w:space="0" w:color="DDDDDD"/>
            </w:tcBorders>
          </w:tcPr>
          <w:p w14:paraId="7C425779" w14:textId="77777777" w:rsidR="00A720EB" w:rsidRDefault="0030286B">
            <w:pPr>
              <w:pStyle w:val="TableParagraph"/>
              <w:spacing w:before="82"/>
              <w:rPr>
                <w:rFonts w:ascii="Cambria"/>
                <w:sz w:val="21"/>
              </w:rPr>
            </w:pPr>
            <w:r>
              <w:rPr>
                <w:rFonts w:ascii="Cambria"/>
                <w:color w:val="333333"/>
                <w:w w:val="110"/>
                <w:sz w:val="21"/>
              </w:rPr>
              <w:t>Options that are passed to the JVM when it is launched.</w:t>
            </w:r>
          </w:p>
        </w:tc>
      </w:tr>
      <w:tr w:rsidR="00A720EB" w14:paraId="08C4018D" w14:textId="77777777">
        <w:trPr>
          <w:trHeight w:val="741"/>
        </w:trPr>
        <w:tc>
          <w:tcPr>
            <w:tcW w:w="1425" w:type="dxa"/>
          </w:tcPr>
          <w:p w14:paraId="07890207" w14:textId="77777777" w:rsidR="00A720EB" w:rsidRDefault="0030286B">
            <w:pPr>
              <w:pStyle w:val="TableParagraph"/>
              <w:rPr>
                <w:sz w:val="21"/>
              </w:rPr>
            </w:pPr>
            <w:r>
              <w:rPr>
                <w:color w:val="B02045"/>
                <w:sz w:val="21"/>
              </w:rPr>
              <w:t>JARFILE</w:t>
            </w:r>
          </w:p>
        </w:tc>
        <w:tc>
          <w:tcPr>
            <w:tcW w:w="8551" w:type="dxa"/>
          </w:tcPr>
          <w:p w14:paraId="2E1F7B25" w14:textId="77777777" w:rsidR="00A720EB" w:rsidRDefault="0030286B">
            <w:pPr>
              <w:pStyle w:val="TableParagraph"/>
              <w:spacing w:before="28" w:line="310" w:lineRule="atLeast"/>
              <w:ind w:right="279"/>
              <w:rPr>
                <w:rFonts w:ascii="Cambria"/>
                <w:sz w:val="21"/>
              </w:rPr>
            </w:pPr>
            <w:r>
              <w:rPr>
                <w:rFonts w:ascii="Cambria"/>
                <w:color w:val="333333"/>
                <w:w w:val="110"/>
                <w:sz w:val="21"/>
              </w:rPr>
              <w:t>The explicit location of the jar file, in case the script is being used to launch a jar that it is not actually embedded.</w:t>
            </w:r>
          </w:p>
        </w:tc>
      </w:tr>
      <w:tr w:rsidR="00A720EB" w14:paraId="10AB8E51" w14:textId="77777777">
        <w:trPr>
          <w:trHeight w:val="741"/>
        </w:trPr>
        <w:tc>
          <w:tcPr>
            <w:tcW w:w="1425" w:type="dxa"/>
          </w:tcPr>
          <w:p w14:paraId="627C4028" w14:textId="77777777" w:rsidR="00A720EB" w:rsidRDefault="0030286B">
            <w:pPr>
              <w:pStyle w:val="TableParagraph"/>
              <w:rPr>
                <w:sz w:val="21"/>
              </w:rPr>
            </w:pPr>
            <w:r>
              <w:rPr>
                <w:color w:val="B02045"/>
                <w:sz w:val="21"/>
              </w:rPr>
              <w:t>DEBUG</w:t>
            </w:r>
          </w:p>
        </w:tc>
        <w:tc>
          <w:tcPr>
            <w:tcW w:w="8551" w:type="dxa"/>
          </w:tcPr>
          <w:p w14:paraId="53B638BD" w14:textId="77777777" w:rsidR="00A720EB" w:rsidRDefault="0030286B">
            <w:pPr>
              <w:pStyle w:val="TableParagraph"/>
              <w:spacing w:before="81" w:line="290" w:lineRule="auto"/>
              <w:ind w:right="156"/>
              <w:rPr>
                <w:rFonts w:ascii="Cambria"/>
                <w:sz w:val="21"/>
              </w:rPr>
            </w:pPr>
            <w:r>
              <w:rPr>
                <w:rFonts w:ascii="Cambria"/>
                <w:color w:val="333333"/>
                <w:w w:val="110"/>
                <w:sz w:val="21"/>
              </w:rPr>
              <w:t xml:space="preserve">If not empty, sets the </w:t>
            </w:r>
            <w:r>
              <w:rPr>
                <w:color w:val="B02045"/>
                <w:w w:val="110"/>
                <w:sz w:val="21"/>
              </w:rPr>
              <w:t xml:space="preserve">-x </w:t>
            </w:r>
            <w:r>
              <w:rPr>
                <w:rFonts w:ascii="Cambria"/>
                <w:color w:val="333333"/>
                <w:w w:val="110"/>
                <w:sz w:val="21"/>
              </w:rPr>
              <w:t>flag on the shell process, allowing you to see the logic in the script.</w:t>
            </w:r>
          </w:p>
        </w:tc>
      </w:tr>
      <w:tr w:rsidR="00A720EB" w14:paraId="0E97DCAA" w14:textId="77777777">
        <w:trPr>
          <w:trHeight w:val="741"/>
        </w:trPr>
        <w:tc>
          <w:tcPr>
            <w:tcW w:w="1425" w:type="dxa"/>
          </w:tcPr>
          <w:p w14:paraId="207F833B" w14:textId="77777777" w:rsidR="00A720EB" w:rsidRDefault="0030286B">
            <w:pPr>
              <w:pStyle w:val="TableParagraph"/>
              <w:spacing w:before="46" w:line="230" w:lineRule="auto"/>
              <w:ind w:right="75"/>
              <w:rPr>
                <w:sz w:val="21"/>
              </w:rPr>
            </w:pPr>
            <w:r>
              <w:rPr>
                <w:color w:val="B02045"/>
                <w:sz w:val="21"/>
              </w:rPr>
              <w:t>STOP_WAIT_TI ME</w:t>
            </w:r>
          </w:p>
        </w:tc>
        <w:tc>
          <w:tcPr>
            <w:tcW w:w="8551" w:type="dxa"/>
          </w:tcPr>
          <w:p w14:paraId="56DA450D" w14:textId="77777777" w:rsidR="00A720EB" w:rsidRDefault="0030286B">
            <w:pPr>
              <w:pStyle w:val="TableParagraph"/>
              <w:spacing w:before="8" w:line="330" w:lineRule="atLeast"/>
              <w:ind w:right="279"/>
              <w:rPr>
                <w:rFonts w:ascii="Cambria"/>
                <w:sz w:val="21"/>
              </w:rPr>
            </w:pPr>
            <w:r>
              <w:rPr>
                <w:rFonts w:ascii="Cambria"/>
                <w:color w:val="333333"/>
                <w:w w:val="110"/>
                <w:sz w:val="21"/>
              </w:rPr>
              <w:t>The time in seconds to wait when stopping the application before forcing a shutdown (</w:t>
            </w:r>
            <w:r>
              <w:rPr>
                <w:color w:val="B02045"/>
                <w:w w:val="110"/>
                <w:sz w:val="21"/>
              </w:rPr>
              <w:t>60</w:t>
            </w:r>
            <w:r>
              <w:rPr>
                <w:color w:val="B02045"/>
                <w:spacing w:val="-54"/>
                <w:w w:val="110"/>
                <w:sz w:val="21"/>
              </w:rPr>
              <w:t xml:space="preserve"> </w:t>
            </w:r>
            <w:r>
              <w:rPr>
                <w:rFonts w:ascii="Cambria"/>
                <w:color w:val="333333"/>
                <w:spacing w:val="-3"/>
                <w:w w:val="110"/>
                <w:sz w:val="21"/>
              </w:rPr>
              <w:t xml:space="preserve">by </w:t>
            </w:r>
            <w:r>
              <w:rPr>
                <w:rFonts w:ascii="Cambria"/>
                <w:color w:val="333333"/>
                <w:w w:val="110"/>
                <w:sz w:val="21"/>
              </w:rPr>
              <w:t>default).</w:t>
            </w:r>
          </w:p>
        </w:tc>
      </w:tr>
    </w:tbl>
    <w:p w14:paraId="72F93089" w14:textId="77777777" w:rsidR="00A720EB" w:rsidRDefault="00A720EB">
      <w:pPr>
        <w:pStyle w:val="a3"/>
        <w:spacing w:before="2"/>
        <w:rPr>
          <w:sz w:val="19"/>
        </w:rPr>
      </w:pPr>
    </w:p>
    <w:p w14:paraId="5CC7DC3F" w14:textId="77777777" w:rsidR="00A720EB" w:rsidRDefault="00E10349">
      <w:pPr>
        <w:pStyle w:val="a3"/>
        <w:spacing w:before="116" w:line="285" w:lineRule="auto"/>
        <w:ind w:left="1564" w:right="362"/>
        <w:jc w:val="both"/>
      </w:pPr>
      <w:r>
        <w:pict w14:anchorId="33B8E0F5">
          <v:line id="_x0000_s1802" style="position:absolute;left:0;text-align:left;z-index:16304640;mso-position-horizontal-relative:page" from="108.25pt,.35pt" to="108.25pt,55.7pt" strokecolor="#ededed" strokeweight=".5pt">
            <w10:wrap anchorx="page"/>
          </v:line>
        </w:pict>
      </w:r>
      <w:r w:rsidR="0030286B">
        <w:rPr>
          <w:noProof/>
        </w:rPr>
        <w:drawing>
          <wp:anchor distT="0" distB="0" distL="0" distR="0" simplePos="0" relativeHeight="16305152" behindDoc="0" locked="0" layoutInCell="1" allowOverlap="1" wp14:anchorId="569AD4AB" wp14:editId="0CDD90C5">
            <wp:simplePos x="0" y="0"/>
            <wp:positionH relativeFrom="page">
              <wp:posOffset>844422</wp:posOffset>
            </wp:positionH>
            <wp:positionV relativeFrom="paragraph">
              <wp:posOffset>206450</wp:posOffset>
            </wp:positionV>
            <wp:extent cx="298450" cy="298450"/>
            <wp:effectExtent l="0" t="0" r="0" b="0"/>
            <wp:wrapNone/>
            <wp:docPr id="6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The</w:t>
      </w:r>
      <w:r w:rsidR="0030286B">
        <w:rPr>
          <w:color w:val="333333"/>
          <w:spacing w:val="-16"/>
          <w:w w:val="110"/>
        </w:rPr>
        <w:t xml:space="preserve"> </w:t>
      </w:r>
      <w:r w:rsidR="0030286B">
        <w:rPr>
          <w:rFonts w:ascii="MS Gothic" w:hAnsi="MS Gothic"/>
          <w:color w:val="B02045"/>
          <w:w w:val="110"/>
        </w:rPr>
        <w:t>PID_FOLDER</w:t>
      </w:r>
      <w:r w:rsidR="0030286B">
        <w:rPr>
          <w:color w:val="333333"/>
          <w:w w:val="110"/>
        </w:rPr>
        <w:t>,</w:t>
      </w:r>
      <w:r w:rsidR="0030286B">
        <w:rPr>
          <w:color w:val="333333"/>
          <w:spacing w:val="-16"/>
          <w:w w:val="110"/>
        </w:rPr>
        <w:t xml:space="preserve"> </w:t>
      </w:r>
      <w:r w:rsidR="0030286B">
        <w:rPr>
          <w:rFonts w:ascii="MS Gothic" w:hAnsi="MS Gothic"/>
          <w:color w:val="B02045"/>
          <w:w w:val="110"/>
        </w:rPr>
        <w:t>LOG_FOLDER</w:t>
      </w:r>
      <w:r w:rsidR="0030286B">
        <w:rPr>
          <w:color w:val="333333"/>
          <w:w w:val="110"/>
        </w:rPr>
        <w:t>,</w:t>
      </w:r>
      <w:r w:rsidR="0030286B">
        <w:rPr>
          <w:color w:val="333333"/>
          <w:spacing w:val="-16"/>
          <w:w w:val="110"/>
        </w:rPr>
        <w:t xml:space="preserve"> </w:t>
      </w:r>
      <w:r w:rsidR="0030286B">
        <w:rPr>
          <w:color w:val="333333"/>
          <w:w w:val="110"/>
        </w:rPr>
        <w:t>and</w:t>
      </w:r>
      <w:r w:rsidR="0030286B">
        <w:rPr>
          <w:color w:val="333333"/>
          <w:spacing w:val="-15"/>
          <w:w w:val="110"/>
        </w:rPr>
        <w:t xml:space="preserve"> </w:t>
      </w:r>
      <w:r w:rsidR="0030286B">
        <w:rPr>
          <w:rFonts w:ascii="MS Gothic" w:hAnsi="MS Gothic"/>
          <w:color w:val="B02045"/>
          <w:w w:val="110"/>
        </w:rPr>
        <w:t>LOG_FILENAME</w:t>
      </w:r>
      <w:r w:rsidR="0030286B">
        <w:rPr>
          <w:rFonts w:ascii="MS Gothic" w:hAnsi="MS Gothic"/>
          <w:color w:val="B02045"/>
          <w:spacing w:val="-81"/>
          <w:w w:val="110"/>
        </w:rPr>
        <w:t xml:space="preserve"> </w:t>
      </w:r>
      <w:r w:rsidR="0030286B">
        <w:rPr>
          <w:color w:val="333333"/>
          <w:w w:val="110"/>
        </w:rPr>
        <w:t>variables</w:t>
      </w:r>
      <w:r w:rsidR="0030286B">
        <w:rPr>
          <w:color w:val="333333"/>
          <w:spacing w:val="-16"/>
          <w:w w:val="110"/>
        </w:rPr>
        <w:t xml:space="preserve"> </w:t>
      </w:r>
      <w:r w:rsidR="0030286B">
        <w:rPr>
          <w:color w:val="333333"/>
          <w:w w:val="110"/>
        </w:rPr>
        <w:t>are</w:t>
      </w:r>
      <w:r w:rsidR="0030286B">
        <w:rPr>
          <w:color w:val="333333"/>
          <w:spacing w:val="-16"/>
          <w:w w:val="110"/>
        </w:rPr>
        <w:t xml:space="preserve"> </w:t>
      </w:r>
      <w:r w:rsidR="0030286B">
        <w:rPr>
          <w:color w:val="333333"/>
          <w:w w:val="110"/>
        </w:rPr>
        <w:t>only</w:t>
      </w:r>
      <w:r w:rsidR="0030286B">
        <w:rPr>
          <w:color w:val="333333"/>
          <w:spacing w:val="-16"/>
          <w:w w:val="110"/>
        </w:rPr>
        <w:t xml:space="preserve"> </w:t>
      </w:r>
      <w:r w:rsidR="0030286B">
        <w:rPr>
          <w:color w:val="333333"/>
          <w:w w:val="110"/>
        </w:rPr>
        <w:t>valid</w:t>
      </w:r>
      <w:r w:rsidR="0030286B">
        <w:rPr>
          <w:color w:val="333333"/>
          <w:spacing w:val="-15"/>
          <w:w w:val="110"/>
        </w:rPr>
        <w:t xml:space="preserve"> </w:t>
      </w:r>
      <w:r w:rsidR="0030286B">
        <w:rPr>
          <w:color w:val="333333"/>
          <w:w w:val="110"/>
        </w:rPr>
        <w:t>for</w:t>
      </w:r>
      <w:r w:rsidR="0030286B">
        <w:rPr>
          <w:color w:val="333333"/>
          <w:spacing w:val="-16"/>
          <w:w w:val="110"/>
        </w:rPr>
        <w:t xml:space="preserve"> </w:t>
      </w:r>
      <w:r w:rsidR="0030286B">
        <w:rPr>
          <w:color w:val="333333"/>
          <w:w w:val="110"/>
        </w:rPr>
        <w:t>an</w:t>
      </w:r>
      <w:r w:rsidR="0030286B">
        <w:rPr>
          <w:color w:val="333333"/>
          <w:spacing w:val="-16"/>
          <w:w w:val="110"/>
        </w:rPr>
        <w:t xml:space="preserve"> </w:t>
      </w:r>
      <w:proofErr w:type="gramStart"/>
      <w:r w:rsidR="0030286B">
        <w:rPr>
          <w:rFonts w:ascii="MS Gothic" w:hAnsi="MS Gothic"/>
          <w:color w:val="B02045"/>
          <w:w w:val="110"/>
        </w:rPr>
        <w:t>init.d</w:t>
      </w:r>
      <w:proofErr w:type="gramEnd"/>
      <w:r w:rsidR="0030286B">
        <w:rPr>
          <w:rFonts w:ascii="MS Gothic" w:hAnsi="MS Gothic"/>
          <w:color w:val="B02045"/>
          <w:w w:val="110"/>
        </w:rPr>
        <w:t xml:space="preserve"> </w:t>
      </w:r>
      <w:r w:rsidR="0030286B">
        <w:rPr>
          <w:color w:val="333333"/>
          <w:w w:val="110"/>
        </w:rPr>
        <w:t xml:space="preserve">service. </w:t>
      </w:r>
      <w:r w:rsidR="0030286B">
        <w:rPr>
          <w:color w:val="333333"/>
          <w:spacing w:val="-4"/>
          <w:w w:val="110"/>
        </w:rPr>
        <w:t xml:space="preserve">For </w:t>
      </w:r>
      <w:r w:rsidR="0030286B">
        <w:rPr>
          <w:rFonts w:ascii="MS Gothic" w:hAnsi="MS Gothic"/>
          <w:color w:val="B02045"/>
          <w:w w:val="110"/>
        </w:rPr>
        <w:t>systemd</w:t>
      </w:r>
      <w:r w:rsidR="0030286B">
        <w:rPr>
          <w:color w:val="333333"/>
          <w:w w:val="110"/>
        </w:rPr>
        <w:t xml:space="preserve">, the equivalent customizations are made </w:t>
      </w:r>
      <w:r w:rsidR="0030286B">
        <w:rPr>
          <w:color w:val="333333"/>
          <w:spacing w:val="-3"/>
          <w:w w:val="110"/>
        </w:rPr>
        <w:t xml:space="preserve">by </w:t>
      </w:r>
      <w:r w:rsidR="0030286B">
        <w:rPr>
          <w:color w:val="333333"/>
          <w:w w:val="110"/>
        </w:rPr>
        <w:t xml:space="preserve">using the ‘service’ script. See the </w:t>
      </w:r>
      <w:hyperlink r:id="rId561">
        <w:r w:rsidR="0030286B">
          <w:rPr>
            <w:color w:val="418BCA"/>
            <w:w w:val="110"/>
          </w:rPr>
          <w:t xml:space="preserve">service unit configuration man page </w:t>
        </w:r>
      </w:hyperlink>
      <w:r w:rsidR="0030286B">
        <w:rPr>
          <w:color w:val="333333"/>
          <w:w w:val="110"/>
        </w:rPr>
        <w:t>for more</w:t>
      </w:r>
      <w:r w:rsidR="0030286B">
        <w:rPr>
          <w:color w:val="333333"/>
          <w:spacing w:val="45"/>
          <w:w w:val="110"/>
        </w:rPr>
        <w:t xml:space="preserve"> </w:t>
      </w:r>
      <w:r w:rsidR="0030286B">
        <w:rPr>
          <w:color w:val="333333"/>
          <w:w w:val="110"/>
        </w:rPr>
        <w:t>details.</w:t>
      </w:r>
    </w:p>
    <w:p w14:paraId="7A594D0D" w14:textId="77777777" w:rsidR="00A720EB" w:rsidRDefault="00A720EB">
      <w:pPr>
        <w:pStyle w:val="a3"/>
        <w:spacing w:before="7"/>
        <w:rPr>
          <w:sz w:val="18"/>
        </w:rPr>
      </w:pPr>
    </w:p>
    <w:p w14:paraId="4EEDE8B4" w14:textId="77777777" w:rsidR="00A720EB" w:rsidRDefault="0030286B">
      <w:pPr>
        <w:pStyle w:val="a3"/>
        <w:spacing w:before="116" w:line="280" w:lineRule="auto"/>
        <w:ind w:left="124" w:right="123"/>
        <w:jc w:val="both"/>
      </w:pPr>
      <w:bookmarkStart w:id="719" w:name="_bookmark490"/>
      <w:bookmarkEnd w:id="719"/>
      <w:r>
        <w:rPr>
          <w:color w:val="333333"/>
          <w:w w:val="110"/>
        </w:rPr>
        <w:t xml:space="preserve">With the exception of </w:t>
      </w:r>
      <w:r>
        <w:rPr>
          <w:rFonts w:ascii="MS Gothic"/>
          <w:color w:val="B02045"/>
          <w:w w:val="110"/>
        </w:rPr>
        <w:t xml:space="preserve">JARFILE </w:t>
      </w:r>
      <w:r>
        <w:rPr>
          <w:color w:val="333333"/>
          <w:w w:val="110"/>
        </w:rPr>
        <w:t xml:space="preserve">and </w:t>
      </w:r>
      <w:r>
        <w:rPr>
          <w:rFonts w:ascii="MS Gothic"/>
          <w:color w:val="B02045"/>
          <w:w w:val="110"/>
        </w:rPr>
        <w:t>APP_NAME</w:t>
      </w:r>
      <w:r>
        <w:rPr>
          <w:color w:val="333333"/>
          <w:w w:val="110"/>
        </w:rPr>
        <w:t xml:space="preserve">, the settings listed in the preceding section can be configured </w:t>
      </w:r>
      <w:r>
        <w:rPr>
          <w:color w:val="333333"/>
          <w:spacing w:val="-3"/>
          <w:w w:val="110"/>
        </w:rPr>
        <w:t xml:space="preserve">by </w:t>
      </w:r>
      <w:r>
        <w:rPr>
          <w:color w:val="333333"/>
          <w:w w:val="110"/>
        </w:rPr>
        <w:t xml:space="preserve">using a </w:t>
      </w:r>
      <w:r>
        <w:rPr>
          <w:rFonts w:ascii="MS Gothic"/>
          <w:color w:val="B02045"/>
          <w:w w:val="110"/>
        </w:rPr>
        <w:t xml:space="preserve">.conf </w:t>
      </w:r>
      <w:r>
        <w:rPr>
          <w:color w:val="333333"/>
          <w:w w:val="110"/>
        </w:rPr>
        <w:t>file. The file is expected to be next to the jar file and have the same</w:t>
      </w:r>
      <w:r>
        <w:rPr>
          <w:color w:val="333333"/>
          <w:spacing w:val="50"/>
          <w:w w:val="110"/>
        </w:rPr>
        <w:t xml:space="preserve"> </w:t>
      </w:r>
      <w:r>
        <w:rPr>
          <w:color w:val="333333"/>
          <w:w w:val="110"/>
        </w:rPr>
        <w:t>name</w:t>
      </w:r>
      <w:r>
        <w:rPr>
          <w:color w:val="333333"/>
          <w:spacing w:val="-4"/>
          <w:w w:val="110"/>
        </w:rPr>
        <w:t xml:space="preserve"> </w:t>
      </w:r>
      <w:r>
        <w:rPr>
          <w:color w:val="333333"/>
          <w:w w:val="110"/>
        </w:rPr>
        <w:t>but</w:t>
      </w:r>
      <w:r>
        <w:rPr>
          <w:color w:val="333333"/>
          <w:spacing w:val="-3"/>
          <w:w w:val="110"/>
        </w:rPr>
        <w:t xml:space="preserve"> </w:t>
      </w:r>
      <w:r>
        <w:rPr>
          <w:color w:val="333333"/>
          <w:w w:val="110"/>
        </w:rPr>
        <w:t>suffixed</w:t>
      </w:r>
      <w:r>
        <w:rPr>
          <w:color w:val="333333"/>
          <w:spacing w:val="-4"/>
          <w:w w:val="110"/>
        </w:rPr>
        <w:t xml:space="preserve"> </w:t>
      </w:r>
      <w:r>
        <w:rPr>
          <w:color w:val="333333"/>
          <w:w w:val="110"/>
        </w:rPr>
        <w:t>with</w:t>
      </w:r>
      <w:r>
        <w:rPr>
          <w:color w:val="333333"/>
          <w:spacing w:val="-2"/>
          <w:w w:val="110"/>
        </w:rPr>
        <w:t xml:space="preserve"> </w:t>
      </w:r>
      <w:r>
        <w:rPr>
          <w:rFonts w:ascii="MS Gothic"/>
          <w:color w:val="B02045"/>
          <w:w w:val="110"/>
        </w:rPr>
        <w:t>.conf</w:t>
      </w:r>
      <w:r>
        <w:rPr>
          <w:rFonts w:ascii="MS Gothic"/>
          <w:color w:val="B02045"/>
          <w:spacing w:val="-68"/>
          <w:w w:val="110"/>
        </w:rPr>
        <w:t xml:space="preserve"> </w:t>
      </w:r>
      <w:r>
        <w:rPr>
          <w:color w:val="333333"/>
          <w:w w:val="110"/>
        </w:rPr>
        <w:t>rather</w:t>
      </w:r>
      <w:r>
        <w:rPr>
          <w:color w:val="333333"/>
          <w:spacing w:val="-4"/>
          <w:w w:val="110"/>
        </w:rPr>
        <w:t xml:space="preserve"> </w:t>
      </w:r>
      <w:r>
        <w:rPr>
          <w:color w:val="333333"/>
          <w:w w:val="110"/>
        </w:rPr>
        <w:t>than</w:t>
      </w:r>
      <w:r>
        <w:rPr>
          <w:color w:val="333333"/>
          <w:spacing w:val="-2"/>
          <w:w w:val="110"/>
        </w:rPr>
        <w:t xml:space="preserve"> </w:t>
      </w:r>
      <w:r>
        <w:rPr>
          <w:rFonts w:ascii="MS Gothic"/>
          <w:color w:val="B02045"/>
          <w:w w:val="110"/>
        </w:rPr>
        <w:t>.jar</w:t>
      </w:r>
      <w:r>
        <w:rPr>
          <w:color w:val="333333"/>
          <w:w w:val="110"/>
        </w:rPr>
        <w:t>.</w:t>
      </w:r>
      <w:r>
        <w:rPr>
          <w:color w:val="333333"/>
          <w:spacing w:val="-4"/>
          <w:w w:val="110"/>
        </w:rPr>
        <w:t xml:space="preserve"> For</w:t>
      </w:r>
      <w:r>
        <w:rPr>
          <w:color w:val="333333"/>
          <w:spacing w:val="-3"/>
          <w:w w:val="110"/>
        </w:rPr>
        <w:t xml:space="preserve"> </w:t>
      </w:r>
      <w:r>
        <w:rPr>
          <w:color w:val="333333"/>
          <w:w w:val="110"/>
        </w:rPr>
        <w:t>example,</w:t>
      </w:r>
      <w:r>
        <w:rPr>
          <w:color w:val="333333"/>
          <w:spacing w:val="-3"/>
          <w:w w:val="110"/>
        </w:rPr>
        <w:t xml:space="preserve"> </w:t>
      </w:r>
      <w:r>
        <w:rPr>
          <w:color w:val="333333"/>
          <w:w w:val="110"/>
        </w:rPr>
        <w:t>a</w:t>
      </w:r>
      <w:r>
        <w:rPr>
          <w:color w:val="333333"/>
          <w:spacing w:val="-4"/>
          <w:w w:val="110"/>
        </w:rPr>
        <w:t xml:space="preserve"> </w:t>
      </w:r>
      <w:r>
        <w:rPr>
          <w:color w:val="333333"/>
          <w:w w:val="110"/>
        </w:rPr>
        <w:t>jar</w:t>
      </w:r>
      <w:r>
        <w:rPr>
          <w:color w:val="333333"/>
          <w:spacing w:val="-3"/>
          <w:w w:val="110"/>
        </w:rPr>
        <w:t xml:space="preserve"> </w:t>
      </w:r>
      <w:r>
        <w:rPr>
          <w:color w:val="333333"/>
          <w:w w:val="110"/>
        </w:rPr>
        <w:t>named</w:t>
      </w:r>
      <w:r>
        <w:rPr>
          <w:color w:val="333333"/>
          <w:spacing w:val="-4"/>
          <w:w w:val="110"/>
        </w:rPr>
        <w:t xml:space="preserve"> </w:t>
      </w:r>
      <w:r>
        <w:rPr>
          <w:rFonts w:ascii="MS Gothic"/>
          <w:color w:val="B02045"/>
          <w:w w:val="110"/>
        </w:rPr>
        <w:t>/var/myapp/myapp.jar</w:t>
      </w:r>
      <w:r>
        <w:rPr>
          <w:rFonts w:ascii="MS Gothic"/>
          <w:color w:val="B02045"/>
          <w:spacing w:val="-68"/>
          <w:w w:val="110"/>
        </w:rPr>
        <w:t xml:space="preserve"> </w:t>
      </w:r>
      <w:r>
        <w:rPr>
          <w:color w:val="333333"/>
          <w:w w:val="110"/>
        </w:rPr>
        <w:t xml:space="preserve">uses the configuration file named </w:t>
      </w:r>
      <w:r>
        <w:rPr>
          <w:rFonts w:ascii="MS Gothic"/>
          <w:color w:val="B02045"/>
          <w:w w:val="110"/>
        </w:rPr>
        <w:t>/var/myapp/myapp.conf</w:t>
      </w:r>
      <w:r>
        <w:rPr>
          <w:color w:val="333333"/>
          <w:w w:val="110"/>
        </w:rPr>
        <w:t>, as shown in the following</w:t>
      </w:r>
      <w:r>
        <w:rPr>
          <w:color w:val="333333"/>
          <w:spacing w:val="-9"/>
          <w:w w:val="110"/>
        </w:rPr>
        <w:t xml:space="preserve"> </w:t>
      </w:r>
      <w:r>
        <w:rPr>
          <w:color w:val="333333"/>
          <w:w w:val="110"/>
        </w:rPr>
        <w:t>example:</w:t>
      </w:r>
    </w:p>
    <w:p w14:paraId="18051A55" w14:textId="77777777" w:rsidR="00A720EB" w:rsidRDefault="00E10349">
      <w:pPr>
        <w:spacing w:before="231"/>
        <w:ind w:left="124"/>
        <w:rPr>
          <w:rFonts w:ascii="Palatino Linotype"/>
          <w:i/>
          <w:sz w:val="20"/>
        </w:rPr>
      </w:pPr>
      <w:r>
        <w:pict w14:anchorId="2B079794">
          <v:group id="_x0000_s1798" style="position:absolute;left:0;text-align:left;margin-left:47.85pt;margin-top:29.3pt;width:499.55pt;height:52.25pt;z-index:-15153152;mso-wrap-distance-left:0;mso-wrap-distance-right:0;mso-position-horizontal-relative:page" coordorigin="957,586" coordsize="9991,1045">
            <v:shape id="_x0000_s1801" style="position:absolute;left:964;top:593;width:9976;height:1030" coordorigin="965,593" coordsize="9976,1030" path="m10861,593r-9816,l1014,600r-26,17l971,642r-6,31l965,1543r6,31l988,1600r26,17l1045,1623r9816,l10892,1617r25,-17l10935,1574r6,-31l10941,673r-6,-31l10917,617r-25,-17l10861,593xe" fillcolor="#f5f5f5" stroked="f">
              <v:path arrowok="t"/>
            </v:shape>
            <v:shape id="_x0000_s1800" style="position:absolute;left:964;top:593;width:9976;height:1030" coordorigin="965,593" coordsize="9976,1030" path="m1045,593r9816,l10892,600r25,17l10935,642r6,31l10941,1543r-6,31l10917,1600r-25,17l10861,1623r-9816,l1014,1617r-26,-17l971,1574r-6,-31l965,673r6,-31l988,617r26,-17l1045,593xe" filled="f" strokecolor="#ccc">
              <v:path arrowok="t"/>
            </v:shape>
            <v:shape id="_x0000_s1799" type="#_x0000_t202" style="position:absolute;left:984;top:608;width:9938;height:999" filled="f" stroked="f">
              <v:textbox inset="0,0,0,0">
                <w:txbxContent>
                  <w:p w14:paraId="109E3C51" w14:textId="77777777" w:rsidR="00711A16" w:rsidRDefault="00711A16">
                    <w:pPr>
                      <w:spacing w:before="221"/>
                      <w:ind w:left="200"/>
                      <w:rPr>
                        <w:rFonts w:ascii="MS Gothic"/>
                      </w:rPr>
                    </w:pPr>
                    <w:r>
                      <w:rPr>
                        <w:rFonts w:ascii="MS Gothic"/>
                        <w:color w:val="333333"/>
                      </w:rPr>
                      <w:t>JAVA_OPTS=-Xmx1024M</w:t>
                    </w:r>
                  </w:p>
                  <w:p w14:paraId="217CB303" w14:textId="77777777" w:rsidR="00711A16" w:rsidRDefault="00711A16">
                    <w:pPr>
                      <w:spacing w:before="13"/>
                      <w:ind w:left="200"/>
                      <w:rPr>
                        <w:rFonts w:ascii="MS Gothic"/>
                      </w:rPr>
                    </w:pPr>
                    <w:r>
                      <w:rPr>
                        <w:rFonts w:ascii="MS Gothic"/>
                        <w:color w:val="333333"/>
                      </w:rPr>
                      <w:t>LOG_FOLDER=/custom/log/folder</w:t>
                    </w:r>
                  </w:p>
                </w:txbxContent>
              </v:textbox>
            </v:shape>
            <w10:wrap type="topAndBottom" anchorx="page"/>
          </v:group>
        </w:pict>
      </w:r>
      <w:r w:rsidR="0030286B">
        <w:rPr>
          <w:rFonts w:ascii="Palatino Linotype"/>
          <w:i/>
          <w:color w:val="333333"/>
          <w:w w:val="115"/>
          <w:sz w:val="20"/>
        </w:rPr>
        <w:t>myapp.conf</w:t>
      </w:r>
    </w:p>
    <w:p w14:paraId="16CFF9A9" w14:textId="77777777" w:rsidR="00A720EB" w:rsidRDefault="00A720EB">
      <w:pPr>
        <w:pStyle w:val="a3"/>
        <w:spacing w:before="7"/>
        <w:rPr>
          <w:rFonts w:ascii="Palatino Linotype"/>
          <w:i/>
          <w:sz w:val="14"/>
        </w:rPr>
      </w:pPr>
    </w:p>
    <w:p w14:paraId="43A98683" w14:textId="77777777" w:rsidR="00A720EB" w:rsidRDefault="00E10349">
      <w:pPr>
        <w:pStyle w:val="a3"/>
        <w:spacing w:before="116"/>
        <w:ind w:left="1564"/>
        <w:rPr>
          <w:rFonts w:ascii="MS Gothic"/>
        </w:rPr>
      </w:pPr>
      <w:r>
        <w:pict w14:anchorId="5D4EE394">
          <v:line id="_x0000_s1797" style="position:absolute;left:0;text-align:left;z-index:16305664;mso-position-horizontal-relative:page" from="108.25pt,.35pt" to="108.25pt,39.9pt" strokecolor="#ededed" strokeweight=".5pt">
            <w10:wrap anchorx="page"/>
          </v:line>
        </w:pict>
      </w:r>
      <w:r w:rsidR="0030286B">
        <w:rPr>
          <w:noProof/>
        </w:rPr>
        <w:drawing>
          <wp:anchor distT="0" distB="0" distL="0" distR="0" simplePos="0" relativeHeight="16306176" behindDoc="0" locked="0" layoutInCell="1" allowOverlap="1" wp14:anchorId="367D844D" wp14:editId="08494828">
            <wp:simplePos x="0" y="0"/>
            <wp:positionH relativeFrom="page">
              <wp:posOffset>888949</wp:posOffset>
            </wp:positionH>
            <wp:positionV relativeFrom="paragraph">
              <wp:posOffset>103073</wp:posOffset>
            </wp:positionV>
            <wp:extent cx="209550" cy="304800"/>
            <wp:effectExtent l="0" t="0" r="0" b="0"/>
            <wp:wrapNone/>
            <wp:docPr id="68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do not like having the config file next to the jar file, you can set a </w:t>
      </w:r>
      <w:r w:rsidR="0030286B">
        <w:rPr>
          <w:rFonts w:ascii="MS Gothic"/>
          <w:color w:val="B02045"/>
          <w:w w:val="110"/>
        </w:rPr>
        <w:t>CONF_FOLDER</w:t>
      </w:r>
    </w:p>
    <w:p w14:paraId="599A1951" w14:textId="77777777" w:rsidR="00A720EB" w:rsidRDefault="0030286B">
      <w:pPr>
        <w:pStyle w:val="a3"/>
        <w:spacing w:before="57"/>
        <w:ind w:left="1564"/>
      </w:pPr>
      <w:r>
        <w:rPr>
          <w:color w:val="333333"/>
          <w:w w:val="110"/>
        </w:rPr>
        <w:t>environment variable to customize the location of the config file.</w:t>
      </w:r>
    </w:p>
    <w:p w14:paraId="07CA2E71" w14:textId="77777777" w:rsidR="00A720EB" w:rsidRDefault="00A720EB">
      <w:pPr>
        <w:pStyle w:val="a3"/>
        <w:spacing w:before="6"/>
        <w:rPr>
          <w:sz w:val="22"/>
        </w:rPr>
      </w:pPr>
    </w:p>
    <w:p w14:paraId="72645BBF" w14:textId="77777777" w:rsidR="00A720EB" w:rsidRDefault="0030286B">
      <w:pPr>
        <w:pStyle w:val="a3"/>
        <w:spacing w:before="126"/>
        <w:ind w:left="124"/>
      </w:pPr>
      <w:r>
        <w:rPr>
          <w:color w:val="333333"/>
          <w:w w:val="110"/>
        </w:rPr>
        <w:t xml:space="preserve">To learn about securing this file appropriately, see </w:t>
      </w:r>
      <w:hyperlink w:anchor="_bookmark487" w:history="1">
        <w:r>
          <w:rPr>
            <w:color w:val="418BCA"/>
            <w:w w:val="110"/>
          </w:rPr>
          <w:t xml:space="preserve">the guidelines for securing an </w:t>
        </w:r>
        <w:proofErr w:type="gramStart"/>
        <w:r>
          <w:rPr>
            <w:color w:val="418BCA"/>
            <w:w w:val="110"/>
          </w:rPr>
          <w:t>init.d</w:t>
        </w:r>
        <w:proofErr w:type="gramEnd"/>
        <w:r>
          <w:rPr>
            <w:color w:val="418BCA"/>
            <w:w w:val="110"/>
          </w:rPr>
          <w:t xml:space="preserve"> service</w:t>
        </w:r>
      </w:hyperlink>
      <w:r>
        <w:rPr>
          <w:color w:val="333333"/>
          <w:w w:val="110"/>
        </w:rPr>
        <w:t>.</w:t>
      </w:r>
    </w:p>
    <w:p w14:paraId="0F209F28" w14:textId="77777777" w:rsidR="00A720EB" w:rsidRDefault="00A720EB">
      <w:pPr>
        <w:pStyle w:val="a3"/>
        <w:spacing w:before="6"/>
        <w:rPr>
          <w:sz w:val="31"/>
        </w:rPr>
      </w:pPr>
    </w:p>
    <w:p w14:paraId="7186833E" w14:textId="77777777" w:rsidR="00A720EB" w:rsidRDefault="0030286B">
      <w:pPr>
        <w:pStyle w:val="3"/>
        <w:numPr>
          <w:ilvl w:val="2"/>
          <w:numId w:val="20"/>
        </w:numPr>
        <w:tabs>
          <w:tab w:val="left" w:pos="858"/>
        </w:tabs>
        <w:spacing w:before="1"/>
        <w:ind w:hanging="734"/>
      </w:pPr>
      <w:bookmarkStart w:id="720" w:name="6.3.3._Microsoft_Windows_Services"/>
      <w:bookmarkStart w:id="721" w:name="_Toc54423891"/>
      <w:bookmarkEnd w:id="720"/>
      <w:r>
        <w:rPr>
          <w:color w:val="333333"/>
          <w:w w:val="110"/>
        </w:rPr>
        <w:t>Microsoft Windows</w:t>
      </w:r>
      <w:r>
        <w:rPr>
          <w:color w:val="333333"/>
          <w:spacing w:val="-11"/>
          <w:w w:val="110"/>
        </w:rPr>
        <w:t xml:space="preserve"> </w:t>
      </w:r>
      <w:r>
        <w:rPr>
          <w:color w:val="333333"/>
          <w:w w:val="110"/>
        </w:rPr>
        <w:t>Services</w:t>
      </w:r>
      <w:bookmarkEnd w:id="721"/>
    </w:p>
    <w:p w14:paraId="5065C6D3" w14:textId="77777777" w:rsidR="00A720EB" w:rsidRDefault="0030286B">
      <w:pPr>
        <w:pStyle w:val="a3"/>
        <w:spacing w:before="243"/>
        <w:ind w:left="124"/>
      </w:pPr>
      <w:r>
        <w:rPr>
          <w:color w:val="333333"/>
          <w:w w:val="110"/>
        </w:rPr>
        <w:t xml:space="preserve">A Spring Boot application can be started as a Windows service by using </w:t>
      </w:r>
      <w:hyperlink r:id="rId562">
        <w:r>
          <w:rPr>
            <w:rFonts w:ascii="MS Gothic"/>
            <w:color w:val="B02045"/>
            <w:w w:val="110"/>
          </w:rPr>
          <w:t>winsw</w:t>
        </w:r>
      </w:hyperlink>
      <w:r>
        <w:rPr>
          <w:color w:val="333333"/>
          <w:w w:val="110"/>
        </w:rPr>
        <w:t>.</w:t>
      </w:r>
    </w:p>
    <w:p w14:paraId="6B897CAB" w14:textId="77777777" w:rsidR="00A720EB" w:rsidRDefault="00A720EB">
      <w:pPr>
        <w:pStyle w:val="a3"/>
        <w:spacing w:before="4"/>
        <w:rPr>
          <w:sz w:val="25"/>
        </w:rPr>
      </w:pPr>
    </w:p>
    <w:p w14:paraId="14809B2B" w14:textId="77777777" w:rsidR="00A720EB" w:rsidRDefault="0030286B">
      <w:pPr>
        <w:pStyle w:val="a3"/>
        <w:spacing w:line="307" w:lineRule="auto"/>
        <w:ind w:left="124" w:right="130"/>
        <w:jc w:val="both"/>
      </w:pPr>
      <w:r>
        <w:rPr>
          <w:color w:val="333333"/>
          <w:w w:val="110"/>
        </w:rPr>
        <w:t>A (</w:t>
      </w:r>
      <w:hyperlink r:id="rId563">
        <w:r>
          <w:rPr>
            <w:color w:val="418BCA"/>
            <w:w w:val="110"/>
          </w:rPr>
          <w:t>separately maintained sample</w:t>
        </w:r>
      </w:hyperlink>
      <w:r>
        <w:rPr>
          <w:color w:val="333333"/>
          <w:w w:val="110"/>
        </w:rPr>
        <w:t>) describes step-by-step how you can create a Windows service for your Spring Boot application.</w:t>
      </w:r>
    </w:p>
    <w:p w14:paraId="24CD7B97" w14:textId="77777777" w:rsidR="00A720EB" w:rsidRDefault="00A720EB">
      <w:pPr>
        <w:pStyle w:val="a3"/>
        <w:spacing w:before="10"/>
        <w:rPr>
          <w:sz w:val="25"/>
        </w:rPr>
      </w:pPr>
    </w:p>
    <w:p w14:paraId="7A0B27D1" w14:textId="77777777" w:rsidR="00A720EB" w:rsidRDefault="0030286B">
      <w:pPr>
        <w:pStyle w:val="2"/>
        <w:numPr>
          <w:ilvl w:val="1"/>
          <w:numId w:val="20"/>
        </w:numPr>
        <w:tabs>
          <w:tab w:val="left" w:pos="832"/>
        </w:tabs>
      </w:pPr>
      <w:bookmarkStart w:id="722" w:name="6.4._What_to_Read_Next"/>
      <w:bookmarkStart w:id="723" w:name="_Toc54423892"/>
      <w:bookmarkEnd w:id="722"/>
      <w:r>
        <w:rPr>
          <w:color w:val="333333"/>
          <w:w w:val="110"/>
        </w:rPr>
        <w:t>What to Read</w:t>
      </w:r>
      <w:r>
        <w:rPr>
          <w:color w:val="333333"/>
          <w:spacing w:val="-20"/>
          <w:w w:val="110"/>
        </w:rPr>
        <w:t xml:space="preserve"> </w:t>
      </w:r>
      <w:r>
        <w:rPr>
          <w:color w:val="333333"/>
          <w:w w:val="110"/>
        </w:rPr>
        <w:t>Next</w:t>
      </w:r>
      <w:bookmarkEnd w:id="723"/>
    </w:p>
    <w:p w14:paraId="19038692" w14:textId="77777777" w:rsidR="00A720EB" w:rsidRDefault="0030286B">
      <w:pPr>
        <w:pStyle w:val="a3"/>
        <w:spacing w:before="254" w:line="307" w:lineRule="auto"/>
        <w:ind w:left="124" w:right="125"/>
        <w:jc w:val="both"/>
      </w:pPr>
      <w:r>
        <w:rPr>
          <w:color w:val="333333"/>
          <w:w w:val="110"/>
        </w:rPr>
        <w:t xml:space="preserve">Check out the </w:t>
      </w:r>
      <w:hyperlink r:id="rId564">
        <w:r>
          <w:rPr>
            <w:color w:val="418BCA"/>
            <w:w w:val="110"/>
          </w:rPr>
          <w:t>Cloud Foundry</w:t>
        </w:r>
      </w:hyperlink>
      <w:r>
        <w:rPr>
          <w:color w:val="333333"/>
          <w:w w:val="110"/>
        </w:rPr>
        <w:t xml:space="preserve">, </w:t>
      </w:r>
      <w:hyperlink r:id="rId565">
        <w:r>
          <w:rPr>
            <w:color w:val="418BCA"/>
            <w:w w:val="110"/>
          </w:rPr>
          <w:t>Heroku</w:t>
        </w:r>
      </w:hyperlink>
      <w:r>
        <w:rPr>
          <w:color w:val="333333"/>
          <w:w w:val="110"/>
        </w:rPr>
        <w:t xml:space="preserve">, </w:t>
      </w:r>
      <w:hyperlink r:id="rId566">
        <w:r>
          <w:rPr>
            <w:color w:val="418BCA"/>
            <w:w w:val="110"/>
          </w:rPr>
          <w:t>OpenShift</w:t>
        </w:r>
      </w:hyperlink>
      <w:r>
        <w:rPr>
          <w:color w:val="333333"/>
          <w:w w:val="110"/>
        </w:rPr>
        <w:t xml:space="preserve">, and </w:t>
      </w:r>
      <w:hyperlink r:id="rId567">
        <w:r>
          <w:rPr>
            <w:color w:val="418BCA"/>
            <w:w w:val="110"/>
          </w:rPr>
          <w:t>Boxfuse</w:t>
        </w:r>
      </w:hyperlink>
      <w:r>
        <w:rPr>
          <w:color w:val="418BCA"/>
          <w:w w:val="110"/>
        </w:rPr>
        <w:t xml:space="preserve"> </w:t>
      </w:r>
      <w:r>
        <w:rPr>
          <w:color w:val="333333"/>
          <w:w w:val="110"/>
        </w:rPr>
        <w:t xml:space="preserve">web sites  for  more  information  about the kinds of features that a PaaS can offer. These are just four of the most popular Java </w:t>
      </w:r>
      <w:proofErr w:type="gramStart"/>
      <w:r>
        <w:rPr>
          <w:color w:val="333333"/>
          <w:w w:val="110"/>
        </w:rPr>
        <w:t>PaaS  providers</w:t>
      </w:r>
      <w:proofErr w:type="gramEnd"/>
      <w:r>
        <w:rPr>
          <w:color w:val="333333"/>
          <w:w w:val="110"/>
        </w:rPr>
        <w:t>. Since Spring Boot is so amenable to cloud-based deployment, you can freely consider other providers as</w:t>
      </w:r>
      <w:r>
        <w:rPr>
          <w:color w:val="333333"/>
          <w:spacing w:val="8"/>
          <w:w w:val="110"/>
        </w:rPr>
        <w:t xml:space="preserve"> </w:t>
      </w:r>
      <w:r>
        <w:rPr>
          <w:color w:val="333333"/>
          <w:w w:val="110"/>
        </w:rPr>
        <w:t>well.</w:t>
      </w:r>
    </w:p>
    <w:p w14:paraId="374E5C71" w14:textId="77777777" w:rsidR="00A720EB" w:rsidRDefault="0030286B">
      <w:pPr>
        <w:spacing w:before="221" w:line="266" w:lineRule="auto"/>
        <w:ind w:left="124" w:right="122"/>
        <w:jc w:val="both"/>
        <w:rPr>
          <w:sz w:val="21"/>
        </w:rPr>
      </w:pPr>
      <w:r>
        <w:rPr>
          <w:color w:val="333333"/>
          <w:w w:val="110"/>
          <w:sz w:val="21"/>
        </w:rPr>
        <w:t xml:space="preserve">The next section goes on to cover the </w:t>
      </w:r>
      <w:hyperlink w:anchor="_bookmark493" w:history="1">
        <w:r>
          <w:rPr>
            <w:rFonts w:ascii="Palatino Linotype"/>
            <w:i/>
            <w:color w:val="418BCA"/>
            <w:w w:val="110"/>
            <w:sz w:val="21"/>
          </w:rPr>
          <w:t>Spring Boot CLI</w:t>
        </w:r>
      </w:hyperlink>
      <w:r>
        <w:rPr>
          <w:color w:val="333333"/>
          <w:w w:val="110"/>
          <w:sz w:val="21"/>
        </w:rPr>
        <w:t xml:space="preserve">, or you can jump ahead to read about  </w:t>
      </w:r>
      <w:hyperlink w:anchor="_bookmark510" w:history="1">
        <w:r>
          <w:rPr>
            <w:rFonts w:ascii="Palatino Linotype"/>
            <w:i/>
            <w:color w:val="418BCA"/>
            <w:w w:val="110"/>
            <w:sz w:val="21"/>
          </w:rPr>
          <w:t>build</w:t>
        </w:r>
      </w:hyperlink>
      <w:r>
        <w:rPr>
          <w:rFonts w:ascii="Palatino Linotype"/>
          <w:i/>
          <w:color w:val="418BCA"/>
          <w:w w:val="110"/>
          <w:sz w:val="21"/>
        </w:rPr>
        <w:t xml:space="preserve">   </w:t>
      </w:r>
      <w:hyperlink w:anchor="_bookmark510" w:history="1">
        <w:r>
          <w:rPr>
            <w:rFonts w:ascii="Palatino Linotype"/>
            <w:i/>
            <w:color w:val="418BCA"/>
            <w:w w:val="110"/>
            <w:sz w:val="21"/>
          </w:rPr>
          <w:t>tool</w:t>
        </w:r>
        <w:r>
          <w:rPr>
            <w:rFonts w:ascii="Palatino Linotype"/>
            <w:i/>
            <w:color w:val="418BCA"/>
            <w:spacing w:val="-4"/>
            <w:w w:val="110"/>
            <w:sz w:val="21"/>
          </w:rPr>
          <w:t xml:space="preserve"> </w:t>
        </w:r>
        <w:r>
          <w:rPr>
            <w:rFonts w:ascii="Palatino Linotype"/>
            <w:i/>
            <w:color w:val="418BCA"/>
            <w:w w:val="110"/>
            <w:sz w:val="21"/>
          </w:rPr>
          <w:t>plugins</w:t>
        </w:r>
      </w:hyperlink>
      <w:r>
        <w:rPr>
          <w:color w:val="333333"/>
          <w:w w:val="110"/>
          <w:sz w:val="21"/>
        </w:rPr>
        <w:t>.</w:t>
      </w:r>
    </w:p>
    <w:p w14:paraId="543D26E1" w14:textId="77777777" w:rsidR="00A720EB" w:rsidRDefault="00A720EB">
      <w:pPr>
        <w:spacing w:line="266" w:lineRule="auto"/>
        <w:jc w:val="both"/>
        <w:rPr>
          <w:sz w:val="21"/>
        </w:rPr>
        <w:sectPr w:rsidR="00A720EB">
          <w:pgSz w:w="11910" w:h="16840"/>
          <w:pgMar w:top="700" w:right="840" w:bottom="380" w:left="840" w:header="0" w:footer="323" w:gutter="0"/>
          <w:cols w:space="720"/>
        </w:sectPr>
      </w:pPr>
    </w:p>
    <w:p w14:paraId="490958AF" w14:textId="77777777" w:rsidR="00A720EB" w:rsidRDefault="0030286B">
      <w:pPr>
        <w:spacing w:before="90"/>
        <w:ind w:left="124"/>
        <w:jc w:val="both"/>
        <w:rPr>
          <w:rFonts w:ascii="Palatino Linotype"/>
          <w:b/>
          <w:sz w:val="44"/>
        </w:rPr>
      </w:pPr>
      <w:bookmarkStart w:id="724" w:name="Chapter_7._Spring_Boot_CLI"/>
      <w:bookmarkEnd w:id="724"/>
      <w:r>
        <w:rPr>
          <w:rFonts w:ascii="Palatino Linotype"/>
          <w:b/>
          <w:color w:val="333333"/>
          <w:w w:val="110"/>
          <w:sz w:val="44"/>
        </w:rPr>
        <w:lastRenderedPageBreak/>
        <w:t>Chapter 7. Spring Boot CLI</w:t>
      </w:r>
    </w:p>
    <w:p w14:paraId="069C0E57" w14:textId="77777777" w:rsidR="00A720EB" w:rsidRDefault="0030286B">
      <w:pPr>
        <w:pStyle w:val="a3"/>
        <w:spacing w:before="252" w:line="307" w:lineRule="auto"/>
        <w:ind w:left="124" w:right="132"/>
        <w:jc w:val="both"/>
      </w:pPr>
      <w:r>
        <w:rPr>
          <w:color w:val="333333"/>
          <w:w w:val="110"/>
        </w:rPr>
        <w:t xml:space="preserve">The Spring Boot CLI is a command line tool that you can use if you want to quickly develop a Spring application. It lets you run Groovy scripts, which means that you have a familiar Java-like syntax without so much boilerplate code. </w:t>
      </w:r>
      <w:r>
        <w:rPr>
          <w:color w:val="333333"/>
          <w:spacing w:val="-6"/>
          <w:w w:val="110"/>
        </w:rPr>
        <w:t xml:space="preserve">You </w:t>
      </w:r>
      <w:r>
        <w:rPr>
          <w:color w:val="333333"/>
          <w:w w:val="110"/>
        </w:rPr>
        <w:t>can also bootstrap a new project or write</w:t>
      </w:r>
      <w:r>
        <w:rPr>
          <w:color w:val="333333"/>
          <w:spacing w:val="50"/>
          <w:w w:val="110"/>
        </w:rPr>
        <w:t xml:space="preserve"> </w:t>
      </w:r>
      <w:proofErr w:type="gramStart"/>
      <w:r>
        <w:rPr>
          <w:color w:val="333333"/>
          <w:w w:val="110"/>
        </w:rPr>
        <w:t>your  own</w:t>
      </w:r>
      <w:proofErr w:type="gramEnd"/>
      <w:r>
        <w:rPr>
          <w:color w:val="333333"/>
          <w:w w:val="110"/>
        </w:rPr>
        <w:t xml:space="preserve">  command for</w:t>
      </w:r>
      <w:r>
        <w:rPr>
          <w:color w:val="333333"/>
          <w:spacing w:val="7"/>
          <w:w w:val="110"/>
        </w:rPr>
        <w:t xml:space="preserve"> </w:t>
      </w:r>
      <w:r>
        <w:rPr>
          <w:color w:val="333333"/>
          <w:w w:val="110"/>
        </w:rPr>
        <w:t>it.</w:t>
      </w:r>
    </w:p>
    <w:p w14:paraId="2BDECE23" w14:textId="77777777" w:rsidR="00A720EB" w:rsidRDefault="00A720EB">
      <w:pPr>
        <w:pStyle w:val="a3"/>
        <w:rPr>
          <w:sz w:val="26"/>
        </w:rPr>
      </w:pPr>
    </w:p>
    <w:p w14:paraId="1D96E6D7" w14:textId="77777777" w:rsidR="00A720EB" w:rsidRDefault="0030286B">
      <w:pPr>
        <w:pStyle w:val="2"/>
        <w:numPr>
          <w:ilvl w:val="1"/>
          <w:numId w:val="18"/>
        </w:numPr>
        <w:tabs>
          <w:tab w:val="left" w:pos="832"/>
        </w:tabs>
      </w:pPr>
      <w:bookmarkStart w:id="725" w:name="7.1._Installing_the_CLI"/>
      <w:bookmarkStart w:id="726" w:name="_Toc54423893"/>
      <w:bookmarkEnd w:id="725"/>
      <w:r>
        <w:rPr>
          <w:color w:val="333333"/>
          <w:w w:val="110"/>
        </w:rPr>
        <w:t>Installing the</w:t>
      </w:r>
      <w:r>
        <w:rPr>
          <w:color w:val="333333"/>
          <w:spacing w:val="-16"/>
          <w:w w:val="110"/>
        </w:rPr>
        <w:t xml:space="preserve"> </w:t>
      </w:r>
      <w:r>
        <w:rPr>
          <w:color w:val="333333"/>
          <w:w w:val="110"/>
        </w:rPr>
        <w:t>CLI</w:t>
      </w:r>
      <w:bookmarkEnd w:id="726"/>
    </w:p>
    <w:p w14:paraId="41227C94" w14:textId="77777777" w:rsidR="00A720EB" w:rsidRDefault="0030286B">
      <w:pPr>
        <w:pStyle w:val="a3"/>
        <w:spacing w:before="253" w:line="278" w:lineRule="auto"/>
        <w:ind w:left="124" w:right="123"/>
        <w:jc w:val="both"/>
      </w:pPr>
      <w:r>
        <w:rPr>
          <w:color w:val="333333"/>
          <w:w w:val="110"/>
        </w:rPr>
        <w:t xml:space="preserve">The Spring Boot CLI (Command-Line Interface) can be installed manually </w:t>
      </w:r>
      <w:r>
        <w:rPr>
          <w:color w:val="333333"/>
          <w:spacing w:val="-3"/>
          <w:w w:val="110"/>
        </w:rPr>
        <w:t xml:space="preserve">by </w:t>
      </w:r>
      <w:r>
        <w:rPr>
          <w:color w:val="333333"/>
          <w:w w:val="110"/>
        </w:rPr>
        <w:t>using SDKMAN! (</w:t>
      </w:r>
      <w:proofErr w:type="gramStart"/>
      <w:r>
        <w:rPr>
          <w:color w:val="333333"/>
          <w:w w:val="110"/>
        </w:rPr>
        <w:t>the  SDK</w:t>
      </w:r>
      <w:proofErr w:type="gramEnd"/>
      <w:r>
        <w:rPr>
          <w:color w:val="333333"/>
          <w:w w:val="110"/>
        </w:rPr>
        <w:t xml:space="preserve"> Manager) or </w:t>
      </w:r>
      <w:r>
        <w:rPr>
          <w:color w:val="333333"/>
          <w:spacing w:val="-3"/>
          <w:w w:val="110"/>
        </w:rPr>
        <w:t xml:space="preserve">by </w:t>
      </w:r>
      <w:r>
        <w:rPr>
          <w:color w:val="333333"/>
          <w:w w:val="110"/>
        </w:rPr>
        <w:t xml:space="preserve">using Homebrew or MacPorts if you are an OSX user. See </w:t>
      </w:r>
      <w:hyperlink w:anchor="_bookmark17" w:history="1">
        <w:r>
          <w:rPr>
            <w:rFonts w:ascii="Palatino Linotype" w:hAnsi="Palatino Linotype"/>
            <w:i/>
            <w:color w:val="418BCA"/>
            <w:w w:val="110"/>
          </w:rPr>
          <w:t>Installing the Spring</w:t>
        </w:r>
      </w:hyperlink>
      <w:r>
        <w:rPr>
          <w:rFonts w:ascii="Palatino Linotype" w:hAnsi="Palatino Linotype"/>
          <w:i/>
          <w:color w:val="418BCA"/>
          <w:w w:val="110"/>
        </w:rPr>
        <w:t xml:space="preserve"> </w:t>
      </w:r>
      <w:hyperlink w:anchor="_bookmark17" w:history="1">
        <w:r>
          <w:rPr>
            <w:rFonts w:ascii="Palatino Linotype" w:hAnsi="Palatino Linotype"/>
            <w:i/>
            <w:color w:val="418BCA"/>
            <w:w w:val="110"/>
          </w:rPr>
          <w:t xml:space="preserve">Boot CLI </w:t>
        </w:r>
      </w:hyperlink>
      <w:r>
        <w:rPr>
          <w:color w:val="333333"/>
          <w:w w:val="110"/>
        </w:rPr>
        <w:t>in the “Getting started” section for comprehensive installation</w:t>
      </w:r>
      <w:r>
        <w:rPr>
          <w:color w:val="333333"/>
          <w:spacing w:val="30"/>
          <w:w w:val="110"/>
        </w:rPr>
        <w:t xml:space="preserve"> </w:t>
      </w:r>
      <w:r>
        <w:rPr>
          <w:color w:val="333333"/>
          <w:w w:val="110"/>
        </w:rPr>
        <w:t>instructions.</w:t>
      </w:r>
    </w:p>
    <w:p w14:paraId="631215A0" w14:textId="77777777" w:rsidR="00A720EB" w:rsidRDefault="00A720EB">
      <w:pPr>
        <w:pStyle w:val="a3"/>
        <w:spacing w:before="2"/>
        <w:rPr>
          <w:sz w:val="26"/>
        </w:rPr>
      </w:pPr>
    </w:p>
    <w:p w14:paraId="47D48F7D" w14:textId="77777777" w:rsidR="00A720EB" w:rsidRDefault="0030286B">
      <w:pPr>
        <w:pStyle w:val="2"/>
        <w:numPr>
          <w:ilvl w:val="1"/>
          <w:numId w:val="18"/>
        </w:numPr>
        <w:tabs>
          <w:tab w:val="left" w:pos="832"/>
        </w:tabs>
      </w:pPr>
      <w:bookmarkStart w:id="727" w:name="7.2._Using_the_CLI"/>
      <w:bookmarkStart w:id="728" w:name="_Toc54423894"/>
      <w:bookmarkEnd w:id="727"/>
      <w:r>
        <w:rPr>
          <w:color w:val="333333"/>
          <w:w w:val="105"/>
        </w:rPr>
        <w:t>Using the</w:t>
      </w:r>
      <w:r>
        <w:rPr>
          <w:color w:val="333333"/>
          <w:spacing w:val="-5"/>
          <w:w w:val="105"/>
        </w:rPr>
        <w:t xml:space="preserve"> </w:t>
      </w:r>
      <w:r>
        <w:rPr>
          <w:color w:val="333333"/>
          <w:w w:val="105"/>
        </w:rPr>
        <w:t>CLI</w:t>
      </w:r>
      <w:bookmarkEnd w:id="728"/>
    </w:p>
    <w:p w14:paraId="40918B9F" w14:textId="77777777" w:rsidR="00A720EB" w:rsidRDefault="0030286B">
      <w:pPr>
        <w:pStyle w:val="a3"/>
        <w:spacing w:before="243" w:line="280" w:lineRule="auto"/>
        <w:ind w:left="124" w:right="125"/>
        <w:jc w:val="both"/>
      </w:pPr>
      <w:r>
        <w:rPr>
          <w:color w:val="333333"/>
          <w:w w:val="110"/>
        </w:rPr>
        <w:t xml:space="preserve">Once you have installed the CLI, you can run it by typing </w:t>
      </w:r>
      <w:r>
        <w:rPr>
          <w:rFonts w:ascii="MS Gothic"/>
          <w:color w:val="B02045"/>
          <w:w w:val="110"/>
        </w:rPr>
        <w:t xml:space="preserve">spring </w:t>
      </w:r>
      <w:r>
        <w:rPr>
          <w:color w:val="333333"/>
          <w:w w:val="110"/>
        </w:rPr>
        <w:t xml:space="preserve">and pressing Enter at the command line. If you run </w:t>
      </w:r>
      <w:r>
        <w:rPr>
          <w:rFonts w:ascii="MS Gothic"/>
          <w:color w:val="B02045"/>
          <w:w w:val="110"/>
        </w:rPr>
        <w:t xml:space="preserve">spring </w:t>
      </w:r>
      <w:r>
        <w:rPr>
          <w:color w:val="333333"/>
          <w:w w:val="110"/>
        </w:rPr>
        <w:t>without any arguments, a help screen is displayed, as follows:</w:t>
      </w:r>
    </w:p>
    <w:p w14:paraId="2AA62B1B" w14:textId="77777777" w:rsidR="00A720EB" w:rsidRDefault="00E10349">
      <w:pPr>
        <w:pStyle w:val="a3"/>
        <w:spacing w:before="1"/>
        <w:rPr>
          <w:sz w:val="14"/>
        </w:rPr>
      </w:pPr>
      <w:r>
        <w:pict w14:anchorId="7E61D343">
          <v:group id="_x0000_s1793" style="position:absolute;margin-left:47.85pt;margin-top:10.25pt;width:499.55pt;height:170.15pt;z-index:-15150592;mso-wrap-distance-left:0;mso-wrap-distance-right:0;mso-position-horizontal-relative:page" coordorigin="957,205" coordsize="9991,3403">
            <v:shape id="_x0000_s1796" style="position:absolute;left:964;top:212;width:9976;height:3388" coordorigin="965,213" coordsize="9976,3388" path="m10861,213r-9816,l1014,219r-26,17l971,261r-6,32l965,3521r6,31l988,3577r26,17l1045,3601r9816,l10892,3594r25,-17l10935,3552r6,-31l10941,293r-6,-32l10917,236r-25,-17l10861,213xe" fillcolor="#f5f5f5" stroked="f">
              <v:path arrowok="t"/>
            </v:shape>
            <v:shape id="_x0000_s1795" style="position:absolute;left:964;top:212;width:9976;height:3388" coordorigin="965,213" coordsize="9976,3388" path="m1045,213r9816,l10892,219r25,17l10935,261r6,32l10941,3521r-6,31l10917,3577r-25,17l10861,3601r-9816,l1014,3594r-26,-17l971,3552r-6,-31l965,293r6,-32l988,236r26,-17l1045,213xe" filled="f" strokecolor="#ccc">
              <v:path arrowok="t"/>
            </v:shape>
            <v:shape id="_x0000_s1794" type="#_x0000_t202" style="position:absolute;left:984;top:228;width:9938;height:3358" filled="f" stroked="f">
              <v:textbox inset="0,0,0,0">
                <w:txbxContent>
                  <w:p w14:paraId="4F70EDBD" w14:textId="77777777" w:rsidR="00711A16" w:rsidRDefault="00711A16">
                    <w:pPr>
                      <w:spacing w:before="221"/>
                      <w:ind w:left="200"/>
                      <w:rPr>
                        <w:rFonts w:ascii="MS Gothic"/>
                      </w:rPr>
                    </w:pPr>
                    <w:r>
                      <w:rPr>
                        <w:rFonts w:ascii="MS Gothic"/>
                        <w:color w:val="333333"/>
                      </w:rPr>
                      <w:t>$ spring</w:t>
                    </w:r>
                  </w:p>
                  <w:p w14:paraId="3A5D3DB5" w14:textId="77777777" w:rsidR="00711A16" w:rsidRDefault="00711A16">
                    <w:pPr>
                      <w:spacing w:before="13"/>
                      <w:ind w:left="200"/>
                      <w:rPr>
                        <w:rFonts w:ascii="MS Gothic"/>
                      </w:rPr>
                    </w:pPr>
                    <w:r>
                      <w:rPr>
                        <w:rFonts w:ascii="MS Gothic"/>
                        <w:color w:val="333333"/>
                      </w:rPr>
                      <w:t>usage: spring [--help] [--version]</w:t>
                    </w:r>
                  </w:p>
                  <w:p w14:paraId="26151EA0" w14:textId="77777777" w:rsidR="00711A16" w:rsidRDefault="00711A16">
                    <w:pPr>
                      <w:spacing w:before="13" w:line="501" w:lineRule="auto"/>
                      <w:ind w:left="200" w:right="6968" w:firstLine="770"/>
                      <w:rPr>
                        <w:rFonts w:ascii="MS Gothic"/>
                      </w:rPr>
                    </w:pPr>
                    <w:r>
                      <w:rPr>
                        <w:rFonts w:ascii="MS Gothic"/>
                        <w:color w:val="333333"/>
                      </w:rPr>
                      <w:t>&lt;command&gt; [&lt;args&gt;] Available commands are:</w:t>
                    </w:r>
                  </w:p>
                  <w:p w14:paraId="134499BF" w14:textId="77777777" w:rsidR="00711A16" w:rsidRDefault="00711A16">
                    <w:pPr>
                      <w:spacing w:before="1" w:line="252" w:lineRule="auto"/>
                      <w:ind w:left="640" w:right="5868" w:hanging="220"/>
                      <w:rPr>
                        <w:rFonts w:ascii="MS Gothic"/>
                      </w:rPr>
                    </w:pPr>
                    <w:r>
                      <w:rPr>
                        <w:rFonts w:ascii="MS Gothic"/>
                        <w:color w:val="333333"/>
                      </w:rPr>
                      <w:t>run [options] &lt;files&gt; [--] [args] Run a spring groovy script</w:t>
                    </w:r>
                  </w:p>
                  <w:p w14:paraId="49CB0203" w14:textId="77777777" w:rsidR="00711A16" w:rsidRDefault="00711A16">
                    <w:pPr>
                      <w:spacing w:before="10"/>
                      <w:rPr>
                        <w:rFonts w:ascii="MS Gothic"/>
                      </w:rPr>
                    </w:pPr>
                  </w:p>
                  <w:p w14:paraId="0C190DD3" w14:textId="77777777" w:rsidR="00711A16" w:rsidRDefault="00711A16">
                    <w:pPr>
                      <w:ind w:left="420"/>
                      <w:rPr>
                        <w:rFonts w:ascii="宋体"/>
                      </w:rPr>
                    </w:pPr>
                    <w:r>
                      <w:rPr>
                        <w:rFonts w:ascii="宋体"/>
                        <w:color w:val="333333"/>
                      </w:rPr>
                      <w:t>... more command help is shown here</w:t>
                    </w:r>
                  </w:p>
                </w:txbxContent>
              </v:textbox>
            </v:shape>
            <w10:wrap type="topAndBottom" anchorx="page"/>
          </v:group>
        </w:pict>
      </w:r>
    </w:p>
    <w:p w14:paraId="43D06434" w14:textId="77777777" w:rsidR="00A720EB" w:rsidRDefault="00A720EB">
      <w:pPr>
        <w:pStyle w:val="a3"/>
        <w:spacing w:before="11"/>
        <w:rPr>
          <w:sz w:val="9"/>
        </w:rPr>
      </w:pPr>
    </w:p>
    <w:p w14:paraId="2CA0FDFA" w14:textId="77777777" w:rsidR="00A720EB" w:rsidRDefault="0030286B">
      <w:pPr>
        <w:pStyle w:val="a3"/>
        <w:spacing w:before="115" w:line="290" w:lineRule="auto"/>
        <w:ind w:left="124"/>
      </w:pPr>
      <w:r>
        <w:rPr>
          <w:color w:val="333333"/>
          <w:spacing w:val="-6"/>
          <w:w w:val="110"/>
        </w:rPr>
        <w:t xml:space="preserve">You </w:t>
      </w:r>
      <w:r>
        <w:rPr>
          <w:color w:val="333333"/>
          <w:w w:val="110"/>
        </w:rPr>
        <w:t xml:space="preserve">can type </w:t>
      </w:r>
      <w:r>
        <w:rPr>
          <w:rFonts w:ascii="MS Gothic"/>
          <w:color w:val="B02045"/>
          <w:w w:val="110"/>
        </w:rPr>
        <w:t>spring help</w:t>
      </w:r>
      <w:r>
        <w:rPr>
          <w:rFonts w:ascii="MS Gothic"/>
          <w:color w:val="B02045"/>
          <w:spacing w:val="-65"/>
          <w:w w:val="110"/>
        </w:rPr>
        <w:t xml:space="preserve"> </w:t>
      </w:r>
      <w:r>
        <w:rPr>
          <w:color w:val="333333"/>
          <w:w w:val="110"/>
        </w:rPr>
        <w:t>to get more details about any of the supported commands, as shown in the following example:</w:t>
      </w:r>
    </w:p>
    <w:p w14:paraId="373C268E" w14:textId="77777777" w:rsidR="00A720EB" w:rsidRDefault="00A720EB">
      <w:pPr>
        <w:spacing w:line="290" w:lineRule="auto"/>
        <w:sectPr w:rsidR="00A720EB">
          <w:pgSz w:w="11910" w:h="16840"/>
          <w:pgMar w:top="620" w:right="840" w:bottom="520" w:left="840" w:header="0" w:footer="323" w:gutter="0"/>
          <w:cols w:space="720"/>
        </w:sectPr>
      </w:pPr>
    </w:p>
    <w:p w14:paraId="199FDB0C" w14:textId="77777777" w:rsidR="00A720EB" w:rsidRDefault="00E10349">
      <w:pPr>
        <w:pStyle w:val="a3"/>
        <w:ind w:left="116"/>
        <w:rPr>
          <w:sz w:val="20"/>
        </w:rPr>
      </w:pPr>
      <w:r>
        <w:rPr>
          <w:sz w:val="20"/>
        </w:rPr>
      </w:r>
      <w:r>
        <w:rPr>
          <w:sz w:val="20"/>
        </w:rPr>
        <w:pict w14:anchorId="3B58F849">
          <v:group id="_x0000_s1789" style="width:499.55pt;height:258.6pt;mso-position-horizontal-relative:char;mso-position-vertical-relative:line" coordsize="9991,5172">
            <v:shape id="_x0000_s1792" style="position:absolute;left:7;top:7;width:9976;height:5157" coordorigin="8,8" coordsize="9976,5157" path="m9904,8l88,8,56,14,31,31,14,56,8,88r,4996l14,5115r17,26l56,5158r32,6l9904,5164r31,-6l9960,5141r17,-26l9984,5084r,-4996l9977,56,9960,31,9935,14,9904,8xe" fillcolor="#f5f5f5" stroked="f">
              <v:path arrowok="t"/>
            </v:shape>
            <v:shape id="_x0000_s1791" style="position:absolute;left:7;top:7;width:9976;height:5157" coordorigin="8,8" coordsize="9976,5157" path="m88,8r9816,l9935,14r25,17l9977,56r7,32l9984,5084r-7,31l9960,5141r-25,17l9904,5164r-9816,l56,5158,31,5141,14,5115,8,5084,8,88,14,56,31,31,56,14,88,8xe" filled="f" strokecolor="#ccc">
              <v:path arrowok="t"/>
            </v:shape>
            <v:shape id="_x0000_s1790" type="#_x0000_t202" style="position:absolute;left:26;top:22;width:9938;height:5126" filled="f" stroked="f">
              <v:textbox inset="0,0,0,0">
                <w:txbxContent>
                  <w:p w14:paraId="4278C1AF" w14:textId="77777777" w:rsidR="00711A16" w:rsidRDefault="00711A16">
                    <w:pPr>
                      <w:spacing w:before="221"/>
                      <w:ind w:left="200"/>
                      <w:rPr>
                        <w:rFonts w:ascii="MS Gothic"/>
                      </w:rPr>
                    </w:pPr>
                    <w:r>
                      <w:rPr>
                        <w:rFonts w:ascii="MS Gothic"/>
                        <w:color w:val="333333"/>
                      </w:rPr>
                      <w:t>$ spring help run</w:t>
                    </w:r>
                  </w:p>
                  <w:p w14:paraId="2DAB20E8" w14:textId="77777777" w:rsidR="00711A16" w:rsidRDefault="00711A16">
                    <w:pPr>
                      <w:spacing w:before="13"/>
                      <w:ind w:left="200"/>
                      <w:rPr>
                        <w:rFonts w:ascii="MS Gothic"/>
                      </w:rPr>
                    </w:pPr>
                    <w:r>
                      <w:rPr>
                        <w:rFonts w:ascii="MS Gothic"/>
                        <w:color w:val="333333"/>
                      </w:rPr>
                      <w:t>spring run - Run a spring groovy script</w:t>
                    </w:r>
                  </w:p>
                  <w:p w14:paraId="191A1EF4" w14:textId="77777777" w:rsidR="00711A16" w:rsidRDefault="00711A16">
                    <w:pPr>
                      <w:tabs>
                        <w:tab w:val="left" w:pos="3170"/>
                      </w:tabs>
                      <w:spacing w:line="590" w:lineRule="atLeast"/>
                      <w:ind w:left="200" w:right="4564"/>
                      <w:rPr>
                        <w:rFonts w:ascii="MS Gothic"/>
                      </w:rPr>
                    </w:pPr>
                    <w:r>
                      <w:rPr>
                        <w:rFonts w:ascii="MS Gothic"/>
                        <w:color w:val="333333"/>
                      </w:rPr>
                      <w:t xml:space="preserve">usage: spring run [options] &lt;files&gt; [--] </w:t>
                    </w:r>
                    <w:r>
                      <w:rPr>
                        <w:rFonts w:ascii="MS Gothic"/>
                        <w:color w:val="333333"/>
                        <w:spacing w:val="-3"/>
                      </w:rPr>
                      <w:t xml:space="preserve">[args] </w:t>
                    </w:r>
                    <w:r>
                      <w:rPr>
                        <w:rFonts w:ascii="MS Gothic"/>
                        <w:color w:val="333333"/>
                      </w:rPr>
                      <w:t>Option</w:t>
                    </w:r>
                    <w:r>
                      <w:rPr>
                        <w:rFonts w:ascii="MS Gothic"/>
                        <w:color w:val="333333"/>
                      </w:rPr>
                      <w:tab/>
                      <w:t>Description</w:t>
                    </w:r>
                  </w:p>
                  <w:p w14:paraId="1A2232BC" w14:textId="77777777" w:rsidR="00711A16" w:rsidRDefault="00711A16">
                    <w:pPr>
                      <w:tabs>
                        <w:tab w:val="left" w:pos="3170"/>
                      </w:tabs>
                      <w:spacing w:before="12"/>
                      <w:ind w:left="200"/>
                      <w:rPr>
                        <w:rFonts w:ascii="MS Gothic"/>
                      </w:rPr>
                    </w:pPr>
                    <w:r>
                      <w:rPr>
                        <w:rFonts w:ascii="MS Gothic"/>
                        <w:color w:val="333333"/>
                      </w:rPr>
                      <w:t>------</w:t>
                    </w:r>
                    <w:r>
                      <w:rPr>
                        <w:rFonts w:ascii="MS Gothic"/>
                        <w:color w:val="333333"/>
                      </w:rPr>
                      <w:tab/>
                      <w:t>-----------</w:t>
                    </w:r>
                  </w:p>
                  <w:p w14:paraId="2D0123B3" w14:textId="77777777" w:rsidR="00711A16" w:rsidRDefault="00711A16">
                    <w:pPr>
                      <w:tabs>
                        <w:tab w:val="left" w:pos="3170"/>
                      </w:tabs>
                      <w:spacing w:before="13"/>
                      <w:ind w:left="200"/>
                      <w:rPr>
                        <w:rFonts w:ascii="MS Gothic"/>
                      </w:rPr>
                    </w:pPr>
                    <w:r>
                      <w:rPr>
                        <w:rFonts w:ascii="MS Gothic"/>
                        <w:color w:val="333333"/>
                      </w:rPr>
                      <w:t>--autoconfigure [Boolean]</w:t>
                    </w:r>
                    <w:r>
                      <w:rPr>
                        <w:rFonts w:ascii="MS Gothic"/>
                        <w:color w:val="333333"/>
                      </w:rPr>
                      <w:tab/>
                      <w:t>Add autoconfigure compiler</w:t>
                    </w:r>
                  </w:p>
                  <w:p w14:paraId="1FC355DB" w14:textId="77777777" w:rsidR="00711A16" w:rsidRDefault="00711A16">
                    <w:pPr>
                      <w:spacing w:before="13"/>
                      <w:ind w:left="3390"/>
                      <w:rPr>
                        <w:rFonts w:ascii="MS Gothic"/>
                      </w:rPr>
                    </w:pPr>
                    <w:r>
                      <w:rPr>
                        <w:rFonts w:ascii="MS Gothic"/>
                        <w:color w:val="333333"/>
                      </w:rPr>
                      <w:t>transformations (default: true)</w:t>
                    </w:r>
                  </w:p>
                  <w:p w14:paraId="23C18582" w14:textId="77777777" w:rsidR="00711A16" w:rsidRDefault="00711A16">
                    <w:pPr>
                      <w:tabs>
                        <w:tab w:val="left" w:pos="3170"/>
                      </w:tabs>
                      <w:spacing w:before="13"/>
                      <w:ind w:left="200"/>
                      <w:rPr>
                        <w:rFonts w:ascii="MS Gothic"/>
                      </w:rPr>
                    </w:pPr>
                    <w:r>
                      <w:rPr>
                        <w:rFonts w:ascii="MS Gothic"/>
                        <w:color w:val="333333"/>
                      </w:rPr>
                      <w:t>--classpath, -cp</w:t>
                    </w:r>
                    <w:r>
                      <w:rPr>
                        <w:rFonts w:ascii="MS Gothic"/>
                        <w:color w:val="333333"/>
                      </w:rPr>
                      <w:tab/>
                      <w:t>Additional classpath entries</w:t>
                    </w:r>
                  </w:p>
                  <w:p w14:paraId="522B82A0" w14:textId="77777777" w:rsidR="00711A16" w:rsidRDefault="00711A16">
                    <w:pPr>
                      <w:tabs>
                        <w:tab w:val="left" w:pos="3170"/>
                      </w:tabs>
                      <w:spacing w:before="12"/>
                      <w:ind w:left="200"/>
                      <w:rPr>
                        <w:rFonts w:ascii="MS Gothic"/>
                      </w:rPr>
                    </w:pPr>
                    <w:r>
                      <w:rPr>
                        <w:rFonts w:ascii="MS Gothic"/>
                        <w:color w:val="333333"/>
                      </w:rPr>
                      <w:t>--no-guess-dependencies</w:t>
                    </w:r>
                    <w:r>
                      <w:rPr>
                        <w:rFonts w:ascii="MS Gothic"/>
                        <w:color w:val="333333"/>
                      </w:rPr>
                      <w:tab/>
                      <w:t>Do not attempt to guess dependencies</w:t>
                    </w:r>
                  </w:p>
                  <w:p w14:paraId="6A3F0904" w14:textId="77777777" w:rsidR="00711A16" w:rsidRDefault="00711A16">
                    <w:pPr>
                      <w:tabs>
                        <w:tab w:val="left" w:pos="3170"/>
                      </w:tabs>
                      <w:spacing w:before="13"/>
                      <w:ind w:left="200"/>
                      <w:rPr>
                        <w:rFonts w:ascii="MS Gothic"/>
                      </w:rPr>
                    </w:pPr>
                    <w:r>
                      <w:rPr>
                        <w:rFonts w:ascii="MS Gothic"/>
                        <w:color w:val="333333"/>
                      </w:rPr>
                      <w:t>--no-guess-imports</w:t>
                    </w:r>
                    <w:r>
                      <w:rPr>
                        <w:rFonts w:ascii="MS Gothic"/>
                        <w:color w:val="333333"/>
                      </w:rPr>
                      <w:tab/>
                      <w:t>Do not attempt to guess imports</w:t>
                    </w:r>
                  </w:p>
                  <w:p w14:paraId="0F49D6F1" w14:textId="77777777" w:rsidR="00711A16" w:rsidRDefault="00711A16">
                    <w:pPr>
                      <w:tabs>
                        <w:tab w:val="left" w:pos="3170"/>
                      </w:tabs>
                      <w:spacing w:before="13"/>
                      <w:ind w:left="200"/>
                      <w:rPr>
                        <w:rFonts w:ascii="MS Gothic"/>
                      </w:rPr>
                    </w:pPr>
                    <w:r>
                      <w:rPr>
                        <w:rFonts w:ascii="MS Gothic"/>
                        <w:color w:val="333333"/>
                      </w:rPr>
                      <w:t>-q, --quiet</w:t>
                    </w:r>
                    <w:r>
                      <w:rPr>
                        <w:rFonts w:ascii="MS Gothic"/>
                        <w:color w:val="333333"/>
                      </w:rPr>
                      <w:tab/>
                      <w:t>Quiet logging</w:t>
                    </w:r>
                  </w:p>
                  <w:p w14:paraId="1EC79207" w14:textId="77777777" w:rsidR="00711A16" w:rsidRDefault="00711A16">
                    <w:pPr>
                      <w:tabs>
                        <w:tab w:val="left" w:pos="3170"/>
                      </w:tabs>
                      <w:spacing w:before="13" w:line="252" w:lineRule="auto"/>
                      <w:ind w:left="3390" w:right="3574" w:hanging="3190"/>
                      <w:rPr>
                        <w:rFonts w:ascii="MS Gothic"/>
                      </w:rPr>
                    </w:pPr>
                    <w:r>
                      <w:rPr>
                        <w:rFonts w:ascii="MS Gothic"/>
                        <w:color w:val="333333"/>
                      </w:rPr>
                      <w:t>-v, --verbose</w:t>
                    </w:r>
                    <w:r>
                      <w:rPr>
                        <w:rFonts w:ascii="MS Gothic"/>
                        <w:color w:val="333333"/>
                      </w:rPr>
                      <w:tab/>
                      <w:t>Verbose logging of dependency resolution</w:t>
                    </w:r>
                  </w:p>
                  <w:p w14:paraId="6939CC0A" w14:textId="77777777" w:rsidR="00711A16" w:rsidRDefault="00711A16">
                    <w:pPr>
                      <w:tabs>
                        <w:tab w:val="left" w:pos="3170"/>
                      </w:tabs>
                      <w:spacing w:line="280" w:lineRule="exact"/>
                      <w:ind w:left="200"/>
                      <w:rPr>
                        <w:rFonts w:ascii="MS Gothic"/>
                      </w:rPr>
                    </w:pPr>
                    <w:r>
                      <w:rPr>
                        <w:rFonts w:ascii="MS Gothic"/>
                        <w:color w:val="333333"/>
                      </w:rPr>
                      <w:t>--watch</w:t>
                    </w:r>
                    <w:r>
                      <w:rPr>
                        <w:rFonts w:ascii="MS Gothic"/>
                        <w:color w:val="333333"/>
                      </w:rPr>
                      <w:tab/>
                      <w:t>Watch the specified file for changes</w:t>
                    </w:r>
                  </w:p>
                </w:txbxContent>
              </v:textbox>
            </v:shape>
            <w10:anchorlock/>
          </v:group>
        </w:pict>
      </w:r>
    </w:p>
    <w:p w14:paraId="24A31D73" w14:textId="77777777" w:rsidR="00A720EB" w:rsidRDefault="00A720EB">
      <w:pPr>
        <w:pStyle w:val="a3"/>
        <w:rPr>
          <w:sz w:val="10"/>
        </w:rPr>
      </w:pPr>
    </w:p>
    <w:p w14:paraId="20AD8033" w14:textId="77777777" w:rsidR="00A720EB" w:rsidRDefault="0030286B">
      <w:pPr>
        <w:pStyle w:val="a3"/>
        <w:spacing w:before="116" w:line="290" w:lineRule="auto"/>
        <w:ind w:left="124"/>
      </w:pPr>
      <w:r>
        <w:rPr>
          <w:color w:val="333333"/>
          <w:w w:val="110"/>
        </w:rPr>
        <w:t xml:space="preserve">The </w:t>
      </w:r>
      <w:r>
        <w:rPr>
          <w:rFonts w:ascii="MS Gothic"/>
          <w:color w:val="B02045"/>
          <w:w w:val="110"/>
        </w:rPr>
        <w:t xml:space="preserve">version </w:t>
      </w:r>
      <w:r>
        <w:rPr>
          <w:color w:val="333333"/>
          <w:w w:val="110"/>
        </w:rPr>
        <w:t>command provides a quick way to check which version of Spring Boot you are using, as follows:</w:t>
      </w:r>
    </w:p>
    <w:p w14:paraId="3B1BD994" w14:textId="77777777" w:rsidR="00A720EB" w:rsidRDefault="00E10349">
      <w:pPr>
        <w:pStyle w:val="a3"/>
        <w:spacing w:before="7"/>
        <w:rPr>
          <w:sz w:val="14"/>
        </w:rPr>
      </w:pPr>
      <w:r>
        <w:pict w14:anchorId="5F39DB63">
          <v:group id="_x0000_s1785" style="position:absolute;margin-left:47.85pt;margin-top:10.55pt;width:499.55pt;height:52.25pt;z-index:-15149568;mso-wrap-distance-left:0;mso-wrap-distance-right:0;mso-position-horizontal-relative:page" coordorigin="957,211" coordsize="9991,1045">
            <v:shape id="_x0000_s1788" style="position:absolute;left:964;top:218;width:9976;height:1030" coordorigin="965,219" coordsize="9976,1030" path="m10861,219r-9816,l1014,225r-26,17l971,267r-6,32l965,1168r6,31l988,1225r26,17l1045,1248r9816,l10892,1242r25,-17l10935,1199r6,-31l10941,299r-6,-32l10917,242r-25,-17l10861,219xe" fillcolor="#f5f5f5" stroked="f">
              <v:path arrowok="t"/>
            </v:shape>
            <v:shape id="_x0000_s1787" style="position:absolute;left:964;top:218;width:9976;height:1030" coordorigin="965,219" coordsize="9976,1030" path="m1045,219r9816,l10892,225r25,17l10935,267r6,32l10941,1168r-6,31l10917,1225r-25,17l10861,1248r-9816,l1014,1242r-26,-17l971,1199r-6,-31l965,299r6,-32l988,242r26,-17l1045,219xe" filled="f" strokecolor="#ccc">
              <v:path arrowok="t"/>
            </v:shape>
            <v:shape id="_x0000_s1786" type="#_x0000_t202" style="position:absolute;left:984;top:233;width:9938;height:999" filled="f" stroked="f">
              <v:textbox inset="0,0,0,0">
                <w:txbxContent>
                  <w:p w14:paraId="128206DA" w14:textId="77777777" w:rsidR="00711A16" w:rsidRDefault="00711A16">
                    <w:pPr>
                      <w:spacing w:before="221"/>
                      <w:ind w:left="200"/>
                      <w:rPr>
                        <w:rFonts w:ascii="MS Gothic"/>
                      </w:rPr>
                    </w:pPr>
                    <w:r>
                      <w:rPr>
                        <w:rFonts w:ascii="MS Gothic"/>
                        <w:color w:val="333333"/>
                      </w:rPr>
                      <w:t>$ spring version</w:t>
                    </w:r>
                  </w:p>
                  <w:p w14:paraId="214D8B2D" w14:textId="77777777" w:rsidR="00711A16" w:rsidRDefault="00711A16">
                    <w:pPr>
                      <w:spacing w:before="13"/>
                      <w:ind w:left="200"/>
                      <w:rPr>
                        <w:rFonts w:ascii="MS Gothic"/>
                      </w:rPr>
                    </w:pPr>
                    <w:r>
                      <w:rPr>
                        <w:rFonts w:ascii="MS Gothic"/>
                        <w:color w:val="333333"/>
                      </w:rPr>
                      <w:t>Spring CLI v2.3.</w:t>
                    </w:r>
                    <w:proofErr w:type="gramStart"/>
                    <w:r>
                      <w:rPr>
                        <w:rFonts w:ascii="MS Gothic"/>
                        <w:color w:val="333333"/>
                      </w:rPr>
                      <w:t>4.RELEASE</w:t>
                    </w:r>
                    <w:proofErr w:type="gramEnd"/>
                  </w:p>
                </w:txbxContent>
              </v:textbox>
            </v:shape>
            <w10:wrap type="topAndBottom" anchorx="page"/>
          </v:group>
        </w:pict>
      </w:r>
    </w:p>
    <w:p w14:paraId="3676CD52" w14:textId="77777777" w:rsidR="00A720EB" w:rsidRDefault="00A720EB">
      <w:pPr>
        <w:pStyle w:val="a3"/>
        <w:spacing w:before="11"/>
        <w:rPr>
          <w:sz w:val="16"/>
        </w:rPr>
      </w:pPr>
    </w:p>
    <w:p w14:paraId="06AF925E" w14:textId="77777777" w:rsidR="00A720EB" w:rsidRDefault="0030286B">
      <w:pPr>
        <w:pStyle w:val="3"/>
        <w:numPr>
          <w:ilvl w:val="2"/>
          <w:numId w:val="18"/>
        </w:numPr>
        <w:tabs>
          <w:tab w:val="left" w:pos="858"/>
        </w:tabs>
        <w:spacing w:before="105"/>
        <w:ind w:hanging="734"/>
      </w:pPr>
      <w:bookmarkStart w:id="729" w:name="7.2.1._Running_Applications_with_the_CLI"/>
      <w:bookmarkStart w:id="730" w:name="_Toc54423895"/>
      <w:bookmarkEnd w:id="729"/>
      <w:r>
        <w:rPr>
          <w:color w:val="333333"/>
          <w:w w:val="110"/>
        </w:rPr>
        <w:t>Running Applications with the</w:t>
      </w:r>
      <w:r>
        <w:rPr>
          <w:color w:val="333333"/>
          <w:spacing w:val="-28"/>
          <w:w w:val="110"/>
        </w:rPr>
        <w:t xml:space="preserve"> </w:t>
      </w:r>
      <w:r>
        <w:rPr>
          <w:color w:val="333333"/>
          <w:w w:val="110"/>
        </w:rPr>
        <w:t>CLI</w:t>
      </w:r>
      <w:bookmarkEnd w:id="730"/>
    </w:p>
    <w:p w14:paraId="188ECFE1" w14:textId="77777777" w:rsidR="00A720EB" w:rsidRDefault="0030286B">
      <w:pPr>
        <w:pStyle w:val="a3"/>
        <w:spacing w:before="243" w:line="290" w:lineRule="auto"/>
        <w:ind w:left="124"/>
      </w:pPr>
      <w:r>
        <w:rPr>
          <w:color w:val="333333"/>
          <w:w w:val="110"/>
        </w:rPr>
        <w:t xml:space="preserve">You can compile and run Groovy source code by using the </w:t>
      </w:r>
      <w:r>
        <w:rPr>
          <w:rFonts w:ascii="MS Gothic"/>
          <w:color w:val="B02045"/>
          <w:w w:val="110"/>
        </w:rPr>
        <w:t xml:space="preserve">run </w:t>
      </w:r>
      <w:r>
        <w:rPr>
          <w:color w:val="333333"/>
          <w:w w:val="110"/>
        </w:rPr>
        <w:t>command. The Spring Boot CLI is completely self-contained, so you do not need any external Groovy installation.</w:t>
      </w:r>
    </w:p>
    <w:p w14:paraId="39C9B944" w14:textId="77777777" w:rsidR="00A720EB" w:rsidRDefault="00A720EB">
      <w:pPr>
        <w:pStyle w:val="a3"/>
        <w:rPr>
          <w:sz w:val="22"/>
        </w:rPr>
      </w:pPr>
    </w:p>
    <w:p w14:paraId="0AD526F8" w14:textId="77777777" w:rsidR="00A720EB" w:rsidRDefault="0030286B">
      <w:pPr>
        <w:pStyle w:val="a3"/>
        <w:spacing w:before="1"/>
        <w:ind w:left="124"/>
      </w:pPr>
      <w:r>
        <w:rPr>
          <w:color w:val="333333"/>
          <w:w w:val="110"/>
        </w:rPr>
        <w:t>The following example shows a “hello world” web application written in Groovy:</w:t>
      </w:r>
    </w:p>
    <w:p w14:paraId="2E44B397" w14:textId="77777777" w:rsidR="00A720EB" w:rsidRDefault="00A720EB">
      <w:pPr>
        <w:pStyle w:val="a3"/>
        <w:spacing w:before="5"/>
        <w:rPr>
          <w:sz w:val="24"/>
        </w:rPr>
      </w:pPr>
    </w:p>
    <w:p w14:paraId="1CAA63E0" w14:textId="77777777" w:rsidR="00A720EB" w:rsidRDefault="00E10349">
      <w:pPr>
        <w:ind w:left="124"/>
        <w:rPr>
          <w:rFonts w:ascii="Palatino Linotype"/>
          <w:i/>
          <w:sz w:val="20"/>
        </w:rPr>
      </w:pPr>
      <w:r>
        <w:pict w14:anchorId="49A2611F">
          <v:group id="_x0000_s1781" style="position:absolute;left:0;text-align:left;margin-left:47.85pt;margin-top:17.75pt;width:499.55pt;height:155.45pt;z-index:-15149056;mso-wrap-distance-left:0;mso-wrap-distance-right:0;mso-position-horizontal-relative:page" coordorigin="957,355" coordsize="9991,3109">
            <v:shape id="_x0000_s1784" style="position:absolute;left:964;top:362;width:9976;height:3094" coordorigin="965,362" coordsize="9976,3094" path="m10861,362r-9816,l1014,369r-26,17l971,411r-6,31l965,3376r6,31l988,3432r26,17l1045,3456r9816,l10892,3449r25,-17l10935,3407r6,-31l10941,442r-6,-31l10917,386r-25,-17l10861,362xe" fillcolor="#f5f5f5" stroked="f">
              <v:path arrowok="t"/>
            </v:shape>
            <v:shape id="_x0000_s1783" style="position:absolute;left:964;top:362;width:9976;height:3094" coordorigin="965,362" coordsize="9976,3094" path="m1045,362r9816,l10892,369r25,17l10935,411r6,31l10941,3376r-6,31l10917,3432r-25,17l10861,3456r-9816,l1014,3449r-26,-17l971,3407r-6,-31l965,442r6,-31l988,386r26,-17l1045,362xe" filled="f" strokecolor="#ccc">
              <v:path arrowok="t"/>
            </v:shape>
            <v:shape id="_x0000_s1782" type="#_x0000_t202" style="position:absolute;left:984;top:377;width:9938;height:3063" filled="f" stroked="f">
              <v:textbox inset="0,0,0,0">
                <w:txbxContent>
                  <w:p w14:paraId="6F66B61B" w14:textId="77777777" w:rsidR="00711A16" w:rsidRDefault="00711A16">
                    <w:pPr>
                      <w:spacing w:before="221"/>
                      <w:ind w:left="200"/>
                      <w:rPr>
                        <w:rFonts w:ascii="MS Gothic"/>
                      </w:rPr>
                    </w:pPr>
                    <w:r>
                      <w:rPr>
                        <w:rFonts w:ascii="MS Gothic"/>
                        <w:color w:val="333333"/>
                      </w:rPr>
                      <w:t>@RestController</w:t>
                    </w:r>
                  </w:p>
                  <w:p w14:paraId="526516E7" w14:textId="77777777" w:rsidR="00711A16" w:rsidRDefault="00711A16">
                    <w:pPr>
                      <w:spacing w:before="13"/>
                      <w:ind w:left="200"/>
                      <w:rPr>
                        <w:rFonts w:ascii="MS Gothic"/>
                      </w:rPr>
                    </w:pPr>
                    <w:r>
                      <w:rPr>
                        <w:rFonts w:ascii="MS Gothic"/>
                        <w:color w:val="333333"/>
                      </w:rPr>
                      <w:t>class WebApplication {</w:t>
                    </w:r>
                  </w:p>
                  <w:p w14:paraId="0B2C87BE" w14:textId="77777777" w:rsidR="00711A16" w:rsidRDefault="00711A16">
                    <w:pPr>
                      <w:rPr>
                        <w:rFonts w:ascii="MS Gothic"/>
                        <w:sz w:val="24"/>
                      </w:rPr>
                    </w:pPr>
                  </w:p>
                  <w:p w14:paraId="4660461C" w14:textId="77777777" w:rsidR="00711A16" w:rsidRDefault="00711A16">
                    <w:pPr>
                      <w:spacing w:line="252" w:lineRule="auto"/>
                      <w:ind w:left="640" w:right="7078"/>
                      <w:rPr>
                        <w:rFonts w:ascii="MS Gothic"/>
                      </w:rPr>
                    </w:pPr>
                    <w:r>
                      <w:rPr>
                        <w:rFonts w:ascii="MS Gothic"/>
                        <w:color w:val="333333"/>
                      </w:rPr>
                      <w:t>@</w:t>
                    </w:r>
                    <w:proofErr w:type="gramStart"/>
                    <w:r>
                      <w:rPr>
                        <w:rFonts w:ascii="MS Gothic"/>
                        <w:color w:val="333333"/>
                      </w:rPr>
                      <w:t>RequestMapping(</w:t>
                    </w:r>
                    <w:proofErr w:type="gramEnd"/>
                    <w:r>
                      <w:rPr>
                        <w:rFonts w:ascii="MS Gothic"/>
                        <w:color w:val="333333"/>
                      </w:rPr>
                      <w:t>"/") String home() {</w:t>
                    </w:r>
                  </w:p>
                  <w:p w14:paraId="766E81F3" w14:textId="77777777" w:rsidR="00711A16" w:rsidRDefault="00711A16">
                    <w:pPr>
                      <w:spacing w:line="280" w:lineRule="exact"/>
                      <w:ind w:left="1080"/>
                      <w:rPr>
                        <w:rFonts w:ascii="MS Gothic"/>
                      </w:rPr>
                    </w:pPr>
                    <w:r>
                      <w:rPr>
                        <w:rFonts w:ascii="MS Gothic"/>
                        <w:color w:val="333333"/>
                      </w:rPr>
                      <w:t>"Hello World!"</w:t>
                    </w:r>
                  </w:p>
                  <w:p w14:paraId="087C490F" w14:textId="77777777" w:rsidR="00711A16" w:rsidRDefault="00711A16">
                    <w:pPr>
                      <w:spacing w:before="13"/>
                      <w:ind w:left="640"/>
                      <w:rPr>
                        <w:rFonts w:ascii="MS Gothic"/>
                      </w:rPr>
                    </w:pPr>
                    <w:r>
                      <w:rPr>
                        <w:rFonts w:ascii="MS Gothic"/>
                        <w:color w:val="333333"/>
                      </w:rPr>
                      <w:t>}</w:t>
                    </w:r>
                  </w:p>
                  <w:p w14:paraId="230B68A4" w14:textId="77777777" w:rsidR="00711A16" w:rsidRDefault="00711A16">
                    <w:pPr>
                      <w:rPr>
                        <w:rFonts w:ascii="MS Gothic"/>
                        <w:sz w:val="24"/>
                      </w:rPr>
                    </w:pPr>
                  </w:p>
                  <w:p w14:paraId="07BA2B28" w14:textId="77777777" w:rsidR="00711A16" w:rsidRDefault="00711A16">
                    <w:pPr>
                      <w:ind w:left="200"/>
                      <w:rPr>
                        <w:rFonts w:ascii="MS Gothic"/>
                      </w:rPr>
                    </w:pPr>
                    <w:r>
                      <w:rPr>
                        <w:rFonts w:ascii="MS Gothic"/>
                        <w:color w:val="333333"/>
                      </w:rPr>
                      <w:t>}</w:t>
                    </w:r>
                  </w:p>
                </w:txbxContent>
              </v:textbox>
            </v:shape>
            <w10:wrap type="topAndBottom" anchorx="page"/>
          </v:group>
        </w:pict>
      </w:r>
      <w:proofErr w:type="gramStart"/>
      <w:r w:rsidR="0030286B">
        <w:rPr>
          <w:rFonts w:ascii="Palatino Linotype"/>
          <w:i/>
          <w:color w:val="333333"/>
          <w:w w:val="115"/>
          <w:sz w:val="20"/>
        </w:rPr>
        <w:t>hello.groovy</w:t>
      </w:r>
      <w:proofErr w:type="gramEnd"/>
    </w:p>
    <w:p w14:paraId="4FC64ECF" w14:textId="77777777" w:rsidR="00A720EB" w:rsidRDefault="00A720EB">
      <w:pPr>
        <w:pStyle w:val="a3"/>
        <w:spacing w:before="9"/>
        <w:rPr>
          <w:rFonts w:ascii="Palatino Linotype"/>
          <w:i/>
          <w:sz w:val="8"/>
        </w:rPr>
      </w:pPr>
    </w:p>
    <w:p w14:paraId="05CA2B27" w14:textId="77777777" w:rsidR="00A720EB" w:rsidRDefault="0030286B">
      <w:pPr>
        <w:pStyle w:val="a3"/>
        <w:spacing w:before="126"/>
        <w:ind w:left="124"/>
      </w:pPr>
      <w:r>
        <w:rPr>
          <w:color w:val="333333"/>
          <w:w w:val="110"/>
        </w:rPr>
        <w:t>To compile and run the application, type the following command:</w:t>
      </w:r>
    </w:p>
    <w:p w14:paraId="37E62360" w14:textId="77777777" w:rsidR="00A720EB" w:rsidRDefault="00E10349">
      <w:pPr>
        <w:pStyle w:val="a3"/>
        <w:spacing w:before="11"/>
        <w:rPr>
          <w:sz w:val="18"/>
        </w:rPr>
      </w:pPr>
      <w:r>
        <w:pict w14:anchorId="7574BB46">
          <v:group id="_x0000_s1777" style="position:absolute;margin-left:47.85pt;margin-top:13.1pt;width:499.55pt;height:37.5pt;z-index:-15148544;mso-wrap-distance-left:0;mso-wrap-distance-right:0;mso-position-horizontal-relative:page" coordorigin="957,262" coordsize="9991,750">
            <v:shape id="_x0000_s1780" style="position:absolute;left:964;top:269;width:9976;height:735" coordorigin="965,269" coordsize="9976,735" path="m10861,269r-9816,l1014,275r-26,17l971,318r-6,31l965,924r6,31l988,980r26,18l1045,1004r9816,l10892,998r25,-18l10935,955r6,-31l10941,349r-6,-31l10917,292r-25,-17l10861,269xe" fillcolor="#f5f5f5" stroked="f">
              <v:path arrowok="t"/>
            </v:shape>
            <v:shape id="_x0000_s1779" style="position:absolute;left:964;top:269;width:9976;height:735" coordorigin="965,269" coordsize="9976,735" path="m1045,269r9816,l10892,275r25,17l10935,318r6,31l10941,924r-6,31l10917,980r-25,18l10861,1004r-9816,l1014,998,988,980,971,955r-6,-31l965,349r6,-31l988,292r26,-17l1045,269xe" filled="f" strokecolor="#ccc">
              <v:path arrowok="t"/>
            </v:shape>
            <v:shape id="_x0000_s1778" type="#_x0000_t202" style="position:absolute;left:984;top:284;width:9938;height:704" filled="f" stroked="f">
              <v:textbox inset="0,0,0,0">
                <w:txbxContent>
                  <w:p w14:paraId="4E9ED1DD" w14:textId="77777777" w:rsidR="00711A16" w:rsidRDefault="00711A16">
                    <w:pPr>
                      <w:spacing w:before="221"/>
                      <w:ind w:left="200"/>
                      <w:rPr>
                        <w:rFonts w:ascii="MS Gothic"/>
                      </w:rPr>
                    </w:pPr>
                    <w:r>
                      <w:rPr>
                        <w:rFonts w:ascii="MS Gothic"/>
                        <w:color w:val="333333"/>
                      </w:rPr>
                      <w:t xml:space="preserve">$ spring run </w:t>
                    </w:r>
                    <w:proofErr w:type="gramStart"/>
                    <w:r>
                      <w:rPr>
                        <w:rFonts w:ascii="MS Gothic"/>
                        <w:color w:val="333333"/>
                      </w:rPr>
                      <w:t>hello.groovy</w:t>
                    </w:r>
                    <w:proofErr w:type="gramEnd"/>
                  </w:p>
                </w:txbxContent>
              </v:textbox>
            </v:shape>
            <w10:wrap type="topAndBottom" anchorx="page"/>
          </v:group>
        </w:pict>
      </w:r>
    </w:p>
    <w:p w14:paraId="12E7FA29" w14:textId="77777777" w:rsidR="00A720EB" w:rsidRDefault="00A720EB">
      <w:pPr>
        <w:rPr>
          <w:sz w:val="18"/>
        </w:rPr>
        <w:sectPr w:rsidR="00A720EB">
          <w:pgSz w:w="11910" w:h="16840"/>
          <w:pgMar w:top="700" w:right="840" w:bottom="520" w:left="840" w:header="0" w:footer="323" w:gutter="0"/>
          <w:cols w:space="720"/>
        </w:sectPr>
      </w:pPr>
    </w:p>
    <w:p w14:paraId="6874BA07" w14:textId="77777777" w:rsidR="00A720EB" w:rsidRDefault="0030286B">
      <w:pPr>
        <w:pStyle w:val="a3"/>
        <w:spacing w:before="96" w:line="290" w:lineRule="auto"/>
        <w:ind w:left="124"/>
      </w:pPr>
      <w:r>
        <w:rPr>
          <w:color w:val="333333"/>
          <w:w w:val="110"/>
        </w:rPr>
        <w:lastRenderedPageBreak/>
        <w:t xml:space="preserve">To pass command-line arguments to the application, use </w:t>
      </w:r>
      <w:r>
        <w:rPr>
          <w:rFonts w:ascii="MS Gothic" w:hAnsi="MS Gothic"/>
          <w:color w:val="B02045"/>
          <w:w w:val="110"/>
        </w:rPr>
        <w:t xml:space="preserve">-- </w:t>
      </w:r>
      <w:r>
        <w:rPr>
          <w:color w:val="333333"/>
          <w:w w:val="110"/>
        </w:rPr>
        <w:t>to separate the commands from the “spring” command arguments, as shown in the following example:</w:t>
      </w:r>
    </w:p>
    <w:p w14:paraId="61119527" w14:textId="77777777" w:rsidR="00A720EB" w:rsidRDefault="00E10349">
      <w:pPr>
        <w:pStyle w:val="a3"/>
        <w:spacing w:before="7"/>
        <w:rPr>
          <w:sz w:val="14"/>
        </w:rPr>
      </w:pPr>
      <w:r>
        <w:pict w14:anchorId="1A41648B">
          <v:group id="_x0000_s1773" style="position:absolute;margin-left:47.85pt;margin-top:10.55pt;width:499.55pt;height:37.5pt;z-index:-15148032;mso-wrap-distance-left:0;mso-wrap-distance-right:0;mso-position-horizontal-relative:page" coordorigin="957,211" coordsize="9991,750">
            <v:shape id="_x0000_s1776" style="position:absolute;left:964;top:218;width:9976;height:735" coordorigin="965,219" coordsize="9976,735" path="m10861,219r-9816,l1014,225r-26,17l971,268r-6,31l965,874r6,31l988,930r26,17l1045,954r9816,l10892,947r25,-17l10935,905r6,-31l10941,299r-6,-31l10917,242r-25,-17l10861,219xe" fillcolor="#f5f5f5" stroked="f">
              <v:path arrowok="t"/>
            </v:shape>
            <v:shape id="_x0000_s1775" style="position:absolute;left:964;top:218;width:9976;height:735" coordorigin="965,219" coordsize="9976,735" path="m1045,219r9816,l10892,225r25,17l10935,268r6,31l10941,874r-6,31l10917,930r-25,17l10861,954r-9816,l1014,947,988,930,971,905r-6,-31l965,299r6,-31l988,242r26,-17l1045,219xe" filled="f" strokecolor="#ccc">
              <v:path arrowok="t"/>
            </v:shape>
            <v:shape id="_x0000_s1774" type="#_x0000_t202" style="position:absolute;left:984;top:234;width:9938;height:704" filled="f" stroked="f">
              <v:textbox inset="0,0,0,0">
                <w:txbxContent>
                  <w:p w14:paraId="39A4B680" w14:textId="77777777" w:rsidR="00711A16" w:rsidRDefault="00711A16">
                    <w:pPr>
                      <w:tabs>
                        <w:tab w:val="left" w:leader="hyphen" w:pos="3610"/>
                      </w:tabs>
                      <w:spacing w:before="221"/>
                      <w:ind w:left="200"/>
                      <w:rPr>
                        <w:rFonts w:ascii="MS Gothic"/>
                      </w:rPr>
                    </w:pPr>
                    <w:r>
                      <w:rPr>
                        <w:rFonts w:ascii="MS Gothic"/>
                        <w:color w:val="333333"/>
                      </w:rPr>
                      <w:t xml:space="preserve">$ spring run </w:t>
                    </w:r>
                    <w:proofErr w:type="gramStart"/>
                    <w:r>
                      <w:rPr>
                        <w:rFonts w:ascii="MS Gothic"/>
                        <w:color w:val="333333"/>
                      </w:rPr>
                      <w:t>hello.groovy</w:t>
                    </w:r>
                    <w:proofErr w:type="gramEnd"/>
                    <w:r>
                      <w:rPr>
                        <w:rFonts w:ascii="MS Gothic"/>
                        <w:color w:val="333333"/>
                      </w:rPr>
                      <w:tab/>
                      <w:t>server.port=9000</w:t>
                    </w:r>
                  </w:p>
                </w:txbxContent>
              </v:textbox>
            </v:shape>
            <w10:wrap type="topAndBottom" anchorx="page"/>
          </v:group>
        </w:pict>
      </w:r>
    </w:p>
    <w:p w14:paraId="7A93E79C" w14:textId="77777777" w:rsidR="00A720EB" w:rsidRDefault="00A720EB">
      <w:pPr>
        <w:pStyle w:val="a3"/>
        <w:spacing w:before="11"/>
        <w:rPr>
          <w:sz w:val="9"/>
        </w:rPr>
      </w:pPr>
    </w:p>
    <w:p w14:paraId="172941D6" w14:textId="77777777" w:rsidR="00A720EB" w:rsidRDefault="0030286B">
      <w:pPr>
        <w:pStyle w:val="a3"/>
        <w:spacing w:before="115" w:line="290" w:lineRule="auto"/>
        <w:ind w:left="124"/>
      </w:pPr>
      <w:r>
        <w:rPr>
          <w:color w:val="333333"/>
          <w:w w:val="110"/>
        </w:rPr>
        <w:t xml:space="preserve">To set JVM command line arguments, you can use the </w:t>
      </w:r>
      <w:r>
        <w:rPr>
          <w:rFonts w:ascii="MS Gothic"/>
          <w:color w:val="B02045"/>
          <w:w w:val="110"/>
        </w:rPr>
        <w:t xml:space="preserve">JAVA_OPTS </w:t>
      </w:r>
      <w:r>
        <w:rPr>
          <w:color w:val="333333"/>
          <w:w w:val="110"/>
        </w:rPr>
        <w:t>environment variable, as shown in the following example:</w:t>
      </w:r>
    </w:p>
    <w:p w14:paraId="24CF7374" w14:textId="77777777" w:rsidR="00A720EB" w:rsidRDefault="00E10349">
      <w:pPr>
        <w:pStyle w:val="a3"/>
        <w:spacing w:before="8"/>
        <w:rPr>
          <w:sz w:val="14"/>
        </w:rPr>
      </w:pPr>
      <w:r>
        <w:pict w14:anchorId="59BAE290">
          <v:group id="_x0000_s1769" style="position:absolute;margin-left:47.85pt;margin-top:10.6pt;width:499.55pt;height:37.5pt;z-index:-15147520;mso-wrap-distance-left:0;mso-wrap-distance-right:0;mso-position-horizontal-relative:page" coordorigin="957,212" coordsize="9991,750">
            <v:shape id="_x0000_s1772" style="position:absolute;left:964;top:219;width:9976;height:735" coordorigin="965,219" coordsize="9976,735" path="m10861,219r-9816,l1014,226r-26,17l971,268r-6,31l965,874r6,31l988,931r26,17l1045,954r9816,l10892,948r25,-17l10935,905r6,-31l10941,299r-6,-31l10917,243r-25,-17l10861,219xe" fillcolor="#f5f5f5" stroked="f">
              <v:path arrowok="t"/>
            </v:shape>
            <v:shape id="_x0000_s1771" style="position:absolute;left:964;top:219;width:9976;height:735" coordorigin="965,219" coordsize="9976,735" path="m1045,219r9816,l10892,226r25,17l10935,268r6,31l10941,874r-6,31l10917,931r-25,17l10861,954r-9816,l1014,948,988,931,971,905r-6,-31l965,299r6,-31l988,243r26,-17l1045,219xe" filled="f" strokecolor="#ccc">
              <v:path arrowok="t"/>
            </v:shape>
            <v:shape id="_x0000_s1770" type="#_x0000_t202" style="position:absolute;left:984;top:234;width:9938;height:704" filled="f" stroked="f">
              <v:textbox inset="0,0,0,0">
                <w:txbxContent>
                  <w:p w14:paraId="5EE55A88" w14:textId="77777777" w:rsidR="00711A16" w:rsidRDefault="00711A16">
                    <w:pPr>
                      <w:spacing w:before="221"/>
                      <w:ind w:left="200"/>
                      <w:rPr>
                        <w:rFonts w:ascii="MS Gothic"/>
                      </w:rPr>
                    </w:pPr>
                    <w:r>
                      <w:rPr>
                        <w:rFonts w:ascii="MS Gothic"/>
                        <w:color w:val="333333"/>
                      </w:rPr>
                      <w:t xml:space="preserve">$ JAVA_OPTS=-Xmx1024m spring run </w:t>
                    </w:r>
                    <w:proofErr w:type="gramStart"/>
                    <w:r>
                      <w:rPr>
                        <w:rFonts w:ascii="MS Gothic"/>
                        <w:color w:val="333333"/>
                      </w:rPr>
                      <w:t>hello.groovy</w:t>
                    </w:r>
                    <w:proofErr w:type="gramEnd"/>
                  </w:p>
                </w:txbxContent>
              </v:textbox>
            </v:shape>
            <w10:wrap type="topAndBottom" anchorx="page"/>
          </v:group>
        </w:pict>
      </w:r>
    </w:p>
    <w:p w14:paraId="458CF245" w14:textId="77777777" w:rsidR="00A720EB" w:rsidRDefault="00A720EB">
      <w:pPr>
        <w:pStyle w:val="a3"/>
        <w:spacing w:before="8"/>
        <w:rPr>
          <w:sz w:val="16"/>
        </w:rPr>
      </w:pPr>
    </w:p>
    <w:p w14:paraId="4B3725B2" w14:textId="77777777" w:rsidR="00A720EB" w:rsidRDefault="00E10349">
      <w:pPr>
        <w:pStyle w:val="a3"/>
        <w:spacing w:before="116" w:line="285" w:lineRule="auto"/>
        <w:ind w:left="1564" w:right="362"/>
        <w:jc w:val="both"/>
      </w:pPr>
      <w:r>
        <w:pict w14:anchorId="7192A5BF">
          <v:line id="_x0000_s1768" style="position:absolute;left:0;text-align:left;z-index:16310272;mso-position-horizontal-relative:page" from="108.25pt,.35pt" to="108.25pt,55.7pt" strokecolor="#ededed" strokeweight=".5pt">
            <w10:wrap anchorx="page"/>
          </v:line>
        </w:pict>
      </w:r>
      <w:r w:rsidR="0030286B">
        <w:rPr>
          <w:noProof/>
        </w:rPr>
        <w:drawing>
          <wp:anchor distT="0" distB="0" distL="0" distR="0" simplePos="0" relativeHeight="16310784" behindDoc="0" locked="0" layoutInCell="1" allowOverlap="1" wp14:anchorId="21ED7EC2" wp14:editId="2F24A162">
            <wp:simplePos x="0" y="0"/>
            <wp:positionH relativeFrom="page">
              <wp:posOffset>844422</wp:posOffset>
            </wp:positionH>
            <wp:positionV relativeFrom="paragraph">
              <wp:posOffset>206451</wp:posOffset>
            </wp:positionV>
            <wp:extent cx="298450" cy="298450"/>
            <wp:effectExtent l="0" t="0" r="0" b="0"/>
            <wp:wrapNone/>
            <wp:docPr id="6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When setting </w:t>
      </w:r>
      <w:r w:rsidR="0030286B">
        <w:rPr>
          <w:rFonts w:ascii="MS Gothic"/>
          <w:color w:val="B02045"/>
          <w:w w:val="110"/>
        </w:rPr>
        <w:t xml:space="preserve">JAVA_OPTS </w:t>
      </w:r>
      <w:r w:rsidR="0030286B">
        <w:rPr>
          <w:color w:val="333333"/>
          <w:w w:val="110"/>
        </w:rPr>
        <w:t xml:space="preserve">on Microsoft Windows, make sure to quote the entire instruction, such as </w:t>
      </w:r>
      <w:r w:rsidR="0030286B">
        <w:rPr>
          <w:rFonts w:ascii="MS Gothic"/>
          <w:color w:val="B02045"/>
          <w:w w:val="110"/>
        </w:rPr>
        <w:t>set "JAVA_OPTS=-Xms256m -Xmx2048m"</w:t>
      </w:r>
      <w:r w:rsidR="0030286B">
        <w:rPr>
          <w:color w:val="333333"/>
          <w:w w:val="110"/>
        </w:rPr>
        <w:t>. Doing so ensures the values are properly passed to the process.</w:t>
      </w:r>
    </w:p>
    <w:p w14:paraId="1DADF555" w14:textId="77777777" w:rsidR="00A720EB" w:rsidRDefault="00A720EB">
      <w:pPr>
        <w:pStyle w:val="a3"/>
        <w:spacing w:before="7"/>
        <w:rPr>
          <w:sz w:val="25"/>
        </w:rPr>
      </w:pPr>
    </w:p>
    <w:p w14:paraId="35A98549" w14:textId="77777777" w:rsidR="00A720EB" w:rsidRDefault="0030286B">
      <w:pPr>
        <w:pStyle w:val="4"/>
        <w:spacing w:before="104"/>
      </w:pPr>
      <w:bookmarkStart w:id="731" w:name="Deduced_“grab”_Dependencies"/>
      <w:bookmarkEnd w:id="731"/>
      <w:r>
        <w:rPr>
          <w:color w:val="333333"/>
          <w:w w:val="110"/>
        </w:rPr>
        <w:t>Deduced “grab” Dependencies</w:t>
      </w:r>
    </w:p>
    <w:p w14:paraId="436B1F54" w14:textId="77777777" w:rsidR="00A720EB" w:rsidRDefault="0030286B">
      <w:pPr>
        <w:pStyle w:val="a3"/>
        <w:spacing w:before="244" w:line="300" w:lineRule="auto"/>
        <w:ind w:left="124" w:right="132"/>
        <w:jc w:val="both"/>
      </w:pPr>
      <w:r>
        <w:rPr>
          <w:color w:val="333333"/>
          <w:w w:val="110"/>
        </w:rPr>
        <w:t xml:space="preserve">Standard Groovy includes a </w:t>
      </w:r>
      <w:r>
        <w:rPr>
          <w:rFonts w:ascii="MS Gothic"/>
          <w:color w:val="B02045"/>
          <w:w w:val="110"/>
        </w:rPr>
        <w:t xml:space="preserve">@Grab </w:t>
      </w:r>
      <w:r>
        <w:rPr>
          <w:color w:val="333333"/>
          <w:w w:val="110"/>
        </w:rPr>
        <w:t xml:space="preserve">annotation, which lets you declare dependencies on third-party libraries. This useful technique lets Groovy download jars in the same way as Maven or </w:t>
      </w:r>
      <w:proofErr w:type="gramStart"/>
      <w:r>
        <w:rPr>
          <w:color w:val="333333"/>
          <w:w w:val="110"/>
        </w:rPr>
        <w:t xml:space="preserve">Gradle </w:t>
      </w:r>
      <w:r>
        <w:rPr>
          <w:color w:val="333333"/>
          <w:spacing w:val="50"/>
          <w:w w:val="110"/>
        </w:rPr>
        <w:t xml:space="preserve"> </w:t>
      </w:r>
      <w:r>
        <w:rPr>
          <w:color w:val="333333"/>
          <w:w w:val="110"/>
        </w:rPr>
        <w:t>would</w:t>
      </w:r>
      <w:proofErr w:type="gramEnd"/>
      <w:r>
        <w:rPr>
          <w:color w:val="333333"/>
          <w:w w:val="110"/>
        </w:rPr>
        <w:t xml:space="preserve"> but without requiring you to use a build</w:t>
      </w:r>
      <w:r>
        <w:rPr>
          <w:color w:val="333333"/>
          <w:spacing w:val="26"/>
          <w:w w:val="110"/>
        </w:rPr>
        <w:t xml:space="preserve"> </w:t>
      </w:r>
      <w:r>
        <w:rPr>
          <w:color w:val="333333"/>
          <w:w w:val="110"/>
        </w:rPr>
        <w:t>tool.</w:t>
      </w:r>
    </w:p>
    <w:p w14:paraId="7F9DC33C" w14:textId="77777777" w:rsidR="00A720EB" w:rsidRDefault="0030286B">
      <w:pPr>
        <w:pStyle w:val="a3"/>
        <w:spacing w:before="245" w:line="295" w:lineRule="auto"/>
        <w:ind w:left="124" w:right="122"/>
        <w:jc w:val="both"/>
      </w:pPr>
      <w:r>
        <w:rPr>
          <w:color w:val="333333"/>
          <w:w w:val="110"/>
        </w:rPr>
        <w:t xml:space="preserve">Spring Boot extends this technique further and tries to deduce which libraries to “grab” based on your code. </w:t>
      </w:r>
      <w:r>
        <w:rPr>
          <w:color w:val="333333"/>
          <w:spacing w:val="-4"/>
          <w:w w:val="110"/>
        </w:rPr>
        <w:t xml:space="preserve">For </w:t>
      </w:r>
      <w:r>
        <w:rPr>
          <w:color w:val="333333"/>
          <w:w w:val="110"/>
        </w:rPr>
        <w:t xml:space="preserve">example, since the </w:t>
      </w:r>
      <w:r>
        <w:rPr>
          <w:rFonts w:ascii="MS Gothic" w:hAnsi="MS Gothic"/>
          <w:color w:val="B02045"/>
          <w:w w:val="110"/>
        </w:rPr>
        <w:t xml:space="preserve">WebApplication </w:t>
      </w:r>
      <w:r>
        <w:rPr>
          <w:color w:val="333333"/>
          <w:w w:val="110"/>
        </w:rPr>
        <w:t xml:space="preserve">code shown previously uses </w:t>
      </w:r>
      <w:r>
        <w:rPr>
          <w:rFonts w:ascii="MS Gothic" w:hAnsi="MS Gothic"/>
          <w:color w:val="B02045"/>
          <w:w w:val="110"/>
        </w:rPr>
        <w:t xml:space="preserve">@RestController </w:t>
      </w:r>
      <w:r>
        <w:rPr>
          <w:color w:val="333333"/>
          <w:w w:val="110"/>
        </w:rPr>
        <w:t>annotations, Spring Boot grabs "Tomcat" and "Spring</w:t>
      </w:r>
      <w:r>
        <w:rPr>
          <w:color w:val="333333"/>
          <w:spacing w:val="17"/>
          <w:w w:val="110"/>
        </w:rPr>
        <w:t xml:space="preserve"> </w:t>
      </w:r>
      <w:r>
        <w:rPr>
          <w:color w:val="333333"/>
          <w:w w:val="110"/>
        </w:rPr>
        <w:t>MVC".</w:t>
      </w:r>
    </w:p>
    <w:p w14:paraId="6257E050" w14:textId="77777777" w:rsidR="00A720EB" w:rsidRDefault="0030286B">
      <w:pPr>
        <w:pStyle w:val="a3"/>
        <w:spacing w:before="251"/>
        <w:ind w:left="124"/>
        <w:jc w:val="both"/>
      </w:pPr>
      <w:r>
        <w:rPr>
          <w:color w:val="333333"/>
          <w:w w:val="110"/>
        </w:rPr>
        <w:t>The following items are used as “grab hints”:</w:t>
      </w:r>
    </w:p>
    <w:p w14:paraId="60453F4B" w14:textId="77777777" w:rsidR="00A720EB" w:rsidRDefault="00A720EB">
      <w:pPr>
        <w:pStyle w:val="a3"/>
        <w:spacing w:before="6"/>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5033DCD2" w14:textId="77777777">
        <w:trPr>
          <w:trHeight w:val="415"/>
        </w:trPr>
        <w:tc>
          <w:tcPr>
            <w:tcW w:w="4988" w:type="dxa"/>
            <w:tcBorders>
              <w:bottom w:val="single" w:sz="12" w:space="0" w:color="DDDDDD"/>
            </w:tcBorders>
          </w:tcPr>
          <w:p w14:paraId="5B99FF1B" w14:textId="77777777" w:rsidR="00A720EB" w:rsidRDefault="0030286B">
            <w:pPr>
              <w:pStyle w:val="TableParagraph"/>
              <w:spacing w:before="74"/>
              <w:rPr>
                <w:rFonts w:ascii="Palatino Linotype"/>
                <w:b/>
                <w:sz w:val="21"/>
              </w:rPr>
            </w:pPr>
            <w:r>
              <w:rPr>
                <w:rFonts w:ascii="Palatino Linotype"/>
                <w:b/>
                <w:color w:val="333333"/>
                <w:w w:val="110"/>
                <w:sz w:val="21"/>
              </w:rPr>
              <w:t>Items</w:t>
            </w:r>
          </w:p>
        </w:tc>
        <w:tc>
          <w:tcPr>
            <w:tcW w:w="4988" w:type="dxa"/>
            <w:tcBorders>
              <w:bottom w:val="single" w:sz="12" w:space="0" w:color="DDDDDD"/>
            </w:tcBorders>
          </w:tcPr>
          <w:p w14:paraId="3DDC8700" w14:textId="77777777" w:rsidR="00A720EB" w:rsidRDefault="0030286B">
            <w:pPr>
              <w:pStyle w:val="TableParagraph"/>
              <w:spacing w:before="74"/>
              <w:rPr>
                <w:rFonts w:ascii="Palatino Linotype"/>
                <w:b/>
                <w:sz w:val="21"/>
              </w:rPr>
            </w:pPr>
            <w:r>
              <w:rPr>
                <w:rFonts w:ascii="Palatino Linotype"/>
                <w:b/>
                <w:color w:val="333333"/>
                <w:w w:val="110"/>
                <w:sz w:val="21"/>
              </w:rPr>
              <w:t>Grabs</w:t>
            </w:r>
          </w:p>
        </w:tc>
      </w:tr>
      <w:tr w:rsidR="00A720EB" w14:paraId="42482641" w14:textId="77777777">
        <w:trPr>
          <w:trHeight w:val="661"/>
        </w:trPr>
        <w:tc>
          <w:tcPr>
            <w:tcW w:w="4988" w:type="dxa"/>
            <w:tcBorders>
              <w:top w:val="single" w:sz="12" w:space="0" w:color="DDDDDD"/>
            </w:tcBorders>
          </w:tcPr>
          <w:p w14:paraId="70AB4B9D" w14:textId="77777777" w:rsidR="00A720EB" w:rsidRDefault="0030286B">
            <w:pPr>
              <w:pStyle w:val="TableParagraph"/>
              <w:spacing w:before="82" w:line="230" w:lineRule="auto"/>
              <w:rPr>
                <w:sz w:val="21"/>
              </w:rPr>
            </w:pPr>
            <w:r>
              <w:rPr>
                <w:color w:val="B02045"/>
                <w:sz w:val="21"/>
              </w:rPr>
              <w:t>JdbcTemplate</w:t>
            </w:r>
            <w:r>
              <w:rPr>
                <w:rFonts w:ascii="Cambria"/>
                <w:color w:val="333333"/>
                <w:sz w:val="21"/>
              </w:rPr>
              <w:t xml:space="preserve">, </w:t>
            </w:r>
            <w:r>
              <w:rPr>
                <w:color w:val="B02045"/>
                <w:sz w:val="21"/>
              </w:rPr>
              <w:t>NamedParameterJdbcTemplate</w:t>
            </w:r>
            <w:r>
              <w:rPr>
                <w:rFonts w:ascii="Cambria"/>
                <w:color w:val="333333"/>
                <w:sz w:val="21"/>
              </w:rPr>
              <w:t xml:space="preserve">, </w:t>
            </w:r>
            <w:r>
              <w:rPr>
                <w:color w:val="B02045"/>
                <w:sz w:val="21"/>
              </w:rPr>
              <w:t>DataSource</w:t>
            </w:r>
          </w:p>
        </w:tc>
        <w:tc>
          <w:tcPr>
            <w:tcW w:w="4988" w:type="dxa"/>
            <w:tcBorders>
              <w:top w:val="single" w:sz="12" w:space="0" w:color="DDDDDD"/>
            </w:tcBorders>
          </w:tcPr>
          <w:p w14:paraId="7680B261" w14:textId="77777777" w:rsidR="00A720EB" w:rsidRDefault="0030286B">
            <w:pPr>
              <w:pStyle w:val="TableParagraph"/>
              <w:spacing w:before="84"/>
              <w:rPr>
                <w:rFonts w:ascii="Cambria"/>
                <w:sz w:val="21"/>
              </w:rPr>
            </w:pPr>
            <w:r>
              <w:rPr>
                <w:rFonts w:ascii="Cambria"/>
                <w:color w:val="333333"/>
                <w:w w:val="110"/>
                <w:sz w:val="21"/>
              </w:rPr>
              <w:t>JDBC Application.</w:t>
            </w:r>
          </w:p>
        </w:tc>
      </w:tr>
      <w:tr w:rsidR="00A720EB" w14:paraId="65B8CB02" w14:textId="77777777">
        <w:trPr>
          <w:trHeight w:val="425"/>
        </w:trPr>
        <w:tc>
          <w:tcPr>
            <w:tcW w:w="4988" w:type="dxa"/>
          </w:tcPr>
          <w:p w14:paraId="64F05E8F" w14:textId="77777777" w:rsidR="00A720EB" w:rsidRDefault="0030286B">
            <w:pPr>
              <w:pStyle w:val="TableParagraph"/>
              <w:spacing w:before="40"/>
              <w:rPr>
                <w:sz w:val="21"/>
              </w:rPr>
            </w:pPr>
            <w:r>
              <w:rPr>
                <w:color w:val="B02045"/>
                <w:sz w:val="21"/>
              </w:rPr>
              <w:t>@EnableJms</w:t>
            </w:r>
          </w:p>
        </w:tc>
        <w:tc>
          <w:tcPr>
            <w:tcW w:w="4988" w:type="dxa"/>
          </w:tcPr>
          <w:p w14:paraId="746870B5" w14:textId="77777777" w:rsidR="00A720EB" w:rsidRDefault="0030286B">
            <w:pPr>
              <w:pStyle w:val="TableParagraph"/>
              <w:spacing w:before="94"/>
              <w:rPr>
                <w:rFonts w:ascii="Cambria"/>
                <w:sz w:val="21"/>
              </w:rPr>
            </w:pPr>
            <w:r>
              <w:rPr>
                <w:rFonts w:ascii="Cambria"/>
                <w:color w:val="333333"/>
                <w:w w:val="115"/>
                <w:sz w:val="21"/>
              </w:rPr>
              <w:t>JMS Application.</w:t>
            </w:r>
          </w:p>
        </w:tc>
      </w:tr>
      <w:tr w:rsidR="00A720EB" w14:paraId="2CC96FE5" w14:textId="77777777">
        <w:trPr>
          <w:trHeight w:val="425"/>
        </w:trPr>
        <w:tc>
          <w:tcPr>
            <w:tcW w:w="4988" w:type="dxa"/>
          </w:tcPr>
          <w:p w14:paraId="7D510448" w14:textId="77777777" w:rsidR="00A720EB" w:rsidRDefault="0030286B">
            <w:pPr>
              <w:pStyle w:val="TableParagraph"/>
              <w:spacing w:before="40"/>
              <w:rPr>
                <w:sz w:val="21"/>
              </w:rPr>
            </w:pPr>
            <w:r>
              <w:rPr>
                <w:color w:val="B02045"/>
                <w:sz w:val="21"/>
              </w:rPr>
              <w:t>@EnableCaching</w:t>
            </w:r>
          </w:p>
        </w:tc>
        <w:tc>
          <w:tcPr>
            <w:tcW w:w="4988" w:type="dxa"/>
          </w:tcPr>
          <w:p w14:paraId="281E4853" w14:textId="77777777" w:rsidR="00A720EB" w:rsidRDefault="0030286B">
            <w:pPr>
              <w:pStyle w:val="TableParagraph"/>
              <w:spacing w:before="94"/>
              <w:rPr>
                <w:rFonts w:ascii="Cambria"/>
                <w:sz w:val="21"/>
              </w:rPr>
            </w:pPr>
            <w:r>
              <w:rPr>
                <w:rFonts w:ascii="Cambria"/>
                <w:color w:val="333333"/>
                <w:w w:val="110"/>
                <w:sz w:val="21"/>
              </w:rPr>
              <w:t>Caching abstraction.</w:t>
            </w:r>
          </w:p>
        </w:tc>
      </w:tr>
      <w:tr w:rsidR="00A720EB" w14:paraId="172C1FE3" w14:textId="77777777">
        <w:trPr>
          <w:trHeight w:val="425"/>
        </w:trPr>
        <w:tc>
          <w:tcPr>
            <w:tcW w:w="4988" w:type="dxa"/>
          </w:tcPr>
          <w:p w14:paraId="46D67291" w14:textId="77777777" w:rsidR="00A720EB" w:rsidRDefault="0030286B">
            <w:pPr>
              <w:pStyle w:val="TableParagraph"/>
              <w:spacing w:before="40"/>
              <w:rPr>
                <w:sz w:val="21"/>
              </w:rPr>
            </w:pPr>
            <w:r>
              <w:rPr>
                <w:color w:val="B02045"/>
                <w:sz w:val="21"/>
              </w:rPr>
              <w:t>@Test</w:t>
            </w:r>
          </w:p>
        </w:tc>
        <w:tc>
          <w:tcPr>
            <w:tcW w:w="4988" w:type="dxa"/>
          </w:tcPr>
          <w:p w14:paraId="2BF5FE5E" w14:textId="77777777" w:rsidR="00A720EB" w:rsidRDefault="0030286B">
            <w:pPr>
              <w:pStyle w:val="TableParagraph"/>
              <w:spacing w:before="94"/>
              <w:rPr>
                <w:rFonts w:ascii="Cambria"/>
                <w:sz w:val="21"/>
              </w:rPr>
            </w:pPr>
            <w:r>
              <w:rPr>
                <w:rFonts w:ascii="Cambria"/>
                <w:color w:val="333333"/>
                <w:w w:val="115"/>
                <w:sz w:val="21"/>
              </w:rPr>
              <w:t>JUnit.</w:t>
            </w:r>
          </w:p>
        </w:tc>
      </w:tr>
      <w:tr w:rsidR="00A720EB" w14:paraId="62CE85B9" w14:textId="77777777">
        <w:trPr>
          <w:trHeight w:val="425"/>
        </w:trPr>
        <w:tc>
          <w:tcPr>
            <w:tcW w:w="4988" w:type="dxa"/>
          </w:tcPr>
          <w:p w14:paraId="12D002BC" w14:textId="77777777" w:rsidR="00A720EB" w:rsidRDefault="0030286B">
            <w:pPr>
              <w:pStyle w:val="TableParagraph"/>
              <w:spacing w:before="40"/>
              <w:rPr>
                <w:sz w:val="21"/>
              </w:rPr>
            </w:pPr>
            <w:r>
              <w:rPr>
                <w:color w:val="B02045"/>
                <w:sz w:val="21"/>
              </w:rPr>
              <w:t>@EnableRabbit</w:t>
            </w:r>
          </w:p>
        </w:tc>
        <w:tc>
          <w:tcPr>
            <w:tcW w:w="4988" w:type="dxa"/>
          </w:tcPr>
          <w:p w14:paraId="5105B3C6" w14:textId="77777777" w:rsidR="00A720EB" w:rsidRDefault="0030286B">
            <w:pPr>
              <w:pStyle w:val="TableParagraph"/>
              <w:spacing w:before="94"/>
              <w:rPr>
                <w:rFonts w:ascii="Cambria"/>
                <w:sz w:val="21"/>
              </w:rPr>
            </w:pPr>
            <w:r>
              <w:rPr>
                <w:rFonts w:ascii="Cambria"/>
                <w:color w:val="333333"/>
                <w:w w:val="110"/>
                <w:sz w:val="21"/>
              </w:rPr>
              <w:t>RabbitMQ.</w:t>
            </w:r>
          </w:p>
        </w:tc>
      </w:tr>
      <w:tr w:rsidR="00A720EB" w14:paraId="2E897064" w14:textId="77777777">
        <w:trPr>
          <w:trHeight w:val="425"/>
        </w:trPr>
        <w:tc>
          <w:tcPr>
            <w:tcW w:w="4988" w:type="dxa"/>
          </w:tcPr>
          <w:p w14:paraId="27ECFF66" w14:textId="77777777" w:rsidR="00A720EB" w:rsidRDefault="0030286B">
            <w:pPr>
              <w:pStyle w:val="TableParagraph"/>
              <w:spacing w:before="84"/>
              <w:rPr>
                <w:sz w:val="21"/>
              </w:rPr>
            </w:pPr>
            <w:r>
              <w:rPr>
                <w:rFonts w:ascii="Cambria"/>
                <w:color w:val="333333"/>
                <w:w w:val="105"/>
                <w:sz w:val="21"/>
              </w:rPr>
              <w:t xml:space="preserve">extends </w:t>
            </w:r>
            <w:r>
              <w:rPr>
                <w:color w:val="B02045"/>
                <w:w w:val="105"/>
                <w:sz w:val="21"/>
              </w:rPr>
              <w:t>Specification</w:t>
            </w:r>
          </w:p>
        </w:tc>
        <w:tc>
          <w:tcPr>
            <w:tcW w:w="4988" w:type="dxa"/>
          </w:tcPr>
          <w:p w14:paraId="4A0EA2D4" w14:textId="77777777" w:rsidR="00A720EB" w:rsidRDefault="0030286B">
            <w:pPr>
              <w:pStyle w:val="TableParagraph"/>
              <w:spacing w:before="94"/>
              <w:rPr>
                <w:rFonts w:ascii="Cambria"/>
                <w:sz w:val="21"/>
              </w:rPr>
            </w:pPr>
            <w:r>
              <w:rPr>
                <w:rFonts w:ascii="Cambria"/>
                <w:color w:val="333333"/>
                <w:w w:val="110"/>
                <w:sz w:val="21"/>
              </w:rPr>
              <w:t>Spock test.</w:t>
            </w:r>
          </w:p>
        </w:tc>
      </w:tr>
      <w:tr w:rsidR="00A720EB" w14:paraId="111948F8" w14:textId="77777777">
        <w:trPr>
          <w:trHeight w:val="425"/>
        </w:trPr>
        <w:tc>
          <w:tcPr>
            <w:tcW w:w="4988" w:type="dxa"/>
          </w:tcPr>
          <w:p w14:paraId="69A969D8" w14:textId="77777777" w:rsidR="00A720EB" w:rsidRDefault="0030286B">
            <w:pPr>
              <w:pStyle w:val="TableParagraph"/>
              <w:spacing w:before="40"/>
              <w:rPr>
                <w:sz w:val="21"/>
              </w:rPr>
            </w:pPr>
            <w:r>
              <w:rPr>
                <w:color w:val="B02045"/>
                <w:sz w:val="21"/>
              </w:rPr>
              <w:t>@EnableBatchProcessing</w:t>
            </w:r>
          </w:p>
        </w:tc>
        <w:tc>
          <w:tcPr>
            <w:tcW w:w="4988" w:type="dxa"/>
          </w:tcPr>
          <w:p w14:paraId="234E622E" w14:textId="77777777" w:rsidR="00A720EB" w:rsidRDefault="0030286B">
            <w:pPr>
              <w:pStyle w:val="TableParagraph"/>
              <w:spacing w:before="94"/>
              <w:rPr>
                <w:rFonts w:ascii="Cambria"/>
                <w:sz w:val="21"/>
              </w:rPr>
            </w:pPr>
            <w:r>
              <w:rPr>
                <w:rFonts w:ascii="Cambria"/>
                <w:color w:val="333333"/>
                <w:w w:val="110"/>
                <w:sz w:val="21"/>
              </w:rPr>
              <w:t>Spring Batch.</w:t>
            </w:r>
          </w:p>
        </w:tc>
      </w:tr>
      <w:tr w:rsidR="00A720EB" w14:paraId="630FF42D" w14:textId="77777777">
        <w:trPr>
          <w:trHeight w:val="425"/>
        </w:trPr>
        <w:tc>
          <w:tcPr>
            <w:tcW w:w="4988" w:type="dxa"/>
          </w:tcPr>
          <w:p w14:paraId="121105CC" w14:textId="77777777" w:rsidR="00A720EB" w:rsidRDefault="0030286B">
            <w:pPr>
              <w:pStyle w:val="TableParagraph"/>
              <w:spacing w:before="84"/>
              <w:rPr>
                <w:sz w:val="21"/>
              </w:rPr>
            </w:pPr>
            <w:r>
              <w:rPr>
                <w:color w:val="B02045"/>
                <w:sz w:val="21"/>
              </w:rPr>
              <w:t>@MessageEndpoint</w:t>
            </w:r>
            <w:r>
              <w:rPr>
                <w:color w:val="B02045"/>
                <w:spacing w:val="-51"/>
                <w:sz w:val="21"/>
              </w:rPr>
              <w:t xml:space="preserve"> </w:t>
            </w:r>
            <w:r>
              <w:rPr>
                <w:color w:val="B02045"/>
                <w:sz w:val="21"/>
              </w:rPr>
              <w:t>@EnableIntegration</w:t>
            </w:r>
          </w:p>
        </w:tc>
        <w:tc>
          <w:tcPr>
            <w:tcW w:w="4988" w:type="dxa"/>
          </w:tcPr>
          <w:p w14:paraId="32182353" w14:textId="77777777" w:rsidR="00A720EB" w:rsidRDefault="0030286B">
            <w:pPr>
              <w:pStyle w:val="TableParagraph"/>
              <w:spacing w:before="94"/>
              <w:rPr>
                <w:rFonts w:ascii="Cambria"/>
                <w:sz w:val="21"/>
              </w:rPr>
            </w:pPr>
            <w:r>
              <w:rPr>
                <w:rFonts w:ascii="Cambria"/>
                <w:color w:val="333333"/>
                <w:w w:val="110"/>
                <w:sz w:val="21"/>
              </w:rPr>
              <w:t>Spring Integration.</w:t>
            </w:r>
          </w:p>
        </w:tc>
      </w:tr>
      <w:tr w:rsidR="00A720EB" w14:paraId="4BA41E0A" w14:textId="77777777">
        <w:trPr>
          <w:trHeight w:val="425"/>
        </w:trPr>
        <w:tc>
          <w:tcPr>
            <w:tcW w:w="4988" w:type="dxa"/>
          </w:tcPr>
          <w:p w14:paraId="7617580F" w14:textId="77777777" w:rsidR="00A720EB" w:rsidRDefault="0030286B">
            <w:pPr>
              <w:pStyle w:val="TableParagraph"/>
              <w:spacing w:before="84"/>
              <w:rPr>
                <w:sz w:val="21"/>
              </w:rPr>
            </w:pPr>
            <w:r>
              <w:rPr>
                <w:color w:val="B02045"/>
                <w:sz w:val="21"/>
              </w:rPr>
              <w:t>@Controller</w:t>
            </w:r>
            <w:r>
              <w:rPr>
                <w:color w:val="B02045"/>
                <w:spacing w:val="-51"/>
                <w:sz w:val="21"/>
              </w:rPr>
              <w:t xml:space="preserve"> </w:t>
            </w:r>
            <w:r>
              <w:rPr>
                <w:color w:val="B02045"/>
                <w:sz w:val="21"/>
              </w:rPr>
              <w:t>@RestController</w:t>
            </w:r>
            <w:r>
              <w:rPr>
                <w:color w:val="B02045"/>
                <w:spacing w:val="-51"/>
                <w:sz w:val="21"/>
              </w:rPr>
              <w:t xml:space="preserve"> </w:t>
            </w:r>
            <w:r>
              <w:rPr>
                <w:color w:val="B02045"/>
                <w:sz w:val="21"/>
              </w:rPr>
              <w:t>@EnableWebMvc</w:t>
            </w:r>
          </w:p>
        </w:tc>
        <w:tc>
          <w:tcPr>
            <w:tcW w:w="4988" w:type="dxa"/>
          </w:tcPr>
          <w:p w14:paraId="789A1EFF" w14:textId="77777777" w:rsidR="00A720EB" w:rsidRDefault="0030286B">
            <w:pPr>
              <w:pStyle w:val="TableParagraph"/>
              <w:spacing w:before="94"/>
              <w:rPr>
                <w:rFonts w:ascii="Cambria"/>
                <w:sz w:val="21"/>
              </w:rPr>
            </w:pPr>
            <w:r>
              <w:rPr>
                <w:rFonts w:ascii="Cambria"/>
                <w:color w:val="333333"/>
                <w:w w:val="110"/>
                <w:sz w:val="21"/>
              </w:rPr>
              <w:t>Spring MVC + Embedded Tomcat.</w:t>
            </w:r>
          </w:p>
        </w:tc>
      </w:tr>
      <w:tr w:rsidR="00A720EB" w14:paraId="032A3117" w14:textId="77777777">
        <w:trPr>
          <w:trHeight w:val="425"/>
        </w:trPr>
        <w:tc>
          <w:tcPr>
            <w:tcW w:w="4988" w:type="dxa"/>
          </w:tcPr>
          <w:p w14:paraId="722133C8" w14:textId="77777777" w:rsidR="00A720EB" w:rsidRDefault="0030286B">
            <w:pPr>
              <w:pStyle w:val="TableParagraph"/>
              <w:spacing w:before="40"/>
              <w:rPr>
                <w:sz w:val="21"/>
              </w:rPr>
            </w:pPr>
            <w:r>
              <w:rPr>
                <w:color w:val="B02045"/>
                <w:sz w:val="21"/>
              </w:rPr>
              <w:t>@EnableWebSecurity</w:t>
            </w:r>
          </w:p>
        </w:tc>
        <w:tc>
          <w:tcPr>
            <w:tcW w:w="4988" w:type="dxa"/>
          </w:tcPr>
          <w:p w14:paraId="7ECC6ACD" w14:textId="77777777" w:rsidR="00A720EB" w:rsidRDefault="0030286B">
            <w:pPr>
              <w:pStyle w:val="TableParagraph"/>
              <w:spacing w:before="94"/>
              <w:rPr>
                <w:rFonts w:ascii="Cambria"/>
                <w:sz w:val="21"/>
              </w:rPr>
            </w:pPr>
            <w:r>
              <w:rPr>
                <w:rFonts w:ascii="Cambria"/>
                <w:color w:val="333333"/>
                <w:w w:val="110"/>
                <w:sz w:val="21"/>
              </w:rPr>
              <w:t>Spring Security.</w:t>
            </w:r>
          </w:p>
        </w:tc>
      </w:tr>
      <w:tr w:rsidR="00A720EB" w14:paraId="248CEFE9" w14:textId="77777777">
        <w:trPr>
          <w:trHeight w:val="425"/>
        </w:trPr>
        <w:tc>
          <w:tcPr>
            <w:tcW w:w="4988" w:type="dxa"/>
          </w:tcPr>
          <w:p w14:paraId="04A9E127" w14:textId="77777777" w:rsidR="00A720EB" w:rsidRDefault="0030286B">
            <w:pPr>
              <w:pStyle w:val="TableParagraph"/>
              <w:spacing w:before="40"/>
              <w:rPr>
                <w:sz w:val="21"/>
              </w:rPr>
            </w:pPr>
            <w:r>
              <w:rPr>
                <w:color w:val="B02045"/>
                <w:sz w:val="21"/>
              </w:rPr>
              <w:t>@EnableTransactionManagement</w:t>
            </w:r>
          </w:p>
        </w:tc>
        <w:tc>
          <w:tcPr>
            <w:tcW w:w="4988" w:type="dxa"/>
          </w:tcPr>
          <w:p w14:paraId="042F4594" w14:textId="77777777" w:rsidR="00A720EB" w:rsidRDefault="0030286B">
            <w:pPr>
              <w:pStyle w:val="TableParagraph"/>
              <w:spacing w:before="94"/>
              <w:rPr>
                <w:rFonts w:ascii="Cambria"/>
                <w:sz w:val="21"/>
              </w:rPr>
            </w:pPr>
            <w:r>
              <w:rPr>
                <w:rFonts w:ascii="Cambria"/>
                <w:color w:val="333333"/>
                <w:w w:val="110"/>
                <w:sz w:val="21"/>
              </w:rPr>
              <w:t>Spring Transaction Management.</w:t>
            </w:r>
          </w:p>
        </w:tc>
      </w:tr>
    </w:tbl>
    <w:p w14:paraId="4DDC8E38" w14:textId="77777777" w:rsidR="00A720EB" w:rsidRDefault="00A720EB">
      <w:pPr>
        <w:pStyle w:val="a3"/>
        <w:spacing w:before="4"/>
        <w:rPr>
          <w:sz w:val="29"/>
        </w:rPr>
      </w:pPr>
    </w:p>
    <w:p w14:paraId="2148E5B8" w14:textId="77777777" w:rsidR="00A720EB" w:rsidRDefault="00E10349">
      <w:pPr>
        <w:pStyle w:val="a3"/>
        <w:spacing w:line="290" w:lineRule="auto"/>
        <w:ind w:left="1564"/>
      </w:pPr>
      <w:r>
        <w:pict w14:anchorId="2B4FFC54">
          <v:line id="_x0000_s1767" style="position:absolute;left:0;text-align:left;z-index:16311296;mso-position-horizontal-relative:page" from="108.25pt,-5.45pt" to="108.25pt,34.1pt" strokecolor="#ededed" strokeweight=".5pt">
            <w10:wrap anchorx="page"/>
          </v:line>
        </w:pict>
      </w:r>
      <w:r w:rsidR="0030286B">
        <w:rPr>
          <w:noProof/>
        </w:rPr>
        <w:drawing>
          <wp:anchor distT="0" distB="0" distL="0" distR="0" simplePos="0" relativeHeight="16311808" behindDoc="0" locked="0" layoutInCell="1" allowOverlap="1" wp14:anchorId="368FE02F" wp14:editId="4898315B">
            <wp:simplePos x="0" y="0"/>
            <wp:positionH relativeFrom="page">
              <wp:posOffset>888949</wp:posOffset>
            </wp:positionH>
            <wp:positionV relativeFrom="paragraph">
              <wp:posOffset>29413</wp:posOffset>
            </wp:positionV>
            <wp:extent cx="209550" cy="304800"/>
            <wp:effectExtent l="0" t="0" r="0" b="0"/>
            <wp:wrapNone/>
            <wp:docPr id="69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See subclasses of </w:t>
      </w:r>
      <w:hyperlink r:id="rId568">
        <w:r w:rsidR="0030286B">
          <w:rPr>
            <w:rFonts w:ascii="MS Gothic"/>
            <w:color w:val="B02045"/>
            <w:w w:val="110"/>
          </w:rPr>
          <w:t>CompilerAutoConfiguration</w:t>
        </w:r>
        <w:r w:rsidR="0030286B">
          <w:rPr>
            <w:rFonts w:ascii="MS Gothic"/>
            <w:color w:val="B02045"/>
            <w:spacing w:val="-91"/>
            <w:w w:val="110"/>
          </w:rPr>
          <w:t xml:space="preserve"> </w:t>
        </w:r>
      </w:hyperlink>
      <w:r w:rsidR="0030286B">
        <w:rPr>
          <w:color w:val="333333"/>
          <w:w w:val="110"/>
        </w:rPr>
        <w:t>in the Spring Boot CLI source code to understand exactly how customizations are applied.</w:t>
      </w:r>
    </w:p>
    <w:p w14:paraId="04A1827D" w14:textId="77777777" w:rsidR="00A720EB" w:rsidRDefault="00A720EB">
      <w:pPr>
        <w:spacing w:line="290" w:lineRule="auto"/>
        <w:sectPr w:rsidR="00A720EB">
          <w:pgSz w:w="11910" w:h="16840"/>
          <w:pgMar w:top="620" w:right="840" w:bottom="520" w:left="840" w:header="0" w:footer="323" w:gutter="0"/>
          <w:cols w:space="720"/>
        </w:sectPr>
      </w:pPr>
    </w:p>
    <w:p w14:paraId="4317A331" w14:textId="77777777" w:rsidR="00A720EB" w:rsidRDefault="0030286B">
      <w:pPr>
        <w:pStyle w:val="4"/>
        <w:spacing w:before="86"/>
      </w:pPr>
      <w:bookmarkStart w:id="732" w:name="Deduced_“grab”_Coordinates"/>
      <w:bookmarkEnd w:id="732"/>
      <w:r>
        <w:rPr>
          <w:color w:val="333333"/>
          <w:w w:val="110"/>
        </w:rPr>
        <w:lastRenderedPageBreak/>
        <w:t>Deduced “grab” Coordinates</w:t>
      </w:r>
    </w:p>
    <w:p w14:paraId="7CDC67F6" w14:textId="77777777" w:rsidR="00A720EB" w:rsidRDefault="0030286B">
      <w:pPr>
        <w:pStyle w:val="a3"/>
        <w:spacing w:before="243" w:line="285" w:lineRule="auto"/>
        <w:ind w:left="124" w:right="127"/>
        <w:jc w:val="both"/>
      </w:pPr>
      <w:r>
        <w:rPr>
          <w:color w:val="333333"/>
          <w:w w:val="110"/>
        </w:rPr>
        <w:t xml:space="preserve">Spring Boot extends Groovy’s standard </w:t>
      </w:r>
      <w:r>
        <w:rPr>
          <w:rFonts w:ascii="MS Gothic" w:hAnsi="MS Gothic"/>
          <w:color w:val="B02045"/>
          <w:w w:val="110"/>
        </w:rPr>
        <w:t xml:space="preserve">@Grab </w:t>
      </w:r>
      <w:r>
        <w:rPr>
          <w:color w:val="333333"/>
          <w:w w:val="110"/>
        </w:rPr>
        <w:t xml:space="preserve">support by letting you specify a dependency without a group or version (for example, </w:t>
      </w:r>
      <w:r>
        <w:rPr>
          <w:rFonts w:ascii="MS Gothic" w:hAnsi="MS Gothic"/>
          <w:color w:val="B02045"/>
          <w:w w:val="110"/>
        </w:rPr>
        <w:t>@Grab('freemarker')</w:t>
      </w:r>
      <w:r>
        <w:rPr>
          <w:color w:val="333333"/>
          <w:w w:val="110"/>
        </w:rPr>
        <w:t>). Doing so consults Spring Boot’s default dependency metadata to deduce the artifact’s group and version.</w:t>
      </w:r>
    </w:p>
    <w:p w14:paraId="2E8D4E6A" w14:textId="77777777" w:rsidR="00A720EB" w:rsidRDefault="00A720EB">
      <w:pPr>
        <w:pStyle w:val="a3"/>
        <w:spacing w:before="8"/>
        <w:rPr>
          <w:sz w:val="18"/>
        </w:rPr>
      </w:pPr>
    </w:p>
    <w:p w14:paraId="7E0610B2" w14:textId="77777777" w:rsidR="00A720EB" w:rsidRDefault="00E10349">
      <w:pPr>
        <w:pStyle w:val="a3"/>
        <w:spacing w:before="125" w:line="307" w:lineRule="auto"/>
        <w:ind w:left="1564" w:right="369"/>
        <w:jc w:val="both"/>
      </w:pPr>
      <w:r>
        <w:pict w14:anchorId="11AA5870">
          <v:line id="_x0000_s1766" style="position:absolute;left:0;text-align:left;z-index:16313344;mso-position-horizontal-relative:page" from="108.25pt,.25pt" to="108.25pt,87.15pt" strokecolor="#ededed" strokeweight=".5pt">
            <w10:wrap anchorx="page"/>
          </v:line>
        </w:pict>
      </w:r>
      <w:r w:rsidR="0030286B">
        <w:rPr>
          <w:noProof/>
        </w:rPr>
        <w:drawing>
          <wp:anchor distT="0" distB="0" distL="0" distR="0" simplePos="0" relativeHeight="16313856" behindDoc="0" locked="0" layoutInCell="1" allowOverlap="1" wp14:anchorId="4F0F7523" wp14:editId="1F0D9F40">
            <wp:simplePos x="0" y="0"/>
            <wp:positionH relativeFrom="page">
              <wp:posOffset>844422</wp:posOffset>
            </wp:positionH>
            <wp:positionV relativeFrom="paragraph">
              <wp:posOffset>405930</wp:posOffset>
            </wp:positionV>
            <wp:extent cx="298450" cy="298450"/>
            <wp:effectExtent l="0" t="0" r="0" b="0"/>
            <wp:wrapNone/>
            <wp:docPr id="6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default metadata is tied to the version of the CLI that you use. It changes only when you move to a new version of the CLI, putting you in control of when the versions of your dependencies may change. A table showing the dependencies and their versions that are included in the default metadata can be found in the </w:t>
      </w:r>
      <w:hyperlink w:anchor="_bookmark705" w:history="1">
        <w:r w:rsidR="0030286B">
          <w:rPr>
            <w:color w:val="418BCA"/>
            <w:w w:val="110"/>
          </w:rPr>
          <w:t>appendix</w:t>
        </w:r>
      </w:hyperlink>
      <w:r w:rsidR="0030286B">
        <w:rPr>
          <w:color w:val="333333"/>
          <w:w w:val="110"/>
        </w:rPr>
        <w:t>.</w:t>
      </w:r>
    </w:p>
    <w:p w14:paraId="49BB74D9" w14:textId="77777777" w:rsidR="00A720EB" w:rsidRDefault="00A720EB">
      <w:pPr>
        <w:pStyle w:val="a3"/>
        <w:spacing w:before="9"/>
        <w:rPr>
          <w:sz w:val="23"/>
        </w:rPr>
      </w:pPr>
    </w:p>
    <w:p w14:paraId="377E9029" w14:textId="77777777" w:rsidR="00A720EB" w:rsidRDefault="0030286B">
      <w:pPr>
        <w:pStyle w:val="4"/>
        <w:spacing w:before="104"/>
        <w:jc w:val="left"/>
      </w:pPr>
      <w:bookmarkStart w:id="733" w:name="Default_Import_Statements"/>
      <w:bookmarkEnd w:id="733"/>
      <w:r>
        <w:rPr>
          <w:color w:val="333333"/>
          <w:w w:val="110"/>
        </w:rPr>
        <w:t>Default Import Statements</w:t>
      </w:r>
    </w:p>
    <w:p w14:paraId="0D6D3AE2" w14:textId="77777777" w:rsidR="00A720EB" w:rsidRDefault="0030286B">
      <w:pPr>
        <w:pStyle w:val="a3"/>
        <w:spacing w:before="244" w:line="280" w:lineRule="auto"/>
        <w:ind w:left="124" w:right="122"/>
        <w:jc w:val="both"/>
      </w:pPr>
      <w:r>
        <w:rPr>
          <w:color w:val="333333"/>
          <w:w w:val="110"/>
        </w:rPr>
        <w:t xml:space="preserve">To help reduce the size of your Groovy code, several </w:t>
      </w:r>
      <w:r>
        <w:rPr>
          <w:rFonts w:ascii="MS Gothic"/>
          <w:color w:val="B02045"/>
          <w:w w:val="110"/>
        </w:rPr>
        <w:t xml:space="preserve">import </w:t>
      </w:r>
      <w:r>
        <w:rPr>
          <w:color w:val="333333"/>
          <w:w w:val="110"/>
        </w:rPr>
        <w:t xml:space="preserve">statements are automatically included. Notice how the preceding example refers to </w:t>
      </w:r>
      <w:r>
        <w:rPr>
          <w:rFonts w:ascii="MS Gothic"/>
          <w:color w:val="B02045"/>
          <w:w w:val="110"/>
        </w:rPr>
        <w:t>@Component</w:t>
      </w:r>
      <w:r>
        <w:rPr>
          <w:color w:val="333333"/>
          <w:w w:val="110"/>
        </w:rPr>
        <w:t xml:space="preserve">, </w:t>
      </w:r>
      <w:r>
        <w:rPr>
          <w:rFonts w:ascii="MS Gothic"/>
          <w:color w:val="B02045"/>
          <w:w w:val="110"/>
        </w:rPr>
        <w:t>@RestController</w:t>
      </w:r>
      <w:r>
        <w:rPr>
          <w:color w:val="333333"/>
          <w:w w:val="110"/>
        </w:rPr>
        <w:t xml:space="preserve">, and </w:t>
      </w:r>
      <w:r>
        <w:rPr>
          <w:rFonts w:ascii="MS Gothic"/>
          <w:color w:val="B02045"/>
          <w:w w:val="110"/>
        </w:rPr>
        <w:t xml:space="preserve">@RequestMapping </w:t>
      </w:r>
      <w:r>
        <w:rPr>
          <w:color w:val="333333"/>
          <w:w w:val="110"/>
        </w:rPr>
        <w:t xml:space="preserve">without needing to use fully-qualified names or </w:t>
      </w:r>
      <w:r>
        <w:rPr>
          <w:rFonts w:ascii="MS Gothic"/>
          <w:color w:val="B02045"/>
          <w:w w:val="110"/>
        </w:rPr>
        <w:t xml:space="preserve">import </w:t>
      </w:r>
      <w:r>
        <w:rPr>
          <w:color w:val="333333"/>
          <w:w w:val="110"/>
        </w:rPr>
        <w:t>statements.</w:t>
      </w:r>
    </w:p>
    <w:p w14:paraId="3278963E" w14:textId="77777777" w:rsidR="00A720EB" w:rsidRDefault="00A720EB">
      <w:pPr>
        <w:pStyle w:val="a3"/>
        <w:spacing w:before="6"/>
        <w:rPr>
          <w:sz w:val="27"/>
        </w:rPr>
      </w:pPr>
    </w:p>
    <w:p w14:paraId="57288D75" w14:textId="77777777" w:rsidR="00A720EB" w:rsidRDefault="00E10349">
      <w:pPr>
        <w:pStyle w:val="a3"/>
        <w:spacing w:line="290" w:lineRule="auto"/>
        <w:ind w:left="1564" w:right="359"/>
      </w:pPr>
      <w:r>
        <w:pict w14:anchorId="68A3246D">
          <v:line id="_x0000_s1765" style="position:absolute;left:0;text-align:left;z-index:16314368;mso-position-horizontal-relative:page" from="108.25pt,-5.45pt" to="108.25pt,34.1pt" strokecolor="#ededed" strokeweight=".5pt">
            <w10:wrap anchorx="page"/>
          </v:line>
        </w:pict>
      </w:r>
      <w:r w:rsidR="0030286B">
        <w:rPr>
          <w:noProof/>
        </w:rPr>
        <w:drawing>
          <wp:anchor distT="0" distB="0" distL="0" distR="0" simplePos="0" relativeHeight="16314880" behindDoc="0" locked="0" layoutInCell="1" allowOverlap="1" wp14:anchorId="55B9630E" wp14:editId="4419FAC9">
            <wp:simplePos x="0" y="0"/>
            <wp:positionH relativeFrom="page">
              <wp:posOffset>888949</wp:posOffset>
            </wp:positionH>
            <wp:positionV relativeFrom="paragraph">
              <wp:posOffset>29413</wp:posOffset>
            </wp:positionV>
            <wp:extent cx="209550" cy="304799"/>
            <wp:effectExtent l="0" t="0" r="0" b="0"/>
            <wp:wrapNone/>
            <wp:docPr id="69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32.png"/>
                    <pic:cNvPicPr/>
                  </pic:nvPicPr>
                  <pic:blipFill>
                    <a:blip r:embed="rId31" cstate="print"/>
                    <a:stretch>
                      <a:fillRect/>
                    </a:stretch>
                  </pic:blipFill>
                  <pic:spPr>
                    <a:xfrm>
                      <a:off x="0" y="0"/>
                      <a:ext cx="209550" cy="304799"/>
                    </a:xfrm>
                    <a:prstGeom prst="rect">
                      <a:avLst/>
                    </a:prstGeom>
                  </pic:spPr>
                </pic:pic>
              </a:graphicData>
            </a:graphic>
          </wp:anchor>
        </w:drawing>
      </w:r>
      <w:r w:rsidR="0030286B">
        <w:rPr>
          <w:color w:val="333333"/>
          <w:w w:val="110"/>
        </w:rPr>
        <w:t xml:space="preserve">Many Spring annotations work without using </w:t>
      </w:r>
      <w:r w:rsidR="0030286B">
        <w:rPr>
          <w:rFonts w:ascii="MS Gothic"/>
          <w:color w:val="B02045"/>
          <w:w w:val="110"/>
        </w:rPr>
        <w:t xml:space="preserve">import </w:t>
      </w:r>
      <w:r w:rsidR="0030286B">
        <w:rPr>
          <w:color w:val="333333"/>
          <w:w w:val="110"/>
        </w:rPr>
        <w:t>statements. Try running your application to see what fails before adding imports.</w:t>
      </w:r>
    </w:p>
    <w:p w14:paraId="49C79F8A" w14:textId="77777777" w:rsidR="00A720EB" w:rsidRDefault="00A720EB">
      <w:pPr>
        <w:pStyle w:val="a3"/>
        <w:spacing w:before="11"/>
        <w:rPr>
          <w:sz w:val="33"/>
        </w:rPr>
      </w:pPr>
    </w:p>
    <w:p w14:paraId="0A404967" w14:textId="77777777" w:rsidR="00A720EB" w:rsidRDefault="0030286B">
      <w:pPr>
        <w:pStyle w:val="4"/>
        <w:jc w:val="left"/>
      </w:pPr>
      <w:bookmarkStart w:id="734" w:name="Automatic_Main_Method"/>
      <w:bookmarkEnd w:id="734"/>
      <w:r>
        <w:rPr>
          <w:color w:val="333333"/>
          <w:w w:val="110"/>
        </w:rPr>
        <w:t>Automatic Main Method</w:t>
      </w:r>
    </w:p>
    <w:p w14:paraId="5F4CA6D8" w14:textId="77777777" w:rsidR="00A720EB" w:rsidRDefault="0030286B">
      <w:pPr>
        <w:pStyle w:val="a3"/>
        <w:spacing w:before="244" w:line="280" w:lineRule="auto"/>
        <w:ind w:left="124" w:right="122"/>
        <w:jc w:val="both"/>
      </w:pPr>
      <w:r>
        <w:rPr>
          <w:color w:val="333333"/>
          <w:w w:val="110"/>
        </w:rPr>
        <w:t xml:space="preserve">Unlike the equivalent Java application, you do not need to include a </w:t>
      </w:r>
      <w:r>
        <w:rPr>
          <w:rFonts w:ascii="MS Gothic"/>
          <w:color w:val="B02045"/>
          <w:w w:val="110"/>
        </w:rPr>
        <w:t xml:space="preserve">public static void </w:t>
      </w:r>
      <w:proofErr w:type="gramStart"/>
      <w:r>
        <w:rPr>
          <w:rFonts w:ascii="MS Gothic"/>
          <w:color w:val="B02045"/>
          <w:w w:val="110"/>
        </w:rPr>
        <w:t>main(</w:t>
      </w:r>
      <w:proofErr w:type="gramEnd"/>
      <w:r>
        <w:rPr>
          <w:rFonts w:ascii="MS Gothic"/>
          <w:color w:val="B02045"/>
          <w:w w:val="110"/>
        </w:rPr>
        <w:t>String[]</w:t>
      </w:r>
      <w:r>
        <w:rPr>
          <w:rFonts w:ascii="MS Gothic"/>
          <w:color w:val="B02045"/>
          <w:spacing w:val="-57"/>
          <w:w w:val="110"/>
        </w:rPr>
        <w:t xml:space="preserve"> </w:t>
      </w:r>
      <w:r>
        <w:rPr>
          <w:rFonts w:ascii="MS Gothic"/>
          <w:color w:val="B02045"/>
          <w:w w:val="110"/>
        </w:rPr>
        <w:t>args)</w:t>
      </w:r>
      <w:r>
        <w:rPr>
          <w:rFonts w:ascii="MS Gothic"/>
          <w:color w:val="B02045"/>
          <w:spacing w:val="-81"/>
          <w:w w:val="110"/>
        </w:rPr>
        <w:t xml:space="preserve"> </w:t>
      </w:r>
      <w:r>
        <w:rPr>
          <w:color w:val="333333"/>
          <w:w w:val="110"/>
        </w:rPr>
        <w:t>method</w:t>
      </w:r>
      <w:r>
        <w:rPr>
          <w:color w:val="333333"/>
          <w:spacing w:val="-18"/>
          <w:w w:val="110"/>
        </w:rPr>
        <w:t xml:space="preserve"> </w:t>
      </w:r>
      <w:r>
        <w:rPr>
          <w:color w:val="333333"/>
          <w:w w:val="110"/>
        </w:rPr>
        <w:t>with</w:t>
      </w:r>
      <w:r>
        <w:rPr>
          <w:color w:val="333333"/>
          <w:spacing w:val="-17"/>
          <w:w w:val="110"/>
        </w:rPr>
        <w:t xml:space="preserve"> </w:t>
      </w:r>
      <w:r>
        <w:rPr>
          <w:color w:val="333333"/>
          <w:w w:val="110"/>
        </w:rPr>
        <w:t>your</w:t>
      </w:r>
      <w:r>
        <w:rPr>
          <w:color w:val="333333"/>
          <w:spacing w:val="-16"/>
          <w:w w:val="110"/>
        </w:rPr>
        <w:t xml:space="preserve"> </w:t>
      </w:r>
      <w:r>
        <w:rPr>
          <w:rFonts w:ascii="MS Gothic"/>
          <w:color w:val="B02045"/>
          <w:w w:val="110"/>
        </w:rPr>
        <w:t>Groovy</w:t>
      </w:r>
      <w:r>
        <w:rPr>
          <w:rFonts w:ascii="MS Gothic"/>
          <w:color w:val="B02045"/>
          <w:spacing w:val="-82"/>
          <w:w w:val="110"/>
        </w:rPr>
        <w:t xml:space="preserve"> </w:t>
      </w:r>
      <w:r>
        <w:rPr>
          <w:color w:val="333333"/>
          <w:w w:val="110"/>
        </w:rPr>
        <w:t>scripts.</w:t>
      </w:r>
      <w:r>
        <w:rPr>
          <w:color w:val="333333"/>
          <w:spacing w:val="-17"/>
          <w:w w:val="110"/>
        </w:rPr>
        <w:t xml:space="preserve"> </w:t>
      </w:r>
      <w:r>
        <w:rPr>
          <w:color w:val="333333"/>
          <w:w w:val="110"/>
        </w:rPr>
        <w:t>A</w:t>
      </w:r>
      <w:r>
        <w:rPr>
          <w:color w:val="333333"/>
          <w:spacing w:val="-17"/>
          <w:w w:val="110"/>
        </w:rPr>
        <w:t xml:space="preserve"> </w:t>
      </w:r>
      <w:r>
        <w:rPr>
          <w:rFonts w:ascii="MS Gothic"/>
          <w:color w:val="B02045"/>
          <w:w w:val="110"/>
        </w:rPr>
        <w:t>SpringApplication</w:t>
      </w:r>
      <w:r>
        <w:rPr>
          <w:rFonts w:ascii="MS Gothic"/>
          <w:color w:val="B02045"/>
          <w:spacing w:val="-82"/>
          <w:w w:val="110"/>
        </w:rPr>
        <w:t xml:space="preserve"> </w:t>
      </w:r>
      <w:r>
        <w:rPr>
          <w:color w:val="333333"/>
          <w:w w:val="110"/>
        </w:rPr>
        <w:t>is</w:t>
      </w:r>
      <w:r>
        <w:rPr>
          <w:color w:val="333333"/>
          <w:spacing w:val="-18"/>
          <w:w w:val="110"/>
        </w:rPr>
        <w:t xml:space="preserve"> </w:t>
      </w:r>
      <w:r>
        <w:rPr>
          <w:color w:val="333333"/>
          <w:w w:val="110"/>
        </w:rPr>
        <w:t>automatically</w:t>
      </w:r>
      <w:r>
        <w:rPr>
          <w:color w:val="333333"/>
          <w:spacing w:val="-17"/>
          <w:w w:val="110"/>
        </w:rPr>
        <w:t xml:space="preserve"> </w:t>
      </w:r>
      <w:r>
        <w:rPr>
          <w:color w:val="333333"/>
          <w:w w:val="110"/>
        </w:rPr>
        <w:t>created, with your compiled code acting as the</w:t>
      </w:r>
      <w:r>
        <w:rPr>
          <w:color w:val="333333"/>
          <w:spacing w:val="21"/>
          <w:w w:val="110"/>
        </w:rPr>
        <w:t xml:space="preserve"> </w:t>
      </w:r>
      <w:r>
        <w:rPr>
          <w:rFonts w:ascii="MS Gothic"/>
          <w:color w:val="B02045"/>
          <w:w w:val="110"/>
        </w:rPr>
        <w:t>source</w:t>
      </w:r>
      <w:r>
        <w:rPr>
          <w:color w:val="333333"/>
          <w:w w:val="110"/>
        </w:rPr>
        <w:t>.</w:t>
      </w:r>
    </w:p>
    <w:p w14:paraId="1AA98FAD" w14:textId="77777777" w:rsidR="00A720EB" w:rsidRDefault="00A720EB">
      <w:pPr>
        <w:pStyle w:val="a3"/>
        <w:spacing w:before="8"/>
        <w:rPr>
          <w:sz w:val="26"/>
        </w:rPr>
      </w:pPr>
    </w:p>
    <w:p w14:paraId="75F9A634" w14:textId="77777777" w:rsidR="00A720EB" w:rsidRDefault="0030286B">
      <w:pPr>
        <w:pStyle w:val="4"/>
        <w:jc w:val="left"/>
      </w:pPr>
      <w:bookmarkStart w:id="735" w:name="Custom_Dependency_Management"/>
      <w:bookmarkEnd w:id="735"/>
      <w:r>
        <w:rPr>
          <w:color w:val="333333"/>
          <w:w w:val="110"/>
        </w:rPr>
        <w:t>Custom Dependency Management</w:t>
      </w:r>
    </w:p>
    <w:p w14:paraId="056A083D" w14:textId="77777777" w:rsidR="00A720EB" w:rsidRDefault="0030286B">
      <w:pPr>
        <w:pStyle w:val="a3"/>
        <w:spacing w:before="244" w:line="283" w:lineRule="auto"/>
        <w:ind w:left="124" w:right="123"/>
        <w:jc w:val="both"/>
      </w:pPr>
      <w:r>
        <w:rPr>
          <w:color w:val="333333"/>
          <w:spacing w:val="-3"/>
          <w:w w:val="110"/>
        </w:rPr>
        <w:t xml:space="preserve">By </w:t>
      </w:r>
      <w:r>
        <w:rPr>
          <w:color w:val="333333"/>
          <w:w w:val="110"/>
        </w:rPr>
        <w:t xml:space="preserve">default, the CLI uses the dependency management declared in </w:t>
      </w:r>
      <w:r>
        <w:rPr>
          <w:rFonts w:ascii="MS Gothic" w:hAnsi="MS Gothic"/>
          <w:color w:val="B02045"/>
          <w:w w:val="110"/>
        </w:rPr>
        <w:t xml:space="preserve">spring-boot-dependencies </w:t>
      </w:r>
      <w:r>
        <w:rPr>
          <w:color w:val="333333"/>
          <w:w w:val="110"/>
        </w:rPr>
        <w:t xml:space="preserve">when resolving </w:t>
      </w:r>
      <w:r>
        <w:rPr>
          <w:rFonts w:ascii="MS Gothic" w:hAnsi="MS Gothic"/>
          <w:color w:val="B02045"/>
          <w:w w:val="110"/>
        </w:rPr>
        <w:t xml:space="preserve">@Grab </w:t>
      </w:r>
      <w:r>
        <w:rPr>
          <w:color w:val="333333"/>
          <w:w w:val="110"/>
        </w:rPr>
        <w:t>dependencies. Additional dependency management, which overrides the default dependency</w:t>
      </w:r>
      <w:r>
        <w:rPr>
          <w:color w:val="333333"/>
          <w:spacing w:val="-12"/>
          <w:w w:val="110"/>
        </w:rPr>
        <w:t xml:space="preserve"> </w:t>
      </w:r>
      <w:r>
        <w:rPr>
          <w:color w:val="333333"/>
          <w:w w:val="110"/>
        </w:rPr>
        <w:t>management,</w:t>
      </w:r>
      <w:r>
        <w:rPr>
          <w:color w:val="333333"/>
          <w:spacing w:val="-12"/>
          <w:w w:val="110"/>
        </w:rPr>
        <w:t xml:space="preserve"> </w:t>
      </w:r>
      <w:r>
        <w:rPr>
          <w:color w:val="333333"/>
          <w:w w:val="110"/>
        </w:rPr>
        <w:t>can</w:t>
      </w:r>
      <w:r>
        <w:rPr>
          <w:color w:val="333333"/>
          <w:spacing w:val="-11"/>
          <w:w w:val="110"/>
        </w:rPr>
        <w:t xml:space="preserve"> </w:t>
      </w:r>
      <w:r>
        <w:rPr>
          <w:color w:val="333333"/>
          <w:w w:val="110"/>
        </w:rPr>
        <w:t>be</w:t>
      </w:r>
      <w:r>
        <w:rPr>
          <w:color w:val="333333"/>
          <w:spacing w:val="-12"/>
          <w:w w:val="110"/>
        </w:rPr>
        <w:t xml:space="preserve"> </w:t>
      </w:r>
      <w:r>
        <w:rPr>
          <w:color w:val="333333"/>
          <w:w w:val="110"/>
        </w:rPr>
        <w:t>configured</w:t>
      </w:r>
      <w:r>
        <w:rPr>
          <w:color w:val="333333"/>
          <w:spacing w:val="-11"/>
          <w:w w:val="110"/>
        </w:rPr>
        <w:t xml:space="preserve"> </w:t>
      </w:r>
      <w:r>
        <w:rPr>
          <w:color w:val="333333"/>
          <w:spacing w:val="-3"/>
          <w:w w:val="110"/>
        </w:rPr>
        <w:t>by</w:t>
      </w:r>
      <w:r>
        <w:rPr>
          <w:color w:val="333333"/>
          <w:spacing w:val="-12"/>
          <w:w w:val="110"/>
        </w:rPr>
        <w:t xml:space="preserve"> </w:t>
      </w:r>
      <w:r>
        <w:rPr>
          <w:color w:val="333333"/>
          <w:w w:val="110"/>
        </w:rPr>
        <w:t>using</w:t>
      </w:r>
      <w:r>
        <w:rPr>
          <w:color w:val="333333"/>
          <w:spacing w:val="-11"/>
          <w:w w:val="110"/>
        </w:rPr>
        <w:t xml:space="preserve"> </w:t>
      </w:r>
      <w:r>
        <w:rPr>
          <w:color w:val="333333"/>
          <w:w w:val="110"/>
        </w:rPr>
        <w:t>the</w:t>
      </w:r>
      <w:r>
        <w:rPr>
          <w:color w:val="333333"/>
          <w:spacing w:val="-6"/>
          <w:w w:val="110"/>
        </w:rPr>
        <w:t xml:space="preserve"> </w:t>
      </w:r>
      <w:r>
        <w:rPr>
          <w:rFonts w:ascii="MS Gothic" w:hAnsi="MS Gothic"/>
          <w:color w:val="B02045"/>
          <w:w w:val="110"/>
        </w:rPr>
        <w:t>@DependencyManagementBom</w:t>
      </w:r>
      <w:r>
        <w:rPr>
          <w:rFonts w:ascii="MS Gothic" w:hAnsi="MS Gothic"/>
          <w:color w:val="B02045"/>
          <w:spacing w:val="-75"/>
          <w:w w:val="110"/>
        </w:rPr>
        <w:t xml:space="preserve"> </w:t>
      </w:r>
      <w:r>
        <w:rPr>
          <w:color w:val="333333"/>
          <w:w w:val="110"/>
        </w:rPr>
        <w:t>annotation.</w:t>
      </w:r>
      <w:r>
        <w:rPr>
          <w:color w:val="333333"/>
          <w:spacing w:val="-12"/>
          <w:w w:val="110"/>
        </w:rPr>
        <w:t xml:space="preserve"> </w:t>
      </w:r>
      <w:r>
        <w:rPr>
          <w:color w:val="333333"/>
          <w:w w:val="110"/>
        </w:rPr>
        <w:t>The annotation’s value should specify the coordinates (</w:t>
      </w:r>
      <w:proofErr w:type="gramStart"/>
      <w:r>
        <w:rPr>
          <w:rFonts w:ascii="MS Gothic" w:hAnsi="MS Gothic"/>
          <w:color w:val="B02045"/>
          <w:w w:val="110"/>
        </w:rPr>
        <w:t>groupId:artifactId</w:t>
      </w:r>
      <w:proofErr w:type="gramEnd"/>
      <w:r>
        <w:rPr>
          <w:rFonts w:ascii="MS Gothic" w:hAnsi="MS Gothic"/>
          <w:color w:val="B02045"/>
          <w:w w:val="110"/>
        </w:rPr>
        <w:t>:version</w:t>
      </w:r>
      <w:r>
        <w:rPr>
          <w:color w:val="333333"/>
          <w:w w:val="110"/>
        </w:rPr>
        <w:t>) of one or more  Maven</w:t>
      </w:r>
      <w:r>
        <w:rPr>
          <w:color w:val="333333"/>
          <w:spacing w:val="2"/>
          <w:w w:val="110"/>
        </w:rPr>
        <w:t xml:space="preserve"> </w:t>
      </w:r>
      <w:r>
        <w:rPr>
          <w:color w:val="333333"/>
          <w:w w:val="110"/>
        </w:rPr>
        <w:t>BOMs.</w:t>
      </w:r>
    </w:p>
    <w:p w14:paraId="4FCABCA3" w14:textId="77777777" w:rsidR="00A720EB" w:rsidRDefault="00A720EB">
      <w:pPr>
        <w:pStyle w:val="a3"/>
        <w:spacing w:before="10"/>
        <w:rPr>
          <w:sz w:val="22"/>
        </w:rPr>
      </w:pPr>
    </w:p>
    <w:p w14:paraId="2FB3A710" w14:textId="77777777" w:rsidR="00A720EB" w:rsidRDefault="0030286B">
      <w:pPr>
        <w:pStyle w:val="a3"/>
        <w:ind w:left="124"/>
        <w:jc w:val="both"/>
      </w:pPr>
      <w:r>
        <w:rPr>
          <w:color w:val="333333"/>
          <w:w w:val="110"/>
        </w:rPr>
        <w:t>For example, consider the following declaration:</w:t>
      </w:r>
    </w:p>
    <w:p w14:paraId="1A1CCF3B" w14:textId="77777777" w:rsidR="00A720EB" w:rsidRDefault="00E10349">
      <w:pPr>
        <w:pStyle w:val="a3"/>
        <w:rPr>
          <w:sz w:val="19"/>
        </w:rPr>
      </w:pPr>
      <w:r>
        <w:pict w14:anchorId="33B6BDAC">
          <v:group id="_x0000_s1761" style="position:absolute;margin-left:47.85pt;margin-top:13.1pt;width:499.55pt;height:37.5pt;z-index:-15144960;mso-wrap-distance-left:0;mso-wrap-distance-right:0;mso-position-horizontal-relative:page" coordorigin="957,262" coordsize="9991,750">
            <v:shape id="_x0000_s1764" style="position:absolute;left:964;top:269;width:9976;height:735" coordorigin="965,270" coordsize="9976,735" path="m10861,270r-9816,l1014,276r-26,17l971,319r-6,31l965,925r6,31l988,981r26,17l1045,1005r9816,l10892,998r25,-17l10935,956r6,-31l10941,350r-6,-31l10917,293r-25,-17l10861,270xe" fillcolor="#f5f5f5" stroked="f">
              <v:path arrowok="t"/>
            </v:shape>
            <v:shape id="_x0000_s1763" style="position:absolute;left:964;top:269;width:9976;height:735" coordorigin="965,270" coordsize="9976,735" path="m1045,270r9816,l10892,276r25,17l10935,319r6,31l10941,925r-6,31l10917,981r-25,17l10861,1005r-9816,l1014,998,988,981,971,956r-6,-31l965,350r6,-31l988,293r26,-17l1045,270xe" filled="f" strokecolor="#ccc">
              <v:path arrowok="t"/>
            </v:shape>
            <v:shape id="_x0000_s1762" type="#_x0000_t202" style="position:absolute;left:984;top:285;width:9938;height:704" filled="f" stroked="f">
              <v:textbox inset="0,0,0,0">
                <w:txbxContent>
                  <w:p w14:paraId="64B4AA6A" w14:textId="77777777" w:rsidR="00711A16" w:rsidRDefault="00711A16">
                    <w:pPr>
                      <w:spacing w:before="221"/>
                      <w:ind w:left="200"/>
                      <w:rPr>
                        <w:rFonts w:ascii="MS Gothic"/>
                      </w:rPr>
                    </w:pPr>
                    <w:r>
                      <w:rPr>
                        <w:rFonts w:ascii="MS Gothic"/>
                        <w:color w:val="333333"/>
                      </w:rPr>
                      <w:t>@DependencyManagementBom("com.</w:t>
                    </w:r>
                    <w:proofErr w:type="gramStart"/>
                    <w:r>
                      <w:rPr>
                        <w:rFonts w:ascii="MS Gothic"/>
                        <w:color w:val="333333"/>
                      </w:rPr>
                      <w:t>example.custom</w:t>
                    </w:r>
                    <w:proofErr w:type="gramEnd"/>
                    <w:r>
                      <w:rPr>
                        <w:rFonts w:ascii="MS Gothic"/>
                        <w:color w:val="333333"/>
                      </w:rPr>
                      <w:t>-bom:1.0.0")</w:t>
                    </w:r>
                  </w:p>
                </w:txbxContent>
              </v:textbox>
            </v:shape>
            <w10:wrap type="topAndBottom" anchorx="page"/>
          </v:group>
        </w:pict>
      </w:r>
    </w:p>
    <w:p w14:paraId="5E46C9AC" w14:textId="77777777" w:rsidR="00A720EB" w:rsidRDefault="00A720EB">
      <w:pPr>
        <w:pStyle w:val="a3"/>
        <w:spacing w:before="11"/>
        <w:rPr>
          <w:sz w:val="9"/>
        </w:rPr>
      </w:pPr>
    </w:p>
    <w:p w14:paraId="5CB3B103" w14:textId="77777777" w:rsidR="00A720EB" w:rsidRDefault="0030286B">
      <w:pPr>
        <w:pStyle w:val="a3"/>
        <w:spacing w:before="115"/>
        <w:ind w:left="124"/>
      </w:pPr>
      <w:r>
        <w:rPr>
          <w:color w:val="333333"/>
          <w:w w:val="110"/>
        </w:rPr>
        <w:t xml:space="preserve">The preceding declaration picks up </w:t>
      </w:r>
      <w:r>
        <w:rPr>
          <w:rFonts w:ascii="MS Gothic"/>
          <w:color w:val="B02045"/>
          <w:w w:val="110"/>
        </w:rPr>
        <w:t>custom-bom-1.0.0.pom</w:t>
      </w:r>
      <w:r>
        <w:rPr>
          <w:rFonts w:ascii="MS Gothic"/>
          <w:color w:val="B02045"/>
          <w:spacing w:val="63"/>
          <w:w w:val="110"/>
        </w:rPr>
        <w:t xml:space="preserve"> </w:t>
      </w:r>
      <w:r>
        <w:rPr>
          <w:color w:val="333333"/>
          <w:w w:val="110"/>
        </w:rPr>
        <w:t>in a Maven repository under</w:t>
      </w:r>
    </w:p>
    <w:p w14:paraId="749A9EA5" w14:textId="77777777" w:rsidR="00A720EB" w:rsidRDefault="0030286B">
      <w:pPr>
        <w:pStyle w:val="a3"/>
        <w:spacing w:before="47"/>
        <w:ind w:left="124"/>
      </w:pPr>
      <w:r>
        <w:rPr>
          <w:rFonts w:ascii="MS Gothic"/>
          <w:color w:val="B02045"/>
        </w:rPr>
        <w:t>com/example/custom-versions/1.0.0/</w:t>
      </w:r>
      <w:r>
        <w:rPr>
          <w:color w:val="333333"/>
        </w:rPr>
        <w:t>.</w:t>
      </w:r>
    </w:p>
    <w:p w14:paraId="6AC528FC" w14:textId="77777777" w:rsidR="00A720EB" w:rsidRDefault="00A720EB">
      <w:pPr>
        <w:pStyle w:val="a3"/>
        <w:spacing w:before="4"/>
        <w:rPr>
          <w:sz w:val="25"/>
        </w:rPr>
      </w:pPr>
    </w:p>
    <w:p w14:paraId="28C22DEE" w14:textId="77777777" w:rsidR="00A720EB" w:rsidRDefault="0030286B">
      <w:pPr>
        <w:pStyle w:val="a3"/>
        <w:spacing w:line="307" w:lineRule="auto"/>
        <w:ind w:left="124" w:right="359"/>
      </w:pPr>
      <w:r>
        <w:rPr>
          <w:color w:val="333333"/>
          <w:w w:val="110"/>
        </w:rPr>
        <w:t xml:space="preserve">When you specify multiple BOMs, they are applied in the order in which </w:t>
      </w:r>
      <w:proofErr w:type="gramStart"/>
      <w:r>
        <w:rPr>
          <w:color w:val="333333"/>
          <w:w w:val="110"/>
        </w:rPr>
        <w:t>you  declare</w:t>
      </w:r>
      <w:proofErr w:type="gramEnd"/>
      <w:r>
        <w:rPr>
          <w:color w:val="333333"/>
          <w:w w:val="110"/>
        </w:rPr>
        <w:t xml:space="preserve">  them,  as shown in the following</w:t>
      </w:r>
      <w:r>
        <w:rPr>
          <w:color w:val="333333"/>
          <w:spacing w:val="13"/>
          <w:w w:val="110"/>
        </w:rPr>
        <w:t xml:space="preserve"> </w:t>
      </w:r>
      <w:r>
        <w:rPr>
          <w:color w:val="333333"/>
          <w:w w:val="110"/>
        </w:rPr>
        <w:t>example:</w:t>
      </w:r>
    </w:p>
    <w:p w14:paraId="3C68C9F8" w14:textId="77777777" w:rsidR="00A720EB" w:rsidRDefault="00E10349">
      <w:pPr>
        <w:pStyle w:val="a3"/>
        <w:spacing w:before="2"/>
        <w:rPr>
          <w:sz w:val="13"/>
        </w:rPr>
      </w:pPr>
      <w:r>
        <w:pict w14:anchorId="0497425C">
          <v:group id="_x0000_s1757" style="position:absolute;margin-left:47.85pt;margin-top:9.7pt;width:499.55pt;height:52.25pt;z-index:-15144448;mso-wrap-distance-left:0;mso-wrap-distance-right:0;mso-position-horizontal-relative:page" coordorigin="957,194" coordsize="9991,1045">
            <v:shape id="_x0000_s1760" style="position:absolute;left:964;top:201;width:9976;height:1030" coordorigin="965,201" coordsize="9976,1030" path="m10861,201r-9816,l1014,208r-26,17l971,250r-6,31l965,1151r6,31l988,1208r26,17l1045,1231r9816,l10892,1225r25,-17l10935,1182r6,-31l10941,281r-6,-31l10917,225r-25,-17l10861,201xe" fillcolor="#f5f5f5" stroked="f">
              <v:path arrowok="t"/>
            </v:shape>
            <v:shape id="_x0000_s1759" style="position:absolute;left:964;top:201;width:9976;height:1030" coordorigin="965,201" coordsize="9976,1030" path="m1045,201r9816,l10892,208r25,17l10935,250r6,31l10941,1151r-6,31l10917,1208r-25,17l10861,1231r-9816,l1014,1225r-26,-17l971,1182r-6,-31l965,281r6,-31l988,225r26,-17l1045,201xe" filled="f" strokecolor="#ccc">
              <v:path arrowok="t"/>
            </v:shape>
            <v:shape id="_x0000_s1758" type="#_x0000_t202" style="position:absolute;left:984;top:216;width:9938;height:999" filled="f" stroked="f">
              <v:textbox inset="0,0,0,0">
                <w:txbxContent>
                  <w:p w14:paraId="02C522E3" w14:textId="77777777" w:rsidR="00711A16" w:rsidRDefault="00711A16">
                    <w:pPr>
                      <w:spacing w:before="221" w:line="252" w:lineRule="auto"/>
                      <w:ind w:left="1080" w:right="3464" w:hanging="880"/>
                      <w:rPr>
                        <w:rFonts w:ascii="MS Gothic"/>
                      </w:rPr>
                    </w:pPr>
                    <w:r>
                      <w:rPr>
                        <w:rFonts w:ascii="MS Gothic"/>
                        <w:color w:val="333333"/>
                      </w:rPr>
                      <w:t>@</w:t>
                    </w:r>
                    <w:proofErr w:type="gramStart"/>
                    <w:r>
                      <w:rPr>
                        <w:rFonts w:ascii="MS Gothic"/>
                        <w:color w:val="333333"/>
                      </w:rPr>
                      <w:t>DependencyManagementBom(</w:t>
                    </w:r>
                    <w:proofErr w:type="gramEnd"/>
                    <w:r>
                      <w:rPr>
                        <w:rFonts w:ascii="MS Gothic"/>
                        <w:color w:val="333333"/>
                      </w:rPr>
                      <w:t>["com.example.custom-bom:1.0.0", "com.example.another-bom:1.0.0"])</w:t>
                    </w:r>
                  </w:p>
                </w:txbxContent>
              </v:textbox>
            </v:shape>
            <w10:wrap type="topAndBottom" anchorx="page"/>
          </v:group>
        </w:pict>
      </w:r>
    </w:p>
    <w:p w14:paraId="1B190603" w14:textId="77777777" w:rsidR="00A720EB" w:rsidRDefault="00A720EB">
      <w:pPr>
        <w:rPr>
          <w:sz w:val="13"/>
        </w:rPr>
        <w:sectPr w:rsidR="00A720EB">
          <w:pgSz w:w="11910" w:h="16840"/>
          <w:pgMar w:top="620" w:right="840" w:bottom="520" w:left="840" w:header="0" w:footer="323" w:gutter="0"/>
          <w:cols w:space="720"/>
        </w:sectPr>
      </w:pPr>
    </w:p>
    <w:p w14:paraId="2A086F8B" w14:textId="77777777" w:rsidR="00A720EB" w:rsidRDefault="0030286B">
      <w:pPr>
        <w:pStyle w:val="a3"/>
        <w:spacing w:before="91" w:line="280" w:lineRule="auto"/>
        <w:ind w:left="124" w:right="122"/>
        <w:jc w:val="both"/>
      </w:pPr>
      <w:r>
        <w:rPr>
          <w:color w:val="333333"/>
          <w:w w:val="110"/>
        </w:rPr>
        <w:lastRenderedPageBreak/>
        <w:t xml:space="preserve">The preceding example indicates that the dependency management in </w:t>
      </w:r>
      <w:r>
        <w:rPr>
          <w:rFonts w:ascii="MS Gothic"/>
          <w:color w:val="B02045"/>
          <w:w w:val="110"/>
        </w:rPr>
        <w:t xml:space="preserve">another-bom </w:t>
      </w:r>
      <w:r>
        <w:rPr>
          <w:color w:val="333333"/>
          <w:w w:val="110"/>
        </w:rPr>
        <w:t xml:space="preserve">overrides the dependency management in </w:t>
      </w:r>
      <w:r>
        <w:rPr>
          <w:rFonts w:ascii="MS Gothic"/>
          <w:color w:val="B02045"/>
          <w:w w:val="110"/>
        </w:rPr>
        <w:t>custom-bom</w:t>
      </w:r>
      <w:r>
        <w:rPr>
          <w:color w:val="333333"/>
          <w:w w:val="110"/>
        </w:rPr>
        <w:t>.</w:t>
      </w:r>
    </w:p>
    <w:p w14:paraId="20ABE1CB" w14:textId="77777777" w:rsidR="00A720EB" w:rsidRDefault="0030286B">
      <w:pPr>
        <w:pStyle w:val="a3"/>
        <w:spacing w:before="242" w:line="285" w:lineRule="auto"/>
        <w:ind w:left="124" w:right="123"/>
        <w:jc w:val="both"/>
      </w:pPr>
      <w:r>
        <w:rPr>
          <w:color w:val="333333"/>
          <w:spacing w:val="-6"/>
          <w:w w:val="110"/>
        </w:rPr>
        <w:t xml:space="preserve">You </w:t>
      </w:r>
      <w:r>
        <w:rPr>
          <w:color w:val="333333"/>
          <w:w w:val="110"/>
        </w:rPr>
        <w:t xml:space="preserve">can use </w:t>
      </w:r>
      <w:r>
        <w:rPr>
          <w:rFonts w:ascii="MS Gothic"/>
          <w:color w:val="B02045"/>
          <w:w w:val="110"/>
        </w:rPr>
        <w:t xml:space="preserve">@DependencyManagementBom </w:t>
      </w:r>
      <w:r>
        <w:rPr>
          <w:color w:val="333333"/>
          <w:w w:val="110"/>
        </w:rPr>
        <w:t xml:space="preserve">anywhere that you can use </w:t>
      </w:r>
      <w:r>
        <w:rPr>
          <w:rFonts w:ascii="MS Gothic"/>
          <w:color w:val="B02045"/>
          <w:w w:val="110"/>
        </w:rPr>
        <w:t>@Grab</w:t>
      </w:r>
      <w:r>
        <w:rPr>
          <w:color w:val="333333"/>
          <w:w w:val="110"/>
        </w:rPr>
        <w:t xml:space="preserve">. However, to ensure consistent ordering of the dependency management, you can use </w:t>
      </w:r>
      <w:r>
        <w:rPr>
          <w:rFonts w:ascii="MS Gothic"/>
          <w:color w:val="B02045"/>
          <w:w w:val="110"/>
        </w:rPr>
        <w:t>@DependencyManagementBom</w:t>
      </w:r>
      <w:r>
        <w:rPr>
          <w:rFonts w:ascii="MS Gothic"/>
          <w:color w:val="B02045"/>
          <w:spacing w:val="-68"/>
          <w:w w:val="110"/>
        </w:rPr>
        <w:t xml:space="preserve"> </w:t>
      </w:r>
      <w:r>
        <w:rPr>
          <w:color w:val="333333"/>
          <w:w w:val="110"/>
        </w:rPr>
        <w:t>at most once in your application.</w:t>
      </w:r>
    </w:p>
    <w:p w14:paraId="7D01E85B" w14:textId="77777777" w:rsidR="00A720EB" w:rsidRDefault="00A720EB">
      <w:pPr>
        <w:pStyle w:val="a3"/>
        <w:spacing w:before="8"/>
        <w:rPr>
          <w:sz w:val="27"/>
        </w:rPr>
      </w:pPr>
    </w:p>
    <w:p w14:paraId="4D3BF36D" w14:textId="77777777" w:rsidR="00A720EB" w:rsidRDefault="0030286B">
      <w:pPr>
        <w:pStyle w:val="3"/>
        <w:numPr>
          <w:ilvl w:val="2"/>
          <w:numId w:val="18"/>
        </w:numPr>
        <w:tabs>
          <w:tab w:val="left" w:pos="858"/>
        </w:tabs>
        <w:ind w:hanging="734"/>
      </w:pPr>
      <w:bookmarkStart w:id="736" w:name="7.2.2._Applications_with_Multiple_Source"/>
      <w:bookmarkStart w:id="737" w:name="_Toc54423896"/>
      <w:bookmarkEnd w:id="736"/>
      <w:r>
        <w:rPr>
          <w:color w:val="333333"/>
          <w:w w:val="110"/>
        </w:rPr>
        <w:t>Applications with Multiple Source</w:t>
      </w:r>
      <w:r>
        <w:rPr>
          <w:color w:val="333333"/>
          <w:spacing w:val="-27"/>
          <w:w w:val="110"/>
        </w:rPr>
        <w:t xml:space="preserve"> </w:t>
      </w:r>
      <w:r>
        <w:rPr>
          <w:color w:val="333333"/>
          <w:w w:val="110"/>
        </w:rPr>
        <w:t>Files</w:t>
      </w:r>
      <w:bookmarkEnd w:id="737"/>
    </w:p>
    <w:p w14:paraId="0FF68CEB" w14:textId="77777777" w:rsidR="00A720EB" w:rsidRDefault="0030286B">
      <w:pPr>
        <w:pStyle w:val="a3"/>
        <w:spacing w:before="254" w:line="307" w:lineRule="auto"/>
        <w:ind w:left="124" w:right="129"/>
        <w:jc w:val="both"/>
      </w:pPr>
      <w:r>
        <w:rPr>
          <w:color w:val="333333"/>
          <w:spacing w:val="-6"/>
          <w:w w:val="110"/>
        </w:rPr>
        <w:t xml:space="preserve">You </w:t>
      </w:r>
      <w:r>
        <w:rPr>
          <w:color w:val="333333"/>
          <w:w w:val="110"/>
        </w:rPr>
        <w:t>can use “shell globbing” with all commands that accept file input. Doing so</w:t>
      </w:r>
      <w:r>
        <w:rPr>
          <w:color w:val="333333"/>
          <w:spacing w:val="50"/>
          <w:w w:val="110"/>
        </w:rPr>
        <w:t xml:space="preserve"> </w:t>
      </w:r>
      <w:proofErr w:type="gramStart"/>
      <w:r>
        <w:rPr>
          <w:color w:val="333333"/>
          <w:w w:val="110"/>
        </w:rPr>
        <w:t>lets  you</w:t>
      </w:r>
      <w:proofErr w:type="gramEnd"/>
      <w:r>
        <w:rPr>
          <w:color w:val="333333"/>
          <w:w w:val="110"/>
        </w:rPr>
        <w:t xml:space="preserve">  use  multiple files from a single </w:t>
      </w:r>
      <w:r>
        <w:rPr>
          <w:color w:val="333333"/>
          <w:spacing w:val="-3"/>
          <w:w w:val="110"/>
        </w:rPr>
        <w:t xml:space="preserve">directory, </w:t>
      </w:r>
      <w:r>
        <w:rPr>
          <w:color w:val="333333"/>
          <w:w w:val="110"/>
        </w:rPr>
        <w:t>as shown in the following example:</w:t>
      </w:r>
    </w:p>
    <w:p w14:paraId="0088D191" w14:textId="77777777" w:rsidR="00A720EB" w:rsidRDefault="00E10349">
      <w:pPr>
        <w:pStyle w:val="a3"/>
        <w:spacing w:before="2"/>
        <w:rPr>
          <w:sz w:val="13"/>
        </w:rPr>
      </w:pPr>
      <w:r>
        <w:pict w14:anchorId="39D972DA">
          <v:group id="_x0000_s1753" style="position:absolute;margin-left:47.85pt;margin-top:9.7pt;width:499.55pt;height:37.5pt;z-index:-15141888;mso-wrap-distance-left:0;mso-wrap-distance-right:0;mso-position-horizontal-relative:page" coordorigin="957,194" coordsize="9991,750">
            <v:shape id="_x0000_s1756" style="position:absolute;left:964;top:201;width:9976;height:735" coordorigin="965,201" coordsize="9976,735" path="m10861,201r-9816,l1014,208r-26,17l971,250r-6,31l965,856r6,31l988,913r26,17l1045,936r9816,l10892,930r25,-17l10935,887r6,-31l10941,281r-6,-31l10917,225r-25,-17l10861,201xe" fillcolor="#f5f5f5" stroked="f">
              <v:path arrowok="t"/>
            </v:shape>
            <v:shape id="_x0000_s1755" style="position:absolute;left:964;top:201;width:9976;height:735" coordorigin="965,201" coordsize="9976,735" path="m1045,201r9816,l10892,208r25,17l10935,250r6,31l10941,856r-6,31l10917,913r-25,17l10861,936r-9816,l1014,930,988,913,971,887r-6,-31l965,281r6,-31l988,225r26,-17l1045,201xe" filled="f" strokecolor="#ccc">
              <v:path arrowok="t"/>
            </v:shape>
            <v:shape id="_x0000_s1754" type="#_x0000_t202" style="position:absolute;left:984;top:216;width:9938;height:704" filled="f" stroked="f">
              <v:textbox inset="0,0,0,0">
                <w:txbxContent>
                  <w:p w14:paraId="7DC543C5" w14:textId="77777777" w:rsidR="00711A16" w:rsidRDefault="00711A16">
                    <w:pPr>
                      <w:spacing w:before="221"/>
                      <w:ind w:left="200"/>
                      <w:rPr>
                        <w:rFonts w:ascii="MS Gothic"/>
                      </w:rPr>
                    </w:pPr>
                    <w:r>
                      <w:rPr>
                        <w:rFonts w:ascii="MS Gothic"/>
                        <w:color w:val="333333"/>
                      </w:rPr>
                      <w:t xml:space="preserve">$ spring run </w:t>
                    </w:r>
                    <w:proofErr w:type="gramStart"/>
                    <w:r>
                      <w:rPr>
                        <w:rFonts w:ascii="MS Gothic"/>
                        <w:color w:val="333333"/>
                      </w:rPr>
                      <w:t>*.groovy</w:t>
                    </w:r>
                    <w:proofErr w:type="gramEnd"/>
                  </w:p>
                </w:txbxContent>
              </v:textbox>
            </v:shape>
            <w10:wrap type="topAndBottom" anchorx="page"/>
          </v:group>
        </w:pict>
      </w:r>
    </w:p>
    <w:p w14:paraId="1BDC5203" w14:textId="77777777" w:rsidR="00A720EB" w:rsidRDefault="00A720EB">
      <w:pPr>
        <w:pStyle w:val="a3"/>
        <w:spacing w:before="11"/>
        <w:rPr>
          <w:sz w:val="16"/>
        </w:rPr>
      </w:pPr>
    </w:p>
    <w:p w14:paraId="6E43089E" w14:textId="77777777" w:rsidR="00A720EB" w:rsidRDefault="0030286B">
      <w:pPr>
        <w:pStyle w:val="3"/>
        <w:numPr>
          <w:ilvl w:val="2"/>
          <w:numId w:val="18"/>
        </w:numPr>
        <w:tabs>
          <w:tab w:val="left" w:pos="858"/>
        </w:tabs>
        <w:spacing w:before="105"/>
        <w:ind w:hanging="734"/>
      </w:pPr>
      <w:bookmarkStart w:id="738" w:name="7.2.3._Packaging_Your_Application"/>
      <w:bookmarkStart w:id="739" w:name="_Toc54423897"/>
      <w:bookmarkEnd w:id="738"/>
      <w:r>
        <w:rPr>
          <w:color w:val="333333"/>
          <w:w w:val="110"/>
        </w:rPr>
        <w:t xml:space="preserve">Packaging </w:t>
      </w:r>
      <w:r>
        <w:rPr>
          <w:color w:val="333333"/>
          <w:spacing w:val="-6"/>
          <w:w w:val="110"/>
        </w:rPr>
        <w:t>Your</w:t>
      </w:r>
      <w:r>
        <w:rPr>
          <w:color w:val="333333"/>
          <w:spacing w:val="-11"/>
          <w:w w:val="110"/>
        </w:rPr>
        <w:t xml:space="preserve"> </w:t>
      </w:r>
      <w:r>
        <w:rPr>
          <w:color w:val="333333"/>
          <w:w w:val="110"/>
        </w:rPr>
        <w:t>Application</w:t>
      </w:r>
      <w:bookmarkEnd w:id="739"/>
    </w:p>
    <w:p w14:paraId="1CAE7E57" w14:textId="77777777" w:rsidR="00A720EB" w:rsidRDefault="0030286B">
      <w:pPr>
        <w:pStyle w:val="a3"/>
        <w:spacing w:before="243" w:line="290" w:lineRule="auto"/>
        <w:ind w:left="124" w:right="359"/>
      </w:pPr>
      <w:r>
        <w:rPr>
          <w:color w:val="333333"/>
          <w:spacing w:val="-6"/>
          <w:w w:val="110"/>
        </w:rPr>
        <w:t xml:space="preserve">You </w:t>
      </w:r>
      <w:r>
        <w:rPr>
          <w:color w:val="333333"/>
          <w:w w:val="110"/>
        </w:rPr>
        <w:t xml:space="preserve">can use the </w:t>
      </w:r>
      <w:r>
        <w:rPr>
          <w:rFonts w:ascii="MS Gothic"/>
          <w:color w:val="B02045"/>
          <w:w w:val="110"/>
        </w:rPr>
        <w:t xml:space="preserve">jar </w:t>
      </w:r>
      <w:r>
        <w:rPr>
          <w:color w:val="333333"/>
          <w:w w:val="110"/>
        </w:rPr>
        <w:t xml:space="preserve">command to package your application into a self-contained executable jar </w:t>
      </w:r>
      <w:proofErr w:type="gramStart"/>
      <w:r>
        <w:rPr>
          <w:color w:val="333333"/>
          <w:w w:val="110"/>
        </w:rPr>
        <w:t>file,  as</w:t>
      </w:r>
      <w:proofErr w:type="gramEnd"/>
      <w:r>
        <w:rPr>
          <w:color w:val="333333"/>
          <w:w w:val="110"/>
        </w:rPr>
        <w:t xml:space="preserve"> shown in the following</w:t>
      </w:r>
      <w:r>
        <w:rPr>
          <w:color w:val="333333"/>
          <w:spacing w:val="16"/>
          <w:w w:val="110"/>
        </w:rPr>
        <w:t xml:space="preserve"> </w:t>
      </w:r>
      <w:r>
        <w:rPr>
          <w:color w:val="333333"/>
          <w:w w:val="110"/>
        </w:rPr>
        <w:t>example:</w:t>
      </w:r>
    </w:p>
    <w:p w14:paraId="6D317EE2" w14:textId="77777777" w:rsidR="00A720EB" w:rsidRDefault="00E10349">
      <w:pPr>
        <w:pStyle w:val="a3"/>
        <w:spacing w:before="7"/>
        <w:rPr>
          <w:sz w:val="14"/>
        </w:rPr>
      </w:pPr>
      <w:r>
        <w:pict w14:anchorId="6617EE35">
          <v:group id="_x0000_s1749" style="position:absolute;margin-left:47.85pt;margin-top:10.55pt;width:499.55pt;height:37.5pt;z-index:-15141376;mso-wrap-distance-left:0;mso-wrap-distance-right:0;mso-position-horizontal-relative:page" coordorigin="957,211" coordsize="9991,750">
            <v:shape id="_x0000_s1752" style="position:absolute;left:964;top:218;width:9976;height:735" coordorigin="965,219" coordsize="9976,735" path="m10861,219r-9816,l1014,225r-26,17l971,268r-6,31l965,874r6,31l988,930r26,18l1045,954r9816,l10892,948r25,-18l10935,905r6,-31l10941,299r-6,-31l10917,242r-25,-17l10861,219xe" fillcolor="#f5f5f5" stroked="f">
              <v:path arrowok="t"/>
            </v:shape>
            <v:shape id="_x0000_s1751" style="position:absolute;left:964;top:218;width:9976;height:735" coordorigin="965,219" coordsize="9976,735" path="m1045,219r9816,l10892,225r25,17l10935,268r6,31l10941,874r-6,31l10917,930r-25,18l10861,954r-9816,l1014,948,988,930,971,905r-6,-31l965,299r6,-31l988,242r26,-17l1045,219xe" filled="f" strokecolor="#ccc">
              <v:path arrowok="t"/>
            </v:shape>
            <v:shape id="_x0000_s1750" type="#_x0000_t202" style="position:absolute;left:984;top:234;width:9938;height:704" filled="f" stroked="f">
              <v:textbox inset="0,0,0,0">
                <w:txbxContent>
                  <w:p w14:paraId="2A70CF58" w14:textId="77777777" w:rsidR="00711A16" w:rsidRDefault="00711A16">
                    <w:pPr>
                      <w:spacing w:before="221"/>
                      <w:ind w:left="200"/>
                      <w:rPr>
                        <w:rFonts w:ascii="MS Gothic"/>
                      </w:rPr>
                    </w:pPr>
                    <w:r>
                      <w:rPr>
                        <w:rFonts w:ascii="MS Gothic"/>
                        <w:color w:val="333333"/>
                      </w:rPr>
                      <w:t xml:space="preserve">$ spring jar my-app.jar </w:t>
                    </w:r>
                    <w:proofErr w:type="gramStart"/>
                    <w:r>
                      <w:rPr>
                        <w:rFonts w:ascii="MS Gothic"/>
                        <w:color w:val="333333"/>
                      </w:rPr>
                      <w:t>*.groovy</w:t>
                    </w:r>
                    <w:proofErr w:type="gramEnd"/>
                  </w:p>
                </w:txbxContent>
              </v:textbox>
            </v:shape>
            <w10:wrap type="topAndBottom" anchorx="page"/>
          </v:group>
        </w:pict>
      </w:r>
    </w:p>
    <w:p w14:paraId="1EDD958C" w14:textId="77777777" w:rsidR="00A720EB" w:rsidRDefault="00A720EB">
      <w:pPr>
        <w:pStyle w:val="a3"/>
        <w:rPr>
          <w:sz w:val="10"/>
        </w:rPr>
      </w:pPr>
    </w:p>
    <w:p w14:paraId="35BECFA3" w14:textId="77777777" w:rsidR="00A720EB" w:rsidRDefault="0030286B">
      <w:pPr>
        <w:pStyle w:val="a3"/>
        <w:spacing w:before="125" w:line="295" w:lineRule="auto"/>
        <w:ind w:left="124" w:right="125"/>
        <w:jc w:val="both"/>
      </w:pPr>
      <w:r>
        <w:rPr>
          <w:color w:val="333333"/>
          <w:w w:val="110"/>
        </w:rPr>
        <w:t xml:space="preserve">The resulting jar contains the classes produced by compiling the application and all of the application’s dependencies so that it can then be run by using </w:t>
      </w:r>
      <w:r>
        <w:rPr>
          <w:rFonts w:ascii="MS Gothic" w:hAnsi="MS Gothic"/>
          <w:color w:val="B02045"/>
          <w:w w:val="110"/>
        </w:rPr>
        <w:t>java -jar</w:t>
      </w:r>
      <w:r>
        <w:rPr>
          <w:color w:val="333333"/>
          <w:w w:val="110"/>
        </w:rPr>
        <w:t>. The jar file also contains entries from the application’s classpath. You can add and remove explicit paths to the jar by using</w:t>
      </w:r>
    </w:p>
    <w:p w14:paraId="74306765" w14:textId="77777777" w:rsidR="00A720EB" w:rsidRDefault="0030286B">
      <w:pPr>
        <w:pStyle w:val="a3"/>
        <w:spacing w:line="300" w:lineRule="auto"/>
        <w:ind w:left="124" w:right="131"/>
        <w:jc w:val="both"/>
      </w:pPr>
      <w:r>
        <w:rPr>
          <w:rFonts w:ascii="MS Gothic" w:hAnsi="MS Gothic"/>
          <w:color w:val="B02045"/>
          <w:w w:val="110"/>
        </w:rPr>
        <w:t xml:space="preserve">--include </w:t>
      </w:r>
      <w:r>
        <w:rPr>
          <w:color w:val="333333"/>
          <w:w w:val="110"/>
        </w:rPr>
        <w:t xml:space="preserve">and </w:t>
      </w:r>
      <w:r>
        <w:rPr>
          <w:rFonts w:ascii="MS Gothic" w:hAnsi="MS Gothic"/>
          <w:color w:val="B02045"/>
          <w:w w:val="110"/>
        </w:rPr>
        <w:t>--exclude</w:t>
      </w:r>
      <w:r>
        <w:rPr>
          <w:color w:val="333333"/>
          <w:w w:val="110"/>
        </w:rPr>
        <w:t xml:space="preserve">. Both are comma-separated, and both accept prefixes, in the form of “+” and “-”, to signify that they should be removed from the defaults. The default </w:t>
      </w:r>
      <w:proofErr w:type="gramStart"/>
      <w:r>
        <w:rPr>
          <w:color w:val="333333"/>
          <w:w w:val="110"/>
        </w:rPr>
        <w:t>includes  are</w:t>
      </w:r>
      <w:proofErr w:type="gramEnd"/>
      <w:r>
        <w:rPr>
          <w:color w:val="333333"/>
          <w:w w:val="110"/>
        </w:rPr>
        <w:t xml:space="preserve">  as  follows:</w:t>
      </w:r>
    </w:p>
    <w:p w14:paraId="7FFB7CF5" w14:textId="77777777" w:rsidR="00A720EB" w:rsidRDefault="00E10349">
      <w:pPr>
        <w:pStyle w:val="a3"/>
        <w:spacing w:before="6"/>
        <w:rPr>
          <w:sz w:val="13"/>
        </w:rPr>
      </w:pPr>
      <w:r>
        <w:pict w14:anchorId="3F1A5F5D">
          <v:group id="_x0000_s1745" style="position:absolute;margin-left:47.85pt;margin-top:9.9pt;width:499.55pt;height:37.5pt;z-index:-15140864;mso-wrap-distance-left:0;mso-wrap-distance-right:0;mso-position-horizontal-relative:page" coordorigin="957,198" coordsize="9991,750">
            <v:shape id="_x0000_s1748" style="position:absolute;left:964;top:205;width:9976;height:735" coordorigin="965,206" coordsize="9976,735" path="m10861,206r-9816,l1014,212r-26,17l971,255r-6,31l965,861r6,31l988,917r26,17l1045,941r9816,l10892,934r25,-17l10935,892r6,-31l10941,286r-6,-31l10917,229r-25,-17l10861,206xe" fillcolor="#f5f5f5" stroked="f">
              <v:path arrowok="t"/>
            </v:shape>
            <v:shape id="_x0000_s1747" style="position:absolute;left:964;top:205;width:9976;height:735" coordorigin="965,206" coordsize="9976,735" path="m1045,206r9816,l10892,212r25,17l10935,255r6,31l10941,861r-6,31l10917,917r-25,17l10861,941r-9816,l1014,934,988,917,971,892r-6,-31l965,286r6,-31l988,229r26,-17l1045,206xe" filled="f" strokecolor="#ccc">
              <v:path arrowok="t"/>
            </v:shape>
            <v:shape id="_x0000_s1746" type="#_x0000_t202" style="position:absolute;left:984;top:221;width:9938;height:704" filled="f" stroked="f">
              <v:textbox inset="0,0,0,0">
                <w:txbxContent>
                  <w:p w14:paraId="5BA4D6A8" w14:textId="77777777" w:rsidR="00711A16" w:rsidRDefault="00711A16">
                    <w:pPr>
                      <w:spacing w:before="221"/>
                      <w:ind w:left="200"/>
                      <w:rPr>
                        <w:rFonts w:ascii="MS Gothic"/>
                      </w:rPr>
                    </w:pPr>
                    <w:r>
                      <w:rPr>
                        <w:rFonts w:ascii="MS Gothic"/>
                        <w:color w:val="333333"/>
                      </w:rPr>
                      <w:t>public/**, resources/**, static/**, templates/**, META-INF/**, *</w:t>
                    </w:r>
                  </w:p>
                </w:txbxContent>
              </v:textbox>
            </v:shape>
            <w10:wrap type="topAndBottom" anchorx="page"/>
          </v:group>
        </w:pict>
      </w:r>
    </w:p>
    <w:p w14:paraId="6DF5B92A" w14:textId="77777777" w:rsidR="00A720EB" w:rsidRDefault="00A720EB">
      <w:pPr>
        <w:pStyle w:val="a3"/>
        <w:rPr>
          <w:sz w:val="10"/>
        </w:rPr>
      </w:pPr>
    </w:p>
    <w:p w14:paraId="06CD6B56" w14:textId="77777777" w:rsidR="00A720EB" w:rsidRDefault="0030286B">
      <w:pPr>
        <w:pStyle w:val="a3"/>
        <w:spacing w:before="125"/>
        <w:ind w:left="124"/>
      </w:pPr>
      <w:r>
        <w:rPr>
          <w:color w:val="333333"/>
          <w:w w:val="110"/>
        </w:rPr>
        <w:t>The default excludes are as follows:</w:t>
      </w:r>
    </w:p>
    <w:p w14:paraId="119B6516" w14:textId="77777777" w:rsidR="00A720EB" w:rsidRDefault="00E10349">
      <w:pPr>
        <w:pStyle w:val="a3"/>
        <w:rPr>
          <w:sz w:val="19"/>
        </w:rPr>
      </w:pPr>
      <w:r>
        <w:pict w14:anchorId="71C95324">
          <v:group id="_x0000_s1741" style="position:absolute;margin-left:47.85pt;margin-top:13.15pt;width:499.55pt;height:37.5pt;z-index:-15140352;mso-wrap-distance-left:0;mso-wrap-distance-right:0;mso-position-horizontal-relative:page" coordorigin="957,263" coordsize="9991,750">
            <v:shape id="_x0000_s1744" style="position:absolute;left:964;top:270;width:9976;height:735" coordorigin="965,270" coordsize="9976,735" path="m10861,270r-9816,l1014,276r-26,18l971,319r-6,31l965,925r6,31l988,982r26,17l1045,1005r9816,l10892,999r25,-17l10935,956r6,-31l10941,350r-6,-31l10917,294r-25,-18l10861,270xe" fillcolor="#f5f5f5" stroked="f">
              <v:path arrowok="t"/>
            </v:shape>
            <v:shape id="_x0000_s1743" style="position:absolute;left:964;top:270;width:9976;height:735" coordorigin="965,270" coordsize="9976,735" path="m1045,270r9816,l10892,276r25,18l10935,319r6,31l10941,925r-6,31l10917,982r-25,17l10861,1005r-9816,l1014,999,988,982,971,956r-6,-31l965,350r6,-31l988,294r26,-18l1045,270xe" filled="f" strokecolor="#ccc">
              <v:path arrowok="t"/>
            </v:shape>
            <v:shape id="_x0000_s1742" type="#_x0000_t202" style="position:absolute;left:984;top:285;width:9938;height:704" filled="f" stroked="f">
              <v:textbox inset="0,0,0,0">
                <w:txbxContent>
                  <w:p w14:paraId="6FBC349E" w14:textId="77777777" w:rsidR="00711A16" w:rsidRDefault="00711A16">
                    <w:pPr>
                      <w:spacing w:before="221"/>
                      <w:ind w:left="200"/>
                      <w:rPr>
                        <w:rFonts w:ascii="MS Gothic"/>
                      </w:rPr>
                    </w:pPr>
                    <w:proofErr w:type="gramStart"/>
                    <w:r>
                      <w:rPr>
                        <w:rFonts w:ascii="MS Gothic"/>
                        <w:color w:val="333333"/>
                      </w:rPr>
                      <w:t>.*</w:t>
                    </w:r>
                    <w:proofErr w:type="gramEnd"/>
                    <w:r>
                      <w:rPr>
                        <w:rFonts w:ascii="MS Gothic"/>
                        <w:color w:val="333333"/>
                      </w:rPr>
                      <w:t>, repository/**, build/**, target/**, **/*.jar, **/*.groovy</w:t>
                    </w:r>
                  </w:p>
                </w:txbxContent>
              </v:textbox>
            </v:shape>
            <w10:wrap type="topAndBottom" anchorx="page"/>
          </v:group>
        </w:pict>
      </w:r>
    </w:p>
    <w:p w14:paraId="1181C23B" w14:textId="77777777" w:rsidR="00A720EB" w:rsidRDefault="00A720EB">
      <w:pPr>
        <w:pStyle w:val="a3"/>
        <w:spacing w:before="11"/>
        <w:rPr>
          <w:sz w:val="9"/>
        </w:rPr>
      </w:pPr>
    </w:p>
    <w:p w14:paraId="3A04FE9E" w14:textId="77777777" w:rsidR="00A720EB" w:rsidRDefault="0030286B">
      <w:pPr>
        <w:pStyle w:val="a3"/>
        <w:spacing w:before="115"/>
        <w:ind w:left="124"/>
      </w:pPr>
      <w:r>
        <w:rPr>
          <w:color w:val="333333"/>
          <w:w w:val="110"/>
        </w:rPr>
        <w:t xml:space="preserve">Type </w:t>
      </w:r>
      <w:r>
        <w:rPr>
          <w:rFonts w:ascii="MS Gothic"/>
          <w:color w:val="B02045"/>
          <w:w w:val="110"/>
        </w:rPr>
        <w:t>spring help jar</w:t>
      </w:r>
      <w:r>
        <w:rPr>
          <w:rFonts w:ascii="MS Gothic"/>
          <w:color w:val="B02045"/>
          <w:spacing w:val="-72"/>
          <w:w w:val="110"/>
        </w:rPr>
        <w:t xml:space="preserve"> </w:t>
      </w:r>
      <w:r>
        <w:rPr>
          <w:color w:val="333333"/>
          <w:w w:val="110"/>
        </w:rPr>
        <w:t>on the command line for more information.</w:t>
      </w:r>
    </w:p>
    <w:p w14:paraId="6CA8BB2D" w14:textId="77777777" w:rsidR="00A720EB" w:rsidRDefault="00A720EB">
      <w:pPr>
        <w:pStyle w:val="a3"/>
        <w:spacing w:before="7"/>
        <w:rPr>
          <w:sz w:val="30"/>
        </w:rPr>
      </w:pPr>
    </w:p>
    <w:p w14:paraId="2021AE00" w14:textId="77777777" w:rsidR="00A720EB" w:rsidRDefault="0030286B">
      <w:pPr>
        <w:pStyle w:val="3"/>
        <w:numPr>
          <w:ilvl w:val="2"/>
          <w:numId w:val="18"/>
        </w:numPr>
        <w:tabs>
          <w:tab w:val="left" w:pos="858"/>
        </w:tabs>
        <w:ind w:hanging="734"/>
      </w:pPr>
      <w:bookmarkStart w:id="740" w:name="7.2.4._Initialize_a_New_Project"/>
      <w:bookmarkStart w:id="741" w:name="_Toc54423898"/>
      <w:bookmarkEnd w:id="740"/>
      <w:r>
        <w:rPr>
          <w:color w:val="333333"/>
          <w:w w:val="110"/>
        </w:rPr>
        <w:t>Initialize a New</w:t>
      </w:r>
      <w:r>
        <w:rPr>
          <w:color w:val="333333"/>
          <w:spacing w:val="-15"/>
          <w:w w:val="110"/>
        </w:rPr>
        <w:t xml:space="preserve"> </w:t>
      </w:r>
      <w:r>
        <w:rPr>
          <w:color w:val="333333"/>
          <w:w w:val="110"/>
        </w:rPr>
        <w:t>Project</w:t>
      </w:r>
      <w:bookmarkEnd w:id="741"/>
    </w:p>
    <w:p w14:paraId="471D0B32" w14:textId="77777777" w:rsidR="00A720EB" w:rsidRDefault="0030286B">
      <w:pPr>
        <w:pStyle w:val="a3"/>
        <w:spacing w:before="243" w:line="290" w:lineRule="auto"/>
        <w:ind w:left="124" w:right="359"/>
      </w:pPr>
      <w:r>
        <w:rPr>
          <w:color w:val="333333"/>
          <w:w w:val="110"/>
        </w:rPr>
        <w:t xml:space="preserve">The </w:t>
      </w:r>
      <w:r>
        <w:rPr>
          <w:rFonts w:ascii="MS Gothic"/>
          <w:color w:val="B02045"/>
          <w:w w:val="110"/>
        </w:rPr>
        <w:t xml:space="preserve">init </w:t>
      </w:r>
      <w:r>
        <w:rPr>
          <w:color w:val="333333"/>
          <w:w w:val="110"/>
        </w:rPr>
        <w:t xml:space="preserve">command lets you create a new project </w:t>
      </w:r>
      <w:r>
        <w:rPr>
          <w:color w:val="333333"/>
          <w:spacing w:val="-3"/>
          <w:w w:val="110"/>
        </w:rPr>
        <w:t xml:space="preserve">by </w:t>
      </w:r>
      <w:r>
        <w:rPr>
          <w:color w:val="333333"/>
          <w:w w:val="110"/>
        </w:rPr>
        <w:t xml:space="preserve">using </w:t>
      </w:r>
      <w:hyperlink r:id="rId569">
        <w:r>
          <w:rPr>
            <w:color w:val="418BCA"/>
            <w:w w:val="110"/>
          </w:rPr>
          <w:t>start.spring.io</w:t>
        </w:r>
      </w:hyperlink>
      <w:r>
        <w:rPr>
          <w:color w:val="418BCA"/>
          <w:w w:val="110"/>
        </w:rPr>
        <w:t xml:space="preserve"> </w:t>
      </w:r>
      <w:r>
        <w:rPr>
          <w:color w:val="333333"/>
          <w:w w:val="110"/>
        </w:rPr>
        <w:t xml:space="preserve">without leaving the </w:t>
      </w:r>
      <w:proofErr w:type="gramStart"/>
      <w:r>
        <w:rPr>
          <w:color w:val="333333"/>
          <w:w w:val="110"/>
        </w:rPr>
        <w:t>shell,  as</w:t>
      </w:r>
      <w:proofErr w:type="gramEnd"/>
      <w:r>
        <w:rPr>
          <w:color w:val="333333"/>
          <w:w w:val="110"/>
        </w:rPr>
        <w:t xml:space="preserve"> shown in the following</w:t>
      </w:r>
      <w:r>
        <w:rPr>
          <w:color w:val="333333"/>
          <w:spacing w:val="16"/>
          <w:w w:val="110"/>
        </w:rPr>
        <w:t xml:space="preserve"> </w:t>
      </w:r>
      <w:r>
        <w:rPr>
          <w:color w:val="333333"/>
          <w:w w:val="110"/>
        </w:rPr>
        <w:t>example:</w:t>
      </w:r>
    </w:p>
    <w:p w14:paraId="404344CC" w14:textId="77777777" w:rsidR="00A720EB" w:rsidRDefault="00E10349">
      <w:pPr>
        <w:pStyle w:val="a3"/>
        <w:spacing w:before="7"/>
        <w:rPr>
          <w:sz w:val="14"/>
        </w:rPr>
      </w:pPr>
      <w:r>
        <w:pict w14:anchorId="53877C8B">
          <v:group id="_x0000_s1737" style="position:absolute;margin-left:47.85pt;margin-top:10.55pt;width:499.55pt;height:67pt;z-index:-15139840;mso-wrap-distance-left:0;mso-wrap-distance-right:0;mso-position-horizontal-relative:page" coordorigin="957,211" coordsize="9991,1340">
            <v:shape id="_x0000_s1740" style="position:absolute;left:964;top:218;width:9976;height:1325" coordorigin="965,218" coordsize="9976,1325" path="m10861,218r-9816,l1014,224r-26,18l971,267r-6,31l965,1463r6,31l988,1519r26,17l1045,1543r9816,l10892,1536r25,-17l10935,1494r6,-31l10941,298r-6,-31l10917,242r-25,-18l10861,218xe" fillcolor="#f5f5f5" stroked="f">
              <v:path arrowok="t"/>
            </v:shape>
            <v:shape id="_x0000_s1739" style="position:absolute;left:964;top:218;width:9976;height:1325" coordorigin="965,218" coordsize="9976,1325" path="m1045,218r9816,l10892,224r25,18l10935,267r6,31l10941,1463r-6,31l10917,1519r-25,17l10861,1543r-9816,l1014,1536r-26,-17l971,1494r-6,-31l965,298r6,-31l988,242r26,-18l1045,218xe" filled="f" strokecolor="#ccc">
              <v:path arrowok="t"/>
            </v:shape>
            <v:shape id="_x0000_s1738" type="#_x0000_t202" style="position:absolute;left:984;top:233;width:9938;height:1294" filled="f" stroked="f">
              <v:textbox inset="0,0,0,0">
                <w:txbxContent>
                  <w:p w14:paraId="6073481B" w14:textId="77777777" w:rsidR="00711A16" w:rsidRDefault="00711A16">
                    <w:pPr>
                      <w:spacing w:before="221" w:line="252" w:lineRule="auto"/>
                      <w:ind w:left="200" w:right="3998"/>
                      <w:rPr>
                        <w:rFonts w:ascii="MS Gothic"/>
                      </w:rPr>
                    </w:pPr>
                    <w:r>
                      <w:rPr>
                        <w:rFonts w:ascii="MS Gothic"/>
                        <w:color w:val="333333"/>
                      </w:rPr>
                      <w:t>$ spring init --dependencies=</w:t>
                    </w:r>
                    <w:proofErr w:type="gramStart"/>
                    <w:r>
                      <w:rPr>
                        <w:rFonts w:ascii="MS Gothic"/>
                        <w:color w:val="333333"/>
                      </w:rPr>
                      <w:t>web,data</w:t>
                    </w:r>
                    <w:proofErr w:type="gramEnd"/>
                    <w:r>
                      <w:rPr>
                        <w:rFonts w:ascii="MS Gothic"/>
                        <w:color w:val="333333"/>
                      </w:rPr>
                      <w:t>-jpa my-project Using service at https://start.spring.io</w:t>
                    </w:r>
                  </w:p>
                  <w:p w14:paraId="41A21092" w14:textId="77777777" w:rsidR="00711A16" w:rsidRDefault="00711A16">
                    <w:pPr>
                      <w:spacing w:line="280" w:lineRule="exact"/>
                      <w:ind w:left="200"/>
                      <w:rPr>
                        <w:rFonts w:ascii="MS Gothic"/>
                      </w:rPr>
                    </w:pPr>
                    <w:r>
                      <w:rPr>
                        <w:rFonts w:ascii="MS Gothic"/>
                        <w:color w:val="333333"/>
                      </w:rPr>
                      <w:t>Project extracted to '/Users/developer/example/my-project'</w:t>
                    </w:r>
                  </w:p>
                </w:txbxContent>
              </v:textbox>
            </v:shape>
            <w10:wrap type="topAndBottom" anchorx="page"/>
          </v:group>
        </w:pict>
      </w:r>
    </w:p>
    <w:p w14:paraId="6FB31275" w14:textId="77777777" w:rsidR="00A720EB" w:rsidRDefault="00A720EB">
      <w:pPr>
        <w:rPr>
          <w:sz w:val="14"/>
        </w:rPr>
        <w:sectPr w:rsidR="00A720EB">
          <w:pgSz w:w="11910" w:h="16840"/>
          <w:pgMar w:top="640" w:right="840" w:bottom="520" w:left="840" w:header="0" w:footer="323" w:gutter="0"/>
          <w:cols w:space="720"/>
        </w:sectPr>
      </w:pPr>
    </w:p>
    <w:p w14:paraId="43D8163A" w14:textId="77777777" w:rsidR="00A720EB" w:rsidRDefault="0030286B">
      <w:pPr>
        <w:pStyle w:val="a3"/>
        <w:spacing w:before="91" w:line="280" w:lineRule="auto"/>
        <w:ind w:left="124" w:right="121"/>
        <w:jc w:val="both"/>
      </w:pPr>
      <w:r>
        <w:rPr>
          <w:color w:val="333333"/>
          <w:w w:val="110"/>
        </w:rPr>
        <w:lastRenderedPageBreak/>
        <w:t xml:space="preserve">The preceding example creates a </w:t>
      </w:r>
      <w:r>
        <w:rPr>
          <w:rFonts w:ascii="MS Gothic"/>
          <w:color w:val="B02045"/>
          <w:w w:val="110"/>
        </w:rPr>
        <w:t>my-project</w:t>
      </w:r>
      <w:r>
        <w:rPr>
          <w:rFonts w:ascii="MS Gothic"/>
          <w:color w:val="B02045"/>
          <w:spacing w:val="-101"/>
          <w:w w:val="110"/>
        </w:rPr>
        <w:t xml:space="preserve"> </w:t>
      </w:r>
      <w:r>
        <w:rPr>
          <w:color w:val="333333"/>
          <w:w w:val="110"/>
        </w:rPr>
        <w:t xml:space="preserve">directory with a Maven-based project that uses </w:t>
      </w:r>
      <w:r>
        <w:rPr>
          <w:rFonts w:ascii="MS Gothic"/>
          <w:color w:val="B02045"/>
          <w:w w:val="110"/>
        </w:rPr>
        <w:t>spring- boot-starter-web</w:t>
      </w:r>
      <w:r>
        <w:rPr>
          <w:rFonts w:ascii="MS Gothic"/>
          <w:color w:val="B02045"/>
          <w:spacing w:val="-65"/>
          <w:w w:val="110"/>
        </w:rPr>
        <w:t xml:space="preserve"> </w:t>
      </w:r>
      <w:r>
        <w:rPr>
          <w:color w:val="333333"/>
          <w:w w:val="110"/>
        </w:rPr>
        <w:t xml:space="preserve">and </w:t>
      </w:r>
      <w:r>
        <w:rPr>
          <w:rFonts w:ascii="MS Gothic"/>
          <w:color w:val="B02045"/>
          <w:w w:val="110"/>
        </w:rPr>
        <w:t>spring-boot-starter-data-jpa</w:t>
      </w:r>
      <w:r>
        <w:rPr>
          <w:color w:val="333333"/>
          <w:w w:val="110"/>
        </w:rPr>
        <w:t xml:space="preserve">. </w:t>
      </w:r>
      <w:r>
        <w:rPr>
          <w:color w:val="333333"/>
          <w:spacing w:val="-6"/>
          <w:w w:val="110"/>
        </w:rPr>
        <w:t xml:space="preserve">You </w:t>
      </w:r>
      <w:r>
        <w:rPr>
          <w:color w:val="333333"/>
          <w:w w:val="110"/>
        </w:rPr>
        <w:t xml:space="preserve">can list the capabilities of the service </w:t>
      </w:r>
      <w:r>
        <w:rPr>
          <w:color w:val="333333"/>
          <w:spacing w:val="-3"/>
          <w:w w:val="110"/>
        </w:rPr>
        <w:t xml:space="preserve">by </w:t>
      </w:r>
      <w:r>
        <w:rPr>
          <w:color w:val="333333"/>
          <w:w w:val="110"/>
        </w:rPr>
        <w:t xml:space="preserve">using the </w:t>
      </w:r>
      <w:r>
        <w:rPr>
          <w:rFonts w:ascii="MS Gothic"/>
          <w:color w:val="B02045"/>
          <w:w w:val="110"/>
        </w:rPr>
        <w:t xml:space="preserve">--list </w:t>
      </w:r>
      <w:r>
        <w:rPr>
          <w:color w:val="333333"/>
          <w:w w:val="110"/>
        </w:rPr>
        <w:t>flag, as shown in the following example:</w:t>
      </w:r>
    </w:p>
    <w:p w14:paraId="53D9957F" w14:textId="77777777" w:rsidR="00A720EB" w:rsidRDefault="00A720EB">
      <w:pPr>
        <w:pStyle w:val="a3"/>
        <w:spacing w:before="5"/>
        <w:rPr>
          <w:sz w:val="28"/>
        </w:rPr>
      </w:pPr>
    </w:p>
    <w:p w14:paraId="5D490E97" w14:textId="77777777" w:rsidR="00A720EB" w:rsidRDefault="00E10349">
      <w:pPr>
        <w:spacing w:before="117"/>
        <w:ind w:left="344"/>
        <w:rPr>
          <w:rFonts w:ascii="MS Gothic"/>
        </w:rPr>
      </w:pPr>
      <w:r>
        <w:pict w14:anchorId="0FC1D311">
          <v:group id="_x0000_s1732" style="position:absolute;left:0;text-align:left;margin-left:47.85pt;margin-top:-6.35pt;width:499.55pt;height:347.05pt;z-index:-41215488;mso-position-horizontal-relative:page" coordorigin="957,-127" coordsize="9991,6941">
            <v:shape id="_x0000_s1736" style="position:absolute;left:964;top:-120;width:9976;height:6926" coordorigin="965,-120" coordsize="9976,6926" path="m10861,-120r-9816,l1014,-113r-26,17l971,-71r-6,31l965,6726r6,31l988,6783r26,17l1045,6806r9816,l10892,6800r25,-17l10935,6757r6,-31l10941,-40r-6,-31l10917,-96r-25,-17l10861,-120xe" fillcolor="#f5f5f5" stroked="f">
              <v:path arrowok="t"/>
            </v:shape>
            <v:shape id="_x0000_s1735" style="position:absolute;left:964;top:-120;width:9976;height:6926" coordorigin="965,-120" coordsize="9976,6926" path="m1045,-120r9816,l10892,-113r25,17l10935,-71r6,31l10941,6726r-6,31l10917,6783r-25,17l10861,6806r-9816,l1014,6800r-26,-17l971,6757r-6,-31l965,-40r6,-31l988,-96r26,-17l1045,-120xe" filled="f" strokecolor="#ccc">
              <v:path arrowok="t"/>
            </v:shape>
            <v:line id="_x0000_s1734" style="position:absolute" from="1185,2041" to="3715,2041" strokecolor="#323232" strokeweight=".26mm">
              <v:stroke dashstyle="dash"/>
            </v:line>
            <v:line id="_x0000_s1733" style="position:absolute" from="1185,4694" to="3825,4694" strokecolor="#323232" strokeweight=".26mm">
              <v:stroke dashstyle="dash"/>
            </v:line>
            <w10:wrap anchorx="page"/>
          </v:group>
        </w:pict>
      </w:r>
      <w:r w:rsidR="0030286B">
        <w:rPr>
          <w:rFonts w:ascii="MS Gothic"/>
          <w:color w:val="333333"/>
        </w:rPr>
        <w:t>$ spring init --list</w:t>
      </w:r>
    </w:p>
    <w:p w14:paraId="56C18E72" w14:textId="77777777" w:rsidR="00A720EB" w:rsidRDefault="0030286B">
      <w:pPr>
        <w:spacing w:before="12"/>
        <w:ind w:left="344"/>
        <w:rPr>
          <w:rFonts w:ascii="MS Gothic"/>
        </w:rPr>
      </w:pPr>
      <w:r>
        <w:rPr>
          <w:rFonts w:ascii="MS Gothic"/>
          <w:color w:val="333333"/>
        </w:rPr>
        <w:t>=======================================</w:t>
      </w:r>
    </w:p>
    <w:p w14:paraId="5A829237" w14:textId="77777777" w:rsidR="00A720EB" w:rsidRDefault="0030286B">
      <w:pPr>
        <w:spacing w:before="13"/>
        <w:ind w:left="344"/>
        <w:rPr>
          <w:rFonts w:ascii="MS Gothic"/>
        </w:rPr>
      </w:pPr>
      <w:r>
        <w:rPr>
          <w:rFonts w:ascii="MS Gothic"/>
          <w:color w:val="333333"/>
        </w:rPr>
        <w:t>Capabilities of https://start.spring.io</w:t>
      </w:r>
    </w:p>
    <w:p w14:paraId="5E3029E9" w14:textId="77777777" w:rsidR="00A720EB" w:rsidRDefault="0030286B">
      <w:pPr>
        <w:spacing w:before="13"/>
        <w:ind w:left="344"/>
        <w:rPr>
          <w:rFonts w:ascii="MS Gothic"/>
        </w:rPr>
      </w:pPr>
      <w:r>
        <w:rPr>
          <w:rFonts w:ascii="MS Gothic"/>
          <w:color w:val="333333"/>
        </w:rPr>
        <w:t>=======================================</w:t>
      </w:r>
    </w:p>
    <w:p w14:paraId="78C4B8FE" w14:textId="77777777" w:rsidR="00A720EB" w:rsidRDefault="00A720EB">
      <w:pPr>
        <w:pStyle w:val="a3"/>
        <w:rPr>
          <w:rFonts w:ascii="MS Gothic"/>
          <w:sz w:val="24"/>
        </w:rPr>
      </w:pPr>
    </w:p>
    <w:p w14:paraId="2DF9D0F3" w14:textId="77777777" w:rsidR="00A720EB" w:rsidRDefault="0030286B">
      <w:pPr>
        <w:spacing w:before="1"/>
        <w:ind w:left="344"/>
        <w:rPr>
          <w:rFonts w:ascii="MS Gothic"/>
        </w:rPr>
      </w:pPr>
      <w:r>
        <w:rPr>
          <w:rFonts w:ascii="MS Gothic"/>
          <w:color w:val="333333"/>
        </w:rPr>
        <w:t>Available dependencies:</w:t>
      </w:r>
    </w:p>
    <w:p w14:paraId="63D1CAAC" w14:textId="77777777" w:rsidR="00A720EB" w:rsidRDefault="00A720EB">
      <w:pPr>
        <w:pStyle w:val="a3"/>
        <w:rPr>
          <w:rFonts w:ascii="MS Gothic"/>
          <w:sz w:val="24"/>
        </w:rPr>
      </w:pPr>
    </w:p>
    <w:p w14:paraId="025924DF" w14:textId="77777777" w:rsidR="00A720EB" w:rsidRDefault="0030286B">
      <w:pPr>
        <w:spacing w:line="252" w:lineRule="auto"/>
        <w:ind w:left="344" w:right="846"/>
        <w:rPr>
          <w:rFonts w:ascii="MS Gothic"/>
        </w:rPr>
      </w:pPr>
      <w:r>
        <w:rPr>
          <w:rFonts w:ascii="MS Gothic"/>
          <w:color w:val="333333"/>
        </w:rPr>
        <w:t>actuator - Actuator: Production ready features to help you monitor and manage your application</w:t>
      </w:r>
    </w:p>
    <w:p w14:paraId="30E82035" w14:textId="77777777" w:rsidR="00A720EB" w:rsidRDefault="0030286B">
      <w:pPr>
        <w:spacing w:line="280" w:lineRule="exact"/>
        <w:ind w:left="344"/>
        <w:rPr>
          <w:rFonts w:ascii="MS Gothic"/>
        </w:rPr>
      </w:pPr>
      <w:r>
        <w:rPr>
          <w:rFonts w:ascii="MS Gothic"/>
          <w:color w:val="333333"/>
        </w:rPr>
        <w:t>...</w:t>
      </w:r>
    </w:p>
    <w:p w14:paraId="542856A4" w14:textId="77777777" w:rsidR="00A720EB" w:rsidRDefault="0030286B">
      <w:pPr>
        <w:spacing w:before="13" w:line="252" w:lineRule="auto"/>
        <w:ind w:left="344" w:right="516"/>
        <w:rPr>
          <w:rFonts w:ascii="MS Gothic"/>
        </w:rPr>
      </w:pPr>
      <w:r>
        <w:rPr>
          <w:rFonts w:ascii="MS Gothic"/>
          <w:color w:val="333333"/>
        </w:rPr>
        <w:t>web - Web: Support for full-stack web development, including Tomcat and spring-webmvc websocket - Websocket: Support for WebSocket development</w:t>
      </w:r>
    </w:p>
    <w:p w14:paraId="2A90A3B3" w14:textId="77777777" w:rsidR="00A720EB" w:rsidRDefault="0030286B">
      <w:pPr>
        <w:spacing w:line="501" w:lineRule="auto"/>
        <w:ind w:left="344" w:right="5466"/>
        <w:rPr>
          <w:rFonts w:ascii="MS Gothic"/>
        </w:rPr>
      </w:pPr>
      <w:r>
        <w:rPr>
          <w:rFonts w:ascii="MS Gothic"/>
          <w:color w:val="333333"/>
        </w:rPr>
        <w:t>ws - WS: Support for Spring Web Services Available project types:</w:t>
      </w:r>
    </w:p>
    <w:p w14:paraId="09E4E6DE" w14:textId="77777777" w:rsidR="00A720EB" w:rsidRDefault="0030286B">
      <w:pPr>
        <w:tabs>
          <w:tab w:val="left" w:pos="1994"/>
          <w:tab w:val="left" w:pos="2104"/>
          <w:tab w:val="left" w:pos="2324"/>
        </w:tabs>
        <w:spacing w:line="252" w:lineRule="auto"/>
        <w:ind w:left="344" w:right="2948"/>
        <w:rPr>
          <w:rFonts w:ascii="MS Gothic"/>
        </w:rPr>
      </w:pPr>
      <w:r>
        <w:rPr>
          <w:rFonts w:ascii="MS Gothic"/>
          <w:color w:val="333333"/>
        </w:rPr>
        <w:t>gradle-build -</w:t>
      </w:r>
      <w:r>
        <w:rPr>
          <w:rFonts w:ascii="MS Gothic"/>
          <w:color w:val="333333"/>
        </w:rPr>
        <w:tab/>
      </w:r>
      <w:r>
        <w:rPr>
          <w:rFonts w:ascii="MS Gothic"/>
          <w:color w:val="333333"/>
        </w:rPr>
        <w:tab/>
        <w:t>Gradle Config [</w:t>
      </w:r>
      <w:proofErr w:type="gramStart"/>
      <w:r>
        <w:rPr>
          <w:rFonts w:ascii="MS Gothic"/>
          <w:color w:val="333333"/>
        </w:rPr>
        <w:t>format:build</w:t>
      </w:r>
      <w:proofErr w:type="gramEnd"/>
      <w:r>
        <w:rPr>
          <w:rFonts w:ascii="MS Gothic"/>
          <w:color w:val="333333"/>
        </w:rPr>
        <w:t>, build:gradle] gradle-project -</w:t>
      </w:r>
      <w:r>
        <w:rPr>
          <w:rFonts w:ascii="MS Gothic"/>
          <w:color w:val="333333"/>
        </w:rPr>
        <w:tab/>
      </w:r>
      <w:r>
        <w:rPr>
          <w:rFonts w:ascii="MS Gothic"/>
          <w:color w:val="333333"/>
        </w:rPr>
        <w:tab/>
        <w:t xml:space="preserve">Gradle Project [format:project, </w:t>
      </w:r>
      <w:r>
        <w:rPr>
          <w:rFonts w:ascii="MS Gothic"/>
          <w:color w:val="333333"/>
          <w:spacing w:val="-2"/>
        </w:rPr>
        <w:t xml:space="preserve">build:gradle] </w:t>
      </w:r>
      <w:r>
        <w:rPr>
          <w:rFonts w:ascii="MS Gothic"/>
          <w:color w:val="333333"/>
        </w:rPr>
        <w:t>maven-build -</w:t>
      </w:r>
      <w:r>
        <w:rPr>
          <w:rFonts w:ascii="MS Gothic"/>
          <w:color w:val="333333"/>
        </w:rPr>
        <w:tab/>
        <w:t>Maven POM [format:build, build:maven]</w:t>
      </w:r>
    </w:p>
    <w:p w14:paraId="2D798826" w14:textId="77777777" w:rsidR="00A720EB" w:rsidRDefault="0030286B">
      <w:pPr>
        <w:tabs>
          <w:tab w:val="left" w:pos="2214"/>
        </w:tabs>
        <w:spacing w:line="278" w:lineRule="exact"/>
        <w:ind w:left="344"/>
        <w:rPr>
          <w:rFonts w:ascii="MS Gothic"/>
        </w:rPr>
      </w:pPr>
      <w:r>
        <w:rPr>
          <w:rFonts w:ascii="MS Gothic"/>
          <w:color w:val="333333"/>
        </w:rPr>
        <w:t>maven-project -</w:t>
      </w:r>
      <w:r>
        <w:rPr>
          <w:rFonts w:ascii="MS Gothic"/>
          <w:color w:val="333333"/>
        </w:rPr>
        <w:tab/>
        <w:t>Maven Project [</w:t>
      </w:r>
      <w:proofErr w:type="gramStart"/>
      <w:r>
        <w:rPr>
          <w:rFonts w:ascii="MS Gothic"/>
          <w:color w:val="333333"/>
        </w:rPr>
        <w:t>format:project</w:t>
      </w:r>
      <w:proofErr w:type="gramEnd"/>
      <w:r>
        <w:rPr>
          <w:rFonts w:ascii="MS Gothic"/>
          <w:color w:val="333333"/>
        </w:rPr>
        <w:t>, build:maven] (default)</w:t>
      </w:r>
    </w:p>
    <w:p w14:paraId="2A68E7CF" w14:textId="77777777" w:rsidR="00A720EB" w:rsidRDefault="00A720EB">
      <w:pPr>
        <w:pStyle w:val="a3"/>
        <w:spacing w:before="11"/>
        <w:rPr>
          <w:rFonts w:ascii="MS Gothic"/>
          <w:sz w:val="23"/>
        </w:rPr>
      </w:pPr>
    </w:p>
    <w:p w14:paraId="1591A70D" w14:textId="77777777" w:rsidR="00A720EB" w:rsidRDefault="0030286B">
      <w:pPr>
        <w:ind w:left="344"/>
        <w:rPr>
          <w:rFonts w:ascii="MS Gothic"/>
        </w:rPr>
      </w:pPr>
      <w:r>
        <w:rPr>
          <w:rFonts w:ascii="MS Gothic"/>
          <w:color w:val="333333"/>
        </w:rPr>
        <w:t>...</w:t>
      </w:r>
    </w:p>
    <w:p w14:paraId="0FC24FB4" w14:textId="77777777" w:rsidR="00A720EB" w:rsidRDefault="00A720EB">
      <w:pPr>
        <w:pStyle w:val="a3"/>
        <w:spacing w:before="12"/>
        <w:rPr>
          <w:rFonts w:ascii="MS Gothic"/>
          <w:sz w:val="37"/>
        </w:rPr>
      </w:pPr>
    </w:p>
    <w:p w14:paraId="2C7865CA" w14:textId="77777777" w:rsidR="00A720EB" w:rsidRDefault="0030286B">
      <w:pPr>
        <w:pStyle w:val="a3"/>
        <w:spacing w:line="280" w:lineRule="auto"/>
        <w:ind w:left="124"/>
      </w:pPr>
      <w:r>
        <w:rPr>
          <w:color w:val="333333"/>
          <w:w w:val="110"/>
        </w:rPr>
        <w:t xml:space="preserve">The </w:t>
      </w:r>
      <w:r>
        <w:rPr>
          <w:rFonts w:ascii="MS Gothic"/>
          <w:color w:val="B02045"/>
          <w:w w:val="110"/>
        </w:rPr>
        <w:t xml:space="preserve">init </w:t>
      </w:r>
      <w:r>
        <w:rPr>
          <w:color w:val="333333"/>
          <w:w w:val="110"/>
        </w:rPr>
        <w:t xml:space="preserve">command supports many options. See the </w:t>
      </w:r>
      <w:r>
        <w:rPr>
          <w:rFonts w:ascii="MS Gothic"/>
          <w:color w:val="B02045"/>
          <w:w w:val="110"/>
        </w:rPr>
        <w:t xml:space="preserve">help </w:t>
      </w:r>
      <w:r>
        <w:rPr>
          <w:color w:val="333333"/>
          <w:w w:val="110"/>
        </w:rPr>
        <w:t xml:space="preserve">output for more details. For instance, the following command creates a Gradle project that uses Java 8 and </w:t>
      </w:r>
      <w:r>
        <w:rPr>
          <w:rFonts w:ascii="MS Gothic"/>
          <w:color w:val="B02045"/>
          <w:w w:val="110"/>
        </w:rPr>
        <w:t xml:space="preserve">war </w:t>
      </w:r>
      <w:r>
        <w:rPr>
          <w:color w:val="333333"/>
          <w:w w:val="110"/>
        </w:rPr>
        <w:t>packaging:</w:t>
      </w:r>
    </w:p>
    <w:p w14:paraId="21E5AF1B" w14:textId="77777777" w:rsidR="00A720EB" w:rsidRDefault="00E10349">
      <w:pPr>
        <w:pStyle w:val="a3"/>
        <w:spacing w:before="1"/>
        <w:rPr>
          <w:sz w:val="14"/>
        </w:rPr>
      </w:pPr>
      <w:r>
        <w:pict w14:anchorId="19CADC3D">
          <v:group id="_x0000_s1728" style="position:absolute;margin-left:47.85pt;margin-top:10.25pt;width:499.55pt;height:81.75pt;z-index:-15139328;mso-wrap-distance-left:0;mso-wrap-distance-right:0;mso-position-horizontal-relative:page" coordorigin="957,205" coordsize="9991,1635">
            <v:shape id="_x0000_s1731" style="position:absolute;left:964;top:212;width:9976;height:1620" coordorigin="965,213" coordsize="9976,1620" path="m10861,213r-9816,l1014,219r-26,17l971,261r-6,32l965,1752r6,31l988,1808r26,18l1045,1832r9816,l10892,1826r25,-18l10935,1783r6,-31l10941,293r-6,-32l10917,236r-25,-17l10861,213xe" fillcolor="#f5f5f5" stroked="f">
              <v:path arrowok="t"/>
            </v:shape>
            <v:shape id="_x0000_s1730" style="position:absolute;left:964;top:212;width:9976;height:1620" coordorigin="965,213" coordsize="9976,1620" path="m1045,213r9816,l10892,219r25,17l10935,261r6,32l10941,1752r-6,31l10917,1808r-25,18l10861,1832r-9816,l1014,1826r-26,-18l971,1783r-6,-31l965,293r6,-32l988,236r26,-17l1045,213xe" filled="f" strokecolor="#ccc">
              <v:path arrowok="t"/>
            </v:shape>
            <v:shape id="_x0000_s1729" type="#_x0000_t202" style="position:absolute;left:984;top:228;width:9938;height:1589" filled="f" stroked="f">
              <v:textbox inset="0,0,0,0">
                <w:txbxContent>
                  <w:p w14:paraId="3BB8F3F2" w14:textId="77777777" w:rsidR="00711A16" w:rsidRDefault="00711A16">
                    <w:pPr>
                      <w:spacing w:before="221"/>
                      <w:ind w:left="200"/>
                      <w:rPr>
                        <w:rFonts w:ascii="MS Gothic"/>
                      </w:rPr>
                    </w:pPr>
                    <w:r>
                      <w:rPr>
                        <w:rFonts w:ascii="MS Gothic"/>
                        <w:color w:val="333333"/>
                      </w:rPr>
                      <w:t>$ spring init --build=gradle --java-version=1.8 --dependencies=websocket</w:t>
                    </w:r>
                  </w:p>
                  <w:p w14:paraId="417367C0" w14:textId="77777777" w:rsidR="00711A16" w:rsidRDefault="00711A16">
                    <w:pPr>
                      <w:spacing w:before="13"/>
                      <w:ind w:left="200"/>
                      <w:rPr>
                        <w:rFonts w:ascii="MS Gothic"/>
                      </w:rPr>
                    </w:pPr>
                    <w:r>
                      <w:rPr>
                        <w:rFonts w:ascii="MS Gothic"/>
                        <w:color w:val="333333"/>
                      </w:rPr>
                      <w:t>--packaging=war sample-app.zip</w:t>
                    </w:r>
                  </w:p>
                  <w:p w14:paraId="03601815" w14:textId="77777777" w:rsidR="00711A16" w:rsidRDefault="00711A16">
                    <w:pPr>
                      <w:spacing w:before="13" w:line="252" w:lineRule="auto"/>
                      <w:ind w:left="200" w:right="5318"/>
                      <w:rPr>
                        <w:rFonts w:ascii="MS Gothic"/>
                      </w:rPr>
                    </w:pPr>
                    <w:r>
                      <w:rPr>
                        <w:rFonts w:ascii="MS Gothic"/>
                        <w:color w:val="333333"/>
                      </w:rPr>
                      <w:t>Using service at https://start.spring.io Content saved to 'sample-app.zip'</w:t>
                    </w:r>
                  </w:p>
                </w:txbxContent>
              </v:textbox>
            </v:shape>
            <w10:wrap type="topAndBottom" anchorx="page"/>
          </v:group>
        </w:pict>
      </w:r>
    </w:p>
    <w:p w14:paraId="037B658C" w14:textId="77777777" w:rsidR="00A720EB" w:rsidRDefault="00A720EB">
      <w:pPr>
        <w:pStyle w:val="a3"/>
        <w:spacing w:before="11"/>
        <w:rPr>
          <w:sz w:val="16"/>
        </w:rPr>
      </w:pPr>
    </w:p>
    <w:p w14:paraId="2FF34AF5" w14:textId="77777777" w:rsidR="00A720EB" w:rsidRDefault="0030286B">
      <w:pPr>
        <w:pStyle w:val="3"/>
        <w:numPr>
          <w:ilvl w:val="2"/>
          <w:numId w:val="18"/>
        </w:numPr>
        <w:tabs>
          <w:tab w:val="left" w:pos="858"/>
        </w:tabs>
        <w:spacing w:before="105"/>
        <w:ind w:hanging="734"/>
      </w:pPr>
      <w:bookmarkStart w:id="742" w:name="7.2.5._Using_the_Embedded_Shell"/>
      <w:bookmarkStart w:id="743" w:name="_Toc54423899"/>
      <w:bookmarkEnd w:id="742"/>
      <w:r>
        <w:rPr>
          <w:color w:val="333333"/>
          <w:w w:val="110"/>
        </w:rPr>
        <w:t>Using the Embedded</w:t>
      </w:r>
      <w:r>
        <w:rPr>
          <w:color w:val="333333"/>
          <w:spacing w:val="-19"/>
          <w:w w:val="110"/>
        </w:rPr>
        <w:t xml:space="preserve"> </w:t>
      </w:r>
      <w:r>
        <w:rPr>
          <w:color w:val="333333"/>
          <w:w w:val="110"/>
        </w:rPr>
        <w:t>Shell</w:t>
      </w:r>
      <w:bookmarkEnd w:id="743"/>
    </w:p>
    <w:p w14:paraId="238F5B18" w14:textId="77777777" w:rsidR="00A720EB" w:rsidRDefault="0030286B">
      <w:pPr>
        <w:pStyle w:val="a3"/>
        <w:spacing w:before="254" w:line="295" w:lineRule="auto"/>
        <w:ind w:left="124" w:right="122"/>
        <w:jc w:val="both"/>
      </w:pPr>
      <w:r>
        <w:rPr>
          <w:color w:val="333333"/>
          <w:w w:val="110"/>
        </w:rPr>
        <w:t xml:space="preserve">Spring Boot includes command-line completion scripts for the BASH and zsh shells. If you do not    use either of these shells (perhaps you are a Windows user), you can use the </w:t>
      </w:r>
      <w:r>
        <w:rPr>
          <w:rFonts w:ascii="MS Gothic"/>
          <w:color w:val="B02045"/>
          <w:w w:val="110"/>
        </w:rPr>
        <w:t xml:space="preserve">shell </w:t>
      </w:r>
      <w:r>
        <w:rPr>
          <w:color w:val="333333"/>
          <w:w w:val="110"/>
        </w:rPr>
        <w:t>command to launch an integrated shell, as shown in the following</w:t>
      </w:r>
      <w:r>
        <w:rPr>
          <w:color w:val="333333"/>
          <w:spacing w:val="34"/>
          <w:w w:val="110"/>
        </w:rPr>
        <w:t xml:space="preserve"> </w:t>
      </w:r>
      <w:r>
        <w:rPr>
          <w:color w:val="333333"/>
          <w:w w:val="110"/>
        </w:rPr>
        <w:t>example:</w:t>
      </w:r>
    </w:p>
    <w:p w14:paraId="4DA66323" w14:textId="77777777" w:rsidR="00A720EB" w:rsidRDefault="00E10349">
      <w:pPr>
        <w:pStyle w:val="a3"/>
        <w:spacing w:before="11"/>
        <w:rPr>
          <w:sz w:val="13"/>
        </w:rPr>
      </w:pPr>
      <w:r>
        <w:pict w14:anchorId="166FD852">
          <v:group id="_x0000_s1724" style="position:absolute;margin-left:47.85pt;margin-top:10.15pt;width:499.55pt;height:67pt;z-index:-15138816;mso-wrap-distance-left:0;mso-wrap-distance-right:0;mso-position-horizontal-relative:page" coordorigin="957,203" coordsize="9991,1340">
            <v:shape id="_x0000_s1727" style="position:absolute;left:964;top:210;width:9976;height:1325" coordorigin="965,210" coordsize="9976,1325" path="m10861,210r-9816,l1014,217r-26,17l971,259r-6,31l965,1455r6,31l988,1511r26,18l1045,1535r9816,l10892,1529r25,-18l10935,1486r6,-31l10941,290r-6,-31l10917,234r-25,-17l10861,210xe" fillcolor="#f5f5f5" stroked="f">
              <v:path arrowok="t"/>
            </v:shape>
            <v:shape id="_x0000_s1726" style="position:absolute;left:964;top:210;width:9976;height:1325" coordorigin="965,210" coordsize="9976,1325" path="m1045,210r9816,l10892,217r25,17l10935,259r6,31l10941,1455r-6,31l10917,1511r-25,18l10861,1535r-9816,l1014,1529r-26,-18l971,1486r-6,-31l965,290r6,-31l988,234r26,-17l1045,210xe" filled="f" strokecolor="#ccc">
              <v:path arrowok="t"/>
            </v:shape>
            <v:shape id="_x0000_s1725" type="#_x0000_t202" style="position:absolute;left:984;top:225;width:9938;height:1294" filled="f" stroked="f">
              <v:textbox inset="0,0,0,0">
                <w:txbxContent>
                  <w:p w14:paraId="4739CCC0" w14:textId="77777777" w:rsidR="00711A16" w:rsidRDefault="00711A16">
                    <w:pPr>
                      <w:spacing w:before="221"/>
                      <w:ind w:left="200"/>
                      <w:rPr>
                        <w:rFonts w:ascii="MS Gothic"/>
                      </w:rPr>
                    </w:pPr>
                    <w:r>
                      <w:rPr>
                        <w:rFonts w:ascii="MS Gothic"/>
                        <w:color w:val="333333"/>
                      </w:rPr>
                      <w:t>$ spring shell</w:t>
                    </w:r>
                  </w:p>
                  <w:p w14:paraId="0F70CD0D" w14:textId="77777777" w:rsidR="00711A16" w:rsidRDefault="00711A16">
                    <w:pPr>
                      <w:spacing w:before="13"/>
                      <w:ind w:left="200"/>
                      <w:rPr>
                        <w:rFonts w:ascii="MS Gothic"/>
                      </w:rPr>
                    </w:pPr>
                    <w:r>
                      <w:rPr>
                        <w:rFonts w:ascii="宋体"/>
                        <w:color w:val="333333"/>
                      </w:rPr>
                      <w:t xml:space="preserve">Spring Boot </w:t>
                    </w:r>
                    <w:r>
                      <w:rPr>
                        <w:rFonts w:ascii="MS Gothic"/>
                        <w:color w:val="333333"/>
                      </w:rPr>
                      <w:t>(v2.3.</w:t>
                    </w:r>
                    <w:proofErr w:type="gramStart"/>
                    <w:r>
                      <w:rPr>
                        <w:rFonts w:ascii="MS Gothic"/>
                        <w:color w:val="333333"/>
                      </w:rPr>
                      <w:t>4.RELEASE</w:t>
                    </w:r>
                    <w:proofErr w:type="gramEnd"/>
                    <w:r>
                      <w:rPr>
                        <w:rFonts w:ascii="MS Gothic"/>
                        <w:color w:val="333333"/>
                      </w:rPr>
                      <w:t>)</w:t>
                    </w:r>
                  </w:p>
                  <w:p w14:paraId="75772364" w14:textId="77777777" w:rsidR="00711A16" w:rsidRDefault="00711A16">
                    <w:pPr>
                      <w:spacing w:before="13"/>
                      <w:ind w:left="200"/>
                      <w:rPr>
                        <w:rFonts w:ascii="MS Gothic"/>
                      </w:rPr>
                    </w:pPr>
                    <w:r>
                      <w:rPr>
                        <w:rFonts w:ascii="MS Gothic"/>
                        <w:color w:val="333333"/>
                      </w:rPr>
                      <w:t>Hit TAB to complete. Type \'help' and hit RETURN for help, and \'exit' to quit.</w:t>
                    </w:r>
                  </w:p>
                </w:txbxContent>
              </v:textbox>
            </v:shape>
            <w10:wrap type="topAndBottom" anchorx="page"/>
          </v:group>
        </w:pict>
      </w:r>
    </w:p>
    <w:p w14:paraId="03361122" w14:textId="77777777" w:rsidR="00A720EB" w:rsidRDefault="00A720EB">
      <w:pPr>
        <w:pStyle w:val="a3"/>
        <w:rPr>
          <w:sz w:val="10"/>
        </w:rPr>
      </w:pPr>
    </w:p>
    <w:p w14:paraId="4C3BE98B" w14:textId="77777777" w:rsidR="00A720EB" w:rsidRDefault="0030286B">
      <w:pPr>
        <w:pStyle w:val="a3"/>
        <w:spacing w:before="125"/>
        <w:ind w:left="124"/>
      </w:pPr>
      <w:r>
        <w:rPr>
          <w:color w:val="333333"/>
          <w:w w:val="110"/>
        </w:rPr>
        <w:t>From inside the embedded shell, you can run other commands directly:</w:t>
      </w:r>
    </w:p>
    <w:p w14:paraId="317B4913" w14:textId="77777777" w:rsidR="00A720EB" w:rsidRDefault="00A720EB">
      <w:pPr>
        <w:sectPr w:rsidR="00A720EB">
          <w:pgSz w:w="11910" w:h="16840"/>
          <w:pgMar w:top="640" w:right="840" w:bottom="520" w:left="840" w:header="0" w:footer="323" w:gutter="0"/>
          <w:cols w:space="720"/>
        </w:sectPr>
      </w:pPr>
    </w:p>
    <w:p w14:paraId="61AF24A2" w14:textId="77777777" w:rsidR="00A720EB" w:rsidRDefault="00E10349">
      <w:pPr>
        <w:pStyle w:val="a3"/>
        <w:ind w:left="116"/>
        <w:rPr>
          <w:sz w:val="20"/>
        </w:rPr>
      </w:pPr>
      <w:r>
        <w:rPr>
          <w:sz w:val="20"/>
        </w:rPr>
      </w:r>
      <w:r>
        <w:rPr>
          <w:sz w:val="20"/>
        </w:rPr>
        <w:pict w14:anchorId="008BA8AE">
          <v:group id="_x0000_s1720" style="width:499.55pt;height:52.25pt;mso-position-horizontal-relative:char;mso-position-vertical-relative:line" coordsize="9991,1045">
            <v:shape id="_x0000_s1723" style="position:absolute;left:7;top:7;width:9976;height:1030" coordorigin="8,8" coordsize="9976,1030" path="m9904,8l88,8,56,14,31,31,14,56,8,88r,869l14,988r17,26l56,1031r32,6l9904,1037r31,-6l9960,1014r17,-26l9984,957r,-869l9977,56,9960,31,9935,14,9904,8xe" fillcolor="#f5f5f5" stroked="f">
              <v:path arrowok="t"/>
            </v:shape>
            <v:shape id="_x0000_s1722" style="position:absolute;left:7;top:7;width:9976;height:1030" coordorigin="8,8" coordsize="9976,1030" path="m88,8r9816,l9935,14r25,17l9977,56r7,32l9984,957r-7,31l9960,1014r-25,17l9904,1037r-9816,l56,1031,31,1014,14,988,8,957,8,88,14,56,31,31,56,14,88,8xe" filled="f" strokecolor="#ccc">
              <v:path arrowok="t"/>
            </v:shape>
            <v:shape id="_x0000_s1721" type="#_x0000_t202" style="position:absolute;left:26;top:22;width:9938;height:999" filled="f" stroked="f">
              <v:textbox inset="0,0,0,0">
                <w:txbxContent>
                  <w:p w14:paraId="67D8DCF1" w14:textId="77777777" w:rsidR="00711A16" w:rsidRDefault="00711A16">
                    <w:pPr>
                      <w:spacing w:before="221"/>
                      <w:ind w:left="200"/>
                      <w:rPr>
                        <w:rFonts w:ascii="MS Gothic"/>
                      </w:rPr>
                    </w:pPr>
                    <w:r>
                      <w:rPr>
                        <w:rFonts w:ascii="MS Gothic"/>
                        <w:color w:val="333333"/>
                      </w:rPr>
                      <w:t>$ version</w:t>
                    </w:r>
                  </w:p>
                  <w:p w14:paraId="05A0FAC5" w14:textId="77777777" w:rsidR="00711A16" w:rsidRDefault="00711A16">
                    <w:pPr>
                      <w:spacing w:before="13"/>
                      <w:ind w:left="200"/>
                      <w:rPr>
                        <w:rFonts w:ascii="MS Gothic"/>
                      </w:rPr>
                    </w:pPr>
                    <w:r>
                      <w:rPr>
                        <w:rFonts w:ascii="MS Gothic"/>
                        <w:color w:val="333333"/>
                      </w:rPr>
                      <w:t>Spring CLI v2.3.</w:t>
                    </w:r>
                    <w:proofErr w:type="gramStart"/>
                    <w:r>
                      <w:rPr>
                        <w:rFonts w:ascii="MS Gothic"/>
                        <w:color w:val="333333"/>
                      </w:rPr>
                      <w:t>4.RELEASE</w:t>
                    </w:r>
                    <w:proofErr w:type="gramEnd"/>
                  </w:p>
                </w:txbxContent>
              </v:textbox>
            </v:shape>
            <w10:anchorlock/>
          </v:group>
        </w:pict>
      </w:r>
    </w:p>
    <w:p w14:paraId="171D46AD" w14:textId="77777777" w:rsidR="00A720EB" w:rsidRDefault="00A720EB">
      <w:pPr>
        <w:pStyle w:val="a3"/>
        <w:spacing w:before="9"/>
        <w:rPr>
          <w:sz w:val="9"/>
        </w:rPr>
      </w:pPr>
    </w:p>
    <w:p w14:paraId="592D1CEF" w14:textId="77777777" w:rsidR="00A720EB" w:rsidRDefault="0030286B">
      <w:pPr>
        <w:pStyle w:val="a3"/>
        <w:spacing w:before="116" w:line="280" w:lineRule="auto"/>
        <w:ind w:left="124" w:right="123"/>
        <w:jc w:val="both"/>
      </w:pPr>
      <w:r>
        <w:rPr>
          <w:color w:val="333333"/>
          <w:w w:val="110"/>
        </w:rPr>
        <w:t xml:space="preserve">The embedded shell supports ANSI color output as well as </w:t>
      </w:r>
      <w:r>
        <w:rPr>
          <w:rFonts w:ascii="MS Gothic"/>
          <w:color w:val="B02045"/>
          <w:w w:val="110"/>
        </w:rPr>
        <w:t xml:space="preserve">tab </w:t>
      </w:r>
      <w:r>
        <w:rPr>
          <w:color w:val="333333"/>
          <w:w w:val="110"/>
        </w:rPr>
        <w:t xml:space="preserve">completion. If you need to run a native command, you can use </w:t>
      </w:r>
      <w:proofErr w:type="gramStart"/>
      <w:r>
        <w:rPr>
          <w:color w:val="333333"/>
          <w:w w:val="110"/>
        </w:rPr>
        <w:t xml:space="preserve">the </w:t>
      </w:r>
      <w:r>
        <w:rPr>
          <w:rFonts w:ascii="MS Gothic"/>
          <w:color w:val="B02045"/>
          <w:w w:val="110"/>
        </w:rPr>
        <w:t>!</w:t>
      </w:r>
      <w:proofErr w:type="gramEnd"/>
      <w:r>
        <w:rPr>
          <w:rFonts w:ascii="MS Gothic"/>
          <w:color w:val="B02045"/>
          <w:w w:val="110"/>
        </w:rPr>
        <w:t xml:space="preserve"> </w:t>
      </w:r>
      <w:r>
        <w:rPr>
          <w:color w:val="333333"/>
          <w:w w:val="110"/>
        </w:rPr>
        <w:t xml:space="preserve">prefix. </w:t>
      </w:r>
      <w:r>
        <w:rPr>
          <w:color w:val="333333"/>
          <w:spacing w:val="-4"/>
          <w:w w:val="110"/>
        </w:rPr>
        <w:t xml:space="preserve">To </w:t>
      </w:r>
      <w:r>
        <w:rPr>
          <w:color w:val="333333"/>
          <w:w w:val="110"/>
        </w:rPr>
        <w:t>exit the embedded shell, press</w:t>
      </w:r>
      <w:r>
        <w:rPr>
          <w:color w:val="333333"/>
          <w:spacing w:val="-14"/>
          <w:w w:val="110"/>
        </w:rPr>
        <w:t xml:space="preserve"> </w:t>
      </w:r>
      <w:r>
        <w:rPr>
          <w:rFonts w:ascii="MS Gothic"/>
          <w:color w:val="B02045"/>
          <w:w w:val="110"/>
        </w:rPr>
        <w:t>ctrl-c</w:t>
      </w:r>
      <w:r>
        <w:rPr>
          <w:color w:val="333333"/>
          <w:w w:val="110"/>
        </w:rPr>
        <w:t>.</w:t>
      </w:r>
    </w:p>
    <w:p w14:paraId="32BBDE9B" w14:textId="77777777" w:rsidR="00A720EB" w:rsidRDefault="00A720EB">
      <w:pPr>
        <w:pStyle w:val="a3"/>
        <w:spacing w:before="8"/>
        <w:rPr>
          <w:sz w:val="26"/>
        </w:rPr>
      </w:pPr>
    </w:p>
    <w:p w14:paraId="6C57BBB8" w14:textId="77777777" w:rsidR="00A720EB" w:rsidRDefault="0030286B">
      <w:pPr>
        <w:pStyle w:val="3"/>
        <w:numPr>
          <w:ilvl w:val="2"/>
          <w:numId w:val="18"/>
        </w:numPr>
        <w:tabs>
          <w:tab w:val="left" w:pos="858"/>
        </w:tabs>
        <w:ind w:hanging="734"/>
      </w:pPr>
      <w:bookmarkStart w:id="744" w:name="7.2.6._Adding_Extensions_to_the_CLI"/>
      <w:bookmarkStart w:id="745" w:name="_Toc54423900"/>
      <w:bookmarkEnd w:id="744"/>
      <w:r>
        <w:rPr>
          <w:color w:val="333333"/>
          <w:w w:val="110"/>
        </w:rPr>
        <w:t>Adding Extensions to the</w:t>
      </w:r>
      <w:r>
        <w:rPr>
          <w:color w:val="333333"/>
          <w:spacing w:val="-26"/>
          <w:w w:val="110"/>
        </w:rPr>
        <w:t xml:space="preserve"> </w:t>
      </w:r>
      <w:r>
        <w:rPr>
          <w:color w:val="333333"/>
          <w:w w:val="110"/>
        </w:rPr>
        <w:t>CLI</w:t>
      </w:r>
      <w:bookmarkEnd w:id="745"/>
    </w:p>
    <w:p w14:paraId="7CC972C2" w14:textId="77777777" w:rsidR="00A720EB" w:rsidRDefault="0030286B">
      <w:pPr>
        <w:pStyle w:val="a3"/>
        <w:spacing w:before="244" w:line="285" w:lineRule="auto"/>
        <w:ind w:left="124" w:right="123"/>
        <w:jc w:val="both"/>
      </w:pPr>
      <w:r>
        <w:rPr>
          <w:color w:val="333333"/>
          <w:w w:val="110"/>
        </w:rPr>
        <w:t xml:space="preserve">You can add extensions to the CLI by using the </w:t>
      </w:r>
      <w:r>
        <w:rPr>
          <w:rFonts w:ascii="MS Gothic"/>
          <w:color w:val="B02045"/>
          <w:w w:val="110"/>
        </w:rPr>
        <w:t xml:space="preserve">install </w:t>
      </w:r>
      <w:r>
        <w:rPr>
          <w:color w:val="333333"/>
          <w:w w:val="110"/>
        </w:rPr>
        <w:t xml:space="preserve">command. The command takes one or more sets of artifact coordinates in the format </w:t>
      </w:r>
      <w:proofErr w:type="gramStart"/>
      <w:r>
        <w:rPr>
          <w:rFonts w:ascii="MS Gothic"/>
          <w:color w:val="B02045"/>
          <w:w w:val="110"/>
        </w:rPr>
        <w:t>group:artifact</w:t>
      </w:r>
      <w:proofErr w:type="gramEnd"/>
      <w:r>
        <w:rPr>
          <w:rFonts w:ascii="MS Gothic"/>
          <w:color w:val="B02045"/>
          <w:w w:val="110"/>
        </w:rPr>
        <w:t>:version</w:t>
      </w:r>
      <w:r>
        <w:rPr>
          <w:color w:val="333333"/>
          <w:w w:val="110"/>
        </w:rPr>
        <w:t>, as shown in the following example:</w:t>
      </w:r>
    </w:p>
    <w:p w14:paraId="5744727D" w14:textId="77777777" w:rsidR="00A720EB" w:rsidRDefault="00E10349">
      <w:pPr>
        <w:pStyle w:val="a3"/>
        <w:spacing w:before="1"/>
        <w:rPr>
          <w:sz w:val="15"/>
        </w:rPr>
      </w:pPr>
      <w:r>
        <w:pict w14:anchorId="08D2DDC0">
          <v:group id="_x0000_s1716" style="position:absolute;margin-left:47.85pt;margin-top:10.85pt;width:499.55pt;height:37.5pt;z-index:-15137280;mso-wrap-distance-left:0;mso-wrap-distance-right:0;mso-position-horizontal-relative:page" coordorigin="957,217" coordsize="9991,750">
            <v:shape id="_x0000_s1719" style="position:absolute;left:964;top:224;width:9976;height:735" coordorigin="965,224" coordsize="9976,735" path="m10861,224r-9816,l1014,231r-26,17l971,273r-6,31l965,879r6,31l988,936r26,17l1045,959r9816,l10892,953r25,-17l10935,910r6,-31l10941,304r-6,-31l10917,248r-25,-17l10861,224xe" fillcolor="#f5f5f5" stroked="f">
              <v:path arrowok="t"/>
            </v:shape>
            <v:shape id="_x0000_s1718" style="position:absolute;left:964;top:224;width:9976;height:735" coordorigin="965,224" coordsize="9976,735" path="m1045,224r9816,l10892,231r25,17l10935,273r6,31l10941,879r-6,31l10917,936r-25,17l10861,959r-9816,l1014,953,988,936,971,910r-6,-31l965,304r6,-31l988,248r26,-17l1045,224xe" filled="f" strokecolor="#ccc">
              <v:path arrowok="t"/>
            </v:shape>
            <v:shape id="_x0000_s1717" type="#_x0000_t202" style="position:absolute;left:984;top:239;width:9938;height:704" filled="f" stroked="f">
              <v:textbox inset="0,0,0,0">
                <w:txbxContent>
                  <w:p w14:paraId="0A74F848" w14:textId="77777777" w:rsidR="00711A16" w:rsidRDefault="00711A16">
                    <w:pPr>
                      <w:spacing w:before="221"/>
                      <w:ind w:left="200"/>
                      <w:rPr>
                        <w:rFonts w:ascii="MS Gothic"/>
                      </w:rPr>
                    </w:pPr>
                    <w:r>
                      <w:rPr>
                        <w:rFonts w:ascii="MS Gothic"/>
                        <w:color w:val="333333"/>
                      </w:rPr>
                      <w:t>$ spring install com.</w:t>
                    </w:r>
                    <w:proofErr w:type="gramStart"/>
                    <w:r>
                      <w:rPr>
                        <w:rFonts w:ascii="MS Gothic"/>
                        <w:color w:val="333333"/>
                      </w:rPr>
                      <w:t>example:spring</w:t>
                    </w:r>
                    <w:proofErr w:type="gramEnd"/>
                    <w:r>
                      <w:rPr>
                        <w:rFonts w:ascii="MS Gothic"/>
                        <w:color w:val="333333"/>
                      </w:rPr>
                      <w:t>-boot-cli-extension:1.0.0.RELEASE</w:t>
                    </w:r>
                  </w:p>
                </w:txbxContent>
              </v:textbox>
            </v:shape>
            <w10:wrap type="topAndBottom" anchorx="page"/>
          </v:group>
        </w:pict>
      </w:r>
    </w:p>
    <w:p w14:paraId="77E9028B" w14:textId="77777777" w:rsidR="00A720EB" w:rsidRDefault="00A720EB">
      <w:pPr>
        <w:pStyle w:val="a3"/>
        <w:rPr>
          <w:sz w:val="10"/>
        </w:rPr>
      </w:pPr>
    </w:p>
    <w:p w14:paraId="4113863B" w14:textId="77777777" w:rsidR="00A720EB" w:rsidRDefault="0030286B">
      <w:pPr>
        <w:pStyle w:val="a3"/>
        <w:spacing w:before="125" w:line="307" w:lineRule="auto"/>
        <w:ind w:left="124" w:right="136"/>
        <w:jc w:val="both"/>
      </w:pPr>
      <w:r>
        <w:rPr>
          <w:color w:val="333333"/>
          <w:w w:val="110"/>
        </w:rPr>
        <w:t>In addition to installing the artifacts identified by the coordinates you supply, all of the artifacts' dependencies are also installed.</w:t>
      </w:r>
    </w:p>
    <w:p w14:paraId="25116977" w14:textId="77777777" w:rsidR="00A720EB" w:rsidRDefault="0030286B">
      <w:pPr>
        <w:pStyle w:val="a3"/>
        <w:spacing w:before="231" w:line="285" w:lineRule="auto"/>
        <w:ind w:left="124" w:right="122"/>
        <w:jc w:val="both"/>
      </w:pPr>
      <w:r>
        <w:rPr>
          <w:color w:val="333333"/>
          <w:w w:val="110"/>
        </w:rPr>
        <w:t xml:space="preserve">To uninstall a dependency, use the </w:t>
      </w:r>
      <w:r>
        <w:rPr>
          <w:rFonts w:ascii="MS Gothic"/>
          <w:color w:val="B02045"/>
          <w:w w:val="110"/>
        </w:rPr>
        <w:t xml:space="preserve">uninstall </w:t>
      </w:r>
      <w:r>
        <w:rPr>
          <w:color w:val="333333"/>
          <w:w w:val="110"/>
        </w:rPr>
        <w:t xml:space="preserve">command. As with the </w:t>
      </w:r>
      <w:r>
        <w:rPr>
          <w:rFonts w:ascii="MS Gothic"/>
          <w:color w:val="B02045"/>
          <w:w w:val="110"/>
        </w:rPr>
        <w:t xml:space="preserve">install </w:t>
      </w:r>
      <w:r>
        <w:rPr>
          <w:color w:val="333333"/>
          <w:w w:val="110"/>
        </w:rPr>
        <w:t xml:space="preserve">command, it takes one or more sets of artifact coordinates in the format of </w:t>
      </w:r>
      <w:proofErr w:type="gramStart"/>
      <w:r>
        <w:rPr>
          <w:rFonts w:ascii="MS Gothic"/>
          <w:color w:val="B02045"/>
          <w:w w:val="110"/>
        </w:rPr>
        <w:t>group:artifact</w:t>
      </w:r>
      <w:proofErr w:type="gramEnd"/>
      <w:r>
        <w:rPr>
          <w:rFonts w:ascii="MS Gothic"/>
          <w:color w:val="B02045"/>
          <w:w w:val="110"/>
        </w:rPr>
        <w:t>:version</w:t>
      </w:r>
      <w:r>
        <w:rPr>
          <w:color w:val="333333"/>
          <w:w w:val="110"/>
        </w:rPr>
        <w:t>, as shown in the following example:</w:t>
      </w:r>
    </w:p>
    <w:p w14:paraId="2807C084" w14:textId="77777777" w:rsidR="00A720EB" w:rsidRDefault="00E10349">
      <w:pPr>
        <w:pStyle w:val="a3"/>
        <w:spacing w:before="1"/>
        <w:rPr>
          <w:sz w:val="15"/>
        </w:rPr>
      </w:pPr>
      <w:r>
        <w:pict w14:anchorId="1C91CD9E">
          <v:group id="_x0000_s1712" style="position:absolute;margin-left:47.85pt;margin-top:10.85pt;width:499.55pt;height:37.5pt;z-index:-15136768;mso-wrap-distance-left:0;mso-wrap-distance-right:0;mso-position-horizontal-relative:page" coordorigin="957,217" coordsize="9991,750">
            <v:shape id="_x0000_s1715" style="position:absolute;left:964;top:224;width:9976;height:735" coordorigin="965,224" coordsize="9976,735" path="m10861,224r-9816,l1014,230r-26,18l971,273r-6,31l965,879r6,31l988,936r26,17l1045,959r9816,l10892,953r25,-17l10935,910r6,-31l10941,304r-6,-31l10917,248r-25,-18l10861,224xe" fillcolor="#f5f5f5" stroked="f">
              <v:path arrowok="t"/>
            </v:shape>
            <v:shape id="_x0000_s1714" style="position:absolute;left:964;top:224;width:9976;height:735" coordorigin="965,224" coordsize="9976,735" path="m1045,224r9816,l10892,230r25,18l10935,273r6,31l10941,879r-6,31l10917,936r-25,17l10861,959r-9816,l1014,953,988,936,971,910r-6,-31l965,304r6,-31l988,248r26,-18l1045,224xe" filled="f" strokecolor="#ccc">
              <v:path arrowok="t"/>
            </v:shape>
            <v:shape id="_x0000_s1713" type="#_x0000_t202" style="position:absolute;left:984;top:239;width:9938;height:704" filled="f" stroked="f">
              <v:textbox inset="0,0,0,0">
                <w:txbxContent>
                  <w:p w14:paraId="06B1AA78" w14:textId="77777777" w:rsidR="00711A16" w:rsidRDefault="00711A16">
                    <w:pPr>
                      <w:spacing w:before="221"/>
                      <w:ind w:left="200"/>
                      <w:rPr>
                        <w:rFonts w:ascii="MS Gothic"/>
                      </w:rPr>
                    </w:pPr>
                    <w:r>
                      <w:rPr>
                        <w:rFonts w:ascii="MS Gothic"/>
                        <w:color w:val="333333"/>
                      </w:rPr>
                      <w:t>$ spring uninstall com.</w:t>
                    </w:r>
                    <w:proofErr w:type="gramStart"/>
                    <w:r>
                      <w:rPr>
                        <w:rFonts w:ascii="MS Gothic"/>
                        <w:color w:val="333333"/>
                      </w:rPr>
                      <w:t>example:spring</w:t>
                    </w:r>
                    <w:proofErr w:type="gramEnd"/>
                    <w:r>
                      <w:rPr>
                        <w:rFonts w:ascii="MS Gothic"/>
                        <w:color w:val="333333"/>
                      </w:rPr>
                      <w:t>-boot-cli-extension:1.0.0.RELEASE</w:t>
                    </w:r>
                  </w:p>
                </w:txbxContent>
              </v:textbox>
            </v:shape>
            <w10:wrap type="topAndBottom" anchorx="page"/>
          </v:group>
        </w:pict>
      </w:r>
    </w:p>
    <w:p w14:paraId="4C7149F7" w14:textId="77777777" w:rsidR="00A720EB" w:rsidRDefault="00A720EB">
      <w:pPr>
        <w:pStyle w:val="a3"/>
        <w:rPr>
          <w:sz w:val="10"/>
        </w:rPr>
      </w:pPr>
    </w:p>
    <w:p w14:paraId="312F638B" w14:textId="77777777" w:rsidR="00A720EB" w:rsidRDefault="0030286B">
      <w:pPr>
        <w:pStyle w:val="a3"/>
        <w:spacing w:before="125"/>
        <w:ind w:left="124"/>
      </w:pPr>
      <w:r>
        <w:rPr>
          <w:color w:val="333333"/>
          <w:w w:val="110"/>
        </w:rPr>
        <w:t>It uninstalls the artifacts identified by the coordinates you supply and their dependencies.</w:t>
      </w:r>
    </w:p>
    <w:p w14:paraId="020AAB09" w14:textId="77777777" w:rsidR="00A720EB" w:rsidRDefault="00A720EB">
      <w:pPr>
        <w:pStyle w:val="a3"/>
        <w:spacing w:before="6"/>
        <w:rPr>
          <w:sz w:val="25"/>
        </w:rPr>
      </w:pPr>
    </w:p>
    <w:p w14:paraId="6E501C15" w14:textId="77777777" w:rsidR="00A720EB" w:rsidRDefault="0030286B">
      <w:pPr>
        <w:pStyle w:val="a3"/>
        <w:spacing w:line="290" w:lineRule="auto"/>
        <w:ind w:left="124"/>
      </w:pPr>
      <w:r>
        <w:rPr>
          <w:color w:val="333333"/>
          <w:w w:val="110"/>
        </w:rPr>
        <w:t xml:space="preserve">To uninstall all additional dependencies, you can use the </w:t>
      </w:r>
      <w:r>
        <w:rPr>
          <w:rFonts w:ascii="MS Gothic"/>
          <w:color w:val="B02045"/>
          <w:w w:val="110"/>
        </w:rPr>
        <w:t xml:space="preserve">--all </w:t>
      </w:r>
      <w:r>
        <w:rPr>
          <w:color w:val="333333"/>
          <w:w w:val="110"/>
        </w:rPr>
        <w:t>option, as shown in the following example:</w:t>
      </w:r>
    </w:p>
    <w:p w14:paraId="12524B18" w14:textId="77777777" w:rsidR="00A720EB" w:rsidRDefault="00E10349">
      <w:pPr>
        <w:pStyle w:val="a3"/>
        <w:spacing w:before="7"/>
        <w:rPr>
          <w:sz w:val="14"/>
        </w:rPr>
      </w:pPr>
      <w:r>
        <w:pict w14:anchorId="2089F497">
          <v:group id="_x0000_s1708" style="position:absolute;margin-left:47.85pt;margin-top:10.55pt;width:499.55pt;height:37.5pt;z-index:-15136256;mso-wrap-distance-left:0;mso-wrap-distance-right:0;mso-position-horizontal-relative:page" coordorigin="957,211" coordsize="9991,750">
            <v:shape id="_x0000_s1711" style="position:absolute;left:964;top:218;width:9976;height:735" coordorigin="965,219" coordsize="9976,735" path="m10861,219r-9816,l1014,225r-26,17l971,268r-6,31l965,874r6,31l988,930r26,17l1045,954r9816,l10892,947r25,-17l10935,905r6,-31l10941,299r-6,-31l10917,242r-25,-17l10861,219xe" fillcolor="#f5f5f5" stroked="f">
              <v:path arrowok="t"/>
            </v:shape>
            <v:shape id="_x0000_s1710" style="position:absolute;left:964;top:218;width:9976;height:735" coordorigin="965,219" coordsize="9976,735" path="m1045,219r9816,l10892,225r25,17l10935,268r6,31l10941,874r-6,31l10917,930r-25,17l10861,954r-9816,l1014,947,988,930,971,905r-6,-31l965,299r6,-31l988,242r26,-17l1045,219xe" filled="f" strokecolor="#ccc">
              <v:path arrowok="t"/>
            </v:shape>
            <v:shape id="_x0000_s1709" type="#_x0000_t202" style="position:absolute;left:984;top:234;width:9938;height:704" filled="f" stroked="f">
              <v:textbox inset="0,0,0,0">
                <w:txbxContent>
                  <w:p w14:paraId="4588AD34" w14:textId="77777777" w:rsidR="00711A16" w:rsidRDefault="00711A16">
                    <w:pPr>
                      <w:spacing w:before="221"/>
                      <w:ind w:left="200"/>
                      <w:rPr>
                        <w:rFonts w:ascii="MS Gothic"/>
                      </w:rPr>
                    </w:pPr>
                    <w:r>
                      <w:rPr>
                        <w:rFonts w:ascii="MS Gothic"/>
                        <w:color w:val="333333"/>
                      </w:rPr>
                      <w:t>$ spring uninstall --all</w:t>
                    </w:r>
                  </w:p>
                </w:txbxContent>
              </v:textbox>
            </v:shape>
            <w10:wrap type="topAndBottom" anchorx="page"/>
          </v:group>
        </w:pict>
      </w:r>
    </w:p>
    <w:p w14:paraId="7A178CB1" w14:textId="77777777" w:rsidR="00A720EB" w:rsidRDefault="00A720EB">
      <w:pPr>
        <w:pStyle w:val="a3"/>
        <w:spacing w:before="11"/>
        <w:rPr>
          <w:sz w:val="16"/>
        </w:rPr>
      </w:pPr>
    </w:p>
    <w:p w14:paraId="747D4C3F" w14:textId="77777777" w:rsidR="00A720EB" w:rsidRDefault="0030286B">
      <w:pPr>
        <w:pStyle w:val="2"/>
        <w:numPr>
          <w:ilvl w:val="1"/>
          <w:numId w:val="18"/>
        </w:numPr>
        <w:tabs>
          <w:tab w:val="left" w:pos="832"/>
        </w:tabs>
        <w:spacing w:before="107" w:line="242" w:lineRule="auto"/>
        <w:ind w:left="124" w:right="760" w:firstLine="0"/>
      </w:pPr>
      <w:bookmarkStart w:id="746" w:name="7.3._Developing_Applications_with_the_Gr"/>
      <w:bookmarkStart w:id="747" w:name="_Toc54423901"/>
      <w:bookmarkEnd w:id="746"/>
      <w:r>
        <w:rPr>
          <w:color w:val="333333"/>
          <w:w w:val="110"/>
        </w:rPr>
        <w:t>Developing</w:t>
      </w:r>
      <w:r>
        <w:rPr>
          <w:color w:val="333333"/>
          <w:spacing w:val="-38"/>
          <w:w w:val="110"/>
        </w:rPr>
        <w:t xml:space="preserve"> </w:t>
      </w:r>
      <w:r>
        <w:rPr>
          <w:color w:val="333333"/>
          <w:w w:val="110"/>
        </w:rPr>
        <w:t>Applications</w:t>
      </w:r>
      <w:r>
        <w:rPr>
          <w:color w:val="333333"/>
          <w:spacing w:val="-38"/>
          <w:w w:val="110"/>
        </w:rPr>
        <w:t xml:space="preserve"> </w:t>
      </w:r>
      <w:r>
        <w:rPr>
          <w:color w:val="333333"/>
          <w:w w:val="110"/>
        </w:rPr>
        <w:t>with</w:t>
      </w:r>
      <w:r>
        <w:rPr>
          <w:color w:val="333333"/>
          <w:spacing w:val="-38"/>
          <w:w w:val="110"/>
        </w:rPr>
        <w:t xml:space="preserve"> </w:t>
      </w:r>
      <w:r>
        <w:rPr>
          <w:color w:val="333333"/>
          <w:w w:val="110"/>
        </w:rPr>
        <w:t>the</w:t>
      </w:r>
      <w:r>
        <w:rPr>
          <w:color w:val="333333"/>
          <w:spacing w:val="-38"/>
          <w:w w:val="110"/>
        </w:rPr>
        <w:t xml:space="preserve"> </w:t>
      </w:r>
      <w:r>
        <w:rPr>
          <w:color w:val="333333"/>
          <w:w w:val="110"/>
        </w:rPr>
        <w:t>Groovy</w:t>
      </w:r>
      <w:r>
        <w:rPr>
          <w:color w:val="333333"/>
          <w:spacing w:val="-37"/>
          <w:w w:val="110"/>
        </w:rPr>
        <w:t xml:space="preserve"> </w:t>
      </w:r>
      <w:r>
        <w:rPr>
          <w:color w:val="333333"/>
          <w:w w:val="110"/>
        </w:rPr>
        <w:t>Beans DSL</w:t>
      </w:r>
      <w:bookmarkEnd w:id="747"/>
    </w:p>
    <w:p w14:paraId="05E30719" w14:textId="77777777" w:rsidR="00A720EB" w:rsidRDefault="0030286B">
      <w:pPr>
        <w:pStyle w:val="a3"/>
        <w:spacing w:before="237" w:line="302" w:lineRule="auto"/>
        <w:ind w:left="124" w:right="124"/>
        <w:jc w:val="both"/>
      </w:pPr>
      <w:r>
        <w:rPr>
          <w:color w:val="333333"/>
          <w:w w:val="110"/>
        </w:rPr>
        <w:t xml:space="preserve">Spring Framework 4.0 has native support for a </w:t>
      </w:r>
      <w:proofErr w:type="gramStart"/>
      <w:r>
        <w:rPr>
          <w:rFonts w:ascii="MS Gothic" w:hAnsi="MS Gothic"/>
          <w:color w:val="B02045"/>
          <w:w w:val="110"/>
        </w:rPr>
        <w:t>beans{</w:t>
      </w:r>
      <w:proofErr w:type="gramEnd"/>
      <w:r>
        <w:rPr>
          <w:rFonts w:ascii="MS Gothic" w:hAnsi="MS Gothic"/>
          <w:color w:val="B02045"/>
          <w:w w:val="110"/>
        </w:rPr>
        <w:t xml:space="preserve">} </w:t>
      </w:r>
      <w:r>
        <w:rPr>
          <w:color w:val="333333"/>
          <w:w w:val="110"/>
        </w:rPr>
        <w:t xml:space="preserve">“DSL” (borrowed from </w:t>
      </w:r>
      <w:hyperlink r:id="rId570">
        <w:r>
          <w:rPr>
            <w:color w:val="418BCA"/>
            <w:w w:val="110"/>
          </w:rPr>
          <w:t>Grails</w:t>
        </w:r>
      </w:hyperlink>
      <w:r>
        <w:rPr>
          <w:color w:val="333333"/>
          <w:w w:val="110"/>
        </w:rPr>
        <w:t>), and you can embed bean definitions in your Groovy application scripts by using the same format. This is sometimes a good way to include external features like middleware declarations, as shown in the following example:</w:t>
      </w:r>
    </w:p>
    <w:p w14:paraId="71940772" w14:textId="77777777" w:rsidR="00A720EB" w:rsidRDefault="00A720EB">
      <w:pPr>
        <w:spacing w:line="302" w:lineRule="auto"/>
        <w:jc w:val="both"/>
        <w:sectPr w:rsidR="00A720EB">
          <w:pgSz w:w="11910" w:h="16840"/>
          <w:pgMar w:top="700" w:right="840" w:bottom="520" w:left="840" w:header="0" w:footer="323" w:gutter="0"/>
          <w:cols w:space="720"/>
        </w:sectPr>
      </w:pPr>
    </w:p>
    <w:p w14:paraId="56EE978D" w14:textId="77777777" w:rsidR="00A720EB" w:rsidRDefault="00E10349">
      <w:pPr>
        <w:pStyle w:val="a3"/>
        <w:ind w:left="116"/>
        <w:rPr>
          <w:sz w:val="20"/>
        </w:rPr>
      </w:pPr>
      <w:r>
        <w:rPr>
          <w:sz w:val="20"/>
        </w:rPr>
      </w:r>
      <w:r>
        <w:rPr>
          <w:sz w:val="20"/>
        </w:rPr>
        <w:pict w14:anchorId="271973C6">
          <v:group id="_x0000_s1704" style="width:499.55pt;height:317.55pt;mso-position-horizontal-relative:char;mso-position-vertical-relative:line" coordsize="9991,6351">
            <v:shape id="_x0000_s1707" style="position:absolute;left:7;top:7;width:9976;height:6336" coordorigin="8,8" coordsize="9976,6336" path="m9904,8l88,8,56,14,31,31,14,56,8,88r,6176l14,6295r17,25l56,6337r32,7l9904,6344r31,-7l9960,6320r17,-25l9984,6264r,-6176l9977,56,9960,31,9935,14,9904,8xe" fillcolor="#f5f5f5" stroked="f">
              <v:path arrowok="t"/>
            </v:shape>
            <v:shape id="_x0000_s1706" style="position:absolute;left:7;top:7;width:9976;height:6336" coordorigin="8,8" coordsize="9976,6336" path="m88,8r9816,l9935,14r25,17l9977,56r7,32l9984,6264r-7,31l9960,6320r-25,17l9904,6344r-9816,l56,6337,31,6320,14,6295,8,6264,8,88,14,56,31,31,56,14,88,8xe" filled="f" strokecolor="#ccc">
              <v:path arrowok="t"/>
            </v:shape>
            <v:shape id="_x0000_s1705" type="#_x0000_t202" style="position:absolute;left:26;top:22;width:9938;height:6306" filled="f" stroked="f">
              <v:textbox inset="0,0,0,0">
                <w:txbxContent>
                  <w:p w14:paraId="1312373E"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w:t>
                    </w:r>
                  </w:p>
                  <w:p w14:paraId="3CDDF0D5" w14:textId="77777777" w:rsidR="00711A16" w:rsidRDefault="00711A16">
                    <w:pPr>
                      <w:spacing w:before="13"/>
                      <w:ind w:left="200"/>
                      <w:rPr>
                        <w:rFonts w:ascii="MS Gothic"/>
                      </w:rPr>
                    </w:pPr>
                    <w:r>
                      <w:rPr>
                        <w:rFonts w:ascii="MS Gothic"/>
                        <w:color w:val="333333"/>
                      </w:rPr>
                      <w:t>class Application implements CommandLineRunner {</w:t>
                    </w:r>
                  </w:p>
                  <w:p w14:paraId="296CF4C5" w14:textId="77777777" w:rsidR="00711A16" w:rsidRDefault="00711A16">
                    <w:pPr>
                      <w:rPr>
                        <w:rFonts w:ascii="MS Gothic"/>
                        <w:sz w:val="24"/>
                      </w:rPr>
                    </w:pPr>
                  </w:p>
                  <w:p w14:paraId="53F6F7CA" w14:textId="77777777" w:rsidR="00711A16" w:rsidRDefault="00711A16">
                    <w:pPr>
                      <w:spacing w:line="252" w:lineRule="auto"/>
                      <w:ind w:left="640" w:right="6968"/>
                      <w:rPr>
                        <w:rFonts w:ascii="MS Gothic"/>
                      </w:rPr>
                    </w:pPr>
                    <w:r>
                      <w:rPr>
                        <w:rFonts w:ascii="MS Gothic"/>
                        <w:color w:val="333333"/>
                      </w:rPr>
                      <w:t>@Autowired SharedService service</w:t>
                    </w:r>
                  </w:p>
                  <w:p w14:paraId="448CF280" w14:textId="77777777" w:rsidR="00711A16" w:rsidRDefault="00711A16">
                    <w:pPr>
                      <w:spacing w:before="10"/>
                      <w:rPr>
                        <w:rFonts w:ascii="MS Gothic"/>
                      </w:rPr>
                    </w:pPr>
                  </w:p>
                  <w:p w14:paraId="6E3FE47A" w14:textId="77777777" w:rsidR="00711A16" w:rsidRDefault="00711A16">
                    <w:pPr>
                      <w:ind w:left="640"/>
                      <w:rPr>
                        <w:rFonts w:ascii="MS Gothic"/>
                      </w:rPr>
                    </w:pPr>
                    <w:r>
                      <w:rPr>
                        <w:rFonts w:ascii="MS Gothic"/>
                        <w:color w:val="333333"/>
                      </w:rPr>
                      <w:t>@Override</w:t>
                    </w:r>
                  </w:p>
                  <w:p w14:paraId="242CFD34" w14:textId="77777777" w:rsidR="00711A16" w:rsidRDefault="00711A16">
                    <w:pPr>
                      <w:spacing w:before="13" w:line="252" w:lineRule="auto"/>
                      <w:ind w:left="1080" w:right="6308" w:hanging="440"/>
                      <w:rPr>
                        <w:rFonts w:ascii="MS Gothic"/>
                      </w:rPr>
                    </w:pPr>
                    <w:r>
                      <w:rPr>
                        <w:rFonts w:ascii="MS Gothic"/>
                        <w:color w:val="333333"/>
                      </w:rPr>
                      <w:t xml:space="preserve">void </w:t>
                    </w:r>
                    <w:proofErr w:type="gramStart"/>
                    <w:r>
                      <w:rPr>
                        <w:rFonts w:ascii="MS Gothic"/>
                        <w:color w:val="333333"/>
                      </w:rPr>
                      <w:t>run(</w:t>
                    </w:r>
                    <w:proofErr w:type="gramEnd"/>
                    <w:r>
                      <w:rPr>
                        <w:rFonts w:ascii="MS Gothic"/>
                        <w:color w:val="333333"/>
                      </w:rPr>
                      <w:t>String... args) { println service.message</w:t>
                    </w:r>
                  </w:p>
                  <w:p w14:paraId="6CFA887B" w14:textId="77777777" w:rsidR="00711A16" w:rsidRDefault="00711A16">
                    <w:pPr>
                      <w:spacing w:line="280" w:lineRule="exact"/>
                      <w:ind w:left="640"/>
                      <w:rPr>
                        <w:rFonts w:ascii="MS Gothic"/>
                      </w:rPr>
                    </w:pPr>
                    <w:r>
                      <w:rPr>
                        <w:rFonts w:ascii="MS Gothic"/>
                        <w:color w:val="333333"/>
                      </w:rPr>
                      <w:t>}</w:t>
                    </w:r>
                  </w:p>
                  <w:p w14:paraId="6252D9A8" w14:textId="77777777" w:rsidR="00711A16" w:rsidRDefault="00711A16">
                    <w:pPr>
                      <w:rPr>
                        <w:rFonts w:ascii="MS Gothic"/>
                        <w:sz w:val="24"/>
                      </w:rPr>
                    </w:pPr>
                  </w:p>
                  <w:p w14:paraId="1F74EF5B" w14:textId="77777777" w:rsidR="00711A16" w:rsidRDefault="00711A16">
                    <w:pPr>
                      <w:spacing w:before="1"/>
                      <w:ind w:left="200"/>
                      <w:rPr>
                        <w:rFonts w:ascii="MS Gothic"/>
                      </w:rPr>
                    </w:pPr>
                    <w:r>
                      <w:rPr>
                        <w:rFonts w:ascii="MS Gothic"/>
                        <w:color w:val="333333"/>
                      </w:rPr>
                      <w:t>}</w:t>
                    </w:r>
                  </w:p>
                  <w:p w14:paraId="640F2A0F" w14:textId="77777777" w:rsidR="00711A16" w:rsidRDefault="00711A16">
                    <w:pPr>
                      <w:spacing w:line="590" w:lineRule="atLeast"/>
                      <w:ind w:left="200" w:right="6308"/>
                      <w:rPr>
                        <w:rFonts w:ascii="MS Gothic"/>
                      </w:rPr>
                    </w:pPr>
                    <w:r>
                      <w:rPr>
                        <w:rFonts w:ascii="MS Gothic"/>
                        <w:color w:val="333333"/>
                      </w:rPr>
                      <w:t xml:space="preserve">import </w:t>
                    </w:r>
                    <w:proofErr w:type="gramStart"/>
                    <w:r>
                      <w:rPr>
                        <w:rFonts w:ascii="MS Gothic"/>
                        <w:color w:val="333333"/>
                      </w:rPr>
                      <w:t>my.company</w:t>
                    </w:r>
                    <w:proofErr w:type="gramEnd"/>
                    <w:r>
                      <w:rPr>
                        <w:rFonts w:ascii="MS Gothic"/>
                        <w:color w:val="333333"/>
                      </w:rPr>
                      <w:t>.SharedService beans {</w:t>
                    </w:r>
                  </w:p>
                  <w:p w14:paraId="34CD5D89" w14:textId="77777777" w:rsidR="00711A16" w:rsidRDefault="00711A16">
                    <w:pPr>
                      <w:spacing w:before="12" w:line="252" w:lineRule="auto"/>
                      <w:ind w:left="1080" w:right="6308" w:hanging="440"/>
                      <w:rPr>
                        <w:rFonts w:ascii="MS Gothic"/>
                      </w:rPr>
                    </w:pPr>
                    <w:proofErr w:type="gramStart"/>
                    <w:r>
                      <w:rPr>
                        <w:rFonts w:ascii="MS Gothic"/>
                        <w:color w:val="333333"/>
                      </w:rPr>
                      <w:t>service(</w:t>
                    </w:r>
                    <w:proofErr w:type="gramEnd"/>
                    <w:r>
                      <w:rPr>
                        <w:rFonts w:ascii="MS Gothic"/>
                        <w:color w:val="333333"/>
                      </w:rPr>
                      <w:t>SharedService) { message = "Hello World"</w:t>
                    </w:r>
                  </w:p>
                  <w:p w14:paraId="458A33AD" w14:textId="77777777" w:rsidR="00711A16" w:rsidRDefault="00711A16">
                    <w:pPr>
                      <w:spacing w:line="280" w:lineRule="exact"/>
                      <w:ind w:left="640"/>
                      <w:rPr>
                        <w:rFonts w:ascii="MS Gothic"/>
                      </w:rPr>
                    </w:pPr>
                    <w:r>
                      <w:rPr>
                        <w:rFonts w:ascii="MS Gothic"/>
                        <w:color w:val="333333"/>
                      </w:rPr>
                      <w:t>}</w:t>
                    </w:r>
                  </w:p>
                  <w:p w14:paraId="61ED44B2" w14:textId="77777777" w:rsidR="00711A16" w:rsidRDefault="00711A16">
                    <w:pPr>
                      <w:spacing w:before="13"/>
                      <w:ind w:left="200"/>
                      <w:rPr>
                        <w:rFonts w:ascii="MS Gothic"/>
                      </w:rPr>
                    </w:pPr>
                    <w:r>
                      <w:rPr>
                        <w:rFonts w:ascii="MS Gothic"/>
                        <w:color w:val="333333"/>
                      </w:rPr>
                      <w:t>}</w:t>
                    </w:r>
                  </w:p>
                </w:txbxContent>
              </v:textbox>
            </v:shape>
            <w10:anchorlock/>
          </v:group>
        </w:pict>
      </w:r>
    </w:p>
    <w:p w14:paraId="1A38CEDF" w14:textId="77777777" w:rsidR="00A720EB" w:rsidRDefault="00A720EB">
      <w:pPr>
        <w:pStyle w:val="a3"/>
        <w:spacing w:before="6"/>
        <w:rPr>
          <w:sz w:val="9"/>
        </w:rPr>
      </w:pPr>
    </w:p>
    <w:p w14:paraId="106501E7" w14:textId="77777777" w:rsidR="00A720EB" w:rsidRDefault="0030286B">
      <w:pPr>
        <w:pStyle w:val="a3"/>
        <w:spacing w:before="116" w:line="290" w:lineRule="auto"/>
        <w:ind w:left="124" w:right="124"/>
        <w:jc w:val="both"/>
      </w:pPr>
      <w:r>
        <w:rPr>
          <w:color w:val="333333"/>
          <w:spacing w:val="-6"/>
          <w:w w:val="110"/>
        </w:rPr>
        <w:t xml:space="preserve">You </w:t>
      </w:r>
      <w:r>
        <w:rPr>
          <w:color w:val="333333"/>
          <w:w w:val="110"/>
        </w:rPr>
        <w:t xml:space="preserve">can mix class declarations with </w:t>
      </w:r>
      <w:proofErr w:type="gramStart"/>
      <w:r>
        <w:rPr>
          <w:rFonts w:ascii="MS Gothic"/>
          <w:color w:val="B02045"/>
          <w:w w:val="110"/>
        </w:rPr>
        <w:t>beans{</w:t>
      </w:r>
      <w:proofErr w:type="gramEnd"/>
      <w:r>
        <w:rPr>
          <w:rFonts w:ascii="MS Gothic"/>
          <w:color w:val="B02045"/>
          <w:w w:val="110"/>
        </w:rPr>
        <w:t xml:space="preserve">} </w:t>
      </w:r>
      <w:r>
        <w:rPr>
          <w:color w:val="333333"/>
          <w:w w:val="110"/>
        </w:rPr>
        <w:t>in the same file as long as they stay at the top level, or,  if you prefer, you can put the beans DSL in a separate</w:t>
      </w:r>
      <w:r>
        <w:rPr>
          <w:color w:val="333333"/>
          <w:spacing w:val="41"/>
          <w:w w:val="110"/>
        </w:rPr>
        <w:t xml:space="preserve"> </w:t>
      </w:r>
      <w:r>
        <w:rPr>
          <w:color w:val="333333"/>
          <w:w w:val="110"/>
        </w:rPr>
        <w:t>file.</w:t>
      </w:r>
    </w:p>
    <w:p w14:paraId="0E06B9F0" w14:textId="77777777" w:rsidR="00A720EB" w:rsidRDefault="00A720EB">
      <w:pPr>
        <w:pStyle w:val="a3"/>
        <w:spacing w:before="4"/>
        <w:rPr>
          <w:sz w:val="27"/>
        </w:rPr>
      </w:pPr>
    </w:p>
    <w:p w14:paraId="3317D673" w14:textId="77777777" w:rsidR="00A720EB" w:rsidRDefault="0030286B">
      <w:pPr>
        <w:pStyle w:val="2"/>
        <w:numPr>
          <w:ilvl w:val="1"/>
          <w:numId w:val="18"/>
        </w:numPr>
        <w:tabs>
          <w:tab w:val="left" w:pos="832"/>
        </w:tabs>
      </w:pPr>
      <w:bookmarkStart w:id="748" w:name="7.4._Configuring_the_CLI_with_settings.x"/>
      <w:bookmarkStart w:id="749" w:name="_Toc54423902"/>
      <w:bookmarkEnd w:id="748"/>
      <w:r>
        <w:rPr>
          <w:color w:val="333333"/>
          <w:w w:val="110"/>
        </w:rPr>
        <w:t>Configuring the CLI with</w:t>
      </w:r>
      <w:r>
        <w:rPr>
          <w:color w:val="333333"/>
          <w:spacing w:val="-42"/>
          <w:w w:val="110"/>
        </w:rPr>
        <w:t xml:space="preserve"> </w:t>
      </w:r>
      <w:r>
        <w:rPr>
          <w:color w:val="333333"/>
          <w:w w:val="110"/>
        </w:rPr>
        <w:t>settings.xml</w:t>
      </w:r>
      <w:bookmarkEnd w:id="749"/>
    </w:p>
    <w:p w14:paraId="348ABE56" w14:textId="77777777" w:rsidR="00A720EB" w:rsidRDefault="0030286B">
      <w:pPr>
        <w:pStyle w:val="a3"/>
        <w:spacing w:before="253" w:line="295" w:lineRule="auto"/>
        <w:ind w:left="124" w:right="123"/>
        <w:jc w:val="both"/>
      </w:pPr>
      <w:r>
        <w:rPr>
          <w:color w:val="333333"/>
          <w:w w:val="110"/>
        </w:rPr>
        <w:t xml:space="preserve">The Spring Boot CLI uses Aether, Maven’s dependency resolution engine, to resolve dependencies. The CLI makes use of the Maven configuration found in </w:t>
      </w:r>
      <w:r>
        <w:rPr>
          <w:rFonts w:ascii="MS Gothic" w:hAnsi="MS Gothic"/>
          <w:color w:val="B02045"/>
          <w:w w:val="110"/>
        </w:rPr>
        <w:t>~/.m2/settings.xml</w:t>
      </w:r>
      <w:r>
        <w:rPr>
          <w:rFonts w:ascii="MS Gothic" w:hAnsi="MS Gothic"/>
          <w:color w:val="B02045"/>
          <w:spacing w:val="-68"/>
          <w:w w:val="110"/>
        </w:rPr>
        <w:t xml:space="preserve"> </w:t>
      </w:r>
      <w:r>
        <w:rPr>
          <w:color w:val="333333"/>
          <w:w w:val="110"/>
        </w:rPr>
        <w:t xml:space="preserve">to configure Aether. The following configuration settings are honored </w:t>
      </w:r>
      <w:r>
        <w:rPr>
          <w:color w:val="333333"/>
          <w:spacing w:val="-3"/>
          <w:w w:val="110"/>
        </w:rPr>
        <w:t xml:space="preserve">by </w:t>
      </w:r>
      <w:r>
        <w:rPr>
          <w:color w:val="333333"/>
          <w:w w:val="110"/>
        </w:rPr>
        <w:t>the CLI:</w:t>
      </w:r>
    </w:p>
    <w:p w14:paraId="49B4CACC" w14:textId="77777777" w:rsidR="00A720EB" w:rsidRDefault="0030286B">
      <w:pPr>
        <w:pStyle w:val="a6"/>
        <w:numPr>
          <w:ilvl w:val="0"/>
          <w:numId w:val="17"/>
        </w:numPr>
        <w:tabs>
          <w:tab w:val="left" w:pos="485"/>
        </w:tabs>
        <w:spacing w:before="250"/>
        <w:rPr>
          <w:sz w:val="21"/>
        </w:rPr>
      </w:pPr>
      <w:r>
        <w:rPr>
          <w:color w:val="333333"/>
          <w:w w:val="115"/>
          <w:sz w:val="21"/>
        </w:rPr>
        <w:t>Offline</w:t>
      </w:r>
    </w:p>
    <w:p w14:paraId="37D4E0FB" w14:textId="77777777" w:rsidR="00A720EB" w:rsidRDefault="0030286B">
      <w:pPr>
        <w:pStyle w:val="a6"/>
        <w:numPr>
          <w:ilvl w:val="0"/>
          <w:numId w:val="17"/>
        </w:numPr>
        <w:tabs>
          <w:tab w:val="left" w:pos="485"/>
        </w:tabs>
        <w:spacing w:before="190"/>
        <w:rPr>
          <w:sz w:val="21"/>
        </w:rPr>
      </w:pPr>
      <w:r>
        <w:rPr>
          <w:color w:val="333333"/>
          <w:w w:val="110"/>
          <w:sz w:val="21"/>
        </w:rPr>
        <w:t>Mirrors</w:t>
      </w:r>
    </w:p>
    <w:p w14:paraId="7CC7D419" w14:textId="77777777" w:rsidR="00A720EB" w:rsidRDefault="0030286B">
      <w:pPr>
        <w:pStyle w:val="a6"/>
        <w:numPr>
          <w:ilvl w:val="0"/>
          <w:numId w:val="17"/>
        </w:numPr>
        <w:tabs>
          <w:tab w:val="left" w:pos="485"/>
        </w:tabs>
        <w:spacing w:before="189"/>
        <w:rPr>
          <w:sz w:val="21"/>
        </w:rPr>
      </w:pPr>
      <w:r>
        <w:rPr>
          <w:color w:val="333333"/>
          <w:w w:val="110"/>
          <w:sz w:val="21"/>
        </w:rPr>
        <w:t>Servers</w:t>
      </w:r>
    </w:p>
    <w:p w14:paraId="1920B7E6" w14:textId="77777777" w:rsidR="00A720EB" w:rsidRDefault="0030286B">
      <w:pPr>
        <w:pStyle w:val="a6"/>
        <w:numPr>
          <w:ilvl w:val="0"/>
          <w:numId w:val="17"/>
        </w:numPr>
        <w:tabs>
          <w:tab w:val="left" w:pos="485"/>
        </w:tabs>
        <w:spacing w:before="190"/>
        <w:rPr>
          <w:sz w:val="21"/>
        </w:rPr>
      </w:pPr>
      <w:r>
        <w:rPr>
          <w:color w:val="333333"/>
          <w:w w:val="110"/>
          <w:sz w:val="21"/>
        </w:rPr>
        <w:t>Proxies</w:t>
      </w:r>
    </w:p>
    <w:p w14:paraId="173BACED" w14:textId="77777777" w:rsidR="00A720EB" w:rsidRDefault="0030286B">
      <w:pPr>
        <w:pStyle w:val="a6"/>
        <w:numPr>
          <w:ilvl w:val="0"/>
          <w:numId w:val="17"/>
        </w:numPr>
        <w:tabs>
          <w:tab w:val="left" w:pos="485"/>
        </w:tabs>
        <w:spacing w:before="189"/>
        <w:rPr>
          <w:sz w:val="21"/>
        </w:rPr>
      </w:pPr>
      <w:r>
        <w:rPr>
          <w:color w:val="333333"/>
          <w:w w:val="110"/>
          <w:sz w:val="21"/>
        </w:rPr>
        <w:t>Profiles</w:t>
      </w:r>
    </w:p>
    <w:p w14:paraId="6765C6AE" w14:textId="77777777" w:rsidR="00A720EB" w:rsidRDefault="0030286B">
      <w:pPr>
        <w:pStyle w:val="a6"/>
        <w:numPr>
          <w:ilvl w:val="1"/>
          <w:numId w:val="17"/>
        </w:numPr>
        <w:tabs>
          <w:tab w:val="left" w:pos="845"/>
        </w:tabs>
        <w:spacing w:before="189"/>
        <w:rPr>
          <w:sz w:val="21"/>
        </w:rPr>
      </w:pPr>
      <w:r>
        <w:rPr>
          <w:color w:val="333333"/>
          <w:w w:val="110"/>
          <w:sz w:val="21"/>
        </w:rPr>
        <w:t>Activation</w:t>
      </w:r>
    </w:p>
    <w:p w14:paraId="4683DF19" w14:textId="77777777" w:rsidR="00A720EB" w:rsidRDefault="0030286B">
      <w:pPr>
        <w:pStyle w:val="a6"/>
        <w:numPr>
          <w:ilvl w:val="1"/>
          <w:numId w:val="17"/>
        </w:numPr>
        <w:tabs>
          <w:tab w:val="left" w:pos="845"/>
        </w:tabs>
        <w:spacing w:before="190"/>
        <w:rPr>
          <w:sz w:val="21"/>
        </w:rPr>
      </w:pPr>
      <w:r>
        <w:rPr>
          <w:color w:val="333333"/>
          <w:w w:val="110"/>
          <w:sz w:val="21"/>
        </w:rPr>
        <w:t>Repositories</w:t>
      </w:r>
    </w:p>
    <w:p w14:paraId="4C128C69" w14:textId="77777777" w:rsidR="00A720EB" w:rsidRDefault="0030286B">
      <w:pPr>
        <w:pStyle w:val="a6"/>
        <w:numPr>
          <w:ilvl w:val="0"/>
          <w:numId w:val="17"/>
        </w:numPr>
        <w:tabs>
          <w:tab w:val="left" w:pos="485"/>
        </w:tabs>
        <w:spacing w:before="189"/>
        <w:rPr>
          <w:sz w:val="21"/>
        </w:rPr>
      </w:pPr>
      <w:r>
        <w:rPr>
          <w:color w:val="333333"/>
          <w:w w:val="110"/>
          <w:sz w:val="21"/>
        </w:rPr>
        <w:t>Active</w:t>
      </w:r>
      <w:r>
        <w:rPr>
          <w:color w:val="333333"/>
          <w:spacing w:val="3"/>
          <w:w w:val="110"/>
          <w:sz w:val="21"/>
        </w:rPr>
        <w:t xml:space="preserve"> </w:t>
      </w:r>
      <w:r>
        <w:rPr>
          <w:color w:val="333333"/>
          <w:w w:val="110"/>
          <w:sz w:val="21"/>
        </w:rPr>
        <w:t>profiles</w:t>
      </w:r>
    </w:p>
    <w:p w14:paraId="7EA1792C" w14:textId="77777777" w:rsidR="00A720EB" w:rsidRDefault="00A720EB">
      <w:pPr>
        <w:pStyle w:val="a3"/>
        <w:spacing w:before="5"/>
        <w:rPr>
          <w:sz w:val="26"/>
        </w:rPr>
      </w:pPr>
    </w:p>
    <w:p w14:paraId="13B295CE" w14:textId="77777777" w:rsidR="00A720EB" w:rsidRDefault="0030286B">
      <w:pPr>
        <w:pStyle w:val="a3"/>
        <w:ind w:left="124"/>
        <w:jc w:val="both"/>
      </w:pPr>
      <w:r>
        <w:rPr>
          <w:color w:val="333333"/>
          <w:w w:val="110"/>
        </w:rPr>
        <w:t xml:space="preserve">See </w:t>
      </w:r>
      <w:hyperlink r:id="rId571">
        <w:r>
          <w:rPr>
            <w:color w:val="418BCA"/>
            <w:w w:val="110"/>
          </w:rPr>
          <w:t xml:space="preserve">Maven’s settings documentation </w:t>
        </w:r>
      </w:hyperlink>
      <w:r>
        <w:rPr>
          <w:color w:val="333333"/>
          <w:w w:val="110"/>
        </w:rPr>
        <w:t>for further information.</w:t>
      </w:r>
    </w:p>
    <w:p w14:paraId="4529CD63" w14:textId="77777777" w:rsidR="00A720EB" w:rsidRDefault="00A720EB">
      <w:pPr>
        <w:pStyle w:val="a3"/>
        <w:spacing w:before="8"/>
        <w:rPr>
          <w:sz w:val="31"/>
        </w:rPr>
      </w:pPr>
    </w:p>
    <w:p w14:paraId="6FB928BA" w14:textId="77777777" w:rsidR="00A720EB" w:rsidRDefault="0030286B">
      <w:pPr>
        <w:pStyle w:val="2"/>
        <w:numPr>
          <w:ilvl w:val="1"/>
          <w:numId w:val="18"/>
        </w:numPr>
        <w:tabs>
          <w:tab w:val="left" w:pos="832"/>
        </w:tabs>
        <w:spacing w:before="1"/>
      </w:pPr>
      <w:bookmarkStart w:id="750" w:name="7.5._What_to_Read_Next"/>
      <w:bookmarkStart w:id="751" w:name="_Toc54423903"/>
      <w:bookmarkEnd w:id="750"/>
      <w:r>
        <w:rPr>
          <w:color w:val="333333"/>
          <w:w w:val="110"/>
        </w:rPr>
        <w:t>What to Read</w:t>
      </w:r>
      <w:r>
        <w:rPr>
          <w:color w:val="333333"/>
          <w:spacing w:val="-20"/>
          <w:w w:val="110"/>
        </w:rPr>
        <w:t xml:space="preserve"> </w:t>
      </w:r>
      <w:r>
        <w:rPr>
          <w:color w:val="333333"/>
          <w:w w:val="110"/>
        </w:rPr>
        <w:t>Next</w:t>
      </w:r>
      <w:bookmarkEnd w:id="751"/>
    </w:p>
    <w:p w14:paraId="2D5C58A3" w14:textId="77777777" w:rsidR="00A720EB" w:rsidRDefault="0030286B">
      <w:pPr>
        <w:pStyle w:val="a3"/>
        <w:spacing w:before="253" w:line="307" w:lineRule="auto"/>
        <w:ind w:left="124" w:right="127"/>
        <w:jc w:val="both"/>
      </w:pPr>
      <w:r>
        <w:rPr>
          <w:color w:val="333333"/>
          <w:w w:val="110"/>
        </w:rPr>
        <w:t xml:space="preserve">There are some </w:t>
      </w:r>
      <w:hyperlink r:id="rId572">
        <w:r>
          <w:rPr>
            <w:color w:val="418BCA"/>
            <w:w w:val="110"/>
          </w:rPr>
          <w:t xml:space="preserve">sample groovy scripts </w:t>
        </w:r>
      </w:hyperlink>
      <w:r>
        <w:rPr>
          <w:color w:val="333333"/>
          <w:w w:val="110"/>
        </w:rPr>
        <w:t xml:space="preserve">available from the GitHub repository that you can use to try out the Spring Boot CLI. There is also extensive Javadoc throughout the </w:t>
      </w:r>
      <w:hyperlink r:id="rId573">
        <w:r>
          <w:rPr>
            <w:color w:val="418BCA"/>
            <w:w w:val="110"/>
          </w:rPr>
          <w:t>source code</w:t>
        </w:r>
      </w:hyperlink>
      <w:r>
        <w:rPr>
          <w:color w:val="333333"/>
          <w:w w:val="110"/>
        </w:rPr>
        <w:t>.</w:t>
      </w:r>
    </w:p>
    <w:p w14:paraId="4AC142CD" w14:textId="77777777" w:rsidR="00A720EB" w:rsidRDefault="00A720EB">
      <w:pPr>
        <w:spacing w:line="307" w:lineRule="auto"/>
        <w:jc w:val="both"/>
        <w:sectPr w:rsidR="00A720EB">
          <w:pgSz w:w="11910" w:h="16840"/>
          <w:pgMar w:top="700" w:right="840" w:bottom="520" w:left="840" w:header="0" w:footer="323" w:gutter="0"/>
          <w:cols w:space="720"/>
        </w:sectPr>
      </w:pPr>
    </w:p>
    <w:p w14:paraId="732C874A" w14:textId="77777777" w:rsidR="00A720EB" w:rsidRDefault="0030286B">
      <w:pPr>
        <w:pStyle w:val="a3"/>
        <w:spacing w:before="102" w:line="307" w:lineRule="auto"/>
        <w:ind w:left="124" w:right="128"/>
        <w:jc w:val="both"/>
      </w:pPr>
      <w:r>
        <w:rPr>
          <w:color w:val="333333"/>
          <w:w w:val="110"/>
        </w:rPr>
        <w:lastRenderedPageBreak/>
        <w:t xml:space="preserve">If you find that you reach the limit of the CLI tool, you probably want to look at converting your application to a full Gradle or Maven built “Groovy project”. The next section covers Spring </w:t>
      </w:r>
      <w:proofErr w:type="gramStart"/>
      <w:r>
        <w:rPr>
          <w:color w:val="333333"/>
          <w:w w:val="110"/>
        </w:rPr>
        <w:t>Boot’s  "</w:t>
      </w:r>
      <w:proofErr w:type="gramEnd"/>
      <w:r w:rsidR="00E35E96">
        <w:fldChar w:fldCharType="begin"/>
      </w:r>
      <w:r w:rsidR="00E35E96">
        <w:instrText xml:space="preserve"> HYPERLINK \l "_bookmark510" </w:instrText>
      </w:r>
      <w:r w:rsidR="00E35E96">
        <w:fldChar w:fldCharType="separate"/>
      </w:r>
      <w:r>
        <w:rPr>
          <w:color w:val="418BCA"/>
          <w:w w:val="110"/>
        </w:rPr>
        <w:t>Build tool plugins</w:t>
      </w:r>
      <w:r w:rsidR="00E35E96">
        <w:rPr>
          <w:color w:val="418BCA"/>
          <w:w w:val="110"/>
        </w:rPr>
        <w:fldChar w:fldCharType="end"/>
      </w:r>
      <w:r>
        <w:rPr>
          <w:color w:val="333333"/>
          <w:w w:val="110"/>
        </w:rPr>
        <w:t>", which you can use with Gradle or Maven.</w:t>
      </w:r>
    </w:p>
    <w:p w14:paraId="0E4F1367" w14:textId="77777777" w:rsidR="00A720EB" w:rsidRDefault="00A720EB">
      <w:pPr>
        <w:spacing w:line="307" w:lineRule="auto"/>
        <w:jc w:val="both"/>
        <w:sectPr w:rsidR="00A720EB">
          <w:pgSz w:w="11910" w:h="16840"/>
          <w:pgMar w:top="640" w:right="840" w:bottom="520" w:left="840" w:header="0" w:footer="323" w:gutter="0"/>
          <w:cols w:space="720"/>
        </w:sectPr>
      </w:pPr>
    </w:p>
    <w:p w14:paraId="0AA81117" w14:textId="77777777" w:rsidR="00A720EB" w:rsidRDefault="0030286B">
      <w:pPr>
        <w:spacing w:before="90"/>
        <w:ind w:left="124"/>
        <w:jc w:val="both"/>
        <w:rPr>
          <w:rFonts w:ascii="Palatino Linotype"/>
          <w:b/>
          <w:sz w:val="44"/>
        </w:rPr>
      </w:pPr>
      <w:bookmarkStart w:id="752" w:name="Chapter_8._Build_Tool_Plugins"/>
      <w:bookmarkEnd w:id="752"/>
      <w:r>
        <w:rPr>
          <w:rFonts w:ascii="Palatino Linotype"/>
          <w:b/>
          <w:color w:val="333333"/>
          <w:w w:val="110"/>
          <w:sz w:val="44"/>
        </w:rPr>
        <w:lastRenderedPageBreak/>
        <w:t>Chapter 8. Build Tool Plugins</w:t>
      </w:r>
    </w:p>
    <w:p w14:paraId="6CA45B72" w14:textId="77777777" w:rsidR="00A720EB" w:rsidRDefault="0030286B">
      <w:pPr>
        <w:pStyle w:val="a3"/>
        <w:spacing w:before="252" w:line="307" w:lineRule="auto"/>
        <w:ind w:left="124" w:right="122"/>
        <w:jc w:val="both"/>
      </w:pPr>
      <w:r>
        <w:rPr>
          <w:color w:val="333333"/>
          <w:w w:val="110"/>
        </w:rPr>
        <w:t xml:space="preserve">Spring Boot provides build tool plugins for Maven and Gradle. The plugins offer </w:t>
      </w:r>
      <w:proofErr w:type="gramStart"/>
      <w:r>
        <w:rPr>
          <w:color w:val="333333"/>
          <w:w w:val="110"/>
        </w:rPr>
        <w:t>a  variety</w:t>
      </w:r>
      <w:proofErr w:type="gramEnd"/>
      <w:r>
        <w:rPr>
          <w:color w:val="333333"/>
          <w:w w:val="110"/>
        </w:rPr>
        <w:t xml:space="preserve">  of  features, including the packaging of executable jars. This section provides more details on both plugins as well as some help should you need to extend an unsupported build system. If you are   </w:t>
      </w:r>
      <w:r>
        <w:rPr>
          <w:color w:val="333333"/>
          <w:spacing w:val="50"/>
          <w:w w:val="110"/>
        </w:rPr>
        <w:t xml:space="preserve"> </w:t>
      </w:r>
      <w:r>
        <w:rPr>
          <w:color w:val="333333"/>
          <w:w w:val="110"/>
        </w:rPr>
        <w:t>just getting started, you might want to read “</w:t>
      </w:r>
      <w:hyperlink w:anchor="_bookmark37" w:history="1">
        <w:r>
          <w:rPr>
            <w:color w:val="418BCA"/>
            <w:w w:val="110"/>
          </w:rPr>
          <w:t>Build Systems</w:t>
        </w:r>
      </w:hyperlink>
      <w:r>
        <w:rPr>
          <w:color w:val="333333"/>
          <w:w w:val="110"/>
        </w:rPr>
        <w:t>” from the “</w:t>
      </w:r>
      <w:hyperlink w:anchor="_bookmark36" w:history="1">
        <w:r>
          <w:rPr>
            <w:color w:val="418BCA"/>
            <w:w w:val="110"/>
          </w:rPr>
          <w:t>Using Spring Boot</w:t>
        </w:r>
      </w:hyperlink>
      <w:r>
        <w:rPr>
          <w:color w:val="333333"/>
          <w:w w:val="110"/>
        </w:rPr>
        <w:t>” section first.</w:t>
      </w:r>
    </w:p>
    <w:p w14:paraId="7855182D" w14:textId="77777777" w:rsidR="00A720EB" w:rsidRDefault="00A720EB">
      <w:pPr>
        <w:pStyle w:val="a3"/>
        <w:spacing w:before="1"/>
        <w:rPr>
          <w:sz w:val="26"/>
        </w:rPr>
      </w:pPr>
    </w:p>
    <w:p w14:paraId="738D689C" w14:textId="77777777" w:rsidR="00A720EB" w:rsidRDefault="0030286B">
      <w:pPr>
        <w:pStyle w:val="2"/>
        <w:numPr>
          <w:ilvl w:val="1"/>
          <w:numId w:val="16"/>
        </w:numPr>
        <w:tabs>
          <w:tab w:val="left" w:pos="832"/>
        </w:tabs>
      </w:pPr>
      <w:bookmarkStart w:id="753" w:name="8.1._Spring_Boot_Maven_Plugin"/>
      <w:bookmarkStart w:id="754" w:name="_Toc54423904"/>
      <w:bookmarkEnd w:id="753"/>
      <w:r>
        <w:rPr>
          <w:color w:val="333333"/>
          <w:w w:val="105"/>
        </w:rPr>
        <w:t>Spring Boot Maven</w:t>
      </w:r>
      <w:r>
        <w:rPr>
          <w:color w:val="333333"/>
          <w:spacing w:val="-3"/>
          <w:w w:val="105"/>
        </w:rPr>
        <w:t xml:space="preserve"> </w:t>
      </w:r>
      <w:r>
        <w:rPr>
          <w:color w:val="333333"/>
          <w:w w:val="105"/>
        </w:rPr>
        <w:t>Plugin</w:t>
      </w:r>
      <w:bookmarkEnd w:id="754"/>
    </w:p>
    <w:p w14:paraId="12F32907" w14:textId="77777777" w:rsidR="00A720EB" w:rsidRDefault="0030286B">
      <w:pPr>
        <w:pStyle w:val="a3"/>
        <w:spacing w:before="253" w:line="307" w:lineRule="auto"/>
        <w:ind w:left="124" w:right="135"/>
        <w:jc w:val="both"/>
      </w:pPr>
      <w:r>
        <w:rPr>
          <w:color w:val="333333"/>
          <w:w w:val="110"/>
        </w:rPr>
        <w:t xml:space="preserve">The Spring Boot Maven Plugin provides Spring Boot support in Maven, letting you </w:t>
      </w:r>
      <w:proofErr w:type="gramStart"/>
      <w:r>
        <w:rPr>
          <w:color w:val="333333"/>
          <w:w w:val="110"/>
        </w:rPr>
        <w:t>package  executable</w:t>
      </w:r>
      <w:proofErr w:type="gramEnd"/>
      <w:r>
        <w:rPr>
          <w:color w:val="333333"/>
          <w:w w:val="110"/>
        </w:rPr>
        <w:t xml:space="preserve"> jar or war archives and run an application “in-place”. </w:t>
      </w:r>
      <w:r>
        <w:rPr>
          <w:color w:val="333333"/>
          <w:spacing w:val="-4"/>
          <w:w w:val="110"/>
        </w:rPr>
        <w:t xml:space="preserve">To </w:t>
      </w:r>
      <w:r>
        <w:rPr>
          <w:color w:val="333333"/>
          <w:w w:val="110"/>
        </w:rPr>
        <w:t>use it, you must use Maven 3.2 (or</w:t>
      </w:r>
      <w:r>
        <w:rPr>
          <w:color w:val="333333"/>
          <w:spacing w:val="3"/>
          <w:w w:val="110"/>
        </w:rPr>
        <w:t xml:space="preserve"> </w:t>
      </w:r>
      <w:r>
        <w:rPr>
          <w:color w:val="333333"/>
          <w:w w:val="110"/>
        </w:rPr>
        <w:t>later).</w:t>
      </w:r>
    </w:p>
    <w:p w14:paraId="1579AADE" w14:textId="77777777" w:rsidR="00A720EB" w:rsidRDefault="0030286B">
      <w:pPr>
        <w:pStyle w:val="a3"/>
        <w:spacing w:before="241"/>
        <w:ind w:left="124"/>
        <w:jc w:val="both"/>
      </w:pPr>
      <w:r>
        <w:rPr>
          <w:color w:val="333333"/>
          <w:w w:val="110"/>
        </w:rPr>
        <w:t>Please refer to the plugin’s documentation to learn more:</w:t>
      </w:r>
    </w:p>
    <w:p w14:paraId="779CB866" w14:textId="77777777" w:rsidR="00A720EB" w:rsidRDefault="00A720EB">
      <w:pPr>
        <w:pStyle w:val="a3"/>
        <w:spacing w:before="5"/>
        <w:rPr>
          <w:sz w:val="26"/>
        </w:rPr>
      </w:pPr>
    </w:p>
    <w:p w14:paraId="525B1245" w14:textId="77777777" w:rsidR="00A720EB" w:rsidRDefault="0030286B">
      <w:pPr>
        <w:pStyle w:val="a6"/>
        <w:numPr>
          <w:ilvl w:val="2"/>
          <w:numId w:val="16"/>
        </w:numPr>
        <w:tabs>
          <w:tab w:val="left" w:pos="485"/>
        </w:tabs>
        <w:rPr>
          <w:sz w:val="21"/>
        </w:rPr>
      </w:pPr>
      <w:r>
        <w:rPr>
          <w:color w:val="333333"/>
          <w:w w:val="110"/>
          <w:sz w:val="21"/>
        </w:rPr>
        <w:t>Reference (</w:t>
      </w:r>
      <w:hyperlink r:id="rId574">
        <w:r>
          <w:rPr>
            <w:color w:val="418BCA"/>
            <w:w w:val="110"/>
            <w:sz w:val="21"/>
          </w:rPr>
          <w:t xml:space="preserve">HTML </w:t>
        </w:r>
      </w:hyperlink>
      <w:r>
        <w:rPr>
          <w:color w:val="333333"/>
          <w:w w:val="110"/>
          <w:sz w:val="21"/>
        </w:rPr>
        <w:t>and</w:t>
      </w:r>
      <w:r>
        <w:rPr>
          <w:color w:val="333333"/>
          <w:spacing w:val="8"/>
          <w:w w:val="110"/>
          <w:sz w:val="21"/>
        </w:rPr>
        <w:t xml:space="preserve"> </w:t>
      </w:r>
      <w:hyperlink r:id="rId575">
        <w:r>
          <w:rPr>
            <w:color w:val="418BCA"/>
            <w:w w:val="110"/>
            <w:sz w:val="21"/>
          </w:rPr>
          <w:t>PDF</w:t>
        </w:r>
      </w:hyperlink>
      <w:r>
        <w:rPr>
          <w:color w:val="333333"/>
          <w:w w:val="110"/>
          <w:sz w:val="21"/>
        </w:rPr>
        <w:t>)</w:t>
      </w:r>
    </w:p>
    <w:p w14:paraId="0AD8CC98" w14:textId="77777777" w:rsidR="00A720EB" w:rsidRDefault="00E10349">
      <w:pPr>
        <w:pStyle w:val="a6"/>
        <w:numPr>
          <w:ilvl w:val="2"/>
          <w:numId w:val="16"/>
        </w:numPr>
        <w:tabs>
          <w:tab w:val="left" w:pos="485"/>
        </w:tabs>
        <w:spacing w:before="189"/>
        <w:rPr>
          <w:sz w:val="21"/>
        </w:rPr>
      </w:pPr>
      <w:hyperlink r:id="rId576">
        <w:r w:rsidR="0030286B">
          <w:rPr>
            <w:color w:val="418BCA"/>
            <w:w w:val="110"/>
            <w:sz w:val="21"/>
          </w:rPr>
          <w:t>API</w:t>
        </w:r>
      </w:hyperlink>
    </w:p>
    <w:p w14:paraId="3A2D896F" w14:textId="77777777" w:rsidR="00A720EB" w:rsidRDefault="00A720EB">
      <w:pPr>
        <w:pStyle w:val="a3"/>
        <w:spacing w:before="9"/>
        <w:rPr>
          <w:sz w:val="31"/>
        </w:rPr>
      </w:pPr>
    </w:p>
    <w:p w14:paraId="7FFE3339" w14:textId="77777777" w:rsidR="00A720EB" w:rsidRDefault="0030286B">
      <w:pPr>
        <w:pStyle w:val="2"/>
        <w:numPr>
          <w:ilvl w:val="1"/>
          <w:numId w:val="16"/>
        </w:numPr>
        <w:tabs>
          <w:tab w:val="left" w:pos="832"/>
        </w:tabs>
      </w:pPr>
      <w:bookmarkStart w:id="755" w:name="8.2._Spring_Boot_Gradle_Plugin"/>
      <w:bookmarkStart w:id="756" w:name="_Toc54423905"/>
      <w:bookmarkEnd w:id="755"/>
      <w:r>
        <w:rPr>
          <w:color w:val="333333"/>
          <w:w w:val="110"/>
        </w:rPr>
        <w:t xml:space="preserve">Spring Boot </w:t>
      </w:r>
      <w:r>
        <w:rPr>
          <w:color w:val="333333"/>
          <w:spacing w:val="-2"/>
          <w:w w:val="110"/>
        </w:rPr>
        <w:t>Gradle</w:t>
      </w:r>
      <w:r>
        <w:rPr>
          <w:color w:val="333333"/>
          <w:spacing w:val="-26"/>
          <w:w w:val="110"/>
        </w:rPr>
        <w:t xml:space="preserve"> </w:t>
      </w:r>
      <w:r>
        <w:rPr>
          <w:color w:val="333333"/>
          <w:w w:val="110"/>
        </w:rPr>
        <w:t>Plugin</w:t>
      </w:r>
      <w:bookmarkEnd w:id="756"/>
    </w:p>
    <w:p w14:paraId="560011FC" w14:textId="77777777" w:rsidR="00A720EB" w:rsidRDefault="0030286B">
      <w:pPr>
        <w:pStyle w:val="a3"/>
        <w:spacing w:before="253" w:line="300" w:lineRule="auto"/>
        <w:ind w:left="124" w:right="126"/>
        <w:jc w:val="both"/>
      </w:pPr>
      <w:r>
        <w:rPr>
          <w:color w:val="333333"/>
          <w:w w:val="110"/>
        </w:rPr>
        <w:t xml:space="preserve">The Spring Boot Gradle Plugin provides Spring Boot support in Gradle, letting you package executable jar or war archives, run Spring Boot applications, and use the dependency management provided </w:t>
      </w:r>
      <w:r>
        <w:rPr>
          <w:color w:val="333333"/>
          <w:spacing w:val="-3"/>
          <w:w w:val="110"/>
        </w:rPr>
        <w:t xml:space="preserve">by </w:t>
      </w:r>
      <w:r>
        <w:rPr>
          <w:rFonts w:ascii="MS Gothic" w:hAnsi="MS Gothic"/>
          <w:color w:val="B02045"/>
          <w:w w:val="110"/>
        </w:rPr>
        <w:t>spring-boot-dependencies</w:t>
      </w:r>
      <w:r>
        <w:rPr>
          <w:color w:val="333333"/>
          <w:w w:val="110"/>
        </w:rPr>
        <w:t>. It requires Gradle 6 (6.3 or later). Gradle 5.6.x is also supported but this support is deprecated and will be removed in a future release. Please refer to the plugin’s documentation to learn</w:t>
      </w:r>
      <w:r>
        <w:rPr>
          <w:color w:val="333333"/>
          <w:spacing w:val="12"/>
          <w:w w:val="110"/>
        </w:rPr>
        <w:t xml:space="preserve"> </w:t>
      </w:r>
      <w:r>
        <w:rPr>
          <w:color w:val="333333"/>
          <w:w w:val="110"/>
        </w:rPr>
        <w:t>more:</w:t>
      </w:r>
    </w:p>
    <w:p w14:paraId="5BBEC930" w14:textId="77777777" w:rsidR="00A720EB" w:rsidRDefault="0030286B">
      <w:pPr>
        <w:pStyle w:val="a6"/>
        <w:numPr>
          <w:ilvl w:val="2"/>
          <w:numId w:val="16"/>
        </w:numPr>
        <w:tabs>
          <w:tab w:val="left" w:pos="485"/>
        </w:tabs>
        <w:spacing w:before="251"/>
        <w:rPr>
          <w:sz w:val="21"/>
        </w:rPr>
      </w:pPr>
      <w:r>
        <w:rPr>
          <w:color w:val="333333"/>
          <w:w w:val="110"/>
          <w:sz w:val="21"/>
        </w:rPr>
        <w:t>Reference (</w:t>
      </w:r>
      <w:hyperlink r:id="rId577">
        <w:r>
          <w:rPr>
            <w:color w:val="418BCA"/>
            <w:w w:val="110"/>
            <w:sz w:val="21"/>
          </w:rPr>
          <w:t xml:space="preserve">HTML </w:t>
        </w:r>
      </w:hyperlink>
      <w:r>
        <w:rPr>
          <w:color w:val="333333"/>
          <w:w w:val="110"/>
          <w:sz w:val="21"/>
        </w:rPr>
        <w:t>and</w:t>
      </w:r>
      <w:r>
        <w:rPr>
          <w:color w:val="333333"/>
          <w:spacing w:val="8"/>
          <w:w w:val="110"/>
          <w:sz w:val="21"/>
        </w:rPr>
        <w:t xml:space="preserve"> </w:t>
      </w:r>
      <w:hyperlink r:id="rId578">
        <w:r>
          <w:rPr>
            <w:color w:val="418BCA"/>
            <w:w w:val="110"/>
            <w:sz w:val="21"/>
          </w:rPr>
          <w:t>PDF</w:t>
        </w:r>
      </w:hyperlink>
      <w:r>
        <w:rPr>
          <w:color w:val="333333"/>
          <w:w w:val="110"/>
          <w:sz w:val="21"/>
        </w:rPr>
        <w:t>)</w:t>
      </w:r>
    </w:p>
    <w:p w14:paraId="41390BB5" w14:textId="77777777" w:rsidR="00A720EB" w:rsidRDefault="00E10349">
      <w:pPr>
        <w:pStyle w:val="a6"/>
        <w:numPr>
          <w:ilvl w:val="2"/>
          <w:numId w:val="16"/>
        </w:numPr>
        <w:tabs>
          <w:tab w:val="left" w:pos="485"/>
        </w:tabs>
        <w:spacing w:before="189"/>
        <w:rPr>
          <w:sz w:val="21"/>
        </w:rPr>
      </w:pPr>
      <w:hyperlink r:id="rId579">
        <w:r w:rsidR="0030286B">
          <w:rPr>
            <w:color w:val="418BCA"/>
            <w:w w:val="110"/>
            <w:sz w:val="21"/>
          </w:rPr>
          <w:t>API</w:t>
        </w:r>
      </w:hyperlink>
    </w:p>
    <w:p w14:paraId="4482ED5B" w14:textId="77777777" w:rsidR="00A720EB" w:rsidRDefault="00A720EB">
      <w:pPr>
        <w:pStyle w:val="a3"/>
        <w:spacing w:before="9"/>
        <w:rPr>
          <w:sz w:val="31"/>
        </w:rPr>
      </w:pPr>
    </w:p>
    <w:p w14:paraId="6DD88449" w14:textId="77777777" w:rsidR="00A720EB" w:rsidRDefault="0030286B">
      <w:pPr>
        <w:pStyle w:val="2"/>
        <w:numPr>
          <w:ilvl w:val="1"/>
          <w:numId w:val="16"/>
        </w:numPr>
        <w:tabs>
          <w:tab w:val="left" w:pos="832"/>
        </w:tabs>
      </w:pPr>
      <w:bookmarkStart w:id="757" w:name="8.3._Spring_Boot_AntLib_Module"/>
      <w:bookmarkStart w:id="758" w:name="_Toc54423906"/>
      <w:bookmarkEnd w:id="757"/>
      <w:r>
        <w:rPr>
          <w:color w:val="333333"/>
          <w:w w:val="105"/>
        </w:rPr>
        <w:t>Spring Boot AntLib</w:t>
      </w:r>
      <w:r>
        <w:rPr>
          <w:color w:val="333333"/>
          <w:spacing w:val="-5"/>
          <w:w w:val="105"/>
        </w:rPr>
        <w:t xml:space="preserve"> </w:t>
      </w:r>
      <w:r>
        <w:rPr>
          <w:color w:val="333333"/>
          <w:w w:val="105"/>
        </w:rPr>
        <w:t>Module</w:t>
      </w:r>
      <w:bookmarkEnd w:id="758"/>
    </w:p>
    <w:p w14:paraId="2657E89F" w14:textId="77777777" w:rsidR="00A720EB" w:rsidRDefault="0030286B">
      <w:pPr>
        <w:pStyle w:val="a3"/>
        <w:spacing w:before="253" w:line="290" w:lineRule="auto"/>
        <w:ind w:left="124" w:right="122"/>
        <w:jc w:val="both"/>
      </w:pPr>
      <w:r>
        <w:rPr>
          <w:color w:val="333333"/>
          <w:w w:val="110"/>
        </w:rPr>
        <w:t xml:space="preserve">The Spring Boot AntLib module provides basic Spring Boot support for Apache Ant. You can use the module to create executable jars. To use the module, you need to declare an additional </w:t>
      </w:r>
      <w:r>
        <w:rPr>
          <w:rFonts w:ascii="MS Gothic"/>
          <w:color w:val="B02045"/>
          <w:w w:val="110"/>
        </w:rPr>
        <w:t xml:space="preserve">spring-boot </w:t>
      </w:r>
      <w:r>
        <w:rPr>
          <w:color w:val="333333"/>
          <w:w w:val="110"/>
        </w:rPr>
        <w:t xml:space="preserve">namespace in your </w:t>
      </w:r>
      <w:r>
        <w:rPr>
          <w:rFonts w:ascii="MS Gothic"/>
          <w:color w:val="B02045"/>
          <w:w w:val="110"/>
        </w:rPr>
        <w:t>build.xml</w:t>
      </w:r>
      <w:r>
        <w:rPr>
          <w:color w:val="333333"/>
          <w:w w:val="110"/>
        </w:rPr>
        <w:t>, as shown in the following example:</w:t>
      </w:r>
    </w:p>
    <w:p w14:paraId="1583D83B" w14:textId="77777777" w:rsidR="00A720EB" w:rsidRDefault="00E10349">
      <w:pPr>
        <w:pStyle w:val="a3"/>
        <w:spacing w:before="10"/>
        <w:rPr>
          <w:sz w:val="12"/>
        </w:rPr>
      </w:pPr>
      <w:r>
        <w:pict w14:anchorId="167B2D3A">
          <v:group id="_x0000_s1700" style="position:absolute;margin-left:47.85pt;margin-top:9.55pt;width:499.55pt;height:96.45pt;z-index:-15135232;mso-wrap-distance-left:0;mso-wrap-distance-right:0;mso-position-horizontal-relative:page" coordorigin="957,191" coordsize="9991,1929">
            <v:shape id="_x0000_s1703" style="position:absolute;left:964;top:198;width:9976;height:1914" coordorigin="965,198" coordsize="9976,1914" path="m10861,198r-9816,l1014,205r-26,17l971,247r-6,31l965,2032r6,32l988,2089r26,17l1045,2112r9816,l10892,2106r25,-17l10935,2064r6,-32l10941,278r-6,-31l10917,222r-25,-17l10861,198xe" fillcolor="#f5f5f5" stroked="f">
              <v:path arrowok="t"/>
            </v:shape>
            <v:shape id="_x0000_s1702" style="position:absolute;left:964;top:198;width:9976;height:1914" coordorigin="965,198" coordsize="9976,1914" path="m1045,198r9816,l10892,205r25,17l10935,247r6,31l10941,2032r-6,32l10917,2089r-25,17l10861,2112r-9816,l1014,2106r-26,-17l971,2064r-6,-32l965,278r6,-31l988,222r26,-17l1045,198xe" filled="f" strokecolor="#ccc">
              <v:path arrowok="t"/>
            </v:shape>
            <v:shape id="_x0000_s1701" type="#_x0000_t202" style="position:absolute;left:984;top:213;width:9938;height:1884" filled="f" stroked="f">
              <v:textbox inset="0,0,0,0">
                <w:txbxContent>
                  <w:p w14:paraId="20CFD92F" w14:textId="77777777" w:rsidR="00711A16" w:rsidRDefault="00711A16">
                    <w:pPr>
                      <w:spacing w:before="221"/>
                      <w:ind w:left="200"/>
                      <w:rPr>
                        <w:rFonts w:ascii="MS Gothic"/>
                      </w:rPr>
                    </w:pPr>
                    <w:r>
                      <w:rPr>
                        <w:rFonts w:ascii="MS Gothic"/>
                        <w:color w:val="333333"/>
                      </w:rPr>
                      <w:t xml:space="preserve">&lt;project </w:t>
                    </w:r>
                    <w:proofErr w:type="gramStart"/>
                    <w:r>
                      <w:rPr>
                        <w:rFonts w:ascii="MS Gothic"/>
                        <w:color w:val="333333"/>
                      </w:rPr>
                      <w:t>xmlns:ivy</w:t>
                    </w:r>
                    <w:proofErr w:type="gramEnd"/>
                    <w:r>
                      <w:rPr>
                        <w:rFonts w:ascii="MS Gothic"/>
                        <w:color w:val="333333"/>
                      </w:rPr>
                      <w:t>="antlib:org.apache.ivy.ant"</w:t>
                    </w:r>
                  </w:p>
                  <w:p w14:paraId="60CBA7B4" w14:textId="77777777" w:rsidR="00711A16" w:rsidRDefault="00711A16">
                    <w:pPr>
                      <w:spacing w:before="13" w:line="252" w:lineRule="auto"/>
                      <w:ind w:left="640" w:right="3228"/>
                      <w:rPr>
                        <w:rFonts w:ascii="MS Gothic"/>
                      </w:rPr>
                    </w:pPr>
                    <w:proofErr w:type="gramStart"/>
                    <w:r>
                      <w:rPr>
                        <w:rFonts w:ascii="MS Gothic"/>
                        <w:color w:val="333333"/>
                      </w:rPr>
                      <w:t>xmlns:spring</w:t>
                    </w:r>
                    <w:proofErr w:type="gramEnd"/>
                    <w:r>
                      <w:rPr>
                        <w:rFonts w:ascii="MS Gothic"/>
                        <w:color w:val="333333"/>
                      </w:rPr>
                      <w:t>-boot="antlib:org.springframework.boot.ant" name="myapp" default="build"&gt;</w:t>
                    </w:r>
                  </w:p>
                  <w:p w14:paraId="7FED971A" w14:textId="77777777" w:rsidR="00711A16" w:rsidRDefault="00711A16">
                    <w:pPr>
                      <w:spacing w:line="280" w:lineRule="exact"/>
                      <w:ind w:left="640"/>
                      <w:rPr>
                        <w:rFonts w:ascii="MS Gothic"/>
                      </w:rPr>
                    </w:pPr>
                    <w:r>
                      <w:rPr>
                        <w:rFonts w:ascii="MS Gothic"/>
                        <w:color w:val="333333"/>
                      </w:rPr>
                      <w:t>...</w:t>
                    </w:r>
                  </w:p>
                  <w:p w14:paraId="58CAC42B" w14:textId="77777777" w:rsidR="00711A16" w:rsidRDefault="00711A16">
                    <w:pPr>
                      <w:spacing w:before="13"/>
                      <w:ind w:left="200"/>
                      <w:rPr>
                        <w:rFonts w:ascii="MS Gothic"/>
                      </w:rPr>
                    </w:pPr>
                    <w:r>
                      <w:rPr>
                        <w:rFonts w:ascii="MS Gothic"/>
                        <w:color w:val="333333"/>
                      </w:rPr>
                      <w:t>&lt;/project&gt;</w:t>
                    </w:r>
                  </w:p>
                </w:txbxContent>
              </v:textbox>
            </v:shape>
            <w10:wrap type="topAndBottom" anchorx="page"/>
          </v:group>
        </w:pict>
      </w:r>
    </w:p>
    <w:p w14:paraId="7E0B194F" w14:textId="77777777" w:rsidR="00A720EB" w:rsidRDefault="00A720EB">
      <w:pPr>
        <w:pStyle w:val="a3"/>
        <w:spacing w:before="11"/>
        <w:rPr>
          <w:sz w:val="9"/>
        </w:rPr>
      </w:pPr>
    </w:p>
    <w:p w14:paraId="0AD6EFA7" w14:textId="77777777" w:rsidR="00A720EB" w:rsidRDefault="0030286B">
      <w:pPr>
        <w:pStyle w:val="a3"/>
        <w:spacing w:before="115"/>
        <w:ind w:left="124"/>
      </w:pPr>
      <w:r>
        <w:rPr>
          <w:color w:val="333333"/>
          <w:w w:val="110"/>
        </w:rPr>
        <w:t xml:space="preserve">You need to remember to start Ant using the </w:t>
      </w:r>
      <w:r>
        <w:rPr>
          <w:rFonts w:ascii="MS Gothic"/>
          <w:color w:val="B02045"/>
          <w:w w:val="110"/>
        </w:rPr>
        <w:t xml:space="preserve">-lib </w:t>
      </w:r>
      <w:r>
        <w:rPr>
          <w:color w:val="333333"/>
          <w:w w:val="110"/>
        </w:rPr>
        <w:t>option, as shown in the following example:</w:t>
      </w:r>
    </w:p>
    <w:p w14:paraId="72B48832" w14:textId="77777777" w:rsidR="00A720EB" w:rsidRDefault="00A720EB">
      <w:pPr>
        <w:sectPr w:rsidR="00A720EB">
          <w:pgSz w:w="11910" w:h="16840"/>
          <w:pgMar w:top="620" w:right="840" w:bottom="520" w:left="840" w:header="0" w:footer="323" w:gutter="0"/>
          <w:cols w:space="720"/>
        </w:sectPr>
      </w:pPr>
    </w:p>
    <w:p w14:paraId="12D9DEA7" w14:textId="77777777" w:rsidR="00A720EB" w:rsidRDefault="00E10349">
      <w:pPr>
        <w:pStyle w:val="a3"/>
        <w:ind w:left="116"/>
        <w:rPr>
          <w:sz w:val="20"/>
        </w:rPr>
      </w:pPr>
      <w:r>
        <w:rPr>
          <w:sz w:val="20"/>
        </w:rPr>
      </w:r>
      <w:r>
        <w:rPr>
          <w:sz w:val="20"/>
        </w:rPr>
        <w:pict w14:anchorId="4A802095">
          <v:group id="_x0000_s1696" style="width:499.55pt;height:37.5pt;mso-position-horizontal-relative:char;mso-position-vertical-relative:line" coordsize="9991,750">
            <v:shape id="_x0000_s1699" style="position:absolute;left:7;top:7;width:9976;height:735" coordorigin="8,8" coordsize="9976,735" path="m9904,8l88,8,56,14,31,31,14,56,8,88r,574l14,693r17,26l56,736r32,6l9904,742r31,-6l9960,719r17,-26l9984,662r,-574l9977,56,9960,31,9935,14,9904,8xe" fillcolor="#f5f5f5" stroked="f">
              <v:path arrowok="t"/>
            </v:shape>
            <v:shape id="_x0000_s1698" style="position:absolute;left:7;top:7;width:9976;height:735" coordorigin="8,8" coordsize="9976,735" path="m88,8r9816,l9935,14r25,17l9977,56r7,32l9984,662r-7,31l9960,719r-25,17l9904,742,88,742,56,736,31,719,14,693,8,662,8,88,14,56,31,31,56,14,88,8xe" filled="f" strokecolor="#ccc">
              <v:path arrowok="t"/>
            </v:shape>
            <v:shape id="_x0000_s1697" type="#_x0000_t202" style="position:absolute;left:26;top:22;width:9938;height:704" filled="f" stroked="f">
              <v:textbox inset="0,0,0,0">
                <w:txbxContent>
                  <w:p w14:paraId="760D8DCF" w14:textId="77777777" w:rsidR="00711A16" w:rsidRDefault="00711A16">
                    <w:pPr>
                      <w:spacing w:before="221"/>
                      <w:ind w:left="200"/>
                      <w:rPr>
                        <w:rFonts w:ascii="MS Gothic"/>
                      </w:rPr>
                    </w:pPr>
                    <w:r>
                      <w:rPr>
                        <w:rFonts w:ascii="MS Gothic"/>
                        <w:color w:val="333333"/>
                      </w:rPr>
                      <w:t>$ ant -lib &lt;directory containing spring-boot-antlib-2.3.4.RELEASE.jar&gt;</w:t>
                    </w:r>
                  </w:p>
                </w:txbxContent>
              </v:textbox>
            </v:shape>
            <w10:anchorlock/>
          </v:group>
        </w:pict>
      </w:r>
    </w:p>
    <w:p w14:paraId="4B3F6324" w14:textId="77777777" w:rsidR="00A720EB" w:rsidRDefault="00A720EB">
      <w:pPr>
        <w:pStyle w:val="a3"/>
        <w:spacing w:before="10"/>
        <w:rPr>
          <w:sz w:val="15"/>
        </w:rPr>
      </w:pPr>
    </w:p>
    <w:p w14:paraId="59CB37F0" w14:textId="77777777" w:rsidR="00A720EB" w:rsidRDefault="00E10349">
      <w:pPr>
        <w:pStyle w:val="a3"/>
        <w:spacing w:before="126" w:line="297" w:lineRule="auto"/>
        <w:ind w:left="1564" w:right="462"/>
      </w:pPr>
      <w:r>
        <w:pict w14:anchorId="306EBE16">
          <v:line id="_x0000_s1695" style="position:absolute;left:0;text-align:left;z-index:16323072;mso-position-horizontal-relative:page" from="108.25pt,.3pt" to="108.25pt,39.85pt" strokecolor="#ededed" strokeweight=".5pt">
            <w10:wrap anchorx="page"/>
          </v:line>
        </w:pict>
      </w:r>
      <w:r w:rsidR="0030286B">
        <w:rPr>
          <w:noProof/>
        </w:rPr>
        <w:drawing>
          <wp:anchor distT="0" distB="0" distL="0" distR="0" simplePos="0" relativeHeight="16323584" behindDoc="0" locked="0" layoutInCell="1" allowOverlap="1" wp14:anchorId="237F102F" wp14:editId="5C9CABC5">
            <wp:simplePos x="0" y="0"/>
            <wp:positionH relativeFrom="page">
              <wp:posOffset>888949</wp:posOffset>
            </wp:positionH>
            <wp:positionV relativeFrom="paragraph">
              <wp:posOffset>102781</wp:posOffset>
            </wp:positionV>
            <wp:extent cx="209550" cy="304800"/>
            <wp:effectExtent l="0" t="0" r="0" b="0"/>
            <wp:wrapNone/>
            <wp:docPr id="69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 “Using Spring Boot” section includes a more complete example  of  </w:t>
      </w:r>
      <w:hyperlink w:anchor="_bookmark41" w:history="1">
        <w:r w:rsidR="0030286B">
          <w:rPr>
            <w:color w:val="418BCA"/>
            <w:w w:val="110"/>
          </w:rPr>
          <w:t>using</w:t>
        </w:r>
      </w:hyperlink>
      <w:r w:rsidR="0030286B">
        <w:rPr>
          <w:color w:val="418BCA"/>
          <w:w w:val="110"/>
        </w:rPr>
        <w:t xml:space="preserve">  </w:t>
      </w:r>
      <w:hyperlink w:anchor="_bookmark41" w:history="1">
        <w:r w:rsidR="0030286B">
          <w:rPr>
            <w:color w:val="418BCA"/>
            <w:w w:val="110"/>
          </w:rPr>
          <w:t>Apache Ant with</w:t>
        </w:r>
        <w:r w:rsidR="0030286B">
          <w:rPr>
            <w:color w:val="418BCA"/>
            <w:spacing w:val="4"/>
            <w:w w:val="110"/>
          </w:rPr>
          <w:t xml:space="preserve"> </w:t>
        </w:r>
      </w:hyperlink>
      <w:hyperlink w:anchor="_bookmark41" w:history="1">
        <w:r w:rsidR="0030286B">
          <w:rPr>
            <w:rFonts w:ascii="MS Gothic" w:hAnsi="MS Gothic"/>
            <w:color w:val="B02045"/>
            <w:w w:val="110"/>
          </w:rPr>
          <w:t>spring-boot-antlib</w:t>
        </w:r>
      </w:hyperlink>
      <w:r w:rsidR="0030286B">
        <w:rPr>
          <w:color w:val="333333"/>
          <w:w w:val="110"/>
        </w:rPr>
        <w:t>.</w:t>
      </w:r>
    </w:p>
    <w:p w14:paraId="642DE68D" w14:textId="77777777" w:rsidR="00A720EB" w:rsidRDefault="00A720EB">
      <w:pPr>
        <w:pStyle w:val="a3"/>
        <w:spacing w:before="10"/>
        <w:rPr>
          <w:sz w:val="22"/>
        </w:rPr>
      </w:pPr>
    </w:p>
    <w:p w14:paraId="4FF28C6F" w14:textId="77777777" w:rsidR="00A720EB" w:rsidRDefault="0030286B">
      <w:pPr>
        <w:pStyle w:val="3"/>
        <w:numPr>
          <w:ilvl w:val="2"/>
          <w:numId w:val="15"/>
        </w:numPr>
        <w:tabs>
          <w:tab w:val="left" w:pos="858"/>
        </w:tabs>
        <w:spacing w:before="105"/>
        <w:ind w:hanging="734"/>
      </w:pPr>
      <w:bookmarkStart w:id="759" w:name="8.3.1._Spring_Boot_Ant_Tasks"/>
      <w:bookmarkStart w:id="760" w:name="_Toc54423907"/>
      <w:bookmarkEnd w:id="759"/>
      <w:r>
        <w:rPr>
          <w:color w:val="333333"/>
          <w:w w:val="110"/>
        </w:rPr>
        <w:t>Spring Boot Ant</w:t>
      </w:r>
      <w:r>
        <w:rPr>
          <w:color w:val="333333"/>
          <w:spacing w:val="-19"/>
          <w:w w:val="110"/>
        </w:rPr>
        <w:t xml:space="preserve"> </w:t>
      </w:r>
      <w:r>
        <w:rPr>
          <w:color w:val="333333"/>
          <w:spacing w:val="-3"/>
          <w:w w:val="110"/>
        </w:rPr>
        <w:t>Tasks</w:t>
      </w:r>
      <w:bookmarkEnd w:id="760"/>
    </w:p>
    <w:p w14:paraId="270256AB" w14:textId="77777777" w:rsidR="00A720EB" w:rsidRDefault="0030286B">
      <w:pPr>
        <w:pStyle w:val="a3"/>
        <w:spacing w:before="243" w:line="290" w:lineRule="auto"/>
        <w:ind w:left="124"/>
      </w:pPr>
      <w:r>
        <w:rPr>
          <w:color w:val="333333"/>
          <w:w w:val="110"/>
        </w:rPr>
        <w:t xml:space="preserve">Once the </w:t>
      </w:r>
      <w:r>
        <w:rPr>
          <w:rFonts w:ascii="MS Gothic"/>
          <w:color w:val="B02045"/>
          <w:w w:val="110"/>
        </w:rPr>
        <w:t xml:space="preserve">spring-boot-antlib </w:t>
      </w:r>
      <w:r>
        <w:rPr>
          <w:color w:val="333333"/>
          <w:w w:val="110"/>
        </w:rPr>
        <w:t>namespace has been declared, the following additional tasks are available:</w:t>
      </w:r>
    </w:p>
    <w:p w14:paraId="1FC39785" w14:textId="77777777" w:rsidR="00A720EB" w:rsidRDefault="00A720EB">
      <w:pPr>
        <w:pStyle w:val="a3"/>
        <w:rPr>
          <w:sz w:val="22"/>
        </w:rPr>
      </w:pPr>
    </w:p>
    <w:p w14:paraId="2D98820A" w14:textId="77777777" w:rsidR="00A720EB" w:rsidRDefault="00E10349">
      <w:pPr>
        <w:pStyle w:val="a6"/>
        <w:numPr>
          <w:ilvl w:val="3"/>
          <w:numId w:val="15"/>
        </w:numPr>
        <w:tabs>
          <w:tab w:val="left" w:pos="485"/>
        </w:tabs>
        <w:spacing w:before="1"/>
        <w:rPr>
          <w:sz w:val="21"/>
        </w:rPr>
      </w:pPr>
      <w:hyperlink w:anchor="_bookmark515" w:history="1">
        <w:r w:rsidR="0030286B">
          <w:rPr>
            <w:color w:val="418BCA"/>
            <w:w w:val="110"/>
            <w:sz w:val="21"/>
          </w:rPr>
          <w:t>Using the “exejar”</w:t>
        </w:r>
        <w:r w:rsidR="0030286B">
          <w:rPr>
            <w:color w:val="418BCA"/>
            <w:spacing w:val="9"/>
            <w:w w:val="110"/>
            <w:sz w:val="21"/>
          </w:rPr>
          <w:t xml:space="preserve"> </w:t>
        </w:r>
        <w:r w:rsidR="0030286B">
          <w:rPr>
            <w:color w:val="418BCA"/>
            <w:spacing w:val="-3"/>
            <w:w w:val="110"/>
            <w:sz w:val="21"/>
          </w:rPr>
          <w:t>Task</w:t>
        </w:r>
      </w:hyperlink>
    </w:p>
    <w:p w14:paraId="4EC1805D" w14:textId="77777777" w:rsidR="00A720EB" w:rsidRDefault="00E10349">
      <w:pPr>
        <w:pStyle w:val="a6"/>
        <w:numPr>
          <w:ilvl w:val="3"/>
          <w:numId w:val="15"/>
        </w:numPr>
        <w:tabs>
          <w:tab w:val="left" w:pos="485"/>
        </w:tabs>
        <w:spacing w:before="189"/>
        <w:rPr>
          <w:sz w:val="21"/>
        </w:rPr>
      </w:pPr>
      <w:hyperlink w:anchor="_bookmark517" w:history="1">
        <w:r w:rsidR="0030286B">
          <w:rPr>
            <w:color w:val="418BCA"/>
            <w:w w:val="110"/>
            <w:sz w:val="21"/>
          </w:rPr>
          <w:t>Using the “findmainclass”</w:t>
        </w:r>
        <w:r w:rsidR="0030286B">
          <w:rPr>
            <w:color w:val="418BCA"/>
            <w:spacing w:val="10"/>
            <w:w w:val="110"/>
            <w:sz w:val="21"/>
          </w:rPr>
          <w:t xml:space="preserve"> </w:t>
        </w:r>
        <w:r w:rsidR="0030286B">
          <w:rPr>
            <w:color w:val="418BCA"/>
            <w:spacing w:val="-3"/>
            <w:w w:val="110"/>
            <w:sz w:val="21"/>
          </w:rPr>
          <w:t>Task</w:t>
        </w:r>
      </w:hyperlink>
    </w:p>
    <w:p w14:paraId="70665B9B" w14:textId="77777777" w:rsidR="00A720EB" w:rsidRDefault="00A720EB">
      <w:pPr>
        <w:pStyle w:val="a3"/>
        <w:spacing w:before="6"/>
        <w:rPr>
          <w:sz w:val="31"/>
        </w:rPr>
      </w:pPr>
    </w:p>
    <w:p w14:paraId="21D531C3" w14:textId="77777777" w:rsidR="00A720EB" w:rsidRDefault="0030286B">
      <w:pPr>
        <w:pStyle w:val="4"/>
        <w:jc w:val="left"/>
      </w:pPr>
      <w:bookmarkStart w:id="761" w:name="Using_the_“exejar”_Task"/>
      <w:bookmarkEnd w:id="761"/>
      <w:r>
        <w:rPr>
          <w:color w:val="333333"/>
          <w:w w:val="110"/>
        </w:rPr>
        <w:t>Using the “exejar” Task</w:t>
      </w:r>
    </w:p>
    <w:p w14:paraId="0AE2C169" w14:textId="77777777" w:rsidR="00A720EB" w:rsidRDefault="0030286B">
      <w:pPr>
        <w:pStyle w:val="a3"/>
        <w:spacing w:before="244" w:line="290" w:lineRule="auto"/>
        <w:ind w:left="124"/>
      </w:pPr>
      <w:r>
        <w:rPr>
          <w:color w:val="333333"/>
          <w:w w:val="110"/>
        </w:rPr>
        <w:t xml:space="preserve">You can use the </w:t>
      </w:r>
      <w:r>
        <w:rPr>
          <w:rFonts w:ascii="MS Gothic"/>
          <w:color w:val="B02045"/>
          <w:w w:val="110"/>
        </w:rPr>
        <w:t xml:space="preserve">exejar </w:t>
      </w:r>
      <w:r>
        <w:rPr>
          <w:color w:val="333333"/>
          <w:w w:val="110"/>
        </w:rPr>
        <w:t>task to create a Spring Boot executable jar. The following attributes are supported by the task:</w:t>
      </w:r>
    </w:p>
    <w:p w14:paraId="38229C22" w14:textId="77777777" w:rsidR="00A720EB" w:rsidRDefault="00A720EB">
      <w:pPr>
        <w:pStyle w:val="a3"/>
        <w:spacing w:before="2"/>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3990"/>
        <w:gridCol w:w="3990"/>
      </w:tblGrid>
      <w:tr w:rsidR="00A720EB" w14:paraId="028B3AE5" w14:textId="77777777">
        <w:trPr>
          <w:trHeight w:val="415"/>
        </w:trPr>
        <w:tc>
          <w:tcPr>
            <w:tcW w:w="1995" w:type="dxa"/>
            <w:tcBorders>
              <w:bottom w:val="single" w:sz="12" w:space="0" w:color="DDDDDD"/>
            </w:tcBorders>
          </w:tcPr>
          <w:p w14:paraId="22CC86AA" w14:textId="77777777" w:rsidR="00A720EB" w:rsidRDefault="0030286B">
            <w:pPr>
              <w:pStyle w:val="TableParagraph"/>
              <w:spacing w:before="74"/>
              <w:rPr>
                <w:rFonts w:ascii="Palatino Linotype"/>
                <w:b/>
                <w:sz w:val="21"/>
              </w:rPr>
            </w:pPr>
            <w:r>
              <w:rPr>
                <w:rFonts w:ascii="Palatino Linotype"/>
                <w:b/>
                <w:color w:val="333333"/>
                <w:w w:val="110"/>
                <w:sz w:val="21"/>
              </w:rPr>
              <w:t>Attribute</w:t>
            </w:r>
          </w:p>
        </w:tc>
        <w:tc>
          <w:tcPr>
            <w:tcW w:w="3990" w:type="dxa"/>
            <w:tcBorders>
              <w:bottom w:val="single" w:sz="12" w:space="0" w:color="DDDDDD"/>
            </w:tcBorders>
          </w:tcPr>
          <w:p w14:paraId="1B56F815"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c>
          <w:tcPr>
            <w:tcW w:w="3990" w:type="dxa"/>
            <w:tcBorders>
              <w:bottom w:val="single" w:sz="12" w:space="0" w:color="DDDDDD"/>
            </w:tcBorders>
          </w:tcPr>
          <w:p w14:paraId="72780CAD" w14:textId="77777777" w:rsidR="00A720EB" w:rsidRDefault="0030286B">
            <w:pPr>
              <w:pStyle w:val="TableParagraph"/>
              <w:spacing w:before="74"/>
              <w:rPr>
                <w:rFonts w:ascii="Palatino Linotype"/>
                <w:b/>
                <w:sz w:val="21"/>
              </w:rPr>
            </w:pPr>
            <w:r>
              <w:rPr>
                <w:rFonts w:ascii="Palatino Linotype"/>
                <w:b/>
                <w:color w:val="333333"/>
                <w:w w:val="110"/>
                <w:sz w:val="21"/>
              </w:rPr>
              <w:t>Required</w:t>
            </w:r>
          </w:p>
        </w:tc>
      </w:tr>
      <w:tr w:rsidR="00A720EB" w14:paraId="43DB4547" w14:textId="77777777">
        <w:trPr>
          <w:trHeight w:val="415"/>
        </w:trPr>
        <w:tc>
          <w:tcPr>
            <w:tcW w:w="1995" w:type="dxa"/>
            <w:tcBorders>
              <w:top w:val="single" w:sz="12" w:space="0" w:color="DDDDDD"/>
            </w:tcBorders>
          </w:tcPr>
          <w:p w14:paraId="325F01FD" w14:textId="77777777" w:rsidR="00A720EB" w:rsidRDefault="0030286B">
            <w:pPr>
              <w:pStyle w:val="TableParagraph"/>
              <w:spacing w:before="30"/>
              <w:rPr>
                <w:sz w:val="21"/>
              </w:rPr>
            </w:pPr>
            <w:r>
              <w:rPr>
                <w:color w:val="B02045"/>
                <w:sz w:val="21"/>
              </w:rPr>
              <w:t>destfile</w:t>
            </w:r>
          </w:p>
        </w:tc>
        <w:tc>
          <w:tcPr>
            <w:tcW w:w="3990" w:type="dxa"/>
            <w:tcBorders>
              <w:top w:val="single" w:sz="12" w:space="0" w:color="DDDDDD"/>
            </w:tcBorders>
          </w:tcPr>
          <w:p w14:paraId="01DC137E" w14:textId="77777777" w:rsidR="00A720EB" w:rsidRDefault="0030286B">
            <w:pPr>
              <w:pStyle w:val="TableParagraph"/>
              <w:spacing w:before="84"/>
              <w:rPr>
                <w:rFonts w:ascii="Cambria"/>
                <w:sz w:val="21"/>
              </w:rPr>
            </w:pPr>
            <w:r>
              <w:rPr>
                <w:rFonts w:ascii="Cambria"/>
                <w:color w:val="333333"/>
                <w:w w:val="110"/>
                <w:sz w:val="21"/>
              </w:rPr>
              <w:t>The destination jar file to create</w:t>
            </w:r>
          </w:p>
        </w:tc>
        <w:tc>
          <w:tcPr>
            <w:tcW w:w="3990" w:type="dxa"/>
            <w:tcBorders>
              <w:top w:val="single" w:sz="12" w:space="0" w:color="DDDDDD"/>
            </w:tcBorders>
          </w:tcPr>
          <w:p w14:paraId="72E48550" w14:textId="77777777" w:rsidR="00A720EB" w:rsidRDefault="0030286B">
            <w:pPr>
              <w:pStyle w:val="TableParagraph"/>
              <w:spacing w:before="84"/>
              <w:rPr>
                <w:rFonts w:ascii="Cambria"/>
                <w:sz w:val="21"/>
              </w:rPr>
            </w:pPr>
            <w:r>
              <w:rPr>
                <w:rFonts w:ascii="Cambria"/>
                <w:color w:val="333333"/>
                <w:w w:val="110"/>
                <w:sz w:val="21"/>
              </w:rPr>
              <w:t>Yes</w:t>
            </w:r>
          </w:p>
        </w:tc>
      </w:tr>
      <w:tr w:rsidR="00A720EB" w14:paraId="667BCA2E" w14:textId="77777777">
        <w:trPr>
          <w:trHeight w:val="425"/>
        </w:trPr>
        <w:tc>
          <w:tcPr>
            <w:tcW w:w="1995" w:type="dxa"/>
          </w:tcPr>
          <w:p w14:paraId="4DFD7EE6" w14:textId="77777777" w:rsidR="00A720EB" w:rsidRDefault="0030286B">
            <w:pPr>
              <w:pStyle w:val="TableParagraph"/>
              <w:spacing w:before="40"/>
              <w:rPr>
                <w:sz w:val="21"/>
              </w:rPr>
            </w:pPr>
            <w:r>
              <w:rPr>
                <w:color w:val="B02045"/>
                <w:sz w:val="21"/>
              </w:rPr>
              <w:t>classes</w:t>
            </w:r>
          </w:p>
        </w:tc>
        <w:tc>
          <w:tcPr>
            <w:tcW w:w="3990" w:type="dxa"/>
          </w:tcPr>
          <w:p w14:paraId="10FA09AF" w14:textId="77777777" w:rsidR="00A720EB" w:rsidRDefault="0030286B">
            <w:pPr>
              <w:pStyle w:val="TableParagraph"/>
              <w:spacing w:before="94"/>
              <w:rPr>
                <w:rFonts w:ascii="Cambria"/>
                <w:sz w:val="21"/>
              </w:rPr>
            </w:pPr>
            <w:r>
              <w:rPr>
                <w:rFonts w:ascii="Cambria"/>
                <w:color w:val="333333"/>
                <w:w w:val="110"/>
                <w:sz w:val="21"/>
              </w:rPr>
              <w:t>The root directory of Java class files</w:t>
            </w:r>
          </w:p>
        </w:tc>
        <w:tc>
          <w:tcPr>
            <w:tcW w:w="3990" w:type="dxa"/>
          </w:tcPr>
          <w:p w14:paraId="63524707" w14:textId="77777777" w:rsidR="00A720EB" w:rsidRDefault="0030286B">
            <w:pPr>
              <w:pStyle w:val="TableParagraph"/>
              <w:spacing w:before="94"/>
              <w:rPr>
                <w:rFonts w:ascii="Cambria"/>
                <w:sz w:val="21"/>
              </w:rPr>
            </w:pPr>
            <w:r>
              <w:rPr>
                <w:rFonts w:ascii="Cambria"/>
                <w:color w:val="333333"/>
                <w:w w:val="110"/>
                <w:sz w:val="21"/>
              </w:rPr>
              <w:t>Yes</w:t>
            </w:r>
          </w:p>
        </w:tc>
      </w:tr>
      <w:tr w:rsidR="00A720EB" w14:paraId="2EE504EB" w14:textId="77777777">
        <w:trPr>
          <w:trHeight w:val="741"/>
        </w:trPr>
        <w:tc>
          <w:tcPr>
            <w:tcW w:w="1995" w:type="dxa"/>
          </w:tcPr>
          <w:p w14:paraId="36084378" w14:textId="77777777" w:rsidR="00A720EB" w:rsidRDefault="0030286B">
            <w:pPr>
              <w:pStyle w:val="TableParagraph"/>
              <w:spacing w:before="40"/>
              <w:rPr>
                <w:sz w:val="21"/>
              </w:rPr>
            </w:pPr>
            <w:r>
              <w:rPr>
                <w:color w:val="B02045"/>
                <w:sz w:val="21"/>
              </w:rPr>
              <w:t>start-class</w:t>
            </w:r>
          </w:p>
        </w:tc>
        <w:tc>
          <w:tcPr>
            <w:tcW w:w="3990" w:type="dxa"/>
          </w:tcPr>
          <w:p w14:paraId="761116A0" w14:textId="77777777" w:rsidR="00A720EB" w:rsidRDefault="0030286B">
            <w:pPr>
              <w:pStyle w:val="TableParagraph"/>
              <w:spacing w:before="94"/>
              <w:rPr>
                <w:rFonts w:ascii="Cambria"/>
                <w:sz w:val="21"/>
              </w:rPr>
            </w:pPr>
            <w:r>
              <w:rPr>
                <w:rFonts w:ascii="Cambria"/>
                <w:color w:val="333333"/>
                <w:w w:val="110"/>
                <w:sz w:val="21"/>
              </w:rPr>
              <w:t>The main application class to run</w:t>
            </w:r>
          </w:p>
        </w:tc>
        <w:tc>
          <w:tcPr>
            <w:tcW w:w="3990" w:type="dxa"/>
          </w:tcPr>
          <w:p w14:paraId="089DF5A2" w14:textId="77777777" w:rsidR="00A720EB" w:rsidRDefault="0030286B">
            <w:pPr>
              <w:pStyle w:val="TableParagraph"/>
              <w:spacing w:before="74" w:line="266" w:lineRule="auto"/>
              <w:rPr>
                <w:rFonts w:ascii="Palatino Linotype"/>
                <w:i/>
                <w:sz w:val="21"/>
              </w:rPr>
            </w:pPr>
            <w:r>
              <w:rPr>
                <w:rFonts w:ascii="Cambria"/>
                <w:color w:val="333333"/>
                <w:w w:val="115"/>
                <w:sz w:val="21"/>
              </w:rPr>
              <w:t xml:space="preserve">No </w:t>
            </w:r>
            <w:r>
              <w:rPr>
                <w:rFonts w:ascii="Palatino Linotype"/>
                <w:i/>
                <w:color w:val="333333"/>
                <w:w w:val="115"/>
                <w:sz w:val="21"/>
              </w:rPr>
              <w:t xml:space="preserve">(the default is the first class found that declares a </w:t>
            </w:r>
            <w:r>
              <w:rPr>
                <w:rFonts w:ascii="宋体"/>
                <w:color w:val="B02045"/>
                <w:w w:val="115"/>
                <w:sz w:val="21"/>
              </w:rPr>
              <w:t>main</w:t>
            </w:r>
            <w:r>
              <w:rPr>
                <w:rFonts w:ascii="宋体"/>
                <w:color w:val="B02045"/>
                <w:spacing w:val="-86"/>
                <w:w w:val="115"/>
                <w:sz w:val="21"/>
              </w:rPr>
              <w:t xml:space="preserve"> </w:t>
            </w:r>
            <w:r>
              <w:rPr>
                <w:rFonts w:ascii="Palatino Linotype"/>
                <w:i/>
                <w:color w:val="333333"/>
                <w:w w:val="115"/>
                <w:sz w:val="21"/>
              </w:rPr>
              <w:t>method)</w:t>
            </w:r>
          </w:p>
        </w:tc>
      </w:tr>
    </w:tbl>
    <w:p w14:paraId="22FA86A3" w14:textId="77777777" w:rsidR="00A720EB" w:rsidRDefault="00A720EB">
      <w:pPr>
        <w:pStyle w:val="a3"/>
        <w:spacing w:before="5"/>
        <w:rPr>
          <w:sz w:val="23"/>
        </w:rPr>
      </w:pPr>
    </w:p>
    <w:p w14:paraId="000BD7D6" w14:textId="77777777" w:rsidR="00A720EB" w:rsidRDefault="0030286B">
      <w:pPr>
        <w:pStyle w:val="a3"/>
        <w:ind w:left="124"/>
      </w:pPr>
      <w:r>
        <w:rPr>
          <w:color w:val="333333"/>
          <w:w w:val="110"/>
        </w:rPr>
        <w:t>The following nested elements can be used with the task:</w:t>
      </w:r>
    </w:p>
    <w:p w14:paraId="6163DE31" w14:textId="77777777" w:rsidR="00A720EB" w:rsidRDefault="00A720EB">
      <w:pPr>
        <w:pStyle w:val="a3"/>
        <w:spacing w:before="6" w:after="1"/>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7981"/>
      </w:tblGrid>
      <w:tr w:rsidR="00A720EB" w14:paraId="5B730FAE" w14:textId="77777777">
        <w:trPr>
          <w:trHeight w:val="415"/>
        </w:trPr>
        <w:tc>
          <w:tcPr>
            <w:tcW w:w="1995" w:type="dxa"/>
            <w:tcBorders>
              <w:bottom w:val="single" w:sz="12" w:space="0" w:color="DDDDDD"/>
            </w:tcBorders>
          </w:tcPr>
          <w:p w14:paraId="4F4FF982" w14:textId="77777777" w:rsidR="00A720EB" w:rsidRDefault="0030286B">
            <w:pPr>
              <w:pStyle w:val="TableParagraph"/>
              <w:spacing w:before="74"/>
              <w:rPr>
                <w:rFonts w:ascii="Palatino Linotype"/>
                <w:b/>
                <w:sz w:val="21"/>
              </w:rPr>
            </w:pPr>
            <w:r>
              <w:rPr>
                <w:rFonts w:ascii="Palatino Linotype"/>
                <w:b/>
                <w:color w:val="333333"/>
                <w:w w:val="110"/>
                <w:sz w:val="21"/>
              </w:rPr>
              <w:t>Element</w:t>
            </w:r>
          </w:p>
        </w:tc>
        <w:tc>
          <w:tcPr>
            <w:tcW w:w="7981" w:type="dxa"/>
            <w:tcBorders>
              <w:bottom w:val="single" w:sz="12" w:space="0" w:color="DDDDDD"/>
            </w:tcBorders>
          </w:tcPr>
          <w:p w14:paraId="4A23D36E"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2D0246B4" w14:textId="77777777">
        <w:trPr>
          <w:trHeight w:val="731"/>
        </w:trPr>
        <w:tc>
          <w:tcPr>
            <w:tcW w:w="1995" w:type="dxa"/>
            <w:tcBorders>
              <w:top w:val="single" w:sz="12" w:space="0" w:color="DDDDDD"/>
            </w:tcBorders>
          </w:tcPr>
          <w:p w14:paraId="682D758D" w14:textId="77777777" w:rsidR="00A720EB" w:rsidRDefault="0030286B">
            <w:pPr>
              <w:pStyle w:val="TableParagraph"/>
              <w:spacing w:before="30"/>
              <w:rPr>
                <w:sz w:val="21"/>
              </w:rPr>
            </w:pPr>
            <w:r>
              <w:rPr>
                <w:color w:val="B02045"/>
                <w:sz w:val="21"/>
              </w:rPr>
              <w:t>resources</w:t>
            </w:r>
          </w:p>
        </w:tc>
        <w:tc>
          <w:tcPr>
            <w:tcW w:w="7981" w:type="dxa"/>
            <w:tcBorders>
              <w:top w:val="single" w:sz="12" w:space="0" w:color="DDDDDD"/>
            </w:tcBorders>
          </w:tcPr>
          <w:p w14:paraId="33039F47" w14:textId="77777777" w:rsidR="00A720EB" w:rsidRDefault="0030286B">
            <w:pPr>
              <w:pStyle w:val="TableParagraph"/>
              <w:spacing w:before="21" w:line="310" w:lineRule="atLeast"/>
              <w:rPr>
                <w:rFonts w:ascii="Cambria"/>
                <w:sz w:val="21"/>
              </w:rPr>
            </w:pPr>
            <w:r>
              <w:rPr>
                <w:rFonts w:ascii="Cambria"/>
                <w:color w:val="333333"/>
                <w:w w:val="110"/>
                <w:sz w:val="21"/>
              </w:rPr>
              <w:t xml:space="preserve">One or more </w:t>
            </w:r>
            <w:hyperlink r:id="rId580" w:anchor="collection">
              <w:r>
                <w:rPr>
                  <w:rFonts w:ascii="Cambria"/>
                  <w:color w:val="418BCA"/>
                  <w:w w:val="110"/>
                  <w:sz w:val="21"/>
                </w:rPr>
                <w:t xml:space="preserve">Resource Collections </w:t>
              </w:r>
            </w:hyperlink>
            <w:r>
              <w:rPr>
                <w:rFonts w:ascii="Cambria"/>
                <w:color w:val="333333"/>
                <w:w w:val="110"/>
                <w:sz w:val="21"/>
              </w:rPr>
              <w:t xml:space="preserve">describing a set of </w:t>
            </w:r>
            <w:hyperlink r:id="rId581">
              <w:r>
                <w:rPr>
                  <w:rFonts w:ascii="Cambria"/>
                  <w:color w:val="418BCA"/>
                  <w:w w:val="110"/>
                  <w:sz w:val="21"/>
                </w:rPr>
                <w:t xml:space="preserve">Resources </w:t>
              </w:r>
            </w:hyperlink>
            <w:r>
              <w:rPr>
                <w:rFonts w:ascii="Cambria"/>
                <w:color w:val="333333"/>
                <w:w w:val="110"/>
                <w:sz w:val="21"/>
              </w:rPr>
              <w:t>that should be added to the content of the created jar file.</w:t>
            </w:r>
          </w:p>
        </w:tc>
      </w:tr>
      <w:tr w:rsidR="00A720EB" w14:paraId="62626F30" w14:textId="77777777">
        <w:trPr>
          <w:trHeight w:val="741"/>
        </w:trPr>
        <w:tc>
          <w:tcPr>
            <w:tcW w:w="1995" w:type="dxa"/>
          </w:tcPr>
          <w:p w14:paraId="4B5F2E0C" w14:textId="77777777" w:rsidR="00A720EB" w:rsidRDefault="0030286B">
            <w:pPr>
              <w:pStyle w:val="TableParagraph"/>
              <w:spacing w:before="40"/>
              <w:rPr>
                <w:sz w:val="21"/>
              </w:rPr>
            </w:pPr>
            <w:r>
              <w:rPr>
                <w:color w:val="B02045"/>
                <w:sz w:val="21"/>
              </w:rPr>
              <w:t>lib</w:t>
            </w:r>
          </w:p>
        </w:tc>
        <w:tc>
          <w:tcPr>
            <w:tcW w:w="7981" w:type="dxa"/>
          </w:tcPr>
          <w:p w14:paraId="1D766737" w14:textId="77777777" w:rsidR="00A720EB" w:rsidRDefault="0030286B">
            <w:pPr>
              <w:pStyle w:val="TableParagraph"/>
              <w:spacing w:before="31" w:line="310" w:lineRule="atLeast"/>
              <w:ind w:right="116"/>
              <w:rPr>
                <w:rFonts w:ascii="Cambria"/>
                <w:sz w:val="21"/>
              </w:rPr>
            </w:pPr>
            <w:r>
              <w:rPr>
                <w:rFonts w:ascii="Cambria"/>
                <w:color w:val="333333"/>
                <w:w w:val="110"/>
                <w:sz w:val="21"/>
              </w:rPr>
              <w:t xml:space="preserve">One or more </w:t>
            </w:r>
            <w:hyperlink r:id="rId582" w:anchor="collection">
              <w:r>
                <w:rPr>
                  <w:rFonts w:ascii="Cambria"/>
                  <w:color w:val="418BCA"/>
                  <w:w w:val="110"/>
                  <w:sz w:val="21"/>
                </w:rPr>
                <w:t xml:space="preserve">Resource Collections </w:t>
              </w:r>
            </w:hyperlink>
            <w:r>
              <w:rPr>
                <w:rFonts w:ascii="Cambria"/>
                <w:color w:val="333333"/>
                <w:w w:val="110"/>
                <w:sz w:val="21"/>
              </w:rPr>
              <w:t>that should be added to the set of jar libraries that make up the runtime dependency classpath of the application.</w:t>
            </w:r>
          </w:p>
        </w:tc>
      </w:tr>
    </w:tbl>
    <w:p w14:paraId="755065D7" w14:textId="77777777" w:rsidR="00A720EB" w:rsidRDefault="00A720EB">
      <w:pPr>
        <w:pStyle w:val="a3"/>
        <w:spacing w:before="6"/>
        <w:rPr>
          <w:sz w:val="28"/>
        </w:rPr>
      </w:pPr>
    </w:p>
    <w:p w14:paraId="285FEE68" w14:textId="77777777" w:rsidR="00A720EB" w:rsidRDefault="0030286B">
      <w:pPr>
        <w:pStyle w:val="4"/>
        <w:jc w:val="left"/>
      </w:pPr>
      <w:r>
        <w:rPr>
          <w:color w:val="333333"/>
          <w:w w:val="115"/>
        </w:rPr>
        <w:t>Examples</w:t>
      </w:r>
    </w:p>
    <w:p w14:paraId="0349C4A8" w14:textId="77777777" w:rsidR="00A720EB" w:rsidRDefault="00A720EB">
      <w:pPr>
        <w:pStyle w:val="a3"/>
        <w:spacing w:before="11"/>
        <w:rPr>
          <w:rFonts w:ascii="Palatino Linotype"/>
          <w:b/>
          <w:sz w:val="18"/>
        </w:rPr>
      </w:pPr>
    </w:p>
    <w:p w14:paraId="400A0F56" w14:textId="77777777" w:rsidR="00A720EB" w:rsidRDefault="0030286B">
      <w:pPr>
        <w:pStyle w:val="a3"/>
        <w:spacing w:before="1"/>
        <w:ind w:left="124"/>
      </w:pPr>
      <w:r>
        <w:rPr>
          <w:color w:val="333333"/>
          <w:w w:val="110"/>
        </w:rPr>
        <w:t>This section shows two examples of Ant tasks.</w:t>
      </w:r>
    </w:p>
    <w:p w14:paraId="5CFB39D3" w14:textId="77777777" w:rsidR="00A720EB" w:rsidRDefault="00A720EB">
      <w:pPr>
        <w:sectPr w:rsidR="00A720EB">
          <w:pgSz w:w="11910" w:h="16840"/>
          <w:pgMar w:top="700" w:right="840" w:bottom="520" w:left="840" w:header="0" w:footer="323" w:gutter="0"/>
          <w:cols w:space="720"/>
        </w:sectPr>
      </w:pPr>
    </w:p>
    <w:p w14:paraId="2CE62D7E" w14:textId="77777777" w:rsidR="00A720EB" w:rsidRDefault="00E10349">
      <w:pPr>
        <w:spacing w:before="79"/>
        <w:ind w:left="124"/>
        <w:rPr>
          <w:rFonts w:ascii="Palatino Linotype"/>
          <w:i/>
          <w:sz w:val="20"/>
        </w:rPr>
      </w:pPr>
      <w:r>
        <w:lastRenderedPageBreak/>
        <w:pict w14:anchorId="01769676">
          <v:group id="_x0000_s1691" style="position:absolute;left:0;text-align:left;margin-left:47.85pt;margin-top:21.7pt;width:499.55pt;height:155.45pt;z-index:-15133184;mso-wrap-distance-left:0;mso-wrap-distance-right:0;mso-position-horizontal-relative:page" coordorigin="957,434" coordsize="9991,3109">
            <v:shape id="_x0000_s1694" style="position:absolute;left:964;top:441;width:9976;height:3094" coordorigin="965,441" coordsize="9976,3094" path="m10861,441r-9816,l1014,448r-26,17l971,490r-6,31l965,3455r6,31l988,3511r26,17l1045,3535r9816,l10892,3528r25,-17l10935,3486r6,-31l10941,521r-6,-31l10917,465r-25,-17l10861,441xe" fillcolor="#f5f5f5" stroked="f">
              <v:path arrowok="t"/>
            </v:shape>
            <v:shape id="_x0000_s1693" style="position:absolute;left:964;top:441;width:9976;height:3094" coordorigin="965,441" coordsize="9976,3094" path="m1045,441r9816,l10892,448r25,17l10935,490r6,31l10941,3455r-6,31l10917,3511r-25,17l10861,3535r-9816,l1014,3528r-26,-17l971,3486r-6,-31l965,521r6,-31l988,465r26,-17l1045,441xe" filled="f" strokecolor="#ccc">
              <v:path arrowok="t"/>
            </v:shape>
            <v:shape id="_x0000_s1692" type="#_x0000_t202" style="position:absolute;left:984;top:456;width:9938;height:3063" filled="f" stroked="f">
              <v:textbox inset="0,0,0,0">
                <w:txbxContent>
                  <w:p w14:paraId="67444AC9" w14:textId="77777777" w:rsidR="00711A16" w:rsidRDefault="00711A16">
                    <w:pPr>
                      <w:spacing w:before="221" w:line="252" w:lineRule="auto"/>
                      <w:ind w:left="1080" w:right="1688" w:hanging="880"/>
                      <w:rPr>
                        <w:rFonts w:ascii="MS Gothic"/>
                      </w:rPr>
                    </w:pPr>
                    <w:r>
                      <w:rPr>
                        <w:rFonts w:ascii="MS Gothic"/>
                        <w:color w:val="333333"/>
                      </w:rPr>
                      <w:t>&lt;spring-</w:t>
                    </w:r>
                    <w:proofErr w:type="gramStart"/>
                    <w:r>
                      <w:rPr>
                        <w:rFonts w:ascii="MS Gothic"/>
                        <w:color w:val="333333"/>
                      </w:rPr>
                      <w:t>boot:exejar</w:t>
                    </w:r>
                    <w:proofErr w:type="gramEnd"/>
                    <w:r>
                      <w:rPr>
                        <w:rFonts w:ascii="MS Gothic"/>
                        <w:color w:val="333333"/>
                      </w:rPr>
                      <w:t xml:space="preserve"> destfile="target/my-application.jar" classes="target/classes" start-class="com.example.MyApplication"&gt;</w:t>
                    </w:r>
                  </w:p>
                  <w:p w14:paraId="41F5E1AE" w14:textId="77777777" w:rsidR="00711A16" w:rsidRDefault="00711A16">
                    <w:pPr>
                      <w:spacing w:line="280" w:lineRule="exact"/>
                      <w:ind w:left="640"/>
                      <w:rPr>
                        <w:rFonts w:ascii="MS Gothic"/>
                      </w:rPr>
                    </w:pPr>
                    <w:r>
                      <w:rPr>
                        <w:rFonts w:ascii="MS Gothic"/>
                        <w:color w:val="333333"/>
                      </w:rPr>
                      <w:t>&lt;resources&gt;</w:t>
                    </w:r>
                  </w:p>
                  <w:p w14:paraId="10DF9B4B" w14:textId="77777777" w:rsidR="00711A16" w:rsidRDefault="00711A16">
                    <w:pPr>
                      <w:spacing w:before="13"/>
                      <w:ind w:left="1080"/>
                      <w:rPr>
                        <w:rFonts w:ascii="MS Gothic"/>
                      </w:rPr>
                    </w:pPr>
                    <w:r>
                      <w:rPr>
                        <w:rFonts w:ascii="MS Gothic"/>
                        <w:color w:val="333333"/>
                      </w:rPr>
                      <w:t>&lt;fileset dir="src/main/resources" /&gt;</w:t>
                    </w:r>
                  </w:p>
                  <w:p w14:paraId="6D553FDF" w14:textId="77777777" w:rsidR="00711A16" w:rsidRDefault="00711A16">
                    <w:pPr>
                      <w:spacing w:before="13"/>
                      <w:ind w:left="640"/>
                      <w:rPr>
                        <w:rFonts w:ascii="MS Gothic"/>
                      </w:rPr>
                    </w:pPr>
                    <w:r>
                      <w:rPr>
                        <w:rFonts w:ascii="MS Gothic"/>
                        <w:color w:val="333333"/>
                      </w:rPr>
                      <w:t>&lt;/resources&gt;</w:t>
                    </w:r>
                  </w:p>
                  <w:p w14:paraId="7A802D9E" w14:textId="77777777" w:rsidR="00711A16" w:rsidRDefault="00711A16">
                    <w:pPr>
                      <w:spacing w:before="13"/>
                      <w:ind w:left="640"/>
                      <w:rPr>
                        <w:rFonts w:ascii="MS Gothic"/>
                      </w:rPr>
                    </w:pPr>
                    <w:r>
                      <w:rPr>
                        <w:rFonts w:ascii="MS Gothic"/>
                        <w:color w:val="333333"/>
                      </w:rPr>
                      <w:t>&lt;lib&gt;</w:t>
                    </w:r>
                  </w:p>
                  <w:p w14:paraId="2262FDE9" w14:textId="77777777" w:rsidR="00711A16" w:rsidRDefault="00711A16">
                    <w:pPr>
                      <w:spacing w:before="12"/>
                      <w:ind w:left="1080"/>
                      <w:rPr>
                        <w:rFonts w:ascii="MS Gothic"/>
                      </w:rPr>
                    </w:pPr>
                    <w:r>
                      <w:rPr>
                        <w:rFonts w:ascii="MS Gothic"/>
                        <w:color w:val="333333"/>
                      </w:rPr>
                      <w:t>&lt;fileset dir="lib" /&gt;</w:t>
                    </w:r>
                  </w:p>
                  <w:p w14:paraId="4AB3A2B2" w14:textId="77777777" w:rsidR="00711A16" w:rsidRDefault="00711A16">
                    <w:pPr>
                      <w:spacing w:before="13"/>
                      <w:ind w:left="640"/>
                      <w:rPr>
                        <w:rFonts w:ascii="MS Gothic"/>
                      </w:rPr>
                    </w:pPr>
                    <w:r>
                      <w:rPr>
                        <w:rFonts w:ascii="MS Gothic"/>
                        <w:color w:val="333333"/>
                      </w:rPr>
                      <w:t>&lt;/lib&gt;</w:t>
                    </w:r>
                  </w:p>
                  <w:p w14:paraId="68755257" w14:textId="77777777" w:rsidR="00711A16" w:rsidRDefault="00711A16">
                    <w:pPr>
                      <w:spacing w:before="13"/>
                      <w:ind w:left="200"/>
                      <w:rPr>
                        <w:rFonts w:ascii="MS Gothic"/>
                      </w:rPr>
                    </w:pPr>
                    <w:r>
                      <w:rPr>
                        <w:rFonts w:ascii="MS Gothic"/>
                        <w:color w:val="333333"/>
                      </w:rPr>
                      <w:t>&lt;/spring-</w:t>
                    </w:r>
                    <w:proofErr w:type="gramStart"/>
                    <w:r>
                      <w:rPr>
                        <w:rFonts w:ascii="MS Gothic"/>
                        <w:color w:val="333333"/>
                      </w:rPr>
                      <w:t>boot:exejar</w:t>
                    </w:r>
                    <w:proofErr w:type="gramEnd"/>
                    <w:r>
                      <w:rPr>
                        <w:rFonts w:ascii="MS Gothic"/>
                        <w:color w:val="333333"/>
                      </w:rPr>
                      <w:t>&gt;</w:t>
                    </w:r>
                  </w:p>
                </w:txbxContent>
              </v:textbox>
            </v:shape>
            <w10:wrap type="topAndBottom" anchorx="page"/>
          </v:group>
        </w:pict>
      </w:r>
      <w:r w:rsidR="0030286B">
        <w:rPr>
          <w:rFonts w:ascii="Palatino Linotype"/>
          <w:i/>
          <w:color w:val="333333"/>
          <w:w w:val="115"/>
          <w:sz w:val="20"/>
        </w:rPr>
        <w:t>Specify start-class</w:t>
      </w:r>
    </w:p>
    <w:p w14:paraId="156C0C73" w14:textId="77777777" w:rsidR="00A720EB" w:rsidRDefault="00A720EB">
      <w:pPr>
        <w:pStyle w:val="a3"/>
        <w:spacing w:before="9"/>
        <w:rPr>
          <w:rFonts w:ascii="Palatino Linotype"/>
          <w:i/>
          <w:sz w:val="8"/>
        </w:rPr>
      </w:pPr>
    </w:p>
    <w:p w14:paraId="6D264ACD" w14:textId="77777777" w:rsidR="00A720EB" w:rsidRDefault="00E10349">
      <w:pPr>
        <w:spacing w:before="103"/>
        <w:ind w:left="124"/>
        <w:rPr>
          <w:rFonts w:ascii="Palatino Linotype"/>
          <w:i/>
          <w:sz w:val="20"/>
        </w:rPr>
      </w:pPr>
      <w:r>
        <w:pict w14:anchorId="3D76E3F1">
          <v:group id="_x0000_s1687" style="position:absolute;left:0;text-align:left;margin-left:47.85pt;margin-top:22.9pt;width:499.55pt;height:96.45pt;z-index:-15132672;mso-wrap-distance-left:0;mso-wrap-distance-right:0;mso-position-horizontal-relative:page" coordorigin="957,458" coordsize="9991,1929">
            <v:shape id="_x0000_s1690" style="position:absolute;left:964;top:465;width:9976;height:1914" coordorigin="965,465" coordsize="9976,1914" path="m10861,465r-9816,l1014,472r-26,17l971,514r-6,31l965,2299r6,32l988,2356r26,17l1045,2379r9816,l10892,2373r25,-17l10935,2331r6,-32l10941,545r-6,-31l10917,489r-25,-17l10861,465xe" fillcolor="#f5f5f5" stroked="f">
              <v:path arrowok="t"/>
            </v:shape>
            <v:shape id="_x0000_s1689" style="position:absolute;left:964;top:465;width:9976;height:1914" coordorigin="965,465" coordsize="9976,1914" path="m1045,465r9816,l10892,472r25,17l10935,514r6,31l10941,2299r-6,32l10917,2356r-25,17l10861,2379r-9816,l1014,2373r-26,-17l971,2331r-6,-32l965,545r6,-31l988,489r26,-17l1045,465xe" filled="f" strokecolor="#ccc">
              <v:path arrowok="t"/>
            </v:shape>
            <v:shape id="_x0000_s1688" type="#_x0000_t202" style="position:absolute;left:984;top:480;width:9938;height:1884" filled="f" stroked="f">
              <v:textbox inset="0,0,0,0">
                <w:txbxContent>
                  <w:p w14:paraId="1D7F61D3" w14:textId="77777777" w:rsidR="00711A16" w:rsidRDefault="00711A16">
                    <w:pPr>
                      <w:spacing w:before="221"/>
                      <w:ind w:left="200"/>
                      <w:rPr>
                        <w:rFonts w:ascii="MS Gothic"/>
                      </w:rPr>
                    </w:pPr>
                    <w:r>
                      <w:rPr>
                        <w:rFonts w:ascii="MS Gothic"/>
                        <w:color w:val="333333"/>
                      </w:rPr>
                      <w:t>&lt;exejar destfile="target/my-application.jar" classes="target/classes"&gt;</w:t>
                    </w:r>
                  </w:p>
                  <w:p w14:paraId="3AD8AFCC" w14:textId="77777777" w:rsidR="00711A16" w:rsidRDefault="00711A16">
                    <w:pPr>
                      <w:spacing w:before="13"/>
                      <w:ind w:left="640"/>
                      <w:rPr>
                        <w:rFonts w:ascii="MS Gothic"/>
                      </w:rPr>
                    </w:pPr>
                    <w:r>
                      <w:rPr>
                        <w:rFonts w:ascii="MS Gothic"/>
                        <w:color w:val="333333"/>
                      </w:rPr>
                      <w:t>&lt;lib&gt;</w:t>
                    </w:r>
                  </w:p>
                  <w:p w14:paraId="25DCFE47" w14:textId="77777777" w:rsidR="00711A16" w:rsidRDefault="00711A16">
                    <w:pPr>
                      <w:spacing w:before="13"/>
                      <w:ind w:left="1080"/>
                      <w:rPr>
                        <w:rFonts w:ascii="MS Gothic"/>
                      </w:rPr>
                    </w:pPr>
                    <w:r>
                      <w:rPr>
                        <w:rFonts w:ascii="MS Gothic"/>
                        <w:color w:val="333333"/>
                      </w:rPr>
                      <w:t>&lt;fileset dir="lib" /&gt;</w:t>
                    </w:r>
                  </w:p>
                  <w:p w14:paraId="2A13A31D" w14:textId="77777777" w:rsidR="00711A16" w:rsidRDefault="00711A16">
                    <w:pPr>
                      <w:spacing w:before="13"/>
                      <w:ind w:left="640"/>
                      <w:rPr>
                        <w:rFonts w:ascii="MS Gothic"/>
                      </w:rPr>
                    </w:pPr>
                    <w:r>
                      <w:rPr>
                        <w:rFonts w:ascii="MS Gothic"/>
                        <w:color w:val="333333"/>
                      </w:rPr>
                      <w:t>&lt;/lib&gt;</w:t>
                    </w:r>
                  </w:p>
                  <w:p w14:paraId="4E6567A6" w14:textId="77777777" w:rsidR="00711A16" w:rsidRDefault="00711A16">
                    <w:pPr>
                      <w:spacing w:before="12"/>
                      <w:ind w:left="200"/>
                      <w:rPr>
                        <w:rFonts w:ascii="MS Gothic"/>
                      </w:rPr>
                    </w:pPr>
                    <w:r>
                      <w:rPr>
                        <w:rFonts w:ascii="MS Gothic"/>
                        <w:color w:val="333333"/>
                      </w:rPr>
                      <w:t>&lt;/exejar&gt;</w:t>
                    </w:r>
                  </w:p>
                </w:txbxContent>
              </v:textbox>
            </v:shape>
            <w10:wrap type="topAndBottom" anchorx="page"/>
          </v:group>
        </w:pict>
      </w:r>
      <w:r w:rsidR="0030286B">
        <w:rPr>
          <w:rFonts w:ascii="Palatino Linotype"/>
          <w:i/>
          <w:color w:val="333333"/>
          <w:w w:val="115"/>
          <w:sz w:val="20"/>
        </w:rPr>
        <w:t>Detect start-class</w:t>
      </w:r>
    </w:p>
    <w:p w14:paraId="71108F0F" w14:textId="77777777" w:rsidR="00A720EB" w:rsidRDefault="00A720EB">
      <w:pPr>
        <w:pStyle w:val="a3"/>
        <w:spacing w:before="9"/>
        <w:rPr>
          <w:rFonts w:ascii="Palatino Linotype"/>
          <w:i/>
          <w:sz w:val="14"/>
        </w:rPr>
      </w:pPr>
    </w:p>
    <w:p w14:paraId="234D2491" w14:textId="77777777" w:rsidR="00A720EB" w:rsidRDefault="0030286B">
      <w:pPr>
        <w:pStyle w:val="3"/>
        <w:numPr>
          <w:ilvl w:val="2"/>
          <w:numId w:val="15"/>
        </w:numPr>
        <w:tabs>
          <w:tab w:val="left" w:pos="858"/>
        </w:tabs>
        <w:spacing w:before="106"/>
        <w:ind w:hanging="734"/>
      </w:pPr>
      <w:bookmarkStart w:id="762" w:name="8.3.2._Using_the_“findmainclass”_Task"/>
      <w:bookmarkStart w:id="763" w:name="_Toc54423908"/>
      <w:bookmarkEnd w:id="762"/>
      <w:r>
        <w:rPr>
          <w:color w:val="333333"/>
          <w:w w:val="110"/>
        </w:rPr>
        <w:t>Using the “findmainclass”</w:t>
      </w:r>
      <w:r>
        <w:rPr>
          <w:color w:val="333333"/>
          <w:spacing w:val="-19"/>
          <w:w w:val="110"/>
        </w:rPr>
        <w:t xml:space="preserve"> </w:t>
      </w:r>
      <w:r>
        <w:rPr>
          <w:color w:val="333333"/>
          <w:spacing w:val="-3"/>
          <w:w w:val="110"/>
        </w:rPr>
        <w:t>Task</w:t>
      </w:r>
      <w:bookmarkEnd w:id="763"/>
    </w:p>
    <w:p w14:paraId="61809ABA" w14:textId="77777777" w:rsidR="00A720EB" w:rsidRDefault="0030286B">
      <w:pPr>
        <w:pStyle w:val="a3"/>
        <w:spacing w:before="243" w:line="290" w:lineRule="auto"/>
        <w:ind w:left="124"/>
      </w:pPr>
      <w:r>
        <w:rPr>
          <w:color w:val="333333"/>
          <w:w w:val="110"/>
        </w:rPr>
        <w:t xml:space="preserve">The </w:t>
      </w:r>
      <w:r>
        <w:rPr>
          <w:rFonts w:ascii="MS Gothic"/>
          <w:color w:val="B02045"/>
          <w:w w:val="110"/>
        </w:rPr>
        <w:t xml:space="preserve">findmainclass </w:t>
      </w:r>
      <w:r>
        <w:rPr>
          <w:color w:val="333333"/>
          <w:w w:val="110"/>
        </w:rPr>
        <w:t xml:space="preserve">task is used internally by </w:t>
      </w:r>
      <w:r>
        <w:rPr>
          <w:rFonts w:ascii="MS Gothic"/>
          <w:color w:val="B02045"/>
          <w:w w:val="110"/>
        </w:rPr>
        <w:t xml:space="preserve">exejar </w:t>
      </w:r>
      <w:r>
        <w:rPr>
          <w:color w:val="333333"/>
          <w:w w:val="110"/>
        </w:rPr>
        <w:t xml:space="preserve">to locate a class declaring a </w:t>
      </w:r>
      <w:r>
        <w:rPr>
          <w:rFonts w:ascii="MS Gothic"/>
          <w:color w:val="B02045"/>
          <w:w w:val="110"/>
        </w:rPr>
        <w:t>main</w:t>
      </w:r>
      <w:r>
        <w:rPr>
          <w:color w:val="333333"/>
          <w:w w:val="110"/>
        </w:rPr>
        <w:t>. If necessary, you can also use this task directly in your build. The following attributes are supported:</w:t>
      </w:r>
    </w:p>
    <w:p w14:paraId="1DBCB96C" w14:textId="77777777" w:rsidR="00A720EB" w:rsidRDefault="00A720EB">
      <w:pPr>
        <w:pStyle w:val="a3"/>
        <w:spacing w:before="2"/>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3990"/>
        <w:gridCol w:w="3990"/>
      </w:tblGrid>
      <w:tr w:rsidR="00A720EB" w14:paraId="2170D080" w14:textId="77777777">
        <w:trPr>
          <w:trHeight w:val="415"/>
        </w:trPr>
        <w:tc>
          <w:tcPr>
            <w:tcW w:w="1995" w:type="dxa"/>
            <w:tcBorders>
              <w:bottom w:val="single" w:sz="12" w:space="0" w:color="DDDDDD"/>
            </w:tcBorders>
          </w:tcPr>
          <w:p w14:paraId="6C2234A1" w14:textId="77777777" w:rsidR="00A720EB" w:rsidRDefault="0030286B">
            <w:pPr>
              <w:pStyle w:val="TableParagraph"/>
              <w:spacing w:before="74"/>
              <w:rPr>
                <w:rFonts w:ascii="Palatino Linotype"/>
                <w:b/>
                <w:sz w:val="21"/>
              </w:rPr>
            </w:pPr>
            <w:r>
              <w:rPr>
                <w:rFonts w:ascii="Palatino Linotype"/>
                <w:b/>
                <w:color w:val="333333"/>
                <w:w w:val="110"/>
                <w:sz w:val="21"/>
              </w:rPr>
              <w:t>Attribute</w:t>
            </w:r>
          </w:p>
        </w:tc>
        <w:tc>
          <w:tcPr>
            <w:tcW w:w="3990" w:type="dxa"/>
            <w:tcBorders>
              <w:bottom w:val="single" w:sz="12" w:space="0" w:color="DDDDDD"/>
            </w:tcBorders>
          </w:tcPr>
          <w:p w14:paraId="774A00DE"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c>
          <w:tcPr>
            <w:tcW w:w="3990" w:type="dxa"/>
            <w:tcBorders>
              <w:bottom w:val="single" w:sz="12" w:space="0" w:color="DDDDDD"/>
            </w:tcBorders>
          </w:tcPr>
          <w:p w14:paraId="6D103291" w14:textId="77777777" w:rsidR="00A720EB" w:rsidRDefault="0030286B">
            <w:pPr>
              <w:pStyle w:val="TableParagraph"/>
              <w:spacing w:before="74"/>
              <w:rPr>
                <w:rFonts w:ascii="Palatino Linotype"/>
                <w:b/>
                <w:sz w:val="21"/>
              </w:rPr>
            </w:pPr>
            <w:r>
              <w:rPr>
                <w:rFonts w:ascii="Palatino Linotype"/>
                <w:b/>
                <w:color w:val="333333"/>
                <w:w w:val="110"/>
                <w:sz w:val="21"/>
              </w:rPr>
              <w:t>Required</w:t>
            </w:r>
          </w:p>
        </w:tc>
      </w:tr>
      <w:tr w:rsidR="00A720EB" w14:paraId="76A2ED0A" w14:textId="77777777">
        <w:trPr>
          <w:trHeight w:val="415"/>
        </w:trPr>
        <w:tc>
          <w:tcPr>
            <w:tcW w:w="1995" w:type="dxa"/>
            <w:tcBorders>
              <w:top w:val="single" w:sz="12" w:space="0" w:color="DDDDDD"/>
            </w:tcBorders>
          </w:tcPr>
          <w:p w14:paraId="7FFB80A8" w14:textId="77777777" w:rsidR="00A720EB" w:rsidRDefault="0030286B">
            <w:pPr>
              <w:pStyle w:val="TableParagraph"/>
              <w:spacing w:before="30"/>
              <w:rPr>
                <w:sz w:val="21"/>
              </w:rPr>
            </w:pPr>
            <w:r>
              <w:rPr>
                <w:color w:val="B02045"/>
                <w:sz w:val="21"/>
              </w:rPr>
              <w:t>classesroot</w:t>
            </w:r>
          </w:p>
        </w:tc>
        <w:tc>
          <w:tcPr>
            <w:tcW w:w="3990" w:type="dxa"/>
            <w:tcBorders>
              <w:top w:val="single" w:sz="12" w:space="0" w:color="DDDDDD"/>
            </w:tcBorders>
          </w:tcPr>
          <w:p w14:paraId="6E83BC24" w14:textId="77777777" w:rsidR="00A720EB" w:rsidRDefault="0030286B">
            <w:pPr>
              <w:pStyle w:val="TableParagraph"/>
              <w:spacing w:before="84"/>
              <w:rPr>
                <w:rFonts w:ascii="Cambria"/>
                <w:sz w:val="21"/>
              </w:rPr>
            </w:pPr>
            <w:r>
              <w:rPr>
                <w:rFonts w:ascii="Cambria"/>
                <w:color w:val="333333"/>
                <w:w w:val="110"/>
                <w:sz w:val="21"/>
              </w:rPr>
              <w:t>The root directory of Java class files</w:t>
            </w:r>
          </w:p>
        </w:tc>
        <w:tc>
          <w:tcPr>
            <w:tcW w:w="3990" w:type="dxa"/>
            <w:tcBorders>
              <w:top w:val="single" w:sz="12" w:space="0" w:color="DDDDDD"/>
            </w:tcBorders>
          </w:tcPr>
          <w:p w14:paraId="4ED5AEE2" w14:textId="77777777" w:rsidR="00A720EB" w:rsidRDefault="0030286B">
            <w:pPr>
              <w:pStyle w:val="TableParagraph"/>
              <w:spacing w:before="64"/>
              <w:rPr>
                <w:rFonts w:ascii="Palatino Linotype"/>
                <w:i/>
                <w:sz w:val="21"/>
              </w:rPr>
            </w:pPr>
            <w:r>
              <w:rPr>
                <w:rFonts w:ascii="Cambria"/>
                <w:color w:val="333333"/>
                <w:spacing w:val="-6"/>
                <w:w w:val="110"/>
                <w:sz w:val="21"/>
              </w:rPr>
              <w:t xml:space="preserve">Yes </w:t>
            </w:r>
            <w:r>
              <w:rPr>
                <w:rFonts w:ascii="Palatino Linotype"/>
                <w:i/>
                <w:color w:val="333333"/>
                <w:w w:val="110"/>
                <w:sz w:val="21"/>
              </w:rPr>
              <w:t xml:space="preserve">(unless </w:t>
            </w:r>
            <w:r>
              <w:rPr>
                <w:rFonts w:ascii="宋体"/>
                <w:color w:val="B02045"/>
                <w:w w:val="110"/>
                <w:sz w:val="21"/>
              </w:rPr>
              <w:t>mainclass</w:t>
            </w:r>
            <w:r>
              <w:rPr>
                <w:rFonts w:ascii="宋体"/>
                <w:color w:val="B02045"/>
                <w:spacing w:val="-70"/>
                <w:w w:val="110"/>
                <w:sz w:val="21"/>
              </w:rPr>
              <w:t xml:space="preserve"> </w:t>
            </w:r>
            <w:r>
              <w:rPr>
                <w:rFonts w:ascii="Palatino Linotype"/>
                <w:i/>
                <w:color w:val="333333"/>
                <w:w w:val="110"/>
                <w:sz w:val="21"/>
              </w:rPr>
              <w:t>is specified)</w:t>
            </w:r>
          </w:p>
        </w:tc>
      </w:tr>
      <w:tr w:rsidR="00A720EB" w14:paraId="658AB6A5" w14:textId="77777777">
        <w:trPr>
          <w:trHeight w:val="741"/>
        </w:trPr>
        <w:tc>
          <w:tcPr>
            <w:tcW w:w="1995" w:type="dxa"/>
          </w:tcPr>
          <w:p w14:paraId="636C89C6" w14:textId="77777777" w:rsidR="00A720EB" w:rsidRDefault="0030286B">
            <w:pPr>
              <w:pStyle w:val="TableParagraph"/>
              <w:spacing w:before="40"/>
              <w:rPr>
                <w:sz w:val="21"/>
              </w:rPr>
            </w:pPr>
            <w:r>
              <w:rPr>
                <w:color w:val="B02045"/>
                <w:sz w:val="21"/>
              </w:rPr>
              <w:t>mainclass</w:t>
            </w:r>
          </w:p>
        </w:tc>
        <w:tc>
          <w:tcPr>
            <w:tcW w:w="3990" w:type="dxa"/>
          </w:tcPr>
          <w:p w14:paraId="55EE558F" w14:textId="77777777" w:rsidR="00A720EB" w:rsidRDefault="0030286B">
            <w:pPr>
              <w:pStyle w:val="TableParagraph"/>
              <w:spacing w:before="84"/>
              <w:rPr>
                <w:sz w:val="21"/>
              </w:rPr>
            </w:pPr>
            <w:r>
              <w:rPr>
                <w:rFonts w:ascii="Cambria"/>
                <w:color w:val="333333"/>
                <w:w w:val="110"/>
                <w:sz w:val="21"/>
              </w:rPr>
              <w:t xml:space="preserve">Can be used to short-circuit the </w:t>
            </w:r>
            <w:r>
              <w:rPr>
                <w:color w:val="B02045"/>
                <w:w w:val="110"/>
                <w:sz w:val="21"/>
              </w:rPr>
              <w:t>main</w:t>
            </w:r>
          </w:p>
          <w:p w14:paraId="3355269E" w14:textId="77777777" w:rsidR="00A720EB" w:rsidRDefault="0030286B">
            <w:pPr>
              <w:pStyle w:val="TableParagraph"/>
              <w:spacing w:before="57"/>
              <w:rPr>
                <w:rFonts w:ascii="Cambria"/>
                <w:sz w:val="21"/>
              </w:rPr>
            </w:pPr>
            <w:r>
              <w:rPr>
                <w:rFonts w:ascii="Cambria"/>
                <w:color w:val="333333"/>
                <w:w w:val="110"/>
                <w:sz w:val="21"/>
              </w:rPr>
              <w:t>class search</w:t>
            </w:r>
          </w:p>
        </w:tc>
        <w:tc>
          <w:tcPr>
            <w:tcW w:w="3990" w:type="dxa"/>
          </w:tcPr>
          <w:p w14:paraId="64B742CE" w14:textId="77777777" w:rsidR="00A720EB" w:rsidRDefault="0030286B">
            <w:pPr>
              <w:pStyle w:val="TableParagraph"/>
              <w:spacing w:before="94"/>
              <w:rPr>
                <w:rFonts w:ascii="Cambria"/>
                <w:sz w:val="21"/>
              </w:rPr>
            </w:pPr>
            <w:r>
              <w:rPr>
                <w:rFonts w:ascii="Cambria"/>
                <w:color w:val="333333"/>
                <w:w w:val="110"/>
                <w:sz w:val="21"/>
              </w:rPr>
              <w:t>No</w:t>
            </w:r>
          </w:p>
        </w:tc>
      </w:tr>
      <w:tr w:rsidR="00A720EB" w14:paraId="17E05F92" w14:textId="77777777">
        <w:trPr>
          <w:trHeight w:val="741"/>
        </w:trPr>
        <w:tc>
          <w:tcPr>
            <w:tcW w:w="1995" w:type="dxa"/>
          </w:tcPr>
          <w:p w14:paraId="158DC1AB" w14:textId="77777777" w:rsidR="00A720EB" w:rsidRDefault="0030286B">
            <w:pPr>
              <w:pStyle w:val="TableParagraph"/>
              <w:spacing w:before="40"/>
              <w:rPr>
                <w:sz w:val="21"/>
              </w:rPr>
            </w:pPr>
            <w:r>
              <w:rPr>
                <w:color w:val="B02045"/>
                <w:sz w:val="21"/>
              </w:rPr>
              <w:t>property</w:t>
            </w:r>
          </w:p>
        </w:tc>
        <w:tc>
          <w:tcPr>
            <w:tcW w:w="3990" w:type="dxa"/>
          </w:tcPr>
          <w:p w14:paraId="7A4B7BE8" w14:textId="77777777" w:rsidR="00A720EB" w:rsidRDefault="0030286B">
            <w:pPr>
              <w:pStyle w:val="TableParagraph"/>
              <w:spacing w:before="31" w:line="310" w:lineRule="atLeast"/>
              <w:rPr>
                <w:rFonts w:ascii="Cambria"/>
                <w:sz w:val="21"/>
              </w:rPr>
            </w:pPr>
            <w:r>
              <w:rPr>
                <w:rFonts w:ascii="Cambria"/>
                <w:color w:val="333333"/>
                <w:w w:val="110"/>
                <w:sz w:val="21"/>
              </w:rPr>
              <w:t>The Ant property that should be set with the result</w:t>
            </w:r>
          </w:p>
        </w:tc>
        <w:tc>
          <w:tcPr>
            <w:tcW w:w="3990" w:type="dxa"/>
          </w:tcPr>
          <w:p w14:paraId="3CDD7BBA" w14:textId="77777777" w:rsidR="00A720EB" w:rsidRDefault="0030286B">
            <w:pPr>
              <w:pStyle w:val="TableParagraph"/>
              <w:spacing w:before="74"/>
              <w:rPr>
                <w:rFonts w:ascii="Palatino Linotype"/>
                <w:i/>
                <w:sz w:val="21"/>
              </w:rPr>
            </w:pPr>
            <w:r>
              <w:rPr>
                <w:rFonts w:ascii="Cambria"/>
                <w:color w:val="333333"/>
                <w:w w:val="115"/>
                <w:sz w:val="21"/>
              </w:rPr>
              <w:t xml:space="preserve">No </w:t>
            </w:r>
            <w:r>
              <w:rPr>
                <w:rFonts w:ascii="Palatino Linotype"/>
                <w:i/>
                <w:color w:val="333333"/>
                <w:w w:val="115"/>
                <w:sz w:val="21"/>
              </w:rPr>
              <w:t>(result will be logged if unspecified)</w:t>
            </w:r>
          </w:p>
        </w:tc>
      </w:tr>
    </w:tbl>
    <w:p w14:paraId="15BF2514" w14:textId="77777777" w:rsidR="00A720EB" w:rsidRDefault="00A720EB">
      <w:pPr>
        <w:pStyle w:val="a3"/>
        <w:spacing w:before="6"/>
        <w:rPr>
          <w:sz w:val="28"/>
        </w:rPr>
      </w:pPr>
    </w:p>
    <w:p w14:paraId="60FE3D37" w14:textId="77777777" w:rsidR="00A720EB" w:rsidRDefault="0030286B">
      <w:pPr>
        <w:pStyle w:val="4"/>
        <w:jc w:val="left"/>
      </w:pPr>
      <w:bookmarkStart w:id="764" w:name="Examples"/>
      <w:bookmarkEnd w:id="764"/>
      <w:r>
        <w:rPr>
          <w:color w:val="333333"/>
          <w:w w:val="115"/>
        </w:rPr>
        <w:t>Examples</w:t>
      </w:r>
    </w:p>
    <w:p w14:paraId="147F55BA" w14:textId="77777777" w:rsidR="00A720EB" w:rsidRDefault="0030286B">
      <w:pPr>
        <w:pStyle w:val="a3"/>
        <w:spacing w:before="244"/>
        <w:ind w:left="124"/>
      </w:pPr>
      <w:r>
        <w:rPr>
          <w:color w:val="333333"/>
          <w:w w:val="110"/>
        </w:rPr>
        <w:t xml:space="preserve">This section contains three examples of using </w:t>
      </w:r>
      <w:r>
        <w:rPr>
          <w:rFonts w:ascii="MS Gothic"/>
          <w:color w:val="B02045"/>
          <w:w w:val="110"/>
        </w:rPr>
        <w:t>findmainclass</w:t>
      </w:r>
      <w:r>
        <w:rPr>
          <w:color w:val="333333"/>
          <w:w w:val="110"/>
        </w:rPr>
        <w:t>.</w:t>
      </w:r>
    </w:p>
    <w:p w14:paraId="740885E0" w14:textId="77777777" w:rsidR="00A720EB" w:rsidRDefault="00A720EB">
      <w:pPr>
        <w:pStyle w:val="a3"/>
        <w:spacing w:before="5"/>
        <w:rPr>
          <w:sz w:val="23"/>
        </w:rPr>
      </w:pPr>
    </w:p>
    <w:p w14:paraId="0604E341" w14:textId="77777777" w:rsidR="00A720EB" w:rsidRDefault="00E10349">
      <w:pPr>
        <w:ind w:left="124"/>
        <w:rPr>
          <w:rFonts w:ascii="Palatino Linotype"/>
          <w:i/>
          <w:sz w:val="20"/>
        </w:rPr>
      </w:pPr>
      <w:r>
        <w:pict w14:anchorId="15135B70">
          <v:group id="_x0000_s1683" style="position:absolute;left:0;text-align:left;margin-left:47.85pt;margin-top:17.75pt;width:499.55pt;height:37.5pt;z-index:-15132160;mso-wrap-distance-left:0;mso-wrap-distance-right:0;mso-position-horizontal-relative:page" coordorigin="957,355" coordsize="9991,750">
            <v:shape id="_x0000_s1686" style="position:absolute;left:964;top:362;width:9976;height:735" coordorigin="965,362" coordsize="9976,735" path="m10861,362r-9816,l1014,369r-26,17l971,411r-6,31l965,1017r6,31l988,1074r26,17l1045,1097r9816,l10892,1091r25,-17l10935,1048r6,-31l10941,442r-6,-31l10917,386r-25,-17l10861,362xe" fillcolor="#f5f5f5" stroked="f">
              <v:path arrowok="t"/>
            </v:shape>
            <v:shape id="_x0000_s1685" style="position:absolute;left:964;top:362;width:9976;height:735" coordorigin="965,362" coordsize="9976,735" path="m1045,362r9816,l10892,369r25,17l10935,411r6,31l10941,1017r-6,31l10917,1074r-25,17l10861,1097r-9816,l1014,1091r-26,-17l971,1048r-6,-31l965,442r6,-31l988,386r26,-17l1045,362xe" filled="f" strokecolor="#ccc">
              <v:path arrowok="t"/>
            </v:shape>
            <v:shape id="_x0000_s1684" type="#_x0000_t202" style="position:absolute;left:984;top:377;width:9938;height:704" filled="f" stroked="f">
              <v:textbox inset="0,0,0,0">
                <w:txbxContent>
                  <w:p w14:paraId="588CA5C3" w14:textId="77777777" w:rsidR="00711A16" w:rsidRDefault="00711A16">
                    <w:pPr>
                      <w:spacing w:before="221"/>
                      <w:ind w:left="200"/>
                      <w:rPr>
                        <w:rFonts w:ascii="MS Gothic"/>
                      </w:rPr>
                    </w:pPr>
                    <w:r>
                      <w:rPr>
                        <w:rFonts w:ascii="MS Gothic"/>
                        <w:color w:val="333333"/>
                      </w:rPr>
                      <w:t>&lt;findmainclass classesroot="target/classes" /&gt;</w:t>
                    </w:r>
                  </w:p>
                </w:txbxContent>
              </v:textbox>
            </v:shape>
            <w10:wrap type="topAndBottom" anchorx="page"/>
          </v:group>
        </w:pict>
      </w:r>
      <w:r w:rsidR="0030286B">
        <w:rPr>
          <w:rFonts w:ascii="Palatino Linotype"/>
          <w:i/>
          <w:color w:val="333333"/>
          <w:w w:val="115"/>
          <w:sz w:val="20"/>
        </w:rPr>
        <w:t>Find and</w:t>
      </w:r>
      <w:r w:rsidR="0030286B">
        <w:rPr>
          <w:rFonts w:ascii="Palatino Linotype"/>
          <w:i/>
          <w:color w:val="333333"/>
          <w:spacing w:val="-32"/>
          <w:w w:val="115"/>
          <w:sz w:val="20"/>
        </w:rPr>
        <w:t xml:space="preserve"> </w:t>
      </w:r>
      <w:r w:rsidR="0030286B">
        <w:rPr>
          <w:rFonts w:ascii="Palatino Linotype"/>
          <w:i/>
          <w:color w:val="333333"/>
          <w:w w:val="115"/>
          <w:sz w:val="20"/>
        </w:rPr>
        <w:t>log</w:t>
      </w:r>
    </w:p>
    <w:p w14:paraId="048EF847" w14:textId="77777777" w:rsidR="00A720EB" w:rsidRDefault="00A720EB">
      <w:pPr>
        <w:pStyle w:val="a3"/>
        <w:spacing w:before="9"/>
        <w:rPr>
          <w:rFonts w:ascii="Palatino Linotype"/>
          <w:i/>
          <w:sz w:val="8"/>
        </w:rPr>
      </w:pPr>
    </w:p>
    <w:p w14:paraId="7BD77017" w14:textId="77777777" w:rsidR="00A720EB" w:rsidRDefault="00E10349">
      <w:pPr>
        <w:spacing w:before="103"/>
        <w:ind w:left="124"/>
        <w:rPr>
          <w:rFonts w:ascii="Palatino Linotype"/>
          <w:i/>
          <w:sz w:val="20"/>
        </w:rPr>
      </w:pPr>
      <w:r>
        <w:pict w14:anchorId="22A79030">
          <v:group id="_x0000_s1679" style="position:absolute;left:0;text-align:left;margin-left:47.85pt;margin-top:22.1pt;width:499.55pt;height:37.5pt;z-index:-15131648;mso-wrap-distance-left:0;mso-wrap-distance-right:0;mso-position-horizontal-relative:page" coordorigin="957,442" coordsize="9991,750">
            <v:shape id="_x0000_s1682" style="position:absolute;left:964;top:449;width:9976;height:735" coordorigin="965,450" coordsize="9976,735" path="m10861,450r-9816,l1014,456r-26,17l971,499r-6,31l965,1105r6,31l988,1161r26,17l1045,1185r9816,l10892,1178r25,-17l10935,1136r6,-31l10941,530r-6,-31l10917,473r-25,-17l10861,450xe" fillcolor="#f5f5f5" stroked="f">
              <v:path arrowok="t"/>
            </v:shape>
            <v:shape id="_x0000_s1681" style="position:absolute;left:964;top:449;width:9976;height:735" coordorigin="965,450" coordsize="9976,735" path="m1045,450r9816,l10892,456r25,17l10935,499r6,31l10941,1105r-6,31l10917,1161r-25,17l10861,1185r-9816,l1014,1178r-26,-17l971,1136r-6,-31l965,530r6,-31l988,473r26,-17l1045,450xe" filled="f" strokecolor="#ccc">
              <v:path arrowok="t"/>
            </v:shape>
            <v:shape id="_x0000_s1680" type="#_x0000_t202" style="position:absolute;left:984;top:465;width:9938;height:704" filled="f" stroked="f">
              <v:textbox inset="0,0,0,0">
                <w:txbxContent>
                  <w:p w14:paraId="32119C96" w14:textId="77777777" w:rsidR="00711A16" w:rsidRDefault="00711A16">
                    <w:pPr>
                      <w:spacing w:before="221"/>
                      <w:ind w:left="200"/>
                      <w:rPr>
                        <w:rFonts w:ascii="MS Gothic"/>
                      </w:rPr>
                    </w:pPr>
                    <w:r>
                      <w:rPr>
                        <w:rFonts w:ascii="MS Gothic"/>
                        <w:color w:val="333333"/>
                      </w:rPr>
                      <w:t>&lt;findmainclass classesroot="target/classes" property="main-class" /&gt;</w:t>
                    </w:r>
                  </w:p>
                </w:txbxContent>
              </v:textbox>
            </v:shape>
            <w10:wrap type="topAndBottom" anchorx="page"/>
          </v:group>
        </w:pict>
      </w:r>
      <w:r w:rsidR="0030286B">
        <w:rPr>
          <w:rFonts w:ascii="Palatino Linotype"/>
          <w:i/>
          <w:color w:val="333333"/>
          <w:w w:val="115"/>
          <w:sz w:val="20"/>
        </w:rPr>
        <w:t>Find and</w:t>
      </w:r>
      <w:r w:rsidR="0030286B">
        <w:rPr>
          <w:rFonts w:ascii="Palatino Linotype"/>
          <w:i/>
          <w:color w:val="333333"/>
          <w:spacing w:val="-28"/>
          <w:w w:val="115"/>
          <w:sz w:val="20"/>
        </w:rPr>
        <w:t xml:space="preserve"> </w:t>
      </w:r>
      <w:r w:rsidR="0030286B">
        <w:rPr>
          <w:rFonts w:ascii="Palatino Linotype"/>
          <w:i/>
          <w:color w:val="333333"/>
          <w:w w:val="115"/>
          <w:sz w:val="20"/>
        </w:rPr>
        <w:t>set</w:t>
      </w:r>
    </w:p>
    <w:p w14:paraId="12F41A52" w14:textId="77777777" w:rsidR="00A720EB" w:rsidRDefault="00A720EB">
      <w:pPr>
        <w:rPr>
          <w:rFonts w:ascii="Palatino Linotype"/>
          <w:sz w:val="20"/>
        </w:rPr>
        <w:sectPr w:rsidR="00A720EB">
          <w:pgSz w:w="11910" w:h="16840"/>
          <w:pgMar w:top="640" w:right="840" w:bottom="520" w:left="840" w:header="0" w:footer="323" w:gutter="0"/>
          <w:cols w:space="720"/>
        </w:sectPr>
      </w:pPr>
    </w:p>
    <w:p w14:paraId="39A267EC" w14:textId="77777777" w:rsidR="00A720EB" w:rsidRDefault="00E10349">
      <w:pPr>
        <w:spacing w:before="79"/>
        <w:ind w:left="124"/>
        <w:rPr>
          <w:rFonts w:ascii="Palatino Linotype"/>
          <w:i/>
          <w:sz w:val="20"/>
        </w:rPr>
      </w:pPr>
      <w:r>
        <w:lastRenderedPageBreak/>
        <w:pict w14:anchorId="11533345">
          <v:group id="_x0000_s1675" style="position:absolute;left:0;text-align:left;margin-left:47.85pt;margin-top:21.7pt;width:499.55pt;height:37.5pt;z-index:-15131136;mso-wrap-distance-left:0;mso-wrap-distance-right:0;mso-position-horizontal-relative:page" coordorigin="957,434" coordsize="9991,750">
            <v:shape id="_x0000_s1678" style="position:absolute;left:964;top:441;width:9976;height:735" coordorigin="965,441" coordsize="9976,735" path="m10861,441r-9816,l1014,448r-26,17l971,490r-6,31l965,1096r6,31l988,1153r26,17l1045,1176r9816,l10892,1170r25,-17l10935,1127r6,-31l10941,521r-6,-31l10917,465r-25,-17l10861,441xe" fillcolor="#f5f5f5" stroked="f">
              <v:path arrowok="t"/>
            </v:shape>
            <v:shape id="_x0000_s1677" style="position:absolute;left:964;top:441;width:9976;height:735" coordorigin="965,441" coordsize="9976,735" path="m1045,441r9816,l10892,448r25,17l10935,490r6,31l10941,1096r-6,31l10917,1153r-25,17l10861,1176r-9816,l1014,1170r-26,-17l971,1127r-6,-31l965,521r6,-31l988,465r26,-17l1045,441xe" filled="f" strokecolor="#ccc">
              <v:path arrowok="t"/>
            </v:shape>
            <v:shape id="_x0000_s1676" type="#_x0000_t202" style="position:absolute;left:984;top:456;width:9938;height:704" filled="f" stroked="f">
              <v:textbox inset="0,0,0,0">
                <w:txbxContent>
                  <w:p w14:paraId="695B0F11" w14:textId="77777777" w:rsidR="00711A16" w:rsidRDefault="00711A16">
                    <w:pPr>
                      <w:spacing w:before="221"/>
                      <w:ind w:left="200"/>
                      <w:rPr>
                        <w:rFonts w:ascii="MS Gothic"/>
                      </w:rPr>
                    </w:pPr>
                    <w:r>
                      <w:rPr>
                        <w:rFonts w:ascii="MS Gothic"/>
                        <w:color w:val="333333"/>
                      </w:rPr>
                      <w:t>&lt;findmainclass mainclass="com.</w:t>
                    </w:r>
                    <w:proofErr w:type="gramStart"/>
                    <w:r>
                      <w:rPr>
                        <w:rFonts w:ascii="MS Gothic"/>
                        <w:color w:val="333333"/>
                      </w:rPr>
                      <w:t>example.MainClass</w:t>
                    </w:r>
                    <w:proofErr w:type="gramEnd"/>
                    <w:r>
                      <w:rPr>
                        <w:rFonts w:ascii="MS Gothic"/>
                        <w:color w:val="333333"/>
                      </w:rPr>
                      <w:t>" property="main-class" /&gt;</w:t>
                    </w:r>
                  </w:p>
                </w:txbxContent>
              </v:textbox>
            </v:shape>
            <w10:wrap type="topAndBottom" anchorx="page"/>
          </v:group>
        </w:pict>
      </w:r>
      <w:r w:rsidR="0030286B">
        <w:rPr>
          <w:rFonts w:ascii="Palatino Linotype"/>
          <w:i/>
          <w:color w:val="333333"/>
          <w:w w:val="115"/>
          <w:sz w:val="20"/>
        </w:rPr>
        <w:t>Override and set</w:t>
      </w:r>
    </w:p>
    <w:p w14:paraId="2679A20D" w14:textId="77777777" w:rsidR="00A720EB" w:rsidRDefault="00A720EB">
      <w:pPr>
        <w:pStyle w:val="a3"/>
        <w:spacing w:before="9"/>
        <w:rPr>
          <w:rFonts w:ascii="Palatino Linotype"/>
          <w:i/>
          <w:sz w:val="14"/>
        </w:rPr>
      </w:pPr>
    </w:p>
    <w:p w14:paraId="234A93FB" w14:textId="77777777" w:rsidR="00A720EB" w:rsidRDefault="0030286B">
      <w:pPr>
        <w:pStyle w:val="2"/>
        <w:numPr>
          <w:ilvl w:val="1"/>
          <w:numId w:val="16"/>
        </w:numPr>
        <w:tabs>
          <w:tab w:val="left" w:pos="832"/>
        </w:tabs>
        <w:spacing w:before="107"/>
      </w:pPr>
      <w:bookmarkStart w:id="765" w:name="8.4._Supporting_Other_Build_Systems"/>
      <w:bookmarkStart w:id="766" w:name="_Toc54423909"/>
      <w:bookmarkEnd w:id="765"/>
      <w:r>
        <w:rPr>
          <w:color w:val="333333"/>
          <w:w w:val="110"/>
        </w:rPr>
        <w:t>Supporting Other Build</w:t>
      </w:r>
      <w:r>
        <w:rPr>
          <w:color w:val="333333"/>
          <w:spacing w:val="-28"/>
          <w:w w:val="110"/>
        </w:rPr>
        <w:t xml:space="preserve"> </w:t>
      </w:r>
      <w:r>
        <w:rPr>
          <w:color w:val="333333"/>
          <w:w w:val="110"/>
        </w:rPr>
        <w:t>Systems</w:t>
      </w:r>
      <w:bookmarkEnd w:id="766"/>
    </w:p>
    <w:p w14:paraId="7F1BD40E" w14:textId="77777777" w:rsidR="00A720EB" w:rsidRDefault="0030286B">
      <w:pPr>
        <w:pStyle w:val="a3"/>
        <w:spacing w:before="253" w:line="307" w:lineRule="auto"/>
        <w:ind w:left="124" w:right="126"/>
        <w:jc w:val="both"/>
      </w:pPr>
      <w:r>
        <w:rPr>
          <w:color w:val="333333"/>
          <w:w w:val="110"/>
        </w:rPr>
        <w:t xml:space="preserve">If you want to use a build tool other than Maven, Gradle, or Ant, you likely need to develop your  </w:t>
      </w:r>
      <w:r>
        <w:rPr>
          <w:color w:val="333333"/>
          <w:spacing w:val="50"/>
          <w:w w:val="110"/>
        </w:rPr>
        <w:t xml:space="preserve"> </w:t>
      </w:r>
      <w:r>
        <w:rPr>
          <w:color w:val="333333"/>
          <w:w w:val="110"/>
        </w:rPr>
        <w:t>own plugin. Executable jars need to follow a specific format and certain entries need to be written    in</w:t>
      </w:r>
      <w:r>
        <w:rPr>
          <w:color w:val="333333"/>
          <w:spacing w:val="5"/>
          <w:w w:val="110"/>
        </w:rPr>
        <w:t xml:space="preserve"> </w:t>
      </w:r>
      <w:r>
        <w:rPr>
          <w:color w:val="333333"/>
          <w:w w:val="110"/>
        </w:rPr>
        <w:t>an</w:t>
      </w:r>
      <w:r>
        <w:rPr>
          <w:color w:val="333333"/>
          <w:spacing w:val="5"/>
          <w:w w:val="110"/>
        </w:rPr>
        <w:t xml:space="preserve"> </w:t>
      </w:r>
      <w:r>
        <w:rPr>
          <w:color w:val="333333"/>
          <w:w w:val="110"/>
        </w:rPr>
        <w:t>uncompressed</w:t>
      </w:r>
      <w:r>
        <w:rPr>
          <w:color w:val="333333"/>
          <w:spacing w:val="5"/>
          <w:w w:val="110"/>
        </w:rPr>
        <w:t xml:space="preserve"> </w:t>
      </w:r>
      <w:r>
        <w:rPr>
          <w:color w:val="333333"/>
          <w:w w:val="110"/>
        </w:rPr>
        <w:t>form</w:t>
      </w:r>
      <w:r>
        <w:rPr>
          <w:color w:val="333333"/>
          <w:spacing w:val="6"/>
          <w:w w:val="110"/>
        </w:rPr>
        <w:t xml:space="preserve"> </w:t>
      </w:r>
      <w:r>
        <w:rPr>
          <w:color w:val="333333"/>
          <w:w w:val="110"/>
        </w:rPr>
        <w:t>(see</w:t>
      </w:r>
      <w:r>
        <w:rPr>
          <w:color w:val="333333"/>
          <w:spacing w:val="7"/>
          <w:w w:val="110"/>
        </w:rPr>
        <w:t xml:space="preserve"> </w:t>
      </w:r>
      <w:r>
        <w:rPr>
          <w:color w:val="333333"/>
          <w:w w:val="110"/>
        </w:rPr>
        <w:t>the</w:t>
      </w:r>
      <w:r>
        <w:rPr>
          <w:color w:val="333333"/>
          <w:spacing w:val="6"/>
          <w:w w:val="110"/>
        </w:rPr>
        <w:t xml:space="preserve"> </w:t>
      </w:r>
      <w:r>
        <w:rPr>
          <w:color w:val="333333"/>
          <w:w w:val="110"/>
        </w:rPr>
        <w:t>“</w:t>
      </w:r>
      <w:hyperlink w:anchor="_bookmark691" w:history="1">
        <w:r>
          <w:rPr>
            <w:color w:val="418BCA"/>
            <w:w w:val="110"/>
          </w:rPr>
          <w:t>executable</w:t>
        </w:r>
        <w:r>
          <w:rPr>
            <w:color w:val="418BCA"/>
            <w:spacing w:val="6"/>
            <w:w w:val="110"/>
          </w:rPr>
          <w:t xml:space="preserve"> </w:t>
        </w:r>
        <w:r>
          <w:rPr>
            <w:color w:val="418BCA"/>
            <w:w w:val="110"/>
          </w:rPr>
          <w:t>jar</w:t>
        </w:r>
        <w:r>
          <w:rPr>
            <w:color w:val="418BCA"/>
            <w:spacing w:val="5"/>
            <w:w w:val="110"/>
          </w:rPr>
          <w:t xml:space="preserve"> </w:t>
        </w:r>
        <w:r>
          <w:rPr>
            <w:color w:val="418BCA"/>
            <w:w w:val="110"/>
          </w:rPr>
          <w:t>format</w:t>
        </w:r>
      </w:hyperlink>
      <w:r>
        <w:rPr>
          <w:color w:val="333333"/>
          <w:w w:val="110"/>
        </w:rPr>
        <w:t>”</w:t>
      </w:r>
      <w:r>
        <w:rPr>
          <w:color w:val="333333"/>
          <w:spacing w:val="7"/>
          <w:w w:val="110"/>
        </w:rPr>
        <w:t xml:space="preserve"> </w:t>
      </w:r>
      <w:r>
        <w:rPr>
          <w:color w:val="333333"/>
          <w:w w:val="110"/>
        </w:rPr>
        <w:t>section</w:t>
      </w:r>
      <w:r>
        <w:rPr>
          <w:color w:val="333333"/>
          <w:spacing w:val="6"/>
          <w:w w:val="110"/>
        </w:rPr>
        <w:t xml:space="preserve"> </w:t>
      </w:r>
      <w:r>
        <w:rPr>
          <w:color w:val="333333"/>
          <w:w w:val="110"/>
        </w:rPr>
        <w:t>in</w:t>
      </w:r>
      <w:r>
        <w:rPr>
          <w:color w:val="333333"/>
          <w:spacing w:val="5"/>
          <w:w w:val="110"/>
        </w:rPr>
        <w:t xml:space="preserve"> </w:t>
      </w:r>
      <w:r>
        <w:rPr>
          <w:color w:val="333333"/>
          <w:w w:val="110"/>
        </w:rPr>
        <w:t>the</w:t>
      </w:r>
      <w:r>
        <w:rPr>
          <w:color w:val="333333"/>
          <w:spacing w:val="7"/>
          <w:w w:val="110"/>
        </w:rPr>
        <w:t xml:space="preserve"> </w:t>
      </w:r>
      <w:r>
        <w:rPr>
          <w:color w:val="333333"/>
          <w:w w:val="110"/>
        </w:rPr>
        <w:t>appendix</w:t>
      </w:r>
      <w:r>
        <w:rPr>
          <w:color w:val="333333"/>
          <w:spacing w:val="5"/>
          <w:w w:val="110"/>
        </w:rPr>
        <w:t xml:space="preserve"> </w:t>
      </w:r>
      <w:r>
        <w:rPr>
          <w:color w:val="333333"/>
          <w:w w:val="110"/>
        </w:rPr>
        <w:t>for</w:t>
      </w:r>
      <w:r>
        <w:rPr>
          <w:color w:val="333333"/>
          <w:spacing w:val="6"/>
          <w:w w:val="110"/>
        </w:rPr>
        <w:t xml:space="preserve"> </w:t>
      </w:r>
      <w:r>
        <w:rPr>
          <w:color w:val="333333"/>
          <w:w w:val="110"/>
        </w:rPr>
        <w:t>details).</w:t>
      </w:r>
    </w:p>
    <w:p w14:paraId="69A30F0D" w14:textId="77777777" w:rsidR="00A720EB" w:rsidRDefault="0030286B">
      <w:pPr>
        <w:pStyle w:val="a3"/>
        <w:spacing w:before="231" w:line="290" w:lineRule="auto"/>
        <w:ind w:left="124" w:right="123"/>
        <w:jc w:val="both"/>
      </w:pPr>
      <w:r>
        <w:rPr>
          <w:color w:val="333333"/>
          <w:w w:val="110"/>
        </w:rPr>
        <w:t xml:space="preserve">The Spring Boot Maven and Gradle plugins both make use of </w:t>
      </w:r>
      <w:r>
        <w:rPr>
          <w:rFonts w:ascii="MS Gothic"/>
          <w:color w:val="B02045"/>
          <w:w w:val="110"/>
        </w:rPr>
        <w:t xml:space="preserve">spring-boot-loader-tools </w:t>
      </w:r>
      <w:r>
        <w:rPr>
          <w:color w:val="333333"/>
          <w:w w:val="110"/>
        </w:rPr>
        <w:t>to actually generate jars. If you need to, you may use this library directly.</w:t>
      </w:r>
    </w:p>
    <w:p w14:paraId="2F854A34" w14:textId="77777777" w:rsidR="00A720EB" w:rsidRDefault="00A720EB">
      <w:pPr>
        <w:pStyle w:val="a3"/>
        <w:spacing w:before="3"/>
        <w:rPr>
          <w:sz w:val="27"/>
        </w:rPr>
      </w:pPr>
    </w:p>
    <w:p w14:paraId="277C769F" w14:textId="77777777" w:rsidR="00A720EB" w:rsidRDefault="0030286B">
      <w:pPr>
        <w:pStyle w:val="3"/>
        <w:numPr>
          <w:ilvl w:val="2"/>
          <w:numId w:val="14"/>
        </w:numPr>
        <w:tabs>
          <w:tab w:val="left" w:pos="858"/>
        </w:tabs>
        <w:ind w:hanging="734"/>
      </w:pPr>
      <w:bookmarkStart w:id="767" w:name="8.4.1._Repackaging_Archives"/>
      <w:bookmarkStart w:id="768" w:name="_Toc54423910"/>
      <w:bookmarkEnd w:id="767"/>
      <w:r>
        <w:rPr>
          <w:color w:val="333333"/>
          <w:w w:val="110"/>
        </w:rPr>
        <w:t>Repackaging</w:t>
      </w:r>
      <w:r>
        <w:rPr>
          <w:color w:val="333333"/>
          <w:spacing w:val="-43"/>
          <w:w w:val="110"/>
        </w:rPr>
        <w:t xml:space="preserve"> </w:t>
      </w:r>
      <w:r>
        <w:rPr>
          <w:color w:val="333333"/>
          <w:w w:val="110"/>
        </w:rPr>
        <w:t>Archives</w:t>
      </w:r>
      <w:bookmarkEnd w:id="768"/>
    </w:p>
    <w:p w14:paraId="6CDF8168" w14:textId="77777777" w:rsidR="00A720EB" w:rsidRDefault="0030286B">
      <w:pPr>
        <w:pStyle w:val="a3"/>
        <w:spacing w:before="254" w:line="295" w:lineRule="auto"/>
        <w:ind w:left="124" w:right="122"/>
        <w:jc w:val="both"/>
      </w:pPr>
      <w:r>
        <w:rPr>
          <w:color w:val="333333"/>
          <w:spacing w:val="-4"/>
          <w:w w:val="110"/>
        </w:rPr>
        <w:t xml:space="preserve">To </w:t>
      </w:r>
      <w:r>
        <w:rPr>
          <w:color w:val="333333"/>
          <w:w w:val="110"/>
        </w:rPr>
        <w:t xml:space="preserve">repackage an existing archive so that it becomes a self-contained executable archive, use </w:t>
      </w:r>
      <w:proofErr w:type="gramStart"/>
      <w:r>
        <w:rPr>
          <w:rFonts w:ascii="MS Gothic"/>
          <w:color w:val="B02045"/>
          <w:w w:val="105"/>
        </w:rPr>
        <w:t>org.springframework</w:t>
      </w:r>
      <w:proofErr w:type="gramEnd"/>
      <w:r>
        <w:rPr>
          <w:rFonts w:ascii="MS Gothic"/>
          <w:color w:val="B02045"/>
          <w:w w:val="105"/>
        </w:rPr>
        <w:t>.boot.loader.tools.Repackager</w:t>
      </w:r>
      <w:r>
        <w:rPr>
          <w:color w:val="333333"/>
          <w:w w:val="105"/>
        </w:rPr>
        <w:t xml:space="preserve">. The </w:t>
      </w:r>
      <w:r>
        <w:rPr>
          <w:rFonts w:ascii="MS Gothic"/>
          <w:color w:val="B02045"/>
          <w:w w:val="105"/>
        </w:rPr>
        <w:t xml:space="preserve">Repackager </w:t>
      </w:r>
      <w:r>
        <w:rPr>
          <w:color w:val="333333"/>
          <w:w w:val="105"/>
        </w:rPr>
        <w:t xml:space="preserve">class takes a single constructor </w:t>
      </w:r>
      <w:r>
        <w:rPr>
          <w:color w:val="333333"/>
          <w:w w:val="110"/>
        </w:rPr>
        <w:t xml:space="preserve">argument that refers to an existing jar or war archive. Use one of the two available </w:t>
      </w:r>
      <w:proofErr w:type="gramStart"/>
      <w:r>
        <w:rPr>
          <w:rFonts w:ascii="MS Gothic"/>
          <w:color w:val="B02045"/>
          <w:w w:val="110"/>
        </w:rPr>
        <w:t>repackage(</w:t>
      </w:r>
      <w:proofErr w:type="gramEnd"/>
      <w:r>
        <w:rPr>
          <w:rFonts w:ascii="MS Gothic"/>
          <w:color w:val="B02045"/>
          <w:w w:val="110"/>
        </w:rPr>
        <w:t xml:space="preserve">) </w:t>
      </w:r>
      <w:r>
        <w:rPr>
          <w:color w:val="333333"/>
          <w:w w:val="110"/>
        </w:rPr>
        <w:t xml:space="preserve">methods to either replace the original file or write to a new destination. </w:t>
      </w:r>
      <w:r>
        <w:rPr>
          <w:color w:val="333333"/>
          <w:spacing w:val="-3"/>
          <w:w w:val="110"/>
        </w:rPr>
        <w:t xml:space="preserve">Various </w:t>
      </w:r>
      <w:r>
        <w:rPr>
          <w:color w:val="333333"/>
          <w:w w:val="110"/>
        </w:rPr>
        <w:t>settings can also be configured on the repackager before it is</w:t>
      </w:r>
      <w:r>
        <w:rPr>
          <w:color w:val="333333"/>
          <w:spacing w:val="23"/>
          <w:w w:val="110"/>
        </w:rPr>
        <w:t xml:space="preserve"> </w:t>
      </w:r>
      <w:r>
        <w:rPr>
          <w:color w:val="333333"/>
          <w:w w:val="110"/>
        </w:rPr>
        <w:t>run.</w:t>
      </w:r>
    </w:p>
    <w:p w14:paraId="55747634" w14:textId="77777777" w:rsidR="00A720EB" w:rsidRDefault="00A720EB">
      <w:pPr>
        <w:pStyle w:val="a3"/>
        <w:spacing w:before="4"/>
        <w:rPr>
          <w:sz w:val="26"/>
        </w:rPr>
      </w:pPr>
    </w:p>
    <w:p w14:paraId="6FE799CE" w14:textId="77777777" w:rsidR="00A720EB" w:rsidRDefault="0030286B">
      <w:pPr>
        <w:pStyle w:val="3"/>
        <w:numPr>
          <w:ilvl w:val="2"/>
          <w:numId w:val="14"/>
        </w:numPr>
        <w:tabs>
          <w:tab w:val="left" w:pos="858"/>
        </w:tabs>
        <w:ind w:hanging="734"/>
      </w:pPr>
      <w:bookmarkStart w:id="769" w:name="8.4.2._Nested_Libraries"/>
      <w:bookmarkStart w:id="770" w:name="_Toc54423911"/>
      <w:bookmarkEnd w:id="769"/>
      <w:r>
        <w:rPr>
          <w:color w:val="333333"/>
          <w:w w:val="110"/>
        </w:rPr>
        <w:t>Nested</w:t>
      </w:r>
      <w:r>
        <w:rPr>
          <w:color w:val="333333"/>
          <w:spacing w:val="-5"/>
          <w:w w:val="110"/>
        </w:rPr>
        <w:t xml:space="preserve"> </w:t>
      </w:r>
      <w:r>
        <w:rPr>
          <w:color w:val="333333"/>
          <w:w w:val="110"/>
        </w:rPr>
        <w:t>Libraries</w:t>
      </w:r>
      <w:bookmarkEnd w:id="770"/>
    </w:p>
    <w:p w14:paraId="230469C6" w14:textId="77777777" w:rsidR="00A720EB" w:rsidRDefault="0030286B">
      <w:pPr>
        <w:pStyle w:val="a3"/>
        <w:spacing w:before="254" w:line="290" w:lineRule="auto"/>
        <w:ind w:left="124" w:right="128"/>
        <w:jc w:val="both"/>
      </w:pPr>
      <w:r>
        <w:rPr>
          <w:color w:val="333333"/>
          <w:w w:val="110"/>
        </w:rPr>
        <w:t xml:space="preserve">When repackaging an archive, you can include references to dependency files by using the </w:t>
      </w:r>
      <w:proofErr w:type="gramStart"/>
      <w:r>
        <w:rPr>
          <w:rFonts w:ascii="MS Gothic"/>
          <w:color w:val="B02045"/>
          <w:w w:val="110"/>
        </w:rPr>
        <w:t>org.springframework</w:t>
      </w:r>
      <w:proofErr w:type="gramEnd"/>
      <w:r>
        <w:rPr>
          <w:rFonts w:ascii="MS Gothic"/>
          <w:color w:val="B02045"/>
          <w:w w:val="110"/>
        </w:rPr>
        <w:t xml:space="preserve">.boot.loader.tools.Libraries </w:t>
      </w:r>
      <w:r>
        <w:rPr>
          <w:color w:val="333333"/>
          <w:w w:val="110"/>
        </w:rPr>
        <w:t xml:space="preserve">interface. We do not provide any concrete implementations of </w:t>
      </w:r>
      <w:r>
        <w:rPr>
          <w:rFonts w:ascii="MS Gothic"/>
          <w:color w:val="B02045"/>
          <w:w w:val="110"/>
        </w:rPr>
        <w:t xml:space="preserve">Libraries </w:t>
      </w:r>
      <w:r>
        <w:rPr>
          <w:color w:val="333333"/>
          <w:w w:val="110"/>
        </w:rPr>
        <w:t>here as they are usually build-system-specific.</w:t>
      </w:r>
    </w:p>
    <w:p w14:paraId="7B5AA72B" w14:textId="77777777" w:rsidR="00A720EB" w:rsidRDefault="0030286B">
      <w:pPr>
        <w:pStyle w:val="a3"/>
        <w:spacing w:before="227"/>
        <w:ind w:left="124"/>
        <w:jc w:val="both"/>
      </w:pPr>
      <w:r>
        <w:rPr>
          <w:color w:val="333333"/>
          <w:w w:val="110"/>
        </w:rPr>
        <w:t xml:space="preserve">If your archive already includes libraries, you can use </w:t>
      </w:r>
      <w:r>
        <w:rPr>
          <w:rFonts w:ascii="MS Gothic"/>
          <w:color w:val="B02045"/>
          <w:w w:val="110"/>
        </w:rPr>
        <w:t>Libraries.NONE</w:t>
      </w:r>
      <w:r>
        <w:rPr>
          <w:color w:val="333333"/>
          <w:w w:val="110"/>
        </w:rPr>
        <w:t>.</w:t>
      </w:r>
    </w:p>
    <w:p w14:paraId="5FCC1F72" w14:textId="77777777" w:rsidR="00A720EB" w:rsidRDefault="00A720EB">
      <w:pPr>
        <w:pStyle w:val="a3"/>
        <w:spacing w:before="6"/>
        <w:rPr>
          <w:sz w:val="30"/>
        </w:rPr>
      </w:pPr>
    </w:p>
    <w:p w14:paraId="34DF37F3" w14:textId="77777777" w:rsidR="00A720EB" w:rsidRDefault="0030286B">
      <w:pPr>
        <w:pStyle w:val="3"/>
        <w:numPr>
          <w:ilvl w:val="2"/>
          <w:numId w:val="14"/>
        </w:numPr>
        <w:tabs>
          <w:tab w:val="left" w:pos="858"/>
        </w:tabs>
        <w:ind w:hanging="734"/>
      </w:pPr>
      <w:bookmarkStart w:id="771" w:name="8.4.3._Finding_a_Main_Class"/>
      <w:bookmarkStart w:id="772" w:name="_Toc54423912"/>
      <w:bookmarkEnd w:id="771"/>
      <w:r>
        <w:rPr>
          <w:color w:val="333333"/>
          <w:w w:val="110"/>
        </w:rPr>
        <w:t>Finding a Main</w:t>
      </w:r>
      <w:r>
        <w:rPr>
          <w:color w:val="333333"/>
          <w:spacing w:val="-16"/>
          <w:w w:val="110"/>
        </w:rPr>
        <w:t xml:space="preserve"> </w:t>
      </w:r>
      <w:r>
        <w:rPr>
          <w:color w:val="333333"/>
          <w:w w:val="110"/>
        </w:rPr>
        <w:t>Class</w:t>
      </w:r>
      <w:bookmarkEnd w:id="772"/>
    </w:p>
    <w:p w14:paraId="72722F74" w14:textId="77777777" w:rsidR="00A720EB" w:rsidRDefault="0030286B">
      <w:pPr>
        <w:pStyle w:val="a3"/>
        <w:spacing w:before="244" w:line="285" w:lineRule="auto"/>
        <w:ind w:left="124" w:right="122"/>
        <w:jc w:val="both"/>
      </w:pPr>
      <w:r>
        <w:rPr>
          <w:color w:val="333333"/>
          <w:w w:val="110"/>
        </w:rPr>
        <w:t xml:space="preserve">If you do not use </w:t>
      </w:r>
      <w:r>
        <w:rPr>
          <w:rFonts w:ascii="MS Gothic"/>
          <w:color w:val="B02045"/>
          <w:w w:val="110"/>
        </w:rPr>
        <w:t xml:space="preserve">Repackager.setMainClass() </w:t>
      </w:r>
      <w:r>
        <w:rPr>
          <w:color w:val="333333"/>
          <w:w w:val="110"/>
        </w:rPr>
        <w:t xml:space="preserve">to specify a main class, the repackager uses </w:t>
      </w:r>
      <w:hyperlink r:id="rId583">
        <w:r>
          <w:rPr>
            <w:color w:val="418BCA"/>
            <w:w w:val="110"/>
          </w:rPr>
          <w:t>ASM</w:t>
        </w:r>
      </w:hyperlink>
      <w:r>
        <w:rPr>
          <w:color w:val="418BCA"/>
          <w:w w:val="110"/>
        </w:rPr>
        <w:t xml:space="preserve"> </w:t>
      </w:r>
      <w:r>
        <w:rPr>
          <w:color w:val="333333"/>
          <w:w w:val="110"/>
        </w:rPr>
        <w:t xml:space="preserve">to read class files and tries to find a suitable class with a </w:t>
      </w:r>
      <w:r>
        <w:rPr>
          <w:rFonts w:ascii="MS Gothic"/>
          <w:color w:val="B02045"/>
          <w:w w:val="110"/>
        </w:rPr>
        <w:t xml:space="preserve">public static void main(String[] args) </w:t>
      </w:r>
      <w:r>
        <w:rPr>
          <w:color w:val="333333"/>
          <w:w w:val="110"/>
        </w:rPr>
        <w:t>method. An exception is thrown if more than one candidate is found.</w:t>
      </w:r>
    </w:p>
    <w:p w14:paraId="21936E9A" w14:textId="77777777" w:rsidR="00A720EB" w:rsidRDefault="00A720EB">
      <w:pPr>
        <w:pStyle w:val="a3"/>
        <w:spacing w:before="8"/>
        <w:rPr>
          <w:sz w:val="27"/>
        </w:rPr>
      </w:pPr>
    </w:p>
    <w:p w14:paraId="3006CE5B" w14:textId="77777777" w:rsidR="00A720EB" w:rsidRDefault="0030286B">
      <w:pPr>
        <w:pStyle w:val="3"/>
        <w:numPr>
          <w:ilvl w:val="2"/>
          <w:numId w:val="14"/>
        </w:numPr>
        <w:tabs>
          <w:tab w:val="left" w:pos="858"/>
        </w:tabs>
        <w:ind w:hanging="734"/>
      </w:pPr>
      <w:bookmarkStart w:id="773" w:name="8.4.4._Example_Repackage_Implementation"/>
      <w:bookmarkStart w:id="774" w:name="_Toc54423913"/>
      <w:bookmarkEnd w:id="773"/>
      <w:r>
        <w:rPr>
          <w:color w:val="333333"/>
          <w:w w:val="110"/>
        </w:rPr>
        <w:t>Example Repackage</w:t>
      </w:r>
      <w:r>
        <w:rPr>
          <w:color w:val="333333"/>
          <w:spacing w:val="-10"/>
          <w:w w:val="110"/>
        </w:rPr>
        <w:t xml:space="preserve"> </w:t>
      </w:r>
      <w:r>
        <w:rPr>
          <w:color w:val="333333"/>
          <w:w w:val="110"/>
        </w:rPr>
        <w:t>Implementation</w:t>
      </w:r>
      <w:bookmarkEnd w:id="774"/>
    </w:p>
    <w:p w14:paraId="10274CAF" w14:textId="77777777" w:rsidR="00A720EB" w:rsidRDefault="0030286B">
      <w:pPr>
        <w:pStyle w:val="a3"/>
        <w:spacing w:before="254"/>
        <w:ind w:left="124"/>
        <w:jc w:val="both"/>
      </w:pPr>
      <w:r>
        <w:rPr>
          <w:color w:val="333333"/>
          <w:w w:val="110"/>
        </w:rPr>
        <w:t>The following example shows a typical repackage implementation:</w:t>
      </w:r>
    </w:p>
    <w:p w14:paraId="4EB57DF6" w14:textId="77777777" w:rsidR="00A720EB" w:rsidRDefault="00A720EB">
      <w:pPr>
        <w:jc w:val="both"/>
        <w:sectPr w:rsidR="00A720EB">
          <w:pgSz w:w="11910" w:h="16840"/>
          <w:pgMar w:top="640" w:right="840" w:bottom="520" w:left="840" w:header="0" w:footer="323" w:gutter="0"/>
          <w:cols w:space="720"/>
        </w:sectPr>
      </w:pPr>
    </w:p>
    <w:p w14:paraId="23AE1C89" w14:textId="77777777" w:rsidR="00A720EB" w:rsidRDefault="00E10349">
      <w:pPr>
        <w:pStyle w:val="a3"/>
        <w:ind w:left="116"/>
        <w:rPr>
          <w:sz w:val="20"/>
        </w:rPr>
      </w:pPr>
      <w:r>
        <w:rPr>
          <w:sz w:val="20"/>
        </w:rPr>
      </w:r>
      <w:r>
        <w:rPr>
          <w:sz w:val="20"/>
        </w:rPr>
        <w:pict w14:anchorId="70C2C101">
          <v:group id="_x0000_s1671" style="width:499.55pt;height:155.45pt;mso-position-horizontal-relative:char;mso-position-vertical-relative:line" coordsize="9991,3109">
            <v:shape id="_x0000_s1674" style="position:absolute;left:7;top:7;width:9976;height:3094" coordorigin="8,8" coordsize="9976,3094" path="m9904,8l88,8,56,14,31,31,14,56,8,88r,2933l14,3052r17,25l56,3094r32,7l9904,3101r31,-7l9960,3077r17,-25l9984,3021r,-2933l9977,56,9960,31,9935,14,9904,8xe" fillcolor="#f5f5f5" stroked="f">
              <v:path arrowok="t"/>
            </v:shape>
            <v:shape id="_x0000_s1673" style="position:absolute;left:7;top:7;width:9976;height:3094" coordorigin="8,8" coordsize="9976,3094" path="m88,8r9816,l9935,14r25,17l9977,56r7,32l9984,3021r-7,31l9960,3077r-25,17l9904,3101r-9816,l56,3094,31,3077,14,3052,8,3021,8,88,14,56,31,31,56,14,88,8xe" filled="f" strokecolor="#ccc">
              <v:path arrowok="t"/>
            </v:shape>
            <v:shape id="_x0000_s1672" type="#_x0000_t202" style="position:absolute;left:26;top:22;width:9938;height:3063" filled="f" stroked="f">
              <v:textbox inset="0,0,0,0">
                <w:txbxContent>
                  <w:p w14:paraId="5EC26473" w14:textId="77777777" w:rsidR="00711A16" w:rsidRDefault="00711A16">
                    <w:pPr>
                      <w:spacing w:before="221" w:line="252" w:lineRule="auto"/>
                      <w:ind w:left="200" w:right="3778"/>
                      <w:rPr>
                        <w:rFonts w:ascii="MS Gothic"/>
                      </w:rPr>
                    </w:pPr>
                    <w:r>
                      <w:rPr>
                        <w:rFonts w:ascii="MS Gothic"/>
                        <w:color w:val="333333"/>
                      </w:rPr>
                      <w:t xml:space="preserve">Repackager repackager = new Repackager(sourceJarFile); </w:t>
                    </w:r>
                    <w:proofErr w:type="gramStart"/>
                    <w:r>
                      <w:rPr>
                        <w:rFonts w:ascii="MS Gothic"/>
                        <w:color w:val="333333"/>
                      </w:rPr>
                      <w:t>repackager.setBackupSource</w:t>
                    </w:r>
                    <w:proofErr w:type="gramEnd"/>
                    <w:r>
                      <w:rPr>
                        <w:rFonts w:ascii="MS Gothic"/>
                        <w:color w:val="333333"/>
                      </w:rPr>
                      <w:t>(false); repackager.repackage(new Libraries() {</w:t>
                    </w:r>
                  </w:p>
                  <w:p w14:paraId="6294699D" w14:textId="77777777" w:rsidR="00711A16" w:rsidRDefault="00711A16">
                    <w:pPr>
                      <w:spacing w:line="278" w:lineRule="exact"/>
                      <w:ind w:left="1520"/>
                      <w:rPr>
                        <w:rFonts w:ascii="MS Gothic"/>
                      </w:rPr>
                    </w:pPr>
                    <w:r>
                      <w:rPr>
                        <w:rFonts w:ascii="MS Gothic"/>
                        <w:color w:val="333333"/>
                      </w:rPr>
                      <w:t>@Override</w:t>
                    </w:r>
                  </w:p>
                  <w:p w14:paraId="72A4A411" w14:textId="77777777" w:rsidR="00711A16" w:rsidRDefault="00711A16">
                    <w:pPr>
                      <w:spacing w:before="13"/>
                      <w:ind w:left="1520"/>
                      <w:rPr>
                        <w:rFonts w:ascii="MS Gothic"/>
                      </w:rPr>
                    </w:pPr>
                    <w:r>
                      <w:rPr>
                        <w:rFonts w:ascii="MS Gothic"/>
                        <w:color w:val="333333"/>
                      </w:rPr>
                      <w:t xml:space="preserve">public void </w:t>
                    </w:r>
                    <w:proofErr w:type="gramStart"/>
                    <w:r>
                      <w:rPr>
                        <w:rFonts w:ascii="MS Gothic"/>
                        <w:color w:val="333333"/>
                      </w:rPr>
                      <w:t>doWithLibraries(</w:t>
                    </w:r>
                    <w:proofErr w:type="gramEnd"/>
                    <w:r>
                      <w:rPr>
                        <w:rFonts w:ascii="MS Gothic"/>
                        <w:color w:val="333333"/>
                      </w:rPr>
                      <w:t>LibraryCallback callback) throws IOException {</w:t>
                    </w:r>
                  </w:p>
                  <w:p w14:paraId="31371FEE" w14:textId="77777777" w:rsidR="00711A16" w:rsidRDefault="00711A16">
                    <w:pPr>
                      <w:spacing w:before="13"/>
                      <w:ind w:left="1960"/>
                      <w:rPr>
                        <w:rFonts w:ascii="MS Gothic"/>
                      </w:rPr>
                    </w:pPr>
                    <w:r>
                      <w:rPr>
                        <w:rFonts w:ascii="MS Gothic"/>
                        <w:color w:val="333333"/>
                      </w:rPr>
                      <w:t>// Build system specific implementation, callback for each dependency</w:t>
                    </w:r>
                  </w:p>
                  <w:p w14:paraId="2AD0BBC3" w14:textId="77777777" w:rsidR="00711A16" w:rsidRDefault="00711A16">
                    <w:pPr>
                      <w:spacing w:before="13"/>
                      <w:ind w:left="1960"/>
                      <w:rPr>
                        <w:rFonts w:ascii="MS Gothic"/>
                      </w:rPr>
                    </w:pPr>
                    <w:r>
                      <w:rPr>
                        <w:rFonts w:ascii="MS Gothic"/>
                        <w:color w:val="333333"/>
                      </w:rPr>
                      <w:t xml:space="preserve">// </w:t>
                    </w:r>
                    <w:proofErr w:type="gramStart"/>
                    <w:r>
                      <w:rPr>
                        <w:rFonts w:ascii="MS Gothic"/>
                        <w:color w:val="333333"/>
                      </w:rPr>
                      <w:t>callback.library</w:t>
                    </w:r>
                    <w:proofErr w:type="gramEnd"/>
                    <w:r>
                      <w:rPr>
                        <w:rFonts w:ascii="MS Gothic"/>
                        <w:color w:val="333333"/>
                      </w:rPr>
                      <w:t>(new Library(nestedFile, LibraryScope.COMPILE));</w:t>
                    </w:r>
                  </w:p>
                  <w:p w14:paraId="24BFFA90" w14:textId="77777777" w:rsidR="00711A16" w:rsidRDefault="00711A16">
                    <w:pPr>
                      <w:spacing w:before="12"/>
                      <w:ind w:left="1520"/>
                      <w:rPr>
                        <w:rFonts w:ascii="MS Gothic"/>
                      </w:rPr>
                    </w:pPr>
                    <w:r>
                      <w:rPr>
                        <w:rFonts w:ascii="MS Gothic"/>
                        <w:color w:val="333333"/>
                      </w:rPr>
                      <w:t>}</w:t>
                    </w:r>
                  </w:p>
                  <w:p w14:paraId="73FC2E2A" w14:textId="77777777" w:rsidR="00711A16" w:rsidRDefault="00711A16">
                    <w:pPr>
                      <w:spacing w:before="13"/>
                      <w:ind w:left="1080"/>
                      <w:rPr>
                        <w:rFonts w:ascii="MS Gothic"/>
                      </w:rPr>
                    </w:pPr>
                    <w:r>
                      <w:rPr>
                        <w:rFonts w:ascii="MS Gothic"/>
                        <w:color w:val="333333"/>
                      </w:rPr>
                      <w:t>});</w:t>
                    </w:r>
                  </w:p>
                </w:txbxContent>
              </v:textbox>
            </v:shape>
            <w10:anchorlock/>
          </v:group>
        </w:pict>
      </w:r>
    </w:p>
    <w:p w14:paraId="69898943" w14:textId="77777777" w:rsidR="00A720EB" w:rsidRDefault="00A720EB">
      <w:pPr>
        <w:pStyle w:val="a3"/>
        <w:spacing w:before="3"/>
        <w:rPr>
          <w:sz w:val="16"/>
        </w:rPr>
      </w:pPr>
    </w:p>
    <w:p w14:paraId="5C63B2D8" w14:textId="77777777" w:rsidR="00A720EB" w:rsidRDefault="0030286B">
      <w:pPr>
        <w:pStyle w:val="2"/>
        <w:numPr>
          <w:ilvl w:val="1"/>
          <w:numId w:val="16"/>
        </w:numPr>
        <w:tabs>
          <w:tab w:val="left" w:pos="832"/>
        </w:tabs>
        <w:spacing w:before="107"/>
      </w:pPr>
      <w:bookmarkStart w:id="775" w:name="8.5._What_to_Read_Next"/>
      <w:bookmarkStart w:id="776" w:name="_Toc54423914"/>
      <w:bookmarkEnd w:id="775"/>
      <w:r>
        <w:rPr>
          <w:color w:val="333333"/>
          <w:w w:val="110"/>
        </w:rPr>
        <w:t>What to Read</w:t>
      </w:r>
      <w:r>
        <w:rPr>
          <w:color w:val="333333"/>
          <w:spacing w:val="-20"/>
          <w:w w:val="110"/>
        </w:rPr>
        <w:t xml:space="preserve"> </w:t>
      </w:r>
      <w:r>
        <w:rPr>
          <w:color w:val="333333"/>
          <w:w w:val="110"/>
        </w:rPr>
        <w:t>Next</w:t>
      </w:r>
      <w:bookmarkEnd w:id="776"/>
    </w:p>
    <w:p w14:paraId="77D0EAB2" w14:textId="77777777" w:rsidR="00A720EB" w:rsidRDefault="0030286B">
      <w:pPr>
        <w:pStyle w:val="a3"/>
        <w:spacing w:before="243"/>
        <w:ind w:left="124"/>
        <w:rPr>
          <w:rFonts w:ascii="MS Gothic"/>
        </w:rPr>
      </w:pPr>
      <w:r>
        <w:rPr>
          <w:color w:val="333333"/>
          <w:w w:val="110"/>
        </w:rPr>
        <w:t xml:space="preserve">If you are interested in how the build tool plugins work, you can look at the </w:t>
      </w:r>
      <w:hyperlink r:id="rId584">
        <w:r>
          <w:rPr>
            <w:rFonts w:ascii="MS Gothic"/>
            <w:color w:val="B02045"/>
            <w:w w:val="110"/>
          </w:rPr>
          <w:t>spring-boot-tools</w:t>
        </w:r>
      </w:hyperlink>
    </w:p>
    <w:p w14:paraId="24C8B3E3" w14:textId="77777777" w:rsidR="00A720EB" w:rsidRDefault="0030286B">
      <w:pPr>
        <w:pStyle w:val="a3"/>
        <w:spacing w:before="57" w:line="542" w:lineRule="auto"/>
        <w:ind w:left="124" w:right="300"/>
      </w:pPr>
      <w:r>
        <w:rPr>
          <w:color w:val="333333"/>
          <w:w w:val="110"/>
        </w:rPr>
        <w:t xml:space="preserve">module on GitHub. More technical details of the executable jar format are covered in  </w:t>
      </w:r>
      <w:hyperlink w:anchor="_bookmark691" w:history="1">
        <w:r>
          <w:rPr>
            <w:color w:val="418BCA"/>
            <w:w w:val="110"/>
          </w:rPr>
          <w:t>the appendix</w:t>
        </w:r>
      </w:hyperlink>
      <w:r>
        <w:rPr>
          <w:color w:val="333333"/>
          <w:w w:val="110"/>
        </w:rPr>
        <w:t>.  If you have specific build-related questions, you can check out the “</w:t>
      </w:r>
      <w:hyperlink w:anchor="_bookmark525" w:history="1">
        <w:r>
          <w:rPr>
            <w:color w:val="418BCA"/>
            <w:w w:val="110"/>
          </w:rPr>
          <w:t>how-to</w:t>
        </w:r>
      </w:hyperlink>
      <w:r>
        <w:rPr>
          <w:color w:val="333333"/>
          <w:w w:val="110"/>
        </w:rPr>
        <w:t>” guides.</w:t>
      </w:r>
    </w:p>
    <w:p w14:paraId="42A9E3CE" w14:textId="77777777" w:rsidR="00A720EB" w:rsidRDefault="00A720EB">
      <w:pPr>
        <w:spacing w:line="542" w:lineRule="auto"/>
        <w:sectPr w:rsidR="00A720EB">
          <w:pgSz w:w="11910" w:h="16840"/>
          <w:pgMar w:top="700" w:right="840" w:bottom="520" w:left="840" w:header="0" w:footer="323" w:gutter="0"/>
          <w:cols w:space="720"/>
        </w:sectPr>
      </w:pPr>
    </w:p>
    <w:p w14:paraId="0A953599" w14:textId="77777777" w:rsidR="00A720EB" w:rsidRDefault="0030286B">
      <w:pPr>
        <w:spacing w:before="90"/>
        <w:ind w:left="124"/>
        <w:jc w:val="both"/>
        <w:rPr>
          <w:rFonts w:ascii="Palatino Linotype" w:hAnsi="Palatino Linotype"/>
          <w:b/>
          <w:sz w:val="44"/>
        </w:rPr>
      </w:pPr>
      <w:bookmarkStart w:id="777" w:name="Chapter_9._“How-to”_Guides"/>
      <w:bookmarkEnd w:id="777"/>
      <w:r>
        <w:rPr>
          <w:rFonts w:ascii="Palatino Linotype" w:hAnsi="Palatino Linotype"/>
          <w:b/>
          <w:color w:val="333333"/>
          <w:w w:val="110"/>
          <w:sz w:val="44"/>
        </w:rPr>
        <w:lastRenderedPageBreak/>
        <w:t>Chapter 9. “How-to” Guides</w:t>
      </w:r>
    </w:p>
    <w:p w14:paraId="1935E74E" w14:textId="77777777" w:rsidR="00A720EB" w:rsidRDefault="0030286B">
      <w:pPr>
        <w:pStyle w:val="a3"/>
        <w:spacing w:before="252" w:line="307" w:lineRule="auto"/>
        <w:ind w:left="124" w:right="132"/>
        <w:jc w:val="both"/>
      </w:pPr>
      <w:r>
        <w:rPr>
          <w:color w:val="333333"/>
          <w:w w:val="110"/>
        </w:rPr>
        <w:t>This section provides answers to some common ‘how do I do that…’ questions that often arise when using Spring Boot. Its coverage is not exhaustive, but it does cover quite a lot.</w:t>
      </w:r>
    </w:p>
    <w:p w14:paraId="43F76211" w14:textId="77777777" w:rsidR="00A720EB" w:rsidRDefault="0030286B">
      <w:pPr>
        <w:pStyle w:val="a3"/>
        <w:spacing w:before="241" w:line="302" w:lineRule="auto"/>
        <w:ind w:left="124" w:right="131"/>
        <w:jc w:val="both"/>
      </w:pPr>
      <w:r>
        <w:rPr>
          <w:color w:val="333333"/>
          <w:w w:val="110"/>
        </w:rPr>
        <w:t>If you have a specific problem that we do not cover here, you might want to check out</w:t>
      </w:r>
      <w:r>
        <w:rPr>
          <w:color w:val="333333"/>
          <w:spacing w:val="50"/>
          <w:w w:val="110"/>
        </w:rPr>
        <w:t xml:space="preserve"> </w:t>
      </w:r>
      <w:hyperlink r:id="rId585">
        <w:r>
          <w:rPr>
            <w:color w:val="418BCA"/>
            <w:w w:val="110"/>
          </w:rPr>
          <w:t>stackoverflow.com</w:t>
        </w:r>
      </w:hyperlink>
      <w:r>
        <w:rPr>
          <w:color w:val="418BCA"/>
          <w:w w:val="110"/>
        </w:rPr>
        <w:t xml:space="preserve"> </w:t>
      </w:r>
      <w:r>
        <w:rPr>
          <w:color w:val="333333"/>
          <w:w w:val="110"/>
        </w:rPr>
        <w:t xml:space="preserve">to see if someone has already provided an answer. This is also a great place </w:t>
      </w:r>
      <w:proofErr w:type="gramStart"/>
      <w:r>
        <w:rPr>
          <w:color w:val="333333"/>
          <w:w w:val="110"/>
        </w:rPr>
        <w:t>to  ask</w:t>
      </w:r>
      <w:proofErr w:type="gramEnd"/>
      <w:r>
        <w:rPr>
          <w:color w:val="333333"/>
          <w:w w:val="110"/>
        </w:rPr>
        <w:t xml:space="preserve"> new questions (please use the </w:t>
      </w:r>
      <w:r>
        <w:rPr>
          <w:rFonts w:ascii="MS Gothic"/>
          <w:color w:val="B02045"/>
          <w:w w:val="110"/>
        </w:rPr>
        <w:t>spring-boot</w:t>
      </w:r>
      <w:r>
        <w:rPr>
          <w:rFonts w:ascii="MS Gothic"/>
          <w:color w:val="B02045"/>
          <w:spacing w:val="-52"/>
          <w:w w:val="110"/>
        </w:rPr>
        <w:t xml:space="preserve"> </w:t>
      </w:r>
      <w:r>
        <w:rPr>
          <w:color w:val="333333"/>
          <w:w w:val="110"/>
        </w:rPr>
        <w:t>tag).</w:t>
      </w:r>
    </w:p>
    <w:p w14:paraId="047A1200" w14:textId="77777777" w:rsidR="00A720EB" w:rsidRDefault="0030286B">
      <w:pPr>
        <w:pStyle w:val="a3"/>
        <w:spacing w:before="228" w:line="307" w:lineRule="auto"/>
        <w:ind w:left="124" w:right="123"/>
        <w:jc w:val="both"/>
      </w:pPr>
      <w:r>
        <w:rPr>
          <w:color w:val="333333"/>
          <w:w w:val="110"/>
        </w:rPr>
        <w:t xml:space="preserve">We are also more than happy to extend this section. If you want to add a ‘how-to’, send us a </w:t>
      </w:r>
      <w:hyperlink r:id="rId586">
        <w:r>
          <w:rPr>
            <w:color w:val="418BCA"/>
            <w:w w:val="110"/>
          </w:rPr>
          <w:t>pull</w:t>
        </w:r>
      </w:hyperlink>
      <w:r>
        <w:rPr>
          <w:color w:val="418BCA"/>
          <w:w w:val="110"/>
        </w:rPr>
        <w:t xml:space="preserve"> </w:t>
      </w:r>
      <w:hyperlink r:id="rId587">
        <w:r>
          <w:rPr>
            <w:color w:val="418BCA"/>
            <w:w w:val="110"/>
          </w:rPr>
          <w:t>request</w:t>
        </w:r>
      </w:hyperlink>
      <w:r>
        <w:rPr>
          <w:color w:val="333333"/>
          <w:w w:val="110"/>
        </w:rPr>
        <w:t>.</w:t>
      </w:r>
    </w:p>
    <w:p w14:paraId="5A114C16" w14:textId="77777777" w:rsidR="00A720EB" w:rsidRDefault="00A720EB">
      <w:pPr>
        <w:pStyle w:val="a3"/>
        <w:spacing w:before="10"/>
        <w:rPr>
          <w:sz w:val="25"/>
        </w:rPr>
      </w:pPr>
    </w:p>
    <w:p w14:paraId="64A0C9C6" w14:textId="77777777" w:rsidR="00A720EB" w:rsidRDefault="0030286B">
      <w:pPr>
        <w:pStyle w:val="2"/>
        <w:numPr>
          <w:ilvl w:val="1"/>
          <w:numId w:val="13"/>
        </w:numPr>
        <w:tabs>
          <w:tab w:val="left" w:pos="832"/>
        </w:tabs>
      </w:pPr>
      <w:bookmarkStart w:id="778" w:name="9.1._Spring_Boot_Application"/>
      <w:bookmarkStart w:id="779" w:name="_Toc54423915"/>
      <w:bookmarkEnd w:id="778"/>
      <w:r>
        <w:rPr>
          <w:color w:val="333333"/>
          <w:w w:val="110"/>
        </w:rPr>
        <w:t>Spring Boot</w:t>
      </w:r>
      <w:r>
        <w:rPr>
          <w:color w:val="333333"/>
          <w:spacing w:val="-17"/>
          <w:w w:val="110"/>
        </w:rPr>
        <w:t xml:space="preserve"> </w:t>
      </w:r>
      <w:r>
        <w:rPr>
          <w:color w:val="333333"/>
          <w:w w:val="110"/>
        </w:rPr>
        <w:t>Application</w:t>
      </w:r>
      <w:bookmarkEnd w:id="779"/>
    </w:p>
    <w:p w14:paraId="07698C59" w14:textId="77777777" w:rsidR="00A720EB" w:rsidRDefault="0030286B">
      <w:pPr>
        <w:pStyle w:val="a3"/>
        <w:spacing w:before="253"/>
        <w:ind w:left="124"/>
        <w:jc w:val="both"/>
      </w:pPr>
      <w:r>
        <w:rPr>
          <w:color w:val="333333"/>
          <w:w w:val="110"/>
        </w:rPr>
        <w:t>This section includes topics relating directly to Spring Boot applications.</w:t>
      </w:r>
    </w:p>
    <w:p w14:paraId="7739D685" w14:textId="77777777" w:rsidR="00A720EB" w:rsidRDefault="00A720EB">
      <w:pPr>
        <w:pStyle w:val="a3"/>
        <w:spacing w:before="7"/>
        <w:rPr>
          <w:sz w:val="31"/>
        </w:rPr>
      </w:pPr>
    </w:p>
    <w:p w14:paraId="00E7A242" w14:textId="77777777" w:rsidR="00A720EB" w:rsidRDefault="0030286B">
      <w:pPr>
        <w:pStyle w:val="3"/>
        <w:numPr>
          <w:ilvl w:val="2"/>
          <w:numId w:val="13"/>
        </w:numPr>
        <w:tabs>
          <w:tab w:val="left" w:pos="858"/>
        </w:tabs>
        <w:ind w:hanging="734"/>
      </w:pPr>
      <w:bookmarkStart w:id="780" w:name="9.1.1._Create_Your_Own_FailureAnalyzer"/>
      <w:bookmarkStart w:id="781" w:name="_Toc54423916"/>
      <w:bookmarkEnd w:id="780"/>
      <w:r>
        <w:rPr>
          <w:color w:val="333333"/>
          <w:w w:val="110"/>
        </w:rPr>
        <w:t xml:space="preserve">Create </w:t>
      </w:r>
      <w:r>
        <w:rPr>
          <w:color w:val="333333"/>
          <w:spacing w:val="-6"/>
          <w:w w:val="110"/>
        </w:rPr>
        <w:t xml:space="preserve">Your </w:t>
      </w:r>
      <w:r>
        <w:rPr>
          <w:color w:val="333333"/>
          <w:w w:val="110"/>
        </w:rPr>
        <w:t>Own</w:t>
      </w:r>
      <w:r>
        <w:rPr>
          <w:color w:val="333333"/>
          <w:spacing w:val="-10"/>
          <w:w w:val="110"/>
        </w:rPr>
        <w:t xml:space="preserve"> </w:t>
      </w:r>
      <w:r>
        <w:rPr>
          <w:color w:val="333333"/>
          <w:w w:val="110"/>
        </w:rPr>
        <w:t>FailureAnalyzer</w:t>
      </w:r>
      <w:bookmarkEnd w:id="781"/>
    </w:p>
    <w:p w14:paraId="51486DDB" w14:textId="77777777" w:rsidR="00A720EB" w:rsidRDefault="00E10349">
      <w:pPr>
        <w:pStyle w:val="a3"/>
        <w:spacing w:before="244" w:line="292" w:lineRule="auto"/>
        <w:ind w:left="124" w:right="129"/>
        <w:jc w:val="both"/>
      </w:pPr>
      <w:hyperlink r:id="rId588">
        <w:r w:rsidR="0030286B">
          <w:rPr>
            <w:rFonts w:ascii="MS Gothic"/>
            <w:color w:val="B02045"/>
            <w:w w:val="110"/>
          </w:rPr>
          <w:t xml:space="preserve">FailureAnalyzer </w:t>
        </w:r>
      </w:hyperlink>
      <w:r w:rsidR="0030286B">
        <w:rPr>
          <w:color w:val="333333"/>
          <w:w w:val="110"/>
        </w:rPr>
        <w:t xml:space="preserve">is a great way to intercept an exception on startup and turn it into a human- readable message, wrapped in a </w:t>
      </w:r>
      <w:hyperlink r:id="rId589">
        <w:r w:rsidR="0030286B">
          <w:rPr>
            <w:rFonts w:ascii="MS Gothic"/>
            <w:color w:val="B02045"/>
            <w:w w:val="110"/>
          </w:rPr>
          <w:t>FailureAnalysis</w:t>
        </w:r>
      </w:hyperlink>
      <w:r w:rsidR="0030286B">
        <w:rPr>
          <w:color w:val="333333"/>
          <w:w w:val="110"/>
        </w:rPr>
        <w:t xml:space="preserve">. Spring Boot provides such an analyzer for application-context-related exceptions, JSR-303 validations, and more. </w:t>
      </w:r>
      <w:r w:rsidR="0030286B">
        <w:rPr>
          <w:color w:val="333333"/>
          <w:spacing w:val="-6"/>
          <w:w w:val="110"/>
        </w:rPr>
        <w:t xml:space="preserve">You </w:t>
      </w:r>
      <w:r w:rsidR="0030286B">
        <w:rPr>
          <w:color w:val="333333"/>
          <w:w w:val="110"/>
        </w:rPr>
        <w:t>can also</w:t>
      </w:r>
      <w:r w:rsidR="0030286B">
        <w:rPr>
          <w:color w:val="333333"/>
          <w:spacing w:val="50"/>
          <w:w w:val="110"/>
        </w:rPr>
        <w:t xml:space="preserve"> </w:t>
      </w:r>
      <w:proofErr w:type="gramStart"/>
      <w:r w:rsidR="0030286B">
        <w:rPr>
          <w:color w:val="333333"/>
          <w:w w:val="110"/>
        </w:rPr>
        <w:t>create  your</w:t>
      </w:r>
      <w:proofErr w:type="gramEnd"/>
      <w:r w:rsidR="0030286B">
        <w:rPr>
          <w:color w:val="333333"/>
          <w:w w:val="110"/>
        </w:rPr>
        <w:t xml:space="preserve"> own.</w:t>
      </w:r>
    </w:p>
    <w:p w14:paraId="62AB4705" w14:textId="77777777" w:rsidR="00A720EB" w:rsidRDefault="0030286B">
      <w:pPr>
        <w:pStyle w:val="a3"/>
        <w:spacing w:before="245" w:line="297" w:lineRule="auto"/>
        <w:ind w:left="124" w:right="124"/>
        <w:jc w:val="both"/>
      </w:pPr>
      <w:r>
        <w:rPr>
          <w:rFonts w:ascii="MS Gothic"/>
          <w:color w:val="B02045"/>
          <w:w w:val="110"/>
        </w:rPr>
        <w:t>AbstractFailureAnalyzer</w:t>
      </w:r>
      <w:r>
        <w:rPr>
          <w:rFonts w:ascii="MS Gothic"/>
          <w:color w:val="B02045"/>
          <w:spacing w:val="-77"/>
          <w:w w:val="110"/>
        </w:rPr>
        <w:t xml:space="preserve"> </w:t>
      </w:r>
      <w:r>
        <w:rPr>
          <w:color w:val="333333"/>
          <w:w w:val="110"/>
        </w:rPr>
        <w:t>is</w:t>
      </w:r>
      <w:r>
        <w:rPr>
          <w:color w:val="333333"/>
          <w:spacing w:val="-12"/>
          <w:w w:val="110"/>
        </w:rPr>
        <w:t xml:space="preserve"> </w:t>
      </w:r>
      <w:r>
        <w:rPr>
          <w:color w:val="333333"/>
          <w:w w:val="110"/>
        </w:rPr>
        <w:t>a</w:t>
      </w:r>
      <w:r>
        <w:rPr>
          <w:color w:val="333333"/>
          <w:spacing w:val="-12"/>
          <w:w w:val="110"/>
        </w:rPr>
        <w:t xml:space="preserve"> </w:t>
      </w:r>
      <w:r>
        <w:rPr>
          <w:color w:val="333333"/>
          <w:w w:val="110"/>
        </w:rPr>
        <w:t>convenient</w:t>
      </w:r>
      <w:r>
        <w:rPr>
          <w:color w:val="333333"/>
          <w:spacing w:val="-12"/>
          <w:w w:val="110"/>
        </w:rPr>
        <w:t xml:space="preserve"> </w:t>
      </w:r>
      <w:r>
        <w:rPr>
          <w:color w:val="333333"/>
          <w:w w:val="110"/>
        </w:rPr>
        <w:t>extension</w:t>
      </w:r>
      <w:r>
        <w:rPr>
          <w:color w:val="333333"/>
          <w:spacing w:val="-12"/>
          <w:w w:val="110"/>
        </w:rPr>
        <w:t xml:space="preserve"> </w:t>
      </w:r>
      <w:r>
        <w:rPr>
          <w:color w:val="333333"/>
          <w:w w:val="110"/>
        </w:rPr>
        <w:t>of</w:t>
      </w:r>
      <w:r>
        <w:rPr>
          <w:color w:val="333333"/>
          <w:spacing w:val="-12"/>
          <w:w w:val="110"/>
        </w:rPr>
        <w:t xml:space="preserve"> </w:t>
      </w:r>
      <w:r>
        <w:rPr>
          <w:rFonts w:ascii="MS Gothic"/>
          <w:color w:val="B02045"/>
          <w:w w:val="110"/>
        </w:rPr>
        <w:t>FailureAnalyzer</w:t>
      </w:r>
      <w:r>
        <w:rPr>
          <w:rFonts w:ascii="MS Gothic"/>
          <w:color w:val="B02045"/>
          <w:spacing w:val="-76"/>
          <w:w w:val="110"/>
        </w:rPr>
        <w:t xml:space="preserve"> </w:t>
      </w:r>
      <w:r>
        <w:rPr>
          <w:color w:val="333333"/>
          <w:w w:val="110"/>
        </w:rPr>
        <w:t>that</w:t>
      </w:r>
      <w:r>
        <w:rPr>
          <w:color w:val="333333"/>
          <w:spacing w:val="-12"/>
          <w:w w:val="110"/>
        </w:rPr>
        <w:t xml:space="preserve"> </w:t>
      </w:r>
      <w:r>
        <w:rPr>
          <w:color w:val="333333"/>
          <w:w w:val="110"/>
        </w:rPr>
        <w:t>checks</w:t>
      </w:r>
      <w:r>
        <w:rPr>
          <w:color w:val="333333"/>
          <w:spacing w:val="-12"/>
          <w:w w:val="110"/>
        </w:rPr>
        <w:t xml:space="preserve"> </w:t>
      </w:r>
      <w:r>
        <w:rPr>
          <w:color w:val="333333"/>
          <w:w w:val="110"/>
        </w:rPr>
        <w:t>the</w:t>
      </w:r>
      <w:r>
        <w:rPr>
          <w:color w:val="333333"/>
          <w:spacing w:val="-12"/>
          <w:w w:val="110"/>
        </w:rPr>
        <w:t xml:space="preserve"> </w:t>
      </w:r>
      <w:r>
        <w:rPr>
          <w:color w:val="333333"/>
          <w:w w:val="110"/>
        </w:rPr>
        <w:t>presence</w:t>
      </w:r>
      <w:r>
        <w:rPr>
          <w:color w:val="333333"/>
          <w:spacing w:val="-12"/>
          <w:w w:val="110"/>
        </w:rPr>
        <w:t xml:space="preserve"> </w:t>
      </w:r>
      <w:r>
        <w:rPr>
          <w:color w:val="333333"/>
          <w:w w:val="110"/>
        </w:rPr>
        <w:t>of</w:t>
      </w:r>
      <w:r>
        <w:rPr>
          <w:color w:val="333333"/>
          <w:spacing w:val="-12"/>
          <w:w w:val="110"/>
        </w:rPr>
        <w:t xml:space="preserve"> </w:t>
      </w:r>
      <w:r>
        <w:rPr>
          <w:color w:val="333333"/>
          <w:w w:val="110"/>
        </w:rPr>
        <w:t xml:space="preserve">a specified exception type in the exception to handle. </w:t>
      </w:r>
      <w:r>
        <w:rPr>
          <w:color w:val="333333"/>
          <w:spacing w:val="-6"/>
          <w:w w:val="110"/>
        </w:rPr>
        <w:t xml:space="preserve">You </w:t>
      </w:r>
      <w:r>
        <w:rPr>
          <w:color w:val="333333"/>
          <w:w w:val="110"/>
        </w:rPr>
        <w:t xml:space="preserve">can extend from that so that </w:t>
      </w:r>
      <w:proofErr w:type="gramStart"/>
      <w:r>
        <w:rPr>
          <w:color w:val="333333"/>
          <w:w w:val="110"/>
        </w:rPr>
        <w:t>your  implementation</w:t>
      </w:r>
      <w:proofErr w:type="gramEnd"/>
      <w:r>
        <w:rPr>
          <w:color w:val="333333"/>
          <w:w w:val="110"/>
        </w:rPr>
        <w:t xml:space="preserve"> gets a chance to handle the exception only when it is actually present. If, for whatever reason, you cannot handle the exception, return </w:t>
      </w:r>
      <w:r>
        <w:rPr>
          <w:rFonts w:ascii="MS Gothic"/>
          <w:color w:val="B02045"/>
          <w:w w:val="110"/>
        </w:rPr>
        <w:t xml:space="preserve">null </w:t>
      </w:r>
      <w:r>
        <w:rPr>
          <w:color w:val="333333"/>
          <w:w w:val="110"/>
        </w:rPr>
        <w:t>to give another implementation a chance to handle the</w:t>
      </w:r>
      <w:r>
        <w:rPr>
          <w:color w:val="333333"/>
          <w:spacing w:val="13"/>
          <w:w w:val="110"/>
        </w:rPr>
        <w:t xml:space="preserve"> </w:t>
      </w:r>
      <w:r>
        <w:rPr>
          <w:color w:val="333333"/>
          <w:w w:val="110"/>
        </w:rPr>
        <w:t>exception.</w:t>
      </w:r>
    </w:p>
    <w:p w14:paraId="5FD075AA" w14:textId="77777777" w:rsidR="00A720EB" w:rsidRDefault="0030286B">
      <w:pPr>
        <w:pStyle w:val="a3"/>
        <w:spacing w:before="235" w:line="280" w:lineRule="auto"/>
        <w:ind w:left="124" w:right="123"/>
        <w:jc w:val="both"/>
      </w:pPr>
      <w:r>
        <w:rPr>
          <w:rFonts w:ascii="MS Gothic"/>
          <w:color w:val="B02045"/>
          <w:w w:val="110"/>
        </w:rPr>
        <w:t>FailureAnalyzer</w:t>
      </w:r>
      <w:r>
        <w:rPr>
          <w:rFonts w:ascii="MS Gothic"/>
          <w:color w:val="B02045"/>
          <w:spacing w:val="-102"/>
          <w:w w:val="110"/>
        </w:rPr>
        <w:t xml:space="preserve"> </w:t>
      </w:r>
      <w:r>
        <w:rPr>
          <w:color w:val="333333"/>
          <w:w w:val="110"/>
        </w:rPr>
        <w:t xml:space="preserve">implementations must be registered in </w:t>
      </w:r>
      <w:r>
        <w:rPr>
          <w:rFonts w:ascii="MS Gothic"/>
          <w:color w:val="B02045"/>
          <w:w w:val="110"/>
        </w:rPr>
        <w:t>META-INF/spring.factories</w:t>
      </w:r>
      <w:r>
        <w:rPr>
          <w:color w:val="333333"/>
          <w:w w:val="110"/>
        </w:rPr>
        <w:t xml:space="preserve">. The following example registers </w:t>
      </w:r>
      <w:r>
        <w:rPr>
          <w:rFonts w:ascii="MS Gothic"/>
          <w:color w:val="B02045"/>
          <w:w w:val="110"/>
        </w:rPr>
        <w:t>ProjectConstraintViolationFailureAnalyzer</w:t>
      </w:r>
      <w:r>
        <w:rPr>
          <w:color w:val="333333"/>
          <w:w w:val="110"/>
        </w:rPr>
        <w:t>:</w:t>
      </w:r>
    </w:p>
    <w:p w14:paraId="5B3ED558" w14:textId="77777777" w:rsidR="00A720EB" w:rsidRDefault="00E10349">
      <w:pPr>
        <w:pStyle w:val="a3"/>
        <w:spacing w:before="1"/>
        <w:rPr>
          <w:sz w:val="14"/>
        </w:rPr>
      </w:pPr>
      <w:r>
        <w:pict w14:anchorId="7A732FB5">
          <v:group id="_x0000_s1667" style="position:absolute;margin-left:47.85pt;margin-top:10.25pt;width:499.55pt;height:52.25pt;z-index:-15130112;mso-wrap-distance-left:0;mso-wrap-distance-right:0;mso-position-horizontal-relative:page" coordorigin="957,205" coordsize="9991,1045">
            <v:shape id="_x0000_s1670" style="position:absolute;left:964;top:212;width:9976;height:1030" coordorigin="965,212" coordsize="9976,1030" path="m10861,212r-9816,l1014,219r-26,17l971,261r-6,31l965,1162r6,31l988,1219r26,17l1045,1242r9816,l10892,1236r25,-17l10935,1193r6,-31l10941,292r-6,-31l10917,236r-25,-17l10861,212xe" fillcolor="#f5f5f5" stroked="f">
              <v:path arrowok="t"/>
            </v:shape>
            <v:shape id="_x0000_s1669" style="position:absolute;left:964;top:212;width:9976;height:1030" coordorigin="965,212" coordsize="9976,1030" path="m1045,212r9816,l10892,219r25,17l10935,261r6,31l10941,1162r-6,31l10917,1219r-25,17l10861,1242r-9816,l1014,1236r-26,-17l971,1193r-6,-31l965,292r6,-31l988,236r26,-17l1045,212xe" filled="f" strokecolor="#ccc">
              <v:path arrowok="t"/>
            </v:shape>
            <v:shape id="_x0000_s1668" type="#_x0000_t202" style="position:absolute;left:984;top:227;width:9938;height:999" filled="f" stroked="f">
              <v:textbox inset="0,0,0,0">
                <w:txbxContent>
                  <w:p w14:paraId="605570E2" w14:textId="77777777" w:rsidR="00711A16" w:rsidRDefault="00711A16">
                    <w:pPr>
                      <w:spacing w:before="221" w:line="252" w:lineRule="auto"/>
                      <w:ind w:left="200" w:right="3778"/>
                      <w:rPr>
                        <w:rFonts w:ascii="MS Gothic"/>
                      </w:rPr>
                    </w:pPr>
                    <w:proofErr w:type="gramStart"/>
                    <w:r>
                      <w:rPr>
                        <w:rFonts w:ascii="MS Gothic"/>
                        <w:color w:val="333333"/>
                      </w:rPr>
                      <w:t>org.springframework</w:t>
                    </w:r>
                    <w:proofErr w:type="gramEnd"/>
                    <w:r>
                      <w:rPr>
                        <w:rFonts w:ascii="MS Gothic"/>
                        <w:color w:val="333333"/>
                      </w:rPr>
                      <w:t>.boot.diagnostics.FailureAnalyzer=\ com.example.ProjectConstraintViolationFailureAnalyzer</w:t>
                    </w:r>
                  </w:p>
                </w:txbxContent>
              </v:textbox>
            </v:shape>
            <w10:wrap type="topAndBottom" anchorx="page"/>
          </v:group>
        </w:pict>
      </w:r>
    </w:p>
    <w:p w14:paraId="148B81F7" w14:textId="77777777" w:rsidR="00A720EB" w:rsidRDefault="00A720EB">
      <w:pPr>
        <w:pStyle w:val="a3"/>
        <w:spacing w:before="8"/>
        <w:rPr>
          <w:sz w:val="16"/>
        </w:rPr>
      </w:pPr>
    </w:p>
    <w:p w14:paraId="470590E9" w14:textId="77777777" w:rsidR="00A720EB" w:rsidRDefault="00E10349">
      <w:pPr>
        <w:pStyle w:val="a3"/>
        <w:spacing w:before="116" w:line="280" w:lineRule="auto"/>
        <w:ind w:left="1564" w:right="360"/>
      </w:pPr>
      <w:r>
        <w:pict w14:anchorId="2FFA25C5">
          <v:line id="_x0000_s1666" style="position:absolute;left:0;text-align:left;z-index:16327680;mso-position-horizontal-relative:page" from="108.25pt,.35pt" to="108.25pt,39.9pt" strokecolor="#ededed" strokeweight=".5pt">
            <w10:wrap anchorx="page"/>
          </v:line>
        </w:pict>
      </w:r>
      <w:r w:rsidR="0030286B">
        <w:rPr>
          <w:noProof/>
        </w:rPr>
        <w:drawing>
          <wp:anchor distT="0" distB="0" distL="0" distR="0" simplePos="0" relativeHeight="16328192" behindDoc="0" locked="0" layoutInCell="1" allowOverlap="1" wp14:anchorId="2A87C983" wp14:editId="364A835A">
            <wp:simplePos x="0" y="0"/>
            <wp:positionH relativeFrom="page">
              <wp:posOffset>844422</wp:posOffset>
            </wp:positionH>
            <wp:positionV relativeFrom="paragraph">
              <wp:posOffset>106248</wp:posOffset>
            </wp:positionV>
            <wp:extent cx="298450" cy="298450"/>
            <wp:effectExtent l="0" t="0" r="0" b="0"/>
            <wp:wrapNone/>
            <wp:docPr id="6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If</w:t>
      </w:r>
      <w:r w:rsidR="0030286B">
        <w:rPr>
          <w:color w:val="333333"/>
          <w:spacing w:val="-11"/>
          <w:w w:val="110"/>
        </w:rPr>
        <w:t xml:space="preserve"> </w:t>
      </w:r>
      <w:r w:rsidR="0030286B">
        <w:rPr>
          <w:color w:val="333333"/>
          <w:w w:val="110"/>
        </w:rPr>
        <w:t>you</w:t>
      </w:r>
      <w:r w:rsidR="0030286B">
        <w:rPr>
          <w:color w:val="333333"/>
          <w:spacing w:val="-12"/>
          <w:w w:val="110"/>
        </w:rPr>
        <w:t xml:space="preserve"> </w:t>
      </w:r>
      <w:r w:rsidR="0030286B">
        <w:rPr>
          <w:color w:val="333333"/>
          <w:w w:val="110"/>
        </w:rPr>
        <w:t>need</w:t>
      </w:r>
      <w:r w:rsidR="0030286B">
        <w:rPr>
          <w:color w:val="333333"/>
          <w:spacing w:val="-11"/>
          <w:w w:val="110"/>
        </w:rPr>
        <w:t xml:space="preserve"> </w:t>
      </w:r>
      <w:r w:rsidR="0030286B">
        <w:rPr>
          <w:color w:val="333333"/>
          <w:w w:val="110"/>
        </w:rPr>
        <w:t>access</w:t>
      </w:r>
      <w:r w:rsidR="0030286B">
        <w:rPr>
          <w:color w:val="333333"/>
          <w:spacing w:val="-11"/>
          <w:w w:val="110"/>
        </w:rPr>
        <w:t xml:space="preserve"> </w:t>
      </w:r>
      <w:r w:rsidR="0030286B">
        <w:rPr>
          <w:color w:val="333333"/>
          <w:w w:val="110"/>
        </w:rPr>
        <w:t>to</w:t>
      </w:r>
      <w:r w:rsidR="0030286B">
        <w:rPr>
          <w:color w:val="333333"/>
          <w:spacing w:val="-11"/>
          <w:w w:val="110"/>
        </w:rPr>
        <w:t xml:space="preserve"> </w:t>
      </w:r>
      <w:r w:rsidR="0030286B">
        <w:rPr>
          <w:color w:val="333333"/>
          <w:w w:val="110"/>
        </w:rPr>
        <w:t>the</w:t>
      </w:r>
      <w:r w:rsidR="0030286B">
        <w:rPr>
          <w:color w:val="333333"/>
          <w:spacing w:val="-9"/>
          <w:w w:val="110"/>
        </w:rPr>
        <w:t xml:space="preserve"> </w:t>
      </w:r>
      <w:r w:rsidR="0030286B">
        <w:rPr>
          <w:rFonts w:ascii="MS Gothic"/>
          <w:color w:val="B02045"/>
          <w:w w:val="110"/>
        </w:rPr>
        <w:t>BeanFactory</w:t>
      </w:r>
      <w:r w:rsidR="0030286B">
        <w:rPr>
          <w:rFonts w:ascii="MS Gothic"/>
          <w:color w:val="B02045"/>
          <w:spacing w:val="-75"/>
          <w:w w:val="110"/>
        </w:rPr>
        <w:t xml:space="preserve"> </w:t>
      </w:r>
      <w:r w:rsidR="0030286B">
        <w:rPr>
          <w:color w:val="333333"/>
          <w:w w:val="110"/>
        </w:rPr>
        <w:t>or</w:t>
      </w:r>
      <w:r w:rsidR="0030286B">
        <w:rPr>
          <w:color w:val="333333"/>
          <w:spacing w:val="-11"/>
          <w:w w:val="110"/>
        </w:rPr>
        <w:t xml:space="preserve"> </w:t>
      </w:r>
      <w:r w:rsidR="0030286B">
        <w:rPr>
          <w:color w:val="333333"/>
          <w:w w:val="110"/>
        </w:rPr>
        <w:t>the</w:t>
      </w:r>
      <w:r w:rsidR="0030286B">
        <w:rPr>
          <w:color w:val="333333"/>
          <w:spacing w:val="-11"/>
          <w:w w:val="110"/>
        </w:rPr>
        <w:t xml:space="preserve"> </w:t>
      </w:r>
      <w:r w:rsidR="0030286B">
        <w:rPr>
          <w:rFonts w:ascii="MS Gothic"/>
          <w:color w:val="B02045"/>
          <w:w w:val="110"/>
        </w:rPr>
        <w:t>Environment</w:t>
      </w:r>
      <w:r w:rsidR="0030286B">
        <w:rPr>
          <w:color w:val="333333"/>
          <w:w w:val="110"/>
        </w:rPr>
        <w:t>,</w:t>
      </w:r>
      <w:r w:rsidR="0030286B">
        <w:rPr>
          <w:color w:val="333333"/>
          <w:spacing w:val="-11"/>
          <w:w w:val="110"/>
        </w:rPr>
        <w:t xml:space="preserve"> </w:t>
      </w:r>
      <w:r w:rsidR="0030286B">
        <w:rPr>
          <w:color w:val="333333"/>
          <w:w w:val="110"/>
        </w:rPr>
        <w:t>your</w:t>
      </w:r>
      <w:r w:rsidR="0030286B">
        <w:rPr>
          <w:color w:val="333333"/>
          <w:spacing w:val="-10"/>
          <w:w w:val="110"/>
        </w:rPr>
        <w:t xml:space="preserve"> </w:t>
      </w:r>
      <w:r w:rsidR="0030286B">
        <w:rPr>
          <w:rFonts w:ascii="MS Gothic"/>
          <w:color w:val="B02045"/>
          <w:w w:val="110"/>
        </w:rPr>
        <w:t>FailureAnalyzer</w:t>
      </w:r>
      <w:r w:rsidR="0030286B">
        <w:rPr>
          <w:rFonts w:ascii="MS Gothic"/>
          <w:color w:val="B02045"/>
          <w:spacing w:val="-75"/>
          <w:w w:val="110"/>
        </w:rPr>
        <w:t xml:space="preserve"> </w:t>
      </w:r>
      <w:r w:rsidR="0030286B">
        <w:rPr>
          <w:color w:val="333333"/>
          <w:w w:val="110"/>
        </w:rPr>
        <w:t>can implement</w:t>
      </w:r>
      <w:r w:rsidR="0030286B">
        <w:rPr>
          <w:color w:val="333333"/>
          <w:spacing w:val="-2"/>
          <w:w w:val="110"/>
        </w:rPr>
        <w:t xml:space="preserve"> </w:t>
      </w:r>
      <w:r w:rsidR="0030286B">
        <w:rPr>
          <w:rFonts w:ascii="MS Gothic"/>
          <w:color w:val="B02045"/>
          <w:w w:val="110"/>
        </w:rPr>
        <w:t>BeanFactoryAware</w:t>
      </w:r>
      <w:r w:rsidR="0030286B">
        <w:rPr>
          <w:rFonts w:ascii="MS Gothic"/>
          <w:color w:val="B02045"/>
          <w:spacing w:val="-68"/>
          <w:w w:val="110"/>
        </w:rPr>
        <w:t xml:space="preserve"> </w:t>
      </w:r>
      <w:r w:rsidR="0030286B">
        <w:rPr>
          <w:color w:val="333333"/>
          <w:w w:val="110"/>
        </w:rPr>
        <w:t>or</w:t>
      </w:r>
      <w:r w:rsidR="0030286B">
        <w:rPr>
          <w:color w:val="333333"/>
          <w:spacing w:val="-4"/>
          <w:w w:val="110"/>
        </w:rPr>
        <w:t xml:space="preserve"> </w:t>
      </w:r>
      <w:r w:rsidR="0030286B">
        <w:rPr>
          <w:rFonts w:ascii="MS Gothic"/>
          <w:color w:val="B02045"/>
          <w:w w:val="110"/>
        </w:rPr>
        <w:t>EnvironmentAware</w:t>
      </w:r>
      <w:r w:rsidR="0030286B">
        <w:rPr>
          <w:rFonts w:ascii="MS Gothic"/>
          <w:color w:val="B02045"/>
          <w:spacing w:val="-68"/>
          <w:w w:val="110"/>
        </w:rPr>
        <w:t xml:space="preserve"> </w:t>
      </w:r>
      <w:r w:rsidR="0030286B">
        <w:rPr>
          <w:color w:val="333333"/>
          <w:spacing w:val="-3"/>
          <w:w w:val="110"/>
        </w:rPr>
        <w:t>respectively.</w:t>
      </w:r>
    </w:p>
    <w:p w14:paraId="3B950C9E" w14:textId="77777777" w:rsidR="00A720EB" w:rsidRDefault="00A720EB">
      <w:pPr>
        <w:pStyle w:val="a3"/>
        <w:spacing w:before="7"/>
        <w:rPr>
          <w:sz w:val="24"/>
        </w:rPr>
      </w:pPr>
    </w:p>
    <w:p w14:paraId="6011D84C" w14:textId="77777777" w:rsidR="00A720EB" w:rsidRDefault="0030286B">
      <w:pPr>
        <w:pStyle w:val="3"/>
        <w:numPr>
          <w:ilvl w:val="2"/>
          <w:numId w:val="13"/>
        </w:numPr>
        <w:tabs>
          <w:tab w:val="left" w:pos="858"/>
        </w:tabs>
        <w:spacing w:before="105"/>
        <w:ind w:hanging="734"/>
      </w:pPr>
      <w:bookmarkStart w:id="782" w:name="9.1.2._Troubleshoot_Auto-configuration"/>
      <w:bookmarkStart w:id="783" w:name="_Toc54423917"/>
      <w:bookmarkEnd w:id="782"/>
      <w:r>
        <w:rPr>
          <w:color w:val="333333"/>
          <w:w w:val="110"/>
        </w:rPr>
        <w:t>Troubleshoot</w:t>
      </w:r>
      <w:r>
        <w:rPr>
          <w:color w:val="333333"/>
          <w:spacing w:val="-6"/>
          <w:w w:val="110"/>
        </w:rPr>
        <w:t xml:space="preserve"> </w:t>
      </w:r>
      <w:r>
        <w:rPr>
          <w:color w:val="333333"/>
          <w:w w:val="110"/>
        </w:rPr>
        <w:t>Auto-configuration</w:t>
      </w:r>
      <w:bookmarkEnd w:id="783"/>
    </w:p>
    <w:p w14:paraId="27A3BFB7" w14:textId="77777777" w:rsidR="00A720EB" w:rsidRDefault="0030286B">
      <w:pPr>
        <w:pStyle w:val="a3"/>
        <w:spacing w:before="254" w:line="307" w:lineRule="auto"/>
        <w:ind w:left="124" w:right="131"/>
        <w:jc w:val="both"/>
      </w:pPr>
      <w:r>
        <w:rPr>
          <w:color w:val="333333"/>
          <w:w w:val="110"/>
        </w:rPr>
        <w:t xml:space="preserve">The Spring Boot auto-configuration tries its best to “do the right thing”, but sometimes things </w:t>
      </w:r>
      <w:proofErr w:type="gramStart"/>
      <w:r>
        <w:rPr>
          <w:color w:val="333333"/>
          <w:w w:val="110"/>
        </w:rPr>
        <w:t>fail,  and</w:t>
      </w:r>
      <w:proofErr w:type="gramEnd"/>
      <w:r>
        <w:rPr>
          <w:color w:val="333333"/>
          <w:w w:val="110"/>
        </w:rPr>
        <w:t xml:space="preserve"> it can be hard to tell</w:t>
      </w:r>
      <w:r>
        <w:rPr>
          <w:color w:val="333333"/>
          <w:spacing w:val="21"/>
          <w:w w:val="110"/>
        </w:rPr>
        <w:t xml:space="preserve"> </w:t>
      </w:r>
      <w:r>
        <w:rPr>
          <w:color w:val="333333"/>
          <w:spacing w:val="-7"/>
          <w:w w:val="110"/>
        </w:rPr>
        <w:t>why.</w:t>
      </w:r>
    </w:p>
    <w:p w14:paraId="4FFE9CBB" w14:textId="77777777" w:rsidR="00A720EB" w:rsidRDefault="0030286B">
      <w:pPr>
        <w:pStyle w:val="a3"/>
        <w:spacing w:before="230" w:line="285" w:lineRule="auto"/>
        <w:ind w:left="124" w:right="122"/>
        <w:jc w:val="both"/>
      </w:pPr>
      <w:r>
        <w:rPr>
          <w:color w:val="333333"/>
          <w:w w:val="110"/>
        </w:rPr>
        <w:t>There</w:t>
      </w:r>
      <w:r>
        <w:rPr>
          <w:color w:val="333333"/>
          <w:spacing w:val="-17"/>
          <w:w w:val="110"/>
        </w:rPr>
        <w:t xml:space="preserve"> </w:t>
      </w:r>
      <w:r>
        <w:rPr>
          <w:color w:val="333333"/>
          <w:w w:val="110"/>
        </w:rPr>
        <w:t>is</w:t>
      </w:r>
      <w:r>
        <w:rPr>
          <w:color w:val="333333"/>
          <w:spacing w:val="-16"/>
          <w:w w:val="110"/>
        </w:rPr>
        <w:t xml:space="preserve"> </w:t>
      </w:r>
      <w:r>
        <w:rPr>
          <w:color w:val="333333"/>
          <w:w w:val="110"/>
        </w:rPr>
        <w:t>a</w:t>
      </w:r>
      <w:r>
        <w:rPr>
          <w:color w:val="333333"/>
          <w:spacing w:val="-17"/>
          <w:w w:val="110"/>
        </w:rPr>
        <w:t xml:space="preserve"> </w:t>
      </w:r>
      <w:r>
        <w:rPr>
          <w:color w:val="333333"/>
          <w:w w:val="110"/>
        </w:rPr>
        <w:t>really</w:t>
      </w:r>
      <w:r>
        <w:rPr>
          <w:color w:val="333333"/>
          <w:spacing w:val="-16"/>
          <w:w w:val="110"/>
        </w:rPr>
        <w:t xml:space="preserve"> </w:t>
      </w:r>
      <w:r>
        <w:rPr>
          <w:color w:val="333333"/>
          <w:w w:val="110"/>
        </w:rPr>
        <w:t>useful</w:t>
      </w:r>
      <w:r>
        <w:rPr>
          <w:color w:val="333333"/>
          <w:spacing w:val="-15"/>
          <w:w w:val="110"/>
        </w:rPr>
        <w:t xml:space="preserve"> </w:t>
      </w:r>
      <w:r>
        <w:rPr>
          <w:rFonts w:ascii="MS Gothic"/>
          <w:color w:val="B02045"/>
          <w:w w:val="110"/>
        </w:rPr>
        <w:t>ConditionEvaluationReport</w:t>
      </w:r>
      <w:r>
        <w:rPr>
          <w:rFonts w:ascii="MS Gothic"/>
          <w:color w:val="B02045"/>
          <w:spacing w:val="-81"/>
          <w:w w:val="110"/>
        </w:rPr>
        <w:t xml:space="preserve"> </w:t>
      </w:r>
      <w:r>
        <w:rPr>
          <w:color w:val="333333"/>
          <w:w w:val="110"/>
        </w:rPr>
        <w:t>available</w:t>
      </w:r>
      <w:r>
        <w:rPr>
          <w:color w:val="333333"/>
          <w:spacing w:val="-17"/>
          <w:w w:val="110"/>
        </w:rPr>
        <w:t xml:space="preserve"> </w:t>
      </w:r>
      <w:r>
        <w:rPr>
          <w:color w:val="333333"/>
          <w:w w:val="110"/>
        </w:rPr>
        <w:t>in</w:t>
      </w:r>
      <w:r>
        <w:rPr>
          <w:color w:val="333333"/>
          <w:spacing w:val="-16"/>
          <w:w w:val="110"/>
        </w:rPr>
        <w:t xml:space="preserve"> </w:t>
      </w:r>
      <w:r>
        <w:rPr>
          <w:color w:val="333333"/>
          <w:w w:val="110"/>
        </w:rPr>
        <w:t>any</w:t>
      </w:r>
      <w:r>
        <w:rPr>
          <w:color w:val="333333"/>
          <w:spacing w:val="-17"/>
          <w:w w:val="110"/>
        </w:rPr>
        <w:t xml:space="preserve"> </w:t>
      </w:r>
      <w:r>
        <w:rPr>
          <w:color w:val="333333"/>
          <w:w w:val="110"/>
        </w:rPr>
        <w:t>Spring</w:t>
      </w:r>
      <w:r>
        <w:rPr>
          <w:color w:val="333333"/>
          <w:spacing w:val="-16"/>
          <w:w w:val="110"/>
        </w:rPr>
        <w:t xml:space="preserve"> </w:t>
      </w:r>
      <w:r>
        <w:rPr>
          <w:color w:val="333333"/>
          <w:w w:val="110"/>
        </w:rPr>
        <w:t>Boot</w:t>
      </w:r>
      <w:r>
        <w:rPr>
          <w:color w:val="333333"/>
          <w:spacing w:val="-13"/>
          <w:w w:val="110"/>
        </w:rPr>
        <w:t xml:space="preserve"> </w:t>
      </w:r>
      <w:r>
        <w:rPr>
          <w:rFonts w:ascii="MS Gothic"/>
          <w:color w:val="B02045"/>
          <w:w w:val="110"/>
        </w:rPr>
        <w:t>ApplicationContext</w:t>
      </w:r>
      <w:r>
        <w:rPr>
          <w:color w:val="333333"/>
          <w:w w:val="110"/>
        </w:rPr>
        <w:t xml:space="preserve">. </w:t>
      </w:r>
      <w:r>
        <w:rPr>
          <w:color w:val="333333"/>
          <w:spacing w:val="-6"/>
          <w:w w:val="110"/>
        </w:rPr>
        <w:t xml:space="preserve">You </w:t>
      </w:r>
      <w:r>
        <w:rPr>
          <w:color w:val="333333"/>
          <w:w w:val="110"/>
        </w:rPr>
        <w:t xml:space="preserve">can see it if you enable </w:t>
      </w:r>
      <w:r>
        <w:rPr>
          <w:rFonts w:ascii="MS Gothic"/>
          <w:color w:val="B02045"/>
          <w:w w:val="110"/>
        </w:rPr>
        <w:t xml:space="preserve">DEBUG </w:t>
      </w:r>
      <w:r>
        <w:rPr>
          <w:color w:val="333333"/>
          <w:w w:val="110"/>
        </w:rPr>
        <w:t xml:space="preserve">logging output. If you use the </w:t>
      </w:r>
      <w:r>
        <w:rPr>
          <w:rFonts w:ascii="MS Gothic"/>
          <w:color w:val="B02045"/>
          <w:w w:val="110"/>
        </w:rPr>
        <w:t xml:space="preserve">spring-boot-actuator </w:t>
      </w:r>
      <w:r>
        <w:rPr>
          <w:color w:val="333333"/>
          <w:w w:val="110"/>
        </w:rPr>
        <w:t xml:space="preserve">(see </w:t>
      </w:r>
      <w:hyperlink w:anchor="_bookmark378" w:history="1">
        <w:r>
          <w:rPr>
            <w:color w:val="418BCA"/>
            <w:w w:val="110"/>
          </w:rPr>
          <w:t>the</w:t>
        </w:r>
      </w:hyperlink>
      <w:r>
        <w:rPr>
          <w:color w:val="418BCA"/>
          <w:w w:val="110"/>
        </w:rPr>
        <w:t xml:space="preserve"> </w:t>
      </w:r>
      <w:hyperlink w:anchor="_bookmark378" w:history="1">
        <w:r>
          <w:rPr>
            <w:color w:val="418BCA"/>
            <w:w w:val="110"/>
          </w:rPr>
          <w:t>Actuator chapter</w:t>
        </w:r>
      </w:hyperlink>
      <w:r>
        <w:rPr>
          <w:color w:val="333333"/>
          <w:w w:val="110"/>
        </w:rPr>
        <w:t xml:space="preserve">), there is also a </w:t>
      </w:r>
      <w:r>
        <w:rPr>
          <w:rFonts w:ascii="MS Gothic"/>
          <w:color w:val="B02045"/>
          <w:w w:val="110"/>
        </w:rPr>
        <w:t xml:space="preserve">conditions </w:t>
      </w:r>
      <w:r>
        <w:rPr>
          <w:color w:val="333333"/>
          <w:w w:val="110"/>
        </w:rPr>
        <w:t>endpoint that renders the report in JSON. Use that endpoint</w:t>
      </w:r>
      <w:r>
        <w:rPr>
          <w:color w:val="333333"/>
          <w:spacing w:val="40"/>
          <w:w w:val="110"/>
        </w:rPr>
        <w:t xml:space="preserve"> </w:t>
      </w:r>
      <w:r>
        <w:rPr>
          <w:color w:val="333333"/>
          <w:w w:val="110"/>
        </w:rPr>
        <w:t>to</w:t>
      </w:r>
      <w:r>
        <w:rPr>
          <w:color w:val="333333"/>
          <w:spacing w:val="40"/>
          <w:w w:val="110"/>
        </w:rPr>
        <w:t xml:space="preserve"> </w:t>
      </w:r>
      <w:r>
        <w:rPr>
          <w:color w:val="333333"/>
          <w:w w:val="110"/>
        </w:rPr>
        <w:t>debug</w:t>
      </w:r>
      <w:r>
        <w:rPr>
          <w:color w:val="333333"/>
          <w:spacing w:val="40"/>
          <w:w w:val="110"/>
        </w:rPr>
        <w:t xml:space="preserve"> </w:t>
      </w:r>
      <w:r>
        <w:rPr>
          <w:color w:val="333333"/>
          <w:w w:val="110"/>
        </w:rPr>
        <w:t>the</w:t>
      </w:r>
      <w:r>
        <w:rPr>
          <w:color w:val="333333"/>
          <w:spacing w:val="40"/>
          <w:w w:val="110"/>
        </w:rPr>
        <w:t xml:space="preserve"> </w:t>
      </w:r>
      <w:r>
        <w:rPr>
          <w:color w:val="333333"/>
          <w:w w:val="110"/>
        </w:rPr>
        <w:t>application</w:t>
      </w:r>
      <w:r>
        <w:rPr>
          <w:color w:val="333333"/>
          <w:spacing w:val="41"/>
          <w:w w:val="110"/>
        </w:rPr>
        <w:t xml:space="preserve"> </w:t>
      </w:r>
      <w:r>
        <w:rPr>
          <w:color w:val="333333"/>
          <w:w w:val="110"/>
        </w:rPr>
        <w:t>and</w:t>
      </w:r>
      <w:r>
        <w:rPr>
          <w:color w:val="333333"/>
          <w:spacing w:val="40"/>
          <w:w w:val="110"/>
        </w:rPr>
        <w:t xml:space="preserve"> </w:t>
      </w:r>
      <w:r>
        <w:rPr>
          <w:color w:val="333333"/>
          <w:w w:val="110"/>
        </w:rPr>
        <w:t>see</w:t>
      </w:r>
      <w:r>
        <w:rPr>
          <w:color w:val="333333"/>
          <w:spacing w:val="40"/>
          <w:w w:val="110"/>
        </w:rPr>
        <w:t xml:space="preserve"> </w:t>
      </w:r>
      <w:r>
        <w:rPr>
          <w:color w:val="333333"/>
          <w:w w:val="110"/>
        </w:rPr>
        <w:t>what</w:t>
      </w:r>
      <w:r>
        <w:rPr>
          <w:color w:val="333333"/>
          <w:spacing w:val="40"/>
          <w:w w:val="110"/>
        </w:rPr>
        <w:t xml:space="preserve"> </w:t>
      </w:r>
      <w:r>
        <w:rPr>
          <w:color w:val="333333"/>
          <w:w w:val="110"/>
        </w:rPr>
        <w:t>features</w:t>
      </w:r>
      <w:r>
        <w:rPr>
          <w:color w:val="333333"/>
          <w:spacing w:val="41"/>
          <w:w w:val="110"/>
        </w:rPr>
        <w:t xml:space="preserve"> </w:t>
      </w:r>
      <w:r>
        <w:rPr>
          <w:color w:val="333333"/>
          <w:w w:val="110"/>
        </w:rPr>
        <w:t>have</w:t>
      </w:r>
      <w:r>
        <w:rPr>
          <w:color w:val="333333"/>
          <w:spacing w:val="40"/>
          <w:w w:val="110"/>
        </w:rPr>
        <w:t xml:space="preserve"> </w:t>
      </w:r>
      <w:r>
        <w:rPr>
          <w:color w:val="333333"/>
          <w:w w:val="110"/>
        </w:rPr>
        <w:t>been</w:t>
      </w:r>
      <w:r>
        <w:rPr>
          <w:color w:val="333333"/>
          <w:spacing w:val="40"/>
          <w:w w:val="110"/>
        </w:rPr>
        <w:t xml:space="preserve"> </w:t>
      </w:r>
      <w:r>
        <w:rPr>
          <w:color w:val="333333"/>
          <w:w w:val="110"/>
        </w:rPr>
        <w:t>added</w:t>
      </w:r>
      <w:r>
        <w:rPr>
          <w:color w:val="333333"/>
          <w:spacing w:val="40"/>
          <w:w w:val="110"/>
        </w:rPr>
        <w:t xml:space="preserve"> </w:t>
      </w:r>
      <w:r>
        <w:rPr>
          <w:color w:val="333333"/>
          <w:w w:val="110"/>
        </w:rPr>
        <w:t>(and</w:t>
      </w:r>
      <w:r>
        <w:rPr>
          <w:color w:val="333333"/>
          <w:spacing w:val="41"/>
          <w:w w:val="110"/>
        </w:rPr>
        <w:t xml:space="preserve"> </w:t>
      </w:r>
      <w:r>
        <w:rPr>
          <w:color w:val="333333"/>
          <w:w w:val="110"/>
        </w:rPr>
        <w:t>which</w:t>
      </w:r>
      <w:r>
        <w:rPr>
          <w:color w:val="333333"/>
          <w:spacing w:val="40"/>
          <w:w w:val="110"/>
        </w:rPr>
        <w:t xml:space="preserve"> </w:t>
      </w:r>
      <w:r>
        <w:rPr>
          <w:color w:val="333333"/>
          <w:w w:val="110"/>
        </w:rPr>
        <w:t>have</w:t>
      </w:r>
      <w:r>
        <w:rPr>
          <w:color w:val="333333"/>
          <w:spacing w:val="40"/>
          <w:w w:val="110"/>
        </w:rPr>
        <w:t xml:space="preserve"> </w:t>
      </w:r>
      <w:r>
        <w:rPr>
          <w:color w:val="333333"/>
          <w:w w:val="110"/>
        </w:rPr>
        <w:t>not</w:t>
      </w:r>
    </w:p>
    <w:p w14:paraId="75CF962F" w14:textId="77777777" w:rsidR="00A720EB" w:rsidRDefault="00A720EB">
      <w:pPr>
        <w:spacing w:line="285" w:lineRule="auto"/>
        <w:jc w:val="both"/>
        <w:sectPr w:rsidR="00A720EB">
          <w:pgSz w:w="11910" w:h="16840"/>
          <w:pgMar w:top="620" w:right="840" w:bottom="520" w:left="840" w:header="0" w:footer="323" w:gutter="0"/>
          <w:cols w:space="720"/>
        </w:sectPr>
      </w:pPr>
    </w:p>
    <w:p w14:paraId="37C18AA0" w14:textId="77777777" w:rsidR="00A720EB" w:rsidRDefault="0030286B">
      <w:pPr>
        <w:pStyle w:val="a3"/>
        <w:spacing w:before="107"/>
        <w:ind w:left="124"/>
        <w:jc w:val="both"/>
      </w:pPr>
      <w:r>
        <w:rPr>
          <w:color w:val="333333"/>
          <w:w w:val="110"/>
        </w:rPr>
        <w:lastRenderedPageBreak/>
        <w:t>been added) by Spring Boot at runtime.</w:t>
      </w:r>
    </w:p>
    <w:p w14:paraId="16EFF837" w14:textId="77777777" w:rsidR="00A720EB" w:rsidRDefault="00A720EB">
      <w:pPr>
        <w:pStyle w:val="a3"/>
        <w:spacing w:before="4"/>
        <w:rPr>
          <w:sz w:val="26"/>
        </w:rPr>
      </w:pPr>
    </w:p>
    <w:p w14:paraId="0F121287" w14:textId="77777777" w:rsidR="00A720EB" w:rsidRDefault="0030286B">
      <w:pPr>
        <w:pStyle w:val="a3"/>
        <w:spacing w:line="307" w:lineRule="auto"/>
        <w:ind w:left="124" w:right="133"/>
        <w:jc w:val="both"/>
      </w:pPr>
      <w:r>
        <w:rPr>
          <w:color w:val="333333"/>
          <w:w w:val="110"/>
        </w:rPr>
        <w:t xml:space="preserve">Many more questions can be answered </w:t>
      </w:r>
      <w:r>
        <w:rPr>
          <w:color w:val="333333"/>
          <w:spacing w:val="-3"/>
          <w:w w:val="110"/>
        </w:rPr>
        <w:t xml:space="preserve">by </w:t>
      </w:r>
      <w:r>
        <w:rPr>
          <w:color w:val="333333"/>
          <w:w w:val="110"/>
        </w:rPr>
        <w:t xml:space="preserve">looking at the source code and </w:t>
      </w:r>
      <w:proofErr w:type="gramStart"/>
      <w:r>
        <w:rPr>
          <w:color w:val="333333"/>
          <w:w w:val="110"/>
        </w:rPr>
        <w:t>the  Javadoc</w:t>
      </w:r>
      <w:proofErr w:type="gramEnd"/>
      <w:r>
        <w:rPr>
          <w:color w:val="333333"/>
          <w:w w:val="110"/>
        </w:rPr>
        <w:t xml:space="preserve">.  </w:t>
      </w:r>
      <w:proofErr w:type="gramStart"/>
      <w:r>
        <w:rPr>
          <w:color w:val="333333"/>
          <w:w w:val="110"/>
        </w:rPr>
        <w:t>When  reading</w:t>
      </w:r>
      <w:proofErr w:type="gramEnd"/>
      <w:r>
        <w:rPr>
          <w:color w:val="333333"/>
          <w:w w:val="110"/>
        </w:rPr>
        <w:t xml:space="preserve"> the code, remember the following rules of</w:t>
      </w:r>
      <w:r>
        <w:rPr>
          <w:color w:val="333333"/>
          <w:spacing w:val="32"/>
          <w:w w:val="110"/>
        </w:rPr>
        <w:t xml:space="preserve"> </w:t>
      </w:r>
      <w:r>
        <w:rPr>
          <w:color w:val="333333"/>
          <w:w w:val="110"/>
        </w:rPr>
        <w:t>thumb:</w:t>
      </w:r>
    </w:p>
    <w:p w14:paraId="435D6F87" w14:textId="77777777" w:rsidR="00A720EB" w:rsidRDefault="0030286B">
      <w:pPr>
        <w:pStyle w:val="a6"/>
        <w:numPr>
          <w:ilvl w:val="3"/>
          <w:numId w:val="13"/>
        </w:numPr>
        <w:tabs>
          <w:tab w:val="left" w:pos="485"/>
        </w:tabs>
        <w:spacing w:before="231" w:line="288" w:lineRule="auto"/>
        <w:ind w:right="122"/>
        <w:jc w:val="both"/>
        <w:rPr>
          <w:sz w:val="21"/>
        </w:rPr>
      </w:pPr>
      <w:r>
        <w:rPr>
          <w:color w:val="333333"/>
          <w:w w:val="110"/>
          <w:sz w:val="21"/>
        </w:rPr>
        <w:t xml:space="preserve">Look for classes called </w:t>
      </w:r>
      <w:r>
        <w:rPr>
          <w:rFonts w:ascii="MS Gothic" w:hAnsi="MS Gothic"/>
          <w:color w:val="B02045"/>
          <w:w w:val="110"/>
          <w:sz w:val="21"/>
        </w:rPr>
        <w:t xml:space="preserve">*AutoConfiguration </w:t>
      </w:r>
      <w:r>
        <w:rPr>
          <w:color w:val="333333"/>
          <w:w w:val="110"/>
          <w:sz w:val="21"/>
        </w:rPr>
        <w:t xml:space="preserve">and read their sources. Pay special attention to the </w:t>
      </w:r>
      <w:r>
        <w:rPr>
          <w:rFonts w:ascii="MS Gothic" w:hAnsi="MS Gothic"/>
          <w:color w:val="B02045"/>
          <w:w w:val="110"/>
          <w:sz w:val="21"/>
        </w:rPr>
        <w:t xml:space="preserve">@Conditional* </w:t>
      </w:r>
      <w:r>
        <w:rPr>
          <w:color w:val="333333"/>
          <w:w w:val="110"/>
          <w:sz w:val="21"/>
        </w:rPr>
        <w:t xml:space="preserve">annotations to find out what features they enable and when. Add </w:t>
      </w:r>
      <w:r>
        <w:rPr>
          <w:rFonts w:ascii="MS Gothic" w:hAnsi="MS Gothic"/>
          <w:color w:val="B02045"/>
          <w:w w:val="110"/>
          <w:sz w:val="21"/>
        </w:rPr>
        <w:t xml:space="preserve">--debug </w:t>
      </w:r>
      <w:r>
        <w:rPr>
          <w:color w:val="333333"/>
          <w:w w:val="110"/>
          <w:sz w:val="21"/>
        </w:rPr>
        <w:t xml:space="preserve">to the command line or a System property </w:t>
      </w:r>
      <w:r>
        <w:rPr>
          <w:rFonts w:ascii="MS Gothic" w:hAnsi="MS Gothic"/>
          <w:color w:val="B02045"/>
          <w:w w:val="110"/>
          <w:sz w:val="21"/>
        </w:rPr>
        <w:t xml:space="preserve">-Ddebug </w:t>
      </w:r>
      <w:r>
        <w:rPr>
          <w:color w:val="333333"/>
          <w:w w:val="110"/>
          <w:sz w:val="21"/>
        </w:rPr>
        <w:t xml:space="preserve">to get a log on the console of all the auto- configuration decisions that were made in your app. In a running application with actuator enabled, look at the </w:t>
      </w:r>
      <w:proofErr w:type="gramStart"/>
      <w:r>
        <w:rPr>
          <w:rFonts w:ascii="MS Gothic" w:hAnsi="MS Gothic"/>
          <w:color w:val="B02045"/>
          <w:w w:val="110"/>
          <w:sz w:val="21"/>
        </w:rPr>
        <w:t>conditions</w:t>
      </w:r>
      <w:proofErr w:type="gramEnd"/>
      <w:r>
        <w:rPr>
          <w:rFonts w:ascii="MS Gothic" w:hAnsi="MS Gothic"/>
          <w:color w:val="B02045"/>
          <w:w w:val="110"/>
          <w:sz w:val="21"/>
        </w:rPr>
        <w:t xml:space="preserve"> </w:t>
      </w:r>
      <w:r>
        <w:rPr>
          <w:color w:val="333333"/>
          <w:w w:val="110"/>
          <w:sz w:val="21"/>
        </w:rPr>
        <w:t>endpoint (</w:t>
      </w:r>
      <w:r>
        <w:rPr>
          <w:rFonts w:ascii="MS Gothic" w:hAnsi="MS Gothic"/>
          <w:color w:val="B02045"/>
          <w:w w:val="110"/>
          <w:sz w:val="21"/>
        </w:rPr>
        <w:t xml:space="preserve">/actuator/conditions </w:t>
      </w:r>
      <w:r>
        <w:rPr>
          <w:color w:val="333333"/>
          <w:w w:val="110"/>
          <w:sz w:val="21"/>
        </w:rPr>
        <w:t>or the JMX equivalent) for the same</w:t>
      </w:r>
      <w:r>
        <w:rPr>
          <w:color w:val="333333"/>
          <w:spacing w:val="3"/>
          <w:w w:val="110"/>
          <w:sz w:val="21"/>
        </w:rPr>
        <w:t xml:space="preserve"> </w:t>
      </w:r>
      <w:r>
        <w:rPr>
          <w:color w:val="333333"/>
          <w:w w:val="110"/>
          <w:sz w:val="21"/>
        </w:rPr>
        <w:t>information.</w:t>
      </w:r>
    </w:p>
    <w:p w14:paraId="728C6781" w14:textId="77777777" w:rsidR="00A720EB" w:rsidRDefault="0030286B">
      <w:pPr>
        <w:pStyle w:val="a6"/>
        <w:numPr>
          <w:ilvl w:val="3"/>
          <w:numId w:val="13"/>
        </w:numPr>
        <w:tabs>
          <w:tab w:val="left" w:pos="485"/>
        </w:tabs>
        <w:spacing w:before="131" w:line="280" w:lineRule="auto"/>
        <w:ind w:right="122"/>
        <w:jc w:val="both"/>
        <w:rPr>
          <w:sz w:val="21"/>
        </w:rPr>
      </w:pPr>
      <w:r>
        <w:rPr>
          <w:color w:val="333333"/>
          <w:w w:val="110"/>
          <w:sz w:val="21"/>
        </w:rPr>
        <w:t xml:space="preserve">Look for classes that are </w:t>
      </w:r>
      <w:r>
        <w:rPr>
          <w:rFonts w:ascii="MS Gothic" w:hAnsi="MS Gothic"/>
          <w:color w:val="B02045"/>
          <w:w w:val="110"/>
          <w:sz w:val="21"/>
        </w:rPr>
        <w:t xml:space="preserve">@ConfigurationProperties </w:t>
      </w:r>
      <w:r>
        <w:rPr>
          <w:color w:val="333333"/>
          <w:w w:val="110"/>
          <w:sz w:val="21"/>
        </w:rPr>
        <w:t xml:space="preserve">(such as </w:t>
      </w:r>
      <w:hyperlink r:id="rId590">
        <w:r>
          <w:rPr>
            <w:rFonts w:ascii="MS Gothic" w:hAnsi="MS Gothic"/>
            <w:color w:val="B02045"/>
            <w:w w:val="110"/>
            <w:sz w:val="21"/>
          </w:rPr>
          <w:t>ServerProperties</w:t>
        </w:r>
      </w:hyperlink>
      <w:r>
        <w:rPr>
          <w:color w:val="333333"/>
          <w:w w:val="110"/>
          <w:sz w:val="21"/>
        </w:rPr>
        <w:t>) and read from there</w:t>
      </w:r>
      <w:r>
        <w:rPr>
          <w:color w:val="333333"/>
          <w:spacing w:val="-13"/>
          <w:w w:val="110"/>
          <w:sz w:val="21"/>
        </w:rPr>
        <w:t xml:space="preserve"> </w:t>
      </w:r>
      <w:r>
        <w:rPr>
          <w:color w:val="333333"/>
          <w:w w:val="110"/>
          <w:sz w:val="21"/>
        </w:rPr>
        <w:t>the</w:t>
      </w:r>
      <w:r>
        <w:rPr>
          <w:color w:val="333333"/>
          <w:spacing w:val="-12"/>
          <w:w w:val="110"/>
          <w:sz w:val="21"/>
        </w:rPr>
        <w:t xml:space="preserve"> </w:t>
      </w:r>
      <w:r>
        <w:rPr>
          <w:color w:val="333333"/>
          <w:w w:val="110"/>
          <w:sz w:val="21"/>
        </w:rPr>
        <w:t>available</w:t>
      </w:r>
      <w:r>
        <w:rPr>
          <w:color w:val="333333"/>
          <w:spacing w:val="-12"/>
          <w:w w:val="110"/>
          <w:sz w:val="21"/>
        </w:rPr>
        <w:t xml:space="preserve"> </w:t>
      </w:r>
      <w:r>
        <w:rPr>
          <w:color w:val="333333"/>
          <w:w w:val="110"/>
          <w:sz w:val="21"/>
        </w:rPr>
        <w:t>external</w:t>
      </w:r>
      <w:r>
        <w:rPr>
          <w:color w:val="333333"/>
          <w:spacing w:val="-12"/>
          <w:w w:val="110"/>
          <w:sz w:val="21"/>
        </w:rPr>
        <w:t xml:space="preserve"> </w:t>
      </w:r>
      <w:r>
        <w:rPr>
          <w:color w:val="333333"/>
          <w:w w:val="110"/>
          <w:sz w:val="21"/>
        </w:rPr>
        <w:t>configuration</w:t>
      </w:r>
      <w:r>
        <w:rPr>
          <w:color w:val="333333"/>
          <w:spacing w:val="-12"/>
          <w:w w:val="110"/>
          <w:sz w:val="21"/>
        </w:rPr>
        <w:t xml:space="preserve"> </w:t>
      </w:r>
      <w:r>
        <w:rPr>
          <w:color w:val="333333"/>
          <w:w w:val="110"/>
          <w:sz w:val="21"/>
        </w:rPr>
        <w:t>options.</w:t>
      </w:r>
      <w:r>
        <w:rPr>
          <w:color w:val="333333"/>
          <w:spacing w:val="-12"/>
          <w:w w:val="110"/>
          <w:sz w:val="21"/>
        </w:rPr>
        <w:t xml:space="preserve"> </w:t>
      </w:r>
      <w:r>
        <w:rPr>
          <w:color w:val="333333"/>
          <w:w w:val="110"/>
          <w:sz w:val="21"/>
        </w:rPr>
        <w:t>The</w:t>
      </w:r>
      <w:r>
        <w:rPr>
          <w:color w:val="333333"/>
          <w:spacing w:val="-9"/>
          <w:w w:val="110"/>
          <w:sz w:val="21"/>
        </w:rPr>
        <w:t xml:space="preserve"> </w:t>
      </w:r>
      <w:r>
        <w:rPr>
          <w:rFonts w:ascii="MS Gothic" w:hAnsi="MS Gothic"/>
          <w:color w:val="B02045"/>
          <w:w w:val="110"/>
          <w:sz w:val="21"/>
        </w:rPr>
        <w:t>@ConfigurationProperties</w:t>
      </w:r>
      <w:r>
        <w:rPr>
          <w:rFonts w:ascii="MS Gothic" w:hAnsi="MS Gothic"/>
          <w:color w:val="B02045"/>
          <w:spacing w:val="-77"/>
          <w:w w:val="110"/>
          <w:sz w:val="21"/>
        </w:rPr>
        <w:t xml:space="preserve"> </w:t>
      </w:r>
      <w:r>
        <w:rPr>
          <w:color w:val="333333"/>
          <w:w w:val="110"/>
          <w:sz w:val="21"/>
        </w:rPr>
        <w:t>annotation</w:t>
      </w:r>
      <w:r>
        <w:rPr>
          <w:color w:val="333333"/>
          <w:spacing w:val="-12"/>
          <w:w w:val="110"/>
          <w:sz w:val="21"/>
        </w:rPr>
        <w:t xml:space="preserve"> </w:t>
      </w:r>
      <w:r>
        <w:rPr>
          <w:color w:val="333333"/>
          <w:w w:val="110"/>
          <w:sz w:val="21"/>
        </w:rPr>
        <w:t xml:space="preserve">has a </w:t>
      </w:r>
      <w:r>
        <w:rPr>
          <w:rFonts w:ascii="MS Gothic" w:hAnsi="MS Gothic"/>
          <w:color w:val="B02045"/>
          <w:w w:val="110"/>
          <w:sz w:val="21"/>
        </w:rPr>
        <w:t xml:space="preserve">name </w:t>
      </w:r>
      <w:r>
        <w:rPr>
          <w:color w:val="333333"/>
          <w:w w:val="110"/>
          <w:sz w:val="21"/>
        </w:rPr>
        <w:t xml:space="preserve">attribute that acts as a prefix to external properties. Thus, </w:t>
      </w:r>
      <w:r>
        <w:rPr>
          <w:rFonts w:ascii="MS Gothic" w:hAnsi="MS Gothic"/>
          <w:color w:val="B02045"/>
          <w:w w:val="110"/>
          <w:sz w:val="21"/>
        </w:rPr>
        <w:t xml:space="preserve">ServerProperties </w:t>
      </w:r>
      <w:r>
        <w:rPr>
          <w:color w:val="333333"/>
          <w:w w:val="110"/>
          <w:sz w:val="21"/>
        </w:rPr>
        <w:t xml:space="preserve">has </w:t>
      </w:r>
      <w:r>
        <w:rPr>
          <w:rFonts w:ascii="MS Gothic" w:hAnsi="MS Gothic"/>
          <w:color w:val="B02045"/>
          <w:w w:val="110"/>
          <w:sz w:val="21"/>
        </w:rPr>
        <w:t>prefix="server"</w:t>
      </w:r>
      <w:r>
        <w:rPr>
          <w:rFonts w:ascii="MS Gothic" w:hAnsi="MS Gothic"/>
          <w:color w:val="B02045"/>
          <w:spacing w:val="-83"/>
          <w:w w:val="110"/>
          <w:sz w:val="21"/>
        </w:rPr>
        <w:t xml:space="preserve"> </w:t>
      </w:r>
      <w:r>
        <w:rPr>
          <w:color w:val="333333"/>
          <w:w w:val="110"/>
          <w:sz w:val="21"/>
        </w:rPr>
        <w:t>and</w:t>
      </w:r>
      <w:r>
        <w:rPr>
          <w:color w:val="333333"/>
          <w:spacing w:val="-19"/>
          <w:w w:val="110"/>
          <w:sz w:val="21"/>
        </w:rPr>
        <w:t xml:space="preserve"> </w:t>
      </w:r>
      <w:r>
        <w:rPr>
          <w:color w:val="333333"/>
          <w:w w:val="110"/>
          <w:sz w:val="21"/>
        </w:rPr>
        <w:t>its</w:t>
      </w:r>
      <w:r>
        <w:rPr>
          <w:color w:val="333333"/>
          <w:spacing w:val="-18"/>
          <w:w w:val="110"/>
          <w:sz w:val="21"/>
        </w:rPr>
        <w:t xml:space="preserve"> </w:t>
      </w:r>
      <w:r>
        <w:rPr>
          <w:color w:val="333333"/>
          <w:w w:val="110"/>
          <w:sz w:val="21"/>
        </w:rPr>
        <w:t>configuration</w:t>
      </w:r>
      <w:r>
        <w:rPr>
          <w:color w:val="333333"/>
          <w:spacing w:val="-18"/>
          <w:w w:val="110"/>
          <w:sz w:val="21"/>
        </w:rPr>
        <w:t xml:space="preserve"> </w:t>
      </w:r>
      <w:r>
        <w:rPr>
          <w:color w:val="333333"/>
          <w:w w:val="110"/>
          <w:sz w:val="21"/>
        </w:rPr>
        <w:t>properties</w:t>
      </w:r>
      <w:r>
        <w:rPr>
          <w:color w:val="333333"/>
          <w:spacing w:val="-19"/>
          <w:w w:val="110"/>
          <w:sz w:val="21"/>
        </w:rPr>
        <w:t xml:space="preserve"> </w:t>
      </w:r>
      <w:r>
        <w:rPr>
          <w:color w:val="333333"/>
          <w:w w:val="110"/>
          <w:sz w:val="21"/>
        </w:rPr>
        <w:t>are</w:t>
      </w:r>
      <w:r>
        <w:rPr>
          <w:color w:val="333333"/>
          <w:spacing w:val="-14"/>
          <w:w w:val="110"/>
          <w:sz w:val="21"/>
        </w:rPr>
        <w:t xml:space="preserve"> </w:t>
      </w:r>
      <w:proofErr w:type="gramStart"/>
      <w:r>
        <w:rPr>
          <w:rFonts w:ascii="MS Gothic" w:hAnsi="MS Gothic"/>
          <w:color w:val="B02045"/>
          <w:w w:val="110"/>
          <w:sz w:val="21"/>
        </w:rPr>
        <w:t>server.port</w:t>
      </w:r>
      <w:proofErr w:type="gramEnd"/>
      <w:r>
        <w:rPr>
          <w:color w:val="333333"/>
          <w:w w:val="110"/>
          <w:sz w:val="21"/>
        </w:rPr>
        <w:t>,</w:t>
      </w:r>
      <w:r>
        <w:rPr>
          <w:color w:val="333333"/>
          <w:spacing w:val="-18"/>
          <w:w w:val="110"/>
          <w:sz w:val="21"/>
        </w:rPr>
        <w:t xml:space="preserve"> </w:t>
      </w:r>
      <w:r>
        <w:rPr>
          <w:rFonts w:ascii="MS Gothic" w:hAnsi="MS Gothic"/>
          <w:color w:val="B02045"/>
          <w:w w:val="110"/>
          <w:sz w:val="21"/>
        </w:rPr>
        <w:t>server.address</w:t>
      </w:r>
      <w:r>
        <w:rPr>
          <w:color w:val="333333"/>
          <w:w w:val="110"/>
          <w:sz w:val="21"/>
        </w:rPr>
        <w:t>,</w:t>
      </w:r>
      <w:r>
        <w:rPr>
          <w:color w:val="333333"/>
          <w:spacing w:val="-18"/>
          <w:w w:val="110"/>
          <w:sz w:val="21"/>
        </w:rPr>
        <w:t xml:space="preserve"> </w:t>
      </w:r>
      <w:r>
        <w:rPr>
          <w:color w:val="333333"/>
          <w:w w:val="110"/>
          <w:sz w:val="21"/>
        </w:rPr>
        <w:t>and</w:t>
      </w:r>
      <w:r>
        <w:rPr>
          <w:color w:val="333333"/>
          <w:spacing w:val="-19"/>
          <w:w w:val="110"/>
          <w:sz w:val="21"/>
        </w:rPr>
        <w:t xml:space="preserve"> </w:t>
      </w:r>
      <w:r>
        <w:rPr>
          <w:color w:val="333333"/>
          <w:w w:val="110"/>
          <w:sz w:val="21"/>
        </w:rPr>
        <w:t>others.</w:t>
      </w:r>
      <w:r>
        <w:rPr>
          <w:color w:val="333333"/>
          <w:spacing w:val="-18"/>
          <w:w w:val="110"/>
          <w:sz w:val="21"/>
        </w:rPr>
        <w:t xml:space="preserve"> </w:t>
      </w:r>
      <w:r>
        <w:rPr>
          <w:color w:val="333333"/>
          <w:w w:val="110"/>
          <w:sz w:val="21"/>
        </w:rPr>
        <w:t xml:space="preserve">In a running application with actuator enabled, look at the </w:t>
      </w:r>
      <w:r>
        <w:rPr>
          <w:rFonts w:ascii="MS Gothic" w:hAnsi="MS Gothic"/>
          <w:color w:val="B02045"/>
          <w:w w:val="110"/>
          <w:sz w:val="21"/>
        </w:rPr>
        <w:t>configprops</w:t>
      </w:r>
      <w:r>
        <w:rPr>
          <w:rFonts w:ascii="MS Gothic" w:hAnsi="MS Gothic"/>
          <w:color w:val="B02045"/>
          <w:spacing w:val="-40"/>
          <w:w w:val="110"/>
          <w:sz w:val="21"/>
        </w:rPr>
        <w:t xml:space="preserve"> </w:t>
      </w:r>
      <w:r>
        <w:rPr>
          <w:color w:val="333333"/>
          <w:w w:val="110"/>
          <w:sz w:val="21"/>
        </w:rPr>
        <w:t>endpoint.</w:t>
      </w:r>
    </w:p>
    <w:p w14:paraId="0F6BBB6C" w14:textId="77777777" w:rsidR="00A720EB" w:rsidRDefault="0030286B">
      <w:pPr>
        <w:pStyle w:val="a6"/>
        <w:numPr>
          <w:ilvl w:val="3"/>
          <w:numId w:val="13"/>
        </w:numPr>
        <w:tabs>
          <w:tab w:val="left" w:pos="485"/>
        </w:tabs>
        <w:spacing w:before="124"/>
        <w:jc w:val="both"/>
        <w:rPr>
          <w:sz w:val="21"/>
        </w:rPr>
      </w:pPr>
      <w:r>
        <w:rPr>
          <w:color w:val="333333"/>
          <w:w w:val="110"/>
          <w:sz w:val="21"/>
        </w:rPr>
        <w:t xml:space="preserve">Look for uses of the </w:t>
      </w:r>
      <w:r>
        <w:rPr>
          <w:rFonts w:ascii="MS Gothic" w:hAnsi="MS Gothic"/>
          <w:color w:val="B02045"/>
          <w:w w:val="110"/>
          <w:sz w:val="21"/>
        </w:rPr>
        <w:t xml:space="preserve">bind </w:t>
      </w:r>
      <w:r>
        <w:rPr>
          <w:color w:val="333333"/>
          <w:w w:val="110"/>
          <w:sz w:val="21"/>
        </w:rPr>
        <w:t xml:space="preserve">method on the </w:t>
      </w:r>
      <w:r>
        <w:rPr>
          <w:rFonts w:ascii="MS Gothic" w:hAnsi="MS Gothic"/>
          <w:color w:val="B02045"/>
          <w:w w:val="110"/>
          <w:sz w:val="21"/>
        </w:rPr>
        <w:t xml:space="preserve">Binder </w:t>
      </w:r>
      <w:r>
        <w:rPr>
          <w:color w:val="333333"/>
          <w:w w:val="110"/>
          <w:sz w:val="21"/>
        </w:rPr>
        <w:t>to pull configuration values explicitly out of</w:t>
      </w:r>
      <w:r>
        <w:rPr>
          <w:color w:val="333333"/>
          <w:spacing w:val="21"/>
          <w:w w:val="110"/>
          <w:sz w:val="21"/>
        </w:rPr>
        <w:t xml:space="preserve"> </w:t>
      </w:r>
      <w:r>
        <w:rPr>
          <w:color w:val="333333"/>
          <w:w w:val="110"/>
          <w:sz w:val="21"/>
        </w:rPr>
        <w:t>the</w:t>
      </w:r>
    </w:p>
    <w:p w14:paraId="3301E5F1" w14:textId="77777777" w:rsidR="00A720EB" w:rsidRDefault="0030286B">
      <w:pPr>
        <w:pStyle w:val="a3"/>
        <w:spacing w:before="46"/>
        <w:ind w:left="484"/>
        <w:jc w:val="both"/>
      </w:pPr>
      <w:r>
        <w:rPr>
          <w:rFonts w:ascii="MS Gothic"/>
          <w:color w:val="B02045"/>
          <w:w w:val="110"/>
        </w:rPr>
        <w:t xml:space="preserve">Environment </w:t>
      </w:r>
      <w:r>
        <w:rPr>
          <w:color w:val="333333"/>
          <w:w w:val="110"/>
        </w:rPr>
        <w:t>in a relaxed manner. It is often used with a prefix.</w:t>
      </w:r>
    </w:p>
    <w:p w14:paraId="6ADF21DE" w14:textId="77777777" w:rsidR="00A720EB" w:rsidRDefault="0030286B">
      <w:pPr>
        <w:pStyle w:val="a6"/>
        <w:numPr>
          <w:ilvl w:val="3"/>
          <w:numId w:val="13"/>
        </w:numPr>
        <w:tabs>
          <w:tab w:val="left" w:pos="485"/>
        </w:tabs>
        <w:spacing w:before="167"/>
        <w:jc w:val="both"/>
        <w:rPr>
          <w:sz w:val="21"/>
        </w:rPr>
      </w:pPr>
      <w:r>
        <w:rPr>
          <w:color w:val="333333"/>
          <w:w w:val="110"/>
          <w:sz w:val="21"/>
        </w:rPr>
        <w:t xml:space="preserve">Look for </w:t>
      </w:r>
      <w:r>
        <w:rPr>
          <w:rFonts w:ascii="MS Gothic" w:hAnsi="MS Gothic"/>
          <w:color w:val="B02045"/>
          <w:w w:val="110"/>
          <w:sz w:val="21"/>
        </w:rPr>
        <w:t>@Value</w:t>
      </w:r>
      <w:r>
        <w:rPr>
          <w:rFonts w:ascii="MS Gothic" w:hAnsi="MS Gothic"/>
          <w:color w:val="B02045"/>
          <w:spacing w:val="-52"/>
          <w:w w:val="110"/>
          <w:sz w:val="21"/>
        </w:rPr>
        <w:t xml:space="preserve"> </w:t>
      </w:r>
      <w:r>
        <w:rPr>
          <w:color w:val="333333"/>
          <w:w w:val="110"/>
          <w:sz w:val="21"/>
        </w:rPr>
        <w:t xml:space="preserve">annotations that bind directly to the </w:t>
      </w:r>
      <w:r>
        <w:rPr>
          <w:rFonts w:ascii="MS Gothic" w:hAnsi="MS Gothic"/>
          <w:color w:val="B02045"/>
          <w:w w:val="110"/>
          <w:sz w:val="21"/>
        </w:rPr>
        <w:t>Environment</w:t>
      </w:r>
      <w:r>
        <w:rPr>
          <w:color w:val="333333"/>
          <w:w w:val="110"/>
          <w:sz w:val="21"/>
        </w:rPr>
        <w:t>.</w:t>
      </w:r>
    </w:p>
    <w:p w14:paraId="0D234141" w14:textId="77777777" w:rsidR="00A720EB" w:rsidRDefault="0030286B">
      <w:pPr>
        <w:pStyle w:val="a6"/>
        <w:numPr>
          <w:ilvl w:val="3"/>
          <w:numId w:val="13"/>
        </w:numPr>
        <w:tabs>
          <w:tab w:val="left" w:pos="485"/>
        </w:tabs>
        <w:spacing w:before="167" w:line="280" w:lineRule="auto"/>
        <w:ind w:right="127"/>
        <w:jc w:val="both"/>
        <w:rPr>
          <w:sz w:val="21"/>
        </w:rPr>
      </w:pPr>
      <w:r>
        <w:rPr>
          <w:color w:val="333333"/>
          <w:w w:val="110"/>
          <w:sz w:val="21"/>
        </w:rPr>
        <w:t xml:space="preserve">Look for </w:t>
      </w:r>
      <w:r>
        <w:rPr>
          <w:rFonts w:ascii="MS Gothic" w:hAnsi="MS Gothic"/>
          <w:color w:val="B02045"/>
          <w:w w:val="110"/>
          <w:sz w:val="21"/>
        </w:rPr>
        <w:t xml:space="preserve">@ConditionalOnExpression </w:t>
      </w:r>
      <w:r>
        <w:rPr>
          <w:color w:val="333333"/>
          <w:w w:val="110"/>
          <w:sz w:val="21"/>
        </w:rPr>
        <w:t>annotations that switch features on and off in response to SpEL expressions, normally evaluated with placeholders resolved from the</w:t>
      </w:r>
      <w:r>
        <w:rPr>
          <w:color w:val="333333"/>
          <w:spacing w:val="14"/>
          <w:w w:val="110"/>
          <w:sz w:val="21"/>
        </w:rPr>
        <w:t xml:space="preserve"> </w:t>
      </w:r>
      <w:r>
        <w:rPr>
          <w:rFonts w:ascii="MS Gothic" w:hAnsi="MS Gothic"/>
          <w:color w:val="B02045"/>
          <w:w w:val="110"/>
          <w:sz w:val="21"/>
        </w:rPr>
        <w:t>Environment</w:t>
      </w:r>
      <w:r>
        <w:rPr>
          <w:color w:val="333333"/>
          <w:w w:val="110"/>
          <w:sz w:val="21"/>
        </w:rPr>
        <w:t>.</w:t>
      </w:r>
    </w:p>
    <w:p w14:paraId="1C8B1AFB" w14:textId="77777777" w:rsidR="00A720EB" w:rsidRDefault="00A720EB">
      <w:pPr>
        <w:pStyle w:val="a3"/>
        <w:spacing w:before="8"/>
        <w:rPr>
          <w:sz w:val="26"/>
        </w:rPr>
      </w:pPr>
    </w:p>
    <w:p w14:paraId="1F96C3C9" w14:textId="77777777" w:rsidR="00A720EB" w:rsidRDefault="0030286B">
      <w:pPr>
        <w:pStyle w:val="3"/>
        <w:numPr>
          <w:ilvl w:val="2"/>
          <w:numId w:val="13"/>
        </w:numPr>
        <w:tabs>
          <w:tab w:val="left" w:pos="858"/>
        </w:tabs>
        <w:ind w:hanging="734"/>
      </w:pPr>
      <w:bookmarkStart w:id="784" w:name="9.1.3._Customize_the_Environment_or_Appl"/>
      <w:bookmarkStart w:id="785" w:name="_Toc54423918"/>
      <w:bookmarkEnd w:id="784"/>
      <w:r>
        <w:rPr>
          <w:color w:val="333333"/>
          <w:w w:val="110"/>
        </w:rPr>
        <w:t>Customize the Environment or ApplicationContext Before It</w:t>
      </w:r>
      <w:r>
        <w:rPr>
          <w:color w:val="333333"/>
          <w:spacing w:val="-21"/>
          <w:w w:val="110"/>
        </w:rPr>
        <w:t xml:space="preserve"> </w:t>
      </w:r>
      <w:r>
        <w:rPr>
          <w:color w:val="333333"/>
          <w:w w:val="110"/>
        </w:rPr>
        <w:t>Starts</w:t>
      </w:r>
      <w:bookmarkEnd w:id="785"/>
    </w:p>
    <w:p w14:paraId="75E1BD20" w14:textId="77777777" w:rsidR="00A720EB" w:rsidRDefault="0030286B">
      <w:pPr>
        <w:pStyle w:val="a3"/>
        <w:spacing w:before="243" w:line="292" w:lineRule="auto"/>
        <w:ind w:left="124" w:right="124"/>
        <w:jc w:val="both"/>
      </w:pPr>
      <w:r>
        <w:rPr>
          <w:color w:val="333333"/>
          <w:w w:val="105"/>
        </w:rPr>
        <w:t xml:space="preserve">A </w:t>
      </w:r>
      <w:r>
        <w:rPr>
          <w:rFonts w:ascii="MS Gothic"/>
          <w:color w:val="B02045"/>
          <w:w w:val="105"/>
        </w:rPr>
        <w:t>SpringApplication</w:t>
      </w:r>
      <w:r>
        <w:rPr>
          <w:rFonts w:ascii="MS Gothic"/>
          <w:color w:val="B02045"/>
          <w:spacing w:val="-61"/>
          <w:w w:val="105"/>
        </w:rPr>
        <w:t xml:space="preserve"> </w:t>
      </w:r>
      <w:r>
        <w:rPr>
          <w:color w:val="333333"/>
          <w:w w:val="105"/>
        </w:rPr>
        <w:t xml:space="preserve">has </w:t>
      </w:r>
      <w:r>
        <w:rPr>
          <w:rFonts w:ascii="MS Gothic"/>
          <w:color w:val="B02045"/>
          <w:w w:val="105"/>
        </w:rPr>
        <w:t>ApplicationListeners</w:t>
      </w:r>
      <w:r>
        <w:rPr>
          <w:rFonts w:ascii="MS Gothic"/>
          <w:color w:val="B02045"/>
          <w:spacing w:val="-61"/>
          <w:w w:val="105"/>
        </w:rPr>
        <w:t xml:space="preserve"> </w:t>
      </w:r>
      <w:r>
        <w:rPr>
          <w:color w:val="333333"/>
          <w:w w:val="105"/>
        </w:rPr>
        <w:t xml:space="preserve">and </w:t>
      </w:r>
      <w:r>
        <w:rPr>
          <w:rFonts w:ascii="MS Gothic"/>
          <w:color w:val="B02045"/>
          <w:w w:val="105"/>
        </w:rPr>
        <w:t>ApplicationContextInitializers</w:t>
      </w:r>
      <w:r>
        <w:rPr>
          <w:rFonts w:ascii="MS Gothic"/>
          <w:color w:val="B02045"/>
          <w:spacing w:val="-62"/>
          <w:w w:val="105"/>
        </w:rPr>
        <w:t xml:space="preserve"> </w:t>
      </w:r>
      <w:r>
        <w:rPr>
          <w:color w:val="333333"/>
          <w:w w:val="105"/>
        </w:rPr>
        <w:t xml:space="preserve">that are used to </w:t>
      </w:r>
      <w:r>
        <w:rPr>
          <w:color w:val="333333"/>
          <w:w w:val="110"/>
        </w:rPr>
        <w:t xml:space="preserve">apply customizations to the context or environment. Spring Boot loads a number of such customizations for use internally from </w:t>
      </w:r>
      <w:r>
        <w:rPr>
          <w:rFonts w:ascii="MS Gothic"/>
          <w:color w:val="B02045"/>
          <w:w w:val="110"/>
        </w:rPr>
        <w:t>META-INF/spring.factories</w:t>
      </w:r>
      <w:r>
        <w:rPr>
          <w:color w:val="333333"/>
          <w:w w:val="110"/>
        </w:rPr>
        <w:t>. There is more than one way to register additional customizations:</w:t>
      </w:r>
    </w:p>
    <w:p w14:paraId="70215CEC" w14:textId="77777777" w:rsidR="00A720EB" w:rsidRDefault="0030286B">
      <w:pPr>
        <w:pStyle w:val="a6"/>
        <w:numPr>
          <w:ilvl w:val="3"/>
          <w:numId w:val="13"/>
        </w:numPr>
        <w:tabs>
          <w:tab w:val="left" w:pos="485"/>
        </w:tabs>
        <w:spacing w:before="245"/>
        <w:jc w:val="both"/>
        <w:rPr>
          <w:sz w:val="21"/>
        </w:rPr>
      </w:pPr>
      <w:r>
        <w:rPr>
          <w:color w:val="333333"/>
          <w:spacing w:val="-3"/>
          <w:w w:val="110"/>
          <w:sz w:val="21"/>
        </w:rPr>
        <w:t xml:space="preserve">Programmatically, </w:t>
      </w:r>
      <w:r>
        <w:rPr>
          <w:color w:val="333333"/>
          <w:w w:val="110"/>
          <w:sz w:val="21"/>
        </w:rPr>
        <w:t xml:space="preserve">per application, </w:t>
      </w:r>
      <w:r>
        <w:rPr>
          <w:color w:val="333333"/>
          <w:spacing w:val="-3"/>
          <w:w w:val="110"/>
          <w:sz w:val="21"/>
        </w:rPr>
        <w:t xml:space="preserve">by </w:t>
      </w:r>
      <w:r>
        <w:rPr>
          <w:color w:val="333333"/>
          <w:w w:val="110"/>
          <w:sz w:val="21"/>
        </w:rPr>
        <w:t xml:space="preserve">calling the </w:t>
      </w:r>
      <w:r>
        <w:rPr>
          <w:rFonts w:ascii="MS Gothic" w:hAnsi="MS Gothic"/>
          <w:color w:val="B02045"/>
          <w:w w:val="110"/>
          <w:sz w:val="21"/>
        </w:rPr>
        <w:t xml:space="preserve">addListeners </w:t>
      </w:r>
      <w:r>
        <w:rPr>
          <w:color w:val="333333"/>
          <w:w w:val="110"/>
          <w:sz w:val="21"/>
        </w:rPr>
        <w:t xml:space="preserve">and </w:t>
      </w:r>
      <w:r>
        <w:rPr>
          <w:rFonts w:ascii="MS Gothic" w:hAnsi="MS Gothic"/>
          <w:color w:val="B02045"/>
          <w:w w:val="110"/>
          <w:sz w:val="21"/>
        </w:rPr>
        <w:t>addInitializers</w:t>
      </w:r>
      <w:r>
        <w:rPr>
          <w:rFonts w:ascii="MS Gothic" w:hAnsi="MS Gothic"/>
          <w:color w:val="B02045"/>
          <w:spacing w:val="-76"/>
          <w:w w:val="110"/>
          <w:sz w:val="21"/>
        </w:rPr>
        <w:t xml:space="preserve"> </w:t>
      </w:r>
      <w:r>
        <w:rPr>
          <w:color w:val="333333"/>
          <w:w w:val="110"/>
          <w:sz w:val="21"/>
        </w:rPr>
        <w:t>methods on</w:t>
      </w:r>
    </w:p>
    <w:p w14:paraId="4AF6C3F1" w14:textId="77777777" w:rsidR="00A720EB" w:rsidRDefault="0030286B">
      <w:pPr>
        <w:pStyle w:val="a3"/>
        <w:spacing w:before="47"/>
        <w:ind w:left="484"/>
        <w:jc w:val="both"/>
      </w:pPr>
      <w:r>
        <w:rPr>
          <w:rFonts w:ascii="MS Gothic"/>
          <w:color w:val="B02045"/>
          <w:w w:val="110"/>
        </w:rPr>
        <w:t>SpringApplication</w:t>
      </w:r>
      <w:r>
        <w:rPr>
          <w:rFonts w:ascii="MS Gothic"/>
          <w:color w:val="B02045"/>
          <w:spacing w:val="-59"/>
          <w:w w:val="110"/>
        </w:rPr>
        <w:t xml:space="preserve"> </w:t>
      </w:r>
      <w:r>
        <w:rPr>
          <w:color w:val="333333"/>
          <w:w w:val="110"/>
        </w:rPr>
        <w:t>before you run it.</w:t>
      </w:r>
    </w:p>
    <w:p w14:paraId="77C7D847" w14:textId="77777777" w:rsidR="00A720EB" w:rsidRDefault="0030286B">
      <w:pPr>
        <w:pStyle w:val="a6"/>
        <w:numPr>
          <w:ilvl w:val="3"/>
          <w:numId w:val="13"/>
        </w:numPr>
        <w:tabs>
          <w:tab w:val="left" w:pos="485"/>
        </w:tabs>
        <w:spacing w:before="166"/>
        <w:jc w:val="both"/>
        <w:rPr>
          <w:sz w:val="21"/>
        </w:rPr>
      </w:pPr>
      <w:r>
        <w:rPr>
          <w:color w:val="333333"/>
          <w:spacing w:val="-3"/>
          <w:w w:val="110"/>
          <w:sz w:val="21"/>
        </w:rPr>
        <w:t xml:space="preserve">Declaratively, </w:t>
      </w:r>
      <w:r>
        <w:rPr>
          <w:color w:val="333333"/>
          <w:w w:val="110"/>
          <w:sz w:val="21"/>
        </w:rPr>
        <w:t xml:space="preserve">per application, </w:t>
      </w:r>
      <w:r>
        <w:rPr>
          <w:color w:val="333333"/>
          <w:spacing w:val="-3"/>
          <w:w w:val="110"/>
          <w:sz w:val="21"/>
        </w:rPr>
        <w:t xml:space="preserve">by </w:t>
      </w:r>
      <w:r>
        <w:rPr>
          <w:color w:val="333333"/>
          <w:w w:val="110"/>
          <w:sz w:val="21"/>
        </w:rPr>
        <w:t xml:space="preserve">setting </w:t>
      </w:r>
      <w:proofErr w:type="gramStart"/>
      <w:r>
        <w:rPr>
          <w:color w:val="333333"/>
          <w:w w:val="110"/>
          <w:sz w:val="21"/>
        </w:rPr>
        <w:t xml:space="preserve">the  </w:t>
      </w:r>
      <w:r>
        <w:rPr>
          <w:rFonts w:ascii="MS Gothic" w:hAnsi="MS Gothic"/>
          <w:color w:val="B02045"/>
          <w:w w:val="110"/>
          <w:sz w:val="21"/>
        </w:rPr>
        <w:t>context</w:t>
      </w:r>
      <w:proofErr w:type="gramEnd"/>
      <w:r>
        <w:rPr>
          <w:rFonts w:ascii="MS Gothic" w:hAnsi="MS Gothic"/>
          <w:color w:val="B02045"/>
          <w:w w:val="110"/>
          <w:sz w:val="21"/>
        </w:rPr>
        <w:t>.initializer.classes</w:t>
      </w:r>
      <w:r>
        <w:rPr>
          <w:rFonts w:ascii="MS Gothic" w:hAnsi="MS Gothic"/>
          <w:color w:val="B02045"/>
          <w:spacing w:val="62"/>
          <w:w w:val="110"/>
          <w:sz w:val="21"/>
        </w:rPr>
        <w:t xml:space="preserve"> </w:t>
      </w:r>
      <w:r>
        <w:rPr>
          <w:color w:val="333333"/>
          <w:w w:val="110"/>
          <w:sz w:val="21"/>
        </w:rPr>
        <w:t>or</w:t>
      </w:r>
    </w:p>
    <w:p w14:paraId="48C112EE" w14:textId="77777777" w:rsidR="00A720EB" w:rsidRDefault="0030286B">
      <w:pPr>
        <w:pStyle w:val="a3"/>
        <w:spacing w:before="47"/>
        <w:ind w:left="484"/>
        <w:jc w:val="both"/>
      </w:pPr>
      <w:proofErr w:type="gramStart"/>
      <w:r>
        <w:rPr>
          <w:rFonts w:ascii="MS Gothic"/>
          <w:color w:val="B02045"/>
          <w:w w:val="105"/>
        </w:rPr>
        <w:t>context.listener</w:t>
      </w:r>
      <w:proofErr w:type="gramEnd"/>
      <w:r>
        <w:rPr>
          <w:rFonts w:ascii="MS Gothic"/>
          <w:color w:val="B02045"/>
          <w:w w:val="105"/>
        </w:rPr>
        <w:t>.classes</w:t>
      </w:r>
      <w:r>
        <w:rPr>
          <w:rFonts w:ascii="MS Gothic"/>
          <w:color w:val="B02045"/>
          <w:spacing w:val="-57"/>
          <w:w w:val="105"/>
        </w:rPr>
        <w:t xml:space="preserve"> </w:t>
      </w:r>
      <w:r>
        <w:rPr>
          <w:color w:val="333333"/>
          <w:w w:val="105"/>
        </w:rPr>
        <w:t>properties.</w:t>
      </w:r>
    </w:p>
    <w:p w14:paraId="3200071C" w14:textId="77777777" w:rsidR="00A720EB" w:rsidRDefault="0030286B">
      <w:pPr>
        <w:pStyle w:val="a6"/>
        <w:numPr>
          <w:ilvl w:val="3"/>
          <w:numId w:val="13"/>
        </w:numPr>
        <w:tabs>
          <w:tab w:val="left" w:pos="485"/>
        </w:tabs>
        <w:spacing w:before="166" w:line="290" w:lineRule="auto"/>
        <w:ind w:right="125"/>
        <w:jc w:val="both"/>
        <w:rPr>
          <w:sz w:val="21"/>
        </w:rPr>
      </w:pPr>
      <w:r>
        <w:rPr>
          <w:color w:val="333333"/>
          <w:spacing w:val="-3"/>
          <w:w w:val="110"/>
          <w:sz w:val="21"/>
        </w:rPr>
        <w:t xml:space="preserve">Declaratively, </w:t>
      </w:r>
      <w:r>
        <w:rPr>
          <w:color w:val="333333"/>
          <w:w w:val="110"/>
          <w:sz w:val="21"/>
        </w:rPr>
        <w:t xml:space="preserve">for all applications, </w:t>
      </w:r>
      <w:r>
        <w:rPr>
          <w:color w:val="333333"/>
          <w:spacing w:val="-3"/>
          <w:w w:val="110"/>
          <w:sz w:val="21"/>
        </w:rPr>
        <w:t xml:space="preserve">by </w:t>
      </w:r>
      <w:r>
        <w:rPr>
          <w:color w:val="333333"/>
          <w:w w:val="110"/>
          <w:sz w:val="21"/>
        </w:rPr>
        <w:t xml:space="preserve">adding a </w:t>
      </w:r>
      <w:r>
        <w:rPr>
          <w:rFonts w:ascii="MS Gothic" w:hAnsi="MS Gothic"/>
          <w:color w:val="B02045"/>
          <w:w w:val="110"/>
          <w:sz w:val="21"/>
        </w:rPr>
        <w:t xml:space="preserve">META-INF/spring.factories </w:t>
      </w:r>
      <w:r>
        <w:rPr>
          <w:color w:val="333333"/>
          <w:w w:val="110"/>
          <w:sz w:val="21"/>
        </w:rPr>
        <w:t>and packaging a jar file that the applications all use as a</w:t>
      </w:r>
      <w:r>
        <w:rPr>
          <w:color w:val="333333"/>
          <w:spacing w:val="26"/>
          <w:w w:val="110"/>
          <w:sz w:val="21"/>
        </w:rPr>
        <w:t xml:space="preserve"> </w:t>
      </w:r>
      <w:r>
        <w:rPr>
          <w:color w:val="333333"/>
          <w:spacing w:val="-4"/>
          <w:w w:val="110"/>
          <w:sz w:val="21"/>
        </w:rPr>
        <w:t>library.</w:t>
      </w:r>
    </w:p>
    <w:p w14:paraId="461D7E0F" w14:textId="77777777" w:rsidR="00A720EB" w:rsidRDefault="0030286B">
      <w:pPr>
        <w:pStyle w:val="a3"/>
        <w:spacing w:before="248" w:line="285" w:lineRule="auto"/>
        <w:ind w:left="124" w:right="122"/>
        <w:jc w:val="both"/>
      </w:pPr>
      <w:r>
        <w:rPr>
          <w:color w:val="333333"/>
          <w:w w:val="110"/>
        </w:rPr>
        <w:t>The</w:t>
      </w:r>
      <w:r>
        <w:rPr>
          <w:color w:val="333333"/>
          <w:spacing w:val="-13"/>
          <w:w w:val="110"/>
        </w:rPr>
        <w:t xml:space="preserve"> </w:t>
      </w:r>
      <w:r>
        <w:rPr>
          <w:rFonts w:ascii="MS Gothic" w:hAnsi="MS Gothic"/>
          <w:color w:val="B02045"/>
          <w:w w:val="110"/>
        </w:rPr>
        <w:t>SpringApplication</w:t>
      </w:r>
      <w:r>
        <w:rPr>
          <w:rFonts w:ascii="MS Gothic" w:hAnsi="MS Gothic"/>
          <w:color w:val="B02045"/>
          <w:spacing w:val="-77"/>
          <w:w w:val="110"/>
        </w:rPr>
        <w:t xml:space="preserve"> </w:t>
      </w:r>
      <w:r>
        <w:rPr>
          <w:color w:val="333333"/>
          <w:w w:val="110"/>
        </w:rPr>
        <w:t>sends</w:t>
      </w:r>
      <w:r>
        <w:rPr>
          <w:color w:val="333333"/>
          <w:spacing w:val="-13"/>
          <w:w w:val="110"/>
        </w:rPr>
        <w:t xml:space="preserve"> </w:t>
      </w:r>
      <w:r>
        <w:rPr>
          <w:color w:val="333333"/>
          <w:w w:val="110"/>
        </w:rPr>
        <w:t>some</w:t>
      </w:r>
      <w:r>
        <w:rPr>
          <w:color w:val="333333"/>
          <w:spacing w:val="-13"/>
          <w:w w:val="110"/>
        </w:rPr>
        <w:t xml:space="preserve"> </w:t>
      </w:r>
      <w:r>
        <w:rPr>
          <w:color w:val="333333"/>
          <w:w w:val="110"/>
        </w:rPr>
        <w:t>special</w:t>
      </w:r>
      <w:r>
        <w:rPr>
          <w:color w:val="333333"/>
          <w:spacing w:val="-13"/>
          <w:w w:val="110"/>
        </w:rPr>
        <w:t xml:space="preserve"> </w:t>
      </w:r>
      <w:r>
        <w:rPr>
          <w:rFonts w:ascii="MS Gothic" w:hAnsi="MS Gothic"/>
          <w:color w:val="B02045"/>
          <w:w w:val="110"/>
        </w:rPr>
        <w:t>ApplicationEvents</w:t>
      </w:r>
      <w:r>
        <w:rPr>
          <w:rFonts w:ascii="MS Gothic" w:hAnsi="MS Gothic"/>
          <w:color w:val="B02045"/>
          <w:spacing w:val="-77"/>
          <w:w w:val="110"/>
        </w:rPr>
        <w:t xml:space="preserve"> </w:t>
      </w:r>
      <w:r>
        <w:rPr>
          <w:color w:val="333333"/>
          <w:w w:val="110"/>
        </w:rPr>
        <w:t>to</w:t>
      </w:r>
      <w:r>
        <w:rPr>
          <w:color w:val="333333"/>
          <w:spacing w:val="-13"/>
          <w:w w:val="110"/>
        </w:rPr>
        <w:t xml:space="preserve"> </w:t>
      </w:r>
      <w:r>
        <w:rPr>
          <w:color w:val="333333"/>
          <w:w w:val="110"/>
        </w:rPr>
        <w:t>the</w:t>
      </w:r>
      <w:r>
        <w:rPr>
          <w:color w:val="333333"/>
          <w:spacing w:val="-13"/>
          <w:w w:val="110"/>
        </w:rPr>
        <w:t xml:space="preserve"> </w:t>
      </w:r>
      <w:r>
        <w:rPr>
          <w:color w:val="333333"/>
          <w:w w:val="110"/>
        </w:rPr>
        <w:t>listeners</w:t>
      </w:r>
      <w:r>
        <w:rPr>
          <w:color w:val="333333"/>
          <w:spacing w:val="-13"/>
          <w:w w:val="110"/>
        </w:rPr>
        <w:t xml:space="preserve"> </w:t>
      </w:r>
      <w:r>
        <w:rPr>
          <w:color w:val="333333"/>
          <w:w w:val="110"/>
        </w:rPr>
        <w:t>(some</w:t>
      </w:r>
      <w:r>
        <w:rPr>
          <w:color w:val="333333"/>
          <w:spacing w:val="-13"/>
          <w:w w:val="110"/>
        </w:rPr>
        <w:t xml:space="preserve"> </w:t>
      </w:r>
      <w:r>
        <w:rPr>
          <w:color w:val="333333"/>
          <w:w w:val="110"/>
        </w:rPr>
        <w:t>even</w:t>
      </w:r>
      <w:r>
        <w:rPr>
          <w:color w:val="333333"/>
          <w:spacing w:val="-13"/>
          <w:w w:val="110"/>
        </w:rPr>
        <w:t xml:space="preserve"> </w:t>
      </w:r>
      <w:r>
        <w:rPr>
          <w:color w:val="333333"/>
          <w:w w:val="110"/>
        </w:rPr>
        <w:t>before</w:t>
      </w:r>
      <w:r>
        <w:rPr>
          <w:color w:val="333333"/>
          <w:spacing w:val="-13"/>
          <w:w w:val="110"/>
        </w:rPr>
        <w:t xml:space="preserve"> </w:t>
      </w:r>
      <w:r>
        <w:rPr>
          <w:color w:val="333333"/>
          <w:w w:val="110"/>
        </w:rPr>
        <w:t>the context</w:t>
      </w:r>
      <w:r>
        <w:rPr>
          <w:color w:val="333333"/>
          <w:spacing w:val="-10"/>
          <w:w w:val="110"/>
        </w:rPr>
        <w:t xml:space="preserve"> </w:t>
      </w:r>
      <w:r>
        <w:rPr>
          <w:color w:val="333333"/>
          <w:w w:val="110"/>
        </w:rPr>
        <w:t>is</w:t>
      </w:r>
      <w:r>
        <w:rPr>
          <w:color w:val="333333"/>
          <w:spacing w:val="-9"/>
          <w:w w:val="110"/>
        </w:rPr>
        <w:t xml:space="preserve"> </w:t>
      </w:r>
      <w:r>
        <w:rPr>
          <w:color w:val="333333"/>
          <w:w w:val="110"/>
        </w:rPr>
        <w:t>created)</w:t>
      </w:r>
      <w:r>
        <w:rPr>
          <w:color w:val="333333"/>
          <w:spacing w:val="-9"/>
          <w:w w:val="110"/>
        </w:rPr>
        <w:t xml:space="preserve"> </w:t>
      </w:r>
      <w:r>
        <w:rPr>
          <w:color w:val="333333"/>
          <w:w w:val="110"/>
        </w:rPr>
        <w:t>and</w:t>
      </w:r>
      <w:r>
        <w:rPr>
          <w:color w:val="333333"/>
          <w:spacing w:val="-10"/>
          <w:w w:val="110"/>
        </w:rPr>
        <w:t xml:space="preserve"> </w:t>
      </w:r>
      <w:r>
        <w:rPr>
          <w:color w:val="333333"/>
          <w:w w:val="110"/>
        </w:rPr>
        <w:t>then</w:t>
      </w:r>
      <w:r>
        <w:rPr>
          <w:color w:val="333333"/>
          <w:spacing w:val="-9"/>
          <w:w w:val="110"/>
        </w:rPr>
        <w:t xml:space="preserve"> </w:t>
      </w:r>
      <w:r>
        <w:rPr>
          <w:color w:val="333333"/>
          <w:w w:val="110"/>
        </w:rPr>
        <w:t>registers</w:t>
      </w:r>
      <w:r>
        <w:rPr>
          <w:color w:val="333333"/>
          <w:spacing w:val="-9"/>
          <w:w w:val="110"/>
        </w:rPr>
        <w:t xml:space="preserve"> </w:t>
      </w:r>
      <w:r>
        <w:rPr>
          <w:color w:val="333333"/>
          <w:w w:val="110"/>
        </w:rPr>
        <w:t>the</w:t>
      </w:r>
      <w:r>
        <w:rPr>
          <w:color w:val="333333"/>
          <w:spacing w:val="-10"/>
          <w:w w:val="110"/>
        </w:rPr>
        <w:t xml:space="preserve"> </w:t>
      </w:r>
      <w:r>
        <w:rPr>
          <w:color w:val="333333"/>
          <w:w w:val="110"/>
        </w:rPr>
        <w:t>listeners</w:t>
      </w:r>
      <w:r>
        <w:rPr>
          <w:color w:val="333333"/>
          <w:spacing w:val="-9"/>
          <w:w w:val="110"/>
        </w:rPr>
        <w:t xml:space="preserve"> </w:t>
      </w:r>
      <w:r>
        <w:rPr>
          <w:color w:val="333333"/>
          <w:w w:val="110"/>
        </w:rPr>
        <w:t>for</w:t>
      </w:r>
      <w:r>
        <w:rPr>
          <w:color w:val="333333"/>
          <w:spacing w:val="-9"/>
          <w:w w:val="110"/>
        </w:rPr>
        <w:t xml:space="preserve"> </w:t>
      </w:r>
      <w:r>
        <w:rPr>
          <w:color w:val="333333"/>
          <w:w w:val="110"/>
        </w:rPr>
        <w:t>events</w:t>
      </w:r>
      <w:r>
        <w:rPr>
          <w:color w:val="333333"/>
          <w:spacing w:val="-10"/>
          <w:w w:val="110"/>
        </w:rPr>
        <w:t xml:space="preserve"> </w:t>
      </w:r>
      <w:r>
        <w:rPr>
          <w:color w:val="333333"/>
          <w:w w:val="110"/>
        </w:rPr>
        <w:t>published</w:t>
      </w:r>
      <w:r>
        <w:rPr>
          <w:color w:val="333333"/>
          <w:spacing w:val="-9"/>
          <w:w w:val="110"/>
        </w:rPr>
        <w:t xml:space="preserve"> </w:t>
      </w:r>
      <w:r>
        <w:rPr>
          <w:color w:val="333333"/>
          <w:spacing w:val="-3"/>
          <w:w w:val="110"/>
        </w:rPr>
        <w:t>by</w:t>
      </w:r>
      <w:r>
        <w:rPr>
          <w:color w:val="333333"/>
          <w:spacing w:val="-9"/>
          <w:w w:val="110"/>
        </w:rPr>
        <w:t xml:space="preserve"> </w:t>
      </w:r>
      <w:r>
        <w:rPr>
          <w:color w:val="333333"/>
          <w:w w:val="110"/>
        </w:rPr>
        <w:t>the</w:t>
      </w:r>
      <w:r>
        <w:rPr>
          <w:color w:val="333333"/>
          <w:spacing w:val="-6"/>
          <w:w w:val="110"/>
        </w:rPr>
        <w:t xml:space="preserve"> </w:t>
      </w:r>
      <w:r>
        <w:rPr>
          <w:rFonts w:ascii="MS Gothic" w:hAnsi="MS Gothic"/>
          <w:color w:val="B02045"/>
          <w:w w:val="110"/>
        </w:rPr>
        <w:t>ApplicationContext</w:t>
      </w:r>
      <w:r>
        <w:rPr>
          <w:rFonts w:ascii="MS Gothic" w:hAnsi="MS Gothic"/>
          <w:color w:val="B02045"/>
          <w:spacing w:val="-74"/>
          <w:w w:val="110"/>
        </w:rPr>
        <w:t xml:space="preserve"> </w:t>
      </w:r>
      <w:r>
        <w:rPr>
          <w:color w:val="333333"/>
          <w:w w:val="110"/>
        </w:rPr>
        <w:t>as well.</w:t>
      </w:r>
      <w:r>
        <w:rPr>
          <w:color w:val="333333"/>
          <w:spacing w:val="5"/>
          <w:w w:val="110"/>
        </w:rPr>
        <w:t xml:space="preserve"> </w:t>
      </w:r>
      <w:r>
        <w:rPr>
          <w:color w:val="333333"/>
          <w:w w:val="110"/>
        </w:rPr>
        <w:t>See</w:t>
      </w:r>
      <w:r>
        <w:rPr>
          <w:color w:val="333333"/>
          <w:spacing w:val="6"/>
          <w:w w:val="110"/>
        </w:rPr>
        <w:t xml:space="preserve"> </w:t>
      </w:r>
      <w:r>
        <w:rPr>
          <w:color w:val="333333"/>
          <w:w w:val="110"/>
        </w:rPr>
        <w:t>“</w:t>
      </w:r>
      <w:hyperlink w:anchor="_bookmark95" w:history="1">
        <w:r>
          <w:rPr>
            <w:color w:val="418BCA"/>
            <w:w w:val="110"/>
          </w:rPr>
          <w:t>Application</w:t>
        </w:r>
        <w:r>
          <w:rPr>
            <w:color w:val="418BCA"/>
            <w:spacing w:val="7"/>
            <w:w w:val="110"/>
          </w:rPr>
          <w:t xml:space="preserve"> </w:t>
        </w:r>
        <w:r>
          <w:rPr>
            <w:color w:val="418BCA"/>
            <w:w w:val="110"/>
          </w:rPr>
          <w:t>Events</w:t>
        </w:r>
        <w:r>
          <w:rPr>
            <w:color w:val="418BCA"/>
            <w:spacing w:val="7"/>
            <w:w w:val="110"/>
          </w:rPr>
          <w:t xml:space="preserve"> </w:t>
        </w:r>
        <w:r>
          <w:rPr>
            <w:color w:val="418BCA"/>
            <w:w w:val="110"/>
          </w:rPr>
          <w:t>and</w:t>
        </w:r>
        <w:r>
          <w:rPr>
            <w:color w:val="418BCA"/>
            <w:spacing w:val="5"/>
            <w:w w:val="110"/>
          </w:rPr>
          <w:t xml:space="preserve"> </w:t>
        </w:r>
        <w:r>
          <w:rPr>
            <w:color w:val="418BCA"/>
            <w:w w:val="110"/>
          </w:rPr>
          <w:t>Listeners</w:t>
        </w:r>
      </w:hyperlink>
      <w:r>
        <w:rPr>
          <w:color w:val="333333"/>
          <w:w w:val="110"/>
        </w:rPr>
        <w:t>”</w:t>
      </w:r>
      <w:r>
        <w:rPr>
          <w:color w:val="333333"/>
          <w:spacing w:val="7"/>
          <w:w w:val="110"/>
        </w:rPr>
        <w:t xml:space="preserve"> </w:t>
      </w:r>
      <w:r>
        <w:rPr>
          <w:color w:val="333333"/>
          <w:w w:val="110"/>
        </w:rPr>
        <w:t>in</w:t>
      </w:r>
      <w:r>
        <w:rPr>
          <w:color w:val="333333"/>
          <w:spacing w:val="6"/>
          <w:w w:val="110"/>
        </w:rPr>
        <w:t xml:space="preserve"> </w:t>
      </w:r>
      <w:r>
        <w:rPr>
          <w:color w:val="333333"/>
          <w:w w:val="110"/>
        </w:rPr>
        <w:t>the</w:t>
      </w:r>
      <w:r>
        <w:rPr>
          <w:color w:val="333333"/>
          <w:spacing w:val="7"/>
          <w:w w:val="110"/>
        </w:rPr>
        <w:t xml:space="preserve"> </w:t>
      </w:r>
      <w:r>
        <w:rPr>
          <w:color w:val="333333"/>
          <w:w w:val="110"/>
        </w:rPr>
        <w:t>‘Spring</w:t>
      </w:r>
      <w:r>
        <w:rPr>
          <w:color w:val="333333"/>
          <w:spacing w:val="6"/>
          <w:w w:val="110"/>
        </w:rPr>
        <w:t xml:space="preserve"> </w:t>
      </w:r>
      <w:r>
        <w:rPr>
          <w:color w:val="333333"/>
          <w:w w:val="110"/>
        </w:rPr>
        <w:t>Boot</w:t>
      </w:r>
      <w:r>
        <w:rPr>
          <w:color w:val="333333"/>
          <w:spacing w:val="6"/>
          <w:w w:val="110"/>
        </w:rPr>
        <w:t xml:space="preserve"> </w:t>
      </w:r>
      <w:r>
        <w:rPr>
          <w:color w:val="333333"/>
          <w:w w:val="110"/>
        </w:rPr>
        <w:t>features’</w:t>
      </w:r>
      <w:r>
        <w:rPr>
          <w:color w:val="333333"/>
          <w:spacing w:val="7"/>
          <w:w w:val="110"/>
        </w:rPr>
        <w:t xml:space="preserve"> </w:t>
      </w:r>
      <w:r>
        <w:rPr>
          <w:color w:val="333333"/>
          <w:w w:val="110"/>
        </w:rPr>
        <w:t>section</w:t>
      </w:r>
      <w:r>
        <w:rPr>
          <w:color w:val="333333"/>
          <w:spacing w:val="7"/>
          <w:w w:val="110"/>
        </w:rPr>
        <w:t xml:space="preserve"> </w:t>
      </w:r>
      <w:r>
        <w:rPr>
          <w:color w:val="333333"/>
          <w:w w:val="110"/>
        </w:rPr>
        <w:t>for</w:t>
      </w:r>
      <w:r>
        <w:rPr>
          <w:color w:val="333333"/>
          <w:spacing w:val="6"/>
          <w:w w:val="110"/>
        </w:rPr>
        <w:t xml:space="preserve"> </w:t>
      </w:r>
      <w:r>
        <w:rPr>
          <w:color w:val="333333"/>
          <w:w w:val="110"/>
        </w:rPr>
        <w:t>a</w:t>
      </w:r>
      <w:r>
        <w:rPr>
          <w:color w:val="333333"/>
          <w:spacing w:val="6"/>
          <w:w w:val="110"/>
        </w:rPr>
        <w:t xml:space="preserve"> </w:t>
      </w:r>
      <w:r>
        <w:rPr>
          <w:color w:val="333333"/>
          <w:w w:val="110"/>
        </w:rPr>
        <w:t>complete</w:t>
      </w:r>
      <w:r>
        <w:rPr>
          <w:color w:val="333333"/>
          <w:spacing w:val="7"/>
          <w:w w:val="110"/>
        </w:rPr>
        <w:t xml:space="preserve"> </w:t>
      </w:r>
      <w:r>
        <w:rPr>
          <w:color w:val="333333"/>
          <w:w w:val="110"/>
        </w:rPr>
        <w:t>list.</w:t>
      </w:r>
    </w:p>
    <w:p w14:paraId="7479EAD3" w14:textId="77777777" w:rsidR="00A720EB" w:rsidRDefault="00A720EB">
      <w:pPr>
        <w:pStyle w:val="a3"/>
        <w:spacing w:before="7"/>
      </w:pPr>
    </w:p>
    <w:p w14:paraId="043297A4" w14:textId="77777777" w:rsidR="00A720EB" w:rsidRDefault="0030286B">
      <w:pPr>
        <w:pStyle w:val="a3"/>
        <w:spacing w:line="285" w:lineRule="auto"/>
        <w:ind w:left="124" w:right="122"/>
        <w:jc w:val="both"/>
      </w:pPr>
      <w:r>
        <w:rPr>
          <w:color w:val="333333"/>
          <w:w w:val="110"/>
        </w:rPr>
        <w:t xml:space="preserve">It is also possible to customize the </w:t>
      </w:r>
      <w:r>
        <w:rPr>
          <w:rFonts w:ascii="MS Gothic"/>
          <w:color w:val="B02045"/>
          <w:w w:val="110"/>
        </w:rPr>
        <w:t xml:space="preserve">Environment </w:t>
      </w:r>
      <w:r>
        <w:rPr>
          <w:color w:val="333333"/>
          <w:w w:val="110"/>
        </w:rPr>
        <w:t xml:space="preserve">before the application context is refreshed by using </w:t>
      </w:r>
      <w:r>
        <w:rPr>
          <w:rFonts w:ascii="MS Gothic"/>
          <w:color w:val="B02045"/>
          <w:w w:val="105"/>
        </w:rPr>
        <w:t>EnvironmentPostProcessor</w:t>
      </w:r>
      <w:r>
        <w:rPr>
          <w:color w:val="333333"/>
          <w:w w:val="105"/>
        </w:rPr>
        <w:t xml:space="preserve">. Each implementation should be registered in </w:t>
      </w:r>
      <w:r>
        <w:rPr>
          <w:rFonts w:ascii="MS Gothic"/>
          <w:color w:val="B02045"/>
          <w:w w:val="105"/>
        </w:rPr>
        <w:t>META-INF/spring.factories</w:t>
      </w:r>
      <w:r>
        <w:rPr>
          <w:color w:val="333333"/>
          <w:w w:val="105"/>
        </w:rPr>
        <w:t xml:space="preserve">, </w:t>
      </w:r>
      <w:r>
        <w:rPr>
          <w:color w:val="333333"/>
          <w:w w:val="110"/>
        </w:rPr>
        <w:t>as shown in the following example:</w:t>
      </w:r>
    </w:p>
    <w:p w14:paraId="23F03324" w14:textId="77777777" w:rsidR="00A720EB" w:rsidRDefault="00E10349">
      <w:pPr>
        <w:pStyle w:val="a3"/>
        <w:spacing w:before="2"/>
        <w:rPr>
          <w:sz w:val="15"/>
        </w:rPr>
      </w:pPr>
      <w:r>
        <w:pict w14:anchorId="639DE896">
          <v:group id="_x0000_s1662" style="position:absolute;margin-left:47.85pt;margin-top:10.85pt;width:499.55pt;height:52.25pt;z-index:-15128576;mso-wrap-distance-left:0;mso-wrap-distance-right:0;mso-position-horizontal-relative:page" coordorigin="957,217" coordsize="9991,1045">
            <v:shape id="_x0000_s1665" style="position:absolute;left:964;top:224;width:9976;height:1030" coordorigin="965,225" coordsize="9976,1030" path="m10861,225r-9816,l1014,231r-26,17l971,274r-6,31l965,1175r6,31l988,1231r26,17l1045,1255r9816,l10892,1248r25,-17l10935,1206r6,-31l10941,305r-6,-31l10917,248r-25,-17l10861,225xe" fillcolor="#f5f5f5" stroked="f">
              <v:path arrowok="t"/>
            </v:shape>
            <v:shape id="_x0000_s1664" style="position:absolute;left:964;top:224;width:9976;height:1030" coordorigin="965,225" coordsize="9976,1030" path="m1045,225r9816,l10892,231r25,17l10935,274r6,31l10941,1175r-6,31l10917,1231r-25,17l10861,1255r-9816,l1014,1248r-26,-17l971,1206r-6,-31l965,305r6,-31l988,248r26,-17l1045,225xe" filled="f" strokecolor="#ccc">
              <v:path arrowok="t"/>
            </v:shape>
            <v:shape id="_x0000_s1663" type="#_x0000_t202" style="position:absolute;left:984;top:240;width:9938;height:999" filled="f" stroked="f">
              <v:textbox inset="0,0,0,0">
                <w:txbxContent>
                  <w:p w14:paraId="35374AC3" w14:textId="77777777" w:rsidR="00711A16" w:rsidRDefault="00711A16">
                    <w:pPr>
                      <w:spacing w:before="221" w:line="252" w:lineRule="auto"/>
                      <w:ind w:left="200" w:right="258"/>
                      <w:rPr>
                        <w:rFonts w:ascii="MS Gothic"/>
                      </w:rPr>
                    </w:pPr>
                    <w:proofErr w:type="gramStart"/>
                    <w:r>
                      <w:rPr>
                        <w:rFonts w:ascii="MS Gothic"/>
                        <w:color w:val="333333"/>
                      </w:rPr>
                      <w:t>org.springframework.boot.env.EnvironmentPostProcessor=com.example</w:t>
                    </w:r>
                    <w:proofErr w:type="gramEnd"/>
                    <w:r>
                      <w:rPr>
                        <w:rFonts w:ascii="MS Gothic"/>
                        <w:color w:val="333333"/>
                      </w:rPr>
                      <w:t>.YourEnvironmentPostP rocessor</w:t>
                    </w:r>
                  </w:p>
                </w:txbxContent>
              </v:textbox>
            </v:shape>
            <w10:wrap type="topAndBottom" anchorx="page"/>
          </v:group>
        </w:pict>
      </w:r>
    </w:p>
    <w:p w14:paraId="50E6A745" w14:textId="77777777" w:rsidR="00A720EB" w:rsidRDefault="00A720EB">
      <w:pPr>
        <w:rPr>
          <w:sz w:val="15"/>
        </w:rPr>
        <w:sectPr w:rsidR="00A720EB">
          <w:pgSz w:w="11910" w:h="16840"/>
          <w:pgMar w:top="620" w:right="840" w:bottom="520" w:left="840" w:header="0" w:footer="323" w:gutter="0"/>
          <w:cols w:space="720"/>
        </w:sectPr>
      </w:pPr>
    </w:p>
    <w:p w14:paraId="3BABEEF0" w14:textId="77777777" w:rsidR="00A720EB" w:rsidRDefault="0030286B">
      <w:pPr>
        <w:pStyle w:val="a3"/>
        <w:spacing w:before="91" w:line="290" w:lineRule="auto"/>
        <w:ind w:left="124"/>
      </w:pPr>
      <w:r>
        <w:rPr>
          <w:color w:val="333333"/>
          <w:w w:val="110"/>
        </w:rPr>
        <w:lastRenderedPageBreak/>
        <w:t xml:space="preserve">The implementation can load arbitrary files and add them to the </w:t>
      </w:r>
      <w:r>
        <w:rPr>
          <w:rFonts w:ascii="MS Gothic"/>
          <w:color w:val="B02045"/>
          <w:w w:val="110"/>
        </w:rPr>
        <w:t>Environment</w:t>
      </w:r>
      <w:r>
        <w:rPr>
          <w:color w:val="333333"/>
          <w:w w:val="110"/>
        </w:rPr>
        <w:t>. For instance, the following example loads a YAML configuration file from the classpath:</w:t>
      </w:r>
    </w:p>
    <w:p w14:paraId="4DFA441B" w14:textId="77777777" w:rsidR="00A720EB" w:rsidRDefault="00E10349">
      <w:pPr>
        <w:pStyle w:val="a3"/>
        <w:spacing w:before="7"/>
        <w:rPr>
          <w:sz w:val="14"/>
        </w:rPr>
      </w:pPr>
      <w:r>
        <w:pict w14:anchorId="3BF0BAFA">
          <v:group id="_x0000_s1658" style="position:absolute;margin-left:47.85pt;margin-top:10.55pt;width:499.55pt;height:420.75pt;z-index:-15128064;mso-wrap-distance-left:0;mso-wrap-distance-right:0;mso-position-horizontal-relative:page" coordorigin="957,211" coordsize="9991,8415">
            <v:shape id="_x0000_s1661" style="position:absolute;left:964;top:218;width:9976;height:8400" coordorigin="965,219" coordsize="9976,8400" path="m10861,219r-9816,l1014,225r-26,17l971,268r-6,31l965,8539r6,31l988,8595r26,17l1045,8619r9816,l10892,8612r25,-17l10935,8570r6,-31l10941,299r-6,-31l10917,242r-25,-17l10861,219xe" fillcolor="#f5f5f5" stroked="f">
              <v:path arrowok="t"/>
            </v:shape>
            <v:shape id="_x0000_s1660" style="position:absolute;left:964;top:218;width:9976;height:8400" coordorigin="965,219" coordsize="9976,8400" path="m1045,219r9816,l10892,225r25,17l10935,268r6,31l10941,8539r-6,31l10917,8595r-25,17l10861,8619r-9816,l1014,8612r-26,-17l971,8570r-6,-31l965,299r6,-31l988,242r26,-17l1045,219xe" filled="f" strokecolor="#ccc">
              <v:path arrowok="t"/>
            </v:shape>
            <v:shape id="_x0000_s1659" type="#_x0000_t202" style="position:absolute;left:984;top:234;width:9938;height:8369" filled="f" stroked="f">
              <v:textbox inset="0,0,0,0">
                <w:txbxContent>
                  <w:p w14:paraId="05A585BA" w14:textId="77777777" w:rsidR="00711A16" w:rsidRDefault="00711A16">
                    <w:pPr>
                      <w:spacing w:before="221" w:line="501" w:lineRule="auto"/>
                      <w:ind w:left="640" w:right="588" w:hanging="440"/>
                      <w:rPr>
                        <w:rFonts w:ascii="MS Gothic"/>
                      </w:rPr>
                    </w:pPr>
                    <w:r>
                      <w:rPr>
                        <w:rFonts w:ascii="MS Gothic"/>
                        <w:color w:val="333333"/>
                      </w:rPr>
                      <w:t xml:space="preserve">public class EnvironmentPostProcessorExample implements EnvironmentPostProcessor </w:t>
                    </w:r>
                    <w:proofErr w:type="gramStart"/>
                    <w:r>
                      <w:rPr>
                        <w:rFonts w:ascii="MS Gothic"/>
                        <w:color w:val="333333"/>
                      </w:rPr>
                      <w:t>{ private</w:t>
                    </w:r>
                    <w:proofErr w:type="gramEnd"/>
                    <w:r>
                      <w:rPr>
                        <w:rFonts w:ascii="MS Gothic"/>
                        <w:color w:val="333333"/>
                      </w:rPr>
                      <w:t xml:space="preserve"> final YamlPropertySourceLoader loader = new YamlPropertySourceLoader();</w:t>
                    </w:r>
                  </w:p>
                  <w:p w14:paraId="3A07E1E0" w14:textId="77777777" w:rsidR="00711A16" w:rsidRDefault="00711A16">
                    <w:pPr>
                      <w:spacing w:before="1"/>
                      <w:ind w:left="640"/>
                      <w:rPr>
                        <w:rFonts w:ascii="MS Gothic"/>
                      </w:rPr>
                    </w:pPr>
                    <w:r>
                      <w:rPr>
                        <w:rFonts w:ascii="MS Gothic"/>
                        <w:color w:val="333333"/>
                      </w:rPr>
                      <w:t>@Override</w:t>
                    </w:r>
                  </w:p>
                  <w:p w14:paraId="5B7115C8" w14:textId="77777777" w:rsidR="00711A16" w:rsidRDefault="00711A16">
                    <w:pPr>
                      <w:spacing w:before="13" w:line="252" w:lineRule="auto"/>
                      <w:ind w:left="200" w:right="1468" w:firstLine="440"/>
                      <w:rPr>
                        <w:rFonts w:ascii="MS Gothic"/>
                      </w:rPr>
                    </w:pPr>
                    <w:r>
                      <w:rPr>
                        <w:rFonts w:ascii="MS Gothic"/>
                        <w:color w:val="333333"/>
                      </w:rPr>
                      <w:t xml:space="preserve">public void </w:t>
                    </w:r>
                    <w:proofErr w:type="gramStart"/>
                    <w:r>
                      <w:rPr>
                        <w:rFonts w:ascii="MS Gothic"/>
                        <w:color w:val="333333"/>
                      </w:rPr>
                      <w:t>postProcessEnvironment(</w:t>
                    </w:r>
                    <w:proofErr w:type="gramEnd"/>
                    <w:r>
                      <w:rPr>
                        <w:rFonts w:ascii="MS Gothic"/>
                        <w:color w:val="333333"/>
                      </w:rPr>
                      <w:t>ConfigurableEnvironment environment, SpringApplication application) {</w:t>
                    </w:r>
                  </w:p>
                  <w:p w14:paraId="1C5D7778" w14:textId="77777777" w:rsidR="00711A16" w:rsidRDefault="00711A16">
                    <w:pPr>
                      <w:spacing w:line="252" w:lineRule="auto"/>
                      <w:ind w:left="1080" w:right="1138"/>
                      <w:rPr>
                        <w:rFonts w:ascii="MS Gothic"/>
                      </w:rPr>
                    </w:pPr>
                    <w:r>
                      <w:rPr>
                        <w:rFonts w:ascii="MS Gothic"/>
                        <w:color w:val="333333"/>
                      </w:rPr>
                      <w:t xml:space="preserve">Resource path = new ClassPathResource("com/example/myapp/config.yml"); PropertySource&lt;?&gt; propertySource = loadYaml(path); </w:t>
                    </w:r>
                    <w:proofErr w:type="gramStart"/>
                    <w:r>
                      <w:rPr>
                        <w:rFonts w:ascii="MS Gothic"/>
                        <w:color w:val="333333"/>
                      </w:rPr>
                      <w:t>environment.getPropertySources</w:t>
                    </w:r>
                    <w:proofErr w:type="gramEnd"/>
                    <w:r>
                      <w:rPr>
                        <w:rFonts w:ascii="MS Gothic"/>
                        <w:color w:val="333333"/>
                      </w:rPr>
                      <w:t>().addLast(propertySource);</w:t>
                    </w:r>
                  </w:p>
                  <w:p w14:paraId="48BCF9F4" w14:textId="77777777" w:rsidR="00711A16" w:rsidRDefault="00711A16">
                    <w:pPr>
                      <w:spacing w:line="278" w:lineRule="exact"/>
                      <w:ind w:left="640"/>
                      <w:rPr>
                        <w:rFonts w:ascii="MS Gothic"/>
                      </w:rPr>
                    </w:pPr>
                    <w:r>
                      <w:rPr>
                        <w:rFonts w:ascii="MS Gothic"/>
                        <w:color w:val="333333"/>
                      </w:rPr>
                      <w:t>}</w:t>
                    </w:r>
                  </w:p>
                  <w:p w14:paraId="14CDEACC" w14:textId="77777777" w:rsidR="00711A16" w:rsidRDefault="00711A16">
                    <w:pPr>
                      <w:spacing w:before="10"/>
                      <w:rPr>
                        <w:rFonts w:ascii="MS Gothic"/>
                        <w:sz w:val="23"/>
                      </w:rPr>
                    </w:pPr>
                  </w:p>
                  <w:p w14:paraId="3AB54FD4" w14:textId="77777777" w:rsidR="00711A16" w:rsidRDefault="00711A16">
                    <w:pPr>
                      <w:spacing w:line="252" w:lineRule="auto"/>
                      <w:ind w:left="1080" w:right="3668" w:hanging="440"/>
                      <w:rPr>
                        <w:rFonts w:ascii="MS Gothic"/>
                      </w:rPr>
                    </w:pPr>
                    <w:r>
                      <w:rPr>
                        <w:rFonts w:ascii="MS Gothic"/>
                        <w:color w:val="333333"/>
                      </w:rPr>
                      <w:t xml:space="preserve">private PropertySource&lt;?&gt; </w:t>
                    </w:r>
                    <w:proofErr w:type="gramStart"/>
                    <w:r>
                      <w:rPr>
                        <w:rFonts w:ascii="MS Gothic"/>
                        <w:color w:val="333333"/>
                      </w:rPr>
                      <w:t>loadYaml(</w:t>
                    </w:r>
                    <w:proofErr w:type="gramEnd"/>
                    <w:r>
                      <w:rPr>
                        <w:rFonts w:ascii="MS Gothic"/>
                        <w:color w:val="333333"/>
                      </w:rPr>
                      <w:t>Resource path) { if (!path.exists()) {</w:t>
                    </w:r>
                  </w:p>
                  <w:p w14:paraId="58C448F0" w14:textId="77777777" w:rsidR="00711A16" w:rsidRDefault="00711A16">
                    <w:pPr>
                      <w:spacing w:line="280" w:lineRule="exact"/>
                      <w:ind w:left="1520"/>
                      <w:rPr>
                        <w:rFonts w:ascii="MS Gothic"/>
                      </w:rPr>
                    </w:pPr>
                    <w:r>
                      <w:rPr>
                        <w:rFonts w:ascii="MS Gothic"/>
                        <w:color w:val="333333"/>
                      </w:rPr>
                      <w:t xml:space="preserve">throw new </w:t>
                    </w:r>
                    <w:proofErr w:type="gramStart"/>
                    <w:r>
                      <w:rPr>
                        <w:rFonts w:ascii="MS Gothic"/>
                        <w:color w:val="333333"/>
                      </w:rPr>
                      <w:t>IllegalArgumentException(</w:t>
                    </w:r>
                    <w:proofErr w:type="gramEnd"/>
                    <w:r>
                      <w:rPr>
                        <w:rFonts w:ascii="MS Gothic"/>
                        <w:color w:val="333333"/>
                      </w:rPr>
                      <w:t>"Resource " + path + " does not</w:t>
                    </w:r>
                  </w:p>
                  <w:p w14:paraId="7D2EFF9E" w14:textId="77777777" w:rsidR="00711A16" w:rsidRDefault="00711A16">
                    <w:pPr>
                      <w:spacing w:before="13"/>
                      <w:ind w:left="200"/>
                      <w:rPr>
                        <w:rFonts w:ascii="MS Gothic"/>
                      </w:rPr>
                    </w:pPr>
                    <w:r>
                      <w:rPr>
                        <w:rFonts w:ascii="MS Gothic"/>
                        <w:color w:val="333333"/>
                      </w:rPr>
                      <w:t>exist");</w:t>
                    </w:r>
                  </w:p>
                  <w:p w14:paraId="0F1147D6" w14:textId="77777777" w:rsidR="00711A16" w:rsidRDefault="00711A16">
                    <w:pPr>
                      <w:spacing w:before="13"/>
                      <w:ind w:left="1080"/>
                      <w:rPr>
                        <w:rFonts w:ascii="MS Gothic"/>
                      </w:rPr>
                    </w:pPr>
                    <w:r>
                      <w:rPr>
                        <w:rFonts w:ascii="MS Gothic"/>
                        <w:color w:val="333333"/>
                      </w:rPr>
                      <w:t>}</w:t>
                    </w:r>
                  </w:p>
                  <w:p w14:paraId="24FDA4E6" w14:textId="77777777" w:rsidR="00711A16" w:rsidRDefault="00711A16">
                    <w:pPr>
                      <w:spacing w:before="13"/>
                      <w:ind w:left="1080"/>
                      <w:rPr>
                        <w:rFonts w:ascii="MS Gothic"/>
                      </w:rPr>
                    </w:pPr>
                    <w:r>
                      <w:rPr>
                        <w:rFonts w:ascii="MS Gothic"/>
                        <w:color w:val="333333"/>
                      </w:rPr>
                      <w:t>try {</w:t>
                    </w:r>
                  </w:p>
                  <w:p w14:paraId="31ABE253" w14:textId="77777777" w:rsidR="00711A16" w:rsidRDefault="00711A16">
                    <w:pPr>
                      <w:spacing w:before="13"/>
                      <w:ind w:left="1520"/>
                      <w:rPr>
                        <w:rFonts w:ascii="MS Gothic"/>
                      </w:rPr>
                    </w:pPr>
                    <w:r>
                      <w:rPr>
                        <w:rFonts w:ascii="MS Gothic"/>
                        <w:color w:val="333333"/>
                      </w:rPr>
                      <w:t xml:space="preserve">return </w:t>
                    </w:r>
                    <w:proofErr w:type="gramStart"/>
                    <w:r>
                      <w:rPr>
                        <w:rFonts w:ascii="MS Gothic"/>
                        <w:color w:val="333333"/>
                      </w:rPr>
                      <w:t>this.loader</w:t>
                    </w:r>
                    <w:proofErr w:type="gramEnd"/>
                    <w:r>
                      <w:rPr>
                        <w:rFonts w:ascii="MS Gothic"/>
                        <w:color w:val="333333"/>
                      </w:rPr>
                      <w:t>.load("custom-resource", path).get(0);</w:t>
                    </w:r>
                  </w:p>
                  <w:p w14:paraId="2A164AAB" w14:textId="77777777" w:rsidR="00711A16" w:rsidRDefault="00711A16">
                    <w:pPr>
                      <w:spacing w:before="13"/>
                      <w:ind w:left="1080"/>
                      <w:rPr>
                        <w:rFonts w:ascii="MS Gothic"/>
                      </w:rPr>
                    </w:pPr>
                    <w:r>
                      <w:rPr>
                        <w:rFonts w:ascii="MS Gothic"/>
                        <w:color w:val="333333"/>
                      </w:rPr>
                      <w:t>}</w:t>
                    </w:r>
                  </w:p>
                  <w:p w14:paraId="343B44A9" w14:textId="77777777" w:rsidR="00711A16" w:rsidRDefault="00711A16">
                    <w:pPr>
                      <w:spacing w:before="13"/>
                      <w:ind w:left="1080"/>
                      <w:rPr>
                        <w:rFonts w:ascii="MS Gothic"/>
                      </w:rPr>
                    </w:pPr>
                    <w:r>
                      <w:rPr>
                        <w:rFonts w:ascii="MS Gothic"/>
                        <w:color w:val="333333"/>
                      </w:rPr>
                      <w:t>catch (IOException ex) {</w:t>
                    </w:r>
                  </w:p>
                  <w:p w14:paraId="60C5C642" w14:textId="77777777" w:rsidR="00711A16" w:rsidRDefault="00711A16">
                    <w:pPr>
                      <w:spacing w:before="13"/>
                      <w:ind w:left="1520"/>
                      <w:rPr>
                        <w:rFonts w:ascii="MS Gothic"/>
                      </w:rPr>
                    </w:pPr>
                    <w:r>
                      <w:rPr>
                        <w:rFonts w:ascii="MS Gothic"/>
                        <w:color w:val="333333"/>
                      </w:rPr>
                      <w:t xml:space="preserve">throw new </w:t>
                    </w:r>
                    <w:proofErr w:type="gramStart"/>
                    <w:r>
                      <w:rPr>
                        <w:rFonts w:ascii="MS Gothic"/>
                        <w:color w:val="333333"/>
                      </w:rPr>
                      <w:t>IllegalStateException(</w:t>
                    </w:r>
                    <w:proofErr w:type="gramEnd"/>
                    <w:r>
                      <w:rPr>
                        <w:rFonts w:ascii="MS Gothic"/>
                        <w:color w:val="333333"/>
                      </w:rPr>
                      <w:t>"Failed to load yaml configuration from "</w:t>
                    </w:r>
                  </w:p>
                  <w:p w14:paraId="1E53BB07" w14:textId="77777777" w:rsidR="00711A16" w:rsidRDefault="00711A16">
                    <w:pPr>
                      <w:spacing w:before="13"/>
                      <w:ind w:left="200"/>
                      <w:rPr>
                        <w:rFonts w:ascii="MS Gothic"/>
                      </w:rPr>
                    </w:pPr>
                    <w:r>
                      <w:rPr>
                        <w:rFonts w:ascii="MS Gothic"/>
                        <w:color w:val="333333"/>
                      </w:rPr>
                      <w:t>+ path, ex);</w:t>
                    </w:r>
                  </w:p>
                  <w:p w14:paraId="0D3AC859" w14:textId="77777777" w:rsidR="00711A16" w:rsidRDefault="00711A16">
                    <w:pPr>
                      <w:spacing w:before="13"/>
                      <w:ind w:left="1080"/>
                      <w:rPr>
                        <w:rFonts w:ascii="MS Gothic"/>
                      </w:rPr>
                    </w:pPr>
                    <w:r>
                      <w:rPr>
                        <w:rFonts w:ascii="MS Gothic"/>
                        <w:color w:val="333333"/>
                      </w:rPr>
                      <w:t>}</w:t>
                    </w:r>
                  </w:p>
                  <w:p w14:paraId="2324B8C7" w14:textId="77777777" w:rsidR="00711A16" w:rsidRDefault="00711A16">
                    <w:pPr>
                      <w:spacing w:before="13"/>
                      <w:ind w:left="640"/>
                      <w:rPr>
                        <w:rFonts w:ascii="MS Gothic"/>
                      </w:rPr>
                    </w:pPr>
                    <w:r>
                      <w:rPr>
                        <w:rFonts w:ascii="MS Gothic"/>
                        <w:color w:val="333333"/>
                      </w:rPr>
                      <w:t>}</w:t>
                    </w:r>
                  </w:p>
                  <w:p w14:paraId="52D177D8" w14:textId="77777777" w:rsidR="00711A16" w:rsidRDefault="00711A16">
                    <w:pPr>
                      <w:rPr>
                        <w:rFonts w:ascii="MS Gothic"/>
                        <w:sz w:val="24"/>
                      </w:rPr>
                    </w:pPr>
                  </w:p>
                  <w:p w14:paraId="48EF733C" w14:textId="77777777" w:rsidR="00711A16" w:rsidRDefault="00711A16">
                    <w:pPr>
                      <w:ind w:left="200"/>
                      <w:rPr>
                        <w:rFonts w:ascii="MS Gothic"/>
                      </w:rPr>
                    </w:pPr>
                    <w:r>
                      <w:rPr>
                        <w:rFonts w:ascii="MS Gothic"/>
                        <w:color w:val="333333"/>
                      </w:rPr>
                      <w:t>}</w:t>
                    </w:r>
                  </w:p>
                </w:txbxContent>
              </v:textbox>
            </v:shape>
            <w10:wrap type="topAndBottom" anchorx="page"/>
          </v:group>
        </w:pict>
      </w:r>
    </w:p>
    <w:p w14:paraId="15138E43" w14:textId="77777777" w:rsidR="00A720EB" w:rsidRDefault="00A720EB">
      <w:pPr>
        <w:pStyle w:val="a3"/>
        <w:spacing w:before="8"/>
        <w:rPr>
          <w:sz w:val="16"/>
        </w:rPr>
      </w:pPr>
    </w:p>
    <w:p w14:paraId="2A455AA3" w14:textId="77777777" w:rsidR="00A720EB" w:rsidRDefault="00E10349">
      <w:pPr>
        <w:pStyle w:val="a3"/>
        <w:spacing w:before="116" w:line="297" w:lineRule="auto"/>
        <w:ind w:left="1564" w:right="362"/>
        <w:jc w:val="both"/>
      </w:pPr>
      <w:r>
        <w:pict w14:anchorId="1D41E5A9">
          <v:line id="_x0000_s1657" style="position:absolute;left:0;text-align:left;z-index:16329728;mso-position-horizontal-relative:page" from="108.25pt,.35pt" to="108.25pt,87.25pt" strokecolor="#ededed" strokeweight=".5pt">
            <w10:wrap anchorx="page"/>
          </v:line>
        </w:pict>
      </w:r>
      <w:r w:rsidR="0030286B">
        <w:rPr>
          <w:noProof/>
        </w:rPr>
        <w:drawing>
          <wp:anchor distT="0" distB="0" distL="0" distR="0" simplePos="0" relativeHeight="16330240" behindDoc="0" locked="0" layoutInCell="1" allowOverlap="1" wp14:anchorId="041439E6" wp14:editId="16FDD432">
            <wp:simplePos x="0" y="0"/>
            <wp:positionH relativeFrom="page">
              <wp:posOffset>888949</wp:posOffset>
            </wp:positionH>
            <wp:positionV relativeFrom="paragraph">
              <wp:posOffset>403682</wp:posOffset>
            </wp:positionV>
            <wp:extent cx="209550" cy="304800"/>
            <wp:effectExtent l="0" t="0" r="0" b="0"/>
            <wp:wrapNone/>
            <wp:docPr id="70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Environment </w:t>
      </w:r>
      <w:r w:rsidR="0030286B">
        <w:rPr>
          <w:color w:val="333333"/>
          <w:w w:val="110"/>
        </w:rPr>
        <w:t xml:space="preserve">has already been prepared with all the usual property </w:t>
      </w:r>
      <w:proofErr w:type="gramStart"/>
      <w:r w:rsidR="0030286B">
        <w:rPr>
          <w:color w:val="333333"/>
          <w:w w:val="110"/>
        </w:rPr>
        <w:t>sources  that</w:t>
      </w:r>
      <w:proofErr w:type="gramEnd"/>
      <w:r w:rsidR="0030286B">
        <w:rPr>
          <w:color w:val="333333"/>
          <w:w w:val="110"/>
        </w:rPr>
        <w:t xml:space="preserve"> Spring Boot loads </w:t>
      </w:r>
      <w:r w:rsidR="0030286B">
        <w:rPr>
          <w:color w:val="333333"/>
          <w:spacing w:val="-3"/>
          <w:w w:val="110"/>
        </w:rPr>
        <w:t xml:space="preserve">by </w:t>
      </w:r>
      <w:r w:rsidR="0030286B">
        <w:rPr>
          <w:color w:val="333333"/>
          <w:w w:val="110"/>
        </w:rPr>
        <w:t xml:space="preserve">default. It is therefore possible to get the location of the file from the environment. The preceding example adds the </w:t>
      </w:r>
      <w:r w:rsidR="0030286B">
        <w:rPr>
          <w:rFonts w:ascii="MS Gothic"/>
          <w:color w:val="B02045"/>
          <w:w w:val="110"/>
        </w:rPr>
        <w:t xml:space="preserve">custom-resource </w:t>
      </w:r>
      <w:r w:rsidR="0030286B">
        <w:rPr>
          <w:color w:val="333333"/>
          <w:w w:val="110"/>
        </w:rPr>
        <w:t>property source at the end of the list so that a key defined in any of the usual other locations takes precedence. A custom implementation may define another</w:t>
      </w:r>
      <w:r w:rsidR="0030286B">
        <w:rPr>
          <w:color w:val="333333"/>
          <w:spacing w:val="5"/>
          <w:w w:val="110"/>
        </w:rPr>
        <w:t xml:space="preserve"> </w:t>
      </w:r>
      <w:r w:rsidR="0030286B">
        <w:rPr>
          <w:color w:val="333333"/>
          <w:w w:val="110"/>
        </w:rPr>
        <w:t>order.</w:t>
      </w:r>
    </w:p>
    <w:p w14:paraId="41B2DED4" w14:textId="77777777" w:rsidR="00A720EB" w:rsidRDefault="00A720EB">
      <w:pPr>
        <w:pStyle w:val="a3"/>
        <w:spacing w:before="10"/>
        <w:rPr>
          <w:sz w:val="23"/>
        </w:rPr>
      </w:pPr>
    </w:p>
    <w:p w14:paraId="061B4D07" w14:textId="77777777" w:rsidR="00A720EB" w:rsidRDefault="00E10349">
      <w:pPr>
        <w:pStyle w:val="a3"/>
        <w:spacing w:before="116" w:line="288" w:lineRule="auto"/>
        <w:ind w:left="1564" w:right="363"/>
        <w:jc w:val="both"/>
      </w:pPr>
      <w:r>
        <w:pict w14:anchorId="22C23904">
          <v:line id="_x0000_s1656" style="position:absolute;left:0;text-align:left;z-index:16330752;mso-position-horizontal-relative:page" from="108.25pt,.35pt" to="108.25pt,103pt" strokecolor="#ededed" strokeweight=".5pt">
            <w10:wrap anchorx="page"/>
          </v:line>
        </w:pict>
      </w:r>
      <w:r w:rsidR="0030286B">
        <w:rPr>
          <w:noProof/>
        </w:rPr>
        <w:drawing>
          <wp:anchor distT="0" distB="0" distL="0" distR="0" simplePos="0" relativeHeight="16331264" behindDoc="0" locked="0" layoutInCell="1" allowOverlap="1" wp14:anchorId="1012006F" wp14:editId="1DA75BB9">
            <wp:simplePos x="0" y="0"/>
            <wp:positionH relativeFrom="page">
              <wp:posOffset>879347</wp:posOffset>
            </wp:positionH>
            <wp:positionV relativeFrom="paragraph">
              <wp:posOffset>500710</wp:posOffset>
            </wp:positionV>
            <wp:extent cx="228600" cy="307975"/>
            <wp:effectExtent l="0" t="0" r="0" b="0"/>
            <wp:wrapNone/>
            <wp:docPr id="70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18.png"/>
                    <pic:cNvPicPr/>
                  </pic:nvPicPr>
                  <pic:blipFill>
                    <a:blip r:embed="rId266" cstate="print"/>
                    <a:stretch>
                      <a:fillRect/>
                    </a:stretch>
                  </pic:blipFill>
                  <pic:spPr>
                    <a:xfrm>
                      <a:off x="0" y="0"/>
                      <a:ext cx="228600" cy="307975"/>
                    </a:xfrm>
                    <a:prstGeom prst="rect">
                      <a:avLst/>
                    </a:prstGeom>
                  </pic:spPr>
                </pic:pic>
              </a:graphicData>
            </a:graphic>
          </wp:anchor>
        </w:drawing>
      </w:r>
      <w:r w:rsidR="0030286B">
        <w:rPr>
          <w:color w:val="333333"/>
          <w:w w:val="110"/>
        </w:rPr>
        <w:t xml:space="preserve">While using </w:t>
      </w:r>
      <w:r w:rsidR="0030286B">
        <w:rPr>
          <w:rFonts w:ascii="MS Gothic"/>
          <w:color w:val="B02045"/>
          <w:w w:val="110"/>
        </w:rPr>
        <w:t xml:space="preserve">@PropertySource </w:t>
      </w:r>
      <w:r w:rsidR="0030286B">
        <w:rPr>
          <w:color w:val="333333"/>
          <w:w w:val="110"/>
        </w:rPr>
        <w:t xml:space="preserve">on your </w:t>
      </w:r>
      <w:r w:rsidR="0030286B">
        <w:rPr>
          <w:rFonts w:ascii="MS Gothic"/>
          <w:color w:val="B02045"/>
          <w:w w:val="110"/>
        </w:rPr>
        <w:t xml:space="preserve">@SpringBootApplication </w:t>
      </w:r>
      <w:r w:rsidR="0030286B">
        <w:rPr>
          <w:color w:val="333333"/>
          <w:w w:val="110"/>
        </w:rPr>
        <w:t xml:space="preserve">may seem to be a convenient way to load a custom resource in the </w:t>
      </w:r>
      <w:r w:rsidR="0030286B">
        <w:rPr>
          <w:rFonts w:ascii="MS Gothic"/>
          <w:color w:val="B02045"/>
          <w:w w:val="110"/>
        </w:rPr>
        <w:t>Environment</w:t>
      </w:r>
      <w:r w:rsidR="0030286B">
        <w:rPr>
          <w:color w:val="333333"/>
          <w:w w:val="110"/>
        </w:rPr>
        <w:t xml:space="preserve">, we do not recommend it. Such property sources are not added to the </w:t>
      </w:r>
      <w:r w:rsidR="0030286B">
        <w:rPr>
          <w:rFonts w:ascii="MS Gothic"/>
          <w:color w:val="B02045"/>
          <w:w w:val="110"/>
        </w:rPr>
        <w:t xml:space="preserve">Environment </w:t>
      </w:r>
      <w:r w:rsidR="0030286B">
        <w:rPr>
          <w:color w:val="333333"/>
          <w:w w:val="110"/>
        </w:rPr>
        <w:t xml:space="preserve">until the application context is being refreshed. This is too late to configure certain properties such as </w:t>
      </w:r>
      <w:proofErr w:type="gramStart"/>
      <w:r w:rsidR="0030286B">
        <w:rPr>
          <w:rFonts w:ascii="MS Gothic"/>
          <w:color w:val="B02045"/>
          <w:w w:val="110"/>
        </w:rPr>
        <w:t>logging.*</w:t>
      </w:r>
      <w:proofErr w:type="gramEnd"/>
      <w:r w:rsidR="0030286B">
        <w:rPr>
          <w:rFonts w:ascii="MS Gothic"/>
          <w:color w:val="B02045"/>
          <w:w w:val="110"/>
        </w:rPr>
        <w:t xml:space="preserve"> </w:t>
      </w:r>
      <w:r w:rsidR="0030286B">
        <w:rPr>
          <w:color w:val="333333"/>
          <w:w w:val="110"/>
        </w:rPr>
        <w:t xml:space="preserve">and </w:t>
      </w:r>
      <w:r w:rsidR="0030286B">
        <w:rPr>
          <w:rFonts w:ascii="MS Gothic"/>
          <w:color w:val="B02045"/>
          <w:w w:val="110"/>
        </w:rPr>
        <w:t xml:space="preserve">spring.main.* </w:t>
      </w:r>
      <w:r w:rsidR="0030286B">
        <w:rPr>
          <w:color w:val="333333"/>
          <w:w w:val="110"/>
        </w:rPr>
        <w:t>which are read before refresh begins.</w:t>
      </w:r>
    </w:p>
    <w:p w14:paraId="6066A922" w14:textId="77777777" w:rsidR="00A720EB" w:rsidRDefault="00A720EB">
      <w:pPr>
        <w:spacing w:line="288" w:lineRule="auto"/>
        <w:jc w:val="both"/>
        <w:sectPr w:rsidR="00A720EB">
          <w:pgSz w:w="11910" w:h="16840"/>
          <w:pgMar w:top="640" w:right="840" w:bottom="520" w:left="840" w:header="0" w:footer="323" w:gutter="0"/>
          <w:cols w:space="720"/>
        </w:sectPr>
      </w:pPr>
    </w:p>
    <w:p w14:paraId="5D7361E7" w14:textId="77777777" w:rsidR="00A720EB" w:rsidRDefault="0030286B">
      <w:pPr>
        <w:pStyle w:val="3"/>
        <w:numPr>
          <w:ilvl w:val="2"/>
          <w:numId w:val="13"/>
        </w:numPr>
        <w:tabs>
          <w:tab w:val="left" w:pos="858"/>
        </w:tabs>
        <w:spacing w:before="87" w:line="242" w:lineRule="auto"/>
        <w:ind w:left="124" w:right="928" w:firstLine="0"/>
      </w:pPr>
      <w:bookmarkStart w:id="786" w:name="9.1.4._Build_an_ApplicationContext_Hiera"/>
      <w:bookmarkStart w:id="787" w:name="_Toc54423919"/>
      <w:bookmarkEnd w:id="786"/>
      <w:r>
        <w:rPr>
          <w:color w:val="333333"/>
          <w:w w:val="110"/>
        </w:rPr>
        <w:lastRenderedPageBreak/>
        <w:t xml:space="preserve">Build an ApplicationContext </w:t>
      </w:r>
      <w:r>
        <w:rPr>
          <w:color w:val="333333"/>
          <w:spacing w:val="-2"/>
          <w:w w:val="110"/>
        </w:rPr>
        <w:t xml:space="preserve">Hierarchy </w:t>
      </w:r>
      <w:r>
        <w:rPr>
          <w:color w:val="333333"/>
          <w:w w:val="110"/>
        </w:rPr>
        <w:t>(Adding a Parent or</w:t>
      </w:r>
      <w:r>
        <w:rPr>
          <w:color w:val="333333"/>
          <w:spacing w:val="-37"/>
          <w:w w:val="110"/>
        </w:rPr>
        <w:t xml:space="preserve"> </w:t>
      </w:r>
      <w:r>
        <w:rPr>
          <w:color w:val="333333"/>
          <w:w w:val="110"/>
        </w:rPr>
        <w:t>Root Context)</w:t>
      </w:r>
      <w:bookmarkEnd w:id="787"/>
    </w:p>
    <w:p w14:paraId="2E7FD1FB" w14:textId="77777777" w:rsidR="00A720EB" w:rsidRDefault="0030286B">
      <w:pPr>
        <w:pStyle w:val="a3"/>
        <w:spacing w:before="239" w:line="290" w:lineRule="auto"/>
        <w:ind w:left="124" w:right="127"/>
        <w:jc w:val="both"/>
      </w:pPr>
      <w:r>
        <w:rPr>
          <w:color w:val="333333"/>
          <w:spacing w:val="-6"/>
          <w:w w:val="110"/>
        </w:rPr>
        <w:t>You</w:t>
      </w:r>
      <w:r>
        <w:rPr>
          <w:color w:val="333333"/>
          <w:spacing w:val="-16"/>
          <w:w w:val="110"/>
        </w:rPr>
        <w:t xml:space="preserve"> </w:t>
      </w:r>
      <w:r>
        <w:rPr>
          <w:color w:val="333333"/>
          <w:w w:val="110"/>
        </w:rPr>
        <w:t>can</w:t>
      </w:r>
      <w:r>
        <w:rPr>
          <w:color w:val="333333"/>
          <w:spacing w:val="-16"/>
          <w:w w:val="110"/>
        </w:rPr>
        <w:t xml:space="preserve"> </w:t>
      </w:r>
      <w:r>
        <w:rPr>
          <w:color w:val="333333"/>
          <w:w w:val="110"/>
        </w:rPr>
        <w:t>use</w:t>
      </w:r>
      <w:r>
        <w:rPr>
          <w:color w:val="333333"/>
          <w:spacing w:val="-15"/>
          <w:w w:val="110"/>
        </w:rPr>
        <w:t xml:space="preserve"> </w:t>
      </w:r>
      <w:r>
        <w:rPr>
          <w:color w:val="333333"/>
          <w:w w:val="110"/>
        </w:rPr>
        <w:t>the</w:t>
      </w:r>
      <w:r>
        <w:rPr>
          <w:color w:val="333333"/>
          <w:spacing w:val="-16"/>
          <w:w w:val="110"/>
        </w:rPr>
        <w:t xml:space="preserve"> </w:t>
      </w:r>
      <w:r>
        <w:rPr>
          <w:rFonts w:ascii="MS Gothic" w:hAnsi="MS Gothic"/>
          <w:color w:val="B02045"/>
          <w:w w:val="110"/>
        </w:rPr>
        <w:t>ApplicationBuilder</w:t>
      </w:r>
      <w:r>
        <w:rPr>
          <w:rFonts w:ascii="MS Gothic" w:hAnsi="MS Gothic"/>
          <w:color w:val="B02045"/>
          <w:spacing w:val="-81"/>
          <w:w w:val="110"/>
        </w:rPr>
        <w:t xml:space="preserve"> </w:t>
      </w:r>
      <w:r>
        <w:rPr>
          <w:color w:val="333333"/>
          <w:w w:val="110"/>
        </w:rPr>
        <w:t>class</w:t>
      </w:r>
      <w:r>
        <w:rPr>
          <w:color w:val="333333"/>
          <w:spacing w:val="-15"/>
          <w:w w:val="110"/>
        </w:rPr>
        <w:t xml:space="preserve"> </w:t>
      </w:r>
      <w:r>
        <w:rPr>
          <w:color w:val="333333"/>
          <w:w w:val="110"/>
        </w:rPr>
        <w:t>to</w:t>
      </w:r>
      <w:r>
        <w:rPr>
          <w:color w:val="333333"/>
          <w:spacing w:val="-16"/>
          <w:w w:val="110"/>
        </w:rPr>
        <w:t xml:space="preserve"> </w:t>
      </w:r>
      <w:r>
        <w:rPr>
          <w:color w:val="333333"/>
          <w:w w:val="110"/>
        </w:rPr>
        <w:t>create</w:t>
      </w:r>
      <w:r>
        <w:rPr>
          <w:color w:val="333333"/>
          <w:spacing w:val="-15"/>
          <w:w w:val="110"/>
        </w:rPr>
        <w:t xml:space="preserve"> </w:t>
      </w:r>
      <w:r>
        <w:rPr>
          <w:color w:val="333333"/>
          <w:w w:val="110"/>
        </w:rPr>
        <w:t>parent/child</w:t>
      </w:r>
      <w:r>
        <w:rPr>
          <w:color w:val="333333"/>
          <w:spacing w:val="-15"/>
          <w:w w:val="110"/>
        </w:rPr>
        <w:t xml:space="preserve"> </w:t>
      </w:r>
      <w:r>
        <w:rPr>
          <w:rFonts w:ascii="MS Gothic" w:hAnsi="MS Gothic"/>
          <w:color w:val="B02045"/>
          <w:w w:val="110"/>
        </w:rPr>
        <w:t>ApplicationContext</w:t>
      </w:r>
      <w:r>
        <w:rPr>
          <w:rFonts w:ascii="MS Gothic" w:hAnsi="MS Gothic"/>
          <w:color w:val="B02045"/>
          <w:spacing w:val="-80"/>
          <w:w w:val="110"/>
        </w:rPr>
        <w:t xml:space="preserve"> </w:t>
      </w:r>
      <w:r>
        <w:rPr>
          <w:color w:val="333333"/>
          <w:w w:val="110"/>
        </w:rPr>
        <w:t>hierarchies.</w:t>
      </w:r>
      <w:r>
        <w:rPr>
          <w:color w:val="333333"/>
          <w:spacing w:val="-16"/>
          <w:w w:val="110"/>
        </w:rPr>
        <w:t xml:space="preserve"> </w:t>
      </w:r>
      <w:r>
        <w:rPr>
          <w:color w:val="333333"/>
          <w:w w:val="110"/>
        </w:rPr>
        <w:t>See “</w:t>
      </w:r>
      <w:hyperlink w:anchor="_bookmark90" w:history="1">
        <w:r>
          <w:rPr>
            <w:color w:val="418BCA"/>
            <w:w w:val="110"/>
          </w:rPr>
          <w:t>Fluent Builder API</w:t>
        </w:r>
      </w:hyperlink>
      <w:r>
        <w:rPr>
          <w:color w:val="333333"/>
          <w:w w:val="110"/>
        </w:rPr>
        <w:t>” in the ‘Spring Boot features’ section for more</w:t>
      </w:r>
      <w:r>
        <w:rPr>
          <w:color w:val="333333"/>
          <w:spacing w:val="48"/>
          <w:w w:val="110"/>
        </w:rPr>
        <w:t xml:space="preserve"> </w:t>
      </w:r>
      <w:r>
        <w:rPr>
          <w:color w:val="333333"/>
          <w:w w:val="110"/>
        </w:rPr>
        <w:t>information.</w:t>
      </w:r>
    </w:p>
    <w:p w14:paraId="78A755B5" w14:textId="77777777" w:rsidR="00A720EB" w:rsidRDefault="00A720EB">
      <w:pPr>
        <w:pStyle w:val="a3"/>
        <w:spacing w:before="2"/>
        <w:rPr>
          <w:sz w:val="27"/>
        </w:rPr>
      </w:pPr>
    </w:p>
    <w:p w14:paraId="4690048D" w14:textId="77777777" w:rsidR="00A720EB" w:rsidRDefault="0030286B">
      <w:pPr>
        <w:pStyle w:val="3"/>
        <w:numPr>
          <w:ilvl w:val="2"/>
          <w:numId w:val="13"/>
        </w:numPr>
        <w:tabs>
          <w:tab w:val="left" w:pos="858"/>
        </w:tabs>
        <w:ind w:hanging="734"/>
      </w:pPr>
      <w:bookmarkStart w:id="788" w:name="9.1.5._Create_a_Non-web_Application"/>
      <w:bookmarkStart w:id="789" w:name="_Toc54423920"/>
      <w:bookmarkEnd w:id="788"/>
      <w:r>
        <w:rPr>
          <w:color w:val="333333"/>
          <w:w w:val="110"/>
        </w:rPr>
        <w:t>Create a Non-web</w:t>
      </w:r>
      <w:r>
        <w:rPr>
          <w:color w:val="333333"/>
          <w:spacing w:val="-17"/>
          <w:w w:val="110"/>
        </w:rPr>
        <w:t xml:space="preserve"> </w:t>
      </w:r>
      <w:r>
        <w:rPr>
          <w:color w:val="333333"/>
          <w:w w:val="110"/>
        </w:rPr>
        <w:t>Application</w:t>
      </w:r>
      <w:bookmarkEnd w:id="789"/>
    </w:p>
    <w:p w14:paraId="1E0B828C" w14:textId="77777777" w:rsidR="00A720EB" w:rsidRDefault="0030286B">
      <w:pPr>
        <w:pStyle w:val="a3"/>
        <w:spacing w:before="254" w:line="292" w:lineRule="auto"/>
        <w:ind w:left="124" w:right="123"/>
        <w:jc w:val="both"/>
      </w:pPr>
      <w:r>
        <w:rPr>
          <w:color w:val="333333"/>
          <w:w w:val="110"/>
        </w:rPr>
        <w:t xml:space="preserve">Not all Spring applications have to be web applications (or web services). If you want to execute some code in a </w:t>
      </w:r>
      <w:r>
        <w:rPr>
          <w:rFonts w:ascii="MS Gothic"/>
          <w:color w:val="B02045"/>
          <w:w w:val="110"/>
        </w:rPr>
        <w:t xml:space="preserve">main </w:t>
      </w:r>
      <w:r>
        <w:rPr>
          <w:color w:val="333333"/>
          <w:w w:val="110"/>
        </w:rPr>
        <w:t xml:space="preserve">method but also bootstrap a Spring application to set up the infrastructure to use, you can use the </w:t>
      </w:r>
      <w:r>
        <w:rPr>
          <w:rFonts w:ascii="MS Gothic"/>
          <w:color w:val="B02045"/>
          <w:w w:val="110"/>
        </w:rPr>
        <w:t xml:space="preserve">SpringApplication </w:t>
      </w:r>
      <w:r>
        <w:rPr>
          <w:color w:val="333333"/>
          <w:w w:val="110"/>
        </w:rPr>
        <w:t xml:space="preserve">features of Spring Boot. A </w:t>
      </w:r>
      <w:r>
        <w:rPr>
          <w:rFonts w:ascii="MS Gothic"/>
          <w:color w:val="B02045"/>
          <w:w w:val="110"/>
        </w:rPr>
        <w:t xml:space="preserve">SpringApplication </w:t>
      </w:r>
      <w:r>
        <w:rPr>
          <w:color w:val="333333"/>
          <w:w w:val="110"/>
        </w:rPr>
        <w:t xml:space="preserve">changes its </w:t>
      </w:r>
      <w:r>
        <w:rPr>
          <w:rFonts w:ascii="MS Gothic"/>
          <w:color w:val="B02045"/>
          <w:w w:val="110"/>
        </w:rPr>
        <w:t>ApplicationContext</w:t>
      </w:r>
      <w:r>
        <w:rPr>
          <w:rFonts w:ascii="MS Gothic"/>
          <w:color w:val="B02045"/>
          <w:spacing w:val="-69"/>
          <w:w w:val="110"/>
        </w:rPr>
        <w:t xml:space="preserve"> </w:t>
      </w:r>
      <w:r>
        <w:rPr>
          <w:color w:val="333333"/>
          <w:w w:val="110"/>
        </w:rPr>
        <w:t>class,</w:t>
      </w:r>
      <w:r>
        <w:rPr>
          <w:color w:val="333333"/>
          <w:spacing w:val="-4"/>
          <w:w w:val="110"/>
        </w:rPr>
        <w:t xml:space="preserve"> </w:t>
      </w:r>
      <w:r>
        <w:rPr>
          <w:color w:val="333333"/>
          <w:w w:val="110"/>
        </w:rPr>
        <w:t>depending</w:t>
      </w:r>
      <w:r>
        <w:rPr>
          <w:color w:val="333333"/>
          <w:spacing w:val="-5"/>
          <w:w w:val="110"/>
        </w:rPr>
        <w:t xml:space="preserve"> </w:t>
      </w:r>
      <w:r>
        <w:rPr>
          <w:color w:val="333333"/>
          <w:w w:val="110"/>
        </w:rPr>
        <w:t>on</w:t>
      </w:r>
      <w:r>
        <w:rPr>
          <w:color w:val="333333"/>
          <w:spacing w:val="-3"/>
          <w:w w:val="110"/>
        </w:rPr>
        <w:t xml:space="preserve"> </w:t>
      </w:r>
      <w:r>
        <w:rPr>
          <w:color w:val="333333"/>
          <w:w w:val="110"/>
        </w:rPr>
        <w:t>whether</w:t>
      </w:r>
      <w:r>
        <w:rPr>
          <w:color w:val="333333"/>
          <w:spacing w:val="-5"/>
          <w:w w:val="110"/>
        </w:rPr>
        <w:t xml:space="preserve"> </w:t>
      </w:r>
      <w:r>
        <w:rPr>
          <w:color w:val="333333"/>
          <w:w w:val="110"/>
        </w:rPr>
        <w:t>it</w:t>
      </w:r>
      <w:r>
        <w:rPr>
          <w:color w:val="333333"/>
          <w:spacing w:val="-5"/>
          <w:w w:val="110"/>
        </w:rPr>
        <w:t xml:space="preserve"> </w:t>
      </w:r>
      <w:r>
        <w:rPr>
          <w:color w:val="333333"/>
          <w:w w:val="110"/>
        </w:rPr>
        <w:t>thinks</w:t>
      </w:r>
      <w:r>
        <w:rPr>
          <w:color w:val="333333"/>
          <w:spacing w:val="-3"/>
          <w:w w:val="110"/>
        </w:rPr>
        <w:t xml:space="preserve"> </w:t>
      </w:r>
      <w:r>
        <w:rPr>
          <w:color w:val="333333"/>
          <w:w w:val="110"/>
        </w:rPr>
        <w:t>it</w:t>
      </w:r>
      <w:r>
        <w:rPr>
          <w:color w:val="333333"/>
          <w:spacing w:val="-5"/>
          <w:w w:val="110"/>
        </w:rPr>
        <w:t xml:space="preserve"> </w:t>
      </w:r>
      <w:r>
        <w:rPr>
          <w:color w:val="333333"/>
          <w:w w:val="110"/>
        </w:rPr>
        <w:t>needs</w:t>
      </w:r>
      <w:r>
        <w:rPr>
          <w:color w:val="333333"/>
          <w:spacing w:val="-4"/>
          <w:w w:val="110"/>
        </w:rPr>
        <w:t xml:space="preserve"> </w:t>
      </w:r>
      <w:r>
        <w:rPr>
          <w:color w:val="333333"/>
          <w:w w:val="110"/>
        </w:rPr>
        <w:t>a</w:t>
      </w:r>
      <w:r>
        <w:rPr>
          <w:color w:val="333333"/>
          <w:spacing w:val="-5"/>
          <w:w w:val="110"/>
        </w:rPr>
        <w:t xml:space="preserve"> </w:t>
      </w:r>
      <w:r>
        <w:rPr>
          <w:color w:val="333333"/>
          <w:w w:val="110"/>
        </w:rPr>
        <w:t>web</w:t>
      </w:r>
      <w:r>
        <w:rPr>
          <w:color w:val="333333"/>
          <w:spacing w:val="-4"/>
          <w:w w:val="110"/>
        </w:rPr>
        <w:t xml:space="preserve"> </w:t>
      </w:r>
      <w:r>
        <w:rPr>
          <w:color w:val="333333"/>
          <w:w w:val="110"/>
        </w:rPr>
        <w:t>application</w:t>
      </w:r>
      <w:r>
        <w:rPr>
          <w:color w:val="333333"/>
          <w:spacing w:val="-5"/>
          <w:w w:val="110"/>
        </w:rPr>
        <w:t xml:space="preserve"> </w:t>
      </w:r>
      <w:r>
        <w:rPr>
          <w:color w:val="333333"/>
          <w:w w:val="110"/>
        </w:rPr>
        <w:t>or</w:t>
      </w:r>
      <w:r>
        <w:rPr>
          <w:color w:val="333333"/>
          <w:spacing w:val="-4"/>
          <w:w w:val="110"/>
        </w:rPr>
        <w:t xml:space="preserve"> </w:t>
      </w:r>
      <w:r>
        <w:rPr>
          <w:color w:val="333333"/>
          <w:w w:val="110"/>
        </w:rPr>
        <w:t>not.</w:t>
      </w:r>
      <w:r>
        <w:rPr>
          <w:color w:val="333333"/>
          <w:spacing w:val="-3"/>
          <w:w w:val="110"/>
        </w:rPr>
        <w:t xml:space="preserve"> </w:t>
      </w:r>
      <w:r>
        <w:rPr>
          <w:color w:val="333333"/>
          <w:w w:val="110"/>
        </w:rPr>
        <w:t>The</w:t>
      </w:r>
      <w:r>
        <w:rPr>
          <w:color w:val="333333"/>
          <w:spacing w:val="-5"/>
          <w:w w:val="110"/>
        </w:rPr>
        <w:t xml:space="preserve"> </w:t>
      </w:r>
      <w:r>
        <w:rPr>
          <w:color w:val="333333"/>
          <w:w w:val="110"/>
        </w:rPr>
        <w:t xml:space="preserve">first thing you can do to help it is to leave server-related dependencies (e.g. servlet API) off the classpath. If you cannot do that (for example, you run two applications from the same code base) then you can </w:t>
      </w:r>
      <w:r>
        <w:rPr>
          <w:color w:val="333333"/>
          <w:w w:val="105"/>
        </w:rPr>
        <w:t xml:space="preserve">explicitly call </w:t>
      </w:r>
      <w:proofErr w:type="gramStart"/>
      <w:r>
        <w:rPr>
          <w:rFonts w:ascii="MS Gothic"/>
          <w:color w:val="B02045"/>
          <w:w w:val="105"/>
        </w:rPr>
        <w:t>setWebApplicationType(</w:t>
      </w:r>
      <w:proofErr w:type="gramEnd"/>
      <w:r>
        <w:rPr>
          <w:rFonts w:ascii="MS Gothic"/>
          <w:color w:val="B02045"/>
          <w:w w:val="105"/>
        </w:rPr>
        <w:t xml:space="preserve">WebApplicationType.NONE) </w:t>
      </w:r>
      <w:r>
        <w:rPr>
          <w:color w:val="333333"/>
          <w:w w:val="105"/>
        </w:rPr>
        <w:t xml:space="preserve">on your </w:t>
      </w:r>
      <w:r>
        <w:rPr>
          <w:rFonts w:ascii="MS Gothic"/>
          <w:color w:val="B02045"/>
          <w:w w:val="105"/>
        </w:rPr>
        <w:t>SpringApplication</w:t>
      </w:r>
      <w:r>
        <w:rPr>
          <w:rFonts w:ascii="MS Gothic"/>
          <w:color w:val="B02045"/>
          <w:spacing w:val="-58"/>
          <w:w w:val="105"/>
        </w:rPr>
        <w:t xml:space="preserve"> </w:t>
      </w:r>
      <w:r>
        <w:rPr>
          <w:color w:val="333333"/>
          <w:w w:val="105"/>
        </w:rPr>
        <w:t xml:space="preserve">instance </w:t>
      </w:r>
      <w:r>
        <w:rPr>
          <w:color w:val="333333"/>
          <w:w w:val="110"/>
        </w:rPr>
        <w:t xml:space="preserve">or set the </w:t>
      </w:r>
      <w:r>
        <w:rPr>
          <w:rFonts w:ascii="MS Gothic"/>
          <w:color w:val="B02045"/>
          <w:w w:val="110"/>
        </w:rPr>
        <w:t xml:space="preserve">applicationContextClass </w:t>
      </w:r>
      <w:r>
        <w:rPr>
          <w:color w:val="333333"/>
          <w:w w:val="110"/>
        </w:rPr>
        <w:t xml:space="preserve">property (through the Java API or with external properties). Application code that you want to run as your business logic can be implemented as a </w:t>
      </w:r>
      <w:r>
        <w:rPr>
          <w:rFonts w:ascii="MS Gothic"/>
          <w:color w:val="B02045"/>
          <w:w w:val="110"/>
        </w:rPr>
        <w:t>CommandLineRunner</w:t>
      </w:r>
      <w:r>
        <w:rPr>
          <w:rFonts w:ascii="MS Gothic"/>
          <w:color w:val="B02045"/>
          <w:spacing w:val="-65"/>
          <w:w w:val="110"/>
        </w:rPr>
        <w:t xml:space="preserve"> </w:t>
      </w:r>
      <w:r>
        <w:rPr>
          <w:color w:val="333333"/>
          <w:w w:val="110"/>
        </w:rPr>
        <w:t>and dropped</w:t>
      </w:r>
      <w:r>
        <w:rPr>
          <w:color w:val="333333"/>
          <w:spacing w:val="-1"/>
          <w:w w:val="110"/>
        </w:rPr>
        <w:t xml:space="preserve"> </w:t>
      </w:r>
      <w:r>
        <w:rPr>
          <w:color w:val="333333"/>
          <w:w w:val="110"/>
        </w:rPr>
        <w:t>into the context</w:t>
      </w:r>
      <w:r>
        <w:rPr>
          <w:color w:val="333333"/>
          <w:spacing w:val="1"/>
          <w:w w:val="110"/>
        </w:rPr>
        <w:t xml:space="preserve"> </w:t>
      </w:r>
      <w:r>
        <w:rPr>
          <w:color w:val="333333"/>
          <w:w w:val="110"/>
        </w:rPr>
        <w:t>as</w:t>
      </w:r>
      <w:r>
        <w:rPr>
          <w:color w:val="333333"/>
          <w:spacing w:val="-1"/>
          <w:w w:val="110"/>
        </w:rPr>
        <w:t xml:space="preserve"> </w:t>
      </w:r>
      <w:r>
        <w:rPr>
          <w:color w:val="333333"/>
          <w:w w:val="110"/>
        </w:rPr>
        <w:t>a</w:t>
      </w:r>
      <w:r>
        <w:rPr>
          <w:color w:val="333333"/>
          <w:spacing w:val="4"/>
          <w:w w:val="110"/>
        </w:rPr>
        <w:t xml:space="preserve"> </w:t>
      </w:r>
      <w:r>
        <w:rPr>
          <w:rFonts w:ascii="MS Gothic"/>
          <w:color w:val="B02045"/>
          <w:w w:val="110"/>
        </w:rPr>
        <w:t>@Bean</w:t>
      </w:r>
      <w:r>
        <w:rPr>
          <w:rFonts w:ascii="MS Gothic"/>
          <w:color w:val="B02045"/>
          <w:spacing w:val="-64"/>
          <w:w w:val="110"/>
        </w:rPr>
        <w:t xml:space="preserve"> </w:t>
      </w:r>
      <w:r>
        <w:rPr>
          <w:color w:val="333333"/>
          <w:w w:val="110"/>
        </w:rPr>
        <w:t>definition.</w:t>
      </w:r>
    </w:p>
    <w:p w14:paraId="3A9BE8DC" w14:textId="77777777" w:rsidR="00A720EB" w:rsidRDefault="00A720EB">
      <w:pPr>
        <w:pStyle w:val="a3"/>
        <w:spacing w:before="7"/>
        <w:rPr>
          <w:sz w:val="24"/>
        </w:rPr>
      </w:pPr>
    </w:p>
    <w:p w14:paraId="0A411C03" w14:textId="77777777" w:rsidR="00A720EB" w:rsidRDefault="0030286B">
      <w:pPr>
        <w:pStyle w:val="2"/>
        <w:numPr>
          <w:ilvl w:val="1"/>
          <w:numId w:val="13"/>
        </w:numPr>
        <w:tabs>
          <w:tab w:val="left" w:pos="832"/>
        </w:tabs>
      </w:pPr>
      <w:bookmarkStart w:id="790" w:name="9.2._Properties_and_Configuration"/>
      <w:bookmarkStart w:id="791" w:name="_Toc54423921"/>
      <w:bookmarkEnd w:id="790"/>
      <w:r>
        <w:rPr>
          <w:color w:val="333333"/>
          <w:w w:val="110"/>
        </w:rPr>
        <w:t>Properties and</w:t>
      </w:r>
      <w:r>
        <w:rPr>
          <w:color w:val="333333"/>
          <w:spacing w:val="14"/>
          <w:w w:val="110"/>
        </w:rPr>
        <w:t xml:space="preserve"> </w:t>
      </w:r>
      <w:r>
        <w:rPr>
          <w:color w:val="333333"/>
          <w:w w:val="110"/>
        </w:rPr>
        <w:t>Configuration</w:t>
      </w:r>
      <w:bookmarkEnd w:id="791"/>
    </w:p>
    <w:p w14:paraId="7EDC5BA1" w14:textId="77777777" w:rsidR="00A720EB" w:rsidRDefault="0030286B">
      <w:pPr>
        <w:pStyle w:val="a3"/>
        <w:spacing w:before="253" w:line="307" w:lineRule="auto"/>
        <w:ind w:left="124" w:right="133"/>
        <w:jc w:val="both"/>
      </w:pPr>
      <w:r>
        <w:rPr>
          <w:color w:val="333333"/>
          <w:w w:val="110"/>
        </w:rPr>
        <w:t>This section includes topics about setting and reading properties and configuration settings and</w:t>
      </w:r>
      <w:r>
        <w:rPr>
          <w:color w:val="333333"/>
          <w:spacing w:val="50"/>
          <w:w w:val="110"/>
        </w:rPr>
        <w:t xml:space="preserve"> </w:t>
      </w:r>
      <w:r>
        <w:rPr>
          <w:color w:val="333333"/>
          <w:w w:val="110"/>
        </w:rPr>
        <w:t>their interaction with Spring Boot</w:t>
      </w:r>
      <w:r>
        <w:rPr>
          <w:color w:val="333333"/>
          <w:spacing w:val="13"/>
          <w:w w:val="110"/>
        </w:rPr>
        <w:t xml:space="preserve"> </w:t>
      </w:r>
      <w:r>
        <w:rPr>
          <w:color w:val="333333"/>
          <w:w w:val="110"/>
        </w:rPr>
        <w:t>applications.</w:t>
      </w:r>
    </w:p>
    <w:p w14:paraId="66B426B2" w14:textId="77777777" w:rsidR="00A720EB" w:rsidRDefault="00A720EB">
      <w:pPr>
        <w:pStyle w:val="a3"/>
        <w:spacing w:before="9"/>
        <w:rPr>
          <w:sz w:val="25"/>
        </w:rPr>
      </w:pPr>
    </w:p>
    <w:p w14:paraId="283D7A92" w14:textId="77777777" w:rsidR="00A720EB" w:rsidRDefault="0030286B">
      <w:pPr>
        <w:pStyle w:val="3"/>
        <w:numPr>
          <w:ilvl w:val="2"/>
          <w:numId w:val="13"/>
        </w:numPr>
        <w:tabs>
          <w:tab w:val="left" w:pos="858"/>
        </w:tabs>
        <w:ind w:hanging="734"/>
      </w:pPr>
      <w:bookmarkStart w:id="792" w:name="9.2.1._Automatically_Expand_Properties_a"/>
      <w:bookmarkStart w:id="793" w:name="_Toc54423922"/>
      <w:bookmarkEnd w:id="792"/>
      <w:r>
        <w:rPr>
          <w:color w:val="333333"/>
          <w:w w:val="110"/>
        </w:rPr>
        <w:t>Automatically Expand Properties at Build</w:t>
      </w:r>
      <w:r>
        <w:rPr>
          <w:color w:val="333333"/>
          <w:spacing w:val="-24"/>
          <w:w w:val="110"/>
        </w:rPr>
        <w:t xml:space="preserve"> </w:t>
      </w:r>
      <w:r>
        <w:rPr>
          <w:color w:val="333333"/>
          <w:w w:val="110"/>
        </w:rPr>
        <w:t>Time</w:t>
      </w:r>
      <w:bookmarkEnd w:id="793"/>
    </w:p>
    <w:p w14:paraId="5993E8D6" w14:textId="77777777" w:rsidR="00A720EB" w:rsidRDefault="0030286B">
      <w:pPr>
        <w:pStyle w:val="a3"/>
        <w:spacing w:before="254" w:line="307" w:lineRule="auto"/>
        <w:ind w:left="124" w:right="132"/>
        <w:jc w:val="both"/>
      </w:pPr>
      <w:r>
        <w:rPr>
          <w:color w:val="333333"/>
          <w:w w:val="110"/>
        </w:rPr>
        <w:t xml:space="preserve">Rather than hardcoding some properties that are also specified in </w:t>
      </w:r>
      <w:proofErr w:type="gramStart"/>
      <w:r>
        <w:rPr>
          <w:color w:val="333333"/>
          <w:w w:val="110"/>
        </w:rPr>
        <w:t>your  project’s</w:t>
      </w:r>
      <w:proofErr w:type="gramEnd"/>
      <w:r>
        <w:rPr>
          <w:color w:val="333333"/>
          <w:w w:val="110"/>
        </w:rPr>
        <w:t xml:space="preserve">  build  configuration, you can automatically expand them </w:t>
      </w:r>
      <w:r>
        <w:rPr>
          <w:color w:val="333333"/>
          <w:spacing w:val="-3"/>
          <w:w w:val="110"/>
        </w:rPr>
        <w:t xml:space="preserve">by </w:t>
      </w:r>
      <w:r>
        <w:rPr>
          <w:color w:val="333333"/>
          <w:w w:val="110"/>
        </w:rPr>
        <w:t>instead  using  the  existing  build  configuration. This is possible in both Maven and</w:t>
      </w:r>
      <w:r>
        <w:rPr>
          <w:color w:val="333333"/>
          <w:spacing w:val="24"/>
          <w:w w:val="110"/>
        </w:rPr>
        <w:t xml:space="preserve"> </w:t>
      </w:r>
      <w:r>
        <w:rPr>
          <w:color w:val="333333"/>
          <w:w w:val="110"/>
        </w:rPr>
        <w:t>Gradle.</w:t>
      </w:r>
    </w:p>
    <w:p w14:paraId="1A58439E" w14:textId="77777777" w:rsidR="00A720EB" w:rsidRDefault="00A720EB">
      <w:pPr>
        <w:pStyle w:val="a3"/>
        <w:spacing w:before="8"/>
        <w:rPr>
          <w:sz w:val="25"/>
        </w:rPr>
      </w:pPr>
    </w:p>
    <w:p w14:paraId="4726D120" w14:textId="77777777" w:rsidR="00A720EB" w:rsidRDefault="0030286B">
      <w:pPr>
        <w:pStyle w:val="4"/>
      </w:pPr>
      <w:bookmarkStart w:id="794" w:name="Automatic_Property_Expansion_Using_Maven"/>
      <w:bookmarkEnd w:id="794"/>
      <w:r>
        <w:rPr>
          <w:color w:val="333333"/>
          <w:w w:val="110"/>
        </w:rPr>
        <w:t>Automatic Property Expansion Using Maven</w:t>
      </w:r>
    </w:p>
    <w:p w14:paraId="37319277" w14:textId="77777777" w:rsidR="00A720EB" w:rsidRDefault="00A720EB">
      <w:pPr>
        <w:pStyle w:val="a3"/>
        <w:spacing w:before="11"/>
        <w:rPr>
          <w:rFonts w:ascii="Palatino Linotype"/>
          <w:b/>
          <w:sz w:val="18"/>
        </w:rPr>
      </w:pPr>
    </w:p>
    <w:p w14:paraId="03CCB0E8" w14:textId="77777777" w:rsidR="00A720EB" w:rsidRDefault="0030286B">
      <w:pPr>
        <w:pStyle w:val="a3"/>
        <w:spacing w:line="295" w:lineRule="auto"/>
        <w:ind w:left="124" w:right="122"/>
        <w:jc w:val="both"/>
      </w:pPr>
      <w:r>
        <w:rPr>
          <w:color w:val="333333"/>
          <w:spacing w:val="-6"/>
          <w:w w:val="110"/>
        </w:rPr>
        <w:t xml:space="preserve">You </w:t>
      </w:r>
      <w:r>
        <w:rPr>
          <w:color w:val="333333"/>
          <w:w w:val="110"/>
        </w:rPr>
        <w:t xml:space="preserve">can automatically expand properties from the Maven project </w:t>
      </w:r>
      <w:r>
        <w:rPr>
          <w:color w:val="333333"/>
          <w:spacing w:val="-3"/>
          <w:w w:val="110"/>
        </w:rPr>
        <w:t xml:space="preserve">by </w:t>
      </w:r>
      <w:r>
        <w:rPr>
          <w:color w:val="333333"/>
          <w:w w:val="110"/>
        </w:rPr>
        <w:t>using resource filtering. If you use</w:t>
      </w:r>
      <w:r>
        <w:rPr>
          <w:color w:val="333333"/>
          <w:spacing w:val="-11"/>
          <w:w w:val="110"/>
        </w:rPr>
        <w:t xml:space="preserve"> </w:t>
      </w:r>
      <w:r>
        <w:rPr>
          <w:color w:val="333333"/>
          <w:w w:val="110"/>
        </w:rPr>
        <w:t>the</w:t>
      </w:r>
      <w:r>
        <w:rPr>
          <w:color w:val="333333"/>
          <w:spacing w:val="-10"/>
          <w:w w:val="110"/>
        </w:rPr>
        <w:t xml:space="preserve"> </w:t>
      </w:r>
      <w:r>
        <w:rPr>
          <w:rFonts w:ascii="MS Gothic" w:hAnsi="MS Gothic"/>
          <w:color w:val="B02045"/>
          <w:w w:val="110"/>
        </w:rPr>
        <w:t>spring-boot-starter-parent</w:t>
      </w:r>
      <w:r>
        <w:rPr>
          <w:color w:val="333333"/>
          <w:w w:val="110"/>
        </w:rPr>
        <w:t>,</w:t>
      </w:r>
      <w:r>
        <w:rPr>
          <w:color w:val="333333"/>
          <w:spacing w:val="-10"/>
          <w:w w:val="110"/>
        </w:rPr>
        <w:t xml:space="preserve"> </w:t>
      </w:r>
      <w:r>
        <w:rPr>
          <w:color w:val="333333"/>
          <w:w w:val="110"/>
        </w:rPr>
        <w:t>you</w:t>
      </w:r>
      <w:r>
        <w:rPr>
          <w:color w:val="333333"/>
          <w:spacing w:val="-11"/>
          <w:w w:val="110"/>
        </w:rPr>
        <w:t xml:space="preserve"> </w:t>
      </w:r>
      <w:r>
        <w:rPr>
          <w:color w:val="333333"/>
          <w:w w:val="110"/>
        </w:rPr>
        <w:t>can</w:t>
      </w:r>
      <w:r>
        <w:rPr>
          <w:color w:val="333333"/>
          <w:spacing w:val="-10"/>
          <w:w w:val="110"/>
        </w:rPr>
        <w:t xml:space="preserve"> </w:t>
      </w:r>
      <w:r>
        <w:rPr>
          <w:color w:val="333333"/>
          <w:w w:val="110"/>
        </w:rPr>
        <w:t>then</w:t>
      </w:r>
      <w:r>
        <w:rPr>
          <w:color w:val="333333"/>
          <w:spacing w:val="-11"/>
          <w:w w:val="110"/>
        </w:rPr>
        <w:t xml:space="preserve"> </w:t>
      </w:r>
      <w:r>
        <w:rPr>
          <w:color w:val="333333"/>
          <w:w w:val="110"/>
        </w:rPr>
        <w:t>refer</w:t>
      </w:r>
      <w:r>
        <w:rPr>
          <w:color w:val="333333"/>
          <w:spacing w:val="-10"/>
          <w:w w:val="110"/>
        </w:rPr>
        <w:t xml:space="preserve"> </w:t>
      </w:r>
      <w:r>
        <w:rPr>
          <w:color w:val="333333"/>
          <w:w w:val="110"/>
        </w:rPr>
        <w:t>to</w:t>
      </w:r>
      <w:r>
        <w:rPr>
          <w:color w:val="333333"/>
          <w:spacing w:val="-11"/>
          <w:w w:val="110"/>
        </w:rPr>
        <w:t xml:space="preserve"> </w:t>
      </w:r>
      <w:r>
        <w:rPr>
          <w:color w:val="333333"/>
          <w:w w:val="110"/>
        </w:rPr>
        <w:t>your</w:t>
      </w:r>
      <w:r>
        <w:rPr>
          <w:color w:val="333333"/>
          <w:spacing w:val="-11"/>
          <w:w w:val="110"/>
        </w:rPr>
        <w:t xml:space="preserve"> </w:t>
      </w:r>
      <w:r>
        <w:rPr>
          <w:color w:val="333333"/>
          <w:w w:val="110"/>
        </w:rPr>
        <w:t>Maven</w:t>
      </w:r>
      <w:r>
        <w:rPr>
          <w:color w:val="333333"/>
          <w:spacing w:val="-10"/>
          <w:w w:val="110"/>
        </w:rPr>
        <w:t xml:space="preserve"> </w:t>
      </w:r>
      <w:r>
        <w:rPr>
          <w:color w:val="333333"/>
          <w:w w:val="110"/>
        </w:rPr>
        <w:t>‘project</w:t>
      </w:r>
      <w:r>
        <w:rPr>
          <w:color w:val="333333"/>
          <w:spacing w:val="-11"/>
          <w:w w:val="110"/>
        </w:rPr>
        <w:t xml:space="preserve"> </w:t>
      </w:r>
      <w:r>
        <w:rPr>
          <w:color w:val="333333"/>
          <w:w w:val="110"/>
        </w:rPr>
        <w:t>properties’</w:t>
      </w:r>
      <w:r>
        <w:rPr>
          <w:color w:val="333333"/>
          <w:spacing w:val="-10"/>
          <w:w w:val="110"/>
        </w:rPr>
        <w:t xml:space="preserve"> </w:t>
      </w:r>
      <w:r>
        <w:rPr>
          <w:color w:val="333333"/>
          <w:w w:val="110"/>
        </w:rPr>
        <w:t>with</w:t>
      </w:r>
      <w:r>
        <w:rPr>
          <w:color w:val="333333"/>
          <w:spacing w:val="-6"/>
          <w:w w:val="110"/>
        </w:rPr>
        <w:t xml:space="preserve"> </w:t>
      </w:r>
      <w:proofErr w:type="gramStart"/>
      <w:r>
        <w:rPr>
          <w:rFonts w:ascii="MS Gothic" w:hAnsi="MS Gothic"/>
          <w:color w:val="B02045"/>
          <w:w w:val="110"/>
        </w:rPr>
        <w:t>@..</w:t>
      </w:r>
      <w:proofErr w:type="gramEnd"/>
      <w:r>
        <w:rPr>
          <w:rFonts w:ascii="MS Gothic" w:hAnsi="MS Gothic"/>
          <w:color w:val="B02045"/>
          <w:w w:val="110"/>
        </w:rPr>
        <w:t xml:space="preserve">@ </w:t>
      </w:r>
      <w:r>
        <w:rPr>
          <w:color w:val="333333"/>
          <w:w w:val="110"/>
        </w:rPr>
        <w:t>placeholders, as shown in the following</w:t>
      </w:r>
      <w:r>
        <w:rPr>
          <w:color w:val="333333"/>
          <w:spacing w:val="20"/>
          <w:w w:val="110"/>
        </w:rPr>
        <w:t xml:space="preserve"> </w:t>
      </w:r>
      <w:r>
        <w:rPr>
          <w:color w:val="333333"/>
          <w:w w:val="110"/>
        </w:rPr>
        <w:t>example:</w:t>
      </w:r>
    </w:p>
    <w:p w14:paraId="5EAB674E" w14:textId="77777777" w:rsidR="00A720EB" w:rsidRDefault="00E10349">
      <w:pPr>
        <w:pStyle w:val="a3"/>
        <w:spacing w:before="11"/>
        <w:rPr>
          <w:sz w:val="13"/>
        </w:rPr>
      </w:pPr>
      <w:r>
        <w:pict w14:anchorId="387680EE">
          <v:group id="_x0000_s1652" style="position:absolute;margin-left:47.85pt;margin-top:10.2pt;width:499.55pt;height:52.25pt;z-index:-15125504;mso-wrap-distance-left:0;mso-wrap-distance-right:0;mso-position-horizontal-relative:page" coordorigin="957,204" coordsize="9991,1045">
            <v:shape id="_x0000_s1655" style="position:absolute;left:964;top:211;width:9976;height:1030" coordorigin="965,211" coordsize="9976,1030" path="m10861,211r-9816,l1014,217r-26,18l971,260r-6,31l965,1161r6,31l988,1217r26,17l1045,1241r9816,l10892,1234r25,-17l10935,1192r6,-31l10941,291r-6,-31l10917,235r-25,-18l10861,211xe" fillcolor="#f5f5f5" stroked="f">
              <v:path arrowok="t"/>
            </v:shape>
            <v:shape id="_x0000_s1654" style="position:absolute;left:964;top:211;width:9976;height:1030" coordorigin="965,211" coordsize="9976,1030" path="m1045,211r9816,l10892,217r25,18l10935,260r6,31l10941,1161r-6,31l10917,1217r-25,17l10861,1241r-9816,l1014,1234r-26,-17l971,1192r-6,-31l965,291r6,-31l988,235r26,-18l1045,211xe" filled="f" strokecolor="#ccc">
              <v:path arrowok="t"/>
            </v:shape>
            <v:shape id="_x0000_s1653" type="#_x0000_t202" style="position:absolute;left:984;top:226;width:9938;height:999" filled="f" stroked="f">
              <v:textbox inset="0,0,0,0">
                <w:txbxContent>
                  <w:p w14:paraId="06A1FF04" w14:textId="77777777" w:rsidR="00711A16" w:rsidRDefault="00711A16">
                    <w:pPr>
                      <w:spacing w:before="221" w:line="252" w:lineRule="auto"/>
                      <w:ind w:left="200" w:right="4988"/>
                      <w:rPr>
                        <w:rFonts w:ascii="MS Gothic"/>
                      </w:rPr>
                    </w:pPr>
                    <w:hyperlink r:id="rId591">
                      <w:r>
                        <w:rPr>
                          <w:rFonts w:ascii="MS Gothic"/>
                          <w:color w:val="333333"/>
                        </w:rPr>
                        <w:t>app.encoding=@project.build.sourceEncoding@</w:t>
                      </w:r>
                    </w:hyperlink>
                    <w:r>
                      <w:rPr>
                        <w:rFonts w:ascii="MS Gothic"/>
                        <w:color w:val="333333"/>
                      </w:rPr>
                      <w:t xml:space="preserve"> </w:t>
                    </w:r>
                    <w:hyperlink r:id="rId592">
                      <w:r>
                        <w:rPr>
                          <w:rFonts w:ascii="MS Gothic"/>
                          <w:color w:val="333333"/>
                        </w:rPr>
                        <w:t>app.java.version=@java.version@</w:t>
                      </w:r>
                    </w:hyperlink>
                  </w:p>
                </w:txbxContent>
              </v:textbox>
            </v:shape>
            <w10:wrap type="topAndBottom" anchorx="page"/>
          </v:group>
        </w:pict>
      </w:r>
    </w:p>
    <w:p w14:paraId="70A70FEC" w14:textId="77777777" w:rsidR="00A720EB" w:rsidRDefault="00A720EB">
      <w:pPr>
        <w:pStyle w:val="a3"/>
        <w:spacing w:before="10"/>
        <w:rPr>
          <w:sz w:val="16"/>
        </w:rPr>
      </w:pPr>
    </w:p>
    <w:p w14:paraId="541AC2D9" w14:textId="77777777" w:rsidR="00A720EB" w:rsidRDefault="00E10349">
      <w:pPr>
        <w:pStyle w:val="a3"/>
        <w:spacing w:before="125" w:line="297" w:lineRule="auto"/>
        <w:ind w:left="1564" w:right="462"/>
      </w:pPr>
      <w:r>
        <w:pict w14:anchorId="353CF132">
          <v:line id="_x0000_s1651" style="position:absolute;left:0;text-align:left;z-index:16332288;mso-position-horizontal-relative:page" from="108.25pt,.25pt" to="108.25pt,39.8pt" strokecolor="#ededed" strokeweight=".5pt">
            <w10:wrap anchorx="page"/>
          </v:line>
        </w:pict>
      </w:r>
      <w:r w:rsidR="0030286B">
        <w:rPr>
          <w:noProof/>
        </w:rPr>
        <w:drawing>
          <wp:anchor distT="0" distB="0" distL="0" distR="0" simplePos="0" relativeHeight="16332800" behindDoc="0" locked="0" layoutInCell="1" allowOverlap="1" wp14:anchorId="7DFDD09E" wp14:editId="0D394C37">
            <wp:simplePos x="0" y="0"/>
            <wp:positionH relativeFrom="page">
              <wp:posOffset>844422</wp:posOffset>
            </wp:positionH>
            <wp:positionV relativeFrom="paragraph">
              <wp:posOffset>105321</wp:posOffset>
            </wp:positionV>
            <wp:extent cx="298450" cy="298450"/>
            <wp:effectExtent l="0" t="0" r="0" b="0"/>
            <wp:wrapNone/>
            <wp:docPr id="7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Only production configuration is filtered that way (in other words, no filtering </w:t>
      </w:r>
      <w:proofErr w:type="gramStart"/>
      <w:r w:rsidR="0030286B">
        <w:rPr>
          <w:color w:val="333333"/>
          <w:w w:val="110"/>
        </w:rPr>
        <w:t>is  applied</w:t>
      </w:r>
      <w:proofErr w:type="gramEnd"/>
      <w:r w:rsidR="0030286B">
        <w:rPr>
          <w:color w:val="333333"/>
          <w:w w:val="110"/>
        </w:rPr>
        <w:t xml:space="preserve"> on </w:t>
      </w:r>
      <w:r w:rsidR="0030286B">
        <w:rPr>
          <w:rFonts w:ascii="MS Gothic"/>
          <w:color w:val="B02045"/>
          <w:w w:val="110"/>
        </w:rPr>
        <w:t>src/test/resources</w:t>
      </w:r>
      <w:r w:rsidR="0030286B">
        <w:rPr>
          <w:color w:val="333333"/>
          <w:w w:val="110"/>
        </w:rPr>
        <w:t>).</w:t>
      </w:r>
    </w:p>
    <w:p w14:paraId="21B1F140" w14:textId="77777777" w:rsidR="00A720EB" w:rsidRDefault="00A720EB">
      <w:pPr>
        <w:spacing w:line="297" w:lineRule="auto"/>
        <w:sectPr w:rsidR="00A720EB">
          <w:pgSz w:w="11910" w:h="16840"/>
          <w:pgMar w:top="620" w:right="840" w:bottom="520" w:left="840" w:header="0" w:footer="323" w:gutter="0"/>
          <w:cols w:space="720"/>
        </w:sectPr>
      </w:pPr>
    </w:p>
    <w:p w14:paraId="4280E5BD" w14:textId="77777777" w:rsidR="00A720EB" w:rsidRDefault="00E10349">
      <w:pPr>
        <w:pStyle w:val="a3"/>
        <w:spacing w:before="111" w:line="290" w:lineRule="auto"/>
        <w:ind w:left="1564" w:right="362"/>
        <w:jc w:val="both"/>
      </w:pPr>
      <w:r>
        <w:lastRenderedPageBreak/>
        <w:pict w14:anchorId="6A2D958C">
          <v:line id="_x0000_s1650" style="position:absolute;left:0;text-align:left;z-index:16334848;mso-position-horizontal-relative:page" from="108.25pt,.1pt" to="108.25pt,87pt" strokecolor="#ededed" strokeweight=".5pt">
            <w10:wrap anchorx="page"/>
          </v:line>
        </w:pict>
      </w:r>
      <w:r w:rsidR="0030286B">
        <w:rPr>
          <w:noProof/>
        </w:rPr>
        <w:drawing>
          <wp:anchor distT="0" distB="0" distL="0" distR="0" simplePos="0" relativeHeight="16335360" behindDoc="0" locked="0" layoutInCell="1" allowOverlap="1" wp14:anchorId="71CF0535" wp14:editId="2E07AAEE">
            <wp:simplePos x="0" y="0"/>
            <wp:positionH relativeFrom="page">
              <wp:posOffset>888949</wp:posOffset>
            </wp:positionH>
            <wp:positionV relativeFrom="paragraph">
              <wp:posOffset>400507</wp:posOffset>
            </wp:positionV>
            <wp:extent cx="209550" cy="304800"/>
            <wp:effectExtent l="0" t="0" r="0" b="0"/>
            <wp:wrapNone/>
            <wp:docPr id="70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enable the </w:t>
      </w:r>
      <w:r w:rsidR="0030286B">
        <w:rPr>
          <w:rFonts w:ascii="MS Gothic" w:hAnsi="MS Gothic"/>
          <w:color w:val="B02045"/>
          <w:w w:val="110"/>
        </w:rPr>
        <w:t xml:space="preserve">addResources </w:t>
      </w:r>
      <w:r w:rsidR="0030286B">
        <w:rPr>
          <w:color w:val="333333"/>
          <w:w w:val="110"/>
        </w:rPr>
        <w:t xml:space="preserve">flag, the </w:t>
      </w:r>
      <w:r w:rsidR="0030286B">
        <w:rPr>
          <w:rFonts w:ascii="MS Gothic" w:hAnsi="MS Gothic"/>
          <w:color w:val="B02045"/>
          <w:w w:val="110"/>
        </w:rPr>
        <w:t>spring-</w:t>
      </w:r>
      <w:proofErr w:type="gramStart"/>
      <w:r w:rsidR="0030286B">
        <w:rPr>
          <w:rFonts w:ascii="MS Gothic" w:hAnsi="MS Gothic"/>
          <w:color w:val="B02045"/>
          <w:w w:val="110"/>
        </w:rPr>
        <w:t>boot:run</w:t>
      </w:r>
      <w:proofErr w:type="gramEnd"/>
      <w:r w:rsidR="0030286B">
        <w:rPr>
          <w:rFonts w:ascii="MS Gothic" w:hAnsi="MS Gothic"/>
          <w:color w:val="B02045"/>
          <w:w w:val="110"/>
        </w:rPr>
        <w:t xml:space="preserve"> </w:t>
      </w:r>
      <w:r w:rsidR="0030286B">
        <w:rPr>
          <w:color w:val="333333"/>
          <w:w w:val="110"/>
        </w:rPr>
        <w:t xml:space="preserve">goal can add </w:t>
      </w:r>
      <w:r w:rsidR="0030286B">
        <w:rPr>
          <w:rFonts w:ascii="MS Gothic" w:hAnsi="MS Gothic"/>
          <w:color w:val="B02045"/>
          <w:w w:val="110"/>
        </w:rPr>
        <w:t>src/main/resources</w:t>
      </w:r>
      <w:r w:rsidR="0030286B">
        <w:rPr>
          <w:rFonts w:ascii="MS Gothic" w:hAnsi="MS Gothic"/>
          <w:color w:val="B02045"/>
          <w:spacing w:val="-89"/>
          <w:w w:val="110"/>
        </w:rPr>
        <w:t xml:space="preserve"> </w:t>
      </w:r>
      <w:r w:rsidR="0030286B">
        <w:rPr>
          <w:color w:val="333333"/>
          <w:w w:val="110"/>
        </w:rPr>
        <w:t xml:space="preserve">directly to the classpath (for hot reloading purposes). Doing so circumvents the resource filtering and this feature. Instead, you can use the </w:t>
      </w:r>
      <w:r w:rsidR="0030286B">
        <w:rPr>
          <w:rFonts w:ascii="MS Gothic" w:hAnsi="MS Gothic"/>
          <w:color w:val="B02045"/>
          <w:w w:val="110"/>
        </w:rPr>
        <w:t xml:space="preserve">exec:java </w:t>
      </w:r>
      <w:r w:rsidR="0030286B">
        <w:rPr>
          <w:color w:val="333333"/>
          <w:w w:val="110"/>
        </w:rPr>
        <w:t xml:space="preserve">goal or customize the plugin’s configuration. See the </w:t>
      </w:r>
      <w:hyperlink r:id="rId593" w:anchor="getting-started">
        <w:r w:rsidR="0030286B">
          <w:rPr>
            <w:color w:val="418BCA"/>
            <w:w w:val="110"/>
          </w:rPr>
          <w:t>plugin usage page</w:t>
        </w:r>
      </w:hyperlink>
      <w:r w:rsidR="0030286B">
        <w:rPr>
          <w:color w:val="418BCA"/>
          <w:w w:val="110"/>
        </w:rPr>
        <w:t xml:space="preserve"> </w:t>
      </w:r>
      <w:r w:rsidR="0030286B">
        <w:rPr>
          <w:color w:val="333333"/>
          <w:w w:val="110"/>
        </w:rPr>
        <w:t>for more details.</w:t>
      </w:r>
    </w:p>
    <w:p w14:paraId="65FA540E" w14:textId="77777777" w:rsidR="00A720EB" w:rsidRDefault="00A720EB">
      <w:pPr>
        <w:pStyle w:val="a3"/>
        <w:spacing w:before="10"/>
        <w:rPr>
          <w:sz w:val="17"/>
        </w:rPr>
      </w:pPr>
    </w:p>
    <w:p w14:paraId="4F779977" w14:textId="77777777" w:rsidR="00A720EB" w:rsidRDefault="0030286B">
      <w:pPr>
        <w:pStyle w:val="a3"/>
        <w:spacing w:before="116"/>
        <w:ind w:left="124"/>
        <w:rPr>
          <w:rFonts w:ascii="MS Gothic"/>
        </w:rPr>
      </w:pPr>
      <w:r>
        <w:rPr>
          <w:color w:val="333333"/>
          <w:w w:val="110"/>
        </w:rPr>
        <w:t xml:space="preserve">If you do not use the starter parent, you need to include the following element inside the </w:t>
      </w:r>
      <w:r>
        <w:rPr>
          <w:rFonts w:ascii="MS Gothic"/>
          <w:color w:val="B02045"/>
          <w:w w:val="110"/>
        </w:rPr>
        <w:t>&lt;build/&gt;</w:t>
      </w:r>
    </w:p>
    <w:p w14:paraId="3A475827" w14:textId="77777777" w:rsidR="00A720EB" w:rsidRDefault="0030286B">
      <w:pPr>
        <w:pStyle w:val="a3"/>
        <w:spacing w:before="47"/>
        <w:ind w:left="124"/>
      </w:pPr>
      <w:r>
        <w:rPr>
          <w:color w:val="333333"/>
          <w:w w:val="110"/>
        </w:rPr>
        <w:t xml:space="preserve">element of your </w:t>
      </w:r>
      <w:r>
        <w:rPr>
          <w:rFonts w:ascii="MS Gothic"/>
          <w:color w:val="B02045"/>
          <w:w w:val="110"/>
        </w:rPr>
        <w:t>pom.xml</w:t>
      </w:r>
      <w:r>
        <w:rPr>
          <w:color w:val="333333"/>
          <w:w w:val="110"/>
        </w:rPr>
        <w:t>:</w:t>
      </w:r>
    </w:p>
    <w:p w14:paraId="5E0D958D" w14:textId="77777777" w:rsidR="00A720EB" w:rsidRDefault="00E10349">
      <w:pPr>
        <w:pStyle w:val="a3"/>
        <w:spacing w:before="11"/>
        <w:rPr>
          <w:sz w:val="17"/>
        </w:rPr>
      </w:pPr>
      <w:r>
        <w:pict w14:anchorId="77353CDB">
          <v:group id="_x0000_s1646" style="position:absolute;margin-left:47.85pt;margin-top:12.5pt;width:499.55pt;height:111.2pt;z-index:-15123968;mso-wrap-distance-left:0;mso-wrap-distance-right:0;mso-position-horizontal-relative:page" coordorigin="957,250" coordsize="9991,2224">
            <v:shape id="_x0000_s1649" style="position:absolute;left:964;top:257;width:9976;height:2209" coordorigin="965,257" coordsize="9976,2209" path="m10861,257r-9816,l1014,264r-26,17l971,306r-6,31l965,2386r6,31l988,2443r26,17l1045,2466r9816,l10892,2460r25,-17l10935,2417r6,-31l10941,337r-6,-31l10917,281r-25,-17l10861,257xe" fillcolor="#f5f5f5" stroked="f">
              <v:path arrowok="t"/>
            </v:shape>
            <v:shape id="_x0000_s1648" style="position:absolute;left:964;top:257;width:9976;height:2209" coordorigin="965,257" coordsize="9976,2209" path="m1045,257r9816,l10892,264r25,17l10935,306r6,31l10941,2386r-6,31l10917,2443r-25,17l10861,2466r-9816,l1014,2460r-26,-17l971,2417r-6,-31l965,337r6,-31l988,281r26,-17l1045,257xe" filled="f" strokecolor="#ccc">
              <v:path arrowok="t"/>
            </v:shape>
            <v:shape id="_x0000_s1647" type="#_x0000_t202" style="position:absolute;left:984;top:272;width:9938;height:2178" filled="f" stroked="f">
              <v:textbox inset="0,0,0,0">
                <w:txbxContent>
                  <w:p w14:paraId="75F563D2" w14:textId="77777777" w:rsidR="00711A16" w:rsidRDefault="00711A16">
                    <w:pPr>
                      <w:spacing w:before="221"/>
                      <w:ind w:left="200"/>
                      <w:rPr>
                        <w:rFonts w:ascii="MS Gothic"/>
                      </w:rPr>
                    </w:pPr>
                    <w:r>
                      <w:rPr>
                        <w:rFonts w:ascii="MS Gothic"/>
                        <w:color w:val="333333"/>
                      </w:rPr>
                      <w:t>&lt;resources&gt;</w:t>
                    </w:r>
                  </w:p>
                  <w:p w14:paraId="6203763C" w14:textId="77777777" w:rsidR="00711A16" w:rsidRDefault="00711A16">
                    <w:pPr>
                      <w:spacing w:before="13"/>
                      <w:ind w:left="640"/>
                      <w:rPr>
                        <w:rFonts w:ascii="MS Gothic"/>
                      </w:rPr>
                    </w:pPr>
                    <w:r>
                      <w:rPr>
                        <w:rFonts w:ascii="MS Gothic"/>
                        <w:color w:val="333333"/>
                      </w:rPr>
                      <w:t>&lt;resource&gt;</w:t>
                    </w:r>
                  </w:p>
                  <w:p w14:paraId="39DBBAE2" w14:textId="77777777" w:rsidR="00711A16" w:rsidRDefault="00711A16">
                    <w:pPr>
                      <w:spacing w:before="13"/>
                      <w:ind w:left="1080"/>
                      <w:rPr>
                        <w:rFonts w:ascii="MS Gothic"/>
                      </w:rPr>
                    </w:pPr>
                    <w:r>
                      <w:rPr>
                        <w:rFonts w:ascii="MS Gothic"/>
                        <w:color w:val="333333"/>
                      </w:rPr>
                      <w:t>&lt;directory&gt;src/main/resources&lt;/directory&gt;</w:t>
                    </w:r>
                  </w:p>
                  <w:p w14:paraId="3D9D36D6" w14:textId="77777777" w:rsidR="00711A16" w:rsidRDefault="00711A16">
                    <w:pPr>
                      <w:spacing w:before="13"/>
                      <w:ind w:left="1080"/>
                      <w:rPr>
                        <w:rFonts w:ascii="MS Gothic"/>
                      </w:rPr>
                    </w:pPr>
                    <w:r>
                      <w:rPr>
                        <w:rFonts w:ascii="MS Gothic"/>
                        <w:color w:val="333333"/>
                      </w:rPr>
                      <w:t>&lt;filtering&gt;true&lt;/filtering&gt;</w:t>
                    </w:r>
                  </w:p>
                  <w:p w14:paraId="534D7533" w14:textId="77777777" w:rsidR="00711A16" w:rsidRDefault="00711A16">
                    <w:pPr>
                      <w:spacing w:before="12"/>
                      <w:ind w:left="640"/>
                      <w:rPr>
                        <w:rFonts w:ascii="MS Gothic"/>
                      </w:rPr>
                    </w:pPr>
                    <w:r>
                      <w:rPr>
                        <w:rFonts w:ascii="MS Gothic"/>
                        <w:color w:val="333333"/>
                      </w:rPr>
                      <w:t>&lt;/resource&gt;</w:t>
                    </w:r>
                  </w:p>
                  <w:p w14:paraId="5D960DFA" w14:textId="77777777" w:rsidR="00711A16" w:rsidRDefault="00711A16">
                    <w:pPr>
                      <w:spacing w:before="13"/>
                      <w:ind w:left="200"/>
                      <w:rPr>
                        <w:rFonts w:ascii="MS Gothic"/>
                      </w:rPr>
                    </w:pPr>
                    <w:r>
                      <w:rPr>
                        <w:rFonts w:ascii="MS Gothic"/>
                        <w:color w:val="333333"/>
                      </w:rPr>
                      <w:t>&lt;/resources&gt;</w:t>
                    </w:r>
                  </w:p>
                </w:txbxContent>
              </v:textbox>
            </v:shape>
            <w10:wrap type="topAndBottom" anchorx="page"/>
          </v:group>
        </w:pict>
      </w:r>
    </w:p>
    <w:p w14:paraId="4A2F23B4" w14:textId="77777777" w:rsidR="00A720EB" w:rsidRDefault="00A720EB">
      <w:pPr>
        <w:pStyle w:val="a3"/>
        <w:spacing w:before="11"/>
        <w:rPr>
          <w:sz w:val="9"/>
        </w:rPr>
      </w:pPr>
    </w:p>
    <w:p w14:paraId="0D79964C" w14:textId="77777777" w:rsidR="00A720EB" w:rsidRDefault="0030286B">
      <w:pPr>
        <w:pStyle w:val="a3"/>
        <w:spacing w:before="115"/>
        <w:ind w:left="124"/>
      </w:pPr>
      <w:r>
        <w:rPr>
          <w:color w:val="333333"/>
          <w:w w:val="110"/>
        </w:rPr>
        <w:t xml:space="preserve">You also need to include the following element inside </w:t>
      </w:r>
      <w:r>
        <w:rPr>
          <w:rFonts w:ascii="MS Gothic"/>
          <w:color w:val="B02045"/>
          <w:w w:val="110"/>
        </w:rPr>
        <w:t>&lt;plugins/&gt;</w:t>
      </w:r>
      <w:r>
        <w:rPr>
          <w:color w:val="333333"/>
          <w:w w:val="110"/>
        </w:rPr>
        <w:t>:</w:t>
      </w:r>
    </w:p>
    <w:p w14:paraId="0C87964A" w14:textId="77777777" w:rsidR="00A720EB" w:rsidRDefault="00E10349">
      <w:pPr>
        <w:pStyle w:val="a3"/>
        <w:spacing w:before="11"/>
        <w:rPr>
          <w:sz w:val="17"/>
        </w:rPr>
      </w:pPr>
      <w:r>
        <w:pict w14:anchorId="506C99F0">
          <v:group id="_x0000_s1642" style="position:absolute;margin-left:47.85pt;margin-top:12.55pt;width:499.55pt;height:184.9pt;z-index:-15123456;mso-wrap-distance-left:0;mso-wrap-distance-right:0;mso-position-horizontal-relative:page" coordorigin="957,251" coordsize="9991,3698">
            <v:shape id="_x0000_s1645" style="position:absolute;left:964;top:258;width:9976;height:3683" coordorigin="965,258" coordsize="9976,3683" path="m10861,258r-9816,l1014,264r-26,17l971,307r-6,31l965,3861r6,31l988,3917r26,18l1045,3941r9816,l10892,3935r25,-18l10935,3892r6,-31l10941,338r-6,-31l10917,281r-25,-17l10861,258xe" fillcolor="#f5f5f5" stroked="f">
              <v:path arrowok="t"/>
            </v:shape>
            <v:shape id="_x0000_s1644" style="position:absolute;left:964;top:258;width:9976;height:3683" coordorigin="965,258" coordsize="9976,3683" path="m1045,258r9816,l10892,264r25,17l10935,307r6,31l10941,3861r-6,31l10917,3917r-25,18l10861,3941r-9816,l1014,3935r-26,-18l971,3892r-6,-31l965,338r6,-31l988,281r26,-17l1045,258xe" filled="f" strokecolor="#ccc">
              <v:path arrowok="t"/>
            </v:shape>
            <v:shape id="_x0000_s1643" type="#_x0000_t202" style="position:absolute;left:984;top:273;width:9938;height:3652" filled="f" stroked="f">
              <v:textbox inset="0,0,0,0">
                <w:txbxContent>
                  <w:p w14:paraId="6AE71C5B" w14:textId="77777777" w:rsidR="00711A16" w:rsidRDefault="00711A16">
                    <w:pPr>
                      <w:spacing w:before="221"/>
                      <w:ind w:left="200"/>
                      <w:rPr>
                        <w:rFonts w:ascii="MS Gothic"/>
                      </w:rPr>
                    </w:pPr>
                    <w:r>
                      <w:rPr>
                        <w:rFonts w:ascii="MS Gothic"/>
                        <w:color w:val="333333"/>
                      </w:rPr>
                      <w:t>&lt;plugin&gt;</w:t>
                    </w:r>
                  </w:p>
                  <w:p w14:paraId="3F37BFFA" w14:textId="77777777" w:rsidR="00711A16" w:rsidRDefault="00711A16">
                    <w:pPr>
                      <w:spacing w:before="13"/>
                      <w:ind w:left="640"/>
                      <w:rPr>
                        <w:rFonts w:ascii="MS Gothic"/>
                      </w:rPr>
                    </w:pPr>
                    <w:proofErr w:type="gramStart"/>
                    <w:r>
                      <w:rPr>
                        <w:rFonts w:ascii="MS Gothic"/>
                        <w:color w:val="333333"/>
                      </w:rPr>
                      <w:t>&lt;groupId&gt;org.apache.maven</w:t>
                    </w:r>
                    <w:proofErr w:type="gramEnd"/>
                    <w:r>
                      <w:rPr>
                        <w:rFonts w:ascii="MS Gothic"/>
                        <w:color w:val="333333"/>
                      </w:rPr>
                      <w:t>.plugins&lt;/groupId&gt;</w:t>
                    </w:r>
                  </w:p>
                  <w:p w14:paraId="58CCA978" w14:textId="77777777" w:rsidR="00711A16" w:rsidRDefault="00711A16">
                    <w:pPr>
                      <w:spacing w:before="13"/>
                      <w:ind w:left="640"/>
                      <w:rPr>
                        <w:rFonts w:ascii="MS Gothic"/>
                      </w:rPr>
                    </w:pPr>
                    <w:r>
                      <w:rPr>
                        <w:rFonts w:ascii="MS Gothic"/>
                        <w:color w:val="333333"/>
                      </w:rPr>
                      <w:t>&lt;artifactId&gt;maven-resources-plugin&lt;/artifactId&gt;</w:t>
                    </w:r>
                  </w:p>
                  <w:p w14:paraId="3E8E3DA8" w14:textId="77777777" w:rsidR="00711A16" w:rsidRDefault="00711A16">
                    <w:pPr>
                      <w:spacing w:before="13"/>
                      <w:ind w:left="640"/>
                      <w:rPr>
                        <w:rFonts w:ascii="MS Gothic"/>
                      </w:rPr>
                    </w:pPr>
                    <w:r>
                      <w:rPr>
                        <w:rFonts w:ascii="MS Gothic"/>
                        <w:color w:val="333333"/>
                      </w:rPr>
                      <w:t>&lt;version&gt;2.7&lt;/version&gt;</w:t>
                    </w:r>
                  </w:p>
                  <w:p w14:paraId="71E0206F" w14:textId="77777777" w:rsidR="00711A16" w:rsidRDefault="00711A16">
                    <w:pPr>
                      <w:spacing w:before="12"/>
                      <w:ind w:left="640"/>
                      <w:rPr>
                        <w:rFonts w:ascii="MS Gothic"/>
                      </w:rPr>
                    </w:pPr>
                    <w:r>
                      <w:rPr>
                        <w:rFonts w:ascii="MS Gothic"/>
                        <w:color w:val="333333"/>
                      </w:rPr>
                      <w:t>&lt;configuration&gt;</w:t>
                    </w:r>
                  </w:p>
                  <w:p w14:paraId="3E492A53" w14:textId="77777777" w:rsidR="00711A16" w:rsidRDefault="00711A16">
                    <w:pPr>
                      <w:spacing w:before="13"/>
                      <w:ind w:left="1080"/>
                      <w:rPr>
                        <w:rFonts w:ascii="MS Gothic"/>
                      </w:rPr>
                    </w:pPr>
                    <w:r>
                      <w:rPr>
                        <w:rFonts w:ascii="MS Gothic"/>
                        <w:color w:val="333333"/>
                      </w:rPr>
                      <w:t>&lt;delimiters&gt;</w:t>
                    </w:r>
                  </w:p>
                  <w:p w14:paraId="17E9907D" w14:textId="77777777" w:rsidR="00711A16" w:rsidRDefault="00711A16">
                    <w:pPr>
                      <w:spacing w:before="13"/>
                      <w:ind w:left="1520"/>
                      <w:rPr>
                        <w:rFonts w:ascii="MS Gothic"/>
                      </w:rPr>
                    </w:pPr>
                    <w:r>
                      <w:rPr>
                        <w:rFonts w:ascii="MS Gothic"/>
                        <w:color w:val="333333"/>
                      </w:rPr>
                      <w:t>&lt;delimiter&gt;@&lt;/delimiter&gt;</w:t>
                    </w:r>
                  </w:p>
                  <w:p w14:paraId="7658D92F" w14:textId="77777777" w:rsidR="00711A16" w:rsidRDefault="00711A16">
                    <w:pPr>
                      <w:spacing w:before="13"/>
                      <w:ind w:left="1080"/>
                      <w:rPr>
                        <w:rFonts w:ascii="MS Gothic"/>
                      </w:rPr>
                    </w:pPr>
                    <w:r>
                      <w:rPr>
                        <w:rFonts w:ascii="MS Gothic"/>
                        <w:color w:val="333333"/>
                      </w:rPr>
                      <w:t>&lt;/delimiters&gt;</w:t>
                    </w:r>
                  </w:p>
                  <w:p w14:paraId="4990CEBE" w14:textId="77777777" w:rsidR="00711A16" w:rsidRDefault="00711A16">
                    <w:pPr>
                      <w:spacing w:before="13"/>
                      <w:ind w:left="1080"/>
                      <w:rPr>
                        <w:rFonts w:ascii="MS Gothic"/>
                      </w:rPr>
                    </w:pPr>
                    <w:r>
                      <w:rPr>
                        <w:rFonts w:ascii="MS Gothic"/>
                        <w:color w:val="333333"/>
                      </w:rPr>
                      <w:t>&lt;useDefaultDelimiters&gt;false&lt;/useDefaultDelimiters&gt;</w:t>
                    </w:r>
                  </w:p>
                  <w:p w14:paraId="535833CD" w14:textId="77777777" w:rsidR="00711A16" w:rsidRDefault="00711A16">
                    <w:pPr>
                      <w:spacing w:before="13"/>
                      <w:ind w:left="640"/>
                      <w:rPr>
                        <w:rFonts w:ascii="MS Gothic"/>
                      </w:rPr>
                    </w:pPr>
                    <w:r>
                      <w:rPr>
                        <w:rFonts w:ascii="MS Gothic"/>
                        <w:color w:val="333333"/>
                      </w:rPr>
                      <w:t>&lt;/configuration&gt;</w:t>
                    </w:r>
                  </w:p>
                  <w:p w14:paraId="79C82512" w14:textId="77777777" w:rsidR="00711A16" w:rsidRDefault="00711A16">
                    <w:pPr>
                      <w:spacing w:before="13"/>
                      <w:ind w:left="200"/>
                      <w:rPr>
                        <w:rFonts w:ascii="MS Gothic"/>
                      </w:rPr>
                    </w:pPr>
                    <w:r>
                      <w:rPr>
                        <w:rFonts w:ascii="MS Gothic"/>
                        <w:color w:val="333333"/>
                      </w:rPr>
                      <w:t>&lt;/plugin&gt;</w:t>
                    </w:r>
                  </w:p>
                </w:txbxContent>
              </v:textbox>
            </v:shape>
            <w10:wrap type="topAndBottom" anchorx="page"/>
          </v:group>
        </w:pict>
      </w:r>
    </w:p>
    <w:p w14:paraId="489D3C98" w14:textId="77777777" w:rsidR="00A720EB" w:rsidRDefault="00A720EB">
      <w:pPr>
        <w:pStyle w:val="a3"/>
        <w:spacing w:before="8"/>
        <w:rPr>
          <w:sz w:val="16"/>
        </w:rPr>
      </w:pPr>
    </w:p>
    <w:p w14:paraId="532A7766" w14:textId="77777777" w:rsidR="00A720EB" w:rsidRDefault="00E10349">
      <w:pPr>
        <w:pStyle w:val="a3"/>
        <w:spacing w:before="116" w:line="280" w:lineRule="auto"/>
        <w:ind w:left="1564" w:right="368"/>
        <w:jc w:val="both"/>
      </w:pPr>
      <w:r>
        <w:pict w14:anchorId="715A7A1B">
          <v:line id="_x0000_s1641" style="position:absolute;left:0;text-align:left;z-index:16335872;mso-position-horizontal-relative:page" from="108.25pt,.35pt" to="108.25pt,55.7pt" strokecolor="#ededed" strokeweight=".5pt">
            <w10:wrap anchorx="page"/>
          </v:line>
        </w:pict>
      </w:r>
      <w:r w:rsidR="0030286B">
        <w:rPr>
          <w:noProof/>
        </w:rPr>
        <w:drawing>
          <wp:anchor distT="0" distB="0" distL="0" distR="0" simplePos="0" relativeHeight="16336384" behindDoc="0" locked="0" layoutInCell="1" allowOverlap="1" wp14:anchorId="370B498E" wp14:editId="4711AE38">
            <wp:simplePos x="0" y="0"/>
            <wp:positionH relativeFrom="page">
              <wp:posOffset>844422</wp:posOffset>
            </wp:positionH>
            <wp:positionV relativeFrom="paragraph">
              <wp:posOffset>206451</wp:posOffset>
            </wp:positionV>
            <wp:extent cx="298450" cy="298450"/>
            <wp:effectExtent l="0" t="0" r="0" b="0"/>
            <wp:wrapNone/>
            <wp:docPr id="7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w:t>
      </w:r>
      <w:r w:rsidR="0030286B">
        <w:rPr>
          <w:rFonts w:ascii="MS Gothic"/>
          <w:color w:val="B02045"/>
          <w:w w:val="110"/>
        </w:rPr>
        <w:t xml:space="preserve">useDefaultDelimiters </w:t>
      </w:r>
      <w:r w:rsidR="0030286B">
        <w:rPr>
          <w:color w:val="333333"/>
          <w:w w:val="110"/>
        </w:rPr>
        <w:t xml:space="preserve">property is important if you use standard Spring placeholders (such as </w:t>
      </w:r>
      <w:r w:rsidR="0030286B">
        <w:rPr>
          <w:rFonts w:ascii="MS Gothic"/>
          <w:color w:val="B02045"/>
          <w:w w:val="110"/>
        </w:rPr>
        <w:t>${placeholder}</w:t>
      </w:r>
      <w:r w:rsidR="0030286B">
        <w:rPr>
          <w:color w:val="333333"/>
          <w:w w:val="110"/>
        </w:rPr>
        <w:t xml:space="preserve">) in your configuration. If that property is not set to </w:t>
      </w:r>
      <w:r w:rsidR="0030286B">
        <w:rPr>
          <w:rFonts w:ascii="MS Gothic"/>
          <w:color w:val="B02045"/>
          <w:w w:val="110"/>
        </w:rPr>
        <w:t>false</w:t>
      </w:r>
      <w:r w:rsidR="0030286B">
        <w:rPr>
          <w:color w:val="333333"/>
          <w:w w:val="110"/>
        </w:rPr>
        <w:t>, these may be expanded by the build.</w:t>
      </w:r>
    </w:p>
    <w:p w14:paraId="1F335847" w14:textId="77777777" w:rsidR="00A720EB" w:rsidRDefault="00A720EB">
      <w:pPr>
        <w:pStyle w:val="a3"/>
        <w:spacing w:before="8"/>
        <w:rPr>
          <w:sz w:val="24"/>
        </w:rPr>
      </w:pPr>
    </w:p>
    <w:p w14:paraId="0FCE5591" w14:textId="77777777" w:rsidR="00A720EB" w:rsidRDefault="0030286B">
      <w:pPr>
        <w:pStyle w:val="4"/>
        <w:spacing w:before="104"/>
        <w:jc w:val="left"/>
      </w:pPr>
      <w:bookmarkStart w:id="795" w:name="Automatic_Property_Expansion_Using_Gradl"/>
      <w:bookmarkEnd w:id="795"/>
      <w:r>
        <w:rPr>
          <w:color w:val="333333"/>
          <w:w w:val="110"/>
        </w:rPr>
        <w:t>Automatic Property Expansion Using Gradle</w:t>
      </w:r>
    </w:p>
    <w:p w14:paraId="79B550DF" w14:textId="77777777" w:rsidR="00A720EB" w:rsidRDefault="00A720EB">
      <w:pPr>
        <w:pStyle w:val="a3"/>
        <w:spacing w:before="11"/>
        <w:rPr>
          <w:rFonts w:ascii="Palatino Linotype"/>
          <w:b/>
          <w:sz w:val="18"/>
        </w:rPr>
      </w:pPr>
    </w:p>
    <w:p w14:paraId="3BEC79DE" w14:textId="77777777" w:rsidR="00A720EB" w:rsidRDefault="0030286B">
      <w:pPr>
        <w:pStyle w:val="a3"/>
        <w:ind w:left="124"/>
      </w:pPr>
      <w:r>
        <w:rPr>
          <w:color w:val="333333"/>
          <w:w w:val="110"/>
        </w:rPr>
        <w:t>You can automatically expand properties from the Gradle project by configuring the Java plugin’s</w:t>
      </w:r>
    </w:p>
    <w:p w14:paraId="7A0C010D" w14:textId="77777777" w:rsidR="00A720EB" w:rsidRDefault="0030286B">
      <w:pPr>
        <w:pStyle w:val="a3"/>
        <w:spacing w:before="59"/>
        <w:ind w:left="124"/>
      </w:pPr>
      <w:r>
        <w:rPr>
          <w:rFonts w:ascii="MS Gothic"/>
          <w:color w:val="B02045"/>
          <w:w w:val="110"/>
        </w:rPr>
        <w:t>processResources</w:t>
      </w:r>
      <w:r>
        <w:rPr>
          <w:rFonts w:ascii="MS Gothic"/>
          <w:color w:val="B02045"/>
          <w:spacing w:val="-54"/>
          <w:w w:val="110"/>
        </w:rPr>
        <w:t xml:space="preserve"> </w:t>
      </w:r>
      <w:r>
        <w:rPr>
          <w:color w:val="333333"/>
          <w:w w:val="110"/>
        </w:rPr>
        <w:t>task to do so, as shown in the following example:</w:t>
      </w:r>
    </w:p>
    <w:p w14:paraId="399153E6" w14:textId="77777777" w:rsidR="00A720EB" w:rsidRDefault="00E10349">
      <w:pPr>
        <w:pStyle w:val="a3"/>
        <w:spacing w:before="11"/>
        <w:rPr>
          <w:sz w:val="17"/>
        </w:rPr>
      </w:pPr>
      <w:r>
        <w:pict w14:anchorId="0C5567D3">
          <v:group id="_x0000_s1637" style="position:absolute;margin-left:47.85pt;margin-top:12.5pt;width:499.55pt;height:67pt;z-index:-15122944;mso-wrap-distance-left:0;mso-wrap-distance-right:0;mso-position-horizontal-relative:page" coordorigin="957,250" coordsize="9991,1340">
            <v:shape id="_x0000_s1640" style="position:absolute;left:964;top:257;width:9976;height:1325" coordorigin="965,258" coordsize="9976,1325" path="m10861,258r-9816,l1014,264r-26,17l971,307r-6,31l965,1502r6,31l988,1559r26,17l1045,1582r9816,l10892,1576r25,-17l10935,1533r6,-31l10941,338r-6,-31l10917,281r-25,-17l10861,258xe" fillcolor="#f5f5f5" stroked="f">
              <v:path arrowok="t"/>
            </v:shape>
            <v:shape id="_x0000_s1639" style="position:absolute;left:964;top:257;width:9976;height:1325" coordorigin="965,258" coordsize="9976,1325" path="m1045,258r9816,l10892,264r25,17l10935,307r6,31l10941,1502r-6,31l10917,1559r-25,17l10861,1582r-9816,l1014,1576r-26,-17l971,1533r-6,-31l965,338r6,-31l988,281r26,-17l1045,258xe" filled="f" strokecolor="#ccc">
              <v:path arrowok="t"/>
            </v:shape>
            <v:shape id="_x0000_s1638" type="#_x0000_t202" style="position:absolute;left:984;top:273;width:9938;height:1294" filled="f" stroked="f">
              <v:textbox inset="0,0,0,0">
                <w:txbxContent>
                  <w:p w14:paraId="427F6D98" w14:textId="77777777" w:rsidR="00711A16" w:rsidRDefault="00711A16">
                    <w:pPr>
                      <w:spacing w:before="221" w:line="252" w:lineRule="auto"/>
                      <w:ind w:left="640" w:right="6418" w:hanging="440"/>
                      <w:rPr>
                        <w:rFonts w:ascii="MS Gothic"/>
                      </w:rPr>
                    </w:pPr>
                    <w:r>
                      <w:rPr>
                        <w:rFonts w:ascii="MS Gothic"/>
                        <w:color w:val="333333"/>
                      </w:rPr>
                      <w:t xml:space="preserve">processResources </w:t>
                    </w:r>
                    <w:proofErr w:type="gramStart"/>
                    <w:r>
                      <w:rPr>
                        <w:rFonts w:ascii="MS Gothic"/>
                        <w:color w:val="333333"/>
                      </w:rPr>
                      <w:t>{ expand</w:t>
                    </w:r>
                    <w:proofErr w:type="gramEnd"/>
                    <w:r>
                      <w:rPr>
                        <w:rFonts w:ascii="MS Gothic"/>
                        <w:color w:val="333333"/>
                      </w:rPr>
                      <w:t>(project.properties)</w:t>
                    </w:r>
                  </w:p>
                  <w:p w14:paraId="2D9C49DE"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174C61EB" w14:textId="77777777" w:rsidR="00A720EB" w:rsidRDefault="00A720EB">
      <w:pPr>
        <w:pStyle w:val="a3"/>
        <w:rPr>
          <w:sz w:val="10"/>
        </w:rPr>
      </w:pPr>
    </w:p>
    <w:p w14:paraId="68553329" w14:textId="77777777" w:rsidR="00A720EB" w:rsidRDefault="0030286B">
      <w:pPr>
        <w:pStyle w:val="a3"/>
        <w:spacing w:before="125" w:line="307" w:lineRule="auto"/>
        <w:ind w:left="124" w:right="462"/>
      </w:pPr>
      <w:r>
        <w:rPr>
          <w:color w:val="333333"/>
          <w:w w:val="110"/>
        </w:rPr>
        <w:t>You can then refer to your Gradle project’s properties by using placeholders, as shown in the following example:</w:t>
      </w:r>
    </w:p>
    <w:p w14:paraId="27988DFA" w14:textId="77777777" w:rsidR="00A720EB" w:rsidRDefault="00A720EB">
      <w:pPr>
        <w:spacing w:line="307" w:lineRule="auto"/>
        <w:sectPr w:rsidR="00A720EB">
          <w:pgSz w:w="11910" w:h="16840"/>
          <w:pgMar w:top="700" w:right="840" w:bottom="520" w:left="840" w:header="0" w:footer="323" w:gutter="0"/>
          <w:cols w:space="720"/>
        </w:sectPr>
      </w:pPr>
    </w:p>
    <w:p w14:paraId="228B80BF" w14:textId="77777777" w:rsidR="00A720EB" w:rsidRDefault="00E10349">
      <w:pPr>
        <w:pStyle w:val="a3"/>
        <w:ind w:left="116"/>
        <w:rPr>
          <w:sz w:val="20"/>
        </w:rPr>
      </w:pPr>
      <w:r>
        <w:rPr>
          <w:sz w:val="20"/>
        </w:rPr>
      </w:r>
      <w:r>
        <w:rPr>
          <w:sz w:val="20"/>
        </w:rPr>
        <w:pict w14:anchorId="226238D2">
          <v:group id="_x0000_s1633" style="width:499.55pt;height:52.25pt;mso-position-horizontal-relative:char;mso-position-vertical-relative:line" coordsize="9991,1045">
            <v:shape id="_x0000_s1636" style="position:absolute;left:7;top:7;width:9976;height:1030" coordorigin="8,8" coordsize="9976,1030" path="m9904,8l88,8,56,14,31,31,14,56,8,88r,869l14,988r17,26l56,1031r32,6l9904,1037r31,-6l9960,1014r17,-26l9984,957r,-869l9977,56,9960,31,9935,14,9904,8xe" fillcolor="#f5f5f5" stroked="f">
              <v:path arrowok="t"/>
            </v:shape>
            <v:shape id="_x0000_s1635" style="position:absolute;left:7;top:7;width:9976;height:1030" coordorigin="8,8" coordsize="9976,1030" path="m88,8r9816,l9935,14r25,17l9977,56r7,32l9984,957r-7,31l9960,1014r-25,17l9904,1037r-9816,l56,1031,31,1014,14,988,8,957,8,88,14,56,31,31,56,14,88,8xe" filled="f" strokecolor="#ccc">
              <v:path arrowok="t"/>
            </v:shape>
            <v:shape id="_x0000_s1634" type="#_x0000_t202" style="position:absolute;left:26;top:22;width:9938;height:999" filled="f" stroked="f">
              <v:textbox inset="0,0,0,0">
                <w:txbxContent>
                  <w:p w14:paraId="7C957C94" w14:textId="77777777" w:rsidR="00711A16" w:rsidRDefault="00711A16">
                    <w:pPr>
                      <w:spacing w:before="221" w:line="252" w:lineRule="auto"/>
                      <w:ind w:left="200" w:right="6418"/>
                      <w:rPr>
                        <w:rFonts w:ascii="MS Gothic"/>
                      </w:rPr>
                    </w:pPr>
                    <w:r>
                      <w:rPr>
                        <w:rFonts w:ascii="MS Gothic"/>
                        <w:color w:val="333333"/>
                      </w:rPr>
                      <w:t xml:space="preserve">app.name=${name} </w:t>
                    </w:r>
                    <w:proofErr w:type="gramStart"/>
                    <w:r>
                      <w:rPr>
                        <w:rFonts w:ascii="MS Gothic"/>
                        <w:color w:val="333333"/>
                      </w:rPr>
                      <w:t>app.description</w:t>
                    </w:r>
                    <w:proofErr w:type="gramEnd"/>
                    <w:r>
                      <w:rPr>
                        <w:rFonts w:ascii="MS Gothic"/>
                        <w:color w:val="333333"/>
                      </w:rPr>
                      <w:t>=${description}</w:t>
                    </w:r>
                  </w:p>
                </w:txbxContent>
              </v:textbox>
            </v:shape>
            <w10:anchorlock/>
          </v:group>
        </w:pict>
      </w:r>
    </w:p>
    <w:p w14:paraId="5CD6D974" w14:textId="77777777" w:rsidR="00A720EB" w:rsidRDefault="00A720EB">
      <w:pPr>
        <w:pStyle w:val="a3"/>
        <w:spacing w:before="7"/>
        <w:rPr>
          <w:sz w:val="16"/>
        </w:rPr>
      </w:pPr>
    </w:p>
    <w:p w14:paraId="39612E94" w14:textId="77777777" w:rsidR="00A720EB" w:rsidRDefault="00E10349">
      <w:pPr>
        <w:pStyle w:val="a3"/>
        <w:spacing w:before="116"/>
        <w:ind w:left="1564"/>
        <w:jc w:val="both"/>
      </w:pPr>
      <w:r>
        <w:pict w14:anchorId="2D2A8710">
          <v:line id="_x0000_s1632" style="position:absolute;left:0;text-align:left;z-index:16338944;mso-position-horizontal-relative:page" from="108.25pt,.35pt" to="108.25pt,71.45pt" strokecolor="#ededed" strokeweight=".5pt">
            <w10:wrap anchorx="page"/>
          </v:line>
        </w:pict>
      </w:r>
      <w:r w:rsidR="0030286B">
        <w:rPr>
          <w:color w:val="333333"/>
          <w:w w:val="110"/>
        </w:rPr>
        <w:t xml:space="preserve">Gradle’s </w:t>
      </w:r>
      <w:r w:rsidR="0030286B">
        <w:rPr>
          <w:rFonts w:ascii="MS Gothic" w:hAnsi="MS Gothic"/>
          <w:color w:val="B02045"/>
          <w:w w:val="110"/>
        </w:rPr>
        <w:t xml:space="preserve">expand </w:t>
      </w:r>
      <w:r w:rsidR="0030286B">
        <w:rPr>
          <w:color w:val="333333"/>
          <w:w w:val="110"/>
        </w:rPr>
        <w:t xml:space="preserve">method uses Groovy’s </w:t>
      </w:r>
      <w:r w:rsidR="0030286B">
        <w:rPr>
          <w:rFonts w:ascii="MS Gothic" w:hAnsi="MS Gothic"/>
          <w:color w:val="B02045"/>
          <w:w w:val="110"/>
        </w:rPr>
        <w:t>SimpleTemplateEngine</w:t>
      </w:r>
      <w:r w:rsidR="0030286B">
        <w:rPr>
          <w:color w:val="333333"/>
          <w:w w:val="110"/>
        </w:rPr>
        <w:t>, which transforms</w:t>
      </w:r>
    </w:p>
    <w:p w14:paraId="6044ABC5" w14:textId="77777777" w:rsidR="00A720EB" w:rsidRDefault="0030286B">
      <w:pPr>
        <w:pStyle w:val="a3"/>
        <w:spacing w:before="47" w:line="295" w:lineRule="auto"/>
        <w:ind w:left="1564" w:right="369"/>
        <w:jc w:val="both"/>
      </w:pPr>
      <w:r>
        <w:rPr>
          <w:noProof/>
        </w:rPr>
        <w:drawing>
          <wp:anchor distT="0" distB="0" distL="0" distR="0" simplePos="0" relativeHeight="16339456" behindDoc="0" locked="0" layoutInCell="1" allowOverlap="1" wp14:anchorId="538C422F" wp14:editId="46D3E8F4">
            <wp:simplePos x="0" y="0"/>
            <wp:positionH relativeFrom="page">
              <wp:posOffset>844422</wp:posOffset>
            </wp:positionH>
            <wp:positionV relativeFrom="paragraph">
              <wp:posOffset>62433</wp:posOffset>
            </wp:positionV>
            <wp:extent cx="298450" cy="298450"/>
            <wp:effectExtent l="0" t="0" r="0" b="0"/>
            <wp:wrapNone/>
            <wp:docPr id="7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24" cstate="print"/>
                    <a:stretch>
                      <a:fillRect/>
                    </a:stretch>
                  </pic:blipFill>
                  <pic:spPr>
                    <a:xfrm>
                      <a:off x="0" y="0"/>
                      <a:ext cx="298450" cy="298450"/>
                    </a:xfrm>
                    <a:prstGeom prst="rect">
                      <a:avLst/>
                    </a:prstGeom>
                  </pic:spPr>
                </pic:pic>
              </a:graphicData>
            </a:graphic>
          </wp:anchor>
        </w:drawing>
      </w:r>
      <w:r>
        <w:rPr>
          <w:rFonts w:ascii="MS Gothic" w:hAnsi="MS Gothic"/>
          <w:color w:val="B02045"/>
          <w:w w:val="110"/>
        </w:rPr>
        <w:t xml:space="preserve">${..} </w:t>
      </w:r>
      <w:r>
        <w:rPr>
          <w:color w:val="333333"/>
          <w:w w:val="110"/>
        </w:rPr>
        <w:t xml:space="preserve">tokens. The </w:t>
      </w:r>
      <w:r>
        <w:rPr>
          <w:rFonts w:ascii="MS Gothic" w:hAnsi="MS Gothic"/>
          <w:color w:val="B02045"/>
          <w:w w:val="110"/>
        </w:rPr>
        <w:t xml:space="preserve">${..} </w:t>
      </w:r>
      <w:r>
        <w:rPr>
          <w:color w:val="333333"/>
          <w:w w:val="110"/>
        </w:rPr>
        <w:t xml:space="preserve">style conflicts with Spring’s own property </w:t>
      </w:r>
      <w:proofErr w:type="gramStart"/>
      <w:r>
        <w:rPr>
          <w:color w:val="333333"/>
          <w:w w:val="110"/>
        </w:rPr>
        <w:t>placeholder  mechanism</w:t>
      </w:r>
      <w:proofErr w:type="gramEnd"/>
      <w:r>
        <w:rPr>
          <w:color w:val="333333"/>
          <w:w w:val="110"/>
        </w:rPr>
        <w:t xml:space="preserve">. To use Spring property placeholders together with automatic expansion, escape the Spring property placeholders as follows: </w:t>
      </w:r>
      <w:r>
        <w:rPr>
          <w:rFonts w:ascii="MS Gothic" w:hAnsi="MS Gothic"/>
          <w:color w:val="B02045"/>
          <w:w w:val="110"/>
        </w:rPr>
        <w:t>\${..}</w:t>
      </w:r>
      <w:r>
        <w:rPr>
          <w:color w:val="333333"/>
          <w:w w:val="110"/>
        </w:rPr>
        <w:t>.</w:t>
      </w:r>
    </w:p>
    <w:p w14:paraId="457E93C3" w14:textId="77777777" w:rsidR="00A720EB" w:rsidRDefault="00A720EB">
      <w:pPr>
        <w:pStyle w:val="a3"/>
        <w:spacing w:before="10"/>
        <w:rPr>
          <w:sz w:val="22"/>
        </w:rPr>
      </w:pPr>
    </w:p>
    <w:p w14:paraId="23F76899" w14:textId="77777777" w:rsidR="00A720EB" w:rsidRDefault="0030286B">
      <w:pPr>
        <w:pStyle w:val="3"/>
        <w:numPr>
          <w:ilvl w:val="2"/>
          <w:numId w:val="13"/>
        </w:numPr>
        <w:tabs>
          <w:tab w:val="left" w:pos="858"/>
        </w:tabs>
        <w:spacing w:before="105"/>
        <w:ind w:hanging="734"/>
      </w:pPr>
      <w:bookmarkStart w:id="796" w:name="9.2.2._Externalize_the_Configuration_of_"/>
      <w:bookmarkStart w:id="797" w:name="_Toc54423923"/>
      <w:bookmarkEnd w:id="796"/>
      <w:r>
        <w:rPr>
          <w:color w:val="333333"/>
          <w:w w:val="110"/>
        </w:rPr>
        <w:t>Externalize the Configuration of</w:t>
      </w:r>
      <w:r>
        <w:rPr>
          <w:color w:val="333333"/>
          <w:spacing w:val="-24"/>
          <w:w w:val="110"/>
        </w:rPr>
        <w:t xml:space="preserve"> </w:t>
      </w:r>
      <w:r>
        <w:rPr>
          <w:color w:val="333333"/>
          <w:w w:val="110"/>
        </w:rPr>
        <w:t>SpringApplication</w:t>
      </w:r>
      <w:bookmarkEnd w:id="797"/>
    </w:p>
    <w:p w14:paraId="6574775E" w14:textId="77777777" w:rsidR="00A720EB" w:rsidRDefault="0030286B">
      <w:pPr>
        <w:pStyle w:val="a3"/>
        <w:spacing w:before="244" w:line="292" w:lineRule="auto"/>
        <w:ind w:left="124" w:right="125"/>
        <w:jc w:val="both"/>
      </w:pPr>
      <w:r>
        <w:rPr>
          <w:color w:val="333333"/>
          <w:w w:val="110"/>
        </w:rPr>
        <w:t xml:space="preserve">A </w:t>
      </w:r>
      <w:r>
        <w:rPr>
          <w:rFonts w:ascii="MS Gothic"/>
          <w:color w:val="B02045"/>
          <w:w w:val="110"/>
        </w:rPr>
        <w:t xml:space="preserve">SpringApplication </w:t>
      </w:r>
      <w:r>
        <w:rPr>
          <w:color w:val="333333"/>
          <w:w w:val="110"/>
        </w:rPr>
        <w:t xml:space="preserve">has bean properties (mainly setters), so you can use its Java API as you create the application to modify its behavior. </w:t>
      </w:r>
      <w:r>
        <w:rPr>
          <w:color w:val="333333"/>
          <w:spacing w:val="-3"/>
          <w:w w:val="110"/>
        </w:rPr>
        <w:t xml:space="preserve">Alternatively, </w:t>
      </w:r>
      <w:r>
        <w:rPr>
          <w:color w:val="333333"/>
          <w:w w:val="110"/>
        </w:rPr>
        <w:t xml:space="preserve">you </w:t>
      </w:r>
      <w:proofErr w:type="gramStart"/>
      <w:r>
        <w:rPr>
          <w:color w:val="333333"/>
          <w:w w:val="110"/>
        </w:rPr>
        <w:t>can  externalize</w:t>
      </w:r>
      <w:proofErr w:type="gramEnd"/>
      <w:r>
        <w:rPr>
          <w:color w:val="333333"/>
          <w:w w:val="110"/>
        </w:rPr>
        <w:t xml:space="preserve">  the  configuration  </w:t>
      </w:r>
      <w:r>
        <w:rPr>
          <w:color w:val="333333"/>
          <w:spacing w:val="-3"/>
          <w:w w:val="110"/>
        </w:rPr>
        <w:t xml:space="preserve">by </w:t>
      </w:r>
      <w:r>
        <w:rPr>
          <w:color w:val="333333"/>
          <w:w w:val="110"/>
        </w:rPr>
        <w:t xml:space="preserve">setting properties in </w:t>
      </w:r>
      <w:r>
        <w:rPr>
          <w:rFonts w:ascii="MS Gothic"/>
          <w:color w:val="B02045"/>
          <w:w w:val="110"/>
        </w:rPr>
        <w:t>spring.main.*</w:t>
      </w:r>
      <w:r>
        <w:rPr>
          <w:color w:val="333333"/>
          <w:w w:val="110"/>
        </w:rPr>
        <w:t xml:space="preserve">. </w:t>
      </w:r>
      <w:r>
        <w:rPr>
          <w:color w:val="333333"/>
          <w:spacing w:val="-4"/>
          <w:w w:val="110"/>
        </w:rPr>
        <w:t xml:space="preserve">For </w:t>
      </w:r>
      <w:r>
        <w:rPr>
          <w:color w:val="333333"/>
          <w:w w:val="110"/>
        </w:rPr>
        <w:t xml:space="preserve">example, in </w:t>
      </w:r>
      <w:proofErr w:type="gramStart"/>
      <w:r>
        <w:rPr>
          <w:rFonts w:ascii="MS Gothic"/>
          <w:color w:val="B02045"/>
          <w:w w:val="110"/>
        </w:rPr>
        <w:t>application.properties</w:t>
      </w:r>
      <w:proofErr w:type="gramEnd"/>
      <w:r>
        <w:rPr>
          <w:color w:val="333333"/>
          <w:w w:val="110"/>
        </w:rPr>
        <w:t>, you might have the following</w:t>
      </w:r>
      <w:r>
        <w:rPr>
          <w:color w:val="333333"/>
          <w:spacing w:val="3"/>
          <w:w w:val="110"/>
        </w:rPr>
        <w:t xml:space="preserve"> </w:t>
      </w:r>
      <w:r>
        <w:rPr>
          <w:color w:val="333333"/>
          <w:w w:val="110"/>
        </w:rPr>
        <w:t>settings:</w:t>
      </w:r>
    </w:p>
    <w:p w14:paraId="40143D6C" w14:textId="77777777" w:rsidR="00A720EB" w:rsidRDefault="00E10349">
      <w:pPr>
        <w:pStyle w:val="a3"/>
        <w:spacing w:before="4"/>
        <w:rPr>
          <w:sz w:val="14"/>
        </w:rPr>
      </w:pPr>
      <w:r>
        <w:pict w14:anchorId="4A9CB75A">
          <v:group id="_x0000_s1628" style="position:absolute;margin-left:47.85pt;margin-top:10.4pt;width:499.55pt;height:52.25pt;z-index:-15119872;mso-wrap-distance-left:0;mso-wrap-distance-right:0;mso-position-horizontal-relative:page" coordorigin="957,208" coordsize="9991,1045">
            <v:shape id="_x0000_s1631" style="position:absolute;left:964;top:215;width:9976;height:1030" coordorigin="965,216" coordsize="9976,1030" path="m10861,216r-9816,l1014,222r-26,17l971,265r-6,31l965,1166r6,31l988,1222r26,17l1045,1246r9816,l10892,1239r25,-17l10935,1197r6,-31l10941,296r-6,-31l10917,239r-25,-17l10861,216xe" fillcolor="#f5f5f5" stroked="f">
              <v:path arrowok="t"/>
            </v:shape>
            <v:shape id="_x0000_s1630" style="position:absolute;left:964;top:215;width:9976;height:1030" coordorigin="965,216" coordsize="9976,1030" path="m1045,216r9816,l10892,222r25,17l10935,265r6,31l10941,1166r-6,31l10917,1222r-25,17l10861,1246r-9816,l1014,1239r-26,-17l971,1197r-6,-31l965,296r6,-31l988,239r26,-17l1045,216xe" filled="f" strokecolor="#ccc">
              <v:path arrowok="t"/>
            </v:shape>
            <v:shape id="_x0000_s1629" type="#_x0000_t202" style="position:absolute;left:984;top:231;width:9938;height:999" filled="f" stroked="f">
              <v:textbox inset="0,0,0,0">
                <w:txbxContent>
                  <w:p w14:paraId="602D40E0" w14:textId="77777777" w:rsidR="00711A16" w:rsidRDefault="00711A16">
                    <w:pPr>
                      <w:spacing w:before="221" w:line="252" w:lineRule="auto"/>
                      <w:ind w:left="200" w:right="5664"/>
                      <w:rPr>
                        <w:rFonts w:ascii="MS Gothic"/>
                      </w:rPr>
                    </w:pPr>
                    <w:r>
                      <w:rPr>
                        <w:rFonts w:ascii="MS Gothic"/>
                        <w:color w:val="333333"/>
                      </w:rPr>
                      <w:t xml:space="preserve">spring.main.web-application-type=none </w:t>
                    </w:r>
                    <w:proofErr w:type="gramStart"/>
                    <w:r>
                      <w:rPr>
                        <w:rFonts w:ascii="MS Gothic"/>
                        <w:color w:val="333333"/>
                      </w:rPr>
                      <w:t>spring.main</w:t>
                    </w:r>
                    <w:proofErr w:type="gramEnd"/>
                    <w:r>
                      <w:rPr>
                        <w:rFonts w:ascii="MS Gothic"/>
                        <w:color w:val="333333"/>
                      </w:rPr>
                      <w:t>.banner-mode=off</w:t>
                    </w:r>
                  </w:p>
                </w:txbxContent>
              </v:textbox>
            </v:shape>
            <w10:wrap type="topAndBottom" anchorx="page"/>
          </v:group>
        </w:pict>
      </w:r>
    </w:p>
    <w:p w14:paraId="63851DC4" w14:textId="77777777" w:rsidR="00A720EB" w:rsidRDefault="00A720EB">
      <w:pPr>
        <w:pStyle w:val="a3"/>
        <w:rPr>
          <w:sz w:val="10"/>
        </w:rPr>
      </w:pPr>
    </w:p>
    <w:p w14:paraId="04D3D7A0" w14:textId="77777777" w:rsidR="00A720EB" w:rsidRDefault="0030286B">
      <w:pPr>
        <w:pStyle w:val="a3"/>
        <w:spacing w:before="125" w:line="307" w:lineRule="auto"/>
        <w:ind w:left="124" w:right="135"/>
        <w:jc w:val="both"/>
      </w:pPr>
      <w:r>
        <w:rPr>
          <w:color w:val="333333"/>
          <w:w w:val="110"/>
        </w:rPr>
        <w:t>Then the Spring Boot banner is not printed on startup, and the application is not starting an embedded web server.</w:t>
      </w:r>
    </w:p>
    <w:p w14:paraId="4E03CC6C" w14:textId="77777777" w:rsidR="00A720EB" w:rsidRDefault="0030286B">
      <w:pPr>
        <w:pStyle w:val="a3"/>
        <w:spacing w:before="241" w:line="295" w:lineRule="auto"/>
        <w:ind w:left="124" w:right="124"/>
        <w:jc w:val="both"/>
      </w:pPr>
      <w:r>
        <w:rPr>
          <w:color w:val="333333"/>
          <w:w w:val="110"/>
        </w:rPr>
        <w:t xml:space="preserve">Properties defined in external configuration override the values </w:t>
      </w:r>
      <w:proofErr w:type="gramStart"/>
      <w:r>
        <w:rPr>
          <w:color w:val="333333"/>
          <w:w w:val="110"/>
        </w:rPr>
        <w:t>specified  with</w:t>
      </w:r>
      <w:proofErr w:type="gramEnd"/>
      <w:r>
        <w:rPr>
          <w:color w:val="333333"/>
          <w:w w:val="110"/>
        </w:rPr>
        <w:t xml:space="preserve"> the  Java API,  with the notable exception of the sources used to create the </w:t>
      </w:r>
      <w:r>
        <w:rPr>
          <w:rFonts w:ascii="MS Gothic"/>
          <w:color w:val="B02045"/>
          <w:w w:val="110"/>
        </w:rPr>
        <w:t>ApplicationContext</w:t>
      </w:r>
      <w:r>
        <w:rPr>
          <w:color w:val="333333"/>
          <w:w w:val="110"/>
        </w:rPr>
        <w:t>. Consider the following application:</w:t>
      </w:r>
    </w:p>
    <w:p w14:paraId="02C62707" w14:textId="77777777" w:rsidR="00A720EB" w:rsidRDefault="00E10349">
      <w:pPr>
        <w:pStyle w:val="a3"/>
        <w:spacing w:before="11"/>
        <w:rPr>
          <w:sz w:val="13"/>
        </w:rPr>
      </w:pPr>
      <w:r>
        <w:pict w14:anchorId="7932C1F2">
          <v:group id="_x0000_s1624" style="position:absolute;margin-left:47.85pt;margin-top:10.15pt;width:499.55pt;height:81.75pt;z-index:-15119360;mso-wrap-distance-left:0;mso-wrap-distance-right:0;mso-position-horizontal-relative:page" coordorigin="957,203" coordsize="9991,1635">
            <v:shape id="_x0000_s1627" style="position:absolute;left:964;top:210;width:9976;height:1620" coordorigin="965,211" coordsize="9976,1620" path="m10861,211r-9816,l1014,217r-26,17l971,260r-6,31l965,1750r6,31l988,1807r26,17l1045,1830r9816,l10892,1824r25,-17l10935,1781r6,-31l10941,291r-6,-31l10917,234r-25,-17l10861,211xe" fillcolor="#f5f5f5" stroked="f">
              <v:path arrowok="t"/>
            </v:shape>
            <v:shape id="_x0000_s1626" style="position:absolute;left:964;top:210;width:9976;height:1620" coordorigin="965,211" coordsize="9976,1620" path="m1045,211r9816,l10892,217r25,17l10935,260r6,31l10941,1750r-6,31l10917,1807r-25,17l10861,1830r-9816,l1014,1824r-26,-17l971,1781r-6,-31l965,291r6,-31l988,234r26,-17l1045,211xe" filled="f" strokecolor="#ccc">
              <v:path arrowok="t"/>
            </v:shape>
            <v:shape id="_x0000_s1625" type="#_x0000_t202" style="position:absolute;left:984;top:226;width:9938;height:1589" filled="f" stroked="f">
              <v:textbox inset="0,0,0,0">
                <w:txbxContent>
                  <w:p w14:paraId="0D6CAE32" w14:textId="77777777" w:rsidR="00711A16" w:rsidRDefault="00711A16">
                    <w:pPr>
                      <w:spacing w:before="221"/>
                      <w:ind w:left="200"/>
                      <w:rPr>
                        <w:rFonts w:ascii="MS Gothic"/>
                      </w:rPr>
                    </w:pPr>
                    <w:r>
                      <w:rPr>
                        <w:rFonts w:ascii="MS Gothic"/>
                        <w:color w:val="333333"/>
                      </w:rPr>
                      <w:t xml:space="preserve">new </w:t>
                    </w:r>
                    <w:proofErr w:type="gramStart"/>
                    <w:r>
                      <w:rPr>
                        <w:rFonts w:ascii="MS Gothic"/>
                        <w:color w:val="333333"/>
                      </w:rPr>
                      <w:t>SpringApplicationBuilder(</w:t>
                    </w:r>
                    <w:proofErr w:type="gramEnd"/>
                    <w:r>
                      <w:rPr>
                        <w:rFonts w:ascii="MS Gothic"/>
                        <w:color w:val="333333"/>
                      </w:rPr>
                      <w:t>)</w:t>
                    </w:r>
                  </w:p>
                  <w:p w14:paraId="1D63689E" w14:textId="77777777" w:rsidR="00711A16" w:rsidRDefault="00711A16">
                    <w:pPr>
                      <w:spacing w:before="13"/>
                      <w:ind w:left="640"/>
                      <w:rPr>
                        <w:rFonts w:ascii="MS Gothic"/>
                      </w:rPr>
                    </w:pPr>
                    <w:proofErr w:type="gramStart"/>
                    <w:r>
                      <w:rPr>
                        <w:rFonts w:ascii="MS Gothic"/>
                        <w:color w:val="333333"/>
                      </w:rPr>
                      <w:t>.bannerMode</w:t>
                    </w:r>
                    <w:proofErr w:type="gramEnd"/>
                    <w:r>
                      <w:rPr>
                        <w:rFonts w:ascii="MS Gothic"/>
                        <w:color w:val="333333"/>
                      </w:rPr>
                      <w:t>(Banner.Mode.OFF)</w:t>
                    </w:r>
                  </w:p>
                  <w:p w14:paraId="09B12E93" w14:textId="77777777" w:rsidR="00711A16" w:rsidRDefault="00711A16">
                    <w:pPr>
                      <w:spacing w:before="13"/>
                      <w:ind w:left="640"/>
                      <w:rPr>
                        <w:rFonts w:ascii="MS Gothic"/>
                      </w:rPr>
                    </w:pPr>
                    <w:proofErr w:type="gramStart"/>
                    <w:r>
                      <w:rPr>
                        <w:rFonts w:ascii="MS Gothic"/>
                        <w:color w:val="333333"/>
                      </w:rPr>
                      <w:t>.sources</w:t>
                    </w:r>
                    <w:proofErr w:type="gramEnd"/>
                    <w:r>
                      <w:rPr>
                        <w:rFonts w:ascii="MS Gothic"/>
                        <w:color w:val="333333"/>
                      </w:rPr>
                      <w:t>(demo.MyApp.class)</w:t>
                    </w:r>
                  </w:p>
                  <w:p w14:paraId="6D546137" w14:textId="77777777" w:rsidR="00711A16" w:rsidRDefault="00711A16">
                    <w:pPr>
                      <w:spacing w:before="13"/>
                      <w:ind w:left="640"/>
                      <w:rPr>
                        <w:rFonts w:ascii="MS Gothic"/>
                      </w:rPr>
                    </w:pPr>
                    <w:proofErr w:type="gramStart"/>
                    <w:r>
                      <w:rPr>
                        <w:rFonts w:ascii="MS Gothic"/>
                        <w:color w:val="333333"/>
                      </w:rPr>
                      <w:t>.run</w:t>
                    </w:r>
                    <w:proofErr w:type="gramEnd"/>
                    <w:r>
                      <w:rPr>
                        <w:rFonts w:ascii="MS Gothic"/>
                        <w:color w:val="333333"/>
                      </w:rPr>
                      <w:t>(args);</w:t>
                    </w:r>
                  </w:p>
                </w:txbxContent>
              </v:textbox>
            </v:shape>
            <w10:wrap type="topAndBottom" anchorx="page"/>
          </v:group>
        </w:pict>
      </w:r>
    </w:p>
    <w:p w14:paraId="06D3D837" w14:textId="77777777" w:rsidR="00A720EB" w:rsidRDefault="00A720EB">
      <w:pPr>
        <w:pStyle w:val="a3"/>
        <w:rPr>
          <w:sz w:val="10"/>
        </w:rPr>
      </w:pPr>
    </w:p>
    <w:p w14:paraId="081A70F5" w14:textId="77777777" w:rsidR="00A720EB" w:rsidRDefault="0030286B">
      <w:pPr>
        <w:pStyle w:val="a3"/>
        <w:spacing w:before="125"/>
        <w:ind w:left="124"/>
      </w:pPr>
      <w:r>
        <w:rPr>
          <w:color w:val="333333"/>
          <w:w w:val="110"/>
        </w:rPr>
        <w:t>Now consider the following configuration:</w:t>
      </w:r>
    </w:p>
    <w:p w14:paraId="796C093C" w14:textId="77777777" w:rsidR="00A720EB" w:rsidRDefault="00E10349">
      <w:pPr>
        <w:pStyle w:val="a3"/>
        <w:rPr>
          <w:sz w:val="19"/>
        </w:rPr>
      </w:pPr>
      <w:r>
        <w:pict w14:anchorId="2B476158">
          <v:group id="_x0000_s1620" style="position:absolute;margin-left:47.85pt;margin-top:13.15pt;width:499.55pt;height:52.25pt;z-index:-15118848;mso-wrap-distance-left:0;mso-wrap-distance-right:0;mso-position-horizontal-relative:page" coordorigin="957,263" coordsize="9991,1045">
            <v:shape id="_x0000_s1623" style="position:absolute;left:964;top:270;width:9976;height:1030" coordorigin="965,270" coordsize="9976,1030" path="m10861,270r-9816,l1014,276r-26,18l971,319r-6,31l965,1220r6,31l988,1276r26,17l1045,1300r9816,l10892,1293r25,-17l10935,1251r6,-31l10941,350r-6,-31l10917,294r-25,-18l10861,270xe" fillcolor="#f5f5f5" stroked="f">
              <v:path arrowok="t"/>
            </v:shape>
            <v:shape id="_x0000_s1622" style="position:absolute;left:964;top:270;width:9976;height:1030" coordorigin="965,270" coordsize="9976,1030" path="m1045,270r9816,l10892,276r25,18l10935,319r6,31l10941,1220r-6,31l10917,1276r-25,17l10861,1300r-9816,l1014,1293r-26,-17l971,1251r-6,-31l965,350r6,-31l988,294r26,-18l1045,270xe" filled="f" strokecolor="#ccc">
              <v:path arrowok="t"/>
            </v:shape>
            <v:shape id="_x0000_s1621" type="#_x0000_t202" style="position:absolute;left:984;top:285;width:9938;height:999" filled="f" stroked="f">
              <v:textbox inset="0,0,0,0">
                <w:txbxContent>
                  <w:p w14:paraId="19D9D777" w14:textId="77777777" w:rsidR="00711A16" w:rsidRDefault="00711A16">
                    <w:pPr>
                      <w:spacing w:before="221" w:line="252" w:lineRule="auto"/>
                      <w:ind w:left="200" w:right="3574"/>
                      <w:rPr>
                        <w:rFonts w:ascii="MS Gothic"/>
                      </w:rPr>
                    </w:pPr>
                    <w:proofErr w:type="gramStart"/>
                    <w:r>
                      <w:rPr>
                        <w:rFonts w:ascii="MS Gothic"/>
                        <w:color w:val="333333"/>
                      </w:rPr>
                      <w:t>spring.main</w:t>
                    </w:r>
                    <w:proofErr w:type="gramEnd"/>
                    <w:r>
                      <w:rPr>
                        <w:rFonts w:ascii="MS Gothic"/>
                        <w:color w:val="333333"/>
                      </w:rPr>
                      <w:t>.sources=com.acme.Config,com.acme.ExtraConfig spring.main.banner-mode=console</w:t>
                    </w:r>
                  </w:p>
                </w:txbxContent>
              </v:textbox>
            </v:shape>
            <w10:wrap type="topAndBottom" anchorx="page"/>
          </v:group>
        </w:pict>
      </w:r>
    </w:p>
    <w:p w14:paraId="40AB341E" w14:textId="77777777" w:rsidR="00A720EB" w:rsidRDefault="00A720EB">
      <w:pPr>
        <w:pStyle w:val="a3"/>
        <w:rPr>
          <w:sz w:val="10"/>
        </w:rPr>
      </w:pPr>
    </w:p>
    <w:p w14:paraId="02FB3673" w14:textId="77777777" w:rsidR="00A720EB" w:rsidRDefault="0030286B">
      <w:pPr>
        <w:pStyle w:val="a3"/>
        <w:spacing w:before="104" w:line="278" w:lineRule="auto"/>
        <w:ind w:left="124" w:right="123"/>
        <w:jc w:val="both"/>
      </w:pPr>
      <w:r>
        <w:rPr>
          <w:color w:val="333333"/>
          <w:w w:val="110"/>
        </w:rPr>
        <w:t xml:space="preserve">The actual application </w:t>
      </w:r>
      <w:r>
        <w:rPr>
          <w:rFonts w:ascii="Palatino Linotype"/>
          <w:i/>
          <w:color w:val="333333"/>
          <w:w w:val="110"/>
        </w:rPr>
        <w:t xml:space="preserve">now </w:t>
      </w:r>
      <w:r>
        <w:rPr>
          <w:color w:val="333333"/>
          <w:w w:val="110"/>
        </w:rPr>
        <w:t xml:space="preserve">shows the banner (as overridden </w:t>
      </w:r>
      <w:r>
        <w:rPr>
          <w:color w:val="333333"/>
          <w:spacing w:val="-3"/>
          <w:w w:val="110"/>
        </w:rPr>
        <w:t xml:space="preserve">by </w:t>
      </w:r>
      <w:r>
        <w:rPr>
          <w:color w:val="333333"/>
          <w:w w:val="110"/>
        </w:rPr>
        <w:t xml:space="preserve">configuration) and uses three sources for the </w:t>
      </w:r>
      <w:r>
        <w:rPr>
          <w:rFonts w:ascii="MS Gothic"/>
          <w:color w:val="B02045"/>
          <w:w w:val="110"/>
        </w:rPr>
        <w:t xml:space="preserve">ApplicationContext </w:t>
      </w:r>
      <w:r>
        <w:rPr>
          <w:color w:val="333333"/>
          <w:w w:val="110"/>
        </w:rPr>
        <w:t xml:space="preserve">(in the following order): </w:t>
      </w:r>
      <w:proofErr w:type="gramStart"/>
      <w:r>
        <w:rPr>
          <w:rFonts w:ascii="MS Gothic"/>
          <w:color w:val="B02045"/>
          <w:w w:val="110"/>
        </w:rPr>
        <w:t>demo.MyApp</w:t>
      </w:r>
      <w:proofErr w:type="gramEnd"/>
      <w:r>
        <w:rPr>
          <w:color w:val="333333"/>
          <w:w w:val="110"/>
        </w:rPr>
        <w:t xml:space="preserve">, </w:t>
      </w:r>
      <w:r>
        <w:rPr>
          <w:rFonts w:ascii="MS Gothic"/>
          <w:color w:val="B02045"/>
          <w:w w:val="110"/>
        </w:rPr>
        <w:t>com.acme.Config</w:t>
      </w:r>
      <w:r>
        <w:rPr>
          <w:color w:val="333333"/>
          <w:w w:val="110"/>
        </w:rPr>
        <w:t xml:space="preserve">, and </w:t>
      </w:r>
      <w:r>
        <w:rPr>
          <w:rFonts w:ascii="MS Gothic"/>
          <w:color w:val="B02045"/>
          <w:w w:val="110"/>
        </w:rPr>
        <w:t>com.acme.ExtraConfig</w:t>
      </w:r>
      <w:r>
        <w:rPr>
          <w:color w:val="333333"/>
          <w:w w:val="110"/>
        </w:rPr>
        <w:t>.</w:t>
      </w:r>
    </w:p>
    <w:p w14:paraId="7A647B31" w14:textId="77777777" w:rsidR="00A720EB" w:rsidRDefault="00A720EB">
      <w:pPr>
        <w:pStyle w:val="a3"/>
        <w:spacing w:before="11"/>
        <w:rPr>
          <w:sz w:val="26"/>
        </w:rPr>
      </w:pPr>
    </w:p>
    <w:p w14:paraId="7BD70774" w14:textId="77777777" w:rsidR="00A720EB" w:rsidRDefault="0030286B">
      <w:pPr>
        <w:pStyle w:val="3"/>
        <w:numPr>
          <w:ilvl w:val="2"/>
          <w:numId w:val="13"/>
        </w:numPr>
        <w:tabs>
          <w:tab w:val="left" w:pos="858"/>
        </w:tabs>
        <w:ind w:hanging="734"/>
      </w:pPr>
      <w:bookmarkStart w:id="798" w:name="9.2.3._Change_the_Location_of_External_P"/>
      <w:bookmarkStart w:id="799" w:name="_Toc54423924"/>
      <w:bookmarkEnd w:id="798"/>
      <w:r>
        <w:rPr>
          <w:color w:val="333333"/>
          <w:w w:val="110"/>
        </w:rPr>
        <w:t>Change the Location of External Properties of an</w:t>
      </w:r>
      <w:r>
        <w:rPr>
          <w:color w:val="333333"/>
          <w:spacing w:val="-24"/>
          <w:w w:val="110"/>
        </w:rPr>
        <w:t xml:space="preserve"> </w:t>
      </w:r>
      <w:r>
        <w:rPr>
          <w:color w:val="333333"/>
          <w:w w:val="110"/>
        </w:rPr>
        <w:t>Application</w:t>
      </w:r>
      <w:bookmarkEnd w:id="799"/>
    </w:p>
    <w:p w14:paraId="0345D944" w14:textId="77777777" w:rsidR="00A720EB" w:rsidRDefault="0030286B">
      <w:pPr>
        <w:pStyle w:val="a3"/>
        <w:spacing w:before="244" w:line="290" w:lineRule="auto"/>
        <w:ind w:left="124" w:right="125"/>
        <w:jc w:val="both"/>
      </w:pPr>
      <w:r>
        <w:rPr>
          <w:color w:val="333333"/>
          <w:w w:val="110"/>
        </w:rPr>
        <w:t xml:space="preserve">By default, properties from different sources are added to the Spring </w:t>
      </w:r>
      <w:r>
        <w:rPr>
          <w:rFonts w:ascii="MS Gothic" w:hAnsi="MS Gothic"/>
          <w:color w:val="B02045"/>
          <w:w w:val="110"/>
        </w:rPr>
        <w:t xml:space="preserve">Environment </w:t>
      </w:r>
      <w:r>
        <w:rPr>
          <w:color w:val="333333"/>
          <w:w w:val="110"/>
        </w:rPr>
        <w:t>in a defined order (see “</w:t>
      </w:r>
      <w:hyperlink w:anchor="_bookmark101" w:history="1">
        <w:r>
          <w:rPr>
            <w:color w:val="418BCA"/>
            <w:w w:val="110"/>
          </w:rPr>
          <w:t>Externalized Configuration</w:t>
        </w:r>
      </w:hyperlink>
      <w:r>
        <w:rPr>
          <w:color w:val="333333"/>
          <w:w w:val="110"/>
        </w:rPr>
        <w:t>” in the ‘Spring Boot features’ section for the exact order).</w:t>
      </w:r>
    </w:p>
    <w:p w14:paraId="29ACBD60" w14:textId="77777777" w:rsidR="00A720EB" w:rsidRDefault="00A720EB">
      <w:pPr>
        <w:pStyle w:val="a3"/>
        <w:rPr>
          <w:sz w:val="22"/>
        </w:rPr>
      </w:pPr>
    </w:p>
    <w:p w14:paraId="62E9E424" w14:textId="77777777" w:rsidR="00A720EB" w:rsidRDefault="0030286B">
      <w:pPr>
        <w:pStyle w:val="a3"/>
        <w:ind w:left="124"/>
        <w:jc w:val="both"/>
      </w:pPr>
      <w:r>
        <w:rPr>
          <w:color w:val="333333"/>
          <w:w w:val="110"/>
        </w:rPr>
        <w:t>You can also provide the following System properties (or environment variables) to change the</w:t>
      </w:r>
    </w:p>
    <w:p w14:paraId="41E228DF" w14:textId="77777777" w:rsidR="00A720EB" w:rsidRDefault="00A720EB">
      <w:pPr>
        <w:jc w:val="both"/>
        <w:sectPr w:rsidR="00A720EB">
          <w:pgSz w:w="11910" w:h="16840"/>
          <w:pgMar w:top="700" w:right="840" w:bottom="520" w:left="840" w:header="0" w:footer="323" w:gutter="0"/>
          <w:cols w:space="720"/>
        </w:sectPr>
      </w:pPr>
    </w:p>
    <w:p w14:paraId="1C46CD27" w14:textId="77777777" w:rsidR="00A720EB" w:rsidRDefault="0030286B">
      <w:pPr>
        <w:pStyle w:val="a3"/>
        <w:spacing w:before="107"/>
        <w:ind w:left="124"/>
      </w:pPr>
      <w:r>
        <w:rPr>
          <w:color w:val="333333"/>
          <w:w w:val="115"/>
        </w:rPr>
        <w:lastRenderedPageBreak/>
        <w:t>behavior:</w:t>
      </w:r>
    </w:p>
    <w:p w14:paraId="63391859" w14:textId="77777777" w:rsidR="00A720EB" w:rsidRDefault="00A720EB">
      <w:pPr>
        <w:pStyle w:val="a3"/>
        <w:spacing w:before="5"/>
        <w:rPr>
          <w:sz w:val="25"/>
        </w:rPr>
      </w:pPr>
    </w:p>
    <w:p w14:paraId="2067FD9A" w14:textId="77777777" w:rsidR="00A720EB" w:rsidRDefault="0030286B">
      <w:pPr>
        <w:pStyle w:val="a6"/>
        <w:numPr>
          <w:ilvl w:val="3"/>
          <w:numId w:val="13"/>
        </w:numPr>
        <w:tabs>
          <w:tab w:val="left" w:pos="485"/>
        </w:tabs>
        <w:rPr>
          <w:sz w:val="21"/>
        </w:rPr>
      </w:pPr>
      <w:r>
        <w:rPr>
          <w:rFonts w:ascii="MS Gothic" w:hAnsi="MS Gothic"/>
          <w:color w:val="B02045"/>
          <w:w w:val="110"/>
          <w:sz w:val="21"/>
        </w:rPr>
        <w:t>spring.config.name</w:t>
      </w:r>
      <w:r>
        <w:rPr>
          <w:rFonts w:ascii="MS Gothic" w:hAnsi="MS Gothic"/>
          <w:color w:val="B02045"/>
          <w:spacing w:val="-84"/>
          <w:w w:val="110"/>
          <w:sz w:val="21"/>
        </w:rPr>
        <w:t xml:space="preserve"> </w:t>
      </w:r>
      <w:r>
        <w:rPr>
          <w:color w:val="333333"/>
          <w:w w:val="110"/>
          <w:sz w:val="21"/>
        </w:rPr>
        <w:t>(</w:t>
      </w:r>
      <w:r>
        <w:rPr>
          <w:rFonts w:ascii="MS Gothic" w:hAnsi="MS Gothic"/>
          <w:color w:val="B02045"/>
          <w:w w:val="110"/>
          <w:sz w:val="21"/>
        </w:rPr>
        <w:t>SPRING_CONFIG_NAME</w:t>
      </w:r>
      <w:r>
        <w:rPr>
          <w:color w:val="333333"/>
          <w:w w:val="110"/>
          <w:sz w:val="21"/>
        </w:rPr>
        <w:t>):</w:t>
      </w:r>
      <w:r>
        <w:rPr>
          <w:color w:val="333333"/>
          <w:spacing w:val="-20"/>
          <w:w w:val="110"/>
          <w:sz w:val="21"/>
        </w:rPr>
        <w:t xml:space="preserve"> </w:t>
      </w:r>
      <w:r>
        <w:rPr>
          <w:color w:val="333333"/>
          <w:w w:val="110"/>
          <w:sz w:val="21"/>
        </w:rPr>
        <w:t>Defaults</w:t>
      </w:r>
      <w:r>
        <w:rPr>
          <w:color w:val="333333"/>
          <w:spacing w:val="-19"/>
          <w:w w:val="110"/>
          <w:sz w:val="21"/>
        </w:rPr>
        <w:t xml:space="preserve"> </w:t>
      </w:r>
      <w:r>
        <w:rPr>
          <w:color w:val="333333"/>
          <w:w w:val="110"/>
          <w:sz w:val="21"/>
        </w:rPr>
        <w:t>to</w:t>
      </w:r>
      <w:r>
        <w:rPr>
          <w:color w:val="333333"/>
          <w:spacing w:val="-20"/>
          <w:w w:val="110"/>
          <w:sz w:val="21"/>
        </w:rPr>
        <w:t xml:space="preserve"> </w:t>
      </w:r>
      <w:r>
        <w:rPr>
          <w:rFonts w:ascii="MS Gothic" w:hAnsi="MS Gothic"/>
          <w:color w:val="B02045"/>
          <w:w w:val="110"/>
          <w:sz w:val="21"/>
        </w:rPr>
        <w:t>application</w:t>
      </w:r>
      <w:r>
        <w:rPr>
          <w:rFonts w:ascii="MS Gothic" w:hAnsi="MS Gothic"/>
          <w:color w:val="B02045"/>
          <w:spacing w:val="-84"/>
          <w:w w:val="110"/>
          <w:sz w:val="21"/>
        </w:rPr>
        <w:t xml:space="preserve"> </w:t>
      </w:r>
      <w:r>
        <w:rPr>
          <w:color w:val="333333"/>
          <w:w w:val="110"/>
          <w:sz w:val="21"/>
        </w:rPr>
        <w:t>as</w:t>
      </w:r>
      <w:r>
        <w:rPr>
          <w:color w:val="333333"/>
          <w:spacing w:val="-19"/>
          <w:w w:val="110"/>
          <w:sz w:val="21"/>
        </w:rPr>
        <w:t xml:space="preserve"> </w:t>
      </w:r>
      <w:r>
        <w:rPr>
          <w:color w:val="333333"/>
          <w:w w:val="110"/>
          <w:sz w:val="21"/>
        </w:rPr>
        <w:t>the</w:t>
      </w:r>
      <w:r>
        <w:rPr>
          <w:color w:val="333333"/>
          <w:spacing w:val="-20"/>
          <w:w w:val="110"/>
          <w:sz w:val="21"/>
        </w:rPr>
        <w:t xml:space="preserve"> </w:t>
      </w:r>
      <w:r>
        <w:rPr>
          <w:color w:val="333333"/>
          <w:w w:val="110"/>
          <w:sz w:val="21"/>
        </w:rPr>
        <w:t>root</w:t>
      </w:r>
      <w:r>
        <w:rPr>
          <w:color w:val="333333"/>
          <w:spacing w:val="-19"/>
          <w:w w:val="110"/>
          <w:sz w:val="21"/>
        </w:rPr>
        <w:t xml:space="preserve"> </w:t>
      </w:r>
      <w:r>
        <w:rPr>
          <w:color w:val="333333"/>
          <w:w w:val="110"/>
          <w:sz w:val="21"/>
        </w:rPr>
        <w:t>of</w:t>
      </w:r>
      <w:r>
        <w:rPr>
          <w:color w:val="333333"/>
          <w:spacing w:val="-19"/>
          <w:w w:val="110"/>
          <w:sz w:val="21"/>
        </w:rPr>
        <w:t xml:space="preserve"> </w:t>
      </w:r>
      <w:r>
        <w:rPr>
          <w:color w:val="333333"/>
          <w:w w:val="110"/>
          <w:sz w:val="21"/>
        </w:rPr>
        <w:t>the</w:t>
      </w:r>
      <w:r>
        <w:rPr>
          <w:color w:val="333333"/>
          <w:spacing w:val="-19"/>
          <w:w w:val="110"/>
          <w:sz w:val="21"/>
        </w:rPr>
        <w:t xml:space="preserve"> </w:t>
      </w:r>
      <w:r>
        <w:rPr>
          <w:color w:val="333333"/>
          <w:w w:val="110"/>
          <w:sz w:val="21"/>
        </w:rPr>
        <w:t>file</w:t>
      </w:r>
      <w:r>
        <w:rPr>
          <w:color w:val="333333"/>
          <w:spacing w:val="-19"/>
          <w:w w:val="110"/>
          <w:sz w:val="21"/>
        </w:rPr>
        <w:t xml:space="preserve"> </w:t>
      </w:r>
      <w:r>
        <w:rPr>
          <w:color w:val="333333"/>
          <w:w w:val="110"/>
          <w:sz w:val="21"/>
        </w:rPr>
        <w:t>name.</w:t>
      </w:r>
    </w:p>
    <w:p w14:paraId="5078CCAB" w14:textId="77777777" w:rsidR="00A720EB" w:rsidRDefault="0030286B">
      <w:pPr>
        <w:pStyle w:val="a6"/>
        <w:numPr>
          <w:ilvl w:val="3"/>
          <w:numId w:val="13"/>
        </w:numPr>
        <w:tabs>
          <w:tab w:val="left" w:pos="485"/>
        </w:tabs>
        <w:spacing w:before="167" w:line="285" w:lineRule="auto"/>
        <w:ind w:right="123"/>
        <w:jc w:val="both"/>
        <w:rPr>
          <w:sz w:val="21"/>
        </w:rPr>
      </w:pPr>
      <w:r>
        <w:rPr>
          <w:rFonts w:ascii="MS Gothic" w:hAnsi="MS Gothic"/>
          <w:color w:val="B02045"/>
          <w:w w:val="110"/>
          <w:sz w:val="21"/>
        </w:rPr>
        <w:t>spring.</w:t>
      </w:r>
      <w:proofErr w:type="gramStart"/>
      <w:r>
        <w:rPr>
          <w:rFonts w:ascii="MS Gothic" w:hAnsi="MS Gothic"/>
          <w:color w:val="B02045"/>
          <w:w w:val="110"/>
          <w:sz w:val="21"/>
        </w:rPr>
        <w:t>config.location</w:t>
      </w:r>
      <w:proofErr w:type="gramEnd"/>
      <w:r>
        <w:rPr>
          <w:rFonts w:ascii="MS Gothic" w:hAnsi="MS Gothic"/>
          <w:color w:val="B02045"/>
          <w:spacing w:val="-85"/>
          <w:w w:val="110"/>
          <w:sz w:val="21"/>
        </w:rPr>
        <w:t xml:space="preserve"> </w:t>
      </w:r>
      <w:r>
        <w:rPr>
          <w:color w:val="333333"/>
          <w:w w:val="110"/>
          <w:sz w:val="21"/>
        </w:rPr>
        <w:t>(</w:t>
      </w:r>
      <w:r>
        <w:rPr>
          <w:rFonts w:ascii="MS Gothic" w:hAnsi="MS Gothic"/>
          <w:color w:val="B02045"/>
          <w:w w:val="110"/>
          <w:sz w:val="21"/>
        </w:rPr>
        <w:t>SPRING_CONFIG_LOCATION</w:t>
      </w:r>
      <w:r>
        <w:rPr>
          <w:color w:val="333333"/>
          <w:w w:val="110"/>
          <w:sz w:val="21"/>
        </w:rPr>
        <w:t>):</w:t>
      </w:r>
      <w:r>
        <w:rPr>
          <w:color w:val="333333"/>
          <w:spacing w:val="-19"/>
          <w:w w:val="110"/>
          <w:sz w:val="21"/>
        </w:rPr>
        <w:t xml:space="preserve"> </w:t>
      </w:r>
      <w:r>
        <w:rPr>
          <w:color w:val="333333"/>
          <w:w w:val="110"/>
          <w:sz w:val="21"/>
        </w:rPr>
        <w:t>The</w:t>
      </w:r>
      <w:r>
        <w:rPr>
          <w:color w:val="333333"/>
          <w:spacing w:val="-20"/>
          <w:w w:val="110"/>
          <w:sz w:val="21"/>
        </w:rPr>
        <w:t xml:space="preserve"> </w:t>
      </w:r>
      <w:r>
        <w:rPr>
          <w:color w:val="333333"/>
          <w:w w:val="110"/>
          <w:sz w:val="21"/>
        </w:rPr>
        <w:t>file</w:t>
      </w:r>
      <w:r>
        <w:rPr>
          <w:color w:val="333333"/>
          <w:spacing w:val="-19"/>
          <w:w w:val="110"/>
          <w:sz w:val="21"/>
        </w:rPr>
        <w:t xml:space="preserve"> </w:t>
      </w:r>
      <w:r>
        <w:rPr>
          <w:color w:val="333333"/>
          <w:w w:val="110"/>
          <w:sz w:val="21"/>
        </w:rPr>
        <w:t>to</w:t>
      </w:r>
      <w:r>
        <w:rPr>
          <w:color w:val="333333"/>
          <w:spacing w:val="-20"/>
          <w:w w:val="110"/>
          <w:sz w:val="21"/>
        </w:rPr>
        <w:t xml:space="preserve"> </w:t>
      </w:r>
      <w:r>
        <w:rPr>
          <w:color w:val="333333"/>
          <w:w w:val="110"/>
          <w:sz w:val="21"/>
        </w:rPr>
        <w:t>load</w:t>
      </w:r>
      <w:r>
        <w:rPr>
          <w:color w:val="333333"/>
          <w:spacing w:val="-20"/>
          <w:w w:val="110"/>
          <w:sz w:val="21"/>
        </w:rPr>
        <w:t xml:space="preserve"> </w:t>
      </w:r>
      <w:r>
        <w:rPr>
          <w:color w:val="333333"/>
          <w:w w:val="110"/>
          <w:sz w:val="21"/>
        </w:rPr>
        <w:t>(such</w:t>
      </w:r>
      <w:r>
        <w:rPr>
          <w:color w:val="333333"/>
          <w:spacing w:val="-19"/>
          <w:w w:val="110"/>
          <w:sz w:val="21"/>
        </w:rPr>
        <w:t xml:space="preserve"> </w:t>
      </w:r>
      <w:r>
        <w:rPr>
          <w:color w:val="333333"/>
          <w:w w:val="110"/>
          <w:sz w:val="21"/>
        </w:rPr>
        <w:t>as</w:t>
      </w:r>
      <w:r>
        <w:rPr>
          <w:color w:val="333333"/>
          <w:spacing w:val="-20"/>
          <w:w w:val="110"/>
          <w:sz w:val="21"/>
        </w:rPr>
        <w:t xml:space="preserve"> </w:t>
      </w:r>
      <w:r>
        <w:rPr>
          <w:color w:val="333333"/>
          <w:w w:val="110"/>
          <w:sz w:val="21"/>
        </w:rPr>
        <w:t>a</w:t>
      </w:r>
      <w:r>
        <w:rPr>
          <w:color w:val="333333"/>
          <w:spacing w:val="-20"/>
          <w:w w:val="110"/>
          <w:sz w:val="21"/>
        </w:rPr>
        <w:t xml:space="preserve"> </w:t>
      </w:r>
      <w:r>
        <w:rPr>
          <w:color w:val="333333"/>
          <w:w w:val="110"/>
          <w:sz w:val="21"/>
        </w:rPr>
        <w:t>classpath</w:t>
      </w:r>
      <w:r>
        <w:rPr>
          <w:color w:val="333333"/>
          <w:spacing w:val="-19"/>
          <w:w w:val="110"/>
          <w:sz w:val="21"/>
        </w:rPr>
        <w:t xml:space="preserve"> </w:t>
      </w:r>
      <w:r>
        <w:rPr>
          <w:color w:val="333333"/>
          <w:w w:val="110"/>
          <w:sz w:val="21"/>
        </w:rPr>
        <w:t xml:space="preserve">resource or a URL). A separate </w:t>
      </w:r>
      <w:r>
        <w:rPr>
          <w:rFonts w:ascii="MS Gothic" w:hAnsi="MS Gothic"/>
          <w:color w:val="B02045"/>
          <w:w w:val="110"/>
          <w:sz w:val="21"/>
        </w:rPr>
        <w:t xml:space="preserve">Environment </w:t>
      </w:r>
      <w:r>
        <w:rPr>
          <w:color w:val="333333"/>
          <w:w w:val="110"/>
          <w:sz w:val="21"/>
        </w:rPr>
        <w:t xml:space="preserve">property source is set up for this document and it can be overridden </w:t>
      </w:r>
      <w:r>
        <w:rPr>
          <w:color w:val="333333"/>
          <w:spacing w:val="-3"/>
          <w:w w:val="110"/>
          <w:sz w:val="21"/>
        </w:rPr>
        <w:t xml:space="preserve">by </w:t>
      </w:r>
      <w:r>
        <w:rPr>
          <w:color w:val="333333"/>
          <w:w w:val="110"/>
          <w:sz w:val="21"/>
        </w:rPr>
        <w:t>system properties, environment variables, or the command</w:t>
      </w:r>
      <w:r>
        <w:rPr>
          <w:color w:val="333333"/>
          <w:spacing w:val="47"/>
          <w:w w:val="110"/>
          <w:sz w:val="21"/>
        </w:rPr>
        <w:t xml:space="preserve"> </w:t>
      </w:r>
      <w:r>
        <w:rPr>
          <w:color w:val="333333"/>
          <w:w w:val="110"/>
          <w:sz w:val="21"/>
        </w:rPr>
        <w:t>line.</w:t>
      </w:r>
    </w:p>
    <w:p w14:paraId="4550A026" w14:textId="77777777" w:rsidR="00A720EB" w:rsidRDefault="00A720EB">
      <w:pPr>
        <w:pStyle w:val="a3"/>
        <w:spacing w:before="7"/>
      </w:pPr>
    </w:p>
    <w:p w14:paraId="411CBE73" w14:textId="77777777" w:rsidR="00A720EB" w:rsidRDefault="0030286B">
      <w:pPr>
        <w:pStyle w:val="a3"/>
        <w:spacing w:line="300" w:lineRule="auto"/>
        <w:ind w:left="124" w:right="122"/>
        <w:jc w:val="both"/>
      </w:pPr>
      <w:r>
        <w:rPr>
          <w:color w:val="333333"/>
          <w:w w:val="110"/>
        </w:rPr>
        <w:t xml:space="preserve">No matter what you set in the environment, Spring Boot always loads </w:t>
      </w:r>
      <w:proofErr w:type="gramStart"/>
      <w:r>
        <w:rPr>
          <w:rFonts w:ascii="MS Gothic" w:hAnsi="MS Gothic"/>
          <w:color w:val="B02045"/>
          <w:w w:val="110"/>
        </w:rPr>
        <w:t>application.properties</w:t>
      </w:r>
      <w:proofErr w:type="gramEnd"/>
      <w:r>
        <w:rPr>
          <w:rFonts w:ascii="MS Gothic" w:hAnsi="MS Gothic"/>
          <w:color w:val="B02045"/>
          <w:w w:val="110"/>
        </w:rPr>
        <w:t xml:space="preserve"> </w:t>
      </w:r>
      <w:r>
        <w:rPr>
          <w:color w:val="333333"/>
          <w:w w:val="110"/>
        </w:rPr>
        <w:t xml:space="preserve">as described above. </w:t>
      </w:r>
      <w:r>
        <w:rPr>
          <w:color w:val="333333"/>
          <w:spacing w:val="-3"/>
          <w:w w:val="110"/>
        </w:rPr>
        <w:t xml:space="preserve">By </w:t>
      </w:r>
      <w:r>
        <w:rPr>
          <w:color w:val="333333"/>
          <w:w w:val="110"/>
        </w:rPr>
        <w:t xml:space="preserve">default, if </w:t>
      </w:r>
      <w:proofErr w:type="gramStart"/>
      <w:r>
        <w:rPr>
          <w:color w:val="333333"/>
          <w:spacing w:val="-5"/>
          <w:w w:val="110"/>
        </w:rPr>
        <w:t xml:space="preserve">YAML  </w:t>
      </w:r>
      <w:r>
        <w:rPr>
          <w:color w:val="333333"/>
          <w:w w:val="110"/>
        </w:rPr>
        <w:t>is</w:t>
      </w:r>
      <w:proofErr w:type="gramEnd"/>
      <w:r>
        <w:rPr>
          <w:color w:val="333333"/>
          <w:w w:val="110"/>
        </w:rPr>
        <w:t xml:space="preserve"> used, then files with the ‘.yml’ extension are also added to   the</w:t>
      </w:r>
      <w:r>
        <w:rPr>
          <w:color w:val="333333"/>
          <w:spacing w:val="3"/>
          <w:w w:val="110"/>
        </w:rPr>
        <w:t xml:space="preserve"> </w:t>
      </w:r>
      <w:r>
        <w:rPr>
          <w:color w:val="333333"/>
          <w:w w:val="110"/>
        </w:rPr>
        <w:t>list.</w:t>
      </w:r>
    </w:p>
    <w:p w14:paraId="06C32A28" w14:textId="77777777" w:rsidR="00A720EB" w:rsidRDefault="0030286B">
      <w:pPr>
        <w:pStyle w:val="a3"/>
        <w:spacing w:before="235" w:line="280" w:lineRule="auto"/>
        <w:ind w:left="124" w:right="123"/>
        <w:jc w:val="both"/>
      </w:pPr>
      <w:r>
        <w:rPr>
          <w:color w:val="333333"/>
          <w:w w:val="110"/>
        </w:rPr>
        <w:t xml:space="preserve">Spring Boot logs the configuration files that are loaded at the </w:t>
      </w:r>
      <w:r>
        <w:rPr>
          <w:rFonts w:ascii="MS Gothic"/>
          <w:color w:val="B02045"/>
          <w:w w:val="110"/>
        </w:rPr>
        <w:t xml:space="preserve">DEBUG </w:t>
      </w:r>
      <w:r>
        <w:rPr>
          <w:color w:val="333333"/>
          <w:w w:val="110"/>
        </w:rPr>
        <w:t xml:space="preserve">level and the candidates it has not found at </w:t>
      </w:r>
      <w:r>
        <w:rPr>
          <w:rFonts w:ascii="MS Gothic"/>
          <w:color w:val="B02045"/>
          <w:w w:val="110"/>
        </w:rPr>
        <w:t>TRACE</w:t>
      </w:r>
      <w:r>
        <w:rPr>
          <w:rFonts w:ascii="MS Gothic"/>
          <w:color w:val="B02045"/>
          <w:spacing w:val="-53"/>
          <w:w w:val="110"/>
        </w:rPr>
        <w:t xml:space="preserve"> </w:t>
      </w:r>
      <w:r>
        <w:rPr>
          <w:color w:val="333333"/>
          <w:w w:val="110"/>
        </w:rPr>
        <w:t>level.</w:t>
      </w:r>
    </w:p>
    <w:p w14:paraId="0834F4FC" w14:textId="77777777" w:rsidR="00A720EB" w:rsidRDefault="0030286B">
      <w:pPr>
        <w:pStyle w:val="a3"/>
        <w:spacing w:before="242"/>
        <w:ind w:left="124"/>
        <w:jc w:val="both"/>
      </w:pPr>
      <w:r>
        <w:rPr>
          <w:color w:val="333333"/>
          <w:w w:val="110"/>
        </w:rPr>
        <w:t xml:space="preserve">See </w:t>
      </w:r>
      <w:hyperlink r:id="rId594">
        <w:r>
          <w:rPr>
            <w:rFonts w:ascii="MS Gothic"/>
            <w:color w:val="B02045"/>
            <w:w w:val="110"/>
          </w:rPr>
          <w:t>ConfigFileApplicationListener</w:t>
        </w:r>
        <w:r>
          <w:rPr>
            <w:rFonts w:ascii="MS Gothic"/>
            <w:color w:val="B02045"/>
            <w:spacing w:val="-65"/>
            <w:w w:val="110"/>
          </w:rPr>
          <w:t xml:space="preserve"> </w:t>
        </w:r>
      </w:hyperlink>
      <w:r>
        <w:rPr>
          <w:color w:val="333333"/>
          <w:w w:val="110"/>
        </w:rPr>
        <w:t>for more detail.</w:t>
      </w:r>
    </w:p>
    <w:p w14:paraId="72A720B7" w14:textId="77777777" w:rsidR="00A720EB" w:rsidRDefault="00A720EB">
      <w:pPr>
        <w:pStyle w:val="a3"/>
        <w:spacing w:before="6"/>
        <w:rPr>
          <w:sz w:val="30"/>
        </w:rPr>
      </w:pPr>
    </w:p>
    <w:p w14:paraId="109EFD07" w14:textId="77777777" w:rsidR="00A720EB" w:rsidRDefault="0030286B">
      <w:pPr>
        <w:pStyle w:val="3"/>
        <w:numPr>
          <w:ilvl w:val="2"/>
          <w:numId w:val="13"/>
        </w:numPr>
        <w:tabs>
          <w:tab w:val="left" w:pos="858"/>
        </w:tabs>
        <w:ind w:hanging="734"/>
      </w:pPr>
      <w:bookmarkStart w:id="800" w:name="9.2.4._Use_‘Short’_Command_Line_Argument"/>
      <w:bookmarkStart w:id="801" w:name="_Toc54423925"/>
      <w:bookmarkEnd w:id="800"/>
      <w:r>
        <w:rPr>
          <w:color w:val="333333"/>
          <w:w w:val="110"/>
        </w:rPr>
        <w:t>Use ‘Short’ Command Line</w:t>
      </w:r>
      <w:r>
        <w:rPr>
          <w:color w:val="333333"/>
          <w:spacing w:val="-26"/>
          <w:w w:val="110"/>
        </w:rPr>
        <w:t xml:space="preserve"> </w:t>
      </w:r>
      <w:r>
        <w:rPr>
          <w:color w:val="333333"/>
          <w:w w:val="110"/>
        </w:rPr>
        <w:t>Arguments</w:t>
      </w:r>
      <w:bookmarkEnd w:id="801"/>
    </w:p>
    <w:p w14:paraId="3E5DA26D" w14:textId="77777777" w:rsidR="00A720EB" w:rsidRDefault="0030286B">
      <w:pPr>
        <w:pStyle w:val="a3"/>
        <w:spacing w:before="244" w:line="295" w:lineRule="auto"/>
        <w:ind w:left="124" w:right="123"/>
        <w:jc w:val="both"/>
      </w:pPr>
      <w:r>
        <w:rPr>
          <w:color w:val="333333"/>
          <w:w w:val="110"/>
        </w:rPr>
        <w:t>Some</w:t>
      </w:r>
      <w:r>
        <w:rPr>
          <w:color w:val="333333"/>
          <w:spacing w:val="-17"/>
          <w:w w:val="110"/>
        </w:rPr>
        <w:t xml:space="preserve"> </w:t>
      </w:r>
      <w:r>
        <w:rPr>
          <w:color w:val="333333"/>
          <w:w w:val="110"/>
        </w:rPr>
        <w:t>people</w:t>
      </w:r>
      <w:r>
        <w:rPr>
          <w:color w:val="333333"/>
          <w:spacing w:val="-16"/>
          <w:w w:val="110"/>
        </w:rPr>
        <w:t xml:space="preserve"> </w:t>
      </w:r>
      <w:r>
        <w:rPr>
          <w:color w:val="333333"/>
          <w:w w:val="110"/>
        </w:rPr>
        <w:t>like</w:t>
      </w:r>
      <w:r>
        <w:rPr>
          <w:color w:val="333333"/>
          <w:spacing w:val="-16"/>
          <w:w w:val="110"/>
        </w:rPr>
        <w:t xml:space="preserve"> </w:t>
      </w:r>
      <w:r>
        <w:rPr>
          <w:color w:val="333333"/>
          <w:w w:val="110"/>
        </w:rPr>
        <w:t>to</w:t>
      </w:r>
      <w:r>
        <w:rPr>
          <w:color w:val="333333"/>
          <w:spacing w:val="-16"/>
          <w:w w:val="110"/>
        </w:rPr>
        <w:t xml:space="preserve"> </w:t>
      </w:r>
      <w:r>
        <w:rPr>
          <w:color w:val="333333"/>
          <w:w w:val="110"/>
        </w:rPr>
        <w:t>use</w:t>
      </w:r>
      <w:r>
        <w:rPr>
          <w:color w:val="333333"/>
          <w:spacing w:val="-17"/>
          <w:w w:val="110"/>
        </w:rPr>
        <w:t xml:space="preserve"> </w:t>
      </w:r>
      <w:r>
        <w:rPr>
          <w:color w:val="333333"/>
          <w:w w:val="110"/>
        </w:rPr>
        <w:t>(for</w:t>
      </w:r>
      <w:r>
        <w:rPr>
          <w:color w:val="333333"/>
          <w:spacing w:val="-16"/>
          <w:w w:val="110"/>
        </w:rPr>
        <w:t xml:space="preserve"> </w:t>
      </w:r>
      <w:r>
        <w:rPr>
          <w:color w:val="333333"/>
          <w:w w:val="110"/>
        </w:rPr>
        <w:t>example)</w:t>
      </w:r>
      <w:r>
        <w:rPr>
          <w:color w:val="333333"/>
          <w:spacing w:val="-14"/>
          <w:w w:val="110"/>
        </w:rPr>
        <w:t xml:space="preserve"> </w:t>
      </w:r>
      <w:r>
        <w:rPr>
          <w:rFonts w:ascii="MS Gothic"/>
          <w:color w:val="B02045"/>
          <w:w w:val="110"/>
        </w:rPr>
        <w:t>--port=9000</w:t>
      </w:r>
      <w:r>
        <w:rPr>
          <w:rFonts w:ascii="MS Gothic"/>
          <w:color w:val="B02045"/>
          <w:spacing w:val="-81"/>
          <w:w w:val="110"/>
        </w:rPr>
        <w:t xml:space="preserve"> </w:t>
      </w:r>
      <w:r>
        <w:rPr>
          <w:color w:val="333333"/>
          <w:w w:val="110"/>
        </w:rPr>
        <w:t>instead</w:t>
      </w:r>
      <w:r>
        <w:rPr>
          <w:color w:val="333333"/>
          <w:spacing w:val="-16"/>
          <w:w w:val="110"/>
        </w:rPr>
        <w:t xml:space="preserve"> </w:t>
      </w:r>
      <w:r>
        <w:rPr>
          <w:color w:val="333333"/>
          <w:w w:val="110"/>
        </w:rPr>
        <w:t>of</w:t>
      </w:r>
      <w:r>
        <w:rPr>
          <w:color w:val="333333"/>
          <w:spacing w:val="-15"/>
          <w:w w:val="110"/>
        </w:rPr>
        <w:t xml:space="preserve"> </w:t>
      </w:r>
      <w:r>
        <w:rPr>
          <w:rFonts w:ascii="MS Gothic"/>
          <w:color w:val="B02045"/>
          <w:w w:val="110"/>
        </w:rPr>
        <w:t>--</w:t>
      </w:r>
      <w:proofErr w:type="gramStart"/>
      <w:r>
        <w:rPr>
          <w:rFonts w:ascii="MS Gothic"/>
          <w:color w:val="B02045"/>
          <w:w w:val="110"/>
        </w:rPr>
        <w:t>server.port</w:t>
      </w:r>
      <w:proofErr w:type="gramEnd"/>
      <w:r>
        <w:rPr>
          <w:rFonts w:ascii="MS Gothic"/>
          <w:color w:val="B02045"/>
          <w:w w:val="110"/>
        </w:rPr>
        <w:t>=9000</w:t>
      </w:r>
      <w:r>
        <w:rPr>
          <w:rFonts w:ascii="MS Gothic"/>
          <w:color w:val="B02045"/>
          <w:spacing w:val="-82"/>
          <w:w w:val="110"/>
        </w:rPr>
        <w:t xml:space="preserve"> </w:t>
      </w:r>
      <w:r>
        <w:rPr>
          <w:color w:val="333333"/>
          <w:w w:val="110"/>
        </w:rPr>
        <w:t>to</w:t>
      </w:r>
      <w:r>
        <w:rPr>
          <w:color w:val="333333"/>
          <w:spacing w:val="-16"/>
          <w:w w:val="110"/>
        </w:rPr>
        <w:t xml:space="preserve"> </w:t>
      </w:r>
      <w:r>
        <w:rPr>
          <w:color w:val="333333"/>
          <w:w w:val="110"/>
        </w:rPr>
        <w:t>set</w:t>
      </w:r>
      <w:r>
        <w:rPr>
          <w:color w:val="333333"/>
          <w:spacing w:val="-16"/>
          <w:w w:val="110"/>
        </w:rPr>
        <w:t xml:space="preserve"> </w:t>
      </w:r>
      <w:r>
        <w:rPr>
          <w:color w:val="333333"/>
          <w:w w:val="110"/>
        </w:rPr>
        <w:t xml:space="preserve">configuration properties on the command line. </w:t>
      </w:r>
      <w:r>
        <w:rPr>
          <w:color w:val="333333"/>
          <w:spacing w:val="-6"/>
          <w:w w:val="110"/>
        </w:rPr>
        <w:t xml:space="preserve">You </w:t>
      </w:r>
      <w:r>
        <w:rPr>
          <w:color w:val="333333"/>
          <w:w w:val="110"/>
        </w:rPr>
        <w:t xml:space="preserve">can enable this behavior </w:t>
      </w:r>
      <w:r>
        <w:rPr>
          <w:color w:val="333333"/>
          <w:spacing w:val="-3"/>
          <w:w w:val="110"/>
        </w:rPr>
        <w:t xml:space="preserve">by </w:t>
      </w:r>
      <w:r>
        <w:rPr>
          <w:color w:val="333333"/>
          <w:w w:val="110"/>
        </w:rPr>
        <w:t xml:space="preserve">using placeholders in </w:t>
      </w:r>
      <w:proofErr w:type="gramStart"/>
      <w:r>
        <w:rPr>
          <w:rFonts w:ascii="MS Gothic"/>
          <w:color w:val="B02045"/>
          <w:w w:val="110"/>
        </w:rPr>
        <w:t>application.properties</w:t>
      </w:r>
      <w:proofErr w:type="gramEnd"/>
      <w:r>
        <w:rPr>
          <w:color w:val="333333"/>
          <w:w w:val="110"/>
        </w:rPr>
        <w:t>, as shown in the following</w:t>
      </w:r>
      <w:r>
        <w:rPr>
          <w:color w:val="333333"/>
          <w:spacing w:val="4"/>
          <w:w w:val="110"/>
        </w:rPr>
        <w:t xml:space="preserve"> </w:t>
      </w:r>
      <w:r>
        <w:rPr>
          <w:color w:val="333333"/>
          <w:w w:val="110"/>
        </w:rPr>
        <w:t>example:</w:t>
      </w:r>
    </w:p>
    <w:p w14:paraId="292D01DF" w14:textId="77777777" w:rsidR="00A720EB" w:rsidRDefault="00E10349">
      <w:pPr>
        <w:pStyle w:val="a3"/>
        <w:spacing w:before="4"/>
        <w:rPr>
          <w:sz w:val="12"/>
        </w:rPr>
      </w:pPr>
      <w:r>
        <w:pict w14:anchorId="6C6E2D54">
          <v:group id="_x0000_s1616" style="position:absolute;margin-left:47.85pt;margin-top:9.25pt;width:499.55pt;height:37.5pt;z-index:-15117312;mso-wrap-distance-left:0;mso-wrap-distance-right:0;mso-position-horizontal-relative:page" coordorigin="957,185" coordsize="9991,750">
            <v:shape id="_x0000_s1619" style="position:absolute;left:964;top:192;width:9976;height:735" coordorigin="965,193" coordsize="9976,735" path="m10861,193r-9816,l1014,199r-26,17l971,241r-6,32l965,847r6,32l988,904r26,17l1045,927r9816,l10892,921r25,-17l10935,879r6,-32l10941,273r-6,-32l10917,216r-25,-17l10861,193xe" fillcolor="#f5f5f5" stroked="f">
              <v:path arrowok="t"/>
            </v:shape>
            <v:shape id="_x0000_s1618" style="position:absolute;left:964;top:192;width:9976;height:735" coordorigin="965,193" coordsize="9976,735" path="m1045,193r9816,l10892,199r25,17l10935,241r6,32l10941,847r-6,32l10917,904r-25,17l10861,927r-9816,l1014,921,988,904,971,879r-6,-32l965,273r6,-32l988,216r26,-17l1045,193xe" filled="f" strokecolor="#ccc">
              <v:path arrowok="t"/>
            </v:shape>
            <v:shape id="_x0000_s1617" type="#_x0000_t202" style="position:absolute;left:984;top:208;width:9938;height:704" filled="f" stroked="f">
              <v:textbox inset="0,0,0,0">
                <w:txbxContent>
                  <w:p w14:paraId="0545932A" w14:textId="77777777" w:rsidR="00711A16" w:rsidRDefault="00711A16">
                    <w:pPr>
                      <w:spacing w:before="221"/>
                      <w:ind w:left="200"/>
                      <w:rPr>
                        <w:rFonts w:ascii="MS Gothic"/>
                      </w:rPr>
                    </w:pPr>
                    <w:proofErr w:type="gramStart"/>
                    <w:r>
                      <w:rPr>
                        <w:rFonts w:ascii="MS Gothic"/>
                        <w:color w:val="333333"/>
                      </w:rPr>
                      <w:t>server.port</w:t>
                    </w:r>
                    <w:proofErr w:type="gramEnd"/>
                    <w:r>
                      <w:rPr>
                        <w:rFonts w:ascii="MS Gothic"/>
                        <w:color w:val="333333"/>
                      </w:rPr>
                      <w:t>=${port:8080}</w:t>
                    </w:r>
                  </w:p>
                </w:txbxContent>
              </v:textbox>
            </v:shape>
            <w10:wrap type="topAndBottom" anchorx="page"/>
          </v:group>
        </w:pict>
      </w:r>
    </w:p>
    <w:p w14:paraId="3EAD8C6C" w14:textId="77777777" w:rsidR="00A720EB" w:rsidRDefault="00A720EB">
      <w:pPr>
        <w:pStyle w:val="a3"/>
        <w:spacing w:before="8"/>
        <w:rPr>
          <w:sz w:val="16"/>
        </w:rPr>
      </w:pPr>
    </w:p>
    <w:p w14:paraId="22F0DEDB" w14:textId="77777777" w:rsidR="00A720EB" w:rsidRDefault="00E10349">
      <w:pPr>
        <w:pStyle w:val="a3"/>
        <w:spacing w:before="116" w:line="283" w:lineRule="auto"/>
        <w:ind w:left="1564" w:right="362"/>
        <w:jc w:val="both"/>
      </w:pPr>
      <w:r>
        <w:pict w14:anchorId="59CDF0D7">
          <v:line id="_x0000_s1615" style="position:absolute;left:0;text-align:left;z-index:16340480;mso-position-horizontal-relative:page" from="108.25pt,.35pt" to="108.25pt,87.25pt" strokecolor="#ededed" strokeweight=".5pt">
            <w10:wrap anchorx="page"/>
          </v:line>
        </w:pict>
      </w:r>
      <w:r w:rsidR="0030286B">
        <w:rPr>
          <w:noProof/>
        </w:rPr>
        <w:drawing>
          <wp:anchor distT="0" distB="0" distL="0" distR="0" simplePos="0" relativeHeight="16340992" behindDoc="0" locked="0" layoutInCell="1" allowOverlap="1" wp14:anchorId="4C9D55BA" wp14:editId="4AEE9072">
            <wp:simplePos x="0" y="0"/>
            <wp:positionH relativeFrom="page">
              <wp:posOffset>888949</wp:posOffset>
            </wp:positionH>
            <wp:positionV relativeFrom="paragraph">
              <wp:posOffset>403682</wp:posOffset>
            </wp:positionV>
            <wp:extent cx="209550" cy="304800"/>
            <wp:effectExtent l="0" t="0" r="0" b="0"/>
            <wp:wrapNone/>
            <wp:docPr id="7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If</w:t>
      </w:r>
      <w:r w:rsidR="0030286B">
        <w:rPr>
          <w:color w:val="333333"/>
          <w:spacing w:val="-4"/>
          <w:w w:val="110"/>
        </w:rPr>
        <w:t xml:space="preserve"> </w:t>
      </w:r>
      <w:r w:rsidR="0030286B">
        <w:rPr>
          <w:color w:val="333333"/>
          <w:w w:val="110"/>
        </w:rPr>
        <w:t>you</w:t>
      </w:r>
      <w:r w:rsidR="0030286B">
        <w:rPr>
          <w:color w:val="333333"/>
          <w:spacing w:val="-4"/>
          <w:w w:val="110"/>
        </w:rPr>
        <w:t xml:space="preserve"> </w:t>
      </w:r>
      <w:r w:rsidR="0030286B">
        <w:rPr>
          <w:color w:val="333333"/>
          <w:w w:val="110"/>
        </w:rPr>
        <w:t>inherit</w:t>
      </w:r>
      <w:r w:rsidR="0030286B">
        <w:rPr>
          <w:color w:val="333333"/>
          <w:spacing w:val="-4"/>
          <w:w w:val="110"/>
        </w:rPr>
        <w:t xml:space="preserve"> </w:t>
      </w:r>
      <w:r w:rsidR="0030286B">
        <w:rPr>
          <w:color w:val="333333"/>
          <w:w w:val="110"/>
        </w:rPr>
        <w:t>from</w:t>
      </w:r>
      <w:r w:rsidR="0030286B">
        <w:rPr>
          <w:color w:val="333333"/>
          <w:spacing w:val="-3"/>
          <w:w w:val="110"/>
        </w:rPr>
        <w:t xml:space="preserve"> </w:t>
      </w:r>
      <w:r w:rsidR="0030286B">
        <w:rPr>
          <w:color w:val="333333"/>
          <w:w w:val="110"/>
        </w:rPr>
        <w:t>the</w:t>
      </w:r>
      <w:r w:rsidR="0030286B">
        <w:rPr>
          <w:color w:val="333333"/>
          <w:spacing w:val="-2"/>
          <w:w w:val="110"/>
        </w:rPr>
        <w:t xml:space="preserve"> </w:t>
      </w:r>
      <w:r w:rsidR="0030286B">
        <w:rPr>
          <w:rFonts w:ascii="MS Gothic"/>
          <w:color w:val="B02045"/>
          <w:w w:val="110"/>
        </w:rPr>
        <w:t>spring-boot-starter-parent</w:t>
      </w:r>
      <w:r w:rsidR="0030286B">
        <w:rPr>
          <w:rFonts w:ascii="MS Gothic"/>
          <w:color w:val="B02045"/>
          <w:spacing w:val="-68"/>
          <w:w w:val="110"/>
        </w:rPr>
        <w:t xml:space="preserve"> </w:t>
      </w:r>
      <w:r w:rsidR="0030286B">
        <w:rPr>
          <w:color w:val="333333"/>
          <w:w w:val="110"/>
        </w:rPr>
        <w:t>POM,</w:t>
      </w:r>
      <w:r w:rsidR="0030286B">
        <w:rPr>
          <w:color w:val="333333"/>
          <w:spacing w:val="-4"/>
          <w:w w:val="110"/>
        </w:rPr>
        <w:t xml:space="preserve"> </w:t>
      </w:r>
      <w:r w:rsidR="0030286B">
        <w:rPr>
          <w:color w:val="333333"/>
          <w:w w:val="110"/>
        </w:rPr>
        <w:t>the</w:t>
      </w:r>
      <w:r w:rsidR="0030286B">
        <w:rPr>
          <w:color w:val="333333"/>
          <w:spacing w:val="-3"/>
          <w:w w:val="110"/>
        </w:rPr>
        <w:t xml:space="preserve"> </w:t>
      </w:r>
      <w:r w:rsidR="0030286B">
        <w:rPr>
          <w:color w:val="333333"/>
          <w:w w:val="110"/>
        </w:rPr>
        <w:t>default</w:t>
      </w:r>
      <w:r w:rsidR="0030286B">
        <w:rPr>
          <w:color w:val="333333"/>
          <w:spacing w:val="-4"/>
          <w:w w:val="110"/>
        </w:rPr>
        <w:t xml:space="preserve"> </w:t>
      </w:r>
      <w:r w:rsidR="0030286B">
        <w:rPr>
          <w:color w:val="333333"/>
          <w:w w:val="110"/>
        </w:rPr>
        <w:t>filter</w:t>
      </w:r>
      <w:r w:rsidR="0030286B">
        <w:rPr>
          <w:color w:val="333333"/>
          <w:spacing w:val="-3"/>
          <w:w w:val="110"/>
        </w:rPr>
        <w:t xml:space="preserve"> </w:t>
      </w:r>
      <w:r w:rsidR="0030286B">
        <w:rPr>
          <w:color w:val="333333"/>
          <w:w w:val="110"/>
        </w:rPr>
        <w:t>token</w:t>
      </w:r>
      <w:r w:rsidR="0030286B">
        <w:rPr>
          <w:color w:val="333333"/>
          <w:spacing w:val="-4"/>
          <w:w w:val="110"/>
        </w:rPr>
        <w:t xml:space="preserve"> </w:t>
      </w:r>
      <w:r w:rsidR="0030286B">
        <w:rPr>
          <w:color w:val="333333"/>
          <w:w w:val="110"/>
        </w:rPr>
        <w:t>of the</w:t>
      </w:r>
      <w:r w:rsidR="0030286B">
        <w:rPr>
          <w:color w:val="333333"/>
          <w:spacing w:val="-32"/>
          <w:w w:val="110"/>
        </w:rPr>
        <w:t xml:space="preserve"> </w:t>
      </w:r>
      <w:r w:rsidR="0030286B">
        <w:rPr>
          <w:rFonts w:ascii="MS Gothic"/>
          <w:color w:val="B02045"/>
          <w:w w:val="110"/>
        </w:rPr>
        <w:t>maven-resources-plugins</w:t>
      </w:r>
      <w:r w:rsidR="0030286B">
        <w:rPr>
          <w:rFonts w:ascii="MS Gothic"/>
          <w:color w:val="B02045"/>
          <w:spacing w:val="-96"/>
          <w:w w:val="110"/>
        </w:rPr>
        <w:t xml:space="preserve"> </w:t>
      </w:r>
      <w:r w:rsidR="0030286B">
        <w:rPr>
          <w:color w:val="333333"/>
          <w:w w:val="110"/>
        </w:rPr>
        <w:t>has</w:t>
      </w:r>
      <w:r w:rsidR="0030286B">
        <w:rPr>
          <w:color w:val="333333"/>
          <w:spacing w:val="-31"/>
          <w:w w:val="110"/>
        </w:rPr>
        <w:t xml:space="preserve"> </w:t>
      </w:r>
      <w:r w:rsidR="0030286B">
        <w:rPr>
          <w:color w:val="333333"/>
          <w:w w:val="110"/>
        </w:rPr>
        <w:t>been</w:t>
      </w:r>
      <w:r w:rsidR="0030286B">
        <w:rPr>
          <w:color w:val="333333"/>
          <w:spacing w:val="-31"/>
          <w:w w:val="110"/>
        </w:rPr>
        <w:t xml:space="preserve"> </w:t>
      </w:r>
      <w:r w:rsidR="0030286B">
        <w:rPr>
          <w:color w:val="333333"/>
          <w:w w:val="110"/>
        </w:rPr>
        <w:t>changed</w:t>
      </w:r>
      <w:r w:rsidR="0030286B">
        <w:rPr>
          <w:color w:val="333333"/>
          <w:spacing w:val="-32"/>
          <w:w w:val="110"/>
        </w:rPr>
        <w:t xml:space="preserve"> </w:t>
      </w:r>
      <w:r w:rsidR="0030286B">
        <w:rPr>
          <w:color w:val="333333"/>
          <w:w w:val="110"/>
        </w:rPr>
        <w:t>from</w:t>
      </w:r>
      <w:r w:rsidR="0030286B">
        <w:rPr>
          <w:color w:val="333333"/>
          <w:spacing w:val="-30"/>
          <w:w w:val="110"/>
        </w:rPr>
        <w:t xml:space="preserve"> </w:t>
      </w:r>
      <w:r w:rsidR="0030286B">
        <w:rPr>
          <w:rFonts w:ascii="MS Gothic"/>
          <w:color w:val="B02045"/>
          <w:w w:val="110"/>
        </w:rPr>
        <w:t>${*}</w:t>
      </w:r>
      <w:r w:rsidR="0030286B">
        <w:rPr>
          <w:rFonts w:ascii="MS Gothic"/>
          <w:color w:val="B02045"/>
          <w:spacing w:val="-96"/>
          <w:w w:val="110"/>
        </w:rPr>
        <w:t xml:space="preserve"> </w:t>
      </w:r>
      <w:r w:rsidR="0030286B">
        <w:rPr>
          <w:color w:val="333333"/>
          <w:w w:val="110"/>
        </w:rPr>
        <w:t>to</w:t>
      </w:r>
      <w:r w:rsidR="0030286B">
        <w:rPr>
          <w:color w:val="333333"/>
          <w:spacing w:val="-32"/>
          <w:w w:val="110"/>
        </w:rPr>
        <w:t xml:space="preserve"> </w:t>
      </w:r>
      <w:r w:rsidR="0030286B">
        <w:rPr>
          <w:rFonts w:ascii="MS Gothic"/>
          <w:color w:val="B02045"/>
          <w:w w:val="110"/>
        </w:rPr>
        <w:t>@</w:t>
      </w:r>
      <w:r w:rsidR="0030286B">
        <w:rPr>
          <w:rFonts w:ascii="MS Gothic"/>
          <w:color w:val="B02045"/>
          <w:spacing w:val="-95"/>
          <w:w w:val="110"/>
        </w:rPr>
        <w:t xml:space="preserve"> </w:t>
      </w:r>
      <w:r w:rsidR="0030286B">
        <w:rPr>
          <w:color w:val="333333"/>
          <w:w w:val="110"/>
        </w:rPr>
        <w:t>(that</w:t>
      </w:r>
      <w:r w:rsidR="0030286B">
        <w:rPr>
          <w:color w:val="333333"/>
          <w:spacing w:val="-32"/>
          <w:w w:val="110"/>
        </w:rPr>
        <w:t xml:space="preserve"> </w:t>
      </w:r>
      <w:r w:rsidR="0030286B">
        <w:rPr>
          <w:color w:val="333333"/>
          <w:w w:val="110"/>
        </w:rPr>
        <w:t>is,</w:t>
      </w:r>
      <w:r w:rsidR="0030286B">
        <w:rPr>
          <w:color w:val="333333"/>
          <w:spacing w:val="-31"/>
          <w:w w:val="110"/>
        </w:rPr>
        <w:t xml:space="preserve"> </w:t>
      </w:r>
      <w:r w:rsidR="0030286B">
        <w:rPr>
          <w:rFonts w:ascii="MS Gothic"/>
          <w:color w:val="B02045"/>
          <w:w w:val="110"/>
        </w:rPr>
        <w:t>@</w:t>
      </w:r>
      <w:proofErr w:type="gramStart"/>
      <w:r w:rsidR="0030286B">
        <w:rPr>
          <w:rFonts w:ascii="MS Gothic"/>
          <w:color w:val="B02045"/>
          <w:w w:val="110"/>
        </w:rPr>
        <w:t>maven.token</w:t>
      </w:r>
      <w:proofErr w:type="gramEnd"/>
      <w:r w:rsidR="0030286B">
        <w:rPr>
          <w:rFonts w:ascii="MS Gothic"/>
          <w:color w:val="B02045"/>
          <w:w w:val="110"/>
        </w:rPr>
        <w:t xml:space="preserve">@ </w:t>
      </w:r>
      <w:r w:rsidR="0030286B">
        <w:rPr>
          <w:color w:val="333333"/>
          <w:w w:val="110"/>
        </w:rPr>
        <w:t xml:space="preserve">instead of </w:t>
      </w:r>
      <w:r w:rsidR="0030286B">
        <w:rPr>
          <w:rFonts w:ascii="MS Gothic"/>
          <w:color w:val="B02045"/>
          <w:w w:val="110"/>
        </w:rPr>
        <w:t>${maven.token}</w:t>
      </w:r>
      <w:r w:rsidR="0030286B">
        <w:rPr>
          <w:color w:val="333333"/>
          <w:w w:val="110"/>
        </w:rPr>
        <w:t xml:space="preserve">) to prevent conflicts with Spring-style placeholders. If you have enabled Maven filtering for the </w:t>
      </w:r>
      <w:r w:rsidR="0030286B">
        <w:rPr>
          <w:rFonts w:ascii="MS Gothic"/>
          <w:color w:val="B02045"/>
          <w:w w:val="110"/>
        </w:rPr>
        <w:t>application.properties</w:t>
      </w:r>
      <w:r w:rsidR="0030286B">
        <w:rPr>
          <w:rFonts w:ascii="MS Gothic"/>
          <w:color w:val="B02045"/>
          <w:spacing w:val="-90"/>
          <w:w w:val="110"/>
        </w:rPr>
        <w:t xml:space="preserve"> </w:t>
      </w:r>
      <w:r w:rsidR="0030286B">
        <w:rPr>
          <w:color w:val="333333"/>
          <w:spacing w:val="-3"/>
          <w:w w:val="110"/>
        </w:rPr>
        <w:t xml:space="preserve">directly, </w:t>
      </w:r>
      <w:r w:rsidR="0030286B">
        <w:rPr>
          <w:color w:val="333333"/>
          <w:w w:val="110"/>
        </w:rPr>
        <w:t xml:space="preserve">you may want to also change the default filter token to use </w:t>
      </w:r>
      <w:hyperlink r:id="rId595" w:anchor="delimiters">
        <w:r w:rsidR="0030286B">
          <w:rPr>
            <w:color w:val="418BCA"/>
            <w:w w:val="110"/>
          </w:rPr>
          <w:t>other</w:t>
        </w:r>
        <w:r w:rsidR="0030286B">
          <w:rPr>
            <w:color w:val="418BCA"/>
            <w:spacing w:val="43"/>
            <w:w w:val="110"/>
          </w:rPr>
          <w:t xml:space="preserve"> </w:t>
        </w:r>
        <w:r w:rsidR="0030286B">
          <w:rPr>
            <w:color w:val="418BCA"/>
            <w:w w:val="110"/>
          </w:rPr>
          <w:t>delimiters</w:t>
        </w:r>
      </w:hyperlink>
      <w:r w:rsidR="0030286B">
        <w:rPr>
          <w:color w:val="333333"/>
          <w:w w:val="110"/>
        </w:rPr>
        <w:t>.</w:t>
      </w:r>
    </w:p>
    <w:p w14:paraId="0DA24650" w14:textId="77777777" w:rsidR="00A720EB" w:rsidRDefault="00A720EB">
      <w:pPr>
        <w:pStyle w:val="a3"/>
        <w:spacing w:before="10"/>
        <w:rPr>
          <w:sz w:val="25"/>
        </w:rPr>
      </w:pPr>
    </w:p>
    <w:p w14:paraId="25701ADE" w14:textId="77777777" w:rsidR="00A720EB" w:rsidRDefault="00E10349">
      <w:pPr>
        <w:pStyle w:val="a3"/>
        <w:spacing w:before="125" w:line="290" w:lineRule="auto"/>
        <w:ind w:left="1564" w:right="362"/>
        <w:jc w:val="both"/>
      </w:pPr>
      <w:r>
        <w:pict w14:anchorId="3D283104">
          <v:line id="_x0000_s1614" style="position:absolute;left:0;text-align:left;z-index:16341504;mso-position-horizontal-relative:page" from="108.25pt,.25pt" to="108.25pt,71.4pt" strokecolor="#ededed" strokeweight=".5pt">
            <w10:wrap anchorx="page"/>
          </v:line>
        </w:pict>
      </w:r>
      <w:r w:rsidR="0030286B">
        <w:rPr>
          <w:noProof/>
        </w:rPr>
        <w:drawing>
          <wp:anchor distT="0" distB="0" distL="0" distR="0" simplePos="0" relativeHeight="16342016" behindDoc="0" locked="0" layoutInCell="1" allowOverlap="1" wp14:anchorId="49ED4ADB" wp14:editId="2F5D9CAF">
            <wp:simplePos x="0" y="0"/>
            <wp:positionH relativeFrom="page">
              <wp:posOffset>844422</wp:posOffset>
            </wp:positionH>
            <wp:positionV relativeFrom="paragraph">
              <wp:posOffset>305727</wp:posOffset>
            </wp:positionV>
            <wp:extent cx="298450" cy="298450"/>
            <wp:effectExtent l="0" t="0" r="0" b="0"/>
            <wp:wrapNone/>
            <wp:docPr id="7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In this specific case, the port binding works in a PaaS environment such as Heroku or Cloud </w:t>
      </w:r>
      <w:r w:rsidR="0030286B">
        <w:rPr>
          <w:color w:val="333333"/>
          <w:spacing w:val="-5"/>
          <w:w w:val="110"/>
        </w:rPr>
        <w:t xml:space="preserve">Foundry. </w:t>
      </w:r>
      <w:r w:rsidR="0030286B">
        <w:rPr>
          <w:color w:val="333333"/>
          <w:w w:val="110"/>
        </w:rPr>
        <w:t xml:space="preserve">In those two platforms, the </w:t>
      </w:r>
      <w:r w:rsidR="0030286B">
        <w:rPr>
          <w:rFonts w:ascii="MS Gothic"/>
          <w:color w:val="B02045"/>
          <w:w w:val="110"/>
        </w:rPr>
        <w:t xml:space="preserve">PORT </w:t>
      </w:r>
      <w:r w:rsidR="0030286B">
        <w:rPr>
          <w:color w:val="333333"/>
          <w:w w:val="110"/>
        </w:rPr>
        <w:t xml:space="preserve">environment variable is set automatically and Spring can bind to capitalized synonyms for </w:t>
      </w:r>
      <w:r w:rsidR="0030286B">
        <w:rPr>
          <w:rFonts w:ascii="MS Gothic"/>
          <w:color w:val="B02045"/>
          <w:w w:val="110"/>
        </w:rPr>
        <w:t xml:space="preserve">Environment </w:t>
      </w:r>
      <w:r w:rsidR="0030286B">
        <w:rPr>
          <w:color w:val="333333"/>
          <w:w w:val="110"/>
        </w:rPr>
        <w:t>properties.</w:t>
      </w:r>
    </w:p>
    <w:p w14:paraId="58C38C24" w14:textId="77777777" w:rsidR="00A720EB" w:rsidRDefault="00A720EB">
      <w:pPr>
        <w:pStyle w:val="a3"/>
        <w:spacing w:before="10"/>
        <w:rPr>
          <w:sz w:val="24"/>
        </w:rPr>
      </w:pPr>
    </w:p>
    <w:p w14:paraId="60E42495" w14:textId="77777777" w:rsidR="00A720EB" w:rsidRDefault="0030286B">
      <w:pPr>
        <w:pStyle w:val="3"/>
        <w:numPr>
          <w:ilvl w:val="2"/>
          <w:numId w:val="13"/>
        </w:numPr>
        <w:tabs>
          <w:tab w:val="left" w:pos="858"/>
        </w:tabs>
        <w:spacing w:before="105"/>
        <w:ind w:hanging="734"/>
      </w:pPr>
      <w:bookmarkStart w:id="802" w:name="9.2.5._Use_YAML_for_External_Properties"/>
      <w:bookmarkStart w:id="803" w:name="_Toc54423926"/>
      <w:bookmarkEnd w:id="802"/>
      <w:r>
        <w:rPr>
          <w:color w:val="333333"/>
          <w:w w:val="110"/>
        </w:rPr>
        <w:t xml:space="preserve">Use </w:t>
      </w:r>
      <w:r>
        <w:rPr>
          <w:color w:val="333333"/>
          <w:spacing w:val="-6"/>
          <w:w w:val="110"/>
        </w:rPr>
        <w:t xml:space="preserve">YAML </w:t>
      </w:r>
      <w:r>
        <w:rPr>
          <w:color w:val="333333"/>
          <w:w w:val="110"/>
        </w:rPr>
        <w:t>for External</w:t>
      </w:r>
      <w:r>
        <w:rPr>
          <w:color w:val="333333"/>
          <w:spacing w:val="-13"/>
          <w:w w:val="110"/>
        </w:rPr>
        <w:t xml:space="preserve"> </w:t>
      </w:r>
      <w:r>
        <w:rPr>
          <w:color w:val="333333"/>
          <w:w w:val="110"/>
        </w:rPr>
        <w:t>Properties</w:t>
      </w:r>
      <w:bookmarkEnd w:id="803"/>
    </w:p>
    <w:p w14:paraId="2B5C4A5D" w14:textId="77777777" w:rsidR="00A720EB" w:rsidRDefault="0030286B">
      <w:pPr>
        <w:pStyle w:val="a3"/>
        <w:spacing w:before="254" w:line="307" w:lineRule="auto"/>
        <w:ind w:left="124" w:right="53"/>
      </w:pPr>
      <w:r>
        <w:rPr>
          <w:color w:val="333333"/>
          <w:spacing w:val="-5"/>
          <w:w w:val="115"/>
        </w:rPr>
        <w:t xml:space="preserve">YAML </w:t>
      </w:r>
      <w:r>
        <w:rPr>
          <w:color w:val="333333"/>
          <w:w w:val="115"/>
        </w:rPr>
        <w:t>is a superset of JSON and, as such, is a convenient syntax for storing external properties in a hierarchical format, as shown in the following example:</w:t>
      </w:r>
    </w:p>
    <w:p w14:paraId="0E9D8A49" w14:textId="77777777" w:rsidR="00A720EB" w:rsidRDefault="00A720EB">
      <w:pPr>
        <w:spacing w:line="307" w:lineRule="auto"/>
        <w:sectPr w:rsidR="00A720EB">
          <w:pgSz w:w="11910" w:h="16840"/>
          <w:pgMar w:top="620" w:right="840" w:bottom="520" w:left="840" w:header="0" w:footer="323" w:gutter="0"/>
          <w:cols w:space="720"/>
        </w:sectPr>
      </w:pPr>
    </w:p>
    <w:p w14:paraId="4CCEC459" w14:textId="77777777" w:rsidR="00A720EB" w:rsidRDefault="00E10349">
      <w:pPr>
        <w:pStyle w:val="a3"/>
        <w:ind w:left="116"/>
        <w:rPr>
          <w:sz w:val="20"/>
        </w:rPr>
      </w:pPr>
      <w:r>
        <w:rPr>
          <w:sz w:val="20"/>
        </w:rPr>
      </w:r>
      <w:r>
        <w:rPr>
          <w:sz w:val="20"/>
        </w:rPr>
        <w:pict w14:anchorId="74E341A7">
          <v:group id="_x0000_s1610" style="width:499.55pt;height:140.7pt;mso-position-horizontal-relative:char;mso-position-vertical-relative:line" coordsize="9991,2814">
            <v:shape id="_x0000_s1613" style="position:absolute;left:7;top:7;width:9976;height:2799" coordorigin="8,8" coordsize="9976,2799" path="m9904,8l88,8,56,14,31,31,14,56,8,88r,2638l14,2757r17,25l56,2800r32,6l9904,2806r31,-6l9960,2782r17,-25l9984,2726r,-2638l9977,56,9960,31,9935,14,9904,8xe" fillcolor="#f5f5f5" stroked="f">
              <v:path arrowok="t"/>
            </v:shape>
            <v:shape id="_x0000_s1612" style="position:absolute;left:7;top:7;width:9976;height:2799" coordorigin="8,8" coordsize="9976,2799" path="m88,8r9816,l9935,14r25,17l9977,56r7,32l9984,2726r-7,31l9960,2782r-25,18l9904,2806r-9816,l56,2800,31,2782,14,2757,8,2726,8,88,14,56,31,31,56,14,88,8xe" filled="f" strokecolor="#ccc">
              <v:path arrowok="t"/>
            </v:shape>
            <v:shape id="_x0000_s1611" type="#_x0000_t202" style="position:absolute;left:26;top:22;width:9938;height:2768" filled="f" stroked="f">
              <v:textbox inset="0,0,0,0">
                <w:txbxContent>
                  <w:p w14:paraId="705DD54E" w14:textId="77777777" w:rsidR="00711A16" w:rsidRDefault="00711A16">
                    <w:pPr>
                      <w:spacing w:before="221"/>
                      <w:ind w:left="200"/>
                      <w:rPr>
                        <w:rFonts w:ascii="MS Gothic"/>
                      </w:rPr>
                    </w:pPr>
                    <w:r>
                      <w:rPr>
                        <w:rFonts w:ascii="MS Gothic"/>
                        <w:color w:val="333333"/>
                      </w:rPr>
                      <w:t>spring:</w:t>
                    </w:r>
                  </w:p>
                  <w:p w14:paraId="5ACCF4D7" w14:textId="77777777" w:rsidR="00711A16" w:rsidRDefault="00711A16">
                    <w:pPr>
                      <w:spacing w:before="13"/>
                      <w:ind w:left="640"/>
                      <w:rPr>
                        <w:rFonts w:ascii="MS Gothic"/>
                      </w:rPr>
                    </w:pPr>
                    <w:r>
                      <w:rPr>
                        <w:rFonts w:ascii="MS Gothic"/>
                        <w:color w:val="333333"/>
                      </w:rPr>
                      <w:t>application:</w:t>
                    </w:r>
                  </w:p>
                  <w:p w14:paraId="03D9BE57" w14:textId="77777777" w:rsidR="00711A16" w:rsidRDefault="00711A16">
                    <w:pPr>
                      <w:spacing w:before="13" w:line="252" w:lineRule="auto"/>
                      <w:ind w:left="640" w:right="7078" w:firstLine="440"/>
                      <w:rPr>
                        <w:rFonts w:ascii="MS Gothic"/>
                      </w:rPr>
                    </w:pPr>
                    <w:r>
                      <w:rPr>
                        <w:rFonts w:ascii="MS Gothic"/>
                        <w:color w:val="333333"/>
                      </w:rPr>
                      <w:t xml:space="preserve">name: </w:t>
                    </w:r>
                    <w:r>
                      <w:rPr>
                        <w:rFonts w:ascii="MS Gothic"/>
                        <w:color w:val="333333"/>
                        <w:spacing w:val="-3"/>
                      </w:rPr>
                      <w:t xml:space="preserve">cruncher </w:t>
                    </w:r>
                    <w:r>
                      <w:rPr>
                        <w:rFonts w:ascii="MS Gothic"/>
                        <w:color w:val="333333"/>
                      </w:rPr>
                      <w:t>datasource:</w:t>
                    </w:r>
                  </w:p>
                  <w:p w14:paraId="5367C81A" w14:textId="77777777" w:rsidR="00711A16" w:rsidRDefault="00711A16">
                    <w:pPr>
                      <w:spacing w:line="252" w:lineRule="auto"/>
                      <w:ind w:left="1080" w:right="4658"/>
                      <w:rPr>
                        <w:rFonts w:ascii="MS Gothic"/>
                      </w:rPr>
                    </w:pPr>
                    <w:r>
                      <w:rPr>
                        <w:rFonts w:ascii="MS Gothic"/>
                        <w:color w:val="333333"/>
                      </w:rPr>
                      <w:t xml:space="preserve">driverClassName: </w:t>
                    </w:r>
                    <w:proofErr w:type="gramStart"/>
                    <w:r>
                      <w:rPr>
                        <w:rFonts w:ascii="MS Gothic"/>
                        <w:color w:val="333333"/>
                      </w:rPr>
                      <w:t>com.mysql</w:t>
                    </w:r>
                    <w:proofErr w:type="gramEnd"/>
                    <w:r>
                      <w:rPr>
                        <w:rFonts w:ascii="MS Gothic"/>
                        <w:color w:val="333333"/>
                      </w:rPr>
                      <w:t>.jdbc.Driver url: jdbc:mysql://localhost/test</w:t>
                    </w:r>
                  </w:p>
                  <w:p w14:paraId="4F7465A3" w14:textId="77777777" w:rsidR="00711A16" w:rsidRDefault="00711A16">
                    <w:pPr>
                      <w:spacing w:line="280" w:lineRule="exact"/>
                      <w:ind w:left="200"/>
                      <w:rPr>
                        <w:rFonts w:ascii="MS Gothic"/>
                      </w:rPr>
                    </w:pPr>
                    <w:r>
                      <w:rPr>
                        <w:rFonts w:ascii="MS Gothic"/>
                        <w:color w:val="333333"/>
                      </w:rPr>
                      <w:t>server:</w:t>
                    </w:r>
                  </w:p>
                  <w:p w14:paraId="3F6BF009" w14:textId="77777777" w:rsidR="00711A16" w:rsidRDefault="00711A16">
                    <w:pPr>
                      <w:spacing w:before="10"/>
                      <w:ind w:left="640"/>
                      <w:rPr>
                        <w:rFonts w:ascii="MS Gothic"/>
                      </w:rPr>
                    </w:pPr>
                    <w:r>
                      <w:rPr>
                        <w:rFonts w:ascii="MS Gothic"/>
                        <w:color w:val="333333"/>
                      </w:rPr>
                      <w:t>port: 9000</w:t>
                    </w:r>
                  </w:p>
                </w:txbxContent>
              </v:textbox>
            </v:shape>
            <w10:anchorlock/>
          </v:group>
        </w:pict>
      </w:r>
    </w:p>
    <w:p w14:paraId="334F5C28" w14:textId="77777777" w:rsidR="00A720EB" w:rsidRDefault="00A720EB">
      <w:pPr>
        <w:pStyle w:val="a3"/>
        <w:spacing w:before="8"/>
        <w:rPr>
          <w:sz w:val="9"/>
        </w:rPr>
      </w:pPr>
    </w:p>
    <w:p w14:paraId="068F2B7F" w14:textId="77777777" w:rsidR="00A720EB" w:rsidRDefault="0030286B">
      <w:pPr>
        <w:pStyle w:val="a3"/>
        <w:spacing w:before="116" w:line="288" w:lineRule="auto"/>
        <w:ind w:left="124" w:right="122"/>
        <w:jc w:val="both"/>
      </w:pPr>
      <w:r>
        <w:rPr>
          <w:color w:val="333333"/>
          <w:w w:val="110"/>
        </w:rPr>
        <w:t xml:space="preserve">Create a file called </w:t>
      </w:r>
      <w:r>
        <w:rPr>
          <w:rFonts w:ascii="MS Gothic"/>
          <w:color w:val="B02045"/>
          <w:w w:val="110"/>
        </w:rPr>
        <w:t xml:space="preserve">application.yml </w:t>
      </w:r>
      <w:r>
        <w:rPr>
          <w:color w:val="333333"/>
          <w:w w:val="110"/>
        </w:rPr>
        <w:t xml:space="preserve">and put it in the root of your classpath. Then add </w:t>
      </w:r>
      <w:r>
        <w:rPr>
          <w:rFonts w:ascii="MS Gothic"/>
          <w:color w:val="B02045"/>
          <w:w w:val="110"/>
        </w:rPr>
        <w:t xml:space="preserve">snakeyaml </w:t>
      </w:r>
      <w:r>
        <w:rPr>
          <w:color w:val="333333"/>
          <w:w w:val="110"/>
        </w:rPr>
        <w:t xml:space="preserve">to your dependencies (Maven coordinates </w:t>
      </w:r>
      <w:proofErr w:type="gramStart"/>
      <w:r>
        <w:rPr>
          <w:rFonts w:ascii="MS Gothic"/>
          <w:color w:val="B02045"/>
          <w:w w:val="110"/>
        </w:rPr>
        <w:t>org.yaml</w:t>
      </w:r>
      <w:proofErr w:type="gramEnd"/>
      <w:r>
        <w:rPr>
          <w:rFonts w:ascii="MS Gothic"/>
          <w:color w:val="B02045"/>
          <w:w w:val="110"/>
        </w:rPr>
        <w:t>:snakeyaml</w:t>
      </w:r>
      <w:r>
        <w:rPr>
          <w:color w:val="333333"/>
          <w:w w:val="110"/>
        </w:rPr>
        <w:t xml:space="preserve">, already included if you use the </w:t>
      </w:r>
      <w:r>
        <w:rPr>
          <w:rFonts w:ascii="MS Gothic"/>
          <w:color w:val="B02045"/>
          <w:w w:val="110"/>
        </w:rPr>
        <w:t>spring- boot-starter</w:t>
      </w:r>
      <w:r>
        <w:rPr>
          <w:color w:val="333333"/>
          <w:w w:val="110"/>
        </w:rPr>
        <w:t xml:space="preserve">). A YAML file is parsed to a Java </w:t>
      </w:r>
      <w:r>
        <w:rPr>
          <w:rFonts w:ascii="MS Gothic"/>
          <w:color w:val="B02045"/>
          <w:w w:val="110"/>
        </w:rPr>
        <w:t>Map&lt;</w:t>
      </w:r>
      <w:proofErr w:type="gramStart"/>
      <w:r>
        <w:rPr>
          <w:rFonts w:ascii="MS Gothic"/>
          <w:color w:val="B02045"/>
          <w:w w:val="110"/>
        </w:rPr>
        <w:t>String,Object</w:t>
      </w:r>
      <w:proofErr w:type="gramEnd"/>
      <w:r>
        <w:rPr>
          <w:rFonts w:ascii="MS Gothic"/>
          <w:color w:val="B02045"/>
          <w:w w:val="110"/>
        </w:rPr>
        <w:t xml:space="preserve">&gt; </w:t>
      </w:r>
      <w:r>
        <w:rPr>
          <w:color w:val="333333"/>
          <w:w w:val="110"/>
        </w:rPr>
        <w:t xml:space="preserve">(like a JSON object), and Spring Boot flattens the map so that it is one level deep and has period-separated keys, as many people are used to with </w:t>
      </w:r>
      <w:r>
        <w:rPr>
          <w:rFonts w:ascii="MS Gothic"/>
          <w:color w:val="B02045"/>
          <w:w w:val="110"/>
        </w:rPr>
        <w:t xml:space="preserve">Properties </w:t>
      </w:r>
      <w:r>
        <w:rPr>
          <w:color w:val="333333"/>
          <w:w w:val="110"/>
        </w:rPr>
        <w:t>files in Java.</w:t>
      </w:r>
    </w:p>
    <w:p w14:paraId="3D846D1F" w14:textId="77777777" w:rsidR="00A720EB" w:rsidRDefault="0030286B">
      <w:pPr>
        <w:pStyle w:val="a3"/>
        <w:spacing w:before="231"/>
        <w:ind w:left="124"/>
        <w:jc w:val="both"/>
      </w:pPr>
      <w:r>
        <w:rPr>
          <w:color w:val="333333"/>
          <w:w w:val="110"/>
        </w:rPr>
        <w:t xml:space="preserve">The preceding example </w:t>
      </w:r>
      <w:r>
        <w:rPr>
          <w:color w:val="333333"/>
          <w:spacing w:val="-5"/>
          <w:w w:val="110"/>
        </w:rPr>
        <w:t xml:space="preserve">YAML </w:t>
      </w:r>
      <w:r>
        <w:rPr>
          <w:color w:val="333333"/>
          <w:w w:val="110"/>
        </w:rPr>
        <w:t xml:space="preserve">corresponds to the following </w:t>
      </w:r>
      <w:proofErr w:type="gramStart"/>
      <w:r>
        <w:rPr>
          <w:rFonts w:ascii="MS Gothic"/>
          <w:color w:val="B02045"/>
          <w:w w:val="110"/>
        </w:rPr>
        <w:t>application.properties</w:t>
      </w:r>
      <w:proofErr w:type="gramEnd"/>
      <w:r>
        <w:rPr>
          <w:rFonts w:ascii="MS Gothic"/>
          <w:color w:val="B02045"/>
          <w:spacing w:val="-77"/>
          <w:w w:val="110"/>
        </w:rPr>
        <w:t xml:space="preserve"> </w:t>
      </w:r>
      <w:r>
        <w:rPr>
          <w:color w:val="333333"/>
          <w:w w:val="110"/>
        </w:rPr>
        <w:t>file:</w:t>
      </w:r>
    </w:p>
    <w:p w14:paraId="1C5B0AC4" w14:textId="77777777" w:rsidR="00A720EB" w:rsidRDefault="00E10349">
      <w:pPr>
        <w:pStyle w:val="a3"/>
        <w:spacing w:before="11"/>
        <w:rPr>
          <w:sz w:val="17"/>
        </w:rPr>
      </w:pPr>
      <w:r>
        <w:pict w14:anchorId="4D5A97F5">
          <v:group id="_x0000_s1606" style="position:absolute;margin-left:47.85pt;margin-top:12.5pt;width:499.55pt;height:81.75pt;z-index:-15114240;mso-wrap-distance-left:0;mso-wrap-distance-right:0;mso-position-horizontal-relative:page" coordorigin="957,250" coordsize="9991,1635">
            <v:shape id="_x0000_s1609" style="position:absolute;left:964;top:257;width:9976;height:1620" coordorigin="965,258" coordsize="9976,1620" path="m10861,258r-9816,l1014,264r-26,17l971,307r-6,31l965,1797r6,31l988,1853r26,18l1045,1877r9816,l10892,1871r25,-18l10935,1828r6,-31l10941,338r-6,-31l10917,281r-25,-17l10861,258xe" fillcolor="#f5f5f5" stroked="f">
              <v:path arrowok="t"/>
            </v:shape>
            <v:shape id="_x0000_s1608" style="position:absolute;left:964;top:257;width:9976;height:1620" coordorigin="965,258" coordsize="9976,1620" path="m1045,258r9816,l10892,264r25,17l10935,307r6,31l10941,1797r-6,31l10917,1853r-25,18l10861,1877r-9816,l1014,1871r-26,-18l971,1828r-6,-31l965,338r6,-31l988,281r26,-17l1045,258xe" filled="f" strokecolor="#ccc">
              <v:path arrowok="t"/>
            </v:shape>
            <v:shape id="_x0000_s1607" type="#_x0000_t202" style="position:absolute;left:984;top:273;width:9938;height:1589" filled="f" stroked="f">
              <v:textbox inset="0,0,0,0">
                <w:txbxContent>
                  <w:p w14:paraId="18C06391" w14:textId="77777777" w:rsidR="00711A16" w:rsidRDefault="00711A16">
                    <w:pPr>
                      <w:spacing w:before="221"/>
                      <w:ind w:left="200"/>
                      <w:rPr>
                        <w:rFonts w:ascii="MS Gothic"/>
                      </w:rPr>
                    </w:pPr>
                    <w:r>
                      <w:rPr>
                        <w:rFonts w:ascii="MS Gothic"/>
                        <w:color w:val="333333"/>
                      </w:rPr>
                      <w:t>spring.application.name=cruncher</w:t>
                    </w:r>
                  </w:p>
                  <w:p w14:paraId="27B87E2E" w14:textId="77777777" w:rsidR="00711A16" w:rsidRDefault="00711A16">
                    <w:pPr>
                      <w:spacing w:before="13" w:line="252" w:lineRule="auto"/>
                      <w:ind w:left="200" w:right="3448"/>
                      <w:rPr>
                        <w:rFonts w:ascii="MS Gothic"/>
                      </w:rPr>
                    </w:pPr>
                    <w:proofErr w:type="gramStart"/>
                    <w:r>
                      <w:rPr>
                        <w:rFonts w:ascii="MS Gothic"/>
                        <w:color w:val="333333"/>
                      </w:rPr>
                      <w:t>spring.datasource</w:t>
                    </w:r>
                    <w:proofErr w:type="gramEnd"/>
                    <w:r>
                      <w:rPr>
                        <w:rFonts w:ascii="MS Gothic"/>
                        <w:color w:val="333333"/>
                      </w:rPr>
                      <w:t>.driver-class-name=com.mysql.jdbc.Driver spring.datasource.url=jdbc:mysql://localhost/test server.port=9000</w:t>
                    </w:r>
                  </w:p>
                </w:txbxContent>
              </v:textbox>
            </v:shape>
            <w10:wrap type="topAndBottom" anchorx="page"/>
          </v:group>
        </w:pict>
      </w:r>
    </w:p>
    <w:p w14:paraId="6BB8C623" w14:textId="77777777" w:rsidR="00A720EB" w:rsidRDefault="00A720EB">
      <w:pPr>
        <w:pStyle w:val="a3"/>
        <w:rPr>
          <w:sz w:val="10"/>
        </w:rPr>
      </w:pPr>
    </w:p>
    <w:p w14:paraId="2A960AC0" w14:textId="77777777" w:rsidR="00A720EB" w:rsidRDefault="0030286B">
      <w:pPr>
        <w:pStyle w:val="a3"/>
        <w:spacing w:before="125" w:line="307" w:lineRule="auto"/>
        <w:ind w:left="124" w:right="126"/>
        <w:jc w:val="both"/>
      </w:pPr>
      <w:r>
        <w:rPr>
          <w:color w:val="333333"/>
          <w:w w:val="110"/>
        </w:rPr>
        <w:t>See “</w:t>
      </w:r>
      <w:hyperlink w:anchor="_bookmark109" w:history="1">
        <w:r>
          <w:rPr>
            <w:color w:val="418BCA"/>
            <w:w w:val="110"/>
          </w:rPr>
          <w:t>Using YAML Instead of Properties</w:t>
        </w:r>
      </w:hyperlink>
      <w:r>
        <w:rPr>
          <w:color w:val="333333"/>
          <w:w w:val="110"/>
        </w:rPr>
        <w:t xml:space="preserve">” in the ‘Spring Boot features’ section for more </w:t>
      </w:r>
      <w:proofErr w:type="gramStart"/>
      <w:r>
        <w:rPr>
          <w:color w:val="333333"/>
          <w:w w:val="110"/>
        </w:rPr>
        <w:t>information  about</w:t>
      </w:r>
      <w:proofErr w:type="gramEnd"/>
      <w:r>
        <w:rPr>
          <w:color w:val="333333"/>
          <w:w w:val="110"/>
        </w:rPr>
        <w:t xml:space="preserve"> YAML.</w:t>
      </w:r>
    </w:p>
    <w:p w14:paraId="59274017" w14:textId="77777777" w:rsidR="00A720EB" w:rsidRDefault="00A720EB">
      <w:pPr>
        <w:pStyle w:val="a3"/>
        <w:spacing w:before="9"/>
        <w:rPr>
          <w:sz w:val="25"/>
        </w:rPr>
      </w:pPr>
    </w:p>
    <w:p w14:paraId="51D2921D" w14:textId="77777777" w:rsidR="00A720EB" w:rsidRDefault="0030286B">
      <w:pPr>
        <w:pStyle w:val="3"/>
        <w:numPr>
          <w:ilvl w:val="2"/>
          <w:numId w:val="13"/>
        </w:numPr>
        <w:tabs>
          <w:tab w:val="left" w:pos="858"/>
        </w:tabs>
        <w:ind w:hanging="734"/>
      </w:pPr>
      <w:bookmarkStart w:id="804" w:name="9.2.6._Set_the_Active_Spring_Profiles"/>
      <w:bookmarkStart w:id="805" w:name="_Toc54423927"/>
      <w:bookmarkEnd w:id="804"/>
      <w:r>
        <w:rPr>
          <w:color w:val="333333"/>
          <w:w w:val="110"/>
        </w:rPr>
        <w:t>Set the Active Spring</w:t>
      </w:r>
      <w:r>
        <w:rPr>
          <w:color w:val="333333"/>
          <w:spacing w:val="-24"/>
          <w:w w:val="110"/>
        </w:rPr>
        <w:t xml:space="preserve"> </w:t>
      </w:r>
      <w:r>
        <w:rPr>
          <w:color w:val="333333"/>
          <w:w w:val="110"/>
        </w:rPr>
        <w:t>Profiles</w:t>
      </w:r>
      <w:bookmarkEnd w:id="805"/>
    </w:p>
    <w:p w14:paraId="163C419F" w14:textId="77777777" w:rsidR="00A720EB" w:rsidRDefault="0030286B">
      <w:pPr>
        <w:pStyle w:val="a3"/>
        <w:spacing w:before="243" w:line="285" w:lineRule="auto"/>
        <w:ind w:left="124" w:right="123"/>
        <w:jc w:val="both"/>
      </w:pPr>
      <w:r>
        <w:rPr>
          <w:color w:val="333333"/>
          <w:w w:val="110"/>
        </w:rPr>
        <w:t xml:space="preserve">The Spring </w:t>
      </w:r>
      <w:r>
        <w:rPr>
          <w:rFonts w:ascii="MS Gothic"/>
          <w:color w:val="B02045"/>
          <w:w w:val="110"/>
        </w:rPr>
        <w:t xml:space="preserve">Environment </w:t>
      </w:r>
      <w:r>
        <w:rPr>
          <w:color w:val="333333"/>
          <w:w w:val="110"/>
        </w:rPr>
        <w:t>has an API for this, but you would normally set a System property (</w:t>
      </w:r>
      <w:proofErr w:type="gramStart"/>
      <w:r>
        <w:rPr>
          <w:rFonts w:ascii="MS Gothic"/>
          <w:color w:val="B02045"/>
          <w:w w:val="110"/>
        </w:rPr>
        <w:t>spring.profiles</w:t>
      </w:r>
      <w:proofErr w:type="gramEnd"/>
      <w:r>
        <w:rPr>
          <w:rFonts w:ascii="MS Gothic"/>
          <w:color w:val="B02045"/>
          <w:w w:val="110"/>
        </w:rPr>
        <w:t>.active</w:t>
      </w:r>
      <w:r>
        <w:rPr>
          <w:color w:val="333333"/>
          <w:w w:val="110"/>
        </w:rPr>
        <w:t>) or an OS environment variable (</w:t>
      </w:r>
      <w:r>
        <w:rPr>
          <w:rFonts w:ascii="MS Gothic"/>
          <w:color w:val="B02045"/>
          <w:w w:val="110"/>
        </w:rPr>
        <w:t>SPRING_PROFILES_ACTIVE</w:t>
      </w:r>
      <w:r>
        <w:rPr>
          <w:color w:val="333333"/>
          <w:w w:val="110"/>
        </w:rPr>
        <w:t xml:space="preserve">). Also, you can launch your application with a </w:t>
      </w:r>
      <w:r>
        <w:rPr>
          <w:rFonts w:ascii="MS Gothic"/>
          <w:color w:val="B02045"/>
          <w:w w:val="110"/>
        </w:rPr>
        <w:t xml:space="preserve">-D </w:t>
      </w:r>
      <w:r>
        <w:rPr>
          <w:color w:val="333333"/>
          <w:w w:val="110"/>
        </w:rPr>
        <w:t>argument (remember to put it before the main class or jar archive), as</w:t>
      </w:r>
      <w:r>
        <w:rPr>
          <w:color w:val="333333"/>
          <w:spacing w:val="4"/>
          <w:w w:val="110"/>
        </w:rPr>
        <w:t xml:space="preserve"> </w:t>
      </w:r>
      <w:r>
        <w:rPr>
          <w:color w:val="333333"/>
          <w:w w:val="110"/>
        </w:rPr>
        <w:t>follows:</w:t>
      </w:r>
    </w:p>
    <w:p w14:paraId="20AE377F" w14:textId="77777777" w:rsidR="00A720EB" w:rsidRDefault="00E10349">
      <w:pPr>
        <w:pStyle w:val="a3"/>
        <w:spacing w:before="9"/>
        <w:rPr>
          <w:sz w:val="14"/>
        </w:rPr>
      </w:pPr>
      <w:r>
        <w:pict w14:anchorId="27846840">
          <v:group id="_x0000_s1602" style="position:absolute;margin-left:47.85pt;margin-top:10.65pt;width:499.55pt;height:37.5pt;z-index:-15113728;mso-wrap-distance-left:0;mso-wrap-distance-right:0;mso-position-horizontal-relative:page" coordorigin="957,213" coordsize="9991,750">
            <v:shape id="_x0000_s1605" style="position:absolute;left:964;top:220;width:9976;height:735" coordorigin="965,220" coordsize="9976,735" path="m10861,220r-9816,l1014,227r-26,17l971,269r-6,31l965,875r6,31l988,932r26,17l1045,955r9816,l10892,949r25,-17l10935,906r6,-31l10941,300r-6,-31l10917,244r-25,-17l10861,220xe" fillcolor="#f5f5f5" stroked="f">
              <v:path arrowok="t"/>
            </v:shape>
            <v:shape id="_x0000_s1604" style="position:absolute;left:964;top:220;width:9976;height:735" coordorigin="965,220" coordsize="9976,735" path="m1045,220r9816,l10892,227r25,17l10935,269r6,31l10941,875r-6,31l10917,932r-25,17l10861,955r-9816,l1014,949,988,932,971,906r-6,-31l965,300r6,-31l988,244r26,-17l1045,220xe" filled="f" strokecolor="#ccc">
              <v:path arrowok="t"/>
            </v:shape>
            <v:shape id="_x0000_s1603" type="#_x0000_t202" style="position:absolute;left:984;top:235;width:9938;height:704" filled="f" stroked="f">
              <v:textbox inset="0,0,0,0">
                <w:txbxContent>
                  <w:p w14:paraId="4340EAFA" w14:textId="77777777" w:rsidR="00711A16" w:rsidRDefault="00711A16">
                    <w:pPr>
                      <w:spacing w:before="221"/>
                      <w:ind w:left="200"/>
                      <w:rPr>
                        <w:rFonts w:ascii="MS Gothic"/>
                      </w:rPr>
                    </w:pPr>
                    <w:r>
                      <w:rPr>
                        <w:rFonts w:ascii="MS Gothic"/>
                        <w:color w:val="333333"/>
                      </w:rPr>
                      <w:t>$ java -jar -</w:t>
                    </w:r>
                    <w:proofErr w:type="gramStart"/>
                    <w:r>
                      <w:rPr>
                        <w:rFonts w:ascii="MS Gothic"/>
                        <w:color w:val="333333"/>
                      </w:rPr>
                      <w:t>Dspring.profiles.active</w:t>
                    </w:r>
                    <w:proofErr w:type="gramEnd"/>
                    <w:r>
                      <w:rPr>
                        <w:rFonts w:ascii="MS Gothic"/>
                        <w:color w:val="333333"/>
                      </w:rPr>
                      <w:t>=production demo-0.0.1-SNAPSHOT.jar</w:t>
                    </w:r>
                  </w:p>
                </w:txbxContent>
              </v:textbox>
            </v:shape>
            <w10:wrap type="topAndBottom" anchorx="page"/>
          </v:group>
        </w:pict>
      </w:r>
    </w:p>
    <w:p w14:paraId="5693C898" w14:textId="77777777" w:rsidR="00A720EB" w:rsidRDefault="00A720EB">
      <w:pPr>
        <w:pStyle w:val="a3"/>
        <w:spacing w:before="11"/>
        <w:rPr>
          <w:sz w:val="9"/>
        </w:rPr>
      </w:pPr>
    </w:p>
    <w:p w14:paraId="7E8357AA" w14:textId="77777777" w:rsidR="00A720EB" w:rsidRDefault="0030286B">
      <w:pPr>
        <w:pStyle w:val="a3"/>
        <w:spacing w:before="115" w:line="290" w:lineRule="auto"/>
        <w:ind w:left="124"/>
      </w:pPr>
      <w:r>
        <w:rPr>
          <w:color w:val="333333"/>
          <w:w w:val="110"/>
        </w:rPr>
        <w:t xml:space="preserve">In Spring Boot, you can also set the active profile in </w:t>
      </w:r>
      <w:proofErr w:type="gramStart"/>
      <w:r>
        <w:rPr>
          <w:rFonts w:ascii="MS Gothic"/>
          <w:color w:val="B02045"/>
          <w:w w:val="110"/>
        </w:rPr>
        <w:t>application.properties</w:t>
      </w:r>
      <w:proofErr w:type="gramEnd"/>
      <w:r>
        <w:rPr>
          <w:color w:val="333333"/>
          <w:w w:val="110"/>
        </w:rPr>
        <w:t>, as shown in the following example:</w:t>
      </w:r>
    </w:p>
    <w:p w14:paraId="0FC71CE8" w14:textId="77777777" w:rsidR="00A720EB" w:rsidRDefault="00E10349">
      <w:pPr>
        <w:pStyle w:val="a3"/>
        <w:spacing w:before="8"/>
        <w:rPr>
          <w:sz w:val="14"/>
        </w:rPr>
      </w:pPr>
      <w:r>
        <w:pict w14:anchorId="1DA0155A">
          <v:group id="_x0000_s1598" style="position:absolute;margin-left:47.85pt;margin-top:10.6pt;width:499.55pt;height:37.5pt;z-index:-15113216;mso-wrap-distance-left:0;mso-wrap-distance-right:0;mso-position-horizontal-relative:page" coordorigin="957,212" coordsize="9991,750">
            <v:shape id="_x0000_s1601" style="position:absolute;left:964;top:219;width:9976;height:735" coordorigin="965,219" coordsize="9976,735" path="m10861,219r-9816,l1014,226r-26,17l971,268r-6,31l965,874r6,31l988,931r26,17l1045,954r9816,l10892,948r25,-17l10935,905r6,-31l10941,299r-6,-31l10917,243r-25,-17l10861,219xe" fillcolor="#f5f5f5" stroked="f">
              <v:path arrowok="t"/>
            </v:shape>
            <v:shape id="_x0000_s1600" style="position:absolute;left:964;top:219;width:9976;height:735" coordorigin="965,219" coordsize="9976,735" path="m1045,219r9816,l10892,226r25,17l10935,268r6,31l10941,874r-6,31l10917,931r-25,17l10861,954r-9816,l1014,948,988,931,971,905r-6,-31l965,299r6,-31l988,243r26,-17l1045,219xe" filled="f" strokecolor="#ccc">
              <v:path arrowok="t"/>
            </v:shape>
            <v:shape id="_x0000_s1599" type="#_x0000_t202" style="position:absolute;left:984;top:234;width:9938;height:704" filled="f" stroked="f">
              <v:textbox inset="0,0,0,0">
                <w:txbxContent>
                  <w:p w14:paraId="44CD71A7" w14:textId="77777777" w:rsidR="00711A16" w:rsidRDefault="00711A16">
                    <w:pPr>
                      <w:spacing w:before="221"/>
                      <w:ind w:left="200"/>
                      <w:rPr>
                        <w:rFonts w:ascii="MS Gothic"/>
                      </w:rPr>
                    </w:pPr>
                    <w:proofErr w:type="gramStart"/>
                    <w:r>
                      <w:rPr>
                        <w:rFonts w:ascii="MS Gothic"/>
                        <w:color w:val="333333"/>
                      </w:rPr>
                      <w:t>spring.profiles</w:t>
                    </w:r>
                    <w:proofErr w:type="gramEnd"/>
                    <w:r>
                      <w:rPr>
                        <w:rFonts w:ascii="MS Gothic"/>
                        <w:color w:val="333333"/>
                      </w:rPr>
                      <w:t>.active=production</w:t>
                    </w:r>
                  </w:p>
                </w:txbxContent>
              </v:textbox>
            </v:shape>
            <w10:wrap type="topAndBottom" anchorx="page"/>
          </v:group>
        </w:pict>
      </w:r>
    </w:p>
    <w:p w14:paraId="64ACA567" w14:textId="77777777" w:rsidR="00A720EB" w:rsidRDefault="00A720EB">
      <w:pPr>
        <w:pStyle w:val="a3"/>
        <w:rPr>
          <w:sz w:val="10"/>
        </w:rPr>
      </w:pPr>
    </w:p>
    <w:p w14:paraId="4E52584D" w14:textId="77777777" w:rsidR="00A720EB" w:rsidRDefault="0030286B">
      <w:pPr>
        <w:pStyle w:val="a3"/>
        <w:spacing w:before="125" w:line="295" w:lineRule="auto"/>
        <w:ind w:left="124" w:right="126"/>
        <w:jc w:val="both"/>
      </w:pPr>
      <w:r>
        <w:rPr>
          <w:color w:val="333333"/>
          <w:w w:val="110"/>
        </w:rPr>
        <w:t xml:space="preserve">A value set this way is replaced </w:t>
      </w:r>
      <w:r>
        <w:rPr>
          <w:color w:val="333333"/>
          <w:spacing w:val="-3"/>
          <w:w w:val="110"/>
        </w:rPr>
        <w:t xml:space="preserve">by </w:t>
      </w:r>
      <w:r>
        <w:rPr>
          <w:color w:val="333333"/>
          <w:w w:val="110"/>
        </w:rPr>
        <w:t xml:space="preserve">the System property or environment variable setting but not </w:t>
      </w:r>
      <w:r>
        <w:rPr>
          <w:color w:val="333333"/>
          <w:spacing w:val="-3"/>
          <w:w w:val="110"/>
        </w:rPr>
        <w:t xml:space="preserve">by </w:t>
      </w:r>
      <w:r>
        <w:rPr>
          <w:color w:val="333333"/>
          <w:w w:val="110"/>
        </w:rPr>
        <w:t>the</w:t>
      </w:r>
      <w:r>
        <w:rPr>
          <w:color w:val="333333"/>
          <w:spacing w:val="-9"/>
          <w:w w:val="110"/>
        </w:rPr>
        <w:t xml:space="preserve"> </w:t>
      </w:r>
      <w:r>
        <w:rPr>
          <w:rFonts w:ascii="MS Gothic"/>
          <w:color w:val="B02045"/>
          <w:w w:val="110"/>
        </w:rPr>
        <w:t>SpringApplicationBuilder.profiles()</w:t>
      </w:r>
      <w:r>
        <w:rPr>
          <w:rFonts w:ascii="MS Gothic"/>
          <w:color w:val="B02045"/>
          <w:spacing w:val="-74"/>
          <w:w w:val="110"/>
        </w:rPr>
        <w:t xml:space="preserve"> </w:t>
      </w:r>
      <w:r>
        <w:rPr>
          <w:color w:val="333333"/>
          <w:w w:val="110"/>
        </w:rPr>
        <w:t>method.</w:t>
      </w:r>
      <w:r>
        <w:rPr>
          <w:color w:val="333333"/>
          <w:spacing w:val="-9"/>
          <w:w w:val="110"/>
        </w:rPr>
        <w:t xml:space="preserve"> </w:t>
      </w:r>
      <w:r>
        <w:rPr>
          <w:color w:val="333333"/>
          <w:w w:val="110"/>
        </w:rPr>
        <w:t>Thus,</w:t>
      </w:r>
      <w:r>
        <w:rPr>
          <w:color w:val="333333"/>
          <w:spacing w:val="-9"/>
          <w:w w:val="110"/>
        </w:rPr>
        <w:t xml:space="preserve"> </w:t>
      </w:r>
      <w:r>
        <w:rPr>
          <w:color w:val="333333"/>
          <w:w w:val="110"/>
        </w:rPr>
        <w:t>the</w:t>
      </w:r>
      <w:r>
        <w:rPr>
          <w:color w:val="333333"/>
          <w:spacing w:val="-8"/>
          <w:w w:val="110"/>
        </w:rPr>
        <w:t xml:space="preserve"> </w:t>
      </w:r>
      <w:r>
        <w:rPr>
          <w:color w:val="333333"/>
          <w:w w:val="110"/>
        </w:rPr>
        <w:t>latter</w:t>
      </w:r>
      <w:r>
        <w:rPr>
          <w:color w:val="333333"/>
          <w:spacing w:val="-9"/>
          <w:w w:val="110"/>
        </w:rPr>
        <w:t xml:space="preserve"> </w:t>
      </w:r>
      <w:r>
        <w:rPr>
          <w:color w:val="333333"/>
          <w:w w:val="110"/>
        </w:rPr>
        <w:t>Java</w:t>
      </w:r>
      <w:r>
        <w:rPr>
          <w:color w:val="333333"/>
          <w:spacing w:val="-9"/>
          <w:w w:val="110"/>
        </w:rPr>
        <w:t xml:space="preserve"> </w:t>
      </w:r>
      <w:r>
        <w:rPr>
          <w:color w:val="333333"/>
          <w:w w:val="110"/>
        </w:rPr>
        <w:t>API</w:t>
      </w:r>
      <w:r>
        <w:rPr>
          <w:color w:val="333333"/>
          <w:spacing w:val="-9"/>
          <w:w w:val="110"/>
        </w:rPr>
        <w:t xml:space="preserve"> </w:t>
      </w:r>
      <w:r>
        <w:rPr>
          <w:color w:val="333333"/>
          <w:w w:val="110"/>
        </w:rPr>
        <w:t>can</w:t>
      </w:r>
      <w:r>
        <w:rPr>
          <w:color w:val="333333"/>
          <w:spacing w:val="-9"/>
          <w:w w:val="110"/>
        </w:rPr>
        <w:t xml:space="preserve"> </w:t>
      </w:r>
      <w:r>
        <w:rPr>
          <w:color w:val="333333"/>
          <w:w w:val="110"/>
        </w:rPr>
        <w:t>be</w:t>
      </w:r>
      <w:r>
        <w:rPr>
          <w:color w:val="333333"/>
          <w:spacing w:val="-9"/>
          <w:w w:val="110"/>
        </w:rPr>
        <w:t xml:space="preserve"> </w:t>
      </w:r>
      <w:r>
        <w:rPr>
          <w:color w:val="333333"/>
          <w:w w:val="110"/>
        </w:rPr>
        <w:t>used</w:t>
      </w:r>
      <w:r>
        <w:rPr>
          <w:color w:val="333333"/>
          <w:spacing w:val="-8"/>
          <w:w w:val="110"/>
        </w:rPr>
        <w:t xml:space="preserve"> </w:t>
      </w:r>
      <w:r>
        <w:rPr>
          <w:color w:val="333333"/>
          <w:w w:val="110"/>
        </w:rPr>
        <w:t>to</w:t>
      </w:r>
      <w:r>
        <w:rPr>
          <w:color w:val="333333"/>
          <w:spacing w:val="-9"/>
          <w:w w:val="110"/>
        </w:rPr>
        <w:t xml:space="preserve"> </w:t>
      </w:r>
      <w:r>
        <w:rPr>
          <w:color w:val="333333"/>
          <w:w w:val="110"/>
        </w:rPr>
        <w:t>augment the profiles without changing the</w:t>
      </w:r>
      <w:r>
        <w:rPr>
          <w:color w:val="333333"/>
          <w:spacing w:val="16"/>
          <w:w w:val="110"/>
        </w:rPr>
        <w:t xml:space="preserve"> </w:t>
      </w:r>
      <w:r>
        <w:rPr>
          <w:color w:val="333333"/>
          <w:w w:val="110"/>
        </w:rPr>
        <w:t>defaults.</w:t>
      </w:r>
    </w:p>
    <w:p w14:paraId="481273CA" w14:textId="77777777" w:rsidR="00A720EB" w:rsidRDefault="0030286B">
      <w:pPr>
        <w:pStyle w:val="a3"/>
        <w:spacing w:before="250"/>
        <w:ind w:left="124"/>
        <w:jc w:val="both"/>
      </w:pPr>
      <w:r>
        <w:rPr>
          <w:color w:val="333333"/>
          <w:w w:val="110"/>
        </w:rPr>
        <w:t>See “</w:t>
      </w:r>
      <w:hyperlink w:anchor="_bookmark126" w:history="1">
        <w:r>
          <w:rPr>
            <w:color w:val="418BCA"/>
            <w:w w:val="110"/>
          </w:rPr>
          <w:t>Profiles</w:t>
        </w:r>
      </w:hyperlink>
      <w:r>
        <w:rPr>
          <w:color w:val="333333"/>
          <w:w w:val="110"/>
        </w:rPr>
        <w:t>” in the “Spring Boot features” section for more information.</w:t>
      </w:r>
    </w:p>
    <w:p w14:paraId="06F0E2DB" w14:textId="77777777" w:rsidR="00A720EB" w:rsidRDefault="00A720EB">
      <w:pPr>
        <w:jc w:val="both"/>
        <w:sectPr w:rsidR="00A720EB">
          <w:pgSz w:w="11910" w:h="16840"/>
          <w:pgMar w:top="700" w:right="840" w:bottom="520" w:left="840" w:header="0" w:footer="323" w:gutter="0"/>
          <w:cols w:space="720"/>
        </w:sectPr>
      </w:pPr>
    </w:p>
    <w:p w14:paraId="623B9032" w14:textId="77777777" w:rsidR="00A720EB" w:rsidRDefault="0030286B">
      <w:pPr>
        <w:pStyle w:val="3"/>
        <w:numPr>
          <w:ilvl w:val="2"/>
          <w:numId w:val="13"/>
        </w:numPr>
        <w:tabs>
          <w:tab w:val="left" w:pos="858"/>
        </w:tabs>
        <w:spacing w:before="87"/>
        <w:ind w:hanging="734"/>
      </w:pPr>
      <w:bookmarkStart w:id="806" w:name="9.2.7._Change_Configuration_Depending_on"/>
      <w:bookmarkStart w:id="807" w:name="_Toc54423928"/>
      <w:bookmarkEnd w:id="806"/>
      <w:r>
        <w:rPr>
          <w:color w:val="333333"/>
          <w:w w:val="110"/>
        </w:rPr>
        <w:lastRenderedPageBreak/>
        <w:t>Change Configuration Depending on the</w:t>
      </w:r>
      <w:r>
        <w:rPr>
          <w:color w:val="333333"/>
          <w:spacing w:val="-39"/>
          <w:w w:val="110"/>
        </w:rPr>
        <w:t xml:space="preserve"> </w:t>
      </w:r>
      <w:r>
        <w:rPr>
          <w:color w:val="333333"/>
          <w:w w:val="110"/>
        </w:rPr>
        <w:t>Environment</w:t>
      </w:r>
      <w:bookmarkEnd w:id="807"/>
    </w:p>
    <w:p w14:paraId="2217C78D" w14:textId="77777777" w:rsidR="00A720EB" w:rsidRDefault="0030286B">
      <w:pPr>
        <w:pStyle w:val="a3"/>
        <w:spacing w:before="243" w:line="290" w:lineRule="auto"/>
        <w:ind w:left="124" w:right="125"/>
        <w:jc w:val="both"/>
      </w:pPr>
      <w:r>
        <w:rPr>
          <w:color w:val="333333"/>
          <w:w w:val="110"/>
        </w:rPr>
        <w:t xml:space="preserve">A </w:t>
      </w:r>
      <w:r>
        <w:rPr>
          <w:color w:val="333333"/>
          <w:spacing w:val="-5"/>
          <w:w w:val="110"/>
        </w:rPr>
        <w:t xml:space="preserve">YAML </w:t>
      </w:r>
      <w:r>
        <w:rPr>
          <w:color w:val="333333"/>
          <w:w w:val="110"/>
        </w:rPr>
        <w:t xml:space="preserve">file is actually a sequence of documents separated </w:t>
      </w:r>
      <w:r>
        <w:rPr>
          <w:color w:val="333333"/>
          <w:spacing w:val="-3"/>
          <w:w w:val="110"/>
        </w:rPr>
        <w:t xml:space="preserve">by </w:t>
      </w:r>
      <w:r>
        <w:rPr>
          <w:rFonts w:ascii="MS Gothic"/>
          <w:color w:val="B02045"/>
          <w:w w:val="110"/>
        </w:rPr>
        <w:t xml:space="preserve">--- </w:t>
      </w:r>
      <w:r>
        <w:rPr>
          <w:color w:val="333333"/>
          <w:w w:val="110"/>
        </w:rPr>
        <w:t xml:space="preserve">lines, and each </w:t>
      </w:r>
      <w:proofErr w:type="gramStart"/>
      <w:r>
        <w:rPr>
          <w:color w:val="333333"/>
          <w:w w:val="110"/>
        </w:rPr>
        <w:t>document  is</w:t>
      </w:r>
      <w:proofErr w:type="gramEnd"/>
      <w:r>
        <w:rPr>
          <w:color w:val="333333"/>
          <w:w w:val="110"/>
        </w:rPr>
        <w:t xml:space="preserve"> parsed separately to a flattened</w:t>
      </w:r>
      <w:r>
        <w:rPr>
          <w:color w:val="333333"/>
          <w:spacing w:val="14"/>
          <w:w w:val="110"/>
        </w:rPr>
        <w:t xml:space="preserve"> </w:t>
      </w:r>
      <w:r>
        <w:rPr>
          <w:color w:val="333333"/>
          <w:w w:val="110"/>
        </w:rPr>
        <w:t>map.</w:t>
      </w:r>
    </w:p>
    <w:p w14:paraId="054F2998" w14:textId="77777777" w:rsidR="00A720EB" w:rsidRDefault="0030286B">
      <w:pPr>
        <w:pStyle w:val="a3"/>
        <w:spacing w:before="248" w:line="292" w:lineRule="auto"/>
        <w:ind w:left="124" w:right="124"/>
        <w:jc w:val="both"/>
      </w:pPr>
      <w:r>
        <w:rPr>
          <w:color w:val="333333"/>
          <w:w w:val="110"/>
        </w:rPr>
        <w:t xml:space="preserve">If a </w:t>
      </w:r>
      <w:r>
        <w:rPr>
          <w:color w:val="333333"/>
          <w:spacing w:val="-5"/>
          <w:w w:val="110"/>
        </w:rPr>
        <w:t xml:space="preserve">YAML </w:t>
      </w:r>
      <w:r>
        <w:rPr>
          <w:color w:val="333333"/>
          <w:w w:val="110"/>
        </w:rPr>
        <w:t xml:space="preserve">document contains a </w:t>
      </w:r>
      <w:proofErr w:type="gramStart"/>
      <w:r>
        <w:rPr>
          <w:rFonts w:ascii="MS Gothic"/>
          <w:color w:val="B02045"/>
          <w:w w:val="110"/>
        </w:rPr>
        <w:t>spring.profiles</w:t>
      </w:r>
      <w:proofErr w:type="gramEnd"/>
      <w:r>
        <w:rPr>
          <w:rFonts w:ascii="MS Gothic"/>
          <w:color w:val="B02045"/>
          <w:w w:val="110"/>
        </w:rPr>
        <w:t xml:space="preserve"> </w:t>
      </w:r>
      <w:r>
        <w:rPr>
          <w:color w:val="333333"/>
          <w:spacing w:val="-7"/>
          <w:w w:val="110"/>
        </w:rPr>
        <w:t xml:space="preserve">key, </w:t>
      </w:r>
      <w:r>
        <w:rPr>
          <w:color w:val="333333"/>
          <w:w w:val="110"/>
        </w:rPr>
        <w:t xml:space="preserve">then the profiles value (a comma-separated list of profiles) is fed into the Spring </w:t>
      </w:r>
      <w:r>
        <w:rPr>
          <w:rFonts w:ascii="MS Gothic"/>
          <w:color w:val="B02045"/>
          <w:w w:val="110"/>
        </w:rPr>
        <w:t xml:space="preserve">Environment.acceptsProfiles() </w:t>
      </w:r>
      <w:r>
        <w:rPr>
          <w:color w:val="333333"/>
          <w:w w:val="110"/>
        </w:rPr>
        <w:t>method. If any of those profiles is active, that document is included in the final merge (otherwise, it is not), as shown in the following example:</w:t>
      </w:r>
    </w:p>
    <w:p w14:paraId="48FB56A1" w14:textId="77777777" w:rsidR="00A720EB" w:rsidRDefault="00E10349">
      <w:pPr>
        <w:pStyle w:val="a3"/>
        <w:spacing w:before="4"/>
        <w:rPr>
          <w:sz w:val="14"/>
        </w:rPr>
      </w:pPr>
      <w:r>
        <w:pict w14:anchorId="215FD6B8">
          <v:group id="_x0000_s1594" style="position:absolute;margin-left:47.85pt;margin-top:10.4pt;width:499.55pt;height:243.85pt;z-index:-15112704;mso-wrap-distance-left:0;mso-wrap-distance-right:0;mso-position-horizontal-relative:page" coordorigin="957,208" coordsize="9991,4877">
            <v:shape id="_x0000_s1597" style="position:absolute;left:964;top:215;width:9976;height:4862" coordorigin="965,216" coordsize="9976,4862" path="m10861,216r-9816,l1014,222r-26,17l971,265r-6,31l965,4998r6,31l988,5055r26,17l1045,5078r9816,l10892,5072r25,-17l10935,5029r6,-31l10941,296r-6,-31l10917,239r-25,-17l10861,216xe" fillcolor="#f5f5f5" stroked="f">
              <v:path arrowok="t"/>
            </v:shape>
            <v:shape id="_x0000_s1596" style="position:absolute;left:964;top:215;width:9976;height:4862" coordorigin="965,216" coordsize="9976,4862" path="m1045,216r9816,l10892,222r25,17l10935,265r6,31l10941,4998r-6,31l10917,5055r-25,17l10861,5078r-9816,l1014,5072r-26,-17l971,5029r-6,-31l965,296r6,-31l988,239r26,-17l1045,216xe" filled="f" strokecolor="#ccc">
              <v:path arrowok="t"/>
            </v:shape>
            <v:shape id="_x0000_s1595" type="#_x0000_t202" style="position:absolute;left:984;top:231;width:9938;height:4832" filled="f" stroked="f">
              <v:textbox inset="0,0,0,0">
                <w:txbxContent>
                  <w:p w14:paraId="18A69CD9" w14:textId="77777777" w:rsidR="00711A16" w:rsidRDefault="00711A16">
                    <w:pPr>
                      <w:spacing w:before="221"/>
                      <w:ind w:left="200"/>
                      <w:rPr>
                        <w:rFonts w:ascii="MS Gothic"/>
                      </w:rPr>
                    </w:pPr>
                    <w:r>
                      <w:rPr>
                        <w:rFonts w:ascii="MS Gothic"/>
                        <w:color w:val="333333"/>
                      </w:rPr>
                      <w:t>server:</w:t>
                    </w:r>
                  </w:p>
                  <w:p w14:paraId="4ADBF64A" w14:textId="77777777" w:rsidR="00711A16" w:rsidRDefault="00711A16">
                    <w:pPr>
                      <w:spacing w:before="13"/>
                      <w:ind w:left="640"/>
                      <w:rPr>
                        <w:rFonts w:ascii="MS Gothic"/>
                      </w:rPr>
                    </w:pPr>
                    <w:r>
                      <w:rPr>
                        <w:rFonts w:ascii="MS Gothic"/>
                        <w:color w:val="333333"/>
                      </w:rPr>
                      <w:t>port: 9000</w:t>
                    </w:r>
                  </w:p>
                  <w:p w14:paraId="73845D54" w14:textId="77777777" w:rsidR="00711A16" w:rsidRDefault="00711A16">
                    <w:pPr>
                      <w:spacing w:before="13"/>
                      <w:ind w:left="200"/>
                      <w:rPr>
                        <w:rFonts w:ascii="MS Gothic"/>
                      </w:rPr>
                    </w:pPr>
                    <w:r>
                      <w:rPr>
                        <w:rFonts w:ascii="MS Gothic"/>
                        <w:color w:val="333333"/>
                      </w:rPr>
                      <w:t>---</w:t>
                    </w:r>
                  </w:p>
                  <w:p w14:paraId="37FD67A9" w14:textId="77777777" w:rsidR="00711A16" w:rsidRDefault="00711A16">
                    <w:pPr>
                      <w:rPr>
                        <w:rFonts w:ascii="MS Gothic"/>
                        <w:sz w:val="24"/>
                      </w:rPr>
                    </w:pPr>
                  </w:p>
                  <w:p w14:paraId="0F7E99E3" w14:textId="77777777" w:rsidR="00711A16" w:rsidRDefault="00711A16">
                    <w:pPr>
                      <w:ind w:left="200"/>
                      <w:rPr>
                        <w:rFonts w:ascii="MS Gothic"/>
                      </w:rPr>
                    </w:pPr>
                    <w:r>
                      <w:rPr>
                        <w:rFonts w:ascii="MS Gothic"/>
                        <w:color w:val="333333"/>
                      </w:rPr>
                      <w:t>spring:</w:t>
                    </w:r>
                  </w:p>
                  <w:p w14:paraId="06E244A1" w14:textId="77777777" w:rsidR="00711A16" w:rsidRDefault="00711A16">
                    <w:pPr>
                      <w:spacing w:before="13" w:line="252" w:lineRule="auto"/>
                      <w:ind w:left="200" w:right="6968" w:firstLine="440"/>
                      <w:rPr>
                        <w:rFonts w:ascii="MS Gothic"/>
                      </w:rPr>
                    </w:pPr>
                    <w:r>
                      <w:rPr>
                        <w:rFonts w:ascii="MS Gothic"/>
                        <w:color w:val="333333"/>
                      </w:rPr>
                      <w:t>profiles: development server:</w:t>
                    </w:r>
                  </w:p>
                  <w:p w14:paraId="316F7994" w14:textId="77777777" w:rsidR="00711A16" w:rsidRDefault="00711A16">
                    <w:pPr>
                      <w:spacing w:line="280" w:lineRule="exact"/>
                      <w:ind w:left="640"/>
                      <w:rPr>
                        <w:rFonts w:ascii="MS Gothic"/>
                      </w:rPr>
                    </w:pPr>
                    <w:r>
                      <w:rPr>
                        <w:rFonts w:ascii="MS Gothic"/>
                        <w:color w:val="333333"/>
                      </w:rPr>
                      <w:t>port: 9001</w:t>
                    </w:r>
                  </w:p>
                  <w:p w14:paraId="1C97F93C" w14:textId="77777777" w:rsidR="00711A16" w:rsidRDefault="00711A16">
                    <w:pPr>
                      <w:rPr>
                        <w:rFonts w:ascii="MS Gothic"/>
                        <w:sz w:val="24"/>
                      </w:rPr>
                    </w:pPr>
                  </w:p>
                  <w:p w14:paraId="0D413DCE" w14:textId="77777777" w:rsidR="00711A16" w:rsidRDefault="00711A16">
                    <w:pPr>
                      <w:ind w:left="200"/>
                      <w:rPr>
                        <w:rFonts w:ascii="MS Gothic"/>
                      </w:rPr>
                    </w:pPr>
                    <w:r>
                      <w:rPr>
                        <w:rFonts w:ascii="MS Gothic"/>
                        <w:color w:val="333333"/>
                      </w:rPr>
                      <w:t>---</w:t>
                    </w:r>
                  </w:p>
                  <w:p w14:paraId="1AECB47F" w14:textId="77777777" w:rsidR="00711A16" w:rsidRDefault="00711A16">
                    <w:pPr>
                      <w:rPr>
                        <w:rFonts w:ascii="MS Gothic"/>
                        <w:sz w:val="24"/>
                      </w:rPr>
                    </w:pPr>
                  </w:p>
                  <w:p w14:paraId="05D52982" w14:textId="77777777" w:rsidR="00711A16" w:rsidRDefault="00711A16">
                    <w:pPr>
                      <w:ind w:left="200"/>
                      <w:rPr>
                        <w:rFonts w:ascii="MS Gothic"/>
                      </w:rPr>
                    </w:pPr>
                    <w:r>
                      <w:rPr>
                        <w:rFonts w:ascii="MS Gothic"/>
                        <w:color w:val="333333"/>
                      </w:rPr>
                      <w:t>spring:</w:t>
                    </w:r>
                  </w:p>
                  <w:p w14:paraId="5DA60AA2" w14:textId="77777777" w:rsidR="00711A16" w:rsidRDefault="00711A16">
                    <w:pPr>
                      <w:spacing w:before="13" w:line="252" w:lineRule="auto"/>
                      <w:ind w:left="200" w:right="7078" w:firstLine="440"/>
                      <w:rPr>
                        <w:rFonts w:ascii="MS Gothic"/>
                      </w:rPr>
                    </w:pPr>
                    <w:r>
                      <w:rPr>
                        <w:rFonts w:ascii="MS Gothic"/>
                        <w:color w:val="333333"/>
                      </w:rPr>
                      <w:t>profiles: production server:</w:t>
                    </w:r>
                  </w:p>
                  <w:p w14:paraId="45F2E1B6" w14:textId="77777777" w:rsidR="00711A16" w:rsidRDefault="00711A16">
                    <w:pPr>
                      <w:spacing w:line="280" w:lineRule="exact"/>
                      <w:ind w:left="640"/>
                      <w:rPr>
                        <w:rFonts w:ascii="MS Gothic"/>
                      </w:rPr>
                    </w:pPr>
                    <w:r>
                      <w:rPr>
                        <w:rFonts w:ascii="MS Gothic"/>
                        <w:color w:val="333333"/>
                      </w:rPr>
                      <w:t>port: 0</w:t>
                    </w:r>
                  </w:p>
                </w:txbxContent>
              </v:textbox>
            </v:shape>
            <w10:wrap type="topAndBottom" anchorx="page"/>
          </v:group>
        </w:pict>
      </w:r>
    </w:p>
    <w:p w14:paraId="6D3730FB" w14:textId="77777777" w:rsidR="00A720EB" w:rsidRDefault="00A720EB">
      <w:pPr>
        <w:pStyle w:val="a3"/>
        <w:rPr>
          <w:sz w:val="10"/>
        </w:rPr>
      </w:pPr>
    </w:p>
    <w:p w14:paraId="795F0CDC" w14:textId="77777777" w:rsidR="00A720EB" w:rsidRDefault="0030286B">
      <w:pPr>
        <w:pStyle w:val="a3"/>
        <w:spacing w:before="125" w:line="307" w:lineRule="auto"/>
        <w:ind w:left="124" w:right="134"/>
        <w:jc w:val="both"/>
      </w:pPr>
      <w:r>
        <w:rPr>
          <w:color w:val="333333"/>
          <w:w w:val="110"/>
        </w:rPr>
        <w:t>In the preceding example, the default port is 9000. However, if the Spring profile called ‘development’ is active, then the port is 9001. If ‘production’ is active, then the port is</w:t>
      </w:r>
      <w:r>
        <w:rPr>
          <w:color w:val="333333"/>
          <w:spacing w:val="47"/>
          <w:w w:val="110"/>
        </w:rPr>
        <w:t xml:space="preserve"> </w:t>
      </w:r>
      <w:r>
        <w:rPr>
          <w:color w:val="333333"/>
          <w:w w:val="110"/>
        </w:rPr>
        <w:t>0.</w:t>
      </w:r>
    </w:p>
    <w:p w14:paraId="4E7D418B" w14:textId="77777777" w:rsidR="00A720EB" w:rsidRDefault="00A720EB">
      <w:pPr>
        <w:pStyle w:val="a3"/>
        <w:spacing w:before="4"/>
        <w:rPr>
          <w:sz w:val="27"/>
        </w:rPr>
      </w:pPr>
    </w:p>
    <w:p w14:paraId="36484172" w14:textId="77777777" w:rsidR="00A720EB" w:rsidRDefault="00E10349">
      <w:pPr>
        <w:pStyle w:val="a3"/>
        <w:spacing w:before="1" w:line="307" w:lineRule="auto"/>
        <w:ind w:left="1564" w:right="462"/>
      </w:pPr>
      <w:r>
        <w:pict w14:anchorId="74BD0D15">
          <v:line id="_x0000_s1593" style="position:absolute;left:0;text-align:left;z-index:16345088;mso-position-horizontal-relative:page" from="108.25pt,-5.95pt" to="108.25pt,33.6pt" strokecolor="#ededed" strokeweight=".5pt">
            <w10:wrap anchorx="page"/>
          </v:line>
        </w:pict>
      </w:r>
      <w:r w:rsidR="0030286B">
        <w:rPr>
          <w:noProof/>
        </w:rPr>
        <w:drawing>
          <wp:anchor distT="0" distB="0" distL="0" distR="0" simplePos="0" relativeHeight="16345600" behindDoc="0" locked="0" layoutInCell="1" allowOverlap="1" wp14:anchorId="13ABE055" wp14:editId="43C9E08A">
            <wp:simplePos x="0" y="0"/>
            <wp:positionH relativeFrom="page">
              <wp:posOffset>844422</wp:posOffset>
            </wp:positionH>
            <wp:positionV relativeFrom="paragraph">
              <wp:posOffset>26581</wp:posOffset>
            </wp:positionV>
            <wp:extent cx="298450" cy="298450"/>
            <wp:effectExtent l="0" t="0" r="0" b="0"/>
            <wp:wrapNone/>
            <wp:docPr id="7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w:t>
      </w:r>
      <w:r w:rsidR="0030286B">
        <w:rPr>
          <w:color w:val="333333"/>
          <w:spacing w:val="-5"/>
          <w:w w:val="110"/>
        </w:rPr>
        <w:t xml:space="preserve">YAML </w:t>
      </w:r>
      <w:r w:rsidR="0030286B">
        <w:rPr>
          <w:color w:val="333333"/>
          <w:w w:val="110"/>
        </w:rPr>
        <w:t xml:space="preserve">documents are merged in the order in which </w:t>
      </w:r>
      <w:proofErr w:type="gramStart"/>
      <w:r w:rsidR="0030286B">
        <w:rPr>
          <w:color w:val="333333"/>
          <w:w w:val="110"/>
        </w:rPr>
        <w:t>they  are</w:t>
      </w:r>
      <w:proofErr w:type="gramEnd"/>
      <w:r w:rsidR="0030286B">
        <w:rPr>
          <w:color w:val="333333"/>
          <w:w w:val="110"/>
        </w:rPr>
        <w:t xml:space="preserve">  encountered. Later values override earlier</w:t>
      </w:r>
      <w:r w:rsidR="0030286B">
        <w:rPr>
          <w:color w:val="333333"/>
          <w:spacing w:val="15"/>
          <w:w w:val="110"/>
        </w:rPr>
        <w:t xml:space="preserve"> </w:t>
      </w:r>
      <w:r w:rsidR="0030286B">
        <w:rPr>
          <w:color w:val="333333"/>
          <w:w w:val="110"/>
        </w:rPr>
        <w:t>values.</w:t>
      </w:r>
    </w:p>
    <w:p w14:paraId="0D0384FD" w14:textId="77777777" w:rsidR="00A720EB" w:rsidRDefault="00A720EB">
      <w:pPr>
        <w:pStyle w:val="a3"/>
        <w:spacing w:before="5"/>
        <w:rPr>
          <w:sz w:val="26"/>
        </w:rPr>
      </w:pPr>
    </w:p>
    <w:p w14:paraId="5B1197D4" w14:textId="77777777" w:rsidR="00A720EB" w:rsidRDefault="0030286B">
      <w:pPr>
        <w:pStyle w:val="a3"/>
        <w:spacing w:line="290" w:lineRule="auto"/>
        <w:ind w:left="124" w:right="122"/>
        <w:jc w:val="both"/>
      </w:pPr>
      <w:r>
        <w:rPr>
          <w:color w:val="333333"/>
          <w:spacing w:val="-4"/>
          <w:w w:val="110"/>
        </w:rPr>
        <w:t>To</w:t>
      </w:r>
      <w:r>
        <w:rPr>
          <w:color w:val="333333"/>
          <w:spacing w:val="-20"/>
          <w:w w:val="110"/>
        </w:rPr>
        <w:t xml:space="preserve"> </w:t>
      </w:r>
      <w:r>
        <w:rPr>
          <w:color w:val="333333"/>
          <w:w w:val="110"/>
        </w:rPr>
        <w:t>do</w:t>
      </w:r>
      <w:r>
        <w:rPr>
          <w:color w:val="333333"/>
          <w:spacing w:val="-20"/>
          <w:w w:val="110"/>
        </w:rPr>
        <w:t xml:space="preserve"> </w:t>
      </w:r>
      <w:r>
        <w:rPr>
          <w:color w:val="333333"/>
          <w:w w:val="110"/>
        </w:rPr>
        <w:t>the</w:t>
      </w:r>
      <w:r>
        <w:rPr>
          <w:color w:val="333333"/>
          <w:spacing w:val="-19"/>
          <w:w w:val="110"/>
        </w:rPr>
        <w:t xml:space="preserve"> </w:t>
      </w:r>
      <w:r>
        <w:rPr>
          <w:color w:val="333333"/>
          <w:w w:val="110"/>
        </w:rPr>
        <w:t>same</w:t>
      </w:r>
      <w:r>
        <w:rPr>
          <w:color w:val="333333"/>
          <w:spacing w:val="-20"/>
          <w:w w:val="110"/>
        </w:rPr>
        <w:t xml:space="preserve"> </w:t>
      </w:r>
      <w:r>
        <w:rPr>
          <w:color w:val="333333"/>
          <w:w w:val="110"/>
        </w:rPr>
        <w:t>thing</w:t>
      </w:r>
      <w:r>
        <w:rPr>
          <w:color w:val="333333"/>
          <w:spacing w:val="-19"/>
          <w:w w:val="110"/>
        </w:rPr>
        <w:t xml:space="preserve"> </w:t>
      </w:r>
      <w:r>
        <w:rPr>
          <w:color w:val="333333"/>
          <w:w w:val="110"/>
        </w:rPr>
        <w:t>with</w:t>
      </w:r>
      <w:r>
        <w:rPr>
          <w:color w:val="333333"/>
          <w:spacing w:val="-20"/>
          <w:w w:val="110"/>
        </w:rPr>
        <w:t xml:space="preserve"> </w:t>
      </w:r>
      <w:r>
        <w:rPr>
          <w:color w:val="333333"/>
          <w:w w:val="110"/>
        </w:rPr>
        <w:t>properties</w:t>
      </w:r>
      <w:r>
        <w:rPr>
          <w:color w:val="333333"/>
          <w:spacing w:val="-19"/>
          <w:w w:val="110"/>
        </w:rPr>
        <w:t xml:space="preserve"> </w:t>
      </w:r>
      <w:r>
        <w:rPr>
          <w:color w:val="333333"/>
          <w:w w:val="110"/>
        </w:rPr>
        <w:t>files,</w:t>
      </w:r>
      <w:r>
        <w:rPr>
          <w:color w:val="333333"/>
          <w:spacing w:val="-20"/>
          <w:w w:val="110"/>
        </w:rPr>
        <w:t xml:space="preserve"> </w:t>
      </w:r>
      <w:r>
        <w:rPr>
          <w:color w:val="333333"/>
          <w:w w:val="110"/>
        </w:rPr>
        <w:t>you</w:t>
      </w:r>
      <w:r>
        <w:rPr>
          <w:color w:val="333333"/>
          <w:spacing w:val="-19"/>
          <w:w w:val="110"/>
        </w:rPr>
        <w:t xml:space="preserve"> </w:t>
      </w:r>
      <w:r>
        <w:rPr>
          <w:color w:val="333333"/>
          <w:w w:val="110"/>
        </w:rPr>
        <w:t>can</w:t>
      </w:r>
      <w:r>
        <w:rPr>
          <w:color w:val="333333"/>
          <w:spacing w:val="-20"/>
          <w:w w:val="110"/>
        </w:rPr>
        <w:t xml:space="preserve"> </w:t>
      </w:r>
      <w:r>
        <w:rPr>
          <w:color w:val="333333"/>
          <w:w w:val="110"/>
        </w:rPr>
        <w:t>use</w:t>
      </w:r>
      <w:r>
        <w:rPr>
          <w:color w:val="333333"/>
          <w:spacing w:val="-17"/>
          <w:w w:val="110"/>
        </w:rPr>
        <w:t xml:space="preserve"> </w:t>
      </w:r>
      <w:r>
        <w:rPr>
          <w:rFonts w:ascii="MS Gothic"/>
          <w:color w:val="B02045"/>
          <w:w w:val="110"/>
        </w:rPr>
        <w:t>application-${profile</w:t>
      </w:r>
      <w:proofErr w:type="gramStart"/>
      <w:r>
        <w:rPr>
          <w:rFonts w:ascii="MS Gothic"/>
          <w:color w:val="B02045"/>
          <w:w w:val="110"/>
        </w:rPr>
        <w:t>}.properties</w:t>
      </w:r>
      <w:proofErr w:type="gramEnd"/>
      <w:r>
        <w:rPr>
          <w:rFonts w:ascii="MS Gothic"/>
          <w:color w:val="B02045"/>
          <w:spacing w:val="-84"/>
          <w:w w:val="110"/>
        </w:rPr>
        <w:t xml:space="preserve"> </w:t>
      </w:r>
      <w:r>
        <w:rPr>
          <w:color w:val="333333"/>
          <w:w w:val="110"/>
        </w:rPr>
        <w:t>to</w:t>
      </w:r>
      <w:r>
        <w:rPr>
          <w:color w:val="333333"/>
          <w:spacing w:val="-20"/>
          <w:w w:val="110"/>
        </w:rPr>
        <w:t xml:space="preserve"> </w:t>
      </w:r>
      <w:r>
        <w:rPr>
          <w:color w:val="333333"/>
          <w:w w:val="110"/>
        </w:rPr>
        <w:t>specify profile-specific</w:t>
      </w:r>
      <w:r>
        <w:rPr>
          <w:color w:val="333333"/>
          <w:spacing w:val="2"/>
          <w:w w:val="110"/>
        </w:rPr>
        <w:t xml:space="preserve"> </w:t>
      </w:r>
      <w:r>
        <w:rPr>
          <w:color w:val="333333"/>
          <w:w w:val="110"/>
        </w:rPr>
        <w:t>values.</w:t>
      </w:r>
    </w:p>
    <w:p w14:paraId="4CFA8984" w14:textId="77777777" w:rsidR="00A720EB" w:rsidRDefault="00A720EB">
      <w:pPr>
        <w:pStyle w:val="a3"/>
        <w:spacing w:before="3"/>
        <w:rPr>
          <w:sz w:val="27"/>
        </w:rPr>
      </w:pPr>
    </w:p>
    <w:p w14:paraId="427A5D34" w14:textId="77777777" w:rsidR="00A720EB" w:rsidRDefault="0030286B">
      <w:pPr>
        <w:pStyle w:val="3"/>
        <w:numPr>
          <w:ilvl w:val="2"/>
          <w:numId w:val="13"/>
        </w:numPr>
        <w:tabs>
          <w:tab w:val="left" w:pos="858"/>
        </w:tabs>
        <w:ind w:hanging="734"/>
      </w:pPr>
      <w:bookmarkStart w:id="808" w:name="9.2.8._Discover_Built-in_Options_for_Ext"/>
      <w:bookmarkStart w:id="809" w:name="_Toc54423929"/>
      <w:bookmarkEnd w:id="808"/>
      <w:r>
        <w:rPr>
          <w:color w:val="333333"/>
          <w:w w:val="115"/>
        </w:rPr>
        <w:t>Discover</w:t>
      </w:r>
      <w:r>
        <w:rPr>
          <w:color w:val="333333"/>
          <w:spacing w:val="-13"/>
          <w:w w:val="115"/>
        </w:rPr>
        <w:t xml:space="preserve"> </w:t>
      </w:r>
      <w:r>
        <w:rPr>
          <w:color w:val="333333"/>
          <w:w w:val="115"/>
        </w:rPr>
        <w:t>Built-in</w:t>
      </w:r>
      <w:r>
        <w:rPr>
          <w:color w:val="333333"/>
          <w:spacing w:val="-14"/>
          <w:w w:val="115"/>
        </w:rPr>
        <w:t xml:space="preserve"> </w:t>
      </w:r>
      <w:r>
        <w:rPr>
          <w:color w:val="333333"/>
          <w:w w:val="115"/>
        </w:rPr>
        <w:t>Options</w:t>
      </w:r>
      <w:r>
        <w:rPr>
          <w:color w:val="333333"/>
          <w:spacing w:val="-13"/>
          <w:w w:val="115"/>
        </w:rPr>
        <w:t xml:space="preserve"> </w:t>
      </w:r>
      <w:r>
        <w:rPr>
          <w:color w:val="333333"/>
          <w:w w:val="115"/>
        </w:rPr>
        <w:t>for</w:t>
      </w:r>
      <w:r>
        <w:rPr>
          <w:color w:val="333333"/>
          <w:spacing w:val="-12"/>
          <w:w w:val="115"/>
        </w:rPr>
        <w:t xml:space="preserve"> </w:t>
      </w:r>
      <w:r>
        <w:rPr>
          <w:color w:val="333333"/>
          <w:w w:val="115"/>
        </w:rPr>
        <w:t>External</w:t>
      </w:r>
      <w:r>
        <w:rPr>
          <w:color w:val="333333"/>
          <w:spacing w:val="-14"/>
          <w:w w:val="115"/>
        </w:rPr>
        <w:t xml:space="preserve"> </w:t>
      </w:r>
      <w:r>
        <w:rPr>
          <w:color w:val="333333"/>
          <w:w w:val="115"/>
        </w:rPr>
        <w:t>Properties</w:t>
      </w:r>
      <w:bookmarkEnd w:id="809"/>
    </w:p>
    <w:p w14:paraId="6B565BF8" w14:textId="77777777" w:rsidR="00A720EB" w:rsidRDefault="0030286B">
      <w:pPr>
        <w:pStyle w:val="a3"/>
        <w:spacing w:before="243" w:line="302" w:lineRule="auto"/>
        <w:ind w:left="124" w:right="124"/>
        <w:jc w:val="both"/>
      </w:pPr>
      <w:r>
        <w:rPr>
          <w:color w:val="333333"/>
          <w:w w:val="110"/>
        </w:rPr>
        <w:t>Spring Boot binds external</w:t>
      </w:r>
      <w:r>
        <w:rPr>
          <w:color w:val="333333"/>
          <w:spacing w:val="1"/>
          <w:w w:val="110"/>
        </w:rPr>
        <w:t xml:space="preserve"> </w:t>
      </w:r>
      <w:r>
        <w:rPr>
          <w:color w:val="333333"/>
          <w:w w:val="110"/>
        </w:rPr>
        <w:t>properties</w:t>
      </w:r>
      <w:r>
        <w:rPr>
          <w:color w:val="333333"/>
          <w:spacing w:val="1"/>
          <w:w w:val="110"/>
        </w:rPr>
        <w:t xml:space="preserve"> </w:t>
      </w:r>
      <w:r>
        <w:rPr>
          <w:color w:val="333333"/>
          <w:w w:val="110"/>
        </w:rPr>
        <w:t>from</w:t>
      </w:r>
      <w:r>
        <w:rPr>
          <w:color w:val="333333"/>
          <w:spacing w:val="5"/>
          <w:w w:val="110"/>
        </w:rPr>
        <w:t xml:space="preserve"> </w:t>
      </w:r>
      <w:proofErr w:type="gramStart"/>
      <w:r>
        <w:rPr>
          <w:rFonts w:ascii="MS Gothic"/>
          <w:color w:val="B02045"/>
          <w:w w:val="110"/>
        </w:rPr>
        <w:t>application.properties</w:t>
      </w:r>
      <w:proofErr w:type="gramEnd"/>
      <w:r>
        <w:rPr>
          <w:rFonts w:ascii="MS Gothic"/>
          <w:color w:val="B02045"/>
          <w:spacing w:val="-64"/>
          <w:w w:val="110"/>
        </w:rPr>
        <w:t xml:space="preserve"> </w:t>
      </w:r>
      <w:r>
        <w:rPr>
          <w:color w:val="333333"/>
          <w:w w:val="110"/>
        </w:rPr>
        <w:t>(or</w:t>
      </w:r>
      <w:r>
        <w:rPr>
          <w:color w:val="333333"/>
          <w:spacing w:val="1"/>
          <w:w w:val="110"/>
        </w:rPr>
        <w:t xml:space="preserve"> </w:t>
      </w:r>
      <w:r>
        <w:rPr>
          <w:rFonts w:ascii="MS Gothic"/>
          <w:color w:val="B02045"/>
          <w:w w:val="110"/>
        </w:rPr>
        <w:t>.yml</w:t>
      </w:r>
      <w:r>
        <w:rPr>
          <w:rFonts w:ascii="MS Gothic"/>
          <w:color w:val="B02045"/>
          <w:spacing w:val="-64"/>
          <w:w w:val="110"/>
        </w:rPr>
        <w:t xml:space="preserve"> </w:t>
      </w:r>
      <w:r>
        <w:rPr>
          <w:color w:val="333333"/>
          <w:w w:val="110"/>
        </w:rPr>
        <w:t>files</w:t>
      </w:r>
      <w:r>
        <w:rPr>
          <w:color w:val="333333"/>
          <w:spacing w:val="1"/>
          <w:w w:val="110"/>
        </w:rPr>
        <w:t xml:space="preserve"> </w:t>
      </w:r>
      <w:r>
        <w:rPr>
          <w:color w:val="333333"/>
          <w:w w:val="110"/>
        </w:rPr>
        <w:t>and other</w:t>
      </w:r>
      <w:r>
        <w:rPr>
          <w:color w:val="333333"/>
          <w:spacing w:val="1"/>
          <w:w w:val="110"/>
        </w:rPr>
        <w:t xml:space="preserve"> </w:t>
      </w:r>
      <w:r>
        <w:rPr>
          <w:color w:val="333333"/>
          <w:w w:val="110"/>
        </w:rPr>
        <w:t>places) into an application at runtime. There is not (and technically cannot be) an exhaustive list of all</w:t>
      </w:r>
      <w:r>
        <w:rPr>
          <w:color w:val="333333"/>
          <w:spacing w:val="50"/>
          <w:w w:val="110"/>
        </w:rPr>
        <w:t xml:space="preserve"> </w:t>
      </w:r>
      <w:r>
        <w:rPr>
          <w:color w:val="333333"/>
          <w:w w:val="110"/>
        </w:rPr>
        <w:t xml:space="preserve">supported properties in a single location, because contributions can </w:t>
      </w:r>
      <w:proofErr w:type="gramStart"/>
      <w:r>
        <w:rPr>
          <w:color w:val="333333"/>
          <w:w w:val="110"/>
        </w:rPr>
        <w:t>come  from</w:t>
      </w:r>
      <w:proofErr w:type="gramEnd"/>
      <w:r>
        <w:rPr>
          <w:color w:val="333333"/>
          <w:w w:val="110"/>
        </w:rPr>
        <w:t xml:space="preserve">  additional jar files on your</w:t>
      </w:r>
      <w:r>
        <w:rPr>
          <w:color w:val="333333"/>
          <w:spacing w:val="5"/>
          <w:w w:val="110"/>
        </w:rPr>
        <w:t xml:space="preserve"> </w:t>
      </w:r>
      <w:r>
        <w:rPr>
          <w:color w:val="333333"/>
          <w:w w:val="110"/>
        </w:rPr>
        <w:t>classpath.</w:t>
      </w:r>
    </w:p>
    <w:p w14:paraId="6B132F41" w14:textId="77777777" w:rsidR="00A720EB" w:rsidRDefault="0030286B">
      <w:pPr>
        <w:pStyle w:val="a3"/>
        <w:spacing w:before="233" w:line="280" w:lineRule="auto"/>
        <w:ind w:left="124" w:right="123"/>
        <w:jc w:val="both"/>
      </w:pPr>
      <w:r>
        <w:rPr>
          <w:color w:val="333333"/>
          <w:w w:val="110"/>
        </w:rPr>
        <w:t xml:space="preserve">A running application with the Actuator features has a </w:t>
      </w:r>
      <w:r>
        <w:rPr>
          <w:rFonts w:ascii="MS Gothic"/>
          <w:color w:val="B02045"/>
          <w:w w:val="110"/>
        </w:rPr>
        <w:t xml:space="preserve">configprops </w:t>
      </w:r>
      <w:r>
        <w:rPr>
          <w:color w:val="333333"/>
          <w:w w:val="110"/>
        </w:rPr>
        <w:t xml:space="preserve">endpoint that shows all the bound and bindable properties available through </w:t>
      </w:r>
      <w:r>
        <w:rPr>
          <w:rFonts w:ascii="MS Gothic"/>
          <w:color w:val="B02045"/>
          <w:w w:val="110"/>
        </w:rPr>
        <w:t>@ConfigurationProperties</w:t>
      </w:r>
      <w:r>
        <w:rPr>
          <w:color w:val="333333"/>
          <w:w w:val="110"/>
        </w:rPr>
        <w:t>.</w:t>
      </w:r>
    </w:p>
    <w:p w14:paraId="5A08BBAF" w14:textId="77777777" w:rsidR="00A720EB" w:rsidRDefault="0030286B">
      <w:pPr>
        <w:pStyle w:val="a3"/>
        <w:spacing w:before="242" w:line="292" w:lineRule="auto"/>
        <w:ind w:left="124" w:right="123"/>
        <w:jc w:val="both"/>
      </w:pPr>
      <w:r>
        <w:rPr>
          <w:color w:val="333333"/>
          <w:w w:val="110"/>
        </w:rPr>
        <w:t xml:space="preserve">The appendix includes an </w:t>
      </w:r>
      <w:hyperlink w:anchor="_bookmark656" w:history="1">
        <w:proofErr w:type="gramStart"/>
        <w:r>
          <w:rPr>
            <w:rFonts w:ascii="MS Gothic"/>
            <w:color w:val="B02045"/>
            <w:w w:val="110"/>
          </w:rPr>
          <w:t>application.properties</w:t>
        </w:r>
        <w:proofErr w:type="gramEnd"/>
        <w:r>
          <w:rPr>
            <w:rFonts w:ascii="MS Gothic"/>
            <w:color w:val="B02045"/>
            <w:w w:val="110"/>
          </w:rPr>
          <w:t xml:space="preserve"> </w:t>
        </w:r>
      </w:hyperlink>
      <w:r>
        <w:rPr>
          <w:color w:val="333333"/>
          <w:w w:val="110"/>
        </w:rPr>
        <w:t xml:space="preserve">example with a list of the most common properties supported </w:t>
      </w:r>
      <w:r>
        <w:rPr>
          <w:color w:val="333333"/>
          <w:spacing w:val="-3"/>
          <w:w w:val="110"/>
        </w:rPr>
        <w:t xml:space="preserve">by </w:t>
      </w:r>
      <w:r>
        <w:rPr>
          <w:color w:val="333333"/>
          <w:w w:val="110"/>
        </w:rPr>
        <w:t xml:space="preserve">Spring Boot. The definitive list comes from searching the source code for </w:t>
      </w:r>
      <w:r>
        <w:rPr>
          <w:rFonts w:ascii="MS Gothic"/>
          <w:color w:val="B02045"/>
          <w:w w:val="110"/>
        </w:rPr>
        <w:t>@ConfigurationProperties</w:t>
      </w:r>
      <w:r>
        <w:rPr>
          <w:rFonts w:ascii="MS Gothic"/>
          <w:color w:val="B02045"/>
          <w:spacing w:val="-68"/>
          <w:w w:val="110"/>
        </w:rPr>
        <w:t xml:space="preserve"> </w:t>
      </w:r>
      <w:r>
        <w:rPr>
          <w:color w:val="333333"/>
          <w:w w:val="110"/>
        </w:rPr>
        <w:t xml:space="preserve">and </w:t>
      </w:r>
      <w:r>
        <w:rPr>
          <w:rFonts w:ascii="MS Gothic"/>
          <w:color w:val="B02045"/>
          <w:w w:val="110"/>
        </w:rPr>
        <w:t>@Value</w:t>
      </w:r>
      <w:r>
        <w:rPr>
          <w:rFonts w:ascii="MS Gothic"/>
          <w:color w:val="B02045"/>
          <w:spacing w:val="-67"/>
          <w:w w:val="110"/>
        </w:rPr>
        <w:t xml:space="preserve"> </w:t>
      </w:r>
      <w:r>
        <w:rPr>
          <w:color w:val="333333"/>
          <w:w w:val="110"/>
        </w:rPr>
        <w:t xml:space="preserve">annotations as well as the occasional use of </w:t>
      </w:r>
      <w:r>
        <w:rPr>
          <w:rFonts w:ascii="MS Gothic"/>
          <w:color w:val="B02045"/>
          <w:w w:val="110"/>
        </w:rPr>
        <w:t>Binder</w:t>
      </w:r>
      <w:r>
        <w:rPr>
          <w:color w:val="333333"/>
          <w:w w:val="110"/>
        </w:rPr>
        <w:t xml:space="preserve">. </w:t>
      </w:r>
      <w:r>
        <w:rPr>
          <w:color w:val="333333"/>
          <w:spacing w:val="-4"/>
          <w:w w:val="110"/>
        </w:rPr>
        <w:t xml:space="preserve">For </w:t>
      </w:r>
      <w:r>
        <w:rPr>
          <w:color w:val="333333"/>
          <w:w w:val="110"/>
        </w:rPr>
        <w:t>more about the exact ordering of loading properties, see "</w:t>
      </w:r>
      <w:hyperlink w:anchor="_bookmark101" w:history="1">
        <w:r>
          <w:rPr>
            <w:color w:val="418BCA"/>
            <w:w w:val="110"/>
          </w:rPr>
          <w:t>Externalized Configuration</w:t>
        </w:r>
      </w:hyperlink>
      <w:r>
        <w:rPr>
          <w:color w:val="333333"/>
          <w:w w:val="110"/>
        </w:rPr>
        <w:t>".</w:t>
      </w:r>
    </w:p>
    <w:p w14:paraId="1C151825" w14:textId="77777777" w:rsidR="00A720EB" w:rsidRDefault="00A720EB">
      <w:pPr>
        <w:spacing w:line="292" w:lineRule="auto"/>
        <w:jc w:val="both"/>
        <w:sectPr w:rsidR="00A720EB">
          <w:pgSz w:w="11910" w:h="16840"/>
          <w:pgMar w:top="620" w:right="840" w:bottom="520" w:left="840" w:header="0" w:footer="323" w:gutter="0"/>
          <w:cols w:space="720"/>
        </w:sectPr>
      </w:pPr>
    </w:p>
    <w:p w14:paraId="704C08AC" w14:textId="77777777" w:rsidR="00A720EB" w:rsidRDefault="0030286B">
      <w:pPr>
        <w:pStyle w:val="2"/>
        <w:numPr>
          <w:ilvl w:val="1"/>
          <w:numId w:val="13"/>
        </w:numPr>
        <w:tabs>
          <w:tab w:val="left" w:pos="832"/>
        </w:tabs>
        <w:spacing w:before="88"/>
      </w:pPr>
      <w:bookmarkStart w:id="810" w:name="9.3._Embedded_Web_Servers"/>
      <w:bookmarkStart w:id="811" w:name="_Toc54423930"/>
      <w:bookmarkEnd w:id="810"/>
      <w:r>
        <w:rPr>
          <w:color w:val="333333"/>
          <w:w w:val="110"/>
        </w:rPr>
        <w:lastRenderedPageBreak/>
        <w:t xml:space="preserve">Embedded </w:t>
      </w:r>
      <w:r>
        <w:rPr>
          <w:color w:val="333333"/>
          <w:spacing w:val="-8"/>
          <w:w w:val="110"/>
        </w:rPr>
        <w:t>Web</w:t>
      </w:r>
      <w:r>
        <w:rPr>
          <w:color w:val="333333"/>
          <w:spacing w:val="-14"/>
          <w:w w:val="110"/>
        </w:rPr>
        <w:t xml:space="preserve"> </w:t>
      </w:r>
      <w:r>
        <w:rPr>
          <w:color w:val="333333"/>
          <w:w w:val="110"/>
        </w:rPr>
        <w:t>Servers</w:t>
      </w:r>
      <w:bookmarkEnd w:id="811"/>
    </w:p>
    <w:p w14:paraId="2FF5A865" w14:textId="77777777" w:rsidR="00A720EB" w:rsidRDefault="0030286B">
      <w:pPr>
        <w:pStyle w:val="a3"/>
        <w:spacing w:before="254" w:line="307" w:lineRule="auto"/>
        <w:ind w:left="124" w:right="130"/>
        <w:jc w:val="both"/>
      </w:pPr>
      <w:r>
        <w:rPr>
          <w:color w:val="333333"/>
          <w:w w:val="110"/>
        </w:rPr>
        <w:t xml:space="preserve">Each Spring Boot web application includes an embedded web server. This feature </w:t>
      </w:r>
      <w:proofErr w:type="gramStart"/>
      <w:r>
        <w:rPr>
          <w:color w:val="333333"/>
          <w:w w:val="110"/>
        </w:rPr>
        <w:t>leads  to</w:t>
      </w:r>
      <w:proofErr w:type="gramEnd"/>
      <w:r>
        <w:rPr>
          <w:color w:val="333333"/>
          <w:w w:val="110"/>
        </w:rPr>
        <w:t xml:space="preserve">  a  number of how-to questions, including how to change the embedded server and how to configure  the embedded server. This section answers those</w:t>
      </w:r>
      <w:r>
        <w:rPr>
          <w:color w:val="333333"/>
          <w:spacing w:val="20"/>
          <w:w w:val="110"/>
        </w:rPr>
        <w:t xml:space="preserve"> </w:t>
      </w:r>
      <w:r>
        <w:rPr>
          <w:color w:val="333333"/>
          <w:w w:val="110"/>
        </w:rPr>
        <w:t>questions.</w:t>
      </w:r>
    </w:p>
    <w:p w14:paraId="7E49F28B" w14:textId="77777777" w:rsidR="00A720EB" w:rsidRDefault="00A720EB">
      <w:pPr>
        <w:pStyle w:val="a3"/>
        <w:spacing w:before="9"/>
        <w:rPr>
          <w:sz w:val="25"/>
        </w:rPr>
      </w:pPr>
    </w:p>
    <w:p w14:paraId="75EAC61D" w14:textId="77777777" w:rsidR="00A720EB" w:rsidRDefault="0030286B">
      <w:pPr>
        <w:pStyle w:val="3"/>
        <w:numPr>
          <w:ilvl w:val="2"/>
          <w:numId w:val="13"/>
        </w:numPr>
        <w:tabs>
          <w:tab w:val="left" w:pos="858"/>
        </w:tabs>
        <w:ind w:hanging="734"/>
      </w:pPr>
      <w:bookmarkStart w:id="812" w:name="9.3.1._Use_Another_Web_Server"/>
      <w:bookmarkStart w:id="813" w:name="_Toc54423931"/>
      <w:bookmarkEnd w:id="812"/>
      <w:r>
        <w:rPr>
          <w:color w:val="333333"/>
          <w:w w:val="110"/>
        </w:rPr>
        <w:t xml:space="preserve">Use Another </w:t>
      </w:r>
      <w:r>
        <w:rPr>
          <w:color w:val="333333"/>
          <w:spacing w:val="-6"/>
          <w:w w:val="110"/>
        </w:rPr>
        <w:t>Web</w:t>
      </w:r>
      <w:r>
        <w:rPr>
          <w:color w:val="333333"/>
          <w:spacing w:val="-16"/>
          <w:w w:val="110"/>
        </w:rPr>
        <w:t xml:space="preserve"> </w:t>
      </w:r>
      <w:r>
        <w:rPr>
          <w:color w:val="333333"/>
          <w:w w:val="110"/>
        </w:rPr>
        <w:t>Server</w:t>
      </w:r>
      <w:bookmarkEnd w:id="813"/>
    </w:p>
    <w:p w14:paraId="4ABF3E0C" w14:textId="77777777" w:rsidR="00A720EB" w:rsidRDefault="0030286B">
      <w:pPr>
        <w:pStyle w:val="a3"/>
        <w:spacing w:before="254"/>
        <w:ind w:left="124"/>
        <w:jc w:val="both"/>
      </w:pPr>
      <w:r>
        <w:rPr>
          <w:color w:val="333333"/>
          <w:w w:val="110"/>
        </w:rPr>
        <w:t>Many Spring Boot starters include default embedded containers.</w:t>
      </w:r>
    </w:p>
    <w:p w14:paraId="25BC2169" w14:textId="77777777" w:rsidR="00A720EB" w:rsidRDefault="00A720EB">
      <w:pPr>
        <w:pStyle w:val="a3"/>
        <w:spacing w:before="5"/>
        <w:rPr>
          <w:sz w:val="25"/>
        </w:rPr>
      </w:pPr>
    </w:p>
    <w:p w14:paraId="3D5A84D3" w14:textId="77777777" w:rsidR="00A720EB" w:rsidRDefault="0030286B">
      <w:pPr>
        <w:pStyle w:val="a6"/>
        <w:numPr>
          <w:ilvl w:val="3"/>
          <w:numId w:val="13"/>
        </w:numPr>
        <w:tabs>
          <w:tab w:val="left" w:pos="485"/>
        </w:tabs>
        <w:spacing w:before="1" w:line="280" w:lineRule="auto"/>
        <w:ind w:right="122"/>
        <w:jc w:val="both"/>
        <w:rPr>
          <w:sz w:val="21"/>
        </w:rPr>
      </w:pPr>
      <w:r>
        <w:rPr>
          <w:color w:val="333333"/>
          <w:spacing w:val="-4"/>
          <w:w w:val="110"/>
          <w:sz w:val="21"/>
        </w:rPr>
        <w:t>For</w:t>
      </w:r>
      <w:r>
        <w:rPr>
          <w:color w:val="333333"/>
          <w:spacing w:val="-20"/>
          <w:w w:val="110"/>
          <w:sz w:val="21"/>
        </w:rPr>
        <w:t xml:space="preserve"> </w:t>
      </w:r>
      <w:r>
        <w:rPr>
          <w:color w:val="333333"/>
          <w:w w:val="110"/>
          <w:sz w:val="21"/>
        </w:rPr>
        <w:t>servlet</w:t>
      </w:r>
      <w:r>
        <w:rPr>
          <w:color w:val="333333"/>
          <w:spacing w:val="-20"/>
          <w:w w:val="110"/>
          <w:sz w:val="21"/>
        </w:rPr>
        <w:t xml:space="preserve"> </w:t>
      </w:r>
      <w:r>
        <w:rPr>
          <w:color w:val="333333"/>
          <w:w w:val="110"/>
          <w:sz w:val="21"/>
        </w:rPr>
        <w:t>stack</w:t>
      </w:r>
      <w:r>
        <w:rPr>
          <w:color w:val="333333"/>
          <w:spacing w:val="-20"/>
          <w:w w:val="110"/>
          <w:sz w:val="21"/>
        </w:rPr>
        <w:t xml:space="preserve"> </w:t>
      </w:r>
      <w:r>
        <w:rPr>
          <w:color w:val="333333"/>
          <w:w w:val="110"/>
          <w:sz w:val="21"/>
        </w:rPr>
        <w:t>applications,</w:t>
      </w:r>
      <w:r>
        <w:rPr>
          <w:color w:val="333333"/>
          <w:spacing w:val="-20"/>
          <w:w w:val="110"/>
          <w:sz w:val="21"/>
        </w:rPr>
        <w:t xml:space="preserve"> </w:t>
      </w:r>
      <w:r>
        <w:rPr>
          <w:color w:val="333333"/>
          <w:w w:val="110"/>
          <w:sz w:val="21"/>
        </w:rPr>
        <w:t>the</w:t>
      </w:r>
      <w:r>
        <w:rPr>
          <w:color w:val="333333"/>
          <w:spacing w:val="-17"/>
          <w:w w:val="110"/>
          <w:sz w:val="21"/>
        </w:rPr>
        <w:t xml:space="preserve"> </w:t>
      </w:r>
      <w:r>
        <w:rPr>
          <w:rFonts w:ascii="MS Gothic" w:hAnsi="MS Gothic"/>
          <w:color w:val="B02045"/>
          <w:w w:val="110"/>
          <w:sz w:val="21"/>
        </w:rPr>
        <w:t>spring-boot-starter-web</w:t>
      </w:r>
      <w:r>
        <w:rPr>
          <w:rFonts w:ascii="MS Gothic" w:hAnsi="MS Gothic"/>
          <w:color w:val="B02045"/>
          <w:spacing w:val="-85"/>
          <w:w w:val="110"/>
          <w:sz w:val="21"/>
        </w:rPr>
        <w:t xml:space="preserve"> </w:t>
      </w:r>
      <w:r>
        <w:rPr>
          <w:color w:val="333333"/>
          <w:w w:val="110"/>
          <w:sz w:val="21"/>
        </w:rPr>
        <w:t>includes</w:t>
      </w:r>
      <w:r>
        <w:rPr>
          <w:color w:val="333333"/>
          <w:spacing w:val="-20"/>
          <w:w w:val="110"/>
          <w:sz w:val="21"/>
        </w:rPr>
        <w:t xml:space="preserve"> </w:t>
      </w:r>
      <w:r>
        <w:rPr>
          <w:color w:val="333333"/>
          <w:w w:val="110"/>
          <w:sz w:val="21"/>
        </w:rPr>
        <w:t>Tomcat</w:t>
      </w:r>
      <w:r>
        <w:rPr>
          <w:color w:val="333333"/>
          <w:spacing w:val="-19"/>
          <w:w w:val="110"/>
          <w:sz w:val="21"/>
        </w:rPr>
        <w:t xml:space="preserve"> </w:t>
      </w:r>
      <w:r>
        <w:rPr>
          <w:color w:val="333333"/>
          <w:spacing w:val="-3"/>
          <w:w w:val="110"/>
          <w:sz w:val="21"/>
        </w:rPr>
        <w:t>by</w:t>
      </w:r>
      <w:r>
        <w:rPr>
          <w:color w:val="333333"/>
          <w:spacing w:val="-20"/>
          <w:w w:val="110"/>
          <w:sz w:val="21"/>
        </w:rPr>
        <w:t xml:space="preserve"> </w:t>
      </w:r>
      <w:r>
        <w:rPr>
          <w:color w:val="333333"/>
          <w:w w:val="110"/>
          <w:sz w:val="21"/>
        </w:rPr>
        <w:t>including</w:t>
      </w:r>
      <w:r>
        <w:rPr>
          <w:color w:val="333333"/>
          <w:spacing w:val="-18"/>
          <w:w w:val="110"/>
          <w:sz w:val="21"/>
        </w:rPr>
        <w:t xml:space="preserve"> </w:t>
      </w:r>
      <w:r>
        <w:rPr>
          <w:rFonts w:ascii="MS Gothic" w:hAnsi="MS Gothic"/>
          <w:color w:val="B02045"/>
          <w:w w:val="110"/>
          <w:sz w:val="21"/>
        </w:rPr>
        <w:t>spring- boot-starter-tomcat</w:t>
      </w:r>
      <w:r>
        <w:rPr>
          <w:color w:val="333333"/>
          <w:w w:val="110"/>
          <w:sz w:val="21"/>
        </w:rPr>
        <w:t xml:space="preserve">, but you can use </w:t>
      </w:r>
      <w:r>
        <w:rPr>
          <w:rFonts w:ascii="MS Gothic" w:hAnsi="MS Gothic"/>
          <w:color w:val="B02045"/>
          <w:w w:val="110"/>
          <w:sz w:val="21"/>
        </w:rPr>
        <w:t xml:space="preserve">spring-boot-starter-jetty </w:t>
      </w:r>
      <w:r>
        <w:rPr>
          <w:color w:val="333333"/>
          <w:w w:val="110"/>
          <w:sz w:val="21"/>
        </w:rPr>
        <w:t xml:space="preserve">or </w:t>
      </w:r>
      <w:r>
        <w:rPr>
          <w:rFonts w:ascii="MS Gothic" w:hAnsi="MS Gothic"/>
          <w:color w:val="B02045"/>
          <w:w w:val="110"/>
          <w:sz w:val="21"/>
        </w:rPr>
        <w:t>spring-boot-starter- undertow</w:t>
      </w:r>
      <w:r>
        <w:rPr>
          <w:rFonts w:ascii="MS Gothic" w:hAnsi="MS Gothic"/>
          <w:color w:val="B02045"/>
          <w:spacing w:val="-63"/>
          <w:w w:val="110"/>
          <w:sz w:val="21"/>
        </w:rPr>
        <w:t xml:space="preserve"> </w:t>
      </w:r>
      <w:r>
        <w:rPr>
          <w:color w:val="333333"/>
          <w:w w:val="110"/>
          <w:sz w:val="21"/>
        </w:rPr>
        <w:t>instead.</w:t>
      </w:r>
    </w:p>
    <w:p w14:paraId="54A657A9" w14:textId="77777777" w:rsidR="00A720EB" w:rsidRDefault="0030286B">
      <w:pPr>
        <w:pStyle w:val="a6"/>
        <w:numPr>
          <w:ilvl w:val="3"/>
          <w:numId w:val="13"/>
        </w:numPr>
        <w:tabs>
          <w:tab w:val="left" w:pos="485"/>
        </w:tabs>
        <w:spacing w:before="122" w:line="280" w:lineRule="auto"/>
        <w:ind w:right="122"/>
        <w:jc w:val="both"/>
        <w:rPr>
          <w:sz w:val="21"/>
        </w:rPr>
      </w:pPr>
      <w:r>
        <w:rPr>
          <w:color w:val="333333"/>
          <w:spacing w:val="-4"/>
          <w:w w:val="110"/>
          <w:sz w:val="21"/>
        </w:rPr>
        <w:t xml:space="preserve">For </w:t>
      </w:r>
      <w:r>
        <w:rPr>
          <w:color w:val="333333"/>
          <w:w w:val="110"/>
          <w:sz w:val="21"/>
        </w:rPr>
        <w:t xml:space="preserve">reactive stack applications, the </w:t>
      </w:r>
      <w:r>
        <w:rPr>
          <w:rFonts w:ascii="MS Gothic" w:hAnsi="MS Gothic"/>
          <w:color w:val="B02045"/>
          <w:w w:val="110"/>
          <w:sz w:val="21"/>
        </w:rPr>
        <w:t xml:space="preserve">spring-boot-starter-webflux </w:t>
      </w:r>
      <w:r>
        <w:rPr>
          <w:color w:val="333333"/>
          <w:w w:val="110"/>
          <w:sz w:val="21"/>
        </w:rPr>
        <w:t xml:space="preserve">includes Reactor Netty </w:t>
      </w:r>
      <w:r>
        <w:rPr>
          <w:color w:val="333333"/>
          <w:spacing w:val="-3"/>
          <w:w w:val="110"/>
          <w:sz w:val="21"/>
        </w:rPr>
        <w:t xml:space="preserve">by </w:t>
      </w:r>
      <w:r>
        <w:rPr>
          <w:color w:val="333333"/>
          <w:w w:val="110"/>
          <w:sz w:val="21"/>
        </w:rPr>
        <w:t xml:space="preserve">including </w:t>
      </w:r>
      <w:r>
        <w:rPr>
          <w:rFonts w:ascii="MS Gothic" w:hAnsi="MS Gothic"/>
          <w:color w:val="B02045"/>
          <w:w w:val="110"/>
          <w:sz w:val="21"/>
        </w:rPr>
        <w:t>spring-boot-starter-reactor-netty</w:t>
      </w:r>
      <w:r>
        <w:rPr>
          <w:color w:val="333333"/>
          <w:w w:val="110"/>
          <w:sz w:val="21"/>
        </w:rPr>
        <w:t xml:space="preserve">, but you can use </w:t>
      </w:r>
      <w:r>
        <w:rPr>
          <w:rFonts w:ascii="MS Gothic" w:hAnsi="MS Gothic"/>
          <w:color w:val="B02045"/>
          <w:w w:val="110"/>
          <w:sz w:val="21"/>
        </w:rPr>
        <w:t>spring-boot-starter-tomcat</w:t>
      </w:r>
      <w:r>
        <w:rPr>
          <w:color w:val="333333"/>
          <w:w w:val="110"/>
          <w:sz w:val="21"/>
        </w:rPr>
        <w:t xml:space="preserve">, </w:t>
      </w:r>
      <w:r>
        <w:rPr>
          <w:rFonts w:ascii="MS Gothic" w:hAnsi="MS Gothic"/>
          <w:color w:val="B02045"/>
          <w:w w:val="110"/>
          <w:sz w:val="21"/>
        </w:rPr>
        <w:t>spring-boot-starter-jetty</w:t>
      </w:r>
      <w:r>
        <w:rPr>
          <w:color w:val="333333"/>
          <w:w w:val="110"/>
          <w:sz w:val="21"/>
        </w:rPr>
        <w:t xml:space="preserve">, or </w:t>
      </w:r>
      <w:r>
        <w:rPr>
          <w:rFonts w:ascii="MS Gothic" w:hAnsi="MS Gothic"/>
          <w:color w:val="B02045"/>
          <w:w w:val="110"/>
          <w:sz w:val="21"/>
        </w:rPr>
        <w:t>spring-boot-starter-undertow</w:t>
      </w:r>
      <w:r>
        <w:rPr>
          <w:rFonts w:ascii="MS Gothic" w:hAnsi="MS Gothic"/>
          <w:color w:val="B02045"/>
          <w:spacing w:val="-85"/>
          <w:w w:val="110"/>
          <w:sz w:val="21"/>
        </w:rPr>
        <w:t xml:space="preserve"> </w:t>
      </w:r>
      <w:r>
        <w:rPr>
          <w:color w:val="333333"/>
          <w:w w:val="110"/>
          <w:sz w:val="21"/>
        </w:rPr>
        <w:t>instead.</w:t>
      </w:r>
    </w:p>
    <w:p w14:paraId="0C7DD367" w14:textId="77777777" w:rsidR="00A720EB" w:rsidRDefault="00A720EB">
      <w:pPr>
        <w:pStyle w:val="a3"/>
        <w:spacing w:before="6"/>
      </w:pPr>
    </w:p>
    <w:p w14:paraId="5223C433" w14:textId="77777777" w:rsidR="00A720EB" w:rsidRDefault="0030286B">
      <w:pPr>
        <w:pStyle w:val="a3"/>
        <w:spacing w:before="1" w:line="307" w:lineRule="auto"/>
        <w:ind w:left="124" w:right="132"/>
        <w:jc w:val="both"/>
      </w:pPr>
      <w:r>
        <w:rPr>
          <w:color w:val="333333"/>
          <w:w w:val="110"/>
        </w:rPr>
        <w:t xml:space="preserve">When switching to a different HTTP server, you need to swap the default dependencies for </w:t>
      </w:r>
      <w:proofErr w:type="gramStart"/>
      <w:r>
        <w:rPr>
          <w:color w:val="333333"/>
          <w:w w:val="110"/>
        </w:rPr>
        <w:t>those  that</w:t>
      </w:r>
      <w:proofErr w:type="gramEnd"/>
      <w:r>
        <w:rPr>
          <w:color w:val="333333"/>
          <w:w w:val="110"/>
        </w:rPr>
        <w:t xml:space="preserve"> you need instead. </w:t>
      </w:r>
      <w:r>
        <w:rPr>
          <w:color w:val="333333"/>
          <w:spacing w:val="-4"/>
          <w:w w:val="110"/>
        </w:rPr>
        <w:t xml:space="preserve">To </w:t>
      </w:r>
      <w:r>
        <w:rPr>
          <w:color w:val="333333"/>
          <w:w w:val="110"/>
        </w:rPr>
        <w:t>help with this process, Spring Boot provides a separate starter for each of the supported HTTP</w:t>
      </w:r>
      <w:r>
        <w:rPr>
          <w:color w:val="333333"/>
          <w:spacing w:val="8"/>
          <w:w w:val="110"/>
        </w:rPr>
        <w:t xml:space="preserve"> </w:t>
      </w:r>
      <w:r>
        <w:rPr>
          <w:color w:val="333333"/>
          <w:w w:val="110"/>
        </w:rPr>
        <w:t>servers.</w:t>
      </w:r>
    </w:p>
    <w:p w14:paraId="412AB1B1" w14:textId="77777777" w:rsidR="00A720EB" w:rsidRDefault="0030286B">
      <w:pPr>
        <w:pStyle w:val="a3"/>
        <w:spacing w:before="241"/>
        <w:ind w:left="124"/>
        <w:jc w:val="both"/>
      </w:pPr>
      <w:r>
        <w:rPr>
          <w:color w:val="333333"/>
          <w:w w:val="110"/>
        </w:rPr>
        <w:t>The following Maven example shows how to exclude Tomcat and include Jetty for Spring MVC:</w:t>
      </w:r>
    </w:p>
    <w:p w14:paraId="1DEFB2FD" w14:textId="77777777" w:rsidR="00A720EB" w:rsidRDefault="00E10349">
      <w:pPr>
        <w:pStyle w:val="a3"/>
        <w:rPr>
          <w:sz w:val="19"/>
        </w:rPr>
      </w:pPr>
      <w:r>
        <w:pict w14:anchorId="32B7E8CC">
          <v:group id="_x0000_s1589" style="position:absolute;margin-left:47.85pt;margin-top:13.1pt;width:499.55pt;height:302.85pt;z-index:-15111168;mso-wrap-distance-left:0;mso-wrap-distance-right:0;mso-position-horizontal-relative:page" coordorigin="957,262" coordsize="9991,6057">
            <v:shape id="_x0000_s1592" style="position:absolute;left:964;top:269;width:9976;height:6042" coordorigin="965,270" coordsize="9976,6042" path="m10861,270r-9816,l1014,276r-26,17l971,319r-6,31l965,6231r6,31l988,6288r26,17l1045,6311r9816,l10892,6305r25,-17l10935,6262r6,-31l10941,350r-6,-31l10917,293r-25,-17l10861,270xe" fillcolor="#f5f5f5" stroked="f">
              <v:path arrowok="t"/>
            </v:shape>
            <v:shape id="_x0000_s1591" style="position:absolute;left:964;top:269;width:9976;height:6042" coordorigin="965,270" coordsize="9976,6042" path="m1045,270r9816,l10892,276r25,17l10935,319r6,31l10941,6231r-6,31l10917,6288r-25,17l10861,6311r-9816,l1014,6305r-26,-17l971,6262r-6,-31l965,350r6,-31l988,293r26,-17l1045,270xe" filled="f" strokecolor="#ccc">
              <v:path arrowok="t"/>
            </v:shape>
            <v:shape id="_x0000_s1590" type="#_x0000_t202" style="position:absolute;left:984;top:285;width:9938;height:6011" filled="f" stroked="f">
              <v:textbox inset="0,0,0,0">
                <w:txbxContent>
                  <w:p w14:paraId="081A5596" w14:textId="77777777" w:rsidR="00711A16" w:rsidRDefault="00711A16">
                    <w:pPr>
                      <w:spacing w:before="221"/>
                      <w:ind w:left="200"/>
                      <w:rPr>
                        <w:rFonts w:ascii="MS Gothic"/>
                      </w:rPr>
                    </w:pPr>
                    <w:r>
                      <w:rPr>
                        <w:rFonts w:ascii="MS Gothic"/>
                        <w:color w:val="333333"/>
                      </w:rPr>
                      <w:t>&lt;properties&gt;</w:t>
                    </w:r>
                  </w:p>
                  <w:p w14:paraId="75520500" w14:textId="77777777" w:rsidR="00711A16" w:rsidRDefault="00711A16">
                    <w:pPr>
                      <w:spacing w:before="13"/>
                      <w:ind w:left="640"/>
                      <w:rPr>
                        <w:rFonts w:ascii="MS Gothic"/>
                      </w:rPr>
                    </w:pPr>
                    <w:r>
                      <w:rPr>
                        <w:rFonts w:ascii="MS Gothic"/>
                        <w:color w:val="333333"/>
                      </w:rPr>
                      <w:t>&lt;servlet-</w:t>
                    </w:r>
                    <w:proofErr w:type="gramStart"/>
                    <w:r>
                      <w:rPr>
                        <w:rFonts w:ascii="MS Gothic"/>
                        <w:color w:val="333333"/>
                      </w:rPr>
                      <w:t>api.version</w:t>
                    </w:r>
                    <w:proofErr w:type="gramEnd"/>
                    <w:r>
                      <w:rPr>
                        <w:rFonts w:ascii="MS Gothic"/>
                        <w:color w:val="333333"/>
                      </w:rPr>
                      <w:t>&gt;3.1.0&lt;/servlet-api.version&gt;</w:t>
                    </w:r>
                  </w:p>
                  <w:p w14:paraId="6696C2F7" w14:textId="77777777" w:rsidR="00711A16" w:rsidRDefault="00711A16">
                    <w:pPr>
                      <w:spacing w:before="13"/>
                      <w:ind w:left="200"/>
                      <w:rPr>
                        <w:rFonts w:ascii="MS Gothic"/>
                      </w:rPr>
                    </w:pPr>
                    <w:r>
                      <w:rPr>
                        <w:rFonts w:ascii="MS Gothic"/>
                        <w:color w:val="333333"/>
                      </w:rPr>
                      <w:t>&lt;/properties&gt;</w:t>
                    </w:r>
                  </w:p>
                  <w:p w14:paraId="40C26236" w14:textId="77777777" w:rsidR="00711A16" w:rsidRDefault="00711A16">
                    <w:pPr>
                      <w:spacing w:before="13"/>
                      <w:ind w:left="200"/>
                      <w:rPr>
                        <w:rFonts w:ascii="MS Gothic"/>
                      </w:rPr>
                    </w:pPr>
                    <w:r>
                      <w:rPr>
                        <w:rFonts w:ascii="MS Gothic"/>
                        <w:color w:val="333333"/>
                      </w:rPr>
                      <w:t>&lt;dependency&gt;</w:t>
                    </w:r>
                  </w:p>
                  <w:p w14:paraId="7C3E7B58" w14:textId="77777777" w:rsidR="00711A16" w:rsidRDefault="00711A16">
                    <w:pPr>
                      <w:spacing w:before="12"/>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040ED4FC" w14:textId="77777777" w:rsidR="00711A16" w:rsidRDefault="00711A16">
                    <w:pPr>
                      <w:spacing w:before="13"/>
                      <w:ind w:left="640"/>
                      <w:rPr>
                        <w:rFonts w:ascii="MS Gothic"/>
                      </w:rPr>
                    </w:pPr>
                    <w:r>
                      <w:rPr>
                        <w:rFonts w:ascii="MS Gothic"/>
                        <w:color w:val="333333"/>
                      </w:rPr>
                      <w:t>&lt;artifactId&gt;spring-boot-starter-web&lt;/artifactId&gt;</w:t>
                    </w:r>
                  </w:p>
                  <w:p w14:paraId="480D7E52" w14:textId="77777777" w:rsidR="00711A16" w:rsidRDefault="00711A16">
                    <w:pPr>
                      <w:spacing w:before="13"/>
                      <w:ind w:left="640"/>
                      <w:rPr>
                        <w:rFonts w:ascii="MS Gothic"/>
                      </w:rPr>
                    </w:pPr>
                    <w:r>
                      <w:rPr>
                        <w:rFonts w:ascii="MS Gothic"/>
                        <w:color w:val="333333"/>
                      </w:rPr>
                      <w:t>&lt;exclusions&gt;</w:t>
                    </w:r>
                  </w:p>
                  <w:p w14:paraId="48B3E129" w14:textId="77777777" w:rsidR="00711A16" w:rsidRDefault="00711A16">
                    <w:pPr>
                      <w:spacing w:before="13"/>
                      <w:ind w:left="1080"/>
                      <w:rPr>
                        <w:rFonts w:ascii="MS Gothic"/>
                      </w:rPr>
                    </w:pPr>
                    <w:proofErr w:type="gramStart"/>
                    <w:r>
                      <w:rPr>
                        <w:rFonts w:ascii="MS Gothic"/>
                        <w:color w:val="333333"/>
                      </w:rPr>
                      <w:t>&lt;!--</w:t>
                    </w:r>
                    <w:proofErr w:type="gramEnd"/>
                    <w:r>
                      <w:rPr>
                        <w:rFonts w:ascii="MS Gothic"/>
                        <w:color w:val="333333"/>
                      </w:rPr>
                      <w:t xml:space="preserve"> Exclude the Tomcat dependency --&gt;</w:t>
                    </w:r>
                  </w:p>
                  <w:p w14:paraId="37D1C5C6" w14:textId="77777777" w:rsidR="00711A16" w:rsidRDefault="00711A16">
                    <w:pPr>
                      <w:spacing w:before="13"/>
                      <w:ind w:left="1080"/>
                      <w:rPr>
                        <w:rFonts w:ascii="MS Gothic"/>
                      </w:rPr>
                    </w:pPr>
                    <w:r>
                      <w:rPr>
                        <w:rFonts w:ascii="MS Gothic"/>
                        <w:color w:val="333333"/>
                      </w:rPr>
                      <w:t>&lt;exclusion&gt;</w:t>
                    </w:r>
                  </w:p>
                  <w:p w14:paraId="059D1BA5"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773A2CD4" w14:textId="77777777" w:rsidR="00711A16" w:rsidRDefault="00711A16">
                    <w:pPr>
                      <w:spacing w:before="13"/>
                      <w:ind w:left="1520"/>
                      <w:rPr>
                        <w:rFonts w:ascii="MS Gothic"/>
                      </w:rPr>
                    </w:pPr>
                    <w:r>
                      <w:rPr>
                        <w:rFonts w:ascii="MS Gothic"/>
                        <w:color w:val="333333"/>
                      </w:rPr>
                      <w:t>&lt;artifactId&gt;spring-boot-starter-tomcat&lt;/artifactId&gt;</w:t>
                    </w:r>
                  </w:p>
                  <w:p w14:paraId="0DD6C172" w14:textId="77777777" w:rsidR="00711A16" w:rsidRDefault="00711A16">
                    <w:pPr>
                      <w:spacing w:before="13"/>
                      <w:ind w:left="1080"/>
                      <w:rPr>
                        <w:rFonts w:ascii="MS Gothic"/>
                      </w:rPr>
                    </w:pPr>
                    <w:r>
                      <w:rPr>
                        <w:rFonts w:ascii="MS Gothic"/>
                        <w:color w:val="333333"/>
                      </w:rPr>
                      <w:t>&lt;/exclusion&gt;</w:t>
                    </w:r>
                  </w:p>
                  <w:p w14:paraId="02C7F2C8" w14:textId="77777777" w:rsidR="00711A16" w:rsidRDefault="00711A16">
                    <w:pPr>
                      <w:spacing w:before="13"/>
                      <w:ind w:left="640"/>
                      <w:rPr>
                        <w:rFonts w:ascii="MS Gothic"/>
                      </w:rPr>
                    </w:pPr>
                    <w:r>
                      <w:rPr>
                        <w:rFonts w:ascii="MS Gothic"/>
                        <w:color w:val="333333"/>
                      </w:rPr>
                      <w:t>&lt;/exclusions&gt;</w:t>
                    </w:r>
                  </w:p>
                  <w:p w14:paraId="4BB99741" w14:textId="77777777" w:rsidR="00711A16" w:rsidRDefault="00711A16">
                    <w:pPr>
                      <w:spacing w:before="13"/>
                      <w:ind w:left="200"/>
                      <w:rPr>
                        <w:rFonts w:ascii="MS Gothic"/>
                      </w:rPr>
                    </w:pPr>
                    <w:r>
                      <w:rPr>
                        <w:rFonts w:ascii="MS Gothic"/>
                        <w:color w:val="333333"/>
                      </w:rPr>
                      <w:t>&lt;/dependency&gt;</w:t>
                    </w:r>
                  </w:p>
                  <w:p w14:paraId="29EC8616" w14:textId="77777777" w:rsidR="00711A16" w:rsidRDefault="00711A16">
                    <w:pPr>
                      <w:spacing w:before="13"/>
                      <w:ind w:left="200"/>
                      <w:rPr>
                        <w:rFonts w:ascii="MS Gothic"/>
                      </w:rPr>
                    </w:pPr>
                    <w:proofErr w:type="gramStart"/>
                    <w:r>
                      <w:rPr>
                        <w:rFonts w:ascii="MS Gothic"/>
                        <w:color w:val="333333"/>
                      </w:rPr>
                      <w:t>&lt;!--</w:t>
                    </w:r>
                    <w:proofErr w:type="gramEnd"/>
                    <w:r>
                      <w:rPr>
                        <w:rFonts w:ascii="MS Gothic"/>
                        <w:color w:val="333333"/>
                      </w:rPr>
                      <w:t xml:space="preserve"> Use Jetty instead --&gt;</w:t>
                    </w:r>
                  </w:p>
                  <w:p w14:paraId="71E0D2EE" w14:textId="77777777" w:rsidR="00711A16" w:rsidRDefault="00711A16">
                    <w:pPr>
                      <w:spacing w:before="13"/>
                      <w:ind w:left="200"/>
                      <w:rPr>
                        <w:rFonts w:ascii="MS Gothic"/>
                      </w:rPr>
                    </w:pPr>
                    <w:r>
                      <w:rPr>
                        <w:rFonts w:ascii="MS Gothic"/>
                        <w:color w:val="333333"/>
                      </w:rPr>
                      <w:t>&lt;dependency&gt;</w:t>
                    </w:r>
                  </w:p>
                  <w:p w14:paraId="5908E59A"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455D2993" w14:textId="77777777" w:rsidR="00711A16" w:rsidRDefault="00711A16">
                    <w:pPr>
                      <w:spacing w:before="12"/>
                      <w:ind w:left="640"/>
                      <w:rPr>
                        <w:rFonts w:ascii="MS Gothic"/>
                      </w:rPr>
                    </w:pPr>
                    <w:r>
                      <w:rPr>
                        <w:rFonts w:ascii="MS Gothic"/>
                        <w:color w:val="333333"/>
                      </w:rPr>
                      <w:t>&lt;artifactId&gt;spring-boot-starter-jetty&lt;/artifactId&gt;</w:t>
                    </w:r>
                  </w:p>
                  <w:p w14:paraId="2210C412"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0FB245AA" w14:textId="77777777" w:rsidR="00A720EB" w:rsidRDefault="00A720EB">
      <w:pPr>
        <w:pStyle w:val="a3"/>
        <w:spacing w:before="10"/>
        <w:rPr>
          <w:sz w:val="16"/>
        </w:rPr>
      </w:pPr>
    </w:p>
    <w:p w14:paraId="4527559C" w14:textId="77777777" w:rsidR="00A720EB" w:rsidRDefault="00E10349">
      <w:pPr>
        <w:pStyle w:val="a3"/>
        <w:spacing w:before="125" w:line="307" w:lineRule="auto"/>
        <w:ind w:left="1564" w:right="462"/>
      </w:pPr>
      <w:r>
        <w:pict w14:anchorId="546AABB5">
          <v:line id="_x0000_s1588" style="position:absolute;left:0;text-align:left;z-index:16346624;mso-position-horizontal-relative:page" from="108.25pt,.25pt" to="108.25pt,39.8pt" strokecolor="#ededed" strokeweight=".5pt">
            <w10:wrap anchorx="page"/>
          </v:line>
        </w:pict>
      </w:r>
      <w:r w:rsidR="0030286B">
        <w:rPr>
          <w:noProof/>
        </w:rPr>
        <w:drawing>
          <wp:anchor distT="0" distB="0" distL="0" distR="0" simplePos="0" relativeHeight="16347136" behindDoc="0" locked="0" layoutInCell="1" allowOverlap="1" wp14:anchorId="1B4A112D" wp14:editId="0381BDB3">
            <wp:simplePos x="0" y="0"/>
            <wp:positionH relativeFrom="page">
              <wp:posOffset>844422</wp:posOffset>
            </wp:positionH>
            <wp:positionV relativeFrom="paragraph">
              <wp:posOffset>105321</wp:posOffset>
            </wp:positionV>
            <wp:extent cx="298450" cy="298450"/>
            <wp:effectExtent l="0" t="0" r="0" b="0"/>
            <wp:wrapNone/>
            <wp:docPr id="7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The version of the Servlet API has been overridden as, unlike Tomcat 9 and Undertow 2.0, Jetty 9.4 does not support Servlet 4.0.</w:t>
      </w:r>
    </w:p>
    <w:p w14:paraId="110C2D1F" w14:textId="77777777" w:rsidR="00A720EB" w:rsidRDefault="00A720EB">
      <w:pPr>
        <w:pStyle w:val="a3"/>
        <w:spacing w:before="8"/>
        <w:rPr>
          <w:sz w:val="16"/>
        </w:rPr>
      </w:pPr>
    </w:p>
    <w:p w14:paraId="1B2BC3DF" w14:textId="77777777" w:rsidR="00A720EB" w:rsidRDefault="0030286B">
      <w:pPr>
        <w:pStyle w:val="a3"/>
        <w:spacing w:before="125" w:line="307" w:lineRule="auto"/>
        <w:ind w:left="124"/>
      </w:pPr>
      <w:r>
        <w:rPr>
          <w:color w:val="333333"/>
          <w:w w:val="110"/>
        </w:rPr>
        <w:t>The following Gradle example shows how to use Undertow in place of Reactor Netty for Spring WebFlux:</w:t>
      </w:r>
    </w:p>
    <w:p w14:paraId="79061208" w14:textId="77777777" w:rsidR="00A720EB" w:rsidRDefault="00A720EB">
      <w:pPr>
        <w:spacing w:line="307" w:lineRule="auto"/>
        <w:sectPr w:rsidR="00A720EB">
          <w:pgSz w:w="11910" w:h="16840"/>
          <w:pgMar w:top="620" w:right="840" w:bottom="520" w:left="840" w:header="0" w:footer="323" w:gutter="0"/>
          <w:cols w:space="720"/>
        </w:sectPr>
      </w:pPr>
    </w:p>
    <w:p w14:paraId="78EEBCCE" w14:textId="77777777" w:rsidR="00A720EB" w:rsidRDefault="00E10349">
      <w:pPr>
        <w:pStyle w:val="a3"/>
        <w:ind w:left="116"/>
        <w:rPr>
          <w:sz w:val="20"/>
        </w:rPr>
      </w:pPr>
      <w:r>
        <w:rPr>
          <w:sz w:val="20"/>
        </w:rPr>
      </w:r>
      <w:r>
        <w:rPr>
          <w:sz w:val="20"/>
        </w:rPr>
        <w:pict w14:anchorId="609B727E">
          <v:group id="_x0000_s1584" style="width:499.55pt;height:229.15pt;mso-position-horizontal-relative:char;mso-position-vertical-relative:line" coordsize="9991,4583">
            <v:shape id="_x0000_s1587" style="position:absolute;left:7;top:7;width:9976;height:4568" coordorigin="8,8" coordsize="9976,4568" path="m9904,8l88,8,56,14,31,31,14,56,8,88r,4407l14,4526r17,25l56,4568r32,7l9904,4575r31,-7l9960,4551r17,-25l9984,4495r,-4407l9977,56,9960,31,9935,14,9904,8xe" fillcolor="#f5f5f5" stroked="f">
              <v:path arrowok="t"/>
            </v:shape>
            <v:shape id="_x0000_s1586" style="position:absolute;left:7;top:7;width:9976;height:4568" coordorigin="8,8" coordsize="9976,4568" path="m88,8r9816,l9935,14r25,17l9977,56r7,32l9984,4495r-7,31l9960,4551r-25,17l9904,4575r-9816,l56,4568,31,4551,14,4526,8,4495,8,88,14,56,31,31,56,14,88,8xe" filled="f" strokecolor="#ccc">
              <v:path arrowok="t"/>
            </v:shape>
            <v:shape id="_x0000_s1585" type="#_x0000_t202" style="position:absolute;left:26;top:22;width:9938;height:4537" filled="f" stroked="f">
              <v:textbox inset="0,0,0,0">
                <w:txbxContent>
                  <w:p w14:paraId="17A3FABA" w14:textId="77777777" w:rsidR="00711A16" w:rsidRDefault="00711A16">
                    <w:pPr>
                      <w:spacing w:before="221" w:line="252" w:lineRule="auto"/>
                      <w:ind w:left="640" w:right="2584" w:hanging="440"/>
                      <w:rPr>
                        <w:rFonts w:ascii="MS Gothic"/>
                      </w:rPr>
                    </w:pPr>
                    <w:r>
                      <w:rPr>
                        <w:rFonts w:ascii="MS Gothic"/>
                        <w:color w:val="333333"/>
                      </w:rPr>
                      <w:t xml:space="preserve">configurations.all </w:t>
                    </w:r>
                    <w:proofErr w:type="gramStart"/>
                    <w:r>
                      <w:rPr>
                        <w:rFonts w:ascii="MS Gothic"/>
                        <w:color w:val="333333"/>
                      </w:rPr>
                      <w:t>{ resolutionStrategy.dependencySubstitution.all</w:t>
                    </w:r>
                    <w:proofErr w:type="gramEnd"/>
                    <w:r>
                      <w:rPr>
                        <w:rFonts w:ascii="MS Gothic"/>
                        <w:color w:val="333333"/>
                      </w:rPr>
                      <w:t xml:space="preserve"> { dependency</w:t>
                    </w:r>
                    <w:r>
                      <w:rPr>
                        <w:rFonts w:ascii="MS Gothic"/>
                        <w:color w:val="333333"/>
                        <w:spacing w:val="1"/>
                      </w:rPr>
                      <w:t xml:space="preserve"> </w:t>
                    </w:r>
                    <w:r>
                      <w:rPr>
                        <w:rFonts w:ascii="MS Gothic"/>
                        <w:color w:val="333333"/>
                        <w:spacing w:val="-9"/>
                      </w:rPr>
                      <w:t>-&gt;</w:t>
                    </w:r>
                  </w:p>
                  <w:p w14:paraId="08D674EF" w14:textId="77777777" w:rsidR="00711A16" w:rsidRDefault="00711A16">
                    <w:pPr>
                      <w:spacing w:line="252" w:lineRule="auto"/>
                      <w:ind w:left="200" w:right="2018" w:firstLine="880"/>
                      <w:rPr>
                        <w:rFonts w:ascii="MS Gothic"/>
                      </w:rPr>
                    </w:pPr>
                    <w:r>
                      <w:rPr>
                        <w:rFonts w:ascii="MS Gothic"/>
                        <w:color w:val="333333"/>
                      </w:rPr>
                      <w:t>if (</w:t>
                    </w:r>
                    <w:proofErr w:type="gramStart"/>
                    <w:r>
                      <w:rPr>
                        <w:rFonts w:ascii="MS Gothic"/>
                        <w:color w:val="333333"/>
                      </w:rPr>
                      <w:t>dependency.requested</w:t>
                    </w:r>
                    <w:proofErr w:type="gramEnd"/>
                    <w:r>
                      <w:rPr>
                        <w:rFonts w:ascii="MS Gothic"/>
                        <w:color w:val="333333"/>
                      </w:rPr>
                      <w:t xml:space="preserve"> instanceof ModuleComponentSelector &amp;&amp; dependency.requested.module == 'spring-boot-starter-reactor-netty') {</w:t>
                    </w:r>
                  </w:p>
                  <w:p w14:paraId="2650B39E" w14:textId="77777777" w:rsidR="00711A16" w:rsidRDefault="00711A16">
                    <w:pPr>
                      <w:spacing w:line="252" w:lineRule="auto"/>
                      <w:ind w:left="200" w:right="808" w:firstLine="1320"/>
                      <w:rPr>
                        <w:rFonts w:ascii="MS Gothic"/>
                      </w:rPr>
                    </w:pPr>
                    <w:proofErr w:type="gramStart"/>
                    <w:r>
                      <w:rPr>
                        <w:rFonts w:ascii="MS Gothic"/>
                        <w:color w:val="333333"/>
                      </w:rPr>
                      <w:t>dependency.useTarget</w:t>
                    </w:r>
                    <w:proofErr w:type="gramEnd"/>
                    <w:r>
                      <w:rPr>
                        <w:rFonts w:ascii="MS Gothic"/>
                        <w:color w:val="333333"/>
                      </w:rPr>
                      <w:t>("org.springframework.boot:spring-boot-starter- undertow:$dependency.requested.version", 'Use Undertow instead of Reactor Netty')</w:t>
                    </w:r>
                  </w:p>
                  <w:p w14:paraId="0107701F" w14:textId="77777777" w:rsidR="00711A16" w:rsidRDefault="00711A16">
                    <w:pPr>
                      <w:spacing w:line="280" w:lineRule="exact"/>
                      <w:ind w:left="1080"/>
                      <w:rPr>
                        <w:rFonts w:ascii="MS Gothic"/>
                      </w:rPr>
                    </w:pPr>
                    <w:r>
                      <w:rPr>
                        <w:rFonts w:ascii="MS Gothic"/>
                        <w:color w:val="333333"/>
                      </w:rPr>
                      <w:t>}</w:t>
                    </w:r>
                  </w:p>
                  <w:p w14:paraId="1564FFD3" w14:textId="77777777" w:rsidR="00711A16" w:rsidRDefault="00711A16">
                    <w:pPr>
                      <w:spacing w:before="8"/>
                      <w:ind w:left="640"/>
                      <w:rPr>
                        <w:rFonts w:ascii="MS Gothic"/>
                      </w:rPr>
                    </w:pPr>
                    <w:r>
                      <w:rPr>
                        <w:rFonts w:ascii="MS Gothic"/>
                        <w:color w:val="333333"/>
                      </w:rPr>
                      <w:t>}</w:t>
                    </w:r>
                  </w:p>
                  <w:p w14:paraId="5EB6FBB9" w14:textId="77777777" w:rsidR="00711A16" w:rsidRDefault="00711A16">
                    <w:pPr>
                      <w:spacing w:before="13"/>
                      <w:ind w:left="200"/>
                      <w:rPr>
                        <w:rFonts w:ascii="MS Gothic"/>
                      </w:rPr>
                    </w:pPr>
                    <w:r>
                      <w:rPr>
                        <w:rFonts w:ascii="MS Gothic"/>
                        <w:color w:val="333333"/>
                      </w:rPr>
                      <w:t>}</w:t>
                    </w:r>
                  </w:p>
                  <w:p w14:paraId="2CE3C4C8" w14:textId="77777777" w:rsidR="00711A16" w:rsidRDefault="00711A16">
                    <w:pPr>
                      <w:rPr>
                        <w:rFonts w:ascii="MS Gothic"/>
                        <w:sz w:val="24"/>
                      </w:rPr>
                    </w:pPr>
                  </w:p>
                  <w:p w14:paraId="39010346" w14:textId="77777777" w:rsidR="00711A16" w:rsidRDefault="00711A16">
                    <w:pPr>
                      <w:ind w:left="200"/>
                      <w:rPr>
                        <w:rFonts w:ascii="MS Gothic"/>
                      </w:rPr>
                    </w:pPr>
                    <w:r>
                      <w:rPr>
                        <w:rFonts w:ascii="MS Gothic"/>
                        <w:color w:val="333333"/>
                      </w:rPr>
                      <w:t>dependencies {</w:t>
                    </w:r>
                  </w:p>
                  <w:p w14:paraId="76E76D5E" w14:textId="77777777" w:rsidR="00711A16" w:rsidRDefault="00711A16">
                    <w:pPr>
                      <w:spacing w:before="13"/>
                      <w:ind w:left="640"/>
                      <w:rPr>
                        <w:rFonts w:ascii="MS Gothic"/>
                      </w:rPr>
                    </w:pPr>
                    <w:r>
                      <w:rPr>
                        <w:rFonts w:ascii="MS Gothic"/>
                        <w:color w:val="333333"/>
                      </w:rPr>
                      <w:t>compile '</w:t>
                    </w:r>
                    <w:proofErr w:type="gramStart"/>
                    <w:r>
                      <w:rPr>
                        <w:rFonts w:ascii="MS Gothic"/>
                        <w:color w:val="333333"/>
                      </w:rPr>
                      <w:t>org.springframework</w:t>
                    </w:r>
                    <w:proofErr w:type="gramEnd"/>
                    <w:r>
                      <w:rPr>
                        <w:rFonts w:ascii="MS Gothic"/>
                        <w:color w:val="333333"/>
                      </w:rPr>
                      <w:t>.boot:spring-boot-starter-webflux'</w:t>
                    </w:r>
                  </w:p>
                  <w:p w14:paraId="275BA04B" w14:textId="77777777" w:rsidR="00711A16" w:rsidRDefault="00711A16">
                    <w:pPr>
                      <w:spacing w:before="13"/>
                      <w:ind w:left="640"/>
                      <w:rPr>
                        <w:rFonts w:ascii="MS Gothic"/>
                      </w:rPr>
                    </w:pPr>
                    <w:r>
                      <w:rPr>
                        <w:rFonts w:ascii="MS Gothic"/>
                        <w:color w:val="333333"/>
                      </w:rPr>
                      <w:t>// ...</w:t>
                    </w:r>
                  </w:p>
                  <w:p w14:paraId="01211B84" w14:textId="77777777" w:rsidR="00711A16" w:rsidRDefault="00711A16">
                    <w:pPr>
                      <w:spacing w:before="13"/>
                      <w:ind w:left="200"/>
                      <w:rPr>
                        <w:rFonts w:ascii="MS Gothic"/>
                      </w:rPr>
                    </w:pPr>
                    <w:r>
                      <w:rPr>
                        <w:rFonts w:ascii="MS Gothic"/>
                        <w:color w:val="333333"/>
                      </w:rPr>
                      <w:t>}</w:t>
                    </w:r>
                  </w:p>
                </w:txbxContent>
              </v:textbox>
            </v:shape>
            <w10:anchorlock/>
          </v:group>
        </w:pict>
      </w:r>
    </w:p>
    <w:p w14:paraId="79CE2D6F" w14:textId="77777777" w:rsidR="00A720EB" w:rsidRDefault="00A720EB">
      <w:pPr>
        <w:pStyle w:val="a3"/>
        <w:spacing w:before="5"/>
        <w:rPr>
          <w:sz w:val="16"/>
        </w:rPr>
      </w:pPr>
    </w:p>
    <w:p w14:paraId="75B1EC3D" w14:textId="77777777" w:rsidR="00A720EB" w:rsidRDefault="00E10349">
      <w:pPr>
        <w:pStyle w:val="a3"/>
        <w:spacing w:before="116" w:line="300" w:lineRule="auto"/>
        <w:ind w:left="1564" w:right="363"/>
        <w:jc w:val="both"/>
      </w:pPr>
      <w:r>
        <w:pict w14:anchorId="46844143">
          <v:line id="_x0000_s1583" style="position:absolute;left:0;text-align:left;z-index:16348672;mso-position-horizontal-relative:page" from="108.25pt,.35pt" to="108.25pt,55.7pt" strokecolor="#ededed" strokeweight=".5pt">
            <w10:wrap anchorx="page"/>
          </v:line>
        </w:pict>
      </w:r>
      <w:r w:rsidR="0030286B">
        <w:rPr>
          <w:noProof/>
        </w:rPr>
        <w:drawing>
          <wp:anchor distT="0" distB="0" distL="0" distR="0" simplePos="0" relativeHeight="16349184" behindDoc="0" locked="0" layoutInCell="1" allowOverlap="1" wp14:anchorId="5AC879FC" wp14:editId="57FC9FCC">
            <wp:simplePos x="0" y="0"/>
            <wp:positionH relativeFrom="page">
              <wp:posOffset>844422</wp:posOffset>
            </wp:positionH>
            <wp:positionV relativeFrom="paragraph">
              <wp:posOffset>206450</wp:posOffset>
            </wp:positionV>
            <wp:extent cx="298450" cy="298450"/>
            <wp:effectExtent l="0" t="0" r="0" b="0"/>
            <wp:wrapNone/>
            <wp:docPr id="7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w w:val="110"/>
        </w:rPr>
        <w:t>spring-boot-starter-reactor-netty</w:t>
      </w:r>
      <w:r w:rsidR="0030286B">
        <w:rPr>
          <w:rFonts w:ascii="MS Gothic"/>
          <w:color w:val="B02045"/>
          <w:spacing w:val="-67"/>
          <w:w w:val="110"/>
        </w:rPr>
        <w:t xml:space="preserve"> </w:t>
      </w:r>
      <w:r w:rsidR="0030286B">
        <w:rPr>
          <w:color w:val="333333"/>
          <w:w w:val="110"/>
        </w:rPr>
        <w:t>is</w:t>
      </w:r>
      <w:r w:rsidR="0030286B">
        <w:rPr>
          <w:color w:val="333333"/>
          <w:spacing w:val="-2"/>
          <w:w w:val="110"/>
        </w:rPr>
        <w:t xml:space="preserve"> </w:t>
      </w:r>
      <w:r w:rsidR="0030286B">
        <w:rPr>
          <w:color w:val="333333"/>
          <w:w w:val="110"/>
        </w:rPr>
        <w:t>required</w:t>
      </w:r>
      <w:r w:rsidR="0030286B">
        <w:rPr>
          <w:color w:val="333333"/>
          <w:spacing w:val="-2"/>
          <w:w w:val="110"/>
        </w:rPr>
        <w:t xml:space="preserve"> </w:t>
      </w:r>
      <w:r w:rsidR="0030286B">
        <w:rPr>
          <w:color w:val="333333"/>
          <w:w w:val="110"/>
        </w:rPr>
        <w:t>to</w:t>
      </w:r>
      <w:r w:rsidR="0030286B">
        <w:rPr>
          <w:color w:val="333333"/>
          <w:spacing w:val="-2"/>
          <w:w w:val="110"/>
        </w:rPr>
        <w:t xml:space="preserve"> </w:t>
      </w:r>
      <w:r w:rsidR="0030286B">
        <w:rPr>
          <w:color w:val="333333"/>
          <w:w w:val="110"/>
        </w:rPr>
        <w:t>use</w:t>
      </w:r>
      <w:r w:rsidR="0030286B">
        <w:rPr>
          <w:color w:val="333333"/>
          <w:spacing w:val="-2"/>
          <w:w w:val="110"/>
        </w:rPr>
        <w:t xml:space="preserve"> </w:t>
      </w:r>
      <w:r w:rsidR="0030286B">
        <w:rPr>
          <w:color w:val="333333"/>
          <w:w w:val="110"/>
        </w:rPr>
        <w:t>the</w:t>
      </w:r>
      <w:r w:rsidR="0030286B">
        <w:rPr>
          <w:color w:val="333333"/>
          <w:spacing w:val="-2"/>
          <w:w w:val="110"/>
        </w:rPr>
        <w:t xml:space="preserve"> </w:t>
      </w:r>
      <w:r w:rsidR="0030286B">
        <w:rPr>
          <w:rFonts w:ascii="MS Gothic"/>
          <w:color w:val="B02045"/>
          <w:w w:val="110"/>
        </w:rPr>
        <w:t>WebClient</w:t>
      </w:r>
      <w:r w:rsidR="0030286B">
        <w:rPr>
          <w:rFonts w:ascii="MS Gothic"/>
          <w:color w:val="B02045"/>
          <w:spacing w:val="-67"/>
          <w:w w:val="110"/>
        </w:rPr>
        <w:t xml:space="preserve"> </w:t>
      </w:r>
      <w:r w:rsidR="0030286B">
        <w:rPr>
          <w:color w:val="333333"/>
          <w:w w:val="110"/>
        </w:rPr>
        <w:t>class,</w:t>
      </w:r>
      <w:r w:rsidR="0030286B">
        <w:rPr>
          <w:color w:val="333333"/>
          <w:spacing w:val="-2"/>
          <w:w w:val="110"/>
        </w:rPr>
        <w:t xml:space="preserve"> </w:t>
      </w:r>
      <w:r w:rsidR="0030286B">
        <w:rPr>
          <w:color w:val="333333"/>
          <w:w w:val="110"/>
        </w:rPr>
        <w:t>so</w:t>
      </w:r>
      <w:r w:rsidR="0030286B">
        <w:rPr>
          <w:color w:val="333333"/>
          <w:spacing w:val="-2"/>
          <w:w w:val="110"/>
        </w:rPr>
        <w:t xml:space="preserve"> </w:t>
      </w:r>
      <w:r w:rsidR="0030286B">
        <w:rPr>
          <w:color w:val="333333"/>
          <w:w w:val="110"/>
        </w:rPr>
        <w:t xml:space="preserve">you may need to keep a dependency on Netty even when you need to </w:t>
      </w:r>
      <w:proofErr w:type="gramStart"/>
      <w:r w:rsidR="0030286B">
        <w:rPr>
          <w:color w:val="333333"/>
          <w:w w:val="110"/>
        </w:rPr>
        <w:t>include  a</w:t>
      </w:r>
      <w:proofErr w:type="gramEnd"/>
      <w:r w:rsidR="0030286B">
        <w:rPr>
          <w:color w:val="333333"/>
          <w:w w:val="110"/>
        </w:rPr>
        <w:t xml:space="preserve">  different HTTP</w:t>
      </w:r>
      <w:r w:rsidR="0030286B">
        <w:rPr>
          <w:color w:val="333333"/>
          <w:spacing w:val="4"/>
          <w:w w:val="110"/>
        </w:rPr>
        <w:t xml:space="preserve"> </w:t>
      </w:r>
      <w:r w:rsidR="0030286B">
        <w:rPr>
          <w:color w:val="333333"/>
          <w:w w:val="110"/>
        </w:rPr>
        <w:t>server.</w:t>
      </w:r>
    </w:p>
    <w:p w14:paraId="45C0D62C" w14:textId="77777777" w:rsidR="00A720EB" w:rsidRDefault="00A720EB">
      <w:pPr>
        <w:pStyle w:val="a3"/>
        <w:rPr>
          <w:sz w:val="24"/>
        </w:rPr>
      </w:pPr>
    </w:p>
    <w:p w14:paraId="11E53320" w14:textId="77777777" w:rsidR="00A720EB" w:rsidRDefault="0030286B">
      <w:pPr>
        <w:pStyle w:val="3"/>
        <w:numPr>
          <w:ilvl w:val="2"/>
          <w:numId w:val="13"/>
        </w:numPr>
        <w:tabs>
          <w:tab w:val="left" w:pos="858"/>
        </w:tabs>
        <w:spacing w:before="105"/>
        <w:ind w:hanging="734"/>
      </w:pPr>
      <w:bookmarkStart w:id="814" w:name="9.3.2._Disabling_the_Web_Server"/>
      <w:bookmarkStart w:id="815" w:name="_Toc54423932"/>
      <w:bookmarkEnd w:id="814"/>
      <w:r>
        <w:rPr>
          <w:color w:val="333333"/>
          <w:w w:val="110"/>
        </w:rPr>
        <w:t xml:space="preserve">Disabling the </w:t>
      </w:r>
      <w:r>
        <w:rPr>
          <w:color w:val="333333"/>
          <w:spacing w:val="-6"/>
          <w:w w:val="110"/>
        </w:rPr>
        <w:t>Web</w:t>
      </w:r>
      <w:r>
        <w:rPr>
          <w:color w:val="333333"/>
          <w:spacing w:val="-17"/>
          <w:w w:val="110"/>
        </w:rPr>
        <w:t xml:space="preserve"> </w:t>
      </w:r>
      <w:r>
        <w:rPr>
          <w:color w:val="333333"/>
          <w:w w:val="110"/>
        </w:rPr>
        <w:t>Server</w:t>
      </w:r>
      <w:bookmarkEnd w:id="815"/>
    </w:p>
    <w:p w14:paraId="20E6FDA3" w14:textId="77777777" w:rsidR="00A720EB" w:rsidRDefault="0030286B">
      <w:pPr>
        <w:pStyle w:val="a3"/>
        <w:spacing w:before="254" w:line="295" w:lineRule="auto"/>
        <w:ind w:left="124" w:right="122"/>
        <w:jc w:val="both"/>
      </w:pPr>
      <w:r>
        <w:rPr>
          <w:color w:val="333333"/>
          <w:w w:val="110"/>
        </w:rPr>
        <w:t>If your classpath contains the necessary bits to start a web server, Spring Boot will automatically start</w:t>
      </w:r>
      <w:r>
        <w:rPr>
          <w:color w:val="333333"/>
          <w:spacing w:val="-26"/>
          <w:w w:val="110"/>
        </w:rPr>
        <w:t xml:space="preserve"> </w:t>
      </w:r>
      <w:r>
        <w:rPr>
          <w:color w:val="333333"/>
          <w:w w:val="110"/>
        </w:rPr>
        <w:t>it.</w:t>
      </w:r>
      <w:r>
        <w:rPr>
          <w:color w:val="333333"/>
          <w:spacing w:val="-25"/>
          <w:w w:val="110"/>
        </w:rPr>
        <w:t xml:space="preserve"> </w:t>
      </w:r>
      <w:r>
        <w:rPr>
          <w:color w:val="333333"/>
          <w:spacing w:val="-4"/>
          <w:w w:val="110"/>
        </w:rPr>
        <w:t>To</w:t>
      </w:r>
      <w:r>
        <w:rPr>
          <w:color w:val="333333"/>
          <w:spacing w:val="-25"/>
          <w:w w:val="110"/>
        </w:rPr>
        <w:t xml:space="preserve"> </w:t>
      </w:r>
      <w:r>
        <w:rPr>
          <w:color w:val="333333"/>
          <w:w w:val="110"/>
        </w:rPr>
        <w:t>disable</w:t>
      </w:r>
      <w:r>
        <w:rPr>
          <w:color w:val="333333"/>
          <w:spacing w:val="-25"/>
          <w:w w:val="110"/>
        </w:rPr>
        <w:t xml:space="preserve"> </w:t>
      </w:r>
      <w:r>
        <w:rPr>
          <w:color w:val="333333"/>
          <w:w w:val="110"/>
        </w:rPr>
        <w:t>this</w:t>
      </w:r>
      <w:r>
        <w:rPr>
          <w:color w:val="333333"/>
          <w:spacing w:val="-25"/>
          <w:w w:val="110"/>
        </w:rPr>
        <w:t xml:space="preserve"> </w:t>
      </w:r>
      <w:r>
        <w:rPr>
          <w:color w:val="333333"/>
          <w:w w:val="110"/>
        </w:rPr>
        <w:t>behavior</w:t>
      </w:r>
      <w:r>
        <w:rPr>
          <w:color w:val="333333"/>
          <w:spacing w:val="-25"/>
          <w:w w:val="110"/>
        </w:rPr>
        <w:t xml:space="preserve"> </w:t>
      </w:r>
      <w:r>
        <w:rPr>
          <w:color w:val="333333"/>
          <w:w w:val="110"/>
        </w:rPr>
        <w:t>configure</w:t>
      </w:r>
      <w:r>
        <w:rPr>
          <w:color w:val="333333"/>
          <w:spacing w:val="-25"/>
          <w:w w:val="110"/>
        </w:rPr>
        <w:t xml:space="preserve"> </w:t>
      </w:r>
      <w:r>
        <w:rPr>
          <w:color w:val="333333"/>
          <w:w w:val="110"/>
        </w:rPr>
        <w:t>the</w:t>
      </w:r>
      <w:r>
        <w:rPr>
          <w:color w:val="333333"/>
          <w:spacing w:val="-23"/>
          <w:w w:val="110"/>
        </w:rPr>
        <w:t xml:space="preserve"> </w:t>
      </w:r>
      <w:r>
        <w:rPr>
          <w:rFonts w:ascii="MS Gothic"/>
          <w:color w:val="B02045"/>
          <w:w w:val="110"/>
        </w:rPr>
        <w:t>WebApplicationType</w:t>
      </w:r>
      <w:r>
        <w:rPr>
          <w:rFonts w:ascii="MS Gothic"/>
          <w:color w:val="B02045"/>
          <w:spacing w:val="-89"/>
          <w:w w:val="110"/>
        </w:rPr>
        <w:t xml:space="preserve"> </w:t>
      </w:r>
      <w:r>
        <w:rPr>
          <w:color w:val="333333"/>
          <w:w w:val="110"/>
        </w:rPr>
        <w:t>in</w:t>
      </w:r>
      <w:r>
        <w:rPr>
          <w:color w:val="333333"/>
          <w:spacing w:val="-26"/>
          <w:w w:val="110"/>
        </w:rPr>
        <w:t xml:space="preserve"> </w:t>
      </w:r>
      <w:r>
        <w:rPr>
          <w:color w:val="333333"/>
          <w:w w:val="110"/>
        </w:rPr>
        <w:t>your</w:t>
      </w:r>
      <w:r>
        <w:rPr>
          <w:color w:val="333333"/>
          <w:spacing w:val="-24"/>
          <w:w w:val="110"/>
        </w:rPr>
        <w:t xml:space="preserve"> </w:t>
      </w:r>
      <w:proofErr w:type="gramStart"/>
      <w:r>
        <w:rPr>
          <w:rFonts w:ascii="MS Gothic"/>
          <w:color w:val="B02045"/>
          <w:w w:val="110"/>
        </w:rPr>
        <w:t>application.properties</w:t>
      </w:r>
      <w:proofErr w:type="gramEnd"/>
      <w:r>
        <w:rPr>
          <w:color w:val="333333"/>
          <w:w w:val="110"/>
        </w:rPr>
        <w:t>,</w:t>
      </w:r>
      <w:r>
        <w:rPr>
          <w:color w:val="333333"/>
          <w:spacing w:val="-24"/>
          <w:w w:val="110"/>
        </w:rPr>
        <w:t xml:space="preserve"> </w:t>
      </w:r>
      <w:r>
        <w:rPr>
          <w:color w:val="333333"/>
          <w:w w:val="110"/>
        </w:rPr>
        <w:t>as shown in the following</w:t>
      </w:r>
      <w:r>
        <w:rPr>
          <w:color w:val="333333"/>
          <w:spacing w:val="13"/>
          <w:w w:val="110"/>
        </w:rPr>
        <w:t xml:space="preserve"> </w:t>
      </w:r>
      <w:r>
        <w:rPr>
          <w:color w:val="333333"/>
          <w:w w:val="110"/>
        </w:rPr>
        <w:t>example:</w:t>
      </w:r>
    </w:p>
    <w:p w14:paraId="589D13BB" w14:textId="77777777" w:rsidR="00A720EB" w:rsidRDefault="00E10349">
      <w:pPr>
        <w:pStyle w:val="a3"/>
        <w:spacing w:before="11"/>
        <w:rPr>
          <w:sz w:val="13"/>
        </w:rPr>
      </w:pPr>
      <w:r>
        <w:pict w14:anchorId="118B3A7E">
          <v:group id="_x0000_s1579" style="position:absolute;margin-left:47.85pt;margin-top:10.15pt;width:499.55pt;height:37.5pt;z-index:-15109120;mso-wrap-distance-left:0;mso-wrap-distance-right:0;mso-position-horizontal-relative:page" coordorigin="957,203" coordsize="9991,750">
            <v:shape id="_x0000_s1582" style="position:absolute;left:964;top:210;width:9976;height:735" coordorigin="965,210" coordsize="9976,735" path="m10861,210r-9816,l1014,217r-26,17l971,259r-6,31l965,865r6,31l988,922r26,17l1045,945r9816,l10892,939r25,-17l10935,896r6,-31l10941,290r-6,-31l10917,234r-25,-17l10861,210xe" fillcolor="#f5f5f5" stroked="f">
              <v:path arrowok="t"/>
            </v:shape>
            <v:shape id="_x0000_s1581" style="position:absolute;left:964;top:210;width:9976;height:735" coordorigin="965,210" coordsize="9976,735" path="m1045,210r9816,l10892,217r25,17l10935,259r6,31l10941,865r-6,31l10917,922r-25,17l10861,945r-9816,l1014,939,988,922,971,896r-6,-31l965,290r6,-31l988,234r26,-17l1045,210xe" filled="f" strokecolor="#ccc">
              <v:path arrowok="t"/>
            </v:shape>
            <v:shape id="_x0000_s1580" type="#_x0000_t202" style="position:absolute;left:984;top:225;width:9938;height:704" filled="f" stroked="f">
              <v:textbox inset="0,0,0,0">
                <w:txbxContent>
                  <w:p w14:paraId="40C5D362" w14:textId="77777777" w:rsidR="00711A16" w:rsidRDefault="00711A16">
                    <w:pPr>
                      <w:spacing w:before="221"/>
                      <w:ind w:left="200"/>
                      <w:rPr>
                        <w:rFonts w:ascii="MS Gothic"/>
                      </w:rPr>
                    </w:pPr>
                    <w:r>
                      <w:rPr>
                        <w:rFonts w:ascii="MS Gothic"/>
                        <w:color w:val="333333"/>
                      </w:rPr>
                      <w:t>spring.main.web-application-type=none</w:t>
                    </w:r>
                  </w:p>
                </w:txbxContent>
              </v:textbox>
            </v:shape>
            <w10:wrap type="topAndBottom" anchorx="page"/>
          </v:group>
        </w:pict>
      </w:r>
    </w:p>
    <w:p w14:paraId="1D0ACBA5" w14:textId="77777777" w:rsidR="00A720EB" w:rsidRDefault="00A720EB">
      <w:pPr>
        <w:pStyle w:val="a3"/>
        <w:spacing w:before="11"/>
        <w:rPr>
          <w:sz w:val="16"/>
        </w:rPr>
      </w:pPr>
    </w:p>
    <w:p w14:paraId="42334332" w14:textId="77777777" w:rsidR="00A720EB" w:rsidRDefault="0030286B">
      <w:pPr>
        <w:pStyle w:val="3"/>
        <w:numPr>
          <w:ilvl w:val="2"/>
          <w:numId w:val="13"/>
        </w:numPr>
        <w:tabs>
          <w:tab w:val="left" w:pos="858"/>
        </w:tabs>
        <w:spacing w:before="105"/>
        <w:ind w:hanging="734"/>
      </w:pPr>
      <w:bookmarkStart w:id="816" w:name="9.3.3._Change_the_HTTP_Port"/>
      <w:bookmarkStart w:id="817" w:name="_Toc54423933"/>
      <w:bookmarkEnd w:id="816"/>
      <w:r>
        <w:rPr>
          <w:color w:val="333333"/>
          <w:w w:val="110"/>
        </w:rPr>
        <w:t>Change the HTTP</w:t>
      </w:r>
      <w:r>
        <w:rPr>
          <w:color w:val="333333"/>
          <w:spacing w:val="-19"/>
          <w:w w:val="110"/>
        </w:rPr>
        <w:t xml:space="preserve"> </w:t>
      </w:r>
      <w:r>
        <w:rPr>
          <w:color w:val="333333"/>
          <w:w w:val="110"/>
        </w:rPr>
        <w:t>Port</w:t>
      </w:r>
      <w:bookmarkEnd w:id="817"/>
    </w:p>
    <w:p w14:paraId="43A5AF3A" w14:textId="77777777" w:rsidR="00A720EB" w:rsidRDefault="0030286B">
      <w:pPr>
        <w:pStyle w:val="a3"/>
        <w:spacing w:before="243" w:line="280" w:lineRule="auto"/>
        <w:ind w:left="124" w:right="122"/>
        <w:jc w:val="both"/>
      </w:pPr>
      <w:r>
        <w:rPr>
          <w:color w:val="333333"/>
          <w:w w:val="110"/>
        </w:rPr>
        <w:t xml:space="preserve">In a standalone application, the main HTTP port defaults to </w:t>
      </w:r>
      <w:r>
        <w:rPr>
          <w:rFonts w:ascii="MS Gothic"/>
          <w:color w:val="B02045"/>
          <w:w w:val="110"/>
        </w:rPr>
        <w:t>8080</w:t>
      </w:r>
      <w:r>
        <w:rPr>
          <w:rFonts w:ascii="MS Gothic"/>
          <w:color w:val="B02045"/>
          <w:spacing w:val="-67"/>
          <w:w w:val="110"/>
        </w:rPr>
        <w:t xml:space="preserve"> </w:t>
      </w:r>
      <w:r>
        <w:rPr>
          <w:color w:val="333333"/>
          <w:w w:val="110"/>
        </w:rPr>
        <w:t xml:space="preserve">but can be set with </w:t>
      </w:r>
      <w:proofErr w:type="gramStart"/>
      <w:r>
        <w:rPr>
          <w:rFonts w:ascii="MS Gothic"/>
          <w:color w:val="B02045"/>
          <w:w w:val="110"/>
        </w:rPr>
        <w:t>server.port</w:t>
      </w:r>
      <w:proofErr w:type="gramEnd"/>
      <w:r>
        <w:rPr>
          <w:rFonts w:ascii="MS Gothic"/>
          <w:color w:val="B02045"/>
          <w:spacing w:val="-68"/>
          <w:w w:val="110"/>
        </w:rPr>
        <w:t xml:space="preserve"> </w:t>
      </w:r>
      <w:r>
        <w:rPr>
          <w:color w:val="333333"/>
          <w:w w:val="110"/>
        </w:rPr>
        <w:t xml:space="preserve">(for example, in </w:t>
      </w:r>
      <w:r>
        <w:rPr>
          <w:rFonts w:ascii="MS Gothic"/>
          <w:color w:val="B02045"/>
          <w:w w:val="110"/>
        </w:rPr>
        <w:t xml:space="preserve">application.properties </w:t>
      </w:r>
      <w:r>
        <w:rPr>
          <w:color w:val="333333"/>
          <w:w w:val="110"/>
        </w:rPr>
        <w:t xml:space="preserve">or as a System property). Thanks to relaxed binding of </w:t>
      </w:r>
      <w:r>
        <w:rPr>
          <w:rFonts w:ascii="MS Gothic"/>
          <w:color w:val="B02045"/>
          <w:w w:val="110"/>
        </w:rPr>
        <w:t>Environment</w:t>
      </w:r>
      <w:r>
        <w:rPr>
          <w:rFonts w:ascii="MS Gothic"/>
          <w:color w:val="B02045"/>
          <w:spacing w:val="-68"/>
          <w:w w:val="110"/>
        </w:rPr>
        <w:t xml:space="preserve"> </w:t>
      </w:r>
      <w:r>
        <w:rPr>
          <w:color w:val="333333"/>
          <w:w w:val="110"/>
        </w:rPr>
        <w:t xml:space="preserve">values, you can also use </w:t>
      </w:r>
      <w:r>
        <w:rPr>
          <w:rFonts w:ascii="MS Gothic"/>
          <w:color w:val="B02045"/>
          <w:w w:val="110"/>
        </w:rPr>
        <w:t>SERVER_PORT</w:t>
      </w:r>
      <w:r>
        <w:rPr>
          <w:rFonts w:ascii="MS Gothic"/>
          <w:color w:val="B02045"/>
          <w:spacing w:val="-68"/>
          <w:w w:val="110"/>
        </w:rPr>
        <w:t xml:space="preserve"> </w:t>
      </w:r>
      <w:r>
        <w:rPr>
          <w:color w:val="333333"/>
          <w:w w:val="110"/>
        </w:rPr>
        <w:t>(for example, as an OS environment variable).</w:t>
      </w:r>
    </w:p>
    <w:p w14:paraId="46402AA6" w14:textId="77777777" w:rsidR="00A720EB" w:rsidRDefault="0030286B">
      <w:pPr>
        <w:pStyle w:val="a3"/>
        <w:spacing w:before="243"/>
        <w:ind w:left="124"/>
      </w:pPr>
      <w:r>
        <w:rPr>
          <w:color w:val="333333"/>
          <w:w w:val="110"/>
        </w:rPr>
        <w:t xml:space="preserve">To switch off the HTTP endpoints completely but still create a </w:t>
      </w:r>
      <w:r>
        <w:rPr>
          <w:rFonts w:ascii="MS Gothic"/>
          <w:color w:val="B02045"/>
          <w:w w:val="110"/>
        </w:rPr>
        <w:t>WebApplicationContext</w:t>
      </w:r>
      <w:r>
        <w:rPr>
          <w:color w:val="333333"/>
          <w:w w:val="110"/>
        </w:rPr>
        <w:t>, use</w:t>
      </w:r>
    </w:p>
    <w:p w14:paraId="26B0EF55" w14:textId="77777777" w:rsidR="00A720EB" w:rsidRDefault="0030286B">
      <w:pPr>
        <w:pStyle w:val="a3"/>
        <w:spacing w:before="46"/>
        <w:ind w:left="124"/>
      </w:pPr>
      <w:proofErr w:type="gramStart"/>
      <w:r>
        <w:rPr>
          <w:rFonts w:ascii="MS Gothic"/>
          <w:color w:val="B02045"/>
          <w:w w:val="110"/>
        </w:rPr>
        <w:t>server.port</w:t>
      </w:r>
      <w:proofErr w:type="gramEnd"/>
      <w:r>
        <w:rPr>
          <w:rFonts w:ascii="MS Gothic"/>
          <w:color w:val="B02045"/>
          <w:w w:val="110"/>
        </w:rPr>
        <w:t>=-1</w:t>
      </w:r>
      <w:r>
        <w:rPr>
          <w:rFonts w:ascii="MS Gothic"/>
          <w:color w:val="B02045"/>
          <w:spacing w:val="-58"/>
          <w:w w:val="110"/>
        </w:rPr>
        <w:t xml:space="preserve"> </w:t>
      </w:r>
      <w:r>
        <w:rPr>
          <w:color w:val="333333"/>
          <w:w w:val="110"/>
        </w:rPr>
        <w:t>(doing so is sometimes useful for testing).</w:t>
      </w:r>
    </w:p>
    <w:p w14:paraId="6CDA5F3A" w14:textId="77777777" w:rsidR="00A720EB" w:rsidRDefault="00A720EB">
      <w:pPr>
        <w:pStyle w:val="a3"/>
        <w:spacing w:before="4"/>
        <w:rPr>
          <w:sz w:val="25"/>
        </w:rPr>
      </w:pPr>
    </w:p>
    <w:p w14:paraId="10841BA0" w14:textId="77777777" w:rsidR="00A720EB" w:rsidRDefault="0030286B">
      <w:pPr>
        <w:pStyle w:val="a3"/>
        <w:spacing w:line="297" w:lineRule="auto"/>
        <w:ind w:left="124" w:right="123"/>
        <w:jc w:val="both"/>
      </w:pPr>
      <w:r>
        <w:rPr>
          <w:color w:val="333333"/>
          <w:spacing w:val="-4"/>
          <w:w w:val="110"/>
        </w:rPr>
        <w:t xml:space="preserve">For </w:t>
      </w:r>
      <w:r>
        <w:rPr>
          <w:color w:val="333333"/>
          <w:w w:val="110"/>
        </w:rPr>
        <w:t>more details, see “</w:t>
      </w:r>
      <w:hyperlink w:anchor="_bookmark177" w:history="1">
        <w:r>
          <w:rPr>
            <w:color w:val="418BCA"/>
            <w:w w:val="110"/>
          </w:rPr>
          <w:t>Customizing Embedded Servlet Containers</w:t>
        </w:r>
      </w:hyperlink>
      <w:r>
        <w:rPr>
          <w:color w:val="333333"/>
          <w:w w:val="110"/>
        </w:rPr>
        <w:t xml:space="preserve">” in the ‘Spring Boot Features’ section, or the </w:t>
      </w:r>
      <w:hyperlink r:id="rId596">
        <w:r>
          <w:rPr>
            <w:rFonts w:ascii="MS Gothic" w:hAnsi="MS Gothic"/>
            <w:color w:val="B02045"/>
            <w:w w:val="110"/>
          </w:rPr>
          <w:t>ServerProperties</w:t>
        </w:r>
        <w:r>
          <w:rPr>
            <w:rFonts w:ascii="MS Gothic" w:hAnsi="MS Gothic"/>
            <w:color w:val="B02045"/>
            <w:spacing w:val="-56"/>
            <w:w w:val="110"/>
          </w:rPr>
          <w:t xml:space="preserve"> </w:t>
        </w:r>
      </w:hyperlink>
      <w:r>
        <w:rPr>
          <w:color w:val="333333"/>
          <w:w w:val="110"/>
        </w:rPr>
        <w:t>source code.</w:t>
      </w:r>
    </w:p>
    <w:p w14:paraId="37247DCD" w14:textId="77777777" w:rsidR="00A720EB" w:rsidRDefault="00A720EB">
      <w:pPr>
        <w:pStyle w:val="a3"/>
        <w:rPr>
          <w:sz w:val="25"/>
        </w:rPr>
      </w:pPr>
    </w:p>
    <w:p w14:paraId="0DFAEF8D" w14:textId="77777777" w:rsidR="00A720EB" w:rsidRDefault="0030286B">
      <w:pPr>
        <w:pStyle w:val="3"/>
        <w:numPr>
          <w:ilvl w:val="2"/>
          <w:numId w:val="13"/>
        </w:numPr>
        <w:tabs>
          <w:tab w:val="left" w:pos="858"/>
        </w:tabs>
        <w:ind w:hanging="734"/>
      </w:pPr>
      <w:bookmarkStart w:id="818" w:name="9.3.4._Use_a_Random_Unassigned_HTTP_Port"/>
      <w:bookmarkStart w:id="819" w:name="_Toc54423934"/>
      <w:bookmarkEnd w:id="818"/>
      <w:r>
        <w:rPr>
          <w:color w:val="333333"/>
          <w:w w:val="110"/>
        </w:rPr>
        <w:t>Use a Random Unassigned HTTP</w:t>
      </w:r>
      <w:r>
        <w:rPr>
          <w:color w:val="333333"/>
          <w:spacing w:val="-33"/>
          <w:w w:val="110"/>
        </w:rPr>
        <w:t xml:space="preserve"> </w:t>
      </w:r>
      <w:r>
        <w:rPr>
          <w:color w:val="333333"/>
          <w:w w:val="110"/>
        </w:rPr>
        <w:t>Port</w:t>
      </w:r>
      <w:bookmarkEnd w:id="819"/>
    </w:p>
    <w:p w14:paraId="6EC4B209" w14:textId="77777777" w:rsidR="00A720EB" w:rsidRDefault="0030286B">
      <w:pPr>
        <w:pStyle w:val="a3"/>
        <w:spacing w:before="244"/>
        <w:ind w:left="124"/>
      </w:pPr>
      <w:r>
        <w:rPr>
          <w:color w:val="333333"/>
          <w:w w:val="110"/>
        </w:rPr>
        <w:t xml:space="preserve">To scan for a free port (using OS natives to prevent clashes) use </w:t>
      </w:r>
      <w:proofErr w:type="gramStart"/>
      <w:r>
        <w:rPr>
          <w:rFonts w:ascii="MS Gothic"/>
          <w:color w:val="B02045"/>
          <w:w w:val="110"/>
        </w:rPr>
        <w:t>server.port</w:t>
      </w:r>
      <w:proofErr w:type="gramEnd"/>
      <w:r>
        <w:rPr>
          <w:rFonts w:ascii="MS Gothic"/>
          <w:color w:val="B02045"/>
          <w:w w:val="110"/>
        </w:rPr>
        <w:t>=0</w:t>
      </w:r>
      <w:r>
        <w:rPr>
          <w:color w:val="333333"/>
          <w:w w:val="110"/>
        </w:rPr>
        <w:t>.</w:t>
      </w:r>
    </w:p>
    <w:p w14:paraId="0AEEFDDB" w14:textId="77777777" w:rsidR="00A720EB" w:rsidRDefault="00A720EB">
      <w:pPr>
        <w:pStyle w:val="a3"/>
        <w:spacing w:before="6"/>
        <w:rPr>
          <w:sz w:val="30"/>
        </w:rPr>
      </w:pPr>
    </w:p>
    <w:p w14:paraId="0D8D7455" w14:textId="77777777" w:rsidR="00A720EB" w:rsidRDefault="0030286B">
      <w:pPr>
        <w:pStyle w:val="3"/>
        <w:numPr>
          <w:ilvl w:val="2"/>
          <w:numId w:val="13"/>
        </w:numPr>
        <w:tabs>
          <w:tab w:val="left" w:pos="858"/>
        </w:tabs>
        <w:ind w:hanging="734"/>
      </w:pPr>
      <w:bookmarkStart w:id="820" w:name="9.3.5._Discover_the_HTTP_Port_at_Runtime"/>
      <w:bookmarkStart w:id="821" w:name="_Toc54423935"/>
      <w:bookmarkEnd w:id="820"/>
      <w:r>
        <w:rPr>
          <w:color w:val="333333"/>
          <w:w w:val="110"/>
        </w:rPr>
        <w:t>Discover the HTTP Port at</w:t>
      </w:r>
      <w:r>
        <w:rPr>
          <w:color w:val="333333"/>
          <w:spacing w:val="-28"/>
          <w:w w:val="110"/>
        </w:rPr>
        <w:t xml:space="preserve"> </w:t>
      </w:r>
      <w:r>
        <w:rPr>
          <w:color w:val="333333"/>
          <w:w w:val="110"/>
        </w:rPr>
        <w:t>Runtime</w:t>
      </w:r>
      <w:bookmarkEnd w:id="821"/>
    </w:p>
    <w:p w14:paraId="06B49615" w14:textId="77777777" w:rsidR="00A720EB" w:rsidRDefault="0030286B">
      <w:pPr>
        <w:pStyle w:val="a3"/>
        <w:tabs>
          <w:tab w:val="left" w:pos="708"/>
          <w:tab w:val="left" w:pos="1277"/>
          <w:tab w:val="left" w:pos="2114"/>
          <w:tab w:val="left" w:pos="2647"/>
          <w:tab w:val="left" w:pos="3281"/>
          <w:tab w:val="left" w:pos="3813"/>
          <w:tab w:val="left" w:pos="4665"/>
          <w:tab w:val="left" w:pos="5038"/>
          <w:tab w:val="left" w:pos="6069"/>
          <w:tab w:val="left" w:pos="6539"/>
          <w:tab w:val="left" w:pos="7247"/>
          <w:tab w:val="left" w:pos="7759"/>
          <w:tab w:val="left" w:pos="8636"/>
          <w:tab w:val="left" w:pos="9069"/>
          <w:tab w:val="left" w:pos="9777"/>
        </w:tabs>
        <w:spacing w:before="254"/>
        <w:ind w:left="124"/>
      </w:pPr>
      <w:r>
        <w:rPr>
          <w:color w:val="333333"/>
          <w:spacing w:val="-6"/>
          <w:w w:val="110"/>
        </w:rPr>
        <w:t>You</w:t>
      </w:r>
      <w:r>
        <w:rPr>
          <w:color w:val="333333"/>
          <w:spacing w:val="-6"/>
          <w:w w:val="110"/>
        </w:rPr>
        <w:tab/>
      </w:r>
      <w:r>
        <w:rPr>
          <w:color w:val="333333"/>
          <w:w w:val="110"/>
        </w:rPr>
        <w:t>can</w:t>
      </w:r>
      <w:r>
        <w:rPr>
          <w:color w:val="333333"/>
          <w:w w:val="110"/>
        </w:rPr>
        <w:tab/>
        <w:t>access</w:t>
      </w:r>
      <w:r>
        <w:rPr>
          <w:color w:val="333333"/>
          <w:w w:val="110"/>
        </w:rPr>
        <w:tab/>
        <w:t>the</w:t>
      </w:r>
      <w:r>
        <w:rPr>
          <w:color w:val="333333"/>
          <w:w w:val="110"/>
        </w:rPr>
        <w:tab/>
        <w:t>port</w:t>
      </w:r>
      <w:r>
        <w:rPr>
          <w:color w:val="333333"/>
          <w:w w:val="110"/>
        </w:rPr>
        <w:tab/>
        <w:t>the</w:t>
      </w:r>
      <w:r>
        <w:rPr>
          <w:color w:val="333333"/>
          <w:w w:val="110"/>
        </w:rPr>
        <w:tab/>
        <w:t>server</w:t>
      </w:r>
      <w:r>
        <w:rPr>
          <w:color w:val="333333"/>
          <w:w w:val="110"/>
        </w:rPr>
        <w:tab/>
        <w:t>is</w:t>
      </w:r>
      <w:r>
        <w:rPr>
          <w:color w:val="333333"/>
          <w:w w:val="110"/>
        </w:rPr>
        <w:tab/>
        <w:t>running</w:t>
      </w:r>
      <w:r>
        <w:rPr>
          <w:color w:val="333333"/>
          <w:w w:val="110"/>
        </w:rPr>
        <w:tab/>
        <w:t>on</w:t>
      </w:r>
      <w:r>
        <w:rPr>
          <w:color w:val="333333"/>
          <w:w w:val="110"/>
        </w:rPr>
        <w:tab/>
        <w:t>from</w:t>
      </w:r>
      <w:r>
        <w:rPr>
          <w:color w:val="333333"/>
          <w:w w:val="110"/>
        </w:rPr>
        <w:tab/>
        <w:t>log</w:t>
      </w:r>
      <w:r>
        <w:rPr>
          <w:color w:val="333333"/>
          <w:w w:val="110"/>
        </w:rPr>
        <w:tab/>
        <w:t>output</w:t>
      </w:r>
      <w:r>
        <w:rPr>
          <w:color w:val="333333"/>
          <w:w w:val="110"/>
        </w:rPr>
        <w:tab/>
        <w:t>or</w:t>
      </w:r>
      <w:r>
        <w:rPr>
          <w:color w:val="333333"/>
          <w:w w:val="110"/>
        </w:rPr>
        <w:tab/>
        <w:t>from</w:t>
      </w:r>
      <w:r>
        <w:rPr>
          <w:color w:val="333333"/>
          <w:w w:val="110"/>
        </w:rPr>
        <w:tab/>
        <w:t>the</w:t>
      </w:r>
    </w:p>
    <w:p w14:paraId="58EE55C1" w14:textId="77777777" w:rsidR="00A720EB" w:rsidRDefault="0030286B">
      <w:pPr>
        <w:pStyle w:val="a3"/>
        <w:spacing w:before="59"/>
        <w:ind w:left="124"/>
      </w:pPr>
      <w:r>
        <w:rPr>
          <w:rFonts w:ascii="MS Gothic"/>
          <w:color w:val="B02045"/>
          <w:w w:val="110"/>
        </w:rPr>
        <w:t>WebServerApplicationContext</w:t>
      </w:r>
      <w:r>
        <w:rPr>
          <w:rFonts w:ascii="MS Gothic"/>
          <w:color w:val="B02045"/>
          <w:spacing w:val="-77"/>
          <w:w w:val="110"/>
        </w:rPr>
        <w:t xml:space="preserve"> </w:t>
      </w:r>
      <w:r>
        <w:rPr>
          <w:color w:val="333333"/>
          <w:w w:val="110"/>
        </w:rPr>
        <w:t>through</w:t>
      </w:r>
      <w:r>
        <w:rPr>
          <w:color w:val="333333"/>
          <w:spacing w:val="-12"/>
          <w:w w:val="110"/>
        </w:rPr>
        <w:t xml:space="preserve"> </w:t>
      </w:r>
      <w:r>
        <w:rPr>
          <w:color w:val="333333"/>
          <w:w w:val="110"/>
        </w:rPr>
        <w:t>its</w:t>
      </w:r>
      <w:r>
        <w:rPr>
          <w:color w:val="333333"/>
          <w:spacing w:val="-12"/>
          <w:w w:val="110"/>
        </w:rPr>
        <w:t xml:space="preserve"> </w:t>
      </w:r>
      <w:r>
        <w:rPr>
          <w:rFonts w:ascii="MS Gothic"/>
          <w:color w:val="B02045"/>
          <w:w w:val="110"/>
        </w:rPr>
        <w:t>WebServer</w:t>
      </w:r>
      <w:r>
        <w:rPr>
          <w:color w:val="333333"/>
          <w:w w:val="110"/>
        </w:rPr>
        <w:t>.</w:t>
      </w:r>
      <w:r>
        <w:rPr>
          <w:color w:val="333333"/>
          <w:spacing w:val="-11"/>
          <w:w w:val="110"/>
        </w:rPr>
        <w:t xml:space="preserve"> </w:t>
      </w:r>
      <w:r>
        <w:rPr>
          <w:color w:val="333333"/>
          <w:w w:val="110"/>
        </w:rPr>
        <w:t>The</w:t>
      </w:r>
      <w:r>
        <w:rPr>
          <w:color w:val="333333"/>
          <w:spacing w:val="-12"/>
          <w:w w:val="110"/>
        </w:rPr>
        <w:t xml:space="preserve"> </w:t>
      </w:r>
      <w:r>
        <w:rPr>
          <w:color w:val="333333"/>
          <w:w w:val="110"/>
        </w:rPr>
        <w:t>best</w:t>
      </w:r>
      <w:r>
        <w:rPr>
          <w:color w:val="333333"/>
          <w:spacing w:val="-12"/>
          <w:w w:val="110"/>
        </w:rPr>
        <w:t xml:space="preserve"> </w:t>
      </w:r>
      <w:r>
        <w:rPr>
          <w:color w:val="333333"/>
          <w:w w:val="110"/>
        </w:rPr>
        <w:t>way</w:t>
      </w:r>
      <w:r>
        <w:rPr>
          <w:color w:val="333333"/>
          <w:spacing w:val="-12"/>
          <w:w w:val="110"/>
        </w:rPr>
        <w:t xml:space="preserve"> </w:t>
      </w:r>
      <w:r>
        <w:rPr>
          <w:color w:val="333333"/>
          <w:w w:val="110"/>
        </w:rPr>
        <w:t>to</w:t>
      </w:r>
      <w:r>
        <w:rPr>
          <w:color w:val="333333"/>
          <w:spacing w:val="-12"/>
          <w:w w:val="110"/>
        </w:rPr>
        <w:t xml:space="preserve"> </w:t>
      </w:r>
      <w:r>
        <w:rPr>
          <w:color w:val="333333"/>
          <w:w w:val="110"/>
        </w:rPr>
        <w:t>get</w:t>
      </w:r>
      <w:r>
        <w:rPr>
          <w:color w:val="333333"/>
          <w:spacing w:val="-11"/>
          <w:w w:val="110"/>
        </w:rPr>
        <w:t xml:space="preserve"> </w:t>
      </w:r>
      <w:r>
        <w:rPr>
          <w:color w:val="333333"/>
          <w:w w:val="110"/>
        </w:rPr>
        <w:t>that</w:t>
      </w:r>
      <w:r>
        <w:rPr>
          <w:color w:val="333333"/>
          <w:spacing w:val="-12"/>
          <w:w w:val="110"/>
        </w:rPr>
        <w:t xml:space="preserve"> </w:t>
      </w:r>
      <w:r>
        <w:rPr>
          <w:color w:val="333333"/>
          <w:w w:val="110"/>
        </w:rPr>
        <w:t>and</w:t>
      </w:r>
      <w:r>
        <w:rPr>
          <w:color w:val="333333"/>
          <w:spacing w:val="-12"/>
          <w:w w:val="110"/>
        </w:rPr>
        <w:t xml:space="preserve"> </w:t>
      </w:r>
      <w:r>
        <w:rPr>
          <w:color w:val="333333"/>
          <w:w w:val="110"/>
        </w:rPr>
        <w:t>be</w:t>
      </w:r>
      <w:r>
        <w:rPr>
          <w:color w:val="333333"/>
          <w:spacing w:val="-12"/>
          <w:w w:val="110"/>
        </w:rPr>
        <w:t xml:space="preserve"> </w:t>
      </w:r>
      <w:r>
        <w:rPr>
          <w:color w:val="333333"/>
          <w:w w:val="110"/>
        </w:rPr>
        <w:t>sure</w:t>
      </w:r>
      <w:r>
        <w:rPr>
          <w:color w:val="333333"/>
          <w:spacing w:val="-12"/>
          <w:w w:val="110"/>
        </w:rPr>
        <w:t xml:space="preserve"> </w:t>
      </w:r>
      <w:r>
        <w:rPr>
          <w:color w:val="333333"/>
          <w:w w:val="110"/>
        </w:rPr>
        <w:t>it</w:t>
      </w:r>
      <w:r>
        <w:rPr>
          <w:color w:val="333333"/>
          <w:spacing w:val="-11"/>
          <w:w w:val="110"/>
        </w:rPr>
        <w:t xml:space="preserve"> </w:t>
      </w:r>
      <w:r>
        <w:rPr>
          <w:color w:val="333333"/>
          <w:w w:val="110"/>
        </w:rPr>
        <w:t>has</w:t>
      </w:r>
      <w:r>
        <w:rPr>
          <w:color w:val="333333"/>
          <w:spacing w:val="-12"/>
          <w:w w:val="110"/>
        </w:rPr>
        <w:t xml:space="preserve"> </w:t>
      </w:r>
      <w:r>
        <w:rPr>
          <w:color w:val="333333"/>
          <w:w w:val="110"/>
        </w:rPr>
        <w:t>been</w:t>
      </w:r>
    </w:p>
    <w:p w14:paraId="4A5CBACF" w14:textId="77777777" w:rsidR="00A720EB" w:rsidRDefault="00A720EB">
      <w:pPr>
        <w:sectPr w:rsidR="00A720EB">
          <w:pgSz w:w="11910" w:h="16840"/>
          <w:pgMar w:top="700" w:right="840" w:bottom="520" w:left="840" w:header="0" w:footer="323" w:gutter="0"/>
          <w:cols w:space="720"/>
        </w:sectPr>
      </w:pPr>
    </w:p>
    <w:p w14:paraId="62776E0A" w14:textId="77777777" w:rsidR="00A720EB" w:rsidRDefault="0030286B">
      <w:pPr>
        <w:pStyle w:val="a3"/>
        <w:spacing w:before="96" w:line="290" w:lineRule="auto"/>
        <w:ind w:left="124" w:right="124"/>
        <w:jc w:val="both"/>
      </w:pPr>
      <w:r>
        <w:rPr>
          <w:color w:val="333333"/>
          <w:w w:val="110"/>
        </w:rPr>
        <w:lastRenderedPageBreak/>
        <w:t xml:space="preserve">initialized is to add a </w:t>
      </w:r>
      <w:r>
        <w:rPr>
          <w:rFonts w:ascii="MS Gothic"/>
          <w:color w:val="B02045"/>
          <w:w w:val="110"/>
        </w:rPr>
        <w:t>@Bean</w:t>
      </w:r>
      <w:r>
        <w:rPr>
          <w:rFonts w:ascii="MS Gothic"/>
          <w:color w:val="B02045"/>
          <w:spacing w:val="-66"/>
          <w:w w:val="110"/>
        </w:rPr>
        <w:t xml:space="preserve"> </w:t>
      </w:r>
      <w:r>
        <w:rPr>
          <w:color w:val="333333"/>
          <w:w w:val="110"/>
        </w:rPr>
        <w:t xml:space="preserve">of type </w:t>
      </w:r>
      <w:r>
        <w:rPr>
          <w:rFonts w:ascii="MS Gothic"/>
          <w:color w:val="B02045"/>
          <w:w w:val="110"/>
        </w:rPr>
        <w:t>ApplicationListener&lt;WebServerInitializedEvent&gt;</w:t>
      </w:r>
      <w:r>
        <w:rPr>
          <w:rFonts w:ascii="MS Gothic"/>
          <w:color w:val="B02045"/>
          <w:spacing w:val="-65"/>
          <w:w w:val="110"/>
        </w:rPr>
        <w:t xml:space="preserve"> </w:t>
      </w:r>
      <w:r>
        <w:rPr>
          <w:color w:val="333333"/>
          <w:w w:val="110"/>
        </w:rPr>
        <w:t>and pull the container out of the event when it is published.</w:t>
      </w:r>
    </w:p>
    <w:p w14:paraId="1AC5637B" w14:textId="77777777" w:rsidR="00A720EB" w:rsidRDefault="0030286B">
      <w:pPr>
        <w:pStyle w:val="a3"/>
        <w:spacing w:before="248" w:line="285" w:lineRule="auto"/>
        <w:ind w:left="124" w:right="125"/>
        <w:jc w:val="both"/>
      </w:pPr>
      <w:r>
        <w:rPr>
          <w:color w:val="333333"/>
          <w:w w:val="110"/>
        </w:rPr>
        <w:t xml:space="preserve">Tests that use </w:t>
      </w:r>
      <w:r>
        <w:rPr>
          <w:rFonts w:ascii="MS Gothic"/>
          <w:color w:val="B02045"/>
          <w:w w:val="110"/>
        </w:rPr>
        <w:t>@</w:t>
      </w:r>
      <w:proofErr w:type="gramStart"/>
      <w:r>
        <w:rPr>
          <w:rFonts w:ascii="MS Gothic"/>
          <w:color w:val="B02045"/>
          <w:w w:val="110"/>
        </w:rPr>
        <w:t>SpringBootTest(</w:t>
      </w:r>
      <w:proofErr w:type="gramEnd"/>
      <w:r>
        <w:rPr>
          <w:rFonts w:ascii="MS Gothic"/>
          <w:color w:val="B02045"/>
          <w:w w:val="110"/>
        </w:rPr>
        <w:t xml:space="preserve">webEnvironment=WebEnvironment.RANDOM_PORT) </w:t>
      </w:r>
      <w:r>
        <w:rPr>
          <w:color w:val="333333"/>
          <w:w w:val="110"/>
        </w:rPr>
        <w:t>can also inject</w:t>
      </w:r>
      <w:r>
        <w:rPr>
          <w:color w:val="333333"/>
          <w:spacing w:val="-20"/>
          <w:w w:val="110"/>
        </w:rPr>
        <w:t xml:space="preserve"> </w:t>
      </w:r>
      <w:r>
        <w:rPr>
          <w:color w:val="333333"/>
          <w:w w:val="110"/>
        </w:rPr>
        <w:t xml:space="preserve">the actual port into a field </w:t>
      </w:r>
      <w:r>
        <w:rPr>
          <w:color w:val="333333"/>
          <w:spacing w:val="-3"/>
          <w:w w:val="110"/>
        </w:rPr>
        <w:t xml:space="preserve">by </w:t>
      </w:r>
      <w:r>
        <w:rPr>
          <w:color w:val="333333"/>
          <w:w w:val="110"/>
        </w:rPr>
        <w:t xml:space="preserve">using the </w:t>
      </w:r>
      <w:r>
        <w:rPr>
          <w:rFonts w:ascii="MS Gothic"/>
          <w:color w:val="B02045"/>
          <w:w w:val="110"/>
        </w:rPr>
        <w:t xml:space="preserve">@LocalServerPort </w:t>
      </w:r>
      <w:r>
        <w:rPr>
          <w:color w:val="333333"/>
          <w:w w:val="110"/>
        </w:rPr>
        <w:t>annotation, as shown in the following example:</w:t>
      </w:r>
    </w:p>
    <w:p w14:paraId="2186241A" w14:textId="77777777" w:rsidR="00A720EB" w:rsidRDefault="00E10349">
      <w:pPr>
        <w:pStyle w:val="a3"/>
        <w:spacing w:before="1"/>
        <w:rPr>
          <w:sz w:val="15"/>
        </w:rPr>
      </w:pPr>
      <w:r>
        <w:pict w14:anchorId="254F9E09">
          <v:group id="_x0000_s1575" style="position:absolute;margin-left:47.85pt;margin-top:10.85pt;width:499.55pt;height:155.45pt;z-index:-15107584;mso-wrap-distance-left:0;mso-wrap-distance-right:0;mso-position-horizontal-relative:page" coordorigin="957,217" coordsize="9991,3109">
            <v:shape id="_x0000_s1578" style="position:absolute;left:964;top:224;width:9976;height:3094" coordorigin="965,224" coordsize="9976,3094" path="m10861,224r-9816,l1014,231r-26,17l971,273r-6,31l965,3238r6,31l988,3294r26,17l1045,3318r9816,l10892,3311r25,-17l10935,3269r6,-31l10941,304r-6,-31l10917,248r-25,-17l10861,224xe" fillcolor="#f5f5f5" stroked="f">
              <v:path arrowok="t"/>
            </v:shape>
            <v:shape id="_x0000_s1577" style="position:absolute;left:964;top:224;width:9976;height:3094" coordorigin="965,224" coordsize="9976,3094" path="m1045,224r9816,l10892,231r25,17l10935,273r6,31l10941,3238r-6,31l10917,3294r-25,17l10861,3318r-9816,l1014,3311r-26,-17l971,3269r-6,-31l965,304r6,-31l988,248r26,-17l1045,224xe" filled="f" strokecolor="#ccc">
              <v:path arrowok="t"/>
            </v:shape>
            <v:shape id="_x0000_s1576" type="#_x0000_t202" style="position:absolute;left:984;top:239;width:9938;height:3063" filled="f" stroked="f">
              <v:textbox inset="0,0,0,0">
                <w:txbxContent>
                  <w:p w14:paraId="61E415D2" w14:textId="77777777" w:rsidR="00711A16" w:rsidRDefault="00711A16">
                    <w:pPr>
                      <w:spacing w:before="221" w:line="252" w:lineRule="auto"/>
                      <w:ind w:left="200" w:right="3338"/>
                      <w:rPr>
                        <w:rFonts w:ascii="MS Gothic"/>
                      </w:rPr>
                    </w:pPr>
                    <w:r>
                      <w:rPr>
                        <w:rFonts w:ascii="MS Gothic"/>
                        <w:color w:val="333333"/>
                      </w:rPr>
                      <w:t>@</w:t>
                    </w:r>
                    <w:proofErr w:type="gramStart"/>
                    <w:r>
                      <w:rPr>
                        <w:rFonts w:ascii="MS Gothic"/>
                        <w:color w:val="333333"/>
                      </w:rPr>
                      <w:t>SpringBootTest(</w:t>
                    </w:r>
                    <w:proofErr w:type="gramEnd"/>
                    <w:r>
                      <w:rPr>
                        <w:rFonts w:ascii="MS Gothic"/>
                        <w:color w:val="333333"/>
                      </w:rPr>
                      <w:t>webEnvironment=WebEnvironment.RANDOM_PORT) public class MyWebIntegrationTests {</w:t>
                    </w:r>
                  </w:p>
                  <w:p w14:paraId="06260BDC" w14:textId="77777777" w:rsidR="00711A16" w:rsidRDefault="00711A16">
                    <w:pPr>
                      <w:spacing w:before="10"/>
                      <w:rPr>
                        <w:rFonts w:ascii="MS Gothic"/>
                      </w:rPr>
                    </w:pPr>
                  </w:p>
                  <w:p w14:paraId="7CA1AE5E" w14:textId="77777777" w:rsidR="00711A16" w:rsidRDefault="00711A16">
                    <w:pPr>
                      <w:spacing w:line="252" w:lineRule="auto"/>
                      <w:ind w:left="640" w:right="7518"/>
                      <w:rPr>
                        <w:rFonts w:ascii="MS Gothic"/>
                      </w:rPr>
                    </w:pPr>
                    <w:r>
                      <w:rPr>
                        <w:rFonts w:ascii="MS Gothic"/>
                        <w:color w:val="333333"/>
                      </w:rPr>
                      <w:t>@LocalServerPort int port;</w:t>
                    </w:r>
                  </w:p>
                  <w:p w14:paraId="61AB35DF" w14:textId="77777777" w:rsidR="00711A16" w:rsidRDefault="00711A16">
                    <w:pPr>
                      <w:spacing w:before="11"/>
                      <w:rPr>
                        <w:rFonts w:ascii="MS Gothic"/>
                      </w:rPr>
                    </w:pPr>
                  </w:p>
                  <w:p w14:paraId="003E913E" w14:textId="77777777" w:rsidR="00711A16" w:rsidRDefault="00711A16">
                    <w:pPr>
                      <w:ind w:left="640"/>
                      <w:rPr>
                        <w:rFonts w:ascii="MS Gothic"/>
                      </w:rPr>
                    </w:pPr>
                    <w:r>
                      <w:rPr>
                        <w:rFonts w:ascii="MS Gothic"/>
                        <w:color w:val="333333"/>
                      </w:rPr>
                      <w:t>// ...</w:t>
                    </w:r>
                  </w:p>
                  <w:p w14:paraId="7B56BA35" w14:textId="77777777" w:rsidR="00711A16" w:rsidRDefault="00711A16">
                    <w:pPr>
                      <w:rPr>
                        <w:rFonts w:ascii="MS Gothic"/>
                        <w:sz w:val="24"/>
                      </w:rPr>
                    </w:pPr>
                  </w:p>
                  <w:p w14:paraId="4932766C" w14:textId="77777777" w:rsidR="00711A16" w:rsidRDefault="00711A16">
                    <w:pPr>
                      <w:ind w:left="200"/>
                      <w:rPr>
                        <w:rFonts w:ascii="MS Gothic"/>
                      </w:rPr>
                    </w:pPr>
                    <w:r>
                      <w:rPr>
                        <w:rFonts w:ascii="MS Gothic"/>
                        <w:color w:val="333333"/>
                      </w:rPr>
                      <w:t>}</w:t>
                    </w:r>
                  </w:p>
                </w:txbxContent>
              </v:textbox>
            </v:shape>
            <w10:wrap type="topAndBottom" anchorx="page"/>
          </v:group>
        </w:pict>
      </w:r>
    </w:p>
    <w:p w14:paraId="3223B8B0" w14:textId="77777777" w:rsidR="00A720EB" w:rsidRDefault="00A720EB">
      <w:pPr>
        <w:pStyle w:val="a3"/>
        <w:spacing w:before="8"/>
        <w:rPr>
          <w:sz w:val="16"/>
        </w:rPr>
      </w:pPr>
    </w:p>
    <w:p w14:paraId="1F70F71B" w14:textId="77777777" w:rsidR="00A720EB" w:rsidRDefault="00E10349">
      <w:pPr>
        <w:pStyle w:val="a3"/>
        <w:spacing w:before="116" w:line="302" w:lineRule="auto"/>
        <w:ind w:left="1564" w:right="362"/>
        <w:jc w:val="both"/>
      </w:pPr>
      <w:r>
        <w:pict w14:anchorId="7A6E83D3">
          <v:line id="_x0000_s1574" style="position:absolute;left:0;text-align:left;z-index:16350720;mso-position-horizontal-relative:page" from="108.25pt,.35pt" to="108.25pt,71.45pt" strokecolor="#ededed" strokeweight=".5pt">
            <w10:wrap anchorx="page"/>
          </v:line>
        </w:pict>
      </w:r>
      <w:r w:rsidR="0030286B">
        <w:rPr>
          <w:noProof/>
        </w:rPr>
        <w:drawing>
          <wp:anchor distT="0" distB="0" distL="0" distR="0" simplePos="0" relativeHeight="16351232" behindDoc="0" locked="0" layoutInCell="1" allowOverlap="1" wp14:anchorId="7CC43D92" wp14:editId="0F7AF710">
            <wp:simplePos x="0" y="0"/>
            <wp:positionH relativeFrom="page">
              <wp:posOffset>844422</wp:posOffset>
            </wp:positionH>
            <wp:positionV relativeFrom="paragraph">
              <wp:posOffset>306654</wp:posOffset>
            </wp:positionV>
            <wp:extent cx="298450" cy="298450"/>
            <wp:effectExtent l="0" t="0" r="0" b="0"/>
            <wp:wrapNone/>
            <wp:docPr id="7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rFonts w:ascii="MS Gothic"/>
          <w:color w:val="B02045"/>
          <w:w w:val="105"/>
        </w:rPr>
        <w:t xml:space="preserve">@LocalServerPort </w:t>
      </w:r>
      <w:r w:rsidR="0030286B">
        <w:rPr>
          <w:color w:val="333333"/>
          <w:w w:val="105"/>
        </w:rPr>
        <w:t xml:space="preserve">is a meta-annotation for </w:t>
      </w:r>
      <w:r w:rsidR="0030286B">
        <w:rPr>
          <w:rFonts w:ascii="MS Gothic"/>
          <w:color w:val="B02045"/>
          <w:w w:val="105"/>
        </w:rPr>
        <w:t>@Value("${</w:t>
      </w:r>
      <w:proofErr w:type="gramStart"/>
      <w:r w:rsidR="0030286B">
        <w:rPr>
          <w:rFonts w:ascii="MS Gothic"/>
          <w:color w:val="B02045"/>
          <w:w w:val="105"/>
        </w:rPr>
        <w:t>local.server</w:t>
      </w:r>
      <w:proofErr w:type="gramEnd"/>
      <w:r w:rsidR="0030286B">
        <w:rPr>
          <w:rFonts w:ascii="MS Gothic"/>
          <w:color w:val="B02045"/>
          <w:w w:val="105"/>
        </w:rPr>
        <w:t>.port}")</w:t>
      </w:r>
      <w:r w:rsidR="0030286B">
        <w:rPr>
          <w:color w:val="333333"/>
          <w:w w:val="105"/>
        </w:rPr>
        <w:t xml:space="preserve">. Do not </w:t>
      </w:r>
      <w:r w:rsidR="0030286B">
        <w:rPr>
          <w:color w:val="333333"/>
          <w:w w:val="110"/>
        </w:rPr>
        <w:t xml:space="preserve">try to inject the port in a regular application. As we just </w:t>
      </w:r>
      <w:r w:rsidR="0030286B">
        <w:rPr>
          <w:color w:val="333333"/>
          <w:spacing w:val="-5"/>
          <w:w w:val="110"/>
        </w:rPr>
        <w:t xml:space="preserve">saw, </w:t>
      </w:r>
      <w:r w:rsidR="0030286B">
        <w:rPr>
          <w:color w:val="333333"/>
          <w:w w:val="110"/>
        </w:rPr>
        <w:t xml:space="preserve">the value is set </w:t>
      </w:r>
      <w:proofErr w:type="gramStart"/>
      <w:r w:rsidR="0030286B">
        <w:rPr>
          <w:color w:val="333333"/>
          <w:w w:val="110"/>
        </w:rPr>
        <w:t>only  after</w:t>
      </w:r>
      <w:proofErr w:type="gramEnd"/>
      <w:r w:rsidR="0030286B">
        <w:rPr>
          <w:color w:val="333333"/>
          <w:w w:val="110"/>
        </w:rPr>
        <w:t xml:space="preserve"> the container has been initialized. Contrary to a test, application </w:t>
      </w:r>
      <w:proofErr w:type="gramStart"/>
      <w:r w:rsidR="0030286B">
        <w:rPr>
          <w:color w:val="333333"/>
          <w:w w:val="110"/>
        </w:rPr>
        <w:t>code  callbacks</w:t>
      </w:r>
      <w:proofErr w:type="gramEnd"/>
      <w:r w:rsidR="0030286B">
        <w:rPr>
          <w:color w:val="333333"/>
          <w:w w:val="110"/>
        </w:rPr>
        <w:t xml:space="preserve"> are processed early (before the value is actually</w:t>
      </w:r>
      <w:r w:rsidR="0030286B">
        <w:rPr>
          <w:color w:val="333333"/>
          <w:spacing w:val="35"/>
          <w:w w:val="110"/>
        </w:rPr>
        <w:t xml:space="preserve"> </w:t>
      </w:r>
      <w:r w:rsidR="0030286B">
        <w:rPr>
          <w:color w:val="333333"/>
          <w:w w:val="110"/>
        </w:rPr>
        <w:t>available).</w:t>
      </w:r>
    </w:p>
    <w:p w14:paraId="4BC47F01" w14:textId="77777777" w:rsidR="00A720EB" w:rsidRDefault="00A720EB">
      <w:pPr>
        <w:pStyle w:val="a3"/>
        <w:spacing w:before="10"/>
        <w:rPr>
          <w:sz w:val="23"/>
        </w:rPr>
      </w:pPr>
    </w:p>
    <w:p w14:paraId="4C492C0B" w14:textId="77777777" w:rsidR="00A720EB" w:rsidRDefault="0030286B">
      <w:pPr>
        <w:pStyle w:val="3"/>
        <w:numPr>
          <w:ilvl w:val="2"/>
          <w:numId w:val="13"/>
        </w:numPr>
        <w:tabs>
          <w:tab w:val="left" w:pos="858"/>
        </w:tabs>
        <w:spacing w:before="105"/>
        <w:ind w:hanging="734"/>
      </w:pPr>
      <w:bookmarkStart w:id="822" w:name="9.3.6._Enable_HTTP_Response_Compression"/>
      <w:bookmarkStart w:id="823" w:name="_Toc54423936"/>
      <w:bookmarkEnd w:id="822"/>
      <w:r>
        <w:rPr>
          <w:color w:val="333333"/>
          <w:w w:val="110"/>
        </w:rPr>
        <w:t>Enable HTTP Response</w:t>
      </w:r>
      <w:r>
        <w:rPr>
          <w:color w:val="333333"/>
          <w:spacing w:val="-21"/>
          <w:w w:val="110"/>
        </w:rPr>
        <w:t xml:space="preserve"> </w:t>
      </w:r>
      <w:r>
        <w:rPr>
          <w:color w:val="333333"/>
          <w:w w:val="110"/>
        </w:rPr>
        <w:t>Compression</w:t>
      </w:r>
      <w:bookmarkEnd w:id="823"/>
    </w:p>
    <w:p w14:paraId="2E2B844E" w14:textId="77777777" w:rsidR="00A720EB" w:rsidRDefault="0030286B">
      <w:pPr>
        <w:pStyle w:val="a3"/>
        <w:spacing w:before="254"/>
        <w:ind w:left="124"/>
      </w:pPr>
      <w:r>
        <w:rPr>
          <w:color w:val="333333"/>
          <w:w w:val="110"/>
        </w:rPr>
        <w:t>HTTP response compression is supported by Jetty, Tomcat, and Undertow. It can be enabled in</w:t>
      </w:r>
    </w:p>
    <w:p w14:paraId="567F63CD" w14:textId="77777777" w:rsidR="00A720EB" w:rsidRDefault="0030286B">
      <w:pPr>
        <w:pStyle w:val="a3"/>
        <w:spacing w:before="59"/>
        <w:ind w:left="124"/>
      </w:pPr>
      <w:proofErr w:type="gramStart"/>
      <w:r>
        <w:rPr>
          <w:rFonts w:ascii="MS Gothic"/>
          <w:color w:val="B02045"/>
          <w:w w:val="105"/>
        </w:rPr>
        <w:t>application.properties</w:t>
      </w:r>
      <w:proofErr w:type="gramEnd"/>
      <w:r>
        <w:rPr>
          <w:color w:val="333333"/>
          <w:w w:val="105"/>
        </w:rPr>
        <w:t>, as follows:</w:t>
      </w:r>
    </w:p>
    <w:p w14:paraId="7024838A" w14:textId="77777777" w:rsidR="00A720EB" w:rsidRDefault="00E10349">
      <w:pPr>
        <w:pStyle w:val="a3"/>
        <w:spacing w:before="11"/>
        <w:rPr>
          <w:sz w:val="17"/>
        </w:rPr>
      </w:pPr>
      <w:r>
        <w:pict w14:anchorId="7B64DF60">
          <v:group id="_x0000_s1570" style="position:absolute;margin-left:47.85pt;margin-top:12.5pt;width:499.55pt;height:37.5pt;z-index:-15107072;mso-wrap-distance-left:0;mso-wrap-distance-right:0;mso-position-horizontal-relative:page" coordorigin="957,250" coordsize="9991,750">
            <v:shape id="_x0000_s1573" style="position:absolute;left:964;top:257;width:9976;height:735" coordorigin="965,257" coordsize="9976,735" path="m10861,257r-9816,l1014,264r-26,17l971,306r-6,31l965,912r6,31l988,969r26,17l1045,992r9816,l10892,986r25,-17l10935,943r6,-31l10941,337r-6,-31l10917,281r-25,-17l10861,257xe" fillcolor="#f5f5f5" stroked="f">
              <v:path arrowok="t"/>
            </v:shape>
            <v:shape id="_x0000_s1572" style="position:absolute;left:964;top:257;width:9976;height:735" coordorigin="965,257" coordsize="9976,735" path="m1045,257r9816,l10892,264r25,17l10935,306r6,31l10941,912r-6,31l10917,969r-25,17l10861,992r-9816,l1014,986,988,969,971,943r-6,-31l965,337r6,-31l988,281r26,-17l1045,257xe" filled="f" strokecolor="#ccc">
              <v:path arrowok="t"/>
            </v:shape>
            <v:shape id="_x0000_s1571" type="#_x0000_t202" style="position:absolute;left:984;top:272;width:9938;height:704" filled="f" stroked="f">
              <v:textbox inset="0,0,0,0">
                <w:txbxContent>
                  <w:p w14:paraId="0524F2CE" w14:textId="77777777" w:rsidR="00711A16" w:rsidRDefault="00711A16">
                    <w:pPr>
                      <w:spacing w:before="221"/>
                      <w:ind w:left="200"/>
                      <w:rPr>
                        <w:rFonts w:ascii="MS Gothic"/>
                      </w:rPr>
                    </w:pPr>
                    <w:proofErr w:type="gramStart"/>
                    <w:r>
                      <w:rPr>
                        <w:rFonts w:ascii="MS Gothic"/>
                        <w:color w:val="333333"/>
                      </w:rPr>
                      <w:t>server.compression</w:t>
                    </w:r>
                    <w:proofErr w:type="gramEnd"/>
                    <w:r>
                      <w:rPr>
                        <w:rFonts w:ascii="MS Gothic"/>
                        <w:color w:val="333333"/>
                      </w:rPr>
                      <w:t>.enabled=true</w:t>
                    </w:r>
                  </w:p>
                </w:txbxContent>
              </v:textbox>
            </v:shape>
            <w10:wrap type="topAndBottom" anchorx="page"/>
          </v:group>
        </w:pict>
      </w:r>
    </w:p>
    <w:p w14:paraId="43D73DB1" w14:textId="77777777" w:rsidR="00A720EB" w:rsidRDefault="00A720EB">
      <w:pPr>
        <w:pStyle w:val="a3"/>
        <w:rPr>
          <w:sz w:val="10"/>
        </w:rPr>
      </w:pPr>
    </w:p>
    <w:p w14:paraId="3366932E" w14:textId="77777777" w:rsidR="00A720EB" w:rsidRDefault="0030286B">
      <w:pPr>
        <w:pStyle w:val="a3"/>
        <w:spacing w:before="125" w:line="297" w:lineRule="auto"/>
        <w:ind w:left="124" w:right="462"/>
      </w:pPr>
      <w:proofErr w:type="gramStart"/>
      <w:r>
        <w:rPr>
          <w:color w:val="333333"/>
          <w:spacing w:val="-3"/>
          <w:w w:val="110"/>
        </w:rPr>
        <w:t xml:space="preserve">By  </w:t>
      </w:r>
      <w:r>
        <w:rPr>
          <w:color w:val="333333"/>
          <w:w w:val="110"/>
        </w:rPr>
        <w:t>default</w:t>
      </w:r>
      <w:proofErr w:type="gramEnd"/>
      <w:r>
        <w:rPr>
          <w:color w:val="333333"/>
          <w:w w:val="110"/>
        </w:rPr>
        <w:t xml:space="preserve">, responses must be at least 2048 bytes in length for compression to be performed. </w:t>
      </w:r>
      <w:r>
        <w:rPr>
          <w:color w:val="333333"/>
          <w:spacing w:val="-6"/>
          <w:w w:val="110"/>
        </w:rPr>
        <w:t>You</w:t>
      </w:r>
      <w:r>
        <w:rPr>
          <w:color w:val="333333"/>
          <w:spacing w:val="38"/>
          <w:w w:val="110"/>
        </w:rPr>
        <w:t xml:space="preserve"> </w:t>
      </w:r>
      <w:r>
        <w:rPr>
          <w:color w:val="333333"/>
          <w:w w:val="110"/>
        </w:rPr>
        <w:t>can</w:t>
      </w:r>
      <w:r>
        <w:rPr>
          <w:color w:val="333333"/>
          <w:spacing w:val="-9"/>
          <w:w w:val="110"/>
        </w:rPr>
        <w:t xml:space="preserve"> </w:t>
      </w:r>
      <w:r>
        <w:rPr>
          <w:color w:val="333333"/>
          <w:w w:val="110"/>
        </w:rPr>
        <w:t>configure</w:t>
      </w:r>
      <w:r>
        <w:rPr>
          <w:color w:val="333333"/>
          <w:spacing w:val="-9"/>
          <w:w w:val="110"/>
        </w:rPr>
        <w:t xml:space="preserve"> </w:t>
      </w:r>
      <w:r>
        <w:rPr>
          <w:color w:val="333333"/>
          <w:w w:val="110"/>
        </w:rPr>
        <w:t>this</w:t>
      </w:r>
      <w:r>
        <w:rPr>
          <w:color w:val="333333"/>
          <w:spacing w:val="-9"/>
          <w:w w:val="110"/>
        </w:rPr>
        <w:t xml:space="preserve"> </w:t>
      </w:r>
      <w:r>
        <w:rPr>
          <w:color w:val="333333"/>
          <w:w w:val="110"/>
        </w:rPr>
        <w:t>behavior</w:t>
      </w:r>
      <w:r>
        <w:rPr>
          <w:color w:val="333333"/>
          <w:spacing w:val="-9"/>
          <w:w w:val="110"/>
        </w:rPr>
        <w:t xml:space="preserve"> </w:t>
      </w:r>
      <w:r>
        <w:rPr>
          <w:color w:val="333333"/>
          <w:spacing w:val="-3"/>
          <w:w w:val="110"/>
        </w:rPr>
        <w:t>by</w:t>
      </w:r>
      <w:r>
        <w:rPr>
          <w:color w:val="333333"/>
          <w:spacing w:val="-10"/>
          <w:w w:val="110"/>
        </w:rPr>
        <w:t xml:space="preserve"> </w:t>
      </w:r>
      <w:r>
        <w:rPr>
          <w:color w:val="333333"/>
          <w:w w:val="110"/>
        </w:rPr>
        <w:t>setting</w:t>
      </w:r>
      <w:r>
        <w:rPr>
          <w:color w:val="333333"/>
          <w:spacing w:val="-8"/>
          <w:w w:val="110"/>
        </w:rPr>
        <w:t xml:space="preserve"> </w:t>
      </w:r>
      <w:r>
        <w:rPr>
          <w:color w:val="333333"/>
          <w:w w:val="110"/>
        </w:rPr>
        <w:t>the</w:t>
      </w:r>
      <w:r>
        <w:rPr>
          <w:color w:val="333333"/>
          <w:spacing w:val="-8"/>
          <w:w w:val="110"/>
        </w:rPr>
        <w:t xml:space="preserve"> </w:t>
      </w:r>
      <w:r>
        <w:rPr>
          <w:rFonts w:ascii="MS Gothic"/>
          <w:color w:val="B02045"/>
          <w:w w:val="110"/>
        </w:rPr>
        <w:t>server.compression.min-response-size</w:t>
      </w:r>
      <w:r>
        <w:rPr>
          <w:rFonts w:ascii="MS Gothic"/>
          <w:color w:val="B02045"/>
          <w:spacing w:val="-73"/>
          <w:w w:val="110"/>
        </w:rPr>
        <w:t xml:space="preserve"> </w:t>
      </w:r>
      <w:r>
        <w:rPr>
          <w:color w:val="333333"/>
          <w:spacing w:val="-3"/>
          <w:w w:val="110"/>
        </w:rPr>
        <w:t>property.</w:t>
      </w:r>
    </w:p>
    <w:p w14:paraId="01292A6D" w14:textId="77777777" w:rsidR="00A720EB" w:rsidRDefault="0030286B">
      <w:pPr>
        <w:pStyle w:val="a3"/>
        <w:spacing w:before="232"/>
        <w:ind w:left="124"/>
      </w:pPr>
      <w:r>
        <w:rPr>
          <w:color w:val="333333"/>
          <w:w w:val="110"/>
        </w:rPr>
        <w:t>By default, responses are compressed only if their content type is one of the following:</w:t>
      </w:r>
    </w:p>
    <w:p w14:paraId="234D3B7E" w14:textId="77777777" w:rsidR="00A720EB" w:rsidRDefault="00A720EB">
      <w:pPr>
        <w:pStyle w:val="a3"/>
        <w:spacing w:before="6"/>
        <w:rPr>
          <w:sz w:val="25"/>
        </w:rPr>
      </w:pPr>
    </w:p>
    <w:p w14:paraId="64F00479" w14:textId="77777777" w:rsidR="00A720EB" w:rsidRDefault="0030286B">
      <w:pPr>
        <w:pStyle w:val="a6"/>
        <w:numPr>
          <w:ilvl w:val="3"/>
          <w:numId w:val="13"/>
        </w:numPr>
        <w:tabs>
          <w:tab w:val="left" w:pos="485"/>
        </w:tabs>
        <w:rPr>
          <w:rFonts w:ascii="MS Gothic" w:hAnsi="MS Gothic"/>
          <w:sz w:val="21"/>
        </w:rPr>
      </w:pPr>
      <w:r>
        <w:rPr>
          <w:rFonts w:ascii="MS Gothic" w:hAnsi="MS Gothic"/>
          <w:color w:val="B02045"/>
          <w:sz w:val="21"/>
        </w:rPr>
        <w:t>text/html</w:t>
      </w:r>
    </w:p>
    <w:p w14:paraId="66E88809" w14:textId="77777777" w:rsidR="00A720EB" w:rsidRDefault="0030286B">
      <w:pPr>
        <w:pStyle w:val="a6"/>
        <w:numPr>
          <w:ilvl w:val="3"/>
          <w:numId w:val="13"/>
        </w:numPr>
        <w:tabs>
          <w:tab w:val="left" w:pos="485"/>
        </w:tabs>
        <w:spacing w:before="167"/>
        <w:rPr>
          <w:rFonts w:ascii="MS Gothic" w:hAnsi="MS Gothic"/>
          <w:sz w:val="21"/>
        </w:rPr>
      </w:pPr>
      <w:r>
        <w:rPr>
          <w:rFonts w:ascii="MS Gothic" w:hAnsi="MS Gothic"/>
          <w:color w:val="B02045"/>
          <w:sz w:val="21"/>
        </w:rPr>
        <w:t>text/xml</w:t>
      </w:r>
    </w:p>
    <w:p w14:paraId="01B79CFC" w14:textId="77777777" w:rsidR="00A720EB" w:rsidRDefault="0030286B">
      <w:pPr>
        <w:pStyle w:val="a6"/>
        <w:numPr>
          <w:ilvl w:val="3"/>
          <w:numId w:val="13"/>
        </w:numPr>
        <w:tabs>
          <w:tab w:val="left" w:pos="485"/>
        </w:tabs>
        <w:spacing w:before="166"/>
        <w:rPr>
          <w:rFonts w:ascii="MS Gothic" w:hAnsi="MS Gothic"/>
          <w:sz w:val="21"/>
        </w:rPr>
      </w:pPr>
      <w:r>
        <w:rPr>
          <w:rFonts w:ascii="MS Gothic" w:hAnsi="MS Gothic"/>
          <w:color w:val="B02045"/>
          <w:sz w:val="21"/>
        </w:rPr>
        <w:t>text/plain</w:t>
      </w:r>
    </w:p>
    <w:p w14:paraId="7C0E2F9B" w14:textId="77777777" w:rsidR="00A720EB" w:rsidRDefault="0030286B">
      <w:pPr>
        <w:pStyle w:val="a6"/>
        <w:numPr>
          <w:ilvl w:val="3"/>
          <w:numId w:val="13"/>
        </w:numPr>
        <w:tabs>
          <w:tab w:val="left" w:pos="485"/>
        </w:tabs>
        <w:spacing w:before="167"/>
        <w:rPr>
          <w:rFonts w:ascii="MS Gothic" w:hAnsi="MS Gothic"/>
          <w:sz w:val="21"/>
        </w:rPr>
      </w:pPr>
      <w:r>
        <w:rPr>
          <w:rFonts w:ascii="MS Gothic" w:hAnsi="MS Gothic"/>
          <w:color w:val="B02045"/>
          <w:sz w:val="21"/>
        </w:rPr>
        <w:t>text/css</w:t>
      </w:r>
    </w:p>
    <w:p w14:paraId="47455921" w14:textId="77777777" w:rsidR="00A720EB" w:rsidRDefault="0030286B">
      <w:pPr>
        <w:pStyle w:val="a6"/>
        <w:numPr>
          <w:ilvl w:val="3"/>
          <w:numId w:val="13"/>
        </w:numPr>
        <w:tabs>
          <w:tab w:val="left" w:pos="485"/>
        </w:tabs>
        <w:spacing w:before="166"/>
        <w:rPr>
          <w:rFonts w:ascii="MS Gothic" w:hAnsi="MS Gothic"/>
          <w:sz w:val="21"/>
        </w:rPr>
      </w:pPr>
      <w:r>
        <w:rPr>
          <w:rFonts w:ascii="MS Gothic" w:hAnsi="MS Gothic"/>
          <w:color w:val="B02045"/>
          <w:sz w:val="21"/>
        </w:rPr>
        <w:t>text/javascript</w:t>
      </w:r>
    </w:p>
    <w:p w14:paraId="4A790F4B" w14:textId="77777777" w:rsidR="00A720EB" w:rsidRDefault="0030286B">
      <w:pPr>
        <w:pStyle w:val="a6"/>
        <w:numPr>
          <w:ilvl w:val="3"/>
          <w:numId w:val="13"/>
        </w:numPr>
        <w:tabs>
          <w:tab w:val="left" w:pos="485"/>
        </w:tabs>
        <w:spacing w:before="167"/>
        <w:rPr>
          <w:rFonts w:ascii="MS Gothic" w:hAnsi="MS Gothic"/>
          <w:sz w:val="21"/>
        </w:rPr>
      </w:pPr>
      <w:r>
        <w:rPr>
          <w:rFonts w:ascii="MS Gothic" w:hAnsi="MS Gothic"/>
          <w:color w:val="B02045"/>
          <w:sz w:val="21"/>
        </w:rPr>
        <w:t>application/javascript</w:t>
      </w:r>
    </w:p>
    <w:p w14:paraId="214C94F4" w14:textId="77777777" w:rsidR="00A720EB" w:rsidRDefault="0030286B">
      <w:pPr>
        <w:pStyle w:val="a6"/>
        <w:numPr>
          <w:ilvl w:val="3"/>
          <w:numId w:val="13"/>
        </w:numPr>
        <w:tabs>
          <w:tab w:val="left" w:pos="485"/>
        </w:tabs>
        <w:spacing w:before="167"/>
        <w:rPr>
          <w:rFonts w:ascii="MS Gothic" w:hAnsi="MS Gothic"/>
          <w:sz w:val="21"/>
        </w:rPr>
      </w:pPr>
      <w:r>
        <w:rPr>
          <w:rFonts w:ascii="MS Gothic" w:hAnsi="MS Gothic"/>
          <w:color w:val="B02045"/>
          <w:sz w:val="21"/>
        </w:rPr>
        <w:t>application/json</w:t>
      </w:r>
    </w:p>
    <w:p w14:paraId="11FB0CEA" w14:textId="77777777" w:rsidR="00A720EB" w:rsidRDefault="0030286B">
      <w:pPr>
        <w:pStyle w:val="a6"/>
        <w:numPr>
          <w:ilvl w:val="3"/>
          <w:numId w:val="13"/>
        </w:numPr>
        <w:tabs>
          <w:tab w:val="left" w:pos="485"/>
        </w:tabs>
        <w:spacing w:before="166"/>
        <w:rPr>
          <w:rFonts w:ascii="MS Gothic" w:hAnsi="MS Gothic"/>
          <w:sz w:val="21"/>
        </w:rPr>
      </w:pPr>
      <w:r>
        <w:rPr>
          <w:rFonts w:ascii="MS Gothic" w:hAnsi="MS Gothic"/>
          <w:color w:val="B02045"/>
          <w:sz w:val="21"/>
        </w:rPr>
        <w:t>application/xml</w:t>
      </w:r>
    </w:p>
    <w:p w14:paraId="672B304B" w14:textId="77777777" w:rsidR="00A720EB" w:rsidRDefault="00A720EB">
      <w:pPr>
        <w:pStyle w:val="a3"/>
        <w:spacing w:before="5"/>
        <w:rPr>
          <w:rFonts w:ascii="MS Gothic"/>
          <w:sz w:val="22"/>
        </w:rPr>
      </w:pPr>
    </w:p>
    <w:p w14:paraId="7EE88B6D" w14:textId="77777777" w:rsidR="00A720EB" w:rsidRDefault="0030286B">
      <w:pPr>
        <w:pStyle w:val="a3"/>
        <w:ind w:left="124"/>
      </w:pPr>
      <w:r>
        <w:rPr>
          <w:color w:val="333333"/>
          <w:spacing w:val="-6"/>
          <w:w w:val="110"/>
        </w:rPr>
        <w:t xml:space="preserve">You </w:t>
      </w:r>
      <w:r>
        <w:rPr>
          <w:color w:val="333333"/>
          <w:w w:val="110"/>
        </w:rPr>
        <w:t xml:space="preserve">can configure this behavior </w:t>
      </w:r>
      <w:r>
        <w:rPr>
          <w:color w:val="333333"/>
          <w:spacing w:val="-3"/>
          <w:w w:val="110"/>
        </w:rPr>
        <w:t xml:space="preserve">by </w:t>
      </w:r>
      <w:r>
        <w:rPr>
          <w:color w:val="333333"/>
          <w:w w:val="110"/>
        </w:rPr>
        <w:t xml:space="preserve">setting the </w:t>
      </w:r>
      <w:proofErr w:type="gramStart"/>
      <w:r>
        <w:rPr>
          <w:rFonts w:ascii="MS Gothic"/>
          <w:color w:val="B02045"/>
          <w:w w:val="110"/>
        </w:rPr>
        <w:t>server.compression</w:t>
      </w:r>
      <w:proofErr w:type="gramEnd"/>
      <w:r>
        <w:rPr>
          <w:rFonts w:ascii="MS Gothic"/>
          <w:color w:val="B02045"/>
          <w:w w:val="110"/>
        </w:rPr>
        <w:t>.mime-types</w:t>
      </w:r>
      <w:r>
        <w:rPr>
          <w:rFonts w:ascii="MS Gothic"/>
          <w:color w:val="B02045"/>
          <w:spacing w:val="-89"/>
          <w:w w:val="110"/>
        </w:rPr>
        <w:t xml:space="preserve"> </w:t>
      </w:r>
      <w:r>
        <w:rPr>
          <w:color w:val="333333"/>
          <w:spacing w:val="-3"/>
          <w:w w:val="110"/>
        </w:rPr>
        <w:t>property.</w:t>
      </w:r>
    </w:p>
    <w:p w14:paraId="3A39E12A" w14:textId="77777777" w:rsidR="00A720EB" w:rsidRDefault="00A720EB">
      <w:pPr>
        <w:sectPr w:rsidR="00A720EB">
          <w:pgSz w:w="11910" w:h="16840"/>
          <w:pgMar w:top="620" w:right="840" w:bottom="520" w:left="840" w:header="0" w:footer="323" w:gutter="0"/>
          <w:cols w:space="720"/>
        </w:sectPr>
      </w:pPr>
    </w:p>
    <w:p w14:paraId="597FD8CE" w14:textId="77777777" w:rsidR="00A720EB" w:rsidRDefault="0030286B">
      <w:pPr>
        <w:pStyle w:val="3"/>
        <w:numPr>
          <w:ilvl w:val="2"/>
          <w:numId w:val="13"/>
        </w:numPr>
        <w:tabs>
          <w:tab w:val="left" w:pos="858"/>
        </w:tabs>
        <w:spacing w:before="87"/>
        <w:ind w:hanging="734"/>
      </w:pPr>
      <w:bookmarkStart w:id="824" w:name="9.3.7._Configure_SSL"/>
      <w:bookmarkStart w:id="825" w:name="_Toc54423937"/>
      <w:bookmarkEnd w:id="824"/>
      <w:r>
        <w:rPr>
          <w:color w:val="333333"/>
          <w:w w:val="105"/>
        </w:rPr>
        <w:lastRenderedPageBreak/>
        <w:t>Configure</w:t>
      </w:r>
      <w:r>
        <w:rPr>
          <w:color w:val="333333"/>
          <w:spacing w:val="-3"/>
          <w:w w:val="105"/>
        </w:rPr>
        <w:t xml:space="preserve"> </w:t>
      </w:r>
      <w:r>
        <w:rPr>
          <w:color w:val="333333"/>
          <w:w w:val="105"/>
        </w:rPr>
        <w:t>SSL</w:t>
      </w:r>
      <w:bookmarkEnd w:id="825"/>
    </w:p>
    <w:p w14:paraId="18AD3ACB" w14:textId="77777777" w:rsidR="00A720EB" w:rsidRDefault="0030286B">
      <w:pPr>
        <w:pStyle w:val="a3"/>
        <w:spacing w:before="243" w:line="280" w:lineRule="auto"/>
        <w:ind w:left="124" w:right="124"/>
        <w:jc w:val="both"/>
      </w:pPr>
      <w:r>
        <w:rPr>
          <w:color w:val="333333"/>
          <w:w w:val="110"/>
        </w:rPr>
        <w:t xml:space="preserve">SSL can be configured declaratively </w:t>
      </w:r>
      <w:r>
        <w:rPr>
          <w:color w:val="333333"/>
          <w:spacing w:val="-3"/>
          <w:w w:val="110"/>
        </w:rPr>
        <w:t xml:space="preserve">by </w:t>
      </w:r>
      <w:r>
        <w:rPr>
          <w:color w:val="333333"/>
          <w:w w:val="110"/>
        </w:rPr>
        <w:t xml:space="preserve">setting the various </w:t>
      </w:r>
      <w:proofErr w:type="gramStart"/>
      <w:r>
        <w:rPr>
          <w:rFonts w:ascii="MS Gothic"/>
          <w:color w:val="B02045"/>
          <w:w w:val="110"/>
        </w:rPr>
        <w:t>server.ssl.*</w:t>
      </w:r>
      <w:proofErr w:type="gramEnd"/>
      <w:r>
        <w:rPr>
          <w:rFonts w:ascii="MS Gothic"/>
          <w:color w:val="B02045"/>
          <w:w w:val="110"/>
        </w:rPr>
        <w:t xml:space="preserve"> </w:t>
      </w:r>
      <w:r>
        <w:rPr>
          <w:color w:val="333333"/>
          <w:w w:val="110"/>
        </w:rPr>
        <w:t xml:space="preserve">properties, typically in </w:t>
      </w:r>
      <w:r>
        <w:rPr>
          <w:rFonts w:ascii="MS Gothic"/>
          <w:color w:val="B02045"/>
          <w:w w:val="110"/>
        </w:rPr>
        <w:t>application.properties</w:t>
      </w:r>
      <w:r>
        <w:rPr>
          <w:rFonts w:ascii="MS Gothic"/>
          <w:color w:val="B02045"/>
          <w:spacing w:val="-77"/>
          <w:w w:val="110"/>
        </w:rPr>
        <w:t xml:space="preserve"> </w:t>
      </w:r>
      <w:r>
        <w:rPr>
          <w:color w:val="333333"/>
          <w:w w:val="110"/>
        </w:rPr>
        <w:t>or</w:t>
      </w:r>
      <w:r>
        <w:rPr>
          <w:color w:val="333333"/>
          <w:spacing w:val="-11"/>
          <w:w w:val="110"/>
        </w:rPr>
        <w:t xml:space="preserve"> </w:t>
      </w:r>
      <w:r>
        <w:rPr>
          <w:rFonts w:ascii="MS Gothic"/>
          <w:color w:val="B02045"/>
          <w:w w:val="110"/>
        </w:rPr>
        <w:t>application.yml</w:t>
      </w:r>
      <w:r>
        <w:rPr>
          <w:color w:val="333333"/>
          <w:w w:val="110"/>
        </w:rPr>
        <w:t>.</w:t>
      </w:r>
      <w:r>
        <w:rPr>
          <w:color w:val="333333"/>
          <w:spacing w:val="-12"/>
          <w:w w:val="110"/>
        </w:rPr>
        <w:t xml:space="preserve"> </w:t>
      </w:r>
      <w:r>
        <w:rPr>
          <w:color w:val="333333"/>
          <w:w w:val="110"/>
        </w:rPr>
        <w:t>The</w:t>
      </w:r>
      <w:r>
        <w:rPr>
          <w:color w:val="333333"/>
          <w:spacing w:val="-11"/>
          <w:w w:val="110"/>
        </w:rPr>
        <w:t xml:space="preserve"> </w:t>
      </w:r>
      <w:r>
        <w:rPr>
          <w:color w:val="333333"/>
          <w:w w:val="110"/>
        </w:rPr>
        <w:t>following</w:t>
      </w:r>
      <w:r>
        <w:rPr>
          <w:color w:val="333333"/>
          <w:spacing w:val="-11"/>
          <w:w w:val="110"/>
        </w:rPr>
        <w:t xml:space="preserve"> </w:t>
      </w:r>
      <w:r>
        <w:rPr>
          <w:color w:val="333333"/>
          <w:w w:val="110"/>
        </w:rPr>
        <w:t>example</w:t>
      </w:r>
      <w:r>
        <w:rPr>
          <w:color w:val="333333"/>
          <w:spacing w:val="-12"/>
          <w:w w:val="110"/>
        </w:rPr>
        <w:t xml:space="preserve"> </w:t>
      </w:r>
      <w:r>
        <w:rPr>
          <w:color w:val="333333"/>
          <w:w w:val="110"/>
        </w:rPr>
        <w:t>shows</w:t>
      </w:r>
      <w:r>
        <w:rPr>
          <w:color w:val="333333"/>
          <w:spacing w:val="-11"/>
          <w:w w:val="110"/>
        </w:rPr>
        <w:t xml:space="preserve"> </w:t>
      </w:r>
      <w:r>
        <w:rPr>
          <w:color w:val="333333"/>
          <w:w w:val="110"/>
        </w:rPr>
        <w:t>setting</w:t>
      </w:r>
      <w:r>
        <w:rPr>
          <w:color w:val="333333"/>
          <w:spacing w:val="-12"/>
          <w:w w:val="110"/>
        </w:rPr>
        <w:t xml:space="preserve"> </w:t>
      </w:r>
      <w:r>
        <w:rPr>
          <w:color w:val="333333"/>
          <w:w w:val="110"/>
        </w:rPr>
        <w:t>SSL</w:t>
      </w:r>
      <w:r>
        <w:rPr>
          <w:color w:val="333333"/>
          <w:spacing w:val="-11"/>
          <w:w w:val="110"/>
        </w:rPr>
        <w:t xml:space="preserve"> </w:t>
      </w:r>
      <w:r>
        <w:rPr>
          <w:color w:val="333333"/>
          <w:w w:val="110"/>
        </w:rPr>
        <w:t>properties</w:t>
      </w:r>
      <w:r>
        <w:rPr>
          <w:color w:val="333333"/>
          <w:spacing w:val="-12"/>
          <w:w w:val="110"/>
        </w:rPr>
        <w:t xml:space="preserve"> </w:t>
      </w:r>
      <w:r>
        <w:rPr>
          <w:color w:val="333333"/>
          <w:w w:val="110"/>
        </w:rPr>
        <w:t xml:space="preserve">in </w:t>
      </w:r>
      <w:proofErr w:type="gramStart"/>
      <w:r>
        <w:rPr>
          <w:rFonts w:ascii="MS Gothic"/>
          <w:color w:val="B02045"/>
          <w:w w:val="110"/>
        </w:rPr>
        <w:t>application.properties</w:t>
      </w:r>
      <w:proofErr w:type="gramEnd"/>
      <w:r>
        <w:rPr>
          <w:color w:val="333333"/>
          <w:w w:val="110"/>
        </w:rPr>
        <w:t>:</w:t>
      </w:r>
    </w:p>
    <w:p w14:paraId="48B53D0F" w14:textId="77777777" w:rsidR="00A720EB" w:rsidRDefault="00E10349">
      <w:pPr>
        <w:pStyle w:val="a3"/>
        <w:spacing w:before="2"/>
        <w:rPr>
          <w:sz w:val="14"/>
        </w:rPr>
      </w:pPr>
      <w:r>
        <w:pict w14:anchorId="67DA596A">
          <v:group id="_x0000_s1566" style="position:absolute;margin-left:47.85pt;margin-top:10.3pt;width:499.55pt;height:81.75pt;z-index:-15105536;mso-wrap-distance-left:0;mso-wrap-distance-right:0;mso-position-horizontal-relative:page" coordorigin="957,206" coordsize="9991,1635">
            <v:shape id="_x0000_s1569" style="position:absolute;left:964;top:213;width:9976;height:1620" coordorigin="965,213" coordsize="9976,1620" path="m10861,213r-9816,l1014,220r-26,17l971,262r-6,31l965,1753r6,31l988,1809r26,17l1045,1833r9816,l10892,1826r25,-17l10935,1784r6,-31l10941,293r-6,-31l10917,237r-25,-17l10861,213xe" fillcolor="#f5f5f5" stroked="f">
              <v:path arrowok="t"/>
            </v:shape>
            <v:shape id="_x0000_s1568" style="position:absolute;left:964;top:213;width:9976;height:1620" coordorigin="965,213" coordsize="9976,1620" path="m1045,213r9816,l10892,220r25,17l10935,262r6,31l10941,1753r-6,31l10917,1809r-25,17l10861,1833r-9816,l1014,1826r-26,-17l971,1784r-6,-31l965,293r6,-31l988,237r26,-17l1045,213xe" filled="f" strokecolor="#ccc">
              <v:path arrowok="t"/>
            </v:shape>
            <v:shape id="_x0000_s1567" type="#_x0000_t202" style="position:absolute;left:984;top:228;width:9938;height:1589" filled="f" stroked="f">
              <v:textbox inset="0,0,0,0">
                <w:txbxContent>
                  <w:p w14:paraId="51CBC925" w14:textId="77777777" w:rsidR="00711A16" w:rsidRDefault="00711A16">
                    <w:pPr>
                      <w:spacing w:before="221"/>
                      <w:ind w:left="200"/>
                      <w:rPr>
                        <w:rFonts w:ascii="MS Gothic"/>
                      </w:rPr>
                    </w:pPr>
                    <w:proofErr w:type="gramStart"/>
                    <w:r>
                      <w:rPr>
                        <w:rFonts w:ascii="MS Gothic"/>
                        <w:color w:val="333333"/>
                      </w:rPr>
                      <w:t>server.port</w:t>
                    </w:r>
                    <w:proofErr w:type="gramEnd"/>
                    <w:r>
                      <w:rPr>
                        <w:rFonts w:ascii="MS Gothic"/>
                        <w:color w:val="333333"/>
                      </w:rPr>
                      <w:t>=8443</w:t>
                    </w:r>
                  </w:p>
                  <w:p w14:paraId="11F078F8" w14:textId="77777777" w:rsidR="00711A16" w:rsidRDefault="00711A16">
                    <w:pPr>
                      <w:spacing w:before="13" w:line="252" w:lineRule="auto"/>
                      <w:ind w:left="200" w:right="5004"/>
                      <w:rPr>
                        <w:rFonts w:ascii="MS Gothic"/>
                      </w:rPr>
                    </w:pPr>
                    <w:r>
                      <w:rPr>
                        <w:rFonts w:ascii="MS Gothic"/>
                        <w:color w:val="333333"/>
                      </w:rPr>
                      <w:t>server.ssl.key-store=</w:t>
                    </w:r>
                    <w:proofErr w:type="gramStart"/>
                    <w:r>
                      <w:rPr>
                        <w:rFonts w:ascii="MS Gothic"/>
                        <w:color w:val="333333"/>
                      </w:rPr>
                      <w:t>classpath:keystore.jks</w:t>
                    </w:r>
                    <w:proofErr w:type="gramEnd"/>
                    <w:r>
                      <w:rPr>
                        <w:rFonts w:ascii="MS Gothic"/>
                        <w:color w:val="333333"/>
                      </w:rPr>
                      <w:t xml:space="preserve"> server.ssl.key-store-password=secret server.ssl.key-password=another-secret</w:t>
                    </w:r>
                  </w:p>
                </w:txbxContent>
              </v:textbox>
            </v:shape>
            <w10:wrap type="topAndBottom" anchorx="page"/>
          </v:group>
        </w:pict>
      </w:r>
    </w:p>
    <w:p w14:paraId="6BF454F1" w14:textId="77777777" w:rsidR="00A720EB" w:rsidRDefault="00A720EB">
      <w:pPr>
        <w:pStyle w:val="a3"/>
        <w:spacing w:before="11"/>
        <w:rPr>
          <w:sz w:val="9"/>
        </w:rPr>
      </w:pPr>
    </w:p>
    <w:p w14:paraId="176BA25B" w14:textId="77777777" w:rsidR="00A720EB" w:rsidRDefault="0030286B">
      <w:pPr>
        <w:pStyle w:val="a3"/>
        <w:spacing w:before="115"/>
        <w:ind w:left="124"/>
      </w:pPr>
      <w:r>
        <w:rPr>
          <w:color w:val="333333"/>
          <w:w w:val="110"/>
        </w:rPr>
        <w:t xml:space="preserve">See </w:t>
      </w:r>
      <w:hyperlink r:id="rId597">
        <w:r>
          <w:rPr>
            <w:rFonts w:ascii="MS Gothic"/>
            <w:color w:val="B02045"/>
            <w:w w:val="110"/>
          </w:rPr>
          <w:t xml:space="preserve">Ssl </w:t>
        </w:r>
      </w:hyperlink>
      <w:r>
        <w:rPr>
          <w:color w:val="333333"/>
          <w:w w:val="110"/>
        </w:rPr>
        <w:t>for details of all of the supported properties.</w:t>
      </w:r>
    </w:p>
    <w:p w14:paraId="174039D4" w14:textId="77777777" w:rsidR="00A720EB" w:rsidRDefault="00A720EB">
      <w:pPr>
        <w:pStyle w:val="a3"/>
        <w:spacing w:before="4"/>
        <w:rPr>
          <w:sz w:val="25"/>
        </w:rPr>
      </w:pPr>
    </w:p>
    <w:p w14:paraId="15F73968" w14:textId="77777777" w:rsidR="00A720EB" w:rsidRDefault="0030286B">
      <w:pPr>
        <w:pStyle w:val="a3"/>
        <w:spacing w:line="295" w:lineRule="auto"/>
        <w:ind w:left="124" w:right="122"/>
        <w:jc w:val="both"/>
      </w:pPr>
      <w:r>
        <w:rPr>
          <w:color w:val="333333"/>
          <w:w w:val="110"/>
        </w:rPr>
        <w:t xml:space="preserve">Using configuration such as the preceding example means the application </w:t>
      </w:r>
      <w:proofErr w:type="gramStart"/>
      <w:r>
        <w:rPr>
          <w:color w:val="333333"/>
          <w:w w:val="110"/>
        </w:rPr>
        <w:t>no  longer</w:t>
      </w:r>
      <w:proofErr w:type="gramEnd"/>
      <w:r>
        <w:rPr>
          <w:color w:val="333333"/>
          <w:w w:val="110"/>
        </w:rPr>
        <w:t xml:space="preserve">  supports  a plain HTTP connector at port 8080. Spring Boot does not support the configuration of both an HTTP connector and an HTTPS connector through </w:t>
      </w:r>
      <w:proofErr w:type="gramStart"/>
      <w:r>
        <w:rPr>
          <w:rFonts w:ascii="MS Gothic"/>
          <w:color w:val="B02045"/>
          <w:w w:val="110"/>
        </w:rPr>
        <w:t>application.properties</w:t>
      </w:r>
      <w:proofErr w:type="gramEnd"/>
      <w:r>
        <w:rPr>
          <w:color w:val="333333"/>
          <w:w w:val="110"/>
        </w:rPr>
        <w:t xml:space="preserve">. If you want to have both, you need to configure one of them </w:t>
      </w:r>
      <w:r>
        <w:rPr>
          <w:color w:val="333333"/>
          <w:spacing w:val="-3"/>
          <w:w w:val="110"/>
        </w:rPr>
        <w:t xml:space="preserve">programmatically. </w:t>
      </w:r>
      <w:r>
        <w:rPr>
          <w:color w:val="333333"/>
          <w:spacing w:val="-7"/>
          <w:w w:val="110"/>
        </w:rPr>
        <w:t xml:space="preserve">We </w:t>
      </w:r>
      <w:r>
        <w:rPr>
          <w:color w:val="333333"/>
          <w:w w:val="110"/>
        </w:rPr>
        <w:t xml:space="preserve">recommend using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to configure</w:t>
      </w:r>
      <w:r>
        <w:rPr>
          <w:color w:val="333333"/>
          <w:spacing w:val="5"/>
          <w:w w:val="110"/>
        </w:rPr>
        <w:t xml:space="preserve"> </w:t>
      </w:r>
      <w:r>
        <w:rPr>
          <w:color w:val="333333"/>
          <w:w w:val="110"/>
        </w:rPr>
        <w:t>HTTPS,</w:t>
      </w:r>
      <w:r>
        <w:rPr>
          <w:color w:val="333333"/>
          <w:spacing w:val="5"/>
          <w:w w:val="110"/>
        </w:rPr>
        <w:t xml:space="preserve"> </w:t>
      </w:r>
      <w:r>
        <w:rPr>
          <w:color w:val="333333"/>
          <w:w w:val="110"/>
        </w:rPr>
        <w:t>as</w:t>
      </w:r>
      <w:r>
        <w:rPr>
          <w:color w:val="333333"/>
          <w:spacing w:val="5"/>
          <w:w w:val="110"/>
        </w:rPr>
        <w:t xml:space="preserve"> </w:t>
      </w:r>
      <w:r>
        <w:rPr>
          <w:color w:val="333333"/>
          <w:w w:val="110"/>
        </w:rPr>
        <w:t>the</w:t>
      </w:r>
      <w:r>
        <w:rPr>
          <w:color w:val="333333"/>
          <w:spacing w:val="5"/>
          <w:w w:val="110"/>
        </w:rPr>
        <w:t xml:space="preserve"> </w:t>
      </w:r>
      <w:r>
        <w:rPr>
          <w:color w:val="333333"/>
          <w:w w:val="110"/>
        </w:rPr>
        <w:t>HTTP</w:t>
      </w:r>
      <w:r>
        <w:rPr>
          <w:color w:val="333333"/>
          <w:spacing w:val="5"/>
          <w:w w:val="110"/>
        </w:rPr>
        <w:t xml:space="preserve"> </w:t>
      </w:r>
      <w:r>
        <w:rPr>
          <w:color w:val="333333"/>
          <w:w w:val="110"/>
        </w:rPr>
        <w:t>connector</w:t>
      </w:r>
      <w:r>
        <w:rPr>
          <w:color w:val="333333"/>
          <w:spacing w:val="6"/>
          <w:w w:val="110"/>
        </w:rPr>
        <w:t xml:space="preserve"> </w:t>
      </w:r>
      <w:r>
        <w:rPr>
          <w:color w:val="333333"/>
          <w:w w:val="110"/>
        </w:rPr>
        <w:t>is</w:t>
      </w:r>
      <w:r>
        <w:rPr>
          <w:color w:val="333333"/>
          <w:spacing w:val="4"/>
          <w:w w:val="110"/>
        </w:rPr>
        <w:t xml:space="preserve"> </w:t>
      </w:r>
      <w:r>
        <w:rPr>
          <w:color w:val="333333"/>
          <w:w w:val="110"/>
        </w:rPr>
        <w:t>the</w:t>
      </w:r>
      <w:r>
        <w:rPr>
          <w:color w:val="333333"/>
          <w:spacing w:val="6"/>
          <w:w w:val="110"/>
        </w:rPr>
        <w:t xml:space="preserve"> </w:t>
      </w:r>
      <w:r>
        <w:rPr>
          <w:color w:val="333333"/>
          <w:w w:val="110"/>
        </w:rPr>
        <w:t>easier</w:t>
      </w:r>
      <w:r>
        <w:rPr>
          <w:color w:val="333333"/>
          <w:spacing w:val="6"/>
          <w:w w:val="110"/>
        </w:rPr>
        <w:t xml:space="preserve"> </w:t>
      </w:r>
      <w:r>
        <w:rPr>
          <w:color w:val="333333"/>
          <w:w w:val="110"/>
        </w:rPr>
        <w:t>of</w:t>
      </w:r>
      <w:r>
        <w:rPr>
          <w:color w:val="333333"/>
          <w:spacing w:val="6"/>
          <w:w w:val="110"/>
        </w:rPr>
        <w:t xml:space="preserve"> </w:t>
      </w:r>
      <w:r>
        <w:rPr>
          <w:color w:val="333333"/>
          <w:w w:val="110"/>
        </w:rPr>
        <w:t>the</w:t>
      </w:r>
      <w:r>
        <w:rPr>
          <w:color w:val="333333"/>
          <w:spacing w:val="5"/>
          <w:w w:val="110"/>
        </w:rPr>
        <w:t xml:space="preserve"> </w:t>
      </w:r>
      <w:r>
        <w:rPr>
          <w:color w:val="333333"/>
          <w:w w:val="110"/>
        </w:rPr>
        <w:t>two</w:t>
      </w:r>
      <w:r>
        <w:rPr>
          <w:color w:val="333333"/>
          <w:spacing w:val="6"/>
          <w:w w:val="110"/>
        </w:rPr>
        <w:t xml:space="preserve"> </w:t>
      </w:r>
      <w:r>
        <w:rPr>
          <w:color w:val="333333"/>
          <w:w w:val="110"/>
        </w:rPr>
        <w:t>to</w:t>
      </w:r>
      <w:r>
        <w:rPr>
          <w:color w:val="333333"/>
          <w:spacing w:val="6"/>
          <w:w w:val="110"/>
        </w:rPr>
        <w:t xml:space="preserve"> </w:t>
      </w:r>
      <w:r>
        <w:rPr>
          <w:color w:val="333333"/>
          <w:w w:val="110"/>
        </w:rPr>
        <w:t>configure</w:t>
      </w:r>
      <w:r>
        <w:rPr>
          <w:color w:val="333333"/>
          <w:spacing w:val="6"/>
          <w:w w:val="110"/>
        </w:rPr>
        <w:t xml:space="preserve"> </w:t>
      </w:r>
      <w:r>
        <w:rPr>
          <w:color w:val="333333"/>
          <w:spacing w:val="-3"/>
          <w:w w:val="110"/>
        </w:rPr>
        <w:t>programmatically.</w:t>
      </w:r>
    </w:p>
    <w:p w14:paraId="486217E2" w14:textId="77777777" w:rsidR="00A720EB" w:rsidRDefault="00A720EB">
      <w:pPr>
        <w:pStyle w:val="a3"/>
        <w:spacing w:before="4"/>
        <w:rPr>
          <w:sz w:val="26"/>
        </w:rPr>
      </w:pPr>
    </w:p>
    <w:p w14:paraId="763B0F6A" w14:textId="77777777" w:rsidR="00A720EB" w:rsidRDefault="0030286B">
      <w:pPr>
        <w:pStyle w:val="3"/>
        <w:numPr>
          <w:ilvl w:val="2"/>
          <w:numId w:val="13"/>
        </w:numPr>
        <w:tabs>
          <w:tab w:val="left" w:pos="858"/>
        </w:tabs>
        <w:ind w:hanging="734"/>
      </w:pPr>
      <w:bookmarkStart w:id="826" w:name="9.3.8._Configure_HTTP/2"/>
      <w:bookmarkStart w:id="827" w:name="_Toc54423938"/>
      <w:bookmarkEnd w:id="826"/>
      <w:r>
        <w:rPr>
          <w:color w:val="333333"/>
          <w:w w:val="105"/>
        </w:rPr>
        <w:t>Configure</w:t>
      </w:r>
      <w:r>
        <w:rPr>
          <w:color w:val="333333"/>
          <w:spacing w:val="-3"/>
          <w:w w:val="105"/>
        </w:rPr>
        <w:t xml:space="preserve"> </w:t>
      </w:r>
      <w:r>
        <w:rPr>
          <w:color w:val="333333"/>
          <w:w w:val="105"/>
        </w:rPr>
        <w:t>HTTP/2</w:t>
      </w:r>
      <w:bookmarkEnd w:id="827"/>
    </w:p>
    <w:p w14:paraId="52CB5F4D" w14:textId="77777777" w:rsidR="00A720EB" w:rsidRDefault="0030286B">
      <w:pPr>
        <w:pStyle w:val="a3"/>
        <w:spacing w:before="244" w:line="300" w:lineRule="auto"/>
        <w:ind w:left="124" w:right="122"/>
        <w:jc w:val="both"/>
      </w:pPr>
      <w:r>
        <w:rPr>
          <w:color w:val="333333"/>
          <w:w w:val="110"/>
        </w:rPr>
        <w:t xml:space="preserve">You can enable HTTP/2 support in your Spring Boot application with the </w:t>
      </w:r>
      <w:proofErr w:type="gramStart"/>
      <w:r>
        <w:rPr>
          <w:rFonts w:ascii="MS Gothic"/>
          <w:color w:val="B02045"/>
          <w:w w:val="110"/>
        </w:rPr>
        <w:t>server.http2.enabled</w:t>
      </w:r>
      <w:proofErr w:type="gramEnd"/>
      <w:r>
        <w:rPr>
          <w:rFonts w:ascii="MS Gothic"/>
          <w:color w:val="B02045"/>
          <w:w w:val="110"/>
        </w:rPr>
        <w:t xml:space="preserve"> </w:t>
      </w:r>
      <w:r>
        <w:rPr>
          <w:color w:val="333333"/>
          <w:w w:val="110"/>
        </w:rPr>
        <w:t>configuration property. This support depends on the chosen web server and the application environment, since that protocol is not supported out-of-the-box by all JDK8 releases.</w:t>
      </w:r>
    </w:p>
    <w:p w14:paraId="5F13E84F" w14:textId="77777777" w:rsidR="00A720EB" w:rsidRDefault="00A720EB">
      <w:pPr>
        <w:pStyle w:val="a3"/>
        <w:spacing w:before="10"/>
        <w:rPr>
          <w:sz w:val="26"/>
        </w:rPr>
      </w:pPr>
    </w:p>
    <w:p w14:paraId="19C408A7" w14:textId="77777777" w:rsidR="00A720EB" w:rsidRDefault="00E10349">
      <w:pPr>
        <w:pStyle w:val="a3"/>
        <w:spacing w:line="290" w:lineRule="auto"/>
        <w:ind w:left="1564" w:right="462"/>
      </w:pPr>
      <w:r>
        <w:pict w14:anchorId="3EA514F2">
          <v:line id="_x0000_s1565" style="position:absolute;left:0;text-align:left;z-index:16352256;mso-position-horizontal-relative:page" from="108.25pt,-5.45pt" to="108.25pt,34.1pt" strokecolor="#ededed" strokeweight=".5pt">
            <w10:wrap anchorx="page"/>
          </v:line>
        </w:pict>
      </w:r>
      <w:r w:rsidR="0030286B">
        <w:rPr>
          <w:noProof/>
        </w:rPr>
        <w:drawing>
          <wp:anchor distT="0" distB="0" distL="0" distR="0" simplePos="0" relativeHeight="16352768" behindDoc="0" locked="0" layoutInCell="1" allowOverlap="1" wp14:anchorId="5E214ECB" wp14:editId="3ED8BB81">
            <wp:simplePos x="0" y="0"/>
            <wp:positionH relativeFrom="page">
              <wp:posOffset>844422</wp:posOffset>
            </wp:positionH>
            <wp:positionV relativeFrom="paragraph">
              <wp:posOffset>32588</wp:posOffset>
            </wp:positionV>
            <wp:extent cx="298450" cy="298450"/>
            <wp:effectExtent l="0" t="0" r="0" b="0"/>
            <wp:wrapNone/>
            <wp:docPr id="7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Spring Boot does not support </w:t>
      </w:r>
      <w:r w:rsidR="0030286B">
        <w:rPr>
          <w:rFonts w:ascii="MS Gothic"/>
          <w:color w:val="B02045"/>
          <w:w w:val="110"/>
        </w:rPr>
        <w:t>h2c</w:t>
      </w:r>
      <w:r w:rsidR="0030286B">
        <w:rPr>
          <w:color w:val="333333"/>
          <w:w w:val="110"/>
        </w:rPr>
        <w:t xml:space="preserve">, the cleartext version of the HTTP/2 protocol. </w:t>
      </w:r>
      <w:proofErr w:type="gramStart"/>
      <w:r w:rsidR="0030286B">
        <w:rPr>
          <w:color w:val="333333"/>
          <w:w w:val="110"/>
        </w:rPr>
        <w:t>So</w:t>
      </w:r>
      <w:proofErr w:type="gramEnd"/>
      <w:r w:rsidR="0030286B">
        <w:rPr>
          <w:color w:val="333333"/>
          <w:w w:val="110"/>
        </w:rPr>
        <w:t xml:space="preserve"> you must </w:t>
      </w:r>
      <w:hyperlink w:anchor="_bookmark550" w:history="1">
        <w:r w:rsidR="0030286B">
          <w:rPr>
            <w:color w:val="418BCA"/>
            <w:w w:val="110"/>
          </w:rPr>
          <w:t>configure SSL first</w:t>
        </w:r>
      </w:hyperlink>
      <w:r w:rsidR="0030286B">
        <w:rPr>
          <w:color w:val="333333"/>
          <w:w w:val="110"/>
        </w:rPr>
        <w:t>.</w:t>
      </w:r>
    </w:p>
    <w:p w14:paraId="108C9C01" w14:textId="77777777" w:rsidR="00A720EB" w:rsidRDefault="00A720EB">
      <w:pPr>
        <w:pStyle w:val="a3"/>
        <w:spacing w:before="11"/>
        <w:rPr>
          <w:sz w:val="33"/>
        </w:rPr>
      </w:pPr>
    </w:p>
    <w:p w14:paraId="7D4981B7" w14:textId="77777777" w:rsidR="00A720EB" w:rsidRDefault="0030286B">
      <w:pPr>
        <w:pStyle w:val="4"/>
        <w:jc w:val="left"/>
      </w:pPr>
      <w:bookmarkStart w:id="828" w:name="HTTP/2_with_Undertow"/>
      <w:bookmarkEnd w:id="828"/>
      <w:r>
        <w:rPr>
          <w:color w:val="333333"/>
          <w:w w:val="105"/>
        </w:rPr>
        <w:t>HTTP/2 with Undertow</w:t>
      </w:r>
    </w:p>
    <w:p w14:paraId="080241E5" w14:textId="77777777" w:rsidR="00A720EB" w:rsidRDefault="00A720EB">
      <w:pPr>
        <w:pStyle w:val="a3"/>
        <w:spacing w:before="11"/>
        <w:rPr>
          <w:rFonts w:ascii="Palatino Linotype"/>
          <w:b/>
          <w:sz w:val="18"/>
        </w:rPr>
      </w:pPr>
    </w:p>
    <w:p w14:paraId="59A69DC5" w14:textId="77777777" w:rsidR="00A720EB" w:rsidRDefault="0030286B">
      <w:pPr>
        <w:pStyle w:val="a3"/>
        <w:ind w:left="124"/>
      </w:pPr>
      <w:r>
        <w:rPr>
          <w:color w:val="333333"/>
          <w:w w:val="110"/>
        </w:rPr>
        <w:t>As of Undertow 1.4.0+, HTTP/2 is supported without any additional requirement on JDK8.</w:t>
      </w:r>
    </w:p>
    <w:p w14:paraId="67FF7584" w14:textId="77777777" w:rsidR="00A720EB" w:rsidRDefault="00A720EB">
      <w:pPr>
        <w:pStyle w:val="a3"/>
        <w:spacing w:before="6"/>
        <w:rPr>
          <w:sz w:val="31"/>
        </w:rPr>
      </w:pPr>
    </w:p>
    <w:p w14:paraId="4E4C38D2" w14:textId="77777777" w:rsidR="00A720EB" w:rsidRDefault="0030286B">
      <w:pPr>
        <w:pStyle w:val="4"/>
        <w:spacing w:before="1"/>
        <w:jc w:val="left"/>
      </w:pPr>
      <w:bookmarkStart w:id="829" w:name="HTTP/2_with_Jetty"/>
      <w:bookmarkEnd w:id="829"/>
      <w:r>
        <w:rPr>
          <w:color w:val="333333"/>
          <w:w w:val="105"/>
        </w:rPr>
        <w:t>HTTP/2 with Jetty</w:t>
      </w:r>
    </w:p>
    <w:p w14:paraId="5D2CB165" w14:textId="77777777" w:rsidR="00A720EB" w:rsidRDefault="0030286B">
      <w:pPr>
        <w:pStyle w:val="a3"/>
        <w:tabs>
          <w:tab w:val="left" w:pos="696"/>
          <w:tab w:val="left" w:pos="1660"/>
          <w:tab w:val="left" w:pos="2728"/>
          <w:tab w:val="left" w:pos="3417"/>
          <w:tab w:val="left" w:pos="4500"/>
          <w:tab w:val="left" w:pos="5057"/>
          <w:tab w:val="left" w:pos="6320"/>
        </w:tabs>
        <w:spacing w:before="243"/>
        <w:ind w:left="124"/>
        <w:rPr>
          <w:rFonts w:ascii="MS Gothic"/>
        </w:rPr>
      </w:pPr>
      <w:r>
        <w:rPr>
          <w:color w:val="333333"/>
          <w:spacing w:val="-4"/>
          <w:w w:val="110"/>
        </w:rPr>
        <w:t>For</w:t>
      </w:r>
      <w:r>
        <w:rPr>
          <w:color w:val="333333"/>
          <w:spacing w:val="-4"/>
          <w:w w:val="110"/>
        </w:rPr>
        <w:tab/>
      </w:r>
      <w:r>
        <w:rPr>
          <w:color w:val="333333"/>
          <w:w w:val="110"/>
        </w:rPr>
        <w:t>HTTP/2</w:t>
      </w:r>
      <w:r>
        <w:rPr>
          <w:color w:val="333333"/>
          <w:w w:val="110"/>
        </w:rPr>
        <w:tab/>
      </w:r>
      <w:proofErr w:type="gramStart"/>
      <w:r>
        <w:rPr>
          <w:color w:val="333333"/>
          <w:w w:val="110"/>
        </w:rPr>
        <w:t>support,</w:t>
      </w:r>
      <w:r>
        <w:rPr>
          <w:color w:val="333333"/>
          <w:w w:val="110"/>
        </w:rPr>
        <w:tab/>
        <w:t>Jetty</w:t>
      </w:r>
      <w:r>
        <w:rPr>
          <w:color w:val="333333"/>
          <w:w w:val="110"/>
        </w:rPr>
        <w:tab/>
        <w:t>requires</w:t>
      </w:r>
      <w:r>
        <w:rPr>
          <w:color w:val="333333"/>
          <w:w w:val="110"/>
        </w:rPr>
        <w:tab/>
        <w:t>the</w:t>
      </w:r>
      <w:r>
        <w:rPr>
          <w:color w:val="333333"/>
          <w:w w:val="110"/>
        </w:rPr>
        <w:tab/>
        <w:t>additional</w:t>
      </w:r>
      <w:r>
        <w:rPr>
          <w:color w:val="333333"/>
          <w:w w:val="110"/>
        </w:rPr>
        <w:tab/>
      </w:r>
      <w:r>
        <w:rPr>
          <w:rFonts w:ascii="MS Gothic"/>
          <w:color w:val="B02045"/>
        </w:rPr>
        <w:t>org.eclipse</w:t>
      </w:r>
      <w:proofErr w:type="gramEnd"/>
      <w:r>
        <w:rPr>
          <w:rFonts w:ascii="MS Gothic"/>
          <w:color w:val="B02045"/>
        </w:rPr>
        <w:t>.jetty.http2:http2-server</w:t>
      </w:r>
    </w:p>
    <w:p w14:paraId="169E591E" w14:textId="77777777" w:rsidR="00A720EB" w:rsidRDefault="0030286B">
      <w:pPr>
        <w:pStyle w:val="a3"/>
        <w:spacing w:before="57"/>
        <w:ind w:left="124"/>
      </w:pPr>
      <w:r>
        <w:rPr>
          <w:color w:val="333333"/>
          <w:w w:val="110"/>
        </w:rPr>
        <w:t>dependency. Now depending on your deployment, you also need to choose other dependencies:</w:t>
      </w:r>
    </w:p>
    <w:p w14:paraId="53CD9D2D" w14:textId="77777777" w:rsidR="00A720EB" w:rsidRDefault="00A720EB">
      <w:pPr>
        <w:pStyle w:val="a3"/>
        <w:spacing w:before="6"/>
        <w:rPr>
          <w:sz w:val="25"/>
        </w:rPr>
      </w:pPr>
    </w:p>
    <w:p w14:paraId="1213B9EB" w14:textId="77777777" w:rsidR="00A720EB" w:rsidRDefault="0030286B">
      <w:pPr>
        <w:pStyle w:val="a6"/>
        <w:numPr>
          <w:ilvl w:val="0"/>
          <w:numId w:val="12"/>
        </w:numPr>
        <w:tabs>
          <w:tab w:val="left" w:pos="485"/>
        </w:tabs>
        <w:rPr>
          <w:sz w:val="21"/>
        </w:rPr>
      </w:pPr>
      <w:proofErr w:type="gramStart"/>
      <w:r>
        <w:rPr>
          <w:rFonts w:ascii="MS Gothic" w:hAnsi="MS Gothic"/>
          <w:color w:val="B02045"/>
          <w:w w:val="110"/>
          <w:sz w:val="21"/>
        </w:rPr>
        <w:t>org.eclipse</w:t>
      </w:r>
      <w:proofErr w:type="gramEnd"/>
      <w:r>
        <w:rPr>
          <w:rFonts w:ascii="MS Gothic" w:hAnsi="MS Gothic"/>
          <w:color w:val="B02045"/>
          <w:w w:val="110"/>
          <w:sz w:val="21"/>
        </w:rPr>
        <w:t>.jetty:jetty-alpn-java-server</w:t>
      </w:r>
      <w:r>
        <w:rPr>
          <w:rFonts w:ascii="MS Gothic" w:hAnsi="MS Gothic"/>
          <w:color w:val="B02045"/>
          <w:spacing w:val="-95"/>
          <w:w w:val="110"/>
          <w:sz w:val="21"/>
        </w:rPr>
        <w:t xml:space="preserve"> </w:t>
      </w:r>
      <w:r>
        <w:rPr>
          <w:color w:val="333333"/>
          <w:w w:val="110"/>
          <w:sz w:val="21"/>
        </w:rPr>
        <w:t>for applications running on JDK9+</w:t>
      </w:r>
    </w:p>
    <w:p w14:paraId="19D0156F" w14:textId="77777777" w:rsidR="00A720EB" w:rsidRDefault="0030286B">
      <w:pPr>
        <w:pStyle w:val="a6"/>
        <w:numPr>
          <w:ilvl w:val="0"/>
          <w:numId w:val="12"/>
        </w:numPr>
        <w:tabs>
          <w:tab w:val="left" w:pos="485"/>
        </w:tabs>
        <w:spacing w:before="167"/>
        <w:rPr>
          <w:sz w:val="21"/>
        </w:rPr>
      </w:pPr>
      <w:proofErr w:type="gramStart"/>
      <w:r>
        <w:rPr>
          <w:rFonts w:ascii="MS Gothic" w:hAnsi="MS Gothic"/>
          <w:color w:val="B02045"/>
          <w:w w:val="110"/>
          <w:sz w:val="21"/>
        </w:rPr>
        <w:t>org.eclipse</w:t>
      </w:r>
      <w:proofErr w:type="gramEnd"/>
      <w:r>
        <w:rPr>
          <w:rFonts w:ascii="MS Gothic" w:hAnsi="MS Gothic"/>
          <w:color w:val="B02045"/>
          <w:w w:val="110"/>
          <w:sz w:val="21"/>
        </w:rPr>
        <w:t>.jetty:jetty-alpn-openjdk8-server</w:t>
      </w:r>
      <w:r>
        <w:rPr>
          <w:rFonts w:ascii="MS Gothic" w:hAnsi="MS Gothic"/>
          <w:color w:val="B02045"/>
          <w:spacing w:val="-79"/>
          <w:w w:val="110"/>
          <w:sz w:val="21"/>
        </w:rPr>
        <w:t xml:space="preserve"> </w:t>
      </w:r>
      <w:r>
        <w:rPr>
          <w:color w:val="333333"/>
          <w:w w:val="110"/>
          <w:sz w:val="21"/>
        </w:rPr>
        <w:t>for</w:t>
      </w:r>
      <w:r>
        <w:rPr>
          <w:color w:val="333333"/>
          <w:spacing w:val="-14"/>
          <w:w w:val="110"/>
          <w:sz w:val="21"/>
        </w:rPr>
        <w:t xml:space="preserve"> </w:t>
      </w:r>
      <w:r>
        <w:rPr>
          <w:color w:val="333333"/>
          <w:w w:val="110"/>
          <w:sz w:val="21"/>
        </w:rPr>
        <w:t>applications</w:t>
      </w:r>
      <w:r>
        <w:rPr>
          <w:color w:val="333333"/>
          <w:spacing w:val="-15"/>
          <w:w w:val="110"/>
          <w:sz w:val="21"/>
        </w:rPr>
        <w:t xml:space="preserve"> </w:t>
      </w:r>
      <w:r>
        <w:rPr>
          <w:color w:val="333333"/>
          <w:w w:val="110"/>
          <w:sz w:val="21"/>
        </w:rPr>
        <w:t>running</w:t>
      </w:r>
      <w:r>
        <w:rPr>
          <w:color w:val="333333"/>
          <w:spacing w:val="-14"/>
          <w:w w:val="110"/>
          <w:sz w:val="21"/>
        </w:rPr>
        <w:t xml:space="preserve"> </w:t>
      </w:r>
      <w:r>
        <w:rPr>
          <w:color w:val="333333"/>
          <w:w w:val="110"/>
          <w:sz w:val="21"/>
        </w:rPr>
        <w:t>on</w:t>
      </w:r>
      <w:r>
        <w:rPr>
          <w:color w:val="333333"/>
          <w:spacing w:val="-14"/>
          <w:w w:val="110"/>
          <w:sz w:val="21"/>
        </w:rPr>
        <w:t xml:space="preserve"> </w:t>
      </w:r>
      <w:r>
        <w:rPr>
          <w:color w:val="333333"/>
          <w:w w:val="110"/>
          <w:sz w:val="21"/>
        </w:rPr>
        <w:t>JDK8u252+</w:t>
      </w:r>
    </w:p>
    <w:p w14:paraId="5ED30B7B" w14:textId="77777777" w:rsidR="00A720EB" w:rsidRDefault="0030286B">
      <w:pPr>
        <w:pStyle w:val="a6"/>
        <w:numPr>
          <w:ilvl w:val="0"/>
          <w:numId w:val="12"/>
        </w:numPr>
        <w:tabs>
          <w:tab w:val="left" w:pos="485"/>
          <w:tab w:val="left" w:pos="5993"/>
          <w:tab w:val="left" w:pos="6515"/>
          <w:tab w:val="left" w:pos="7717"/>
          <w:tab w:val="left" w:pos="8612"/>
          <w:tab w:val="left" w:pos="9267"/>
          <w:tab w:val="left" w:pos="9725"/>
        </w:tabs>
        <w:spacing w:before="166" w:line="290" w:lineRule="auto"/>
        <w:ind w:right="123"/>
        <w:rPr>
          <w:sz w:val="21"/>
        </w:rPr>
      </w:pPr>
      <w:proofErr w:type="gramStart"/>
      <w:r>
        <w:rPr>
          <w:rFonts w:ascii="MS Gothic" w:hAnsi="MS Gothic"/>
          <w:color w:val="B02045"/>
          <w:w w:val="105"/>
          <w:sz w:val="21"/>
        </w:rPr>
        <w:t>org.eclipse</w:t>
      </w:r>
      <w:proofErr w:type="gramEnd"/>
      <w:r>
        <w:rPr>
          <w:rFonts w:ascii="MS Gothic" w:hAnsi="MS Gothic"/>
          <w:color w:val="B02045"/>
          <w:w w:val="105"/>
          <w:sz w:val="21"/>
        </w:rPr>
        <w:t>.jetty:jetty-alpn-conscrypt-server</w:t>
      </w:r>
      <w:r>
        <w:rPr>
          <w:rFonts w:ascii="MS Gothic" w:hAnsi="MS Gothic"/>
          <w:color w:val="B02045"/>
          <w:spacing w:val="-23"/>
          <w:w w:val="105"/>
          <w:sz w:val="21"/>
        </w:rPr>
        <w:t xml:space="preserve"> </w:t>
      </w:r>
      <w:r>
        <w:rPr>
          <w:color w:val="333333"/>
          <w:w w:val="105"/>
          <w:sz w:val="21"/>
        </w:rPr>
        <w:t>and</w:t>
      </w:r>
      <w:r>
        <w:rPr>
          <w:color w:val="333333"/>
          <w:w w:val="105"/>
          <w:sz w:val="21"/>
        </w:rPr>
        <w:tab/>
      </w:r>
      <w:r>
        <w:rPr>
          <w:color w:val="333333"/>
          <w:w w:val="110"/>
          <w:sz w:val="21"/>
        </w:rPr>
        <w:t>the</w:t>
      </w:r>
      <w:r>
        <w:rPr>
          <w:color w:val="333333"/>
          <w:w w:val="110"/>
          <w:sz w:val="21"/>
        </w:rPr>
        <w:tab/>
      </w:r>
      <w:hyperlink r:id="rId598">
        <w:r>
          <w:rPr>
            <w:color w:val="418BCA"/>
            <w:w w:val="110"/>
            <w:sz w:val="21"/>
          </w:rPr>
          <w:t>Conscrypt</w:t>
        </w:r>
        <w:r>
          <w:rPr>
            <w:color w:val="418BCA"/>
            <w:w w:val="110"/>
            <w:sz w:val="21"/>
          </w:rPr>
          <w:tab/>
          <w:t>library</w:t>
        </w:r>
      </w:hyperlink>
      <w:r>
        <w:rPr>
          <w:color w:val="418BCA"/>
          <w:w w:val="110"/>
          <w:sz w:val="21"/>
        </w:rPr>
        <w:tab/>
      </w:r>
      <w:r>
        <w:rPr>
          <w:color w:val="333333"/>
          <w:w w:val="110"/>
          <w:sz w:val="21"/>
        </w:rPr>
        <w:t>with</w:t>
      </w:r>
      <w:r>
        <w:rPr>
          <w:color w:val="333333"/>
          <w:w w:val="110"/>
          <w:sz w:val="21"/>
        </w:rPr>
        <w:tab/>
        <w:t>no</w:t>
      </w:r>
      <w:r>
        <w:rPr>
          <w:color w:val="333333"/>
          <w:w w:val="110"/>
          <w:sz w:val="21"/>
        </w:rPr>
        <w:tab/>
      </w:r>
      <w:r>
        <w:rPr>
          <w:color w:val="333333"/>
          <w:spacing w:val="-6"/>
          <w:w w:val="110"/>
          <w:sz w:val="21"/>
        </w:rPr>
        <w:t xml:space="preserve">JDK </w:t>
      </w:r>
      <w:r>
        <w:rPr>
          <w:color w:val="333333"/>
          <w:w w:val="110"/>
          <w:sz w:val="21"/>
        </w:rPr>
        <w:t>requirement</w:t>
      </w:r>
    </w:p>
    <w:p w14:paraId="616C4473" w14:textId="77777777" w:rsidR="00A720EB" w:rsidRDefault="00A720EB">
      <w:pPr>
        <w:pStyle w:val="a3"/>
        <w:spacing w:before="2"/>
        <w:rPr>
          <w:sz w:val="27"/>
        </w:rPr>
      </w:pPr>
    </w:p>
    <w:p w14:paraId="118AD6A8" w14:textId="77777777" w:rsidR="00A720EB" w:rsidRDefault="0030286B">
      <w:pPr>
        <w:pStyle w:val="4"/>
        <w:jc w:val="left"/>
      </w:pPr>
      <w:bookmarkStart w:id="830" w:name="HTTP/2_with_Tomcat"/>
      <w:bookmarkEnd w:id="830"/>
      <w:r>
        <w:rPr>
          <w:color w:val="333333"/>
          <w:w w:val="110"/>
        </w:rPr>
        <w:t>HTTP/2 with Tomcat</w:t>
      </w:r>
    </w:p>
    <w:p w14:paraId="1659AD92" w14:textId="77777777" w:rsidR="00A720EB" w:rsidRDefault="00A720EB">
      <w:pPr>
        <w:pStyle w:val="a3"/>
        <w:spacing w:before="11"/>
        <w:rPr>
          <w:rFonts w:ascii="Palatino Linotype"/>
          <w:b/>
          <w:sz w:val="18"/>
        </w:rPr>
      </w:pPr>
    </w:p>
    <w:p w14:paraId="096478E8" w14:textId="77777777" w:rsidR="00A720EB" w:rsidRDefault="0030286B">
      <w:pPr>
        <w:pStyle w:val="a3"/>
        <w:spacing w:line="295" w:lineRule="auto"/>
        <w:ind w:left="124" w:right="124"/>
        <w:jc w:val="both"/>
      </w:pPr>
      <w:r>
        <w:rPr>
          <w:color w:val="333333"/>
          <w:w w:val="110"/>
        </w:rPr>
        <w:t xml:space="preserve">Spring Boot ships </w:t>
      </w:r>
      <w:r>
        <w:rPr>
          <w:color w:val="333333"/>
          <w:spacing w:val="-3"/>
          <w:w w:val="110"/>
        </w:rPr>
        <w:t xml:space="preserve">by </w:t>
      </w:r>
      <w:r>
        <w:rPr>
          <w:color w:val="333333"/>
          <w:w w:val="110"/>
        </w:rPr>
        <w:t xml:space="preserve">default with Tomcat 9.0.x which supports HTTP/2 out of the box when using JDK 9 or later. </w:t>
      </w:r>
      <w:r>
        <w:rPr>
          <w:color w:val="333333"/>
          <w:spacing w:val="-3"/>
          <w:w w:val="110"/>
        </w:rPr>
        <w:t xml:space="preserve">Alternatively, </w:t>
      </w:r>
      <w:r>
        <w:rPr>
          <w:color w:val="333333"/>
          <w:w w:val="110"/>
        </w:rPr>
        <w:t xml:space="preserve">HTTP/2 can be used on JDK 8 if the </w:t>
      </w:r>
      <w:r>
        <w:rPr>
          <w:rFonts w:ascii="MS Gothic"/>
          <w:color w:val="B02045"/>
          <w:w w:val="110"/>
        </w:rPr>
        <w:t xml:space="preserve">libtcnative </w:t>
      </w:r>
      <w:r>
        <w:rPr>
          <w:color w:val="333333"/>
          <w:w w:val="110"/>
        </w:rPr>
        <w:t>library and its dependencies are installed on the host operating</w:t>
      </w:r>
      <w:r>
        <w:rPr>
          <w:color w:val="333333"/>
          <w:spacing w:val="18"/>
          <w:w w:val="110"/>
        </w:rPr>
        <w:t xml:space="preserve"> </w:t>
      </w:r>
      <w:r>
        <w:rPr>
          <w:color w:val="333333"/>
          <w:w w:val="110"/>
        </w:rPr>
        <w:t>system.</w:t>
      </w:r>
    </w:p>
    <w:p w14:paraId="6E7F1EF7" w14:textId="77777777" w:rsidR="00A720EB" w:rsidRDefault="00A720EB">
      <w:pPr>
        <w:spacing w:line="295" w:lineRule="auto"/>
        <w:jc w:val="both"/>
        <w:sectPr w:rsidR="00A720EB">
          <w:pgSz w:w="11910" w:h="16840"/>
          <w:pgMar w:top="620" w:right="840" w:bottom="520" w:left="840" w:header="0" w:footer="323" w:gutter="0"/>
          <w:cols w:space="720"/>
        </w:sectPr>
      </w:pPr>
    </w:p>
    <w:p w14:paraId="1DD3DCE6" w14:textId="77777777" w:rsidR="00A720EB" w:rsidRDefault="0030286B">
      <w:pPr>
        <w:pStyle w:val="a3"/>
        <w:spacing w:before="107" w:line="295" w:lineRule="auto"/>
        <w:ind w:left="124" w:right="123"/>
        <w:jc w:val="both"/>
      </w:pPr>
      <w:r>
        <w:rPr>
          <w:color w:val="333333"/>
          <w:w w:val="110"/>
        </w:rPr>
        <w:lastRenderedPageBreak/>
        <w:t xml:space="preserve">The library directory must be made available, if not </w:t>
      </w:r>
      <w:r>
        <w:rPr>
          <w:color w:val="333333"/>
          <w:spacing w:val="-4"/>
          <w:w w:val="110"/>
        </w:rPr>
        <w:t xml:space="preserve">already, </w:t>
      </w:r>
      <w:r>
        <w:rPr>
          <w:color w:val="333333"/>
          <w:w w:val="110"/>
        </w:rPr>
        <w:t xml:space="preserve">to the JVM library path. </w:t>
      </w:r>
      <w:r>
        <w:rPr>
          <w:color w:val="333333"/>
          <w:spacing w:val="-6"/>
          <w:w w:val="110"/>
        </w:rPr>
        <w:t xml:space="preserve">You </w:t>
      </w:r>
      <w:r>
        <w:rPr>
          <w:color w:val="333333"/>
          <w:w w:val="110"/>
        </w:rPr>
        <w:t xml:space="preserve">can do so </w:t>
      </w:r>
      <w:r>
        <w:rPr>
          <w:color w:val="333333"/>
          <w:w w:val="105"/>
        </w:rPr>
        <w:t xml:space="preserve">with a JVM argument such as </w:t>
      </w:r>
      <w:r>
        <w:rPr>
          <w:rFonts w:ascii="MS Gothic"/>
          <w:color w:val="B02045"/>
          <w:w w:val="105"/>
        </w:rPr>
        <w:t>-</w:t>
      </w:r>
      <w:proofErr w:type="gramStart"/>
      <w:r>
        <w:rPr>
          <w:rFonts w:ascii="MS Gothic"/>
          <w:color w:val="B02045"/>
          <w:w w:val="105"/>
        </w:rPr>
        <w:t>Djava.library.path</w:t>
      </w:r>
      <w:proofErr w:type="gramEnd"/>
      <w:r>
        <w:rPr>
          <w:rFonts w:ascii="MS Gothic"/>
          <w:color w:val="B02045"/>
          <w:w w:val="105"/>
        </w:rPr>
        <w:t>=/usr/local/opt/tomcat-native/lib</w:t>
      </w:r>
      <w:r>
        <w:rPr>
          <w:color w:val="333333"/>
          <w:w w:val="105"/>
        </w:rPr>
        <w:t xml:space="preserve">. More on this </w:t>
      </w:r>
      <w:r>
        <w:rPr>
          <w:color w:val="333333"/>
          <w:w w:val="110"/>
        </w:rPr>
        <w:t xml:space="preserve">in the </w:t>
      </w:r>
      <w:hyperlink r:id="rId599">
        <w:r>
          <w:rPr>
            <w:color w:val="418BCA"/>
            <w:w w:val="110"/>
          </w:rPr>
          <w:t>official Tomcat</w:t>
        </w:r>
        <w:r>
          <w:rPr>
            <w:color w:val="418BCA"/>
            <w:spacing w:val="13"/>
            <w:w w:val="110"/>
          </w:rPr>
          <w:t xml:space="preserve"> </w:t>
        </w:r>
        <w:r>
          <w:rPr>
            <w:color w:val="418BCA"/>
            <w:w w:val="110"/>
          </w:rPr>
          <w:t>documentation</w:t>
        </w:r>
      </w:hyperlink>
      <w:r>
        <w:rPr>
          <w:color w:val="333333"/>
          <w:w w:val="110"/>
        </w:rPr>
        <w:t>.</w:t>
      </w:r>
    </w:p>
    <w:p w14:paraId="63CE1E12" w14:textId="77777777" w:rsidR="00A720EB" w:rsidRDefault="0030286B">
      <w:pPr>
        <w:pStyle w:val="a3"/>
        <w:spacing w:before="250"/>
        <w:ind w:left="124"/>
        <w:jc w:val="both"/>
      </w:pPr>
      <w:r>
        <w:rPr>
          <w:color w:val="333333"/>
          <w:w w:val="110"/>
        </w:rPr>
        <w:t>Starting Tomcat 9.0.x on JDK 8 without that native support logs the following error:</w:t>
      </w:r>
    </w:p>
    <w:p w14:paraId="7564936B" w14:textId="77777777" w:rsidR="00A720EB" w:rsidRDefault="00E10349">
      <w:pPr>
        <w:pStyle w:val="a3"/>
        <w:rPr>
          <w:sz w:val="19"/>
        </w:rPr>
      </w:pPr>
      <w:r>
        <w:pict w14:anchorId="1B9E2413">
          <v:group id="_x0000_s1558" style="position:absolute;margin-left:47.85pt;margin-top:13.1pt;width:499.55pt;height:81.75pt;z-index:-15104000;mso-wrap-distance-left:0;mso-wrap-distance-right:0;mso-position-horizontal-relative:page" coordorigin="957,262" coordsize="9991,1635">
            <v:shape id="_x0000_s1564" style="position:absolute;left:964;top:269;width:9976;height:1620" coordorigin="965,270" coordsize="9976,1620" path="m10861,270r-9816,l1014,276r-26,17l971,319r-6,31l965,1809r6,31l988,1866r26,17l1045,1889r9816,l10892,1883r25,-17l10935,1840r6,-31l10941,350r-6,-31l10917,293r-25,-17l10861,270xe" fillcolor="#f5f5f5" stroked="f">
              <v:path arrowok="t"/>
            </v:shape>
            <v:shape id="_x0000_s1563" style="position:absolute;left:964;top:269;width:9976;height:1620" coordorigin="965,270" coordsize="9976,1620" path="m1045,270r9816,l10892,276r25,17l10935,319r6,31l10941,1809r-6,31l10917,1866r-25,17l10861,1889r-9816,l1014,1883r-26,-17l971,1840r-6,-31l965,350r6,-31l988,293r26,-17l1045,270xe" filled="f" strokecolor="#ccc">
              <v:path arrowok="t"/>
            </v:shape>
            <v:shape id="_x0000_s1562" type="#_x0000_t202" style="position:absolute;left:1184;top:489;width:1780;height:307" filled="f" stroked="f">
              <v:textbox inset="0,0,0,0">
                <w:txbxContent>
                  <w:p w14:paraId="0BB039FB" w14:textId="77777777" w:rsidR="00711A16" w:rsidRDefault="00711A16">
                    <w:pPr>
                      <w:spacing w:before="16"/>
                      <w:rPr>
                        <w:rFonts w:ascii="MS Gothic"/>
                      </w:rPr>
                    </w:pPr>
                    <w:r>
                      <w:rPr>
                        <w:rFonts w:ascii="MS Gothic"/>
                        <w:color w:val="333333"/>
                      </w:rPr>
                      <w:t>ERROR 8787 --- [</w:t>
                    </w:r>
                  </w:p>
                </w:txbxContent>
              </v:textbox>
            </v:shape>
            <v:shape id="_x0000_s1561" type="#_x0000_t202" style="position:absolute;left:4154;top:489;width:4530;height:307" filled="f" stroked="f">
              <v:textbox inset="0,0,0,0">
                <w:txbxContent>
                  <w:p w14:paraId="4082EFCD" w14:textId="77777777" w:rsidR="00711A16" w:rsidRDefault="00711A16">
                    <w:pPr>
                      <w:spacing w:before="16"/>
                      <w:rPr>
                        <w:rFonts w:ascii="MS Gothic"/>
                      </w:rPr>
                    </w:pPr>
                    <w:r>
                      <w:rPr>
                        <w:rFonts w:ascii="MS Gothic"/>
                        <w:color w:val="333333"/>
                      </w:rPr>
                      <w:t>main] o.</w:t>
                    </w:r>
                    <w:proofErr w:type="gramStart"/>
                    <w:r>
                      <w:rPr>
                        <w:rFonts w:ascii="MS Gothic"/>
                        <w:color w:val="333333"/>
                      </w:rPr>
                      <w:t>a.coyote</w:t>
                    </w:r>
                    <w:proofErr w:type="gramEnd"/>
                    <w:r>
                      <w:rPr>
                        <w:rFonts w:ascii="MS Gothic"/>
                        <w:color w:val="333333"/>
                      </w:rPr>
                      <w:t>.http11.Http11NioProtocol</w:t>
                    </w:r>
                  </w:p>
                </w:txbxContent>
              </v:textbox>
            </v:shape>
            <v:shape id="_x0000_s1560" type="#_x0000_t202" style="position:absolute;left:9324;top:489;width:570;height:307" filled="f" stroked="f">
              <v:textbox inset="0,0,0,0">
                <w:txbxContent>
                  <w:p w14:paraId="15F31E8E" w14:textId="77777777" w:rsidR="00711A16" w:rsidRDefault="00711A16">
                    <w:pPr>
                      <w:spacing w:before="16"/>
                      <w:rPr>
                        <w:rFonts w:ascii="MS Gothic"/>
                      </w:rPr>
                    </w:pPr>
                    <w:r>
                      <w:rPr>
                        <w:rFonts w:ascii="MS Gothic"/>
                        <w:color w:val="333333"/>
                      </w:rPr>
                      <w:t>: The</w:t>
                    </w:r>
                  </w:p>
                </w:txbxContent>
              </v:textbox>
            </v:shape>
            <v:shape id="_x0000_s1559" type="#_x0000_t202" style="position:absolute;left:1184;top:784;width:9480;height:897" filled="f" stroked="f">
              <v:textbox inset="0,0,0,0">
                <w:txbxContent>
                  <w:p w14:paraId="20834884" w14:textId="77777777" w:rsidR="00711A16" w:rsidRDefault="00711A16">
                    <w:pPr>
                      <w:spacing w:before="12" w:line="252" w:lineRule="auto"/>
                      <w:rPr>
                        <w:rFonts w:ascii="MS Gothic"/>
                      </w:rPr>
                    </w:pPr>
                    <w:r>
                      <w:rPr>
                        <w:rFonts w:ascii="MS Gothic"/>
                        <w:color w:val="333333"/>
                      </w:rPr>
                      <w:t>upgrade handler [</w:t>
                    </w:r>
                    <w:proofErr w:type="gramStart"/>
                    <w:r>
                      <w:rPr>
                        <w:rFonts w:ascii="MS Gothic"/>
                        <w:color w:val="333333"/>
                      </w:rPr>
                      <w:t>org.apache</w:t>
                    </w:r>
                    <w:proofErr w:type="gramEnd"/>
                    <w:r>
                      <w:rPr>
                        <w:rFonts w:ascii="MS Gothic"/>
                        <w:color w:val="333333"/>
                      </w:rPr>
                      <w:t>.coyote.http2.Http2Protocol] for [h2] only supports upgrade via ALPN but has been configured for the ["https-jsse-nio-8443"] connector that does not support ALPN.</w:t>
                    </w:r>
                  </w:p>
                </w:txbxContent>
              </v:textbox>
            </v:shape>
            <w10:wrap type="topAndBottom" anchorx="page"/>
          </v:group>
        </w:pict>
      </w:r>
    </w:p>
    <w:p w14:paraId="2E786BE1" w14:textId="77777777" w:rsidR="00A720EB" w:rsidRDefault="00A720EB">
      <w:pPr>
        <w:pStyle w:val="a3"/>
        <w:rPr>
          <w:sz w:val="10"/>
        </w:rPr>
      </w:pPr>
    </w:p>
    <w:p w14:paraId="5CCF61E4" w14:textId="77777777" w:rsidR="00A720EB" w:rsidRDefault="0030286B">
      <w:pPr>
        <w:pStyle w:val="a3"/>
        <w:spacing w:before="125"/>
        <w:ind w:left="124"/>
        <w:jc w:val="both"/>
      </w:pPr>
      <w:r>
        <w:rPr>
          <w:color w:val="333333"/>
          <w:w w:val="110"/>
        </w:rPr>
        <w:t>This error is not fatal, and the application still starts with HTTP/1.1 SSL support.</w:t>
      </w:r>
    </w:p>
    <w:p w14:paraId="1AEB48CA" w14:textId="77777777" w:rsidR="00A720EB" w:rsidRDefault="00A720EB">
      <w:pPr>
        <w:pStyle w:val="a3"/>
        <w:spacing w:before="6"/>
        <w:rPr>
          <w:sz w:val="31"/>
        </w:rPr>
      </w:pPr>
    </w:p>
    <w:p w14:paraId="4F542282" w14:textId="77777777" w:rsidR="00A720EB" w:rsidRDefault="0030286B">
      <w:pPr>
        <w:pStyle w:val="4"/>
      </w:pPr>
      <w:bookmarkStart w:id="831" w:name="HTTP/2_with_Reactor_Netty"/>
      <w:bookmarkEnd w:id="831"/>
      <w:r>
        <w:rPr>
          <w:color w:val="333333"/>
          <w:w w:val="110"/>
        </w:rPr>
        <w:t>HTTP/2 with Reactor Netty</w:t>
      </w:r>
    </w:p>
    <w:p w14:paraId="69BCA6BF" w14:textId="77777777" w:rsidR="00A720EB" w:rsidRDefault="0030286B">
      <w:pPr>
        <w:pStyle w:val="a3"/>
        <w:spacing w:before="244" w:line="302" w:lineRule="auto"/>
        <w:ind w:left="124" w:right="129"/>
        <w:jc w:val="both"/>
      </w:pPr>
      <w:r>
        <w:rPr>
          <w:color w:val="333333"/>
          <w:w w:val="110"/>
        </w:rPr>
        <w:t>The</w:t>
      </w:r>
      <w:r>
        <w:rPr>
          <w:color w:val="333333"/>
          <w:spacing w:val="-7"/>
          <w:w w:val="110"/>
        </w:rPr>
        <w:t xml:space="preserve"> </w:t>
      </w:r>
      <w:r>
        <w:rPr>
          <w:rFonts w:ascii="MS Gothic"/>
          <w:color w:val="B02045"/>
          <w:w w:val="110"/>
        </w:rPr>
        <w:t>spring-boot-webflux-starter</w:t>
      </w:r>
      <w:r>
        <w:rPr>
          <w:rFonts w:ascii="MS Gothic"/>
          <w:color w:val="B02045"/>
          <w:spacing w:val="-71"/>
          <w:w w:val="110"/>
        </w:rPr>
        <w:t xml:space="preserve"> </w:t>
      </w:r>
      <w:r>
        <w:rPr>
          <w:color w:val="333333"/>
          <w:w w:val="110"/>
        </w:rPr>
        <w:t>is</w:t>
      </w:r>
      <w:r>
        <w:rPr>
          <w:color w:val="333333"/>
          <w:spacing w:val="-7"/>
          <w:w w:val="110"/>
        </w:rPr>
        <w:t xml:space="preserve"> </w:t>
      </w:r>
      <w:r>
        <w:rPr>
          <w:color w:val="333333"/>
          <w:w w:val="110"/>
        </w:rPr>
        <w:t>using</w:t>
      </w:r>
      <w:r>
        <w:rPr>
          <w:color w:val="333333"/>
          <w:spacing w:val="-7"/>
          <w:w w:val="110"/>
        </w:rPr>
        <w:t xml:space="preserve"> </w:t>
      </w:r>
      <w:r>
        <w:rPr>
          <w:color w:val="333333"/>
          <w:spacing w:val="-3"/>
          <w:w w:val="110"/>
        </w:rPr>
        <w:t>by</w:t>
      </w:r>
      <w:r>
        <w:rPr>
          <w:color w:val="333333"/>
          <w:spacing w:val="-8"/>
          <w:w w:val="110"/>
        </w:rPr>
        <w:t xml:space="preserve"> </w:t>
      </w:r>
      <w:r>
        <w:rPr>
          <w:color w:val="333333"/>
          <w:w w:val="110"/>
        </w:rPr>
        <w:t>default</w:t>
      </w:r>
      <w:r>
        <w:rPr>
          <w:color w:val="333333"/>
          <w:spacing w:val="-7"/>
          <w:w w:val="110"/>
        </w:rPr>
        <w:t xml:space="preserve"> </w:t>
      </w:r>
      <w:r>
        <w:rPr>
          <w:color w:val="333333"/>
          <w:w w:val="110"/>
        </w:rPr>
        <w:t>Reactor</w:t>
      </w:r>
      <w:r>
        <w:rPr>
          <w:color w:val="333333"/>
          <w:spacing w:val="-7"/>
          <w:w w:val="110"/>
        </w:rPr>
        <w:t xml:space="preserve"> </w:t>
      </w:r>
      <w:r>
        <w:rPr>
          <w:color w:val="333333"/>
          <w:w w:val="110"/>
        </w:rPr>
        <w:t>Netty</w:t>
      </w:r>
      <w:r>
        <w:rPr>
          <w:color w:val="333333"/>
          <w:spacing w:val="-7"/>
          <w:w w:val="110"/>
        </w:rPr>
        <w:t xml:space="preserve"> </w:t>
      </w:r>
      <w:r>
        <w:rPr>
          <w:color w:val="333333"/>
          <w:w w:val="110"/>
        </w:rPr>
        <w:t>as</w:t>
      </w:r>
      <w:r>
        <w:rPr>
          <w:color w:val="333333"/>
          <w:spacing w:val="-7"/>
          <w:w w:val="110"/>
        </w:rPr>
        <w:t xml:space="preserve"> </w:t>
      </w:r>
      <w:r>
        <w:rPr>
          <w:color w:val="333333"/>
          <w:w w:val="110"/>
        </w:rPr>
        <w:t>a</w:t>
      </w:r>
      <w:r>
        <w:rPr>
          <w:color w:val="333333"/>
          <w:spacing w:val="-7"/>
          <w:w w:val="110"/>
        </w:rPr>
        <w:t xml:space="preserve"> </w:t>
      </w:r>
      <w:r>
        <w:rPr>
          <w:color w:val="333333"/>
          <w:w w:val="110"/>
        </w:rPr>
        <w:t>server.</w:t>
      </w:r>
      <w:r>
        <w:rPr>
          <w:color w:val="333333"/>
          <w:spacing w:val="-7"/>
          <w:w w:val="110"/>
        </w:rPr>
        <w:t xml:space="preserve"> </w:t>
      </w:r>
      <w:r>
        <w:rPr>
          <w:color w:val="333333"/>
          <w:w w:val="110"/>
        </w:rPr>
        <w:t>Reactor</w:t>
      </w:r>
      <w:r>
        <w:rPr>
          <w:color w:val="333333"/>
          <w:spacing w:val="-8"/>
          <w:w w:val="110"/>
        </w:rPr>
        <w:t xml:space="preserve"> </w:t>
      </w:r>
      <w:r>
        <w:rPr>
          <w:color w:val="333333"/>
          <w:w w:val="110"/>
        </w:rPr>
        <w:t>Netty</w:t>
      </w:r>
      <w:r>
        <w:rPr>
          <w:color w:val="333333"/>
          <w:spacing w:val="-7"/>
          <w:w w:val="110"/>
        </w:rPr>
        <w:t xml:space="preserve"> </w:t>
      </w:r>
      <w:r>
        <w:rPr>
          <w:color w:val="333333"/>
          <w:w w:val="110"/>
        </w:rPr>
        <w:t>can</w:t>
      </w:r>
      <w:r>
        <w:rPr>
          <w:color w:val="333333"/>
          <w:spacing w:val="-7"/>
          <w:w w:val="110"/>
        </w:rPr>
        <w:t xml:space="preserve"> </w:t>
      </w:r>
      <w:r>
        <w:rPr>
          <w:color w:val="333333"/>
          <w:w w:val="110"/>
        </w:rPr>
        <w:t xml:space="preserve">be configured for HTTP/2 using the JDK support with JDK 9 or later. </w:t>
      </w:r>
      <w:r>
        <w:rPr>
          <w:color w:val="333333"/>
          <w:spacing w:val="-4"/>
          <w:w w:val="110"/>
        </w:rPr>
        <w:t xml:space="preserve">For </w:t>
      </w:r>
      <w:r>
        <w:rPr>
          <w:color w:val="333333"/>
          <w:w w:val="110"/>
        </w:rPr>
        <w:t xml:space="preserve">JDK 8 environments, or for optimal runtime performance, this server also supports HTTP/2 with native libraries. </w:t>
      </w:r>
      <w:proofErr w:type="gramStart"/>
      <w:r>
        <w:rPr>
          <w:color w:val="333333"/>
          <w:spacing w:val="-4"/>
          <w:w w:val="110"/>
        </w:rPr>
        <w:t xml:space="preserve">To  </w:t>
      </w:r>
      <w:r>
        <w:rPr>
          <w:color w:val="333333"/>
          <w:w w:val="110"/>
        </w:rPr>
        <w:t>enable</w:t>
      </w:r>
      <w:proofErr w:type="gramEnd"/>
      <w:r>
        <w:rPr>
          <w:color w:val="333333"/>
          <w:w w:val="110"/>
        </w:rPr>
        <w:t xml:space="preserve">  that, your application needs to have an additional</w:t>
      </w:r>
      <w:r>
        <w:rPr>
          <w:color w:val="333333"/>
          <w:spacing w:val="30"/>
          <w:w w:val="110"/>
        </w:rPr>
        <w:t xml:space="preserve"> </w:t>
      </w:r>
      <w:r>
        <w:rPr>
          <w:color w:val="333333"/>
          <w:spacing w:val="-3"/>
          <w:w w:val="110"/>
        </w:rPr>
        <w:t>dependency.</w:t>
      </w:r>
    </w:p>
    <w:p w14:paraId="0555DF35" w14:textId="77777777" w:rsidR="00A720EB" w:rsidRDefault="0030286B">
      <w:pPr>
        <w:pStyle w:val="a3"/>
        <w:spacing w:before="233" w:line="300" w:lineRule="auto"/>
        <w:ind w:left="124" w:right="123"/>
        <w:jc w:val="both"/>
      </w:pPr>
      <w:r>
        <w:rPr>
          <w:color w:val="333333"/>
          <w:w w:val="110"/>
        </w:rPr>
        <w:t xml:space="preserve">Spring Boot manages the version for the </w:t>
      </w:r>
      <w:proofErr w:type="gramStart"/>
      <w:r>
        <w:rPr>
          <w:rFonts w:ascii="MS Gothic"/>
          <w:color w:val="B02045"/>
          <w:w w:val="110"/>
        </w:rPr>
        <w:t>io.netty</w:t>
      </w:r>
      <w:proofErr w:type="gramEnd"/>
      <w:r>
        <w:rPr>
          <w:rFonts w:ascii="MS Gothic"/>
          <w:color w:val="B02045"/>
          <w:w w:val="110"/>
        </w:rPr>
        <w:t xml:space="preserve">:netty-tcnative-boringssl-static </w:t>
      </w:r>
      <w:r>
        <w:rPr>
          <w:color w:val="333333"/>
          <w:w w:val="110"/>
        </w:rPr>
        <w:t xml:space="preserve">"uber jar", containing native libraries for all platforms. Developers can choose to import only the required dependencies using a classifier (see </w:t>
      </w:r>
      <w:hyperlink r:id="rId600">
        <w:r>
          <w:rPr>
            <w:color w:val="418BCA"/>
            <w:w w:val="110"/>
          </w:rPr>
          <w:t>the Netty official documentation</w:t>
        </w:r>
      </w:hyperlink>
      <w:r>
        <w:rPr>
          <w:color w:val="333333"/>
          <w:w w:val="110"/>
        </w:rPr>
        <w:t>).</w:t>
      </w:r>
    </w:p>
    <w:p w14:paraId="4A60A45C" w14:textId="77777777" w:rsidR="00A720EB" w:rsidRDefault="00A720EB">
      <w:pPr>
        <w:pStyle w:val="a3"/>
        <w:spacing w:before="1"/>
        <w:rPr>
          <w:sz w:val="26"/>
        </w:rPr>
      </w:pPr>
    </w:p>
    <w:p w14:paraId="788E286C" w14:textId="77777777" w:rsidR="00A720EB" w:rsidRDefault="0030286B">
      <w:pPr>
        <w:pStyle w:val="3"/>
        <w:numPr>
          <w:ilvl w:val="2"/>
          <w:numId w:val="13"/>
        </w:numPr>
        <w:tabs>
          <w:tab w:val="left" w:pos="858"/>
        </w:tabs>
        <w:ind w:hanging="734"/>
      </w:pPr>
      <w:bookmarkStart w:id="832" w:name="9.3.9._Configure_the_Web_Server"/>
      <w:bookmarkStart w:id="833" w:name="_Toc54423939"/>
      <w:bookmarkEnd w:id="832"/>
      <w:r>
        <w:rPr>
          <w:color w:val="333333"/>
          <w:w w:val="110"/>
        </w:rPr>
        <w:t xml:space="preserve">Configure the </w:t>
      </w:r>
      <w:r>
        <w:rPr>
          <w:color w:val="333333"/>
          <w:spacing w:val="-6"/>
          <w:w w:val="110"/>
        </w:rPr>
        <w:t>Web</w:t>
      </w:r>
      <w:r>
        <w:rPr>
          <w:color w:val="333333"/>
          <w:spacing w:val="-17"/>
          <w:w w:val="110"/>
        </w:rPr>
        <w:t xml:space="preserve"> </w:t>
      </w:r>
      <w:r>
        <w:rPr>
          <w:color w:val="333333"/>
          <w:w w:val="110"/>
        </w:rPr>
        <w:t>Server</w:t>
      </w:r>
      <w:bookmarkEnd w:id="833"/>
    </w:p>
    <w:p w14:paraId="00B1B09F" w14:textId="77777777" w:rsidR="00A720EB" w:rsidRDefault="0030286B">
      <w:pPr>
        <w:pStyle w:val="a3"/>
        <w:spacing w:before="254" w:line="285" w:lineRule="auto"/>
        <w:ind w:left="124" w:right="122"/>
        <w:jc w:val="both"/>
      </w:pPr>
      <w:r>
        <w:rPr>
          <w:color w:val="333333"/>
          <w:spacing w:val="-4"/>
          <w:w w:val="110"/>
        </w:rPr>
        <w:t xml:space="preserve">Generally, </w:t>
      </w:r>
      <w:r>
        <w:rPr>
          <w:color w:val="333333"/>
          <w:w w:val="110"/>
        </w:rPr>
        <w:t xml:space="preserve">you should first consider using one of the many available configuration keys and  customize your web server </w:t>
      </w:r>
      <w:r>
        <w:rPr>
          <w:color w:val="333333"/>
          <w:spacing w:val="-3"/>
          <w:w w:val="110"/>
        </w:rPr>
        <w:t xml:space="preserve">by </w:t>
      </w:r>
      <w:r>
        <w:rPr>
          <w:color w:val="333333"/>
          <w:w w:val="110"/>
        </w:rPr>
        <w:t xml:space="preserve">adding new entries in your </w:t>
      </w:r>
      <w:r>
        <w:rPr>
          <w:rFonts w:ascii="MS Gothic" w:hAnsi="MS Gothic"/>
          <w:color w:val="B02045"/>
          <w:w w:val="110"/>
        </w:rPr>
        <w:t xml:space="preserve">application.properties </w:t>
      </w:r>
      <w:r>
        <w:rPr>
          <w:color w:val="333333"/>
          <w:w w:val="110"/>
        </w:rPr>
        <w:t xml:space="preserve">(or </w:t>
      </w:r>
      <w:r>
        <w:rPr>
          <w:rFonts w:ascii="MS Gothic" w:hAnsi="MS Gothic"/>
          <w:color w:val="B02045"/>
          <w:w w:val="110"/>
        </w:rPr>
        <w:t>application.yml</w:t>
      </w:r>
      <w:r>
        <w:rPr>
          <w:color w:val="333333"/>
          <w:w w:val="110"/>
        </w:rPr>
        <w:t>, or environment, etc. see “</w:t>
      </w:r>
      <w:hyperlink w:anchor="_bookmark542" w:history="1">
        <w:r>
          <w:rPr>
            <w:color w:val="418BCA"/>
            <w:w w:val="110"/>
          </w:rPr>
          <w:t>Discover Built-in Options for External Properties</w:t>
        </w:r>
      </w:hyperlink>
      <w:r>
        <w:rPr>
          <w:color w:val="333333"/>
          <w:w w:val="110"/>
        </w:rPr>
        <w:t xml:space="preserve">”). The </w:t>
      </w:r>
      <w:proofErr w:type="gramStart"/>
      <w:r>
        <w:rPr>
          <w:rFonts w:ascii="MS Gothic" w:hAnsi="MS Gothic"/>
          <w:color w:val="B02045"/>
          <w:w w:val="110"/>
        </w:rPr>
        <w:t>server.*</w:t>
      </w:r>
      <w:proofErr w:type="gramEnd"/>
      <w:r>
        <w:rPr>
          <w:rFonts w:ascii="MS Gothic" w:hAnsi="MS Gothic"/>
          <w:color w:val="B02045"/>
          <w:w w:val="110"/>
        </w:rPr>
        <w:t xml:space="preserve"> </w:t>
      </w:r>
      <w:r>
        <w:rPr>
          <w:color w:val="333333"/>
          <w:w w:val="110"/>
        </w:rPr>
        <w:t xml:space="preserve">namespace is quite useful here, and it includes namespaces like </w:t>
      </w:r>
      <w:r>
        <w:rPr>
          <w:rFonts w:ascii="MS Gothic" w:hAnsi="MS Gothic"/>
          <w:color w:val="B02045"/>
          <w:w w:val="110"/>
        </w:rPr>
        <w:t>server.tomcat.*</w:t>
      </w:r>
      <w:r>
        <w:rPr>
          <w:color w:val="333333"/>
          <w:w w:val="110"/>
        </w:rPr>
        <w:t xml:space="preserve">, </w:t>
      </w:r>
      <w:r>
        <w:rPr>
          <w:rFonts w:ascii="MS Gothic" w:hAnsi="MS Gothic"/>
          <w:color w:val="B02045"/>
          <w:w w:val="110"/>
        </w:rPr>
        <w:t xml:space="preserve">server.jetty.* </w:t>
      </w:r>
      <w:r>
        <w:rPr>
          <w:color w:val="333333"/>
          <w:w w:val="110"/>
        </w:rPr>
        <w:t xml:space="preserve">and others, for server-specific features. See the list of </w:t>
      </w:r>
      <w:hyperlink w:anchor="_bookmark656" w:history="1">
        <w:r>
          <w:rPr>
            <w:color w:val="418BCA"/>
            <w:w w:val="110"/>
          </w:rPr>
          <w:t>Common Application</w:t>
        </w:r>
      </w:hyperlink>
      <w:r>
        <w:rPr>
          <w:color w:val="418BCA"/>
          <w:w w:val="110"/>
        </w:rPr>
        <w:t xml:space="preserve">  </w:t>
      </w:r>
      <w:hyperlink w:anchor="_bookmark656" w:history="1">
        <w:r>
          <w:rPr>
            <w:color w:val="418BCA"/>
            <w:w w:val="110"/>
          </w:rPr>
          <w:t>properties</w:t>
        </w:r>
      </w:hyperlink>
      <w:r>
        <w:rPr>
          <w:color w:val="333333"/>
          <w:w w:val="110"/>
        </w:rPr>
        <w:t>.</w:t>
      </w:r>
    </w:p>
    <w:p w14:paraId="3BD18121" w14:textId="77777777" w:rsidR="00A720EB" w:rsidRDefault="00A720EB">
      <w:pPr>
        <w:pStyle w:val="a3"/>
        <w:spacing w:before="9"/>
        <w:rPr>
          <w:sz w:val="22"/>
        </w:rPr>
      </w:pPr>
    </w:p>
    <w:p w14:paraId="6F539FC2" w14:textId="77777777" w:rsidR="00A720EB" w:rsidRDefault="0030286B">
      <w:pPr>
        <w:pStyle w:val="a3"/>
        <w:spacing w:line="300" w:lineRule="auto"/>
        <w:ind w:left="124" w:right="127"/>
        <w:jc w:val="both"/>
      </w:pPr>
      <w:r>
        <w:rPr>
          <w:color w:val="333333"/>
          <w:w w:val="110"/>
        </w:rPr>
        <w:t xml:space="preserve">The previous sections covered already many common use cases, such as compression, SSL </w:t>
      </w:r>
      <w:proofErr w:type="gramStart"/>
      <w:r>
        <w:rPr>
          <w:color w:val="333333"/>
          <w:w w:val="110"/>
        </w:rPr>
        <w:t>or  HTTP</w:t>
      </w:r>
      <w:proofErr w:type="gramEnd"/>
      <w:r>
        <w:rPr>
          <w:color w:val="333333"/>
          <w:w w:val="110"/>
        </w:rPr>
        <w:t xml:space="preserve">/2. However, if a configuration key doesn’t exist for your use case, you should then look at </w:t>
      </w:r>
      <w:hyperlink r:id="rId601">
        <w:r>
          <w:rPr>
            <w:rFonts w:ascii="MS Gothic" w:hAnsi="MS Gothic"/>
            <w:color w:val="B02045"/>
            <w:w w:val="110"/>
          </w:rPr>
          <w:t>WebServerFactoryCustomizer</w:t>
        </w:r>
      </w:hyperlink>
      <w:r>
        <w:rPr>
          <w:color w:val="333333"/>
          <w:w w:val="110"/>
        </w:rPr>
        <w:t xml:space="preserve">. </w:t>
      </w:r>
      <w:r>
        <w:rPr>
          <w:color w:val="333333"/>
          <w:spacing w:val="-6"/>
          <w:w w:val="110"/>
        </w:rPr>
        <w:t xml:space="preserve">You </w:t>
      </w:r>
      <w:r>
        <w:rPr>
          <w:color w:val="333333"/>
          <w:w w:val="110"/>
        </w:rPr>
        <w:t xml:space="preserve">can declare such a component and get access to the server factory relevant to your choice: you should select the variant for the chosen Server (Tomcat, </w:t>
      </w:r>
      <w:r>
        <w:rPr>
          <w:color w:val="333333"/>
          <w:spacing w:val="-4"/>
          <w:w w:val="110"/>
        </w:rPr>
        <w:t xml:space="preserve">Jetty, </w:t>
      </w:r>
      <w:r>
        <w:rPr>
          <w:color w:val="333333"/>
          <w:w w:val="110"/>
        </w:rPr>
        <w:t xml:space="preserve">Reactor </w:t>
      </w:r>
      <w:r>
        <w:rPr>
          <w:color w:val="333333"/>
          <w:spacing w:val="-4"/>
          <w:w w:val="110"/>
        </w:rPr>
        <w:t xml:space="preserve">Netty, </w:t>
      </w:r>
      <w:r>
        <w:rPr>
          <w:color w:val="333333"/>
          <w:w w:val="110"/>
        </w:rPr>
        <w:t>Undertow) and the chosen web stack (Servlet or</w:t>
      </w:r>
      <w:r>
        <w:rPr>
          <w:color w:val="333333"/>
          <w:spacing w:val="27"/>
          <w:w w:val="110"/>
        </w:rPr>
        <w:t xml:space="preserve"> </w:t>
      </w:r>
      <w:r>
        <w:rPr>
          <w:color w:val="333333"/>
          <w:w w:val="110"/>
        </w:rPr>
        <w:t>Reactive).</w:t>
      </w:r>
    </w:p>
    <w:p w14:paraId="7624D9CC" w14:textId="77777777" w:rsidR="00A720EB" w:rsidRDefault="0030286B">
      <w:pPr>
        <w:pStyle w:val="a3"/>
        <w:spacing w:before="240"/>
        <w:ind w:left="124"/>
        <w:jc w:val="both"/>
      </w:pPr>
      <w:r>
        <w:rPr>
          <w:color w:val="333333"/>
          <w:w w:val="110"/>
        </w:rPr>
        <w:t xml:space="preserve">The example below is for Tomcat with the </w:t>
      </w:r>
      <w:r>
        <w:rPr>
          <w:rFonts w:ascii="MS Gothic"/>
          <w:color w:val="B02045"/>
          <w:w w:val="110"/>
        </w:rPr>
        <w:t>spring-boot-starter-web</w:t>
      </w:r>
      <w:r>
        <w:rPr>
          <w:rFonts w:ascii="MS Gothic"/>
          <w:color w:val="B02045"/>
          <w:spacing w:val="-92"/>
          <w:w w:val="110"/>
        </w:rPr>
        <w:t xml:space="preserve"> </w:t>
      </w:r>
      <w:r>
        <w:rPr>
          <w:color w:val="333333"/>
          <w:w w:val="110"/>
        </w:rPr>
        <w:t>(Servlet stack):</w:t>
      </w:r>
    </w:p>
    <w:p w14:paraId="7EC45EEB" w14:textId="77777777" w:rsidR="00A720EB" w:rsidRDefault="00A720EB">
      <w:pPr>
        <w:jc w:val="both"/>
        <w:sectPr w:rsidR="00A720EB">
          <w:pgSz w:w="11910" w:h="16840"/>
          <w:pgMar w:top="620" w:right="840" w:bottom="520" w:left="840" w:header="0" w:footer="323" w:gutter="0"/>
          <w:cols w:space="720"/>
        </w:sectPr>
      </w:pPr>
    </w:p>
    <w:p w14:paraId="4E7A484B" w14:textId="77777777" w:rsidR="00A720EB" w:rsidRDefault="00E10349">
      <w:pPr>
        <w:pStyle w:val="a3"/>
        <w:ind w:left="116"/>
        <w:rPr>
          <w:sz w:val="20"/>
        </w:rPr>
      </w:pPr>
      <w:r>
        <w:rPr>
          <w:sz w:val="20"/>
        </w:rPr>
      </w:r>
      <w:r>
        <w:rPr>
          <w:sz w:val="20"/>
        </w:rPr>
        <w:pict w14:anchorId="0B94EBE9">
          <v:group id="_x0000_s1554" style="width:499.55pt;height:155.45pt;mso-position-horizontal-relative:char;mso-position-vertical-relative:line" coordsize="9991,3109">
            <v:shape id="_x0000_s1557" style="position:absolute;left:7;top:7;width:9976;height:3094" coordorigin="8,8" coordsize="9976,3094" path="m9904,8l88,8,56,14,31,31,14,56,8,88r,2933l14,3052r17,25l56,3094r32,7l9904,3101r31,-7l9960,3077r17,-25l9984,3021r,-2933l9977,56,9960,31,9935,14,9904,8xe" fillcolor="#f5f5f5" stroked="f">
              <v:path arrowok="t"/>
            </v:shape>
            <v:shape id="_x0000_s1556" style="position:absolute;left:7;top:7;width:9976;height:3094" coordorigin="8,8" coordsize="9976,3094" path="m88,8r9816,l9935,14r25,17l9977,56r7,32l9984,3021r-7,31l9960,3077r-25,17l9904,3101r-9816,l56,3094,31,3077,14,3052,8,3021,8,88,14,56,31,31,56,14,88,8xe" filled="f" strokecolor="#ccc">
              <v:path arrowok="t"/>
            </v:shape>
            <v:shape id="_x0000_s1555" type="#_x0000_t202" style="position:absolute;left:26;top:22;width:9938;height:3063" filled="f" stroked="f">
              <v:textbox inset="0,0,0,0">
                <w:txbxContent>
                  <w:p w14:paraId="7613A5DA" w14:textId="77777777" w:rsidR="00711A16" w:rsidRDefault="00711A16">
                    <w:pPr>
                      <w:spacing w:before="221"/>
                      <w:ind w:left="200"/>
                      <w:rPr>
                        <w:rFonts w:ascii="MS Gothic"/>
                      </w:rPr>
                    </w:pPr>
                    <w:r>
                      <w:rPr>
                        <w:rFonts w:ascii="MS Gothic"/>
                        <w:color w:val="333333"/>
                      </w:rPr>
                      <w:t>@Component</w:t>
                    </w:r>
                  </w:p>
                  <w:p w14:paraId="6ACE8637" w14:textId="77777777" w:rsidR="00711A16" w:rsidRDefault="00711A16">
                    <w:pPr>
                      <w:spacing w:before="13"/>
                      <w:ind w:left="200"/>
                      <w:rPr>
                        <w:rFonts w:ascii="MS Gothic"/>
                      </w:rPr>
                    </w:pPr>
                    <w:r>
                      <w:rPr>
                        <w:rFonts w:ascii="MS Gothic"/>
                        <w:color w:val="333333"/>
                      </w:rPr>
                      <w:t>public class MyTomcatWebServerCustomizer</w:t>
                    </w:r>
                  </w:p>
                  <w:p w14:paraId="0FFFED16" w14:textId="77777777" w:rsidR="00711A16" w:rsidRDefault="00711A16">
                    <w:pPr>
                      <w:spacing w:before="13"/>
                      <w:ind w:left="1080"/>
                      <w:rPr>
                        <w:rFonts w:ascii="MS Gothic"/>
                      </w:rPr>
                    </w:pPr>
                    <w:r>
                      <w:rPr>
                        <w:rFonts w:ascii="MS Gothic"/>
                        <w:color w:val="333333"/>
                      </w:rPr>
                      <w:t>implements WebServerFactoryCustomizer&lt;TomcatServletWebServerFactory&gt; {</w:t>
                    </w:r>
                  </w:p>
                  <w:p w14:paraId="68371744" w14:textId="77777777" w:rsidR="00711A16" w:rsidRDefault="00711A16">
                    <w:pPr>
                      <w:rPr>
                        <w:rFonts w:ascii="MS Gothic"/>
                        <w:sz w:val="24"/>
                      </w:rPr>
                    </w:pPr>
                  </w:p>
                  <w:p w14:paraId="24848756" w14:textId="77777777" w:rsidR="00711A16" w:rsidRDefault="00711A16">
                    <w:pPr>
                      <w:ind w:left="640"/>
                      <w:rPr>
                        <w:rFonts w:ascii="MS Gothic"/>
                      </w:rPr>
                    </w:pPr>
                    <w:r>
                      <w:rPr>
                        <w:rFonts w:ascii="MS Gothic"/>
                        <w:color w:val="333333"/>
                      </w:rPr>
                      <w:t>@Override</w:t>
                    </w:r>
                  </w:p>
                  <w:p w14:paraId="0B48BCD8" w14:textId="77777777" w:rsidR="00711A16" w:rsidRDefault="00711A16">
                    <w:pPr>
                      <w:spacing w:before="13"/>
                      <w:ind w:left="6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TomcatServletWebServerFactory factory) {</w:t>
                    </w:r>
                  </w:p>
                  <w:p w14:paraId="008172B4" w14:textId="77777777" w:rsidR="00711A16" w:rsidRDefault="00711A16">
                    <w:pPr>
                      <w:spacing w:before="13"/>
                      <w:ind w:left="1080"/>
                      <w:rPr>
                        <w:rFonts w:ascii="MS Gothic"/>
                      </w:rPr>
                    </w:pPr>
                    <w:r>
                      <w:rPr>
                        <w:rFonts w:ascii="MS Gothic"/>
                        <w:color w:val="333333"/>
                      </w:rPr>
                      <w:t>// customize the factory here</w:t>
                    </w:r>
                  </w:p>
                  <w:p w14:paraId="011A1AC4" w14:textId="77777777" w:rsidR="00711A16" w:rsidRDefault="00711A16">
                    <w:pPr>
                      <w:spacing w:before="13"/>
                      <w:ind w:left="640"/>
                      <w:rPr>
                        <w:rFonts w:ascii="MS Gothic"/>
                      </w:rPr>
                    </w:pPr>
                    <w:r>
                      <w:rPr>
                        <w:rFonts w:ascii="MS Gothic"/>
                        <w:color w:val="333333"/>
                      </w:rPr>
                      <w:t>}</w:t>
                    </w:r>
                  </w:p>
                  <w:p w14:paraId="61818D98" w14:textId="77777777" w:rsidR="00711A16" w:rsidRDefault="00711A16">
                    <w:pPr>
                      <w:spacing w:before="13"/>
                      <w:ind w:left="200"/>
                      <w:rPr>
                        <w:rFonts w:ascii="MS Gothic"/>
                      </w:rPr>
                    </w:pPr>
                    <w:r>
                      <w:rPr>
                        <w:rFonts w:ascii="MS Gothic"/>
                        <w:color w:val="333333"/>
                      </w:rPr>
                      <w:t>}</w:t>
                    </w:r>
                  </w:p>
                </w:txbxContent>
              </v:textbox>
            </v:shape>
            <w10:anchorlock/>
          </v:group>
        </w:pict>
      </w:r>
    </w:p>
    <w:p w14:paraId="443446E1" w14:textId="77777777" w:rsidR="00A720EB" w:rsidRDefault="00A720EB">
      <w:pPr>
        <w:pStyle w:val="a3"/>
        <w:spacing w:before="4"/>
        <w:rPr>
          <w:sz w:val="9"/>
        </w:rPr>
      </w:pPr>
    </w:p>
    <w:p w14:paraId="248FF337" w14:textId="77777777" w:rsidR="00A720EB" w:rsidRDefault="0030286B">
      <w:pPr>
        <w:pStyle w:val="a3"/>
        <w:spacing w:before="125"/>
        <w:ind w:left="124"/>
        <w:jc w:val="both"/>
      </w:pPr>
      <w:r>
        <w:rPr>
          <w:color w:val="333333"/>
          <w:w w:val="110"/>
        </w:rPr>
        <w:t xml:space="preserve">In </w:t>
      </w:r>
      <w:proofErr w:type="gramStart"/>
      <w:r>
        <w:rPr>
          <w:color w:val="333333"/>
          <w:w w:val="110"/>
        </w:rPr>
        <w:t>addition</w:t>
      </w:r>
      <w:proofErr w:type="gramEnd"/>
      <w:r>
        <w:rPr>
          <w:color w:val="333333"/>
          <w:w w:val="110"/>
        </w:rPr>
        <w:t xml:space="preserve"> Spring Boot provides:</w:t>
      </w:r>
    </w:p>
    <w:p w14:paraId="417257C7"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995"/>
        <w:gridCol w:w="3990"/>
        <w:gridCol w:w="3990"/>
      </w:tblGrid>
      <w:tr w:rsidR="00A720EB" w14:paraId="170B2176" w14:textId="77777777">
        <w:trPr>
          <w:trHeight w:val="415"/>
        </w:trPr>
        <w:tc>
          <w:tcPr>
            <w:tcW w:w="1995" w:type="dxa"/>
            <w:tcBorders>
              <w:bottom w:val="single" w:sz="12" w:space="0" w:color="DDDDDD"/>
            </w:tcBorders>
          </w:tcPr>
          <w:p w14:paraId="5A9E3C1E" w14:textId="77777777" w:rsidR="00A720EB" w:rsidRDefault="0030286B">
            <w:pPr>
              <w:pStyle w:val="TableParagraph"/>
              <w:spacing w:before="74"/>
              <w:rPr>
                <w:rFonts w:ascii="Palatino Linotype"/>
                <w:b/>
                <w:sz w:val="21"/>
              </w:rPr>
            </w:pPr>
            <w:r>
              <w:rPr>
                <w:rFonts w:ascii="Palatino Linotype"/>
                <w:b/>
                <w:color w:val="333333"/>
                <w:w w:val="115"/>
                <w:sz w:val="21"/>
              </w:rPr>
              <w:t>Server</w:t>
            </w:r>
          </w:p>
        </w:tc>
        <w:tc>
          <w:tcPr>
            <w:tcW w:w="3990" w:type="dxa"/>
            <w:tcBorders>
              <w:bottom w:val="single" w:sz="12" w:space="0" w:color="DDDDDD"/>
            </w:tcBorders>
          </w:tcPr>
          <w:p w14:paraId="0375280A" w14:textId="77777777" w:rsidR="00A720EB" w:rsidRDefault="0030286B">
            <w:pPr>
              <w:pStyle w:val="TableParagraph"/>
              <w:spacing w:before="74"/>
              <w:rPr>
                <w:rFonts w:ascii="Palatino Linotype"/>
                <w:b/>
                <w:sz w:val="21"/>
              </w:rPr>
            </w:pPr>
            <w:r>
              <w:rPr>
                <w:rFonts w:ascii="Palatino Linotype"/>
                <w:b/>
                <w:color w:val="333333"/>
                <w:w w:val="115"/>
                <w:sz w:val="21"/>
              </w:rPr>
              <w:t>Servlet stack</w:t>
            </w:r>
          </w:p>
        </w:tc>
        <w:tc>
          <w:tcPr>
            <w:tcW w:w="3990" w:type="dxa"/>
            <w:tcBorders>
              <w:bottom w:val="single" w:sz="12" w:space="0" w:color="DDDDDD"/>
            </w:tcBorders>
          </w:tcPr>
          <w:p w14:paraId="408DB2A4" w14:textId="77777777" w:rsidR="00A720EB" w:rsidRDefault="0030286B">
            <w:pPr>
              <w:pStyle w:val="TableParagraph"/>
              <w:spacing w:before="74"/>
              <w:rPr>
                <w:rFonts w:ascii="Palatino Linotype"/>
                <w:b/>
                <w:sz w:val="21"/>
              </w:rPr>
            </w:pPr>
            <w:r>
              <w:rPr>
                <w:rFonts w:ascii="Palatino Linotype"/>
                <w:b/>
                <w:color w:val="333333"/>
                <w:w w:val="115"/>
                <w:sz w:val="21"/>
              </w:rPr>
              <w:t>Reactive stack</w:t>
            </w:r>
          </w:p>
        </w:tc>
      </w:tr>
      <w:tr w:rsidR="00A720EB" w14:paraId="09DF3581" w14:textId="77777777">
        <w:trPr>
          <w:trHeight w:val="415"/>
        </w:trPr>
        <w:tc>
          <w:tcPr>
            <w:tcW w:w="1995" w:type="dxa"/>
            <w:tcBorders>
              <w:top w:val="single" w:sz="12" w:space="0" w:color="DDDDDD"/>
            </w:tcBorders>
          </w:tcPr>
          <w:p w14:paraId="210F6437" w14:textId="77777777" w:rsidR="00A720EB" w:rsidRDefault="0030286B">
            <w:pPr>
              <w:pStyle w:val="TableParagraph"/>
              <w:spacing w:before="84"/>
              <w:rPr>
                <w:rFonts w:ascii="Cambria"/>
                <w:sz w:val="21"/>
              </w:rPr>
            </w:pPr>
            <w:r>
              <w:rPr>
                <w:rFonts w:ascii="Cambria"/>
                <w:color w:val="333333"/>
                <w:w w:val="110"/>
                <w:sz w:val="21"/>
              </w:rPr>
              <w:t>Tomcat</w:t>
            </w:r>
          </w:p>
        </w:tc>
        <w:tc>
          <w:tcPr>
            <w:tcW w:w="3990" w:type="dxa"/>
            <w:tcBorders>
              <w:top w:val="single" w:sz="12" w:space="0" w:color="DDDDDD"/>
            </w:tcBorders>
          </w:tcPr>
          <w:p w14:paraId="66845C3B" w14:textId="77777777" w:rsidR="00A720EB" w:rsidRDefault="0030286B">
            <w:pPr>
              <w:pStyle w:val="TableParagraph"/>
              <w:spacing w:before="30"/>
              <w:rPr>
                <w:sz w:val="21"/>
              </w:rPr>
            </w:pPr>
            <w:r>
              <w:rPr>
                <w:color w:val="B02045"/>
                <w:sz w:val="21"/>
              </w:rPr>
              <w:t>TomcatServletWebServerFactory</w:t>
            </w:r>
          </w:p>
        </w:tc>
        <w:tc>
          <w:tcPr>
            <w:tcW w:w="3990" w:type="dxa"/>
            <w:tcBorders>
              <w:top w:val="single" w:sz="12" w:space="0" w:color="DDDDDD"/>
            </w:tcBorders>
          </w:tcPr>
          <w:p w14:paraId="7ED343DB" w14:textId="77777777" w:rsidR="00A720EB" w:rsidRDefault="0030286B">
            <w:pPr>
              <w:pStyle w:val="TableParagraph"/>
              <w:spacing w:before="30"/>
              <w:rPr>
                <w:sz w:val="21"/>
              </w:rPr>
            </w:pPr>
            <w:r>
              <w:rPr>
                <w:color w:val="B02045"/>
                <w:sz w:val="21"/>
              </w:rPr>
              <w:t>TomcatReactiveWebServerFactory</w:t>
            </w:r>
          </w:p>
        </w:tc>
      </w:tr>
      <w:tr w:rsidR="00A720EB" w14:paraId="24E65FD5" w14:textId="77777777">
        <w:trPr>
          <w:trHeight w:val="425"/>
        </w:trPr>
        <w:tc>
          <w:tcPr>
            <w:tcW w:w="1995" w:type="dxa"/>
          </w:tcPr>
          <w:p w14:paraId="53143C9A" w14:textId="77777777" w:rsidR="00A720EB" w:rsidRDefault="0030286B">
            <w:pPr>
              <w:pStyle w:val="TableParagraph"/>
              <w:spacing w:before="94"/>
              <w:rPr>
                <w:rFonts w:ascii="Cambria"/>
                <w:sz w:val="21"/>
              </w:rPr>
            </w:pPr>
            <w:r>
              <w:rPr>
                <w:rFonts w:ascii="Cambria"/>
                <w:color w:val="333333"/>
                <w:w w:val="110"/>
                <w:sz w:val="21"/>
              </w:rPr>
              <w:t>Jetty</w:t>
            </w:r>
          </w:p>
        </w:tc>
        <w:tc>
          <w:tcPr>
            <w:tcW w:w="3990" w:type="dxa"/>
          </w:tcPr>
          <w:p w14:paraId="4A65B643" w14:textId="77777777" w:rsidR="00A720EB" w:rsidRDefault="0030286B">
            <w:pPr>
              <w:pStyle w:val="TableParagraph"/>
              <w:spacing w:before="40"/>
              <w:rPr>
                <w:sz w:val="21"/>
              </w:rPr>
            </w:pPr>
            <w:r>
              <w:rPr>
                <w:color w:val="B02045"/>
                <w:sz w:val="21"/>
              </w:rPr>
              <w:t>JettyServletWebServerFactory</w:t>
            </w:r>
          </w:p>
        </w:tc>
        <w:tc>
          <w:tcPr>
            <w:tcW w:w="3990" w:type="dxa"/>
          </w:tcPr>
          <w:p w14:paraId="3B0E0BC5" w14:textId="77777777" w:rsidR="00A720EB" w:rsidRDefault="0030286B">
            <w:pPr>
              <w:pStyle w:val="TableParagraph"/>
              <w:spacing w:before="40"/>
              <w:rPr>
                <w:sz w:val="21"/>
              </w:rPr>
            </w:pPr>
            <w:r>
              <w:rPr>
                <w:color w:val="B02045"/>
                <w:sz w:val="21"/>
              </w:rPr>
              <w:t>JettyReactiveWebServerFactory</w:t>
            </w:r>
          </w:p>
        </w:tc>
      </w:tr>
      <w:tr w:rsidR="00A720EB" w14:paraId="2F53359E" w14:textId="77777777">
        <w:trPr>
          <w:trHeight w:val="425"/>
        </w:trPr>
        <w:tc>
          <w:tcPr>
            <w:tcW w:w="1995" w:type="dxa"/>
          </w:tcPr>
          <w:p w14:paraId="34F72AFF" w14:textId="77777777" w:rsidR="00A720EB" w:rsidRDefault="0030286B">
            <w:pPr>
              <w:pStyle w:val="TableParagraph"/>
              <w:spacing w:before="94"/>
              <w:rPr>
                <w:rFonts w:ascii="Cambria"/>
                <w:sz w:val="21"/>
              </w:rPr>
            </w:pPr>
            <w:r>
              <w:rPr>
                <w:rFonts w:ascii="Cambria"/>
                <w:color w:val="333333"/>
                <w:w w:val="110"/>
                <w:sz w:val="21"/>
              </w:rPr>
              <w:t>Undertow</w:t>
            </w:r>
          </w:p>
        </w:tc>
        <w:tc>
          <w:tcPr>
            <w:tcW w:w="3990" w:type="dxa"/>
          </w:tcPr>
          <w:p w14:paraId="09395075" w14:textId="77777777" w:rsidR="00A720EB" w:rsidRDefault="0030286B">
            <w:pPr>
              <w:pStyle w:val="TableParagraph"/>
              <w:spacing w:before="40"/>
              <w:rPr>
                <w:sz w:val="21"/>
              </w:rPr>
            </w:pPr>
            <w:r>
              <w:rPr>
                <w:color w:val="B02045"/>
                <w:sz w:val="21"/>
              </w:rPr>
              <w:t>UndertowServletWebServerFactory</w:t>
            </w:r>
          </w:p>
        </w:tc>
        <w:tc>
          <w:tcPr>
            <w:tcW w:w="3990" w:type="dxa"/>
          </w:tcPr>
          <w:p w14:paraId="76D0477B" w14:textId="77777777" w:rsidR="00A720EB" w:rsidRDefault="0030286B">
            <w:pPr>
              <w:pStyle w:val="TableParagraph"/>
              <w:spacing w:before="40"/>
              <w:rPr>
                <w:sz w:val="21"/>
              </w:rPr>
            </w:pPr>
            <w:r>
              <w:rPr>
                <w:color w:val="B02045"/>
                <w:sz w:val="21"/>
              </w:rPr>
              <w:t>UndertowReactiveWebServerFactory</w:t>
            </w:r>
          </w:p>
        </w:tc>
      </w:tr>
      <w:tr w:rsidR="00A720EB" w14:paraId="42399265" w14:textId="77777777">
        <w:trPr>
          <w:trHeight w:val="425"/>
        </w:trPr>
        <w:tc>
          <w:tcPr>
            <w:tcW w:w="1995" w:type="dxa"/>
          </w:tcPr>
          <w:p w14:paraId="263CB2A9" w14:textId="77777777" w:rsidR="00A720EB" w:rsidRDefault="0030286B">
            <w:pPr>
              <w:pStyle w:val="TableParagraph"/>
              <w:spacing w:before="94"/>
              <w:rPr>
                <w:rFonts w:ascii="Cambria"/>
                <w:sz w:val="21"/>
              </w:rPr>
            </w:pPr>
            <w:r>
              <w:rPr>
                <w:rFonts w:ascii="Cambria"/>
                <w:color w:val="333333"/>
                <w:w w:val="110"/>
                <w:sz w:val="21"/>
              </w:rPr>
              <w:t>Reactor</w:t>
            </w:r>
          </w:p>
        </w:tc>
        <w:tc>
          <w:tcPr>
            <w:tcW w:w="3990" w:type="dxa"/>
          </w:tcPr>
          <w:p w14:paraId="019EC315" w14:textId="77777777" w:rsidR="00A720EB" w:rsidRDefault="0030286B">
            <w:pPr>
              <w:pStyle w:val="TableParagraph"/>
              <w:spacing w:before="94"/>
              <w:rPr>
                <w:rFonts w:ascii="Cambria"/>
                <w:sz w:val="21"/>
              </w:rPr>
            </w:pPr>
            <w:r>
              <w:rPr>
                <w:rFonts w:ascii="Cambria"/>
                <w:color w:val="333333"/>
                <w:sz w:val="21"/>
              </w:rPr>
              <w:t>N/A</w:t>
            </w:r>
          </w:p>
        </w:tc>
        <w:tc>
          <w:tcPr>
            <w:tcW w:w="3990" w:type="dxa"/>
          </w:tcPr>
          <w:p w14:paraId="42AEAD42" w14:textId="77777777" w:rsidR="00A720EB" w:rsidRDefault="0030286B">
            <w:pPr>
              <w:pStyle w:val="TableParagraph"/>
              <w:spacing w:before="40"/>
              <w:rPr>
                <w:sz w:val="21"/>
              </w:rPr>
            </w:pPr>
            <w:r>
              <w:rPr>
                <w:color w:val="B02045"/>
                <w:sz w:val="21"/>
              </w:rPr>
              <w:t>NettyReactiveWebServerFactory</w:t>
            </w:r>
          </w:p>
        </w:tc>
      </w:tr>
    </w:tbl>
    <w:p w14:paraId="35B214B1" w14:textId="77777777" w:rsidR="00A720EB" w:rsidRDefault="00A720EB">
      <w:pPr>
        <w:pStyle w:val="a3"/>
        <w:spacing w:before="6"/>
        <w:rPr>
          <w:sz w:val="22"/>
        </w:rPr>
      </w:pPr>
    </w:p>
    <w:p w14:paraId="0BD0A8A4" w14:textId="77777777" w:rsidR="00A720EB" w:rsidRDefault="0030286B">
      <w:pPr>
        <w:pStyle w:val="a3"/>
        <w:spacing w:line="290" w:lineRule="auto"/>
        <w:ind w:left="124" w:right="124"/>
        <w:jc w:val="both"/>
      </w:pPr>
      <w:r>
        <w:rPr>
          <w:color w:val="333333"/>
          <w:w w:val="110"/>
        </w:rPr>
        <w:t xml:space="preserve">Once you’ve got access to a </w:t>
      </w:r>
      <w:r>
        <w:rPr>
          <w:rFonts w:ascii="MS Gothic" w:hAnsi="MS Gothic"/>
          <w:color w:val="B02045"/>
          <w:w w:val="110"/>
        </w:rPr>
        <w:t>WebServerFactory</w:t>
      </w:r>
      <w:r>
        <w:rPr>
          <w:color w:val="333333"/>
          <w:w w:val="110"/>
        </w:rPr>
        <w:t>, you can often add customizers to it to configure specific parts, like connectors, server resources, or the server itself - all using server-specific APIs.</w:t>
      </w:r>
    </w:p>
    <w:p w14:paraId="5EE242FD" w14:textId="77777777" w:rsidR="00A720EB" w:rsidRDefault="0030286B">
      <w:pPr>
        <w:pStyle w:val="a3"/>
        <w:spacing w:before="248" w:line="295" w:lineRule="auto"/>
        <w:ind w:left="124" w:right="124"/>
        <w:jc w:val="both"/>
      </w:pPr>
      <w:r>
        <w:rPr>
          <w:color w:val="333333"/>
          <w:w w:val="110"/>
        </w:rPr>
        <w:t xml:space="preserve">As a last resort, you can also declare your own </w:t>
      </w:r>
      <w:r>
        <w:rPr>
          <w:rFonts w:ascii="MS Gothic" w:hAnsi="MS Gothic"/>
          <w:color w:val="B02045"/>
          <w:w w:val="110"/>
        </w:rPr>
        <w:t xml:space="preserve">WebServerFactory </w:t>
      </w:r>
      <w:r>
        <w:rPr>
          <w:color w:val="333333"/>
          <w:w w:val="110"/>
        </w:rPr>
        <w:t xml:space="preserve">component, which will override the one provided </w:t>
      </w:r>
      <w:proofErr w:type="gramStart"/>
      <w:r>
        <w:rPr>
          <w:color w:val="333333"/>
          <w:spacing w:val="-3"/>
          <w:w w:val="110"/>
        </w:rPr>
        <w:t xml:space="preserve">by  </w:t>
      </w:r>
      <w:r>
        <w:rPr>
          <w:color w:val="333333"/>
          <w:w w:val="110"/>
        </w:rPr>
        <w:t>Spring</w:t>
      </w:r>
      <w:proofErr w:type="gramEnd"/>
      <w:r>
        <w:rPr>
          <w:color w:val="333333"/>
          <w:w w:val="110"/>
        </w:rPr>
        <w:t xml:space="preserve"> Boot. In this case, you can’t rely on configuration properties in </w:t>
      </w:r>
      <w:proofErr w:type="gramStart"/>
      <w:r>
        <w:rPr>
          <w:color w:val="333333"/>
          <w:w w:val="110"/>
        </w:rPr>
        <w:t xml:space="preserve">the </w:t>
      </w:r>
      <w:r>
        <w:rPr>
          <w:color w:val="333333"/>
          <w:spacing w:val="50"/>
          <w:w w:val="110"/>
        </w:rPr>
        <w:t xml:space="preserve"> </w:t>
      </w:r>
      <w:r>
        <w:rPr>
          <w:rFonts w:ascii="MS Gothic" w:hAnsi="MS Gothic"/>
          <w:color w:val="B02045"/>
          <w:w w:val="110"/>
        </w:rPr>
        <w:t>server</w:t>
      </w:r>
      <w:proofErr w:type="gramEnd"/>
      <w:r>
        <w:rPr>
          <w:rFonts w:ascii="MS Gothic" w:hAnsi="MS Gothic"/>
          <w:color w:val="B02045"/>
          <w:spacing w:val="-59"/>
          <w:w w:val="110"/>
        </w:rPr>
        <w:t xml:space="preserve"> </w:t>
      </w:r>
      <w:r>
        <w:rPr>
          <w:color w:val="333333"/>
          <w:w w:val="110"/>
        </w:rPr>
        <w:t>namespace anymore.</w:t>
      </w:r>
    </w:p>
    <w:p w14:paraId="2930D295" w14:textId="77777777" w:rsidR="00A720EB" w:rsidRDefault="00A720EB">
      <w:pPr>
        <w:pStyle w:val="a3"/>
        <w:rPr>
          <w:sz w:val="25"/>
        </w:rPr>
      </w:pPr>
    </w:p>
    <w:p w14:paraId="510B5C78" w14:textId="77777777" w:rsidR="00A720EB" w:rsidRDefault="0030286B">
      <w:pPr>
        <w:pStyle w:val="3"/>
        <w:numPr>
          <w:ilvl w:val="2"/>
          <w:numId w:val="13"/>
        </w:numPr>
        <w:tabs>
          <w:tab w:val="left" w:pos="1003"/>
        </w:tabs>
        <w:ind w:left="1002" w:hanging="879"/>
      </w:pPr>
      <w:bookmarkStart w:id="834" w:name="9.3.10._Add_a_Servlet,_Filter,_or_Listen"/>
      <w:bookmarkStart w:id="835" w:name="_Toc54423940"/>
      <w:bookmarkEnd w:id="834"/>
      <w:r>
        <w:rPr>
          <w:color w:val="333333"/>
          <w:spacing w:val="-3"/>
          <w:w w:val="115"/>
        </w:rPr>
        <w:t>Add</w:t>
      </w:r>
      <w:r>
        <w:rPr>
          <w:color w:val="333333"/>
          <w:spacing w:val="-13"/>
          <w:w w:val="115"/>
        </w:rPr>
        <w:t xml:space="preserve"> </w:t>
      </w:r>
      <w:r>
        <w:rPr>
          <w:color w:val="333333"/>
          <w:w w:val="115"/>
        </w:rPr>
        <w:t>a</w:t>
      </w:r>
      <w:r>
        <w:rPr>
          <w:color w:val="333333"/>
          <w:spacing w:val="-12"/>
          <w:w w:val="115"/>
        </w:rPr>
        <w:t xml:space="preserve"> </w:t>
      </w:r>
      <w:r>
        <w:rPr>
          <w:color w:val="333333"/>
          <w:w w:val="115"/>
        </w:rPr>
        <w:t>Servlet,</w:t>
      </w:r>
      <w:r>
        <w:rPr>
          <w:color w:val="333333"/>
          <w:spacing w:val="-13"/>
          <w:w w:val="115"/>
        </w:rPr>
        <w:t xml:space="preserve"> </w:t>
      </w:r>
      <w:r>
        <w:rPr>
          <w:color w:val="333333"/>
          <w:w w:val="115"/>
        </w:rPr>
        <w:t>Filter,</w:t>
      </w:r>
      <w:r>
        <w:rPr>
          <w:color w:val="333333"/>
          <w:spacing w:val="-12"/>
          <w:w w:val="115"/>
        </w:rPr>
        <w:t xml:space="preserve"> </w:t>
      </w:r>
      <w:r>
        <w:rPr>
          <w:color w:val="333333"/>
          <w:w w:val="115"/>
        </w:rPr>
        <w:t>or</w:t>
      </w:r>
      <w:r>
        <w:rPr>
          <w:color w:val="333333"/>
          <w:spacing w:val="-13"/>
          <w:w w:val="115"/>
        </w:rPr>
        <w:t xml:space="preserve"> </w:t>
      </w:r>
      <w:r>
        <w:rPr>
          <w:color w:val="333333"/>
          <w:w w:val="115"/>
        </w:rPr>
        <w:t>Listener</w:t>
      </w:r>
      <w:r>
        <w:rPr>
          <w:color w:val="333333"/>
          <w:spacing w:val="-13"/>
          <w:w w:val="115"/>
        </w:rPr>
        <w:t xml:space="preserve"> </w:t>
      </w:r>
      <w:r>
        <w:rPr>
          <w:color w:val="333333"/>
          <w:w w:val="115"/>
        </w:rPr>
        <w:t>to</w:t>
      </w:r>
      <w:r>
        <w:rPr>
          <w:color w:val="333333"/>
          <w:spacing w:val="-13"/>
          <w:w w:val="115"/>
        </w:rPr>
        <w:t xml:space="preserve"> </w:t>
      </w:r>
      <w:r>
        <w:rPr>
          <w:color w:val="333333"/>
          <w:w w:val="115"/>
        </w:rPr>
        <w:t>an</w:t>
      </w:r>
      <w:r>
        <w:rPr>
          <w:color w:val="333333"/>
          <w:spacing w:val="-12"/>
          <w:w w:val="115"/>
        </w:rPr>
        <w:t xml:space="preserve"> </w:t>
      </w:r>
      <w:r>
        <w:rPr>
          <w:color w:val="333333"/>
          <w:w w:val="115"/>
        </w:rPr>
        <w:t>Application</w:t>
      </w:r>
      <w:bookmarkEnd w:id="835"/>
    </w:p>
    <w:p w14:paraId="3BE7463B" w14:textId="77777777" w:rsidR="00A720EB" w:rsidRDefault="0030286B">
      <w:pPr>
        <w:pStyle w:val="a3"/>
        <w:spacing w:before="244" w:line="285" w:lineRule="auto"/>
        <w:ind w:left="124" w:right="124"/>
        <w:jc w:val="both"/>
      </w:pPr>
      <w:r>
        <w:rPr>
          <w:color w:val="333333"/>
          <w:w w:val="110"/>
        </w:rPr>
        <w:t xml:space="preserve">In a servlet stack application, i.e. with the </w:t>
      </w:r>
      <w:r>
        <w:rPr>
          <w:rFonts w:ascii="MS Gothic"/>
          <w:color w:val="B02045"/>
          <w:w w:val="110"/>
        </w:rPr>
        <w:t>spring-boot-starter-web</w:t>
      </w:r>
      <w:r>
        <w:rPr>
          <w:color w:val="333333"/>
          <w:w w:val="110"/>
        </w:rPr>
        <w:t xml:space="preserve">, there are two ways to add </w:t>
      </w:r>
      <w:r>
        <w:rPr>
          <w:rFonts w:ascii="MS Gothic"/>
          <w:color w:val="B02045"/>
          <w:w w:val="110"/>
        </w:rPr>
        <w:t>Servlet</w:t>
      </w:r>
      <w:r>
        <w:rPr>
          <w:color w:val="333333"/>
          <w:w w:val="110"/>
        </w:rPr>
        <w:t>,</w:t>
      </w:r>
      <w:r>
        <w:rPr>
          <w:color w:val="333333"/>
          <w:spacing w:val="-20"/>
          <w:w w:val="110"/>
        </w:rPr>
        <w:t xml:space="preserve"> </w:t>
      </w:r>
      <w:r>
        <w:rPr>
          <w:rFonts w:ascii="MS Gothic"/>
          <w:color w:val="B02045"/>
          <w:w w:val="110"/>
        </w:rPr>
        <w:t>Filter</w:t>
      </w:r>
      <w:r>
        <w:rPr>
          <w:color w:val="333333"/>
          <w:w w:val="110"/>
        </w:rPr>
        <w:t>,</w:t>
      </w:r>
      <w:r>
        <w:rPr>
          <w:color w:val="333333"/>
          <w:spacing w:val="-19"/>
          <w:w w:val="110"/>
        </w:rPr>
        <w:t xml:space="preserve"> </w:t>
      </w:r>
      <w:r>
        <w:rPr>
          <w:rFonts w:ascii="MS Gothic"/>
          <w:color w:val="B02045"/>
          <w:w w:val="110"/>
        </w:rPr>
        <w:t>ServletContextListener</w:t>
      </w:r>
      <w:r>
        <w:rPr>
          <w:color w:val="333333"/>
          <w:w w:val="110"/>
        </w:rPr>
        <w:t>,</w:t>
      </w:r>
      <w:r>
        <w:rPr>
          <w:color w:val="333333"/>
          <w:spacing w:val="-19"/>
          <w:w w:val="110"/>
        </w:rPr>
        <w:t xml:space="preserve"> </w:t>
      </w:r>
      <w:r>
        <w:rPr>
          <w:color w:val="333333"/>
          <w:w w:val="110"/>
        </w:rPr>
        <w:t>and</w:t>
      </w:r>
      <w:r>
        <w:rPr>
          <w:color w:val="333333"/>
          <w:spacing w:val="-20"/>
          <w:w w:val="110"/>
        </w:rPr>
        <w:t xml:space="preserve"> </w:t>
      </w:r>
      <w:r>
        <w:rPr>
          <w:color w:val="333333"/>
          <w:w w:val="110"/>
        </w:rPr>
        <w:t>the</w:t>
      </w:r>
      <w:r>
        <w:rPr>
          <w:color w:val="333333"/>
          <w:spacing w:val="-19"/>
          <w:w w:val="110"/>
        </w:rPr>
        <w:t xml:space="preserve"> </w:t>
      </w:r>
      <w:r>
        <w:rPr>
          <w:color w:val="333333"/>
          <w:w w:val="110"/>
        </w:rPr>
        <w:t>other</w:t>
      </w:r>
      <w:r>
        <w:rPr>
          <w:color w:val="333333"/>
          <w:spacing w:val="-19"/>
          <w:w w:val="110"/>
        </w:rPr>
        <w:t xml:space="preserve"> </w:t>
      </w:r>
      <w:r>
        <w:rPr>
          <w:color w:val="333333"/>
          <w:w w:val="110"/>
        </w:rPr>
        <w:t>listeners</w:t>
      </w:r>
      <w:r>
        <w:rPr>
          <w:color w:val="333333"/>
          <w:spacing w:val="-19"/>
          <w:w w:val="110"/>
        </w:rPr>
        <w:t xml:space="preserve"> </w:t>
      </w:r>
      <w:r>
        <w:rPr>
          <w:color w:val="333333"/>
          <w:w w:val="110"/>
        </w:rPr>
        <w:t>supported</w:t>
      </w:r>
      <w:r>
        <w:rPr>
          <w:color w:val="333333"/>
          <w:spacing w:val="-19"/>
          <w:w w:val="110"/>
        </w:rPr>
        <w:t xml:space="preserve"> </w:t>
      </w:r>
      <w:r>
        <w:rPr>
          <w:color w:val="333333"/>
          <w:spacing w:val="-3"/>
          <w:w w:val="110"/>
        </w:rPr>
        <w:t>by</w:t>
      </w:r>
      <w:r>
        <w:rPr>
          <w:color w:val="333333"/>
          <w:spacing w:val="-20"/>
          <w:w w:val="110"/>
        </w:rPr>
        <w:t xml:space="preserve"> </w:t>
      </w:r>
      <w:r>
        <w:rPr>
          <w:color w:val="333333"/>
          <w:w w:val="110"/>
        </w:rPr>
        <w:t>the</w:t>
      </w:r>
      <w:r>
        <w:rPr>
          <w:color w:val="333333"/>
          <w:spacing w:val="-19"/>
          <w:w w:val="110"/>
        </w:rPr>
        <w:t xml:space="preserve"> </w:t>
      </w:r>
      <w:r>
        <w:rPr>
          <w:color w:val="333333"/>
          <w:w w:val="110"/>
        </w:rPr>
        <w:t>Servlet</w:t>
      </w:r>
      <w:r>
        <w:rPr>
          <w:color w:val="333333"/>
          <w:spacing w:val="-20"/>
          <w:w w:val="110"/>
        </w:rPr>
        <w:t xml:space="preserve"> </w:t>
      </w:r>
      <w:r>
        <w:rPr>
          <w:color w:val="333333"/>
          <w:w w:val="110"/>
        </w:rPr>
        <w:t>API</w:t>
      </w:r>
      <w:r>
        <w:rPr>
          <w:color w:val="333333"/>
          <w:spacing w:val="-19"/>
          <w:w w:val="110"/>
        </w:rPr>
        <w:t xml:space="preserve"> </w:t>
      </w:r>
      <w:r>
        <w:rPr>
          <w:color w:val="333333"/>
          <w:w w:val="110"/>
        </w:rPr>
        <w:t>to</w:t>
      </w:r>
      <w:r>
        <w:rPr>
          <w:color w:val="333333"/>
          <w:spacing w:val="-19"/>
          <w:w w:val="110"/>
        </w:rPr>
        <w:t xml:space="preserve"> </w:t>
      </w:r>
      <w:r>
        <w:rPr>
          <w:color w:val="333333"/>
          <w:w w:val="110"/>
        </w:rPr>
        <w:t>your application:</w:t>
      </w:r>
    </w:p>
    <w:p w14:paraId="327E08B8" w14:textId="77777777" w:rsidR="00A720EB" w:rsidRDefault="00A720EB">
      <w:pPr>
        <w:pStyle w:val="a3"/>
        <w:spacing w:before="5"/>
        <w:rPr>
          <w:sz w:val="22"/>
        </w:rPr>
      </w:pPr>
    </w:p>
    <w:p w14:paraId="28215908" w14:textId="77777777" w:rsidR="00A720EB" w:rsidRDefault="00E10349">
      <w:pPr>
        <w:pStyle w:val="a6"/>
        <w:numPr>
          <w:ilvl w:val="3"/>
          <w:numId w:val="13"/>
        </w:numPr>
        <w:tabs>
          <w:tab w:val="left" w:pos="485"/>
        </w:tabs>
        <w:spacing w:before="1"/>
        <w:rPr>
          <w:sz w:val="21"/>
        </w:rPr>
      </w:pPr>
      <w:hyperlink w:anchor="_bookmark558" w:history="1">
        <w:r w:rsidR="0030286B">
          <w:rPr>
            <w:color w:val="418BCA"/>
            <w:w w:val="110"/>
            <w:sz w:val="21"/>
          </w:rPr>
          <w:t xml:space="preserve">Add a Servlet, Filter, or Listener </w:t>
        </w:r>
        <w:r w:rsidR="0030286B">
          <w:rPr>
            <w:color w:val="418BCA"/>
            <w:spacing w:val="-3"/>
            <w:w w:val="110"/>
            <w:sz w:val="21"/>
          </w:rPr>
          <w:t xml:space="preserve">by </w:t>
        </w:r>
        <w:r w:rsidR="0030286B">
          <w:rPr>
            <w:color w:val="418BCA"/>
            <w:w w:val="110"/>
            <w:sz w:val="21"/>
          </w:rPr>
          <w:t>Using a Spring</w:t>
        </w:r>
        <w:r w:rsidR="0030286B">
          <w:rPr>
            <w:color w:val="418BCA"/>
            <w:spacing w:val="33"/>
            <w:w w:val="110"/>
            <w:sz w:val="21"/>
          </w:rPr>
          <w:t xml:space="preserve"> </w:t>
        </w:r>
        <w:r w:rsidR="0030286B">
          <w:rPr>
            <w:color w:val="418BCA"/>
            <w:w w:val="110"/>
            <w:sz w:val="21"/>
          </w:rPr>
          <w:t>Bean</w:t>
        </w:r>
      </w:hyperlink>
    </w:p>
    <w:p w14:paraId="226147BF" w14:textId="77777777" w:rsidR="00A720EB" w:rsidRDefault="00E10349">
      <w:pPr>
        <w:pStyle w:val="a6"/>
        <w:numPr>
          <w:ilvl w:val="3"/>
          <w:numId w:val="13"/>
        </w:numPr>
        <w:tabs>
          <w:tab w:val="left" w:pos="485"/>
        </w:tabs>
        <w:spacing w:before="189"/>
        <w:rPr>
          <w:sz w:val="21"/>
        </w:rPr>
      </w:pPr>
      <w:hyperlink w:anchor="_bookmark559" w:history="1">
        <w:r w:rsidR="0030286B">
          <w:rPr>
            <w:color w:val="418BCA"/>
            <w:w w:val="110"/>
            <w:sz w:val="21"/>
          </w:rPr>
          <w:t xml:space="preserve">Add Servlets, Filters, and Listeners </w:t>
        </w:r>
        <w:r w:rsidR="0030286B">
          <w:rPr>
            <w:color w:val="418BCA"/>
            <w:spacing w:val="-3"/>
            <w:w w:val="110"/>
            <w:sz w:val="21"/>
          </w:rPr>
          <w:t xml:space="preserve">by </w:t>
        </w:r>
        <w:r w:rsidR="0030286B">
          <w:rPr>
            <w:color w:val="418BCA"/>
            <w:w w:val="110"/>
            <w:sz w:val="21"/>
          </w:rPr>
          <w:t>Using Classpath</w:t>
        </w:r>
        <w:r w:rsidR="0030286B">
          <w:rPr>
            <w:color w:val="418BCA"/>
            <w:spacing w:val="26"/>
            <w:w w:val="110"/>
            <w:sz w:val="21"/>
          </w:rPr>
          <w:t xml:space="preserve"> </w:t>
        </w:r>
        <w:r w:rsidR="0030286B">
          <w:rPr>
            <w:color w:val="418BCA"/>
            <w:w w:val="110"/>
            <w:sz w:val="21"/>
          </w:rPr>
          <w:t>Scanning</w:t>
        </w:r>
      </w:hyperlink>
    </w:p>
    <w:p w14:paraId="090A3AF0" w14:textId="77777777" w:rsidR="00A720EB" w:rsidRDefault="00A720EB">
      <w:pPr>
        <w:pStyle w:val="a3"/>
        <w:spacing w:before="6"/>
        <w:rPr>
          <w:sz w:val="31"/>
        </w:rPr>
      </w:pPr>
    </w:p>
    <w:p w14:paraId="6883C6C7" w14:textId="77777777" w:rsidR="00A720EB" w:rsidRDefault="0030286B">
      <w:pPr>
        <w:pStyle w:val="4"/>
      </w:pPr>
      <w:bookmarkStart w:id="836" w:name="Add_a_Servlet,_Filter,_or_Listener_by_Us"/>
      <w:bookmarkEnd w:id="836"/>
      <w:r>
        <w:rPr>
          <w:color w:val="333333"/>
          <w:w w:val="115"/>
        </w:rPr>
        <w:t>Add a Servlet, Filter, or Listener by Using a Spring Bean</w:t>
      </w:r>
    </w:p>
    <w:p w14:paraId="226DA5F9" w14:textId="77777777" w:rsidR="00A720EB" w:rsidRDefault="0030286B">
      <w:pPr>
        <w:pStyle w:val="a3"/>
        <w:spacing w:before="244" w:line="300" w:lineRule="auto"/>
        <w:ind w:left="124" w:right="122"/>
        <w:jc w:val="both"/>
      </w:pPr>
      <w:r>
        <w:rPr>
          <w:color w:val="333333"/>
          <w:spacing w:val="-4"/>
          <w:w w:val="110"/>
        </w:rPr>
        <w:t xml:space="preserve">To </w:t>
      </w:r>
      <w:r>
        <w:rPr>
          <w:color w:val="333333"/>
          <w:w w:val="110"/>
        </w:rPr>
        <w:t xml:space="preserve">add a </w:t>
      </w:r>
      <w:r>
        <w:rPr>
          <w:rFonts w:ascii="MS Gothic"/>
          <w:color w:val="B02045"/>
          <w:w w:val="110"/>
        </w:rPr>
        <w:t>Servlet</w:t>
      </w:r>
      <w:r>
        <w:rPr>
          <w:color w:val="333333"/>
          <w:w w:val="110"/>
        </w:rPr>
        <w:t xml:space="preserve">, </w:t>
      </w:r>
      <w:r>
        <w:rPr>
          <w:rFonts w:ascii="MS Gothic"/>
          <w:color w:val="B02045"/>
          <w:w w:val="110"/>
        </w:rPr>
        <w:t>Filter</w:t>
      </w:r>
      <w:r>
        <w:rPr>
          <w:color w:val="333333"/>
          <w:w w:val="110"/>
        </w:rPr>
        <w:t xml:space="preserve">, or Servlet </w:t>
      </w:r>
      <w:r>
        <w:rPr>
          <w:rFonts w:ascii="MS Gothic"/>
          <w:color w:val="B02045"/>
          <w:w w:val="110"/>
        </w:rPr>
        <w:t xml:space="preserve">*Listener </w:t>
      </w:r>
      <w:r>
        <w:rPr>
          <w:color w:val="333333"/>
          <w:spacing w:val="-3"/>
          <w:w w:val="110"/>
        </w:rPr>
        <w:t xml:space="preserve">by </w:t>
      </w:r>
      <w:r>
        <w:rPr>
          <w:color w:val="333333"/>
          <w:w w:val="110"/>
        </w:rPr>
        <w:t xml:space="preserve">using a Spring bean, you must provide a </w:t>
      </w:r>
      <w:r>
        <w:rPr>
          <w:rFonts w:ascii="MS Gothic"/>
          <w:color w:val="B02045"/>
          <w:w w:val="110"/>
        </w:rPr>
        <w:t xml:space="preserve">@Bean </w:t>
      </w:r>
      <w:r>
        <w:rPr>
          <w:color w:val="333333"/>
          <w:w w:val="110"/>
        </w:rPr>
        <w:t xml:space="preserve">definition for it. Doing so can be very useful when you </w:t>
      </w:r>
      <w:proofErr w:type="gramStart"/>
      <w:r>
        <w:rPr>
          <w:color w:val="333333"/>
          <w:w w:val="110"/>
        </w:rPr>
        <w:t>want  to</w:t>
      </w:r>
      <w:proofErr w:type="gramEnd"/>
      <w:r>
        <w:rPr>
          <w:color w:val="333333"/>
          <w:w w:val="110"/>
        </w:rPr>
        <w:t xml:space="preserve">  inject  configuration  or dependencies. However, you must be very careful that they do not cause eager initialization of too many other beans, because they have to be installed in the container very early in the application lifecycle. </w:t>
      </w:r>
      <w:r>
        <w:rPr>
          <w:color w:val="333333"/>
          <w:spacing w:val="-3"/>
          <w:w w:val="110"/>
        </w:rPr>
        <w:t xml:space="preserve">(For </w:t>
      </w:r>
      <w:r>
        <w:rPr>
          <w:color w:val="333333"/>
          <w:w w:val="110"/>
        </w:rPr>
        <w:t xml:space="preserve">example, it is not a good idea to have them depend on your </w:t>
      </w:r>
      <w:r>
        <w:rPr>
          <w:rFonts w:ascii="MS Gothic"/>
          <w:color w:val="B02045"/>
          <w:w w:val="110"/>
        </w:rPr>
        <w:t xml:space="preserve">DataSource </w:t>
      </w:r>
      <w:r>
        <w:rPr>
          <w:color w:val="333333"/>
          <w:w w:val="110"/>
        </w:rPr>
        <w:t xml:space="preserve">or </w:t>
      </w:r>
      <w:r>
        <w:rPr>
          <w:color w:val="333333"/>
          <w:spacing w:val="-4"/>
          <w:w w:val="110"/>
        </w:rPr>
        <w:t xml:space="preserve">JPA </w:t>
      </w:r>
      <w:r>
        <w:rPr>
          <w:color w:val="333333"/>
          <w:w w:val="110"/>
        </w:rPr>
        <w:t xml:space="preserve">configuration.) </w:t>
      </w:r>
      <w:r>
        <w:rPr>
          <w:color w:val="333333"/>
          <w:spacing w:val="-6"/>
          <w:w w:val="110"/>
        </w:rPr>
        <w:t xml:space="preserve">You </w:t>
      </w:r>
      <w:r>
        <w:rPr>
          <w:color w:val="333333"/>
          <w:w w:val="110"/>
        </w:rPr>
        <w:t xml:space="preserve">can work around such restrictions </w:t>
      </w:r>
      <w:r>
        <w:rPr>
          <w:color w:val="333333"/>
          <w:spacing w:val="-3"/>
          <w:w w:val="110"/>
        </w:rPr>
        <w:t xml:space="preserve">by </w:t>
      </w:r>
      <w:r>
        <w:rPr>
          <w:color w:val="333333"/>
          <w:w w:val="110"/>
        </w:rPr>
        <w:t xml:space="preserve">initializing the </w:t>
      </w:r>
      <w:proofErr w:type="gramStart"/>
      <w:r>
        <w:rPr>
          <w:color w:val="333333"/>
          <w:w w:val="110"/>
        </w:rPr>
        <w:t>beans  lazily</w:t>
      </w:r>
      <w:proofErr w:type="gramEnd"/>
      <w:r>
        <w:rPr>
          <w:color w:val="333333"/>
          <w:w w:val="110"/>
        </w:rPr>
        <w:t xml:space="preserve">  when  first used instead of on</w:t>
      </w:r>
      <w:r>
        <w:rPr>
          <w:color w:val="333333"/>
          <w:spacing w:val="12"/>
          <w:w w:val="110"/>
        </w:rPr>
        <w:t xml:space="preserve"> </w:t>
      </w:r>
      <w:r>
        <w:rPr>
          <w:color w:val="333333"/>
          <w:w w:val="110"/>
        </w:rPr>
        <w:t>initialization.</w:t>
      </w:r>
    </w:p>
    <w:p w14:paraId="63850797" w14:textId="77777777" w:rsidR="00A720EB" w:rsidRDefault="0030286B">
      <w:pPr>
        <w:pStyle w:val="a3"/>
        <w:spacing w:before="238"/>
        <w:ind w:left="124"/>
        <w:jc w:val="both"/>
      </w:pPr>
      <w:r>
        <w:rPr>
          <w:color w:val="333333"/>
          <w:w w:val="110"/>
        </w:rPr>
        <w:t>In</w:t>
      </w:r>
      <w:r>
        <w:rPr>
          <w:color w:val="333333"/>
          <w:spacing w:val="26"/>
          <w:w w:val="110"/>
        </w:rPr>
        <w:t xml:space="preserve"> </w:t>
      </w:r>
      <w:r>
        <w:rPr>
          <w:color w:val="333333"/>
          <w:w w:val="110"/>
        </w:rPr>
        <w:t>the</w:t>
      </w:r>
      <w:r>
        <w:rPr>
          <w:color w:val="333333"/>
          <w:spacing w:val="27"/>
          <w:w w:val="110"/>
        </w:rPr>
        <w:t xml:space="preserve"> </w:t>
      </w:r>
      <w:r>
        <w:rPr>
          <w:color w:val="333333"/>
          <w:w w:val="110"/>
        </w:rPr>
        <w:t>case</w:t>
      </w:r>
      <w:r>
        <w:rPr>
          <w:color w:val="333333"/>
          <w:spacing w:val="27"/>
          <w:w w:val="110"/>
        </w:rPr>
        <w:t xml:space="preserve"> </w:t>
      </w:r>
      <w:r>
        <w:rPr>
          <w:color w:val="333333"/>
          <w:w w:val="110"/>
        </w:rPr>
        <w:t>of</w:t>
      </w:r>
      <w:r>
        <w:rPr>
          <w:color w:val="333333"/>
          <w:spacing w:val="27"/>
          <w:w w:val="110"/>
        </w:rPr>
        <w:t xml:space="preserve"> </w:t>
      </w:r>
      <w:r>
        <w:rPr>
          <w:rFonts w:ascii="MS Gothic"/>
          <w:color w:val="B02045"/>
          <w:w w:val="110"/>
        </w:rPr>
        <w:t>Filters</w:t>
      </w:r>
      <w:r>
        <w:rPr>
          <w:rFonts w:ascii="MS Gothic"/>
          <w:color w:val="B02045"/>
          <w:spacing w:val="-38"/>
          <w:w w:val="110"/>
        </w:rPr>
        <w:t xml:space="preserve"> </w:t>
      </w:r>
      <w:r>
        <w:rPr>
          <w:color w:val="333333"/>
          <w:w w:val="110"/>
        </w:rPr>
        <w:t>and</w:t>
      </w:r>
      <w:r>
        <w:rPr>
          <w:color w:val="333333"/>
          <w:spacing w:val="27"/>
          <w:w w:val="110"/>
        </w:rPr>
        <w:t xml:space="preserve"> </w:t>
      </w:r>
      <w:r>
        <w:rPr>
          <w:rFonts w:ascii="MS Gothic"/>
          <w:color w:val="B02045"/>
          <w:w w:val="110"/>
        </w:rPr>
        <w:t>Servlets</w:t>
      </w:r>
      <w:r>
        <w:rPr>
          <w:color w:val="333333"/>
          <w:w w:val="110"/>
        </w:rPr>
        <w:t>,</w:t>
      </w:r>
      <w:r>
        <w:rPr>
          <w:color w:val="333333"/>
          <w:spacing w:val="27"/>
          <w:w w:val="110"/>
        </w:rPr>
        <w:t xml:space="preserve"> </w:t>
      </w:r>
      <w:r>
        <w:rPr>
          <w:color w:val="333333"/>
          <w:w w:val="110"/>
        </w:rPr>
        <w:t>you</w:t>
      </w:r>
      <w:r>
        <w:rPr>
          <w:color w:val="333333"/>
          <w:spacing w:val="27"/>
          <w:w w:val="110"/>
        </w:rPr>
        <w:t xml:space="preserve"> </w:t>
      </w:r>
      <w:r>
        <w:rPr>
          <w:color w:val="333333"/>
          <w:w w:val="110"/>
        </w:rPr>
        <w:t>can</w:t>
      </w:r>
      <w:r>
        <w:rPr>
          <w:color w:val="333333"/>
          <w:spacing w:val="27"/>
          <w:w w:val="110"/>
        </w:rPr>
        <w:t xml:space="preserve"> </w:t>
      </w:r>
      <w:r>
        <w:rPr>
          <w:color w:val="333333"/>
          <w:w w:val="110"/>
        </w:rPr>
        <w:t>also</w:t>
      </w:r>
      <w:r>
        <w:rPr>
          <w:color w:val="333333"/>
          <w:spacing w:val="26"/>
          <w:w w:val="110"/>
        </w:rPr>
        <w:t xml:space="preserve"> </w:t>
      </w:r>
      <w:r>
        <w:rPr>
          <w:color w:val="333333"/>
          <w:w w:val="110"/>
        </w:rPr>
        <w:t>add</w:t>
      </w:r>
      <w:r>
        <w:rPr>
          <w:color w:val="333333"/>
          <w:spacing w:val="26"/>
          <w:w w:val="110"/>
        </w:rPr>
        <w:t xml:space="preserve"> </w:t>
      </w:r>
      <w:r>
        <w:rPr>
          <w:color w:val="333333"/>
          <w:w w:val="110"/>
        </w:rPr>
        <w:t>mappings</w:t>
      </w:r>
      <w:r>
        <w:rPr>
          <w:color w:val="333333"/>
          <w:spacing w:val="27"/>
          <w:w w:val="110"/>
        </w:rPr>
        <w:t xml:space="preserve"> </w:t>
      </w:r>
      <w:r>
        <w:rPr>
          <w:color w:val="333333"/>
          <w:w w:val="110"/>
        </w:rPr>
        <w:t>and</w:t>
      </w:r>
      <w:r>
        <w:rPr>
          <w:color w:val="333333"/>
          <w:spacing w:val="26"/>
          <w:w w:val="110"/>
        </w:rPr>
        <w:t xml:space="preserve"> </w:t>
      </w:r>
      <w:r>
        <w:rPr>
          <w:color w:val="333333"/>
          <w:w w:val="110"/>
        </w:rPr>
        <w:t>init</w:t>
      </w:r>
      <w:r>
        <w:rPr>
          <w:color w:val="333333"/>
          <w:spacing w:val="27"/>
          <w:w w:val="110"/>
        </w:rPr>
        <w:t xml:space="preserve"> </w:t>
      </w:r>
      <w:r>
        <w:rPr>
          <w:color w:val="333333"/>
          <w:w w:val="110"/>
        </w:rPr>
        <w:t>parameters</w:t>
      </w:r>
      <w:r>
        <w:rPr>
          <w:color w:val="333333"/>
          <w:spacing w:val="26"/>
          <w:w w:val="110"/>
        </w:rPr>
        <w:t xml:space="preserve"> </w:t>
      </w:r>
      <w:r>
        <w:rPr>
          <w:color w:val="333333"/>
          <w:spacing w:val="-3"/>
          <w:w w:val="110"/>
        </w:rPr>
        <w:t>by</w:t>
      </w:r>
      <w:r>
        <w:rPr>
          <w:color w:val="333333"/>
          <w:spacing w:val="27"/>
          <w:w w:val="110"/>
        </w:rPr>
        <w:t xml:space="preserve"> </w:t>
      </w:r>
      <w:r>
        <w:rPr>
          <w:color w:val="333333"/>
          <w:w w:val="110"/>
        </w:rPr>
        <w:t>adding</w:t>
      </w:r>
      <w:r>
        <w:rPr>
          <w:color w:val="333333"/>
          <w:spacing w:val="26"/>
          <w:w w:val="110"/>
        </w:rPr>
        <w:t xml:space="preserve"> </w:t>
      </w:r>
      <w:r>
        <w:rPr>
          <w:color w:val="333333"/>
          <w:w w:val="110"/>
        </w:rPr>
        <w:t>a</w:t>
      </w:r>
    </w:p>
    <w:p w14:paraId="0181064C" w14:textId="77777777" w:rsidR="00A720EB" w:rsidRDefault="0030286B">
      <w:pPr>
        <w:pStyle w:val="a3"/>
        <w:spacing w:before="46"/>
        <w:ind w:left="124"/>
        <w:jc w:val="both"/>
      </w:pPr>
      <w:r>
        <w:rPr>
          <w:rFonts w:ascii="MS Gothic"/>
          <w:color w:val="B02045"/>
          <w:w w:val="110"/>
        </w:rPr>
        <w:t xml:space="preserve">FilterRegistrationBean </w:t>
      </w:r>
      <w:r>
        <w:rPr>
          <w:color w:val="333333"/>
          <w:w w:val="110"/>
        </w:rPr>
        <w:t xml:space="preserve">or a </w:t>
      </w:r>
      <w:r>
        <w:rPr>
          <w:rFonts w:ascii="MS Gothic"/>
          <w:color w:val="B02045"/>
          <w:w w:val="110"/>
        </w:rPr>
        <w:t xml:space="preserve">ServletRegistrationBean </w:t>
      </w:r>
      <w:r>
        <w:rPr>
          <w:color w:val="333333"/>
          <w:w w:val="110"/>
        </w:rPr>
        <w:t>instead of or in addition to the</w:t>
      </w:r>
      <w:r>
        <w:rPr>
          <w:color w:val="333333"/>
          <w:spacing w:val="-28"/>
          <w:w w:val="110"/>
        </w:rPr>
        <w:t xml:space="preserve"> </w:t>
      </w:r>
      <w:r>
        <w:rPr>
          <w:color w:val="333333"/>
          <w:w w:val="110"/>
        </w:rPr>
        <w:t>underlying</w:t>
      </w:r>
    </w:p>
    <w:p w14:paraId="4DDB4E4D" w14:textId="77777777" w:rsidR="00A720EB" w:rsidRDefault="00A720EB">
      <w:pPr>
        <w:jc w:val="both"/>
        <w:sectPr w:rsidR="00A720EB">
          <w:pgSz w:w="11910" w:h="16840"/>
          <w:pgMar w:top="700" w:right="840" w:bottom="520" w:left="840" w:header="0" w:footer="323" w:gutter="0"/>
          <w:cols w:space="720"/>
        </w:sectPr>
      </w:pPr>
    </w:p>
    <w:p w14:paraId="7157BEC1" w14:textId="77777777" w:rsidR="00A720EB" w:rsidRDefault="0030286B">
      <w:pPr>
        <w:pStyle w:val="a3"/>
        <w:spacing w:before="107"/>
        <w:ind w:left="124"/>
      </w:pPr>
      <w:r>
        <w:rPr>
          <w:color w:val="333333"/>
          <w:w w:val="110"/>
        </w:rPr>
        <w:lastRenderedPageBreak/>
        <w:t>component.</w:t>
      </w:r>
    </w:p>
    <w:p w14:paraId="4E3DF52A" w14:textId="77777777" w:rsidR="00A720EB" w:rsidRDefault="00A720EB">
      <w:pPr>
        <w:pStyle w:val="a3"/>
        <w:rPr>
          <w:sz w:val="20"/>
        </w:rPr>
      </w:pPr>
    </w:p>
    <w:p w14:paraId="39F31A42" w14:textId="77777777" w:rsidR="00A720EB" w:rsidRDefault="0030286B">
      <w:pPr>
        <w:pStyle w:val="a3"/>
        <w:spacing w:before="4"/>
        <w:rPr>
          <w:sz w:val="13"/>
        </w:rPr>
      </w:pPr>
      <w:r>
        <w:rPr>
          <w:noProof/>
        </w:rPr>
        <w:drawing>
          <wp:anchor distT="0" distB="0" distL="0" distR="0" simplePos="0" relativeHeight="1222" behindDoc="0" locked="0" layoutInCell="1" allowOverlap="1" wp14:anchorId="6B2B1159" wp14:editId="6E457D03">
            <wp:simplePos x="0" y="0"/>
            <wp:positionH relativeFrom="page">
              <wp:posOffset>844422</wp:posOffset>
            </wp:positionH>
            <wp:positionV relativeFrom="paragraph">
              <wp:posOffset>124289</wp:posOffset>
            </wp:positionV>
            <wp:extent cx="295465" cy="295465"/>
            <wp:effectExtent l="0" t="0" r="0" b="0"/>
            <wp:wrapTopAndBottom/>
            <wp:docPr id="7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1.png"/>
                    <pic:cNvPicPr/>
                  </pic:nvPicPr>
                  <pic:blipFill>
                    <a:blip r:embed="rId24" cstate="print"/>
                    <a:stretch>
                      <a:fillRect/>
                    </a:stretch>
                  </pic:blipFill>
                  <pic:spPr>
                    <a:xfrm>
                      <a:off x="0" y="0"/>
                      <a:ext cx="295465" cy="295465"/>
                    </a:xfrm>
                    <a:prstGeom prst="rect">
                      <a:avLst/>
                    </a:prstGeom>
                  </pic:spPr>
                </pic:pic>
              </a:graphicData>
            </a:graphic>
          </wp:anchor>
        </w:drawing>
      </w:r>
    </w:p>
    <w:p w14:paraId="3E433330" w14:textId="77777777" w:rsidR="00A720EB" w:rsidRDefault="0030286B">
      <w:pPr>
        <w:pStyle w:val="a3"/>
        <w:rPr>
          <w:sz w:val="28"/>
        </w:rPr>
      </w:pPr>
      <w:r>
        <w:br w:type="column"/>
      </w:r>
    </w:p>
    <w:p w14:paraId="330F90C7" w14:textId="77777777" w:rsidR="00A720EB" w:rsidRDefault="00A720EB">
      <w:pPr>
        <w:pStyle w:val="a3"/>
        <w:spacing w:before="5"/>
        <w:rPr>
          <w:sz w:val="34"/>
        </w:rPr>
      </w:pPr>
    </w:p>
    <w:p w14:paraId="7732020C" w14:textId="77777777" w:rsidR="00A720EB" w:rsidRDefault="00E10349">
      <w:pPr>
        <w:pStyle w:val="a3"/>
        <w:spacing w:line="290" w:lineRule="auto"/>
        <w:ind w:left="124"/>
      </w:pPr>
      <w:r>
        <w:pict w14:anchorId="7AD9DBB1">
          <v:line id="_x0000_s1553" style="position:absolute;left:0;text-align:left;z-index:16355840;mso-position-horizontal-relative:page" from="108.25pt,-5.45pt" to="108.25pt,34.1pt" strokecolor="#ededed" strokeweight=".5pt">
            <w10:wrap anchorx="page"/>
          </v:line>
        </w:pict>
      </w:r>
      <w:r w:rsidR="0030286B">
        <w:rPr>
          <w:color w:val="333333"/>
          <w:w w:val="110"/>
        </w:rPr>
        <w:t xml:space="preserve">If no </w:t>
      </w:r>
      <w:r w:rsidR="0030286B">
        <w:rPr>
          <w:rFonts w:ascii="MS Gothic" w:hAnsi="MS Gothic"/>
          <w:color w:val="B02045"/>
          <w:w w:val="110"/>
        </w:rPr>
        <w:t>dispatcherType</w:t>
      </w:r>
      <w:r w:rsidR="0030286B">
        <w:rPr>
          <w:rFonts w:ascii="MS Gothic" w:hAnsi="MS Gothic"/>
          <w:color w:val="B02045"/>
          <w:spacing w:val="-65"/>
          <w:w w:val="110"/>
        </w:rPr>
        <w:t xml:space="preserve"> </w:t>
      </w:r>
      <w:r w:rsidR="0030286B">
        <w:rPr>
          <w:color w:val="333333"/>
          <w:w w:val="110"/>
        </w:rPr>
        <w:t xml:space="preserve">is specified on a filter registration, </w:t>
      </w:r>
      <w:r w:rsidR="0030286B">
        <w:rPr>
          <w:rFonts w:ascii="MS Gothic" w:hAnsi="MS Gothic"/>
          <w:color w:val="B02045"/>
          <w:w w:val="110"/>
        </w:rPr>
        <w:t>REQUEST</w:t>
      </w:r>
      <w:r w:rsidR="0030286B">
        <w:rPr>
          <w:rFonts w:ascii="MS Gothic" w:hAnsi="MS Gothic"/>
          <w:color w:val="B02045"/>
          <w:spacing w:val="-66"/>
          <w:w w:val="110"/>
        </w:rPr>
        <w:t xml:space="preserve"> </w:t>
      </w:r>
      <w:r w:rsidR="0030286B">
        <w:rPr>
          <w:color w:val="333333"/>
          <w:w w:val="110"/>
        </w:rPr>
        <w:t>is used. This aligns with the Servlet Specification’s default dispatcher type.</w:t>
      </w:r>
    </w:p>
    <w:p w14:paraId="54858BCE" w14:textId="77777777" w:rsidR="00A720EB" w:rsidRDefault="00A720EB">
      <w:pPr>
        <w:spacing w:line="290" w:lineRule="auto"/>
        <w:sectPr w:rsidR="00A720EB">
          <w:pgSz w:w="11910" w:h="16840"/>
          <w:pgMar w:top="620" w:right="840" w:bottom="520" w:left="840" w:header="0" w:footer="323" w:gutter="0"/>
          <w:cols w:num="2" w:space="720" w:equalWidth="0">
            <w:col w:w="1348" w:space="92"/>
            <w:col w:w="8790"/>
          </w:cols>
        </w:sectPr>
      </w:pPr>
    </w:p>
    <w:p w14:paraId="22514B02" w14:textId="77777777" w:rsidR="00A720EB" w:rsidRDefault="00A720EB">
      <w:pPr>
        <w:pStyle w:val="a3"/>
        <w:spacing w:before="2"/>
        <w:rPr>
          <w:sz w:val="18"/>
        </w:rPr>
      </w:pPr>
    </w:p>
    <w:p w14:paraId="23B75828" w14:textId="77777777" w:rsidR="00A720EB" w:rsidRDefault="0030286B">
      <w:pPr>
        <w:pStyle w:val="a3"/>
        <w:spacing w:before="125" w:line="307" w:lineRule="auto"/>
        <w:ind w:left="124" w:right="133"/>
        <w:jc w:val="both"/>
      </w:pPr>
      <w:r>
        <w:rPr>
          <w:color w:val="333333"/>
          <w:w w:val="110"/>
        </w:rPr>
        <w:t>Like any other Spring bean, you can define the order of Servlet filter beans; please make sure to check the “</w:t>
      </w:r>
      <w:hyperlink w:anchor="_bookmark174" w:history="1">
        <w:r>
          <w:rPr>
            <w:color w:val="418BCA"/>
            <w:w w:val="110"/>
          </w:rPr>
          <w:t>Registering Servlets, Filters, and Listeners as Spring Beans</w:t>
        </w:r>
      </w:hyperlink>
      <w:r>
        <w:rPr>
          <w:color w:val="333333"/>
          <w:w w:val="110"/>
        </w:rPr>
        <w:t>”</w:t>
      </w:r>
      <w:r>
        <w:rPr>
          <w:color w:val="333333"/>
          <w:spacing w:val="33"/>
          <w:w w:val="110"/>
        </w:rPr>
        <w:t xml:space="preserve"> </w:t>
      </w:r>
      <w:r>
        <w:rPr>
          <w:color w:val="333333"/>
          <w:w w:val="110"/>
        </w:rPr>
        <w:t>section.</w:t>
      </w:r>
    </w:p>
    <w:p w14:paraId="4BBDB47F" w14:textId="77777777" w:rsidR="00A720EB" w:rsidRDefault="00A720EB">
      <w:pPr>
        <w:pStyle w:val="a3"/>
        <w:spacing w:before="7"/>
        <w:rPr>
          <w:sz w:val="25"/>
        </w:rPr>
      </w:pPr>
    </w:p>
    <w:p w14:paraId="47C24E4B" w14:textId="77777777" w:rsidR="00A720EB" w:rsidRDefault="0030286B">
      <w:pPr>
        <w:ind w:left="124"/>
        <w:jc w:val="both"/>
        <w:rPr>
          <w:rFonts w:ascii="Palatino Linotype"/>
          <w:b/>
          <w:sz w:val="18"/>
        </w:rPr>
      </w:pPr>
      <w:r>
        <w:rPr>
          <w:rFonts w:ascii="Palatino Linotype"/>
          <w:b/>
          <w:color w:val="333333"/>
          <w:w w:val="110"/>
          <w:sz w:val="18"/>
        </w:rPr>
        <w:t>Disable Registration of a Servlet or Filter</w:t>
      </w:r>
    </w:p>
    <w:p w14:paraId="04426B24" w14:textId="77777777" w:rsidR="00A720EB" w:rsidRDefault="00A720EB">
      <w:pPr>
        <w:pStyle w:val="a3"/>
        <w:spacing w:before="1"/>
        <w:rPr>
          <w:rFonts w:ascii="Palatino Linotype"/>
          <w:b/>
          <w:sz w:val="18"/>
        </w:rPr>
      </w:pPr>
    </w:p>
    <w:p w14:paraId="0314FA08" w14:textId="77777777" w:rsidR="00A720EB" w:rsidRDefault="0030286B">
      <w:pPr>
        <w:pStyle w:val="a3"/>
        <w:spacing w:before="1" w:line="285" w:lineRule="auto"/>
        <w:ind w:left="124" w:right="124"/>
        <w:jc w:val="both"/>
      </w:pPr>
      <w:r>
        <w:rPr>
          <w:color w:val="333333"/>
          <w:w w:val="110"/>
        </w:rPr>
        <w:t xml:space="preserve">As </w:t>
      </w:r>
      <w:hyperlink w:anchor="_bookmark558" w:history="1">
        <w:r>
          <w:rPr>
            <w:color w:val="418BCA"/>
            <w:w w:val="110"/>
          </w:rPr>
          <w:t>described earlier</w:t>
        </w:r>
      </w:hyperlink>
      <w:r>
        <w:rPr>
          <w:color w:val="333333"/>
          <w:w w:val="110"/>
        </w:rPr>
        <w:t xml:space="preserve">, any </w:t>
      </w:r>
      <w:r>
        <w:rPr>
          <w:rFonts w:ascii="MS Gothic"/>
          <w:color w:val="B02045"/>
          <w:w w:val="110"/>
        </w:rPr>
        <w:t xml:space="preserve">Servlet </w:t>
      </w:r>
      <w:r>
        <w:rPr>
          <w:color w:val="333333"/>
          <w:w w:val="110"/>
        </w:rPr>
        <w:t xml:space="preserve">or </w:t>
      </w:r>
      <w:r>
        <w:rPr>
          <w:rFonts w:ascii="MS Gothic"/>
          <w:color w:val="B02045"/>
          <w:w w:val="110"/>
        </w:rPr>
        <w:t xml:space="preserve">Filter </w:t>
      </w:r>
      <w:r>
        <w:rPr>
          <w:color w:val="333333"/>
          <w:w w:val="110"/>
        </w:rPr>
        <w:t xml:space="preserve">beans are registered with the servlet container automatically. To disable registration of a particular </w:t>
      </w:r>
      <w:r>
        <w:rPr>
          <w:rFonts w:ascii="MS Gothic"/>
          <w:color w:val="B02045"/>
          <w:w w:val="110"/>
        </w:rPr>
        <w:t xml:space="preserve">Filter </w:t>
      </w:r>
      <w:r>
        <w:rPr>
          <w:color w:val="333333"/>
          <w:w w:val="110"/>
        </w:rPr>
        <w:t xml:space="preserve">or </w:t>
      </w:r>
      <w:r>
        <w:rPr>
          <w:rFonts w:ascii="MS Gothic"/>
          <w:color w:val="B02045"/>
          <w:w w:val="110"/>
        </w:rPr>
        <w:t xml:space="preserve">Servlet </w:t>
      </w:r>
      <w:r>
        <w:rPr>
          <w:color w:val="333333"/>
          <w:w w:val="110"/>
        </w:rPr>
        <w:t>bean, create a registration bean for it and mark it as disabled, as shown in the following example:</w:t>
      </w:r>
    </w:p>
    <w:p w14:paraId="56C8AFFD" w14:textId="77777777" w:rsidR="00A720EB" w:rsidRDefault="00E10349">
      <w:pPr>
        <w:pStyle w:val="a3"/>
        <w:spacing w:before="1"/>
        <w:rPr>
          <w:sz w:val="15"/>
        </w:rPr>
      </w:pPr>
      <w:r>
        <w:pict w14:anchorId="12CDFC08">
          <v:group id="_x0000_s1549" style="position:absolute;margin-left:47.85pt;margin-top:10.85pt;width:499.55pt;height:111.2pt;z-index:-15102464;mso-wrap-distance-left:0;mso-wrap-distance-right:0;mso-position-horizontal-relative:page" coordorigin="957,217" coordsize="9991,2224">
            <v:shape id="_x0000_s1552" style="position:absolute;left:964;top:224;width:9976;height:2209" coordorigin="965,224" coordsize="9976,2209" path="m10861,224r-9816,l1014,230r-26,17l971,273r-6,31l965,2353r6,31l988,2409r26,18l1045,2433r9816,l10892,2427r25,-18l10935,2384r6,-31l10941,304r-6,-31l10917,247r-25,-17l10861,224xe" fillcolor="#f5f5f5" stroked="f">
              <v:path arrowok="t"/>
            </v:shape>
            <v:shape id="_x0000_s1551" style="position:absolute;left:964;top:224;width:9976;height:2209" coordorigin="965,224" coordsize="9976,2209" path="m1045,224r9816,l10892,230r25,17l10935,273r6,31l10941,2353r-6,31l10917,2409r-25,18l10861,2433r-9816,l1014,2427r-26,-18l971,2384r-6,-31l965,304r6,-31l988,247r26,-17l1045,224xe" filled="f" strokecolor="#ccc">
              <v:path arrowok="t"/>
            </v:shape>
            <v:shape id="_x0000_s1550" type="#_x0000_t202" style="position:absolute;left:984;top:239;width:9938;height:2178" filled="f" stroked="f">
              <v:textbox inset="0,0,0,0">
                <w:txbxContent>
                  <w:p w14:paraId="2BC08DAA" w14:textId="77777777" w:rsidR="00711A16" w:rsidRDefault="00711A16">
                    <w:pPr>
                      <w:spacing w:before="221"/>
                      <w:ind w:left="200"/>
                      <w:rPr>
                        <w:rFonts w:ascii="MS Gothic"/>
                      </w:rPr>
                    </w:pPr>
                    <w:r>
                      <w:rPr>
                        <w:rFonts w:ascii="MS Gothic"/>
                        <w:color w:val="333333"/>
                      </w:rPr>
                      <w:t>@Bean</w:t>
                    </w:r>
                  </w:p>
                  <w:p w14:paraId="150780FC" w14:textId="77777777" w:rsidR="00711A16" w:rsidRDefault="00711A16">
                    <w:pPr>
                      <w:spacing w:before="13" w:line="252" w:lineRule="auto"/>
                      <w:ind w:left="640" w:right="1248" w:hanging="440"/>
                      <w:rPr>
                        <w:rFonts w:ascii="MS Gothic"/>
                      </w:rPr>
                    </w:pPr>
                    <w:r>
                      <w:rPr>
                        <w:rFonts w:ascii="MS Gothic"/>
                        <w:color w:val="333333"/>
                      </w:rPr>
                      <w:t xml:space="preserve">public FilterRegistrationBean </w:t>
                    </w:r>
                    <w:proofErr w:type="gramStart"/>
                    <w:r>
                      <w:rPr>
                        <w:rFonts w:ascii="MS Gothic"/>
                        <w:color w:val="333333"/>
                      </w:rPr>
                      <w:t>registration(</w:t>
                    </w:r>
                    <w:proofErr w:type="gramEnd"/>
                    <w:r>
                      <w:rPr>
                        <w:rFonts w:ascii="MS Gothic"/>
                        <w:color w:val="333333"/>
                      </w:rPr>
                      <w:t>MyFilter filter) { FilterRegistrationBean registration = new FilterRegistrationBean(filter); registration.setEnabled(false);</w:t>
                    </w:r>
                  </w:p>
                  <w:p w14:paraId="5BEC0F4C" w14:textId="77777777" w:rsidR="00711A16" w:rsidRDefault="00711A16">
                    <w:pPr>
                      <w:spacing w:line="278" w:lineRule="exact"/>
                      <w:ind w:left="640"/>
                      <w:rPr>
                        <w:rFonts w:ascii="MS Gothic"/>
                      </w:rPr>
                    </w:pPr>
                    <w:r>
                      <w:rPr>
                        <w:rFonts w:ascii="MS Gothic"/>
                        <w:color w:val="333333"/>
                      </w:rPr>
                      <w:t>return registration;</w:t>
                    </w:r>
                  </w:p>
                  <w:p w14:paraId="0A13C8F4"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6C1467C2" w14:textId="77777777" w:rsidR="00A720EB" w:rsidRDefault="00A720EB">
      <w:pPr>
        <w:pStyle w:val="a3"/>
        <w:spacing w:before="11"/>
        <w:rPr>
          <w:sz w:val="16"/>
        </w:rPr>
      </w:pPr>
    </w:p>
    <w:p w14:paraId="65DD6F11" w14:textId="77777777" w:rsidR="00A720EB" w:rsidRDefault="0030286B">
      <w:pPr>
        <w:pStyle w:val="4"/>
        <w:spacing w:before="104"/>
      </w:pPr>
      <w:bookmarkStart w:id="837" w:name="Add_Servlets,_Filters,_and_Listeners_by_"/>
      <w:bookmarkEnd w:id="837"/>
      <w:r>
        <w:rPr>
          <w:color w:val="333333"/>
          <w:w w:val="110"/>
        </w:rPr>
        <w:t>Add Servlets, Filters, and Listeners by Using Classpath Scanning</w:t>
      </w:r>
    </w:p>
    <w:p w14:paraId="7AFAC719" w14:textId="77777777" w:rsidR="00A720EB" w:rsidRDefault="0030286B">
      <w:pPr>
        <w:pStyle w:val="a3"/>
        <w:spacing w:before="244" w:line="290" w:lineRule="auto"/>
        <w:ind w:left="124" w:right="123"/>
        <w:jc w:val="both"/>
      </w:pPr>
      <w:r>
        <w:rPr>
          <w:rFonts w:ascii="MS Gothic"/>
          <w:color w:val="B02045"/>
          <w:w w:val="110"/>
        </w:rPr>
        <w:t>@WebServlet</w:t>
      </w:r>
      <w:r>
        <w:rPr>
          <w:color w:val="333333"/>
          <w:w w:val="110"/>
        </w:rPr>
        <w:t>,</w:t>
      </w:r>
      <w:r>
        <w:rPr>
          <w:color w:val="333333"/>
          <w:spacing w:val="-19"/>
          <w:w w:val="110"/>
        </w:rPr>
        <w:t xml:space="preserve"> </w:t>
      </w:r>
      <w:r>
        <w:rPr>
          <w:rFonts w:ascii="MS Gothic"/>
          <w:color w:val="B02045"/>
          <w:w w:val="110"/>
        </w:rPr>
        <w:t>@WebFilter</w:t>
      </w:r>
      <w:r>
        <w:rPr>
          <w:color w:val="333333"/>
          <w:w w:val="110"/>
        </w:rPr>
        <w:t>,</w:t>
      </w:r>
      <w:r>
        <w:rPr>
          <w:color w:val="333333"/>
          <w:spacing w:val="-18"/>
          <w:w w:val="110"/>
        </w:rPr>
        <w:t xml:space="preserve"> </w:t>
      </w:r>
      <w:r>
        <w:rPr>
          <w:color w:val="333333"/>
          <w:w w:val="110"/>
        </w:rPr>
        <w:t>and</w:t>
      </w:r>
      <w:r>
        <w:rPr>
          <w:color w:val="333333"/>
          <w:spacing w:val="-19"/>
          <w:w w:val="110"/>
        </w:rPr>
        <w:t xml:space="preserve"> </w:t>
      </w:r>
      <w:r>
        <w:rPr>
          <w:rFonts w:ascii="MS Gothic"/>
          <w:color w:val="B02045"/>
          <w:w w:val="110"/>
        </w:rPr>
        <w:t>@WebListener</w:t>
      </w:r>
      <w:r>
        <w:rPr>
          <w:rFonts w:ascii="MS Gothic"/>
          <w:color w:val="B02045"/>
          <w:spacing w:val="-83"/>
          <w:w w:val="110"/>
        </w:rPr>
        <w:t xml:space="preserve"> </w:t>
      </w:r>
      <w:r>
        <w:rPr>
          <w:color w:val="333333"/>
          <w:w w:val="110"/>
        </w:rPr>
        <w:t>annotated</w:t>
      </w:r>
      <w:r>
        <w:rPr>
          <w:color w:val="333333"/>
          <w:spacing w:val="-19"/>
          <w:w w:val="110"/>
        </w:rPr>
        <w:t xml:space="preserve"> </w:t>
      </w:r>
      <w:r>
        <w:rPr>
          <w:color w:val="333333"/>
          <w:w w:val="110"/>
        </w:rPr>
        <w:t>classes</w:t>
      </w:r>
      <w:r>
        <w:rPr>
          <w:color w:val="333333"/>
          <w:spacing w:val="-18"/>
          <w:w w:val="110"/>
        </w:rPr>
        <w:t xml:space="preserve"> </w:t>
      </w:r>
      <w:r>
        <w:rPr>
          <w:color w:val="333333"/>
          <w:w w:val="110"/>
        </w:rPr>
        <w:t>can</w:t>
      </w:r>
      <w:r>
        <w:rPr>
          <w:color w:val="333333"/>
          <w:spacing w:val="-19"/>
          <w:w w:val="110"/>
        </w:rPr>
        <w:t xml:space="preserve"> </w:t>
      </w:r>
      <w:r>
        <w:rPr>
          <w:color w:val="333333"/>
          <w:w w:val="110"/>
        </w:rPr>
        <w:t>be</w:t>
      </w:r>
      <w:r>
        <w:rPr>
          <w:color w:val="333333"/>
          <w:spacing w:val="-19"/>
          <w:w w:val="110"/>
        </w:rPr>
        <w:t xml:space="preserve"> </w:t>
      </w:r>
      <w:r>
        <w:rPr>
          <w:color w:val="333333"/>
          <w:w w:val="110"/>
        </w:rPr>
        <w:t>automatically</w:t>
      </w:r>
      <w:r>
        <w:rPr>
          <w:color w:val="333333"/>
          <w:spacing w:val="-19"/>
          <w:w w:val="110"/>
        </w:rPr>
        <w:t xml:space="preserve"> </w:t>
      </w:r>
      <w:r>
        <w:rPr>
          <w:color w:val="333333"/>
          <w:w w:val="110"/>
        </w:rPr>
        <w:t>registered</w:t>
      </w:r>
      <w:r>
        <w:rPr>
          <w:color w:val="333333"/>
          <w:spacing w:val="-18"/>
          <w:w w:val="110"/>
        </w:rPr>
        <w:t xml:space="preserve"> </w:t>
      </w:r>
      <w:r>
        <w:rPr>
          <w:color w:val="333333"/>
          <w:w w:val="110"/>
        </w:rPr>
        <w:t>with</w:t>
      </w:r>
      <w:r>
        <w:rPr>
          <w:color w:val="333333"/>
          <w:spacing w:val="-19"/>
          <w:w w:val="110"/>
        </w:rPr>
        <w:t xml:space="preserve"> </w:t>
      </w:r>
      <w:r>
        <w:rPr>
          <w:color w:val="333333"/>
          <w:w w:val="110"/>
        </w:rPr>
        <w:t>an embedded</w:t>
      </w:r>
      <w:r>
        <w:rPr>
          <w:color w:val="333333"/>
          <w:spacing w:val="2"/>
          <w:w w:val="110"/>
        </w:rPr>
        <w:t xml:space="preserve"> </w:t>
      </w:r>
      <w:r>
        <w:rPr>
          <w:color w:val="333333"/>
          <w:w w:val="110"/>
        </w:rPr>
        <w:t>servlet</w:t>
      </w:r>
      <w:r>
        <w:rPr>
          <w:color w:val="333333"/>
          <w:spacing w:val="2"/>
          <w:w w:val="110"/>
        </w:rPr>
        <w:t xml:space="preserve"> </w:t>
      </w:r>
      <w:r>
        <w:rPr>
          <w:color w:val="333333"/>
          <w:w w:val="110"/>
        </w:rPr>
        <w:t>container</w:t>
      </w:r>
      <w:r>
        <w:rPr>
          <w:color w:val="333333"/>
          <w:spacing w:val="2"/>
          <w:w w:val="110"/>
        </w:rPr>
        <w:t xml:space="preserve"> </w:t>
      </w:r>
      <w:r>
        <w:rPr>
          <w:color w:val="333333"/>
          <w:spacing w:val="-3"/>
          <w:w w:val="110"/>
        </w:rPr>
        <w:t>by</w:t>
      </w:r>
      <w:r>
        <w:rPr>
          <w:color w:val="333333"/>
          <w:spacing w:val="2"/>
          <w:w w:val="110"/>
        </w:rPr>
        <w:t xml:space="preserve"> </w:t>
      </w:r>
      <w:r>
        <w:rPr>
          <w:color w:val="333333"/>
          <w:w w:val="110"/>
        </w:rPr>
        <w:t>annotating</w:t>
      </w:r>
      <w:r>
        <w:rPr>
          <w:color w:val="333333"/>
          <w:spacing w:val="3"/>
          <w:w w:val="110"/>
        </w:rPr>
        <w:t xml:space="preserve"> </w:t>
      </w:r>
      <w:r>
        <w:rPr>
          <w:color w:val="333333"/>
          <w:w w:val="110"/>
        </w:rPr>
        <w:t>a</w:t>
      </w:r>
      <w:r>
        <w:rPr>
          <w:color w:val="333333"/>
          <w:spacing w:val="4"/>
          <w:w w:val="110"/>
        </w:rPr>
        <w:t xml:space="preserve"> </w:t>
      </w:r>
      <w:r>
        <w:rPr>
          <w:rFonts w:ascii="MS Gothic"/>
          <w:color w:val="B02045"/>
          <w:w w:val="110"/>
        </w:rPr>
        <w:t>@Configuration</w:t>
      </w:r>
      <w:r>
        <w:rPr>
          <w:rFonts w:ascii="MS Gothic"/>
          <w:color w:val="B02045"/>
          <w:spacing w:val="-62"/>
          <w:w w:val="110"/>
        </w:rPr>
        <w:t xml:space="preserve"> </w:t>
      </w:r>
      <w:r>
        <w:rPr>
          <w:color w:val="333333"/>
          <w:w w:val="110"/>
        </w:rPr>
        <w:t>class</w:t>
      </w:r>
      <w:r>
        <w:rPr>
          <w:color w:val="333333"/>
          <w:spacing w:val="3"/>
          <w:w w:val="110"/>
        </w:rPr>
        <w:t xml:space="preserve"> </w:t>
      </w:r>
      <w:r>
        <w:rPr>
          <w:color w:val="333333"/>
          <w:w w:val="110"/>
        </w:rPr>
        <w:t>with</w:t>
      </w:r>
      <w:r>
        <w:rPr>
          <w:color w:val="333333"/>
          <w:spacing w:val="2"/>
          <w:w w:val="110"/>
        </w:rPr>
        <w:t xml:space="preserve"> </w:t>
      </w:r>
      <w:r>
        <w:rPr>
          <w:rFonts w:ascii="MS Gothic"/>
          <w:color w:val="B02045"/>
          <w:w w:val="110"/>
        </w:rPr>
        <w:t>@ServletComponentScan</w:t>
      </w:r>
      <w:r>
        <w:rPr>
          <w:rFonts w:ascii="MS Gothic"/>
          <w:color w:val="B02045"/>
          <w:spacing w:val="-62"/>
          <w:w w:val="110"/>
        </w:rPr>
        <w:t xml:space="preserve"> </w:t>
      </w:r>
      <w:r>
        <w:rPr>
          <w:color w:val="333333"/>
          <w:w w:val="110"/>
        </w:rPr>
        <w:t xml:space="preserve">and specifying the package(s) containing the components that you want to register. </w:t>
      </w:r>
      <w:r>
        <w:rPr>
          <w:color w:val="333333"/>
          <w:spacing w:val="-3"/>
          <w:w w:val="110"/>
        </w:rPr>
        <w:t xml:space="preserve">By </w:t>
      </w:r>
      <w:r>
        <w:rPr>
          <w:color w:val="333333"/>
          <w:w w:val="110"/>
        </w:rPr>
        <w:t xml:space="preserve">default, </w:t>
      </w:r>
      <w:r>
        <w:rPr>
          <w:rFonts w:ascii="MS Gothic"/>
          <w:color w:val="B02045"/>
          <w:w w:val="110"/>
        </w:rPr>
        <w:t>@ServletComponentScan</w:t>
      </w:r>
      <w:r>
        <w:rPr>
          <w:rFonts w:ascii="MS Gothic"/>
          <w:color w:val="B02045"/>
          <w:spacing w:val="-63"/>
          <w:w w:val="110"/>
        </w:rPr>
        <w:t xml:space="preserve"> </w:t>
      </w:r>
      <w:r>
        <w:rPr>
          <w:color w:val="333333"/>
          <w:w w:val="110"/>
        </w:rPr>
        <w:t>scans from the package of the annotated class.</w:t>
      </w:r>
    </w:p>
    <w:p w14:paraId="01B507D1" w14:textId="77777777" w:rsidR="00A720EB" w:rsidRDefault="00A720EB">
      <w:pPr>
        <w:pStyle w:val="a3"/>
        <w:spacing w:before="6"/>
        <w:rPr>
          <w:sz w:val="25"/>
        </w:rPr>
      </w:pPr>
    </w:p>
    <w:p w14:paraId="18F9889D" w14:textId="77777777" w:rsidR="00A720EB" w:rsidRDefault="0030286B">
      <w:pPr>
        <w:pStyle w:val="3"/>
        <w:numPr>
          <w:ilvl w:val="2"/>
          <w:numId w:val="13"/>
        </w:numPr>
        <w:tabs>
          <w:tab w:val="left" w:pos="1003"/>
        </w:tabs>
        <w:ind w:left="1002" w:hanging="879"/>
      </w:pPr>
      <w:bookmarkStart w:id="838" w:name="9.3.11._Configure_Access_Logging"/>
      <w:bookmarkStart w:id="839" w:name="_Toc54423941"/>
      <w:bookmarkEnd w:id="838"/>
      <w:r>
        <w:rPr>
          <w:color w:val="333333"/>
          <w:w w:val="110"/>
        </w:rPr>
        <w:t>Configure Access</w:t>
      </w:r>
      <w:r>
        <w:rPr>
          <w:color w:val="333333"/>
          <w:spacing w:val="-14"/>
          <w:w w:val="110"/>
        </w:rPr>
        <w:t xml:space="preserve"> </w:t>
      </w:r>
      <w:r>
        <w:rPr>
          <w:color w:val="333333"/>
          <w:w w:val="110"/>
        </w:rPr>
        <w:t>Logging</w:t>
      </w:r>
      <w:bookmarkEnd w:id="839"/>
    </w:p>
    <w:p w14:paraId="37FA9E8B" w14:textId="77777777" w:rsidR="00A720EB" w:rsidRDefault="0030286B">
      <w:pPr>
        <w:pStyle w:val="a3"/>
        <w:spacing w:before="254" w:line="307" w:lineRule="auto"/>
        <w:ind w:left="124" w:right="125"/>
        <w:jc w:val="both"/>
      </w:pPr>
      <w:r>
        <w:rPr>
          <w:color w:val="333333"/>
          <w:w w:val="110"/>
        </w:rPr>
        <w:t xml:space="preserve">Access logs can be configured for Tomcat, </w:t>
      </w:r>
      <w:r>
        <w:rPr>
          <w:color w:val="333333"/>
          <w:spacing w:val="-3"/>
          <w:w w:val="110"/>
        </w:rPr>
        <w:t xml:space="preserve">Undertow, </w:t>
      </w:r>
      <w:r>
        <w:rPr>
          <w:color w:val="333333"/>
          <w:w w:val="110"/>
        </w:rPr>
        <w:t xml:space="preserve">and </w:t>
      </w:r>
      <w:proofErr w:type="gramStart"/>
      <w:r>
        <w:rPr>
          <w:color w:val="333333"/>
          <w:w w:val="110"/>
        </w:rPr>
        <w:t>Jetty  through</w:t>
      </w:r>
      <w:proofErr w:type="gramEnd"/>
      <w:r>
        <w:rPr>
          <w:color w:val="333333"/>
          <w:w w:val="110"/>
        </w:rPr>
        <w:t xml:space="preserve">  their  respective  namespaces.</w:t>
      </w:r>
    </w:p>
    <w:p w14:paraId="24A10B1F" w14:textId="77777777" w:rsidR="00A720EB" w:rsidRDefault="0030286B">
      <w:pPr>
        <w:pStyle w:val="a3"/>
        <w:spacing w:before="241"/>
        <w:ind w:left="124"/>
        <w:jc w:val="both"/>
      </w:pPr>
      <w:r>
        <w:rPr>
          <w:color w:val="333333"/>
          <w:w w:val="110"/>
        </w:rPr>
        <w:t xml:space="preserve">For instance, the following settings log access on Tomcat with a </w:t>
      </w:r>
      <w:hyperlink r:id="rId602" w:anchor="Access_Logging">
        <w:r>
          <w:rPr>
            <w:color w:val="418BCA"/>
            <w:w w:val="110"/>
          </w:rPr>
          <w:t>custom pattern</w:t>
        </w:r>
      </w:hyperlink>
      <w:r>
        <w:rPr>
          <w:color w:val="333333"/>
          <w:w w:val="110"/>
        </w:rPr>
        <w:t>.</w:t>
      </w:r>
    </w:p>
    <w:p w14:paraId="513468D2" w14:textId="77777777" w:rsidR="00A720EB" w:rsidRDefault="00E10349">
      <w:pPr>
        <w:pStyle w:val="a3"/>
        <w:spacing w:before="11"/>
        <w:rPr>
          <w:sz w:val="18"/>
        </w:rPr>
      </w:pPr>
      <w:r>
        <w:pict w14:anchorId="034A7396">
          <v:group id="_x0000_s1545" style="position:absolute;margin-left:47.85pt;margin-top:13.1pt;width:499.55pt;height:67pt;z-index:-15101952;mso-wrap-distance-left:0;mso-wrap-distance-right:0;mso-position-horizontal-relative:page" coordorigin="957,262" coordsize="9991,1340">
            <v:shape id="_x0000_s1548" style="position:absolute;left:964;top:269;width:9976;height:1325" coordorigin="965,270" coordsize="9976,1325" path="m10861,270r-9816,l1014,276r-26,17l971,318r-6,32l965,1514r6,31l988,1571r26,17l1045,1594r9816,l10892,1588r25,-17l10935,1545r6,-31l10941,350r-6,-32l10917,293r-25,-17l10861,270xe" fillcolor="#f5f5f5" stroked="f">
              <v:path arrowok="t"/>
            </v:shape>
            <v:shape id="_x0000_s1547" style="position:absolute;left:964;top:269;width:9976;height:1325" coordorigin="965,270" coordsize="9976,1325" path="m1045,270r9816,l10892,276r25,17l10935,318r6,32l10941,1514r-6,31l10917,1571r-25,17l10861,1594r-9816,l1014,1588r-26,-17l971,1545r-6,-31l965,350r6,-32l988,293r26,-17l1045,270xe" filled="f" strokecolor="#ccc">
              <v:path arrowok="t"/>
            </v:shape>
            <v:shape id="_x0000_s1546" type="#_x0000_t202" style="position:absolute;left:984;top:285;width:9938;height:1294" filled="f" stroked="f">
              <v:textbox inset="0,0,0,0">
                <w:txbxContent>
                  <w:p w14:paraId="094D406B" w14:textId="77777777" w:rsidR="00711A16" w:rsidRDefault="00711A16">
                    <w:pPr>
                      <w:spacing w:before="221" w:line="252" w:lineRule="auto"/>
                      <w:ind w:left="200" w:right="3888"/>
                      <w:rPr>
                        <w:rFonts w:ascii="MS Gothic"/>
                      </w:rPr>
                    </w:pPr>
                    <w:proofErr w:type="gramStart"/>
                    <w:r>
                      <w:rPr>
                        <w:rFonts w:ascii="MS Gothic"/>
                        <w:color w:val="333333"/>
                      </w:rPr>
                      <w:t>server.tomcat</w:t>
                    </w:r>
                    <w:proofErr w:type="gramEnd"/>
                    <w:r>
                      <w:rPr>
                        <w:rFonts w:ascii="MS Gothic"/>
                        <w:color w:val="333333"/>
                      </w:rPr>
                      <w:t>.basedir=my-tomcat server.tomcat.accesslog.enabled=true server.tomcat.accesslog.pattern=%t %a "%r" %s (%D ms)</w:t>
                    </w:r>
                  </w:p>
                </w:txbxContent>
              </v:textbox>
            </v:shape>
            <w10:wrap type="topAndBottom" anchorx="page"/>
          </v:group>
        </w:pict>
      </w:r>
    </w:p>
    <w:p w14:paraId="62A621D8" w14:textId="77777777" w:rsidR="00A720EB" w:rsidRDefault="00A720EB">
      <w:pPr>
        <w:pStyle w:val="a3"/>
        <w:spacing w:before="8"/>
        <w:rPr>
          <w:sz w:val="16"/>
        </w:rPr>
      </w:pPr>
    </w:p>
    <w:p w14:paraId="1A6D4858" w14:textId="77777777" w:rsidR="00A720EB" w:rsidRDefault="00E10349">
      <w:pPr>
        <w:pStyle w:val="a3"/>
        <w:spacing w:before="116" w:line="290" w:lineRule="auto"/>
        <w:ind w:left="1564" w:right="365"/>
        <w:jc w:val="both"/>
      </w:pPr>
      <w:r>
        <w:pict w14:anchorId="5A40E934">
          <v:line id="_x0000_s1544" style="position:absolute;left:0;text-align:left;z-index:16356352;mso-position-horizontal-relative:page" from="108.25pt,.35pt" to="108.25pt,87.25pt" strokecolor="#ededed" strokeweight=".5pt">
            <w10:wrap anchorx="page"/>
          </v:line>
        </w:pict>
      </w:r>
      <w:r w:rsidR="0030286B">
        <w:rPr>
          <w:noProof/>
        </w:rPr>
        <w:drawing>
          <wp:anchor distT="0" distB="0" distL="0" distR="0" simplePos="0" relativeHeight="16356864" behindDoc="0" locked="0" layoutInCell="1" allowOverlap="1" wp14:anchorId="073F5413" wp14:editId="238921C3">
            <wp:simplePos x="0" y="0"/>
            <wp:positionH relativeFrom="page">
              <wp:posOffset>844422</wp:posOffset>
            </wp:positionH>
            <wp:positionV relativeFrom="paragraph">
              <wp:posOffset>406857</wp:posOffset>
            </wp:positionV>
            <wp:extent cx="298450" cy="298450"/>
            <wp:effectExtent l="0" t="0" r="0" b="0"/>
            <wp:wrapNone/>
            <wp:docPr id="7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default location for logs is a </w:t>
      </w:r>
      <w:r w:rsidR="0030286B">
        <w:rPr>
          <w:rFonts w:ascii="MS Gothic" w:hAnsi="MS Gothic"/>
          <w:color w:val="B02045"/>
          <w:w w:val="110"/>
        </w:rPr>
        <w:t xml:space="preserve">logs </w:t>
      </w:r>
      <w:r w:rsidR="0030286B">
        <w:rPr>
          <w:color w:val="333333"/>
          <w:w w:val="110"/>
        </w:rPr>
        <w:t xml:space="preserve">directory relative to the Tomcat base directory. By default, the </w:t>
      </w:r>
      <w:r w:rsidR="0030286B">
        <w:rPr>
          <w:rFonts w:ascii="MS Gothic" w:hAnsi="MS Gothic"/>
          <w:color w:val="B02045"/>
          <w:w w:val="110"/>
        </w:rPr>
        <w:t xml:space="preserve">logs </w:t>
      </w:r>
      <w:r w:rsidR="0030286B">
        <w:rPr>
          <w:color w:val="333333"/>
          <w:w w:val="110"/>
        </w:rPr>
        <w:t xml:space="preserve">directory is a temporary directory, so you may want to fix Tomcat’s base directory or use an absolute path for the logs. In the preceding example, the logs are available in </w:t>
      </w:r>
      <w:r w:rsidR="0030286B">
        <w:rPr>
          <w:rFonts w:ascii="MS Gothic" w:hAnsi="MS Gothic"/>
          <w:color w:val="B02045"/>
          <w:w w:val="110"/>
        </w:rPr>
        <w:t xml:space="preserve">my-tomcat/logs </w:t>
      </w:r>
      <w:r w:rsidR="0030286B">
        <w:rPr>
          <w:color w:val="333333"/>
          <w:w w:val="110"/>
        </w:rPr>
        <w:t>relative to the working directory of the application.</w:t>
      </w:r>
    </w:p>
    <w:p w14:paraId="6D7D0885" w14:textId="77777777" w:rsidR="00A720EB" w:rsidRDefault="00A720EB">
      <w:pPr>
        <w:pStyle w:val="a3"/>
        <w:rPr>
          <w:sz w:val="18"/>
        </w:rPr>
      </w:pPr>
    </w:p>
    <w:p w14:paraId="70BCCB21" w14:textId="77777777" w:rsidR="00A720EB" w:rsidRDefault="0030286B">
      <w:pPr>
        <w:pStyle w:val="a3"/>
        <w:spacing w:before="125" w:line="307" w:lineRule="auto"/>
        <w:ind w:left="124"/>
      </w:pPr>
      <w:r>
        <w:rPr>
          <w:color w:val="333333"/>
          <w:w w:val="115"/>
        </w:rPr>
        <w:t>Access logging for Undertow can be configured in a similar fashion, as shown in the following example:</w:t>
      </w:r>
    </w:p>
    <w:p w14:paraId="15C991B9" w14:textId="77777777" w:rsidR="00A720EB" w:rsidRDefault="00A720EB">
      <w:pPr>
        <w:spacing w:line="307" w:lineRule="auto"/>
        <w:sectPr w:rsidR="00A720EB">
          <w:type w:val="continuous"/>
          <w:pgSz w:w="11910" w:h="16840"/>
          <w:pgMar w:top="1580" w:right="840" w:bottom="280" w:left="840" w:header="720" w:footer="720" w:gutter="0"/>
          <w:cols w:space="720"/>
        </w:sectPr>
      </w:pPr>
    </w:p>
    <w:p w14:paraId="70E82CDD" w14:textId="77777777" w:rsidR="00A720EB" w:rsidRDefault="00E10349">
      <w:pPr>
        <w:pStyle w:val="a3"/>
        <w:ind w:left="116"/>
        <w:rPr>
          <w:sz w:val="20"/>
        </w:rPr>
      </w:pPr>
      <w:r>
        <w:rPr>
          <w:sz w:val="20"/>
        </w:rPr>
      </w:r>
      <w:r>
        <w:rPr>
          <w:sz w:val="20"/>
        </w:rPr>
        <w:pict w14:anchorId="7AB8FCAA">
          <v:group id="_x0000_s1540" style="width:499.55pt;height:52.25pt;mso-position-horizontal-relative:char;mso-position-vertical-relative:line" coordsize="9991,1045">
            <v:shape id="_x0000_s1543" style="position:absolute;left:7;top:7;width:9976;height:1030" coordorigin="8,8" coordsize="9976,1030" path="m9904,8l88,8,56,14,31,31,14,56,8,88r,869l14,988r17,26l56,1031r32,6l9904,1037r31,-6l9960,1014r17,-26l9984,957r,-869l9977,56,9960,31,9935,14,9904,8xe" fillcolor="#f5f5f5" stroked="f">
              <v:path arrowok="t"/>
            </v:shape>
            <v:shape id="_x0000_s1542" style="position:absolute;left:7;top:7;width:9976;height:1030" coordorigin="8,8" coordsize="9976,1030" path="m88,8r9816,l9935,14r25,17l9977,56r7,32l9984,957r-7,31l9960,1014r-25,17l9904,1037r-9816,l56,1031,31,1014,14,988,8,957,8,88,14,56,31,31,56,14,88,8xe" filled="f" strokecolor="#ccc">
              <v:path arrowok="t"/>
            </v:shape>
            <v:shape id="_x0000_s1541" type="#_x0000_t202" style="position:absolute;left:26;top:22;width:9938;height:999" filled="f" stroked="f">
              <v:textbox inset="0,0,0,0">
                <w:txbxContent>
                  <w:p w14:paraId="4DB8BB3F" w14:textId="77777777" w:rsidR="00711A16" w:rsidRDefault="00711A16">
                    <w:pPr>
                      <w:spacing w:before="221" w:line="252" w:lineRule="auto"/>
                      <w:ind w:left="200" w:right="3668"/>
                      <w:rPr>
                        <w:rFonts w:ascii="MS Gothic"/>
                      </w:rPr>
                    </w:pPr>
                    <w:proofErr w:type="gramStart"/>
                    <w:r>
                      <w:rPr>
                        <w:rFonts w:ascii="MS Gothic"/>
                        <w:color w:val="333333"/>
                      </w:rPr>
                      <w:t>server.undertow</w:t>
                    </w:r>
                    <w:proofErr w:type="gramEnd"/>
                    <w:r>
                      <w:rPr>
                        <w:rFonts w:ascii="MS Gothic"/>
                        <w:color w:val="333333"/>
                      </w:rPr>
                      <w:t>.accesslog.enabled=true server.undertow.accesslog.pattern=%t %a "%r" %s (%D ms)</w:t>
                    </w:r>
                  </w:p>
                </w:txbxContent>
              </v:textbox>
            </v:shape>
            <w10:anchorlock/>
          </v:group>
        </w:pict>
      </w:r>
    </w:p>
    <w:p w14:paraId="160DFF24" w14:textId="77777777" w:rsidR="00A720EB" w:rsidRDefault="00A720EB">
      <w:pPr>
        <w:pStyle w:val="a3"/>
        <w:spacing w:before="9"/>
        <w:rPr>
          <w:sz w:val="9"/>
        </w:rPr>
      </w:pPr>
    </w:p>
    <w:p w14:paraId="3201CE70" w14:textId="77777777" w:rsidR="00A720EB" w:rsidRDefault="0030286B">
      <w:pPr>
        <w:pStyle w:val="a3"/>
        <w:spacing w:before="116" w:line="280" w:lineRule="auto"/>
        <w:ind w:left="124"/>
      </w:pPr>
      <w:r>
        <w:rPr>
          <w:color w:val="333333"/>
          <w:w w:val="110"/>
        </w:rPr>
        <w:t xml:space="preserve">Logs are stored in a </w:t>
      </w:r>
      <w:proofErr w:type="gramStart"/>
      <w:r>
        <w:rPr>
          <w:rFonts w:ascii="MS Gothic"/>
          <w:color w:val="B02045"/>
          <w:w w:val="110"/>
        </w:rPr>
        <w:t>logs</w:t>
      </w:r>
      <w:proofErr w:type="gramEnd"/>
      <w:r>
        <w:rPr>
          <w:rFonts w:ascii="MS Gothic"/>
          <w:color w:val="B02045"/>
          <w:w w:val="110"/>
        </w:rPr>
        <w:t xml:space="preserve"> </w:t>
      </w:r>
      <w:r>
        <w:rPr>
          <w:color w:val="333333"/>
          <w:w w:val="110"/>
        </w:rPr>
        <w:t xml:space="preserve">directory relative to the working directory of the application. </w:t>
      </w:r>
      <w:r>
        <w:rPr>
          <w:color w:val="333333"/>
          <w:spacing w:val="-6"/>
          <w:w w:val="110"/>
        </w:rPr>
        <w:t xml:space="preserve">You </w:t>
      </w:r>
      <w:r>
        <w:rPr>
          <w:color w:val="333333"/>
          <w:w w:val="110"/>
        </w:rPr>
        <w:t xml:space="preserve">can customize this location </w:t>
      </w:r>
      <w:r>
        <w:rPr>
          <w:color w:val="333333"/>
          <w:spacing w:val="-3"/>
          <w:w w:val="110"/>
        </w:rPr>
        <w:t xml:space="preserve">by </w:t>
      </w:r>
      <w:r>
        <w:rPr>
          <w:color w:val="333333"/>
          <w:w w:val="110"/>
        </w:rPr>
        <w:t xml:space="preserve">setting the </w:t>
      </w:r>
      <w:r>
        <w:rPr>
          <w:rFonts w:ascii="MS Gothic"/>
          <w:color w:val="B02045"/>
          <w:w w:val="110"/>
        </w:rPr>
        <w:t>server.undertow.accesslog.dir</w:t>
      </w:r>
      <w:r>
        <w:rPr>
          <w:rFonts w:ascii="MS Gothic"/>
          <w:color w:val="B02045"/>
          <w:spacing w:val="-84"/>
          <w:w w:val="110"/>
        </w:rPr>
        <w:t xml:space="preserve"> </w:t>
      </w:r>
      <w:r>
        <w:rPr>
          <w:color w:val="333333"/>
          <w:spacing w:val="-3"/>
          <w:w w:val="110"/>
        </w:rPr>
        <w:t>property.</w:t>
      </w:r>
    </w:p>
    <w:p w14:paraId="0A5967AC" w14:textId="77777777" w:rsidR="00A720EB" w:rsidRDefault="00A720EB">
      <w:pPr>
        <w:pStyle w:val="a3"/>
        <w:spacing w:before="6"/>
      </w:pPr>
    </w:p>
    <w:p w14:paraId="22EAE1D1" w14:textId="77777777" w:rsidR="00A720EB" w:rsidRDefault="0030286B">
      <w:pPr>
        <w:pStyle w:val="a3"/>
        <w:ind w:left="124"/>
      </w:pPr>
      <w:r>
        <w:rPr>
          <w:color w:val="333333"/>
          <w:w w:val="110"/>
        </w:rPr>
        <w:t>Finally, access logging for Jetty can also be configured as follows:</w:t>
      </w:r>
    </w:p>
    <w:p w14:paraId="27E5C879" w14:textId="77777777" w:rsidR="00A720EB" w:rsidRDefault="00E10349">
      <w:pPr>
        <w:pStyle w:val="a3"/>
        <w:rPr>
          <w:sz w:val="19"/>
        </w:rPr>
      </w:pPr>
      <w:r>
        <w:pict w14:anchorId="25C2048A">
          <v:group id="_x0000_s1536" style="position:absolute;margin-left:47.85pt;margin-top:13.15pt;width:499.55pt;height:52.25pt;z-index:-15099392;mso-wrap-distance-left:0;mso-wrap-distance-right:0;mso-position-horizontal-relative:page" coordorigin="957,263" coordsize="9991,1045">
            <v:shape id="_x0000_s1539" style="position:absolute;left:964;top:270;width:9976;height:1030" coordorigin="965,270" coordsize="9976,1030" path="m10861,270r-9816,l1014,276r-26,18l971,319r-6,31l965,1220r6,31l988,1276r26,17l1045,1300r9816,l10892,1293r25,-17l10935,1251r6,-31l10941,350r-6,-31l10917,294r-25,-18l10861,270xe" fillcolor="#f5f5f5" stroked="f">
              <v:path arrowok="t"/>
            </v:shape>
            <v:shape id="_x0000_s1538" style="position:absolute;left:964;top:270;width:9976;height:1030" coordorigin="965,270" coordsize="9976,1030" path="m1045,270r9816,l10892,276r25,18l10935,319r6,31l10941,1220r-6,31l10917,1276r-25,17l10861,1300r-9816,l1014,1293r-26,-17l971,1251r-6,-31l965,350r6,-31l988,294r26,-18l1045,270xe" filled="f" strokecolor="#ccc">
              <v:path arrowok="t"/>
            </v:shape>
            <v:shape id="_x0000_s1537" type="#_x0000_t202" style="position:absolute;left:984;top:285;width:9938;height:999" filled="f" stroked="f">
              <v:textbox inset="0,0,0,0">
                <w:txbxContent>
                  <w:p w14:paraId="2E62E5BA" w14:textId="77777777" w:rsidR="00711A16" w:rsidRDefault="00711A16">
                    <w:pPr>
                      <w:spacing w:before="221" w:line="252" w:lineRule="auto"/>
                      <w:ind w:left="200" w:right="3464"/>
                      <w:rPr>
                        <w:rFonts w:ascii="MS Gothic"/>
                      </w:rPr>
                    </w:pPr>
                    <w:proofErr w:type="gramStart"/>
                    <w:r>
                      <w:rPr>
                        <w:rFonts w:ascii="MS Gothic"/>
                        <w:color w:val="333333"/>
                      </w:rPr>
                      <w:t>server.jetty</w:t>
                    </w:r>
                    <w:proofErr w:type="gramEnd"/>
                    <w:r>
                      <w:rPr>
                        <w:rFonts w:ascii="MS Gothic"/>
                        <w:color w:val="333333"/>
                      </w:rPr>
                      <w:t>.accesslog.enabled=true server.jetty.accesslog.filename=/var/log/jetty-access.log</w:t>
                    </w:r>
                  </w:p>
                </w:txbxContent>
              </v:textbox>
            </v:shape>
            <w10:wrap type="topAndBottom" anchorx="page"/>
          </v:group>
        </w:pict>
      </w:r>
    </w:p>
    <w:p w14:paraId="3548909E" w14:textId="77777777" w:rsidR="00A720EB" w:rsidRDefault="00A720EB">
      <w:pPr>
        <w:pStyle w:val="a3"/>
        <w:spacing w:before="11"/>
        <w:rPr>
          <w:sz w:val="9"/>
        </w:rPr>
      </w:pPr>
    </w:p>
    <w:p w14:paraId="3BE0BBE4" w14:textId="77777777" w:rsidR="00A720EB" w:rsidRDefault="0030286B">
      <w:pPr>
        <w:pStyle w:val="a3"/>
        <w:spacing w:before="115"/>
        <w:ind w:left="124"/>
        <w:jc w:val="both"/>
      </w:pPr>
      <w:r>
        <w:rPr>
          <w:color w:val="333333"/>
          <w:w w:val="110"/>
        </w:rPr>
        <w:t xml:space="preserve">By default, logs are redirected to </w:t>
      </w:r>
      <w:r>
        <w:rPr>
          <w:rFonts w:ascii="MS Gothic"/>
          <w:color w:val="B02045"/>
          <w:w w:val="110"/>
        </w:rPr>
        <w:t>System.err</w:t>
      </w:r>
      <w:r>
        <w:rPr>
          <w:color w:val="333333"/>
          <w:w w:val="110"/>
        </w:rPr>
        <w:t xml:space="preserve">. For more details, see </w:t>
      </w:r>
      <w:hyperlink r:id="rId603">
        <w:r>
          <w:rPr>
            <w:color w:val="418BCA"/>
            <w:w w:val="110"/>
          </w:rPr>
          <w:t>the Jetty documentation</w:t>
        </w:r>
      </w:hyperlink>
      <w:r>
        <w:rPr>
          <w:color w:val="333333"/>
          <w:w w:val="110"/>
        </w:rPr>
        <w:t>.</w:t>
      </w:r>
    </w:p>
    <w:p w14:paraId="3794E009" w14:textId="77777777" w:rsidR="00A720EB" w:rsidRDefault="00A720EB">
      <w:pPr>
        <w:pStyle w:val="a3"/>
        <w:spacing w:before="7"/>
        <w:rPr>
          <w:sz w:val="30"/>
        </w:rPr>
      </w:pPr>
    </w:p>
    <w:p w14:paraId="65639AAD" w14:textId="77777777" w:rsidR="00A720EB" w:rsidRDefault="0030286B">
      <w:pPr>
        <w:pStyle w:val="3"/>
        <w:numPr>
          <w:ilvl w:val="2"/>
          <w:numId w:val="13"/>
        </w:numPr>
        <w:tabs>
          <w:tab w:val="left" w:pos="1003"/>
        </w:tabs>
        <w:ind w:left="1002" w:hanging="879"/>
      </w:pPr>
      <w:bookmarkStart w:id="840" w:name="9.3.12._Running_Behind_a_Front-end_Proxy"/>
      <w:bookmarkStart w:id="841" w:name="_Toc54423942"/>
      <w:bookmarkEnd w:id="840"/>
      <w:r>
        <w:rPr>
          <w:color w:val="333333"/>
          <w:w w:val="110"/>
        </w:rPr>
        <w:t>Running Behind a Front-end Proxy</w:t>
      </w:r>
      <w:r>
        <w:rPr>
          <w:color w:val="333333"/>
          <w:spacing w:val="-23"/>
          <w:w w:val="110"/>
        </w:rPr>
        <w:t xml:space="preserve"> </w:t>
      </w:r>
      <w:r>
        <w:rPr>
          <w:color w:val="333333"/>
          <w:w w:val="110"/>
        </w:rPr>
        <w:t>Server</w:t>
      </w:r>
      <w:bookmarkEnd w:id="841"/>
    </w:p>
    <w:p w14:paraId="3931BDC8" w14:textId="77777777" w:rsidR="00A720EB" w:rsidRDefault="0030286B">
      <w:pPr>
        <w:pStyle w:val="a3"/>
        <w:spacing w:before="254" w:line="302" w:lineRule="auto"/>
        <w:ind w:left="124" w:right="129"/>
        <w:jc w:val="both"/>
      </w:pPr>
      <w:r>
        <w:rPr>
          <w:color w:val="333333"/>
          <w:w w:val="110"/>
        </w:rPr>
        <w:t xml:space="preserve">If your application is running behind a </w:t>
      </w:r>
      <w:r>
        <w:rPr>
          <w:color w:val="333333"/>
          <w:spacing w:val="-4"/>
          <w:w w:val="110"/>
        </w:rPr>
        <w:t xml:space="preserve">proxy, </w:t>
      </w:r>
      <w:r>
        <w:rPr>
          <w:color w:val="333333"/>
          <w:w w:val="110"/>
        </w:rPr>
        <w:t>a load-balancer or in the cloud, the</w:t>
      </w:r>
      <w:r>
        <w:rPr>
          <w:color w:val="333333"/>
          <w:spacing w:val="50"/>
          <w:w w:val="110"/>
        </w:rPr>
        <w:t xml:space="preserve"> </w:t>
      </w:r>
      <w:proofErr w:type="gramStart"/>
      <w:r>
        <w:rPr>
          <w:color w:val="333333"/>
          <w:w w:val="110"/>
        </w:rPr>
        <w:t>request  information</w:t>
      </w:r>
      <w:proofErr w:type="gramEnd"/>
      <w:r>
        <w:rPr>
          <w:color w:val="333333"/>
          <w:w w:val="110"/>
        </w:rPr>
        <w:t xml:space="preserve"> (like the host, port, scheme…) might change along the </w:t>
      </w:r>
      <w:r>
        <w:rPr>
          <w:color w:val="333333"/>
          <w:spacing w:val="-7"/>
          <w:w w:val="110"/>
        </w:rPr>
        <w:t xml:space="preserve">way. </w:t>
      </w:r>
      <w:r>
        <w:rPr>
          <w:color w:val="333333"/>
          <w:spacing w:val="-5"/>
          <w:w w:val="110"/>
        </w:rPr>
        <w:t xml:space="preserve">Your </w:t>
      </w:r>
      <w:r>
        <w:rPr>
          <w:color w:val="333333"/>
          <w:w w:val="110"/>
        </w:rPr>
        <w:t xml:space="preserve">application may be running on </w:t>
      </w:r>
      <w:r>
        <w:rPr>
          <w:rFonts w:ascii="MS Gothic" w:hAnsi="MS Gothic"/>
          <w:color w:val="B02045"/>
          <w:w w:val="110"/>
        </w:rPr>
        <w:t>10.10.10.10:8080</w:t>
      </w:r>
      <w:r>
        <w:rPr>
          <w:color w:val="333333"/>
          <w:w w:val="110"/>
        </w:rPr>
        <w:t>, but HTTP clients should only see</w:t>
      </w:r>
      <w:r>
        <w:rPr>
          <w:color w:val="333333"/>
          <w:spacing w:val="-12"/>
          <w:w w:val="110"/>
        </w:rPr>
        <w:t xml:space="preserve"> </w:t>
      </w:r>
      <w:r>
        <w:rPr>
          <w:rFonts w:ascii="MS Gothic" w:hAnsi="MS Gothic"/>
          <w:color w:val="B02045"/>
          <w:w w:val="110"/>
        </w:rPr>
        <w:t>example.org</w:t>
      </w:r>
      <w:r>
        <w:rPr>
          <w:color w:val="333333"/>
          <w:w w:val="110"/>
        </w:rPr>
        <w:t>.</w:t>
      </w:r>
    </w:p>
    <w:p w14:paraId="444A80D1" w14:textId="77777777" w:rsidR="00A720EB" w:rsidRDefault="00E10349">
      <w:pPr>
        <w:pStyle w:val="a3"/>
        <w:spacing w:before="216" w:line="295" w:lineRule="auto"/>
        <w:ind w:left="124" w:right="122"/>
        <w:jc w:val="both"/>
      </w:pPr>
      <w:hyperlink r:id="rId604">
        <w:r w:rsidR="0030286B">
          <w:rPr>
            <w:color w:val="418BCA"/>
            <w:w w:val="110"/>
          </w:rPr>
          <w:t>RFC7239 "Forwarded Headers"</w:t>
        </w:r>
      </w:hyperlink>
      <w:r w:rsidR="0030286B">
        <w:rPr>
          <w:color w:val="418BCA"/>
          <w:w w:val="110"/>
        </w:rPr>
        <w:t xml:space="preserve"> </w:t>
      </w:r>
      <w:r w:rsidR="0030286B">
        <w:rPr>
          <w:color w:val="333333"/>
          <w:w w:val="110"/>
        </w:rPr>
        <w:t xml:space="preserve">defines the </w:t>
      </w:r>
      <w:r w:rsidR="0030286B">
        <w:rPr>
          <w:rFonts w:ascii="MS Gothic"/>
          <w:color w:val="B02045"/>
          <w:w w:val="110"/>
        </w:rPr>
        <w:t xml:space="preserve">Forwarded </w:t>
      </w:r>
      <w:r w:rsidR="0030286B">
        <w:rPr>
          <w:color w:val="333333"/>
          <w:w w:val="110"/>
        </w:rPr>
        <w:t xml:space="preserve">HTTP header; proxies can use this header to provide information about the original request. You can configure your application to read those headers and automatically use that information when creating links and sending them to clients in HTTP 302 responses, JSON documents or HTML pages. There are also non-standard headers, like </w:t>
      </w:r>
      <w:r w:rsidR="0030286B">
        <w:rPr>
          <w:rFonts w:ascii="MS Gothic"/>
          <w:color w:val="B02045"/>
          <w:w w:val="110"/>
        </w:rPr>
        <w:t xml:space="preserve">X- </w:t>
      </w:r>
      <w:r w:rsidR="0030286B">
        <w:rPr>
          <w:rFonts w:ascii="MS Gothic"/>
          <w:color w:val="B02045"/>
          <w:w w:val="105"/>
        </w:rPr>
        <w:t>Forwarded-Host</w:t>
      </w:r>
      <w:r w:rsidR="0030286B">
        <w:rPr>
          <w:color w:val="333333"/>
          <w:w w:val="105"/>
        </w:rPr>
        <w:t xml:space="preserve">, </w:t>
      </w:r>
      <w:r w:rsidR="0030286B">
        <w:rPr>
          <w:rFonts w:ascii="MS Gothic"/>
          <w:color w:val="B02045"/>
          <w:w w:val="105"/>
        </w:rPr>
        <w:t>X-Forwarded-Port</w:t>
      </w:r>
      <w:r w:rsidR="0030286B">
        <w:rPr>
          <w:color w:val="333333"/>
          <w:w w:val="105"/>
        </w:rPr>
        <w:t xml:space="preserve">, </w:t>
      </w:r>
      <w:r w:rsidR="0030286B">
        <w:rPr>
          <w:rFonts w:ascii="MS Gothic"/>
          <w:color w:val="B02045"/>
          <w:w w:val="105"/>
        </w:rPr>
        <w:t>X-Forwarded-Proto</w:t>
      </w:r>
      <w:r w:rsidR="0030286B">
        <w:rPr>
          <w:color w:val="333333"/>
          <w:w w:val="105"/>
        </w:rPr>
        <w:t xml:space="preserve">, </w:t>
      </w:r>
      <w:r w:rsidR="0030286B">
        <w:rPr>
          <w:rFonts w:ascii="MS Gothic"/>
          <w:color w:val="B02045"/>
          <w:w w:val="105"/>
        </w:rPr>
        <w:t>X-Forwarded-Ssl</w:t>
      </w:r>
      <w:r w:rsidR="0030286B">
        <w:rPr>
          <w:color w:val="333333"/>
          <w:w w:val="105"/>
        </w:rPr>
        <w:t xml:space="preserve">, and </w:t>
      </w:r>
      <w:r w:rsidR="0030286B">
        <w:rPr>
          <w:rFonts w:ascii="MS Gothic"/>
          <w:color w:val="B02045"/>
          <w:w w:val="105"/>
        </w:rPr>
        <w:t>X-Forwarded-Prefix</w:t>
      </w:r>
      <w:r w:rsidR="0030286B">
        <w:rPr>
          <w:color w:val="333333"/>
          <w:w w:val="105"/>
        </w:rPr>
        <w:t>.</w:t>
      </w:r>
    </w:p>
    <w:p w14:paraId="793C9FA0" w14:textId="77777777" w:rsidR="00A720EB" w:rsidRDefault="0030286B">
      <w:pPr>
        <w:pStyle w:val="a3"/>
        <w:spacing w:before="220" w:line="292" w:lineRule="auto"/>
        <w:ind w:left="124" w:right="123"/>
        <w:jc w:val="both"/>
      </w:pPr>
      <w:r>
        <w:rPr>
          <w:color w:val="333333"/>
          <w:w w:val="110"/>
        </w:rPr>
        <w:t xml:space="preserve">If the proxy adds the commonly used </w:t>
      </w:r>
      <w:r>
        <w:rPr>
          <w:rFonts w:ascii="MS Gothic"/>
          <w:color w:val="B02045"/>
          <w:w w:val="110"/>
        </w:rPr>
        <w:t xml:space="preserve">X-Forwarded-For </w:t>
      </w:r>
      <w:r>
        <w:rPr>
          <w:color w:val="333333"/>
          <w:w w:val="110"/>
        </w:rPr>
        <w:t xml:space="preserve">and </w:t>
      </w:r>
      <w:r>
        <w:rPr>
          <w:rFonts w:ascii="MS Gothic"/>
          <w:color w:val="B02045"/>
          <w:w w:val="110"/>
        </w:rPr>
        <w:t xml:space="preserve">X-Forwarded-Proto </w:t>
      </w:r>
      <w:r>
        <w:rPr>
          <w:color w:val="333333"/>
          <w:w w:val="110"/>
        </w:rPr>
        <w:t xml:space="preserve">headers, </w:t>
      </w:r>
      <w:proofErr w:type="gramStart"/>
      <w:r>
        <w:rPr>
          <w:color w:val="333333"/>
          <w:w w:val="110"/>
        </w:rPr>
        <w:t xml:space="preserve">setting  </w:t>
      </w:r>
      <w:r>
        <w:rPr>
          <w:rFonts w:ascii="MS Gothic"/>
          <w:color w:val="B02045"/>
          <w:w w:val="110"/>
        </w:rPr>
        <w:t>server</w:t>
      </w:r>
      <w:proofErr w:type="gramEnd"/>
      <w:r>
        <w:rPr>
          <w:rFonts w:ascii="MS Gothic"/>
          <w:color w:val="B02045"/>
          <w:w w:val="110"/>
        </w:rPr>
        <w:t xml:space="preserve">.forward-headers-strategy </w:t>
      </w:r>
      <w:r>
        <w:rPr>
          <w:color w:val="333333"/>
          <w:w w:val="110"/>
        </w:rPr>
        <w:t xml:space="preserve">to </w:t>
      </w:r>
      <w:r>
        <w:rPr>
          <w:rFonts w:ascii="MS Gothic"/>
          <w:color w:val="B02045"/>
          <w:w w:val="110"/>
        </w:rPr>
        <w:t xml:space="preserve">NATIVE </w:t>
      </w:r>
      <w:r>
        <w:rPr>
          <w:color w:val="333333"/>
          <w:w w:val="110"/>
        </w:rPr>
        <w:t xml:space="preserve">is enough to support those. With this option, the </w:t>
      </w:r>
      <w:r>
        <w:rPr>
          <w:color w:val="333333"/>
          <w:spacing w:val="-5"/>
          <w:w w:val="110"/>
        </w:rPr>
        <w:t xml:space="preserve">Web </w:t>
      </w:r>
      <w:r>
        <w:rPr>
          <w:color w:val="333333"/>
          <w:w w:val="110"/>
        </w:rPr>
        <w:t xml:space="preserve">servers themselves natively support this feature; you can check their </w:t>
      </w:r>
      <w:proofErr w:type="gramStart"/>
      <w:r>
        <w:rPr>
          <w:color w:val="333333"/>
          <w:w w:val="110"/>
        </w:rPr>
        <w:t>specific  documentation</w:t>
      </w:r>
      <w:proofErr w:type="gramEnd"/>
      <w:r>
        <w:rPr>
          <w:color w:val="333333"/>
          <w:w w:val="110"/>
        </w:rPr>
        <w:t xml:space="preserve">  to learn about specific</w:t>
      </w:r>
      <w:r>
        <w:rPr>
          <w:color w:val="333333"/>
          <w:spacing w:val="10"/>
          <w:w w:val="110"/>
        </w:rPr>
        <w:t xml:space="preserve"> </w:t>
      </w:r>
      <w:r>
        <w:rPr>
          <w:color w:val="333333"/>
          <w:w w:val="110"/>
        </w:rPr>
        <w:t>behavior.</w:t>
      </w:r>
    </w:p>
    <w:p w14:paraId="25C4A4D4" w14:textId="77777777" w:rsidR="00A720EB" w:rsidRDefault="00A720EB">
      <w:pPr>
        <w:pStyle w:val="a3"/>
        <w:spacing w:before="9"/>
      </w:pPr>
    </w:p>
    <w:p w14:paraId="03F41B7B" w14:textId="77777777" w:rsidR="00A720EB" w:rsidRDefault="0030286B">
      <w:pPr>
        <w:pStyle w:val="a3"/>
        <w:spacing w:line="297" w:lineRule="auto"/>
        <w:ind w:left="124" w:right="123"/>
        <w:jc w:val="both"/>
      </w:pPr>
      <w:r>
        <w:rPr>
          <w:color w:val="333333"/>
          <w:w w:val="110"/>
        </w:rPr>
        <w:t xml:space="preserve">If this is not enough, Spring Framework provides a </w:t>
      </w:r>
      <w:hyperlink r:id="rId605" w:anchor="filters-forwarded-headers">
        <w:r>
          <w:rPr>
            <w:color w:val="418BCA"/>
            <w:w w:val="110"/>
          </w:rPr>
          <w:t>ForwardedHeaderFilter</w:t>
        </w:r>
      </w:hyperlink>
      <w:r>
        <w:rPr>
          <w:color w:val="333333"/>
          <w:w w:val="110"/>
        </w:rPr>
        <w:t xml:space="preserve">. </w:t>
      </w:r>
      <w:r>
        <w:rPr>
          <w:color w:val="333333"/>
          <w:spacing w:val="-6"/>
          <w:w w:val="110"/>
        </w:rPr>
        <w:t xml:space="preserve">You </w:t>
      </w:r>
      <w:r>
        <w:rPr>
          <w:color w:val="333333"/>
          <w:w w:val="110"/>
        </w:rPr>
        <w:t xml:space="preserve">can register it as a Servlet Filter in your application </w:t>
      </w:r>
      <w:r>
        <w:rPr>
          <w:color w:val="333333"/>
          <w:spacing w:val="-3"/>
          <w:w w:val="110"/>
        </w:rPr>
        <w:t xml:space="preserve">by </w:t>
      </w:r>
      <w:r>
        <w:rPr>
          <w:color w:val="333333"/>
          <w:w w:val="110"/>
        </w:rPr>
        <w:t xml:space="preserve">setting </w:t>
      </w:r>
      <w:r>
        <w:rPr>
          <w:rFonts w:ascii="MS Gothic"/>
          <w:color w:val="B02045"/>
          <w:w w:val="110"/>
        </w:rPr>
        <w:t>server.forward-headers-strategy</w:t>
      </w:r>
      <w:r>
        <w:rPr>
          <w:rFonts w:ascii="MS Gothic"/>
          <w:color w:val="B02045"/>
          <w:spacing w:val="-80"/>
          <w:w w:val="110"/>
        </w:rPr>
        <w:t xml:space="preserve"> </w:t>
      </w:r>
      <w:r>
        <w:rPr>
          <w:color w:val="333333"/>
          <w:w w:val="110"/>
        </w:rPr>
        <w:t xml:space="preserve">is set to </w:t>
      </w:r>
      <w:r>
        <w:rPr>
          <w:rFonts w:ascii="MS Gothic"/>
          <w:color w:val="B02045"/>
          <w:w w:val="110"/>
        </w:rPr>
        <w:t>FRAMEWORK</w:t>
      </w:r>
      <w:r>
        <w:rPr>
          <w:color w:val="333333"/>
          <w:w w:val="110"/>
        </w:rPr>
        <w:t>.</w:t>
      </w:r>
    </w:p>
    <w:p w14:paraId="46CEF594" w14:textId="77777777" w:rsidR="00A720EB" w:rsidRDefault="00A720EB">
      <w:pPr>
        <w:pStyle w:val="a3"/>
        <w:spacing w:before="9"/>
        <w:rPr>
          <w:sz w:val="25"/>
        </w:rPr>
      </w:pPr>
    </w:p>
    <w:p w14:paraId="0CB01BF1" w14:textId="77777777" w:rsidR="00A720EB" w:rsidRDefault="00E10349">
      <w:pPr>
        <w:pStyle w:val="a3"/>
        <w:spacing w:line="280" w:lineRule="auto"/>
        <w:ind w:left="1564"/>
      </w:pPr>
      <w:r>
        <w:pict w14:anchorId="1F34E280">
          <v:line id="_x0000_s1535" style="position:absolute;left:0;text-align:left;z-index:16358912;mso-position-horizontal-relative:page" from="108.25pt,-5.45pt" to="108.25pt,34.1pt" strokecolor="#ededed" strokeweight=".5pt">
            <w10:wrap anchorx="page"/>
          </v:line>
        </w:pict>
      </w:r>
      <w:r w:rsidR="0030286B">
        <w:rPr>
          <w:noProof/>
        </w:rPr>
        <w:drawing>
          <wp:anchor distT="0" distB="0" distL="0" distR="0" simplePos="0" relativeHeight="16359424" behindDoc="0" locked="0" layoutInCell="1" allowOverlap="1" wp14:anchorId="4AE1FD19" wp14:editId="5AB7958D">
            <wp:simplePos x="0" y="0"/>
            <wp:positionH relativeFrom="page">
              <wp:posOffset>844422</wp:posOffset>
            </wp:positionH>
            <wp:positionV relativeFrom="paragraph">
              <wp:posOffset>32588</wp:posOffset>
            </wp:positionV>
            <wp:extent cx="298450" cy="298450"/>
            <wp:effectExtent l="0" t="0" r="0" b="0"/>
            <wp:wrapNone/>
            <wp:docPr id="7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your application runs in Cloud Foundry or Heroku, the </w:t>
      </w:r>
      <w:r w:rsidR="0030286B">
        <w:rPr>
          <w:rFonts w:ascii="MS Gothic"/>
          <w:color w:val="B02045"/>
          <w:w w:val="110"/>
        </w:rPr>
        <w:t>server.forward-headers- strategy</w:t>
      </w:r>
      <w:r w:rsidR="0030286B">
        <w:rPr>
          <w:rFonts w:ascii="MS Gothic"/>
          <w:color w:val="B02045"/>
          <w:spacing w:val="-69"/>
          <w:w w:val="110"/>
        </w:rPr>
        <w:t xml:space="preserve"> </w:t>
      </w:r>
      <w:r w:rsidR="0030286B">
        <w:rPr>
          <w:color w:val="333333"/>
          <w:w w:val="110"/>
        </w:rPr>
        <w:t xml:space="preserve">property defaults to </w:t>
      </w:r>
      <w:r w:rsidR="0030286B">
        <w:rPr>
          <w:rFonts w:ascii="MS Gothic"/>
          <w:color w:val="B02045"/>
          <w:w w:val="110"/>
        </w:rPr>
        <w:t>NATIVE</w:t>
      </w:r>
      <w:r w:rsidR="0030286B">
        <w:rPr>
          <w:color w:val="333333"/>
          <w:w w:val="110"/>
        </w:rPr>
        <w:t xml:space="preserve">. In all other instances, it defaults to </w:t>
      </w:r>
      <w:r w:rsidR="0030286B">
        <w:rPr>
          <w:rFonts w:ascii="MS Gothic"/>
          <w:color w:val="B02045"/>
          <w:w w:val="110"/>
        </w:rPr>
        <w:t>NONE</w:t>
      </w:r>
      <w:r w:rsidR="0030286B">
        <w:rPr>
          <w:color w:val="333333"/>
          <w:w w:val="110"/>
        </w:rPr>
        <w:t>.</w:t>
      </w:r>
    </w:p>
    <w:p w14:paraId="5B2C929D" w14:textId="77777777" w:rsidR="00A720EB" w:rsidRDefault="00A720EB">
      <w:pPr>
        <w:pStyle w:val="a3"/>
        <w:spacing w:before="5"/>
        <w:rPr>
          <w:sz w:val="33"/>
        </w:rPr>
      </w:pPr>
    </w:p>
    <w:p w14:paraId="5801755D" w14:textId="77777777" w:rsidR="00A720EB" w:rsidRDefault="0030286B">
      <w:pPr>
        <w:pStyle w:val="4"/>
      </w:pPr>
      <w:bookmarkStart w:id="842" w:name="Customize_Tomcat’s_Proxy_Configuration"/>
      <w:bookmarkEnd w:id="842"/>
      <w:r>
        <w:rPr>
          <w:color w:val="333333"/>
          <w:w w:val="110"/>
        </w:rPr>
        <w:t>Customize Tomcat’s Proxy Configuration</w:t>
      </w:r>
    </w:p>
    <w:p w14:paraId="4B0052F1" w14:textId="77777777" w:rsidR="00A720EB" w:rsidRDefault="00A720EB">
      <w:pPr>
        <w:pStyle w:val="a3"/>
        <w:spacing w:before="12"/>
        <w:rPr>
          <w:rFonts w:ascii="Palatino Linotype"/>
          <w:b/>
          <w:sz w:val="18"/>
        </w:rPr>
      </w:pPr>
    </w:p>
    <w:p w14:paraId="667ABF71" w14:textId="77777777" w:rsidR="00A720EB" w:rsidRDefault="0030286B">
      <w:pPr>
        <w:pStyle w:val="a3"/>
        <w:spacing w:line="307" w:lineRule="auto"/>
        <w:ind w:left="124" w:right="130"/>
        <w:jc w:val="both"/>
      </w:pPr>
      <w:r>
        <w:rPr>
          <w:color w:val="333333"/>
          <w:w w:val="115"/>
        </w:rPr>
        <w:t>If you use Tomcat, you can additionally configure the names of the headers used to carry “forwarded” information, as shown in the following example:</w:t>
      </w:r>
    </w:p>
    <w:p w14:paraId="0E0F2E5E" w14:textId="77777777" w:rsidR="00A720EB" w:rsidRDefault="00E10349">
      <w:pPr>
        <w:pStyle w:val="a3"/>
        <w:spacing w:before="1"/>
        <w:rPr>
          <w:sz w:val="13"/>
        </w:rPr>
      </w:pPr>
      <w:r>
        <w:pict w14:anchorId="4FF12A86">
          <v:group id="_x0000_s1531" style="position:absolute;margin-left:47.85pt;margin-top:9.7pt;width:499.55pt;height:52.25pt;z-index:-15098880;mso-wrap-distance-left:0;mso-wrap-distance-right:0;mso-position-horizontal-relative:page" coordorigin="957,194" coordsize="9991,1045">
            <v:shape id="_x0000_s1534" style="position:absolute;left:964;top:201;width:9976;height:1030" coordorigin="965,201" coordsize="9976,1030" path="m10861,201r-9816,l1014,208r-26,17l971,250r-6,31l965,1151r6,31l988,1207r26,18l1045,1231r9816,l10892,1225r25,-18l10935,1182r6,-31l10941,281r-6,-31l10917,225r-25,-17l10861,201xe" fillcolor="#f5f5f5" stroked="f">
              <v:path arrowok="t"/>
            </v:shape>
            <v:shape id="_x0000_s1533" style="position:absolute;left:964;top:201;width:9976;height:1030" coordorigin="965,201" coordsize="9976,1030" path="m1045,201r9816,l10892,208r25,17l10935,250r6,31l10941,1151r-6,31l10917,1207r-25,18l10861,1231r-9816,l1014,1225r-26,-18l971,1182r-6,-31l965,281r6,-31l988,225r26,-17l1045,201xe" filled="f" strokecolor="#ccc">
              <v:path arrowok="t"/>
            </v:shape>
            <v:shape id="_x0000_s1532" type="#_x0000_t202" style="position:absolute;left:984;top:216;width:9938;height:999" filled="f" stroked="f">
              <v:textbox inset="0,0,0,0">
                <w:txbxContent>
                  <w:p w14:paraId="4B8AED0B" w14:textId="77777777" w:rsidR="00711A16" w:rsidRDefault="00711A16">
                    <w:pPr>
                      <w:spacing w:before="221" w:line="252" w:lineRule="auto"/>
                      <w:ind w:left="200" w:right="2804"/>
                      <w:rPr>
                        <w:rFonts w:ascii="MS Gothic"/>
                      </w:rPr>
                    </w:pPr>
                    <w:proofErr w:type="gramStart"/>
                    <w:r>
                      <w:rPr>
                        <w:rFonts w:ascii="MS Gothic"/>
                        <w:color w:val="333333"/>
                      </w:rPr>
                      <w:t>server.tomcat</w:t>
                    </w:r>
                    <w:proofErr w:type="gramEnd"/>
                    <w:r>
                      <w:rPr>
                        <w:rFonts w:ascii="MS Gothic"/>
                        <w:color w:val="333333"/>
                      </w:rPr>
                      <w:t>.remoteip.remote-ip-header=x-your-remote-ip-header server.tomcat.remoteip.protocol-header=x-your-protocol-header</w:t>
                    </w:r>
                  </w:p>
                </w:txbxContent>
              </v:textbox>
            </v:shape>
            <w10:wrap type="topAndBottom" anchorx="page"/>
          </v:group>
        </w:pict>
      </w:r>
    </w:p>
    <w:p w14:paraId="7772773B" w14:textId="77777777" w:rsidR="00A720EB" w:rsidRDefault="00A720EB">
      <w:pPr>
        <w:pStyle w:val="a3"/>
        <w:rPr>
          <w:sz w:val="10"/>
        </w:rPr>
      </w:pPr>
    </w:p>
    <w:p w14:paraId="7D54FD47" w14:textId="77777777" w:rsidR="00A720EB" w:rsidRDefault="0030286B">
      <w:pPr>
        <w:pStyle w:val="a3"/>
        <w:spacing w:before="125" w:line="297" w:lineRule="auto"/>
        <w:ind w:left="124" w:right="123"/>
      </w:pPr>
      <w:r>
        <w:rPr>
          <w:color w:val="333333"/>
          <w:w w:val="110"/>
        </w:rPr>
        <w:t>Tomcat is also configured with a default regular expression that matches internal proxies that are    to</w:t>
      </w:r>
      <w:r>
        <w:rPr>
          <w:color w:val="333333"/>
          <w:spacing w:val="-4"/>
          <w:w w:val="110"/>
        </w:rPr>
        <w:t xml:space="preserve"> </w:t>
      </w:r>
      <w:r>
        <w:rPr>
          <w:color w:val="333333"/>
          <w:w w:val="110"/>
        </w:rPr>
        <w:t>be</w:t>
      </w:r>
      <w:r>
        <w:rPr>
          <w:color w:val="333333"/>
          <w:spacing w:val="-5"/>
          <w:w w:val="110"/>
        </w:rPr>
        <w:t xml:space="preserve"> </w:t>
      </w:r>
      <w:r>
        <w:rPr>
          <w:color w:val="333333"/>
          <w:w w:val="110"/>
        </w:rPr>
        <w:t>trusted.</w:t>
      </w:r>
      <w:r>
        <w:rPr>
          <w:color w:val="333333"/>
          <w:spacing w:val="-3"/>
          <w:w w:val="110"/>
        </w:rPr>
        <w:t xml:space="preserve"> By</w:t>
      </w:r>
      <w:r>
        <w:rPr>
          <w:color w:val="333333"/>
          <w:spacing w:val="-5"/>
          <w:w w:val="110"/>
        </w:rPr>
        <w:t xml:space="preserve"> </w:t>
      </w:r>
      <w:r>
        <w:rPr>
          <w:color w:val="333333"/>
          <w:w w:val="110"/>
        </w:rPr>
        <w:t>default,</w:t>
      </w:r>
      <w:r>
        <w:rPr>
          <w:color w:val="333333"/>
          <w:spacing w:val="-4"/>
          <w:w w:val="110"/>
        </w:rPr>
        <w:t xml:space="preserve"> </w:t>
      </w:r>
      <w:r>
        <w:rPr>
          <w:color w:val="333333"/>
          <w:w w:val="110"/>
        </w:rPr>
        <w:t>IP</w:t>
      </w:r>
      <w:r>
        <w:rPr>
          <w:color w:val="333333"/>
          <w:spacing w:val="-4"/>
          <w:w w:val="110"/>
        </w:rPr>
        <w:t xml:space="preserve"> </w:t>
      </w:r>
      <w:r>
        <w:rPr>
          <w:color w:val="333333"/>
          <w:w w:val="110"/>
        </w:rPr>
        <w:t>addresses</w:t>
      </w:r>
      <w:r>
        <w:rPr>
          <w:color w:val="333333"/>
          <w:spacing w:val="-5"/>
          <w:w w:val="110"/>
        </w:rPr>
        <w:t xml:space="preserve"> </w:t>
      </w:r>
      <w:r>
        <w:rPr>
          <w:color w:val="333333"/>
          <w:w w:val="110"/>
        </w:rPr>
        <w:t xml:space="preserve">in </w:t>
      </w:r>
      <w:r>
        <w:rPr>
          <w:rFonts w:ascii="MS Gothic"/>
          <w:color w:val="B02045"/>
          <w:w w:val="110"/>
        </w:rPr>
        <w:t>10/8</w:t>
      </w:r>
      <w:r>
        <w:rPr>
          <w:color w:val="333333"/>
          <w:w w:val="110"/>
        </w:rPr>
        <w:t>,</w:t>
      </w:r>
      <w:r>
        <w:rPr>
          <w:color w:val="333333"/>
          <w:spacing w:val="-4"/>
          <w:w w:val="110"/>
        </w:rPr>
        <w:t xml:space="preserve"> </w:t>
      </w:r>
      <w:r>
        <w:rPr>
          <w:rFonts w:ascii="MS Gothic"/>
          <w:color w:val="B02045"/>
          <w:w w:val="110"/>
        </w:rPr>
        <w:t>192.168/16</w:t>
      </w:r>
      <w:r>
        <w:rPr>
          <w:color w:val="333333"/>
          <w:w w:val="110"/>
        </w:rPr>
        <w:t>,</w:t>
      </w:r>
      <w:r>
        <w:rPr>
          <w:color w:val="333333"/>
          <w:spacing w:val="-3"/>
          <w:w w:val="110"/>
        </w:rPr>
        <w:t xml:space="preserve"> </w:t>
      </w:r>
      <w:r>
        <w:rPr>
          <w:rFonts w:ascii="MS Gothic"/>
          <w:color w:val="B02045"/>
          <w:w w:val="110"/>
        </w:rPr>
        <w:t>169.254/16</w:t>
      </w:r>
      <w:r>
        <w:rPr>
          <w:rFonts w:ascii="MS Gothic"/>
          <w:color w:val="B02045"/>
          <w:spacing w:val="-69"/>
          <w:w w:val="110"/>
        </w:rPr>
        <w:t xml:space="preserve"> </w:t>
      </w:r>
      <w:r>
        <w:rPr>
          <w:color w:val="333333"/>
          <w:w w:val="110"/>
        </w:rPr>
        <w:t>and</w:t>
      </w:r>
      <w:r>
        <w:rPr>
          <w:color w:val="333333"/>
          <w:spacing w:val="-3"/>
          <w:w w:val="110"/>
        </w:rPr>
        <w:t xml:space="preserve"> </w:t>
      </w:r>
      <w:r>
        <w:rPr>
          <w:rFonts w:ascii="MS Gothic"/>
          <w:color w:val="B02045"/>
          <w:w w:val="110"/>
        </w:rPr>
        <w:t>127/8</w:t>
      </w:r>
      <w:r>
        <w:rPr>
          <w:rFonts w:ascii="MS Gothic"/>
          <w:color w:val="B02045"/>
          <w:spacing w:val="-69"/>
          <w:w w:val="110"/>
        </w:rPr>
        <w:t xml:space="preserve"> </w:t>
      </w:r>
      <w:r>
        <w:rPr>
          <w:color w:val="333333"/>
          <w:w w:val="110"/>
        </w:rPr>
        <w:t>are</w:t>
      </w:r>
      <w:r>
        <w:rPr>
          <w:color w:val="333333"/>
          <w:spacing w:val="-4"/>
          <w:w w:val="110"/>
        </w:rPr>
        <w:t xml:space="preserve"> </w:t>
      </w:r>
      <w:r>
        <w:rPr>
          <w:color w:val="333333"/>
          <w:w w:val="110"/>
        </w:rPr>
        <w:t>trusted.</w:t>
      </w:r>
      <w:r>
        <w:rPr>
          <w:color w:val="333333"/>
          <w:spacing w:val="-4"/>
          <w:w w:val="110"/>
        </w:rPr>
        <w:t xml:space="preserve"> </w:t>
      </w:r>
      <w:r>
        <w:rPr>
          <w:color w:val="333333"/>
          <w:spacing w:val="-6"/>
          <w:w w:val="110"/>
        </w:rPr>
        <w:t>You</w:t>
      </w:r>
      <w:r>
        <w:rPr>
          <w:color w:val="333333"/>
          <w:spacing w:val="-4"/>
          <w:w w:val="110"/>
        </w:rPr>
        <w:t xml:space="preserve"> </w:t>
      </w:r>
      <w:r>
        <w:rPr>
          <w:color w:val="333333"/>
          <w:w w:val="110"/>
        </w:rPr>
        <w:t>can</w:t>
      </w:r>
    </w:p>
    <w:p w14:paraId="40858DE5" w14:textId="77777777" w:rsidR="00A720EB" w:rsidRDefault="00A720EB">
      <w:pPr>
        <w:spacing w:line="297" w:lineRule="auto"/>
        <w:sectPr w:rsidR="00A720EB">
          <w:pgSz w:w="11910" w:h="16840"/>
          <w:pgMar w:top="700" w:right="840" w:bottom="520" w:left="840" w:header="0" w:footer="323" w:gutter="0"/>
          <w:cols w:space="720"/>
        </w:sectPr>
      </w:pPr>
    </w:p>
    <w:p w14:paraId="5EA162D4" w14:textId="77777777" w:rsidR="00A720EB" w:rsidRDefault="0030286B">
      <w:pPr>
        <w:pStyle w:val="a3"/>
        <w:spacing w:before="96" w:line="290" w:lineRule="auto"/>
        <w:ind w:left="124"/>
      </w:pPr>
      <w:r>
        <w:rPr>
          <w:color w:val="333333"/>
          <w:w w:val="110"/>
        </w:rPr>
        <w:lastRenderedPageBreak/>
        <w:t xml:space="preserve">customize the valve’s configuration by adding an entry to </w:t>
      </w:r>
      <w:proofErr w:type="gramStart"/>
      <w:r>
        <w:rPr>
          <w:rFonts w:ascii="MS Gothic" w:hAnsi="MS Gothic"/>
          <w:color w:val="B02045"/>
          <w:w w:val="110"/>
        </w:rPr>
        <w:t>application.properties</w:t>
      </w:r>
      <w:proofErr w:type="gramEnd"/>
      <w:r>
        <w:rPr>
          <w:color w:val="333333"/>
          <w:w w:val="110"/>
        </w:rPr>
        <w:t>, as shown in the following example:</w:t>
      </w:r>
    </w:p>
    <w:p w14:paraId="70595AA5" w14:textId="77777777" w:rsidR="00A720EB" w:rsidRDefault="00E10349">
      <w:pPr>
        <w:pStyle w:val="a3"/>
        <w:spacing w:before="7"/>
        <w:rPr>
          <w:sz w:val="14"/>
        </w:rPr>
      </w:pPr>
      <w:r>
        <w:pict w14:anchorId="71F92A86">
          <v:group id="_x0000_s1527" style="position:absolute;margin-left:47.85pt;margin-top:10.55pt;width:499.55pt;height:37.5pt;z-index:-15097344;mso-wrap-distance-left:0;mso-wrap-distance-right:0;mso-position-horizontal-relative:page" coordorigin="957,211" coordsize="9991,750">
            <v:shape id="_x0000_s1530" style="position:absolute;left:964;top:218;width:9976;height:735" coordorigin="965,219" coordsize="9976,735" path="m10861,219r-9816,l1014,225r-26,17l971,268r-6,31l965,874r6,31l988,930r26,17l1045,954r9816,l10892,947r25,-17l10935,905r6,-31l10941,299r-6,-31l10917,242r-25,-17l10861,219xe" fillcolor="#f5f5f5" stroked="f">
              <v:path arrowok="t"/>
            </v:shape>
            <v:shape id="_x0000_s1529" style="position:absolute;left:964;top:218;width:9976;height:735" coordorigin="965,219" coordsize="9976,735" path="m1045,219r9816,l10892,225r25,17l10935,268r6,31l10941,874r-6,31l10917,930r-25,17l10861,954r-9816,l1014,947,988,930,971,905r-6,-31l965,299r6,-31l988,242r26,-17l1045,219xe" filled="f" strokecolor="#ccc">
              <v:path arrowok="t"/>
            </v:shape>
            <v:shape id="_x0000_s1528" type="#_x0000_t202" style="position:absolute;left:984;top:234;width:9938;height:704" filled="f" stroked="f">
              <v:textbox inset="0,0,0,0">
                <w:txbxContent>
                  <w:p w14:paraId="4BDF09D3" w14:textId="77777777" w:rsidR="00711A16" w:rsidRDefault="00711A16">
                    <w:pPr>
                      <w:spacing w:before="221"/>
                      <w:ind w:left="200"/>
                      <w:rPr>
                        <w:rFonts w:ascii="MS Gothic"/>
                      </w:rPr>
                    </w:pPr>
                    <w:proofErr w:type="gramStart"/>
                    <w:r>
                      <w:rPr>
                        <w:rFonts w:ascii="MS Gothic"/>
                        <w:color w:val="333333"/>
                      </w:rPr>
                      <w:t>server.tomcat</w:t>
                    </w:r>
                    <w:proofErr w:type="gramEnd"/>
                    <w:r>
                      <w:rPr>
                        <w:rFonts w:ascii="MS Gothic"/>
                        <w:color w:val="333333"/>
                      </w:rPr>
                      <w:t>.remoteip.internal-proxies=192\\.168\\.\\d{1,3}\\.\\d{1,3}</w:t>
                    </w:r>
                  </w:p>
                </w:txbxContent>
              </v:textbox>
            </v:shape>
            <w10:wrap type="topAndBottom" anchorx="page"/>
          </v:group>
        </w:pict>
      </w:r>
    </w:p>
    <w:p w14:paraId="2EF760E8" w14:textId="77777777" w:rsidR="00A720EB" w:rsidRDefault="00A720EB">
      <w:pPr>
        <w:pStyle w:val="a3"/>
        <w:spacing w:before="10"/>
        <w:rPr>
          <w:sz w:val="16"/>
        </w:rPr>
      </w:pPr>
    </w:p>
    <w:p w14:paraId="634D6C96" w14:textId="77777777" w:rsidR="00A720EB" w:rsidRDefault="00E10349">
      <w:pPr>
        <w:pStyle w:val="a3"/>
        <w:spacing w:before="125" w:line="304" w:lineRule="auto"/>
        <w:ind w:left="1564" w:right="366"/>
        <w:jc w:val="both"/>
      </w:pPr>
      <w:r>
        <w:pict w14:anchorId="7EE13A55">
          <v:line id="_x0000_s1526" style="position:absolute;left:0;text-align:left;z-index:16360448;mso-position-horizontal-relative:page" from="108.25pt,.25pt" to="108.25pt,71.4pt" strokecolor="#ededed" strokeweight=".5pt">
            <w10:wrap anchorx="page"/>
          </v:line>
        </w:pict>
      </w:r>
      <w:r w:rsidR="0030286B">
        <w:rPr>
          <w:noProof/>
        </w:rPr>
        <w:drawing>
          <wp:anchor distT="0" distB="0" distL="0" distR="0" simplePos="0" relativeHeight="16360960" behindDoc="0" locked="0" layoutInCell="1" allowOverlap="1" wp14:anchorId="2187BF33" wp14:editId="6FBEC5CA">
            <wp:simplePos x="0" y="0"/>
            <wp:positionH relativeFrom="page">
              <wp:posOffset>844422</wp:posOffset>
            </wp:positionH>
            <wp:positionV relativeFrom="paragraph">
              <wp:posOffset>305727</wp:posOffset>
            </wp:positionV>
            <wp:extent cx="298450" cy="298450"/>
            <wp:effectExtent l="0" t="0" r="0" b="0"/>
            <wp:wrapNone/>
            <wp:docPr id="7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double backslashes are required only when you use a properties file for configuration. If you use YAML, single backslashes are sufficient, and a value equivalent to that shown in the preceding example would be </w:t>
      </w:r>
      <w:r w:rsidR="0030286B">
        <w:rPr>
          <w:rFonts w:ascii="MS Gothic"/>
          <w:color w:val="B02045"/>
          <w:w w:val="110"/>
        </w:rPr>
        <w:t>192\.168\.\d{1,</w:t>
      </w:r>
      <w:proofErr w:type="gramStart"/>
      <w:r w:rsidR="0030286B">
        <w:rPr>
          <w:rFonts w:ascii="MS Gothic"/>
          <w:color w:val="B02045"/>
          <w:w w:val="110"/>
        </w:rPr>
        <w:t>3}\.\d</w:t>
      </w:r>
      <w:proofErr w:type="gramEnd"/>
      <w:r w:rsidR="0030286B">
        <w:rPr>
          <w:rFonts w:ascii="MS Gothic"/>
          <w:color w:val="B02045"/>
          <w:w w:val="110"/>
        </w:rPr>
        <w:t>{1,3}</w:t>
      </w:r>
      <w:r w:rsidR="0030286B">
        <w:rPr>
          <w:color w:val="333333"/>
          <w:w w:val="110"/>
        </w:rPr>
        <w:t>.</w:t>
      </w:r>
    </w:p>
    <w:p w14:paraId="2C4B9B33" w14:textId="77777777" w:rsidR="00A720EB" w:rsidRDefault="00A720EB">
      <w:pPr>
        <w:pStyle w:val="a3"/>
        <w:spacing w:before="8"/>
        <w:rPr>
          <w:sz w:val="31"/>
        </w:rPr>
      </w:pPr>
    </w:p>
    <w:p w14:paraId="6B8DABCC" w14:textId="77777777" w:rsidR="00A720EB" w:rsidRDefault="00E10349">
      <w:pPr>
        <w:pStyle w:val="a3"/>
        <w:spacing w:before="1" w:line="290" w:lineRule="auto"/>
        <w:ind w:left="1564" w:right="363"/>
        <w:jc w:val="both"/>
      </w:pPr>
      <w:r>
        <w:pict w14:anchorId="04B6D46B">
          <v:line id="_x0000_s1525" style="position:absolute;left:0;text-align:left;z-index:16361472;mso-position-horizontal-relative:page" from="108.25pt,-5.4pt" to="108.25pt,34.15pt" strokecolor="#ededed" strokeweight=".5pt">
            <w10:wrap anchorx="page"/>
          </v:line>
        </w:pict>
      </w:r>
      <w:r w:rsidR="0030286B">
        <w:rPr>
          <w:noProof/>
        </w:rPr>
        <w:drawing>
          <wp:anchor distT="0" distB="0" distL="0" distR="0" simplePos="0" relativeHeight="16361984" behindDoc="0" locked="0" layoutInCell="1" allowOverlap="1" wp14:anchorId="74FFAE10" wp14:editId="0FC58790">
            <wp:simplePos x="0" y="0"/>
            <wp:positionH relativeFrom="page">
              <wp:posOffset>844422</wp:posOffset>
            </wp:positionH>
            <wp:positionV relativeFrom="paragraph">
              <wp:posOffset>33222</wp:posOffset>
            </wp:positionV>
            <wp:extent cx="298450" cy="298450"/>
            <wp:effectExtent l="0" t="0" r="0" b="0"/>
            <wp:wrapNone/>
            <wp:docPr id="7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6"/>
          <w:w w:val="110"/>
        </w:rPr>
        <w:t xml:space="preserve">You </w:t>
      </w:r>
      <w:r w:rsidR="0030286B">
        <w:rPr>
          <w:color w:val="333333"/>
          <w:w w:val="110"/>
        </w:rPr>
        <w:t xml:space="preserve">can trust all proxies </w:t>
      </w:r>
      <w:r w:rsidR="0030286B">
        <w:rPr>
          <w:color w:val="333333"/>
          <w:spacing w:val="-3"/>
          <w:w w:val="110"/>
        </w:rPr>
        <w:t xml:space="preserve">by </w:t>
      </w:r>
      <w:r w:rsidR="0030286B">
        <w:rPr>
          <w:color w:val="333333"/>
          <w:w w:val="110"/>
        </w:rPr>
        <w:t xml:space="preserve">setting the </w:t>
      </w:r>
      <w:r w:rsidR="0030286B">
        <w:rPr>
          <w:rFonts w:ascii="MS Gothic"/>
          <w:color w:val="B02045"/>
          <w:w w:val="110"/>
        </w:rPr>
        <w:t>internal-proxies</w:t>
      </w:r>
      <w:r w:rsidR="0030286B">
        <w:rPr>
          <w:rFonts w:ascii="MS Gothic"/>
          <w:color w:val="B02045"/>
          <w:spacing w:val="-92"/>
          <w:w w:val="110"/>
        </w:rPr>
        <w:t xml:space="preserve"> </w:t>
      </w:r>
      <w:r w:rsidR="0030286B">
        <w:rPr>
          <w:color w:val="333333"/>
          <w:w w:val="110"/>
        </w:rPr>
        <w:t>to empty (but do not do so in production).</w:t>
      </w:r>
    </w:p>
    <w:p w14:paraId="35049AC2" w14:textId="77777777" w:rsidR="00A720EB" w:rsidRDefault="00A720EB">
      <w:pPr>
        <w:pStyle w:val="a3"/>
        <w:rPr>
          <w:sz w:val="18"/>
        </w:rPr>
      </w:pPr>
    </w:p>
    <w:p w14:paraId="0CB1E2D1" w14:textId="77777777" w:rsidR="00A720EB" w:rsidRDefault="0030286B">
      <w:pPr>
        <w:pStyle w:val="a3"/>
        <w:spacing w:before="116" w:line="280" w:lineRule="auto"/>
        <w:ind w:left="124" w:right="122"/>
        <w:jc w:val="both"/>
      </w:pPr>
      <w:r>
        <w:rPr>
          <w:color w:val="333333"/>
          <w:spacing w:val="-6"/>
          <w:w w:val="110"/>
        </w:rPr>
        <w:t xml:space="preserve">You </w:t>
      </w:r>
      <w:r>
        <w:rPr>
          <w:color w:val="333333"/>
          <w:w w:val="110"/>
        </w:rPr>
        <w:t xml:space="preserve">can take complete control of the configuration of Tomcat’s </w:t>
      </w:r>
      <w:r>
        <w:rPr>
          <w:rFonts w:ascii="MS Gothic" w:hAnsi="MS Gothic"/>
          <w:color w:val="B02045"/>
          <w:w w:val="110"/>
        </w:rPr>
        <w:t xml:space="preserve">RemoteIpValve </w:t>
      </w:r>
      <w:r>
        <w:rPr>
          <w:color w:val="333333"/>
          <w:spacing w:val="-3"/>
          <w:w w:val="110"/>
        </w:rPr>
        <w:t xml:space="preserve">by </w:t>
      </w:r>
      <w:r>
        <w:rPr>
          <w:color w:val="333333"/>
          <w:w w:val="110"/>
        </w:rPr>
        <w:t xml:space="preserve">switching the automatic one off (to do so, set </w:t>
      </w:r>
      <w:r>
        <w:rPr>
          <w:rFonts w:ascii="MS Gothic" w:hAnsi="MS Gothic"/>
          <w:color w:val="B02045"/>
          <w:w w:val="110"/>
        </w:rPr>
        <w:t>server.forward-headers-strategy=NONE</w:t>
      </w:r>
      <w:r>
        <w:rPr>
          <w:color w:val="333333"/>
          <w:w w:val="110"/>
        </w:rPr>
        <w:t xml:space="preserve">) and adding a new valve instance in a </w:t>
      </w:r>
      <w:r>
        <w:rPr>
          <w:rFonts w:ascii="MS Gothic" w:hAnsi="MS Gothic"/>
          <w:color w:val="B02045"/>
          <w:w w:val="110"/>
        </w:rPr>
        <w:t>TomcatServletWebServerFactory</w:t>
      </w:r>
      <w:r>
        <w:rPr>
          <w:rFonts w:ascii="MS Gothic" w:hAnsi="MS Gothic"/>
          <w:color w:val="B02045"/>
          <w:spacing w:val="-63"/>
          <w:w w:val="110"/>
        </w:rPr>
        <w:t xml:space="preserve"> </w:t>
      </w:r>
      <w:r>
        <w:rPr>
          <w:color w:val="333333"/>
          <w:w w:val="110"/>
        </w:rPr>
        <w:t>bean.</w:t>
      </w:r>
    </w:p>
    <w:p w14:paraId="1F571357" w14:textId="77777777" w:rsidR="00A720EB" w:rsidRDefault="00A720EB">
      <w:pPr>
        <w:pStyle w:val="a3"/>
        <w:spacing w:before="9"/>
        <w:rPr>
          <w:sz w:val="26"/>
        </w:rPr>
      </w:pPr>
    </w:p>
    <w:p w14:paraId="6A8DB8E9" w14:textId="77777777" w:rsidR="00A720EB" w:rsidRDefault="0030286B">
      <w:pPr>
        <w:pStyle w:val="3"/>
        <w:numPr>
          <w:ilvl w:val="2"/>
          <w:numId w:val="13"/>
        </w:numPr>
        <w:tabs>
          <w:tab w:val="left" w:pos="1003"/>
        </w:tabs>
        <w:ind w:left="1002" w:hanging="879"/>
      </w:pPr>
      <w:bookmarkStart w:id="843" w:name="9.3.13._Enable_Multiple_Connectors_with_"/>
      <w:bookmarkStart w:id="844" w:name="_Toc54423943"/>
      <w:bookmarkEnd w:id="843"/>
      <w:r>
        <w:rPr>
          <w:color w:val="333333"/>
          <w:w w:val="110"/>
        </w:rPr>
        <w:t>Enable Multiple Connectors with</w:t>
      </w:r>
      <w:r>
        <w:rPr>
          <w:color w:val="333333"/>
          <w:spacing w:val="-24"/>
          <w:w w:val="110"/>
        </w:rPr>
        <w:t xml:space="preserve"> </w:t>
      </w:r>
      <w:r>
        <w:rPr>
          <w:color w:val="333333"/>
          <w:spacing w:val="-3"/>
          <w:w w:val="110"/>
        </w:rPr>
        <w:t>Tomcat</w:t>
      </w:r>
      <w:bookmarkEnd w:id="844"/>
    </w:p>
    <w:p w14:paraId="59FBA759" w14:textId="77777777" w:rsidR="00A720EB" w:rsidRDefault="0030286B">
      <w:pPr>
        <w:pStyle w:val="a3"/>
        <w:spacing w:before="244" w:line="300" w:lineRule="auto"/>
        <w:ind w:left="124" w:right="122"/>
        <w:jc w:val="both"/>
      </w:pPr>
      <w:r>
        <w:rPr>
          <w:color w:val="333333"/>
          <w:w w:val="105"/>
        </w:rPr>
        <w:t xml:space="preserve">You can add an </w:t>
      </w:r>
      <w:proofErr w:type="gramStart"/>
      <w:r>
        <w:rPr>
          <w:rFonts w:ascii="MS Gothic"/>
          <w:color w:val="B02045"/>
          <w:w w:val="105"/>
        </w:rPr>
        <w:t>org.apache</w:t>
      </w:r>
      <w:proofErr w:type="gramEnd"/>
      <w:r>
        <w:rPr>
          <w:rFonts w:ascii="MS Gothic"/>
          <w:color w:val="B02045"/>
          <w:w w:val="105"/>
        </w:rPr>
        <w:t xml:space="preserve">.catalina.connector.Connector </w:t>
      </w:r>
      <w:r>
        <w:rPr>
          <w:color w:val="333333"/>
          <w:w w:val="105"/>
        </w:rPr>
        <w:t xml:space="preserve">to the </w:t>
      </w:r>
      <w:r>
        <w:rPr>
          <w:rFonts w:ascii="MS Gothic"/>
          <w:color w:val="B02045"/>
          <w:w w:val="105"/>
        </w:rPr>
        <w:t>TomcatServletWebServerFactory</w:t>
      </w:r>
      <w:r>
        <w:rPr>
          <w:color w:val="333333"/>
          <w:w w:val="105"/>
        </w:rPr>
        <w:t xml:space="preserve">, </w:t>
      </w:r>
      <w:r>
        <w:rPr>
          <w:color w:val="333333"/>
          <w:w w:val="110"/>
        </w:rPr>
        <w:t>which can allow multiple connectors, including HTTP and HTTPS connectors, as shown in the following example:</w:t>
      </w:r>
    </w:p>
    <w:p w14:paraId="264FDFF8" w14:textId="77777777" w:rsidR="00A720EB" w:rsidRDefault="00A720EB">
      <w:pPr>
        <w:spacing w:line="300" w:lineRule="auto"/>
        <w:jc w:val="both"/>
        <w:sectPr w:rsidR="00A720EB">
          <w:pgSz w:w="11910" w:h="16840"/>
          <w:pgMar w:top="620" w:right="840" w:bottom="520" w:left="840" w:header="0" w:footer="323" w:gutter="0"/>
          <w:cols w:space="720"/>
        </w:sectPr>
      </w:pPr>
    </w:p>
    <w:p w14:paraId="614FF061" w14:textId="77777777" w:rsidR="00A720EB" w:rsidRDefault="00A720EB">
      <w:pPr>
        <w:pStyle w:val="a3"/>
        <w:spacing w:before="4"/>
        <w:rPr>
          <w:sz w:val="10"/>
        </w:rPr>
      </w:pPr>
    </w:p>
    <w:p w14:paraId="52C5976C" w14:textId="77777777" w:rsidR="00A720EB" w:rsidRDefault="00E10349">
      <w:pPr>
        <w:spacing w:before="117"/>
        <w:ind w:left="344"/>
        <w:rPr>
          <w:rFonts w:ascii="MS Gothic"/>
        </w:rPr>
      </w:pPr>
      <w:r>
        <w:pict w14:anchorId="27EE5A95">
          <v:group id="_x0000_s1522" style="position:absolute;left:0;text-align:left;margin-left:47.85pt;margin-top:-6.35pt;width:499.55pt;height:450.25pt;z-index:-41171456;mso-position-horizontal-relative:page" coordorigin="957,-127" coordsize="9991,9005">
            <v:shape id="_x0000_s1524" style="position:absolute;left:964;top:-120;width:9976;height:8990" coordorigin="965,-119" coordsize="9976,8990" path="m10861,-119r-9816,l1014,-113r-26,17l971,-71r-6,32l965,8790r6,31l988,8846r26,17l1045,8870r9816,l10892,8863r25,-17l10935,8821r6,-31l10941,-39r-6,-32l10917,-96r-25,-17l10861,-119xe" fillcolor="#f5f5f5" stroked="f">
              <v:path arrowok="t"/>
            </v:shape>
            <v:shape id="_x0000_s1523" style="position:absolute;left:964;top:-120;width:9976;height:8990" coordorigin="965,-119" coordsize="9976,8990" path="m1045,-119r9816,l10892,-113r25,17l10935,-71r6,32l10941,8790r-6,31l10917,8846r-25,17l10861,8870r-9816,l1014,8863r-26,-17l971,8821r-6,-31l965,-39r6,-32l988,-96r26,-17l1045,-119xe" filled="f" strokecolor="#ccc">
              <v:path arrowok="t"/>
            </v:shape>
            <w10:wrap anchorx="page"/>
          </v:group>
        </w:pict>
      </w:r>
      <w:r w:rsidR="0030286B">
        <w:rPr>
          <w:rFonts w:ascii="MS Gothic"/>
          <w:color w:val="333333"/>
        </w:rPr>
        <w:t>@Bean</w:t>
      </w:r>
    </w:p>
    <w:p w14:paraId="014EF071" w14:textId="77777777" w:rsidR="00A720EB" w:rsidRDefault="0030286B">
      <w:pPr>
        <w:spacing w:before="13" w:line="252" w:lineRule="auto"/>
        <w:ind w:left="784" w:right="1176" w:hanging="440"/>
        <w:rPr>
          <w:rFonts w:ascii="MS Gothic"/>
        </w:rPr>
      </w:pPr>
      <w:r>
        <w:rPr>
          <w:rFonts w:ascii="MS Gothic"/>
          <w:color w:val="333333"/>
        </w:rPr>
        <w:t xml:space="preserve">public ServletWebServerFactory </w:t>
      </w:r>
      <w:proofErr w:type="gramStart"/>
      <w:r>
        <w:rPr>
          <w:rFonts w:ascii="MS Gothic"/>
          <w:color w:val="333333"/>
        </w:rPr>
        <w:t>servletContainer(</w:t>
      </w:r>
      <w:proofErr w:type="gramEnd"/>
      <w:r>
        <w:rPr>
          <w:rFonts w:ascii="MS Gothic"/>
          <w:color w:val="333333"/>
        </w:rPr>
        <w:t>) { TomcatServletWebServerFactory tomcat = new TomcatServletWebServerFactory(); tomcat.addAdditionalTomcatConnectors(createSslConnector());</w:t>
      </w:r>
    </w:p>
    <w:p w14:paraId="4C6AC93C" w14:textId="77777777" w:rsidR="00A720EB" w:rsidRDefault="0030286B">
      <w:pPr>
        <w:spacing w:line="275" w:lineRule="exact"/>
        <w:ind w:left="784"/>
        <w:rPr>
          <w:rFonts w:ascii="MS Gothic"/>
        </w:rPr>
      </w:pPr>
      <w:r>
        <w:rPr>
          <w:rFonts w:ascii="MS Gothic"/>
          <w:color w:val="333333"/>
        </w:rPr>
        <w:t>return tomcat;</w:t>
      </w:r>
    </w:p>
    <w:p w14:paraId="37B6E6C1" w14:textId="77777777" w:rsidR="00A720EB" w:rsidRDefault="0030286B">
      <w:pPr>
        <w:spacing w:before="17"/>
        <w:ind w:left="344"/>
        <w:rPr>
          <w:rFonts w:ascii="MS Gothic"/>
        </w:rPr>
      </w:pPr>
      <w:r>
        <w:rPr>
          <w:rFonts w:ascii="MS Gothic"/>
          <w:color w:val="333333"/>
        </w:rPr>
        <w:t>}</w:t>
      </w:r>
    </w:p>
    <w:p w14:paraId="7EBF44E3" w14:textId="77777777" w:rsidR="00A720EB" w:rsidRDefault="00A720EB">
      <w:pPr>
        <w:pStyle w:val="a3"/>
        <w:rPr>
          <w:rFonts w:ascii="MS Gothic"/>
          <w:sz w:val="24"/>
        </w:rPr>
      </w:pPr>
    </w:p>
    <w:p w14:paraId="0AC2C34F" w14:textId="77777777" w:rsidR="00A720EB" w:rsidRDefault="0030286B">
      <w:pPr>
        <w:ind w:left="344"/>
        <w:rPr>
          <w:rFonts w:ascii="MS Gothic"/>
        </w:rPr>
      </w:pPr>
      <w:r>
        <w:rPr>
          <w:rFonts w:ascii="MS Gothic"/>
          <w:color w:val="333333"/>
        </w:rPr>
        <w:t xml:space="preserve">private Connector </w:t>
      </w:r>
      <w:proofErr w:type="gramStart"/>
      <w:r>
        <w:rPr>
          <w:rFonts w:ascii="MS Gothic"/>
          <w:color w:val="333333"/>
        </w:rPr>
        <w:t>createSslConnector(</w:t>
      </w:r>
      <w:proofErr w:type="gramEnd"/>
      <w:r>
        <w:rPr>
          <w:rFonts w:ascii="MS Gothic"/>
          <w:color w:val="333333"/>
        </w:rPr>
        <w:t>) {</w:t>
      </w:r>
    </w:p>
    <w:p w14:paraId="6CCB7780" w14:textId="77777777" w:rsidR="00A720EB" w:rsidRDefault="0030286B">
      <w:pPr>
        <w:spacing w:before="13" w:line="252" w:lineRule="auto"/>
        <w:ind w:left="784" w:right="406"/>
        <w:rPr>
          <w:rFonts w:ascii="MS Gothic"/>
        </w:rPr>
      </w:pPr>
      <w:r>
        <w:rPr>
          <w:rFonts w:ascii="MS Gothic"/>
          <w:color w:val="333333"/>
        </w:rPr>
        <w:t>Connector connector = new Connector("</w:t>
      </w:r>
      <w:proofErr w:type="gramStart"/>
      <w:r>
        <w:rPr>
          <w:rFonts w:ascii="MS Gothic"/>
          <w:color w:val="333333"/>
        </w:rPr>
        <w:t>org.apache</w:t>
      </w:r>
      <w:proofErr w:type="gramEnd"/>
      <w:r>
        <w:rPr>
          <w:rFonts w:ascii="MS Gothic"/>
          <w:color w:val="333333"/>
        </w:rPr>
        <w:t>.coyote.http11.Http11NioProtocol"); Http11NioProtocol protocol = (Http11NioProtocol) connector.getProtocolHandler(); try {</w:t>
      </w:r>
    </w:p>
    <w:p w14:paraId="54B4667B" w14:textId="77777777" w:rsidR="00A720EB" w:rsidRDefault="0030286B">
      <w:pPr>
        <w:spacing w:line="252" w:lineRule="auto"/>
        <w:ind w:left="1224" w:right="2166"/>
        <w:rPr>
          <w:rFonts w:ascii="MS Gothic"/>
        </w:rPr>
      </w:pPr>
      <w:r>
        <w:rPr>
          <w:rFonts w:ascii="MS Gothic"/>
          <w:color w:val="333333"/>
        </w:rPr>
        <w:t>File keystore = new ClassPathResource("keystore"</w:t>
      </w:r>
      <w:proofErr w:type="gramStart"/>
      <w:r>
        <w:rPr>
          <w:rFonts w:ascii="MS Gothic"/>
          <w:color w:val="333333"/>
        </w:rPr>
        <w:t>).getFile</w:t>
      </w:r>
      <w:proofErr w:type="gramEnd"/>
      <w:r>
        <w:rPr>
          <w:rFonts w:ascii="MS Gothic"/>
          <w:color w:val="333333"/>
        </w:rPr>
        <w:t>(); File truststore = new ClassPathResource("keystore").getFile(); connector.setScheme("https");</w:t>
      </w:r>
    </w:p>
    <w:p w14:paraId="27CC55A0" w14:textId="77777777" w:rsidR="00A720EB" w:rsidRDefault="0030286B">
      <w:pPr>
        <w:spacing w:line="252" w:lineRule="auto"/>
        <w:ind w:left="1224" w:right="5796"/>
        <w:rPr>
          <w:rFonts w:ascii="MS Gothic"/>
        </w:rPr>
      </w:pPr>
      <w:proofErr w:type="gramStart"/>
      <w:r>
        <w:rPr>
          <w:rFonts w:ascii="MS Gothic"/>
          <w:color w:val="333333"/>
        </w:rPr>
        <w:t>connector.setSecure</w:t>
      </w:r>
      <w:proofErr w:type="gramEnd"/>
      <w:r>
        <w:rPr>
          <w:rFonts w:ascii="MS Gothic"/>
          <w:color w:val="333333"/>
        </w:rPr>
        <w:t>(true); connector.setPort(8443); protocol.setSSLEnabled(true);</w:t>
      </w:r>
    </w:p>
    <w:p w14:paraId="64FDA5E7" w14:textId="77777777" w:rsidR="00A720EB" w:rsidRDefault="0030286B">
      <w:pPr>
        <w:spacing w:line="252" w:lineRule="auto"/>
        <w:ind w:left="1224" w:right="2716"/>
        <w:rPr>
          <w:rFonts w:ascii="MS Gothic"/>
        </w:rPr>
      </w:pPr>
      <w:proofErr w:type="gramStart"/>
      <w:r>
        <w:rPr>
          <w:rFonts w:ascii="MS Gothic"/>
          <w:color w:val="333333"/>
        </w:rPr>
        <w:t>protocol.setKeystoreFile</w:t>
      </w:r>
      <w:proofErr w:type="gramEnd"/>
      <w:r>
        <w:rPr>
          <w:rFonts w:ascii="MS Gothic"/>
          <w:color w:val="333333"/>
        </w:rPr>
        <w:t>(keystore.getAbsolutePath()); protocol.setKeystorePass("changeit"); protocol.setTruststoreFile(truststore.getAbsolutePath()); protocol.setTruststorePass("changeit"); protocol.setKeyAlias("apitester");</w:t>
      </w:r>
    </w:p>
    <w:p w14:paraId="71D27365" w14:textId="77777777" w:rsidR="00A720EB" w:rsidRDefault="0030286B">
      <w:pPr>
        <w:spacing w:line="272" w:lineRule="exact"/>
        <w:ind w:left="1224"/>
        <w:rPr>
          <w:rFonts w:ascii="MS Gothic"/>
        </w:rPr>
      </w:pPr>
      <w:r>
        <w:rPr>
          <w:rFonts w:ascii="MS Gothic"/>
          <w:color w:val="333333"/>
        </w:rPr>
        <w:t>return connector;</w:t>
      </w:r>
    </w:p>
    <w:p w14:paraId="31A1D9C9" w14:textId="77777777" w:rsidR="00A720EB" w:rsidRDefault="0030286B">
      <w:pPr>
        <w:spacing w:before="6"/>
        <w:ind w:left="784"/>
        <w:rPr>
          <w:rFonts w:ascii="MS Gothic"/>
        </w:rPr>
      </w:pPr>
      <w:r>
        <w:rPr>
          <w:rFonts w:ascii="MS Gothic"/>
          <w:color w:val="333333"/>
        </w:rPr>
        <w:t>}</w:t>
      </w:r>
    </w:p>
    <w:p w14:paraId="292CC3AC" w14:textId="77777777" w:rsidR="00A720EB" w:rsidRDefault="0030286B">
      <w:pPr>
        <w:spacing w:before="13"/>
        <w:ind w:left="784"/>
        <w:rPr>
          <w:rFonts w:ascii="MS Gothic"/>
        </w:rPr>
      </w:pPr>
      <w:r>
        <w:rPr>
          <w:rFonts w:ascii="MS Gothic"/>
          <w:color w:val="333333"/>
        </w:rPr>
        <w:t>catch (IOException ex) {</w:t>
      </w:r>
    </w:p>
    <w:p w14:paraId="355B542F" w14:textId="77777777" w:rsidR="00A720EB" w:rsidRDefault="0030286B">
      <w:pPr>
        <w:spacing w:before="13"/>
        <w:ind w:left="1224"/>
        <w:rPr>
          <w:rFonts w:ascii="MS Gothic"/>
        </w:rPr>
      </w:pPr>
      <w:r>
        <w:rPr>
          <w:rFonts w:ascii="MS Gothic"/>
          <w:color w:val="333333"/>
        </w:rPr>
        <w:t xml:space="preserve">throw new </w:t>
      </w:r>
      <w:proofErr w:type="gramStart"/>
      <w:r>
        <w:rPr>
          <w:rFonts w:ascii="MS Gothic"/>
          <w:color w:val="333333"/>
        </w:rPr>
        <w:t>IllegalStateException(</w:t>
      </w:r>
      <w:proofErr w:type="gramEnd"/>
      <w:r>
        <w:rPr>
          <w:rFonts w:ascii="MS Gothic"/>
          <w:color w:val="333333"/>
        </w:rPr>
        <w:t>"can't access keystore: [" + keystore</w:t>
      </w:r>
    </w:p>
    <w:p w14:paraId="0BB9597B" w14:textId="77777777" w:rsidR="00A720EB" w:rsidRDefault="0030286B">
      <w:pPr>
        <w:spacing w:before="12" w:line="278" w:lineRule="exact"/>
        <w:ind w:left="2104"/>
        <w:rPr>
          <w:rFonts w:ascii="MS Gothic"/>
        </w:rPr>
      </w:pPr>
      <w:r>
        <w:rPr>
          <w:rFonts w:ascii="MS Gothic"/>
          <w:color w:val="333333"/>
        </w:rPr>
        <w:t>+ "] or truststore: [" + truststore + "]", ex);</w:t>
      </w:r>
    </w:p>
    <w:p w14:paraId="60AA8552" w14:textId="77777777" w:rsidR="00A720EB" w:rsidRDefault="0030286B">
      <w:pPr>
        <w:spacing w:before="17"/>
        <w:ind w:left="784"/>
        <w:rPr>
          <w:rFonts w:ascii="MS Gothic"/>
        </w:rPr>
      </w:pPr>
      <w:r>
        <w:rPr>
          <w:rFonts w:ascii="MS Gothic"/>
          <w:color w:val="333333"/>
        </w:rPr>
        <w:t>}</w:t>
      </w:r>
    </w:p>
    <w:p w14:paraId="08C97921" w14:textId="77777777" w:rsidR="00A720EB" w:rsidRDefault="0030286B">
      <w:pPr>
        <w:spacing w:before="13"/>
        <w:ind w:left="344"/>
        <w:rPr>
          <w:rFonts w:ascii="MS Gothic"/>
        </w:rPr>
      </w:pPr>
      <w:r>
        <w:rPr>
          <w:rFonts w:ascii="MS Gothic"/>
          <w:color w:val="333333"/>
        </w:rPr>
        <w:t>}</w:t>
      </w:r>
    </w:p>
    <w:p w14:paraId="34388E67" w14:textId="77777777" w:rsidR="00A720EB" w:rsidRDefault="00A720EB">
      <w:pPr>
        <w:pStyle w:val="a3"/>
        <w:rPr>
          <w:rFonts w:ascii="MS Gothic"/>
          <w:sz w:val="20"/>
        </w:rPr>
      </w:pPr>
    </w:p>
    <w:p w14:paraId="78BBCDB8" w14:textId="77777777" w:rsidR="00A720EB" w:rsidRDefault="00A720EB">
      <w:pPr>
        <w:pStyle w:val="a3"/>
        <w:spacing w:before="3"/>
        <w:rPr>
          <w:rFonts w:ascii="MS Gothic"/>
          <w:sz w:val="15"/>
        </w:rPr>
      </w:pPr>
    </w:p>
    <w:p w14:paraId="57D016E9" w14:textId="77777777" w:rsidR="00A720EB" w:rsidRDefault="0030286B">
      <w:pPr>
        <w:pStyle w:val="3"/>
        <w:numPr>
          <w:ilvl w:val="2"/>
          <w:numId w:val="13"/>
        </w:numPr>
        <w:tabs>
          <w:tab w:val="left" w:pos="1003"/>
        </w:tabs>
        <w:spacing w:before="106"/>
        <w:ind w:left="1002" w:hanging="879"/>
      </w:pPr>
      <w:bookmarkStart w:id="845" w:name="9.3.14._Use_Tomcat’s_LegacyCookieProcess"/>
      <w:bookmarkStart w:id="846" w:name="_Toc54423944"/>
      <w:bookmarkEnd w:id="845"/>
      <w:r>
        <w:rPr>
          <w:color w:val="333333"/>
          <w:w w:val="110"/>
        </w:rPr>
        <w:t>Use Tomcat’s</w:t>
      </w:r>
      <w:r>
        <w:rPr>
          <w:color w:val="333333"/>
          <w:spacing w:val="-11"/>
          <w:w w:val="110"/>
        </w:rPr>
        <w:t xml:space="preserve"> </w:t>
      </w:r>
      <w:r>
        <w:rPr>
          <w:color w:val="333333"/>
          <w:w w:val="110"/>
        </w:rPr>
        <w:t>LegacyCookieProcessor</w:t>
      </w:r>
      <w:bookmarkEnd w:id="846"/>
    </w:p>
    <w:p w14:paraId="650BC747" w14:textId="77777777" w:rsidR="00A720EB" w:rsidRDefault="0030286B">
      <w:pPr>
        <w:pStyle w:val="a3"/>
        <w:spacing w:before="253" w:line="307" w:lineRule="auto"/>
        <w:ind w:left="124" w:right="359"/>
      </w:pPr>
      <w:r>
        <w:rPr>
          <w:color w:val="333333"/>
          <w:w w:val="110"/>
        </w:rPr>
        <w:t>By default, the embedded Tomcat used by Spring Boot does not support "Version 0" of the Cookie format, so you may see the following error:</w:t>
      </w:r>
    </w:p>
    <w:p w14:paraId="0FE8D872" w14:textId="77777777" w:rsidR="00A720EB" w:rsidRDefault="00E10349">
      <w:pPr>
        <w:pStyle w:val="a3"/>
        <w:spacing w:before="2"/>
        <w:rPr>
          <w:sz w:val="13"/>
        </w:rPr>
      </w:pPr>
      <w:r>
        <w:pict w14:anchorId="7E15D39A">
          <v:group id="_x0000_s1518" style="position:absolute;margin-left:47.85pt;margin-top:9.7pt;width:499.55pt;height:52.25pt;z-index:-15094784;mso-wrap-distance-left:0;mso-wrap-distance-right:0;mso-position-horizontal-relative:page" coordorigin="957,194" coordsize="9991,1045">
            <v:shape id="_x0000_s1521" style="position:absolute;left:964;top:201;width:9976;height:1030" coordorigin="965,202" coordsize="9976,1030" path="m10861,202r-9816,l1014,208r-26,17l971,251r-6,31l965,1152r6,31l988,1208r26,17l1045,1232r9816,l10892,1225r25,-17l10935,1183r6,-31l10941,282r-6,-31l10917,225r-25,-17l10861,202xe" fillcolor="#f5f5f5" stroked="f">
              <v:path arrowok="t"/>
            </v:shape>
            <v:shape id="_x0000_s1520" style="position:absolute;left:964;top:201;width:9976;height:1030" coordorigin="965,202" coordsize="9976,1030" path="m1045,202r9816,l10892,208r25,17l10935,251r6,31l10941,1152r-6,31l10917,1208r-25,17l10861,1232r-9816,l1014,1225r-26,-17l971,1183r-6,-31l965,282r6,-31l988,225r26,-17l1045,202xe" filled="f" strokecolor="#ccc">
              <v:path arrowok="t"/>
            </v:shape>
            <v:shape id="_x0000_s1519" type="#_x0000_t202" style="position:absolute;left:984;top:217;width:9938;height:999" filled="f" stroked="f">
              <v:textbox inset="0,0,0,0">
                <w:txbxContent>
                  <w:p w14:paraId="0908035C" w14:textId="77777777" w:rsidR="00711A16" w:rsidRDefault="00711A16">
                    <w:pPr>
                      <w:spacing w:before="221" w:line="252" w:lineRule="auto"/>
                      <w:ind w:left="200" w:right="918"/>
                      <w:rPr>
                        <w:rFonts w:ascii="MS Gothic"/>
                      </w:rPr>
                    </w:pPr>
                    <w:proofErr w:type="gramStart"/>
                    <w:r>
                      <w:rPr>
                        <w:rFonts w:ascii="MS Gothic"/>
                        <w:color w:val="333333"/>
                      </w:rPr>
                      <w:t>java.lang</w:t>
                    </w:r>
                    <w:proofErr w:type="gramEnd"/>
                    <w:r>
                      <w:rPr>
                        <w:rFonts w:ascii="MS Gothic"/>
                        <w:color w:val="333333"/>
                      </w:rPr>
                      <w:t>.IllegalArgumentException: An invalid character [32] was present in the Cookie value</w:t>
                    </w:r>
                  </w:p>
                </w:txbxContent>
              </v:textbox>
            </v:shape>
            <w10:wrap type="topAndBottom" anchorx="page"/>
          </v:group>
        </w:pict>
      </w:r>
    </w:p>
    <w:p w14:paraId="72C4453C" w14:textId="77777777" w:rsidR="00A720EB" w:rsidRDefault="00A720EB">
      <w:pPr>
        <w:pStyle w:val="a3"/>
        <w:rPr>
          <w:sz w:val="10"/>
        </w:rPr>
      </w:pPr>
    </w:p>
    <w:p w14:paraId="6EA0F4FF" w14:textId="77777777" w:rsidR="00A720EB" w:rsidRDefault="0030286B">
      <w:pPr>
        <w:pStyle w:val="a3"/>
        <w:spacing w:before="125" w:line="295" w:lineRule="auto"/>
        <w:ind w:left="124" w:right="122"/>
        <w:jc w:val="both"/>
      </w:pPr>
      <w:r>
        <w:rPr>
          <w:color w:val="333333"/>
          <w:w w:val="110"/>
        </w:rPr>
        <w:t xml:space="preserve">If at all possible, you should consider updating your code to only store values compliant with later Cookie specifications. If, however, you cannot change the way that cookies are written, you can instead configure Tomcat to use a </w:t>
      </w:r>
      <w:r>
        <w:rPr>
          <w:rFonts w:ascii="MS Gothic"/>
          <w:color w:val="B02045"/>
          <w:w w:val="110"/>
        </w:rPr>
        <w:t>LegacyCookieProcessor</w:t>
      </w:r>
      <w:r>
        <w:rPr>
          <w:color w:val="333333"/>
          <w:w w:val="110"/>
        </w:rPr>
        <w:t xml:space="preserve">. </w:t>
      </w:r>
      <w:r>
        <w:rPr>
          <w:color w:val="333333"/>
          <w:spacing w:val="-4"/>
          <w:w w:val="110"/>
        </w:rPr>
        <w:t xml:space="preserve">To </w:t>
      </w:r>
      <w:r>
        <w:rPr>
          <w:color w:val="333333"/>
          <w:w w:val="110"/>
        </w:rPr>
        <w:t xml:space="preserve">switch to the </w:t>
      </w:r>
      <w:r>
        <w:rPr>
          <w:rFonts w:ascii="MS Gothic"/>
          <w:color w:val="B02045"/>
          <w:w w:val="110"/>
        </w:rPr>
        <w:t>LegacyCookieProcessor</w:t>
      </w:r>
      <w:r>
        <w:rPr>
          <w:color w:val="333333"/>
          <w:w w:val="110"/>
        </w:rPr>
        <w:t xml:space="preserve">, use an </w:t>
      </w:r>
      <w:r>
        <w:rPr>
          <w:rFonts w:ascii="MS Gothic"/>
          <w:color w:val="B02045"/>
          <w:w w:val="110"/>
        </w:rPr>
        <w:t xml:space="preserve">WebServerFactoryCustomizer </w:t>
      </w:r>
      <w:r>
        <w:rPr>
          <w:color w:val="333333"/>
          <w:w w:val="110"/>
        </w:rPr>
        <w:t xml:space="preserve">bean that adds a </w:t>
      </w:r>
      <w:r>
        <w:rPr>
          <w:rFonts w:ascii="MS Gothic"/>
          <w:color w:val="B02045"/>
          <w:w w:val="110"/>
        </w:rPr>
        <w:t>TomcatContextCustomizer</w:t>
      </w:r>
      <w:r>
        <w:rPr>
          <w:color w:val="333333"/>
          <w:w w:val="110"/>
        </w:rPr>
        <w:t>, as shown in the following example:</w:t>
      </w:r>
    </w:p>
    <w:p w14:paraId="2FE3D18D" w14:textId="77777777" w:rsidR="00A720EB" w:rsidRDefault="00A720EB">
      <w:pPr>
        <w:spacing w:line="295" w:lineRule="auto"/>
        <w:jc w:val="both"/>
        <w:sectPr w:rsidR="00A720EB">
          <w:pgSz w:w="11910" w:h="16840"/>
          <w:pgMar w:top="700" w:right="840" w:bottom="520" w:left="840" w:header="0" w:footer="323" w:gutter="0"/>
          <w:cols w:space="720"/>
        </w:sectPr>
      </w:pPr>
    </w:p>
    <w:p w14:paraId="51EACBE3" w14:textId="77777777" w:rsidR="00A720EB" w:rsidRDefault="00E10349">
      <w:pPr>
        <w:pStyle w:val="a3"/>
        <w:ind w:left="116"/>
        <w:rPr>
          <w:sz w:val="20"/>
        </w:rPr>
      </w:pPr>
      <w:r>
        <w:rPr>
          <w:sz w:val="20"/>
        </w:rPr>
      </w:r>
      <w:r>
        <w:rPr>
          <w:sz w:val="20"/>
        </w:rPr>
        <w:pict w14:anchorId="5A013EB5">
          <v:group id="_x0000_s1514" style="width:499.55pt;height:125.95pt;mso-position-horizontal-relative:char;mso-position-vertical-relative:line" coordsize="9991,2519">
            <v:shape id="_x0000_s1517" style="position:absolute;left:7;top:7;width:9976;height:2504" coordorigin="8,8" coordsize="9976,2504" path="m9904,8l88,8,56,14,31,31,14,56,8,88r,2343l14,2462r17,26l56,2505r32,6l9904,2511r31,-6l9960,2488r17,-26l9984,2431r,-2343l9977,56,9960,31,9935,14,9904,8xe" fillcolor="#f5f5f5" stroked="f">
              <v:path arrowok="t"/>
            </v:shape>
            <v:shape id="_x0000_s1516" style="position:absolute;left:7;top:7;width:9976;height:2504" coordorigin="8,8" coordsize="9976,2504" path="m88,8r9816,l9935,14r25,17l9977,56r7,32l9984,2431r-7,31l9960,2488r-25,17l9904,2511r-9816,l56,2505,31,2488,14,2462,8,2431,8,88,14,56,31,31,56,14,88,8xe" filled="f" strokecolor="#ccc">
              <v:path arrowok="t"/>
            </v:shape>
            <v:shape id="_x0000_s1515" type="#_x0000_t202" style="position:absolute;left:26;top:22;width:9938;height:2473" filled="f" stroked="f">
              <v:textbox inset="0,0,0,0">
                <w:txbxContent>
                  <w:p w14:paraId="21922666" w14:textId="77777777" w:rsidR="00711A16" w:rsidRDefault="00711A16">
                    <w:pPr>
                      <w:spacing w:before="221"/>
                      <w:ind w:left="200"/>
                      <w:rPr>
                        <w:rFonts w:ascii="MS Gothic"/>
                      </w:rPr>
                    </w:pPr>
                    <w:r>
                      <w:rPr>
                        <w:rFonts w:ascii="MS Gothic"/>
                        <w:color w:val="333333"/>
                      </w:rPr>
                      <w:t>@Bean</w:t>
                    </w:r>
                  </w:p>
                  <w:p w14:paraId="7ED7EA26" w14:textId="77777777" w:rsidR="00711A16" w:rsidRDefault="00711A16">
                    <w:pPr>
                      <w:spacing w:before="13" w:line="252" w:lineRule="auto"/>
                      <w:ind w:left="200" w:right="2678"/>
                      <w:rPr>
                        <w:rFonts w:ascii="MS Gothic"/>
                      </w:rPr>
                    </w:pPr>
                    <w:r>
                      <w:rPr>
                        <w:rFonts w:ascii="MS Gothic"/>
                        <w:color w:val="333333"/>
                      </w:rPr>
                      <w:t xml:space="preserve">public WebServerFactoryCustomizer&lt;TomcatServletWebServerFactory&gt; </w:t>
                    </w:r>
                    <w:proofErr w:type="gramStart"/>
                    <w:r>
                      <w:rPr>
                        <w:rFonts w:ascii="MS Gothic"/>
                        <w:color w:val="333333"/>
                      </w:rPr>
                      <w:t>cookieProcessorCustomizer(</w:t>
                    </w:r>
                    <w:proofErr w:type="gramEnd"/>
                    <w:r>
                      <w:rPr>
                        <w:rFonts w:ascii="MS Gothic"/>
                        <w:color w:val="333333"/>
                      </w:rPr>
                      <w:t>) {</w:t>
                    </w:r>
                  </w:p>
                  <w:p w14:paraId="3C3E9E81" w14:textId="77777777" w:rsidR="00711A16" w:rsidRDefault="00711A16">
                    <w:pPr>
                      <w:spacing w:line="280" w:lineRule="exact"/>
                      <w:ind w:left="640"/>
                      <w:rPr>
                        <w:rFonts w:ascii="MS Gothic"/>
                      </w:rPr>
                    </w:pPr>
                    <w:r>
                      <w:rPr>
                        <w:rFonts w:ascii="MS Gothic"/>
                        <w:color w:val="333333"/>
                      </w:rPr>
                      <w:t>return (factory) -&gt; factory</w:t>
                    </w:r>
                  </w:p>
                  <w:p w14:paraId="49538784" w14:textId="77777777" w:rsidR="00711A16" w:rsidRDefault="00711A16">
                    <w:pPr>
                      <w:spacing w:before="13" w:line="252" w:lineRule="auto"/>
                      <w:ind w:left="200" w:right="1138" w:firstLine="1320"/>
                      <w:rPr>
                        <w:rFonts w:ascii="MS Gothic"/>
                      </w:rPr>
                    </w:pPr>
                    <w:proofErr w:type="gramStart"/>
                    <w:r>
                      <w:rPr>
                        <w:rFonts w:ascii="MS Gothic"/>
                        <w:color w:val="333333"/>
                      </w:rPr>
                      <w:t>.addContextCustomizers</w:t>
                    </w:r>
                    <w:proofErr w:type="gramEnd"/>
                    <w:r>
                      <w:rPr>
                        <w:rFonts w:ascii="MS Gothic"/>
                        <w:color w:val="333333"/>
                      </w:rPr>
                      <w:t>((context) -&gt; context.setCookieProcessor(new LegacyCookieProcessor()));</w:t>
                    </w:r>
                  </w:p>
                  <w:p w14:paraId="2482A5D3" w14:textId="77777777" w:rsidR="00711A16" w:rsidRDefault="00711A16">
                    <w:pPr>
                      <w:spacing w:line="280" w:lineRule="exact"/>
                      <w:ind w:left="200"/>
                      <w:rPr>
                        <w:rFonts w:ascii="MS Gothic"/>
                      </w:rPr>
                    </w:pPr>
                    <w:r>
                      <w:rPr>
                        <w:rFonts w:ascii="MS Gothic"/>
                        <w:color w:val="333333"/>
                      </w:rPr>
                      <w:t>}</w:t>
                    </w:r>
                  </w:p>
                </w:txbxContent>
              </v:textbox>
            </v:shape>
            <w10:anchorlock/>
          </v:group>
        </w:pict>
      </w:r>
    </w:p>
    <w:p w14:paraId="379CB01D" w14:textId="77777777" w:rsidR="00A720EB" w:rsidRDefault="00A720EB">
      <w:pPr>
        <w:pStyle w:val="a3"/>
        <w:spacing w:before="2"/>
        <w:rPr>
          <w:sz w:val="17"/>
        </w:rPr>
      </w:pPr>
    </w:p>
    <w:p w14:paraId="111D0A8D" w14:textId="77777777" w:rsidR="00A720EB" w:rsidRDefault="0030286B">
      <w:pPr>
        <w:pStyle w:val="3"/>
        <w:numPr>
          <w:ilvl w:val="2"/>
          <w:numId w:val="13"/>
        </w:numPr>
        <w:tabs>
          <w:tab w:val="left" w:pos="1003"/>
        </w:tabs>
        <w:spacing w:before="105"/>
        <w:ind w:left="1002" w:hanging="879"/>
      </w:pPr>
      <w:bookmarkStart w:id="847" w:name="9.3.15._Enable_Tomcat’s_MBean_Registry"/>
      <w:bookmarkStart w:id="848" w:name="_Toc54423945"/>
      <w:bookmarkEnd w:id="847"/>
      <w:r>
        <w:rPr>
          <w:color w:val="333333"/>
          <w:w w:val="110"/>
        </w:rPr>
        <w:t>Enable Tomcat’s MBean</w:t>
      </w:r>
      <w:r>
        <w:rPr>
          <w:color w:val="333333"/>
          <w:spacing w:val="-18"/>
          <w:w w:val="110"/>
        </w:rPr>
        <w:t xml:space="preserve"> </w:t>
      </w:r>
      <w:r>
        <w:rPr>
          <w:color w:val="333333"/>
          <w:w w:val="110"/>
        </w:rPr>
        <w:t>Registry</w:t>
      </w:r>
      <w:bookmarkEnd w:id="848"/>
    </w:p>
    <w:p w14:paraId="222A77AD" w14:textId="77777777" w:rsidR="00A720EB" w:rsidRDefault="0030286B">
      <w:pPr>
        <w:pStyle w:val="a3"/>
        <w:spacing w:before="254" w:line="297" w:lineRule="auto"/>
        <w:ind w:left="124" w:right="125"/>
        <w:jc w:val="both"/>
      </w:pPr>
      <w:r>
        <w:rPr>
          <w:color w:val="333333"/>
          <w:w w:val="110"/>
        </w:rPr>
        <w:t xml:space="preserve">Embedded Tomcat’s MBean registry is disabled </w:t>
      </w:r>
      <w:r>
        <w:rPr>
          <w:color w:val="333333"/>
          <w:spacing w:val="-3"/>
          <w:w w:val="110"/>
        </w:rPr>
        <w:t xml:space="preserve">by </w:t>
      </w:r>
      <w:r>
        <w:rPr>
          <w:color w:val="333333"/>
          <w:w w:val="110"/>
        </w:rPr>
        <w:t>default. This minimizes Tomcat’s memory footprint. If you want to use Tomcat’s MBeans, for example so that they can be used to expose metrics</w:t>
      </w:r>
      <w:r>
        <w:rPr>
          <w:color w:val="333333"/>
          <w:spacing w:val="-24"/>
          <w:w w:val="110"/>
        </w:rPr>
        <w:t xml:space="preserve"> </w:t>
      </w:r>
      <w:r>
        <w:rPr>
          <w:color w:val="333333"/>
          <w:w w:val="110"/>
        </w:rPr>
        <w:t>via</w:t>
      </w:r>
      <w:r>
        <w:rPr>
          <w:color w:val="333333"/>
          <w:spacing w:val="-23"/>
          <w:w w:val="110"/>
        </w:rPr>
        <w:t xml:space="preserve"> </w:t>
      </w:r>
      <w:r>
        <w:rPr>
          <w:color w:val="333333"/>
          <w:w w:val="110"/>
        </w:rPr>
        <w:t>Micrometer,</w:t>
      </w:r>
      <w:r>
        <w:rPr>
          <w:color w:val="333333"/>
          <w:spacing w:val="-23"/>
          <w:w w:val="110"/>
        </w:rPr>
        <w:t xml:space="preserve"> </w:t>
      </w:r>
      <w:r>
        <w:rPr>
          <w:color w:val="333333"/>
          <w:w w:val="110"/>
        </w:rPr>
        <w:t>you</w:t>
      </w:r>
      <w:r>
        <w:rPr>
          <w:color w:val="333333"/>
          <w:spacing w:val="-23"/>
          <w:w w:val="110"/>
        </w:rPr>
        <w:t xml:space="preserve"> </w:t>
      </w:r>
      <w:r>
        <w:rPr>
          <w:color w:val="333333"/>
          <w:w w:val="110"/>
        </w:rPr>
        <w:t>must</w:t>
      </w:r>
      <w:r>
        <w:rPr>
          <w:color w:val="333333"/>
          <w:spacing w:val="-23"/>
          <w:w w:val="110"/>
        </w:rPr>
        <w:t xml:space="preserve"> </w:t>
      </w:r>
      <w:r>
        <w:rPr>
          <w:color w:val="333333"/>
          <w:w w:val="110"/>
        </w:rPr>
        <w:t>use</w:t>
      </w:r>
      <w:r>
        <w:rPr>
          <w:color w:val="333333"/>
          <w:spacing w:val="-23"/>
          <w:w w:val="110"/>
        </w:rPr>
        <w:t xml:space="preserve"> </w:t>
      </w:r>
      <w:r>
        <w:rPr>
          <w:color w:val="333333"/>
          <w:w w:val="110"/>
        </w:rPr>
        <w:t>the</w:t>
      </w:r>
      <w:r>
        <w:rPr>
          <w:color w:val="333333"/>
          <w:spacing w:val="-19"/>
          <w:w w:val="110"/>
        </w:rPr>
        <w:t xml:space="preserve"> </w:t>
      </w:r>
      <w:proofErr w:type="gramStart"/>
      <w:r>
        <w:rPr>
          <w:rFonts w:ascii="MS Gothic" w:hAnsi="MS Gothic"/>
          <w:color w:val="B02045"/>
          <w:w w:val="110"/>
        </w:rPr>
        <w:t>server.tomcat</w:t>
      </w:r>
      <w:proofErr w:type="gramEnd"/>
      <w:r>
        <w:rPr>
          <w:rFonts w:ascii="MS Gothic" w:hAnsi="MS Gothic"/>
          <w:color w:val="B02045"/>
          <w:w w:val="110"/>
        </w:rPr>
        <w:t>.mbeanregistry.enabled</w:t>
      </w:r>
      <w:r>
        <w:rPr>
          <w:rFonts w:ascii="MS Gothic" w:hAnsi="MS Gothic"/>
          <w:color w:val="B02045"/>
          <w:spacing w:val="-88"/>
          <w:w w:val="110"/>
        </w:rPr>
        <w:t xml:space="preserve"> </w:t>
      </w:r>
      <w:r>
        <w:rPr>
          <w:color w:val="333333"/>
          <w:w w:val="110"/>
        </w:rPr>
        <w:t>property</w:t>
      </w:r>
      <w:r>
        <w:rPr>
          <w:color w:val="333333"/>
          <w:spacing w:val="-23"/>
          <w:w w:val="110"/>
        </w:rPr>
        <w:t xml:space="preserve"> </w:t>
      </w:r>
      <w:r>
        <w:rPr>
          <w:color w:val="333333"/>
          <w:w w:val="110"/>
        </w:rPr>
        <w:t>to</w:t>
      </w:r>
      <w:r>
        <w:rPr>
          <w:color w:val="333333"/>
          <w:spacing w:val="-23"/>
          <w:w w:val="110"/>
        </w:rPr>
        <w:t xml:space="preserve"> </w:t>
      </w:r>
      <w:r>
        <w:rPr>
          <w:color w:val="333333"/>
          <w:w w:val="110"/>
        </w:rPr>
        <w:t>do</w:t>
      </w:r>
      <w:r>
        <w:rPr>
          <w:color w:val="333333"/>
          <w:spacing w:val="-23"/>
          <w:w w:val="110"/>
        </w:rPr>
        <w:t xml:space="preserve"> </w:t>
      </w:r>
      <w:r>
        <w:rPr>
          <w:color w:val="333333"/>
          <w:w w:val="110"/>
        </w:rPr>
        <w:t>so,</w:t>
      </w:r>
      <w:r>
        <w:rPr>
          <w:color w:val="333333"/>
          <w:spacing w:val="-23"/>
          <w:w w:val="110"/>
        </w:rPr>
        <w:t xml:space="preserve"> </w:t>
      </w:r>
      <w:r>
        <w:rPr>
          <w:color w:val="333333"/>
          <w:w w:val="110"/>
        </w:rPr>
        <w:t>as shown in the following</w:t>
      </w:r>
      <w:r>
        <w:rPr>
          <w:color w:val="333333"/>
          <w:spacing w:val="13"/>
          <w:w w:val="110"/>
        </w:rPr>
        <w:t xml:space="preserve"> </w:t>
      </w:r>
      <w:r>
        <w:rPr>
          <w:color w:val="333333"/>
          <w:w w:val="110"/>
        </w:rPr>
        <w:t>example:</w:t>
      </w:r>
    </w:p>
    <w:p w14:paraId="523DE104" w14:textId="77777777" w:rsidR="00A720EB" w:rsidRDefault="00E10349">
      <w:pPr>
        <w:pStyle w:val="a3"/>
        <w:spacing w:before="2"/>
        <w:rPr>
          <w:sz w:val="14"/>
        </w:rPr>
      </w:pPr>
      <w:r>
        <w:pict w14:anchorId="7CCF89DB">
          <v:group id="_x0000_s1510" style="position:absolute;margin-left:47.85pt;margin-top:10.3pt;width:499.55pt;height:37.5pt;z-index:-15093248;mso-wrap-distance-left:0;mso-wrap-distance-right:0;mso-position-horizontal-relative:page" coordorigin="957,206" coordsize="9991,750">
            <v:shape id="_x0000_s1513" style="position:absolute;left:964;top:213;width:9976;height:735" coordorigin="965,213" coordsize="9976,735" path="m10861,213r-9816,l1014,220r-26,17l971,262r-6,31l965,868r6,31l988,925r26,17l1045,948r9816,l10892,942r25,-17l10935,899r6,-31l10941,293r-6,-31l10917,237r-25,-17l10861,213xe" fillcolor="#f5f5f5" stroked="f">
              <v:path arrowok="t"/>
            </v:shape>
            <v:shape id="_x0000_s1512" style="position:absolute;left:964;top:213;width:9976;height:735" coordorigin="965,213" coordsize="9976,735" path="m1045,213r9816,l10892,220r25,17l10935,262r6,31l10941,868r-6,31l10917,925r-25,17l10861,948r-9816,l1014,942,988,925,971,899r-6,-31l965,293r6,-31l988,237r26,-17l1045,213xe" filled="f" strokecolor="#ccc">
              <v:path arrowok="t"/>
            </v:shape>
            <v:shape id="_x0000_s1511" type="#_x0000_t202" style="position:absolute;left:984;top:228;width:9938;height:704" filled="f" stroked="f">
              <v:textbox inset="0,0,0,0">
                <w:txbxContent>
                  <w:p w14:paraId="4CE09F6E" w14:textId="77777777" w:rsidR="00711A16" w:rsidRDefault="00711A16">
                    <w:pPr>
                      <w:spacing w:before="221"/>
                      <w:ind w:left="200"/>
                      <w:rPr>
                        <w:rFonts w:ascii="MS Gothic"/>
                      </w:rPr>
                    </w:pPr>
                    <w:proofErr w:type="gramStart"/>
                    <w:r>
                      <w:rPr>
                        <w:rFonts w:ascii="MS Gothic"/>
                        <w:color w:val="333333"/>
                      </w:rPr>
                      <w:t>server.tomcat</w:t>
                    </w:r>
                    <w:proofErr w:type="gramEnd"/>
                    <w:r>
                      <w:rPr>
                        <w:rFonts w:ascii="MS Gothic"/>
                        <w:color w:val="333333"/>
                      </w:rPr>
                      <w:t>.mbeanregistry.enabled=true</w:t>
                    </w:r>
                  </w:p>
                </w:txbxContent>
              </v:textbox>
            </v:shape>
            <w10:wrap type="topAndBottom" anchorx="page"/>
          </v:group>
        </w:pict>
      </w:r>
    </w:p>
    <w:p w14:paraId="2AEE46FF" w14:textId="77777777" w:rsidR="00A720EB" w:rsidRDefault="00A720EB">
      <w:pPr>
        <w:pStyle w:val="a3"/>
        <w:spacing w:before="11"/>
        <w:rPr>
          <w:sz w:val="16"/>
        </w:rPr>
      </w:pPr>
    </w:p>
    <w:p w14:paraId="122677BC" w14:textId="77777777" w:rsidR="00A720EB" w:rsidRDefault="0030286B">
      <w:pPr>
        <w:pStyle w:val="3"/>
        <w:numPr>
          <w:ilvl w:val="2"/>
          <w:numId w:val="13"/>
        </w:numPr>
        <w:tabs>
          <w:tab w:val="left" w:pos="1003"/>
        </w:tabs>
        <w:spacing w:before="105"/>
        <w:ind w:left="1002" w:hanging="879"/>
      </w:pPr>
      <w:bookmarkStart w:id="849" w:name="9.3.16._Enable_Multiple_Listeners_with_U"/>
      <w:bookmarkStart w:id="850" w:name="_Toc54423946"/>
      <w:bookmarkEnd w:id="849"/>
      <w:r>
        <w:rPr>
          <w:color w:val="333333"/>
          <w:w w:val="110"/>
        </w:rPr>
        <w:t>Enable Multiple Listeners with</w:t>
      </w:r>
      <w:r>
        <w:rPr>
          <w:color w:val="333333"/>
          <w:spacing w:val="-25"/>
          <w:w w:val="110"/>
        </w:rPr>
        <w:t xml:space="preserve"> </w:t>
      </w:r>
      <w:r>
        <w:rPr>
          <w:color w:val="333333"/>
          <w:w w:val="110"/>
        </w:rPr>
        <w:t>Undertow</w:t>
      </w:r>
      <w:bookmarkEnd w:id="850"/>
    </w:p>
    <w:p w14:paraId="68CC2BA1" w14:textId="77777777" w:rsidR="00A720EB" w:rsidRDefault="0030286B">
      <w:pPr>
        <w:pStyle w:val="a3"/>
        <w:spacing w:before="243"/>
        <w:ind w:left="124"/>
      </w:pPr>
      <w:r>
        <w:rPr>
          <w:color w:val="333333"/>
          <w:w w:val="110"/>
        </w:rPr>
        <w:t>Add</w:t>
      </w:r>
      <w:r>
        <w:rPr>
          <w:color w:val="333333"/>
          <w:spacing w:val="-25"/>
          <w:w w:val="110"/>
        </w:rPr>
        <w:t xml:space="preserve"> </w:t>
      </w:r>
      <w:r>
        <w:rPr>
          <w:color w:val="333333"/>
          <w:w w:val="110"/>
        </w:rPr>
        <w:t>an</w:t>
      </w:r>
      <w:r>
        <w:rPr>
          <w:color w:val="333333"/>
          <w:spacing w:val="-24"/>
          <w:w w:val="110"/>
        </w:rPr>
        <w:t xml:space="preserve"> </w:t>
      </w:r>
      <w:r>
        <w:rPr>
          <w:rFonts w:ascii="MS Gothic"/>
          <w:color w:val="B02045"/>
          <w:w w:val="110"/>
        </w:rPr>
        <w:t>UndertowBuilderCustomizer</w:t>
      </w:r>
      <w:r>
        <w:rPr>
          <w:rFonts w:ascii="MS Gothic"/>
          <w:color w:val="B02045"/>
          <w:spacing w:val="-89"/>
          <w:w w:val="110"/>
        </w:rPr>
        <w:t xml:space="preserve"> </w:t>
      </w:r>
      <w:r>
        <w:rPr>
          <w:color w:val="333333"/>
          <w:w w:val="110"/>
        </w:rPr>
        <w:t>to</w:t>
      </w:r>
      <w:r>
        <w:rPr>
          <w:color w:val="333333"/>
          <w:spacing w:val="-24"/>
          <w:w w:val="110"/>
        </w:rPr>
        <w:t xml:space="preserve"> </w:t>
      </w:r>
      <w:r>
        <w:rPr>
          <w:color w:val="333333"/>
          <w:w w:val="110"/>
        </w:rPr>
        <w:t>the</w:t>
      </w:r>
      <w:r>
        <w:rPr>
          <w:color w:val="333333"/>
          <w:spacing w:val="-24"/>
          <w:w w:val="110"/>
        </w:rPr>
        <w:t xml:space="preserve"> </w:t>
      </w:r>
      <w:r>
        <w:rPr>
          <w:rFonts w:ascii="MS Gothic"/>
          <w:color w:val="B02045"/>
          <w:w w:val="110"/>
        </w:rPr>
        <w:t>UndertowServletWebServerFactory</w:t>
      </w:r>
      <w:r>
        <w:rPr>
          <w:rFonts w:ascii="MS Gothic"/>
          <w:color w:val="B02045"/>
          <w:spacing w:val="-89"/>
          <w:w w:val="110"/>
        </w:rPr>
        <w:t xml:space="preserve"> </w:t>
      </w:r>
      <w:r>
        <w:rPr>
          <w:color w:val="333333"/>
          <w:w w:val="110"/>
        </w:rPr>
        <w:t>and</w:t>
      </w:r>
      <w:r>
        <w:rPr>
          <w:color w:val="333333"/>
          <w:spacing w:val="-25"/>
          <w:w w:val="110"/>
        </w:rPr>
        <w:t xml:space="preserve"> </w:t>
      </w:r>
      <w:r>
        <w:rPr>
          <w:color w:val="333333"/>
          <w:w w:val="110"/>
        </w:rPr>
        <w:t>add</w:t>
      </w:r>
      <w:r>
        <w:rPr>
          <w:color w:val="333333"/>
          <w:spacing w:val="-24"/>
          <w:w w:val="110"/>
        </w:rPr>
        <w:t xml:space="preserve"> </w:t>
      </w:r>
      <w:r>
        <w:rPr>
          <w:color w:val="333333"/>
          <w:w w:val="110"/>
        </w:rPr>
        <w:t>a</w:t>
      </w:r>
      <w:r>
        <w:rPr>
          <w:color w:val="333333"/>
          <w:spacing w:val="-24"/>
          <w:w w:val="110"/>
        </w:rPr>
        <w:t xml:space="preserve"> </w:t>
      </w:r>
      <w:r>
        <w:rPr>
          <w:color w:val="333333"/>
          <w:w w:val="110"/>
        </w:rPr>
        <w:t>listener</w:t>
      </w:r>
      <w:r>
        <w:rPr>
          <w:color w:val="333333"/>
          <w:spacing w:val="-24"/>
          <w:w w:val="110"/>
        </w:rPr>
        <w:t xml:space="preserve"> </w:t>
      </w:r>
      <w:r>
        <w:rPr>
          <w:color w:val="333333"/>
          <w:w w:val="110"/>
        </w:rPr>
        <w:t>to</w:t>
      </w:r>
      <w:r>
        <w:rPr>
          <w:color w:val="333333"/>
          <w:spacing w:val="-24"/>
          <w:w w:val="110"/>
        </w:rPr>
        <w:t xml:space="preserve"> </w:t>
      </w:r>
      <w:r>
        <w:rPr>
          <w:color w:val="333333"/>
          <w:w w:val="110"/>
        </w:rPr>
        <w:t>the</w:t>
      </w:r>
    </w:p>
    <w:p w14:paraId="7BB2B280" w14:textId="77777777" w:rsidR="00A720EB" w:rsidRDefault="0030286B">
      <w:pPr>
        <w:pStyle w:val="a3"/>
        <w:spacing w:before="47"/>
        <w:ind w:left="124"/>
      </w:pPr>
      <w:r>
        <w:rPr>
          <w:rFonts w:ascii="MS Gothic"/>
          <w:color w:val="B02045"/>
          <w:w w:val="110"/>
        </w:rPr>
        <w:t>Builder</w:t>
      </w:r>
      <w:r>
        <w:rPr>
          <w:color w:val="333333"/>
          <w:w w:val="110"/>
        </w:rPr>
        <w:t>, as shown in the following example:</w:t>
      </w:r>
    </w:p>
    <w:p w14:paraId="1176D1BD" w14:textId="77777777" w:rsidR="00A720EB" w:rsidRDefault="00E10349">
      <w:pPr>
        <w:pStyle w:val="a3"/>
        <w:spacing w:before="11"/>
        <w:rPr>
          <w:sz w:val="17"/>
        </w:rPr>
      </w:pPr>
      <w:r>
        <w:pict w14:anchorId="40E88A2C">
          <v:group id="_x0000_s1506" style="position:absolute;margin-left:47.85pt;margin-top:12.5pt;width:499.55pt;height:214.4pt;z-index:-15092736;mso-wrap-distance-left:0;mso-wrap-distance-right:0;mso-position-horizontal-relative:page" coordorigin="957,250" coordsize="9991,4288">
            <v:shape id="_x0000_s1509" style="position:absolute;left:964;top:257;width:9976;height:4273" coordorigin="965,257" coordsize="9976,4273" path="m10861,257r-9816,l1014,264r-26,17l971,306r-6,31l965,4450r6,31l988,4506r26,17l1045,4530r9816,l10892,4523r25,-17l10935,4481r6,-31l10941,337r-6,-31l10917,281r-25,-17l10861,257xe" fillcolor="#f5f5f5" stroked="f">
              <v:path arrowok="t"/>
            </v:shape>
            <v:shape id="_x0000_s1508" style="position:absolute;left:964;top:257;width:9976;height:4273" coordorigin="965,257" coordsize="9976,4273" path="m1045,257r9816,l10892,264r25,17l10935,306r6,31l10941,4450r-6,31l10917,4506r-25,17l10861,4530r-9816,l1014,4523r-26,-17l971,4481r-6,-31l965,337r6,-31l988,281r26,-17l1045,257xe" filled="f" strokecolor="#ccc">
              <v:path arrowok="t"/>
            </v:shape>
            <v:shape id="_x0000_s1507" type="#_x0000_t202" style="position:absolute;left:984;top:272;width:9938;height:4242" filled="f" stroked="f">
              <v:textbox inset="0,0,0,0">
                <w:txbxContent>
                  <w:p w14:paraId="20FAD01D" w14:textId="77777777" w:rsidR="00711A16" w:rsidRDefault="00711A16">
                    <w:pPr>
                      <w:spacing w:before="221"/>
                      <w:ind w:left="200"/>
                      <w:rPr>
                        <w:rFonts w:ascii="MS Gothic"/>
                      </w:rPr>
                    </w:pPr>
                    <w:r>
                      <w:rPr>
                        <w:rFonts w:ascii="MS Gothic"/>
                        <w:color w:val="333333"/>
                      </w:rPr>
                      <w:t>@Bean</w:t>
                    </w:r>
                  </w:p>
                  <w:p w14:paraId="510EB2A3" w14:textId="77777777" w:rsidR="00711A16" w:rsidRDefault="00711A16">
                    <w:pPr>
                      <w:spacing w:before="13" w:line="252" w:lineRule="auto"/>
                      <w:ind w:left="640" w:right="478" w:hanging="440"/>
                      <w:rPr>
                        <w:rFonts w:ascii="MS Gothic"/>
                      </w:rPr>
                    </w:pPr>
                    <w:r>
                      <w:rPr>
                        <w:rFonts w:ascii="MS Gothic"/>
                        <w:color w:val="333333"/>
                      </w:rPr>
                      <w:t xml:space="preserve">public UndertowServletWebServerFactory </w:t>
                    </w:r>
                    <w:proofErr w:type="gramStart"/>
                    <w:r>
                      <w:rPr>
                        <w:rFonts w:ascii="MS Gothic"/>
                        <w:color w:val="333333"/>
                      </w:rPr>
                      <w:t>servletWebServerFactory(</w:t>
                    </w:r>
                    <w:proofErr w:type="gramEnd"/>
                    <w:r>
                      <w:rPr>
                        <w:rFonts w:ascii="MS Gothic"/>
                        <w:color w:val="333333"/>
                      </w:rPr>
                      <w:t>) { UndertowServletWebServerFactory factory = new UndertowServletWebServerFactory(); factory.addBuilderCustomizers(new UndertowBuilderCustomizer() {</w:t>
                    </w:r>
                  </w:p>
                  <w:p w14:paraId="3BE809B5" w14:textId="77777777" w:rsidR="00711A16" w:rsidRDefault="00711A16">
                    <w:pPr>
                      <w:spacing w:before="9"/>
                      <w:rPr>
                        <w:rFonts w:ascii="MS Gothic"/>
                      </w:rPr>
                    </w:pPr>
                  </w:p>
                  <w:p w14:paraId="4FC92D35" w14:textId="77777777" w:rsidR="00711A16" w:rsidRDefault="00711A16">
                    <w:pPr>
                      <w:ind w:left="1080"/>
                      <w:rPr>
                        <w:rFonts w:ascii="MS Gothic"/>
                      </w:rPr>
                    </w:pPr>
                    <w:r>
                      <w:rPr>
                        <w:rFonts w:ascii="MS Gothic"/>
                        <w:color w:val="333333"/>
                      </w:rPr>
                      <w:t>@Override</w:t>
                    </w:r>
                  </w:p>
                  <w:p w14:paraId="73D83CE4" w14:textId="77777777" w:rsidR="00711A16" w:rsidRDefault="00711A16">
                    <w:pPr>
                      <w:spacing w:before="13" w:line="252" w:lineRule="auto"/>
                      <w:ind w:left="1520" w:right="3888" w:hanging="4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Builder builder) { builder.addHttpListener(8080, "0.0.0.0");</w:t>
                    </w:r>
                  </w:p>
                  <w:p w14:paraId="49A4F395" w14:textId="77777777" w:rsidR="00711A16" w:rsidRDefault="00711A16">
                    <w:pPr>
                      <w:spacing w:line="280" w:lineRule="exact"/>
                      <w:ind w:left="1080"/>
                      <w:rPr>
                        <w:rFonts w:ascii="MS Gothic"/>
                      </w:rPr>
                    </w:pPr>
                    <w:r>
                      <w:rPr>
                        <w:rFonts w:ascii="MS Gothic"/>
                        <w:color w:val="333333"/>
                      </w:rPr>
                      <w:t>}</w:t>
                    </w:r>
                  </w:p>
                  <w:p w14:paraId="5821859A" w14:textId="77777777" w:rsidR="00711A16" w:rsidRDefault="00711A16">
                    <w:pPr>
                      <w:rPr>
                        <w:rFonts w:ascii="MS Gothic"/>
                        <w:sz w:val="24"/>
                      </w:rPr>
                    </w:pPr>
                  </w:p>
                  <w:p w14:paraId="190F430F" w14:textId="77777777" w:rsidR="00711A16" w:rsidRDefault="00711A16">
                    <w:pPr>
                      <w:ind w:left="640"/>
                      <w:rPr>
                        <w:rFonts w:ascii="MS Gothic"/>
                      </w:rPr>
                    </w:pPr>
                    <w:r>
                      <w:rPr>
                        <w:rFonts w:ascii="MS Gothic"/>
                        <w:color w:val="333333"/>
                      </w:rPr>
                      <w:t>});</w:t>
                    </w:r>
                  </w:p>
                  <w:p w14:paraId="798C4F51" w14:textId="77777777" w:rsidR="00711A16" w:rsidRDefault="00711A16">
                    <w:pPr>
                      <w:spacing w:before="13"/>
                      <w:ind w:left="640"/>
                      <w:rPr>
                        <w:rFonts w:ascii="MS Gothic"/>
                      </w:rPr>
                    </w:pPr>
                    <w:r>
                      <w:rPr>
                        <w:rFonts w:ascii="MS Gothic"/>
                        <w:color w:val="333333"/>
                      </w:rPr>
                      <w:t>return factory;</w:t>
                    </w:r>
                  </w:p>
                  <w:p w14:paraId="16CBD176"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1658EF3E" w14:textId="77777777" w:rsidR="00A720EB" w:rsidRDefault="00A720EB">
      <w:pPr>
        <w:pStyle w:val="a3"/>
        <w:spacing w:before="11"/>
        <w:rPr>
          <w:sz w:val="16"/>
        </w:rPr>
      </w:pPr>
    </w:p>
    <w:p w14:paraId="6CDEDE1C" w14:textId="77777777" w:rsidR="00A720EB" w:rsidRDefault="0030286B">
      <w:pPr>
        <w:pStyle w:val="3"/>
        <w:numPr>
          <w:ilvl w:val="2"/>
          <w:numId w:val="13"/>
        </w:numPr>
        <w:tabs>
          <w:tab w:val="left" w:pos="1003"/>
        </w:tabs>
        <w:spacing w:before="105"/>
        <w:ind w:left="1002" w:hanging="879"/>
      </w:pPr>
      <w:bookmarkStart w:id="851" w:name="9.3.17._Create_WebSocket_Endpoints_Using"/>
      <w:bookmarkStart w:id="852" w:name="_Toc54423947"/>
      <w:bookmarkEnd w:id="851"/>
      <w:r>
        <w:rPr>
          <w:color w:val="333333"/>
          <w:w w:val="110"/>
        </w:rPr>
        <w:t xml:space="preserve">Create </w:t>
      </w:r>
      <w:r>
        <w:rPr>
          <w:color w:val="333333"/>
          <w:spacing w:val="-4"/>
          <w:w w:val="110"/>
        </w:rPr>
        <w:t xml:space="preserve">WebSocket </w:t>
      </w:r>
      <w:r>
        <w:rPr>
          <w:color w:val="333333"/>
          <w:w w:val="110"/>
        </w:rPr>
        <w:t>Endpoints Using</w:t>
      </w:r>
      <w:r>
        <w:rPr>
          <w:color w:val="333333"/>
          <w:spacing w:val="-18"/>
          <w:w w:val="110"/>
        </w:rPr>
        <w:t xml:space="preserve"> </w:t>
      </w:r>
      <w:r>
        <w:rPr>
          <w:color w:val="333333"/>
          <w:w w:val="110"/>
        </w:rPr>
        <w:t>@ServerEndpoint</w:t>
      </w:r>
      <w:bookmarkEnd w:id="852"/>
    </w:p>
    <w:p w14:paraId="3CFBC80A" w14:textId="77777777" w:rsidR="00A720EB" w:rsidRDefault="0030286B">
      <w:pPr>
        <w:pStyle w:val="a3"/>
        <w:spacing w:before="243" w:line="280" w:lineRule="auto"/>
        <w:ind w:left="124"/>
      </w:pPr>
      <w:r>
        <w:rPr>
          <w:color w:val="333333"/>
          <w:w w:val="110"/>
        </w:rPr>
        <w:t xml:space="preserve">If you want to use </w:t>
      </w:r>
      <w:r>
        <w:rPr>
          <w:rFonts w:ascii="MS Gothic"/>
          <w:color w:val="B02045"/>
          <w:w w:val="110"/>
        </w:rPr>
        <w:t xml:space="preserve">@ServerEndpoint </w:t>
      </w:r>
      <w:r>
        <w:rPr>
          <w:color w:val="333333"/>
          <w:w w:val="110"/>
        </w:rPr>
        <w:t xml:space="preserve">in a Spring Boot application that used an embedded container, you must declare a single </w:t>
      </w:r>
      <w:r>
        <w:rPr>
          <w:rFonts w:ascii="MS Gothic"/>
          <w:color w:val="B02045"/>
          <w:w w:val="110"/>
        </w:rPr>
        <w:t>ServerEndpointExporter</w:t>
      </w:r>
      <w:r>
        <w:rPr>
          <w:rFonts w:ascii="MS Gothic"/>
          <w:color w:val="B02045"/>
          <w:spacing w:val="-70"/>
          <w:w w:val="110"/>
        </w:rPr>
        <w:t xml:space="preserve"> </w:t>
      </w:r>
      <w:r>
        <w:rPr>
          <w:rFonts w:ascii="MS Gothic"/>
          <w:color w:val="B02045"/>
          <w:w w:val="110"/>
        </w:rPr>
        <w:t>@Bean</w:t>
      </w:r>
      <w:r>
        <w:rPr>
          <w:color w:val="333333"/>
          <w:w w:val="110"/>
        </w:rPr>
        <w:t>, as shown in the following example:</w:t>
      </w:r>
    </w:p>
    <w:p w14:paraId="223608D1" w14:textId="77777777" w:rsidR="00A720EB" w:rsidRDefault="00E10349">
      <w:pPr>
        <w:pStyle w:val="a3"/>
        <w:spacing w:before="1"/>
        <w:rPr>
          <w:sz w:val="14"/>
        </w:rPr>
      </w:pPr>
      <w:r>
        <w:pict w14:anchorId="34099E50">
          <v:group id="_x0000_s1502" style="position:absolute;margin-left:47.85pt;margin-top:10.25pt;width:499.55pt;height:81.75pt;z-index:-15092224;mso-wrap-distance-left:0;mso-wrap-distance-right:0;mso-position-horizontal-relative:page" coordorigin="957,205" coordsize="9991,1635">
            <v:shape id="_x0000_s1505" style="position:absolute;left:964;top:212;width:9976;height:1620" coordorigin="965,212" coordsize="9976,1620" path="m10861,212r-9816,l1014,218r-26,18l971,261r-6,31l965,1751r6,31l988,1808r26,17l1045,1831r9816,l10892,1825r25,-17l10935,1782r6,-31l10941,292r-6,-31l10917,236r-25,-18l10861,212xe" fillcolor="#f5f5f5" stroked="f">
              <v:path arrowok="t"/>
            </v:shape>
            <v:shape id="_x0000_s1504" style="position:absolute;left:964;top:212;width:9976;height:1620" coordorigin="965,212" coordsize="9976,1620" path="m1045,212r9816,l10892,218r25,18l10935,261r6,31l10941,1751r-6,31l10917,1808r-25,17l10861,1831r-9816,l1014,1825r-26,-17l971,1782r-6,-31l965,292r6,-31l988,236r26,-18l1045,212xe" filled="f" strokecolor="#ccc">
              <v:path arrowok="t"/>
            </v:shape>
            <v:shape id="_x0000_s1503" type="#_x0000_t202" style="position:absolute;left:984;top:227;width:9938;height:1589" filled="f" stroked="f">
              <v:textbox inset="0,0,0,0">
                <w:txbxContent>
                  <w:p w14:paraId="477F2392" w14:textId="77777777" w:rsidR="00711A16" w:rsidRDefault="00711A16">
                    <w:pPr>
                      <w:spacing w:before="221"/>
                      <w:ind w:left="200"/>
                      <w:rPr>
                        <w:rFonts w:ascii="MS Gothic"/>
                      </w:rPr>
                    </w:pPr>
                    <w:r>
                      <w:rPr>
                        <w:rFonts w:ascii="MS Gothic"/>
                        <w:color w:val="333333"/>
                      </w:rPr>
                      <w:t>@Bean</w:t>
                    </w:r>
                  </w:p>
                  <w:p w14:paraId="73846A88" w14:textId="77777777" w:rsidR="00711A16" w:rsidRDefault="00711A16">
                    <w:pPr>
                      <w:spacing w:before="13" w:line="252" w:lineRule="auto"/>
                      <w:ind w:left="640" w:right="3558" w:hanging="440"/>
                      <w:rPr>
                        <w:rFonts w:ascii="MS Gothic"/>
                      </w:rPr>
                    </w:pPr>
                    <w:r>
                      <w:rPr>
                        <w:rFonts w:ascii="MS Gothic"/>
                        <w:color w:val="333333"/>
                      </w:rPr>
                      <w:t xml:space="preserve">public ServerEndpointExporter </w:t>
                    </w:r>
                    <w:proofErr w:type="gramStart"/>
                    <w:r>
                      <w:rPr>
                        <w:rFonts w:ascii="MS Gothic"/>
                        <w:color w:val="333333"/>
                      </w:rPr>
                      <w:t>serverEndpointExporter(</w:t>
                    </w:r>
                    <w:proofErr w:type="gramEnd"/>
                    <w:r>
                      <w:rPr>
                        <w:rFonts w:ascii="MS Gothic"/>
                        <w:color w:val="333333"/>
                      </w:rPr>
                      <w:t>) { return new ServerEndpointExporter();</w:t>
                    </w:r>
                  </w:p>
                  <w:p w14:paraId="39F7E316"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0DFD03F5" w14:textId="77777777" w:rsidR="00A720EB" w:rsidRDefault="00A720EB">
      <w:pPr>
        <w:rPr>
          <w:sz w:val="14"/>
        </w:rPr>
        <w:sectPr w:rsidR="00A720EB">
          <w:pgSz w:w="11910" w:h="16840"/>
          <w:pgMar w:top="700" w:right="840" w:bottom="520" w:left="840" w:header="0" w:footer="323" w:gutter="0"/>
          <w:cols w:space="720"/>
        </w:sectPr>
      </w:pPr>
    </w:p>
    <w:p w14:paraId="3E8D932A" w14:textId="77777777" w:rsidR="00A720EB" w:rsidRDefault="0030286B">
      <w:pPr>
        <w:pStyle w:val="a3"/>
        <w:spacing w:before="91" w:line="295" w:lineRule="auto"/>
        <w:ind w:left="124" w:right="127"/>
        <w:jc w:val="both"/>
      </w:pPr>
      <w:r>
        <w:rPr>
          <w:color w:val="333333"/>
          <w:w w:val="110"/>
        </w:rPr>
        <w:lastRenderedPageBreak/>
        <w:t xml:space="preserve">The bean shown in the preceding example registers any </w:t>
      </w:r>
      <w:r>
        <w:rPr>
          <w:rFonts w:ascii="MS Gothic"/>
          <w:color w:val="B02045"/>
          <w:w w:val="110"/>
        </w:rPr>
        <w:t xml:space="preserve">@ServerEndpoint </w:t>
      </w:r>
      <w:r>
        <w:rPr>
          <w:color w:val="333333"/>
          <w:w w:val="110"/>
        </w:rPr>
        <w:t xml:space="preserve">annotated beans with the underlying </w:t>
      </w:r>
      <w:r>
        <w:rPr>
          <w:color w:val="333333"/>
          <w:spacing w:val="-3"/>
          <w:w w:val="110"/>
        </w:rPr>
        <w:t xml:space="preserve">WebSocket </w:t>
      </w:r>
      <w:r>
        <w:rPr>
          <w:color w:val="333333"/>
          <w:w w:val="110"/>
        </w:rPr>
        <w:t xml:space="preserve">container. When deployed to a standalone servlet container, this role is performed </w:t>
      </w:r>
      <w:r>
        <w:rPr>
          <w:color w:val="333333"/>
          <w:spacing w:val="-3"/>
          <w:w w:val="110"/>
        </w:rPr>
        <w:t xml:space="preserve">by </w:t>
      </w:r>
      <w:r>
        <w:rPr>
          <w:color w:val="333333"/>
          <w:w w:val="110"/>
        </w:rPr>
        <w:t xml:space="preserve">a servlet container initializer, and the </w:t>
      </w:r>
      <w:r>
        <w:rPr>
          <w:rFonts w:ascii="MS Gothic"/>
          <w:color w:val="B02045"/>
          <w:w w:val="110"/>
        </w:rPr>
        <w:t>ServerEndpointExporter</w:t>
      </w:r>
      <w:r>
        <w:rPr>
          <w:rFonts w:ascii="MS Gothic"/>
          <w:color w:val="B02045"/>
          <w:spacing w:val="-69"/>
          <w:w w:val="110"/>
        </w:rPr>
        <w:t xml:space="preserve"> </w:t>
      </w:r>
      <w:r>
        <w:rPr>
          <w:color w:val="333333"/>
          <w:w w:val="110"/>
        </w:rPr>
        <w:t>bean is not required.</w:t>
      </w:r>
    </w:p>
    <w:p w14:paraId="58537ED5" w14:textId="77777777" w:rsidR="00A720EB" w:rsidRDefault="00A720EB">
      <w:pPr>
        <w:pStyle w:val="a3"/>
        <w:spacing w:before="2"/>
        <w:rPr>
          <w:sz w:val="25"/>
        </w:rPr>
      </w:pPr>
    </w:p>
    <w:p w14:paraId="1635A3A6" w14:textId="77777777" w:rsidR="00A720EB" w:rsidRDefault="0030286B">
      <w:pPr>
        <w:pStyle w:val="2"/>
        <w:numPr>
          <w:ilvl w:val="1"/>
          <w:numId w:val="13"/>
        </w:numPr>
        <w:tabs>
          <w:tab w:val="left" w:pos="832"/>
        </w:tabs>
      </w:pPr>
      <w:bookmarkStart w:id="853" w:name="9.4._Spring_MVC"/>
      <w:bookmarkStart w:id="854" w:name="_Toc54423948"/>
      <w:bookmarkEnd w:id="853"/>
      <w:r>
        <w:rPr>
          <w:color w:val="333333"/>
          <w:w w:val="105"/>
        </w:rPr>
        <w:t>Spring</w:t>
      </w:r>
      <w:r>
        <w:rPr>
          <w:color w:val="333333"/>
          <w:spacing w:val="-4"/>
          <w:w w:val="105"/>
        </w:rPr>
        <w:t xml:space="preserve"> </w:t>
      </w:r>
      <w:r>
        <w:rPr>
          <w:color w:val="333333"/>
          <w:spacing w:val="-3"/>
          <w:w w:val="105"/>
        </w:rPr>
        <w:t>MVC</w:t>
      </w:r>
      <w:bookmarkEnd w:id="854"/>
    </w:p>
    <w:p w14:paraId="22D3CADC" w14:textId="77777777" w:rsidR="00A720EB" w:rsidRDefault="0030286B">
      <w:pPr>
        <w:pStyle w:val="a3"/>
        <w:spacing w:before="254" w:line="307" w:lineRule="auto"/>
        <w:ind w:left="124" w:right="131"/>
        <w:jc w:val="both"/>
      </w:pPr>
      <w:r>
        <w:rPr>
          <w:color w:val="333333"/>
          <w:w w:val="110"/>
        </w:rPr>
        <w:t>Spring Boot has a number of starters that include Spring MVC. Note that some starters include a dependency on Spring MVC rather than include it directly. This section answers common questions about Spring MVC and Spring Boot.</w:t>
      </w:r>
    </w:p>
    <w:p w14:paraId="321A0C33" w14:textId="77777777" w:rsidR="00A720EB" w:rsidRDefault="00A720EB">
      <w:pPr>
        <w:pStyle w:val="a3"/>
        <w:spacing w:before="9"/>
        <w:rPr>
          <w:sz w:val="25"/>
        </w:rPr>
      </w:pPr>
    </w:p>
    <w:p w14:paraId="2C52D5CC" w14:textId="77777777" w:rsidR="00A720EB" w:rsidRDefault="0030286B">
      <w:pPr>
        <w:pStyle w:val="3"/>
        <w:numPr>
          <w:ilvl w:val="2"/>
          <w:numId w:val="13"/>
        </w:numPr>
        <w:tabs>
          <w:tab w:val="left" w:pos="858"/>
        </w:tabs>
        <w:ind w:hanging="734"/>
      </w:pPr>
      <w:bookmarkStart w:id="855" w:name="9.4.1._Write_a_JSON_REST_Service"/>
      <w:bookmarkStart w:id="856" w:name="_Toc54423949"/>
      <w:bookmarkEnd w:id="855"/>
      <w:r>
        <w:rPr>
          <w:color w:val="333333"/>
          <w:w w:val="105"/>
        </w:rPr>
        <w:t>Write a JSON REST</w:t>
      </w:r>
      <w:r>
        <w:rPr>
          <w:color w:val="333333"/>
          <w:spacing w:val="-7"/>
          <w:w w:val="105"/>
        </w:rPr>
        <w:t xml:space="preserve"> </w:t>
      </w:r>
      <w:r>
        <w:rPr>
          <w:color w:val="333333"/>
          <w:w w:val="105"/>
        </w:rPr>
        <w:t>Service</w:t>
      </w:r>
      <w:bookmarkEnd w:id="856"/>
    </w:p>
    <w:p w14:paraId="00E0C1B7" w14:textId="77777777" w:rsidR="00A720EB" w:rsidRDefault="0030286B">
      <w:pPr>
        <w:pStyle w:val="a3"/>
        <w:spacing w:before="243" w:line="290" w:lineRule="auto"/>
        <w:ind w:left="124" w:right="133"/>
        <w:jc w:val="both"/>
      </w:pPr>
      <w:r>
        <w:rPr>
          <w:color w:val="333333"/>
          <w:w w:val="110"/>
        </w:rPr>
        <w:t xml:space="preserve">Any Spring </w:t>
      </w:r>
      <w:r>
        <w:rPr>
          <w:rFonts w:ascii="MS Gothic"/>
          <w:color w:val="B02045"/>
          <w:w w:val="110"/>
        </w:rPr>
        <w:t xml:space="preserve">@RestController </w:t>
      </w:r>
      <w:r>
        <w:rPr>
          <w:color w:val="333333"/>
          <w:w w:val="110"/>
        </w:rPr>
        <w:t>in a Spring Boot application should render JSON response by default as long as Jackson2 is on the classpath, as shown in the following example:</w:t>
      </w:r>
    </w:p>
    <w:p w14:paraId="49742B59" w14:textId="77777777" w:rsidR="00A720EB" w:rsidRDefault="00E10349">
      <w:pPr>
        <w:pStyle w:val="a3"/>
        <w:spacing w:before="7"/>
        <w:rPr>
          <w:sz w:val="14"/>
        </w:rPr>
      </w:pPr>
      <w:r>
        <w:pict w14:anchorId="700B4537">
          <v:group id="_x0000_s1498" style="position:absolute;margin-left:47.85pt;margin-top:10.55pt;width:499.55pt;height:155.45pt;z-index:-15091712;mso-wrap-distance-left:0;mso-wrap-distance-right:0;mso-position-horizontal-relative:page" coordorigin="957,211" coordsize="9991,3109">
            <v:shape id="_x0000_s1501" style="position:absolute;left:964;top:219;width:9976;height:3094" coordorigin="965,219" coordsize="9976,3094" path="m10861,219r-9816,l1014,225r-26,17l971,268r-6,31l965,3232r6,31l988,3289r26,17l1045,3312r9816,l10892,3306r25,-17l10935,3263r6,-31l10941,299r-6,-31l10917,242r-25,-17l10861,219xe" fillcolor="#f5f5f5" stroked="f">
              <v:path arrowok="t"/>
            </v:shape>
            <v:shape id="_x0000_s1500" style="position:absolute;left:964;top:219;width:9976;height:3094" coordorigin="965,219" coordsize="9976,3094" path="m1045,219r9816,l10892,225r25,17l10935,268r6,31l10941,3232r-6,31l10917,3289r-25,17l10861,3312r-9816,l1014,3306r-26,-17l971,3263r-6,-31l965,299r6,-31l988,242r26,-17l1045,219xe" filled="f" strokecolor="#ccc">
              <v:path arrowok="t"/>
            </v:shape>
            <v:shape id="_x0000_s1499" type="#_x0000_t202" style="position:absolute;left:984;top:234;width:9938;height:3063" filled="f" stroked="f">
              <v:textbox inset="0,0,0,0">
                <w:txbxContent>
                  <w:p w14:paraId="35F78920" w14:textId="77777777" w:rsidR="00711A16" w:rsidRDefault="00711A16">
                    <w:pPr>
                      <w:spacing w:before="221"/>
                      <w:ind w:left="200"/>
                      <w:rPr>
                        <w:rFonts w:ascii="MS Gothic"/>
                      </w:rPr>
                    </w:pPr>
                    <w:r>
                      <w:rPr>
                        <w:rFonts w:ascii="MS Gothic"/>
                        <w:color w:val="333333"/>
                      </w:rPr>
                      <w:t>@RestController</w:t>
                    </w:r>
                  </w:p>
                  <w:p w14:paraId="74545C60" w14:textId="77777777" w:rsidR="00711A16" w:rsidRDefault="00711A16">
                    <w:pPr>
                      <w:spacing w:before="13"/>
                      <w:ind w:left="200"/>
                      <w:rPr>
                        <w:rFonts w:ascii="MS Gothic"/>
                      </w:rPr>
                    </w:pPr>
                    <w:r>
                      <w:rPr>
                        <w:rFonts w:ascii="MS Gothic"/>
                        <w:color w:val="333333"/>
                      </w:rPr>
                      <w:t>public class MyController {</w:t>
                    </w:r>
                  </w:p>
                  <w:p w14:paraId="6368C137" w14:textId="77777777" w:rsidR="00711A16" w:rsidRDefault="00711A16">
                    <w:pPr>
                      <w:rPr>
                        <w:rFonts w:ascii="MS Gothic"/>
                        <w:sz w:val="24"/>
                      </w:rPr>
                    </w:pPr>
                  </w:p>
                  <w:p w14:paraId="44C93C03" w14:textId="77777777" w:rsidR="00711A16" w:rsidRDefault="00711A16">
                    <w:pPr>
                      <w:spacing w:line="252" w:lineRule="auto"/>
                      <w:ind w:left="640" w:right="6528"/>
                      <w:rPr>
                        <w:rFonts w:ascii="MS Gothic"/>
                      </w:rPr>
                    </w:pPr>
                    <w:r>
                      <w:rPr>
                        <w:rFonts w:ascii="MS Gothic"/>
                        <w:color w:val="333333"/>
                      </w:rPr>
                      <w:t xml:space="preserve">@RequestMapping("/thing") public MyThing </w:t>
                    </w:r>
                    <w:proofErr w:type="gramStart"/>
                    <w:r>
                      <w:rPr>
                        <w:rFonts w:ascii="MS Gothic"/>
                        <w:color w:val="333333"/>
                      </w:rPr>
                      <w:t>thing(</w:t>
                    </w:r>
                    <w:proofErr w:type="gramEnd"/>
                    <w:r>
                      <w:rPr>
                        <w:rFonts w:ascii="MS Gothic"/>
                        <w:color w:val="333333"/>
                      </w:rPr>
                      <w:t>) {</w:t>
                    </w:r>
                  </w:p>
                  <w:p w14:paraId="7710218B" w14:textId="77777777" w:rsidR="00711A16" w:rsidRDefault="00711A16">
                    <w:pPr>
                      <w:spacing w:line="280" w:lineRule="exact"/>
                      <w:ind w:left="1520"/>
                      <w:rPr>
                        <w:rFonts w:ascii="MS Gothic"/>
                      </w:rPr>
                    </w:pPr>
                    <w:r>
                      <w:rPr>
                        <w:rFonts w:ascii="MS Gothic"/>
                        <w:color w:val="333333"/>
                      </w:rPr>
                      <w:t xml:space="preserve">return new </w:t>
                    </w:r>
                    <w:proofErr w:type="gramStart"/>
                    <w:r>
                      <w:rPr>
                        <w:rFonts w:ascii="MS Gothic"/>
                        <w:color w:val="333333"/>
                      </w:rPr>
                      <w:t>MyThing(</w:t>
                    </w:r>
                    <w:proofErr w:type="gramEnd"/>
                    <w:r>
                      <w:rPr>
                        <w:rFonts w:ascii="MS Gothic"/>
                        <w:color w:val="333333"/>
                      </w:rPr>
                      <w:t>);</w:t>
                    </w:r>
                  </w:p>
                  <w:p w14:paraId="40E3C543" w14:textId="77777777" w:rsidR="00711A16" w:rsidRDefault="00711A16">
                    <w:pPr>
                      <w:spacing w:before="13"/>
                      <w:ind w:left="640"/>
                      <w:rPr>
                        <w:rFonts w:ascii="MS Gothic"/>
                      </w:rPr>
                    </w:pPr>
                    <w:r>
                      <w:rPr>
                        <w:rFonts w:ascii="MS Gothic"/>
                        <w:color w:val="333333"/>
                      </w:rPr>
                      <w:t>}</w:t>
                    </w:r>
                  </w:p>
                  <w:p w14:paraId="7D13673D" w14:textId="77777777" w:rsidR="00711A16" w:rsidRDefault="00711A16">
                    <w:pPr>
                      <w:rPr>
                        <w:rFonts w:ascii="MS Gothic"/>
                        <w:sz w:val="24"/>
                      </w:rPr>
                    </w:pPr>
                  </w:p>
                  <w:p w14:paraId="6C6C8F6F" w14:textId="77777777" w:rsidR="00711A16" w:rsidRDefault="00711A16">
                    <w:pPr>
                      <w:ind w:left="200"/>
                      <w:rPr>
                        <w:rFonts w:ascii="MS Gothic"/>
                      </w:rPr>
                    </w:pPr>
                    <w:r>
                      <w:rPr>
                        <w:rFonts w:ascii="MS Gothic"/>
                        <w:color w:val="333333"/>
                      </w:rPr>
                      <w:t>}</w:t>
                    </w:r>
                  </w:p>
                </w:txbxContent>
              </v:textbox>
            </v:shape>
            <w10:wrap type="topAndBottom" anchorx="page"/>
          </v:group>
        </w:pict>
      </w:r>
    </w:p>
    <w:p w14:paraId="08AFD312" w14:textId="77777777" w:rsidR="00A720EB" w:rsidRDefault="00A720EB">
      <w:pPr>
        <w:pStyle w:val="a3"/>
        <w:spacing w:before="11"/>
        <w:rPr>
          <w:sz w:val="9"/>
        </w:rPr>
      </w:pPr>
    </w:p>
    <w:p w14:paraId="5C412165" w14:textId="77777777" w:rsidR="00A720EB" w:rsidRDefault="0030286B">
      <w:pPr>
        <w:pStyle w:val="a3"/>
        <w:spacing w:before="115" w:line="292" w:lineRule="auto"/>
        <w:ind w:left="124" w:right="126"/>
        <w:jc w:val="both"/>
      </w:pPr>
      <w:r>
        <w:rPr>
          <w:color w:val="333333"/>
          <w:w w:val="110"/>
        </w:rPr>
        <w:t xml:space="preserve">As long as </w:t>
      </w:r>
      <w:r>
        <w:rPr>
          <w:rFonts w:ascii="MS Gothic"/>
          <w:color w:val="B02045"/>
          <w:w w:val="110"/>
        </w:rPr>
        <w:t xml:space="preserve">MyThing </w:t>
      </w:r>
      <w:r>
        <w:rPr>
          <w:color w:val="333333"/>
          <w:w w:val="110"/>
        </w:rPr>
        <w:t xml:space="preserve">can be serialized </w:t>
      </w:r>
      <w:r>
        <w:rPr>
          <w:color w:val="333333"/>
          <w:spacing w:val="-3"/>
          <w:w w:val="110"/>
        </w:rPr>
        <w:t xml:space="preserve">by </w:t>
      </w:r>
      <w:r>
        <w:rPr>
          <w:color w:val="333333"/>
          <w:w w:val="110"/>
        </w:rPr>
        <w:t xml:space="preserve">Jackson2 (true for a normal POJO or Groovy object), then </w:t>
      </w:r>
      <w:r>
        <w:rPr>
          <w:rFonts w:ascii="MS Gothic"/>
          <w:color w:val="418BCA"/>
          <w:w w:val="110"/>
        </w:rPr>
        <w:t xml:space="preserve">localhost:8080/thing </w:t>
      </w:r>
      <w:r>
        <w:rPr>
          <w:color w:val="333333"/>
          <w:w w:val="110"/>
        </w:rPr>
        <w:t xml:space="preserve">serves a JSON representation of it </w:t>
      </w:r>
      <w:r>
        <w:rPr>
          <w:color w:val="333333"/>
          <w:spacing w:val="-3"/>
          <w:w w:val="110"/>
        </w:rPr>
        <w:t xml:space="preserve">by </w:t>
      </w:r>
      <w:r>
        <w:rPr>
          <w:color w:val="333333"/>
          <w:w w:val="110"/>
        </w:rPr>
        <w:t xml:space="preserve">default. Note that, in a browser, </w:t>
      </w:r>
      <w:proofErr w:type="gramStart"/>
      <w:r>
        <w:rPr>
          <w:color w:val="333333"/>
          <w:w w:val="110"/>
        </w:rPr>
        <w:t>you  might</w:t>
      </w:r>
      <w:proofErr w:type="gramEnd"/>
      <w:r>
        <w:rPr>
          <w:color w:val="333333"/>
          <w:w w:val="110"/>
        </w:rPr>
        <w:t xml:space="preserve"> sometimes see XML responses, because browsers tend to send accept headers that prefer</w:t>
      </w:r>
      <w:r>
        <w:rPr>
          <w:color w:val="333333"/>
          <w:spacing w:val="50"/>
          <w:w w:val="110"/>
        </w:rPr>
        <w:t xml:space="preserve"> </w:t>
      </w:r>
      <w:r>
        <w:rPr>
          <w:color w:val="333333"/>
          <w:w w:val="110"/>
        </w:rPr>
        <w:t>XML.</w:t>
      </w:r>
    </w:p>
    <w:p w14:paraId="49AB00F3" w14:textId="77777777" w:rsidR="00A720EB" w:rsidRDefault="00A720EB">
      <w:pPr>
        <w:pStyle w:val="a3"/>
        <w:rPr>
          <w:sz w:val="27"/>
        </w:rPr>
      </w:pPr>
    </w:p>
    <w:p w14:paraId="40503B46" w14:textId="77777777" w:rsidR="00A720EB" w:rsidRDefault="0030286B">
      <w:pPr>
        <w:pStyle w:val="3"/>
        <w:numPr>
          <w:ilvl w:val="2"/>
          <w:numId w:val="13"/>
        </w:numPr>
        <w:tabs>
          <w:tab w:val="left" w:pos="858"/>
        </w:tabs>
        <w:spacing w:before="1"/>
        <w:ind w:hanging="734"/>
      </w:pPr>
      <w:bookmarkStart w:id="857" w:name="9.4.2._Write_an_XML_REST_Service"/>
      <w:bookmarkStart w:id="858" w:name="_Toc54423950"/>
      <w:bookmarkEnd w:id="857"/>
      <w:r>
        <w:rPr>
          <w:color w:val="333333"/>
          <w:w w:val="110"/>
        </w:rPr>
        <w:t>Write an XML REST</w:t>
      </w:r>
      <w:r>
        <w:rPr>
          <w:color w:val="333333"/>
          <w:spacing w:val="-25"/>
          <w:w w:val="110"/>
        </w:rPr>
        <w:t xml:space="preserve"> </w:t>
      </w:r>
      <w:r>
        <w:rPr>
          <w:color w:val="333333"/>
          <w:w w:val="110"/>
        </w:rPr>
        <w:t>Service</w:t>
      </w:r>
      <w:bookmarkEnd w:id="858"/>
    </w:p>
    <w:p w14:paraId="60FED3D4" w14:textId="77777777" w:rsidR="00A720EB" w:rsidRDefault="0030286B">
      <w:pPr>
        <w:pStyle w:val="a3"/>
        <w:spacing w:before="243" w:line="300" w:lineRule="auto"/>
        <w:ind w:left="124" w:right="124"/>
        <w:jc w:val="both"/>
      </w:pPr>
      <w:r>
        <w:rPr>
          <w:color w:val="333333"/>
          <w:w w:val="110"/>
        </w:rPr>
        <w:t>If you have the Jackson XML extension (</w:t>
      </w:r>
      <w:r>
        <w:rPr>
          <w:rFonts w:ascii="MS Gothic"/>
          <w:color w:val="B02045"/>
          <w:w w:val="110"/>
        </w:rPr>
        <w:t>jackson-dataformat-xml</w:t>
      </w:r>
      <w:r>
        <w:rPr>
          <w:color w:val="333333"/>
          <w:w w:val="110"/>
        </w:rPr>
        <w:t xml:space="preserve">) on the classpath, you can use it to render XML responses. The previous example that we used for JSON would work. </w:t>
      </w:r>
      <w:r>
        <w:rPr>
          <w:color w:val="333333"/>
          <w:spacing w:val="-4"/>
          <w:w w:val="110"/>
        </w:rPr>
        <w:t>To</w:t>
      </w:r>
      <w:r>
        <w:rPr>
          <w:color w:val="333333"/>
          <w:spacing w:val="42"/>
          <w:w w:val="110"/>
        </w:rPr>
        <w:t xml:space="preserve"> </w:t>
      </w:r>
      <w:proofErr w:type="gramStart"/>
      <w:r>
        <w:rPr>
          <w:color w:val="333333"/>
          <w:w w:val="110"/>
        </w:rPr>
        <w:t>use  the</w:t>
      </w:r>
      <w:proofErr w:type="gramEnd"/>
      <w:r>
        <w:rPr>
          <w:color w:val="333333"/>
          <w:w w:val="110"/>
        </w:rPr>
        <w:t xml:space="preserve">  Jackson XML renderer, add the following dependency to your</w:t>
      </w:r>
      <w:r>
        <w:rPr>
          <w:color w:val="333333"/>
          <w:spacing w:val="34"/>
          <w:w w:val="110"/>
        </w:rPr>
        <w:t xml:space="preserve"> </w:t>
      </w:r>
      <w:r>
        <w:rPr>
          <w:color w:val="333333"/>
          <w:w w:val="110"/>
        </w:rPr>
        <w:t>project:</w:t>
      </w:r>
    </w:p>
    <w:p w14:paraId="2B115F55" w14:textId="77777777" w:rsidR="00A720EB" w:rsidRDefault="00E10349">
      <w:pPr>
        <w:pStyle w:val="a3"/>
        <w:spacing w:before="6"/>
        <w:rPr>
          <w:sz w:val="13"/>
        </w:rPr>
      </w:pPr>
      <w:r>
        <w:pict w14:anchorId="7B6B4D3B">
          <v:group id="_x0000_s1494" style="position:absolute;margin-left:47.85pt;margin-top:9.9pt;width:499.55pt;height:81.75pt;z-index:-15091200;mso-wrap-distance-left:0;mso-wrap-distance-right:0;mso-position-horizontal-relative:page" coordorigin="957,198" coordsize="9991,1635">
            <v:shape id="_x0000_s1497" style="position:absolute;left:964;top:205;width:9976;height:1620" coordorigin="965,206" coordsize="9976,1620" path="m10861,206r-9816,l1014,212r-26,17l971,255r-6,31l965,1745r6,31l988,1802r26,17l1045,1825r9816,l10892,1819r25,-17l10935,1776r6,-31l10941,286r-6,-31l10917,229r-25,-17l10861,206xe" fillcolor="#f5f5f5" stroked="f">
              <v:path arrowok="t"/>
            </v:shape>
            <v:shape id="_x0000_s1496" style="position:absolute;left:964;top:205;width:9976;height:1620" coordorigin="965,206" coordsize="9976,1620" path="m1045,206r9816,l10892,212r25,17l10935,255r6,31l10941,1745r-6,31l10917,1802r-25,17l10861,1825r-9816,l1014,1819r-26,-17l971,1776r-6,-31l965,286r6,-31l988,229r26,-17l1045,206xe" filled="f" strokecolor="#ccc">
              <v:path arrowok="t"/>
            </v:shape>
            <v:shape id="_x0000_s1495" type="#_x0000_t202" style="position:absolute;left:984;top:221;width:9938;height:1589" filled="f" stroked="f">
              <v:textbox inset="0,0,0,0">
                <w:txbxContent>
                  <w:p w14:paraId="52922FDC" w14:textId="77777777" w:rsidR="00711A16" w:rsidRDefault="00711A16">
                    <w:pPr>
                      <w:spacing w:before="221"/>
                      <w:ind w:left="200"/>
                      <w:rPr>
                        <w:rFonts w:ascii="MS Gothic"/>
                      </w:rPr>
                    </w:pPr>
                    <w:r>
                      <w:rPr>
                        <w:rFonts w:ascii="MS Gothic"/>
                        <w:color w:val="333333"/>
                      </w:rPr>
                      <w:t>&lt;dependency&gt;</w:t>
                    </w:r>
                  </w:p>
                  <w:p w14:paraId="4D42E07D" w14:textId="77777777" w:rsidR="00711A16" w:rsidRDefault="00711A16">
                    <w:pPr>
                      <w:spacing w:before="13"/>
                      <w:ind w:left="640"/>
                      <w:rPr>
                        <w:rFonts w:ascii="MS Gothic"/>
                      </w:rPr>
                    </w:pPr>
                    <w:proofErr w:type="gramStart"/>
                    <w:r>
                      <w:rPr>
                        <w:rFonts w:ascii="MS Gothic"/>
                        <w:color w:val="333333"/>
                      </w:rPr>
                      <w:t>&lt;groupId&gt;com.fasterxml.jackson</w:t>
                    </w:r>
                    <w:proofErr w:type="gramEnd"/>
                    <w:r>
                      <w:rPr>
                        <w:rFonts w:ascii="MS Gothic"/>
                        <w:color w:val="333333"/>
                      </w:rPr>
                      <w:t>.dataformat&lt;/groupId&gt;</w:t>
                    </w:r>
                  </w:p>
                  <w:p w14:paraId="19AB05E3" w14:textId="77777777" w:rsidR="00711A16" w:rsidRDefault="00711A16">
                    <w:pPr>
                      <w:spacing w:before="13"/>
                      <w:ind w:left="640"/>
                      <w:rPr>
                        <w:rFonts w:ascii="MS Gothic"/>
                      </w:rPr>
                    </w:pPr>
                    <w:r>
                      <w:rPr>
                        <w:rFonts w:ascii="MS Gothic"/>
                        <w:color w:val="333333"/>
                      </w:rPr>
                      <w:t>&lt;artifactId&gt;jackson-dataformat-xml&lt;/artifactId&gt;</w:t>
                    </w:r>
                  </w:p>
                  <w:p w14:paraId="510D8D36"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54830842" w14:textId="77777777" w:rsidR="00A720EB" w:rsidRDefault="00A720EB">
      <w:pPr>
        <w:pStyle w:val="a3"/>
        <w:rPr>
          <w:sz w:val="10"/>
        </w:rPr>
      </w:pPr>
    </w:p>
    <w:p w14:paraId="41E0B7A6" w14:textId="77777777" w:rsidR="00A720EB" w:rsidRDefault="0030286B">
      <w:pPr>
        <w:pStyle w:val="a3"/>
        <w:spacing w:before="125" w:line="295" w:lineRule="auto"/>
        <w:ind w:left="124" w:right="123"/>
        <w:jc w:val="both"/>
      </w:pPr>
      <w:r>
        <w:rPr>
          <w:color w:val="333333"/>
          <w:w w:val="110"/>
        </w:rPr>
        <w:t xml:space="preserve">If Jackson’s XML extension is not available and JAXB is available, XML can be rendered with the additional requirement of having </w:t>
      </w:r>
      <w:r>
        <w:rPr>
          <w:rFonts w:ascii="MS Gothic" w:hAnsi="MS Gothic"/>
          <w:color w:val="B02045"/>
          <w:w w:val="110"/>
        </w:rPr>
        <w:t xml:space="preserve">MyThing </w:t>
      </w:r>
      <w:r>
        <w:rPr>
          <w:color w:val="333333"/>
          <w:w w:val="110"/>
        </w:rPr>
        <w:t xml:space="preserve">annotated as </w:t>
      </w:r>
      <w:r>
        <w:rPr>
          <w:rFonts w:ascii="MS Gothic" w:hAnsi="MS Gothic"/>
          <w:color w:val="B02045"/>
          <w:w w:val="110"/>
        </w:rPr>
        <w:t>@XmlRootElement</w:t>
      </w:r>
      <w:r>
        <w:rPr>
          <w:color w:val="333333"/>
          <w:w w:val="110"/>
        </w:rPr>
        <w:t>, as shown in the following example:</w:t>
      </w:r>
    </w:p>
    <w:p w14:paraId="64F235D1" w14:textId="77777777" w:rsidR="00A720EB" w:rsidRDefault="00A720EB">
      <w:pPr>
        <w:spacing w:line="295" w:lineRule="auto"/>
        <w:jc w:val="both"/>
        <w:sectPr w:rsidR="00A720EB">
          <w:pgSz w:w="11910" w:h="16840"/>
          <w:pgMar w:top="640" w:right="840" w:bottom="520" w:left="840" w:header="0" w:footer="323" w:gutter="0"/>
          <w:cols w:space="720"/>
        </w:sectPr>
      </w:pPr>
    </w:p>
    <w:p w14:paraId="3B077CF3" w14:textId="77777777" w:rsidR="00A720EB" w:rsidRDefault="00E10349">
      <w:pPr>
        <w:pStyle w:val="a3"/>
        <w:ind w:left="116"/>
        <w:rPr>
          <w:sz w:val="20"/>
        </w:rPr>
      </w:pPr>
      <w:r>
        <w:rPr>
          <w:sz w:val="20"/>
        </w:rPr>
      </w:r>
      <w:r>
        <w:rPr>
          <w:sz w:val="20"/>
        </w:rPr>
        <w:pict w14:anchorId="42788A91">
          <v:group id="_x0000_s1490" style="width:499.55pt;height:96.45pt;mso-position-horizontal-relative:char;mso-position-vertical-relative:line" coordsize="9991,1929">
            <v:shape id="_x0000_s1493" style="position:absolute;left:7;top:7;width:9976;height:1914" coordorigin="8,8" coordsize="9976,1914" path="m9904,8l88,8,56,14,31,31,14,56,8,88r,1753l14,1873r17,25l56,1915r32,6l9904,1921r31,-6l9960,1898r17,-25l9984,1841r,-1753l9977,56,9960,31,9935,14,9904,8xe" fillcolor="#f5f5f5" stroked="f">
              <v:path arrowok="t"/>
            </v:shape>
            <v:shape id="_x0000_s1492" style="position:absolute;left:7;top:7;width:9976;height:1914" coordorigin="8,8" coordsize="9976,1914" path="m88,8r9816,l9935,14r25,17l9977,56r7,32l9984,1841r-7,32l9960,1898r-25,17l9904,1921r-9816,l56,1915,31,1898,14,1873,8,1841,8,88,14,56,31,31,56,14,88,8xe" filled="f" strokecolor="#ccc">
              <v:path arrowok="t"/>
            </v:shape>
            <v:shape id="_x0000_s1491" type="#_x0000_t202" style="position:absolute;left:26;top:22;width:9938;height:1884" filled="f" stroked="f">
              <v:textbox inset="0,0,0,0">
                <w:txbxContent>
                  <w:p w14:paraId="660B92DD" w14:textId="77777777" w:rsidR="00711A16" w:rsidRDefault="00711A16">
                    <w:pPr>
                      <w:spacing w:before="221"/>
                      <w:ind w:left="200"/>
                      <w:rPr>
                        <w:rFonts w:ascii="MS Gothic"/>
                      </w:rPr>
                    </w:pPr>
                    <w:r>
                      <w:rPr>
                        <w:rFonts w:ascii="MS Gothic"/>
                        <w:color w:val="333333"/>
                      </w:rPr>
                      <w:t>@XmlRootElement</w:t>
                    </w:r>
                  </w:p>
                  <w:p w14:paraId="650E0BDD" w14:textId="77777777" w:rsidR="00711A16" w:rsidRDefault="00711A16">
                    <w:pPr>
                      <w:spacing w:before="13" w:line="252" w:lineRule="auto"/>
                      <w:ind w:left="640" w:right="7078" w:hanging="440"/>
                      <w:rPr>
                        <w:rFonts w:ascii="MS Gothic"/>
                      </w:rPr>
                    </w:pPr>
                    <w:r>
                      <w:rPr>
                        <w:rFonts w:ascii="MS Gothic"/>
                        <w:color w:val="333333"/>
                      </w:rPr>
                      <w:t xml:space="preserve">public class MyThing </w:t>
                    </w:r>
                    <w:proofErr w:type="gramStart"/>
                    <w:r>
                      <w:rPr>
                        <w:rFonts w:ascii="MS Gothic"/>
                        <w:color w:val="333333"/>
                      </w:rPr>
                      <w:t>{ private</w:t>
                    </w:r>
                    <w:proofErr w:type="gramEnd"/>
                    <w:r>
                      <w:rPr>
                        <w:rFonts w:ascii="MS Gothic"/>
                        <w:color w:val="333333"/>
                      </w:rPr>
                      <w:t xml:space="preserve"> String name;</w:t>
                    </w:r>
                  </w:p>
                  <w:p w14:paraId="66EA067C" w14:textId="77777777" w:rsidR="00711A16" w:rsidRDefault="00711A16">
                    <w:pPr>
                      <w:spacing w:line="280" w:lineRule="exact"/>
                      <w:ind w:left="640"/>
                      <w:rPr>
                        <w:rFonts w:ascii="MS Gothic"/>
                      </w:rPr>
                    </w:pPr>
                    <w:r>
                      <w:rPr>
                        <w:rFonts w:ascii="MS Gothic"/>
                        <w:color w:val="333333"/>
                      </w:rPr>
                      <w:t>// .. getters and setters</w:t>
                    </w:r>
                  </w:p>
                  <w:p w14:paraId="3B079DC9" w14:textId="77777777" w:rsidR="00711A16" w:rsidRDefault="00711A16">
                    <w:pPr>
                      <w:spacing w:before="13"/>
                      <w:ind w:left="200"/>
                      <w:rPr>
                        <w:rFonts w:ascii="MS Gothic"/>
                      </w:rPr>
                    </w:pPr>
                    <w:r>
                      <w:rPr>
                        <w:rFonts w:ascii="MS Gothic"/>
                        <w:color w:val="333333"/>
                      </w:rPr>
                      <w:t>}</w:t>
                    </w:r>
                  </w:p>
                </w:txbxContent>
              </v:textbox>
            </v:shape>
            <w10:anchorlock/>
          </v:group>
        </w:pict>
      </w:r>
    </w:p>
    <w:p w14:paraId="295150F1" w14:textId="77777777" w:rsidR="00A720EB" w:rsidRDefault="00A720EB">
      <w:pPr>
        <w:pStyle w:val="a3"/>
        <w:spacing w:before="10"/>
        <w:rPr>
          <w:sz w:val="9"/>
        </w:rPr>
      </w:pPr>
    </w:p>
    <w:p w14:paraId="2F9AFF26" w14:textId="77777777" w:rsidR="00A720EB" w:rsidRDefault="0030286B">
      <w:pPr>
        <w:pStyle w:val="a3"/>
        <w:spacing w:before="125" w:line="307" w:lineRule="auto"/>
        <w:ind w:left="124" w:right="359"/>
      </w:pPr>
      <w:r>
        <w:rPr>
          <w:color w:val="333333"/>
          <w:w w:val="110"/>
        </w:rPr>
        <w:t>JAXB is only available out of the box with Java 8. If you’re using a more recent Java generation, add the following dependency to your</w:t>
      </w:r>
      <w:r>
        <w:rPr>
          <w:color w:val="333333"/>
          <w:spacing w:val="15"/>
          <w:w w:val="110"/>
        </w:rPr>
        <w:t xml:space="preserve"> </w:t>
      </w:r>
      <w:r>
        <w:rPr>
          <w:color w:val="333333"/>
          <w:w w:val="110"/>
        </w:rPr>
        <w:t>project:</w:t>
      </w:r>
    </w:p>
    <w:p w14:paraId="683B2739" w14:textId="77777777" w:rsidR="00A720EB" w:rsidRDefault="00E10349">
      <w:pPr>
        <w:pStyle w:val="a3"/>
        <w:spacing w:before="2"/>
        <w:rPr>
          <w:sz w:val="13"/>
        </w:rPr>
      </w:pPr>
      <w:r>
        <w:pict w14:anchorId="2568A402">
          <v:group id="_x0000_s1486" style="position:absolute;margin-left:47.85pt;margin-top:9.7pt;width:499.55pt;height:81.75pt;z-index:-15090176;mso-wrap-distance-left:0;mso-wrap-distance-right:0;mso-position-horizontal-relative:page" coordorigin="957,194" coordsize="9991,1635">
            <v:shape id="_x0000_s1489" style="position:absolute;left:964;top:201;width:9976;height:1620" coordorigin="965,202" coordsize="9976,1620" path="m10861,202r-9816,l1014,208r-26,17l971,250r-6,32l965,1741r6,31l988,1797r26,18l1045,1821r9816,l10892,1815r25,-18l10935,1772r6,-31l10941,282r-6,-32l10917,225r-25,-17l10861,202xe" fillcolor="#f5f5f5" stroked="f">
              <v:path arrowok="t"/>
            </v:shape>
            <v:shape id="_x0000_s1488" style="position:absolute;left:964;top:201;width:9976;height:1620" coordorigin="965,202" coordsize="9976,1620" path="m1045,202r9816,l10892,208r25,17l10935,250r6,32l10941,1741r-6,31l10917,1797r-25,18l10861,1821r-9816,l1014,1815r-26,-18l971,1772r-6,-31l965,282r6,-32l988,225r26,-17l1045,202xe" filled="f" strokecolor="#ccc">
              <v:path arrowok="t"/>
            </v:shape>
            <v:shape id="_x0000_s1487" type="#_x0000_t202" style="position:absolute;left:984;top:217;width:9938;height:1589" filled="f" stroked="f">
              <v:textbox inset="0,0,0,0">
                <w:txbxContent>
                  <w:p w14:paraId="754C48CA" w14:textId="77777777" w:rsidR="00711A16" w:rsidRDefault="00711A16">
                    <w:pPr>
                      <w:spacing w:before="221"/>
                      <w:ind w:left="200"/>
                      <w:rPr>
                        <w:rFonts w:ascii="MS Gothic"/>
                      </w:rPr>
                    </w:pPr>
                    <w:r>
                      <w:rPr>
                        <w:rFonts w:ascii="MS Gothic"/>
                        <w:color w:val="333333"/>
                      </w:rPr>
                      <w:t>&lt;dependency&gt;</w:t>
                    </w:r>
                  </w:p>
                  <w:p w14:paraId="0A916678" w14:textId="77777777" w:rsidR="00711A16" w:rsidRDefault="00711A16">
                    <w:pPr>
                      <w:spacing w:before="13"/>
                      <w:ind w:left="640"/>
                      <w:rPr>
                        <w:rFonts w:ascii="MS Gothic"/>
                      </w:rPr>
                    </w:pPr>
                    <w:proofErr w:type="gramStart"/>
                    <w:r>
                      <w:rPr>
                        <w:rFonts w:ascii="MS Gothic"/>
                        <w:color w:val="333333"/>
                      </w:rPr>
                      <w:t>&lt;groupId&gt;org.glassfish.jaxb</w:t>
                    </w:r>
                    <w:proofErr w:type="gramEnd"/>
                    <w:r>
                      <w:rPr>
                        <w:rFonts w:ascii="MS Gothic"/>
                        <w:color w:val="333333"/>
                      </w:rPr>
                      <w:t>&lt;/groupId&gt;</w:t>
                    </w:r>
                  </w:p>
                  <w:p w14:paraId="0714D174" w14:textId="77777777" w:rsidR="00711A16" w:rsidRDefault="00711A16">
                    <w:pPr>
                      <w:spacing w:before="13"/>
                      <w:ind w:left="640"/>
                      <w:rPr>
                        <w:rFonts w:ascii="MS Gothic"/>
                      </w:rPr>
                    </w:pPr>
                    <w:r>
                      <w:rPr>
                        <w:rFonts w:ascii="MS Gothic"/>
                        <w:color w:val="333333"/>
                      </w:rPr>
                      <w:t>&lt;artifactId&gt;jaxb-runtime&lt;/artifactId&gt;</w:t>
                    </w:r>
                  </w:p>
                  <w:p w14:paraId="44B40A09"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405CAE6B" w14:textId="77777777" w:rsidR="00A720EB" w:rsidRDefault="00A720EB">
      <w:pPr>
        <w:pStyle w:val="a3"/>
        <w:spacing w:before="10"/>
        <w:rPr>
          <w:sz w:val="16"/>
        </w:rPr>
      </w:pPr>
    </w:p>
    <w:p w14:paraId="3E9C0A40" w14:textId="77777777" w:rsidR="00A720EB" w:rsidRDefault="00E10349">
      <w:pPr>
        <w:pStyle w:val="a3"/>
        <w:spacing w:before="125"/>
        <w:ind w:left="1564"/>
      </w:pPr>
      <w:r>
        <w:pict w14:anchorId="3A68B792">
          <v:line id="_x0000_s1485" style="position:absolute;left:0;text-align:left;z-index:16367616;mso-position-horizontal-relative:page" from="108.25pt,.25pt" to="108.25pt,39.8pt" strokecolor="#ededed" strokeweight=".5pt">
            <w10:wrap anchorx="page"/>
          </v:line>
        </w:pict>
      </w:r>
      <w:r w:rsidR="0030286B">
        <w:rPr>
          <w:noProof/>
        </w:rPr>
        <w:drawing>
          <wp:anchor distT="0" distB="0" distL="0" distR="0" simplePos="0" relativeHeight="16368128" behindDoc="0" locked="0" layoutInCell="1" allowOverlap="1" wp14:anchorId="5E572385" wp14:editId="4FFA8A18">
            <wp:simplePos x="0" y="0"/>
            <wp:positionH relativeFrom="page">
              <wp:posOffset>844422</wp:posOffset>
            </wp:positionH>
            <wp:positionV relativeFrom="paragraph">
              <wp:posOffset>105321</wp:posOffset>
            </wp:positionV>
            <wp:extent cx="298450" cy="298450"/>
            <wp:effectExtent l="0" t="0" r="0" b="0"/>
            <wp:wrapNone/>
            <wp:docPr id="7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To get the server to render XML instead of JSON, you might have to send an</w:t>
      </w:r>
    </w:p>
    <w:p w14:paraId="034208C1" w14:textId="77777777" w:rsidR="00A720EB" w:rsidRDefault="0030286B">
      <w:pPr>
        <w:pStyle w:val="a3"/>
        <w:spacing w:before="59"/>
        <w:ind w:left="1564"/>
      </w:pPr>
      <w:r>
        <w:rPr>
          <w:rFonts w:ascii="MS Gothic"/>
          <w:color w:val="B02045"/>
          <w:w w:val="110"/>
        </w:rPr>
        <w:t>Accept: text/xml</w:t>
      </w:r>
      <w:r>
        <w:rPr>
          <w:rFonts w:ascii="MS Gothic"/>
          <w:color w:val="B02045"/>
          <w:spacing w:val="-76"/>
          <w:w w:val="110"/>
        </w:rPr>
        <w:t xml:space="preserve"> </w:t>
      </w:r>
      <w:r>
        <w:rPr>
          <w:color w:val="333333"/>
          <w:w w:val="110"/>
        </w:rPr>
        <w:t>header (or use a browser).</w:t>
      </w:r>
    </w:p>
    <w:p w14:paraId="17567CE1" w14:textId="77777777" w:rsidR="00A720EB" w:rsidRDefault="00A720EB">
      <w:pPr>
        <w:pStyle w:val="a3"/>
        <w:spacing w:before="4"/>
        <w:rPr>
          <w:sz w:val="28"/>
        </w:rPr>
      </w:pPr>
    </w:p>
    <w:p w14:paraId="6C017005" w14:textId="77777777" w:rsidR="00A720EB" w:rsidRDefault="0030286B">
      <w:pPr>
        <w:pStyle w:val="3"/>
        <w:numPr>
          <w:ilvl w:val="2"/>
          <w:numId w:val="13"/>
        </w:numPr>
        <w:tabs>
          <w:tab w:val="left" w:pos="858"/>
        </w:tabs>
        <w:spacing w:before="106"/>
        <w:ind w:hanging="734"/>
      </w:pPr>
      <w:bookmarkStart w:id="859" w:name="9.4.3._Customize_the_Jackson_ObjectMappe"/>
      <w:bookmarkStart w:id="860" w:name="_Toc54423951"/>
      <w:bookmarkEnd w:id="859"/>
      <w:r>
        <w:rPr>
          <w:color w:val="333333"/>
          <w:w w:val="110"/>
        </w:rPr>
        <w:t>Customize the Jackson</w:t>
      </w:r>
      <w:r>
        <w:rPr>
          <w:color w:val="333333"/>
          <w:spacing w:val="-19"/>
          <w:w w:val="110"/>
        </w:rPr>
        <w:t xml:space="preserve"> </w:t>
      </w:r>
      <w:r>
        <w:rPr>
          <w:color w:val="333333"/>
          <w:w w:val="110"/>
        </w:rPr>
        <w:t>ObjectMapper</w:t>
      </w:r>
      <w:bookmarkEnd w:id="860"/>
    </w:p>
    <w:p w14:paraId="0E336E13" w14:textId="77777777" w:rsidR="00A720EB" w:rsidRDefault="0030286B">
      <w:pPr>
        <w:pStyle w:val="a3"/>
        <w:spacing w:before="243" w:line="295" w:lineRule="auto"/>
        <w:ind w:left="124" w:right="123"/>
        <w:jc w:val="both"/>
      </w:pPr>
      <w:r>
        <w:rPr>
          <w:color w:val="333333"/>
          <w:w w:val="110"/>
        </w:rPr>
        <w:t xml:space="preserve">Spring MVC (client and server side) uses </w:t>
      </w:r>
      <w:r>
        <w:rPr>
          <w:rFonts w:ascii="MS Gothic"/>
          <w:color w:val="B02045"/>
          <w:w w:val="110"/>
        </w:rPr>
        <w:t xml:space="preserve">HttpMessageConverters </w:t>
      </w:r>
      <w:r>
        <w:rPr>
          <w:color w:val="333333"/>
          <w:w w:val="110"/>
        </w:rPr>
        <w:t xml:space="preserve">to negotiate content conversion in an HTTP exchange. If Jackson is on the classpath, you already get the default converter(s) provided </w:t>
      </w:r>
      <w:r>
        <w:rPr>
          <w:color w:val="333333"/>
          <w:spacing w:val="-3"/>
          <w:w w:val="110"/>
        </w:rPr>
        <w:t xml:space="preserve">by </w:t>
      </w:r>
      <w:r>
        <w:rPr>
          <w:rFonts w:ascii="MS Gothic"/>
          <w:color w:val="B02045"/>
          <w:w w:val="110"/>
        </w:rPr>
        <w:t>Jackson2ObjectMapperBuilder</w:t>
      </w:r>
      <w:r>
        <w:rPr>
          <w:color w:val="333333"/>
          <w:w w:val="110"/>
        </w:rPr>
        <w:t>, an instance of which is auto-configured for</w:t>
      </w:r>
      <w:r>
        <w:rPr>
          <w:color w:val="333333"/>
          <w:spacing w:val="-15"/>
          <w:w w:val="110"/>
        </w:rPr>
        <w:t xml:space="preserve"> </w:t>
      </w:r>
      <w:r>
        <w:rPr>
          <w:color w:val="333333"/>
          <w:w w:val="110"/>
        </w:rPr>
        <w:t>you.</w:t>
      </w:r>
    </w:p>
    <w:p w14:paraId="661284EC" w14:textId="77777777" w:rsidR="00A720EB" w:rsidRDefault="0030286B">
      <w:pPr>
        <w:pStyle w:val="a3"/>
        <w:spacing w:before="222" w:line="290" w:lineRule="auto"/>
        <w:ind w:left="124" w:right="130"/>
        <w:jc w:val="both"/>
      </w:pPr>
      <w:r>
        <w:rPr>
          <w:color w:val="333333"/>
          <w:w w:val="110"/>
        </w:rPr>
        <w:t xml:space="preserve">The </w:t>
      </w:r>
      <w:r>
        <w:rPr>
          <w:rFonts w:ascii="MS Gothic"/>
          <w:color w:val="B02045"/>
          <w:w w:val="110"/>
        </w:rPr>
        <w:t xml:space="preserve">ObjectMapper </w:t>
      </w:r>
      <w:r>
        <w:rPr>
          <w:color w:val="333333"/>
          <w:w w:val="110"/>
        </w:rPr>
        <w:t xml:space="preserve">(or </w:t>
      </w:r>
      <w:r>
        <w:rPr>
          <w:rFonts w:ascii="MS Gothic"/>
          <w:color w:val="B02045"/>
          <w:w w:val="110"/>
        </w:rPr>
        <w:t xml:space="preserve">XmlMapper </w:t>
      </w:r>
      <w:r>
        <w:rPr>
          <w:color w:val="333333"/>
          <w:w w:val="110"/>
        </w:rPr>
        <w:t>for Jackson XML converter) instance (created by default) has the following customized properties:</w:t>
      </w:r>
    </w:p>
    <w:p w14:paraId="6F825083" w14:textId="77777777" w:rsidR="00A720EB" w:rsidRDefault="0030286B">
      <w:pPr>
        <w:pStyle w:val="a6"/>
        <w:numPr>
          <w:ilvl w:val="3"/>
          <w:numId w:val="13"/>
        </w:numPr>
        <w:tabs>
          <w:tab w:val="left" w:pos="485"/>
        </w:tabs>
        <w:spacing w:before="248"/>
        <w:rPr>
          <w:sz w:val="21"/>
        </w:rPr>
      </w:pPr>
      <w:r>
        <w:rPr>
          <w:rFonts w:ascii="MS Gothic" w:hAnsi="MS Gothic"/>
          <w:color w:val="B02045"/>
          <w:w w:val="105"/>
          <w:sz w:val="21"/>
        </w:rPr>
        <w:t>MapperFeature.DEFAULT_VIEW_INCLUSION</w:t>
      </w:r>
      <w:r>
        <w:rPr>
          <w:rFonts w:ascii="MS Gothic" w:hAnsi="MS Gothic"/>
          <w:color w:val="B02045"/>
          <w:spacing w:val="-55"/>
          <w:w w:val="105"/>
          <w:sz w:val="21"/>
        </w:rPr>
        <w:t xml:space="preserve"> </w:t>
      </w:r>
      <w:r>
        <w:rPr>
          <w:color w:val="333333"/>
          <w:w w:val="105"/>
          <w:sz w:val="21"/>
        </w:rPr>
        <w:t>is disabled</w:t>
      </w:r>
    </w:p>
    <w:p w14:paraId="75579850" w14:textId="77777777" w:rsidR="00A720EB" w:rsidRDefault="0030286B">
      <w:pPr>
        <w:pStyle w:val="a6"/>
        <w:numPr>
          <w:ilvl w:val="3"/>
          <w:numId w:val="13"/>
        </w:numPr>
        <w:tabs>
          <w:tab w:val="left" w:pos="485"/>
        </w:tabs>
        <w:spacing w:before="166"/>
        <w:rPr>
          <w:sz w:val="21"/>
        </w:rPr>
      </w:pPr>
      <w:r>
        <w:rPr>
          <w:rFonts w:ascii="MS Gothic" w:hAnsi="MS Gothic"/>
          <w:color w:val="B02045"/>
          <w:w w:val="105"/>
          <w:sz w:val="21"/>
        </w:rPr>
        <w:t>DeserializationFeature.FAIL_ON_UNKNOWN_PROPERTIES</w:t>
      </w:r>
      <w:r>
        <w:rPr>
          <w:rFonts w:ascii="MS Gothic" w:hAnsi="MS Gothic"/>
          <w:color w:val="B02045"/>
          <w:spacing w:val="-58"/>
          <w:w w:val="105"/>
          <w:sz w:val="21"/>
        </w:rPr>
        <w:t xml:space="preserve"> </w:t>
      </w:r>
      <w:r>
        <w:rPr>
          <w:color w:val="333333"/>
          <w:w w:val="105"/>
          <w:sz w:val="21"/>
        </w:rPr>
        <w:t>is disabled</w:t>
      </w:r>
    </w:p>
    <w:p w14:paraId="3C7B3677" w14:textId="77777777" w:rsidR="00A720EB" w:rsidRDefault="0030286B">
      <w:pPr>
        <w:pStyle w:val="a6"/>
        <w:numPr>
          <w:ilvl w:val="3"/>
          <w:numId w:val="13"/>
        </w:numPr>
        <w:tabs>
          <w:tab w:val="left" w:pos="485"/>
        </w:tabs>
        <w:spacing w:before="167"/>
        <w:rPr>
          <w:sz w:val="21"/>
        </w:rPr>
      </w:pPr>
      <w:r>
        <w:rPr>
          <w:rFonts w:ascii="MS Gothic" w:hAnsi="MS Gothic"/>
          <w:color w:val="B02045"/>
          <w:w w:val="105"/>
          <w:sz w:val="21"/>
        </w:rPr>
        <w:t>SerializationFeature.WRITE_DATES_AS_TIMESTAMPS</w:t>
      </w:r>
      <w:r>
        <w:rPr>
          <w:rFonts w:ascii="MS Gothic" w:hAnsi="MS Gothic"/>
          <w:color w:val="B02045"/>
          <w:spacing w:val="-57"/>
          <w:w w:val="105"/>
          <w:sz w:val="21"/>
        </w:rPr>
        <w:t xml:space="preserve"> </w:t>
      </w:r>
      <w:r>
        <w:rPr>
          <w:color w:val="333333"/>
          <w:w w:val="105"/>
          <w:sz w:val="21"/>
        </w:rPr>
        <w:t>is disabled</w:t>
      </w:r>
    </w:p>
    <w:p w14:paraId="5DE54161" w14:textId="77777777" w:rsidR="00A720EB" w:rsidRDefault="00A720EB">
      <w:pPr>
        <w:pStyle w:val="a3"/>
        <w:spacing w:before="4"/>
        <w:rPr>
          <w:sz w:val="25"/>
        </w:rPr>
      </w:pPr>
    </w:p>
    <w:p w14:paraId="3F0A1163" w14:textId="77777777" w:rsidR="00A720EB" w:rsidRDefault="0030286B">
      <w:pPr>
        <w:pStyle w:val="a3"/>
        <w:ind w:left="124"/>
        <w:jc w:val="both"/>
      </w:pPr>
      <w:r>
        <w:rPr>
          <w:color w:val="333333"/>
          <w:w w:val="110"/>
        </w:rPr>
        <w:t>Spring Boot also has some features to make it easier to customize this behavior.</w:t>
      </w:r>
    </w:p>
    <w:p w14:paraId="0049D311" w14:textId="77777777" w:rsidR="00A720EB" w:rsidRDefault="00A720EB">
      <w:pPr>
        <w:pStyle w:val="a3"/>
        <w:spacing w:before="5"/>
        <w:rPr>
          <w:sz w:val="25"/>
        </w:rPr>
      </w:pPr>
    </w:p>
    <w:p w14:paraId="2B32ED52" w14:textId="77777777" w:rsidR="00A720EB" w:rsidRDefault="0030286B">
      <w:pPr>
        <w:pStyle w:val="a3"/>
        <w:spacing w:before="1" w:line="302" w:lineRule="auto"/>
        <w:ind w:left="124" w:right="127"/>
        <w:jc w:val="both"/>
      </w:pPr>
      <w:r>
        <w:rPr>
          <w:color w:val="333333"/>
          <w:w w:val="110"/>
        </w:rPr>
        <w:t xml:space="preserve">You can configure the </w:t>
      </w:r>
      <w:r>
        <w:rPr>
          <w:rFonts w:ascii="MS Gothic"/>
          <w:color w:val="B02045"/>
          <w:w w:val="110"/>
        </w:rPr>
        <w:t xml:space="preserve">ObjectMapper </w:t>
      </w:r>
      <w:r>
        <w:rPr>
          <w:color w:val="333333"/>
          <w:w w:val="110"/>
        </w:rPr>
        <w:t xml:space="preserve">and </w:t>
      </w:r>
      <w:r>
        <w:rPr>
          <w:rFonts w:ascii="MS Gothic"/>
          <w:color w:val="B02045"/>
          <w:w w:val="110"/>
        </w:rPr>
        <w:t xml:space="preserve">XmlMapper </w:t>
      </w:r>
      <w:r>
        <w:rPr>
          <w:color w:val="333333"/>
          <w:w w:val="110"/>
        </w:rPr>
        <w:t>instances by using the environment. Jackson provides an extensive suite of on/off features that can be used to configure various aspects of its processing. These features are described in six enums (in Jackson) that map onto properties in the environment:</w:t>
      </w:r>
    </w:p>
    <w:p w14:paraId="5BC73AD4" w14:textId="77777777" w:rsidR="00A720EB" w:rsidRDefault="00A720EB">
      <w:pPr>
        <w:pStyle w:val="a3"/>
        <w:spacing w:before="10"/>
        <w:rPr>
          <w:sz w:val="1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0E298B38" w14:textId="77777777">
        <w:trPr>
          <w:trHeight w:val="415"/>
        </w:trPr>
        <w:tc>
          <w:tcPr>
            <w:tcW w:w="3325" w:type="dxa"/>
            <w:tcBorders>
              <w:bottom w:val="single" w:sz="12" w:space="0" w:color="DDDDDD"/>
            </w:tcBorders>
          </w:tcPr>
          <w:p w14:paraId="0528CFA7" w14:textId="77777777" w:rsidR="00A720EB" w:rsidRDefault="0030286B">
            <w:pPr>
              <w:pStyle w:val="TableParagraph"/>
              <w:spacing w:before="74"/>
              <w:rPr>
                <w:rFonts w:ascii="Palatino Linotype"/>
                <w:b/>
                <w:sz w:val="21"/>
              </w:rPr>
            </w:pPr>
            <w:r>
              <w:rPr>
                <w:rFonts w:ascii="Palatino Linotype"/>
                <w:b/>
                <w:color w:val="333333"/>
                <w:w w:val="110"/>
                <w:sz w:val="21"/>
              </w:rPr>
              <w:t>Enum</w:t>
            </w:r>
          </w:p>
        </w:tc>
        <w:tc>
          <w:tcPr>
            <w:tcW w:w="3325" w:type="dxa"/>
            <w:tcBorders>
              <w:bottom w:val="single" w:sz="12" w:space="0" w:color="DDDDDD"/>
            </w:tcBorders>
          </w:tcPr>
          <w:p w14:paraId="09B2FE15" w14:textId="77777777" w:rsidR="00A720EB" w:rsidRDefault="0030286B">
            <w:pPr>
              <w:pStyle w:val="TableParagraph"/>
              <w:spacing w:before="74"/>
              <w:rPr>
                <w:rFonts w:ascii="Palatino Linotype"/>
                <w:b/>
                <w:sz w:val="21"/>
              </w:rPr>
            </w:pPr>
            <w:r>
              <w:rPr>
                <w:rFonts w:ascii="Palatino Linotype"/>
                <w:b/>
                <w:color w:val="333333"/>
                <w:w w:val="115"/>
                <w:sz w:val="21"/>
              </w:rPr>
              <w:t>Property</w:t>
            </w:r>
          </w:p>
        </w:tc>
        <w:tc>
          <w:tcPr>
            <w:tcW w:w="3325" w:type="dxa"/>
            <w:tcBorders>
              <w:bottom w:val="single" w:sz="12" w:space="0" w:color="DDDDDD"/>
            </w:tcBorders>
          </w:tcPr>
          <w:p w14:paraId="32CA18E3" w14:textId="77777777" w:rsidR="00A720EB" w:rsidRDefault="0030286B">
            <w:pPr>
              <w:pStyle w:val="TableParagraph"/>
              <w:spacing w:before="74"/>
              <w:rPr>
                <w:rFonts w:ascii="Palatino Linotype"/>
                <w:b/>
                <w:sz w:val="21"/>
              </w:rPr>
            </w:pPr>
            <w:r>
              <w:rPr>
                <w:rFonts w:ascii="Palatino Linotype"/>
                <w:b/>
                <w:color w:val="333333"/>
                <w:w w:val="110"/>
                <w:sz w:val="21"/>
              </w:rPr>
              <w:t>Values</w:t>
            </w:r>
          </w:p>
        </w:tc>
      </w:tr>
      <w:tr w:rsidR="00A720EB" w14:paraId="71D54F34" w14:textId="77777777">
        <w:trPr>
          <w:trHeight w:val="617"/>
        </w:trPr>
        <w:tc>
          <w:tcPr>
            <w:tcW w:w="3325" w:type="dxa"/>
            <w:tcBorders>
              <w:top w:val="single" w:sz="12" w:space="0" w:color="DDDDDD"/>
            </w:tcBorders>
          </w:tcPr>
          <w:p w14:paraId="6ACE9325" w14:textId="77777777" w:rsidR="00A720EB" w:rsidRDefault="0030286B">
            <w:pPr>
              <w:pStyle w:val="TableParagraph"/>
              <w:spacing w:before="30" w:line="264" w:lineRule="exact"/>
              <w:rPr>
                <w:sz w:val="21"/>
              </w:rPr>
            </w:pPr>
            <w:proofErr w:type="gramStart"/>
            <w:r>
              <w:rPr>
                <w:color w:val="B02045"/>
                <w:sz w:val="21"/>
              </w:rPr>
              <w:t>com.fasterxml</w:t>
            </w:r>
            <w:proofErr w:type="gramEnd"/>
            <w:r>
              <w:rPr>
                <w:color w:val="B02045"/>
                <w:sz w:val="21"/>
              </w:rPr>
              <w:t>.jackson.databind</w:t>
            </w:r>
          </w:p>
          <w:p w14:paraId="11EFEE4D" w14:textId="77777777" w:rsidR="00A720EB" w:rsidRDefault="0030286B">
            <w:pPr>
              <w:pStyle w:val="TableParagraph"/>
              <w:spacing w:before="0" w:line="264" w:lineRule="exact"/>
              <w:rPr>
                <w:sz w:val="21"/>
              </w:rPr>
            </w:pPr>
            <w:proofErr w:type="gramStart"/>
            <w:r>
              <w:rPr>
                <w:color w:val="B02045"/>
                <w:sz w:val="21"/>
              </w:rPr>
              <w:t>.DeserializationFeature</w:t>
            </w:r>
            <w:proofErr w:type="gramEnd"/>
          </w:p>
        </w:tc>
        <w:tc>
          <w:tcPr>
            <w:tcW w:w="3325" w:type="dxa"/>
            <w:tcBorders>
              <w:top w:val="single" w:sz="12" w:space="0" w:color="DDDDDD"/>
            </w:tcBorders>
          </w:tcPr>
          <w:p w14:paraId="3C95BD31" w14:textId="77777777" w:rsidR="00A720EB" w:rsidRDefault="0030286B">
            <w:pPr>
              <w:pStyle w:val="TableParagraph"/>
              <w:spacing w:before="30" w:line="264" w:lineRule="exact"/>
              <w:rPr>
                <w:sz w:val="21"/>
              </w:rPr>
            </w:pPr>
            <w:proofErr w:type="gramStart"/>
            <w:r>
              <w:rPr>
                <w:color w:val="B02045"/>
                <w:sz w:val="21"/>
              </w:rPr>
              <w:t>spring.jackson</w:t>
            </w:r>
            <w:proofErr w:type="gramEnd"/>
            <w:r>
              <w:rPr>
                <w:color w:val="B02045"/>
                <w:sz w:val="21"/>
              </w:rPr>
              <w:t>.deserialization</w:t>
            </w:r>
          </w:p>
          <w:p w14:paraId="5787C3A3" w14:textId="77777777" w:rsidR="00A720EB" w:rsidRDefault="0030286B">
            <w:pPr>
              <w:pStyle w:val="TableParagraph"/>
              <w:spacing w:before="0" w:line="264" w:lineRule="exact"/>
              <w:rPr>
                <w:sz w:val="21"/>
              </w:rPr>
            </w:pPr>
            <w:proofErr w:type="gramStart"/>
            <w:r>
              <w:rPr>
                <w:color w:val="B02045"/>
                <w:sz w:val="21"/>
              </w:rPr>
              <w:t>.&lt;</w:t>
            </w:r>
            <w:proofErr w:type="gramEnd"/>
            <w:r>
              <w:rPr>
                <w:color w:val="B02045"/>
                <w:sz w:val="21"/>
              </w:rPr>
              <w:t>feature_name&gt;</w:t>
            </w:r>
          </w:p>
        </w:tc>
        <w:tc>
          <w:tcPr>
            <w:tcW w:w="3325" w:type="dxa"/>
            <w:tcBorders>
              <w:top w:val="single" w:sz="12" w:space="0" w:color="DDDDDD"/>
            </w:tcBorders>
          </w:tcPr>
          <w:p w14:paraId="0E691EF5" w14:textId="77777777" w:rsidR="00A720EB" w:rsidRDefault="0030286B">
            <w:pPr>
              <w:pStyle w:val="TableParagraph"/>
              <w:spacing w:before="74"/>
              <w:rPr>
                <w:sz w:val="21"/>
              </w:rPr>
            </w:pPr>
            <w:r>
              <w:rPr>
                <w:color w:val="B02045"/>
                <w:sz w:val="21"/>
              </w:rPr>
              <w:t>true</w:t>
            </w:r>
            <w:r>
              <w:rPr>
                <w:rFonts w:ascii="Cambria"/>
                <w:color w:val="333333"/>
                <w:sz w:val="21"/>
              </w:rPr>
              <w:t xml:space="preserve">, </w:t>
            </w:r>
            <w:r>
              <w:rPr>
                <w:color w:val="B02045"/>
                <w:sz w:val="21"/>
              </w:rPr>
              <w:t>false</w:t>
            </w:r>
          </w:p>
        </w:tc>
      </w:tr>
      <w:tr w:rsidR="00A720EB" w14:paraId="35549CBC" w14:textId="77777777">
        <w:trPr>
          <w:trHeight w:val="627"/>
        </w:trPr>
        <w:tc>
          <w:tcPr>
            <w:tcW w:w="3325" w:type="dxa"/>
          </w:tcPr>
          <w:p w14:paraId="1F4C728E"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.jackson.core.Jso nGenerator.Feature</w:t>
            </w:r>
          </w:p>
        </w:tc>
        <w:tc>
          <w:tcPr>
            <w:tcW w:w="3325" w:type="dxa"/>
          </w:tcPr>
          <w:p w14:paraId="52D38462" w14:textId="77777777" w:rsidR="00A720EB" w:rsidRDefault="0030286B">
            <w:pPr>
              <w:pStyle w:val="TableParagraph"/>
              <w:spacing w:before="49" w:line="230" w:lineRule="auto"/>
              <w:ind w:right="85"/>
              <w:rPr>
                <w:sz w:val="21"/>
              </w:rPr>
            </w:pPr>
            <w:proofErr w:type="gramStart"/>
            <w:r>
              <w:rPr>
                <w:color w:val="B02045"/>
                <w:sz w:val="21"/>
              </w:rPr>
              <w:t>spring.jackson</w:t>
            </w:r>
            <w:proofErr w:type="gramEnd"/>
            <w:r>
              <w:rPr>
                <w:color w:val="B02045"/>
                <w:sz w:val="21"/>
              </w:rPr>
              <w:t>.generator.&lt;feat ure_name&gt;</w:t>
            </w:r>
          </w:p>
        </w:tc>
        <w:tc>
          <w:tcPr>
            <w:tcW w:w="3325" w:type="dxa"/>
          </w:tcPr>
          <w:p w14:paraId="178A726E" w14:textId="77777777" w:rsidR="00A720EB" w:rsidRDefault="0030286B">
            <w:pPr>
              <w:pStyle w:val="TableParagraph"/>
              <w:spacing w:before="84"/>
              <w:rPr>
                <w:sz w:val="21"/>
              </w:rPr>
            </w:pPr>
            <w:r>
              <w:rPr>
                <w:color w:val="B02045"/>
                <w:sz w:val="21"/>
              </w:rPr>
              <w:t>true</w:t>
            </w:r>
            <w:r>
              <w:rPr>
                <w:rFonts w:ascii="Cambria"/>
                <w:color w:val="333333"/>
                <w:sz w:val="21"/>
              </w:rPr>
              <w:t xml:space="preserve">, </w:t>
            </w:r>
            <w:r>
              <w:rPr>
                <w:color w:val="B02045"/>
                <w:sz w:val="21"/>
              </w:rPr>
              <w:t>false</w:t>
            </w:r>
          </w:p>
        </w:tc>
      </w:tr>
      <w:tr w:rsidR="00A720EB" w14:paraId="3C820AFB" w14:textId="77777777">
        <w:trPr>
          <w:trHeight w:val="627"/>
        </w:trPr>
        <w:tc>
          <w:tcPr>
            <w:tcW w:w="3325" w:type="dxa"/>
          </w:tcPr>
          <w:p w14:paraId="0A0DA9AC" w14:textId="77777777" w:rsidR="00A720EB" w:rsidRDefault="0030286B">
            <w:pPr>
              <w:pStyle w:val="TableParagraph"/>
              <w:spacing w:before="40" w:line="264" w:lineRule="exact"/>
              <w:rPr>
                <w:sz w:val="21"/>
              </w:rPr>
            </w:pPr>
            <w:proofErr w:type="gramStart"/>
            <w:r>
              <w:rPr>
                <w:color w:val="B02045"/>
                <w:sz w:val="21"/>
              </w:rPr>
              <w:t>com.fasterxml</w:t>
            </w:r>
            <w:proofErr w:type="gramEnd"/>
            <w:r>
              <w:rPr>
                <w:color w:val="B02045"/>
                <w:sz w:val="21"/>
              </w:rPr>
              <w:t>.jackson.databind</w:t>
            </w:r>
          </w:p>
          <w:p w14:paraId="4932E900" w14:textId="77777777" w:rsidR="00A720EB" w:rsidRDefault="0030286B">
            <w:pPr>
              <w:pStyle w:val="TableParagraph"/>
              <w:spacing w:before="0" w:line="264" w:lineRule="exact"/>
              <w:rPr>
                <w:sz w:val="21"/>
              </w:rPr>
            </w:pPr>
            <w:proofErr w:type="gramStart"/>
            <w:r>
              <w:rPr>
                <w:color w:val="B02045"/>
                <w:sz w:val="21"/>
              </w:rPr>
              <w:t>.MapperFeature</w:t>
            </w:r>
            <w:proofErr w:type="gramEnd"/>
          </w:p>
        </w:tc>
        <w:tc>
          <w:tcPr>
            <w:tcW w:w="3325" w:type="dxa"/>
          </w:tcPr>
          <w:p w14:paraId="412183B6" w14:textId="77777777" w:rsidR="00A720EB" w:rsidRDefault="0030286B">
            <w:pPr>
              <w:pStyle w:val="TableParagraph"/>
              <w:spacing w:before="40" w:line="264" w:lineRule="exact"/>
              <w:rPr>
                <w:sz w:val="21"/>
              </w:rPr>
            </w:pPr>
            <w:proofErr w:type="gramStart"/>
            <w:r>
              <w:rPr>
                <w:color w:val="B02045"/>
                <w:sz w:val="21"/>
              </w:rPr>
              <w:t>spring.jackson</w:t>
            </w:r>
            <w:proofErr w:type="gramEnd"/>
            <w:r>
              <w:rPr>
                <w:color w:val="B02045"/>
                <w:sz w:val="21"/>
              </w:rPr>
              <w:t>.mapper.&lt;feature</w:t>
            </w:r>
          </w:p>
          <w:p w14:paraId="3DC6A75F" w14:textId="77777777" w:rsidR="00A720EB" w:rsidRDefault="0030286B">
            <w:pPr>
              <w:pStyle w:val="TableParagraph"/>
              <w:spacing w:before="0" w:line="264" w:lineRule="exact"/>
              <w:rPr>
                <w:sz w:val="21"/>
              </w:rPr>
            </w:pPr>
            <w:r>
              <w:rPr>
                <w:color w:val="B02045"/>
                <w:sz w:val="21"/>
              </w:rPr>
              <w:t>_name&gt;</w:t>
            </w:r>
          </w:p>
        </w:tc>
        <w:tc>
          <w:tcPr>
            <w:tcW w:w="3325" w:type="dxa"/>
          </w:tcPr>
          <w:p w14:paraId="090FC194" w14:textId="77777777" w:rsidR="00A720EB" w:rsidRDefault="0030286B">
            <w:pPr>
              <w:pStyle w:val="TableParagraph"/>
              <w:spacing w:before="84"/>
              <w:rPr>
                <w:sz w:val="21"/>
              </w:rPr>
            </w:pPr>
            <w:r>
              <w:rPr>
                <w:color w:val="B02045"/>
                <w:sz w:val="21"/>
              </w:rPr>
              <w:t>true</w:t>
            </w:r>
            <w:r>
              <w:rPr>
                <w:rFonts w:ascii="Cambria"/>
                <w:color w:val="333333"/>
                <w:sz w:val="21"/>
              </w:rPr>
              <w:t xml:space="preserve">, </w:t>
            </w:r>
            <w:r>
              <w:rPr>
                <w:color w:val="B02045"/>
                <w:sz w:val="21"/>
              </w:rPr>
              <w:t>false</w:t>
            </w:r>
          </w:p>
        </w:tc>
      </w:tr>
      <w:tr w:rsidR="00A720EB" w14:paraId="787C0A3C" w14:textId="77777777">
        <w:trPr>
          <w:trHeight w:val="627"/>
        </w:trPr>
        <w:tc>
          <w:tcPr>
            <w:tcW w:w="3325" w:type="dxa"/>
          </w:tcPr>
          <w:p w14:paraId="63EC0C35"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.jackson.core.Jso nParser.Feature</w:t>
            </w:r>
          </w:p>
        </w:tc>
        <w:tc>
          <w:tcPr>
            <w:tcW w:w="3325" w:type="dxa"/>
          </w:tcPr>
          <w:p w14:paraId="719D42F7" w14:textId="77777777" w:rsidR="00A720EB" w:rsidRDefault="0030286B">
            <w:pPr>
              <w:pStyle w:val="TableParagraph"/>
              <w:spacing w:before="40" w:line="264" w:lineRule="exact"/>
              <w:rPr>
                <w:sz w:val="21"/>
              </w:rPr>
            </w:pPr>
            <w:proofErr w:type="gramStart"/>
            <w:r>
              <w:rPr>
                <w:color w:val="B02045"/>
                <w:sz w:val="21"/>
              </w:rPr>
              <w:t>spring.jackson</w:t>
            </w:r>
            <w:proofErr w:type="gramEnd"/>
            <w:r>
              <w:rPr>
                <w:color w:val="B02045"/>
                <w:sz w:val="21"/>
              </w:rPr>
              <w:t>.parser.&lt;feature</w:t>
            </w:r>
          </w:p>
          <w:p w14:paraId="391EE548" w14:textId="77777777" w:rsidR="00A720EB" w:rsidRDefault="0030286B">
            <w:pPr>
              <w:pStyle w:val="TableParagraph"/>
              <w:spacing w:before="0" w:line="264" w:lineRule="exact"/>
              <w:rPr>
                <w:sz w:val="21"/>
              </w:rPr>
            </w:pPr>
            <w:r>
              <w:rPr>
                <w:color w:val="B02045"/>
                <w:sz w:val="21"/>
              </w:rPr>
              <w:lastRenderedPageBreak/>
              <w:t>_name&gt;</w:t>
            </w:r>
          </w:p>
        </w:tc>
        <w:tc>
          <w:tcPr>
            <w:tcW w:w="3325" w:type="dxa"/>
          </w:tcPr>
          <w:p w14:paraId="714ED631" w14:textId="77777777" w:rsidR="00A720EB" w:rsidRDefault="0030286B">
            <w:pPr>
              <w:pStyle w:val="TableParagraph"/>
              <w:spacing w:before="84"/>
              <w:rPr>
                <w:sz w:val="21"/>
              </w:rPr>
            </w:pPr>
            <w:r>
              <w:rPr>
                <w:color w:val="B02045"/>
                <w:sz w:val="21"/>
              </w:rPr>
              <w:lastRenderedPageBreak/>
              <w:t>true</w:t>
            </w:r>
            <w:r>
              <w:rPr>
                <w:rFonts w:ascii="Cambria"/>
                <w:color w:val="333333"/>
                <w:sz w:val="21"/>
              </w:rPr>
              <w:t xml:space="preserve">, </w:t>
            </w:r>
            <w:r>
              <w:rPr>
                <w:color w:val="B02045"/>
                <w:sz w:val="21"/>
              </w:rPr>
              <w:t>false</w:t>
            </w:r>
          </w:p>
        </w:tc>
      </w:tr>
    </w:tbl>
    <w:p w14:paraId="49A1AA7D" w14:textId="77777777" w:rsidR="00A720EB" w:rsidRDefault="00A720EB">
      <w:pPr>
        <w:rPr>
          <w:sz w:val="21"/>
        </w:rPr>
        <w:sectPr w:rsidR="00A720EB">
          <w:pgSz w:w="11910" w:h="16840"/>
          <w:pgMar w:top="70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67EA068F" w14:textId="77777777">
        <w:trPr>
          <w:trHeight w:val="415"/>
        </w:trPr>
        <w:tc>
          <w:tcPr>
            <w:tcW w:w="3325" w:type="dxa"/>
            <w:tcBorders>
              <w:bottom w:val="single" w:sz="12" w:space="0" w:color="DDDDDD"/>
            </w:tcBorders>
          </w:tcPr>
          <w:p w14:paraId="5A165FA4"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Enum</w:t>
            </w:r>
          </w:p>
        </w:tc>
        <w:tc>
          <w:tcPr>
            <w:tcW w:w="3325" w:type="dxa"/>
            <w:tcBorders>
              <w:bottom w:val="single" w:sz="12" w:space="0" w:color="DDDDDD"/>
            </w:tcBorders>
          </w:tcPr>
          <w:p w14:paraId="275FF570" w14:textId="77777777" w:rsidR="00A720EB" w:rsidRDefault="0030286B">
            <w:pPr>
              <w:pStyle w:val="TableParagraph"/>
              <w:spacing w:before="71"/>
              <w:rPr>
                <w:rFonts w:ascii="Palatino Linotype"/>
                <w:b/>
                <w:sz w:val="21"/>
              </w:rPr>
            </w:pPr>
            <w:r>
              <w:rPr>
                <w:rFonts w:ascii="Palatino Linotype"/>
                <w:b/>
                <w:color w:val="333333"/>
                <w:w w:val="115"/>
                <w:sz w:val="21"/>
              </w:rPr>
              <w:t>Property</w:t>
            </w:r>
          </w:p>
        </w:tc>
        <w:tc>
          <w:tcPr>
            <w:tcW w:w="3325" w:type="dxa"/>
            <w:tcBorders>
              <w:bottom w:val="single" w:sz="12" w:space="0" w:color="DDDDDD"/>
            </w:tcBorders>
          </w:tcPr>
          <w:p w14:paraId="2757A1E1" w14:textId="77777777" w:rsidR="00A720EB" w:rsidRDefault="0030286B">
            <w:pPr>
              <w:pStyle w:val="TableParagraph"/>
              <w:spacing w:before="71"/>
              <w:rPr>
                <w:rFonts w:ascii="Palatino Linotype"/>
                <w:b/>
                <w:sz w:val="21"/>
              </w:rPr>
            </w:pPr>
            <w:r>
              <w:rPr>
                <w:rFonts w:ascii="Palatino Linotype"/>
                <w:b/>
                <w:color w:val="333333"/>
                <w:w w:val="110"/>
                <w:sz w:val="21"/>
              </w:rPr>
              <w:t>Values</w:t>
            </w:r>
          </w:p>
        </w:tc>
      </w:tr>
      <w:tr w:rsidR="00A720EB" w14:paraId="2D9A2D08" w14:textId="77777777">
        <w:trPr>
          <w:trHeight w:val="617"/>
        </w:trPr>
        <w:tc>
          <w:tcPr>
            <w:tcW w:w="3325" w:type="dxa"/>
            <w:tcBorders>
              <w:top w:val="single" w:sz="12" w:space="0" w:color="DDDDDD"/>
            </w:tcBorders>
          </w:tcPr>
          <w:p w14:paraId="180A8347" w14:textId="77777777" w:rsidR="00A720EB" w:rsidRDefault="0030286B">
            <w:pPr>
              <w:pStyle w:val="TableParagraph"/>
              <w:spacing w:before="27" w:line="264" w:lineRule="exact"/>
              <w:rPr>
                <w:sz w:val="21"/>
              </w:rPr>
            </w:pPr>
            <w:proofErr w:type="gramStart"/>
            <w:r>
              <w:rPr>
                <w:color w:val="B02045"/>
                <w:sz w:val="21"/>
              </w:rPr>
              <w:t>com.fasterxml</w:t>
            </w:r>
            <w:proofErr w:type="gramEnd"/>
            <w:r>
              <w:rPr>
                <w:color w:val="B02045"/>
                <w:sz w:val="21"/>
              </w:rPr>
              <w:t>.jackson.databind</w:t>
            </w:r>
          </w:p>
          <w:p w14:paraId="665B00C6" w14:textId="77777777" w:rsidR="00A720EB" w:rsidRDefault="0030286B">
            <w:pPr>
              <w:pStyle w:val="TableParagraph"/>
              <w:spacing w:before="0" w:line="264" w:lineRule="exact"/>
              <w:rPr>
                <w:sz w:val="21"/>
              </w:rPr>
            </w:pPr>
            <w:proofErr w:type="gramStart"/>
            <w:r>
              <w:rPr>
                <w:color w:val="B02045"/>
                <w:sz w:val="21"/>
              </w:rPr>
              <w:t>.SerializationFeature</w:t>
            </w:r>
            <w:proofErr w:type="gramEnd"/>
          </w:p>
        </w:tc>
        <w:tc>
          <w:tcPr>
            <w:tcW w:w="3325" w:type="dxa"/>
            <w:tcBorders>
              <w:top w:val="single" w:sz="12" w:space="0" w:color="DDDDDD"/>
            </w:tcBorders>
          </w:tcPr>
          <w:p w14:paraId="4C399ECB" w14:textId="77777777" w:rsidR="00A720EB" w:rsidRDefault="0030286B">
            <w:pPr>
              <w:pStyle w:val="TableParagraph"/>
              <w:spacing w:before="36" w:line="230" w:lineRule="auto"/>
              <w:ind w:right="85"/>
              <w:rPr>
                <w:sz w:val="21"/>
              </w:rPr>
            </w:pPr>
            <w:proofErr w:type="gramStart"/>
            <w:r>
              <w:rPr>
                <w:color w:val="B02045"/>
                <w:sz w:val="21"/>
              </w:rPr>
              <w:t>spring.jackson</w:t>
            </w:r>
            <w:proofErr w:type="gramEnd"/>
            <w:r>
              <w:rPr>
                <w:color w:val="B02045"/>
                <w:sz w:val="21"/>
              </w:rPr>
              <w:t>.serialization.&lt; feature_name&gt;</w:t>
            </w:r>
          </w:p>
        </w:tc>
        <w:tc>
          <w:tcPr>
            <w:tcW w:w="3325" w:type="dxa"/>
            <w:tcBorders>
              <w:top w:val="single" w:sz="12" w:space="0" w:color="DDDDDD"/>
            </w:tcBorders>
          </w:tcPr>
          <w:p w14:paraId="598DBD0B" w14:textId="77777777" w:rsidR="00A720EB" w:rsidRDefault="0030286B">
            <w:pPr>
              <w:pStyle w:val="TableParagraph"/>
              <w:spacing w:before="71"/>
              <w:rPr>
                <w:sz w:val="21"/>
              </w:rPr>
            </w:pPr>
            <w:r>
              <w:rPr>
                <w:color w:val="B02045"/>
                <w:sz w:val="21"/>
              </w:rPr>
              <w:t>true</w:t>
            </w:r>
            <w:r>
              <w:rPr>
                <w:rFonts w:ascii="Cambria"/>
                <w:color w:val="333333"/>
                <w:sz w:val="21"/>
              </w:rPr>
              <w:t xml:space="preserve">, </w:t>
            </w:r>
            <w:r>
              <w:rPr>
                <w:color w:val="B02045"/>
                <w:sz w:val="21"/>
              </w:rPr>
              <w:t>false</w:t>
            </w:r>
          </w:p>
        </w:tc>
      </w:tr>
      <w:tr w:rsidR="00A720EB" w14:paraId="6A8CDC12" w14:textId="77777777">
        <w:trPr>
          <w:trHeight w:val="741"/>
        </w:trPr>
        <w:tc>
          <w:tcPr>
            <w:tcW w:w="3325" w:type="dxa"/>
          </w:tcPr>
          <w:p w14:paraId="0EBE642D" w14:textId="77777777" w:rsidR="00A720EB" w:rsidRDefault="0030286B">
            <w:pPr>
              <w:pStyle w:val="TableParagraph"/>
              <w:spacing w:before="46" w:line="230" w:lineRule="auto"/>
              <w:ind w:right="85"/>
              <w:rPr>
                <w:sz w:val="21"/>
              </w:rPr>
            </w:pPr>
            <w:proofErr w:type="gramStart"/>
            <w:r>
              <w:rPr>
                <w:color w:val="B02045"/>
                <w:sz w:val="21"/>
              </w:rPr>
              <w:t>com.fasterxml</w:t>
            </w:r>
            <w:proofErr w:type="gramEnd"/>
            <w:r>
              <w:rPr>
                <w:color w:val="B02045"/>
                <w:sz w:val="21"/>
              </w:rPr>
              <w:t>.jackson.annotati on.JsonInclude.Include</w:t>
            </w:r>
          </w:p>
        </w:tc>
        <w:tc>
          <w:tcPr>
            <w:tcW w:w="3325" w:type="dxa"/>
          </w:tcPr>
          <w:p w14:paraId="3915C4C6" w14:textId="77777777" w:rsidR="00A720EB" w:rsidRDefault="0030286B">
            <w:pPr>
              <w:pStyle w:val="TableParagraph"/>
              <w:spacing w:before="46" w:line="230" w:lineRule="auto"/>
              <w:ind w:right="837"/>
              <w:rPr>
                <w:sz w:val="21"/>
              </w:rPr>
            </w:pPr>
            <w:proofErr w:type="gramStart"/>
            <w:r>
              <w:rPr>
                <w:color w:val="B02045"/>
                <w:sz w:val="21"/>
              </w:rPr>
              <w:t>spring.jackson</w:t>
            </w:r>
            <w:proofErr w:type="gramEnd"/>
            <w:r>
              <w:rPr>
                <w:color w:val="B02045"/>
                <w:sz w:val="21"/>
              </w:rPr>
              <w:t>.default- property-inclusion</w:t>
            </w:r>
          </w:p>
        </w:tc>
        <w:tc>
          <w:tcPr>
            <w:tcW w:w="3325" w:type="dxa"/>
          </w:tcPr>
          <w:p w14:paraId="132AC323" w14:textId="77777777" w:rsidR="00A720EB" w:rsidRDefault="0030286B">
            <w:pPr>
              <w:pStyle w:val="TableParagraph"/>
              <w:spacing w:before="81" w:line="280" w:lineRule="auto"/>
              <w:rPr>
                <w:sz w:val="21"/>
              </w:rPr>
            </w:pPr>
            <w:r>
              <w:rPr>
                <w:color w:val="B02045"/>
                <w:sz w:val="21"/>
              </w:rPr>
              <w:t>always</w:t>
            </w:r>
            <w:r>
              <w:rPr>
                <w:rFonts w:ascii="Cambria"/>
                <w:color w:val="333333"/>
                <w:sz w:val="21"/>
              </w:rPr>
              <w:t xml:space="preserve">, </w:t>
            </w:r>
            <w:r>
              <w:rPr>
                <w:color w:val="B02045"/>
                <w:sz w:val="21"/>
              </w:rPr>
              <w:t>non_null</w:t>
            </w:r>
            <w:r>
              <w:rPr>
                <w:rFonts w:ascii="Cambria"/>
                <w:color w:val="333333"/>
                <w:sz w:val="21"/>
              </w:rPr>
              <w:t xml:space="preserve">, </w:t>
            </w:r>
            <w:r>
              <w:rPr>
                <w:color w:val="B02045"/>
                <w:sz w:val="21"/>
              </w:rPr>
              <w:t>non_absent</w:t>
            </w:r>
            <w:r>
              <w:rPr>
                <w:rFonts w:ascii="Cambria"/>
                <w:color w:val="333333"/>
                <w:sz w:val="21"/>
              </w:rPr>
              <w:t xml:space="preserve">, </w:t>
            </w:r>
            <w:r>
              <w:rPr>
                <w:color w:val="B02045"/>
                <w:sz w:val="21"/>
              </w:rPr>
              <w:t>non_default</w:t>
            </w:r>
            <w:r>
              <w:rPr>
                <w:rFonts w:ascii="Cambria"/>
                <w:color w:val="333333"/>
                <w:sz w:val="21"/>
              </w:rPr>
              <w:t xml:space="preserve">, </w:t>
            </w:r>
            <w:r>
              <w:rPr>
                <w:color w:val="B02045"/>
                <w:sz w:val="21"/>
              </w:rPr>
              <w:t>non_empty</w:t>
            </w:r>
          </w:p>
        </w:tc>
      </w:tr>
    </w:tbl>
    <w:p w14:paraId="38E38DE2" w14:textId="77777777" w:rsidR="00A720EB" w:rsidRDefault="00A720EB">
      <w:pPr>
        <w:pStyle w:val="a3"/>
        <w:spacing w:before="5"/>
        <w:rPr>
          <w:sz w:val="12"/>
        </w:rPr>
      </w:pPr>
    </w:p>
    <w:p w14:paraId="0CC6EDCC" w14:textId="77777777" w:rsidR="00A720EB" w:rsidRDefault="0030286B">
      <w:pPr>
        <w:pStyle w:val="a3"/>
        <w:spacing w:before="115" w:line="280" w:lineRule="auto"/>
        <w:ind w:left="124" w:right="122"/>
        <w:jc w:val="both"/>
      </w:pPr>
      <w:r>
        <w:rPr>
          <w:color w:val="333333"/>
          <w:w w:val="105"/>
        </w:rPr>
        <w:t xml:space="preserve">For example, to enable pretty print, set </w:t>
      </w:r>
      <w:proofErr w:type="gramStart"/>
      <w:r>
        <w:rPr>
          <w:rFonts w:ascii="MS Gothic"/>
          <w:color w:val="B02045"/>
          <w:w w:val="105"/>
        </w:rPr>
        <w:t>spring.jackson</w:t>
      </w:r>
      <w:proofErr w:type="gramEnd"/>
      <w:r>
        <w:rPr>
          <w:rFonts w:ascii="MS Gothic"/>
          <w:color w:val="B02045"/>
          <w:w w:val="105"/>
        </w:rPr>
        <w:t>.serialization.indent_output=true</w:t>
      </w:r>
      <w:r>
        <w:rPr>
          <w:color w:val="333333"/>
          <w:w w:val="105"/>
        </w:rPr>
        <w:t xml:space="preserve">. Note that, </w:t>
      </w:r>
      <w:r>
        <w:rPr>
          <w:color w:val="333333"/>
          <w:w w:val="110"/>
        </w:rPr>
        <w:t xml:space="preserve">thanks to the use of </w:t>
      </w:r>
      <w:hyperlink w:anchor="_bookmark120" w:history="1">
        <w:r>
          <w:rPr>
            <w:color w:val="418BCA"/>
            <w:w w:val="110"/>
          </w:rPr>
          <w:t>relaxed binding</w:t>
        </w:r>
      </w:hyperlink>
      <w:r>
        <w:rPr>
          <w:color w:val="333333"/>
          <w:w w:val="110"/>
        </w:rPr>
        <w:t xml:space="preserve">, the case of </w:t>
      </w:r>
      <w:r>
        <w:rPr>
          <w:rFonts w:ascii="MS Gothic"/>
          <w:color w:val="B02045"/>
          <w:w w:val="110"/>
        </w:rPr>
        <w:t xml:space="preserve">indent_output </w:t>
      </w:r>
      <w:r>
        <w:rPr>
          <w:color w:val="333333"/>
          <w:w w:val="110"/>
        </w:rPr>
        <w:t xml:space="preserve">does not have to match the case of the corresponding enum constant, which is </w:t>
      </w:r>
      <w:r>
        <w:rPr>
          <w:rFonts w:ascii="MS Gothic"/>
          <w:color w:val="B02045"/>
          <w:w w:val="110"/>
        </w:rPr>
        <w:t>INDENT_OUTPUT</w:t>
      </w:r>
      <w:r>
        <w:rPr>
          <w:color w:val="333333"/>
          <w:w w:val="110"/>
        </w:rPr>
        <w:t>.</w:t>
      </w:r>
    </w:p>
    <w:p w14:paraId="469D64A7" w14:textId="77777777" w:rsidR="00A720EB" w:rsidRDefault="00A720EB">
      <w:pPr>
        <w:pStyle w:val="a3"/>
        <w:spacing w:before="7"/>
      </w:pPr>
    </w:p>
    <w:p w14:paraId="1F2B47B1" w14:textId="77777777" w:rsidR="00A720EB" w:rsidRDefault="0030286B">
      <w:pPr>
        <w:pStyle w:val="a3"/>
        <w:spacing w:line="290" w:lineRule="auto"/>
        <w:ind w:left="124" w:right="129"/>
        <w:jc w:val="both"/>
      </w:pPr>
      <w:r>
        <w:rPr>
          <w:color w:val="333333"/>
          <w:w w:val="110"/>
        </w:rPr>
        <w:t xml:space="preserve">This environment-based configuration is applied to </w:t>
      </w:r>
      <w:proofErr w:type="gramStart"/>
      <w:r>
        <w:rPr>
          <w:color w:val="333333"/>
          <w:w w:val="110"/>
        </w:rPr>
        <w:t>the  auto</w:t>
      </w:r>
      <w:proofErr w:type="gramEnd"/>
      <w:r>
        <w:rPr>
          <w:color w:val="333333"/>
          <w:w w:val="110"/>
        </w:rPr>
        <w:t xml:space="preserve">-configured </w:t>
      </w:r>
      <w:r>
        <w:rPr>
          <w:rFonts w:ascii="MS Gothic"/>
          <w:color w:val="B02045"/>
          <w:w w:val="110"/>
        </w:rPr>
        <w:t xml:space="preserve">Jackson2ObjectMapperBuilder </w:t>
      </w:r>
      <w:r>
        <w:rPr>
          <w:color w:val="333333"/>
          <w:w w:val="110"/>
        </w:rPr>
        <w:t xml:space="preserve">bean and applies to any mappers created by using the builder, including the auto-configured </w:t>
      </w:r>
      <w:r>
        <w:rPr>
          <w:rFonts w:ascii="MS Gothic"/>
          <w:color w:val="B02045"/>
          <w:w w:val="110"/>
        </w:rPr>
        <w:t xml:space="preserve">ObjectMapper </w:t>
      </w:r>
      <w:r>
        <w:rPr>
          <w:color w:val="333333"/>
          <w:w w:val="110"/>
        </w:rPr>
        <w:t>bean.</w:t>
      </w:r>
    </w:p>
    <w:p w14:paraId="5A6A0FCA" w14:textId="77777777" w:rsidR="00A720EB" w:rsidRDefault="0030286B">
      <w:pPr>
        <w:pStyle w:val="a3"/>
        <w:spacing w:before="227" w:line="292" w:lineRule="auto"/>
        <w:ind w:left="124" w:right="123"/>
        <w:jc w:val="both"/>
      </w:pPr>
      <w:r>
        <w:rPr>
          <w:color w:val="333333"/>
          <w:w w:val="110"/>
        </w:rPr>
        <w:t xml:space="preserve">The context’s </w:t>
      </w:r>
      <w:r>
        <w:rPr>
          <w:rFonts w:ascii="MS Gothic" w:hAnsi="MS Gothic"/>
          <w:color w:val="B02045"/>
          <w:w w:val="110"/>
        </w:rPr>
        <w:t xml:space="preserve">Jackson2ObjectMapperBuilder </w:t>
      </w:r>
      <w:r>
        <w:rPr>
          <w:color w:val="333333"/>
          <w:w w:val="110"/>
        </w:rPr>
        <w:t xml:space="preserve">can be customized </w:t>
      </w:r>
      <w:r>
        <w:rPr>
          <w:color w:val="333333"/>
          <w:spacing w:val="-3"/>
          <w:w w:val="110"/>
        </w:rPr>
        <w:t xml:space="preserve">by </w:t>
      </w:r>
      <w:r>
        <w:rPr>
          <w:color w:val="333333"/>
          <w:w w:val="110"/>
        </w:rPr>
        <w:t xml:space="preserve">one or more </w:t>
      </w:r>
      <w:r>
        <w:rPr>
          <w:rFonts w:ascii="MS Gothic" w:hAnsi="MS Gothic"/>
          <w:color w:val="B02045"/>
          <w:w w:val="110"/>
        </w:rPr>
        <w:t>Jackson2ObjectMapperBuilderCustomizer</w:t>
      </w:r>
      <w:r>
        <w:rPr>
          <w:rFonts w:ascii="MS Gothic" w:hAnsi="MS Gothic"/>
          <w:color w:val="B02045"/>
          <w:spacing w:val="-72"/>
          <w:w w:val="110"/>
        </w:rPr>
        <w:t xml:space="preserve"> </w:t>
      </w:r>
      <w:r>
        <w:rPr>
          <w:color w:val="333333"/>
          <w:w w:val="110"/>
        </w:rPr>
        <w:t>beans.</w:t>
      </w:r>
      <w:r>
        <w:rPr>
          <w:color w:val="333333"/>
          <w:spacing w:val="-7"/>
          <w:w w:val="110"/>
        </w:rPr>
        <w:t xml:space="preserve"> </w:t>
      </w:r>
      <w:r>
        <w:rPr>
          <w:color w:val="333333"/>
          <w:w w:val="110"/>
        </w:rPr>
        <w:t>Such</w:t>
      </w:r>
      <w:r>
        <w:rPr>
          <w:color w:val="333333"/>
          <w:spacing w:val="-7"/>
          <w:w w:val="110"/>
        </w:rPr>
        <w:t xml:space="preserve"> </w:t>
      </w:r>
      <w:r>
        <w:rPr>
          <w:color w:val="333333"/>
          <w:w w:val="110"/>
        </w:rPr>
        <w:t>customizer</w:t>
      </w:r>
      <w:r>
        <w:rPr>
          <w:color w:val="333333"/>
          <w:spacing w:val="-7"/>
          <w:w w:val="110"/>
        </w:rPr>
        <w:t xml:space="preserve"> </w:t>
      </w:r>
      <w:r>
        <w:rPr>
          <w:color w:val="333333"/>
          <w:w w:val="110"/>
        </w:rPr>
        <w:t>beans</w:t>
      </w:r>
      <w:r>
        <w:rPr>
          <w:color w:val="333333"/>
          <w:spacing w:val="-7"/>
          <w:w w:val="110"/>
        </w:rPr>
        <w:t xml:space="preserve"> </w:t>
      </w:r>
      <w:r>
        <w:rPr>
          <w:color w:val="333333"/>
          <w:w w:val="110"/>
        </w:rPr>
        <w:t>can</w:t>
      </w:r>
      <w:r>
        <w:rPr>
          <w:color w:val="333333"/>
          <w:spacing w:val="-7"/>
          <w:w w:val="110"/>
        </w:rPr>
        <w:t xml:space="preserve"> </w:t>
      </w:r>
      <w:r>
        <w:rPr>
          <w:color w:val="333333"/>
          <w:w w:val="110"/>
        </w:rPr>
        <w:t>be</w:t>
      </w:r>
      <w:r>
        <w:rPr>
          <w:color w:val="333333"/>
          <w:spacing w:val="-7"/>
          <w:w w:val="110"/>
        </w:rPr>
        <w:t xml:space="preserve"> </w:t>
      </w:r>
      <w:r>
        <w:rPr>
          <w:color w:val="333333"/>
          <w:w w:val="110"/>
        </w:rPr>
        <w:t>ordered</w:t>
      </w:r>
      <w:r>
        <w:rPr>
          <w:color w:val="333333"/>
          <w:spacing w:val="-7"/>
          <w:w w:val="110"/>
        </w:rPr>
        <w:t xml:space="preserve"> </w:t>
      </w:r>
      <w:r>
        <w:rPr>
          <w:color w:val="333333"/>
          <w:w w:val="110"/>
        </w:rPr>
        <w:t>(Boot’s</w:t>
      </w:r>
      <w:r>
        <w:rPr>
          <w:color w:val="333333"/>
          <w:spacing w:val="-7"/>
          <w:w w:val="110"/>
        </w:rPr>
        <w:t xml:space="preserve"> </w:t>
      </w:r>
      <w:r>
        <w:rPr>
          <w:color w:val="333333"/>
          <w:w w:val="110"/>
        </w:rPr>
        <w:t>own customizer has an order of 0), letting additional customization be applied both before and after Boot’s</w:t>
      </w:r>
      <w:r>
        <w:rPr>
          <w:color w:val="333333"/>
          <w:spacing w:val="2"/>
          <w:w w:val="110"/>
        </w:rPr>
        <w:t xml:space="preserve"> </w:t>
      </w:r>
      <w:r>
        <w:rPr>
          <w:color w:val="333333"/>
          <w:w w:val="110"/>
        </w:rPr>
        <w:t>customization.</w:t>
      </w:r>
    </w:p>
    <w:p w14:paraId="31ECA4F5" w14:textId="77777777" w:rsidR="00A720EB" w:rsidRDefault="0030286B">
      <w:pPr>
        <w:pStyle w:val="a3"/>
        <w:spacing w:before="246" w:line="292" w:lineRule="auto"/>
        <w:ind w:left="124" w:right="125"/>
        <w:jc w:val="both"/>
      </w:pPr>
      <w:r>
        <w:rPr>
          <w:color w:val="333333"/>
          <w:w w:val="110"/>
        </w:rPr>
        <w:t xml:space="preserve">Any beans of type </w:t>
      </w:r>
      <w:proofErr w:type="gramStart"/>
      <w:r>
        <w:rPr>
          <w:rFonts w:ascii="MS Gothic"/>
          <w:color w:val="B02045"/>
          <w:w w:val="110"/>
        </w:rPr>
        <w:t>com.fasterxml</w:t>
      </w:r>
      <w:proofErr w:type="gramEnd"/>
      <w:r>
        <w:rPr>
          <w:rFonts w:ascii="MS Gothic"/>
          <w:color w:val="B02045"/>
          <w:w w:val="110"/>
        </w:rPr>
        <w:t xml:space="preserve">.jackson.databind.Module </w:t>
      </w:r>
      <w:r>
        <w:rPr>
          <w:color w:val="333333"/>
          <w:w w:val="110"/>
        </w:rPr>
        <w:t>are automatically registered with the auto-configured</w:t>
      </w:r>
      <w:r>
        <w:rPr>
          <w:color w:val="333333"/>
          <w:spacing w:val="-7"/>
          <w:w w:val="110"/>
        </w:rPr>
        <w:t xml:space="preserve"> </w:t>
      </w:r>
      <w:r>
        <w:rPr>
          <w:rFonts w:ascii="MS Gothic"/>
          <w:color w:val="B02045"/>
          <w:w w:val="110"/>
        </w:rPr>
        <w:t>Jackson2ObjectMapperBuilder</w:t>
      </w:r>
      <w:r>
        <w:rPr>
          <w:rFonts w:ascii="MS Gothic"/>
          <w:color w:val="B02045"/>
          <w:spacing w:val="-74"/>
          <w:w w:val="110"/>
        </w:rPr>
        <w:t xml:space="preserve"> </w:t>
      </w:r>
      <w:r>
        <w:rPr>
          <w:color w:val="333333"/>
          <w:w w:val="110"/>
        </w:rPr>
        <w:t>and</w:t>
      </w:r>
      <w:r>
        <w:rPr>
          <w:color w:val="333333"/>
          <w:spacing w:val="-9"/>
          <w:w w:val="110"/>
        </w:rPr>
        <w:t xml:space="preserve"> </w:t>
      </w:r>
      <w:r>
        <w:rPr>
          <w:color w:val="333333"/>
          <w:w w:val="110"/>
        </w:rPr>
        <w:t>are</w:t>
      </w:r>
      <w:r>
        <w:rPr>
          <w:color w:val="333333"/>
          <w:spacing w:val="-9"/>
          <w:w w:val="110"/>
        </w:rPr>
        <w:t xml:space="preserve"> </w:t>
      </w:r>
      <w:r>
        <w:rPr>
          <w:color w:val="333333"/>
          <w:w w:val="110"/>
        </w:rPr>
        <w:t>applied</w:t>
      </w:r>
      <w:r>
        <w:rPr>
          <w:color w:val="333333"/>
          <w:spacing w:val="-10"/>
          <w:w w:val="110"/>
        </w:rPr>
        <w:t xml:space="preserve"> </w:t>
      </w:r>
      <w:r>
        <w:rPr>
          <w:color w:val="333333"/>
          <w:w w:val="110"/>
        </w:rPr>
        <w:t>to</w:t>
      </w:r>
      <w:r>
        <w:rPr>
          <w:color w:val="333333"/>
          <w:spacing w:val="-9"/>
          <w:w w:val="110"/>
        </w:rPr>
        <w:t xml:space="preserve"> </w:t>
      </w:r>
      <w:r>
        <w:rPr>
          <w:color w:val="333333"/>
          <w:w w:val="110"/>
        </w:rPr>
        <w:t>any</w:t>
      </w:r>
      <w:r>
        <w:rPr>
          <w:color w:val="333333"/>
          <w:spacing w:val="-7"/>
          <w:w w:val="110"/>
        </w:rPr>
        <w:t xml:space="preserve"> </w:t>
      </w:r>
      <w:r>
        <w:rPr>
          <w:rFonts w:ascii="MS Gothic"/>
          <w:color w:val="B02045"/>
          <w:w w:val="110"/>
        </w:rPr>
        <w:t>ObjectMapper</w:t>
      </w:r>
      <w:r>
        <w:rPr>
          <w:rFonts w:ascii="MS Gothic"/>
          <w:color w:val="B02045"/>
          <w:spacing w:val="-74"/>
          <w:w w:val="110"/>
        </w:rPr>
        <w:t xml:space="preserve"> </w:t>
      </w:r>
      <w:r>
        <w:rPr>
          <w:color w:val="333333"/>
          <w:w w:val="110"/>
        </w:rPr>
        <w:t>instances</w:t>
      </w:r>
      <w:r>
        <w:rPr>
          <w:color w:val="333333"/>
          <w:spacing w:val="-9"/>
          <w:w w:val="110"/>
        </w:rPr>
        <w:t xml:space="preserve"> </w:t>
      </w:r>
      <w:r>
        <w:rPr>
          <w:color w:val="333333"/>
          <w:w w:val="110"/>
        </w:rPr>
        <w:t>that</w:t>
      </w:r>
      <w:r>
        <w:rPr>
          <w:color w:val="333333"/>
          <w:spacing w:val="-9"/>
          <w:w w:val="110"/>
        </w:rPr>
        <w:t xml:space="preserve"> </w:t>
      </w:r>
      <w:r>
        <w:rPr>
          <w:color w:val="333333"/>
          <w:w w:val="110"/>
        </w:rPr>
        <w:t>it creates. This provides a global mechanism for contributing custom modules when you add new features to your</w:t>
      </w:r>
      <w:r>
        <w:rPr>
          <w:color w:val="333333"/>
          <w:spacing w:val="9"/>
          <w:w w:val="110"/>
        </w:rPr>
        <w:t xml:space="preserve"> </w:t>
      </w:r>
      <w:r>
        <w:rPr>
          <w:color w:val="333333"/>
          <w:w w:val="110"/>
        </w:rPr>
        <w:t>application.</w:t>
      </w:r>
    </w:p>
    <w:p w14:paraId="5E81060C" w14:textId="77777777" w:rsidR="00A720EB" w:rsidRDefault="0030286B">
      <w:pPr>
        <w:pStyle w:val="a3"/>
        <w:spacing w:before="245" w:line="280" w:lineRule="auto"/>
        <w:ind w:left="124" w:right="122"/>
        <w:jc w:val="both"/>
      </w:pPr>
      <w:r>
        <w:rPr>
          <w:color w:val="333333"/>
          <w:w w:val="110"/>
        </w:rPr>
        <w:t xml:space="preserve">If you want to replace the default </w:t>
      </w:r>
      <w:r>
        <w:rPr>
          <w:rFonts w:ascii="MS Gothic"/>
          <w:color w:val="B02045"/>
          <w:w w:val="110"/>
        </w:rPr>
        <w:t xml:space="preserve">ObjectMapper </w:t>
      </w:r>
      <w:r>
        <w:rPr>
          <w:color w:val="333333"/>
          <w:spacing w:val="-3"/>
          <w:w w:val="110"/>
        </w:rPr>
        <w:t xml:space="preserve">completely, </w:t>
      </w:r>
      <w:r>
        <w:rPr>
          <w:color w:val="333333"/>
          <w:w w:val="110"/>
        </w:rPr>
        <w:t xml:space="preserve">either define a </w:t>
      </w:r>
      <w:r>
        <w:rPr>
          <w:rFonts w:ascii="MS Gothic"/>
          <w:color w:val="B02045"/>
          <w:w w:val="110"/>
        </w:rPr>
        <w:t xml:space="preserve">@Bean </w:t>
      </w:r>
      <w:r>
        <w:rPr>
          <w:color w:val="333333"/>
          <w:w w:val="110"/>
        </w:rPr>
        <w:t xml:space="preserve">of that type and mark it as </w:t>
      </w:r>
      <w:r>
        <w:rPr>
          <w:rFonts w:ascii="MS Gothic"/>
          <w:color w:val="B02045"/>
          <w:w w:val="110"/>
        </w:rPr>
        <w:t xml:space="preserve">@Primary </w:t>
      </w:r>
      <w:r>
        <w:rPr>
          <w:color w:val="333333"/>
          <w:w w:val="110"/>
        </w:rPr>
        <w:t xml:space="preserve">or, if you prefer the builder-based approach, define </w:t>
      </w:r>
      <w:proofErr w:type="gramStart"/>
      <w:r>
        <w:rPr>
          <w:color w:val="333333"/>
          <w:w w:val="110"/>
        </w:rPr>
        <w:t xml:space="preserve">a  </w:t>
      </w:r>
      <w:r>
        <w:rPr>
          <w:rFonts w:ascii="MS Gothic"/>
          <w:color w:val="B02045"/>
          <w:w w:val="110"/>
        </w:rPr>
        <w:t>Jackson</w:t>
      </w:r>
      <w:proofErr w:type="gramEnd"/>
      <w:r>
        <w:rPr>
          <w:rFonts w:ascii="MS Gothic"/>
          <w:color w:val="B02045"/>
          <w:w w:val="110"/>
        </w:rPr>
        <w:t>2ObjectMapperBuilder</w:t>
      </w:r>
      <w:r>
        <w:rPr>
          <w:rFonts w:ascii="MS Gothic"/>
          <w:color w:val="B02045"/>
          <w:spacing w:val="-83"/>
          <w:w w:val="110"/>
        </w:rPr>
        <w:t xml:space="preserve"> </w:t>
      </w:r>
      <w:r>
        <w:rPr>
          <w:rFonts w:ascii="MS Gothic"/>
          <w:color w:val="B02045"/>
          <w:w w:val="110"/>
        </w:rPr>
        <w:t>@Bean</w:t>
      </w:r>
      <w:r>
        <w:rPr>
          <w:color w:val="333333"/>
          <w:w w:val="110"/>
        </w:rPr>
        <w:t>.</w:t>
      </w:r>
      <w:r>
        <w:rPr>
          <w:color w:val="333333"/>
          <w:spacing w:val="-18"/>
          <w:w w:val="110"/>
        </w:rPr>
        <w:t xml:space="preserve"> </w:t>
      </w:r>
      <w:r>
        <w:rPr>
          <w:color w:val="333333"/>
          <w:w w:val="110"/>
        </w:rPr>
        <w:t>Note</w:t>
      </w:r>
      <w:r>
        <w:rPr>
          <w:color w:val="333333"/>
          <w:spacing w:val="-18"/>
          <w:w w:val="110"/>
        </w:rPr>
        <w:t xml:space="preserve"> </w:t>
      </w:r>
      <w:r>
        <w:rPr>
          <w:color w:val="333333"/>
          <w:w w:val="110"/>
        </w:rPr>
        <w:t>that,</w:t>
      </w:r>
      <w:r>
        <w:rPr>
          <w:color w:val="333333"/>
          <w:spacing w:val="-17"/>
          <w:w w:val="110"/>
        </w:rPr>
        <w:t xml:space="preserve"> </w:t>
      </w:r>
      <w:r>
        <w:rPr>
          <w:color w:val="333333"/>
          <w:w w:val="110"/>
        </w:rPr>
        <w:t>in</w:t>
      </w:r>
      <w:r>
        <w:rPr>
          <w:color w:val="333333"/>
          <w:spacing w:val="-19"/>
          <w:w w:val="110"/>
        </w:rPr>
        <w:t xml:space="preserve"> </w:t>
      </w:r>
      <w:r>
        <w:rPr>
          <w:color w:val="333333"/>
          <w:w w:val="110"/>
        </w:rPr>
        <w:t>either</w:t>
      </w:r>
      <w:r>
        <w:rPr>
          <w:color w:val="333333"/>
          <w:spacing w:val="-17"/>
          <w:w w:val="110"/>
        </w:rPr>
        <w:t xml:space="preserve"> </w:t>
      </w:r>
      <w:r>
        <w:rPr>
          <w:color w:val="333333"/>
          <w:w w:val="110"/>
        </w:rPr>
        <w:t>case,</w:t>
      </w:r>
      <w:r>
        <w:rPr>
          <w:color w:val="333333"/>
          <w:spacing w:val="-18"/>
          <w:w w:val="110"/>
        </w:rPr>
        <w:t xml:space="preserve"> </w:t>
      </w:r>
      <w:r>
        <w:rPr>
          <w:color w:val="333333"/>
          <w:w w:val="110"/>
        </w:rPr>
        <w:t>doing</w:t>
      </w:r>
      <w:r>
        <w:rPr>
          <w:color w:val="333333"/>
          <w:spacing w:val="-19"/>
          <w:w w:val="110"/>
        </w:rPr>
        <w:t xml:space="preserve"> </w:t>
      </w:r>
      <w:r>
        <w:rPr>
          <w:color w:val="333333"/>
          <w:w w:val="110"/>
        </w:rPr>
        <w:t>so</w:t>
      </w:r>
      <w:r>
        <w:rPr>
          <w:color w:val="333333"/>
          <w:spacing w:val="-17"/>
          <w:w w:val="110"/>
        </w:rPr>
        <w:t xml:space="preserve"> </w:t>
      </w:r>
      <w:r>
        <w:rPr>
          <w:color w:val="333333"/>
          <w:w w:val="110"/>
        </w:rPr>
        <w:t>disables</w:t>
      </w:r>
      <w:r>
        <w:rPr>
          <w:color w:val="333333"/>
          <w:spacing w:val="-18"/>
          <w:w w:val="110"/>
        </w:rPr>
        <w:t xml:space="preserve"> </w:t>
      </w:r>
      <w:r>
        <w:rPr>
          <w:color w:val="333333"/>
          <w:w w:val="110"/>
        </w:rPr>
        <w:t>all</w:t>
      </w:r>
      <w:r>
        <w:rPr>
          <w:color w:val="333333"/>
          <w:spacing w:val="-19"/>
          <w:w w:val="110"/>
        </w:rPr>
        <w:t xml:space="preserve"> </w:t>
      </w:r>
      <w:r>
        <w:rPr>
          <w:color w:val="333333"/>
          <w:w w:val="110"/>
        </w:rPr>
        <w:t>auto-configuration of the</w:t>
      </w:r>
      <w:r>
        <w:rPr>
          <w:color w:val="333333"/>
          <w:spacing w:val="5"/>
          <w:w w:val="110"/>
        </w:rPr>
        <w:t xml:space="preserve"> </w:t>
      </w:r>
      <w:r>
        <w:rPr>
          <w:rFonts w:ascii="MS Gothic"/>
          <w:color w:val="B02045"/>
          <w:w w:val="110"/>
        </w:rPr>
        <w:t>ObjectMapper</w:t>
      </w:r>
      <w:r>
        <w:rPr>
          <w:color w:val="333333"/>
          <w:w w:val="110"/>
        </w:rPr>
        <w:t>.</w:t>
      </w:r>
    </w:p>
    <w:p w14:paraId="16D1D94C" w14:textId="77777777" w:rsidR="00A720EB" w:rsidRDefault="0030286B">
      <w:pPr>
        <w:pStyle w:val="a3"/>
        <w:spacing w:before="243" w:line="292" w:lineRule="auto"/>
        <w:ind w:left="124" w:right="122"/>
        <w:jc w:val="both"/>
      </w:pPr>
      <w:r>
        <w:rPr>
          <w:color w:val="333333"/>
          <w:w w:val="110"/>
        </w:rPr>
        <w:t xml:space="preserve">If you provide any </w:t>
      </w:r>
      <w:r>
        <w:rPr>
          <w:rFonts w:ascii="MS Gothic"/>
          <w:color w:val="B02045"/>
          <w:w w:val="110"/>
        </w:rPr>
        <w:t xml:space="preserve">@Beans </w:t>
      </w:r>
      <w:r>
        <w:rPr>
          <w:color w:val="333333"/>
          <w:w w:val="110"/>
        </w:rPr>
        <w:t xml:space="preserve">of type </w:t>
      </w:r>
      <w:r>
        <w:rPr>
          <w:rFonts w:ascii="MS Gothic"/>
          <w:color w:val="B02045"/>
          <w:w w:val="110"/>
        </w:rPr>
        <w:t>MappingJackson2HttpMessageConverter</w:t>
      </w:r>
      <w:r>
        <w:rPr>
          <w:color w:val="333333"/>
          <w:w w:val="110"/>
        </w:rPr>
        <w:t xml:space="preserve">, they replace the default value in the MVC configuration. Also, a convenience bean of type </w:t>
      </w:r>
      <w:r>
        <w:rPr>
          <w:rFonts w:ascii="MS Gothic"/>
          <w:color w:val="B02045"/>
          <w:w w:val="110"/>
        </w:rPr>
        <w:t>HttpMessageConverters</w:t>
      </w:r>
      <w:r>
        <w:rPr>
          <w:rFonts w:ascii="MS Gothic"/>
          <w:color w:val="B02045"/>
          <w:spacing w:val="-88"/>
          <w:w w:val="110"/>
        </w:rPr>
        <w:t xml:space="preserve"> </w:t>
      </w:r>
      <w:r>
        <w:rPr>
          <w:color w:val="333333"/>
          <w:w w:val="110"/>
        </w:rPr>
        <w:t>is provided (and is always available if you use the default MVC configuration). It has some useful methods to access the default and user-enhanced message converters.</w:t>
      </w:r>
    </w:p>
    <w:p w14:paraId="0B89F169" w14:textId="77777777" w:rsidR="00A720EB" w:rsidRDefault="0030286B">
      <w:pPr>
        <w:pStyle w:val="a3"/>
        <w:spacing w:before="245" w:line="290" w:lineRule="auto"/>
        <w:ind w:left="124" w:right="122"/>
        <w:jc w:val="both"/>
      </w:pPr>
      <w:r>
        <w:rPr>
          <w:color w:val="333333"/>
          <w:w w:val="110"/>
        </w:rPr>
        <w:t>See</w:t>
      </w:r>
      <w:r>
        <w:rPr>
          <w:color w:val="333333"/>
          <w:spacing w:val="-14"/>
          <w:w w:val="110"/>
        </w:rPr>
        <w:t xml:space="preserve"> </w:t>
      </w:r>
      <w:r>
        <w:rPr>
          <w:color w:val="333333"/>
          <w:w w:val="110"/>
        </w:rPr>
        <w:t>the</w:t>
      </w:r>
      <w:r>
        <w:rPr>
          <w:color w:val="333333"/>
          <w:spacing w:val="-14"/>
          <w:w w:val="110"/>
        </w:rPr>
        <w:t xml:space="preserve"> </w:t>
      </w:r>
      <w:r>
        <w:rPr>
          <w:color w:val="333333"/>
          <w:w w:val="110"/>
        </w:rPr>
        <w:t>“</w:t>
      </w:r>
      <w:hyperlink w:anchor="_bookmark572" w:history="1">
        <w:r>
          <w:rPr>
            <w:color w:val="418BCA"/>
            <w:w w:val="110"/>
          </w:rPr>
          <w:t>Customize</w:t>
        </w:r>
        <w:r>
          <w:rPr>
            <w:color w:val="418BCA"/>
            <w:spacing w:val="-14"/>
            <w:w w:val="110"/>
          </w:rPr>
          <w:t xml:space="preserve"> </w:t>
        </w:r>
        <w:r>
          <w:rPr>
            <w:color w:val="418BCA"/>
            <w:w w:val="110"/>
          </w:rPr>
          <w:t>the</w:t>
        </w:r>
        <w:r>
          <w:rPr>
            <w:color w:val="418BCA"/>
            <w:spacing w:val="-14"/>
            <w:w w:val="110"/>
          </w:rPr>
          <w:t xml:space="preserve"> </w:t>
        </w:r>
        <w:r>
          <w:rPr>
            <w:color w:val="418BCA"/>
            <w:w w:val="110"/>
          </w:rPr>
          <w:t>@ResponseBody</w:t>
        </w:r>
        <w:r>
          <w:rPr>
            <w:color w:val="418BCA"/>
            <w:spacing w:val="-14"/>
            <w:w w:val="110"/>
          </w:rPr>
          <w:t xml:space="preserve"> </w:t>
        </w:r>
        <w:r>
          <w:rPr>
            <w:color w:val="418BCA"/>
            <w:w w:val="110"/>
          </w:rPr>
          <w:t>Rendering</w:t>
        </w:r>
      </w:hyperlink>
      <w:r>
        <w:rPr>
          <w:color w:val="333333"/>
          <w:w w:val="110"/>
        </w:rPr>
        <w:t>”</w:t>
      </w:r>
      <w:r>
        <w:rPr>
          <w:color w:val="333333"/>
          <w:spacing w:val="-14"/>
          <w:w w:val="110"/>
        </w:rPr>
        <w:t xml:space="preserve"> </w:t>
      </w:r>
      <w:r>
        <w:rPr>
          <w:color w:val="333333"/>
          <w:w w:val="110"/>
        </w:rPr>
        <w:t>section</w:t>
      </w:r>
      <w:r>
        <w:rPr>
          <w:color w:val="333333"/>
          <w:spacing w:val="-14"/>
          <w:w w:val="110"/>
        </w:rPr>
        <w:t xml:space="preserve"> </w:t>
      </w:r>
      <w:r>
        <w:rPr>
          <w:color w:val="333333"/>
          <w:w w:val="110"/>
        </w:rPr>
        <w:t>and</w:t>
      </w:r>
      <w:r>
        <w:rPr>
          <w:color w:val="333333"/>
          <w:spacing w:val="-14"/>
          <w:w w:val="110"/>
        </w:rPr>
        <w:t xml:space="preserve"> </w:t>
      </w:r>
      <w:r>
        <w:rPr>
          <w:color w:val="333333"/>
          <w:w w:val="110"/>
        </w:rPr>
        <w:t>the</w:t>
      </w:r>
      <w:r>
        <w:rPr>
          <w:color w:val="333333"/>
          <w:spacing w:val="-14"/>
          <w:w w:val="110"/>
        </w:rPr>
        <w:t xml:space="preserve"> </w:t>
      </w:r>
      <w:hyperlink r:id="rId606">
        <w:r>
          <w:rPr>
            <w:rFonts w:ascii="MS Gothic" w:hAnsi="MS Gothic"/>
            <w:color w:val="B02045"/>
            <w:w w:val="110"/>
          </w:rPr>
          <w:t>WebMvcAutoConfiguration</w:t>
        </w:r>
        <w:r>
          <w:rPr>
            <w:rFonts w:ascii="MS Gothic" w:hAnsi="MS Gothic"/>
            <w:color w:val="B02045"/>
            <w:spacing w:val="-78"/>
            <w:w w:val="110"/>
          </w:rPr>
          <w:t xml:space="preserve"> </w:t>
        </w:r>
      </w:hyperlink>
      <w:r>
        <w:rPr>
          <w:color w:val="333333"/>
          <w:w w:val="110"/>
        </w:rPr>
        <w:t>source code for more</w:t>
      </w:r>
      <w:r>
        <w:rPr>
          <w:color w:val="333333"/>
          <w:spacing w:val="9"/>
          <w:w w:val="110"/>
        </w:rPr>
        <w:t xml:space="preserve"> </w:t>
      </w:r>
      <w:r>
        <w:rPr>
          <w:color w:val="333333"/>
          <w:w w:val="110"/>
        </w:rPr>
        <w:t>details.</w:t>
      </w:r>
    </w:p>
    <w:p w14:paraId="45FEF07B" w14:textId="77777777" w:rsidR="00A720EB" w:rsidRDefault="00A720EB">
      <w:pPr>
        <w:pStyle w:val="a3"/>
        <w:spacing w:before="3"/>
        <w:rPr>
          <w:sz w:val="27"/>
        </w:rPr>
      </w:pPr>
    </w:p>
    <w:p w14:paraId="605C8662" w14:textId="77777777" w:rsidR="00A720EB" w:rsidRDefault="0030286B">
      <w:pPr>
        <w:pStyle w:val="3"/>
        <w:numPr>
          <w:ilvl w:val="2"/>
          <w:numId w:val="13"/>
        </w:numPr>
        <w:tabs>
          <w:tab w:val="left" w:pos="858"/>
        </w:tabs>
        <w:ind w:hanging="734"/>
      </w:pPr>
      <w:bookmarkStart w:id="861" w:name="9.4.4._Customize_the_@ResponseBody_Rende"/>
      <w:bookmarkStart w:id="862" w:name="_Toc54423952"/>
      <w:bookmarkEnd w:id="861"/>
      <w:r>
        <w:rPr>
          <w:color w:val="333333"/>
          <w:w w:val="110"/>
        </w:rPr>
        <w:t>Customize the @ResponseBody</w:t>
      </w:r>
      <w:r>
        <w:rPr>
          <w:color w:val="333333"/>
          <w:spacing w:val="-19"/>
          <w:w w:val="110"/>
        </w:rPr>
        <w:t xml:space="preserve"> </w:t>
      </w:r>
      <w:r>
        <w:rPr>
          <w:color w:val="333333"/>
          <w:w w:val="110"/>
        </w:rPr>
        <w:t>Rendering</w:t>
      </w:r>
      <w:bookmarkEnd w:id="862"/>
    </w:p>
    <w:p w14:paraId="589C466D" w14:textId="77777777" w:rsidR="00A720EB" w:rsidRDefault="0030286B">
      <w:pPr>
        <w:pStyle w:val="a3"/>
        <w:spacing w:before="243" w:line="295" w:lineRule="auto"/>
        <w:ind w:left="124" w:right="122"/>
        <w:jc w:val="both"/>
      </w:pPr>
      <w:r>
        <w:rPr>
          <w:color w:val="333333"/>
          <w:w w:val="105"/>
        </w:rPr>
        <w:t>Spring uses</w:t>
      </w:r>
      <w:r>
        <w:rPr>
          <w:color w:val="333333"/>
          <w:spacing w:val="4"/>
          <w:w w:val="105"/>
        </w:rPr>
        <w:t xml:space="preserve"> </w:t>
      </w:r>
      <w:r>
        <w:rPr>
          <w:rFonts w:ascii="MS Gothic"/>
          <w:color w:val="B02045"/>
          <w:w w:val="105"/>
        </w:rPr>
        <w:t>HttpMessageConverters</w:t>
      </w:r>
      <w:r>
        <w:rPr>
          <w:rFonts w:ascii="MS Gothic"/>
          <w:color w:val="B02045"/>
          <w:spacing w:val="-61"/>
          <w:w w:val="105"/>
        </w:rPr>
        <w:t xml:space="preserve"> </w:t>
      </w:r>
      <w:r>
        <w:rPr>
          <w:color w:val="333333"/>
          <w:w w:val="105"/>
        </w:rPr>
        <w:t>to</w:t>
      </w:r>
      <w:r>
        <w:rPr>
          <w:color w:val="333333"/>
          <w:spacing w:val="1"/>
          <w:w w:val="105"/>
        </w:rPr>
        <w:t xml:space="preserve"> </w:t>
      </w:r>
      <w:r>
        <w:rPr>
          <w:color w:val="333333"/>
          <w:w w:val="105"/>
        </w:rPr>
        <w:t>render</w:t>
      </w:r>
      <w:r>
        <w:rPr>
          <w:color w:val="333333"/>
          <w:spacing w:val="1"/>
          <w:w w:val="105"/>
        </w:rPr>
        <w:t xml:space="preserve"> </w:t>
      </w:r>
      <w:r>
        <w:rPr>
          <w:rFonts w:ascii="MS Gothic"/>
          <w:color w:val="B02045"/>
          <w:w w:val="105"/>
        </w:rPr>
        <w:t>@ResponseBody</w:t>
      </w:r>
      <w:r>
        <w:rPr>
          <w:rFonts w:ascii="MS Gothic"/>
          <w:color w:val="B02045"/>
          <w:spacing w:val="-61"/>
          <w:w w:val="105"/>
        </w:rPr>
        <w:t xml:space="preserve"> </w:t>
      </w:r>
      <w:r>
        <w:rPr>
          <w:color w:val="333333"/>
          <w:w w:val="105"/>
        </w:rPr>
        <w:t>(or</w:t>
      </w:r>
      <w:r>
        <w:rPr>
          <w:color w:val="333333"/>
          <w:spacing w:val="1"/>
          <w:w w:val="105"/>
        </w:rPr>
        <w:t xml:space="preserve"> </w:t>
      </w:r>
      <w:r>
        <w:rPr>
          <w:color w:val="333333"/>
          <w:w w:val="105"/>
        </w:rPr>
        <w:t>responses from</w:t>
      </w:r>
      <w:r>
        <w:rPr>
          <w:color w:val="333333"/>
          <w:spacing w:val="2"/>
          <w:w w:val="105"/>
        </w:rPr>
        <w:t xml:space="preserve"> </w:t>
      </w:r>
      <w:r>
        <w:rPr>
          <w:rFonts w:ascii="MS Gothic"/>
          <w:color w:val="B02045"/>
          <w:w w:val="105"/>
        </w:rPr>
        <w:t>@RestController</w:t>
      </w:r>
      <w:r>
        <w:rPr>
          <w:color w:val="333333"/>
          <w:w w:val="105"/>
        </w:rPr>
        <w:t>).</w:t>
      </w:r>
      <w:r>
        <w:rPr>
          <w:color w:val="333333"/>
          <w:spacing w:val="1"/>
          <w:w w:val="105"/>
        </w:rPr>
        <w:t xml:space="preserve"> </w:t>
      </w:r>
      <w:r>
        <w:rPr>
          <w:color w:val="333333"/>
          <w:spacing w:val="-6"/>
          <w:w w:val="105"/>
        </w:rPr>
        <w:t xml:space="preserve">You </w:t>
      </w:r>
      <w:r>
        <w:rPr>
          <w:color w:val="333333"/>
          <w:w w:val="110"/>
        </w:rPr>
        <w:t xml:space="preserve">can contribute additional converters </w:t>
      </w:r>
      <w:r>
        <w:rPr>
          <w:color w:val="333333"/>
          <w:spacing w:val="-3"/>
          <w:w w:val="110"/>
        </w:rPr>
        <w:t xml:space="preserve">by </w:t>
      </w:r>
      <w:r>
        <w:rPr>
          <w:color w:val="333333"/>
          <w:w w:val="110"/>
        </w:rPr>
        <w:t xml:space="preserve">adding beans of the appropriate type in a Spring Boot context. If a bean you add is of a type that would have been included </w:t>
      </w:r>
      <w:r>
        <w:rPr>
          <w:color w:val="333333"/>
          <w:spacing w:val="-3"/>
          <w:w w:val="110"/>
        </w:rPr>
        <w:t xml:space="preserve">by </w:t>
      </w:r>
      <w:r>
        <w:rPr>
          <w:color w:val="333333"/>
          <w:w w:val="110"/>
        </w:rPr>
        <w:t xml:space="preserve">default </w:t>
      </w:r>
      <w:r>
        <w:rPr>
          <w:color w:val="333333"/>
          <w:spacing w:val="-3"/>
          <w:w w:val="110"/>
        </w:rPr>
        <w:t xml:space="preserve">anyway </w:t>
      </w:r>
      <w:r>
        <w:rPr>
          <w:color w:val="333333"/>
          <w:w w:val="110"/>
        </w:rPr>
        <w:t xml:space="preserve">(such </w:t>
      </w:r>
      <w:proofErr w:type="gramStart"/>
      <w:r>
        <w:rPr>
          <w:color w:val="333333"/>
          <w:w w:val="110"/>
        </w:rPr>
        <w:t xml:space="preserve">as  </w:t>
      </w:r>
      <w:r>
        <w:rPr>
          <w:rFonts w:ascii="MS Gothic"/>
          <w:color w:val="B02045"/>
          <w:w w:val="110"/>
        </w:rPr>
        <w:t>MappingJackson</w:t>
      </w:r>
      <w:proofErr w:type="gramEnd"/>
      <w:r>
        <w:rPr>
          <w:rFonts w:ascii="MS Gothic"/>
          <w:color w:val="B02045"/>
          <w:w w:val="110"/>
        </w:rPr>
        <w:t xml:space="preserve">2HttpMessageConverter </w:t>
      </w:r>
      <w:r>
        <w:rPr>
          <w:color w:val="333333"/>
          <w:w w:val="110"/>
        </w:rPr>
        <w:t xml:space="preserve">for JSON conversions), it replaces the default value. A convenience bean of type </w:t>
      </w:r>
      <w:r>
        <w:rPr>
          <w:rFonts w:ascii="MS Gothic"/>
          <w:color w:val="B02045"/>
          <w:w w:val="110"/>
        </w:rPr>
        <w:t xml:space="preserve">HttpMessageConverters </w:t>
      </w:r>
      <w:r>
        <w:rPr>
          <w:color w:val="333333"/>
          <w:w w:val="110"/>
        </w:rPr>
        <w:t xml:space="preserve">is provided and is always available if you use the default MVC configuration. It has some useful methods to access the default and user-enhanced message converters </w:t>
      </w:r>
      <w:r>
        <w:rPr>
          <w:color w:val="333333"/>
          <w:spacing w:val="-3"/>
          <w:w w:val="110"/>
        </w:rPr>
        <w:t xml:space="preserve">(For </w:t>
      </w:r>
      <w:r>
        <w:rPr>
          <w:color w:val="333333"/>
          <w:w w:val="110"/>
        </w:rPr>
        <w:t xml:space="preserve">example, it can be useful if you want to manually </w:t>
      </w:r>
      <w:proofErr w:type="gramStart"/>
      <w:r>
        <w:rPr>
          <w:color w:val="333333"/>
          <w:w w:val="110"/>
        </w:rPr>
        <w:t>inject  them</w:t>
      </w:r>
      <w:proofErr w:type="gramEnd"/>
      <w:r>
        <w:rPr>
          <w:color w:val="333333"/>
          <w:w w:val="110"/>
        </w:rPr>
        <w:t xml:space="preserve">  into  a  custom</w:t>
      </w:r>
      <w:r>
        <w:rPr>
          <w:color w:val="333333"/>
          <w:spacing w:val="2"/>
          <w:w w:val="110"/>
        </w:rPr>
        <w:t xml:space="preserve"> </w:t>
      </w:r>
      <w:r>
        <w:rPr>
          <w:rFonts w:ascii="MS Gothic"/>
          <w:color w:val="B02045"/>
          <w:w w:val="110"/>
        </w:rPr>
        <w:t>RestTemplate</w:t>
      </w:r>
      <w:r>
        <w:rPr>
          <w:color w:val="333333"/>
          <w:w w:val="110"/>
        </w:rPr>
        <w:t>).</w:t>
      </w:r>
    </w:p>
    <w:p w14:paraId="7E46A1DB" w14:textId="77777777" w:rsidR="00A720EB" w:rsidRDefault="0030286B">
      <w:pPr>
        <w:pStyle w:val="a3"/>
        <w:spacing w:before="230"/>
        <w:ind w:left="124"/>
        <w:jc w:val="both"/>
      </w:pPr>
      <w:r>
        <w:rPr>
          <w:color w:val="333333"/>
          <w:w w:val="110"/>
        </w:rPr>
        <w:t xml:space="preserve">As in normal MVC usage, any </w:t>
      </w:r>
      <w:r>
        <w:rPr>
          <w:rFonts w:ascii="MS Gothic"/>
          <w:color w:val="B02045"/>
          <w:w w:val="110"/>
        </w:rPr>
        <w:t xml:space="preserve">WebMvcConfigurer </w:t>
      </w:r>
      <w:r>
        <w:rPr>
          <w:color w:val="333333"/>
          <w:w w:val="110"/>
        </w:rPr>
        <w:t>beans that you provide can also contribute</w:t>
      </w:r>
    </w:p>
    <w:p w14:paraId="76BC3BBA" w14:textId="77777777" w:rsidR="00A720EB" w:rsidRDefault="00A720EB">
      <w:pPr>
        <w:jc w:val="both"/>
        <w:sectPr w:rsidR="00A720EB">
          <w:pgSz w:w="11910" w:h="16840"/>
          <w:pgMar w:top="700" w:right="840" w:bottom="520" w:left="840" w:header="0" w:footer="323" w:gutter="0"/>
          <w:cols w:space="720"/>
        </w:sectPr>
      </w:pPr>
    </w:p>
    <w:p w14:paraId="2E4C4170" w14:textId="77777777" w:rsidR="00A720EB" w:rsidRDefault="0030286B">
      <w:pPr>
        <w:pStyle w:val="a3"/>
        <w:spacing w:before="96" w:line="295" w:lineRule="auto"/>
        <w:ind w:left="124" w:right="125"/>
        <w:jc w:val="both"/>
      </w:pPr>
      <w:r>
        <w:rPr>
          <w:color w:val="333333"/>
          <w:w w:val="110"/>
        </w:rPr>
        <w:lastRenderedPageBreak/>
        <w:t xml:space="preserve">converters </w:t>
      </w:r>
      <w:r>
        <w:rPr>
          <w:color w:val="333333"/>
          <w:spacing w:val="-3"/>
          <w:w w:val="110"/>
        </w:rPr>
        <w:t xml:space="preserve">by </w:t>
      </w:r>
      <w:r>
        <w:rPr>
          <w:color w:val="333333"/>
          <w:w w:val="110"/>
        </w:rPr>
        <w:t xml:space="preserve">overriding the </w:t>
      </w:r>
      <w:r>
        <w:rPr>
          <w:rFonts w:ascii="MS Gothic"/>
          <w:color w:val="B02045"/>
          <w:w w:val="110"/>
        </w:rPr>
        <w:t xml:space="preserve">configureMessageConverters </w:t>
      </w:r>
      <w:r>
        <w:rPr>
          <w:color w:val="333333"/>
          <w:w w:val="110"/>
        </w:rPr>
        <w:t xml:space="preserve">method. However, unlike with normal MVC, you can supply only additional converters that you need (because Spring Boot uses the same mechanism to contribute its defaults). </w:t>
      </w:r>
      <w:r>
        <w:rPr>
          <w:color w:val="333333"/>
          <w:spacing w:val="-4"/>
          <w:w w:val="110"/>
        </w:rPr>
        <w:t xml:space="preserve">Finally, </w:t>
      </w:r>
      <w:r>
        <w:rPr>
          <w:color w:val="333333"/>
          <w:w w:val="110"/>
        </w:rPr>
        <w:t xml:space="preserve">if you opt out of the Spring Boot default MVC configuration </w:t>
      </w:r>
      <w:r>
        <w:rPr>
          <w:color w:val="333333"/>
          <w:spacing w:val="-3"/>
          <w:w w:val="110"/>
        </w:rPr>
        <w:t xml:space="preserve">by </w:t>
      </w:r>
      <w:r>
        <w:rPr>
          <w:color w:val="333333"/>
          <w:w w:val="110"/>
        </w:rPr>
        <w:t xml:space="preserve">providing your own </w:t>
      </w:r>
      <w:r>
        <w:rPr>
          <w:rFonts w:ascii="MS Gothic"/>
          <w:color w:val="B02045"/>
          <w:w w:val="110"/>
        </w:rPr>
        <w:t xml:space="preserve">@EnableWebMvc </w:t>
      </w:r>
      <w:r>
        <w:rPr>
          <w:color w:val="333333"/>
          <w:w w:val="110"/>
        </w:rPr>
        <w:t xml:space="preserve">configuration, you can take control completely and do everything manually </w:t>
      </w:r>
      <w:r>
        <w:rPr>
          <w:color w:val="333333"/>
          <w:spacing w:val="-3"/>
          <w:w w:val="110"/>
        </w:rPr>
        <w:t xml:space="preserve">by </w:t>
      </w:r>
      <w:r>
        <w:rPr>
          <w:color w:val="333333"/>
          <w:w w:val="110"/>
        </w:rPr>
        <w:t xml:space="preserve">using </w:t>
      </w:r>
      <w:r>
        <w:rPr>
          <w:rFonts w:ascii="MS Gothic"/>
          <w:color w:val="B02045"/>
          <w:w w:val="110"/>
        </w:rPr>
        <w:t>getMessageConverters</w:t>
      </w:r>
      <w:r>
        <w:rPr>
          <w:rFonts w:ascii="MS Gothic"/>
          <w:color w:val="B02045"/>
          <w:spacing w:val="-80"/>
          <w:w w:val="110"/>
        </w:rPr>
        <w:t xml:space="preserve"> </w:t>
      </w:r>
      <w:r>
        <w:rPr>
          <w:color w:val="333333"/>
          <w:w w:val="110"/>
        </w:rPr>
        <w:t xml:space="preserve">from </w:t>
      </w:r>
      <w:r>
        <w:rPr>
          <w:rFonts w:ascii="MS Gothic"/>
          <w:color w:val="B02045"/>
          <w:w w:val="110"/>
        </w:rPr>
        <w:t>WebMvcConfigurationSupport</w:t>
      </w:r>
      <w:r>
        <w:rPr>
          <w:color w:val="333333"/>
          <w:w w:val="110"/>
        </w:rPr>
        <w:t>.</w:t>
      </w:r>
    </w:p>
    <w:p w14:paraId="3E772AB2" w14:textId="77777777" w:rsidR="00A720EB" w:rsidRDefault="0030286B">
      <w:pPr>
        <w:pStyle w:val="a3"/>
        <w:spacing w:before="220"/>
        <w:ind w:left="124"/>
        <w:jc w:val="both"/>
      </w:pPr>
      <w:r>
        <w:rPr>
          <w:color w:val="333333"/>
          <w:w w:val="110"/>
        </w:rPr>
        <w:t xml:space="preserve">See the </w:t>
      </w:r>
      <w:hyperlink r:id="rId607">
        <w:r>
          <w:rPr>
            <w:rFonts w:ascii="MS Gothic"/>
            <w:color w:val="B02045"/>
            <w:w w:val="110"/>
          </w:rPr>
          <w:t>WebMvcAutoConfiguration</w:t>
        </w:r>
        <w:r>
          <w:rPr>
            <w:rFonts w:ascii="MS Gothic"/>
            <w:color w:val="B02045"/>
            <w:spacing w:val="-64"/>
            <w:w w:val="110"/>
          </w:rPr>
          <w:t xml:space="preserve"> </w:t>
        </w:r>
      </w:hyperlink>
      <w:r>
        <w:rPr>
          <w:color w:val="333333"/>
          <w:w w:val="110"/>
        </w:rPr>
        <w:t>source code for more details.</w:t>
      </w:r>
    </w:p>
    <w:p w14:paraId="7CADD3AA" w14:textId="77777777" w:rsidR="00A720EB" w:rsidRDefault="00A720EB">
      <w:pPr>
        <w:pStyle w:val="a3"/>
        <w:spacing w:before="6"/>
        <w:rPr>
          <w:sz w:val="30"/>
        </w:rPr>
      </w:pPr>
    </w:p>
    <w:p w14:paraId="339E1B44" w14:textId="77777777" w:rsidR="00A720EB" w:rsidRDefault="0030286B">
      <w:pPr>
        <w:pStyle w:val="3"/>
        <w:numPr>
          <w:ilvl w:val="2"/>
          <w:numId w:val="13"/>
        </w:numPr>
        <w:tabs>
          <w:tab w:val="left" w:pos="858"/>
        </w:tabs>
        <w:ind w:hanging="734"/>
      </w:pPr>
      <w:bookmarkStart w:id="863" w:name="9.4.5._Handling_Multipart_File_Uploads"/>
      <w:bookmarkStart w:id="864" w:name="_Toc54423953"/>
      <w:bookmarkEnd w:id="863"/>
      <w:r>
        <w:rPr>
          <w:color w:val="333333"/>
          <w:w w:val="110"/>
        </w:rPr>
        <w:t>Handling Multipart File</w:t>
      </w:r>
      <w:r>
        <w:rPr>
          <w:color w:val="333333"/>
          <w:spacing w:val="-19"/>
          <w:w w:val="110"/>
        </w:rPr>
        <w:t xml:space="preserve"> </w:t>
      </w:r>
      <w:r>
        <w:rPr>
          <w:color w:val="333333"/>
          <w:w w:val="110"/>
        </w:rPr>
        <w:t>Uploads</w:t>
      </w:r>
      <w:bookmarkEnd w:id="864"/>
    </w:p>
    <w:p w14:paraId="5388D8F1" w14:textId="77777777" w:rsidR="00A720EB" w:rsidRDefault="0030286B">
      <w:pPr>
        <w:pStyle w:val="a3"/>
        <w:spacing w:before="243" w:line="292" w:lineRule="auto"/>
        <w:ind w:left="124" w:right="123"/>
        <w:jc w:val="both"/>
      </w:pPr>
      <w:r>
        <w:rPr>
          <w:color w:val="333333"/>
          <w:w w:val="110"/>
        </w:rPr>
        <w:t xml:space="preserve">Spring Boot embraces the Servlet 3 </w:t>
      </w:r>
      <w:proofErr w:type="gramStart"/>
      <w:r>
        <w:rPr>
          <w:rFonts w:ascii="MS Gothic"/>
          <w:color w:val="B02045"/>
          <w:w w:val="110"/>
        </w:rPr>
        <w:t>javax.servlet</w:t>
      </w:r>
      <w:proofErr w:type="gramEnd"/>
      <w:r>
        <w:rPr>
          <w:rFonts w:ascii="MS Gothic"/>
          <w:color w:val="B02045"/>
          <w:w w:val="110"/>
        </w:rPr>
        <w:t xml:space="preserve">.http.Part </w:t>
      </w:r>
      <w:r>
        <w:rPr>
          <w:color w:val="333333"/>
          <w:w w:val="110"/>
        </w:rPr>
        <w:t xml:space="preserve">API to support uploading files. </w:t>
      </w:r>
      <w:r>
        <w:rPr>
          <w:color w:val="333333"/>
          <w:spacing w:val="-3"/>
          <w:w w:val="110"/>
        </w:rPr>
        <w:t xml:space="preserve">By </w:t>
      </w:r>
      <w:r>
        <w:rPr>
          <w:color w:val="333333"/>
          <w:w w:val="110"/>
        </w:rPr>
        <w:t xml:space="preserve">default, Spring Boot configures Spring MVC with a maximum </w:t>
      </w:r>
      <w:proofErr w:type="gramStart"/>
      <w:r>
        <w:rPr>
          <w:color w:val="333333"/>
          <w:w w:val="110"/>
        </w:rPr>
        <w:t>size  of</w:t>
      </w:r>
      <w:proofErr w:type="gramEnd"/>
      <w:r>
        <w:rPr>
          <w:color w:val="333333"/>
          <w:w w:val="110"/>
        </w:rPr>
        <w:t xml:space="preserve">  1MB  per file  and a maximum  of 10MB of file data in a single request. </w:t>
      </w:r>
      <w:r>
        <w:rPr>
          <w:color w:val="333333"/>
          <w:spacing w:val="-6"/>
          <w:w w:val="110"/>
        </w:rPr>
        <w:t xml:space="preserve">You </w:t>
      </w:r>
      <w:r>
        <w:rPr>
          <w:color w:val="333333"/>
          <w:w w:val="110"/>
        </w:rPr>
        <w:t xml:space="preserve">may override these values, the location to which intermediate data is stored (for example, to the </w:t>
      </w:r>
      <w:r>
        <w:rPr>
          <w:rFonts w:ascii="MS Gothic"/>
          <w:color w:val="B02045"/>
          <w:w w:val="110"/>
        </w:rPr>
        <w:t xml:space="preserve">/tmp </w:t>
      </w:r>
      <w:r>
        <w:rPr>
          <w:color w:val="333333"/>
          <w:w w:val="110"/>
        </w:rPr>
        <w:t>directory), and the threshold past which data is flushed</w:t>
      </w:r>
      <w:r>
        <w:rPr>
          <w:color w:val="333333"/>
          <w:spacing w:val="-4"/>
          <w:w w:val="110"/>
        </w:rPr>
        <w:t xml:space="preserve"> </w:t>
      </w:r>
      <w:r>
        <w:rPr>
          <w:color w:val="333333"/>
          <w:w w:val="110"/>
        </w:rPr>
        <w:t>to</w:t>
      </w:r>
      <w:r>
        <w:rPr>
          <w:color w:val="333333"/>
          <w:spacing w:val="-4"/>
          <w:w w:val="110"/>
        </w:rPr>
        <w:t xml:space="preserve"> </w:t>
      </w:r>
      <w:r>
        <w:rPr>
          <w:color w:val="333333"/>
          <w:w w:val="110"/>
        </w:rPr>
        <w:t>disk</w:t>
      </w:r>
      <w:r>
        <w:rPr>
          <w:color w:val="333333"/>
          <w:spacing w:val="-4"/>
          <w:w w:val="110"/>
        </w:rPr>
        <w:t xml:space="preserve"> </w:t>
      </w:r>
      <w:r>
        <w:rPr>
          <w:color w:val="333333"/>
          <w:spacing w:val="-3"/>
          <w:w w:val="110"/>
        </w:rPr>
        <w:t>by</w:t>
      </w:r>
      <w:r>
        <w:rPr>
          <w:color w:val="333333"/>
          <w:spacing w:val="-4"/>
          <w:w w:val="110"/>
        </w:rPr>
        <w:t xml:space="preserve"> </w:t>
      </w:r>
      <w:r>
        <w:rPr>
          <w:color w:val="333333"/>
          <w:w w:val="110"/>
        </w:rPr>
        <w:t>using</w:t>
      </w:r>
      <w:r>
        <w:rPr>
          <w:color w:val="333333"/>
          <w:spacing w:val="-4"/>
          <w:w w:val="110"/>
        </w:rPr>
        <w:t xml:space="preserve"> </w:t>
      </w:r>
      <w:r>
        <w:rPr>
          <w:color w:val="333333"/>
          <w:w w:val="110"/>
        </w:rPr>
        <w:t>the</w:t>
      </w:r>
      <w:r>
        <w:rPr>
          <w:color w:val="333333"/>
          <w:spacing w:val="-4"/>
          <w:w w:val="110"/>
        </w:rPr>
        <w:t xml:space="preserve"> </w:t>
      </w:r>
      <w:r>
        <w:rPr>
          <w:color w:val="333333"/>
          <w:w w:val="110"/>
        </w:rPr>
        <w:t>properties</w:t>
      </w:r>
      <w:r>
        <w:rPr>
          <w:color w:val="333333"/>
          <w:spacing w:val="-4"/>
          <w:w w:val="110"/>
        </w:rPr>
        <w:t xml:space="preserve"> </w:t>
      </w:r>
      <w:r>
        <w:rPr>
          <w:color w:val="333333"/>
          <w:w w:val="110"/>
        </w:rPr>
        <w:t>exposed</w:t>
      </w:r>
      <w:r>
        <w:rPr>
          <w:color w:val="333333"/>
          <w:spacing w:val="-4"/>
          <w:w w:val="110"/>
        </w:rPr>
        <w:t xml:space="preserve"> </w:t>
      </w:r>
      <w:r>
        <w:rPr>
          <w:color w:val="333333"/>
          <w:w w:val="110"/>
        </w:rPr>
        <w:t>in</w:t>
      </w:r>
      <w:r>
        <w:rPr>
          <w:color w:val="333333"/>
          <w:spacing w:val="-4"/>
          <w:w w:val="110"/>
        </w:rPr>
        <w:t xml:space="preserve"> </w:t>
      </w:r>
      <w:r>
        <w:rPr>
          <w:color w:val="333333"/>
          <w:w w:val="110"/>
        </w:rPr>
        <w:t>the</w:t>
      </w:r>
      <w:r>
        <w:rPr>
          <w:color w:val="333333"/>
          <w:spacing w:val="1"/>
          <w:w w:val="110"/>
        </w:rPr>
        <w:t xml:space="preserve"> </w:t>
      </w:r>
      <w:r>
        <w:rPr>
          <w:rFonts w:ascii="MS Gothic"/>
          <w:color w:val="B02045"/>
          <w:w w:val="110"/>
        </w:rPr>
        <w:t>MultipartProperties</w:t>
      </w:r>
      <w:r>
        <w:rPr>
          <w:rFonts w:ascii="MS Gothic"/>
          <w:color w:val="B02045"/>
          <w:spacing w:val="-68"/>
          <w:w w:val="110"/>
        </w:rPr>
        <w:t xml:space="preserve"> </w:t>
      </w:r>
      <w:r>
        <w:rPr>
          <w:color w:val="333333"/>
          <w:w w:val="110"/>
        </w:rPr>
        <w:t>class.</w:t>
      </w:r>
      <w:r>
        <w:rPr>
          <w:color w:val="333333"/>
          <w:spacing w:val="-4"/>
          <w:w w:val="110"/>
        </w:rPr>
        <w:t xml:space="preserve"> For </w:t>
      </w:r>
      <w:r>
        <w:rPr>
          <w:color w:val="333333"/>
          <w:w w:val="110"/>
        </w:rPr>
        <w:t>example,</w:t>
      </w:r>
      <w:r>
        <w:rPr>
          <w:color w:val="333333"/>
          <w:spacing w:val="-4"/>
          <w:w w:val="110"/>
        </w:rPr>
        <w:t xml:space="preserve"> </w:t>
      </w:r>
      <w:r>
        <w:rPr>
          <w:color w:val="333333"/>
          <w:w w:val="110"/>
        </w:rPr>
        <w:t>if</w:t>
      </w:r>
      <w:r>
        <w:rPr>
          <w:color w:val="333333"/>
          <w:spacing w:val="-4"/>
          <w:w w:val="110"/>
        </w:rPr>
        <w:t xml:space="preserve"> </w:t>
      </w:r>
      <w:r>
        <w:rPr>
          <w:color w:val="333333"/>
          <w:w w:val="110"/>
        </w:rPr>
        <w:t>you want</w:t>
      </w:r>
      <w:r>
        <w:rPr>
          <w:color w:val="333333"/>
          <w:spacing w:val="-12"/>
          <w:w w:val="110"/>
        </w:rPr>
        <w:t xml:space="preserve"> </w:t>
      </w:r>
      <w:r>
        <w:rPr>
          <w:color w:val="333333"/>
          <w:w w:val="110"/>
        </w:rPr>
        <w:t>to</w:t>
      </w:r>
      <w:r>
        <w:rPr>
          <w:color w:val="333333"/>
          <w:spacing w:val="-11"/>
          <w:w w:val="110"/>
        </w:rPr>
        <w:t xml:space="preserve"> </w:t>
      </w:r>
      <w:r>
        <w:rPr>
          <w:color w:val="333333"/>
          <w:w w:val="110"/>
        </w:rPr>
        <w:t>specify</w:t>
      </w:r>
      <w:r>
        <w:rPr>
          <w:color w:val="333333"/>
          <w:spacing w:val="-11"/>
          <w:w w:val="110"/>
        </w:rPr>
        <w:t xml:space="preserve"> </w:t>
      </w:r>
      <w:r>
        <w:rPr>
          <w:color w:val="333333"/>
          <w:w w:val="110"/>
        </w:rPr>
        <w:t>that</w:t>
      </w:r>
      <w:r>
        <w:rPr>
          <w:color w:val="333333"/>
          <w:spacing w:val="-11"/>
          <w:w w:val="110"/>
        </w:rPr>
        <w:t xml:space="preserve"> </w:t>
      </w:r>
      <w:r>
        <w:rPr>
          <w:color w:val="333333"/>
          <w:w w:val="110"/>
        </w:rPr>
        <w:t>files</w:t>
      </w:r>
      <w:r>
        <w:rPr>
          <w:color w:val="333333"/>
          <w:spacing w:val="-11"/>
          <w:w w:val="110"/>
        </w:rPr>
        <w:t xml:space="preserve"> </w:t>
      </w:r>
      <w:r>
        <w:rPr>
          <w:color w:val="333333"/>
          <w:w w:val="110"/>
        </w:rPr>
        <w:t>be</w:t>
      </w:r>
      <w:r>
        <w:rPr>
          <w:color w:val="333333"/>
          <w:spacing w:val="-11"/>
          <w:w w:val="110"/>
        </w:rPr>
        <w:t xml:space="preserve"> </w:t>
      </w:r>
      <w:r>
        <w:rPr>
          <w:color w:val="333333"/>
          <w:w w:val="110"/>
        </w:rPr>
        <w:t>unlimited,</w:t>
      </w:r>
      <w:r>
        <w:rPr>
          <w:color w:val="333333"/>
          <w:spacing w:val="-11"/>
          <w:w w:val="110"/>
        </w:rPr>
        <w:t xml:space="preserve"> </w:t>
      </w:r>
      <w:r>
        <w:rPr>
          <w:color w:val="333333"/>
          <w:w w:val="110"/>
        </w:rPr>
        <w:t>set</w:t>
      </w:r>
      <w:r>
        <w:rPr>
          <w:color w:val="333333"/>
          <w:spacing w:val="-11"/>
          <w:w w:val="110"/>
        </w:rPr>
        <w:t xml:space="preserve"> </w:t>
      </w:r>
      <w:r>
        <w:rPr>
          <w:color w:val="333333"/>
          <w:w w:val="110"/>
        </w:rPr>
        <w:t>the</w:t>
      </w:r>
      <w:r>
        <w:rPr>
          <w:color w:val="333333"/>
          <w:spacing w:val="-10"/>
          <w:w w:val="110"/>
        </w:rPr>
        <w:t xml:space="preserve"> </w:t>
      </w:r>
      <w:r>
        <w:rPr>
          <w:rFonts w:ascii="MS Gothic"/>
          <w:color w:val="B02045"/>
          <w:w w:val="110"/>
        </w:rPr>
        <w:t>spring.servlet.multipart.max-file-size</w:t>
      </w:r>
      <w:r>
        <w:rPr>
          <w:rFonts w:ascii="MS Gothic"/>
          <w:color w:val="B02045"/>
          <w:spacing w:val="-75"/>
          <w:w w:val="110"/>
        </w:rPr>
        <w:t xml:space="preserve"> </w:t>
      </w:r>
      <w:r>
        <w:rPr>
          <w:color w:val="333333"/>
          <w:w w:val="110"/>
        </w:rPr>
        <w:t>property</w:t>
      </w:r>
      <w:r>
        <w:rPr>
          <w:color w:val="333333"/>
          <w:spacing w:val="-11"/>
          <w:w w:val="110"/>
        </w:rPr>
        <w:t xml:space="preserve"> </w:t>
      </w:r>
      <w:r>
        <w:rPr>
          <w:color w:val="333333"/>
          <w:w w:val="110"/>
        </w:rPr>
        <w:t>to</w:t>
      </w:r>
    </w:p>
    <w:p w14:paraId="43F77C34" w14:textId="77777777" w:rsidR="00A720EB" w:rsidRDefault="0030286B">
      <w:pPr>
        <w:pStyle w:val="a3"/>
        <w:spacing w:line="249" w:lineRule="exact"/>
        <w:ind w:left="124"/>
      </w:pPr>
      <w:r>
        <w:rPr>
          <w:rFonts w:ascii="MS Gothic"/>
          <w:color w:val="B02045"/>
          <w:w w:val="105"/>
        </w:rPr>
        <w:t>-1</w:t>
      </w:r>
      <w:r>
        <w:rPr>
          <w:color w:val="333333"/>
          <w:w w:val="105"/>
        </w:rPr>
        <w:t>.</w:t>
      </w:r>
    </w:p>
    <w:p w14:paraId="0864AAE4" w14:textId="77777777" w:rsidR="00A720EB" w:rsidRDefault="00A720EB">
      <w:pPr>
        <w:pStyle w:val="a3"/>
        <w:spacing w:before="4"/>
        <w:rPr>
          <w:sz w:val="25"/>
        </w:rPr>
      </w:pPr>
    </w:p>
    <w:p w14:paraId="18FC91B2" w14:textId="77777777" w:rsidR="00A720EB" w:rsidRDefault="0030286B">
      <w:pPr>
        <w:pStyle w:val="a3"/>
        <w:spacing w:line="295" w:lineRule="auto"/>
        <w:ind w:left="124" w:right="126"/>
        <w:jc w:val="both"/>
      </w:pPr>
      <w:r>
        <w:rPr>
          <w:color w:val="333333"/>
          <w:w w:val="110"/>
        </w:rPr>
        <w:t xml:space="preserve">The multipart support is helpful when you want to receive multipart encoded file data as a </w:t>
      </w:r>
      <w:r>
        <w:rPr>
          <w:rFonts w:ascii="MS Gothic"/>
          <w:color w:val="B02045"/>
          <w:w w:val="110"/>
        </w:rPr>
        <w:t>@RequestParam</w:t>
      </w:r>
      <w:r>
        <w:rPr>
          <w:color w:val="333333"/>
          <w:w w:val="110"/>
        </w:rPr>
        <w:t xml:space="preserve">-annotated parameter of type </w:t>
      </w:r>
      <w:r>
        <w:rPr>
          <w:rFonts w:ascii="MS Gothic"/>
          <w:color w:val="B02045"/>
          <w:w w:val="110"/>
        </w:rPr>
        <w:t xml:space="preserve">MultipartFile </w:t>
      </w:r>
      <w:r>
        <w:rPr>
          <w:color w:val="333333"/>
          <w:w w:val="110"/>
        </w:rPr>
        <w:t>in a Spring MVC controller handler method.</w:t>
      </w:r>
    </w:p>
    <w:p w14:paraId="2C6E1B3A" w14:textId="77777777" w:rsidR="00A720EB" w:rsidRDefault="0030286B">
      <w:pPr>
        <w:pStyle w:val="a3"/>
        <w:spacing w:before="240"/>
        <w:ind w:left="124"/>
        <w:jc w:val="both"/>
      </w:pPr>
      <w:r>
        <w:rPr>
          <w:color w:val="333333"/>
          <w:w w:val="110"/>
        </w:rPr>
        <w:t xml:space="preserve">See the </w:t>
      </w:r>
      <w:hyperlink r:id="rId608">
        <w:r>
          <w:rPr>
            <w:rFonts w:ascii="MS Gothic"/>
            <w:color w:val="B02045"/>
            <w:w w:val="110"/>
          </w:rPr>
          <w:t>MultipartAutoConfiguration</w:t>
        </w:r>
        <w:r>
          <w:rPr>
            <w:rFonts w:ascii="MS Gothic"/>
            <w:color w:val="B02045"/>
            <w:spacing w:val="-66"/>
            <w:w w:val="110"/>
          </w:rPr>
          <w:t xml:space="preserve"> </w:t>
        </w:r>
      </w:hyperlink>
      <w:r>
        <w:rPr>
          <w:color w:val="333333"/>
          <w:w w:val="110"/>
        </w:rPr>
        <w:t>source for more details.</w:t>
      </w:r>
    </w:p>
    <w:p w14:paraId="17175771" w14:textId="77777777" w:rsidR="00A720EB" w:rsidRDefault="00A720EB">
      <w:pPr>
        <w:pStyle w:val="a3"/>
        <w:spacing w:before="6"/>
      </w:pPr>
    </w:p>
    <w:p w14:paraId="75823595" w14:textId="77777777" w:rsidR="00A720EB" w:rsidRDefault="00E10349">
      <w:pPr>
        <w:pStyle w:val="a3"/>
        <w:spacing w:before="125" w:line="307" w:lineRule="auto"/>
        <w:ind w:left="1564" w:right="368"/>
        <w:jc w:val="both"/>
      </w:pPr>
      <w:r>
        <w:pict w14:anchorId="5990A052">
          <v:line id="_x0000_s1484" style="position:absolute;left:0;text-align:left;z-index:16369152;mso-position-horizontal-relative:page" from="108.25pt,.25pt" to="108.25pt,55.6pt" strokecolor="#ededed" strokeweight=".5pt">
            <w10:wrap anchorx="page"/>
          </v:line>
        </w:pict>
      </w:r>
      <w:r w:rsidR="0030286B">
        <w:rPr>
          <w:noProof/>
        </w:rPr>
        <w:drawing>
          <wp:anchor distT="0" distB="0" distL="0" distR="0" simplePos="0" relativeHeight="16369664" behindDoc="0" locked="0" layoutInCell="1" allowOverlap="1" wp14:anchorId="1C634F52" wp14:editId="28E6B4FD">
            <wp:simplePos x="0" y="0"/>
            <wp:positionH relativeFrom="page">
              <wp:posOffset>844422</wp:posOffset>
            </wp:positionH>
            <wp:positionV relativeFrom="paragraph">
              <wp:posOffset>205524</wp:posOffset>
            </wp:positionV>
            <wp:extent cx="298450" cy="298450"/>
            <wp:effectExtent l="0" t="0" r="0" b="0"/>
            <wp:wrapNone/>
            <wp:docPr id="7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It is recommended to use the container’s built-in support for multipart uploads rather than introducing an additional dependency such as Apache Commons </w:t>
      </w:r>
      <w:proofErr w:type="gramStart"/>
      <w:r w:rsidR="0030286B">
        <w:rPr>
          <w:color w:val="333333"/>
          <w:w w:val="110"/>
        </w:rPr>
        <w:t>File  Upload</w:t>
      </w:r>
      <w:proofErr w:type="gramEnd"/>
      <w:r w:rsidR="0030286B">
        <w:rPr>
          <w:color w:val="333333"/>
          <w:w w:val="110"/>
        </w:rPr>
        <w:t>.</w:t>
      </w:r>
    </w:p>
    <w:p w14:paraId="1F4E836D" w14:textId="77777777" w:rsidR="00A720EB" w:rsidRDefault="00A720EB">
      <w:pPr>
        <w:pStyle w:val="a3"/>
        <w:spacing w:before="7"/>
        <w:rPr>
          <w:sz w:val="23"/>
        </w:rPr>
      </w:pPr>
    </w:p>
    <w:p w14:paraId="2214AE76" w14:textId="77777777" w:rsidR="00A720EB" w:rsidRDefault="0030286B">
      <w:pPr>
        <w:pStyle w:val="3"/>
        <w:numPr>
          <w:ilvl w:val="2"/>
          <w:numId w:val="13"/>
        </w:numPr>
        <w:tabs>
          <w:tab w:val="left" w:pos="858"/>
        </w:tabs>
        <w:spacing w:before="106"/>
        <w:ind w:hanging="734"/>
      </w:pPr>
      <w:bookmarkStart w:id="865" w:name="9.4.6._Switch_Off_the_Spring_MVC_Dispatc"/>
      <w:bookmarkStart w:id="866" w:name="_Toc54423954"/>
      <w:bookmarkEnd w:id="865"/>
      <w:r>
        <w:rPr>
          <w:color w:val="333333"/>
          <w:w w:val="105"/>
        </w:rPr>
        <w:t xml:space="preserve">Switch Off the Spring </w:t>
      </w:r>
      <w:r>
        <w:rPr>
          <w:color w:val="333333"/>
          <w:spacing w:val="-3"/>
          <w:w w:val="105"/>
        </w:rPr>
        <w:t>MVC</w:t>
      </w:r>
      <w:r>
        <w:rPr>
          <w:color w:val="333333"/>
          <w:spacing w:val="-5"/>
          <w:w w:val="105"/>
        </w:rPr>
        <w:t xml:space="preserve"> </w:t>
      </w:r>
      <w:r>
        <w:rPr>
          <w:color w:val="333333"/>
          <w:w w:val="105"/>
        </w:rPr>
        <w:t>DispatcherServlet</w:t>
      </w:r>
      <w:bookmarkEnd w:id="866"/>
    </w:p>
    <w:p w14:paraId="0E75B1BF" w14:textId="77777777" w:rsidR="00A720EB" w:rsidRDefault="0030286B">
      <w:pPr>
        <w:pStyle w:val="a3"/>
        <w:spacing w:before="243" w:line="290" w:lineRule="auto"/>
        <w:ind w:left="124"/>
      </w:pPr>
      <w:r>
        <w:rPr>
          <w:color w:val="333333"/>
          <w:w w:val="110"/>
        </w:rPr>
        <w:t>By default, all content is served from the root of your application (</w:t>
      </w:r>
      <w:r>
        <w:rPr>
          <w:rFonts w:ascii="MS Gothic"/>
          <w:color w:val="B02045"/>
          <w:w w:val="110"/>
        </w:rPr>
        <w:t>/</w:t>
      </w:r>
      <w:r>
        <w:rPr>
          <w:color w:val="333333"/>
          <w:w w:val="110"/>
        </w:rPr>
        <w:t>). If you would rather map to a different path, you can configure one as follows:</w:t>
      </w:r>
    </w:p>
    <w:p w14:paraId="5430ADCC" w14:textId="77777777" w:rsidR="00A720EB" w:rsidRDefault="00E10349">
      <w:pPr>
        <w:pStyle w:val="a3"/>
        <w:spacing w:before="7"/>
        <w:rPr>
          <w:sz w:val="14"/>
        </w:rPr>
      </w:pPr>
      <w:r>
        <w:pict w14:anchorId="35BA0A3A">
          <v:group id="_x0000_s1480" style="position:absolute;margin-left:47.85pt;margin-top:10.55pt;width:499.55pt;height:37.5pt;z-index:-15088640;mso-wrap-distance-left:0;mso-wrap-distance-right:0;mso-position-horizontal-relative:page" coordorigin="957,211" coordsize="9991,750">
            <v:shape id="_x0000_s1483" style="position:absolute;left:964;top:218;width:9976;height:735" coordorigin="965,219" coordsize="9976,735" path="m10861,219r-9816,l1014,225r-26,17l971,268r-6,31l965,873r6,32l988,930r26,17l1045,953r9816,l10892,947r25,-17l10935,905r6,-32l10941,299r-6,-31l10917,242r-25,-17l10861,219xe" fillcolor="#f5f5f5" stroked="f">
              <v:path arrowok="t"/>
            </v:shape>
            <v:shape id="_x0000_s1482" style="position:absolute;left:964;top:218;width:9976;height:735" coordorigin="965,219" coordsize="9976,735" path="m1045,219r9816,l10892,225r25,17l10935,268r6,31l10941,873r-6,32l10917,930r-25,17l10861,953r-9816,l1014,947,988,930,971,905r-6,-32l965,299r6,-31l988,242r26,-17l1045,219xe" filled="f" strokecolor="#ccc">
              <v:path arrowok="t"/>
            </v:shape>
            <v:shape id="_x0000_s1481" type="#_x0000_t202" style="position:absolute;left:984;top:234;width:9938;height:704" filled="f" stroked="f">
              <v:textbox inset="0,0,0,0">
                <w:txbxContent>
                  <w:p w14:paraId="5C36341A" w14:textId="77777777" w:rsidR="00711A16" w:rsidRDefault="00711A16">
                    <w:pPr>
                      <w:spacing w:before="221"/>
                      <w:ind w:left="200"/>
                      <w:rPr>
                        <w:rFonts w:ascii="MS Gothic"/>
                      </w:rPr>
                    </w:pPr>
                    <w:proofErr w:type="gramStart"/>
                    <w:r>
                      <w:rPr>
                        <w:rFonts w:ascii="MS Gothic"/>
                        <w:color w:val="333333"/>
                      </w:rPr>
                      <w:t>spring.mvc.servlet</w:t>
                    </w:r>
                    <w:proofErr w:type="gramEnd"/>
                    <w:r>
                      <w:rPr>
                        <w:rFonts w:ascii="MS Gothic"/>
                        <w:color w:val="333333"/>
                      </w:rPr>
                      <w:t>.path=/acme</w:t>
                    </w:r>
                  </w:p>
                </w:txbxContent>
              </v:textbox>
            </v:shape>
            <w10:wrap type="topAndBottom" anchorx="page"/>
          </v:group>
        </w:pict>
      </w:r>
    </w:p>
    <w:p w14:paraId="6A885AE6" w14:textId="77777777" w:rsidR="00A720EB" w:rsidRDefault="00A720EB">
      <w:pPr>
        <w:pStyle w:val="a3"/>
        <w:spacing w:before="11"/>
        <w:rPr>
          <w:sz w:val="9"/>
        </w:rPr>
      </w:pPr>
    </w:p>
    <w:p w14:paraId="0C142A0F" w14:textId="77777777" w:rsidR="00A720EB" w:rsidRDefault="0030286B">
      <w:pPr>
        <w:pStyle w:val="a3"/>
        <w:spacing w:before="115" w:line="292" w:lineRule="auto"/>
        <w:ind w:left="124" w:right="122"/>
        <w:jc w:val="both"/>
      </w:pPr>
      <w:r>
        <w:rPr>
          <w:color w:val="333333"/>
          <w:w w:val="110"/>
        </w:rPr>
        <w:t xml:space="preserve">If you have additional servlets you can declare a </w:t>
      </w:r>
      <w:r>
        <w:rPr>
          <w:rFonts w:ascii="MS Gothic"/>
          <w:color w:val="B02045"/>
          <w:w w:val="110"/>
        </w:rPr>
        <w:t xml:space="preserve">@Bean </w:t>
      </w:r>
      <w:r>
        <w:rPr>
          <w:color w:val="333333"/>
          <w:w w:val="110"/>
        </w:rPr>
        <w:t xml:space="preserve">of type </w:t>
      </w:r>
      <w:r>
        <w:rPr>
          <w:rFonts w:ascii="MS Gothic"/>
          <w:color w:val="B02045"/>
          <w:w w:val="110"/>
        </w:rPr>
        <w:t>Servlet</w:t>
      </w:r>
      <w:r>
        <w:rPr>
          <w:rFonts w:ascii="MS Gothic"/>
          <w:color w:val="B02045"/>
          <w:spacing w:val="-87"/>
          <w:w w:val="110"/>
        </w:rPr>
        <w:t xml:space="preserve"> </w:t>
      </w:r>
      <w:r>
        <w:rPr>
          <w:color w:val="333333"/>
          <w:w w:val="110"/>
        </w:rPr>
        <w:t xml:space="preserve">or </w:t>
      </w:r>
      <w:r>
        <w:rPr>
          <w:rFonts w:ascii="MS Gothic"/>
          <w:color w:val="B02045"/>
          <w:w w:val="110"/>
        </w:rPr>
        <w:t xml:space="preserve">ServletRegistrationBean </w:t>
      </w:r>
      <w:r>
        <w:rPr>
          <w:color w:val="333333"/>
          <w:w w:val="110"/>
        </w:rPr>
        <w:t xml:space="preserve">for each and Spring Boot will register them transparently to the container. Because servlets are registered that </w:t>
      </w:r>
      <w:r>
        <w:rPr>
          <w:color w:val="333333"/>
          <w:spacing w:val="-7"/>
          <w:w w:val="110"/>
        </w:rPr>
        <w:t xml:space="preserve">way, </w:t>
      </w:r>
      <w:r>
        <w:rPr>
          <w:color w:val="333333"/>
          <w:w w:val="110"/>
        </w:rPr>
        <w:t xml:space="preserve">they can be mapped to a sub-context of the </w:t>
      </w:r>
      <w:r>
        <w:rPr>
          <w:rFonts w:ascii="MS Gothic"/>
          <w:color w:val="B02045"/>
          <w:w w:val="110"/>
        </w:rPr>
        <w:t>DispatcherServlet</w:t>
      </w:r>
      <w:r>
        <w:rPr>
          <w:rFonts w:ascii="MS Gothic"/>
          <w:color w:val="B02045"/>
          <w:spacing w:val="-84"/>
          <w:w w:val="110"/>
        </w:rPr>
        <w:t xml:space="preserve"> </w:t>
      </w:r>
      <w:r>
        <w:rPr>
          <w:color w:val="333333"/>
          <w:w w:val="110"/>
        </w:rPr>
        <w:t>without invoking it.</w:t>
      </w:r>
    </w:p>
    <w:p w14:paraId="7C9E48A1" w14:textId="77777777" w:rsidR="00A720EB" w:rsidRDefault="0030286B">
      <w:pPr>
        <w:pStyle w:val="a3"/>
        <w:spacing w:before="246" w:line="280" w:lineRule="auto"/>
        <w:ind w:left="124" w:right="122"/>
        <w:jc w:val="both"/>
      </w:pPr>
      <w:r>
        <w:rPr>
          <w:color w:val="333333"/>
          <w:w w:val="110"/>
        </w:rPr>
        <w:t xml:space="preserve">Configuring the </w:t>
      </w:r>
      <w:r>
        <w:rPr>
          <w:rFonts w:ascii="MS Gothic"/>
          <w:color w:val="B02045"/>
          <w:w w:val="110"/>
        </w:rPr>
        <w:t xml:space="preserve">DispatcherServlet </w:t>
      </w:r>
      <w:r>
        <w:rPr>
          <w:color w:val="333333"/>
          <w:w w:val="110"/>
        </w:rPr>
        <w:t xml:space="preserve">yourself is unusual but if you really need to do it, a </w:t>
      </w:r>
      <w:r>
        <w:rPr>
          <w:rFonts w:ascii="MS Gothic"/>
          <w:color w:val="B02045"/>
          <w:w w:val="110"/>
        </w:rPr>
        <w:t>@Bean</w:t>
      </w:r>
      <w:r>
        <w:rPr>
          <w:rFonts w:ascii="MS Gothic"/>
          <w:color w:val="B02045"/>
          <w:spacing w:val="-88"/>
          <w:w w:val="110"/>
        </w:rPr>
        <w:t xml:space="preserve"> </w:t>
      </w:r>
      <w:r>
        <w:rPr>
          <w:color w:val="333333"/>
          <w:w w:val="110"/>
        </w:rPr>
        <w:t xml:space="preserve">of type </w:t>
      </w:r>
      <w:r>
        <w:rPr>
          <w:rFonts w:ascii="MS Gothic"/>
          <w:color w:val="B02045"/>
          <w:w w:val="110"/>
        </w:rPr>
        <w:t xml:space="preserve">DispatcherServletPath </w:t>
      </w:r>
      <w:r>
        <w:rPr>
          <w:color w:val="333333"/>
          <w:w w:val="110"/>
        </w:rPr>
        <w:t xml:space="preserve">must be provided as well to provide the path of your </w:t>
      </w:r>
      <w:proofErr w:type="gramStart"/>
      <w:r>
        <w:rPr>
          <w:color w:val="333333"/>
          <w:w w:val="110"/>
        </w:rPr>
        <w:t xml:space="preserve">custom  </w:t>
      </w:r>
      <w:r>
        <w:rPr>
          <w:rFonts w:ascii="MS Gothic"/>
          <w:color w:val="B02045"/>
          <w:w w:val="110"/>
        </w:rPr>
        <w:t>DispatcherServlet</w:t>
      </w:r>
      <w:proofErr w:type="gramEnd"/>
      <w:r>
        <w:rPr>
          <w:color w:val="333333"/>
          <w:w w:val="110"/>
        </w:rPr>
        <w:t>.</w:t>
      </w:r>
    </w:p>
    <w:p w14:paraId="5F5537C1" w14:textId="77777777" w:rsidR="00A720EB" w:rsidRDefault="00A720EB">
      <w:pPr>
        <w:pStyle w:val="a3"/>
        <w:spacing w:before="8"/>
        <w:rPr>
          <w:sz w:val="26"/>
        </w:rPr>
      </w:pPr>
    </w:p>
    <w:p w14:paraId="6348DD46" w14:textId="77777777" w:rsidR="00A720EB" w:rsidRDefault="0030286B">
      <w:pPr>
        <w:pStyle w:val="3"/>
        <w:numPr>
          <w:ilvl w:val="2"/>
          <w:numId w:val="13"/>
        </w:numPr>
        <w:tabs>
          <w:tab w:val="left" w:pos="858"/>
        </w:tabs>
        <w:spacing w:before="1"/>
        <w:ind w:hanging="734"/>
      </w:pPr>
      <w:bookmarkStart w:id="867" w:name="9.4.7._Switch_off_the_Default_MVC_Config"/>
      <w:bookmarkStart w:id="868" w:name="_Toc54423955"/>
      <w:bookmarkEnd w:id="867"/>
      <w:r>
        <w:rPr>
          <w:color w:val="333333"/>
          <w:w w:val="110"/>
        </w:rPr>
        <w:t xml:space="preserve">Switch off the Default </w:t>
      </w:r>
      <w:r>
        <w:rPr>
          <w:color w:val="333333"/>
          <w:spacing w:val="-3"/>
          <w:w w:val="110"/>
        </w:rPr>
        <w:t>MVC</w:t>
      </w:r>
      <w:r>
        <w:rPr>
          <w:color w:val="333333"/>
          <w:spacing w:val="-42"/>
          <w:w w:val="110"/>
        </w:rPr>
        <w:t xml:space="preserve"> </w:t>
      </w:r>
      <w:r>
        <w:rPr>
          <w:color w:val="333333"/>
          <w:w w:val="110"/>
        </w:rPr>
        <w:t>Configuration</w:t>
      </w:r>
      <w:bookmarkEnd w:id="868"/>
    </w:p>
    <w:p w14:paraId="7D5DB16D" w14:textId="77777777" w:rsidR="00A720EB" w:rsidRDefault="0030286B">
      <w:pPr>
        <w:pStyle w:val="a3"/>
        <w:spacing w:before="253"/>
        <w:ind w:left="124"/>
        <w:jc w:val="both"/>
      </w:pPr>
      <w:proofErr w:type="gramStart"/>
      <w:r>
        <w:rPr>
          <w:color w:val="333333"/>
          <w:w w:val="110"/>
        </w:rPr>
        <w:t xml:space="preserve">The </w:t>
      </w:r>
      <w:r>
        <w:rPr>
          <w:color w:val="333333"/>
          <w:spacing w:val="36"/>
          <w:w w:val="110"/>
        </w:rPr>
        <w:t xml:space="preserve"> </w:t>
      </w:r>
      <w:r>
        <w:rPr>
          <w:color w:val="333333"/>
          <w:w w:val="110"/>
        </w:rPr>
        <w:t>easiest</w:t>
      </w:r>
      <w:proofErr w:type="gramEnd"/>
      <w:r>
        <w:rPr>
          <w:color w:val="333333"/>
          <w:w w:val="110"/>
        </w:rPr>
        <w:t xml:space="preserve"> </w:t>
      </w:r>
      <w:r>
        <w:rPr>
          <w:color w:val="333333"/>
          <w:spacing w:val="37"/>
          <w:w w:val="110"/>
        </w:rPr>
        <w:t xml:space="preserve"> </w:t>
      </w:r>
      <w:r>
        <w:rPr>
          <w:color w:val="333333"/>
          <w:w w:val="110"/>
        </w:rPr>
        <w:t xml:space="preserve">way </w:t>
      </w:r>
      <w:r>
        <w:rPr>
          <w:color w:val="333333"/>
          <w:spacing w:val="36"/>
          <w:w w:val="110"/>
        </w:rPr>
        <w:t xml:space="preserve"> </w:t>
      </w:r>
      <w:r>
        <w:rPr>
          <w:color w:val="333333"/>
          <w:w w:val="110"/>
        </w:rPr>
        <w:t xml:space="preserve">to </w:t>
      </w:r>
      <w:r>
        <w:rPr>
          <w:color w:val="333333"/>
          <w:spacing w:val="37"/>
          <w:w w:val="110"/>
        </w:rPr>
        <w:t xml:space="preserve"> </w:t>
      </w:r>
      <w:r>
        <w:rPr>
          <w:color w:val="333333"/>
          <w:w w:val="110"/>
        </w:rPr>
        <w:t xml:space="preserve">take </w:t>
      </w:r>
      <w:r>
        <w:rPr>
          <w:color w:val="333333"/>
          <w:spacing w:val="36"/>
          <w:w w:val="110"/>
        </w:rPr>
        <w:t xml:space="preserve"> </w:t>
      </w:r>
      <w:r>
        <w:rPr>
          <w:color w:val="333333"/>
          <w:w w:val="110"/>
        </w:rPr>
        <w:t xml:space="preserve">complete </w:t>
      </w:r>
      <w:r>
        <w:rPr>
          <w:color w:val="333333"/>
          <w:spacing w:val="37"/>
          <w:w w:val="110"/>
        </w:rPr>
        <w:t xml:space="preserve"> </w:t>
      </w:r>
      <w:r>
        <w:rPr>
          <w:color w:val="333333"/>
          <w:w w:val="110"/>
        </w:rPr>
        <w:t xml:space="preserve">control </w:t>
      </w:r>
      <w:r>
        <w:rPr>
          <w:color w:val="333333"/>
          <w:spacing w:val="37"/>
          <w:w w:val="110"/>
        </w:rPr>
        <w:t xml:space="preserve"> </w:t>
      </w:r>
      <w:r>
        <w:rPr>
          <w:color w:val="333333"/>
          <w:w w:val="110"/>
        </w:rPr>
        <w:t xml:space="preserve">over </w:t>
      </w:r>
      <w:r>
        <w:rPr>
          <w:color w:val="333333"/>
          <w:spacing w:val="36"/>
          <w:w w:val="110"/>
        </w:rPr>
        <w:t xml:space="preserve"> </w:t>
      </w:r>
      <w:r>
        <w:rPr>
          <w:color w:val="333333"/>
          <w:w w:val="110"/>
        </w:rPr>
        <w:t xml:space="preserve">MVC </w:t>
      </w:r>
      <w:r>
        <w:rPr>
          <w:color w:val="333333"/>
          <w:spacing w:val="37"/>
          <w:w w:val="110"/>
        </w:rPr>
        <w:t xml:space="preserve"> </w:t>
      </w:r>
      <w:r>
        <w:rPr>
          <w:color w:val="333333"/>
          <w:w w:val="110"/>
        </w:rPr>
        <w:t xml:space="preserve">configuration </w:t>
      </w:r>
      <w:r>
        <w:rPr>
          <w:color w:val="333333"/>
          <w:spacing w:val="36"/>
          <w:w w:val="110"/>
        </w:rPr>
        <w:t xml:space="preserve"> </w:t>
      </w:r>
      <w:r>
        <w:rPr>
          <w:color w:val="333333"/>
          <w:w w:val="110"/>
        </w:rPr>
        <w:t xml:space="preserve">is </w:t>
      </w:r>
      <w:r>
        <w:rPr>
          <w:color w:val="333333"/>
          <w:spacing w:val="37"/>
          <w:w w:val="110"/>
        </w:rPr>
        <w:t xml:space="preserve"> </w:t>
      </w:r>
      <w:r>
        <w:rPr>
          <w:color w:val="333333"/>
          <w:w w:val="110"/>
        </w:rPr>
        <w:t xml:space="preserve">to </w:t>
      </w:r>
      <w:r>
        <w:rPr>
          <w:color w:val="333333"/>
          <w:spacing w:val="36"/>
          <w:w w:val="110"/>
        </w:rPr>
        <w:t xml:space="preserve"> </w:t>
      </w:r>
      <w:r>
        <w:rPr>
          <w:color w:val="333333"/>
          <w:w w:val="110"/>
        </w:rPr>
        <w:t xml:space="preserve">provide </w:t>
      </w:r>
      <w:r>
        <w:rPr>
          <w:color w:val="333333"/>
          <w:spacing w:val="37"/>
          <w:w w:val="110"/>
        </w:rPr>
        <w:t xml:space="preserve"> </w:t>
      </w:r>
      <w:r>
        <w:rPr>
          <w:color w:val="333333"/>
          <w:w w:val="110"/>
        </w:rPr>
        <w:t xml:space="preserve">your </w:t>
      </w:r>
      <w:r>
        <w:rPr>
          <w:color w:val="333333"/>
          <w:spacing w:val="37"/>
          <w:w w:val="110"/>
        </w:rPr>
        <w:t xml:space="preserve"> </w:t>
      </w:r>
      <w:r>
        <w:rPr>
          <w:color w:val="333333"/>
          <w:w w:val="110"/>
        </w:rPr>
        <w:t>own</w:t>
      </w:r>
    </w:p>
    <w:p w14:paraId="0E6C8B20" w14:textId="77777777" w:rsidR="00A720EB" w:rsidRDefault="0030286B">
      <w:pPr>
        <w:pStyle w:val="a3"/>
        <w:spacing w:before="59"/>
        <w:ind w:left="124"/>
        <w:jc w:val="both"/>
      </w:pPr>
      <w:r>
        <w:rPr>
          <w:rFonts w:ascii="MS Gothic"/>
          <w:color w:val="B02045"/>
          <w:w w:val="110"/>
        </w:rPr>
        <w:t xml:space="preserve">@Configuration </w:t>
      </w:r>
      <w:r>
        <w:rPr>
          <w:color w:val="333333"/>
          <w:w w:val="110"/>
        </w:rPr>
        <w:t xml:space="preserve">with the </w:t>
      </w:r>
      <w:r>
        <w:rPr>
          <w:rFonts w:ascii="MS Gothic"/>
          <w:color w:val="B02045"/>
          <w:w w:val="110"/>
        </w:rPr>
        <w:t xml:space="preserve">@EnableWebMvc </w:t>
      </w:r>
      <w:r>
        <w:rPr>
          <w:color w:val="333333"/>
          <w:w w:val="110"/>
        </w:rPr>
        <w:t xml:space="preserve">annotation. Doing so leaves all MVC configuration </w:t>
      </w:r>
      <w:proofErr w:type="gramStart"/>
      <w:r>
        <w:rPr>
          <w:color w:val="333333"/>
          <w:w w:val="110"/>
        </w:rPr>
        <w:t xml:space="preserve">in </w:t>
      </w:r>
      <w:r>
        <w:rPr>
          <w:color w:val="333333"/>
          <w:spacing w:val="21"/>
          <w:w w:val="110"/>
        </w:rPr>
        <w:t xml:space="preserve"> </w:t>
      </w:r>
      <w:r>
        <w:rPr>
          <w:color w:val="333333"/>
          <w:w w:val="110"/>
        </w:rPr>
        <w:t>your</w:t>
      </w:r>
      <w:proofErr w:type="gramEnd"/>
    </w:p>
    <w:p w14:paraId="75220D15" w14:textId="77777777" w:rsidR="00A720EB" w:rsidRDefault="00A720EB">
      <w:pPr>
        <w:jc w:val="both"/>
        <w:sectPr w:rsidR="00A720EB">
          <w:pgSz w:w="11910" w:h="16840"/>
          <w:pgMar w:top="620" w:right="840" w:bottom="520" w:left="840" w:header="0" w:footer="323" w:gutter="0"/>
          <w:cols w:space="720"/>
        </w:sectPr>
      </w:pPr>
    </w:p>
    <w:p w14:paraId="365CE341" w14:textId="77777777" w:rsidR="00A720EB" w:rsidRDefault="0030286B">
      <w:pPr>
        <w:pStyle w:val="a3"/>
        <w:spacing w:before="107"/>
        <w:ind w:left="124"/>
      </w:pPr>
      <w:r>
        <w:rPr>
          <w:color w:val="333333"/>
          <w:w w:val="115"/>
        </w:rPr>
        <w:lastRenderedPageBreak/>
        <w:t>hands.</w:t>
      </w:r>
    </w:p>
    <w:p w14:paraId="2486FB93" w14:textId="77777777" w:rsidR="00A720EB" w:rsidRDefault="00A720EB">
      <w:pPr>
        <w:pStyle w:val="a3"/>
        <w:spacing w:before="6"/>
        <w:rPr>
          <w:sz w:val="31"/>
        </w:rPr>
      </w:pPr>
    </w:p>
    <w:p w14:paraId="696DEA66" w14:textId="77777777" w:rsidR="00A720EB" w:rsidRDefault="0030286B">
      <w:pPr>
        <w:pStyle w:val="3"/>
        <w:numPr>
          <w:ilvl w:val="2"/>
          <w:numId w:val="13"/>
        </w:numPr>
        <w:tabs>
          <w:tab w:val="left" w:pos="858"/>
        </w:tabs>
        <w:spacing w:before="1"/>
        <w:ind w:hanging="734"/>
      </w:pPr>
      <w:bookmarkStart w:id="869" w:name="9.4.8._Customize_ViewResolvers"/>
      <w:bookmarkStart w:id="870" w:name="_Toc54423956"/>
      <w:bookmarkEnd w:id="869"/>
      <w:r>
        <w:rPr>
          <w:color w:val="333333"/>
          <w:w w:val="110"/>
        </w:rPr>
        <w:t>Customize</w:t>
      </w:r>
      <w:r>
        <w:rPr>
          <w:color w:val="333333"/>
          <w:spacing w:val="-7"/>
          <w:w w:val="110"/>
        </w:rPr>
        <w:t xml:space="preserve"> </w:t>
      </w:r>
      <w:r>
        <w:rPr>
          <w:color w:val="333333"/>
          <w:w w:val="110"/>
        </w:rPr>
        <w:t>ViewResolvers</w:t>
      </w:r>
      <w:bookmarkEnd w:id="870"/>
    </w:p>
    <w:p w14:paraId="38C64D81" w14:textId="77777777" w:rsidR="00A720EB" w:rsidRDefault="0030286B">
      <w:pPr>
        <w:pStyle w:val="a3"/>
        <w:spacing w:before="243" w:line="290" w:lineRule="auto"/>
        <w:ind w:left="124" w:right="123"/>
        <w:jc w:val="both"/>
      </w:pPr>
      <w:r>
        <w:rPr>
          <w:color w:val="333333"/>
          <w:w w:val="110"/>
        </w:rPr>
        <w:t>A</w:t>
      </w:r>
      <w:r>
        <w:rPr>
          <w:color w:val="333333"/>
          <w:spacing w:val="1"/>
          <w:w w:val="110"/>
        </w:rPr>
        <w:t xml:space="preserve"> </w:t>
      </w:r>
      <w:r>
        <w:rPr>
          <w:rFonts w:ascii="MS Gothic"/>
          <w:color w:val="B02045"/>
          <w:w w:val="110"/>
        </w:rPr>
        <w:t>ViewResolver</w:t>
      </w:r>
      <w:r>
        <w:rPr>
          <w:rFonts w:ascii="MS Gothic"/>
          <w:color w:val="B02045"/>
          <w:spacing w:val="-63"/>
          <w:w w:val="110"/>
        </w:rPr>
        <w:t xml:space="preserve"> </w:t>
      </w:r>
      <w:r>
        <w:rPr>
          <w:color w:val="333333"/>
          <w:w w:val="110"/>
        </w:rPr>
        <w:t>is</w:t>
      </w:r>
      <w:r>
        <w:rPr>
          <w:color w:val="333333"/>
          <w:spacing w:val="1"/>
          <w:w w:val="110"/>
        </w:rPr>
        <w:t xml:space="preserve"> </w:t>
      </w:r>
      <w:r>
        <w:rPr>
          <w:color w:val="333333"/>
          <w:w w:val="110"/>
        </w:rPr>
        <w:t>a</w:t>
      </w:r>
      <w:r>
        <w:rPr>
          <w:color w:val="333333"/>
          <w:spacing w:val="2"/>
          <w:w w:val="110"/>
        </w:rPr>
        <w:t xml:space="preserve"> </w:t>
      </w:r>
      <w:r>
        <w:rPr>
          <w:color w:val="333333"/>
          <w:w w:val="110"/>
        </w:rPr>
        <w:t>core</w:t>
      </w:r>
      <w:r>
        <w:rPr>
          <w:color w:val="333333"/>
          <w:spacing w:val="1"/>
          <w:w w:val="110"/>
        </w:rPr>
        <w:t xml:space="preserve"> </w:t>
      </w:r>
      <w:r>
        <w:rPr>
          <w:color w:val="333333"/>
          <w:w w:val="110"/>
        </w:rPr>
        <w:t>component</w:t>
      </w:r>
      <w:r>
        <w:rPr>
          <w:color w:val="333333"/>
          <w:spacing w:val="2"/>
          <w:w w:val="110"/>
        </w:rPr>
        <w:t xml:space="preserve"> </w:t>
      </w:r>
      <w:r>
        <w:rPr>
          <w:color w:val="333333"/>
          <w:w w:val="110"/>
        </w:rPr>
        <w:t>of</w:t>
      </w:r>
      <w:r>
        <w:rPr>
          <w:color w:val="333333"/>
          <w:spacing w:val="2"/>
          <w:w w:val="110"/>
        </w:rPr>
        <w:t xml:space="preserve"> </w:t>
      </w:r>
      <w:r>
        <w:rPr>
          <w:color w:val="333333"/>
          <w:w w:val="110"/>
        </w:rPr>
        <w:t>Spring</w:t>
      </w:r>
      <w:r>
        <w:rPr>
          <w:color w:val="333333"/>
          <w:spacing w:val="1"/>
          <w:w w:val="110"/>
        </w:rPr>
        <w:t xml:space="preserve"> </w:t>
      </w:r>
      <w:r>
        <w:rPr>
          <w:color w:val="333333"/>
          <w:w w:val="110"/>
        </w:rPr>
        <w:t>MVC,</w:t>
      </w:r>
      <w:r>
        <w:rPr>
          <w:color w:val="333333"/>
          <w:spacing w:val="2"/>
          <w:w w:val="110"/>
        </w:rPr>
        <w:t xml:space="preserve"> </w:t>
      </w:r>
      <w:r>
        <w:rPr>
          <w:color w:val="333333"/>
          <w:w w:val="110"/>
        </w:rPr>
        <w:t>translating</w:t>
      </w:r>
      <w:r>
        <w:rPr>
          <w:color w:val="333333"/>
          <w:spacing w:val="1"/>
          <w:w w:val="110"/>
        </w:rPr>
        <w:t xml:space="preserve"> </w:t>
      </w:r>
      <w:r>
        <w:rPr>
          <w:color w:val="333333"/>
          <w:w w:val="110"/>
        </w:rPr>
        <w:t>view</w:t>
      </w:r>
      <w:r>
        <w:rPr>
          <w:color w:val="333333"/>
          <w:spacing w:val="2"/>
          <w:w w:val="110"/>
        </w:rPr>
        <w:t xml:space="preserve"> </w:t>
      </w:r>
      <w:r>
        <w:rPr>
          <w:color w:val="333333"/>
          <w:w w:val="110"/>
        </w:rPr>
        <w:t>names</w:t>
      </w:r>
      <w:r>
        <w:rPr>
          <w:color w:val="333333"/>
          <w:spacing w:val="1"/>
          <w:w w:val="110"/>
        </w:rPr>
        <w:t xml:space="preserve"> </w:t>
      </w:r>
      <w:r>
        <w:rPr>
          <w:color w:val="333333"/>
          <w:w w:val="110"/>
        </w:rPr>
        <w:t>in</w:t>
      </w:r>
      <w:r>
        <w:rPr>
          <w:color w:val="333333"/>
          <w:spacing w:val="7"/>
          <w:w w:val="110"/>
        </w:rPr>
        <w:t xml:space="preserve"> </w:t>
      </w:r>
      <w:r>
        <w:rPr>
          <w:rFonts w:ascii="MS Gothic"/>
          <w:color w:val="B02045"/>
          <w:w w:val="110"/>
        </w:rPr>
        <w:t>@Controller</w:t>
      </w:r>
      <w:r>
        <w:rPr>
          <w:rFonts w:ascii="MS Gothic"/>
          <w:color w:val="B02045"/>
          <w:spacing w:val="-63"/>
          <w:w w:val="110"/>
        </w:rPr>
        <w:t xml:space="preserve"> </w:t>
      </w:r>
      <w:r>
        <w:rPr>
          <w:color w:val="333333"/>
          <w:w w:val="110"/>
        </w:rPr>
        <w:t>to</w:t>
      </w:r>
      <w:r>
        <w:rPr>
          <w:color w:val="333333"/>
          <w:spacing w:val="1"/>
          <w:w w:val="110"/>
        </w:rPr>
        <w:t xml:space="preserve"> </w:t>
      </w:r>
      <w:r>
        <w:rPr>
          <w:color w:val="333333"/>
          <w:w w:val="110"/>
        </w:rPr>
        <w:t xml:space="preserve">actual </w:t>
      </w:r>
      <w:r>
        <w:rPr>
          <w:rFonts w:ascii="MS Gothic"/>
          <w:color w:val="B02045"/>
          <w:w w:val="110"/>
        </w:rPr>
        <w:t xml:space="preserve">View </w:t>
      </w:r>
      <w:r>
        <w:rPr>
          <w:color w:val="333333"/>
          <w:w w:val="110"/>
        </w:rPr>
        <w:t xml:space="preserve">implementations. Note that </w:t>
      </w:r>
      <w:r>
        <w:rPr>
          <w:rFonts w:ascii="MS Gothic"/>
          <w:color w:val="B02045"/>
          <w:w w:val="110"/>
        </w:rPr>
        <w:t xml:space="preserve">ViewResolvers </w:t>
      </w:r>
      <w:r>
        <w:rPr>
          <w:color w:val="333333"/>
          <w:w w:val="110"/>
        </w:rPr>
        <w:t xml:space="preserve">are mainly used in UI applications, rather than REST-style services (a </w:t>
      </w:r>
      <w:r>
        <w:rPr>
          <w:rFonts w:ascii="MS Gothic"/>
          <w:color w:val="B02045"/>
          <w:w w:val="110"/>
        </w:rPr>
        <w:t>View</w:t>
      </w:r>
      <w:r>
        <w:rPr>
          <w:rFonts w:ascii="MS Gothic"/>
          <w:color w:val="B02045"/>
          <w:spacing w:val="-97"/>
          <w:w w:val="110"/>
        </w:rPr>
        <w:t xml:space="preserve"> </w:t>
      </w:r>
      <w:r>
        <w:rPr>
          <w:color w:val="333333"/>
          <w:w w:val="110"/>
        </w:rPr>
        <w:t xml:space="preserve">is not used to render a </w:t>
      </w:r>
      <w:r>
        <w:rPr>
          <w:rFonts w:ascii="MS Gothic"/>
          <w:color w:val="B02045"/>
          <w:w w:val="110"/>
        </w:rPr>
        <w:t>@ResponseBody</w:t>
      </w:r>
      <w:r>
        <w:rPr>
          <w:color w:val="333333"/>
          <w:w w:val="110"/>
        </w:rPr>
        <w:t xml:space="preserve">). There are many implementations of </w:t>
      </w:r>
      <w:r>
        <w:rPr>
          <w:rFonts w:ascii="MS Gothic"/>
          <w:color w:val="B02045"/>
          <w:w w:val="110"/>
        </w:rPr>
        <w:t xml:space="preserve">ViewResolver </w:t>
      </w:r>
      <w:r>
        <w:rPr>
          <w:color w:val="333333"/>
          <w:w w:val="110"/>
        </w:rPr>
        <w:t xml:space="preserve">to choose from, and Spring on its own is not opinionated about which ones you should use. Spring Boot, on the other hand, installs one or two for you, depending on what it finds    on the classpath and in the application context. The </w:t>
      </w:r>
      <w:r>
        <w:rPr>
          <w:rFonts w:ascii="MS Gothic"/>
          <w:color w:val="B02045"/>
          <w:w w:val="110"/>
        </w:rPr>
        <w:t xml:space="preserve">DispatcherServlet </w:t>
      </w:r>
      <w:r>
        <w:rPr>
          <w:color w:val="333333"/>
          <w:w w:val="110"/>
        </w:rPr>
        <w:t xml:space="preserve">uses all the resolvers it finds in the application context, trying each one in turn until it gets a result. If you add your own, you  </w:t>
      </w:r>
      <w:r>
        <w:rPr>
          <w:color w:val="333333"/>
          <w:spacing w:val="50"/>
          <w:w w:val="110"/>
        </w:rPr>
        <w:t xml:space="preserve"> </w:t>
      </w:r>
      <w:r>
        <w:rPr>
          <w:color w:val="333333"/>
          <w:w w:val="110"/>
        </w:rPr>
        <w:t>have to be aware of the order and in which position your resolver is</w:t>
      </w:r>
      <w:r>
        <w:rPr>
          <w:color w:val="333333"/>
          <w:spacing w:val="2"/>
          <w:w w:val="110"/>
        </w:rPr>
        <w:t xml:space="preserve"> </w:t>
      </w:r>
      <w:r>
        <w:rPr>
          <w:color w:val="333333"/>
          <w:w w:val="110"/>
        </w:rPr>
        <w:t>added.</w:t>
      </w:r>
    </w:p>
    <w:p w14:paraId="2A9830C5" w14:textId="77777777" w:rsidR="00A720EB" w:rsidRDefault="0030286B">
      <w:pPr>
        <w:pStyle w:val="a3"/>
        <w:spacing w:before="243"/>
        <w:ind w:left="124"/>
        <w:jc w:val="both"/>
      </w:pPr>
      <w:r>
        <w:rPr>
          <w:rFonts w:ascii="MS Gothic"/>
          <w:color w:val="B02045"/>
          <w:w w:val="110"/>
        </w:rPr>
        <w:t>WebMvcAutoConfiguration</w:t>
      </w:r>
      <w:r>
        <w:rPr>
          <w:rFonts w:ascii="MS Gothic"/>
          <w:color w:val="B02045"/>
          <w:spacing w:val="-68"/>
          <w:w w:val="110"/>
        </w:rPr>
        <w:t xml:space="preserve"> </w:t>
      </w:r>
      <w:r>
        <w:rPr>
          <w:color w:val="333333"/>
          <w:w w:val="110"/>
        </w:rPr>
        <w:t xml:space="preserve">adds the following </w:t>
      </w:r>
      <w:r>
        <w:rPr>
          <w:rFonts w:ascii="MS Gothic"/>
          <w:color w:val="B02045"/>
          <w:w w:val="110"/>
        </w:rPr>
        <w:t>ViewResolvers</w:t>
      </w:r>
      <w:r>
        <w:rPr>
          <w:rFonts w:ascii="MS Gothic"/>
          <w:color w:val="B02045"/>
          <w:spacing w:val="-68"/>
          <w:w w:val="110"/>
        </w:rPr>
        <w:t xml:space="preserve"> </w:t>
      </w:r>
      <w:r>
        <w:rPr>
          <w:color w:val="333333"/>
          <w:w w:val="110"/>
        </w:rPr>
        <w:t>to your context:</w:t>
      </w:r>
    </w:p>
    <w:p w14:paraId="2B93C66A" w14:textId="77777777" w:rsidR="00A720EB" w:rsidRDefault="00A720EB">
      <w:pPr>
        <w:pStyle w:val="a3"/>
        <w:spacing w:before="5"/>
        <w:rPr>
          <w:sz w:val="24"/>
        </w:rPr>
      </w:pPr>
    </w:p>
    <w:p w14:paraId="5F2FA9F8" w14:textId="77777777" w:rsidR="00A720EB" w:rsidRDefault="0030286B">
      <w:pPr>
        <w:pStyle w:val="a6"/>
        <w:numPr>
          <w:ilvl w:val="3"/>
          <w:numId w:val="13"/>
        </w:numPr>
        <w:tabs>
          <w:tab w:val="left" w:pos="485"/>
        </w:tabs>
        <w:spacing w:line="292" w:lineRule="auto"/>
        <w:ind w:right="121"/>
        <w:jc w:val="both"/>
        <w:rPr>
          <w:sz w:val="21"/>
        </w:rPr>
      </w:pPr>
      <w:r>
        <w:rPr>
          <w:color w:val="333333"/>
          <w:w w:val="110"/>
          <w:sz w:val="21"/>
        </w:rPr>
        <w:t xml:space="preserve">An </w:t>
      </w:r>
      <w:r>
        <w:rPr>
          <w:rFonts w:ascii="MS Gothic" w:hAnsi="MS Gothic"/>
          <w:color w:val="B02045"/>
          <w:w w:val="110"/>
          <w:sz w:val="21"/>
        </w:rPr>
        <w:t xml:space="preserve">InternalResourceViewResolver </w:t>
      </w:r>
      <w:r>
        <w:rPr>
          <w:color w:val="333333"/>
          <w:w w:val="110"/>
          <w:sz w:val="21"/>
        </w:rPr>
        <w:t xml:space="preserve">named ‘defaultViewResolver’. This one locates physical resources that can be rendered </w:t>
      </w:r>
      <w:r>
        <w:rPr>
          <w:color w:val="333333"/>
          <w:spacing w:val="-3"/>
          <w:w w:val="110"/>
          <w:sz w:val="21"/>
        </w:rPr>
        <w:t xml:space="preserve">by </w:t>
      </w:r>
      <w:r>
        <w:rPr>
          <w:color w:val="333333"/>
          <w:w w:val="110"/>
          <w:sz w:val="21"/>
        </w:rPr>
        <w:t xml:space="preserve">using the </w:t>
      </w:r>
      <w:r>
        <w:rPr>
          <w:rFonts w:ascii="MS Gothic" w:hAnsi="MS Gothic"/>
          <w:color w:val="B02045"/>
          <w:w w:val="110"/>
          <w:sz w:val="21"/>
        </w:rPr>
        <w:t xml:space="preserve">DefaultServlet </w:t>
      </w:r>
      <w:r>
        <w:rPr>
          <w:color w:val="333333"/>
          <w:w w:val="110"/>
          <w:sz w:val="21"/>
        </w:rPr>
        <w:t xml:space="preserve">(including static resources and JSP pages, if you use those). It applies a prefix and a suffix to the view name and then looks for a physical resource with that path in the servlet context (the defaults are both empty but are accessible for external configuration through </w:t>
      </w:r>
      <w:proofErr w:type="gramStart"/>
      <w:r>
        <w:rPr>
          <w:rFonts w:ascii="MS Gothic" w:hAnsi="MS Gothic"/>
          <w:color w:val="B02045"/>
          <w:w w:val="110"/>
          <w:sz w:val="21"/>
        </w:rPr>
        <w:t>spring.mvc.view</w:t>
      </w:r>
      <w:proofErr w:type="gramEnd"/>
      <w:r>
        <w:rPr>
          <w:rFonts w:ascii="MS Gothic" w:hAnsi="MS Gothic"/>
          <w:color w:val="B02045"/>
          <w:w w:val="110"/>
          <w:sz w:val="21"/>
        </w:rPr>
        <w:t xml:space="preserve">.prefix </w:t>
      </w:r>
      <w:r>
        <w:rPr>
          <w:color w:val="333333"/>
          <w:w w:val="110"/>
          <w:sz w:val="21"/>
        </w:rPr>
        <w:t xml:space="preserve">and </w:t>
      </w:r>
      <w:r>
        <w:rPr>
          <w:rFonts w:ascii="MS Gothic" w:hAnsi="MS Gothic"/>
          <w:color w:val="B02045"/>
          <w:w w:val="110"/>
          <w:sz w:val="21"/>
        </w:rPr>
        <w:t>spring.mvc.view.suffix</w:t>
      </w:r>
      <w:r>
        <w:rPr>
          <w:color w:val="333333"/>
          <w:w w:val="110"/>
          <w:sz w:val="21"/>
        </w:rPr>
        <w:t xml:space="preserve">). </w:t>
      </w:r>
      <w:r>
        <w:rPr>
          <w:color w:val="333333"/>
          <w:spacing w:val="-6"/>
          <w:w w:val="110"/>
          <w:sz w:val="21"/>
        </w:rPr>
        <w:t xml:space="preserve">You </w:t>
      </w:r>
      <w:r>
        <w:rPr>
          <w:color w:val="333333"/>
          <w:w w:val="110"/>
          <w:sz w:val="21"/>
        </w:rPr>
        <w:t xml:space="preserve">can override it </w:t>
      </w:r>
      <w:r>
        <w:rPr>
          <w:color w:val="333333"/>
          <w:spacing w:val="-3"/>
          <w:w w:val="110"/>
          <w:sz w:val="21"/>
        </w:rPr>
        <w:t xml:space="preserve">by </w:t>
      </w:r>
      <w:r>
        <w:rPr>
          <w:color w:val="333333"/>
          <w:w w:val="110"/>
          <w:sz w:val="21"/>
        </w:rPr>
        <w:t>providing a bean of the same</w:t>
      </w:r>
      <w:r>
        <w:rPr>
          <w:color w:val="333333"/>
          <w:spacing w:val="-11"/>
          <w:w w:val="110"/>
          <w:sz w:val="21"/>
        </w:rPr>
        <w:t xml:space="preserve"> </w:t>
      </w:r>
      <w:r>
        <w:rPr>
          <w:color w:val="333333"/>
          <w:w w:val="110"/>
          <w:sz w:val="21"/>
        </w:rPr>
        <w:t>type.</w:t>
      </w:r>
    </w:p>
    <w:p w14:paraId="42988AA7" w14:textId="77777777" w:rsidR="00A720EB" w:rsidRDefault="0030286B">
      <w:pPr>
        <w:pStyle w:val="a6"/>
        <w:numPr>
          <w:ilvl w:val="3"/>
          <w:numId w:val="13"/>
        </w:numPr>
        <w:tabs>
          <w:tab w:val="left" w:pos="485"/>
        </w:tabs>
        <w:spacing w:before="100" w:line="285" w:lineRule="auto"/>
        <w:ind w:right="124"/>
        <w:jc w:val="both"/>
        <w:rPr>
          <w:sz w:val="21"/>
        </w:rPr>
      </w:pPr>
      <w:r>
        <w:rPr>
          <w:color w:val="333333"/>
          <w:w w:val="110"/>
          <w:sz w:val="21"/>
        </w:rPr>
        <w:t xml:space="preserve">A </w:t>
      </w:r>
      <w:r>
        <w:rPr>
          <w:rFonts w:ascii="MS Gothic" w:hAnsi="MS Gothic"/>
          <w:color w:val="B02045"/>
          <w:w w:val="110"/>
          <w:sz w:val="21"/>
        </w:rPr>
        <w:t xml:space="preserve">BeanNameViewResolver </w:t>
      </w:r>
      <w:r>
        <w:rPr>
          <w:color w:val="333333"/>
          <w:w w:val="110"/>
          <w:sz w:val="21"/>
        </w:rPr>
        <w:t xml:space="preserve">named ‘beanNameViewResolver’. This is a useful member of the view resolver chain and picks up any beans with the same name as the </w:t>
      </w:r>
      <w:r>
        <w:rPr>
          <w:rFonts w:ascii="MS Gothic" w:hAnsi="MS Gothic"/>
          <w:color w:val="B02045"/>
          <w:w w:val="110"/>
          <w:sz w:val="21"/>
        </w:rPr>
        <w:t xml:space="preserve">View </w:t>
      </w:r>
      <w:r>
        <w:rPr>
          <w:color w:val="333333"/>
          <w:w w:val="110"/>
          <w:sz w:val="21"/>
        </w:rPr>
        <w:t>being resolved. It should not be necessary to override or replace</w:t>
      </w:r>
      <w:r>
        <w:rPr>
          <w:color w:val="333333"/>
          <w:spacing w:val="23"/>
          <w:w w:val="110"/>
          <w:sz w:val="21"/>
        </w:rPr>
        <w:t xml:space="preserve"> </w:t>
      </w:r>
      <w:r>
        <w:rPr>
          <w:color w:val="333333"/>
          <w:w w:val="110"/>
          <w:sz w:val="21"/>
        </w:rPr>
        <w:t>it.</w:t>
      </w:r>
    </w:p>
    <w:p w14:paraId="710BF04C" w14:textId="77777777" w:rsidR="00A720EB" w:rsidRDefault="0030286B">
      <w:pPr>
        <w:pStyle w:val="a6"/>
        <w:numPr>
          <w:ilvl w:val="3"/>
          <w:numId w:val="13"/>
        </w:numPr>
        <w:tabs>
          <w:tab w:val="left" w:pos="485"/>
        </w:tabs>
        <w:spacing w:before="123" w:line="290" w:lineRule="auto"/>
        <w:ind w:right="123"/>
        <w:jc w:val="both"/>
        <w:rPr>
          <w:sz w:val="21"/>
        </w:rPr>
      </w:pPr>
      <w:r>
        <w:rPr>
          <w:color w:val="333333"/>
          <w:w w:val="115"/>
          <w:sz w:val="21"/>
        </w:rPr>
        <w:t xml:space="preserve">A </w:t>
      </w:r>
      <w:r>
        <w:rPr>
          <w:rFonts w:ascii="MS Gothic" w:hAnsi="MS Gothic"/>
          <w:color w:val="B02045"/>
          <w:w w:val="115"/>
          <w:sz w:val="21"/>
        </w:rPr>
        <w:t>ContentNegotiatingViewResolver</w:t>
      </w:r>
      <w:r>
        <w:rPr>
          <w:rFonts w:ascii="MS Gothic" w:hAnsi="MS Gothic"/>
          <w:color w:val="B02045"/>
          <w:spacing w:val="-79"/>
          <w:w w:val="115"/>
          <w:sz w:val="21"/>
        </w:rPr>
        <w:t xml:space="preserve"> </w:t>
      </w:r>
      <w:r>
        <w:rPr>
          <w:color w:val="333333"/>
          <w:w w:val="115"/>
          <w:sz w:val="21"/>
        </w:rPr>
        <w:t xml:space="preserve">named ‘viewResolver’ is added only if there </w:t>
      </w:r>
      <w:r>
        <w:rPr>
          <w:rFonts w:ascii="Palatino Linotype" w:hAnsi="Palatino Linotype"/>
          <w:b/>
          <w:color w:val="333333"/>
          <w:w w:val="115"/>
          <w:sz w:val="21"/>
        </w:rPr>
        <w:t xml:space="preserve">are </w:t>
      </w:r>
      <w:r>
        <w:rPr>
          <w:color w:val="333333"/>
          <w:w w:val="115"/>
          <w:sz w:val="21"/>
        </w:rPr>
        <w:t xml:space="preserve">actually beans of type </w:t>
      </w:r>
      <w:r>
        <w:rPr>
          <w:rFonts w:ascii="MS Gothic" w:hAnsi="MS Gothic"/>
          <w:color w:val="B02045"/>
          <w:w w:val="115"/>
          <w:sz w:val="21"/>
        </w:rPr>
        <w:t xml:space="preserve">View </w:t>
      </w:r>
      <w:r>
        <w:rPr>
          <w:color w:val="333333"/>
          <w:w w:val="115"/>
          <w:sz w:val="21"/>
        </w:rPr>
        <w:t>present. This is a ‘master’ resolver, delegating to all the others and attempting</w:t>
      </w:r>
      <w:r>
        <w:rPr>
          <w:color w:val="333333"/>
          <w:spacing w:val="-10"/>
          <w:w w:val="115"/>
          <w:sz w:val="21"/>
        </w:rPr>
        <w:t xml:space="preserve"> </w:t>
      </w:r>
      <w:r>
        <w:rPr>
          <w:color w:val="333333"/>
          <w:w w:val="115"/>
          <w:sz w:val="21"/>
        </w:rPr>
        <w:t>to</w:t>
      </w:r>
      <w:r>
        <w:rPr>
          <w:color w:val="333333"/>
          <w:spacing w:val="-10"/>
          <w:w w:val="115"/>
          <w:sz w:val="21"/>
        </w:rPr>
        <w:t xml:space="preserve"> </w:t>
      </w:r>
      <w:r>
        <w:rPr>
          <w:color w:val="333333"/>
          <w:w w:val="115"/>
          <w:sz w:val="21"/>
        </w:rPr>
        <w:t>find</w:t>
      </w:r>
      <w:r>
        <w:rPr>
          <w:color w:val="333333"/>
          <w:spacing w:val="-9"/>
          <w:w w:val="115"/>
          <w:sz w:val="21"/>
        </w:rPr>
        <w:t xml:space="preserve"> </w:t>
      </w:r>
      <w:r>
        <w:rPr>
          <w:color w:val="333333"/>
          <w:w w:val="115"/>
          <w:sz w:val="21"/>
        </w:rPr>
        <w:t>a</w:t>
      </w:r>
      <w:r>
        <w:rPr>
          <w:color w:val="333333"/>
          <w:spacing w:val="-10"/>
          <w:w w:val="115"/>
          <w:sz w:val="21"/>
        </w:rPr>
        <w:t xml:space="preserve"> </w:t>
      </w:r>
      <w:r>
        <w:rPr>
          <w:color w:val="333333"/>
          <w:w w:val="115"/>
          <w:sz w:val="21"/>
        </w:rPr>
        <w:t>match</w:t>
      </w:r>
      <w:r>
        <w:rPr>
          <w:color w:val="333333"/>
          <w:spacing w:val="-10"/>
          <w:w w:val="115"/>
          <w:sz w:val="21"/>
        </w:rPr>
        <w:t xml:space="preserve"> </w:t>
      </w:r>
      <w:r>
        <w:rPr>
          <w:color w:val="333333"/>
          <w:w w:val="115"/>
          <w:sz w:val="21"/>
        </w:rPr>
        <w:t>to</w:t>
      </w:r>
      <w:r>
        <w:rPr>
          <w:color w:val="333333"/>
          <w:spacing w:val="-9"/>
          <w:w w:val="115"/>
          <w:sz w:val="21"/>
        </w:rPr>
        <w:t xml:space="preserve"> </w:t>
      </w:r>
      <w:r>
        <w:rPr>
          <w:color w:val="333333"/>
          <w:w w:val="115"/>
          <w:sz w:val="21"/>
        </w:rPr>
        <w:t>the</w:t>
      </w:r>
      <w:r>
        <w:rPr>
          <w:color w:val="333333"/>
          <w:spacing w:val="-10"/>
          <w:w w:val="115"/>
          <w:sz w:val="21"/>
        </w:rPr>
        <w:t xml:space="preserve"> </w:t>
      </w:r>
      <w:r>
        <w:rPr>
          <w:color w:val="333333"/>
          <w:w w:val="115"/>
          <w:sz w:val="21"/>
        </w:rPr>
        <w:t>‘Accept’</w:t>
      </w:r>
      <w:r>
        <w:rPr>
          <w:color w:val="333333"/>
          <w:spacing w:val="-10"/>
          <w:w w:val="115"/>
          <w:sz w:val="21"/>
        </w:rPr>
        <w:t xml:space="preserve"> </w:t>
      </w:r>
      <w:r>
        <w:rPr>
          <w:color w:val="333333"/>
          <w:w w:val="115"/>
          <w:sz w:val="21"/>
        </w:rPr>
        <w:t>HTTP</w:t>
      </w:r>
      <w:r>
        <w:rPr>
          <w:color w:val="333333"/>
          <w:spacing w:val="-9"/>
          <w:w w:val="115"/>
          <w:sz w:val="21"/>
        </w:rPr>
        <w:t xml:space="preserve"> </w:t>
      </w:r>
      <w:r>
        <w:rPr>
          <w:color w:val="333333"/>
          <w:w w:val="115"/>
          <w:sz w:val="21"/>
        </w:rPr>
        <w:t>header</w:t>
      </w:r>
      <w:r>
        <w:rPr>
          <w:color w:val="333333"/>
          <w:spacing w:val="-10"/>
          <w:w w:val="115"/>
          <w:sz w:val="21"/>
        </w:rPr>
        <w:t xml:space="preserve"> </w:t>
      </w:r>
      <w:r>
        <w:rPr>
          <w:color w:val="333333"/>
          <w:w w:val="115"/>
          <w:sz w:val="21"/>
        </w:rPr>
        <w:t>sent</w:t>
      </w:r>
      <w:r>
        <w:rPr>
          <w:color w:val="333333"/>
          <w:spacing w:val="-10"/>
          <w:w w:val="115"/>
          <w:sz w:val="21"/>
        </w:rPr>
        <w:t xml:space="preserve"> </w:t>
      </w:r>
      <w:r>
        <w:rPr>
          <w:color w:val="333333"/>
          <w:spacing w:val="-3"/>
          <w:w w:val="115"/>
          <w:sz w:val="21"/>
        </w:rPr>
        <w:t>by</w:t>
      </w:r>
      <w:r>
        <w:rPr>
          <w:color w:val="333333"/>
          <w:spacing w:val="-9"/>
          <w:w w:val="115"/>
          <w:sz w:val="21"/>
        </w:rPr>
        <w:t xml:space="preserve"> </w:t>
      </w:r>
      <w:r>
        <w:rPr>
          <w:color w:val="333333"/>
          <w:w w:val="115"/>
          <w:sz w:val="21"/>
        </w:rPr>
        <w:t>the</w:t>
      </w:r>
      <w:r>
        <w:rPr>
          <w:color w:val="333333"/>
          <w:spacing w:val="-10"/>
          <w:w w:val="115"/>
          <w:sz w:val="21"/>
        </w:rPr>
        <w:t xml:space="preserve"> </w:t>
      </w:r>
      <w:r>
        <w:rPr>
          <w:color w:val="333333"/>
          <w:w w:val="115"/>
          <w:sz w:val="21"/>
        </w:rPr>
        <w:t>client.</w:t>
      </w:r>
      <w:r>
        <w:rPr>
          <w:color w:val="333333"/>
          <w:spacing w:val="-10"/>
          <w:w w:val="115"/>
          <w:sz w:val="21"/>
        </w:rPr>
        <w:t xml:space="preserve"> </w:t>
      </w:r>
      <w:r>
        <w:rPr>
          <w:color w:val="333333"/>
          <w:w w:val="115"/>
          <w:sz w:val="21"/>
        </w:rPr>
        <w:t>There</w:t>
      </w:r>
      <w:r>
        <w:rPr>
          <w:color w:val="333333"/>
          <w:spacing w:val="-9"/>
          <w:w w:val="115"/>
          <w:sz w:val="21"/>
        </w:rPr>
        <w:t xml:space="preserve"> </w:t>
      </w:r>
      <w:r>
        <w:rPr>
          <w:color w:val="333333"/>
          <w:w w:val="115"/>
          <w:sz w:val="21"/>
        </w:rPr>
        <w:t>is</w:t>
      </w:r>
      <w:r>
        <w:rPr>
          <w:color w:val="333333"/>
          <w:spacing w:val="-10"/>
          <w:w w:val="115"/>
          <w:sz w:val="21"/>
        </w:rPr>
        <w:t xml:space="preserve"> </w:t>
      </w:r>
      <w:r>
        <w:rPr>
          <w:color w:val="333333"/>
          <w:w w:val="115"/>
          <w:sz w:val="21"/>
        </w:rPr>
        <w:t>a</w:t>
      </w:r>
      <w:r>
        <w:rPr>
          <w:color w:val="333333"/>
          <w:spacing w:val="-10"/>
          <w:w w:val="115"/>
          <w:sz w:val="21"/>
        </w:rPr>
        <w:t xml:space="preserve"> </w:t>
      </w:r>
      <w:r>
        <w:rPr>
          <w:color w:val="333333"/>
          <w:w w:val="115"/>
          <w:sz w:val="21"/>
        </w:rPr>
        <w:t>useful</w:t>
      </w:r>
      <w:r>
        <w:rPr>
          <w:color w:val="333333"/>
          <w:spacing w:val="-1"/>
          <w:w w:val="115"/>
          <w:sz w:val="21"/>
        </w:rPr>
        <w:t xml:space="preserve"> </w:t>
      </w:r>
      <w:hyperlink r:id="rId609">
        <w:r>
          <w:rPr>
            <w:color w:val="418BCA"/>
            <w:w w:val="115"/>
            <w:sz w:val="21"/>
          </w:rPr>
          <w:t>blog</w:t>
        </w:r>
      </w:hyperlink>
      <w:r>
        <w:rPr>
          <w:color w:val="418BCA"/>
          <w:w w:val="115"/>
          <w:sz w:val="21"/>
        </w:rPr>
        <w:t xml:space="preserve"> </w:t>
      </w:r>
      <w:hyperlink r:id="rId610">
        <w:r>
          <w:rPr>
            <w:color w:val="418BCA"/>
            <w:w w:val="110"/>
            <w:sz w:val="21"/>
          </w:rPr>
          <w:t>about</w:t>
        </w:r>
        <w:r>
          <w:rPr>
            <w:color w:val="418BCA"/>
            <w:spacing w:val="-11"/>
            <w:w w:val="110"/>
            <w:sz w:val="21"/>
          </w:rPr>
          <w:t xml:space="preserve"> </w:t>
        </w:r>
      </w:hyperlink>
      <w:hyperlink r:id="rId611">
        <w:r>
          <w:rPr>
            <w:rFonts w:ascii="MS Gothic" w:hAnsi="MS Gothic"/>
            <w:color w:val="B02045"/>
            <w:w w:val="110"/>
            <w:sz w:val="21"/>
          </w:rPr>
          <w:t>ContentNegotiatingViewResolver</w:t>
        </w:r>
        <w:r>
          <w:rPr>
            <w:rFonts w:ascii="MS Gothic" w:hAnsi="MS Gothic"/>
            <w:color w:val="B02045"/>
            <w:spacing w:val="-77"/>
            <w:w w:val="110"/>
            <w:sz w:val="21"/>
          </w:rPr>
          <w:t xml:space="preserve"> </w:t>
        </w:r>
      </w:hyperlink>
      <w:r>
        <w:rPr>
          <w:color w:val="333333"/>
          <w:w w:val="110"/>
          <w:sz w:val="21"/>
        </w:rPr>
        <w:t>that</w:t>
      </w:r>
      <w:r>
        <w:rPr>
          <w:color w:val="333333"/>
          <w:spacing w:val="-11"/>
          <w:w w:val="110"/>
          <w:sz w:val="21"/>
        </w:rPr>
        <w:t xml:space="preserve"> </w:t>
      </w:r>
      <w:r>
        <w:rPr>
          <w:color w:val="333333"/>
          <w:w w:val="110"/>
          <w:sz w:val="21"/>
        </w:rPr>
        <w:t>you</w:t>
      </w:r>
      <w:r>
        <w:rPr>
          <w:color w:val="333333"/>
          <w:spacing w:val="-12"/>
          <w:w w:val="110"/>
          <w:sz w:val="21"/>
        </w:rPr>
        <w:t xml:space="preserve"> </w:t>
      </w:r>
      <w:r>
        <w:rPr>
          <w:color w:val="333333"/>
          <w:w w:val="110"/>
          <w:sz w:val="21"/>
        </w:rPr>
        <w:t>might</w:t>
      </w:r>
      <w:r>
        <w:rPr>
          <w:color w:val="333333"/>
          <w:spacing w:val="-11"/>
          <w:w w:val="110"/>
          <w:sz w:val="21"/>
        </w:rPr>
        <w:t xml:space="preserve"> </w:t>
      </w:r>
      <w:r>
        <w:rPr>
          <w:color w:val="333333"/>
          <w:w w:val="110"/>
          <w:sz w:val="21"/>
        </w:rPr>
        <w:t>like</w:t>
      </w:r>
      <w:r>
        <w:rPr>
          <w:color w:val="333333"/>
          <w:spacing w:val="-12"/>
          <w:w w:val="110"/>
          <w:sz w:val="21"/>
        </w:rPr>
        <w:t xml:space="preserve"> </w:t>
      </w:r>
      <w:r>
        <w:rPr>
          <w:color w:val="333333"/>
          <w:w w:val="110"/>
          <w:sz w:val="21"/>
        </w:rPr>
        <w:t>to</w:t>
      </w:r>
      <w:r>
        <w:rPr>
          <w:color w:val="333333"/>
          <w:spacing w:val="-12"/>
          <w:w w:val="110"/>
          <w:sz w:val="21"/>
        </w:rPr>
        <w:t xml:space="preserve"> </w:t>
      </w:r>
      <w:r>
        <w:rPr>
          <w:color w:val="333333"/>
          <w:w w:val="110"/>
          <w:sz w:val="21"/>
        </w:rPr>
        <w:t>study</w:t>
      </w:r>
      <w:r>
        <w:rPr>
          <w:color w:val="333333"/>
          <w:spacing w:val="-11"/>
          <w:w w:val="110"/>
          <w:sz w:val="21"/>
        </w:rPr>
        <w:t xml:space="preserve"> </w:t>
      </w:r>
      <w:r>
        <w:rPr>
          <w:color w:val="333333"/>
          <w:w w:val="110"/>
          <w:sz w:val="21"/>
        </w:rPr>
        <w:t>to</w:t>
      </w:r>
      <w:r>
        <w:rPr>
          <w:color w:val="333333"/>
          <w:spacing w:val="-12"/>
          <w:w w:val="110"/>
          <w:sz w:val="21"/>
        </w:rPr>
        <w:t xml:space="preserve"> </w:t>
      </w:r>
      <w:r>
        <w:rPr>
          <w:color w:val="333333"/>
          <w:w w:val="110"/>
          <w:sz w:val="21"/>
        </w:rPr>
        <w:t>learn</w:t>
      </w:r>
      <w:r>
        <w:rPr>
          <w:color w:val="333333"/>
          <w:spacing w:val="-11"/>
          <w:w w:val="110"/>
          <w:sz w:val="21"/>
        </w:rPr>
        <w:t xml:space="preserve"> </w:t>
      </w:r>
      <w:r>
        <w:rPr>
          <w:color w:val="333333"/>
          <w:w w:val="110"/>
          <w:sz w:val="21"/>
        </w:rPr>
        <w:t>more,</w:t>
      </w:r>
      <w:r>
        <w:rPr>
          <w:color w:val="333333"/>
          <w:spacing w:val="-12"/>
          <w:w w:val="110"/>
          <w:sz w:val="21"/>
        </w:rPr>
        <w:t xml:space="preserve"> </w:t>
      </w:r>
      <w:r>
        <w:rPr>
          <w:color w:val="333333"/>
          <w:w w:val="110"/>
          <w:sz w:val="21"/>
        </w:rPr>
        <w:t>and</w:t>
      </w:r>
      <w:r>
        <w:rPr>
          <w:color w:val="333333"/>
          <w:spacing w:val="-12"/>
          <w:w w:val="110"/>
          <w:sz w:val="21"/>
        </w:rPr>
        <w:t xml:space="preserve"> </w:t>
      </w:r>
      <w:r>
        <w:rPr>
          <w:color w:val="333333"/>
          <w:w w:val="110"/>
          <w:sz w:val="21"/>
        </w:rPr>
        <w:t>you</w:t>
      </w:r>
      <w:r>
        <w:rPr>
          <w:color w:val="333333"/>
          <w:spacing w:val="-11"/>
          <w:w w:val="110"/>
          <w:sz w:val="21"/>
        </w:rPr>
        <w:t xml:space="preserve"> </w:t>
      </w:r>
      <w:r>
        <w:rPr>
          <w:color w:val="333333"/>
          <w:w w:val="110"/>
          <w:sz w:val="21"/>
        </w:rPr>
        <w:t xml:space="preserve">might </w:t>
      </w:r>
      <w:r>
        <w:rPr>
          <w:color w:val="333333"/>
          <w:w w:val="115"/>
          <w:sz w:val="21"/>
        </w:rPr>
        <w:t xml:space="preserve">also look at the source code for detail. </w:t>
      </w:r>
      <w:r>
        <w:rPr>
          <w:color w:val="333333"/>
          <w:spacing w:val="-6"/>
          <w:w w:val="115"/>
          <w:sz w:val="21"/>
        </w:rPr>
        <w:t xml:space="preserve">You </w:t>
      </w:r>
      <w:r>
        <w:rPr>
          <w:color w:val="333333"/>
          <w:w w:val="115"/>
          <w:sz w:val="21"/>
        </w:rPr>
        <w:t xml:space="preserve">can switch off the auto-configured </w:t>
      </w:r>
      <w:r>
        <w:rPr>
          <w:rFonts w:ascii="MS Gothic" w:hAnsi="MS Gothic"/>
          <w:color w:val="B02045"/>
          <w:w w:val="115"/>
          <w:sz w:val="21"/>
        </w:rPr>
        <w:t>ContentNegotiatingViewResolver</w:t>
      </w:r>
      <w:r>
        <w:rPr>
          <w:rFonts w:ascii="MS Gothic" w:hAnsi="MS Gothic"/>
          <w:color w:val="B02045"/>
          <w:spacing w:val="-79"/>
          <w:w w:val="115"/>
          <w:sz w:val="21"/>
        </w:rPr>
        <w:t xml:space="preserve"> </w:t>
      </w:r>
      <w:r>
        <w:rPr>
          <w:color w:val="333333"/>
          <w:spacing w:val="-3"/>
          <w:w w:val="115"/>
          <w:sz w:val="21"/>
        </w:rPr>
        <w:t>by</w:t>
      </w:r>
      <w:r>
        <w:rPr>
          <w:color w:val="333333"/>
          <w:spacing w:val="-12"/>
          <w:w w:val="115"/>
          <w:sz w:val="21"/>
        </w:rPr>
        <w:t xml:space="preserve"> </w:t>
      </w:r>
      <w:r>
        <w:rPr>
          <w:color w:val="333333"/>
          <w:w w:val="115"/>
          <w:sz w:val="21"/>
        </w:rPr>
        <w:t>defining</w:t>
      </w:r>
      <w:r>
        <w:rPr>
          <w:color w:val="333333"/>
          <w:spacing w:val="-11"/>
          <w:w w:val="115"/>
          <w:sz w:val="21"/>
        </w:rPr>
        <w:t xml:space="preserve"> </w:t>
      </w:r>
      <w:r>
        <w:rPr>
          <w:color w:val="333333"/>
          <w:w w:val="115"/>
          <w:sz w:val="21"/>
        </w:rPr>
        <w:t>a</w:t>
      </w:r>
      <w:r>
        <w:rPr>
          <w:color w:val="333333"/>
          <w:spacing w:val="-12"/>
          <w:w w:val="115"/>
          <w:sz w:val="21"/>
        </w:rPr>
        <w:t xml:space="preserve"> </w:t>
      </w:r>
      <w:r>
        <w:rPr>
          <w:color w:val="333333"/>
          <w:w w:val="115"/>
          <w:sz w:val="21"/>
        </w:rPr>
        <w:t>bean</w:t>
      </w:r>
      <w:r>
        <w:rPr>
          <w:color w:val="333333"/>
          <w:spacing w:val="-11"/>
          <w:w w:val="115"/>
          <w:sz w:val="21"/>
        </w:rPr>
        <w:t xml:space="preserve"> </w:t>
      </w:r>
      <w:r>
        <w:rPr>
          <w:color w:val="333333"/>
          <w:w w:val="115"/>
          <w:sz w:val="21"/>
        </w:rPr>
        <w:t>named</w:t>
      </w:r>
      <w:r>
        <w:rPr>
          <w:color w:val="333333"/>
          <w:spacing w:val="-11"/>
          <w:w w:val="115"/>
          <w:sz w:val="21"/>
        </w:rPr>
        <w:t xml:space="preserve"> </w:t>
      </w:r>
      <w:r>
        <w:rPr>
          <w:color w:val="333333"/>
          <w:w w:val="115"/>
          <w:sz w:val="21"/>
        </w:rPr>
        <w:t>‘viewResolver’.</w:t>
      </w:r>
    </w:p>
    <w:p w14:paraId="720E8652" w14:textId="77777777" w:rsidR="00A720EB" w:rsidRDefault="0030286B">
      <w:pPr>
        <w:pStyle w:val="a6"/>
        <w:numPr>
          <w:ilvl w:val="3"/>
          <w:numId w:val="13"/>
        </w:numPr>
        <w:tabs>
          <w:tab w:val="left" w:pos="485"/>
        </w:tabs>
        <w:spacing w:before="109" w:line="295" w:lineRule="auto"/>
        <w:ind w:right="122"/>
        <w:jc w:val="both"/>
        <w:rPr>
          <w:sz w:val="21"/>
        </w:rPr>
      </w:pPr>
      <w:r>
        <w:rPr>
          <w:color w:val="333333"/>
          <w:w w:val="110"/>
          <w:sz w:val="21"/>
        </w:rPr>
        <w:t xml:space="preserve">If you use Thymeleaf, you also have a </w:t>
      </w:r>
      <w:r>
        <w:rPr>
          <w:rFonts w:ascii="MS Gothic" w:hAnsi="MS Gothic"/>
          <w:color w:val="B02045"/>
          <w:w w:val="110"/>
          <w:sz w:val="21"/>
        </w:rPr>
        <w:t>ThymeleafViewResolver</w:t>
      </w:r>
      <w:r>
        <w:rPr>
          <w:rFonts w:ascii="MS Gothic" w:hAnsi="MS Gothic"/>
          <w:color w:val="B02045"/>
          <w:spacing w:val="-73"/>
          <w:w w:val="110"/>
          <w:sz w:val="21"/>
        </w:rPr>
        <w:t xml:space="preserve"> </w:t>
      </w:r>
      <w:r>
        <w:rPr>
          <w:color w:val="333333"/>
          <w:w w:val="110"/>
          <w:sz w:val="21"/>
        </w:rPr>
        <w:t xml:space="preserve">named ‘thymeleafViewResolver’. It looks for resources </w:t>
      </w:r>
      <w:r>
        <w:rPr>
          <w:color w:val="333333"/>
          <w:spacing w:val="-3"/>
          <w:w w:val="110"/>
          <w:sz w:val="21"/>
        </w:rPr>
        <w:t xml:space="preserve">by </w:t>
      </w:r>
      <w:r>
        <w:rPr>
          <w:color w:val="333333"/>
          <w:w w:val="110"/>
          <w:sz w:val="21"/>
        </w:rPr>
        <w:t xml:space="preserve">surrounding the view name with a prefix and suffix. The prefix is </w:t>
      </w:r>
      <w:proofErr w:type="gramStart"/>
      <w:r>
        <w:rPr>
          <w:rFonts w:ascii="MS Gothic" w:hAnsi="MS Gothic"/>
          <w:color w:val="B02045"/>
          <w:w w:val="110"/>
          <w:sz w:val="21"/>
        </w:rPr>
        <w:t>spring.thymeleaf</w:t>
      </w:r>
      <w:proofErr w:type="gramEnd"/>
      <w:r>
        <w:rPr>
          <w:rFonts w:ascii="MS Gothic" w:hAnsi="MS Gothic"/>
          <w:color w:val="B02045"/>
          <w:w w:val="110"/>
          <w:sz w:val="21"/>
        </w:rPr>
        <w:t>.prefix</w:t>
      </w:r>
      <w:r>
        <w:rPr>
          <w:color w:val="333333"/>
          <w:w w:val="110"/>
          <w:sz w:val="21"/>
        </w:rPr>
        <w:t>,</w:t>
      </w:r>
      <w:r>
        <w:rPr>
          <w:color w:val="333333"/>
          <w:spacing w:val="-21"/>
          <w:w w:val="110"/>
          <w:sz w:val="21"/>
        </w:rPr>
        <w:t xml:space="preserve"> </w:t>
      </w:r>
      <w:r>
        <w:rPr>
          <w:color w:val="333333"/>
          <w:w w:val="110"/>
          <w:sz w:val="21"/>
        </w:rPr>
        <w:t>and</w:t>
      </w:r>
      <w:r>
        <w:rPr>
          <w:color w:val="333333"/>
          <w:spacing w:val="-21"/>
          <w:w w:val="110"/>
          <w:sz w:val="21"/>
        </w:rPr>
        <w:t xml:space="preserve"> </w:t>
      </w:r>
      <w:r>
        <w:rPr>
          <w:color w:val="333333"/>
          <w:w w:val="110"/>
          <w:sz w:val="21"/>
        </w:rPr>
        <w:t>the</w:t>
      </w:r>
      <w:r>
        <w:rPr>
          <w:color w:val="333333"/>
          <w:spacing w:val="-21"/>
          <w:w w:val="110"/>
          <w:sz w:val="21"/>
        </w:rPr>
        <w:t xml:space="preserve"> </w:t>
      </w:r>
      <w:r>
        <w:rPr>
          <w:color w:val="333333"/>
          <w:w w:val="110"/>
          <w:sz w:val="21"/>
        </w:rPr>
        <w:t>suffix</w:t>
      </w:r>
      <w:r>
        <w:rPr>
          <w:color w:val="333333"/>
          <w:spacing w:val="-20"/>
          <w:w w:val="110"/>
          <w:sz w:val="21"/>
        </w:rPr>
        <w:t xml:space="preserve"> </w:t>
      </w:r>
      <w:r>
        <w:rPr>
          <w:color w:val="333333"/>
          <w:w w:val="110"/>
          <w:sz w:val="21"/>
        </w:rPr>
        <w:t>is</w:t>
      </w:r>
      <w:r>
        <w:rPr>
          <w:color w:val="333333"/>
          <w:spacing w:val="-20"/>
          <w:w w:val="110"/>
          <w:sz w:val="21"/>
        </w:rPr>
        <w:t xml:space="preserve"> </w:t>
      </w:r>
      <w:r>
        <w:rPr>
          <w:rFonts w:ascii="MS Gothic" w:hAnsi="MS Gothic"/>
          <w:color w:val="B02045"/>
          <w:w w:val="110"/>
          <w:sz w:val="21"/>
        </w:rPr>
        <w:t>spring.thymeleaf.suffix</w:t>
      </w:r>
      <w:r>
        <w:rPr>
          <w:color w:val="333333"/>
          <w:w w:val="110"/>
          <w:sz w:val="21"/>
        </w:rPr>
        <w:t>.</w:t>
      </w:r>
      <w:r>
        <w:rPr>
          <w:color w:val="333333"/>
          <w:spacing w:val="-21"/>
          <w:w w:val="110"/>
          <w:sz w:val="21"/>
        </w:rPr>
        <w:t xml:space="preserve"> </w:t>
      </w:r>
      <w:r>
        <w:rPr>
          <w:color w:val="333333"/>
          <w:w w:val="110"/>
          <w:sz w:val="21"/>
        </w:rPr>
        <w:t>The</w:t>
      </w:r>
      <w:r>
        <w:rPr>
          <w:color w:val="333333"/>
          <w:spacing w:val="-20"/>
          <w:w w:val="110"/>
          <w:sz w:val="21"/>
        </w:rPr>
        <w:t xml:space="preserve"> </w:t>
      </w:r>
      <w:r>
        <w:rPr>
          <w:color w:val="333333"/>
          <w:w w:val="110"/>
          <w:sz w:val="21"/>
        </w:rPr>
        <w:t>values</w:t>
      </w:r>
      <w:r>
        <w:rPr>
          <w:color w:val="333333"/>
          <w:spacing w:val="-21"/>
          <w:w w:val="110"/>
          <w:sz w:val="21"/>
        </w:rPr>
        <w:t xml:space="preserve"> </w:t>
      </w:r>
      <w:r>
        <w:rPr>
          <w:color w:val="333333"/>
          <w:w w:val="110"/>
          <w:sz w:val="21"/>
        </w:rPr>
        <w:t>of</w:t>
      </w:r>
      <w:r>
        <w:rPr>
          <w:color w:val="333333"/>
          <w:spacing w:val="-20"/>
          <w:w w:val="110"/>
          <w:sz w:val="21"/>
        </w:rPr>
        <w:t xml:space="preserve"> </w:t>
      </w:r>
      <w:r>
        <w:rPr>
          <w:color w:val="333333"/>
          <w:w w:val="110"/>
          <w:sz w:val="21"/>
        </w:rPr>
        <w:t>the</w:t>
      </w:r>
      <w:r>
        <w:rPr>
          <w:color w:val="333333"/>
          <w:spacing w:val="-21"/>
          <w:w w:val="110"/>
          <w:sz w:val="21"/>
        </w:rPr>
        <w:t xml:space="preserve"> </w:t>
      </w:r>
      <w:r>
        <w:rPr>
          <w:color w:val="333333"/>
          <w:w w:val="110"/>
          <w:sz w:val="21"/>
        </w:rPr>
        <w:t>prefix</w:t>
      </w:r>
      <w:r>
        <w:rPr>
          <w:color w:val="333333"/>
          <w:spacing w:val="-21"/>
          <w:w w:val="110"/>
          <w:sz w:val="21"/>
        </w:rPr>
        <w:t xml:space="preserve"> </w:t>
      </w:r>
      <w:r>
        <w:rPr>
          <w:color w:val="333333"/>
          <w:w w:val="110"/>
          <w:sz w:val="21"/>
        </w:rPr>
        <w:t xml:space="preserve">and suffix default to ‘classpath:/templates/’ and ‘.html’, </w:t>
      </w:r>
      <w:r>
        <w:rPr>
          <w:color w:val="333333"/>
          <w:spacing w:val="-3"/>
          <w:w w:val="110"/>
          <w:sz w:val="21"/>
        </w:rPr>
        <w:t xml:space="preserve">respectively. </w:t>
      </w:r>
      <w:r>
        <w:rPr>
          <w:color w:val="333333"/>
          <w:spacing w:val="-6"/>
          <w:w w:val="110"/>
          <w:sz w:val="21"/>
        </w:rPr>
        <w:t xml:space="preserve">You </w:t>
      </w:r>
      <w:r>
        <w:rPr>
          <w:color w:val="333333"/>
          <w:w w:val="110"/>
          <w:sz w:val="21"/>
        </w:rPr>
        <w:t xml:space="preserve">can override </w:t>
      </w:r>
      <w:r>
        <w:rPr>
          <w:rFonts w:ascii="MS Gothic" w:hAnsi="MS Gothic"/>
          <w:color w:val="B02045"/>
          <w:w w:val="110"/>
          <w:sz w:val="21"/>
        </w:rPr>
        <w:t>ThymeleafViewResolver</w:t>
      </w:r>
      <w:r>
        <w:rPr>
          <w:rFonts w:ascii="MS Gothic" w:hAnsi="MS Gothic"/>
          <w:color w:val="B02045"/>
          <w:spacing w:val="-56"/>
          <w:w w:val="110"/>
          <w:sz w:val="21"/>
        </w:rPr>
        <w:t xml:space="preserve"> </w:t>
      </w:r>
      <w:r>
        <w:rPr>
          <w:color w:val="333333"/>
          <w:spacing w:val="-3"/>
          <w:w w:val="110"/>
          <w:sz w:val="21"/>
        </w:rPr>
        <w:t xml:space="preserve">by </w:t>
      </w:r>
      <w:r>
        <w:rPr>
          <w:color w:val="333333"/>
          <w:w w:val="110"/>
          <w:sz w:val="21"/>
        </w:rPr>
        <w:t>providing a bean of the same name.</w:t>
      </w:r>
    </w:p>
    <w:p w14:paraId="3243FB97" w14:textId="77777777" w:rsidR="00A720EB" w:rsidRDefault="0030286B">
      <w:pPr>
        <w:pStyle w:val="a6"/>
        <w:numPr>
          <w:ilvl w:val="3"/>
          <w:numId w:val="13"/>
        </w:numPr>
        <w:tabs>
          <w:tab w:val="left" w:pos="485"/>
        </w:tabs>
        <w:spacing w:before="100" w:line="295" w:lineRule="auto"/>
        <w:ind w:right="122"/>
        <w:jc w:val="both"/>
        <w:rPr>
          <w:sz w:val="21"/>
        </w:rPr>
      </w:pPr>
      <w:r>
        <w:rPr>
          <w:color w:val="333333"/>
          <w:w w:val="110"/>
          <w:sz w:val="21"/>
        </w:rPr>
        <w:t xml:space="preserve">If you use FreeMarker, you also have </w:t>
      </w:r>
      <w:proofErr w:type="gramStart"/>
      <w:r>
        <w:rPr>
          <w:color w:val="333333"/>
          <w:w w:val="110"/>
          <w:sz w:val="21"/>
        </w:rPr>
        <w:t xml:space="preserve">a  </w:t>
      </w:r>
      <w:r>
        <w:rPr>
          <w:rFonts w:ascii="MS Gothic" w:hAnsi="MS Gothic"/>
          <w:color w:val="B02045"/>
          <w:w w:val="110"/>
          <w:sz w:val="21"/>
        </w:rPr>
        <w:t>FreeMarkerViewResolver</w:t>
      </w:r>
      <w:proofErr w:type="gramEnd"/>
      <w:r>
        <w:rPr>
          <w:rFonts w:ascii="MS Gothic" w:hAnsi="MS Gothic"/>
          <w:color w:val="B02045"/>
          <w:w w:val="110"/>
          <w:sz w:val="21"/>
        </w:rPr>
        <w:t xml:space="preserve"> </w:t>
      </w:r>
      <w:r>
        <w:rPr>
          <w:color w:val="333333"/>
          <w:w w:val="110"/>
          <w:sz w:val="21"/>
        </w:rPr>
        <w:t xml:space="preserve">named ‘freeMarkerViewResolver’. It looks for resources in a loader path (which is externalized to </w:t>
      </w:r>
      <w:proofErr w:type="gramStart"/>
      <w:r>
        <w:rPr>
          <w:rFonts w:ascii="MS Gothic" w:hAnsi="MS Gothic"/>
          <w:color w:val="B02045"/>
          <w:w w:val="110"/>
          <w:sz w:val="21"/>
        </w:rPr>
        <w:t>spring.freemarker</w:t>
      </w:r>
      <w:proofErr w:type="gramEnd"/>
      <w:r>
        <w:rPr>
          <w:rFonts w:ascii="MS Gothic" w:hAnsi="MS Gothic"/>
          <w:color w:val="B02045"/>
          <w:w w:val="110"/>
          <w:sz w:val="21"/>
        </w:rPr>
        <w:t xml:space="preserve">.templateLoaderPath </w:t>
      </w:r>
      <w:r>
        <w:rPr>
          <w:color w:val="333333"/>
          <w:w w:val="110"/>
          <w:sz w:val="21"/>
        </w:rPr>
        <w:t xml:space="preserve">and has a default value of ‘classpath:/templates/’) </w:t>
      </w:r>
      <w:r>
        <w:rPr>
          <w:color w:val="333333"/>
          <w:spacing w:val="-3"/>
          <w:w w:val="110"/>
          <w:sz w:val="21"/>
        </w:rPr>
        <w:t xml:space="preserve">by </w:t>
      </w:r>
      <w:r>
        <w:rPr>
          <w:color w:val="333333"/>
          <w:w w:val="110"/>
          <w:sz w:val="21"/>
        </w:rPr>
        <w:t xml:space="preserve">surrounding the view name with a prefix and a suffix. The prefix is externalized to </w:t>
      </w:r>
      <w:proofErr w:type="gramStart"/>
      <w:r>
        <w:rPr>
          <w:rFonts w:ascii="MS Gothic" w:hAnsi="MS Gothic"/>
          <w:color w:val="B02045"/>
          <w:w w:val="105"/>
          <w:sz w:val="21"/>
        </w:rPr>
        <w:t>spring.freemarker</w:t>
      </w:r>
      <w:proofErr w:type="gramEnd"/>
      <w:r>
        <w:rPr>
          <w:rFonts w:ascii="MS Gothic" w:hAnsi="MS Gothic"/>
          <w:color w:val="B02045"/>
          <w:w w:val="105"/>
          <w:sz w:val="21"/>
        </w:rPr>
        <w:t>.prefix</w:t>
      </w:r>
      <w:r>
        <w:rPr>
          <w:color w:val="333333"/>
          <w:w w:val="105"/>
          <w:sz w:val="21"/>
        </w:rPr>
        <w:t xml:space="preserve">, and the suffix is externalized to </w:t>
      </w:r>
      <w:r>
        <w:rPr>
          <w:rFonts w:ascii="MS Gothic" w:hAnsi="MS Gothic"/>
          <w:color w:val="B02045"/>
          <w:w w:val="105"/>
          <w:sz w:val="21"/>
        </w:rPr>
        <w:t>spring.freemarker.suffix</w:t>
      </w:r>
      <w:r>
        <w:rPr>
          <w:color w:val="333333"/>
          <w:w w:val="105"/>
          <w:sz w:val="21"/>
        </w:rPr>
        <w:t xml:space="preserve">. The default </w:t>
      </w:r>
      <w:r>
        <w:rPr>
          <w:color w:val="333333"/>
          <w:w w:val="110"/>
          <w:sz w:val="21"/>
        </w:rPr>
        <w:t xml:space="preserve">values of the prefix and suffix are empty and </w:t>
      </w:r>
      <w:proofErr w:type="gramStart"/>
      <w:r>
        <w:rPr>
          <w:color w:val="333333"/>
          <w:w w:val="110"/>
          <w:sz w:val="21"/>
        </w:rPr>
        <w:t>‘.ftlh</w:t>
      </w:r>
      <w:proofErr w:type="gramEnd"/>
      <w:r>
        <w:rPr>
          <w:color w:val="333333"/>
          <w:w w:val="110"/>
          <w:sz w:val="21"/>
        </w:rPr>
        <w:t xml:space="preserve">’, </w:t>
      </w:r>
      <w:r>
        <w:rPr>
          <w:color w:val="333333"/>
          <w:spacing w:val="-3"/>
          <w:w w:val="110"/>
          <w:sz w:val="21"/>
        </w:rPr>
        <w:t xml:space="preserve">respectively. </w:t>
      </w:r>
      <w:r>
        <w:rPr>
          <w:color w:val="333333"/>
          <w:spacing w:val="-6"/>
          <w:w w:val="110"/>
          <w:sz w:val="21"/>
        </w:rPr>
        <w:t xml:space="preserve">You </w:t>
      </w:r>
      <w:r>
        <w:rPr>
          <w:color w:val="333333"/>
          <w:w w:val="110"/>
          <w:sz w:val="21"/>
        </w:rPr>
        <w:t xml:space="preserve">can override </w:t>
      </w:r>
      <w:r>
        <w:rPr>
          <w:rFonts w:ascii="MS Gothic" w:hAnsi="MS Gothic"/>
          <w:color w:val="B02045"/>
          <w:w w:val="110"/>
          <w:sz w:val="21"/>
        </w:rPr>
        <w:t>FreeMarkerViewResolver</w:t>
      </w:r>
      <w:r>
        <w:rPr>
          <w:rFonts w:ascii="MS Gothic" w:hAnsi="MS Gothic"/>
          <w:color w:val="B02045"/>
          <w:spacing w:val="-58"/>
          <w:w w:val="110"/>
          <w:sz w:val="21"/>
        </w:rPr>
        <w:t xml:space="preserve"> </w:t>
      </w:r>
      <w:r>
        <w:rPr>
          <w:color w:val="333333"/>
          <w:spacing w:val="-3"/>
          <w:w w:val="110"/>
          <w:sz w:val="21"/>
        </w:rPr>
        <w:t xml:space="preserve">by </w:t>
      </w:r>
      <w:r>
        <w:rPr>
          <w:color w:val="333333"/>
          <w:w w:val="110"/>
          <w:sz w:val="21"/>
        </w:rPr>
        <w:t>providing a bean of the same name.</w:t>
      </w:r>
    </w:p>
    <w:p w14:paraId="751796CF" w14:textId="77777777" w:rsidR="00A720EB" w:rsidRDefault="0030286B">
      <w:pPr>
        <w:pStyle w:val="a6"/>
        <w:numPr>
          <w:ilvl w:val="3"/>
          <w:numId w:val="13"/>
        </w:numPr>
        <w:tabs>
          <w:tab w:val="left" w:pos="485"/>
        </w:tabs>
        <w:spacing w:before="97" w:line="290" w:lineRule="auto"/>
        <w:ind w:right="120"/>
        <w:jc w:val="both"/>
        <w:rPr>
          <w:sz w:val="21"/>
        </w:rPr>
      </w:pPr>
      <w:r>
        <w:rPr>
          <w:color w:val="333333"/>
          <w:w w:val="110"/>
          <w:sz w:val="21"/>
        </w:rPr>
        <w:t xml:space="preserve">If you use Groovy templates </w:t>
      </w:r>
      <w:r>
        <w:rPr>
          <w:color w:val="333333"/>
          <w:spacing w:val="-3"/>
          <w:w w:val="110"/>
          <w:sz w:val="21"/>
        </w:rPr>
        <w:t xml:space="preserve">(actually, </w:t>
      </w:r>
      <w:r>
        <w:rPr>
          <w:color w:val="333333"/>
          <w:w w:val="110"/>
          <w:sz w:val="21"/>
        </w:rPr>
        <w:t xml:space="preserve">if </w:t>
      </w:r>
      <w:r>
        <w:rPr>
          <w:rFonts w:ascii="MS Gothic" w:hAnsi="MS Gothic"/>
          <w:color w:val="B02045"/>
          <w:w w:val="110"/>
          <w:sz w:val="21"/>
        </w:rPr>
        <w:t xml:space="preserve">groovy-templates </w:t>
      </w:r>
      <w:r>
        <w:rPr>
          <w:color w:val="333333"/>
          <w:w w:val="110"/>
          <w:sz w:val="21"/>
        </w:rPr>
        <w:t xml:space="preserve">is on your classpath), you also have a </w:t>
      </w:r>
      <w:r>
        <w:rPr>
          <w:rFonts w:ascii="MS Gothic" w:hAnsi="MS Gothic"/>
          <w:color w:val="B02045"/>
          <w:w w:val="110"/>
          <w:sz w:val="21"/>
        </w:rPr>
        <w:t xml:space="preserve">GroovyMarkupViewResolver </w:t>
      </w:r>
      <w:r>
        <w:rPr>
          <w:color w:val="333333"/>
          <w:w w:val="110"/>
          <w:sz w:val="21"/>
        </w:rPr>
        <w:t xml:space="preserve">named ‘groovyMarkupViewResolver’. It looks for resources in a loader path </w:t>
      </w:r>
      <w:r>
        <w:rPr>
          <w:color w:val="333333"/>
          <w:spacing w:val="-3"/>
          <w:w w:val="110"/>
          <w:sz w:val="21"/>
        </w:rPr>
        <w:t xml:space="preserve">by </w:t>
      </w:r>
      <w:r>
        <w:rPr>
          <w:color w:val="333333"/>
          <w:w w:val="110"/>
          <w:sz w:val="21"/>
        </w:rPr>
        <w:t xml:space="preserve">surrounding the view name with a prefix and suffix (externalized to </w:t>
      </w:r>
      <w:proofErr w:type="gramStart"/>
      <w:r>
        <w:rPr>
          <w:rFonts w:ascii="MS Gothic" w:hAnsi="MS Gothic"/>
          <w:color w:val="B02045"/>
          <w:w w:val="105"/>
          <w:sz w:val="21"/>
        </w:rPr>
        <w:t>spring.groovy</w:t>
      </w:r>
      <w:proofErr w:type="gramEnd"/>
      <w:r>
        <w:rPr>
          <w:rFonts w:ascii="MS Gothic" w:hAnsi="MS Gothic"/>
          <w:color w:val="B02045"/>
          <w:w w:val="105"/>
          <w:sz w:val="21"/>
        </w:rPr>
        <w:t xml:space="preserve">.template.prefix </w:t>
      </w:r>
      <w:r>
        <w:rPr>
          <w:color w:val="333333"/>
          <w:w w:val="105"/>
          <w:sz w:val="21"/>
        </w:rPr>
        <w:t xml:space="preserve">and </w:t>
      </w:r>
      <w:r>
        <w:rPr>
          <w:rFonts w:ascii="MS Gothic" w:hAnsi="MS Gothic"/>
          <w:color w:val="B02045"/>
          <w:w w:val="105"/>
          <w:sz w:val="21"/>
        </w:rPr>
        <w:t>spring.groovy.template.suffix</w:t>
      </w:r>
      <w:r>
        <w:rPr>
          <w:color w:val="333333"/>
          <w:w w:val="105"/>
          <w:sz w:val="21"/>
        </w:rPr>
        <w:t>). The prefix and suffix</w:t>
      </w:r>
      <w:r>
        <w:rPr>
          <w:color w:val="333333"/>
          <w:spacing w:val="36"/>
          <w:w w:val="105"/>
          <w:sz w:val="21"/>
        </w:rPr>
        <w:t xml:space="preserve"> </w:t>
      </w:r>
      <w:r>
        <w:rPr>
          <w:color w:val="333333"/>
          <w:w w:val="105"/>
          <w:sz w:val="21"/>
        </w:rPr>
        <w:t>have</w:t>
      </w:r>
    </w:p>
    <w:p w14:paraId="250183EE" w14:textId="77777777" w:rsidR="00A720EB" w:rsidRDefault="00A720EB">
      <w:pPr>
        <w:spacing w:line="290" w:lineRule="auto"/>
        <w:jc w:val="both"/>
        <w:rPr>
          <w:sz w:val="21"/>
        </w:rPr>
        <w:sectPr w:rsidR="00A720EB">
          <w:pgSz w:w="11910" w:h="16840"/>
          <w:pgMar w:top="620" w:right="840" w:bottom="520" w:left="840" w:header="0" w:footer="323" w:gutter="0"/>
          <w:cols w:space="720"/>
        </w:sectPr>
      </w:pPr>
    </w:p>
    <w:p w14:paraId="462EF756" w14:textId="77777777" w:rsidR="00A720EB" w:rsidRDefault="0030286B">
      <w:pPr>
        <w:pStyle w:val="a3"/>
        <w:tabs>
          <w:tab w:val="left" w:pos="1433"/>
          <w:tab w:val="left" w:pos="2321"/>
          <w:tab w:val="left" w:pos="2762"/>
          <w:tab w:val="left" w:pos="5198"/>
          <w:tab w:val="left" w:pos="5822"/>
          <w:tab w:val="left" w:pos="6542"/>
          <w:tab w:val="left" w:pos="8027"/>
          <w:tab w:val="left" w:pos="8640"/>
          <w:tab w:val="left" w:pos="9239"/>
        </w:tabs>
        <w:spacing w:before="107"/>
        <w:ind w:left="484"/>
      </w:pPr>
      <w:r>
        <w:rPr>
          <w:color w:val="333333"/>
          <w:w w:val="110"/>
        </w:rPr>
        <w:lastRenderedPageBreak/>
        <w:t>default</w:t>
      </w:r>
      <w:r>
        <w:rPr>
          <w:color w:val="333333"/>
          <w:w w:val="110"/>
        </w:rPr>
        <w:tab/>
        <w:t>values</w:t>
      </w:r>
      <w:r>
        <w:rPr>
          <w:color w:val="333333"/>
          <w:w w:val="110"/>
        </w:rPr>
        <w:tab/>
        <w:t>of</w:t>
      </w:r>
      <w:r>
        <w:rPr>
          <w:color w:val="333333"/>
          <w:w w:val="110"/>
        </w:rPr>
        <w:tab/>
      </w:r>
      <w:r>
        <w:rPr>
          <w:color w:val="333333"/>
          <w:w w:val="105"/>
        </w:rPr>
        <w:t>‘classpath:/templates/’</w:t>
      </w:r>
      <w:r>
        <w:rPr>
          <w:color w:val="333333"/>
          <w:w w:val="105"/>
        </w:rPr>
        <w:tab/>
      </w:r>
      <w:r>
        <w:rPr>
          <w:color w:val="333333"/>
          <w:w w:val="110"/>
        </w:rPr>
        <w:t>and</w:t>
      </w:r>
      <w:r>
        <w:rPr>
          <w:color w:val="333333"/>
          <w:w w:val="110"/>
        </w:rPr>
        <w:tab/>
      </w:r>
      <w:proofErr w:type="gramStart"/>
      <w:r>
        <w:rPr>
          <w:color w:val="333333"/>
          <w:w w:val="110"/>
        </w:rPr>
        <w:t>‘.tpl</w:t>
      </w:r>
      <w:proofErr w:type="gramEnd"/>
      <w:r>
        <w:rPr>
          <w:color w:val="333333"/>
          <w:w w:val="110"/>
        </w:rPr>
        <w:t>’,</w:t>
      </w:r>
      <w:r>
        <w:rPr>
          <w:color w:val="333333"/>
          <w:w w:val="110"/>
        </w:rPr>
        <w:tab/>
      </w:r>
      <w:r>
        <w:rPr>
          <w:color w:val="333333"/>
          <w:spacing w:val="-3"/>
          <w:w w:val="110"/>
        </w:rPr>
        <w:t>respectively.</w:t>
      </w:r>
      <w:r>
        <w:rPr>
          <w:color w:val="333333"/>
          <w:spacing w:val="-3"/>
          <w:w w:val="110"/>
        </w:rPr>
        <w:tab/>
      </w:r>
      <w:r>
        <w:rPr>
          <w:color w:val="333333"/>
          <w:spacing w:val="-6"/>
          <w:w w:val="110"/>
        </w:rPr>
        <w:t>You</w:t>
      </w:r>
      <w:r>
        <w:rPr>
          <w:color w:val="333333"/>
          <w:spacing w:val="-6"/>
          <w:w w:val="110"/>
        </w:rPr>
        <w:tab/>
      </w:r>
      <w:r>
        <w:rPr>
          <w:color w:val="333333"/>
          <w:w w:val="110"/>
        </w:rPr>
        <w:t>can</w:t>
      </w:r>
      <w:r>
        <w:rPr>
          <w:color w:val="333333"/>
          <w:w w:val="110"/>
        </w:rPr>
        <w:tab/>
        <w:t>override</w:t>
      </w:r>
    </w:p>
    <w:p w14:paraId="12D368B9" w14:textId="77777777" w:rsidR="00A720EB" w:rsidRDefault="0030286B">
      <w:pPr>
        <w:pStyle w:val="a3"/>
        <w:spacing w:before="59"/>
        <w:ind w:left="484"/>
      </w:pPr>
      <w:r>
        <w:rPr>
          <w:rFonts w:ascii="MS Gothic"/>
          <w:color w:val="B02045"/>
          <w:w w:val="110"/>
        </w:rPr>
        <w:t>GroovyMarkupViewResolver</w:t>
      </w:r>
      <w:r>
        <w:rPr>
          <w:rFonts w:ascii="MS Gothic"/>
          <w:color w:val="B02045"/>
          <w:spacing w:val="-61"/>
          <w:w w:val="110"/>
        </w:rPr>
        <w:t xml:space="preserve"> </w:t>
      </w:r>
      <w:r>
        <w:rPr>
          <w:color w:val="333333"/>
          <w:spacing w:val="-3"/>
          <w:w w:val="110"/>
        </w:rPr>
        <w:t xml:space="preserve">by </w:t>
      </w:r>
      <w:r>
        <w:rPr>
          <w:color w:val="333333"/>
          <w:w w:val="110"/>
        </w:rPr>
        <w:t>providing a bean of the same name.</w:t>
      </w:r>
    </w:p>
    <w:p w14:paraId="536549D0" w14:textId="77777777" w:rsidR="00A720EB" w:rsidRDefault="0030286B">
      <w:pPr>
        <w:pStyle w:val="a6"/>
        <w:numPr>
          <w:ilvl w:val="3"/>
          <w:numId w:val="13"/>
        </w:numPr>
        <w:tabs>
          <w:tab w:val="left" w:pos="485"/>
        </w:tabs>
        <w:spacing w:before="166" w:line="295" w:lineRule="auto"/>
        <w:ind w:right="120"/>
        <w:jc w:val="both"/>
        <w:rPr>
          <w:sz w:val="21"/>
        </w:rPr>
      </w:pPr>
      <w:r>
        <w:rPr>
          <w:color w:val="333333"/>
          <w:w w:val="110"/>
          <w:sz w:val="21"/>
        </w:rPr>
        <w:t xml:space="preserve">If you use Mustache, you also have a </w:t>
      </w:r>
      <w:r>
        <w:rPr>
          <w:rFonts w:ascii="MS Gothic" w:hAnsi="MS Gothic"/>
          <w:color w:val="B02045"/>
          <w:w w:val="110"/>
          <w:sz w:val="21"/>
        </w:rPr>
        <w:t xml:space="preserve">MustacheViewResolver </w:t>
      </w:r>
      <w:r>
        <w:rPr>
          <w:color w:val="333333"/>
          <w:w w:val="110"/>
          <w:sz w:val="21"/>
        </w:rPr>
        <w:t xml:space="preserve">named ‘mustacheViewResolver’. It looks for resources </w:t>
      </w:r>
      <w:r>
        <w:rPr>
          <w:color w:val="333333"/>
          <w:spacing w:val="-3"/>
          <w:w w:val="110"/>
          <w:sz w:val="21"/>
        </w:rPr>
        <w:t xml:space="preserve">by </w:t>
      </w:r>
      <w:r>
        <w:rPr>
          <w:color w:val="333333"/>
          <w:w w:val="110"/>
          <w:sz w:val="21"/>
        </w:rPr>
        <w:t xml:space="preserve">surrounding the view name with a prefix and suffix. The prefix is </w:t>
      </w:r>
      <w:proofErr w:type="gramStart"/>
      <w:r>
        <w:rPr>
          <w:rFonts w:ascii="MS Gothic" w:hAnsi="MS Gothic"/>
          <w:color w:val="B02045"/>
          <w:w w:val="110"/>
          <w:sz w:val="21"/>
        </w:rPr>
        <w:t>spring.mustache</w:t>
      </w:r>
      <w:proofErr w:type="gramEnd"/>
      <w:r>
        <w:rPr>
          <w:rFonts w:ascii="MS Gothic" w:hAnsi="MS Gothic"/>
          <w:color w:val="B02045"/>
          <w:w w:val="110"/>
          <w:sz w:val="21"/>
        </w:rPr>
        <w:t>.prefix</w:t>
      </w:r>
      <w:r>
        <w:rPr>
          <w:color w:val="333333"/>
          <w:w w:val="110"/>
          <w:sz w:val="21"/>
        </w:rPr>
        <w:t xml:space="preserve">, and the suffix is </w:t>
      </w:r>
      <w:r>
        <w:rPr>
          <w:rFonts w:ascii="MS Gothic" w:hAnsi="MS Gothic"/>
          <w:color w:val="B02045"/>
          <w:w w:val="110"/>
          <w:sz w:val="21"/>
        </w:rPr>
        <w:t>spring.mustache.suffix</w:t>
      </w:r>
      <w:r>
        <w:rPr>
          <w:color w:val="333333"/>
          <w:w w:val="110"/>
          <w:sz w:val="21"/>
        </w:rPr>
        <w:t xml:space="preserve">. The values of the prefix and suffix default to ‘classpath:/templates/’ and </w:t>
      </w:r>
      <w:proofErr w:type="gramStart"/>
      <w:r>
        <w:rPr>
          <w:color w:val="333333"/>
          <w:w w:val="110"/>
          <w:sz w:val="21"/>
        </w:rPr>
        <w:t>‘.mustache</w:t>
      </w:r>
      <w:proofErr w:type="gramEnd"/>
      <w:r>
        <w:rPr>
          <w:color w:val="333333"/>
          <w:w w:val="110"/>
          <w:sz w:val="21"/>
        </w:rPr>
        <w:t xml:space="preserve">’, </w:t>
      </w:r>
      <w:r>
        <w:rPr>
          <w:color w:val="333333"/>
          <w:spacing w:val="-3"/>
          <w:w w:val="110"/>
          <w:sz w:val="21"/>
        </w:rPr>
        <w:t xml:space="preserve">respectively. </w:t>
      </w:r>
      <w:r>
        <w:rPr>
          <w:color w:val="333333"/>
          <w:spacing w:val="-6"/>
          <w:w w:val="110"/>
          <w:sz w:val="21"/>
        </w:rPr>
        <w:t xml:space="preserve">You </w:t>
      </w:r>
      <w:r>
        <w:rPr>
          <w:color w:val="333333"/>
          <w:w w:val="110"/>
          <w:sz w:val="21"/>
        </w:rPr>
        <w:t xml:space="preserve">can override </w:t>
      </w:r>
      <w:r>
        <w:rPr>
          <w:rFonts w:ascii="MS Gothic" w:hAnsi="MS Gothic"/>
          <w:color w:val="B02045"/>
          <w:w w:val="110"/>
          <w:sz w:val="21"/>
        </w:rPr>
        <w:t>MustacheViewResolver</w:t>
      </w:r>
      <w:r>
        <w:rPr>
          <w:rFonts w:ascii="MS Gothic" w:hAnsi="MS Gothic"/>
          <w:color w:val="B02045"/>
          <w:spacing w:val="-55"/>
          <w:w w:val="110"/>
          <w:sz w:val="21"/>
        </w:rPr>
        <w:t xml:space="preserve"> </w:t>
      </w:r>
      <w:r>
        <w:rPr>
          <w:color w:val="333333"/>
          <w:spacing w:val="-3"/>
          <w:w w:val="110"/>
          <w:sz w:val="21"/>
        </w:rPr>
        <w:t xml:space="preserve">by </w:t>
      </w:r>
      <w:r>
        <w:rPr>
          <w:color w:val="333333"/>
          <w:w w:val="110"/>
          <w:sz w:val="21"/>
        </w:rPr>
        <w:t>providing a bean of the same name.</w:t>
      </w:r>
    </w:p>
    <w:p w14:paraId="6FCD8AC6" w14:textId="77777777" w:rsidR="00A720EB" w:rsidRDefault="0030286B">
      <w:pPr>
        <w:pStyle w:val="a3"/>
        <w:spacing w:before="230"/>
        <w:ind w:left="124"/>
      </w:pPr>
      <w:r>
        <w:rPr>
          <w:color w:val="333333"/>
          <w:w w:val="110"/>
        </w:rPr>
        <w:t>For more detail, see the following sections:</w:t>
      </w:r>
    </w:p>
    <w:p w14:paraId="3B51C272" w14:textId="77777777" w:rsidR="00A720EB" w:rsidRDefault="00A720EB">
      <w:pPr>
        <w:pStyle w:val="a3"/>
        <w:spacing w:before="6"/>
        <w:rPr>
          <w:sz w:val="25"/>
        </w:rPr>
      </w:pPr>
    </w:p>
    <w:p w14:paraId="4A9D5446" w14:textId="77777777" w:rsidR="00A720EB" w:rsidRDefault="00E10349">
      <w:pPr>
        <w:pStyle w:val="a6"/>
        <w:numPr>
          <w:ilvl w:val="3"/>
          <w:numId w:val="13"/>
        </w:numPr>
        <w:tabs>
          <w:tab w:val="left" w:pos="485"/>
        </w:tabs>
        <w:rPr>
          <w:rFonts w:ascii="MS Gothic" w:hAnsi="MS Gothic"/>
          <w:sz w:val="21"/>
        </w:rPr>
      </w:pPr>
      <w:hyperlink r:id="rId612">
        <w:r w:rsidR="0030286B">
          <w:rPr>
            <w:rFonts w:ascii="MS Gothic" w:hAnsi="MS Gothic"/>
            <w:color w:val="B02045"/>
            <w:sz w:val="21"/>
          </w:rPr>
          <w:t>WebMvcAutoConfiguration</w:t>
        </w:r>
      </w:hyperlink>
    </w:p>
    <w:p w14:paraId="10B6D880" w14:textId="77777777" w:rsidR="00A720EB" w:rsidRDefault="00E10349">
      <w:pPr>
        <w:pStyle w:val="a6"/>
        <w:numPr>
          <w:ilvl w:val="3"/>
          <w:numId w:val="13"/>
        </w:numPr>
        <w:tabs>
          <w:tab w:val="left" w:pos="485"/>
        </w:tabs>
        <w:spacing w:before="166"/>
        <w:rPr>
          <w:rFonts w:ascii="MS Gothic" w:hAnsi="MS Gothic"/>
          <w:sz w:val="21"/>
        </w:rPr>
      </w:pPr>
      <w:hyperlink r:id="rId613">
        <w:r w:rsidR="0030286B">
          <w:rPr>
            <w:rFonts w:ascii="MS Gothic" w:hAnsi="MS Gothic"/>
            <w:color w:val="B02045"/>
            <w:sz w:val="21"/>
          </w:rPr>
          <w:t>ThymeleafAutoConfiguration</w:t>
        </w:r>
      </w:hyperlink>
    </w:p>
    <w:p w14:paraId="519C5C86" w14:textId="77777777" w:rsidR="00A720EB" w:rsidRDefault="00E10349">
      <w:pPr>
        <w:pStyle w:val="a6"/>
        <w:numPr>
          <w:ilvl w:val="3"/>
          <w:numId w:val="13"/>
        </w:numPr>
        <w:tabs>
          <w:tab w:val="left" w:pos="485"/>
        </w:tabs>
        <w:spacing w:before="167"/>
        <w:rPr>
          <w:rFonts w:ascii="MS Gothic" w:hAnsi="MS Gothic"/>
          <w:sz w:val="21"/>
        </w:rPr>
      </w:pPr>
      <w:hyperlink r:id="rId614">
        <w:r w:rsidR="0030286B">
          <w:rPr>
            <w:rFonts w:ascii="MS Gothic" w:hAnsi="MS Gothic"/>
            <w:color w:val="B02045"/>
            <w:sz w:val="21"/>
          </w:rPr>
          <w:t>FreeMarkerAutoConfiguration</w:t>
        </w:r>
      </w:hyperlink>
    </w:p>
    <w:p w14:paraId="76965918" w14:textId="77777777" w:rsidR="00A720EB" w:rsidRDefault="00E10349">
      <w:pPr>
        <w:pStyle w:val="a6"/>
        <w:numPr>
          <w:ilvl w:val="3"/>
          <w:numId w:val="13"/>
        </w:numPr>
        <w:tabs>
          <w:tab w:val="left" w:pos="485"/>
        </w:tabs>
        <w:spacing w:before="167"/>
        <w:rPr>
          <w:rFonts w:ascii="MS Gothic" w:hAnsi="MS Gothic"/>
          <w:sz w:val="21"/>
        </w:rPr>
      </w:pPr>
      <w:hyperlink r:id="rId615">
        <w:r w:rsidR="0030286B">
          <w:rPr>
            <w:rFonts w:ascii="MS Gothic" w:hAnsi="MS Gothic"/>
            <w:color w:val="B02045"/>
            <w:sz w:val="21"/>
          </w:rPr>
          <w:t>GroovyTemplateAutoConfiguration</w:t>
        </w:r>
      </w:hyperlink>
    </w:p>
    <w:p w14:paraId="00E4D473" w14:textId="77777777" w:rsidR="00A720EB" w:rsidRDefault="00A720EB">
      <w:pPr>
        <w:pStyle w:val="a3"/>
        <w:rPr>
          <w:rFonts w:ascii="MS Gothic"/>
          <w:sz w:val="28"/>
        </w:rPr>
      </w:pPr>
    </w:p>
    <w:p w14:paraId="65B6F473" w14:textId="77777777" w:rsidR="00A720EB" w:rsidRDefault="0030286B">
      <w:pPr>
        <w:pStyle w:val="2"/>
        <w:numPr>
          <w:ilvl w:val="1"/>
          <w:numId w:val="13"/>
        </w:numPr>
        <w:tabs>
          <w:tab w:val="left" w:pos="832"/>
        </w:tabs>
        <w:spacing w:before="1"/>
      </w:pPr>
      <w:bookmarkStart w:id="871" w:name="9.5._Testing_With_Spring_Security"/>
      <w:bookmarkStart w:id="872" w:name="_Toc54423957"/>
      <w:bookmarkEnd w:id="871"/>
      <w:r>
        <w:rPr>
          <w:color w:val="333333"/>
          <w:spacing w:val="-3"/>
          <w:w w:val="110"/>
        </w:rPr>
        <w:t xml:space="preserve">Testing </w:t>
      </w:r>
      <w:proofErr w:type="gramStart"/>
      <w:r>
        <w:rPr>
          <w:color w:val="333333"/>
          <w:w w:val="110"/>
        </w:rPr>
        <w:t>With</w:t>
      </w:r>
      <w:proofErr w:type="gramEnd"/>
      <w:r>
        <w:rPr>
          <w:color w:val="333333"/>
          <w:w w:val="110"/>
        </w:rPr>
        <w:t xml:space="preserve"> Spring</w:t>
      </w:r>
      <w:r>
        <w:rPr>
          <w:color w:val="333333"/>
          <w:spacing w:val="-22"/>
          <w:w w:val="110"/>
        </w:rPr>
        <w:t xml:space="preserve"> </w:t>
      </w:r>
      <w:r>
        <w:rPr>
          <w:color w:val="333333"/>
          <w:w w:val="110"/>
        </w:rPr>
        <w:t>Security</w:t>
      </w:r>
      <w:bookmarkEnd w:id="872"/>
    </w:p>
    <w:p w14:paraId="36CCD438" w14:textId="77777777" w:rsidR="00A720EB" w:rsidRDefault="0030286B">
      <w:pPr>
        <w:pStyle w:val="a3"/>
        <w:spacing w:before="253" w:line="297" w:lineRule="auto"/>
        <w:ind w:left="124"/>
      </w:pPr>
      <w:r>
        <w:rPr>
          <w:color w:val="333333"/>
          <w:w w:val="110"/>
        </w:rPr>
        <w:t xml:space="preserve">Spring Security provides support for running tests as a specific user. For example, the test in the snippet below will run with an authenticated user that has the </w:t>
      </w:r>
      <w:r>
        <w:rPr>
          <w:rFonts w:ascii="MS Gothic"/>
          <w:color w:val="B02045"/>
          <w:w w:val="110"/>
        </w:rPr>
        <w:t xml:space="preserve">ADMIN </w:t>
      </w:r>
      <w:r>
        <w:rPr>
          <w:color w:val="333333"/>
          <w:w w:val="110"/>
        </w:rPr>
        <w:t>role.</w:t>
      </w:r>
    </w:p>
    <w:p w14:paraId="6AF6319F" w14:textId="77777777" w:rsidR="00A720EB" w:rsidRDefault="00E10349">
      <w:pPr>
        <w:pStyle w:val="a3"/>
        <w:spacing w:before="4"/>
        <w:rPr>
          <w:sz w:val="12"/>
        </w:rPr>
      </w:pPr>
      <w:r>
        <w:pict w14:anchorId="3D273560">
          <v:group id="_x0000_s1476" style="position:absolute;margin-left:47.85pt;margin-top:9.25pt;width:499.55pt;height:125.95pt;z-index:-15087104;mso-wrap-distance-left:0;mso-wrap-distance-right:0;mso-position-horizontal-relative:page" coordorigin="957,185" coordsize="9991,2519">
            <v:shape id="_x0000_s1479" style="position:absolute;left:964;top:192;width:9976;height:2504" coordorigin="965,193" coordsize="9976,2504" path="m10861,193r-9816,l1014,199r-26,17l971,241r-6,32l965,2616r6,31l988,2673r26,17l1045,2696r9816,l10892,2690r25,-17l10935,2647r6,-31l10941,273r-6,-32l10917,216r-25,-17l10861,193xe" fillcolor="#f5f5f5" stroked="f">
              <v:path arrowok="t"/>
            </v:shape>
            <v:shape id="_x0000_s1478" style="position:absolute;left:964;top:192;width:9976;height:2504" coordorigin="965,193" coordsize="9976,2504" path="m1045,193r9816,l10892,199r25,17l10935,241r6,32l10941,2616r-6,31l10917,2673r-25,17l10861,2696r-9816,l1014,2690r-26,-17l971,2647r-6,-31l965,273r6,-32l988,216r26,-17l1045,193xe" filled="f" strokecolor="#ccc">
              <v:path arrowok="t"/>
            </v:shape>
            <v:shape id="_x0000_s1477" type="#_x0000_t202" style="position:absolute;left:984;top:208;width:9938;height:2473" filled="f" stroked="f">
              <v:textbox inset="0,0,0,0">
                <w:txbxContent>
                  <w:p w14:paraId="274B4D39" w14:textId="77777777" w:rsidR="00711A16" w:rsidRDefault="00711A16">
                    <w:pPr>
                      <w:spacing w:before="221" w:line="252" w:lineRule="auto"/>
                      <w:ind w:left="200" w:right="6638"/>
                      <w:rPr>
                        <w:rFonts w:ascii="MS Gothic"/>
                      </w:rPr>
                    </w:pPr>
                    <w:r>
                      <w:rPr>
                        <w:rFonts w:ascii="MS Gothic"/>
                        <w:color w:val="333333"/>
                      </w:rPr>
                      <w:t>@Test @WithMockUser(roles="ADMIN")</w:t>
                    </w:r>
                  </w:p>
                  <w:p w14:paraId="0EDE4905" w14:textId="77777777" w:rsidR="00711A16" w:rsidRDefault="00711A16">
                    <w:pPr>
                      <w:spacing w:line="252" w:lineRule="auto"/>
                      <w:ind w:left="640" w:right="3118" w:hanging="440"/>
                      <w:rPr>
                        <w:rFonts w:ascii="MS Gothic"/>
                      </w:rPr>
                    </w:pPr>
                    <w:r>
                      <w:rPr>
                        <w:rFonts w:ascii="MS Gothic"/>
                        <w:color w:val="333333"/>
                      </w:rPr>
                      <w:t xml:space="preserve">public void </w:t>
                    </w:r>
                    <w:proofErr w:type="gramStart"/>
                    <w:r>
                      <w:rPr>
                        <w:rFonts w:ascii="MS Gothic"/>
                        <w:color w:val="333333"/>
                      </w:rPr>
                      <w:t>requestProtectedUrlWithUser(</w:t>
                    </w:r>
                    <w:proofErr w:type="gramEnd"/>
                    <w:r>
                      <w:rPr>
                        <w:rFonts w:ascii="MS Gothic"/>
                        <w:color w:val="333333"/>
                      </w:rPr>
                      <w:t>) throws Exception { mvc</w:t>
                    </w:r>
                  </w:p>
                  <w:p w14:paraId="00A3F8F8" w14:textId="77777777" w:rsidR="00711A16" w:rsidRDefault="00711A16">
                    <w:pPr>
                      <w:spacing w:line="280" w:lineRule="exact"/>
                      <w:ind w:left="1080"/>
                      <w:rPr>
                        <w:rFonts w:ascii="MS Gothic"/>
                      </w:rPr>
                    </w:pPr>
                    <w:proofErr w:type="gramStart"/>
                    <w:r>
                      <w:rPr>
                        <w:rFonts w:ascii="MS Gothic"/>
                        <w:color w:val="333333"/>
                      </w:rPr>
                      <w:t>.perform</w:t>
                    </w:r>
                    <w:proofErr w:type="gramEnd"/>
                    <w:r>
                      <w:rPr>
                        <w:rFonts w:ascii="MS Gothic"/>
                        <w:color w:val="333333"/>
                      </w:rPr>
                      <w:t>(get("/"))</w:t>
                    </w:r>
                  </w:p>
                  <w:p w14:paraId="2D9305C1" w14:textId="77777777" w:rsidR="00711A16" w:rsidRDefault="00711A16">
                    <w:pPr>
                      <w:spacing w:before="10"/>
                      <w:ind w:left="1080"/>
                      <w:rPr>
                        <w:rFonts w:ascii="MS Gothic"/>
                      </w:rPr>
                    </w:pPr>
                    <w:r>
                      <w:rPr>
                        <w:rFonts w:ascii="MS Gothic"/>
                        <w:color w:val="333333"/>
                      </w:rPr>
                      <w:t>...</w:t>
                    </w:r>
                  </w:p>
                  <w:p w14:paraId="7C5097C6"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01DA9355" w14:textId="77777777" w:rsidR="00A720EB" w:rsidRDefault="00A720EB">
      <w:pPr>
        <w:pStyle w:val="a3"/>
        <w:rPr>
          <w:sz w:val="10"/>
        </w:rPr>
      </w:pPr>
    </w:p>
    <w:p w14:paraId="3952CD04" w14:textId="77777777" w:rsidR="00A720EB" w:rsidRDefault="0030286B">
      <w:pPr>
        <w:pStyle w:val="a3"/>
        <w:spacing w:before="125" w:line="297" w:lineRule="auto"/>
        <w:ind w:left="124" w:right="136"/>
        <w:jc w:val="both"/>
      </w:pPr>
      <w:r>
        <w:rPr>
          <w:color w:val="333333"/>
          <w:w w:val="110"/>
        </w:rPr>
        <w:t xml:space="preserve">Spring Security provides comprehensive integration with Spring MVC </w:t>
      </w:r>
      <w:r>
        <w:rPr>
          <w:color w:val="333333"/>
          <w:spacing w:val="-3"/>
          <w:w w:val="110"/>
        </w:rPr>
        <w:t xml:space="preserve">Test </w:t>
      </w:r>
      <w:r>
        <w:rPr>
          <w:color w:val="333333"/>
          <w:w w:val="110"/>
        </w:rPr>
        <w:t xml:space="preserve">and this can also be used when testing controllers using the </w:t>
      </w:r>
      <w:r>
        <w:rPr>
          <w:rFonts w:ascii="MS Gothic"/>
          <w:color w:val="B02045"/>
          <w:w w:val="110"/>
        </w:rPr>
        <w:t>@WebMvcTest</w:t>
      </w:r>
      <w:r>
        <w:rPr>
          <w:rFonts w:ascii="MS Gothic"/>
          <w:color w:val="B02045"/>
          <w:spacing w:val="-57"/>
          <w:w w:val="110"/>
        </w:rPr>
        <w:t xml:space="preserve"> </w:t>
      </w:r>
      <w:r>
        <w:rPr>
          <w:color w:val="333333"/>
          <w:w w:val="110"/>
        </w:rPr>
        <w:t xml:space="preserve">slice and </w:t>
      </w:r>
      <w:r>
        <w:rPr>
          <w:rFonts w:ascii="MS Gothic"/>
          <w:color w:val="B02045"/>
          <w:w w:val="110"/>
        </w:rPr>
        <w:t>MockMvc</w:t>
      </w:r>
      <w:r>
        <w:rPr>
          <w:color w:val="333333"/>
          <w:w w:val="110"/>
        </w:rPr>
        <w:t>.</w:t>
      </w:r>
    </w:p>
    <w:p w14:paraId="388FE195" w14:textId="77777777" w:rsidR="00A720EB" w:rsidRDefault="0030286B">
      <w:pPr>
        <w:pStyle w:val="a3"/>
        <w:spacing w:before="232" w:line="307" w:lineRule="auto"/>
        <w:ind w:left="124" w:right="122"/>
        <w:jc w:val="both"/>
      </w:pPr>
      <w:r>
        <w:rPr>
          <w:color w:val="333333"/>
          <w:w w:val="110"/>
        </w:rPr>
        <w:t xml:space="preserve">For additional details on Spring Security’s testing support, refer to Spring Security’s </w:t>
      </w:r>
      <w:hyperlink r:id="rId616" w:anchor="test">
        <w:r>
          <w:rPr>
            <w:color w:val="418BCA"/>
            <w:w w:val="110"/>
          </w:rPr>
          <w:t>reference</w:t>
        </w:r>
      </w:hyperlink>
      <w:r>
        <w:rPr>
          <w:color w:val="418BCA"/>
          <w:w w:val="110"/>
        </w:rPr>
        <w:t xml:space="preserve"> </w:t>
      </w:r>
      <w:hyperlink r:id="rId617" w:anchor="test">
        <w:r>
          <w:rPr>
            <w:color w:val="418BCA"/>
            <w:w w:val="110"/>
          </w:rPr>
          <w:t>documentation</w:t>
        </w:r>
      </w:hyperlink>
      <w:r>
        <w:rPr>
          <w:color w:val="333333"/>
          <w:w w:val="110"/>
        </w:rPr>
        <w:t>).</w:t>
      </w:r>
    </w:p>
    <w:p w14:paraId="02CDD46B" w14:textId="77777777" w:rsidR="00A720EB" w:rsidRDefault="00A720EB">
      <w:pPr>
        <w:pStyle w:val="a3"/>
        <w:spacing w:before="11"/>
        <w:rPr>
          <w:sz w:val="25"/>
        </w:rPr>
      </w:pPr>
    </w:p>
    <w:p w14:paraId="2D5AC4B2" w14:textId="77777777" w:rsidR="00A720EB" w:rsidRDefault="0030286B">
      <w:pPr>
        <w:pStyle w:val="2"/>
        <w:numPr>
          <w:ilvl w:val="1"/>
          <w:numId w:val="13"/>
        </w:numPr>
        <w:tabs>
          <w:tab w:val="left" w:pos="832"/>
        </w:tabs>
      </w:pPr>
      <w:bookmarkStart w:id="873" w:name="9.6._Jersey"/>
      <w:bookmarkStart w:id="874" w:name="_Toc54423958"/>
      <w:bookmarkEnd w:id="873"/>
      <w:r>
        <w:rPr>
          <w:color w:val="333333"/>
          <w:w w:val="110"/>
        </w:rPr>
        <w:t>Jersey</w:t>
      </w:r>
      <w:bookmarkEnd w:id="874"/>
    </w:p>
    <w:p w14:paraId="0E38A082" w14:textId="77777777" w:rsidR="00A720EB" w:rsidRDefault="0030286B">
      <w:pPr>
        <w:pStyle w:val="3"/>
        <w:numPr>
          <w:ilvl w:val="2"/>
          <w:numId w:val="13"/>
        </w:numPr>
        <w:tabs>
          <w:tab w:val="left" w:pos="858"/>
        </w:tabs>
        <w:spacing w:before="314"/>
        <w:ind w:hanging="734"/>
      </w:pPr>
      <w:bookmarkStart w:id="875" w:name="9.6.1._Secure_Jersey_endpoints_with_Spri"/>
      <w:bookmarkStart w:id="876" w:name="_Toc54423959"/>
      <w:bookmarkEnd w:id="875"/>
      <w:r>
        <w:rPr>
          <w:color w:val="333333"/>
          <w:w w:val="110"/>
        </w:rPr>
        <w:t>Secure Jersey endpoints with Spring</w:t>
      </w:r>
      <w:r>
        <w:rPr>
          <w:color w:val="333333"/>
          <w:spacing w:val="-29"/>
          <w:w w:val="110"/>
        </w:rPr>
        <w:t xml:space="preserve"> </w:t>
      </w:r>
      <w:r>
        <w:rPr>
          <w:color w:val="333333"/>
          <w:w w:val="110"/>
        </w:rPr>
        <w:t>Security</w:t>
      </w:r>
      <w:bookmarkEnd w:id="876"/>
    </w:p>
    <w:p w14:paraId="2D725C6A" w14:textId="77777777" w:rsidR="00A720EB" w:rsidRDefault="0030286B">
      <w:pPr>
        <w:pStyle w:val="a3"/>
        <w:spacing w:before="254" w:line="295" w:lineRule="auto"/>
        <w:ind w:left="124" w:right="123"/>
        <w:jc w:val="both"/>
      </w:pPr>
      <w:r>
        <w:rPr>
          <w:color w:val="333333"/>
          <w:w w:val="110"/>
        </w:rPr>
        <w:t xml:space="preserve">Spring Security can be used to secure a Jersey-based web application in much the same way as it    can be used to secure a Spring MVC-based web application. However, if you want to use Spring Security’s method-level security with </w:t>
      </w:r>
      <w:r>
        <w:rPr>
          <w:color w:val="333333"/>
          <w:spacing w:val="-4"/>
          <w:w w:val="110"/>
        </w:rPr>
        <w:t xml:space="preserve">Jersey, </w:t>
      </w:r>
      <w:r>
        <w:rPr>
          <w:color w:val="333333"/>
          <w:w w:val="110"/>
        </w:rPr>
        <w:t xml:space="preserve">you must configure Jersey to use </w:t>
      </w:r>
      <w:r>
        <w:rPr>
          <w:rFonts w:ascii="MS Gothic" w:hAnsi="MS Gothic"/>
          <w:color w:val="B02045"/>
          <w:w w:val="110"/>
        </w:rPr>
        <w:t>setStatus(int)</w:t>
      </w:r>
      <w:r>
        <w:rPr>
          <w:rFonts w:ascii="MS Gothic" w:hAnsi="MS Gothic"/>
          <w:color w:val="B02045"/>
          <w:spacing w:val="-66"/>
          <w:w w:val="110"/>
        </w:rPr>
        <w:t xml:space="preserve"> </w:t>
      </w:r>
      <w:r>
        <w:rPr>
          <w:color w:val="333333"/>
          <w:w w:val="110"/>
        </w:rPr>
        <w:t xml:space="preserve">rather </w:t>
      </w:r>
      <w:r>
        <w:rPr>
          <w:rFonts w:ascii="MS Gothic" w:hAnsi="MS Gothic"/>
          <w:color w:val="B02045"/>
          <w:w w:val="110"/>
        </w:rPr>
        <w:t>sendError(int)</w:t>
      </w:r>
      <w:r>
        <w:rPr>
          <w:color w:val="333333"/>
          <w:w w:val="110"/>
        </w:rPr>
        <w:t>. This prevents Jersey from committing the response before Spring Security has had an opportunity to report an authentication or authorization failure to the</w:t>
      </w:r>
      <w:r>
        <w:rPr>
          <w:color w:val="333333"/>
          <w:spacing w:val="48"/>
          <w:w w:val="110"/>
        </w:rPr>
        <w:t xml:space="preserve"> </w:t>
      </w:r>
      <w:r>
        <w:rPr>
          <w:color w:val="333333"/>
          <w:w w:val="110"/>
        </w:rPr>
        <w:t>client.</w:t>
      </w:r>
    </w:p>
    <w:p w14:paraId="17502966" w14:textId="77777777" w:rsidR="00A720EB" w:rsidRDefault="0030286B">
      <w:pPr>
        <w:pStyle w:val="a3"/>
        <w:spacing w:before="237" w:line="280" w:lineRule="auto"/>
        <w:ind w:left="124" w:right="122"/>
        <w:jc w:val="both"/>
      </w:pPr>
      <w:r>
        <w:rPr>
          <w:color w:val="333333"/>
          <w:w w:val="110"/>
        </w:rPr>
        <w:t xml:space="preserve">The </w:t>
      </w:r>
      <w:r>
        <w:rPr>
          <w:rFonts w:ascii="MS Gothic" w:hAnsi="MS Gothic"/>
          <w:color w:val="B02045"/>
          <w:w w:val="110"/>
        </w:rPr>
        <w:t>jersey.</w:t>
      </w:r>
      <w:proofErr w:type="gramStart"/>
      <w:r>
        <w:rPr>
          <w:rFonts w:ascii="MS Gothic" w:hAnsi="MS Gothic"/>
          <w:color w:val="B02045"/>
          <w:w w:val="110"/>
        </w:rPr>
        <w:t>config.server</w:t>
      </w:r>
      <w:proofErr w:type="gramEnd"/>
      <w:r>
        <w:rPr>
          <w:rFonts w:ascii="MS Gothic" w:hAnsi="MS Gothic"/>
          <w:color w:val="B02045"/>
          <w:w w:val="110"/>
        </w:rPr>
        <w:t>.response.setStatusOverSendError</w:t>
      </w:r>
      <w:r>
        <w:rPr>
          <w:rFonts w:ascii="MS Gothic" w:hAnsi="MS Gothic"/>
          <w:color w:val="B02045"/>
          <w:spacing w:val="-66"/>
          <w:w w:val="110"/>
        </w:rPr>
        <w:t xml:space="preserve"> </w:t>
      </w:r>
      <w:r>
        <w:rPr>
          <w:color w:val="333333"/>
          <w:w w:val="110"/>
        </w:rPr>
        <w:t xml:space="preserve">property must be set to </w:t>
      </w:r>
      <w:r>
        <w:rPr>
          <w:rFonts w:ascii="MS Gothic" w:hAnsi="MS Gothic"/>
          <w:color w:val="B02045"/>
          <w:w w:val="110"/>
        </w:rPr>
        <w:t>true</w:t>
      </w:r>
      <w:r>
        <w:rPr>
          <w:rFonts w:ascii="MS Gothic" w:hAnsi="MS Gothic"/>
          <w:color w:val="B02045"/>
          <w:spacing w:val="-66"/>
          <w:w w:val="110"/>
        </w:rPr>
        <w:t xml:space="preserve"> </w:t>
      </w:r>
      <w:r>
        <w:rPr>
          <w:color w:val="333333"/>
          <w:w w:val="110"/>
        </w:rPr>
        <w:t xml:space="preserve">on the application’s </w:t>
      </w:r>
      <w:r>
        <w:rPr>
          <w:rFonts w:ascii="MS Gothic" w:hAnsi="MS Gothic"/>
          <w:color w:val="B02045"/>
          <w:w w:val="110"/>
        </w:rPr>
        <w:t xml:space="preserve">ResourceConfig </w:t>
      </w:r>
      <w:r>
        <w:rPr>
          <w:color w:val="333333"/>
          <w:w w:val="110"/>
        </w:rPr>
        <w:t>bean, as shown in the following example:</w:t>
      </w:r>
    </w:p>
    <w:p w14:paraId="7950EE31" w14:textId="77777777" w:rsidR="00A720EB" w:rsidRDefault="00A720EB">
      <w:pPr>
        <w:spacing w:line="280" w:lineRule="auto"/>
        <w:jc w:val="both"/>
        <w:sectPr w:rsidR="00A720EB">
          <w:pgSz w:w="11910" w:h="16840"/>
          <w:pgMar w:top="620" w:right="840" w:bottom="520" w:left="840" w:header="0" w:footer="323" w:gutter="0"/>
          <w:cols w:space="720"/>
        </w:sectPr>
      </w:pPr>
    </w:p>
    <w:p w14:paraId="30CEBA39" w14:textId="77777777" w:rsidR="00A720EB" w:rsidRDefault="00E10349">
      <w:pPr>
        <w:pStyle w:val="a3"/>
        <w:ind w:left="116"/>
        <w:rPr>
          <w:sz w:val="20"/>
        </w:rPr>
      </w:pPr>
      <w:r>
        <w:rPr>
          <w:sz w:val="20"/>
        </w:rPr>
      </w:r>
      <w:r>
        <w:rPr>
          <w:sz w:val="20"/>
        </w:rPr>
        <w:pict w14:anchorId="01AA9277">
          <v:group id="_x0000_s1472" style="width:499.55pt;height:184.9pt;mso-position-horizontal-relative:char;mso-position-vertical-relative:line" coordsize="9991,3698">
            <v:shape id="_x0000_s1475" style="position:absolute;left:7;top:7;width:9976;height:3683" coordorigin="8,8" coordsize="9976,3683" path="m9904,8l88,8,56,14,31,31,14,56,8,88r,3522l14,3641r17,26l56,3684r32,6l9904,3690r31,-6l9960,3667r17,-26l9984,3610r,-3522l9977,56,9960,31,9935,14,9904,8xe" fillcolor="#f5f5f5" stroked="f">
              <v:path arrowok="t"/>
            </v:shape>
            <v:shape id="_x0000_s1474" style="position:absolute;left:7;top:7;width:9976;height:3683" coordorigin="8,8" coordsize="9976,3683" path="m88,8r9816,l9935,14r25,17l9977,56r7,32l9984,3610r-7,31l9960,3667r-25,17l9904,3690r-9816,l56,3684,31,3667,14,3641,8,3610,8,88,14,56,31,31,56,14,88,8xe" filled="f" strokecolor="#ccc">
              <v:path arrowok="t"/>
            </v:shape>
            <v:shape id="_x0000_s1473" type="#_x0000_t202" style="position:absolute;left:26;top:22;width:9938;height:3652" filled="f" stroked="f">
              <v:textbox inset="0,0,0,0">
                <w:txbxContent>
                  <w:p w14:paraId="1358FF83" w14:textId="77777777" w:rsidR="00711A16" w:rsidRDefault="00711A16">
                    <w:pPr>
                      <w:spacing w:before="221"/>
                      <w:ind w:left="200"/>
                      <w:rPr>
                        <w:rFonts w:ascii="MS Gothic"/>
                      </w:rPr>
                    </w:pPr>
                    <w:r>
                      <w:rPr>
                        <w:rFonts w:ascii="MS Gothic"/>
                        <w:color w:val="333333"/>
                      </w:rPr>
                      <w:t>@Component</w:t>
                    </w:r>
                  </w:p>
                  <w:p w14:paraId="584F0E9E" w14:textId="77777777" w:rsidR="00711A16" w:rsidRDefault="00711A16">
                    <w:pPr>
                      <w:spacing w:before="13"/>
                      <w:ind w:left="200"/>
                      <w:rPr>
                        <w:rFonts w:ascii="MS Gothic"/>
                      </w:rPr>
                    </w:pPr>
                    <w:r>
                      <w:rPr>
                        <w:rFonts w:ascii="MS Gothic"/>
                        <w:color w:val="333333"/>
                      </w:rPr>
                      <w:t>public class JerseyConfig extends ResourceConfig {</w:t>
                    </w:r>
                  </w:p>
                  <w:p w14:paraId="6BF0AEEB" w14:textId="77777777" w:rsidR="00711A16" w:rsidRDefault="00711A16">
                    <w:pPr>
                      <w:rPr>
                        <w:rFonts w:ascii="MS Gothic"/>
                        <w:sz w:val="24"/>
                      </w:rPr>
                    </w:pPr>
                  </w:p>
                  <w:p w14:paraId="0B736051" w14:textId="77777777" w:rsidR="00711A16" w:rsidRDefault="00711A16">
                    <w:pPr>
                      <w:spacing w:line="252" w:lineRule="auto"/>
                      <w:ind w:left="1080" w:right="6088" w:hanging="440"/>
                      <w:rPr>
                        <w:rFonts w:ascii="MS Gothic"/>
                      </w:rPr>
                    </w:pPr>
                    <w:r>
                      <w:rPr>
                        <w:rFonts w:ascii="MS Gothic"/>
                        <w:color w:val="333333"/>
                      </w:rPr>
                      <w:t xml:space="preserve">public </w:t>
                    </w:r>
                    <w:proofErr w:type="gramStart"/>
                    <w:r>
                      <w:rPr>
                        <w:rFonts w:ascii="MS Gothic"/>
                        <w:color w:val="333333"/>
                      </w:rPr>
                      <w:t>JerseyConfig(</w:t>
                    </w:r>
                    <w:proofErr w:type="gramEnd"/>
                    <w:r>
                      <w:rPr>
                        <w:rFonts w:ascii="MS Gothic"/>
                        <w:color w:val="333333"/>
                      </w:rPr>
                      <w:t>) { register(Endpoint.class);</w:t>
                    </w:r>
                  </w:p>
                  <w:p w14:paraId="6442A91D" w14:textId="77777777" w:rsidR="00711A16" w:rsidRDefault="00711A16">
                    <w:pPr>
                      <w:spacing w:before="10"/>
                      <w:rPr>
                        <w:rFonts w:ascii="MS Gothic"/>
                      </w:rPr>
                    </w:pPr>
                  </w:p>
                  <w:p w14:paraId="6C5EA562" w14:textId="77777777" w:rsidR="00711A16" w:rsidRDefault="00711A16">
                    <w:pPr>
                      <w:spacing w:line="252" w:lineRule="auto"/>
                      <w:ind w:left="200" w:right="258"/>
                      <w:rPr>
                        <w:rFonts w:ascii="MS Gothic"/>
                      </w:rPr>
                    </w:pPr>
                    <w:proofErr w:type="gramStart"/>
                    <w:r>
                      <w:rPr>
                        <w:rFonts w:ascii="MS Gothic"/>
                        <w:color w:val="333333"/>
                      </w:rPr>
                      <w:t>setProperties(</w:t>
                    </w:r>
                    <w:proofErr w:type="gramEnd"/>
                    <w:r>
                      <w:rPr>
                        <w:rFonts w:ascii="MS Gothic"/>
                        <w:color w:val="333333"/>
                      </w:rPr>
                      <w:t>Collections.singletonMap("jersey.config.server.response.setStatusOverSen dError", true));</w:t>
                    </w:r>
                  </w:p>
                  <w:p w14:paraId="05FB975E" w14:textId="77777777" w:rsidR="00711A16" w:rsidRDefault="00711A16">
                    <w:pPr>
                      <w:spacing w:line="280" w:lineRule="exact"/>
                      <w:ind w:left="640"/>
                      <w:rPr>
                        <w:rFonts w:ascii="MS Gothic"/>
                      </w:rPr>
                    </w:pPr>
                    <w:r>
                      <w:rPr>
                        <w:rFonts w:ascii="MS Gothic"/>
                        <w:color w:val="333333"/>
                      </w:rPr>
                      <w:t>}</w:t>
                    </w:r>
                  </w:p>
                  <w:p w14:paraId="1FEAA0E1" w14:textId="77777777" w:rsidR="00711A16" w:rsidRDefault="00711A16">
                    <w:pPr>
                      <w:spacing w:before="1"/>
                      <w:rPr>
                        <w:rFonts w:ascii="MS Gothic"/>
                        <w:sz w:val="24"/>
                      </w:rPr>
                    </w:pPr>
                  </w:p>
                  <w:p w14:paraId="072AA644" w14:textId="77777777" w:rsidR="00711A16" w:rsidRDefault="00711A16">
                    <w:pPr>
                      <w:ind w:left="200"/>
                      <w:rPr>
                        <w:rFonts w:ascii="MS Gothic"/>
                      </w:rPr>
                    </w:pPr>
                    <w:r>
                      <w:rPr>
                        <w:rFonts w:ascii="MS Gothic"/>
                        <w:color w:val="333333"/>
                      </w:rPr>
                      <w:t>}</w:t>
                    </w:r>
                  </w:p>
                </w:txbxContent>
              </v:textbox>
            </v:shape>
            <w10:anchorlock/>
          </v:group>
        </w:pict>
      </w:r>
    </w:p>
    <w:p w14:paraId="05CAF042" w14:textId="77777777" w:rsidR="00A720EB" w:rsidRDefault="00A720EB">
      <w:pPr>
        <w:pStyle w:val="a3"/>
        <w:spacing w:before="8"/>
        <w:rPr>
          <w:sz w:val="16"/>
        </w:rPr>
      </w:pPr>
    </w:p>
    <w:p w14:paraId="556FB565" w14:textId="77777777" w:rsidR="00A720EB" w:rsidRDefault="0030286B">
      <w:pPr>
        <w:pStyle w:val="3"/>
        <w:numPr>
          <w:ilvl w:val="2"/>
          <w:numId w:val="13"/>
        </w:numPr>
        <w:tabs>
          <w:tab w:val="left" w:pos="858"/>
        </w:tabs>
        <w:spacing w:before="105"/>
        <w:ind w:hanging="734"/>
      </w:pPr>
      <w:bookmarkStart w:id="877" w:name="9.6.2._Use_Jersey_Alongside_Another_Web_"/>
      <w:bookmarkStart w:id="878" w:name="_Toc54423960"/>
      <w:bookmarkEnd w:id="877"/>
      <w:r>
        <w:rPr>
          <w:color w:val="333333"/>
          <w:w w:val="110"/>
        </w:rPr>
        <w:t xml:space="preserve">Use Jersey Alongside Another </w:t>
      </w:r>
      <w:r>
        <w:rPr>
          <w:color w:val="333333"/>
          <w:spacing w:val="-6"/>
          <w:w w:val="110"/>
        </w:rPr>
        <w:t>Web</w:t>
      </w:r>
      <w:r>
        <w:rPr>
          <w:color w:val="333333"/>
          <w:spacing w:val="-30"/>
          <w:w w:val="110"/>
        </w:rPr>
        <w:t xml:space="preserve"> </w:t>
      </w:r>
      <w:r>
        <w:rPr>
          <w:color w:val="333333"/>
          <w:w w:val="110"/>
        </w:rPr>
        <w:t>Framework</w:t>
      </w:r>
      <w:bookmarkEnd w:id="878"/>
    </w:p>
    <w:p w14:paraId="398EBDFB" w14:textId="77777777" w:rsidR="00A720EB" w:rsidRDefault="0030286B">
      <w:pPr>
        <w:pStyle w:val="a3"/>
        <w:spacing w:before="254" w:line="295" w:lineRule="auto"/>
        <w:ind w:left="124" w:right="122"/>
        <w:jc w:val="both"/>
      </w:pPr>
      <w:proofErr w:type="gramStart"/>
      <w:r>
        <w:rPr>
          <w:color w:val="333333"/>
          <w:spacing w:val="-4"/>
          <w:w w:val="110"/>
        </w:rPr>
        <w:t xml:space="preserve">To  </w:t>
      </w:r>
      <w:r>
        <w:rPr>
          <w:color w:val="333333"/>
          <w:w w:val="110"/>
        </w:rPr>
        <w:t>use</w:t>
      </w:r>
      <w:proofErr w:type="gramEnd"/>
      <w:r>
        <w:rPr>
          <w:color w:val="333333"/>
          <w:w w:val="110"/>
        </w:rPr>
        <w:t xml:space="preserve"> Jersey alongside another web framework, such as Spring MVC, it should be configured so   that it will allow the other framework to handle requests that  it cannot handle. First, </w:t>
      </w:r>
      <w:proofErr w:type="gramStart"/>
      <w:r>
        <w:rPr>
          <w:color w:val="333333"/>
          <w:w w:val="110"/>
        </w:rPr>
        <w:t>configure  Jersey</w:t>
      </w:r>
      <w:proofErr w:type="gramEnd"/>
      <w:r>
        <w:rPr>
          <w:color w:val="333333"/>
          <w:w w:val="110"/>
        </w:rPr>
        <w:t xml:space="preserve"> to use a Filter rather than a Servlet </w:t>
      </w:r>
      <w:r>
        <w:rPr>
          <w:color w:val="333333"/>
          <w:spacing w:val="-3"/>
          <w:w w:val="110"/>
        </w:rPr>
        <w:t xml:space="preserve">by </w:t>
      </w:r>
      <w:r>
        <w:rPr>
          <w:color w:val="333333"/>
          <w:w w:val="110"/>
        </w:rPr>
        <w:t xml:space="preserve">configuring the </w:t>
      </w:r>
      <w:r>
        <w:rPr>
          <w:rFonts w:ascii="MS Gothic"/>
          <w:color w:val="B02045"/>
          <w:w w:val="110"/>
        </w:rPr>
        <w:t xml:space="preserve">spring.jersey.type </w:t>
      </w:r>
      <w:r>
        <w:rPr>
          <w:color w:val="333333"/>
          <w:w w:val="110"/>
        </w:rPr>
        <w:t xml:space="preserve">application property with a value of </w:t>
      </w:r>
      <w:r>
        <w:rPr>
          <w:rFonts w:ascii="MS Gothic"/>
          <w:color w:val="B02045"/>
          <w:w w:val="110"/>
        </w:rPr>
        <w:t>filter</w:t>
      </w:r>
      <w:r>
        <w:rPr>
          <w:color w:val="333333"/>
          <w:w w:val="110"/>
        </w:rPr>
        <w:t xml:space="preserve">. Second, configure your </w:t>
      </w:r>
      <w:r>
        <w:rPr>
          <w:rFonts w:ascii="MS Gothic"/>
          <w:color w:val="B02045"/>
          <w:w w:val="110"/>
        </w:rPr>
        <w:t xml:space="preserve">ResourceConfig </w:t>
      </w:r>
      <w:r>
        <w:rPr>
          <w:color w:val="333333"/>
          <w:w w:val="110"/>
        </w:rPr>
        <w:t>to forward requests that would have resulted in a 404, as shown in the following</w:t>
      </w:r>
      <w:r>
        <w:rPr>
          <w:color w:val="333333"/>
          <w:spacing w:val="37"/>
          <w:w w:val="110"/>
        </w:rPr>
        <w:t xml:space="preserve"> </w:t>
      </w:r>
      <w:r>
        <w:rPr>
          <w:color w:val="333333"/>
          <w:w w:val="110"/>
        </w:rPr>
        <w:t>example.</w:t>
      </w:r>
    </w:p>
    <w:p w14:paraId="341B1B4E" w14:textId="77777777" w:rsidR="00A720EB" w:rsidRDefault="00E10349">
      <w:pPr>
        <w:pStyle w:val="a3"/>
        <w:spacing w:before="8"/>
        <w:rPr>
          <w:sz w:val="13"/>
        </w:rPr>
      </w:pPr>
      <w:r>
        <w:pict w14:anchorId="07C18B11">
          <v:group id="_x0000_s1468" style="position:absolute;margin-left:47.85pt;margin-top:10pt;width:499.55pt;height:155.45pt;z-index:-15086080;mso-wrap-distance-left:0;mso-wrap-distance-right:0;mso-position-horizontal-relative:page" coordorigin="957,200" coordsize="9991,3109">
            <v:shape id="_x0000_s1471" style="position:absolute;left:964;top:207;width:9976;height:3094" coordorigin="965,208" coordsize="9976,3094" path="m10861,208r-9816,l1014,214r-26,17l971,257r-6,31l965,3221r6,31l988,3278r26,17l1045,3301r9816,l10892,3295r25,-17l10935,3252r6,-31l10941,288r-6,-31l10917,231r-25,-17l10861,208xe" fillcolor="#f5f5f5" stroked="f">
              <v:path arrowok="t"/>
            </v:shape>
            <v:shape id="_x0000_s1470" style="position:absolute;left:964;top:207;width:9976;height:3094" coordorigin="965,208" coordsize="9976,3094" path="m1045,208r9816,l10892,214r25,17l10935,257r6,31l10941,3221r-6,31l10917,3278r-25,17l10861,3301r-9816,l1014,3295r-26,-17l971,3252r-6,-31l965,288r6,-31l988,231r26,-17l1045,208xe" filled="f" strokecolor="#ccc">
              <v:path arrowok="t"/>
            </v:shape>
            <v:shape id="_x0000_s1469" type="#_x0000_t202" style="position:absolute;left:984;top:223;width:9938;height:3063" filled="f" stroked="f">
              <v:textbox inset="0,0,0,0">
                <w:txbxContent>
                  <w:p w14:paraId="5157C896" w14:textId="77777777" w:rsidR="00711A16" w:rsidRDefault="00711A16">
                    <w:pPr>
                      <w:spacing w:before="221"/>
                      <w:ind w:left="200"/>
                      <w:rPr>
                        <w:rFonts w:ascii="MS Gothic"/>
                      </w:rPr>
                    </w:pPr>
                    <w:r>
                      <w:rPr>
                        <w:rFonts w:ascii="MS Gothic"/>
                        <w:color w:val="333333"/>
                      </w:rPr>
                      <w:t>@Component</w:t>
                    </w:r>
                  </w:p>
                  <w:p w14:paraId="2FB704E0" w14:textId="77777777" w:rsidR="00711A16" w:rsidRDefault="00711A16">
                    <w:pPr>
                      <w:spacing w:before="13"/>
                      <w:ind w:left="200"/>
                      <w:rPr>
                        <w:rFonts w:ascii="MS Gothic"/>
                      </w:rPr>
                    </w:pPr>
                    <w:r>
                      <w:rPr>
                        <w:rFonts w:ascii="MS Gothic"/>
                        <w:color w:val="333333"/>
                      </w:rPr>
                      <w:t>public class JerseyConfig extends ResourceConfig {</w:t>
                    </w:r>
                  </w:p>
                  <w:p w14:paraId="1B42CBCF" w14:textId="77777777" w:rsidR="00711A16" w:rsidRDefault="00711A16">
                    <w:pPr>
                      <w:rPr>
                        <w:rFonts w:ascii="MS Gothic"/>
                        <w:sz w:val="24"/>
                      </w:rPr>
                    </w:pPr>
                  </w:p>
                  <w:p w14:paraId="6C919425" w14:textId="77777777" w:rsidR="00711A16" w:rsidRDefault="00711A16">
                    <w:pPr>
                      <w:spacing w:line="252" w:lineRule="auto"/>
                      <w:ind w:left="1080" w:right="6088" w:hanging="440"/>
                      <w:rPr>
                        <w:rFonts w:ascii="MS Gothic"/>
                      </w:rPr>
                    </w:pPr>
                    <w:r>
                      <w:rPr>
                        <w:rFonts w:ascii="MS Gothic"/>
                        <w:color w:val="333333"/>
                      </w:rPr>
                      <w:t xml:space="preserve">public </w:t>
                    </w:r>
                    <w:proofErr w:type="gramStart"/>
                    <w:r>
                      <w:rPr>
                        <w:rFonts w:ascii="MS Gothic"/>
                        <w:color w:val="333333"/>
                      </w:rPr>
                      <w:t>JerseyConfig(</w:t>
                    </w:r>
                    <w:proofErr w:type="gramEnd"/>
                    <w:r>
                      <w:rPr>
                        <w:rFonts w:ascii="MS Gothic"/>
                        <w:color w:val="333333"/>
                      </w:rPr>
                      <w:t>) { register(Endpoint.class);</w:t>
                    </w:r>
                  </w:p>
                  <w:p w14:paraId="27ED4861" w14:textId="77777777" w:rsidR="00711A16" w:rsidRDefault="00711A16">
                    <w:pPr>
                      <w:spacing w:line="280" w:lineRule="exact"/>
                      <w:ind w:left="1080"/>
                      <w:rPr>
                        <w:rFonts w:ascii="MS Gothic"/>
                      </w:rPr>
                    </w:pPr>
                    <w:proofErr w:type="gramStart"/>
                    <w:r>
                      <w:rPr>
                        <w:rFonts w:ascii="MS Gothic"/>
                        <w:color w:val="333333"/>
                      </w:rPr>
                      <w:t>property(</w:t>
                    </w:r>
                    <w:proofErr w:type="gramEnd"/>
                    <w:r>
                      <w:rPr>
                        <w:rFonts w:ascii="MS Gothic"/>
                        <w:color w:val="333333"/>
                      </w:rPr>
                      <w:t>ServletProperties.FILTER_FORWARD_ON_404, true);</w:t>
                    </w:r>
                  </w:p>
                  <w:p w14:paraId="54FE6B4F" w14:textId="77777777" w:rsidR="00711A16" w:rsidRDefault="00711A16">
                    <w:pPr>
                      <w:spacing w:before="13"/>
                      <w:ind w:left="640"/>
                      <w:rPr>
                        <w:rFonts w:ascii="MS Gothic"/>
                      </w:rPr>
                    </w:pPr>
                    <w:r>
                      <w:rPr>
                        <w:rFonts w:ascii="MS Gothic"/>
                        <w:color w:val="333333"/>
                      </w:rPr>
                      <w:t>}</w:t>
                    </w:r>
                  </w:p>
                  <w:p w14:paraId="3F6786C6" w14:textId="77777777" w:rsidR="00711A16" w:rsidRDefault="00711A16">
                    <w:pPr>
                      <w:rPr>
                        <w:rFonts w:ascii="MS Gothic"/>
                        <w:sz w:val="24"/>
                      </w:rPr>
                    </w:pPr>
                  </w:p>
                  <w:p w14:paraId="01AA21F1" w14:textId="77777777" w:rsidR="00711A16" w:rsidRDefault="00711A16">
                    <w:pPr>
                      <w:ind w:left="200"/>
                      <w:rPr>
                        <w:rFonts w:ascii="MS Gothic"/>
                      </w:rPr>
                    </w:pPr>
                    <w:r>
                      <w:rPr>
                        <w:rFonts w:ascii="MS Gothic"/>
                        <w:color w:val="333333"/>
                      </w:rPr>
                      <w:t>}</w:t>
                    </w:r>
                  </w:p>
                </w:txbxContent>
              </v:textbox>
            </v:shape>
            <w10:wrap type="topAndBottom" anchorx="page"/>
          </v:group>
        </w:pict>
      </w:r>
    </w:p>
    <w:p w14:paraId="0EF34001" w14:textId="77777777" w:rsidR="00A720EB" w:rsidRDefault="00A720EB">
      <w:pPr>
        <w:pStyle w:val="a3"/>
        <w:spacing w:before="11"/>
        <w:rPr>
          <w:sz w:val="16"/>
        </w:rPr>
      </w:pPr>
    </w:p>
    <w:p w14:paraId="24EB107A" w14:textId="77777777" w:rsidR="00A720EB" w:rsidRDefault="0030286B">
      <w:pPr>
        <w:pStyle w:val="2"/>
        <w:numPr>
          <w:ilvl w:val="1"/>
          <w:numId w:val="13"/>
        </w:numPr>
        <w:tabs>
          <w:tab w:val="left" w:pos="832"/>
        </w:tabs>
        <w:spacing w:before="107"/>
      </w:pPr>
      <w:bookmarkStart w:id="879" w:name="9.7._HTTP_Clients"/>
      <w:bookmarkStart w:id="880" w:name="_Toc54423961"/>
      <w:bookmarkEnd w:id="879"/>
      <w:r>
        <w:rPr>
          <w:color w:val="333333"/>
          <w:w w:val="105"/>
        </w:rPr>
        <w:t>HTTP</w:t>
      </w:r>
      <w:r>
        <w:rPr>
          <w:color w:val="333333"/>
          <w:spacing w:val="-4"/>
          <w:w w:val="105"/>
        </w:rPr>
        <w:t xml:space="preserve"> </w:t>
      </w:r>
      <w:r>
        <w:rPr>
          <w:color w:val="333333"/>
          <w:w w:val="105"/>
        </w:rPr>
        <w:t>Clients</w:t>
      </w:r>
      <w:bookmarkEnd w:id="880"/>
    </w:p>
    <w:p w14:paraId="68E3CEF1" w14:textId="77777777" w:rsidR="00A720EB" w:rsidRDefault="0030286B">
      <w:pPr>
        <w:pStyle w:val="a3"/>
        <w:spacing w:before="253" w:line="307" w:lineRule="auto"/>
        <w:ind w:left="124" w:right="132"/>
        <w:jc w:val="both"/>
      </w:pPr>
      <w:r>
        <w:rPr>
          <w:color w:val="333333"/>
          <w:w w:val="110"/>
        </w:rPr>
        <w:t>Spring Boot offers a number of starters that work with HTTP clients. This section answers questions related to using them.</w:t>
      </w:r>
    </w:p>
    <w:p w14:paraId="0686DD5A" w14:textId="77777777" w:rsidR="00A720EB" w:rsidRDefault="00A720EB">
      <w:pPr>
        <w:pStyle w:val="a3"/>
        <w:spacing w:before="8"/>
        <w:rPr>
          <w:sz w:val="25"/>
        </w:rPr>
      </w:pPr>
    </w:p>
    <w:p w14:paraId="7EE68B73" w14:textId="77777777" w:rsidR="00A720EB" w:rsidRDefault="0030286B">
      <w:pPr>
        <w:pStyle w:val="3"/>
        <w:numPr>
          <w:ilvl w:val="2"/>
          <w:numId w:val="13"/>
        </w:numPr>
        <w:tabs>
          <w:tab w:val="left" w:pos="858"/>
        </w:tabs>
        <w:spacing w:before="1"/>
        <w:ind w:hanging="734"/>
      </w:pPr>
      <w:bookmarkStart w:id="881" w:name="9.7.1._Configure_RestTemplate_to_Use_a_P"/>
      <w:bookmarkStart w:id="882" w:name="_Toc54423962"/>
      <w:bookmarkEnd w:id="881"/>
      <w:r>
        <w:rPr>
          <w:color w:val="333333"/>
          <w:w w:val="110"/>
        </w:rPr>
        <w:t>Configure RestTemplate to Use a</w:t>
      </w:r>
      <w:r>
        <w:rPr>
          <w:color w:val="333333"/>
          <w:spacing w:val="-28"/>
          <w:w w:val="110"/>
        </w:rPr>
        <w:t xml:space="preserve"> </w:t>
      </w:r>
      <w:r>
        <w:rPr>
          <w:color w:val="333333"/>
          <w:w w:val="110"/>
        </w:rPr>
        <w:t>Proxy</w:t>
      </w:r>
      <w:bookmarkEnd w:id="882"/>
    </w:p>
    <w:p w14:paraId="6D80BF19" w14:textId="77777777" w:rsidR="00A720EB" w:rsidRDefault="0030286B">
      <w:pPr>
        <w:pStyle w:val="a3"/>
        <w:spacing w:before="243" w:line="280" w:lineRule="auto"/>
        <w:ind w:left="124" w:right="122"/>
        <w:jc w:val="both"/>
      </w:pPr>
      <w:r>
        <w:rPr>
          <w:color w:val="333333"/>
          <w:w w:val="110"/>
        </w:rPr>
        <w:t xml:space="preserve">As described in </w:t>
      </w:r>
      <w:hyperlink w:anchor="_bookmark285" w:history="1">
        <w:r>
          <w:rPr>
            <w:color w:val="418BCA"/>
            <w:w w:val="110"/>
          </w:rPr>
          <w:t>RestTemplate Customization</w:t>
        </w:r>
      </w:hyperlink>
      <w:r>
        <w:rPr>
          <w:color w:val="333333"/>
          <w:w w:val="110"/>
        </w:rPr>
        <w:t xml:space="preserve">, you can use a </w:t>
      </w:r>
      <w:r>
        <w:rPr>
          <w:rFonts w:ascii="MS Gothic"/>
          <w:color w:val="B02045"/>
          <w:w w:val="110"/>
        </w:rPr>
        <w:t xml:space="preserve">RestTemplateCustomizer </w:t>
      </w:r>
      <w:r>
        <w:rPr>
          <w:color w:val="333333"/>
          <w:w w:val="110"/>
        </w:rPr>
        <w:t xml:space="preserve">with </w:t>
      </w:r>
      <w:r>
        <w:rPr>
          <w:rFonts w:ascii="MS Gothic"/>
          <w:color w:val="B02045"/>
          <w:w w:val="110"/>
        </w:rPr>
        <w:t xml:space="preserve">RestTemplateBuilder </w:t>
      </w:r>
      <w:r>
        <w:rPr>
          <w:color w:val="333333"/>
          <w:w w:val="110"/>
        </w:rPr>
        <w:t xml:space="preserve">to build a customized </w:t>
      </w:r>
      <w:r>
        <w:rPr>
          <w:rFonts w:ascii="MS Gothic"/>
          <w:color w:val="B02045"/>
          <w:w w:val="110"/>
        </w:rPr>
        <w:t>RestTemplate</w:t>
      </w:r>
      <w:r>
        <w:rPr>
          <w:color w:val="333333"/>
          <w:w w:val="110"/>
        </w:rPr>
        <w:t xml:space="preserve">. This is the recommended approach for creating a </w:t>
      </w:r>
      <w:r>
        <w:rPr>
          <w:rFonts w:ascii="MS Gothic"/>
          <w:color w:val="B02045"/>
          <w:w w:val="110"/>
        </w:rPr>
        <w:t xml:space="preserve">RestTemplate </w:t>
      </w:r>
      <w:r>
        <w:rPr>
          <w:color w:val="333333"/>
          <w:w w:val="110"/>
        </w:rPr>
        <w:t>configured to use a proxy.</w:t>
      </w:r>
    </w:p>
    <w:p w14:paraId="7F3019E4" w14:textId="77777777" w:rsidR="00A720EB" w:rsidRDefault="00A720EB">
      <w:pPr>
        <w:pStyle w:val="a3"/>
        <w:spacing w:before="6"/>
      </w:pPr>
    </w:p>
    <w:p w14:paraId="735E2ABF" w14:textId="77777777" w:rsidR="00A720EB" w:rsidRDefault="0030286B">
      <w:pPr>
        <w:pStyle w:val="a3"/>
        <w:spacing w:before="1" w:line="290" w:lineRule="auto"/>
        <w:ind w:left="124" w:right="123"/>
        <w:jc w:val="both"/>
      </w:pPr>
      <w:r>
        <w:rPr>
          <w:color w:val="333333"/>
          <w:w w:val="110"/>
        </w:rPr>
        <w:t xml:space="preserve">The exact details of the proxy configuration depend on the underlying client request factory that is being used. The following example configures </w:t>
      </w:r>
      <w:r>
        <w:rPr>
          <w:rFonts w:ascii="MS Gothic"/>
          <w:color w:val="B02045"/>
          <w:w w:val="110"/>
        </w:rPr>
        <w:t xml:space="preserve">HttpComponentsClientRequestFactory </w:t>
      </w:r>
      <w:r>
        <w:rPr>
          <w:color w:val="333333"/>
          <w:w w:val="110"/>
        </w:rPr>
        <w:t xml:space="preserve">with an </w:t>
      </w:r>
      <w:r>
        <w:rPr>
          <w:rFonts w:ascii="MS Gothic"/>
          <w:color w:val="B02045"/>
          <w:w w:val="110"/>
        </w:rPr>
        <w:t>HttpClient</w:t>
      </w:r>
      <w:r>
        <w:rPr>
          <w:rFonts w:ascii="MS Gothic"/>
          <w:color w:val="B02045"/>
          <w:spacing w:val="-59"/>
          <w:w w:val="110"/>
        </w:rPr>
        <w:t xml:space="preserve"> </w:t>
      </w:r>
      <w:r>
        <w:rPr>
          <w:color w:val="333333"/>
          <w:w w:val="110"/>
        </w:rPr>
        <w:t xml:space="preserve">that uses a proxy for all hosts except </w:t>
      </w:r>
      <w:r>
        <w:rPr>
          <w:rFonts w:ascii="MS Gothic"/>
          <w:color w:val="B02045"/>
          <w:w w:val="110"/>
        </w:rPr>
        <w:t>192.168.0.5</w:t>
      </w:r>
      <w:r>
        <w:rPr>
          <w:color w:val="333333"/>
          <w:w w:val="110"/>
        </w:rPr>
        <w:t>:</w:t>
      </w:r>
    </w:p>
    <w:p w14:paraId="7E9AE961" w14:textId="77777777" w:rsidR="00A720EB" w:rsidRDefault="00A720EB">
      <w:pPr>
        <w:spacing w:line="290" w:lineRule="auto"/>
        <w:jc w:val="both"/>
        <w:sectPr w:rsidR="00A720EB">
          <w:pgSz w:w="11910" w:h="16840"/>
          <w:pgMar w:top="700" w:right="840" w:bottom="520" w:left="840" w:header="0" w:footer="323" w:gutter="0"/>
          <w:cols w:space="720"/>
        </w:sectPr>
      </w:pPr>
    </w:p>
    <w:p w14:paraId="17F82228" w14:textId="77777777" w:rsidR="00A720EB" w:rsidRDefault="00E10349">
      <w:pPr>
        <w:pStyle w:val="a3"/>
        <w:ind w:left="116"/>
        <w:rPr>
          <w:sz w:val="20"/>
        </w:rPr>
      </w:pPr>
      <w:r>
        <w:rPr>
          <w:sz w:val="20"/>
        </w:rPr>
      </w:r>
      <w:r>
        <w:rPr>
          <w:sz w:val="20"/>
        </w:rPr>
        <w:pict w14:anchorId="641D4422">
          <v:group id="_x0000_s1464" style="width:499.55pt;height:376.55pt;mso-position-horizontal-relative:char;mso-position-vertical-relative:line" coordsize="9991,7531">
            <v:shape id="_x0000_s1467" style="position:absolute;left:7;top:7;width:9976;height:7516" coordorigin="8,8" coordsize="9976,7516" path="m9904,8l88,8,56,14,31,31,14,56,8,88r,7355l14,7474r17,25l56,7516r32,7l9904,7523r31,-7l9960,7499r17,-25l9984,7443r,-7355l9977,56,9960,31,9935,14,9904,8xe" fillcolor="#f5f5f5" stroked="f">
              <v:path arrowok="t"/>
            </v:shape>
            <v:shape id="_x0000_s1466" style="position:absolute;left:7;top:7;width:9976;height:7516" coordorigin="8,8" coordsize="9976,7516" path="m88,8r9816,l9935,14r25,17l9977,56r7,32l9984,7443r-7,31l9960,7499r-25,17l9904,7523r-9816,l56,7516,31,7499,14,7474,8,7443,8,88,14,56,31,31,56,14,88,8xe" filled="f" strokecolor="#ccc">
              <v:path arrowok="t"/>
            </v:shape>
            <v:shape id="_x0000_s1465" type="#_x0000_t202" style="position:absolute;left:26;top:22;width:9938;height:7485" filled="f" stroked="f">
              <v:textbox inset="0,0,0,0">
                <w:txbxContent>
                  <w:p w14:paraId="40343193" w14:textId="77777777" w:rsidR="00711A16" w:rsidRDefault="00711A16">
                    <w:pPr>
                      <w:spacing w:before="221"/>
                      <w:ind w:left="200"/>
                      <w:rPr>
                        <w:rFonts w:ascii="MS Gothic"/>
                      </w:rPr>
                    </w:pPr>
                    <w:r>
                      <w:rPr>
                        <w:rFonts w:ascii="MS Gothic"/>
                        <w:color w:val="333333"/>
                      </w:rPr>
                      <w:t>static class ProxyCustomizer implements RestTemplateCustomizer {</w:t>
                    </w:r>
                  </w:p>
                  <w:p w14:paraId="2D5EA1CE" w14:textId="77777777" w:rsidR="00711A16" w:rsidRDefault="00711A16">
                    <w:pPr>
                      <w:rPr>
                        <w:rFonts w:ascii="MS Gothic"/>
                        <w:sz w:val="24"/>
                      </w:rPr>
                    </w:pPr>
                  </w:p>
                  <w:p w14:paraId="227227AA" w14:textId="77777777" w:rsidR="00711A16" w:rsidRDefault="00711A16">
                    <w:pPr>
                      <w:ind w:left="640"/>
                      <w:rPr>
                        <w:rFonts w:ascii="MS Gothic"/>
                      </w:rPr>
                    </w:pPr>
                    <w:r>
                      <w:rPr>
                        <w:rFonts w:ascii="MS Gothic"/>
                        <w:color w:val="333333"/>
                      </w:rPr>
                      <w:t>@Override</w:t>
                    </w:r>
                  </w:p>
                  <w:p w14:paraId="106877B5" w14:textId="77777777" w:rsidR="00711A16" w:rsidRDefault="00711A16">
                    <w:pPr>
                      <w:spacing w:before="13" w:line="252" w:lineRule="auto"/>
                      <w:ind w:left="1080" w:right="3228" w:hanging="440"/>
                      <w:rPr>
                        <w:rFonts w:ascii="MS Gothic"/>
                      </w:rPr>
                    </w:pPr>
                    <w:r>
                      <w:rPr>
                        <w:rFonts w:ascii="MS Gothic"/>
                        <w:color w:val="333333"/>
                      </w:rPr>
                      <w:t xml:space="preserve">public void </w:t>
                    </w:r>
                    <w:proofErr w:type="gramStart"/>
                    <w:r>
                      <w:rPr>
                        <w:rFonts w:ascii="MS Gothic"/>
                        <w:color w:val="333333"/>
                      </w:rPr>
                      <w:t>customize(</w:t>
                    </w:r>
                    <w:proofErr w:type="gramEnd"/>
                    <w:r>
                      <w:rPr>
                        <w:rFonts w:ascii="MS Gothic"/>
                        <w:color w:val="333333"/>
                      </w:rPr>
                      <w:t>RestTemplate restTemplate) { HttpHost proxy = new HttpHost("proxy.example.com");</w:t>
                    </w:r>
                  </w:p>
                  <w:p w14:paraId="12C51128" w14:textId="77777777" w:rsidR="00711A16" w:rsidRDefault="00711A16">
                    <w:pPr>
                      <w:spacing w:line="252" w:lineRule="auto"/>
                      <w:ind w:left="200" w:right="1138" w:firstLine="880"/>
                      <w:rPr>
                        <w:rFonts w:ascii="MS Gothic"/>
                      </w:rPr>
                    </w:pPr>
                    <w:r>
                      <w:rPr>
                        <w:rFonts w:ascii="MS Gothic"/>
                        <w:color w:val="333333"/>
                      </w:rPr>
                      <w:t>HttpClient httpClient = HttpClientBuilder.create(</w:t>
                    </w:r>
                    <w:proofErr w:type="gramStart"/>
                    <w:r>
                      <w:rPr>
                        <w:rFonts w:ascii="MS Gothic"/>
                        <w:color w:val="333333"/>
                      </w:rPr>
                      <w:t>).setRoutePlanner</w:t>
                    </w:r>
                    <w:proofErr w:type="gramEnd"/>
                    <w:r>
                      <w:rPr>
                        <w:rFonts w:ascii="MS Gothic"/>
                        <w:color w:val="333333"/>
                      </w:rPr>
                      <w:t>(new DefaultProxyRoutePlanner(proxy) {</w:t>
                    </w:r>
                  </w:p>
                  <w:p w14:paraId="2D2FDA10" w14:textId="77777777" w:rsidR="00711A16" w:rsidRDefault="00711A16">
                    <w:pPr>
                      <w:spacing w:before="8"/>
                      <w:rPr>
                        <w:rFonts w:ascii="MS Gothic"/>
                      </w:rPr>
                    </w:pPr>
                  </w:p>
                  <w:p w14:paraId="1FCD69F0" w14:textId="77777777" w:rsidR="00711A16" w:rsidRDefault="00711A16">
                    <w:pPr>
                      <w:ind w:left="1520"/>
                      <w:rPr>
                        <w:rFonts w:ascii="MS Gothic"/>
                      </w:rPr>
                    </w:pPr>
                    <w:r>
                      <w:rPr>
                        <w:rFonts w:ascii="MS Gothic"/>
                        <w:color w:val="333333"/>
                      </w:rPr>
                      <w:t>@Override</w:t>
                    </w:r>
                  </w:p>
                  <w:p w14:paraId="2665D2AA" w14:textId="77777777" w:rsidR="00711A16" w:rsidRDefault="00711A16">
                    <w:pPr>
                      <w:spacing w:before="13" w:line="252" w:lineRule="auto"/>
                      <w:ind w:left="200" w:firstLine="1320"/>
                      <w:rPr>
                        <w:rFonts w:ascii="MS Gothic"/>
                      </w:rPr>
                    </w:pPr>
                    <w:r>
                      <w:rPr>
                        <w:rFonts w:ascii="MS Gothic"/>
                        <w:color w:val="333333"/>
                      </w:rPr>
                      <w:t xml:space="preserve">public HttpHost </w:t>
                    </w:r>
                    <w:proofErr w:type="gramStart"/>
                    <w:r>
                      <w:rPr>
                        <w:rFonts w:ascii="MS Gothic"/>
                        <w:color w:val="333333"/>
                      </w:rPr>
                      <w:t>determineProxy(</w:t>
                    </w:r>
                    <w:proofErr w:type="gramEnd"/>
                    <w:r>
                      <w:rPr>
                        <w:rFonts w:ascii="MS Gothic"/>
                        <w:color w:val="333333"/>
                      </w:rPr>
                      <w:t xml:space="preserve">HttpHost target, HttpRequest </w:t>
                    </w:r>
                    <w:r>
                      <w:rPr>
                        <w:rFonts w:ascii="MS Gothic"/>
                        <w:color w:val="333333"/>
                        <w:spacing w:val="-3"/>
                      </w:rPr>
                      <w:t xml:space="preserve">request, </w:t>
                    </w:r>
                    <w:r>
                      <w:rPr>
                        <w:rFonts w:ascii="MS Gothic"/>
                        <w:color w:val="333333"/>
                      </w:rPr>
                      <w:t>HttpContext context)</w:t>
                    </w:r>
                  </w:p>
                  <w:p w14:paraId="2B4F7942" w14:textId="77777777" w:rsidR="00711A16" w:rsidRDefault="00711A16">
                    <w:pPr>
                      <w:spacing w:line="280" w:lineRule="exact"/>
                      <w:ind w:left="2400"/>
                      <w:rPr>
                        <w:rFonts w:ascii="MS Gothic"/>
                      </w:rPr>
                    </w:pPr>
                    <w:r>
                      <w:rPr>
                        <w:rFonts w:ascii="MS Gothic"/>
                        <w:color w:val="333333"/>
                      </w:rPr>
                      <w:t>throws HttpException {</w:t>
                    </w:r>
                  </w:p>
                  <w:p w14:paraId="22EBA6FB" w14:textId="77777777" w:rsidR="00711A16" w:rsidRDefault="00711A16">
                    <w:pPr>
                      <w:spacing w:before="13" w:line="252" w:lineRule="auto"/>
                      <w:ind w:left="2400" w:right="2568" w:hanging="440"/>
                      <w:rPr>
                        <w:rFonts w:ascii="MS Gothic"/>
                      </w:rPr>
                    </w:pPr>
                    <w:r>
                      <w:rPr>
                        <w:rFonts w:ascii="MS Gothic"/>
                        <w:color w:val="333333"/>
                      </w:rPr>
                      <w:t>if (</w:t>
                    </w:r>
                    <w:proofErr w:type="gramStart"/>
                    <w:r>
                      <w:rPr>
                        <w:rFonts w:ascii="MS Gothic"/>
                        <w:color w:val="333333"/>
                      </w:rPr>
                      <w:t>target.getHostName</w:t>
                    </w:r>
                    <w:proofErr w:type="gramEnd"/>
                    <w:r>
                      <w:rPr>
                        <w:rFonts w:ascii="MS Gothic"/>
                        <w:color w:val="333333"/>
                      </w:rPr>
                      <w:t>().equals("192.168.0.5")) { return null;</w:t>
                    </w:r>
                  </w:p>
                  <w:p w14:paraId="4571A208" w14:textId="77777777" w:rsidR="00711A16" w:rsidRDefault="00711A16">
                    <w:pPr>
                      <w:spacing w:line="280" w:lineRule="exact"/>
                      <w:ind w:left="1960"/>
                      <w:rPr>
                        <w:rFonts w:ascii="MS Gothic"/>
                      </w:rPr>
                    </w:pPr>
                    <w:r>
                      <w:rPr>
                        <w:rFonts w:ascii="MS Gothic"/>
                        <w:color w:val="333333"/>
                      </w:rPr>
                      <w:t>}</w:t>
                    </w:r>
                  </w:p>
                  <w:p w14:paraId="3361E53F" w14:textId="77777777" w:rsidR="00711A16" w:rsidRDefault="00711A16">
                    <w:pPr>
                      <w:spacing w:before="13"/>
                      <w:ind w:left="1960"/>
                      <w:rPr>
                        <w:rFonts w:ascii="MS Gothic"/>
                      </w:rPr>
                    </w:pPr>
                    <w:r>
                      <w:rPr>
                        <w:rFonts w:ascii="MS Gothic"/>
                        <w:color w:val="333333"/>
                      </w:rPr>
                      <w:t xml:space="preserve">return </w:t>
                    </w:r>
                    <w:proofErr w:type="gramStart"/>
                    <w:r>
                      <w:rPr>
                        <w:rFonts w:ascii="MS Gothic"/>
                        <w:color w:val="333333"/>
                      </w:rPr>
                      <w:t>super.determineProxy</w:t>
                    </w:r>
                    <w:proofErr w:type="gramEnd"/>
                    <w:r>
                      <w:rPr>
                        <w:rFonts w:ascii="MS Gothic"/>
                        <w:color w:val="333333"/>
                      </w:rPr>
                      <w:t>(target, request, context);</w:t>
                    </w:r>
                  </w:p>
                  <w:p w14:paraId="4DA481A5" w14:textId="77777777" w:rsidR="00711A16" w:rsidRDefault="00711A16">
                    <w:pPr>
                      <w:spacing w:before="13"/>
                      <w:ind w:left="1520"/>
                      <w:rPr>
                        <w:rFonts w:ascii="MS Gothic"/>
                      </w:rPr>
                    </w:pPr>
                    <w:r>
                      <w:rPr>
                        <w:rFonts w:ascii="MS Gothic"/>
                        <w:color w:val="333333"/>
                      </w:rPr>
                      <w:t>}</w:t>
                    </w:r>
                  </w:p>
                  <w:p w14:paraId="3B0E7607" w14:textId="77777777" w:rsidR="00711A16" w:rsidRDefault="00711A16">
                    <w:pPr>
                      <w:rPr>
                        <w:rFonts w:ascii="MS Gothic"/>
                        <w:sz w:val="24"/>
                      </w:rPr>
                    </w:pPr>
                  </w:p>
                  <w:p w14:paraId="34D2B147" w14:textId="77777777" w:rsidR="00711A16" w:rsidRDefault="00711A16">
                    <w:pPr>
                      <w:spacing w:line="252" w:lineRule="auto"/>
                      <w:ind w:left="1080" w:right="5098"/>
                      <w:rPr>
                        <w:rFonts w:ascii="MS Gothic"/>
                      </w:rPr>
                    </w:pPr>
                    <w:r>
                      <w:rPr>
                        <w:rFonts w:ascii="MS Gothic"/>
                        <w:color w:val="333333"/>
                      </w:rPr>
                      <w:t>}</w:t>
                    </w:r>
                    <w:proofErr w:type="gramStart"/>
                    <w:r>
                      <w:rPr>
                        <w:rFonts w:ascii="MS Gothic"/>
                        <w:color w:val="333333"/>
                      </w:rPr>
                      <w:t>).build</w:t>
                    </w:r>
                    <w:proofErr w:type="gramEnd"/>
                    <w:r>
                      <w:rPr>
                        <w:rFonts w:ascii="MS Gothic"/>
                        <w:color w:val="333333"/>
                      </w:rPr>
                      <w:t>(); restTemplate.setRequestFactory(new</w:t>
                    </w:r>
                  </w:p>
                  <w:p w14:paraId="11E7B641" w14:textId="77777777" w:rsidR="00711A16" w:rsidRDefault="00711A16">
                    <w:pPr>
                      <w:spacing w:line="280" w:lineRule="exact"/>
                      <w:ind w:left="200"/>
                      <w:rPr>
                        <w:rFonts w:ascii="MS Gothic"/>
                      </w:rPr>
                    </w:pPr>
                    <w:r>
                      <w:rPr>
                        <w:rFonts w:ascii="MS Gothic"/>
                        <w:color w:val="333333"/>
                      </w:rPr>
                      <w:t>HttpComponentsClientHttpRequestFactory(httpClient));</w:t>
                    </w:r>
                  </w:p>
                  <w:p w14:paraId="01479DB4" w14:textId="77777777" w:rsidR="00711A16" w:rsidRDefault="00711A16">
                    <w:pPr>
                      <w:spacing w:before="13"/>
                      <w:ind w:left="640"/>
                      <w:rPr>
                        <w:rFonts w:ascii="MS Gothic"/>
                      </w:rPr>
                    </w:pPr>
                    <w:r>
                      <w:rPr>
                        <w:rFonts w:ascii="MS Gothic"/>
                        <w:color w:val="333333"/>
                      </w:rPr>
                      <w:t>}</w:t>
                    </w:r>
                  </w:p>
                  <w:p w14:paraId="3379BDCF" w14:textId="77777777" w:rsidR="00711A16" w:rsidRDefault="00711A16">
                    <w:pPr>
                      <w:rPr>
                        <w:rFonts w:ascii="MS Gothic"/>
                        <w:sz w:val="24"/>
                      </w:rPr>
                    </w:pPr>
                  </w:p>
                  <w:p w14:paraId="6073899C" w14:textId="77777777" w:rsidR="00711A16" w:rsidRDefault="00711A16">
                    <w:pPr>
                      <w:ind w:left="200"/>
                      <w:rPr>
                        <w:rFonts w:ascii="MS Gothic"/>
                      </w:rPr>
                    </w:pPr>
                    <w:r>
                      <w:rPr>
                        <w:rFonts w:ascii="MS Gothic"/>
                        <w:color w:val="333333"/>
                      </w:rPr>
                      <w:t>}</w:t>
                    </w:r>
                  </w:p>
                </w:txbxContent>
              </v:textbox>
            </v:shape>
            <w10:anchorlock/>
          </v:group>
        </w:pict>
      </w:r>
    </w:p>
    <w:p w14:paraId="25430C02" w14:textId="77777777" w:rsidR="00A720EB" w:rsidRDefault="00A720EB">
      <w:pPr>
        <w:pStyle w:val="a3"/>
        <w:rPr>
          <w:sz w:val="16"/>
        </w:rPr>
      </w:pPr>
    </w:p>
    <w:p w14:paraId="18307A67" w14:textId="77777777" w:rsidR="00A720EB" w:rsidRDefault="0030286B">
      <w:pPr>
        <w:pStyle w:val="3"/>
        <w:numPr>
          <w:ilvl w:val="2"/>
          <w:numId w:val="13"/>
        </w:numPr>
        <w:tabs>
          <w:tab w:val="left" w:pos="858"/>
        </w:tabs>
        <w:spacing w:before="105"/>
        <w:ind w:hanging="734"/>
      </w:pPr>
      <w:bookmarkStart w:id="883" w:name="9.7.2._Configure_the_TcpClient_used_by_a"/>
      <w:bookmarkStart w:id="884" w:name="_Toc54423963"/>
      <w:bookmarkEnd w:id="883"/>
      <w:r>
        <w:rPr>
          <w:color w:val="333333"/>
          <w:w w:val="110"/>
        </w:rPr>
        <w:t>Configure</w:t>
      </w:r>
      <w:r>
        <w:rPr>
          <w:color w:val="333333"/>
          <w:spacing w:val="-12"/>
          <w:w w:val="110"/>
        </w:rPr>
        <w:t xml:space="preserve"> </w:t>
      </w:r>
      <w:r>
        <w:rPr>
          <w:color w:val="333333"/>
          <w:w w:val="110"/>
        </w:rPr>
        <w:t>the</w:t>
      </w:r>
      <w:r>
        <w:rPr>
          <w:color w:val="333333"/>
          <w:spacing w:val="-11"/>
          <w:w w:val="110"/>
        </w:rPr>
        <w:t xml:space="preserve"> </w:t>
      </w:r>
      <w:r>
        <w:rPr>
          <w:color w:val="333333"/>
          <w:w w:val="110"/>
        </w:rPr>
        <w:t>TcpClient</w:t>
      </w:r>
      <w:r>
        <w:rPr>
          <w:color w:val="333333"/>
          <w:spacing w:val="-11"/>
          <w:w w:val="110"/>
        </w:rPr>
        <w:t xml:space="preserve"> </w:t>
      </w:r>
      <w:r>
        <w:rPr>
          <w:color w:val="333333"/>
          <w:w w:val="110"/>
        </w:rPr>
        <w:t>used</w:t>
      </w:r>
      <w:r>
        <w:rPr>
          <w:color w:val="333333"/>
          <w:spacing w:val="-11"/>
          <w:w w:val="110"/>
        </w:rPr>
        <w:t xml:space="preserve"> </w:t>
      </w:r>
      <w:r>
        <w:rPr>
          <w:color w:val="333333"/>
          <w:spacing w:val="-3"/>
          <w:w w:val="110"/>
        </w:rPr>
        <w:t>by</w:t>
      </w:r>
      <w:r>
        <w:rPr>
          <w:color w:val="333333"/>
          <w:spacing w:val="-10"/>
          <w:w w:val="110"/>
        </w:rPr>
        <w:t xml:space="preserve"> </w:t>
      </w:r>
      <w:r>
        <w:rPr>
          <w:color w:val="333333"/>
          <w:w w:val="110"/>
        </w:rPr>
        <w:t>a</w:t>
      </w:r>
      <w:r>
        <w:rPr>
          <w:color w:val="333333"/>
          <w:spacing w:val="-11"/>
          <w:w w:val="110"/>
        </w:rPr>
        <w:t xml:space="preserve"> </w:t>
      </w:r>
      <w:r>
        <w:rPr>
          <w:color w:val="333333"/>
          <w:w w:val="110"/>
        </w:rPr>
        <w:t>Reactor</w:t>
      </w:r>
      <w:r>
        <w:rPr>
          <w:color w:val="333333"/>
          <w:spacing w:val="-10"/>
          <w:w w:val="110"/>
        </w:rPr>
        <w:t xml:space="preserve"> </w:t>
      </w:r>
      <w:r>
        <w:rPr>
          <w:color w:val="333333"/>
          <w:w w:val="110"/>
        </w:rPr>
        <w:t>Netty-based</w:t>
      </w:r>
      <w:r>
        <w:rPr>
          <w:color w:val="333333"/>
          <w:spacing w:val="-10"/>
          <w:w w:val="110"/>
        </w:rPr>
        <w:t xml:space="preserve"> </w:t>
      </w:r>
      <w:r>
        <w:rPr>
          <w:color w:val="333333"/>
          <w:spacing w:val="-3"/>
          <w:w w:val="110"/>
        </w:rPr>
        <w:t>WebClient</w:t>
      </w:r>
      <w:bookmarkEnd w:id="884"/>
    </w:p>
    <w:p w14:paraId="16D47472" w14:textId="77777777" w:rsidR="00A720EB" w:rsidRDefault="0030286B">
      <w:pPr>
        <w:pStyle w:val="a3"/>
        <w:spacing w:before="244" w:line="280" w:lineRule="auto"/>
        <w:ind w:left="124" w:right="124"/>
        <w:jc w:val="both"/>
      </w:pPr>
      <w:r>
        <w:rPr>
          <w:color w:val="333333"/>
          <w:w w:val="110"/>
        </w:rPr>
        <w:t xml:space="preserve">When Reactor Netty is on the classpath a Reactor Netty-based </w:t>
      </w:r>
      <w:r>
        <w:rPr>
          <w:rFonts w:ascii="MS Gothic" w:hAnsi="MS Gothic"/>
          <w:color w:val="B02045"/>
          <w:w w:val="110"/>
        </w:rPr>
        <w:t xml:space="preserve">WebClient </w:t>
      </w:r>
      <w:r>
        <w:rPr>
          <w:color w:val="333333"/>
          <w:w w:val="110"/>
        </w:rPr>
        <w:t xml:space="preserve">is auto-configured. To customize the client’s handling of network connections, provide a </w:t>
      </w:r>
      <w:r>
        <w:rPr>
          <w:rFonts w:ascii="MS Gothic" w:hAnsi="MS Gothic"/>
          <w:color w:val="B02045"/>
          <w:w w:val="110"/>
        </w:rPr>
        <w:t xml:space="preserve">ClientHttpConnector </w:t>
      </w:r>
      <w:r>
        <w:rPr>
          <w:color w:val="333333"/>
          <w:w w:val="110"/>
        </w:rPr>
        <w:t xml:space="preserve">bean. The following example configures a 60 second connect timeout and adds a </w:t>
      </w:r>
      <w:r>
        <w:rPr>
          <w:rFonts w:ascii="MS Gothic" w:hAnsi="MS Gothic"/>
          <w:color w:val="B02045"/>
          <w:w w:val="110"/>
        </w:rPr>
        <w:t>ReadTimeoutHandler</w:t>
      </w:r>
      <w:r>
        <w:rPr>
          <w:color w:val="333333"/>
          <w:w w:val="110"/>
        </w:rPr>
        <w:t>:</w:t>
      </w:r>
    </w:p>
    <w:p w14:paraId="6F8407A3" w14:textId="77777777" w:rsidR="00A720EB" w:rsidRDefault="00E10349">
      <w:pPr>
        <w:pStyle w:val="a3"/>
        <w:spacing w:before="1"/>
        <w:rPr>
          <w:sz w:val="14"/>
        </w:rPr>
      </w:pPr>
      <w:r>
        <w:pict w14:anchorId="51CBA8C6">
          <v:group id="_x0000_s1460" style="position:absolute;margin-left:47.85pt;margin-top:10.3pt;width:499.55pt;height:170.15pt;z-index:-15085056;mso-wrap-distance-left:0;mso-wrap-distance-right:0;mso-position-horizontal-relative:page" coordorigin="957,206" coordsize="9991,3403">
            <v:shape id="_x0000_s1463" style="position:absolute;left:964;top:213;width:9976;height:3388" coordorigin="965,213" coordsize="9976,3388" path="m10861,213r-9816,l1014,219r-26,17l971,262r-6,31l965,3521r6,31l988,3578r26,17l1045,3601r9816,l10892,3595r25,-17l10935,3552r6,-31l10941,293r-6,-31l10917,236r-25,-17l10861,213xe" fillcolor="#f5f5f5" stroked="f">
              <v:path arrowok="t"/>
            </v:shape>
            <v:shape id="_x0000_s1462" style="position:absolute;left:964;top:213;width:9976;height:3388" coordorigin="965,213" coordsize="9976,3388" path="m1045,213r9816,l10892,219r25,17l10935,262r6,31l10941,3521r-6,31l10917,3578r-25,17l10861,3601r-9816,l1014,3595r-26,-17l971,3552r-6,-31l965,293r6,-31l988,236r26,-17l1045,213xe" filled="f" strokecolor="#ccc">
              <v:path arrowok="t"/>
            </v:shape>
            <v:shape id="_x0000_s1461" type="#_x0000_t202" style="position:absolute;left:984;top:228;width:9938;height:3358" filled="f" stroked="f">
              <v:textbox inset="0,0,0,0">
                <w:txbxContent>
                  <w:p w14:paraId="1AEFAA9E" w14:textId="77777777" w:rsidR="00711A16" w:rsidRDefault="00711A16">
                    <w:pPr>
                      <w:spacing w:before="221"/>
                      <w:ind w:left="200"/>
                      <w:rPr>
                        <w:rFonts w:ascii="MS Gothic"/>
                      </w:rPr>
                    </w:pPr>
                    <w:r>
                      <w:rPr>
                        <w:rFonts w:ascii="MS Gothic"/>
                        <w:color w:val="333333"/>
                      </w:rPr>
                      <w:t>@Bean</w:t>
                    </w:r>
                  </w:p>
                  <w:p w14:paraId="77713634" w14:textId="77777777" w:rsidR="00711A16" w:rsidRDefault="00711A16">
                    <w:pPr>
                      <w:spacing w:before="13" w:line="252" w:lineRule="auto"/>
                      <w:ind w:left="640" w:right="588" w:hanging="440"/>
                      <w:rPr>
                        <w:rFonts w:ascii="MS Gothic"/>
                      </w:rPr>
                    </w:pPr>
                    <w:r>
                      <w:rPr>
                        <w:rFonts w:ascii="MS Gothic"/>
                        <w:color w:val="333333"/>
                      </w:rPr>
                      <w:t xml:space="preserve">ClientHttpConnector </w:t>
                    </w:r>
                    <w:proofErr w:type="gramStart"/>
                    <w:r>
                      <w:rPr>
                        <w:rFonts w:ascii="MS Gothic"/>
                        <w:color w:val="333333"/>
                      </w:rPr>
                      <w:t>clientHttpConnector(</w:t>
                    </w:r>
                    <w:proofErr w:type="gramEnd"/>
                    <w:r>
                      <w:rPr>
                        <w:rFonts w:ascii="MS Gothic"/>
                        <w:color w:val="333333"/>
                      </w:rPr>
                      <w:t>ReactorResourceFactory resourceFactory) { TcpClient tcpClient = TcpClient.create(resourceFactory.getConnectionProvider())</w:t>
                    </w:r>
                  </w:p>
                  <w:p w14:paraId="4D395BAE" w14:textId="77777777" w:rsidR="00711A16" w:rsidRDefault="00711A16">
                    <w:pPr>
                      <w:spacing w:before="10"/>
                      <w:rPr>
                        <w:rFonts w:ascii="MS Gothic"/>
                      </w:rPr>
                    </w:pPr>
                  </w:p>
                  <w:p w14:paraId="2C7F068B" w14:textId="77777777" w:rsidR="00711A16" w:rsidRDefault="00711A16">
                    <w:pPr>
                      <w:ind w:left="200"/>
                      <w:rPr>
                        <w:rFonts w:ascii="MS Gothic"/>
                      </w:rPr>
                    </w:pPr>
                    <w:proofErr w:type="gramStart"/>
                    <w:r>
                      <w:rPr>
                        <w:rFonts w:ascii="MS Gothic"/>
                        <w:color w:val="333333"/>
                      </w:rPr>
                      <w:t>.runOn</w:t>
                    </w:r>
                    <w:proofErr w:type="gramEnd"/>
                    <w:r>
                      <w:rPr>
                        <w:rFonts w:ascii="MS Gothic"/>
                        <w:color w:val="333333"/>
                      </w:rPr>
                      <w:t>(resourceFactory.getLoopResources()).option(ChannelOption.CONNECT_TIMEOUT_MILLIS</w:t>
                    </w:r>
                  </w:p>
                  <w:p w14:paraId="202ABE4B" w14:textId="77777777" w:rsidR="00711A16" w:rsidRDefault="00711A16">
                    <w:pPr>
                      <w:spacing w:before="13"/>
                      <w:ind w:left="200"/>
                      <w:rPr>
                        <w:rFonts w:ascii="MS Gothic"/>
                      </w:rPr>
                    </w:pPr>
                    <w:r>
                      <w:rPr>
                        <w:rFonts w:ascii="MS Gothic"/>
                        <w:color w:val="333333"/>
                      </w:rPr>
                      <w:t>, 60000)</w:t>
                    </w:r>
                  </w:p>
                  <w:p w14:paraId="22D2F4C7" w14:textId="77777777" w:rsidR="00711A16" w:rsidRDefault="00711A16">
                    <w:pPr>
                      <w:spacing w:before="13" w:line="252" w:lineRule="auto"/>
                      <w:ind w:left="200" w:right="1798" w:firstLine="1320"/>
                      <w:rPr>
                        <w:rFonts w:ascii="MS Gothic"/>
                      </w:rPr>
                    </w:pPr>
                    <w:proofErr w:type="gramStart"/>
                    <w:r>
                      <w:rPr>
                        <w:rFonts w:ascii="MS Gothic"/>
                        <w:color w:val="333333"/>
                      </w:rPr>
                      <w:t>.doOnConnected</w:t>
                    </w:r>
                    <w:proofErr w:type="gramEnd"/>
                    <w:r>
                      <w:rPr>
                        <w:rFonts w:ascii="MS Gothic"/>
                        <w:color w:val="333333"/>
                      </w:rPr>
                      <w:t>((connection) -&gt; connection.addHandlerLast(new ReadTimeoutHandler(60)));</w:t>
                    </w:r>
                  </w:p>
                  <w:p w14:paraId="12052C3F" w14:textId="77777777" w:rsidR="00711A16" w:rsidRDefault="00711A16">
                    <w:pPr>
                      <w:spacing w:line="280" w:lineRule="exact"/>
                      <w:ind w:left="640"/>
                      <w:rPr>
                        <w:rFonts w:ascii="MS Gothic"/>
                      </w:rPr>
                    </w:pPr>
                    <w:r>
                      <w:rPr>
                        <w:rFonts w:ascii="MS Gothic"/>
                        <w:color w:val="333333"/>
                      </w:rPr>
                      <w:t xml:space="preserve">return new </w:t>
                    </w:r>
                    <w:proofErr w:type="gramStart"/>
                    <w:r>
                      <w:rPr>
                        <w:rFonts w:ascii="MS Gothic"/>
                        <w:color w:val="333333"/>
                      </w:rPr>
                      <w:t>ReactorClientHttpConnector(</w:t>
                    </w:r>
                    <w:proofErr w:type="gramEnd"/>
                    <w:r>
                      <w:rPr>
                        <w:rFonts w:ascii="MS Gothic"/>
                        <w:color w:val="333333"/>
                      </w:rPr>
                      <w:t>HttpClient.from(tcpClient));</w:t>
                    </w:r>
                  </w:p>
                  <w:p w14:paraId="6B7F17F8"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3725EA55" w14:textId="77777777" w:rsidR="00A720EB" w:rsidRDefault="00A720EB">
      <w:pPr>
        <w:pStyle w:val="a3"/>
        <w:spacing w:before="8"/>
        <w:rPr>
          <w:sz w:val="16"/>
        </w:rPr>
      </w:pPr>
    </w:p>
    <w:p w14:paraId="449B8AEE" w14:textId="77777777" w:rsidR="00A720EB" w:rsidRDefault="00E10349">
      <w:pPr>
        <w:pStyle w:val="a3"/>
        <w:spacing w:before="116" w:line="300" w:lineRule="auto"/>
        <w:ind w:left="1564" w:right="364"/>
        <w:jc w:val="both"/>
      </w:pPr>
      <w:r>
        <w:pict w14:anchorId="0D16A2FA">
          <v:line id="_x0000_s1459" style="position:absolute;left:0;text-align:left;z-index:16372736;mso-position-horizontal-relative:page" from="108.25pt,.35pt" to="108.25pt,55.7pt" strokecolor="#ededed" strokeweight=".5pt">
            <w10:wrap anchorx="page"/>
          </v:line>
        </w:pict>
      </w:r>
      <w:r w:rsidR="0030286B">
        <w:rPr>
          <w:noProof/>
        </w:rPr>
        <w:drawing>
          <wp:anchor distT="0" distB="0" distL="0" distR="0" simplePos="0" relativeHeight="16373248" behindDoc="0" locked="0" layoutInCell="1" allowOverlap="1" wp14:anchorId="38770BA4" wp14:editId="4A065C9B">
            <wp:simplePos x="0" y="0"/>
            <wp:positionH relativeFrom="page">
              <wp:posOffset>888949</wp:posOffset>
            </wp:positionH>
            <wp:positionV relativeFrom="paragraph">
              <wp:posOffset>203276</wp:posOffset>
            </wp:positionV>
            <wp:extent cx="209550" cy="304800"/>
            <wp:effectExtent l="0" t="0" r="0" b="0"/>
            <wp:wrapNone/>
            <wp:docPr id="74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Note</w:t>
      </w:r>
      <w:r w:rsidR="0030286B">
        <w:rPr>
          <w:color w:val="333333"/>
          <w:spacing w:val="-7"/>
          <w:w w:val="110"/>
        </w:rPr>
        <w:t xml:space="preserve"> </w:t>
      </w:r>
      <w:r w:rsidR="0030286B">
        <w:rPr>
          <w:color w:val="333333"/>
          <w:w w:val="110"/>
        </w:rPr>
        <w:t>the</w:t>
      </w:r>
      <w:r w:rsidR="0030286B">
        <w:rPr>
          <w:color w:val="333333"/>
          <w:spacing w:val="-7"/>
          <w:w w:val="110"/>
        </w:rPr>
        <w:t xml:space="preserve"> </w:t>
      </w:r>
      <w:r w:rsidR="0030286B">
        <w:rPr>
          <w:color w:val="333333"/>
          <w:w w:val="110"/>
        </w:rPr>
        <w:t>use</w:t>
      </w:r>
      <w:r w:rsidR="0030286B">
        <w:rPr>
          <w:color w:val="333333"/>
          <w:spacing w:val="-6"/>
          <w:w w:val="110"/>
        </w:rPr>
        <w:t xml:space="preserve"> </w:t>
      </w:r>
      <w:r w:rsidR="0030286B">
        <w:rPr>
          <w:color w:val="333333"/>
          <w:w w:val="110"/>
        </w:rPr>
        <w:t>of</w:t>
      </w:r>
      <w:r w:rsidR="0030286B">
        <w:rPr>
          <w:color w:val="333333"/>
          <w:spacing w:val="-6"/>
          <w:w w:val="110"/>
        </w:rPr>
        <w:t xml:space="preserve"> </w:t>
      </w:r>
      <w:r w:rsidR="0030286B">
        <w:rPr>
          <w:rFonts w:ascii="MS Gothic"/>
          <w:color w:val="B02045"/>
          <w:w w:val="110"/>
        </w:rPr>
        <w:t>ReactorResourceFactory</w:t>
      </w:r>
      <w:r w:rsidR="0030286B">
        <w:rPr>
          <w:rFonts w:ascii="MS Gothic"/>
          <w:color w:val="B02045"/>
          <w:spacing w:val="-71"/>
          <w:w w:val="110"/>
        </w:rPr>
        <w:t xml:space="preserve"> </w:t>
      </w:r>
      <w:r w:rsidR="0030286B">
        <w:rPr>
          <w:color w:val="333333"/>
          <w:w w:val="110"/>
        </w:rPr>
        <w:t>for</w:t>
      </w:r>
      <w:r w:rsidR="0030286B">
        <w:rPr>
          <w:color w:val="333333"/>
          <w:spacing w:val="-6"/>
          <w:w w:val="110"/>
        </w:rPr>
        <w:t xml:space="preserve"> </w:t>
      </w:r>
      <w:r w:rsidR="0030286B">
        <w:rPr>
          <w:color w:val="333333"/>
          <w:w w:val="110"/>
        </w:rPr>
        <w:t>the</w:t>
      </w:r>
      <w:r w:rsidR="0030286B">
        <w:rPr>
          <w:color w:val="333333"/>
          <w:spacing w:val="-7"/>
          <w:w w:val="110"/>
        </w:rPr>
        <w:t xml:space="preserve"> </w:t>
      </w:r>
      <w:r w:rsidR="0030286B">
        <w:rPr>
          <w:color w:val="333333"/>
          <w:w w:val="110"/>
        </w:rPr>
        <w:t>connection</w:t>
      </w:r>
      <w:r w:rsidR="0030286B">
        <w:rPr>
          <w:color w:val="333333"/>
          <w:spacing w:val="-6"/>
          <w:w w:val="110"/>
        </w:rPr>
        <w:t xml:space="preserve"> </w:t>
      </w:r>
      <w:r w:rsidR="0030286B">
        <w:rPr>
          <w:color w:val="333333"/>
          <w:w w:val="110"/>
        </w:rPr>
        <w:t>provider</w:t>
      </w:r>
      <w:r w:rsidR="0030286B">
        <w:rPr>
          <w:color w:val="333333"/>
          <w:spacing w:val="-7"/>
          <w:w w:val="110"/>
        </w:rPr>
        <w:t xml:space="preserve"> </w:t>
      </w:r>
      <w:r w:rsidR="0030286B">
        <w:rPr>
          <w:color w:val="333333"/>
          <w:w w:val="110"/>
        </w:rPr>
        <w:t>and</w:t>
      </w:r>
      <w:r w:rsidR="0030286B">
        <w:rPr>
          <w:color w:val="333333"/>
          <w:spacing w:val="-6"/>
          <w:w w:val="110"/>
        </w:rPr>
        <w:t xml:space="preserve"> </w:t>
      </w:r>
      <w:r w:rsidR="0030286B">
        <w:rPr>
          <w:color w:val="333333"/>
          <w:w w:val="110"/>
        </w:rPr>
        <w:t>event</w:t>
      </w:r>
      <w:r w:rsidR="0030286B">
        <w:rPr>
          <w:color w:val="333333"/>
          <w:spacing w:val="-7"/>
          <w:w w:val="110"/>
        </w:rPr>
        <w:t xml:space="preserve"> </w:t>
      </w:r>
      <w:r w:rsidR="0030286B">
        <w:rPr>
          <w:color w:val="333333"/>
          <w:w w:val="110"/>
        </w:rPr>
        <w:t>loop resources. This ensures efficient sharing of resources for the server receiving requests and the client making</w:t>
      </w:r>
      <w:r w:rsidR="0030286B">
        <w:rPr>
          <w:color w:val="333333"/>
          <w:spacing w:val="15"/>
          <w:w w:val="110"/>
        </w:rPr>
        <w:t xml:space="preserve"> </w:t>
      </w:r>
      <w:r w:rsidR="0030286B">
        <w:rPr>
          <w:color w:val="333333"/>
          <w:w w:val="110"/>
        </w:rPr>
        <w:t>requests.</w:t>
      </w:r>
    </w:p>
    <w:p w14:paraId="1E2DB450" w14:textId="77777777" w:rsidR="00A720EB" w:rsidRDefault="00A720EB">
      <w:pPr>
        <w:spacing w:line="300" w:lineRule="auto"/>
        <w:jc w:val="both"/>
        <w:sectPr w:rsidR="00A720EB">
          <w:pgSz w:w="11910" w:h="16840"/>
          <w:pgMar w:top="700" w:right="840" w:bottom="520" w:left="840" w:header="0" w:footer="323" w:gutter="0"/>
          <w:cols w:space="720"/>
        </w:sectPr>
      </w:pPr>
    </w:p>
    <w:p w14:paraId="5A6B3176" w14:textId="77777777" w:rsidR="00A720EB" w:rsidRDefault="0030286B">
      <w:pPr>
        <w:pStyle w:val="2"/>
        <w:numPr>
          <w:ilvl w:val="1"/>
          <w:numId w:val="13"/>
        </w:numPr>
        <w:tabs>
          <w:tab w:val="left" w:pos="832"/>
        </w:tabs>
        <w:spacing w:before="88"/>
      </w:pPr>
      <w:bookmarkStart w:id="885" w:name="9.8._Logging"/>
      <w:bookmarkStart w:id="886" w:name="_Toc54423964"/>
      <w:bookmarkEnd w:id="885"/>
      <w:r>
        <w:rPr>
          <w:color w:val="333333"/>
          <w:w w:val="105"/>
        </w:rPr>
        <w:lastRenderedPageBreak/>
        <w:t>Logging</w:t>
      </w:r>
      <w:bookmarkEnd w:id="886"/>
    </w:p>
    <w:p w14:paraId="5D5551E2" w14:textId="77777777" w:rsidR="00A720EB" w:rsidRDefault="0030286B">
      <w:pPr>
        <w:pStyle w:val="a3"/>
        <w:spacing w:before="254" w:line="285" w:lineRule="auto"/>
        <w:ind w:left="124" w:right="122"/>
        <w:jc w:val="both"/>
      </w:pPr>
      <w:r>
        <w:rPr>
          <w:color w:val="333333"/>
          <w:w w:val="110"/>
        </w:rPr>
        <w:t xml:space="preserve">Spring Boot has no mandatory logging </w:t>
      </w:r>
      <w:r>
        <w:rPr>
          <w:color w:val="333333"/>
          <w:spacing w:val="-3"/>
          <w:w w:val="110"/>
        </w:rPr>
        <w:t xml:space="preserve">dependency, </w:t>
      </w:r>
      <w:r>
        <w:rPr>
          <w:color w:val="333333"/>
          <w:w w:val="110"/>
        </w:rPr>
        <w:t xml:space="preserve">except for the Commons Logging API, which is typically provided </w:t>
      </w:r>
      <w:r>
        <w:rPr>
          <w:color w:val="333333"/>
          <w:spacing w:val="-3"/>
          <w:w w:val="110"/>
        </w:rPr>
        <w:t xml:space="preserve">by </w:t>
      </w:r>
      <w:r>
        <w:rPr>
          <w:color w:val="333333"/>
          <w:w w:val="110"/>
        </w:rPr>
        <w:t xml:space="preserve">Spring Framework’s </w:t>
      </w:r>
      <w:r>
        <w:rPr>
          <w:rFonts w:ascii="MS Gothic" w:hAnsi="MS Gothic"/>
          <w:color w:val="B02045"/>
          <w:w w:val="110"/>
        </w:rPr>
        <w:t xml:space="preserve">spring-jcl </w:t>
      </w:r>
      <w:r>
        <w:rPr>
          <w:color w:val="333333"/>
          <w:w w:val="110"/>
        </w:rPr>
        <w:t xml:space="preserve">module. </w:t>
      </w:r>
      <w:r>
        <w:rPr>
          <w:color w:val="333333"/>
          <w:spacing w:val="-4"/>
          <w:w w:val="110"/>
        </w:rPr>
        <w:t xml:space="preserve">To </w:t>
      </w:r>
      <w:r>
        <w:rPr>
          <w:color w:val="333333"/>
          <w:w w:val="110"/>
        </w:rPr>
        <w:t xml:space="preserve">use </w:t>
      </w:r>
      <w:hyperlink r:id="rId618">
        <w:r>
          <w:rPr>
            <w:color w:val="418BCA"/>
            <w:w w:val="110"/>
          </w:rPr>
          <w:t>Logback</w:t>
        </w:r>
      </w:hyperlink>
      <w:r>
        <w:rPr>
          <w:color w:val="333333"/>
          <w:w w:val="110"/>
        </w:rPr>
        <w:t xml:space="preserve">, you need to include it and </w:t>
      </w:r>
      <w:r>
        <w:rPr>
          <w:rFonts w:ascii="MS Gothic" w:hAnsi="MS Gothic"/>
          <w:color w:val="B02045"/>
          <w:w w:val="110"/>
        </w:rPr>
        <w:t xml:space="preserve">spring-jcl </w:t>
      </w:r>
      <w:r>
        <w:rPr>
          <w:color w:val="333333"/>
          <w:w w:val="110"/>
        </w:rPr>
        <w:t xml:space="preserve">on the classpath. The recommended way to do that is through the starters, which all depend on </w:t>
      </w:r>
      <w:r>
        <w:rPr>
          <w:rFonts w:ascii="MS Gothic" w:hAnsi="MS Gothic"/>
          <w:color w:val="B02045"/>
          <w:w w:val="110"/>
        </w:rPr>
        <w:t>spring-boot-starter-logging</w:t>
      </w:r>
      <w:r>
        <w:rPr>
          <w:color w:val="333333"/>
          <w:w w:val="110"/>
        </w:rPr>
        <w:t xml:space="preserve">. </w:t>
      </w:r>
      <w:r>
        <w:rPr>
          <w:color w:val="333333"/>
          <w:spacing w:val="-4"/>
          <w:w w:val="110"/>
        </w:rPr>
        <w:t xml:space="preserve">For </w:t>
      </w:r>
      <w:r>
        <w:rPr>
          <w:color w:val="333333"/>
          <w:w w:val="110"/>
        </w:rPr>
        <w:t xml:space="preserve">a web application, you need only </w:t>
      </w:r>
      <w:r>
        <w:rPr>
          <w:rFonts w:ascii="MS Gothic" w:hAnsi="MS Gothic"/>
          <w:color w:val="B02045"/>
          <w:w w:val="110"/>
        </w:rPr>
        <w:t>spring-boot- starter-web</w:t>
      </w:r>
      <w:r>
        <w:rPr>
          <w:color w:val="333333"/>
          <w:w w:val="110"/>
        </w:rPr>
        <w:t>, since it depends transitively on the logging starter. If you use Maven, the following dependency adds logging for</w:t>
      </w:r>
      <w:r>
        <w:rPr>
          <w:color w:val="333333"/>
          <w:spacing w:val="12"/>
          <w:w w:val="110"/>
        </w:rPr>
        <w:t xml:space="preserve"> </w:t>
      </w:r>
      <w:r>
        <w:rPr>
          <w:color w:val="333333"/>
          <w:w w:val="110"/>
        </w:rPr>
        <w:t>you:</w:t>
      </w:r>
    </w:p>
    <w:p w14:paraId="2D333906" w14:textId="77777777" w:rsidR="00A720EB" w:rsidRDefault="00E10349">
      <w:pPr>
        <w:pStyle w:val="a3"/>
        <w:spacing w:before="4"/>
        <w:rPr>
          <w:sz w:val="15"/>
        </w:rPr>
      </w:pPr>
      <w:r>
        <w:pict w14:anchorId="711B91D4">
          <v:group id="_x0000_s1455" style="position:absolute;margin-left:47.85pt;margin-top:11pt;width:499.55pt;height:81.75pt;z-index:-15083520;mso-wrap-distance-left:0;mso-wrap-distance-right:0;mso-position-horizontal-relative:page" coordorigin="957,220" coordsize="9991,1635">
            <v:shape id="_x0000_s1458" style="position:absolute;left:964;top:227;width:9976;height:1620" coordorigin="965,227" coordsize="9976,1620" path="m10861,227r-9816,l1014,233r-26,17l971,276r-6,31l965,1766r6,31l988,1823r26,17l1045,1846r9816,l10892,1840r25,-17l10935,1797r6,-31l10941,307r-6,-31l10917,250r-25,-17l10861,227xe" fillcolor="#f5f5f5" stroked="f">
              <v:path arrowok="t"/>
            </v:shape>
            <v:shape id="_x0000_s1457" style="position:absolute;left:964;top:227;width:9976;height:1620" coordorigin="965,227" coordsize="9976,1620" path="m1045,227r9816,l10892,233r25,17l10935,276r6,31l10941,1766r-6,31l10917,1823r-25,17l10861,1846r-9816,l1014,1840r-26,-17l971,1797r-6,-31l965,307r6,-31l988,250r26,-17l1045,227xe" filled="f" strokecolor="#ccc">
              <v:path arrowok="t"/>
            </v:shape>
            <v:shape id="_x0000_s1456" type="#_x0000_t202" style="position:absolute;left:984;top:242;width:9938;height:1589" filled="f" stroked="f">
              <v:textbox inset="0,0,0,0">
                <w:txbxContent>
                  <w:p w14:paraId="4F1E4B4A" w14:textId="77777777" w:rsidR="00711A16" w:rsidRDefault="00711A16">
                    <w:pPr>
                      <w:spacing w:before="221"/>
                      <w:ind w:left="200"/>
                      <w:rPr>
                        <w:rFonts w:ascii="MS Gothic"/>
                      </w:rPr>
                    </w:pPr>
                    <w:r>
                      <w:rPr>
                        <w:rFonts w:ascii="MS Gothic"/>
                        <w:color w:val="333333"/>
                      </w:rPr>
                      <w:t>&lt;dependency&gt;</w:t>
                    </w:r>
                  </w:p>
                  <w:p w14:paraId="583B2E72"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7171C013" w14:textId="77777777" w:rsidR="00711A16" w:rsidRDefault="00711A16">
                    <w:pPr>
                      <w:spacing w:before="13"/>
                      <w:ind w:left="640"/>
                      <w:rPr>
                        <w:rFonts w:ascii="MS Gothic"/>
                      </w:rPr>
                    </w:pPr>
                    <w:r>
                      <w:rPr>
                        <w:rFonts w:ascii="MS Gothic"/>
                        <w:color w:val="333333"/>
                      </w:rPr>
                      <w:t>&lt;artifactId&gt;spring-boot-starter-web&lt;/artifactId&gt;</w:t>
                    </w:r>
                  </w:p>
                  <w:p w14:paraId="33E291FD" w14:textId="77777777" w:rsidR="00711A16" w:rsidRDefault="00711A16">
                    <w:pPr>
                      <w:spacing w:before="13"/>
                      <w:ind w:left="200"/>
                      <w:rPr>
                        <w:rFonts w:ascii="MS Gothic"/>
                      </w:rPr>
                    </w:pPr>
                    <w:r>
                      <w:rPr>
                        <w:rFonts w:ascii="MS Gothic"/>
                        <w:color w:val="333333"/>
                      </w:rPr>
                      <w:t>&lt;/dependency&gt;</w:t>
                    </w:r>
                  </w:p>
                </w:txbxContent>
              </v:textbox>
            </v:shape>
            <w10:wrap type="topAndBottom" anchorx="page"/>
          </v:group>
        </w:pict>
      </w:r>
    </w:p>
    <w:p w14:paraId="211F6091" w14:textId="77777777" w:rsidR="00A720EB" w:rsidRDefault="00A720EB">
      <w:pPr>
        <w:pStyle w:val="a3"/>
        <w:spacing w:before="11"/>
        <w:rPr>
          <w:sz w:val="9"/>
        </w:rPr>
      </w:pPr>
    </w:p>
    <w:p w14:paraId="4BC855CB" w14:textId="77777777" w:rsidR="00A720EB" w:rsidRDefault="0030286B">
      <w:pPr>
        <w:pStyle w:val="a3"/>
        <w:spacing w:before="115" w:line="290" w:lineRule="auto"/>
        <w:ind w:left="124" w:right="45"/>
      </w:pPr>
      <w:r>
        <w:rPr>
          <w:color w:val="333333"/>
          <w:w w:val="110"/>
        </w:rPr>
        <w:t xml:space="preserve">Spring Boot has a </w:t>
      </w:r>
      <w:r>
        <w:rPr>
          <w:rFonts w:ascii="MS Gothic"/>
          <w:color w:val="B02045"/>
          <w:w w:val="110"/>
        </w:rPr>
        <w:t>LoggingSystem</w:t>
      </w:r>
      <w:r>
        <w:rPr>
          <w:rFonts w:ascii="MS Gothic"/>
          <w:color w:val="B02045"/>
          <w:spacing w:val="-71"/>
          <w:w w:val="110"/>
        </w:rPr>
        <w:t xml:space="preserve"> </w:t>
      </w:r>
      <w:r>
        <w:rPr>
          <w:color w:val="333333"/>
          <w:w w:val="110"/>
        </w:rPr>
        <w:t>abstraction that attempts to configure logging based on the content of the classpath. If Logback is available, it is the first choice.</w:t>
      </w:r>
    </w:p>
    <w:p w14:paraId="5F9032A6" w14:textId="77777777" w:rsidR="00A720EB" w:rsidRDefault="00A720EB">
      <w:pPr>
        <w:pStyle w:val="a3"/>
        <w:spacing w:before="1"/>
        <w:rPr>
          <w:sz w:val="22"/>
        </w:rPr>
      </w:pPr>
    </w:p>
    <w:p w14:paraId="39F3E558" w14:textId="77777777" w:rsidR="00A720EB" w:rsidRDefault="0030286B">
      <w:pPr>
        <w:pStyle w:val="a3"/>
        <w:spacing w:line="297" w:lineRule="auto"/>
        <w:ind w:left="124" w:right="359"/>
      </w:pPr>
      <w:r>
        <w:rPr>
          <w:color w:val="333333"/>
          <w:w w:val="110"/>
        </w:rPr>
        <w:t>If the only change you need to make to logging is to set the levels of various loggers, you can do so    in</w:t>
      </w:r>
      <w:r>
        <w:rPr>
          <w:color w:val="333333"/>
          <w:spacing w:val="-5"/>
          <w:w w:val="110"/>
        </w:rPr>
        <w:t xml:space="preserve"> </w:t>
      </w:r>
      <w:proofErr w:type="gramStart"/>
      <w:r>
        <w:rPr>
          <w:rFonts w:ascii="MS Gothic"/>
          <w:color w:val="B02045"/>
          <w:w w:val="110"/>
        </w:rPr>
        <w:t>application.properties</w:t>
      </w:r>
      <w:proofErr w:type="gramEnd"/>
      <w:r>
        <w:rPr>
          <w:rFonts w:ascii="MS Gothic"/>
          <w:color w:val="B02045"/>
          <w:spacing w:val="-69"/>
          <w:w w:val="110"/>
        </w:rPr>
        <w:t xml:space="preserve"> </w:t>
      </w:r>
      <w:r>
        <w:rPr>
          <w:color w:val="333333"/>
          <w:spacing w:val="-3"/>
          <w:w w:val="110"/>
        </w:rPr>
        <w:t>by</w:t>
      </w:r>
      <w:r>
        <w:rPr>
          <w:color w:val="333333"/>
          <w:spacing w:val="-5"/>
          <w:w w:val="110"/>
        </w:rPr>
        <w:t xml:space="preserve"> </w:t>
      </w:r>
      <w:r>
        <w:rPr>
          <w:color w:val="333333"/>
          <w:w w:val="110"/>
        </w:rPr>
        <w:t>using</w:t>
      </w:r>
      <w:r>
        <w:rPr>
          <w:color w:val="333333"/>
          <w:spacing w:val="-6"/>
          <w:w w:val="110"/>
        </w:rPr>
        <w:t xml:space="preserve"> </w:t>
      </w:r>
      <w:r>
        <w:rPr>
          <w:color w:val="333333"/>
          <w:w w:val="110"/>
        </w:rPr>
        <w:t>the</w:t>
      </w:r>
      <w:r>
        <w:rPr>
          <w:color w:val="333333"/>
          <w:spacing w:val="-4"/>
          <w:w w:val="110"/>
        </w:rPr>
        <w:t xml:space="preserve"> </w:t>
      </w:r>
      <w:r>
        <w:rPr>
          <w:color w:val="333333"/>
          <w:w w:val="110"/>
        </w:rPr>
        <w:t>"logging.level"</w:t>
      </w:r>
      <w:r>
        <w:rPr>
          <w:color w:val="333333"/>
          <w:spacing w:val="-4"/>
          <w:w w:val="110"/>
        </w:rPr>
        <w:t xml:space="preserve"> </w:t>
      </w:r>
      <w:r>
        <w:rPr>
          <w:color w:val="333333"/>
          <w:w w:val="110"/>
        </w:rPr>
        <w:t>prefix,</w:t>
      </w:r>
      <w:r>
        <w:rPr>
          <w:color w:val="333333"/>
          <w:spacing w:val="-6"/>
          <w:w w:val="110"/>
        </w:rPr>
        <w:t xml:space="preserve"> </w:t>
      </w:r>
      <w:r>
        <w:rPr>
          <w:color w:val="333333"/>
          <w:w w:val="110"/>
        </w:rPr>
        <w:t>as</w:t>
      </w:r>
      <w:r>
        <w:rPr>
          <w:color w:val="333333"/>
          <w:spacing w:val="-5"/>
          <w:w w:val="110"/>
        </w:rPr>
        <w:t xml:space="preserve"> </w:t>
      </w:r>
      <w:r>
        <w:rPr>
          <w:color w:val="333333"/>
          <w:w w:val="110"/>
        </w:rPr>
        <w:t>shown</w:t>
      </w:r>
      <w:r>
        <w:rPr>
          <w:color w:val="333333"/>
          <w:spacing w:val="-4"/>
          <w:w w:val="110"/>
        </w:rPr>
        <w:t xml:space="preserve"> </w:t>
      </w:r>
      <w:r>
        <w:rPr>
          <w:color w:val="333333"/>
          <w:w w:val="110"/>
        </w:rPr>
        <w:t>in</w:t>
      </w:r>
      <w:r>
        <w:rPr>
          <w:color w:val="333333"/>
          <w:spacing w:val="-6"/>
          <w:w w:val="110"/>
        </w:rPr>
        <w:t xml:space="preserve"> </w:t>
      </w:r>
      <w:r>
        <w:rPr>
          <w:color w:val="333333"/>
          <w:w w:val="110"/>
        </w:rPr>
        <w:t>the</w:t>
      </w:r>
      <w:r>
        <w:rPr>
          <w:color w:val="333333"/>
          <w:spacing w:val="-4"/>
          <w:w w:val="110"/>
        </w:rPr>
        <w:t xml:space="preserve"> </w:t>
      </w:r>
      <w:r>
        <w:rPr>
          <w:color w:val="333333"/>
          <w:w w:val="110"/>
        </w:rPr>
        <w:t>following</w:t>
      </w:r>
      <w:r>
        <w:rPr>
          <w:color w:val="333333"/>
          <w:spacing w:val="-4"/>
          <w:w w:val="110"/>
        </w:rPr>
        <w:t xml:space="preserve"> </w:t>
      </w:r>
      <w:r>
        <w:rPr>
          <w:color w:val="333333"/>
          <w:w w:val="110"/>
        </w:rPr>
        <w:t>example:</w:t>
      </w:r>
    </w:p>
    <w:p w14:paraId="5CB22F0B" w14:textId="77777777" w:rsidR="00A720EB" w:rsidRDefault="00E10349">
      <w:pPr>
        <w:pStyle w:val="a3"/>
        <w:spacing w:before="4"/>
        <w:rPr>
          <w:sz w:val="12"/>
        </w:rPr>
      </w:pPr>
      <w:r>
        <w:pict w14:anchorId="49B664F5">
          <v:group id="_x0000_s1451" style="position:absolute;margin-left:47.85pt;margin-top:9.25pt;width:499.55pt;height:52.25pt;z-index:-15083008;mso-wrap-distance-left:0;mso-wrap-distance-right:0;mso-position-horizontal-relative:page" coordorigin="957,185" coordsize="9991,1045">
            <v:shape id="_x0000_s1454" style="position:absolute;left:964;top:192;width:9976;height:1030" coordorigin="965,193" coordsize="9976,1030" path="m10861,193r-9816,l1014,199r-26,17l971,241r-6,32l965,1142r6,31l988,1199r26,17l1045,1222r9816,l10892,1216r25,-17l10935,1173r6,-31l10941,273r-6,-32l10917,216r-25,-17l10861,193xe" fillcolor="#f5f5f5" stroked="f">
              <v:path arrowok="t"/>
            </v:shape>
            <v:shape id="_x0000_s1453" style="position:absolute;left:964;top:192;width:9976;height:1030" coordorigin="965,193" coordsize="9976,1030" path="m1045,193r9816,l10892,199r25,17l10935,241r6,32l10941,1142r-6,31l10917,1199r-25,17l10861,1222r-9816,l1014,1216r-26,-17l971,1173r-6,-31l965,273r6,-32l988,216r26,-17l1045,193xe" filled="f" strokecolor="#ccc">
              <v:path arrowok="t"/>
            </v:shape>
            <v:shape id="_x0000_s1452" type="#_x0000_t202" style="position:absolute;left:984;top:208;width:9938;height:999" filled="f" stroked="f">
              <v:textbox inset="0,0,0,0">
                <w:txbxContent>
                  <w:p w14:paraId="33CB6676" w14:textId="77777777" w:rsidR="00711A16" w:rsidRDefault="00711A16">
                    <w:pPr>
                      <w:spacing w:before="221" w:line="252" w:lineRule="auto"/>
                      <w:ind w:left="200" w:right="4988"/>
                      <w:rPr>
                        <w:rFonts w:ascii="MS Gothic"/>
                      </w:rPr>
                    </w:pPr>
                    <w:r>
                      <w:rPr>
                        <w:rFonts w:ascii="MS Gothic"/>
                        <w:color w:val="333333"/>
                      </w:rPr>
                      <w:t xml:space="preserve">logging.level.org.springframework.web=DEBUG </w:t>
                    </w:r>
                    <w:proofErr w:type="gramStart"/>
                    <w:r>
                      <w:rPr>
                        <w:rFonts w:ascii="MS Gothic"/>
                        <w:color w:val="333333"/>
                      </w:rPr>
                      <w:t>logging.level.org.hibernate</w:t>
                    </w:r>
                    <w:proofErr w:type="gramEnd"/>
                    <w:r>
                      <w:rPr>
                        <w:rFonts w:ascii="MS Gothic"/>
                        <w:color w:val="333333"/>
                      </w:rPr>
                      <w:t>=ERROR</w:t>
                    </w:r>
                  </w:p>
                </w:txbxContent>
              </v:textbox>
            </v:shape>
            <w10:wrap type="topAndBottom" anchorx="page"/>
          </v:group>
        </w:pict>
      </w:r>
    </w:p>
    <w:p w14:paraId="3AC39D2D" w14:textId="77777777" w:rsidR="00A720EB" w:rsidRDefault="00A720EB">
      <w:pPr>
        <w:pStyle w:val="a3"/>
        <w:rPr>
          <w:sz w:val="10"/>
        </w:rPr>
      </w:pPr>
    </w:p>
    <w:p w14:paraId="7D719B90" w14:textId="77777777" w:rsidR="00A720EB" w:rsidRDefault="0030286B">
      <w:pPr>
        <w:pStyle w:val="a3"/>
        <w:spacing w:before="125" w:line="307" w:lineRule="auto"/>
        <w:ind w:left="124" w:right="129"/>
        <w:jc w:val="both"/>
      </w:pPr>
      <w:r>
        <w:rPr>
          <w:color w:val="333333"/>
          <w:w w:val="110"/>
        </w:rPr>
        <w:t>You can also set the location of a file to which to write the log (in addition to the console) by using "logging.file.name".</w:t>
      </w:r>
    </w:p>
    <w:p w14:paraId="0A69E9D0" w14:textId="77777777" w:rsidR="00A720EB" w:rsidRDefault="0030286B">
      <w:pPr>
        <w:pStyle w:val="a3"/>
        <w:spacing w:before="241" w:line="288" w:lineRule="auto"/>
        <w:ind w:left="124" w:right="122"/>
        <w:jc w:val="both"/>
      </w:pPr>
      <w:r>
        <w:rPr>
          <w:color w:val="333333"/>
          <w:spacing w:val="-4"/>
          <w:w w:val="110"/>
        </w:rPr>
        <w:t xml:space="preserve">To </w:t>
      </w:r>
      <w:r>
        <w:rPr>
          <w:color w:val="333333"/>
          <w:w w:val="110"/>
        </w:rPr>
        <w:t xml:space="preserve">configure the more fine-grained settings of a logging system, you need to use the native configuration format supported </w:t>
      </w:r>
      <w:r>
        <w:rPr>
          <w:color w:val="333333"/>
          <w:spacing w:val="-3"/>
          <w:w w:val="110"/>
        </w:rPr>
        <w:t xml:space="preserve">by </w:t>
      </w:r>
      <w:r>
        <w:rPr>
          <w:color w:val="333333"/>
          <w:w w:val="110"/>
        </w:rPr>
        <w:t xml:space="preserve">the </w:t>
      </w:r>
      <w:r>
        <w:rPr>
          <w:rFonts w:ascii="MS Gothic"/>
          <w:color w:val="B02045"/>
          <w:w w:val="110"/>
        </w:rPr>
        <w:t xml:space="preserve">LoggingSystem </w:t>
      </w:r>
      <w:r>
        <w:rPr>
          <w:color w:val="333333"/>
          <w:w w:val="110"/>
        </w:rPr>
        <w:t xml:space="preserve">in question. </w:t>
      </w:r>
      <w:r>
        <w:rPr>
          <w:color w:val="333333"/>
          <w:spacing w:val="-3"/>
          <w:w w:val="110"/>
        </w:rPr>
        <w:t xml:space="preserve">By </w:t>
      </w:r>
      <w:r>
        <w:rPr>
          <w:color w:val="333333"/>
          <w:w w:val="110"/>
        </w:rPr>
        <w:t xml:space="preserve">default, Spring Boot picks up the native configuration from its default location for the system (such as </w:t>
      </w:r>
      <w:proofErr w:type="gramStart"/>
      <w:r>
        <w:rPr>
          <w:rFonts w:ascii="MS Gothic"/>
          <w:color w:val="B02045"/>
          <w:w w:val="110"/>
        </w:rPr>
        <w:t>classpath:logback.xml</w:t>
      </w:r>
      <w:proofErr w:type="gramEnd"/>
      <w:r>
        <w:rPr>
          <w:rFonts w:ascii="MS Gothic"/>
          <w:color w:val="B02045"/>
          <w:w w:val="110"/>
        </w:rPr>
        <w:t xml:space="preserve"> </w:t>
      </w:r>
      <w:r>
        <w:rPr>
          <w:color w:val="333333"/>
          <w:w w:val="110"/>
        </w:rPr>
        <w:t xml:space="preserve">for Logback), but you can set the location of the config file </w:t>
      </w:r>
      <w:r>
        <w:rPr>
          <w:color w:val="333333"/>
          <w:spacing w:val="-3"/>
          <w:w w:val="110"/>
        </w:rPr>
        <w:t xml:space="preserve">by </w:t>
      </w:r>
      <w:r>
        <w:rPr>
          <w:color w:val="333333"/>
          <w:w w:val="110"/>
        </w:rPr>
        <w:t xml:space="preserve">using the </w:t>
      </w:r>
      <w:r>
        <w:rPr>
          <w:rFonts w:ascii="MS Gothic"/>
          <w:color w:val="B02045"/>
          <w:w w:val="110"/>
        </w:rPr>
        <w:t>logging.config</w:t>
      </w:r>
      <w:r>
        <w:rPr>
          <w:rFonts w:ascii="MS Gothic"/>
          <w:color w:val="B02045"/>
          <w:spacing w:val="-60"/>
          <w:w w:val="110"/>
        </w:rPr>
        <w:t xml:space="preserve"> </w:t>
      </w:r>
      <w:r>
        <w:rPr>
          <w:color w:val="333333"/>
          <w:spacing w:val="-3"/>
          <w:w w:val="110"/>
        </w:rPr>
        <w:t>property.</w:t>
      </w:r>
    </w:p>
    <w:p w14:paraId="1C3B85D7" w14:textId="77777777" w:rsidR="00A720EB" w:rsidRDefault="00A720EB">
      <w:pPr>
        <w:pStyle w:val="a3"/>
        <w:spacing w:before="6"/>
        <w:rPr>
          <w:sz w:val="25"/>
        </w:rPr>
      </w:pPr>
    </w:p>
    <w:p w14:paraId="328A4234" w14:textId="77777777" w:rsidR="00A720EB" w:rsidRDefault="0030286B">
      <w:pPr>
        <w:pStyle w:val="3"/>
        <w:numPr>
          <w:ilvl w:val="2"/>
          <w:numId w:val="13"/>
        </w:numPr>
        <w:tabs>
          <w:tab w:val="left" w:pos="858"/>
        </w:tabs>
        <w:ind w:hanging="734"/>
      </w:pPr>
      <w:bookmarkStart w:id="887" w:name="9.8.1._Configure_Logback_for_Logging"/>
      <w:bookmarkStart w:id="888" w:name="_Toc54423965"/>
      <w:bookmarkEnd w:id="887"/>
      <w:r>
        <w:rPr>
          <w:color w:val="333333"/>
          <w:w w:val="110"/>
        </w:rPr>
        <w:t>Configure Logback for</w:t>
      </w:r>
      <w:r>
        <w:rPr>
          <w:color w:val="333333"/>
          <w:spacing w:val="-19"/>
          <w:w w:val="110"/>
        </w:rPr>
        <w:t xml:space="preserve"> </w:t>
      </w:r>
      <w:r>
        <w:rPr>
          <w:color w:val="333333"/>
          <w:w w:val="110"/>
        </w:rPr>
        <w:t>Logging</w:t>
      </w:r>
      <w:bookmarkEnd w:id="888"/>
    </w:p>
    <w:p w14:paraId="7D1A8819" w14:textId="77777777" w:rsidR="00A720EB" w:rsidRDefault="0030286B">
      <w:pPr>
        <w:pStyle w:val="a3"/>
        <w:spacing w:before="254" w:line="290" w:lineRule="auto"/>
        <w:ind w:left="124" w:right="122"/>
        <w:jc w:val="both"/>
      </w:pPr>
      <w:r>
        <w:rPr>
          <w:color w:val="333333"/>
          <w:w w:val="110"/>
        </w:rPr>
        <w:t xml:space="preserve">If you need to apply customizations to logback beyond those that can be achieved with </w:t>
      </w:r>
      <w:proofErr w:type="gramStart"/>
      <w:r>
        <w:rPr>
          <w:rFonts w:ascii="MS Gothic" w:hAnsi="MS Gothic"/>
          <w:color w:val="B02045"/>
          <w:w w:val="110"/>
        </w:rPr>
        <w:t>application.properties</w:t>
      </w:r>
      <w:proofErr w:type="gramEnd"/>
      <w:r>
        <w:rPr>
          <w:color w:val="333333"/>
          <w:w w:val="110"/>
        </w:rPr>
        <w:t xml:space="preserve">, you’ll need to add a standard logback configuration file. </w:t>
      </w:r>
      <w:r>
        <w:rPr>
          <w:color w:val="333333"/>
          <w:spacing w:val="-6"/>
          <w:w w:val="110"/>
        </w:rPr>
        <w:t xml:space="preserve">You </w:t>
      </w:r>
      <w:r>
        <w:rPr>
          <w:color w:val="333333"/>
          <w:w w:val="110"/>
        </w:rPr>
        <w:t xml:space="preserve">can add a </w:t>
      </w:r>
      <w:r>
        <w:rPr>
          <w:rFonts w:ascii="MS Gothic" w:hAnsi="MS Gothic"/>
          <w:color w:val="B02045"/>
          <w:w w:val="110"/>
        </w:rPr>
        <w:t>logback.xml</w:t>
      </w:r>
      <w:r>
        <w:rPr>
          <w:rFonts w:ascii="MS Gothic" w:hAnsi="MS Gothic"/>
          <w:color w:val="B02045"/>
          <w:spacing w:val="-76"/>
          <w:w w:val="110"/>
        </w:rPr>
        <w:t xml:space="preserve"> </w:t>
      </w:r>
      <w:r>
        <w:rPr>
          <w:color w:val="333333"/>
          <w:w w:val="110"/>
        </w:rPr>
        <w:t>file</w:t>
      </w:r>
      <w:r>
        <w:rPr>
          <w:color w:val="333333"/>
          <w:spacing w:val="-11"/>
          <w:w w:val="110"/>
        </w:rPr>
        <w:t xml:space="preserve"> </w:t>
      </w:r>
      <w:r>
        <w:rPr>
          <w:color w:val="333333"/>
          <w:w w:val="110"/>
        </w:rPr>
        <w:t>to</w:t>
      </w:r>
      <w:r>
        <w:rPr>
          <w:color w:val="333333"/>
          <w:spacing w:val="-11"/>
          <w:w w:val="110"/>
        </w:rPr>
        <w:t xml:space="preserve"> </w:t>
      </w:r>
      <w:r>
        <w:rPr>
          <w:color w:val="333333"/>
          <w:w w:val="110"/>
        </w:rPr>
        <w:t>the</w:t>
      </w:r>
      <w:r>
        <w:rPr>
          <w:color w:val="333333"/>
          <w:spacing w:val="-11"/>
          <w:w w:val="110"/>
        </w:rPr>
        <w:t xml:space="preserve"> </w:t>
      </w:r>
      <w:r>
        <w:rPr>
          <w:color w:val="333333"/>
          <w:w w:val="110"/>
        </w:rPr>
        <w:t>root</w:t>
      </w:r>
      <w:r>
        <w:rPr>
          <w:color w:val="333333"/>
          <w:spacing w:val="-10"/>
          <w:w w:val="110"/>
        </w:rPr>
        <w:t xml:space="preserve"> </w:t>
      </w:r>
      <w:r>
        <w:rPr>
          <w:color w:val="333333"/>
          <w:w w:val="110"/>
        </w:rPr>
        <w:t>of</w:t>
      </w:r>
      <w:r>
        <w:rPr>
          <w:color w:val="333333"/>
          <w:spacing w:val="-11"/>
          <w:w w:val="110"/>
        </w:rPr>
        <w:t xml:space="preserve"> </w:t>
      </w:r>
      <w:r>
        <w:rPr>
          <w:color w:val="333333"/>
          <w:w w:val="110"/>
        </w:rPr>
        <w:t>your</w:t>
      </w:r>
      <w:r>
        <w:rPr>
          <w:color w:val="333333"/>
          <w:spacing w:val="-12"/>
          <w:w w:val="110"/>
        </w:rPr>
        <w:t xml:space="preserve"> </w:t>
      </w:r>
      <w:r>
        <w:rPr>
          <w:color w:val="333333"/>
          <w:w w:val="110"/>
        </w:rPr>
        <w:t>classpath</w:t>
      </w:r>
      <w:r>
        <w:rPr>
          <w:color w:val="333333"/>
          <w:spacing w:val="-11"/>
          <w:w w:val="110"/>
        </w:rPr>
        <w:t xml:space="preserve"> </w:t>
      </w:r>
      <w:r>
        <w:rPr>
          <w:color w:val="333333"/>
          <w:w w:val="110"/>
        </w:rPr>
        <w:t>for</w:t>
      </w:r>
      <w:r>
        <w:rPr>
          <w:color w:val="333333"/>
          <w:spacing w:val="-10"/>
          <w:w w:val="110"/>
        </w:rPr>
        <w:t xml:space="preserve"> </w:t>
      </w:r>
      <w:r>
        <w:rPr>
          <w:color w:val="333333"/>
          <w:w w:val="110"/>
        </w:rPr>
        <w:t>logback</w:t>
      </w:r>
      <w:r>
        <w:rPr>
          <w:color w:val="333333"/>
          <w:spacing w:val="-11"/>
          <w:w w:val="110"/>
        </w:rPr>
        <w:t xml:space="preserve"> </w:t>
      </w:r>
      <w:r>
        <w:rPr>
          <w:color w:val="333333"/>
          <w:w w:val="110"/>
        </w:rPr>
        <w:t>to</w:t>
      </w:r>
      <w:r>
        <w:rPr>
          <w:color w:val="333333"/>
          <w:spacing w:val="-11"/>
          <w:w w:val="110"/>
        </w:rPr>
        <w:t xml:space="preserve"> </w:t>
      </w:r>
      <w:r>
        <w:rPr>
          <w:color w:val="333333"/>
          <w:w w:val="110"/>
        </w:rPr>
        <w:t>find.</w:t>
      </w:r>
      <w:r>
        <w:rPr>
          <w:color w:val="333333"/>
          <w:spacing w:val="-11"/>
          <w:w w:val="110"/>
        </w:rPr>
        <w:t xml:space="preserve"> </w:t>
      </w:r>
      <w:r>
        <w:rPr>
          <w:color w:val="333333"/>
          <w:spacing w:val="-6"/>
          <w:w w:val="110"/>
        </w:rPr>
        <w:t>You</w:t>
      </w:r>
      <w:r>
        <w:rPr>
          <w:color w:val="333333"/>
          <w:spacing w:val="-11"/>
          <w:w w:val="110"/>
        </w:rPr>
        <w:t xml:space="preserve"> </w:t>
      </w:r>
      <w:r>
        <w:rPr>
          <w:color w:val="333333"/>
          <w:w w:val="110"/>
        </w:rPr>
        <w:t>can</w:t>
      </w:r>
      <w:r>
        <w:rPr>
          <w:color w:val="333333"/>
          <w:spacing w:val="-11"/>
          <w:w w:val="110"/>
        </w:rPr>
        <w:t xml:space="preserve"> </w:t>
      </w:r>
      <w:r>
        <w:rPr>
          <w:color w:val="333333"/>
          <w:w w:val="110"/>
        </w:rPr>
        <w:t>also</w:t>
      </w:r>
      <w:r>
        <w:rPr>
          <w:color w:val="333333"/>
          <w:spacing w:val="-11"/>
          <w:w w:val="110"/>
        </w:rPr>
        <w:t xml:space="preserve"> </w:t>
      </w:r>
      <w:r>
        <w:rPr>
          <w:color w:val="333333"/>
          <w:w w:val="110"/>
        </w:rPr>
        <w:t>use</w:t>
      </w:r>
      <w:r>
        <w:rPr>
          <w:color w:val="333333"/>
          <w:spacing w:val="-10"/>
          <w:w w:val="110"/>
        </w:rPr>
        <w:t xml:space="preserve"> </w:t>
      </w:r>
      <w:r>
        <w:rPr>
          <w:rFonts w:ascii="MS Gothic" w:hAnsi="MS Gothic"/>
          <w:color w:val="B02045"/>
          <w:w w:val="110"/>
        </w:rPr>
        <w:t xml:space="preserve">logback-spring.xml </w:t>
      </w:r>
      <w:r>
        <w:rPr>
          <w:color w:val="333333"/>
          <w:w w:val="110"/>
        </w:rPr>
        <w:t xml:space="preserve">if you want to use the </w:t>
      </w:r>
      <w:hyperlink w:anchor="_bookmark138" w:history="1">
        <w:r>
          <w:rPr>
            <w:color w:val="418BCA"/>
            <w:w w:val="110"/>
          </w:rPr>
          <w:t>Spring Boot Logback</w:t>
        </w:r>
        <w:r>
          <w:rPr>
            <w:color w:val="418BCA"/>
            <w:spacing w:val="28"/>
            <w:w w:val="110"/>
          </w:rPr>
          <w:t xml:space="preserve"> </w:t>
        </w:r>
        <w:r>
          <w:rPr>
            <w:color w:val="418BCA"/>
            <w:w w:val="110"/>
          </w:rPr>
          <w:t>extensions</w:t>
        </w:r>
      </w:hyperlink>
      <w:r>
        <w:rPr>
          <w:color w:val="333333"/>
          <w:w w:val="110"/>
        </w:rPr>
        <w:t>.</w:t>
      </w:r>
    </w:p>
    <w:p w14:paraId="7DE424A9" w14:textId="77777777" w:rsidR="00A720EB" w:rsidRDefault="00A720EB">
      <w:pPr>
        <w:pStyle w:val="a3"/>
        <w:spacing w:before="7"/>
        <w:rPr>
          <w:sz w:val="28"/>
        </w:rPr>
      </w:pPr>
    </w:p>
    <w:p w14:paraId="345F51B8" w14:textId="77777777" w:rsidR="00A720EB" w:rsidRDefault="00E10349">
      <w:pPr>
        <w:pStyle w:val="a3"/>
        <w:spacing w:line="307" w:lineRule="auto"/>
        <w:ind w:left="1564" w:right="462"/>
      </w:pPr>
      <w:r>
        <w:pict w14:anchorId="754BD70E">
          <v:line id="_x0000_s1450" style="position:absolute;left:0;text-align:left;z-index:16374784;mso-position-horizontal-relative:page" from="108.25pt,-6pt" to="108.25pt,33.55pt" strokecolor="#ededed" strokeweight=".5pt">
            <w10:wrap anchorx="page"/>
          </v:line>
        </w:pict>
      </w:r>
      <w:r w:rsidR="0030286B">
        <w:rPr>
          <w:noProof/>
        </w:rPr>
        <w:drawing>
          <wp:anchor distT="0" distB="0" distL="0" distR="0" simplePos="0" relativeHeight="16375296" behindDoc="0" locked="0" layoutInCell="1" allowOverlap="1" wp14:anchorId="79861BEF" wp14:editId="28EA96BD">
            <wp:simplePos x="0" y="0"/>
            <wp:positionH relativeFrom="page">
              <wp:posOffset>888949</wp:posOffset>
            </wp:positionH>
            <wp:positionV relativeFrom="paragraph">
              <wp:posOffset>22771</wp:posOffset>
            </wp:positionV>
            <wp:extent cx="209550" cy="304800"/>
            <wp:effectExtent l="0" t="0" r="0" b="0"/>
            <wp:wrapNone/>
            <wp:docPr id="7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 Logback documentation has a </w:t>
      </w:r>
      <w:hyperlink r:id="rId619">
        <w:r w:rsidR="0030286B">
          <w:rPr>
            <w:color w:val="418BCA"/>
            <w:w w:val="110"/>
          </w:rPr>
          <w:t>dedicated section that covers configuration</w:t>
        </w:r>
      </w:hyperlink>
      <w:r w:rsidR="0030286B">
        <w:rPr>
          <w:color w:val="418BCA"/>
          <w:w w:val="110"/>
        </w:rPr>
        <w:t xml:space="preserve"> </w:t>
      </w:r>
      <w:r w:rsidR="0030286B">
        <w:rPr>
          <w:color w:val="333333"/>
          <w:w w:val="110"/>
        </w:rPr>
        <w:t>in some detail.</w:t>
      </w:r>
    </w:p>
    <w:p w14:paraId="47CED018" w14:textId="77777777" w:rsidR="00A720EB" w:rsidRDefault="00A720EB">
      <w:pPr>
        <w:pStyle w:val="a3"/>
        <w:spacing w:before="6"/>
        <w:rPr>
          <w:sz w:val="26"/>
        </w:rPr>
      </w:pPr>
    </w:p>
    <w:p w14:paraId="6411F0CC" w14:textId="77777777" w:rsidR="00A720EB" w:rsidRDefault="0030286B">
      <w:pPr>
        <w:pStyle w:val="a3"/>
        <w:spacing w:line="300" w:lineRule="auto"/>
        <w:ind w:left="124" w:right="123"/>
        <w:jc w:val="both"/>
      </w:pPr>
      <w:r>
        <w:rPr>
          <w:color w:val="333333"/>
          <w:w w:val="110"/>
        </w:rPr>
        <w:t xml:space="preserve">Spring Boot provides a number of logback configurations that be </w:t>
      </w:r>
      <w:r>
        <w:rPr>
          <w:rFonts w:ascii="MS Gothic"/>
          <w:color w:val="B02045"/>
          <w:w w:val="110"/>
        </w:rPr>
        <w:t xml:space="preserve">included </w:t>
      </w:r>
      <w:r>
        <w:rPr>
          <w:color w:val="333333"/>
          <w:w w:val="110"/>
        </w:rPr>
        <w:t>from your own configuration. These includes are designed to allow certain common Spring Boot conventions to be re-applied.</w:t>
      </w:r>
    </w:p>
    <w:p w14:paraId="1F4FB846" w14:textId="77777777" w:rsidR="00A720EB" w:rsidRDefault="0030286B">
      <w:pPr>
        <w:pStyle w:val="a3"/>
        <w:spacing w:before="235"/>
        <w:ind w:left="124"/>
        <w:jc w:val="both"/>
      </w:pPr>
      <w:r>
        <w:rPr>
          <w:color w:val="333333"/>
          <w:w w:val="110"/>
        </w:rPr>
        <w:t xml:space="preserve">The following files are provided under </w:t>
      </w:r>
      <w:r>
        <w:rPr>
          <w:rFonts w:ascii="MS Gothic"/>
          <w:color w:val="B02045"/>
          <w:w w:val="110"/>
        </w:rPr>
        <w:t>org/springframework/boot/logging/logback/</w:t>
      </w:r>
      <w:r>
        <w:rPr>
          <w:color w:val="333333"/>
          <w:w w:val="110"/>
        </w:rPr>
        <w:t>:</w:t>
      </w:r>
    </w:p>
    <w:p w14:paraId="505D1A10" w14:textId="77777777" w:rsidR="00A720EB" w:rsidRDefault="00A720EB">
      <w:pPr>
        <w:jc w:val="both"/>
        <w:sectPr w:rsidR="00A720EB">
          <w:pgSz w:w="11910" w:h="16840"/>
          <w:pgMar w:top="620" w:right="840" w:bottom="520" w:left="840" w:header="0" w:footer="323" w:gutter="0"/>
          <w:cols w:space="720"/>
        </w:sectPr>
      </w:pPr>
    </w:p>
    <w:p w14:paraId="1EBDC057" w14:textId="77777777" w:rsidR="00A720EB" w:rsidRDefault="0030286B">
      <w:pPr>
        <w:pStyle w:val="a6"/>
        <w:numPr>
          <w:ilvl w:val="3"/>
          <w:numId w:val="13"/>
        </w:numPr>
        <w:tabs>
          <w:tab w:val="left" w:pos="485"/>
        </w:tabs>
        <w:spacing w:before="91"/>
        <w:rPr>
          <w:sz w:val="21"/>
        </w:rPr>
      </w:pPr>
      <w:r>
        <w:rPr>
          <w:rFonts w:ascii="MS Gothic" w:hAnsi="MS Gothic"/>
          <w:color w:val="B02045"/>
          <w:w w:val="110"/>
          <w:sz w:val="21"/>
        </w:rPr>
        <w:lastRenderedPageBreak/>
        <w:t>defaults.xml</w:t>
      </w:r>
      <w:r>
        <w:rPr>
          <w:rFonts w:ascii="MS Gothic" w:hAnsi="MS Gothic"/>
          <w:color w:val="B02045"/>
          <w:spacing w:val="-99"/>
          <w:w w:val="110"/>
          <w:sz w:val="21"/>
        </w:rPr>
        <w:t xml:space="preserve"> </w:t>
      </w:r>
      <w:r>
        <w:rPr>
          <w:color w:val="333333"/>
          <w:w w:val="110"/>
          <w:sz w:val="21"/>
        </w:rPr>
        <w:t>- Provides conversion rules, pattern properties and common logger configurations.</w:t>
      </w:r>
    </w:p>
    <w:p w14:paraId="70888BFD" w14:textId="77777777" w:rsidR="00A720EB" w:rsidRDefault="0030286B">
      <w:pPr>
        <w:pStyle w:val="a6"/>
        <w:numPr>
          <w:ilvl w:val="3"/>
          <w:numId w:val="13"/>
        </w:numPr>
        <w:tabs>
          <w:tab w:val="left" w:pos="485"/>
        </w:tabs>
        <w:spacing w:before="167"/>
        <w:rPr>
          <w:sz w:val="21"/>
        </w:rPr>
      </w:pPr>
      <w:r>
        <w:rPr>
          <w:rFonts w:ascii="MS Gothic" w:hAnsi="MS Gothic"/>
          <w:color w:val="B02045"/>
          <w:w w:val="105"/>
          <w:sz w:val="21"/>
        </w:rPr>
        <w:t>console-appender.xml</w:t>
      </w:r>
      <w:r>
        <w:rPr>
          <w:rFonts w:ascii="MS Gothic" w:hAnsi="MS Gothic"/>
          <w:color w:val="B02045"/>
          <w:spacing w:val="-61"/>
          <w:w w:val="105"/>
          <w:sz w:val="21"/>
        </w:rPr>
        <w:t xml:space="preserve"> </w:t>
      </w:r>
      <w:r>
        <w:rPr>
          <w:color w:val="333333"/>
          <w:w w:val="105"/>
          <w:sz w:val="21"/>
        </w:rPr>
        <w:t>-</w:t>
      </w:r>
      <w:r>
        <w:rPr>
          <w:color w:val="333333"/>
          <w:spacing w:val="1"/>
          <w:w w:val="105"/>
          <w:sz w:val="21"/>
        </w:rPr>
        <w:t xml:space="preserve"> </w:t>
      </w:r>
      <w:r>
        <w:rPr>
          <w:color w:val="333333"/>
          <w:w w:val="105"/>
          <w:sz w:val="21"/>
        </w:rPr>
        <w:t>Adds a</w:t>
      </w:r>
      <w:r>
        <w:rPr>
          <w:color w:val="333333"/>
          <w:spacing w:val="1"/>
          <w:w w:val="105"/>
          <w:sz w:val="21"/>
        </w:rPr>
        <w:t xml:space="preserve"> </w:t>
      </w:r>
      <w:r>
        <w:rPr>
          <w:rFonts w:ascii="MS Gothic" w:hAnsi="MS Gothic"/>
          <w:color w:val="B02045"/>
          <w:w w:val="105"/>
          <w:sz w:val="21"/>
        </w:rPr>
        <w:t>ConsoleAppender</w:t>
      </w:r>
      <w:r>
        <w:rPr>
          <w:rFonts w:ascii="MS Gothic" w:hAnsi="MS Gothic"/>
          <w:color w:val="B02045"/>
          <w:spacing w:val="-61"/>
          <w:w w:val="105"/>
          <w:sz w:val="21"/>
        </w:rPr>
        <w:t xml:space="preserve"> </w:t>
      </w:r>
      <w:r>
        <w:rPr>
          <w:color w:val="333333"/>
          <w:w w:val="105"/>
          <w:sz w:val="21"/>
        </w:rPr>
        <w:t>using the</w:t>
      </w:r>
      <w:r>
        <w:rPr>
          <w:color w:val="333333"/>
          <w:spacing w:val="2"/>
          <w:w w:val="105"/>
          <w:sz w:val="21"/>
        </w:rPr>
        <w:t xml:space="preserve"> </w:t>
      </w:r>
      <w:r>
        <w:rPr>
          <w:rFonts w:ascii="MS Gothic" w:hAnsi="MS Gothic"/>
          <w:color w:val="B02045"/>
          <w:w w:val="105"/>
          <w:sz w:val="21"/>
        </w:rPr>
        <w:t>CONSOLE_LOG_PATTERN</w:t>
      </w:r>
      <w:r>
        <w:rPr>
          <w:color w:val="333333"/>
          <w:w w:val="105"/>
          <w:sz w:val="21"/>
        </w:rPr>
        <w:t>.</w:t>
      </w:r>
    </w:p>
    <w:p w14:paraId="416F6691" w14:textId="77777777" w:rsidR="00A720EB" w:rsidRDefault="0030286B">
      <w:pPr>
        <w:pStyle w:val="a6"/>
        <w:numPr>
          <w:ilvl w:val="3"/>
          <w:numId w:val="13"/>
        </w:numPr>
        <w:tabs>
          <w:tab w:val="left" w:pos="485"/>
          <w:tab w:val="left" w:pos="2548"/>
          <w:tab w:val="left" w:pos="2892"/>
          <w:tab w:val="left" w:pos="3667"/>
          <w:tab w:val="left" w:pos="4064"/>
          <w:tab w:val="left" w:pos="6338"/>
          <w:tab w:val="left" w:pos="7159"/>
          <w:tab w:val="left" w:pos="7759"/>
          <w:tab w:val="left" w:pos="9718"/>
        </w:tabs>
        <w:spacing w:before="166"/>
        <w:rPr>
          <w:sz w:val="21"/>
        </w:rPr>
      </w:pPr>
      <w:r>
        <w:rPr>
          <w:rFonts w:ascii="MS Gothic" w:hAnsi="MS Gothic"/>
          <w:color w:val="B02045"/>
          <w:w w:val="105"/>
          <w:sz w:val="21"/>
        </w:rPr>
        <w:t>file-appender.xml</w:t>
      </w:r>
      <w:r>
        <w:rPr>
          <w:rFonts w:ascii="MS Gothic" w:hAnsi="MS Gothic"/>
          <w:color w:val="B02045"/>
          <w:w w:val="105"/>
          <w:sz w:val="21"/>
        </w:rPr>
        <w:tab/>
      </w:r>
      <w:r>
        <w:rPr>
          <w:color w:val="333333"/>
          <w:w w:val="105"/>
          <w:sz w:val="21"/>
        </w:rPr>
        <w:t>-</w:t>
      </w:r>
      <w:r>
        <w:rPr>
          <w:color w:val="333333"/>
          <w:w w:val="105"/>
          <w:sz w:val="21"/>
        </w:rPr>
        <w:tab/>
        <w:t>Adds</w:t>
      </w:r>
      <w:r>
        <w:rPr>
          <w:color w:val="333333"/>
          <w:w w:val="105"/>
          <w:sz w:val="21"/>
        </w:rPr>
        <w:tab/>
        <w:t>a</w:t>
      </w:r>
      <w:r>
        <w:rPr>
          <w:color w:val="333333"/>
          <w:w w:val="105"/>
          <w:sz w:val="21"/>
        </w:rPr>
        <w:tab/>
      </w:r>
      <w:r>
        <w:rPr>
          <w:rFonts w:ascii="MS Gothic" w:hAnsi="MS Gothic"/>
          <w:color w:val="B02045"/>
          <w:w w:val="105"/>
          <w:sz w:val="21"/>
        </w:rPr>
        <w:t>RollingFileAppender</w:t>
      </w:r>
      <w:r>
        <w:rPr>
          <w:rFonts w:ascii="MS Gothic" w:hAnsi="MS Gothic"/>
          <w:color w:val="B02045"/>
          <w:w w:val="105"/>
          <w:sz w:val="21"/>
        </w:rPr>
        <w:tab/>
      </w:r>
      <w:r>
        <w:rPr>
          <w:color w:val="333333"/>
          <w:w w:val="105"/>
          <w:sz w:val="21"/>
        </w:rPr>
        <w:t>using</w:t>
      </w:r>
      <w:r>
        <w:rPr>
          <w:color w:val="333333"/>
          <w:w w:val="105"/>
          <w:sz w:val="21"/>
        </w:rPr>
        <w:tab/>
        <w:t>the</w:t>
      </w:r>
      <w:r>
        <w:rPr>
          <w:color w:val="333333"/>
          <w:w w:val="105"/>
          <w:sz w:val="21"/>
        </w:rPr>
        <w:tab/>
      </w:r>
      <w:r>
        <w:rPr>
          <w:rFonts w:ascii="MS Gothic" w:hAnsi="MS Gothic"/>
          <w:color w:val="B02045"/>
          <w:w w:val="105"/>
          <w:sz w:val="21"/>
        </w:rPr>
        <w:t>FILE_LOG_PATTERN</w:t>
      </w:r>
      <w:r>
        <w:rPr>
          <w:rFonts w:ascii="MS Gothic" w:hAnsi="MS Gothic"/>
          <w:color w:val="B02045"/>
          <w:w w:val="105"/>
          <w:sz w:val="21"/>
        </w:rPr>
        <w:tab/>
      </w:r>
      <w:r>
        <w:rPr>
          <w:color w:val="333333"/>
          <w:w w:val="105"/>
          <w:sz w:val="21"/>
        </w:rPr>
        <w:t>and</w:t>
      </w:r>
    </w:p>
    <w:p w14:paraId="69BE93AD" w14:textId="77777777" w:rsidR="00A720EB" w:rsidRDefault="0030286B">
      <w:pPr>
        <w:pStyle w:val="a3"/>
        <w:spacing w:before="47"/>
        <w:ind w:left="484"/>
      </w:pPr>
      <w:r>
        <w:rPr>
          <w:rFonts w:ascii="MS Gothic"/>
          <w:color w:val="B02045"/>
          <w:w w:val="110"/>
        </w:rPr>
        <w:t>ROLLING_FILE_NAME_PATTERN</w:t>
      </w:r>
      <w:r>
        <w:rPr>
          <w:rFonts w:ascii="MS Gothic"/>
          <w:color w:val="B02045"/>
          <w:spacing w:val="-66"/>
          <w:w w:val="110"/>
        </w:rPr>
        <w:t xml:space="preserve"> </w:t>
      </w:r>
      <w:r>
        <w:rPr>
          <w:color w:val="333333"/>
          <w:w w:val="110"/>
        </w:rPr>
        <w:t>with appropriate settings.</w:t>
      </w:r>
    </w:p>
    <w:p w14:paraId="4F344D3B" w14:textId="77777777" w:rsidR="00A720EB" w:rsidRDefault="0030286B">
      <w:pPr>
        <w:pStyle w:val="a3"/>
        <w:spacing w:before="5" w:line="550" w:lineRule="atLeast"/>
        <w:ind w:left="124" w:right="155"/>
      </w:pPr>
      <w:r>
        <w:rPr>
          <w:color w:val="333333"/>
          <w:w w:val="110"/>
        </w:rPr>
        <w:t xml:space="preserve">In addition, a legacy </w:t>
      </w:r>
      <w:r>
        <w:rPr>
          <w:rFonts w:ascii="MS Gothic"/>
          <w:color w:val="B02045"/>
          <w:w w:val="110"/>
        </w:rPr>
        <w:t xml:space="preserve">base.xml </w:t>
      </w:r>
      <w:r>
        <w:rPr>
          <w:color w:val="333333"/>
          <w:w w:val="110"/>
        </w:rPr>
        <w:t xml:space="preserve">file is provided for compatibility with earlier versions of Spring Boot. A typical custom </w:t>
      </w:r>
      <w:r>
        <w:rPr>
          <w:rFonts w:ascii="MS Gothic"/>
          <w:color w:val="B02045"/>
          <w:w w:val="110"/>
        </w:rPr>
        <w:t xml:space="preserve">logback.xml </w:t>
      </w:r>
      <w:r>
        <w:rPr>
          <w:color w:val="333333"/>
          <w:w w:val="110"/>
        </w:rPr>
        <w:t>file would look something like this:</w:t>
      </w:r>
    </w:p>
    <w:p w14:paraId="2483B42A" w14:textId="77777777" w:rsidR="00A720EB" w:rsidRDefault="00E10349">
      <w:pPr>
        <w:pStyle w:val="a3"/>
        <w:spacing w:before="5"/>
        <w:rPr>
          <w:sz w:val="18"/>
        </w:rPr>
      </w:pPr>
      <w:r>
        <w:pict w14:anchorId="4AA58E53">
          <v:group id="_x0000_s1446" style="position:absolute;margin-left:47.85pt;margin-top:12.8pt;width:499.55pt;height:170.15pt;z-index:-15081472;mso-wrap-distance-left:0;mso-wrap-distance-right:0;mso-position-horizontal-relative:page" coordorigin="957,256" coordsize="9991,3403">
            <v:shape id="_x0000_s1449" style="position:absolute;left:964;top:263;width:9976;height:3388" coordorigin="965,264" coordsize="9976,3388" path="m10861,264r-9816,l1014,270r-26,17l971,312r-6,32l965,3572r6,31l988,3628r26,17l1045,3652r9816,l10892,3645r25,-17l10935,3603r6,-31l10941,344r-6,-32l10917,287r-25,-17l10861,264xe" fillcolor="#f5f5f5" stroked="f">
              <v:path arrowok="t"/>
            </v:shape>
            <v:shape id="_x0000_s1448" style="position:absolute;left:964;top:263;width:9976;height:3388" coordorigin="965,264" coordsize="9976,3388" path="m1045,264r9816,l10892,270r25,17l10935,312r6,32l10941,3572r-6,31l10917,3628r-25,17l10861,3652r-9816,l1014,3645r-26,-17l971,3603r-6,-31l965,344r6,-32l988,287r26,-17l1045,264xe" filled="f" strokecolor="#ccc">
              <v:path arrowok="t"/>
            </v:shape>
            <v:shape id="_x0000_s1447" type="#_x0000_t202" style="position:absolute;left:984;top:279;width:9938;height:3358" filled="f" stroked="f">
              <v:textbox inset="0,0,0,0">
                <w:txbxContent>
                  <w:p w14:paraId="6B1D3EAF" w14:textId="77777777" w:rsidR="00711A16" w:rsidRDefault="00711A16">
                    <w:pPr>
                      <w:spacing w:before="221"/>
                      <w:ind w:left="200"/>
                      <w:rPr>
                        <w:rFonts w:ascii="MS Gothic"/>
                      </w:rPr>
                    </w:pPr>
                    <w:r>
                      <w:rPr>
                        <w:rFonts w:ascii="MS Gothic"/>
                        <w:color w:val="333333"/>
                      </w:rPr>
                      <w:t>&lt;?xml version="1.0" encoding="UTF-8"?&gt;</w:t>
                    </w:r>
                  </w:p>
                  <w:p w14:paraId="5BFAB2E3" w14:textId="77777777" w:rsidR="00711A16" w:rsidRDefault="00711A16">
                    <w:pPr>
                      <w:spacing w:before="13"/>
                      <w:ind w:left="200"/>
                      <w:rPr>
                        <w:rFonts w:ascii="MS Gothic"/>
                      </w:rPr>
                    </w:pPr>
                    <w:r>
                      <w:rPr>
                        <w:rFonts w:ascii="MS Gothic"/>
                        <w:color w:val="333333"/>
                      </w:rPr>
                      <w:t>&lt;configuration&gt;</w:t>
                    </w:r>
                  </w:p>
                  <w:p w14:paraId="3BAD9D49" w14:textId="77777777" w:rsidR="00711A16" w:rsidRDefault="00711A16">
                    <w:pPr>
                      <w:spacing w:before="13"/>
                      <w:ind w:left="640"/>
                      <w:rPr>
                        <w:rFonts w:ascii="MS Gothic"/>
                      </w:rPr>
                    </w:pPr>
                    <w:r>
                      <w:rPr>
                        <w:rFonts w:ascii="MS Gothic"/>
                        <w:color w:val="333333"/>
                      </w:rPr>
                      <w:t>&lt;include resource="org/springframework/boot/logging/logback/defaults.xml"/&gt;</w:t>
                    </w:r>
                  </w:p>
                  <w:p w14:paraId="0E77C5CD" w14:textId="77777777" w:rsidR="00711A16" w:rsidRDefault="00711A16">
                    <w:pPr>
                      <w:spacing w:before="13"/>
                      <w:ind w:left="640"/>
                      <w:rPr>
                        <w:rFonts w:ascii="MS Gothic"/>
                      </w:rPr>
                    </w:pPr>
                    <w:r>
                      <w:rPr>
                        <w:rFonts w:ascii="MS Gothic"/>
                        <w:color w:val="333333"/>
                      </w:rPr>
                      <w:t>&lt;include resource="org/springframework/boot/logging/logback/console-appender.xml"</w:t>
                    </w:r>
                  </w:p>
                  <w:p w14:paraId="23EBF981" w14:textId="77777777" w:rsidR="00711A16" w:rsidRDefault="00711A16">
                    <w:pPr>
                      <w:spacing w:before="12"/>
                      <w:ind w:left="200"/>
                      <w:rPr>
                        <w:rFonts w:ascii="MS Gothic"/>
                      </w:rPr>
                    </w:pPr>
                    <w:r>
                      <w:rPr>
                        <w:rFonts w:ascii="MS Gothic"/>
                        <w:color w:val="333333"/>
                      </w:rPr>
                      <w:t>/&gt;</w:t>
                    </w:r>
                  </w:p>
                  <w:p w14:paraId="2ECF8DE6" w14:textId="77777777" w:rsidR="00711A16" w:rsidRDefault="00711A16">
                    <w:pPr>
                      <w:spacing w:before="13"/>
                      <w:ind w:left="640"/>
                      <w:rPr>
                        <w:rFonts w:ascii="MS Gothic"/>
                      </w:rPr>
                    </w:pPr>
                    <w:r>
                      <w:rPr>
                        <w:rFonts w:ascii="MS Gothic"/>
                        <w:color w:val="333333"/>
                      </w:rPr>
                      <w:t>&lt;root level="INFO"&gt;</w:t>
                    </w:r>
                  </w:p>
                  <w:p w14:paraId="6B8387B2" w14:textId="77777777" w:rsidR="00711A16" w:rsidRDefault="00711A16">
                    <w:pPr>
                      <w:spacing w:before="13"/>
                      <w:ind w:left="1080"/>
                      <w:rPr>
                        <w:rFonts w:ascii="MS Gothic"/>
                      </w:rPr>
                    </w:pPr>
                    <w:r>
                      <w:rPr>
                        <w:rFonts w:ascii="MS Gothic"/>
                        <w:color w:val="333333"/>
                      </w:rPr>
                      <w:t>&lt;appender-ref ref="CONSOLE" /&gt;</w:t>
                    </w:r>
                  </w:p>
                  <w:p w14:paraId="2FF99B05" w14:textId="77777777" w:rsidR="00711A16" w:rsidRDefault="00711A16">
                    <w:pPr>
                      <w:spacing w:before="13"/>
                      <w:ind w:left="640"/>
                      <w:rPr>
                        <w:rFonts w:ascii="MS Gothic"/>
                      </w:rPr>
                    </w:pPr>
                    <w:r>
                      <w:rPr>
                        <w:rFonts w:ascii="MS Gothic"/>
                        <w:color w:val="333333"/>
                      </w:rPr>
                      <w:t>&lt;/root&gt;</w:t>
                    </w:r>
                  </w:p>
                  <w:p w14:paraId="15BCE343" w14:textId="77777777" w:rsidR="00711A16" w:rsidRDefault="00711A16">
                    <w:pPr>
                      <w:spacing w:before="13"/>
                      <w:ind w:left="640"/>
                      <w:rPr>
                        <w:rFonts w:ascii="MS Gothic"/>
                      </w:rPr>
                    </w:pPr>
                    <w:r>
                      <w:rPr>
                        <w:rFonts w:ascii="MS Gothic"/>
                        <w:color w:val="333333"/>
                      </w:rPr>
                      <w:t>&lt;logger name="org.springframework.web" level="DEBUG"/&gt;</w:t>
                    </w:r>
                  </w:p>
                  <w:p w14:paraId="0A675005" w14:textId="77777777" w:rsidR="00711A16" w:rsidRDefault="00711A16">
                    <w:pPr>
                      <w:spacing w:before="13"/>
                      <w:ind w:left="200"/>
                      <w:rPr>
                        <w:rFonts w:ascii="MS Gothic"/>
                      </w:rPr>
                    </w:pPr>
                    <w:r>
                      <w:rPr>
                        <w:rFonts w:ascii="MS Gothic"/>
                        <w:color w:val="333333"/>
                      </w:rPr>
                      <w:t>&lt;/configuration&gt;</w:t>
                    </w:r>
                  </w:p>
                </w:txbxContent>
              </v:textbox>
            </v:shape>
            <w10:wrap type="topAndBottom" anchorx="page"/>
          </v:group>
        </w:pict>
      </w:r>
    </w:p>
    <w:p w14:paraId="6BA38007" w14:textId="77777777" w:rsidR="00A720EB" w:rsidRDefault="00A720EB">
      <w:pPr>
        <w:pStyle w:val="a3"/>
        <w:spacing w:before="11"/>
        <w:rPr>
          <w:sz w:val="9"/>
        </w:rPr>
      </w:pPr>
    </w:p>
    <w:p w14:paraId="7A738566" w14:textId="77777777" w:rsidR="00A720EB" w:rsidRDefault="0030286B">
      <w:pPr>
        <w:pStyle w:val="a3"/>
        <w:spacing w:before="115" w:line="290" w:lineRule="auto"/>
        <w:ind w:left="124" w:right="122"/>
        <w:jc w:val="both"/>
      </w:pPr>
      <w:r>
        <w:rPr>
          <w:color w:val="333333"/>
          <w:w w:val="110"/>
        </w:rPr>
        <w:t xml:space="preserve">Your logback configuration file can also make use of System properties that the </w:t>
      </w:r>
      <w:r>
        <w:rPr>
          <w:rFonts w:ascii="MS Gothic"/>
          <w:color w:val="B02045"/>
          <w:w w:val="110"/>
        </w:rPr>
        <w:t xml:space="preserve">LoggingSystem </w:t>
      </w:r>
      <w:r>
        <w:rPr>
          <w:color w:val="333333"/>
          <w:w w:val="110"/>
        </w:rPr>
        <w:t>takes care of creating for you:</w:t>
      </w:r>
    </w:p>
    <w:p w14:paraId="3CD199CF" w14:textId="77777777" w:rsidR="00A720EB" w:rsidRDefault="0030286B">
      <w:pPr>
        <w:pStyle w:val="a6"/>
        <w:numPr>
          <w:ilvl w:val="3"/>
          <w:numId w:val="13"/>
        </w:numPr>
        <w:tabs>
          <w:tab w:val="left" w:pos="485"/>
        </w:tabs>
        <w:spacing w:before="248"/>
        <w:rPr>
          <w:sz w:val="21"/>
        </w:rPr>
      </w:pPr>
      <w:r>
        <w:rPr>
          <w:rFonts w:ascii="MS Gothic" w:hAnsi="MS Gothic"/>
          <w:color w:val="B02045"/>
          <w:w w:val="110"/>
          <w:sz w:val="21"/>
        </w:rPr>
        <w:t>${PID}</w:t>
      </w:r>
      <w:r>
        <w:rPr>
          <w:color w:val="333333"/>
          <w:w w:val="110"/>
          <w:sz w:val="21"/>
        </w:rPr>
        <w:t>: The current process</w:t>
      </w:r>
      <w:r>
        <w:rPr>
          <w:color w:val="333333"/>
          <w:spacing w:val="9"/>
          <w:w w:val="110"/>
          <w:sz w:val="21"/>
        </w:rPr>
        <w:t xml:space="preserve"> </w:t>
      </w:r>
      <w:r>
        <w:rPr>
          <w:color w:val="333333"/>
          <w:w w:val="110"/>
          <w:sz w:val="21"/>
        </w:rPr>
        <w:t>ID.</w:t>
      </w:r>
    </w:p>
    <w:p w14:paraId="50066880" w14:textId="77777777" w:rsidR="00A720EB" w:rsidRDefault="0030286B">
      <w:pPr>
        <w:pStyle w:val="a6"/>
        <w:numPr>
          <w:ilvl w:val="3"/>
          <w:numId w:val="13"/>
        </w:numPr>
        <w:tabs>
          <w:tab w:val="left" w:pos="485"/>
        </w:tabs>
        <w:spacing w:before="167"/>
        <w:rPr>
          <w:sz w:val="21"/>
        </w:rPr>
      </w:pPr>
      <w:r>
        <w:rPr>
          <w:rFonts w:ascii="MS Gothic" w:hAnsi="MS Gothic"/>
          <w:color w:val="B02045"/>
          <w:w w:val="110"/>
          <w:sz w:val="21"/>
        </w:rPr>
        <w:t>${LOG_FILE}</w:t>
      </w:r>
      <w:r>
        <w:rPr>
          <w:color w:val="333333"/>
          <w:w w:val="110"/>
          <w:sz w:val="21"/>
        </w:rPr>
        <w:t xml:space="preserve">: Whether </w:t>
      </w:r>
      <w:r>
        <w:rPr>
          <w:rFonts w:ascii="MS Gothic" w:hAnsi="MS Gothic"/>
          <w:color w:val="B02045"/>
          <w:w w:val="110"/>
          <w:sz w:val="21"/>
        </w:rPr>
        <w:t>logging.file.name</w:t>
      </w:r>
      <w:r>
        <w:rPr>
          <w:rFonts w:ascii="MS Gothic" w:hAnsi="MS Gothic"/>
          <w:color w:val="B02045"/>
          <w:spacing w:val="-93"/>
          <w:w w:val="110"/>
          <w:sz w:val="21"/>
        </w:rPr>
        <w:t xml:space="preserve"> </w:t>
      </w:r>
      <w:r>
        <w:rPr>
          <w:color w:val="333333"/>
          <w:w w:val="110"/>
          <w:sz w:val="21"/>
        </w:rPr>
        <w:t>was set in Boot’s external configuration.</w:t>
      </w:r>
    </w:p>
    <w:p w14:paraId="20E3C939" w14:textId="77777777" w:rsidR="00A720EB" w:rsidRDefault="0030286B">
      <w:pPr>
        <w:pStyle w:val="a6"/>
        <w:numPr>
          <w:ilvl w:val="3"/>
          <w:numId w:val="13"/>
        </w:numPr>
        <w:tabs>
          <w:tab w:val="left" w:pos="485"/>
        </w:tabs>
        <w:spacing w:before="166" w:line="290" w:lineRule="auto"/>
        <w:ind w:right="127"/>
        <w:rPr>
          <w:sz w:val="21"/>
        </w:rPr>
      </w:pPr>
      <w:r>
        <w:rPr>
          <w:rFonts w:ascii="MS Gothic" w:hAnsi="MS Gothic"/>
          <w:color w:val="B02045"/>
          <w:w w:val="110"/>
          <w:sz w:val="21"/>
        </w:rPr>
        <w:t>${LOG_PATH}</w:t>
      </w:r>
      <w:r>
        <w:rPr>
          <w:color w:val="333333"/>
          <w:w w:val="110"/>
          <w:sz w:val="21"/>
        </w:rPr>
        <w:t>:</w:t>
      </w:r>
      <w:r>
        <w:rPr>
          <w:color w:val="333333"/>
          <w:spacing w:val="-11"/>
          <w:w w:val="110"/>
          <w:sz w:val="21"/>
        </w:rPr>
        <w:t xml:space="preserve"> </w:t>
      </w:r>
      <w:r>
        <w:rPr>
          <w:color w:val="333333"/>
          <w:w w:val="110"/>
          <w:sz w:val="21"/>
        </w:rPr>
        <w:t>Whether</w:t>
      </w:r>
      <w:r>
        <w:rPr>
          <w:color w:val="333333"/>
          <w:spacing w:val="-10"/>
          <w:w w:val="110"/>
          <w:sz w:val="21"/>
        </w:rPr>
        <w:t xml:space="preserve"> </w:t>
      </w:r>
      <w:proofErr w:type="gramStart"/>
      <w:r>
        <w:rPr>
          <w:rFonts w:ascii="MS Gothic" w:hAnsi="MS Gothic"/>
          <w:color w:val="B02045"/>
          <w:w w:val="110"/>
          <w:sz w:val="21"/>
        </w:rPr>
        <w:t>logging.file</w:t>
      </w:r>
      <w:proofErr w:type="gramEnd"/>
      <w:r>
        <w:rPr>
          <w:rFonts w:ascii="MS Gothic" w:hAnsi="MS Gothic"/>
          <w:color w:val="B02045"/>
          <w:w w:val="110"/>
          <w:sz w:val="21"/>
        </w:rPr>
        <w:t>.path</w:t>
      </w:r>
      <w:r>
        <w:rPr>
          <w:rFonts w:ascii="MS Gothic" w:hAnsi="MS Gothic"/>
          <w:color w:val="B02045"/>
          <w:spacing w:val="-75"/>
          <w:w w:val="110"/>
          <w:sz w:val="21"/>
        </w:rPr>
        <w:t xml:space="preserve"> </w:t>
      </w:r>
      <w:r>
        <w:rPr>
          <w:color w:val="333333"/>
          <w:w w:val="110"/>
          <w:sz w:val="21"/>
        </w:rPr>
        <w:t>(representing</w:t>
      </w:r>
      <w:r>
        <w:rPr>
          <w:color w:val="333333"/>
          <w:spacing w:val="-11"/>
          <w:w w:val="110"/>
          <w:sz w:val="21"/>
        </w:rPr>
        <w:t xml:space="preserve"> </w:t>
      </w:r>
      <w:r>
        <w:rPr>
          <w:color w:val="333333"/>
          <w:w w:val="110"/>
          <w:sz w:val="21"/>
        </w:rPr>
        <w:t>a</w:t>
      </w:r>
      <w:r>
        <w:rPr>
          <w:color w:val="333333"/>
          <w:spacing w:val="-11"/>
          <w:w w:val="110"/>
          <w:sz w:val="21"/>
        </w:rPr>
        <w:t xml:space="preserve"> </w:t>
      </w:r>
      <w:r>
        <w:rPr>
          <w:color w:val="333333"/>
          <w:w w:val="110"/>
          <w:sz w:val="21"/>
        </w:rPr>
        <w:t>directory</w:t>
      </w:r>
      <w:r>
        <w:rPr>
          <w:color w:val="333333"/>
          <w:spacing w:val="-11"/>
          <w:w w:val="110"/>
          <w:sz w:val="21"/>
        </w:rPr>
        <w:t xml:space="preserve"> </w:t>
      </w:r>
      <w:r>
        <w:rPr>
          <w:color w:val="333333"/>
          <w:w w:val="110"/>
          <w:sz w:val="21"/>
        </w:rPr>
        <w:t>for</w:t>
      </w:r>
      <w:r>
        <w:rPr>
          <w:color w:val="333333"/>
          <w:spacing w:val="-11"/>
          <w:w w:val="110"/>
          <w:sz w:val="21"/>
        </w:rPr>
        <w:t xml:space="preserve"> </w:t>
      </w:r>
      <w:r>
        <w:rPr>
          <w:color w:val="333333"/>
          <w:w w:val="110"/>
          <w:sz w:val="21"/>
        </w:rPr>
        <w:t>log</w:t>
      </w:r>
      <w:r>
        <w:rPr>
          <w:color w:val="333333"/>
          <w:spacing w:val="-10"/>
          <w:w w:val="110"/>
          <w:sz w:val="21"/>
        </w:rPr>
        <w:t xml:space="preserve"> </w:t>
      </w:r>
      <w:r>
        <w:rPr>
          <w:color w:val="333333"/>
          <w:w w:val="110"/>
          <w:sz w:val="21"/>
        </w:rPr>
        <w:t>files</w:t>
      </w:r>
      <w:r>
        <w:rPr>
          <w:color w:val="333333"/>
          <w:spacing w:val="-11"/>
          <w:w w:val="110"/>
          <w:sz w:val="21"/>
        </w:rPr>
        <w:t xml:space="preserve"> </w:t>
      </w:r>
      <w:r>
        <w:rPr>
          <w:color w:val="333333"/>
          <w:w w:val="110"/>
          <w:sz w:val="21"/>
        </w:rPr>
        <w:t>to</w:t>
      </w:r>
      <w:r>
        <w:rPr>
          <w:color w:val="333333"/>
          <w:spacing w:val="-10"/>
          <w:w w:val="110"/>
          <w:sz w:val="21"/>
        </w:rPr>
        <w:t xml:space="preserve"> </w:t>
      </w:r>
      <w:r>
        <w:rPr>
          <w:color w:val="333333"/>
          <w:w w:val="110"/>
          <w:sz w:val="21"/>
        </w:rPr>
        <w:t>live</w:t>
      </w:r>
      <w:r>
        <w:rPr>
          <w:color w:val="333333"/>
          <w:spacing w:val="-11"/>
          <w:w w:val="110"/>
          <w:sz w:val="21"/>
        </w:rPr>
        <w:t xml:space="preserve"> </w:t>
      </w:r>
      <w:r>
        <w:rPr>
          <w:color w:val="333333"/>
          <w:w w:val="110"/>
          <w:sz w:val="21"/>
        </w:rPr>
        <w:t>in)</w:t>
      </w:r>
      <w:r>
        <w:rPr>
          <w:color w:val="333333"/>
          <w:spacing w:val="-11"/>
          <w:w w:val="110"/>
          <w:sz w:val="21"/>
        </w:rPr>
        <w:t xml:space="preserve"> </w:t>
      </w:r>
      <w:r>
        <w:rPr>
          <w:color w:val="333333"/>
          <w:w w:val="110"/>
          <w:sz w:val="21"/>
        </w:rPr>
        <w:t>was</w:t>
      </w:r>
      <w:r>
        <w:rPr>
          <w:color w:val="333333"/>
          <w:spacing w:val="-11"/>
          <w:w w:val="110"/>
          <w:sz w:val="21"/>
        </w:rPr>
        <w:t xml:space="preserve"> </w:t>
      </w:r>
      <w:r>
        <w:rPr>
          <w:color w:val="333333"/>
          <w:w w:val="110"/>
          <w:sz w:val="21"/>
        </w:rPr>
        <w:t>set in Boot’s external</w:t>
      </w:r>
      <w:r>
        <w:rPr>
          <w:color w:val="333333"/>
          <w:spacing w:val="8"/>
          <w:w w:val="110"/>
          <w:sz w:val="21"/>
        </w:rPr>
        <w:t xml:space="preserve"> </w:t>
      </w:r>
      <w:r>
        <w:rPr>
          <w:color w:val="333333"/>
          <w:w w:val="110"/>
          <w:sz w:val="21"/>
        </w:rPr>
        <w:t>configuration.</w:t>
      </w:r>
    </w:p>
    <w:p w14:paraId="5DAB5790" w14:textId="77777777" w:rsidR="00A720EB" w:rsidRDefault="0030286B">
      <w:pPr>
        <w:pStyle w:val="a6"/>
        <w:numPr>
          <w:ilvl w:val="3"/>
          <w:numId w:val="13"/>
        </w:numPr>
        <w:tabs>
          <w:tab w:val="left" w:pos="485"/>
        </w:tabs>
        <w:spacing w:before="128" w:line="290" w:lineRule="auto"/>
        <w:ind w:right="124"/>
        <w:rPr>
          <w:sz w:val="21"/>
        </w:rPr>
      </w:pPr>
      <w:r>
        <w:rPr>
          <w:rFonts w:ascii="MS Gothic" w:hAnsi="MS Gothic"/>
          <w:color w:val="B02045"/>
          <w:w w:val="105"/>
          <w:sz w:val="21"/>
        </w:rPr>
        <w:t>${LOG_EXCEPTION_CONVERSION_WORD}</w:t>
      </w:r>
      <w:r>
        <w:rPr>
          <w:color w:val="333333"/>
          <w:w w:val="105"/>
          <w:sz w:val="21"/>
        </w:rPr>
        <w:t>:</w:t>
      </w:r>
      <w:r>
        <w:rPr>
          <w:color w:val="333333"/>
          <w:spacing w:val="-26"/>
          <w:w w:val="105"/>
          <w:sz w:val="21"/>
        </w:rPr>
        <w:t xml:space="preserve"> </w:t>
      </w:r>
      <w:r>
        <w:rPr>
          <w:color w:val="333333"/>
          <w:w w:val="105"/>
          <w:sz w:val="21"/>
        </w:rPr>
        <w:t>Whether</w:t>
      </w:r>
      <w:r>
        <w:rPr>
          <w:color w:val="333333"/>
          <w:spacing w:val="-24"/>
          <w:w w:val="105"/>
          <w:sz w:val="21"/>
        </w:rPr>
        <w:t xml:space="preserve"> </w:t>
      </w:r>
      <w:proofErr w:type="gramStart"/>
      <w:r>
        <w:rPr>
          <w:rFonts w:ascii="MS Gothic" w:hAnsi="MS Gothic"/>
          <w:color w:val="B02045"/>
          <w:w w:val="105"/>
          <w:sz w:val="21"/>
        </w:rPr>
        <w:t>logging.exception</w:t>
      </w:r>
      <w:proofErr w:type="gramEnd"/>
      <w:r>
        <w:rPr>
          <w:rFonts w:ascii="MS Gothic" w:hAnsi="MS Gothic"/>
          <w:color w:val="B02045"/>
          <w:w w:val="105"/>
          <w:sz w:val="21"/>
        </w:rPr>
        <w:t>-conversion-word</w:t>
      </w:r>
      <w:r>
        <w:rPr>
          <w:rFonts w:ascii="MS Gothic" w:hAnsi="MS Gothic"/>
          <w:color w:val="B02045"/>
          <w:spacing w:val="-87"/>
          <w:w w:val="105"/>
          <w:sz w:val="21"/>
        </w:rPr>
        <w:t xml:space="preserve"> </w:t>
      </w:r>
      <w:r>
        <w:rPr>
          <w:color w:val="333333"/>
          <w:w w:val="105"/>
          <w:sz w:val="21"/>
        </w:rPr>
        <w:t>was</w:t>
      </w:r>
      <w:r>
        <w:rPr>
          <w:color w:val="333333"/>
          <w:spacing w:val="-26"/>
          <w:w w:val="105"/>
          <w:sz w:val="21"/>
        </w:rPr>
        <w:t xml:space="preserve"> </w:t>
      </w:r>
      <w:r>
        <w:rPr>
          <w:color w:val="333333"/>
          <w:w w:val="105"/>
          <w:sz w:val="21"/>
        </w:rPr>
        <w:t>set</w:t>
      </w:r>
      <w:r>
        <w:rPr>
          <w:color w:val="333333"/>
          <w:spacing w:val="-25"/>
          <w:w w:val="105"/>
          <w:sz w:val="21"/>
        </w:rPr>
        <w:t xml:space="preserve"> </w:t>
      </w:r>
      <w:r>
        <w:rPr>
          <w:color w:val="333333"/>
          <w:w w:val="105"/>
          <w:sz w:val="21"/>
        </w:rPr>
        <w:t>in</w:t>
      </w:r>
      <w:r>
        <w:rPr>
          <w:color w:val="333333"/>
          <w:spacing w:val="-25"/>
          <w:w w:val="105"/>
          <w:sz w:val="21"/>
        </w:rPr>
        <w:t xml:space="preserve"> </w:t>
      </w:r>
      <w:r>
        <w:rPr>
          <w:color w:val="333333"/>
          <w:w w:val="105"/>
          <w:sz w:val="21"/>
        </w:rPr>
        <w:t xml:space="preserve">Boot’s </w:t>
      </w:r>
      <w:r>
        <w:rPr>
          <w:color w:val="333333"/>
          <w:w w:val="110"/>
          <w:sz w:val="21"/>
        </w:rPr>
        <w:t>external</w:t>
      </w:r>
      <w:r>
        <w:rPr>
          <w:color w:val="333333"/>
          <w:spacing w:val="3"/>
          <w:w w:val="110"/>
          <w:sz w:val="21"/>
        </w:rPr>
        <w:t xml:space="preserve"> </w:t>
      </w:r>
      <w:r>
        <w:rPr>
          <w:color w:val="333333"/>
          <w:w w:val="110"/>
          <w:sz w:val="21"/>
        </w:rPr>
        <w:t>configuration.</w:t>
      </w:r>
    </w:p>
    <w:p w14:paraId="114B1093" w14:textId="77777777" w:rsidR="00A720EB" w:rsidRDefault="0030286B">
      <w:pPr>
        <w:pStyle w:val="a6"/>
        <w:numPr>
          <w:ilvl w:val="3"/>
          <w:numId w:val="13"/>
        </w:numPr>
        <w:tabs>
          <w:tab w:val="left" w:pos="485"/>
        </w:tabs>
        <w:spacing w:before="128" w:line="290" w:lineRule="auto"/>
        <w:ind w:right="124"/>
        <w:rPr>
          <w:sz w:val="21"/>
        </w:rPr>
      </w:pPr>
      <w:r>
        <w:rPr>
          <w:rFonts w:ascii="MS Gothic" w:hAnsi="MS Gothic"/>
          <w:color w:val="B02045"/>
          <w:w w:val="105"/>
          <w:sz w:val="21"/>
        </w:rPr>
        <w:t>${ROLLING_FILE_NAME_PATTERN}</w:t>
      </w:r>
      <w:r>
        <w:rPr>
          <w:color w:val="333333"/>
          <w:w w:val="105"/>
          <w:sz w:val="21"/>
        </w:rPr>
        <w:t xml:space="preserve">: Whether </w:t>
      </w:r>
      <w:proofErr w:type="gramStart"/>
      <w:r>
        <w:rPr>
          <w:rFonts w:ascii="MS Gothic" w:hAnsi="MS Gothic"/>
          <w:color w:val="B02045"/>
          <w:w w:val="105"/>
          <w:sz w:val="21"/>
        </w:rPr>
        <w:t>logging.pattern</w:t>
      </w:r>
      <w:proofErr w:type="gramEnd"/>
      <w:r>
        <w:rPr>
          <w:rFonts w:ascii="MS Gothic" w:hAnsi="MS Gothic"/>
          <w:color w:val="B02045"/>
          <w:w w:val="105"/>
          <w:sz w:val="21"/>
        </w:rPr>
        <w:t xml:space="preserve">.rolling-file-name </w:t>
      </w:r>
      <w:r>
        <w:rPr>
          <w:color w:val="333333"/>
          <w:w w:val="105"/>
          <w:sz w:val="21"/>
        </w:rPr>
        <w:t xml:space="preserve">was set in Boot’s </w:t>
      </w:r>
      <w:r>
        <w:rPr>
          <w:color w:val="333333"/>
          <w:w w:val="110"/>
          <w:sz w:val="21"/>
        </w:rPr>
        <w:t>external</w:t>
      </w:r>
      <w:r>
        <w:rPr>
          <w:color w:val="333333"/>
          <w:spacing w:val="3"/>
          <w:w w:val="110"/>
          <w:sz w:val="21"/>
        </w:rPr>
        <w:t xml:space="preserve"> </w:t>
      </w:r>
      <w:r>
        <w:rPr>
          <w:color w:val="333333"/>
          <w:w w:val="110"/>
          <w:sz w:val="21"/>
        </w:rPr>
        <w:t>configuration.</w:t>
      </w:r>
    </w:p>
    <w:p w14:paraId="07C7820A" w14:textId="77777777" w:rsidR="00A720EB" w:rsidRDefault="00A720EB">
      <w:pPr>
        <w:pStyle w:val="a3"/>
        <w:rPr>
          <w:sz w:val="22"/>
        </w:rPr>
      </w:pPr>
    </w:p>
    <w:p w14:paraId="0BD47AAD" w14:textId="77777777" w:rsidR="00A720EB" w:rsidRDefault="0030286B">
      <w:pPr>
        <w:pStyle w:val="a3"/>
        <w:spacing w:line="295" w:lineRule="auto"/>
        <w:ind w:left="124" w:right="123"/>
        <w:jc w:val="both"/>
      </w:pPr>
      <w:r>
        <w:rPr>
          <w:color w:val="333333"/>
          <w:w w:val="110"/>
        </w:rPr>
        <w:t xml:space="preserve">Spring Boot also provides some nice ANSI color terminal output on a console (but not in a log </w:t>
      </w:r>
      <w:proofErr w:type="gramStart"/>
      <w:r>
        <w:rPr>
          <w:color w:val="333333"/>
          <w:w w:val="110"/>
        </w:rPr>
        <w:t xml:space="preserve">file)   </w:t>
      </w:r>
      <w:proofErr w:type="gramEnd"/>
      <w:r>
        <w:rPr>
          <w:color w:val="333333"/>
          <w:spacing w:val="-3"/>
          <w:w w:val="110"/>
        </w:rPr>
        <w:t>by</w:t>
      </w:r>
      <w:r>
        <w:rPr>
          <w:color w:val="333333"/>
          <w:spacing w:val="-16"/>
          <w:w w:val="110"/>
        </w:rPr>
        <w:t xml:space="preserve"> </w:t>
      </w:r>
      <w:r>
        <w:rPr>
          <w:color w:val="333333"/>
          <w:w w:val="110"/>
        </w:rPr>
        <w:t>using</w:t>
      </w:r>
      <w:r>
        <w:rPr>
          <w:color w:val="333333"/>
          <w:spacing w:val="-15"/>
          <w:w w:val="110"/>
        </w:rPr>
        <w:t xml:space="preserve"> </w:t>
      </w:r>
      <w:r>
        <w:rPr>
          <w:color w:val="333333"/>
          <w:w w:val="110"/>
        </w:rPr>
        <w:t>a</w:t>
      </w:r>
      <w:r>
        <w:rPr>
          <w:color w:val="333333"/>
          <w:spacing w:val="-16"/>
          <w:w w:val="110"/>
        </w:rPr>
        <w:t xml:space="preserve"> </w:t>
      </w:r>
      <w:r>
        <w:rPr>
          <w:color w:val="333333"/>
          <w:w w:val="110"/>
        </w:rPr>
        <w:t>custom</w:t>
      </w:r>
      <w:r>
        <w:rPr>
          <w:color w:val="333333"/>
          <w:spacing w:val="-15"/>
          <w:w w:val="110"/>
        </w:rPr>
        <w:t xml:space="preserve"> </w:t>
      </w:r>
      <w:r>
        <w:rPr>
          <w:color w:val="333333"/>
          <w:w w:val="110"/>
        </w:rPr>
        <w:t>Logback</w:t>
      </w:r>
      <w:r>
        <w:rPr>
          <w:color w:val="333333"/>
          <w:spacing w:val="-15"/>
          <w:w w:val="110"/>
        </w:rPr>
        <w:t xml:space="preserve"> </w:t>
      </w:r>
      <w:r>
        <w:rPr>
          <w:color w:val="333333"/>
          <w:w w:val="110"/>
        </w:rPr>
        <w:t>converter.</w:t>
      </w:r>
      <w:r>
        <w:rPr>
          <w:color w:val="333333"/>
          <w:spacing w:val="-16"/>
          <w:w w:val="110"/>
        </w:rPr>
        <w:t xml:space="preserve"> </w:t>
      </w:r>
      <w:r>
        <w:rPr>
          <w:color w:val="333333"/>
          <w:w w:val="110"/>
        </w:rPr>
        <w:t>See</w:t>
      </w:r>
      <w:r>
        <w:rPr>
          <w:color w:val="333333"/>
          <w:spacing w:val="-15"/>
          <w:w w:val="110"/>
        </w:rPr>
        <w:t xml:space="preserve"> </w:t>
      </w:r>
      <w:r>
        <w:rPr>
          <w:color w:val="333333"/>
          <w:w w:val="110"/>
        </w:rPr>
        <w:t>the</w:t>
      </w:r>
      <w:r>
        <w:rPr>
          <w:color w:val="333333"/>
          <w:spacing w:val="-13"/>
          <w:w w:val="110"/>
        </w:rPr>
        <w:t xml:space="preserve"> </w:t>
      </w:r>
      <w:r>
        <w:rPr>
          <w:rFonts w:ascii="MS Gothic"/>
          <w:color w:val="B02045"/>
          <w:w w:val="110"/>
        </w:rPr>
        <w:t>CONSOLE_LOG_PATTERN</w:t>
      </w:r>
      <w:r>
        <w:rPr>
          <w:rFonts w:ascii="MS Gothic"/>
          <w:color w:val="B02045"/>
          <w:spacing w:val="-81"/>
          <w:w w:val="110"/>
        </w:rPr>
        <w:t xml:space="preserve"> </w:t>
      </w:r>
      <w:r>
        <w:rPr>
          <w:color w:val="333333"/>
          <w:w w:val="110"/>
        </w:rPr>
        <w:t>in</w:t>
      </w:r>
      <w:r>
        <w:rPr>
          <w:color w:val="333333"/>
          <w:spacing w:val="-15"/>
          <w:w w:val="110"/>
        </w:rPr>
        <w:t xml:space="preserve"> </w:t>
      </w:r>
      <w:r>
        <w:rPr>
          <w:color w:val="333333"/>
          <w:w w:val="110"/>
        </w:rPr>
        <w:t>the</w:t>
      </w:r>
      <w:r>
        <w:rPr>
          <w:color w:val="333333"/>
          <w:spacing w:val="-15"/>
          <w:w w:val="110"/>
        </w:rPr>
        <w:t xml:space="preserve"> </w:t>
      </w:r>
      <w:r>
        <w:rPr>
          <w:rFonts w:ascii="MS Gothic"/>
          <w:color w:val="B02045"/>
          <w:w w:val="110"/>
        </w:rPr>
        <w:t>defaults.xml</w:t>
      </w:r>
      <w:r>
        <w:rPr>
          <w:rFonts w:ascii="MS Gothic"/>
          <w:color w:val="B02045"/>
          <w:spacing w:val="-80"/>
          <w:w w:val="110"/>
        </w:rPr>
        <w:t xml:space="preserve"> </w:t>
      </w:r>
      <w:r>
        <w:rPr>
          <w:color w:val="333333"/>
          <w:w w:val="110"/>
        </w:rPr>
        <w:t>configuration for an</w:t>
      </w:r>
      <w:r>
        <w:rPr>
          <w:color w:val="333333"/>
          <w:spacing w:val="6"/>
          <w:w w:val="110"/>
        </w:rPr>
        <w:t xml:space="preserve"> </w:t>
      </w:r>
      <w:r>
        <w:rPr>
          <w:color w:val="333333"/>
          <w:w w:val="110"/>
        </w:rPr>
        <w:t>example.</w:t>
      </w:r>
    </w:p>
    <w:p w14:paraId="7172E56F" w14:textId="77777777" w:rsidR="00A720EB" w:rsidRDefault="0030286B">
      <w:pPr>
        <w:pStyle w:val="a3"/>
        <w:spacing w:before="240" w:line="290" w:lineRule="auto"/>
        <w:ind w:left="124" w:right="124"/>
        <w:jc w:val="both"/>
      </w:pPr>
      <w:r>
        <w:rPr>
          <w:color w:val="333333"/>
          <w:w w:val="110"/>
        </w:rPr>
        <w:t xml:space="preserve">If Groovy is on the classpath, you should be able to configure Logback with </w:t>
      </w:r>
      <w:proofErr w:type="gramStart"/>
      <w:r>
        <w:rPr>
          <w:rFonts w:ascii="MS Gothic"/>
          <w:color w:val="B02045"/>
          <w:w w:val="110"/>
        </w:rPr>
        <w:t>logback.groovy</w:t>
      </w:r>
      <w:proofErr w:type="gramEnd"/>
      <w:r>
        <w:rPr>
          <w:rFonts w:ascii="MS Gothic"/>
          <w:color w:val="B02045"/>
          <w:w w:val="110"/>
        </w:rPr>
        <w:t xml:space="preserve"> </w:t>
      </w:r>
      <w:r>
        <w:rPr>
          <w:color w:val="333333"/>
          <w:w w:val="110"/>
        </w:rPr>
        <w:t>as well. If present, this setting is given</w:t>
      </w:r>
      <w:r>
        <w:rPr>
          <w:color w:val="333333"/>
          <w:spacing w:val="19"/>
          <w:w w:val="110"/>
        </w:rPr>
        <w:t xml:space="preserve"> </w:t>
      </w:r>
      <w:r>
        <w:rPr>
          <w:color w:val="333333"/>
          <w:w w:val="110"/>
        </w:rPr>
        <w:t>preference.</w:t>
      </w:r>
    </w:p>
    <w:p w14:paraId="5FD8C211" w14:textId="77777777" w:rsidR="00A720EB" w:rsidRDefault="00A720EB">
      <w:pPr>
        <w:pStyle w:val="a3"/>
        <w:spacing w:before="11"/>
        <w:rPr>
          <w:sz w:val="27"/>
        </w:rPr>
      </w:pPr>
    </w:p>
    <w:p w14:paraId="1999F200" w14:textId="77777777" w:rsidR="00A720EB" w:rsidRDefault="00E10349">
      <w:pPr>
        <w:pStyle w:val="a3"/>
        <w:spacing w:line="280" w:lineRule="auto"/>
        <w:ind w:left="1564"/>
      </w:pPr>
      <w:r>
        <w:pict w14:anchorId="4C51F2CC">
          <v:line id="_x0000_s1445" style="position:absolute;left:0;text-align:left;z-index:16376320;mso-position-horizontal-relative:page" from="108.25pt,-5.45pt" to="108.25pt,34.1pt" strokecolor="#ededed" strokeweight=".5pt">
            <w10:wrap anchorx="page"/>
          </v:line>
        </w:pict>
      </w:r>
      <w:r w:rsidR="0030286B">
        <w:rPr>
          <w:noProof/>
        </w:rPr>
        <w:drawing>
          <wp:anchor distT="0" distB="0" distL="0" distR="0" simplePos="0" relativeHeight="16376832" behindDoc="0" locked="0" layoutInCell="1" allowOverlap="1" wp14:anchorId="7EDC647B" wp14:editId="6807C3DC">
            <wp:simplePos x="0" y="0"/>
            <wp:positionH relativeFrom="page">
              <wp:posOffset>844422</wp:posOffset>
            </wp:positionH>
            <wp:positionV relativeFrom="paragraph">
              <wp:posOffset>32588</wp:posOffset>
            </wp:positionV>
            <wp:extent cx="298450" cy="298450"/>
            <wp:effectExtent l="0" t="0" r="0" b="0"/>
            <wp:wrapNone/>
            <wp:docPr id="7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Spring extensions are not supported with Groovy configuration. Any </w:t>
      </w:r>
      <w:r w:rsidR="0030286B">
        <w:rPr>
          <w:rFonts w:ascii="MS Gothic"/>
          <w:color w:val="B02045"/>
          <w:w w:val="110"/>
        </w:rPr>
        <w:t xml:space="preserve">logback- </w:t>
      </w:r>
      <w:proofErr w:type="gramStart"/>
      <w:r w:rsidR="0030286B">
        <w:rPr>
          <w:rFonts w:ascii="MS Gothic"/>
          <w:color w:val="B02045"/>
          <w:w w:val="110"/>
        </w:rPr>
        <w:t>spring.groovy</w:t>
      </w:r>
      <w:proofErr w:type="gramEnd"/>
      <w:r w:rsidR="0030286B">
        <w:rPr>
          <w:rFonts w:ascii="MS Gothic"/>
          <w:color w:val="B02045"/>
          <w:spacing w:val="-58"/>
          <w:w w:val="110"/>
        </w:rPr>
        <w:t xml:space="preserve"> </w:t>
      </w:r>
      <w:r w:rsidR="0030286B">
        <w:rPr>
          <w:color w:val="333333"/>
          <w:w w:val="110"/>
        </w:rPr>
        <w:t>files will not be detected.</w:t>
      </w:r>
    </w:p>
    <w:p w14:paraId="41E5AC16" w14:textId="77777777" w:rsidR="00A720EB" w:rsidRDefault="00A720EB">
      <w:pPr>
        <w:pStyle w:val="a3"/>
        <w:spacing w:before="5"/>
        <w:rPr>
          <w:sz w:val="33"/>
        </w:rPr>
      </w:pPr>
    </w:p>
    <w:p w14:paraId="2307A9C7" w14:textId="77777777" w:rsidR="00A720EB" w:rsidRDefault="0030286B">
      <w:pPr>
        <w:pStyle w:val="4"/>
      </w:pPr>
      <w:bookmarkStart w:id="889" w:name="Configure_Logback_for_File-only_Output"/>
      <w:bookmarkEnd w:id="889"/>
      <w:r>
        <w:rPr>
          <w:color w:val="333333"/>
          <w:w w:val="110"/>
        </w:rPr>
        <w:t>Configure Logback for File-only Output</w:t>
      </w:r>
    </w:p>
    <w:p w14:paraId="7808EC57" w14:textId="77777777" w:rsidR="00A720EB" w:rsidRDefault="0030286B">
      <w:pPr>
        <w:pStyle w:val="a3"/>
        <w:spacing w:before="244" w:line="280" w:lineRule="auto"/>
        <w:ind w:left="124" w:right="122"/>
        <w:jc w:val="both"/>
      </w:pPr>
      <w:r>
        <w:rPr>
          <w:color w:val="333333"/>
          <w:w w:val="110"/>
        </w:rPr>
        <w:t xml:space="preserve">If you want to disable console logging and write output only to a file, you need a custom </w:t>
      </w:r>
      <w:r>
        <w:rPr>
          <w:rFonts w:ascii="MS Gothic"/>
          <w:color w:val="B02045"/>
          <w:w w:val="110"/>
        </w:rPr>
        <w:t>logback- spring.xml</w:t>
      </w:r>
      <w:r>
        <w:rPr>
          <w:rFonts w:ascii="MS Gothic"/>
          <w:color w:val="B02045"/>
          <w:spacing w:val="-84"/>
          <w:w w:val="110"/>
        </w:rPr>
        <w:t xml:space="preserve"> </w:t>
      </w:r>
      <w:r>
        <w:rPr>
          <w:color w:val="333333"/>
          <w:w w:val="110"/>
        </w:rPr>
        <w:t>that</w:t>
      </w:r>
      <w:r>
        <w:rPr>
          <w:color w:val="333333"/>
          <w:spacing w:val="-20"/>
          <w:w w:val="110"/>
        </w:rPr>
        <w:t xml:space="preserve"> </w:t>
      </w:r>
      <w:r>
        <w:rPr>
          <w:color w:val="333333"/>
          <w:w w:val="110"/>
        </w:rPr>
        <w:t>imports</w:t>
      </w:r>
      <w:r>
        <w:rPr>
          <w:color w:val="333333"/>
          <w:spacing w:val="-19"/>
          <w:w w:val="110"/>
        </w:rPr>
        <w:t xml:space="preserve"> </w:t>
      </w:r>
      <w:r>
        <w:rPr>
          <w:rFonts w:ascii="MS Gothic"/>
          <w:color w:val="B02045"/>
          <w:w w:val="110"/>
        </w:rPr>
        <w:t>file-appender.xml</w:t>
      </w:r>
      <w:r>
        <w:rPr>
          <w:rFonts w:ascii="MS Gothic"/>
          <w:color w:val="B02045"/>
          <w:spacing w:val="-84"/>
          <w:w w:val="110"/>
        </w:rPr>
        <w:t xml:space="preserve"> </w:t>
      </w:r>
      <w:r>
        <w:rPr>
          <w:color w:val="333333"/>
          <w:w w:val="110"/>
        </w:rPr>
        <w:t>but</w:t>
      </w:r>
      <w:r>
        <w:rPr>
          <w:color w:val="333333"/>
          <w:spacing w:val="-20"/>
          <w:w w:val="110"/>
        </w:rPr>
        <w:t xml:space="preserve"> </w:t>
      </w:r>
      <w:r>
        <w:rPr>
          <w:color w:val="333333"/>
          <w:w w:val="110"/>
        </w:rPr>
        <w:t>not</w:t>
      </w:r>
      <w:r>
        <w:rPr>
          <w:color w:val="333333"/>
          <w:spacing w:val="-19"/>
          <w:w w:val="110"/>
        </w:rPr>
        <w:t xml:space="preserve"> </w:t>
      </w:r>
      <w:r>
        <w:rPr>
          <w:rFonts w:ascii="MS Gothic"/>
          <w:color w:val="B02045"/>
          <w:w w:val="110"/>
        </w:rPr>
        <w:t>console-appender.xml</w:t>
      </w:r>
      <w:r>
        <w:rPr>
          <w:color w:val="333333"/>
          <w:w w:val="110"/>
        </w:rPr>
        <w:t>,</w:t>
      </w:r>
      <w:r>
        <w:rPr>
          <w:color w:val="333333"/>
          <w:spacing w:val="-20"/>
          <w:w w:val="110"/>
        </w:rPr>
        <w:t xml:space="preserve"> </w:t>
      </w:r>
      <w:r>
        <w:rPr>
          <w:color w:val="333333"/>
          <w:w w:val="110"/>
        </w:rPr>
        <w:t>as</w:t>
      </w:r>
      <w:r>
        <w:rPr>
          <w:color w:val="333333"/>
          <w:spacing w:val="-19"/>
          <w:w w:val="110"/>
        </w:rPr>
        <w:t xml:space="preserve"> </w:t>
      </w:r>
      <w:r>
        <w:rPr>
          <w:color w:val="333333"/>
          <w:w w:val="110"/>
        </w:rPr>
        <w:t>shown</w:t>
      </w:r>
      <w:r>
        <w:rPr>
          <w:color w:val="333333"/>
          <w:spacing w:val="-20"/>
          <w:w w:val="110"/>
        </w:rPr>
        <w:t xml:space="preserve"> </w:t>
      </w:r>
      <w:r>
        <w:rPr>
          <w:color w:val="333333"/>
          <w:w w:val="110"/>
        </w:rPr>
        <w:t>in</w:t>
      </w:r>
      <w:r>
        <w:rPr>
          <w:color w:val="333333"/>
          <w:spacing w:val="-19"/>
          <w:w w:val="110"/>
        </w:rPr>
        <w:t xml:space="preserve"> </w:t>
      </w:r>
      <w:r>
        <w:rPr>
          <w:color w:val="333333"/>
          <w:w w:val="110"/>
        </w:rPr>
        <w:t>the</w:t>
      </w:r>
      <w:r>
        <w:rPr>
          <w:color w:val="333333"/>
          <w:spacing w:val="-20"/>
          <w:w w:val="110"/>
        </w:rPr>
        <w:t xml:space="preserve"> </w:t>
      </w:r>
      <w:r>
        <w:rPr>
          <w:color w:val="333333"/>
          <w:w w:val="110"/>
        </w:rPr>
        <w:t>following</w:t>
      </w:r>
    </w:p>
    <w:p w14:paraId="095FB687" w14:textId="77777777" w:rsidR="00A720EB" w:rsidRDefault="00A720EB">
      <w:pPr>
        <w:spacing w:line="280" w:lineRule="auto"/>
        <w:jc w:val="both"/>
        <w:sectPr w:rsidR="00A720EB">
          <w:pgSz w:w="11910" w:h="16840"/>
          <w:pgMar w:top="640" w:right="840" w:bottom="520" w:left="840" w:header="0" w:footer="323" w:gutter="0"/>
          <w:cols w:space="720"/>
        </w:sectPr>
      </w:pPr>
    </w:p>
    <w:p w14:paraId="37EA0254" w14:textId="77777777" w:rsidR="00A720EB" w:rsidRDefault="0030286B">
      <w:pPr>
        <w:pStyle w:val="a3"/>
        <w:spacing w:before="107"/>
        <w:ind w:left="124"/>
      </w:pPr>
      <w:r>
        <w:rPr>
          <w:color w:val="333333"/>
          <w:w w:val="115"/>
        </w:rPr>
        <w:lastRenderedPageBreak/>
        <w:t>example:</w:t>
      </w:r>
    </w:p>
    <w:p w14:paraId="27682D94" w14:textId="77777777" w:rsidR="00A720EB" w:rsidRDefault="00E10349">
      <w:pPr>
        <w:pStyle w:val="a3"/>
        <w:spacing w:before="11"/>
        <w:rPr>
          <w:sz w:val="18"/>
        </w:rPr>
      </w:pPr>
      <w:r>
        <w:pict w14:anchorId="0CF1AE75">
          <v:group id="_x0000_s1441" style="position:absolute;margin-left:47.85pt;margin-top:13.1pt;width:499.55pt;height:170.15pt;z-index:-15079936;mso-wrap-distance-left:0;mso-wrap-distance-right:0;mso-position-horizontal-relative:page" coordorigin="957,262" coordsize="9991,3403">
            <v:shape id="_x0000_s1444" style="position:absolute;left:964;top:269;width:9976;height:3388" coordorigin="965,270" coordsize="9976,3388" path="m10861,270r-9816,l1014,276r-26,17l971,318r-6,32l965,3578r6,31l988,3634r26,17l1045,3658r9816,l10892,3651r25,-17l10935,3609r6,-31l10941,350r-6,-32l10917,293r-25,-17l10861,270xe" fillcolor="#f5f5f5" stroked="f">
              <v:path arrowok="t"/>
            </v:shape>
            <v:shape id="_x0000_s1443" style="position:absolute;left:964;top:269;width:9976;height:3388" coordorigin="965,270" coordsize="9976,3388" path="m1045,270r9816,l10892,276r25,17l10935,318r6,32l10941,3578r-6,31l10917,3634r-25,17l10861,3658r-9816,l1014,3651r-26,-17l971,3609r-6,-31l965,350r6,-32l988,293r26,-17l1045,270xe" filled="f" strokecolor="#ccc">
              <v:path arrowok="t"/>
            </v:shape>
            <v:shape id="_x0000_s1442" type="#_x0000_t202" style="position:absolute;left:984;top:285;width:9938;height:3358" filled="f" stroked="f">
              <v:textbox inset="0,0,0,0">
                <w:txbxContent>
                  <w:p w14:paraId="0DA27849" w14:textId="77777777" w:rsidR="00711A16" w:rsidRDefault="00711A16">
                    <w:pPr>
                      <w:spacing w:before="221"/>
                      <w:ind w:left="200"/>
                      <w:rPr>
                        <w:rFonts w:ascii="MS Gothic"/>
                      </w:rPr>
                    </w:pPr>
                    <w:r>
                      <w:rPr>
                        <w:rFonts w:ascii="MS Gothic"/>
                        <w:color w:val="333333"/>
                      </w:rPr>
                      <w:t>&lt;?xml version="1.0" encoding="UTF-8"?&gt;</w:t>
                    </w:r>
                  </w:p>
                  <w:p w14:paraId="2CED454A" w14:textId="77777777" w:rsidR="00711A16" w:rsidRDefault="00711A16">
                    <w:pPr>
                      <w:spacing w:before="13"/>
                      <w:ind w:left="200"/>
                      <w:rPr>
                        <w:rFonts w:ascii="MS Gothic"/>
                      </w:rPr>
                    </w:pPr>
                    <w:r>
                      <w:rPr>
                        <w:rFonts w:ascii="MS Gothic"/>
                        <w:color w:val="333333"/>
                      </w:rPr>
                      <w:t>&lt;configuration&gt;</w:t>
                    </w:r>
                  </w:p>
                  <w:p w14:paraId="2587E746" w14:textId="77777777" w:rsidR="00711A16" w:rsidRDefault="00711A16">
                    <w:pPr>
                      <w:spacing w:before="13"/>
                      <w:ind w:left="640"/>
                      <w:rPr>
                        <w:rFonts w:ascii="MS Gothic"/>
                      </w:rPr>
                    </w:pPr>
                    <w:r>
                      <w:rPr>
                        <w:rFonts w:ascii="MS Gothic"/>
                        <w:color w:val="333333"/>
                      </w:rPr>
                      <w:t>&lt;include resource="org/springframework/boot/logging/logback/defaults.xml" /&gt;</w:t>
                    </w:r>
                  </w:p>
                  <w:p w14:paraId="69C03587" w14:textId="77777777" w:rsidR="00711A16" w:rsidRDefault="00711A16">
                    <w:pPr>
                      <w:spacing w:before="13"/>
                      <w:ind w:left="640"/>
                      <w:rPr>
                        <w:rFonts w:ascii="MS Gothic"/>
                      </w:rPr>
                    </w:pPr>
                    <w:r>
                      <w:rPr>
                        <w:rFonts w:ascii="MS Gothic"/>
                        <w:color w:val="333333"/>
                      </w:rPr>
                      <w:t>&lt;property name="LOG_FILE" value="${LOG_</w:t>
                    </w:r>
                    <w:proofErr w:type="gramStart"/>
                    <w:r>
                      <w:rPr>
                        <w:rFonts w:ascii="MS Gothic"/>
                        <w:color w:val="333333"/>
                      </w:rPr>
                      <w:t>FILE:-</w:t>
                    </w:r>
                    <w:proofErr w:type="gramEnd"/>
                    <w:r>
                      <w:rPr>
                        <w:rFonts w:ascii="MS Gothic"/>
                        <w:color w:val="333333"/>
                      </w:rPr>
                      <w:t>${LOG_PATH:-${LOG_TEMP:-</w:t>
                    </w:r>
                  </w:p>
                  <w:p w14:paraId="0DD278BA" w14:textId="77777777" w:rsidR="00711A16" w:rsidRDefault="00711A16">
                    <w:pPr>
                      <w:spacing w:before="12"/>
                      <w:ind w:left="200"/>
                      <w:rPr>
                        <w:rFonts w:ascii="MS Gothic"/>
                      </w:rPr>
                    </w:pPr>
                    <w:r>
                      <w:rPr>
                        <w:rFonts w:ascii="MS Gothic"/>
                        <w:color w:val="333333"/>
                      </w:rPr>
                      <w:t>${</w:t>
                    </w:r>
                    <w:proofErr w:type="gramStart"/>
                    <w:r>
                      <w:rPr>
                        <w:rFonts w:ascii="MS Gothic"/>
                        <w:color w:val="333333"/>
                      </w:rPr>
                      <w:t>java.io.tmpdir</w:t>
                    </w:r>
                    <w:proofErr w:type="gramEnd"/>
                    <w:r>
                      <w:rPr>
                        <w:rFonts w:ascii="MS Gothic"/>
                        <w:color w:val="333333"/>
                      </w:rPr>
                      <w:t>:-/tmp}}/}spring.log}"/&gt;</w:t>
                    </w:r>
                  </w:p>
                  <w:p w14:paraId="5E6E34A3" w14:textId="77777777" w:rsidR="00711A16" w:rsidRDefault="00711A16">
                    <w:pPr>
                      <w:spacing w:before="13"/>
                      <w:ind w:left="640"/>
                      <w:rPr>
                        <w:rFonts w:ascii="MS Gothic"/>
                      </w:rPr>
                    </w:pPr>
                    <w:r>
                      <w:rPr>
                        <w:rFonts w:ascii="MS Gothic"/>
                        <w:color w:val="333333"/>
                      </w:rPr>
                      <w:t>&lt;include resource="org/springframework/boot/logging/logback/file-appender.xml" /&gt;</w:t>
                    </w:r>
                  </w:p>
                  <w:p w14:paraId="44E62C7A" w14:textId="77777777" w:rsidR="00711A16" w:rsidRDefault="00711A16">
                    <w:pPr>
                      <w:spacing w:before="13"/>
                      <w:ind w:left="640"/>
                      <w:rPr>
                        <w:rFonts w:ascii="MS Gothic"/>
                      </w:rPr>
                    </w:pPr>
                    <w:r>
                      <w:rPr>
                        <w:rFonts w:ascii="MS Gothic"/>
                        <w:color w:val="333333"/>
                      </w:rPr>
                      <w:t>&lt;root level="INFO"&gt;</w:t>
                    </w:r>
                  </w:p>
                  <w:p w14:paraId="4D45274D" w14:textId="77777777" w:rsidR="00711A16" w:rsidRDefault="00711A16">
                    <w:pPr>
                      <w:spacing w:before="13"/>
                      <w:ind w:left="1080"/>
                      <w:rPr>
                        <w:rFonts w:ascii="MS Gothic"/>
                      </w:rPr>
                    </w:pPr>
                    <w:r>
                      <w:rPr>
                        <w:rFonts w:ascii="MS Gothic"/>
                        <w:color w:val="333333"/>
                      </w:rPr>
                      <w:t>&lt;appender-ref ref="FILE" /&gt;</w:t>
                    </w:r>
                  </w:p>
                  <w:p w14:paraId="71018CC9" w14:textId="77777777" w:rsidR="00711A16" w:rsidRDefault="00711A16">
                    <w:pPr>
                      <w:spacing w:before="13"/>
                      <w:ind w:left="640"/>
                      <w:rPr>
                        <w:rFonts w:ascii="MS Gothic"/>
                      </w:rPr>
                    </w:pPr>
                    <w:r>
                      <w:rPr>
                        <w:rFonts w:ascii="MS Gothic"/>
                        <w:color w:val="333333"/>
                      </w:rPr>
                      <w:t>&lt;/root&gt;</w:t>
                    </w:r>
                  </w:p>
                  <w:p w14:paraId="6382F6B9" w14:textId="77777777" w:rsidR="00711A16" w:rsidRDefault="00711A16">
                    <w:pPr>
                      <w:spacing w:before="13"/>
                      <w:ind w:left="200"/>
                      <w:rPr>
                        <w:rFonts w:ascii="MS Gothic"/>
                      </w:rPr>
                    </w:pPr>
                    <w:r>
                      <w:rPr>
                        <w:rFonts w:ascii="MS Gothic"/>
                        <w:color w:val="333333"/>
                      </w:rPr>
                      <w:t>&lt;/configuration&gt;</w:t>
                    </w:r>
                  </w:p>
                </w:txbxContent>
              </v:textbox>
            </v:shape>
            <w10:wrap type="topAndBottom" anchorx="page"/>
          </v:group>
        </w:pict>
      </w:r>
    </w:p>
    <w:p w14:paraId="62A9512B" w14:textId="77777777" w:rsidR="00A720EB" w:rsidRDefault="00A720EB">
      <w:pPr>
        <w:pStyle w:val="a3"/>
        <w:spacing w:before="11"/>
        <w:rPr>
          <w:sz w:val="9"/>
        </w:rPr>
      </w:pPr>
    </w:p>
    <w:p w14:paraId="149BC6A0" w14:textId="77777777" w:rsidR="00A720EB" w:rsidRDefault="0030286B">
      <w:pPr>
        <w:pStyle w:val="a3"/>
        <w:spacing w:before="115" w:line="290" w:lineRule="auto"/>
        <w:ind w:left="124"/>
      </w:pPr>
      <w:r>
        <w:rPr>
          <w:color w:val="333333"/>
          <w:spacing w:val="-6"/>
          <w:w w:val="110"/>
        </w:rPr>
        <w:t xml:space="preserve">You </w:t>
      </w:r>
      <w:r>
        <w:rPr>
          <w:color w:val="333333"/>
          <w:w w:val="110"/>
        </w:rPr>
        <w:t xml:space="preserve">also need to add </w:t>
      </w:r>
      <w:r>
        <w:rPr>
          <w:rFonts w:ascii="MS Gothic"/>
          <w:color w:val="B02045"/>
          <w:w w:val="110"/>
        </w:rPr>
        <w:t>logging.file.name</w:t>
      </w:r>
      <w:r>
        <w:rPr>
          <w:rFonts w:ascii="MS Gothic"/>
          <w:color w:val="B02045"/>
          <w:spacing w:val="-97"/>
          <w:w w:val="110"/>
        </w:rPr>
        <w:t xml:space="preserve"> </w:t>
      </w:r>
      <w:r>
        <w:rPr>
          <w:color w:val="333333"/>
          <w:w w:val="110"/>
        </w:rPr>
        <w:t xml:space="preserve">to your </w:t>
      </w:r>
      <w:proofErr w:type="gramStart"/>
      <w:r>
        <w:rPr>
          <w:rFonts w:ascii="MS Gothic"/>
          <w:color w:val="B02045"/>
          <w:w w:val="110"/>
        </w:rPr>
        <w:t>application.properties</w:t>
      </w:r>
      <w:proofErr w:type="gramEnd"/>
      <w:r>
        <w:rPr>
          <w:color w:val="333333"/>
          <w:w w:val="110"/>
        </w:rPr>
        <w:t>, as shown in the following example:</w:t>
      </w:r>
    </w:p>
    <w:p w14:paraId="371FA019" w14:textId="77777777" w:rsidR="00A720EB" w:rsidRDefault="00E10349">
      <w:pPr>
        <w:pStyle w:val="a3"/>
        <w:spacing w:before="8"/>
        <w:rPr>
          <w:sz w:val="14"/>
        </w:rPr>
      </w:pPr>
      <w:r>
        <w:pict w14:anchorId="2EBE88AF">
          <v:group id="_x0000_s1437" style="position:absolute;margin-left:47.85pt;margin-top:10.6pt;width:499.55pt;height:37.5pt;z-index:-15079424;mso-wrap-distance-left:0;mso-wrap-distance-right:0;mso-position-horizontal-relative:page" coordorigin="957,212" coordsize="9991,750">
            <v:shape id="_x0000_s1440" style="position:absolute;left:964;top:219;width:9976;height:735" coordorigin="965,219" coordsize="9976,735" path="m10861,219r-9816,l1014,226r-26,17l971,268r-6,31l965,874r6,31l988,931r26,17l1045,954r9816,l10892,948r25,-17l10935,905r6,-31l10941,299r-6,-31l10917,243r-25,-17l10861,219xe" fillcolor="#f5f5f5" stroked="f">
              <v:path arrowok="t"/>
            </v:shape>
            <v:shape id="_x0000_s1439" style="position:absolute;left:964;top:219;width:9976;height:735" coordorigin="965,219" coordsize="9976,735" path="m1045,219r9816,l10892,226r25,17l10935,268r6,31l10941,874r-6,31l10917,931r-25,17l10861,954r-9816,l1014,948,988,931,971,905r-6,-31l965,299r6,-31l988,243r26,-17l1045,219xe" filled="f" strokecolor="#ccc">
              <v:path arrowok="t"/>
            </v:shape>
            <v:shape id="_x0000_s1438" type="#_x0000_t202" style="position:absolute;left:984;top:234;width:9938;height:704" filled="f" stroked="f">
              <v:textbox inset="0,0,0,0">
                <w:txbxContent>
                  <w:p w14:paraId="5F2DF00F" w14:textId="77777777" w:rsidR="00711A16" w:rsidRDefault="00711A16">
                    <w:pPr>
                      <w:spacing w:before="221"/>
                      <w:ind w:left="200"/>
                      <w:rPr>
                        <w:rFonts w:ascii="MS Gothic"/>
                      </w:rPr>
                    </w:pPr>
                    <w:r>
                      <w:rPr>
                        <w:rFonts w:ascii="MS Gothic"/>
                        <w:color w:val="333333"/>
                      </w:rPr>
                      <w:t>logging.file.name=myapplication.log</w:t>
                    </w:r>
                  </w:p>
                </w:txbxContent>
              </v:textbox>
            </v:shape>
            <w10:wrap type="topAndBottom" anchorx="page"/>
          </v:group>
        </w:pict>
      </w:r>
    </w:p>
    <w:p w14:paraId="534DACDB" w14:textId="77777777" w:rsidR="00A720EB" w:rsidRDefault="00A720EB">
      <w:pPr>
        <w:pStyle w:val="a3"/>
        <w:spacing w:before="11"/>
        <w:rPr>
          <w:sz w:val="16"/>
        </w:rPr>
      </w:pPr>
    </w:p>
    <w:p w14:paraId="65ED3C3A" w14:textId="77777777" w:rsidR="00A720EB" w:rsidRDefault="0030286B">
      <w:pPr>
        <w:pStyle w:val="3"/>
        <w:numPr>
          <w:ilvl w:val="2"/>
          <w:numId w:val="13"/>
        </w:numPr>
        <w:tabs>
          <w:tab w:val="left" w:pos="858"/>
        </w:tabs>
        <w:spacing w:before="105"/>
        <w:ind w:hanging="734"/>
      </w:pPr>
      <w:bookmarkStart w:id="890" w:name="9.8.2._Configure_Log4j_for_Logging"/>
      <w:bookmarkStart w:id="891" w:name="_Toc54423966"/>
      <w:bookmarkEnd w:id="890"/>
      <w:r>
        <w:rPr>
          <w:color w:val="333333"/>
          <w:w w:val="110"/>
        </w:rPr>
        <w:t>Configure Log4j for</w:t>
      </w:r>
      <w:r>
        <w:rPr>
          <w:color w:val="333333"/>
          <w:spacing w:val="-19"/>
          <w:w w:val="110"/>
        </w:rPr>
        <w:t xml:space="preserve"> </w:t>
      </w:r>
      <w:r>
        <w:rPr>
          <w:color w:val="333333"/>
          <w:w w:val="110"/>
        </w:rPr>
        <w:t>Logging</w:t>
      </w:r>
      <w:bookmarkEnd w:id="891"/>
    </w:p>
    <w:p w14:paraId="592C61C6" w14:textId="77777777" w:rsidR="00A720EB" w:rsidRDefault="0030286B">
      <w:pPr>
        <w:pStyle w:val="a3"/>
        <w:spacing w:before="254" w:line="302" w:lineRule="auto"/>
        <w:ind w:left="124" w:right="126"/>
        <w:jc w:val="both"/>
      </w:pPr>
      <w:r>
        <w:rPr>
          <w:color w:val="333333"/>
          <w:w w:val="110"/>
        </w:rPr>
        <w:t xml:space="preserve">Spring Boot supports </w:t>
      </w:r>
      <w:hyperlink r:id="rId620">
        <w:r>
          <w:rPr>
            <w:color w:val="418BCA"/>
            <w:w w:val="110"/>
          </w:rPr>
          <w:t xml:space="preserve">Log4j 2 </w:t>
        </w:r>
      </w:hyperlink>
      <w:r>
        <w:rPr>
          <w:color w:val="333333"/>
          <w:w w:val="110"/>
        </w:rPr>
        <w:t xml:space="preserve">for logging configuration if it is on the classpath. If you use the starters for assembling dependencies, you have to exclude Logback and then include log4j 2 instead. If </w:t>
      </w:r>
      <w:proofErr w:type="gramStart"/>
      <w:r>
        <w:rPr>
          <w:color w:val="333333"/>
          <w:w w:val="110"/>
        </w:rPr>
        <w:t>you  do</w:t>
      </w:r>
      <w:proofErr w:type="gramEnd"/>
      <w:r>
        <w:rPr>
          <w:color w:val="333333"/>
          <w:w w:val="110"/>
        </w:rPr>
        <w:t xml:space="preserve"> not use the starters, you need to provide (at least) </w:t>
      </w:r>
      <w:r>
        <w:rPr>
          <w:rFonts w:ascii="MS Gothic"/>
          <w:color w:val="B02045"/>
          <w:w w:val="110"/>
        </w:rPr>
        <w:t>spring-jcl</w:t>
      </w:r>
      <w:r>
        <w:rPr>
          <w:rFonts w:ascii="MS Gothic"/>
          <w:color w:val="B02045"/>
          <w:spacing w:val="-71"/>
          <w:w w:val="110"/>
        </w:rPr>
        <w:t xml:space="preserve"> </w:t>
      </w:r>
      <w:r>
        <w:rPr>
          <w:color w:val="333333"/>
          <w:w w:val="110"/>
        </w:rPr>
        <w:t>in addition to Log4j 2.</w:t>
      </w:r>
    </w:p>
    <w:p w14:paraId="16AFC791" w14:textId="77777777" w:rsidR="00A720EB" w:rsidRDefault="0030286B">
      <w:pPr>
        <w:pStyle w:val="a3"/>
        <w:spacing w:before="227" w:line="307" w:lineRule="auto"/>
        <w:ind w:left="124" w:right="127"/>
        <w:jc w:val="both"/>
      </w:pPr>
      <w:r>
        <w:rPr>
          <w:color w:val="333333"/>
          <w:w w:val="110"/>
        </w:rPr>
        <w:t>The recommended path is through the starters, even though it requires some jiggling. The following example shows how to set up the starters in Maven:</w:t>
      </w:r>
    </w:p>
    <w:p w14:paraId="7087C8F5" w14:textId="77777777" w:rsidR="00A720EB" w:rsidRDefault="00E10349">
      <w:pPr>
        <w:pStyle w:val="a3"/>
        <w:spacing w:before="2"/>
        <w:rPr>
          <w:sz w:val="13"/>
        </w:rPr>
      </w:pPr>
      <w:r>
        <w:pict w14:anchorId="5E8E74AB">
          <v:group id="_x0000_s1433" style="position:absolute;margin-left:47.85pt;margin-top:9.7pt;width:499.55pt;height:288.1pt;z-index:-15078912;mso-wrap-distance-left:0;mso-wrap-distance-right:0;mso-position-horizontal-relative:page" coordorigin="957,194" coordsize="9991,5762">
            <v:shape id="_x0000_s1436" style="position:absolute;left:964;top:201;width:9976;height:5747" coordorigin="965,202" coordsize="9976,5747" path="m10861,202r-9816,l1014,208r-26,17l971,250r-6,32l965,5868r6,31l988,5925r26,17l1045,5948r9816,l10892,5942r25,-17l10935,5899r6,-31l10941,282r-6,-32l10917,225r-25,-17l10861,202xe" fillcolor="#f5f5f5" stroked="f">
              <v:path arrowok="t"/>
            </v:shape>
            <v:shape id="_x0000_s1435" style="position:absolute;left:964;top:201;width:9976;height:5747" coordorigin="965,202" coordsize="9976,5747" path="m1045,202r9816,l10892,208r25,17l10935,250r6,32l10941,5868r-6,31l10917,5925r-25,17l10861,5948r-9816,l1014,5942r-26,-17l971,5899r-6,-31l965,282r6,-32l988,225r26,-17l1045,202xe" filled="f" strokecolor="#ccc">
              <v:path arrowok="t"/>
            </v:shape>
            <v:shape id="_x0000_s1434" type="#_x0000_t202" style="position:absolute;left:984;top:217;width:9938;height:5716" filled="f" stroked="f">
              <v:textbox inset="0,0,0,0">
                <w:txbxContent>
                  <w:p w14:paraId="62912D4B" w14:textId="77777777" w:rsidR="00711A16" w:rsidRDefault="00711A16">
                    <w:pPr>
                      <w:spacing w:before="221"/>
                      <w:ind w:left="200"/>
                      <w:rPr>
                        <w:rFonts w:ascii="MS Gothic"/>
                      </w:rPr>
                    </w:pPr>
                    <w:r>
                      <w:rPr>
                        <w:rFonts w:ascii="MS Gothic"/>
                        <w:color w:val="333333"/>
                      </w:rPr>
                      <w:t>&lt;dependency&gt;</w:t>
                    </w:r>
                  </w:p>
                  <w:p w14:paraId="76838DC1"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2FE228D7" w14:textId="77777777" w:rsidR="00711A16" w:rsidRDefault="00711A16">
                    <w:pPr>
                      <w:spacing w:before="13"/>
                      <w:ind w:left="640"/>
                      <w:rPr>
                        <w:rFonts w:ascii="MS Gothic"/>
                      </w:rPr>
                    </w:pPr>
                    <w:r>
                      <w:rPr>
                        <w:rFonts w:ascii="MS Gothic"/>
                        <w:color w:val="333333"/>
                      </w:rPr>
                      <w:t>&lt;artifactId&gt;spring-boot-starter-web&lt;/artifactId&gt;</w:t>
                    </w:r>
                  </w:p>
                  <w:p w14:paraId="1245802C" w14:textId="77777777" w:rsidR="00711A16" w:rsidRDefault="00711A16">
                    <w:pPr>
                      <w:spacing w:before="13"/>
                      <w:ind w:left="200"/>
                      <w:rPr>
                        <w:rFonts w:ascii="MS Gothic"/>
                      </w:rPr>
                    </w:pPr>
                    <w:r>
                      <w:rPr>
                        <w:rFonts w:ascii="MS Gothic"/>
                        <w:color w:val="333333"/>
                      </w:rPr>
                      <w:t>&lt;/dependency&gt;</w:t>
                    </w:r>
                  </w:p>
                  <w:p w14:paraId="0F52D714" w14:textId="77777777" w:rsidR="00711A16" w:rsidRDefault="00711A16">
                    <w:pPr>
                      <w:spacing w:before="12"/>
                      <w:ind w:left="200"/>
                      <w:rPr>
                        <w:rFonts w:ascii="MS Gothic"/>
                      </w:rPr>
                    </w:pPr>
                    <w:r>
                      <w:rPr>
                        <w:rFonts w:ascii="MS Gothic"/>
                        <w:color w:val="333333"/>
                      </w:rPr>
                      <w:t>&lt;dependency&gt;</w:t>
                    </w:r>
                  </w:p>
                  <w:p w14:paraId="7811CB7E"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5DB88793" w14:textId="77777777" w:rsidR="00711A16" w:rsidRDefault="00711A16">
                    <w:pPr>
                      <w:spacing w:before="13"/>
                      <w:ind w:left="640"/>
                      <w:rPr>
                        <w:rFonts w:ascii="MS Gothic"/>
                      </w:rPr>
                    </w:pPr>
                    <w:r>
                      <w:rPr>
                        <w:rFonts w:ascii="MS Gothic"/>
                        <w:color w:val="333333"/>
                      </w:rPr>
                      <w:t>&lt;artifactId&gt;spring-boot-starter&lt;/artifactId&gt;</w:t>
                    </w:r>
                  </w:p>
                  <w:p w14:paraId="0B35F456" w14:textId="77777777" w:rsidR="00711A16" w:rsidRDefault="00711A16">
                    <w:pPr>
                      <w:spacing w:before="13"/>
                      <w:ind w:left="640"/>
                      <w:rPr>
                        <w:rFonts w:ascii="MS Gothic"/>
                      </w:rPr>
                    </w:pPr>
                    <w:r>
                      <w:rPr>
                        <w:rFonts w:ascii="MS Gothic"/>
                        <w:color w:val="333333"/>
                      </w:rPr>
                      <w:t>&lt;exclusions&gt;</w:t>
                    </w:r>
                  </w:p>
                  <w:p w14:paraId="2FEB4A3B" w14:textId="77777777" w:rsidR="00711A16" w:rsidRDefault="00711A16">
                    <w:pPr>
                      <w:spacing w:before="13"/>
                      <w:ind w:left="1080"/>
                      <w:rPr>
                        <w:rFonts w:ascii="MS Gothic"/>
                      </w:rPr>
                    </w:pPr>
                    <w:r>
                      <w:rPr>
                        <w:rFonts w:ascii="MS Gothic"/>
                        <w:color w:val="333333"/>
                      </w:rPr>
                      <w:t>&lt;exclusion&gt;</w:t>
                    </w:r>
                  </w:p>
                  <w:p w14:paraId="708B7BBE"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32171EB6" w14:textId="77777777" w:rsidR="00711A16" w:rsidRDefault="00711A16">
                    <w:pPr>
                      <w:spacing w:before="13"/>
                      <w:ind w:left="1520"/>
                      <w:rPr>
                        <w:rFonts w:ascii="MS Gothic"/>
                      </w:rPr>
                    </w:pPr>
                    <w:r>
                      <w:rPr>
                        <w:rFonts w:ascii="MS Gothic"/>
                        <w:color w:val="333333"/>
                      </w:rPr>
                      <w:t>&lt;artifactId&gt;spring-boot-starter-logging&lt;/artifactId&gt;</w:t>
                    </w:r>
                  </w:p>
                  <w:p w14:paraId="3C01FB2B" w14:textId="77777777" w:rsidR="00711A16" w:rsidRDefault="00711A16">
                    <w:pPr>
                      <w:spacing w:before="13"/>
                      <w:ind w:left="1080"/>
                      <w:rPr>
                        <w:rFonts w:ascii="MS Gothic"/>
                      </w:rPr>
                    </w:pPr>
                    <w:r>
                      <w:rPr>
                        <w:rFonts w:ascii="MS Gothic"/>
                        <w:color w:val="333333"/>
                      </w:rPr>
                      <w:t>&lt;/exclusion&gt;</w:t>
                    </w:r>
                  </w:p>
                  <w:p w14:paraId="330D6C4D" w14:textId="77777777" w:rsidR="00711A16" w:rsidRDefault="00711A16">
                    <w:pPr>
                      <w:spacing w:before="13"/>
                      <w:ind w:left="640"/>
                      <w:rPr>
                        <w:rFonts w:ascii="MS Gothic"/>
                      </w:rPr>
                    </w:pPr>
                    <w:r>
                      <w:rPr>
                        <w:rFonts w:ascii="MS Gothic"/>
                        <w:color w:val="333333"/>
                      </w:rPr>
                      <w:t>&lt;/exclusions&gt;</w:t>
                    </w:r>
                  </w:p>
                  <w:p w14:paraId="25008AFC" w14:textId="77777777" w:rsidR="00711A16" w:rsidRDefault="00711A16">
                    <w:pPr>
                      <w:spacing w:before="13"/>
                      <w:ind w:left="200"/>
                      <w:rPr>
                        <w:rFonts w:ascii="MS Gothic"/>
                      </w:rPr>
                    </w:pPr>
                    <w:r>
                      <w:rPr>
                        <w:rFonts w:ascii="MS Gothic"/>
                        <w:color w:val="333333"/>
                      </w:rPr>
                      <w:t>&lt;/dependency&gt;</w:t>
                    </w:r>
                  </w:p>
                  <w:p w14:paraId="20E0A430" w14:textId="77777777" w:rsidR="00711A16" w:rsidRDefault="00711A16">
                    <w:pPr>
                      <w:spacing w:before="13"/>
                      <w:ind w:left="200"/>
                      <w:rPr>
                        <w:rFonts w:ascii="MS Gothic"/>
                      </w:rPr>
                    </w:pPr>
                    <w:r>
                      <w:rPr>
                        <w:rFonts w:ascii="MS Gothic"/>
                        <w:color w:val="333333"/>
                      </w:rPr>
                      <w:t>&lt;dependency&gt;</w:t>
                    </w:r>
                  </w:p>
                  <w:p w14:paraId="65079994"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6F9BC24A" w14:textId="77777777" w:rsidR="00711A16" w:rsidRDefault="00711A16">
                    <w:pPr>
                      <w:spacing w:before="13"/>
                      <w:ind w:left="640"/>
                      <w:rPr>
                        <w:rFonts w:ascii="MS Gothic"/>
                      </w:rPr>
                    </w:pPr>
                    <w:r>
                      <w:rPr>
                        <w:rFonts w:ascii="MS Gothic"/>
                        <w:color w:val="333333"/>
                      </w:rPr>
                      <w:t>&lt;artifactId&gt;spring-boot-starter-log4j2&lt;/artifactId&gt;</w:t>
                    </w:r>
                  </w:p>
                  <w:p w14:paraId="457996EE" w14:textId="77777777" w:rsidR="00711A16" w:rsidRDefault="00711A16">
                    <w:pPr>
                      <w:spacing w:before="12"/>
                      <w:ind w:left="200"/>
                      <w:rPr>
                        <w:rFonts w:ascii="MS Gothic"/>
                      </w:rPr>
                    </w:pPr>
                    <w:r>
                      <w:rPr>
                        <w:rFonts w:ascii="MS Gothic"/>
                        <w:color w:val="333333"/>
                      </w:rPr>
                      <w:t>&lt;/dependency&gt;</w:t>
                    </w:r>
                  </w:p>
                </w:txbxContent>
              </v:textbox>
            </v:shape>
            <w10:wrap type="topAndBottom" anchorx="page"/>
          </v:group>
        </w:pict>
      </w:r>
    </w:p>
    <w:p w14:paraId="2435638E" w14:textId="77777777" w:rsidR="00A720EB" w:rsidRDefault="00A720EB">
      <w:pPr>
        <w:pStyle w:val="a3"/>
        <w:rPr>
          <w:sz w:val="10"/>
        </w:rPr>
      </w:pPr>
    </w:p>
    <w:p w14:paraId="2F38FE80" w14:textId="77777777" w:rsidR="00A720EB" w:rsidRDefault="0030286B">
      <w:pPr>
        <w:pStyle w:val="a3"/>
        <w:spacing w:before="125"/>
        <w:ind w:left="124"/>
      </w:pPr>
      <w:r>
        <w:rPr>
          <w:color w:val="333333"/>
          <w:w w:val="110"/>
        </w:rPr>
        <w:t>And the following example shows one way to set up the starters in Gradle:</w:t>
      </w:r>
    </w:p>
    <w:p w14:paraId="38884C04" w14:textId="77777777" w:rsidR="00A720EB" w:rsidRDefault="00A720EB">
      <w:pPr>
        <w:sectPr w:rsidR="00A720EB">
          <w:pgSz w:w="11910" w:h="16840"/>
          <w:pgMar w:top="620" w:right="840" w:bottom="520" w:left="840" w:header="0" w:footer="323" w:gutter="0"/>
          <w:cols w:space="720"/>
        </w:sectPr>
      </w:pPr>
    </w:p>
    <w:p w14:paraId="5FD91549" w14:textId="77777777" w:rsidR="00A720EB" w:rsidRDefault="00E10349">
      <w:pPr>
        <w:pStyle w:val="a3"/>
        <w:ind w:left="116"/>
        <w:rPr>
          <w:sz w:val="20"/>
        </w:rPr>
      </w:pPr>
      <w:r>
        <w:rPr>
          <w:sz w:val="20"/>
        </w:rPr>
      </w:r>
      <w:r>
        <w:rPr>
          <w:sz w:val="20"/>
        </w:rPr>
        <w:pict w14:anchorId="26257AF1">
          <v:group id="_x0000_s1429" style="width:499.55pt;height:229.15pt;mso-position-horizontal-relative:char;mso-position-vertical-relative:line" coordsize="9991,4583">
            <v:shape id="_x0000_s1432" style="position:absolute;left:7;top:7;width:9976;height:4568" coordorigin="8,8" coordsize="9976,4568" path="m9904,8l88,8,56,14,31,31,14,56,8,88r,4407l14,4526r17,25l56,4568r32,7l9904,4575r31,-7l9960,4551r17,-25l9984,4495r,-4407l9977,56,9960,31,9935,14,9904,8xe" fillcolor="#f5f5f5" stroked="f">
              <v:path arrowok="t"/>
            </v:shape>
            <v:shape id="_x0000_s1431" style="position:absolute;left:7;top:7;width:9976;height:4568" coordorigin="8,8" coordsize="9976,4568" path="m88,8r9816,l9935,14r25,17l9977,56r7,32l9984,4495r-7,31l9960,4551r-25,17l9904,4575r-9816,l56,4568,31,4551,14,4526,8,4495,8,88,14,56,31,31,56,14,88,8xe" filled="f" strokecolor="#ccc">
              <v:path arrowok="t"/>
            </v:shape>
            <v:shape id="_x0000_s1430" type="#_x0000_t202" style="position:absolute;left:26;top:22;width:9938;height:4537" filled="f" stroked="f">
              <v:textbox inset="0,0,0,0">
                <w:txbxContent>
                  <w:p w14:paraId="6945D87D" w14:textId="77777777" w:rsidR="00711A16" w:rsidRDefault="00711A16">
                    <w:pPr>
                      <w:spacing w:before="221"/>
                      <w:ind w:left="640"/>
                      <w:rPr>
                        <w:rFonts w:ascii="MS Gothic"/>
                      </w:rPr>
                    </w:pPr>
                    <w:r>
                      <w:rPr>
                        <w:rFonts w:ascii="MS Gothic"/>
                        <w:color w:val="333333"/>
                      </w:rPr>
                      <w:t>dependencies {</w:t>
                    </w:r>
                  </w:p>
                  <w:p w14:paraId="378F1ABD" w14:textId="77777777" w:rsidR="00711A16" w:rsidRDefault="00711A16">
                    <w:pPr>
                      <w:spacing w:before="13"/>
                      <w:ind w:left="1080"/>
                      <w:rPr>
                        <w:rFonts w:ascii="MS Gothic"/>
                      </w:rPr>
                    </w:pPr>
                    <w:r>
                      <w:rPr>
                        <w:rFonts w:ascii="MS Gothic"/>
                        <w:color w:val="333333"/>
                      </w:rPr>
                      <w:t>compile '</w:t>
                    </w:r>
                    <w:proofErr w:type="gramStart"/>
                    <w:r>
                      <w:rPr>
                        <w:rFonts w:ascii="MS Gothic"/>
                        <w:color w:val="333333"/>
                      </w:rPr>
                      <w:t>org.springframework</w:t>
                    </w:r>
                    <w:proofErr w:type="gramEnd"/>
                    <w:r>
                      <w:rPr>
                        <w:rFonts w:ascii="MS Gothic"/>
                        <w:color w:val="333333"/>
                      </w:rPr>
                      <w:t>.boot:spring-boot-starter-web'</w:t>
                    </w:r>
                  </w:p>
                  <w:p w14:paraId="08018AA6" w14:textId="77777777" w:rsidR="00711A16" w:rsidRDefault="00711A16">
                    <w:pPr>
                      <w:spacing w:before="13"/>
                      <w:ind w:left="640"/>
                      <w:rPr>
                        <w:rFonts w:ascii="MS Gothic"/>
                      </w:rPr>
                    </w:pPr>
                    <w:r>
                      <w:rPr>
                        <w:rFonts w:ascii="MS Gothic"/>
                        <w:color w:val="333333"/>
                      </w:rPr>
                      <w:t>}</w:t>
                    </w:r>
                  </w:p>
                  <w:p w14:paraId="3E30A872" w14:textId="77777777" w:rsidR="00711A16" w:rsidRDefault="00711A16">
                    <w:pPr>
                      <w:rPr>
                        <w:rFonts w:ascii="MS Gothic"/>
                        <w:sz w:val="24"/>
                      </w:rPr>
                    </w:pPr>
                  </w:p>
                  <w:p w14:paraId="6BBAE259" w14:textId="77777777" w:rsidR="00711A16" w:rsidRDefault="00711A16">
                    <w:pPr>
                      <w:spacing w:line="252" w:lineRule="auto"/>
                      <w:ind w:left="1080" w:right="2144" w:hanging="440"/>
                      <w:rPr>
                        <w:rFonts w:ascii="MS Gothic"/>
                      </w:rPr>
                    </w:pPr>
                    <w:r>
                      <w:rPr>
                        <w:rFonts w:ascii="MS Gothic"/>
                        <w:color w:val="333333"/>
                      </w:rPr>
                      <w:t xml:space="preserve">configurations.all </w:t>
                    </w:r>
                    <w:proofErr w:type="gramStart"/>
                    <w:r>
                      <w:rPr>
                        <w:rFonts w:ascii="MS Gothic"/>
                        <w:color w:val="333333"/>
                      </w:rPr>
                      <w:t>{ resolutionStrategy.dependencySubstitution.all</w:t>
                    </w:r>
                    <w:proofErr w:type="gramEnd"/>
                    <w:r>
                      <w:rPr>
                        <w:rFonts w:ascii="MS Gothic"/>
                        <w:color w:val="333333"/>
                      </w:rPr>
                      <w:t xml:space="preserve"> { dependency</w:t>
                    </w:r>
                    <w:r>
                      <w:rPr>
                        <w:rFonts w:ascii="MS Gothic"/>
                        <w:color w:val="333333"/>
                        <w:spacing w:val="1"/>
                      </w:rPr>
                      <w:t xml:space="preserve"> </w:t>
                    </w:r>
                    <w:r>
                      <w:rPr>
                        <w:rFonts w:ascii="MS Gothic"/>
                        <w:color w:val="333333"/>
                        <w:spacing w:val="-9"/>
                      </w:rPr>
                      <w:t>-&gt;</w:t>
                    </w:r>
                  </w:p>
                  <w:p w14:paraId="7B8A4E5D" w14:textId="77777777" w:rsidR="00711A16" w:rsidRDefault="00711A16">
                    <w:pPr>
                      <w:spacing w:line="252" w:lineRule="auto"/>
                      <w:ind w:left="200" w:right="1578" w:firstLine="1320"/>
                      <w:rPr>
                        <w:rFonts w:ascii="MS Gothic"/>
                      </w:rPr>
                    </w:pPr>
                    <w:r>
                      <w:rPr>
                        <w:rFonts w:ascii="MS Gothic"/>
                        <w:color w:val="333333"/>
                      </w:rPr>
                      <w:t>if (</w:t>
                    </w:r>
                    <w:proofErr w:type="gramStart"/>
                    <w:r>
                      <w:rPr>
                        <w:rFonts w:ascii="MS Gothic"/>
                        <w:color w:val="333333"/>
                      </w:rPr>
                      <w:t>dependency.requested</w:t>
                    </w:r>
                    <w:proofErr w:type="gramEnd"/>
                    <w:r>
                      <w:rPr>
                        <w:rFonts w:ascii="MS Gothic"/>
                        <w:color w:val="333333"/>
                      </w:rPr>
                      <w:t xml:space="preserve"> instanceof ModuleComponentSelector &amp;&amp; dependency.requested.module == 'spring-boot-starter-logging') {</w:t>
                    </w:r>
                  </w:p>
                  <w:p w14:paraId="03ED447E" w14:textId="77777777" w:rsidR="00711A16" w:rsidRDefault="00711A16">
                    <w:pPr>
                      <w:spacing w:line="252" w:lineRule="auto"/>
                      <w:ind w:left="200" w:right="588" w:firstLine="1760"/>
                      <w:rPr>
                        <w:rFonts w:ascii="MS Gothic"/>
                      </w:rPr>
                    </w:pPr>
                    <w:proofErr w:type="gramStart"/>
                    <w:r>
                      <w:rPr>
                        <w:rFonts w:ascii="MS Gothic"/>
                        <w:color w:val="333333"/>
                      </w:rPr>
                      <w:t>dependency.useTarget</w:t>
                    </w:r>
                    <w:proofErr w:type="gramEnd"/>
                    <w:r>
                      <w:rPr>
                        <w:rFonts w:ascii="MS Gothic"/>
                        <w:color w:val="333333"/>
                      </w:rPr>
                      <w:t>("org.springframework.boot:spring-boot-starter- log4j2:$dependency.requested.version", 'Use Log4j2 instead of Logback')</w:t>
                    </w:r>
                  </w:p>
                  <w:p w14:paraId="40694F3E" w14:textId="77777777" w:rsidR="00711A16" w:rsidRDefault="00711A16">
                    <w:pPr>
                      <w:spacing w:line="280" w:lineRule="exact"/>
                      <w:ind w:left="1520"/>
                      <w:rPr>
                        <w:rFonts w:ascii="MS Gothic"/>
                      </w:rPr>
                    </w:pPr>
                    <w:r>
                      <w:rPr>
                        <w:rFonts w:ascii="MS Gothic"/>
                        <w:color w:val="333333"/>
                      </w:rPr>
                      <w:t>}</w:t>
                    </w:r>
                  </w:p>
                  <w:p w14:paraId="2311E394" w14:textId="77777777" w:rsidR="00711A16" w:rsidRDefault="00711A16">
                    <w:pPr>
                      <w:spacing w:before="8"/>
                      <w:ind w:left="1080"/>
                      <w:rPr>
                        <w:rFonts w:ascii="MS Gothic"/>
                      </w:rPr>
                    </w:pPr>
                    <w:r>
                      <w:rPr>
                        <w:rFonts w:ascii="MS Gothic"/>
                        <w:color w:val="333333"/>
                      </w:rPr>
                      <w:t>}</w:t>
                    </w:r>
                  </w:p>
                  <w:p w14:paraId="00546762" w14:textId="77777777" w:rsidR="00711A16" w:rsidRDefault="00711A16">
                    <w:pPr>
                      <w:spacing w:before="13"/>
                      <w:ind w:left="640"/>
                      <w:rPr>
                        <w:rFonts w:ascii="MS Gothic"/>
                      </w:rPr>
                    </w:pPr>
                    <w:r>
                      <w:rPr>
                        <w:rFonts w:ascii="MS Gothic"/>
                        <w:color w:val="333333"/>
                      </w:rPr>
                      <w:t>}</w:t>
                    </w:r>
                  </w:p>
                  <w:p w14:paraId="410EBA12" w14:textId="77777777" w:rsidR="00711A16" w:rsidRDefault="00711A16">
                    <w:pPr>
                      <w:spacing w:before="13"/>
                      <w:ind w:left="200"/>
                      <w:rPr>
                        <w:rFonts w:ascii="MS Gothic"/>
                      </w:rPr>
                    </w:pPr>
                    <w:r>
                      <w:rPr>
                        <w:rFonts w:ascii="MS Gothic"/>
                        <w:color w:val="333333"/>
                      </w:rPr>
                      <w:t>}</w:t>
                    </w:r>
                  </w:p>
                </w:txbxContent>
              </v:textbox>
            </v:shape>
            <w10:anchorlock/>
          </v:group>
        </w:pict>
      </w:r>
    </w:p>
    <w:p w14:paraId="26127793" w14:textId="77777777" w:rsidR="00A720EB" w:rsidRDefault="00A720EB">
      <w:pPr>
        <w:pStyle w:val="a3"/>
        <w:spacing w:before="6"/>
        <w:rPr>
          <w:sz w:val="16"/>
        </w:rPr>
      </w:pPr>
    </w:p>
    <w:p w14:paraId="2D820504" w14:textId="77777777" w:rsidR="00A720EB" w:rsidRDefault="00E10349">
      <w:pPr>
        <w:pStyle w:val="a3"/>
        <w:spacing w:before="125" w:line="295" w:lineRule="auto"/>
        <w:ind w:left="1564" w:right="363"/>
        <w:jc w:val="both"/>
      </w:pPr>
      <w:r>
        <w:pict w14:anchorId="06EA426D">
          <v:line id="_x0000_s1428" style="position:absolute;left:0;text-align:left;z-index:16379392;mso-position-horizontal-relative:page" from="108.25pt,.25pt" to="108.25pt,55.6pt" strokecolor="#ededed" strokeweight=".5pt">
            <w10:wrap anchorx="page"/>
          </v:line>
        </w:pict>
      </w:r>
      <w:r w:rsidR="0030286B">
        <w:rPr>
          <w:noProof/>
        </w:rPr>
        <w:drawing>
          <wp:anchor distT="0" distB="0" distL="0" distR="0" simplePos="0" relativeHeight="16379904" behindDoc="0" locked="0" layoutInCell="1" allowOverlap="1" wp14:anchorId="6402FF07" wp14:editId="61FE888E">
            <wp:simplePos x="0" y="0"/>
            <wp:positionH relativeFrom="page">
              <wp:posOffset>844422</wp:posOffset>
            </wp:positionH>
            <wp:positionV relativeFrom="paragraph">
              <wp:posOffset>205524</wp:posOffset>
            </wp:positionV>
            <wp:extent cx="298450" cy="298450"/>
            <wp:effectExtent l="0" t="0" r="0" b="0"/>
            <wp:wrapNone/>
            <wp:docPr id="7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Log4j starters gather together the dependencies for common logging requirements (such as having Tomcat use </w:t>
      </w:r>
      <w:proofErr w:type="gramStart"/>
      <w:r w:rsidR="0030286B">
        <w:rPr>
          <w:rFonts w:ascii="MS Gothic"/>
          <w:color w:val="B02045"/>
          <w:w w:val="110"/>
        </w:rPr>
        <w:t>java.util</w:t>
      </w:r>
      <w:proofErr w:type="gramEnd"/>
      <w:r w:rsidR="0030286B">
        <w:rPr>
          <w:rFonts w:ascii="MS Gothic"/>
          <w:color w:val="B02045"/>
          <w:w w:val="110"/>
        </w:rPr>
        <w:t xml:space="preserve">.logging </w:t>
      </w:r>
      <w:r w:rsidR="0030286B">
        <w:rPr>
          <w:color w:val="333333"/>
          <w:w w:val="110"/>
        </w:rPr>
        <w:t>but configuring the output using Log4j 2).</w:t>
      </w:r>
    </w:p>
    <w:p w14:paraId="70073049" w14:textId="77777777" w:rsidR="00A720EB" w:rsidRDefault="00A720EB">
      <w:pPr>
        <w:pStyle w:val="a3"/>
        <w:spacing w:before="3"/>
        <w:rPr>
          <w:sz w:val="24"/>
        </w:rPr>
      </w:pPr>
    </w:p>
    <w:p w14:paraId="5ED44572" w14:textId="77777777" w:rsidR="00A720EB" w:rsidRDefault="00E10349">
      <w:pPr>
        <w:pStyle w:val="a3"/>
        <w:spacing w:before="116" w:line="280" w:lineRule="auto"/>
        <w:ind w:left="1564" w:right="362"/>
        <w:jc w:val="both"/>
      </w:pPr>
      <w:r>
        <w:pict w14:anchorId="7CC9A7B1">
          <v:line id="_x0000_s1427" style="position:absolute;left:0;text-align:left;z-index:16380416;mso-position-horizontal-relative:page" from="108.25pt,.35pt" to="108.25pt,55.7pt" strokecolor="#ededed" strokeweight=".5pt">
            <w10:wrap anchorx="page"/>
          </v:line>
        </w:pict>
      </w:r>
      <w:r w:rsidR="0030286B">
        <w:rPr>
          <w:noProof/>
        </w:rPr>
        <w:drawing>
          <wp:anchor distT="0" distB="0" distL="0" distR="0" simplePos="0" relativeHeight="16380928" behindDoc="0" locked="0" layoutInCell="1" allowOverlap="1" wp14:anchorId="5F333805" wp14:editId="4AF9086F">
            <wp:simplePos x="0" y="0"/>
            <wp:positionH relativeFrom="page">
              <wp:posOffset>844422</wp:posOffset>
            </wp:positionH>
            <wp:positionV relativeFrom="paragraph">
              <wp:posOffset>206451</wp:posOffset>
            </wp:positionV>
            <wp:extent cx="298450" cy="298450"/>
            <wp:effectExtent l="0" t="0" r="0" b="0"/>
            <wp:wrapNone/>
            <wp:docPr id="7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4"/>
          <w:w w:val="110"/>
        </w:rPr>
        <w:t xml:space="preserve">To </w:t>
      </w:r>
      <w:r w:rsidR="0030286B">
        <w:rPr>
          <w:color w:val="333333"/>
          <w:w w:val="110"/>
        </w:rPr>
        <w:t xml:space="preserve">ensure that debug logging performed using </w:t>
      </w:r>
      <w:r w:rsidR="0030286B">
        <w:rPr>
          <w:rFonts w:ascii="MS Gothic"/>
          <w:color w:val="B02045"/>
          <w:w w:val="110"/>
        </w:rPr>
        <w:t xml:space="preserve">java.util.logging </w:t>
      </w:r>
      <w:r w:rsidR="0030286B">
        <w:rPr>
          <w:color w:val="333333"/>
          <w:w w:val="110"/>
        </w:rPr>
        <w:t>is routed into Log4j</w:t>
      </w:r>
      <w:r w:rsidR="0030286B">
        <w:rPr>
          <w:color w:val="333333"/>
          <w:spacing w:val="-12"/>
          <w:w w:val="110"/>
        </w:rPr>
        <w:t xml:space="preserve"> </w:t>
      </w:r>
      <w:r w:rsidR="0030286B">
        <w:rPr>
          <w:color w:val="333333"/>
          <w:w w:val="110"/>
        </w:rPr>
        <w:t>2,</w:t>
      </w:r>
      <w:r w:rsidR="0030286B">
        <w:rPr>
          <w:color w:val="333333"/>
          <w:spacing w:val="-11"/>
          <w:w w:val="110"/>
        </w:rPr>
        <w:t xml:space="preserve"> </w:t>
      </w:r>
      <w:r w:rsidR="0030286B">
        <w:rPr>
          <w:color w:val="333333"/>
          <w:w w:val="110"/>
        </w:rPr>
        <w:t>configure</w:t>
      </w:r>
      <w:r w:rsidR="0030286B">
        <w:rPr>
          <w:color w:val="333333"/>
          <w:spacing w:val="-12"/>
          <w:w w:val="110"/>
        </w:rPr>
        <w:t xml:space="preserve"> </w:t>
      </w:r>
      <w:r w:rsidR="0030286B">
        <w:rPr>
          <w:color w:val="333333"/>
          <w:w w:val="110"/>
        </w:rPr>
        <w:t>its</w:t>
      </w:r>
      <w:r w:rsidR="0030286B">
        <w:rPr>
          <w:color w:val="333333"/>
          <w:spacing w:val="-11"/>
          <w:w w:val="110"/>
        </w:rPr>
        <w:t xml:space="preserve"> </w:t>
      </w:r>
      <w:hyperlink r:id="rId621">
        <w:r w:rsidR="0030286B">
          <w:rPr>
            <w:color w:val="418BCA"/>
            <w:w w:val="110"/>
          </w:rPr>
          <w:t>JDK</w:t>
        </w:r>
        <w:r w:rsidR="0030286B">
          <w:rPr>
            <w:color w:val="418BCA"/>
            <w:spacing w:val="-12"/>
            <w:w w:val="110"/>
          </w:rPr>
          <w:t xml:space="preserve"> </w:t>
        </w:r>
        <w:r w:rsidR="0030286B">
          <w:rPr>
            <w:color w:val="418BCA"/>
            <w:w w:val="110"/>
          </w:rPr>
          <w:t>logging</w:t>
        </w:r>
        <w:r w:rsidR="0030286B">
          <w:rPr>
            <w:color w:val="418BCA"/>
            <w:spacing w:val="-11"/>
            <w:w w:val="110"/>
          </w:rPr>
          <w:t xml:space="preserve"> </w:t>
        </w:r>
        <w:r w:rsidR="0030286B">
          <w:rPr>
            <w:color w:val="418BCA"/>
            <w:w w:val="110"/>
          </w:rPr>
          <w:t>adapter</w:t>
        </w:r>
        <w:r w:rsidR="0030286B">
          <w:rPr>
            <w:color w:val="418BCA"/>
            <w:spacing w:val="-11"/>
            <w:w w:val="110"/>
          </w:rPr>
          <w:t xml:space="preserve"> </w:t>
        </w:r>
      </w:hyperlink>
      <w:r w:rsidR="0030286B">
        <w:rPr>
          <w:color w:val="333333"/>
          <w:spacing w:val="-3"/>
          <w:w w:val="110"/>
        </w:rPr>
        <w:t>by</w:t>
      </w:r>
      <w:r w:rsidR="0030286B">
        <w:rPr>
          <w:color w:val="333333"/>
          <w:spacing w:val="-12"/>
          <w:w w:val="110"/>
        </w:rPr>
        <w:t xml:space="preserve"> </w:t>
      </w:r>
      <w:r w:rsidR="0030286B">
        <w:rPr>
          <w:color w:val="333333"/>
          <w:w w:val="110"/>
        </w:rPr>
        <w:t>setting</w:t>
      </w:r>
      <w:r w:rsidR="0030286B">
        <w:rPr>
          <w:color w:val="333333"/>
          <w:spacing w:val="-11"/>
          <w:w w:val="110"/>
        </w:rPr>
        <w:t xml:space="preserve"> </w:t>
      </w:r>
      <w:r w:rsidR="0030286B">
        <w:rPr>
          <w:color w:val="333333"/>
          <w:w w:val="110"/>
        </w:rPr>
        <w:t>the</w:t>
      </w:r>
      <w:r w:rsidR="0030286B">
        <w:rPr>
          <w:color w:val="333333"/>
          <w:spacing w:val="-12"/>
          <w:w w:val="110"/>
        </w:rPr>
        <w:t xml:space="preserve"> </w:t>
      </w:r>
      <w:r w:rsidR="0030286B">
        <w:rPr>
          <w:rFonts w:ascii="MS Gothic"/>
          <w:color w:val="B02045"/>
          <w:w w:val="110"/>
        </w:rPr>
        <w:t xml:space="preserve">java.util.logging.manager </w:t>
      </w:r>
      <w:r w:rsidR="0030286B">
        <w:rPr>
          <w:color w:val="333333"/>
          <w:w w:val="110"/>
        </w:rPr>
        <w:t>system property to</w:t>
      </w:r>
      <w:r w:rsidR="0030286B">
        <w:rPr>
          <w:color w:val="333333"/>
          <w:spacing w:val="-19"/>
          <w:w w:val="110"/>
        </w:rPr>
        <w:t xml:space="preserve"> </w:t>
      </w:r>
      <w:r w:rsidR="0030286B">
        <w:rPr>
          <w:rFonts w:ascii="MS Gothic"/>
          <w:color w:val="B02045"/>
          <w:w w:val="110"/>
        </w:rPr>
        <w:t>org.apache.logging.log4j.jul.LogManager</w:t>
      </w:r>
      <w:r w:rsidR="0030286B">
        <w:rPr>
          <w:color w:val="333333"/>
          <w:w w:val="110"/>
        </w:rPr>
        <w:t>.</w:t>
      </w:r>
    </w:p>
    <w:p w14:paraId="10791A08" w14:textId="77777777" w:rsidR="00A720EB" w:rsidRDefault="00A720EB">
      <w:pPr>
        <w:pStyle w:val="a3"/>
        <w:spacing w:before="7"/>
        <w:rPr>
          <w:sz w:val="24"/>
        </w:rPr>
      </w:pPr>
    </w:p>
    <w:p w14:paraId="10E862CD" w14:textId="77777777" w:rsidR="00A720EB" w:rsidRDefault="0030286B">
      <w:pPr>
        <w:pStyle w:val="4"/>
        <w:spacing w:before="104"/>
      </w:pPr>
      <w:bookmarkStart w:id="892" w:name="Use_YAML_or_JSON_to_Configure_Log4j_2"/>
      <w:bookmarkEnd w:id="892"/>
      <w:r>
        <w:rPr>
          <w:color w:val="333333"/>
          <w:w w:val="110"/>
        </w:rPr>
        <w:t>Use YAML or JSON to Configure Log4j 2</w:t>
      </w:r>
    </w:p>
    <w:p w14:paraId="3E23074C" w14:textId="77777777" w:rsidR="00A720EB" w:rsidRDefault="00A720EB">
      <w:pPr>
        <w:pStyle w:val="a3"/>
        <w:spacing w:before="11"/>
        <w:rPr>
          <w:rFonts w:ascii="Palatino Linotype"/>
          <w:b/>
          <w:sz w:val="18"/>
        </w:rPr>
      </w:pPr>
    </w:p>
    <w:p w14:paraId="60DBCA9F" w14:textId="77777777" w:rsidR="00A720EB" w:rsidRDefault="0030286B">
      <w:pPr>
        <w:pStyle w:val="a3"/>
        <w:spacing w:before="1" w:line="307" w:lineRule="auto"/>
        <w:ind w:left="124" w:right="131"/>
        <w:jc w:val="both"/>
      </w:pPr>
      <w:r>
        <w:rPr>
          <w:color w:val="333333"/>
          <w:w w:val="110"/>
        </w:rPr>
        <w:t>In addition to its default XML configuration format, Log4j 2 also supports YAML and JSON configuration files. To configure Log4j 2 to use an alternative configuration file format, add the appropriate dependencies to the classpath and name your configuration files to match your chosen file format, as shown in the following example:</w:t>
      </w:r>
    </w:p>
    <w:p w14:paraId="6AF911B2" w14:textId="77777777" w:rsidR="00A720EB" w:rsidRDefault="00A720EB">
      <w:pPr>
        <w:pStyle w:val="a3"/>
        <w:spacing w:before="9"/>
        <w:rPr>
          <w:sz w:val="1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998"/>
        <w:gridCol w:w="7482"/>
        <w:gridCol w:w="1496"/>
      </w:tblGrid>
      <w:tr w:rsidR="00A720EB" w14:paraId="71584368" w14:textId="77777777">
        <w:trPr>
          <w:trHeight w:val="415"/>
        </w:trPr>
        <w:tc>
          <w:tcPr>
            <w:tcW w:w="998" w:type="dxa"/>
            <w:tcBorders>
              <w:bottom w:val="single" w:sz="12" w:space="0" w:color="DDDDDD"/>
            </w:tcBorders>
          </w:tcPr>
          <w:p w14:paraId="7028D4FE" w14:textId="77777777" w:rsidR="00A720EB" w:rsidRDefault="0030286B">
            <w:pPr>
              <w:pStyle w:val="TableParagraph"/>
              <w:spacing w:before="74"/>
              <w:rPr>
                <w:rFonts w:ascii="Palatino Linotype"/>
                <w:b/>
                <w:sz w:val="21"/>
              </w:rPr>
            </w:pPr>
            <w:r>
              <w:rPr>
                <w:rFonts w:ascii="Palatino Linotype"/>
                <w:b/>
                <w:color w:val="333333"/>
                <w:w w:val="115"/>
                <w:sz w:val="21"/>
              </w:rPr>
              <w:t>Format</w:t>
            </w:r>
          </w:p>
        </w:tc>
        <w:tc>
          <w:tcPr>
            <w:tcW w:w="7482" w:type="dxa"/>
            <w:tcBorders>
              <w:bottom w:val="single" w:sz="12" w:space="0" w:color="DDDDDD"/>
            </w:tcBorders>
          </w:tcPr>
          <w:p w14:paraId="698013E0" w14:textId="77777777" w:rsidR="00A720EB" w:rsidRDefault="0030286B">
            <w:pPr>
              <w:pStyle w:val="TableParagraph"/>
              <w:spacing w:before="74"/>
              <w:ind w:left="59"/>
              <w:rPr>
                <w:rFonts w:ascii="Palatino Linotype"/>
                <w:b/>
                <w:sz w:val="21"/>
              </w:rPr>
            </w:pPr>
            <w:r>
              <w:rPr>
                <w:rFonts w:ascii="Palatino Linotype"/>
                <w:b/>
                <w:color w:val="333333"/>
                <w:w w:val="110"/>
                <w:sz w:val="21"/>
              </w:rPr>
              <w:t>Dependencies</w:t>
            </w:r>
          </w:p>
        </w:tc>
        <w:tc>
          <w:tcPr>
            <w:tcW w:w="1496" w:type="dxa"/>
            <w:tcBorders>
              <w:bottom w:val="single" w:sz="12" w:space="0" w:color="DDDDDD"/>
            </w:tcBorders>
          </w:tcPr>
          <w:p w14:paraId="71875F19" w14:textId="77777777" w:rsidR="00A720EB" w:rsidRDefault="0030286B">
            <w:pPr>
              <w:pStyle w:val="TableParagraph"/>
              <w:spacing w:before="74"/>
              <w:ind w:left="59"/>
              <w:rPr>
                <w:rFonts w:ascii="Palatino Linotype"/>
                <w:b/>
                <w:sz w:val="21"/>
              </w:rPr>
            </w:pPr>
            <w:r>
              <w:rPr>
                <w:rFonts w:ascii="Palatino Linotype"/>
                <w:b/>
                <w:color w:val="333333"/>
                <w:w w:val="110"/>
                <w:sz w:val="21"/>
              </w:rPr>
              <w:t>File names</w:t>
            </w:r>
          </w:p>
        </w:tc>
      </w:tr>
      <w:tr w:rsidR="00A720EB" w14:paraId="5CDE70DF" w14:textId="77777777">
        <w:trPr>
          <w:trHeight w:val="971"/>
        </w:trPr>
        <w:tc>
          <w:tcPr>
            <w:tcW w:w="998" w:type="dxa"/>
            <w:tcBorders>
              <w:top w:val="single" w:sz="12" w:space="0" w:color="DDDDDD"/>
            </w:tcBorders>
          </w:tcPr>
          <w:p w14:paraId="621EDA66" w14:textId="77777777" w:rsidR="00A720EB" w:rsidRDefault="0030286B">
            <w:pPr>
              <w:pStyle w:val="TableParagraph"/>
              <w:spacing w:before="84"/>
              <w:rPr>
                <w:rFonts w:ascii="Cambria"/>
                <w:sz w:val="21"/>
              </w:rPr>
            </w:pPr>
            <w:r>
              <w:rPr>
                <w:rFonts w:ascii="Cambria"/>
                <w:color w:val="333333"/>
                <w:w w:val="115"/>
                <w:sz w:val="21"/>
              </w:rPr>
              <w:t>YAML</w:t>
            </w:r>
          </w:p>
        </w:tc>
        <w:tc>
          <w:tcPr>
            <w:tcW w:w="7482" w:type="dxa"/>
            <w:tcBorders>
              <w:top w:val="single" w:sz="12" w:space="0" w:color="DDDDDD"/>
            </w:tcBorders>
          </w:tcPr>
          <w:p w14:paraId="54AD715E" w14:textId="77777777" w:rsidR="00A720EB" w:rsidRDefault="0030286B">
            <w:pPr>
              <w:pStyle w:val="TableParagraph"/>
              <w:tabs>
                <w:tab w:val="left" w:pos="7304"/>
              </w:tabs>
              <w:spacing w:before="74" w:line="264" w:lineRule="exact"/>
              <w:ind w:left="59"/>
              <w:rPr>
                <w:rFonts w:ascii="Cambria"/>
                <w:sz w:val="21"/>
              </w:rPr>
            </w:pPr>
            <w:proofErr w:type="gramStart"/>
            <w:r>
              <w:rPr>
                <w:color w:val="B02045"/>
                <w:sz w:val="21"/>
              </w:rPr>
              <w:t>com.fasterxml</w:t>
            </w:r>
            <w:proofErr w:type="gramEnd"/>
            <w:r>
              <w:rPr>
                <w:color w:val="B02045"/>
                <w:sz w:val="21"/>
              </w:rPr>
              <w:t>.jackson.core:jackson-databind</w:t>
            </w:r>
            <w:r>
              <w:rPr>
                <w:color w:val="B02045"/>
                <w:sz w:val="21"/>
              </w:rPr>
              <w:tab/>
            </w:r>
            <w:r>
              <w:rPr>
                <w:rFonts w:ascii="Cambria"/>
                <w:color w:val="333333"/>
                <w:sz w:val="21"/>
              </w:rPr>
              <w:t>+</w:t>
            </w:r>
          </w:p>
          <w:p w14:paraId="1CE2F5B9" w14:textId="77777777" w:rsidR="00A720EB" w:rsidRDefault="0030286B">
            <w:pPr>
              <w:pStyle w:val="TableParagraph"/>
              <w:spacing w:before="0" w:line="264" w:lineRule="exact"/>
              <w:ind w:left="59"/>
              <w:rPr>
                <w:sz w:val="21"/>
              </w:rPr>
            </w:pPr>
            <w:proofErr w:type="gramStart"/>
            <w:r>
              <w:rPr>
                <w:color w:val="B02045"/>
                <w:sz w:val="21"/>
              </w:rPr>
              <w:t>com.fasterxml</w:t>
            </w:r>
            <w:proofErr w:type="gramEnd"/>
            <w:r>
              <w:rPr>
                <w:color w:val="B02045"/>
                <w:sz w:val="21"/>
              </w:rPr>
              <w:t>.jackson.dataformat:jackson-dataformat-yaml</w:t>
            </w:r>
          </w:p>
        </w:tc>
        <w:tc>
          <w:tcPr>
            <w:tcW w:w="1496" w:type="dxa"/>
            <w:tcBorders>
              <w:top w:val="single" w:sz="12" w:space="0" w:color="DDDDDD"/>
            </w:tcBorders>
          </w:tcPr>
          <w:p w14:paraId="49F97420" w14:textId="77777777" w:rsidR="00A720EB" w:rsidRDefault="0030286B">
            <w:pPr>
              <w:pStyle w:val="TableParagraph"/>
              <w:spacing w:before="74"/>
              <w:ind w:left="59"/>
              <w:rPr>
                <w:rFonts w:ascii="Cambria"/>
                <w:sz w:val="21"/>
              </w:rPr>
            </w:pPr>
            <w:r>
              <w:rPr>
                <w:color w:val="B02045"/>
                <w:sz w:val="21"/>
              </w:rPr>
              <w:t xml:space="preserve">log4j2.yaml </w:t>
            </w:r>
            <w:r>
              <w:rPr>
                <w:rFonts w:ascii="Cambria"/>
                <w:color w:val="333333"/>
                <w:sz w:val="21"/>
              </w:rPr>
              <w:t>+</w:t>
            </w:r>
          </w:p>
          <w:p w14:paraId="01E8D921" w14:textId="77777777" w:rsidR="00A720EB" w:rsidRDefault="0030286B">
            <w:pPr>
              <w:pStyle w:val="TableParagraph"/>
              <w:spacing w:before="47"/>
              <w:ind w:left="59"/>
              <w:rPr>
                <w:sz w:val="21"/>
              </w:rPr>
            </w:pPr>
            <w:r>
              <w:rPr>
                <w:color w:val="B02045"/>
                <w:sz w:val="21"/>
              </w:rPr>
              <w:t>log4j2.yml</w:t>
            </w:r>
          </w:p>
        </w:tc>
      </w:tr>
      <w:tr w:rsidR="00A720EB" w14:paraId="6E877365" w14:textId="77777777">
        <w:trPr>
          <w:trHeight w:val="981"/>
        </w:trPr>
        <w:tc>
          <w:tcPr>
            <w:tcW w:w="998" w:type="dxa"/>
          </w:tcPr>
          <w:p w14:paraId="5C9D0975" w14:textId="77777777" w:rsidR="00A720EB" w:rsidRDefault="0030286B">
            <w:pPr>
              <w:pStyle w:val="TableParagraph"/>
              <w:spacing w:before="94"/>
              <w:rPr>
                <w:rFonts w:ascii="Cambria"/>
                <w:sz w:val="21"/>
              </w:rPr>
            </w:pPr>
            <w:r>
              <w:rPr>
                <w:rFonts w:ascii="Cambria"/>
                <w:color w:val="333333"/>
                <w:w w:val="115"/>
                <w:sz w:val="21"/>
              </w:rPr>
              <w:t>JSON</w:t>
            </w:r>
          </w:p>
        </w:tc>
        <w:tc>
          <w:tcPr>
            <w:tcW w:w="7482" w:type="dxa"/>
          </w:tcPr>
          <w:p w14:paraId="0F80B44F" w14:textId="77777777" w:rsidR="00A720EB" w:rsidRDefault="0030286B">
            <w:pPr>
              <w:pStyle w:val="TableParagraph"/>
              <w:spacing w:before="40"/>
              <w:ind w:left="59"/>
              <w:rPr>
                <w:sz w:val="21"/>
              </w:rPr>
            </w:pPr>
            <w:proofErr w:type="gramStart"/>
            <w:r>
              <w:rPr>
                <w:color w:val="B02045"/>
                <w:sz w:val="21"/>
              </w:rPr>
              <w:t>com.fasterxml</w:t>
            </w:r>
            <w:proofErr w:type="gramEnd"/>
            <w:r>
              <w:rPr>
                <w:color w:val="B02045"/>
                <w:sz w:val="21"/>
              </w:rPr>
              <w:t>.jackson.core:jackson-databind</w:t>
            </w:r>
          </w:p>
        </w:tc>
        <w:tc>
          <w:tcPr>
            <w:tcW w:w="1496" w:type="dxa"/>
          </w:tcPr>
          <w:p w14:paraId="5791F644" w14:textId="77777777" w:rsidR="00A720EB" w:rsidRDefault="0030286B">
            <w:pPr>
              <w:pStyle w:val="TableParagraph"/>
              <w:spacing w:before="84"/>
              <w:ind w:left="59"/>
              <w:rPr>
                <w:rFonts w:ascii="Cambria"/>
                <w:sz w:val="21"/>
              </w:rPr>
            </w:pPr>
            <w:r>
              <w:rPr>
                <w:color w:val="B02045"/>
                <w:sz w:val="21"/>
              </w:rPr>
              <w:t xml:space="preserve">log4j2.json </w:t>
            </w:r>
            <w:r>
              <w:rPr>
                <w:rFonts w:ascii="Cambria"/>
                <w:color w:val="333333"/>
                <w:sz w:val="21"/>
              </w:rPr>
              <w:t>+</w:t>
            </w:r>
          </w:p>
          <w:p w14:paraId="15A1780E" w14:textId="77777777" w:rsidR="00A720EB" w:rsidRDefault="0030286B">
            <w:pPr>
              <w:pStyle w:val="TableParagraph"/>
              <w:spacing w:before="47"/>
              <w:ind w:left="59"/>
              <w:rPr>
                <w:sz w:val="21"/>
              </w:rPr>
            </w:pPr>
            <w:r>
              <w:rPr>
                <w:color w:val="B02045"/>
                <w:sz w:val="21"/>
              </w:rPr>
              <w:t>log4j2.jsn</w:t>
            </w:r>
          </w:p>
        </w:tc>
      </w:tr>
    </w:tbl>
    <w:p w14:paraId="5D62E060" w14:textId="77777777" w:rsidR="00A720EB" w:rsidRDefault="00A720EB">
      <w:pPr>
        <w:pStyle w:val="a3"/>
        <w:spacing w:before="9"/>
        <w:rPr>
          <w:sz w:val="28"/>
        </w:rPr>
      </w:pPr>
    </w:p>
    <w:p w14:paraId="3546B84A" w14:textId="77777777" w:rsidR="00A720EB" w:rsidRDefault="0030286B">
      <w:pPr>
        <w:pStyle w:val="2"/>
        <w:numPr>
          <w:ilvl w:val="1"/>
          <w:numId w:val="13"/>
        </w:numPr>
        <w:tabs>
          <w:tab w:val="left" w:pos="832"/>
        </w:tabs>
      </w:pPr>
      <w:bookmarkStart w:id="893" w:name="9.9._Data_Access"/>
      <w:bookmarkStart w:id="894" w:name="_Toc54423967"/>
      <w:bookmarkEnd w:id="893"/>
      <w:r>
        <w:rPr>
          <w:color w:val="333333"/>
          <w:w w:val="110"/>
        </w:rPr>
        <w:t>Data</w:t>
      </w:r>
      <w:r>
        <w:rPr>
          <w:color w:val="333333"/>
          <w:spacing w:val="-7"/>
          <w:w w:val="110"/>
        </w:rPr>
        <w:t xml:space="preserve"> </w:t>
      </w:r>
      <w:r>
        <w:rPr>
          <w:color w:val="333333"/>
          <w:spacing w:val="-3"/>
          <w:w w:val="110"/>
        </w:rPr>
        <w:t>Access</w:t>
      </w:r>
      <w:bookmarkEnd w:id="894"/>
    </w:p>
    <w:p w14:paraId="7518BA8F" w14:textId="77777777" w:rsidR="00A720EB" w:rsidRDefault="0030286B">
      <w:pPr>
        <w:pStyle w:val="a3"/>
        <w:spacing w:before="253" w:line="307" w:lineRule="auto"/>
        <w:ind w:left="124" w:right="133"/>
        <w:jc w:val="both"/>
      </w:pPr>
      <w:r>
        <w:rPr>
          <w:color w:val="333333"/>
          <w:w w:val="110"/>
        </w:rPr>
        <w:t>Spring Boot includes a number of starters for working with data sources. This section answers questions related to doing so.</w:t>
      </w:r>
    </w:p>
    <w:p w14:paraId="50B9EB52" w14:textId="77777777" w:rsidR="00A720EB" w:rsidRDefault="00A720EB">
      <w:pPr>
        <w:pStyle w:val="a3"/>
        <w:spacing w:before="9"/>
        <w:rPr>
          <w:sz w:val="25"/>
        </w:rPr>
      </w:pPr>
    </w:p>
    <w:p w14:paraId="07858DDF" w14:textId="77777777" w:rsidR="00A720EB" w:rsidRDefault="0030286B">
      <w:pPr>
        <w:pStyle w:val="3"/>
        <w:numPr>
          <w:ilvl w:val="2"/>
          <w:numId w:val="13"/>
        </w:numPr>
        <w:tabs>
          <w:tab w:val="left" w:pos="858"/>
        </w:tabs>
        <w:ind w:hanging="734"/>
      </w:pPr>
      <w:bookmarkStart w:id="895" w:name="9.9.1._Configure_a_Custom_DataSource"/>
      <w:bookmarkStart w:id="896" w:name="_Toc54423968"/>
      <w:bookmarkEnd w:id="895"/>
      <w:r>
        <w:rPr>
          <w:color w:val="333333"/>
          <w:w w:val="110"/>
        </w:rPr>
        <w:t>Configure a Custom</w:t>
      </w:r>
      <w:r>
        <w:rPr>
          <w:color w:val="333333"/>
          <w:spacing w:val="-18"/>
          <w:w w:val="110"/>
        </w:rPr>
        <w:t xml:space="preserve"> </w:t>
      </w:r>
      <w:r>
        <w:rPr>
          <w:color w:val="333333"/>
          <w:w w:val="110"/>
        </w:rPr>
        <w:t>DataSource</w:t>
      </w:r>
      <w:bookmarkEnd w:id="896"/>
    </w:p>
    <w:p w14:paraId="29A058C3" w14:textId="77777777" w:rsidR="00A720EB" w:rsidRDefault="0030286B">
      <w:pPr>
        <w:pStyle w:val="a3"/>
        <w:spacing w:before="243"/>
        <w:ind w:left="124"/>
        <w:jc w:val="both"/>
      </w:pPr>
      <w:r>
        <w:rPr>
          <w:color w:val="333333"/>
          <w:w w:val="110"/>
        </w:rPr>
        <w:t xml:space="preserve">To configure your own </w:t>
      </w:r>
      <w:r>
        <w:rPr>
          <w:rFonts w:ascii="MS Gothic"/>
          <w:color w:val="B02045"/>
          <w:w w:val="110"/>
        </w:rPr>
        <w:t>DataSource</w:t>
      </w:r>
      <w:r>
        <w:rPr>
          <w:color w:val="333333"/>
          <w:w w:val="110"/>
        </w:rPr>
        <w:t xml:space="preserve">, define a </w:t>
      </w:r>
      <w:r>
        <w:rPr>
          <w:rFonts w:ascii="MS Gothic"/>
          <w:color w:val="B02045"/>
          <w:w w:val="110"/>
        </w:rPr>
        <w:t xml:space="preserve">@Bean </w:t>
      </w:r>
      <w:r>
        <w:rPr>
          <w:color w:val="333333"/>
          <w:w w:val="110"/>
        </w:rPr>
        <w:t>of that type in your configuration. Spring Boot</w:t>
      </w:r>
    </w:p>
    <w:p w14:paraId="077A05E3" w14:textId="77777777" w:rsidR="00A720EB" w:rsidRDefault="00A720EB">
      <w:pPr>
        <w:jc w:val="both"/>
        <w:sectPr w:rsidR="00A720EB">
          <w:pgSz w:w="11910" w:h="16840"/>
          <w:pgMar w:top="700" w:right="840" w:bottom="520" w:left="840" w:header="0" w:footer="323" w:gutter="0"/>
          <w:cols w:space="720"/>
        </w:sectPr>
      </w:pPr>
    </w:p>
    <w:p w14:paraId="6F408F28" w14:textId="77777777" w:rsidR="00A720EB" w:rsidRDefault="0030286B">
      <w:pPr>
        <w:pStyle w:val="a3"/>
        <w:spacing w:before="96" w:line="285" w:lineRule="auto"/>
        <w:ind w:left="124" w:right="123"/>
        <w:jc w:val="both"/>
      </w:pPr>
      <w:r>
        <w:rPr>
          <w:color w:val="333333"/>
          <w:w w:val="110"/>
        </w:rPr>
        <w:lastRenderedPageBreak/>
        <w:t xml:space="preserve">reuses your </w:t>
      </w:r>
      <w:r>
        <w:rPr>
          <w:rFonts w:ascii="MS Gothic" w:hAnsi="MS Gothic"/>
          <w:color w:val="B02045"/>
          <w:w w:val="110"/>
        </w:rPr>
        <w:t xml:space="preserve">DataSource </w:t>
      </w:r>
      <w:r>
        <w:rPr>
          <w:color w:val="333333"/>
          <w:w w:val="110"/>
        </w:rPr>
        <w:t xml:space="preserve">anywhere one is required, including database initialization. If you need to externalize some settings, you can bind your </w:t>
      </w:r>
      <w:r>
        <w:rPr>
          <w:rFonts w:ascii="MS Gothic" w:hAnsi="MS Gothic"/>
          <w:color w:val="B02045"/>
          <w:w w:val="110"/>
        </w:rPr>
        <w:t xml:space="preserve">DataSource </w:t>
      </w:r>
      <w:r>
        <w:rPr>
          <w:color w:val="333333"/>
          <w:w w:val="110"/>
        </w:rPr>
        <w:t>to the environment (see “</w:t>
      </w:r>
      <w:hyperlink w:anchor="_bookmark119" w:history="1">
        <w:r>
          <w:rPr>
            <w:color w:val="418BCA"/>
            <w:w w:val="110"/>
          </w:rPr>
          <w:t>Third-party</w:t>
        </w:r>
      </w:hyperlink>
      <w:r>
        <w:rPr>
          <w:color w:val="418BCA"/>
          <w:w w:val="110"/>
        </w:rPr>
        <w:t xml:space="preserve"> </w:t>
      </w:r>
      <w:hyperlink w:anchor="_bookmark119" w:history="1">
        <w:r>
          <w:rPr>
            <w:color w:val="418BCA"/>
            <w:w w:val="110"/>
          </w:rPr>
          <w:t>Configuration</w:t>
        </w:r>
      </w:hyperlink>
      <w:r>
        <w:rPr>
          <w:color w:val="333333"/>
          <w:w w:val="110"/>
        </w:rPr>
        <w:t>”).</w:t>
      </w:r>
    </w:p>
    <w:p w14:paraId="1AC0EC7E" w14:textId="77777777" w:rsidR="00A720EB" w:rsidRDefault="00A720EB">
      <w:pPr>
        <w:pStyle w:val="a3"/>
        <w:spacing w:before="6"/>
        <w:rPr>
          <w:sz w:val="22"/>
        </w:rPr>
      </w:pPr>
    </w:p>
    <w:p w14:paraId="763D5418" w14:textId="77777777" w:rsidR="00A720EB" w:rsidRDefault="0030286B">
      <w:pPr>
        <w:pStyle w:val="a3"/>
        <w:ind w:left="124"/>
        <w:jc w:val="both"/>
      </w:pPr>
      <w:r>
        <w:rPr>
          <w:color w:val="333333"/>
          <w:w w:val="110"/>
        </w:rPr>
        <w:t>The following example shows how to define a data source in a bean:</w:t>
      </w:r>
    </w:p>
    <w:p w14:paraId="29D01102" w14:textId="77777777" w:rsidR="00A720EB" w:rsidRDefault="00E10349">
      <w:pPr>
        <w:pStyle w:val="a3"/>
        <w:rPr>
          <w:sz w:val="19"/>
        </w:rPr>
      </w:pPr>
      <w:r>
        <w:pict w14:anchorId="4EC56463">
          <v:group id="_x0000_s1423" style="position:absolute;margin-left:47.85pt;margin-top:13.15pt;width:499.55pt;height:96.45pt;z-index:-15075840;mso-wrap-distance-left:0;mso-wrap-distance-right:0;mso-position-horizontal-relative:page" coordorigin="957,263" coordsize="9991,1929">
            <v:shape id="_x0000_s1426" style="position:absolute;left:964;top:270;width:9976;height:1914" coordorigin="965,270" coordsize="9976,1914" path="m10861,270r-9816,l1014,276r-26,18l971,319r-6,31l965,2104r6,31l988,2161r26,17l1045,2184r9816,l10892,2178r25,-17l10935,2135r6,-31l10941,350r-6,-31l10917,294r-25,-18l10861,270xe" fillcolor="#f5f5f5" stroked="f">
              <v:path arrowok="t"/>
            </v:shape>
            <v:shape id="_x0000_s1425" style="position:absolute;left:964;top:270;width:9976;height:1914" coordorigin="965,270" coordsize="9976,1914" path="m1045,270r9816,l10892,276r25,18l10935,319r6,31l10941,2104r-6,31l10917,2161r-25,17l10861,2184r-9816,l1014,2178r-26,-17l971,2135r-6,-31l965,350r6,-31l988,294r26,-18l1045,270xe" filled="f" strokecolor="#ccc">
              <v:path arrowok="t"/>
            </v:shape>
            <v:shape id="_x0000_s1424" type="#_x0000_t202" style="position:absolute;left:984;top:285;width:9938;height:1884" filled="f" stroked="f">
              <v:textbox inset="0,0,0,0">
                <w:txbxContent>
                  <w:p w14:paraId="7A14BC27" w14:textId="77777777" w:rsidR="00711A16" w:rsidRDefault="00711A16">
                    <w:pPr>
                      <w:spacing w:before="221" w:line="252" w:lineRule="auto"/>
                      <w:ind w:left="200" w:right="4328"/>
                      <w:rPr>
                        <w:rFonts w:ascii="MS Gothic"/>
                      </w:rPr>
                    </w:pPr>
                    <w:r>
                      <w:rPr>
                        <w:rFonts w:ascii="MS Gothic"/>
                        <w:color w:val="333333"/>
                      </w:rPr>
                      <w:t>@Bean @ConfigurationProperties(prefix="</w:t>
                    </w:r>
                    <w:proofErr w:type="gramStart"/>
                    <w:r>
                      <w:rPr>
                        <w:rFonts w:ascii="MS Gothic"/>
                        <w:color w:val="333333"/>
                      </w:rPr>
                      <w:t>app.datasource</w:t>
                    </w:r>
                    <w:proofErr w:type="gramEnd"/>
                    <w:r>
                      <w:rPr>
                        <w:rFonts w:ascii="MS Gothic"/>
                        <w:color w:val="333333"/>
                      </w:rPr>
                      <w:t>") public DataSource dataSource() {</w:t>
                    </w:r>
                  </w:p>
                  <w:p w14:paraId="0883232D" w14:textId="77777777" w:rsidR="00711A16" w:rsidRDefault="00711A16">
                    <w:pPr>
                      <w:spacing w:line="278" w:lineRule="exact"/>
                      <w:ind w:left="640"/>
                      <w:rPr>
                        <w:rFonts w:ascii="MS Gothic"/>
                      </w:rPr>
                    </w:pPr>
                    <w:r>
                      <w:rPr>
                        <w:rFonts w:ascii="MS Gothic"/>
                        <w:color w:val="333333"/>
                      </w:rPr>
                      <w:t xml:space="preserve">return new </w:t>
                    </w:r>
                    <w:proofErr w:type="gramStart"/>
                    <w:r>
                      <w:rPr>
                        <w:rFonts w:ascii="MS Gothic"/>
                        <w:color w:val="333333"/>
                      </w:rPr>
                      <w:t>FancyDataSource(</w:t>
                    </w:r>
                    <w:proofErr w:type="gramEnd"/>
                    <w:r>
                      <w:rPr>
                        <w:rFonts w:ascii="MS Gothic"/>
                        <w:color w:val="333333"/>
                      </w:rPr>
                      <w:t>);</w:t>
                    </w:r>
                  </w:p>
                  <w:p w14:paraId="29E92454"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2E294FF8" w14:textId="77777777" w:rsidR="00A720EB" w:rsidRDefault="00A720EB">
      <w:pPr>
        <w:pStyle w:val="a3"/>
        <w:rPr>
          <w:sz w:val="10"/>
        </w:rPr>
      </w:pPr>
    </w:p>
    <w:p w14:paraId="01EDB98F" w14:textId="77777777" w:rsidR="00A720EB" w:rsidRDefault="0030286B">
      <w:pPr>
        <w:pStyle w:val="a3"/>
        <w:spacing w:before="125"/>
        <w:ind w:left="124"/>
      </w:pPr>
      <w:r>
        <w:rPr>
          <w:color w:val="333333"/>
          <w:w w:val="110"/>
        </w:rPr>
        <w:t>The following example shows how to define a data source by setting properties:</w:t>
      </w:r>
    </w:p>
    <w:p w14:paraId="17F45BF9" w14:textId="77777777" w:rsidR="00A720EB" w:rsidRDefault="00E10349">
      <w:pPr>
        <w:pStyle w:val="a3"/>
        <w:rPr>
          <w:sz w:val="19"/>
        </w:rPr>
      </w:pPr>
      <w:r>
        <w:pict w14:anchorId="05A9108C">
          <v:group id="_x0000_s1419" style="position:absolute;margin-left:47.85pt;margin-top:13.15pt;width:499.55pt;height:67pt;z-index:-15075328;mso-wrap-distance-left:0;mso-wrap-distance-right:0;mso-position-horizontal-relative:page" coordorigin="957,263" coordsize="9991,1340">
            <v:shape id="_x0000_s1422" style="position:absolute;left:964;top:270;width:9976;height:1325" coordorigin="965,270" coordsize="9976,1325" path="m10861,270r-9816,l1014,276r-26,18l971,319r-6,31l965,1515r6,31l988,1571r26,17l1045,1595r9816,l10892,1588r25,-17l10935,1546r6,-31l10941,350r-6,-31l10917,294r-25,-18l10861,270xe" fillcolor="#f5f5f5" stroked="f">
              <v:path arrowok="t"/>
            </v:shape>
            <v:shape id="_x0000_s1421" style="position:absolute;left:964;top:270;width:9976;height:1325" coordorigin="965,270" coordsize="9976,1325" path="m1045,270r9816,l10892,276r25,18l10935,319r6,31l10941,1515r-6,31l10917,1571r-25,17l10861,1595r-9816,l1014,1588r-26,-17l971,1546r-6,-31l965,350r6,-31l988,294r26,-18l1045,270xe" filled="f" strokecolor="#ccc">
              <v:path arrowok="t"/>
            </v:shape>
            <v:shape id="_x0000_s1420" type="#_x0000_t202" style="position:absolute;left:984;top:285;width:9938;height:1294" filled="f" stroked="f">
              <v:textbox inset="0,0,0,0">
                <w:txbxContent>
                  <w:p w14:paraId="1CF5901B" w14:textId="77777777" w:rsidR="00711A16" w:rsidRDefault="00711A16">
                    <w:pPr>
                      <w:spacing w:before="221" w:line="252" w:lineRule="auto"/>
                      <w:ind w:left="200" w:right="5884"/>
                      <w:rPr>
                        <w:rFonts w:ascii="MS Gothic"/>
                      </w:rPr>
                    </w:pPr>
                    <w:r>
                      <w:rPr>
                        <w:rFonts w:ascii="MS Gothic"/>
                        <w:color w:val="333333"/>
                      </w:rPr>
                      <w:t>app.datasource.url=jdbc:h</w:t>
                    </w:r>
                    <w:proofErr w:type="gramStart"/>
                    <w:r>
                      <w:rPr>
                        <w:rFonts w:ascii="MS Gothic"/>
                        <w:color w:val="333333"/>
                      </w:rPr>
                      <w:t>2:mem</w:t>
                    </w:r>
                    <w:proofErr w:type="gramEnd"/>
                    <w:r>
                      <w:rPr>
                        <w:rFonts w:ascii="MS Gothic"/>
                        <w:color w:val="333333"/>
                      </w:rPr>
                      <w:t>:mydb app.datasource.username=sa app.datasource.pool-size=30</w:t>
                    </w:r>
                  </w:p>
                </w:txbxContent>
              </v:textbox>
            </v:shape>
            <w10:wrap type="topAndBottom" anchorx="page"/>
          </v:group>
        </w:pict>
      </w:r>
    </w:p>
    <w:p w14:paraId="14791BB4" w14:textId="77777777" w:rsidR="00A720EB" w:rsidRDefault="00A720EB">
      <w:pPr>
        <w:pStyle w:val="a3"/>
        <w:spacing w:before="11"/>
        <w:rPr>
          <w:sz w:val="9"/>
        </w:rPr>
      </w:pPr>
    </w:p>
    <w:p w14:paraId="0528945F" w14:textId="77777777" w:rsidR="00A720EB" w:rsidRDefault="0030286B">
      <w:pPr>
        <w:pStyle w:val="a3"/>
        <w:spacing w:before="115" w:line="290" w:lineRule="auto"/>
        <w:ind w:left="124" w:right="127"/>
        <w:jc w:val="both"/>
      </w:pPr>
      <w:r>
        <w:rPr>
          <w:color w:val="333333"/>
          <w:w w:val="110"/>
        </w:rPr>
        <w:t xml:space="preserve">Assuming that your </w:t>
      </w:r>
      <w:r>
        <w:rPr>
          <w:rFonts w:ascii="MS Gothic"/>
          <w:color w:val="B02045"/>
          <w:w w:val="110"/>
        </w:rPr>
        <w:t xml:space="preserve">FancyDataSource </w:t>
      </w:r>
      <w:r>
        <w:rPr>
          <w:color w:val="333333"/>
          <w:w w:val="110"/>
        </w:rPr>
        <w:t xml:space="preserve">has regular JavaBean properties for the URL, the username, and the pool size, these settings are bound automatically before the </w:t>
      </w:r>
      <w:r>
        <w:rPr>
          <w:rFonts w:ascii="MS Gothic"/>
          <w:color w:val="B02045"/>
          <w:w w:val="110"/>
        </w:rPr>
        <w:t xml:space="preserve">DataSource </w:t>
      </w:r>
      <w:r>
        <w:rPr>
          <w:color w:val="333333"/>
          <w:w w:val="110"/>
        </w:rPr>
        <w:t xml:space="preserve">is made available to other components. The regular </w:t>
      </w:r>
      <w:hyperlink w:anchor="_bookmark609" w:history="1">
        <w:r>
          <w:rPr>
            <w:color w:val="418BCA"/>
            <w:w w:val="110"/>
          </w:rPr>
          <w:t>database initialization</w:t>
        </w:r>
      </w:hyperlink>
      <w:r>
        <w:rPr>
          <w:color w:val="418BCA"/>
          <w:w w:val="110"/>
        </w:rPr>
        <w:t xml:space="preserve"> </w:t>
      </w:r>
      <w:r>
        <w:rPr>
          <w:color w:val="333333"/>
          <w:w w:val="110"/>
        </w:rPr>
        <w:t xml:space="preserve">also happens (so the relevant sub-set of </w:t>
      </w:r>
      <w:proofErr w:type="gramStart"/>
      <w:r>
        <w:rPr>
          <w:rFonts w:ascii="MS Gothic"/>
          <w:color w:val="B02045"/>
          <w:w w:val="110"/>
        </w:rPr>
        <w:t>spring.datasource</w:t>
      </w:r>
      <w:proofErr w:type="gramEnd"/>
      <w:r>
        <w:rPr>
          <w:rFonts w:ascii="MS Gothic"/>
          <w:color w:val="B02045"/>
          <w:w w:val="110"/>
        </w:rPr>
        <w:t>.*</w:t>
      </w:r>
      <w:r>
        <w:rPr>
          <w:rFonts w:ascii="MS Gothic"/>
          <w:color w:val="B02045"/>
          <w:spacing w:val="-65"/>
          <w:w w:val="110"/>
        </w:rPr>
        <w:t xml:space="preserve"> </w:t>
      </w:r>
      <w:r>
        <w:rPr>
          <w:color w:val="333333"/>
          <w:w w:val="110"/>
        </w:rPr>
        <w:t>can still be used with your custom configuration).</w:t>
      </w:r>
    </w:p>
    <w:p w14:paraId="00D0BB09" w14:textId="77777777" w:rsidR="00A720EB" w:rsidRDefault="0030286B">
      <w:pPr>
        <w:pStyle w:val="a3"/>
        <w:spacing w:before="228" w:line="300" w:lineRule="auto"/>
        <w:ind w:left="124" w:right="123"/>
        <w:jc w:val="both"/>
      </w:pPr>
      <w:r>
        <w:rPr>
          <w:color w:val="333333"/>
          <w:w w:val="110"/>
        </w:rPr>
        <w:t xml:space="preserve">Spring Boot also provides a utility builder class, called </w:t>
      </w:r>
      <w:r>
        <w:rPr>
          <w:rFonts w:ascii="MS Gothic" w:hAnsi="MS Gothic"/>
          <w:color w:val="B02045"/>
          <w:w w:val="110"/>
        </w:rPr>
        <w:t>DataSourceBuilder</w:t>
      </w:r>
      <w:r>
        <w:rPr>
          <w:color w:val="333333"/>
          <w:w w:val="110"/>
        </w:rPr>
        <w:t>, that can be used to create one of the standard data sources (if it is on the classpath). The builder can detect the one to use</w:t>
      </w:r>
      <w:r>
        <w:rPr>
          <w:color w:val="333333"/>
          <w:spacing w:val="50"/>
          <w:w w:val="110"/>
        </w:rPr>
        <w:t xml:space="preserve"> </w:t>
      </w:r>
      <w:r>
        <w:rPr>
          <w:color w:val="333333"/>
          <w:w w:val="110"/>
        </w:rPr>
        <w:t>based on what’s available on the classpath. It also auto-detects the driver based on the JDBC</w:t>
      </w:r>
      <w:r>
        <w:rPr>
          <w:color w:val="333333"/>
          <w:spacing w:val="5"/>
          <w:w w:val="110"/>
        </w:rPr>
        <w:t xml:space="preserve"> </w:t>
      </w:r>
      <w:r>
        <w:rPr>
          <w:color w:val="333333"/>
          <w:w w:val="110"/>
        </w:rPr>
        <w:t>URL.</w:t>
      </w:r>
    </w:p>
    <w:p w14:paraId="62A3F66C" w14:textId="77777777" w:rsidR="00A720EB" w:rsidRDefault="0030286B">
      <w:pPr>
        <w:pStyle w:val="a3"/>
        <w:spacing w:before="235"/>
        <w:ind w:left="124"/>
        <w:jc w:val="both"/>
      </w:pPr>
      <w:r>
        <w:rPr>
          <w:color w:val="333333"/>
          <w:w w:val="110"/>
        </w:rPr>
        <w:t xml:space="preserve">The following example shows how to create a data source by using a </w:t>
      </w:r>
      <w:r>
        <w:rPr>
          <w:rFonts w:ascii="MS Gothic"/>
          <w:color w:val="B02045"/>
          <w:w w:val="110"/>
        </w:rPr>
        <w:t>DataSourceBuilder</w:t>
      </w:r>
      <w:r>
        <w:rPr>
          <w:color w:val="333333"/>
          <w:w w:val="110"/>
        </w:rPr>
        <w:t>:</w:t>
      </w:r>
    </w:p>
    <w:p w14:paraId="4731893E" w14:textId="77777777" w:rsidR="00A720EB" w:rsidRDefault="00E10349">
      <w:pPr>
        <w:pStyle w:val="a3"/>
        <w:spacing w:before="11"/>
        <w:rPr>
          <w:sz w:val="17"/>
        </w:rPr>
      </w:pPr>
      <w:r>
        <w:pict w14:anchorId="41EC7186">
          <v:group id="_x0000_s1415" style="position:absolute;margin-left:47.85pt;margin-top:12.5pt;width:499.55pt;height:96.45pt;z-index:-15074816;mso-wrap-distance-left:0;mso-wrap-distance-right:0;mso-position-horizontal-relative:page" coordorigin="957,250" coordsize="9991,1929">
            <v:shape id="_x0000_s1418" style="position:absolute;left:964;top:257;width:9976;height:1914" coordorigin="965,258" coordsize="9976,1914" path="m10861,258r-9816,l1014,264r-26,17l971,307r-6,31l965,2092r6,31l988,2148r26,18l1045,2172r9816,l10892,2166r25,-18l10935,2123r6,-31l10941,338r-6,-31l10917,281r-25,-17l10861,258xe" fillcolor="#f5f5f5" stroked="f">
              <v:path arrowok="t"/>
            </v:shape>
            <v:shape id="_x0000_s1417" style="position:absolute;left:964;top:257;width:9976;height:1914" coordorigin="965,258" coordsize="9976,1914" path="m1045,258r9816,l10892,264r25,17l10935,307r6,31l10941,2092r-6,31l10917,2148r-25,18l10861,2172r-9816,l1014,2166r-26,-18l971,2123r-6,-31l965,338r6,-31l988,281r26,-17l1045,258xe" filled="f" strokecolor="#ccc">
              <v:path arrowok="t"/>
            </v:shape>
            <v:shape id="_x0000_s1416" type="#_x0000_t202" style="position:absolute;left:984;top:273;width:9938;height:1884" filled="f" stroked="f">
              <v:textbox inset="0,0,0,0">
                <w:txbxContent>
                  <w:p w14:paraId="654BEDB0" w14:textId="77777777" w:rsidR="00711A16" w:rsidRDefault="00711A16">
                    <w:pPr>
                      <w:spacing w:before="221" w:line="252" w:lineRule="auto"/>
                      <w:ind w:left="200" w:right="5098"/>
                      <w:rPr>
                        <w:rFonts w:ascii="MS Gothic"/>
                      </w:rPr>
                    </w:pPr>
                    <w:r>
                      <w:rPr>
                        <w:rFonts w:ascii="MS Gothic"/>
                        <w:color w:val="333333"/>
                      </w:rPr>
                      <w:t>@Bean @ConfigurationProperties("</w:t>
                    </w:r>
                    <w:proofErr w:type="gramStart"/>
                    <w:r>
                      <w:rPr>
                        <w:rFonts w:ascii="MS Gothic"/>
                        <w:color w:val="333333"/>
                      </w:rPr>
                      <w:t>app.datasource</w:t>
                    </w:r>
                    <w:proofErr w:type="gramEnd"/>
                    <w:r>
                      <w:rPr>
                        <w:rFonts w:ascii="MS Gothic"/>
                        <w:color w:val="333333"/>
                      </w:rPr>
                      <w:t>") public DataSource dataSource() {</w:t>
                    </w:r>
                  </w:p>
                  <w:p w14:paraId="2CEA6FDA" w14:textId="77777777" w:rsidR="00711A16" w:rsidRDefault="00711A16">
                    <w:pPr>
                      <w:spacing w:line="278" w:lineRule="exact"/>
                      <w:ind w:left="640"/>
                      <w:rPr>
                        <w:rFonts w:ascii="MS Gothic"/>
                      </w:rPr>
                    </w:pPr>
                    <w:r>
                      <w:rPr>
                        <w:rFonts w:ascii="MS Gothic"/>
                        <w:color w:val="333333"/>
                      </w:rPr>
                      <w:t>return DataSourceBuilder.create(</w:t>
                    </w:r>
                    <w:proofErr w:type="gramStart"/>
                    <w:r>
                      <w:rPr>
                        <w:rFonts w:ascii="MS Gothic"/>
                        <w:color w:val="333333"/>
                      </w:rPr>
                      <w:t>).build</w:t>
                    </w:r>
                    <w:proofErr w:type="gramEnd"/>
                    <w:r>
                      <w:rPr>
                        <w:rFonts w:ascii="MS Gothic"/>
                        <w:color w:val="333333"/>
                      </w:rPr>
                      <w:t>();</w:t>
                    </w:r>
                  </w:p>
                  <w:p w14:paraId="38D1BBCA"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526AE611" w14:textId="77777777" w:rsidR="00A720EB" w:rsidRDefault="00A720EB">
      <w:pPr>
        <w:pStyle w:val="a3"/>
        <w:spacing w:before="11"/>
        <w:rPr>
          <w:sz w:val="9"/>
        </w:rPr>
      </w:pPr>
    </w:p>
    <w:p w14:paraId="6A08EC25" w14:textId="77777777" w:rsidR="00A720EB" w:rsidRDefault="0030286B">
      <w:pPr>
        <w:pStyle w:val="a3"/>
        <w:spacing w:before="115" w:line="300" w:lineRule="auto"/>
        <w:ind w:left="124" w:right="127"/>
        <w:jc w:val="both"/>
      </w:pPr>
      <w:r>
        <w:rPr>
          <w:color w:val="333333"/>
          <w:spacing w:val="-4"/>
          <w:w w:val="110"/>
        </w:rPr>
        <w:t xml:space="preserve">To </w:t>
      </w:r>
      <w:r>
        <w:rPr>
          <w:color w:val="333333"/>
          <w:w w:val="110"/>
        </w:rPr>
        <w:t xml:space="preserve">run an app with that </w:t>
      </w:r>
      <w:r>
        <w:rPr>
          <w:rFonts w:ascii="MS Gothic"/>
          <w:color w:val="B02045"/>
          <w:w w:val="110"/>
        </w:rPr>
        <w:t>DataSource</w:t>
      </w:r>
      <w:r>
        <w:rPr>
          <w:color w:val="333333"/>
          <w:w w:val="110"/>
        </w:rPr>
        <w:t>, all you need is the connection information. Pool-</w:t>
      </w:r>
      <w:proofErr w:type="gramStart"/>
      <w:r>
        <w:rPr>
          <w:color w:val="333333"/>
          <w:w w:val="110"/>
        </w:rPr>
        <w:t>specific  settings</w:t>
      </w:r>
      <w:proofErr w:type="gramEnd"/>
      <w:r>
        <w:rPr>
          <w:color w:val="333333"/>
          <w:w w:val="110"/>
        </w:rPr>
        <w:t xml:space="preserve"> can also be provided. Check the implementation that is going to be used at runtime for  </w:t>
      </w:r>
      <w:r>
        <w:rPr>
          <w:color w:val="333333"/>
          <w:spacing w:val="50"/>
          <w:w w:val="110"/>
        </w:rPr>
        <w:t xml:space="preserve"> </w:t>
      </w:r>
      <w:r>
        <w:rPr>
          <w:color w:val="333333"/>
          <w:w w:val="110"/>
        </w:rPr>
        <w:t>more</w:t>
      </w:r>
      <w:r>
        <w:rPr>
          <w:color w:val="333333"/>
          <w:spacing w:val="2"/>
          <w:w w:val="110"/>
        </w:rPr>
        <w:t xml:space="preserve"> </w:t>
      </w:r>
      <w:r>
        <w:rPr>
          <w:color w:val="333333"/>
          <w:w w:val="110"/>
        </w:rPr>
        <w:t>details.</w:t>
      </w:r>
    </w:p>
    <w:p w14:paraId="73583CB4" w14:textId="77777777" w:rsidR="00A720EB" w:rsidRDefault="0030286B">
      <w:pPr>
        <w:pStyle w:val="a3"/>
        <w:spacing w:before="246"/>
        <w:ind w:left="124"/>
        <w:jc w:val="both"/>
      </w:pPr>
      <w:r>
        <w:rPr>
          <w:color w:val="333333"/>
          <w:w w:val="110"/>
        </w:rPr>
        <w:t>The following example shows how to define a JDBC data source by setting properties:</w:t>
      </w:r>
    </w:p>
    <w:p w14:paraId="1B1DA97F" w14:textId="77777777" w:rsidR="00A720EB" w:rsidRDefault="00E10349">
      <w:pPr>
        <w:pStyle w:val="a3"/>
        <w:rPr>
          <w:sz w:val="19"/>
        </w:rPr>
      </w:pPr>
      <w:r>
        <w:pict w14:anchorId="26CBF108">
          <v:group id="_x0000_s1411" style="position:absolute;margin-left:47.85pt;margin-top:13.1pt;width:499.55pt;height:81.75pt;z-index:-15074304;mso-wrap-distance-left:0;mso-wrap-distance-right:0;mso-position-horizontal-relative:page" coordorigin="957,262" coordsize="9991,1635">
            <v:shape id="_x0000_s1414" style="position:absolute;left:964;top:269;width:9976;height:1620" coordorigin="965,270" coordsize="9976,1620" path="m10861,270r-9816,l1014,276r-26,17l971,319r-6,31l965,1809r6,31l988,1866r26,17l1045,1889r9816,l10892,1883r25,-17l10935,1840r6,-31l10941,350r-6,-31l10917,293r-25,-17l10861,270xe" fillcolor="#f5f5f5" stroked="f">
              <v:path arrowok="t"/>
            </v:shape>
            <v:shape id="_x0000_s1413" style="position:absolute;left:964;top:269;width:9976;height:1620" coordorigin="965,270" coordsize="9976,1620" path="m1045,270r9816,l10892,276r25,17l10935,319r6,31l10941,1809r-6,31l10917,1866r-25,17l10861,1889r-9816,l1014,1883r-26,-17l971,1840r-6,-31l965,350r6,-31l988,293r26,-17l1045,270xe" filled="f" strokecolor="#ccc">
              <v:path arrowok="t"/>
            </v:shape>
            <v:shape id="_x0000_s1412" type="#_x0000_t202" style="position:absolute;left:984;top:285;width:9938;height:1589" filled="f" stroked="f">
              <v:textbox inset="0,0,0,0">
                <w:txbxContent>
                  <w:p w14:paraId="551AE029" w14:textId="77777777" w:rsidR="00711A16" w:rsidRDefault="00711A16">
                    <w:pPr>
                      <w:spacing w:before="221" w:line="252" w:lineRule="auto"/>
                      <w:ind w:left="200" w:right="4674"/>
                      <w:rPr>
                        <w:rFonts w:ascii="MS Gothic"/>
                      </w:rPr>
                    </w:pPr>
                    <w:r>
                      <w:rPr>
                        <w:rFonts w:ascii="MS Gothic"/>
                        <w:color w:val="333333"/>
                      </w:rPr>
                      <w:t>app.datasource.url=</w:t>
                    </w:r>
                    <w:proofErr w:type="gramStart"/>
                    <w:r>
                      <w:rPr>
                        <w:rFonts w:ascii="MS Gothic"/>
                        <w:color w:val="333333"/>
                      </w:rPr>
                      <w:t>jdbc:mysql://localhost/test</w:t>
                    </w:r>
                    <w:proofErr w:type="gramEnd"/>
                    <w:r>
                      <w:rPr>
                        <w:rFonts w:ascii="MS Gothic"/>
                        <w:color w:val="333333"/>
                      </w:rPr>
                      <w:t xml:space="preserve"> app.datasource.username=dbuser app.datasource.password=dbpass app.datasource.pool-size=30</w:t>
                    </w:r>
                  </w:p>
                </w:txbxContent>
              </v:textbox>
            </v:shape>
            <w10:wrap type="topAndBottom" anchorx="page"/>
          </v:group>
        </w:pict>
      </w:r>
    </w:p>
    <w:p w14:paraId="5BFC3A63" w14:textId="77777777" w:rsidR="00A720EB" w:rsidRDefault="00A720EB">
      <w:pPr>
        <w:rPr>
          <w:sz w:val="19"/>
        </w:rPr>
        <w:sectPr w:rsidR="00A720EB">
          <w:pgSz w:w="11910" w:h="16840"/>
          <w:pgMar w:top="620" w:right="840" w:bottom="520" w:left="840" w:header="0" w:footer="323" w:gutter="0"/>
          <w:cols w:space="720"/>
        </w:sectPr>
      </w:pPr>
    </w:p>
    <w:p w14:paraId="7658CC37" w14:textId="77777777" w:rsidR="00A720EB" w:rsidRDefault="0030286B">
      <w:pPr>
        <w:pStyle w:val="a3"/>
        <w:spacing w:before="107" w:line="285" w:lineRule="auto"/>
        <w:ind w:left="124" w:right="126"/>
        <w:jc w:val="both"/>
      </w:pPr>
      <w:r>
        <w:rPr>
          <w:color w:val="333333"/>
          <w:w w:val="110"/>
        </w:rPr>
        <w:lastRenderedPageBreak/>
        <w:t xml:space="preserve">However, there is a catch. Because the actual type of the connection pool is not exposed, no keys are generated in the metadata for your custom </w:t>
      </w:r>
      <w:r>
        <w:rPr>
          <w:rFonts w:ascii="MS Gothic"/>
          <w:color w:val="B02045"/>
          <w:w w:val="110"/>
        </w:rPr>
        <w:t xml:space="preserve">DataSource </w:t>
      </w:r>
      <w:r>
        <w:rPr>
          <w:color w:val="333333"/>
          <w:w w:val="110"/>
        </w:rPr>
        <w:t xml:space="preserve">and no completion is available in your IDE (because the </w:t>
      </w:r>
      <w:r>
        <w:rPr>
          <w:rFonts w:ascii="MS Gothic"/>
          <w:color w:val="B02045"/>
          <w:w w:val="110"/>
        </w:rPr>
        <w:t xml:space="preserve">DataSource </w:t>
      </w:r>
      <w:r>
        <w:rPr>
          <w:color w:val="333333"/>
          <w:w w:val="110"/>
        </w:rPr>
        <w:t xml:space="preserve">interface exposes no properties). Also, if you happen to have Hikari on the classpath, this basic setup does not work, because Hikari has no </w:t>
      </w:r>
      <w:r>
        <w:rPr>
          <w:rFonts w:ascii="MS Gothic"/>
          <w:color w:val="B02045"/>
          <w:w w:val="110"/>
        </w:rPr>
        <w:t xml:space="preserve">url </w:t>
      </w:r>
      <w:r>
        <w:rPr>
          <w:color w:val="333333"/>
          <w:w w:val="110"/>
        </w:rPr>
        <w:t xml:space="preserve">property (but does have a </w:t>
      </w:r>
      <w:r>
        <w:rPr>
          <w:rFonts w:ascii="MS Gothic"/>
          <w:color w:val="B02045"/>
          <w:w w:val="110"/>
        </w:rPr>
        <w:t xml:space="preserve">jdbcUrl </w:t>
      </w:r>
      <w:r>
        <w:rPr>
          <w:color w:val="333333"/>
          <w:w w:val="110"/>
        </w:rPr>
        <w:t>property). In that case, you must rewrite your configuration as follows:</w:t>
      </w:r>
    </w:p>
    <w:p w14:paraId="479F5B88" w14:textId="77777777" w:rsidR="00A720EB" w:rsidRDefault="00E10349">
      <w:pPr>
        <w:pStyle w:val="a3"/>
        <w:spacing w:before="5"/>
        <w:rPr>
          <w:sz w:val="13"/>
        </w:rPr>
      </w:pPr>
      <w:r>
        <w:pict w14:anchorId="78EA8117">
          <v:group id="_x0000_s1407" style="position:absolute;margin-left:47.85pt;margin-top:9.85pt;width:499.55pt;height:81.75pt;z-index:-15073792;mso-wrap-distance-left:0;mso-wrap-distance-right:0;mso-position-horizontal-relative:page" coordorigin="957,197" coordsize="9991,1635">
            <v:shape id="_x0000_s1410" style="position:absolute;left:964;top:204;width:9976;height:1620" coordorigin="965,204" coordsize="9976,1620" path="m10861,204r-9816,l1014,211r-26,17l971,253r-6,31l965,1744r6,31l988,1800r26,17l1045,1824r9816,l10892,1817r25,-17l10935,1775r6,-31l10941,284r-6,-31l10917,228r-25,-17l10861,204xe" fillcolor="#f5f5f5" stroked="f">
              <v:path arrowok="t"/>
            </v:shape>
            <v:shape id="_x0000_s1409" style="position:absolute;left:964;top:204;width:9976;height:1620" coordorigin="965,204" coordsize="9976,1620" path="m1045,204r9816,l10892,211r25,17l10935,253r6,31l10941,1744r-6,31l10917,1800r-25,17l10861,1824r-9816,l1014,1817r-26,-17l971,1775r-6,-31l965,284r6,-31l988,228r26,-17l1045,204xe" filled="f" strokecolor="#ccc">
              <v:path arrowok="t"/>
            </v:shape>
            <v:shape id="_x0000_s1408" type="#_x0000_t202" style="position:absolute;left:984;top:219;width:9938;height:1589" filled="f" stroked="f">
              <v:textbox inset="0,0,0,0">
                <w:txbxContent>
                  <w:p w14:paraId="0C5422F0" w14:textId="77777777" w:rsidR="00711A16" w:rsidRDefault="00711A16">
                    <w:pPr>
                      <w:spacing w:before="221" w:line="252" w:lineRule="auto"/>
                      <w:ind w:left="200" w:right="4124"/>
                      <w:rPr>
                        <w:rFonts w:ascii="MS Gothic"/>
                      </w:rPr>
                    </w:pPr>
                    <w:proofErr w:type="gramStart"/>
                    <w:r>
                      <w:rPr>
                        <w:rFonts w:ascii="MS Gothic"/>
                        <w:color w:val="333333"/>
                      </w:rPr>
                      <w:t>app.datasource</w:t>
                    </w:r>
                    <w:proofErr w:type="gramEnd"/>
                    <w:r>
                      <w:rPr>
                        <w:rFonts w:ascii="MS Gothic"/>
                        <w:color w:val="333333"/>
                      </w:rPr>
                      <w:t>.jdbc-url=jdbc:mysql://localhost/test app.datasource.username=dbuser app.datasource.password=dbpass app.datasource.maximum-pool-size=30</w:t>
                    </w:r>
                  </w:p>
                </w:txbxContent>
              </v:textbox>
            </v:shape>
            <w10:wrap type="topAndBottom" anchorx="page"/>
          </v:group>
        </w:pict>
      </w:r>
    </w:p>
    <w:p w14:paraId="47874C7E" w14:textId="77777777" w:rsidR="00A720EB" w:rsidRDefault="00A720EB">
      <w:pPr>
        <w:pStyle w:val="a3"/>
        <w:rPr>
          <w:sz w:val="10"/>
        </w:rPr>
      </w:pPr>
    </w:p>
    <w:p w14:paraId="2C8E60AE" w14:textId="77777777" w:rsidR="00A720EB" w:rsidRDefault="0030286B">
      <w:pPr>
        <w:pStyle w:val="a3"/>
        <w:spacing w:before="125" w:line="295" w:lineRule="auto"/>
        <w:ind w:left="124" w:right="127"/>
        <w:jc w:val="both"/>
      </w:pPr>
      <w:r>
        <w:rPr>
          <w:color w:val="333333"/>
          <w:spacing w:val="-6"/>
          <w:w w:val="110"/>
        </w:rPr>
        <w:t xml:space="preserve">You </w:t>
      </w:r>
      <w:r>
        <w:rPr>
          <w:color w:val="333333"/>
          <w:w w:val="110"/>
        </w:rPr>
        <w:t xml:space="preserve">can fix that </w:t>
      </w:r>
      <w:r>
        <w:rPr>
          <w:color w:val="333333"/>
          <w:spacing w:val="-3"/>
          <w:w w:val="110"/>
        </w:rPr>
        <w:t xml:space="preserve">by </w:t>
      </w:r>
      <w:r>
        <w:rPr>
          <w:color w:val="333333"/>
          <w:w w:val="110"/>
        </w:rPr>
        <w:t xml:space="preserve">forcing the connection pool to use </w:t>
      </w:r>
      <w:proofErr w:type="gramStart"/>
      <w:r>
        <w:rPr>
          <w:color w:val="333333"/>
          <w:w w:val="110"/>
        </w:rPr>
        <w:t>and  return</w:t>
      </w:r>
      <w:proofErr w:type="gramEnd"/>
      <w:r>
        <w:rPr>
          <w:color w:val="333333"/>
          <w:w w:val="110"/>
        </w:rPr>
        <w:t xml:space="preserve">  a  dedicated  implementation  rather than </w:t>
      </w:r>
      <w:r>
        <w:rPr>
          <w:rFonts w:ascii="MS Gothic"/>
          <w:color w:val="B02045"/>
          <w:w w:val="110"/>
        </w:rPr>
        <w:t>DataSource</w:t>
      </w:r>
      <w:r>
        <w:rPr>
          <w:color w:val="333333"/>
          <w:w w:val="110"/>
        </w:rPr>
        <w:t xml:space="preserve">. </w:t>
      </w:r>
      <w:r>
        <w:rPr>
          <w:color w:val="333333"/>
          <w:spacing w:val="-6"/>
          <w:w w:val="110"/>
        </w:rPr>
        <w:t xml:space="preserve">You </w:t>
      </w:r>
      <w:r>
        <w:rPr>
          <w:color w:val="333333"/>
          <w:w w:val="110"/>
        </w:rPr>
        <w:t xml:space="preserve">cannot change the implementation at runtime, but the list of </w:t>
      </w:r>
      <w:proofErr w:type="gramStart"/>
      <w:r>
        <w:rPr>
          <w:color w:val="333333"/>
          <w:w w:val="110"/>
        </w:rPr>
        <w:t>options  will</w:t>
      </w:r>
      <w:proofErr w:type="gramEnd"/>
      <w:r>
        <w:rPr>
          <w:color w:val="333333"/>
          <w:w w:val="110"/>
        </w:rPr>
        <w:t xml:space="preserve"> be</w:t>
      </w:r>
      <w:r>
        <w:rPr>
          <w:color w:val="333333"/>
          <w:spacing w:val="5"/>
          <w:w w:val="110"/>
        </w:rPr>
        <w:t xml:space="preserve"> </w:t>
      </w:r>
      <w:r>
        <w:rPr>
          <w:color w:val="333333"/>
          <w:w w:val="110"/>
        </w:rPr>
        <w:t>explicit.</w:t>
      </w:r>
    </w:p>
    <w:p w14:paraId="6D1FC40E" w14:textId="77777777" w:rsidR="00A720EB" w:rsidRDefault="0030286B">
      <w:pPr>
        <w:pStyle w:val="a3"/>
        <w:spacing w:before="240"/>
        <w:ind w:left="124"/>
        <w:jc w:val="both"/>
      </w:pPr>
      <w:r>
        <w:rPr>
          <w:color w:val="333333"/>
          <w:w w:val="110"/>
        </w:rPr>
        <w:t xml:space="preserve">The following example shows how create a </w:t>
      </w:r>
      <w:r>
        <w:rPr>
          <w:rFonts w:ascii="MS Gothic"/>
          <w:color w:val="B02045"/>
          <w:w w:val="110"/>
        </w:rPr>
        <w:t>HikariDataSource</w:t>
      </w:r>
      <w:r>
        <w:rPr>
          <w:rFonts w:ascii="MS Gothic"/>
          <w:color w:val="B02045"/>
          <w:spacing w:val="-69"/>
          <w:w w:val="110"/>
        </w:rPr>
        <w:t xml:space="preserve"> </w:t>
      </w:r>
      <w:r>
        <w:rPr>
          <w:color w:val="333333"/>
          <w:w w:val="110"/>
        </w:rPr>
        <w:t xml:space="preserve">with </w:t>
      </w:r>
      <w:r>
        <w:rPr>
          <w:rFonts w:ascii="MS Gothic"/>
          <w:color w:val="B02045"/>
          <w:w w:val="110"/>
        </w:rPr>
        <w:t>DataSourceBuilder</w:t>
      </w:r>
      <w:r>
        <w:rPr>
          <w:color w:val="333333"/>
          <w:w w:val="110"/>
        </w:rPr>
        <w:t>:</w:t>
      </w:r>
    </w:p>
    <w:p w14:paraId="76B14CE9" w14:textId="77777777" w:rsidR="00A720EB" w:rsidRDefault="00E10349">
      <w:pPr>
        <w:pStyle w:val="a3"/>
        <w:spacing w:before="11"/>
        <w:rPr>
          <w:sz w:val="17"/>
        </w:rPr>
      </w:pPr>
      <w:r>
        <w:pict w14:anchorId="5767509B">
          <v:group id="_x0000_s1403" style="position:absolute;margin-left:47.85pt;margin-top:12.5pt;width:499.55pt;height:96.45pt;z-index:-15073280;mso-wrap-distance-left:0;mso-wrap-distance-right:0;mso-position-horizontal-relative:page" coordorigin="957,250" coordsize="9991,1929">
            <v:shape id="_x0000_s1406" style="position:absolute;left:964;top:257;width:9976;height:1914" coordorigin="965,258" coordsize="9976,1914" path="m10861,258r-9816,l1014,264r-26,17l971,306r-6,32l965,2092r6,31l988,2148r26,17l1045,2172r9816,l10892,2165r25,-17l10935,2123r6,-31l10941,338r-6,-32l10917,281r-25,-17l10861,258xe" fillcolor="#f5f5f5" stroked="f">
              <v:path arrowok="t"/>
            </v:shape>
            <v:shape id="_x0000_s1405" style="position:absolute;left:964;top:257;width:9976;height:1914" coordorigin="965,258" coordsize="9976,1914" path="m1045,258r9816,l10892,264r25,17l10935,306r6,32l10941,2092r-6,31l10917,2148r-25,17l10861,2172r-9816,l1014,2165r-26,-17l971,2123r-6,-31l965,338r6,-32l988,281r26,-17l1045,258xe" filled="f" strokecolor="#ccc">
              <v:path arrowok="t"/>
            </v:shape>
            <v:shape id="_x0000_s1404" type="#_x0000_t202" style="position:absolute;left:984;top:272;width:9938;height:1884" filled="f" stroked="f">
              <v:textbox inset="0,0,0,0">
                <w:txbxContent>
                  <w:p w14:paraId="5EF68DE3" w14:textId="77777777" w:rsidR="00711A16" w:rsidRDefault="00711A16">
                    <w:pPr>
                      <w:spacing w:before="221" w:line="252" w:lineRule="auto"/>
                      <w:ind w:left="200" w:right="5098"/>
                      <w:rPr>
                        <w:rFonts w:ascii="MS Gothic"/>
                      </w:rPr>
                    </w:pPr>
                    <w:r>
                      <w:rPr>
                        <w:rFonts w:ascii="MS Gothic"/>
                        <w:color w:val="333333"/>
                      </w:rPr>
                      <w:t>@Bean @ConfigurationProperties("</w:t>
                    </w:r>
                    <w:proofErr w:type="gramStart"/>
                    <w:r>
                      <w:rPr>
                        <w:rFonts w:ascii="MS Gothic"/>
                        <w:color w:val="333333"/>
                      </w:rPr>
                      <w:t>app.datasource</w:t>
                    </w:r>
                    <w:proofErr w:type="gramEnd"/>
                    <w:r>
                      <w:rPr>
                        <w:rFonts w:ascii="MS Gothic"/>
                        <w:color w:val="333333"/>
                      </w:rPr>
                      <w:t>") public HikariDataSource dataSource() {</w:t>
                    </w:r>
                  </w:p>
                  <w:p w14:paraId="33AE2175" w14:textId="77777777" w:rsidR="00711A16" w:rsidRDefault="00711A16">
                    <w:pPr>
                      <w:spacing w:line="278" w:lineRule="exact"/>
                      <w:ind w:left="640"/>
                      <w:rPr>
                        <w:rFonts w:ascii="MS Gothic"/>
                      </w:rPr>
                    </w:pPr>
                    <w:r>
                      <w:rPr>
                        <w:rFonts w:ascii="MS Gothic"/>
                        <w:color w:val="333333"/>
                      </w:rPr>
                      <w:t>return DataSourceBuilder.create(</w:t>
                    </w:r>
                    <w:proofErr w:type="gramStart"/>
                    <w:r>
                      <w:rPr>
                        <w:rFonts w:ascii="MS Gothic"/>
                        <w:color w:val="333333"/>
                      </w:rPr>
                      <w:t>).type</w:t>
                    </w:r>
                    <w:proofErr w:type="gramEnd"/>
                    <w:r>
                      <w:rPr>
                        <w:rFonts w:ascii="MS Gothic"/>
                        <w:color w:val="333333"/>
                      </w:rPr>
                      <w:t>(HikariDataSource.class).build();</w:t>
                    </w:r>
                  </w:p>
                  <w:p w14:paraId="3A465B86"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0AE0825B" w14:textId="77777777" w:rsidR="00A720EB" w:rsidRDefault="00A720EB">
      <w:pPr>
        <w:pStyle w:val="a3"/>
        <w:spacing w:before="11"/>
        <w:rPr>
          <w:sz w:val="9"/>
        </w:rPr>
      </w:pPr>
    </w:p>
    <w:p w14:paraId="61F58C56" w14:textId="77777777" w:rsidR="00A720EB" w:rsidRDefault="0030286B">
      <w:pPr>
        <w:pStyle w:val="a3"/>
        <w:spacing w:before="115" w:line="290" w:lineRule="auto"/>
        <w:ind w:left="124" w:right="122"/>
        <w:jc w:val="both"/>
      </w:pPr>
      <w:r>
        <w:rPr>
          <w:color w:val="333333"/>
          <w:spacing w:val="-6"/>
          <w:w w:val="110"/>
        </w:rPr>
        <w:t xml:space="preserve">You </w:t>
      </w:r>
      <w:r>
        <w:rPr>
          <w:color w:val="333333"/>
          <w:w w:val="110"/>
        </w:rPr>
        <w:t xml:space="preserve">can even go further </w:t>
      </w:r>
      <w:r>
        <w:rPr>
          <w:color w:val="333333"/>
          <w:spacing w:val="-3"/>
          <w:w w:val="110"/>
        </w:rPr>
        <w:t xml:space="preserve">by </w:t>
      </w:r>
      <w:r>
        <w:rPr>
          <w:color w:val="333333"/>
          <w:w w:val="110"/>
        </w:rPr>
        <w:t xml:space="preserve">leveraging what </w:t>
      </w:r>
      <w:r>
        <w:rPr>
          <w:rFonts w:ascii="MS Gothic" w:hAnsi="MS Gothic"/>
          <w:color w:val="B02045"/>
          <w:w w:val="110"/>
        </w:rPr>
        <w:t xml:space="preserve">DataSourceProperties </w:t>
      </w:r>
      <w:r>
        <w:rPr>
          <w:color w:val="333333"/>
          <w:w w:val="110"/>
        </w:rPr>
        <w:t xml:space="preserve">does for you — that is, </w:t>
      </w:r>
      <w:r>
        <w:rPr>
          <w:color w:val="333333"/>
          <w:spacing w:val="-3"/>
          <w:w w:val="110"/>
        </w:rPr>
        <w:t xml:space="preserve">by </w:t>
      </w:r>
      <w:r>
        <w:rPr>
          <w:color w:val="333333"/>
          <w:w w:val="110"/>
        </w:rPr>
        <w:t xml:space="preserve">providing a default embedded database with a sensible username and password if no URL is provided. </w:t>
      </w:r>
      <w:r>
        <w:rPr>
          <w:color w:val="333333"/>
          <w:spacing w:val="-6"/>
          <w:w w:val="110"/>
        </w:rPr>
        <w:t xml:space="preserve">You </w:t>
      </w:r>
      <w:r>
        <w:rPr>
          <w:color w:val="333333"/>
          <w:w w:val="110"/>
        </w:rPr>
        <w:t xml:space="preserve">can easily initialize a </w:t>
      </w:r>
      <w:r>
        <w:rPr>
          <w:rFonts w:ascii="MS Gothic" w:hAnsi="MS Gothic"/>
          <w:color w:val="B02045"/>
          <w:w w:val="110"/>
        </w:rPr>
        <w:t xml:space="preserve">DataSourceBuilder </w:t>
      </w:r>
      <w:r>
        <w:rPr>
          <w:color w:val="333333"/>
          <w:w w:val="110"/>
        </w:rPr>
        <w:t xml:space="preserve">from the state of any </w:t>
      </w:r>
      <w:r>
        <w:rPr>
          <w:rFonts w:ascii="MS Gothic" w:hAnsi="MS Gothic"/>
          <w:color w:val="B02045"/>
          <w:w w:val="110"/>
        </w:rPr>
        <w:t xml:space="preserve">DataSourceProperties </w:t>
      </w:r>
      <w:r>
        <w:rPr>
          <w:color w:val="333333"/>
          <w:w w:val="110"/>
        </w:rPr>
        <w:t xml:space="preserve">object, so you could also inject the DataSource that Spring Boot creates </w:t>
      </w:r>
      <w:r>
        <w:rPr>
          <w:color w:val="333333"/>
          <w:spacing w:val="-3"/>
          <w:w w:val="110"/>
        </w:rPr>
        <w:t xml:space="preserve">automatically. </w:t>
      </w:r>
      <w:r>
        <w:rPr>
          <w:color w:val="333333"/>
          <w:w w:val="110"/>
        </w:rPr>
        <w:t xml:space="preserve">However, that would split your configuration into two namespaces: </w:t>
      </w:r>
      <w:r>
        <w:rPr>
          <w:rFonts w:ascii="MS Gothic" w:hAnsi="MS Gothic"/>
          <w:color w:val="B02045"/>
          <w:w w:val="110"/>
        </w:rPr>
        <w:t>url</w:t>
      </w:r>
      <w:r>
        <w:rPr>
          <w:color w:val="333333"/>
          <w:w w:val="110"/>
        </w:rPr>
        <w:t xml:space="preserve">, </w:t>
      </w:r>
      <w:r>
        <w:rPr>
          <w:rFonts w:ascii="MS Gothic" w:hAnsi="MS Gothic"/>
          <w:color w:val="B02045"/>
          <w:w w:val="110"/>
        </w:rPr>
        <w:t>username</w:t>
      </w:r>
      <w:r>
        <w:rPr>
          <w:color w:val="333333"/>
          <w:w w:val="110"/>
        </w:rPr>
        <w:t xml:space="preserve">, </w:t>
      </w:r>
      <w:r>
        <w:rPr>
          <w:rFonts w:ascii="MS Gothic" w:hAnsi="MS Gothic"/>
          <w:color w:val="B02045"/>
          <w:w w:val="110"/>
        </w:rPr>
        <w:t>password</w:t>
      </w:r>
      <w:r>
        <w:rPr>
          <w:color w:val="333333"/>
          <w:w w:val="110"/>
        </w:rPr>
        <w:t xml:space="preserve">, </w:t>
      </w:r>
      <w:r>
        <w:rPr>
          <w:rFonts w:ascii="MS Gothic" w:hAnsi="MS Gothic"/>
          <w:color w:val="B02045"/>
          <w:w w:val="110"/>
        </w:rPr>
        <w:t>type</w:t>
      </w:r>
      <w:r>
        <w:rPr>
          <w:color w:val="333333"/>
          <w:w w:val="110"/>
        </w:rPr>
        <w:t xml:space="preserve">, and </w:t>
      </w:r>
      <w:r>
        <w:rPr>
          <w:rFonts w:ascii="MS Gothic" w:hAnsi="MS Gothic"/>
          <w:color w:val="B02045"/>
          <w:w w:val="110"/>
        </w:rPr>
        <w:t xml:space="preserve">driver </w:t>
      </w:r>
      <w:r>
        <w:rPr>
          <w:color w:val="333333"/>
          <w:w w:val="110"/>
        </w:rPr>
        <w:t xml:space="preserve">on </w:t>
      </w:r>
      <w:proofErr w:type="gramStart"/>
      <w:r>
        <w:rPr>
          <w:rFonts w:ascii="MS Gothic" w:hAnsi="MS Gothic"/>
          <w:color w:val="B02045"/>
          <w:w w:val="110"/>
        </w:rPr>
        <w:t>spring.datasource</w:t>
      </w:r>
      <w:proofErr w:type="gramEnd"/>
      <w:r>
        <w:rPr>
          <w:rFonts w:ascii="MS Gothic" w:hAnsi="MS Gothic"/>
          <w:color w:val="B02045"/>
          <w:spacing w:val="-70"/>
          <w:w w:val="110"/>
        </w:rPr>
        <w:t xml:space="preserve"> </w:t>
      </w:r>
      <w:r>
        <w:rPr>
          <w:color w:val="333333"/>
          <w:w w:val="110"/>
        </w:rPr>
        <w:t>and</w:t>
      </w:r>
      <w:r>
        <w:rPr>
          <w:color w:val="333333"/>
          <w:spacing w:val="-6"/>
          <w:w w:val="110"/>
        </w:rPr>
        <w:t xml:space="preserve"> </w:t>
      </w:r>
      <w:r>
        <w:rPr>
          <w:color w:val="333333"/>
          <w:w w:val="110"/>
        </w:rPr>
        <w:t>the</w:t>
      </w:r>
      <w:r>
        <w:rPr>
          <w:color w:val="333333"/>
          <w:spacing w:val="-5"/>
          <w:w w:val="110"/>
        </w:rPr>
        <w:t xml:space="preserve"> </w:t>
      </w:r>
      <w:r>
        <w:rPr>
          <w:color w:val="333333"/>
          <w:w w:val="110"/>
        </w:rPr>
        <w:t>rest</w:t>
      </w:r>
      <w:r>
        <w:rPr>
          <w:color w:val="333333"/>
          <w:spacing w:val="-6"/>
          <w:w w:val="110"/>
        </w:rPr>
        <w:t xml:space="preserve"> </w:t>
      </w:r>
      <w:r>
        <w:rPr>
          <w:color w:val="333333"/>
          <w:w w:val="110"/>
        </w:rPr>
        <w:t>on</w:t>
      </w:r>
      <w:r>
        <w:rPr>
          <w:color w:val="333333"/>
          <w:spacing w:val="-6"/>
          <w:w w:val="110"/>
        </w:rPr>
        <w:t xml:space="preserve"> </w:t>
      </w:r>
      <w:r>
        <w:rPr>
          <w:color w:val="333333"/>
          <w:w w:val="110"/>
        </w:rPr>
        <w:t>your</w:t>
      </w:r>
      <w:r>
        <w:rPr>
          <w:color w:val="333333"/>
          <w:spacing w:val="-5"/>
          <w:w w:val="110"/>
        </w:rPr>
        <w:t xml:space="preserve"> </w:t>
      </w:r>
      <w:r>
        <w:rPr>
          <w:color w:val="333333"/>
          <w:w w:val="110"/>
        </w:rPr>
        <w:t>custom</w:t>
      </w:r>
      <w:r>
        <w:rPr>
          <w:color w:val="333333"/>
          <w:spacing w:val="-6"/>
          <w:w w:val="110"/>
        </w:rPr>
        <w:t xml:space="preserve"> </w:t>
      </w:r>
      <w:r>
        <w:rPr>
          <w:color w:val="333333"/>
          <w:w w:val="110"/>
        </w:rPr>
        <w:t>namespace</w:t>
      </w:r>
      <w:r>
        <w:rPr>
          <w:color w:val="333333"/>
          <w:spacing w:val="-5"/>
          <w:w w:val="110"/>
        </w:rPr>
        <w:t xml:space="preserve"> </w:t>
      </w:r>
      <w:r>
        <w:rPr>
          <w:color w:val="333333"/>
          <w:w w:val="110"/>
        </w:rPr>
        <w:t>(</w:t>
      </w:r>
      <w:r>
        <w:rPr>
          <w:rFonts w:ascii="MS Gothic" w:hAnsi="MS Gothic"/>
          <w:color w:val="B02045"/>
          <w:w w:val="110"/>
        </w:rPr>
        <w:t>app.datasource</w:t>
      </w:r>
      <w:r>
        <w:rPr>
          <w:color w:val="333333"/>
          <w:w w:val="110"/>
        </w:rPr>
        <w:t>).</w:t>
      </w:r>
      <w:r>
        <w:rPr>
          <w:color w:val="333333"/>
          <w:spacing w:val="-6"/>
          <w:w w:val="110"/>
        </w:rPr>
        <w:t xml:space="preserve"> </w:t>
      </w:r>
      <w:r>
        <w:rPr>
          <w:color w:val="333333"/>
          <w:spacing w:val="-4"/>
          <w:w w:val="110"/>
        </w:rPr>
        <w:t>To</w:t>
      </w:r>
      <w:r>
        <w:rPr>
          <w:color w:val="333333"/>
          <w:spacing w:val="-6"/>
          <w:w w:val="110"/>
        </w:rPr>
        <w:t xml:space="preserve"> </w:t>
      </w:r>
      <w:r>
        <w:rPr>
          <w:color w:val="333333"/>
          <w:w w:val="110"/>
        </w:rPr>
        <w:t>avoid</w:t>
      </w:r>
      <w:r>
        <w:rPr>
          <w:color w:val="333333"/>
          <w:spacing w:val="-5"/>
          <w:w w:val="110"/>
        </w:rPr>
        <w:t xml:space="preserve"> </w:t>
      </w:r>
      <w:r>
        <w:rPr>
          <w:color w:val="333333"/>
          <w:w w:val="110"/>
        </w:rPr>
        <w:t>that,</w:t>
      </w:r>
      <w:r>
        <w:rPr>
          <w:color w:val="333333"/>
          <w:spacing w:val="-6"/>
          <w:w w:val="110"/>
        </w:rPr>
        <w:t xml:space="preserve"> </w:t>
      </w:r>
      <w:r>
        <w:rPr>
          <w:color w:val="333333"/>
          <w:w w:val="110"/>
        </w:rPr>
        <w:t>you</w:t>
      </w:r>
      <w:r>
        <w:rPr>
          <w:color w:val="333333"/>
          <w:spacing w:val="-6"/>
          <w:w w:val="110"/>
        </w:rPr>
        <w:t xml:space="preserve"> </w:t>
      </w:r>
      <w:r>
        <w:rPr>
          <w:color w:val="333333"/>
          <w:w w:val="110"/>
        </w:rPr>
        <w:t xml:space="preserve">can redefine a custom </w:t>
      </w:r>
      <w:r>
        <w:rPr>
          <w:rFonts w:ascii="MS Gothic" w:hAnsi="MS Gothic"/>
          <w:color w:val="B02045"/>
          <w:w w:val="110"/>
        </w:rPr>
        <w:t xml:space="preserve">DataSourceProperties </w:t>
      </w:r>
      <w:r>
        <w:rPr>
          <w:color w:val="333333"/>
          <w:w w:val="110"/>
        </w:rPr>
        <w:t>on your custom namespace, as shown in the following example:</w:t>
      </w:r>
    </w:p>
    <w:p w14:paraId="2415B0B0" w14:textId="77777777" w:rsidR="00A720EB" w:rsidRDefault="00E10349">
      <w:pPr>
        <w:pStyle w:val="a3"/>
        <w:spacing w:before="3"/>
        <w:rPr>
          <w:sz w:val="14"/>
        </w:rPr>
      </w:pPr>
      <w:r>
        <w:pict w14:anchorId="318C30E3">
          <v:group id="_x0000_s1399" style="position:absolute;margin-left:47.85pt;margin-top:10.35pt;width:499.55pt;height:214.4pt;z-index:-15072768;mso-wrap-distance-left:0;mso-wrap-distance-right:0;mso-position-horizontal-relative:page" coordorigin="957,207" coordsize="9991,4288">
            <v:shape id="_x0000_s1402" style="position:absolute;left:964;top:214;width:9976;height:4273" coordorigin="965,215" coordsize="9976,4273" path="m10861,215r-9816,l1014,221r-26,17l971,264r-6,31l965,4407r6,31l988,4464r26,17l1045,4487r9816,l10892,4481r25,-17l10935,4438r6,-31l10941,295r-6,-31l10917,238r-25,-17l10861,215xe" fillcolor="#f5f5f5" stroked="f">
              <v:path arrowok="t"/>
            </v:shape>
            <v:shape id="_x0000_s1401" style="position:absolute;left:964;top:214;width:9976;height:4273" coordorigin="965,215" coordsize="9976,4273" path="m1045,215r9816,l10892,221r25,17l10935,264r6,31l10941,4407r-6,31l10917,4464r-25,17l10861,4487r-9816,l1014,4481r-26,-17l971,4438r-6,-31l965,295r6,-31l988,238r26,-17l1045,215xe" filled="f" strokecolor="#ccc">
              <v:path arrowok="t"/>
            </v:shape>
            <v:shape id="_x0000_s1400" type="#_x0000_t202" style="position:absolute;left:984;top:230;width:9938;height:4242" filled="f" stroked="f">
              <v:textbox inset="0,0,0,0">
                <w:txbxContent>
                  <w:p w14:paraId="6E1A488B" w14:textId="77777777" w:rsidR="00711A16" w:rsidRDefault="00711A16">
                    <w:pPr>
                      <w:spacing w:before="221" w:line="252" w:lineRule="auto"/>
                      <w:ind w:left="200" w:right="8838"/>
                      <w:rPr>
                        <w:rFonts w:ascii="MS Gothic"/>
                      </w:rPr>
                    </w:pPr>
                    <w:r>
                      <w:rPr>
                        <w:rFonts w:ascii="MS Gothic"/>
                        <w:color w:val="333333"/>
                      </w:rPr>
                      <w:t>@Bean @Primary</w:t>
                    </w:r>
                  </w:p>
                  <w:p w14:paraId="015DDDFB" w14:textId="77777777" w:rsidR="00711A16" w:rsidRDefault="00711A16">
                    <w:pPr>
                      <w:spacing w:line="280" w:lineRule="exact"/>
                      <w:ind w:left="200"/>
                      <w:rPr>
                        <w:rFonts w:ascii="MS Gothic"/>
                      </w:rPr>
                    </w:pPr>
                    <w:r>
                      <w:rPr>
                        <w:rFonts w:ascii="MS Gothic"/>
                        <w:color w:val="333333"/>
                      </w:rPr>
                      <w:t>@ConfigurationProperties("</w:t>
                    </w:r>
                    <w:proofErr w:type="gramStart"/>
                    <w:r>
                      <w:rPr>
                        <w:rFonts w:ascii="MS Gothic"/>
                        <w:color w:val="333333"/>
                      </w:rPr>
                      <w:t>app.datasource</w:t>
                    </w:r>
                    <w:proofErr w:type="gramEnd"/>
                    <w:r>
                      <w:rPr>
                        <w:rFonts w:ascii="MS Gothic"/>
                        <w:color w:val="333333"/>
                      </w:rPr>
                      <w:t>")</w:t>
                    </w:r>
                  </w:p>
                  <w:p w14:paraId="0919A5CD" w14:textId="77777777" w:rsidR="00711A16" w:rsidRDefault="00711A16">
                    <w:pPr>
                      <w:spacing w:before="13" w:line="252" w:lineRule="auto"/>
                      <w:ind w:left="640" w:right="3998" w:hanging="440"/>
                      <w:rPr>
                        <w:rFonts w:ascii="MS Gothic"/>
                      </w:rPr>
                    </w:pPr>
                    <w:r>
                      <w:rPr>
                        <w:rFonts w:ascii="MS Gothic"/>
                        <w:color w:val="333333"/>
                      </w:rPr>
                      <w:t xml:space="preserve">public DataSourceProperties </w:t>
                    </w:r>
                    <w:proofErr w:type="gramStart"/>
                    <w:r>
                      <w:rPr>
                        <w:rFonts w:ascii="MS Gothic"/>
                        <w:color w:val="333333"/>
                      </w:rPr>
                      <w:t>dataSourceProperties(</w:t>
                    </w:r>
                    <w:proofErr w:type="gramEnd"/>
                    <w:r>
                      <w:rPr>
                        <w:rFonts w:ascii="MS Gothic"/>
                        <w:color w:val="333333"/>
                      </w:rPr>
                      <w:t>) { return new DataSourceProperties();</w:t>
                    </w:r>
                  </w:p>
                  <w:p w14:paraId="37FA651E" w14:textId="77777777" w:rsidR="00711A16" w:rsidRDefault="00711A16">
                    <w:pPr>
                      <w:spacing w:line="280" w:lineRule="exact"/>
                      <w:ind w:left="200"/>
                      <w:rPr>
                        <w:rFonts w:ascii="MS Gothic"/>
                      </w:rPr>
                    </w:pPr>
                    <w:r>
                      <w:rPr>
                        <w:rFonts w:ascii="MS Gothic"/>
                        <w:color w:val="333333"/>
                      </w:rPr>
                      <w:t>}</w:t>
                    </w:r>
                  </w:p>
                  <w:p w14:paraId="1C06055B" w14:textId="77777777" w:rsidR="00711A16" w:rsidRDefault="00711A16">
                    <w:pPr>
                      <w:rPr>
                        <w:rFonts w:ascii="MS Gothic"/>
                        <w:sz w:val="24"/>
                      </w:rPr>
                    </w:pPr>
                  </w:p>
                  <w:p w14:paraId="2E0840F0" w14:textId="77777777" w:rsidR="00711A16" w:rsidRDefault="00711A16">
                    <w:pPr>
                      <w:spacing w:line="252" w:lineRule="auto"/>
                      <w:ind w:left="200" w:right="3558"/>
                      <w:rPr>
                        <w:rFonts w:ascii="MS Gothic"/>
                      </w:rPr>
                    </w:pPr>
                    <w:r>
                      <w:rPr>
                        <w:rFonts w:ascii="MS Gothic"/>
                        <w:color w:val="333333"/>
                      </w:rPr>
                      <w:t>@Bean @ConfigurationProperties("</w:t>
                    </w:r>
                    <w:proofErr w:type="gramStart"/>
                    <w:r>
                      <w:rPr>
                        <w:rFonts w:ascii="MS Gothic"/>
                        <w:color w:val="333333"/>
                      </w:rPr>
                      <w:t>app.datasource</w:t>
                    </w:r>
                    <w:proofErr w:type="gramEnd"/>
                    <w:r>
                      <w:rPr>
                        <w:rFonts w:ascii="MS Gothic"/>
                        <w:color w:val="333333"/>
                      </w:rPr>
                      <w:t>.configuration")</w:t>
                    </w:r>
                  </w:p>
                  <w:p w14:paraId="0DAFF89A" w14:textId="77777777" w:rsidR="00711A16" w:rsidRDefault="00711A16">
                    <w:pPr>
                      <w:spacing w:line="252" w:lineRule="auto"/>
                      <w:ind w:left="640" w:right="2128" w:hanging="440"/>
                      <w:rPr>
                        <w:rFonts w:ascii="MS Gothic"/>
                      </w:rPr>
                    </w:pPr>
                    <w:r>
                      <w:rPr>
                        <w:rFonts w:ascii="MS Gothic"/>
                        <w:color w:val="333333"/>
                      </w:rPr>
                      <w:t xml:space="preserve">public HikariDataSource </w:t>
                    </w:r>
                    <w:proofErr w:type="gramStart"/>
                    <w:r>
                      <w:rPr>
                        <w:rFonts w:ascii="MS Gothic"/>
                        <w:color w:val="333333"/>
                      </w:rPr>
                      <w:t>dataSource(</w:t>
                    </w:r>
                    <w:proofErr w:type="gramEnd"/>
                    <w:r>
                      <w:rPr>
                        <w:rFonts w:ascii="MS Gothic"/>
                        <w:color w:val="333333"/>
                      </w:rPr>
                      <w:t>DataSourceProperties properties) { return</w:t>
                    </w:r>
                  </w:p>
                  <w:p w14:paraId="32E0F560" w14:textId="77777777" w:rsidR="00711A16" w:rsidRDefault="00711A16">
                    <w:pPr>
                      <w:spacing w:line="280" w:lineRule="exact"/>
                      <w:ind w:left="200"/>
                      <w:rPr>
                        <w:rFonts w:ascii="MS Gothic"/>
                      </w:rPr>
                    </w:pPr>
                    <w:proofErr w:type="gramStart"/>
                    <w:r>
                      <w:rPr>
                        <w:rFonts w:ascii="MS Gothic"/>
                        <w:color w:val="333333"/>
                      </w:rPr>
                      <w:t>properties.initializeDataSourceBuilder</w:t>
                    </w:r>
                    <w:proofErr w:type="gramEnd"/>
                    <w:r>
                      <w:rPr>
                        <w:rFonts w:ascii="MS Gothic"/>
                        <w:color w:val="333333"/>
                      </w:rPr>
                      <w:t>().type(HikariDataSource.class).build();</w:t>
                    </w:r>
                  </w:p>
                  <w:p w14:paraId="7B323E03" w14:textId="77777777" w:rsidR="00711A16" w:rsidRDefault="00711A16">
                    <w:pPr>
                      <w:spacing w:before="10"/>
                      <w:ind w:left="200"/>
                      <w:rPr>
                        <w:rFonts w:ascii="MS Gothic"/>
                      </w:rPr>
                    </w:pPr>
                    <w:r>
                      <w:rPr>
                        <w:rFonts w:ascii="MS Gothic"/>
                        <w:color w:val="333333"/>
                      </w:rPr>
                      <w:t>}</w:t>
                    </w:r>
                  </w:p>
                </w:txbxContent>
              </v:textbox>
            </v:shape>
            <w10:wrap type="topAndBottom" anchorx="page"/>
          </v:group>
        </w:pict>
      </w:r>
    </w:p>
    <w:p w14:paraId="6F28038F" w14:textId="77777777" w:rsidR="00A720EB" w:rsidRDefault="00A720EB">
      <w:pPr>
        <w:pStyle w:val="a3"/>
        <w:rPr>
          <w:sz w:val="10"/>
        </w:rPr>
      </w:pPr>
    </w:p>
    <w:p w14:paraId="6D1D8AEB" w14:textId="77777777" w:rsidR="00A720EB" w:rsidRDefault="0030286B">
      <w:pPr>
        <w:pStyle w:val="a3"/>
        <w:spacing w:before="104"/>
        <w:ind w:left="124"/>
      </w:pPr>
      <w:r>
        <w:rPr>
          <w:color w:val="333333"/>
          <w:w w:val="110"/>
        </w:rPr>
        <w:t xml:space="preserve">This setup puts you </w:t>
      </w:r>
      <w:r>
        <w:rPr>
          <w:rFonts w:ascii="Palatino Linotype"/>
          <w:i/>
          <w:color w:val="333333"/>
          <w:w w:val="110"/>
        </w:rPr>
        <w:t xml:space="preserve">in sync </w:t>
      </w:r>
      <w:r>
        <w:rPr>
          <w:color w:val="333333"/>
          <w:w w:val="110"/>
        </w:rPr>
        <w:t>with what Spring Boot does for you by default, except that a dedicated</w:t>
      </w:r>
    </w:p>
    <w:p w14:paraId="216750E2" w14:textId="77777777" w:rsidR="00A720EB" w:rsidRDefault="00A720EB">
      <w:pPr>
        <w:sectPr w:rsidR="00A720EB">
          <w:pgSz w:w="11910" w:h="16840"/>
          <w:pgMar w:top="620" w:right="840" w:bottom="520" w:left="840" w:header="0" w:footer="323" w:gutter="0"/>
          <w:cols w:space="720"/>
        </w:sectPr>
      </w:pPr>
    </w:p>
    <w:p w14:paraId="1396BD27" w14:textId="77777777" w:rsidR="00A720EB" w:rsidRDefault="0030286B">
      <w:pPr>
        <w:pStyle w:val="a3"/>
        <w:spacing w:before="96" w:line="285" w:lineRule="auto"/>
        <w:ind w:left="124" w:right="122"/>
        <w:jc w:val="both"/>
      </w:pPr>
      <w:r>
        <w:rPr>
          <w:color w:val="333333"/>
          <w:w w:val="110"/>
        </w:rPr>
        <w:lastRenderedPageBreak/>
        <w:t>connection</w:t>
      </w:r>
      <w:r>
        <w:rPr>
          <w:color w:val="333333"/>
          <w:spacing w:val="-16"/>
          <w:w w:val="110"/>
        </w:rPr>
        <w:t xml:space="preserve"> </w:t>
      </w:r>
      <w:r>
        <w:rPr>
          <w:color w:val="333333"/>
          <w:w w:val="110"/>
        </w:rPr>
        <w:t>pool</w:t>
      </w:r>
      <w:r>
        <w:rPr>
          <w:color w:val="333333"/>
          <w:spacing w:val="-15"/>
          <w:w w:val="110"/>
        </w:rPr>
        <w:t xml:space="preserve"> </w:t>
      </w:r>
      <w:r>
        <w:rPr>
          <w:color w:val="333333"/>
          <w:w w:val="110"/>
        </w:rPr>
        <w:t>is</w:t>
      </w:r>
      <w:r>
        <w:rPr>
          <w:color w:val="333333"/>
          <w:spacing w:val="-15"/>
          <w:w w:val="110"/>
        </w:rPr>
        <w:t xml:space="preserve"> </w:t>
      </w:r>
      <w:r>
        <w:rPr>
          <w:color w:val="333333"/>
          <w:w w:val="110"/>
        </w:rPr>
        <w:t>chosen</w:t>
      </w:r>
      <w:r>
        <w:rPr>
          <w:color w:val="333333"/>
          <w:spacing w:val="-15"/>
          <w:w w:val="110"/>
        </w:rPr>
        <w:t xml:space="preserve"> </w:t>
      </w:r>
      <w:r>
        <w:rPr>
          <w:color w:val="333333"/>
          <w:w w:val="110"/>
        </w:rPr>
        <w:t>(in</w:t>
      </w:r>
      <w:r>
        <w:rPr>
          <w:color w:val="333333"/>
          <w:spacing w:val="-16"/>
          <w:w w:val="110"/>
        </w:rPr>
        <w:t xml:space="preserve"> </w:t>
      </w:r>
      <w:r>
        <w:rPr>
          <w:color w:val="333333"/>
          <w:w w:val="110"/>
        </w:rPr>
        <w:t>code)</w:t>
      </w:r>
      <w:r>
        <w:rPr>
          <w:color w:val="333333"/>
          <w:spacing w:val="-15"/>
          <w:w w:val="110"/>
        </w:rPr>
        <w:t xml:space="preserve"> </w:t>
      </w:r>
      <w:r>
        <w:rPr>
          <w:color w:val="333333"/>
          <w:w w:val="110"/>
        </w:rPr>
        <w:t>and</w:t>
      </w:r>
      <w:r>
        <w:rPr>
          <w:color w:val="333333"/>
          <w:spacing w:val="-15"/>
          <w:w w:val="110"/>
        </w:rPr>
        <w:t xml:space="preserve"> </w:t>
      </w:r>
      <w:r>
        <w:rPr>
          <w:color w:val="333333"/>
          <w:w w:val="110"/>
        </w:rPr>
        <w:t>its</w:t>
      </w:r>
      <w:r>
        <w:rPr>
          <w:color w:val="333333"/>
          <w:spacing w:val="-15"/>
          <w:w w:val="110"/>
        </w:rPr>
        <w:t xml:space="preserve"> </w:t>
      </w:r>
      <w:r>
        <w:rPr>
          <w:color w:val="333333"/>
          <w:w w:val="110"/>
        </w:rPr>
        <w:t>settings</w:t>
      </w:r>
      <w:r>
        <w:rPr>
          <w:color w:val="333333"/>
          <w:spacing w:val="-15"/>
          <w:w w:val="110"/>
        </w:rPr>
        <w:t xml:space="preserve"> </w:t>
      </w:r>
      <w:r>
        <w:rPr>
          <w:color w:val="333333"/>
          <w:w w:val="110"/>
        </w:rPr>
        <w:t>are</w:t>
      </w:r>
      <w:r>
        <w:rPr>
          <w:color w:val="333333"/>
          <w:spacing w:val="-16"/>
          <w:w w:val="110"/>
        </w:rPr>
        <w:t xml:space="preserve"> </w:t>
      </w:r>
      <w:r>
        <w:rPr>
          <w:color w:val="333333"/>
          <w:w w:val="110"/>
        </w:rPr>
        <w:t>exposed</w:t>
      </w:r>
      <w:r>
        <w:rPr>
          <w:color w:val="333333"/>
          <w:spacing w:val="-15"/>
          <w:w w:val="110"/>
        </w:rPr>
        <w:t xml:space="preserve"> </w:t>
      </w:r>
      <w:r>
        <w:rPr>
          <w:color w:val="333333"/>
          <w:w w:val="110"/>
        </w:rPr>
        <w:t>in</w:t>
      </w:r>
      <w:r>
        <w:rPr>
          <w:color w:val="333333"/>
          <w:spacing w:val="-15"/>
          <w:w w:val="110"/>
        </w:rPr>
        <w:t xml:space="preserve"> </w:t>
      </w:r>
      <w:r>
        <w:rPr>
          <w:color w:val="333333"/>
          <w:w w:val="110"/>
        </w:rPr>
        <w:t>the</w:t>
      </w:r>
      <w:r>
        <w:rPr>
          <w:color w:val="333333"/>
          <w:spacing w:val="-12"/>
          <w:w w:val="110"/>
        </w:rPr>
        <w:t xml:space="preserve"> </w:t>
      </w:r>
      <w:proofErr w:type="gramStart"/>
      <w:r>
        <w:rPr>
          <w:rFonts w:ascii="MS Gothic"/>
          <w:color w:val="B02045"/>
          <w:w w:val="110"/>
        </w:rPr>
        <w:t>app.datasource</w:t>
      </w:r>
      <w:proofErr w:type="gramEnd"/>
      <w:r>
        <w:rPr>
          <w:rFonts w:ascii="MS Gothic"/>
          <w:color w:val="B02045"/>
          <w:w w:val="110"/>
        </w:rPr>
        <w:t xml:space="preserve">.configuration </w:t>
      </w:r>
      <w:r>
        <w:rPr>
          <w:color w:val="333333"/>
          <w:w w:val="110"/>
        </w:rPr>
        <w:t>sub</w:t>
      </w:r>
      <w:r>
        <w:rPr>
          <w:color w:val="333333"/>
          <w:spacing w:val="-4"/>
          <w:w w:val="110"/>
        </w:rPr>
        <w:t xml:space="preserve"> </w:t>
      </w:r>
      <w:r>
        <w:rPr>
          <w:color w:val="333333"/>
          <w:w w:val="110"/>
        </w:rPr>
        <w:t>namespace.</w:t>
      </w:r>
      <w:r>
        <w:rPr>
          <w:color w:val="333333"/>
          <w:spacing w:val="-4"/>
          <w:w w:val="110"/>
        </w:rPr>
        <w:t xml:space="preserve"> </w:t>
      </w:r>
      <w:r>
        <w:rPr>
          <w:color w:val="333333"/>
          <w:w w:val="110"/>
        </w:rPr>
        <w:t>Because</w:t>
      </w:r>
      <w:r>
        <w:rPr>
          <w:color w:val="333333"/>
          <w:spacing w:val="-4"/>
          <w:w w:val="110"/>
        </w:rPr>
        <w:t xml:space="preserve"> </w:t>
      </w:r>
      <w:r>
        <w:rPr>
          <w:rFonts w:ascii="MS Gothic"/>
          <w:color w:val="B02045"/>
          <w:w w:val="110"/>
        </w:rPr>
        <w:t>DataSourceProperties</w:t>
      </w:r>
      <w:r>
        <w:rPr>
          <w:rFonts w:ascii="MS Gothic"/>
          <w:color w:val="B02045"/>
          <w:spacing w:val="-69"/>
          <w:w w:val="110"/>
        </w:rPr>
        <w:t xml:space="preserve"> </w:t>
      </w:r>
      <w:r>
        <w:rPr>
          <w:color w:val="333333"/>
          <w:w w:val="110"/>
        </w:rPr>
        <w:t>is</w:t>
      </w:r>
      <w:r>
        <w:rPr>
          <w:color w:val="333333"/>
          <w:spacing w:val="-4"/>
          <w:w w:val="110"/>
        </w:rPr>
        <w:t xml:space="preserve"> </w:t>
      </w:r>
      <w:r>
        <w:rPr>
          <w:color w:val="333333"/>
          <w:w w:val="110"/>
        </w:rPr>
        <w:t>taking</w:t>
      </w:r>
      <w:r>
        <w:rPr>
          <w:color w:val="333333"/>
          <w:spacing w:val="-4"/>
          <w:w w:val="110"/>
        </w:rPr>
        <w:t xml:space="preserve"> </w:t>
      </w:r>
      <w:r>
        <w:rPr>
          <w:color w:val="333333"/>
          <w:w w:val="110"/>
        </w:rPr>
        <w:t>care</w:t>
      </w:r>
      <w:r>
        <w:rPr>
          <w:color w:val="333333"/>
          <w:spacing w:val="-4"/>
          <w:w w:val="110"/>
        </w:rPr>
        <w:t xml:space="preserve"> </w:t>
      </w:r>
      <w:r>
        <w:rPr>
          <w:color w:val="333333"/>
          <w:w w:val="110"/>
        </w:rPr>
        <w:t>of</w:t>
      </w:r>
      <w:r>
        <w:rPr>
          <w:color w:val="333333"/>
          <w:spacing w:val="-4"/>
          <w:w w:val="110"/>
        </w:rPr>
        <w:t xml:space="preserve"> </w:t>
      </w:r>
      <w:r>
        <w:rPr>
          <w:color w:val="333333"/>
          <w:w w:val="110"/>
        </w:rPr>
        <w:t>the</w:t>
      </w:r>
      <w:r>
        <w:rPr>
          <w:color w:val="333333"/>
          <w:spacing w:val="-4"/>
          <w:w w:val="110"/>
        </w:rPr>
        <w:t xml:space="preserve"> </w:t>
      </w:r>
      <w:r>
        <w:rPr>
          <w:rFonts w:ascii="MS Gothic"/>
          <w:color w:val="B02045"/>
          <w:w w:val="110"/>
        </w:rPr>
        <w:t>url</w:t>
      </w:r>
      <w:r>
        <w:rPr>
          <w:color w:val="333333"/>
          <w:w w:val="110"/>
        </w:rPr>
        <w:t>/</w:t>
      </w:r>
      <w:r>
        <w:rPr>
          <w:rFonts w:ascii="MS Gothic"/>
          <w:color w:val="B02045"/>
          <w:w w:val="110"/>
        </w:rPr>
        <w:t>jdbcUrl</w:t>
      </w:r>
      <w:r>
        <w:rPr>
          <w:rFonts w:ascii="MS Gothic"/>
          <w:color w:val="B02045"/>
          <w:spacing w:val="-69"/>
          <w:w w:val="110"/>
        </w:rPr>
        <w:t xml:space="preserve"> </w:t>
      </w:r>
      <w:r>
        <w:rPr>
          <w:color w:val="333333"/>
          <w:w w:val="110"/>
        </w:rPr>
        <w:t>translation</w:t>
      </w:r>
      <w:r>
        <w:rPr>
          <w:color w:val="333333"/>
          <w:spacing w:val="-4"/>
          <w:w w:val="110"/>
        </w:rPr>
        <w:t xml:space="preserve"> </w:t>
      </w:r>
      <w:r>
        <w:rPr>
          <w:color w:val="333333"/>
          <w:w w:val="110"/>
        </w:rPr>
        <w:t>for</w:t>
      </w:r>
      <w:r>
        <w:rPr>
          <w:color w:val="333333"/>
          <w:spacing w:val="-4"/>
          <w:w w:val="110"/>
        </w:rPr>
        <w:t xml:space="preserve"> </w:t>
      </w:r>
      <w:r>
        <w:rPr>
          <w:color w:val="333333"/>
          <w:w w:val="110"/>
        </w:rPr>
        <w:t>you, you can configure it as</w:t>
      </w:r>
      <w:r>
        <w:rPr>
          <w:color w:val="333333"/>
          <w:spacing w:val="14"/>
          <w:w w:val="110"/>
        </w:rPr>
        <w:t xml:space="preserve"> </w:t>
      </w:r>
      <w:r>
        <w:rPr>
          <w:color w:val="333333"/>
          <w:w w:val="110"/>
        </w:rPr>
        <w:t>follows:</w:t>
      </w:r>
    </w:p>
    <w:p w14:paraId="18E34CD9" w14:textId="77777777" w:rsidR="00A720EB" w:rsidRDefault="00E10349">
      <w:pPr>
        <w:pStyle w:val="a3"/>
        <w:spacing w:before="1"/>
        <w:rPr>
          <w:sz w:val="15"/>
        </w:rPr>
      </w:pPr>
      <w:r>
        <w:pict w14:anchorId="6A3C417D">
          <v:group id="_x0000_s1395" style="position:absolute;margin-left:47.85pt;margin-top:10.85pt;width:499.55pt;height:81.75pt;z-index:-15072256;mso-wrap-distance-left:0;mso-wrap-distance-right:0;mso-position-horizontal-relative:page" coordorigin="957,217" coordsize="9991,1635">
            <v:shape id="_x0000_s1398" style="position:absolute;left:964;top:224;width:9976;height:1620" coordorigin="965,225" coordsize="9976,1620" path="m10861,225r-9816,l1014,231r-26,17l971,274r-6,31l965,1764r6,31l988,1820r26,18l1045,1844r9816,l10892,1838r25,-18l10935,1795r6,-31l10941,305r-6,-31l10917,248r-25,-17l10861,225xe" fillcolor="#f5f5f5" stroked="f">
              <v:path arrowok="t"/>
            </v:shape>
            <v:shape id="_x0000_s1397" style="position:absolute;left:964;top:224;width:9976;height:1620" coordorigin="965,225" coordsize="9976,1620" path="m1045,225r9816,l10892,231r25,17l10935,274r6,31l10941,1764r-6,31l10917,1820r-25,18l10861,1844r-9816,l1014,1838r-26,-18l971,1795r-6,-31l965,305r6,-31l988,248r26,-17l1045,225xe" filled="f" strokecolor="#ccc">
              <v:path arrowok="t"/>
            </v:shape>
            <v:shape id="_x0000_s1396" type="#_x0000_t202" style="position:absolute;left:984;top:240;width:9938;height:1589" filled="f" stroked="f">
              <v:textbox inset="0,0,0,0">
                <w:txbxContent>
                  <w:p w14:paraId="7F79C444" w14:textId="77777777" w:rsidR="00711A16" w:rsidRDefault="00711A16">
                    <w:pPr>
                      <w:spacing w:before="221" w:line="252" w:lineRule="auto"/>
                      <w:ind w:left="200" w:right="4344"/>
                      <w:rPr>
                        <w:rFonts w:ascii="MS Gothic"/>
                      </w:rPr>
                    </w:pPr>
                    <w:r>
                      <w:rPr>
                        <w:rFonts w:ascii="MS Gothic"/>
                        <w:color w:val="333333"/>
                      </w:rPr>
                      <w:t>app.datasource.url=</w:t>
                    </w:r>
                    <w:proofErr w:type="gramStart"/>
                    <w:r>
                      <w:rPr>
                        <w:rFonts w:ascii="MS Gothic"/>
                        <w:color w:val="333333"/>
                      </w:rPr>
                      <w:t>jdbc:mysql://localhost/test</w:t>
                    </w:r>
                    <w:proofErr w:type="gramEnd"/>
                    <w:r>
                      <w:rPr>
                        <w:rFonts w:ascii="MS Gothic"/>
                        <w:color w:val="333333"/>
                      </w:rPr>
                      <w:t xml:space="preserve"> app.datasource.username=dbuser app.datasource.password=dbpass app.datasource.configuration.maximum-pool-size=30</w:t>
                    </w:r>
                  </w:p>
                </w:txbxContent>
              </v:textbox>
            </v:shape>
            <w10:wrap type="topAndBottom" anchorx="page"/>
          </v:group>
        </w:pict>
      </w:r>
    </w:p>
    <w:p w14:paraId="6307E5D7" w14:textId="77777777" w:rsidR="00A720EB" w:rsidRDefault="00A720EB">
      <w:pPr>
        <w:pStyle w:val="a3"/>
        <w:spacing w:before="8"/>
        <w:rPr>
          <w:sz w:val="16"/>
        </w:rPr>
      </w:pPr>
    </w:p>
    <w:p w14:paraId="41094E1C" w14:textId="77777777" w:rsidR="00A720EB" w:rsidRDefault="00E10349">
      <w:pPr>
        <w:pStyle w:val="a3"/>
        <w:spacing w:before="116" w:line="285" w:lineRule="auto"/>
        <w:ind w:left="1564" w:right="362"/>
        <w:jc w:val="both"/>
      </w:pPr>
      <w:r>
        <w:pict w14:anchorId="24A94E20">
          <v:line id="_x0000_s1394" style="position:absolute;left:0;text-align:left;z-index:16385536;mso-position-horizontal-relative:page" from="108.25pt,.35pt" to="108.25pt,55.7pt" strokecolor="#ededed" strokeweight=".5pt">
            <w10:wrap anchorx="page"/>
          </v:line>
        </w:pict>
      </w:r>
      <w:r w:rsidR="0030286B">
        <w:rPr>
          <w:noProof/>
        </w:rPr>
        <w:drawing>
          <wp:anchor distT="0" distB="0" distL="0" distR="0" simplePos="0" relativeHeight="16386048" behindDoc="0" locked="0" layoutInCell="1" allowOverlap="1" wp14:anchorId="0E26E2D1" wp14:editId="04D82074">
            <wp:simplePos x="0" y="0"/>
            <wp:positionH relativeFrom="page">
              <wp:posOffset>888949</wp:posOffset>
            </wp:positionH>
            <wp:positionV relativeFrom="paragraph">
              <wp:posOffset>203275</wp:posOffset>
            </wp:positionV>
            <wp:extent cx="209550" cy="304800"/>
            <wp:effectExtent l="0" t="0" r="0" b="0"/>
            <wp:wrapNone/>
            <wp:docPr id="75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Spring Boot will expose Hikari-specific settings to </w:t>
      </w:r>
      <w:proofErr w:type="gramStart"/>
      <w:r w:rsidR="0030286B">
        <w:rPr>
          <w:rFonts w:ascii="MS Gothic"/>
          <w:color w:val="B02045"/>
          <w:w w:val="110"/>
        </w:rPr>
        <w:t>spring.datasource</w:t>
      </w:r>
      <w:proofErr w:type="gramEnd"/>
      <w:r w:rsidR="0030286B">
        <w:rPr>
          <w:rFonts w:ascii="MS Gothic"/>
          <w:color w:val="B02045"/>
          <w:w w:val="110"/>
        </w:rPr>
        <w:t>.hikari</w:t>
      </w:r>
      <w:r w:rsidR="0030286B">
        <w:rPr>
          <w:color w:val="333333"/>
          <w:w w:val="110"/>
        </w:rPr>
        <w:t xml:space="preserve">. This example uses a more generic </w:t>
      </w:r>
      <w:r w:rsidR="0030286B">
        <w:rPr>
          <w:rFonts w:ascii="MS Gothic"/>
          <w:color w:val="B02045"/>
          <w:w w:val="110"/>
        </w:rPr>
        <w:t xml:space="preserve">configuration </w:t>
      </w:r>
      <w:r w:rsidR="0030286B">
        <w:rPr>
          <w:color w:val="333333"/>
          <w:w w:val="110"/>
        </w:rPr>
        <w:t>sub namespace as the example does not support multiple datasource implementations.</w:t>
      </w:r>
    </w:p>
    <w:p w14:paraId="1D065C52" w14:textId="77777777" w:rsidR="00A720EB" w:rsidRDefault="00A720EB">
      <w:pPr>
        <w:pStyle w:val="a3"/>
        <w:spacing w:before="5"/>
        <w:rPr>
          <w:sz w:val="25"/>
        </w:rPr>
      </w:pPr>
    </w:p>
    <w:p w14:paraId="18106898" w14:textId="77777777" w:rsidR="00A720EB" w:rsidRDefault="00E10349">
      <w:pPr>
        <w:pStyle w:val="a3"/>
        <w:spacing w:before="116" w:line="295" w:lineRule="auto"/>
        <w:ind w:left="1564" w:right="362"/>
        <w:jc w:val="both"/>
      </w:pPr>
      <w:r>
        <w:pict w14:anchorId="7261C247">
          <v:line id="_x0000_s1393" style="position:absolute;left:0;text-align:left;z-index:16386560;mso-position-horizontal-relative:page" from="108.25pt,.35pt" to="108.25pt,55.7pt" strokecolor="#ededed" strokeweight=".5pt">
            <w10:wrap anchorx="page"/>
          </v:line>
        </w:pict>
      </w:r>
      <w:r w:rsidR="0030286B">
        <w:rPr>
          <w:noProof/>
        </w:rPr>
        <w:drawing>
          <wp:anchor distT="0" distB="0" distL="0" distR="0" simplePos="0" relativeHeight="16387072" behindDoc="0" locked="0" layoutInCell="1" allowOverlap="1" wp14:anchorId="2B670A37" wp14:editId="2AFFB387">
            <wp:simplePos x="0" y="0"/>
            <wp:positionH relativeFrom="page">
              <wp:posOffset>844422</wp:posOffset>
            </wp:positionH>
            <wp:positionV relativeFrom="paragraph">
              <wp:posOffset>206451</wp:posOffset>
            </wp:positionV>
            <wp:extent cx="298450" cy="298450"/>
            <wp:effectExtent l="0" t="0" r="0" b="0"/>
            <wp:wrapNone/>
            <wp:docPr id="7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Because</w:t>
      </w:r>
      <w:r w:rsidR="0030286B">
        <w:rPr>
          <w:color w:val="333333"/>
          <w:spacing w:val="-6"/>
          <w:w w:val="110"/>
        </w:rPr>
        <w:t xml:space="preserve"> </w:t>
      </w:r>
      <w:r w:rsidR="0030286B">
        <w:rPr>
          <w:color w:val="333333"/>
          <w:w w:val="110"/>
        </w:rPr>
        <w:t>your</w:t>
      </w:r>
      <w:r w:rsidR="0030286B">
        <w:rPr>
          <w:color w:val="333333"/>
          <w:spacing w:val="-5"/>
          <w:w w:val="110"/>
        </w:rPr>
        <w:t xml:space="preserve"> </w:t>
      </w:r>
      <w:r w:rsidR="0030286B">
        <w:rPr>
          <w:color w:val="333333"/>
          <w:w w:val="110"/>
        </w:rPr>
        <w:t>custom</w:t>
      </w:r>
      <w:r w:rsidR="0030286B">
        <w:rPr>
          <w:color w:val="333333"/>
          <w:spacing w:val="-5"/>
          <w:w w:val="110"/>
        </w:rPr>
        <w:t xml:space="preserve"> </w:t>
      </w:r>
      <w:r w:rsidR="0030286B">
        <w:rPr>
          <w:color w:val="333333"/>
          <w:w w:val="110"/>
        </w:rPr>
        <w:t>configuration</w:t>
      </w:r>
      <w:r w:rsidR="0030286B">
        <w:rPr>
          <w:color w:val="333333"/>
          <w:spacing w:val="-5"/>
          <w:w w:val="110"/>
        </w:rPr>
        <w:t xml:space="preserve"> </w:t>
      </w:r>
      <w:r w:rsidR="0030286B">
        <w:rPr>
          <w:color w:val="333333"/>
          <w:w w:val="110"/>
        </w:rPr>
        <w:t>chooses</w:t>
      </w:r>
      <w:r w:rsidR="0030286B">
        <w:rPr>
          <w:color w:val="333333"/>
          <w:spacing w:val="-5"/>
          <w:w w:val="110"/>
        </w:rPr>
        <w:t xml:space="preserve"> </w:t>
      </w:r>
      <w:r w:rsidR="0030286B">
        <w:rPr>
          <w:color w:val="333333"/>
          <w:w w:val="110"/>
        </w:rPr>
        <w:t>to</w:t>
      </w:r>
      <w:r w:rsidR="0030286B">
        <w:rPr>
          <w:color w:val="333333"/>
          <w:spacing w:val="-5"/>
          <w:w w:val="110"/>
        </w:rPr>
        <w:t xml:space="preserve"> </w:t>
      </w:r>
      <w:r w:rsidR="0030286B">
        <w:rPr>
          <w:color w:val="333333"/>
          <w:w w:val="110"/>
        </w:rPr>
        <w:t>go</w:t>
      </w:r>
      <w:r w:rsidR="0030286B">
        <w:rPr>
          <w:color w:val="333333"/>
          <w:spacing w:val="-5"/>
          <w:w w:val="110"/>
        </w:rPr>
        <w:t xml:space="preserve"> </w:t>
      </w:r>
      <w:r w:rsidR="0030286B">
        <w:rPr>
          <w:color w:val="333333"/>
          <w:w w:val="110"/>
        </w:rPr>
        <w:t>with</w:t>
      </w:r>
      <w:r w:rsidR="0030286B">
        <w:rPr>
          <w:color w:val="333333"/>
          <w:spacing w:val="-5"/>
          <w:w w:val="110"/>
        </w:rPr>
        <w:t xml:space="preserve"> </w:t>
      </w:r>
      <w:r w:rsidR="0030286B">
        <w:rPr>
          <w:color w:val="333333"/>
          <w:w w:val="110"/>
        </w:rPr>
        <w:t xml:space="preserve">Hikari, </w:t>
      </w:r>
      <w:proofErr w:type="gramStart"/>
      <w:r w:rsidR="0030286B">
        <w:rPr>
          <w:rFonts w:ascii="MS Gothic"/>
          <w:color w:val="B02045"/>
          <w:w w:val="110"/>
        </w:rPr>
        <w:t>app.datasource</w:t>
      </w:r>
      <w:proofErr w:type="gramEnd"/>
      <w:r w:rsidR="0030286B">
        <w:rPr>
          <w:rFonts w:ascii="MS Gothic"/>
          <w:color w:val="B02045"/>
          <w:w w:val="110"/>
        </w:rPr>
        <w:t xml:space="preserve">.type </w:t>
      </w:r>
      <w:r w:rsidR="0030286B">
        <w:rPr>
          <w:color w:val="333333"/>
          <w:w w:val="110"/>
        </w:rPr>
        <w:t xml:space="preserve">has no effect. In practice, the builder is initialized with whatever value you </w:t>
      </w:r>
      <w:proofErr w:type="gramStart"/>
      <w:r w:rsidR="0030286B">
        <w:rPr>
          <w:color w:val="333333"/>
          <w:w w:val="110"/>
        </w:rPr>
        <w:t>might  set</w:t>
      </w:r>
      <w:proofErr w:type="gramEnd"/>
      <w:r w:rsidR="0030286B">
        <w:rPr>
          <w:color w:val="333333"/>
          <w:w w:val="110"/>
        </w:rPr>
        <w:t xml:space="preserve"> there and then overridden </w:t>
      </w:r>
      <w:r w:rsidR="0030286B">
        <w:rPr>
          <w:color w:val="333333"/>
          <w:spacing w:val="-3"/>
          <w:w w:val="110"/>
        </w:rPr>
        <w:t xml:space="preserve">by </w:t>
      </w:r>
      <w:r w:rsidR="0030286B">
        <w:rPr>
          <w:color w:val="333333"/>
          <w:w w:val="110"/>
        </w:rPr>
        <w:t>the call to</w:t>
      </w:r>
      <w:r w:rsidR="0030286B">
        <w:rPr>
          <w:color w:val="333333"/>
          <w:spacing w:val="25"/>
          <w:w w:val="110"/>
        </w:rPr>
        <w:t xml:space="preserve"> </w:t>
      </w:r>
      <w:r w:rsidR="0030286B">
        <w:rPr>
          <w:rFonts w:ascii="MS Gothic"/>
          <w:color w:val="B02045"/>
          <w:w w:val="110"/>
        </w:rPr>
        <w:t>.type()</w:t>
      </w:r>
      <w:r w:rsidR="0030286B">
        <w:rPr>
          <w:color w:val="333333"/>
          <w:w w:val="110"/>
        </w:rPr>
        <w:t>.</w:t>
      </w:r>
    </w:p>
    <w:p w14:paraId="4889488A" w14:textId="77777777" w:rsidR="00A720EB" w:rsidRDefault="00A720EB">
      <w:pPr>
        <w:pStyle w:val="a3"/>
        <w:rPr>
          <w:sz w:val="16"/>
        </w:rPr>
      </w:pPr>
    </w:p>
    <w:p w14:paraId="55B0AE3F" w14:textId="77777777" w:rsidR="00A720EB" w:rsidRDefault="0030286B">
      <w:pPr>
        <w:pStyle w:val="a3"/>
        <w:spacing w:before="125"/>
        <w:ind w:left="124"/>
        <w:jc w:val="both"/>
      </w:pPr>
      <w:r>
        <w:rPr>
          <w:color w:val="333333"/>
          <w:w w:val="110"/>
        </w:rPr>
        <w:t>See “</w:t>
      </w:r>
      <w:hyperlink w:anchor="_bookmark199" w:history="1">
        <w:r>
          <w:rPr>
            <w:color w:val="418BCA"/>
            <w:w w:val="110"/>
          </w:rPr>
          <w:t>Configure a DataSource</w:t>
        </w:r>
      </w:hyperlink>
      <w:r>
        <w:rPr>
          <w:color w:val="333333"/>
          <w:w w:val="110"/>
        </w:rPr>
        <w:t>” in the “Spring Boot features” section and the</w:t>
      </w:r>
    </w:p>
    <w:p w14:paraId="7619981A" w14:textId="77777777" w:rsidR="00A720EB" w:rsidRDefault="00E10349">
      <w:pPr>
        <w:pStyle w:val="a3"/>
        <w:spacing w:before="59"/>
        <w:ind w:left="124"/>
        <w:jc w:val="both"/>
      </w:pPr>
      <w:hyperlink r:id="rId622">
        <w:r w:rsidR="0030286B">
          <w:rPr>
            <w:rFonts w:ascii="MS Gothic"/>
            <w:color w:val="B02045"/>
            <w:w w:val="110"/>
          </w:rPr>
          <w:t>DataSourceAutoConfiguration</w:t>
        </w:r>
        <w:r w:rsidR="0030286B">
          <w:rPr>
            <w:rFonts w:ascii="MS Gothic"/>
            <w:color w:val="B02045"/>
            <w:spacing w:val="-64"/>
            <w:w w:val="110"/>
          </w:rPr>
          <w:t xml:space="preserve"> </w:t>
        </w:r>
      </w:hyperlink>
      <w:r w:rsidR="0030286B">
        <w:rPr>
          <w:color w:val="333333"/>
          <w:w w:val="110"/>
        </w:rPr>
        <w:t>class for more details.</w:t>
      </w:r>
    </w:p>
    <w:p w14:paraId="4EED08E4" w14:textId="77777777" w:rsidR="00A720EB" w:rsidRDefault="00A720EB">
      <w:pPr>
        <w:pStyle w:val="a3"/>
        <w:spacing w:before="6"/>
        <w:rPr>
          <w:sz w:val="30"/>
        </w:rPr>
      </w:pPr>
    </w:p>
    <w:p w14:paraId="767AFEF2" w14:textId="77777777" w:rsidR="00A720EB" w:rsidRDefault="0030286B">
      <w:pPr>
        <w:pStyle w:val="3"/>
        <w:numPr>
          <w:ilvl w:val="2"/>
          <w:numId w:val="13"/>
        </w:numPr>
        <w:tabs>
          <w:tab w:val="left" w:pos="858"/>
        </w:tabs>
        <w:ind w:hanging="734"/>
      </w:pPr>
      <w:bookmarkStart w:id="897" w:name="9.9.2._Configure_Two_DataSources"/>
      <w:bookmarkStart w:id="898" w:name="_Toc54423969"/>
      <w:bookmarkEnd w:id="897"/>
      <w:r>
        <w:rPr>
          <w:color w:val="333333"/>
          <w:w w:val="110"/>
        </w:rPr>
        <w:t>Configure Two</w:t>
      </w:r>
      <w:r>
        <w:rPr>
          <w:color w:val="333333"/>
          <w:spacing w:val="-13"/>
          <w:w w:val="110"/>
        </w:rPr>
        <w:t xml:space="preserve"> </w:t>
      </w:r>
      <w:r>
        <w:rPr>
          <w:color w:val="333333"/>
          <w:w w:val="110"/>
        </w:rPr>
        <w:t>DataSources</w:t>
      </w:r>
      <w:bookmarkEnd w:id="898"/>
    </w:p>
    <w:p w14:paraId="67938E3C" w14:textId="77777777" w:rsidR="00A720EB" w:rsidRDefault="0030286B">
      <w:pPr>
        <w:pStyle w:val="a3"/>
        <w:spacing w:before="254" w:line="295" w:lineRule="auto"/>
        <w:ind w:left="124" w:right="123"/>
        <w:jc w:val="both"/>
      </w:pPr>
      <w:r>
        <w:rPr>
          <w:color w:val="333333"/>
          <w:w w:val="110"/>
        </w:rPr>
        <w:t xml:space="preserve">If you need to configure multiple data sources, you can apply the same tricks that are described </w:t>
      </w:r>
      <w:proofErr w:type="gramStart"/>
      <w:r>
        <w:rPr>
          <w:color w:val="333333"/>
          <w:w w:val="110"/>
        </w:rPr>
        <w:t>in  the</w:t>
      </w:r>
      <w:proofErr w:type="gramEnd"/>
      <w:r>
        <w:rPr>
          <w:color w:val="333333"/>
          <w:w w:val="110"/>
        </w:rPr>
        <w:t xml:space="preserve"> previous section. </w:t>
      </w:r>
      <w:r>
        <w:rPr>
          <w:color w:val="333333"/>
          <w:spacing w:val="-6"/>
          <w:w w:val="110"/>
        </w:rPr>
        <w:t xml:space="preserve">You </w:t>
      </w:r>
      <w:r>
        <w:rPr>
          <w:color w:val="333333"/>
          <w:w w:val="110"/>
        </w:rPr>
        <w:t xml:space="preserve">must, however, mark one of the </w:t>
      </w:r>
      <w:r>
        <w:rPr>
          <w:rFonts w:ascii="MS Gothic"/>
          <w:color w:val="B02045"/>
          <w:w w:val="110"/>
        </w:rPr>
        <w:t>DataSource</w:t>
      </w:r>
      <w:r>
        <w:rPr>
          <w:rFonts w:ascii="MS Gothic"/>
          <w:color w:val="B02045"/>
          <w:spacing w:val="-50"/>
          <w:w w:val="110"/>
        </w:rPr>
        <w:t xml:space="preserve"> </w:t>
      </w:r>
      <w:r>
        <w:rPr>
          <w:color w:val="333333"/>
          <w:w w:val="110"/>
        </w:rPr>
        <w:t xml:space="preserve">instances as </w:t>
      </w:r>
      <w:r>
        <w:rPr>
          <w:rFonts w:ascii="MS Gothic"/>
          <w:color w:val="B02045"/>
          <w:w w:val="110"/>
        </w:rPr>
        <w:t>@Primary</w:t>
      </w:r>
      <w:r>
        <w:rPr>
          <w:color w:val="333333"/>
          <w:w w:val="110"/>
        </w:rPr>
        <w:t xml:space="preserve">, because various auto-configurations down the road expect to be able to get one </w:t>
      </w:r>
      <w:r>
        <w:rPr>
          <w:color w:val="333333"/>
          <w:spacing w:val="-3"/>
          <w:w w:val="110"/>
        </w:rPr>
        <w:t>by</w:t>
      </w:r>
      <w:r>
        <w:rPr>
          <w:color w:val="333333"/>
          <w:spacing w:val="43"/>
          <w:w w:val="110"/>
        </w:rPr>
        <w:t xml:space="preserve"> </w:t>
      </w:r>
      <w:r>
        <w:rPr>
          <w:color w:val="333333"/>
          <w:w w:val="110"/>
        </w:rPr>
        <w:t>type.</w:t>
      </w:r>
    </w:p>
    <w:p w14:paraId="22C48B9C" w14:textId="77777777" w:rsidR="00A720EB" w:rsidRDefault="0030286B">
      <w:pPr>
        <w:pStyle w:val="a3"/>
        <w:spacing w:before="240" w:line="271" w:lineRule="auto"/>
        <w:ind w:left="124" w:right="127"/>
        <w:jc w:val="both"/>
      </w:pPr>
      <w:r>
        <w:rPr>
          <w:color w:val="333333"/>
          <w:w w:val="110"/>
        </w:rPr>
        <w:t xml:space="preserve">If you create your own </w:t>
      </w:r>
      <w:r>
        <w:rPr>
          <w:rFonts w:ascii="MS Gothic"/>
          <w:color w:val="B02045"/>
          <w:w w:val="110"/>
        </w:rPr>
        <w:t>DataSource</w:t>
      </w:r>
      <w:r>
        <w:rPr>
          <w:color w:val="333333"/>
          <w:w w:val="110"/>
        </w:rPr>
        <w:t xml:space="preserve">, the auto-configuration backs off. In the following example, we provide the </w:t>
      </w:r>
      <w:r>
        <w:rPr>
          <w:rFonts w:ascii="Palatino Linotype"/>
          <w:i/>
          <w:color w:val="333333"/>
          <w:w w:val="110"/>
        </w:rPr>
        <w:t xml:space="preserve">exact </w:t>
      </w:r>
      <w:r>
        <w:rPr>
          <w:color w:val="333333"/>
          <w:w w:val="110"/>
        </w:rPr>
        <w:t>same feature set as the auto-configuration provides on the primary data source:</w:t>
      </w:r>
    </w:p>
    <w:p w14:paraId="692CA427" w14:textId="77777777" w:rsidR="00A720EB" w:rsidRDefault="00A720EB">
      <w:pPr>
        <w:spacing w:line="271" w:lineRule="auto"/>
        <w:jc w:val="both"/>
        <w:sectPr w:rsidR="00A720EB">
          <w:pgSz w:w="11910" w:h="16840"/>
          <w:pgMar w:top="620" w:right="840" w:bottom="520" w:left="840" w:header="0" w:footer="323" w:gutter="0"/>
          <w:cols w:space="720"/>
        </w:sectPr>
      </w:pPr>
    </w:p>
    <w:p w14:paraId="70A26D1E" w14:textId="77777777" w:rsidR="00A720EB" w:rsidRDefault="00E10349">
      <w:pPr>
        <w:pStyle w:val="a3"/>
        <w:ind w:left="116"/>
        <w:rPr>
          <w:sz w:val="20"/>
        </w:rPr>
      </w:pPr>
      <w:r>
        <w:rPr>
          <w:sz w:val="20"/>
        </w:rPr>
      </w:r>
      <w:r>
        <w:rPr>
          <w:sz w:val="20"/>
        </w:rPr>
        <w:pict w14:anchorId="7360BDF0">
          <v:group id="_x0000_s1389" style="width:499.55pt;height:332.3pt;mso-position-horizontal-relative:char;mso-position-vertical-relative:line" coordsize="9991,6646">
            <v:shape id="_x0000_s1392" style="position:absolute;left:7;top:7;width:9976;height:6631" coordorigin="8,8" coordsize="9976,6631" path="m9904,8l88,8,56,14,31,31,14,56,8,88r,6470l14,6589r17,26l56,6632r32,6l9904,6638r31,-6l9960,6615r17,-26l9984,6558r,-6470l9977,56,9960,31,9935,14,9904,8xe" fillcolor="#f5f5f5" stroked="f">
              <v:path arrowok="t"/>
            </v:shape>
            <v:shape id="_x0000_s1391" style="position:absolute;left:7;top:7;width:9976;height:6631" coordorigin="8,8" coordsize="9976,6631" path="m88,8r9816,l9935,14r25,17l9977,56r7,32l9984,6558r-7,31l9960,6615r-25,17l9904,6638r-9816,l56,6632,31,6615,14,6589,8,6558,8,88,14,56,31,31,56,14,88,8xe" filled="f" strokecolor="#ccc">
              <v:path arrowok="t"/>
            </v:shape>
            <v:shape id="_x0000_s1390" type="#_x0000_t202" style="position:absolute;left:26;top:22;width:9938;height:6600" filled="f" stroked="f">
              <v:textbox inset="0,0,0,0">
                <w:txbxContent>
                  <w:p w14:paraId="1C9D8383" w14:textId="77777777" w:rsidR="00711A16" w:rsidRDefault="00711A16">
                    <w:pPr>
                      <w:spacing w:before="221" w:line="252" w:lineRule="auto"/>
                      <w:ind w:left="200" w:right="8838"/>
                      <w:rPr>
                        <w:rFonts w:ascii="MS Gothic"/>
                      </w:rPr>
                    </w:pPr>
                    <w:r>
                      <w:rPr>
                        <w:rFonts w:ascii="MS Gothic"/>
                        <w:color w:val="333333"/>
                      </w:rPr>
                      <w:t>@Bean @Primary</w:t>
                    </w:r>
                  </w:p>
                  <w:p w14:paraId="61CAE745" w14:textId="77777777" w:rsidR="00711A16" w:rsidRDefault="00711A16">
                    <w:pPr>
                      <w:spacing w:line="280" w:lineRule="exact"/>
                      <w:ind w:left="200"/>
                      <w:rPr>
                        <w:rFonts w:ascii="MS Gothic"/>
                      </w:rPr>
                    </w:pPr>
                    <w:r>
                      <w:rPr>
                        <w:rFonts w:ascii="MS Gothic"/>
                        <w:color w:val="333333"/>
                      </w:rPr>
                      <w:t>@ConfigurationProperties("</w:t>
                    </w:r>
                    <w:proofErr w:type="gramStart"/>
                    <w:r>
                      <w:rPr>
                        <w:rFonts w:ascii="MS Gothic"/>
                        <w:color w:val="333333"/>
                      </w:rPr>
                      <w:t>app.datasource</w:t>
                    </w:r>
                    <w:proofErr w:type="gramEnd"/>
                    <w:r>
                      <w:rPr>
                        <w:rFonts w:ascii="MS Gothic"/>
                        <w:color w:val="333333"/>
                      </w:rPr>
                      <w:t>.first")</w:t>
                    </w:r>
                  </w:p>
                  <w:p w14:paraId="40172220" w14:textId="77777777" w:rsidR="00711A16" w:rsidRDefault="00711A16">
                    <w:pPr>
                      <w:spacing w:before="13" w:line="252" w:lineRule="auto"/>
                      <w:ind w:left="640" w:right="3448" w:hanging="440"/>
                      <w:rPr>
                        <w:rFonts w:ascii="MS Gothic"/>
                      </w:rPr>
                    </w:pPr>
                    <w:r>
                      <w:rPr>
                        <w:rFonts w:ascii="MS Gothic"/>
                        <w:color w:val="333333"/>
                      </w:rPr>
                      <w:t xml:space="preserve">public DataSourceProperties </w:t>
                    </w:r>
                    <w:proofErr w:type="gramStart"/>
                    <w:r>
                      <w:rPr>
                        <w:rFonts w:ascii="MS Gothic"/>
                        <w:color w:val="333333"/>
                      </w:rPr>
                      <w:t>firstDataSourceProperties(</w:t>
                    </w:r>
                    <w:proofErr w:type="gramEnd"/>
                    <w:r>
                      <w:rPr>
                        <w:rFonts w:ascii="MS Gothic"/>
                        <w:color w:val="333333"/>
                      </w:rPr>
                      <w:t>) { return new DataSourceProperties();</w:t>
                    </w:r>
                  </w:p>
                  <w:p w14:paraId="5284FA38" w14:textId="77777777" w:rsidR="00711A16" w:rsidRDefault="00711A16">
                    <w:pPr>
                      <w:spacing w:line="280" w:lineRule="exact"/>
                      <w:ind w:left="200"/>
                      <w:rPr>
                        <w:rFonts w:ascii="MS Gothic"/>
                      </w:rPr>
                    </w:pPr>
                    <w:r>
                      <w:rPr>
                        <w:rFonts w:ascii="MS Gothic"/>
                        <w:color w:val="333333"/>
                      </w:rPr>
                      <w:t>}</w:t>
                    </w:r>
                  </w:p>
                  <w:p w14:paraId="528012F4" w14:textId="77777777" w:rsidR="00711A16" w:rsidRDefault="00711A16">
                    <w:pPr>
                      <w:rPr>
                        <w:rFonts w:ascii="MS Gothic"/>
                        <w:sz w:val="24"/>
                      </w:rPr>
                    </w:pPr>
                  </w:p>
                  <w:p w14:paraId="166407F7" w14:textId="77777777" w:rsidR="00711A16" w:rsidRDefault="00711A16">
                    <w:pPr>
                      <w:spacing w:line="252" w:lineRule="auto"/>
                      <w:ind w:left="200" w:right="8838"/>
                      <w:rPr>
                        <w:rFonts w:ascii="MS Gothic"/>
                      </w:rPr>
                    </w:pPr>
                    <w:r>
                      <w:rPr>
                        <w:rFonts w:ascii="MS Gothic"/>
                        <w:color w:val="333333"/>
                      </w:rPr>
                      <w:t>@Bean @Primary</w:t>
                    </w:r>
                  </w:p>
                  <w:p w14:paraId="169242BC" w14:textId="77777777" w:rsidR="00711A16" w:rsidRDefault="00711A16">
                    <w:pPr>
                      <w:spacing w:line="252" w:lineRule="auto"/>
                      <w:ind w:left="200" w:right="2898"/>
                      <w:rPr>
                        <w:rFonts w:ascii="MS Gothic"/>
                      </w:rPr>
                    </w:pPr>
                    <w:r>
                      <w:rPr>
                        <w:rFonts w:ascii="MS Gothic"/>
                        <w:color w:val="333333"/>
                      </w:rPr>
                      <w:t>@ConfigurationProperties("</w:t>
                    </w:r>
                    <w:proofErr w:type="gramStart"/>
                    <w:r>
                      <w:rPr>
                        <w:rFonts w:ascii="MS Gothic"/>
                        <w:color w:val="333333"/>
                      </w:rPr>
                      <w:t>app.datasource</w:t>
                    </w:r>
                    <w:proofErr w:type="gramEnd"/>
                    <w:r>
                      <w:rPr>
                        <w:rFonts w:ascii="MS Gothic"/>
                        <w:color w:val="333333"/>
                      </w:rPr>
                      <w:t>.first.configuration") public HikariDataSource firstDataSource() {</w:t>
                    </w:r>
                  </w:p>
                  <w:p w14:paraId="0416DC06" w14:textId="77777777" w:rsidR="00711A16" w:rsidRDefault="00711A16">
                    <w:pPr>
                      <w:spacing w:line="252" w:lineRule="auto"/>
                      <w:ind w:left="200" w:right="258" w:firstLine="440"/>
                      <w:rPr>
                        <w:rFonts w:ascii="MS Gothic"/>
                      </w:rPr>
                    </w:pPr>
                    <w:r>
                      <w:rPr>
                        <w:rFonts w:ascii="MS Gothic"/>
                        <w:color w:val="333333"/>
                      </w:rPr>
                      <w:t>return firstDataSourceProperties(</w:t>
                    </w:r>
                    <w:proofErr w:type="gramStart"/>
                    <w:r>
                      <w:rPr>
                        <w:rFonts w:ascii="MS Gothic"/>
                        <w:color w:val="333333"/>
                      </w:rPr>
                      <w:t>).initializeDataSourceBuilder</w:t>
                    </w:r>
                    <w:proofErr w:type="gramEnd"/>
                    <w:r>
                      <w:rPr>
                        <w:rFonts w:ascii="MS Gothic"/>
                        <w:color w:val="333333"/>
                      </w:rPr>
                      <w:t>().type(HikariDataSource.class)</w:t>
                    </w:r>
                  </w:p>
                  <w:p w14:paraId="7C038EB8" w14:textId="77777777" w:rsidR="00711A16" w:rsidRDefault="00711A16">
                    <w:pPr>
                      <w:spacing w:line="280" w:lineRule="exact"/>
                      <w:ind w:left="200"/>
                      <w:rPr>
                        <w:rFonts w:ascii="MS Gothic"/>
                      </w:rPr>
                    </w:pPr>
                    <w:proofErr w:type="gramStart"/>
                    <w:r>
                      <w:rPr>
                        <w:rFonts w:ascii="MS Gothic"/>
                        <w:color w:val="333333"/>
                      </w:rPr>
                      <w:t>.build</w:t>
                    </w:r>
                    <w:proofErr w:type="gramEnd"/>
                    <w:r>
                      <w:rPr>
                        <w:rFonts w:ascii="MS Gothic"/>
                        <w:color w:val="333333"/>
                      </w:rPr>
                      <w:t>();</w:t>
                    </w:r>
                  </w:p>
                  <w:p w14:paraId="2F87200E" w14:textId="77777777" w:rsidR="00711A16" w:rsidRDefault="00711A16">
                    <w:pPr>
                      <w:spacing w:before="8"/>
                      <w:ind w:left="200"/>
                      <w:rPr>
                        <w:rFonts w:ascii="MS Gothic"/>
                      </w:rPr>
                    </w:pPr>
                    <w:r>
                      <w:rPr>
                        <w:rFonts w:ascii="MS Gothic"/>
                        <w:color w:val="333333"/>
                      </w:rPr>
                      <w:t>}</w:t>
                    </w:r>
                  </w:p>
                  <w:p w14:paraId="6DE5929F" w14:textId="77777777" w:rsidR="00711A16" w:rsidRDefault="00711A16">
                    <w:pPr>
                      <w:rPr>
                        <w:rFonts w:ascii="MS Gothic"/>
                        <w:sz w:val="24"/>
                      </w:rPr>
                    </w:pPr>
                  </w:p>
                  <w:p w14:paraId="1B36E04A" w14:textId="77777777" w:rsidR="00711A16" w:rsidRDefault="00711A16">
                    <w:pPr>
                      <w:spacing w:line="252" w:lineRule="auto"/>
                      <w:ind w:left="200" w:right="4328"/>
                      <w:rPr>
                        <w:rFonts w:ascii="MS Gothic"/>
                      </w:rPr>
                    </w:pPr>
                    <w:r>
                      <w:rPr>
                        <w:rFonts w:ascii="MS Gothic"/>
                        <w:color w:val="333333"/>
                      </w:rPr>
                      <w:t>@Bean @ConfigurationProperties("</w:t>
                    </w:r>
                    <w:proofErr w:type="gramStart"/>
                    <w:r>
                      <w:rPr>
                        <w:rFonts w:ascii="MS Gothic"/>
                        <w:color w:val="333333"/>
                      </w:rPr>
                      <w:t>app.datasource</w:t>
                    </w:r>
                    <w:proofErr w:type="gramEnd"/>
                    <w:r>
                      <w:rPr>
                        <w:rFonts w:ascii="MS Gothic"/>
                        <w:color w:val="333333"/>
                      </w:rPr>
                      <w:t>.second") public BasicDataSource secondDataSource() {</w:t>
                    </w:r>
                  </w:p>
                  <w:p w14:paraId="23473A8C" w14:textId="77777777" w:rsidR="00711A16" w:rsidRDefault="00711A16">
                    <w:pPr>
                      <w:spacing w:line="278" w:lineRule="exact"/>
                      <w:ind w:left="640"/>
                      <w:rPr>
                        <w:rFonts w:ascii="MS Gothic"/>
                      </w:rPr>
                    </w:pPr>
                    <w:r>
                      <w:rPr>
                        <w:rFonts w:ascii="MS Gothic"/>
                        <w:color w:val="333333"/>
                      </w:rPr>
                      <w:t>return DataSourceBuilder.create(</w:t>
                    </w:r>
                    <w:proofErr w:type="gramStart"/>
                    <w:r>
                      <w:rPr>
                        <w:rFonts w:ascii="MS Gothic"/>
                        <w:color w:val="333333"/>
                      </w:rPr>
                      <w:t>).type</w:t>
                    </w:r>
                    <w:proofErr w:type="gramEnd"/>
                    <w:r>
                      <w:rPr>
                        <w:rFonts w:ascii="MS Gothic"/>
                        <w:color w:val="333333"/>
                      </w:rPr>
                      <w:t>(BasicDataSource.class).build();</w:t>
                    </w:r>
                  </w:p>
                  <w:p w14:paraId="7E9DC128" w14:textId="77777777" w:rsidR="00711A16" w:rsidRDefault="00711A16">
                    <w:pPr>
                      <w:spacing w:before="13"/>
                      <w:ind w:left="200"/>
                      <w:rPr>
                        <w:rFonts w:ascii="MS Gothic"/>
                      </w:rPr>
                    </w:pPr>
                    <w:r>
                      <w:rPr>
                        <w:rFonts w:ascii="MS Gothic"/>
                        <w:color w:val="333333"/>
                      </w:rPr>
                      <w:t>}</w:t>
                    </w:r>
                  </w:p>
                </w:txbxContent>
              </v:textbox>
            </v:shape>
            <w10:anchorlock/>
          </v:group>
        </w:pict>
      </w:r>
    </w:p>
    <w:p w14:paraId="224108E4" w14:textId="77777777" w:rsidR="00A720EB" w:rsidRDefault="00A720EB">
      <w:pPr>
        <w:pStyle w:val="a3"/>
        <w:spacing w:before="10"/>
        <w:rPr>
          <w:sz w:val="15"/>
        </w:rPr>
      </w:pPr>
    </w:p>
    <w:p w14:paraId="33FEE95F" w14:textId="77777777" w:rsidR="00A720EB" w:rsidRDefault="00E10349">
      <w:pPr>
        <w:pStyle w:val="a3"/>
        <w:spacing w:before="116" w:line="290" w:lineRule="auto"/>
        <w:ind w:left="1564"/>
      </w:pPr>
      <w:r>
        <w:pict w14:anchorId="61639BAB">
          <v:line id="_x0000_s1388" style="position:absolute;left:0;text-align:left;z-index:16388608;mso-position-horizontal-relative:page" from="108.25pt,.35pt" to="108.25pt,39.9pt" strokecolor="#ededed" strokeweight=".5pt">
            <w10:wrap anchorx="page"/>
          </v:line>
        </w:pict>
      </w:r>
      <w:r w:rsidR="0030286B">
        <w:rPr>
          <w:noProof/>
        </w:rPr>
        <w:drawing>
          <wp:anchor distT="0" distB="0" distL="0" distR="0" simplePos="0" relativeHeight="16389120" behindDoc="0" locked="0" layoutInCell="1" allowOverlap="1" wp14:anchorId="4557D626" wp14:editId="55BF4047">
            <wp:simplePos x="0" y="0"/>
            <wp:positionH relativeFrom="page">
              <wp:posOffset>888949</wp:posOffset>
            </wp:positionH>
            <wp:positionV relativeFrom="paragraph">
              <wp:posOffset>103073</wp:posOffset>
            </wp:positionV>
            <wp:extent cx="209550" cy="304800"/>
            <wp:effectExtent l="0" t="0" r="0" b="0"/>
            <wp:wrapNone/>
            <wp:docPr id="7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rFonts w:ascii="MS Gothic"/>
          <w:color w:val="B02045"/>
          <w:w w:val="110"/>
        </w:rPr>
        <w:t xml:space="preserve">firstDataSourceProperties </w:t>
      </w:r>
      <w:r w:rsidR="0030286B">
        <w:rPr>
          <w:color w:val="333333"/>
          <w:w w:val="110"/>
        </w:rPr>
        <w:t xml:space="preserve">has to be flagged as </w:t>
      </w:r>
      <w:r w:rsidR="0030286B">
        <w:rPr>
          <w:rFonts w:ascii="MS Gothic"/>
          <w:color w:val="B02045"/>
          <w:w w:val="110"/>
        </w:rPr>
        <w:t xml:space="preserve">@Primary </w:t>
      </w:r>
      <w:r w:rsidR="0030286B">
        <w:rPr>
          <w:color w:val="333333"/>
          <w:w w:val="110"/>
        </w:rPr>
        <w:t xml:space="preserve">so that the </w:t>
      </w:r>
      <w:proofErr w:type="gramStart"/>
      <w:r w:rsidR="0030286B">
        <w:rPr>
          <w:color w:val="333333"/>
          <w:w w:val="110"/>
        </w:rPr>
        <w:t>database  initializer</w:t>
      </w:r>
      <w:proofErr w:type="gramEnd"/>
      <w:r w:rsidR="0030286B">
        <w:rPr>
          <w:color w:val="333333"/>
          <w:w w:val="110"/>
        </w:rPr>
        <w:t xml:space="preserve"> feature uses your copy (if you use the initializer).</w:t>
      </w:r>
    </w:p>
    <w:p w14:paraId="554BB37B" w14:textId="77777777" w:rsidR="00A720EB" w:rsidRDefault="00A720EB">
      <w:pPr>
        <w:pStyle w:val="a3"/>
        <w:spacing w:before="2"/>
        <w:rPr>
          <w:sz w:val="18"/>
        </w:rPr>
      </w:pPr>
    </w:p>
    <w:p w14:paraId="54316AF2" w14:textId="77777777" w:rsidR="00A720EB" w:rsidRDefault="0030286B">
      <w:pPr>
        <w:pStyle w:val="a3"/>
        <w:spacing w:before="125" w:line="307" w:lineRule="auto"/>
        <w:ind w:left="124" w:right="462"/>
      </w:pPr>
      <w:r>
        <w:rPr>
          <w:color w:val="333333"/>
          <w:w w:val="110"/>
        </w:rPr>
        <w:t>Both data sources are also bound for advanced customizations. For instance, you could configure them as follows:</w:t>
      </w:r>
    </w:p>
    <w:p w14:paraId="06E0AA06" w14:textId="77777777" w:rsidR="00A720EB" w:rsidRDefault="00E10349">
      <w:pPr>
        <w:pStyle w:val="a3"/>
        <w:spacing w:before="2"/>
        <w:rPr>
          <w:sz w:val="13"/>
        </w:rPr>
      </w:pPr>
      <w:r>
        <w:pict w14:anchorId="2511C0C8">
          <v:group id="_x0000_s1384" style="position:absolute;margin-left:47.85pt;margin-top:9.7pt;width:499.55pt;height:155.45pt;z-index:-15069184;mso-wrap-distance-left:0;mso-wrap-distance-right:0;mso-position-horizontal-relative:page" coordorigin="957,194" coordsize="9991,3109">
            <v:shape id="_x0000_s1387" style="position:absolute;left:964;top:201;width:9976;height:3094" coordorigin="965,202" coordsize="9976,3094" path="m10861,202r-9816,l1014,208r-26,17l971,251r-6,31l965,3215r6,31l988,3272r26,17l1045,3295r9816,l10892,3289r25,-17l10935,3246r6,-31l10941,282r-6,-31l10917,225r-25,-17l10861,202xe" fillcolor="#f5f5f5" stroked="f">
              <v:path arrowok="t"/>
            </v:shape>
            <v:shape id="_x0000_s1386" style="position:absolute;left:964;top:201;width:9976;height:3094" coordorigin="965,202" coordsize="9976,3094" path="m1045,202r9816,l10892,208r25,17l10935,251r6,31l10941,3215r-6,31l10917,3272r-25,17l10861,3295r-9816,l1014,3289r-26,-17l971,3246r-6,-31l965,282r6,-31l988,225r26,-17l1045,202xe" filled="f" strokecolor="#ccc">
              <v:path arrowok="t"/>
            </v:shape>
            <v:shape id="_x0000_s1385" type="#_x0000_t202" style="position:absolute;left:984;top:217;width:9938;height:3063" filled="f" stroked="f">
              <v:textbox inset="0,0,0,0">
                <w:txbxContent>
                  <w:p w14:paraId="21E09B46" w14:textId="77777777" w:rsidR="00711A16" w:rsidRDefault="00711A16">
                    <w:pPr>
                      <w:spacing w:before="221" w:line="252" w:lineRule="auto"/>
                      <w:ind w:left="200" w:right="3684"/>
                      <w:rPr>
                        <w:rFonts w:ascii="MS Gothic"/>
                      </w:rPr>
                    </w:pPr>
                    <w:r>
                      <w:rPr>
                        <w:rFonts w:ascii="MS Gothic"/>
                        <w:color w:val="333333"/>
                      </w:rPr>
                      <w:t>app.datasource.first.url=</w:t>
                    </w:r>
                    <w:proofErr w:type="gramStart"/>
                    <w:r>
                      <w:rPr>
                        <w:rFonts w:ascii="MS Gothic"/>
                        <w:color w:val="333333"/>
                      </w:rPr>
                      <w:t>jdbc:mysql://localhost/first</w:t>
                    </w:r>
                    <w:proofErr w:type="gramEnd"/>
                    <w:r>
                      <w:rPr>
                        <w:rFonts w:ascii="MS Gothic"/>
                        <w:color w:val="333333"/>
                      </w:rPr>
                      <w:t xml:space="preserve"> app.datasource.first.username=dbuser app.datasource.first.password=dbpass app.datasource.first.configuration.maximum-pool-size=30</w:t>
                    </w:r>
                  </w:p>
                  <w:p w14:paraId="40B17F62" w14:textId="77777777" w:rsidR="00711A16" w:rsidRDefault="00711A16">
                    <w:pPr>
                      <w:spacing w:before="8"/>
                      <w:rPr>
                        <w:rFonts w:ascii="MS Gothic"/>
                      </w:rPr>
                    </w:pPr>
                  </w:p>
                  <w:p w14:paraId="747099DB" w14:textId="77777777" w:rsidR="00711A16" w:rsidRDefault="00711A16">
                    <w:pPr>
                      <w:spacing w:line="252" w:lineRule="auto"/>
                      <w:ind w:left="200" w:right="3684"/>
                      <w:rPr>
                        <w:rFonts w:ascii="MS Gothic"/>
                      </w:rPr>
                    </w:pPr>
                    <w:r>
                      <w:rPr>
                        <w:rFonts w:ascii="MS Gothic"/>
                        <w:color w:val="333333"/>
                      </w:rPr>
                      <w:t>app.datasource.second.url=</w:t>
                    </w:r>
                    <w:proofErr w:type="gramStart"/>
                    <w:r>
                      <w:rPr>
                        <w:rFonts w:ascii="MS Gothic"/>
                        <w:color w:val="333333"/>
                      </w:rPr>
                      <w:t>jdbc:mysql://localhost/second</w:t>
                    </w:r>
                    <w:proofErr w:type="gramEnd"/>
                    <w:r>
                      <w:rPr>
                        <w:rFonts w:ascii="MS Gothic"/>
                        <w:color w:val="333333"/>
                      </w:rPr>
                      <w:t xml:space="preserve"> app.datasource.second.username=dbuser app.datasource.second.password=dbpass app.datasource.second.max-total=30</w:t>
                    </w:r>
                  </w:p>
                </w:txbxContent>
              </v:textbox>
            </v:shape>
            <w10:wrap type="topAndBottom" anchorx="page"/>
          </v:group>
        </w:pict>
      </w:r>
    </w:p>
    <w:p w14:paraId="73E74F11" w14:textId="77777777" w:rsidR="00A720EB" w:rsidRDefault="00A720EB">
      <w:pPr>
        <w:pStyle w:val="a3"/>
        <w:spacing w:before="11"/>
        <w:rPr>
          <w:sz w:val="9"/>
        </w:rPr>
      </w:pPr>
    </w:p>
    <w:p w14:paraId="0BD1236F" w14:textId="77777777" w:rsidR="00A720EB" w:rsidRDefault="0030286B">
      <w:pPr>
        <w:pStyle w:val="a3"/>
        <w:spacing w:before="115" w:line="290" w:lineRule="auto"/>
        <w:ind w:left="124"/>
      </w:pPr>
      <w:r>
        <w:rPr>
          <w:color w:val="333333"/>
          <w:w w:val="110"/>
        </w:rPr>
        <w:t xml:space="preserve">You can apply the same concept to the secondary </w:t>
      </w:r>
      <w:r>
        <w:rPr>
          <w:rFonts w:ascii="MS Gothic"/>
          <w:color w:val="B02045"/>
          <w:w w:val="110"/>
        </w:rPr>
        <w:t xml:space="preserve">DataSource </w:t>
      </w:r>
      <w:r>
        <w:rPr>
          <w:color w:val="333333"/>
          <w:w w:val="110"/>
        </w:rPr>
        <w:t>as well, as shown in the following example:</w:t>
      </w:r>
    </w:p>
    <w:p w14:paraId="71490E4C" w14:textId="77777777" w:rsidR="00A720EB" w:rsidRDefault="00A720EB">
      <w:pPr>
        <w:spacing w:line="290" w:lineRule="auto"/>
        <w:sectPr w:rsidR="00A720EB">
          <w:pgSz w:w="11910" w:h="16840"/>
          <w:pgMar w:top="700" w:right="840" w:bottom="520" w:left="840" w:header="0" w:footer="323" w:gutter="0"/>
          <w:cols w:space="720"/>
        </w:sectPr>
      </w:pPr>
    </w:p>
    <w:p w14:paraId="1AB66390" w14:textId="77777777" w:rsidR="00A720EB" w:rsidRDefault="00E10349">
      <w:pPr>
        <w:pStyle w:val="a3"/>
        <w:ind w:left="116"/>
        <w:rPr>
          <w:sz w:val="20"/>
        </w:rPr>
      </w:pPr>
      <w:r>
        <w:rPr>
          <w:sz w:val="20"/>
        </w:rPr>
      </w:r>
      <w:r>
        <w:rPr>
          <w:sz w:val="20"/>
        </w:rPr>
        <w:pict w14:anchorId="472E6A7A">
          <v:group id="_x0000_s1380" style="width:499.55pt;height:450.25pt;mso-position-horizontal-relative:char;mso-position-vertical-relative:line" coordsize="9991,9005">
            <v:shape id="_x0000_s1383" style="position:absolute;left:7;top:7;width:9976;height:8990" coordorigin="8,8" coordsize="9976,8990" path="m9904,8l88,8,56,14,31,31,14,56,8,88r,8829l14,8948r17,25l56,8990r32,7l9904,8997r31,-7l9960,8973r17,-25l9984,8917r,-8829l9977,56,9960,31,9935,14,9904,8xe" fillcolor="#f5f5f5" stroked="f">
              <v:path arrowok="t"/>
            </v:shape>
            <v:shape id="_x0000_s1382" style="position:absolute;left:7;top:7;width:9976;height:8990" coordorigin="8,8" coordsize="9976,8990" path="m88,8r9816,l9935,14r25,17l9977,56r7,32l9984,8917r-7,31l9960,8973r-25,17l9904,8997r-9816,l56,8990,31,8973,14,8948,8,8917,8,88,14,56,31,31,56,14,88,8xe" filled="f" strokecolor="#ccc">
              <v:path arrowok="t"/>
            </v:shape>
            <v:shape id="_x0000_s1381" type="#_x0000_t202" style="position:absolute;left:26;top:22;width:9938;height:8959" filled="f" stroked="f">
              <v:textbox inset="0,0,0,0">
                <w:txbxContent>
                  <w:p w14:paraId="7AB3C9DC" w14:textId="77777777" w:rsidR="00711A16" w:rsidRDefault="00711A16">
                    <w:pPr>
                      <w:spacing w:before="221" w:line="252" w:lineRule="auto"/>
                      <w:ind w:left="200" w:right="8838"/>
                      <w:rPr>
                        <w:rFonts w:ascii="MS Gothic"/>
                      </w:rPr>
                    </w:pPr>
                    <w:r>
                      <w:rPr>
                        <w:rFonts w:ascii="MS Gothic"/>
                        <w:color w:val="333333"/>
                      </w:rPr>
                      <w:t>@Bean @Primary</w:t>
                    </w:r>
                  </w:p>
                  <w:p w14:paraId="5E53EF43" w14:textId="77777777" w:rsidR="00711A16" w:rsidRDefault="00711A16">
                    <w:pPr>
                      <w:spacing w:line="280" w:lineRule="exact"/>
                      <w:ind w:left="200"/>
                      <w:rPr>
                        <w:rFonts w:ascii="MS Gothic"/>
                      </w:rPr>
                    </w:pPr>
                    <w:r>
                      <w:rPr>
                        <w:rFonts w:ascii="MS Gothic"/>
                        <w:color w:val="333333"/>
                      </w:rPr>
                      <w:t>@ConfigurationProperties("</w:t>
                    </w:r>
                    <w:proofErr w:type="gramStart"/>
                    <w:r>
                      <w:rPr>
                        <w:rFonts w:ascii="MS Gothic"/>
                        <w:color w:val="333333"/>
                      </w:rPr>
                      <w:t>app.datasource</w:t>
                    </w:r>
                    <w:proofErr w:type="gramEnd"/>
                    <w:r>
                      <w:rPr>
                        <w:rFonts w:ascii="MS Gothic"/>
                        <w:color w:val="333333"/>
                      </w:rPr>
                      <w:t>.first")</w:t>
                    </w:r>
                  </w:p>
                  <w:p w14:paraId="550EBE5F" w14:textId="77777777" w:rsidR="00711A16" w:rsidRDefault="00711A16">
                    <w:pPr>
                      <w:spacing w:before="13" w:line="252" w:lineRule="auto"/>
                      <w:ind w:left="640" w:right="3448" w:hanging="440"/>
                      <w:rPr>
                        <w:rFonts w:ascii="MS Gothic"/>
                      </w:rPr>
                    </w:pPr>
                    <w:r>
                      <w:rPr>
                        <w:rFonts w:ascii="MS Gothic"/>
                        <w:color w:val="333333"/>
                      </w:rPr>
                      <w:t xml:space="preserve">public DataSourceProperties </w:t>
                    </w:r>
                    <w:proofErr w:type="gramStart"/>
                    <w:r>
                      <w:rPr>
                        <w:rFonts w:ascii="MS Gothic"/>
                        <w:color w:val="333333"/>
                      </w:rPr>
                      <w:t>firstDataSourceProperties(</w:t>
                    </w:r>
                    <w:proofErr w:type="gramEnd"/>
                    <w:r>
                      <w:rPr>
                        <w:rFonts w:ascii="MS Gothic"/>
                        <w:color w:val="333333"/>
                      </w:rPr>
                      <w:t>) { return new DataSourceProperties();</w:t>
                    </w:r>
                  </w:p>
                  <w:p w14:paraId="31AA24F8" w14:textId="77777777" w:rsidR="00711A16" w:rsidRDefault="00711A16">
                    <w:pPr>
                      <w:spacing w:line="280" w:lineRule="exact"/>
                      <w:ind w:left="200"/>
                      <w:rPr>
                        <w:rFonts w:ascii="MS Gothic"/>
                      </w:rPr>
                    </w:pPr>
                    <w:r>
                      <w:rPr>
                        <w:rFonts w:ascii="MS Gothic"/>
                        <w:color w:val="333333"/>
                      </w:rPr>
                      <w:t>}</w:t>
                    </w:r>
                  </w:p>
                  <w:p w14:paraId="67590B7E" w14:textId="77777777" w:rsidR="00711A16" w:rsidRDefault="00711A16">
                    <w:pPr>
                      <w:rPr>
                        <w:rFonts w:ascii="MS Gothic"/>
                        <w:sz w:val="24"/>
                      </w:rPr>
                    </w:pPr>
                  </w:p>
                  <w:p w14:paraId="5E1AD2F6" w14:textId="77777777" w:rsidR="00711A16" w:rsidRDefault="00711A16">
                    <w:pPr>
                      <w:spacing w:line="252" w:lineRule="auto"/>
                      <w:ind w:left="200" w:right="8838"/>
                      <w:rPr>
                        <w:rFonts w:ascii="MS Gothic"/>
                      </w:rPr>
                    </w:pPr>
                    <w:r>
                      <w:rPr>
                        <w:rFonts w:ascii="MS Gothic"/>
                        <w:color w:val="333333"/>
                      </w:rPr>
                      <w:t>@Bean @Primary</w:t>
                    </w:r>
                  </w:p>
                  <w:p w14:paraId="461C20AD" w14:textId="77777777" w:rsidR="00711A16" w:rsidRDefault="00711A16">
                    <w:pPr>
                      <w:spacing w:line="252" w:lineRule="auto"/>
                      <w:ind w:left="200" w:right="2898"/>
                      <w:rPr>
                        <w:rFonts w:ascii="MS Gothic"/>
                      </w:rPr>
                    </w:pPr>
                    <w:r>
                      <w:rPr>
                        <w:rFonts w:ascii="MS Gothic"/>
                        <w:color w:val="333333"/>
                      </w:rPr>
                      <w:t>@ConfigurationProperties("</w:t>
                    </w:r>
                    <w:proofErr w:type="gramStart"/>
                    <w:r>
                      <w:rPr>
                        <w:rFonts w:ascii="MS Gothic"/>
                        <w:color w:val="333333"/>
                      </w:rPr>
                      <w:t>app.datasource</w:t>
                    </w:r>
                    <w:proofErr w:type="gramEnd"/>
                    <w:r>
                      <w:rPr>
                        <w:rFonts w:ascii="MS Gothic"/>
                        <w:color w:val="333333"/>
                      </w:rPr>
                      <w:t>.first.configuration") public HikariDataSource firstDataSource() {</w:t>
                    </w:r>
                  </w:p>
                  <w:p w14:paraId="401E699C" w14:textId="77777777" w:rsidR="00711A16" w:rsidRDefault="00711A16">
                    <w:pPr>
                      <w:spacing w:line="252" w:lineRule="auto"/>
                      <w:ind w:left="200" w:right="258" w:firstLine="440"/>
                      <w:rPr>
                        <w:rFonts w:ascii="MS Gothic"/>
                      </w:rPr>
                    </w:pPr>
                    <w:r>
                      <w:rPr>
                        <w:rFonts w:ascii="MS Gothic"/>
                        <w:color w:val="333333"/>
                      </w:rPr>
                      <w:t>return firstDataSourceProperties(</w:t>
                    </w:r>
                    <w:proofErr w:type="gramStart"/>
                    <w:r>
                      <w:rPr>
                        <w:rFonts w:ascii="MS Gothic"/>
                        <w:color w:val="333333"/>
                      </w:rPr>
                      <w:t>).initializeDataSourceBuilder</w:t>
                    </w:r>
                    <w:proofErr w:type="gramEnd"/>
                    <w:r>
                      <w:rPr>
                        <w:rFonts w:ascii="MS Gothic"/>
                        <w:color w:val="333333"/>
                      </w:rPr>
                      <w:t>().type(HikariDataSource.class)</w:t>
                    </w:r>
                  </w:p>
                  <w:p w14:paraId="69C65A90" w14:textId="77777777" w:rsidR="00711A16" w:rsidRDefault="00711A16">
                    <w:pPr>
                      <w:spacing w:line="280" w:lineRule="exact"/>
                      <w:ind w:left="200"/>
                      <w:rPr>
                        <w:rFonts w:ascii="MS Gothic"/>
                      </w:rPr>
                    </w:pPr>
                    <w:proofErr w:type="gramStart"/>
                    <w:r>
                      <w:rPr>
                        <w:rFonts w:ascii="MS Gothic"/>
                        <w:color w:val="333333"/>
                      </w:rPr>
                      <w:t>.build</w:t>
                    </w:r>
                    <w:proofErr w:type="gramEnd"/>
                    <w:r>
                      <w:rPr>
                        <w:rFonts w:ascii="MS Gothic"/>
                        <w:color w:val="333333"/>
                      </w:rPr>
                      <w:t>();</w:t>
                    </w:r>
                  </w:p>
                  <w:p w14:paraId="798D3ECB" w14:textId="77777777" w:rsidR="00711A16" w:rsidRDefault="00711A16">
                    <w:pPr>
                      <w:spacing w:before="8"/>
                      <w:ind w:left="200"/>
                      <w:rPr>
                        <w:rFonts w:ascii="MS Gothic"/>
                      </w:rPr>
                    </w:pPr>
                    <w:r>
                      <w:rPr>
                        <w:rFonts w:ascii="MS Gothic"/>
                        <w:color w:val="333333"/>
                      </w:rPr>
                      <w:t>}</w:t>
                    </w:r>
                  </w:p>
                  <w:p w14:paraId="3AAEF4F2" w14:textId="77777777" w:rsidR="00711A16" w:rsidRDefault="00711A16">
                    <w:pPr>
                      <w:rPr>
                        <w:rFonts w:ascii="MS Gothic"/>
                        <w:sz w:val="24"/>
                      </w:rPr>
                    </w:pPr>
                  </w:p>
                  <w:p w14:paraId="64F7C3D9" w14:textId="77777777" w:rsidR="00711A16" w:rsidRDefault="00711A16">
                    <w:pPr>
                      <w:spacing w:line="252" w:lineRule="auto"/>
                      <w:ind w:left="200" w:right="4328"/>
                      <w:rPr>
                        <w:rFonts w:ascii="MS Gothic"/>
                      </w:rPr>
                    </w:pPr>
                    <w:r>
                      <w:rPr>
                        <w:rFonts w:ascii="MS Gothic"/>
                        <w:color w:val="333333"/>
                      </w:rPr>
                      <w:t>@Bean @ConfigurationProperties("</w:t>
                    </w:r>
                    <w:proofErr w:type="gramStart"/>
                    <w:r>
                      <w:rPr>
                        <w:rFonts w:ascii="MS Gothic"/>
                        <w:color w:val="333333"/>
                      </w:rPr>
                      <w:t>app.datasource</w:t>
                    </w:r>
                    <w:proofErr w:type="gramEnd"/>
                    <w:r>
                      <w:rPr>
                        <w:rFonts w:ascii="MS Gothic"/>
                        <w:color w:val="333333"/>
                      </w:rPr>
                      <w:t>.second")</w:t>
                    </w:r>
                  </w:p>
                  <w:p w14:paraId="1021572B" w14:textId="77777777" w:rsidR="00711A16" w:rsidRDefault="00711A16">
                    <w:pPr>
                      <w:spacing w:line="252" w:lineRule="auto"/>
                      <w:ind w:left="640" w:right="3338" w:hanging="440"/>
                      <w:rPr>
                        <w:rFonts w:ascii="MS Gothic"/>
                      </w:rPr>
                    </w:pPr>
                    <w:r>
                      <w:rPr>
                        <w:rFonts w:ascii="MS Gothic"/>
                        <w:color w:val="333333"/>
                      </w:rPr>
                      <w:t xml:space="preserve">public DataSourceProperties </w:t>
                    </w:r>
                    <w:proofErr w:type="gramStart"/>
                    <w:r>
                      <w:rPr>
                        <w:rFonts w:ascii="MS Gothic"/>
                        <w:color w:val="333333"/>
                      </w:rPr>
                      <w:t>secondDataSourceProperties(</w:t>
                    </w:r>
                    <w:proofErr w:type="gramEnd"/>
                    <w:r>
                      <w:rPr>
                        <w:rFonts w:ascii="MS Gothic"/>
                        <w:color w:val="333333"/>
                      </w:rPr>
                      <w:t>) { return new DataSourceProperties();</w:t>
                    </w:r>
                  </w:p>
                  <w:p w14:paraId="6A19BF58" w14:textId="77777777" w:rsidR="00711A16" w:rsidRDefault="00711A16">
                    <w:pPr>
                      <w:spacing w:line="280" w:lineRule="exact"/>
                      <w:ind w:left="200"/>
                      <w:rPr>
                        <w:rFonts w:ascii="MS Gothic"/>
                      </w:rPr>
                    </w:pPr>
                    <w:r>
                      <w:rPr>
                        <w:rFonts w:ascii="MS Gothic"/>
                        <w:color w:val="333333"/>
                      </w:rPr>
                      <w:t>}</w:t>
                    </w:r>
                  </w:p>
                  <w:p w14:paraId="78CE920B" w14:textId="77777777" w:rsidR="00711A16" w:rsidRDefault="00711A16">
                    <w:pPr>
                      <w:spacing w:before="11"/>
                      <w:rPr>
                        <w:rFonts w:ascii="MS Gothic"/>
                        <w:sz w:val="23"/>
                      </w:rPr>
                    </w:pPr>
                  </w:p>
                  <w:p w14:paraId="27C5B299" w14:textId="77777777" w:rsidR="00711A16" w:rsidRDefault="00711A16">
                    <w:pPr>
                      <w:spacing w:line="252" w:lineRule="auto"/>
                      <w:ind w:left="200" w:right="2788"/>
                      <w:rPr>
                        <w:rFonts w:ascii="MS Gothic"/>
                      </w:rPr>
                    </w:pPr>
                    <w:r>
                      <w:rPr>
                        <w:rFonts w:ascii="MS Gothic"/>
                        <w:color w:val="333333"/>
                      </w:rPr>
                      <w:t>@Bean @ConfigurationProperties("</w:t>
                    </w:r>
                    <w:proofErr w:type="gramStart"/>
                    <w:r>
                      <w:rPr>
                        <w:rFonts w:ascii="MS Gothic"/>
                        <w:color w:val="333333"/>
                      </w:rPr>
                      <w:t>app.datasource</w:t>
                    </w:r>
                    <w:proofErr w:type="gramEnd"/>
                    <w:r>
                      <w:rPr>
                        <w:rFonts w:ascii="MS Gothic"/>
                        <w:color w:val="333333"/>
                      </w:rPr>
                      <w:t>.second.configuration") public BasicDataSource secondDataSource() {</w:t>
                    </w:r>
                  </w:p>
                  <w:p w14:paraId="66616222" w14:textId="77777777" w:rsidR="00711A16" w:rsidRDefault="00711A16">
                    <w:pPr>
                      <w:spacing w:line="252" w:lineRule="auto"/>
                      <w:ind w:left="200" w:right="258" w:firstLine="440"/>
                      <w:rPr>
                        <w:rFonts w:ascii="MS Gothic"/>
                      </w:rPr>
                    </w:pPr>
                    <w:r>
                      <w:rPr>
                        <w:rFonts w:ascii="MS Gothic"/>
                        <w:color w:val="333333"/>
                      </w:rPr>
                      <w:t>return secondDataSourceProperties(</w:t>
                    </w:r>
                    <w:proofErr w:type="gramStart"/>
                    <w:r>
                      <w:rPr>
                        <w:rFonts w:ascii="MS Gothic"/>
                        <w:color w:val="333333"/>
                      </w:rPr>
                      <w:t>).initializeDataSourceBuilder</w:t>
                    </w:r>
                    <w:proofErr w:type="gramEnd"/>
                    <w:r>
                      <w:rPr>
                        <w:rFonts w:ascii="MS Gothic"/>
                        <w:color w:val="333333"/>
                      </w:rPr>
                      <w:t>().type(BasicDataSource.class)</w:t>
                    </w:r>
                  </w:p>
                  <w:p w14:paraId="40FEA84A" w14:textId="77777777" w:rsidR="00711A16" w:rsidRDefault="00711A16">
                    <w:pPr>
                      <w:spacing w:line="280" w:lineRule="exact"/>
                      <w:ind w:left="200"/>
                      <w:rPr>
                        <w:rFonts w:ascii="MS Gothic"/>
                      </w:rPr>
                    </w:pPr>
                    <w:proofErr w:type="gramStart"/>
                    <w:r>
                      <w:rPr>
                        <w:rFonts w:ascii="MS Gothic"/>
                        <w:color w:val="333333"/>
                      </w:rPr>
                      <w:t>.build</w:t>
                    </w:r>
                    <w:proofErr w:type="gramEnd"/>
                    <w:r>
                      <w:rPr>
                        <w:rFonts w:ascii="MS Gothic"/>
                        <w:color w:val="333333"/>
                      </w:rPr>
                      <w:t>();</w:t>
                    </w:r>
                  </w:p>
                  <w:p w14:paraId="048AF4FB" w14:textId="77777777" w:rsidR="00711A16" w:rsidRDefault="00711A16">
                    <w:pPr>
                      <w:spacing w:before="9"/>
                      <w:ind w:left="200"/>
                      <w:rPr>
                        <w:rFonts w:ascii="MS Gothic"/>
                      </w:rPr>
                    </w:pPr>
                    <w:r>
                      <w:rPr>
                        <w:rFonts w:ascii="MS Gothic"/>
                        <w:color w:val="333333"/>
                      </w:rPr>
                      <w:t>}</w:t>
                    </w:r>
                  </w:p>
                </w:txbxContent>
              </v:textbox>
            </v:shape>
            <w10:anchorlock/>
          </v:group>
        </w:pict>
      </w:r>
    </w:p>
    <w:p w14:paraId="621638CB" w14:textId="77777777" w:rsidR="00A720EB" w:rsidRDefault="00A720EB">
      <w:pPr>
        <w:pStyle w:val="a3"/>
        <w:spacing w:before="5"/>
        <w:rPr>
          <w:sz w:val="9"/>
        </w:rPr>
      </w:pPr>
    </w:p>
    <w:p w14:paraId="098DA768" w14:textId="77777777" w:rsidR="00A720EB" w:rsidRDefault="0030286B">
      <w:pPr>
        <w:pStyle w:val="a3"/>
        <w:spacing w:before="125" w:line="295" w:lineRule="auto"/>
        <w:ind w:left="124" w:right="122"/>
        <w:jc w:val="both"/>
      </w:pPr>
      <w:r>
        <w:rPr>
          <w:color w:val="333333"/>
          <w:w w:val="110"/>
        </w:rPr>
        <w:t xml:space="preserve">The preceding example configures two data sources on custom namespaces with the same logic as Spring Boot would use in auto-configuration. Note that each </w:t>
      </w:r>
      <w:r>
        <w:rPr>
          <w:rFonts w:ascii="MS Gothic"/>
          <w:color w:val="B02045"/>
          <w:w w:val="110"/>
        </w:rPr>
        <w:t xml:space="preserve">configuration </w:t>
      </w:r>
      <w:r>
        <w:rPr>
          <w:color w:val="333333"/>
          <w:w w:val="110"/>
        </w:rPr>
        <w:t>sub namespace provides advanced settings based on the chosen implementation.</w:t>
      </w:r>
    </w:p>
    <w:p w14:paraId="1A5BE43A" w14:textId="77777777" w:rsidR="00A720EB" w:rsidRDefault="00A720EB">
      <w:pPr>
        <w:pStyle w:val="a3"/>
        <w:spacing w:before="7"/>
        <w:rPr>
          <w:sz w:val="26"/>
        </w:rPr>
      </w:pPr>
    </w:p>
    <w:p w14:paraId="524F3553" w14:textId="77777777" w:rsidR="00A720EB" w:rsidRDefault="0030286B">
      <w:pPr>
        <w:pStyle w:val="3"/>
        <w:numPr>
          <w:ilvl w:val="2"/>
          <w:numId w:val="13"/>
        </w:numPr>
        <w:tabs>
          <w:tab w:val="left" w:pos="858"/>
        </w:tabs>
        <w:ind w:hanging="734"/>
      </w:pPr>
      <w:bookmarkStart w:id="899" w:name="9.9.3._Use_Spring_Data_Repositories"/>
      <w:bookmarkStart w:id="900" w:name="_Toc54423970"/>
      <w:bookmarkEnd w:id="899"/>
      <w:r>
        <w:rPr>
          <w:color w:val="333333"/>
          <w:w w:val="110"/>
        </w:rPr>
        <w:t>Use Spring Data</w:t>
      </w:r>
      <w:r>
        <w:rPr>
          <w:color w:val="333333"/>
          <w:spacing w:val="-17"/>
          <w:w w:val="110"/>
        </w:rPr>
        <w:t xml:space="preserve"> </w:t>
      </w:r>
      <w:r>
        <w:rPr>
          <w:color w:val="333333"/>
          <w:w w:val="110"/>
        </w:rPr>
        <w:t>Repositories</w:t>
      </w:r>
      <w:bookmarkEnd w:id="900"/>
    </w:p>
    <w:p w14:paraId="43BD8A18" w14:textId="77777777" w:rsidR="00A720EB" w:rsidRDefault="0030286B">
      <w:pPr>
        <w:pStyle w:val="a3"/>
        <w:spacing w:before="243" w:line="280" w:lineRule="auto"/>
        <w:ind w:left="124" w:right="127"/>
        <w:jc w:val="both"/>
      </w:pPr>
      <w:r>
        <w:rPr>
          <w:color w:val="333333"/>
          <w:w w:val="110"/>
        </w:rPr>
        <w:t xml:space="preserve">Spring Data can create implementations of </w:t>
      </w:r>
      <w:r>
        <w:rPr>
          <w:rFonts w:ascii="MS Gothic"/>
          <w:color w:val="B02045"/>
          <w:w w:val="110"/>
        </w:rPr>
        <w:t xml:space="preserve">@Repository </w:t>
      </w:r>
      <w:r>
        <w:rPr>
          <w:color w:val="333333"/>
          <w:w w:val="110"/>
        </w:rPr>
        <w:t xml:space="preserve">interfaces of various flavors. Spring Boot handles all of that for you, as long as those </w:t>
      </w:r>
      <w:r>
        <w:rPr>
          <w:rFonts w:ascii="MS Gothic"/>
          <w:color w:val="B02045"/>
          <w:w w:val="110"/>
        </w:rPr>
        <w:t xml:space="preserve">@Repositories </w:t>
      </w:r>
      <w:r>
        <w:rPr>
          <w:color w:val="333333"/>
          <w:w w:val="110"/>
        </w:rPr>
        <w:t xml:space="preserve">are included in the same package (or a sub-package) of your </w:t>
      </w:r>
      <w:r>
        <w:rPr>
          <w:rFonts w:ascii="MS Gothic"/>
          <w:color w:val="B02045"/>
          <w:w w:val="110"/>
        </w:rPr>
        <w:t>@EnableAutoConfiguration</w:t>
      </w:r>
      <w:r>
        <w:rPr>
          <w:rFonts w:ascii="MS Gothic"/>
          <w:color w:val="B02045"/>
          <w:spacing w:val="-63"/>
          <w:w w:val="110"/>
        </w:rPr>
        <w:t xml:space="preserve"> </w:t>
      </w:r>
      <w:r>
        <w:rPr>
          <w:color w:val="333333"/>
          <w:w w:val="110"/>
        </w:rPr>
        <w:t>class.</w:t>
      </w:r>
    </w:p>
    <w:p w14:paraId="5967857F" w14:textId="77777777" w:rsidR="00A720EB" w:rsidRDefault="00A720EB">
      <w:pPr>
        <w:pStyle w:val="a3"/>
        <w:spacing w:before="7"/>
      </w:pPr>
    </w:p>
    <w:p w14:paraId="73793D9D" w14:textId="77777777" w:rsidR="00A720EB" w:rsidRDefault="0030286B">
      <w:pPr>
        <w:pStyle w:val="a3"/>
        <w:spacing w:line="290" w:lineRule="auto"/>
        <w:ind w:left="124" w:right="123"/>
        <w:jc w:val="both"/>
      </w:pPr>
      <w:r>
        <w:rPr>
          <w:color w:val="333333"/>
          <w:w w:val="110"/>
        </w:rPr>
        <w:t xml:space="preserve">For many applications, all you need is to put the right Spring Data dependencies on your classpath. </w:t>
      </w:r>
      <w:r>
        <w:rPr>
          <w:color w:val="333333"/>
          <w:w w:val="105"/>
        </w:rPr>
        <w:t xml:space="preserve">There is a </w:t>
      </w:r>
      <w:r>
        <w:rPr>
          <w:rFonts w:ascii="MS Gothic"/>
          <w:color w:val="B02045"/>
          <w:w w:val="105"/>
        </w:rPr>
        <w:t xml:space="preserve">spring-boot-starter-data-jpa </w:t>
      </w:r>
      <w:r>
        <w:rPr>
          <w:color w:val="333333"/>
          <w:w w:val="105"/>
        </w:rPr>
        <w:t xml:space="preserve">for JPA, </w:t>
      </w:r>
      <w:r>
        <w:rPr>
          <w:rFonts w:ascii="MS Gothic"/>
          <w:color w:val="B02045"/>
          <w:w w:val="105"/>
        </w:rPr>
        <w:t xml:space="preserve">spring-boot-starter-data-mongodb </w:t>
      </w:r>
      <w:r>
        <w:rPr>
          <w:color w:val="333333"/>
          <w:w w:val="105"/>
        </w:rPr>
        <w:t xml:space="preserve">for Mongodb, </w:t>
      </w:r>
      <w:r>
        <w:rPr>
          <w:color w:val="333333"/>
          <w:w w:val="110"/>
        </w:rPr>
        <w:t xml:space="preserve">etc. To get started, create some repository interfaces to handle </w:t>
      </w:r>
      <w:proofErr w:type="gramStart"/>
      <w:r>
        <w:rPr>
          <w:color w:val="333333"/>
          <w:w w:val="110"/>
        </w:rPr>
        <w:t>your</w:t>
      </w:r>
      <w:proofErr w:type="gramEnd"/>
      <w:r>
        <w:rPr>
          <w:color w:val="333333"/>
          <w:w w:val="110"/>
        </w:rPr>
        <w:t xml:space="preserve"> </w:t>
      </w:r>
      <w:r>
        <w:rPr>
          <w:rFonts w:ascii="MS Gothic"/>
          <w:color w:val="B02045"/>
          <w:w w:val="110"/>
        </w:rPr>
        <w:t xml:space="preserve">@Entity </w:t>
      </w:r>
      <w:r>
        <w:rPr>
          <w:color w:val="333333"/>
          <w:w w:val="110"/>
        </w:rPr>
        <w:t>objects.</w:t>
      </w:r>
    </w:p>
    <w:p w14:paraId="0D3DA022" w14:textId="77777777" w:rsidR="00A720EB" w:rsidRDefault="0030286B">
      <w:pPr>
        <w:pStyle w:val="a3"/>
        <w:spacing w:before="227" w:line="285" w:lineRule="auto"/>
        <w:ind w:left="124" w:right="124"/>
        <w:jc w:val="both"/>
      </w:pPr>
      <w:r>
        <w:rPr>
          <w:color w:val="333333"/>
          <w:w w:val="110"/>
        </w:rPr>
        <w:t xml:space="preserve">Spring Boot tries to guess the location of your </w:t>
      </w:r>
      <w:r>
        <w:rPr>
          <w:rFonts w:ascii="MS Gothic"/>
          <w:color w:val="B02045"/>
          <w:w w:val="110"/>
        </w:rPr>
        <w:t xml:space="preserve">@Repository </w:t>
      </w:r>
      <w:r>
        <w:rPr>
          <w:color w:val="333333"/>
          <w:w w:val="110"/>
        </w:rPr>
        <w:t xml:space="preserve">definitions, based on </w:t>
      </w:r>
      <w:proofErr w:type="gramStart"/>
      <w:r>
        <w:rPr>
          <w:color w:val="333333"/>
          <w:w w:val="110"/>
        </w:rPr>
        <w:t xml:space="preserve">the  </w:t>
      </w:r>
      <w:r>
        <w:rPr>
          <w:rFonts w:ascii="MS Gothic"/>
          <w:color w:val="B02045"/>
          <w:w w:val="110"/>
        </w:rPr>
        <w:t>@</w:t>
      </w:r>
      <w:proofErr w:type="gramEnd"/>
      <w:r>
        <w:rPr>
          <w:rFonts w:ascii="MS Gothic"/>
          <w:color w:val="B02045"/>
          <w:w w:val="110"/>
        </w:rPr>
        <w:t>EnableAutoConfiguration</w:t>
      </w:r>
      <w:r>
        <w:rPr>
          <w:rFonts w:ascii="MS Gothic"/>
          <w:color w:val="B02045"/>
          <w:spacing w:val="-77"/>
          <w:w w:val="110"/>
        </w:rPr>
        <w:t xml:space="preserve"> </w:t>
      </w:r>
      <w:r>
        <w:rPr>
          <w:color w:val="333333"/>
          <w:w w:val="110"/>
        </w:rPr>
        <w:t>it</w:t>
      </w:r>
      <w:r>
        <w:rPr>
          <w:color w:val="333333"/>
          <w:spacing w:val="-11"/>
          <w:w w:val="110"/>
        </w:rPr>
        <w:t xml:space="preserve"> </w:t>
      </w:r>
      <w:r>
        <w:rPr>
          <w:color w:val="333333"/>
          <w:w w:val="110"/>
        </w:rPr>
        <w:t>finds.</w:t>
      </w:r>
      <w:r>
        <w:rPr>
          <w:color w:val="333333"/>
          <w:spacing w:val="-12"/>
          <w:w w:val="110"/>
        </w:rPr>
        <w:t xml:space="preserve"> </w:t>
      </w:r>
      <w:r>
        <w:rPr>
          <w:color w:val="333333"/>
          <w:spacing w:val="-4"/>
          <w:w w:val="110"/>
        </w:rPr>
        <w:t>To</w:t>
      </w:r>
      <w:r>
        <w:rPr>
          <w:color w:val="333333"/>
          <w:spacing w:val="-12"/>
          <w:w w:val="110"/>
        </w:rPr>
        <w:t xml:space="preserve"> </w:t>
      </w:r>
      <w:r>
        <w:rPr>
          <w:color w:val="333333"/>
          <w:w w:val="110"/>
        </w:rPr>
        <w:t>get</w:t>
      </w:r>
      <w:r>
        <w:rPr>
          <w:color w:val="333333"/>
          <w:spacing w:val="-11"/>
          <w:w w:val="110"/>
        </w:rPr>
        <w:t xml:space="preserve"> </w:t>
      </w:r>
      <w:r>
        <w:rPr>
          <w:color w:val="333333"/>
          <w:w w:val="110"/>
        </w:rPr>
        <w:t>more</w:t>
      </w:r>
      <w:r>
        <w:rPr>
          <w:color w:val="333333"/>
          <w:spacing w:val="-12"/>
          <w:w w:val="110"/>
        </w:rPr>
        <w:t xml:space="preserve"> </w:t>
      </w:r>
      <w:r>
        <w:rPr>
          <w:color w:val="333333"/>
          <w:w w:val="110"/>
        </w:rPr>
        <w:t>control,</w:t>
      </w:r>
      <w:r>
        <w:rPr>
          <w:color w:val="333333"/>
          <w:spacing w:val="-12"/>
          <w:w w:val="110"/>
        </w:rPr>
        <w:t xml:space="preserve"> </w:t>
      </w:r>
      <w:r>
        <w:rPr>
          <w:color w:val="333333"/>
          <w:w w:val="110"/>
        </w:rPr>
        <w:t>use</w:t>
      </w:r>
      <w:r>
        <w:rPr>
          <w:color w:val="333333"/>
          <w:spacing w:val="-11"/>
          <w:w w:val="110"/>
        </w:rPr>
        <w:t xml:space="preserve"> </w:t>
      </w:r>
      <w:r>
        <w:rPr>
          <w:color w:val="333333"/>
          <w:w w:val="110"/>
        </w:rPr>
        <w:t>the</w:t>
      </w:r>
      <w:r>
        <w:rPr>
          <w:color w:val="333333"/>
          <w:spacing w:val="-11"/>
          <w:w w:val="110"/>
        </w:rPr>
        <w:t xml:space="preserve"> </w:t>
      </w:r>
      <w:r>
        <w:rPr>
          <w:rFonts w:ascii="MS Gothic"/>
          <w:color w:val="B02045"/>
          <w:w w:val="110"/>
        </w:rPr>
        <w:t>@EnableJpaRepositories</w:t>
      </w:r>
      <w:r>
        <w:rPr>
          <w:rFonts w:ascii="MS Gothic"/>
          <w:color w:val="B02045"/>
          <w:spacing w:val="-76"/>
          <w:w w:val="110"/>
        </w:rPr>
        <w:t xml:space="preserve"> </w:t>
      </w:r>
      <w:r>
        <w:rPr>
          <w:color w:val="333333"/>
          <w:w w:val="110"/>
        </w:rPr>
        <w:t>annotation (from Spring Data</w:t>
      </w:r>
      <w:r>
        <w:rPr>
          <w:color w:val="333333"/>
          <w:spacing w:val="9"/>
          <w:w w:val="110"/>
        </w:rPr>
        <w:t xml:space="preserve"> </w:t>
      </w:r>
      <w:r>
        <w:rPr>
          <w:color w:val="333333"/>
          <w:spacing w:val="-3"/>
          <w:w w:val="110"/>
        </w:rPr>
        <w:t>JPA).</w:t>
      </w:r>
    </w:p>
    <w:p w14:paraId="1034E1A4" w14:textId="77777777" w:rsidR="00A720EB" w:rsidRDefault="00A720EB">
      <w:pPr>
        <w:pStyle w:val="a3"/>
        <w:spacing w:before="6"/>
        <w:rPr>
          <w:sz w:val="22"/>
        </w:rPr>
      </w:pPr>
    </w:p>
    <w:p w14:paraId="57C10746" w14:textId="77777777" w:rsidR="00A720EB" w:rsidRDefault="0030286B">
      <w:pPr>
        <w:pStyle w:val="a3"/>
        <w:ind w:left="124"/>
        <w:jc w:val="both"/>
      </w:pPr>
      <w:r>
        <w:rPr>
          <w:color w:val="333333"/>
          <w:w w:val="110"/>
        </w:rPr>
        <w:t xml:space="preserve">For more about Spring Data, see the </w:t>
      </w:r>
      <w:hyperlink r:id="rId623">
        <w:r>
          <w:rPr>
            <w:color w:val="418BCA"/>
            <w:w w:val="110"/>
          </w:rPr>
          <w:t>Spring Data project page</w:t>
        </w:r>
      </w:hyperlink>
      <w:r>
        <w:rPr>
          <w:color w:val="333333"/>
          <w:w w:val="110"/>
        </w:rPr>
        <w:t>.</w:t>
      </w:r>
    </w:p>
    <w:p w14:paraId="2340F933" w14:textId="77777777" w:rsidR="00A720EB" w:rsidRDefault="00A720EB">
      <w:pPr>
        <w:jc w:val="both"/>
        <w:sectPr w:rsidR="00A720EB">
          <w:pgSz w:w="11910" w:h="16840"/>
          <w:pgMar w:top="700" w:right="840" w:bottom="520" w:left="840" w:header="0" w:footer="323" w:gutter="0"/>
          <w:cols w:space="720"/>
        </w:sectPr>
      </w:pPr>
    </w:p>
    <w:p w14:paraId="0EA4DB2B" w14:textId="77777777" w:rsidR="00A720EB" w:rsidRDefault="0030286B">
      <w:pPr>
        <w:pStyle w:val="3"/>
        <w:numPr>
          <w:ilvl w:val="2"/>
          <w:numId w:val="13"/>
        </w:numPr>
        <w:tabs>
          <w:tab w:val="left" w:pos="858"/>
        </w:tabs>
        <w:spacing w:before="87"/>
        <w:ind w:hanging="734"/>
      </w:pPr>
      <w:bookmarkStart w:id="901" w:name="9.9.4._Separate_@Entity_Definitions_from"/>
      <w:bookmarkStart w:id="902" w:name="_Toc54423971"/>
      <w:bookmarkEnd w:id="901"/>
      <w:r>
        <w:rPr>
          <w:color w:val="333333"/>
          <w:w w:val="110"/>
        </w:rPr>
        <w:lastRenderedPageBreak/>
        <w:t>Separate @Entity Definitions from Spring</w:t>
      </w:r>
      <w:r>
        <w:rPr>
          <w:color w:val="333333"/>
          <w:spacing w:val="-29"/>
          <w:w w:val="110"/>
        </w:rPr>
        <w:t xml:space="preserve"> </w:t>
      </w:r>
      <w:r>
        <w:rPr>
          <w:color w:val="333333"/>
          <w:w w:val="110"/>
        </w:rPr>
        <w:t>Configuration</w:t>
      </w:r>
      <w:bookmarkEnd w:id="902"/>
    </w:p>
    <w:p w14:paraId="6578B897" w14:textId="77777777" w:rsidR="00A720EB" w:rsidRDefault="0030286B">
      <w:pPr>
        <w:pStyle w:val="a3"/>
        <w:spacing w:before="243" w:line="285" w:lineRule="auto"/>
        <w:ind w:left="124" w:right="126"/>
        <w:jc w:val="both"/>
      </w:pPr>
      <w:r>
        <w:rPr>
          <w:color w:val="333333"/>
          <w:w w:val="110"/>
        </w:rPr>
        <w:t xml:space="preserve">Spring Boot tries to guess the location of </w:t>
      </w:r>
      <w:proofErr w:type="gramStart"/>
      <w:r>
        <w:rPr>
          <w:color w:val="333333"/>
          <w:w w:val="110"/>
        </w:rPr>
        <w:t>your</w:t>
      </w:r>
      <w:proofErr w:type="gramEnd"/>
      <w:r>
        <w:rPr>
          <w:color w:val="333333"/>
          <w:w w:val="110"/>
        </w:rPr>
        <w:t xml:space="preserve"> </w:t>
      </w:r>
      <w:r>
        <w:rPr>
          <w:rFonts w:ascii="MS Gothic"/>
          <w:color w:val="B02045"/>
          <w:w w:val="110"/>
        </w:rPr>
        <w:t xml:space="preserve">@Entity </w:t>
      </w:r>
      <w:r>
        <w:rPr>
          <w:color w:val="333333"/>
          <w:w w:val="110"/>
        </w:rPr>
        <w:t xml:space="preserve">definitions, based on the </w:t>
      </w:r>
      <w:r>
        <w:rPr>
          <w:rFonts w:ascii="MS Gothic"/>
          <w:color w:val="B02045"/>
          <w:w w:val="110"/>
        </w:rPr>
        <w:t>@EnableAutoConfiguration</w:t>
      </w:r>
      <w:r>
        <w:rPr>
          <w:rFonts w:ascii="MS Gothic"/>
          <w:color w:val="B02045"/>
          <w:spacing w:val="-63"/>
          <w:w w:val="110"/>
        </w:rPr>
        <w:t xml:space="preserve"> </w:t>
      </w:r>
      <w:r>
        <w:rPr>
          <w:color w:val="333333"/>
          <w:w w:val="110"/>
        </w:rPr>
        <w:t xml:space="preserve">it finds. </w:t>
      </w:r>
      <w:r>
        <w:rPr>
          <w:color w:val="333333"/>
          <w:spacing w:val="-4"/>
          <w:w w:val="110"/>
        </w:rPr>
        <w:t xml:space="preserve">To </w:t>
      </w:r>
      <w:r>
        <w:rPr>
          <w:color w:val="333333"/>
          <w:w w:val="110"/>
        </w:rPr>
        <w:t xml:space="preserve">get more control, you can use the </w:t>
      </w:r>
      <w:r>
        <w:rPr>
          <w:rFonts w:ascii="MS Gothic"/>
          <w:color w:val="B02045"/>
          <w:w w:val="110"/>
        </w:rPr>
        <w:t>@EntityScan</w:t>
      </w:r>
      <w:r>
        <w:rPr>
          <w:rFonts w:ascii="MS Gothic"/>
          <w:color w:val="B02045"/>
          <w:spacing w:val="-63"/>
          <w:w w:val="110"/>
        </w:rPr>
        <w:t xml:space="preserve"> </w:t>
      </w:r>
      <w:r>
        <w:rPr>
          <w:color w:val="333333"/>
          <w:w w:val="110"/>
        </w:rPr>
        <w:t>annotation, as shown in the following example:</w:t>
      </w:r>
    </w:p>
    <w:p w14:paraId="634E6CFE" w14:textId="77777777" w:rsidR="00A720EB" w:rsidRDefault="00E10349">
      <w:pPr>
        <w:pStyle w:val="a3"/>
        <w:spacing w:before="1"/>
        <w:rPr>
          <w:sz w:val="15"/>
        </w:rPr>
      </w:pPr>
      <w:r>
        <w:pict w14:anchorId="5AB7A847">
          <v:group id="_x0000_s1376" style="position:absolute;margin-left:47.85pt;margin-top:10.85pt;width:499.55pt;height:140.7pt;z-index:-15067136;mso-wrap-distance-left:0;mso-wrap-distance-right:0;mso-position-horizontal-relative:page" coordorigin="957,217" coordsize="9991,2814">
            <v:shape id="_x0000_s1379" style="position:absolute;left:964;top:224;width:9976;height:2799" coordorigin="965,224" coordsize="9976,2799" path="m10861,224r-9816,l1014,231r-26,17l971,273r-6,31l965,2943r6,31l988,2999r26,18l1045,3023r9816,l10892,3017r25,-18l10935,2974r6,-31l10941,304r-6,-31l10917,248r-25,-17l10861,224xe" fillcolor="#f5f5f5" stroked="f">
              <v:path arrowok="t"/>
            </v:shape>
            <v:shape id="_x0000_s1378" style="position:absolute;left:964;top:224;width:9976;height:2799" coordorigin="965,224" coordsize="9976,2799" path="m1045,224r9816,l10892,231r25,17l10935,273r6,31l10941,2943r-6,31l10917,2999r-25,18l10861,3023r-9816,l1014,3017r-26,-18l971,2974r-6,-31l965,304r6,-31l988,248r26,-17l1045,224xe" filled="f" strokecolor="#ccc">
              <v:path arrowok="t"/>
            </v:shape>
            <v:shape id="_x0000_s1377" type="#_x0000_t202" style="position:absolute;left:984;top:239;width:9938;height:2768" filled="f" stroked="f">
              <v:textbox inset="0,0,0,0">
                <w:txbxContent>
                  <w:p w14:paraId="25D8BC99" w14:textId="77777777" w:rsidR="00711A16" w:rsidRDefault="00711A16">
                    <w:pPr>
                      <w:spacing w:before="221" w:line="252" w:lineRule="auto"/>
                      <w:ind w:left="200" w:right="509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@EnableAutoConfiguration @EntityScan(basePackageClasses=City.class) public class Application {</w:t>
                    </w:r>
                  </w:p>
                  <w:p w14:paraId="06C7F514" w14:textId="77777777" w:rsidR="00711A16" w:rsidRDefault="00711A16">
                    <w:pPr>
                      <w:spacing w:before="8"/>
                      <w:rPr>
                        <w:rFonts w:ascii="MS Gothic"/>
                      </w:rPr>
                    </w:pPr>
                  </w:p>
                  <w:p w14:paraId="4011BC49" w14:textId="77777777" w:rsidR="00711A16" w:rsidRDefault="00711A16">
                    <w:pPr>
                      <w:ind w:left="640"/>
                      <w:rPr>
                        <w:rFonts w:ascii="MS Gothic"/>
                      </w:rPr>
                    </w:pPr>
                    <w:r>
                      <w:rPr>
                        <w:rFonts w:ascii="MS Gothic"/>
                        <w:color w:val="333333"/>
                      </w:rPr>
                      <w:t>//...</w:t>
                    </w:r>
                  </w:p>
                  <w:p w14:paraId="037102F5" w14:textId="77777777" w:rsidR="00711A16" w:rsidRDefault="00711A16">
                    <w:pPr>
                      <w:rPr>
                        <w:rFonts w:ascii="MS Gothic"/>
                        <w:sz w:val="24"/>
                      </w:rPr>
                    </w:pPr>
                  </w:p>
                  <w:p w14:paraId="218B1A97" w14:textId="77777777" w:rsidR="00711A16" w:rsidRDefault="00711A16">
                    <w:pPr>
                      <w:ind w:left="200"/>
                      <w:rPr>
                        <w:rFonts w:ascii="MS Gothic"/>
                      </w:rPr>
                    </w:pPr>
                    <w:r>
                      <w:rPr>
                        <w:rFonts w:ascii="MS Gothic"/>
                        <w:color w:val="333333"/>
                      </w:rPr>
                      <w:t>}</w:t>
                    </w:r>
                  </w:p>
                </w:txbxContent>
              </v:textbox>
            </v:shape>
            <w10:wrap type="topAndBottom" anchorx="page"/>
          </v:group>
        </w:pict>
      </w:r>
    </w:p>
    <w:p w14:paraId="52B83AF1" w14:textId="77777777" w:rsidR="00A720EB" w:rsidRDefault="00A720EB">
      <w:pPr>
        <w:pStyle w:val="a3"/>
        <w:spacing w:before="11"/>
        <w:rPr>
          <w:sz w:val="16"/>
        </w:rPr>
      </w:pPr>
    </w:p>
    <w:p w14:paraId="00BA1442" w14:textId="77777777" w:rsidR="00A720EB" w:rsidRDefault="0030286B">
      <w:pPr>
        <w:pStyle w:val="3"/>
        <w:numPr>
          <w:ilvl w:val="2"/>
          <w:numId w:val="13"/>
        </w:numPr>
        <w:tabs>
          <w:tab w:val="left" w:pos="858"/>
        </w:tabs>
        <w:spacing w:before="105"/>
        <w:ind w:hanging="734"/>
      </w:pPr>
      <w:bookmarkStart w:id="903" w:name="9.9.5._Configure_JPA_Properties"/>
      <w:bookmarkStart w:id="904" w:name="_Toc54423972"/>
      <w:bookmarkEnd w:id="903"/>
      <w:r>
        <w:rPr>
          <w:color w:val="333333"/>
          <w:w w:val="105"/>
        </w:rPr>
        <w:t xml:space="preserve">Configure </w:t>
      </w:r>
      <w:r>
        <w:rPr>
          <w:color w:val="333333"/>
          <w:spacing w:val="-5"/>
          <w:w w:val="105"/>
        </w:rPr>
        <w:t>JPA</w:t>
      </w:r>
      <w:r>
        <w:rPr>
          <w:color w:val="333333"/>
          <w:spacing w:val="-3"/>
          <w:w w:val="105"/>
        </w:rPr>
        <w:t xml:space="preserve"> </w:t>
      </w:r>
      <w:r>
        <w:rPr>
          <w:color w:val="333333"/>
          <w:w w:val="105"/>
        </w:rPr>
        <w:t>Properties</w:t>
      </w:r>
      <w:bookmarkEnd w:id="904"/>
    </w:p>
    <w:p w14:paraId="7DA7E03F" w14:textId="77777777" w:rsidR="00A720EB" w:rsidRDefault="0030286B">
      <w:pPr>
        <w:pStyle w:val="a3"/>
        <w:spacing w:before="254" w:line="307" w:lineRule="auto"/>
        <w:ind w:left="124" w:right="129"/>
        <w:jc w:val="both"/>
      </w:pPr>
      <w:r>
        <w:rPr>
          <w:color w:val="333333"/>
          <w:w w:val="110"/>
        </w:rPr>
        <w:t xml:space="preserve">Spring Data </w:t>
      </w:r>
      <w:proofErr w:type="gramStart"/>
      <w:r>
        <w:rPr>
          <w:color w:val="333333"/>
          <w:spacing w:val="-4"/>
          <w:w w:val="110"/>
        </w:rPr>
        <w:t xml:space="preserve">JPA  </w:t>
      </w:r>
      <w:r>
        <w:rPr>
          <w:color w:val="333333"/>
          <w:w w:val="110"/>
        </w:rPr>
        <w:t>already</w:t>
      </w:r>
      <w:proofErr w:type="gramEnd"/>
      <w:r>
        <w:rPr>
          <w:color w:val="333333"/>
          <w:w w:val="110"/>
        </w:rPr>
        <w:t xml:space="preserve"> provides some vendor-independent configuration options (such as those   for SQL logging), and Spring Boot exposes those options and a few more for Hibernate as external  configuration properties. Some of them are automatically detected according to the context so you should not have to set</w:t>
      </w:r>
      <w:r>
        <w:rPr>
          <w:color w:val="333333"/>
          <w:spacing w:val="16"/>
          <w:w w:val="110"/>
        </w:rPr>
        <w:t xml:space="preserve"> </w:t>
      </w:r>
      <w:r>
        <w:rPr>
          <w:color w:val="333333"/>
          <w:w w:val="110"/>
        </w:rPr>
        <w:t>them.</w:t>
      </w:r>
    </w:p>
    <w:p w14:paraId="2C52BA8A" w14:textId="77777777" w:rsidR="00A720EB" w:rsidRDefault="0030286B">
      <w:pPr>
        <w:pStyle w:val="a3"/>
        <w:spacing w:before="231" w:line="295" w:lineRule="auto"/>
        <w:ind w:left="124" w:right="127"/>
        <w:jc w:val="both"/>
      </w:pPr>
      <w:r>
        <w:rPr>
          <w:color w:val="333333"/>
          <w:w w:val="110"/>
        </w:rPr>
        <w:t xml:space="preserve">The </w:t>
      </w:r>
      <w:r>
        <w:rPr>
          <w:rFonts w:ascii="MS Gothic"/>
          <w:color w:val="B02045"/>
          <w:w w:val="110"/>
        </w:rPr>
        <w:t xml:space="preserve">spring.jpa.hibernate.ddl-auto </w:t>
      </w:r>
      <w:r>
        <w:rPr>
          <w:color w:val="333333"/>
          <w:w w:val="110"/>
        </w:rPr>
        <w:t xml:space="preserve">is a special case, because, depending on runtime conditions, it has different defaults. If an embedded database is used and no schema manager (such as </w:t>
      </w:r>
      <w:proofErr w:type="gramStart"/>
      <w:r>
        <w:rPr>
          <w:color w:val="333333"/>
          <w:w w:val="110"/>
        </w:rPr>
        <w:t>Liquibase  or</w:t>
      </w:r>
      <w:proofErr w:type="gramEnd"/>
      <w:r>
        <w:rPr>
          <w:color w:val="333333"/>
          <w:spacing w:val="-11"/>
          <w:w w:val="110"/>
        </w:rPr>
        <w:t xml:space="preserve"> </w:t>
      </w:r>
      <w:r>
        <w:rPr>
          <w:color w:val="333333"/>
          <w:w w:val="110"/>
        </w:rPr>
        <w:t>Flyway)</w:t>
      </w:r>
      <w:r>
        <w:rPr>
          <w:color w:val="333333"/>
          <w:spacing w:val="-11"/>
          <w:w w:val="110"/>
        </w:rPr>
        <w:t xml:space="preserve"> </w:t>
      </w:r>
      <w:r>
        <w:rPr>
          <w:color w:val="333333"/>
          <w:w w:val="110"/>
        </w:rPr>
        <w:t>is</w:t>
      </w:r>
      <w:r>
        <w:rPr>
          <w:color w:val="333333"/>
          <w:spacing w:val="-11"/>
          <w:w w:val="110"/>
        </w:rPr>
        <w:t xml:space="preserve"> </w:t>
      </w:r>
      <w:r>
        <w:rPr>
          <w:color w:val="333333"/>
          <w:w w:val="110"/>
        </w:rPr>
        <w:t>handling</w:t>
      </w:r>
      <w:r>
        <w:rPr>
          <w:color w:val="333333"/>
          <w:spacing w:val="-11"/>
          <w:w w:val="110"/>
        </w:rPr>
        <w:t xml:space="preserve"> </w:t>
      </w:r>
      <w:r>
        <w:rPr>
          <w:color w:val="333333"/>
          <w:w w:val="110"/>
        </w:rPr>
        <w:t>the</w:t>
      </w:r>
      <w:r>
        <w:rPr>
          <w:color w:val="333333"/>
          <w:spacing w:val="-8"/>
          <w:w w:val="110"/>
        </w:rPr>
        <w:t xml:space="preserve"> </w:t>
      </w:r>
      <w:r>
        <w:rPr>
          <w:rFonts w:ascii="MS Gothic"/>
          <w:color w:val="B02045"/>
          <w:w w:val="110"/>
        </w:rPr>
        <w:t>DataSource</w:t>
      </w:r>
      <w:r>
        <w:rPr>
          <w:color w:val="333333"/>
          <w:w w:val="110"/>
        </w:rPr>
        <w:t>,</w:t>
      </w:r>
      <w:r>
        <w:rPr>
          <w:color w:val="333333"/>
          <w:spacing w:val="-10"/>
          <w:w w:val="110"/>
        </w:rPr>
        <w:t xml:space="preserve"> </w:t>
      </w:r>
      <w:r>
        <w:rPr>
          <w:color w:val="333333"/>
          <w:w w:val="110"/>
        </w:rPr>
        <w:t>it</w:t>
      </w:r>
      <w:r>
        <w:rPr>
          <w:color w:val="333333"/>
          <w:spacing w:val="-11"/>
          <w:w w:val="110"/>
        </w:rPr>
        <w:t xml:space="preserve"> </w:t>
      </w:r>
      <w:r>
        <w:rPr>
          <w:color w:val="333333"/>
          <w:w w:val="110"/>
        </w:rPr>
        <w:t>defaults</w:t>
      </w:r>
      <w:r>
        <w:rPr>
          <w:color w:val="333333"/>
          <w:spacing w:val="-11"/>
          <w:w w:val="110"/>
        </w:rPr>
        <w:t xml:space="preserve"> </w:t>
      </w:r>
      <w:r>
        <w:rPr>
          <w:color w:val="333333"/>
          <w:w w:val="110"/>
        </w:rPr>
        <w:t>to</w:t>
      </w:r>
      <w:r>
        <w:rPr>
          <w:color w:val="333333"/>
          <w:spacing w:val="-9"/>
          <w:w w:val="110"/>
        </w:rPr>
        <w:t xml:space="preserve"> </w:t>
      </w:r>
      <w:r>
        <w:rPr>
          <w:rFonts w:ascii="MS Gothic"/>
          <w:color w:val="B02045"/>
          <w:w w:val="110"/>
        </w:rPr>
        <w:t>create-drop</w:t>
      </w:r>
      <w:r>
        <w:rPr>
          <w:color w:val="333333"/>
          <w:w w:val="110"/>
        </w:rPr>
        <w:t>.</w:t>
      </w:r>
      <w:r>
        <w:rPr>
          <w:color w:val="333333"/>
          <w:spacing w:val="-10"/>
          <w:w w:val="110"/>
        </w:rPr>
        <w:t xml:space="preserve"> </w:t>
      </w:r>
      <w:r>
        <w:rPr>
          <w:color w:val="333333"/>
          <w:w w:val="110"/>
        </w:rPr>
        <w:t>In</w:t>
      </w:r>
      <w:r>
        <w:rPr>
          <w:color w:val="333333"/>
          <w:spacing w:val="-10"/>
          <w:w w:val="110"/>
        </w:rPr>
        <w:t xml:space="preserve"> </w:t>
      </w:r>
      <w:r>
        <w:rPr>
          <w:color w:val="333333"/>
          <w:w w:val="110"/>
        </w:rPr>
        <w:t>all</w:t>
      </w:r>
      <w:r>
        <w:rPr>
          <w:color w:val="333333"/>
          <w:spacing w:val="-11"/>
          <w:w w:val="110"/>
        </w:rPr>
        <w:t xml:space="preserve"> </w:t>
      </w:r>
      <w:r>
        <w:rPr>
          <w:color w:val="333333"/>
          <w:w w:val="110"/>
        </w:rPr>
        <w:t>other</w:t>
      </w:r>
      <w:r>
        <w:rPr>
          <w:color w:val="333333"/>
          <w:spacing w:val="-10"/>
          <w:w w:val="110"/>
        </w:rPr>
        <w:t xml:space="preserve"> </w:t>
      </w:r>
      <w:r>
        <w:rPr>
          <w:color w:val="333333"/>
          <w:w w:val="110"/>
        </w:rPr>
        <w:t>cases,</w:t>
      </w:r>
      <w:r>
        <w:rPr>
          <w:color w:val="333333"/>
          <w:spacing w:val="-10"/>
          <w:w w:val="110"/>
        </w:rPr>
        <w:t xml:space="preserve"> </w:t>
      </w:r>
      <w:r>
        <w:rPr>
          <w:color w:val="333333"/>
          <w:w w:val="110"/>
        </w:rPr>
        <w:t>it</w:t>
      </w:r>
      <w:r>
        <w:rPr>
          <w:color w:val="333333"/>
          <w:spacing w:val="-11"/>
          <w:w w:val="110"/>
        </w:rPr>
        <w:t xml:space="preserve"> </w:t>
      </w:r>
      <w:r>
        <w:rPr>
          <w:color w:val="333333"/>
          <w:w w:val="110"/>
        </w:rPr>
        <w:t>defaults</w:t>
      </w:r>
      <w:r>
        <w:rPr>
          <w:color w:val="333333"/>
          <w:spacing w:val="-11"/>
          <w:w w:val="110"/>
        </w:rPr>
        <w:t xml:space="preserve"> </w:t>
      </w:r>
      <w:r>
        <w:rPr>
          <w:color w:val="333333"/>
          <w:w w:val="110"/>
        </w:rPr>
        <w:t>to</w:t>
      </w:r>
      <w:r>
        <w:rPr>
          <w:color w:val="333333"/>
          <w:spacing w:val="-8"/>
          <w:w w:val="110"/>
        </w:rPr>
        <w:t xml:space="preserve"> </w:t>
      </w:r>
      <w:r>
        <w:rPr>
          <w:rFonts w:ascii="MS Gothic"/>
          <w:color w:val="B02045"/>
          <w:w w:val="110"/>
        </w:rPr>
        <w:t>none</w:t>
      </w:r>
      <w:r>
        <w:rPr>
          <w:color w:val="333333"/>
          <w:w w:val="110"/>
        </w:rPr>
        <w:t>.</w:t>
      </w:r>
    </w:p>
    <w:p w14:paraId="7CCB037D" w14:textId="77777777" w:rsidR="00A720EB" w:rsidRDefault="0030286B">
      <w:pPr>
        <w:pStyle w:val="a3"/>
        <w:spacing w:before="233"/>
        <w:ind w:left="124"/>
        <w:jc w:val="both"/>
      </w:pPr>
      <w:r>
        <w:rPr>
          <w:color w:val="333333"/>
          <w:w w:val="110"/>
        </w:rPr>
        <w:t>The</w:t>
      </w:r>
      <w:r>
        <w:rPr>
          <w:color w:val="333333"/>
          <w:spacing w:val="25"/>
          <w:w w:val="110"/>
        </w:rPr>
        <w:t xml:space="preserve"> </w:t>
      </w:r>
      <w:r>
        <w:rPr>
          <w:color w:val="333333"/>
          <w:w w:val="110"/>
        </w:rPr>
        <w:t>dialect</w:t>
      </w:r>
      <w:r>
        <w:rPr>
          <w:color w:val="333333"/>
          <w:spacing w:val="26"/>
          <w:w w:val="110"/>
        </w:rPr>
        <w:t xml:space="preserve"> </w:t>
      </w:r>
      <w:r>
        <w:rPr>
          <w:color w:val="333333"/>
          <w:w w:val="110"/>
        </w:rPr>
        <w:t>to</w:t>
      </w:r>
      <w:r>
        <w:rPr>
          <w:color w:val="333333"/>
          <w:spacing w:val="26"/>
          <w:w w:val="110"/>
        </w:rPr>
        <w:t xml:space="preserve"> </w:t>
      </w:r>
      <w:r>
        <w:rPr>
          <w:color w:val="333333"/>
          <w:w w:val="110"/>
        </w:rPr>
        <w:t>use</w:t>
      </w:r>
      <w:r>
        <w:rPr>
          <w:color w:val="333333"/>
          <w:spacing w:val="25"/>
          <w:w w:val="110"/>
        </w:rPr>
        <w:t xml:space="preserve"> </w:t>
      </w:r>
      <w:r>
        <w:rPr>
          <w:color w:val="333333"/>
          <w:w w:val="110"/>
        </w:rPr>
        <w:t>is</w:t>
      </w:r>
      <w:r>
        <w:rPr>
          <w:color w:val="333333"/>
          <w:spacing w:val="26"/>
          <w:w w:val="110"/>
        </w:rPr>
        <w:t xml:space="preserve"> </w:t>
      </w:r>
      <w:r>
        <w:rPr>
          <w:color w:val="333333"/>
          <w:w w:val="110"/>
        </w:rPr>
        <w:t>detected</w:t>
      </w:r>
      <w:r>
        <w:rPr>
          <w:color w:val="333333"/>
          <w:spacing w:val="26"/>
          <w:w w:val="110"/>
        </w:rPr>
        <w:t xml:space="preserve"> </w:t>
      </w:r>
      <w:r>
        <w:rPr>
          <w:color w:val="333333"/>
          <w:spacing w:val="-3"/>
          <w:w w:val="110"/>
        </w:rPr>
        <w:t>by</w:t>
      </w:r>
      <w:r>
        <w:rPr>
          <w:color w:val="333333"/>
          <w:spacing w:val="25"/>
          <w:w w:val="110"/>
        </w:rPr>
        <w:t xml:space="preserve"> </w:t>
      </w:r>
      <w:r>
        <w:rPr>
          <w:color w:val="333333"/>
          <w:w w:val="110"/>
        </w:rPr>
        <w:t>the</w:t>
      </w:r>
      <w:r>
        <w:rPr>
          <w:color w:val="333333"/>
          <w:spacing w:val="26"/>
          <w:w w:val="110"/>
        </w:rPr>
        <w:t xml:space="preserve"> </w:t>
      </w:r>
      <w:r>
        <w:rPr>
          <w:color w:val="333333"/>
          <w:spacing w:val="-4"/>
          <w:w w:val="110"/>
        </w:rPr>
        <w:t>JPA</w:t>
      </w:r>
      <w:r>
        <w:rPr>
          <w:color w:val="333333"/>
          <w:spacing w:val="26"/>
          <w:w w:val="110"/>
        </w:rPr>
        <w:t xml:space="preserve"> </w:t>
      </w:r>
      <w:r>
        <w:rPr>
          <w:color w:val="333333"/>
          <w:w w:val="110"/>
        </w:rPr>
        <w:t>provider.</w:t>
      </w:r>
      <w:r>
        <w:rPr>
          <w:color w:val="333333"/>
          <w:spacing w:val="25"/>
          <w:w w:val="110"/>
        </w:rPr>
        <w:t xml:space="preserve"> </w:t>
      </w:r>
      <w:r>
        <w:rPr>
          <w:color w:val="333333"/>
          <w:w w:val="110"/>
        </w:rPr>
        <w:t>If</w:t>
      </w:r>
      <w:r>
        <w:rPr>
          <w:color w:val="333333"/>
          <w:spacing w:val="26"/>
          <w:w w:val="110"/>
        </w:rPr>
        <w:t xml:space="preserve"> </w:t>
      </w:r>
      <w:r>
        <w:rPr>
          <w:color w:val="333333"/>
          <w:w w:val="110"/>
        </w:rPr>
        <w:t>you</w:t>
      </w:r>
      <w:r>
        <w:rPr>
          <w:color w:val="333333"/>
          <w:spacing w:val="26"/>
          <w:w w:val="110"/>
        </w:rPr>
        <w:t xml:space="preserve"> </w:t>
      </w:r>
      <w:r>
        <w:rPr>
          <w:color w:val="333333"/>
          <w:w w:val="110"/>
        </w:rPr>
        <w:t>prefer</w:t>
      </w:r>
      <w:r>
        <w:rPr>
          <w:color w:val="333333"/>
          <w:spacing w:val="25"/>
          <w:w w:val="110"/>
        </w:rPr>
        <w:t xml:space="preserve"> </w:t>
      </w:r>
      <w:r>
        <w:rPr>
          <w:color w:val="333333"/>
          <w:w w:val="110"/>
        </w:rPr>
        <w:t>to</w:t>
      </w:r>
      <w:r>
        <w:rPr>
          <w:color w:val="333333"/>
          <w:spacing w:val="26"/>
          <w:w w:val="110"/>
        </w:rPr>
        <w:t xml:space="preserve"> </w:t>
      </w:r>
      <w:r>
        <w:rPr>
          <w:color w:val="333333"/>
          <w:w w:val="110"/>
        </w:rPr>
        <w:t>set</w:t>
      </w:r>
      <w:r>
        <w:rPr>
          <w:color w:val="333333"/>
          <w:spacing w:val="26"/>
          <w:w w:val="110"/>
        </w:rPr>
        <w:t xml:space="preserve"> </w:t>
      </w:r>
      <w:r>
        <w:rPr>
          <w:color w:val="333333"/>
          <w:w w:val="110"/>
        </w:rPr>
        <w:t>the</w:t>
      </w:r>
      <w:r>
        <w:rPr>
          <w:color w:val="333333"/>
          <w:spacing w:val="25"/>
          <w:w w:val="110"/>
        </w:rPr>
        <w:t xml:space="preserve"> </w:t>
      </w:r>
      <w:r>
        <w:rPr>
          <w:color w:val="333333"/>
          <w:w w:val="110"/>
        </w:rPr>
        <w:t>dialect</w:t>
      </w:r>
      <w:r>
        <w:rPr>
          <w:color w:val="333333"/>
          <w:spacing w:val="26"/>
          <w:w w:val="110"/>
        </w:rPr>
        <w:t xml:space="preserve"> </w:t>
      </w:r>
      <w:r>
        <w:rPr>
          <w:color w:val="333333"/>
          <w:w w:val="110"/>
        </w:rPr>
        <w:t>yourself,</w:t>
      </w:r>
      <w:r>
        <w:rPr>
          <w:color w:val="333333"/>
          <w:spacing w:val="26"/>
          <w:w w:val="110"/>
        </w:rPr>
        <w:t xml:space="preserve"> </w:t>
      </w:r>
      <w:r>
        <w:rPr>
          <w:color w:val="333333"/>
          <w:w w:val="110"/>
        </w:rPr>
        <w:t>set</w:t>
      </w:r>
      <w:r>
        <w:rPr>
          <w:color w:val="333333"/>
          <w:spacing w:val="25"/>
          <w:w w:val="110"/>
        </w:rPr>
        <w:t xml:space="preserve"> </w:t>
      </w:r>
      <w:r>
        <w:rPr>
          <w:color w:val="333333"/>
          <w:w w:val="110"/>
        </w:rPr>
        <w:t>the</w:t>
      </w:r>
    </w:p>
    <w:p w14:paraId="1351DDEE" w14:textId="77777777" w:rsidR="00A720EB" w:rsidRDefault="0030286B">
      <w:pPr>
        <w:pStyle w:val="a3"/>
        <w:spacing w:before="59"/>
        <w:ind w:left="124"/>
        <w:jc w:val="both"/>
      </w:pPr>
      <w:proofErr w:type="gramStart"/>
      <w:r>
        <w:rPr>
          <w:rFonts w:ascii="MS Gothic"/>
          <w:color w:val="B02045"/>
          <w:w w:val="105"/>
        </w:rPr>
        <w:t>spring.jpa.database</w:t>
      </w:r>
      <w:proofErr w:type="gramEnd"/>
      <w:r>
        <w:rPr>
          <w:rFonts w:ascii="MS Gothic"/>
          <w:color w:val="B02045"/>
          <w:w w:val="105"/>
        </w:rPr>
        <w:t>-platform</w:t>
      </w:r>
      <w:r>
        <w:rPr>
          <w:rFonts w:ascii="MS Gothic"/>
          <w:color w:val="B02045"/>
          <w:spacing w:val="-58"/>
          <w:w w:val="105"/>
        </w:rPr>
        <w:t xml:space="preserve"> </w:t>
      </w:r>
      <w:r>
        <w:rPr>
          <w:color w:val="333333"/>
          <w:spacing w:val="-3"/>
          <w:w w:val="105"/>
        </w:rPr>
        <w:t>property.</w:t>
      </w:r>
    </w:p>
    <w:p w14:paraId="46BBAF54" w14:textId="77777777" w:rsidR="00A720EB" w:rsidRDefault="00A720EB">
      <w:pPr>
        <w:pStyle w:val="a3"/>
        <w:spacing w:before="3"/>
        <w:rPr>
          <w:sz w:val="25"/>
        </w:rPr>
      </w:pPr>
    </w:p>
    <w:p w14:paraId="29420860" w14:textId="77777777" w:rsidR="00A720EB" w:rsidRDefault="0030286B">
      <w:pPr>
        <w:pStyle w:val="a3"/>
        <w:ind w:left="124"/>
        <w:jc w:val="both"/>
      </w:pPr>
      <w:r>
        <w:rPr>
          <w:color w:val="333333"/>
          <w:w w:val="110"/>
        </w:rPr>
        <w:t>The most common options to set are shown in the following example:</w:t>
      </w:r>
    </w:p>
    <w:p w14:paraId="65482310" w14:textId="77777777" w:rsidR="00A720EB" w:rsidRDefault="00E10349">
      <w:pPr>
        <w:pStyle w:val="a3"/>
        <w:rPr>
          <w:sz w:val="19"/>
        </w:rPr>
      </w:pPr>
      <w:r>
        <w:pict w14:anchorId="52BFA374">
          <v:group id="_x0000_s1372" style="position:absolute;margin-left:47.85pt;margin-top:13.15pt;width:499.55pt;height:52.25pt;z-index:-15066624;mso-wrap-distance-left:0;mso-wrap-distance-right:0;mso-position-horizontal-relative:page" coordorigin="957,263" coordsize="9991,1045">
            <v:shape id="_x0000_s1375" style="position:absolute;left:964;top:270;width:9976;height:1030" coordorigin="965,270" coordsize="9976,1030" path="m10861,270r-9816,l1014,277r-26,17l971,319r-6,31l965,1220r6,31l988,1277r26,17l1045,1300r9816,l10892,1294r25,-17l10935,1251r6,-31l10941,350r-6,-31l10917,294r-25,-17l10861,270xe" fillcolor="#f5f5f5" stroked="f">
              <v:path arrowok="t"/>
            </v:shape>
            <v:shape id="_x0000_s1374" style="position:absolute;left:964;top:270;width:9976;height:1030" coordorigin="965,270" coordsize="9976,1030" path="m1045,270r9816,l10892,277r25,17l10935,319r6,31l10941,1220r-6,31l10917,1277r-25,17l10861,1300r-9816,l1014,1294r-26,-17l971,1251r-6,-31l965,350r6,-31l988,294r26,-17l1045,270xe" filled="f" strokecolor="#ccc">
              <v:path arrowok="t"/>
            </v:shape>
            <v:shape id="_x0000_s1373" type="#_x0000_t202" style="position:absolute;left:984;top:285;width:9938;height:999" filled="f" stroked="f">
              <v:textbox inset="0,0,0,0">
                <w:txbxContent>
                  <w:p w14:paraId="287966E2" w14:textId="77777777" w:rsidR="00711A16" w:rsidRDefault="00711A16">
                    <w:pPr>
                      <w:spacing w:before="221" w:line="252" w:lineRule="auto"/>
                      <w:ind w:left="200" w:right="714"/>
                      <w:rPr>
                        <w:rFonts w:ascii="MS Gothic"/>
                      </w:rPr>
                    </w:pPr>
                    <w:proofErr w:type="gramStart"/>
                    <w:r>
                      <w:rPr>
                        <w:rFonts w:ascii="MS Gothic"/>
                        <w:color w:val="333333"/>
                      </w:rPr>
                      <w:t>spring.jpa.hibernate</w:t>
                    </w:r>
                    <w:proofErr w:type="gramEnd"/>
                    <w:r>
                      <w:rPr>
                        <w:rFonts w:ascii="MS Gothic"/>
                        <w:color w:val="333333"/>
                      </w:rPr>
                      <w:t>.naming.physical-strategy=com.example.MyPhysicalNamingStrategy spring.jpa.show-sql=true</w:t>
                    </w:r>
                  </w:p>
                </w:txbxContent>
              </v:textbox>
            </v:shape>
            <w10:wrap type="topAndBottom" anchorx="page"/>
          </v:group>
        </w:pict>
      </w:r>
    </w:p>
    <w:p w14:paraId="1B761500" w14:textId="77777777" w:rsidR="00A720EB" w:rsidRDefault="00A720EB">
      <w:pPr>
        <w:pStyle w:val="a3"/>
        <w:spacing w:before="11"/>
        <w:rPr>
          <w:sz w:val="9"/>
        </w:rPr>
      </w:pPr>
    </w:p>
    <w:p w14:paraId="1C1061F7" w14:textId="77777777" w:rsidR="00A720EB" w:rsidRDefault="0030286B">
      <w:pPr>
        <w:pStyle w:val="a3"/>
        <w:spacing w:before="115" w:line="280" w:lineRule="auto"/>
        <w:ind w:left="124" w:right="118"/>
      </w:pPr>
      <w:r>
        <w:rPr>
          <w:color w:val="333333"/>
          <w:w w:val="110"/>
        </w:rPr>
        <w:t xml:space="preserve">In addition, all properties in </w:t>
      </w:r>
      <w:proofErr w:type="gramStart"/>
      <w:r>
        <w:rPr>
          <w:rFonts w:ascii="MS Gothic"/>
          <w:color w:val="B02045"/>
          <w:w w:val="110"/>
        </w:rPr>
        <w:t>spring.jpa.properties</w:t>
      </w:r>
      <w:proofErr w:type="gramEnd"/>
      <w:r>
        <w:rPr>
          <w:rFonts w:ascii="MS Gothic"/>
          <w:color w:val="B02045"/>
          <w:w w:val="110"/>
        </w:rPr>
        <w:t xml:space="preserve">.* </w:t>
      </w:r>
      <w:r>
        <w:rPr>
          <w:color w:val="333333"/>
          <w:w w:val="110"/>
        </w:rPr>
        <w:t xml:space="preserve">are passed through as normal </w:t>
      </w:r>
      <w:r>
        <w:rPr>
          <w:color w:val="333333"/>
          <w:spacing w:val="-4"/>
          <w:w w:val="110"/>
        </w:rPr>
        <w:t xml:space="preserve">JPA </w:t>
      </w:r>
      <w:r>
        <w:rPr>
          <w:color w:val="333333"/>
          <w:w w:val="110"/>
        </w:rPr>
        <w:t xml:space="preserve">properties (with the prefix stripped) when the local </w:t>
      </w:r>
      <w:r>
        <w:rPr>
          <w:rFonts w:ascii="MS Gothic"/>
          <w:color w:val="B02045"/>
          <w:w w:val="110"/>
        </w:rPr>
        <w:t>EntityManagerFactory</w:t>
      </w:r>
      <w:r>
        <w:rPr>
          <w:rFonts w:ascii="MS Gothic"/>
          <w:color w:val="B02045"/>
          <w:spacing w:val="-69"/>
          <w:w w:val="110"/>
        </w:rPr>
        <w:t xml:space="preserve"> </w:t>
      </w:r>
      <w:r>
        <w:rPr>
          <w:color w:val="333333"/>
          <w:w w:val="110"/>
        </w:rPr>
        <w:t>is created.</w:t>
      </w:r>
    </w:p>
    <w:p w14:paraId="3B8B06B7" w14:textId="77777777" w:rsidR="00A720EB" w:rsidRDefault="00A720EB">
      <w:pPr>
        <w:pStyle w:val="a3"/>
        <w:spacing w:before="7"/>
        <w:rPr>
          <w:sz w:val="17"/>
        </w:rPr>
      </w:pPr>
    </w:p>
    <w:p w14:paraId="5F8D66FB" w14:textId="77777777" w:rsidR="00A720EB" w:rsidRDefault="00E10349">
      <w:pPr>
        <w:pStyle w:val="a3"/>
        <w:spacing w:before="116" w:line="300" w:lineRule="auto"/>
        <w:ind w:left="1564" w:right="362"/>
        <w:jc w:val="both"/>
      </w:pPr>
      <w:r>
        <w:pict w14:anchorId="1CEE760E">
          <v:line id="_x0000_s1371" style="position:absolute;left:0;text-align:left;z-index:16391168;mso-position-horizontal-relative:page" from="108.25pt,.35pt" to="108.25pt,115pt" strokecolor="#ededed" strokeweight=".5pt">
            <w10:wrap anchorx="page"/>
          </v:line>
        </w:pict>
      </w:r>
      <w:r w:rsidR="0030286B">
        <w:rPr>
          <w:noProof/>
        </w:rPr>
        <w:drawing>
          <wp:anchor distT="0" distB="0" distL="0" distR="0" simplePos="0" relativeHeight="16391680" behindDoc="0" locked="0" layoutInCell="1" allowOverlap="1" wp14:anchorId="0333B38F" wp14:editId="717C1876">
            <wp:simplePos x="0" y="0"/>
            <wp:positionH relativeFrom="page">
              <wp:posOffset>815847</wp:posOffset>
            </wp:positionH>
            <wp:positionV relativeFrom="paragraph">
              <wp:posOffset>580085</wp:posOffset>
            </wp:positionV>
            <wp:extent cx="355600" cy="304800"/>
            <wp:effectExtent l="0" t="0" r="0" b="0"/>
            <wp:wrapNone/>
            <wp:docPr id="7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spacing w:val="-6"/>
          <w:w w:val="110"/>
        </w:rPr>
        <w:t xml:space="preserve">You </w:t>
      </w:r>
      <w:r w:rsidR="0030286B">
        <w:rPr>
          <w:color w:val="333333"/>
          <w:w w:val="110"/>
        </w:rPr>
        <w:t xml:space="preserve">need to ensure that names defined under </w:t>
      </w:r>
      <w:proofErr w:type="gramStart"/>
      <w:r w:rsidR="0030286B">
        <w:rPr>
          <w:rFonts w:ascii="MS Gothic"/>
          <w:color w:val="B02045"/>
          <w:w w:val="110"/>
        </w:rPr>
        <w:t>spring.jpa.properties</w:t>
      </w:r>
      <w:proofErr w:type="gramEnd"/>
      <w:r w:rsidR="0030286B">
        <w:rPr>
          <w:rFonts w:ascii="MS Gothic"/>
          <w:color w:val="B02045"/>
          <w:w w:val="110"/>
        </w:rPr>
        <w:t xml:space="preserve">.* </w:t>
      </w:r>
      <w:r w:rsidR="0030286B">
        <w:rPr>
          <w:color w:val="333333"/>
          <w:w w:val="110"/>
        </w:rPr>
        <w:t xml:space="preserve">exactly match those expected </w:t>
      </w:r>
      <w:r w:rsidR="0030286B">
        <w:rPr>
          <w:color w:val="333333"/>
          <w:spacing w:val="-3"/>
          <w:w w:val="110"/>
        </w:rPr>
        <w:t xml:space="preserve">by </w:t>
      </w:r>
      <w:r w:rsidR="0030286B">
        <w:rPr>
          <w:color w:val="333333"/>
          <w:w w:val="110"/>
        </w:rPr>
        <w:t xml:space="preserve">your </w:t>
      </w:r>
      <w:r w:rsidR="0030286B">
        <w:rPr>
          <w:color w:val="333333"/>
          <w:spacing w:val="-4"/>
          <w:w w:val="110"/>
        </w:rPr>
        <w:t xml:space="preserve">JPA </w:t>
      </w:r>
      <w:r w:rsidR="0030286B">
        <w:rPr>
          <w:color w:val="333333"/>
          <w:w w:val="110"/>
        </w:rPr>
        <w:t xml:space="preserve">provider. Spring Boot will not attempt any </w:t>
      </w:r>
      <w:proofErr w:type="gramStart"/>
      <w:r w:rsidR="0030286B">
        <w:rPr>
          <w:color w:val="333333"/>
          <w:w w:val="110"/>
        </w:rPr>
        <w:t>kind  of</w:t>
      </w:r>
      <w:proofErr w:type="gramEnd"/>
      <w:r w:rsidR="0030286B">
        <w:rPr>
          <w:color w:val="333333"/>
          <w:w w:val="110"/>
        </w:rPr>
        <w:t xml:space="preserve"> relaxed binding for these</w:t>
      </w:r>
      <w:r w:rsidR="0030286B">
        <w:rPr>
          <w:color w:val="333333"/>
          <w:spacing w:val="17"/>
          <w:w w:val="110"/>
        </w:rPr>
        <w:t xml:space="preserve"> </w:t>
      </w:r>
      <w:r w:rsidR="0030286B">
        <w:rPr>
          <w:color w:val="333333"/>
          <w:w w:val="110"/>
        </w:rPr>
        <w:t>entries.</w:t>
      </w:r>
    </w:p>
    <w:p w14:paraId="4EB4967B" w14:textId="77777777" w:rsidR="00A720EB" w:rsidRDefault="0030286B">
      <w:pPr>
        <w:pStyle w:val="a3"/>
        <w:spacing w:before="245" w:line="290" w:lineRule="auto"/>
        <w:ind w:left="1564" w:right="364"/>
        <w:jc w:val="both"/>
      </w:pPr>
      <w:r>
        <w:rPr>
          <w:color w:val="333333"/>
          <w:spacing w:val="-4"/>
          <w:w w:val="110"/>
        </w:rPr>
        <w:t xml:space="preserve">For </w:t>
      </w:r>
      <w:r>
        <w:rPr>
          <w:color w:val="333333"/>
          <w:w w:val="110"/>
        </w:rPr>
        <w:t xml:space="preserve">example, if you want to configure Hibernate’s batch size you must use </w:t>
      </w:r>
      <w:proofErr w:type="gramStart"/>
      <w:r>
        <w:rPr>
          <w:rFonts w:ascii="MS Gothic" w:hAnsi="MS Gothic"/>
          <w:color w:val="B02045"/>
          <w:w w:val="105"/>
        </w:rPr>
        <w:t>spring.jpa.properties</w:t>
      </w:r>
      <w:proofErr w:type="gramEnd"/>
      <w:r>
        <w:rPr>
          <w:rFonts w:ascii="MS Gothic" w:hAnsi="MS Gothic"/>
          <w:color w:val="B02045"/>
          <w:w w:val="105"/>
        </w:rPr>
        <w:t>.hibernate.jdbc.batch_size</w:t>
      </w:r>
      <w:r>
        <w:rPr>
          <w:color w:val="333333"/>
          <w:w w:val="105"/>
        </w:rPr>
        <w:t xml:space="preserve">. If you use other forms, such as </w:t>
      </w:r>
      <w:r>
        <w:rPr>
          <w:rFonts w:ascii="MS Gothic" w:hAnsi="MS Gothic"/>
          <w:color w:val="B02045"/>
          <w:w w:val="110"/>
        </w:rPr>
        <w:t>batchSize</w:t>
      </w:r>
      <w:r>
        <w:rPr>
          <w:rFonts w:ascii="MS Gothic" w:hAnsi="MS Gothic"/>
          <w:color w:val="B02045"/>
          <w:spacing w:val="-68"/>
          <w:w w:val="110"/>
        </w:rPr>
        <w:t xml:space="preserve"> </w:t>
      </w:r>
      <w:r>
        <w:rPr>
          <w:color w:val="333333"/>
          <w:w w:val="110"/>
        </w:rPr>
        <w:t xml:space="preserve">or </w:t>
      </w:r>
      <w:r>
        <w:rPr>
          <w:rFonts w:ascii="MS Gothic" w:hAnsi="MS Gothic"/>
          <w:color w:val="B02045"/>
          <w:w w:val="110"/>
        </w:rPr>
        <w:t>batch-size</w:t>
      </w:r>
      <w:r>
        <w:rPr>
          <w:color w:val="333333"/>
          <w:w w:val="110"/>
        </w:rPr>
        <w:t xml:space="preserve">, </w:t>
      </w:r>
      <w:proofErr w:type="gramStart"/>
      <w:r>
        <w:rPr>
          <w:color w:val="333333"/>
          <w:w w:val="110"/>
        </w:rPr>
        <w:t>Hibernate</w:t>
      </w:r>
      <w:proofErr w:type="gramEnd"/>
      <w:r>
        <w:rPr>
          <w:color w:val="333333"/>
          <w:w w:val="110"/>
        </w:rPr>
        <w:t xml:space="preserve"> will not apply the setting.</w:t>
      </w:r>
    </w:p>
    <w:p w14:paraId="00FDCAB9" w14:textId="77777777" w:rsidR="00A720EB" w:rsidRDefault="00A720EB">
      <w:pPr>
        <w:spacing w:line="290" w:lineRule="auto"/>
        <w:jc w:val="both"/>
        <w:sectPr w:rsidR="00A720EB">
          <w:pgSz w:w="11910" w:h="16840"/>
          <w:pgMar w:top="620" w:right="840" w:bottom="520" w:left="840" w:header="0" w:footer="323" w:gutter="0"/>
          <w:cols w:space="720"/>
        </w:sectPr>
      </w:pPr>
    </w:p>
    <w:p w14:paraId="2356CD1D" w14:textId="77777777" w:rsidR="00A720EB" w:rsidRDefault="00E10349">
      <w:pPr>
        <w:pStyle w:val="a3"/>
        <w:spacing w:before="122" w:line="290" w:lineRule="auto"/>
        <w:ind w:left="1564" w:right="366"/>
        <w:jc w:val="both"/>
      </w:pPr>
      <w:r>
        <w:lastRenderedPageBreak/>
        <w:pict w14:anchorId="40C36AD2">
          <v:line id="_x0000_s1370" style="position:absolute;left:0;text-align:left;z-index:16393216;mso-position-horizontal-relative:page" from="108.25pt,.1pt" to="108.25pt,71.25pt" strokecolor="#ededed" strokeweight=".5pt">
            <w10:wrap anchorx="page"/>
          </v:line>
        </w:pict>
      </w:r>
      <w:r w:rsidR="0030286B">
        <w:rPr>
          <w:noProof/>
        </w:rPr>
        <w:drawing>
          <wp:anchor distT="0" distB="0" distL="0" distR="0" simplePos="0" relativeHeight="16393728" behindDoc="0" locked="0" layoutInCell="1" allowOverlap="1" wp14:anchorId="23E5BFC0" wp14:editId="3FF9EAD6">
            <wp:simplePos x="0" y="0"/>
            <wp:positionH relativeFrom="page">
              <wp:posOffset>888949</wp:posOffset>
            </wp:positionH>
            <wp:positionV relativeFrom="paragraph">
              <wp:posOffset>300648</wp:posOffset>
            </wp:positionV>
            <wp:extent cx="209550" cy="304800"/>
            <wp:effectExtent l="0" t="0" r="0" b="0"/>
            <wp:wrapNone/>
            <wp:docPr id="7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you need to apply advanced customization to Hibernate properties, consider registering a </w:t>
      </w:r>
      <w:r w:rsidR="0030286B">
        <w:rPr>
          <w:rFonts w:ascii="MS Gothic"/>
          <w:color w:val="B02045"/>
          <w:w w:val="110"/>
        </w:rPr>
        <w:t xml:space="preserve">HibernatePropertiesCustomizer </w:t>
      </w:r>
      <w:r w:rsidR="0030286B">
        <w:rPr>
          <w:color w:val="333333"/>
          <w:w w:val="110"/>
        </w:rPr>
        <w:t xml:space="preserve">bean that will be invoked prior to creating the </w:t>
      </w:r>
      <w:r w:rsidR="0030286B">
        <w:rPr>
          <w:rFonts w:ascii="MS Gothic"/>
          <w:color w:val="B02045"/>
          <w:w w:val="110"/>
        </w:rPr>
        <w:t>EntityManagerFactory</w:t>
      </w:r>
      <w:r w:rsidR="0030286B">
        <w:rPr>
          <w:color w:val="333333"/>
          <w:w w:val="110"/>
        </w:rPr>
        <w:t>. This takes precedence to anything that is applied by the auto-configuration.</w:t>
      </w:r>
    </w:p>
    <w:p w14:paraId="540783F6" w14:textId="77777777" w:rsidR="00A720EB" w:rsidRDefault="00A720EB">
      <w:pPr>
        <w:pStyle w:val="a3"/>
        <w:spacing w:before="10"/>
        <w:rPr>
          <w:sz w:val="24"/>
        </w:rPr>
      </w:pPr>
    </w:p>
    <w:p w14:paraId="3F5E6313" w14:textId="77777777" w:rsidR="00A720EB" w:rsidRDefault="0030286B">
      <w:pPr>
        <w:pStyle w:val="3"/>
        <w:numPr>
          <w:ilvl w:val="2"/>
          <w:numId w:val="13"/>
        </w:numPr>
        <w:tabs>
          <w:tab w:val="left" w:pos="858"/>
        </w:tabs>
        <w:spacing w:before="105"/>
        <w:ind w:hanging="734"/>
      </w:pPr>
      <w:bookmarkStart w:id="905" w:name="9.9.6._Configure_Hibernate_Naming_Strate"/>
      <w:bookmarkStart w:id="906" w:name="_Toc54423973"/>
      <w:bookmarkEnd w:id="905"/>
      <w:r>
        <w:rPr>
          <w:color w:val="333333"/>
          <w:w w:val="110"/>
        </w:rPr>
        <w:t>Configure Hibernate Naming</w:t>
      </w:r>
      <w:r>
        <w:rPr>
          <w:color w:val="333333"/>
          <w:spacing w:val="-18"/>
          <w:w w:val="110"/>
        </w:rPr>
        <w:t xml:space="preserve"> </w:t>
      </w:r>
      <w:r>
        <w:rPr>
          <w:color w:val="333333"/>
          <w:w w:val="110"/>
        </w:rPr>
        <w:t>Strategy</w:t>
      </w:r>
      <w:bookmarkEnd w:id="906"/>
    </w:p>
    <w:p w14:paraId="230BA4E0" w14:textId="77777777" w:rsidR="00A720EB" w:rsidRDefault="0030286B">
      <w:pPr>
        <w:pStyle w:val="a3"/>
        <w:spacing w:before="254" w:line="292" w:lineRule="auto"/>
        <w:ind w:left="124" w:right="122"/>
        <w:jc w:val="both"/>
      </w:pPr>
      <w:r>
        <w:rPr>
          <w:color w:val="333333"/>
          <w:w w:val="110"/>
        </w:rPr>
        <w:t xml:space="preserve">Hibernate uses </w:t>
      </w:r>
      <w:hyperlink r:id="rId624" w:anchor="naming">
        <w:r>
          <w:rPr>
            <w:color w:val="418BCA"/>
            <w:w w:val="110"/>
          </w:rPr>
          <w:t>two different naming strategies</w:t>
        </w:r>
      </w:hyperlink>
      <w:r>
        <w:rPr>
          <w:color w:val="418BCA"/>
          <w:w w:val="110"/>
        </w:rPr>
        <w:t xml:space="preserve"> </w:t>
      </w:r>
      <w:r>
        <w:rPr>
          <w:color w:val="333333"/>
          <w:w w:val="110"/>
        </w:rPr>
        <w:t>to map names from the object model to the corresponding database names. The fully qualified class name of the physical and the implicit strategy</w:t>
      </w:r>
      <w:r>
        <w:rPr>
          <w:color w:val="333333"/>
          <w:spacing w:val="-11"/>
          <w:w w:val="110"/>
        </w:rPr>
        <w:t xml:space="preserve"> </w:t>
      </w:r>
      <w:r>
        <w:rPr>
          <w:color w:val="333333"/>
          <w:w w:val="110"/>
        </w:rPr>
        <w:t>implementations</w:t>
      </w:r>
      <w:r>
        <w:rPr>
          <w:color w:val="333333"/>
          <w:spacing w:val="-11"/>
          <w:w w:val="110"/>
        </w:rPr>
        <w:t xml:space="preserve"> </w:t>
      </w:r>
      <w:r>
        <w:rPr>
          <w:color w:val="333333"/>
          <w:w w:val="110"/>
        </w:rPr>
        <w:t>can</w:t>
      </w:r>
      <w:r>
        <w:rPr>
          <w:color w:val="333333"/>
          <w:spacing w:val="-11"/>
          <w:w w:val="110"/>
        </w:rPr>
        <w:t xml:space="preserve"> </w:t>
      </w:r>
      <w:r>
        <w:rPr>
          <w:color w:val="333333"/>
          <w:w w:val="110"/>
        </w:rPr>
        <w:t>be</w:t>
      </w:r>
      <w:r>
        <w:rPr>
          <w:color w:val="333333"/>
          <w:spacing w:val="-11"/>
          <w:w w:val="110"/>
        </w:rPr>
        <w:t xml:space="preserve"> </w:t>
      </w:r>
      <w:r>
        <w:rPr>
          <w:color w:val="333333"/>
          <w:w w:val="110"/>
        </w:rPr>
        <w:t>configured</w:t>
      </w:r>
      <w:r>
        <w:rPr>
          <w:color w:val="333333"/>
          <w:spacing w:val="-10"/>
          <w:w w:val="110"/>
        </w:rPr>
        <w:t xml:space="preserve"> </w:t>
      </w:r>
      <w:r>
        <w:rPr>
          <w:color w:val="333333"/>
          <w:spacing w:val="-3"/>
          <w:w w:val="110"/>
        </w:rPr>
        <w:t>by</w:t>
      </w:r>
      <w:r>
        <w:rPr>
          <w:color w:val="333333"/>
          <w:spacing w:val="-11"/>
          <w:w w:val="110"/>
        </w:rPr>
        <w:t xml:space="preserve"> </w:t>
      </w:r>
      <w:r>
        <w:rPr>
          <w:color w:val="333333"/>
          <w:w w:val="110"/>
        </w:rPr>
        <w:t>setting</w:t>
      </w:r>
      <w:r>
        <w:rPr>
          <w:color w:val="333333"/>
          <w:spacing w:val="-10"/>
          <w:w w:val="110"/>
        </w:rPr>
        <w:t xml:space="preserve"> </w:t>
      </w:r>
      <w:r>
        <w:rPr>
          <w:color w:val="333333"/>
          <w:w w:val="110"/>
        </w:rPr>
        <w:t>the</w:t>
      </w:r>
      <w:r>
        <w:rPr>
          <w:color w:val="333333"/>
          <w:spacing w:val="-8"/>
          <w:w w:val="110"/>
        </w:rPr>
        <w:t xml:space="preserve"> </w:t>
      </w:r>
      <w:proofErr w:type="gramStart"/>
      <w:r>
        <w:rPr>
          <w:rFonts w:ascii="MS Gothic"/>
          <w:color w:val="B02045"/>
          <w:w w:val="110"/>
        </w:rPr>
        <w:t>spring.jpa.hibernate</w:t>
      </w:r>
      <w:proofErr w:type="gramEnd"/>
      <w:r>
        <w:rPr>
          <w:rFonts w:ascii="MS Gothic"/>
          <w:color w:val="B02045"/>
          <w:w w:val="110"/>
        </w:rPr>
        <w:t xml:space="preserve">.naming.physical- </w:t>
      </w:r>
      <w:r>
        <w:rPr>
          <w:rFonts w:ascii="MS Gothic"/>
          <w:color w:val="B02045"/>
          <w:w w:val="105"/>
        </w:rPr>
        <w:t xml:space="preserve">strategy </w:t>
      </w:r>
      <w:r>
        <w:rPr>
          <w:color w:val="333333"/>
          <w:w w:val="105"/>
        </w:rPr>
        <w:t xml:space="preserve">and </w:t>
      </w:r>
      <w:r>
        <w:rPr>
          <w:rFonts w:ascii="MS Gothic"/>
          <w:color w:val="B02045"/>
          <w:w w:val="105"/>
        </w:rPr>
        <w:t xml:space="preserve">spring.jpa.hibernate.naming.implicit-strategy </w:t>
      </w:r>
      <w:r>
        <w:rPr>
          <w:color w:val="333333"/>
          <w:w w:val="105"/>
        </w:rPr>
        <w:t xml:space="preserve">properties, </w:t>
      </w:r>
      <w:r>
        <w:rPr>
          <w:color w:val="333333"/>
          <w:spacing w:val="-3"/>
          <w:w w:val="105"/>
        </w:rPr>
        <w:t xml:space="preserve">respectively. Alternatively, </w:t>
      </w:r>
      <w:r>
        <w:rPr>
          <w:color w:val="333333"/>
          <w:w w:val="110"/>
        </w:rPr>
        <w:t>if</w:t>
      </w:r>
      <w:r>
        <w:rPr>
          <w:color w:val="333333"/>
          <w:spacing w:val="-17"/>
          <w:w w:val="110"/>
        </w:rPr>
        <w:t xml:space="preserve"> </w:t>
      </w:r>
      <w:r>
        <w:rPr>
          <w:rFonts w:ascii="MS Gothic"/>
          <w:color w:val="B02045"/>
          <w:w w:val="110"/>
        </w:rPr>
        <w:t>ImplicitNamingStrategy</w:t>
      </w:r>
      <w:r>
        <w:rPr>
          <w:rFonts w:ascii="MS Gothic"/>
          <w:color w:val="B02045"/>
          <w:spacing w:val="-81"/>
          <w:w w:val="110"/>
        </w:rPr>
        <w:t xml:space="preserve"> </w:t>
      </w:r>
      <w:r>
        <w:rPr>
          <w:color w:val="333333"/>
          <w:w w:val="110"/>
        </w:rPr>
        <w:t>or</w:t>
      </w:r>
      <w:r>
        <w:rPr>
          <w:color w:val="333333"/>
          <w:spacing w:val="-16"/>
          <w:w w:val="110"/>
        </w:rPr>
        <w:t xml:space="preserve"> </w:t>
      </w:r>
      <w:r>
        <w:rPr>
          <w:rFonts w:ascii="MS Gothic"/>
          <w:color w:val="B02045"/>
          <w:w w:val="110"/>
        </w:rPr>
        <w:t>PhysicalNamingStrategy</w:t>
      </w:r>
      <w:r>
        <w:rPr>
          <w:rFonts w:ascii="MS Gothic"/>
          <w:color w:val="B02045"/>
          <w:spacing w:val="-81"/>
          <w:w w:val="110"/>
        </w:rPr>
        <w:t xml:space="preserve"> </w:t>
      </w:r>
      <w:r>
        <w:rPr>
          <w:color w:val="333333"/>
          <w:w w:val="110"/>
        </w:rPr>
        <w:t>beans</w:t>
      </w:r>
      <w:r>
        <w:rPr>
          <w:color w:val="333333"/>
          <w:spacing w:val="-17"/>
          <w:w w:val="110"/>
        </w:rPr>
        <w:t xml:space="preserve"> </w:t>
      </w:r>
      <w:r>
        <w:rPr>
          <w:color w:val="333333"/>
          <w:w w:val="110"/>
        </w:rPr>
        <w:t>are</w:t>
      </w:r>
      <w:r>
        <w:rPr>
          <w:color w:val="333333"/>
          <w:spacing w:val="-17"/>
          <w:w w:val="110"/>
        </w:rPr>
        <w:t xml:space="preserve"> </w:t>
      </w:r>
      <w:r>
        <w:rPr>
          <w:color w:val="333333"/>
          <w:w w:val="110"/>
        </w:rPr>
        <w:t>available</w:t>
      </w:r>
      <w:r>
        <w:rPr>
          <w:color w:val="333333"/>
          <w:spacing w:val="-16"/>
          <w:w w:val="110"/>
        </w:rPr>
        <w:t xml:space="preserve"> </w:t>
      </w:r>
      <w:r>
        <w:rPr>
          <w:color w:val="333333"/>
          <w:w w:val="110"/>
        </w:rPr>
        <w:t>in</w:t>
      </w:r>
      <w:r>
        <w:rPr>
          <w:color w:val="333333"/>
          <w:spacing w:val="-17"/>
          <w:w w:val="110"/>
        </w:rPr>
        <w:t xml:space="preserve"> </w:t>
      </w:r>
      <w:r>
        <w:rPr>
          <w:color w:val="333333"/>
          <w:w w:val="110"/>
        </w:rPr>
        <w:t>the</w:t>
      </w:r>
      <w:r>
        <w:rPr>
          <w:color w:val="333333"/>
          <w:spacing w:val="-16"/>
          <w:w w:val="110"/>
        </w:rPr>
        <w:t xml:space="preserve"> </w:t>
      </w:r>
      <w:r>
        <w:rPr>
          <w:color w:val="333333"/>
          <w:w w:val="110"/>
        </w:rPr>
        <w:t>application</w:t>
      </w:r>
      <w:r>
        <w:rPr>
          <w:color w:val="333333"/>
          <w:spacing w:val="-17"/>
          <w:w w:val="110"/>
        </w:rPr>
        <w:t xml:space="preserve"> </w:t>
      </w:r>
      <w:r>
        <w:rPr>
          <w:color w:val="333333"/>
          <w:w w:val="110"/>
        </w:rPr>
        <w:t xml:space="preserve">context, </w:t>
      </w:r>
      <w:proofErr w:type="gramStart"/>
      <w:r>
        <w:rPr>
          <w:color w:val="333333"/>
          <w:w w:val="110"/>
        </w:rPr>
        <w:t>Hibernate</w:t>
      </w:r>
      <w:proofErr w:type="gramEnd"/>
      <w:r>
        <w:rPr>
          <w:color w:val="333333"/>
          <w:w w:val="110"/>
        </w:rPr>
        <w:t xml:space="preserve"> will be automatically configured to use</w:t>
      </w:r>
      <w:r>
        <w:rPr>
          <w:color w:val="333333"/>
          <w:spacing w:val="23"/>
          <w:w w:val="110"/>
        </w:rPr>
        <w:t xml:space="preserve"> </w:t>
      </w:r>
      <w:r>
        <w:rPr>
          <w:color w:val="333333"/>
          <w:w w:val="110"/>
        </w:rPr>
        <w:t>them.</w:t>
      </w:r>
    </w:p>
    <w:p w14:paraId="10C0D81B" w14:textId="77777777" w:rsidR="00A720EB" w:rsidRDefault="0030286B">
      <w:pPr>
        <w:pStyle w:val="a3"/>
        <w:spacing w:before="237" w:line="302" w:lineRule="auto"/>
        <w:ind w:left="124" w:right="122"/>
        <w:jc w:val="both"/>
      </w:pPr>
      <w:r>
        <w:rPr>
          <w:color w:val="333333"/>
          <w:spacing w:val="-3"/>
          <w:w w:val="110"/>
        </w:rPr>
        <w:t>By</w:t>
      </w:r>
      <w:r>
        <w:rPr>
          <w:color w:val="333333"/>
          <w:spacing w:val="-11"/>
          <w:w w:val="110"/>
        </w:rPr>
        <w:t xml:space="preserve"> </w:t>
      </w:r>
      <w:r>
        <w:rPr>
          <w:color w:val="333333"/>
          <w:w w:val="110"/>
        </w:rPr>
        <w:t>default,</w:t>
      </w:r>
      <w:r>
        <w:rPr>
          <w:color w:val="333333"/>
          <w:spacing w:val="-11"/>
          <w:w w:val="110"/>
        </w:rPr>
        <w:t xml:space="preserve"> </w:t>
      </w:r>
      <w:r>
        <w:rPr>
          <w:color w:val="333333"/>
          <w:w w:val="110"/>
        </w:rPr>
        <w:t>Spring</w:t>
      </w:r>
      <w:r>
        <w:rPr>
          <w:color w:val="333333"/>
          <w:spacing w:val="-10"/>
          <w:w w:val="110"/>
        </w:rPr>
        <w:t xml:space="preserve"> </w:t>
      </w:r>
      <w:r>
        <w:rPr>
          <w:color w:val="333333"/>
          <w:w w:val="110"/>
        </w:rPr>
        <w:t>Boot</w:t>
      </w:r>
      <w:r>
        <w:rPr>
          <w:color w:val="333333"/>
          <w:spacing w:val="-11"/>
          <w:w w:val="110"/>
        </w:rPr>
        <w:t xml:space="preserve"> </w:t>
      </w:r>
      <w:r>
        <w:rPr>
          <w:color w:val="333333"/>
          <w:w w:val="110"/>
        </w:rPr>
        <w:t>configures</w:t>
      </w:r>
      <w:r>
        <w:rPr>
          <w:color w:val="333333"/>
          <w:spacing w:val="-11"/>
          <w:w w:val="110"/>
        </w:rPr>
        <w:t xml:space="preserve"> </w:t>
      </w:r>
      <w:r>
        <w:rPr>
          <w:color w:val="333333"/>
          <w:w w:val="110"/>
        </w:rPr>
        <w:t>the</w:t>
      </w:r>
      <w:r>
        <w:rPr>
          <w:color w:val="333333"/>
          <w:spacing w:val="-10"/>
          <w:w w:val="110"/>
        </w:rPr>
        <w:t xml:space="preserve"> </w:t>
      </w:r>
      <w:r>
        <w:rPr>
          <w:color w:val="333333"/>
          <w:w w:val="110"/>
        </w:rPr>
        <w:t>physical</w:t>
      </w:r>
      <w:r>
        <w:rPr>
          <w:color w:val="333333"/>
          <w:spacing w:val="-11"/>
          <w:w w:val="110"/>
        </w:rPr>
        <w:t xml:space="preserve"> </w:t>
      </w:r>
      <w:r>
        <w:rPr>
          <w:color w:val="333333"/>
          <w:w w:val="110"/>
        </w:rPr>
        <w:t>naming</w:t>
      </w:r>
      <w:r>
        <w:rPr>
          <w:color w:val="333333"/>
          <w:spacing w:val="-11"/>
          <w:w w:val="110"/>
        </w:rPr>
        <w:t xml:space="preserve"> </w:t>
      </w:r>
      <w:r>
        <w:rPr>
          <w:color w:val="333333"/>
          <w:w w:val="110"/>
        </w:rPr>
        <w:t>strategy</w:t>
      </w:r>
      <w:r>
        <w:rPr>
          <w:color w:val="333333"/>
          <w:spacing w:val="-10"/>
          <w:w w:val="110"/>
        </w:rPr>
        <w:t xml:space="preserve"> </w:t>
      </w:r>
      <w:r>
        <w:rPr>
          <w:color w:val="333333"/>
          <w:w w:val="110"/>
        </w:rPr>
        <w:t>with</w:t>
      </w:r>
      <w:r>
        <w:rPr>
          <w:color w:val="333333"/>
          <w:spacing w:val="-6"/>
          <w:w w:val="110"/>
        </w:rPr>
        <w:t xml:space="preserve"> </w:t>
      </w:r>
      <w:r>
        <w:rPr>
          <w:rFonts w:ascii="MS Gothic"/>
          <w:color w:val="B02045"/>
          <w:w w:val="110"/>
        </w:rPr>
        <w:t>SpringPhysicalNamingStrategy</w:t>
      </w:r>
      <w:r>
        <w:rPr>
          <w:color w:val="333333"/>
          <w:w w:val="110"/>
        </w:rPr>
        <w:t xml:space="preserve">. This implementation provides the same table structure as Hibernate 4: all dots are replaced </w:t>
      </w:r>
      <w:r>
        <w:rPr>
          <w:color w:val="333333"/>
          <w:spacing w:val="-3"/>
          <w:w w:val="110"/>
        </w:rPr>
        <w:t xml:space="preserve">by </w:t>
      </w:r>
      <w:r>
        <w:rPr>
          <w:color w:val="333333"/>
          <w:w w:val="110"/>
        </w:rPr>
        <w:t xml:space="preserve">underscores and camel casing is replaced </w:t>
      </w:r>
      <w:r>
        <w:rPr>
          <w:color w:val="333333"/>
          <w:spacing w:val="-3"/>
          <w:w w:val="110"/>
        </w:rPr>
        <w:t xml:space="preserve">by </w:t>
      </w:r>
      <w:r>
        <w:rPr>
          <w:color w:val="333333"/>
          <w:w w:val="110"/>
        </w:rPr>
        <w:t xml:space="preserve">underscores as well. </w:t>
      </w:r>
      <w:r>
        <w:rPr>
          <w:color w:val="333333"/>
          <w:spacing w:val="-3"/>
          <w:w w:val="110"/>
        </w:rPr>
        <w:t xml:space="preserve">By </w:t>
      </w:r>
      <w:r>
        <w:rPr>
          <w:color w:val="333333"/>
          <w:w w:val="110"/>
        </w:rPr>
        <w:t>default, all table names are generated</w:t>
      </w:r>
      <w:r>
        <w:rPr>
          <w:color w:val="333333"/>
          <w:spacing w:val="3"/>
          <w:w w:val="110"/>
        </w:rPr>
        <w:t xml:space="preserve"> </w:t>
      </w:r>
      <w:r>
        <w:rPr>
          <w:color w:val="333333"/>
          <w:w w:val="110"/>
        </w:rPr>
        <w:t>in</w:t>
      </w:r>
      <w:r>
        <w:rPr>
          <w:color w:val="333333"/>
          <w:spacing w:val="3"/>
          <w:w w:val="110"/>
        </w:rPr>
        <w:t xml:space="preserve"> </w:t>
      </w:r>
      <w:r>
        <w:rPr>
          <w:color w:val="333333"/>
          <w:w w:val="110"/>
        </w:rPr>
        <w:t>lower</w:t>
      </w:r>
      <w:r>
        <w:rPr>
          <w:color w:val="333333"/>
          <w:spacing w:val="5"/>
          <w:w w:val="110"/>
        </w:rPr>
        <w:t xml:space="preserve"> </w:t>
      </w:r>
      <w:r>
        <w:rPr>
          <w:color w:val="333333"/>
          <w:w w:val="110"/>
        </w:rPr>
        <w:t>case,</w:t>
      </w:r>
      <w:r>
        <w:rPr>
          <w:color w:val="333333"/>
          <w:spacing w:val="4"/>
          <w:w w:val="110"/>
        </w:rPr>
        <w:t xml:space="preserve"> </w:t>
      </w:r>
      <w:r>
        <w:rPr>
          <w:color w:val="333333"/>
          <w:w w:val="110"/>
        </w:rPr>
        <w:t>but</w:t>
      </w:r>
      <w:r>
        <w:rPr>
          <w:color w:val="333333"/>
          <w:spacing w:val="4"/>
          <w:w w:val="110"/>
        </w:rPr>
        <w:t xml:space="preserve"> </w:t>
      </w:r>
      <w:r>
        <w:rPr>
          <w:color w:val="333333"/>
          <w:w w:val="110"/>
        </w:rPr>
        <w:t>it</w:t>
      </w:r>
      <w:r>
        <w:rPr>
          <w:color w:val="333333"/>
          <w:spacing w:val="3"/>
          <w:w w:val="110"/>
        </w:rPr>
        <w:t xml:space="preserve"> </w:t>
      </w:r>
      <w:r>
        <w:rPr>
          <w:color w:val="333333"/>
          <w:w w:val="110"/>
        </w:rPr>
        <w:t>is</w:t>
      </w:r>
      <w:r>
        <w:rPr>
          <w:color w:val="333333"/>
          <w:spacing w:val="4"/>
          <w:w w:val="110"/>
        </w:rPr>
        <w:t xml:space="preserve"> </w:t>
      </w:r>
      <w:r>
        <w:rPr>
          <w:color w:val="333333"/>
          <w:w w:val="110"/>
        </w:rPr>
        <w:t>possible</w:t>
      </w:r>
      <w:r>
        <w:rPr>
          <w:color w:val="333333"/>
          <w:spacing w:val="3"/>
          <w:w w:val="110"/>
        </w:rPr>
        <w:t xml:space="preserve"> </w:t>
      </w:r>
      <w:r>
        <w:rPr>
          <w:color w:val="333333"/>
          <w:w w:val="110"/>
        </w:rPr>
        <w:t>to</w:t>
      </w:r>
      <w:r>
        <w:rPr>
          <w:color w:val="333333"/>
          <w:spacing w:val="5"/>
          <w:w w:val="110"/>
        </w:rPr>
        <w:t xml:space="preserve"> </w:t>
      </w:r>
      <w:r>
        <w:rPr>
          <w:color w:val="333333"/>
          <w:w w:val="110"/>
        </w:rPr>
        <w:t>override</w:t>
      </w:r>
      <w:r>
        <w:rPr>
          <w:color w:val="333333"/>
          <w:spacing w:val="4"/>
          <w:w w:val="110"/>
        </w:rPr>
        <w:t xml:space="preserve"> </w:t>
      </w:r>
      <w:r>
        <w:rPr>
          <w:color w:val="333333"/>
          <w:w w:val="110"/>
        </w:rPr>
        <w:t>that</w:t>
      </w:r>
      <w:r>
        <w:rPr>
          <w:color w:val="333333"/>
          <w:spacing w:val="5"/>
          <w:w w:val="110"/>
        </w:rPr>
        <w:t xml:space="preserve"> </w:t>
      </w:r>
      <w:r>
        <w:rPr>
          <w:color w:val="333333"/>
          <w:w w:val="110"/>
        </w:rPr>
        <w:t>flag</w:t>
      </w:r>
      <w:r>
        <w:rPr>
          <w:color w:val="333333"/>
          <w:spacing w:val="4"/>
          <w:w w:val="110"/>
        </w:rPr>
        <w:t xml:space="preserve"> </w:t>
      </w:r>
      <w:r>
        <w:rPr>
          <w:color w:val="333333"/>
          <w:w w:val="110"/>
        </w:rPr>
        <w:t>if</w:t>
      </w:r>
      <w:r>
        <w:rPr>
          <w:color w:val="333333"/>
          <w:spacing w:val="4"/>
          <w:w w:val="110"/>
        </w:rPr>
        <w:t xml:space="preserve"> </w:t>
      </w:r>
      <w:r>
        <w:rPr>
          <w:color w:val="333333"/>
          <w:w w:val="110"/>
        </w:rPr>
        <w:t>your</w:t>
      </w:r>
      <w:r>
        <w:rPr>
          <w:color w:val="333333"/>
          <w:spacing w:val="3"/>
          <w:w w:val="110"/>
        </w:rPr>
        <w:t xml:space="preserve"> </w:t>
      </w:r>
      <w:r>
        <w:rPr>
          <w:color w:val="333333"/>
          <w:w w:val="110"/>
        </w:rPr>
        <w:t>schema</w:t>
      </w:r>
      <w:r>
        <w:rPr>
          <w:color w:val="333333"/>
          <w:spacing w:val="5"/>
          <w:w w:val="110"/>
        </w:rPr>
        <w:t xml:space="preserve"> </w:t>
      </w:r>
      <w:r>
        <w:rPr>
          <w:color w:val="333333"/>
          <w:w w:val="110"/>
        </w:rPr>
        <w:t>requires</w:t>
      </w:r>
      <w:r>
        <w:rPr>
          <w:color w:val="333333"/>
          <w:spacing w:val="4"/>
          <w:w w:val="110"/>
        </w:rPr>
        <w:t xml:space="preserve"> </w:t>
      </w:r>
      <w:r>
        <w:rPr>
          <w:color w:val="333333"/>
          <w:w w:val="110"/>
        </w:rPr>
        <w:t>it.</w:t>
      </w:r>
    </w:p>
    <w:p w14:paraId="512F3629" w14:textId="77777777" w:rsidR="00A720EB" w:rsidRDefault="0030286B">
      <w:pPr>
        <w:pStyle w:val="a3"/>
        <w:spacing w:before="233" w:line="504" w:lineRule="auto"/>
        <w:ind w:left="124" w:right="2314"/>
        <w:jc w:val="both"/>
      </w:pPr>
      <w:r>
        <w:rPr>
          <w:color w:val="333333"/>
          <w:spacing w:val="-4"/>
          <w:w w:val="110"/>
        </w:rPr>
        <w:t>For</w:t>
      </w:r>
      <w:r>
        <w:rPr>
          <w:color w:val="333333"/>
          <w:spacing w:val="-25"/>
          <w:w w:val="110"/>
        </w:rPr>
        <w:t xml:space="preserve"> </w:t>
      </w:r>
      <w:r>
        <w:rPr>
          <w:color w:val="333333"/>
          <w:w w:val="110"/>
        </w:rPr>
        <w:t>example,</w:t>
      </w:r>
      <w:r>
        <w:rPr>
          <w:color w:val="333333"/>
          <w:spacing w:val="-24"/>
          <w:w w:val="110"/>
        </w:rPr>
        <w:t xml:space="preserve"> </w:t>
      </w:r>
      <w:r>
        <w:rPr>
          <w:color w:val="333333"/>
          <w:w w:val="110"/>
        </w:rPr>
        <w:t>a</w:t>
      </w:r>
      <w:r>
        <w:rPr>
          <w:color w:val="333333"/>
          <w:spacing w:val="-25"/>
          <w:w w:val="110"/>
        </w:rPr>
        <w:t xml:space="preserve"> </w:t>
      </w:r>
      <w:r>
        <w:rPr>
          <w:rFonts w:ascii="MS Gothic" w:hAnsi="MS Gothic"/>
          <w:color w:val="B02045"/>
          <w:w w:val="110"/>
        </w:rPr>
        <w:t>TelephoneNumber</w:t>
      </w:r>
      <w:r>
        <w:rPr>
          <w:rFonts w:ascii="MS Gothic" w:hAnsi="MS Gothic"/>
          <w:color w:val="B02045"/>
          <w:spacing w:val="-88"/>
          <w:w w:val="110"/>
        </w:rPr>
        <w:t xml:space="preserve"> </w:t>
      </w:r>
      <w:r>
        <w:rPr>
          <w:color w:val="333333"/>
          <w:w w:val="110"/>
        </w:rPr>
        <w:t>entity</w:t>
      </w:r>
      <w:r>
        <w:rPr>
          <w:color w:val="333333"/>
          <w:spacing w:val="-25"/>
          <w:w w:val="110"/>
        </w:rPr>
        <w:t xml:space="preserve"> </w:t>
      </w:r>
      <w:r>
        <w:rPr>
          <w:color w:val="333333"/>
          <w:w w:val="110"/>
        </w:rPr>
        <w:t>is</w:t>
      </w:r>
      <w:r>
        <w:rPr>
          <w:color w:val="333333"/>
          <w:spacing w:val="-24"/>
          <w:w w:val="110"/>
        </w:rPr>
        <w:t xml:space="preserve"> </w:t>
      </w:r>
      <w:r>
        <w:rPr>
          <w:color w:val="333333"/>
          <w:w w:val="110"/>
        </w:rPr>
        <w:t>mapped</w:t>
      </w:r>
      <w:r>
        <w:rPr>
          <w:color w:val="333333"/>
          <w:spacing w:val="-25"/>
          <w:w w:val="110"/>
        </w:rPr>
        <w:t xml:space="preserve"> </w:t>
      </w:r>
      <w:r>
        <w:rPr>
          <w:color w:val="333333"/>
          <w:w w:val="110"/>
        </w:rPr>
        <w:t>to</w:t>
      </w:r>
      <w:r>
        <w:rPr>
          <w:color w:val="333333"/>
          <w:spacing w:val="-24"/>
          <w:w w:val="110"/>
        </w:rPr>
        <w:t xml:space="preserve"> </w:t>
      </w:r>
      <w:r>
        <w:rPr>
          <w:color w:val="333333"/>
          <w:w w:val="110"/>
        </w:rPr>
        <w:t>the</w:t>
      </w:r>
      <w:r>
        <w:rPr>
          <w:color w:val="333333"/>
          <w:spacing w:val="-24"/>
          <w:w w:val="110"/>
        </w:rPr>
        <w:t xml:space="preserve"> </w:t>
      </w:r>
      <w:r>
        <w:rPr>
          <w:rFonts w:ascii="MS Gothic" w:hAnsi="MS Gothic"/>
          <w:color w:val="B02045"/>
          <w:w w:val="110"/>
        </w:rPr>
        <w:t>telephone_number</w:t>
      </w:r>
      <w:r>
        <w:rPr>
          <w:rFonts w:ascii="MS Gothic" w:hAnsi="MS Gothic"/>
          <w:color w:val="B02045"/>
          <w:spacing w:val="-89"/>
          <w:w w:val="110"/>
        </w:rPr>
        <w:t xml:space="preserve"> </w:t>
      </w:r>
      <w:r>
        <w:rPr>
          <w:color w:val="333333"/>
          <w:w w:val="110"/>
        </w:rPr>
        <w:t>table. If you prefer to use Hibernate 5’s default instead, set the following</w:t>
      </w:r>
      <w:r>
        <w:rPr>
          <w:color w:val="333333"/>
          <w:spacing w:val="2"/>
          <w:w w:val="110"/>
        </w:rPr>
        <w:t xml:space="preserve"> </w:t>
      </w:r>
      <w:r>
        <w:rPr>
          <w:color w:val="333333"/>
          <w:w w:val="110"/>
        </w:rPr>
        <w:t>property:</w:t>
      </w:r>
    </w:p>
    <w:p w14:paraId="1B3D9F22" w14:textId="77777777" w:rsidR="00A720EB" w:rsidRDefault="00E10349">
      <w:pPr>
        <w:pStyle w:val="a3"/>
        <w:ind w:left="116"/>
        <w:rPr>
          <w:sz w:val="20"/>
        </w:rPr>
      </w:pPr>
      <w:r>
        <w:rPr>
          <w:sz w:val="20"/>
        </w:rPr>
      </w:r>
      <w:r>
        <w:rPr>
          <w:sz w:val="20"/>
        </w:rPr>
        <w:pict w14:anchorId="7981F117">
          <v:group id="_x0000_s1366" style="width:499.55pt;height:52.25pt;mso-position-horizontal-relative:char;mso-position-vertical-relative:line" coordsize="9991,1045">
            <v:shape id="_x0000_s1369" style="position:absolute;left:7;top:7;width:9976;height:1030" coordorigin="8,8" coordsize="9976,1030" path="m9904,8l88,8,56,14,31,31,14,56,8,88r,869l14,988r17,26l56,1031r32,6l9904,1037r31,-6l9960,1014r17,-26l9984,957r,-869l9977,56,9960,31,9935,14,9904,8xe" fillcolor="#f5f5f5" stroked="f">
              <v:path arrowok="t"/>
            </v:shape>
            <v:shape id="_x0000_s1368" style="position:absolute;left:7;top:7;width:9976;height:1030" coordorigin="8,8" coordsize="9976,1030" path="m88,8r9816,l9935,14r25,17l9977,56r7,32l9984,957r-7,31l9960,1014r-25,17l9904,1037r-9816,l56,1031,31,1014,14,988,8,957,8,88,14,56,31,31,56,14,88,8xe" filled="f" strokecolor="#ccc">
              <v:path arrowok="t"/>
            </v:shape>
            <v:shape id="_x0000_s1367" type="#_x0000_t202" style="position:absolute;left:26;top:22;width:9938;height:999" filled="f" stroked="f">
              <v:textbox inset="0,0,0,0">
                <w:txbxContent>
                  <w:p w14:paraId="688E6747" w14:textId="77777777" w:rsidR="00711A16" w:rsidRDefault="00711A16">
                    <w:pPr>
                      <w:spacing w:before="221" w:line="252" w:lineRule="auto"/>
                      <w:ind w:left="200" w:right="1468"/>
                      <w:rPr>
                        <w:rFonts w:ascii="MS Gothic"/>
                      </w:rPr>
                    </w:pPr>
                    <w:proofErr w:type="gramStart"/>
                    <w:r>
                      <w:rPr>
                        <w:rFonts w:ascii="MS Gothic"/>
                        <w:color w:val="333333"/>
                      </w:rPr>
                      <w:t>spring.jpa.hibernate</w:t>
                    </w:r>
                    <w:proofErr w:type="gramEnd"/>
                    <w:r>
                      <w:rPr>
                        <w:rFonts w:ascii="MS Gothic"/>
                        <w:color w:val="333333"/>
                      </w:rPr>
                      <w:t>.naming.physical- strategy=org.hibernate.boot.model.naming.PhysicalNamingStrategyStandardImpl</w:t>
                    </w:r>
                  </w:p>
                </w:txbxContent>
              </v:textbox>
            </v:shape>
            <w10:anchorlock/>
          </v:group>
        </w:pict>
      </w:r>
    </w:p>
    <w:p w14:paraId="260EA5D5" w14:textId="77777777" w:rsidR="00A720EB" w:rsidRDefault="00A720EB">
      <w:pPr>
        <w:pStyle w:val="a3"/>
        <w:spacing w:before="8"/>
        <w:rPr>
          <w:sz w:val="9"/>
        </w:rPr>
      </w:pPr>
    </w:p>
    <w:p w14:paraId="1AFCA4FD" w14:textId="77777777" w:rsidR="00A720EB" w:rsidRDefault="0030286B">
      <w:pPr>
        <w:pStyle w:val="a3"/>
        <w:spacing w:before="125"/>
        <w:ind w:left="124"/>
      </w:pPr>
      <w:r>
        <w:rPr>
          <w:color w:val="333333"/>
          <w:w w:val="115"/>
        </w:rPr>
        <w:t>Alternatively, you can configure the following bean:</w:t>
      </w:r>
    </w:p>
    <w:p w14:paraId="695231C2" w14:textId="77777777" w:rsidR="00A720EB" w:rsidRDefault="00E10349">
      <w:pPr>
        <w:pStyle w:val="a3"/>
        <w:rPr>
          <w:sz w:val="19"/>
        </w:rPr>
      </w:pPr>
      <w:r>
        <w:pict w14:anchorId="090AF047">
          <v:group id="_x0000_s1362" style="position:absolute;margin-left:47.85pt;margin-top:13.15pt;width:499.55pt;height:81.75pt;z-index:-15064576;mso-wrap-distance-left:0;mso-wrap-distance-right:0;mso-position-horizontal-relative:page" coordorigin="957,263" coordsize="9991,1635">
            <v:shape id="_x0000_s1365" style="position:absolute;left:964;top:270;width:9976;height:1620" coordorigin="965,270" coordsize="9976,1620" path="m10861,270r-9816,l1014,277r-26,17l971,319r-6,31l965,1809r6,32l988,1866r26,17l1045,1889r9816,l10892,1883r25,-17l10935,1841r6,-32l10941,350r-6,-31l10917,294r-25,-17l10861,270xe" fillcolor="#f5f5f5" stroked="f">
              <v:path arrowok="t"/>
            </v:shape>
            <v:shape id="_x0000_s1364" style="position:absolute;left:964;top:270;width:9976;height:1620" coordorigin="965,270" coordsize="9976,1620" path="m1045,270r9816,l10892,277r25,17l10935,319r6,31l10941,1809r-6,32l10917,1866r-25,17l10861,1889r-9816,l1014,1883r-26,-17l971,1841r-6,-32l965,350r6,-31l988,294r26,-17l1045,270xe" filled="f" strokecolor="#ccc">
              <v:path arrowok="t"/>
            </v:shape>
            <v:shape id="_x0000_s1363" type="#_x0000_t202" style="position:absolute;left:984;top:285;width:9938;height:1589" filled="f" stroked="f">
              <v:textbox inset="0,0,0,0">
                <w:txbxContent>
                  <w:p w14:paraId="048DC413" w14:textId="77777777" w:rsidR="00711A16" w:rsidRDefault="00711A16">
                    <w:pPr>
                      <w:spacing w:before="221"/>
                      <w:ind w:left="200"/>
                      <w:rPr>
                        <w:rFonts w:ascii="MS Gothic"/>
                      </w:rPr>
                    </w:pPr>
                    <w:r>
                      <w:rPr>
                        <w:rFonts w:ascii="MS Gothic"/>
                        <w:color w:val="333333"/>
                      </w:rPr>
                      <w:t>@Bean</w:t>
                    </w:r>
                  </w:p>
                  <w:p w14:paraId="4DA7CE04" w14:textId="77777777" w:rsidR="00711A16" w:rsidRDefault="00711A16">
                    <w:pPr>
                      <w:spacing w:before="13" w:line="252" w:lineRule="auto"/>
                      <w:ind w:left="640" w:right="3558" w:hanging="440"/>
                      <w:rPr>
                        <w:rFonts w:ascii="MS Gothic"/>
                      </w:rPr>
                    </w:pPr>
                    <w:r>
                      <w:rPr>
                        <w:rFonts w:ascii="MS Gothic"/>
                        <w:color w:val="333333"/>
                      </w:rPr>
                      <w:t xml:space="preserve">public PhysicalNamingStrategy </w:t>
                    </w:r>
                    <w:proofErr w:type="gramStart"/>
                    <w:r>
                      <w:rPr>
                        <w:rFonts w:ascii="MS Gothic"/>
                        <w:color w:val="333333"/>
                      </w:rPr>
                      <w:t>physicalNamingStrategy(</w:t>
                    </w:r>
                    <w:proofErr w:type="gramEnd"/>
                    <w:r>
                      <w:rPr>
                        <w:rFonts w:ascii="MS Gothic"/>
                        <w:color w:val="333333"/>
                      </w:rPr>
                      <w:t>) { return new PhysicalNamingStrategyStandardImpl();</w:t>
                    </w:r>
                  </w:p>
                  <w:p w14:paraId="39974360"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114BD3FE" w14:textId="77777777" w:rsidR="00A720EB" w:rsidRDefault="00A720EB">
      <w:pPr>
        <w:pStyle w:val="a3"/>
        <w:spacing w:before="11"/>
        <w:rPr>
          <w:sz w:val="9"/>
        </w:rPr>
      </w:pPr>
    </w:p>
    <w:p w14:paraId="25107C0F" w14:textId="77777777" w:rsidR="00A720EB" w:rsidRDefault="0030286B">
      <w:pPr>
        <w:pStyle w:val="a3"/>
        <w:spacing w:before="115"/>
        <w:ind w:left="124"/>
        <w:jc w:val="both"/>
      </w:pPr>
      <w:r>
        <w:rPr>
          <w:color w:val="333333"/>
          <w:w w:val="110"/>
        </w:rPr>
        <w:t xml:space="preserve">See </w:t>
      </w:r>
      <w:hyperlink r:id="rId625">
        <w:r>
          <w:rPr>
            <w:rFonts w:ascii="MS Gothic"/>
            <w:color w:val="B02045"/>
            <w:w w:val="110"/>
          </w:rPr>
          <w:t>HibernateJpaAutoConfiguration</w:t>
        </w:r>
        <w:r>
          <w:rPr>
            <w:rFonts w:ascii="MS Gothic"/>
            <w:color w:val="B02045"/>
            <w:spacing w:val="-71"/>
            <w:w w:val="110"/>
          </w:rPr>
          <w:t xml:space="preserve"> </w:t>
        </w:r>
      </w:hyperlink>
      <w:r>
        <w:rPr>
          <w:color w:val="333333"/>
          <w:w w:val="110"/>
        </w:rPr>
        <w:t xml:space="preserve">and </w:t>
      </w:r>
      <w:hyperlink r:id="rId626">
        <w:r>
          <w:rPr>
            <w:rFonts w:ascii="MS Gothic"/>
            <w:color w:val="B02045"/>
            <w:w w:val="110"/>
          </w:rPr>
          <w:t>JpaBaseConfiguration</w:t>
        </w:r>
        <w:r>
          <w:rPr>
            <w:rFonts w:ascii="MS Gothic"/>
            <w:color w:val="B02045"/>
            <w:spacing w:val="-71"/>
            <w:w w:val="110"/>
          </w:rPr>
          <w:t xml:space="preserve"> </w:t>
        </w:r>
      </w:hyperlink>
      <w:r>
        <w:rPr>
          <w:color w:val="333333"/>
          <w:w w:val="110"/>
        </w:rPr>
        <w:t>for more details.</w:t>
      </w:r>
    </w:p>
    <w:p w14:paraId="04741B8D" w14:textId="77777777" w:rsidR="00A720EB" w:rsidRDefault="00A720EB">
      <w:pPr>
        <w:pStyle w:val="a3"/>
        <w:spacing w:before="7"/>
        <w:rPr>
          <w:sz w:val="30"/>
        </w:rPr>
      </w:pPr>
    </w:p>
    <w:p w14:paraId="7551AA5D" w14:textId="77777777" w:rsidR="00A720EB" w:rsidRDefault="0030286B">
      <w:pPr>
        <w:pStyle w:val="3"/>
        <w:numPr>
          <w:ilvl w:val="2"/>
          <w:numId w:val="13"/>
        </w:numPr>
        <w:tabs>
          <w:tab w:val="left" w:pos="858"/>
        </w:tabs>
        <w:ind w:hanging="734"/>
      </w:pPr>
      <w:bookmarkStart w:id="907" w:name="9.9.7._Configure_Hibernate_Second-Level_"/>
      <w:bookmarkStart w:id="908" w:name="_Toc54423974"/>
      <w:bookmarkEnd w:id="907"/>
      <w:r>
        <w:rPr>
          <w:color w:val="333333"/>
          <w:w w:val="110"/>
        </w:rPr>
        <w:t>Configure Hibernate Second-Level</w:t>
      </w:r>
      <w:r>
        <w:rPr>
          <w:color w:val="333333"/>
          <w:spacing w:val="-22"/>
          <w:w w:val="110"/>
        </w:rPr>
        <w:t xml:space="preserve"> </w:t>
      </w:r>
      <w:r>
        <w:rPr>
          <w:color w:val="333333"/>
          <w:w w:val="110"/>
        </w:rPr>
        <w:t>Caching</w:t>
      </w:r>
      <w:bookmarkEnd w:id="908"/>
    </w:p>
    <w:p w14:paraId="5901B030" w14:textId="77777777" w:rsidR="00A720EB" w:rsidRDefault="0030286B">
      <w:pPr>
        <w:pStyle w:val="a3"/>
        <w:spacing w:before="254" w:line="307" w:lineRule="auto"/>
        <w:ind w:left="124" w:right="128"/>
        <w:jc w:val="both"/>
      </w:pPr>
      <w:r>
        <w:rPr>
          <w:color w:val="333333"/>
          <w:w w:val="110"/>
        </w:rPr>
        <w:t xml:space="preserve">Hibernate </w:t>
      </w:r>
      <w:hyperlink r:id="rId627" w:anchor="caching">
        <w:r>
          <w:rPr>
            <w:color w:val="418BCA"/>
            <w:w w:val="110"/>
          </w:rPr>
          <w:t>second-level cache</w:t>
        </w:r>
      </w:hyperlink>
      <w:r>
        <w:rPr>
          <w:color w:val="418BCA"/>
          <w:w w:val="110"/>
        </w:rPr>
        <w:t xml:space="preserve"> </w:t>
      </w:r>
      <w:r>
        <w:rPr>
          <w:color w:val="333333"/>
          <w:w w:val="110"/>
        </w:rPr>
        <w:t>can be configured for a range of cache providers. Rather than configuring Hibernate to lookup the cache provider again, it is better to provide the one that is available in the context whenever possible.</w:t>
      </w:r>
    </w:p>
    <w:p w14:paraId="30D10BC3" w14:textId="77777777" w:rsidR="00A720EB" w:rsidRDefault="0030286B">
      <w:pPr>
        <w:pStyle w:val="a3"/>
        <w:spacing w:before="231" w:line="280" w:lineRule="auto"/>
        <w:ind w:left="124" w:right="125"/>
        <w:jc w:val="both"/>
      </w:pPr>
      <w:r>
        <w:rPr>
          <w:color w:val="333333"/>
          <w:spacing w:val="-4"/>
          <w:w w:val="110"/>
        </w:rPr>
        <w:t xml:space="preserve">To </w:t>
      </w:r>
      <w:r>
        <w:rPr>
          <w:color w:val="333333"/>
          <w:w w:val="110"/>
        </w:rPr>
        <w:t xml:space="preserve">do this with JCache, first make sure that </w:t>
      </w:r>
      <w:proofErr w:type="gramStart"/>
      <w:r>
        <w:rPr>
          <w:rFonts w:ascii="MS Gothic"/>
          <w:color w:val="B02045"/>
          <w:w w:val="110"/>
        </w:rPr>
        <w:t>org.hibernate</w:t>
      </w:r>
      <w:proofErr w:type="gramEnd"/>
      <w:r>
        <w:rPr>
          <w:rFonts w:ascii="MS Gothic"/>
          <w:color w:val="B02045"/>
          <w:w w:val="110"/>
        </w:rPr>
        <w:t xml:space="preserve">:hibernate-jcache </w:t>
      </w:r>
      <w:r>
        <w:rPr>
          <w:color w:val="333333"/>
          <w:w w:val="110"/>
        </w:rPr>
        <w:t xml:space="preserve">is available on the classpath. Then, add a </w:t>
      </w:r>
      <w:r>
        <w:rPr>
          <w:rFonts w:ascii="MS Gothic"/>
          <w:color w:val="B02045"/>
          <w:w w:val="110"/>
        </w:rPr>
        <w:t>HibernatePropertiesCustomizer</w:t>
      </w:r>
      <w:r>
        <w:rPr>
          <w:rFonts w:ascii="MS Gothic"/>
          <w:color w:val="B02045"/>
          <w:spacing w:val="-72"/>
          <w:w w:val="110"/>
        </w:rPr>
        <w:t xml:space="preserve"> </w:t>
      </w:r>
      <w:r>
        <w:rPr>
          <w:color w:val="333333"/>
          <w:w w:val="110"/>
        </w:rPr>
        <w:t>bean as shown in the following example:</w:t>
      </w:r>
    </w:p>
    <w:p w14:paraId="5EBD0803" w14:textId="77777777" w:rsidR="00A720EB" w:rsidRDefault="00A720EB">
      <w:pPr>
        <w:spacing w:line="280" w:lineRule="auto"/>
        <w:jc w:val="both"/>
        <w:sectPr w:rsidR="00A720EB">
          <w:pgSz w:w="11910" w:h="16840"/>
          <w:pgMar w:top="700" w:right="840" w:bottom="520" w:left="840" w:header="0" w:footer="323" w:gutter="0"/>
          <w:cols w:space="720"/>
        </w:sectPr>
      </w:pPr>
    </w:p>
    <w:p w14:paraId="14E94292" w14:textId="77777777" w:rsidR="00A720EB" w:rsidRDefault="00E10349">
      <w:pPr>
        <w:pStyle w:val="a3"/>
        <w:ind w:left="116"/>
        <w:rPr>
          <w:sz w:val="20"/>
        </w:rPr>
      </w:pPr>
      <w:r>
        <w:rPr>
          <w:sz w:val="20"/>
        </w:rPr>
      </w:r>
      <w:r>
        <w:rPr>
          <w:sz w:val="20"/>
        </w:rPr>
        <w:pict w14:anchorId="24BB4554">
          <v:group id="_x0000_s1358" style="width:499.55pt;height:184.9pt;mso-position-horizontal-relative:char;mso-position-vertical-relative:line" coordsize="9991,3698">
            <v:shape id="_x0000_s1361" style="position:absolute;left:7;top:7;width:9976;height:3683" coordorigin="8,8" coordsize="9976,3683" path="m9904,8l88,8,56,14,31,31,14,56,8,88r,3522l14,3641r17,26l56,3684r32,6l9904,3690r31,-6l9960,3667r17,-26l9984,3610r,-3522l9977,56,9960,31,9935,14,9904,8xe" fillcolor="#f5f5f5" stroked="f">
              <v:path arrowok="t"/>
            </v:shape>
            <v:shape id="_x0000_s1360" style="position:absolute;left:7;top:7;width:9976;height:3683" coordorigin="8,8" coordsize="9976,3683" path="m88,8r9816,l9935,14r25,17l9977,56r7,32l9984,3610r-7,31l9960,3667r-25,17l9904,3690r-9816,l56,3684,31,3667,14,3641,8,3610,8,88,14,56,31,31,56,14,88,8xe" filled="f" strokecolor="#ccc">
              <v:path arrowok="t"/>
            </v:shape>
            <v:shape id="_x0000_s1359" type="#_x0000_t202" style="position:absolute;left:26;top:22;width:9938;height:3652" filled="f" stroked="f">
              <v:textbox inset="0,0,0,0">
                <w:txbxContent>
                  <w:p w14:paraId="5CF3CA66"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w:t>
                    </w:r>
                  </w:p>
                  <w:p w14:paraId="0FA88233" w14:textId="77777777" w:rsidR="00711A16" w:rsidRDefault="00711A16">
                    <w:pPr>
                      <w:spacing w:before="13"/>
                      <w:ind w:left="200"/>
                      <w:rPr>
                        <w:rFonts w:ascii="MS Gothic"/>
                      </w:rPr>
                    </w:pPr>
                    <w:r>
                      <w:rPr>
                        <w:rFonts w:ascii="MS Gothic"/>
                        <w:color w:val="333333"/>
                      </w:rPr>
                      <w:t>public class HibernateSecondLevelCacheExample {</w:t>
                    </w:r>
                  </w:p>
                  <w:p w14:paraId="4E979B85" w14:textId="77777777" w:rsidR="00711A16" w:rsidRDefault="00711A16">
                    <w:pPr>
                      <w:rPr>
                        <w:rFonts w:ascii="MS Gothic"/>
                        <w:sz w:val="24"/>
                      </w:rPr>
                    </w:pPr>
                  </w:p>
                  <w:p w14:paraId="2936119D" w14:textId="77777777" w:rsidR="00711A16" w:rsidRDefault="00711A16">
                    <w:pPr>
                      <w:ind w:left="640"/>
                      <w:rPr>
                        <w:rFonts w:ascii="MS Gothic"/>
                      </w:rPr>
                    </w:pPr>
                    <w:r>
                      <w:rPr>
                        <w:rFonts w:ascii="MS Gothic"/>
                        <w:color w:val="333333"/>
                      </w:rPr>
                      <w:t>@Bean</w:t>
                    </w:r>
                  </w:p>
                  <w:p w14:paraId="1A4E74C7" w14:textId="77777777" w:rsidR="00711A16" w:rsidRDefault="00711A16">
                    <w:pPr>
                      <w:spacing w:before="13" w:line="252" w:lineRule="auto"/>
                      <w:ind w:left="200" w:right="2018" w:firstLine="440"/>
                      <w:rPr>
                        <w:rFonts w:ascii="MS Gothic"/>
                      </w:rPr>
                    </w:pPr>
                    <w:r>
                      <w:rPr>
                        <w:rFonts w:ascii="MS Gothic"/>
                        <w:color w:val="333333"/>
                      </w:rPr>
                      <w:t xml:space="preserve">public HibernatePropertiesCustomizer </w:t>
                    </w:r>
                    <w:proofErr w:type="gramStart"/>
                    <w:r>
                      <w:rPr>
                        <w:rFonts w:ascii="MS Gothic"/>
                        <w:color w:val="333333"/>
                      </w:rPr>
                      <w:t>hibernateSecondLevelCacheCustomizer(</w:t>
                    </w:r>
                    <w:proofErr w:type="gramEnd"/>
                    <w:r>
                      <w:rPr>
                        <w:rFonts w:ascii="MS Gothic"/>
                        <w:color w:val="333333"/>
                      </w:rPr>
                      <w:t>JCacheCacheManager cacheManager) {</w:t>
                    </w:r>
                  </w:p>
                  <w:p w14:paraId="4EE2A75F" w14:textId="77777777" w:rsidR="00711A16" w:rsidRDefault="00711A16">
                    <w:pPr>
                      <w:spacing w:line="252" w:lineRule="auto"/>
                      <w:ind w:left="200" w:right="1468" w:firstLine="880"/>
                      <w:rPr>
                        <w:rFonts w:ascii="MS Gothic"/>
                      </w:rPr>
                    </w:pPr>
                    <w:r>
                      <w:rPr>
                        <w:rFonts w:ascii="MS Gothic"/>
                        <w:color w:val="333333"/>
                      </w:rPr>
                      <w:t xml:space="preserve">return (properties) -&gt; </w:t>
                    </w:r>
                    <w:proofErr w:type="gramStart"/>
                    <w:r>
                      <w:rPr>
                        <w:rFonts w:ascii="MS Gothic"/>
                        <w:color w:val="333333"/>
                      </w:rPr>
                      <w:t>properties.put(</w:t>
                    </w:r>
                    <w:proofErr w:type="gramEnd"/>
                    <w:r>
                      <w:rPr>
                        <w:rFonts w:ascii="MS Gothic"/>
                        <w:color w:val="333333"/>
                      </w:rPr>
                      <w:t>ConfigSettings.CACHE_MANAGER, cacheManager.getCacheManager());</w:t>
                    </w:r>
                  </w:p>
                  <w:p w14:paraId="683BC060" w14:textId="77777777" w:rsidR="00711A16" w:rsidRDefault="00711A16">
                    <w:pPr>
                      <w:spacing w:line="280" w:lineRule="exact"/>
                      <w:ind w:left="640"/>
                      <w:rPr>
                        <w:rFonts w:ascii="MS Gothic"/>
                      </w:rPr>
                    </w:pPr>
                    <w:r>
                      <w:rPr>
                        <w:rFonts w:ascii="MS Gothic"/>
                        <w:color w:val="333333"/>
                      </w:rPr>
                      <w:t>}</w:t>
                    </w:r>
                  </w:p>
                  <w:p w14:paraId="57500D0C" w14:textId="77777777" w:rsidR="00711A16" w:rsidRDefault="00711A16">
                    <w:pPr>
                      <w:spacing w:before="10"/>
                      <w:rPr>
                        <w:rFonts w:ascii="MS Gothic"/>
                        <w:sz w:val="23"/>
                      </w:rPr>
                    </w:pPr>
                  </w:p>
                  <w:p w14:paraId="35116DF6" w14:textId="77777777" w:rsidR="00711A16" w:rsidRDefault="00711A16">
                    <w:pPr>
                      <w:spacing w:before="1"/>
                      <w:ind w:left="200"/>
                      <w:rPr>
                        <w:rFonts w:ascii="MS Gothic"/>
                      </w:rPr>
                    </w:pPr>
                    <w:r>
                      <w:rPr>
                        <w:rFonts w:ascii="MS Gothic"/>
                        <w:color w:val="333333"/>
                      </w:rPr>
                      <w:t>}</w:t>
                    </w:r>
                  </w:p>
                </w:txbxContent>
              </v:textbox>
            </v:shape>
            <w10:anchorlock/>
          </v:group>
        </w:pict>
      </w:r>
    </w:p>
    <w:p w14:paraId="53AB8898" w14:textId="77777777" w:rsidR="00A720EB" w:rsidRDefault="00A720EB">
      <w:pPr>
        <w:pStyle w:val="a3"/>
        <w:spacing w:before="8"/>
        <w:rPr>
          <w:sz w:val="9"/>
        </w:rPr>
      </w:pPr>
    </w:p>
    <w:p w14:paraId="76A419D7" w14:textId="77777777" w:rsidR="00A720EB" w:rsidRDefault="0030286B">
      <w:pPr>
        <w:pStyle w:val="a3"/>
        <w:spacing w:before="115" w:line="285" w:lineRule="auto"/>
        <w:ind w:left="124" w:right="122"/>
        <w:jc w:val="both"/>
      </w:pPr>
      <w:r>
        <w:rPr>
          <w:color w:val="333333"/>
          <w:w w:val="110"/>
        </w:rPr>
        <w:t xml:space="preserve">This customizer will configure Hibernate to use the same </w:t>
      </w:r>
      <w:r>
        <w:rPr>
          <w:rFonts w:ascii="MS Gothic"/>
          <w:color w:val="B02045"/>
          <w:w w:val="110"/>
        </w:rPr>
        <w:t xml:space="preserve">CacheManager </w:t>
      </w:r>
      <w:r>
        <w:rPr>
          <w:color w:val="333333"/>
          <w:w w:val="110"/>
        </w:rPr>
        <w:t xml:space="preserve">as the one that the application uses. It is also possible to use separate </w:t>
      </w:r>
      <w:r>
        <w:rPr>
          <w:rFonts w:ascii="MS Gothic"/>
          <w:color w:val="B02045"/>
          <w:w w:val="110"/>
        </w:rPr>
        <w:t xml:space="preserve">CacheManager </w:t>
      </w:r>
      <w:r>
        <w:rPr>
          <w:color w:val="333333"/>
          <w:w w:val="110"/>
        </w:rPr>
        <w:t xml:space="preserve">instances. For details, refer to </w:t>
      </w:r>
      <w:hyperlink r:id="rId628" w:anchor="caching-provider-jcache">
        <w:r>
          <w:rPr>
            <w:color w:val="418BCA"/>
            <w:w w:val="110"/>
          </w:rPr>
          <w:t>the</w:t>
        </w:r>
      </w:hyperlink>
      <w:r>
        <w:rPr>
          <w:color w:val="418BCA"/>
          <w:w w:val="110"/>
        </w:rPr>
        <w:t xml:space="preserve"> </w:t>
      </w:r>
      <w:hyperlink r:id="rId629" w:anchor="caching-provider-jcache">
        <w:r>
          <w:rPr>
            <w:color w:val="418BCA"/>
            <w:w w:val="110"/>
          </w:rPr>
          <w:t>Hibernate user guide</w:t>
        </w:r>
      </w:hyperlink>
      <w:r>
        <w:rPr>
          <w:color w:val="333333"/>
          <w:w w:val="110"/>
        </w:rPr>
        <w:t>.</w:t>
      </w:r>
    </w:p>
    <w:p w14:paraId="10803928" w14:textId="77777777" w:rsidR="00A720EB" w:rsidRDefault="00A720EB">
      <w:pPr>
        <w:pStyle w:val="a3"/>
        <w:spacing w:before="9"/>
        <w:rPr>
          <w:sz w:val="27"/>
        </w:rPr>
      </w:pPr>
    </w:p>
    <w:p w14:paraId="221D6450" w14:textId="77777777" w:rsidR="00A720EB" w:rsidRDefault="0030286B">
      <w:pPr>
        <w:pStyle w:val="3"/>
        <w:numPr>
          <w:ilvl w:val="2"/>
          <w:numId w:val="13"/>
        </w:numPr>
        <w:tabs>
          <w:tab w:val="left" w:pos="858"/>
        </w:tabs>
        <w:ind w:hanging="734"/>
      </w:pPr>
      <w:bookmarkStart w:id="909" w:name="9.9.8._Use_Dependency_Injection_in_Hiber"/>
      <w:bookmarkStart w:id="910" w:name="_Toc54423975"/>
      <w:bookmarkEnd w:id="909"/>
      <w:r>
        <w:rPr>
          <w:color w:val="333333"/>
          <w:w w:val="110"/>
        </w:rPr>
        <w:t>Use Dependency Injection in Hibernate</w:t>
      </w:r>
      <w:r>
        <w:rPr>
          <w:color w:val="333333"/>
          <w:spacing w:val="-36"/>
          <w:w w:val="110"/>
        </w:rPr>
        <w:t xml:space="preserve"> </w:t>
      </w:r>
      <w:r>
        <w:rPr>
          <w:color w:val="333333"/>
          <w:w w:val="110"/>
        </w:rPr>
        <w:t>Components</w:t>
      </w:r>
      <w:bookmarkEnd w:id="910"/>
    </w:p>
    <w:p w14:paraId="5C9E0E0D" w14:textId="77777777" w:rsidR="00A720EB" w:rsidRDefault="0030286B">
      <w:pPr>
        <w:pStyle w:val="a3"/>
        <w:spacing w:before="243" w:line="290" w:lineRule="auto"/>
        <w:ind w:left="124" w:right="122"/>
        <w:jc w:val="both"/>
      </w:pPr>
      <w:r>
        <w:rPr>
          <w:color w:val="333333"/>
          <w:spacing w:val="-3"/>
          <w:w w:val="110"/>
        </w:rPr>
        <w:t xml:space="preserve">By </w:t>
      </w:r>
      <w:r>
        <w:rPr>
          <w:color w:val="333333"/>
          <w:w w:val="110"/>
        </w:rPr>
        <w:t xml:space="preserve">default, Spring Boot registers a </w:t>
      </w:r>
      <w:r>
        <w:rPr>
          <w:rFonts w:ascii="MS Gothic"/>
          <w:color w:val="B02045"/>
          <w:w w:val="110"/>
        </w:rPr>
        <w:t xml:space="preserve">BeanContainer </w:t>
      </w:r>
      <w:r>
        <w:rPr>
          <w:color w:val="333333"/>
          <w:w w:val="110"/>
        </w:rPr>
        <w:t xml:space="preserve">implementation that uses the </w:t>
      </w:r>
      <w:r>
        <w:rPr>
          <w:rFonts w:ascii="MS Gothic"/>
          <w:color w:val="B02045"/>
          <w:w w:val="110"/>
        </w:rPr>
        <w:t>BeanFactory</w:t>
      </w:r>
      <w:r>
        <w:rPr>
          <w:rFonts w:ascii="MS Gothic"/>
          <w:color w:val="B02045"/>
          <w:spacing w:val="-51"/>
          <w:w w:val="110"/>
        </w:rPr>
        <w:t xml:space="preserve"> </w:t>
      </w:r>
      <w:r>
        <w:rPr>
          <w:color w:val="333333"/>
          <w:w w:val="110"/>
        </w:rPr>
        <w:t>so that converters and entity listeners can use regular dependency injection.</w:t>
      </w:r>
    </w:p>
    <w:p w14:paraId="368E0362" w14:textId="77777777" w:rsidR="00A720EB" w:rsidRDefault="0030286B">
      <w:pPr>
        <w:pStyle w:val="a3"/>
        <w:spacing w:before="248" w:line="280" w:lineRule="auto"/>
        <w:ind w:left="124" w:right="122"/>
        <w:jc w:val="both"/>
      </w:pPr>
      <w:r>
        <w:rPr>
          <w:color w:val="333333"/>
          <w:spacing w:val="-6"/>
          <w:w w:val="110"/>
        </w:rPr>
        <w:t>You</w:t>
      </w:r>
      <w:r>
        <w:rPr>
          <w:color w:val="333333"/>
          <w:spacing w:val="-12"/>
          <w:w w:val="110"/>
        </w:rPr>
        <w:t xml:space="preserve"> </w:t>
      </w:r>
      <w:r>
        <w:rPr>
          <w:color w:val="333333"/>
          <w:w w:val="110"/>
        </w:rPr>
        <w:t>can</w:t>
      </w:r>
      <w:r>
        <w:rPr>
          <w:color w:val="333333"/>
          <w:spacing w:val="-12"/>
          <w:w w:val="110"/>
        </w:rPr>
        <w:t xml:space="preserve"> </w:t>
      </w:r>
      <w:r>
        <w:rPr>
          <w:color w:val="333333"/>
          <w:w w:val="110"/>
        </w:rPr>
        <w:t>disable</w:t>
      </w:r>
      <w:r>
        <w:rPr>
          <w:color w:val="333333"/>
          <w:spacing w:val="-12"/>
          <w:w w:val="110"/>
        </w:rPr>
        <w:t xml:space="preserve"> </w:t>
      </w:r>
      <w:r>
        <w:rPr>
          <w:color w:val="333333"/>
          <w:w w:val="110"/>
        </w:rPr>
        <w:t>or</w:t>
      </w:r>
      <w:r>
        <w:rPr>
          <w:color w:val="333333"/>
          <w:spacing w:val="-12"/>
          <w:w w:val="110"/>
        </w:rPr>
        <w:t xml:space="preserve"> </w:t>
      </w:r>
      <w:r>
        <w:rPr>
          <w:color w:val="333333"/>
          <w:w w:val="110"/>
        </w:rPr>
        <w:t>tune</w:t>
      </w:r>
      <w:r>
        <w:rPr>
          <w:color w:val="333333"/>
          <w:spacing w:val="-12"/>
          <w:w w:val="110"/>
        </w:rPr>
        <w:t xml:space="preserve"> </w:t>
      </w:r>
      <w:r>
        <w:rPr>
          <w:color w:val="333333"/>
          <w:w w:val="110"/>
        </w:rPr>
        <w:t>this</w:t>
      </w:r>
      <w:r>
        <w:rPr>
          <w:color w:val="333333"/>
          <w:spacing w:val="-12"/>
          <w:w w:val="110"/>
        </w:rPr>
        <w:t xml:space="preserve"> </w:t>
      </w:r>
      <w:r>
        <w:rPr>
          <w:color w:val="333333"/>
          <w:w w:val="110"/>
        </w:rPr>
        <w:t>behaviour</w:t>
      </w:r>
      <w:r>
        <w:rPr>
          <w:color w:val="333333"/>
          <w:spacing w:val="-12"/>
          <w:w w:val="110"/>
        </w:rPr>
        <w:t xml:space="preserve"> </w:t>
      </w:r>
      <w:r>
        <w:rPr>
          <w:color w:val="333333"/>
          <w:spacing w:val="-3"/>
          <w:w w:val="110"/>
        </w:rPr>
        <w:t>by</w:t>
      </w:r>
      <w:r>
        <w:rPr>
          <w:color w:val="333333"/>
          <w:spacing w:val="-12"/>
          <w:w w:val="110"/>
        </w:rPr>
        <w:t xml:space="preserve"> </w:t>
      </w:r>
      <w:r>
        <w:rPr>
          <w:color w:val="333333"/>
          <w:w w:val="110"/>
        </w:rPr>
        <w:t>registering</w:t>
      </w:r>
      <w:r>
        <w:rPr>
          <w:color w:val="333333"/>
          <w:spacing w:val="-12"/>
          <w:w w:val="110"/>
        </w:rPr>
        <w:t xml:space="preserve"> </w:t>
      </w:r>
      <w:r>
        <w:rPr>
          <w:color w:val="333333"/>
          <w:w w:val="110"/>
        </w:rPr>
        <w:t>a</w:t>
      </w:r>
      <w:r>
        <w:rPr>
          <w:color w:val="333333"/>
          <w:spacing w:val="-10"/>
          <w:w w:val="110"/>
        </w:rPr>
        <w:t xml:space="preserve"> </w:t>
      </w:r>
      <w:r>
        <w:rPr>
          <w:rFonts w:ascii="MS Gothic"/>
          <w:color w:val="B02045"/>
          <w:w w:val="110"/>
        </w:rPr>
        <w:t>HibernatePropertiesCustomizer</w:t>
      </w:r>
      <w:r>
        <w:rPr>
          <w:rFonts w:ascii="MS Gothic"/>
          <w:color w:val="B02045"/>
          <w:spacing w:val="-77"/>
          <w:w w:val="110"/>
        </w:rPr>
        <w:t xml:space="preserve"> </w:t>
      </w:r>
      <w:r>
        <w:rPr>
          <w:color w:val="333333"/>
          <w:w w:val="110"/>
        </w:rPr>
        <w:t>that</w:t>
      </w:r>
      <w:r>
        <w:rPr>
          <w:color w:val="333333"/>
          <w:spacing w:val="-12"/>
          <w:w w:val="110"/>
        </w:rPr>
        <w:t xml:space="preserve"> </w:t>
      </w:r>
      <w:r>
        <w:rPr>
          <w:color w:val="333333"/>
          <w:w w:val="110"/>
        </w:rPr>
        <w:t xml:space="preserve">removes or changes the </w:t>
      </w:r>
      <w:r>
        <w:rPr>
          <w:rFonts w:ascii="MS Gothic"/>
          <w:color w:val="B02045"/>
          <w:w w:val="110"/>
        </w:rPr>
        <w:t>hibernate.</w:t>
      </w:r>
      <w:proofErr w:type="gramStart"/>
      <w:r>
        <w:rPr>
          <w:rFonts w:ascii="MS Gothic"/>
          <w:color w:val="B02045"/>
          <w:w w:val="110"/>
        </w:rPr>
        <w:t>resource.beans</w:t>
      </w:r>
      <w:proofErr w:type="gramEnd"/>
      <w:r>
        <w:rPr>
          <w:rFonts w:ascii="MS Gothic"/>
          <w:color w:val="B02045"/>
          <w:w w:val="110"/>
        </w:rPr>
        <w:t>.container</w:t>
      </w:r>
      <w:r>
        <w:rPr>
          <w:rFonts w:ascii="MS Gothic"/>
          <w:color w:val="B02045"/>
          <w:spacing w:val="-70"/>
          <w:w w:val="110"/>
        </w:rPr>
        <w:t xml:space="preserve"> </w:t>
      </w:r>
      <w:r>
        <w:rPr>
          <w:color w:val="333333"/>
          <w:spacing w:val="-3"/>
          <w:w w:val="110"/>
        </w:rPr>
        <w:t>property.</w:t>
      </w:r>
    </w:p>
    <w:p w14:paraId="01248758" w14:textId="77777777" w:rsidR="00A720EB" w:rsidRDefault="00A720EB">
      <w:pPr>
        <w:pStyle w:val="a3"/>
        <w:spacing w:before="8"/>
        <w:rPr>
          <w:sz w:val="26"/>
        </w:rPr>
      </w:pPr>
    </w:p>
    <w:p w14:paraId="7168EC0B" w14:textId="77777777" w:rsidR="00A720EB" w:rsidRDefault="0030286B">
      <w:pPr>
        <w:pStyle w:val="3"/>
        <w:numPr>
          <w:ilvl w:val="2"/>
          <w:numId w:val="13"/>
        </w:numPr>
        <w:tabs>
          <w:tab w:val="left" w:pos="858"/>
        </w:tabs>
        <w:ind w:hanging="734"/>
      </w:pPr>
      <w:bookmarkStart w:id="911" w:name="9.9.9._Use_a_Custom_EntityManagerFactory"/>
      <w:bookmarkStart w:id="912" w:name="_Toc54423976"/>
      <w:bookmarkEnd w:id="911"/>
      <w:r>
        <w:rPr>
          <w:color w:val="333333"/>
          <w:w w:val="110"/>
        </w:rPr>
        <w:t>Use a Custom</w:t>
      </w:r>
      <w:r>
        <w:rPr>
          <w:color w:val="333333"/>
          <w:spacing w:val="-16"/>
          <w:w w:val="110"/>
        </w:rPr>
        <w:t xml:space="preserve"> </w:t>
      </w:r>
      <w:r>
        <w:rPr>
          <w:color w:val="333333"/>
          <w:w w:val="110"/>
        </w:rPr>
        <w:t>EntityManagerFactory</w:t>
      </w:r>
      <w:bookmarkEnd w:id="912"/>
    </w:p>
    <w:p w14:paraId="61346139" w14:textId="77777777" w:rsidR="00A720EB" w:rsidRDefault="0030286B">
      <w:pPr>
        <w:pStyle w:val="a3"/>
        <w:spacing w:before="244" w:line="300" w:lineRule="auto"/>
        <w:ind w:left="124" w:right="122"/>
        <w:jc w:val="both"/>
      </w:pPr>
      <w:r>
        <w:rPr>
          <w:color w:val="333333"/>
          <w:spacing w:val="-4"/>
          <w:w w:val="110"/>
        </w:rPr>
        <w:t>To</w:t>
      </w:r>
      <w:r>
        <w:rPr>
          <w:color w:val="333333"/>
          <w:spacing w:val="-6"/>
          <w:w w:val="110"/>
        </w:rPr>
        <w:t xml:space="preserve"> </w:t>
      </w:r>
      <w:r>
        <w:rPr>
          <w:color w:val="333333"/>
          <w:w w:val="110"/>
        </w:rPr>
        <w:t>take</w:t>
      </w:r>
      <w:r>
        <w:rPr>
          <w:color w:val="333333"/>
          <w:spacing w:val="-5"/>
          <w:w w:val="110"/>
        </w:rPr>
        <w:t xml:space="preserve"> </w:t>
      </w:r>
      <w:r>
        <w:rPr>
          <w:color w:val="333333"/>
          <w:w w:val="110"/>
        </w:rPr>
        <w:t>full</w:t>
      </w:r>
      <w:r>
        <w:rPr>
          <w:color w:val="333333"/>
          <w:spacing w:val="-5"/>
          <w:w w:val="110"/>
        </w:rPr>
        <w:t xml:space="preserve"> </w:t>
      </w:r>
      <w:r>
        <w:rPr>
          <w:color w:val="333333"/>
          <w:w w:val="110"/>
        </w:rPr>
        <w:t>control</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4"/>
          <w:w w:val="110"/>
        </w:rPr>
        <w:t xml:space="preserve"> </w:t>
      </w:r>
      <w:r>
        <w:rPr>
          <w:color w:val="333333"/>
          <w:w w:val="110"/>
        </w:rPr>
        <w:t>configuration</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3"/>
          <w:w w:val="110"/>
        </w:rPr>
        <w:t xml:space="preserve"> </w:t>
      </w:r>
      <w:r>
        <w:rPr>
          <w:rFonts w:ascii="MS Gothic" w:hAnsi="MS Gothic"/>
          <w:color w:val="B02045"/>
          <w:w w:val="110"/>
        </w:rPr>
        <w:t>EntityManagerFactory</w:t>
      </w:r>
      <w:r>
        <w:rPr>
          <w:color w:val="333333"/>
          <w:w w:val="110"/>
        </w:rPr>
        <w:t>,</w:t>
      </w:r>
      <w:r>
        <w:rPr>
          <w:color w:val="333333"/>
          <w:spacing w:val="-4"/>
          <w:w w:val="110"/>
        </w:rPr>
        <w:t xml:space="preserve"> </w:t>
      </w:r>
      <w:r>
        <w:rPr>
          <w:color w:val="333333"/>
          <w:w w:val="110"/>
        </w:rPr>
        <w:t>you</w:t>
      </w:r>
      <w:r>
        <w:rPr>
          <w:color w:val="333333"/>
          <w:spacing w:val="-5"/>
          <w:w w:val="110"/>
        </w:rPr>
        <w:t xml:space="preserve"> </w:t>
      </w:r>
      <w:r>
        <w:rPr>
          <w:color w:val="333333"/>
          <w:w w:val="110"/>
        </w:rPr>
        <w:t>need</w:t>
      </w:r>
      <w:r>
        <w:rPr>
          <w:color w:val="333333"/>
          <w:spacing w:val="-5"/>
          <w:w w:val="110"/>
        </w:rPr>
        <w:t xml:space="preserve"> </w:t>
      </w:r>
      <w:r>
        <w:rPr>
          <w:color w:val="333333"/>
          <w:w w:val="110"/>
        </w:rPr>
        <w:t>to</w:t>
      </w:r>
      <w:r>
        <w:rPr>
          <w:color w:val="333333"/>
          <w:spacing w:val="-4"/>
          <w:w w:val="110"/>
        </w:rPr>
        <w:t xml:space="preserve"> </w:t>
      </w:r>
      <w:r>
        <w:rPr>
          <w:color w:val="333333"/>
          <w:w w:val="110"/>
        </w:rPr>
        <w:t>add</w:t>
      </w:r>
      <w:r>
        <w:rPr>
          <w:color w:val="333333"/>
          <w:spacing w:val="-5"/>
          <w:w w:val="110"/>
        </w:rPr>
        <w:t xml:space="preserve"> </w:t>
      </w:r>
      <w:r>
        <w:rPr>
          <w:color w:val="333333"/>
          <w:w w:val="110"/>
        </w:rPr>
        <w:t>a</w:t>
      </w:r>
      <w:r>
        <w:rPr>
          <w:color w:val="333333"/>
          <w:spacing w:val="-3"/>
          <w:w w:val="110"/>
        </w:rPr>
        <w:t xml:space="preserve"> </w:t>
      </w:r>
      <w:r>
        <w:rPr>
          <w:rFonts w:ascii="MS Gothic" w:hAnsi="MS Gothic"/>
          <w:color w:val="B02045"/>
          <w:w w:val="110"/>
        </w:rPr>
        <w:t>@Bean</w:t>
      </w:r>
      <w:r>
        <w:rPr>
          <w:rFonts w:ascii="MS Gothic" w:hAnsi="MS Gothic"/>
          <w:color w:val="B02045"/>
          <w:spacing w:val="-69"/>
          <w:w w:val="110"/>
        </w:rPr>
        <w:t xml:space="preserve"> </w:t>
      </w:r>
      <w:r>
        <w:rPr>
          <w:color w:val="333333"/>
          <w:w w:val="110"/>
        </w:rPr>
        <w:t>named ‘entityManagerFactory’. Spring Boot auto-configuration switches off its entity manager in the presence of a bean of that</w:t>
      </w:r>
      <w:r>
        <w:rPr>
          <w:color w:val="333333"/>
          <w:spacing w:val="18"/>
          <w:w w:val="110"/>
        </w:rPr>
        <w:t xml:space="preserve"> </w:t>
      </w:r>
      <w:r>
        <w:rPr>
          <w:color w:val="333333"/>
          <w:w w:val="110"/>
        </w:rPr>
        <w:t>type.</w:t>
      </w:r>
    </w:p>
    <w:p w14:paraId="3182BD6C" w14:textId="77777777" w:rsidR="00A720EB" w:rsidRDefault="00A720EB">
      <w:pPr>
        <w:pStyle w:val="a3"/>
        <w:spacing w:before="1"/>
        <w:rPr>
          <w:sz w:val="26"/>
        </w:rPr>
      </w:pPr>
    </w:p>
    <w:p w14:paraId="7FA9996B" w14:textId="77777777" w:rsidR="00A720EB" w:rsidRDefault="0030286B">
      <w:pPr>
        <w:pStyle w:val="3"/>
        <w:numPr>
          <w:ilvl w:val="2"/>
          <w:numId w:val="13"/>
        </w:numPr>
        <w:tabs>
          <w:tab w:val="left" w:pos="1003"/>
        </w:tabs>
        <w:ind w:left="1002" w:hanging="879"/>
      </w:pPr>
      <w:bookmarkStart w:id="913" w:name="9.9.10._Use_Two_EntityManagers"/>
      <w:bookmarkStart w:id="914" w:name="_Toc54423977"/>
      <w:bookmarkEnd w:id="913"/>
      <w:r>
        <w:rPr>
          <w:color w:val="333333"/>
          <w:w w:val="105"/>
        </w:rPr>
        <w:t>Use Two</w:t>
      </w:r>
      <w:r>
        <w:rPr>
          <w:color w:val="333333"/>
          <w:spacing w:val="-2"/>
          <w:w w:val="105"/>
        </w:rPr>
        <w:t xml:space="preserve"> </w:t>
      </w:r>
      <w:r>
        <w:rPr>
          <w:color w:val="333333"/>
          <w:w w:val="105"/>
        </w:rPr>
        <w:t>EntityManagers</w:t>
      </w:r>
      <w:bookmarkEnd w:id="914"/>
    </w:p>
    <w:p w14:paraId="286F9F20" w14:textId="77777777" w:rsidR="00A720EB" w:rsidRDefault="0030286B">
      <w:pPr>
        <w:pStyle w:val="a3"/>
        <w:spacing w:before="244" w:line="290" w:lineRule="auto"/>
        <w:ind w:left="124" w:right="126"/>
        <w:jc w:val="both"/>
      </w:pPr>
      <w:r>
        <w:rPr>
          <w:color w:val="333333"/>
          <w:w w:val="110"/>
        </w:rPr>
        <w:t xml:space="preserve">Even if the default </w:t>
      </w:r>
      <w:r>
        <w:rPr>
          <w:rFonts w:ascii="MS Gothic"/>
          <w:color w:val="B02045"/>
          <w:w w:val="110"/>
        </w:rPr>
        <w:t xml:space="preserve">EntityManagerFactory </w:t>
      </w:r>
      <w:r>
        <w:rPr>
          <w:color w:val="333333"/>
          <w:w w:val="110"/>
        </w:rPr>
        <w:t xml:space="preserve">works fine, you need to define a new one, otherwise the presence of the second bean of that type switches off the default. </w:t>
      </w:r>
      <w:r>
        <w:rPr>
          <w:color w:val="333333"/>
          <w:spacing w:val="-6"/>
          <w:w w:val="110"/>
        </w:rPr>
        <w:t xml:space="preserve">You </w:t>
      </w:r>
      <w:r>
        <w:rPr>
          <w:color w:val="333333"/>
          <w:w w:val="110"/>
        </w:rPr>
        <w:t xml:space="preserve">can use the </w:t>
      </w:r>
      <w:r>
        <w:rPr>
          <w:rFonts w:ascii="MS Gothic"/>
          <w:color w:val="B02045"/>
          <w:w w:val="110"/>
        </w:rPr>
        <w:t xml:space="preserve">EntityManagerBuilder </w:t>
      </w:r>
      <w:r>
        <w:rPr>
          <w:color w:val="333333"/>
          <w:w w:val="110"/>
        </w:rPr>
        <w:t xml:space="preserve">provided </w:t>
      </w:r>
      <w:r>
        <w:rPr>
          <w:color w:val="333333"/>
          <w:spacing w:val="-3"/>
          <w:w w:val="110"/>
        </w:rPr>
        <w:t xml:space="preserve">by </w:t>
      </w:r>
      <w:r>
        <w:rPr>
          <w:color w:val="333333"/>
          <w:w w:val="110"/>
        </w:rPr>
        <w:t xml:space="preserve">Spring Boot to help you to create one. </w:t>
      </w:r>
      <w:r>
        <w:rPr>
          <w:color w:val="333333"/>
          <w:spacing w:val="-3"/>
          <w:w w:val="110"/>
        </w:rPr>
        <w:t xml:space="preserve">Alternatively, </w:t>
      </w:r>
      <w:r>
        <w:rPr>
          <w:color w:val="333333"/>
          <w:w w:val="110"/>
        </w:rPr>
        <w:t xml:space="preserve">you can use the </w:t>
      </w:r>
      <w:r>
        <w:rPr>
          <w:rFonts w:ascii="MS Gothic"/>
          <w:color w:val="B02045"/>
          <w:w w:val="110"/>
        </w:rPr>
        <w:t>LocalContainerEntityManagerFactoryBean</w:t>
      </w:r>
      <w:r>
        <w:rPr>
          <w:rFonts w:ascii="MS Gothic"/>
          <w:color w:val="B02045"/>
          <w:spacing w:val="-51"/>
          <w:w w:val="110"/>
        </w:rPr>
        <w:t xml:space="preserve"> </w:t>
      </w:r>
      <w:r>
        <w:rPr>
          <w:color w:val="333333"/>
          <w:w w:val="110"/>
        </w:rPr>
        <w:t>directly from Spring ORM, as shown in the following example:</w:t>
      </w:r>
    </w:p>
    <w:p w14:paraId="5D384ED6" w14:textId="77777777" w:rsidR="00A720EB" w:rsidRDefault="00A720EB">
      <w:pPr>
        <w:spacing w:line="290" w:lineRule="auto"/>
        <w:jc w:val="both"/>
        <w:sectPr w:rsidR="00A720EB">
          <w:pgSz w:w="11910" w:h="16840"/>
          <w:pgMar w:top="700" w:right="840" w:bottom="520" w:left="840" w:header="0" w:footer="323" w:gutter="0"/>
          <w:cols w:space="720"/>
        </w:sectPr>
      </w:pPr>
    </w:p>
    <w:p w14:paraId="54355B21" w14:textId="77777777" w:rsidR="00A720EB" w:rsidRDefault="00E10349">
      <w:pPr>
        <w:pStyle w:val="a3"/>
        <w:ind w:left="116"/>
        <w:rPr>
          <w:sz w:val="20"/>
        </w:rPr>
      </w:pPr>
      <w:r>
        <w:rPr>
          <w:sz w:val="20"/>
        </w:rPr>
      </w:r>
      <w:r>
        <w:rPr>
          <w:sz w:val="20"/>
        </w:rPr>
        <w:pict w14:anchorId="4BA22C5F">
          <v:group id="_x0000_s1354" style="width:499.55pt;height:332.3pt;mso-position-horizontal-relative:char;mso-position-vertical-relative:line" coordsize="9991,6646">
            <v:shape id="_x0000_s1357" style="position:absolute;left:7;top:7;width:9976;height:6631" coordorigin="8,8" coordsize="9976,6631" path="m9904,8l88,8,56,14,31,31,14,56,8,88r,6470l14,6589r17,26l56,6632r32,6l9904,6638r31,-6l9960,6615r17,-26l9984,6558r,-6470l9977,56,9960,31,9935,14,9904,8xe" fillcolor="#f5f5f5" stroked="f">
              <v:path arrowok="t"/>
            </v:shape>
            <v:shape id="_x0000_s1356" style="position:absolute;left:7;top:7;width:9976;height:6631" coordorigin="8,8" coordsize="9976,6631" path="m88,8r9816,l9935,14r25,17l9977,56r7,32l9984,6558r-7,31l9960,6615r-25,17l9904,6638r-9816,l56,6632,31,6615,14,6589,8,6558,8,88,14,56,31,31,56,14,88,8xe" filled="f" strokecolor="#ccc">
              <v:path arrowok="t"/>
            </v:shape>
            <v:shape id="_x0000_s1355" type="#_x0000_t202" style="position:absolute;left:26;top:22;width:9938;height:6600" filled="f" stroked="f">
              <v:textbox inset="0,0,0,0">
                <w:txbxContent>
                  <w:p w14:paraId="35FD6F61" w14:textId="77777777" w:rsidR="00711A16" w:rsidRDefault="00711A16">
                    <w:pPr>
                      <w:spacing w:before="221"/>
                      <w:ind w:left="200"/>
                      <w:rPr>
                        <w:rFonts w:ascii="MS Gothic"/>
                      </w:rPr>
                    </w:pPr>
                    <w:r>
                      <w:rPr>
                        <w:rFonts w:ascii="MS Gothic"/>
                        <w:color w:val="333333"/>
                      </w:rPr>
                      <w:t>// add two data sources configured as above</w:t>
                    </w:r>
                  </w:p>
                  <w:p w14:paraId="56A6A7B1" w14:textId="77777777" w:rsidR="00711A16" w:rsidRDefault="00711A16">
                    <w:pPr>
                      <w:rPr>
                        <w:rFonts w:ascii="MS Gothic"/>
                        <w:sz w:val="24"/>
                      </w:rPr>
                    </w:pPr>
                  </w:p>
                  <w:p w14:paraId="527C07C4" w14:textId="77777777" w:rsidR="00711A16" w:rsidRDefault="00711A16">
                    <w:pPr>
                      <w:ind w:left="200"/>
                      <w:rPr>
                        <w:rFonts w:ascii="MS Gothic"/>
                      </w:rPr>
                    </w:pPr>
                    <w:r>
                      <w:rPr>
                        <w:rFonts w:ascii="MS Gothic"/>
                        <w:color w:val="333333"/>
                      </w:rPr>
                      <w:t>@Bean</w:t>
                    </w:r>
                  </w:p>
                  <w:p w14:paraId="7B42DB91" w14:textId="77777777" w:rsidR="00711A16" w:rsidRDefault="00711A16">
                    <w:pPr>
                      <w:spacing w:before="13" w:line="252" w:lineRule="auto"/>
                      <w:ind w:left="1080" w:right="1468" w:hanging="880"/>
                      <w:rPr>
                        <w:rFonts w:ascii="MS Gothic"/>
                      </w:rPr>
                    </w:pPr>
                    <w:r>
                      <w:rPr>
                        <w:rFonts w:ascii="MS Gothic"/>
                        <w:color w:val="333333"/>
                      </w:rPr>
                      <w:t xml:space="preserve">public LocalContainerEntityManagerFactoryBean </w:t>
                    </w:r>
                    <w:proofErr w:type="gramStart"/>
                    <w:r>
                      <w:rPr>
                        <w:rFonts w:ascii="MS Gothic"/>
                        <w:color w:val="333333"/>
                      </w:rPr>
                      <w:t>customerEntityManagerFactory( EntityManagerFactoryBuilder</w:t>
                    </w:r>
                    <w:proofErr w:type="gramEnd"/>
                    <w:r>
                      <w:rPr>
                        <w:rFonts w:ascii="MS Gothic"/>
                        <w:color w:val="333333"/>
                      </w:rPr>
                      <w:t xml:space="preserve"> builder) {</w:t>
                    </w:r>
                  </w:p>
                  <w:p w14:paraId="4EEE430F" w14:textId="77777777" w:rsidR="00711A16" w:rsidRDefault="00711A16">
                    <w:pPr>
                      <w:spacing w:line="280" w:lineRule="exact"/>
                      <w:ind w:left="640"/>
                      <w:rPr>
                        <w:rFonts w:ascii="MS Gothic"/>
                      </w:rPr>
                    </w:pPr>
                    <w:r>
                      <w:rPr>
                        <w:rFonts w:ascii="MS Gothic"/>
                        <w:color w:val="333333"/>
                      </w:rPr>
                      <w:t>return builder</w:t>
                    </w:r>
                  </w:p>
                  <w:p w14:paraId="258F7A2E" w14:textId="77777777" w:rsidR="00711A16" w:rsidRDefault="00711A16">
                    <w:pPr>
                      <w:spacing w:before="13"/>
                      <w:ind w:left="1520"/>
                      <w:rPr>
                        <w:rFonts w:ascii="MS Gothic"/>
                      </w:rPr>
                    </w:pPr>
                    <w:proofErr w:type="gramStart"/>
                    <w:r>
                      <w:rPr>
                        <w:rFonts w:ascii="MS Gothic"/>
                        <w:color w:val="333333"/>
                      </w:rPr>
                      <w:t>.dataSource</w:t>
                    </w:r>
                    <w:proofErr w:type="gramEnd"/>
                    <w:r>
                      <w:rPr>
                        <w:rFonts w:ascii="MS Gothic"/>
                        <w:color w:val="333333"/>
                      </w:rPr>
                      <w:t>(customerDataSource())</w:t>
                    </w:r>
                  </w:p>
                  <w:p w14:paraId="0C4F077D" w14:textId="77777777" w:rsidR="00711A16" w:rsidRDefault="00711A16">
                    <w:pPr>
                      <w:spacing w:before="13"/>
                      <w:ind w:left="1520"/>
                      <w:rPr>
                        <w:rFonts w:ascii="MS Gothic"/>
                      </w:rPr>
                    </w:pPr>
                    <w:proofErr w:type="gramStart"/>
                    <w:r>
                      <w:rPr>
                        <w:rFonts w:ascii="MS Gothic"/>
                        <w:color w:val="333333"/>
                      </w:rPr>
                      <w:t>.packages</w:t>
                    </w:r>
                    <w:proofErr w:type="gramEnd"/>
                    <w:r>
                      <w:rPr>
                        <w:rFonts w:ascii="MS Gothic"/>
                        <w:color w:val="333333"/>
                      </w:rPr>
                      <w:t>(Customer.class)</w:t>
                    </w:r>
                  </w:p>
                  <w:p w14:paraId="4EDEF28B" w14:textId="77777777" w:rsidR="00711A16" w:rsidRDefault="00711A16">
                    <w:pPr>
                      <w:spacing w:before="13"/>
                      <w:ind w:left="1520"/>
                      <w:rPr>
                        <w:rFonts w:ascii="MS Gothic"/>
                      </w:rPr>
                    </w:pPr>
                    <w:proofErr w:type="gramStart"/>
                    <w:r>
                      <w:rPr>
                        <w:rFonts w:ascii="MS Gothic"/>
                        <w:color w:val="333333"/>
                      </w:rPr>
                      <w:t>.persistenceUnit</w:t>
                    </w:r>
                    <w:proofErr w:type="gramEnd"/>
                    <w:r>
                      <w:rPr>
                        <w:rFonts w:ascii="MS Gothic"/>
                        <w:color w:val="333333"/>
                      </w:rPr>
                      <w:t>("customers")</w:t>
                    </w:r>
                  </w:p>
                  <w:p w14:paraId="5A0B97CF" w14:textId="77777777" w:rsidR="00711A16" w:rsidRDefault="00711A16">
                    <w:pPr>
                      <w:spacing w:before="13"/>
                      <w:ind w:left="1520"/>
                      <w:rPr>
                        <w:rFonts w:ascii="MS Gothic"/>
                      </w:rPr>
                    </w:pPr>
                    <w:proofErr w:type="gramStart"/>
                    <w:r>
                      <w:rPr>
                        <w:rFonts w:ascii="MS Gothic"/>
                        <w:color w:val="333333"/>
                      </w:rPr>
                      <w:t>.build</w:t>
                    </w:r>
                    <w:proofErr w:type="gramEnd"/>
                    <w:r>
                      <w:rPr>
                        <w:rFonts w:ascii="MS Gothic"/>
                        <w:color w:val="333333"/>
                      </w:rPr>
                      <w:t>();</w:t>
                    </w:r>
                  </w:p>
                  <w:p w14:paraId="09CBCDD3" w14:textId="77777777" w:rsidR="00711A16" w:rsidRDefault="00711A16">
                    <w:pPr>
                      <w:spacing w:before="13"/>
                      <w:ind w:left="200"/>
                      <w:rPr>
                        <w:rFonts w:ascii="MS Gothic"/>
                      </w:rPr>
                    </w:pPr>
                    <w:r>
                      <w:rPr>
                        <w:rFonts w:ascii="MS Gothic"/>
                        <w:color w:val="333333"/>
                      </w:rPr>
                      <w:t>}</w:t>
                    </w:r>
                  </w:p>
                  <w:p w14:paraId="6AA3C129" w14:textId="77777777" w:rsidR="00711A16" w:rsidRDefault="00711A16">
                    <w:pPr>
                      <w:rPr>
                        <w:rFonts w:ascii="MS Gothic"/>
                        <w:sz w:val="24"/>
                      </w:rPr>
                    </w:pPr>
                  </w:p>
                  <w:p w14:paraId="273633DD" w14:textId="77777777" w:rsidR="00711A16" w:rsidRDefault="00711A16">
                    <w:pPr>
                      <w:ind w:left="200"/>
                      <w:rPr>
                        <w:rFonts w:ascii="MS Gothic"/>
                      </w:rPr>
                    </w:pPr>
                    <w:r>
                      <w:rPr>
                        <w:rFonts w:ascii="MS Gothic"/>
                        <w:color w:val="333333"/>
                      </w:rPr>
                      <w:t>@Bean</w:t>
                    </w:r>
                  </w:p>
                  <w:p w14:paraId="65706353" w14:textId="77777777" w:rsidR="00711A16" w:rsidRDefault="00711A16">
                    <w:pPr>
                      <w:spacing w:before="13" w:line="252" w:lineRule="auto"/>
                      <w:ind w:left="1080" w:right="1798" w:hanging="880"/>
                      <w:rPr>
                        <w:rFonts w:ascii="MS Gothic"/>
                      </w:rPr>
                    </w:pPr>
                    <w:r>
                      <w:rPr>
                        <w:rFonts w:ascii="MS Gothic"/>
                        <w:color w:val="333333"/>
                      </w:rPr>
                      <w:t xml:space="preserve">public LocalContainerEntityManagerFactoryBean </w:t>
                    </w:r>
                    <w:proofErr w:type="gramStart"/>
                    <w:r>
                      <w:rPr>
                        <w:rFonts w:ascii="MS Gothic"/>
                        <w:color w:val="333333"/>
                      </w:rPr>
                      <w:t>orderEntityManagerFactory( EntityManagerFactoryBuilder</w:t>
                    </w:r>
                    <w:proofErr w:type="gramEnd"/>
                    <w:r>
                      <w:rPr>
                        <w:rFonts w:ascii="MS Gothic"/>
                        <w:color w:val="333333"/>
                      </w:rPr>
                      <w:t xml:space="preserve"> builder) {</w:t>
                    </w:r>
                  </w:p>
                  <w:p w14:paraId="239F5047" w14:textId="77777777" w:rsidR="00711A16" w:rsidRDefault="00711A16">
                    <w:pPr>
                      <w:spacing w:line="280" w:lineRule="exact"/>
                      <w:ind w:left="640"/>
                      <w:rPr>
                        <w:rFonts w:ascii="MS Gothic"/>
                      </w:rPr>
                    </w:pPr>
                    <w:r>
                      <w:rPr>
                        <w:rFonts w:ascii="MS Gothic"/>
                        <w:color w:val="333333"/>
                      </w:rPr>
                      <w:t>return builder</w:t>
                    </w:r>
                  </w:p>
                  <w:p w14:paraId="31D78790" w14:textId="77777777" w:rsidR="00711A16" w:rsidRDefault="00711A16">
                    <w:pPr>
                      <w:spacing w:before="13"/>
                      <w:ind w:left="1520"/>
                      <w:rPr>
                        <w:rFonts w:ascii="MS Gothic"/>
                      </w:rPr>
                    </w:pPr>
                    <w:proofErr w:type="gramStart"/>
                    <w:r>
                      <w:rPr>
                        <w:rFonts w:ascii="MS Gothic"/>
                        <w:color w:val="333333"/>
                      </w:rPr>
                      <w:t>.dataSource</w:t>
                    </w:r>
                    <w:proofErr w:type="gramEnd"/>
                    <w:r>
                      <w:rPr>
                        <w:rFonts w:ascii="MS Gothic"/>
                        <w:color w:val="333333"/>
                      </w:rPr>
                      <w:t>(orderDataSource())</w:t>
                    </w:r>
                  </w:p>
                  <w:p w14:paraId="34787C00" w14:textId="77777777" w:rsidR="00711A16" w:rsidRDefault="00711A16">
                    <w:pPr>
                      <w:spacing w:before="13"/>
                      <w:ind w:left="1520"/>
                      <w:rPr>
                        <w:rFonts w:ascii="MS Gothic"/>
                      </w:rPr>
                    </w:pPr>
                    <w:proofErr w:type="gramStart"/>
                    <w:r>
                      <w:rPr>
                        <w:rFonts w:ascii="MS Gothic"/>
                        <w:color w:val="333333"/>
                      </w:rPr>
                      <w:t>.packages</w:t>
                    </w:r>
                    <w:proofErr w:type="gramEnd"/>
                    <w:r>
                      <w:rPr>
                        <w:rFonts w:ascii="MS Gothic"/>
                        <w:color w:val="333333"/>
                      </w:rPr>
                      <w:t>(Order.class)</w:t>
                    </w:r>
                  </w:p>
                  <w:p w14:paraId="0D39D9EE" w14:textId="77777777" w:rsidR="00711A16" w:rsidRDefault="00711A16">
                    <w:pPr>
                      <w:spacing w:before="12"/>
                      <w:ind w:left="1520"/>
                      <w:rPr>
                        <w:rFonts w:ascii="MS Gothic"/>
                      </w:rPr>
                    </w:pPr>
                    <w:proofErr w:type="gramStart"/>
                    <w:r>
                      <w:rPr>
                        <w:rFonts w:ascii="MS Gothic"/>
                        <w:color w:val="333333"/>
                      </w:rPr>
                      <w:t>.persistenceUnit</w:t>
                    </w:r>
                    <w:proofErr w:type="gramEnd"/>
                    <w:r>
                      <w:rPr>
                        <w:rFonts w:ascii="MS Gothic"/>
                        <w:color w:val="333333"/>
                      </w:rPr>
                      <w:t>("orders")</w:t>
                    </w:r>
                  </w:p>
                  <w:p w14:paraId="7F6A2F56" w14:textId="77777777" w:rsidR="00711A16" w:rsidRDefault="00711A16">
                    <w:pPr>
                      <w:spacing w:before="13"/>
                      <w:ind w:left="1520"/>
                      <w:rPr>
                        <w:rFonts w:ascii="MS Gothic"/>
                      </w:rPr>
                    </w:pPr>
                    <w:proofErr w:type="gramStart"/>
                    <w:r>
                      <w:rPr>
                        <w:rFonts w:ascii="MS Gothic"/>
                        <w:color w:val="333333"/>
                      </w:rPr>
                      <w:t>.build</w:t>
                    </w:r>
                    <w:proofErr w:type="gramEnd"/>
                    <w:r>
                      <w:rPr>
                        <w:rFonts w:ascii="MS Gothic"/>
                        <w:color w:val="333333"/>
                      </w:rPr>
                      <w:t>();</w:t>
                    </w:r>
                  </w:p>
                  <w:p w14:paraId="27A6F912" w14:textId="77777777" w:rsidR="00711A16" w:rsidRDefault="00711A16">
                    <w:pPr>
                      <w:spacing w:before="13"/>
                      <w:ind w:left="200"/>
                      <w:rPr>
                        <w:rFonts w:ascii="MS Gothic"/>
                      </w:rPr>
                    </w:pPr>
                    <w:r>
                      <w:rPr>
                        <w:rFonts w:ascii="MS Gothic"/>
                        <w:color w:val="333333"/>
                      </w:rPr>
                      <w:t>}</w:t>
                    </w:r>
                  </w:p>
                </w:txbxContent>
              </v:textbox>
            </v:shape>
            <w10:anchorlock/>
          </v:group>
        </w:pict>
      </w:r>
    </w:p>
    <w:p w14:paraId="1DF5F6B4" w14:textId="77777777" w:rsidR="00A720EB" w:rsidRDefault="00A720EB">
      <w:pPr>
        <w:pStyle w:val="a3"/>
        <w:spacing w:before="10"/>
        <w:rPr>
          <w:sz w:val="15"/>
        </w:rPr>
      </w:pPr>
    </w:p>
    <w:p w14:paraId="00061895" w14:textId="77777777" w:rsidR="00A720EB" w:rsidRDefault="00E10349">
      <w:pPr>
        <w:pStyle w:val="a3"/>
        <w:spacing w:before="116" w:line="288" w:lineRule="auto"/>
        <w:ind w:left="1564" w:right="363"/>
        <w:jc w:val="both"/>
      </w:pPr>
      <w:r>
        <w:pict w14:anchorId="278D16D9">
          <v:line id="_x0000_s1353" style="position:absolute;left:0;text-align:left;z-index:16395264;mso-position-horizontal-relative:page" from="108.25pt,.35pt" to="108.25pt,197.7pt" strokecolor="#ededed" strokeweight=".5pt">
            <w10:wrap anchorx="page"/>
          </v:line>
        </w:pict>
      </w:r>
      <w:r w:rsidR="0030286B">
        <w:rPr>
          <w:noProof/>
        </w:rPr>
        <w:drawing>
          <wp:anchor distT="0" distB="0" distL="0" distR="0" simplePos="0" relativeHeight="16395776" behindDoc="0" locked="0" layoutInCell="1" allowOverlap="1" wp14:anchorId="6AB2509B" wp14:editId="55CB38FA">
            <wp:simplePos x="0" y="0"/>
            <wp:positionH relativeFrom="page">
              <wp:posOffset>844422</wp:posOffset>
            </wp:positionH>
            <wp:positionV relativeFrom="paragraph">
              <wp:posOffset>1108277</wp:posOffset>
            </wp:positionV>
            <wp:extent cx="298450" cy="298450"/>
            <wp:effectExtent l="0" t="0" r="0" b="0"/>
            <wp:wrapNone/>
            <wp:docPr id="7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When</w:t>
      </w:r>
      <w:r w:rsidR="0030286B">
        <w:rPr>
          <w:color w:val="333333"/>
          <w:spacing w:val="-21"/>
          <w:w w:val="110"/>
        </w:rPr>
        <w:t xml:space="preserve"> </w:t>
      </w:r>
      <w:r w:rsidR="0030286B">
        <w:rPr>
          <w:color w:val="333333"/>
          <w:w w:val="110"/>
        </w:rPr>
        <w:t>you</w:t>
      </w:r>
      <w:r w:rsidR="0030286B">
        <w:rPr>
          <w:color w:val="333333"/>
          <w:spacing w:val="-21"/>
          <w:w w:val="110"/>
        </w:rPr>
        <w:t xml:space="preserve"> </w:t>
      </w:r>
      <w:r w:rsidR="0030286B">
        <w:rPr>
          <w:color w:val="333333"/>
          <w:w w:val="110"/>
        </w:rPr>
        <w:t>create</w:t>
      </w:r>
      <w:r w:rsidR="0030286B">
        <w:rPr>
          <w:color w:val="333333"/>
          <w:spacing w:val="-20"/>
          <w:w w:val="110"/>
        </w:rPr>
        <w:t xml:space="preserve"> </w:t>
      </w:r>
      <w:r w:rsidR="0030286B">
        <w:rPr>
          <w:color w:val="333333"/>
          <w:w w:val="110"/>
        </w:rPr>
        <w:t>a</w:t>
      </w:r>
      <w:r w:rsidR="0030286B">
        <w:rPr>
          <w:color w:val="333333"/>
          <w:spacing w:val="-21"/>
          <w:w w:val="110"/>
        </w:rPr>
        <w:t xml:space="preserve"> </w:t>
      </w:r>
      <w:r w:rsidR="0030286B">
        <w:rPr>
          <w:color w:val="333333"/>
          <w:w w:val="110"/>
        </w:rPr>
        <w:t>bean</w:t>
      </w:r>
      <w:r w:rsidR="0030286B">
        <w:rPr>
          <w:color w:val="333333"/>
          <w:spacing w:val="-20"/>
          <w:w w:val="110"/>
        </w:rPr>
        <w:t xml:space="preserve"> </w:t>
      </w:r>
      <w:r w:rsidR="0030286B">
        <w:rPr>
          <w:color w:val="333333"/>
          <w:w w:val="110"/>
        </w:rPr>
        <w:t>for</w:t>
      </w:r>
      <w:r w:rsidR="0030286B">
        <w:rPr>
          <w:color w:val="333333"/>
          <w:spacing w:val="-19"/>
          <w:w w:val="110"/>
        </w:rPr>
        <w:t xml:space="preserve"> </w:t>
      </w:r>
      <w:r w:rsidR="0030286B">
        <w:rPr>
          <w:rFonts w:ascii="MS Gothic"/>
          <w:color w:val="B02045"/>
          <w:w w:val="110"/>
        </w:rPr>
        <w:t>LocalContainerEntityManagerFactoryBean</w:t>
      </w:r>
      <w:r w:rsidR="0030286B">
        <w:rPr>
          <w:rFonts w:ascii="MS Gothic"/>
          <w:color w:val="B02045"/>
          <w:spacing w:val="-85"/>
          <w:w w:val="110"/>
        </w:rPr>
        <w:t xml:space="preserve"> </w:t>
      </w:r>
      <w:r w:rsidR="0030286B">
        <w:rPr>
          <w:color w:val="333333"/>
          <w:w w:val="110"/>
        </w:rPr>
        <w:t>yourself,</w:t>
      </w:r>
      <w:r w:rsidR="0030286B">
        <w:rPr>
          <w:color w:val="333333"/>
          <w:spacing w:val="-21"/>
          <w:w w:val="110"/>
        </w:rPr>
        <w:t xml:space="preserve"> </w:t>
      </w:r>
      <w:r w:rsidR="0030286B">
        <w:rPr>
          <w:color w:val="333333"/>
          <w:w w:val="110"/>
        </w:rPr>
        <w:t xml:space="preserve">any customization that was applied during the creation of the auto-configured </w:t>
      </w:r>
      <w:r w:rsidR="0030286B">
        <w:rPr>
          <w:rFonts w:ascii="MS Gothic"/>
          <w:color w:val="B02045"/>
          <w:w w:val="110"/>
        </w:rPr>
        <w:t>LocalContainerEntityManagerFactoryBean</w:t>
      </w:r>
      <w:r w:rsidR="0030286B">
        <w:rPr>
          <w:rFonts w:ascii="MS Gothic"/>
          <w:color w:val="B02045"/>
          <w:spacing w:val="-83"/>
          <w:w w:val="110"/>
        </w:rPr>
        <w:t xml:space="preserve"> </w:t>
      </w:r>
      <w:r w:rsidR="0030286B">
        <w:rPr>
          <w:color w:val="333333"/>
          <w:w w:val="110"/>
        </w:rPr>
        <w:t>is</w:t>
      </w:r>
      <w:r w:rsidR="0030286B">
        <w:rPr>
          <w:color w:val="333333"/>
          <w:spacing w:val="-18"/>
          <w:w w:val="110"/>
        </w:rPr>
        <w:t xml:space="preserve"> </w:t>
      </w:r>
      <w:r w:rsidR="0030286B">
        <w:rPr>
          <w:color w:val="333333"/>
          <w:w w:val="110"/>
        </w:rPr>
        <w:t>lost.</w:t>
      </w:r>
      <w:r w:rsidR="0030286B">
        <w:rPr>
          <w:color w:val="333333"/>
          <w:spacing w:val="-18"/>
          <w:w w:val="110"/>
        </w:rPr>
        <w:t xml:space="preserve"> </w:t>
      </w:r>
      <w:r w:rsidR="0030286B">
        <w:rPr>
          <w:color w:val="333333"/>
          <w:spacing w:val="-4"/>
          <w:w w:val="110"/>
        </w:rPr>
        <w:t>For</w:t>
      </w:r>
      <w:r w:rsidR="0030286B">
        <w:rPr>
          <w:color w:val="333333"/>
          <w:spacing w:val="-18"/>
          <w:w w:val="110"/>
        </w:rPr>
        <w:t xml:space="preserve"> </w:t>
      </w:r>
      <w:r w:rsidR="0030286B">
        <w:rPr>
          <w:color w:val="333333"/>
          <w:w w:val="110"/>
        </w:rPr>
        <w:t>example,</w:t>
      </w:r>
      <w:r w:rsidR="0030286B">
        <w:rPr>
          <w:color w:val="333333"/>
          <w:spacing w:val="-18"/>
          <w:w w:val="110"/>
        </w:rPr>
        <w:t xml:space="preserve"> </w:t>
      </w:r>
      <w:r w:rsidR="0030286B">
        <w:rPr>
          <w:color w:val="333333"/>
          <w:w w:val="110"/>
        </w:rPr>
        <w:t>in</w:t>
      </w:r>
      <w:r w:rsidR="0030286B">
        <w:rPr>
          <w:color w:val="333333"/>
          <w:spacing w:val="-18"/>
          <w:w w:val="110"/>
        </w:rPr>
        <w:t xml:space="preserve"> </w:t>
      </w:r>
      <w:r w:rsidR="0030286B">
        <w:rPr>
          <w:color w:val="333333"/>
          <w:w w:val="110"/>
        </w:rPr>
        <w:t>case</w:t>
      </w:r>
      <w:r w:rsidR="0030286B">
        <w:rPr>
          <w:color w:val="333333"/>
          <w:spacing w:val="-18"/>
          <w:w w:val="110"/>
        </w:rPr>
        <w:t xml:space="preserve"> </w:t>
      </w:r>
      <w:r w:rsidR="0030286B">
        <w:rPr>
          <w:color w:val="333333"/>
          <w:w w:val="110"/>
        </w:rPr>
        <w:t>of</w:t>
      </w:r>
      <w:r w:rsidR="0030286B">
        <w:rPr>
          <w:color w:val="333333"/>
          <w:spacing w:val="-17"/>
          <w:w w:val="110"/>
        </w:rPr>
        <w:t xml:space="preserve"> </w:t>
      </w:r>
      <w:r w:rsidR="0030286B">
        <w:rPr>
          <w:color w:val="333333"/>
          <w:w w:val="110"/>
        </w:rPr>
        <w:t xml:space="preserve">Hibernate, any properties under the </w:t>
      </w:r>
      <w:proofErr w:type="gramStart"/>
      <w:r w:rsidR="0030286B">
        <w:rPr>
          <w:rFonts w:ascii="MS Gothic"/>
          <w:color w:val="B02045"/>
          <w:w w:val="110"/>
        </w:rPr>
        <w:t>spring.jpa.hibernate</w:t>
      </w:r>
      <w:proofErr w:type="gramEnd"/>
      <w:r w:rsidR="0030286B">
        <w:rPr>
          <w:rFonts w:ascii="MS Gothic"/>
          <w:color w:val="B02045"/>
          <w:w w:val="110"/>
        </w:rPr>
        <w:t xml:space="preserve"> </w:t>
      </w:r>
      <w:r w:rsidR="0030286B">
        <w:rPr>
          <w:color w:val="333333"/>
          <w:w w:val="110"/>
        </w:rPr>
        <w:t xml:space="preserve">prefix will not be automatically applied to your </w:t>
      </w:r>
      <w:r w:rsidR="0030286B">
        <w:rPr>
          <w:rFonts w:ascii="MS Gothic"/>
          <w:color w:val="B02045"/>
          <w:w w:val="110"/>
        </w:rPr>
        <w:t>LocalContainerEntityManagerFactoryBean</w:t>
      </w:r>
      <w:r w:rsidR="0030286B">
        <w:rPr>
          <w:color w:val="333333"/>
          <w:w w:val="110"/>
        </w:rPr>
        <w:t xml:space="preserve">. If you were relying on these properties for configuring things like the naming strategy or the DDL mode, you will need to explicitly configure that when creating the </w:t>
      </w:r>
      <w:r w:rsidR="0030286B">
        <w:rPr>
          <w:rFonts w:ascii="MS Gothic"/>
          <w:color w:val="B02045"/>
          <w:w w:val="110"/>
        </w:rPr>
        <w:t>LocalContainerEntityManagerFactoryBean</w:t>
      </w:r>
      <w:r w:rsidR="0030286B">
        <w:rPr>
          <w:rFonts w:ascii="MS Gothic"/>
          <w:color w:val="B02045"/>
          <w:spacing w:val="-79"/>
          <w:w w:val="110"/>
        </w:rPr>
        <w:t xml:space="preserve"> </w:t>
      </w:r>
      <w:r w:rsidR="0030286B">
        <w:rPr>
          <w:color w:val="333333"/>
          <w:w w:val="110"/>
        </w:rPr>
        <w:t>bean.</w:t>
      </w:r>
      <w:r w:rsidR="0030286B">
        <w:rPr>
          <w:color w:val="333333"/>
          <w:spacing w:val="-15"/>
          <w:w w:val="110"/>
        </w:rPr>
        <w:t xml:space="preserve"> </w:t>
      </w:r>
      <w:r w:rsidR="0030286B">
        <w:rPr>
          <w:color w:val="333333"/>
          <w:w w:val="110"/>
        </w:rPr>
        <w:t>On</w:t>
      </w:r>
      <w:r w:rsidR="0030286B">
        <w:rPr>
          <w:color w:val="333333"/>
          <w:spacing w:val="-14"/>
          <w:w w:val="110"/>
        </w:rPr>
        <w:t xml:space="preserve"> </w:t>
      </w:r>
      <w:r w:rsidR="0030286B">
        <w:rPr>
          <w:color w:val="333333"/>
          <w:w w:val="110"/>
        </w:rPr>
        <w:t>the</w:t>
      </w:r>
      <w:r w:rsidR="0030286B">
        <w:rPr>
          <w:color w:val="333333"/>
          <w:spacing w:val="-14"/>
          <w:w w:val="110"/>
        </w:rPr>
        <w:t xml:space="preserve"> </w:t>
      </w:r>
      <w:r w:rsidR="0030286B">
        <w:rPr>
          <w:color w:val="333333"/>
          <w:w w:val="110"/>
        </w:rPr>
        <w:t>other</w:t>
      </w:r>
      <w:r w:rsidR="0030286B">
        <w:rPr>
          <w:color w:val="333333"/>
          <w:spacing w:val="-15"/>
          <w:w w:val="110"/>
        </w:rPr>
        <w:t xml:space="preserve"> </w:t>
      </w:r>
      <w:r w:rsidR="0030286B">
        <w:rPr>
          <w:color w:val="333333"/>
          <w:w w:val="110"/>
        </w:rPr>
        <w:t>hand,</w:t>
      </w:r>
      <w:r w:rsidR="0030286B">
        <w:rPr>
          <w:color w:val="333333"/>
          <w:spacing w:val="-14"/>
          <w:w w:val="110"/>
        </w:rPr>
        <w:t xml:space="preserve"> </w:t>
      </w:r>
      <w:r w:rsidR="0030286B">
        <w:rPr>
          <w:color w:val="333333"/>
          <w:w w:val="110"/>
        </w:rPr>
        <w:t>properties</w:t>
      </w:r>
      <w:r w:rsidR="0030286B">
        <w:rPr>
          <w:color w:val="333333"/>
          <w:spacing w:val="-14"/>
          <w:w w:val="110"/>
        </w:rPr>
        <w:t xml:space="preserve"> </w:t>
      </w:r>
      <w:r w:rsidR="0030286B">
        <w:rPr>
          <w:color w:val="333333"/>
          <w:w w:val="110"/>
        </w:rPr>
        <w:t xml:space="preserve">that get applied to the auto-configured </w:t>
      </w:r>
      <w:r w:rsidR="0030286B">
        <w:rPr>
          <w:rFonts w:ascii="MS Gothic"/>
          <w:color w:val="B02045"/>
          <w:w w:val="110"/>
        </w:rPr>
        <w:t>EntityManagerFactoryBuilder</w:t>
      </w:r>
      <w:r w:rsidR="0030286B">
        <w:rPr>
          <w:color w:val="333333"/>
          <w:w w:val="110"/>
        </w:rPr>
        <w:t xml:space="preserve">, which are specified via </w:t>
      </w:r>
      <w:proofErr w:type="gramStart"/>
      <w:r w:rsidR="0030286B">
        <w:rPr>
          <w:rFonts w:ascii="MS Gothic"/>
          <w:color w:val="B02045"/>
          <w:w w:val="110"/>
        </w:rPr>
        <w:t>spring.jpa.properties</w:t>
      </w:r>
      <w:proofErr w:type="gramEnd"/>
      <w:r w:rsidR="0030286B">
        <w:rPr>
          <w:color w:val="333333"/>
          <w:w w:val="110"/>
        </w:rPr>
        <w:t xml:space="preserve">, will automatically be applied, provided you use the auto-configured </w:t>
      </w:r>
      <w:r w:rsidR="0030286B">
        <w:rPr>
          <w:rFonts w:ascii="MS Gothic"/>
          <w:color w:val="B02045"/>
          <w:w w:val="110"/>
        </w:rPr>
        <w:t xml:space="preserve">EntityManagerFactoryBuilder </w:t>
      </w:r>
      <w:r w:rsidR="0030286B">
        <w:rPr>
          <w:color w:val="333333"/>
          <w:w w:val="110"/>
        </w:rPr>
        <w:t xml:space="preserve">to build the </w:t>
      </w:r>
      <w:r w:rsidR="0030286B">
        <w:rPr>
          <w:rFonts w:ascii="MS Gothic"/>
          <w:color w:val="B02045"/>
          <w:w w:val="110"/>
        </w:rPr>
        <w:t>LocalContainerEntityManagerFactoryBean</w:t>
      </w:r>
      <w:r w:rsidR="0030286B">
        <w:rPr>
          <w:rFonts w:ascii="MS Gothic"/>
          <w:color w:val="B02045"/>
          <w:spacing w:val="-68"/>
          <w:w w:val="110"/>
        </w:rPr>
        <w:t xml:space="preserve"> </w:t>
      </w:r>
      <w:r w:rsidR="0030286B">
        <w:rPr>
          <w:color w:val="333333"/>
          <w:w w:val="110"/>
        </w:rPr>
        <w:t>bean.</w:t>
      </w:r>
    </w:p>
    <w:p w14:paraId="04E9C0A8" w14:textId="77777777" w:rsidR="00A720EB" w:rsidRDefault="00A720EB">
      <w:pPr>
        <w:pStyle w:val="a3"/>
        <w:spacing w:before="1"/>
        <w:rPr>
          <w:sz w:val="17"/>
        </w:rPr>
      </w:pPr>
    </w:p>
    <w:p w14:paraId="1690AD2D" w14:textId="77777777" w:rsidR="00A720EB" w:rsidRDefault="0030286B">
      <w:pPr>
        <w:pStyle w:val="a3"/>
        <w:spacing w:before="125" w:line="295" w:lineRule="auto"/>
        <w:ind w:left="124" w:right="123"/>
        <w:jc w:val="both"/>
      </w:pPr>
      <w:r>
        <w:rPr>
          <w:color w:val="333333"/>
          <w:w w:val="110"/>
        </w:rPr>
        <w:t xml:space="preserve">The configuration above almost works on its own. </w:t>
      </w:r>
      <w:r>
        <w:rPr>
          <w:color w:val="333333"/>
          <w:spacing w:val="-4"/>
          <w:w w:val="110"/>
        </w:rPr>
        <w:t xml:space="preserve">To </w:t>
      </w:r>
      <w:r>
        <w:rPr>
          <w:color w:val="333333"/>
          <w:w w:val="110"/>
        </w:rPr>
        <w:t xml:space="preserve">complete the picture, you need to </w:t>
      </w:r>
      <w:proofErr w:type="gramStart"/>
      <w:r>
        <w:rPr>
          <w:color w:val="333333"/>
          <w:w w:val="110"/>
        </w:rPr>
        <w:t xml:space="preserve">configure  </w:t>
      </w:r>
      <w:r>
        <w:rPr>
          <w:rFonts w:ascii="MS Gothic"/>
          <w:color w:val="B02045"/>
          <w:w w:val="110"/>
        </w:rPr>
        <w:t>TransactionManagers</w:t>
      </w:r>
      <w:proofErr w:type="gramEnd"/>
      <w:r>
        <w:rPr>
          <w:rFonts w:ascii="MS Gothic"/>
          <w:color w:val="B02045"/>
          <w:spacing w:val="-84"/>
          <w:w w:val="110"/>
        </w:rPr>
        <w:t xml:space="preserve"> </w:t>
      </w:r>
      <w:r>
        <w:rPr>
          <w:color w:val="333333"/>
          <w:w w:val="110"/>
        </w:rPr>
        <w:t>for</w:t>
      </w:r>
      <w:r>
        <w:rPr>
          <w:color w:val="333333"/>
          <w:spacing w:val="-18"/>
          <w:w w:val="110"/>
        </w:rPr>
        <w:t xml:space="preserve"> </w:t>
      </w:r>
      <w:r>
        <w:rPr>
          <w:color w:val="333333"/>
          <w:w w:val="110"/>
        </w:rPr>
        <w:t>the</w:t>
      </w:r>
      <w:r>
        <w:rPr>
          <w:color w:val="333333"/>
          <w:spacing w:val="-19"/>
          <w:w w:val="110"/>
        </w:rPr>
        <w:t xml:space="preserve"> </w:t>
      </w:r>
      <w:r>
        <w:rPr>
          <w:color w:val="333333"/>
          <w:w w:val="110"/>
        </w:rPr>
        <w:t>two</w:t>
      </w:r>
      <w:r>
        <w:rPr>
          <w:color w:val="333333"/>
          <w:spacing w:val="-19"/>
          <w:w w:val="110"/>
        </w:rPr>
        <w:t xml:space="preserve"> </w:t>
      </w:r>
      <w:r>
        <w:rPr>
          <w:rFonts w:ascii="MS Gothic"/>
          <w:color w:val="B02045"/>
          <w:w w:val="110"/>
        </w:rPr>
        <w:t>EntityManagers</w:t>
      </w:r>
      <w:r>
        <w:rPr>
          <w:rFonts w:ascii="MS Gothic"/>
          <w:color w:val="B02045"/>
          <w:spacing w:val="-83"/>
          <w:w w:val="110"/>
        </w:rPr>
        <w:t xml:space="preserve"> </w:t>
      </w:r>
      <w:r>
        <w:rPr>
          <w:color w:val="333333"/>
          <w:w w:val="110"/>
        </w:rPr>
        <w:t>as</w:t>
      </w:r>
      <w:r>
        <w:rPr>
          <w:color w:val="333333"/>
          <w:spacing w:val="-19"/>
          <w:w w:val="110"/>
        </w:rPr>
        <w:t xml:space="preserve"> </w:t>
      </w:r>
      <w:r>
        <w:rPr>
          <w:color w:val="333333"/>
          <w:w w:val="110"/>
        </w:rPr>
        <w:t>well.</w:t>
      </w:r>
      <w:r>
        <w:rPr>
          <w:color w:val="333333"/>
          <w:spacing w:val="-19"/>
          <w:w w:val="110"/>
        </w:rPr>
        <w:t xml:space="preserve"> </w:t>
      </w:r>
      <w:r>
        <w:rPr>
          <w:color w:val="333333"/>
          <w:w w:val="110"/>
        </w:rPr>
        <w:t>If</w:t>
      </w:r>
      <w:r>
        <w:rPr>
          <w:color w:val="333333"/>
          <w:spacing w:val="-19"/>
          <w:w w:val="110"/>
        </w:rPr>
        <w:t xml:space="preserve"> </w:t>
      </w:r>
      <w:r>
        <w:rPr>
          <w:color w:val="333333"/>
          <w:w w:val="110"/>
        </w:rPr>
        <w:t>you</w:t>
      </w:r>
      <w:r>
        <w:rPr>
          <w:color w:val="333333"/>
          <w:spacing w:val="-19"/>
          <w:w w:val="110"/>
        </w:rPr>
        <w:t xml:space="preserve"> </w:t>
      </w:r>
      <w:r>
        <w:rPr>
          <w:color w:val="333333"/>
          <w:w w:val="110"/>
        </w:rPr>
        <w:t>mark</w:t>
      </w:r>
      <w:r>
        <w:rPr>
          <w:color w:val="333333"/>
          <w:spacing w:val="-18"/>
          <w:w w:val="110"/>
        </w:rPr>
        <w:t xml:space="preserve"> </w:t>
      </w:r>
      <w:r>
        <w:rPr>
          <w:color w:val="333333"/>
          <w:w w:val="110"/>
        </w:rPr>
        <w:t>one</w:t>
      </w:r>
      <w:r>
        <w:rPr>
          <w:color w:val="333333"/>
          <w:spacing w:val="-19"/>
          <w:w w:val="110"/>
        </w:rPr>
        <w:t xml:space="preserve"> </w:t>
      </w:r>
      <w:r>
        <w:rPr>
          <w:color w:val="333333"/>
          <w:w w:val="110"/>
        </w:rPr>
        <w:t>of</w:t>
      </w:r>
      <w:r>
        <w:rPr>
          <w:color w:val="333333"/>
          <w:spacing w:val="-19"/>
          <w:w w:val="110"/>
        </w:rPr>
        <w:t xml:space="preserve"> </w:t>
      </w:r>
      <w:r>
        <w:rPr>
          <w:color w:val="333333"/>
          <w:w w:val="110"/>
        </w:rPr>
        <w:t>them</w:t>
      </w:r>
      <w:r>
        <w:rPr>
          <w:color w:val="333333"/>
          <w:spacing w:val="-19"/>
          <w:w w:val="110"/>
        </w:rPr>
        <w:t xml:space="preserve"> </w:t>
      </w:r>
      <w:r>
        <w:rPr>
          <w:color w:val="333333"/>
          <w:w w:val="110"/>
        </w:rPr>
        <w:t>as</w:t>
      </w:r>
      <w:r>
        <w:rPr>
          <w:color w:val="333333"/>
          <w:spacing w:val="-16"/>
          <w:w w:val="110"/>
        </w:rPr>
        <w:t xml:space="preserve"> </w:t>
      </w:r>
      <w:r>
        <w:rPr>
          <w:rFonts w:ascii="MS Gothic"/>
          <w:color w:val="B02045"/>
          <w:w w:val="110"/>
        </w:rPr>
        <w:t>@Primary</w:t>
      </w:r>
      <w:r>
        <w:rPr>
          <w:color w:val="333333"/>
          <w:w w:val="110"/>
        </w:rPr>
        <w:t>,</w:t>
      </w:r>
      <w:r>
        <w:rPr>
          <w:color w:val="333333"/>
          <w:spacing w:val="-19"/>
          <w:w w:val="110"/>
        </w:rPr>
        <w:t xml:space="preserve"> </w:t>
      </w:r>
      <w:r>
        <w:rPr>
          <w:color w:val="333333"/>
          <w:w w:val="110"/>
        </w:rPr>
        <w:t>it</w:t>
      </w:r>
      <w:r>
        <w:rPr>
          <w:color w:val="333333"/>
          <w:spacing w:val="-19"/>
          <w:w w:val="110"/>
        </w:rPr>
        <w:t xml:space="preserve"> </w:t>
      </w:r>
      <w:r>
        <w:rPr>
          <w:color w:val="333333"/>
          <w:w w:val="110"/>
        </w:rPr>
        <w:t xml:space="preserve">could be picked up </w:t>
      </w:r>
      <w:r>
        <w:rPr>
          <w:color w:val="333333"/>
          <w:spacing w:val="-3"/>
          <w:w w:val="110"/>
        </w:rPr>
        <w:t xml:space="preserve">by </w:t>
      </w:r>
      <w:r>
        <w:rPr>
          <w:color w:val="333333"/>
          <w:w w:val="110"/>
        </w:rPr>
        <w:t xml:space="preserve">the default </w:t>
      </w:r>
      <w:r>
        <w:rPr>
          <w:rFonts w:ascii="MS Gothic"/>
          <w:color w:val="B02045"/>
          <w:w w:val="110"/>
        </w:rPr>
        <w:t xml:space="preserve">JpaTransactionManager </w:t>
      </w:r>
      <w:r>
        <w:rPr>
          <w:color w:val="333333"/>
          <w:w w:val="110"/>
        </w:rPr>
        <w:t xml:space="preserve">in Spring Boot. The other would have to be explicitly injected into a new instance. </w:t>
      </w:r>
      <w:r>
        <w:rPr>
          <w:color w:val="333333"/>
          <w:spacing w:val="-3"/>
          <w:w w:val="110"/>
        </w:rPr>
        <w:t xml:space="preserve">Alternatively, </w:t>
      </w:r>
      <w:r>
        <w:rPr>
          <w:color w:val="333333"/>
          <w:w w:val="110"/>
        </w:rPr>
        <w:t xml:space="preserve">you might be able to use a </w:t>
      </w:r>
      <w:r>
        <w:rPr>
          <w:color w:val="333333"/>
          <w:spacing w:val="-5"/>
          <w:w w:val="110"/>
        </w:rPr>
        <w:t xml:space="preserve">JTA </w:t>
      </w:r>
      <w:r>
        <w:rPr>
          <w:color w:val="333333"/>
          <w:w w:val="110"/>
        </w:rPr>
        <w:t>transaction manager that spans</w:t>
      </w:r>
      <w:r>
        <w:rPr>
          <w:color w:val="333333"/>
          <w:spacing w:val="9"/>
          <w:w w:val="110"/>
        </w:rPr>
        <w:t xml:space="preserve"> </w:t>
      </w:r>
      <w:r>
        <w:rPr>
          <w:color w:val="333333"/>
          <w:w w:val="110"/>
        </w:rPr>
        <w:t>both.</w:t>
      </w:r>
    </w:p>
    <w:p w14:paraId="475044B3" w14:textId="77777777" w:rsidR="00A720EB" w:rsidRDefault="0030286B">
      <w:pPr>
        <w:pStyle w:val="a3"/>
        <w:spacing w:before="237" w:line="290" w:lineRule="auto"/>
        <w:ind w:left="124" w:right="125"/>
        <w:jc w:val="both"/>
      </w:pPr>
      <w:r>
        <w:rPr>
          <w:color w:val="333333"/>
          <w:w w:val="110"/>
        </w:rPr>
        <w:t xml:space="preserve">If you use Spring Data, you need to configure </w:t>
      </w:r>
      <w:r>
        <w:rPr>
          <w:rFonts w:ascii="MS Gothic"/>
          <w:color w:val="B02045"/>
          <w:w w:val="110"/>
        </w:rPr>
        <w:t xml:space="preserve">@EnableJpaRepositories </w:t>
      </w:r>
      <w:r>
        <w:rPr>
          <w:color w:val="333333"/>
          <w:w w:val="110"/>
        </w:rPr>
        <w:t>accordingly, as shown in the following example:</w:t>
      </w:r>
    </w:p>
    <w:p w14:paraId="6D6854E5" w14:textId="77777777" w:rsidR="00A720EB" w:rsidRDefault="00A720EB">
      <w:pPr>
        <w:spacing w:line="290" w:lineRule="auto"/>
        <w:jc w:val="both"/>
        <w:sectPr w:rsidR="00A720EB">
          <w:pgSz w:w="11910" w:h="16840"/>
          <w:pgMar w:top="700" w:right="840" w:bottom="520" w:left="840" w:header="0" w:footer="323" w:gutter="0"/>
          <w:cols w:space="720"/>
        </w:sectPr>
      </w:pPr>
    </w:p>
    <w:p w14:paraId="568DC2F6" w14:textId="77777777" w:rsidR="00A720EB" w:rsidRDefault="00E10349">
      <w:pPr>
        <w:pStyle w:val="a3"/>
        <w:ind w:left="116"/>
        <w:rPr>
          <w:sz w:val="20"/>
        </w:rPr>
      </w:pPr>
      <w:r>
        <w:rPr>
          <w:sz w:val="20"/>
        </w:rPr>
      </w:r>
      <w:r>
        <w:rPr>
          <w:sz w:val="20"/>
        </w:rPr>
        <w:pict w14:anchorId="22D4FA51">
          <v:group id="_x0000_s1349" style="width:499.55pt;height:214.4pt;mso-position-horizontal-relative:char;mso-position-vertical-relative:line" coordsize="9991,4288">
            <v:shape id="_x0000_s1352" style="position:absolute;left:7;top:7;width:9976;height:4273" coordorigin="8,8" coordsize="9976,4273" path="m9904,8l88,8,56,14,31,31,14,56,8,88r,4112l14,4231r17,25l56,4274r32,6l9904,4280r31,-6l9960,4256r17,-25l9984,4200r,-4112l9977,56,9960,31,9935,14,9904,8xe" fillcolor="#f5f5f5" stroked="f">
              <v:path arrowok="t"/>
            </v:shape>
            <v:shape id="_x0000_s1351" style="position:absolute;left:7;top:7;width:9976;height:4273" coordorigin="8,8" coordsize="9976,4273" path="m88,8r9816,l9935,14r25,17l9977,56r7,32l9984,4200r-7,31l9960,4256r-25,18l9904,4280r-9816,l56,4274,31,4256,14,4231,8,4200,8,88,14,56,31,31,56,14,88,8xe" filled="f" strokecolor="#ccc">
              <v:path arrowok="t"/>
            </v:shape>
            <v:shape id="_x0000_s1350" type="#_x0000_t202" style="position:absolute;left:26;top:22;width:9938;height:4242" filled="f" stroked="f">
              <v:textbox inset="0,0,0,0">
                <w:txbxContent>
                  <w:p w14:paraId="6892704B" w14:textId="77777777" w:rsidR="00711A16" w:rsidRDefault="00711A16">
                    <w:pPr>
                      <w:spacing w:before="221" w:line="252" w:lineRule="auto"/>
                      <w:ind w:left="200" w:right="322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@EnableJpaRepositories(basePackageClasses = Customer.class,</w:t>
                    </w:r>
                  </w:p>
                  <w:p w14:paraId="54EAE6B4" w14:textId="77777777" w:rsidR="00711A16" w:rsidRDefault="00711A16">
                    <w:pPr>
                      <w:spacing w:line="252" w:lineRule="auto"/>
                      <w:ind w:left="200" w:right="2568" w:firstLine="880"/>
                      <w:rPr>
                        <w:rFonts w:ascii="MS Gothic"/>
                      </w:rPr>
                    </w:pPr>
                    <w:r>
                      <w:rPr>
                        <w:rFonts w:ascii="MS Gothic"/>
                        <w:color w:val="333333"/>
                      </w:rPr>
                      <w:t>entityManagerFactoryRef = "customerEntityManagerFactory") public class CustomerConfiguration {</w:t>
                    </w:r>
                  </w:p>
                  <w:p w14:paraId="52A17216" w14:textId="77777777" w:rsidR="00711A16" w:rsidRDefault="00711A16">
                    <w:pPr>
                      <w:spacing w:line="280" w:lineRule="exact"/>
                      <w:ind w:left="640"/>
                      <w:rPr>
                        <w:rFonts w:ascii="MS Gothic"/>
                      </w:rPr>
                    </w:pPr>
                    <w:r>
                      <w:rPr>
                        <w:rFonts w:ascii="MS Gothic"/>
                        <w:color w:val="333333"/>
                      </w:rPr>
                      <w:t>...</w:t>
                    </w:r>
                  </w:p>
                  <w:p w14:paraId="16A2A903" w14:textId="77777777" w:rsidR="00711A16" w:rsidRDefault="00711A16">
                    <w:pPr>
                      <w:spacing w:before="10"/>
                      <w:ind w:left="200"/>
                      <w:rPr>
                        <w:rFonts w:ascii="MS Gothic"/>
                      </w:rPr>
                    </w:pPr>
                    <w:r>
                      <w:rPr>
                        <w:rFonts w:ascii="MS Gothic"/>
                        <w:color w:val="333333"/>
                      </w:rPr>
                      <w:t>}</w:t>
                    </w:r>
                  </w:p>
                  <w:p w14:paraId="793A8498" w14:textId="77777777" w:rsidR="00711A16" w:rsidRDefault="00711A16">
                    <w:pPr>
                      <w:rPr>
                        <w:rFonts w:ascii="MS Gothic"/>
                        <w:sz w:val="24"/>
                      </w:rPr>
                    </w:pPr>
                  </w:p>
                  <w:p w14:paraId="54FDB760" w14:textId="77777777" w:rsidR="00711A16" w:rsidRDefault="00711A16">
                    <w:pPr>
                      <w:spacing w:before="1" w:line="252" w:lineRule="auto"/>
                      <w:ind w:left="200" w:right="3558"/>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 @EnableJpaRepositories(basePackageClasses = Order.class,</w:t>
                    </w:r>
                  </w:p>
                  <w:p w14:paraId="2470B6F7" w14:textId="77777777" w:rsidR="00711A16" w:rsidRDefault="00711A16">
                    <w:pPr>
                      <w:spacing w:line="252" w:lineRule="auto"/>
                      <w:ind w:left="200" w:right="2898" w:firstLine="880"/>
                      <w:rPr>
                        <w:rFonts w:ascii="MS Gothic"/>
                      </w:rPr>
                    </w:pPr>
                    <w:r>
                      <w:rPr>
                        <w:rFonts w:ascii="MS Gothic"/>
                        <w:color w:val="333333"/>
                      </w:rPr>
                      <w:t>entityManagerFactoryRef = "orderEntityManagerFactory") public class OrderConfiguration {</w:t>
                    </w:r>
                  </w:p>
                  <w:p w14:paraId="1327FA73" w14:textId="77777777" w:rsidR="00711A16" w:rsidRDefault="00711A16">
                    <w:pPr>
                      <w:spacing w:line="280" w:lineRule="exact"/>
                      <w:ind w:left="640"/>
                      <w:rPr>
                        <w:rFonts w:ascii="MS Gothic"/>
                      </w:rPr>
                    </w:pPr>
                    <w:r>
                      <w:rPr>
                        <w:rFonts w:ascii="MS Gothic"/>
                        <w:color w:val="333333"/>
                      </w:rPr>
                      <w:t>...</w:t>
                    </w:r>
                  </w:p>
                  <w:p w14:paraId="7FBFC3A6" w14:textId="77777777" w:rsidR="00711A16" w:rsidRDefault="00711A16">
                    <w:pPr>
                      <w:spacing w:before="10"/>
                      <w:ind w:left="200"/>
                      <w:rPr>
                        <w:rFonts w:ascii="MS Gothic"/>
                      </w:rPr>
                    </w:pPr>
                    <w:r>
                      <w:rPr>
                        <w:rFonts w:ascii="MS Gothic"/>
                        <w:color w:val="333333"/>
                      </w:rPr>
                      <w:t>}</w:t>
                    </w:r>
                  </w:p>
                </w:txbxContent>
              </v:textbox>
            </v:shape>
            <w10:anchorlock/>
          </v:group>
        </w:pict>
      </w:r>
    </w:p>
    <w:p w14:paraId="177D3541" w14:textId="77777777" w:rsidR="00A720EB" w:rsidRDefault="00A720EB">
      <w:pPr>
        <w:pStyle w:val="a3"/>
        <w:spacing w:before="1"/>
        <w:rPr>
          <w:sz w:val="17"/>
        </w:rPr>
      </w:pPr>
    </w:p>
    <w:p w14:paraId="3970C8F1" w14:textId="77777777" w:rsidR="00A720EB" w:rsidRDefault="0030286B">
      <w:pPr>
        <w:pStyle w:val="3"/>
        <w:numPr>
          <w:ilvl w:val="2"/>
          <w:numId w:val="13"/>
        </w:numPr>
        <w:tabs>
          <w:tab w:val="left" w:pos="1003"/>
        </w:tabs>
        <w:spacing w:before="105"/>
        <w:ind w:left="1002" w:hanging="879"/>
      </w:pPr>
      <w:bookmarkStart w:id="915" w:name="9.9.11._Use_a_Traditional_persistence.xm"/>
      <w:bookmarkStart w:id="916" w:name="_Toc54423978"/>
      <w:bookmarkEnd w:id="915"/>
      <w:r>
        <w:rPr>
          <w:color w:val="333333"/>
          <w:w w:val="115"/>
        </w:rPr>
        <w:t>Use a Traditional persistence.xml</w:t>
      </w:r>
      <w:r>
        <w:rPr>
          <w:color w:val="333333"/>
          <w:spacing w:val="-41"/>
          <w:w w:val="115"/>
        </w:rPr>
        <w:t xml:space="preserve"> </w:t>
      </w:r>
      <w:r>
        <w:rPr>
          <w:color w:val="333333"/>
          <w:w w:val="115"/>
        </w:rPr>
        <w:t>File</w:t>
      </w:r>
      <w:bookmarkEnd w:id="916"/>
    </w:p>
    <w:p w14:paraId="36D9A695" w14:textId="77777777" w:rsidR="00A720EB" w:rsidRDefault="0030286B">
      <w:pPr>
        <w:pStyle w:val="a3"/>
        <w:spacing w:before="243" w:line="285" w:lineRule="auto"/>
        <w:ind w:left="124" w:right="122"/>
        <w:jc w:val="both"/>
      </w:pPr>
      <w:r>
        <w:rPr>
          <w:color w:val="333333"/>
          <w:w w:val="110"/>
        </w:rPr>
        <w:t xml:space="preserve">Spring Boot will not search for or use a </w:t>
      </w:r>
      <w:r>
        <w:rPr>
          <w:rFonts w:ascii="MS Gothic" w:hAnsi="MS Gothic"/>
          <w:color w:val="B02045"/>
          <w:w w:val="110"/>
        </w:rPr>
        <w:t xml:space="preserve">META-INF/persistence.xml </w:t>
      </w:r>
      <w:r>
        <w:rPr>
          <w:color w:val="333333"/>
          <w:spacing w:val="-3"/>
          <w:w w:val="110"/>
        </w:rPr>
        <w:t xml:space="preserve">by </w:t>
      </w:r>
      <w:r>
        <w:rPr>
          <w:color w:val="333333"/>
          <w:w w:val="110"/>
        </w:rPr>
        <w:t xml:space="preserve">default. If you prefer to use a </w:t>
      </w:r>
      <w:proofErr w:type="gramStart"/>
      <w:r>
        <w:rPr>
          <w:color w:val="333333"/>
          <w:w w:val="110"/>
        </w:rPr>
        <w:t xml:space="preserve">traditional  </w:t>
      </w:r>
      <w:r>
        <w:rPr>
          <w:rFonts w:ascii="MS Gothic" w:hAnsi="MS Gothic"/>
          <w:color w:val="B02045"/>
          <w:w w:val="110"/>
        </w:rPr>
        <w:t>persistence.xml</w:t>
      </w:r>
      <w:proofErr w:type="gramEnd"/>
      <w:r>
        <w:rPr>
          <w:color w:val="333333"/>
          <w:w w:val="110"/>
        </w:rPr>
        <w:t xml:space="preserve">, you need to define your own  </w:t>
      </w:r>
      <w:r>
        <w:rPr>
          <w:rFonts w:ascii="MS Gothic" w:hAnsi="MS Gothic"/>
          <w:color w:val="B02045"/>
          <w:w w:val="110"/>
        </w:rPr>
        <w:t xml:space="preserve">@Bean </w:t>
      </w:r>
      <w:r>
        <w:rPr>
          <w:color w:val="333333"/>
          <w:w w:val="110"/>
        </w:rPr>
        <w:t xml:space="preserve">of type </w:t>
      </w:r>
      <w:r>
        <w:rPr>
          <w:rFonts w:ascii="MS Gothic" w:hAnsi="MS Gothic"/>
          <w:color w:val="B02045"/>
          <w:w w:val="110"/>
        </w:rPr>
        <w:t>LocalEntityManagerFactoryBean</w:t>
      </w:r>
      <w:r>
        <w:rPr>
          <w:rFonts w:ascii="MS Gothic" w:hAnsi="MS Gothic"/>
          <w:color w:val="B02045"/>
          <w:spacing w:val="-64"/>
          <w:w w:val="110"/>
        </w:rPr>
        <w:t xml:space="preserve"> </w:t>
      </w:r>
      <w:r>
        <w:rPr>
          <w:color w:val="333333"/>
          <w:w w:val="110"/>
        </w:rPr>
        <w:t>(with an ID of ‘entityManagerFactory’) and set the persistence unit name there.</w:t>
      </w:r>
    </w:p>
    <w:p w14:paraId="56D88495" w14:textId="77777777" w:rsidR="00A720EB" w:rsidRDefault="0030286B">
      <w:pPr>
        <w:pStyle w:val="a3"/>
        <w:spacing w:before="249"/>
        <w:ind w:left="124"/>
        <w:jc w:val="both"/>
      </w:pPr>
      <w:r>
        <w:rPr>
          <w:color w:val="333333"/>
          <w:w w:val="110"/>
        </w:rPr>
        <w:t xml:space="preserve">See </w:t>
      </w:r>
      <w:hyperlink r:id="rId630">
        <w:r>
          <w:rPr>
            <w:rFonts w:ascii="MS Gothic"/>
            <w:color w:val="B02045"/>
            <w:w w:val="110"/>
          </w:rPr>
          <w:t>JpaBaseConfiguration</w:t>
        </w:r>
        <w:r>
          <w:rPr>
            <w:rFonts w:ascii="MS Gothic"/>
            <w:color w:val="B02045"/>
            <w:spacing w:val="-60"/>
            <w:w w:val="110"/>
          </w:rPr>
          <w:t xml:space="preserve"> </w:t>
        </w:r>
      </w:hyperlink>
      <w:r>
        <w:rPr>
          <w:color w:val="333333"/>
          <w:w w:val="110"/>
        </w:rPr>
        <w:t>for the default settings.</w:t>
      </w:r>
    </w:p>
    <w:p w14:paraId="4B633BE5" w14:textId="77777777" w:rsidR="00A720EB" w:rsidRDefault="00A720EB">
      <w:pPr>
        <w:pStyle w:val="a3"/>
        <w:spacing w:before="6"/>
        <w:rPr>
          <w:sz w:val="30"/>
        </w:rPr>
      </w:pPr>
    </w:p>
    <w:p w14:paraId="38FD8C05" w14:textId="77777777" w:rsidR="00A720EB" w:rsidRDefault="0030286B">
      <w:pPr>
        <w:pStyle w:val="3"/>
        <w:numPr>
          <w:ilvl w:val="2"/>
          <w:numId w:val="13"/>
        </w:numPr>
        <w:tabs>
          <w:tab w:val="left" w:pos="1003"/>
        </w:tabs>
        <w:ind w:left="1002" w:hanging="879"/>
      </w:pPr>
      <w:bookmarkStart w:id="917" w:name="9.9.12._Use_Spring_Data_JPA_and_Mongo_Re"/>
      <w:bookmarkStart w:id="918" w:name="_Toc54423979"/>
      <w:bookmarkEnd w:id="917"/>
      <w:r>
        <w:rPr>
          <w:color w:val="333333"/>
          <w:w w:val="110"/>
        </w:rPr>
        <w:t xml:space="preserve">Use Spring Data </w:t>
      </w:r>
      <w:r>
        <w:rPr>
          <w:color w:val="333333"/>
          <w:spacing w:val="-5"/>
          <w:w w:val="110"/>
        </w:rPr>
        <w:t xml:space="preserve">JPA </w:t>
      </w:r>
      <w:r>
        <w:rPr>
          <w:color w:val="333333"/>
          <w:w w:val="110"/>
        </w:rPr>
        <w:t>and Mongo</w:t>
      </w:r>
      <w:r>
        <w:rPr>
          <w:color w:val="333333"/>
          <w:spacing w:val="-40"/>
          <w:w w:val="110"/>
        </w:rPr>
        <w:t xml:space="preserve"> </w:t>
      </w:r>
      <w:r>
        <w:rPr>
          <w:color w:val="333333"/>
          <w:w w:val="110"/>
        </w:rPr>
        <w:t>Repositories</w:t>
      </w:r>
      <w:bookmarkEnd w:id="918"/>
    </w:p>
    <w:p w14:paraId="71F16EC2" w14:textId="77777777" w:rsidR="00A720EB" w:rsidRDefault="0030286B">
      <w:pPr>
        <w:pStyle w:val="a3"/>
        <w:spacing w:before="244" w:line="295" w:lineRule="auto"/>
        <w:ind w:left="124" w:right="124"/>
        <w:jc w:val="both"/>
      </w:pPr>
      <w:r>
        <w:rPr>
          <w:color w:val="333333"/>
          <w:w w:val="110"/>
        </w:rPr>
        <w:t xml:space="preserve">Spring Data </w:t>
      </w:r>
      <w:r>
        <w:rPr>
          <w:color w:val="333333"/>
          <w:spacing w:val="-4"/>
          <w:w w:val="110"/>
        </w:rPr>
        <w:t xml:space="preserve">JPA </w:t>
      </w:r>
      <w:r>
        <w:rPr>
          <w:color w:val="333333"/>
          <w:w w:val="110"/>
        </w:rPr>
        <w:t xml:space="preserve">and Spring Data Mongo can both automatically create </w:t>
      </w:r>
      <w:r>
        <w:rPr>
          <w:rFonts w:ascii="MS Gothic"/>
          <w:color w:val="B02045"/>
          <w:w w:val="110"/>
        </w:rPr>
        <w:t xml:space="preserve">Repository </w:t>
      </w:r>
      <w:r>
        <w:rPr>
          <w:color w:val="333333"/>
          <w:w w:val="110"/>
        </w:rPr>
        <w:t xml:space="preserve">implementations for you. If they are both present on the classpath, you might have to do some extra configuration to tell Spring Boot which repositories to create. The most explicit way to do that is to use the standard Spring Data </w:t>
      </w:r>
      <w:r>
        <w:rPr>
          <w:rFonts w:ascii="MS Gothic"/>
          <w:color w:val="B02045"/>
          <w:w w:val="110"/>
        </w:rPr>
        <w:t xml:space="preserve">@EnableJpaRepositories </w:t>
      </w:r>
      <w:r>
        <w:rPr>
          <w:color w:val="333333"/>
          <w:w w:val="110"/>
        </w:rPr>
        <w:t xml:space="preserve">and </w:t>
      </w:r>
      <w:r>
        <w:rPr>
          <w:rFonts w:ascii="MS Gothic"/>
          <w:color w:val="B02045"/>
          <w:w w:val="110"/>
        </w:rPr>
        <w:t xml:space="preserve">@EnableMongoRepositories </w:t>
      </w:r>
      <w:r>
        <w:rPr>
          <w:color w:val="333333"/>
          <w:w w:val="110"/>
        </w:rPr>
        <w:t xml:space="preserve">annotations and provide the location of your </w:t>
      </w:r>
      <w:r>
        <w:rPr>
          <w:rFonts w:ascii="MS Gothic"/>
          <w:color w:val="B02045"/>
          <w:w w:val="110"/>
        </w:rPr>
        <w:t>Repository</w:t>
      </w:r>
      <w:r>
        <w:rPr>
          <w:rFonts w:ascii="MS Gothic"/>
          <w:color w:val="B02045"/>
          <w:spacing w:val="-54"/>
          <w:w w:val="110"/>
        </w:rPr>
        <w:t xml:space="preserve"> </w:t>
      </w:r>
      <w:r>
        <w:rPr>
          <w:color w:val="333333"/>
          <w:w w:val="110"/>
        </w:rPr>
        <w:t>interfaces.</w:t>
      </w:r>
    </w:p>
    <w:p w14:paraId="56330B9A" w14:textId="77777777" w:rsidR="00A720EB" w:rsidRDefault="0030286B">
      <w:pPr>
        <w:pStyle w:val="a3"/>
        <w:spacing w:before="219" w:line="297" w:lineRule="auto"/>
        <w:ind w:left="124" w:right="122"/>
        <w:jc w:val="both"/>
      </w:pPr>
      <w:r>
        <w:rPr>
          <w:color w:val="333333"/>
          <w:w w:val="105"/>
        </w:rPr>
        <w:t>There</w:t>
      </w:r>
      <w:r>
        <w:rPr>
          <w:color w:val="333333"/>
          <w:spacing w:val="-18"/>
          <w:w w:val="105"/>
        </w:rPr>
        <w:t xml:space="preserve"> </w:t>
      </w:r>
      <w:r>
        <w:rPr>
          <w:color w:val="333333"/>
          <w:w w:val="105"/>
        </w:rPr>
        <w:t>are</w:t>
      </w:r>
      <w:r>
        <w:rPr>
          <w:color w:val="333333"/>
          <w:spacing w:val="-17"/>
          <w:w w:val="105"/>
        </w:rPr>
        <w:t xml:space="preserve"> </w:t>
      </w:r>
      <w:r>
        <w:rPr>
          <w:color w:val="333333"/>
          <w:w w:val="105"/>
        </w:rPr>
        <w:t>also</w:t>
      </w:r>
      <w:r>
        <w:rPr>
          <w:color w:val="333333"/>
          <w:spacing w:val="-17"/>
          <w:w w:val="105"/>
        </w:rPr>
        <w:t xml:space="preserve"> </w:t>
      </w:r>
      <w:r>
        <w:rPr>
          <w:color w:val="333333"/>
          <w:w w:val="105"/>
        </w:rPr>
        <w:t>flags</w:t>
      </w:r>
      <w:r>
        <w:rPr>
          <w:color w:val="333333"/>
          <w:spacing w:val="-17"/>
          <w:w w:val="105"/>
        </w:rPr>
        <w:t xml:space="preserve"> </w:t>
      </w:r>
      <w:r>
        <w:rPr>
          <w:color w:val="333333"/>
          <w:w w:val="105"/>
        </w:rPr>
        <w:t>(</w:t>
      </w:r>
      <w:r>
        <w:rPr>
          <w:rFonts w:ascii="MS Gothic"/>
          <w:color w:val="B02045"/>
          <w:w w:val="105"/>
        </w:rPr>
        <w:t>spring.data.</w:t>
      </w:r>
      <w:proofErr w:type="gramStart"/>
      <w:r>
        <w:rPr>
          <w:rFonts w:ascii="MS Gothic"/>
          <w:color w:val="B02045"/>
          <w:w w:val="105"/>
        </w:rPr>
        <w:t>*.repositories</w:t>
      </w:r>
      <w:proofErr w:type="gramEnd"/>
      <w:r>
        <w:rPr>
          <w:rFonts w:ascii="MS Gothic"/>
          <w:color w:val="B02045"/>
          <w:w w:val="105"/>
        </w:rPr>
        <w:t>.enabled</w:t>
      </w:r>
      <w:r>
        <w:rPr>
          <w:rFonts w:ascii="MS Gothic"/>
          <w:color w:val="B02045"/>
          <w:spacing w:val="-78"/>
          <w:w w:val="105"/>
        </w:rPr>
        <w:t xml:space="preserve"> </w:t>
      </w:r>
      <w:r>
        <w:rPr>
          <w:color w:val="333333"/>
          <w:w w:val="105"/>
        </w:rPr>
        <w:t>and</w:t>
      </w:r>
      <w:r>
        <w:rPr>
          <w:color w:val="333333"/>
          <w:spacing w:val="-16"/>
          <w:w w:val="105"/>
        </w:rPr>
        <w:t xml:space="preserve"> </w:t>
      </w:r>
      <w:r>
        <w:rPr>
          <w:rFonts w:ascii="MS Gothic"/>
          <w:color w:val="B02045"/>
          <w:w w:val="105"/>
        </w:rPr>
        <w:t>spring.data.*.repositories.type</w:t>
      </w:r>
      <w:r>
        <w:rPr>
          <w:color w:val="333333"/>
          <w:w w:val="105"/>
        </w:rPr>
        <w:t>)</w:t>
      </w:r>
      <w:r>
        <w:rPr>
          <w:color w:val="333333"/>
          <w:spacing w:val="-17"/>
          <w:w w:val="105"/>
        </w:rPr>
        <w:t xml:space="preserve"> </w:t>
      </w:r>
      <w:r>
        <w:rPr>
          <w:color w:val="333333"/>
          <w:w w:val="105"/>
        </w:rPr>
        <w:t xml:space="preserve">that </w:t>
      </w:r>
      <w:r>
        <w:rPr>
          <w:color w:val="333333"/>
          <w:w w:val="110"/>
        </w:rPr>
        <w:t>you can use to switch the auto-configured repositories on and off in external configuration. Doing     so is useful, for instance, in case you want to switch off the Mongo repositories and still use the auto-configured</w:t>
      </w:r>
      <w:r>
        <w:rPr>
          <w:color w:val="333333"/>
          <w:spacing w:val="6"/>
          <w:w w:val="110"/>
        </w:rPr>
        <w:t xml:space="preserve"> </w:t>
      </w:r>
      <w:r>
        <w:rPr>
          <w:rFonts w:ascii="MS Gothic"/>
          <w:color w:val="B02045"/>
          <w:w w:val="110"/>
        </w:rPr>
        <w:t>MongoTemplate</w:t>
      </w:r>
      <w:r>
        <w:rPr>
          <w:color w:val="333333"/>
          <w:w w:val="110"/>
        </w:rPr>
        <w:t>.</w:t>
      </w:r>
    </w:p>
    <w:p w14:paraId="7F50E7FC" w14:textId="77777777" w:rsidR="00A720EB" w:rsidRDefault="0030286B">
      <w:pPr>
        <w:pStyle w:val="a3"/>
        <w:spacing w:before="235" w:line="307" w:lineRule="auto"/>
        <w:ind w:left="124" w:right="130"/>
        <w:jc w:val="both"/>
      </w:pPr>
      <w:r>
        <w:rPr>
          <w:color w:val="333333"/>
          <w:w w:val="110"/>
        </w:rPr>
        <w:t xml:space="preserve">The same obstacle and the same features exist for other auto-configured Spring Data repository types (Elasticsearch, Solr, and others). </w:t>
      </w:r>
      <w:r>
        <w:rPr>
          <w:color w:val="333333"/>
          <w:spacing w:val="-4"/>
          <w:w w:val="110"/>
        </w:rPr>
        <w:t xml:space="preserve">To </w:t>
      </w:r>
      <w:r>
        <w:rPr>
          <w:color w:val="333333"/>
          <w:w w:val="110"/>
        </w:rPr>
        <w:t>work with them, change the names of the annotations and flags</w:t>
      </w:r>
      <w:r>
        <w:rPr>
          <w:color w:val="333333"/>
          <w:spacing w:val="3"/>
          <w:w w:val="110"/>
        </w:rPr>
        <w:t xml:space="preserve"> </w:t>
      </w:r>
      <w:r>
        <w:rPr>
          <w:color w:val="333333"/>
          <w:spacing w:val="-3"/>
          <w:w w:val="110"/>
        </w:rPr>
        <w:t>accordingly.</w:t>
      </w:r>
    </w:p>
    <w:p w14:paraId="5DE0B4F7" w14:textId="77777777" w:rsidR="00A720EB" w:rsidRDefault="00A720EB">
      <w:pPr>
        <w:pStyle w:val="a3"/>
        <w:spacing w:before="9"/>
        <w:rPr>
          <w:sz w:val="25"/>
        </w:rPr>
      </w:pPr>
    </w:p>
    <w:p w14:paraId="108B62D7" w14:textId="77777777" w:rsidR="00A720EB" w:rsidRDefault="0030286B">
      <w:pPr>
        <w:pStyle w:val="3"/>
        <w:numPr>
          <w:ilvl w:val="2"/>
          <w:numId w:val="13"/>
        </w:numPr>
        <w:tabs>
          <w:tab w:val="left" w:pos="1003"/>
        </w:tabs>
        <w:ind w:left="1002" w:hanging="879"/>
      </w:pPr>
      <w:bookmarkStart w:id="919" w:name="9.9.13._Customize_Spring_Data’s_Web_Supp"/>
      <w:bookmarkStart w:id="920" w:name="_Toc54423980"/>
      <w:bookmarkEnd w:id="919"/>
      <w:r>
        <w:rPr>
          <w:color w:val="333333"/>
          <w:w w:val="110"/>
        </w:rPr>
        <w:t xml:space="preserve">Customize Spring Data’s </w:t>
      </w:r>
      <w:r>
        <w:rPr>
          <w:color w:val="333333"/>
          <w:spacing w:val="-6"/>
          <w:w w:val="110"/>
        </w:rPr>
        <w:t>Web</w:t>
      </w:r>
      <w:r>
        <w:rPr>
          <w:color w:val="333333"/>
          <w:spacing w:val="-27"/>
          <w:w w:val="110"/>
        </w:rPr>
        <w:t xml:space="preserve"> </w:t>
      </w:r>
      <w:r>
        <w:rPr>
          <w:color w:val="333333"/>
          <w:w w:val="110"/>
        </w:rPr>
        <w:t>Support</w:t>
      </w:r>
      <w:bookmarkEnd w:id="920"/>
    </w:p>
    <w:p w14:paraId="4E5B964A" w14:textId="77777777" w:rsidR="00A720EB" w:rsidRDefault="0030286B">
      <w:pPr>
        <w:pStyle w:val="a3"/>
        <w:spacing w:before="254" w:line="295" w:lineRule="auto"/>
        <w:ind w:left="124" w:right="122"/>
        <w:jc w:val="both"/>
      </w:pPr>
      <w:r>
        <w:rPr>
          <w:color w:val="333333"/>
          <w:w w:val="110"/>
        </w:rPr>
        <w:t xml:space="preserve">Spring Data provides web support that simplifies the use of Spring Data repositories in a web application. Spring Boot provides properties in the </w:t>
      </w:r>
      <w:r>
        <w:rPr>
          <w:rFonts w:ascii="MS Gothic"/>
          <w:color w:val="B02045"/>
          <w:w w:val="110"/>
        </w:rPr>
        <w:t xml:space="preserve">spring.data.web </w:t>
      </w:r>
      <w:r>
        <w:rPr>
          <w:color w:val="333333"/>
          <w:w w:val="110"/>
        </w:rPr>
        <w:t xml:space="preserve">namespace for customizing its configuration. Note that if you are using Spring Data </w:t>
      </w:r>
      <w:r>
        <w:rPr>
          <w:color w:val="333333"/>
          <w:spacing w:val="-6"/>
          <w:w w:val="110"/>
        </w:rPr>
        <w:t xml:space="preserve">REST, </w:t>
      </w:r>
      <w:r>
        <w:rPr>
          <w:color w:val="333333"/>
          <w:w w:val="110"/>
        </w:rPr>
        <w:t xml:space="preserve">you must use the properties in the </w:t>
      </w:r>
      <w:r>
        <w:rPr>
          <w:rFonts w:ascii="MS Gothic"/>
          <w:color w:val="B02045"/>
          <w:w w:val="110"/>
        </w:rPr>
        <w:t>spring.</w:t>
      </w:r>
      <w:proofErr w:type="gramStart"/>
      <w:r>
        <w:rPr>
          <w:rFonts w:ascii="MS Gothic"/>
          <w:color w:val="B02045"/>
          <w:w w:val="110"/>
        </w:rPr>
        <w:t>data.rest</w:t>
      </w:r>
      <w:proofErr w:type="gramEnd"/>
      <w:r>
        <w:rPr>
          <w:rFonts w:ascii="MS Gothic"/>
          <w:color w:val="B02045"/>
          <w:spacing w:val="-61"/>
          <w:w w:val="110"/>
        </w:rPr>
        <w:t xml:space="preserve"> </w:t>
      </w:r>
      <w:r>
        <w:rPr>
          <w:color w:val="333333"/>
          <w:w w:val="110"/>
        </w:rPr>
        <w:t>namespace instead.</w:t>
      </w:r>
    </w:p>
    <w:p w14:paraId="2AA179F6" w14:textId="77777777" w:rsidR="00A720EB" w:rsidRDefault="00A720EB">
      <w:pPr>
        <w:spacing w:line="295" w:lineRule="auto"/>
        <w:jc w:val="both"/>
        <w:sectPr w:rsidR="00A720EB">
          <w:pgSz w:w="11910" w:h="16840"/>
          <w:pgMar w:top="700" w:right="840" w:bottom="520" w:left="840" w:header="0" w:footer="323" w:gutter="0"/>
          <w:cols w:space="720"/>
        </w:sectPr>
      </w:pPr>
    </w:p>
    <w:p w14:paraId="0FD0AD7C" w14:textId="77777777" w:rsidR="00A720EB" w:rsidRDefault="0030286B">
      <w:pPr>
        <w:pStyle w:val="3"/>
        <w:numPr>
          <w:ilvl w:val="2"/>
          <w:numId w:val="13"/>
        </w:numPr>
        <w:tabs>
          <w:tab w:val="left" w:pos="1003"/>
        </w:tabs>
        <w:spacing w:before="87"/>
        <w:ind w:left="1002" w:hanging="879"/>
      </w:pPr>
      <w:bookmarkStart w:id="921" w:name="9.9.14._Expose_Spring_Data_Repositories_"/>
      <w:bookmarkStart w:id="922" w:name="_Toc54423981"/>
      <w:bookmarkEnd w:id="921"/>
      <w:r>
        <w:rPr>
          <w:color w:val="333333"/>
          <w:w w:val="110"/>
        </w:rPr>
        <w:lastRenderedPageBreak/>
        <w:t>Expose Spring Data Repositories as REST</w:t>
      </w:r>
      <w:r>
        <w:rPr>
          <w:color w:val="333333"/>
          <w:spacing w:val="-44"/>
          <w:w w:val="110"/>
        </w:rPr>
        <w:t xml:space="preserve"> </w:t>
      </w:r>
      <w:r>
        <w:rPr>
          <w:color w:val="333333"/>
          <w:w w:val="110"/>
        </w:rPr>
        <w:t>Endpoint</w:t>
      </w:r>
      <w:bookmarkEnd w:id="922"/>
    </w:p>
    <w:p w14:paraId="539C1CBA" w14:textId="77777777" w:rsidR="00A720EB" w:rsidRDefault="0030286B">
      <w:pPr>
        <w:pStyle w:val="a3"/>
        <w:spacing w:before="243" w:line="290" w:lineRule="auto"/>
        <w:ind w:left="124" w:right="129"/>
        <w:jc w:val="both"/>
      </w:pPr>
      <w:r>
        <w:rPr>
          <w:color w:val="333333"/>
          <w:w w:val="110"/>
        </w:rPr>
        <w:t xml:space="preserve">Spring Data REST can expose the </w:t>
      </w:r>
      <w:r>
        <w:rPr>
          <w:rFonts w:ascii="MS Gothic"/>
          <w:color w:val="B02045"/>
          <w:w w:val="110"/>
        </w:rPr>
        <w:t xml:space="preserve">Repository </w:t>
      </w:r>
      <w:r>
        <w:rPr>
          <w:color w:val="333333"/>
          <w:w w:val="110"/>
        </w:rPr>
        <w:t>implementations as REST endpoints for you, provided Spring MVC has been enabled for the application.</w:t>
      </w:r>
    </w:p>
    <w:p w14:paraId="2706EBA1" w14:textId="77777777" w:rsidR="00A720EB" w:rsidRDefault="0030286B">
      <w:pPr>
        <w:pStyle w:val="a3"/>
        <w:spacing w:before="248" w:line="280" w:lineRule="auto"/>
        <w:ind w:left="124" w:right="121"/>
        <w:jc w:val="both"/>
      </w:pPr>
      <w:r>
        <w:rPr>
          <w:color w:val="333333"/>
          <w:w w:val="110"/>
        </w:rPr>
        <w:t xml:space="preserve">Spring Boot exposes a set of useful properties (from the </w:t>
      </w:r>
      <w:r>
        <w:rPr>
          <w:rFonts w:ascii="MS Gothic"/>
          <w:color w:val="B02045"/>
          <w:w w:val="110"/>
        </w:rPr>
        <w:t xml:space="preserve">spring.data.rest </w:t>
      </w:r>
      <w:r>
        <w:rPr>
          <w:color w:val="333333"/>
          <w:w w:val="110"/>
        </w:rPr>
        <w:t xml:space="preserve">namespace) that customize the </w:t>
      </w:r>
      <w:hyperlink r:id="rId631">
        <w:r>
          <w:rPr>
            <w:rFonts w:ascii="MS Gothic"/>
            <w:color w:val="B02045"/>
            <w:w w:val="110"/>
          </w:rPr>
          <w:t>RepositoryRestConfiguration</w:t>
        </w:r>
      </w:hyperlink>
      <w:r>
        <w:rPr>
          <w:color w:val="333333"/>
          <w:w w:val="110"/>
        </w:rPr>
        <w:t xml:space="preserve">. If you need to provide additional customization, you should use a </w:t>
      </w:r>
      <w:hyperlink r:id="rId632">
        <w:r>
          <w:rPr>
            <w:rFonts w:ascii="MS Gothic"/>
            <w:color w:val="B02045"/>
            <w:w w:val="110"/>
          </w:rPr>
          <w:t>RepositoryRestConfigurer</w:t>
        </w:r>
        <w:r>
          <w:rPr>
            <w:rFonts w:ascii="MS Gothic"/>
            <w:color w:val="B02045"/>
            <w:spacing w:val="-61"/>
            <w:w w:val="110"/>
          </w:rPr>
          <w:t xml:space="preserve"> </w:t>
        </w:r>
      </w:hyperlink>
      <w:r>
        <w:rPr>
          <w:color w:val="333333"/>
          <w:w w:val="110"/>
        </w:rPr>
        <w:t>bean.</w:t>
      </w:r>
    </w:p>
    <w:p w14:paraId="4F8A5415" w14:textId="77777777" w:rsidR="00A720EB" w:rsidRDefault="00A720EB">
      <w:pPr>
        <w:pStyle w:val="a3"/>
        <w:spacing w:before="7"/>
        <w:rPr>
          <w:sz w:val="17"/>
        </w:rPr>
      </w:pPr>
    </w:p>
    <w:p w14:paraId="08C8863E" w14:textId="77777777" w:rsidR="00A720EB" w:rsidRDefault="00E10349">
      <w:pPr>
        <w:pStyle w:val="a3"/>
        <w:spacing w:before="116" w:line="300" w:lineRule="auto"/>
        <w:ind w:left="1564" w:right="363"/>
        <w:jc w:val="both"/>
      </w:pPr>
      <w:r>
        <w:pict w14:anchorId="5F93B8C9">
          <v:line id="_x0000_s1348" style="position:absolute;left:0;text-align:left;z-index:16397312;mso-position-horizontal-relative:page" from="108.25pt,.35pt" to="108.25pt,55.7pt" strokecolor="#ededed" strokeweight=".5pt">
            <w10:wrap anchorx="page"/>
          </v:line>
        </w:pict>
      </w:r>
      <w:r w:rsidR="0030286B">
        <w:rPr>
          <w:noProof/>
        </w:rPr>
        <w:drawing>
          <wp:anchor distT="0" distB="0" distL="0" distR="0" simplePos="0" relativeHeight="16397824" behindDoc="0" locked="0" layoutInCell="1" allowOverlap="1" wp14:anchorId="4124DC2C" wp14:editId="3E1F6611">
            <wp:simplePos x="0" y="0"/>
            <wp:positionH relativeFrom="page">
              <wp:posOffset>844422</wp:posOffset>
            </wp:positionH>
            <wp:positionV relativeFrom="paragraph">
              <wp:posOffset>206451</wp:posOffset>
            </wp:positionV>
            <wp:extent cx="298450" cy="298450"/>
            <wp:effectExtent l="0" t="0" r="0" b="0"/>
            <wp:wrapNone/>
            <wp:docPr id="7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If you do not specify any order on your custom </w:t>
      </w:r>
      <w:r w:rsidR="0030286B">
        <w:rPr>
          <w:rFonts w:ascii="MS Gothic"/>
          <w:color w:val="B02045"/>
          <w:w w:val="110"/>
        </w:rPr>
        <w:t>RepositoryRestConfigurer</w:t>
      </w:r>
      <w:r w:rsidR="0030286B">
        <w:rPr>
          <w:color w:val="333333"/>
          <w:w w:val="110"/>
        </w:rPr>
        <w:t xml:space="preserve">, it runs after the one Spring Boot uses </w:t>
      </w:r>
      <w:r w:rsidR="0030286B">
        <w:rPr>
          <w:color w:val="333333"/>
          <w:spacing w:val="-3"/>
          <w:w w:val="110"/>
        </w:rPr>
        <w:t xml:space="preserve">internally.  </w:t>
      </w:r>
      <w:r w:rsidR="0030286B">
        <w:rPr>
          <w:color w:val="333333"/>
          <w:w w:val="110"/>
        </w:rPr>
        <w:t xml:space="preserve">If you need to specify an order, make  </w:t>
      </w:r>
      <w:r w:rsidR="0030286B">
        <w:rPr>
          <w:color w:val="333333"/>
          <w:spacing w:val="50"/>
          <w:w w:val="110"/>
        </w:rPr>
        <w:t xml:space="preserve"> </w:t>
      </w:r>
      <w:r w:rsidR="0030286B">
        <w:rPr>
          <w:color w:val="333333"/>
          <w:w w:val="110"/>
        </w:rPr>
        <w:t>sure it is higher than</w:t>
      </w:r>
      <w:r w:rsidR="0030286B">
        <w:rPr>
          <w:color w:val="333333"/>
          <w:spacing w:val="14"/>
          <w:w w:val="110"/>
        </w:rPr>
        <w:t xml:space="preserve"> </w:t>
      </w:r>
      <w:r w:rsidR="0030286B">
        <w:rPr>
          <w:color w:val="333333"/>
          <w:w w:val="110"/>
        </w:rPr>
        <w:t>0.</w:t>
      </w:r>
    </w:p>
    <w:p w14:paraId="0FD2BF7C" w14:textId="77777777" w:rsidR="00A720EB" w:rsidRDefault="00A720EB">
      <w:pPr>
        <w:pStyle w:val="a3"/>
        <w:rPr>
          <w:sz w:val="24"/>
        </w:rPr>
      </w:pPr>
    </w:p>
    <w:p w14:paraId="2308AC0D" w14:textId="77777777" w:rsidR="00A720EB" w:rsidRDefault="0030286B">
      <w:pPr>
        <w:pStyle w:val="3"/>
        <w:numPr>
          <w:ilvl w:val="2"/>
          <w:numId w:val="13"/>
        </w:numPr>
        <w:tabs>
          <w:tab w:val="left" w:pos="1003"/>
        </w:tabs>
        <w:spacing w:before="105"/>
        <w:ind w:left="1002" w:hanging="879"/>
      </w:pPr>
      <w:bookmarkStart w:id="923" w:name="9.9.15._Configure_a_Component_that_is_Us"/>
      <w:bookmarkStart w:id="924" w:name="_Toc54423982"/>
      <w:bookmarkEnd w:id="923"/>
      <w:r>
        <w:rPr>
          <w:color w:val="333333"/>
          <w:w w:val="110"/>
        </w:rPr>
        <w:t xml:space="preserve">Configure a Component that is Used </w:t>
      </w:r>
      <w:r>
        <w:rPr>
          <w:color w:val="333333"/>
          <w:spacing w:val="-3"/>
          <w:w w:val="110"/>
        </w:rPr>
        <w:t>by</w:t>
      </w:r>
      <w:r>
        <w:rPr>
          <w:color w:val="333333"/>
          <w:spacing w:val="-49"/>
          <w:w w:val="110"/>
        </w:rPr>
        <w:t xml:space="preserve"> </w:t>
      </w:r>
      <w:r>
        <w:rPr>
          <w:color w:val="333333"/>
          <w:spacing w:val="-5"/>
          <w:w w:val="110"/>
        </w:rPr>
        <w:t>JPA</w:t>
      </w:r>
      <w:bookmarkEnd w:id="924"/>
    </w:p>
    <w:p w14:paraId="1EBD2473" w14:textId="77777777" w:rsidR="00A720EB" w:rsidRDefault="0030286B">
      <w:pPr>
        <w:pStyle w:val="a3"/>
        <w:spacing w:before="254" w:line="307" w:lineRule="auto"/>
        <w:ind w:left="124" w:right="128"/>
        <w:jc w:val="both"/>
      </w:pPr>
      <w:r>
        <w:rPr>
          <w:color w:val="333333"/>
          <w:w w:val="110"/>
        </w:rPr>
        <w:t xml:space="preserve">If you want to configure a component that </w:t>
      </w:r>
      <w:r>
        <w:rPr>
          <w:color w:val="333333"/>
          <w:spacing w:val="-4"/>
          <w:w w:val="110"/>
        </w:rPr>
        <w:t xml:space="preserve">JPA </w:t>
      </w:r>
      <w:r>
        <w:rPr>
          <w:color w:val="333333"/>
          <w:w w:val="110"/>
        </w:rPr>
        <w:t xml:space="preserve">uses, then you need to ensure that the component is initialized before </w:t>
      </w:r>
      <w:r>
        <w:rPr>
          <w:color w:val="333333"/>
          <w:spacing w:val="-4"/>
          <w:w w:val="110"/>
        </w:rPr>
        <w:t xml:space="preserve">JPA.  </w:t>
      </w:r>
      <w:r>
        <w:rPr>
          <w:color w:val="333333"/>
          <w:w w:val="110"/>
        </w:rPr>
        <w:t xml:space="preserve">When the component is auto-configured, Spring Boot takes care of this </w:t>
      </w:r>
      <w:proofErr w:type="gramStart"/>
      <w:r>
        <w:rPr>
          <w:color w:val="333333"/>
          <w:w w:val="110"/>
        </w:rPr>
        <w:t>for  you</w:t>
      </w:r>
      <w:proofErr w:type="gramEnd"/>
      <w:r>
        <w:rPr>
          <w:color w:val="333333"/>
          <w:w w:val="110"/>
        </w:rPr>
        <w:t xml:space="preserve">. </w:t>
      </w:r>
      <w:r>
        <w:rPr>
          <w:color w:val="333333"/>
          <w:spacing w:val="-4"/>
          <w:w w:val="110"/>
        </w:rPr>
        <w:t xml:space="preserve">For </w:t>
      </w:r>
      <w:r>
        <w:rPr>
          <w:color w:val="333333"/>
          <w:w w:val="110"/>
        </w:rPr>
        <w:t xml:space="preserve">example, when Flyway is auto-configured, </w:t>
      </w:r>
      <w:proofErr w:type="gramStart"/>
      <w:r>
        <w:rPr>
          <w:color w:val="333333"/>
          <w:w w:val="110"/>
        </w:rPr>
        <w:t>Hibernate</w:t>
      </w:r>
      <w:proofErr w:type="gramEnd"/>
      <w:r>
        <w:rPr>
          <w:color w:val="333333"/>
          <w:w w:val="110"/>
        </w:rPr>
        <w:t xml:space="preserve"> is configured to depend upon Flyway so that Flyway has a chance to initialize the database before Hibernate tries to use</w:t>
      </w:r>
      <w:r>
        <w:rPr>
          <w:color w:val="333333"/>
          <w:spacing w:val="6"/>
          <w:w w:val="110"/>
        </w:rPr>
        <w:t xml:space="preserve"> </w:t>
      </w:r>
      <w:r>
        <w:rPr>
          <w:color w:val="333333"/>
          <w:w w:val="110"/>
        </w:rPr>
        <w:t>it.</w:t>
      </w:r>
    </w:p>
    <w:p w14:paraId="592C0C51" w14:textId="77777777" w:rsidR="00A720EB" w:rsidRDefault="0030286B">
      <w:pPr>
        <w:pStyle w:val="a3"/>
        <w:spacing w:before="242" w:line="295" w:lineRule="auto"/>
        <w:ind w:left="124" w:right="122"/>
        <w:jc w:val="both"/>
      </w:pPr>
      <w:r>
        <w:rPr>
          <w:color w:val="333333"/>
          <w:w w:val="110"/>
        </w:rPr>
        <w:t xml:space="preserve">If you are configuring a component yourself, you can use an </w:t>
      </w:r>
      <w:r>
        <w:rPr>
          <w:rFonts w:ascii="MS Gothic"/>
          <w:color w:val="B02045"/>
          <w:w w:val="110"/>
        </w:rPr>
        <w:t xml:space="preserve">EntityManagerFactoryDependsOnPostProcessor </w:t>
      </w:r>
      <w:r>
        <w:rPr>
          <w:color w:val="333333"/>
          <w:w w:val="110"/>
        </w:rPr>
        <w:t xml:space="preserve">subclass as a convenient way of setting up the necessary dependencies. </w:t>
      </w:r>
      <w:r>
        <w:rPr>
          <w:color w:val="333333"/>
          <w:spacing w:val="-4"/>
          <w:w w:val="110"/>
        </w:rPr>
        <w:t xml:space="preserve">For </w:t>
      </w:r>
      <w:r>
        <w:rPr>
          <w:color w:val="333333"/>
          <w:w w:val="110"/>
        </w:rPr>
        <w:t>example, if you use Hibernate Search with Elasticsearch as its index manager,</w:t>
      </w:r>
      <w:r>
        <w:rPr>
          <w:color w:val="333333"/>
          <w:spacing w:val="-25"/>
          <w:w w:val="110"/>
        </w:rPr>
        <w:t xml:space="preserve"> </w:t>
      </w:r>
      <w:r>
        <w:rPr>
          <w:color w:val="333333"/>
          <w:w w:val="110"/>
        </w:rPr>
        <w:t>any</w:t>
      </w:r>
      <w:r>
        <w:rPr>
          <w:color w:val="333333"/>
          <w:spacing w:val="-23"/>
          <w:w w:val="110"/>
        </w:rPr>
        <w:t xml:space="preserve"> </w:t>
      </w:r>
      <w:r>
        <w:rPr>
          <w:rFonts w:ascii="MS Gothic"/>
          <w:color w:val="B02045"/>
          <w:w w:val="110"/>
        </w:rPr>
        <w:t>EntityManagerFactory</w:t>
      </w:r>
      <w:r>
        <w:rPr>
          <w:rFonts w:ascii="MS Gothic"/>
          <w:color w:val="B02045"/>
          <w:spacing w:val="-89"/>
          <w:w w:val="110"/>
        </w:rPr>
        <w:t xml:space="preserve"> </w:t>
      </w:r>
      <w:r>
        <w:rPr>
          <w:color w:val="333333"/>
          <w:w w:val="110"/>
        </w:rPr>
        <w:t>beans</w:t>
      </w:r>
      <w:r>
        <w:rPr>
          <w:color w:val="333333"/>
          <w:spacing w:val="-25"/>
          <w:w w:val="110"/>
        </w:rPr>
        <w:t xml:space="preserve"> </w:t>
      </w:r>
      <w:r>
        <w:rPr>
          <w:color w:val="333333"/>
          <w:w w:val="110"/>
        </w:rPr>
        <w:t>must</w:t>
      </w:r>
      <w:r>
        <w:rPr>
          <w:color w:val="333333"/>
          <w:spacing w:val="-24"/>
          <w:w w:val="110"/>
        </w:rPr>
        <w:t xml:space="preserve"> </w:t>
      </w:r>
      <w:r>
        <w:rPr>
          <w:color w:val="333333"/>
          <w:w w:val="110"/>
        </w:rPr>
        <w:t>be</w:t>
      </w:r>
      <w:r>
        <w:rPr>
          <w:color w:val="333333"/>
          <w:spacing w:val="-25"/>
          <w:w w:val="110"/>
        </w:rPr>
        <w:t xml:space="preserve"> </w:t>
      </w:r>
      <w:r>
        <w:rPr>
          <w:color w:val="333333"/>
          <w:w w:val="110"/>
        </w:rPr>
        <w:t>configured</w:t>
      </w:r>
      <w:r>
        <w:rPr>
          <w:color w:val="333333"/>
          <w:spacing w:val="-24"/>
          <w:w w:val="110"/>
        </w:rPr>
        <w:t xml:space="preserve"> </w:t>
      </w:r>
      <w:r>
        <w:rPr>
          <w:color w:val="333333"/>
          <w:w w:val="110"/>
        </w:rPr>
        <w:t>to</w:t>
      </w:r>
      <w:r>
        <w:rPr>
          <w:color w:val="333333"/>
          <w:spacing w:val="-25"/>
          <w:w w:val="110"/>
        </w:rPr>
        <w:t xml:space="preserve"> </w:t>
      </w:r>
      <w:r>
        <w:rPr>
          <w:color w:val="333333"/>
          <w:w w:val="110"/>
        </w:rPr>
        <w:t>depend</w:t>
      </w:r>
      <w:r>
        <w:rPr>
          <w:color w:val="333333"/>
          <w:spacing w:val="-24"/>
          <w:w w:val="110"/>
        </w:rPr>
        <w:t xml:space="preserve"> </w:t>
      </w:r>
      <w:r>
        <w:rPr>
          <w:color w:val="333333"/>
          <w:w w:val="110"/>
        </w:rPr>
        <w:t>on</w:t>
      </w:r>
      <w:r>
        <w:rPr>
          <w:color w:val="333333"/>
          <w:spacing w:val="-25"/>
          <w:w w:val="110"/>
        </w:rPr>
        <w:t xml:space="preserve"> </w:t>
      </w:r>
      <w:r>
        <w:rPr>
          <w:color w:val="333333"/>
          <w:w w:val="110"/>
        </w:rPr>
        <w:t>the</w:t>
      </w:r>
      <w:r>
        <w:rPr>
          <w:color w:val="333333"/>
          <w:spacing w:val="-22"/>
          <w:w w:val="110"/>
        </w:rPr>
        <w:t xml:space="preserve"> </w:t>
      </w:r>
      <w:r>
        <w:rPr>
          <w:rFonts w:ascii="MS Gothic"/>
          <w:color w:val="B02045"/>
          <w:w w:val="110"/>
        </w:rPr>
        <w:t xml:space="preserve">elasticsearchClient </w:t>
      </w:r>
      <w:r>
        <w:rPr>
          <w:color w:val="333333"/>
          <w:w w:val="110"/>
        </w:rPr>
        <w:t>bean, as shown in the following</w:t>
      </w:r>
      <w:r>
        <w:rPr>
          <w:color w:val="333333"/>
          <w:spacing w:val="20"/>
          <w:w w:val="110"/>
        </w:rPr>
        <w:t xml:space="preserve"> </w:t>
      </w:r>
      <w:r>
        <w:rPr>
          <w:color w:val="333333"/>
          <w:w w:val="110"/>
        </w:rPr>
        <w:t>example:</w:t>
      </w:r>
    </w:p>
    <w:p w14:paraId="09E176A4" w14:textId="77777777" w:rsidR="00A720EB" w:rsidRDefault="00E10349">
      <w:pPr>
        <w:pStyle w:val="a3"/>
        <w:spacing w:before="8"/>
        <w:rPr>
          <w:sz w:val="13"/>
        </w:rPr>
      </w:pPr>
      <w:r>
        <w:pict w14:anchorId="559B6B19">
          <v:group id="_x0000_s1344" style="position:absolute;margin-left:47.85pt;margin-top:10pt;width:499.55pt;height:214.4pt;z-index:-15060480;mso-wrap-distance-left:0;mso-wrap-distance-right:0;mso-position-horizontal-relative:page" coordorigin="957,200" coordsize="9991,4288">
            <v:shape id="_x0000_s1347" style="position:absolute;left:964;top:207;width:9976;height:4273" coordorigin="965,208" coordsize="9976,4273" path="m10861,208r-9816,l1014,214r-26,17l971,257r-6,31l965,4400r6,31l988,4457r26,17l1045,4480r9816,l10892,4474r25,-17l10935,4431r6,-31l10941,288r-6,-31l10917,231r-25,-17l10861,208xe" fillcolor="#f5f5f5" stroked="f">
              <v:path arrowok="t"/>
            </v:shape>
            <v:shape id="_x0000_s1346" style="position:absolute;left:964;top:207;width:9976;height:4273" coordorigin="965,208" coordsize="9976,4273" path="m1045,208r9816,l10892,214r25,17l10935,257r6,31l10941,4400r-6,31l10917,4457r-25,17l10861,4480r-9816,l1014,4474r-26,-17l971,4431r-6,-31l965,288r6,-31l988,231r26,-17l1045,208xe" filled="f" strokecolor="#ccc">
              <v:path arrowok="t"/>
            </v:shape>
            <v:shape id="_x0000_s1345" type="#_x0000_t202" style="position:absolute;left:984;top:223;width:9938;height:4242" filled="f" stroked="f">
              <v:textbox inset="0,0,0,0">
                <w:txbxContent>
                  <w:p w14:paraId="725C828F" w14:textId="77777777" w:rsidR="00711A16" w:rsidRDefault="00711A16">
                    <w:pPr>
                      <w:spacing w:before="221"/>
                      <w:ind w:left="200"/>
                      <w:rPr>
                        <w:rFonts w:ascii="MS Gothic"/>
                      </w:rPr>
                    </w:pPr>
                    <w:r>
                      <w:rPr>
                        <w:rFonts w:ascii="MS Gothic"/>
                        <w:color w:val="333333"/>
                      </w:rPr>
                      <w:t>/**</w:t>
                    </w:r>
                  </w:p>
                  <w:p w14:paraId="6209902C" w14:textId="77777777" w:rsidR="00711A16" w:rsidRDefault="00711A16">
                    <w:pPr>
                      <w:numPr>
                        <w:ilvl w:val="0"/>
                        <w:numId w:val="11"/>
                      </w:numPr>
                      <w:tabs>
                        <w:tab w:val="left" w:pos="531"/>
                      </w:tabs>
                      <w:spacing w:before="13"/>
                      <w:ind w:hanging="221"/>
                      <w:rPr>
                        <w:rFonts w:ascii="MS Gothic"/>
                      </w:rPr>
                    </w:pPr>
                    <w:r>
                      <w:rPr>
                        <w:rFonts w:ascii="MS Gothic"/>
                        <w:color w:val="333333"/>
                      </w:rPr>
                      <w:t>{@link EntityManagerFactoryDependsOnPostProcessor} that ensures that</w:t>
                    </w:r>
                  </w:p>
                  <w:p w14:paraId="23ECDB4D" w14:textId="77777777" w:rsidR="00711A16" w:rsidRDefault="00711A16">
                    <w:pPr>
                      <w:numPr>
                        <w:ilvl w:val="0"/>
                        <w:numId w:val="11"/>
                      </w:numPr>
                      <w:tabs>
                        <w:tab w:val="left" w:pos="531"/>
                      </w:tabs>
                      <w:spacing w:before="13"/>
                      <w:ind w:hanging="221"/>
                      <w:rPr>
                        <w:rFonts w:ascii="MS Gothic"/>
                      </w:rPr>
                    </w:pPr>
                    <w:r>
                      <w:rPr>
                        <w:rFonts w:ascii="MS Gothic"/>
                        <w:color w:val="333333"/>
                      </w:rPr>
                      <w:t>{@link EntityManagerFactory} beans depend on the {@code elasticsearchClient} bean.</w:t>
                    </w:r>
                  </w:p>
                  <w:p w14:paraId="50A5E15A" w14:textId="77777777" w:rsidR="00711A16" w:rsidRDefault="00711A16">
                    <w:pPr>
                      <w:spacing w:before="13" w:line="252" w:lineRule="auto"/>
                      <w:ind w:left="200" w:right="8618" w:firstLine="110"/>
                      <w:rPr>
                        <w:rFonts w:ascii="MS Gothic"/>
                      </w:rPr>
                    </w:pPr>
                    <w:r>
                      <w:rPr>
                        <w:rFonts w:ascii="MS Gothic"/>
                        <w:color w:val="333333"/>
                      </w:rPr>
                      <w:t>*/ @Component</w:t>
                    </w:r>
                  </w:p>
                  <w:p w14:paraId="06C3255F" w14:textId="77777777" w:rsidR="00711A16" w:rsidRDefault="00711A16">
                    <w:pPr>
                      <w:spacing w:line="252" w:lineRule="auto"/>
                      <w:ind w:left="1080" w:right="2238" w:hanging="880"/>
                      <w:rPr>
                        <w:rFonts w:ascii="MS Gothic"/>
                      </w:rPr>
                    </w:pPr>
                    <w:r>
                      <w:rPr>
                        <w:rFonts w:ascii="MS Gothic"/>
                        <w:color w:val="333333"/>
                      </w:rPr>
                      <w:t>static class ElasticsearchEntityManagerFactoryDependsOnPostProcessor extends EntityManagerFactoryDependsOnPostProcessor {</w:t>
                    </w:r>
                  </w:p>
                  <w:p w14:paraId="077D61AA" w14:textId="77777777" w:rsidR="00711A16" w:rsidRDefault="00711A16">
                    <w:pPr>
                      <w:spacing w:before="8"/>
                      <w:rPr>
                        <w:rFonts w:ascii="MS Gothic"/>
                      </w:rPr>
                    </w:pPr>
                  </w:p>
                  <w:p w14:paraId="70187A6A" w14:textId="77777777" w:rsidR="00711A16" w:rsidRDefault="00711A16">
                    <w:pPr>
                      <w:spacing w:line="252" w:lineRule="auto"/>
                      <w:ind w:left="1080" w:right="2788" w:hanging="440"/>
                      <w:rPr>
                        <w:rFonts w:ascii="MS Gothic"/>
                      </w:rPr>
                    </w:pPr>
                    <w:proofErr w:type="gramStart"/>
                    <w:r>
                      <w:rPr>
                        <w:rFonts w:ascii="MS Gothic"/>
                        <w:color w:val="333333"/>
                      </w:rPr>
                      <w:t>ElasticsearchEntityManagerFactoryDependsOnPostProcessor(</w:t>
                    </w:r>
                    <w:proofErr w:type="gramEnd"/>
                    <w:r>
                      <w:rPr>
                        <w:rFonts w:ascii="MS Gothic"/>
                        <w:color w:val="333333"/>
                      </w:rPr>
                      <w:t>) { super("elasticsearchClient");</w:t>
                    </w:r>
                  </w:p>
                  <w:p w14:paraId="761D3588" w14:textId="77777777" w:rsidR="00711A16" w:rsidRDefault="00711A16">
                    <w:pPr>
                      <w:spacing w:line="280" w:lineRule="exact"/>
                      <w:ind w:left="640"/>
                      <w:rPr>
                        <w:rFonts w:ascii="MS Gothic"/>
                      </w:rPr>
                    </w:pPr>
                    <w:r>
                      <w:rPr>
                        <w:rFonts w:ascii="MS Gothic"/>
                        <w:color w:val="333333"/>
                      </w:rPr>
                      <w:t>}</w:t>
                    </w:r>
                  </w:p>
                  <w:p w14:paraId="599B9A84" w14:textId="77777777" w:rsidR="00711A16" w:rsidRDefault="00711A16">
                    <w:pPr>
                      <w:rPr>
                        <w:rFonts w:ascii="MS Gothic"/>
                        <w:sz w:val="24"/>
                      </w:rPr>
                    </w:pPr>
                  </w:p>
                  <w:p w14:paraId="41839A63" w14:textId="77777777" w:rsidR="00711A16" w:rsidRDefault="00711A16">
                    <w:pPr>
                      <w:ind w:left="200"/>
                      <w:rPr>
                        <w:rFonts w:ascii="MS Gothic"/>
                      </w:rPr>
                    </w:pPr>
                    <w:r>
                      <w:rPr>
                        <w:rFonts w:ascii="MS Gothic"/>
                        <w:color w:val="333333"/>
                      </w:rPr>
                      <w:t>}</w:t>
                    </w:r>
                  </w:p>
                </w:txbxContent>
              </v:textbox>
            </v:shape>
            <w10:wrap type="topAndBottom" anchorx="page"/>
          </v:group>
        </w:pict>
      </w:r>
    </w:p>
    <w:p w14:paraId="299124AE" w14:textId="77777777" w:rsidR="00A720EB" w:rsidRDefault="00A720EB">
      <w:pPr>
        <w:pStyle w:val="a3"/>
        <w:spacing w:before="11"/>
        <w:rPr>
          <w:sz w:val="16"/>
        </w:rPr>
      </w:pPr>
    </w:p>
    <w:p w14:paraId="4038FC68" w14:textId="77777777" w:rsidR="00A720EB" w:rsidRDefault="0030286B">
      <w:pPr>
        <w:pStyle w:val="3"/>
        <w:numPr>
          <w:ilvl w:val="2"/>
          <w:numId w:val="13"/>
        </w:numPr>
        <w:tabs>
          <w:tab w:val="left" w:pos="1003"/>
        </w:tabs>
        <w:spacing w:before="105"/>
        <w:ind w:left="1002" w:hanging="879"/>
      </w:pPr>
      <w:bookmarkStart w:id="925" w:name="9.9.16._Configure_jOOQ_with_Two_DataSour"/>
      <w:bookmarkStart w:id="926" w:name="_Toc54423983"/>
      <w:bookmarkEnd w:id="925"/>
      <w:r>
        <w:rPr>
          <w:color w:val="333333"/>
          <w:w w:val="110"/>
        </w:rPr>
        <w:t>Configure jOOQ with Two</w:t>
      </w:r>
      <w:r>
        <w:rPr>
          <w:color w:val="333333"/>
          <w:spacing w:val="-33"/>
          <w:w w:val="110"/>
        </w:rPr>
        <w:t xml:space="preserve"> </w:t>
      </w:r>
      <w:r>
        <w:rPr>
          <w:color w:val="333333"/>
          <w:w w:val="110"/>
        </w:rPr>
        <w:t>DataSources</w:t>
      </w:r>
      <w:bookmarkEnd w:id="926"/>
    </w:p>
    <w:p w14:paraId="6537E969" w14:textId="77777777" w:rsidR="00A720EB" w:rsidRDefault="0030286B">
      <w:pPr>
        <w:pStyle w:val="a3"/>
        <w:spacing w:before="243" w:line="290" w:lineRule="auto"/>
        <w:ind w:left="124"/>
      </w:pPr>
      <w:r>
        <w:rPr>
          <w:color w:val="333333"/>
          <w:w w:val="110"/>
        </w:rPr>
        <w:t xml:space="preserve">If you need to use jOOQ with multiple data sources, you should create your own </w:t>
      </w:r>
      <w:r>
        <w:rPr>
          <w:rFonts w:ascii="MS Gothic"/>
          <w:color w:val="B02045"/>
          <w:w w:val="110"/>
        </w:rPr>
        <w:t xml:space="preserve">DSLContext </w:t>
      </w:r>
      <w:r>
        <w:rPr>
          <w:color w:val="333333"/>
          <w:w w:val="110"/>
        </w:rPr>
        <w:t xml:space="preserve">for each one. Refer to </w:t>
      </w:r>
      <w:hyperlink r:id="rId633">
        <w:r>
          <w:rPr>
            <w:color w:val="418BCA"/>
            <w:w w:val="110"/>
          </w:rPr>
          <w:t xml:space="preserve">JooqAutoConfiguration </w:t>
        </w:r>
      </w:hyperlink>
      <w:r>
        <w:rPr>
          <w:color w:val="333333"/>
          <w:w w:val="110"/>
        </w:rPr>
        <w:t>for more details.</w:t>
      </w:r>
    </w:p>
    <w:p w14:paraId="2D0253DC" w14:textId="77777777" w:rsidR="00A720EB" w:rsidRDefault="00A720EB">
      <w:pPr>
        <w:pStyle w:val="a3"/>
        <w:spacing w:before="1"/>
        <w:rPr>
          <w:sz w:val="18"/>
        </w:rPr>
      </w:pPr>
    </w:p>
    <w:p w14:paraId="4D57FC48" w14:textId="77777777" w:rsidR="00A720EB" w:rsidRDefault="00E10349">
      <w:pPr>
        <w:pStyle w:val="a3"/>
        <w:spacing w:before="116" w:line="295" w:lineRule="auto"/>
        <w:ind w:left="1564" w:right="362"/>
        <w:jc w:val="both"/>
      </w:pPr>
      <w:r>
        <w:pict w14:anchorId="46687E84">
          <v:line id="_x0000_s1343" style="position:absolute;left:0;text-align:left;z-index:16398336;mso-position-horizontal-relative:page" from="108.25pt,.35pt" to="108.25pt,55.7pt" strokecolor="#ededed" strokeweight=".5pt">
            <w10:wrap anchorx="page"/>
          </v:line>
        </w:pict>
      </w:r>
      <w:r w:rsidR="0030286B">
        <w:rPr>
          <w:noProof/>
        </w:rPr>
        <w:drawing>
          <wp:anchor distT="0" distB="0" distL="0" distR="0" simplePos="0" relativeHeight="16398848" behindDoc="0" locked="0" layoutInCell="1" allowOverlap="1" wp14:anchorId="31CA5F07" wp14:editId="3BAC578D">
            <wp:simplePos x="0" y="0"/>
            <wp:positionH relativeFrom="page">
              <wp:posOffset>888949</wp:posOffset>
            </wp:positionH>
            <wp:positionV relativeFrom="paragraph">
              <wp:posOffset>203276</wp:posOffset>
            </wp:positionV>
            <wp:extent cx="209550" cy="304800"/>
            <wp:effectExtent l="0" t="0" r="0" b="0"/>
            <wp:wrapNone/>
            <wp:docPr id="7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2.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In particular, </w:t>
      </w:r>
      <w:r w:rsidR="0030286B">
        <w:rPr>
          <w:rFonts w:ascii="MS Gothic"/>
          <w:color w:val="B02045"/>
          <w:w w:val="110"/>
        </w:rPr>
        <w:t xml:space="preserve">JooqExceptionTranslator </w:t>
      </w:r>
      <w:r w:rsidR="0030286B">
        <w:rPr>
          <w:color w:val="333333"/>
          <w:w w:val="110"/>
        </w:rPr>
        <w:t xml:space="preserve">and </w:t>
      </w:r>
      <w:r w:rsidR="0030286B">
        <w:rPr>
          <w:rFonts w:ascii="MS Gothic"/>
          <w:color w:val="B02045"/>
          <w:w w:val="110"/>
        </w:rPr>
        <w:t xml:space="preserve">SpringTransactionProvider </w:t>
      </w:r>
      <w:r w:rsidR="0030286B">
        <w:rPr>
          <w:color w:val="333333"/>
          <w:w w:val="110"/>
        </w:rPr>
        <w:t xml:space="preserve">can be reused to provide similar features to what the auto-configuration does </w:t>
      </w:r>
      <w:proofErr w:type="gramStart"/>
      <w:r w:rsidR="0030286B">
        <w:rPr>
          <w:color w:val="333333"/>
          <w:w w:val="110"/>
        </w:rPr>
        <w:t>with  a</w:t>
      </w:r>
      <w:proofErr w:type="gramEnd"/>
      <w:r w:rsidR="0030286B">
        <w:rPr>
          <w:color w:val="333333"/>
          <w:w w:val="110"/>
        </w:rPr>
        <w:t xml:space="preserve">  single</w:t>
      </w:r>
      <w:r w:rsidR="0030286B">
        <w:rPr>
          <w:color w:val="333333"/>
          <w:spacing w:val="2"/>
          <w:w w:val="110"/>
        </w:rPr>
        <w:t xml:space="preserve"> </w:t>
      </w:r>
      <w:r w:rsidR="0030286B">
        <w:rPr>
          <w:rFonts w:ascii="MS Gothic"/>
          <w:color w:val="B02045"/>
          <w:w w:val="110"/>
        </w:rPr>
        <w:t>DataSource</w:t>
      </w:r>
      <w:r w:rsidR="0030286B">
        <w:rPr>
          <w:color w:val="333333"/>
          <w:w w:val="110"/>
        </w:rPr>
        <w:t>.</w:t>
      </w:r>
    </w:p>
    <w:p w14:paraId="43763C6F" w14:textId="77777777" w:rsidR="00A720EB" w:rsidRDefault="00A720EB">
      <w:pPr>
        <w:spacing w:line="295" w:lineRule="auto"/>
        <w:jc w:val="both"/>
        <w:sectPr w:rsidR="00A720EB">
          <w:pgSz w:w="11910" w:h="16840"/>
          <w:pgMar w:top="620" w:right="840" w:bottom="520" w:left="840" w:header="0" w:footer="323" w:gutter="0"/>
          <w:cols w:space="720"/>
        </w:sectPr>
      </w:pPr>
    </w:p>
    <w:p w14:paraId="29F945D8" w14:textId="77777777" w:rsidR="00A720EB" w:rsidRDefault="0030286B">
      <w:pPr>
        <w:pStyle w:val="2"/>
        <w:numPr>
          <w:ilvl w:val="1"/>
          <w:numId w:val="13"/>
        </w:numPr>
        <w:tabs>
          <w:tab w:val="left" w:pos="1034"/>
        </w:tabs>
        <w:spacing w:before="88"/>
        <w:ind w:left="1033" w:hanging="910"/>
      </w:pPr>
      <w:bookmarkStart w:id="927" w:name="9.10._Database_Initialization"/>
      <w:bookmarkStart w:id="928" w:name="_Toc54423984"/>
      <w:bookmarkEnd w:id="927"/>
      <w:r>
        <w:rPr>
          <w:color w:val="333333"/>
          <w:w w:val="110"/>
        </w:rPr>
        <w:lastRenderedPageBreak/>
        <w:t>Database</w:t>
      </w:r>
      <w:r>
        <w:rPr>
          <w:color w:val="333333"/>
          <w:spacing w:val="-6"/>
          <w:w w:val="110"/>
        </w:rPr>
        <w:t xml:space="preserve"> </w:t>
      </w:r>
      <w:r>
        <w:rPr>
          <w:color w:val="333333"/>
          <w:w w:val="110"/>
        </w:rPr>
        <w:t>Initialization</w:t>
      </w:r>
      <w:bookmarkEnd w:id="928"/>
    </w:p>
    <w:p w14:paraId="5AF928F0" w14:textId="77777777" w:rsidR="00A720EB" w:rsidRDefault="0030286B">
      <w:pPr>
        <w:pStyle w:val="a3"/>
        <w:spacing w:before="254" w:line="307" w:lineRule="auto"/>
        <w:ind w:left="124" w:right="134"/>
        <w:jc w:val="both"/>
      </w:pPr>
      <w:r>
        <w:rPr>
          <w:color w:val="333333"/>
          <w:w w:val="110"/>
        </w:rPr>
        <w:t xml:space="preserve">An SQL database can be initialized in different ways depending </w:t>
      </w:r>
      <w:proofErr w:type="gramStart"/>
      <w:r>
        <w:rPr>
          <w:color w:val="333333"/>
          <w:w w:val="110"/>
        </w:rPr>
        <w:t>on  what</w:t>
      </w:r>
      <w:proofErr w:type="gramEnd"/>
      <w:r>
        <w:rPr>
          <w:color w:val="333333"/>
          <w:w w:val="110"/>
        </w:rPr>
        <w:t xml:space="preserve"> your stack  is. </w:t>
      </w:r>
      <w:proofErr w:type="gramStart"/>
      <w:r>
        <w:rPr>
          <w:color w:val="333333"/>
          <w:w w:val="110"/>
        </w:rPr>
        <w:t>Of  course</w:t>
      </w:r>
      <w:proofErr w:type="gramEnd"/>
      <w:r>
        <w:rPr>
          <w:color w:val="333333"/>
          <w:w w:val="110"/>
        </w:rPr>
        <w:t xml:space="preserve">,  you can also do it </w:t>
      </w:r>
      <w:r>
        <w:rPr>
          <w:color w:val="333333"/>
          <w:spacing w:val="-3"/>
          <w:w w:val="110"/>
        </w:rPr>
        <w:t xml:space="preserve">manually, </w:t>
      </w:r>
      <w:r>
        <w:rPr>
          <w:color w:val="333333"/>
          <w:w w:val="110"/>
        </w:rPr>
        <w:t>provided the database is a separate process. It is recommended to use a single mechanism for schema</w:t>
      </w:r>
      <w:r>
        <w:rPr>
          <w:color w:val="333333"/>
          <w:spacing w:val="14"/>
          <w:w w:val="110"/>
        </w:rPr>
        <w:t xml:space="preserve"> </w:t>
      </w:r>
      <w:r>
        <w:rPr>
          <w:color w:val="333333"/>
          <w:w w:val="110"/>
        </w:rPr>
        <w:t>generation.</w:t>
      </w:r>
    </w:p>
    <w:p w14:paraId="23A4653E" w14:textId="77777777" w:rsidR="00A720EB" w:rsidRDefault="00A720EB">
      <w:pPr>
        <w:pStyle w:val="a3"/>
        <w:spacing w:before="9"/>
        <w:rPr>
          <w:sz w:val="25"/>
        </w:rPr>
      </w:pPr>
    </w:p>
    <w:p w14:paraId="74CCBE22" w14:textId="77777777" w:rsidR="00A720EB" w:rsidRDefault="0030286B">
      <w:pPr>
        <w:pStyle w:val="3"/>
        <w:numPr>
          <w:ilvl w:val="2"/>
          <w:numId w:val="13"/>
        </w:numPr>
        <w:tabs>
          <w:tab w:val="left" w:pos="1003"/>
        </w:tabs>
        <w:ind w:left="1002" w:hanging="879"/>
      </w:pPr>
      <w:bookmarkStart w:id="929" w:name="9.10.1._Initialize_a_Database_Using_JPA"/>
      <w:bookmarkStart w:id="930" w:name="_Toc54423985"/>
      <w:bookmarkEnd w:id="929"/>
      <w:r>
        <w:rPr>
          <w:color w:val="333333"/>
          <w:w w:val="110"/>
        </w:rPr>
        <w:t>Initialize a Database Using</w:t>
      </w:r>
      <w:r>
        <w:rPr>
          <w:color w:val="333333"/>
          <w:spacing w:val="-24"/>
          <w:w w:val="110"/>
        </w:rPr>
        <w:t xml:space="preserve"> </w:t>
      </w:r>
      <w:r>
        <w:rPr>
          <w:color w:val="333333"/>
          <w:spacing w:val="-5"/>
          <w:w w:val="110"/>
        </w:rPr>
        <w:t>JPA</w:t>
      </w:r>
      <w:bookmarkEnd w:id="930"/>
    </w:p>
    <w:p w14:paraId="6DA70A8C" w14:textId="77777777" w:rsidR="00A720EB" w:rsidRDefault="0030286B">
      <w:pPr>
        <w:pStyle w:val="a3"/>
        <w:spacing w:before="254" w:line="307" w:lineRule="auto"/>
        <w:ind w:left="124" w:right="129"/>
        <w:jc w:val="both"/>
      </w:pPr>
      <w:r>
        <w:rPr>
          <w:color w:val="333333"/>
          <w:w w:val="110"/>
        </w:rPr>
        <w:t>JPA has features for DDL generation, and these can be set up to run on startup against the database. This is controlled through two external properties:</w:t>
      </w:r>
    </w:p>
    <w:p w14:paraId="3C4C81CA" w14:textId="77777777" w:rsidR="00A720EB" w:rsidRDefault="0030286B">
      <w:pPr>
        <w:pStyle w:val="a6"/>
        <w:numPr>
          <w:ilvl w:val="3"/>
          <w:numId w:val="13"/>
        </w:numPr>
        <w:tabs>
          <w:tab w:val="left" w:pos="485"/>
        </w:tabs>
        <w:spacing w:before="230"/>
        <w:rPr>
          <w:sz w:val="21"/>
        </w:rPr>
      </w:pPr>
      <w:proofErr w:type="gramStart"/>
      <w:r>
        <w:rPr>
          <w:rFonts w:ascii="MS Gothic" w:hAnsi="MS Gothic"/>
          <w:color w:val="B02045"/>
          <w:w w:val="110"/>
          <w:sz w:val="21"/>
        </w:rPr>
        <w:t>spring.jpa.generate</w:t>
      </w:r>
      <w:proofErr w:type="gramEnd"/>
      <w:r>
        <w:rPr>
          <w:rFonts w:ascii="MS Gothic" w:hAnsi="MS Gothic"/>
          <w:color w:val="B02045"/>
          <w:w w:val="110"/>
          <w:sz w:val="21"/>
        </w:rPr>
        <w:t>-ddl</w:t>
      </w:r>
      <w:r>
        <w:rPr>
          <w:rFonts w:ascii="MS Gothic" w:hAnsi="MS Gothic"/>
          <w:color w:val="B02045"/>
          <w:spacing w:val="-73"/>
          <w:w w:val="110"/>
          <w:sz w:val="21"/>
        </w:rPr>
        <w:t xml:space="preserve"> </w:t>
      </w:r>
      <w:r>
        <w:rPr>
          <w:color w:val="333333"/>
          <w:w w:val="110"/>
          <w:sz w:val="21"/>
        </w:rPr>
        <w:t>(boolean)</w:t>
      </w:r>
      <w:r>
        <w:rPr>
          <w:color w:val="333333"/>
          <w:spacing w:val="-8"/>
          <w:w w:val="110"/>
          <w:sz w:val="21"/>
        </w:rPr>
        <w:t xml:space="preserve"> </w:t>
      </w:r>
      <w:r>
        <w:rPr>
          <w:color w:val="333333"/>
          <w:w w:val="110"/>
          <w:sz w:val="21"/>
        </w:rPr>
        <w:t>switches</w:t>
      </w:r>
      <w:r>
        <w:rPr>
          <w:color w:val="333333"/>
          <w:spacing w:val="-7"/>
          <w:w w:val="110"/>
          <w:sz w:val="21"/>
        </w:rPr>
        <w:t xml:space="preserve"> </w:t>
      </w:r>
      <w:r>
        <w:rPr>
          <w:color w:val="333333"/>
          <w:w w:val="110"/>
          <w:sz w:val="21"/>
        </w:rPr>
        <w:t>the</w:t>
      </w:r>
      <w:r>
        <w:rPr>
          <w:color w:val="333333"/>
          <w:spacing w:val="-8"/>
          <w:w w:val="110"/>
          <w:sz w:val="21"/>
        </w:rPr>
        <w:t xml:space="preserve"> </w:t>
      </w:r>
      <w:r>
        <w:rPr>
          <w:color w:val="333333"/>
          <w:w w:val="110"/>
          <w:sz w:val="21"/>
        </w:rPr>
        <w:t>feature</w:t>
      </w:r>
      <w:r>
        <w:rPr>
          <w:color w:val="333333"/>
          <w:spacing w:val="-8"/>
          <w:w w:val="110"/>
          <w:sz w:val="21"/>
        </w:rPr>
        <w:t xml:space="preserve"> </w:t>
      </w:r>
      <w:r>
        <w:rPr>
          <w:color w:val="333333"/>
          <w:w w:val="110"/>
          <w:sz w:val="21"/>
        </w:rPr>
        <w:t>on</w:t>
      </w:r>
      <w:r>
        <w:rPr>
          <w:color w:val="333333"/>
          <w:spacing w:val="-7"/>
          <w:w w:val="110"/>
          <w:sz w:val="21"/>
        </w:rPr>
        <w:t xml:space="preserve"> </w:t>
      </w:r>
      <w:r>
        <w:rPr>
          <w:color w:val="333333"/>
          <w:w w:val="110"/>
          <w:sz w:val="21"/>
        </w:rPr>
        <w:t>and</w:t>
      </w:r>
      <w:r>
        <w:rPr>
          <w:color w:val="333333"/>
          <w:spacing w:val="-9"/>
          <w:w w:val="110"/>
          <w:sz w:val="21"/>
        </w:rPr>
        <w:t xml:space="preserve"> </w:t>
      </w:r>
      <w:r>
        <w:rPr>
          <w:color w:val="333333"/>
          <w:w w:val="110"/>
          <w:sz w:val="21"/>
        </w:rPr>
        <w:t>off</w:t>
      </w:r>
      <w:r>
        <w:rPr>
          <w:color w:val="333333"/>
          <w:spacing w:val="-7"/>
          <w:w w:val="110"/>
          <w:sz w:val="21"/>
        </w:rPr>
        <w:t xml:space="preserve"> </w:t>
      </w:r>
      <w:r>
        <w:rPr>
          <w:color w:val="333333"/>
          <w:w w:val="110"/>
          <w:sz w:val="21"/>
        </w:rPr>
        <w:t>and</w:t>
      </w:r>
      <w:r>
        <w:rPr>
          <w:color w:val="333333"/>
          <w:spacing w:val="-9"/>
          <w:w w:val="110"/>
          <w:sz w:val="21"/>
        </w:rPr>
        <w:t xml:space="preserve"> </w:t>
      </w:r>
      <w:r>
        <w:rPr>
          <w:color w:val="333333"/>
          <w:w w:val="110"/>
          <w:sz w:val="21"/>
        </w:rPr>
        <w:t>is</w:t>
      </w:r>
      <w:r>
        <w:rPr>
          <w:color w:val="333333"/>
          <w:spacing w:val="-8"/>
          <w:w w:val="110"/>
          <w:sz w:val="21"/>
        </w:rPr>
        <w:t xml:space="preserve"> </w:t>
      </w:r>
      <w:r>
        <w:rPr>
          <w:color w:val="333333"/>
          <w:w w:val="110"/>
          <w:sz w:val="21"/>
        </w:rPr>
        <w:t>vendor</w:t>
      </w:r>
      <w:r>
        <w:rPr>
          <w:color w:val="333333"/>
          <w:spacing w:val="-8"/>
          <w:w w:val="110"/>
          <w:sz w:val="21"/>
        </w:rPr>
        <w:t xml:space="preserve"> </w:t>
      </w:r>
      <w:r>
        <w:rPr>
          <w:color w:val="333333"/>
          <w:w w:val="110"/>
          <w:sz w:val="21"/>
        </w:rPr>
        <w:t>independent.</w:t>
      </w:r>
    </w:p>
    <w:p w14:paraId="5E1BEFA2" w14:textId="77777777" w:rsidR="00A720EB" w:rsidRDefault="0030286B">
      <w:pPr>
        <w:pStyle w:val="a6"/>
        <w:numPr>
          <w:ilvl w:val="3"/>
          <w:numId w:val="13"/>
        </w:numPr>
        <w:tabs>
          <w:tab w:val="left" w:pos="485"/>
        </w:tabs>
        <w:spacing w:before="167" w:line="290" w:lineRule="auto"/>
        <w:ind w:right="128"/>
        <w:rPr>
          <w:sz w:val="21"/>
        </w:rPr>
      </w:pPr>
      <w:r>
        <w:rPr>
          <w:rFonts w:ascii="MS Gothic" w:hAnsi="MS Gothic"/>
          <w:color w:val="B02045"/>
          <w:w w:val="110"/>
          <w:sz w:val="21"/>
        </w:rPr>
        <w:t xml:space="preserve">spring.jpa.hibernate.ddl-auto </w:t>
      </w:r>
      <w:r>
        <w:rPr>
          <w:color w:val="333333"/>
          <w:w w:val="110"/>
          <w:sz w:val="21"/>
        </w:rPr>
        <w:t xml:space="preserve">(enum) is a Hibernate feature that controls the behavior in a more fine-grained </w:t>
      </w:r>
      <w:r>
        <w:rPr>
          <w:color w:val="333333"/>
          <w:spacing w:val="-7"/>
          <w:w w:val="110"/>
          <w:sz w:val="21"/>
        </w:rPr>
        <w:t>way.</w:t>
      </w:r>
      <w:r>
        <w:rPr>
          <w:color w:val="333333"/>
          <w:spacing w:val="10"/>
          <w:w w:val="110"/>
          <w:sz w:val="21"/>
        </w:rPr>
        <w:t xml:space="preserve"> </w:t>
      </w:r>
      <w:r>
        <w:rPr>
          <w:color w:val="333333"/>
          <w:w w:val="110"/>
          <w:sz w:val="21"/>
        </w:rPr>
        <w:t>This feature is described in more detail later in this guide.</w:t>
      </w:r>
    </w:p>
    <w:p w14:paraId="70C4FE1A" w14:textId="77777777" w:rsidR="00A720EB" w:rsidRDefault="00A720EB">
      <w:pPr>
        <w:pStyle w:val="a3"/>
        <w:spacing w:before="2"/>
        <w:rPr>
          <w:sz w:val="27"/>
        </w:rPr>
      </w:pPr>
    </w:p>
    <w:p w14:paraId="50552CFF" w14:textId="77777777" w:rsidR="00A720EB" w:rsidRDefault="0030286B">
      <w:pPr>
        <w:pStyle w:val="3"/>
        <w:numPr>
          <w:ilvl w:val="2"/>
          <w:numId w:val="13"/>
        </w:numPr>
        <w:tabs>
          <w:tab w:val="left" w:pos="1003"/>
        </w:tabs>
        <w:ind w:left="1002" w:hanging="879"/>
      </w:pPr>
      <w:bookmarkStart w:id="931" w:name="9.10.2._Initialize_a_Database_Using_Hibe"/>
      <w:bookmarkStart w:id="932" w:name="_Toc54423986"/>
      <w:bookmarkEnd w:id="931"/>
      <w:r>
        <w:rPr>
          <w:color w:val="333333"/>
          <w:w w:val="110"/>
        </w:rPr>
        <w:t>Initialize a Database Using</w:t>
      </w:r>
      <w:r>
        <w:rPr>
          <w:color w:val="333333"/>
          <w:spacing w:val="-21"/>
          <w:w w:val="110"/>
        </w:rPr>
        <w:t xml:space="preserve"> </w:t>
      </w:r>
      <w:r>
        <w:rPr>
          <w:color w:val="333333"/>
          <w:w w:val="110"/>
        </w:rPr>
        <w:t>Hibernate</w:t>
      </w:r>
      <w:bookmarkEnd w:id="932"/>
    </w:p>
    <w:p w14:paraId="6EAC0EB9" w14:textId="77777777" w:rsidR="00A720EB" w:rsidRDefault="0030286B">
      <w:pPr>
        <w:pStyle w:val="a3"/>
        <w:spacing w:before="244" w:line="285" w:lineRule="auto"/>
        <w:ind w:left="124" w:right="122"/>
        <w:jc w:val="both"/>
      </w:pPr>
      <w:r>
        <w:rPr>
          <w:color w:val="333333"/>
          <w:spacing w:val="-6"/>
          <w:w w:val="110"/>
        </w:rPr>
        <w:t xml:space="preserve">You </w:t>
      </w:r>
      <w:r>
        <w:rPr>
          <w:color w:val="333333"/>
          <w:w w:val="110"/>
        </w:rPr>
        <w:t xml:space="preserve">can set </w:t>
      </w:r>
      <w:r>
        <w:rPr>
          <w:rFonts w:ascii="MS Gothic" w:hAnsi="MS Gothic"/>
          <w:color w:val="B02045"/>
          <w:w w:val="110"/>
        </w:rPr>
        <w:t xml:space="preserve">spring.jpa.hibernate.ddl-auto </w:t>
      </w:r>
      <w:r>
        <w:rPr>
          <w:color w:val="333333"/>
          <w:w w:val="110"/>
        </w:rPr>
        <w:t xml:space="preserve">explicitly and the standard Hibernate property values are </w:t>
      </w:r>
      <w:r>
        <w:rPr>
          <w:rFonts w:ascii="MS Gothic" w:hAnsi="MS Gothic"/>
          <w:color w:val="B02045"/>
          <w:w w:val="110"/>
        </w:rPr>
        <w:t>none</w:t>
      </w:r>
      <w:r>
        <w:rPr>
          <w:color w:val="333333"/>
          <w:w w:val="110"/>
        </w:rPr>
        <w:t xml:space="preserve">, </w:t>
      </w:r>
      <w:r>
        <w:rPr>
          <w:rFonts w:ascii="MS Gothic" w:hAnsi="MS Gothic"/>
          <w:color w:val="B02045"/>
          <w:w w:val="110"/>
        </w:rPr>
        <w:t>validate</w:t>
      </w:r>
      <w:r>
        <w:rPr>
          <w:color w:val="333333"/>
          <w:w w:val="110"/>
        </w:rPr>
        <w:t xml:space="preserve">, </w:t>
      </w:r>
      <w:r>
        <w:rPr>
          <w:rFonts w:ascii="MS Gothic" w:hAnsi="MS Gothic"/>
          <w:color w:val="B02045"/>
          <w:w w:val="110"/>
        </w:rPr>
        <w:t>update</w:t>
      </w:r>
      <w:r>
        <w:rPr>
          <w:color w:val="333333"/>
          <w:w w:val="110"/>
        </w:rPr>
        <w:t xml:space="preserve">, </w:t>
      </w:r>
      <w:r>
        <w:rPr>
          <w:rFonts w:ascii="MS Gothic" w:hAnsi="MS Gothic"/>
          <w:color w:val="B02045"/>
          <w:w w:val="110"/>
        </w:rPr>
        <w:t>create</w:t>
      </w:r>
      <w:r>
        <w:rPr>
          <w:color w:val="333333"/>
          <w:w w:val="110"/>
        </w:rPr>
        <w:t xml:space="preserve">, and </w:t>
      </w:r>
      <w:r>
        <w:rPr>
          <w:rFonts w:ascii="MS Gothic" w:hAnsi="MS Gothic"/>
          <w:color w:val="B02045"/>
          <w:w w:val="110"/>
        </w:rPr>
        <w:t>create-drop</w:t>
      </w:r>
      <w:r>
        <w:rPr>
          <w:color w:val="333333"/>
          <w:w w:val="110"/>
        </w:rPr>
        <w:t xml:space="preserve">. Spring Boot chooses a default value for you based on whether it thinks your database is embedded. It defaults to </w:t>
      </w:r>
      <w:r>
        <w:rPr>
          <w:rFonts w:ascii="MS Gothic" w:hAnsi="MS Gothic"/>
          <w:color w:val="B02045"/>
          <w:w w:val="110"/>
        </w:rPr>
        <w:t xml:space="preserve">create-drop </w:t>
      </w:r>
      <w:r>
        <w:rPr>
          <w:color w:val="333333"/>
          <w:w w:val="110"/>
        </w:rPr>
        <w:t xml:space="preserve">if no schema manager has been detected or </w:t>
      </w:r>
      <w:r>
        <w:rPr>
          <w:rFonts w:ascii="MS Gothic" w:hAnsi="MS Gothic"/>
          <w:color w:val="B02045"/>
          <w:w w:val="110"/>
        </w:rPr>
        <w:t xml:space="preserve">none </w:t>
      </w:r>
      <w:r>
        <w:rPr>
          <w:color w:val="333333"/>
          <w:w w:val="110"/>
        </w:rPr>
        <w:t xml:space="preserve">in all other cases. An embedded database is detected </w:t>
      </w:r>
      <w:r>
        <w:rPr>
          <w:color w:val="333333"/>
          <w:spacing w:val="-3"/>
          <w:w w:val="110"/>
        </w:rPr>
        <w:t xml:space="preserve">by </w:t>
      </w:r>
      <w:r>
        <w:rPr>
          <w:color w:val="333333"/>
          <w:w w:val="110"/>
        </w:rPr>
        <w:t xml:space="preserve">looking at the </w:t>
      </w:r>
      <w:r>
        <w:rPr>
          <w:rFonts w:ascii="MS Gothic" w:hAnsi="MS Gothic"/>
          <w:color w:val="B02045"/>
          <w:w w:val="110"/>
        </w:rPr>
        <w:t xml:space="preserve">Connection </w:t>
      </w:r>
      <w:r>
        <w:rPr>
          <w:color w:val="333333"/>
          <w:w w:val="110"/>
        </w:rPr>
        <w:t xml:space="preserve">type. </w:t>
      </w:r>
      <w:r>
        <w:rPr>
          <w:rFonts w:ascii="MS Gothic" w:hAnsi="MS Gothic"/>
          <w:color w:val="B02045"/>
          <w:w w:val="110"/>
        </w:rPr>
        <w:t>hsqldb</w:t>
      </w:r>
      <w:r>
        <w:rPr>
          <w:color w:val="333333"/>
          <w:w w:val="110"/>
        </w:rPr>
        <w:t xml:space="preserve">, </w:t>
      </w:r>
      <w:r>
        <w:rPr>
          <w:rFonts w:ascii="MS Gothic" w:hAnsi="MS Gothic"/>
          <w:color w:val="B02045"/>
          <w:w w:val="110"/>
        </w:rPr>
        <w:t>h2</w:t>
      </w:r>
      <w:r>
        <w:rPr>
          <w:color w:val="333333"/>
          <w:w w:val="110"/>
        </w:rPr>
        <w:t xml:space="preserve">, and </w:t>
      </w:r>
      <w:r>
        <w:rPr>
          <w:rFonts w:ascii="MS Gothic" w:hAnsi="MS Gothic"/>
          <w:color w:val="B02045"/>
          <w:w w:val="110"/>
        </w:rPr>
        <w:t xml:space="preserve">derby </w:t>
      </w:r>
      <w:r>
        <w:rPr>
          <w:color w:val="333333"/>
          <w:w w:val="110"/>
        </w:rPr>
        <w:t xml:space="preserve">are embedded, and others are not. Be careful when switching from in-memory to a ‘real’ database that you do not make assumptions </w:t>
      </w:r>
      <w:proofErr w:type="gramStart"/>
      <w:r>
        <w:rPr>
          <w:color w:val="333333"/>
          <w:w w:val="110"/>
        </w:rPr>
        <w:t>about  the</w:t>
      </w:r>
      <w:proofErr w:type="gramEnd"/>
      <w:r>
        <w:rPr>
          <w:color w:val="333333"/>
          <w:w w:val="110"/>
        </w:rPr>
        <w:t xml:space="preserve">  existence of the tables and data in the new platform. </w:t>
      </w:r>
      <w:r>
        <w:rPr>
          <w:color w:val="333333"/>
          <w:spacing w:val="-6"/>
          <w:w w:val="110"/>
        </w:rPr>
        <w:t xml:space="preserve">You </w:t>
      </w:r>
      <w:r>
        <w:rPr>
          <w:color w:val="333333"/>
          <w:w w:val="110"/>
        </w:rPr>
        <w:t xml:space="preserve">either have to set </w:t>
      </w:r>
      <w:r>
        <w:rPr>
          <w:rFonts w:ascii="MS Gothic" w:hAnsi="MS Gothic"/>
          <w:color w:val="B02045"/>
          <w:w w:val="110"/>
        </w:rPr>
        <w:t xml:space="preserve">ddl-auto </w:t>
      </w:r>
      <w:r>
        <w:rPr>
          <w:color w:val="333333"/>
          <w:w w:val="110"/>
        </w:rPr>
        <w:t xml:space="preserve">explicitly </w:t>
      </w:r>
      <w:proofErr w:type="gramStart"/>
      <w:r>
        <w:rPr>
          <w:color w:val="333333"/>
          <w:w w:val="110"/>
        </w:rPr>
        <w:t>or  use</w:t>
      </w:r>
      <w:proofErr w:type="gramEnd"/>
      <w:r>
        <w:rPr>
          <w:color w:val="333333"/>
          <w:w w:val="110"/>
        </w:rPr>
        <w:t xml:space="preserve"> one of the other mechanisms to initialize the</w:t>
      </w:r>
      <w:r>
        <w:rPr>
          <w:color w:val="333333"/>
          <w:spacing w:val="31"/>
          <w:w w:val="110"/>
        </w:rPr>
        <w:t xml:space="preserve"> </w:t>
      </w:r>
      <w:r>
        <w:rPr>
          <w:color w:val="333333"/>
          <w:w w:val="110"/>
        </w:rPr>
        <w:t>database.</w:t>
      </w:r>
    </w:p>
    <w:p w14:paraId="59BDB21C" w14:textId="77777777" w:rsidR="00A720EB" w:rsidRDefault="00A720EB">
      <w:pPr>
        <w:pStyle w:val="a3"/>
        <w:spacing w:before="9"/>
        <w:rPr>
          <w:sz w:val="28"/>
        </w:rPr>
      </w:pPr>
    </w:p>
    <w:p w14:paraId="5D66D362" w14:textId="77777777" w:rsidR="00A720EB" w:rsidRDefault="00E10349">
      <w:pPr>
        <w:pStyle w:val="a3"/>
        <w:spacing w:line="290" w:lineRule="auto"/>
        <w:ind w:left="1564" w:right="359"/>
      </w:pPr>
      <w:r>
        <w:pict w14:anchorId="5DA7850D">
          <v:line id="_x0000_s1342" style="position:absolute;left:0;text-align:left;z-index:16399360;mso-position-horizontal-relative:page" from="108.25pt,-5.45pt" to="108.25pt,34.1pt" strokecolor="#ededed" strokeweight=".5pt">
            <w10:wrap anchorx="page"/>
          </v:line>
        </w:pict>
      </w:r>
      <w:r w:rsidR="0030286B">
        <w:rPr>
          <w:noProof/>
        </w:rPr>
        <w:drawing>
          <wp:anchor distT="0" distB="0" distL="0" distR="0" simplePos="0" relativeHeight="16399872" behindDoc="0" locked="0" layoutInCell="1" allowOverlap="1" wp14:anchorId="7EA832D6" wp14:editId="15B34A42">
            <wp:simplePos x="0" y="0"/>
            <wp:positionH relativeFrom="page">
              <wp:posOffset>844422</wp:posOffset>
            </wp:positionH>
            <wp:positionV relativeFrom="paragraph">
              <wp:posOffset>32588</wp:posOffset>
            </wp:positionV>
            <wp:extent cx="298450" cy="298450"/>
            <wp:effectExtent l="0" t="0" r="0" b="0"/>
            <wp:wrapNone/>
            <wp:docPr id="7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spacing w:val="-6"/>
          <w:w w:val="110"/>
        </w:rPr>
        <w:t xml:space="preserve">You </w:t>
      </w:r>
      <w:r w:rsidR="0030286B">
        <w:rPr>
          <w:color w:val="333333"/>
          <w:w w:val="110"/>
        </w:rPr>
        <w:t xml:space="preserve">can output the schema creation </w:t>
      </w:r>
      <w:r w:rsidR="0030286B">
        <w:rPr>
          <w:color w:val="333333"/>
          <w:spacing w:val="-3"/>
          <w:w w:val="110"/>
        </w:rPr>
        <w:t xml:space="preserve">by </w:t>
      </w:r>
      <w:r w:rsidR="0030286B">
        <w:rPr>
          <w:color w:val="333333"/>
          <w:w w:val="110"/>
        </w:rPr>
        <w:t xml:space="preserve">enabling the </w:t>
      </w:r>
      <w:r w:rsidR="0030286B">
        <w:rPr>
          <w:rFonts w:ascii="MS Gothic"/>
          <w:color w:val="B02045"/>
          <w:w w:val="110"/>
        </w:rPr>
        <w:t>org.hibernate.SQL</w:t>
      </w:r>
      <w:r w:rsidR="0030286B">
        <w:rPr>
          <w:rFonts w:ascii="MS Gothic"/>
          <w:color w:val="B02045"/>
          <w:spacing w:val="-75"/>
          <w:w w:val="110"/>
        </w:rPr>
        <w:t xml:space="preserve"> </w:t>
      </w:r>
      <w:r w:rsidR="0030286B">
        <w:rPr>
          <w:color w:val="333333"/>
          <w:w w:val="110"/>
        </w:rPr>
        <w:t xml:space="preserve">logger. This is done for you automatically if you enable the </w:t>
      </w:r>
      <w:hyperlink w:anchor="_bookmark132" w:history="1">
        <w:r w:rsidR="0030286B">
          <w:rPr>
            <w:color w:val="418BCA"/>
            <w:w w:val="110"/>
          </w:rPr>
          <w:t>debug mode</w:t>
        </w:r>
      </w:hyperlink>
      <w:r w:rsidR="0030286B">
        <w:rPr>
          <w:color w:val="333333"/>
          <w:w w:val="110"/>
        </w:rPr>
        <w:t>.</w:t>
      </w:r>
    </w:p>
    <w:p w14:paraId="4CC83011" w14:textId="77777777" w:rsidR="00A720EB" w:rsidRDefault="00A720EB">
      <w:pPr>
        <w:pStyle w:val="a3"/>
        <w:rPr>
          <w:sz w:val="28"/>
        </w:rPr>
      </w:pPr>
    </w:p>
    <w:p w14:paraId="36E8D15F" w14:textId="77777777" w:rsidR="00A720EB" w:rsidRDefault="0030286B">
      <w:pPr>
        <w:pStyle w:val="a3"/>
        <w:spacing w:line="297" w:lineRule="auto"/>
        <w:ind w:left="124" w:right="122"/>
        <w:jc w:val="both"/>
      </w:pPr>
      <w:r>
        <w:rPr>
          <w:color w:val="333333"/>
          <w:w w:val="110"/>
        </w:rPr>
        <w:t xml:space="preserve">In addition, a file named </w:t>
      </w:r>
      <w:r>
        <w:rPr>
          <w:rFonts w:ascii="MS Gothic"/>
          <w:color w:val="B02045"/>
          <w:w w:val="110"/>
        </w:rPr>
        <w:t xml:space="preserve">import.sql </w:t>
      </w:r>
      <w:r>
        <w:rPr>
          <w:color w:val="333333"/>
          <w:w w:val="110"/>
        </w:rPr>
        <w:t xml:space="preserve">in the root of the classpath is executed on startup if Hibernate creates the schema from scratch (that is, if the </w:t>
      </w:r>
      <w:r>
        <w:rPr>
          <w:rFonts w:ascii="MS Gothic"/>
          <w:color w:val="B02045"/>
          <w:w w:val="110"/>
        </w:rPr>
        <w:t xml:space="preserve">ddl-auto </w:t>
      </w:r>
      <w:r>
        <w:rPr>
          <w:color w:val="333333"/>
          <w:w w:val="110"/>
        </w:rPr>
        <w:t xml:space="preserve">property is set to </w:t>
      </w:r>
      <w:r>
        <w:rPr>
          <w:rFonts w:ascii="MS Gothic"/>
          <w:color w:val="B02045"/>
          <w:w w:val="110"/>
        </w:rPr>
        <w:t xml:space="preserve">create </w:t>
      </w:r>
      <w:r>
        <w:rPr>
          <w:color w:val="333333"/>
          <w:w w:val="110"/>
        </w:rPr>
        <w:t xml:space="preserve">or </w:t>
      </w:r>
      <w:r>
        <w:rPr>
          <w:rFonts w:ascii="MS Gothic"/>
          <w:color w:val="B02045"/>
          <w:w w:val="110"/>
        </w:rPr>
        <w:t>create-drop</w:t>
      </w:r>
      <w:r>
        <w:rPr>
          <w:color w:val="333333"/>
          <w:w w:val="110"/>
        </w:rPr>
        <w:t>). This can be useful for demos and for testing if you are careful but is probably not something you</w:t>
      </w:r>
      <w:r>
        <w:rPr>
          <w:color w:val="333333"/>
          <w:spacing w:val="50"/>
          <w:w w:val="110"/>
        </w:rPr>
        <w:t xml:space="preserve"> </w:t>
      </w:r>
      <w:r>
        <w:rPr>
          <w:color w:val="333333"/>
          <w:w w:val="110"/>
        </w:rPr>
        <w:t>want to be on the classpath in production. It is a Hibernate feature (and has nothing to do with Spring).</w:t>
      </w:r>
    </w:p>
    <w:p w14:paraId="1CB4F125" w14:textId="77777777" w:rsidR="00A720EB" w:rsidRDefault="00A720EB">
      <w:pPr>
        <w:pStyle w:val="a3"/>
        <w:spacing w:before="1"/>
        <w:rPr>
          <w:sz w:val="26"/>
        </w:rPr>
      </w:pPr>
    </w:p>
    <w:p w14:paraId="6493E4CB" w14:textId="77777777" w:rsidR="00A720EB" w:rsidRDefault="0030286B">
      <w:pPr>
        <w:pStyle w:val="3"/>
        <w:numPr>
          <w:ilvl w:val="2"/>
          <w:numId w:val="13"/>
        </w:numPr>
        <w:tabs>
          <w:tab w:val="left" w:pos="1003"/>
        </w:tabs>
        <w:ind w:left="1002" w:hanging="879"/>
      </w:pPr>
      <w:bookmarkStart w:id="933" w:name="9.10.3._Initialize_a_Database_using_basi"/>
      <w:bookmarkStart w:id="934" w:name="_Toc54423987"/>
      <w:bookmarkEnd w:id="933"/>
      <w:r>
        <w:rPr>
          <w:color w:val="333333"/>
          <w:w w:val="110"/>
        </w:rPr>
        <w:t>Initialize a Database using basic SQL</w:t>
      </w:r>
      <w:r>
        <w:rPr>
          <w:color w:val="333333"/>
          <w:spacing w:val="-36"/>
          <w:w w:val="110"/>
        </w:rPr>
        <w:t xml:space="preserve"> </w:t>
      </w:r>
      <w:r>
        <w:rPr>
          <w:color w:val="333333"/>
          <w:w w:val="110"/>
        </w:rPr>
        <w:t>scripts</w:t>
      </w:r>
      <w:bookmarkEnd w:id="934"/>
    </w:p>
    <w:p w14:paraId="18BD1D1C" w14:textId="77777777" w:rsidR="00A720EB" w:rsidRDefault="0030286B">
      <w:pPr>
        <w:pStyle w:val="a3"/>
        <w:spacing w:before="244" w:line="280" w:lineRule="auto"/>
        <w:ind w:left="124" w:right="122"/>
        <w:jc w:val="both"/>
        <w:rPr>
          <w:rFonts w:ascii="MS Gothic"/>
        </w:rPr>
      </w:pPr>
      <w:r>
        <w:rPr>
          <w:color w:val="333333"/>
          <w:w w:val="110"/>
        </w:rPr>
        <w:t xml:space="preserve">Spring Boot can automatically create the schema (DDL scripts) of your </w:t>
      </w:r>
      <w:r>
        <w:rPr>
          <w:rFonts w:ascii="MS Gothic"/>
          <w:color w:val="B02045"/>
          <w:w w:val="110"/>
        </w:rPr>
        <w:t xml:space="preserve">DataSource </w:t>
      </w:r>
      <w:r>
        <w:rPr>
          <w:color w:val="333333"/>
          <w:w w:val="110"/>
        </w:rPr>
        <w:t xml:space="preserve">and initialize it (DML scripts). It loads SQL from the standard root classpath locations: </w:t>
      </w:r>
      <w:r>
        <w:rPr>
          <w:rFonts w:ascii="MS Gothic"/>
          <w:color w:val="B02045"/>
          <w:w w:val="110"/>
        </w:rPr>
        <w:t xml:space="preserve">schema.sql </w:t>
      </w:r>
      <w:r>
        <w:rPr>
          <w:color w:val="333333"/>
          <w:w w:val="110"/>
        </w:rPr>
        <w:t xml:space="preserve">and </w:t>
      </w:r>
      <w:r>
        <w:rPr>
          <w:rFonts w:ascii="MS Gothic"/>
          <w:color w:val="B02045"/>
          <w:w w:val="110"/>
        </w:rPr>
        <w:t>data.sql</w:t>
      </w:r>
      <w:r>
        <w:rPr>
          <w:color w:val="333333"/>
          <w:w w:val="110"/>
        </w:rPr>
        <w:t xml:space="preserve">, respectively. In addition, Spring Boot processes the </w:t>
      </w:r>
      <w:r>
        <w:rPr>
          <w:rFonts w:ascii="MS Gothic"/>
          <w:color w:val="B02045"/>
          <w:w w:val="110"/>
        </w:rPr>
        <w:t xml:space="preserve">schema-${platform}.sql </w:t>
      </w:r>
      <w:r>
        <w:rPr>
          <w:color w:val="333333"/>
          <w:w w:val="110"/>
        </w:rPr>
        <w:t xml:space="preserve">and </w:t>
      </w:r>
      <w:r>
        <w:rPr>
          <w:rFonts w:ascii="MS Gothic"/>
          <w:color w:val="B02045"/>
          <w:w w:val="110"/>
        </w:rPr>
        <w:t>data-</w:t>
      </w:r>
    </w:p>
    <w:p w14:paraId="2A127B16" w14:textId="77777777" w:rsidR="00A720EB" w:rsidRDefault="0030286B">
      <w:pPr>
        <w:pStyle w:val="a3"/>
        <w:spacing w:before="2" w:line="295" w:lineRule="auto"/>
        <w:ind w:left="124" w:right="122"/>
        <w:jc w:val="both"/>
      </w:pPr>
      <w:r>
        <w:rPr>
          <w:rFonts w:ascii="MS Gothic"/>
          <w:color w:val="B02045"/>
          <w:w w:val="110"/>
        </w:rPr>
        <w:t>${platform}.sql</w:t>
      </w:r>
      <w:r>
        <w:rPr>
          <w:rFonts w:ascii="MS Gothic"/>
          <w:color w:val="B02045"/>
          <w:spacing w:val="-73"/>
          <w:w w:val="110"/>
        </w:rPr>
        <w:t xml:space="preserve"> </w:t>
      </w:r>
      <w:r>
        <w:rPr>
          <w:color w:val="333333"/>
          <w:w w:val="110"/>
        </w:rPr>
        <w:t>files</w:t>
      </w:r>
      <w:r>
        <w:rPr>
          <w:color w:val="333333"/>
          <w:spacing w:val="-8"/>
          <w:w w:val="110"/>
        </w:rPr>
        <w:t xml:space="preserve"> </w:t>
      </w:r>
      <w:r>
        <w:rPr>
          <w:color w:val="333333"/>
          <w:w w:val="110"/>
        </w:rPr>
        <w:t>(if</w:t>
      </w:r>
      <w:r>
        <w:rPr>
          <w:color w:val="333333"/>
          <w:spacing w:val="-8"/>
          <w:w w:val="110"/>
        </w:rPr>
        <w:t xml:space="preserve"> </w:t>
      </w:r>
      <w:r>
        <w:rPr>
          <w:color w:val="333333"/>
          <w:w w:val="110"/>
        </w:rPr>
        <w:t>present),</w:t>
      </w:r>
      <w:r>
        <w:rPr>
          <w:color w:val="333333"/>
          <w:spacing w:val="-8"/>
          <w:w w:val="110"/>
        </w:rPr>
        <w:t xml:space="preserve"> </w:t>
      </w:r>
      <w:r>
        <w:rPr>
          <w:color w:val="333333"/>
          <w:w w:val="110"/>
        </w:rPr>
        <w:t>where</w:t>
      </w:r>
      <w:r>
        <w:rPr>
          <w:color w:val="333333"/>
          <w:spacing w:val="-6"/>
          <w:w w:val="110"/>
        </w:rPr>
        <w:t xml:space="preserve"> </w:t>
      </w:r>
      <w:r>
        <w:rPr>
          <w:rFonts w:ascii="MS Gothic"/>
          <w:color w:val="B02045"/>
          <w:w w:val="110"/>
        </w:rPr>
        <w:t>platform</w:t>
      </w:r>
      <w:r>
        <w:rPr>
          <w:rFonts w:ascii="MS Gothic"/>
          <w:color w:val="B02045"/>
          <w:spacing w:val="-73"/>
          <w:w w:val="110"/>
        </w:rPr>
        <w:t xml:space="preserve"> </w:t>
      </w:r>
      <w:r>
        <w:rPr>
          <w:color w:val="333333"/>
          <w:w w:val="110"/>
        </w:rPr>
        <w:t>is</w:t>
      </w:r>
      <w:r>
        <w:rPr>
          <w:color w:val="333333"/>
          <w:spacing w:val="-8"/>
          <w:w w:val="110"/>
        </w:rPr>
        <w:t xml:space="preserve"> </w:t>
      </w:r>
      <w:r>
        <w:rPr>
          <w:color w:val="333333"/>
          <w:w w:val="110"/>
        </w:rPr>
        <w:t>the</w:t>
      </w:r>
      <w:r>
        <w:rPr>
          <w:color w:val="333333"/>
          <w:spacing w:val="-8"/>
          <w:w w:val="110"/>
        </w:rPr>
        <w:t xml:space="preserve"> </w:t>
      </w:r>
      <w:r>
        <w:rPr>
          <w:color w:val="333333"/>
          <w:w w:val="110"/>
        </w:rPr>
        <w:t>value</w:t>
      </w:r>
      <w:r>
        <w:rPr>
          <w:color w:val="333333"/>
          <w:spacing w:val="-8"/>
          <w:w w:val="110"/>
        </w:rPr>
        <w:t xml:space="preserve"> </w:t>
      </w:r>
      <w:r>
        <w:rPr>
          <w:color w:val="333333"/>
          <w:w w:val="110"/>
        </w:rPr>
        <w:t>of</w:t>
      </w:r>
      <w:r>
        <w:rPr>
          <w:color w:val="333333"/>
          <w:spacing w:val="-7"/>
          <w:w w:val="110"/>
        </w:rPr>
        <w:t xml:space="preserve"> </w:t>
      </w:r>
      <w:proofErr w:type="gramStart"/>
      <w:r>
        <w:rPr>
          <w:rFonts w:ascii="MS Gothic"/>
          <w:color w:val="B02045"/>
          <w:w w:val="110"/>
        </w:rPr>
        <w:t>spring.datasource</w:t>
      </w:r>
      <w:proofErr w:type="gramEnd"/>
      <w:r>
        <w:rPr>
          <w:rFonts w:ascii="MS Gothic"/>
          <w:color w:val="B02045"/>
          <w:w w:val="110"/>
        </w:rPr>
        <w:t>.platform</w:t>
      </w:r>
      <w:r>
        <w:rPr>
          <w:color w:val="333333"/>
          <w:w w:val="110"/>
        </w:rPr>
        <w:t>.</w:t>
      </w:r>
      <w:r>
        <w:rPr>
          <w:color w:val="333333"/>
          <w:spacing w:val="-8"/>
          <w:w w:val="110"/>
        </w:rPr>
        <w:t xml:space="preserve"> </w:t>
      </w:r>
      <w:r>
        <w:rPr>
          <w:color w:val="333333"/>
          <w:w w:val="110"/>
        </w:rPr>
        <w:t xml:space="preserve">This allows you to switch to database-specific scripts if necessary. </w:t>
      </w:r>
      <w:r>
        <w:rPr>
          <w:color w:val="333333"/>
          <w:spacing w:val="-4"/>
          <w:w w:val="110"/>
        </w:rPr>
        <w:t xml:space="preserve">For </w:t>
      </w:r>
      <w:r>
        <w:rPr>
          <w:color w:val="333333"/>
          <w:w w:val="110"/>
        </w:rPr>
        <w:t>example, you might choose to set it to</w:t>
      </w:r>
      <w:r>
        <w:rPr>
          <w:color w:val="333333"/>
          <w:spacing w:val="-3"/>
          <w:w w:val="110"/>
        </w:rPr>
        <w:t xml:space="preserve"> </w:t>
      </w:r>
      <w:r>
        <w:rPr>
          <w:color w:val="333333"/>
          <w:w w:val="110"/>
        </w:rPr>
        <w:t>the</w:t>
      </w:r>
      <w:r>
        <w:rPr>
          <w:color w:val="333333"/>
          <w:spacing w:val="-3"/>
          <w:w w:val="110"/>
        </w:rPr>
        <w:t xml:space="preserve"> </w:t>
      </w:r>
      <w:r>
        <w:rPr>
          <w:color w:val="333333"/>
          <w:w w:val="110"/>
        </w:rPr>
        <w:t>vendor</w:t>
      </w:r>
      <w:r>
        <w:rPr>
          <w:color w:val="333333"/>
          <w:spacing w:val="-3"/>
          <w:w w:val="110"/>
        </w:rPr>
        <w:t xml:space="preserve"> </w:t>
      </w:r>
      <w:r>
        <w:rPr>
          <w:color w:val="333333"/>
          <w:w w:val="110"/>
        </w:rPr>
        <w:t>name</w:t>
      </w:r>
      <w:r>
        <w:rPr>
          <w:color w:val="333333"/>
          <w:spacing w:val="-2"/>
          <w:w w:val="110"/>
        </w:rPr>
        <w:t xml:space="preserve"> </w:t>
      </w:r>
      <w:r>
        <w:rPr>
          <w:color w:val="333333"/>
          <w:w w:val="110"/>
        </w:rPr>
        <w:t>of</w:t>
      </w:r>
      <w:r>
        <w:rPr>
          <w:color w:val="333333"/>
          <w:spacing w:val="-3"/>
          <w:w w:val="110"/>
        </w:rPr>
        <w:t xml:space="preserve"> </w:t>
      </w:r>
      <w:r>
        <w:rPr>
          <w:color w:val="333333"/>
          <w:w w:val="110"/>
        </w:rPr>
        <w:t>the</w:t>
      </w:r>
      <w:r>
        <w:rPr>
          <w:color w:val="333333"/>
          <w:spacing w:val="-3"/>
          <w:w w:val="110"/>
        </w:rPr>
        <w:t xml:space="preserve"> </w:t>
      </w:r>
      <w:r>
        <w:rPr>
          <w:color w:val="333333"/>
          <w:w w:val="110"/>
        </w:rPr>
        <w:t>database</w:t>
      </w:r>
      <w:r>
        <w:rPr>
          <w:color w:val="333333"/>
          <w:spacing w:val="-3"/>
          <w:w w:val="110"/>
        </w:rPr>
        <w:t xml:space="preserve"> </w:t>
      </w:r>
      <w:r>
        <w:rPr>
          <w:color w:val="333333"/>
          <w:w w:val="110"/>
        </w:rPr>
        <w:t>(</w:t>
      </w:r>
      <w:r>
        <w:rPr>
          <w:rFonts w:ascii="MS Gothic"/>
          <w:color w:val="B02045"/>
          <w:w w:val="110"/>
        </w:rPr>
        <w:t>hsqldb</w:t>
      </w:r>
      <w:r>
        <w:rPr>
          <w:color w:val="333333"/>
          <w:w w:val="110"/>
        </w:rPr>
        <w:t>,</w:t>
      </w:r>
      <w:r>
        <w:rPr>
          <w:color w:val="333333"/>
          <w:spacing w:val="-3"/>
          <w:w w:val="110"/>
        </w:rPr>
        <w:t xml:space="preserve"> </w:t>
      </w:r>
      <w:r>
        <w:rPr>
          <w:rFonts w:ascii="MS Gothic"/>
          <w:color w:val="B02045"/>
          <w:w w:val="110"/>
        </w:rPr>
        <w:t>h2</w:t>
      </w:r>
      <w:r>
        <w:rPr>
          <w:color w:val="333333"/>
          <w:w w:val="110"/>
        </w:rPr>
        <w:t>,</w:t>
      </w:r>
      <w:r>
        <w:rPr>
          <w:color w:val="333333"/>
          <w:spacing w:val="-2"/>
          <w:w w:val="110"/>
        </w:rPr>
        <w:t xml:space="preserve"> </w:t>
      </w:r>
      <w:r>
        <w:rPr>
          <w:rFonts w:ascii="MS Gothic"/>
          <w:color w:val="B02045"/>
          <w:w w:val="110"/>
        </w:rPr>
        <w:t>oracle</w:t>
      </w:r>
      <w:r>
        <w:rPr>
          <w:color w:val="333333"/>
          <w:w w:val="110"/>
        </w:rPr>
        <w:t>,</w:t>
      </w:r>
      <w:r>
        <w:rPr>
          <w:color w:val="333333"/>
          <w:spacing w:val="-3"/>
          <w:w w:val="110"/>
        </w:rPr>
        <w:t xml:space="preserve"> </w:t>
      </w:r>
      <w:r>
        <w:rPr>
          <w:rFonts w:ascii="MS Gothic"/>
          <w:color w:val="B02045"/>
          <w:w w:val="110"/>
        </w:rPr>
        <w:t>mysql</w:t>
      </w:r>
      <w:r>
        <w:rPr>
          <w:color w:val="333333"/>
          <w:w w:val="110"/>
        </w:rPr>
        <w:t>,</w:t>
      </w:r>
      <w:r>
        <w:rPr>
          <w:color w:val="333333"/>
          <w:spacing w:val="-3"/>
          <w:w w:val="110"/>
        </w:rPr>
        <w:t xml:space="preserve"> </w:t>
      </w:r>
      <w:r>
        <w:rPr>
          <w:rFonts w:ascii="MS Gothic"/>
          <w:color w:val="B02045"/>
          <w:w w:val="110"/>
        </w:rPr>
        <w:t>postgresql</w:t>
      </w:r>
      <w:r>
        <w:rPr>
          <w:color w:val="333333"/>
          <w:w w:val="110"/>
        </w:rPr>
        <w:t>,</w:t>
      </w:r>
      <w:r>
        <w:rPr>
          <w:color w:val="333333"/>
          <w:spacing w:val="-2"/>
          <w:w w:val="110"/>
        </w:rPr>
        <w:t xml:space="preserve"> </w:t>
      </w:r>
      <w:r>
        <w:rPr>
          <w:color w:val="333333"/>
          <w:w w:val="110"/>
        </w:rPr>
        <w:t>and</w:t>
      </w:r>
      <w:r>
        <w:rPr>
          <w:color w:val="333333"/>
          <w:spacing w:val="-4"/>
          <w:w w:val="110"/>
        </w:rPr>
        <w:t xml:space="preserve"> </w:t>
      </w:r>
      <w:r>
        <w:rPr>
          <w:color w:val="333333"/>
          <w:w w:val="110"/>
        </w:rPr>
        <w:t>so</w:t>
      </w:r>
      <w:r>
        <w:rPr>
          <w:color w:val="333333"/>
          <w:spacing w:val="-3"/>
          <w:w w:val="110"/>
        </w:rPr>
        <w:t xml:space="preserve"> </w:t>
      </w:r>
      <w:r>
        <w:rPr>
          <w:color w:val="333333"/>
          <w:w w:val="110"/>
        </w:rPr>
        <w:t>on).</w:t>
      </w:r>
    </w:p>
    <w:p w14:paraId="2208D283" w14:textId="77777777" w:rsidR="00A720EB" w:rsidRDefault="00A720EB">
      <w:pPr>
        <w:spacing w:line="295" w:lineRule="auto"/>
        <w:jc w:val="both"/>
        <w:sectPr w:rsidR="00A720EB">
          <w:pgSz w:w="11910" w:h="16840"/>
          <w:pgMar w:top="620" w:right="840" w:bottom="520" w:left="840" w:header="0" w:footer="323" w:gutter="0"/>
          <w:cols w:space="720"/>
        </w:sectPr>
      </w:pPr>
    </w:p>
    <w:p w14:paraId="4780A50F" w14:textId="77777777" w:rsidR="00A720EB" w:rsidRDefault="00E10349">
      <w:pPr>
        <w:pStyle w:val="a3"/>
        <w:spacing w:before="122" w:line="288" w:lineRule="auto"/>
        <w:ind w:left="1564" w:right="366"/>
        <w:jc w:val="both"/>
      </w:pPr>
      <w:r>
        <w:lastRenderedPageBreak/>
        <w:pict w14:anchorId="1A348C0A">
          <v:line id="_x0000_s1341" style="position:absolute;left:0;text-align:left;z-index:16401920;mso-position-horizontal-relative:page" from="108.25pt,.1pt" to="108.25pt,303.15pt" strokecolor="#ededed" strokeweight=".5pt">
            <w10:wrap anchorx="page"/>
          </v:line>
        </w:pict>
      </w:r>
      <w:r w:rsidR="0030286B">
        <w:rPr>
          <w:color w:val="333333"/>
          <w:w w:val="110"/>
        </w:rPr>
        <w:t xml:space="preserve">When only basic SQL scripts are used, Spring Boot automatically creates </w:t>
      </w:r>
      <w:proofErr w:type="gramStart"/>
      <w:r w:rsidR="0030286B">
        <w:rPr>
          <w:color w:val="333333"/>
          <w:w w:val="110"/>
        </w:rPr>
        <w:t>the  schema</w:t>
      </w:r>
      <w:proofErr w:type="gramEnd"/>
      <w:r w:rsidR="0030286B">
        <w:rPr>
          <w:color w:val="333333"/>
          <w:w w:val="110"/>
        </w:rPr>
        <w:t xml:space="preserve"> of an embedded </w:t>
      </w:r>
      <w:r w:rsidR="0030286B">
        <w:rPr>
          <w:rFonts w:ascii="MS Gothic"/>
          <w:color w:val="B02045"/>
          <w:w w:val="110"/>
        </w:rPr>
        <w:t>DataSource</w:t>
      </w:r>
      <w:r w:rsidR="0030286B">
        <w:rPr>
          <w:color w:val="333333"/>
          <w:w w:val="110"/>
        </w:rPr>
        <w:t xml:space="preserve">. This behavior can be customized </w:t>
      </w:r>
      <w:r w:rsidR="0030286B">
        <w:rPr>
          <w:color w:val="333333"/>
          <w:spacing w:val="-3"/>
          <w:w w:val="110"/>
        </w:rPr>
        <w:t xml:space="preserve">by </w:t>
      </w:r>
      <w:r w:rsidR="0030286B">
        <w:rPr>
          <w:color w:val="333333"/>
          <w:w w:val="110"/>
        </w:rPr>
        <w:t xml:space="preserve">using the </w:t>
      </w:r>
      <w:proofErr w:type="gramStart"/>
      <w:r w:rsidR="0030286B">
        <w:rPr>
          <w:rFonts w:ascii="MS Gothic"/>
          <w:color w:val="B02045"/>
          <w:w w:val="110"/>
        </w:rPr>
        <w:t>spring.datasource</w:t>
      </w:r>
      <w:proofErr w:type="gramEnd"/>
      <w:r w:rsidR="0030286B">
        <w:rPr>
          <w:rFonts w:ascii="MS Gothic"/>
          <w:color w:val="B02045"/>
          <w:w w:val="110"/>
        </w:rPr>
        <w:t xml:space="preserve">.initialization-mode </w:t>
      </w:r>
      <w:r w:rsidR="0030286B">
        <w:rPr>
          <w:color w:val="333333"/>
          <w:spacing w:val="-3"/>
          <w:w w:val="110"/>
        </w:rPr>
        <w:t xml:space="preserve">property. </w:t>
      </w:r>
      <w:r w:rsidR="0030286B">
        <w:rPr>
          <w:color w:val="333333"/>
          <w:spacing w:val="-4"/>
          <w:w w:val="110"/>
        </w:rPr>
        <w:t xml:space="preserve">For </w:t>
      </w:r>
      <w:r w:rsidR="0030286B">
        <w:rPr>
          <w:color w:val="333333"/>
          <w:w w:val="110"/>
        </w:rPr>
        <w:t xml:space="preserve">instance, if you want to always initialize the </w:t>
      </w:r>
      <w:r w:rsidR="0030286B">
        <w:rPr>
          <w:rFonts w:ascii="MS Gothic"/>
          <w:color w:val="B02045"/>
          <w:w w:val="110"/>
        </w:rPr>
        <w:t>DataSource</w:t>
      </w:r>
      <w:r w:rsidR="0030286B">
        <w:rPr>
          <w:rFonts w:ascii="MS Gothic"/>
          <w:color w:val="B02045"/>
          <w:spacing w:val="-53"/>
          <w:w w:val="110"/>
        </w:rPr>
        <w:t xml:space="preserve"> </w:t>
      </w:r>
      <w:r w:rsidR="0030286B">
        <w:rPr>
          <w:color w:val="333333"/>
          <w:w w:val="110"/>
        </w:rPr>
        <w:t>regardless of its type:</w:t>
      </w:r>
    </w:p>
    <w:p w14:paraId="2D491681" w14:textId="77777777" w:rsidR="00A720EB" w:rsidRDefault="00E10349">
      <w:pPr>
        <w:pStyle w:val="a3"/>
        <w:spacing w:before="10"/>
        <w:rPr>
          <w:sz w:val="12"/>
        </w:rPr>
      </w:pPr>
      <w:r>
        <w:pict w14:anchorId="6CED08BD">
          <v:group id="_x0000_s1337" style="position:absolute;margin-left:119.85pt;margin-top:9.55pt;width:415.55pt;height:37.5pt;z-index:-15056896;mso-wrap-distance-left:0;mso-wrap-distance-right:0;mso-position-horizontal-relative:page" coordorigin="2397,191" coordsize="8311,750">
            <v:shape id="_x0000_s1340" style="position:absolute;left:2404;top:198;width:8296;height:735" coordorigin="2405,199" coordsize="8296,735" path="m10621,199r-8136,l2454,205r-26,17l2411,247r-6,32l2405,853r6,31l2428,910r26,17l2485,933r8136,l10652,927r25,-17l10695,884r6,-31l10701,279r-6,-32l10677,222r-25,-17l10621,199xe" fillcolor="#f5f5f5" stroked="f">
              <v:path arrowok="t"/>
            </v:shape>
            <v:shape id="_x0000_s1339" style="position:absolute;left:2404;top:198;width:8296;height:735" coordorigin="2405,199" coordsize="8296,735" path="m2485,199r8136,l10652,205r25,17l10695,247r6,32l10701,853r-6,31l10677,910r-25,17l10621,933r-8136,l2454,927r-26,-17l2411,884r-6,-31l2405,279r6,-32l2428,222r26,-17l2485,199xe" filled="f" strokecolor="#ccc">
              <v:path arrowok="t"/>
            </v:shape>
            <v:shape id="_x0000_s1338" type="#_x0000_t202" style="position:absolute;left:2424;top:214;width:8258;height:704" filled="f" stroked="f">
              <v:textbox inset="0,0,0,0">
                <w:txbxContent>
                  <w:p w14:paraId="0DE9DCA4" w14:textId="77777777" w:rsidR="00711A16" w:rsidRDefault="00711A16">
                    <w:pPr>
                      <w:spacing w:before="221"/>
                      <w:ind w:left="200"/>
                      <w:rPr>
                        <w:rFonts w:ascii="MS Gothic"/>
                      </w:rPr>
                    </w:pPr>
                    <w:proofErr w:type="gramStart"/>
                    <w:r>
                      <w:rPr>
                        <w:rFonts w:ascii="MS Gothic"/>
                        <w:color w:val="333333"/>
                      </w:rPr>
                      <w:t>spring.datasource</w:t>
                    </w:r>
                    <w:proofErr w:type="gramEnd"/>
                    <w:r>
                      <w:rPr>
                        <w:rFonts w:ascii="MS Gothic"/>
                        <w:color w:val="333333"/>
                      </w:rPr>
                      <w:t>.initialization-mode=always</w:t>
                    </w:r>
                  </w:p>
                </w:txbxContent>
              </v:textbox>
            </v:shape>
            <w10:wrap type="topAndBottom" anchorx="page"/>
          </v:group>
        </w:pict>
      </w:r>
    </w:p>
    <w:p w14:paraId="67F11579" w14:textId="77777777" w:rsidR="00A720EB" w:rsidRDefault="00A720EB">
      <w:pPr>
        <w:pStyle w:val="a3"/>
        <w:rPr>
          <w:sz w:val="10"/>
        </w:rPr>
      </w:pPr>
    </w:p>
    <w:p w14:paraId="26D1AF28" w14:textId="77777777" w:rsidR="00A720EB" w:rsidRDefault="0030286B">
      <w:pPr>
        <w:pStyle w:val="a3"/>
        <w:spacing w:before="125" w:line="290" w:lineRule="auto"/>
        <w:ind w:left="1564" w:right="366"/>
        <w:jc w:val="both"/>
      </w:pPr>
      <w:r>
        <w:rPr>
          <w:noProof/>
        </w:rPr>
        <w:drawing>
          <wp:anchor distT="0" distB="0" distL="0" distR="0" simplePos="0" relativeHeight="16402432" behindDoc="0" locked="0" layoutInCell="1" allowOverlap="1" wp14:anchorId="5C7521D6" wp14:editId="149FED3B">
            <wp:simplePos x="0" y="0"/>
            <wp:positionH relativeFrom="page">
              <wp:posOffset>844422</wp:posOffset>
            </wp:positionH>
            <wp:positionV relativeFrom="paragraph">
              <wp:posOffset>205524</wp:posOffset>
            </wp:positionV>
            <wp:extent cx="298450" cy="298450"/>
            <wp:effectExtent l="0" t="0" r="0" b="0"/>
            <wp:wrapNone/>
            <wp:docPr id="7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1.png"/>
                    <pic:cNvPicPr/>
                  </pic:nvPicPr>
                  <pic:blipFill>
                    <a:blip r:embed="rId24" cstate="print"/>
                    <a:stretch>
                      <a:fillRect/>
                    </a:stretch>
                  </pic:blipFill>
                  <pic:spPr>
                    <a:xfrm>
                      <a:off x="0" y="0"/>
                      <a:ext cx="298450" cy="298450"/>
                    </a:xfrm>
                    <a:prstGeom prst="rect">
                      <a:avLst/>
                    </a:prstGeom>
                  </pic:spPr>
                </pic:pic>
              </a:graphicData>
            </a:graphic>
          </wp:anchor>
        </w:drawing>
      </w:r>
      <w:r>
        <w:rPr>
          <w:color w:val="333333"/>
          <w:w w:val="110"/>
        </w:rPr>
        <w:t xml:space="preserve">In a </w:t>
      </w:r>
      <w:r>
        <w:rPr>
          <w:color w:val="333333"/>
          <w:spacing w:val="-2"/>
          <w:w w:val="110"/>
        </w:rPr>
        <w:t xml:space="preserve">JPA-based </w:t>
      </w:r>
      <w:r>
        <w:rPr>
          <w:color w:val="333333"/>
          <w:w w:val="110"/>
        </w:rPr>
        <w:t xml:space="preserve">app, you can choose to let Hibernate create the schema or use </w:t>
      </w:r>
      <w:r>
        <w:rPr>
          <w:rFonts w:ascii="MS Gothic"/>
          <w:color w:val="B02045"/>
          <w:w w:val="110"/>
        </w:rPr>
        <w:t>schema.sql</w:t>
      </w:r>
      <w:r>
        <w:rPr>
          <w:color w:val="333333"/>
          <w:w w:val="110"/>
        </w:rPr>
        <w:t xml:space="preserve">, but you cannot do both. Make sure to </w:t>
      </w:r>
      <w:proofErr w:type="gramStart"/>
      <w:r>
        <w:rPr>
          <w:color w:val="333333"/>
          <w:w w:val="110"/>
        </w:rPr>
        <w:t xml:space="preserve">disable  </w:t>
      </w:r>
      <w:r>
        <w:rPr>
          <w:rFonts w:ascii="MS Gothic"/>
          <w:color w:val="B02045"/>
          <w:w w:val="110"/>
        </w:rPr>
        <w:t>spring.jpa.hibernate.ddl</w:t>
      </w:r>
      <w:proofErr w:type="gramEnd"/>
      <w:r>
        <w:rPr>
          <w:rFonts w:ascii="MS Gothic"/>
          <w:color w:val="B02045"/>
          <w:w w:val="110"/>
        </w:rPr>
        <w:t>-auto</w:t>
      </w:r>
      <w:r>
        <w:rPr>
          <w:rFonts w:ascii="MS Gothic"/>
          <w:color w:val="B02045"/>
          <w:spacing w:val="-78"/>
          <w:w w:val="110"/>
        </w:rPr>
        <w:t xml:space="preserve"> </w:t>
      </w:r>
      <w:r>
        <w:rPr>
          <w:color w:val="333333"/>
          <w:w w:val="110"/>
        </w:rPr>
        <w:t xml:space="preserve">if you use </w:t>
      </w:r>
      <w:r>
        <w:rPr>
          <w:rFonts w:ascii="MS Gothic"/>
          <w:color w:val="B02045"/>
          <w:w w:val="110"/>
        </w:rPr>
        <w:t>schema.sql</w:t>
      </w:r>
      <w:r>
        <w:rPr>
          <w:color w:val="333333"/>
          <w:w w:val="110"/>
        </w:rPr>
        <w:t>.</w:t>
      </w:r>
    </w:p>
    <w:p w14:paraId="55395018" w14:textId="77777777" w:rsidR="00A720EB" w:rsidRDefault="00E10349">
      <w:pPr>
        <w:pStyle w:val="a3"/>
        <w:spacing w:before="10"/>
        <w:rPr>
          <w:sz w:val="12"/>
        </w:rPr>
      </w:pPr>
      <w:r>
        <w:pict w14:anchorId="565CA5C8">
          <v:group id="_x0000_s1333" style="position:absolute;margin-left:119.85pt;margin-top:9.55pt;width:415.55pt;height:37.5pt;z-index:-15056384;mso-wrap-distance-left:0;mso-wrap-distance-right:0;mso-position-horizontal-relative:page" coordorigin="2397,191" coordsize="8311,750">
            <v:shape id="_x0000_s1336" style="position:absolute;left:2404;top:198;width:8296;height:735" coordorigin="2405,199" coordsize="8296,735" path="m10621,199r-8136,l2454,205r-26,17l2411,247r-6,32l2405,853r6,31l2428,910r26,17l2485,933r8136,l10652,927r25,-17l10695,884r6,-31l10701,279r-6,-32l10677,222r-25,-17l10621,199xe" fillcolor="#f5f5f5" stroked="f">
              <v:path arrowok="t"/>
            </v:shape>
            <v:shape id="_x0000_s1335" style="position:absolute;left:2404;top:198;width:8296;height:735" coordorigin="2405,199" coordsize="8296,735" path="m2485,199r8136,l10652,205r25,17l10695,247r6,32l10701,853r-6,31l10677,910r-25,17l10621,933r-8136,l2454,927r-26,-17l2411,884r-6,-31l2405,279r6,-32l2428,222r26,-17l2485,199xe" filled="f" strokecolor="#ccc">
              <v:path arrowok="t"/>
            </v:shape>
            <v:shape id="_x0000_s1334" type="#_x0000_t202" style="position:absolute;left:2424;top:214;width:8258;height:704" filled="f" stroked="f">
              <v:textbox inset="0,0,0,0">
                <w:txbxContent>
                  <w:p w14:paraId="3B638CC5" w14:textId="77777777" w:rsidR="00711A16" w:rsidRDefault="00711A16">
                    <w:pPr>
                      <w:spacing w:before="221"/>
                      <w:ind w:left="200"/>
                      <w:rPr>
                        <w:rFonts w:ascii="MS Gothic"/>
                      </w:rPr>
                    </w:pPr>
                    <w:r>
                      <w:rPr>
                        <w:rFonts w:ascii="MS Gothic"/>
                        <w:color w:val="333333"/>
                      </w:rPr>
                      <w:t>spring.jpa.hibernate.ddl-auto=none</w:t>
                    </w:r>
                  </w:p>
                </w:txbxContent>
              </v:textbox>
            </v:shape>
            <w10:wrap type="topAndBottom" anchorx="page"/>
          </v:group>
        </w:pict>
      </w:r>
    </w:p>
    <w:p w14:paraId="12C29C43" w14:textId="77777777" w:rsidR="00A720EB" w:rsidRDefault="00A720EB">
      <w:pPr>
        <w:pStyle w:val="a3"/>
        <w:rPr>
          <w:sz w:val="10"/>
        </w:rPr>
      </w:pPr>
    </w:p>
    <w:p w14:paraId="4EF16D43" w14:textId="77777777" w:rsidR="00A720EB" w:rsidRDefault="0030286B">
      <w:pPr>
        <w:pStyle w:val="a3"/>
        <w:spacing w:before="125" w:line="297" w:lineRule="auto"/>
        <w:ind w:left="1564" w:right="361"/>
        <w:jc w:val="both"/>
      </w:pPr>
      <w:r>
        <w:rPr>
          <w:color w:val="333333"/>
          <w:w w:val="110"/>
        </w:rPr>
        <w:t xml:space="preserve">If you are using a </w:t>
      </w:r>
      <w:hyperlink w:anchor="_bookmark612" w:history="1">
        <w:r>
          <w:rPr>
            <w:color w:val="418BCA"/>
            <w:w w:val="110"/>
          </w:rPr>
          <w:t>Higher-level Database Migration Tool</w:t>
        </w:r>
      </w:hyperlink>
      <w:r>
        <w:rPr>
          <w:color w:val="333333"/>
          <w:w w:val="110"/>
        </w:rPr>
        <w:t xml:space="preserve">, like Flyway or Liquibase, you should use them alone to create and initialize the schema. Using the basic </w:t>
      </w:r>
      <w:r>
        <w:rPr>
          <w:rFonts w:ascii="MS Gothic"/>
          <w:color w:val="B02045"/>
          <w:w w:val="110"/>
        </w:rPr>
        <w:t>schema.sql</w:t>
      </w:r>
      <w:r>
        <w:rPr>
          <w:rFonts w:ascii="MS Gothic"/>
          <w:color w:val="B02045"/>
          <w:spacing w:val="-76"/>
          <w:w w:val="110"/>
        </w:rPr>
        <w:t xml:space="preserve"> </w:t>
      </w:r>
      <w:r>
        <w:rPr>
          <w:color w:val="333333"/>
          <w:w w:val="110"/>
        </w:rPr>
        <w:t>and</w:t>
      </w:r>
      <w:r>
        <w:rPr>
          <w:color w:val="333333"/>
          <w:spacing w:val="-11"/>
          <w:w w:val="110"/>
        </w:rPr>
        <w:t xml:space="preserve"> </w:t>
      </w:r>
      <w:r>
        <w:rPr>
          <w:rFonts w:ascii="MS Gothic"/>
          <w:color w:val="B02045"/>
          <w:w w:val="110"/>
        </w:rPr>
        <w:t>data.sql</w:t>
      </w:r>
      <w:r>
        <w:rPr>
          <w:rFonts w:ascii="MS Gothic"/>
          <w:color w:val="B02045"/>
          <w:spacing w:val="-75"/>
          <w:w w:val="110"/>
        </w:rPr>
        <w:t xml:space="preserve"> </w:t>
      </w:r>
      <w:r>
        <w:rPr>
          <w:color w:val="333333"/>
          <w:w w:val="110"/>
        </w:rPr>
        <w:t>scripts</w:t>
      </w:r>
      <w:r>
        <w:rPr>
          <w:color w:val="333333"/>
          <w:spacing w:val="-11"/>
          <w:w w:val="110"/>
        </w:rPr>
        <w:t xml:space="preserve"> </w:t>
      </w:r>
      <w:r>
        <w:rPr>
          <w:color w:val="333333"/>
          <w:w w:val="110"/>
        </w:rPr>
        <w:t>alongside</w:t>
      </w:r>
      <w:r>
        <w:rPr>
          <w:color w:val="333333"/>
          <w:spacing w:val="-12"/>
          <w:w w:val="110"/>
        </w:rPr>
        <w:t xml:space="preserve"> </w:t>
      </w:r>
      <w:r>
        <w:rPr>
          <w:color w:val="333333"/>
          <w:w w:val="110"/>
        </w:rPr>
        <w:t>Flyway</w:t>
      </w:r>
      <w:r>
        <w:rPr>
          <w:color w:val="333333"/>
          <w:spacing w:val="-11"/>
          <w:w w:val="110"/>
        </w:rPr>
        <w:t xml:space="preserve"> </w:t>
      </w:r>
      <w:r>
        <w:rPr>
          <w:color w:val="333333"/>
          <w:w w:val="110"/>
        </w:rPr>
        <w:t>or</w:t>
      </w:r>
      <w:r>
        <w:rPr>
          <w:color w:val="333333"/>
          <w:spacing w:val="-11"/>
          <w:w w:val="110"/>
        </w:rPr>
        <w:t xml:space="preserve"> </w:t>
      </w:r>
      <w:r>
        <w:rPr>
          <w:color w:val="333333"/>
          <w:w w:val="110"/>
        </w:rPr>
        <w:t>Liquibase</w:t>
      </w:r>
      <w:r>
        <w:rPr>
          <w:color w:val="333333"/>
          <w:spacing w:val="-10"/>
          <w:w w:val="110"/>
        </w:rPr>
        <w:t xml:space="preserve"> </w:t>
      </w:r>
      <w:r>
        <w:rPr>
          <w:color w:val="333333"/>
          <w:w w:val="110"/>
        </w:rPr>
        <w:t>is</w:t>
      </w:r>
      <w:r>
        <w:rPr>
          <w:color w:val="333333"/>
          <w:spacing w:val="-12"/>
          <w:w w:val="110"/>
        </w:rPr>
        <w:t xml:space="preserve"> </w:t>
      </w:r>
      <w:r>
        <w:rPr>
          <w:color w:val="333333"/>
          <w:w w:val="110"/>
        </w:rPr>
        <w:t>not</w:t>
      </w:r>
      <w:r>
        <w:rPr>
          <w:color w:val="333333"/>
          <w:spacing w:val="-11"/>
          <w:w w:val="110"/>
        </w:rPr>
        <w:t xml:space="preserve"> </w:t>
      </w:r>
      <w:r>
        <w:rPr>
          <w:color w:val="333333"/>
          <w:w w:val="110"/>
        </w:rPr>
        <w:t>recommended and support will be removed in a future</w:t>
      </w:r>
      <w:r>
        <w:rPr>
          <w:color w:val="333333"/>
          <w:spacing w:val="27"/>
          <w:w w:val="110"/>
        </w:rPr>
        <w:t xml:space="preserve"> </w:t>
      </w:r>
      <w:r>
        <w:rPr>
          <w:color w:val="333333"/>
          <w:w w:val="110"/>
        </w:rPr>
        <w:t>release.</w:t>
      </w:r>
    </w:p>
    <w:p w14:paraId="1EF982A7" w14:textId="77777777" w:rsidR="00A720EB" w:rsidRDefault="00A720EB">
      <w:pPr>
        <w:pStyle w:val="a3"/>
        <w:spacing w:before="5"/>
        <w:rPr>
          <w:sz w:val="28"/>
        </w:rPr>
      </w:pPr>
    </w:p>
    <w:p w14:paraId="6515F5F1" w14:textId="77777777" w:rsidR="00A720EB" w:rsidRDefault="0030286B">
      <w:pPr>
        <w:pStyle w:val="a3"/>
        <w:spacing w:line="302" w:lineRule="auto"/>
        <w:ind w:left="124" w:right="127"/>
        <w:jc w:val="both"/>
      </w:pPr>
      <w:r>
        <w:rPr>
          <w:color w:val="333333"/>
          <w:w w:val="110"/>
        </w:rPr>
        <w:t xml:space="preserve">By default, Spring Boot enables the fail-fast feature of the Spring JDBC initializer. This means that, if the scripts cause exceptions, the application fails to start. You can tune that behavior by setting </w:t>
      </w:r>
      <w:proofErr w:type="gramStart"/>
      <w:r>
        <w:rPr>
          <w:rFonts w:ascii="MS Gothic"/>
          <w:color w:val="B02045"/>
          <w:w w:val="110"/>
        </w:rPr>
        <w:t>spring.datasource</w:t>
      </w:r>
      <w:proofErr w:type="gramEnd"/>
      <w:r>
        <w:rPr>
          <w:rFonts w:ascii="MS Gothic"/>
          <w:color w:val="B02045"/>
          <w:w w:val="110"/>
        </w:rPr>
        <w:t>.continue-on-error</w:t>
      </w:r>
      <w:r>
        <w:rPr>
          <w:color w:val="333333"/>
          <w:w w:val="110"/>
        </w:rPr>
        <w:t>.</w:t>
      </w:r>
    </w:p>
    <w:p w14:paraId="1688FE03" w14:textId="77777777" w:rsidR="00A720EB" w:rsidRDefault="00A720EB">
      <w:pPr>
        <w:pStyle w:val="a3"/>
        <w:spacing w:before="7"/>
        <w:rPr>
          <w:sz w:val="24"/>
        </w:rPr>
      </w:pPr>
    </w:p>
    <w:p w14:paraId="20857C4E" w14:textId="77777777" w:rsidR="00A720EB" w:rsidRDefault="0030286B">
      <w:pPr>
        <w:pStyle w:val="3"/>
        <w:numPr>
          <w:ilvl w:val="2"/>
          <w:numId w:val="13"/>
        </w:numPr>
        <w:tabs>
          <w:tab w:val="left" w:pos="1003"/>
        </w:tabs>
        <w:ind w:left="1002" w:hanging="879"/>
      </w:pPr>
      <w:bookmarkStart w:id="935" w:name="9.10.4._Initialize_a_Database_Using_R2DB"/>
      <w:bookmarkStart w:id="936" w:name="_Toc54423988"/>
      <w:bookmarkEnd w:id="935"/>
      <w:r>
        <w:rPr>
          <w:color w:val="333333"/>
          <w:w w:val="110"/>
        </w:rPr>
        <w:t>Initialize a Database Using</w:t>
      </w:r>
      <w:r>
        <w:rPr>
          <w:color w:val="333333"/>
          <w:spacing w:val="-27"/>
          <w:w w:val="110"/>
        </w:rPr>
        <w:t xml:space="preserve"> </w:t>
      </w:r>
      <w:r>
        <w:rPr>
          <w:color w:val="333333"/>
          <w:w w:val="110"/>
        </w:rPr>
        <w:t>R2DBC</w:t>
      </w:r>
      <w:bookmarkEnd w:id="936"/>
    </w:p>
    <w:p w14:paraId="3BFE6D31" w14:textId="77777777" w:rsidR="00A720EB" w:rsidRDefault="0030286B">
      <w:pPr>
        <w:pStyle w:val="a3"/>
        <w:spacing w:before="243" w:line="290" w:lineRule="auto"/>
        <w:ind w:left="124" w:right="127"/>
        <w:jc w:val="both"/>
      </w:pPr>
      <w:r>
        <w:rPr>
          <w:color w:val="333333"/>
          <w:w w:val="110"/>
        </w:rPr>
        <w:t xml:space="preserve">If you are using R2DBC, the regular </w:t>
      </w:r>
      <w:r>
        <w:rPr>
          <w:rFonts w:ascii="MS Gothic"/>
          <w:color w:val="B02045"/>
          <w:w w:val="110"/>
        </w:rPr>
        <w:t xml:space="preserve">DataSource </w:t>
      </w:r>
      <w:r>
        <w:rPr>
          <w:color w:val="333333"/>
          <w:w w:val="110"/>
        </w:rPr>
        <w:t>auto-configuration backs off so none of the options described above can be used.</w:t>
      </w:r>
    </w:p>
    <w:p w14:paraId="2AAFB4C3" w14:textId="77777777" w:rsidR="00A720EB" w:rsidRDefault="00A720EB">
      <w:pPr>
        <w:pStyle w:val="a3"/>
        <w:rPr>
          <w:sz w:val="22"/>
        </w:rPr>
      </w:pPr>
    </w:p>
    <w:p w14:paraId="31B66D04" w14:textId="77777777" w:rsidR="00A720EB" w:rsidRDefault="0030286B">
      <w:pPr>
        <w:pStyle w:val="a3"/>
        <w:spacing w:line="307" w:lineRule="auto"/>
        <w:ind w:left="124" w:right="135"/>
        <w:jc w:val="both"/>
      </w:pPr>
      <w:r>
        <w:rPr>
          <w:color w:val="333333"/>
          <w:w w:val="110"/>
        </w:rPr>
        <w:t>If you are using Spring Data R2DBC, you can initialize the database on startup using SQL scripts as shown in the following example:</w:t>
      </w:r>
    </w:p>
    <w:p w14:paraId="3E80F391" w14:textId="77777777" w:rsidR="00A720EB" w:rsidRDefault="00E10349">
      <w:pPr>
        <w:pStyle w:val="a3"/>
        <w:spacing w:before="2"/>
        <w:rPr>
          <w:sz w:val="13"/>
        </w:rPr>
      </w:pPr>
      <w:r>
        <w:pict w14:anchorId="3B50D015">
          <v:group id="_x0000_s1329" style="position:absolute;margin-left:47.85pt;margin-top:9.7pt;width:499.55pt;height:214.4pt;z-index:-15055872;mso-wrap-distance-left:0;mso-wrap-distance-right:0;mso-position-horizontal-relative:page" coordorigin="957,194" coordsize="9991,4288">
            <v:shape id="_x0000_s1332" style="position:absolute;left:964;top:202;width:9976;height:4273" coordorigin="965,202" coordsize="9976,4273" path="m10861,202r-9816,l1014,208r-26,17l971,251r-6,31l965,4394r6,32l988,4451r26,17l1045,4474r9816,l10892,4468r25,-17l10935,4426r6,-32l10941,282r-6,-31l10917,225r-25,-17l10861,202xe" fillcolor="#f5f5f5" stroked="f">
              <v:path arrowok="t"/>
            </v:shape>
            <v:shape id="_x0000_s1331" style="position:absolute;left:964;top:202;width:9976;height:4273" coordorigin="965,202" coordsize="9976,4273" path="m1045,202r9816,l10892,208r25,17l10935,251r6,31l10941,4394r-6,32l10917,4451r-25,17l10861,4474r-9816,l1014,4468r-26,-17l971,4426r-6,-32l965,282r6,-31l988,225r26,-17l1045,202xe" filled="f" strokecolor="#ccc">
              <v:path arrowok="t"/>
            </v:shape>
            <v:shape id="_x0000_s1330" type="#_x0000_t202" style="position:absolute;left:984;top:217;width:9938;height:4242" filled="f" stroked="f">
              <v:textbox inset="0,0,0,0">
                <w:txbxContent>
                  <w:p w14:paraId="58A6C4DD"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w:t>
                    </w:r>
                  </w:p>
                  <w:p w14:paraId="10DB3AD0" w14:textId="77777777" w:rsidR="00711A16" w:rsidRDefault="00711A16">
                    <w:pPr>
                      <w:spacing w:before="13"/>
                      <w:ind w:left="200"/>
                      <w:rPr>
                        <w:rFonts w:ascii="MS Gothic"/>
                      </w:rPr>
                    </w:pPr>
                    <w:r>
                      <w:rPr>
                        <w:rFonts w:ascii="MS Gothic"/>
                        <w:color w:val="333333"/>
                      </w:rPr>
                      <w:t>static class DatabaseInitializationConfiguration {</w:t>
                    </w:r>
                  </w:p>
                  <w:p w14:paraId="456BFFF3" w14:textId="77777777" w:rsidR="00711A16" w:rsidRDefault="00711A16">
                    <w:pPr>
                      <w:rPr>
                        <w:rFonts w:ascii="MS Gothic"/>
                        <w:sz w:val="24"/>
                      </w:rPr>
                    </w:pPr>
                  </w:p>
                  <w:p w14:paraId="5B46E491" w14:textId="77777777" w:rsidR="00711A16" w:rsidRDefault="00711A16">
                    <w:pPr>
                      <w:ind w:left="640"/>
                      <w:rPr>
                        <w:rFonts w:ascii="MS Gothic"/>
                      </w:rPr>
                    </w:pPr>
                    <w:r>
                      <w:rPr>
                        <w:rFonts w:ascii="MS Gothic"/>
                        <w:color w:val="333333"/>
                      </w:rPr>
                      <w:t>@Autowired</w:t>
                    </w:r>
                  </w:p>
                  <w:p w14:paraId="49BB7FF8" w14:textId="77777777" w:rsidR="00711A16" w:rsidRDefault="00711A16">
                    <w:pPr>
                      <w:spacing w:before="13" w:line="252" w:lineRule="auto"/>
                      <w:ind w:left="1080" w:right="2238" w:hanging="440"/>
                      <w:rPr>
                        <w:rFonts w:ascii="MS Gothic"/>
                      </w:rPr>
                    </w:pPr>
                    <w:r>
                      <w:rPr>
                        <w:rFonts w:ascii="MS Gothic"/>
                        <w:color w:val="333333"/>
                      </w:rPr>
                      <w:t xml:space="preserve">void </w:t>
                    </w:r>
                    <w:proofErr w:type="gramStart"/>
                    <w:r>
                      <w:rPr>
                        <w:rFonts w:ascii="MS Gothic"/>
                        <w:color w:val="333333"/>
                      </w:rPr>
                      <w:t>initializeDatabase(</w:t>
                    </w:r>
                    <w:proofErr w:type="gramEnd"/>
                    <w:r>
                      <w:rPr>
                        <w:rFonts w:ascii="MS Gothic"/>
                        <w:color w:val="333333"/>
                      </w:rPr>
                      <w:t>ConnectionFactory connectionFactory) { ResourceLoader resourceLoader = new DefaultResourceLoader(); Resource[] scripts = new Resource[] {</w:t>
                    </w:r>
                  </w:p>
                  <w:p w14:paraId="39291926" w14:textId="77777777" w:rsidR="00711A16" w:rsidRDefault="00711A16">
                    <w:pPr>
                      <w:spacing w:line="278" w:lineRule="exact"/>
                      <w:ind w:left="200"/>
                      <w:rPr>
                        <w:rFonts w:ascii="MS Gothic"/>
                      </w:rPr>
                    </w:pPr>
                    <w:r>
                      <w:rPr>
                        <w:rFonts w:ascii="MS Gothic"/>
                        <w:color w:val="333333"/>
                      </w:rPr>
                      <w:t>resourceLoader.getResource("</w:t>
                    </w:r>
                    <w:proofErr w:type="gramStart"/>
                    <w:r>
                      <w:rPr>
                        <w:rFonts w:ascii="MS Gothic"/>
                        <w:color w:val="333333"/>
                      </w:rPr>
                      <w:t>classpath:schema.sql</w:t>
                    </w:r>
                    <w:proofErr w:type="gramEnd"/>
                    <w:r>
                      <w:rPr>
                        <w:rFonts w:ascii="MS Gothic"/>
                        <w:color w:val="333333"/>
                      </w:rPr>
                      <w:t>"),</w:t>
                    </w:r>
                  </w:p>
                  <w:p w14:paraId="78B6884A" w14:textId="77777777" w:rsidR="00711A16" w:rsidRDefault="00711A16">
                    <w:pPr>
                      <w:spacing w:before="13"/>
                      <w:ind w:left="1960"/>
                      <w:rPr>
                        <w:rFonts w:ascii="MS Gothic"/>
                      </w:rPr>
                    </w:pPr>
                    <w:r>
                      <w:rPr>
                        <w:rFonts w:ascii="MS Gothic"/>
                        <w:color w:val="333333"/>
                      </w:rPr>
                      <w:t>resourceLoader.getResource("</w:t>
                    </w:r>
                    <w:proofErr w:type="gramStart"/>
                    <w:r>
                      <w:rPr>
                        <w:rFonts w:ascii="MS Gothic"/>
                        <w:color w:val="333333"/>
                      </w:rPr>
                      <w:t>classpath:data.sql</w:t>
                    </w:r>
                    <w:proofErr w:type="gramEnd"/>
                    <w:r>
                      <w:rPr>
                        <w:rFonts w:ascii="MS Gothic"/>
                        <w:color w:val="333333"/>
                      </w:rPr>
                      <w:t>") };</w:t>
                    </w:r>
                  </w:p>
                  <w:p w14:paraId="0D9775A6" w14:textId="77777777" w:rsidR="00711A16" w:rsidRDefault="00711A16">
                    <w:pPr>
                      <w:spacing w:before="13"/>
                      <w:ind w:left="1080"/>
                      <w:rPr>
                        <w:rFonts w:ascii="MS Gothic"/>
                      </w:rPr>
                    </w:pPr>
                    <w:r>
                      <w:rPr>
                        <w:rFonts w:ascii="MS Gothic"/>
                        <w:color w:val="333333"/>
                      </w:rPr>
                      <w:t>new ResourceDatabasePopulator(scripts</w:t>
                    </w:r>
                    <w:proofErr w:type="gramStart"/>
                    <w:r>
                      <w:rPr>
                        <w:rFonts w:ascii="MS Gothic"/>
                        <w:color w:val="333333"/>
                      </w:rPr>
                      <w:t>).execute</w:t>
                    </w:r>
                    <w:proofErr w:type="gramEnd"/>
                    <w:r>
                      <w:rPr>
                        <w:rFonts w:ascii="MS Gothic"/>
                        <w:color w:val="333333"/>
                      </w:rPr>
                      <w:t>(connectionFactory).block();</w:t>
                    </w:r>
                  </w:p>
                  <w:p w14:paraId="0689110A" w14:textId="77777777" w:rsidR="00711A16" w:rsidRDefault="00711A16">
                    <w:pPr>
                      <w:spacing w:before="13"/>
                      <w:ind w:left="640"/>
                      <w:rPr>
                        <w:rFonts w:ascii="MS Gothic"/>
                      </w:rPr>
                    </w:pPr>
                    <w:r>
                      <w:rPr>
                        <w:rFonts w:ascii="MS Gothic"/>
                        <w:color w:val="333333"/>
                      </w:rPr>
                      <w:t>}</w:t>
                    </w:r>
                  </w:p>
                  <w:p w14:paraId="535F54CB" w14:textId="77777777" w:rsidR="00711A16" w:rsidRDefault="00711A16">
                    <w:pPr>
                      <w:rPr>
                        <w:rFonts w:ascii="MS Gothic"/>
                        <w:sz w:val="24"/>
                      </w:rPr>
                    </w:pPr>
                  </w:p>
                  <w:p w14:paraId="0B44D760" w14:textId="77777777" w:rsidR="00711A16" w:rsidRDefault="00711A16">
                    <w:pPr>
                      <w:ind w:left="200"/>
                      <w:rPr>
                        <w:rFonts w:ascii="MS Gothic"/>
                      </w:rPr>
                    </w:pPr>
                    <w:r>
                      <w:rPr>
                        <w:rFonts w:ascii="MS Gothic"/>
                        <w:color w:val="333333"/>
                      </w:rPr>
                      <w:t>}</w:t>
                    </w:r>
                  </w:p>
                </w:txbxContent>
              </v:textbox>
            </v:shape>
            <w10:wrap type="topAndBottom" anchorx="page"/>
          </v:group>
        </w:pict>
      </w:r>
    </w:p>
    <w:p w14:paraId="740CD598" w14:textId="77777777" w:rsidR="00A720EB" w:rsidRDefault="00A720EB">
      <w:pPr>
        <w:pStyle w:val="a3"/>
        <w:spacing w:before="11"/>
        <w:rPr>
          <w:sz w:val="9"/>
        </w:rPr>
      </w:pPr>
    </w:p>
    <w:p w14:paraId="2B6B12D8" w14:textId="77777777" w:rsidR="00A720EB" w:rsidRDefault="0030286B">
      <w:pPr>
        <w:pStyle w:val="a3"/>
        <w:spacing w:before="115" w:line="280" w:lineRule="auto"/>
        <w:ind w:left="124" w:right="123"/>
      </w:pPr>
      <w:r>
        <w:rPr>
          <w:color w:val="333333"/>
          <w:spacing w:val="-3"/>
          <w:w w:val="110"/>
        </w:rPr>
        <w:t xml:space="preserve">Alternatively, </w:t>
      </w:r>
      <w:r>
        <w:rPr>
          <w:color w:val="333333"/>
          <w:w w:val="110"/>
        </w:rPr>
        <w:t xml:space="preserve">you can configure either </w:t>
      </w:r>
      <w:hyperlink w:anchor="_bookmark613" w:history="1">
        <w:r>
          <w:rPr>
            <w:color w:val="418BCA"/>
            <w:w w:val="110"/>
          </w:rPr>
          <w:t>Flyway</w:t>
        </w:r>
      </w:hyperlink>
      <w:r>
        <w:rPr>
          <w:color w:val="418BCA"/>
          <w:w w:val="110"/>
        </w:rPr>
        <w:t xml:space="preserve"> </w:t>
      </w:r>
      <w:r>
        <w:rPr>
          <w:color w:val="333333"/>
          <w:w w:val="110"/>
        </w:rPr>
        <w:t xml:space="preserve">or </w:t>
      </w:r>
      <w:hyperlink w:anchor="_bookmark614" w:history="1">
        <w:r>
          <w:rPr>
            <w:color w:val="418BCA"/>
            <w:w w:val="110"/>
          </w:rPr>
          <w:t>Liquibase</w:t>
        </w:r>
      </w:hyperlink>
      <w:r>
        <w:rPr>
          <w:color w:val="418BCA"/>
          <w:w w:val="110"/>
        </w:rPr>
        <w:t xml:space="preserve"> </w:t>
      </w:r>
      <w:r>
        <w:rPr>
          <w:color w:val="333333"/>
          <w:w w:val="110"/>
        </w:rPr>
        <w:t xml:space="preserve">to configure a </w:t>
      </w:r>
      <w:r>
        <w:rPr>
          <w:rFonts w:ascii="MS Gothic"/>
          <w:color w:val="B02045"/>
          <w:w w:val="110"/>
        </w:rPr>
        <w:t xml:space="preserve">DataSource </w:t>
      </w:r>
      <w:r>
        <w:rPr>
          <w:color w:val="333333"/>
          <w:w w:val="110"/>
        </w:rPr>
        <w:t>for you for   the</w:t>
      </w:r>
      <w:r>
        <w:rPr>
          <w:color w:val="333333"/>
          <w:spacing w:val="41"/>
          <w:w w:val="110"/>
        </w:rPr>
        <w:t xml:space="preserve"> </w:t>
      </w:r>
      <w:r>
        <w:rPr>
          <w:color w:val="333333"/>
          <w:w w:val="110"/>
        </w:rPr>
        <w:t>duration</w:t>
      </w:r>
      <w:r>
        <w:rPr>
          <w:color w:val="333333"/>
          <w:spacing w:val="40"/>
          <w:w w:val="110"/>
        </w:rPr>
        <w:t xml:space="preserve"> </w:t>
      </w:r>
      <w:r>
        <w:rPr>
          <w:color w:val="333333"/>
          <w:w w:val="110"/>
        </w:rPr>
        <w:t>of</w:t>
      </w:r>
      <w:r>
        <w:rPr>
          <w:color w:val="333333"/>
          <w:spacing w:val="41"/>
          <w:w w:val="110"/>
        </w:rPr>
        <w:t xml:space="preserve"> </w:t>
      </w:r>
      <w:r>
        <w:rPr>
          <w:color w:val="333333"/>
          <w:w w:val="110"/>
        </w:rPr>
        <w:t>the</w:t>
      </w:r>
      <w:r>
        <w:rPr>
          <w:color w:val="333333"/>
          <w:spacing w:val="41"/>
          <w:w w:val="110"/>
        </w:rPr>
        <w:t xml:space="preserve"> </w:t>
      </w:r>
      <w:r>
        <w:rPr>
          <w:color w:val="333333"/>
          <w:w w:val="110"/>
        </w:rPr>
        <w:t>migration.</w:t>
      </w:r>
      <w:r>
        <w:rPr>
          <w:color w:val="333333"/>
          <w:spacing w:val="40"/>
          <w:w w:val="110"/>
        </w:rPr>
        <w:t xml:space="preserve"> </w:t>
      </w:r>
      <w:r>
        <w:rPr>
          <w:color w:val="333333"/>
          <w:w w:val="110"/>
        </w:rPr>
        <w:t>Both</w:t>
      </w:r>
      <w:r>
        <w:rPr>
          <w:color w:val="333333"/>
          <w:spacing w:val="41"/>
          <w:w w:val="110"/>
        </w:rPr>
        <w:t xml:space="preserve"> </w:t>
      </w:r>
      <w:r>
        <w:rPr>
          <w:color w:val="333333"/>
          <w:w w:val="110"/>
        </w:rPr>
        <w:t>these</w:t>
      </w:r>
      <w:r>
        <w:rPr>
          <w:color w:val="333333"/>
          <w:spacing w:val="41"/>
          <w:w w:val="110"/>
        </w:rPr>
        <w:t xml:space="preserve"> </w:t>
      </w:r>
      <w:r>
        <w:rPr>
          <w:color w:val="333333"/>
          <w:w w:val="110"/>
        </w:rPr>
        <w:t>libraries</w:t>
      </w:r>
      <w:r>
        <w:rPr>
          <w:color w:val="333333"/>
          <w:spacing w:val="40"/>
          <w:w w:val="110"/>
        </w:rPr>
        <w:t xml:space="preserve"> </w:t>
      </w:r>
      <w:r>
        <w:rPr>
          <w:color w:val="333333"/>
          <w:w w:val="110"/>
        </w:rPr>
        <w:t>offer</w:t>
      </w:r>
      <w:r>
        <w:rPr>
          <w:color w:val="333333"/>
          <w:spacing w:val="41"/>
          <w:w w:val="110"/>
        </w:rPr>
        <w:t xml:space="preserve"> </w:t>
      </w:r>
      <w:r>
        <w:rPr>
          <w:color w:val="333333"/>
          <w:w w:val="110"/>
        </w:rPr>
        <w:t>properties</w:t>
      </w:r>
      <w:r>
        <w:rPr>
          <w:color w:val="333333"/>
          <w:spacing w:val="40"/>
          <w:w w:val="110"/>
        </w:rPr>
        <w:t xml:space="preserve"> </w:t>
      </w:r>
      <w:r>
        <w:rPr>
          <w:color w:val="333333"/>
          <w:w w:val="110"/>
        </w:rPr>
        <w:t>to</w:t>
      </w:r>
      <w:r>
        <w:rPr>
          <w:color w:val="333333"/>
          <w:spacing w:val="41"/>
          <w:w w:val="110"/>
        </w:rPr>
        <w:t xml:space="preserve"> </w:t>
      </w:r>
      <w:r>
        <w:rPr>
          <w:color w:val="333333"/>
          <w:w w:val="110"/>
        </w:rPr>
        <w:t>set</w:t>
      </w:r>
      <w:r>
        <w:rPr>
          <w:color w:val="333333"/>
          <w:spacing w:val="41"/>
          <w:w w:val="110"/>
        </w:rPr>
        <w:t xml:space="preserve"> </w:t>
      </w:r>
      <w:r>
        <w:rPr>
          <w:color w:val="333333"/>
          <w:w w:val="110"/>
        </w:rPr>
        <w:t>the</w:t>
      </w:r>
      <w:r>
        <w:rPr>
          <w:color w:val="333333"/>
          <w:spacing w:val="49"/>
          <w:w w:val="110"/>
        </w:rPr>
        <w:t xml:space="preserve"> </w:t>
      </w:r>
      <w:r>
        <w:rPr>
          <w:rFonts w:ascii="MS Gothic"/>
          <w:color w:val="B02045"/>
          <w:w w:val="110"/>
        </w:rPr>
        <w:t>url</w:t>
      </w:r>
      <w:r>
        <w:rPr>
          <w:color w:val="333333"/>
          <w:w w:val="110"/>
        </w:rPr>
        <w:t>,</w:t>
      </w:r>
      <w:r>
        <w:rPr>
          <w:color w:val="333333"/>
          <w:spacing w:val="41"/>
          <w:w w:val="110"/>
        </w:rPr>
        <w:t xml:space="preserve"> </w:t>
      </w:r>
      <w:r>
        <w:rPr>
          <w:rFonts w:ascii="MS Gothic"/>
          <w:color w:val="B02045"/>
          <w:w w:val="110"/>
        </w:rPr>
        <w:t>username</w:t>
      </w:r>
      <w:r>
        <w:rPr>
          <w:rFonts w:ascii="MS Gothic"/>
          <w:color w:val="B02045"/>
          <w:spacing w:val="-24"/>
          <w:w w:val="110"/>
        </w:rPr>
        <w:t xml:space="preserve"> </w:t>
      </w:r>
      <w:r>
        <w:rPr>
          <w:color w:val="333333"/>
          <w:w w:val="110"/>
        </w:rPr>
        <w:t>and</w:t>
      </w:r>
    </w:p>
    <w:p w14:paraId="45BEAE3A" w14:textId="77777777" w:rsidR="00A720EB" w:rsidRDefault="00A720EB">
      <w:pPr>
        <w:spacing w:line="280" w:lineRule="auto"/>
        <w:sectPr w:rsidR="00A720EB">
          <w:pgSz w:w="11910" w:h="16840"/>
          <w:pgMar w:top="700" w:right="840" w:bottom="520" w:left="840" w:header="0" w:footer="323" w:gutter="0"/>
          <w:cols w:space="720"/>
        </w:sectPr>
      </w:pPr>
    </w:p>
    <w:p w14:paraId="3F2EC508" w14:textId="77777777" w:rsidR="00A720EB" w:rsidRDefault="0030286B">
      <w:pPr>
        <w:pStyle w:val="a3"/>
        <w:spacing w:before="96"/>
        <w:ind w:left="124"/>
        <w:jc w:val="both"/>
      </w:pPr>
      <w:r>
        <w:rPr>
          <w:rFonts w:ascii="MS Gothic"/>
          <w:color w:val="B02045"/>
          <w:w w:val="110"/>
        </w:rPr>
        <w:lastRenderedPageBreak/>
        <w:t>password</w:t>
      </w:r>
      <w:r>
        <w:rPr>
          <w:rFonts w:ascii="MS Gothic"/>
          <w:color w:val="B02045"/>
          <w:spacing w:val="-53"/>
          <w:w w:val="110"/>
        </w:rPr>
        <w:t xml:space="preserve"> </w:t>
      </w:r>
      <w:r>
        <w:rPr>
          <w:color w:val="333333"/>
          <w:w w:val="110"/>
        </w:rPr>
        <w:t>of the database to migrate.</w:t>
      </w:r>
    </w:p>
    <w:p w14:paraId="00499535" w14:textId="77777777" w:rsidR="00A720EB" w:rsidRDefault="00A720EB">
      <w:pPr>
        <w:pStyle w:val="a3"/>
        <w:spacing w:before="3"/>
        <w:rPr>
          <w:sz w:val="31"/>
        </w:rPr>
      </w:pPr>
    </w:p>
    <w:p w14:paraId="21EDC8CE" w14:textId="77777777" w:rsidR="00A720EB" w:rsidRDefault="00E10349">
      <w:pPr>
        <w:pStyle w:val="a3"/>
        <w:spacing w:line="290" w:lineRule="auto"/>
        <w:ind w:left="1564"/>
      </w:pPr>
      <w:r>
        <w:pict w14:anchorId="264B9B15">
          <v:line id="_x0000_s1328" style="position:absolute;left:0;text-align:left;z-index:16404480;mso-position-horizontal-relative:page" from="108.25pt,-5.45pt" to="108.25pt,34.1pt" strokecolor="#ededed" strokeweight=".5pt">
            <w10:wrap anchorx="page"/>
          </v:line>
        </w:pict>
      </w:r>
      <w:r w:rsidR="0030286B">
        <w:rPr>
          <w:noProof/>
        </w:rPr>
        <w:drawing>
          <wp:anchor distT="0" distB="0" distL="0" distR="0" simplePos="0" relativeHeight="16404992" behindDoc="0" locked="0" layoutInCell="1" allowOverlap="1" wp14:anchorId="3D894C38" wp14:editId="573DE725">
            <wp:simplePos x="0" y="0"/>
            <wp:positionH relativeFrom="page">
              <wp:posOffset>844422</wp:posOffset>
            </wp:positionH>
            <wp:positionV relativeFrom="paragraph">
              <wp:posOffset>32588</wp:posOffset>
            </wp:positionV>
            <wp:extent cx="298450" cy="298450"/>
            <wp:effectExtent l="0" t="0" r="0" b="0"/>
            <wp:wrapNone/>
            <wp:docPr id="7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When choosing this option, </w:t>
      </w:r>
      <w:proofErr w:type="gramStart"/>
      <w:r w:rsidR="0030286B">
        <w:rPr>
          <w:rFonts w:ascii="MS Gothic"/>
          <w:color w:val="B02045"/>
          <w:w w:val="110"/>
        </w:rPr>
        <w:t>org.springframework</w:t>
      </w:r>
      <w:proofErr w:type="gramEnd"/>
      <w:r w:rsidR="0030286B">
        <w:rPr>
          <w:rFonts w:ascii="MS Gothic"/>
          <w:color w:val="B02045"/>
          <w:w w:val="110"/>
        </w:rPr>
        <w:t xml:space="preserve">:spring-jdbc </w:t>
      </w:r>
      <w:r w:rsidR="0030286B">
        <w:rPr>
          <w:color w:val="333333"/>
          <w:w w:val="110"/>
        </w:rPr>
        <w:t>is still a required dependency.</w:t>
      </w:r>
    </w:p>
    <w:p w14:paraId="3A3D434E" w14:textId="77777777" w:rsidR="00A720EB" w:rsidRDefault="00A720EB">
      <w:pPr>
        <w:pStyle w:val="a3"/>
        <w:spacing w:before="1"/>
        <w:rPr>
          <w:sz w:val="34"/>
        </w:rPr>
      </w:pPr>
    </w:p>
    <w:p w14:paraId="5B4BDF9A" w14:textId="77777777" w:rsidR="00A720EB" w:rsidRDefault="0030286B">
      <w:pPr>
        <w:pStyle w:val="3"/>
        <w:numPr>
          <w:ilvl w:val="2"/>
          <w:numId w:val="13"/>
        </w:numPr>
        <w:tabs>
          <w:tab w:val="left" w:pos="1003"/>
        </w:tabs>
        <w:ind w:left="1002" w:hanging="879"/>
      </w:pPr>
      <w:bookmarkStart w:id="937" w:name="9.10.5._Initialize_a_Spring_Batch_Databa"/>
      <w:bookmarkStart w:id="938" w:name="_Toc54423989"/>
      <w:bookmarkEnd w:id="937"/>
      <w:r>
        <w:rPr>
          <w:color w:val="333333"/>
          <w:w w:val="110"/>
        </w:rPr>
        <w:t>Initialize a Spring Batch</w:t>
      </w:r>
      <w:r>
        <w:rPr>
          <w:color w:val="333333"/>
          <w:spacing w:val="-22"/>
          <w:w w:val="110"/>
        </w:rPr>
        <w:t xml:space="preserve"> </w:t>
      </w:r>
      <w:r>
        <w:rPr>
          <w:color w:val="333333"/>
          <w:w w:val="110"/>
        </w:rPr>
        <w:t>Database</w:t>
      </w:r>
      <w:bookmarkEnd w:id="938"/>
    </w:p>
    <w:p w14:paraId="08CDEFBD" w14:textId="77777777" w:rsidR="00A720EB" w:rsidRDefault="0030286B">
      <w:pPr>
        <w:pStyle w:val="a3"/>
        <w:spacing w:before="254" w:line="307" w:lineRule="auto"/>
        <w:ind w:left="124" w:right="132"/>
        <w:jc w:val="both"/>
      </w:pPr>
      <w:r>
        <w:rPr>
          <w:color w:val="333333"/>
          <w:w w:val="110"/>
        </w:rPr>
        <w:t xml:space="preserve">If you use Spring Batch, it comes pre-packaged with SQL initialization scripts for most popular database platforms. Spring Boot can detect your database type and execute those scripts on startup. If you use an embedded database, this happens </w:t>
      </w:r>
      <w:r>
        <w:rPr>
          <w:color w:val="333333"/>
          <w:spacing w:val="-3"/>
          <w:w w:val="110"/>
        </w:rPr>
        <w:t xml:space="preserve">by </w:t>
      </w:r>
      <w:r>
        <w:rPr>
          <w:color w:val="333333"/>
          <w:w w:val="110"/>
        </w:rPr>
        <w:t xml:space="preserve">default. </w:t>
      </w:r>
      <w:r>
        <w:rPr>
          <w:color w:val="333333"/>
          <w:spacing w:val="-6"/>
          <w:w w:val="110"/>
        </w:rPr>
        <w:t xml:space="preserve">You </w:t>
      </w:r>
      <w:r>
        <w:rPr>
          <w:color w:val="333333"/>
          <w:w w:val="110"/>
        </w:rPr>
        <w:t>can also enable it for any database type, as shown in the following</w:t>
      </w:r>
      <w:r>
        <w:rPr>
          <w:color w:val="333333"/>
          <w:spacing w:val="20"/>
          <w:w w:val="110"/>
        </w:rPr>
        <w:t xml:space="preserve"> </w:t>
      </w:r>
      <w:r>
        <w:rPr>
          <w:color w:val="333333"/>
          <w:w w:val="110"/>
        </w:rPr>
        <w:t>example:</w:t>
      </w:r>
    </w:p>
    <w:p w14:paraId="5F72E280" w14:textId="77777777" w:rsidR="00A720EB" w:rsidRDefault="00E10349">
      <w:pPr>
        <w:pStyle w:val="a3"/>
        <w:spacing w:before="2"/>
        <w:rPr>
          <w:sz w:val="13"/>
        </w:rPr>
      </w:pPr>
      <w:r>
        <w:pict w14:anchorId="7CD9585F">
          <v:group id="_x0000_s1324" style="position:absolute;margin-left:47.85pt;margin-top:9.75pt;width:499.55pt;height:37.5pt;z-index:-15054336;mso-wrap-distance-left:0;mso-wrap-distance-right:0;mso-position-horizontal-relative:page" coordorigin="957,195" coordsize="9991,750">
            <v:shape id="_x0000_s1327" style="position:absolute;left:964;top:202;width:9976;height:735" coordorigin="965,202" coordsize="9976,735" path="m10861,202r-9816,l1014,208r-26,18l971,251r-6,31l965,857r6,31l988,914r26,17l1045,937r9816,l10892,931r25,-17l10935,888r6,-31l10941,282r-6,-31l10917,226r-25,-18l10861,202xe" fillcolor="#f5f5f5" stroked="f">
              <v:path arrowok="t"/>
            </v:shape>
            <v:shape id="_x0000_s1326" style="position:absolute;left:964;top:202;width:9976;height:735" coordorigin="965,202" coordsize="9976,735" path="m1045,202r9816,l10892,208r25,18l10935,251r6,31l10941,857r-6,31l10917,914r-25,17l10861,937r-9816,l1014,931,988,914,971,888r-6,-31l965,282r6,-31l988,226r26,-18l1045,202xe" filled="f" strokecolor="#ccc">
              <v:path arrowok="t"/>
            </v:shape>
            <v:shape id="_x0000_s1325" type="#_x0000_t202" style="position:absolute;left:984;top:217;width:9938;height:704" filled="f" stroked="f">
              <v:textbox inset="0,0,0,0">
                <w:txbxContent>
                  <w:p w14:paraId="0F30AD88" w14:textId="77777777" w:rsidR="00711A16" w:rsidRDefault="00711A16">
                    <w:pPr>
                      <w:spacing w:before="221"/>
                      <w:ind w:left="200"/>
                      <w:rPr>
                        <w:rFonts w:ascii="MS Gothic"/>
                      </w:rPr>
                    </w:pPr>
                    <w:proofErr w:type="gramStart"/>
                    <w:r>
                      <w:rPr>
                        <w:rFonts w:ascii="MS Gothic"/>
                        <w:color w:val="333333"/>
                      </w:rPr>
                      <w:t>spring.batch</w:t>
                    </w:r>
                    <w:proofErr w:type="gramEnd"/>
                    <w:r>
                      <w:rPr>
                        <w:rFonts w:ascii="MS Gothic"/>
                        <w:color w:val="333333"/>
                      </w:rPr>
                      <w:t>.initialize-schema=always</w:t>
                    </w:r>
                  </w:p>
                </w:txbxContent>
              </v:textbox>
            </v:shape>
            <w10:wrap type="topAndBottom" anchorx="page"/>
          </v:group>
        </w:pict>
      </w:r>
    </w:p>
    <w:p w14:paraId="55683538" w14:textId="77777777" w:rsidR="00A720EB" w:rsidRDefault="00A720EB">
      <w:pPr>
        <w:pStyle w:val="a3"/>
        <w:spacing w:before="11"/>
        <w:rPr>
          <w:sz w:val="9"/>
        </w:rPr>
      </w:pPr>
    </w:p>
    <w:p w14:paraId="19CE94B1" w14:textId="77777777" w:rsidR="00A720EB" w:rsidRDefault="0030286B">
      <w:pPr>
        <w:pStyle w:val="a3"/>
        <w:spacing w:before="115"/>
        <w:ind w:left="124"/>
        <w:jc w:val="both"/>
      </w:pPr>
      <w:r>
        <w:rPr>
          <w:color w:val="333333"/>
          <w:spacing w:val="-6"/>
          <w:w w:val="110"/>
        </w:rPr>
        <w:t>You</w:t>
      </w:r>
      <w:r>
        <w:rPr>
          <w:color w:val="333333"/>
          <w:spacing w:val="-18"/>
          <w:w w:val="110"/>
        </w:rPr>
        <w:t xml:space="preserve"> </w:t>
      </w:r>
      <w:r>
        <w:rPr>
          <w:color w:val="333333"/>
          <w:w w:val="110"/>
        </w:rPr>
        <w:t>can</w:t>
      </w:r>
      <w:r>
        <w:rPr>
          <w:color w:val="333333"/>
          <w:spacing w:val="-18"/>
          <w:w w:val="110"/>
        </w:rPr>
        <w:t xml:space="preserve"> </w:t>
      </w:r>
      <w:r>
        <w:rPr>
          <w:color w:val="333333"/>
          <w:w w:val="110"/>
        </w:rPr>
        <w:t>also</w:t>
      </w:r>
      <w:r>
        <w:rPr>
          <w:color w:val="333333"/>
          <w:spacing w:val="-19"/>
          <w:w w:val="110"/>
        </w:rPr>
        <w:t xml:space="preserve"> </w:t>
      </w:r>
      <w:r>
        <w:rPr>
          <w:color w:val="333333"/>
          <w:w w:val="110"/>
        </w:rPr>
        <w:t>switch</w:t>
      </w:r>
      <w:r>
        <w:rPr>
          <w:color w:val="333333"/>
          <w:spacing w:val="-17"/>
          <w:w w:val="110"/>
        </w:rPr>
        <w:t xml:space="preserve"> </w:t>
      </w:r>
      <w:r>
        <w:rPr>
          <w:color w:val="333333"/>
          <w:w w:val="110"/>
        </w:rPr>
        <w:t>off</w:t>
      </w:r>
      <w:r>
        <w:rPr>
          <w:color w:val="333333"/>
          <w:spacing w:val="-18"/>
          <w:w w:val="110"/>
        </w:rPr>
        <w:t xml:space="preserve"> </w:t>
      </w:r>
      <w:r>
        <w:rPr>
          <w:color w:val="333333"/>
          <w:w w:val="110"/>
        </w:rPr>
        <w:t>the</w:t>
      </w:r>
      <w:r>
        <w:rPr>
          <w:color w:val="333333"/>
          <w:spacing w:val="-18"/>
          <w:w w:val="110"/>
        </w:rPr>
        <w:t xml:space="preserve"> </w:t>
      </w:r>
      <w:r>
        <w:rPr>
          <w:color w:val="333333"/>
          <w:w w:val="110"/>
        </w:rPr>
        <w:t>initialization</w:t>
      </w:r>
      <w:r>
        <w:rPr>
          <w:color w:val="333333"/>
          <w:spacing w:val="-19"/>
          <w:w w:val="110"/>
        </w:rPr>
        <w:t xml:space="preserve"> </w:t>
      </w:r>
      <w:r>
        <w:rPr>
          <w:color w:val="333333"/>
          <w:w w:val="110"/>
        </w:rPr>
        <w:t>explicitly</w:t>
      </w:r>
      <w:r>
        <w:rPr>
          <w:color w:val="333333"/>
          <w:spacing w:val="-17"/>
          <w:w w:val="110"/>
        </w:rPr>
        <w:t xml:space="preserve"> </w:t>
      </w:r>
      <w:r>
        <w:rPr>
          <w:color w:val="333333"/>
          <w:spacing w:val="-3"/>
          <w:w w:val="110"/>
        </w:rPr>
        <w:t>by</w:t>
      </w:r>
      <w:r>
        <w:rPr>
          <w:color w:val="333333"/>
          <w:spacing w:val="-19"/>
          <w:w w:val="110"/>
        </w:rPr>
        <w:t xml:space="preserve"> </w:t>
      </w:r>
      <w:r>
        <w:rPr>
          <w:color w:val="333333"/>
          <w:w w:val="110"/>
        </w:rPr>
        <w:t>setting</w:t>
      </w:r>
      <w:r>
        <w:rPr>
          <w:color w:val="333333"/>
          <w:spacing w:val="-15"/>
          <w:w w:val="110"/>
        </w:rPr>
        <w:t xml:space="preserve"> </w:t>
      </w:r>
      <w:proofErr w:type="gramStart"/>
      <w:r>
        <w:rPr>
          <w:rFonts w:ascii="MS Gothic"/>
          <w:color w:val="B02045"/>
          <w:w w:val="110"/>
        </w:rPr>
        <w:t>spring.batch</w:t>
      </w:r>
      <w:proofErr w:type="gramEnd"/>
      <w:r>
        <w:rPr>
          <w:rFonts w:ascii="MS Gothic"/>
          <w:color w:val="B02045"/>
          <w:w w:val="110"/>
        </w:rPr>
        <w:t>.initialize-schema=never</w:t>
      </w:r>
      <w:r>
        <w:rPr>
          <w:color w:val="333333"/>
          <w:w w:val="110"/>
        </w:rPr>
        <w:t>.</w:t>
      </w:r>
    </w:p>
    <w:p w14:paraId="252AFAA2" w14:textId="77777777" w:rsidR="00A720EB" w:rsidRDefault="00A720EB">
      <w:pPr>
        <w:pStyle w:val="a3"/>
        <w:spacing w:before="7"/>
        <w:rPr>
          <w:sz w:val="30"/>
        </w:rPr>
      </w:pPr>
    </w:p>
    <w:p w14:paraId="7CDDD265" w14:textId="77777777" w:rsidR="00A720EB" w:rsidRDefault="0030286B">
      <w:pPr>
        <w:pStyle w:val="3"/>
        <w:numPr>
          <w:ilvl w:val="2"/>
          <w:numId w:val="13"/>
        </w:numPr>
        <w:tabs>
          <w:tab w:val="left" w:pos="1003"/>
        </w:tabs>
        <w:ind w:left="1002" w:hanging="879"/>
      </w:pPr>
      <w:bookmarkStart w:id="939" w:name="9.10.6._Use_a_Higher-level_Database_Migr"/>
      <w:bookmarkStart w:id="940" w:name="_Toc54423990"/>
      <w:bookmarkEnd w:id="939"/>
      <w:r>
        <w:rPr>
          <w:color w:val="333333"/>
          <w:w w:val="110"/>
        </w:rPr>
        <w:t>Use a Higher-level Database Migration</w:t>
      </w:r>
      <w:r>
        <w:rPr>
          <w:color w:val="333333"/>
          <w:spacing w:val="-32"/>
          <w:w w:val="110"/>
        </w:rPr>
        <w:t xml:space="preserve"> </w:t>
      </w:r>
      <w:r>
        <w:rPr>
          <w:color w:val="333333"/>
          <w:spacing w:val="-3"/>
          <w:w w:val="110"/>
        </w:rPr>
        <w:t>Tool</w:t>
      </w:r>
      <w:bookmarkEnd w:id="940"/>
    </w:p>
    <w:p w14:paraId="64DD59B6" w14:textId="77777777" w:rsidR="00A720EB" w:rsidRDefault="0030286B">
      <w:pPr>
        <w:pStyle w:val="a3"/>
        <w:spacing w:before="254"/>
        <w:ind w:left="124"/>
        <w:jc w:val="both"/>
      </w:pPr>
      <w:r>
        <w:rPr>
          <w:color w:val="333333"/>
          <w:w w:val="110"/>
        </w:rPr>
        <w:t xml:space="preserve">Spring Boot supports two higher-level migration tools: </w:t>
      </w:r>
      <w:hyperlink r:id="rId634">
        <w:r>
          <w:rPr>
            <w:color w:val="418BCA"/>
            <w:w w:val="110"/>
          </w:rPr>
          <w:t xml:space="preserve">Flyway </w:t>
        </w:r>
      </w:hyperlink>
      <w:r>
        <w:rPr>
          <w:color w:val="333333"/>
          <w:w w:val="110"/>
        </w:rPr>
        <w:t xml:space="preserve">and </w:t>
      </w:r>
      <w:hyperlink r:id="rId635">
        <w:r>
          <w:rPr>
            <w:color w:val="418BCA"/>
            <w:w w:val="110"/>
          </w:rPr>
          <w:t>Liquibase</w:t>
        </w:r>
      </w:hyperlink>
      <w:r>
        <w:rPr>
          <w:color w:val="333333"/>
          <w:w w:val="110"/>
        </w:rPr>
        <w:t>.</w:t>
      </w:r>
    </w:p>
    <w:p w14:paraId="1AC7800C" w14:textId="77777777" w:rsidR="00A720EB" w:rsidRDefault="00A720EB">
      <w:pPr>
        <w:pStyle w:val="a3"/>
        <w:spacing w:before="5"/>
        <w:rPr>
          <w:sz w:val="31"/>
        </w:rPr>
      </w:pPr>
    </w:p>
    <w:p w14:paraId="72881988" w14:textId="77777777" w:rsidR="00A720EB" w:rsidRDefault="0030286B">
      <w:pPr>
        <w:pStyle w:val="4"/>
        <w:spacing w:before="1"/>
      </w:pPr>
      <w:bookmarkStart w:id="941" w:name="Execute_Flyway_Database_Migrations_on_St"/>
      <w:bookmarkEnd w:id="941"/>
      <w:r>
        <w:rPr>
          <w:color w:val="333333"/>
          <w:w w:val="110"/>
        </w:rPr>
        <w:t>Execute Flyway Database Migrations on Startup</w:t>
      </w:r>
    </w:p>
    <w:p w14:paraId="6A487A0E" w14:textId="77777777" w:rsidR="00A720EB" w:rsidRDefault="0030286B">
      <w:pPr>
        <w:pStyle w:val="a3"/>
        <w:spacing w:before="243" w:line="290" w:lineRule="auto"/>
        <w:ind w:left="124" w:right="122"/>
        <w:jc w:val="both"/>
      </w:pPr>
      <w:r>
        <w:rPr>
          <w:color w:val="333333"/>
          <w:w w:val="110"/>
        </w:rPr>
        <w:t xml:space="preserve">To automatically run Flyway database migrations on startup, add the </w:t>
      </w:r>
      <w:proofErr w:type="gramStart"/>
      <w:r>
        <w:rPr>
          <w:rFonts w:ascii="MS Gothic"/>
          <w:color w:val="B02045"/>
          <w:w w:val="110"/>
        </w:rPr>
        <w:t>org.flywaydb</w:t>
      </w:r>
      <w:proofErr w:type="gramEnd"/>
      <w:r>
        <w:rPr>
          <w:rFonts w:ascii="MS Gothic"/>
          <w:color w:val="B02045"/>
          <w:w w:val="110"/>
        </w:rPr>
        <w:t xml:space="preserve">:flyway-core </w:t>
      </w:r>
      <w:r>
        <w:rPr>
          <w:color w:val="333333"/>
          <w:w w:val="110"/>
        </w:rPr>
        <w:t>to your classpath.</w:t>
      </w:r>
    </w:p>
    <w:p w14:paraId="797F4A77" w14:textId="77777777" w:rsidR="00A720EB" w:rsidRDefault="0030286B">
      <w:pPr>
        <w:pStyle w:val="a3"/>
        <w:spacing w:before="248" w:line="290" w:lineRule="auto"/>
        <w:ind w:left="124" w:right="122"/>
        <w:jc w:val="both"/>
      </w:pPr>
      <w:r>
        <w:rPr>
          <w:color w:val="333333"/>
          <w:spacing w:val="-3"/>
          <w:w w:val="110"/>
        </w:rPr>
        <w:t>Typically,</w:t>
      </w:r>
      <w:r>
        <w:rPr>
          <w:color w:val="333333"/>
          <w:spacing w:val="-6"/>
          <w:w w:val="110"/>
        </w:rPr>
        <w:t xml:space="preserve"> </w:t>
      </w:r>
      <w:r>
        <w:rPr>
          <w:color w:val="333333"/>
          <w:w w:val="110"/>
        </w:rPr>
        <w:t>migrations</w:t>
      </w:r>
      <w:r>
        <w:rPr>
          <w:color w:val="333333"/>
          <w:spacing w:val="-7"/>
          <w:w w:val="110"/>
        </w:rPr>
        <w:t xml:space="preserve"> </w:t>
      </w:r>
      <w:r>
        <w:rPr>
          <w:color w:val="333333"/>
          <w:w w:val="110"/>
        </w:rPr>
        <w:t>are</w:t>
      </w:r>
      <w:r>
        <w:rPr>
          <w:color w:val="333333"/>
          <w:spacing w:val="-6"/>
          <w:w w:val="110"/>
        </w:rPr>
        <w:t xml:space="preserve"> </w:t>
      </w:r>
      <w:r>
        <w:rPr>
          <w:color w:val="333333"/>
          <w:w w:val="110"/>
        </w:rPr>
        <w:t>scripts</w:t>
      </w:r>
      <w:r>
        <w:rPr>
          <w:color w:val="333333"/>
          <w:spacing w:val="-6"/>
          <w:w w:val="110"/>
        </w:rPr>
        <w:t xml:space="preserve"> </w:t>
      </w:r>
      <w:r>
        <w:rPr>
          <w:color w:val="333333"/>
          <w:w w:val="110"/>
        </w:rPr>
        <w:t>in</w:t>
      </w:r>
      <w:r>
        <w:rPr>
          <w:color w:val="333333"/>
          <w:spacing w:val="-7"/>
          <w:w w:val="110"/>
        </w:rPr>
        <w:t xml:space="preserve"> </w:t>
      </w:r>
      <w:r>
        <w:rPr>
          <w:color w:val="333333"/>
          <w:w w:val="110"/>
        </w:rPr>
        <w:t>the</w:t>
      </w:r>
      <w:r>
        <w:rPr>
          <w:color w:val="333333"/>
          <w:spacing w:val="-6"/>
          <w:w w:val="110"/>
        </w:rPr>
        <w:t xml:space="preserve"> </w:t>
      </w:r>
      <w:r>
        <w:rPr>
          <w:color w:val="333333"/>
          <w:w w:val="110"/>
        </w:rPr>
        <w:t>form</w:t>
      </w:r>
      <w:r>
        <w:rPr>
          <w:color w:val="333333"/>
          <w:spacing w:val="-3"/>
          <w:w w:val="110"/>
        </w:rPr>
        <w:t xml:space="preserve"> </w:t>
      </w:r>
      <w:r>
        <w:rPr>
          <w:rFonts w:ascii="MS Gothic" w:hAnsi="MS Gothic"/>
          <w:color w:val="B02045"/>
          <w:w w:val="110"/>
        </w:rPr>
        <w:t>V&lt;VERSION&gt;</w:t>
      </w:r>
      <w:r>
        <w:rPr>
          <w:rFonts w:ascii="MS Gothic" w:hAnsi="MS Gothic"/>
          <w:color w:val="B02045"/>
          <w:spacing w:val="35"/>
          <w:w w:val="110"/>
          <w:u w:val="single" w:color="AF1F44"/>
        </w:rPr>
        <w:t xml:space="preserve"> </w:t>
      </w:r>
      <w:r>
        <w:rPr>
          <w:rFonts w:ascii="MS Gothic" w:hAnsi="MS Gothic"/>
          <w:color w:val="B02045"/>
          <w:w w:val="110"/>
        </w:rPr>
        <w:t>&lt;NAME&gt;.sql</w:t>
      </w:r>
      <w:r>
        <w:rPr>
          <w:rFonts w:ascii="MS Gothic" w:hAnsi="MS Gothic"/>
          <w:color w:val="B02045"/>
          <w:spacing w:val="-71"/>
          <w:w w:val="110"/>
        </w:rPr>
        <w:t xml:space="preserve"> </w:t>
      </w:r>
      <w:r>
        <w:rPr>
          <w:color w:val="333333"/>
          <w:w w:val="110"/>
        </w:rPr>
        <w:t>(with</w:t>
      </w:r>
      <w:r>
        <w:rPr>
          <w:color w:val="333333"/>
          <w:spacing w:val="-6"/>
          <w:w w:val="110"/>
        </w:rPr>
        <w:t xml:space="preserve"> </w:t>
      </w:r>
      <w:r>
        <w:rPr>
          <w:rFonts w:ascii="MS Gothic" w:hAnsi="MS Gothic"/>
          <w:color w:val="B02045"/>
          <w:w w:val="110"/>
        </w:rPr>
        <w:t>&lt;VERSION&gt;</w:t>
      </w:r>
      <w:r>
        <w:rPr>
          <w:rFonts w:ascii="MS Gothic" w:hAnsi="MS Gothic"/>
          <w:color w:val="B02045"/>
          <w:spacing w:val="-71"/>
          <w:w w:val="110"/>
        </w:rPr>
        <w:t xml:space="preserve"> </w:t>
      </w:r>
      <w:r>
        <w:rPr>
          <w:color w:val="333333"/>
          <w:w w:val="110"/>
        </w:rPr>
        <w:t>an</w:t>
      </w:r>
      <w:r>
        <w:rPr>
          <w:color w:val="333333"/>
          <w:spacing w:val="-6"/>
          <w:w w:val="110"/>
        </w:rPr>
        <w:t xml:space="preserve"> </w:t>
      </w:r>
      <w:r>
        <w:rPr>
          <w:color w:val="333333"/>
          <w:w w:val="110"/>
        </w:rPr>
        <w:t xml:space="preserve">underscore- separated version, such as ‘1’ or ‘2_1’). </w:t>
      </w:r>
      <w:r>
        <w:rPr>
          <w:color w:val="333333"/>
          <w:spacing w:val="-3"/>
          <w:w w:val="110"/>
        </w:rPr>
        <w:t xml:space="preserve">By </w:t>
      </w:r>
      <w:r>
        <w:rPr>
          <w:color w:val="333333"/>
          <w:w w:val="110"/>
        </w:rPr>
        <w:t xml:space="preserve">default, they are in a directory called </w:t>
      </w:r>
      <w:r>
        <w:rPr>
          <w:rFonts w:ascii="MS Gothic" w:hAnsi="MS Gothic"/>
          <w:color w:val="B02045"/>
          <w:w w:val="110"/>
        </w:rPr>
        <w:t>classpath:db/migration</w:t>
      </w:r>
      <w:r>
        <w:rPr>
          <w:color w:val="333333"/>
          <w:w w:val="110"/>
        </w:rPr>
        <w:t>,</w:t>
      </w:r>
      <w:r>
        <w:rPr>
          <w:color w:val="333333"/>
          <w:spacing w:val="-29"/>
          <w:w w:val="110"/>
        </w:rPr>
        <w:t xml:space="preserve"> </w:t>
      </w:r>
      <w:r>
        <w:rPr>
          <w:color w:val="333333"/>
          <w:w w:val="110"/>
        </w:rPr>
        <w:t>but</w:t>
      </w:r>
      <w:r>
        <w:rPr>
          <w:color w:val="333333"/>
          <w:spacing w:val="-28"/>
          <w:w w:val="110"/>
        </w:rPr>
        <w:t xml:space="preserve"> </w:t>
      </w:r>
      <w:r>
        <w:rPr>
          <w:color w:val="333333"/>
          <w:w w:val="110"/>
        </w:rPr>
        <w:t>you</w:t>
      </w:r>
      <w:r>
        <w:rPr>
          <w:color w:val="333333"/>
          <w:spacing w:val="-29"/>
          <w:w w:val="110"/>
        </w:rPr>
        <w:t xml:space="preserve"> </w:t>
      </w:r>
      <w:r>
        <w:rPr>
          <w:color w:val="333333"/>
          <w:w w:val="110"/>
        </w:rPr>
        <w:t>can</w:t>
      </w:r>
      <w:r>
        <w:rPr>
          <w:color w:val="333333"/>
          <w:spacing w:val="-28"/>
          <w:w w:val="110"/>
        </w:rPr>
        <w:t xml:space="preserve"> </w:t>
      </w:r>
      <w:r>
        <w:rPr>
          <w:color w:val="333333"/>
          <w:w w:val="110"/>
        </w:rPr>
        <w:t>modify</w:t>
      </w:r>
      <w:r>
        <w:rPr>
          <w:color w:val="333333"/>
          <w:spacing w:val="-29"/>
          <w:w w:val="110"/>
        </w:rPr>
        <w:t xml:space="preserve"> </w:t>
      </w:r>
      <w:r>
        <w:rPr>
          <w:color w:val="333333"/>
          <w:w w:val="110"/>
        </w:rPr>
        <w:t>that</w:t>
      </w:r>
      <w:r>
        <w:rPr>
          <w:color w:val="333333"/>
          <w:spacing w:val="-28"/>
          <w:w w:val="110"/>
        </w:rPr>
        <w:t xml:space="preserve"> </w:t>
      </w:r>
      <w:r>
        <w:rPr>
          <w:color w:val="333333"/>
          <w:w w:val="110"/>
        </w:rPr>
        <w:t>location</w:t>
      </w:r>
      <w:r>
        <w:rPr>
          <w:color w:val="333333"/>
          <w:spacing w:val="-29"/>
          <w:w w:val="110"/>
        </w:rPr>
        <w:t xml:space="preserve"> </w:t>
      </w:r>
      <w:r>
        <w:rPr>
          <w:color w:val="333333"/>
          <w:spacing w:val="-3"/>
          <w:w w:val="110"/>
        </w:rPr>
        <w:t>by</w:t>
      </w:r>
      <w:r>
        <w:rPr>
          <w:color w:val="333333"/>
          <w:spacing w:val="-28"/>
          <w:w w:val="110"/>
        </w:rPr>
        <w:t xml:space="preserve"> </w:t>
      </w:r>
      <w:r>
        <w:rPr>
          <w:color w:val="333333"/>
          <w:w w:val="110"/>
        </w:rPr>
        <w:t>setting</w:t>
      </w:r>
      <w:r>
        <w:rPr>
          <w:color w:val="333333"/>
          <w:spacing w:val="-28"/>
          <w:w w:val="110"/>
        </w:rPr>
        <w:t xml:space="preserve"> </w:t>
      </w:r>
      <w:proofErr w:type="gramStart"/>
      <w:r>
        <w:rPr>
          <w:rFonts w:ascii="MS Gothic" w:hAnsi="MS Gothic"/>
          <w:color w:val="B02045"/>
          <w:w w:val="110"/>
        </w:rPr>
        <w:t>spring.flyway</w:t>
      </w:r>
      <w:proofErr w:type="gramEnd"/>
      <w:r>
        <w:rPr>
          <w:rFonts w:ascii="MS Gothic" w:hAnsi="MS Gothic"/>
          <w:color w:val="B02045"/>
          <w:w w:val="110"/>
        </w:rPr>
        <w:t>.locations</w:t>
      </w:r>
      <w:r>
        <w:rPr>
          <w:color w:val="333333"/>
          <w:w w:val="110"/>
        </w:rPr>
        <w:t>.</w:t>
      </w:r>
      <w:r>
        <w:rPr>
          <w:color w:val="333333"/>
          <w:spacing w:val="-28"/>
          <w:w w:val="110"/>
        </w:rPr>
        <w:t xml:space="preserve"> </w:t>
      </w:r>
      <w:r>
        <w:rPr>
          <w:color w:val="333333"/>
          <w:w w:val="110"/>
        </w:rPr>
        <w:t>This</w:t>
      </w:r>
      <w:r>
        <w:rPr>
          <w:color w:val="333333"/>
          <w:spacing w:val="-29"/>
          <w:w w:val="110"/>
        </w:rPr>
        <w:t xml:space="preserve"> </w:t>
      </w:r>
      <w:r>
        <w:rPr>
          <w:color w:val="333333"/>
          <w:w w:val="110"/>
        </w:rPr>
        <w:t xml:space="preserve">is a comma-separated list of one or more </w:t>
      </w:r>
      <w:r>
        <w:rPr>
          <w:rFonts w:ascii="MS Gothic" w:hAnsi="MS Gothic"/>
          <w:color w:val="B02045"/>
          <w:w w:val="110"/>
        </w:rPr>
        <w:t xml:space="preserve">classpath: </w:t>
      </w:r>
      <w:r>
        <w:rPr>
          <w:color w:val="333333"/>
          <w:w w:val="110"/>
        </w:rPr>
        <w:t xml:space="preserve">or </w:t>
      </w:r>
      <w:r>
        <w:rPr>
          <w:rFonts w:ascii="MS Gothic" w:hAnsi="MS Gothic"/>
          <w:color w:val="B02045"/>
          <w:w w:val="110"/>
        </w:rPr>
        <w:t xml:space="preserve">filesystem: </w:t>
      </w:r>
      <w:r>
        <w:rPr>
          <w:color w:val="333333"/>
          <w:w w:val="110"/>
        </w:rPr>
        <w:t xml:space="preserve">locations. </w:t>
      </w:r>
      <w:r>
        <w:rPr>
          <w:color w:val="333333"/>
          <w:spacing w:val="-4"/>
          <w:w w:val="110"/>
        </w:rPr>
        <w:t xml:space="preserve">For </w:t>
      </w:r>
      <w:r>
        <w:rPr>
          <w:color w:val="333333"/>
          <w:w w:val="110"/>
        </w:rPr>
        <w:t>example, the following configuration would search for scripts in both the default classpath location and</w:t>
      </w:r>
      <w:r>
        <w:rPr>
          <w:color w:val="333333"/>
          <w:spacing w:val="32"/>
          <w:w w:val="110"/>
        </w:rPr>
        <w:t xml:space="preserve"> </w:t>
      </w:r>
      <w:r>
        <w:rPr>
          <w:color w:val="333333"/>
          <w:w w:val="110"/>
        </w:rPr>
        <w:t>the</w:t>
      </w:r>
    </w:p>
    <w:p w14:paraId="2358C034" w14:textId="77777777" w:rsidR="00A720EB" w:rsidRDefault="0030286B">
      <w:pPr>
        <w:pStyle w:val="a3"/>
        <w:spacing w:before="6"/>
        <w:ind w:left="124"/>
        <w:jc w:val="both"/>
      </w:pPr>
      <w:r>
        <w:rPr>
          <w:rFonts w:ascii="MS Gothic"/>
          <w:color w:val="B02045"/>
          <w:w w:val="105"/>
        </w:rPr>
        <w:t>/opt/migration</w:t>
      </w:r>
      <w:r>
        <w:rPr>
          <w:rFonts w:ascii="MS Gothic"/>
          <w:color w:val="B02045"/>
          <w:spacing w:val="-57"/>
          <w:w w:val="105"/>
        </w:rPr>
        <w:t xml:space="preserve"> </w:t>
      </w:r>
      <w:r>
        <w:rPr>
          <w:color w:val="333333"/>
          <w:w w:val="105"/>
        </w:rPr>
        <w:t>directory:</w:t>
      </w:r>
    </w:p>
    <w:p w14:paraId="1ED23FDE" w14:textId="77777777" w:rsidR="00A720EB" w:rsidRDefault="00E10349">
      <w:pPr>
        <w:pStyle w:val="a3"/>
        <w:spacing w:before="10"/>
        <w:rPr>
          <w:sz w:val="17"/>
        </w:rPr>
      </w:pPr>
      <w:r>
        <w:pict w14:anchorId="39201DDD">
          <v:group id="_x0000_s1320" style="position:absolute;margin-left:47.85pt;margin-top:12.5pt;width:499.55pt;height:37.5pt;z-index:-15053824;mso-wrap-distance-left:0;mso-wrap-distance-right:0;mso-position-horizontal-relative:page" coordorigin="957,250" coordsize="9991,750">
            <v:shape id="_x0000_s1323" style="position:absolute;left:964;top:257;width:9976;height:735" coordorigin="965,257" coordsize="9976,735" path="m10861,257r-9816,l1014,263r-26,18l971,306r-6,31l965,912r6,31l988,969r26,17l1045,992r9816,l10892,986r25,-17l10935,943r6,-31l10941,337r-6,-31l10917,281r-25,-18l10861,257xe" fillcolor="#f5f5f5" stroked="f">
              <v:path arrowok="t"/>
            </v:shape>
            <v:shape id="_x0000_s1322" style="position:absolute;left:964;top:257;width:9976;height:735" coordorigin="965,257" coordsize="9976,735" path="m1045,257r9816,l10892,263r25,18l10935,306r6,31l10941,912r-6,31l10917,969r-25,17l10861,992r-9816,l1014,986,988,969,971,943r-6,-31l965,337r6,-31l988,281r26,-18l1045,257xe" filled="f" strokecolor="#ccc">
              <v:path arrowok="t"/>
            </v:shape>
            <v:shape id="_x0000_s1321" type="#_x0000_t202" style="position:absolute;left:984;top:272;width:9938;height:704" filled="f" stroked="f">
              <v:textbox inset="0,0,0,0">
                <w:txbxContent>
                  <w:p w14:paraId="51F5E7ED" w14:textId="77777777" w:rsidR="00711A16" w:rsidRDefault="00711A16">
                    <w:pPr>
                      <w:spacing w:before="221"/>
                      <w:ind w:left="200"/>
                      <w:rPr>
                        <w:rFonts w:ascii="MS Gothic"/>
                      </w:rPr>
                    </w:pPr>
                    <w:proofErr w:type="gramStart"/>
                    <w:r>
                      <w:rPr>
                        <w:rFonts w:ascii="MS Gothic"/>
                        <w:color w:val="333333"/>
                      </w:rPr>
                      <w:t>spring.flyway</w:t>
                    </w:r>
                    <w:proofErr w:type="gramEnd"/>
                    <w:r>
                      <w:rPr>
                        <w:rFonts w:ascii="MS Gothic"/>
                        <w:color w:val="333333"/>
                      </w:rPr>
                      <w:t>.locations=classpath:db/migration,filesystem:/opt/migration</w:t>
                    </w:r>
                  </w:p>
                </w:txbxContent>
              </v:textbox>
            </v:shape>
            <w10:wrap type="topAndBottom" anchorx="page"/>
          </v:group>
        </w:pict>
      </w:r>
    </w:p>
    <w:p w14:paraId="02E8EB3D" w14:textId="77777777" w:rsidR="00A720EB" w:rsidRDefault="00A720EB">
      <w:pPr>
        <w:pStyle w:val="a3"/>
        <w:spacing w:before="11"/>
        <w:rPr>
          <w:sz w:val="9"/>
        </w:rPr>
      </w:pPr>
    </w:p>
    <w:p w14:paraId="3C95307E" w14:textId="77777777" w:rsidR="00A720EB" w:rsidRDefault="0030286B">
      <w:pPr>
        <w:pStyle w:val="a3"/>
        <w:spacing w:before="115" w:line="290" w:lineRule="auto"/>
        <w:ind w:left="124" w:right="462"/>
      </w:pPr>
      <w:r>
        <w:rPr>
          <w:color w:val="333333"/>
          <w:spacing w:val="-6"/>
          <w:w w:val="110"/>
        </w:rPr>
        <w:t xml:space="preserve">You </w:t>
      </w:r>
      <w:r>
        <w:rPr>
          <w:color w:val="333333"/>
          <w:w w:val="110"/>
        </w:rPr>
        <w:t xml:space="preserve">can also add a special </w:t>
      </w:r>
      <w:r>
        <w:rPr>
          <w:rFonts w:ascii="MS Gothic"/>
          <w:color w:val="B02045"/>
          <w:w w:val="110"/>
        </w:rPr>
        <w:t xml:space="preserve">{vendor} </w:t>
      </w:r>
      <w:r>
        <w:rPr>
          <w:color w:val="333333"/>
          <w:w w:val="110"/>
        </w:rPr>
        <w:t>placeholder to use vendor-specific scripts. Assume the following:</w:t>
      </w:r>
    </w:p>
    <w:p w14:paraId="4272277E" w14:textId="77777777" w:rsidR="00A720EB" w:rsidRDefault="00E10349">
      <w:pPr>
        <w:pStyle w:val="a3"/>
        <w:spacing w:before="8"/>
        <w:rPr>
          <w:sz w:val="14"/>
        </w:rPr>
      </w:pPr>
      <w:r>
        <w:pict w14:anchorId="202669C0">
          <v:group id="_x0000_s1316" style="position:absolute;margin-left:47.85pt;margin-top:10.6pt;width:499.55pt;height:37.5pt;z-index:-15053312;mso-wrap-distance-left:0;mso-wrap-distance-right:0;mso-position-horizontal-relative:page" coordorigin="957,212" coordsize="9991,750">
            <v:shape id="_x0000_s1319" style="position:absolute;left:964;top:219;width:9976;height:735" coordorigin="965,219" coordsize="9976,735" path="m10861,219r-9816,l1014,226r-26,17l971,268r-6,31l965,874r6,31l988,931r26,17l1045,954r9816,l10892,948r25,-17l10935,905r6,-31l10941,299r-6,-31l10917,243r-25,-17l10861,219xe" fillcolor="#f5f5f5" stroked="f">
              <v:path arrowok="t"/>
            </v:shape>
            <v:shape id="_x0000_s1318" style="position:absolute;left:964;top:219;width:9976;height:735" coordorigin="965,219" coordsize="9976,735" path="m1045,219r9816,l10892,226r25,17l10935,268r6,31l10941,874r-6,31l10917,931r-25,17l10861,954r-9816,l1014,948,988,931,971,905r-6,-31l965,299r6,-31l988,243r26,-17l1045,219xe" filled="f" strokecolor="#ccc">
              <v:path arrowok="t"/>
            </v:shape>
            <v:shape id="_x0000_s1317" type="#_x0000_t202" style="position:absolute;left:984;top:234;width:9938;height:704" filled="f" stroked="f">
              <v:textbox inset="0,0,0,0">
                <w:txbxContent>
                  <w:p w14:paraId="66790484" w14:textId="77777777" w:rsidR="00711A16" w:rsidRDefault="00711A16">
                    <w:pPr>
                      <w:spacing w:before="221"/>
                      <w:ind w:left="200"/>
                      <w:rPr>
                        <w:rFonts w:ascii="MS Gothic"/>
                      </w:rPr>
                    </w:pPr>
                    <w:proofErr w:type="gramStart"/>
                    <w:r>
                      <w:rPr>
                        <w:rFonts w:ascii="MS Gothic"/>
                        <w:color w:val="333333"/>
                      </w:rPr>
                      <w:t>spring.flyway</w:t>
                    </w:r>
                    <w:proofErr w:type="gramEnd"/>
                    <w:r>
                      <w:rPr>
                        <w:rFonts w:ascii="MS Gothic"/>
                        <w:color w:val="333333"/>
                      </w:rPr>
                      <w:t>.locations=classpath:db/migration/{vendor}</w:t>
                    </w:r>
                  </w:p>
                </w:txbxContent>
              </v:textbox>
            </v:shape>
            <w10:wrap type="topAndBottom" anchorx="page"/>
          </v:group>
        </w:pict>
      </w:r>
    </w:p>
    <w:p w14:paraId="3061F5D3" w14:textId="77777777" w:rsidR="00A720EB" w:rsidRDefault="00A720EB">
      <w:pPr>
        <w:pStyle w:val="a3"/>
        <w:spacing w:before="11"/>
        <w:rPr>
          <w:sz w:val="9"/>
        </w:rPr>
      </w:pPr>
    </w:p>
    <w:p w14:paraId="39206C74" w14:textId="77777777" w:rsidR="00A720EB" w:rsidRDefault="0030286B">
      <w:pPr>
        <w:pStyle w:val="a3"/>
        <w:spacing w:before="115" w:line="280" w:lineRule="auto"/>
        <w:ind w:left="124" w:right="127"/>
        <w:jc w:val="both"/>
      </w:pPr>
      <w:r>
        <w:rPr>
          <w:color w:val="333333"/>
          <w:w w:val="110"/>
        </w:rPr>
        <w:t xml:space="preserve">Rather than using </w:t>
      </w:r>
      <w:r>
        <w:rPr>
          <w:rFonts w:ascii="MS Gothic"/>
          <w:color w:val="B02045"/>
          <w:w w:val="110"/>
        </w:rPr>
        <w:t>db/migration</w:t>
      </w:r>
      <w:r>
        <w:rPr>
          <w:color w:val="333333"/>
          <w:w w:val="110"/>
        </w:rPr>
        <w:t xml:space="preserve">, the preceding configuration sets the directory to use according to the type of the database (such as </w:t>
      </w:r>
      <w:r>
        <w:rPr>
          <w:rFonts w:ascii="MS Gothic"/>
          <w:color w:val="B02045"/>
          <w:w w:val="110"/>
        </w:rPr>
        <w:t xml:space="preserve">db/migration/mysql </w:t>
      </w:r>
      <w:r>
        <w:rPr>
          <w:color w:val="333333"/>
          <w:w w:val="110"/>
        </w:rPr>
        <w:t xml:space="preserve">for MySQL). The list of supported databases is available in </w:t>
      </w:r>
      <w:hyperlink r:id="rId636">
        <w:r>
          <w:rPr>
            <w:rFonts w:ascii="MS Gothic"/>
            <w:color w:val="B02045"/>
            <w:w w:val="110"/>
          </w:rPr>
          <w:t>DatabaseDriver</w:t>
        </w:r>
      </w:hyperlink>
      <w:r>
        <w:rPr>
          <w:color w:val="333333"/>
          <w:w w:val="110"/>
        </w:rPr>
        <w:t>.</w:t>
      </w:r>
    </w:p>
    <w:p w14:paraId="2BED7EF3" w14:textId="77777777" w:rsidR="00A720EB" w:rsidRDefault="00A720EB">
      <w:pPr>
        <w:pStyle w:val="a3"/>
        <w:spacing w:before="7"/>
      </w:pPr>
    </w:p>
    <w:p w14:paraId="512BFDD4" w14:textId="77777777" w:rsidR="00A720EB" w:rsidRDefault="0030286B">
      <w:pPr>
        <w:pStyle w:val="a3"/>
        <w:spacing w:line="297" w:lineRule="auto"/>
        <w:ind w:left="124" w:right="139"/>
        <w:jc w:val="both"/>
      </w:pPr>
      <w:r>
        <w:rPr>
          <w:color w:val="333333"/>
          <w:w w:val="110"/>
        </w:rPr>
        <w:t xml:space="preserve">Migrations can also be written in Java. Flyway will be auto-configured with any beans </w:t>
      </w:r>
      <w:proofErr w:type="gramStart"/>
      <w:r>
        <w:rPr>
          <w:color w:val="333333"/>
          <w:w w:val="110"/>
        </w:rPr>
        <w:t>that  implement</w:t>
      </w:r>
      <w:proofErr w:type="gramEnd"/>
      <w:r>
        <w:rPr>
          <w:color w:val="333333"/>
          <w:spacing w:val="4"/>
          <w:w w:val="110"/>
        </w:rPr>
        <w:t xml:space="preserve"> </w:t>
      </w:r>
      <w:r>
        <w:rPr>
          <w:rFonts w:ascii="MS Gothic"/>
          <w:color w:val="B02045"/>
          <w:w w:val="110"/>
        </w:rPr>
        <w:t>JavaMigration</w:t>
      </w:r>
      <w:r>
        <w:rPr>
          <w:color w:val="333333"/>
          <w:w w:val="110"/>
        </w:rPr>
        <w:t>.</w:t>
      </w:r>
    </w:p>
    <w:p w14:paraId="1FB587C8" w14:textId="77777777" w:rsidR="00A720EB" w:rsidRDefault="00A720EB">
      <w:pPr>
        <w:spacing w:line="297" w:lineRule="auto"/>
        <w:jc w:val="both"/>
        <w:sectPr w:rsidR="00A720EB">
          <w:pgSz w:w="11910" w:h="16840"/>
          <w:pgMar w:top="620" w:right="840" w:bottom="520" w:left="840" w:header="0" w:footer="323" w:gutter="0"/>
          <w:cols w:space="720"/>
        </w:sectPr>
      </w:pPr>
    </w:p>
    <w:p w14:paraId="1226CE5D" w14:textId="77777777" w:rsidR="00A720EB" w:rsidRDefault="00E10349">
      <w:pPr>
        <w:pStyle w:val="a3"/>
        <w:spacing w:before="96" w:line="295" w:lineRule="auto"/>
        <w:ind w:left="124" w:right="129"/>
        <w:jc w:val="both"/>
      </w:pPr>
      <w:hyperlink r:id="rId637">
        <w:r w:rsidR="0030286B">
          <w:rPr>
            <w:rFonts w:ascii="MS Gothic" w:hAnsi="MS Gothic"/>
            <w:color w:val="B02045"/>
            <w:w w:val="110"/>
          </w:rPr>
          <w:t>FlywayProperties</w:t>
        </w:r>
        <w:r w:rsidR="0030286B">
          <w:rPr>
            <w:rFonts w:ascii="MS Gothic" w:hAnsi="MS Gothic"/>
            <w:color w:val="B02045"/>
            <w:spacing w:val="-72"/>
            <w:w w:val="110"/>
          </w:rPr>
          <w:t xml:space="preserve"> </w:t>
        </w:r>
      </w:hyperlink>
      <w:r w:rsidR="0030286B">
        <w:rPr>
          <w:color w:val="333333"/>
          <w:w w:val="110"/>
        </w:rPr>
        <w:t>provides</w:t>
      </w:r>
      <w:r w:rsidR="0030286B">
        <w:rPr>
          <w:color w:val="333333"/>
          <w:spacing w:val="-7"/>
          <w:w w:val="110"/>
        </w:rPr>
        <w:t xml:space="preserve"> </w:t>
      </w:r>
      <w:r w:rsidR="0030286B">
        <w:rPr>
          <w:color w:val="333333"/>
          <w:w w:val="110"/>
        </w:rPr>
        <w:t>most</w:t>
      </w:r>
      <w:r w:rsidR="0030286B">
        <w:rPr>
          <w:color w:val="333333"/>
          <w:spacing w:val="-7"/>
          <w:w w:val="110"/>
        </w:rPr>
        <w:t xml:space="preserve"> </w:t>
      </w:r>
      <w:r w:rsidR="0030286B">
        <w:rPr>
          <w:color w:val="333333"/>
          <w:w w:val="110"/>
        </w:rPr>
        <w:t>of</w:t>
      </w:r>
      <w:r w:rsidR="0030286B">
        <w:rPr>
          <w:color w:val="333333"/>
          <w:spacing w:val="-7"/>
          <w:w w:val="110"/>
        </w:rPr>
        <w:t xml:space="preserve"> </w:t>
      </w:r>
      <w:r w:rsidR="0030286B">
        <w:rPr>
          <w:color w:val="333333"/>
          <w:w w:val="110"/>
        </w:rPr>
        <w:t>Flyway’s</w:t>
      </w:r>
      <w:r w:rsidR="0030286B">
        <w:rPr>
          <w:color w:val="333333"/>
          <w:spacing w:val="-7"/>
          <w:w w:val="110"/>
        </w:rPr>
        <w:t xml:space="preserve"> </w:t>
      </w:r>
      <w:r w:rsidR="0030286B">
        <w:rPr>
          <w:color w:val="333333"/>
          <w:w w:val="110"/>
        </w:rPr>
        <w:t>settings</w:t>
      </w:r>
      <w:r w:rsidR="0030286B">
        <w:rPr>
          <w:color w:val="333333"/>
          <w:spacing w:val="-6"/>
          <w:w w:val="110"/>
        </w:rPr>
        <w:t xml:space="preserve"> </w:t>
      </w:r>
      <w:r w:rsidR="0030286B">
        <w:rPr>
          <w:color w:val="333333"/>
          <w:w w:val="110"/>
        </w:rPr>
        <w:t>and</w:t>
      </w:r>
      <w:r w:rsidR="0030286B">
        <w:rPr>
          <w:color w:val="333333"/>
          <w:spacing w:val="-7"/>
          <w:w w:val="110"/>
        </w:rPr>
        <w:t xml:space="preserve"> </w:t>
      </w:r>
      <w:r w:rsidR="0030286B">
        <w:rPr>
          <w:color w:val="333333"/>
          <w:w w:val="110"/>
        </w:rPr>
        <w:t>a</w:t>
      </w:r>
      <w:r w:rsidR="0030286B">
        <w:rPr>
          <w:color w:val="333333"/>
          <w:spacing w:val="-7"/>
          <w:w w:val="110"/>
        </w:rPr>
        <w:t xml:space="preserve"> </w:t>
      </w:r>
      <w:r w:rsidR="0030286B">
        <w:rPr>
          <w:color w:val="333333"/>
          <w:w w:val="110"/>
        </w:rPr>
        <w:t>small</w:t>
      </w:r>
      <w:r w:rsidR="0030286B">
        <w:rPr>
          <w:color w:val="333333"/>
          <w:spacing w:val="-7"/>
          <w:w w:val="110"/>
        </w:rPr>
        <w:t xml:space="preserve"> </w:t>
      </w:r>
      <w:r w:rsidR="0030286B">
        <w:rPr>
          <w:color w:val="333333"/>
          <w:w w:val="110"/>
        </w:rPr>
        <w:t>set</w:t>
      </w:r>
      <w:r w:rsidR="0030286B">
        <w:rPr>
          <w:color w:val="333333"/>
          <w:spacing w:val="-7"/>
          <w:w w:val="110"/>
        </w:rPr>
        <w:t xml:space="preserve"> </w:t>
      </w:r>
      <w:r w:rsidR="0030286B">
        <w:rPr>
          <w:color w:val="333333"/>
          <w:w w:val="110"/>
        </w:rPr>
        <w:t>of</w:t>
      </w:r>
      <w:r w:rsidR="0030286B">
        <w:rPr>
          <w:color w:val="333333"/>
          <w:spacing w:val="-7"/>
          <w:w w:val="110"/>
        </w:rPr>
        <w:t xml:space="preserve"> </w:t>
      </w:r>
      <w:r w:rsidR="0030286B">
        <w:rPr>
          <w:color w:val="333333"/>
          <w:w w:val="110"/>
        </w:rPr>
        <w:t>additional</w:t>
      </w:r>
      <w:r w:rsidR="0030286B">
        <w:rPr>
          <w:color w:val="333333"/>
          <w:spacing w:val="-6"/>
          <w:w w:val="110"/>
        </w:rPr>
        <w:t xml:space="preserve"> </w:t>
      </w:r>
      <w:r w:rsidR="0030286B">
        <w:rPr>
          <w:color w:val="333333"/>
          <w:w w:val="110"/>
        </w:rPr>
        <w:t>properties</w:t>
      </w:r>
      <w:r w:rsidR="0030286B">
        <w:rPr>
          <w:color w:val="333333"/>
          <w:spacing w:val="-7"/>
          <w:w w:val="110"/>
        </w:rPr>
        <w:t xml:space="preserve"> </w:t>
      </w:r>
      <w:r w:rsidR="0030286B">
        <w:rPr>
          <w:color w:val="333333"/>
          <w:w w:val="110"/>
        </w:rPr>
        <w:t>that</w:t>
      </w:r>
      <w:r w:rsidR="0030286B">
        <w:rPr>
          <w:color w:val="333333"/>
          <w:spacing w:val="-7"/>
          <w:w w:val="110"/>
        </w:rPr>
        <w:t xml:space="preserve"> </w:t>
      </w:r>
      <w:r w:rsidR="0030286B">
        <w:rPr>
          <w:color w:val="333333"/>
          <w:w w:val="110"/>
        </w:rPr>
        <w:t xml:space="preserve">can be used to disable the migrations or switch off the location checking. If you need more control over the configuration, consider registering a </w:t>
      </w:r>
      <w:r w:rsidR="0030286B">
        <w:rPr>
          <w:rFonts w:ascii="MS Gothic" w:hAnsi="MS Gothic"/>
          <w:color w:val="B02045"/>
          <w:w w:val="110"/>
        </w:rPr>
        <w:t>FlywayConfigurationCustomizer</w:t>
      </w:r>
      <w:r w:rsidR="0030286B">
        <w:rPr>
          <w:rFonts w:ascii="MS Gothic" w:hAnsi="MS Gothic"/>
          <w:color w:val="B02045"/>
          <w:spacing w:val="-77"/>
          <w:w w:val="110"/>
        </w:rPr>
        <w:t xml:space="preserve"> </w:t>
      </w:r>
      <w:r w:rsidR="0030286B">
        <w:rPr>
          <w:color w:val="333333"/>
          <w:w w:val="110"/>
        </w:rPr>
        <w:t>bean.</w:t>
      </w:r>
    </w:p>
    <w:p w14:paraId="75C77CEE" w14:textId="77777777" w:rsidR="00A720EB" w:rsidRDefault="0030286B">
      <w:pPr>
        <w:pStyle w:val="a3"/>
        <w:spacing w:before="222" w:line="280" w:lineRule="auto"/>
        <w:ind w:left="124" w:right="130"/>
        <w:jc w:val="both"/>
      </w:pPr>
      <w:r>
        <w:rPr>
          <w:color w:val="333333"/>
          <w:w w:val="110"/>
        </w:rPr>
        <w:t xml:space="preserve">Spring Boot calls </w:t>
      </w:r>
      <w:r>
        <w:rPr>
          <w:rFonts w:ascii="MS Gothic"/>
          <w:color w:val="B02045"/>
          <w:w w:val="110"/>
        </w:rPr>
        <w:t xml:space="preserve">Flyway.migrate() </w:t>
      </w:r>
      <w:r>
        <w:rPr>
          <w:color w:val="333333"/>
          <w:w w:val="110"/>
        </w:rPr>
        <w:t xml:space="preserve">to perform the database migration. If you would like more control, provide a </w:t>
      </w:r>
      <w:r>
        <w:rPr>
          <w:rFonts w:ascii="MS Gothic"/>
          <w:color w:val="B02045"/>
          <w:w w:val="110"/>
        </w:rPr>
        <w:t>@Bean</w:t>
      </w:r>
      <w:r>
        <w:rPr>
          <w:rFonts w:ascii="MS Gothic"/>
          <w:color w:val="B02045"/>
          <w:spacing w:val="-65"/>
          <w:w w:val="110"/>
        </w:rPr>
        <w:t xml:space="preserve"> </w:t>
      </w:r>
      <w:r>
        <w:rPr>
          <w:color w:val="333333"/>
          <w:w w:val="110"/>
        </w:rPr>
        <w:t xml:space="preserve">that implements </w:t>
      </w:r>
      <w:hyperlink r:id="rId638">
        <w:r>
          <w:rPr>
            <w:rFonts w:ascii="MS Gothic"/>
            <w:color w:val="B02045"/>
            <w:w w:val="110"/>
          </w:rPr>
          <w:t>FlywayMigrationStrategy</w:t>
        </w:r>
      </w:hyperlink>
      <w:r>
        <w:rPr>
          <w:color w:val="333333"/>
          <w:w w:val="110"/>
        </w:rPr>
        <w:t>.</w:t>
      </w:r>
    </w:p>
    <w:p w14:paraId="0110AAAE" w14:textId="77777777" w:rsidR="00A720EB" w:rsidRDefault="00A720EB">
      <w:pPr>
        <w:pStyle w:val="a3"/>
        <w:spacing w:before="6"/>
      </w:pPr>
    </w:p>
    <w:p w14:paraId="77707E32" w14:textId="77777777" w:rsidR="00A720EB" w:rsidRDefault="0030286B">
      <w:pPr>
        <w:pStyle w:val="a3"/>
        <w:spacing w:line="285" w:lineRule="auto"/>
        <w:ind w:left="124" w:right="122"/>
        <w:jc w:val="both"/>
      </w:pPr>
      <w:r>
        <w:rPr>
          <w:color w:val="333333"/>
          <w:w w:val="110"/>
        </w:rPr>
        <w:t xml:space="preserve">Flyway supports SQL and Java  </w:t>
      </w:r>
      <w:hyperlink r:id="rId639">
        <w:r>
          <w:rPr>
            <w:color w:val="418BCA"/>
            <w:w w:val="110"/>
          </w:rPr>
          <w:t>callbacks</w:t>
        </w:r>
      </w:hyperlink>
      <w:r>
        <w:rPr>
          <w:color w:val="333333"/>
          <w:w w:val="110"/>
        </w:rPr>
        <w:t xml:space="preserve">. </w:t>
      </w:r>
      <w:proofErr w:type="gramStart"/>
      <w:r>
        <w:rPr>
          <w:color w:val="333333"/>
          <w:spacing w:val="-4"/>
          <w:w w:val="110"/>
        </w:rPr>
        <w:t xml:space="preserve">To  </w:t>
      </w:r>
      <w:r>
        <w:rPr>
          <w:color w:val="333333"/>
          <w:w w:val="110"/>
        </w:rPr>
        <w:t>use</w:t>
      </w:r>
      <w:proofErr w:type="gramEnd"/>
      <w:r>
        <w:rPr>
          <w:color w:val="333333"/>
          <w:w w:val="110"/>
        </w:rPr>
        <w:t xml:space="preserve"> SQL-based callbacks, place the callback scripts in  the </w:t>
      </w:r>
      <w:r>
        <w:rPr>
          <w:rFonts w:ascii="MS Gothic"/>
          <w:color w:val="B02045"/>
          <w:w w:val="110"/>
        </w:rPr>
        <w:t xml:space="preserve">classpath:db/migration </w:t>
      </w:r>
      <w:r>
        <w:rPr>
          <w:color w:val="333333"/>
          <w:spacing w:val="-3"/>
          <w:w w:val="110"/>
        </w:rPr>
        <w:t xml:space="preserve">directory. </w:t>
      </w:r>
      <w:r>
        <w:rPr>
          <w:color w:val="333333"/>
          <w:spacing w:val="-4"/>
          <w:w w:val="110"/>
        </w:rPr>
        <w:t xml:space="preserve">To </w:t>
      </w:r>
      <w:r>
        <w:rPr>
          <w:color w:val="333333"/>
          <w:w w:val="110"/>
        </w:rPr>
        <w:t xml:space="preserve">use Java-based callbacks, create one or more beans that implement </w:t>
      </w:r>
      <w:r>
        <w:rPr>
          <w:rFonts w:ascii="MS Gothic"/>
          <w:color w:val="B02045"/>
          <w:w w:val="110"/>
        </w:rPr>
        <w:t>Callback</w:t>
      </w:r>
      <w:r>
        <w:rPr>
          <w:color w:val="333333"/>
          <w:w w:val="110"/>
        </w:rPr>
        <w:t xml:space="preserve">. Any such beans are automatically registered with </w:t>
      </w:r>
      <w:r>
        <w:rPr>
          <w:rFonts w:ascii="MS Gothic"/>
          <w:color w:val="B02045"/>
          <w:w w:val="110"/>
        </w:rPr>
        <w:t>Flyway</w:t>
      </w:r>
      <w:r>
        <w:rPr>
          <w:color w:val="333333"/>
          <w:w w:val="110"/>
        </w:rPr>
        <w:t xml:space="preserve">. They can be ordered </w:t>
      </w:r>
      <w:r>
        <w:rPr>
          <w:color w:val="333333"/>
          <w:spacing w:val="-3"/>
          <w:w w:val="110"/>
        </w:rPr>
        <w:t xml:space="preserve">by </w:t>
      </w:r>
      <w:r>
        <w:rPr>
          <w:color w:val="333333"/>
          <w:w w:val="110"/>
        </w:rPr>
        <w:t xml:space="preserve">using </w:t>
      </w:r>
      <w:r>
        <w:rPr>
          <w:rFonts w:ascii="MS Gothic"/>
          <w:color w:val="B02045"/>
          <w:w w:val="110"/>
        </w:rPr>
        <w:t xml:space="preserve">@Order </w:t>
      </w:r>
      <w:r>
        <w:rPr>
          <w:color w:val="333333"/>
          <w:w w:val="110"/>
        </w:rPr>
        <w:t xml:space="preserve">or </w:t>
      </w:r>
      <w:r>
        <w:rPr>
          <w:color w:val="333333"/>
          <w:spacing w:val="-3"/>
          <w:w w:val="110"/>
        </w:rPr>
        <w:t xml:space="preserve">by </w:t>
      </w:r>
      <w:r>
        <w:rPr>
          <w:color w:val="333333"/>
          <w:w w:val="110"/>
        </w:rPr>
        <w:t xml:space="preserve">implementing </w:t>
      </w:r>
      <w:r>
        <w:rPr>
          <w:rFonts w:ascii="MS Gothic"/>
          <w:color w:val="B02045"/>
          <w:w w:val="110"/>
        </w:rPr>
        <w:t>Ordered</w:t>
      </w:r>
      <w:r>
        <w:rPr>
          <w:color w:val="333333"/>
          <w:w w:val="110"/>
        </w:rPr>
        <w:t xml:space="preserve">. Beans that implement the deprecated </w:t>
      </w:r>
      <w:r>
        <w:rPr>
          <w:rFonts w:ascii="MS Gothic"/>
          <w:color w:val="B02045"/>
          <w:w w:val="110"/>
        </w:rPr>
        <w:t xml:space="preserve">FlywayCallback </w:t>
      </w:r>
      <w:r>
        <w:rPr>
          <w:color w:val="333333"/>
          <w:w w:val="110"/>
        </w:rPr>
        <w:t xml:space="preserve">interface can also be detected, however they cannot be used alongside </w:t>
      </w:r>
      <w:r>
        <w:rPr>
          <w:rFonts w:ascii="MS Gothic"/>
          <w:color w:val="B02045"/>
          <w:w w:val="110"/>
        </w:rPr>
        <w:t>Callback</w:t>
      </w:r>
      <w:r>
        <w:rPr>
          <w:rFonts w:ascii="MS Gothic"/>
          <w:color w:val="B02045"/>
          <w:spacing w:val="-32"/>
          <w:w w:val="110"/>
        </w:rPr>
        <w:t xml:space="preserve"> </w:t>
      </w:r>
      <w:r>
        <w:rPr>
          <w:color w:val="333333"/>
          <w:w w:val="110"/>
        </w:rPr>
        <w:t>beans.</w:t>
      </w:r>
    </w:p>
    <w:p w14:paraId="31A62BB8" w14:textId="77777777" w:rsidR="00A720EB" w:rsidRDefault="0030286B">
      <w:pPr>
        <w:pStyle w:val="a3"/>
        <w:spacing w:before="234" w:line="280" w:lineRule="auto"/>
        <w:ind w:left="124" w:right="122"/>
        <w:jc w:val="both"/>
      </w:pPr>
      <w:r>
        <w:rPr>
          <w:color w:val="333333"/>
          <w:spacing w:val="-3"/>
          <w:w w:val="110"/>
        </w:rPr>
        <w:t>By</w:t>
      </w:r>
      <w:r>
        <w:rPr>
          <w:color w:val="333333"/>
          <w:spacing w:val="-4"/>
          <w:w w:val="110"/>
        </w:rPr>
        <w:t xml:space="preserve"> </w:t>
      </w:r>
      <w:r>
        <w:rPr>
          <w:color w:val="333333"/>
          <w:w w:val="110"/>
        </w:rPr>
        <w:t>default,</w:t>
      </w:r>
      <w:r>
        <w:rPr>
          <w:color w:val="333333"/>
          <w:spacing w:val="-3"/>
          <w:w w:val="110"/>
        </w:rPr>
        <w:t xml:space="preserve"> </w:t>
      </w:r>
      <w:r>
        <w:rPr>
          <w:color w:val="333333"/>
          <w:w w:val="110"/>
        </w:rPr>
        <w:t>Flyway</w:t>
      </w:r>
      <w:r>
        <w:rPr>
          <w:color w:val="333333"/>
          <w:spacing w:val="-3"/>
          <w:w w:val="110"/>
        </w:rPr>
        <w:t xml:space="preserve"> </w:t>
      </w:r>
      <w:r>
        <w:rPr>
          <w:color w:val="333333"/>
          <w:w w:val="110"/>
        </w:rPr>
        <w:t>autowires</w:t>
      </w:r>
      <w:r>
        <w:rPr>
          <w:color w:val="333333"/>
          <w:spacing w:val="-3"/>
          <w:w w:val="110"/>
        </w:rPr>
        <w:t xml:space="preserve"> </w:t>
      </w:r>
      <w:r>
        <w:rPr>
          <w:color w:val="333333"/>
          <w:w w:val="110"/>
        </w:rPr>
        <w:t>the</w:t>
      </w:r>
      <w:r>
        <w:rPr>
          <w:color w:val="333333"/>
          <w:spacing w:val="-4"/>
          <w:w w:val="110"/>
        </w:rPr>
        <w:t xml:space="preserve"> </w:t>
      </w:r>
      <w:r>
        <w:rPr>
          <w:color w:val="333333"/>
          <w:w w:val="110"/>
        </w:rPr>
        <w:t>(</w:t>
      </w:r>
      <w:r>
        <w:rPr>
          <w:rFonts w:ascii="MS Gothic" w:hAnsi="MS Gothic"/>
          <w:color w:val="B02045"/>
          <w:w w:val="110"/>
        </w:rPr>
        <w:t>@Primary</w:t>
      </w:r>
      <w:r>
        <w:rPr>
          <w:color w:val="333333"/>
          <w:w w:val="110"/>
        </w:rPr>
        <w:t>)</w:t>
      </w:r>
      <w:r>
        <w:rPr>
          <w:color w:val="333333"/>
          <w:spacing w:val="-3"/>
          <w:w w:val="110"/>
        </w:rPr>
        <w:t xml:space="preserve"> </w:t>
      </w:r>
      <w:r>
        <w:rPr>
          <w:rFonts w:ascii="MS Gothic" w:hAnsi="MS Gothic"/>
          <w:color w:val="B02045"/>
          <w:w w:val="110"/>
        </w:rPr>
        <w:t>DataSource</w:t>
      </w:r>
      <w:r>
        <w:rPr>
          <w:rFonts w:ascii="MS Gothic" w:hAnsi="MS Gothic"/>
          <w:color w:val="B02045"/>
          <w:spacing w:val="-68"/>
          <w:w w:val="110"/>
        </w:rPr>
        <w:t xml:space="preserve"> </w:t>
      </w:r>
      <w:r>
        <w:rPr>
          <w:color w:val="333333"/>
          <w:w w:val="110"/>
        </w:rPr>
        <w:t>in</w:t>
      </w:r>
      <w:r>
        <w:rPr>
          <w:color w:val="333333"/>
          <w:spacing w:val="-3"/>
          <w:w w:val="110"/>
        </w:rPr>
        <w:t xml:space="preserve"> </w:t>
      </w:r>
      <w:r>
        <w:rPr>
          <w:color w:val="333333"/>
          <w:w w:val="110"/>
        </w:rPr>
        <w:t>your</w:t>
      </w:r>
      <w:r>
        <w:rPr>
          <w:color w:val="333333"/>
          <w:spacing w:val="-4"/>
          <w:w w:val="110"/>
        </w:rPr>
        <w:t xml:space="preserve"> </w:t>
      </w:r>
      <w:r>
        <w:rPr>
          <w:color w:val="333333"/>
          <w:w w:val="110"/>
        </w:rPr>
        <w:t>context</w:t>
      </w:r>
      <w:r>
        <w:rPr>
          <w:color w:val="333333"/>
          <w:spacing w:val="-3"/>
          <w:w w:val="110"/>
        </w:rPr>
        <w:t xml:space="preserve"> </w:t>
      </w:r>
      <w:r>
        <w:rPr>
          <w:color w:val="333333"/>
          <w:w w:val="110"/>
        </w:rPr>
        <w:t>and</w:t>
      </w:r>
      <w:r>
        <w:rPr>
          <w:color w:val="333333"/>
          <w:spacing w:val="-3"/>
          <w:w w:val="110"/>
        </w:rPr>
        <w:t xml:space="preserve"> </w:t>
      </w:r>
      <w:r>
        <w:rPr>
          <w:color w:val="333333"/>
          <w:w w:val="110"/>
        </w:rPr>
        <w:t>uses</w:t>
      </w:r>
      <w:r>
        <w:rPr>
          <w:color w:val="333333"/>
          <w:spacing w:val="-3"/>
          <w:w w:val="110"/>
        </w:rPr>
        <w:t xml:space="preserve"> </w:t>
      </w:r>
      <w:r>
        <w:rPr>
          <w:color w:val="333333"/>
          <w:w w:val="110"/>
        </w:rPr>
        <w:t>that</w:t>
      </w:r>
      <w:r>
        <w:rPr>
          <w:color w:val="333333"/>
          <w:spacing w:val="-3"/>
          <w:w w:val="110"/>
        </w:rPr>
        <w:t xml:space="preserve"> </w:t>
      </w:r>
      <w:r>
        <w:rPr>
          <w:color w:val="333333"/>
          <w:w w:val="110"/>
        </w:rPr>
        <w:t>for</w:t>
      </w:r>
      <w:r>
        <w:rPr>
          <w:color w:val="333333"/>
          <w:spacing w:val="-4"/>
          <w:w w:val="110"/>
        </w:rPr>
        <w:t xml:space="preserve"> </w:t>
      </w:r>
      <w:r>
        <w:rPr>
          <w:color w:val="333333"/>
          <w:w w:val="110"/>
        </w:rPr>
        <w:t>migrations. If</w:t>
      </w:r>
      <w:r>
        <w:rPr>
          <w:color w:val="333333"/>
          <w:spacing w:val="-8"/>
          <w:w w:val="110"/>
        </w:rPr>
        <w:t xml:space="preserve"> </w:t>
      </w:r>
      <w:r>
        <w:rPr>
          <w:color w:val="333333"/>
          <w:w w:val="110"/>
        </w:rPr>
        <w:t>you</w:t>
      </w:r>
      <w:r>
        <w:rPr>
          <w:color w:val="333333"/>
          <w:spacing w:val="-7"/>
          <w:w w:val="110"/>
        </w:rPr>
        <w:t xml:space="preserve"> </w:t>
      </w:r>
      <w:r>
        <w:rPr>
          <w:color w:val="333333"/>
          <w:w w:val="110"/>
        </w:rPr>
        <w:t>like</w:t>
      </w:r>
      <w:r>
        <w:rPr>
          <w:color w:val="333333"/>
          <w:spacing w:val="-8"/>
          <w:w w:val="110"/>
        </w:rPr>
        <w:t xml:space="preserve"> </w:t>
      </w:r>
      <w:r>
        <w:rPr>
          <w:color w:val="333333"/>
          <w:w w:val="110"/>
        </w:rPr>
        <w:t>to</w:t>
      </w:r>
      <w:r>
        <w:rPr>
          <w:color w:val="333333"/>
          <w:spacing w:val="-7"/>
          <w:w w:val="110"/>
        </w:rPr>
        <w:t xml:space="preserve"> </w:t>
      </w:r>
      <w:r>
        <w:rPr>
          <w:color w:val="333333"/>
          <w:w w:val="110"/>
        </w:rPr>
        <w:t>use</w:t>
      </w:r>
      <w:r>
        <w:rPr>
          <w:color w:val="333333"/>
          <w:spacing w:val="-7"/>
          <w:w w:val="110"/>
        </w:rPr>
        <w:t xml:space="preserve"> </w:t>
      </w:r>
      <w:r>
        <w:rPr>
          <w:color w:val="333333"/>
          <w:w w:val="110"/>
        </w:rPr>
        <w:t>a</w:t>
      </w:r>
      <w:r>
        <w:rPr>
          <w:color w:val="333333"/>
          <w:spacing w:val="-8"/>
          <w:w w:val="110"/>
        </w:rPr>
        <w:t xml:space="preserve"> </w:t>
      </w:r>
      <w:r>
        <w:rPr>
          <w:color w:val="333333"/>
          <w:w w:val="110"/>
        </w:rPr>
        <w:t>different</w:t>
      </w:r>
      <w:r>
        <w:rPr>
          <w:color w:val="333333"/>
          <w:spacing w:val="-4"/>
          <w:w w:val="110"/>
        </w:rPr>
        <w:t xml:space="preserve"> </w:t>
      </w:r>
      <w:r>
        <w:rPr>
          <w:rFonts w:ascii="MS Gothic" w:hAnsi="MS Gothic"/>
          <w:color w:val="B02045"/>
          <w:w w:val="110"/>
        </w:rPr>
        <w:t>DataSource</w:t>
      </w:r>
      <w:r>
        <w:rPr>
          <w:color w:val="333333"/>
          <w:w w:val="110"/>
        </w:rPr>
        <w:t>,</w:t>
      </w:r>
      <w:r>
        <w:rPr>
          <w:color w:val="333333"/>
          <w:spacing w:val="-8"/>
          <w:w w:val="110"/>
        </w:rPr>
        <w:t xml:space="preserve"> </w:t>
      </w:r>
      <w:r>
        <w:rPr>
          <w:color w:val="333333"/>
          <w:w w:val="110"/>
        </w:rPr>
        <w:t>you</w:t>
      </w:r>
      <w:r>
        <w:rPr>
          <w:color w:val="333333"/>
          <w:spacing w:val="-7"/>
          <w:w w:val="110"/>
        </w:rPr>
        <w:t xml:space="preserve"> </w:t>
      </w:r>
      <w:r>
        <w:rPr>
          <w:color w:val="333333"/>
          <w:w w:val="110"/>
        </w:rPr>
        <w:t>can</w:t>
      </w:r>
      <w:r>
        <w:rPr>
          <w:color w:val="333333"/>
          <w:spacing w:val="-7"/>
          <w:w w:val="110"/>
        </w:rPr>
        <w:t xml:space="preserve"> </w:t>
      </w:r>
      <w:r>
        <w:rPr>
          <w:color w:val="333333"/>
          <w:w w:val="110"/>
        </w:rPr>
        <w:t>create</w:t>
      </w:r>
      <w:r>
        <w:rPr>
          <w:color w:val="333333"/>
          <w:spacing w:val="-8"/>
          <w:w w:val="110"/>
        </w:rPr>
        <w:t xml:space="preserve"> </w:t>
      </w:r>
      <w:r>
        <w:rPr>
          <w:color w:val="333333"/>
          <w:w w:val="110"/>
        </w:rPr>
        <w:t>one</w:t>
      </w:r>
      <w:r>
        <w:rPr>
          <w:color w:val="333333"/>
          <w:spacing w:val="-7"/>
          <w:w w:val="110"/>
        </w:rPr>
        <w:t xml:space="preserve"> </w:t>
      </w:r>
      <w:r>
        <w:rPr>
          <w:color w:val="333333"/>
          <w:w w:val="110"/>
        </w:rPr>
        <w:t>and</w:t>
      </w:r>
      <w:r>
        <w:rPr>
          <w:color w:val="333333"/>
          <w:spacing w:val="-7"/>
          <w:w w:val="110"/>
        </w:rPr>
        <w:t xml:space="preserve"> </w:t>
      </w:r>
      <w:r>
        <w:rPr>
          <w:color w:val="333333"/>
          <w:w w:val="110"/>
        </w:rPr>
        <w:t>mark</w:t>
      </w:r>
      <w:r>
        <w:rPr>
          <w:color w:val="333333"/>
          <w:spacing w:val="-8"/>
          <w:w w:val="110"/>
        </w:rPr>
        <w:t xml:space="preserve"> </w:t>
      </w:r>
      <w:r>
        <w:rPr>
          <w:color w:val="333333"/>
          <w:w w:val="110"/>
        </w:rPr>
        <w:t>its</w:t>
      </w:r>
      <w:r>
        <w:rPr>
          <w:color w:val="333333"/>
          <w:spacing w:val="-5"/>
          <w:w w:val="110"/>
        </w:rPr>
        <w:t xml:space="preserve"> </w:t>
      </w:r>
      <w:r>
        <w:rPr>
          <w:rFonts w:ascii="MS Gothic" w:hAnsi="MS Gothic"/>
          <w:color w:val="B02045"/>
          <w:w w:val="110"/>
        </w:rPr>
        <w:t>@Bean</w:t>
      </w:r>
      <w:r>
        <w:rPr>
          <w:rFonts w:ascii="MS Gothic" w:hAnsi="MS Gothic"/>
          <w:color w:val="B02045"/>
          <w:spacing w:val="-72"/>
          <w:w w:val="110"/>
        </w:rPr>
        <w:t xml:space="preserve"> </w:t>
      </w:r>
      <w:r>
        <w:rPr>
          <w:color w:val="333333"/>
          <w:w w:val="110"/>
        </w:rPr>
        <w:t>as</w:t>
      </w:r>
      <w:r>
        <w:rPr>
          <w:color w:val="333333"/>
          <w:spacing w:val="-8"/>
          <w:w w:val="110"/>
        </w:rPr>
        <w:t xml:space="preserve"> </w:t>
      </w:r>
      <w:r>
        <w:rPr>
          <w:rFonts w:ascii="MS Gothic" w:hAnsi="MS Gothic"/>
          <w:color w:val="B02045"/>
          <w:w w:val="110"/>
        </w:rPr>
        <w:t>@FlywayDataSource</w:t>
      </w:r>
      <w:r>
        <w:rPr>
          <w:color w:val="333333"/>
          <w:w w:val="110"/>
        </w:rPr>
        <w:t xml:space="preserve">. If you do so and want two data sources, remember to create another one and mark it as </w:t>
      </w:r>
      <w:r>
        <w:rPr>
          <w:rFonts w:ascii="MS Gothic" w:hAnsi="MS Gothic"/>
          <w:color w:val="B02045"/>
          <w:w w:val="110"/>
        </w:rPr>
        <w:t>@Primary</w:t>
      </w:r>
      <w:r>
        <w:rPr>
          <w:color w:val="333333"/>
          <w:w w:val="110"/>
        </w:rPr>
        <w:t xml:space="preserve">. </w:t>
      </w:r>
      <w:r>
        <w:rPr>
          <w:color w:val="333333"/>
          <w:spacing w:val="-3"/>
          <w:w w:val="110"/>
        </w:rPr>
        <w:t>Alternatively,</w:t>
      </w:r>
      <w:r>
        <w:rPr>
          <w:color w:val="333333"/>
          <w:spacing w:val="-21"/>
          <w:w w:val="110"/>
        </w:rPr>
        <w:t xml:space="preserve"> </w:t>
      </w:r>
      <w:r>
        <w:rPr>
          <w:color w:val="333333"/>
          <w:w w:val="110"/>
        </w:rPr>
        <w:t>you</w:t>
      </w:r>
      <w:r>
        <w:rPr>
          <w:color w:val="333333"/>
          <w:spacing w:val="-21"/>
          <w:w w:val="110"/>
        </w:rPr>
        <w:t xml:space="preserve"> </w:t>
      </w:r>
      <w:r>
        <w:rPr>
          <w:color w:val="333333"/>
          <w:w w:val="110"/>
        </w:rPr>
        <w:t>can</w:t>
      </w:r>
      <w:r>
        <w:rPr>
          <w:color w:val="333333"/>
          <w:spacing w:val="-20"/>
          <w:w w:val="110"/>
        </w:rPr>
        <w:t xml:space="preserve"> </w:t>
      </w:r>
      <w:r>
        <w:rPr>
          <w:color w:val="333333"/>
          <w:w w:val="110"/>
        </w:rPr>
        <w:t>use</w:t>
      </w:r>
      <w:r>
        <w:rPr>
          <w:color w:val="333333"/>
          <w:spacing w:val="-21"/>
          <w:w w:val="110"/>
        </w:rPr>
        <w:t xml:space="preserve"> </w:t>
      </w:r>
      <w:r>
        <w:rPr>
          <w:color w:val="333333"/>
          <w:w w:val="110"/>
        </w:rPr>
        <w:t>Flyway’s</w:t>
      </w:r>
      <w:r>
        <w:rPr>
          <w:color w:val="333333"/>
          <w:spacing w:val="-20"/>
          <w:w w:val="110"/>
        </w:rPr>
        <w:t xml:space="preserve"> </w:t>
      </w:r>
      <w:r>
        <w:rPr>
          <w:color w:val="333333"/>
          <w:w w:val="110"/>
        </w:rPr>
        <w:t>native</w:t>
      </w:r>
      <w:r>
        <w:rPr>
          <w:color w:val="333333"/>
          <w:spacing w:val="-20"/>
          <w:w w:val="110"/>
        </w:rPr>
        <w:t xml:space="preserve"> </w:t>
      </w:r>
      <w:r>
        <w:rPr>
          <w:rFonts w:ascii="MS Gothic" w:hAnsi="MS Gothic"/>
          <w:color w:val="B02045"/>
          <w:w w:val="110"/>
        </w:rPr>
        <w:t>DataSource</w:t>
      </w:r>
      <w:r>
        <w:rPr>
          <w:rFonts w:ascii="MS Gothic" w:hAnsi="MS Gothic"/>
          <w:color w:val="B02045"/>
          <w:spacing w:val="-85"/>
          <w:w w:val="110"/>
        </w:rPr>
        <w:t xml:space="preserve"> </w:t>
      </w:r>
      <w:r>
        <w:rPr>
          <w:color w:val="333333"/>
          <w:spacing w:val="-3"/>
          <w:w w:val="110"/>
        </w:rPr>
        <w:t>by</w:t>
      </w:r>
      <w:r>
        <w:rPr>
          <w:color w:val="333333"/>
          <w:spacing w:val="-21"/>
          <w:w w:val="110"/>
        </w:rPr>
        <w:t xml:space="preserve"> </w:t>
      </w:r>
      <w:r>
        <w:rPr>
          <w:color w:val="333333"/>
          <w:w w:val="110"/>
        </w:rPr>
        <w:t>setting</w:t>
      </w:r>
      <w:r>
        <w:rPr>
          <w:color w:val="333333"/>
          <w:spacing w:val="-20"/>
          <w:w w:val="110"/>
        </w:rPr>
        <w:t xml:space="preserve"> </w:t>
      </w:r>
      <w:proofErr w:type="gramStart"/>
      <w:r>
        <w:rPr>
          <w:rFonts w:ascii="MS Gothic" w:hAnsi="MS Gothic"/>
          <w:color w:val="B02045"/>
          <w:w w:val="110"/>
        </w:rPr>
        <w:t>spring.flyway</w:t>
      </w:r>
      <w:proofErr w:type="gramEnd"/>
      <w:r>
        <w:rPr>
          <w:rFonts w:ascii="MS Gothic" w:hAnsi="MS Gothic"/>
          <w:color w:val="B02045"/>
          <w:w w:val="110"/>
        </w:rPr>
        <w:t xml:space="preserve">.[url,user,password] </w:t>
      </w:r>
      <w:r>
        <w:rPr>
          <w:color w:val="333333"/>
          <w:w w:val="110"/>
        </w:rPr>
        <w:t>in</w:t>
      </w:r>
      <w:r>
        <w:rPr>
          <w:color w:val="333333"/>
          <w:spacing w:val="-8"/>
          <w:w w:val="110"/>
        </w:rPr>
        <w:t xml:space="preserve"> </w:t>
      </w:r>
      <w:r>
        <w:rPr>
          <w:color w:val="333333"/>
          <w:w w:val="110"/>
        </w:rPr>
        <w:t>external</w:t>
      </w:r>
      <w:r>
        <w:rPr>
          <w:color w:val="333333"/>
          <w:spacing w:val="-7"/>
          <w:w w:val="110"/>
        </w:rPr>
        <w:t xml:space="preserve"> </w:t>
      </w:r>
      <w:r>
        <w:rPr>
          <w:color w:val="333333"/>
          <w:w w:val="110"/>
        </w:rPr>
        <w:t>properties.</w:t>
      </w:r>
      <w:r>
        <w:rPr>
          <w:color w:val="333333"/>
          <w:spacing w:val="-7"/>
          <w:w w:val="110"/>
        </w:rPr>
        <w:t xml:space="preserve"> </w:t>
      </w:r>
      <w:r>
        <w:rPr>
          <w:color w:val="333333"/>
          <w:w w:val="110"/>
        </w:rPr>
        <w:t>Setting</w:t>
      </w:r>
      <w:r>
        <w:rPr>
          <w:color w:val="333333"/>
          <w:spacing w:val="-8"/>
          <w:w w:val="110"/>
        </w:rPr>
        <w:t xml:space="preserve"> </w:t>
      </w:r>
      <w:r>
        <w:rPr>
          <w:color w:val="333333"/>
          <w:w w:val="110"/>
        </w:rPr>
        <w:t>either</w:t>
      </w:r>
      <w:r>
        <w:rPr>
          <w:color w:val="333333"/>
          <w:spacing w:val="-3"/>
          <w:w w:val="110"/>
        </w:rPr>
        <w:t xml:space="preserve"> </w:t>
      </w:r>
      <w:r>
        <w:rPr>
          <w:rFonts w:ascii="MS Gothic" w:hAnsi="MS Gothic"/>
          <w:color w:val="B02045"/>
          <w:w w:val="110"/>
        </w:rPr>
        <w:t>spring.flyway.url</w:t>
      </w:r>
      <w:r>
        <w:rPr>
          <w:rFonts w:ascii="MS Gothic" w:hAnsi="MS Gothic"/>
          <w:color w:val="B02045"/>
          <w:spacing w:val="-72"/>
          <w:w w:val="110"/>
        </w:rPr>
        <w:t xml:space="preserve"> </w:t>
      </w:r>
      <w:r>
        <w:rPr>
          <w:color w:val="333333"/>
          <w:w w:val="110"/>
        </w:rPr>
        <w:t>or</w:t>
      </w:r>
      <w:r>
        <w:rPr>
          <w:color w:val="333333"/>
          <w:spacing w:val="-7"/>
          <w:w w:val="110"/>
        </w:rPr>
        <w:t xml:space="preserve"> </w:t>
      </w:r>
      <w:proofErr w:type="gramStart"/>
      <w:r>
        <w:rPr>
          <w:rFonts w:ascii="MS Gothic" w:hAnsi="MS Gothic"/>
          <w:color w:val="B02045"/>
          <w:w w:val="110"/>
        </w:rPr>
        <w:t>spring.flyway</w:t>
      </w:r>
      <w:proofErr w:type="gramEnd"/>
      <w:r>
        <w:rPr>
          <w:rFonts w:ascii="MS Gothic" w:hAnsi="MS Gothic"/>
          <w:color w:val="B02045"/>
          <w:w w:val="110"/>
        </w:rPr>
        <w:t>.user</w:t>
      </w:r>
      <w:r>
        <w:rPr>
          <w:rFonts w:ascii="MS Gothic" w:hAnsi="MS Gothic"/>
          <w:color w:val="B02045"/>
          <w:spacing w:val="-72"/>
          <w:w w:val="110"/>
        </w:rPr>
        <w:t xml:space="preserve"> </w:t>
      </w:r>
      <w:r>
        <w:rPr>
          <w:color w:val="333333"/>
          <w:w w:val="110"/>
        </w:rPr>
        <w:t>is</w:t>
      </w:r>
      <w:r>
        <w:rPr>
          <w:color w:val="333333"/>
          <w:spacing w:val="-7"/>
          <w:w w:val="110"/>
        </w:rPr>
        <w:t xml:space="preserve"> </w:t>
      </w:r>
      <w:r>
        <w:rPr>
          <w:color w:val="333333"/>
          <w:w w:val="110"/>
        </w:rPr>
        <w:t>sufficient</w:t>
      </w:r>
      <w:r>
        <w:rPr>
          <w:color w:val="333333"/>
          <w:spacing w:val="-8"/>
          <w:w w:val="110"/>
        </w:rPr>
        <w:t xml:space="preserve"> </w:t>
      </w:r>
      <w:r>
        <w:rPr>
          <w:color w:val="333333"/>
          <w:w w:val="110"/>
        </w:rPr>
        <w:t>to</w:t>
      </w:r>
      <w:r>
        <w:rPr>
          <w:color w:val="333333"/>
          <w:spacing w:val="-7"/>
          <w:w w:val="110"/>
        </w:rPr>
        <w:t xml:space="preserve"> </w:t>
      </w:r>
      <w:r>
        <w:rPr>
          <w:color w:val="333333"/>
          <w:w w:val="110"/>
        </w:rPr>
        <w:t xml:space="preserve">cause Flyway to use its own </w:t>
      </w:r>
      <w:r>
        <w:rPr>
          <w:rFonts w:ascii="MS Gothic" w:hAnsi="MS Gothic"/>
          <w:color w:val="B02045"/>
          <w:w w:val="110"/>
        </w:rPr>
        <w:t>DataSource</w:t>
      </w:r>
      <w:r>
        <w:rPr>
          <w:color w:val="333333"/>
          <w:w w:val="110"/>
        </w:rPr>
        <w:t xml:space="preserve">. If any of the three properties has not been set, the value of its equivalent </w:t>
      </w:r>
      <w:proofErr w:type="gramStart"/>
      <w:r>
        <w:rPr>
          <w:rFonts w:ascii="MS Gothic" w:hAnsi="MS Gothic"/>
          <w:color w:val="B02045"/>
          <w:w w:val="110"/>
        </w:rPr>
        <w:t>spring.datasource</w:t>
      </w:r>
      <w:proofErr w:type="gramEnd"/>
      <w:r>
        <w:rPr>
          <w:rFonts w:ascii="MS Gothic" w:hAnsi="MS Gothic"/>
          <w:color w:val="B02045"/>
          <w:spacing w:val="-61"/>
          <w:w w:val="110"/>
        </w:rPr>
        <w:t xml:space="preserve"> </w:t>
      </w:r>
      <w:r>
        <w:rPr>
          <w:color w:val="333333"/>
          <w:w w:val="110"/>
        </w:rPr>
        <w:t>property will be used.</w:t>
      </w:r>
    </w:p>
    <w:p w14:paraId="4EE7F1E8" w14:textId="77777777" w:rsidR="00A720EB" w:rsidRDefault="00A720EB">
      <w:pPr>
        <w:pStyle w:val="a3"/>
        <w:spacing w:before="10"/>
      </w:pPr>
    </w:p>
    <w:p w14:paraId="333836BC" w14:textId="77777777" w:rsidR="00A720EB" w:rsidRDefault="0030286B">
      <w:pPr>
        <w:pStyle w:val="a3"/>
        <w:spacing w:line="285" w:lineRule="auto"/>
        <w:ind w:left="124" w:right="122"/>
        <w:jc w:val="both"/>
      </w:pPr>
      <w:r>
        <w:rPr>
          <w:color w:val="333333"/>
          <w:spacing w:val="-6"/>
          <w:w w:val="110"/>
        </w:rPr>
        <w:t xml:space="preserve">You </w:t>
      </w:r>
      <w:r>
        <w:rPr>
          <w:color w:val="333333"/>
          <w:w w:val="110"/>
        </w:rPr>
        <w:t xml:space="preserve">can also use Flyway to provide data for specific scenarios. </w:t>
      </w:r>
      <w:r>
        <w:rPr>
          <w:color w:val="333333"/>
          <w:spacing w:val="-4"/>
          <w:w w:val="110"/>
        </w:rPr>
        <w:t xml:space="preserve">For </w:t>
      </w:r>
      <w:r>
        <w:rPr>
          <w:color w:val="333333"/>
          <w:w w:val="110"/>
        </w:rPr>
        <w:t xml:space="preserve">example, you can place test- specific migrations in </w:t>
      </w:r>
      <w:r>
        <w:rPr>
          <w:rFonts w:ascii="MS Gothic"/>
          <w:color w:val="B02045"/>
          <w:w w:val="110"/>
        </w:rPr>
        <w:t xml:space="preserve">src/test/resources </w:t>
      </w:r>
      <w:r>
        <w:rPr>
          <w:color w:val="333333"/>
          <w:w w:val="110"/>
        </w:rPr>
        <w:t>and they are run only when your application starts for testing.</w:t>
      </w:r>
      <w:r>
        <w:rPr>
          <w:color w:val="333333"/>
          <w:spacing w:val="-15"/>
          <w:w w:val="110"/>
        </w:rPr>
        <w:t xml:space="preserve"> </w:t>
      </w:r>
      <w:r>
        <w:rPr>
          <w:color w:val="333333"/>
          <w:w w:val="110"/>
        </w:rPr>
        <w:t>Also,</w:t>
      </w:r>
      <w:r>
        <w:rPr>
          <w:color w:val="333333"/>
          <w:spacing w:val="-14"/>
          <w:w w:val="110"/>
        </w:rPr>
        <w:t xml:space="preserve"> </w:t>
      </w:r>
      <w:r>
        <w:rPr>
          <w:color w:val="333333"/>
          <w:w w:val="110"/>
        </w:rPr>
        <w:t>you</w:t>
      </w:r>
      <w:r>
        <w:rPr>
          <w:color w:val="333333"/>
          <w:spacing w:val="-14"/>
          <w:w w:val="110"/>
        </w:rPr>
        <w:t xml:space="preserve"> </w:t>
      </w:r>
      <w:r>
        <w:rPr>
          <w:color w:val="333333"/>
          <w:w w:val="110"/>
        </w:rPr>
        <w:t>can</w:t>
      </w:r>
      <w:r>
        <w:rPr>
          <w:color w:val="333333"/>
          <w:spacing w:val="-14"/>
          <w:w w:val="110"/>
        </w:rPr>
        <w:t xml:space="preserve"> </w:t>
      </w:r>
      <w:r>
        <w:rPr>
          <w:color w:val="333333"/>
          <w:w w:val="110"/>
        </w:rPr>
        <w:t>use</w:t>
      </w:r>
      <w:r>
        <w:rPr>
          <w:color w:val="333333"/>
          <w:spacing w:val="-14"/>
          <w:w w:val="110"/>
        </w:rPr>
        <w:t xml:space="preserve"> </w:t>
      </w:r>
      <w:r>
        <w:rPr>
          <w:color w:val="333333"/>
          <w:w w:val="110"/>
        </w:rPr>
        <w:t>profile-specific</w:t>
      </w:r>
      <w:r>
        <w:rPr>
          <w:color w:val="333333"/>
          <w:spacing w:val="-14"/>
          <w:w w:val="110"/>
        </w:rPr>
        <w:t xml:space="preserve"> </w:t>
      </w:r>
      <w:r>
        <w:rPr>
          <w:color w:val="333333"/>
          <w:w w:val="110"/>
        </w:rPr>
        <w:t>configuration</w:t>
      </w:r>
      <w:r>
        <w:rPr>
          <w:color w:val="333333"/>
          <w:spacing w:val="-14"/>
          <w:w w:val="110"/>
        </w:rPr>
        <w:t xml:space="preserve"> </w:t>
      </w:r>
      <w:r>
        <w:rPr>
          <w:color w:val="333333"/>
          <w:w w:val="110"/>
        </w:rPr>
        <w:t>to</w:t>
      </w:r>
      <w:r>
        <w:rPr>
          <w:color w:val="333333"/>
          <w:spacing w:val="-15"/>
          <w:w w:val="110"/>
        </w:rPr>
        <w:t xml:space="preserve"> </w:t>
      </w:r>
      <w:r>
        <w:rPr>
          <w:color w:val="333333"/>
          <w:w w:val="110"/>
        </w:rPr>
        <w:t>customize</w:t>
      </w:r>
      <w:r>
        <w:rPr>
          <w:color w:val="333333"/>
          <w:spacing w:val="-9"/>
          <w:w w:val="110"/>
        </w:rPr>
        <w:t xml:space="preserve"> </w:t>
      </w:r>
      <w:proofErr w:type="gramStart"/>
      <w:r>
        <w:rPr>
          <w:rFonts w:ascii="MS Gothic"/>
          <w:color w:val="B02045"/>
          <w:w w:val="110"/>
        </w:rPr>
        <w:t>spring.flyway</w:t>
      </w:r>
      <w:proofErr w:type="gramEnd"/>
      <w:r>
        <w:rPr>
          <w:rFonts w:ascii="MS Gothic"/>
          <w:color w:val="B02045"/>
          <w:w w:val="110"/>
        </w:rPr>
        <w:t>.locations</w:t>
      </w:r>
      <w:r>
        <w:rPr>
          <w:rFonts w:ascii="MS Gothic"/>
          <w:color w:val="B02045"/>
          <w:spacing w:val="-79"/>
          <w:w w:val="110"/>
        </w:rPr>
        <w:t xml:space="preserve"> </w:t>
      </w:r>
      <w:r>
        <w:rPr>
          <w:color w:val="333333"/>
          <w:w w:val="110"/>
        </w:rPr>
        <w:t>so</w:t>
      </w:r>
      <w:r>
        <w:rPr>
          <w:color w:val="333333"/>
          <w:spacing w:val="-14"/>
          <w:w w:val="110"/>
        </w:rPr>
        <w:t xml:space="preserve"> </w:t>
      </w:r>
      <w:r>
        <w:rPr>
          <w:color w:val="333333"/>
          <w:w w:val="110"/>
        </w:rPr>
        <w:t xml:space="preserve">that certain migrations run only when a particular profile is active. </w:t>
      </w:r>
      <w:r>
        <w:rPr>
          <w:color w:val="333333"/>
          <w:spacing w:val="-4"/>
          <w:w w:val="110"/>
        </w:rPr>
        <w:t xml:space="preserve">For </w:t>
      </w:r>
      <w:r>
        <w:rPr>
          <w:color w:val="333333"/>
          <w:w w:val="110"/>
        </w:rPr>
        <w:t xml:space="preserve">example, in </w:t>
      </w:r>
      <w:r>
        <w:rPr>
          <w:rFonts w:ascii="MS Gothic"/>
          <w:color w:val="B02045"/>
          <w:w w:val="110"/>
        </w:rPr>
        <w:t xml:space="preserve">application- </w:t>
      </w:r>
      <w:proofErr w:type="gramStart"/>
      <w:r>
        <w:rPr>
          <w:rFonts w:ascii="MS Gothic"/>
          <w:color w:val="B02045"/>
          <w:w w:val="110"/>
        </w:rPr>
        <w:t>dev.properties</w:t>
      </w:r>
      <w:proofErr w:type="gramEnd"/>
      <w:r>
        <w:rPr>
          <w:color w:val="333333"/>
          <w:w w:val="110"/>
        </w:rPr>
        <w:t>, you might specify the following</w:t>
      </w:r>
      <w:r>
        <w:rPr>
          <w:color w:val="333333"/>
          <w:spacing w:val="9"/>
          <w:w w:val="110"/>
        </w:rPr>
        <w:t xml:space="preserve"> </w:t>
      </w:r>
      <w:r>
        <w:rPr>
          <w:color w:val="333333"/>
          <w:w w:val="110"/>
        </w:rPr>
        <w:t>setting:</w:t>
      </w:r>
    </w:p>
    <w:p w14:paraId="0E98A1E4" w14:textId="77777777" w:rsidR="00A720EB" w:rsidRDefault="00E10349">
      <w:pPr>
        <w:pStyle w:val="a3"/>
        <w:spacing w:before="5"/>
        <w:rPr>
          <w:sz w:val="13"/>
        </w:rPr>
      </w:pPr>
      <w:r>
        <w:pict w14:anchorId="7CB3A2A5">
          <v:group id="_x0000_s1312" style="position:absolute;margin-left:47.85pt;margin-top:9.85pt;width:499.55pt;height:37.5pt;z-index:-15051776;mso-wrap-distance-left:0;mso-wrap-distance-right:0;mso-position-horizontal-relative:page" coordorigin="957,197" coordsize="9991,750">
            <v:shape id="_x0000_s1315" style="position:absolute;left:964;top:204;width:9976;height:735" coordorigin="965,205" coordsize="9976,735" path="m10861,205r-9816,l1014,211r-26,17l971,254r-6,31l965,859r6,32l988,916r26,17l1045,939r9816,l10892,933r25,-17l10935,891r6,-32l10941,285r-6,-31l10917,228r-25,-17l10861,205xe" fillcolor="#f5f5f5" stroked="f">
              <v:path arrowok="t"/>
            </v:shape>
            <v:shape id="_x0000_s1314" style="position:absolute;left:964;top:204;width:9976;height:735" coordorigin="965,205" coordsize="9976,735" path="m1045,205r9816,l10892,211r25,17l10935,254r6,31l10941,859r-6,32l10917,916r-25,17l10861,939r-9816,l1014,933,988,916,971,891r-6,-32l965,285r6,-31l988,228r26,-17l1045,205xe" filled="f" strokecolor="#ccc">
              <v:path arrowok="t"/>
            </v:shape>
            <v:shape id="_x0000_s1313" type="#_x0000_t202" style="position:absolute;left:984;top:220;width:9938;height:704" filled="f" stroked="f">
              <v:textbox inset="0,0,0,0">
                <w:txbxContent>
                  <w:p w14:paraId="18B58978" w14:textId="77777777" w:rsidR="00711A16" w:rsidRDefault="00711A16">
                    <w:pPr>
                      <w:spacing w:before="221"/>
                      <w:ind w:left="200"/>
                      <w:rPr>
                        <w:rFonts w:ascii="MS Gothic"/>
                      </w:rPr>
                    </w:pPr>
                    <w:proofErr w:type="gramStart"/>
                    <w:r>
                      <w:rPr>
                        <w:rFonts w:ascii="MS Gothic"/>
                        <w:color w:val="333333"/>
                      </w:rPr>
                      <w:t>spring.flyway</w:t>
                    </w:r>
                    <w:proofErr w:type="gramEnd"/>
                    <w:r>
                      <w:rPr>
                        <w:rFonts w:ascii="MS Gothic"/>
                        <w:color w:val="333333"/>
                      </w:rPr>
                      <w:t>.locations=classpath:/db/migration,classpath:/dev/db/migration</w:t>
                    </w:r>
                  </w:p>
                </w:txbxContent>
              </v:textbox>
            </v:shape>
            <w10:wrap type="topAndBottom" anchorx="page"/>
          </v:group>
        </w:pict>
      </w:r>
    </w:p>
    <w:p w14:paraId="10876845" w14:textId="77777777" w:rsidR="00A720EB" w:rsidRDefault="00A720EB">
      <w:pPr>
        <w:pStyle w:val="a3"/>
        <w:spacing w:before="11"/>
        <w:rPr>
          <w:sz w:val="9"/>
        </w:rPr>
      </w:pPr>
    </w:p>
    <w:p w14:paraId="35B7DAA3" w14:textId="77777777" w:rsidR="00A720EB" w:rsidRDefault="0030286B">
      <w:pPr>
        <w:pStyle w:val="a3"/>
        <w:spacing w:before="115"/>
        <w:ind w:left="124"/>
      </w:pPr>
      <w:r>
        <w:rPr>
          <w:color w:val="333333"/>
          <w:w w:val="110"/>
        </w:rPr>
        <w:t xml:space="preserve">With that setup, migrations in </w:t>
      </w:r>
      <w:r>
        <w:rPr>
          <w:rFonts w:ascii="MS Gothic"/>
          <w:color w:val="B02045"/>
          <w:w w:val="110"/>
        </w:rPr>
        <w:t>dev/db/migration</w:t>
      </w:r>
      <w:r>
        <w:rPr>
          <w:rFonts w:ascii="MS Gothic"/>
          <w:color w:val="B02045"/>
          <w:spacing w:val="-65"/>
          <w:w w:val="110"/>
        </w:rPr>
        <w:t xml:space="preserve"> </w:t>
      </w:r>
      <w:r>
        <w:rPr>
          <w:color w:val="333333"/>
          <w:w w:val="110"/>
        </w:rPr>
        <w:t xml:space="preserve">run only when the </w:t>
      </w:r>
      <w:r>
        <w:rPr>
          <w:rFonts w:ascii="MS Gothic"/>
          <w:color w:val="B02045"/>
          <w:w w:val="110"/>
        </w:rPr>
        <w:t>dev</w:t>
      </w:r>
      <w:r>
        <w:rPr>
          <w:rFonts w:ascii="MS Gothic"/>
          <w:color w:val="B02045"/>
          <w:spacing w:val="-65"/>
          <w:w w:val="110"/>
        </w:rPr>
        <w:t xml:space="preserve"> </w:t>
      </w:r>
      <w:r>
        <w:rPr>
          <w:color w:val="333333"/>
          <w:w w:val="110"/>
        </w:rPr>
        <w:t>profile is active.</w:t>
      </w:r>
    </w:p>
    <w:p w14:paraId="694B6233" w14:textId="77777777" w:rsidR="00A720EB" w:rsidRDefault="00A720EB">
      <w:pPr>
        <w:pStyle w:val="a3"/>
        <w:spacing w:before="6"/>
        <w:rPr>
          <w:sz w:val="30"/>
        </w:rPr>
      </w:pPr>
    </w:p>
    <w:p w14:paraId="0C032735" w14:textId="77777777" w:rsidR="00A720EB" w:rsidRDefault="0030286B">
      <w:pPr>
        <w:pStyle w:val="4"/>
        <w:jc w:val="left"/>
      </w:pPr>
      <w:bookmarkStart w:id="942" w:name="Execute_Liquibase_Database_Migrations_on"/>
      <w:bookmarkEnd w:id="942"/>
      <w:r>
        <w:rPr>
          <w:color w:val="333333"/>
          <w:w w:val="110"/>
        </w:rPr>
        <w:t>Execute Liquibase Database Migrations on Startup</w:t>
      </w:r>
    </w:p>
    <w:p w14:paraId="7003C636" w14:textId="77777777" w:rsidR="00A720EB" w:rsidRDefault="0030286B">
      <w:pPr>
        <w:pStyle w:val="a3"/>
        <w:spacing w:before="244" w:line="280" w:lineRule="auto"/>
        <w:ind w:left="124"/>
      </w:pPr>
      <w:r>
        <w:rPr>
          <w:color w:val="333333"/>
          <w:spacing w:val="-4"/>
          <w:w w:val="110"/>
        </w:rPr>
        <w:t xml:space="preserve">To </w:t>
      </w:r>
      <w:r>
        <w:rPr>
          <w:color w:val="333333"/>
          <w:w w:val="110"/>
        </w:rPr>
        <w:t xml:space="preserve">automatically run Liquibase database migrations on startup, add the </w:t>
      </w:r>
      <w:proofErr w:type="gramStart"/>
      <w:r>
        <w:rPr>
          <w:rFonts w:ascii="MS Gothic"/>
          <w:color w:val="B02045"/>
          <w:w w:val="110"/>
        </w:rPr>
        <w:t>org.liquibase</w:t>
      </w:r>
      <w:proofErr w:type="gramEnd"/>
      <w:r>
        <w:rPr>
          <w:rFonts w:ascii="MS Gothic"/>
          <w:color w:val="B02045"/>
          <w:w w:val="110"/>
        </w:rPr>
        <w:t>:liquibase- core</w:t>
      </w:r>
      <w:r>
        <w:rPr>
          <w:rFonts w:ascii="MS Gothic"/>
          <w:color w:val="B02045"/>
          <w:spacing w:val="-57"/>
          <w:w w:val="110"/>
        </w:rPr>
        <w:t xml:space="preserve"> </w:t>
      </w:r>
      <w:r>
        <w:rPr>
          <w:color w:val="333333"/>
          <w:w w:val="110"/>
        </w:rPr>
        <w:t>to your classpath.</w:t>
      </w:r>
    </w:p>
    <w:p w14:paraId="5BD7FB07" w14:textId="77777777" w:rsidR="00A720EB" w:rsidRDefault="00A720EB">
      <w:pPr>
        <w:pStyle w:val="a3"/>
        <w:spacing w:before="6"/>
        <w:rPr>
          <w:sz w:val="17"/>
        </w:rPr>
      </w:pPr>
    </w:p>
    <w:p w14:paraId="07C62DAA" w14:textId="77777777" w:rsidR="00A720EB" w:rsidRDefault="00E10349">
      <w:pPr>
        <w:pStyle w:val="a3"/>
        <w:spacing w:before="116" w:line="292" w:lineRule="auto"/>
        <w:ind w:left="1564" w:right="362"/>
        <w:jc w:val="both"/>
      </w:pPr>
      <w:r>
        <w:pict w14:anchorId="1273811D">
          <v:line id="_x0000_s1311" style="position:absolute;left:0;text-align:left;z-index:16406016;mso-position-horizontal-relative:page" from="108.25pt,.35pt" to="108.25pt,103pt" strokecolor="#ededed" strokeweight=".5pt">
            <w10:wrap anchorx="page"/>
          </v:line>
        </w:pict>
      </w:r>
      <w:r w:rsidR="0030286B">
        <w:rPr>
          <w:noProof/>
        </w:rPr>
        <w:drawing>
          <wp:anchor distT="0" distB="0" distL="0" distR="0" simplePos="0" relativeHeight="16406528" behindDoc="0" locked="0" layoutInCell="1" allowOverlap="1" wp14:anchorId="742D0209" wp14:editId="7DB3FE90">
            <wp:simplePos x="0" y="0"/>
            <wp:positionH relativeFrom="page">
              <wp:posOffset>844422</wp:posOffset>
            </wp:positionH>
            <wp:positionV relativeFrom="paragraph">
              <wp:posOffset>507060</wp:posOffset>
            </wp:positionV>
            <wp:extent cx="298450" cy="298450"/>
            <wp:effectExtent l="0" t="0" r="0" b="0"/>
            <wp:wrapNone/>
            <wp:docPr id="7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When you add the </w:t>
      </w:r>
      <w:proofErr w:type="gramStart"/>
      <w:r w:rsidR="0030286B">
        <w:rPr>
          <w:rFonts w:ascii="MS Gothic"/>
          <w:color w:val="B02045"/>
          <w:w w:val="110"/>
        </w:rPr>
        <w:t>org.liquibase</w:t>
      </w:r>
      <w:proofErr w:type="gramEnd"/>
      <w:r w:rsidR="0030286B">
        <w:rPr>
          <w:rFonts w:ascii="MS Gothic"/>
          <w:color w:val="B02045"/>
          <w:w w:val="110"/>
        </w:rPr>
        <w:t xml:space="preserve">:liquibase-core </w:t>
      </w:r>
      <w:r w:rsidR="0030286B">
        <w:rPr>
          <w:color w:val="333333"/>
          <w:w w:val="110"/>
        </w:rPr>
        <w:t xml:space="preserve">to your classpath, database migrations run by default for both during application startup and before your tests run. This behavior can be customized by using the </w:t>
      </w:r>
      <w:proofErr w:type="gramStart"/>
      <w:r w:rsidR="0030286B">
        <w:rPr>
          <w:rFonts w:ascii="MS Gothic"/>
          <w:color w:val="B02045"/>
          <w:w w:val="110"/>
        </w:rPr>
        <w:t>spring.liquibase</w:t>
      </w:r>
      <w:proofErr w:type="gramEnd"/>
      <w:r w:rsidR="0030286B">
        <w:rPr>
          <w:rFonts w:ascii="MS Gothic"/>
          <w:color w:val="B02045"/>
          <w:w w:val="110"/>
        </w:rPr>
        <w:t xml:space="preserve">.enabled </w:t>
      </w:r>
      <w:r w:rsidR="0030286B">
        <w:rPr>
          <w:color w:val="333333"/>
          <w:w w:val="110"/>
        </w:rPr>
        <w:t xml:space="preserve">property, setting different values in the </w:t>
      </w:r>
      <w:r w:rsidR="0030286B">
        <w:rPr>
          <w:rFonts w:ascii="MS Gothic"/>
          <w:color w:val="B02045"/>
          <w:w w:val="110"/>
        </w:rPr>
        <w:t xml:space="preserve">main </w:t>
      </w:r>
      <w:r w:rsidR="0030286B">
        <w:rPr>
          <w:color w:val="333333"/>
          <w:w w:val="110"/>
        </w:rPr>
        <w:t xml:space="preserve">and </w:t>
      </w:r>
      <w:r w:rsidR="0030286B">
        <w:rPr>
          <w:rFonts w:ascii="MS Gothic"/>
          <w:color w:val="B02045"/>
          <w:w w:val="110"/>
        </w:rPr>
        <w:t xml:space="preserve">test </w:t>
      </w:r>
      <w:r w:rsidR="0030286B">
        <w:rPr>
          <w:color w:val="333333"/>
          <w:w w:val="110"/>
        </w:rPr>
        <w:t>configurations. It is not possible to use two different ways to initialize the database (e.g. Liquibase for application startup, JPA for test runs).</w:t>
      </w:r>
    </w:p>
    <w:p w14:paraId="58D2785F" w14:textId="77777777" w:rsidR="00A720EB" w:rsidRDefault="00A720EB">
      <w:pPr>
        <w:pStyle w:val="a3"/>
        <w:spacing w:before="1"/>
        <w:rPr>
          <w:sz w:val="18"/>
        </w:rPr>
      </w:pPr>
    </w:p>
    <w:p w14:paraId="1D60B565" w14:textId="77777777" w:rsidR="00A720EB" w:rsidRDefault="0030286B">
      <w:pPr>
        <w:pStyle w:val="a3"/>
        <w:spacing w:before="116" w:line="285" w:lineRule="auto"/>
        <w:ind w:left="124" w:right="124"/>
        <w:jc w:val="both"/>
      </w:pPr>
      <w:r>
        <w:rPr>
          <w:color w:val="333333"/>
          <w:spacing w:val="-3"/>
          <w:w w:val="110"/>
        </w:rPr>
        <w:t>By</w:t>
      </w:r>
      <w:r>
        <w:rPr>
          <w:color w:val="333333"/>
          <w:spacing w:val="-10"/>
          <w:w w:val="110"/>
        </w:rPr>
        <w:t xml:space="preserve"> </w:t>
      </w:r>
      <w:r>
        <w:rPr>
          <w:color w:val="333333"/>
          <w:w w:val="110"/>
        </w:rPr>
        <w:t>default,</w:t>
      </w:r>
      <w:r>
        <w:rPr>
          <w:color w:val="333333"/>
          <w:spacing w:val="-9"/>
          <w:w w:val="110"/>
        </w:rPr>
        <w:t xml:space="preserve"> </w:t>
      </w:r>
      <w:r>
        <w:rPr>
          <w:color w:val="333333"/>
          <w:w w:val="110"/>
        </w:rPr>
        <w:t>the</w:t>
      </w:r>
      <w:r>
        <w:rPr>
          <w:color w:val="333333"/>
          <w:spacing w:val="-9"/>
          <w:w w:val="110"/>
        </w:rPr>
        <w:t xml:space="preserve"> </w:t>
      </w:r>
      <w:r>
        <w:rPr>
          <w:color w:val="333333"/>
          <w:w w:val="110"/>
        </w:rPr>
        <w:t>master</w:t>
      </w:r>
      <w:r>
        <w:rPr>
          <w:color w:val="333333"/>
          <w:spacing w:val="-9"/>
          <w:w w:val="110"/>
        </w:rPr>
        <w:t xml:space="preserve"> </w:t>
      </w:r>
      <w:r>
        <w:rPr>
          <w:color w:val="333333"/>
          <w:w w:val="110"/>
        </w:rPr>
        <w:t>change</w:t>
      </w:r>
      <w:r>
        <w:rPr>
          <w:color w:val="333333"/>
          <w:spacing w:val="-9"/>
          <w:w w:val="110"/>
        </w:rPr>
        <w:t xml:space="preserve"> </w:t>
      </w:r>
      <w:r>
        <w:rPr>
          <w:color w:val="333333"/>
          <w:w w:val="110"/>
        </w:rPr>
        <w:t>log</w:t>
      </w:r>
      <w:r>
        <w:rPr>
          <w:color w:val="333333"/>
          <w:spacing w:val="-10"/>
          <w:w w:val="110"/>
        </w:rPr>
        <w:t xml:space="preserve"> </w:t>
      </w:r>
      <w:r>
        <w:rPr>
          <w:color w:val="333333"/>
          <w:w w:val="110"/>
        </w:rPr>
        <w:t>is</w:t>
      </w:r>
      <w:r>
        <w:rPr>
          <w:color w:val="333333"/>
          <w:spacing w:val="-9"/>
          <w:w w:val="110"/>
        </w:rPr>
        <w:t xml:space="preserve"> </w:t>
      </w:r>
      <w:r>
        <w:rPr>
          <w:color w:val="333333"/>
          <w:w w:val="110"/>
        </w:rPr>
        <w:t>read</w:t>
      </w:r>
      <w:r>
        <w:rPr>
          <w:color w:val="333333"/>
          <w:spacing w:val="-9"/>
          <w:w w:val="110"/>
        </w:rPr>
        <w:t xml:space="preserve"> </w:t>
      </w:r>
      <w:r>
        <w:rPr>
          <w:color w:val="333333"/>
          <w:w w:val="110"/>
        </w:rPr>
        <w:t>from</w:t>
      </w:r>
      <w:r>
        <w:rPr>
          <w:color w:val="333333"/>
          <w:spacing w:val="-6"/>
          <w:w w:val="110"/>
        </w:rPr>
        <w:t xml:space="preserve"> </w:t>
      </w:r>
      <w:r>
        <w:rPr>
          <w:rFonts w:ascii="MS Gothic"/>
          <w:color w:val="B02045"/>
          <w:w w:val="110"/>
        </w:rPr>
        <w:t>db/changelog/db.changelog-master.yaml</w:t>
      </w:r>
      <w:r>
        <w:rPr>
          <w:color w:val="333333"/>
          <w:w w:val="110"/>
        </w:rPr>
        <w:t>,</w:t>
      </w:r>
      <w:r>
        <w:rPr>
          <w:color w:val="333333"/>
          <w:spacing w:val="-10"/>
          <w:w w:val="110"/>
        </w:rPr>
        <w:t xml:space="preserve"> </w:t>
      </w:r>
      <w:r>
        <w:rPr>
          <w:color w:val="333333"/>
          <w:w w:val="110"/>
        </w:rPr>
        <w:t>but</w:t>
      </w:r>
      <w:r>
        <w:rPr>
          <w:color w:val="333333"/>
          <w:spacing w:val="-9"/>
          <w:w w:val="110"/>
        </w:rPr>
        <w:t xml:space="preserve"> </w:t>
      </w:r>
      <w:r>
        <w:rPr>
          <w:color w:val="333333"/>
          <w:w w:val="110"/>
        </w:rPr>
        <w:t>you</w:t>
      </w:r>
      <w:r>
        <w:rPr>
          <w:color w:val="333333"/>
          <w:spacing w:val="-9"/>
          <w:w w:val="110"/>
        </w:rPr>
        <w:t xml:space="preserve"> </w:t>
      </w:r>
      <w:r>
        <w:rPr>
          <w:color w:val="333333"/>
          <w:w w:val="110"/>
        </w:rPr>
        <w:t xml:space="preserve">can change the location </w:t>
      </w:r>
      <w:r>
        <w:rPr>
          <w:color w:val="333333"/>
          <w:spacing w:val="-3"/>
          <w:w w:val="110"/>
        </w:rPr>
        <w:t xml:space="preserve">by </w:t>
      </w:r>
      <w:r>
        <w:rPr>
          <w:color w:val="333333"/>
          <w:w w:val="110"/>
        </w:rPr>
        <w:t xml:space="preserve">setting </w:t>
      </w:r>
      <w:proofErr w:type="gramStart"/>
      <w:r>
        <w:rPr>
          <w:rFonts w:ascii="MS Gothic"/>
          <w:color w:val="B02045"/>
          <w:w w:val="110"/>
        </w:rPr>
        <w:t>spring.liquibase</w:t>
      </w:r>
      <w:proofErr w:type="gramEnd"/>
      <w:r>
        <w:rPr>
          <w:rFonts w:ascii="MS Gothic"/>
          <w:color w:val="B02045"/>
          <w:w w:val="110"/>
        </w:rPr>
        <w:t>.change-log</w:t>
      </w:r>
      <w:r>
        <w:rPr>
          <w:color w:val="333333"/>
          <w:w w:val="110"/>
        </w:rPr>
        <w:t xml:space="preserve">. In addition to </w:t>
      </w:r>
      <w:r>
        <w:rPr>
          <w:color w:val="333333"/>
          <w:spacing w:val="-4"/>
          <w:w w:val="110"/>
        </w:rPr>
        <w:t xml:space="preserve">YAML, </w:t>
      </w:r>
      <w:r>
        <w:rPr>
          <w:color w:val="333333"/>
          <w:w w:val="110"/>
        </w:rPr>
        <w:t>Liquibase also supports JSON, XML, and SQL change log</w:t>
      </w:r>
      <w:r>
        <w:rPr>
          <w:color w:val="333333"/>
          <w:spacing w:val="25"/>
          <w:w w:val="110"/>
        </w:rPr>
        <w:t xml:space="preserve"> </w:t>
      </w:r>
      <w:r>
        <w:rPr>
          <w:color w:val="333333"/>
          <w:w w:val="110"/>
        </w:rPr>
        <w:t>formats.</w:t>
      </w:r>
    </w:p>
    <w:p w14:paraId="221BB836" w14:textId="77777777" w:rsidR="00A720EB" w:rsidRDefault="00A720EB">
      <w:pPr>
        <w:pStyle w:val="a3"/>
        <w:spacing w:before="7"/>
      </w:pPr>
    </w:p>
    <w:p w14:paraId="1C76C543" w14:textId="77777777" w:rsidR="00A720EB" w:rsidRDefault="0030286B">
      <w:pPr>
        <w:pStyle w:val="a3"/>
        <w:ind w:left="124"/>
        <w:jc w:val="both"/>
      </w:pPr>
      <w:r>
        <w:rPr>
          <w:color w:val="333333"/>
          <w:w w:val="110"/>
        </w:rPr>
        <w:t>By default, Liquibase autowires the (</w:t>
      </w:r>
      <w:r>
        <w:rPr>
          <w:rFonts w:ascii="MS Gothic"/>
          <w:color w:val="B02045"/>
          <w:w w:val="110"/>
        </w:rPr>
        <w:t>@Primary</w:t>
      </w:r>
      <w:r>
        <w:rPr>
          <w:color w:val="333333"/>
          <w:w w:val="110"/>
        </w:rPr>
        <w:t xml:space="preserve">) </w:t>
      </w:r>
      <w:r>
        <w:rPr>
          <w:rFonts w:ascii="MS Gothic"/>
          <w:color w:val="B02045"/>
          <w:w w:val="110"/>
        </w:rPr>
        <w:t xml:space="preserve">DataSource </w:t>
      </w:r>
      <w:r>
        <w:rPr>
          <w:color w:val="333333"/>
          <w:w w:val="110"/>
        </w:rPr>
        <w:t>in your context and uses that for</w:t>
      </w:r>
    </w:p>
    <w:p w14:paraId="137A666C" w14:textId="77777777" w:rsidR="00A720EB" w:rsidRDefault="00A720EB">
      <w:pPr>
        <w:jc w:val="both"/>
        <w:sectPr w:rsidR="00A720EB">
          <w:pgSz w:w="11910" w:h="16840"/>
          <w:pgMar w:top="620" w:right="840" w:bottom="520" w:left="840" w:header="0" w:footer="323" w:gutter="0"/>
          <w:cols w:space="720"/>
        </w:sectPr>
      </w:pPr>
    </w:p>
    <w:p w14:paraId="59B7F0DC" w14:textId="77777777" w:rsidR="00A720EB" w:rsidRDefault="0030286B">
      <w:pPr>
        <w:pStyle w:val="a3"/>
        <w:spacing w:before="96" w:line="280" w:lineRule="auto"/>
        <w:ind w:left="124" w:right="122"/>
        <w:jc w:val="both"/>
      </w:pPr>
      <w:r>
        <w:rPr>
          <w:color w:val="333333"/>
          <w:w w:val="110"/>
        </w:rPr>
        <w:lastRenderedPageBreak/>
        <w:t xml:space="preserve">migrations. If you need to use a different </w:t>
      </w:r>
      <w:r>
        <w:rPr>
          <w:rFonts w:ascii="MS Gothic" w:hAnsi="MS Gothic"/>
          <w:color w:val="B02045"/>
          <w:w w:val="110"/>
        </w:rPr>
        <w:t>DataSource</w:t>
      </w:r>
      <w:r>
        <w:rPr>
          <w:color w:val="333333"/>
          <w:w w:val="110"/>
        </w:rPr>
        <w:t xml:space="preserve">, you can create one and mark its </w:t>
      </w:r>
      <w:r>
        <w:rPr>
          <w:rFonts w:ascii="MS Gothic" w:hAnsi="MS Gothic"/>
          <w:color w:val="B02045"/>
          <w:w w:val="110"/>
        </w:rPr>
        <w:t xml:space="preserve">@Bean </w:t>
      </w:r>
      <w:r>
        <w:rPr>
          <w:color w:val="333333"/>
          <w:w w:val="110"/>
        </w:rPr>
        <w:t xml:space="preserve">as </w:t>
      </w:r>
      <w:r>
        <w:rPr>
          <w:rFonts w:ascii="MS Gothic" w:hAnsi="MS Gothic"/>
          <w:color w:val="B02045"/>
          <w:w w:val="110"/>
        </w:rPr>
        <w:t>@LiquibaseDataSource</w:t>
      </w:r>
      <w:r>
        <w:rPr>
          <w:color w:val="333333"/>
          <w:w w:val="110"/>
        </w:rPr>
        <w:t xml:space="preserve">. If you do so and you want two data sources, remember to create another one and mark it as </w:t>
      </w:r>
      <w:r>
        <w:rPr>
          <w:rFonts w:ascii="MS Gothic" w:hAnsi="MS Gothic"/>
          <w:color w:val="B02045"/>
          <w:w w:val="110"/>
        </w:rPr>
        <w:t>@Primary</w:t>
      </w:r>
      <w:r>
        <w:rPr>
          <w:color w:val="333333"/>
          <w:w w:val="110"/>
        </w:rPr>
        <w:t xml:space="preserve">. </w:t>
      </w:r>
      <w:r>
        <w:rPr>
          <w:color w:val="333333"/>
          <w:spacing w:val="-3"/>
          <w:w w:val="110"/>
        </w:rPr>
        <w:t xml:space="preserve">Alternatively, </w:t>
      </w:r>
      <w:r>
        <w:rPr>
          <w:color w:val="333333"/>
          <w:w w:val="110"/>
        </w:rPr>
        <w:t xml:space="preserve">you can use Liquibase’s native </w:t>
      </w:r>
      <w:r>
        <w:rPr>
          <w:rFonts w:ascii="MS Gothic" w:hAnsi="MS Gothic"/>
          <w:color w:val="B02045"/>
          <w:w w:val="110"/>
        </w:rPr>
        <w:t xml:space="preserve">DataSource </w:t>
      </w:r>
      <w:r>
        <w:rPr>
          <w:color w:val="333333"/>
          <w:spacing w:val="-3"/>
          <w:w w:val="110"/>
        </w:rPr>
        <w:t xml:space="preserve">by </w:t>
      </w:r>
      <w:r>
        <w:rPr>
          <w:color w:val="333333"/>
          <w:w w:val="110"/>
        </w:rPr>
        <w:t xml:space="preserve">setting </w:t>
      </w:r>
      <w:proofErr w:type="gramStart"/>
      <w:r>
        <w:rPr>
          <w:rFonts w:ascii="MS Gothic" w:hAnsi="MS Gothic"/>
          <w:color w:val="B02045"/>
          <w:w w:val="105"/>
        </w:rPr>
        <w:t>spring.liquibase</w:t>
      </w:r>
      <w:proofErr w:type="gramEnd"/>
      <w:r>
        <w:rPr>
          <w:rFonts w:ascii="MS Gothic" w:hAnsi="MS Gothic"/>
          <w:color w:val="B02045"/>
          <w:w w:val="105"/>
        </w:rPr>
        <w:t>.[url,user,password]</w:t>
      </w:r>
      <w:r>
        <w:rPr>
          <w:rFonts w:ascii="MS Gothic" w:hAnsi="MS Gothic"/>
          <w:color w:val="B02045"/>
          <w:spacing w:val="-61"/>
          <w:w w:val="105"/>
        </w:rPr>
        <w:t xml:space="preserve"> </w:t>
      </w:r>
      <w:r>
        <w:rPr>
          <w:color w:val="333333"/>
          <w:w w:val="105"/>
        </w:rPr>
        <w:t xml:space="preserve">in external properties. Setting either </w:t>
      </w:r>
      <w:r>
        <w:rPr>
          <w:rFonts w:ascii="MS Gothic" w:hAnsi="MS Gothic"/>
          <w:color w:val="B02045"/>
          <w:w w:val="105"/>
        </w:rPr>
        <w:t>spring.liquibase.url</w:t>
      </w:r>
      <w:r>
        <w:rPr>
          <w:rFonts w:ascii="MS Gothic" w:hAnsi="MS Gothic"/>
          <w:color w:val="B02045"/>
          <w:spacing w:val="-61"/>
          <w:w w:val="105"/>
        </w:rPr>
        <w:t xml:space="preserve"> </w:t>
      </w:r>
      <w:r>
        <w:rPr>
          <w:color w:val="333333"/>
          <w:w w:val="105"/>
        </w:rPr>
        <w:t xml:space="preserve">or </w:t>
      </w:r>
      <w:proofErr w:type="gramStart"/>
      <w:r>
        <w:rPr>
          <w:rFonts w:ascii="MS Gothic" w:hAnsi="MS Gothic"/>
          <w:color w:val="B02045"/>
          <w:w w:val="110"/>
        </w:rPr>
        <w:t>spring.liquibase</w:t>
      </w:r>
      <w:proofErr w:type="gramEnd"/>
      <w:r>
        <w:rPr>
          <w:rFonts w:ascii="MS Gothic" w:hAnsi="MS Gothic"/>
          <w:color w:val="B02045"/>
          <w:w w:val="110"/>
        </w:rPr>
        <w:t>.user</w:t>
      </w:r>
      <w:r>
        <w:rPr>
          <w:rFonts w:ascii="MS Gothic" w:hAnsi="MS Gothic"/>
          <w:color w:val="B02045"/>
          <w:spacing w:val="-54"/>
          <w:w w:val="110"/>
        </w:rPr>
        <w:t xml:space="preserve"> </w:t>
      </w:r>
      <w:r>
        <w:rPr>
          <w:color w:val="333333"/>
          <w:w w:val="110"/>
        </w:rPr>
        <w:t xml:space="preserve">is sufficient to cause Liquibase to use its own </w:t>
      </w:r>
      <w:r>
        <w:rPr>
          <w:rFonts w:ascii="MS Gothic" w:hAnsi="MS Gothic"/>
          <w:color w:val="B02045"/>
          <w:w w:val="110"/>
        </w:rPr>
        <w:t>DataSource</w:t>
      </w:r>
      <w:r>
        <w:rPr>
          <w:color w:val="333333"/>
          <w:w w:val="110"/>
        </w:rPr>
        <w:t xml:space="preserve">. If any of the three properties has not been set, the value of its equivalent </w:t>
      </w:r>
      <w:proofErr w:type="gramStart"/>
      <w:r>
        <w:rPr>
          <w:rFonts w:ascii="MS Gothic" w:hAnsi="MS Gothic"/>
          <w:color w:val="B02045"/>
          <w:w w:val="110"/>
        </w:rPr>
        <w:t>spring.datasource</w:t>
      </w:r>
      <w:proofErr w:type="gramEnd"/>
      <w:r>
        <w:rPr>
          <w:rFonts w:ascii="MS Gothic" w:hAnsi="MS Gothic"/>
          <w:color w:val="B02045"/>
          <w:spacing w:val="-67"/>
          <w:w w:val="110"/>
        </w:rPr>
        <w:t xml:space="preserve"> </w:t>
      </w:r>
      <w:r>
        <w:rPr>
          <w:color w:val="333333"/>
          <w:w w:val="110"/>
        </w:rPr>
        <w:t>property will be used.</w:t>
      </w:r>
    </w:p>
    <w:p w14:paraId="00A00789" w14:textId="77777777" w:rsidR="00A720EB" w:rsidRDefault="0030286B">
      <w:pPr>
        <w:pStyle w:val="a3"/>
        <w:spacing w:before="245" w:line="290" w:lineRule="auto"/>
        <w:ind w:left="124" w:right="131"/>
        <w:jc w:val="both"/>
      </w:pPr>
      <w:r>
        <w:rPr>
          <w:color w:val="333333"/>
          <w:w w:val="110"/>
        </w:rPr>
        <w:t xml:space="preserve">See </w:t>
      </w:r>
      <w:hyperlink r:id="rId640">
        <w:r>
          <w:rPr>
            <w:rFonts w:ascii="MS Gothic"/>
            <w:color w:val="B02045"/>
            <w:w w:val="110"/>
          </w:rPr>
          <w:t xml:space="preserve">LiquibaseProperties </w:t>
        </w:r>
      </w:hyperlink>
      <w:r>
        <w:rPr>
          <w:color w:val="333333"/>
          <w:w w:val="110"/>
        </w:rPr>
        <w:t>for details about available settings such as contexts, the default schema, and others.</w:t>
      </w:r>
    </w:p>
    <w:p w14:paraId="164DBD8E" w14:textId="77777777" w:rsidR="00A720EB" w:rsidRDefault="00A720EB">
      <w:pPr>
        <w:pStyle w:val="a3"/>
        <w:spacing w:before="4"/>
        <w:rPr>
          <w:sz w:val="27"/>
        </w:rPr>
      </w:pPr>
    </w:p>
    <w:p w14:paraId="3F6DBF90" w14:textId="77777777" w:rsidR="00A720EB" w:rsidRDefault="0030286B">
      <w:pPr>
        <w:pStyle w:val="2"/>
        <w:numPr>
          <w:ilvl w:val="1"/>
          <w:numId w:val="13"/>
        </w:numPr>
        <w:tabs>
          <w:tab w:val="left" w:pos="1034"/>
        </w:tabs>
        <w:ind w:left="1033" w:hanging="910"/>
      </w:pPr>
      <w:bookmarkStart w:id="943" w:name="9.11._Messaging"/>
      <w:bookmarkStart w:id="944" w:name="_Toc54423991"/>
      <w:bookmarkEnd w:id="943"/>
      <w:r>
        <w:rPr>
          <w:color w:val="333333"/>
          <w:w w:val="105"/>
        </w:rPr>
        <w:t>Messaging</w:t>
      </w:r>
      <w:bookmarkEnd w:id="944"/>
    </w:p>
    <w:p w14:paraId="705AC785" w14:textId="77777777" w:rsidR="00A720EB" w:rsidRDefault="0030286B">
      <w:pPr>
        <w:pStyle w:val="a3"/>
        <w:spacing w:before="254" w:line="307" w:lineRule="auto"/>
        <w:ind w:left="124" w:right="135"/>
        <w:jc w:val="both"/>
      </w:pPr>
      <w:r>
        <w:rPr>
          <w:color w:val="333333"/>
          <w:w w:val="110"/>
        </w:rPr>
        <w:t>Spring Boot offers a number of starters that include messaging. This section answers questions that arise from using messaging with Spring Boot.</w:t>
      </w:r>
    </w:p>
    <w:p w14:paraId="65A5377E" w14:textId="77777777" w:rsidR="00A720EB" w:rsidRDefault="00A720EB">
      <w:pPr>
        <w:pStyle w:val="a3"/>
        <w:spacing w:before="8"/>
        <w:rPr>
          <w:sz w:val="25"/>
        </w:rPr>
      </w:pPr>
    </w:p>
    <w:p w14:paraId="0E4ED87C" w14:textId="77777777" w:rsidR="00A720EB" w:rsidRDefault="0030286B">
      <w:pPr>
        <w:pStyle w:val="3"/>
        <w:numPr>
          <w:ilvl w:val="2"/>
          <w:numId w:val="13"/>
        </w:numPr>
        <w:tabs>
          <w:tab w:val="left" w:pos="1003"/>
        </w:tabs>
        <w:ind w:left="1002" w:hanging="879"/>
      </w:pPr>
      <w:bookmarkStart w:id="945" w:name="9.11.1._Disable_Transacted_JMS_Session"/>
      <w:bookmarkStart w:id="946" w:name="_Toc54423992"/>
      <w:bookmarkEnd w:id="945"/>
      <w:r>
        <w:rPr>
          <w:color w:val="333333"/>
          <w:w w:val="105"/>
        </w:rPr>
        <w:t>Disable Transacted JMS</w:t>
      </w:r>
      <w:r>
        <w:rPr>
          <w:color w:val="333333"/>
          <w:spacing w:val="-2"/>
          <w:w w:val="105"/>
        </w:rPr>
        <w:t xml:space="preserve"> </w:t>
      </w:r>
      <w:r>
        <w:rPr>
          <w:color w:val="333333"/>
          <w:w w:val="105"/>
        </w:rPr>
        <w:t>Session</w:t>
      </w:r>
      <w:bookmarkEnd w:id="946"/>
    </w:p>
    <w:p w14:paraId="01D3BC41" w14:textId="77777777" w:rsidR="00A720EB" w:rsidRDefault="0030286B">
      <w:pPr>
        <w:pStyle w:val="a3"/>
        <w:spacing w:before="254" w:line="295" w:lineRule="auto"/>
        <w:ind w:left="124" w:right="123"/>
        <w:jc w:val="both"/>
      </w:pPr>
      <w:r>
        <w:rPr>
          <w:color w:val="333333"/>
          <w:w w:val="110"/>
        </w:rPr>
        <w:t>If your JMS broker does not support transacted sessions, you have to disable the support of transactions</w:t>
      </w:r>
      <w:r>
        <w:rPr>
          <w:color w:val="333333"/>
          <w:spacing w:val="-8"/>
          <w:w w:val="110"/>
        </w:rPr>
        <w:t xml:space="preserve"> </w:t>
      </w:r>
      <w:r>
        <w:rPr>
          <w:color w:val="333333"/>
          <w:w w:val="110"/>
        </w:rPr>
        <w:t>altogether.</w:t>
      </w:r>
      <w:r>
        <w:rPr>
          <w:color w:val="333333"/>
          <w:spacing w:val="-8"/>
          <w:w w:val="110"/>
        </w:rPr>
        <w:t xml:space="preserve"> </w:t>
      </w:r>
      <w:r>
        <w:rPr>
          <w:color w:val="333333"/>
          <w:w w:val="110"/>
        </w:rPr>
        <w:t>If</w:t>
      </w:r>
      <w:r>
        <w:rPr>
          <w:color w:val="333333"/>
          <w:spacing w:val="-7"/>
          <w:w w:val="110"/>
        </w:rPr>
        <w:t xml:space="preserve"> </w:t>
      </w:r>
      <w:r>
        <w:rPr>
          <w:color w:val="333333"/>
          <w:w w:val="110"/>
        </w:rPr>
        <w:t>you</w:t>
      </w:r>
      <w:r>
        <w:rPr>
          <w:color w:val="333333"/>
          <w:spacing w:val="-8"/>
          <w:w w:val="110"/>
        </w:rPr>
        <w:t xml:space="preserve"> </w:t>
      </w:r>
      <w:r>
        <w:rPr>
          <w:color w:val="333333"/>
          <w:w w:val="110"/>
        </w:rPr>
        <w:t>create</w:t>
      </w:r>
      <w:r>
        <w:rPr>
          <w:color w:val="333333"/>
          <w:spacing w:val="-8"/>
          <w:w w:val="110"/>
        </w:rPr>
        <w:t xml:space="preserve"> </w:t>
      </w:r>
      <w:r>
        <w:rPr>
          <w:color w:val="333333"/>
          <w:w w:val="110"/>
        </w:rPr>
        <w:t>your</w:t>
      </w:r>
      <w:r>
        <w:rPr>
          <w:color w:val="333333"/>
          <w:spacing w:val="-7"/>
          <w:w w:val="110"/>
        </w:rPr>
        <w:t xml:space="preserve"> </w:t>
      </w:r>
      <w:r>
        <w:rPr>
          <w:color w:val="333333"/>
          <w:w w:val="110"/>
        </w:rPr>
        <w:t>own</w:t>
      </w:r>
      <w:r>
        <w:rPr>
          <w:color w:val="333333"/>
          <w:spacing w:val="-1"/>
          <w:w w:val="110"/>
        </w:rPr>
        <w:t xml:space="preserve"> </w:t>
      </w:r>
      <w:r>
        <w:rPr>
          <w:rFonts w:ascii="MS Gothic" w:hAnsi="MS Gothic"/>
          <w:color w:val="B02045"/>
          <w:w w:val="110"/>
        </w:rPr>
        <w:t>JmsListenerContainerFactory</w:t>
      </w:r>
      <w:r>
        <w:rPr>
          <w:color w:val="333333"/>
          <w:w w:val="110"/>
        </w:rPr>
        <w:t>,</w:t>
      </w:r>
      <w:r>
        <w:rPr>
          <w:color w:val="333333"/>
          <w:spacing w:val="-7"/>
          <w:w w:val="110"/>
        </w:rPr>
        <w:t xml:space="preserve"> </w:t>
      </w:r>
      <w:r>
        <w:rPr>
          <w:color w:val="333333"/>
          <w:w w:val="110"/>
        </w:rPr>
        <w:t>there</w:t>
      </w:r>
      <w:r>
        <w:rPr>
          <w:color w:val="333333"/>
          <w:spacing w:val="-7"/>
          <w:w w:val="110"/>
        </w:rPr>
        <w:t xml:space="preserve"> </w:t>
      </w:r>
      <w:r>
        <w:rPr>
          <w:color w:val="333333"/>
          <w:w w:val="110"/>
        </w:rPr>
        <w:t>is</w:t>
      </w:r>
      <w:r>
        <w:rPr>
          <w:color w:val="333333"/>
          <w:spacing w:val="-7"/>
          <w:w w:val="110"/>
        </w:rPr>
        <w:t xml:space="preserve"> </w:t>
      </w:r>
      <w:r>
        <w:rPr>
          <w:color w:val="333333"/>
          <w:w w:val="110"/>
        </w:rPr>
        <w:t>nothing</w:t>
      </w:r>
      <w:r>
        <w:rPr>
          <w:color w:val="333333"/>
          <w:spacing w:val="-7"/>
          <w:w w:val="110"/>
        </w:rPr>
        <w:t xml:space="preserve"> </w:t>
      </w:r>
      <w:r>
        <w:rPr>
          <w:color w:val="333333"/>
          <w:w w:val="110"/>
        </w:rPr>
        <w:t>to</w:t>
      </w:r>
      <w:r>
        <w:rPr>
          <w:color w:val="333333"/>
          <w:spacing w:val="-7"/>
          <w:w w:val="110"/>
        </w:rPr>
        <w:t xml:space="preserve"> </w:t>
      </w:r>
      <w:r>
        <w:rPr>
          <w:color w:val="333333"/>
          <w:w w:val="110"/>
        </w:rPr>
        <w:t xml:space="preserve">do, </w:t>
      </w:r>
      <w:proofErr w:type="gramStart"/>
      <w:r>
        <w:rPr>
          <w:color w:val="333333"/>
          <w:w w:val="110"/>
        </w:rPr>
        <w:t xml:space="preserve">since,  </w:t>
      </w:r>
      <w:r>
        <w:rPr>
          <w:color w:val="333333"/>
          <w:spacing w:val="-3"/>
          <w:w w:val="110"/>
        </w:rPr>
        <w:t>by</w:t>
      </w:r>
      <w:proofErr w:type="gramEnd"/>
      <w:r>
        <w:rPr>
          <w:color w:val="333333"/>
          <w:spacing w:val="-3"/>
          <w:w w:val="110"/>
        </w:rPr>
        <w:t xml:space="preserve"> </w:t>
      </w:r>
      <w:r>
        <w:rPr>
          <w:color w:val="333333"/>
          <w:w w:val="110"/>
        </w:rPr>
        <w:t xml:space="preserve">default  it  cannot  be  transacted.  </w:t>
      </w:r>
      <w:proofErr w:type="gramStart"/>
      <w:r>
        <w:rPr>
          <w:color w:val="333333"/>
          <w:w w:val="110"/>
        </w:rPr>
        <w:t>If  you</w:t>
      </w:r>
      <w:proofErr w:type="gramEnd"/>
      <w:r>
        <w:rPr>
          <w:color w:val="333333"/>
          <w:w w:val="110"/>
        </w:rPr>
        <w:t xml:space="preserve">  want  to  use  the </w:t>
      </w:r>
      <w:r>
        <w:rPr>
          <w:rFonts w:ascii="MS Gothic" w:hAnsi="MS Gothic"/>
          <w:color w:val="B02045"/>
          <w:w w:val="110"/>
        </w:rPr>
        <w:t xml:space="preserve">DefaultJmsListenerContainerFactoryConfigurer </w:t>
      </w:r>
      <w:r>
        <w:rPr>
          <w:color w:val="333333"/>
          <w:w w:val="110"/>
        </w:rPr>
        <w:t>to reuse Spring Boot’s default, you can disable transacted sessions, as</w:t>
      </w:r>
      <w:r>
        <w:rPr>
          <w:color w:val="333333"/>
          <w:spacing w:val="7"/>
          <w:w w:val="110"/>
        </w:rPr>
        <w:t xml:space="preserve"> </w:t>
      </w:r>
      <w:r>
        <w:rPr>
          <w:color w:val="333333"/>
          <w:w w:val="110"/>
        </w:rPr>
        <w:t>follows:</w:t>
      </w:r>
    </w:p>
    <w:p w14:paraId="32E9CDB9" w14:textId="77777777" w:rsidR="00A720EB" w:rsidRDefault="00E10349">
      <w:pPr>
        <w:pStyle w:val="a3"/>
        <w:spacing w:before="9"/>
        <w:rPr>
          <w:sz w:val="13"/>
        </w:rPr>
      </w:pPr>
      <w:r>
        <w:pict w14:anchorId="7D39DEB5">
          <v:group id="_x0000_s1307" style="position:absolute;margin-left:47.85pt;margin-top:10.05pt;width:499.55pt;height:184.9pt;z-index:-15050240;mso-wrap-distance-left:0;mso-wrap-distance-right:0;mso-position-horizontal-relative:page" coordorigin="957,201" coordsize="9991,3698">
            <v:shape id="_x0000_s1310" style="position:absolute;left:964;top:208;width:9976;height:3683" coordorigin="965,208" coordsize="9976,3683" path="m10861,208r-9816,l1014,215r-26,17l971,257r-6,31l965,3811r6,31l988,3868r26,17l1045,3891r9816,l10892,3885r25,-17l10935,3842r6,-31l10941,288r-6,-31l10917,232r-25,-17l10861,208xe" fillcolor="#f5f5f5" stroked="f">
              <v:path arrowok="t"/>
            </v:shape>
            <v:shape id="_x0000_s1309" style="position:absolute;left:964;top:208;width:9976;height:3683" coordorigin="965,208" coordsize="9976,3683" path="m1045,208r9816,l10892,215r25,17l10935,257r6,31l10941,3811r-6,31l10917,3868r-25,17l10861,3891r-9816,l1014,3885r-26,-17l971,3842r-6,-31l965,288r6,-31l988,232r26,-17l1045,208xe" filled="f" strokecolor="#ccc">
              <v:path arrowok="t"/>
            </v:shape>
            <v:shape id="_x0000_s1308" type="#_x0000_t202" style="position:absolute;left:984;top:223;width:9938;height:3652" filled="f" stroked="f">
              <v:textbox inset="0,0,0,0">
                <w:txbxContent>
                  <w:p w14:paraId="2A3B016A" w14:textId="77777777" w:rsidR="00711A16" w:rsidRDefault="00711A16">
                    <w:pPr>
                      <w:spacing w:before="221"/>
                      <w:ind w:left="200"/>
                      <w:rPr>
                        <w:rFonts w:ascii="MS Gothic"/>
                      </w:rPr>
                    </w:pPr>
                    <w:r>
                      <w:rPr>
                        <w:rFonts w:ascii="MS Gothic"/>
                        <w:color w:val="333333"/>
                      </w:rPr>
                      <w:t>@Bean</w:t>
                    </w:r>
                  </w:p>
                  <w:p w14:paraId="34B21035" w14:textId="77777777" w:rsidR="00711A16" w:rsidRDefault="00711A16">
                    <w:pPr>
                      <w:spacing w:before="13" w:line="252" w:lineRule="auto"/>
                      <w:ind w:left="1080" w:right="2018" w:hanging="880"/>
                      <w:rPr>
                        <w:rFonts w:ascii="MS Gothic"/>
                      </w:rPr>
                    </w:pPr>
                    <w:r>
                      <w:rPr>
                        <w:rFonts w:ascii="MS Gothic"/>
                        <w:color w:val="333333"/>
                      </w:rPr>
                      <w:t xml:space="preserve">public DefaultJmsListenerContainerFactory </w:t>
                    </w:r>
                    <w:proofErr w:type="gramStart"/>
                    <w:r>
                      <w:rPr>
                        <w:rFonts w:ascii="MS Gothic"/>
                        <w:color w:val="333333"/>
                      </w:rPr>
                      <w:t>jmsListenerContainerFactory( ConnectionFactory</w:t>
                    </w:r>
                    <w:proofErr w:type="gramEnd"/>
                    <w:r>
                      <w:rPr>
                        <w:rFonts w:ascii="MS Gothic"/>
                        <w:color w:val="333333"/>
                      </w:rPr>
                      <w:t xml:space="preserve"> connectionFactory, DefaultJmsListenerContainerFactoryConfigurer configurer) {</w:t>
                    </w:r>
                  </w:p>
                  <w:p w14:paraId="2E248CC8" w14:textId="77777777" w:rsidR="00711A16" w:rsidRDefault="00711A16">
                    <w:pPr>
                      <w:spacing w:line="252" w:lineRule="auto"/>
                      <w:ind w:left="1520" w:right="3558" w:hanging="880"/>
                      <w:rPr>
                        <w:rFonts w:ascii="MS Gothic"/>
                      </w:rPr>
                    </w:pPr>
                    <w:r>
                      <w:rPr>
                        <w:rFonts w:ascii="MS Gothic"/>
                        <w:color w:val="333333"/>
                      </w:rPr>
                      <w:t xml:space="preserve">DefaultJmsListenerContainerFactory listenerFactory = new </w:t>
                    </w:r>
                    <w:proofErr w:type="gramStart"/>
                    <w:r>
                      <w:rPr>
                        <w:rFonts w:ascii="MS Gothic"/>
                        <w:color w:val="333333"/>
                      </w:rPr>
                      <w:t>DefaultJmsListenerContainerFactory(</w:t>
                    </w:r>
                    <w:proofErr w:type="gramEnd"/>
                    <w:r>
                      <w:rPr>
                        <w:rFonts w:ascii="MS Gothic"/>
                        <w:color w:val="333333"/>
                      </w:rPr>
                      <w:t>);</w:t>
                    </w:r>
                  </w:p>
                  <w:p w14:paraId="4B39B217" w14:textId="77777777" w:rsidR="00711A16" w:rsidRDefault="00711A16">
                    <w:pPr>
                      <w:spacing w:line="252" w:lineRule="auto"/>
                      <w:ind w:left="640" w:right="3008"/>
                      <w:rPr>
                        <w:rFonts w:ascii="MS Gothic"/>
                      </w:rPr>
                    </w:pPr>
                    <w:proofErr w:type="gramStart"/>
                    <w:r>
                      <w:rPr>
                        <w:rFonts w:ascii="MS Gothic"/>
                        <w:color w:val="333333"/>
                      </w:rPr>
                      <w:t>configurer.configure</w:t>
                    </w:r>
                    <w:proofErr w:type="gramEnd"/>
                    <w:r>
                      <w:rPr>
                        <w:rFonts w:ascii="MS Gothic"/>
                        <w:color w:val="333333"/>
                      </w:rPr>
                      <w:t>(listenerFactory, connectionFactory); listenerFactory.setTransactionManager(null); listenerFactory.setSessionTransacted(false);</w:t>
                    </w:r>
                  </w:p>
                  <w:p w14:paraId="7F720999" w14:textId="77777777" w:rsidR="00711A16" w:rsidRDefault="00711A16">
                    <w:pPr>
                      <w:spacing w:line="278" w:lineRule="exact"/>
                      <w:ind w:left="640"/>
                      <w:rPr>
                        <w:rFonts w:ascii="MS Gothic"/>
                      </w:rPr>
                    </w:pPr>
                    <w:r>
                      <w:rPr>
                        <w:rFonts w:ascii="MS Gothic"/>
                        <w:color w:val="333333"/>
                      </w:rPr>
                      <w:t>return listenerFactory;</w:t>
                    </w:r>
                  </w:p>
                  <w:p w14:paraId="54E72C57" w14:textId="77777777" w:rsidR="00711A16" w:rsidRDefault="00711A16">
                    <w:pPr>
                      <w:spacing w:before="7"/>
                      <w:ind w:left="200"/>
                      <w:rPr>
                        <w:rFonts w:ascii="MS Gothic"/>
                      </w:rPr>
                    </w:pPr>
                    <w:r>
                      <w:rPr>
                        <w:rFonts w:ascii="MS Gothic"/>
                        <w:color w:val="333333"/>
                      </w:rPr>
                      <w:t>}</w:t>
                    </w:r>
                  </w:p>
                </w:txbxContent>
              </v:textbox>
            </v:shape>
            <w10:wrap type="topAndBottom" anchorx="page"/>
          </v:group>
        </w:pict>
      </w:r>
    </w:p>
    <w:p w14:paraId="4E861052" w14:textId="77777777" w:rsidR="00A720EB" w:rsidRDefault="00A720EB">
      <w:pPr>
        <w:pStyle w:val="a3"/>
        <w:rPr>
          <w:sz w:val="10"/>
        </w:rPr>
      </w:pPr>
    </w:p>
    <w:p w14:paraId="082CE9AB" w14:textId="77777777" w:rsidR="00A720EB" w:rsidRDefault="0030286B">
      <w:pPr>
        <w:pStyle w:val="a3"/>
        <w:spacing w:before="125" w:line="307" w:lineRule="auto"/>
        <w:ind w:left="124" w:right="462"/>
      </w:pPr>
      <w:r>
        <w:rPr>
          <w:color w:val="333333"/>
          <w:w w:val="110"/>
        </w:rPr>
        <w:t xml:space="preserve">The preceding example overrides the default </w:t>
      </w:r>
      <w:r>
        <w:rPr>
          <w:color w:val="333333"/>
          <w:spacing w:val="-4"/>
          <w:w w:val="110"/>
        </w:rPr>
        <w:t xml:space="preserve">factory, </w:t>
      </w:r>
      <w:r>
        <w:rPr>
          <w:color w:val="333333"/>
          <w:w w:val="110"/>
        </w:rPr>
        <w:t>and it should be applied to any other factory that your application defines, if</w:t>
      </w:r>
      <w:r>
        <w:rPr>
          <w:color w:val="333333"/>
          <w:spacing w:val="15"/>
          <w:w w:val="110"/>
        </w:rPr>
        <w:t xml:space="preserve"> </w:t>
      </w:r>
      <w:r>
        <w:rPr>
          <w:color w:val="333333"/>
          <w:spacing w:val="-7"/>
          <w:w w:val="110"/>
        </w:rPr>
        <w:t>any.</w:t>
      </w:r>
    </w:p>
    <w:p w14:paraId="3E0CEA5C" w14:textId="77777777" w:rsidR="00A720EB" w:rsidRDefault="00A720EB">
      <w:pPr>
        <w:pStyle w:val="a3"/>
        <w:spacing w:before="11"/>
        <w:rPr>
          <w:sz w:val="25"/>
        </w:rPr>
      </w:pPr>
    </w:p>
    <w:p w14:paraId="1087AFD4" w14:textId="77777777" w:rsidR="00A720EB" w:rsidRDefault="0030286B">
      <w:pPr>
        <w:pStyle w:val="2"/>
        <w:numPr>
          <w:ilvl w:val="1"/>
          <w:numId w:val="13"/>
        </w:numPr>
        <w:tabs>
          <w:tab w:val="left" w:pos="1034"/>
        </w:tabs>
        <w:ind w:left="1033" w:hanging="910"/>
      </w:pPr>
      <w:bookmarkStart w:id="947" w:name="9.12._Batch_Applications"/>
      <w:bookmarkStart w:id="948" w:name="_Toc54423993"/>
      <w:bookmarkEnd w:id="947"/>
      <w:r>
        <w:rPr>
          <w:color w:val="333333"/>
          <w:w w:val="110"/>
        </w:rPr>
        <w:t>Batch</w:t>
      </w:r>
      <w:r>
        <w:rPr>
          <w:color w:val="333333"/>
          <w:spacing w:val="-8"/>
          <w:w w:val="110"/>
        </w:rPr>
        <w:t xml:space="preserve"> </w:t>
      </w:r>
      <w:r>
        <w:rPr>
          <w:color w:val="333333"/>
          <w:w w:val="110"/>
        </w:rPr>
        <w:t>Applications</w:t>
      </w:r>
      <w:bookmarkEnd w:id="948"/>
    </w:p>
    <w:p w14:paraId="40711AC7" w14:textId="77777777" w:rsidR="00A720EB" w:rsidRDefault="0030286B">
      <w:pPr>
        <w:pStyle w:val="a3"/>
        <w:spacing w:before="253" w:line="307" w:lineRule="auto"/>
        <w:ind w:left="124" w:right="462"/>
      </w:pPr>
      <w:r>
        <w:rPr>
          <w:color w:val="333333"/>
          <w:w w:val="110"/>
        </w:rPr>
        <w:t>A number of questions often arise when people use Spring Batch from within a Spring Boot application. This section addresses those questions.</w:t>
      </w:r>
    </w:p>
    <w:p w14:paraId="4E1D1810" w14:textId="77777777" w:rsidR="00A720EB" w:rsidRDefault="00A720EB">
      <w:pPr>
        <w:pStyle w:val="a3"/>
        <w:spacing w:before="9"/>
        <w:rPr>
          <w:sz w:val="25"/>
        </w:rPr>
      </w:pPr>
    </w:p>
    <w:p w14:paraId="4D30FA80" w14:textId="77777777" w:rsidR="00A720EB" w:rsidRDefault="0030286B">
      <w:pPr>
        <w:pStyle w:val="3"/>
        <w:numPr>
          <w:ilvl w:val="2"/>
          <w:numId w:val="13"/>
        </w:numPr>
        <w:tabs>
          <w:tab w:val="left" w:pos="1003"/>
        </w:tabs>
        <w:ind w:left="1002" w:hanging="879"/>
      </w:pPr>
      <w:bookmarkStart w:id="949" w:name="9.12.1._Specifying_a_Batch_Data_Source"/>
      <w:bookmarkStart w:id="950" w:name="_Toc54423994"/>
      <w:bookmarkEnd w:id="949"/>
      <w:r>
        <w:rPr>
          <w:color w:val="333333"/>
          <w:w w:val="110"/>
        </w:rPr>
        <w:t>Specifying a Batch Data</w:t>
      </w:r>
      <w:r>
        <w:rPr>
          <w:color w:val="333333"/>
          <w:spacing w:val="-22"/>
          <w:w w:val="110"/>
        </w:rPr>
        <w:t xml:space="preserve"> </w:t>
      </w:r>
      <w:r>
        <w:rPr>
          <w:color w:val="333333"/>
          <w:w w:val="110"/>
        </w:rPr>
        <w:t>Source</w:t>
      </w:r>
      <w:bookmarkEnd w:id="950"/>
    </w:p>
    <w:p w14:paraId="6B06CE6C" w14:textId="77777777" w:rsidR="00A720EB" w:rsidRDefault="0030286B">
      <w:pPr>
        <w:pStyle w:val="a3"/>
        <w:spacing w:before="243"/>
        <w:ind w:left="124"/>
      </w:pPr>
      <w:r>
        <w:rPr>
          <w:color w:val="333333"/>
          <w:spacing w:val="-3"/>
          <w:w w:val="110"/>
        </w:rPr>
        <w:t xml:space="preserve">By </w:t>
      </w:r>
      <w:r>
        <w:rPr>
          <w:color w:val="333333"/>
          <w:w w:val="110"/>
        </w:rPr>
        <w:t xml:space="preserve">default, batch applications require a </w:t>
      </w:r>
      <w:r>
        <w:rPr>
          <w:rFonts w:ascii="MS Gothic"/>
          <w:color w:val="B02045"/>
          <w:w w:val="110"/>
        </w:rPr>
        <w:t xml:space="preserve">DataSource </w:t>
      </w:r>
      <w:r>
        <w:rPr>
          <w:color w:val="333333"/>
          <w:w w:val="110"/>
        </w:rPr>
        <w:t>to store job details. Spring Batch expects a</w:t>
      </w:r>
      <w:r>
        <w:rPr>
          <w:color w:val="333333"/>
          <w:spacing w:val="-26"/>
          <w:w w:val="110"/>
        </w:rPr>
        <w:t xml:space="preserve"> </w:t>
      </w:r>
      <w:r>
        <w:rPr>
          <w:color w:val="333333"/>
          <w:w w:val="110"/>
        </w:rPr>
        <w:t>single</w:t>
      </w:r>
    </w:p>
    <w:p w14:paraId="7F2A01D6" w14:textId="77777777" w:rsidR="00A720EB" w:rsidRDefault="0030286B">
      <w:pPr>
        <w:pStyle w:val="a3"/>
        <w:spacing w:before="47"/>
        <w:ind w:left="124"/>
      </w:pPr>
      <w:r>
        <w:rPr>
          <w:rFonts w:ascii="MS Gothic" w:hAnsi="MS Gothic"/>
          <w:color w:val="B02045"/>
          <w:w w:val="110"/>
        </w:rPr>
        <w:t xml:space="preserve">DataSource </w:t>
      </w:r>
      <w:proofErr w:type="gramStart"/>
      <w:r>
        <w:rPr>
          <w:color w:val="333333"/>
          <w:spacing w:val="-3"/>
          <w:w w:val="110"/>
        </w:rPr>
        <w:t xml:space="preserve">by  </w:t>
      </w:r>
      <w:r>
        <w:rPr>
          <w:color w:val="333333"/>
          <w:w w:val="110"/>
        </w:rPr>
        <w:t>default</w:t>
      </w:r>
      <w:proofErr w:type="gramEnd"/>
      <w:r>
        <w:rPr>
          <w:color w:val="333333"/>
          <w:w w:val="110"/>
        </w:rPr>
        <w:t xml:space="preserve">. </w:t>
      </w:r>
      <w:r>
        <w:rPr>
          <w:color w:val="333333"/>
          <w:spacing w:val="-4"/>
          <w:w w:val="110"/>
        </w:rPr>
        <w:t>To</w:t>
      </w:r>
      <w:r>
        <w:rPr>
          <w:color w:val="333333"/>
          <w:spacing w:val="42"/>
          <w:w w:val="110"/>
        </w:rPr>
        <w:t xml:space="preserve"> </w:t>
      </w:r>
      <w:r>
        <w:rPr>
          <w:color w:val="333333"/>
          <w:w w:val="110"/>
        </w:rPr>
        <w:t xml:space="preserve">have it use </w:t>
      </w:r>
      <w:proofErr w:type="gramStart"/>
      <w:r>
        <w:rPr>
          <w:color w:val="333333"/>
          <w:w w:val="110"/>
        </w:rPr>
        <w:t xml:space="preserve">a  </w:t>
      </w:r>
      <w:r>
        <w:rPr>
          <w:rFonts w:ascii="MS Gothic" w:hAnsi="MS Gothic"/>
          <w:color w:val="B02045"/>
          <w:w w:val="110"/>
        </w:rPr>
        <w:t>DataSource</w:t>
      </w:r>
      <w:proofErr w:type="gramEnd"/>
      <w:r>
        <w:rPr>
          <w:rFonts w:ascii="MS Gothic" w:hAnsi="MS Gothic"/>
          <w:color w:val="B02045"/>
          <w:w w:val="110"/>
        </w:rPr>
        <w:t xml:space="preserve"> </w:t>
      </w:r>
      <w:r>
        <w:rPr>
          <w:color w:val="333333"/>
          <w:w w:val="110"/>
        </w:rPr>
        <w:t xml:space="preserve">other than the application’s main  </w:t>
      </w:r>
      <w:r>
        <w:rPr>
          <w:color w:val="333333"/>
          <w:spacing w:val="1"/>
          <w:w w:val="110"/>
        </w:rPr>
        <w:t xml:space="preserve"> </w:t>
      </w:r>
      <w:r>
        <w:rPr>
          <w:rFonts w:ascii="MS Gothic" w:hAnsi="MS Gothic"/>
          <w:color w:val="B02045"/>
          <w:w w:val="110"/>
        </w:rPr>
        <w:t>DataSource</w:t>
      </w:r>
      <w:r>
        <w:rPr>
          <w:color w:val="333333"/>
          <w:w w:val="110"/>
        </w:rPr>
        <w:t>,</w:t>
      </w:r>
    </w:p>
    <w:p w14:paraId="099571A5" w14:textId="77777777" w:rsidR="00A720EB" w:rsidRDefault="00A720EB">
      <w:pPr>
        <w:sectPr w:rsidR="00A720EB">
          <w:pgSz w:w="11910" w:h="16840"/>
          <w:pgMar w:top="620" w:right="840" w:bottom="520" w:left="840" w:header="0" w:footer="323" w:gutter="0"/>
          <w:cols w:space="720"/>
        </w:sectPr>
      </w:pPr>
    </w:p>
    <w:p w14:paraId="45358701" w14:textId="77777777" w:rsidR="00A720EB" w:rsidRDefault="0030286B">
      <w:pPr>
        <w:pStyle w:val="a3"/>
        <w:spacing w:before="96" w:line="280" w:lineRule="auto"/>
        <w:ind w:left="124" w:right="123"/>
        <w:jc w:val="both"/>
      </w:pPr>
      <w:r>
        <w:rPr>
          <w:color w:val="333333"/>
          <w:w w:val="110"/>
        </w:rPr>
        <w:lastRenderedPageBreak/>
        <w:t>declare</w:t>
      </w:r>
      <w:r>
        <w:rPr>
          <w:color w:val="333333"/>
          <w:spacing w:val="-13"/>
          <w:w w:val="110"/>
        </w:rPr>
        <w:t xml:space="preserve"> </w:t>
      </w:r>
      <w:r>
        <w:rPr>
          <w:color w:val="333333"/>
          <w:w w:val="110"/>
        </w:rPr>
        <w:t>a</w:t>
      </w:r>
      <w:r>
        <w:rPr>
          <w:color w:val="333333"/>
          <w:spacing w:val="-12"/>
          <w:w w:val="110"/>
        </w:rPr>
        <w:t xml:space="preserve"> </w:t>
      </w:r>
      <w:r>
        <w:rPr>
          <w:rFonts w:ascii="MS Gothic"/>
          <w:color w:val="B02045"/>
          <w:w w:val="110"/>
        </w:rPr>
        <w:t>DataSource</w:t>
      </w:r>
      <w:r>
        <w:rPr>
          <w:rFonts w:ascii="MS Gothic"/>
          <w:color w:val="B02045"/>
          <w:spacing w:val="-76"/>
          <w:w w:val="110"/>
        </w:rPr>
        <w:t xml:space="preserve"> </w:t>
      </w:r>
      <w:r>
        <w:rPr>
          <w:color w:val="333333"/>
          <w:w w:val="110"/>
        </w:rPr>
        <w:t>bean,</w:t>
      </w:r>
      <w:r>
        <w:rPr>
          <w:color w:val="333333"/>
          <w:spacing w:val="-13"/>
          <w:w w:val="110"/>
        </w:rPr>
        <w:t xml:space="preserve"> </w:t>
      </w:r>
      <w:r>
        <w:rPr>
          <w:color w:val="333333"/>
          <w:w w:val="110"/>
        </w:rPr>
        <w:t>annotating</w:t>
      </w:r>
      <w:r>
        <w:rPr>
          <w:color w:val="333333"/>
          <w:spacing w:val="-13"/>
          <w:w w:val="110"/>
        </w:rPr>
        <w:t xml:space="preserve"> </w:t>
      </w:r>
      <w:r>
        <w:rPr>
          <w:color w:val="333333"/>
          <w:w w:val="110"/>
        </w:rPr>
        <w:t>its</w:t>
      </w:r>
      <w:r>
        <w:rPr>
          <w:color w:val="333333"/>
          <w:spacing w:val="-9"/>
          <w:w w:val="110"/>
        </w:rPr>
        <w:t xml:space="preserve"> </w:t>
      </w:r>
      <w:r>
        <w:rPr>
          <w:rFonts w:ascii="MS Gothic"/>
          <w:color w:val="B02045"/>
          <w:w w:val="110"/>
        </w:rPr>
        <w:t>@Bean</w:t>
      </w:r>
      <w:r>
        <w:rPr>
          <w:rFonts w:ascii="MS Gothic"/>
          <w:color w:val="B02045"/>
          <w:spacing w:val="-76"/>
          <w:w w:val="110"/>
        </w:rPr>
        <w:t xml:space="preserve"> </w:t>
      </w:r>
      <w:r>
        <w:rPr>
          <w:color w:val="333333"/>
          <w:w w:val="110"/>
        </w:rPr>
        <w:t>method</w:t>
      </w:r>
      <w:r>
        <w:rPr>
          <w:color w:val="333333"/>
          <w:spacing w:val="-13"/>
          <w:w w:val="110"/>
        </w:rPr>
        <w:t xml:space="preserve"> </w:t>
      </w:r>
      <w:r>
        <w:rPr>
          <w:color w:val="333333"/>
          <w:w w:val="110"/>
        </w:rPr>
        <w:t>with</w:t>
      </w:r>
      <w:r>
        <w:rPr>
          <w:color w:val="333333"/>
          <w:spacing w:val="-11"/>
          <w:w w:val="110"/>
        </w:rPr>
        <w:t xml:space="preserve"> </w:t>
      </w:r>
      <w:r>
        <w:rPr>
          <w:rFonts w:ascii="MS Gothic"/>
          <w:color w:val="B02045"/>
          <w:w w:val="110"/>
        </w:rPr>
        <w:t>@BatchDataSource</w:t>
      </w:r>
      <w:r>
        <w:rPr>
          <w:color w:val="333333"/>
          <w:w w:val="110"/>
        </w:rPr>
        <w:t>.</w:t>
      </w:r>
      <w:r>
        <w:rPr>
          <w:color w:val="333333"/>
          <w:spacing w:val="-12"/>
          <w:w w:val="110"/>
        </w:rPr>
        <w:t xml:space="preserve"> </w:t>
      </w:r>
      <w:r>
        <w:rPr>
          <w:color w:val="333333"/>
          <w:w w:val="110"/>
        </w:rPr>
        <w:t>If</w:t>
      </w:r>
      <w:r>
        <w:rPr>
          <w:color w:val="333333"/>
          <w:spacing w:val="-12"/>
          <w:w w:val="110"/>
        </w:rPr>
        <w:t xml:space="preserve"> </w:t>
      </w:r>
      <w:r>
        <w:rPr>
          <w:color w:val="333333"/>
          <w:w w:val="110"/>
        </w:rPr>
        <w:t>you</w:t>
      </w:r>
      <w:r>
        <w:rPr>
          <w:color w:val="333333"/>
          <w:spacing w:val="-13"/>
          <w:w w:val="110"/>
        </w:rPr>
        <w:t xml:space="preserve"> </w:t>
      </w:r>
      <w:r>
        <w:rPr>
          <w:color w:val="333333"/>
          <w:w w:val="110"/>
        </w:rPr>
        <w:t>do</w:t>
      </w:r>
      <w:r>
        <w:rPr>
          <w:color w:val="333333"/>
          <w:spacing w:val="-13"/>
          <w:w w:val="110"/>
        </w:rPr>
        <w:t xml:space="preserve"> </w:t>
      </w:r>
      <w:r>
        <w:rPr>
          <w:color w:val="333333"/>
          <w:w w:val="110"/>
        </w:rPr>
        <w:t>so</w:t>
      </w:r>
      <w:r>
        <w:rPr>
          <w:color w:val="333333"/>
          <w:spacing w:val="-12"/>
          <w:w w:val="110"/>
        </w:rPr>
        <w:t xml:space="preserve"> </w:t>
      </w:r>
      <w:r>
        <w:rPr>
          <w:color w:val="333333"/>
          <w:w w:val="110"/>
        </w:rPr>
        <w:t>and</w:t>
      </w:r>
      <w:r>
        <w:rPr>
          <w:color w:val="333333"/>
          <w:spacing w:val="-12"/>
          <w:w w:val="110"/>
        </w:rPr>
        <w:t xml:space="preserve"> </w:t>
      </w:r>
      <w:r>
        <w:rPr>
          <w:color w:val="333333"/>
          <w:w w:val="110"/>
        </w:rPr>
        <w:t xml:space="preserve">want two data sources, remember to mark the other one </w:t>
      </w:r>
      <w:r>
        <w:rPr>
          <w:rFonts w:ascii="MS Gothic"/>
          <w:color w:val="B02045"/>
          <w:w w:val="110"/>
        </w:rPr>
        <w:t>@Primary</w:t>
      </w:r>
      <w:r>
        <w:rPr>
          <w:color w:val="333333"/>
          <w:w w:val="110"/>
        </w:rPr>
        <w:t xml:space="preserve">. </w:t>
      </w:r>
      <w:r>
        <w:rPr>
          <w:color w:val="333333"/>
          <w:spacing w:val="-4"/>
          <w:w w:val="110"/>
        </w:rPr>
        <w:t xml:space="preserve">To </w:t>
      </w:r>
      <w:r>
        <w:rPr>
          <w:color w:val="333333"/>
          <w:w w:val="110"/>
        </w:rPr>
        <w:t xml:space="preserve">take greater control, implement </w:t>
      </w:r>
      <w:r>
        <w:rPr>
          <w:rFonts w:ascii="MS Gothic"/>
          <w:color w:val="B02045"/>
          <w:w w:val="110"/>
        </w:rPr>
        <w:t>BatchConfigurer</w:t>
      </w:r>
      <w:r>
        <w:rPr>
          <w:color w:val="333333"/>
          <w:w w:val="110"/>
        </w:rPr>
        <w:t xml:space="preserve">. See </w:t>
      </w:r>
      <w:hyperlink r:id="rId641">
        <w:r>
          <w:rPr>
            <w:color w:val="418BCA"/>
            <w:w w:val="110"/>
          </w:rPr>
          <w:t xml:space="preserve">The Javadoc of </w:t>
        </w:r>
      </w:hyperlink>
      <w:hyperlink r:id="rId642">
        <w:r>
          <w:rPr>
            <w:rFonts w:ascii="MS Gothic"/>
            <w:color w:val="B02045"/>
            <w:w w:val="110"/>
          </w:rPr>
          <w:t>@EnableBatchProcessing</w:t>
        </w:r>
        <w:r>
          <w:rPr>
            <w:rFonts w:ascii="MS Gothic"/>
            <w:color w:val="B02045"/>
            <w:spacing w:val="-94"/>
            <w:w w:val="110"/>
          </w:rPr>
          <w:t xml:space="preserve"> </w:t>
        </w:r>
      </w:hyperlink>
      <w:r>
        <w:rPr>
          <w:color w:val="333333"/>
          <w:w w:val="110"/>
        </w:rPr>
        <w:t>for more details.</w:t>
      </w:r>
    </w:p>
    <w:p w14:paraId="318916D1" w14:textId="77777777" w:rsidR="00A720EB" w:rsidRDefault="00A720EB">
      <w:pPr>
        <w:pStyle w:val="a3"/>
        <w:spacing w:before="7"/>
      </w:pPr>
    </w:p>
    <w:p w14:paraId="733D2784" w14:textId="77777777" w:rsidR="00A720EB" w:rsidRDefault="0030286B">
      <w:pPr>
        <w:pStyle w:val="a3"/>
        <w:ind w:left="124"/>
        <w:jc w:val="both"/>
      </w:pPr>
      <w:r>
        <w:rPr>
          <w:color w:val="333333"/>
          <w:spacing w:val="-4"/>
          <w:w w:val="110"/>
        </w:rPr>
        <w:t>For</w:t>
      </w:r>
      <w:r>
        <w:rPr>
          <w:color w:val="333333"/>
          <w:spacing w:val="7"/>
          <w:w w:val="110"/>
        </w:rPr>
        <w:t xml:space="preserve"> </w:t>
      </w:r>
      <w:r>
        <w:rPr>
          <w:color w:val="333333"/>
          <w:w w:val="110"/>
        </w:rPr>
        <w:t>more</w:t>
      </w:r>
      <w:r>
        <w:rPr>
          <w:color w:val="333333"/>
          <w:spacing w:val="6"/>
          <w:w w:val="110"/>
        </w:rPr>
        <w:t xml:space="preserve"> </w:t>
      </w:r>
      <w:r>
        <w:rPr>
          <w:color w:val="333333"/>
          <w:w w:val="110"/>
        </w:rPr>
        <w:t>info</w:t>
      </w:r>
      <w:r>
        <w:rPr>
          <w:color w:val="333333"/>
          <w:spacing w:val="6"/>
          <w:w w:val="110"/>
        </w:rPr>
        <w:t xml:space="preserve"> </w:t>
      </w:r>
      <w:r>
        <w:rPr>
          <w:color w:val="333333"/>
          <w:w w:val="110"/>
        </w:rPr>
        <w:t>about</w:t>
      </w:r>
      <w:r>
        <w:rPr>
          <w:color w:val="333333"/>
          <w:spacing w:val="6"/>
          <w:w w:val="110"/>
        </w:rPr>
        <w:t xml:space="preserve"> </w:t>
      </w:r>
      <w:r>
        <w:rPr>
          <w:color w:val="333333"/>
          <w:w w:val="110"/>
        </w:rPr>
        <w:t>Spring</w:t>
      </w:r>
      <w:r>
        <w:rPr>
          <w:color w:val="333333"/>
          <w:spacing w:val="6"/>
          <w:w w:val="110"/>
        </w:rPr>
        <w:t xml:space="preserve"> </w:t>
      </w:r>
      <w:r>
        <w:rPr>
          <w:color w:val="333333"/>
          <w:w w:val="110"/>
        </w:rPr>
        <w:t>Batch,</w:t>
      </w:r>
      <w:r>
        <w:rPr>
          <w:color w:val="333333"/>
          <w:spacing w:val="6"/>
          <w:w w:val="110"/>
        </w:rPr>
        <w:t xml:space="preserve"> </w:t>
      </w:r>
      <w:r>
        <w:rPr>
          <w:color w:val="333333"/>
          <w:w w:val="110"/>
        </w:rPr>
        <w:t>see</w:t>
      </w:r>
      <w:r>
        <w:rPr>
          <w:color w:val="333333"/>
          <w:spacing w:val="8"/>
          <w:w w:val="110"/>
        </w:rPr>
        <w:t xml:space="preserve"> </w:t>
      </w:r>
      <w:r>
        <w:rPr>
          <w:color w:val="333333"/>
          <w:w w:val="110"/>
        </w:rPr>
        <w:t>the</w:t>
      </w:r>
      <w:r>
        <w:rPr>
          <w:color w:val="333333"/>
          <w:spacing w:val="14"/>
          <w:w w:val="110"/>
        </w:rPr>
        <w:t xml:space="preserve"> </w:t>
      </w:r>
      <w:hyperlink r:id="rId643">
        <w:r>
          <w:rPr>
            <w:color w:val="418BCA"/>
            <w:w w:val="110"/>
          </w:rPr>
          <w:t>Spring</w:t>
        </w:r>
        <w:r>
          <w:rPr>
            <w:color w:val="418BCA"/>
            <w:spacing w:val="7"/>
            <w:w w:val="110"/>
          </w:rPr>
          <w:t xml:space="preserve"> </w:t>
        </w:r>
        <w:r>
          <w:rPr>
            <w:color w:val="418BCA"/>
            <w:w w:val="110"/>
          </w:rPr>
          <w:t>Batch</w:t>
        </w:r>
        <w:r>
          <w:rPr>
            <w:color w:val="418BCA"/>
            <w:spacing w:val="6"/>
            <w:w w:val="110"/>
          </w:rPr>
          <w:t xml:space="preserve"> </w:t>
        </w:r>
        <w:r>
          <w:rPr>
            <w:color w:val="418BCA"/>
            <w:w w:val="110"/>
          </w:rPr>
          <w:t>project</w:t>
        </w:r>
        <w:r>
          <w:rPr>
            <w:color w:val="418BCA"/>
            <w:spacing w:val="6"/>
            <w:w w:val="110"/>
          </w:rPr>
          <w:t xml:space="preserve"> </w:t>
        </w:r>
        <w:r>
          <w:rPr>
            <w:color w:val="418BCA"/>
            <w:w w:val="110"/>
          </w:rPr>
          <w:t>page</w:t>
        </w:r>
      </w:hyperlink>
      <w:r>
        <w:rPr>
          <w:color w:val="333333"/>
          <w:w w:val="110"/>
        </w:rPr>
        <w:t>.</w:t>
      </w:r>
    </w:p>
    <w:p w14:paraId="0C21D9C2" w14:textId="77777777" w:rsidR="00A720EB" w:rsidRDefault="00A720EB">
      <w:pPr>
        <w:pStyle w:val="a3"/>
        <w:spacing w:before="7"/>
        <w:rPr>
          <w:sz w:val="31"/>
        </w:rPr>
      </w:pPr>
    </w:p>
    <w:p w14:paraId="09ABA30C" w14:textId="77777777" w:rsidR="00A720EB" w:rsidRDefault="0030286B">
      <w:pPr>
        <w:pStyle w:val="3"/>
        <w:numPr>
          <w:ilvl w:val="2"/>
          <w:numId w:val="13"/>
        </w:numPr>
        <w:tabs>
          <w:tab w:val="left" w:pos="1003"/>
        </w:tabs>
        <w:ind w:left="1002" w:hanging="879"/>
      </w:pPr>
      <w:bookmarkStart w:id="951" w:name="9.12.2._Running_Spring_Batch_Jobs_on_Sta"/>
      <w:bookmarkStart w:id="952" w:name="_Toc54423995"/>
      <w:bookmarkEnd w:id="951"/>
      <w:r>
        <w:rPr>
          <w:color w:val="333333"/>
          <w:w w:val="110"/>
        </w:rPr>
        <w:t>Running</w:t>
      </w:r>
      <w:r>
        <w:rPr>
          <w:color w:val="333333"/>
          <w:spacing w:val="-19"/>
          <w:w w:val="110"/>
        </w:rPr>
        <w:t xml:space="preserve"> </w:t>
      </w:r>
      <w:r>
        <w:rPr>
          <w:color w:val="333333"/>
          <w:w w:val="110"/>
        </w:rPr>
        <w:t>Spring</w:t>
      </w:r>
      <w:r>
        <w:rPr>
          <w:color w:val="333333"/>
          <w:spacing w:val="-19"/>
          <w:w w:val="110"/>
        </w:rPr>
        <w:t xml:space="preserve"> </w:t>
      </w:r>
      <w:r>
        <w:rPr>
          <w:color w:val="333333"/>
          <w:w w:val="110"/>
        </w:rPr>
        <w:t>Batch</w:t>
      </w:r>
      <w:r>
        <w:rPr>
          <w:color w:val="333333"/>
          <w:spacing w:val="-20"/>
          <w:w w:val="110"/>
        </w:rPr>
        <w:t xml:space="preserve"> </w:t>
      </w:r>
      <w:r>
        <w:rPr>
          <w:color w:val="333333"/>
          <w:w w:val="110"/>
        </w:rPr>
        <w:t>Jobs</w:t>
      </w:r>
      <w:r>
        <w:rPr>
          <w:color w:val="333333"/>
          <w:spacing w:val="-18"/>
          <w:w w:val="110"/>
        </w:rPr>
        <w:t xml:space="preserve"> </w:t>
      </w:r>
      <w:r>
        <w:rPr>
          <w:color w:val="333333"/>
          <w:w w:val="110"/>
        </w:rPr>
        <w:t>on</w:t>
      </w:r>
      <w:r>
        <w:rPr>
          <w:color w:val="333333"/>
          <w:spacing w:val="-20"/>
          <w:w w:val="110"/>
        </w:rPr>
        <w:t xml:space="preserve"> </w:t>
      </w:r>
      <w:r>
        <w:rPr>
          <w:color w:val="333333"/>
          <w:w w:val="110"/>
        </w:rPr>
        <w:t>Startup</w:t>
      </w:r>
      <w:bookmarkEnd w:id="952"/>
    </w:p>
    <w:p w14:paraId="189AC659" w14:textId="77777777" w:rsidR="00A720EB" w:rsidRDefault="0030286B">
      <w:pPr>
        <w:pStyle w:val="a3"/>
        <w:spacing w:before="243"/>
        <w:ind w:left="124"/>
        <w:jc w:val="both"/>
      </w:pPr>
      <w:r>
        <w:rPr>
          <w:color w:val="333333"/>
          <w:w w:val="110"/>
        </w:rPr>
        <w:t xml:space="preserve">Spring Batch auto-configuration is enabled by adding </w:t>
      </w:r>
      <w:r>
        <w:rPr>
          <w:rFonts w:ascii="MS Gothic"/>
          <w:color w:val="B02045"/>
          <w:w w:val="110"/>
        </w:rPr>
        <w:t xml:space="preserve">@EnableBatchProcessing </w:t>
      </w:r>
      <w:r>
        <w:rPr>
          <w:color w:val="333333"/>
          <w:w w:val="110"/>
        </w:rPr>
        <w:t>to one of your</w:t>
      </w:r>
    </w:p>
    <w:p w14:paraId="04B806A6" w14:textId="77777777" w:rsidR="00A720EB" w:rsidRDefault="0030286B">
      <w:pPr>
        <w:pStyle w:val="a3"/>
        <w:spacing w:before="47"/>
        <w:ind w:left="124"/>
        <w:jc w:val="both"/>
      </w:pPr>
      <w:r>
        <w:rPr>
          <w:rFonts w:ascii="MS Gothic"/>
          <w:color w:val="B02045"/>
          <w:w w:val="105"/>
        </w:rPr>
        <w:t>@Configuration</w:t>
      </w:r>
      <w:r>
        <w:rPr>
          <w:rFonts w:ascii="MS Gothic"/>
          <w:color w:val="B02045"/>
          <w:spacing w:val="-57"/>
          <w:w w:val="105"/>
        </w:rPr>
        <w:t xml:space="preserve"> </w:t>
      </w:r>
      <w:r>
        <w:rPr>
          <w:color w:val="333333"/>
          <w:w w:val="105"/>
        </w:rPr>
        <w:t>classes.</w:t>
      </w:r>
    </w:p>
    <w:p w14:paraId="22E3B844" w14:textId="77777777" w:rsidR="00A720EB" w:rsidRDefault="00A720EB">
      <w:pPr>
        <w:pStyle w:val="a3"/>
        <w:spacing w:before="6"/>
        <w:rPr>
          <w:sz w:val="23"/>
        </w:rPr>
      </w:pPr>
    </w:p>
    <w:p w14:paraId="1520D7C1" w14:textId="77777777" w:rsidR="00A720EB" w:rsidRDefault="0030286B">
      <w:pPr>
        <w:pStyle w:val="a3"/>
        <w:spacing w:line="278" w:lineRule="auto"/>
        <w:ind w:left="124" w:right="126"/>
        <w:jc w:val="both"/>
      </w:pPr>
      <w:r>
        <w:rPr>
          <w:color w:val="333333"/>
          <w:spacing w:val="-3"/>
          <w:w w:val="110"/>
        </w:rPr>
        <w:t xml:space="preserve">By </w:t>
      </w:r>
      <w:r>
        <w:rPr>
          <w:color w:val="333333"/>
          <w:w w:val="110"/>
        </w:rPr>
        <w:t xml:space="preserve">default, it executes </w:t>
      </w:r>
      <w:r>
        <w:rPr>
          <w:rFonts w:ascii="Palatino Linotype"/>
          <w:b/>
          <w:color w:val="333333"/>
          <w:w w:val="110"/>
        </w:rPr>
        <w:t xml:space="preserve">all </w:t>
      </w:r>
      <w:r>
        <w:rPr>
          <w:rFonts w:ascii="MS Gothic"/>
          <w:color w:val="B02045"/>
          <w:w w:val="110"/>
        </w:rPr>
        <w:t xml:space="preserve">Jobs </w:t>
      </w:r>
      <w:r>
        <w:rPr>
          <w:color w:val="333333"/>
          <w:w w:val="110"/>
        </w:rPr>
        <w:t xml:space="preserve">in the application context on startup (see  </w:t>
      </w:r>
      <w:hyperlink r:id="rId644">
        <w:r>
          <w:rPr>
            <w:rFonts w:ascii="MS Gothic"/>
            <w:color w:val="B02045"/>
            <w:w w:val="110"/>
          </w:rPr>
          <w:t xml:space="preserve">JobLauncherApplicationRunner </w:t>
        </w:r>
      </w:hyperlink>
      <w:r>
        <w:rPr>
          <w:color w:val="333333"/>
          <w:w w:val="110"/>
        </w:rPr>
        <w:t xml:space="preserve">for details). </w:t>
      </w:r>
      <w:r>
        <w:rPr>
          <w:color w:val="333333"/>
          <w:spacing w:val="-6"/>
          <w:w w:val="110"/>
        </w:rPr>
        <w:t xml:space="preserve">You </w:t>
      </w:r>
      <w:r>
        <w:rPr>
          <w:color w:val="333333"/>
          <w:w w:val="110"/>
        </w:rPr>
        <w:t xml:space="preserve">can narrow down to a specific job or jobs </w:t>
      </w:r>
      <w:r>
        <w:rPr>
          <w:color w:val="333333"/>
          <w:spacing w:val="-3"/>
          <w:w w:val="110"/>
        </w:rPr>
        <w:t xml:space="preserve">by </w:t>
      </w:r>
      <w:r>
        <w:rPr>
          <w:color w:val="333333"/>
          <w:w w:val="110"/>
        </w:rPr>
        <w:t xml:space="preserve">specifying </w:t>
      </w:r>
      <w:proofErr w:type="gramStart"/>
      <w:r>
        <w:rPr>
          <w:rFonts w:ascii="MS Gothic"/>
          <w:color w:val="B02045"/>
          <w:w w:val="110"/>
        </w:rPr>
        <w:t>spring.batch.job.names</w:t>
      </w:r>
      <w:proofErr w:type="gramEnd"/>
      <w:r>
        <w:rPr>
          <w:rFonts w:ascii="MS Gothic"/>
          <w:color w:val="B02045"/>
          <w:spacing w:val="-72"/>
          <w:w w:val="110"/>
        </w:rPr>
        <w:t xml:space="preserve"> </w:t>
      </w:r>
      <w:r>
        <w:rPr>
          <w:color w:val="333333"/>
          <w:w w:val="110"/>
        </w:rPr>
        <w:t>(which takes a comma-separated list of job name patterns).</w:t>
      </w:r>
    </w:p>
    <w:p w14:paraId="2801D2CB" w14:textId="77777777" w:rsidR="00A720EB" w:rsidRDefault="00A720EB">
      <w:pPr>
        <w:pStyle w:val="a3"/>
        <w:spacing w:before="9"/>
      </w:pPr>
    </w:p>
    <w:p w14:paraId="69007AC1" w14:textId="77777777" w:rsidR="00A720EB" w:rsidRDefault="0030286B">
      <w:pPr>
        <w:pStyle w:val="a3"/>
        <w:ind w:left="124"/>
        <w:jc w:val="both"/>
      </w:pPr>
      <w:r>
        <w:rPr>
          <w:color w:val="333333"/>
          <w:w w:val="110"/>
        </w:rPr>
        <w:t xml:space="preserve">See </w:t>
      </w:r>
      <w:hyperlink r:id="rId645">
        <w:r>
          <w:rPr>
            <w:color w:val="418BCA"/>
            <w:w w:val="110"/>
          </w:rPr>
          <w:t xml:space="preserve">BatchAutoConfiguration </w:t>
        </w:r>
      </w:hyperlink>
      <w:r>
        <w:rPr>
          <w:color w:val="333333"/>
          <w:w w:val="110"/>
        </w:rPr>
        <w:t xml:space="preserve">and </w:t>
      </w:r>
      <w:hyperlink r:id="rId646">
        <w:r>
          <w:rPr>
            <w:color w:val="418BCA"/>
            <w:w w:val="110"/>
          </w:rPr>
          <w:t xml:space="preserve">@EnableBatchProcessing </w:t>
        </w:r>
      </w:hyperlink>
      <w:r>
        <w:rPr>
          <w:color w:val="333333"/>
          <w:w w:val="110"/>
        </w:rPr>
        <w:t>for more details.</w:t>
      </w:r>
    </w:p>
    <w:p w14:paraId="5272231E" w14:textId="77777777" w:rsidR="00A720EB" w:rsidRDefault="00A720EB">
      <w:pPr>
        <w:pStyle w:val="a3"/>
        <w:spacing w:before="7"/>
        <w:rPr>
          <w:sz w:val="31"/>
        </w:rPr>
      </w:pPr>
    </w:p>
    <w:p w14:paraId="7FBA0A0A" w14:textId="77777777" w:rsidR="00A720EB" w:rsidRDefault="0030286B">
      <w:pPr>
        <w:pStyle w:val="3"/>
        <w:numPr>
          <w:ilvl w:val="2"/>
          <w:numId w:val="13"/>
        </w:numPr>
        <w:tabs>
          <w:tab w:val="left" w:pos="1003"/>
        </w:tabs>
        <w:ind w:left="1002" w:hanging="879"/>
      </w:pPr>
      <w:bookmarkStart w:id="953" w:name="9.12.3._Running_from_the_Command_Line"/>
      <w:bookmarkStart w:id="954" w:name="_Toc54423996"/>
      <w:bookmarkEnd w:id="953"/>
      <w:r>
        <w:rPr>
          <w:color w:val="333333"/>
          <w:w w:val="110"/>
        </w:rPr>
        <w:t>Running from the Command</w:t>
      </w:r>
      <w:r>
        <w:rPr>
          <w:color w:val="333333"/>
          <w:spacing w:val="-23"/>
          <w:w w:val="110"/>
        </w:rPr>
        <w:t xml:space="preserve"> </w:t>
      </w:r>
      <w:r>
        <w:rPr>
          <w:color w:val="333333"/>
          <w:w w:val="110"/>
        </w:rPr>
        <w:t>Line</w:t>
      </w:r>
      <w:bookmarkEnd w:id="954"/>
    </w:p>
    <w:p w14:paraId="1F20212A" w14:textId="77777777" w:rsidR="00A720EB" w:rsidRDefault="0030286B">
      <w:pPr>
        <w:pStyle w:val="a3"/>
        <w:spacing w:before="243" w:line="280" w:lineRule="auto"/>
        <w:ind w:left="124" w:right="122"/>
        <w:jc w:val="both"/>
        <w:rPr>
          <w:rFonts w:ascii="MS Gothic"/>
        </w:rPr>
      </w:pPr>
      <w:r>
        <w:rPr>
          <w:color w:val="333333"/>
          <w:w w:val="110"/>
        </w:rPr>
        <w:t xml:space="preserve">Spring Boot converts any command line argument starting with </w:t>
      </w:r>
      <w:r>
        <w:rPr>
          <w:rFonts w:ascii="MS Gothic"/>
          <w:color w:val="B02045"/>
          <w:w w:val="110"/>
        </w:rPr>
        <w:t xml:space="preserve">-- </w:t>
      </w:r>
      <w:r>
        <w:rPr>
          <w:color w:val="333333"/>
          <w:w w:val="110"/>
        </w:rPr>
        <w:t xml:space="preserve">to a property to add to the </w:t>
      </w:r>
      <w:r>
        <w:rPr>
          <w:rFonts w:ascii="MS Gothic"/>
          <w:color w:val="B02045"/>
          <w:w w:val="110"/>
        </w:rPr>
        <w:t>Environment</w:t>
      </w:r>
      <w:r>
        <w:rPr>
          <w:color w:val="333333"/>
          <w:w w:val="110"/>
        </w:rPr>
        <w:t xml:space="preserve">, see </w:t>
      </w:r>
      <w:hyperlink w:anchor="_bookmark104" w:history="1">
        <w:r>
          <w:rPr>
            <w:color w:val="418BCA"/>
            <w:w w:val="110"/>
          </w:rPr>
          <w:t>accessing command line properties</w:t>
        </w:r>
      </w:hyperlink>
      <w:r>
        <w:rPr>
          <w:color w:val="333333"/>
          <w:w w:val="110"/>
        </w:rPr>
        <w:t xml:space="preserve">. This should not be used to pass arguments to batch jobs. To specify batch arguments on the command line, use the regular format (i.e. without </w:t>
      </w:r>
      <w:r>
        <w:rPr>
          <w:rFonts w:ascii="MS Gothic"/>
          <w:color w:val="B02045"/>
          <w:w w:val="110"/>
        </w:rPr>
        <w:t>--</w:t>
      </w:r>
    </w:p>
    <w:p w14:paraId="2EA501BB" w14:textId="77777777" w:rsidR="00A720EB" w:rsidRDefault="0030286B">
      <w:pPr>
        <w:pStyle w:val="a3"/>
        <w:spacing w:before="13"/>
        <w:ind w:left="124"/>
        <w:jc w:val="both"/>
      </w:pPr>
      <w:r>
        <w:rPr>
          <w:color w:val="333333"/>
          <w:w w:val="110"/>
        </w:rPr>
        <w:t>), as shown in the following example:</w:t>
      </w:r>
    </w:p>
    <w:p w14:paraId="0B4022A0" w14:textId="77777777" w:rsidR="00A720EB" w:rsidRDefault="00E10349">
      <w:pPr>
        <w:pStyle w:val="a3"/>
        <w:rPr>
          <w:sz w:val="19"/>
        </w:rPr>
      </w:pPr>
      <w:r>
        <w:pict w14:anchorId="3021C475">
          <v:group id="_x0000_s1303" style="position:absolute;margin-left:47.85pt;margin-top:13.1pt;width:499.55pt;height:37.5pt;z-index:-15049728;mso-wrap-distance-left:0;mso-wrap-distance-right:0;mso-position-horizontal-relative:page" coordorigin="957,262" coordsize="9991,750">
            <v:shape id="_x0000_s1306" style="position:absolute;left:964;top:269;width:9976;height:735" coordorigin="965,270" coordsize="9976,735" path="m10861,270r-9816,l1014,276r-26,17l971,319r-6,31l965,925r6,31l988,981r26,17l1045,1005r9816,l10892,998r25,-17l10935,956r6,-31l10941,350r-6,-31l10917,293r-25,-17l10861,270xe" fillcolor="#f5f5f5" stroked="f">
              <v:path arrowok="t"/>
            </v:shape>
            <v:shape id="_x0000_s1305" style="position:absolute;left:964;top:269;width:9976;height:735" coordorigin="965,270" coordsize="9976,735" path="m1045,270r9816,l10892,276r25,17l10935,319r6,31l10941,925r-6,31l10917,981r-25,17l10861,1005r-9816,l1014,998,988,981,971,956r-6,-31l965,350r6,-31l988,293r26,-17l1045,270xe" filled="f" strokecolor="#ccc">
              <v:path arrowok="t"/>
            </v:shape>
            <v:shape id="_x0000_s1304" type="#_x0000_t202" style="position:absolute;left:984;top:285;width:9938;height:704" filled="f" stroked="f">
              <v:textbox inset="0,0,0,0">
                <w:txbxContent>
                  <w:p w14:paraId="752C1EF6" w14:textId="77777777" w:rsidR="00711A16" w:rsidRDefault="00711A16">
                    <w:pPr>
                      <w:spacing w:before="221"/>
                      <w:ind w:left="200"/>
                      <w:rPr>
                        <w:rFonts w:ascii="MS Gothic"/>
                      </w:rPr>
                    </w:pPr>
                    <w:r>
                      <w:rPr>
                        <w:rFonts w:ascii="MS Gothic"/>
                        <w:color w:val="333333"/>
                      </w:rPr>
                      <w:t>$ java -jar myapp.jar someParameter=someValue anotherParameter=anotherValue</w:t>
                    </w:r>
                  </w:p>
                </w:txbxContent>
              </v:textbox>
            </v:shape>
            <w10:wrap type="topAndBottom" anchorx="page"/>
          </v:group>
        </w:pict>
      </w:r>
    </w:p>
    <w:p w14:paraId="367D16BD" w14:textId="77777777" w:rsidR="00A720EB" w:rsidRDefault="00A720EB">
      <w:pPr>
        <w:pStyle w:val="a3"/>
        <w:spacing w:before="11"/>
        <w:rPr>
          <w:sz w:val="9"/>
        </w:rPr>
      </w:pPr>
    </w:p>
    <w:p w14:paraId="77DE167E" w14:textId="77777777" w:rsidR="00A720EB" w:rsidRDefault="0030286B">
      <w:pPr>
        <w:pStyle w:val="a3"/>
        <w:spacing w:before="115" w:line="290" w:lineRule="auto"/>
        <w:ind w:left="124" w:right="45"/>
      </w:pPr>
      <w:r>
        <w:rPr>
          <w:color w:val="333333"/>
          <w:w w:val="110"/>
        </w:rPr>
        <w:t xml:space="preserve">If you specify a property of the </w:t>
      </w:r>
      <w:r>
        <w:rPr>
          <w:rFonts w:ascii="MS Gothic"/>
          <w:color w:val="B02045"/>
          <w:w w:val="110"/>
        </w:rPr>
        <w:t xml:space="preserve">Environment </w:t>
      </w:r>
      <w:r>
        <w:rPr>
          <w:color w:val="333333"/>
          <w:w w:val="110"/>
        </w:rPr>
        <w:t>on the command line, it is ignored by the job. Consider the following command:</w:t>
      </w:r>
    </w:p>
    <w:p w14:paraId="1E11C4B4" w14:textId="77777777" w:rsidR="00A720EB" w:rsidRDefault="00E10349">
      <w:pPr>
        <w:pStyle w:val="a3"/>
        <w:spacing w:before="8"/>
        <w:rPr>
          <w:sz w:val="14"/>
        </w:rPr>
      </w:pPr>
      <w:r>
        <w:pict w14:anchorId="1A7A9C57">
          <v:group id="_x0000_s1299" style="position:absolute;margin-left:47.85pt;margin-top:10.6pt;width:499.55pt;height:37.5pt;z-index:-15049216;mso-wrap-distance-left:0;mso-wrap-distance-right:0;mso-position-horizontal-relative:page" coordorigin="957,212" coordsize="9991,750">
            <v:shape id="_x0000_s1302" style="position:absolute;left:964;top:219;width:9976;height:735" coordorigin="965,219" coordsize="9976,735" path="m10861,219r-9816,l1014,226r-26,17l971,268r-6,31l965,874r6,31l988,931r26,17l1045,954r9816,l10892,948r25,-17l10935,905r6,-31l10941,299r-6,-31l10917,243r-25,-17l10861,219xe" fillcolor="#f5f5f5" stroked="f">
              <v:path arrowok="t"/>
            </v:shape>
            <v:shape id="_x0000_s1301" style="position:absolute;left:964;top:219;width:9976;height:735" coordorigin="965,219" coordsize="9976,735" path="m1045,219r9816,l10892,226r25,17l10935,268r6,31l10941,874r-6,31l10917,931r-25,17l10861,954r-9816,l1014,948,988,931,971,905r-6,-31l965,299r6,-31l988,243r26,-17l1045,219xe" filled="f" strokecolor="#ccc">
              <v:path arrowok="t"/>
            </v:shape>
            <v:shape id="_x0000_s1300" type="#_x0000_t202" style="position:absolute;left:984;top:234;width:9938;height:704" filled="f" stroked="f">
              <v:textbox inset="0,0,0,0">
                <w:txbxContent>
                  <w:p w14:paraId="55679A57" w14:textId="77777777" w:rsidR="00711A16" w:rsidRDefault="00711A16">
                    <w:pPr>
                      <w:spacing w:before="221"/>
                      <w:ind w:left="200"/>
                      <w:rPr>
                        <w:rFonts w:ascii="MS Gothic"/>
                      </w:rPr>
                    </w:pPr>
                    <w:r>
                      <w:rPr>
                        <w:rFonts w:ascii="MS Gothic"/>
                        <w:color w:val="333333"/>
                      </w:rPr>
                      <w:t>$ java -jar myapp.jar --</w:t>
                    </w:r>
                    <w:proofErr w:type="gramStart"/>
                    <w:r>
                      <w:rPr>
                        <w:rFonts w:ascii="MS Gothic"/>
                        <w:color w:val="333333"/>
                      </w:rPr>
                      <w:t>server.port</w:t>
                    </w:r>
                    <w:proofErr w:type="gramEnd"/>
                    <w:r>
                      <w:rPr>
                        <w:rFonts w:ascii="MS Gothic"/>
                        <w:color w:val="333333"/>
                      </w:rPr>
                      <w:t>=7070 someParameter=someValue</w:t>
                    </w:r>
                  </w:p>
                </w:txbxContent>
              </v:textbox>
            </v:shape>
            <w10:wrap type="topAndBottom" anchorx="page"/>
          </v:group>
        </w:pict>
      </w:r>
    </w:p>
    <w:p w14:paraId="2AB3FAA5" w14:textId="77777777" w:rsidR="00A720EB" w:rsidRDefault="00A720EB">
      <w:pPr>
        <w:pStyle w:val="a3"/>
        <w:spacing w:before="11"/>
        <w:rPr>
          <w:sz w:val="9"/>
        </w:rPr>
      </w:pPr>
    </w:p>
    <w:p w14:paraId="55A349D5" w14:textId="77777777" w:rsidR="00A720EB" w:rsidRDefault="0030286B">
      <w:pPr>
        <w:pStyle w:val="a3"/>
        <w:spacing w:before="115"/>
        <w:ind w:left="124"/>
      </w:pPr>
      <w:r>
        <w:rPr>
          <w:color w:val="333333"/>
          <w:w w:val="110"/>
        </w:rPr>
        <w:t xml:space="preserve">This provides only one argument to the batch job: </w:t>
      </w:r>
      <w:r>
        <w:rPr>
          <w:rFonts w:ascii="MS Gothic"/>
          <w:color w:val="B02045"/>
          <w:w w:val="110"/>
        </w:rPr>
        <w:t>someParameter=someValue</w:t>
      </w:r>
      <w:r>
        <w:rPr>
          <w:color w:val="333333"/>
          <w:w w:val="110"/>
        </w:rPr>
        <w:t>.</w:t>
      </w:r>
    </w:p>
    <w:p w14:paraId="74544B90" w14:textId="77777777" w:rsidR="00A720EB" w:rsidRDefault="00A720EB">
      <w:pPr>
        <w:pStyle w:val="a3"/>
        <w:spacing w:before="7"/>
        <w:rPr>
          <w:sz w:val="30"/>
        </w:rPr>
      </w:pPr>
    </w:p>
    <w:p w14:paraId="60E3D5B0" w14:textId="77777777" w:rsidR="00A720EB" w:rsidRDefault="0030286B">
      <w:pPr>
        <w:pStyle w:val="3"/>
        <w:numPr>
          <w:ilvl w:val="2"/>
          <w:numId w:val="13"/>
        </w:numPr>
        <w:tabs>
          <w:tab w:val="left" w:pos="1003"/>
        </w:tabs>
        <w:ind w:left="1002" w:hanging="879"/>
      </w:pPr>
      <w:bookmarkStart w:id="955" w:name="9.12.4._Storing_the_Job_Repository"/>
      <w:bookmarkStart w:id="956" w:name="_Toc54423997"/>
      <w:bookmarkEnd w:id="955"/>
      <w:r>
        <w:rPr>
          <w:color w:val="333333"/>
          <w:w w:val="110"/>
        </w:rPr>
        <w:t>Storing the Job</w:t>
      </w:r>
      <w:r>
        <w:rPr>
          <w:color w:val="333333"/>
          <w:spacing w:val="-17"/>
          <w:w w:val="110"/>
        </w:rPr>
        <w:t xml:space="preserve"> </w:t>
      </w:r>
      <w:r>
        <w:rPr>
          <w:color w:val="333333"/>
          <w:w w:val="110"/>
        </w:rPr>
        <w:t>Repository</w:t>
      </w:r>
      <w:bookmarkEnd w:id="956"/>
    </w:p>
    <w:p w14:paraId="1F899CE0" w14:textId="77777777" w:rsidR="00A720EB" w:rsidRDefault="0030286B">
      <w:pPr>
        <w:pStyle w:val="a3"/>
        <w:spacing w:before="243" w:line="290" w:lineRule="auto"/>
        <w:ind w:left="124"/>
      </w:pPr>
      <w:r>
        <w:rPr>
          <w:color w:val="333333"/>
          <w:w w:val="115"/>
        </w:rPr>
        <w:t xml:space="preserve">Spring Batch requires a data store for the </w:t>
      </w:r>
      <w:r>
        <w:rPr>
          <w:rFonts w:ascii="MS Gothic"/>
          <w:color w:val="B02045"/>
          <w:w w:val="115"/>
        </w:rPr>
        <w:t xml:space="preserve">Job </w:t>
      </w:r>
      <w:r>
        <w:rPr>
          <w:color w:val="333333"/>
          <w:w w:val="115"/>
        </w:rPr>
        <w:t xml:space="preserve">repository. If you use Spring Boot, you must use an actual database. Note that it can be an in-memory database, see </w:t>
      </w:r>
      <w:hyperlink r:id="rId647" w:anchor="configuringJobRepository">
        <w:r>
          <w:rPr>
            <w:color w:val="418BCA"/>
            <w:w w:val="115"/>
          </w:rPr>
          <w:t>Configuring a Job Repository</w:t>
        </w:r>
      </w:hyperlink>
      <w:r>
        <w:rPr>
          <w:color w:val="333333"/>
          <w:w w:val="115"/>
        </w:rPr>
        <w:t>.</w:t>
      </w:r>
    </w:p>
    <w:p w14:paraId="7D541257" w14:textId="77777777" w:rsidR="00A720EB" w:rsidRDefault="00A720EB">
      <w:pPr>
        <w:pStyle w:val="a3"/>
        <w:spacing w:before="4"/>
        <w:rPr>
          <w:sz w:val="27"/>
        </w:rPr>
      </w:pPr>
    </w:p>
    <w:p w14:paraId="1D509310" w14:textId="77777777" w:rsidR="00A720EB" w:rsidRDefault="0030286B">
      <w:pPr>
        <w:pStyle w:val="2"/>
        <w:numPr>
          <w:ilvl w:val="1"/>
          <w:numId w:val="13"/>
        </w:numPr>
        <w:tabs>
          <w:tab w:val="left" w:pos="1034"/>
        </w:tabs>
        <w:spacing w:before="1"/>
        <w:ind w:left="1033" w:hanging="910"/>
      </w:pPr>
      <w:bookmarkStart w:id="957" w:name="9.13._Actuator"/>
      <w:bookmarkStart w:id="958" w:name="_Toc54423998"/>
      <w:bookmarkEnd w:id="957"/>
      <w:r>
        <w:rPr>
          <w:color w:val="333333"/>
          <w:w w:val="115"/>
        </w:rPr>
        <w:t>Actuator</w:t>
      </w:r>
      <w:bookmarkEnd w:id="958"/>
    </w:p>
    <w:p w14:paraId="37267F3D" w14:textId="77777777" w:rsidR="00A720EB" w:rsidRDefault="0030286B">
      <w:pPr>
        <w:pStyle w:val="a3"/>
        <w:spacing w:before="253" w:line="307" w:lineRule="auto"/>
        <w:ind w:left="124" w:right="136"/>
      </w:pPr>
      <w:r>
        <w:rPr>
          <w:color w:val="333333"/>
          <w:w w:val="110"/>
        </w:rPr>
        <w:t>Spring Boot includes the Spring Boot Actuator. This section answers questions that often arise from its use.</w:t>
      </w:r>
    </w:p>
    <w:p w14:paraId="5AEC2A5D" w14:textId="77777777" w:rsidR="00A720EB" w:rsidRDefault="00A720EB">
      <w:pPr>
        <w:pStyle w:val="a3"/>
        <w:spacing w:before="8"/>
        <w:rPr>
          <w:sz w:val="25"/>
        </w:rPr>
      </w:pPr>
    </w:p>
    <w:p w14:paraId="31221E82" w14:textId="77777777" w:rsidR="00A720EB" w:rsidRDefault="0030286B">
      <w:pPr>
        <w:pStyle w:val="3"/>
        <w:numPr>
          <w:ilvl w:val="2"/>
          <w:numId w:val="13"/>
        </w:numPr>
        <w:tabs>
          <w:tab w:val="left" w:pos="1003"/>
        </w:tabs>
        <w:spacing w:before="1"/>
        <w:ind w:left="1002" w:hanging="879"/>
      </w:pPr>
      <w:bookmarkStart w:id="959" w:name="9.13.1._Change_the_HTTP_Port_or_Address_"/>
      <w:bookmarkStart w:id="960" w:name="_Toc54423999"/>
      <w:bookmarkEnd w:id="959"/>
      <w:r>
        <w:rPr>
          <w:color w:val="333333"/>
          <w:w w:val="110"/>
        </w:rPr>
        <w:t>Change</w:t>
      </w:r>
      <w:r>
        <w:rPr>
          <w:color w:val="333333"/>
          <w:spacing w:val="-8"/>
          <w:w w:val="110"/>
        </w:rPr>
        <w:t xml:space="preserve"> </w:t>
      </w:r>
      <w:r>
        <w:rPr>
          <w:color w:val="333333"/>
          <w:w w:val="110"/>
        </w:rPr>
        <w:t>the</w:t>
      </w:r>
      <w:r>
        <w:rPr>
          <w:color w:val="333333"/>
          <w:spacing w:val="-8"/>
          <w:w w:val="110"/>
        </w:rPr>
        <w:t xml:space="preserve"> </w:t>
      </w:r>
      <w:r>
        <w:rPr>
          <w:color w:val="333333"/>
          <w:w w:val="110"/>
        </w:rPr>
        <w:t>HTTP</w:t>
      </w:r>
      <w:r>
        <w:rPr>
          <w:color w:val="333333"/>
          <w:spacing w:val="-7"/>
          <w:w w:val="110"/>
        </w:rPr>
        <w:t xml:space="preserve"> </w:t>
      </w:r>
      <w:r>
        <w:rPr>
          <w:color w:val="333333"/>
          <w:w w:val="110"/>
        </w:rPr>
        <w:t>Port</w:t>
      </w:r>
      <w:r>
        <w:rPr>
          <w:color w:val="333333"/>
          <w:spacing w:val="-7"/>
          <w:w w:val="110"/>
        </w:rPr>
        <w:t xml:space="preserve"> </w:t>
      </w:r>
      <w:r>
        <w:rPr>
          <w:color w:val="333333"/>
          <w:w w:val="110"/>
        </w:rPr>
        <w:t>or</w:t>
      </w:r>
      <w:r>
        <w:rPr>
          <w:color w:val="333333"/>
          <w:spacing w:val="-7"/>
          <w:w w:val="110"/>
        </w:rPr>
        <w:t xml:space="preserve"> </w:t>
      </w:r>
      <w:r>
        <w:rPr>
          <w:color w:val="333333"/>
          <w:w w:val="110"/>
        </w:rPr>
        <w:t>Address</w:t>
      </w:r>
      <w:r>
        <w:rPr>
          <w:color w:val="333333"/>
          <w:spacing w:val="-8"/>
          <w:w w:val="110"/>
        </w:rPr>
        <w:t xml:space="preserve"> </w:t>
      </w:r>
      <w:r>
        <w:rPr>
          <w:color w:val="333333"/>
          <w:w w:val="110"/>
        </w:rPr>
        <w:t>of</w:t>
      </w:r>
      <w:r>
        <w:rPr>
          <w:color w:val="333333"/>
          <w:spacing w:val="-7"/>
          <w:w w:val="110"/>
        </w:rPr>
        <w:t xml:space="preserve"> </w:t>
      </w:r>
      <w:r>
        <w:rPr>
          <w:color w:val="333333"/>
          <w:w w:val="110"/>
        </w:rPr>
        <w:t>the</w:t>
      </w:r>
      <w:r>
        <w:rPr>
          <w:color w:val="333333"/>
          <w:spacing w:val="-8"/>
          <w:w w:val="110"/>
        </w:rPr>
        <w:t xml:space="preserve"> </w:t>
      </w:r>
      <w:r>
        <w:rPr>
          <w:color w:val="333333"/>
          <w:w w:val="110"/>
        </w:rPr>
        <w:t>Actuator</w:t>
      </w:r>
      <w:r>
        <w:rPr>
          <w:color w:val="333333"/>
          <w:spacing w:val="-7"/>
          <w:w w:val="110"/>
        </w:rPr>
        <w:t xml:space="preserve"> </w:t>
      </w:r>
      <w:r>
        <w:rPr>
          <w:color w:val="333333"/>
          <w:w w:val="110"/>
        </w:rPr>
        <w:t>Endpoints</w:t>
      </w:r>
      <w:bookmarkEnd w:id="960"/>
    </w:p>
    <w:p w14:paraId="04F92A36" w14:textId="77777777" w:rsidR="00A720EB" w:rsidRDefault="0030286B">
      <w:pPr>
        <w:pStyle w:val="a3"/>
        <w:spacing w:before="253" w:line="297" w:lineRule="auto"/>
        <w:ind w:left="124"/>
      </w:pPr>
      <w:r>
        <w:rPr>
          <w:color w:val="333333"/>
          <w:w w:val="110"/>
        </w:rPr>
        <w:t xml:space="preserve">In a standalone application, the Actuator HTTP port defaults to the same as the main HTTP port. </w:t>
      </w:r>
      <w:r>
        <w:rPr>
          <w:color w:val="333333"/>
          <w:spacing w:val="-4"/>
          <w:w w:val="110"/>
        </w:rPr>
        <w:t xml:space="preserve">To </w:t>
      </w:r>
      <w:r>
        <w:rPr>
          <w:color w:val="333333"/>
          <w:w w:val="110"/>
        </w:rPr>
        <w:t>make</w:t>
      </w:r>
      <w:r>
        <w:rPr>
          <w:color w:val="333333"/>
          <w:spacing w:val="-11"/>
          <w:w w:val="110"/>
        </w:rPr>
        <w:t xml:space="preserve"> </w:t>
      </w:r>
      <w:r>
        <w:rPr>
          <w:color w:val="333333"/>
          <w:w w:val="110"/>
        </w:rPr>
        <w:t>the</w:t>
      </w:r>
      <w:r>
        <w:rPr>
          <w:color w:val="333333"/>
          <w:spacing w:val="-10"/>
          <w:w w:val="110"/>
        </w:rPr>
        <w:t xml:space="preserve"> </w:t>
      </w:r>
      <w:r>
        <w:rPr>
          <w:color w:val="333333"/>
          <w:w w:val="110"/>
        </w:rPr>
        <w:t>application</w:t>
      </w:r>
      <w:r>
        <w:rPr>
          <w:color w:val="333333"/>
          <w:spacing w:val="-10"/>
          <w:w w:val="110"/>
        </w:rPr>
        <w:t xml:space="preserve"> </w:t>
      </w:r>
      <w:r>
        <w:rPr>
          <w:color w:val="333333"/>
          <w:w w:val="110"/>
        </w:rPr>
        <w:t>listen</w:t>
      </w:r>
      <w:r>
        <w:rPr>
          <w:color w:val="333333"/>
          <w:spacing w:val="-11"/>
          <w:w w:val="110"/>
        </w:rPr>
        <w:t xml:space="preserve"> </w:t>
      </w:r>
      <w:r>
        <w:rPr>
          <w:color w:val="333333"/>
          <w:w w:val="110"/>
        </w:rPr>
        <w:t>on</w:t>
      </w:r>
      <w:r>
        <w:rPr>
          <w:color w:val="333333"/>
          <w:spacing w:val="-10"/>
          <w:w w:val="110"/>
        </w:rPr>
        <w:t xml:space="preserve"> </w:t>
      </w:r>
      <w:r>
        <w:rPr>
          <w:color w:val="333333"/>
          <w:w w:val="110"/>
        </w:rPr>
        <w:t>a</w:t>
      </w:r>
      <w:r>
        <w:rPr>
          <w:color w:val="333333"/>
          <w:spacing w:val="-10"/>
          <w:w w:val="110"/>
        </w:rPr>
        <w:t xml:space="preserve"> </w:t>
      </w:r>
      <w:r>
        <w:rPr>
          <w:color w:val="333333"/>
          <w:w w:val="110"/>
        </w:rPr>
        <w:t>different</w:t>
      </w:r>
      <w:r>
        <w:rPr>
          <w:color w:val="333333"/>
          <w:spacing w:val="-11"/>
          <w:w w:val="110"/>
        </w:rPr>
        <w:t xml:space="preserve"> </w:t>
      </w:r>
      <w:r>
        <w:rPr>
          <w:color w:val="333333"/>
          <w:w w:val="110"/>
        </w:rPr>
        <w:t>port,</w:t>
      </w:r>
      <w:r>
        <w:rPr>
          <w:color w:val="333333"/>
          <w:spacing w:val="-10"/>
          <w:w w:val="110"/>
        </w:rPr>
        <w:t xml:space="preserve"> </w:t>
      </w:r>
      <w:r>
        <w:rPr>
          <w:color w:val="333333"/>
          <w:w w:val="110"/>
        </w:rPr>
        <w:t>set</w:t>
      </w:r>
      <w:r>
        <w:rPr>
          <w:color w:val="333333"/>
          <w:spacing w:val="-10"/>
          <w:w w:val="110"/>
        </w:rPr>
        <w:t xml:space="preserve"> </w:t>
      </w:r>
      <w:r>
        <w:rPr>
          <w:color w:val="333333"/>
          <w:w w:val="110"/>
        </w:rPr>
        <w:t>the</w:t>
      </w:r>
      <w:r>
        <w:rPr>
          <w:color w:val="333333"/>
          <w:spacing w:val="-11"/>
          <w:w w:val="110"/>
        </w:rPr>
        <w:t xml:space="preserve"> </w:t>
      </w:r>
      <w:r>
        <w:rPr>
          <w:color w:val="333333"/>
          <w:w w:val="110"/>
        </w:rPr>
        <w:t>external</w:t>
      </w:r>
      <w:r>
        <w:rPr>
          <w:color w:val="333333"/>
          <w:spacing w:val="-10"/>
          <w:w w:val="110"/>
        </w:rPr>
        <w:t xml:space="preserve"> </w:t>
      </w:r>
      <w:r>
        <w:rPr>
          <w:color w:val="333333"/>
          <w:w w:val="110"/>
        </w:rPr>
        <w:t>property:</w:t>
      </w:r>
      <w:r>
        <w:rPr>
          <w:color w:val="333333"/>
          <w:spacing w:val="-3"/>
          <w:w w:val="110"/>
        </w:rPr>
        <w:t xml:space="preserve"> </w:t>
      </w:r>
      <w:proofErr w:type="gramStart"/>
      <w:r>
        <w:rPr>
          <w:rFonts w:ascii="MS Gothic"/>
          <w:color w:val="B02045"/>
          <w:w w:val="110"/>
        </w:rPr>
        <w:t>management.server</w:t>
      </w:r>
      <w:proofErr w:type="gramEnd"/>
      <w:r>
        <w:rPr>
          <w:rFonts w:ascii="MS Gothic"/>
          <w:color w:val="B02045"/>
          <w:w w:val="110"/>
        </w:rPr>
        <w:t>.port</w:t>
      </w:r>
      <w:r>
        <w:rPr>
          <w:color w:val="333333"/>
          <w:w w:val="110"/>
        </w:rPr>
        <w:t>.</w:t>
      </w:r>
      <w:r>
        <w:rPr>
          <w:color w:val="333333"/>
          <w:spacing w:val="-10"/>
          <w:w w:val="110"/>
        </w:rPr>
        <w:t xml:space="preserve"> </w:t>
      </w:r>
      <w:r>
        <w:rPr>
          <w:color w:val="333333"/>
          <w:spacing w:val="-4"/>
          <w:w w:val="110"/>
        </w:rPr>
        <w:t>To</w:t>
      </w:r>
    </w:p>
    <w:p w14:paraId="65D509F2" w14:textId="77777777" w:rsidR="00A720EB" w:rsidRDefault="00A720EB">
      <w:pPr>
        <w:spacing w:line="297" w:lineRule="auto"/>
        <w:sectPr w:rsidR="00A720EB">
          <w:pgSz w:w="11910" w:h="16840"/>
          <w:pgMar w:top="620" w:right="840" w:bottom="520" w:left="840" w:header="0" w:footer="323" w:gutter="0"/>
          <w:cols w:space="720"/>
        </w:sectPr>
      </w:pPr>
    </w:p>
    <w:p w14:paraId="38EB68D3" w14:textId="77777777" w:rsidR="00A720EB" w:rsidRDefault="0030286B">
      <w:pPr>
        <w:pStyle w:val="a3"/>
        <w:spacing w:before="107" w:line="295" w:lineRule="auto"/>
        <w:ind w:left="124" w:right="122"/>
        <w:jc w:val="both"/>
      </w:pPr>
      <w:r>
        <w:rPr>
          <w:color w:val="333333"/>
          <w:w w:val="110"/>
        </w:rPr>
        <w:lastRenderedPageBreak/>
        <w:t>listen on a completely different network address (such as when you have an internal network for management</w:t>
      </w:r>
      <w:r>
        <w:rPr>
          <w:color w:val="333333"/>
          <w:spacing w:val="-9"/>
          <w:w w:val="110"/>
        </w:rPr>
        <w:t xml:space="preserve"> </w:t>
      </w:r>
      <w:r>
        <w:rPr>
          <w:color w:val="333333"/>
          <w:w w:val="110"/>
        </w:rPr>
        <w:t>and</w:t>
      </w:r>
      <w:r>
        <w:rPr>
          <w:color w:val="333333"/>
          <w:spacing w:val="-8"/>
          <w:w w:val="110"/>
        </w:rPr>
        <w:t xml:space="preserve"> </w:t>
      </w:r>
      <w:r>
        <w:rPr>
          <w:color w:val="333333"/>
          <w:w w:val="110"/>
        </w:rPr>
        <w:t>an</w:t>
      </w:r>
      <w:r>
        <w:rPr>
          <w:color w:val="333333"/>
          <w:spacing w:val="-8"/>
          <w:w w:val="110"/>
        </w:rPr>
        <w:t xml:space="preserve"> </w:t>
      </w:r>
      <w:r>
        <w:rPr>
          <w:color w:val="333333"/>
          <w:w w:val="110"/>
        </w:rPr>
        <w:t>external</w:t>
      </w:r>
      <w:r>
        <w:rPr>
          <w:color w:val="333333"/>
          <w:spacing w:val="-8"/>
          <w:w w:val="110"/>
        </w:rPr>
        <w:t xml:space="preserve"> </w:t>
      </w:r>
      <w:r>
        <w:rPr>
          <w:color w:val="333333"/>
          <w:w w:val="110"/>
        </w:rPr>
        <w:t>one</w:t>
      </w:r>
      <w:r>
        <w:rPr>
          <w:color w:val="333333"/>
          <w:spacing w:val="-8"/>
          <w:w w:val="110"/>
        </w:rPr>
        <w:t xml:space="preserve"> </w:t>
      </w:r>
      <w:r>
        <w:rPr>
          <w:color w:val="333333"/>
          <w:w w:val="110"/>
        </w:rPr>
        <w:t>for</w:t>
      </w:r>
      <w:r>
        <w:rPr>
          <w:color w:val="333333"/>
          <w:spacing w:val="-7"/>
          <w:w w:val="110"/>
        </w:rPr>
        <w:t xml:space="preserve"> </w:t>
      </w:r>
      <w:r>
        <w:rPr>
          <w:color w:val="333333"/>
          <w:w w:val="110"/>
        </w:rPr>
        <w:t>user</w:t>
      </w:r>
      <w:r>
        <w:rPr>
          <w:color w:val="333333"/>
          <w:spacing w:val="-9"/>
          <w:w w:val="110"/>
        </w:rPr>
        <w:t xml:space="preserve"> </w:t>
      </w:r>
      <w:r>
        <w:rPr>
          <w:color w:val="333333"/>
          <w:w w:val="110"/>
        </w:rPr>
        <w:t>applications),</w:t>
      </w:r>
      <w:r>
        <w:rPr>
          <w:color w:val="333333"/>
          <w:spacing w:val="-8"/>
          <w:w w:val="110"/>
        </w:rPr>
        <w:t xml:space="preserve"> </w:t>
      </w:r>
      <w:r>
        <w:rPr>
          <w:color w:val="333333"/>
          <w:w w:val="110"/>
        </w:rPr>
        <w:t>you</w:t>
      </w:r>
      <w:r>
        <w:rPr>
          <w:color w:val="333333"/>
          <w:spacing w:val="-8"/>
          <w:w w:val="110"/>
        </w:rPr>
        <w:t xml:space="preserve"> </w:t>
      </w:r>
      <w:r>
        <w:rPr>
          <w:color w:val="333333"/>
          <w:w w:val="110"/>
        </w:rPr>
        <w:t>can</w:t>
      </w:r>
      <w:r>
        <w:rPr>
          <w:color w:val="333333"/>
          <w:spacing w:val="-8"/>
          <w:w w:val="110"/>
        </w:rPr>
        <w:t xml:space="preserve"> </w:t>
      </w:r>
      <w:r>
        <w:rPr>
          <w:color w:val="333333"/>
          <w:w w:val="110"/>
        </w:rPr>
        <w:t>also</w:t>
      </w:r>
      <w:r>
        <w:rPr>
          <w:color w:val="333333"/>
          <w:spacing w:val="-8"/>
          <w:w w:val="110"/>
        </w:rPr>
        <w:t xml:space="preserve"> </w:t>
      </w:r>
      <w:r>
        <w:rPr>
          <w:color w:val="333333"/>
          <w:w w:val="110"/>
        </w:rPr>
        <w:t>set</w:t>
      </w:r>
      <w:r>
        <w:rPr>
          <w:color w:val="333333"/>
          <w:spacing w:val="1"/>
          <w:w w:val="110"/>
        </w:rPr>
        <w:t xml:space="preserve"> </w:t>
      </w:r>
      <w:proofErr w:type="gramStart"/>
      <w:r>
        <w:rPr>
          <w:rFonts w:ascii="MS Gothic"/>
          <w:color w:val="B02045"/>
          <w:w w:val="110"/>
        </w:rPr>
        <w:t>management.server</w:t>
      </w:r>
      <w:proofErr w:type="gramEnd"/>
      <w:r>
        <w:rPr>
          <w:rFonts w:ascii="MS Gothic"/>
          <w:color w:val="B02045"/>
          <w:w w:val="110"/>
        </w:rPr>
        <w:t xml:space="preserve">.address </w:t>
      </w:r>
      <w:r>
        <w:rPr>
          <w:color w:val="333333"/>
          <w:w w:val="110"/>
        </w:rPr>
        <w:t>to a valid IP address to which the server is able to</w:t>
      </w:r>
      <w:r>
        <w:rPr>
          <w:color w:val="333333"/>
          <w:spacing w:val="38"/>
          <w:w w:val="110"/>
        </w:rPr>
        <w:t xml:space="preserve"> </w:t>
      </w:r>
      <w:r>
        <w:rPr>
          <w:color w:val="333333"/>
          <w:w w:val="110"/>
        </w:rPr>
        <w:t>bind.</w:t>
      </w:r>
    </w:p>
    <w:p w14:paraId="3A212D4F" w14:textId="77777777" w:rsidR="00A720EB" w:rsidRDefault="0030286B">
      <w:pPr>
        <w:pStyle w:val="a3"/>
        <w:spacing w:before="239" w:line="290" w:lineRule="auto"/>
        <w:ind w:left="124" w:right="126"/>
        <w:jc w:val="both"/>
      </w:pPr>
      <w:r>
        <w:rPr>
          <w:color w:val="333333"/>
          <w:spacing w:val="-4"/>
          <w:w w:val="110"/>
        </w:rPr>
        <w:t>For</w:t>
      </w:r>
      <w:r>
        <w:rPr>
          <w:color w:val="333333"/>
          <w:spacing w:val="-12"/>
          <w:w w:val="110"/>
        </w:rPr>
        <w:t xml:space="preserve"> </w:t>
      </w:r>
      <w:r>
        <w:rPr>
          <w:color w:val="333333"/>
          <w:w w:val="110"/>
        </w:rPr>
        <w:t>more</w:t>
      </w:r>
      <w:r>
        <w:rPr>
          <w:color w:val="333333"/>
          <w:spacing w:val="-11"/>
          <w:w w:val="110"/>
        </w:rPr>
        <w:t xml:space="preserve"> </w:t>
      </w:r>
      <w:r>
        <w:rPr>
          <w:color w:val="333333"/>
          <w:w w:val="110"/>
        </w:rPr>
        <w:t>detail,</w:t>
      </w:r>
      <w:r>
        <w:rPr>
          <w:color w:val="333333"/>
          <w:spacing w:val="-12"/>
          <w:w w:val="110"/>
        </w:rPr>
        <w:t xml:space="preserve"> </w:t>
      </w:r>
      <w:r>
        <w:rPr>
          <w:color w:val="333333"/>
          <w:w w:val="110"/>
        </w:rPr>
        <w:t>see</w:t>
      </w:r>
      <w:r>
        <w:rPr>
          <w:color w:val="333333"/>
          <w:spacing w:val="-11"/>
          <w:w w:val="110"/>
        </w:rPr>
        <w:t xml:space="preserve"> </w:t>
      </w:r>
      <w:r>
        <w:rPr>
          <w:color w:val="333333"/>
          <w:w w:val="110"/>
        </w:rPr>
        <w:t>the</w:t>
      </w:r>
      <w:r>
        <w:rPr>
          <w:color w:val="333333"/>
          <w:spacing w:val="-10"/>
          <w:w w:val="110"/>
        </w:rPr>
        <w:t xml:space="preserve"> </w:t>
      </w:r>
      <w:hyperlink r:id="rId648">
        <w:r>
          <w:rPr>
            <w:rFonts w:ascii="MS Gothic" w:hAnsi="MS Gothic"/>
            <w:color w:val="B02045"/>
            <w:w w:val="110"/>
          </w:rPr>
          <w:t>ManagementServerProperties</w:t>
        </w:r>
        <w:r>
          <w:rPr>
            <w:rFonts w:ascii="MS Gothic" w:hAnsi="MS Gothic"/>
            <w:color w:val="B02045"/>
            <w:spacing w:val="-76"/>
            <w:w w:val="110"/>
          </w:rPr>
          <w:t xml:space="preserve"> </w:t>
        </w:r>
      </w:hyperlink>
      <w:r>
        <w:rPr>
          <w:color w:val="333333"/>
          <w:w w:val="110"/>
        </w:rPr>
        <w:t>source</w:t>
      </w:r>
      <w:r>
        <w:rPr>
          <w:color w:val="333333"/>
          <w:spacing w:val="-12"/>
          <w:w w:val="110"/>
        </w:rPr>
        <w:t xml:space="preserve"> </w:t>
      </w:r>
      <w:r>
        <w:rPr>
          <w:color w:val="333333"/>
          <w:w w:val="110"/>
        </w:rPr>
        <w:t>code</w:t>
      </w:r>
      <w:r>
        <w:rPr>
          <w:color w:val="333333"/>
          <w:spacing w:val="-11"/>
          <w:w w:val="110"/>
        </w:rPr>
        <w:t xml:space="preserve"> </w:t>
      </w:r>
      <w:r>
        <w:rPr>
          <w:color w:val="333333"/>
          <w:w w:val="110"/>
        </w:rPr>
        <w:t>and</w:t>
      </w:r>
      <w:r>
        <w:rPr>
          <w:color w:val="333333"/>
          <w:spacing w:val="-12"/>
          <w:w w:val="110"/>
        </w:rPr>
        <w:t xml:space="preserve"> </w:t>
      </w:r>
      <w:r>
        <w:rPr>
          <w:color w:val="333333"/>
          <w:w w:val="110"/>
        </w:rPr>
        <w:t>“</w:t>
      </w:r>
      <w:hyperlink w:anchor="_bookmark409" w:history="1">
        <w:r>
          <w:rPr>
            <w:color w:val="418BCA"/>
            <w:w w:val="110"/>
          </w:rPr>
          <w:t>Customizing</w:t>
        </w:r>
        <w:r>
          <w:rPr>
            <w:color w:val="418BCA"/>
            <w:spacing w:val="-12"/>
            <w:w w:val="110"/>
          </w:rPr>
          <w:t xml:space="preserve"> </w:t>
        </w:r>
        <w:r>
          <w:rPr>
            <w:color w:val="418BCA"/>
            <w:w w:val="110"/>
          </w:rPr>
          <w:t>the</w:t>
        </w:r>
        <w:r>
          <w:rPr>
            <w:color w:val="418BCA"/>
            <w:spacing w:val="-11"/>
            <w:w w:val="110"/>
          </w:rPr>
          <w:t xml:space="preserve"> </w:t>
        </w:r>
        <w:r>
          <w:rPr>
            <w:color w:val="418BCA"/>
            <w:w w:val="110"/>
          </w:rPr>
          <w:t>Management</w:t>
        </w:r>
      </w:hyperlink>
      <w:r>
        <w:rPr>
          <w:color w:val="418BCA"/>
          <w:w w:val="110"/>
        </w:rPr>
        <w:t xml:space="preserve"> </w:t>
      </w:r>
      <w:hyperlink w:anchor="_bookmark409" w:history="1">
        <w:r>
          <w:rPr>
            <w:color w:val="418BCA"/>
            <w:w w:val="110"/>
          </w:rPr>
          <w:t>Server Port</w:t>
        </w:r>
      </w:hyperlink>
      <w:r>
        <w:rPr>
          <w:color w:val="333333"/>
          <w:w w:val="110"/>
        </w:rPr>
        <w:t>” in the “Production-ready features”</w:t>
      </w:r>
      <w:r>
        <w:rPr>
          <w:color w:val="333333"/>
          <w:spacing w:val="20"/>
          <w:w w:val="110"/>
        </w:rPr>
        <w:t xml:space="preserve"> </w:t>
      </w:r>
      <w:r>
        <w:rPr>
          <w:color w:val="333333"/>
          <w:w w:val="110"/>
        </w:rPr>
        <w:t>section.</w:t>
      </w:r>
    </w:p>
    <w:p w14:paraId="25D4148E" w14:textId="77777777" w:rsidR="00A720EB" w:rsidRDefault="00A720EB">
      <w:pPr>
        <w:pStyle w:val="a3"/>
        <w:spacing w:before="3"/>
        <w:rPr>
          <w:sz w:val="27"/>
        </w:rPr>
      </w:pPr>
    </w:p>
    <w:p w14:paraId="542551CB" w14:textId="77777777" w:rsidR="00A720EB" w:rsidRDefault="0030286B">
      <w:pPr>
        <w:pStyle w:val="3"/>
        <w:numPr>
          <w:ilvl w:val="2"/>
          <w:numId w:val="13"/>
        </w:numPr>
        <w:tabs>
          <w:tab w:val="left" w:pos="1003"/>
        </w:tabs>
        <w:ind w:left="1002" w:hanging="879"/>
      </w:pPr>
      <w:bookmarkStart w:id="961" w:name="9.13.2._Customize_the_‘whitelabel’_Error"/>
      <w:bookmarkStart w:id="962" w:name="_Toc54424000"/>
      <w:bookmarkEnd w:id="961"/>
      <w:r>
        <w:rPr>
          <w:color w:val="333333"/>
          <w:w w:val="110"/>
        </w:rPr>
        <w:t>Customize the ‘whitelabel’ Error</w:t>
      </w:r>
      <w:r>
        <w:rPr>
          <w:color w:val="333333"/>
          <w:spacing w:val="-22"/>
          <w:w w:val="110"/>
        </w:rPr>
        <w:t xml:space="preserve"> </w:t>
      </w:r>
      <w:r>
        <w:rPr>
          <w:color w:val="333333"/>
          <w:w w:val="110"/>
        </w:rPr>
        <w:t>Page</w:t>
      </w:r>
      <w:bookmarkEnd w:id="962"/>
    </w:p>
    <w:p w14:paraId="36BFBA27" w14:textId="77777777" w:rsidR="00A720EB" w:rsidRDefault="0030286B">
      <w:pPr>
        <w:pStyle w:val="a3"/>
        <w:spacing w:before="254" w:line="307" w:lineRule="auto"/>
        <w:ind w:left="124" w:right="125"/>
        <w:jc w:val="both"/>
      </w:pPr>
      <w:r>
        <w:rPr>
          <w:color w:val="333333"/>
          <w:w w:val="110"/>
        </w:rPr>
        <w:t xml:space="preserve">Spring Boot installs a ‘whitelabel’ error page that you see in a browser client if you encounter a server error (machine clients consuming JSON and other media types should see </w:t>
      </w:r>
      <w:proofErr w:type="gramStart"/>
      <w:r>
        <w:rPr>
          <w:color w:val="333333"/>
          <w:w w:val="110"/>
        </w:rPr>
        <w:t>a  sensible</w:t>
      </w:r>
      <w:proofErr w:type="gramEnd"/>
      <w:r>
        <w:rPr>
          <w:color w:val="333333"/>
          <w:w w:val="110"/>
        </w:rPr>
        <w:t xml:space="preserve">   response with the right error</w:t>
      </w:r>
      <w:r>
        <w:rPr>
          <w:color w:val="333333"/>
          <w:spacing w:val="15"/>
          <w:w w:val="110"/>
        </w:rPr>
        <w:t xml:space="preserve"> </w:t>
      </w:r>
      <w:r>
        <w:rPr>
          <w:color w:val="333333"/>
          <w:w w:val="110"/>
        </w:rPr>
        <w:t>code).</w:t>
      </w:r>
    </w:p>
    <w:p w14:paraId="74554919" w14:textId="77777777" w:rsidR="00A720EB" w:rsidRDefault="00A720EB">
      <w:pPr>
        <w:pStyle w:val="a3"/>
        <w:spacing w:before="7"/>
        <w:rPr>
          <w:sz w:val="16"/>
        </w:rPr>
      </w:pPr>
    </w:p>
    <w:p w14:paraId="06E2499C" w14:textId="77777777" w:rsidR="00A720EB" w:rsidRDefault="00E10349">
      <w:pPr>
        <w:pStyle w:val="a3"/>
        <w:spacing w:before="116" w:line="302" w:lineRule="auto"/>
        <w:ind w:left="1564" w:right="365"/>
        <w:jc w:val="both"/>
      </w:pPr>
      <w:r>
        <w:pict w14:anchorId="6CCC754B">
          <v:line id="_x0000_s1298" style="position:absolute;left:0;text-align:left;z-index:16408576;mso-position-horizontal-relative:page" from="108.25pt,.35pt" to="108.25pt,71.45pt" strokecolor="#ededed" strokeweight=".5pt">
            <w10:wrap anchorx="page"/>
          </v:line>
        </w:pict>
      </w:r>
      <w:r w:rsidR="0030286B">
        <w:rPr>
          <w:noProof/>
        </w:rPr>
        <w:drawing>
          <wp:anchor distT="0" distB="0" distL="0" distR="0" simplePos="0" relativeHeight="16409088" behindDoc="0" locked="0" layoutInCell="1" allowOverlap="1" wp14:anchorId="7ABCA738" wp14:editId="3267FB9E">
            <wp:simplePos x="0" y="0"/>
            <wp:positionH relativeFrom="page">
              <wp:posOffset>844422</wp:posOffset>
            </wp:positionH>
            <wp:positionV relativeFrom="paragraph">
              <wp:posOffset>306654</wp:posOffset>
            </wp:positionV>
            <wp:extent cx="298450" cy="298450"/>
            <wp:effectExtent l="0" t="0" r="0" b="0"/>
            <wp:wrapNone/>
            <wp:docPr id="7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Set </w:t>
      </w:r>
      <w:proofErr w:type="gramStart"/>
      <w:r w:rsidR="0030286B">
        <w:rPr>
          <w:rFonts w:ascii="MS Gothic"/>
          <w:color w:val="B02045"/>
          <w:w w:val="110"/>
        </w:rPr>
        <w:t>server.error</w:t>
      </w:r>
      <w:proofErr w:type="gramEnd"/>
      <w:r w:rsidR="0030286B">
        <w:rPr>
          <w:rFonts w:ascii="MS Gothic"/>
          <w:color w:val="B02045"/>
          <w:w w:val="110"/>
        </w:rPr>
        <w:t xml:space="preserve">.whitelabel.enabled=false </w:t>
      </w:r>
      <w:r w:rsidR="0030286B">
        <w:rPr>
          <w:color w:val="333333"/>
          <w:w w:val="110"/>
        </w:rPr>
        <w:t xml:space="preserve">to switch the default error page off. Doing so restores the default of the servlet container that you are using. Note that Spring Boot still tries to resolve the error view, so you should probably add </w:t>
      </w:r>
      <w:proofErr w:type="gramStart"/>
      <w:r w:rsidR="0030286B">
        <w:rPr>
          <w:color w:val="333333"/>
          <w:w w:val="110"/>
        </w:rPr>
        <w:t>your  own</w:t>
      </w:r>
      <w:proofErr w:type="gramEnd"/>
      <w:r w:rsidR="0030286B">
        <w:rPr>
          <w:color w:val="333333"/>
          <w:w w:val="110"/>
        </w:rPr>
        <w:t xml:space="preserve"> error page rather than disabling it completely.</w:t>
      </w:r>
    </w:p>
    <w:p w14:paraId="322E8D29" w14:textId="77777777" w:rsidR="00A720EB" w:rsidRDefault="00A720EB">
      <w:pPr>
        <w:pStyle w:val="a3"/>
        <w:spacing w:before="11"/>
        <w:rPr>
          <w:sz w:val="16"/>
        </w:rPr>
      </w:pPr>
    </w:p>
    <w:p w14:paraId="3EEA2D2B" w14:textId="77777777" w:rsidR="00A720EB" w:rsidRDefault="0030286B">
      <w:pPr>
        <w:pStyle w:val="a3"/>
        <w:spacing w:before="125" w:line="285" w:lineRule="auto"/>
        <w:ind w:left="124" w:right="122"/>
        <w:jc w:val="both"/>
      </w:pPr>
      <w:r>
        <w:rPr>
          <w:color w:val="333333"/>
          <w:w w:val="110"/>
        </w:rPr>
        <w:t xml:space="preserve">Overriding the error page with your own depends on the templating technology that you use. </w:t>
      </w:r>
      <w:r>
        <w:rPr>
          <w:color w:val="333333"/>
          <w:spacing w:val="-4"/>
          <w:w w:val="110"/>
        </w:rPr>
        <w:t xml:space="preserve">For </w:t>
      </w:r>
      <w:r>
        <w:rPr>
          <w:color w:val="333333"/>
          <w:w w:val="110"/>
        </w:rPr>
        <w:t xml:space="preserve">example, if you use Thymeleaf, you can add an </w:t>
      </w:r>
      <w:r>
        <w:rPr>
          <w:rFonts w:ascii="MS Gothic"/>
          <w:color w:val="B02045"/>
          <w:w w:val="110"/>
        </w:rPr>
        <w:t xml:space="preserve">error.html </w:t>
      </w:r>
      <w:r>
        <w:rPr>
          <w:color w:val="333333"/>
          <w:w w:val="110"/>
        </w:rPr>
        <w:t xml:space="preserve">template. If you use FreeMarker, you can add an </w:t>
      </w:r>
      <w:proofErr w:type="gramStart"/>
      <w:r>
        <w:rPr>
          <w:rFonts w:ascii="MS Gothic"/>
          <w:color w:val="B02045"/>
          <w:w w:val="110"/>
        </w:rPr>
        <w:t>error.ftlh</w:t>
      </w:r>
      <w:proofErr w:type="gramEnd"/>
      <w:r>
        <w:rPr>
          <w:rFonts w:ascii="MS Gothic"/>
          <w:color w:val="B02045"/>
          <w:w w:val="110"/>
        </w:rPr>
        <w:t xml:space="preserve"> </w:t>
      </w:r>
      <w:r>
        <w:rPr>
          <w:color w:val="333333"/>
          <w:w w:val="110"/>
        </w:rPr>
        <w:t xml:space="preserve">template. In general, you need a </w:t>
      </w:r>
      <w:r>
        <w:rPr>
          <w:rFonts w:ascii="MS Gothic"/>
          <w:color w:val="B02045"/>
          <w:w w:val="110"/>
        </w:rPr>
        <w:t xml:space="preserve">View </w:t>
      </w:r>
      <w:r>
        <w:rPr>
          <w:color w:val="333333"/>
          <w:w w:val="110"/>
        </w:rPr>
        <w:t xml:space="preserve">that resolves with a name of </w:t>
      </w:r>
      <w:r>
        <w:rPr>
          <w:rFonts w:ascii="MS Gothic"/>
          <w:color w:val="B02045"/>
          <w:w w:val="110"/>
        </w:rPr>
        <w:t xml:space="preserve">error </w:t>
      </w:r>
      <w:r>
        <w:rPr>
          <w:color w:val="333333"/>
          <w:w w:val="110"/>
        </w:rPr>
        <w:t xml:space="preserve">or a </w:t>
      </w:r>
      <w:r>
        <w:rPr>
          <w:rFonts w:ascii="MS Gothic"/>
          <w:color w:val="B02045"/>
          <w:w w:val="110"/>
        </w:rPr>
        <w:t xml:space="preserve">@Controller </w:t>
      </w:r>
      <w:r>
        <w:rPr>
          <w:color w:val="333333"/>
          <w:w w:val="110"/>
        </w:rPr>
        <w:t xml:space="preserve">that handles the </w:t>
      </w:r>
      <w:r>
        <w:rPr>
          <w:rFonts w:ascii="MS Gothic"/>
          <w:color w:val="B02045"/>
          <w:w w:val="110"/>
        </w:rPr>
        <w:t xml:space="preserve">/error </w:t>
      </w:r>
      <w:r>
        <w:rPr>
          <w:color w:val="333333"/>
          <w:w w:val="110"/>
        </w:rPr>
        <w:t>path. Unless you replaced some of the default configuration, you</w:t>
      </w:r>
      <w:r>
        <w:rPr>
          <w:color w:val="333333"/>
          <w:spacing w:val="-9"/>
          <w:w w:val="110"/>
        </w:rPr>
        <w:t xml:space="preserve"> </w:t>
      </w:r>
      <w:r>
        <w:rPr>
          <w:color w:val="333333"/>
          <w:w w:val="110"/>
        </w:rPr>
        <w:t>should</w:t>
      </w:r>
      <w:r>
        <w:rPr>
          <w:color w:val="333333"/>
          <w:spacing w:val="-9"/>
          <w:w w:val="110"/>
        </w:rPr>
        <w:t xml:space="preserve"> </w:t>
      </w:r>
      <w:r>
        <w:rPr>
          <w:color w:val="333333"/>
          <w:w w:val="110"/>
        </w:rPr>
        <w:t>find</w:t>
      </w:r>
      <w:r>
        <w:rPr>
          <w:color w:val="333333"/>
          <w:spacing w:val="-8"/>
          <w:w w:val="110"/>
        </w:rPr>
        <w:t xml:space="preserve"> </w:t>
      </w:r>
      <w:r>
        <w:rPr>
          <w:color w:val="333333"/>
          <w:w w:val="110"/>
        </w:rPr>
        <w:t>a</w:t>
      </w:r>
      <w:r>
        <w:rPr>
          <w:color w:val="333333"/>
          <w:spacing w:val="-8"/>
          <w:w w:val="110"/>
        </w:rPr>
        <w:t xml:space="preserve"> </w:t>
      </w:r>
      <w:r>
        <w:rPr>
          <w:rFonts w:ascii="MS Gothic"/>
          <w:color w:val="B02045"/>
          <w:w w:val="110"/>
        </w:rPr>
        <w:t>BeanNameViewResolver</w:t>
      </w:r>
      <w:r>
        <w:rPr>
          <w:rFonts w:ascii="MS Gothic"/>
          <w:color w:val="B02045"/>
          <w:spacing w:val="-73"/>
          <w:w w:val="110"/>
        </w:rPr>
        <w:t xml:space="preserve"> </w:t>
      </w:r>
      <w:r>
        <w:rPr>
          <w:color w:val="333333"/>
          <w:w w:val="110"/>
        </w:rPr>
        <w:t>in</w:t>
      </w:r>
      <w:r>
        <w:rPr>
          <w:color w:val="333333"/>
          <w:spacing w:val="-9"/>
          <w:w w:val="110"/>
        </w:rPr>
        <w:t xml:space="preserve"> </w:t>
      </w:r>
      <w:r>
        <w:rPr>
          <w:color w:val="333333"/>
          <w:w w:val="110"/>
        </w:rPr>
        <w:t>your</w:t>
      </w:r>
      <w:r>
        <w:rPr>
          <w:color w:val="333333"/>
          <w:spacing w:val="-7"/>
          <w:w w:val="110"/>
        </w:rPr>
        <w:t xml:space="preserve"> </w:t>
      </w:r>
      <w:r>
        <w:rPr>
          <w:rFonts w:ascii="MS Gothic"/>
          <w:color w:val="B02045"/>
          <w:w w:val="110"/>
        </w:rPr>
        <w:t>ApplicationContext</w:t>
      </w:r>
      <w:r>
        <w:rPr>
          <w:color w:val="333333"/>
          <w:w w:val="110"/>
        </w:rPr>
        <w:t>,</w:t>
      </w:r>
      <w:r>
        <w:rPr>
          <w:color w:val="333333"/>
          <w:spacing w:val="-8"/>
          <w:w w:val="110"/>
        </w:rPr>
        <w:t xml:space="preserve"> </w:t>
      </w:r>
      <w:r>
        <w:rPr>
          <w:color w:val="333333"/>
          <w:w w:val="110"/>
        </w:rPr>
        <w:t>so</w:t>
      </w:r>
      <w:r>
        <w:rPr>
          <w:color w:val="333333"/>
          <w:spacing w:val="-9"/>
          <w:w w:val="110"/>
        </w:rPr>
        <w:t xml:space="preserve"> </w:t>
      </w:r>
      <w:r>
        <w:rPr>
          <w:color w:val="333333"/>
          <w:w w:val="110"/>
        </w:rPr>
        <w:t>a</w:t>
      </w:r>
      <w:r>
        <w:rPr>
          <w:color w:val="333333"/>
          <w:spacing w:val="-9"/>
          <w:w w:val="110"/>
        </w:rPr>
        <w:t xml:space="preserve"> </w:t>
      </w:r>
      <w:r>
        <w:rPr>
          <w:rFonts w:ascii="MS Gothic"/>
          <w:color w:val="B02045"/>
          <w:w w:val="110"/>
        </w:rPr>
        <w:t>@Bean</w:t>
      </w:r>
      <w:r>
        <w:rPr>
          <w:rFonts w:ascii="MS Gothic"/>
          <w:color w:val="B02045"/>
          <w:spacing w:val="-72"/>
          <w:w w:val="110"/>
        </w:rPr>
        <w:t xml:space="preserve"> </w:t>
      </w:r>
      <w:r>
        <w:rPr>
          <w:color w:val="333333"/>
          <w:w w:val="110"/>
        </w:rPr>
        <w:t>named</w:t>
      </w:r>
      <w:r>
        <w:rPr>
          <w:color w:val="333333"/>
          <w:spacing w:val="-9"/>
          <w:w w:val="110"/>
        </w:rPr>
        <w:t xml:space="preserve"> </w:t>
      </w:r>
      <w:r>
        <w:rPr>
          <w:rFonts w:ascii="MS Gothic"/>
          <w:color w:val="B02045"/>
          <w:w w:val="110"/>
        </w:rPr>
        <w:t>error</w:t>
      </w:r>
      <w:r>
        <w:rPr>
          <w:rFonts w:ascii="MS Gothic"/>
          <w:color w:val="B02045"/>
          <w:spacing w:val="-73"/>
          <w:w w:val="110"/>
        </w:rPr>
        <w:t xml:space="preserve"> </w:t>
      </w:r>
      <w:r>
        <w:rPr>
          <w:color w:val="333333"/>
          <w:w w:val="110"/>
        </w:rPr>
        <w:t xml:space="preserve">would be one way of doing that. See </w:t>
      </w:r>
      <w:hyperlink r:id="rId649">
        <w:r>
          <w:rPr>
            <w:rFonts w:ascii="MS Gothic"/>
            <w:color w:val="B02045"/>
            <w:w w:val="110"/>
          </w:rPr>
          <w:t>ErrorMvcAutoConfiguration</w:t>
        </w:r>
        <w:r>
          <w:rPr>
            <w:rFonts w:ascii="MS Gothic"/>
            <w:color w:val="B02045"/>
            <w:spacing w:val="-74"/>
            <w:w w:val="110"/>
          </w:rPr>
          <w:t xml:space="preserve"> </w:t>
        </w:r>
      </w:hyperlink>
      <w:r>
        <w:rPr>
          <w:color w:val="333333"/>
          <w:w w:val="110"/>
        </w:rPr>
        <w:t>for more options.</w:t>
      </w:r>
    </w:p>
    <w:p w14:paraId="38D3AB34" w14:textId="77777777" w:rsidR="00A720EB" w:rsidRDefault="0030286B">
      <w:pPr>
        <w:pStyle w:val="a3"/>
        <w:spacing w:before="240" w:line="307" w:lineRule="auto"/>
        <w:ind w:left="124" w:right="127"/>
        <w:jc w:val="both"/>
      </w:pPr>
      <w:r>
        <w:rPr>
          <w:color w:val="333333"/>
          <w:w w:val="110"/>
        </w:rPr>
        <w:t>See also the section on “</w:t>
      </w:r>
      <w:hyperlink w:anchor="_bookmark158" w:history="1">
        <w:r>
          <w:rPr>
            <w:color w:val="418BCA"/>
            <w:w w:val="110"/>
          </w:rPr>
          <w:t>Error Handling</w:t>
        </w:r>
      </w:hyperlink>
      <w:r>
        <w:rPr>
          <w:color w:val="333333"/>
          <w:w w:val="110"/>
        </w:rPr>
        <w:t>” for details of how to register handlers in the servlet container.</w:t>
      </w:r>
    </w:p>
    <w:p w14:paraId="2B5BC8E7" w14:textId="77777777" w:rsidR="00A720EB" w:rsidRDefault="00A720EB">
      <w:pPr>
        <w:pStyle w:val="a3"/>
        <w:spacing w:before="8"/>
        <w:rPr>
          <w:sz w:val="25"/>
        </w:rPr>
      </w:pPr>
    </w:p>
    <w:p w14:paraId="7B3705AE" w14:textId="77777777" w:rsidR="00A720EB" w:rsidRDefault="0030286B">
      <w:pPr>
        <w:pStyle w:val="3"/>
        <w:numPr>
          <w:ilvl w:val="2"/>
          <w:numId w:val="13"/>
        </w:numPr>
        <w:tabs>
          <w:tab w:val="left" w:pos="1003"/>
        </w:tabs>
        <w:ind w:left="1002" w:hanging="879"/>
      </w:pPr>
      <w:bookmarkStart w:id="963" w:name="9.13.3._Sanitize_Sensitive_Values"/>
      <w:bookmarkStart w:id="964" w:name="_Toc54424001"/>
      <w:bookmarkEnd w:id="963"/>
      <w:r>
        <w:rPr>
          <w:color w:val="333333"/>
          <w:w w:val="110"/>
        </w:rPr>
        <w:t>Sanitize Sensitive</w:t>
      </w:r>
      <w:r>
        <w:rPr>
          <w:color w:val="333333"/>
          <w:spacing w:val="-13"/>
          <w:w w:val="110"/>
        </w:rPr>
        <w:t xml:space="preserve"> </w:t>
      </w:r>
      <w:r>
        <w:rPr>
          <w:color w:val="333333"/>
          <w:spacing w:val="-4"/>
          <w:w w:val="110"/>
        </w:rPr>
        <w:t>Values</w:t>
      </w:r>
      <w:bookmarkEnd w:id="964"/>
    </w:p>
    <w:p w14:paraId="08E1D428" w14:textId="77777777" w:rsidR="00A720EB" w:rsidRDefault="0030286B">
      <w:pPr>
        <w:pStyle w:val="a3"/>
        <w:spacing w:before="244" w:line="280" w:lineRule="auto"/>
        <w:ind w:left="124" w:right="123"/>
        <w:jc w:val="both"/>
      </w:pPr>
      <w:r>
        <w:rPr>
          <w:color w:val="333333"/>
          <w:w w:val="110"/>
        </w:rPr>
        <w:t xml:space="preserve">Information returned by the </w:t>
      </w:r>
      <w:r>
        <w:rPr>
          <w:rFonts w:ascii="MS Gothic"/>
          <w:color w:val="B02045"/>
          <w:w w:val="110"/>
        </w:rPr>
        <w:t xml:space="preserve">env </w:t>
      </w:r>
      <w:r>
        <w:rPr>
          <w:color w:val="333333"/>
          <w:w w:val="110"/>
        </w:rPr>
        <w:t xml:space="preserve">and </w:t>
      </w:r>
      <w:r>
        <w:rPr>
          <w:rFonts w:ascii="MS Gothic"/>
          <w:color w:val="B02045"/>
          <w:w w:val="110"/>
        </w:rPr>
        <w:t xml:space="preserve">configprops </w:t>
      </w:r>
      <w:r>
        <w:rPr>
          <w:color w:val="333333"/>
          <w:w w:val="110"/>
        </w:rPr>
        <w:t xml:space="preserve">endpoints can be somewhat sensitive so </w:t>
      </w:r>
      <w:proofErr w:type="gramStart"/>
      <w:r>
        <w:rPr>
          <w:color w:val="333333"/>
          <w:w w:val="110"/>
        </w:rPr>
        <w:t>keys  matching</w:t>
      </w:r>
      <w:proofErr w:type="gramEnd"/>
      <w:r>
        <w:rPr>
          <w:color w:val="333333"/>
          <w:w w:val="110"/>
        </w:rPr>
        <w:t xml:space="preserve"> a certain pattern are sanitized by default (i.e. their values are replaced by </w:t>
      </w:r>
      <w:r>
        <w:rPr>
          <w:rFonts w:ascii="MS Gothic"/>
          <w:color w:val="B02045"/>
          <w:w w:val="110"/>
        </w:rPr>
        <w:t>******</w:t>
      </w:r>
      <w:r>
        <w:rPr>
          <w:color w:val="333333"/>
          <w:w w:val="110"/>
        </w:rPr>
        <w:t>).</w:t>
      </w:r>
    </w:p>
    <w:p w14:paraId="5A94C464" w14:textId="77777777" w:rsidR="00A720EB" w:rsidRDefault="0030286B">
      <w:pPr>
        <w:pStyle w:val="a3"/>
        <w:spacing w:before="241"/>
        <w:ind w:left="124"/>
        <w:jc w:val="both"/>
      </w:pPr>
      <w:r>
        <w:rPr>
          <w:color w:val="333333"/>
          <w:w w:val="110"/>
        </w:rPr>
        <w:t xml:space="preserve">The patterns to use can be customized using the </w:t>
      </w:r>
      <w:proofErr w:type="gramStart"/>
      <w:r>
        <w:rPr>
          <w:rFonts w:ascii="MS Gothic"/>
          <w:color w:val="B02045"/>
          <w:w w:val="110"/>
        </w:rPr>
        <w:t>management.endpoint.env.keys</w:t>
      </w:r>
      <w:proofErr w:type="gramEnd"/>
      <w:r>
        <w:rPr>
          <w:rFonts w:ascii="MS Gothic"/>
          <w:color w:val="B02045"/>
          <w:w w:val="110"/>
        </w:rPr>
        <w:t>-to-sanitize</w:t>
      </w:r>
      <w:r>
        <w:rPr>
          <w:rFonts w:ascii="MS Gothic"/>
          <w:color w:val="B02045"/>
          <w:spacing w:val="68"/>
          <w:w w:val="110"/>
        </w:rPr>
        <w:t xml:space="preserve"> </w:t>
      </w:r>
      <w:r>
        <w:rPr>
          <w:color w:val="333333"/>
          <w:w w:val="110"/>
        </w:rPr>
        <w:t>and</w:t>
      </w:r>
    </w:p>
    <w:p w14:paraId="183F2392" w14:textId="77777777" w:rsidR="00A720EB" w:rsidRDefault="0030286B">
      <w:pPr>
        <w:pStyle w:val="a3"/>
        <w:spacing w:before="47"/>
        <w:ind w:left="124"/>
      </w:pPr>
      <w:proofErr w:type="gramStart"/>
      <w:r>
        <w:rPr>
          <w:rFonts w:ascii="MS Gothic"/>
          <w:color w:val="B02045"/>
          <w:w w:val="105"/>
        </w:rPr>
        <w:t>management.endpoint</w:t>
      </w:r>
      <w:proofErr w:type="gramEnd"/>
      <w:r>
        <w:rPr>
          <w:rFonts w:ascii="MS Gothic"/>
          <w:color w:val="B02045"/>
          <w:w w:val="105"/>
        </w:rPr>
        <w:t>.configprops.keys-to-sanitize</w:t>
      </w:r>
      <w:r>
        <w:rPr>
          <w:rFonts w:ascii="MS Gothic"/>
          <w:color w:val="B02045"/>
          <w:spacing w:val="-59"/>
          <w:w w:val="105"/>
        </w:rPr>
        <w:t xml:space="preserve"> </w:t>
      </w:r>
      <w:r>
        <w:rPr>
          <w:color w:val="333333"/>
          <w:spacing w:val="-3"/>
          <w:w w:val="105"/>
        </w:rPr>
        <w:t>respectively.</w:t>
      </w:r>
    </w:p>
    <w:p w14:paraId="49445974" w14:textId="77777777" w:rsidR="00A720EB" w:rsidRDefault="00A720EB">
      <w:pPr>
        <w:pStyle w:val="a3"/>
        <w:spacing w:before="4"/>
        <w:rPr>
          <w:sz w:val="25"/>
        </w:rPr>
      </w:pPr>
    </w:p>
    <w:p w14:paraId="5E288092" w14:textId="77777777" w:rsidR="00A720EB" w:rsidRDefault="0030286B">
      <w:pPr>
        <w:pStyle w:val="a3"/>
        <w:spacing w:line="302" w:lineRule="auto"/>
        <w:ind w:left="124" w:right="123"/>
        <w:jc w:val="both"/>
      </w:pPr>
      <w:r>
        <w:rPr>
          <w:color w:val="333333"/>
          <w:w w:val="110"/>
        </w:rPr>
        <w:t>Spring Boot uses sensible defaults for such keys: any key ending with the word "password", "secret", "key", "token", "vcap_services", "</w:t>
      </w:r>
      <w:proofErr w:type="gramStart"/>
      <w:r>
        <w:rPr>
          <w:color w:val="333333"/>
          <w:w w:val="110"/>
        </w:rPr>
        <w:t>sun.java.command</w:t>
      </w:r>
      <w:proofErr w:type="gramEnd"/>
      <w:r>
        <w:rPr>
          <w:color w:val="333333"/>
          <w:w w:val="110"/>
        </w:rPr>
        <w:t xml:space="preserve">" is entirely sanitized. Additionally, any key that holds the word </w:t>
      </w:r>
      <w:r>
        <w:rPr>
          <w:rFonts w:ascii="MS Gothic"/>
          <w:color w:val="B02045"/>
          <w:w w:val="110"/>
        </w:rPr>
        <w:t xml:space="preserve">credentials </w:t>
      </w:r>
      <w:r>
        <w:rPr>
          <w:color w:val="333333"/>
          <w:w w:val="110"/>
        </w:rPr>
        <w:t>as part of the key is sanitized (configured as a regular expression, i.e.</w:t>
      </w:r>
    </w:p>
    <w:p w14:paraId="52D93B2D" w14:textId="77777777" w:rsidR="00A720EB" w:rsidRDefault="0030286B">
      <w:pPr>
        <w:pStyle w:val="a3"/>
        <w:spacing w:line="246" w:lineRule="exact"/>
        <w:ind w:left="124"/>
      </w:pPr>
      <w:r>
        <w:rPr>
          <w:rFonts w:ascii="MS Gothic"/>
          <w:color w:val="B02045"/>
        </w:rPr>
        <w:t>*</w:t>
      </w:r>
      <w:proofErr w:type="gramStart"/>
      <w:r>
        <w:rPr>
          <w:rFonts w:ascii="MS Gothic"/>
          <w:color w:val="B02045"/>
        </w:rPr>
        <w:t>credentials.*</w:t>
      </w:r>
      <w:proofErr w:type="gramEnd"/>
      <w:r>
        <w:rPr>
          <w:color w:val="333333"/>
        </w:rPr>
        <w:t>).</w:t>
      </w:r>
    </w:p>
    <w:p w14:paraId="72C01AE4" w14:textId="77777777" w:rsidR="00A720EB" w:rsidRDefault="00A720EB">
      <w:pPr>
        <w:pStyle w:val="a3"/>
        <w:spacing w:before="4"/>
        <w:rPr>
          <w:sz w:val="25"/>
        </w:rPr>
      </w:pPr>
    </w:p>
    <w:p w14:paraId="4ED48C19" w14:textId="77777777" w:rsidR="00A720EB" w:rsidRDefault="0030286B">
      <w:pPr>
        <w:pStyle w:val="a3"/>
        <w:spacing w:line="307" w:lineRule="auto"/>
        <w:ind w:left="124" w:right="130"/>
        <w:jc w:val="both"/>
      </w:pPr>
      <w:r>
        <w:rPr>
          <w:color w:val="333333"/>
          <w:w w:val="110"/>
        </w:rPr>
        <w:t>Furthermore, Spring Boot only sanitizes the sensitive portion of URIs for keys which end with "uri", "uris", "address", or "addresses". The sensitive portion of the URI is identified using the format</w:t>
      </w:r>
    </w:p>
    <w:p w14:paraId="4B0F6AE1" w14:textId="77777777" w:rsidR="00A720EB" w:rsidRDefault="0030286B">
      <w:pPr>
        <w:pStyle w:val="a3"/>
        <w:spacing w:line="280" w:lineRule="auto"/>
        <w:ind w:left="124" w:right="122"/>
        <w:jc w:val="both"/>
      </w:pPr>
      <w:r>
        <w:rPr>
          <w:rFonts w:ascii="MS Gothic"/>
          <w:color w:val="B02045"/>
          <w:w w:val="105"/>
        </w:rPr>
        <w:t>&lt;scheme&gt;://&lt;username&gt;:&lt;password&gt;@&lt;host&gt;:&lt;port&gt;/</w:t>
      </w:r>
      <w:r>
        <w:rPr>
          <w:color w:val="333333"/>
          <w:w w:val="105"/>
        </w:rPr>
        <w:t xml:space="preserve">. For example, for the property </w:t>
      </w:r>
      <w:r>
        <w:rPr>
          <w:rFonts w:ascii="MS Gothic"/>
          <w:color w:val="B02045"/>
          <w:w w:val="105"/>
        </w:rPr>
        <w:t>myclient.uri=http://user1:password1@localhost:8081</w:t>
      </w:r>
      <w:r>
        <w:rPr>
          <w:color w:val="333333"/>
          <w:w w:val="105"/>
        </w:rPr>
        <w:t xml:space="preserve">, the resulting sanitized value is </w:t>
      </w:r>
      <w:hyperlink r:id="rId650">
        <w:r>
          <w:rPr>
            <w:rFonts w:ascii="MS Gothic"/>
            <w:color w:val="B02045"/>
            <w:w w:val="105"/>
          </w:rPr>
          <w:t>http://user1:******@localhost:8081</w:t>
        </w:r>
      </w:hyperlink>
      <w:r>
        <w:rPr>
          <w:color w:val="333333"/>
          <w:w w:val="105"/>
        </w:rPr>
        <w:t>.</w:t>
      </w:r>
    </w:p>
    <w:p w14:paraId="298424BD" w14:textId="77777777" w:rsidR="00A720EB" w:rsidRDefault="00A720EB">
      <w:pPr>
        <w:spacing w:line="280" w:lineRule="auto"/>
        <w:jc w:val="both"/>
        <w:sectPr w:rsidR="00A720EB">
          <w:pgSz w:w="11910" w:h="16840"/>
          <w:pgMar w:top="620" w:right="840" w:bottom="520" w:left="840" w:header="0" w:footer="323" w:gutter="0"/>
          <w:cols w:space="720"/>
        </w:sectPr>
      </w:pPr>
    </w:p>
    <w:p w14:paraId="4D8228D2" w14:textId="77777777" w:rsidR="00A720EB" w:rsidRDefault="0030286B">
      <w:pPr>
        <w:pStyle w:val="3"/>
        <w:numPr>
          <w:ilvl w:val="2"/>
          <w:numId w:val="13"/>
        </w:numPr>
        <w:tabs>
          <w:tab w:val="left" w:pos="1003"/>
        </w:tabs>
        <w:spacing w:before="87"/>
        <w:ind w:left="1002" w:hanging="879"/>
      </w:pPr>
      <w:bookmarkStart w:id="965" w:name="9.13.4._Map_Health_Indicators_to_Microme"/>
      <w:bookmarkStart w:id="966" w:name="_Toc54424002"/>
      <w:bookmarkEnd w:id="965"/>
      <w:r>
        <w:rPr>
          <w:color w:val="333333"/>
          <w:w w:val="110"/>
        </w:rPr>
        <w:lastRenderedPageBreak/>
        <w:t>Map Health Indicators to Micrometer</w:t>
      </w:r>
      <w:r>
        <w:rPr>
          <w:color w:val="333333"/>
          <w:spacing w:val="-23"/>
          <w:w w:val="110"/>
        </w:rPr>
        <w:t xml:space="preserve"> </w:t>
      </w:r>
      <w:r>
        <w:rPr>
          <w:color w:val="333333"/>
          <w:w w:val="110"/>
        </w:rPr>
        <w:t>Metrics</w:t>
      </w:r>
      <w:bookmarkEnd w:id="966"/>
    </w:p>
    <w:p w14:paraId="1564E90B" w14:textId="77777777" w:rsidR="00A720EB" w:rsidRDefault="0030286B">
      <w:pPr>
        <w:pStyle w:val="a3"/>
        <w:spacing w:before="243" w:line="300" w:lineRule="auto"/>
        <w:ind w:left="124" w:right="128"/>
        <w:jc w:val="both"/>
      </w:pPr>
      <w:r>
        <w:rPr>
          <w:color w:val="333333"/>
          <w:w w:val="110"/>
        </w:rPr>
        <w:t xml:space="preserve">Spring Boot health indicators return a </w:t>
      </w:r>
      <w:r>
        <w:rPr>
          <w:rFonts w:ascii="MS Gothic" w:hAnsi="MS Gothic"/>
          <w:color w:val="B02045"/>
          <w:w w:val="110"/>
        </w:rPr>
        <w:t xml:space="preserve">Status </w:t>
      </w:r>
      <w:r>
        <w:rPr>
          <w:color w:val="333333"/>
          <w:w w:val="110"/>
        </w:rPr>
        <w:t xml:space="preserve">type to indicate the overall system health. If you want to monitor or alert on levels of health for a particular application, you can export these statuses as metrics via Micrometer. </w:t>
      </w:r>
      <w:r>
        <w:rPr>
          <w:color w:val="333333"/>
          <w:spacing w:val="-3"/>
          <w:w w:val="110"/>
        </w:rPr>
        <w:t xml:space="preserve">By </w:t>
      </w:r>
      <w:r>
        <w:rPr>
          <w:color w:val="333333"/>
          <w:w w:val="110"/>
        </w:rPr>
        <w:t xml:space="preserve">default, the status codes “UP”, “DOWN”, “OUT_OF_SERVICE” </w:t>
      </w:r>
      <w:proofErr w:type="gramStart"/>
      <w:r>
        <w:rPr>
          <w:color w:val="333333"/>
          <w:w w:val="110"/>
        </w:rPr>
        <w:t>and  “</w:t>
      </w:r>
      <w:proofErr w:type="gramEnd"/>
      <w:r>
        <w:rPr>
          <w:color w:val="333333"/>
          <w:w w:val="110"/>
        </w:rPr>
        <w:t xml:space="preserve">UNKNOWN” are used </w:t>
      </w:r>
      <w:r>
        <w:rPr>
          <w:color w:val="333333"/>
          <w:spacing w:val="-3"/>
          <w:w w:val="110"/>
        </w:rPr>
        <w:t xml:space="preserve">by </w:t>
      </w:r>
      <w:r>
        <w:rPr>
          <w:color w:val="333333"/>
          <w:w w:val="110"/>
        </w:rPr>
        <w:t xml:space="preserve">Spring Boot. </w:t>
      </w:r>
      <w:proofErr w:type="gramStart"/>
      <w:r>
        <w:rPr>
          <w:color w:val="333333"/>
          <w:spacing w:val="-4"/>
          <w:w w:val="110"/>
        </w:rPr>
        <w:t xml:space="preserve">To  </w:t>
      </w:r>
      <w:r>
        <w:rPr>
          <w:color w:val="333333"/>
          <w:w w:val="110"/>
        </w:rPr>
        <w:t>export</w:t>
      </w:r>
      <w:proofErr w:type="gramEnd"/>
      <w:r>
        <w:rPr>
          <w:color w:val="333333"/>
          <w:w w:val="110"/>
        </w:rPr>
        <w:t xml:space="preserve"> these, you’ll need to convert these states to some  set of numbers so that they can be used with a Micrometer</w:t>
      </w:r>
      <w:r>
        <w:rPr>
          <w:color w:val="333333"/>
          <w:spacing w:val="39"/>
          <w:w w:val="110"/>
        </w:rPr>
        <w:t xml:space="preserve"> </w:t>
      </w:r>
      <w:r>
        <w:rPr>
          <w:rFonts w:ascii="MS Gothic" w:hAnsi="MS Gothic"/>
          <w:color w:val="B02045"/>
          <w:w w:val="110"/>
        </w:rPr>
        <w:t>Gauge</w:t>
      </w:r>
      <w:r>
        <w:rPr>
          <w:color w:val="333333"/>
          <w:w w:val="110"/>
        </w:rPr>
        <w:t>.</w:t>
      </w:r>
    </w:p>
    <w:p w14:paraId="5B4CFBEC" w14:textId="77777777" w:rsidR="00A720EB" w:rsidRDefault="0030286B">
      <w:pPr>
        <w:pStyle w:val="a3"/>
        <w:spacing w:before="233"/>
        <w:ind w:left="124"/>
        <w:jc w:val="both"/>
      </w:pPr>
      <w:r>
        <w:rPr>
          <w:color w:val="333333"/>
          <w:w w:val="110"/>
        </w:rPr>
        <w:t>The</w:t>
      </w:r>
      <w:r>
        <w:rPr>
          <w:color w:val="333333"/>
          <w:spacing w:val="5"/>
          <w:w w:val="110"/>
        </w:rPr>
        <w:t xml:space="preserve"> </w:t>
      </w:r>
      <w:r>
        <w:rPr>
          <w:color w:val="333333"/>
          <w:w w:val="110"/>
        </w:rPr>
        <w:t>following</w:t>
      </w:r>
      <w:r>
        <w:rPr>
          <w:color w:val="333333"/>
          <w:spacing w:val="7"/>
          <w:w w:val="110"/>
        </w:rPr>
        <w:t xml:space="preserve"> </w:t>
      </w:r>
      <w:r>
        <w:rPr>
          <w:color w:val="333333"/>
          <w:w w:val="110"/>
        </w:rPr>
        <w:t>example</w:t>
      </w:r>
      <w:r>
        <w:rPr>
          <w:color w:val="333333"/>
          <w:spacing w:val="7"/>
          <w:w w:val="110"/>
        </w:rPr>
        <w:t xml:space="preserve"> </w:t>
      </w:r>
      <w:r>
        <w:rPr>
          <w:color w:val="333333"/>
          <w:w w:val="110"/>
        </w:rPr>
        <w:t>shows</w:t>
      </w:r>
      <w:r>
        <w:rPr>
          <w:color w:val="333333"/>
          <w:spacing w:val="7"/>
          <w:w w:val="110"/>
        </w:rPr>
        <w:t xml:space="preserve"> </w:t>
      </w:r>
      <w:r>
        <w:rPr>
          <w:color w:val="333333"/>
          <w:w w:val="110"/>
        </w:rPr>
        <w:t>one</w:t>
      </w:r>
      <w:r>
        <w:rPr>
          <w:color w:val="333333"/>
          <w:spacing w:val="7"/>
          <w:w w:val="110"/>
        </w:rPr>
        <w:t xml:space="preserve"> </w:t>
      </w:r>
      <w:r>
        <w:rPr>
          <w:color w:val="333333"/>
          <w:w w:val="110"/>
        </w:rPr>
        <w:t>way</w:t>
      </w:r>
      <w:r>
        <w:rPr>
          <w:color w:val="333333"/>
          <w:spacing w:val="6"/>
          <w:w w:val="110"/>
        </w:rPr>
        <w:t xml:space="preserve"> </w:t>
      </w:r>
      <w:r>
        <w:rPr>
          <w:color w:val="333333"/>
          <w:w w:val="110"/>
        </w:rPr>
        <w:t>to</w:t>
      </w:r>
      <w:r>
        <w:rPr>
          <w:color w:val="333333"/>
          <w:spacing w:val="7"/>
          <w:w w:val="110"/>
        </w:rPr>
        <w:t xml:space="preserve"> </w:t>
      </w:r>
      <w:r>
        <w:rPr>
          <w:color w:val="333333"/>
          <w:w w:val="110"/>
        </w:rPr>
        <w:t>write</w:t>
      </w:r>
      <w:r>
        <w:rPr>
          <w:color w:val="333333"/>
          <w:spacing w:val="6"/>
          <w:w w:val="110"/>
        </w:rPr>
        <w:t xml:space="preserve"> </w:t>
      </w:r>
      <w:r>
        <w:rPr>
          <w:color w:val="333333"/>
          <w:w w:val="110"/>
        </w:rPr>
        <w:t>such</w:t>
      </w:r>
      <w:r>
        <w:rPr>
          <w:color w:val="333333"/>
          <w:spacing w:val="7"/>
          <w:w w:val="110"/>
        </w:rPr>
        <w:t xml:space="preserve"> </w:t>
      </w:r>
      <w:r>
        <w:rPr>
          <w:color w:val="333333"/>
          <w:w w:val="110"/>
        </w:rPr>
        <w:t>an</w:t>
      </w:r>
      <w:r>
        <w:rPr>
          <w:color w:val="333333"/>
          <w:spacing w:val="6"/>
          <w:w w:val="110"/>
        </w:rPr>
        <w:t xml:space="preserve"> </w:t>
      </w:r>
      <w:r>
        <w:rPr>
          <w:color w:val="333333"/>
          <w:w w:val="110"/>
        </w:rPr>
        <w:t>exporter:</w:t>
      </w:r>
    </w:p>
    <w:p w14:paraId="33697E07" w14:textId="77777777" w:rsidR="00A720EB" w:rsidRDefault="00E10349">
      <w:pPr>
        <w:pStyle w:val="a3"/>
        <w:spacing w:before="11"/>
        <w:rPr>
          <w:sz w:val="18"/>
        </w:rPr>
      </w:pPr>
      <w:r>
        <w:pict w14:anchorId="5A2CA201">
          <v:group id="_x0000_s1294" style="position:absolute;margin-left:47.85pt;margin-top:13.1pt;width:499.55pt;height:391.25pt;z-index:-15047680;mso-wrap-distance-left:0;mso-wrap-distance-right:0;mso-position-horizontal-relative:page" coordorigin="957,262" coordsize="9991,7825">
            <v:shape id="_x0000_s1297" style="position:absolute;left:964;top:269;width:9976;height:7810" coordorigin="965,270" coordsize="9976,7810" path="m10861,270r-9816,l1014,276r-26,17l971,318r-6,32l965,8000r6,31l988,8056r26,17l1045,8080r9816,l10892,8073r25,-17l10935,8031r6,-31l10941,350r-6,-32l10917,293r-25,-17l10861,270xe" fillcolor="#f5f5f5" stroked="f">
              <v:path arrowok="t"/>
            </v:shape>
            <v:shape id="_x0000_s1296" style="position:absolute;left:964;top:269;width:9976;height:7810" coordorigin="965,270" coordsize="9976,7810" path="m1045,270r9816,l10892,276r25,17l10935,318r6,32l10941,8000r-6,31l10917,8056r-25,17l10861,8080r-9816,l1014,8073r-26,-17l971,8031r-6,-31l965,350r6,-32l988,293r26,-17l1045,270xe" filled="f" strokecolor="#ccc">
              <v:path arrowok="t"/>
            </v:shape>
            <v:shape id="_x0000_s1295" type="#_x0000_t202" style="position:absolute;left:984;top:285;width:9938;height:7780" filled="f" stroked="f">
              <v:textbox inset="0,0,0,0">
                <w:txbxContent>
                  <w:p w14:paraId="3BCB6D64" w14:textId="77777777" w:rsidR="00711A16" w:rsidRDefault="00711A16">
                    <w:pPr>
                      <w:spacing w:before="221"/>
                      <w:ind w:left="200"/>
                      <w:rPr>
                        <w:rFonts w:ascii="MS Gothic"/>
                      </w:rPr>
                    </w:pPr>
                    <w:r>
                      <w:rPr>
                        <w:rFonts w:ascii="MS Gothic"/>
                        <w:color w:val="333333"/>
                      </w:rPr>
                      <w:t>@Configuration</w:t>
                    </w:r>
                  </w:p>
                  <w:p w14:paraId="063057DF" w14:textId="77777777" w:rsidR="00711A16" w:rsidRDefault="00711A16">
                    <w:pPr>
                      <w:spacing w:before="13"/>
                      <w:ind w:left="200"/>
                      <w:rPr>
                        <w:rFonts w:ascii="MS Gothic"/>
                      </w:rPr>
                    </w:pPr>
                    <w:r>
                      <w:rPr>
                        <w:rFonts w:ascii="MS Gothic"/>
                        <w:color w:val="333333"/>
                      </w:rPr>
                      <w:t>public class HealthMetricsConfiguration {</w:t>
                    </w:r>
                  </w:p>
                  <w:p w14:paraId="07A7B585" w14:textId="77777777" w:rsidR="00711A16" w:rsidRDefault="00711A16">
                    <w:pPr>
                      <w:rPr>
                        <w:rFonts w:ascii="MS Gothic"/>
                        <w:sz w:val="24"/>
                      </w:rPr>
                    </w:pPr>
                  </w:p>
                  <w:p w14:paraId="47EB68F0" w14:textId="77777777" w:rsidR="00711A16" w:rsidRDefault="00711A16">
                    <w:pPr>
                      <w:spacing w:line="252" w:lineRule="auto"/>
                      <w:ind w:left="200" w:right="1358" w:firstLine="440"/>
                      <w:rPr>
                        <w:rFonts w:ascii="MS Gothic"/>
                      </w:rPr>
                    </w:pPr>
                    <w:r>
                      <w:rPr>
                        <w:rFonts w:ascii="MS Gothic"/>
                        <w:color w:val="333333"/>
                      </w:rPr>
                      <w:t xml:space="preserve">public </w:t>
                    </w:r>
                    <w:proofErr w:type="gramStart"/>
                    <w:r>
                      <w:rPr>
                        <w:rFonts w:ascii="MS Gothic"/>
                        <w:color w:val="333333"/>
                      </w:rPr>
                      <w:t>HealthMetricsConfiguration(</w:t>
                    </w:r>
                    <w:proofErr w:type="gramEnd"/>
                    <w:r>
                      <w:rPr>
                        <w:rFonts w:ascii="MS Gothic"/>
                        <w:color w:val="333333"/>
                      </w:rPr>
                      <w:t>MeterRegistry registry, HealthEndpoint healthEndpoint) {</w:t>
                    </w:r>
                  </w:p>
                  <w:p w14:paraId="2D258CD1" w14:textId="77777777" w:rsidR="00711A16" w:rsidRDefault="00711A16">
                    <w:pPr>
                      <w:spacing w:line="252" w:lineRule="auto"/>
                      <w:ind w:left="1080" w:right="478"/>
                      <w:rPr>
                        <w:rFonts w:ascii="MS Gothic"/>
                      </w:rPr>
                    </w:pPr>
                    <w:r>
                      <w:rPr>
                        <w:rFonts w:ascii="MS Gothic"/>
                        <w:color w:val="333333"/>
                      </w:rPr>
                      <w:t>// This example presumes common tags (such as the app) are applied elsewhere Gauge.builder("health", healthEndpoint,</w:t>
                    </w:r>
                  </w:p>
                  <w:p w14:paraId="1497E84C" w14:textId="77777777" w:rsidR="00711A16" w:rsidRDefault="00711A16">
                    <w:pPr>
                      <w:spacing w:line="280" w:lineRule="exact"/>
                      <w:ind w:left="200"/>
                      <w:rPr>
                        <w:rFonts w:ascii="MS Gothic"/>
                      </w:rPr>
                    </w:pPr>
                    <w:proofErr w:type="gramStart"/>
                    <w:r>
                      <w:rPr>
                        <w:rFonts w:ascii="MS Gothic"/>
                        <w:color w:val="333333"/>
                      </w:rPr>
                      <w:t>this::</w:t>
                    </w:r>
                    <w:proofErr w:type="gramEnd"/>
                    <w:r>
                      <w:rPr>
                        <w:rFonts w:ascii="MS Gothic"/>
                        <w:color w:val="333333"/>
                      </w:rPr>
                      <w:t>getStatusCode).strongReference(true).register(registry);</w:t>
                    </w:r>
                  </w:p>
                  <w:p w14:paraId="22B77232" w14:textId="77777777" w:rsidR="00711A16" w:rsidRDefault="00711A16">
                    <w:pPr>
                      <w:spacing w:before="10"/>
                      <w:ind w:left="640"/>
                      <w:rPr>
                        <w:rFonts w:ascii="MS Gothic"/>
                      </w:rPr>
                    </w:pPr>
                    <w:r>
                      <w:rPr>
                        <w:rFonts w:ascii="MS Gothic"/>
                        <w:color w:val="333333"/>
                      </w:rPr>
                      <w:t>}</w:t>
                    </w:r>
                  </w:p>
                  <w:p w14:paraId="72A49FAF" w14:textId="77777777" w:rsidR="00711A16" w:rsidRDefault="00711A16">
                    <w:pPr>
                      <w:spacing w:before="1"/>
                      <w:rPr>
                        <w:rFonts w:ascii="MS Gothic"/>
                        <w:sz w:val="24"/>
                      </w:rPr>
                    </w:pPr>
                  </w:p>
                  <w:p w14:paraId="308EED45" w14:textId="77777777" w:rsidR="00711A16" w:rsidRDefault="00711A16">
                    <w:pPr>
                      <w:spacing w:line="252" w:lineRule="auto"/>
                      <w:ind w:left="1080" w:right="3794" w:hanging="440"/>
                      <w:rPr>
                        <w:rFonts w:ascii="MS Gothic"/>
                      </w:rPr>
                    </w:pPr>
                    <w:r>
                      <w:rPr>
                        <w:rFonts w:ascii="MS Gothic"/>
                        <w:color w:val="333333"/>
                      </w:rPr>
                      <w:t xml:space="preserve">private int </w:t>
                    </w:r>
                    <w:proofErr w:type="gramStart"/>
                    <w:r>
                      <w:rPr>
                        <w:rFonts w:ascii="MS Gothic"/>
                        <w:color w:val="333333"/>
                      </w:rPr>
                      <w:t>getStatusCode(</w:t>
                    </w:r>
                    <w:proofErr w:type="gramEnd"/>
                    <w:r>
                      <w:rPr>
                        <w:rFonts w:ascii="MS Gothic"/>
                        <w:color w:val="333333"/>
                      </w:rPr>
                      <w:t xml:space="preserve">HealthEndpoint health) </w:t>
                    </w:r>
                    <w:r>
                      <w:rPr>
                        <w:rFonts w:ascii="MS Gothic"/>
                        <w:color w:val="333333"/>
                        <w:spacing w:val="-17"/>
                      </w:rPr>
                      <w:t xml:space="preserve">{ </w:t>
                    </w:r>
                    <w:r>
                      <w:rPr>
                        <w:rFonts w:ascii="MS Gothic"/>
                        <w:color w:val="333333"/>
                      </w:rPr>
                      <w:t>Status status = health.health().getStatus(); if (Status.UP.equals(status)) {</w:t>
                    </w:r>
                  </w:p>
                  <w:p w14:paraId="76312ABB" w14:textId="77777777" w:rsidR="00711A16" w:rsidRDefault="00711A16">
                    <w:pPr>
                      <w:spacing w:line="278" w:lineRule="exact"/>
                      <w:ind w:left="1520"/>
                      <w:rPr>
                        <w:rFonts w:ascii="MS Gothic"/>
                      </w:rPr>
                    </w:pPr>
                    <w:r>
                      <w:rPr>
                        <w:rFonts w:ascii="MS Gothic"/>
                        <w:color w:val="333333"/>
                      </w:rPr>
                      <w:t>return 3;</w:t>
                    </w:r>
                  </w:p>
                  <w:p w14:paraId="574150C0" w14:textId="77777777" w:rsidR="00711A16" w:rsidRDefault="00711A16">
                    <w:pPr>
                      <w:spacing w:before="13"/>
                      <w:ind w:left="1080"/>
                      <w:rPr>
                        <w:rFonts w:ascii="MS Gothic"/>
                      </w:rPr>
                    </w:pPr>
                    <w:r>
                      <w:rPr>
                        <w:rFonts w:ascii="MS Gothic"/>
                        <w:color w:val="333333"/>
                      </w:rPr>
                      <w:t>}</w:t>
                    </w:r>
                  </w:p>
                  <w:p w14:paraId="7FC3C9A9" w14:textId="77777777" w:rsidR="00711A16" w:rsidRDefault="00711A16">
                    <w:pPr>
                      <w:spacing w:before="13" w:line="252" w:lineRule="auto"/>
                      <w:ind w:left="1520" w:right="4108" w:hanging="440"/>
                      <w:rPr>
                        <w:rFonts w:ascii="MS Gothic"/>
                      </w:rPr>
                    </w:pPr>
                    <w:r>
                      <w:rPr>
                        <w:rFonts w:ascii="MS Gothic"/>
                        <w:color w:val="333333"/>
                      </w:rPr>
                      <w:t xml:space="preserve">if (Status.OUT_OF_SERVICE.equals(status)) </w:t>
                    </w:r>
                    <w:proofErr w:type="gramStart"/>
                    <w:r>
                      <w:rPr>
                        <w:rFonts w:ascii="MS Gothic"/>
                        <w:color w:val="333333"/>
                        <w:spacing w:val="-17"/>
                      </w:rPr>
                      <w:t xml:space="preserve">{ </w:t>
                    </w:r>
                    <w:r>
                      <w:rPr>
                        <w:rFonts w:ascii="MS Gothic"/>
                        <w:color w:val="333333"/>
                      </w:rPr>
                      <w:t>return</w:t>
                    </w:r>
                    <w:proofErr w:type="gramEnd"/>
                    <w:r>
                      <w:rPr>
                        <w:rFonts w:ascii="MS Gothic"/>
                        <w:color w:val="333333"/>
                      </w:rPr>
                      <w:t xml:space="preserve"> 2;</w:t>
                    </w:r>
                  </w:p>
                  <w:p w14:paraId="151C5886" w14:textId="77777777" w:rsidR="00711A16" w:rsidRDefault="00711A16">
                    <w:pPr>
                      <w:spacing w:line="280" w:lineRule="exact"/>
                      <w:ind w:left="1080"/>
                      <w:rPr>
                        <w:rFonts w:ascii="MS Gothic"/>
                      </w:rPr>
                    </w:pPr>
                    <w:r>
                      <w:rPr>
                        <w:rFonts w:ascii="MS Gothic"/>
                        <w:color w:val="333333"/>
                      </w:rPr>
                      <w:t>}</w:t>
                    </w:r>
                  </w:p>
                  <w:p w14:paraId="7B7CD788" w14:textId="77777777" w:rsidR="00711A16" w:rsidRDefault="00711A16">
                    <w:pPr>
                      <w:spacing w:before="12" w:line="252" w:lineRule="auto"/>
                      <w:ind w:left="1520" w:right="4878" w:hanging="440"/>
                      <w:rPr>
                        <w:rFonts w:ascii="MS Gothic"/>
                      </w:rPr>
                    </w:pPr>
                    <w:r>
                      <w:rPr>
                        <w:rFonts w:ascii="MS Gothic"/>
                        <w:color w:val="333333"/>
                      </w:rPr>
                      <w:t>if (</w:t>
                    </w:r>
                    <w:proofErr w:type="gramStart"/>
                    <w:r>
                      <w:rPr>
                        <w:rFonts w:ascii="MS Gothic"/>
                        <w:color w:val="333333"/>
                      </w:rPr>
                      <w:t>Status.DOWN.equals</w:t>
                    </w:r>
                    <w:proofErr w:type="gramEnd"/>
                    <w:r>
                      <w:rPr>
                        <w:rFonts w:ascii="MS Gothic"/>
                        <w:color w:val="333333"/>
                      </w:rPr>
                      <w:t xml:space="preserve">(status)) </w:t>
                    </w:r>
                    <w:r>
                      <w:rPr>
                        <w:rFonts w:ascii="MS Gothic"/>
                        <w:color w:val="333333"/>
                        <w:spacing w:val="-17"/>
                      </w:rPr>
                      <w:t xml:space="preserve">{ </w:t>
                    </w:r>
                    <w:r>
                      <w:rPr>
                        <w:rFonts w:ascii="MS Gothic"/>
                        <w:color w:val="333333"/>
                      </w:rPr>
                      <w:t>return 1;</w:t>
                    </w:r>
                  </w:p>
                  <w:p w14:paraId="7F6567DA" w14:textId="77777777" w:rsidR="00711A16" w:rsidRDefault="00711A16">
                    <w:pPr>
                      <w:spacing w:line="280" w:lineRule="exact"/>
                      <w:ind w:left="1080"/>
                      <w:rPr>
                        <w:rFonts w:ascii="MS Gothic"/>
                      </w:rPr>
                    </w:pPr>
                    <w:r>
                      <w:rPr>
                        <w:rFonts w:ascii="MS Gothic"/>
                        <w:color w:val="333333"/>
                      </w:rPr>
                      <w:t>}</w:t>
                    </w:r>
                  </w:p>
                  <w:p w14:paraId="704E0250" w14:textId="77777777" w:rsidR="00711A16" w:rsidRDefault="00711A16">
                    <w:pPr>
                      <w:spacing w:before="13"/>
                      <w:ind w:left="1080"/>
                      <w:rPr>
                        <w:rFonts w:ascii="MS Gothic"/>
                      </w:rPr>
                    </w:pPr>
                    <w:r>
                      <w:rPr>
                        <w:rFonts w:ascii="MS Gothic"/>
                        <w:color w:val="333333"/>
                      </w:rPr>
                      <w:t>return 0;</w:t>
                    </w:r>
                  </w:p>
                  <w:p w14:paraId="7BBBBB75" w14:textId="77777777" w:rsidR="00711A16" w:rsidRDefault="00711A16">
                    <w:pPr>
                      <w:spacing w:before="13"/>
                      <w:ind w:left="640"/>
                      <w:rPr>
                        <w:rFonts w:ascii="MS Gothic"/>
                      </w:rPr>
                    </w:pPr>
                    <w:r>
                      <w:rPr>
                        <w:rFonts w:ascii="MS Gothic"/>
                        <w:color w:val="333333"/>
                      </w:rPr>
                      <w:t>}</w:t>
                    </w:r>
                  </w:p>
                  <w:p w14:paraId="6C137635" w14:textId="77777777" w:rsidR="00711A16" w:rsidRDefault="00711A16">
                    <w:pPr>
                      <w:rPr>
                        <w:rFonts w:ascii="MS Gothic"/>
                        <w:sz w:val="24"/>
                      </w:rPr>
                    </w:pPr>
                  </w:p>
                  <w:p w14:paraId="41AAAF16" w14:textId="77777777" w:rsidR="00711A16" w:rsidRDefault="00711A16">
                    <w:pPr>
                      <w:spacing w:before="1"/>
                      <w:ind w:left="200"/>
                      <w:rPr>
                        <w:rFonts w:ascii="MS Gothic"/>
                      </w:rPr>
                    </w:pPr>
                    <w:r>
                      <w:rPr>
                        <w:rFonts w:ascii="MS Gothic"/>
                        <w:color w:val="333333"/>
                      </w:rPr>
                      <w:t>}</w:t>
                    </w:r>
                  </w:p>
                </w:txbxContent>
              </v:textbox>
            </v:shape>
            <w10:wrap type="topAndBottom" anchorx="page"/>
          </v:group>
        </w:pict>
      </w:r>
    </w:p>
    <w:p w14:paraId="71149E98" w14:textId="77777777" w:rsidR="00A720EB" w:rsidRDefault="00A720EB">
      <w:pPr>
        <w:pStyle w:val="a3"/>
        <w:spacing w:before="11"/>
        <w:rPr>
          <w:sz w:val="16"/>
        </w:rPr>
      </w:pPr>
    </w:p>
    <w:p w14:paraId="3F151512" w14:textId="77777777" w:rsidR="00A720EB" w:rsidRDefault="0030286B">
      <w:pPr>
        <w:pStyle w:val="2"/>
        <w:numPr>
          <w:ilvl w:val="1"/>
          <w:numId w:val="13"/>
        </w:numPr>
        <w:tabs>
          <w:tab w:val="left" w:pos="1034"/>
        </w:tabs>
        <w:spacing w:before="107"/>
        <w:ind w:left="1033" w:hanging="910"/>
      </w:pPr>
      <w:bookmarkStart w:id="967" w:name="9.14._Security"/>
      <w:bookmarkStart w:id="968" w:name="_Toc54424003"/>
      <w:bookmarkEnd w:id="967"/>
      <w:r>
        <w:rPr>
          <w:color w:val="333333"/>
          <w:w w:val="110"/>
        </w:rPr>
        <w:t>Security</w:t>
      </w:r>
      <w:bookmarkEnd w:id="968"/>
    </w:p>
    <w:p w14:paraId="26D62417" w14:textId="77777777" w:rsidR="00A720EB" w:rsidRDefault="0030286B">
      <w:pPr>
        <w:pStyle w:val="a3"/>
        <w:spacing w:before="253" w:line="307" w:lineRule="auto"/>
        <w:ind w:left="124" w:right="462"/>
      </w:pPr>
      <w:r>
        <w:rPr>
          <w:color w:val="333333"/>
          <w:w w:val="110"/>
        </w:rPr>
        <w:t xml:space="preserve">This section addresses questions about security when working with Spring </w:t>
      </w:r>
      <w:proofErr w:type="gramStart"/>
      <w:r>
        <w:rPr>
          <w:color w:val="333333"/>
          <w:w w:val="110"/>
        </w:rPr>
        <w:t>Boot,  including</w:t>
      </w:r>
      <w:proofErr w:type="gramEnd"/>
      <w:r>
        <w:rPr>
          <w:color w:val="333333"/>
          <w:w w:val="110"/>
        </w:rPr>
        <w:t xml:space="preserve">  questions that arise from using Spring Security with Spring</w:t>
      </w:r>
      <w:r>
        <w:rPr>
          <w:color w:val="333333"/>
          <w:spacing w:val="26"/>
          <w:w w:val="110"/>
        </w:rPr>
        <w:t xml:space="preserve"> </w:t>
      </w:r>
      <w:r>
        <w:rPr>
          <w:color w:val="333333"/>
          <w:w w:val="110"/>
        </w:rPr>
        <w:t>Boot.</w:t>
      </w:r>
    </w:p>
    <w:p w14:paraId="003343F3" w14:textId="77777777" w:rsidR="00A720EB" w:rsidRDefault="0030286B">
      <w:pPr>
        <w:pStyle w:val="a3"/>
        <w:spacing w:before="241"/>
        <w:ind w:left="124"/>
      </w:pPr>
      <w:r>
        <w:rPr>
          <w:color w:val="333333"/>
          <w:w w:val="110"/>
        </w:rPr>
        <w:t xml:space="preserve">For more about Spring Security, see the </w:t>
      </w:r>
      <w:hyperlink r:id="rId651">
        <w:r>
          <w:rPr>
            <w:color w:val="418BCA"/>
            <w:w w:val="110"/>
          </w:rPr>
          <w:t>Spring Security project page</w:t>
        </w:r>
      </w:hyperlink>
      <w:r>
        <w:rPr>
          <w:color w:val="333333"/>
          <w:w w:val="110"/>
        </w:rPr>
        <w:t>.</w:t>
      </w:r>
    </w:p>
    <w:p w14:paraId="49C28097" w14:textId="77777777" w:rsidR="00A720EB" w:rsidRDefault="00A720EB">
      <w:pPr>
        <w:pStyle w:val="a3"/>
        <w:spacing w:before="6"/>
        <w:rPr>
          <w:sz w:val="31"/>
        </w:rPr>
      </w:pPr>
    </w:p>
    <w:p w14:paraId="45CC0D5A" w14:textId="77777777" w:rsidR="00A720EB" w:rsidRDefault="0030286B">
      <w:pPr>
        <w:pStyle w:val="3"/>
        <w:numPr>
          <w:ilvl w:val="2"/>
          <w:numId w:val="13"/>
        </w:numPr>
        <w:tabs>
          <w:tab w:val="left" w:pos="1003"/>
        </w:tabs>
        <w:spacing w:before="1"/>
        <w:ind w:left="1002" w:hanging="879"/>
      </w:pPr>
      <w:bookmarkStart w:id="969" w:name="9.14.1._Switch_off_the_Spring_Boot_Secur"/>
      <w:bookmarkStart w:id="970" w:name="_Toc54424004"/>
      <w:bookmarkEnd w:id="969"/>
      <w:r>
        <w:rPr>
          <w:color w:val="333333"/>
          <w:w w:val="110"/>
        </w:rPr>
        <w:t>Switch off the Spring Boot Security</w:t>
      </w:r>
      <w:r>
        <w:rPr>
          <w:color w:val="333333"/>
          <w:spacing w:val="-45"/>
          <w:w w:val="110"/>
        </w:rPr>
        <w:t xml:space="preserve"> </w:t>
      </w:r>
      <w:r>
        <w:rPr>
          <w:color w:val="333333"/>
          <w:w w:val="110"/>
        </w:rPr>
        <w:t>Configuration</w:t>
      </w:r>
      <w:bookmarkEnd w:id="970"/>
    </w:p>
    <w:p w14:paraId="40291E85" w14:textId="77777777" w:rsidR="00A720EB" w:rsidRDefault="0030286B">
      <w:pPr>
        <w:pStyle w:val="a3"/>
        <w:spacing w:before="243" w:line="290" w:lineRule="auto"/>
        <w:ind w:left="124" w:right="29"/>
      </w:pPr>
      <w:r>
        <w:rPr>
          <w:color w:val="333333"/>
          <w:w w:val="110"/>
        </w:rPr>
        <w:t xml:space="preserve">If you define a </w:t>
      </w:r>
      <w:r>
        <w:rPr>
          <w:rFonts w:ascii="MS Gothic"/>
          <w:color w:val="B02045"/>
          <w:w w:val="110"/>
        </w:rPr>
        <w:t>@Configuration</w:t>
      </w:r>
      <w:r>
        <w:rPr>
          <w:rFonts w:ascii="MS Gothic"/>
          <w:color w:val="B02045"/>
          <w:spacing w:val="-74"/>
          <w:w w:val="110"/>
        </w:rPr>
        <w:t xml:space="preserve"> </w:t>
      </w:r>
      <w:r>
        <w:rPr>
          <w:color w:val="333333"/>
          <w:w w:val="110"/>
        </w:rPr>
        <w:t xml:space="preserve">with a </w:t>
      </w:r>
      <w:r>
        <w:rPr>
          <w:rFonts w:ascii="MS Gothic"/>
          <w:color w:val="B02045"/>
          <w:w w:val="110"/>
        </w:rPr>
        <w:t>WebSecurityConfigurerAdapter</w:t>
      </w:r>
      <w:r>
        <w:rPr>
          <w:rFonts w:ascii="MS Gothic"/>
          <w:color w:val="B02045"/>
          <w:spacing w:val="-74"/>
          <w:w w:val="110"/>
        </w:rPr>
        <w:t xml:space="preserve"> </w:t>
      </w:r>
      <w:r>
        <w:rPr>
          <w:color w:val="333333"/>
          <w:w w:val="110"/>
        </w:rPr>
        <w:t>in your application, it switches off the default webapp security settings in Spring Boot.</w:t>
      </w:r>
    </w:p>
    <w:p w14:paraId="0484B295" w14:textId="77777777" w:rsidR="00A720EB" w:rsidRDefault="00A720EB">
      <w:pPr>
        <w:spacing w:line="290" w:lineRule="auto"/>
        <w:sectPr w:rsidR="00A720EB">
          <w:pgSz w:w="11910" w:h="16840"/>
          <w:pgMar w:top="620" w:right="840" w:bottom="520" w:left="840" w:header="0" w:footer="323" w:gutter="0"/>
          <w:cols w:space="720"/>
        </w:sectPr>
      </w:pPr>
    </w:p>
    <w:p w14:paraId="71C39E92" w14:textId="77777777" w:rsidR="00A720EB" w:rsidRDefault="0030286B">
      <w:pPr>
        <w:pStyle w:val="3"/>
        <w:numPr>
          <w:ilvl w:val="2"/>
          <w:numId w:val="13"/>
        </w:numPr>
        <w:tabs>
          <w:tab w:val="left" w:pos="1003"/>
        </w:tabs>
        <w:spacing w:before="87"/>
        <w:ind w:left="1002" w:hanging="879"/>
      </w:pPr>
      <w:bookmarkStart w:id="971" w:name="9.14.2._Change_the_UserDetailsService_an"/>
      <w:bookmarkStart w:id="972" w:name="_Toc54424005"/>
      <w:bookmarkEnd w:id="971"/>
      <w:r>
        <w:rPr>
          <w:color w:val="333333"/>
          <w:w w:val="110"/>
        </w:rPr>
        <w:lastRenderedPageBreak/>
        <w:t xml:space="preserve">Change the UserDetailsService and </w:t>
      </w:r>
      <w:r>
        <w:rPr>
          <w:color w:val="333333"/>
          <w:spacing w:val="-3"/>
          <w:w w:val="110"/>
        </w:rPr>
        <w:t xml:space="preserve">Add </w:t>
      </w:r>
      <w:r>
        <w:rPr>
          <w:color w:val="333333"/>
          <w:w w:val="110"/>
        </w:rPr>
        <w:t>User</w:t>
      </w:r>
      <w:r>
        <w:rPr>
          <w:color w:val="333333"/>
          <w:spacing w:val="-41"/>
          <w:w w:val="110"/>
        </w:rPr>
        <w:t xml:space="preserve"> </w:t>
      </w:r>
      <w:r>
        <w:rPr>
          <w:color w:val="333333"/>
          <w:w w:val="110"/>
        </w:rPr>
        <w:t>Accounts</w:t>
      </w:r>
      <w:bookmarkEnd w:id="972"/>
    </w:p>
    <w:p w14:paraId="78A739D3" w14:textId="77777777" w:rsidR="00A720EB" w:rsidRDefault="0030286B">
      <w:pPr>
        <w:pStyle w:val="a3"/>
        <w:spacing w:before="243" w:line="285" w:lineRule="auto"/>
        <w:ind w:left="124" w:right="122"/>
        <w:jc w:val="both"/>
      </w:pPr>
      <w:r>
        <w:rPr>
          <w:color w:val="333333"/>
          <w:w w:val="105"/>
        </w:rPr>
        <w:t>If</w:t>
      </w:r>
      <w:r>
        <w:rPr>
          <w:color w:val="333333"/>
          <w:spacing w:val="-8"/>
          <w:w w:val="105"/>
        </w:rPr>
        <w:t xml:space="preserve"> </w:t>
      </w:r>
      <w:r>
        <w:rPr>
          <w:color w:val="333333"/>
          <w:w w:val="105"/>
        </w:rPr>
        <w:t>you</w:t>
      </w:r>
      <w:r>
        <w:rPr>
          <w:color w:val="333333"/>
          <w:spacing w:val="-7"/>
          <w:w w:val="105"/>
        </w:rPr>
        <w:t xml:space="preserve"> </w:t>
      </w:r>
      <w:r>
        <w:rPr>
          <w:color w:val="333333"/>
          <w:w w:val="105"/>
        </w:rPr>
        <w:t>provide</w:t>
      </w:r>
      <w:r>
        <w:rPr>
          <w:color w:val="333333"/>
          <w:spacing w:val="-7"/>
          <w:w w:val="105"/>
        </w:rPr>
        <w:t xml:space="preserve"> </w:t>
      </w:r>
      <w:r>
        <w:rPr>
          <w:color w:val="333333"/>
          <w:w w:val="105"/>
        </w:rPr>
        <w:t>a</w:t>
      </w:r>
      <w:r>
        <w:rPr>
          <w:color w:val="333333"/>
          <w:spacing w:val="-5"/>
          <w:w w:val="105"/>
        </w:rPr>
        <w:t xml:space="preserve"> </w:t>
      </w:r>
      <w:r>
        <w:rPr>
          <w:rFonts w:ascii="MS Gothic"/>
          <w:color w:val="B02045"/>
          <w:w w:val="105"/>
        </w:rPr>
        <w:t>@Bean</w:t>
      </w:r>
      <w:r>
        <w:rPr>
          <w:rFonts w:ascii="MS Gothic"/>
          <w:color w:val="B02045"/>
          <w:spacing w:val="-68"/>
          <w:w w:val="105"/>
        </w:rPr>
        <w:t xml:space="preserve"> </w:t>
      </w:r>
      <w:r>
        <w:rPr>
          <w:color w:val="333333"/>
          <w:w w:val="105"/>
        </w:rPr>
        <w:t>of</w:t>
      </w:r>
      <w:r>
        <w:rPr>
          <w:color w:val="333333"/>
          <w:spacing w:val="-7"/>
          <w:w w:val="105"/>
        </w:rPr>
        <w:t xml:space="preserve"> </w:t>
      </w:r>
      <w:r>
        <w:rPr>
          <w:color w:val="333333"/>
          <w:w w:val="105"/>
        </w:rPr>
        <w:t>type</w:t>
      </w:r>
      <w:r>
        <w:rPr>
          <w:color w:val="333333"/>
          <w:spacing w:val="-8"/>
          <w:w w:val="105"/>
        </w:rPr>
        <w:t xml:space="preserve"> </w:t>
      </w:r>
      <w:r>
        <w:rPr>
          <w:rFonts w:ascii="MS Gothic"/>
          <w:color w:val="B02045"/>
          <w:w w:val="105"/>
        </w:rPr>
        <w:t>AuthenticationManager</w:t>
      </w:r>
      <w:r>
        <w:rPr>
          <w:color w:val="333333"/>
          <w:w w:val="105"/>
        </w:rPr>
        <w:t>,</w:t>
      </w:r>
      <w:r>
        <w:rPr>
          <w:color w:val="333333"/>
          <w:spacing w:val="-6"/>
          <w:w w:val="105"/>
        </w:rPr>
        <w:t xml:space="preserve"> </w:t>
      </w:r>
      <w:r>
        <w:rPr>
          <w:rFonts w:ascii="MS Gothic"/>
          <w:color w:val="B02045"/>
          <w:w w:val="105"/>
        </w:rPr>
        <w:t>AuthenticationProvider</w:t>
      </w:r>
      <w:r>
        <w:rPr>
          <w:color w:val="333333"/>
          <w:w w:val="105"/>
        </w:rPr>
        <w:t>,</w:t>
      </w:r>
      <w:r>
        <w:rPr>
          <w:color w:val="333333"/>
          <w:spacing w:val="-6"/>
          <w:w w:val="105"/>
        </w:rPr>
        <w:t xml:space="preserve"> </w:t>
      </w:r>
      <w:r>
        <w:rPr>
          <w:color w:val="333333"/>
          <w:w w:val="105"/>
        </w:rPr>
        <w:t>or</w:t>
      </w:r>
      <w:r>
        <w:rPr>
          <w:color w:val="333333"/>
          <w:spacing w:val="-7"/>
          <w:w w:val="105"/>
        </w:rPr>
        <w:t xml:space="preserve"> </w:t>
      </w:r>
      <w:r>
        <w:rPr>
          <w:rFonts w:ascii="MS Gothic"/>
          <w:color w:val="B02045"/>
          <w:w w:val="105"/>
        </w:rPr>
        <w:t>UserDetailsService</w:t>
      </w:r>
      <w:r>
        <w:rPr>
          <w:color w:val="333333"/>
          <w:w w:val="105"/>
        </w:rPr>
        <w:t xml:space="preserve">, </w:t>
      </w:r>
      <w:r>
        <w:rPr>
          <w:color w:val="333333"/>
          <w:w w:val="110"/>
        </w:rPr>
        <w:t>the</w:t>
      </w:r>
      <w:r>
        <w:rPr>
          <w:color w:val="333333"/>
          <w:spacing w:val="-14"/>
          <w:w w:val="110"/>
        </w:rPr>
        <w:t xml:space="preserve"> </w:t>
      </w:r>
      <w:r>
        <w:rPr>
          <w:color w:val="333333"/>
          <w:w w:val="110"/>
        </w:rPr>
        <w:t>default</w:t>
      </w:r>
      <w:r>
        <w:rPr>
          <w:color w:val="333333"/>
          <w:spacing w:val="-12"/>
          <w:w w:val="110"/>
        </w:rPr>
        <w:t xml:space="preserve"> </w:t>
      </w:r>
      <w:r>
        <w:rPr>
          <w:rFonts w:ascii="MS Gothic"/>
          <w:color w:val="B02045"/>
          <w:w w:val="110"/>
        </w:rPr>
        <w:t>@Bean</w:t>
      </w:r>
      <w:r>
        <w:rPr>
          <w:rFonts w:ascii="MS Gothic"/>
          <w:color w:val="B02045"/>
          <w:spacing w:val="-78"/>
          <w:w w:val="110"/>
        </w:rPr>
        <w:t xml:space="preserve"> </w:t>
      </w:r>
      <w:r>
        <w:rPr>
          <w:color w:val="333333"/>
          <w:w w:val="110"/>
        </w:rPr>
        <w:t>for</w:t>
      </w:r>
      <w:r>
        <w:rPr>
          <w:color w:val="333333"/>
          <w:spacing w:val="-13"/>
          <w:w w:val="110"/>
        </w:rPr>
        <w:t xml:space="preserve"> </w:t>
      </w:r>
      <w:r>
        <w:rPr>
          <w:rFonts w:ascii="MS Gothic"/>
          <w:color w:val="B02045"/>
          <w:w w:val="110"/>
        </w:rPr>
        <w:t>InMemoryUserDetailsManager</w:t>
      </w:r>
      <w:r>
        <w:rPr>
          <w:rFonts w:ascii="MS Gothic"/>
          <w:color w:val="B02045"/>
          <w:spacing w:val="-78"/>
          <w:w w:val="110"/>
        </w:rPr>
        <w:t xml:space="preserve"> </w:t>
      </w:r>
      <w:r>
        <w:rPr>
          <w:color w:val="333333"/>
          <w:w w:val="110"/>
        </w:rPr>
        <w:t>is</w:t>
      </w:r>
      <w:r>
        <w:rPr>
          <w:color w:val="333333"/>
          <w:spacing w:val="-13"/>
          <w:w w:val="110"/>
        </w:rPr>
        <w:t xml:space="preserve"> </w:t>
      </w:r>
      <w:r>
        <w:rPr>
          <w:color w:val="333333"/>
          <w:w w:val="110"/>
        </w:rPr>
        <w:t>not</w:t>
      </w:r>
      <w:r>
        <w:rPr>
          <w:color w:val="333333"/>
          <w:spacing w:val="-14"/>
          <w:w w:val="110"/>
        </w:rPr>
        <w:t xml:space="preserve"> </w:t>
      </w:r>
      <w:r>
        <w:rPr>
          <w:color w:val="333333"/>
          <w:w w:val="110"/>
        </w:rPr>
        <w:t>created.</w:t>
      </w:r>
      <w:r>
        <w:rPr>
          <w:color w:val="333333"/>
          <w:spacing w:val="-13"/>
          <w:w w:val="110"/>
        </w:rPr>
        <w:t xml:space="preserve"> </w:t>
      </w:r>
      <w:r>
        <w:rPr>
          <w:color w:val="333333"/>
          <w:w w:val="110"/>
        </w:rPr>
        <w:t>This</w:t>
      </w:r>
      <w:r>
        <w:rPr>
          <w:color w:val="333333"/>
          <w:spacing w:val="-13"/>
          <w:w w:val="110"/>
        </w:rPr>
        <w:t xml:space="preserve"> </w:t>
      </w:r>
      <w:r>
        <w:rPr>
          <w:color w:val="333333"/>
          <w:w w:val="110"/>
        </w:rPr>
        <w:t>means</w:t>
      </w:r>
      <w:r>
        <w:rPr>
          <w:color w:val="333333"/>
          <w:spacing w:val="-14"/>
          <w:w w:val="110"/>
        </w:rPr>
        <w:t xml:space="preserve"> </w:t>
      </w:r>
      <w:r>
        <w:rPr>
          <w:color w:val="333333"/>
          <w:w w:val="110"/>
        </w:rPr>
        <w:t>you</w:t>
      </w:r>
      <w:r>
        <w:rPr>
          <w:color w:val="333333"/>
          <w:spacing w:val="-14"/>
          <w:w w:val="110"/>
        </w:rPr>
        <w:t xml:space="preserve"> </w:t>
      </w:r>
      <w:r>
        <w:rPr>
          <w:color w:val="333333"/>
          <w:w w:val="110"/>
        </w:rPr>
        <w:t>have</w:t>
      </w:r>
      <w:r>
        <w:rPr>
          <w:color w:val="333333"/>
          <w:spacing w:val="-14"/>
          <w:w w:val="110"/>
        </w:rPr>
        <w:t xml:space="preserve"> </w:t>
      </w:r>
      <w:r>
        <w:rPr>
          <w:color w:val="333333"/>
          <w:w w:val="110"/>
        </w:rPr>
        <w:t>the</w:t>
      </w:r>
      <w:r>
        <w:rPr>
          <w:color w:val="333333"/>
          <w:spacing w:val="-13"/>
          <w:w w:val="110"/>
        </w:rPr>
        <w:t xml:space="preserve"> </w:t>
      </w:r>
      <w:r>
        <w:rPr>
          <w:color w:val="333333"/>
          <w:w w:val="110"/>
        </w:rPr>
        <w:t>full</w:t>
      </w:r>
      <w:r>
        <w:rPr>
          <w:color w:val="333333"/>
          <w:spacing w:val="-13"/>
          <w:w w:val="110"/>
        </w:rPr>
        <w:t xml:space="preserve"> </w:t>
      </w:r>
      <w:r>
        <w:rPr>
          <w:color w:val="333333"/>
          <w:w w:val="110"/>
        </w:rPr>
        <w:t xml:space="preserve">feature set of Spring Security available (such as </w:t>
      </w:r>
      <w:hyperlink r:id="rId652" w:anchor="servlet-authentication">
        <w:r>
          <w:rPr>
            <w:color w:val="418BCA"/>
            <w:w w:val="110"/>
          </w:rPr>
          <w:t>various authentication</w:t>
        </w:r>
        <w:r>
          <w:rPr>
            <w:color w:val="418BCA"/>
            <w:spacing w:val="37"/>
            <w:w w:val="110"/>
          </w:rPr>
          <w:t xml:space="preserve"> </w:t>
        </w:r>
        <w:r>
          <w:rPr>
            <w:color w:val="418BCA"/>
            <w:w w:val="110"/>
          </w:rPr>
          <w:t>options</w:t>
        </w:r>
      </w:hyperlink>
      <w:r>
        <w:rPr>
          <w:color w:val="333333"/>
          <w:w w:val="110"/>
        </w:rPr>
        <w:t>).</w:t>
      </w:r>
    </w:p>
    <w:p w14:paraId="42625E58" w14:textId="77777777" w:rsidR="00A720EB" w:rsidRDefault="00A720EB">
      <w:pPr>
        <w:pStyle w:val="a3"/>
        <w:spacing w:before="7"/>
      </w:pPr>
    </w:p>
    <w:p w14:paraId="52CA3833" w14:textId="77777777" w:rsidR="00A720EB" w:rsidRDefault="0030286B">
      <w:pPr>
        <w:pStyle w:val="a3"/>
        <w:ind w:left="124"/>
        <w:jc w:val="both"/>
      </w:pPr>
      <w:r>
        <w:rPr>
          <w:color w:val="333333"/>
          <w:w w:val="110"/>
        </w:rPr>
        <w:t xml:space="preserve">The easiest way to add user accounts is to provide your own </w:t>
      </w:r>
      <w:r>
        <w:rPr>
          <w:rFonts w:ascii="MS Gothic"/>
          <w:color w:val="B02045"/>
          <w:w w:val="110"/>
        </w:rPr>
        <w:t>UserDetailsService</w:t>
      </w:r>
      <w:r>
        <w:rPr>
          <w:rFonts w:ascii="MS Gothic"/>
          <w:color w:val="B02045"/>
          <w:spacing w:val="-75"/>
          <w:w w:val="110"/>
        </w:rPr>
        <w:t xml:space="preserve"> </w:t>
      </w:r>
      <w:r>
        <w:rPr>
          <w:color w:val="333333"/>
          <w:w w:val="110"/>
        </w:rPr>
        <w:t>bean.</w:t>
      </w:r>
    </w:p>
    <w:p w14:paraId="32DADB63" w14:textId="77777777" w:rsidR="00A720EB" w:rsidRDefault="00A720EB">
      <w:pPr>
        <w:pStyle w:val="a3"/>
        <w:spacing w:before="6"/>
        <w:rPr>
          <w:sz w:val="30"/>
        </w:rPr>
      </w:pPr>
    </w:p>
    <w:p w14:paraId="111F3D29" w14:textId="77777777" w:rsidR="00A720EB" w:rsidRDefault="0030286B">
      <w:pPr>
        <w:pStyle w:val="3"/>
        <w:numPr>
          <w:ilvl w:val="2"/>
          <w:numId w:val="13"/>
        </w:numPr>
        <w:tabs>
          <w:tab w:val="left" w:pos="1003"/>
        </w:tabs>
        <w:spacing w:before="1"/>
        <w:ind w:left="1002" w:hanging="879"/>
      </w:pPr>
      <w:bookmarkStart w:id="973" w:name="9.14.3._Enable_HTTPS_When_Running_behind"/>
      <w:bookmarkStart w:id="974" w:name="_Toc54424006"/>
      <w:bookmarkEnd w:id="973"/>
      <w:r>
        <w:rPr>
          <w:color w:val="333333"/>
          <w:w w:val="110"/>
        </w:rPr>
        <w:t>Enable</w:t>
      </w:r>
      <w:r>
        <w:rPr>
          <w:color w:val="333333"/>
          <w:spacing w:val="-8"/>
          <w:w w:val="110"/>
        </w:rPr>
        <w:t xml:space="preserve"> </w:t>
      </w:r>
      <w:r>
        <w:rPr>
          <w:color w:val="333333"/>
          <w:w w:val="110"/>
        </w:rPr>
        <w:t>HTTPS</w:t>
      </w:r>
      <w:r>
        <w:rPr>
          <w:color w:val="333333"/>
          <w:spacing w:val="-8"/>
          <w:w w:val="110"/>
        </w:rPr>
        <w:t xml:space="preserve"> </w:t>
      </w:r>
      <w:r>
        <w:rPr>
          <w:color w:val="333333"/>
          <w:w w:val="110"/>
        </w:rPr>
        <w:t>When</w:t>
      </w:r>
      <w:r>
        <w:rPr>
          <w:color w:val="333333"/>
          <w:spacing w:val="-8"/>
          <w:w w:val="110"/>
        </w:rPr>
        <w:t xml:space="preserve"> </w:t>
      </w:r>
      <w:r>
        <w:rPr>
          <w:color w:val="333333"/>
          <w:w w:val="110"/>
        </w:rPr>
        <w:t>Running</w:t>
      </w:r>
      <w:r>
        <w:rPr>
          <w:color w:val="333333"/>
          <w:spacing w:val="-7"/>
          <w:w w:val="110"/>
        </w:rPr>
        <w:t xml:space="preserve"> </w:t>
      </w:r>
      <w:r>
        <w:rPr>
          <w:color w:val="333333"/>
          <w:w w:val="110"/>
        </w:rPr>
        <w:t>behind</w:t>
      </w:r>
      <w:r>
        <w:rPr>
          <w:color w:val="333333"/>
          <w:spacing w:val="-8"/>
          <w:w w:val="110"/>
        </w:rPr>
        <w:t xml:space="preserve"> </w:t>
      </w:r>
      <w:r>
        <w:rPr>
          <w:color w:val="333333"/>
          <w:w w:val="110"/>
        </w:rPr>
        <w:t>a</w:t>
      </w:r>
      <w:r>
        <w:rPr>
          <w:color w:val="333333"/>
          <w:spacing w:val="-7"/>
          <w:w w:val="110"/>
        </w:rPr>
        <w:t xml:space="preserve"> </w:t>
      </w:r>
      <w:r>
        <w:rPr>
          <w:color w:val="333333"/>
          <w:w w:val="110"/>
        </w:rPr>
        <w:t>Proxy</w:t>
      </w:r>
      <w:r>
        <w:rPr>
          <w:color w:val="333333"/>
          <w:spacing w:val="-7"/>
          <w:w w:val="110"/>
        </w:rPr>
        <w:t xml:space="preserve"> </w:t>
      </w:r>
      <w:r>
        <w:rPr>
          <w:color w:val="333333"/>
          <w:w w:val="110"/>
        </w:rPr>
        <w:t>Server</w:t>
      </w:r>
      <w:bookmarkEnd w:id="974"/>
    </w:p>
    <w:p w14:paraId="7679F95A" w14:textId="77777777" w:rsidR="00A720EB" w:rsidRDefault="0030286B">
      <w:pPr>
        <w:pStyle w:val="a3"/>
        <w:spacing w:before="253" w:line="295" w:lineRule="auto"/>
        <w:ind w:left="124" w:right="124"/>
        <w:jc w:val="both"/>
      </w:pPr>
      <w:r>
        <w:rPr>
          <w:color w:val="333333"/>
          <w:w w:val="110"/>
        </w:rPr>
        <w:t xml:space="preserve">Ensuring that all your main endpoints are only available over HTTPS is an important chore for any application. If you use Tomcat as a servlet container, then Spring Boot adds Tomcat’s own </w:t>
      </w:r>
      <w:r>
        <w:rPr>
          <w:rFonts w:ascii="MS Gothic" w:hAnsi="MS Gothic"/>
          <w:color w:val="B02045"/>
          <w:w w:val="110"/>
        </w:rPr>
        <w:t xml:space="preserve">RemoteIpValve </w:t>
      </w:r>
      <w:r>
        <w:rPr>
          <w:color w:val="333333"/>
          <w:w w:val="110"/>
        </w:rPr>
        <w:t xml:space="preserve">automatically if it detects some environment settings, and you should be able to rely on the </w:t>
      </w:r>
      <w:r>
        <w:rPr>
          <w:rFonts w:ascii="MS Gothic" w:hAnsi="MS Gothic"/>
          <w:color w:val="B02045"/>
          <w:w w:val="110"/>
        </w:rPr>
        <w:t>HttpServletRequest</w:t>
      </w:r>
      <w:r>
        <w:rPr>
          <w:rFonts w:ascii="MS Gothic" w:hAnsi="MS Gothic"/>
          <w:color w:val="B02045"/>
          <w:spacing w:val="-85"/>
          <w:w w:val="110"/>
        </w:rPr>
        <w:t xml:space="preserve"> </w:t>
      </w:r>
      <w:r>
        <w:rPr>
          <w:color w:val="333333"/>
          <w:w w:val="110"/>
        </w:rPr>
        <w:t xml:space="preserve">to report whether it is secure or not (even downstream of a proxy server that handles the real SSL termination). The standard behavior is determined </w:t>
      </w:r>
      <w:r>
        <w:rPr>
          <w:color w:val="333333"/>
          <w:spacing w:val="-3"/>
          <w:w w:val="110"/>
        </w:rPr>
        <w:t xml:space="preserve">by </w:t>
      </w:r>
      <w:r>
        <w:rPr>
          <w:color w:val="333333"/>
          <w:w w:val="110"/>
        </w:rPr>
        <w:t>the presence or absence of certain request headers (</w:t>
      </w:r>
      <w:r>
        <w:rPr>
          <w:rFonts w:ascii="MS Gothic" w:hAnsi="MS Gothic"/>
          <w:color w:val="B02045"/>
          <w:w w:val="110"/>
        </w:rPr>
        <w:t xml:space="preserve">x-forwarded-for </w:t>
      </w:r>
      <w:r>
        <w:rPr>
          <w:color w:val="333333"/>
          <w:w w:val="110"/>
        </w:rPr>
        <w:t xml:space="preserve">and </w:t>
      </w:r>
      <w:r>
        <w:rPr>
          <w:rFonts w:ascii="MS Gothic" w:hAnsi="MS Gothic"/>
          <w:color w:val="B02045"/>
          <w:w w:val="110"/>
        </w:rPr>
        <w:t>x-forwarded-proto</w:t>
      </w:r>
      <w:r>
        <w:rPr>
          <w:color w:val="333333"/>
          <w:w w:val="110"/>
        </w:rPr>
        <w:t xml:space="preserve">), whose names are conventional, so it should work with most front-end proxies. </w:t>
      </w:r>
      <w:r>
        <w:rPr>
          <w:color w:val="333333"/>
          <w:spacing w:val="-6"/>
          <w:w w:val="110"/>
        </w:rPr>
        <w:t xml:space="preserve">You </w:t>
      </w:r>
      <w:r>
        <w:rPr>
          <w:color w:val="333333"/>
          <w:w w:val="110"/>
        </w:rPr>
        <w:t xml:space="preserve">can switch on the valve </w:t>
      </w:r>
      <w:r>
        <w:rPr>
          <w:color w:val="333333"/>
          <w:spacing w:val="-3"/>
          <w:w w:val="110"/>
        </w:rPr>
        <w:t xml:space="preserve">by </w:t>
      </w:r>
      <w:r>
        <w:rPr>
          <w:color w:val="333333"/>
          <w:w w:val="110"/>
        </w:rPr>
        <w:t xml:space="preserve">adding some entries to </w:t>
      </w:r>
      <w:proofErr w:type="gramStart"/>
      <w:r>
        <w:rPr>
          <w:rFonts w:ascii="MS Gothic" w:hAnsi="MS Gothic"/>
          <w:color w:val="B02045"/>
          <w:w w:val="110"/>
        </w:rPr>
        <w:t>application.properties</w:t>
      </w:r>
      <w:proofErr w:type="gramEnd"/>
      <w:r>
        <w:rPr>
          <w:color w:val="333333"/>
          <w:w w:val="110"/>
        </w:rPr>
        <w:t>, as shown in the following example:</w:t>
      </w:r>
    </w:p>
    <w:p w14:paraId="405FD906" w14:textId="77777777" w:rsidR="00A720EB" w:rsidRDefault="00E10349">
      <w:pPr>
        <w:pStyle w:val="a3"/>
        <w:spacing w:before="3"/>
        <w:rPr>
          <w:sz w:val="12"/>
        </w:rPr>
      </w:pPr>
      <w:r>
        <w:pict w14:anchorId="7D4FF6BF">
          <v:group id="_x0000_s1290" style="position:absolute;margin-left:47.85pt;margin-top:9.15pt;width:499.55pt;height:52.25pt;z-index:-15047168;mso-wrap-distance-left:0;mso-wrap-distance-right:0;mso-position-horizontal-relative:page" coordorigin="957,183" coordsize="9991,1045">
            <v:shape id="_x0000_s1293" style="position:absolute;left:964;top:190;width:9976;height:1030" coordorigin="965,191" coordsize="9976,1030" path="m10861,191r-9816,l1014,197r-26,17l971,240r-6,31l965,1140r6,31l988,1197r26,17l1045,1220r9816,l10892,1214r25,-17l10935,1171r6,-31l10941,271r-6,-31l10917,214r-25,-17l10861,191xe" fillcolor="#f5f5f5" stroked="f">
              <v:path arrowok="t"/>
            </v:shape>
            <v:shape id="_x0000_s1292" style="position:absolute;left:964;top:190;width:9976;height:1030" coordorigin="965,191" coordsize="9976,1030" path="m1045,191r9816,l10892,197r25,17l10935,240r6,31l10941,1140r-6,31l10917,1197r-25,17l10861,1220r-9816,l1014,1214r-26,-17l971,1171r-6,-31l965,271r6,-31l988,214r26,-17l1045,191xe" filled="f" strokecolor="#ccc">
              <v:path arrowok="t"/>
            </v:shape>
            <v:shape id="_x0000_s1291" type="#_x0000_t202" style="position:absolute;left:984;top:206;width:9938;height:999" filled="f" stroked="f">
              <v:textbox inset="0,0,0,0">
                <w:txbxContent>
                  <w:p w14:paraId="7A95FFD7" w14:textId="77777777" w:rsidR="00711A16" w:rsidRDefault="00711A16">
                    <w:pPr>
                      <w:spacing w:before="221" w:line="252" w:lineRule="auto"/>
                      <w:ind w:left="200" w:right="3574"/>
                      <w:rPr>
                        <w:rFonts w:ascii="MS Gothic"/>
                      </w:rPr>
                    </w:pPr>
                    <w:proofErr w:type="gramStart"/>
                    <w:r>
                      <w:rPr>
                        <w:rFonts w:ascii="MS Gothic"/>
                        <w:color w:val="333333"/>
                      </w:rPr>
                      <w:t>server.tomcat</w:t>
                    </w:r>
                    <w:proofErr w:type="gramEnd"/>
                    <w:r>
                      <w:rPr>
                        <w:rFonts w:ascii="MS Gothic"/>
                        <w:color w:val="333333"/>
                      </w:rPr>
                      <w:t>.remoteip.remote-ip-header=x-forwarded-for server.tomcat.remoteip.protocol-header=x-forwarded-proto</w:t>
                    </w:r>
                  </w:p>
                </w:txbxContent>
              </v:textbox>
            </v:shape>
            <w10:wrap type="topAndBottom" anchorx="page"/>
          </v:group>
        </w:pict>
      </w:r>
    </w:p>
    <w:p w14:paraId="3815813D" w14:textId="77777777" w:rsidR="00A720EB" w:rsidRDefault="00A720EB">
      <w:pPr>
        <w:pStyle w:val="a3"/>
        <w:rPr>
          <w:sz w:val="10"/>
        </w:rPr>
      </w:pPr>
    </w:p>
    <w:p w14:paraId="2C0BD4A2" w14:textId="77777777" w:rsidR="00A720EB" w:rsidRDefault="0030286B">
      <w:pPr>
        <w:pStyle w:val="a3"/>
        <w:spacing w:before="125"/>
        <w:ind w:left="124"/>
      </w:pPr>
      <w:r>
        <w:rPr>
          <w:color w:val="333333"/>
          <w:w w:val="110"/>
        </w:rPr>
        <w:t>(The presence of either of those properties switches on the valve. Alternatively, you can add the</w:t>
      </w:r>
    </w:p>
    <w:p w14:paraId="5CE90BAA" w14:textId="77777777" w:rsidR="00A720EB" w:rsidRDefault="0030286B">
      <w:pPr>
        <w:pStyle w:val="a3"/>
        <w:spacing w:before="59"/>
        <w:ind w:left="124"/>
      </w:pPr>
      <w:r>
        <w:rPr>
          <w:rFonts w:ascii="MS Gothic"/>
          <w:color w:val="B02045"/>
          <w:w w:val="110"/>
        </w:rPr>
        <w:t>RemoteIpValve</w:t>
      </w:r>
      <w:r>
        <w:rPr>
          <w:rFonts w:ascii="MS Gothic"/>
          <w:color w:val="B02045"/>
          <w:spacing w:val="-68"/>
          <w:w w:val="110"/>
        </w:rPr>
        <w:t xml:space="preserve"> </w:t>
      </w:r>
      <w:r>
        <w:rPr>
          <w:color w:val="333333"/>
          <w:spacing w:val="-3"/>
          <w:w w:val="110"/>
        </w:rPr>
        <w:t xml:space="preserve">by </w:t>
      </w:r>
      <w:r>
        <w:rPr>
          <w:color w:val="333333"/>
          <w:w w:val="110"/>
        </w:rPr>
        <w:t xml:space="preserve">adding a </w:t>
      </w:r>
      <w:r>
        <w:rPr>
          <w:rFonts w:ascii="MS Gothic"/>
          <w:color w:val="B02045"/>
          <w:w w:val="110"/>
        </w:rPr>
        <w:t>TomcatServletWebServerFactory</w:t>
      </w:r>
      <w:r>
        <w:rPr>
          <w:rFonts w:ascii="MS Gothic"/>
          <w:color w:val="B02045"/>
          <w:spacing w:val="-68"/>
          <w:w w:val="110"/>
        </w:rPr>
        <w:t xml:space="preserve"> </w:t>
      </w:r>
      <w:r>
        <w:rPr>
          <w:color w:val="333333"/>
          <w:w w:val="110"/>
        </w:rPr>
        <w:t>bean.)</w:t>
      </w:r>
    </w:p>
    <w:p w14:paraId="7371572A" w14:textId="77777777" w:rsidR="00A720EB" w:rsidRDefault="00A720EB">
      <w:pPr>
        <w:pStyle w:val="a3"/>
        <w:spacing w:before="4"/>
        <w:rPr>
          <w:sz w:val="25"/>
        </w:rPr>
      </w:pPr>
    </w:p>
    <w:p w14:paraId="5E29E15D" w14:textId="77777777" w:rsidR="00A720EB" w:rsidRDefault="0030286B">
      <w:pPr>
        <w:pStyle w:val="a3"/>
        <w:spacing w:line="297" w:lineRule="auto"/>
        <w:ind w:left="124"/>
      </w:pPr>
      <w:r>
        <w:rPr>
          <w:color w:val="333333"/>
          <w:spacing w:val="-4"/>
          <w:w w:val="110"/>
        </w:rPr>
        <w:t xml:space="preserve">To </w:t>
      </w:r>
      <w:r>
        <w:rPr>
          <w:color w:val="333333"/>
          <w:w w:val="110"/>
        </w:rPr>
        <w:t xml:space="preserve">configure Spring Security to require a secure channel for all (or some) requests, consider adding your own </w:t>
      </w:r>
      <w:r>
        <w:rPr>
          <w:rFonts w:ascii="MS Gothic"/>
          <w:color w:val="B02045"/>
          <w:w w:val="110"/>
        </w:rPr>
        <w:t>WebSecurityConfigurerAdapter</w:t>
      </w:r>
      <w:r>
        <w:rPr>
          <w:rFonts w:ascii="MS Gothic"/>
          <w:color w:val="B02045"/>
          <w:spacing w:val="-76"/>
          <w:w w:val="110"/>
        </w:rPr>
        <w:t xml:space="preserve"> </w:t>
      </w:r>
      <w:r>
        <w:rPr>
          <w:color w:val="333333"/>
          <w:w w:val="110"/>
        </w:rPr>
        <w:t xml:space="preserve">that adds the following </w:t>
      </w:r>
      <w:r>
        <w:rPr>
          <w:rFonts w:ascii="MS Gothic"/>
          <w:color w:val="B02045"/>
          <w:w w:val="110"/>
        </w:rPr>
        <w:t>HttpSecurity</w:t>
      </w:r>
      <w:r>
        <w:rPr>
          <w:rFonts w:ascii="MS Gothic"/>
          <w:color w:val="B02045"/>
          <w:spacing w:val="-77"/>
          <w:w w:val="110"/>
        </w:rPr>
        <w:t xml:space="preserve"> </w:t>
      </w:r>
      <w:r>
        <w:rPr>
          <w:color w:val="333333"/>
          <w:w w:val="110"/>
        </w:rPr>
        <w:t>configuration:</w:t>
      </w:r>
    </w:p>
    <w:p w14:paraId="07B79769" w14:textId="77777777" w:rsidR="00A720EB" w:rsidRDefault="00E10349">
      <w:pPr>
        <w:pStyle w:val="a3"/>
        <w:spacing w:before="5"/>
        <w:rPr>
          <w:sz w:val="12"/>
        </w:rPr>
      </w:pPr>
      <w:r>
        <w:pict w14:anchorId="7FB9FD49">
          <v:group id="_x0000_s1286" style="position:absolute;margin-left:47.85pt;margin-top:9.25pt;width:499.55pt;height:170.15pt;z-index:-15046656;mso-wrap-distance-left:0;mso-wrap-distance-right:0;mso-position-horizontal-relative:page" coordorigin="957,185" coordsize="9991,3403">
            <v:shape id="_x0000_s1289" style="position:absolute;left:964;top:192;width:9976;height:3388" coordorigin="965,193" coordsize="9976,3388" path="m10861,193r-9816,l1014,199r-26,17l971,242r-6,31l965,3501r6,31l988,3557r26,18l1045,3581r9816,l10892,3575r25,-18l10935,3532r6,-31l10941,273r-6,-31l10917,216r-25,-17l10861,193xe" fillcolor="#f5f5f5" stroked="f">
              <v:path arrowok="t"/>
            </v:shape>
            <v:shape id="_x0000_s1288" style="position:absolute;left:964;top:192;width:9976;height:3388" coordorigin="965,193" coordsize="9976,3388" path="m1045,193r9816,l10892,199r25,17l10935,242r6,31l10941,3501r-6,31l10917,3557r-25,18l10861,3581r-9816,l1014,3575r-26,-18l971,3532r-6,-31l965,273r6,-31l988,216r26,-17l1045,193xe" filled="f" strokecolor="#ccc">
              <v:path arrowok="t"/>
            </v:shape>
            <v:shape id="_x0000_s1287" type="#_x0000_t202" style="position:absolute;left:984;top:208;width:9938;height:3358" filled="f" stroked="f">
              <v:textbox inset="0,0,0,0">
                <w:txbxContent>
                  <w:p w14:paraId="6B40A116" w14:textId="77777777" w:rsidR="00711A16" w:rsidRDefault="00711A16">
                    <w:pPr>
                      <w:spacing w:before="221"/>
                      <w:ind w:left="200"/>
                      <w:rPr>
                        <w:rFonts w:ascii="MS Gothic"/>
                      </w:rPr>
                    </w:pPr>
                    <w:r>
                      <w:rPr>
                        <w:rFonts w:ascii="MS Gothic"/>
                        <w:color w:val="333333"/>
                      </w:rPr>
                      <w:t>@</w:t>
                    </w:r>
                    <w:proofErr w:type="gramStart"/>
                    <w:r>
                      <w:rPr>
                        <w:rFonts w:ascii="MS Gothic"/>
                        <w:color w:val="333333"/>
                      </w:rPr>
                      <w:t>Configuration(</w:t>
                    </w:r>
                    <w:proofErr w:type="gramEnd"/>
                    <w:r>
                      <w:rPr>
                        <w:rFonts w:ascii="MS Gothic"/>
                        <w:color w:val="333333"/>
                      </w:rPr>
                      <w:t>proxyBeanMethods = false)</w:t>
                    </w:r>
                  </w:p>
                  <w:p w14:paraId="2970BFFB" w14:textId="77777777" w:rsidR="00711A16" w:rsidRDefault="00711A16">
                    <w:pPr>
                      <w:spacing w:before="13"/>
                      <w:ind w:left="200"/>
                      <w:rPr>
                        <w:rFonts w:ascii="MS Gothic"/>
                      </w:rPr>
                    </w:pPr>
                    <w:r>
                      <w:rPr>
                        <w:rFonts w:ascii="MS Gothic"/>
                        <w:color w:val="333333"/>
                      </w:rPr>
                      <w:t>public class SslWebSecurityConfigurerAdapter extends WebSecurityConfigurerAdapter {</w:t>
                    </w:r>
                  </w:p>
                  <w:p w14:paraId="6581C4BE" w14:textId="77777777" w:rsidR="00711A16" w:rsidRDefault="00711A16">
                    <w:pPr>
                      <w:rPr>
                        <w:rFonts w:ascii="MS Gothic"/>
                        <w:sz w:val="24"/>
                      </w:rPr>
                    </w:pPr>
                  </w:p>
                  <w:p w14:paraId="3E658E95" w14:textId="77777777" w:rsidR="00711A16" w:rsidRDefault="00711A16">
                    <w:pPr>
                      <w:ind w:left="640"/>
                      <w:rPr>
                        <w:rFonts w:ascii="MS Gothic"/>
                      </w:rPr>
                    </w:pPr>
                    <w:r>
                      <w:rPr>
                        <w:rFonts w:ascii="MS Gothic"/>
                        <w:color w:val="333333"/>
                      </w:rPr>
                      <w:t>@Override</w:t>
                    </w:r>
                  </w:p>
                  <w:p w14:paraId="591BB0A3" w14:textId="77777777" w:rsidR="00711A16" w:rsidRDefault="00711A16">
                    <w:pPr>
                      <w:spacing w:before="13"/>
                      <w:ind w:left="640"/>
                      <w:rPr>
                        <w:rFonts w:ascii="MS Gothic"/>
                      </w:rPr>
                    </w:pPr>
                    <w:r>
                      <w:rPr>
                        <w:rFonts w:ascii="MS Gothic"/>
                        <w:color w:val="333333"/>
                      </w:rPr>
                      <w:t xml:space="preserve">protected void </w:t>
                    </w:r>
                    <w:proofErr w:type="gramStart"/>
                    <w:r>
                      <w:rPr>
                        <w:rFonts w:ascii="MS Gothic"/>
                        <w:color w:val="333333"/>
                      </w:rPr>
                      <w:t>configure(</w:t>
                    </w:r>
                    <w:proofErr w:type="gramEnd"/>
                    <w:r>
                      <w:rPr>
                        <w:rFonts w:ascii="MS Gothic"/>
                        <w:color w:val="333333"/>
                      </w:rPr>
                      <w:t>HttpSecurity http) throws Exception {</w:t>
                    </w:r>
                  </w:p>
                  <w:p w14:paraId="16543422" w14:textId="77777777" w:rsidR="00711A16" w:rsidRDefault="00711A16">
                    <w:pPr>
                      <w:spacing w:before="13" w:line="252" w:lineRule="auto"/>
                      <w:ind w:left="1080" w:right="3008"/>
                      <w:rPr>
                        <w:rFonts w:ascii="MS Gothic"/>
                      </w:rPr>
                    </w:pPr>
                    <w:r>
                      <w:rPr>
                        <w:rFonts w:ascii="MS Gothic"/>
                        <w:color w:val="333333"/>
                      </w:rPr>
                      <w:t xml:space="preserve">// Customize the application security </w:t>
                    </w:r>
                    <w:proofErr w:type="gramStart"/>
                    <w:r>
                      <w:rPr>
                        <w:rFonts w:ascii="MS Gothic"/>
                        <w:color w:val="333333"/>
                      </w:rPr>
                      <w:t>http.requiresChannel</w:t>
                    </w:r>
                    <w:proofErr w:type="gramEnd"/>
                    <w:r>
                      <w:rPr>
                        <w:rFonts w:ascii="MS Gothic"/>
                        <w:color w:val="333333"/>
                      </w:rPr>
                      <w:t>().anyRequest().requiresSecure();</w:t>
                    </w:r>
                  </w:p>
                  <w:p w14:paraId="3760CACD" w14:textId="77777777" w:rsidR="00711A16" w:rsidRDefault="00711A16">
                    <w:pPr>
                      <w:spacing w:line="280" w:lineRule="exact"/>
                      <w:ind w:left="640"/>
                      <w:rPr>
                        <w:rFonts w:ascii="MS Gothic"/>
                      </w:rPr>
                    </w:pPr>
                    <w:r>
                      <w:rPr>
                        <w:rFonts w:ascii="MS Gothic"/>
                        <w:color w:val="333333"/>
                      </w:rPr>
                      <w:t>}</w:t>
                    </w:r>
                  </w:p>
                  <w:p w14:paraId="1750FB22" w14:textId="77777777" w:rsidR="00711A16" w:rsidRDefault="00711A16">
                    <w:pPr>
                      <w:rPr>
                        <w:rFonts w:ascii="MS Gothic"/>
                        <w:sz w:val="24"/>
                      </w:rPr>
                    </w:pPr>
                  </w:p>
                  <w:p w14:paraId="18BF06F8" w14:textId="77777777" w:rsidR="00711A16" w:rsidRDefault="00711A16">
                    <w:pPr>
                      <w:ind w:left="200"/>
                      <w:rPr>
                        <w:rFonts w:ascii="MS Gothic"/>
                      </w:rPr>
                    </w:pPr>
                    <w:r>
                      <w:rPr>
                        <w:rFonts w:ascii="MS Gothic"/>
                        <w:color w:val="333333"/>
                      </w:rPr>
                      <w:t>}</w:t>
                    </w:r>
                  </w:p>
                </w:txbxContent>
              </v:textbox>
            </v:shape>
            <w10:wrap type="topAndBottom" anchorx="page"/>
          </v:group>
        </w:pict>
      </w:r>
    </w:p>
    <w:p w14:paraId="29385CD4" w14:textId="77777777" w:rsidR="00A720EB" w:rsidRDefault="00A720EB">
      <w:pPr>
        <w:pStyle w:val="a3"/>
        <w:spacing w:before="11"/>
        <w:rPr>
          <w:sz w:val="16"/>
        </w:rPr>
      </w:pPr>
    </w:p>
    <w:p w14:paraId="724E0801" w14:textId="77777777" w:rsidR="00A720EB" w:rsidRDefault="0030286B">
      <w:pPr>
        <w:pStyle w:val="2"/>
        <w:numPr>
          <w:ilvl w:val="1"/>
          <w:numId w:val="13"/>
        </w:numPr>
        <w:tabs>
          <w:tab w:val="left" w:pos="1034"/>
        </w:tabs>
        <w:spacing w:before="107"/>
        <w:ind w:left="1033" w:hanging="910"/>
      </w:pPr>
      <w:bookmarkStart w:id="975" w:name="9.15._Hot_Swapping"/>
      <w:bookmarkStart w:id="976" w:name="_Toc54424007"/>
      <w:bookmarkEnd w:id="975"/>
      <w:r>
        <w:rPr>
          <w:color w:val="333333"/>
          <w:w w:val="105"/>
        </w:rPr>
        <w:t>Hot</w:t>
      </w:r>
      <w:r>
        <w:rPr>
          <w:color w:val="333333"/>
          <w:spacing w:val="-3"/>
          <w:w w:val="105"/>
        </w:rPr>
        <w:t xml:space="preserve"> </w:t>
      </w:r>
      <w:r>
        <w:rPr>
          <w:color w:val="333333"/>
          <w:w w:val="105"/>
        </w:rPr>
        <w:t>Swapping</w:t>
      </w:r>
      <w:bookmarkEnd w:id="976"/>
    </w:p>
    <w:p w14:paraId="36960A25" w14:textId="77777777" w:rsidR="00A720EB" w:rsidRDefault="0030286B">
      <w:pPr>
        <w:pStyle w:val="a3"/>
        <w:spacing w:before="253"/>
        <w:ind w:left="124"/>
      </w:pPr>
      <w:r>
        <w:rPr>
          <w:color w:val="333333"/>
          <w:w w:val="110"/>
        </w:rPr>
        <w:t>Spring Boot supports hot swapping. This section answers questions about how it works.</w:t>
      </w:r>
    </w:p>
    <w:p w14:paraId="351009FB" w14:textId="77777777" w:rsidR="00A720EB" w:rsidRDefault="00A720EB">
      <w:pPr>
        <w:pStyle w:val="a3"/>
        <w:spacing w:before="7"/>
        <w:rPr>
          <w:sz w:val="31"/>
        </w:rPr>
      </w:pPr>
    </w:p>
    <w:p w14:paraId="435BA22C" w14:textId="77777777" w:rsidR="00A720EB" w:rsidRDefault="0030286B">
      <w:pPr>
        <w:pStyle w:val="3"/>
        <w:numPr>
          <w:ilvl w:val="2"/>
          <w:numId w:val="13"/>
        </w:numPr>
        <w:tabs>
          <w:tab w:val="left" w:pos="1003"/>
        </w:tabs>
        <w:ind w:left="1002" w:hanging="879"/>
      </w:pPr>
      <w:bookmarkStart w:id="977" w:name="9.15.1._Reload_Static_Content"/>
      <w:bookmarkStart w:id="978" w:name="_Toc54424008"/>
      <w:bookmarkEnd w:id="977"/>
      <w:r>
        <w:rPr>
          <w:color w:val="333333"/>
          <w:w w:val="110"/>
        </w:rPr>
        <w:t>Reload Static</w:t>
      </w:r>
      <w:r>
        <w:rPr>
          <w:color w:val="333333"/>
          <w:spacing w:val="-11"/>
          <w:w w:val="110"/>
        </w:rPr>
        <w:t xml:space="preserve"> </w:t>
      </w:r>
      <w:r>
        <w:rPr>
          <w:color w:val="333333"/>
          <w:w w:val="110"/>
        </w:rPr>
        <w:t>Content</w:t>
      </w:r>
      <w:bookmarkEnd w:id="978"/>
    </w:p>
    <w:p w14:paraId="2D695078" w14:textId="77777777" w:rsidR="00A720EB" w:rsidRDefault="0030286B">
      <w:pPr>
        <w:pStyle w:val="a3"/>
        <w:spacing w:before="243" w:line="280" w:lineRule="auto"/>
        <w:ind w:left="124"/>
      </w:pPr>
      <w:r>
        <w:rPr>
          <w:color w:val="333333"/>
          <w:w w:val="110"/>
        </w:rPr>
        <w:t xml:space="preserve">There are several options for hot reloading. The recommended approach is to use </w:t>
      </w:r>
      <w:hyperlink w:anchor="_bookmark65" w:history="1">
        <w:r>
          <w:rPr>
            <w:rFonts w:ascii="MS Gothic"/>
            <w:color w:val="B02045"/>
            <w:w w:val="110"/>
          </w:rPr>
          <w:t>spring-boot-</w:t>
        </w:r>
      </w:hyperlink>
      <w:r>
        <w:rPr>
          <w:rFonts w:ascii="MS Gothic"/>
          <w:color w:val="B02045"/>
          <w:w w:val="110"/>
        </w:rPr>
        <w:t xml:space="preserve"> </w:t>
      </w:r>
      <w:hyperlink w:anchor="_bookmark65" w:history="1">
        <w:r>
          <w:rPr>
            <w:rFonts w:ascii="MS Gothic"/>
            <w:color w:val="B02045"/>
            <w:w w:val="110"/>
          </w:rPr>
          <w:t>devtools</w:t>
        </w:r>
      </w:hyperlink>
      <w:r>
        <w:rPr>
          <w:color w:val="333333"/>
          <w:w w:val="110"/>
        </w:rPr>
        <w:t>, as it provides additional development-time features, such as support for fast application</w:t>
      </w:r>
    </w:p>
    <w:p w14:paraId="3C40E74E" w14:textId="77777777" w:rsidR="00A720EB" w:rsidRDefault="00A720EB">
      <w:pPr>
        <w:spacing w:line="280" w:lineRule="auto"/>
        <w:sectPr w:rsidR="00A720EB">
          <w:pgSz w:w="11910" w:h="16840"/>
          <w:pgMar w:top="620" w:right="840" w:bottom="520" w:left="840" w:header="0" w:footer="323" w:gutter="0"/>
          <w:cols w:space="720"/>
        </w:sectPr>
      </w:pPr>
    </w:p>
    <w:p w14:paraId="20F681C4" w14:textId="77777777" w:rsidR="00A720EB" w:rsidRDefault="0030286B">
      <w:pPr>
        <w:pStyle w:val="a3"/>
        <w:spacing w:before="107" w:line="307" w:lineRule="auto"/>
        <w:ind w:left="124" w:right="123"/>
        <w:jc w:val="both"/>
      </w:pPr>
      <w:r>
        <w:rPr>
          <w:color w:val="333333"/>
          <w:w w:val="110"/>
        </w:rPr>
        <w:lastRenderedPageBreak/>
        <w:t xml:space="preserve">restarts and LiveReload as well as sensible development-time configuration (such as template caching). Devtools works </w:t>
      </w:r>
      <w:r>
        <w:rPr>
          <w:color w:val="333333"/>
          <w:spacing w:val="-3"/>
          <w:w w:val="110"/>
        </w:rPr>
        <w:t xml:space="preserve">by </w:t>
      </w:r>
      <w:r>
        <w:rPr>
          <w:color w:val="333333"/>
          <w:w w:val="110"/>
        </w:rPr>
        <w:t xml:space="preserve">monitoring the classpath for changes. This means that static resource changes must be "built" for the change to take effect. </w:t>
      </w:r>
      <w:r>
        <w:rPr>
          <w:color w:val="333333"/>
          <w:spacing w:val="-3"/>
          <w:w w:val="110"/>
        </w:rPr>
        <w:t xml:space="preserve">By </w:t>
      </w:r>
      <w:r>
        <w:rPr>
          <w:color w:val="333333"/>
          <w:w w:val="110"/>
        </w:rPr>
        <w:t xml:space="preserve">default, this happens </w:t>
      </w:r>
      <w:proofErr w:type="gramStart"/>
      <w:r>
        <w:rPr>
          <w:color w:val="333333"/>
          <w:w w:val="110"/>
        </w:rPr>
        <w:t>automatically  in</w:t>
      </w:r>
      <w:proofErr w:type="gramEnd"/>
      <w:r>
        <w:rPr>
          <w:color w:val="333333"/>
          <w:w w:val="110"/>
        </w:rPr>
        <w:t xml:space="preserve"> Eclipse when you save your changes. In IntelliJ IDEA, the Make Project command triggers the necessary build. Due to the </w:t>
      </w:r>
      <w:hyperlink w:anchor="_bookmark70" w:history="1">
        <w:r>
          <w:rPr>
            <w:color w:val="418BCA"/>
            <w:w w:val="110"/>
          </w:rPr>
          <w:t>default restart exclusions</w:t>
        </w:r>
      </w:hyperlink>
      <w:r>
        <w:rPr>
          <w:color w:val="333333"/>
          <w:w w:val="110"/>
        </w:rPr>
        <w:t>, changes to static resources do not trigger a restart of your application. They do, however, trigger a live</w:t>
      </w:r>
      <w:r>
        <w:rPr>
          <w:color w:val="333333"/>
          <w:spacing w:val="34"/>
          <w:w w:val="110"/>
        </w:rPr>
        <w:t xml:space="preserve"> </w:t>
      </w:r>
      <w:r>
        <w:rPr>
          <w:color w:val="333333"/>
          <w:w w:val="110"/>
        </w:rPr>
        <w:t>reload.</w:t>
      </w:r>
    </w:p>
    <w:p w14:paraId="2BDCFB4B" w14:textId="77777777" w:rsidR="00A720EB" w:rsidRDefault="0030286B">
      <w:pPr>
        <w:pStyle w:val="a3"/>
        <w:spacing w:before="242" w:line="307" w:lineRule="auto"/>
        <w:ind w:left="124" w:right="129"/>
        <w:jc w:val="both"/>
      </w:pPr>
      <w:proofErr w:type="gramStart"/>
      <w:r>
        <w:rPr>
          <w:color w:val="333333"/>
          <w:spacing w:val="-3"/>
          <w:w w:val="110"/>
        </w:rPr>
        <w:t xml:space="preserve">Alternatively,  </w:t>
      </w:r>
      <w:r>
        <w:rPr>
          <w:color w:val="333333"/>
          <w:w w:val="110"/>
        </w:rPr>
        <w:t>running</w:t>
      </w:r>
      <w:proofErr w:type="gramEnd"/>
      <w:r>
        <w:rPr>
          <w:color w:val="333333"/>
          <w:w w:val="110"/>
        </w:rPr>
        <w:t xml:space="preserve"> in an IDE (especially with debugging on) is a good way to do development    (all modern IDEs allow reloading of static resources and usually also allow hot-swapping of Java</w:t>
      </w:r>
      <w:r>
        <w:rPr>
          <w:color w:val="333333"/>
          <w:spacing w:val="50"/>
          <w:w w:val="110"/>
        </w:rPr>
        <w:t xml:space="preserve"> </w:t>
      </w:r>
      <w:r>
        <w:rPr>
          <w:color w:val="333333"/>
          <w:w w:val="110"/>
        </w:rPr>
        <w:t>class</w:t>
      </w:r>
      <w:r>
        <w:rPr>
          <w:color w:val="333333"/>
          <w:spacing w:val="3"/>
          <w:w w:val="110"/>
        </w:rPr>
        <w:t xml:space="preserve"> </w:t>
      </w:r>
      <w:r>
        <w:rPr>
          <w:color w:val="333333"/>
          <w:w w:val="110"/>
        </w:rPr>
        <w:t>changes).</w:t>
      </w:r>
    </w:p>
    <w:p w14:paraId="57A143D6" w14:textId="77777777" w:rsidR="00A720EB" w:rsidRDefault="0030286B">
      <w:pPr>
        <w:pStyle w:val="a3"/>
        <w:spacing w:before="231" w:line="300" w:lineRule="auto"/>
        <w:ind w:left="124" w:right="124"/>
        <w:jc w:val="both"/>
      </w:pPr>
      <w:r>
        <w:rPr>
          <w:color w:val="333333"/>
          <w:w w:val="110"/>
        </w:rPr>
        <w:t xml:space="preserve">Finally, the </w:t>
      </w:r>
      <w:hyperlink w:anchor="_bookmark510" w:history="1">
        <w:r>
          <w:rPr>
            <w:color w:val="418BCA"/>
            <w:w w:val="110"/>
          </w:rPr>
          <w:t xml:space="preserve">Maven and Gradle plugins </w:t>
        </w:r>
      </w:hyperlink>
      <w:r>
        <w:rPr>
          <w:color w:val="333333"/>
          <w:w w:val="110"/>
        </w:rPr>
        <w:t xml:space="preserve">can be configured (see the </w:t>
      </w:r>
      <w:r>
        <w:rPr>
          <w:rFonts w:ascii="MS Gothic"/>
          <w:color w:val="B02045"/>
          <w:w w:val="110"/>
        </w:rPr>
        <w:t xml:space="preserve">addResources </w:t>
      </w:r>
      <w:r>
        <w:rPr>
          <w:color w:val="333333"/>
          <w:w w:val="110"/>
        </w:rPr>
        <w:t>property) to support running from the command line with reloading of static files directly from source. You can use that with an external css/js compiler process if you are writing that code with higher-level tools.</w:t>
      </w:r>
    </w:p>
    <w:p w14:paraId="60B44F8B" w14:textId="77777777" w:rsidR="00A720EB" w:rsidRDefault="00A720EB">
      <w:pPr>
        <w:pStyle w:val="a3"/>
        <w:spacing w:before="2"/>
        <w:rPr>
          <w:sz w:val="26"/>
        </w:rPr>
      </w:pPr>
    </w:p>
    <w:p w14:paraId="005C696E" w14:textId="77777777" w:rsidR="00A720EB" w:rsidRDefault="0030286B">
      <w:pPr>
        <w:pStyle w:val="3"/>
        <w:numPr>
          <w:ilvl w:val="2"/>
          <w:numId w:val="13"/>
        </w:numPr>
        <w:tabs>
          <w:tab w:val="left" w:pos="1003"/>
        </w:tabs>
        <w:ind w:left="1002" w:hanging="879"/>
      </w:pPr>
      <w:bookmarkStart w:id="979" w:name="9.15.2._Reload_Templates_without_Restart"/>
      <w:bookmarkStart w:id="980" w:name="_Toc54424009"/>
      <w:bookmarkEnd w:id="979"/>
      <w:r>
        <w:rPr>
          <w:color w:val="333333"/>
          <w:w w:val="110"/>
        </w:rPr>
        <w:t>Reload Templates without Restarting the</w:t>
      </w:r>
      <w:r>
        <w:rPr>
          <w:color w:val="333333"/>
          <w:spacing w:val="-26"/>
          <w:w w:val="110"/>
        </w:rPr>
        <w:t xml:space="preserve"> </w:t>
      </w:r>
      <w:r>
        <w:rPr>
          <w:color w:val="333333"/>
          <w:w w:val="110"/>
        </w:rPr>
        <w:t>Container</w:t>
      </w:r>
      <w:bookmarkEnd w:id="980"/>
    </w:p>
    <w:p w14:paraId="744563F2" w14:textId="77777777" w:rsidR="00A720EB" w:rsidRDefault="0030286B">
      <w:pPr>
        <w:pStyle w:val="a3"/>
        <w:spacing w:before="254" w:line="295" w:lineRule="auto"/>
        <w:ind w:left="124" w:right="123"/>
        <w:jc w:val="both"/>
      </w:pPr>
      <w:r>
        <w:rPr>
          <w:color w:val="333333"/>
          <w:w w:val="110"/>
        </w:rPr>
        <w:t xml:space="preserve">Most of the templating technologies supported by Spring Boot include a configuration option to disable caching (described later in this document). If you use the </w:t>
      </w:r>
      <w:r>
        <w:rPr>
          <w:rFonts w:ascii="MS Gothic"/>
          <w:color w:val="B02045"/>
          <w:w w:val="110"/>
        </w:rPr>
        <w:t xml:space="preserve">spring-boot-devtools </w:t>
      </w:r>
      <w:r>
        <w:rPr>
          <w:color w:val="333333"/>
          <w:w w:val="110"/>
        </w:rPr>
        <w:t xml:space="preserve">module, these properties are </w:t>
      </w:r>
      <w:hyperlink w:anchor="_bookmark66" w:history="1">
        <w:r>
          <w:rPr>
            <w:color w:val="418BCA"/>
            <w:w w:val="110"/>
          </w:rPr>
          <w:t xml:space="preserve">automatically configured </w:t>
        </w:r>
      </w:hyperlink>
      <w:r>
        <w:rPr>
          <w:color w:val="333333"/>
          <w:w w:val="110"/>
        </w:rPr>
        <w:t>for you at development time.</w:t>
      </w:r>
    </w:p>
    <w:p w14:paraId="25182398" w14:textId="77777777" w:rsidR="00A720EB" w:rsidRDefault="00A720EB">
      <w:pPr>
        <w:pStyle w:val="a3"/>
        <w:spacing w:before="5"/>
        <w:rPr>
          <w:sz w:val="26"/>
        </w:rPr>
      </w:pPr>
    </w:p>
    <w:p w14:paraId="2A1A36A4" w14:textId="77777777" w:rsidR="00A720EB" w:rsidRDefault="0030286B">
      <w:pPr>
        <w:pStyle w:val="4"/>
        <w:jc w:val="left"/>
      </w:pPr>
      <w:bookmarkStart w:id="981" w:name="Thymeleaf_Templates"/>
      <w:bookmarkEnd w:id="981"/>
      <w:r>
        <w:rPr>
          <w:color w:val="333333"/>
          <w:w w:val="110"/>
        </w:rPr>
        <w:t>Thymeleaf Templates</w:t>
      </w:r>
    </w:p>
    <w:p w14:paraId="4AAF02CD" w14:textId="77777777" w:rsidR="00A720EB" w:rsidRDefault="0030286B">
      <w:pPr>
        <w:pStyle w:val="a3"/>
        <w:spacing w:before="244" w:line="290" w:lineRule="auto"/>
        <w:ind w:left="124" w:right="122"/>
        <w:jc w:val="both"/>
      </w:pPr>
      <w:r>
        <w:rPr>
          <w:color w:val="333333"/>
          <w:w w:val="105"/>
        </w:rPr>
        <w:t xml:space="preserve">If you use Thymeleaf, set </w:t>
      </w:r>
      <w:proofErr w:type="gramStart"/>
      <w:r>
        <w:rPr>
          <w:rFonts w:ascii="MS Gothic"/>
          <w:color w:val="B02045"/>
          <w:w w:val="105"/>
        </w:rPr>
        <w:t>spring.thymeleaf</w:t>
      </w:r>
      <w:proofErr w:type="gramEnd"/>
      <w:r>
        <w:rPr>
          <w:rFonts w:ascii="MS Gothic"/>
          <w:color w:val="B02045"/>
          <w:w w:val="105"/>
        </w:rPr>
        <w:t xml:space="preserve">.cache </w:t>
      </w:r>
      <w:r>
        <w:rPr>
          <w:color w:val="333333"/>
          <w:w w:val="105"/>
        </w:rPr>
        <w:t xml:space="preserve">to </w:t>
      </w:r>
      <w:r>
        <w:rPr>
          <w:rFonts w:ascii="MS Gothic"/>
          <w:color w:val="B02045"/>
          <w:w w:val="105"/>
        </w:rPr>
        <w:t>false</w:t>
      </w:r>
      <w:r>
        <w:rPr>
          <w:color w:val="333333"/>
          <w:w w:val="105"/>
        </w:rPr>
        <w:t xml:space="preserve">. See </w:t>
      </w:r>
      <w:hyperlink r:id="rId653">
        <w:r>
          <w:rPr>
            <w:rFonts w:ascii="MS Gothic"/>
            <w:color w:val="B02045"/>
            <w:w w:val="105"/>
          </w:rPr>
          <w:t xml:space="preserve">ThymeleafAutoConfiguration </w:t>
        </w:r>
      </w:hyperlink>
      <w:r>
        <w:rPr>
          <w:color w:val="333333"/>
          <w:w w:val="105"/>
        </w:rPr>
        <w:t xml:space="preserve">for other </w:t>
      </w:r>
      <w:r>
        <w:rPr>
          <w:color w:val="333333"/>
          <w:w w:val="110"/>
        </w:rPr>
        <w:t>Thymeleaf customization options.</w:t>
      </w:r>
    </w:p>
    <w:p w14:paraId="370B486B" w14:textId="77777777" w:rsidR="00A720EB" w:rsidRDefault="00A720EB">
      <w:pPr>
        <w:pStyle w:val="a3"/>
        <w:spacing w:before="2"/>
        <w:rPr>
          <w:sz w:val="27"/>
        </w:rPr>
      </w:pPr>
    </w:p>
    <w:p w14:paraId="46E5F176" w14:textId="77777777" w:rsidR="00A720EB" w:rsidRDefault="0030286B">
      <w:pPr>
        <w:pStyle w:val="4"/>
        <w:jc w:val="left"/>
      </w:pPr>
      <w:bookmarkStart w:id="982" w:name="FreeMarker_Templates"/>
      <w:bookmarkEnd w:id="982"/>
      <w:r>
        <w:rPr>
          <w:color w:val="333333"/>
          <w:w w:val="115"/>
        </w:rPr>
        <w:t>FreeMarker Templates</w:t>
      </w:r>
    </w:p>
    <w:p w14:paraId="7E6D055E" w14:textId="77777777" w:rsidR="00A720EB" w:rsidRDefault="0030286B">
      <w:pPr>
        <w:pStyle w:val="a3"/>
        <w:spacing w:before="244" w:line="290" w:lineRule="auto"/>
        <w:ind w:left="124" w:right="122"/>
        <w:jc w:val="both"/>
      </w:pPr>
      <w:r>
        <w:rPr>
          <w:color w:val="333333"/>
          <w:w w:val="110"/>
        </w:rPr>
        <w:t>If</w:t>
      </w:r>
      <w:r>
        <w:rPr>
          <w:color w:val="333333"/>
          <w:spacing w:val="-13"/>
          <w:w w:val="110"/>
        </w:rPr>
        <w:t xml:space="preserve"> </w:t>
      </w:r>
      <w:r>
        <w:rPr>
          <w:color w:val="333333"/>
          <w:w w:val="110"/>
        </w:rPr>
        <w:t>you</w:t>
      </w:r>
      <w:r>
        <w:rPr>
          <w:color w:val="333333"/>
          <w:spacing w:val="-13"/>
          <w:w w:val="110"/>
        </w:rPr>
        <w:t xml:space="preserve"> </w:t>
      </w:r>
      <w:r>
        <w:rPr>
          <w:color w:val="333333"/>
          <w:w w:val="110"/>
        </w:rPr>
        <w:t>use</w:t>
      </w:r>
      <w:r>
        <w:rPr>
          <w:color w:val="333333"/>
          <w:spacing w:val="-13"/>
          <w:w w:val="110"/>
        </w:rPr>
        <w:t xml:space="preserve"> </w:t>
      </w:r>
      <w:r>
        <w:rPr>
          <w:color w:val="333333"/>
          <w:w w:val="110"/>
        </w:rPr>
        <w:t>FreeMarker,</w:t>
      </w:r>
      <w:r>
        <w:rPr>
          <w:color w:val="333333"/>
          <w:spacing w:val="-13"/>
          <w:w w:val="110"/>
        </w:rPr>
        <w:t xml:space="preserve"> </w:t>
      </w:r>
      <w:r>
        <w:rPr>
          <w:color w:val="333333"/>
          <w:w w:val="110"/>
        </w:rPr>
        <w:t>set</w:t>
      </w:r>
      <w:r>
        <w:rPr>
          <w:color w:val="333333"/>
          <w:spacing w:val="-12"/>
          <w:w w:val="110"/>
        </w:rPr>
        <w:t xml:space="preserve"> </w:t>
      </w:r>
      <w:proofErr w:type="gramStart"/>
      <w:r>
        <w:rPr>
          <w:rFonts w:ascii="MS Gothic"/>
          <w:color w:val="B02045"/>
          <w:w w:val="110"/>
        </w:rPr>
        <w:t>spring.freemarker</w:t>
      </w:r>
      <w:proofErr w:type="gramEnd"/>
      <w:r>
        <w:rPr>
          <w:rFonts w:ascii="MS Gothic"/>
          <w:color w:val="B02045"/>
          <w:w w:val="110"/>
        </w:rPr>
        <w:t>.cache</w:t>
      </w:r>
      <w:r>
        <w:rPr>
          <w:rFonts w:ascii="MS Gothic"/>
          <w:color w:val="B02045"/>
          <w:spacing w:val="-77"/>
          <w:w w:val="110"/>
        </w:rPr>
        <w:t xml:space="preserve"> </w:t>
      </w:r>
      <w:r>
        <w:rPr>
          <w:color w:val="333333"/>
          <w:w w:val="110"/>
        </w:rPr>
        <w:t>to</w:t>
      </w:r>
      <w:r>
        <w:rPr>
          <w:color w:val="333333"/>
          <w:spacing w:val="-12"/>
          <w:w w:val="110"/>
        </w:rPr>
        <w:t xml:space="preserve"> </w:t>
      </w:r>
      <w:r>
        <w:rPr>
          <w:rFonts w:ascii="MS Gothic"/>
          <w:color w:val="B02045"/>
          <w:w w:val="110"/>
        </w:rPr>
        <w:t>false</w:t>
      </w:r>
      <w:r>
        <w:rPr>
          <w:color w:val="333333"/>
          <w:w w:val="110"/>
        </w:rPr>
        <w:t>.</w:t>
      </w:r>
      <w:r>
        <w:rPr>
          <w:color w:val="333333"/>
          <w:spacing w:val="-13"/>
          <w:w w:val="110"/>
        </w:rPr>
        <w:t xml:space="preserve"> </w:t>
      </w:r>
      <w:r>
        <w:rPr>
          <w:color w:val="333333"/>
          <w:w w:val="110"/>
        </w:rPr>
        <w:t>See</w:t>
      </w:r>
      <w:r>
        <w:rPr>
          <w:color w:val="333333"/>
          <w:spacing w:val="-12"/>
          <w:w w:val="110"/>
        </w:rPr>
        <w:t xml:space="preserve"> </w:t>
      </w:r>
      <w:hyperlink r:id="rId654">
        <w:r>
          <w:rPr>
            <w:rFonts w:ascii="MS Gothic"/>
            <w:color w:val="B02045"/>
            <w:w w:val="110"/>
          </w:rPr>
          <w:t>FreeMarkerAutoConfiguration</w:t>
        </w:r>
        <w:r>
          <w:rPr>
            <w:rFonts w:ascii="MS Gothic"/>
            <w:color w:val="B02045"/>
            <w:spacing w:val="-78"/>
            <w:w w:val="110"/>
          </w:rPr>
          <w:t xml:space="preserve"> </w:t>
        </w:r>
      </w:hyperlink>
      <w:r>
        <w:rPr>
          <w:color w:val="333333"/>
          <w:w w:val="110"/>
        </w:rPr>
        <w:t>for other FreeMarker customization</w:t>
      </w:r>
      <w:r>
        <w:rPr>
          <w:color w:val="333333"/>
          <w:spacing w:val="10"/>
          <w:w w:val="110"/>
        </w:rPr>
        <w:t xml:space="preserve"> </w:t>
      </w:r>
      <w:r>
        <w:rPr>
          <w:color w:val="333333"/>
          <w:w w:val="110"/>
        </w:rPr>
        <w:t>options.</w:t>
      </w:r>
    </w:p>
    <w:p w14:paraId="3773EE9F" w14:textId="77777777" w:rsidR="00A720EB" w:rsidRDefault="00A720EB">
      <w:pPr>
        <w:pStyle w:val="a3"/>
        <w:spacing w:before="1"/>
        <w:rPr>
          <w:sz w:val="27"/>
        </w:rPr>
      </w:pPr>
    </w:p>
    <w:p w14:paraId="75960CD2" w14:textId="77777777" w:rsidR="00A720EB" w:rsidRDefault="0030286B">
      <w:pPr>
        <w:pStyle w:val="4"/>
        <w:jc w:val="left"/>
      </w:pPr>
      <w:bookmarkStart w:id="983" w:name="Groovy_Templates"/>
      <w:bookmarkEnd w:id="983"/>
      <w:r>
        <w:rPr>
          <w:color w:val="333333"/>
          <w:w w:val="110"/>
        </w:rPr>
        <w:t>Groovy Templates</w:t>
      </w:r>
    </w:p>
    <w:p w14:paraId="1876C3EF" w14:textId="77777777" w:rsidR="00A720EB" w:rsidRDefault="0030286B">
      <w:pPr>
        <w:pStyle w:val="a3"/>
        <w:tabs>
          <w:tab w:val="left" w:pos="614"/>
          <w:tab w:val="left" w:pos="1321"/>
          <w:tab w:val="left" w:pos="1995"/>
          <w:tab w:val="left" w:pos="3060"/>
          <w:tab w:val="left" w:pos="4425"/>
          <w:tab w:val="left" w:pos="5044"/>
          <w:tab w:val="left" w:pos="8319"/>
          <w:tab w:val="left" w:pos="8849"/>
          <w:tab w:val="left" w:pos="9761"/>
        </w:tabs>
        <w:spacing w:before="244"/>
        <w:ind w:left="124"/>
      </w:pPr>
      <w:r>
        <w:rPr>
          <w:color w:val="333333"/>
          <w:w w:val="110"/>
        </w:rPr>
        <w:t>If</w:t>
      </w:r>
      <w:r>
        <w:rPr>
          <w:color w:val="333333"/>
          <w:w w:val="110"/>
        </w:rPr>
        <w:tab/>
        <w:t>you</w:t>
      </w:r>
      <w:r>
        <w:rPr>
          <w:color w:val="333333"/>
          <w:w w:val="110"/>
        </w:rPr>
        <w:tab/>
        <w:t>use</w:t>
      </w:r>
      <w:r>
        <w:rPr>
          <w:color w:val="333333"/>
          <w:w w:val="110"/>
        </w:rPr>
        <w:tab/>
        <w:t>Groovy</w:t>
      </w:r>
      <w:r>
        <w:rPr>
          <w:color w:val="333333"/>
          <w:w w:val="110"/>
        </w:rPr>
        <w:tab/>
        <w:t>templates,</w:t>
      </w:r>
      <w:r>
        <w:rPr>
          <w:color w:val="333333"/>
          <w:w w:val="110"/>
        </w:rPr>
        <w:tab/>
        <w:t>set</w:t>
      </w:r>
      <w:r>
        <w:rPr>
          <w:color w:val="333333"/>
          <w:w w:val="110"/>
        </w:rPr>
        <w:tab/>
      </w:r>
      <w:proofErr w:type="gramStart"/>
      <w:r>
        <w:rPr>
          <w:rFonts w:ascii="MS Gothic"/>
          <w:color w:val="B02045"/>
        </w:rPr>
        <w:t>spring.groovy</w:t>
      </w:r>
      <w:proofErr w:type="gramEnd"/>
      <w:r>
        <w:rPr>
          <w:rFonts w:ascii="MS Gothic"/>
          <w:color w:val="B02045"/>
        </w:rPr>
        <w:t>.template.cache</w:t>
      </w:r>
      <w:r>
        <w:rPr>
          <w:rFonts w:ascii="MS Gothic"/>
          <w:color w:val="B02045"/>
        </w:rPr>
        <w:tab/>
      </w:r>
      <w:r>
        <w:rPr>
          <w:color w:val="333333"/>
          <w:w w:val="110"/>
        </w:rPr>
        <w:t>to</w:t>
      </w:r>
      <w:r>
        <w:rPr>
          <w:color w:val="333333"/>
          <w:w w:val="110"/>
        </w:rPr>
        <w:tab/>
      </w:r>
      <w:r>
        <w:rPr>
          <w:rFonts w:ascii="MS Gothic"/>
          <w:color w:val="B02045"/>
          <w:w w:val="110"/>
        </w:rPr>
        <w:t>false</w:t>
      </w:r>
      <w:r>
        <w:rPr>
          <w:color w:val="333333"/>
          <w:w w:val="110"/>
        </w:rPr>
        <w:t>.</w:t>
      </w:r>
      <w:r>
        <w:rPr>
          <w:color w:val="333333"/>
          <w:w w:val="110"/>
        </w:rPr>
        <w:tab/>
        <w:t>See</w:t>
      </w:r>
    </w:p>
    <w:p w14:paraId="1F47742E" w14:textId="77777777" w:rsidR="00A720EB" w:rsidRDefault="00E10349">
      <w:pPr>
        <w:pStyle w:val="a3"/>
        <w:spacing w:before="47"/>
        <w:ind w:left="124"/>
      </w:pPr>
      <w:hyperlink r:id="rId655">
        <w:r w:rsidR="0030286B">
          <w:rPr>
            <w:rFonts w:ascii="MS Gothic"/>
            <w:color w:val="B02045"/>
            <w:w w:val="110"/>
          </w:rPr>
          <w:t>GroovyTemplateAutoConfiguration</w:t>
        </w:r>
        <w:r w:rsidR="0030286B">
          <w:rPr>
            <w:rFonts w:ascii="MS Gothic"/>
            <w:color w:val="B02045"/>
            <w:spacing w:val="-76"/>
            <w:w w:val="110"/>
          </w:rPr>
          <w:t xml:space="preserve"> </w:t>
        </w:r>
      </w:hyperlink>
      <w:r w:rsidR="0030286B">
        <w:rPr>
          <w:color w:val="333333"/>
          <w:w w:val="110"/>
        </w:rPr>
        <w:t>for other Groovy customization options.</w:t>
      </w:r>
    </w:p>
    <w:p w14:paraId="1340BFB6" w14:textId="77777777" w:rsidR="00A720EB" w:rsidRDefault="00A720EB">
      <w:pPr>
        <w:pStyle w:val="a3"/>
        <w:spacing w:before="6"/>
        <w:rPr>
          <w:sz w:val="30"/>
        </w:rPr>
      </w:pPr>
    </w:p>
    <w:p w14:paraId="36076908" w14:textId="77777777" w:rsidR="00A720EB" w:rsidRDefault="0030286B">
      <w:pPr>
        <w:pStyle w:val="3"/>
        <w:numPr>
          <w:ilvl w:val="2"/>
          <w:numId w:val="13"/>
        </w:numPr>
        <w:tabs>
          <w:tab w:val="left" w:pos="1003"/>
        </w:tabs>
        <w:ind w:left="1002" w:hanging="879"/>
      </w:pPr>
      <w:bookmarkStart w:id="984" w:name="9.15.3._Fast_Application_Restarts"/>
      <w:bookmarkStart w:id="985" w:name="_Toc54424010"/>
      <w:bookmarkEnd w:id="984"/>
      <w:r>
        <w:rPr>
          <w:color w:val="333333"/>
          <w:spacing w:val="-4"/>
          <w:w w:val="110"/>
        </w:rPr>
        <w:t xml:space="preserve">Fast </w:t>
      </w:r>
      <w:r>
        <w:rPr>
          <w:color w:val="333333"/>
          <w:w w:val="110"/>
        </w:rPr>
        <w:t>Application</w:t>
      </w:r>
      <w:r>
        <w:rPr>
          <w:color w:val="333333"/>
          <w:spacing w:val="-6"/>
          <w:w w:val="110"/>
        </w:rPr>
        <w:t xml:space="preserve"> </w:t>
      </w:r>
      <w:r>
        <w:rPr>
          <w:color w:val="333333"/>
          <w:w w:val="110"/>
        </w:rPr>
        <w:t>Restarts</w:t>
      </w:r>
      <w:bookmarkEnd w:id="985"/>
    </w:p>
    <w:p w14:paraId="55552F6C" w14:textId="77777777" w:rsidR="00A720EB" w:rsidRDefault="0030286B">
      <w:pPr>
        <w:pStyle w:val="a3"/>
        <w:spacing w:before="243" w:line="302" w:lineRule="auto"/>
        <w:ind w:left="124" w:right="124"/>
        <w:jc w:val="both"/>
      </w:pPr>
      <w:r>
        <w:rPr>
          <w:color w:val="333333"/>
          <w:w w:val="110"/>
        </w:rPr>
        <w:t xml:space="preserve">The </w:t>
      </w:r>
      <w:r>
        <w:rPr>
          <w:rFonts w:ascii="MS Gothic" w:hAnsi="MS Gothic"/>
          <w:color w:val="B02045"/>
          <w:w w:val="110"/>
        </w:rPr>
        <w:t>spring-boot-devtools</w:t>
      </w:r>
      <w:r>
        <w:rPr>
          <w:rFonts w:ascii="MS Gothic" w:hAnsi="MS Gothic"/>
          <w:color w:val="B02045"/>
          <w:spacing w:val="-53"/>
          <w:w w:val="110"/>
        </w:rPr>
        <w:t xml:space="preserve"> </w:t>
      </w:r>
      <w:r>
        <w:rPr>
          <w:color w:val="333333"/>
          <w:w w:val="110"/>
        </w:rPr>
        <w:t xml:space="preserve">module includes support for automatic application restarts. While not as fast as technologies such as </w:t>
      </w:r>
      <w:hyperlink r:id="rId656">
        <w:r>
          <w:rPr>
            <w:color w:val="418BCA"/>
            <w:w w:val="110"/>
          </w:rPr>
          <w:t>JRebel</w:t>
        </w:r>
      </w:hyperlink>
      <w:r>
        <w:rPr>
          <w:color w:val="418BCA"/>
          <w:w w:val="110"/>
        </w:rPr>
        <w:t xml:space="preserve"> </w:t>
      </w:r>
      <w:r>
        <w:rPr>
          <w:color w:val="333333"/>
          <w:w w:val="110"/>
        </w:rPr>
        <w:t xml:space="preserve">it is usually significantly faster than a “cold start”. </w:t>
      </w:r>
      <w:r>
        <w:rPr>
          <w:color w:val="333333"/>
          <w:spacing w:val="-6"/>
          <w:w w:val="110"/>
        </w:rPr>
        <w:t xml:space="preserve">You </w:t>
      </w:r>
      <w:r>
        <w:rPr>
          <w:color w:val="333333"/>
          <w:w w:val="110"/>
        </w:rPr>
        <w:t xml:space="preserve">should probably give it a try before investigating some of the more complex reload options discussed </w:t>
      </w:r>
      <w:proofErr w:type="gramStart"/>
      <w:r>
        <w:rPr>
          <w:color w:val="333333"/>
          <w:w w:val="110"/>
        </w:rPr>
        <w:t>later  in</w:t>
      </w:r>
      <w:proofErr w:type="gramEnd"/>
      <w:r>
        <w:rPr>
          <w:color w:val="333333"/>
          <w:w w:val="110"/>
        </w:rPr>
        <w:t xml:space="preserve"> this</w:t>
      </w:r>
      <w:r>
        <w:rPr>
          <w:color w:val="333333"/>
          <w:spacing w:val="5"/>
          <w:w w:val="110"/>
        </w:rPr>
        <w:t xml:space="preserve"> </w:t>
      </w:r>
      <w:r>
        <w:rPr>
          <w:color w:val="333333"/>
          <w:w w:val="110"/>
        </w:rPr>
        <w:t>document.</w:t>
      </w:r>
    </w:p>
    <w:p w14:paraId="40092211" w14:textId="77777777" w:rsidR="00A720EB" w:rsidRDefault="0030286B">
      <w:pPr>
        <w:pStyle w:val="a3"/>
        <w:spacing w:before="243"/>
        <w:ind w:left="124"/>
      </w:pPr>
      <w:r>
        <w:rPr>
          <w:color w:val="333333"/>
          <w:w w:val="110"/>
        </w:rPr>
        <w:t xml:space="preserve">For more details, see the </w:t>
      </w:r>
      <w:hyperlink w:anchor="_bookmark65" w:history="1">
        <w:r>
          <w:rPr>
            <w:color w:val="418BCA"/>
            <w:w w:val="110"/>
          </w:rPr>
          <w:t xml:space="preserve">Developer Tools </w:t>
        </w:r>
      </w:hyperlink>
      <w:r>
        <w:rPr>
          <w:color w:val="333333"/>
          <w:w w:val="110"/>
        </w:rPr>
        <w:t>section.</w:t>
      </w:r>
    </w:p>
    <w:p w14:paraId="396CCC3B" w14:textId="77777777" w:rsidR="00A720EB" w:rsidRDefault="00A720EB">
      <w:pPr>
        <w:pStyle w:val="a3"/>
        <w:spacing w:before="7"/>
        <w:rPr>
          <w:sz w:val="31"/>
        </w:rPr>
      </w:pPr>
    </w:p>
    <w:p w14:paraId="1DE3B60C" w14:textId="77777777" w:rsidR="00A720EB" w:rsidRDefault="0030286B">
      <w:pPr>
        <w:pStyle w:val="3"/>
        <w:numPr>
          <w:ilvl w:val="2"/>
          <w:numId w:val="13"/>
        </w:numPr>
        <w:tabs>
          <w:tab w:val="left" w:pos="1003"/>
        </w:tabs>
        <w:ind w:left="1002" w:hanging="879"/>
      </w:pPr>
      <w:bookmarkStart w:id="986" w:name="9.15.4._Reload_Java_Classes_without_Rest"/>
      <w:bookmarkStart w:id="987" w:name="_Toc54424011"/>
      <w:bookmarkEnd w:id="986"/>
      <w:r>
        <w:rPr>
          <w:color w:val="333333"/>
          <w:w w:val="110"/>
        </w:rPr>
        <w:t>Reload Java Classes without Restarting the</w:t>
      </w:r>
      <w:r>
        <w:rPr>
          <w:color w:val="333333"/>
          <w:spacing w:val="-32"/>
          <w:w w:val="110"/>
        </w:rPr>
        <w:t xml:space="preserve"> </w:t>
      </w:r>
      <w:r>
        <w:rPr>
          <w:color w:val="333333"/>
          <w:w w:val="110"/>
        </w:rPr>
        <w:t>Container</w:t>
      </w:r>
      <w:bookmarkEnd w:id="987"/>
    </w:p>
    <w:p w14:paraId="43CBB031" w14:textId="77777777" w:rsidR="00A720EB" w:rsidRDefault="0030286B">
      <w:pPr>
        <w:pStyle w:val="a3"/>
        <w:spacing w:before="254" w:line="307" w:lineRule="auto"/>
        <w:ind w:left="124" w:right="129"/>
        <w:jc w:val="both"/>
      </w:pPr>
      <w:r>
        <w:rPr>
          <w:color w:val="333333"/>
          <w:w w:val="110"/>
        </w:rPr>
        <w:t>Many modern IDEs (Eclipse, IDEA, and others) support hot swapping of bytecode. Consequently, if you make a change that does not affect class or method signatures, it should reload cleanly with no side effects.</w:t>
      </w:r>
    </w:p>
    <w:p w14:paraId="78332CBA" w14:textId="77777777" w:rsidR="00A720EB" w:rsidRDefault="00A720EB">
      <w:pPr>
        <w:spacing w:line="307" w:lineRule="auto"/>
        <w:jc w:val="both"/>
        <w:sectPr w:rsidR="00A720EB">
          <w:pgSz w:w="11910" w:h="16840"/>
          <w:pgMar w:top="620" w:right="840" w:bottom="520" w:left="840" w:header="0" w:footer="323" w:gutter="0"/>
          <w:cols w:space="720"/>
        </w:sectPr>
      </w:pPr>
    </w:p>
    <w:p w14:paraId="5E47CF1C" w14:textId="77777777" w:rsidR="00A720EB" w:rsidRDefault="0030286B">
      <w:pPr>
        <w:pStyle w:val="2"/>
        <w:numPr>
          <w:ilvl w:val="1"/>
          <w:numId w:val="13"/>
        </w:numPr>
        <w:tabs>
          <w:tab w:val="left" w:pos="1034"/>
        </w:tabs>
        <w:spacing w:before="88"/>
        <w:ind w:left="1033" w:hanging="910"/>
      </w:pPr>
      <w:bookmarkStart w:id="988" w:name="9.16._Build"/>
      <w:bookmarkStart w:id="989" w:name="_Toc54424012"/>
      <w:bookmarkEnd w:id="988"/>
      <w:r>
        <w:rPr>
          <w:color w:val="333333"/>
          <w:w w:val="105"/>
        </w:rPr>
        <w:lastRenderedPageBreak/>
        <w:t>Build</w:t>
      </w:r>
      <w:bookmarkEnd w:id="989"/>
    </w:p>
    <w:p w14:paraId="03E1429D" w14:textId="77777777" w:rsidR="00A720EB" w:rsidRDefault="0030286B">
      <w:pPr>
        <w:pStyle w:val="a3"/>
        <w:spacing w:before="254" w:line="307" w:lineRule="auto"/>
        <w:ind w:left="124" w:right="139"/>
        <w:jc w:val="both"/>
      </w:pPr>
      <w:r>
        <w:rPr>
          <w:color w:val="333333"/>
          <w:w w:val="110"/>
        </w:rPr>
        <w:t>Spring Boot includes build plugins for Maven and Gradle. This section answers common questions about these plugins.</w:t>
      </w:r>
    </w:p>
    <w:p w14:paraId="73C5218D" w14:textId="77777777" w:rsidR="00A720EB" w:rsidRDefault="00A720EB">
      <w:pPr>
        <w:pStyle w:val="a3"/>
        <w:spacing w:before="8"/>
        <w:rPr>
          <w:sz w:val="25"/>
        </w:rPr>
      </w:pPr>
    </w:p>
    <w:p w14:paraId="6CA517FB" w14:textId="77777777" w:rsidR="00A720EB" w:rsidRDefault="0030286B">
      <w:pPr>
        <w:pStyle w:val="3"/>
        <w:numPr>
          <w:ilvl w:val="2"/>
          <w:numId w:val="13"/>
        </w:numPr>
        <w:tabs>
          <w:tab w:val="left" w:pos="1003"/>
        </w:tabs>
        <w:ind w:left="1002" w:hanging="879"/>
      </w:pPr>
      <w:bookmarkStart w:id="990" w:name="9.16.1._Generate_Build_Information"/>
      <w:bookmarkStart w:id="991" w:name="_Toc54424013"/>
      <w:bookmarkEnd w:id="990"/>
      <w:r>
        <w:rPr>
          <w:color w:val="333333"/>
          <w:w w:val="110"/>
        </w:rPr>
        <w:t>Generate Build</w:t>
      </w:r>
      <w:r>
        <w:rPr>
          <w:color w:val="333333"/>
          <w:spacing w:val="-11"/>
          <w:w w:val="110"/>
        </w:rPr>
        <w:t xml:space="preserve"> </w:t>
      </w:r>
      <w:r>
        <w:rPr>
          <w:color w:val="333333"/>
          <w:w w:val="110"/>
        </w:rPr>
        <w:t>Information</w:t>
      </w:r>
      <w:bookmarkEnd w:id="991"/>
    </w:p>
    <w:p w14:paraId="1495D878" w14:textId="77777777" w:rsidR="00A720EB" w:rsidRDefault="0030286B">
      <w:pPr>
        <w:pStyle w:val="a3"/>
        <w:spacing w:before="254" w:line="304" w:lineRule="auto"/>
        <w:ind w:left="124" w:right="131"/>
        <w:jc w:val="both"/>
      </w:pPr>
      <w:r>
        <w:rPr>
          <w:color w:val="333333"/>
          <w:w w:val="110"/>
        </w:rPr>
        <w:t xml:space="preserve">Both the Maven plugin and the Gradle plugin allow generating build information containing the coordinates, name, and version of the project. The plugins can also be configured to add additional properties through configuration. When such a file is present, Spring Boot auto-configures a </w:t>
      </w:r>
      <w:r>
        <w:rPr>
          <w:rFonts w:ascii="MS Gothic"/>
          <w:color w:val="B02045"/>
          <w:w w:val="110"/>
        </w:rPr>
        <w:t>BuildProperties</w:t>
      </w:r>
      <w:r>
        <w:rPr>
          <w:rFonts w:ascii="MS Gothic"/>
          <w:color w:val="B02045"/>
          <w:spacing w:val="-63"/>
          <w:w w:val="110"/>
        </w:rPr>
        <w:t xml:space="preserve"> </w:t>
      </w:r>
      <w:r>
        <w:rPr>
          <w:color w:val="333333"/>
          <w:w w:val="110"/>
        </w:rPr>
        <w:t>bean.</w:t>
      </w:r>
    </w:p>
    <w:p w14:paraId="539E36CE" w14:textId="77777777" w:rsidR="00A720EB" w:rsidRDefault="0030286B">
      <w:pPr>
        <w:pStyle w:val="a3"/>
        <w:spacing w:before="212" w:line="290" w:lineRule="auto"/>
        <w:ind w:left="124" w:right="123"/>
        <w:jc w:val="both"/>
      </w:pPr>
      <w:r>
        <w:rPr>
          <w:color w:val="333333"/>
          <w:spacing w:val="-4"/>
          <w:w w:val="115"/>
        </w:rPr>
        <w:t>To</w:t>
      </w:r>
      <w:r>
        <w:rPr>
          <w:color w:val="333333"/>
          <w:spacing w:val="-5"/>
          <w:w w:val="115"/>
        </w:rPr>
        <w:t xml:space="preserve"> </w:t>
      </w:r>
      <w:r>
        <w:rPr>
          <w:color w:val="333333"/>
          <w:w w:val="115"/>
        </w:rPr>
        <w:t>generate</w:t>
      </w:r>
      <w:r>
        <w:rPr>
          <w:color w:val="333333"/>
          <w:spacing w:val="-6"/>
          <w:w w:val="115"/>
        </w:rPr>
        <w:t xml:space="preserve"> </w:t>
      </w:r>
      <w:r>
        <w:rPr>
          <w:color w:val="333333"/>
          <w:w w:val="115"/>
        </w:rPr>
        <w:t>build</w:t>
      </w:r>
      <w:r>
        <w:rPr>
          <w:color w:val="333333"/>
          <w:spacing w:val="-6"/>
          <w:w w:val="115"/>
        </w:rPr>
        <w:t xml:space="preserve"> </w:t>
      </w:r>
      <w:r>
        <w:rPr>
          <w:color w:val="333333"/>
          <w:w w:val="115"/>
        </w:rPr>
        <w:t>information</w:t>
      </w:r>
      <w:r>
        <w:rPr>
          <w:color w:val="333333"/>
          <w:spacing w:val="-5"/>
          <w:w w:val="115"/>
        </w:rPr>
        <w:t xml:space="preserve"> </w:t>
      </w:r>
      <w:r>
        <w:rPr>
          <w:color w:val="333333"/>
          <w:w w:val="115"/>
        </w:rPr>
        <w:t>with</w:t>
      </w:r>
      <w:r>
        <w:rPr>
          <w:color w:val="333333"/>
          <w:spacing w:val="-6"/>
          <w:w w:val="115"/>
        </w:rPr>
        <w:t xml:space="preserve"> </w:t>
      </w:r>
      <w:r>
        <w:rPr>
          <w:color w:val="333333"/>
          <w:w w:val="115"/>
        </w:rPr>
        <w:t>Maven,</w:t>
      </w:r>
      <w:r>
        <w:rPr>
          <w:color w:val="333333"/>
          <w:spacing w:val="-5"/>
          <w:w w:val="115"/>
        </w:rPr>
        <w:t xml:space="preserve"> </w:t>
      </w:r>
      <w:r>
        <w:rPr>
          <w:color w:val="333333"/>
          <w:w w:val="115"/>
        </w:rPr>
        <w:t>add</w:t>
      </w:r>
      <w:r>
        <w:rPr>
          <w:color w:val="333333"/>
          <w:spacing w:val="-6"/>
          <w:w w:val="115"/>
        </w:rPr>
        <w:t xml:space="preserve"> </w:t>
      </w:r>
      <w:r>
        <w:rPr>
          <w:color w:val="333333"/>
          <w:w w:val="115"/>
        </w:rPr>
        <w:t>an</w:t>
      </w:r>
      <w:r>
        <w:rPr>
          <w:color w:val="333333"/>
          <w:spacing w:val="-5"/>
          <w:w w:val="115"/>
        </w:rPr>
        <w:t xml:space="preserve"> </w:t>
      </w:r>
      <w:r>
        <w:rPr>
          <w:color w:val="333333"/>
          <w:w w:val="115"/>
        </w:rPr>
        <w:t>execution</w:t>
      </w:r>
      <w:r>
        <w:rPr>
          <w:color w:val="333333"/>
          <w:spacing w:val="-5"/>
          <w:w w:val="115"/>
        </w:rPr>
        <w:t xml:space="preserve"> </w:t>
      </w:r>
      <w:r>
        <w:rPr>
          <w:color w:val="333333"/>
          <w:w w:val="115"/>
        </w:rPr>
        <w:t>for</w:t>
      </w:r>
      <w:r>
        <w:rPr>
          <w:color w:val="333333"/>
          <w:spacing w:val="-5"/>
          <w:w w:val="115"/>
        </w:rPr>
        <w:t xml:space="preserve"> </w:t>
      </w:r>
      <w:r>
        <w:rPr>
          <w:color w:val="333333"/>
          <w:w w:val="115"/>
        </w:rPr>
        <w:t>the</w:t>
      </w:r>
      <w:r>
        <w:rPr>
          <w:color w:val="333333"/>
          <w:spacing w:val="1"/>
          <w:w w:val="115"/>
        </w:rPr>
        <w:t xml:space="preserve"> </w:t>
      </w:r>
      <w:r>
        <w:rPr>
          <w:rFonts w:ascii="MS Gothic"/>
          <w:color w:val="B02045"/>
          <w:w w:val="115"/>
        </w:rPr>
        <w:t>build-info</w:t>
      </w:r>
      <w:r>
        <w:rPr>
          <w:rFonts w:ascii="MS Gothic"/>
          <w:color w:val="B02045"/>
          <w:spacing w:val="-73"/>
          <w:w w:val="115"/>
        </w:rPr>
        <w:t xml:space="preserve"> </w:t>
      </w:r>
      <w:r>
        <w:rPr>
          <w:color w:val="333333"/>
          <w:w w:val="115"/>
        </w:rPr>
        <w:t>goal,</w:t>
      </w:r>
      <w:r>
        <w:rPr>
          <w:color w:val="333333"/>
          <w:spacing w:val="-5"/>
          <w:w w:val="115"/>
        </w:rPr>
        <w:t xml:space="preserve"> </w:t>
      </w:r>
      <w:r>
        <w:rPr>
          <w:color w:val="333333"/>
          <w:w w:val="115"/>
        </w:rPr>
        <w:t>as</w:t>
      </w:r>
      <w:r>
        <w:rPr>
          <w:color w:val="333333"/>
          <w:spacing w:val="-5"/>
          <w:w w:val="115"/>
        </w:rPr>
        <w:t xml:space="preserve"> </w:t>
      </w:r>
      <w:r>
        <w:rPr>
          <w:color w:val="333333"/>
          <w:w w:val="115"/>
        </w:rPr>
        <w:t>shown</w:t>
      </w:r>
      <w:r>
        <w:rPr>
          <w:color w:val="333333"/>
          <w:spacing w:val="-5"/>
          <w:w w:val="115"/>
        </w:rPr>
        <w:t xml:space="preserve"> </w:t>
      </w:r>
      <w:r>
        <w:rPr>
          <w:color w:val="333333"/>
          <w:w w:val="115"/>
        </w:rPr>
        <w:t>in the following</w:t>
      </w:r>
      <w:r>
        <w:rPr>
          <w:color w:val="333333"/>
          <w:spacing w:val="1"/>
          <w:w w:val="115"/>
        </w:rPr>
        <w:t xml:space="preserve"> </w:t>
      </w:r>
      <w:r>
        <w:rPr>
          <w:color w:val="333333"/>
          <w:w w:val="115"/>
        </w:rPr>
        <w:t>example:</w:t>
      </w:r>
    </w:p>
    <w:p w14:paraId="77A9540D" w14:textId="77777777" w:rsidR="00A720EB" w:rsidRDefault="00E10349">
      <w:pPr>
        <w:pStyle w:val="a3"/>
        <w:spacing w:before="8"/>
        <w:rPr>
          <w:sz w:val="14"/>
        </w:rPr>
      </w:pPr>
      <w:r>
        <w:pict w14:anchorId="1D36DC1F">
          <v:group id="_x0000_s1282" style="position:absolute;margin-left:47.85pt;margin-top:10.6pt;width:499.55pt;height:258.6pt;z-index:-15046144;mso-wrap-distance-left:0;mso-wrap-distance-right:0;mso-position-horizontal-relative:page" coordorigin="957,212" coordsize="9991,5172">
            <v:shape id="_x0000_s1285" style="position:absolute;left:964;top:219;width:9976;height:5157" coordorigin="965,219" coordsize="9976,5157" path="m10861,219r-9816,l1014,225r-26,18l971,268r-6,31l965,5296r6,31l988,5353r26,17l1045,5376r9816,l10892,5370r25,-17l10935,5327r6,-31l10941,299r-6,-31l10917,243r-25,-18l10861,219xe" fillcolor="#f5f5f5" stroked="f">
              <v:path arrowok="t"/>
            </v:shape>
            <v:shape id="_x0000_s1284" style="position:absolute;left:964;top:219;width:9976;height:5157" coordorigin="965,219" coordsize="9976,5157" path="m1045,219r9816,l10892,225r25,18l10935,268r6,31l10941,5296r-6,31l10917,5353r-25,17l10861,5376r-9816,l1014,5370r-26,-17l971,5327r-6,-31l965,299r6,-31l988,243r26,-18l1045,219xe" filled="f" strokecolor="#ccc">
              <v:path arrowok="t"/>
            </v:shape>
            <v:shape id="_x0000_s1283" type="#_x0000_t202" style="position:absolute;left:984;top:234;width:9938;height:5126" filled="f" stroked="f">
              <v:textbox inset="0,0,0,0">
                <w:txbxContent>
                  <w:p w14:paraId="53B1039D" w14:textId="77777777" w:rsidR="00711A16" w:rsidRDefault="00711A16">
                    <w:pPr>
                      <w:spacing w:before="221"/>
                      <w:ind w:left="200"/>
                      <w:rPr>
                        <w:rFonts w:ascii="MS Gothic"/>
                      </w:rPr>
                    </w:pPr>
                    <w:r>
                      <w:rPr>
                        <w:rFonts w:ascii="MS Gothic"/>
                        <w:color w:val="333333"/>
                      </w:rPr>
                      <w:t>&lt;build&gt;</w:t>
                    </w:r>
                  </w:p>
                  <w:p w14:paraId="48E482AA" w14:textId="77777777" w:rsidR="00711A16" w:rsidRDefault="00711A16">
                    <w:pPr>
                      <w:spacing w:before="13"/>
                      <w:ind w:left="640"/>
                      <w:rPr>
                        <w:rFonts w:ascii="MS Gothic"/>
                      </w:rPr>
                    </w:pPr>
                    <w:r>
                      <w:rPr>
                        <w:rFonts w:ascii="MS Gothic"/>
                        <w:color w:val="333333"/>
                      </w:rPr>
                      <w:t>&lt;plugins&gt;</w:t>
                    </w:r>
                  </w:p>
                  <w:p w14:paraId="01758B6E" w14:textId="77777777" w:rsidR="00711A16" w:rsidRDefault="00711A16">
                    <w:pPr>
                      <w:spacing w:before="13"/>
                      <w:ind w:left="1080"/>
                      <w:rPr>
                        <w:rFonts w:ascii="MS Gothic"/>
                      </w:rPr>
                    </w:pPr>
                    <w:r>
                      <w:rPr>
                        <w:rFonts w:ascii="MS Gothic"/>
                        <w:color w:val="333333"/>
                      </w:rPr>
                      <w:t>&lt;plugin&gt;</w:t>
                    </w:r>
                  </w:p>
                  <w:p w14:paraId="15729C02"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68D7B02C" w14:textId="77777777" w:rsidR="00711A16" w:rsidRDefault="00711A16">
                    <w:pPr>
                      <w:spacing w:before="12"/>
                      <w:ind w:left="1520"/>
                      <w:rPr>
                        <w:rFonts w:ascii="MS Gothic"/>
                      </w:rPr>
                    </w:pPr>
                    <w:r>
                      <w:rPr>
                        <w:rFonts w:ascii="MS Gothic"/>
                        <w:color w:val="333333"/>
                      </w:rPr>
                      <w:t>&lt;artifactId&gt;spring-boot-maven-plugin&lt;/artifactId&gt;</w:t>
                    </w:r>
                  </w:p>
                  <w:p w14:paraId="358E7D36" w14:textId="77777777" w:rsidR="00711A16" w:rsidRDefault="00711A16">
                    <w:pPr>
                      <w:spacing w:before="13"/>
                      <w:ind w:left="1520"/>
                      <w:rPr>
                        <w:rFonts w:ascii="MS Gothic"/>
                      </w:rPr>
                    </w:pPr>
                    <w:r>
                      <w:rPr>
                        <w:rFonts w:ascii="MS Gothic"/>
                        <w:color w:val="333333"/>
                      </w:rPr>
                      <w:t>&lt;version&gt;2.3.</w:t>
                    </w:r>
                    <w:proofErr w:type="gramStart"/>
                    <w:r>
                      <w:rPr>
                        <w:rFonts w:ascii="MS Gothic"/>
                        <w:color w:val="333333"/>
                      </w:rPr>
                      <w:t>4.RELEASE</w:t>
                    </w:r>
                    <w:proofErr w:type="gramEnd"/>
                    <w:r>
                      <w:rPr>
                        <w:rFonts w:ascii="MS Gothic"/>
                        <w:color w:val="333333"/>
                      </w:rPr>
                      <w:t>&lt;/version&gt;</w:t>
                    </w:r>
                  </w:p>
                  <w:p w14:paraId="36664E18" w14:textId="77777777" w:rsidR="00711A16" w:rsidRDefault="00711A16">
                    <w:pPr>
                      <w:spacing w:before="13"/>
                      <w:ind w:left="1520"/>
                      <w:rPr>
                        <w:rFonts w:ascii="MS Gothic"/>
                      </w:rPr>
                    </w:pPr>
                    <w:r>
                      <w:rPr>
                        <w:rFonts w:ascii="MS Gothic"/>
                        <w:color w:val="333333"/>
                      </w:rPr>
                      <w:t>&lt;executions&gt;</w:t>
                    </w:r>
                  </w:p>
                  <w:p w14:paraId="0DCEC185" w14:textId="77777777" w:rsidR="00711A16" w:rsidRDefault="00711A16">
                    <w:pPr>
                      <w:spacing w:before="13"/>
                      <w:ind w:right="6764"/>
                      <w:jc w:val="right"/>
                      <w:rPr>
                        <w:rFonts w:ascii="MS Gothic"/>
                      </w:rPr>
                    </w:pPr>
                    <w:r>
                      <w:rPr>
                        <w:rFonts w:ascii="MS Gothic"/>
                        <w:color w:val="333333"/>
                      </w:rPr>
                      <w:t>&lt;execution&gt;</w:t>
                    </w:r>
                  </w:p>
                  <w:p w14:paraId="4FE2B3C7" w14:textId="77777777" w:rsidR="00711A16" w:rsidRDefault="00711A16">
                    <w:pPr>
                      <w:spacing w:before="13"/>
                      <w:ind w:right="6764"/>
                      <w:jc w:val="right"/>
                      <w:rPr>
                        <w:rFonts w:ascii="MS Gothic"/>
                      </w:rPr>
                    </w:pPr>
                    <w:r>
                      <w:rPr>
                        <w:rFonts w:ascii="MS Gothic"/>
                        <w:color w:val="333333"/>
                      </w:rPr>
                      <w:t>&lt;goals&gt;</w:t>
                    </w:r>
                  </w:p>
                  <w:p w14:paraId="4717B66E" w14:textId="77777777" w:rsidR="00711A16" w:rsidRDefault="00711A16">
                    <w:pPr>
                      <w:spacing w:before="13"/>
                      <w:ind w:left="2840"/>
                      <w:rPr>
                        <w:rFonts w:ascii="MS Gothic"/>
                      </w:rPr>
                    </w:pPr>
                    <w:r>
                      <w:rPr>
                        <w:rFonts w:ascii="MS Gothic"/>
                        <w:color w:val="333333"/>
                      </w:rPr>
                      <w:t>&lt;goal&gt;build-info&lt;/goal&gt;</w:t>
                    </w:r>
                  </w:p>
                  <w:p w14:paraId="73BE6B55" w14:textId="77777777" w:rsidR="00711A16" w:rsidRDefault="00711A16">
                    <w:pPr>
                      <w:spacing w:before="13"/>
                      <w:ind w:right="6654"/>
                      <w:jc w:val="right"/>
                      <w:rPr>
                        <w:rFonts w:ascii="MS Gothic"/>
                      </w:rPr>
                    </w:pPr>
                    <w:r>
                      <w:rPr>
                        <w:rFonts w:ascii="MS Gothic"/>
                        <w:color w:val="333333"/>
                      </w:rPr>
                      <w:t>&lt;/goals&gt;</w:t>
                    </w:r>
                  </w:p>
                  <w:p w14:paraId="6B287FC2" w14:textId="77777777" w:rsidR="00711A16" w:rsidRDefault="00711A16">
                    <w:pPr>
                      <w:spacing w:before="13"/>
                      <w:ind w:right="6654"/>
                      <w:jc w:val="right"/>
                      <w:rPr>
                        <w:rFonts w:ascii="MS Gothic"/>
                      </w:rPr>
                    </w:pPr>
                    <w:r>
                      <w:rPr>
                        <w:rFonts w:ascii="MS Gothic"/>
                        <w:color w:val="333333"/>
                      </w:rPr>
                      <w:t>&lt;/execution&gt;</w:t>
                    </w:r>
                  </w:p>
                  <w:p w14:paraId="0BBA1444" w14:textId="77777777" w:rsidR="00711A16" w:rsidRDefault="00711A16">
                    <w:pPr>
                      <w:spacing w:before="13"/>
                      <w:ind w:left="1520"/>
                      <w:rPr>
                        <w:rFonts w:ascii="MS Gothic"/>
                      </w:rPr>
                    </w:pPr>
                    <w:r>
                      <w:rPr>
                        <w:rFonts w:ascii="MS Gothic"/>
                        <w:color w:val="333333"/>
                      </w:rPr>
                      <w:t>&lt;/executions&gt;</w:t>
                    </w:r>
                  </w:p>
                  <w:p w14:paraId="7CA81FA2" w14:textId="77777777" w:rsidR="00711A16" w:rsidRDefault="00711A16">
                    <w:pPr>
                      <w:spacing w:before="13"/>
                      <w:ind w:left="1080"/>
                      <w:rPr>
                        <w:rFonts w:ascii="MS Gothic"/>
                      </w:rPr>
                    </w:pPr>
                    <w:r>
                      <w:rPr>
                        <w:rFonts w:ascii="MS Gothic"/>
                        <w:color w:val="333333"/>
                      </w:rPr>
                      <w:t>&lt;/plugin&gt;</w:t>
                    </w:r>
                  </w:p>
                  <w:p w14:paraId="58D28D20" w14:textId="77777777" w:rsidR="00711A16" w:rsidRDefault="00711A16">
                    <w:pPr>
                      <w:spacing w:before="13"/>
                      <w:ind w:left="640"/>
                      <w:rPr>
                        <w:rFonts w:ascii="MS Gothic"/>
                      </w:rPr>
                    </w:pPr>
                    <w:r>
                      <w:rPr>
                        <w:rFonts w:ascii="MS Gothic"/>
                        <w:color w:val="333333"/>
                      </w:rPr>
                      <w:t>&lt;/plugins&gt;</w:t>
                    </w:r>
                  </w:p>
                  <w:p w14:paraId="207CE775" w14:textId="77777777" w:rsidR="00711A16" w:rsidRDefault="00711A16">
                    <w:pPr>
                      <w:spacing w:before="13"/>
                      <w:ind w:left="200"/>
                      <w:rPr>
                        <w:rFonts w:ascii="MS Gothic"/>
                      </w:rPr>
                    </w:pPr>
                    <w:r>
                      <w:rPr>
                        <w:rFonts w:ascii="MS Gothic"/>
                        <w:color w:val="333333"/>
                      </w:rPr>
                      <w:t>&lt;/build&gt;</w:t>
                    </w:r>
                  </w:p>
                </w:txbxContent>
              </v:textbox>
            </v:shape>
            <w10:wrap type="topAndBottom" anchorx="page"/>
          </v:group>
        </w:pict>
      </w:r>
    </w:p>
    <w:p w14:paraId="360A610C" w14:textId="77777777" w:rsidR="00A720EB" w:rsidRDefault="00A720EB">
      <w:pPr>
        <w:pStyle w:val="a3"/>
        <w:spacing w:before="10"/>
        <w:rPr>
          <w:sz w:val="16"/>
        </w:rPr>
      </w:pPr>
    </w:p>
    <w:p w14:paraId="4739D99C" w14:textId="77777777" w:rsidR="00A720EB" w:rsidRDefault="00E10349">
      <w:pPr>
        <w:pStyle w:val="a3"/>
        <w:spacing w:before="1"/>
        <w:ind w:left="561"/>
      </w:pPr>
      <w:r>
        <w:pict w14:anchorId="5CA75BD0">
          <v:line id="_x0000_s1281" style="position:absolute;left:0;text-align:left;z-index:-41122304;mso-position-horizontal-relative:page" from="108.25pt,.25pt" to="108.25pt,24pt" strokecolor="#ededed" strokeweight=".5pt">
            <w10:wrap anchorx="page"/>
          </v:line>
        </w:pict>
      </w:r>
      <w:r w:rsidR="0030286B">
        <w:rPr>
          <w:noProof/>
          <w:position w:val="-15"/>
        </w:rPr>
        <w:drawing>
          <wp:inline distT="0" distB="0" distL="0" distR="0" wp14:anchorId="1B7A3081" wp14:editId="39A37498">
            <wp:extent cx="209550" cy="304800"/>
            <wp:effectExtent l="0" t="0" r="0" b="0"/>
            <wp:docPr id="77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3.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See the </w:t>
      </w:r>
      <w:hyperlink r:id="rId657" w:anchor="goals-build-info">
        <w:r w:rsidR="0030286B">
          <w:rPr>
            <w:color w:val="418BCA"/>
            <w:w w:val="110"/>
          </w:rPr>
          <w:t xml:space="preserve">Spring Boot Maven Plugin documentation </w:t>
        </w:r>
      </w:hyperlink>
      <w:r w:rsidR="0030286B">
        <w:rPr>
          <w:color w:val="333333"/>
          <w:w w:val="110"/>
        </w:rPr>
        <w:t>for more</w:t>
      </w:r>
      <w:r w:rsidR="0030286B">
        <w:rPr>
          <w:color w:val="333333"/>
          <w:spacing w:val="39"/>
          <w:w w:val="110"/>
        </w:rPr>
        <w:t xml:space="preserve"> </w:t>
      </w:r>
      <w:r w:rsidR="0030286B">
        <w:rPr>
          <w:color w:val="333333"/>
          <w:w w:val="110"/>
        </w:rPr>
        <w:t>details.</w:t>
      </w:r>
    </w:p>
    <w:p w14:paraId="115DFDC2" w14:textId="77777777" w:rsidR="00A720EB" w:rsidRDefault="0030286B">
      <w:pPr>
        <w:pStyle w:val="a3"/>
        <w:spacing w:before="279"/>
        <w:ind w:left="124"/>
      </w:pPr>
      <w:r>
        <w:rPr>
          <w:color w:val="333333"/>
          <w:w w:val="110"/>
        </w:rPr>
        <w:t>The following example does the same with Gradle:</w:t>
      </w:r>
    </w:p>
    <w:p w14:paraId="5DDCA4E9" w14:textId="77777777" w:rsidR="00A720EB" w:rsidRDefault="00E10349">
      <w:pPr>
        <w:pStyle w:val="a3"/>
        <w:rPr>
          <w:sz w:val="19"/>
        </w:rPr>
      </w:pPr>
      <w:r>
        <w:pict w14:anchorId="4EBCB9BE">
          <v:group id="_x0000_s1277" style="position:absolute;margin-left:47.85pt;margin-top:13.15pt;width:499.55pt;height:67pt;z-index:-15045632;mso-wrap-distance-left:0;mso-wrap-distance-right:0;mso-position-horizontal-relative:page" coordorigin="957,263" coordsize="9991,1340">
            <v:shape id="_x0000_s1280" style="position:absolute;left:964;top:270;width:9976;height:1325" coordorigin="965,270" coordsize="9976,1325" path="m10861,270r-9816,l1014,277r-26,17l971,319r-6,31l965,1515r6,31l988,1571r26,18l1045,1595r9816,l10892,1589r25,-18l10935,1546r6,-31l10941,350r-6,-31l10917,294r-25,-17l10861,270xe" fillcolor="#f5f5f5" stroked="f">
              <v:path arrowok="t"/>
            </v:shape>
            <v:shape id="_x0000_s1279" style="position:absolute;left:964;top:270;width:9976;height:1325" coordorigin="965,270" coordsize="9976,1325" path="m1045,270r9816,l10892,277r25,17l10935,319r6,31l10941,1515r-6,31l10917,1571r-25,18l10861,1595r-9816,l1014,1589r-26,-18l971,1546r-6,-31l965,350r6,-31l988,294r26,-17l1045,270xe" filled="f" strokecolor="#ccc">
              <v:path arrowok="t"/>
            </v:shape>
            <v:shape id="_x0000_s1278" type="#_x0000_t202" style="position:absolute;left:984;top:285;width:9938;height:1294" filled="f" stroked="f">
              <v:textbox inset="0,0,0,0">
                <w:txbxContent>
                  <w:p w14:paraId="06E7B631" w14:textId="77777777" w:rsidR="00711A16" w:rsidRDefault="00711A16">
                    <w:pPr>
                      <w:spacing w:before="221"/>
                      <w:ind w:left="200"/>
                      <w:rPr>
                        <w:rFonts w:ascii="MS Gothic"/>
                      </w:rPr>
                    </w:pPr>
                    <w:r>
                      <w:rPr>
                        <w:rFonts w:ascii="MS Gothic"/>
                        <w:color w:val="333333"/>
                      </w:rPr>
                      <w:t>springBoot {</w:t>
                    </w:r>
                  </w:p>
                  <w:p w14:paraId="02452456" w14:textId="77777777" w:rsidR="00711A16" w:rsidRDefault="00711A16">
                    <w:pPr>
                      <w:spacing w:before="13"/>
                      <w:ind w:left="640"/>
                      <w:rPr>
                        <w:rFonts w:ascii="MS Gothic"/>
                      </w:rPr>
                    </w:pPr>
                    <w:proofErr w:type="gramStart"/>
                    <w:r>
                      <w:rPr>
                        <w:rFonts w:ascii="MS Gothic"/>
                        <w:color w:val="333333"/>
                      </w:rPr>
                      <w:t>buildInfo(</w:t>
                    </w:r>
                    <w:proofErr w:type="gramEnd"/>
                    <w:r>
                      <w:rPr>
                        <w:rFonts w:ascii="MS Gothic"/>
                        <w:color w:val="333333"/>
                      </w:rPr>
                      <w:t>)</w:t>
                    </w:r>
                  </w:p>
                  <w:p w14:paraId="318FA300"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74AF69A4" w14:textId="77777777" w:rsidR="00A720EB" w:rsidRDefault="00A720EB">
      <w:pPr>
        <w:pStyle w:val="a3"/>
        <w:spacing w:before="9"/>
        <w:rPr>
          <w:sz w:val="8"/>
        </w:rPr>
      </w:pPr>
    </w:p>
    <w:p w14:paraId="0874A11B" w14:textId="77777777" w:rsidR="00A720EB" w:rsidRDefault="00E10349">
      <w:pPr>
        <w:pStyle w:val="a3"/>
        <w:spacing w:before="96"/>
        <w:ind w:left="561"/>
      </w:pPr>
      <w:r>
        <w:pict w14:anchorId="392E95A6">
          <v:line id="_x0000_s1276" style="position:absolute;left:0;text-align:left;z-index:-41121792;mso-position-horizontal-relative:page" from="108.25pt,5pt" to="108.25pt,28.75pt" strokecolor="#ededed" strokeweight=".5pt">
            <w10:wrap anchorx="page"/>
          </v:line>
        </w:pict>
      </w:r>
      <w:r w:rsidR="0030286B">
        <w:rPr>
          <w:noProof/>
          <w:position w:val="-15"/>
        </w:rPr>
        <w:drawing>
          <wp:inline distT="0" distB="0" distL="0" distR="0" wp14:anchorId="4B2FE329" wp14:editId="072A7E47">
            <wp:extent cx="209550" cy="304800"/>
            <wp:effectExtent l="0" t="0" r="0" b="0"/>
            <wp:docPr id="77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33.png"/>
                    <pic:cNvPicPr/>
                  </pic:nvPicPr>
                  <pic:blipFill>
                    <a:blip r:embed="rId73" cstate="print"/>
                    <a:stretch>
                      <a:fillRect/>
                    </a:stretch>
                  </pic:blipFill>
                  <pic:spPr>
                    <a:xfrm>
                      <a:off x="0" y="0"/>
                      <a:ext cx="209550" cy="304800"/>
                    </a:xfrm>
                    <a:prstGeom prst="rect">
                      <a:avLst/>
                    </a:prstGeom>
                  </pic:spPr>
                </pic:pic>
              </a:graphicData>
            </a:graphic>
          </wp:inline>
        </w:drawing>
      </w:r>
      <w:r w:rsidR="0030286B">
        <w:rPr>
          <w:rFonts w:ascii="Times New Roman"/>
          <w:sz w:val="20"/>
        </w:rPr>
        <w:t xml:space="preserve">            </w:t>
      </w:r>
      <w:r w:rsidR="0030286B">
        <w:rPr>
          <w:rFonts w:ascii="Times New Roman"/>
          <w:spacing w:val="23"/>
          <w:sz w:val="20"/>
        </w:rPr>
        <w:t xml:space="preserve"> </w:t>
      </w:r>
      <w:r w:rsidR="0030286B">
        <w:rPr>
          <w:color w:val="333333"/>
          <w:w w:val="110"/>
        </w:rPr>
        <w:t xml:space="preserve">See the </w:t>
      </w:r>
      <w:hyperlink r:id="rId658" w:anchor="integrating-with-actuator-build-info">
        <w:r w:rsidR="0030286B">
          <w:rPr>
            <w:color w:val="418BCA"/>
            <w:w w:val="110"/>
          </w:rPr>
          <w:t xml:space="preserve">Spring Boot Gradle Plugin documentation </w:t>
        </w:r>
      </w:hyperlink>
      <w:r w:rsidR="0030286B">
        <w:rPr>
          <w:color w:val="333333"/>
          <w:w w:val="110"/>
        </w:rPr>
        <w:t>for more</w:t>
      </w:r>
      <w:r w:rsidR="0030286B">
        <w:rPr>
          <w:color w:val="333333"/>
          <w:spacing w:val="36"/>
          <w:w w:val="110"/>
        </w:rPr>
        <w:t xml:space="preserve"> </w:t>
      </w:r>
      <w:r w:rsidR="0030286B">
        <w:rPr>
          <w:color w:val="333333"/>
          <w:w w:val="110"/>
        </w:rPr>
        <w:t>details.</w:t>
      </w:r>
    </w:p>
    <w:p w14:paraId="7D554B44" w14:textId="77777777" w:rsidR="00A720EB" w:rsidRDefault="0030286B">
      <w:pPr>
        <w:pStyle w:val="3"/>
        <w:numPr>
          <w:ilvl w:val="2"/>
          <w:numId w:val="13"/>
        </w:numPr>
        <w:tabs>
          <w:tab w:val="left" w:pos="1003"/>
        </w:tabs>
        <w:spacing w:before="340"/>
        <w:ind w:left="1002" w:hanging="879"/>
      </w:pPr>
      <w:bookmarkStart w:id="992" w:name="9.16.2._Generate_Git_Information"/>
      <w:bookmarkStart w:id="993" w:name="_Toc54424014"/>
      <w:bookmarkEnd w:id="992"/>
      <w:r>
        <w:rPr>
          <w:color w:val="333333"/>
          <w:w w:val="110"/>
        </w:rPr>
        <w:t>Generate Git</w:t>
      </w:r>
      <w:r>
        <w:rPr>
          <w:color w:val="333333"/>
          <w:spacing w:val="-10"/>
          <w:w w:val="110"/>
        </w:rPr>
        <w:t xml:space="preserve"> </w:t>
      </w:r>
      <w:r>
        <w:rPr>
          <w:color w:val="333333"/>
          <w:w w:val="110"/>
        </w:rPr>
        <w:t>Information</w:t>
      </w:r>
      <w:bookmarkEnd w:id="993"/>
    </w:p>
    <w:p w14:paraId="4C357453" w14:textId="77777777" w:rsidR="00A720EB" w:rsidRDefault="0030286B">
      <w:pPr>
        <w:pStyle w:val="a3"/>
        <w:spacing w:before="244" w:line="280" w:lineRule="auto"/>
        <w:ind w:left="124" w:right="462"/>
      </w:pPr>
      <w:r>
        <w:rPr>
          <w:color w:val="333333"/>
          <w:w w:val="110"/>
        </w:rPr>
        <w:t xml:space="preserve">Both Maven and Gradle allow generating a </w:t>
      </w:r>
      <w:proofErr w:type="gramStart"/>
      <w:r>
        <w:rPr>
          <w:rFonts w:ascii="MS Gothic"/>
          <w:color w:val="B02045"/>
          <w:w w:val="110"/>
        </w:rPr>
        <w:t>git.properties</w:t>
      </w:r>
      <w:proofErr w:type="gramEnd"/>
      <w:r>
        <w:rPr>
          <w:rFonts w:ascii="MS Gothic"/>
          <w:color w:val="B02045"/>
          <w:w w:val="110"/>
        </w:rPr>
        <w:t xml:space="preserve"> </w:t>
      </w:r>
      <w:r>
        <w:rPr>
          <w:color w:val="333333"/>
          <w:w w:val="110"/>
        </w:rPr>
        <w:t xml:space="preserve">file containing information about the state of your </w:t>
      </w:r>
      <w:r>
        <w:rPr>
          <w:rFonts w:ascii="MS Gothic"/>
          <w:color w:val="B02045"/>
          <w:w w:val="110"/>
        </w:rPr>
        <w:t xml:space="preserve">git </w:t>
      </w:r>
      <w:r>
        <w:rPr>
          <w:color w:val="333333"/>
          <w:w w:val="110"/>
        </w:rPr>
        <w:t>source code repository when the project was built.</w:t>
      </w:r>
    </w:p>
    <w:p w14:paraId="39BC8179" w14:textId="77777777" w:rsidR="00A720EB" w:rsidRDefault="00A720EB">
      <w:pPr>
        <w:spacing w:line="280" w:lineRule="auto"/>
        <w:sectPr w:rsidR="00A720EB">
          <w:pgSz w:w="11910" w:h="16840"/>
          <w:pgMar w:top="620" w:right="840" w:bottom="520" w:left="840" w:header="0" w:footer="323" w:gutter="0"/>
          <w:cols w:space="720"/>
        </w:sectPr>
      </w:pPr>
    </w:p>
    <w:p w14:paraId="0FBFD953" w14:textId="77777777" w:rsidR="00A720EB" w:rsidRDefault="0030286B">
      <w:pPr>
        <w:pStyle w:val="a3"/>
        <w:spacing w:before="96" w:line="280" w:lineRule="auto"/>
        <w:ind w:left="124" w:right="64"/>
      </w:pPr>
      <w:r>
        <w:rPr>
          <w:color w:val="333333"/>
          <w:spacing w:val="-4"/>
          <w:w w:val="110"/>
        </w:rPr>
        <w:lastRenderedPageBreak/>
        <w:t xml:space="preserve">For </w:t>
      </w:r>
      <w:r>
        <w:rPr>
          <w:color w:val="333333"/>
          <w:w w:val="110"/>
        </w:rPr>
        <w:t xml:space="preserve">Maven users, the </w:t>
      </w:r>
      <w:r>
        <w:rPr>
          <w:rFonts w:ascii="MS Gothic"/>
          <w:color w:val="B02045"/>
          <w:w w:val="110"/>
        </w:rPr>
        <w:t>spring-boot-starter-parent</w:t>
      </w:r>
      <w:r>
        <w:rPr>
          <w:rFonts w:ascii="MS Gothic"/>
          <w:color w:val="B02045"/>
          <w:spacing w:val="-73"/>
          <w:w w:val="110"/>
        </w:rPr>
        <w:t xml:space="preserve"> </w:t>
      </w:r>
      <w:r>
        <w:rPr>
          <w:color w:val="333333"/>
          <w:w w:val="110"/>
        </w:rPr>
        <w:t xml:space="preserve">POM includes a pre-configured plugin to generate a </w:t>
      </w:r>
      <w:proofErr w:type="gramStart"/>
      <w:r>
        <w:rPr>
          <w:rFonts w:ascii="MS Gothic"/>
          <w:color w:val="B02045"/>
          <w:w w:val="110"/>
        </w:rPr>
        <w:t>git.properties</w:t>
      </w:r>
      <w:proofErr w:type="gramEnd"/>
      <w:r>
        <w:rPr>
          <w:rFonts w:ascii="MS Gothic"/>
          <w:color w:val="B02045"/>
          <w:w w:val="110"/>
        </w:rPr>
        <w:t xml:space="preserve"> </w:t>
      </w:r>
      <w:r>
        <w:rPr>
          <w:color w:val="333333"/>
          <w:w w:val="110"/>
        </w:rPr>
        <w:t xml:space="preserve">file. </w:t>
      </w:r>
      <w:r>
        <w:rPr>
          <w:color w:val="333333"/>
          <w:spacing w:val="-4"/>
          <w:w w:val="110"/>
        </w:rPr>
        <w:t xml:space="preserve">To </w:t>
      </w:r>
      <w:r>
        <w:rPr>
          <w:color w:val="333333"/>
          <w:w w:val="110"/>
        </w:rPr>
        <w:t>use it, add the following declaration to your POM:</w:t>
      </w:r>
    </w:p>
    <w:p w14:paraId="4E00FAE0" w14:textId="77777777" w:rsidR="00A720EB" w:rsidRDefault="00E10349">
      <w:pPr>
        <w:pStyle w:val="a3"/>
        <w:spacing w:before="1"/>
        <w:rPr>
          <w:sz w:val="14"/>
        </w:rPr>
      </w:pPr>
      <w:r>
        <w:pict w14:anchorId="043B303B">
          <v:group id="_x0000_s1272" style="position:absolute;margin-left:47.85pt;margin-top:10.25pt;width:499.55pt;height:140.7pt;z-index:-15044096;mso-wrap-distance-left:0;mso-wrap-distance-right:0;mso-position-horizontal-relative:page" coordorigin="957,205" coordsize="9991,2814">
            <v:shape id="_x0000_s1275" style="position:absolute;left:964;top:212;width:9976;height:2799" coordorigin="965,213" coordsize="9976,2799" path="m10861,213r-9816,l1014,219r-26,17l971,262r-6,31l965,2931r6,31l988,2988r26,17l1045,3011r9816,l10892,3005r25,-17l10935,2962r6,-31l10941,293r-6,-31l10917,236r-25,-17l10861,213xe" fillcolor="#f5f5f5" stroked="f">
              <v:path arrowok="t"/>
            </v:shape>
            <v:shape id="_x0000_s1274" style="position:absolute;left:964;top:212;width:9976;height:2799" coordorigin="965,213" coordsize="9976,2799" path="m1045,213r9816,l10892,219r25,17l10935,262r6,31l10941,2931r-6,31l10917,2988r-25,17l10861,3011r-9816,l1014,3005r-26,-17l971,2962r-6,-31l965,293r6,-31l988,236r26,-17l1045,213xe" filled="f" strokecolor="#ccc">
              <v:path arrowok="t"/>
            </v:shape>
            <v:shape id="_x0000_s1273" type="#_x0000_t202" style="position:absolute;left:984;top:228;width:9938;height:2768" filled="f" stroked="f">
              <v:textbox inset="0,0,0,0">
                <w:txbxContent>
                  <w:p w14:paraId="699EEB9B" w14:textId="77777777" w:rsidR="00711A16" w:rsidRDefault="00711A16">
                    <w:pPr>
                      <w:spacing w:before="221"/>
                      <w:ind w:left="200"/>
                      <w:rPr>
                        <w:rFonts w:ascii="MS Gothic"/>
                      </w:rPr>
                    </w:pPr>
                    <w:r>
                      <w:rPr>
                        <w:rFonts w:ascii="MS Gothic"/>
                        <w:color w:val="333333"/>
                      </w:rPr>
                      <w:t>&lt;build&gt;</w:t>
                    </w:r>
                  </w:p>
                  <w:p w14:paraId="10C184AF" w14:textId="77777777" w:rsidR="00711A16" w:rsidRDefault="00711A16">
                    <w:pPr>
                      <w:spacing w:before="13"/>
                      <w:ind w:left="640"/>
                      <w:rPr>
                        <w:rFonts w:ascii="MS Gothic"/>
                      </w:rPr>
                    </w:pPr>
                    <w:r>
                      <w:rPr>
                        <w:rFonts w:ascii="MS Gothic"/>
                        <w:color w:val="333333"/>
                      </w:rPr>
                      <w:t>&lt;plugins&gt;</w:t>
                    </w:r>
                  </w:p>
                  <w:p w14:paraId="6B0BEC36" w14:textId="77777777" w:rsidR="00711A16" w:rsidRDefault="00711A16">
                    <w:pPr>
                      <w:spacing w:before="13"/>
                      <w:ind w:left="1080"/>
                      <w:rPr>
                        <w:rFonts w:ascii="MS Gothic"/>
                      </w:rPr>
                    </w:pPr>
                    <w:r>
                      <w:rPr>
                        <w:rFonts w:ascii="MS Gothic"/>
                        <w:color w:val="333333"/>
                      </w:rPr>
                      <w:t>&lt;plugin&gt;</w:t>
                    </w:r>
                  </w:p>
                  <w:p w14:paraId="4371CE20" w14:textId="77777777" w:rsidR="00711A16" w:rsidRDefault="00711A16">
                    <w:pPr>
                      <w:spacing w:before="13"/>
                      <w:ind w:left="1520"/>
                      <w:rPr>
                        <w:rFonts w:ascii="MS Gothic"/>
                      </w:rPr>
                    </w:pPr>
                    <w:r>
                      <w:rPr>
                        <w:rFonts w:ascii="MS Gothic"/>
                        <w:color w:val="333333"/>
                      </w:rPr>
                      <w:t>&lt;groupId&gt;pl.project</w:t>
                    </w:r>
                    <w:proofErr w:type="gramStart"/>
                    <w:r>
                      <w:rPr>
                        <w:rFonts w:ascii="MS Gothic"/>
                        <w:color w:val="333333"/>
                      </w:rPr>
                      <w:t>13.maven</w:t>
                    </w:r>
                    <w:proofErr w:type="gramEnd"/>
                    <w:r>
                      <w:rPr>
                        <w:rFonts w:ascii="MS Gothic"/>
                        <w:color w:val="333333"/>
                      </w:rPr>
                      <w:t>&lt;/groupId&gt;</w:t>
                    </w:r>
                  </w:p>
                  <w:p w14:paraId="7FFD7ADC" w14:textId="77777777" w:rsidR="00711A16" w:rsidRDefault="00711A16">
                    <w:pPr>
                      <w:spacing w:before="12"/>
                      <w:ind w:left="1520"/>
                      <w:rPr>
                        <w:rFonts w:ascii="MS Gothic"/>
                      </w:rPr>
                    </w:pPr>
                    <w:r>
                      <w:rPr>
                        <w:rFonts w:ascii="MS Gothic"/>
                        <w:color w:val="333333"/>
                      </w:rPr>
                      <w:t>&lt;artifactId&gt;git-commit-id-plugin&lt;/artifactId&gt;</w:t>
                    </w:r>
                  </w:p>
                  <w:p w14:paraId="3A5F56F0" w14:textId="77777777" w:rsidR="00711A16" w:rsidRDefault="00711A16">
                    <w:pPr>
                      <w:spacing w:before="13"/>
                      <w:ind w:left="1080"/>
                      <w:rPr>
                        <w:rFonts w:ascii="MS Gothic"/>
                      </w:rPr>
                    </w:pPr>
                    <w:r>
                      <w:rPr>
                        <w:rFonts w:ascii="MS Gothic"/>
                        <w:color w:val="333333"/>
                      </w:rPr>
                      <w:t>&lt;/plugin&gt;</w:t>
                    </w:r>
                  </w:p>
                  <w:p w14:paraId="76970954" w14:textId="77777777" w:rsidR="00711A16" w:rsidRDefault="00711A16">
                    <w:pPr>
                      <w:spacing w:before="13"/>
                      <w:ind w:left="640"/>
                      <w:rPr>
                        <w:rFonts w:ascii="MS Gothic"/>
                      </w:rPr>
                    </w:pPr>
                    <w:r>
                      <w:rPr>
                        <w:rFonts w:ascii="MS Gothic"/>
                        <w:color w:val="333333"/>
                      </w:rPr>
                      <w:t>&lt;/plugins&gt;</w:t>
                    </w:r>
                  </w:p>
                  <w:p w14:paraId="1B4DDB0C" w14:textId="77777777" w:rsidR="00711A16" w:rsidRDefault="00711A16">
                    <w:pPr>
                      <w:spacing w:before="13"/>
                      <w:ind w:left="200"/>
                      <w:rPr>
                        <w:rFonts w:ascii="MS Gothic"/>
                      </w:rPr>
                    </w:pPr>
                    <w:r>
                      <w:rPr>
                        <w:rFonts w:ascii="MS Gothic"/>
                        <w:color w:val="333333"/>
                      </w:rPr>
                      <w:t>&lt;/build&gt;</w:t>
                    </w:r>
                  </w:p>
                </w:txbxContent>
              </v:textbox>
            </v:shape>
            <w10:wrap type="topAndBottom" anchorx="page"/>
          </v:group>
        </w:pict>
      </w:r>
    </w:p>
    <w:p w14:paraId="16A54648" w14:textId="77777777" w:rsidR="00A720EB" w:rsidRDefault="00A720EB">
      <w:pPr>
        <w:pStyle w:val="a3"/>
        <w:spacing w:before="11"/>
        <w:rPr>
          <w:sz w:val="9"/>
        </w:rPr>
      </w:pPr>
    </w:p>
    <w:p w14:paraId="5D860901" w14:textId="77777777" w:rsidR="00A720EB" w:rsidRDefault="0030286B">
      <w:pPr>
        <w:pStyle w:val="a3"/>
        <w:spacing w:before="115" w:line="290" w:lineRule="auto"/>
        <w:ind w:left="124"/>
      </w:pPr>
      <w:r>
        <w:rPr>
          <w:color w:val="333333"/>
          <w:w w:val="110"/>
        </w:rPr>
        <w:t xml:space="preserve">Gradle users can achieve the same result </w:t>
      </w:r>
      <w:r>
        <w:rPr>
          <w:color w:val="333333"/>
          <w:spacing w:val="-3"/>
          <w:w w:val="110"/>
        </w:rPr>
        <w:t xml:space="preserve">by </w:t>
      </w:r>
      <w:r>
        <w:rPr>
          <w:color w:val="333333"/>
          <w:w w:val="110"/>
        </w:rPr>
        <w:t xml:space="preserve">using the </w:t>
      </w:r>
      <w:hyperlink r:id="rId659">
        <w:r>
          <w:rPr>
            <w:rFonts w:ascii="MS Gothic"/>
            <w:color w:val="B02045"/>
            <w:w w:val="110"/>
          </w:rPr>
          <w:t>gradle-git-properties</w:t>
        </w:r>
        <w:r>
          <w:rPr>
            <w:rFonts w:ascii="MS Gothic"/>
            <w:color w:val="B02045"/>
            <w:spacing w:val="-71"/>
            <w:w w:val="110"/>
          </w:rPr>
          <w:t xml:space="preserve"> </w:t>
        </w:r>
      </w:hyperlink>
      <w:r>
        <w:rPr>
          <w:color w:val="333333"/>
          <w:w w:val="110"/>
        </w:rPr>
        <w:t>plugin, as shown in the following example:</w:t>
      </w:r>
    </w:p>
    <w:p w14:paraId="7A1444D3" w14:textId="77777777" w:rsidR="00A720EB" w:rsidRDefault="00E10349">
      <w:pPr>
        <w:pStyle w:val="a3"/>
        <w:spacing w:before="8"/>
        <w:rPr>
          <w:sz w:val="14"/>
        </w:rPr>
      </w:pPr>
      <w:r>
        <w:pict w14:anchorId="6DB5F104">
          <v:group id="_x0000_s1268" style="position:absolute;margin-left:47.85pt;margin-top:10.6pt;width:499.55pt;height:67pt;z-index:-15043584;mso-wrap-distance-left:0;mso-wrap-distance-right:0;mso-position-horizontal-relative:page" coordorigin="957,212" coordsize="9991,1340">
            <v:shape id="_x0000_s1271" style="position:absolute;left:964;top:219;width:9976;height:1325" coordorigin="965,219" coordsize="9976,1325" path="m10861,219r-9816,l1014,226r-26,17l971,268r-6,31l965,1464r6,31l988,1520r26,17l1045,1544r9816,l10892,1537r25,-17l10935,1495r6,-31l10941,299r-6,-31l10917,243r-25,-17l10861,219xe" fillcolor="#f5f5f5" stroked="f">
              <v:path arrowok="t"/>
            </v:shape>
            <v:shape id="_x0000_s1270" style="position:absolute;left:964;top:219;width:9976;height:1325" coordorigin="965,219" coordsize="9976,1325" path="m1045,219r9816,l10892,226r25,17l10935,268r6,31l10941,1464r-6,31l10917,1520r-25,17l10861,1544r-9816,l1014,1537r-26,-17l971,1495r-6,-31l965,299r6,-31l988,243r26,-17l1045,219xe" filled="f" strokecolor="#ccc">
              <v:path arrowok="t"/>
            </v:shape>
            <v:shape id="_x0000_s1269" type="#_x0000_t202" style="position:absolute;left:984;top:234;width:9938;height:1294" filled="f" stroked="f">
              <v:textbox inset="0,0,0,0">
                <w:txbxContent>
                  <w:p w14:paraId="6700EF11" w14:textId="77777777" w:rsidR="00711A16" w:rsidRDefault="00711A16">
                    <w:pPr>
                      <w:spacing w:before="221"/>
                      <w:ind w:left="200"/>
                      <w:rPr>
                        <w:rFonts w:ascii="MS Gothic"/>
                      </w:rPr>
                    </w:pPr>
                    <w:r>
                      <w:rPr>
                        <w:rFonts w:ascii="MS Gothic"/>
                        <w:color w:val="333333"/>
                      </w:rPr>
                      <w:t>plugins {</w:t>
                    </w:r>
                  </w:p>
                  <w:p w14:paraId="29E04827" w14:textId="77777777" w:rsidR="00711A16" w:rsidRDefault="00711A16">
                    <w:pPr>
                      <w:spacing w:before="13"/>
                      <w:ind w:left="640"/>
                      <w:rPr>
                        <w:rFonts w:ascii="MS Gothic"/>
                      </w:rPr>
                    </w:pPr>
                    <w:r>
                      <w:rPr>
                        <w:rFonts w:ascii="MS Gothic"/>
                        <w:color w:val="333333"/>
                      </w:rPr>
                      <w:t>id "</w:t>
                    </w:r>
                    <w:proofErr w:type="gramStart"/>
                    <w:r>
                      <w:rPr>
                        <w:rFonts w:ascii="MS Gothic"/>
                        <w:color w:val="333333"/>
                      </w:rPr>
                      <w:t>com.gorylenko</w:t>
                    </w:r>
                    <w:proofErr w:type="gramEnd"/>
                    <w:r>
                      <w:rPr>
                        <w:rFonts w:ascii="MS Gothic"/>
                        <w:color w:val="333333"/>
                      </w:rPr>
                      <w:t>.gradle-git-properties" version "2.2.2"</w:t>
                    </w:r>
                  </w:p>
                  <w:p w14:paraId="1C3CC601"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76A14E35" w14:textId="77777777" w:rsidR="00A720EB" w:rsidRDefault="00A720EB">
      <w:pPr>
        <w:pStyle w:val="a3"/>
        <w:spacing w:before="8"/>
        <w:rPr>
          <w:sz w:val="16"/>
        </w:rPr>
      </w:pPr>
    </w:p>
    <w:p w14:paraId="25423553" w14:textId="77777777" w:rsidR="00A720EB" w:rsidRDefault="00E10349">
      <w:pPr>
        <w:pStyle w:val="a3"/>
        <w:spacing w:before="116" w:line="290" w:lineRule="auto"/>
        <w:ind w:left="1564" w:right="364"/>
        <w:jc w:val="both"/>
      </w:pPr>
      <w:r>
        <w:pict w14:anchorId="77EC1F62">
          <v:line id="_x0000_s1267" style="position:absolute;left:0;text-align:left;z-index:16414208;mso-position-horizontal-relative:page" from="108.25pt,.35pt" to="108.25pt,87.25pt" strokecolor="#ededed" strokeweight=".5pt">
            <w10:wrap anchorx="page"/>
          </v:line>
        </w:pict>
      </w:r>
      <w:r w:rsidR="0030286B">
        <w:rPr>
          <w:noProof/>
        </w:rPr>
        <w:drawing>
          <wp:anchor distT="0" distB="0" distL="0" distR="0" simplePos="0" relativeHeight="16414720" behindDoc="0" locked="0" layoutInCell="1" allowOverlap="1" wp14:anchorId="387CF966" wp14:editId="2D788F34">
            <wp:simplePos x="0" y="0"/>
            <wp:positionH relativeFrom="page">
              <wp:posOffset>888949</wp:posOffset>
            </wp:positionH>
            <wp:positionV relativeFrom="paragraph">
              <wp:posOffset>403682</wp:posOffset>
            </wp:positionV>
            <wp:extent cx="209550" cy="304800"/>
            <wp:effectExtent l="0" t="0" r="0" b="0"/>
            <wp:wrapNone/>
            <wp:docPr id="78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The commit time in </w:t>
      </w:r>
      <w:proofErr w:type="gramStart"/>
      <w:r w:rsidR="0030286B">
        <w:rPr>
          <w:rFonts w:ascii="MS Gothic" w:hAnsi="MS Gothic"/>
          <w:color w:val="B02045"/>
          <w:w w:val="110"/>
        </w:rPr>
        <w:t>git.properties</w:t>
      </w:r>
      <w:proofErr w:type="gramEnd"/>
      <w:r w:rsidR="0030286B">
        <w:rPr>
          <w:rFonts w:ascii="MS Gothic" w:hAnsi="MS Gothic"/>
          <w:color w:val="B02045"/>
          <w:w w:val="110"/>
        </w:rPr>
        <w:t xml:space="preserve"> </w:t>
      </w:r>
      <w:r w:rsidR="0030286B">
        <w:rPr>
          <w:color w:val="333333"/>
          <w:w w:val="110"/>
        </w:rPr>
        <w:t xml:space="preserve">is expected to match the following format: </w:t>
      </w:r>
      <w:r w:rsidR="0030286B">
        <w:rPr>
          <w:rFonts w:ascii="MS Gothic" w:hAnsi="MS Gothic"/>
          <w:color w:val="B02045"/>
          <w:w w:val="110"/>
        </w:rPr>
        <w:t>yyyy-MM-dd’T’HH:mm:ssZ</w:t>
      </w:r>
      <w:r w:rsidR="0030286B">
        <w:rPr>
          <w:color w:val="333333"/>
          <w:w w:val="110"/>
        </w:rPr>
        <w:t xml:space="preserve">. This is the default format for both plugins listed above. Using this format lets the time be parsed into a </w:t>
      </w:r>
      <w:r w:rsidR="0030286B">
        <w:rPr>
          <w:rFonts w:ascii="MS Gothic" w:hAnsi="MS Gothic"/>
          <w:color w:val="B02045"/>
          <w:w w:val="110"/>
        </w:rPr>
        <w:t xml:space="preserve">Date </w:t>
      </w:r>
      <w:r w:rsidR="0030286B">
        <w:rPr>
          <w:color w:val="333333"/>
          <w:w w:val="110"/>
        </w:rPr>
        <w:t xml:space="preserve">and its format, </w:t>
      </w:r>
      <w:proofErr w:type="gramStart"/>
      <w:r w:rsidR="0030286B">
        <w:rPr>
          <w:color w:val="333333"/>
          <w:w w:val="110"/>
        </w:rPr>
        <w:t>when  serialized</w:t>
      </w:r>
      <w:proofErr w:type="gramEnd"/>
      <w:r w:rsidR="0030286B">
        <w:rPr>
          <w:color w:val="333333"/>
          <w:w w:val="110"/>
        </w:rPr>
        <w:t xml:space="preserve"> to JSON, to be controlled </w:t>
      </w:r>
      <w:r w:rsidR="0030286B">
        <w:rPr>
          <w:color w:val="333333"/>
          <w:spacing w:val="-3"/>
          <w:w w:val="110"/>
        </w:rPr>
        <w:t xml:space="preserve">by </w:t>
      </w:r>
      <w:r w:rsidR="0030286B">
        <w:rPr>
          <w:color w:val="333333"/>
          <w:w w:val="110"/>
        </w:rPr>
        <w:t>Jackson’s date serialization configuration settings.</w:t>
      </w:r>
    </w:p>
    <w:p w14:paraId="7804848B" w14:textId="77777777" w:rsidR="00A720EB" w:rsidRDefault="00A720EB">
      <w:pPr>
        <w:pStyle w:val="a3"/>
        <w:spacing w:before="11"/>
        <w:rPr>
          <w:sz w:val="24"/>
        </w:rPr>
      </w:pPr>
    </w:p>
    <w:p w14:paraId="605DCF11" w14:textId="77777777" w:rsidR="00A720EB" w:rsidRDefault="0030286B">
      <w:pPr>
        <w:pStyle w:val="3"/>
        <w:numPr>
          <w:ilvl w:val="2"/>
          <w:numId w:val="13"/>
        </w:numPr>
        <w:tabs>
          <w:tab w:val="left" w:pos="1003"/>
        </w:tabs>
        <w:spacing w:before="105"/>
        <w:ind w:left="1002" w:hanging="879"/>
      </w:pPr>
      <w:bookmarkStart w:id="994" w:name="9.16.3._Customize_Dependency_Versions"/>
      <w:bookmarkStart w:id="995" w:name="_Toc54424015"/>
      <w:bookmarkEnd w:id="994"/>
      <w:r>
        <w:rPr>
          <w:color w:val="333333"/>
          <w:w w:val="110"/>
        </w:rPr>
        <w:t>Customize Dependency</w:t>
      </w:r>
      <w:r>
        <w:rPr>
          <w:color w:val="333333"/>
          <w:spacing w:val="-13"/>
          <w:w w:val="110"/>
        </w:rPr>
        <w:t xml:space="preserve"> </w:t>
      </w:r>
      <w:r>
        <w:rPr>
          <w:color w:val="333333"/>
          <w:spacing w:val="-3"/>
          <w:w w:val="110"/>
        </w:rPr>
        <w:t>Versions</w:t>
      </w:r>
      <w:bookmarkEnd w:id="995"/>
    </w:p>
    <w:p w14:paraId="09DDA1B6" w14:textId="77777777" w:rsidR="00A720EB" w:rsidRDefault="0030286B">
      <w:pPr>
        <w:pStyle w:val="a3"/>
        <w:spacing w:before="243" w:line="300" w:lineRule="auto"/>
        <w:ind w:left="124" w:right="128"/>
        <w:jc w:val="both"/>
      </w:pPr>
      <w:r>
        <w:rPr>
          <w:color w:val="333333"/>
          <w:w w:val="110"/>
        </w:rPr>
        <w:t xml:space="preserve">The </w:t>
      </w:r>
      <w:r>
        <w:rPr>
          <w:rFonts w:ascii="MS Gothic"/>
          <w:color w:val="B02045"/>
          <w:w w:val="110"/>
        </w:rPr>
        <w:t xml:space="preserve">spring-boot-dependencies </w:t>
      </w:r>
      <w:r>
        <w:rPr>
          <w:color w:val="333333"/>
          <w:w w:val="110"/>
        </w:rPr>
        <w:t>POM manages the versions of common dependencies. The Spring Boot plugins for Maven and Gradle allow these managed dependency versions to be customized using build</w:t>
      </w:r>
      <w:r>
        <w:rPr>
          <w:color w:val="333333"/>
          <w:spacing w:val="4"/>
          <w:w w:val="110"/>
        </w:rPr>
        <w:t xml:space="preserve"> </w:t>
      </w:r>
      <w:r>
        <w:rPr>
          <w:color w:val="333333"/>
          <w:w w:val="110"/>
        </w:rPr>
        <w:t>properties.</w:t>
      </w:r>
    </w:p>
    <w:p w14:paraId="16917120" w14:textId="77777777" w:rsidR="00A720EB" w:rsidRDefault="00A720EB">
      <w:pPr>
        <w:pStyle w:val="a3"/>
        <w:spacing w:before="9"/>
        <w:rPr>
          <w:sz w:val="27"/>
        </w:rPr>
      </w:pPr>
    </w:p>
    <w:p w14:paraId="64ADA054" w14:textId="77777777" w:rsidR="00A720EB" w:rsidRDefault="00E10349">
      <w:pPr>
        <w:pStyle w:val="a3"/>
        <w:spacing w:line="307" w:lineRule="auto"/>
        <w:ind w:left="1564" w:right="462"/>
      </w:pPr>
      <w:r>
        <w:pict w14:anchorId="051A8CDE">
          <v:line id="_x0000_s1266" style="position:absolute;left:0;text-align:left;z-index:16415232;mso-position-horizontal-relative:page" from="108.25pt,-6pt" to="108.25pt,33.55pt" strokecolor="#ededed" strokeweight=".5pt">
            <w10:wrap anchorx="page"/>
          </v:line>
        </w:pict>
      </w:r>
      <w:r w:rsidR="0030286B">
        <w:rPr>
          <w:noProof/>
        </w:rPr>
        <w:drawing>
          <wp:anchor distT="0" distB="0" distL="0" distR="0" simplePos="0" relativeHeight="16415744" behindDoc="0" locked="0" layoutInCell="1" allowOverlap="1" wp14:anchorId="669AE55B" wp14:editId="5F5DC38D">
            <wp:simplePos x="0" y="0"/>
            <wp:positionH relativeFrom="page">
              <wp:posOffset>815847</wp:posOffset>
            </wp:positionH>
            <wp:positionV relativeFrom="paragraph">
              <wp:posOffset>22771</wp:posOffset>
            </wp:positionV>
            <wp:extent cx="355600" cy="304800"/>
            <wp:effectExtent l="0" t="0" r="0" b="0"/>
            <wp:wrapNone/>
            <wp:docPr id="7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Each Spring Boot release is designed and tested against this specific set of third- party dependencies. Overriding versions may cause compatibility issues.</w:t>
      </w:r>
    </w:p>
    <w:p w14:paraId="73ECB032" w14:textId="77777777" w:rsidR="00A720EB" w:rsidRDefault="00A720EB">
      <w:pPr>
        <w:pStyle w:val="a3"/>
        <w:spacing w:before="4"/>
        <w:rPr>
          <w:sz w:val="27"/>
        </w:rPr>
      </w:pPr>
    </w:p>
    <w:p w14:paraId="5A306DC4" w14:textId="77777777" w:rsidR="00A720EB" w:rsidRDefault="0030286B">
      <w:pPr>
        <w:pStyle w:val="a3"/>
        <w:spacing w:before="1" w:line="307" w:lineRule="auto"/>
        <w:ind w:left="124" w:right="125"/>
        <w:jc w:val="both"/>
      </w:pPr>
      <w:r>
        <w:rPr>
          <w:color w:val="333333"/>
          <w:spacing w:val="-4"/>
          <w:w w:val="110"/>
        </w:rPr>
        <w:t xml:space="preserve">To </w:t>
      </w:r>
      <w:r>
        <w:rPr>
          <w:color w:val="333333"/>
          <w:w w:val="110"/>
        </w:rPr>
        <w:t xml:space="preserve">override dependency versions with Maven, see </w:t>
      </w:r>
      <w:hyperlink r:id="rId660" w:anchor="using">
        <w:r>
          <w:rPr>
            <w:color w:val="418BCA"/>
            <w:w w:val="110"/>
          </w:rPr>
          <w:t>this section</w:t>
        </w:r>
      </w:hyperlink>
      <w:r>
        <w:rPr>
          <w:color w:val="418BCA"/>
          <w:w w:val="110"/>
        </w:rPr>
        <w:t xml:space="preserve"> </w:t>
      </w:r>
      <w:r>
        <w:rPr>
          <w:color w:val="333333"/>
          <w:w w:val="110"/>
        </w:rPr>
        <w:t>of the  Maven  plugin’s  documentation.</w:t>
      </w:r>
    </w:p>
    <w:p w14:paraId="0EEFDEEF" w14:textId="77777777" w:rsidR="00A720EB" w:rsidRDefault="0030286B">
      <w:pPr>
        <w:pStyle w:val="a3"/>
        <w:spacing w:before="241"/>
        <w:ind w:left="124"/>
        <w:jc w:val="both"/>
      </w:pPr>
      <w:r>
        <w:rPr>
          <w:color w:val="333333"/>
          <w:w w:val="110"/>
        </w:rPr>
        <w:t xml:space="preserve">To override dependency versions in Gradle, see </w:t>
      </w:r>
      <w:hyperlink r:id="rId661" w:anchor="managing-dependencies-customizing">
        <w:r>
          <w:rPr>
            <w:color w:val="418BCA"/>
            <w:w w:val="110"/>
          </w:rPr>
          <w:t xml:space="preserve">this section </w:t>
        </w:r>
      </w:hyperlink>
      <w:r>
        <w:rPr>
          <w:color w:val="333333"/>
          <w:w w:val="110"/>
        </w:rPr>
        <w:t>of the Gradle plugin’s documentation.</w:t>
      </w:r>
    </w:p>
    <w:p w14:paraId="23482B6D" w14:textId="77777777" w:rsidR="00A720EB" w:rsidRDefault="00A720EB">
      <w:pPr>
        <w:pStyle w:val="a3"/>
        <w:spacing w:before="6"/>
        <w:rPr>
          <w:sz w:val="31"/>
        </w:rPr>
      </w:pPr>
    </w:p>
    <w:p w14:paraId="22B6BBB5" w14:textId="77777777" w:rsidR="00A720EB" w:rsidRDefault="0030286B">
      <w:pPr>
        <w:pStyle w:val="3"/>
        <w:numPr>
          <w:ilvl w:val="2"/>
          <w:numId w:val="13"/>
        </w:numPr>
        <w:tabs>
          <w:tab w:val="left" w:pos="1003"/>
        </w:tabs>
        <w:spacing w:before="1"/>
        <w:ind w:left="1002" w:hanging="879"/>
      </w:pPr>
      <w:bookmarkStart w:id="996" w:name="9.16.4._Create_an_Executable_JAR_with_Ma"/>
      <w:bookmarkStart w:id="997" w:name="_Toc54424016"/>
      <w:bookmarkEnd w:id="996"/>
      <w:r>
        <w:rPr>
          <w:color w:val="333333"/>
          <w:w w:val="110"/>
        </w:rPr>
        <w:t>Create an Executable JAR with</w:t>
      </w:r>
      <w:r>
        <w:rPr>
          <w:color w:val="333333"/>
          <w:spacing w:val="-28"/>
          <w:w w:val="110"/>
        </w:rPr>
        <w:t xml:space="preserve"> </w:t>
      </w:r>
      <w:r>
        <w:rPr>
          <w:color w:val="333333"/>
          <w:w w:val="110"/>
        </w:rPr>
        <w:t>Maven</w:t>
      </w:r>
      <w:bookmarkEnd w:id="997"/>
    </w:p>
    <w:p w14:paraId="574BD0B1" w14:textId="77777777" w:rsidR="00A720EB" w:rsidRDefault="0030286B">
      <w:pPr>
        <w:pStyle w:val="a3"/>
        <w:spacing w:before="243" w:line="280" w:lineRule="auto"/>
        <w:ind w:left="124" w:right="122"/>
        <w:jc w:val="both"/>
      </w:pPr>
      <w:r>
        <w:rPr>
          <w:color w:val="333333"/>
          <w:w w:val="110"/>
        </w:rPr>
        <w:t xml:space="preserve">The </w:t>
      </w:r>
      <w:r>
        <w:rPr>
          <w:rFonts w:ascii="MS Gothic" w:hAnsi="MS Gothic"/>
          <w:color w:val="B02045"/>
          <w:w w:val="110"/>
        </w:rPr>
        <w:t xml:space="preserve">spring-boot-maven-plugin </w:t>
      </w:r>
      <w:r>
        <w:rPr>
          <w:color w:val="333333"/>
          <w:w w:val="110"/>
        </w:rPr>
        <w:t xml:space="preserve">can be used to create an executable “fat” JAR. If you use the </w:t>
      </w:r>
      <w:r>
        <w:rPr>
          <w:rFonts w:ascii="MS Gothic" w:hAnsi="MS Gothic"/>
          <w:color w:val="B02045"/>
          <w:w w:val="110"/>
        </w:rPr>
        <w:t>spring- boot-starter-parent</w:t>
      </w:r>
      <w:r>
        <w:rPr>
          <w:rFonts w:ascii="MS Gothic" w:hAnsi="MS Gothic"/>
          <w:color w:val="B02045"/>
          <w:spacing w:val="-90"/>
          <w:w w:val="110"/>
        </w:rPr>
        <w:t xml:space="preserve"> </w:t>
      </w:r>
      <w:r>
        <w:rPr>
          <w:color w:val="333333"/>
          <w:w w:val="110"/>
        </w:rPr>
        <w:t>POM, you can declare the plugin and your jars are repackaged as follows:</w:t>
      </w:r>
    </w:p>
    <w:p w14:paraId="1291EA26" w14:textId="77777777" w:rsidR="00A720EB" w:rsidRDefault="00A720EB">
      <w:pPr>
        <w:spacing w:line="280" w:lineRule="auto"/>
        <w:jc w:val="both"/>
        <w:sectPr w:rsidR="00A720EB">
          <w:pgSz w:w="11910" w:h="16840"/>
          <w:pgMar w:top="620" w:right="840" w:bottom="520" w:left="840" w:header="0" w:footer="323" w:gutter="0"/>
          <w:cols w:space="720"/>
        </w:sectPr>
      </w:pPr>
    </w:p>
    <w:p w14:paraId="02D0711A" w14:textId="77777777" w:rsidR="00A720EB" w:rsidRDefault="00E10349">
      <w:pPr>
        <w:pStyle w:val="a3"/>
        <w:ind w:left="116"/>
        <w:rPr>
          <w:sz w:val="20"/>
        </w:rPr>
      </w:pPr>
      <w:r>
        <w:rPr>
          <w:sz w:val="20"/>
        </w:rPr>
      </w:r>
      <w:r>
        <w:rPr>
          <w:sz w:val="20"/>
        </w:rPr>
        <w:pict w14:anchorId="19DC6EDD">
          <v:group id="_x0000_s1262" style="width:499.55pt;height:140.7pt;mso-position-horizontal-relative:char;mso-position-vertical-relative:line" coordsize="9991,2814">
            <v:shape id="_x0000_s1265" style="position:absolute;left:7;top:7;width:9976;height:2799" coordorigin="8,8" coordsize="9976,2799" path="m9904,8l88,8,56,14,31,31,14,56,8,88r,2638l14,2757r17,25l56,2800r32,6l9904,2806r31,-6l9960,2782r17,-25l9984,2726r,-2638l9977,56,9960,31,9935,14,9904,8xe" fillcolor="#f5f5f5" stroked="f">
              <v:path arrowok="t"/>
            </v:shape>
            <v:shape id="_x0000_s1264" style="position:absolute;left:7;top:7;width:9976;height:2799" coordorigin="8,8" coordsize="9976,2799" path="m88,8r9816,l9935,14r25,17l9977,56r7,32l9984,2726r-7,31l9960,2782r-25,18l9904,2806r-9816,l56,2800,31,2782,14,2757,8,2726,8,88,14,56,31,31,56,14,88,8xe" filled="f" strokecolor="#ccc">
              <v:path arrowok="t"/>
            </v:shape>
            <v:shape id="_x0000_s1263" type="#_x0000_t202" style="position:absolute;left:26;top:22;width:9938;height:2768" filled="f" stroked="f">
              <v:textbox inset="0,0,0,0">
                <w:txbxContent>
                  <w:p w14:paraId="1C9CC1A4" w14:textId="77777777" w:rsidR="00711A16" w:rsidRDefault="00711A16">
                    <w:pPr>
                      <w:spacing w:before="221"/>
                      <w:ind w:left="200"/>
                      <w:rPr>
                        <w:rFonts w:ascii="MS Gothic"/>
                      </w:rPr>
                    </w:pPr>
                    <w:r>
                      <w:rPr>
                        <w:rFonts w:ascii="MS Gothic"/>
                        <w:color w:val="333333"/>
                      </w:rPr>
                      <w:t>&lt;build&gt;</w:t>
                    </w:r>
                  </w:p>
                  <w:p w14:paraId="44BD6780" w14:textId="77777777" w:rsidR="00711A16" w:rsidRDefault="00711A16">
                    <w:pPr>
                      <w:spacing w:before="13"/>
                      <w:ind w:left="640"/>
                      <w:rPr>
                        <w:rFonts w:ascii="MS Gothic"/>
                      </w:rPr>
                    </w:pPr>
                    <w:r>
                      <w:rPr>
                        <w:rFonts w:ascii="MS Gothic"/>
                        <w:color w:val="333333"/>
                      </w:rPr>
                      <w:t>&lt;plugins&gt;</w:t>
                    </w:r>
                  </w:p>
                  <w:p w14:paraId="313878CF" w14:textId="77777777" w:rsidR="00711A16" w:rsidRDefault="00711A16">
                    <w:pPr>
                      <w:spacing w:before="13"/>
                      <w:ind w:left="1080"/>
                      <w:rPr>
                        <w:rFonts w:ascii="MS Gothic"/>
                      </w:rPr>
                    </w:pPr>
                    <w:r>
                      <w:rPr>
                        <w:rFonts w:ascii="MS Gothic"/>
                        <w:color w:val="333333"/>
                      </w:rPr>
                      <w:t>&lt;plugin&gt;</w:t>
                    </w:r>
                  </w:p>
                  <w:p w14:paraId="5E7F78D6"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5B4B8933" w14:textId="77777777" w:rsidR="00711A16" w:rsidRDefault="00711A16">
                    <w:pPr>
                      <w:spacing w:before="12"/>
                      <w:ind w:left="1520"/>
                      <w:rPr>
                        <w:rFonts w:ascii="MS Gothic"/>
                      </w:rPr>
                    </w:pPr>
                    <w:r>
                      <w:rPr>
                        <w:rFonts w:ascii="MS Gothic"/>
                        <w:color w:val="333333"/>
                      </w:rPr>
                      <w:t>&lt;artifactId&gt;spring-boot-maven-plugin&lt;/artifactId&gt;</w:t>
                    </w:r>
                  </w:p>
                  <w:p w14:paraId="7BDB5319" w14:textId="77777777" w:rsidR="00711A16" w:rsidRDefault="00711A16">
                    <w:pPr>
                      <w:spacing w:before="13"/>
                      <w:ind w:left="1080"/>
                      <w:rPr>
                        <w:rFonts w:ascii="MS Gothic"/>
                      </w:rPr>
                    </w:pPr>
                    <w:r>
                      <w:rPr>
                        <w:rFonts w:ascii="MS Gothic"/>
                        <w:color w:val="333333"/>
                      </w:rPr>
                      <w:t>&lt;/plugin&gt;</w:t>
                    </w:r>
                  </w:p>
                  <w:p w14:paraId="280FE3AA" w14:textId="77777777" w:rsidR="00711A16" w:rsidRDefault="00711A16">
                    <w:pPr>
                      <w:spacing w:before="13"/>
                      <w:ind w:left="640"/>
                      <w:rPr>
                        <w:rFonts w:ascii="MS Gothic"/>
                      </w:rPr>
                    </w:pPr>
                    <w:r>
                      <w:rPr>
                        <w:rFonts w:ascii="MS Gothic"/>
                        <w:color w:val="333333"/>
                      </w:rPr>
                      <w:t>&lt;/plugins&gt;</w:t>
                    </w:r>
                  </w:p>
                  <w:p w14:paraId="049DB4B9" w14:textId="77777777" w:rsidR="00711A16" w:rsidRDefault="00711A16">
                    <w:pPr>
                      <w:spacing w:before="13"/>
                      <w:ind w:left="200"/>
                      <w:rPr>
                        <w:rFonts w:ascii="MS Gothic"/>
                      </w:rPr>
                    </w:pPr>
                    <w:r>
                      <w:rPr>
                        <w:rFonts w:ascii="MS Gothic"/>
                        <w:color w:val="333333"/>
                      </w:rPr>
                      <w:t>&lt;/build&gt;</w:t>
                    </w:r>
                  </w:p>
                </w:txbxContent>
              </v:textbox>
            </v:shape>
            <w10:anchorlock/>
          </v:group>
        </w:pict>
      </w:r>
    </w:p>
    <w:p w14:paraId="118F95E4" w14:textId="77777777" w:rsidR="00A720EB" w:rsidRDefault="00A720EB">
      <w:pPr>
        <w:pStyle w:val="a3"/>
        <w:spacing w:before="9"/>
        <w:rPr>
          <w:sz w:val="9"/>
        </w:rPr>
      </w:pPr>
    </w:p>
    <w:p w14:paraId="4C75FC15" w14:textId="77777777" w:rsidR="00A720EB" w:rsidRDefault="0030286B">
      <w:pPr>
        <w:pStyle w:val="a3"/>
        <w:spacing w:before="126" w:line="297" w:lineRule="auto"/>
        <w:ind w:left="124" w:right="359"/>
      </w:pPr>
      <w:r>
        <w:rPr>
          <w:color w:val="333333"/>
          <w:w w:val="110"/>
        </w:rPr>
        <w:t xml:space="preserve">If you do not use the parent POM, you can still use the plugin. However, you must additionally add   an </w:t>
      </w:r>
      <w:r>
        <w:rPr>
          <w:rFonts w:ascii="MS Gothic"/>
          <w:color w:val="B02045"/>
          <w:w w:val="110"/>
        </w:rPr>
        <w:t>&lt;executions&gt;</w:t>
      </w:r>
      <w:r>
        <w:rPr>
          <w:rFonts w:ascii="MS Gothic"/>
          <w:color w:val="B02045"/>
          <w:spacing w:val="-57"/>
          <w:w w:val="110"/>
        </w:rPr>
        <w:t xml:space="preserve"> </w:t>
      </w:r>
      <w:r>
        <w:rPr>
          <w:color w:val="333333"/>
          <w:w w:val="110"/>
        </w:rPr>
        <w:t>section, as follows:</w:t>
      </w:r>
    </w:p>
    <w:p w14:paraId="6554A192" w14:textId="77777777" w:rsidR="00A720EB" w:rsidRDefault="00E10349">
      <w:pPr>
        <w:pStyle w:val="a3"/>
        <w:spacing w:before="4"/>
        <w:rPr>
          <w:sz w:val="12"/>
        </w:rPr>
      </w:pPr>
      <w:r>
        <w:pict w14:anchorId="3895DBB1">
          <v:group id="_x0000_s1258" style="position:absolute;margin-left:47.85pt;margin-top:9.25pt;width:499.55pt;height:258.6pt;z-index:-15040512;mso-wrap-distance-left:0;mso-wrap-distance-right:0;mso-position-horizontal-relative:page" coordorigin="957,185" coordsize="9991,5172">
            <v:shape id="_x0000_s1261" style="position:absolute;left:964;top:192;width:9976;height:5157" coordorigin="965,192" coordsize="9976,5157" path="m10861,192r-9816,l1014,199r-26,17l971,241r-6,31l965,5269r6,31l988,5326r26,17l1045,5349r9816,l10892,5343r25,-17l10935,5300r6,-31l10941,272r-6,-31l10917,216r-25,-17l10861,192xe" fillcolor="#f5f5f5" stroked="f">
              <v:path arrowok="t"/>
            </v:shape>
            <v:shape id="_x0000_s1260" style="position:absolute;left:964;top:192;width:9976;height:5157" coordorigin="965,192" coordsize="9976,5157" path="m1045,192r9816,l10892,199r25,17l10935,241r6,31l10941,5269r-6,31l10917,5326r-25,17l10861,5349r-9816,l1014,5343r-26,-17l971,5300r-6,-31l965,272r6,-31l988,216r26,-17l1045,192xe" filled="f" strokecolor="#ccc">
              <v:path arrowok="t"/>
            </v:shape>
            <v:shape id="_x0000_s1259" type="#_x0000_t202" style="position:absolute;left:984;top:207;width:9938;height:5126" filled="f" stroked="f">
              <v:textbox inset="0,0,0,0">
                <w:txbxContent>
                  <w:p w14:paraId="5121CBEE" w14:textId="77777777" w:rsidR="00711A16" w:rsidRDefault="00711A16">
                    <w:pPr>
                      <w:spacing w:before="221"/>
                      <w:ind w:left="200"/>
                      <w:rPr>
                        <w:rFonts w:ascii="MS Gothic"/>
                      </w:rPr>
                    </w:pPr>
                    <w:r>
                      <w:rPr>
                        <w:rFonts w:ascii="MS Gothic"/>
                        <w:color w:val="333333"/>
                      </w:rPr>
                      <w:t>&lt;build&gt;</w:t>
                    </w:r>
                  </w:p>
                  <w:p w14:paraId="18993D62" w14:textId="77777777" w:rsidR="00711A16" w:rsidRDefault="00711A16">
                    <w:pPr>
                      <w:spacing w:before="13"/>
                      <w:ind w:left="640"/>
                      <w:rPr>
                        <w:rFonts w:ascii="MS Gothic"/>
                      </w:rPr>
                    </w:pPr>
                    <w:r>
                      <w:rPr>
                        <w:rFonts w:ascii="MS Gothic"/>
                        <w:color w:val="333333"/>
                      </w:rPr>
                      <w:t>&lt;plugins&gt;</w:t>
                    </w:r>
                  </w:p>
                  <w:p w14:paraId="49D49CDC" w14:textId="77777777" w:rsidR="00711A16" w:rsidRDefault="00711A16">
                    <w:pPr>
                      <w:spacing w:before="13"/>
                      <w:ind w:left="1080"/>
                      <w:rPr>
                        <w:rFonts w:ascii="MS Gothic"/>
                      </w:rPr>
                    </w:pPr>
                    <w:r>
                      <w:rPr>
                        <w:rFonts w:ascii="MS Gothic"/>
                        <w:color w:val="333333"/>
                      </w:rPr>
                      <w:t>&lt;plugin&gt;</w:t>
                    </w:r>
                  </w:p>
                  <w:p w14:paraId="7C928FF7"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1DA9F417" w14:textId="77777777" w:rsidR="00711A16" w:rsidRDefault="00711A16">
                    <w:pPr>
                      <w:spacing w:before="12"/>
                      <w:ind w:left="1520"/>
                      <w:rPr>
                        <w:rFonts w:ascii="MS Gothic"/>
                      </w:rPr>
                    </w:pPr>
                    <w:r>
                      <w:rPr>
                        <w:rFonts w:ascii="MS Gothic"/>
                        <w:color w:val="333333"/>
                      </w:rPr>
                      <w:t>&lt;artifactId&gt;spring-boot-maven-plugin&lt;/artifactId&gt;</w:t>
                    </w:r>
                  </w:p>
                  <w:p w14:paraId="1C05C57D" w14:textId="77777777" w:rsidR="00711A16" w:rsidRDefault="00711A16">
                    <w:pPr>
                      <w:spacing w:before="13"/>
                      <w:ind w:left="1520"/>
                      <w:rPr>
                        <w:rFonts w:ascii="MS Gothic"/>
                      </w:rPr>
                    </w:pPr>
                    <w:r>
                      <w:rPr>
                        <w:rFonts w:ascii="MS Gothic"/>
                        <w:color w:val="333333"/>
                      </w:rPr>
                      <w:t>&lt;version&gt;2.3.</w:t>
                    </w:r>
                    <w:proofErr w:type="gramStart"/>
                    <w:r>
                      <w:rPr>
                        <w:rFonts w:ascii="MS Gothic"/>
                        <w:color w:val="333333"/>
                      </w:rPr>
                      <w:t>4.RELEASE</w:t>
                    </w:r>
                    <w:proofErr w:type="gramEnd"/>
                    <w:r>
                      <w:rPr>
                        <w:rFonts w:ascii="MS Gothic"/>
                        <w:color w:val="333333"/>
                      </w:rPr>
                      <w:t>&lt;/version&gt;</w:t>
                    </w:r>
                  </w:p>
                  <w:p w14:paraId="2476098E" w14:textId="77777777" w:rsidR="00711A16" w:rsidRDefault="00711A16">
                    <w:pPr>
                      <w:spacing w:before="13"/>
                      <w:ind w:left="1520"/>
                      <w:rPr>
                        <w:rFonts w:ascii="MS Gothic"/>
                      </w:rPr>
                    </w:pPr>
                    <w:r>
                      <w:rPr>
                        <w:rFonts w:ascii="MS Gothic"/>
                        <w:color w:val="333333"/>
                      </w:rPr>
                      <w:t>&lt;executions&gt;</w:t>
                    </w:r>
                  </w:p>
                  <w:p w14:paraId="5F594874" w14:textId="77777777" w:rsidR="00711A16" w:rsidRDefault="00711A16">
                    <w:pPr>
                      <w:spacing w:before="13"/>
                      <w:ind w:right="6764"/>
                      <w:jc w:val="right"/>
                      <w:rPr>
                        <w:rFonts w:ascii="MS Gothic"/>
                      </w:rPr>
                    </w:pPr>
                    <w:r>
                      <w:rPr>
                        <w:rFonts w:ascii="MS Gothic"/>
                        <w:color w:val="333333"/>
                      </w:rPr>
                      <w:t>&lt;execution&gt;</w:t>
                    </w:r>
                  </w:p>
                  <w:p w14:paraId="7F3D68FF" w14:textId="77777777" w:rsidR="00711A16" w:rsidRDefault="00711A16">
                    <w:pPr>
                      <w:spacing w:before="13"/>
                      <w:ind w:right="6764"/>
                      <w:jc w:val="right"/>
                      <w:rPr>
                        <w:rFonts w:ascii="MS Gothic"/>
                      </w:rPr>
                    </w:pPr>
                    <w:r>
                      <w:rPr>
                        <w:rFonts w:ascii="MS Gothic"/>
                        <w:color w:val="333333"/>
                      </w:rPr>
                      <w:t>&lt;goals&gt;</w:t>
                    </w:r>
                  </w:p>
                  <w:p w14:paraId="71F1FD30" w14:textId="77777777" w:rsidR="00711A16" w:rsidRDefault="00711A16">
                    <w:pPr>
                      <w:spacing w:before="13"/>
                      <w:ind w:left="2840"/>
                      <w:rPr>
                        <w:rFonts w:ascii="MS Gothic"/>
                      </w:rPr>
                    </w:pPr>
                    <w:r>
                      <w:rPr>
                        <w:rFonts w:ascii="MS Gothic"/>
                        <w:color w:val="333333"/>
                      </w:rPr>
                      <w:t>&lt;goal&gt;repackage&lt;/goal&gt;</w:t>
                    </w:r>
                  </w:p>
                  <w:p w14:paraId="6B8B12B2" w14:textId="77777777" w:rsidR="00711A16" w:rsidRDefault="00711A16">
                    <w:pPr>
                      <w:spacing w:before="13"/>
                      <w:ind w:right="6654"/>
                      <w:jc w:val="right"/>
                      <w:rPr>
                        <w:rFonts w:ascii="MS Gothic"/>
                      </w:rPr>
                    </w:pPr>
                    <w:r>
                      <w:rPr>
                        <w:rFonts w:ascii="MS Gothic"/>
                        <w:color w:val="333333"/>
                      </w:rPr>
                      <w:t>&lt;/goals&gt;</w:t>
                    </w:r>
                  </w:p>
                  <w:p w14:paraId="51592508" w14:textId="77777777" w:rsidR="00711A16" w:rsidRDefault="00711A16">
                    <w:pPr>
                      <w:spacing w:before="13"/>
                      <w:ind w:right="6654"/>
                      <w:jc w:val="right"/>
                      <w:rPr>
                        <w:rFonts w:ascii="MS Gothic"/>
                      </w:rPr>
                    </w:pPr>
                    <w:r>
                      <w:rPr>
                        <w:rFonts w:ascii="MS Gothic"/>
                        <w:color w:val="333333"/>
                      </w:rPr>
                      <w:t>&lt;/execution&gt;</w:t>
                    </w:r>
                  </w:p>
                  <w:p w14:paraId="63EE932C" w14:textId="77777777" w:rsidR="00711A16" w:rsidRDefault="00711A16">
                    <w:pPr>
                      <w:spacing w:before="13"/>
                      <w:ind w:left="1520"/>
                      <w:rPr>
                        <w:rFonts w:ascii="MS Gothic"/>
                      </w:rPr>
                    </w:pPr>
                    <w:r>
                      <w:rPr>
                        <w:rFonts w:ascii="MS Gothic"/>
                        <w:color w:val="333333"/>
                      </w:rPr>
                      <w:t>&lt;/executions&gt;</w:t>
                    </w:r>
                  </w:p>
                  <w:p w14:paraId="5290F512" w14:textId="77777777" w:rsidR="00711A16" w:rsidRDefault="00711A16">
                    <w:pPr>
                      <w:spacing w:before="13"/>
                      <w:ind w:left="1080"/>
                      <w:rPr>
                        <w:rFonts w:ascii="MS Gothic"/>
                      </w:rPr>
                    </w:pPr>
                    <w:r>
                      <w:rPr>
                        <w:rFonts w:ascii="MS Gothic"/>
                        <w:color w:val="333333"/>
                      </w:rPr>
                      <w:t>&lt;/plugin&gt;</w:t>
                    </w:r>
                  </w:p>
                  <w:p w14:paraId="1E169792" w14:textId="77777777" w:rsidR="00711A16" w:rsidRDefault="00711A16">
                    <w:pPr>
                      <w:spacing w:before="13"/>
                      <w:ind w:left="640"/>
                      <w:rPr>
                        <w:rFonts w:ascii="MS Gothic"/>
                      </w:rPr>
                    </w:pPr>
                    <w:r>
                      <w:rPr>
                        <w:rFonts w:ascii="MS Gothic"/>
                        <w:color w:val="333333"/>
                      </w:rPr>
                      <w:t>&lt;/plugins&gt;</w:t>
                    </w:r>
                  </w:p>
                  <w:p w14:paraId="63C18252" w14:textId="77777777" w:rsidR="00711A16" w:rsidRDefault="00711A16">
                    <w:pPr>
                      <w:spacing w:before="13"/>
                      <w:ind w:left="200"/>
                      <w:rPr>
                        <w:rFonts w:ascii="MS Gothic"/>
                      </w:rPr>
                    </w:pPr>
                    <w:r>
                      <w:rPr>
                        <w:rFonts w:ascii="MS Gothic"/>
                        <w:color w:val="333333"/>
                      </w:rPr>
                      <w:t>&lt;/build&gt;</w:t>
                    </w:r>
                  </w:p>
                </w:txbxContent>
              </v:textbox>
            </v:shape>
            <w10:wrap type="topAndBottom" anchorx="page"/>
          </v:group>
        </w:pict>
      </w:r>
    </w:p>
    <w:p w14:paraId="7AC7461C" w14:textId="77777777" w:rsidR="00A720EB" w:rsidRDefault="00A720EB">
      <w:pPr>
        <w:pStyle w:val="a3"/>
        <w:rPr>
          <w:sz w:val="10"/>
        </w:rPr>
      </w:pPr>
    </w:p>
    <w:p w14:paraId="49D9ABD7" w14:textId="77777777" w:rsidR="00A720EB" w:rsidRDefault="0030286B">
      <w:pPr>
        <w:pStyle w:val="a3"/>
        <w:spacing w:before="125"/>
        <w:ind w:left="124"/>
        <w:jc w:val="both"/>
      </w:pPr>
      <w:r>
        <w:rPr>
          <w:color w:val="333333"/>
          <w:w w:val="110"/>
        </w:rPr>
        <w:t xml:space="preserve">See the </w:t>
      </w:r>
      <w:hyperlink r:id="rId662" w:anchor="repackage">
        <w:r>
          <w:rPr>
            <w:color w:val="418BCA"/>
            <w:w w:val="110"/>
          </w:rPr>
          <w:t xml:space="preserve">plugin documentation </w:t>
        </w:r>
      </w:hyperlink>
      <w:r>
        <w:rPr>
          <w:color w:val="333333"/>
          <w:w w:val="110"/>
        </w:rPr>
        <w:t>for full usage details.</w:t>
      </w:r>
    </w:p>
    <w:p w14:paraId="3EA220C3" w14:textId="77777777" w:rsidR="00A720EB" w:rsidRDefault="00A720EB">
      <w:pPr>
        <w:pStyle w:val="a3"/>
        <w:spacing w:before="7"/>
        <w:rPr>
          <w:sz w:val="31"/>
        </w:rPr>
      </w:pPr>
    </w:p>
    <w:p w14:paraId="6CCFA185" w14:textId="77777777" w:rsidR="00A720EB" w:rsidRDefault="0030286B">
      <w:pPr>
        <w:pStyle w:val="3"/>
        <w:numPr>
          <w:ilvl w:val="2"/>
          <w:numId w:val="13"/>
        </w:numPr>
        <w:tabs>
          <w:tab w:val="left" w:pos="1003"/>
        </w:tabs>
        <w:ind w:left="1002" w:hanging="879"/>
      </w:pPr>
      <w:bookmarkStart w:id="998" w:name="9.16.5._Use_a_Spring_Boot_Application_as"/>
      <w:bookmarkStart w:id="999" w:name="_Toc54424017"/>
      <w:bookmarkEnd w:id="998"/>
      <w:r>
        <w:rPr>
          <w:color w:val="333333"/>
          <w:w w:val="110"/>
        </w:rPr>
        <w:t>Use a Spring Boot Application as a</w:t>
      </w:r>
      <w:r>
        <w:rPr>
          <w:color w:val="333333"/>
          <w:spacing w:val="-48"/>
          <w:w w:val="110"/>
        </w:rPr>
        <w:t xml:space="preserve"> </w:t>
      </w:r>
      <w:r>
        <w:rPr>
          <w:color w:val="333333"/>
          <w:w w:val="110"/>
        </w:rPr>
        <w:t>Dependency</w:t>
      </w:r>
      <w:bookmarkEnd w:id="999"/>
    </w:p>
    <w:p w14:paraId="74744C7F" w14:textId="77777777" w:rsidR="00A720EB" w:rsidRDefault="0030286B">
      <w:pPr>
        <w:pStyle w:val="a3"/>
        <w:spacing w:before="254" w:line="307" w:lineRule="auto"/>
        <w:ind w:left="124" w:right="131"/>
        <w:jc w:val="both"/>
      </w:pPr>
      <w:r>
        <w:rPr>
          <w:color w:val="333333"/>
          <w:w w:val="110"/>
        </w:rPr>
        <w:t xml:space="preserve">Like a war file, a Spring Boot application is not intended to be used as a </w:t>
      </w:r>
      <w:r>
        <w:rPr>
          <w:color w:val="333333"/>
          <w:spacing w:val="-3"/>
          <w:w w:val="110"/>
        </w:rPr>
        <w:t xml:space="preserve">dependency. </w:t>
      </w:r>
      <w:r>
        <w:rPr>
          <w:color w:val="333333"/>
          <w:w w:val="110"/>
        </w:rPr>
        <w:t xml:space="preserve">If your application contains classes that you want to share with other projects, the recommended approach is to move that code into a separate module. The separate module can then be depended upon </w:t>
      </w:r>
      <w:r>
        <w:rPr>
          <w:color w:val="333333"/>
          <w:spacing w:val="-3"/>
          <w:w w:val="110"/>
        </w:rPr>
        <w:t xml:space="preserve">by </w:t>
      </w:r>
      <w:r>
        <w:rPr>
          <w:color w:val="333333"/>
          <w:w w:val="110"/>
        </w:rPr>
        <w:t>your application and other</w:t>
      </w:r>
      <w:r>
        <w:rPr>
          <w:color w:val="333333"/>
          <w:spacing w:val="11"/>
          <w:w w:val="110"/>
        </w:rPr>
        <w:t xml:space="preserve"> </w:t>
      </w:r>
      <w:r>
        <w:rPr>
          <w:color w:val="333333"/>
          <w:w w:val="110"/>
        </w:rPr>
        <w:t>projects.</w:t>
      </w:r>
    </w:p>
    <w:p w14:paraId="2CA7949B" w14:textId="77777777" w:rsidR="00A720EB" w:rsidRDefault="0030286B">
      <w:pPr>
        <w:pStyle w:val="a3"/>
        <w:spacing w:before="242" w:line="300" w:lineRule="auto"/>
        <w:ind w:left="124" w:right="123"/>
        <w:jc w:val="both"/>
      </w:pPr>
      <w:r>
        <w:rPr>
          <w:color w:val="333333"/>
          <w:w w:val="110"/>
        </w:rPr>
        <w:t xml:space="preserve">If you cannot rearrange your code as recommended above, Spring Boot’s Maven and Gradle plugins must be configured to produce a separate artifact that is suitable for use as a </w:t>
      </w:r>
      <w:r>
        <w:rPr>
          <w:color w:val="333333"/>
          <w:spacing w:val="-3"/>
          <w:w w:val="110"/>
        </w:rPr>
        <w:t xml:space="preserve">dependency. </w:t>
      </w:r>
      <w:r>
        <w:rPr>
          <w:color w:val="333333"/>
          <w:w w:val="110"/>
        </w:rPr>
        <w:t>The</w:t>
      </w:r>
      <w:r>
        <w:rPr>
          <w:color w:val="333333"/>
          <w:spacing w:val="50"/>
          <w:w w:val="110"/>
        </w:rPr>
        <w:t xml:space="preserve"> </w:t>
      </w:r>
      <w:r>
        <w:rPr>
          <w:color w:val="333333"/>
          <w:w w:val="110"/>
        </w:rPr>
        <w:t xml:space="preserve">executable archive cannot be used as a dependency as the </w:t>
      </w:r>
      <w:hyperlink w:anchor="_bookmark693" w:history="1">
        <w:r>
          <w:rPr>
            <w:color w:val="418BCA"/>
            <w:w w:val="110"/>
          </w:rPr>
          <w:t>executable jar format</w:t>
        </w:r>
      </w:hyperlink>
      <w:r>
        <w:rPr>
          <w:color w:val="418BCA"/>
          <w:w w:val="110"/>
        </w:rPr>
        <w:t xml:space="preserve"> </w:t>
      </w:r>
      <w:proofErr w:type="gramStart"/>
      <w:r>
        <w:rPr>
          <w:color w:val="333333"/>
          <w:w w:val="110"/>
        </w:rPr>
        <w:t>packages  application</w:t>
      </w:r>
      <w:proofErr w:type="gramEnd"/>
      <w:r>
        <w:rPr>
          <w:color w:val="333333"/>
          <w:w w:val="110"/>
        </w:rPr>
        <w:t xml:space="preserve"> classes in </w:t>
      </w:r>
      <w:r>
        <w:rPr>
          <w:rFonts w:ascii="MS Gothic" w:hAnsi="MS Gothic"/>
          <w:color w:val="B02045"/>
          <w:w w:val="110"/>
        </w:rPr>
        <w:t>BOOT-INF/classes</w:t>
      </w:r>
      <w:r>
        <w:rPr>
          <w:color w:val="333333"/>
          <w:w w:val="110"/>
        </w:rPr>
        <w:t>. This means that they cannot be found when the executable jar is used as a</w:t>
      </w:r>
      <w:r>
        <w:rPr>
          <w:color w:val="333333"/>
          <w:spacing w:val="13"/>
          <w:w w:val="110"/>
        </w:rPr>
        <w:t xml:space="preserve"> </w:t>
      </w:r>
      <w:r>
        <w:rPr>
          <w:color w:val="333333"/>
          <w:spacing w:val="-3"/>
          <w:w w:val="110"/>
        </w:rPr>
        <w:t>dependency.</w:t>
      </w:r>
    </w:p>
    <w:p w14:paraId="33FCCA83" w14:textId="77777777" w:rsidR="00A720EB" w:rsidRDefault="0030286B">
      <w:pPr>
        <w:pStyle w:val="a3"/>
        <w:spacing w:before="251" w:line="307" w:lineRule="auto"/>
        <w:ind w:left="124" w:right="129"/>
        <w:jc w:val="both"/>
      </w:pPr>
      <w:r>
        <w:rPr>
          <w:color w:val="333333"/>
          <w:spacing w:val="-4"/>
          <w:w w:val="110"/>
        </w:rPr>
        <w:t xml:space="preserve">To </w:t>
      </w:r>
      <w:r>
        <w:rPr>
          <w:color w:val="333333"/>
          <w:w w:val="110"/>
        </w:rPr>
        <w:t>produce the two artifacts, one that can be used as a dependency and one that is executable, a classifier must be specified. This classifier is applied to the name of the executable archive, leaving the default archive for use as a</w:t>
      </w:r>
      <w:r>
        <w:rPr>
          <w:color w:val="333333"/>
          <w:spacing w:val="22"/>
          <w:w w:val="110"/>
        </w:rPr>
        <w:t xml:space="preserve"> </w:t>
      </w:r>
      <w:r>
        <w:rPr>
          <w:color w:val="333333"/>
          <w:spacing w:val="-3"/>
          <w:w w:val="110"/>
        </w:rPr>
        <w:t>dependency.</w:t>
      </w:r>
    </w:p>
    <w:p w14:paraId="03F1D305" w14:textId="77777777" w:rsidR="00A720EB" w:rsidRDefault="00A720EB">
      <w:pPr>
        <w:spacing w:line="307" w:lineRule="auto"/>
        <w:jc w:val="both"/>
        <w:sectPr w:rsidR="00A720EB">
          <w:pgSz w:w="11910" w:h="16840"/>
          <w:pgMar w:top="700" w:right="840" w:bottom="520" w:left="840" w:header="0" w:footer="323" w:gutter="0"/>
          <w:cols w:space="720"/>
        </w:sectPr>
      </w:pPr>
    </w:p>
    <w:p w14:paraId="6F39089B" w14:textId="77777777" w:rsidR="00A720EB" w:rsidRDefault="0030286B">
      <w:pPr>
        <w:pStyle w:val="a3"/>
        <w:spacing w:before="96"/>
        <w:ind w:left="124"/>
      </w:pPr>
      <w:r>
        <w:rPr>
          <w:color w:val="333333"/>
          <w:w w:val="110"/>
        </w:rPr>
        <w:lastRenderedPageBreak/>
        <w:t xml:space="preserve">To configure a classifier of </w:t>
      </w:r>
      <w:r>
        <w:rPr>
          <w:rFonts w:ascii="MS Gothic"/>
          <w:color w:val="B02045"/>
          <w:w w:val="110"/>
        </w:rPr>
        <w:t xml:space="preserve">exec </w:t>
      </w:r>
      <w:r>
        <w:rPr>
          <w:color w:val="333333"/>
          <w:w w:val="110"/>
        </w:rPr>
        <w:t>in Maven, you can use the following configuration:</w:t>
      </w:r>
    </w:p>
    <w:p w14:paraId="7A0C1F70" w14:textId="77777777" w:rsidR="00A720EB" w:rsidRDefault="00E10349">
      <w:pPr>
        <w:pStyle w:val="a3"/>
        <w:spacing w:before="11"/>
        <w:rPr>
          <w:sz w:val="17"/>
        </w:rPr>
      </w:pPr>
      <w:r>
        <w:pict w14:anchorId="6819F31C">
          <v:group id="_x0000_s1254" style="position:absolute;margin-left:47.85pt;margin-top:12.5pt;width:499.55pt;height:184.9pt;z-index:-15040000;mso-wrap-distance-left:0;mso-wrap-distance-right:0;mso-position-horizontal-relative:page" coordorigin="957,250" coordsize="9991,3698">
            <v:shape id="_x0000_s1257" style="position:absolute;left:964;top:257;width:9976;height:3683" coordorigin="965,258" coordsize="9976,3683" path="m10861,258r-9816,l1014,264r-26,17l971,307r-6,31l965,3861r6,31l988,3917r26,17l1045,3941r9816,l10892,3934r25,-17l10935,3892r6,-31l10941,338r-6,-31l10917,281r-25,-17l10861,258xe" fillcolor="#f5f5f5" stroked="f">
              <v:path arrowok="t"/>
            </v:shape>
            <v:shape id="_x0000_s1256" style="position:absolute;left:964;top:257;width:9976;height:3683" coordorigin="965,258" coordsize="9976,3683" path="m1045,258r9816,l10892,264r25,17l10935,307r6,31l10941,3861r-6,31l10917,3917r-25,17l10861,3941r-9816,l1014,3934r-26,-17l971,3892r-6,-31l965,338r6,-31l988,281r26,-17l1045,258xe" filled="f" strokecolor="#ccc">
              <v:path arrowok="t"/>
            </v:shape>
            <v:shape id="_x0000_s1255" type="#_x0000_t202" style="position:absolute;left:984;top:273;width:9938;height:3652" filled="f" stroked="f">
              <v:textbox inset="0,0,0,0">
                <w:txbxContent>
                  <w:p w14:paraId="5E8F6212" w14:textId="77777777" w:rsidR="00711A16" w:rsidRDefault="00711A16">
                    <w:pPr>
                      <w:spacing w:before="221"/>
                      <w:ind w:left="200"/>
                      <w:rPr>
                        <w:rFonts w:ascii="MS Gothic"/>
                      </w:rPr>
                    </w:pPr>
                    <w:r>
                      <w:rPr>
                        <w:rFonts w:ascii="MS Gothic"/>
                        <w:color w:val="333333"/>
                      </w:rPr>
                      <w:t>&lt;build&gt;</w:t>
                    </w:r>
                  </w:p>
                  <w:p w14:paraId="3DB22C13" w14:textId="77777777" w:rsidR="00711A16" w:rsidRDefault="00711A16">
                    <w:pPr>
                      <w:spacing w:before="13"/>
                      <w:ind w:left="640"/>
                      <w:rPr>
                        <w:rFonts w:ascii="MS Gothic"/>
                      </w:rPr>
                    </w:pPr>
                    <w:r>
                      <w:rPr>
                        <w:rFonts w:ascii="MS Gothic"/>
                        <w:color w:val="333333"/>
                      </w:rPr>
                      <w:t>&lt;plugins&gt;</w:t>
                    </w:r>
                  </w:p>
                  <w:p w14:paraId="77519F14" w14:textId="77777777" w:rsidR="00711A16" w:rsidRDefault="00711A16">
                    <w:pPr>
                      <w:spacing w:before="13"/>
                      <w:ind w:left="1080"/>
                      <w:rPr>
                        <w:rFonts w:ascii="MS Gothic"/>
                      </w:rPr>
                    </w:pPr>
                    <w:r>
                      <w:rPr>
                        <w:rFonts w:ascii="MS Gothic"/>
                        <w:color w:val="333333"/>
                      </w:rPr>
                      <w:t>&lt;plugin&gt;</w:t>
                    </w:r>
                  </w:p>
                  <w:p w14:paraId="1150BBBA"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613E92FA" w14:textId="77777777" w:rsidR="00711A16" w:rsidRDefault="00711A16">
                    <w:pPr>
                      <w:spacing w:before="12"/>
                      <w:ind w:left="1520"/>
                      <w:rPr>
                        <w:rFonts w:ascii="MS Gothic"/>
                      </w:rPr>
                    </w:pPr>
                    <w:r>
                      <w:rPr>
                        <w:rFonts w:ascii="MS Gothic"/>
                        <w:color w:val="333333"/>
                      </w:rPr>
                      <w:t>&lt;artifactId&gt;spring-boot-maven-plugin&lt;/artifactId&gt;</w:t>
                    </w:r>
                  </w:p>
                  <w:p w14:paraId="38997ACE" w14:textId="77777777" w:rsidR="00711A16" w:rsidRDefault="00711A16">
                    <w:pPr>
                      <w:spacing w:before="13"/>
                      <w:ind w:left="1520"/>
                      <w:rPr>
                        <w:rFonts w:ascii="MS Gothic"/>
                      </w:rPr>
                    </w:pPr>
                    <w:r>
                      <w:rPr>
                        <w:rFonts w:ascii="MS Gothic"/>
                        <w:color w:val="333333"/>
                      </w:rPr>
                      <w:t>&lt;configuration&gt;</w:t>
                    </w:r>
                  </w:p>
                  <w:p w14:paraId="7308FF95" w14:textId="77777777" w:rsidR="00711A16" w:rsidRDefault="00711A16">
                    <w:pPr>
                      <w:spacing w:before="13"/>
                      <w:ind w:left="1960"/>
                      <w:rPr>
                        <w:rFonts w:ascii="MS Gothic"/>
                      </w:rPr>
                    </w:pPr>
                    <w:r>
                      <w:rPr>
                        <w:rFonts w:ascii="MS Gothic"/>
                        <w:color w:val="333333"/>
                      </w:rPr>
                      <w:t>&lt;classifier&gt;exec&lt;/classifier&gt;</w:t>
                    </w:r>
                  </w:p>
                  <w:p w14:paraId="3B41F3A9" w14:textId="77777777" w:rsidR="00711A16" w:rsidRDefault="00711A16">
                    <w:pPr>
                      <w:spacing w:before="13"/>
                      <w:ind w:left="1520"/>
                      <w:rPr>
                        <w:rFonts w:ascii="MS Gothic"/>
                      </w:rPr>
                    </w:pPr>
                    <w:r>
                      <w:rPr>
                        <w:rFonts w:ascii="MS Gothic"/>
                        <w:color w:val="333333"/>
                      </w:rPr>
                      <w:t>&lt;/configuration&gt;</w:t>
                    </w:r>
                  </w:p>
                  <w:p w14:paraId="6C2D7009" w14:textId="77777777" w:rsidR="00711A16" w:rsidRDefault="00711A16">
                    <w:pPr>
                      <w:spacing w:before="13"/>
                      <w:ind w:left="1080"/>
                      <w:rPr>
                        <w:rFonts w:ascii="MS Gothic"/>
                      </w:rPr>
                    </w:pPr>
                    <w:r>
                      <w:rPr>
                        <w:rFonts w:ascii="MS Gothic"/>
                        <w:color w:val="333333"/>
                      </w:rPr>
                      <w:t>&lt;/plugin&gt;</w:t>
                    </w:r>
                  </w:p>
                  <w:p w14:paraId="262FFAB6" w14:textId="77777777" w:rsidR="00711A16" w:rsidRDefault="00711A16">
                    <w:pPr>
                      <w:spacing w:before="13"/>
                      <w:ind w:left="640"/>
                      <w:rPr>
                        <w:rFonts w:ascii="MS Gothic"/>
                      </w:rPr>
                    </w:pPr>
                    <w:r>
                      <w:rPr>
                        <w:rFonts w:ascii="MS Gothic"/>
                        <w:color w:val="333333"/>
                      </w:rPr>
                      <w:t>&lt;/plugins&gt;</w:t>
                    </w:r>
                  </w:p>
                  <w:p w14:paraId="19B1F242" w14:textId="77777777" w:rsidR="00711A16" w:rsidRDefault="00711A16">
                    <w:pPr>
                      <w:spacing w:before="13"/>
                      <w:ind w:left="200"/>
                      <w:rPr>
                        <w:rFonts w:ascii="MS Gothic"/>
                      </w:rPr>
                    </w:pPr>
                    <w:r>
                      <w:rPr>
                        <w:rFonts w:ascii="MS Gothic"/>
                        <w:color w:val="333333"/>
                      </w:rPr>
                      <w:t>&lt;/build&gt;</w:t>
                    </w:r>
                  </w:p>
                </w:txbxContent>
              </v:textbox>
            </v:shape>
            <w10:wrap type="topAndBottom" anchorx="page"/>
          </v:group>
        </w:pict>
      </w:r>
    </w:p>
    <w:p w14:paraId="3E1EF2B7" w14:textId="77777777" w:rsidR="00A720EB" w:rsidRDefault="00A720EB">
      <w:pPr>
        <w:pStyle w:val="a3"/>
        <w:spacing w:before="11"/>
        <w:rPr>
          <w:sz w:val="16"/>
        </w:rPr>
      </w:pPr>
    </w:p>
    <w:p w14:paraId="44522707" w14:textId="77777777" w:rsidR="00A720EB" w:rsidRDefault="0030286B">
      <w:pPr>
        <w:pStyle w:val="3"/>
        <w:numPr>
          <w:ilvl w:val="2"/>
          <w:numId w:val="13"/>
        </w:numPr>
        <w:tabs>
          <w:tab w:val="left" w:pos="1003"/>
        </w:tabs>
        <w:spacing w:before="105"/>
        <w:ind w:left="1002" w:hanging="879"/>
      </w:pPr>
      <w:bookmarkStart w:id="1000" w:name="9.16.6._Extract_Specific_Libraries_When_"/>
      <w:bookmarkStart w:id="1001" w:name="_Toc54424018"/>
      <w:bookmarkEnd w:id="1000"/>
      <w:r>
        <w:rPr>
          <w:color w:val="333333"/>
          <w:w w:val="115"/>
        </w:rPr>
        <w:t>Extract</w:t>
      </w:r>
      <w:r>
        <w:rPr>
          <w:color w:val="333333"/>
          <w:spacing w:val="-13"/>
          <w:w w:val="115"/>
        </w:rPr>
        <w:t xml:space="preserve"> </w:t>
      </w:r>
      <w:r>
        <w:rPr>
          <w:color w:val="333333"/>
          <w:w w:val="115"/>
        </w:rPr>
        <w:t>Specific</w:t>
      </w:r>
      <w:r>
        <w:rPr>
          <w:color w:val="333333"/>
          <w:spacing w:val="-13"/>
          <w:w w:val="115"/>
        </w:rPr>
        <w:t xml:space="preserve"> </w:t>
      </w:r>
      <w:r>
        <w:rPr>
          <w:color w:val="333333"/>
          <w:w w:val="115"/>
        </w:rPr>
        <w:t>Libraries</w:t>
      </w:r>
      <w:r>
        <w:rPr>
          <w:color w:val="333333"/>
          <w:spacing w:val="-13"/>
          <w:w w:val="115"/>
        </w:rPr>
        <w:t xml:space="preserve"> </w:t>
      </w:r>
      <w:r>
        <w:rPr>
          <w:color w:val="333333"/>
          <w:w w:val="115"/>
        </w:rPr>
        <w:t>When</w:t>
      </w:r>
      <w:r>
        <w:rPr>
          <w:color w:val="333333"/>
          <w:spacing w:val="-13"/>
          <w:w w:val="115"/>
        </w:rPr>
        <w:t xml:space="preserve"> </w:t>
      </w:r>
      <w:r>
        <w:rPr>
          <w:color w:val="333333"/>
          <w:w w:val="115"/>
        </w:rPr>
        <w:t>an</w:t>
      </w:r>
      <w:r>
        <w:rPr>
          <w:color w:val="333333"/>
          <w:spacing w:val="-12"/>
          <w:w w:val="115"/>
        </w:rPr>
        <w:t xml:space="preserve"> </w:t>
      </w:r>
      <w:r>
        <w:rPr>
          <w:color w:val="333333"/>
          <w:w w:val="115"/>
        </w:rPr>
        <w:t>Executable</w:t>
      </w:r>
      <w:r>
        <w:rPr>
          <w:color w:val="333333"/>
          <w:spacing w:val="-14"/>
          <w:w w:val="115"/>
        </w:rPr>
        <w:t xml:space="preserve"> </w:t>
      </w:r>
      <w:r>
        <w:rPr>
          <w:color w:val="333333"/>
          <w:w w:val="115"/>
        </w:rPr>
        <w:t>Jar</w:t>
      </w:r>
      <w:r>
        <w:rPr>
          <w:color w:val="333333"/>
          <w:spacing w:val="-12"/>
          <w:w w:val="115"/>
        </w:rPr>
        <w:t xml:space="preserve"> </w:t>
      </w:r>
      <w:r>
        <w:rPr>
          <w:color w:val="333333"/>
          <w:w w:val="115"/>
        </w:rPr>
        <w:t>Runs</w:t>
      </w:r>
      <w:bookmarkEnd w:id="1001"/>
    </w:p>
    <w:p w14:paraId="1EB01B80" w14:textId="77777777" w:rsidR="00A720EB" w:rsidRDefault="0030286B">
      <w:pPr>
        <w:pStyle w:val="a3"/>
        <w:spacing w:before="254" w:line="302" w:lineRule="auto"/>
        <w:ind w:left="124" w:right="129"/>
        <w:jc w:val="both"/>
      </w:pPr>
      <w:r>
        <w:rPr>
          <w:color w:val="333333"/>
          <w:w w:val="110"/>
        </w:rPr>
        <w:t xml:space="preserve">Most nested libraries in an executable jar do not need to be unpacked in order to run. However, certain libraries can have problems. </w:t>
      </w:r>
      <w:r>
        <w:rPr>
          <w:color w:val="333333"/>
          <w:spacing w:val="-4"/>
          <w:w w:val="110"/>
        </w:rPr>
        <w:t xml:space="preserve">For </w:t>
      </w:r>
      <w:r>
        <w:rPr>
          <w:color w:val="333333"/>
          <w:w w:val="110"/>
        </w:rPr>
        <w:t xml:space="preserve">example, JRuby includes its own nested jar support, which assumes that the </w:t>
      </w:r>
      <w:r>
        <w:rPr>
          <w:rFonts w:ascii="MS Gothic"/>
          <w:color w:val="B02045"/>
          <w:w w:val="110"/>
        </w:rPr>
        <w:t>jruby-complete.jar</w:t>
      </w:r>
      <w:r>
        <w:rPr>
          <w:rFonts w:ascii="MS Gothic"/>
          <w:color w:val="B02045"/>
          <w:spacing w:val="-79"/>
          <w:w w:val="110"/>
        </w:rPr>
        <w:t xml:space="preserve"> </w:t>
      </w:r>
      <w:r>
        <w:rPr>
          <w:color w:val="333333"/>
          <w:w w:val="110"/>
        </w:rPr>
        <w:t>is always directly available as a file in its own right.</w:t>
      </w:r>
    </w:p>
    <w:p w14:paraId="651BBCD0" w14:textId="77777777" w:rsidR="00A720EB" w:rsidRDefault="0030286B">
      <w:pPr>
        <w:pStyle w:val="a3"/>
        <w:spacing w:before="227" w:line="302" w:lineRule="auto"/>
        <w:ind w:left="124" w:right="130"/>
        <w:jc w:val="both"/>
      </w:pPr>
      <w:r>
        <w:rPr>
          <w:color w:val="333333"/>
          <w:spacing w:val="-4"/>
          <w:w w:val="110"/>
        </w:rPr>
        <w:t xml:space="preserve">To </w:t>
      </w:r>
      <w:r>
        <w:rPr>
          <w:color w:val="333333"/>
          <w:w w:val="110"/>
        </w:rPr>
        <w:t xml:space="preserve">deal with any problematic libraries, you can flag that </w:t>
      </w:r>
      <w:proofErr w:type="gramStart"/>
      <w:r>
        <w:rPr>
          <w:color w:val="333333"/>
          <w:w w:val="110"/>
        </w:rPr>
        <w:t>specific  nested</w:t>
      </w:r>
      <w:proofErr w:type="gramEnd"/>
      <w:r>
        <w:rPr>
          <w:color w:val="333333"/>
          <w:w w:val="110"/>
        </w:rPr>
        <w:t xml:space="preserve">  jars  should  be automatically unpacked when the executable jar first runs. Such nested jars are written beneath   </w:t>
      </w:r>
      <w:r>
        <w:rPr>
          <w:color w:val="333333"/>
          <w:spacing w:val="50"/>
          <w:w w:val="110"/>
        </w:rPr>
        <w:t xml:space="preserve"> </w:t>
      </w:r>
      <w:r>
        <w:rPr>
          <w:color w:val="333333"/>
          <w:w w:val="110"/>
        </w:rPr>
        <w:t xml:space="preserve">the temporary directory identified </w:t>
      </w:r>
      <w:r>
        <w:rPr>
          <w:color w:val="333333"/>
          <w:spacing w:val="-3"/>
          <w:w w:val="110"/>
        </w:rPr>
        <w:t xml:space="preserve">by </w:t>
      </w:r>
      <w:r>
        <w:rPr>
          <w:color w:val="333333"/>
          <w:w w:val="110"/>
        </w:rPr>
        <w:t xml:space="preserve">the </w:t>
      </w:r>
      <w:proofErr w:type="gramStart"/>
      <w:r>
        <w:rPr>
          <w:rFonts w:ascii="MS Gothic"/>
          <w:color w:val="B02045"/>
          <w:w w:val="110"/>
        </w:rPr>
        <w:t>java.io.tmpdir</w:t>
      </w:r>
      <w:proofErr w:type="gramEnd"/>
      <w:r>
        <w:rPr>
          <w:rFonts w:ascii="MS Gothic"/>
          <w:color w:val="B02045"/>
          <w:spacing w:val="-53"/>
          <w:w w:val="110"/>
        </w:rPr>
        <w:t xml:space="preserve"> </w:t>
      </w:r>
      <w:r>
        <w:rPr>
          <w:color w:val="333333"/>
          <w:w w:val="110"/>
        </w:rPr>
        <w:t xml:space="preserve">system </w:t>
      </w:r>
      <w:r>
        <w:rPr>
          <w:color w:val="333333"/>
          <w:spacing w:val="-3"/>
          <w:w w:val="110"/>
        </w:rPr>
        <w:t>property.</w:t>
      </w:r>
    </w:p>
    <w:p w14:paraId="7427640E" w14:textId="77777777" w:rsidR="00A720EB" w:rsidRDefault="00A720EB">
      <w:pPr>
        <w:pStyle w:val="a3"/>
        <w:spacing w:before="6"/>
        <w:rPr>
          <w:sz w:val="15"/>
        </w:rPr>
      </w:pPr>
    </w:p>
    <w:p w14:paraId="26366DE4" w14:textId="77777777" w:rsidR="00A720EB" w:rsidRDefault="00E10349">
      <w:pPr>
        <w:pStyle w:val="a3"/>
        <w:spacing w:before="126" w:line="307" w:lineRule="auto"/>
        <w:ind w:left="1564" w:right="366"/>
        <w:jc w:val="both"/>
      </w:pPr>
      <w:r>
        <w:pict w14:anchorId="469062E5">
          <v:line id="_x0000_s1253" style="position:absolute;left:0;text-align:left;z-index:16418304;mso-position-horizontal-relative:page" from="108.25pt,.3pt" to="108.25pt,55.65pt" strokecolor="#ededed" strokeweight=".5pt">
            <w10:wrap anchorx="page"/>
          </v:line>
        </w:pict>
      </w:r>
      <w:r w:rsidR="0030286B">
        <w:rPr>
          <w:noProof/>
        </w:rPr>
        <w:drawing>
          <wp:anchor distT="0" distB="0" distL="0" distR="0" simplePos="0" relativeHeight="16418816" behindDoc="0" locked="0" layoutInCell="1" allowOverlap="1" wp14:anchorId="2C2ED059" wp14:editId="1AFBA20D">
            <wp:simplePos x="0" y="0"/>
            <wp:positionH relativeFrom="page">
              <wp:posOffset>815847</wp:posOffset>
            </wp:positionH>
            <wp:positionV relativeFrom="paragraph">
              <wp:posOffset>202984</wp:posOffset>
            </wp:positionV>
            <wp:extent cx="355600" cy="304800"/>
            <wp:effectExtent l="0" t="0" r="0" b="0"/>
            <wp:wrapNone/>
            <wp:docPr id="7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Care should be taken to ensure that your operating system is configured so that it will not delete the jars that have been unpacked to the temporary directory while the application is still running.</w:t>
      </w:r>
    </w:p>
    <w:p w14:paraId="11228099" w14:textId="77777777" w:rsidR="00A720EB" w:rsidRDefault="00A720EB">
      <w:pPr>
        <w:pStyle w:val="a3"/>
        <w:spacing w:before="8"/>
        <w:rPr>
          <w:sz w:val="16"/>
        </w:rPr>
      </w:pPr>
    </w:p>
    <w:p w14:paraId="73AC2CF8" w14:textId="77777777" w:rsidR="00A720EB" w:rsidRDefault="0030286B">
      <w:pPr>
        <w:pStyle w:val="a3"/>
        <w:spacing w:before="125" w:line="307" w:lineRule="auto"/>
        <w:ind w:left="124"/>
      </w:pPr>
      <w:r>
        <w:rPr>
          <w:color w:val="333333"/>
          <w:w w:val="110"/>
        </w:rPr>
        <w:t>For example, to indicate that JRuby should be flagged for unpacking by using the Maven Plugin, you would add the following configuration:</w:t>
      </w:r>
    </w:p>
    <w:p w14:paraId="2F46198F" w14:textId="77777777" w:rsidR="00A720EB" w:rsidRDefault="00E10349">
      <w:pPr>
        <w:pStyle w:val="a3"/>
        <w:spacing w:before="2"/>
        <w:rPr>
          <w:sz w:val="13"/>
        </w:rPr>
      </w:pPr>
      <w:r>
        <w:pict w14:anchorId="42849DA5">
          <v:group id="_x0000_s1249" style="position:absolute;margin-left:47.85pt;margin-top:9.7pt;width:499.55pt;height:258.6pt;z-index:-15039488;mso-wrap-distance-left:0;mso-wrap-distance-right:0;mso-position-horizontal-relative:page" coordorigin="957,194" coordsize="9991,5172">
            <v:shape id="_x0000_s1252" style="position:absolute;left:964;top:201;width:9976;height:5157" coordorigin="965,201" coordsize="9976,5157" path="m10861,201r-9816,l1014,208r-26,17l971,250r-6,31l965,5278r6,31l988,5335r26,17l1045,5358r9816,l10892,5352r25,-17l10935,5309r6,-31l10941,281r-6,-31l10917,225r-25,-17l10861,201xe" fillcolor="#f5f5f5" stroked="f">
              <v:path arrowok="t"/>
            </v:shape>
            <v:shape id="_x0000_s1251" style="position:absolute;left:964;top:201;width:9976;height:5157" coordorigin="965,201" coordsize="9976,5157" path="m1045,201r9816,l10892,208r25,17l10935,250r6,31l10941,5278r-6,31l10917,5335r-25,17l10861,5358r-9816,l1014,5352r-26,-17l971,5309r-6,-31l965,281r6,-31l988,225r26,-17l1045,201xe" filled="f" strokecolor="#ccc">
              <v:path arrowok="t"/>
            </v:shape>
            <v:shape id="_x0000_s1250" type="#_x0000_t202" style="position:absolute;left:984;top:216;width:9938;height:5126" filled="f" stroked="f">
              <v:textbox inset="0,0,0,0">
                <w:txbxContent>
                  <w:p w14:paraId="6A120ECC" w14:textId="77777777" w:rsidR="00711A16" w:rsidRDefault="00711A16">
                    <w:pPr>
                      <w:spacing w:before="221"/>
                      <w:ind w:left="200"/>
                      <w:rPr>
                        <w:rFonts w:ascii="MS Gothic"/>
                      </w:rPr>
                    </w:pPr>
                    <w:r>
                      <w:rPr>
                        <w:rFonts w:ascii="MS Gothic"/>
                        <w:color w:val="333333"/>
                      </w:rPr>
                      <w:t>&lt;build&gt;</w:t>
                    </w:r>
                  </w:p>
                  <w:p w14:paraId="51CE9E32" w14:textId="77777777" w:rsidR="00711A16" w:rsidRDefault="00711A16">
                    <w:pPr>
                      <w:spacing w:before="13"/>
                      <w:ind w:left="640"/>
                      <w:rPr>
                        <w:rFonts w:ascii="MS Gothic"/>
                      </w:rPr>
                    </w:pPr>
                    <w:r>
                      <w:rPr>
                        <w:rFonts w:ascii="MS Gothic"/>
                        <w:color w:val="333333"/>
                      </w:rPr>
                      <w:t>&lt;plugins&gt;</w:t>
                    </w:r>
                  </w:p>
                  <w:p w14:paraId="7E97C831" w14:textId="77777777" w:rsidR="00711A16" w:rsidRDefault="00711A16">
                    <w:pPr>
                      <w:spacing w:before="13"/>
                      <w:ind w:left="1080"/>
                      <w:rPr>
                        <w:rFonts w:ascii="MS Gothic"/>
                      </w:rPr>
                    </w:pPr>
                    <w:r>
                      <w:rPr>
                        <w:rFonts w:ascii="MS Gothic"/>
                        <w:color w:val="333333"/>
                      </w:rPr>
                      <w:t>&lt;plugin&gt;</w:t>
                    </w:r>
                  </w:p>
                  <w:p w14:paraId="1FE7EC73"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1F66B9F1" w14:textId="77777777" w:rsidR="00711A16" w:rsidRDefault="00711A16">
                    <w:pPr>
                      <w:spacing w:before="12"/>
                      <w:ind w:left="1520"/>
                      <w:rPr>
                        <w:rFonts w:ascii="MS Gothic"/>
                      </w:rPr>
                    </w:pPr>
                    <w:r>
                      <w:rPr>
                        <w:rFonts w:ascii="MS Gothic"/>
                        <w:color w:val="333333"/>
                      </w:rPr>
                      <w:t>&lt;artifactId&gt;spring-boot-maven-plugin&lt;/artifactId&gt;</w:t>
                    </w:r>
                  </w:p>
                  <w:p w14:paraId="42F814F0" w14:textId="77777777" w:rsidR="00711A16" w:rsidRDefault="00711A16">
                    <w:pPr>
                      <w:spacing w:before="13"/>
                      <w:ind w:left="1520"/>
                      <w:rPr>
                        <w:rFonts w:ascii="MS Gothic"/>
                      </w:rPr>
                    </w:pPr>
                    <w:r>
                      <w:rPr>
                        <w:rFonts w:ascii="MS Gothic"/>
                        <w:color w:val="333333"/>
                      </w:rPr>
                      <w:t>&lt;configuration&gt;</w:t>
                    </w:r>
                  </w:p>
                  <w:p w14:paraId="4248127B" w14:textId="77777777" w:rsidR="00711A16" w:rsidRDefault="00711A16">
                    <w:pPr>
                      <w:spacing w:before="13"/>
                      <w:ind w:right="6214"/>
                      <w:jc w:val="right"/>
                      <w:rPr>
                        <w:rFonts w:ascii="MS Gothic"/>
                      </w:rPr>
                    </w:pPr>
                    <w:r>
                      <w:rPr>
                        <w:rFonts w:ascii="MS Gothic"/>
                        <w:color w:val="333333"/>
                      </w:rPr>
                      <w:t>&lt;requiresUnpack&gt;</w:t>
                    </w:r>
                  </w:p>
                  <w:p w14:paraId="61F9C39C" w14:textId="77777777" w:rsidR="00711A16" w:rsidRDefault="00711A16">
                    <w:pPr>
                      <w:spacing w:before="13"/>
                      <w:ind w:right="6214"/>
                      <w:jc w:val="right"/>
                      <w:rPr>
                        <w:rFonts w:ascii="MS Gothic"/>
                      </w:rPr>
                    </w:pPr>
                    <w:r>
                      <w:rPr>
                        <w:rFonts w:ascii="MS Gothic"/>
                        <w:color w:val="333333"/>
                      </w:rPr>
                      <w:t>&lt;dependency&gt;</w:t>
                    </w:r>
                  </w:p>
                  <w:p w14:paraId="45D22A16" w14:textId="77777777" w:rsidR="00711A16" w:rsidRDefault="00711A16">
                    <w:pPr>
                      <w:spacing w:before="13"/>
                      <w:ind w:left="2840"/>
                      <w:rPr>
                        <w:rFonts w:ascii="MS Gothic"/>
                      </w:rPr>
                    </w:pPr>
                    <w:r>
                      <w:rPr>
                        <w:rFonts w:ascii="MS Gothic"/>
                        <w:color w:val="333333"/>
                      </w:rPr>
                      <w:t>&lt;groupId&gt;org.jruby&lt;/groupId&gt;</w:t>
                    </w:r>
                  </w:p>
                  <w:p w14:paraId="2AA575D8" w14:textId="77777777" w:rsidR="00711A16" w:rsidRDefault="00711A16">
                    <w:pPr>
                      <w:spacing w:before="13"/>
                      <w:ind w:left="2840"/>
                      <w:rPr>
                        <w:rFonts w:ascii="MS Gothic"/>
                      </w:rPr>
                    </w:pPr>
                    <w:r>
                      <w:rPr>
                        <w:rFonts w:ascii="MS Gothic"/>
                        <w:color w:val="333333"/>
                      </w:rPr>
                      <w:t>&lt;artifactId&gt;jruby-complete&lt;/artifactId&gt;</w:t>
                    </w:r>
                  </w:p>
                  <w:p w14:paraId="28A6AFDE" w14:textId="77777777" w:rsidR="00711A16" w:rsidRDefault="00711A16">
                    <w:pPr>
                      <w:spacing w:before="13"/>
                      <w:ind w:right="6104"/>
                      <w:jc w:val="right"/>
                      <w:rPr>
                        <w:rFonts w:ascii="MS Gothic"/>
                      </w:rPr>
                    </w:pPr>
                    <w:r>
                      <w:rPr>
                        <w:rFonts w:ascii="MS Gothic"/>
                        <w:color w:val="333333"/>
                      </w:rPr>
                      <w:t>&lt;/dependency&gt;</w:t>
                    </w:r>
                  </w:p>
                  <w:p w14:paraId="1DB5ADAB" w14:textId="77777777" w:rsidR="00711A16" w:rsidRDefault="00711A16">
                    <w:pPr>
                      <w:spacing w:before="13"/>
                      <w:ind w:right="6104"/>
                      <w:jc w:val="right"/>
                      <w:rPr>
                        <w:rFonts w:ascii="MS Gothic"/>
                      </w:rPr>
                    </w:pPr>
                    <w:r>
                      <w:rPr>
                        <w:rFonts w:ascii="MS Gothic"/>
                        <w:color w:val="333333"/>
                      </w:rPr>
                      <w:t>&lt;/requiresUnpack&gt;</w:t>
                    </w:r>
                  </w:p>
                  <w:p w14:paraId="5DD440AD" w14:textId="77777777" w:rsidR="00711A16" w:rsidRDefault="00711A16">
                    <w:pPr>
                      <w:spacing w:before="13"/>
                      <w:ind w:left="1520"/>
                      <w:rPr>
                        <w:rFonts w:ascii="MS Gothic"/>
                      </w:rPr>
                    </w:pPr>
                    <w:r>
                      <w:rPr>
                        <w:rFonts w:ascii="MS Gothic"/>
                        <w:color w:val="333333"/>
                      </w:rPr>
                      <w:t>&lt;/configuration&gt;</w:t>
                    </w:r>
                  </w:p>
                  <w:p w14:paraId="32C21898" w14:textId="77777777" w:rsidR="00711A16" w:rsidRDefault="00711A16">
                    <w:pPr>
                      <w:spacing w:before="13"/>
                      <w:ind w:left="1080"/>
                      <w:rPr>
                        <w:rFonts w:ascii="MS Gothic"/>
                      </w:rPr>
                    </w:pPr>
                    <w:r>
                      <w:rPr>
                        <w:rFonts w:ascii="MS Gothic"/>
                        <w:color w:val="333333"/>
                      </w:rPr>
                      <w:t>&lt;/plugin&gt;</w:t>
                    </w:r>
                  </w:p>
                  <w:p w14:paraId="5B3660B3" w14:textId="77777777" w:rsidR="00711A16" w:rsidRDefault="00711A16">
                    <w:pPr>
                      <w:spacing w:before="13"/>
                      <w:ind w:left="640"/>
                      <w:rPr>
                        <w:rFonts w:ascii="MS Gothic"/>
                      </w:rPr>
                    </w:pPr>
                    <w:r>
                      <w:rPr>
                        <w:rFonts w:ascii="MS Gothic"/>
                        <w:color w:val="333333"/>
                      </w:rPr>
                      <w:t>&lt;/plugins&gt;</w:t>
                    </w:r>
                  </w:p>
                  <w:p w14:paraId="502898EE" w14:textId="77777777" w:rsidR="00711A16" w:rsidRDefault="00711A16">
                    <w:pPr>
                      <w:spacing w:before="13"/>
                      <w:ind w:left="200"/>
                      <w:rPr>
                        <w:rFonts w:ascii="MS Gothic"/>
                      </w:rPr>
                    </w:pPr>
                    <w:r>
                      <w:rPr>
                        <w:rFonts w:ascii="MS Gothic"/>
                        <w:color w:val="333333"/>
                      </w:rPr>
                      <w:t>&lt;/build&gt;</w:t>
                    </w:r>
                  </w:p>
                </w:txbxContent>
              </v:textbox>
            </v:shape>
            <w10:wrap type="topAndBottom" anchorx="page"/>
          </v:group>
        </w:pict>
      </w:r>
    </w:p>
    <w:p w14:paraId="2F4F5958" w14:textId="77777777" w:rsidR="00A720EB" w:rsidRDefault="00A720EB">
      <w:pPr>
        <w:rPr>
          <w:sz w:val="13"/>
        </w:rPr>
        <w:sectPr w:rsidR="00A720EB">
          <w:pgSz w:w="11910" w:h="16840"/>
          <w:pgMar w:top="620" w:right="840" w:bottom="520" w:left="840" w:header="0" w:footer="323" w:gutter="0"/>
          <w:cols w:space="720"/>
        </w:sectPr>
      </w:pPr>
    </w:p>
    <w:p w14:paraId="12234902" w14:textId="77777777" w:rsidR="00A720EB" w:rsidRDefault="0030286B">
      <w:pPr>
        <w:pStyle w:val="3"/>
        <w:numPr>
          <w:ilvl w:val="2"/>
          <w:numId w:val="13"/>
        </w:numPr>
        <w:tabs>
          <w:tab w:val="left" w:pos="1003"/>
        </w:tabs>
        <w:spacing w:before="87"/>
        <w:ind w:left="1002" w:hanging="879"/>
      </w:pPr>
      <w:bookmarkStart w:id="1002" w:name="9.16.7._Create_a_Non-executable_JAR_with"/>
      <w:bookmarkStart w:id="1003" w:name="_Toc54424019"/>
      <w:bookmarkEnd w:id="1002"/>
      <w:r>
        <w:rPr>
          <w:color w:val="333333"/>
          <w:w w:val="110"/>
        </w:rPr>
        <w:lastRenderedPageBreak/>
        <w:t>Create a Non-executable JAR with</w:t>
      </w:r>
      <w:r>
        <w:rPr>
          <w:color w:val="333333"/>
          <w:spacing w:val="-28"/>
          <w:w w:val="110"/>
        </w:rPr>
        <w:t xml:space="preserve"> </w:t>
      </w:r>
      <w:r>
        <w:rPr>
          <w:color w:val="333333"/>
          <w:w w:val="110"/>
        </w:rPr>
        <w:t>Exclusions</w:t>
      </w:r>
      <w:bookmarkEnd w:id="1003"/>
    </w:p>
    <w:p w14:paraId="6EB48281" w14:textId="77777777" w:rsidR="00A720EB" w:rsidRDefault="0030286B">
      <w:pPr>
        <w:pStyle w:val="a3"/>
        <w:spacing w:before="253" w:line="302" w:lineRule="auto"/>
        <w:ind w:left="124" w:right="130"/>
        <w:jc w:val="both"/>
      </w:pPr>
      <w:r>
        <w:rPr>
          <w:color w:val="333333"/>
          <w:w w:val="110"/>
        </w:rPr>
        <w:t xml:space="preserve">Often, if you have an executable and a non-executable jar as two separate build products, the executable version has additional configuration files that are not needed in a library jar.  </w:t>
      </w:r>
      <w:r>
        <w:rPr>
          <w:color w:val="333333"/>
          <w:spacing w:val="-4"/>
          <w:w w:val="110"/>
        </w:rPr>
        <w:t>For</w:t>
      </w:r>
      <w:r>
        <w:rPr>
          <w:color w:val="333333"/>
          <w:spacing w:val="42"/>
          <w:w w:val="110"/>
        </w:rPr>
        <w:t xml:space="preserve"> </w:t>
      </w:r>
      <w:r>
        <w:rPr>
          <w:color w:val="333333"/>
          <w:w w:val="110"/>
        </w:rPr>
        <w:t xml:space="preserve">example, the </w:t>
      </w:r>
      <w:r>
        <w:rPr>
          <w:rFonts w:ascii="MS Gothic"/>
          <w:color w:val="B02045"/>
          <w:w w:val="110"/>
        </w:rPr>
        <w:t>application.yml</w:t>
      </w:r>
      <w:r>
        <w:rPr>
          <w:rFonts w:ascii="MS Gothic"/>
          <w:color w:val="B02045"/>
          <w:spacing w:val="-61"/>
          <w:w w:val="110"/>
        </w:rPr>
        <w:t xml:space="preserve"> </w:t>
      </w:r>
      <w:r>
        <w:rPr>
          <w:color w:val="333333"/>
          <w:w w:val="110"/>
        </w:rPr>
        <w:t>configuration file might be excluded from the non-executable JAR.</w:t>
      </w:r>
    </w:p>
    <w:p w14:paraId="1DFF7238" w14:textId="77777777" w:rsidR="00A720EB" w:rsidRDefault="0030286B">
      <w:pPr>
        <w:pStyle w:val="a3"/>
        <w:spacing w:before="228" w:line="307" w:lineRule="auto"/>
        <w:ind w:left="124" w:right="133"/>
        <w:jc w:val="both"/>
      </w:pPr>
      <w:r>
        <w:rPr>
          <w:color w:val="333333"/>
          <w:w w:val="115"/>
        </w:rPr>
        <w:t>In Maven, the executable jar must be the main artifact and you can add a classified jar for the library, as follows:</w:t>
      </w:r>
    </w:p>
    <w:p w14:paraId="6BCDA2C9" w14:textId="77777777" w:rsidR="00A720EB" w:rsidRDefault="00E10349">
      <w:pPr>
        <w:pStyle w:val="a3"/>
        <w:spacing w:before="1"/>
        <w:rPr>
          <w:sz w:val="13"/>
        </w:rPr>
      </w:pPr>
      <w:r>
        <w:pict w14:anchorId="74A0A35F">
          <v:group id="_x0000_s1245" style="position:absolute;margin-left:47.85pt;margin-top:9.7pt;width:499.55pt;height:406pt;z-index:-15037952;mso-wrap-distance-left:0;mso-wrap-distance-right:0;mso-position-horizontal-relative:page" coordorigin="957,194" coordsize="9991,8120">
            <v:shape id="_x0000_s1248" style="position:absolute;left:964;top:201;width:9976;height:8105" coordorigin="965,201" coordsize="9976,8105" path="m10861,201r-9816,l1014,208r-26,17l971,250r-6,31l965,8226r6,31l988,8283r26,17l1045,8306r9816,l10892,8300r25,-17l10935,8257r6,-31l10941,281r-6,-31l10917,225r-25,-17l10861,201xe" fillcolor="#f5f5f5" stroked="f">
              <v:path arrowok="t"/>
            </v:shape>
            <v:shape id="_x0000_s1247" style="position:absolute;left:964;top:201;width:9976;height:8105" coordorigin="965,201" coordsize="9976,8105" path="m1045,201r9816,l10892,208r25,17l10935,250r6,31l10941,8226r-6,31l10917,8283r-25,17l10861,8306r-9816,l1014,8300r-26,-17l971,8257r-6,-31l965,281r6,-31l988,225r26,-17l1045,201xe" filled="f" strokecolor="#ccc">
              <v:path arrowok="t"/>
            </v:shape>
            <v:shape id="_x0000_s1246" type="#_x0000_t202" style="position:absolute;left:984;top:216;width:9938;height:8074" filled="f" stroked="f">
              <v:textbox inset="0,0,0,0">
                <w:txbxContent>
                  <w:p w14:paraId="7F95A592" w14:textId="77777777" w:rsidR="00711A16" w:rsidRDefault="00711A16">
                    <w:pPr>
                      <w:spacing w:before="221"/>
                      <w:ind w:left="200"/>
                      <w:rPr>
                        <w:rFonts w:ascii="MS Gothic"/>
                      </w:rPr>
                    </w:pPr>
                    <w:r>
                      <w:rPr>
                        <w:rFonts w:ascii="MS Gothic"/>
                        <w:color w:val="333333"/>
                      </w:rPr>
                      <w:t>&lt;build&gt;</w:t>
                    </w:r>
                  </w:p>
                  <w:p w14:paraId="2AFDDC95" w14:textId="77777777" w:rsidR="00711A16" w:rsidRDefault="00711A16">
                    <w:pPr>
                      <w:spacing w:before="13"/>
                      <w:ind w:left="640"/>
                      <w:rPr>
                        <w:rFonts w:ascii="MS Gothic"/>
                      </w:rPr>
                    </w:pPr>
                    <w:r>
                      <w:rPr>
                        <w:rFonts w:ascii="MS Gothic"/>
                        <w:color w:val="333333"/>
                      </w:rPr>
                      <w:t>&lt;plugins&gt;</w:t>
                    </w:r>
                  </w:p>
                  <w:p w14:paraId="6804146C" w14:textId="77777777" w:rsidR="00711A16" w:rsidRDefault="00711A16">
                    <w:pPr>
                      <w:spacing w:before="13"/>
                      <w:ind w:left="1080"/>
                      <w:rPr>
                        <w:rFonts w:ascii="MS Gothic"/>
                      </w:rPr>
                    </w:pPr>
                    <w:r>
                      <w:rPr>
                        <w:rFonts w:ascii="MS Gothic"/>
                        <w:color w:val="333333"/>
                      </w:rPr>
                      <w:t>&lt;plugin&gt;</w:t>
                    </w:r>
                  </w:p>
                  <w:p w14:paraId="7F905A55" w14:textId="77777777" w:rsidR="00711A16" w:rsidRDefault="00711A16">
                    <w:pPr>
                      <w:spacing w:before="13"/>
                      <w:ind w:left="1520"/>
                      <w:rPr>
                        <w:rFonts w:ascii="MS Gothic"/>
                      </w:rPr>
                    </w:pPr>
                    <w:proofErr w:type="gramStart"/>
                    <w:r>
                      <w:rPr>
                        <w:rFonts w:ascii="MS Gothic"/>
                        <w:color w:val="333333"/>
                      </w:rPr>
                      <w:t>&lt;groupId&gt;org.springframework.boot</w:t>
                    </w:r>
                    <w:proofErr w:type="gramEnd"/>
                    <w:r>
                      <w:rPr>
                        <w:rFonts w:ascii="MS Gothic"/>
                        <w:color w:val="333333"/>
                      </w:rPr>
                      <w:t>&lt;/groupId&gt;</w:t>
                    </w:r>
                  </w:p>
                  <w:p w14:paraId="5FE66CAF" w14:textId="77777777" w:rsidR="00711A16" w:rsidRDefault="00711A16">
                    <w:pPr>
                      <w:spacing w:before="12"/>
                      <w:ind w:left="1520"/>
                      <w:rPr>
                        <w:rFonts w:ascii="MS Gothic"/>
                      </w:rPr>
                    </w:pPr>
                    <w:r>
                      <w:rPr>
                        <w:rFonts w:ascii="MS Gothic"/>
                        <w:color w:val="333333"/>
                      </w:rPr>
                      <w:t>&lt;artifactId&gt;spring-boot-maven-plugin&lt;/artifactId&gt;</w:t>
                    </w:r>
                  </w:p>
                  <w:p w14:paraId="25E44E84" w14:textId="77777777" w:rsidR="00711A16" w:rsidRDefault="00711A16">
                    <w:pPr>
                      <w:spacing w:before="13"/>
                      <w:ind w:left="1080"/>
                      <w:rPr>
                        <w:rFonts w:ascii="MS Gothic"/>
                      </w:rPr>
                    </w:pPr>
                    <w:r>
                      <w:rPr>
                        <w:rFonts w:ascii="MS Gothic"/>
                        <w:color w:val="333333"/>
                      </w:rPr>
                      <w:t>&lt;/plugin&gt;</w:t>
                    </w:r>
                  </w:p>
                  <w:p w14:paraId="42A4E8BB" w14:textId="77777777" w:rsidR="00711A16" w:rsidRDefault="00711A16">
                    <w:pPr>
                      <w:spacing w:before="13"/>
                      <w:ind w:left="1080"/>
                      <w:rPr>
                        <w:rFonts w:ascii="MS Gothic"/>
                      </w:rPr>
                    </w:pPr>
                    <w:r>
                      <w:rPr>
                        <w:rFonts w:ascii="MS Gothic"/>
                        <w:color w:val="333333"/>
                      </w:rPr>
                      <w:t>&lt;plugin&gt;</w:t>
                    </w:r>
                  </w:p>
                  <w:p w14:paraId="4B813269" w14:textId="77777777" w:rsidR="00711A16" w:rsidRDefault="00711A16">
                    <w:pPr>
                      <w:spacing w:before="13"/>
                      <w:ind w:left="1520"/>
                      <w:rPr>
                        <w:rFonts w:ascii="MS Gothic"/>
                      </w:rPr>
                    </w:pPr>
                    <w:r>
                      <w:rPr>
                        <w:rFonts w:ascii="MS Gothic"/>
                        <w:color w:val="333333"/>
                      </w:rPr>
                      <w:t>&lt;artifactId&gt;maven-jar-plugin&lt;/artifactId&gt;</w:t>
                    </w:r>
                  </w:p>
                  <w:p w14:paraId="3677D63D" w14:textId="77777777" w:rsidR="00711A16" w:rsidRDefault="00711A16">
                    <w:pPr>
                      <w:spacing w:before="13"/>
                      <w:ind w:left="1520"/>
                      <w:rPr>
                        <w:rFonts w:ascii="MS Gothic"/>
                      </w:rPr>
                    </w:pPr>
                    <w:r>
                      <w:rPr>
                        <w:rFonts w:ascii="MS Gothic"/>
                        <w:color w:val="333333"/>
                      </w:rPr>
                      <w:t>&lt;executions&gt;</w:t>
                    </w:r>
                  </w:p>
                  <w:p w14:paraId="2E62B1CF" w14:textId="77777777" w:rsidR="00711A16" w:rsidRDefault="00711A16">
                    <w:pPr>
                      <w:spacing w:before="13"/>
                      <w:ind w:left="1960"/>
                      <w:rPr>
                        <w:rFonts w:ascii="MS Gothic"/>
                      </w:rPr>
                    </w:pPr>
                    <w:r>
                      <w:rPr>
                        <w:rFonts w:ascii="MS Gothic"/>
                        <w:color w:val="333333"/>
                      </w:rPr>
                      <w:t>&lt;execution&gt;</w:t>
                    </w:r>
                  </w:p>
                  <w:p w14:paraId="1B4C2F43" w14:textId="77777777" w:rsidR="00711A16" w:rsidRDefault="00711A16">
                    <w:pPr>
                      <w:spacing w:before="13"/>
                      <w:ind w:left="2400"/>
                      <w:rPr>
                        <w:rFonts w:ascii="MS Gothic"/>
                      </w:rPr>
                    </w:pPr>
                    <w:r>
                      <w:rPr>
                        <w:rFonts w:ascii="MS Gothic"/>
                        <w:color w:val="333333"/>
                      </w:rPr>
                      <w:t>&lt;id&gt;lib&lt;/id&gt;</w:t>
                    </w:r>
                  </w:p>
                  <w:p w14:paraId="54BDE7BE" w14:textId="77777777" w:rsidR="00711A16" w:rsidRDefault="00711A16">
                    <w:pPr>
                      <w:spacing w:before="13"/>
                      <w:ind w:left="2400"/>
                      <w:rPr>
                        <w:rFonts w:ascii="MS Gothic"/>
                      </w:rPr>
                    </w:pPr>
                    <w:r>
                      <w:rPr>
                        <w:rFonts w:ascii="MS Gothic"/>
                        <w:color w:val="333333"/>
                      </w:rPr>
                      <w:t>&lt;phase&gt;package&lt;/phase&gt;</w:t>
                    </w:r>
                  </w:p>
                  <w:p w14:paraId="14704C07" w14:textId="77777777" w:rsidR="00711A16" w:rsidRDefault="00711A16">
                    <w:pPr>
                      <w:spacing w:before="13"/>
                      <w:ind w:left="2400"/>
                      <w:rPr>
                        <w:rFonts w:ascii="MS Gothic"/>
                      </w:rPr>
                    </w:pPr>
                    <w:r>
                      <w:rPr>
                        <w:rFonts w:ascii="MS Gothic"/>
                        <w:color w:val="333333"/>
                      </w:rPr>
                      <w:t>&lt;goals&gt;</w:t>
                    </w:r>
                  </w:p>
                  <w:p w14:paraId="33216084" w14:textId="77777777" w:rsidR="00711A16" w:rsidRDefault="00711A16">
                    <w:pPr>
                      <w:spacing w:before="13"/>
                      <w:ind w:left="2840"/>
                      <w:rPr>
                        <w:rFonts w:ascii="MS Gothic"/>
                      </w:rPr>
                    </w:pPr>
                    <w:r>
                      <w:rPr>
                        <w:rFonts w:ascii="MS Gothic"/>
                        <w:color w:val="333333"/>
                      </w:rPr>
                      <w:t>&lt;goal&gt;jar&lt;/goal&gt;</w:t>
                    </w:r>
                  </w:p>
                  <w:p w14:paraId="228075BB" w14:textId="77777777" w:rsidR="00711A16" w:rsidRDefault="00711A16">
                    <w:pPr>
                      <w:spacing w:before="13"/>
                      <w:ind w:left="2400"/>
                      <w:rPr>
                        <w:rFonts w:ascii="MS Gothic"/>
                      </w:rPr>
                    </w:pPr>
                    <w:r>
                      <w:rPr>
                        <w:rFonts w:ascii="MS Gothic"/>
                        <w:color w:val="333333"/>
                      </w:rPr>
                      <w:t>&lt;/goals&gt;</w:t>
                    </w:r>
                  </w:p>
                  <w:p w14:paraId="35314F3E" w14:textId="77777777" w:rsidR="00711A16" w:rsidRDefault="00711A16">
                    <w:pPr>
                      <w:spacing w:before="13"/>
                      <w:ind w:left="2400"/>
                      <w:rPr>
                        <w:rFonts w:ascii="MS Gothic"/>
                      </w:rPr>
                    </w:pPr>
                    <w:r>
                      <w:rPr>
                        <w:rFonts w:ascii="MS Gothic"/>
                        <w:color w:val="333333"/>
                      </w:rPr>
                      <w:t>&lt;configuration&gt;</w:t>
                    </w:r>
                  </w:p>
                  <w:p w14:paraId="3FB9BBDD" w14:textId="77777777" w:rsidR="00711A16" w:rsidRDefault="00711A16">
                    <w:pPr>
                      <w:spacing w:before="13"/>
                      <w:ind w:left="2840"/>
                      <w:rPr>
                        <w:rFonts w:ascii="MS Gothic"/>
                      </w:rPr>
                    </w:pPr>
                    <w:r>
                      <w:rPr>
                        <w:rFonts w:ascii="MS Gothic"/>
                        <w:color w:val="333333"/>
                      </w:rPr>
                      <w:t>&lt;classifier&gt;lib&lt;/classifier&gt;</w:t>
                    </w:r>
                  </w:p>
                  <w:p w14:paraId="5368EBEB" w14:textId="77777777" w:rsidR="00711A16" w:rsidRDefault="00711A16">
                    <w:pPr>
                      <w:spacing w:before="12"/>
                      <w:ind w:left="2840"/>
                      <w:rPr>
                        <w:rFonts w:ascii="MS Gothic"/>
                      </w:rPr>
                    </w:pPr>
                    <w:r>
                      <w:rPr>
                        <w:rFonts w:ascii="MS Gothic"/>
                        <w:color w:val="333333"/>
                      </w:rPr>
                      <w:t>&lt;excludes&gt;</w:t>
                    </w:r>
                  </w:p>
                  <w:p w14:paraId="7B2F8004" w14:textId="77777777" w:rsidR="00711A16" w:rsidRDefault="00711A16">
                    <w:pPr>
                      <w:spacing w:before="13"/>
                      <w:ind w:left="3280"/>
                      <w:rPr>
                        <w:rFonts w:ascii="MS Gothic"/>
                      </w:rPr>
                    </w:pPr>
                    <w:r>
                      <w:rPr>
                        <w:rFonts w:ascii="MS Gothic"/>
                        <w:color w:val="333333"/>
                      </w:rPr>
                      <w:t>&lt;exclude&gt;application.yml&lt;/exclude&gt;</w:t>
                    </w:r>
                  </w:p>
                  <w:p w14:paraId="684F1E00" w14:textId="77777777" w:rsidR="00711A16" w:rsidRDefault="00711A16">
                    <w:pPr>
                      <w:spacing w:before="13"/>
                      <w:ind w:left="2840"/>
                      <w:rPr>
                        <w:rFonts w:ascii="MS Gothic"/>
                      </w:rPr>
                    </w:pPr>
                    <w:r>
                      <w:rPr>
                        <w:rFonts w:ascii="MS Gothic"/>
                        <w:color w:val="333333"/>
                      </w:rPr>
                      <w:t>&lt;/excludes&gt;</w:t>
                    </w:r>
                  </w:p>
                  <w:p w14:paraId="3E3ECC47" w14:textId="77777777" w:rsidR="00711A16" w:rsidRDefault="00711A16">
                    <w:pPr>
                      <w:spacing w:before="13"/>
                      <w:ind w:left="2400"/>
                      <w:rPr>
                        <w:rFonts w:ascii="MS Gothic"/>
                      </w:rPr>
                    </w:pPr>
                    <w:r>
                      <w:rPr>
                        <w:rFonts w:ascii="MS Gothic"/>
                        <w:color w:val="333333"/>
                      </w:rPr>
                      <w:t>&lt;/configuration&gt;</w:t>
                    </w:r>
                  </w:p>
                  <w:p w14:paraId="0A2F9750" w14:textId="77777777" w:rsidR="00711A16" w:rsidRDefault="00711A16">
                    <w:pPr>
                      <w:spacing w:before="13"/>
                      <w:ind w:left="1960"/>
                      <w:rPr>
                        <w:rFonts w:ascii="MS Gothic"/>
                      </w:rPr>
                    </w:pPr>
                    <w:r>
                      <w:rPr>
                        <w:rFonts w:ascii="MS Gothic"/>
                        <w:color w:val="333333"/>
                      </w:rPr>
                      <w:t>&lt;/execution&gt;</w:t>
                    </w:r>
                  </w:p>
                  <w:p w14:paraId="5ECC9188" w14:textId="77777777" w:rsidR="00711A16" w:rsidRDefault="00711A16">
                    <w:pPr>
                      <w:spacing w:before="13"/>
                      <w:ind w:left="1520"/>
                      <w:rPr>
                        <w:rFonts w:ascii="MS Gothic"/>
                      </w:rPr>
                    </w:pPr>
                    <w:r>
                      <w:rPr>
                        <w:rFonts w:ascii="MS Gothic"/>
                        <w:color w:val="333333"/>
                      </w:rPr>
                      <w:t>&lt;/executions&gt;</w:t>
                    </w:r>
                  </w:p>
                  <w:p w14:paraId="68F7F475" w14:textId="77777777" w:rsidR="00711A16" w:rsidRDefault="00711A16">
                    <w:pPr>
                      <w:spacing w:before="13"/>
                      <w:ind w:left="1080"/>
                      <w:rPr>
                        <w:rFonts w:ascii="MS Gothic"/>
                      </w:rPr>
                    </w:pPr>
                    <w:r>
                      <w:rPr>
                        <w:rFonts w:ascii="MS Gothic"/>
                        <w:color w:val="333333"/>
                      </w:rPr>
                      <w:t>&lt;/plugin&gt;</w:t>
                    </w:r>
                  </w:p>
                  <w:p w14:paraId="0B6A157B" w14:textId="77777777" w:rsidR="00711A16" w:rsidRDefault="00711A16">
                    <w:pPr>
                      <w:spacing w:before="13"/>
                      <w:ind w:left="640"/>
                      <w:rPr>
                        <w:rFonts w:ascii="MS Gothic"/>
                      </w:rPr>
                    </w:pPr>
                    <w:r>
                      <w:rPr>
                        <w:rFonts w:ascii="MS Gothic"/>
                        <w:color w:val="333333"/>
                      </w:rPr>
                      <w:t>&lt;/plugins&gt;</w:t>
                    </w:r>
                  </w:p>
                  <w:p w14:paraId="7FC6D583" w14:textId="77777777" w:rsidR="00711A16" w:rsidRDefault="00711A16">
                    <w:pPr>
                      <w:spacing w:before="13"/>
                      <w:ind w:left="200"/>
                      <w:rPr>
                        <w:rFonts w:ascii="MS Gothic"/>
                      </w:rPr>
                    </w:pPr>
                    <w:r>
                      <w:rPr>
                        <w:rFonts w:ascii="MS Gothic"/>
                        <w:color w:val="333333"/>
                      </w:rPr>
                      <w:t>&lt;/build&gt;</w:t>
                    </w:r>
                  </w:p>
                </w:txbxContent>
              </v:textbox>
            </v:shape>
            <w10:wrap type="topAndBottom" anchorx="page"/>
          </v:group>
        </w:pict>
      </w:r>
    </w:p>
    <w:p w14:paraId="4AEAEE0F" w14:textId="77777777" w:rsidR="00A720EB" w:rsidRDefault="00A720EB">
      <w:pPr>
        <w:pStyle w:val="a3"/>
        <w:spacing w:before="11"/>
        <w:rPr>
          <w:sz w:val="16"/>
        </w:rPr>
      </w:pPr>
    </w:p>
    <w:p w14:paraId="31BB84CD" w14:textId="77777777" w:rsidR="00A720EB" w:rsidRDefault="0030286B">
      <w:pPr>
        <w:pStyle w:val="3"/>
        <w:numPr>
          <w:ilvl w:val="2"/>
          <w:numId w:val="13"/>
        </w:numPr>
        <w:tabs>
          <w:tab w:val="left" w:pos="1003"/>
        </w:tabs>
        <w:spacing w:before="105"/>
        <w:ind w:left="1002" w:hanging="879"/>
      </w:pPr>
      <w:bookmarkStart w:id="1004" w:name="9.16.8._Remote_Debug_a_Spring_Boot_Appli"/>
      <w:bookmarkStart w:id="1005" w:name="_Toc54424020"/>
      <w:bookmarkEnd w:id="1004"/>
      <w:r>
        <w:rPr>
          <w:color w:val="333333"/>
          <w:w w:val="110"/>
        </w:rPr>
        <w:t>Remote</w:t>
      </w:r>
      <w:r>
        <w:rPr>
          <w:color w:val="333333"/>
          <w:spacing w:val="-10"/>
          <w:w w:val="110"/>
        </w:rPr>
        <w:t xml:space="preserve"> </w:t>
      </w:r>
      <w:r>
        <w:rPr>
          <w:color w:val="333333"/>
          <w:w w:val="110"/>
        </w:rPr>
        <w:t>Debug</w:t>
      </w:r>
      <w:r>
        <w:rPr>
          <w:color w:val="333333"/>
          <w:spacing w:val="-9"/>
          <w:w w:val="110"/>
        </w:rPr>
        <w:t xml:space="preserve"> </w:t>
      </w:r>
      <w:r>
        <w:rPr>
          <w:color w:val="333333"/>
          <w:w w:val="110"/>
        </w:rPr>
        <w:t>a</w:t>
      </w:r>
      <w:r>
        <w:rPr>
          <w:color w:val="333333"/>
          <w:spacing w:val="-9"/>
          <w:w w:val="110"/>
        </w:rPr>
        <w:t xml:space="preserve"> </w:t>
      </w:r>
      <w:r>
        <w:rPr>
          <w:color w:val="333333"/>
          <w:w w:val="110"/>
        </w:rPr>
        <w:t>Spring</w:t>
      </w:r>
      <w:r>
        <w:rPr>
          <w:color w:val="333333"/>
          <w:spacing w:val="-10"/>
          <w:w w:val="110"/>
        </w:rPr>
        <w:t xml:space="preserve"> </w:t>
      </w:r>
      <w:r>
        <w:rPr>
          <w:color w:val="333333"/>
          <w:w w:val="110"/>
        </w:rPr>
        <w:t>Boot</w:t>
      </w:r>
      <w:r>
        <w:rPr>
          <w:color w:val="333333"/>
          <w:spacing w:val="-10"/>
          <w:w w:val="110"/>
        </w:rPr>
        <w:t xml:space="preserve"> </w:t>
      </w:r>
      <w:r>
        <w:rPr>
          <w:color w:val="333333"/>
          <w:w w:val="110"/>
        </w:rPr>
        <w:t>Application</w:t>
      </w:r>
      <w:r>
        <w:rPr>
          <w:color w:val="333333"/>
          <w:spacing w:val="-10"/>
          <w:w w:val="110"/>
        </w:rPr>
        <w:t xml:space="preserve"> </w:t>
      </w:r>
      <w:r>
        <w:rPr>
          <w:color w:val="333333"/>
          <w:w w:val="110"/>
        </w:rPr>
        <w:t>Started</w:t>
      </w:r>
      <w:r>
        <w:rPr>
          <w:color w:val="333333"/>
          <w:spacing w:val="-10"/>
          <w:w w:val="110"/>
        </w:rPr>
        <w:t xml:space="preserve"> </w:t>
      </w:r>
      <w:r>
        <w:rPr>
          <w:color w:val="333333"/>
          <w:w w:val="110"/>
        </w:rPr>
        <w:t>with</w:t>
      </w:r>
      <w:r>
        <w:rPr>
          <w:color w:val="333333"/>
          <w:spacing w:val="-10"/>
          <w:w w:val="110"/>
        </w:rPr>
        <w:t xml:space="preserve"> </w:t>
      </w:r>
      <w:r>
        <w:rPr>
          <w:color w:val="333333"/>
          <w:w w:val="110"/>
        </w:rPr>
        <w:t>Maven</w:t>
      </w:r>
      <w:bookmarkEnd w:id="1005"/>
    </w:p>
    <w:p w14:paraId="01E26DAA" w14:textId="77777777" w:rsidR="00A720EB" w:rsidRDefault="0030286B">
      <w:pPr>
        <w:pStyle w:val="a3"/>
        <w:spacing w:before="254" w:line="297" w:lineRule="auto"/>
        <w:ind w:left="124" w:right="137"/>
        <w:jc w:val="both"/>
      </w:pPr>
      <w:r>
        <w:rPr>
          <w:color w:val="333333"/>
          <w:spacing w:val="-4"/>
          <w:w w:val="110"/>
        </w:rPr>
        <w:t xml:space="preserve">To </w:t>
      </w:r>
      <w:r>
        <w:rPr>
          <w:color w:val="333333"/>
          <w:w w:val="110"/>
        </w:rPr>
        <w:t xml:space="preserve">attach a remote debugger to a Spring Boot application that was started with Maven, you can use the </w:t>
      </w:r>
      <w:r>
        <w:rPr>
          <w:rFonts w:ascii="MS Gothic"/>
          <w:color w:val="B02045"/>
          <w:w w:val="110"/>
        </w:rPr>
        <w:t>jvmArguments</w:t>
      </w:r>
      <w:r>
        <w:rPr>
          <w:rFonts w:ascii="MS Gothic"/>
          <w:color w:val="B02045"/>
          <w:spacing w:val="-52"/>
          <w:w w:val="110"/>
        </w:rPr>
        <w:t xml:space="preserve"> </w:t>
      </w:r>
      <w:r>
        <w:rPr>
          <w:color w:val="333333"/>
          <w:w w:val="110"/>
        </w:rPr>
        <w:t xml:space="preserve">property of the </w:t>
      </w:r>
      <w:hyperlink r:id="rId663">
        <w:r>
          <w:rPr>
            <w:color w:val="418BCA"/>
            <w:w w:val="110"/>
          </w:rPr>
          <w:t>maven plugin</w:t>
        </w:r>
      </w:hyperlink>
      <w:r>
        <w:rPr>
          <w:color w:val="333333"/>
          <w:w w:val="110"/>
        </w:rPr>
        <w:t>.</w:t>
      </w:r>
    </w:p>
    <w:p w14:paraId="6695C748" w14:textId="77777777" w:rsidR="00A720EB" w:rsidRDefault="0030286B">
      <w:pPr>
        <w:pStyle w:val="a3"/>
        <w:spacing w:before="232"/>
        <w:ind w:left="124"/>
        <w:jc w:val="both"/>
      </w:pPr>
      <w:r>
        <w:rPr>
          <w:color w:val="333333"/>
          <w:w w:val="110"/>
        </w:rPr>
        <w:t xml:space="preserve">See </w:t>
      </w:r>
      <w:hyperlink r:id="rId664" w:anchor="run-example-debug">
        <w:r>
          <w:rPr>
            <w:color w:val="418BCA"/>
            <w:w w:val="110"/>
          </w:rPr>
          <w:t xml:space="preserve">this example </w:t>
        </w:r>
      </w:hyperlink>
      <w:r>
        <w:rPr>
          <w:color w:val="333333"/>
          <w:w w:val="110"/>
        </w:rPr>
        <w:t>for more details.</w:t>
      </w:r>
    </w:p>
    <w:p w14:paraId="1B0AFBAA" w14:textId="77777777" w:rsidR="00A720EB" w:rsidRDefault="00A720EB">
      <w:pPr>
        <w:pStyle w:val="a3"/>
        <w:spacing w:before="7"/>
        <w:rPr>
          <w:sz w:val="31"/>
        </w:rPr>
      </w:pPr>
    </w:p>
    <w:p w14:paraId="0F655F75" w14:textId="77777777" w:rsidR="00A720EB" w:rsidRDefault="0030286B">
      <w:pPr>
        <w:pStyle w:val="3"/>
        <w:numPr>
          <w:ilvl w:val="2"/>
          <w:numId w:val="13"/>
        </w:numPr>
        <w:tabs>
          <w:tab w:val="left" w:pos="1003"/>
        </w:tabs>
        <w:spacing w:line="242" w:lineRule="auto"/>
        <w:ind w:left="124" w:right="676" w:firstLine="0"/>
      </w:pPr>
      <w:bookmarkStart w:id="1006" w:name="9.16.9._Build_an_Executable_Archive_from"/>
      <w:bookmarkStart w:id="1007" w:name="_Toc54424021"/>
      <w:bookmarkEnd w:id="1006"/>
      <w:r>
        <w:rPr>
          <w:color w:val="333333"/>
          <w:w w:val="110"/>
        </w:rPr>
        <w:t>Build</w:t>
      </w:r>
      <w:r>
        <w:rPr>
          <w:color w:val="333333"/>
          <w:spacing w:val="-14"/>
          <w:w w:val="110"/>
        </w:rPr>
        <w:t xml:space="preserve"> </w:t>
      </w:r>
      <w:r>
        <w:rPr>
          <w:color w:val="333333"/>
          <w:w w:val="110"/>
        </w:rPr>
        <w:t>an</w:t>
      </w:r>
      <w:r>
        <w:rPr>
          <w:color w:val="333333"/>
          <w:spacing w:val="-13"/>
          <w:w w:val="110"/>
        </w:rPr>
        <w:t xml:space="preserve"> </w:t>
      </w:r>
      <w:r>
        <w:rPr>
          <w:color w:val="333333"/>
          <w:w w:val="110"/>
        </w:rPr>
        <w:t>Executable</w:t>
      </w:r>
      <w:r>
        <w:rPr>
          <w:color w:val="333333"/>
          <w:spacing w:val="-14"/>
          <w:w w:val="110"/>
        </w:rPr>
        <w:t xml:space="preserve"> </w:t>
      </w:r>
      <w:r>
        <w:rPr>
          <w:color w:val="333333"/>
          <w:w w:val="110"/>
        </w:rPr>
        <w:t>Archive</w:t>
      </w:r>
      <w:r>
        <w:rPr>
          <w:color w:val="333333"/>
          <w:spacing w:val="-14"/>
          <w:w w:val="110"/>
        </w:rPr>
        <w:t xml:space="preserve"> </w:t>
      </w:r>
      <w:r>
        <w:rPr>
          <w:color w:val="333333"/>
          <w:w w:val="110"/>
        </w:rPr>
        <w:t>from</w:t>
      </w:r>
      <w:r>
        <w:rPr>
          <w:color w:val="333333"/>
          <w:spacing w:val="-13"/>
          <w:w w:val="110"/>
        </w:rPr>
        <w:t xml:space="preserve"> </w:t>
      </w:r>
      <w:r>
        <w:rPr>
          <w:color w:val="333333"/>
          <w:w w:val="110"/>
        </w:rPr>
        <w:t>Ant</w:t>
      </w:r>
      <w:r>
        <w:rPr>
          <w:color w:val="333333"/>
          <w:spacing w:val="-14"/>
          <w:w w:val="110"/>
        </w:rPr>
        <w:t xml:space="preserve"> </w:t>
      </w:r>
      <w:r>
        <w:rPr>
          <w:color w:val="333333"/>
          <w:w w:val="110"/>
        </w:rPr>
        <w:t>without</w:t>
      </w:r>
      <w:r>
        <w:rPr>
          <w:color w:val="333333"/>
          <w:spacing w:val="-14"/>
          <w:w w:val="110"/>
        </w:rPr>
        <w:t xml:space="preserve"> </w:t>
      </w:r>
      <w:r>
        <w:rPr>
          <w:color w:val="333333"/>
          <w:w w:val="110"/>
        </w:rPr>
        <w:t>Using</w:t>
      </w:r>
      <w:r>
        <w:rPr>
          <w:color w:val="333333"/>
          <w:spacing w:val="-13"/>
          <w:w w:val="110"/>
        </w:rPr>
        <w:t xml:space="preserve"> </w:t>
      </w:r>
      <w:r>
        <w:rPr>
          <w:color w:val="333333"/>
          <w:w w:val="110"/>
        </w:rPr>
        <w:t>spring-boot- antlib</w:t>
      </w:r>
      <w:bookmarkEnd w:id="1007"/>
    </w:p>
    <w:p w14:paraId="3F0BD5E8" w14:textId="77777777" w:rsidR="00A720EB" w:rsidRDefault="0030286B">
      <w:pPr>
        <w:pStyle w:val="a3"/>
        <w:spacing w:before="250" w:line="295" w:lineRule="auto"/>
        <w:ind w:left="124" w:right="126"/>
        <w:jc w:val="both"/>
      </w:pPr>
      <w:r>
        <w:rPr>
          <w:color w:val="333333"/>
          <w:w w:val="110"/>
        </w:rPr>
        <w:t xml:space="preserve">To build with Ant, you need to grab dependencies, compile, and then create a jar or war archive. To make it executable, you can either use the </w:t>
      </w:r>
      <w:r>
        <w:rPr>
          <w:rFonts w:ascii="MS Gothic"/>
          <w:color w:val="B02045"/>
          <w:w w:val="110"/>
        </w:rPr>
        <w:t xml:space="preserve">spring-boot-antlib </w:t>
      </w:r>
      <w:r>
        <w:rPr>
          <w:color w:val="333333"/>
          <w:w w:val="110"/>
        </w:rPr>
        <w:t>module or you can follow these instructions:</w:t>
      </w:r>
    </w:p>
    <w:p w14:paraId="441A0D48" w14:textId="77777777" w:rsidR="00A720EB" w:rsidRDefault="00A720EB">
      <w:pPr>
        <w:spacing w:line="295" w:lineRule="auto"/>
        <w:jc w:val="both"/>
        <w:sectPr w:rsidR="00A720EB">
          <w:pgSz w:w="11910" w:h="16840"/>
          <w:pgMar w:top="620" w:right="840" w:bottom="520" w:left="840" w:header="0" w:footer="323" w:gutter="0"/>
          <w:cols w:space="720"/>
        </w:sectPr>
      </w:pPr>
    </w:p>
    <w:p w14:paraId="367C617E" w14:textId="77777777" w:rsidR="00A720EB" w:rsidRDefault="0030286B">
      <w:pPr>
        <w:pStyle w:val="a6"/>
        <w:numPr>
          <w:ilvl w:val="0"/>
          <w:numId w:val="10"/>
        </w:numPr>
        <w:tabs>
          <w:tab w:val="left" w:pos="485"/>
        </w:tabs>
        <w:spacing w:before="91" w:line="280" w:lineRule="auto"/>
        <w:ind w:right="122"/>
        <w:jc w:val="both"/>
        <w:rPr>
          <w:sz w:val="21"/>
        </w:rPr>
      </w:pPr>
      <w:r>
        <w:rPr>
          <w:color w:val="333333"/>
          <w:w w:val="110"/>
          <w:sz w:val="21"/>
        </w:rPr>
        <w:lastRenderedPageBreak/>
        <w:t xml:space="preserve">If you are building a jar, package the application’s classes and resources in a nested </w:t>
      </w:r>
      <w:r>
        <w:rPr>
          <w:rFonts w:ascii="MS Gothic" w:hAnsi="MS Gothic"/>
          <w:color w:val="B02045"/>
          <w:w w:val="110"/>
          <w:sz w:val="21"/>
        </w:rPr>
        <w:t xml:space="preserve">BOOT- INF/classes </w:t>
      </w:r>
      <w:r>
        <w:rPr>
          <w:color w:val="333333"/>
          <w:spacing w:val="-3"/>
          <w:w w:val="110"/>
          <w:sz w:val="21"/>
        </w:rPr>
        <w:t xml:space="preserve">directory. </w:t>
      </w:r>
      <w:r>
        <w:rPr>
          <w:color w:val="333333"/>
          <w:w w:val="110"/>
          <w:sz w:val="21"/>
        </w:rPr>
        <w:t xml:space="preserve">If you are building a war, package the application’s classes in a </w:t>
      </w:r>
      <w:proofErr w:type="gramStart"/>
      <w:r>
        <w:rPr>
          <w:color w:val="333333"/>
          <w:w w:val="110"/>
          <w:sz w:val="21"/>
        </w:rPr>
        <w:t xml:space="preserve">nested  </w:t>
      </w:r>
      <w:r>
        <w:rPr>
          <w:rFonts w:ascii="MS Gothic" w:hAnsi="MS Gothic"/>
          <w:color w:val="B02045"/>
          <w:w w:val="110"/>
          <w:sz w:val="21"/>
        </w:rPr>
        <w:t>WEB</w:t>
      </w:r>
      <w:proofErr w:type="gramEnd"/>
      <w:r>
        <w:rPr>
          <w:rFonts w:ascii="MS Gothic" w:hAnsi="MS Gothic"/>
          <w:color w:val="B02045"/>
          <w:w w:val="110"/>
          <w:sz w:val="21"/>
        </w:rPr>
        <w:t>-INF/classes</w:t>
      </w:r>
      <w:r>
        <w:rPr>
          <w:rFonts w:ascii="MS Gothic" w:hAnsi="MS Gothic"/>
          <w:color w:val="B02045"/>
          <w:spacing w:val="-61"/>
          <w:w w:val="110"/>
          <w:sz w:val="21"/>
        </w:rPr>
        <w:t xml:space="preserve"> </w:t>
      </w:r>
      <w:r>
        <w:rPr>
          <w:color w:val="333333"/>
          <w:w w:val="110"/>
          <w:sz w:val="21"/>
        </w:rPr>
        <w:t>directory as usual.</w:t>
      </w:r>
    </w:p>
    <w:p w14:paraId="5CB4EC8C" w14:textId="77777777" w:rsidR="00A720EB" w:rsidRDefault="0030286B">
      <w:pPr>
        <w:pStyle w:val="a6"/>
        <w:numPr>
          <w:ilvl w:val="0"/>
          <w:numId w:val="10"/>
        </w:numPr>
        <w:tabs>
          <w:tab w:val="left" w:pos="485"/>
        </w:tabs>
        <w:spacing w:before="123" w:line="271" w:lineRule="auto"/>
        <w:ind w:right="122"/>
        <w:jc w:val="both"/>
        <w:rPr>
          <w:sz w:val="21"/>
        </w:rPr>
      </w:pPr>
      <w:r>
        <w:rPr>
          <w:color w:val="333333"/>
          <w:w w:val="110"/>
          <w:sz w:val="21"/>
        </w:rPr>
        <w:t xml:space="preserve">Add the runtime dependencies in a nested </w:t>
      </w:r>
      <w:r>
        <w:rPr>
          <w:rFonts w:ascii="MS Gothic"/>
          <w:color w:val="B02045"/>
          <w:w w:val="110"/>
          <w:sz w:val="21"/>
        </w:rPr>
        <w:t xml:space="preserve">BOOT-INF/lib </w:t>
      </w:r>
      <w:r>
        <w:rPr>
          <w:color w:val="333333"/>
          <w:w w:val="110"/>
          <w:sz w:val="21"/>
        </w:rPr>
        <w:t xml:space="preserve">directory for a jar or </w:t>
      </w:r>
      <w:r>
        <w:rPr>
          <w:rFonts w:ascii="MS Gothic"/>
          <w:color w:val="B02045"/>
          <w:w w:val="110"/>
          <w:sz w:val="21"/>
        </w:rPr>
        <w:t xml:space="preserve">WEB-INF/lib </w:t>
      </w:r>
      <w:r>
        <w:rPr>
          <w:color w:val="333333"/>
          <w:w w:val="110"/>
          <w:sz w:val="21"/>
        </w:rPr>
        <w:t xml:space="preserve">for a war. Remember </w:t>
      </w:r>
      <w:r>
        <w:rPr>
          <w:rFonts w:ascii="Palatino Linotype"/>
          <w:b/>
          <w:color w:val="333333"/>
          <w:w w:val="110"/>
          <w:sz w:val="21"/>
        </w:rPr>
        <w:t xml:space="preserve">not </w:t>
      </w:r>
      <w:r>
        <w:rPr>
          <w:color w:val="333333"/>
          <w:w w:val="110"/>
          <w:sz w:val="21"/>
        </w:rPr>
        <w:t>to compress the entries in the</w:t>
      </w:r>
      <w:r>
        <w:rPr>
          <w:color w:val="333333"/>
          <w:spacing w:val="26"/>
          <w:w w:val="110"/>
          <w:sz w:val="21"/>
        </w:rPr>
        <w:t xml:space="preserve"> </w:t>
      </w:r>
      <w:r>
        <w:rPr>
          <w:color w:val="333333"/>
          <w:w w:val="110"/>
          <w:sz w:val="21"/>
        </w:rPr>
        <w:t>archive.</w:t>
      </w:r>
    </w:p>
    <w:p w14:paraId="23E3A588" w14:textId="77777777" w:rsidR="00A720EB" w:rsidRDefault="0030286B">
      <w:pPr>
        <w:pStyle w:val="a6"/>
        <w:numPr>
          <w:ilvl w:val="0"/>
          <w:numId w:val="10"/>
        </w:numPr>
        <w:tabs>
          <w:tab w:val="left" w:pos="485"/>
        </w:tabs>
        <w:spacing w:before="127" w:line="271" w:lineRule="auto"/>
        <w:ind w:right="124"/>
        <w:jc w:val="both"/>
        <w:rPr>
          <w:sz w:val="21"/>
        </w:rPr>
      </w:pPr>
      <w:r>
        <w:rPr>
          <w:color w:val="333333"/>
          <w:w w:val="110"/>
          <w:sz w:val="21"/>
        </w:rPr>
        <w:t xml:space="preserve">Add the </w:t>
      </w:r>
      <w:r>
        <w:rPr>
          <w:rFonts w:ascii="MS Gothic"/>
          <w:color w:val="B02045"/>
          <w:w w:val="110"/>
          <w:sz w:val="21"/>
        </w:rPr>
        <w:t xml:space="preserve">provided </w:t>
      </w:r>
      <w:r>
        <w:rPr>
          <w:color w:val="333333"/>
          <w:w w:val="110"/>
          <w:sz w:val="21"/>
        </w:rPr>
        <w:t xml:space="preserve">(embedded container) dependencies in a nested </w:t>
      </w:r>
      <w:r>
        <w:rPr>
          <w:rFonts w:ascii="MS Gothic"/>
          <w:color w:val="B02045"/>
          <w:w w:val="110"/>
          <w:sz w:val="21"/>
        </w:rPr>
        <w:t xml:space="preserve">BOOT-INF/lib </w:t>
      </w:r>
      <w:r>
        <w:rPr>
          <w:color w:val="333333"/>
          <w:w w:val="110"/>
          <w:sz w:val="21"/>
        </w:rPr>
        <w:t>directory for a jar</w:t>
      </w:r>
      <w:r>
        <w:rPr>
          <w:color w:val="333333"/>
          <w:spacing w:val="-5"/>
          <w:w w:val="110"/>
          <w:sz w:val="21"/>
        </w:rPr>
        <w:t xml:space="preserve"> </w:t>
      </w:r>
      <w:r>
        <w:rPr>
          <w:color w:val="333333"/>
          <w:w w:val="110"/>
          <w:sz w:val="21"/>
        </w:rPr>
        <w:t>or</w:t>
      </w:r>
      <w:r>
        <w:rPr>
          <w:color w:val="333333"/>
          <w:spacing w:val="-3"/>
          <w:w w:val="110"/>
          <w:sz w:val="21"/>
        </w:rPr>
        <w:t xml:space="preserve"> </w:t>
      </w:r>
      <w:r>
        <w:rPr>
          <w:rFonts w:ascii="MS Gothic"/>
          <w:color w:val="B02045"/>
          <w:w w:val="110"/>
          <w:sz w:val="21"/>
        </w:rPr>
        <w:t>WEB-INF/lib-provided</w:t>
      </w:r>
      <w:r>
        <w:rPr>
          <w:rFonts w:ascii="MS Gothic"/>
          <w:color w:val="B02045"/>
          <w:spacing w:val="-68"/>
          <w:w w:val="110"/>
          <w:sz w:val="21"/>
        </w:rPr>
        <w:t xml:space="preserve"> </w:t>
      </w:r>
      <w:r>
        <w:rPr>
          <w:color w:val="333333"/>
          <w:w w:val="110"/>
          <w:sz w:val="21"/>
        </w:rPr>
        <w:t>for</w:t>
      </w:r>
      <w:r>
        <w:rPr>
          <w:color w:val="333333"/>
          <w:spacing w:val="-3"/>
          <w:w w:val="110"/>
          <w:sz w:val="21"/>
        </w:rPr>
        <w:t xml:space="preserve"> </w:t>
      </w:r>
      <w:r>
        <w:rPr>
          <w:color w:val="333333"/>
          <w:w w:val="110"/>
          <w:sz w:val="21"/>
        </w:rPr>
        <w:t>a</w:t>
      </w:r>
      <w:r>
        <w:rPr>
          <w:color w:val="333333"/>
          <w:spacing w:val="-4"/>
          <w:w w:val="110"/>
          <w:sz w:val="21"/>
        </w:rPr>
        <w:t xml:space="preserve"> </w:t>
      </w:r>
      <w:r>
        <w:rPr>
          <w:color w:val="333333"/>
          <w:w w:val="110"/>
          <w:sz w:val="21"/>
        </w:rPr>
        <w:t>war.</w:t>
      </w:r>
      <w:r>
        <w:rPr>
          <w:color w:val="333333"/>
          <w:spacing w:val="-4"/>
          <w:w w:val="110"/>
          <w:sz w:val="21"/>
        </w:rPr>
        <w:t xml:space="preserve"> </w:t>
      </w:r>
      <w:r>
        <w:rPr>
          <w:color w:val="333333"/>
          <w:w w:val="110"/>
          <w:sz w:val="21"/>
        </w:rPr>
        <w:t>Remember</w:t>
      </w:r>
      <w:r>
        <w:rPr>
          <w:color w:val="333333"/>
          <w:spacing w:val="-1"/>
          <w:w w:val="110"/>
          <w:sz w:val="21"/>
        </w:rPr>
        <w:t xml:space="preserve"> </w:t>
      </w:r>
      <w:r>
        <w:rPr>
          <w:rFonts w:ascii="Palatino Linotype"/>
          <w:b/>
          <w:color w:val="333333"/>
          <w:w w:val="110"/>
          <w:sz w:val="21"/>
        </w:rPr>
        <w:t>not</w:t>
      </w:r>
      <w:r>
        <w:rPr>
          <w:rFonts w:ascii="Palatino Linotype"/>
          <w:b/>
          <w:color w:val="333333"/>
          <w:spacing w:val="-11"/>
          <w:w w:val="110"/>
          <w:sz w:val="21"/>
        </w:rPr>
        <w:t xml:space="preserve"> </w:t>
      </w:r>
      <w:r>
        <w:rPr>
          <w:color w:val="333333"/>
          <w:w w:val="110"/>
          <w:sz w:val="21"/>
        </w:rPr>
        <w:t>to</w:t>
      </w:r>
      <w:r>
        <w:rPr>
          <w:color w:val="333333"/>
          <w:spacing w:val="-3"/>
          <w:w w:val="110"/>
          <w:sz w:val="21"/>
        </w:rPr>
        <w:t xml:space="preserve"> </w:t>
      </w:r>
      <w:r>
        <w:rPr>
          <w:color w:val="333333"/>
          <w:w w:val="110"/>
          <w:sz w:val="21"/>
        </w:rPr>
        <w:t>compress</w:t>
      </w:r>
      <w:r>
        <w:rPr>
          <w:color w:val="333333"/>
          <w:spacing w:val="-4"/>
          <w:w w:val="110"/>
          <w:sz w:val="21"/>
        </w:rPr>
        <w:t xml:space="preserve"> </w:t>
      </w:r>
      <w:r>
        <w:rPr>
          <w:color w:val="333333"/>
          <w:w w:val="110"/>
          <w:sz w:val="21"/>
        </w:rPr>
        <w:t>the</w:t>
      </w:r>
      <w:r>
        <w:rPr>
          <w:color w:val="333333"/>
          <w:spacing w:val="-3"/>
          <w:w w:val="110"/>
          <w:sz w:val="21"/>
        </w:rPr>
        <w:t xml:space="preserve"> </w:t>
      </w:r>
      <w:r>
        <w:rPr>
          <w:color w:val="333333"/>
          <w:w w:val="110"/>
          <w:sz w:val="21"/>
        </w:rPr>
        <w:t>entries</w:t>
      </w:r>
      <w:r>
        <w:rPr>
          <w:color w:val="333333"/>
          <w:spacing w:val="-3"/>
          <w:w w:val="110"/>
          <w:sz w:val="21"/>
        </w:rPr>
        <w:t xml:space="preserve"> </w:t>
      </w:r>
      <w:r>
        <w:rPr>
          <w:color w:val="333333"/>
          <w:w w:val="110"/>
          <w:sz w:val="21"/>
        </w:rPr>
        <w:t>in</w:t>
      </w:r>
      <w:r>
        <w:rPr>
          <w:color w:val="333333"/>
          <w:spacing w:val="-4"/>
          <w:w w:val="110"/>
          <w:sz w:val="21"/>
        </w:rPr>
        <w:t xml:space="preserve"> </w:t>
      </w:r>
      <w:r>
        <w:rPr>
          <w:color w:val="333333"/>
          <w:w w:val="110"/>
          <w:sz w:val="21"/>
        </w:rPr>
        <w:t>the</w:t>
      </w:r>
      <w:r>
        <w:rPr>
          <w:color w:val="333333"/>
          <w:spacing w:val="-3"/>
          <w:w w:val="110"/>
          <w:sz w:val="21"/>
        </w:rPr>
        <w:t xml:space="preserve"> </w:t>
      </w:r>
      <w:r>
        <w:rPr>
          <w:color w:val="333333"/>
          <w:w w:val="110"/>
          <w:sz w:val="21"/>
        </w:rPr>
        <w:t>archive.</w:t>
      </w:r>
    </w:p>
    <w:p w14:paraId="6F5210BE" w14:textId="77777777" w:rsidR="00A720EB" w:rsidRDefault="0030286B">
      <w:pPr>
        <w:pStyle w:val="a6"/>
        <w:numPr>
          <w:ilvl w:val="0"/>
          <w:numId w:val="10"/>
        </w:numPr>
        <w:tabs>
          <w:tab w:val="left" w:pos="485"/>
        </w:tabs>
        <w:spacing w:before="127"/>
        <w:jc w:val="both"/>
        <w:rPr>
          <w:sz w:val="21"/>
        </w:rPr>
      </w:pPr>
      <w:r>
        <w:rPr>
          <w:color w:val="333333"/>
          <w:w w:val="110"/>
          <w:sz w:val="21"/>
        </w:rPr>
        <w:t>Add</w:t>
      </w:r>
      <w:r>
        <w:rPr>
          <w:color w:val="333333"/>
          <w:spacing w:val="-14"/>
          <w:w w:val="110"/>
          <w:sz w:val="21"/>
        </w:rPr>
        <w:t xml:space="preserve"> </w:t>
      </w:r>
      <w:r>
        <w:rPr>
          <w:color w:val="333333"/>
          <w:w w:val="110"/>
          <w:sz w:val="21"/>
        </w:rPr>
        <w:t>the</w:t>
      </w:r>
      <w:r>
        <w:rPr>
          <w:color w:val="333333"/>
          <w:spacing w:val="-13"/>
          <w:w w:val="110"/>
          <w:sz w:val="21"/>
        </w:rPr>
        <w:t xml:space="preserve"> </w:t>
      </w:r>
      <w:r>
        <w:rPr>
          <w:rFonts w:ascii="MS Gothic"/>
          <w:color w:val="B02045"/>
          <w:w w:val="110"/>
          <w:sz w:val="21"/>
        </w:rPr>
        <w:t>spring-boot-loader</w:t>
      </w:r>
      <w:r>
        <w:rPr>
          <w:rFonts w:ascii="MS Gothic"/>
          <w:color w:val="B02045"/>
          <w:spacing w:val="-77"/>
          <w:w w:val="110"/>
          <w:sz w:val="21"/>
        </w:rPr>
        <w:t xml:space="preserve"> </w:t>
      </w:r>
      <w:r>
        <w:rPr>
          <w:color w:val="333333"/>
          <w:w w:val="110"/>
          <w:sz w:val="21"/>
        </w:rPr>
        <w:t>classes</w:t>
      </w:r>
      <w:r>
        <w:rPr>
          <w:color w:val="333333"/>
          <w:spacing w:val="-13"/>
          <w:w w:val="110"/>
          <w:sz w:val="21"/>
        </w:rPr>
        <w:t xml:space="preserve"> </w:t>
      </w:r>
      <w:r>
        <w:rPr>
          <w:color w:val="333333"/>
          <w:w w:val="110"/>
          <w:sz w:val="21"/>
        </w:rPr>
        <w:t>at</w:t>
      </w:r>
      <w:r>
        <w:rPr>
          <w:color w:val="333333"/>
          <w:spacing w:val="-13"/>
          <w:w w:val="110"/>
          <w:sz w:val="21"/>
        </w:rPr>
        <w:t xml:space="preserve"> </w:t>
      </w:r>
      <w:r>
        <w:rPr>
          <w:color w:val="333333"/>
          <w:w w:val="110"/>
          <w:sz w:val="21"/>
        </w:rPr>
        <w:t>the</w:t>
      </w:r>
      <w:r>
        <w:rPr>
          <w:color w:val="333333"/>
          <w:spacing w:val="-13"/>
          <w:w w:val="110"/>
          <w:sz w:val="21"/>
        </w:rPr>
        <w:t xml:space="preserve"> </w:t>
      </w:r>
      <w:r>
        <w:rPr>
          <w:color w:val="333333"/>
          <w:w w:val="110"/>
          <w:sz w:val="21"/>
        </w:rPr>
        <w:t>root</w:t>
      </w:r>
      <w:r>
        <w:rPr>
          <w:color w:val="333333"/>
          <w:spacing w:val="-13"/>
          <w:w w:val="110"/>
          <w:sz w:val="21"/>
        </w:rPr>
        <w:t xml:space="preserve"> </w:t>
      </w:r>
      <w:r>
        <w:rPr>
          <w:color w:val="333333"/>
          <w:w w:val="110"/>
          <w:sz w:val="21"/>
        </w:rPr>
        <w:t>of</w:t>
      </w:r>
      <w:r>
        <w:rPr>
          <w:color w:val="333333"/>
          <w:spacing w:val="-12"/>
          <w:w w:val="110"/>
          <w:sz w:val="21"/>
        </w:rPr>
        <w:t xml:space="preserve"> </w:t>
      </w:r>
      <w:r>
        <w:rPr>
          <w:color w:val="333333"/>
          <w:w w:val="110"/>
          <w:sz w:val="21"/>
        </w:rPr>
        <w:t>the</w:t>
      </w:r>
      <w:r>
        <w:rPr>
          <w:color w:val="333333"/>
          <w:spacing w:val="-13"/>
          <w:w w:val="110"/>
          <w:sz w:val="21"/>
        </w:rPr>
        <w:t xml:space="preserve"> </w:t>
      </w:r>
      <w:r>
        <w:rPr>
          <w:color w:val="333333"/>
          <w:w w:val="110"/>
          <w:sz w:val="21"/>
        </w:rPr>
        <w:t>archive</w:t>
      </w:r>
      <w:r>
        <w:rPr>
          <w:color w:val="333333"/>
          <w:spacing w:val="-13"/>
          <w:w w:val="110"/>
          <w:sz w:val="21"/>
        </w:rPr>
        <w:t xml:space="preserve"> </w:t>
      </w:r>
      <w:r>
        <w:rPr>
          <w:color w:val="333333"/>
          <w:w w:val="110"/>
          <w:sz w:val="21"/>
        </w:rPr>
        <w:t>(so</w:t>
      </w:r>
      <w:r>
        <w:rPr>
          <w:color w:val="333333"/>
          <w:spacing w:val="-13"/>
          <w:w w:val="110"/>
          <w:sz w:val="21"/>
        </w:rPr>
        <w:t xml:space="preserve"> </w:t>
      </w:r>
      <w:r>
        <w:rPr>
          <w:color w:val="333333"/>
          <w:w w:val="110"/>
          <w:sz w:val="21"/>
        </w:rPr>
        <w:t>that</w:t>
      </w:r>
      <w:r>
        <w:rPr>
          <w:color w:val="333333"/>
          <w:spacing w:val="-13"/>
          <w:w w:val="110"/>
          <w:sz w:val="21"/>
        </w:rPr>
        <w:t xml:space="preserve"> </w:t>
      </w:r>
      <w:r>
        <w:rPr>
          <w:color w:val="333333"/>
          <w:w w:val="110"/>
          <w:sz w:val="21"/>
        </w:rPr>
        <w:t>the</w:t>
      </w:r>
      <w:r>
        <w:rPr>
          <w:color w:val="333333"/>
          <w:spacing w:val="-11"/>
          <w:w w:val="110"/>
          <w:sz w:val="21"/>
        </w:rPr>
        <w:t xml:space="preserve"> </w:t>
      </w:r>
      <w:r>
        <w:rPr>
          <w:rFonts w:ascii="MS Gothic"/>
          <w:color w:val="B02045"/>
          <w:w w:val="110"/>
          <w:sz w:val="21"/>
        </w:rPr>
        <w:t>Main-Class</w:t>
      </w:r>
      <w:r>
        <w:rPr>
          <w:rFonts w:ascii="MS Gothic"/>
          <w:color w:val="B02045"/>
          <w:spacing w:val="-78"/>
          <w:w w:val="110"/>
          <w:sz w:val="21"/>
        </w:rPr>
        <w:t xml:space="preserve"> </w:t>
      </w:r>
      <w:r>
        <w:rPr>
          <w:color w:val="333333"/>
          <w:w w:val="110"/>
          <w:sz w:val="21"/>
        </w:rPr>
        <w:t>is</w:t>
      </w:r>
      <w:r>
        <w:rPr>
          <w:color w:val="333333"/>
          <w:spacing w:val="-13"/>
          <w:w w:val="110"/>
          <w:sz w:val="21"/>
        </w:rPr>
        <w:t xml:space="preserve"> </w:t>
      </w:r>
      <w:r>
        <w:rPr>
          <w:color w:val="333333"/>
          <w:w w:val="110"/>
          <w:sz w:val="21"/>
        </w:rPr>
        <w:t>available).</w:t>
      </w:r>
    </w:p>
    <w:p w14:paraId="3A594E06" w14:textId="77777777" w:rsidR="00A720EB" w:rsidRDefault="0030286B">
      <w:pPr>
        <w:pStyle w:val="a6"/>
        <w:numPr>
          <w:ilvl w:val="0"/>
          <w:numId w:val="10"/>
        </w:numPr>
        <w:tabs>
          <w:tab w:val="left" w:pos="485"/>
        </w:tabs>
        <w:spacing w:before="166" w:line="295" w:lineRule="auto"/>
        <w:ind w:right="126"/>
        <w:jc w:val="both"/>
        <w:rPr>
          <w:sz w:val="21"/>
        </w:rPr>
      </w:pPr>
      <w:r>
        <w:rPr>
          <w:color w:val="333333"/>
          <w:w w:val="110"/>
          <w:sz w:val="21"/>
        </w:rPr>
        <w:t xml:space="preserve">Use the appropriate launcher (such as </w:t>
      </w:r>
      <w:r>
        <w:rPr>
          <w:rFonts w:ascii="MS Gothic" w:hAnsi="MS Gothic"/>
          <w:color w:val="B02045"/>
          <w:w w:val="110"/>
          <w:sz w:val="21"/>
        </w:rPr>
        <w:t xml:space="preserve">JarLauncher </w:t>
      </w:r>
      <w:r>
        <w:rPr>
          <w:color w:val="333333"/>
          <w:w w:val="110"/>
          <w:sz w:val="21"/>
        </w:rPr>
        <w:t xml:space="preserve">for a jar file) as a </w:t>
      </w:r>
      <w:r>
        <w:rPr>
          <w:rFonts w:ascii="MS Gothic" w:hAnsi="MS Gothic"/>
          <w:color w:val="B02045"/>
          <w:w w:val="110"/>
          <w:sz w:val="21"/>
        </w:rPr>
        <w:t>Main-Class</w:t>
      </w:r>
      <w:r>
        <w:rPr>
          <w:rFonts w:ascii="MS Gothic" w:hAnsi="MS Gothic"/>
          <w:color w:val="B02045"/>
          <w:spacing w:val="-55"/>
          <w:w w:val="110"/>
          <w:sz w:val="21"/>
        </w:rPr>
        <w:t xml:space="preserve"> </w:t>
      </w:r>
      <w:r>
        <w:rPr>
          <w:color w:val="333333"/>
          <w:w w:val="110"/>
          <w:sz w:val="21"/>
        </w:rPr>
        <w:t xml:space="preserve">attribute in the manifest and specify the other properties it needs as manifest entries — </w:t>
      </w:r>
      <w:r>
        <w:rPr>
          <w:color w:val="333333"/>
          <w:spacing w:val="-3"/>
          <w:w w:val="110"/>
          <w:sz w:val="21"/>
        </w:rPr>
        <w:t xml:space="preserve">principally, by </w:t>
      </w:r>
      <w:r>
        <w:rPr>
          <w:color w:val="333333"/>
          <w:w w:val="110"/>
          <w:sz w:val="21"/>
        </w:rPr>
        <w:t xml:space="preserve">setting a </w:t>
      </w:r>
      <w:r>
        <w:rPr>
          <w:rFonts w:ascii="MS Gothic" w:hAnsi="MS Gothic"/>
          <w:color w:val="B02045"/>
          <w:w w:val="110"/>
          <w:sz w:val="21"/>
        </w:rPr>
        <w:t>Start-Class</w:t>
      </w:r>
      <w:r>
        <w:rPr>
          <w:rFonts w:ascii="MS Gothic" w:hAnsi="MS Gothic"/>
          <w:color w:val="B02045"/>
          <w:spacing w:val="-63"/>
          <w:w w:val="110"/>
          <w:sz w:val="21"/>
        </w:rPr>
        <w:t xml:space="preserve"> </w:t>
      </w:r>
      <w:r>
        <w:rPr>
          <w:color w:val="333333"/>
          <w:spacing w:val="-3"/>
          <w:w w:val="110"/>
          <w:sz w:val="21"/>
        </w:rPr>
        <w:t>property.</w:t>
      </w:r>
    </w:p>
    <w:p w14:paraId="0F12FF8B" w14:textId="77777777" w:rsidR="00A720EB" w:rsidRDefault="0030286B">
      <w:pPr>
        <w:pStyle w:val="a3"/>
        <w:spacing w:before="233"/>
        <w:ind w:left="124"/>
      </w:pPr>
      <w:r>
        <w:rPr>
          <w:color w:val="333333"/>
          <w:w w:val="110"/>
        </w:rPr>
        <w:t>The following example shows how to build an executable archive with Ant:</w:t>
      </w:r>
    </w:p>
    <w:p w14:paraId="66E23649" w14:textId="77777777" w:rsidR="00A720EB" w:rsidRDefault="00A720EB">
      <w:pPr>
        <w:pStyle w:val="a3"/>
        <w:rPr>
          <w:sz w:val="20"/>
        </w:rPr>
      </w:pPr>
    </w:p>
    <w:p w14:paraId="0F49709B" w14:textId="77777777" w:rsidR="00A720EB" w:rsidRDefault="00A720EB">
      <w:pPr>
        <w:pStyle w:val="a3"/>
        <w:spacing w:before="2"/>
        <w:rPr>
          <w:sz w:val="23"/>
        </w:rPr>
      </w:pPr>
    </w:p>
    <w:p w14:paraId="0F7194DF" w14:textId="77777777" w:rsidR="00A720EB" w:rsidRDefault="00E10349">
      <w:pPr>
        <w:ind w:left="344"/>
        <w:rPr>
          <w:rFonts w:ascii="MS Gothic"/>
        </w:rPr>
      </w:pPr>
      <w:r>
        <w:pict w14:anchorId="51A86AF2">
          <v:group id="_x0000_s1242" style="position:absolute;left:0;text-align:left;margin-left:47.85pt;margin-top:-12.2pt;width:499.55pt;height:376.55pt;z-index:-41114624;mso-position-horizontal-relative:page" coordorigin="957,-244" coordsize="9991,7531">
            <v:shape id="_x0000_s1244" style="position:absolute;left:964;top:-237;width:9976;height:7516" coordorigin="965,-236" coordsize="9976,7516" path="m10861,-236r-9816,l1014,-230r-26,17l971,-188r-6,32l965,7199r6,31l988,7255r26,17l1045,7279r9816,l10892,7272r25,-17l10935,7230r6,-31l10941,-156r-6,-32l10917,-213r-25,-17l10861,-236xe" fillcolor="#f5f5f5" stroked="f">
              <v:path arrowok="t"/>
            </v:shape>
            <v:shape id="_x0000_s1243" style="position:absolute;left:964;top:-237;width:9976;height:7516" coordorigin="965,-236" coordsize="9976,7516" path="m1045,-236r9816,l10892,-230r25,17l10935,-188r6,32l10941,7199r-6,31l10917,7255r-25,17l10861,7279r-9816,l1014,7272r-26,-17l971,7230r-6,-31l965,-156r6,-32l988,-213r26,-17l1045,-236xe" filled="f" strokecolor="#ccc">
              <v:path arrowok="t"/>
            </v:shape>
            <w10:wrap anchorx="page"/>
          </v:group>
        </w:pict>
      </w:r>
      <w:r w:rsidR="0030286B">
        <w:rPr>
          <w:rFonts w:ascii="MS Gothic"/>
          <w:color w:val="333333"/>
        </w:rPr>
        <w:t>&lt;target name="build" depends="compile"&gt;</w:t>
      </w:r>
    </w:p>
    <w:p w14:paraId="1368E916" w14:textId="77777777" w:rsidR="00A720EB" w:rsidRDefault="0030286B">
      <w:pPr>
        <w:spacing w:before="13" w:line="252" w:lineRule="auto"/>
        <w:ind w:left="344" w:right="1836" w:firstLine="440"/>
        <w:rPr>
          <w:rFonts w:ascii="MS Gothic"/>
        </w:rPr>
      </w:pPr>
      <w:r>
        <w:rPr>
          <w:rFonts w:ascii="MS Gothic"/>
          <w:color w:val="333333"/>
        </w:rPr>
        <w:t>&lt;jar destfile="target/${ant.project.name}-${spring-</w:t>
      </w:r>
      <w:proofErr w:type="gramStart"/>
      <w:r>
        <w:rPr>
          <w:rFonts w:ascii="MS Gothic"/>
          <w:color w:val="333333"/>
        </w:rPr>
        <w:t>boot.version</w:t>
      </w:r>
      <w:proofErr w:type="gramEnd"/>
      <w:r>
        <w:rPr>
          <w:rFonts w:ascii="MS Gothic"/>
          <w:color w:val="333333"/>
        </w:rPr>
        <w:t>}.jar" compress="false"&gt;</w:t>
      </w:r>
    </w:p>
    <w:p w14:paraId="3AC29BB4" w14:textId="77777777" w:rsidR="00A720EB" w:rsidRDefault="0030286B">
      <w:pPr>
        <w:spacing w:line="280" w:lineRule="exact"/>
        <w:ind w:left="1224"/>
        <w:rPr>
          <w:rFonts w:ascii="MS Gothic"/>
        </w:rPr>
      </w:pPr>
      <w:r>
        <w:rPr>
          <w:rFonts w:ascii="MS Gothic"/>
          <w:color w:val="333333"/>
        </w:rPr>
        <w:t>&lt;mappedresources&gt;</w:t>
      </w:r>
    </w:p>
    <w:p w14:paraId="56DC1065" w14:textId="77777777" w:rsidR="00A720EB" w:rsidRDefault="0030286B">
      <w:pPr>
        <w:spacing w:before="13"/>
        <w:ind w:left="1664"/>
        <w:rPr>
          <w:rFonts w:ascii="MS Gothic"/>
        </w:rPr>
      </w:pPr>
      <w:r>
        <w:rPr>
          <w:rFonts w:ascii="MS Gothic"/>
          <w:color w:val="333333"/>
        </w:rPr>
        <w:t>&lt;fileset dir="target/classes" /&gt;</w:t>
      </w:r>
    </w:p>
    <w:p w14:paraId="536DE1E2" w14:textId="77777777" w:rsidR="00A720EB" w:rsidRDefault="0030286B">
      <w:pPr>
        <w:spacing w:before="13"/>
        <w:ind w:left="1664"/>
        <w:rPr>
          <w:rFonts w:ascii="MS Gothic"/>
        </w:rPr>
      </w:pPr>
      <w:r>
        <w:rPr>
          <w:rFonts w:ascii="MS Gothic"/>
          <w:color w:val="333333"/>
        </w:rPr>
        <w:t>&lt;globmapper from="*" to="BOOT-INF/classes/*"/&gt;</w:t>
      </w:r>
    </w:p>
    <w:p w14:paraId="397F8A39" w14:textId="77777777" w:rsidR="00A720EB" w:rsidRDefault="0030286B">
      <w:pPr>
        <w:spacing w:before="12"/>
        <w:ind w:left="1224"/>
        <w:rPr>
          <w:rFonts w:ascii="MS Gothic"/>
        </w:rPr>
      </w:pPr>
      <w:r>
        <w:rPr>
          <w:rFonts w:ascii="MS Gothic"/>
          <w:color w:val="333333"/>
        </w:rPr>
        <w:t>&lt;/mappedresources&gt;</w:t>
      </w:r>
    </w:p>
    <w:p w14:paraId="6CE66E7E" w14:textId="77777777" w:rsidR="00A720EB" w:rsidRDefault="0030286B">
      <w:pPr>
        <w:spacing w:before="13"/>
        <w:ind w:left="1224"/>
        <w:rPr>
          <w:rFonts w:ascii="MS Gothic"/>
        </w:rPr>
      </w:pPr>
      <w:r>
        <w:rPr>
          <w:rFonts w:ascii="MS Gothic"/>
          <w:color w:val="333333"/>
        </w:rPr>
        <w:t>&lt;mappedresources&gt;</w:t>
      </w:r>
    </w:p>
    <w:p w14:paraId="5F29C40B" w14:textId="77777777" w:rsidR="00A720EB" w:rsidRDefault="0030286B">
      <w:pPr>
        <w:spacing w:before="13"/>
        <w:ind w:left="1664"/>
        <w:rPr>
          <w:rFonts w:ascii="MS Gothic"/>
        </w:rPr>
      </w:pPr>
      <w:r>
        <w:rPr>
          <w:rFonts w:ascii="MS Gothic"/>
          <w:color w:val="333333"/>
        </w:rPr>
        <w:t>&lt;fileset dir="src/main/resources" erroronmissingdir="false"/&gt;</w:t>
      </w:r>
    </w:p>
    <w:p w14:paraId="6052C5F7" w14:textId="77777777" w:rsidR="00A720EB" w:rsidRDefault="0030286B">
      <w:pPr>
        <w:spacing w:before="13"/>
        <w:ind w:left="1664"/>
        <w:rPr>
          <w:rFonts w:ascii="MS Gothic"/>
        </w:rPr>
      </w:pPr>
      <w:r>
        <w:rPr>
          <w:rFonts w:ascii="MS Gothic"/>
          <w:color w:val="333333"/>
        </w:rPr>
        <w:t>&lt;globmapper from="*" to="BOOT-INF/classes/*"/&gt;</w:t>
      </w:r>
    </w:p>
    <w:p w14:paraId="62818B1E" w14:textId="77777777" w:rsidR="00A720EB" w:rsidRDefault="0030286B">
      <w:pPr>
        <w:spacing w:before="13"/>
        <w:ind w:left="1224"/>
        <w:rPr>
          <w:rFonts w:ascii="MS Gothic"/>
        </w:rPr>
      </w:pPr>
      <w:r>
        <w:rPr>
          <w:rFonts w:ascii="MS Gothic"/>
          <w:color w:val="333333"/>
        </w:rPr>
        <w:t>&lt;/mappedresources&gt;</w:t>
      </w:r>
    </w:p>
    <w:p w14:paraId="1EC2D771" w14:textId="77777777" w:rsidR="00A720EB" w:rsidRDefault="0030286B">
      <w:pPr>
        <w:spacing w:before="13"/>
        <w:ind w:left="1224"/>
        <w:rPr>
          <w:rFonts w:ascii="MS Gothic"/>
        </w:rPr>
      </w:pPr>
      <w:r>
        <w:rPr>
          <w:rFonts w:ascii="MS Gothic"/>
          <w:color w:val="333333"/>
        </w:rPr>
        <w:t>&lt;mappedresources&gt;</w:t>
      </w:r>
    </w:p>
    <w:p w14:paraId="33CFBFDA" w14:textId="77777777" w:rsidR="00A720EB" w:rsidRDefault="0030286B">
      <w:pPr>
        <w:spacing w:before="13"/>
        <w:ind w:left="1664"/>
        <w:rPr>
          <w:rFonts w:ascii="MS Gothic"/>
        </w:rPr>
      </w:pPr>
      <w:r>
        <w:rPr>
          <w:rFonts w:ascii="MS Gothic"/>
          <w:color w:val="333333"/>
        </w:rPr>
        <w:t>&lt;fileset dir="${lib.dir}/runtime" /&gt;</w:t>
      </w:r>
    </w:p>
    <w:p w14:paraId="43FFD1B5" w14:textId="77777777" w:rsidR="00A720EB" w:rsidRDefault="0030286B">
      <w:pPr>
        <w:spacing w:before="13"/>
        <w:ind w:left="1664"/>
        <w:rPr>
          <w:rFonts w:ascii="MS Gothic"/>
        </w:rPr>
      </w:pPr>
      <w:r>
        <w:rPr>
          <w:rFonts w:ascii="MS Gothic"/>
          <w:color w:val="333333"/>
        </w:rPr>
        <w:t>&lt;globmapper from="*" to="BOOT-INF/lib/*"/&gt;</w:t>
      </w:r>
    </w:p>
    <w:p w14:paraId="481CD97B" w14:textId="77777777" w:rsidR="00A720EB" w:rsidRDefault="0030286B">
      <w:pPr>
        <w:spacing w:before="13"/>
        <w:ind w:left="1224"/>
        <w:rPr>
          <w:rFonts w:ascii="MS Gothic"/>
        </w:rPr>
      </w:pPr>
      <w:r>
        <w:rPr>
          <w:rFonts w:ascii="MS Gothic"/>
          <w:color w:val="333333"/>
        </w:rPr>
        <w:t>&lt;/mappedresources&gt;</w:t>
      </w:r>
    </w:p>
    <w:p w14:paraId="15D01D87" w14:textId="77777777" w:rsidR="00A720EB" w:rsidRDefault="0030286B">
      <w:pPr>
        <w:spacing w:before="13" w:line="252" w:lineRule="auto"/>
        <w:ind w:left="344" w:right="1616" w:firstLine="880"/>
        <w:rPr>
          <w:rFonts w:ascii="MS Gothic"/>
        </w:rPr>
      </w:pPr>
      <w:r>
        <w:rPr>
          <w:rFonts w:ascii="MS Gothic"/>
          <w:color w:val="333333"/>
        </w:rPr>
        <w:t xml:space="preserve">&lt;zipfileset src="${lib.dir}/loader/spring-boot-loader-jar-${spring- </w:t>
      </w:r>
      <w:proofErr w:type="gramStart"/>
      <w:r>
        <w:rPr>
          <w:rFonts w:ascii="MS Gothic"/>
          <w:color w:val="333333"/>
        </w:rPr>
        <w:t>boot.version</w:t>
      </w:r>
      <w:proofErr w:type="gramEnd"/>
      <w:r>
        <w:rPr>
          <w:rFonts w:ascii="MS Gothic"/>
          <w:color w:val="333333"/>
        </w:rPr>
        <w:t>}.jar" /&gt;</w:t>
      </w:r>
    </w:p>
    <w:p w14:paraId="6C096F59" w14:textId="77777777" w:rsidR="00A720EB" w:rsidRDefault="0030286B">
      <w:pPr>
        <w:spacing w:line="280" w:lineRule="exact"/>
        <w:ind w:left="1224"/>
        <w:rPr>
          <w:rFonts w:ascii="MS Gothic"/>
        </w:rPr>
      </w:pPr>
      <w:r>
        <w:rPr>
          <w:rFonts w:ascii="MS Gothic"/>
          <w:color w:val="333333"/>
        </w:rPr>
        <w:t>&lt;manifest&gt;</w:t>
      </w:r>
    </w:p>
    <w:p w14:paraId="4101A916" w14:textId="77777777" w:rsidR="00A720EB" w:rsidRDefault="0030286B">
      <w:pPr>
        <w:spacing w:before="13" w:line="252" w:lineRule="auto"/>
        <w:ind w:left="344" w:right="3926" w:firstLine="1320"/>
        <w:rPr>
          <w:rFonts w:ascii="MS Gothic"/>
        </w:rPr>
      </w:pPr>
      <w:r>
        <w:rPr>
          <w:rFonts w:ascii="MS Gothic"/>
          <w:color w:val="333333"/>
        </w:rPr>
        <w:t>&lt;attribute name="Main-Class" value="</w:t>
      </w:r>
      <w:proofErr w:type="gramStart"/>
      <w:r>
        <w:rPr>
          <w:rFonts w:ascii="MS Gothic"/>
          <w:color w:val="333333"/>
        </w:rPr>
        <w:t>org.springframework</w:t>
      </w:r>
      <w:proofErr w:type="gramEnd"/>
      <w:r>
        <w:rPr>
          <w:rFonts w:ascii="MS Gothic"/>
          <w:color w:val="333333"/>
        </w:rPr>
        <w:t>.boot.loader.JarLauncher" /&gt;</w:t>
      </w:r>
    </w:p>
    <w:p w14:paraId="77C07F4A" w14:textId="77777777" w:rsidR="00A720EB" w:rsidRDefault="0030286B">
      <w:pPr>
        <w:spacing w:line="280" w:lineRule="exact"/>
        <w:ind w:left="1664"/>
        <w:rPr>
          <w:rFonts w:ascii="MS Gothic"/>
        </w:rPr>
      </w:pPr>
      <w:r>
        <w:rPr>
          <w:rFonts w:ascii="MS Gothic"/>
          <w:color w:val="333333"/>
        </w:rPr>
        <w:t>&lt;attribute name="Start-Class" value="${start-class}" /&gt;</w:t>
      </w:r>
    </w:p>
    <w:p w14:paraId="2EE032F8" w14:textId="77777777" w:rsidR="00A720EB" w:rsidRDefault="0030286B">
      <w:pPr>
        <w:spacing w:before="13"/>
        <w:ind w:left="1224"/>
        <w:rPr>
          <w:rFonts w:ascii="MS Gothic"/>
        </w:rPr>
      </w:pPr>
      <w:r>
        <w:rPr>
          <w:rFonts w:ascii="MS Gothic"/>
          <w:color w:val="333333"/>
        </w:rPr>
        <w:t>&lt;/manifest&gt;</w:t>
      </w:r>
    </w:p>
    <w:p w14:paraId="6A101BF3" w14:textId="77777777" w:rsidR="00A720EB" w:rsidRDefault="0030286B">
      <w:pPr>
        <w:spacing w:before="13"/>
        <w:ind w:left="784"/>
        <w:rPr>
          <w:rFonts w:ascii="MS Gothic"/>
        </w:rPr>
      </w:pPr>
      <w:r>
        <w:rPr>
          <w:rFonts w:ascii="MS Gothic"/>
          <w:color w:val="333333"/>
        </w:rPr>
        <w:t>&lt;/jar&gt;</w:t>
      </w:r>
    </w:p>
    <w:p w14:paraId="070D1A8A" w14:textId="77777777" w:rsidR="00A720EB" w:rsidRDefault="0030286B">
      <w:pPr>
        <w:spacing w:before="12"/>
        <w:ind w:left="344"/>
        <w:rPr>
          <w:rFonts w:ascii="MS Gothic"/>
        </w:rPr>
      </w:pPr>
      <w:r>
        <w:rPr>
          <w:rFonts w:ascii="MS Gothic"/>
          <w:color w:val="333333"/>
        </w:rPr>
        <w:t>&lt;/target&gt;</w:t>
      </w:r>
    </w:p>
    <w:p w14:paraId="1CBFCAC5" w14:textId="77777777" w:rsidR="00A720EB" w:rsidRDefault="00A720EB">
      <w:pPr>
        <w:pStyle w:val="a3"/>
        <w:spacing w:before="8"/>
        <w:rPr>
          <w:rFonts w:ascii="MS Gothic"/>
          <w:sz w:val="43"/>
        </w:rPr>
      </w:pPr>
    </w:p>
    <w:p w14:paraId="04D2A89C" w14:textId="77777777" w:rsidR="00A720EB" w:rsidRDefault="0030286B">
      <w:pPr>
        <w:pStyle w:val="2"/>
        <w:numPr>
          <w:ilvl w:val="1"/>
          <w:numId w:val="13"/>
        </w:numPr>
        <w:tabs>
          <w:tab w:val="left" w:pos="1034"/>
        </w:tabs>
        <w:ind w:left="1033" w:hanging="910"/>
      </w:pPr>
      <w:bookmarkStart w:id="1008" w:name="9.17._Traditional_Deployment"/>
      <w:bookmarkStart w:id="1009" w:name="_Toc54424022"/>
      <w:bookmarkEnd w:id="1008"/>
      <w:r>
        <w:rPr>
          <w:color w:val="333333"/>
          <w:w w:val="110"/>
        </w:rPr>
        <w:t>Traditional</w:t>
      </w:r>
      <w:r>
        <w:rPr>
          <w:color w:val="333333"/>
          <w:spacing w:val="-8"/>
          <w:w w:val="110"/>
        </w:rPr>
        <w:t xml:space="preserve"> </w:t>
      </w:r>
      <w:r>
        <w:rPr>
          <w:color w:val="333333"/>
          <w:w w:val="110"/>
        </w:rPr>
        <w:t>Deployment</w:t>
      </w:r>
      <w:bookmarkEnd w:id="1009"/>
    </w:p>
    <w:p w14:paraId="209B0F43" w14:textId="77777777" w:rsidR="00A720EB" w:rsidRDefault="0030286B">
      <w:pPr>
        <w:pStyle w:val="a3"/>
        <w:spacing w:before="254" w:line="307" w:lineRule="auto"/>
        <w:ind w:left="124"/>
      </w:pPr>
      <w:r>
        <w:rPr>
          <w:color w:val="333333"/>
          <w:w w:val="110"/>
        </w:rPr>
        <w:t>Spring Boot supports traditional deployment as well as more modern forms of deployment. This section answers common questions about traditional deployment.</w:t>
      </w:r>
    </w:p>
    <w:p w14:paraId="77A545B8" w14:textId="77777777" w:rsidR="00A720EB" w:rsidRDefault="00A720EB">
      <w:pPr>
        <w:spacing w:line="307" w:lineRule="auto"/>
        <w:sectPr w:rsidR="00A720EB">
          <w:pgSz w:w="11910" w:h="16840"/>
          <w:pgMar w:top="640" w:right="840" w:bottom="520" w:left="840" w:header="0" w:footer="323" w:gutter="0"/>
          <w:cols w:space="720"/>
        </w:sectPr>
      </w:pPr>
    </w:p>
    <w:p w14:paraId="1A708F85" w14:textId="77777777" w:rsidR="00A720EB" w:rsidRDefault="0030286B">
      <w:pPr>
        <w:pStyle w:val="3"/>
        <w:numPr>
          <w:ilvl w:val="2"/>
          <w:numId w:val="13"/>
        </w:numPr>
        <w:tabs>
          <w:tab w:val="left" w:pos="1003"/>
        </w:tabs>
        <w:spacing w:before="87"/>
        <w:ind w:left="1002" w:hanging="879"/>
      </w:pPr>
      <w:bookmarkStart w:id="1010" w:name="9.17.1._Create_a_Deployable_War_File"/>
      <w:bookmarkStart w:id="1011" w:name="_Toc54424023"/>
      <w:bookmarkEnd w:id="1010"/>
      <w:r>
        <w:rPr>
          <w:color w:val="333333"/>
          <w:w w:val="110"/>
        </w:rPr>
        <w:lastRenderedPageBreak/>
        <w:t xml:space="preserve">Create a Deployable </w:t>
      </w:r>
      <w:r>
        <w:rPr>
          <w:color w:val="333333"/>
          <w:spacing w:val="-5"/>
          <w:w w:val="110"/>
        </w:rPr>
        <w:t>War</w:t>
      </w:r>
      <w:r>
        <w:rPr>
          <w:color w:val="333333"/>
          <w:spacing w:val="-19"/>
          <w:w w:val="110"/>
        </w:rPr>
        <w:t xml:space="preserve"> </w:t>
      </w:r>
      <w:r>
        <w:rPr>
          <w:color w:val="333333"/>
          <w:w w:val="110"/>
        </w:rPr>
        <w:t>File</w:t>
      </w:r>
      <w:bookmarkEnd w:id="1011"/>
    </w:p>
    <w:p w14:paraId="6B3E958A" w14:textId="77777777" w:rsidR="00A720EB" w:rsidRDefault="00A720EB">
      <w:pPr>
        <w:pStyle w:val="a3"/>
        <w:spacing w:before="6"/>
        <w:rPr>
          <w:rFonts w:ascii="Palatino Linotype"/>
          <w:b/>
          <w:sz w:val="15"/>
        </w:rPr>
      </w:pPr>
    </w:p>
    <w:p w14:paraId="5AFBC020" w14:textId="77777777" w:rsidR="00A720EB" w:rsidRDefault="00E10349">
      <w:pPr>
        <w:pStyle w:val="a3"/>
        <w:spacing w:before="125" w:line="307" w:lineRule="auto"/>
        <w:ind w:left="1564" w:right="371"/>
        <w:jc w:val="both"/>
      </w:pPr>
      <w:r>
        <w:pict w14:anchorId="451BB46F">
          <v:line id="_x0000_s1241" style="position:absolute;left:0;text-align:left;z-index:16421888;mso-position-horizontal-relative:page" from="108.25pt,.25pt" to="108.25pt,55.6pt" strokecolor="#ededed" strokeweight=".5pt">
            <w10:wrap anchorx="page"/>
          </v:line>
        </w:pict>
      </w:r>
      <w:r w:rsidR="0030286B">
        <w:rPr>
          <w:noProof/>
        </w:rPr>
        <w:drawing>
          <wp:anchor distT="0" distB="0" distL="0" distR="0" simplePos="0" relativeHeight="16422400" behindDoc="0" locked="0" layoutInCell="1" allowOverlap="1" wp14:anchorId="52E5DD17" wp14:editId="575FA23B">
            <wp:simplePos x="0" y="0"/>
            <wp:positionH relativeFrom="page">
              <wp:posOffset>815847</wp:posOffset>
            </wp:positionH>
            <wp:positionV relativeFrom="paragraph">
              <wp:posOffset>202349</wp:posOffset>
            </wp:positionV>
            <wp:extent cx="355600" cy="304800"/>
            <wp:effectExtent l="0" t="0" r="0" b="0"/>
            <wp:wrapNone/>
            <wp:docPr id="7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3.png"/>
                    <pic:cNvPicPr/>
                  </pic:nvPicPr>
                  <pic:blipFill>
                    <a:blip r:embed="rId53" cstate="print"/>
                    <a:stretch>
                      <a:fillRect/>
                    </a:stretch>
                  </pic:blipFill>
                  <pic:spPr>
                    <a:xfrm>
                      <a:off x="0" y="0"/>
                      <a:ext cx="355600" cy="304800"/>
                    </a:xfrm>
                    <a:prstGeom prst="rect">
                      <a:avLst/>
                    </a:prstGeom>
                  </pic:spPr>
                </pic:pic>
              </a:graphicData>
            </a:graphic>
          </wp:anchor>
        </w:drawing>
      </w:r>
      <w:r w:rsidR="0030286B">
        <w:rPr>
          <w:color w:val="333333"/>
          <w:w w:val="110"/>
        </w:rPr>
        <w:t xml:space="preserve">Because Spring </w:t>
      </w:r>
      <w:r w:rsidR="0030286B">
        <w:rPr>
          <w:color w:val="333333"/>
          <w:spacing w:val="-3"/>
          <w:w w:val="110"/>
        </w:rPr>
        <w:t xml:space="preserve">WebFlux </w:t>
      </w:r>
      <w:r w:rsidR="0030286B">
        <w:rPr>
          <w:color w:val="333333"/>
          <w:w w:val="110"/>
        </w:rPr>
        <w:t xml:space="preserve">does not strictly depend on the Servlet API and applications are deployed </w:t>
      </w:r>
      <w:r w:rsidR="0030286B">
        <w:rPr>
          <w:color w:val="333333"/>
          <w:spacing w:val="-3"/>
          <w:w w:val="110"/>
        </w:rPr>
        <w:t xml:space="preserve">by </w:t>
      </w:r>
      <w:r w:rsidR="0030286B">
        <w:rPr>
          <w:color w:val="333333"/>
          <w:w w:val="110"/>
        </w:rPr>
        <w:t xml:space="preserve">default on an embedded Reactor Netty server, </w:t>
      </w:r>
      <w:r w:rsidR="0030286B">
        <w:rPr>
          <w:color w:val="333333"/>
          <w:spacing w:val="-5"/>
          <w:w w:val="110"/>
        </w:rPr>
        <w:t xml:space="preserve">War </w:t>
      </w:r>
      <w:r w:rsidR="0030286B">
        <w:rPr>
          <w:color w:val="333333"/>
          <w:w w:val="110"/>
        </w:rPr>
        <w:t xml:space="preserve">deployment is not supported for </w:t>
      </w:r>
      <w:r w:rsidR="0030286B">
        <w:rPr>
          <w:color w:val="333333"/>
          <w:spacing w:val="-3"/>
          <w:w w:val="110"/>
        </w:rPr>
        <w:t>WebFlux</w:t>
      </w:r>
      <w:r w:rsidR="0030286B">
        <w:rPr>
          <w:color w:val="333333"/>
          <w:spacing w:val="22"/>
          <w:w w:val="110"/>
        </w:rPr>
        <w:t xml:space="preserve"> </w:t>
      </w:r>
      <w:r w:rsidR="0030286B">
        <w:rPr>
          <w:color w:val="333333"/>
          <w:w w:val="110"/>
        </w:rPr>
        <w:t>applications.</w:t>
      </w:r>
    </w:p>
    <w:p w14:paraId="0706622C" w14:textId="77777777" w:rsidR="00A720EB" w:rsidRDefault="00A720EB">
      <w:pPr>
        <w:pStyle w:val="a3"/>
        <w:spacing w:before="8"/>
        <w:rPr>
          <w:sz w:val="16"/>
        </w:rPr>
      </w:pPr>
    </w:p>
    <w:p w14:paraId="1AF0DD98" w14:textId="77777777" w:rsidR="00A720EB" w:rsidRDefault="0030286B">
      <w:pPr>
        <w:pStyle w:val="a3"/>
        <w:spacing w:before="115" w:line="290" w:lineRule="auto"/>
        <w:ind w:left="124" w:right="122"/>
        <w:jc w:val="both"/>
      </w:pPr>
      <w:r>
        <w:rPr>
          <w:color w:val="333333"/>
          <w:w w:val="110"/>
        </w:rPr>
        <w:t xml:space="preserve">The first step in producing a deployable war file is to provide a </w:t>
      </w:r>
      <w:r>
        <w:rPr>
          <w:rFonts w:ascii="MS Gothic" w:hAnsi="MS Gothic"/>
          <w:color w:val="B02045"/>
          <w:w w:val="110"/>
        </w:rPr>
        <w:t xml:space="preserve">SpringBootServletInitializer </w:t>
      </w:r>
      <w:r>
        <w:rPr>
          <w:color w:val="333333"/>
          <w:w w:val="110"/>
        </w:rPr>
        <w:t xml:space="preserve">subclass and override </w:t>
      </w:r>
      <w:proofErr w:type="gramStart"/>
      <w:r>
        <w:rPr>
          <w:color w:val="333333"/>
          <w:w w:val="110"/>
        </w:rPr>
        <w:t>its</w:t>
      </w:r>
      <w:proofErr w:type="gramEnd"/>
      <w:r>
        <w:rPr>
          <w:color w:val="333333"/>
          <w:w w:val="110"/>
        </w:rPr>
        <w:t xml:space="preserve"> </w:t>
      </w:r>
      <w:r>
        <w:rPr>
          <w:rFonts w:ascii="MS Gothic" w:hAnsi="MS Gothic"/>
          <w:color w:val="B02045"/>
          <w:w w:val="110"/>
        </w:rPr>
        <w:t xml:space="preserve">configure </w:t>
      </w:r>
      <w:r>
        <w:rPr>
          <w:color w:val="333333"/>
          <w:w w:val="110"/>
        </w:rPr>
        <w:t xml:space="preserve">method. Doing so makes use of Spring Framework’s Servlet 3.0 support and lets you configure your application when it is launched </w:t>
      </w:r>
      <w:r>
        <w:rPr>
          <w:color w:val="333333"/>
          <w:spacing w:val="-3"/>
          <w:w w:val="110"/>
        </w:rPr>
        <w:t xml:space="preserve">by </w:t>
      </w:r>
      <w:r>
        <w:rPr>
          <w:color w:val="333333"/>
          <w:w w:val="110"/>
        </w:rPr>
        <w:t xml:space="preserve">the servlet container. </w:t>
      </w:r>
      <w:r>
        <w:rPr>
          <w:color w:val="333333"/>
          <w:spacing w:val="-3"/>
          <w:w w:val="110"/>
        </w:rPr>
        <w:t>Typically,</w:t>
      </w:r>
      <w:r>
        <w:rPr>
          <w:color w:val="333333"/>
          <w:spacing w:val="-5"/>
          <w:w w:val="110"/>
        </w:rPr>
        <w:t xml:space="preserve"> </w:t>
      </w:r>
      <w:r>
        <w:rPr>
          <w:color w:val="333333"/>
          <w:w w:val="110"/>
        </w:rPr>
        <w:t>you</w:t>
      </w:r>
      <w:r>
        <w:rPr>
          <w:color w:val="333333"/>
          <w:spacing w:val="-6"/>
          <w:w w:val="110"/>
        </w:rPr>
        <w:t xml:space="preserve"> </w:t>
      </w:r>
      <w:r>
        <w:rPr>
          <w:color w:val="333333"/>
          <w:w w:val="110"/>
        </w:rPr>
        <w:t>should</w:t>
      </w:r>
      <w:r>
        <w:rPr>
          <w:color w:val="333333"/>
          <w:spacing w:val="-5"/>
          <w:w w:val="110"/>
        </w:rPr>
        <w:t xml:space="preserve"> </w:t>
      </w:r>
      <w:r>
        <w:rPr>
          <w:color w:val="333333"/>
          <w:w w:val="110"/>
        </w:rPr>
        <w:t>update</w:t>
      </w:r>
      <w:r>
        <w:rPr>
          <w:color w:val="333333"/>
          <w:spacing w:val="-6"/>
          <w:w w:val="110"/>
        </w:rPr>
        <w:t xml:space="preserve"> </w:t>
      </w:r>
      <w:r>
        <w:rPr>
          <w:color w:val="333333"/>
          <w:w w:val="110"/>
        </w:rPr>
        <w:t>your</w:t>
      </w:r>
      <w:r>
        <w:rPr>
          <w:color w:val="333333"/>
          <w:spacing w:val="-5"/>
          <w:w w:val="110"/>
        </w:rPr>
        <w:t xml:space="preserve"> </w:t>
      </w:r>
      <w:r>
        <w:rPr>
          <w:color w:val="333333"/>
          <w:w w:val="110"/>
        </w:rPr>
        <w:t>application’s</w:t>
      </w:r>
      <w:r>
        <w:rPr>
          <w:color w:val="333333"/>
          <w:spacing w:val="-6"/>
          <w:w w:val="110"/>
        </w:rPr>
        <w:t xml:space="preserve"> </w:t>
      </w:r>
      <w:r>
        <w:rPr>
          <w:color w:val="333333"/>
          <w:w w:val="110"/>
        </w:rPr>
        <w:t>main</w:t>
      </w:r>
      <w:r>
        <w:rPr>
          <w:color w:val="333333"/>
          <w:spacing w:val="-5"/>
          <w:w w:val="110"/>
        </w:rPr>
        <w:t xml:space="preserve"> </w:t>
      </w:r>
      <w:r>
        <w:rPr>
          <w:color w:val="333333"/>
          <w:w w:val="110"/>
        </w:rPr>
        <w:t>class</w:t>
      </w:r>
      <w:r>
        <w:rPr>
          <w:color w:val="333333"/>
          <w:spacing w:val="-5"/>
          <w:w w:val="110"/>
        </w:rPr>
        <w:t xml:space="preserve"> </w:t>
      </w:r>
      <w:r>
        <w:rPr>
          <w:color w:val="333333"/>
          <w:w w:val="110"/>
        </w:rPr>
        <w:t>to</w:t>
      </w:r>
      <w:r>
        <w:rPr>
          <w:color w:val="333333"/>
          <w:spacing w:val="-5"/>
          <w:w w:val="110"/>
        </w:rPr>
        <w:t xml:space="preserve"> </w:t>
      </w:r>
      <w:r>
        <w:rPr>
          <w:color w:val="333333"/>
          <w:w w:val="110"/>
        </w:rPr>
        <w:t>extend</w:t>
      </w:r>
      <w:r>
        <w:rPr>
          <w:color w:val="333333"/>
          <w:spacing w:val="1"/>
          <w:w w:val="110"/>
        </w:rPr>
        <w:t xml:space="preserve"> </w:t>
      </w:r>
      <w:r>
        <w:rPr>
          <w:rFonts w:ascii="MS Gothic" w:hAnsi="MS Gothic"/>
          <w:color w:val="B02045"/>
          <w:w w:val="110"/>
        </w:rPr>
        <w:t>SpringBootServletInitializer</w:t>
      </w:r>
      <w:r>
        <w:rPr>
          <w:color w:val="333333"/>
          <w:w w:val="110"/>
        </w:rPr>
        <w:t>, as shown in the following</w:t>
      </w:r>
      <w:r>
        <w:rPr>
          <w:color w:val="333333"/>
          <w:spacing w:val="16"/>
          <w:w w:val="110"/>
        </w:rPr>
        <w:t xml:space="preserve"> </w:t>
      </w:r>
      <w:r>
        <w:rPr>
          <w:color w:val="333333"/>
          <w:w w:val="110"/>
        </w:rPr>
        <w:t>example:</w:t>
      </w:r>
    </w:p>
    <w:p w14:paraId="2571DF1F" w14:textId="77777777" w:rsidR="00A720EB" w:rsidRDefault="00E10349">
      <w:pPr>
        <w:pStyle w:val="a3"/>
        <w:spacing w:before="5"/>
        <w:rPr>
          <w:sz w:val="14"/>
        </w:rPr>
      </w:pPr>
      <w:r>
        <w:pict w14:anchorId="0ADF9A56">
          <v:group id="_x0000_s1237" style="position:absolute;margin-left:47.85pt;margin-top:10.45pt;width:499.55pt;height:229.15pt;z-index:-15036928;mso-wrap-distance-left:0;mso-wrap-distance-right:0;mso-position-horizontal-relative:page" coordorigin="957,209" coordsize="9991,4583">
            <v:shape id="_x0000_s1240" style="position:absolute;left:964;top:217;width:9976;height:4568" coordorigin="965,217" coordsize="9976,4568" path="m10861,217r-9816,l1014,223r-26,17l971,266r-6,31l965,4704r6,31l988,4761r26,17l1045,4784r9816,l10892,4778r25,-17l10935,4735r6,-31l10941,297r-6,-31l10917,240r-25,-17l10861,217xe" fillcolor="#f5f5f5" stroked="f">
              <v:path arrowok="t"/>
            </v:shape>
            <v:shape id="_x0000_s1239" style="position:absolute;left:964;top:217;width:9976;height:4568" coordorigin="965,217" coordsize="9976,4568" path="m1045,217r9816,l10892,223r25,17l10935,266r6,31l10941,4704r-6,31l10917,4761r-25,17l10861,4784r-9816,l1014,4778r-26,-17l971,4735r-6,-31l965,297r6,-31l988,240r26,-17l1045,217xe" filled="f" strokecolor="#ccc">
              <v:path arrowok="t"/>
            </v:shape>
            <v:shape id="_x0000_s1238" type="#_x0000_t202" style="position:absolute;left:984;top:232;width:9938;height:4537" filled="f" stroked="f">
              <v:textbox inset="0,0,0,0">
                <w:txbxContent>
                  <w:p w14:paraId="58F3645A" w14:textId="77777777" w:rsidR="00711A16" w:rsidRDefault="00711A16">
                    <w:pPr>
                      <w:spacing w:before="221"/>
                      <w:ind w:left="200"/>
                      <w:rPr>
                        <w:rFonts w:ascii="MS Gothic"/>
                      </w:rPr>
                    </w:pPr>
                    <w:r>
                      <w:rPr>
                        <w:rFonts w:ascii="MS Gothic"/>
                        <w:color w:val="333333"/>
                      </w:rPr>
                      <w:t>@SpringBootApplication</w:t>
                    </w:r>
                  </w:p>
                  <w:p w14:paraId="0C5DB4F4" w14:textId="77777777" w:rsidR="00711A16" w:rsidRDefault="00711A16">
                    <w:pPr>
                      <w:spacing w:before="13"/>
                      <w:ind w:left="200"/>
                      <w:rPr>
                        <w:rFonts w:ascii="MS Gothic"/>
                      </w:rPr>
                    </w:pPr>
                    <w:r>
                      <w:rPr>
                        <w:rFonts w:ascii="MS Gothic"/>
                        <w:color w:val="333333"/>
                      </w:rPr>
                      <w:t>public class Application extends SpringBootServletInitializer {</w:t>
                    </w:r>
                  </w:p>
                  <w:p w14:paraId="01F3A978" w14:textId="77777777" w:rsidR="00711A16" w:rsidRDefault="00711A16">
                    <w:pPr>
                      <w:rPr>
                        <w:rFonts w:ascii="MS Gothic"/>
                        <w:sz w:val="24"/>
                      </w:rPr>
                    </w:pPr>
                  </w:p>
                  <w:p w14:paraId="7BB9163D" w14:textId="77777777" w:rsidR="00711A16" w:rsidRDefault="00711A16">
                    <w:pPr>
                      <w:ind w:left="640"/>
                      <w:rPr>
                        <w:rFonts w:ascii="MS Gothic"/>
                      </w:rPr>
                    </w:pPr>
                    <w:r>
                      <w:rPr>
                        <w:rFonts w:ascii="MS Gothic"/>
                        <w:color w:val="333333"/>
                      </w:rPr>
                      <w:t>@Override</w:t>
                    </w:r>
                  </w:p>
                  <w:p w14:paraId="06972477" w14:textId="77777777" w:rsidR="00711A16" w:rsidRDefault="00711A16">
                    <w:pPr>
                      <w:spacing w:before="13"/>
                      <w:ind w:left="640"/>
                      <w:rPr>
                        <w:rFonts w:ascii="MS Gothic"/>
                      </w:rPr>
                    </w:pPr>
                    <w:r>
                      <w:rPr>
                        <w:rFonts w:ascii="MS Gothic"/>
                        <w:color w:val="333333"/>
                      </w:rPr>
                      <w:t xml:space="preserve">protected SpringApplicationBuilder </w:t>
                    </w:r>
                    <w:proofErr w:type="gramStart"/>
                    <w:r>
                      <w:rPr>
                        <w:rFonts w:ascii="MS Gothic"/>
                        <w:color w:val="333333"/>
                      </w:rPr>
                      <w:t>configure(</w:t>
                    </w:r>
                    <w:proofErr w:type="gramEnd"/>
                    <w:r>
                      <w:rPr>
                        <w:rFonts w:ascii="MS Gothic"/>
                        <w:color w:val="333333"/>
                      </w:rPr>
                      <w:t>SpringApplicationBuilder application)</w:t>
                    </w:r>
                  </w:p>
                  <w:p w14:paraId="6F5EAED6" w14:textId="77777777" w:rsidR="00711A16" w:rsidRDefault="00711A16">
                    <w:pPr>
                      <w:spacing w:before="13"/>
                      <w:ind w:left="200"/>
                      <w:rPr>
                        <w:rFonts w:ascii="MS Gothic"/>
                      </w:rPr>
                    </w:pPr>
                    <w:r>
                      <w:rPr>
                        <w:rFonts w:ascii="MS Gothic"/>
                        <w:color w:val="333333"/>
                      </w:rPr>
                      <w:t>{</w:t>
                    </w:r>
                  </w:p>
                  <w:p w14:paraId="1E663E22" w14:textId="77777777" w:rsidR="00711A16" w:rsidRDefault="00711A16">
                    <w:pPr>
                      <w:spacing w:before="13"/>
                      <w:ind w:left="1080"/>
                      <w:rPr>
                        <w:rFonts w:ascii="MS Gothic"/>
                      </w:rPr>
                    </w:pPr>
                    <w:r>
                      <w:rPr>
                        <w:rFonts w:ascii="MS Gothic"/>
                        <w:color w:val="333333"/>
                      </w:rPr>
                      <w:t xml:space="preserve">return </w:t>
                    </w:r>
                    <w:proofErr w:type="gramStart"/>
                    <w:r>
                      <w:rPr>
                        <w:rFonts w:ascii="MS Gothic"/>
                        <w:color w:val="333333"/>
                      </w:rPr>
                      <w:t>application.sources</w:t>
                    </w:r>
                    <w:proofErr w:type="gramEnd"/>
                    <w:r>
                      <w:rPr>
                        <w:rFonts w:ascii="MS Gothic"/>
                        <w:color w:val="333333"/>
                      </w:rPr>
                      <w:t>(Application.class);</w:t>
                    </w:r>
                  </w:p>
                  <w:p w14:paraId="536A5187" w14:textId="77777777" w:rsidR="00711A16" w:rsidRDefault="00711A16">
                    <w:pPr>
                      <w:spacing w:before="13"/>
                      <w:ind w:left="640"/>
                      <w:rPr>
                        <w:rFonts w:ascii="MS Gothic"/>
                      </w:rPr>
                    </w:pPr>
                    <w:r>
                      <w:rPr>
                        <w:rFonts w:ascii="MS Gothic"/>
                        <w:color w:val="333333"/>
                      </w:rPr>
                      <w:t>}</w:t>
                    </w:r>
                  </w:p>
                  <w:p w14:paraId="30C68435" w14:textId="77777777" w:rsidR="00711A16" w:rsidRDefault="00711A16">
                    <w:pPr>
                      <w:rPr>
                        <w:rFonts w:ascii="MS Gothic"/>
                        <w:sz w:val="24"/>
                      </w:rPr>
                    </w:pPr>
                  </w:p>
                  <w:p w14:paraId="4ACAA8C4" w14:textId="77777777" w:rsidR="00711A16" w:rsidRDefault="00711A16">
                    <w:pPr>
                      <w:spacing w:line="252" w:lineRule="auto"/>
                      <w:ind w:left="1080" w:right="698" w:hanging="4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 SpringApplication.run(Application.class,</w:t>
                    </w:r>
                    <w:r>
                      <w:rPr>
                        <w:rFonts w:ascii="MS Gothic"/>
                        <w:color w:val="333333"/>
                        <w:spacing w:val="1"/>
                      </w:rPr>
                      <w:t xml:space="preserve"> </w:t>
                    </w:r>
                    <w:r>
                      <w:rPr>
                        <w:rFonts w:ascii="MS Gothic"/>
                        <w:color w:val="333333"/>
                        <w:spacing w:val="-3"/>
                      </w:rPr>
                      <w:t>args);</w:t>
                    </w:r>
                  </w:p>
                  <w:p w14:paraId="5BB933EE" w14:textId="77777777" w:rsidR="00711A16" w:rsidRDefault="00711A16">
                    <w:pPr>
                      <w:spacing w:line="280" w:lineRule="exact"/>
                      <w:ind w:left="640"/>
                      <w:rPr>
                        <w:rFonts w:ascii="MS Gothic"/>
                      </w:rPr>
                    </w:pPr>
                    <w:r>
                      <w:rPr>
                        <w:rFonts w:ascii="MS Gothic"/>
                        <w:color w:val="333333"/>
                      </w:rPr>
                      <w:t>}</w:t>
                    </w:r>
                  </w:p>
                  <w:p w14:paraId="6B0A0B4C" w14:textId="77777777" w:rsidR="00711A16" w:rsidRDefault="00711A16">
                    <w:pPr>
                      <w:rPr>
                        <w:rFonts w:ascii="MS Gothic"/>
                        <w:sz w:val="24"/>
                      </w:rPr>
                    </w:pPr>
                  </w:p>
                  <w:p w14:paraId="7B605AA4" w14:textId="77777777" w:rsidR="00711A16" w:rsidRDefault="00711A16">
                    <w:pPr>
                      <w:ind w:left="200"/>
                      <w:rPr>
                        <w:rFonts w:ascii="MS Gothic"/>
                      </w:rPr>
                    </w:pPr>
                    <w:r>
                      <w:rPr>
                        <w:rFonts w:ascii="MS Gothic"/>
                        <w:color w:val="333333"/>
                      </w:rPr>
                      <w:t>}</w:t>
                    </w:r>
                  </w:p>
                </w:txbxContent>
              </v:textbox>
            </v:shape>
            <w10:wrap type="topAndBottom" anchorx="page"/>
          </v:group>
        </w:pict>
      </w:r>
    </w:p>
    <w:p w14:paraId="1C896601" w14:textId="77777777" w:rsidR="00A720EB" w:rsidRDefault="00A720EB">
      <w:pPr>
        <w:pStyle w:val="a3"/>
        <w:rPr>
          <w:sz w:val="10"/>
        </w:rPr>
      </w:pPr>
    </w:p>
    <w:p w14:paraId="5E1B019D" w14:textId="77777777" w:rsidR="00A720EB" w:rsidRDefault="0030286B">
      <w:pPr>
        <w:pStyle w:val="a3"/>
        <w:spacing w:before="125" w:line="290" w:lineRule="auto"/>
        <w:ind w:left="124" w:right="123"/>
        <w:jc w:val="both"/>
      </w:pPr>
      <w:r>
        <w:rPr>
          <w:color w:val="333333"/>
          <w:w w:val="110"/>
        </w:rPr>
        <w:t xml:space="preserve">The next step is to update your build configuration such that your </w:t>
      </w:r>
      <w:proofErr w:type="gramStart"/>
      <w:r>
        <w:rPr>
          <w:color w:val="333333"/>
          <w:w w:val="110"/>
        </w:rPr>
        <w:t>project  produces</w:t>
      </w:r>
      <w:proofErr w:type="gramEnd"/>
      <w:r>
        <w:rPr>
          <w:color w:val="333333"/>
          <w:w w:val="110"/>
        </w:rPr>
        <w:t xml:space="preserve">  a  war  file rather than a jar file. If you use Maven and </w:t>
      </w:r>
      <w:r>
        <w:rPr>
          <w:rFonts w:ascii="MS Gothic" w:hAnsi="MS Gothic"/>
          <w:color w:val="B02045"/>
          <w:w w:val="110"/>
        </w:rPr>
        <w:t xml:space="preserve">spring-boot-starter-parent </w:t>
      </w:r>
      <w:r>
        <w:rPr>
          <w:color w:val="333333"/>
          <w:w w:val="110"/>
        </w:rPr>
        <w:t xml:space="preserve">(which configures Maven’s war plugin for you), all you need to do is to modify </w:t>
      </w:r>
      <w:r>
        <w:rPr>
          <w:rFonts w:ascii="MS Gothic" w:hAnsi="MS Gothic"/>
          <w:color w:val="B02045"/>
          <w:w w:val="110"/>
        </w:rPr>
        <w:t xml:space="preserve">pom.xml </w:t>
      </w:r>
      <w:r>
        <w:rPr>
          <w:color w:val="333333"/>
          <w:w w:val="110"/>
        </w:rPr>
        <w:t>to change the packaging to war, as follows:</w:t>
      </w:r>
    </w:p>
    <w:p w14:paraId="4D19C84A" w14:textId="77777777" w:rsidR="00A720EB" w:rsidRDefault="00E10349">
      <w:pPr>
        <w:pStyle w:val="a3"/>
        <w:spacing w:before="5"/>
        <w:rPr>
          <w:sz w:val="14"/>
        </w:rPr>
      </w:pPr>
      <w:r>
        <w:pict w14:anchorId="3F30941B">
          <v:group id="_x0000_s1233" style="position:absolute;margin-left:47.85pt;margin-top:10.45pt;width:499.55pt;height:37.5pt;z-index:-15036416;mso-wrap-distance-left:0;mso-wrap-distance-right:0;mso-position-horizontal-relative:page" coordorigin="957,209" coordsize="9991,750">
            <v:shape id="_x0000_s1236" style="position:absolute;left:964;top:216;width:9976;height:735" coordorigin="965,216" coordsize="9976,735" path="m10861,216r-9816,l1014,223r-26,17l971,265r-6,31l965,871r6,31l988,928r26,17l1045,951r9816,l10892,945r25,-17l10935,902r6,-31l10941,296r-6,-31l10917,240r-25,-17l10861,216xe" fillcolor="#f5f5f5" stroked="f">
              <v:path arrowok="t"/>
            </v:shape>
            <v:shape id="_x0000_s1235" style="position:absolute;left:964;top:216;width:9976;height:735" coordorigin="965,216" coordsize="9976,735" path="m1045,216r9816,l10892,223r25,17l10935,265r6,31l10941,871r-6,31l10917,928r-25,17l10861,951r-9816,l1014,945,988,928,971,902r-6,-31l965,296r6,-31l988,240r26,-17l1045,216xe" filled="f" strokecolor="#ccc">
              <v:path arrowok="t"/>
            </v:shape>
            <v:shape id="_x0000_s1234" type="#_x0000_t202" style="position:absolute;left:984;top:231;width:9938;height:704" filled="f" stroked="f">
              <v:textbox inset="0,0,0,0">
                <w:txbxContent>
                  <w:p w14:paraId="32B05BEC" w14:textId="77777777" w:rsidR="00711A16" w:rsidRDefault="00711A16">
                    <w:pPr>
                      <w:spacing w:before="221"/>
                      <w:ind w:left="200"/>
                      <w:rPr>
                        <w:rFonts w:ascii="MS Gothic"/>
                      </w:rPr>
                    </w:pPr>
                    <w:r>
                      <w:rPr>
                        <w:rFonts w:ascii="MS Gothic"/>
                        <w:color w:val="333333"/>
                      </w:rPr>
                      <w:t>&lt;packaging&gt;war&lt;/packaging&gt;</w:t>
                    </w:r>
                  </w:p>
                </w:txbxContent>
              </v:textbox>
            </v:shape>
            <w10:wrap type="topAndBottom" anchorx="page"/>
          </v:group>
        </w:pict>
      </w:r>
    </w:p>
    <w:p w14:paraId="71259A11" w14:textId="77777777" w:rsidR="00A720EB" w:rsidRDefault="00A720EB">
      <w:pPr>
        <w:pStyle w:val="a3"/>
        <w:spacing w:before="11"/>
        <w:rPr>
          <w:sz w:val="9"/>
        </w:rPr>
      </w:pPr>
    </w:p>
    <w:p w14:paraId="4A94808D" w14:textId="77777777" w:rsidR="00A720EB" w:rsidRDefault="0030286B">
      <w:pPr>
        <w:pStyle w:val="a3"/>
        <w:spacing w:before="115"/>
        <w:ind w:left="124"/>
      </w:pPr>
      <w:r>
        <w:rPr>
          <w:color w:val="333333"/>
          <w:w w:val="110"/>
        </w:rPr>
        <w:t xml:space="preserve">If you use Gradle, you need to modify </w:t>
      </w:r>
      <w:proofErr w:type="gramStart"/>
      <w:r>
        <w:rPr>
          <w:rFonts w:ascii="MS Gothic"/>
          <w:color w:val="B02045"/>
          <w:w w:val="110"/>
        </w:rPr>
        <w:t>build.gradle</w:t>
      </w:r>
      <w:proofErr w:type="gramEnd"/>
      <w:r>
        <w:rPr>
          <w:rFonts w:ascii="MS Gothic"/>
          <w:color w:val="B02045"/>
          <w:spacing w:val="-67"/>
          <w:w w:val="110"/>
        </w:rPr>
        <w:t xml:space="preserve"> </w:t>
      </w:r>
      <w:r>
        <w:rPr>
          <w:color w:val="333333"/>
          <w:w w:val="110"/>
        </w:rPr>
        <w:t>to apply the war plugin to the project, as follows:</w:t>
      </w:r>
    </w:p>
    <w:p w14:paraId="3E147D29" w14:textId="77777777" w:rsidR="00A720EB" w:rsidRDefault="00E10349">
      <w:pPr>
        <w:pStyle w:val="a3"/>
        <w:spacing w:before="11"/>
        <w:rPr>
          <w:sz w:val="17"/>
        </w:rPr>
      </w:pPr>
      <w:r>
        <w:pict w14:anchorId="45AEB8DC">
          <v:group id="_x0000_s1229" style="position:absolute;margin-left:47.85pt;margin-top:12.55pt;width:499.55pt;height:37.5pt;z-index:-15035904;mso-wrap-distance-left:0;mso-wrap-distance-right:0;mso-position-horizontal-relative:page" coordorigin="957,251" coordsize="9991,750">
            <v:shape id="_x0000_s1232" style="position:absolute;left:964;top:258;width:9976;height:735" coordorigin="965,258" coordsize="9976,735" path="m10861,258r-9816,l1014,264r-26,17l971,307r-6,31l965,913r6,31l988,969r26,18l1045,993r9816,l10892,987r25,-18l10935,944r6,-31l10941,338r-6,-31l10917,281r-25,-17l10861,258xe" fillcolor="#f5f5f5" stroked="f">
              <v:path arrowok="t"/>
            </v:shape>
            <v:shape id="_x0000_s1231" style="position:absolute;left:964;top:258;width:9976;height:735" coordorigin="965,258" coordsize="9976,735" path="m1045,258r9816,l10892,264r25,17l10935,307r6,31l10941,913r-6,31l10917,969r-25,18l10861,993r-9816,l1014,987,988,969,971,944r-6,-31l965,338r6,-31l988,281r26,-17l1045,258xe" filled="f" strokecolor="#ccc">
              <v:path arrowok="t"/>
            </v:shape>
            <v:shape id="_x0000_s1230" type="#_x0000_t202" style="position:absolute;left:984;top:273;width:9938;height:704" filled="f" stroked="f">
              <v:textbox inset="0,0,0,0">
                <w:txbxContent>
                  <w:p w14:paraId="062A0197" w14:textId="77777777" w:rsidR="00711A16" w:rsidRDefault="00711A16">
                    <w:pPr>
                      <w:spacing w:before="221"/>
                      <w:ind w:left="200"/>
                      <w:rPr>
                        <w:rFonts w:ascii="MS Gothic"/>
                      </w:rPr>
                    </w:pPr>
                    <w:r>
                      <w:rPr>
                        <w:rFonts w:ascii="MS Gothic"/>
                        <w:color w:val="333333"/>
                      </w:rPr>
                      <w:t>apply plugin: 'war'</w:t>
                    </w:r>
                  </w:p>
                </w:txbxContent>
              </v:textbox>
            </v:shape>
            <w10:wrap type="topAndBottom" anchorx="page"/>
          </v:group>
        </w:pict>
      </w:r>
    </w:p>
    <w:p w14:paraId="331262DD" w14:textId="77777777" w:rsidR="00A720EB" w:rsidRDefault="00A720EB">
      <w:pPr>
        <w:pStyle w:val="a3"/>
        <w:rPr>
          <w:sz w:val="10"/>
        </w:rPr>
      </w:pPr>
    </w:p>
    <w:p w14:paraId="63679160" w14:textId="77777777" w:rsidR="00A720EB" w:rsidRDefault="0030286B">
      <w:pPr>
        <w:pStyle w:val="a3"/>
        <w:spacing w:before="125" w:line="307" w:lineRule="auto"/>
        <w:ind w:left="124" w:right="128"/>
        <w:jc w:val="both"/>
      </w:pPr>
      <w:r>
        <w:rPr>
          <w:color w:val="333333"/>
          <w:w w:val="110"/>
        </w:rPr>
        <w:t xml:space="preserve">The final step in the process is to ensure that the embedded servlet container does </w:t>
      </w:r>
      <w:proofErr w:type="gramStart"/>
      <w:r>
        <w:rPr>
          <w:color w:val="333333"/>
          <w:w w:val="110"/>
        </w:rPr>
        <w:t>not  interfere</w:t>
      </w:r>
      <w:proofErr w:type="gramEnd"/>
      <w:r>
        <w:rPr>
          <w:color w:val="333333"/>
          <w:w w:val="110"/>
        </w:rPr>
        <w:t xml:space="preserve">  with the servlet container to which the war file is deployed. </w:t>
      </w:r>
      <w:r>
        <w:rPr>
          <w:color w:val="333333"/>
          <w:spacing w:val="-4"/>
          <w:w w:val="110"/>
        </w:rPr>
        <w:t xml:space="preserve">To </w:t>
      </w:r>
      <w:r>
        <w:rPr>
          <w:color w:val="333333"/>
          <w:w w:val="110"/>
        </w:rPr>
        <w:t>do so, you need to mark the embedded servlet container dependency as being</w:t>
      </w:r>
      <w:r>
        <w:rPr>
          <w:color w:val="333333"/>
          <w:spacing w:val="19"/>
          <w:w w:val="110"/>
        </w:rPr>
        <w:t xml:space="preserve"> </w:t>
      </w:r>
      <w:r>
        <w:rPr>
          <w:color w:val="333333"/>
          <w:w w:val="110"/>
        </w:rPr>
        <w:t>provided.</w:t>
      </w:r>
    </w:p>
    <w:p w14:paraId="1740E898" w14:textId="77777777" w:rsidR="00A720EB" w:rsidRDefault="0030286B">
      <w:pPr>
        <w:pStyle w:val="a3"/>
        <w:spacing w:before="242" w:line="307" w:lineRule="auto"/>
        <w:ind w:left="124" w:right="128"/>
        <w:jc w:val="both"/>
      </w:pPr>
      <w:r>
        <w:rPr>
          <w:color w:val="333333"/>
          <w:w w:val="110"/>
        </w:rPr>
        <w:t>If you use Maven, the following example marks the servlet container (Tomcat, in this case) as being provided:</w:t>
      </w:r>
    </w:p>
    <w:p w14:paraId="3027C518" w14:textId="77777777" w:rsidR="00A720EB" w:rsidRDefault="00A720EB">
      <w:pPr>
        <w:spacing w:line="307" w:lineRule="auto"/>
        <w:jc w:val="both"/>
        <w:sectPr w:rsidR="00A720EB">
          <w:pgSz w:w="11910" w:h="16840"/>
          <w:pgMar w:top="620" w:right="840" w:bottom="520" w:left="840" w:header="0" w:footer="323" w:gutter="0"/>
          <w:cols w:space="720"/>
        </w:sectPr>
      </w:pPr>
    </w:p>
    <w:p w14:paraId="00C0F434" w14:textId="77777777" w:rsidR="00A720EB" w:rsidRDefault="00E10349">
      <w:pPr>
        <w:pStyle w:val="a3"/>
        <w:ind w:left="116"/>
        <w:rPr>
          <w:sz w:val="20"/>
        </w:rPr>
      </w:pPr>
      <w:r>
        <w:rPr>
          <w:sz w:val="20"/>
        </w:rPr>
      </w:r>
      <w:r>
        <w:rPr>
          <w:sz w:val="20"/>
        </w:rPr>
        <w:pict w14:anchorId="41E74604">
          <v:group id="_x0000_s1225" style="width:499.55pt;height:155.45pt;mso-position-horizontal-relative:char;mso-position-vertical-relative:line" coordsize="9991,3109">
            <v:shape id="_x0000_s1228" style="position:absolute;left:7;top:7;width:9976;height:3094" coordorigin="8,8" coordsize="9976,3094" path="m9904,8l88,8,56,14,31,31,14,56,8,88r,2933l14,3052r17,25l56,3094r32,7l9904,3101r31,-7l9960,3077r17,-25l9984,3021r,-2933l9977,56,9960,31,9935,14,9904,8xe" fillcolor="#f5f5f5" stroked="f">
              <v:path arrowok="t"/>
            </v:shape>
            <v:shape id="_x0000_s1227" style="position:absolute;left:7;top:7;width:9976;height:3094" coordorigin="8,8" coordsize="9976,3094" path="m88,8r9816,l9935,14r25,17l9977,56r7,32l9984,3021r-7,31l9960,3077r-25,17l9904,3101r-9816,l56,3094,31,3077,14,3052,8,3021,8,88,14,56,31,31,56,14,88,8xe" filled="f" strokecolor="#ccc">
              <v:path arrowok="t"/>
            </v:shape>
            <v:shape id="_x0000_s1226" type="#_x0000_t202" style="position:absolute;left:26;top:22;width:9938;height:3063" filled="f" stroked="f">
              <v:textbox inset="0,0,0,0">
                <w:txbxContent>
                  <w:p w14:paraId="4E2D3AE7" w14:textId="77777777" w:rsidR="00711A16" w:rsidRDefault="00711A16">
                    <w:pPr>
                      <w:spacing w:before="221"/>
                      <w:ind w:left="200"/>
                      <w:rPr>
                        <w:rFonts w:ascii="MS Gothic"/>
                      </w:rPr>
                    </w:pPr>
                    <w:r>
                      <w:rPr>
                        <w:rFonts w:ascii="MS Gothic"/>
                        <w:color w:val="333333"/>
                      </w:rPr>
                      <w:t>&lt;dependencies&gt;</w:t>
                    </w:r>
                  </w:p>
                  <w:p w14:paraId="38399B11" w14:textId="77777777" w:rsidR="00711A16" w:rsidRDefault="00711A16">
                    <w:pPr>
                      <w:spacing w:before="13"/>
                      <w:ind w:left="640"/>
                      <w:rPr>
                        <w:rFonts w:ascii="MS Gothic" w:hAnsi="MS Gothic"/>
                      </w:rPr>
                    </w:pPr>
                    <w:r>
                      <w:rPr>
                        <w:rFonts w:ascii="MS Gothic" w:hAnsi="MS Gothic"/>
                        <w:color w:val="333333"/>
                      </w:rPr>
                      <w:t>&lt;!-- … --&gt;</w:t>
                    </w:r>
                  </w:p>
                  <w:p w14:paraId="14FEAB47" w14:textId="77777777" w:rsidR="00711A16" w:rsidRDefault="00711A16">
                    <w:pPr>
                      <w:spacing w:before="13"/>
                      <w:ind w:left="640"/>
                      <w:rPr>
                        <w:rFonts w:ascii="MS Gothic"/>
                      </w:rPr>
                    </w:pPr>
                    <w:r>
                      <w:rPr>
                        <w:rFonts w:ascii="MS Gothic"/>
                        <w:color w:val="333333"/>
                      </w:rPr>
                      <w:t>&lt;dependency&gt;</w:t>
                    </w:r>
                  </w:p>
                  <w:p w14:paraId="08FD7CF1" w14:textId="77777777" w:rsidR="00711A16" w:rsidRDefault="00711A16">
                    <w:pPr>
                      <w:spacing w:before="13"/>
                      <w:ind w:left="1080"/>
                      <w:rPr>
                        <w:rFonts w:ascii="MS Gothic"/>
                      </w:rPr>
                    </w:pPr>
                    <w:proofErr w:type="gramStart"/>
                    <w:r>
                      <w:rPr>
                        <w:rFonts w:ascii="MS Gothic"/>
                        <w:color w:val="333333"/>
                      </w:rPr>
                      <w:t>&lt;groupId&gt;org.springframework.boot</w:t>
                    </w:r>
                    <w:proofErr w:type="gramEnd"/>
                    <w:r>
                      <w:rPr>
                        <w:rFonts w:ascii="MS Gothic"/>
                        <w:color w:val="333333"/>
                      </w:rPr>
                      <w:t>&lt;/groupId&gt;</w:t>
                    </w:r>
                  </w:p>
                  <w:p w14:paraId="7FAEDB3A" w14:textId="77777777" w:rsidR="00711A16" w:rsidRDefault="00711A16">
                    <w:pPr>
                      <w:spacing w:before="12"/>
                      <w:ind w:left="1080"/>
                      <w:rPr>
                        <w:rFonts w:ascii="MS Gothic"/>
                      </w:rPr>
                    </w:pPr>
                    <w:r>
                      <w:rPr>
                        <w:rFonts w:ascii="MS Gothic"/>
                        <w:color w:val="333333"/>
                      </w:rPr>
                      <w:t>&lt;artifactId&gt;spring-boot-starter-tomcat&lt;/artifactId&gt;</w:t>
                    </w:r>
                  </w:p>
                  <w:p w14:paraId="721D2A51" w14:textId="77777777" w:rsidR="00711A16" w:rsidRDefault="00711A16">
                    <w:pPr>
                      <w:spacing w:before="13"/>
                      <w:ind w:left="1080"/>
                      <w:rPr>
                        <w:rFonts w:ascii="MS Gothic"/>
                      </w:rPr>
                    </w:pPr>
                    <w:r>
                      <w:rPr>
                        <w:rFonts w:ascii="MS Gothic"/>
                        <w:color w:val="333333"/>
                      </w:rPr>
                      <w:t>&lt;scope&gt;provided&lt;/scope&gt;</w:t>
                    </w:r>
                  </w:p>
                  <w:p w14:paraId="63ED5524" w14:textId="77777777" w:rsidR="00711A16" w:rsidRDefault="00711A16">
                    <w:pPr>
                      <w:spacing w:before="13"/>
                      <w:ind w:left="640"/>
                      <w:rPr>
                        <w:rFonts w:ascii="MS Gothic"/>
                      </w:rPr>
                    </w:pPr>
                    <w:r>
                      <w:rPr>
                        <w:rFonts w:ascii="MS Gothic"/>
                        <w:color w:val="333333"/>
                      </w:rPr>
                      <w:t>&lt;/dependency&gt;</w:t>
                    </w:r>
                  </w:p>
                  <w:p w14:paraId="22E83FB0" w14:textId="77777777" w:rsidR="00711A16" w:rsidRDefault="00711A16">
                    <w:pPr>
                      <w:spacing w:before="13"/>
                      <w:ind w:left="640"/>
                      <w:rPr>
                        <w:rFonts w:ascii="MS Gothic" w:hAnsi="MS Gothic"/>
                      </w:rPr>
                    </w:pPr>
                    <w:r>
                      <w:rPr>
                        <w:rFonts w:ascii="MS Gothic" w:hAnsi="MS Gothic"/>
                        <w:color w:val="333333"/>
                      </w:rPr>
                      <w:t>&lt;!-- … --&gt;</w:t>
                    </w:r>
                  </w:p>
                  <w:p w14:paraId="42E01535" w14:textId="77777777" w:rsidR="00711A16" w:rsidRDefault="00711A16">
                    <w:pPr>
                      <w:spacing w:before="13"/>
                      <w:ind w:left="200"/>
                      <w:rPr>
                        <w:rFonts w:ascii="MS Gothic"/>
                      </w:rPr>
                    </w:pPr>
                    <w:r>
                      <w:rPr>
                        <w:rFonts w:ascii="MS Gothic"/>
                        <w:color w:val="333333"/>
                      </w:rPr>
                      <w:t>&lt;/dependencies&gt;</w:t>
                    </w:r>
                  </w:p>
                </w:txbxContent>
              </v:textbox>
            </v:shape>
            <w10:anchorlock/>
          </v:group>
        </w:pict>
      </w:r>
    </w:p>
    <w:p w14:paraId="05651123" w14:textId="77777777" w:rsidR="00A720EB" w:rsidRDefault="00A720EB">
      <w:pPr>
        <w:pStyle w:val="a3"/>
        <w:spacing w:before="4"/>
        <w:rPr>
          <w:sz w:val="9"/>
        </w:rPr>
      </w:pPr>
    </w:p>
    <w:p w14:paraId="114F1F92" w14:textId="77777777" w:rsidR="00A720EB" w:rsidRDefault="0030286B">
      <w:pPr>
        <w:pStyle w:val="a3"/>
        <w:spacing w:before="125" w:line="307" w:lineRule="auto"/>
        <w:ind w:left="124"/>
      </w:pPr>
      <w:r>
        <w:rPr>
          <w:color w:val="333333"/>
          <w:w w:val="110"/>
        </w:rPr>
        <w:t>If you use Gradle, the following example marks the servlet container (Tomcat, in this case) as being provided:</w:t>
      </w:r>
    </w:p>
    <w:p w14:paraId="237AD753" w14:textId="77777777" w:rsidR="00A720EB" w:rsidRDefault="00E10349">
      <w:pPr>
        <w:pStyle w:val="a3"/>
        <w:spacing w:before="2"/>
        <w:rPr>
          <w:sz w:val="13"/>
        </w:rPr>
      </w:pPr>
      <w:r>
        <w:pict w14:anchorId="6075D501">
          <v:group id="_x0000_s1221" style="position:absolute;margin-left:47.85pt;margin-top:9.7pt;width:499.55pt;height:96.45pt;z-index:-15033856;mso-wrap-distance-left:0;mso-wrap-distance-right:0;mso-position-horizontal-relative:page" coordorigin="957,194" coordsize="9991,1929">
            <v:shape id="_x0000_s1224" style="position:absolute;left:964;top:201;width:9976;height:1914" coordorigin="965,202" coordsize="9976,1914" path="m10861,202r-9816,l1014,208r-26,17l971,251r-6,31l965,2036r6,31l988,2092r26,18l1045,2116r9816,l10892,2110r25,-18l10935,2067r6,-31l10941,282r-6,-31l10917,225r-25,-17l10861,202xe" fillcolor="#f5f5f5" stroked="f">
              <v:path arrowok="t"/>
            </v:shape>
            <v:shape id="_x0000_s1223" style="position:absolute;left:964;top:201;width:9976;height:1914" coordorigin="965,202" coordsize="9976,1914" path="m1045,202r9816,l10892,208r25,17l10935,251r6,31l10941,2036r-6,31l10917,2092r-25,18l10861,2116r-9816,l1014,2110r-26,-18l971,2067r-6,-31l965,282r6,-31l988,225r26,-17l1045,202xe" filled="f" strokecolor="#ccc">
              <v:path arrowok="t"/>
            </v:shape>
            <v:shape id="_x0000_s1222" type="#_x0000_t202" style="position:absolute;left:984;top:217;width:9938;height:1884" filled="f" stroked="f">
              <v:textbox inset="0,0,0,0">
                <w:txbxContent>
                  <w:p w14:paraId="26BB492A" w14:textId="77777777" w:rsidR="00711A16" w:rsidRDefault="00711A16">
                    <w:pPr>
                      <w:spacing w:before="221"/>
                      <w:ind w:left="200"/>
                      <w:rPr>
                        <w:rFonts w:ascii="MS Gothic"/>
                      </w:rPr>
                    </w:pPr>
                    <w:r>
                      <w:rPr>
                        <w:rFonts w:ascii="MS Gothic"/>
                        <w:color w:val="333333"/>
                      </w:rPr>
                      <w:t>dependencies {</w:t>
                    </w:r>
                  </w:p>
                  <w:p w14:paraId="79F29F01" w14:textId="77777777" w:rsidR="00711A16" w:rsidRDefault="00711A16">
                    <w:pPr>
                      <w:spacing w:before="13"/>
                      <w:ind w:left="640"/>
                      <w:rPr>
                        <w:rFonts w:ascii="MS Gothic" w:hAnsi="MS Gothic"/>
                      </w:rPr>
                    </w:pPr>
                    <w:r>
                      <w:rPr>
                        <w:rFonts w:ascii="MS Gothic" w:hAnsi="MS Gothic"/>
                        <w:color w:val="333333"/>
                      </w:rPr>
                      <w:t>// …</w:t>
                    </w:r>
                  </w:p>
                  <w:p w14:paraId="6BCAE5E4" w14:textId="77777777" w:rsidR="00711A16" w:rsidRDefault="00711A16">
                    <w:pPr>
                      <w:spacing w:before="13"/>
                      <w:ind w:left="640"/>
                      <w:rPr>
                        <w:rFonts w:ascii="MS Gothic"/>
                      </w:rPr>
                    </w:pPr>
                    <w:r>
                      <w:rPr>
                        <w:rFonts w:ascii="MS Gothic"/>
                        <w:color w:val="333333"/>
                      </w:rPr>
                      <w:t>providedRuntime '</w:t>
                    </w:r>
                    <w:proofErr w:type="gramStart"/>
                    <w:r>
                      <w:rPr>
                        <w:rFonts w:ascii="MS Gothic"/>
                        <w:color w:val="333333"/>
                      </w:rPr>
                      <w:t>org.springframework</w:t>
                    </w:r>
                    <w:proofErr w:type="gramEnd"/>
                    <w:r>
                      <w:rPr>
                        <w:rFonts w:ascii="MS Gothic"/>
                        <w:color w:val="333333"/>
                      </w:rPr>
                      <w:t>.boot:spring-boot-starter-tomcat'</w:t>
                    </w:r>
                  </w:p>
                  <w:p w14:paraId="61E257D5" w14:textId="77777777" w:rsidR="00711A16" w:rsidRDefault="00711A16">
                    <w:pPr>
                      <w:spacing w:before="13"/>
                      <w:ind w:left="640"/>
                      <w:rPr>
                        <w:rFonts w:ascii="MS Gothic" w:hAnsi="MS Gothic"/>
                      </w:rPr>
                    </w:pPr>
                    <w:r>
                      <w:rPr>
                        <w:rFonts w:ascii="MS Gothic" w:hAnsi="MS Gothic"/>
                        <w:color w:val="333333"/>
                      </w:rPr>
                      <w:t>// …</w:t>
                    </w:r>
                  </w:p>
                  <w:p w14:paraId="435077E5" w14:textId="77777777" w:rsidR="00711A16" w:rsidRDefault="00711A16">
                    <w:pPr>
                      <w:spacing w:before="12"/>
                      <w:ind w:left="200"/>
                      <w:rPr>
                        <w:rFonts w:ascii="MS Gothic"/>
                      </w:rPr>
                    </w:pPr>
                    <w:r>
                      <w:rPr>
                        <w:rFonts w:ascii="MS Gothic"/>
                        <w:color w:val="333333"/>
                      </w:rPr>
                      <w:t>}</w:t>
                    </w:r>
                  </w:p>
                </w:txbxContent>
              </v:textbox>
            </v:shape>
            <w10:wrap type="topAndBottom" anchorx="page"/>
          </v:group>
        </w:pict>
      </w:r>
    </w:p>
    <w:p w14:paraId="3AA356F6" w14:textId="77777777" w:rsidR="00A720EB" w:rsidRDefault="00A720EB">
      <w:pPr>
        <w:pStyle w:val="a3"/>
        <w:spacing w:before="8"/>
        <w:rPr>
          <w:sz w:val="16"/>
        </w:rPr>
      </w:pPr>
    </w:p>
    <w:p w14:paraId="274BF62F" w14:textId="77777777" w:rsidR="00A720EB" w:rsidRDefault="00E10349">
      <w:pPr>
        <w:pStyle w:val="a3"/>
        <w:spacing w:before="116" w:line="285" w:lineRule="auto"/>
        <w:ind w:left="1564" w:right="364"/>
        <w:jc w:val="both"/>
      </w:pPr>
      <w:r>
        <w:pict w14:anchorId="23796121">
          <v:line id="_x0000_s1220" style="position:absolute;left:0;text-align:left;z-index:16423936;mso-position-horizontal-relative:page" from="108.25pt,.35pt" to="108.25pt,55.7pt" strokecolor="#ededed" strokeweight=".5pt">
            <w10:wrap anchorx="page"/>
          </v:line>
        </w:pict>
      </w:r>
      <w:r w:rsidR="0030286B">
        <w:rPr>
          <w:noProof/>
        </w:rPr>
        <w:drawing>
          <wp:anchor distT="0" distB="0" distL="0" distR="0" simplePos="0" relativeHeight="16424448" behindDoc="0" locked="0" layoutInCell="1" allowOverlap="1" wp14:anchorId="028FF9B2" wp14:editId="686AD8CF">
            <wp:simplePos x="0" y="0"/>
            <wp:positionH relativeFrom="page">
              <wp:posOffset>888949</wp:posOffset>
            </wp:positionH>
            <wp:positionV relativeFrom="paragraph">
              <wp:posOffset>203276</wp:posOffset>
            </wp:positionV>
            <wp:extent cx="209550" cy="304800"/>
            <wp:effectExtent l="0" t="0" r="0" b="0"/>
            <wp:wrapNone/>
            <wp:docPr id="78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rFonts w:ascii="MS Gothic" w:hAnsi="MS Gothic"/>
          <w:color w:val="B02045"/>
          <w:w w:val="110"/>
        </w:rPr>
        <w:t xml:space="preserve">providedRuntime </w:t>
      </w:r>
      <w:r w:rsidR="0030286B">
        <w:rPr>
          <w:color w:val="333333"/>
          <w:w w:val="110"/>
        </w:rPr>
        <w:t xml:space="preserve">is preferred to Gradle’s </w:t>
      </w:r>
      <w:r w:rsidR="0030286B">
        <w:rPr>
          <w:rFonts w:ascii="MS Gothic" w:hAnsi="MS Gothic"/>
          <w:color w:val="B02045"/>
          <w:w w:val="110"/>
        </w:rPr>
        <w:t xml:space="preserve">compileOnly </w:t>
      </w:r>
      <w:r w:rsidR="0030286B">
        <w:rPr>
          <w:color w:val="333333"/>
          <w:w w:val="110"/>
        </w:rPr>
        <w:t xml:space="preserve">configuration. Among other limitations, </w:t>
      </w:r>
      <w:r w:rsidR="0030286B">
        <w:rPr>
          <w:rFonts w:ascii="MS Gothic" w:hAnsi="MS Gothic"/>
          <w:color w:val="B02045"/>
          <w:w w:val="110"/>
        </w:rPr>
        <w:t xml:space="preserve">compileOnly </w:t>
      </w:r>
      <w:r w:rsidR="0030286B">
        <w:rPr>
          <w:color w:val="333333"/>
          <w:w w:val="110"/>
        </w:rPr>
        <w:t>dependencies are not on the test classpath, so any web- based integration tests fail.</w:t>
      </w:r>
    </w:p>
    <w:p w14:paraId="2830223F" w14:textId="77777777" w:rsidR="00A720EB" w:rsidRDefault="00A720EB">
      <w:pPr>
        <w:pStyle w:val="a3"/>
        <w:spacing w:before="8"/>
        <w:rPr>
          <w:sz w:val="18"/>
        </w:rPr>
      </w:pPr>
    </w:p>
    <w:p w14:paraId="599E9511" w14:textId="77777777" w:rsidR="00A720EB" w:rsidRDefault="0030286B">
      <w:pPr>
        <w:pStyle w:val="a3"/>
        <w:spacing w:before="125" w:line="288" w:lineRule="auto"/>
        <w:ind w:left="124" w:right="122"/>
        <w:jc w:val="both"/>
      </w:pPr>
      <w:r>
        <w:rPr>
          <w:color w:val="333333"/>
          <w:w w:val="110"/>
        </w:rPr>
        <w:t xml:space="preserve">If you use the </w:t>
      </w:r>
      <w:hyperlink w:anchor="_bookmark510" w:history="1">
        <w:r>
          <w:rPr>
            <w:color w:val="418BCA"/>
            <w:w w:val="110"/>
          </w:rPr>
          <w:t>Spring Boot build tools</w:t>
        </w:r>
      </w:hyperlink>
      <w:r>
        <w:rPr>
          <w:color w:val="333333"/>
          <w:w w:val="110"/>
        </w:rPr>
        <w:t xml:space="preserve">, marking the embedded servlet container dependency as provided produces an executable war file with the provided dependencies packaged in a </w:t>
      </w:r>
      <w:r>
        <w:rPr>
          <w:rFonts w:ascii="MS Gothic"/>
          <w:color w:val="B02045"/>
          <w:w w:val="110"/>
        </w:rPr>
        <w:t xml:space="preserve">lib- provided </w:t>
      </w:r>
      <w:r>
        <w:rPr>
          <w:color w:val="333333"/>
          <w:w w:val="110"/>
        </w:rPr>
        <w:t xml:space="preserve">directory. This means that, in addition to being deployable to a servlet container, you can also run your application by using </w:t>
      </w:r>
      <w:r>
        <w:rPr>
          <w:rFonts w:ascii="MS Gothic"/>
          <w:color w:val="B02045"/>
          <w:w w:val="110"/>
        </w:rPr>
        <w:t xml:space="preserve">java -jar </w:t>
      </w:r>
      <w:r>
        <w:rPr>
          <w:color w:val="333333"/>
          <w:w w:val="110"/>
        </w:rPr>
        <w:t>on the command line.</w:t>
      </w:r>
    </w:p>
    <w:p w14:paraId="33C98046" w14:textId="77777777" w:rsidR="00A720EB" w:rsidRDefault="00A720EB">
      <w:pPr>
        <w:pStyle w:val="a3"/>
        <w:spacing w:before="6"/>
        <w:rPr>
          <w:sz w:val="25"/>
        </w:rPr>
      </w:pPr>
    </w:p>
    <w:p w14:paraId="544AC1C3" w14:textId="77777777" w:rsidR="00A720EB" w:rsidRDefault="0030286B">
      <w:pPr>
        <w:pStyle w:val="3"/>
        <w:numPr>
          <w:ilvl w:val="2"/>
          <w:numId w:val="13"/>
        </w:numPr>
        <w:tabs>
          <w:tab w:val="left" w:pos="1003"/>
        </w:tabs>
        <w:spacing w:before="1"/>
        <w:ind w:left="1002" w:hanging="879"/>
      </w:pPr>
      <w:bookmarkStart w:id="1012" w:name="9.17.2._Convert_an_Existing_Application_"/>
      <w:bookmarkStart w:id="1013" w:name="_Toc54424024"/>
      <w:bookmarkEnd w:id="1012"/>
      <w:r>
        <w:rPr>
          <w:color w:val="333333"/>
          <w:w w:val="110"/>
        </w:rPr>
        <w:t>Convert an Existing Application to Spring</w:t>
      </w:r>
      <w:r>
        <w:rPr>
          <w:color w:val="333333"/>
          <w:spacing w:val="-38"/>
          <w:w w:val="110"/>
        </w:rPr>
        <w:t xml:space="preserve"> </w:t>
      </w:r>
      <w:r>
        <w:rPr>
          <w:color w:val="333333"/>
          <w:w w:val="110"/>
        </w:rPr>
        <w:t>Boot</w:t>
      </w:r>
      <w:bookmarkEnd w:id="1013"/>
    </w:p>
    <w:p w14:paraId="52F848DB" w14:textId="77777777" w:rsidR="00A720EB" w:rsidRDefault="0030286B">
      <w:pPr>
        <w:pStyle w:val="a3"/>
        <w:spacing w:before="253" w:line="295" w:lineRule="auto"/>
        <w:ind w:left="124" w:right="122"/>
        <w:jc w:val="both"/>
      </w:pPr>
      <w:proofErr w:type="gramStart"/>
      <w:r>
        <w:rPr>
          <w:color w:val="333333"/>
          <w:spacing w:val="-4"/>
          <w:w w:val="110"/>
        </w:rPr>
        <w:t xml:space="preserve">To  </w:t>
      </w:r>
      <w:r>
        <w:rPr>
          <w:color w:val="333333"/>
          <w:w w:val="110"/>
        </w:rPr>
        <w:t>convert</w:t>
      </w:r>
      <w:proofErr w:type="gramEnd"/>
      <w:r>
        <w:rPr>
          <w:color w:val="333333"/>
          <w:w w:val="110"/>
        </w:rPr>
        <w:t xml:space="preserve"> an existing non-web Spring application to a Spring Boot application, replace the code  that creates your </w:t>
      </w:r>
      <w:r>
        <w:rPr>
          <w:rFonts w:ascii="MS Gothic"/>
          <w:color w:val="B02045"/>
          <w:w w:val="110"/>
        </w:rPr>
        <w:t xml:space="preserve">ApplicationContext </w:t>
      </w:r>
      <w:r>
        <w:rPr>
          <w:color w:val="333333"/>
          <w:w w:val="110"/>
        </w:rPr>
        <w:t xml:space="preserve">and replace it with calls to </w:t>
      </w:r>
      <w:r>
        <w:rPr>
          <w:rFonts w:ascii="MS Gothic"/>
          <w:color w:val="B02045"/>
          <w:w w:val="110"/>
        </w:rPr>
        <w:t xml:space="preserve">SpringApplication </w:t>
      </w:r>
      <w:r>
        <w:rPr>
          <w:color w:val="333333"/>
          <w:w w:val="110"/>
        </w:rPr>
        <w:t xml:space="preserve">or </w:t>
      </w:r>
      <w:r>
        <w:rPr>
          <w:rFonts w:ascii="MS Gothic"/>
          <w:color w:val="B02045"/>
          <w:w w:val="110"/>
        </w:rPr>
        <w:t>SpringApplicationBuilder</w:t>
      </w:r>
      <w:r>
        <w:rPr>
          <w:color w:val="333333"/>
          <w:w w:val="110"/>
        </w:rPr>
        <w:t xml:space="preserve">. Spring MVC web applications are generally amenable to first creating a deployable war application and then migrating it later to an executable war or jar. See the </w:t>
      </w:r>
      <w:hyperlink r:id="rId665">
        <w:r>
          <w:rPr>
            <w:color w:val="418BCA"/>
            <w:w w:val="110"/>
          </w:rPr>
          <w:t>Getting</w:t>
        </w:r>
      </w:hyperlink>
      <w:r>
        <w:rPr>
          <w:color w:val="418BCA"/>
          <w:w w:val="110"/>
        </w:rPr>
        <w:t xml:space="preserve"> </w:t>
      </w:r>
      <w:hyperlink r:id="rId666">
        <w:r>
          <w:rPr>
            <w:color w:val="418BCA"/>
            <w:w w:val="110"/>
          </w:rPr>
          <w:t>Started Guide on Converting a jar to a</w:t>
        </w:r>
        <w:r>
          <w:rPr>
            <w:color w:val="418BCA"/>
            <w:spacing w:val="24"/>
            <w:w w:val="110"/>
          </w:rPr>
          <w:t xml:space="preserve"> </w:t>
        </w:r>
        <w:r>
          <w:rPr>
            <w:color w:val="418BCA"/>
            <w:w w:val="110"/>
          </w:rPr>
          <w:t>war</w:t>
        </w:r>
      </w:hyperlink>
      <w:r>
        <w:rPr>
          <w:color w:val="333333"/>
          <w:w w:val="110"/>
        </w:rPr>
        <w:t>.</w:t>
      </w:r>
    </w:p>
    <w:p w14:paraId="1A0FCC6F" w14:textId="77777777" w:rsidR="00A720EB" w:rsidRDefault="0030286B">
      <w:pPr>
        <w:pStyle w:val="a3"/>
        <w:spacing w:before="238" w:line="285" w:lineRule="auto"/>
        <w:ind w:left="124" w:right="123"/>
        <w:jc w:val="both"/>
      </w:pPr>
      <w:r>
        <w:rPr>
          <w:color w:val="333333"/>
          <w:spacing w:val="-4"/>
          <w:w w:val="110"/>
        </w:rPr>
        <w:t xml:space="preserve">To </w:t>
      </w:r>
      <w:r>
        <w:rPr>
          <w:color w:val="333333"/>
          <w:w w:val="110"/>
        </w:rPr>
        <w:t xml:space="preserve">create a deployable war </w:t>
      </w:r>
      <w:r>
        <w:rPr>
          <w:color w:val="333333"/>
          <w:spacing w:val="-3"/>
          <w:w w:val="110"/>
        </w:rPr>
        <w:t xml:space="preserve">by </w:t>
      </w:r>
      <w:r>
        <w:rPr>
          <w:color w:val="333333"/>
          <w:w w:val="110"/>
        </w:rPr>
        <w:t xml:space="preserve">extending </w:t>
      </w:r>
      <w:r>
        <w:rPr>
          <w:rFonts w:ascii="MS Gothic"/>
          <w:color w:val="B02045"/>
          <w:w w:val="110"/>
        </w:rPr>
        <w:t xml:space="preserve">SpringBootServletInitializer </w:t>
      </w:r>
      <w:r>
        <w:rPr>
          <w:color w:val="333333"/>
          <w:w w:val="110"/>
        </w:rPr>
        <w:t>(for example, in a class called</w:t>
      </w:r>
      <w:r>
        <w:rPr>
          <w:color w:val="333333"/>
          <w:spacing w:val="-17"/>
          <w:w w:val="110"/>
        </w:rPr>
        <w:t xml:space="preserve"> </w:t>
      </w:r>
      <w:r>
        <w:rPr>
          <w:rFonts w:ascii="MS Gothic"/>
          <w:color w:val="B02045"/>
          <w:w w:val="110"/>
        </w:rPr>
        <w:t>Application</w:t>
      </w:r>
      <w:r>
        <w:rPr>
          <w:color w:val="333333"/>
          <w:w w:val="110"/>
        </w:rPr>
        <w:t>)</w:t>
      </w:r>
      <w:r>
        <w:rPr>
          <w:color w:val="333333"/>
          <w:spacing w:val="-16"/>
          <w:w w:val="110"/>
        </w:rPr>
        <w:t xml:space="preserve"> </w:t>
      </w:r>
      <w:r>
        <w:rPr>
          <w:color w:val="333333"/>
          <w:w w:val="110"/>
        </w:rPr>
        <w:t>and</w:t>
      </w:r>
      <w:r>
        <w:rPr>
          <w:color w:val="333333"/>
          <w:spacing w:val="-17"/>
          <w:w w:val="110"/>
        </w:rPr>
        <w:t xml:space="preserve"> </w:t>
      </w:r>
      <w:r>
        <w:rPr>
          <w:color w:val="333333"/>
          <w:w w:val="110"/>
        </w:rPr>
        <w:t>adding</w:t>
      </w:r>
      <w:r>
        <w:rPr>
          <w:color w:val="333333"/>
          <w:spacing w:val="-17"/>
          <w:w w:val="110"/>
        </w:rPr>
        <w:t xml:space="preserve"> </w:t>
      </w:r>
      <w:r>
        <w:rPr>
          <w:color w:val="333333"/>
          <w:w w:val="110"/>
        </w:rPr>
        <w:t>the</w:t>
      </w:r>
      <w:r>
        <w:rPr>
          <w:color w:val="333333"/>
          <w:spacing w:val="-17"/>
          <w:w w:val="110"/>
        </w:rPr>
        <w:t xml:space="preserve"> </w:t>
      </w:r>
      <w:r>
        <w:rPr>
          <w:color w:val="333333"/>
          <w:w w:val="110"/>
        </w:rPr>
        <w:t>Spring</w:t>
      </w:r>
      <w:r>
        <w:rPr>
          <w:color w:val="333333"/>
          <w:spacing w:val="-17"/>
          <w:w w:val="110"/>
        </w:rPr>
        <w:t xml:space="preserve"> </w:t>
      </w:r>
      <w:r>
        <w:rPr>
          <w:color w:val="333333"/>
          <w:w w:val="110"/>
        </w:rPr>
        <w:t>Boot</w:t>
      </w:r>
      <w:r>
        <w:rPr>
          <w:color w:val="333333"/>
          <w:spacing w:val="-13"/>
          <w:w w:val="110"/>
        </w:rPr>
        <w:t xml:space="preserve"> </w:t>
      </w:r>
      <w:r>
        <w:rPr>
          <w:rFonts w:ascii="MS Gothic"/>
          <w:color w:val="B02045"/>
          <w:w w:val="110"/>
        </w:rPr>
        <w:t>@SpringBootApplication</w:t>
      </w:r>
      <w:r>
        <w:rPr>
          <w:rFonts w:ascii="MS Gothic"/>
          <w:color w:val="B02045"/>
          <w:spacing w:val="-81"/>
          <w:w w:val="110"/>
        </w:rPr>
        <w:t xml:space="preserve"> </w:t>
      </w:r>
      <w:r>
        <w:rPr>
          <w:color w:val="333333"/>
          <w:w w:val="110"/>
        </w:rPr>
        <w:t>annotation,</w:t>
      </w:r>
      <w:r>
        <w:rPr>
          <w:color w:val="333333"/>
          <w:spacing w:val="-17"/>
          <w:w w:val="110"/>
        </w:rPr>
        <w:t xml:space="preserve"> </w:t>
      </w:r>
      <w:r>
        <w:rPr>
          <w:color w:val="333333"/>
          <w:w w:val="110"/>
        </w:rPr>
        <w:t>use</w:t>
      </w:r>
      <w:r>
        <w:rPr>
          <w:color w:val="333333"/>
          <w:spacing w:val="-17"/>
          <w:w w:val="110"/>
        </w:rPr>
        <w:t xml:space="preserve"> </w:t>
      </w:r>
      <w:r>
        <w:rPr>
          <w:color w:val="333333"/>
          <w:w w:val="110"/>
        </w:rPr>
        <w:t>code</w:t>
      </w:r>
      <w:r>
        <w:rPr>
          <w:color w:val="333333"/>
          <w:spacing w:val="-17"/>
          <w:w w:val="110"/>
        </w:rPr>
        <w:t xml:space="preserve"> </w:t>
      </w:r>
      <w:r>
        <w:rPr>
          <w:color w:val="333333"/>
          <w:w w:val="110"/>
        </w:rPr>
        <w:t>similar to that shown in the following</w:t>
      </w:r>
      <w:r>
        <w:rPr>
          <w:color w:val="333333"/>
          <w:spacing w:val="20"/>
          <w:w w:val="110"/>
        </w:rPr>
        <w:t xml:space="preserve"> </w:t>
      </w:r>
      <w:r>
        <w:rPr>
          <w:color w:val="333333"/>
          <w:w w:val="110"/>
        </w:rPr>
        <w:t>example:</w:t>
      </w:r>
    </w:p>
    <w:p w14:paraId="6B226DC0" w14:textId="77777777" w:rsidR="00A720EB" w:rsidRDefault="00A720EB">
      <w:pPr>
        <w:spacing w:line="285" w:lineRule="auto"/>
        <w:jc w:val="both"/>
        <w:sectPr w:rsidR="00A720EB">
          <w:pgSz w:w="11910" w:h="16840"/>
          <w:pgMar w:top="700" w:right="840" w:bottom="520" w:left="840" w:header="0" w:footer="323" w:gutter="0"/>
          <w:cols w:space="720"/>
        </w:sectPr>
      </w:pPr>
    </w:p>
    <w:p w14:paraId="22D95E21" w14:textId="77777777" w:rsidR="00A720EB" w:rsidRDefault="00E10349">
      <w:pPr>
        <w:pStyle w:val="a3"/>
        <w:ind w:left="116"/>
        <w:rPr>
          <w:sz w:val="20"/>
        </w:rPr>
      </w:pPr>
      <w:r>
        <w:rPr>
          <w:sz w:val="20"/>
        </w:rPr>
      </w:r>
      <w:r>
        <w:rPr>
          <w:sz w:val="20"/>
        </w:rPr>
        <w:pict w14:anchorId="0667D5CA">
          <v:group id="_x0000_s1216" style="width:499.55pt;height:229.15pt;mso-position-horizontal-relative:char;mso-position-vertical-relative:line" coordsize="9991,4583">
            <v:shape id="_x0000_s1219" style="position:absolute;left:7;top:7;width:9976;height:4568" coordorigin="8,8" coordsize="9976,4568" path="m9904,8l88,8,56,14,31,31,14,56,8,88r,4407l14,4526r17,25l56,4568r32,7l9904,4575r31,-7l9960,4551r17,-25l9984,4495r,-4407l9977,56,9960,31,9935,14,9904,8xe" fillcolor="#f5f5f5" stroked="f">
              <v:path arrowok="t"/>
            </v:shape>
            <v:shape id="_x0000_s1218" style="position:absolute;left:7;top:7;width:9976;height:4568" coordorigin="8,8" coordsize="9976,4568" path="m88,8r9816,l9935,14r25,17l9977,56r7,32l9984,4495r-7,31l9960,4551r-25,17l9904,4575r-9816,l56,4568,31,4551,14,4526,8,4495,8,88,14,56,31,31,56,14,88,8xe" filled="f" strokecolor="#ccc">
              <v:path arrowok="t"/>
            </v:shape>
            <v:shape id="_x0000_s1217" type="#_x0000_t202" style="position:absolute;left:26;top:22;width:9938;height:4537" filled="f" stroked="f">
              <v:textbox inset="0,0,0,0">
                <w:txbxContent>
                  <w:p w14:paraId="07AC264C" w14:textId="77777777" w:rsidR="00711A16" w:rsidRDefault="00711A16">
                    <w:pPr>
                      <w:spacing w:before="221"/>
                      <w:ind w:left="200"/>
                      <w:rPr>
                        <w:rFonts w:ascii="MS Gothic"/>
                      </w:rPr>
                    </w:pPr>
                    <w:r>
                      <w:rPr>
                        <w:rFonts w:ascii="MS Gothic"/>
                        <w:color w:val="333333"/>
                      </w:rPr>
                      <w:t>@SpringBootApplication</w:t>
                    </w:r>
                  </w:p>
                  <w:p w14:paraId="7245DCC4" w14:textId="77777777" w:rsidR="00711A16" w:rsidRDefault="00711A16">
                    <w:pPr>
                      <w:spacing w:before="13"/>
                      <w:ind w:left="200"/>
                      <w:rPr>
                        <w:rFonts w:ascii="MS Gothic"/>
                      </w:rPr>
                    </w:pPr>
                    <w:r>
                      <w:rPr>
                        <w:rFonts w:ascii="MS Gothic"/>
                        <w:color w:val="333333"/>
                      </w:rPr>
                      <w:t>public class Application extends SpringBootServletInitializer {</w:t>
                    </w:r>
                  </w:p>
                  <w:p w14:paraId="7D334884" w14:textId="77777777" w:rsidR="00711A16" w:rsidRDefault="00711A16">
                    <w:pPr>
                      <w:rPr>
                        <w:rFonts w:ascii="MS Gothic"/>
                        <w:sz w:val="24"/>
                      </w:rPr>
                    </w:pPr>
                  </w:p>
                  <w:p w14:paraId="3371FB8C" w14:textId="77777777" w:rsidR="00711A16" w:rsidRDefault="00711A16">
                    <w:pPr>
                      <w:ind w:left="640"/>
                      <w:rPr>
                        <w:rFonts w:ascii="MS Gothic"/>
                      </w:rPr>
                    </w:pPr>
                    <w:r>
                      <w:rPr>
                        <w:rFonts w:ascii="MS Gothic"/>
                        <w:color w:val="333333"/>
                      </w:rPr>
                      <w:t>@Override</w:t>
                    </w:r>
                  </w:p>
                  <w:p w14:paraId="36CBEC9F" w14:textId="77777777" w:rsidR="00711A16" w:rsidRDefault="00711A16">
                    <w:pPr>
                      <w:spacing w:before="13"/>
                      <w:ind w:left="640"/>
                      <w:rPr>
                        <w:rFonts w:ascii="MS Gothic"/>
                      </w:rPr>
                    </w:pPr>
                    <w:r>
                      <w:rPr>
                        <w:rFonts w:ascii="MS Gothic"/>
                        <w:color w:val="333333"/>
                      </w:rPr>
                      <w:t xml:space="preserve">protected SpringApplicationBuilder </w:t>
                    </w:r>
                    <w:proofErr w:type="gramStart"/>
                    <w:r>
                      <w:rPr>
                        <w:rFonts w:ascii="MS Gothic"/>
                        <w:color w:val="333333"/>
                      </w:rPr>
                      <w:t>configure(</w:t>
                    </w:r>
                    <w:proofErr w:type="gramEnd"/>
                    <w:r>
                      <w:rPr>
                        <w:rFonts w:ascii="MS Gothic"/>
                        <w:color w:val="333333"/>
                      </w:rPr>
                      <w:t>SpringApplicationBuilder application)</w:t>
                    </w:r>
                  </w:p>
                  <w:p w14:paraId="48416388" w14:textId="77777777" w:rsidR="00711A16" w:rsidRDefault="00711A16">
                    <w:pPr>
                      <w:spacing w:before="13"/>
                      <w:ind w:left="200"/>
                      <w:rPr>
                        <w:rFonts w:ascii="MS Gothic"/>
                      </w:rPr>
                    </w:pPr>
                    <w:r>
                      <w:rPr>
                        <w:rFonts w:ascii="MS Gothic"/>
                        <w:color w:val="333333"/>
                      </w:rPr>
                      <w:t>{</w:t>
                    </w:r>
                  </w:p>
                  <w:p w14:paraId="0F943519" w14:textId="77777777" w:rsidR="00711A16" w:rsidRDefault="00711A16">
                    <w:pPr>
                      <w:spacing w:before="13"/>
                      <w:ind w:left="1080"/>
                      <w:rPr>
                        <w:rFonts w:ascii="MS Gothic"/>
                      </w:rPr>
                    </w:pPr>
                    <w:r>
                      <w:rPr>
                        <w:rFonts w:ascii="MS Gothic"/>
                        <w:color w:val="333333"/>
                      </w:rPr>
                      <w:t xml:space="preserve">// Customize the application or call </w:t>
                    </w:r>
                    <w:proofErr w:type="gramStart"/>
                    <w:r>
                      <w:rPr>
                        <w:rFonts w:ascii="MS Gothic"/>
                        <w:color w:val="333333"/>
                      </w:rPr>
                      <w:t>application.sources</w:t>
                    </w:r>
                    <w:proofErr w:type="gramEnd"/>
                    <w:r>
                      <w:rPr>
                        <w:rFonts w:ascii="MS Gothic"/>
                        <w:color w:val="333333"/>
                      </w:rPr>
                      <w:t>(...) to add sources</w:t>
                    </w:r>
                  </w:p>
                  <w:p w14:paraId="43C5A7A5" w14:textId="77777777" w:rsidR="00711A16" w:rsidRDefault="00711A16">
                    <w:pPr>
                      <w:spacing w:before="13" w:line="252" w:lineRule="auto"/>
                      <w:ind w:left="200" w:right="2458" w:firstLine="880"/>
                      <w:rPr>
                        <w:rFonts w:ascii="MS Gothic"/>
                      </w:rPr>
                    </w:pPr>
                    <w:r>
                      <w:rPr>
                        <w:rFonts w:ascii="MS Gothic"/>
                        <w:color w:val="333333"/>
                      </w:rPr>
                      <w:t>// Since our example is itself a @Configuration class (via @SpringBootApplication)</w:t>
                    </w:r>
                  </w:p>
                  <w:p w14:paraId="10BD3B30" w14:textId="77777777" w:rsidR="00711A16" w:rsidRDefault="00711A16">
                    <w:pPr>
                      <w:spacing w:line="252" w:lineRule="auto"/>
                      <w:ind w:left="1080" w:right="3338"/>
                      <w:rPr>
                        <w:rFonts w:ascii="MS Gothic"/>
                      </w:rPr>
                    </w:pPr>
                    <w:r>
                      <w:rPr>
                        <w:rFonts w:ascii="MS Gothic"/>
                        <w:color w:val="333333"/>
                      </w:rPr>
                      <w:t>// we actually don't need to override this method. return application;</w:t>
                    </w:r>
                  </w:p>
                  <w:p w14:paraId="46945689" w14:textId="77777777" w:rsidR="00711A16" w:rsidRDefault="00711A16">
                    <w:pPr>
                      <w:spacing w:line="280" w:lineRule="exact"/>
                      <w:ind w:left="640"/>
                      <w:rPr>
                        <w:rFonts w:ascii="MS Gothic"/>
                      </w:rPr>
                    </w:pPr>
                    <w:r>
                      <w:rPr>
                        <w:rFonts w:ascii="MS Gothic"/>
                        <w:color w:val="333333"/>
                      </w:rPr>
                      <w:t>}</w:t>
                    </w:r>
                  </w:p>
                  <w:p w14:paraId="43C8A527" w14:textId="77777777" w:rsidR="00711A16" w:rsidRDefault="00711A16">
                    <w:pPr>
                      <w:spacing w:before="10"/>
                      <w:rPr>
                        <w:rFonts w:ascii="MS Gothic"/>
                        <w:sz w:val="23"/>
                      </w:rPr>
                    </w:pPr>
                  </w:p>
                  <w:p w14:paraId="0374ABC7" w14:textId="77777777" w:rsidR="00711A16" w:rsidRDefault="00711A16">
                    <w:pPr>
                      <w:ind w:left="200"/>
                      <w:rPr>
                        <w:rFonts w:ascii="MS Gothic"/>
                      </w:rPr>
                    </w:pPr>
                    <w:r>
                      <w:rPr>
                        <w:rFonts w:ascii="MS Gothic"/>
                        <w:color w:val="333333"/>
                      </w:rPr>
                      <w:t>}</w:t>
                    </w:r>
                  </w:p>
                </w:txbxContent>
              </v:textbox>
            </v:shape>
            <w10:anchorlock/>
          </v:group>
        </w:pict>
      </w:r>
    </w:p>
    <w:p w14:paraId="07FCE9BD" w14:textId="77777777" w:rsidR="00A720EB" w:rsidRDefault="00A720EB">
      <w:pPr>
        <w:pStyle w:val="a3"/>
        <w:spacing w:before="7"/>
        <w:rPr>
          <w:sz w:val="9"/>
        </w:rPr>
      </w:pPr>
    </w:p>
    <w:p w14:paraId="0C9FB1A8" w14:textId="77777777" w:rsidR="00A720EB" w:rsidRDefault="0030286B">
      <w:pPr>
        <w:pStyle w:val="a3"/>
        <w:spacing w:before="116" w:line="302" w:lineRule="auto"/>
        <w:ind w:left="124" w:right="122"/>
        <w:jc w:val="both"/>
      </w:pPr>
      <w:r>
        <w:rPr>
          <w:color w:val="333333"/>
          <w:w w:val="110"/>
        </w:rPr>
        <w:t xml:space="preserve">Remember that, whatever you put in the </w:t>
      </w:r>
      <w:r>
        <w:rPr>
          <w:rFonts w:ascii="MS Gothic"/>
          <w:color w:val="B02045"/>
          <w:w w:val="110"/>
        </w:rPr>
        <w:t xml:space="preserve">sources </w:t>
      </w:r>
      <w:r>
        <w:rPr>
          <w:color w:val="333333"/>
          <w:w w:val="110"/>
        </w:rPr>
        <w:t xml:space="preserve">is merely a Spring </w:t>
      </w:r>
      <w:r>
        <w:rPr>
          <w:rFonts w:ascii="MS Gothic"/>
          <w:color w:val="B02045"/>
          <w:w w:val="110"/>
        </w:rPr>
        <w:t>ApplicationContext</w:t>
      </w:r>
      <w:r>
        <w:rPr>
          <w:color w:val="333333"/>
          <w:w w:val="110"/>
        </w:rPr>
        <w:t xml:space="preserve">. </w:t>
      </w:r>
      <w:r>
        <w:rPr>
          <w:color w:val="333333"/>
          <w:spacing w:val="-3"/>
          <w:w w:val="110"/>
        </w:rPr>
        <w:t xml:space="preserve">Normally, </w:t>
      </w:r>
      <w:r>
        <w:rPr>
          <w:color w:val="333333"/>
          <w:w w:val="110"/>
        </w:rPr>
        <w:t>anything that already works should work here. There might be some beans you can remove later   and let Spring Boot provide its own defaults for them, but it should be possible to get something working before you need to do</w:t>
      </w:r>
      <w:r>
        <w:rPr>
          <w:color w:val="333333"/>
          <w:spacing w:val="17"/>
          <w:w w:val="110"/>
        </w:rPr>
        <w:t xml:space="preserve"> </w:t>
      </w:r>
      <w:r>
        <w:rPr>
          <w:color w:val="333333"/>
          <w:w w:val="110"/>
        </w:rPr>
        <w:t>that.</w:t>
      </w:r>
    </w:p>
    <w:p w14:paraId="656F4422" w14:textId="77777777" w:rsidR="00A720EB" w:rsidRDefault="0030286B">
      <w:pPr>
        <w:pStyle w:val="a3"/>
        <w:spacing w:before="233" w:line="285" w:lineRule="auto"/>
        <w:ind w:left="124" w:right="123"/>
        <w:jc w:val="both"/>
      </w:pPr>
      <w:r>
        <w:rPr>
          <w:color w:val="333333"/>
          <w:w w:val="110"/>
        </w:rPr>
        <w:t>Static</w:t>
      </w:r>
      <w:r>
        <w:rPr>
          <w:color w:val="333333"/>
          <w:spacing w:val="-3"/>
          <w:w w:val="110"/>
        </w:rPr>
        <w:t xml:space="preserve"> </w:t>
      </w:r>
      <w:r>
        <w:rPr>
          <w:color w:val="333333"/>
          <w:w w:val="110"/>
        </w:rPr>
        <w:t>resources</w:t>
      </w:r>
      <w:r>
        <w:rPr>
          <w:color w:val="333333"/>
          <w:spacing w:val="-3"/>
          <w:w w:val="110"/>
        </w:rPr>
        <w:t xml:space="preserve"> </w:t>
      </w:r>
      <w:r>
        <w:rPr>
          <w:color w:val="333333"/>
          <w:w w:val="110"/>
        </w:rPr>
        <w:t>can</w:t>
      </w:r>
      <w:r>
        <w:rPr>
          <w:color w:val="333333"/>
          <w:spacing w:val="-2"/>
          <w:w w:val="110"/>
        </w:rPr>
        <w:t xml:space="preserve"> </w:t>
      </w:r>
      <w:r>
        <w:rPr>
          <w:color w:val="333333"/>
          <w:w w:val="110"/>
        </w:rPr>
        <w:t>be</w:t>
      </w:r>
      <w:r>
        <w:rPr>
          <w:color w:val="333333"/>
          <w:spacing w:val="-3"/>
          <w:w w:val="110"/>
        </w:rPr>
        <w:t xml:space="preserve"> </w:t>
      </w:r>
      <w:r>
        <w:rPr>
          <w:color w:val="333333"/>
          <w:w w:val="110"/>
        </w:rPr>
        <w:t>moved</w:t>
      </w:r>
      <w:r>
        <w:rPr>
          <w:color w:val="333333"/>
          <w:spacing w:val="-3"/>
          <w:w w:val="110"/>
        </w:rPr>
        <w:t xml:space="preserve"> </w:t>
      </w:r>
      <w:r>
        <w:rPr>
          <w:color w:val="333333"/>
          <w:w w:val="110"/>
        </w:rPr>
        <w:t xml:space="preserve">to </w:t>
      </w:r>
      <w:r>
        <w:rPr>
          <w:rFonts w:ascii="MS Gothic"/>
          <w:color w:val="B02045"/>
          <w:w w:val="110"/>
        </w:rPr>
        <w:t>/public</w:t>
      </w:r>
      <w:r>
        <w:rPr>
          <w:rFonts w:ascii="MS Gothic"/>
          <w:color w:val="B02045"/>
          <w:spacing w:val="-67"/>
          <w:w w:val="110"/>
        </w:rPr>
        <w:t xml:space="preserve"> </w:t>
      </w:r>
      <w:r>
        <w:rPr>
          <w:color w:val="333333"/>
          <w:w w:val="110"/>
        </w:rPr>
        <w:t>(or</w:t>
      </w:r>
      <w:r>
        <w:rPr>
          <w:color w:val="333333"/>
          <w:spacing w:val="-3"/>
          <w:w w:val="110"/>
        </w:rPr>
        <w:t xml:space="preserve"> </w:t>
      </w:r>
      <w:r>
        <w:rPr>
          <w:rFonts w:ascii="MS Gothic"/>
          <w:color w:val="B02045"/>
          <w:w w:val="110"/>
        </w:rPr>
        <w:t>/static</w:t>
      </w:r>
      <w:r>
        <w:rPr>
          <w:rFonts w:ascii="MS Gothic"/>
          <w:color w:val="B02045"/>
          <w:spacing w:val="-67"/>
          <w:w w:val="110"/>
        </w:rPr>
        <w:t xml:space="preserve"> </w:t>
      </w:r>
      <w:r>
        <w:rPr>
          <w:color w:val="333333"/>
          <w:w w:val="110"/>
        </w:rPr>
        <w:t>or</w:t>
      </w:r>
      <w:r>
        <w:rPr>
          <w:color w:val="333333"/>
          <w:spacing w:val="-2"/>
          <w:w w:val="110"/>
        </w:rPr>
        <w:t xml:space="preserve"> </w:t>
      </w:r>
      <w:r>
        <w:rPr>
          <w:rFonts w:ascii="MS Gothic"/>
          <w:color w:val="B02045"/>
          <w:w w:val="110"/>
        </w:rPr>
        <w:t>/resources</w:t>
      </w:r>
      <w:r>
        <w:rPr>
          <w:rFonts w:ascii="MS Gothic"/>
          <w:color w:val="B02045"/>
          <w:spacing w:val="-67"/>
          <w:w w:val="110"/>
        </w:rPr>
        <w:t xml:space="preserve"> </w:t>
      </w:r>
      <w:r>
        <w:rPr>
          <w:color w:val="333333"/>
          <w:w w:val="110"/>
        </w:rPr>
        <w:t>or</w:t>
      </w:r>
      <w:r>
        <w:rPr>
          <w:color w:val="333333"/>
          <w:spacing w:val="-3"/>
          <w:w w:val="110"/>
        </w:rPr>
        <w:t xml:space="preserve"> </w:t>
      </w:r>
      <w:r>
        <w:rPr>
          <w:rFonts w:ascii="MS Gothic"/>
          <w:color w:val="B02045"/>
          <w:w w:val="110"/>
        </w:rPr>
        <w:t>/META-INF/resources</w:t>
      </w:r>
      <w:r>
        <w:rPr>
          <w:color w:val="333333"/>
          <w:w w:val="110"/>
        </w:rPr>
        <w:t>)</w:t>
      </w:r>
      <w:r>
        <w:rPr>
          <w:color w:val="333333"/>
          <w:spacing w:val="-3"/>
          <w:w w:val="110"/>
        </w:rPr>
        <w:t xml:space="preserve"> </w:t>
      </w:r>
      <w:r>
        <w:rPr>
          <w:color w:val="333333"/>
          <w:w w:val="110"/>
        </w:rPr>
        <w:t>in</w:t>
      </w:r>
      <w:r>
        <w:rPr>
          <w:color w:val="333333"/>
          <w:spacing w:val="-2"/>
          <w:w w:val="110"/>
        </w:rPr>
        <w:t xml:space="preserve"> </w:t>
      </w:r>
      <w:r>
        <w:rPr>
          <w:color w:val="333333"/>
          <w:w w:val="110"/>
        </w:rPr>
        <w:t>the classpath</w:t>
      </w:r>
      <w:r>
        <w:rPr>
          <w:color w:val="333333"/>
          <w:spacing w:val="-9"/>
          <w:w w:val="110"/>
        </w:rPr>
        <w:t xml:space="preserve"> </w:t>
      </w:r>
      <w:r>
        <w:rPr>
          <w:color w:val="333333"/>
          <w:w w:val="110"/>
        </w:rPr>
        <w:t>root.</w:t>
      </w:r>
      <w:r>
        <w:rPr>
          <w:color w:val="333333"/>
          <w:spacing w:val="-9"/>
          <w:w w:val="110"/>
        </w:rPr>
        <w:t xml:space="preserve"> </w:t>
      </w:r>
      <w:r>
        <w:rPr>
          <w:color w:val="333333"/>
          <w:w w:val="110"/>
        </w:rPr>
        <w:t>The</w:t>
      </w:r>
      <w:r>
        <w:rPr>
          <w:color w:val="333333"/>
          <w:spacing w:val="-9"/>
          <w:w w:val="110"/>
        </w:rPr>
        <w:t xml:space="preserve"> </w:t>
      </w:r>
      <w:r>
        <w:rPr>
          <w:color w:val="333333"/>
          <w:w w:val="110"/>
        </w:rPr>
        <w:t>same</w:t>
      </w:r>
      <w:r>
        <w:rPr>
          <w:color w:val="333333"/>
          <w:spacing w:val="-9"/>
          <w:w w:val="110"/>
        </w:rPr>
        <w:t xml:space="preserve"> </w:t>
      </w:r>
      <w:r>
        <w:rPr>
          <w:color w:val="333333"/>
          <w:w w:val="110"/>
        </w:rPr>
        <w:t>applies</w:t>
      </w:r>
      <w:r>
        <w:rPr>
          <w:color w:val="333333"/>
          <w:spacing w:val="-10"/>
          <w:w w:val="110"/>
        </w:rPr>
        <w:t xml:space="preserve"> </w:t>
      </w:r>
      <w:r>
        <w:rPr>
          <w:color w:val="333333"/>
          <w:w w:val="110"/>
        </w:rPr>
        <w:t>to</w:t>
      </w:r>
      <w:r>
        <w:rPr>
          <w:color w:val="333333"/>
          <w:spacing w:val="-7"/>
          <w:w w:val="110"/>
        </w:rPr>
        <w:t xml:space="preserve"> </w:t>
      </w:r>
      <w:proofErr w:type="gramStart"/>
      <w:r>
        <w:rPr>
          <w:rFonts w:ascii="MS Gothic"/>
          <w:color w:val="B02045"/>
          <w:w w:val="110"/>
        </w:rPr>
        <w:t>messages.properties</w:t>
      </w:r>
      <w:proofErr w:type="gramEnd"/>
      <w:r>
        <w:rPr>
          <w:rFonts w:ascii="MS Gothic"/>
          <w:color w:val="B02045"/>
          <w:spacing w:val="-74"/>
          <w:w w:val="110"/>
        </w:rPr>
        <w:t xml:space="preserve"> </w:t>
      </w:r>
      <w:r>
        <w:rPr>
          <w:color w:val="333333"/>
          <w:w w:val="110"/>
        </w:rPr>
        <w:t>(which</w:t>
      </w:r>
      <w:r>
        <w:rPr>
          <w:color w:val="333333"/>
          <w:spacing w:val="-8"/>
          <w:w w:val="110"/>
        </w:rPr>
        <w:t xml:space="preserve"> </w:t>
      </w:r>
      <w:r>
        <w:rPr>
          <w:color w:val="333333"/>
          <w:w w:val="110"/>
        </w:rPr>
        <w:t>Spring</w:t>
      </w:r>
      <w:r>
        <w:rPr>
          <w:color w:val="333333"/>
          <w:spacing w:val="-10"/>
          <w:w w:val="110"/>
        </w:rPr>
        <w:t xml:space="preserve"> </w:t>
      </w:r>
      <w:r>
        <w:rPr>
          <w:color w:val="333333"/>
          <w:w w:val="110"/>
        </w:rPr>
        <w:t>Boot</w:t>
      </w:r>
      <w:r>
        <w:rPr>
          <w:color w:val="333333"/>
          <w:spacing w:val="-9"/>
          <w:w w:val="110"/>
        </w:rPr>
        <w:t xml:space="preserve"> </w:t>
      </w:r>
      <w:r>
        <w:rPr>
          <w:color w:val="333333"/>
          <w:w w:val="110"/>
        </w:rPr>
        <w:t>automatically</w:t>
      </w:r>
      <w:r>
        <w:rPr>
          <w:color w:val="333333"/>
          <w:spacing w:val="-10"/>
          <w:w w:val="110"/>
        </w:rPr>
        <w:t xml:space="preserve"> </w:t>
      </w:r>
      <w:r>
        <w:rPr>
          <w:color w:val="333333"/>
          <w:w w:val="110"/>
        </w:rPr>
        <w:t>detects</w:t>
      </w:r>
      <w:r>
        <w:rPr>
          <w:color w:val="333333"/>
          <w:spacing w:val="-9"/>
          <w:w w:val="110"/>
        </w:rPr>
        <w:t xml:space="preserve"> </w:t>
      </w:r>
      <w:r>
        <w:rPr>
          <w:color w:val="333333"/>
          <w:w w:val="110"/>
        </w:rPr>
        <w:t>in the root of the</w:t>
      </w:r>
      <w:r>
        <w:rPr>
          <w:color w:val="333333"/>
          <w:spacing w:val="13"/>
          <w:w w:val="110"/>
        </w:rPr>
        <w:t xml:space="preserve"> </w:t>
      </w:r>
      <w:r>
        <w:rPr>
          <w:color w:val="333333"/>
          <w:w w:val="110"/>
        </w:rPr>
        <w:t>classpath).</w:t>
      </w:r>
    </w:p>
    <w:p w14:paraId="7895BED7" w14:textId="77777777" w:rsidR="00A720EB" w:rsidRDefault="00A720EB">
      <w:pPr>
        <w:pStyle w:val="a3"/>
        <w:spacing w:before="7"/>
      </w:pPr>
    </w:p>
    <w:p w14:paraId="23C72CED" w14:textId="77777777" w:rsidR="00A720EB" w:rsidRDefault="0030286B">
      <w:pPr>
        <w:pStyle w:val="a3"/>
        <w:spacing w:line="290" w:lineRule="auto"/>
        <w:ind w:left="124" w:right="123"/>
        <w:jc w:val="both"/>
      </w:pPr>
      <w:r>
        <w:rPr>
          <w:color w:val="333333"/>
          <w:w w:val="110"/>
        </w:rPr>
        <w:t xml:space="preserve">Vanilla usage of Spring </w:t>
      </w:r>
      <w:r>
        <w:rPr>
          <w:rFonts w:ascii="MS Gothic"/>
          <w:color w:val="B02045"/>
          <w:w w:val="110"/>
        </w:rPr>
        <w:t xml:space="preserve">DispatcherServlet </w:t>
      </w:r>
      <w:r>
        <w:rPr>
          <w:color w:val="333333"/>
          <w:w w:val="110"/>
        </w:rPr>
        <w:t xml:space="preserve">and Spring Security should require no further changes. If you have other features in your application (for instance, using other servlets or filters), you may need to add some configuration to your </w:t>
      </w:r>
      <w:r>
        <w:rPr>
          <w:rFonts w:ascii="MS Gothic"/>
          <w:color w:val="B02045"/>
          <w:w w:val="110"/>
        </w:rPr>
        <w:t xml:space="preserve">Application </w:t>
      </w:r>
      <w:r>
        <w:rPr>
          <w:color w:val="333333"/>
          <w:w w:val="110"/>
        </w:rPr>
        <w:t xml:space="preserve">context, by replacing those elements from the </w:t>
      </w:r>
      <w:r>
        <w:rPr>
          <w:rFonts w:ascii="MS Gothic"/>
          <w:color w:val="B02045"/>
          <w:w w:val="110"/>
        </w:rPr>
        <w:t>web.xml</w:t>
      </w:r>
      <w:r>
        <w:rPr>
          <w:color w:val="333333"/>
          <w:w w:val="110"/>
        </w:rPr>
        <w:t>, as follows:</w:t>
      </w:r>
    </w:p>
    <w:p w14:paraId="2B134C74" w14:textId="77777777" w:rsidR="00A720EB" w:rsidRDefault="0030286B">
      <w:pPr>
        <w:pStyle w:val="a6"/>
        <w:numPr>
          <w:ilvl w:val="3"/>
          <w:numId w:val="13"/>
        </w:numPr>
        <w:tabs>
          <w:tab w:val="left" w:pos="485"/>
        </w:tabs>
        <w:spacing w:before="228" w:line="280" w:lineRule="auto"/>
        <w:ind w:right="127"/>
        <w:jc w:val="both"/>
        <w:rPr>
          <w:sz w:val="21"/>
        </w:rPr>
      </w:pPr>
      <w:r>
        <w:rPr>
          <w:color w:val="333333"/>
          <w:w w:val="110"/>
          <w:sz w:val="21"/>
        </w:rPr>
        <w:t xml:space="preserve">A </w:t>
      </w:r>
      <w:r>
        <w:rPr>
          <w:rFonts w:ascii="MS Gothic" w:hAnsi="MS Gothic"/>
          <w:color w:val="B02045"/>
          <w:w w:val="110"/>
          <w:sz w:val="21"/>
        </w:rPr>
        <w:t xml:space="preserve">@Bean </w:t>
      </w:r>
      <w:r>
        <w:rPr>
          <w:color w:val="333333"/>
          <w:w w:val="110"/>
          <w:sz w:val="21"/>
        </w:rPr>
        <w:t xml:space="preserve">of type </w:t>
      </w:r>
      <w:r>
        <w:rPr>
          <w:rFonts w:ascii="MS Gothic" w:hAnsi="MS Gothic"/>
          <w:color w:val="B02045"/>
          <w:w w:val="110"/>
          <w:sz w:val="21"/>
        </w:rPr>
        <w:t xml:space="preserve">Servlet </w:t>
      </w:r>
      <w:r>
        <w:rPr>
          <w:color w:val="333333"/>
          <w:w w:val="110"/>
          <w:sz w:val="21"/>
        </w:rPr>
        <w:t xml:space="preserve">or </w:t>
      </w:r>
      <w:r>
        <w:rPr>
          <w:rFonts w:ascii="MS Gothic" w:hAnsi="MS Gothic"/>
          <w:color w:val="B02045"/>
          <w:w w:val="110"/>
          <w:sz w:val="21"/>
        </w:rPr>
        <w:t xml:space="preserve">ServletRegistrationBean </w:t>
      </w:r>
      <w:r>
        <w:rPr>
          <w:color w:val="333333"/>
          <w:w w:val="110"/>
          <w:sz w:val="21"/>
        </w:rPr>
        <w:t>installs that bean in the container as if it were</w:t>
      </w:r>
      <w:r>
        <w:rPr>
          <w:color w:val="333333"/>
          <w:spacing w:val="-2"/>
          <w:w w:val="110"/>
          <w:sz w:val="21"/>
        </w:rPr>
        <w:t xml:space="preserve"> </w:t>
      </w:r>
      <w:r>
        <w:rPr>
          <w:color w:val="333333"/>
          <w:w w:val="110"/>
          <w:sz w:val="21"/>
        </w:rPr>
        <w:t xml:space="preserve">a </w:t>
      </w:r>
      <w:r>
        <w:rPr>
          <w:rFonts w:ascii="MS Gothic" w:hAnsi="MS Gothic"/>
          <w:color w:val="B02045"/>
          <w:w w:val="110"/>
          <w:sz w:val="21"/>
        </w:rPr>
        <w:t>&lt;servlet/&gt;</w:t>
      </w:r>
      <w:r>
        <w:rPr>
          <w:rFonts w:ascii="MS Gothic" w:hAnsi="MS Gothic"/>
          <w:color w:val="B02045"/>
          <w:spacing w:val="-65"/>
          <w:w w:val="110"/>
          <w:sz w:val="21"/>
        </w:rPr>
        <w:t xml:space="preserve"> </w:t>
      </w:r>
      <w:r>
        <w:rPr>
          <w:color w:val="333333"/>
          <w:w w:val="110"/>
          <w:sz w:val="21"/>
        </w:rPr>
        <w:t xml:space="preserve">and </w:t>
      </w:r>
      <w:r>
        <w:rPr>
          <w:rFonts w:ascii="MS Gothic" w:hAnsi="MS Gothic"/>
          <w:color w:val="B02045"/>
          <w:w w:val="110"/>
          <w:sz w:val="21"/>
        </w:rPr>
        <w:t>&lt;servlet-mapping/&gt;</w:t>
      </w:r>
      <w:r>
        <w:rPr>
          <w:rFonts w:ascii="MS Gothic" w:hAnsi="MS Gothic"/>
          <w:color w:val="B02045"/>
          <w:spacing w:val="-66"/>
          <w:w w:val="110"/>
          <w:sz w:val="21"/>
        </w:rPr>
        <w:t xml:space="preserve"> </w:t>
      </w:r>
      <w:r>
        <w:rPr>
          <w:color w:val="333333"/>
          <w:w w:val="110"/>
          <w:sz w:val="21"/>
        </w:rPr>
        <w:t xml:space="preserve">in </w:t>
      </w:r>
      <w:r>
        <w:rPr>
          <w:rFonts w:ascii="MS Gothic" w:hAnsi="MS Gothic"/>
          <w:color w:val="B02045"/>
          <w:w w:val="110"/>
          <w:sz w:val="21"/>
        </w:rPr>
        <w:t>web.xml</w:t>
      </w:r>
      <w:r>
        <w:rPr>
          <w:color w:val="333333"/>
          <w:w w:val="110"/>
          <w:sz w:val="21"/>
        </w:rPr>
        <w:t>.</w:t>
      </w:r>
    </w:p>
    <w:p w14:paraId="1E68B524" w14:textId="77777777" w:rsidR="00A720EB" w:rsidRDefault="0030286B">
      <w:pPr>
        <w:pStyle w:val="a6"/>
        <w:numPr>
          <w:ilvl w:val="3"/>
          <w:numId w:val="13"/>
        </w:numPr>
        <w:tabs>
          <w:tab w:val="left" w:pos="485"/>
        </w:tabs>
        <w:spacing w:before="121" w:line="280" w:lineRule="auto"/>
        <w:ind w:right="122"/>
        <w:jc w:val="both"/>
        <w:rPr>
          <w:sz w:val="21"/>
        </w:rPr>
      </w:pPr>
      <w:r>
        <w:rPr>
          <w:color w:val="333333"/>
          <w:w w:val="105"/>
          <w:sz w:val="21"/>
        </w:rPr>
        <w:t xml:space="preserve">A </w:t>
      </w:r>
      <w:r>
        <w:rPr>
          <w:rFonts w:ascii="MS Gothic" w:hAnsi="MS Gothic"/>
          <w:color w:val="B02045"/>
          <w:w w:val="105"/>
          <w:sz w:val="21"/>
        </w:rPr>
        <w:t xml:space="preserve">@Bean </w:t>
      </w:r>
      <w:r>
        <w:rPr>
          <w:color w:val="333333"/>
          <w:w w:val="105"/>
          <w:sz w:val="21"/>
        </w:rPr>
        <w:t xml:space="preserve">of type </w:t>
      </w:r>
      <w:r>
        <w:rPr>
          <w:rFonts w:ascii="MS Gothic" w:hAnsi="MS Gothic"/>
          <w:color w:val="B02045"/>
          <w:w w:val="105"/>
          <w:sz w:val="21"/>
        </w:rPr>
        <w:t xml:space="preserve">Filter </w:t>
      </w:r>
      <w:r>
        <w:rPr>
          <w:color w:val="333333"/>
          <w:w w:val="105"/>
          <w:sz w:val="21"/>
        </w:rPr>
        <w:t xml:space="preserve">or </w:t>
      </w:r>
      <w:r>
        <w:rPr>
          <w:rFonts w:ascii="MS Gothic" w:hAnsi="MS Gothic"/>
          <w:color w:val="B02045"/>
          <w:w w:val="105"/>
          <w:sz w:val="21"/>
        </w:rPr>
        <w:t xml:space="preserve">FilterRegistrationBean </w:t>
      </w:r>
      <w:r>
        <w:rPr>
          <w:color w:val="333333"/>
          <w:w w:val="105"/>
          <w:sz w:val="21"/>
        </w:rPr>
        <w:t xml:space="preserve">behaves similarly (as a </w:t>
      </w:r>
      <w:r>
        <w:rPr>
          <w:rFonts w:ascii="MS Gothic" w:hAnsi="MS Gothic"/>
          <w:color w:val="B02045"/>
          <w:w w:val="105"/>
          <w:sz w:val="21"/>
        </w:rPr>
        <w:t>&lt;filter/&gt;</w:t>
      </w:r>
      <w:r>
        <w:rPr>
          <w:rFonts w:ascii="MS Gothic" w:hAnsi="MS Gothic"/>
          <w:color w:val="B02045"/>
          <w:spacing w:val="-92"/>
          <w:w w:val="105"/>
          <w:sz w:val="21"/>
        </w:rPr>
        <w:t xml:space="preserve"> </w:t>
      </w:r>
      <w:r>
        <w:rPr>
          <w:color w:val="333333"/>
          <w:w w:val="105"/>
          <w:sz w:val="21"/>
        </w:rPr>
        <w:t xml:space="preserve">and </w:t>
      </w:r>
      <w:r>
        <w:rPr>
          <w:rFonts w:ascii="MS Gothic" w:hAnsi="MS Gothic"/>
          <w:color w:val="B02045"/>
          <w:w w:val="105"/>
          <w:sz w:val="21"/>
        </w:rPr>
        <w:t>&lt;filter- mapping/&gt;</w:t>
      </w:r>
      <w:r>
        <w:rPr>
          <w:color w:val="333333"/>
          <w:w w:val="105"/>
          <w:sz w:val="21"/>
        </w:rPr>
        <w:t>).</w:t>
      </w:r>
    </w:p>
    <w:p w14:paraId="31F9E5FE" w14:textId="77777777" w:rsidR="00A720EB" w:rsidRDefault="0030286B">
      <w:pPr>
        <w:pStyle w:val="a6"/>
        <w:numPr>
          <w:ilvl w:val="3"/>
          <w:numId w:val="13"/>
        </w:numPr>
        <w:tabs>
          <w:tab w:val="left" w:pos="485"/>
        </w:tabs>
        <w:spacing w:before="122" w:line="280" w:lineRule="auto"/>
        <w:ind w:right="123"/>
        <w:jc w:val="both"/>
        <w:rPr>
          <w:sz w:val="21"/>
        </w:rPr>
      </w:pPr>
      <w:r>
        <w:rPr>
          <w:color w:val="333333"/>
          <w:w w:val="110"/>
          <w:sz w:val="21"/>
        </w:rPr>
        <w:t xml:space="preserve">An </w:t>
      </w:r>
      <w:r>
        <w:rPr>
          <w:rFonts w:ascii="MS Gothic" w:hAnsi="MS Gothic"/>
          <w:color w:val="B02045"/>
          <w:w w:val="110"/>
          <w:sz w:val="21"/>
        </w:rPr>
        <w:t xml:space="preserve">ApplicationContext </w:t>
      </w:r>
      <w:r>
        <w:rPr>
          <w:color w:val="333333"/>
          <w:w w:val="110"/>
          <w:sz w:val="21"/>
        </w:rPr>
        <w:t xml:space="preserve">in an XML file can be added through an </w:t>
      </w:r>
      <w:r>
        <w:rPr>
          <w:rFonts w:ascii="MS Gothic" w:hAnsi="MS Gothic"/>
          <w:color w:val="B02045"/>
          <w:w w:val="110"/>
          <w:sz w:val="21"/>
        </w:rPr>
        <w:t xml:space="preserve">@ImportResource </w:t>
      </w:r>
      <w:r>
        <w:rPr>
          <w:color w:val="333333"/>
          <w:w w:val="110"/>
          <w:sz w:val="21"/>
        </w:rPr>
        <w:t xml:space="preserve">in your </w:t>
      </w:r>
      <w:r>
        <w:rPr>
          <w:rFonts w:ascii="MS Gothic" w:hAnsi="MS Gothic"/>
          <w:color w:val="B02045"/>
          <w:w w:val="110"/>
          <w:sz w:val="21"/>
        </w:rPr>
        <w:t>Application</w:t>
      </w:r>
      <w:r>
        <w:rPr>
          <w:color w:val="333333"/>
          <w:w w:val="110"/>
          <w:sz w:val="21"/>
        </w:rPr>
        <w:t xml:space="preserve">. </w:t>
      </w:r>
      <w:r>
        <w:rPr>
          <w:color w:val="333333"/>
          <w:spacing w:val="-3"/>
          <w:w w:val="110"/>
          <w:sz w:val="21"/>
        </w:rPr>
        <w:t xml:space="preserve">Alternatively, </w:t>
      </w:r>
      <w:r>
        <w:rPr>
          <w:color w:val="333333"/>
          <w:w w:val="110"/>
          <w:sz w:val="21"/>
        </w:rPr>
        <w:t xml:space="preserve">cases where annotation configuration is heavily used already can be recreated in a few lines as </w:t>
      </w:r>
      <w:r>
        <w:rPr>
          <w:rFonts w:ascii="MS Gothic" w:hAnsi="MS Gothic"/>
          <w:color w:val="B02045"/>
          <w:w w:val="110"/>
          <w:sz w:val="21"/>
        </w:rPr>
        <w:t>@Bean</w:t>
      </w:r>
      <w:r>
        <w:rPr>
          <w:rFonts w:ascii="MS Gothic" w:hAnsi="MS Gothic"/>
          <w:color w:val="B02045"/>
          <w:spacing w:val="-45"/>
          <w:w w:val="110"/>
          <w:sz w:val="21"/>
        </w:rPr>
        <w:t xml:space="preserve"> </w:t>
      </w:r>
      <w:r>
        <w:rPr>
          <w:color w:val="333333"/>
          <w:w w:val="110"/>
          <w:sz w:val="21"/>
        </w:rPr>
        <w:t>definitions.</w:t>
      </w:r>
    </w:p>
    <w:p w14:paraId="5AF918CA" w14:textId="77777777" w:rsidR="00A720EB" w:rsidRDefault="0030286B">
      <w:pPr>
        <w:pStyle w:val="a3"/>
        <w:spacing w:before="242"/>
        <w:ind w:left="124"/>
        <w:jc w:val="both"/>
      </w:pPr>
      <w:r>
        <w:rPr>
          <w:color w:val="333333"/>
          <w:w w:val="110"/>
        </w:rPr>
        <w:t xml:space="preserve">Once the war file is working, you can make it executable by adding a </w:t>
      </w:r>
      <w:r>
        <w:rPr>
          <w:rFonts w:ascii="MS Gothic"/>
          <w:color w:val="B02045"/>
          <w:w w:val="110"/>
        </w:rPr>
        <w:t xml:space="preserve">main </w:t>
      </w:r>
      <w:r>
        <w:rPr>
          <w:color w:val="333333"/>
          <w:w w:val="110"/>
        </w:rPr>
        <w:t>method to your</w:t>
      </w:r>
    </w:p>
    <w:p w14:paraId="2138DD38" w14:textId="77777777" w:rsidR="00A720EB" w:rsidRDefault="0030286B">
      <w:pPr>
        <w:pStyle w:val="a3"/>
        <w:spacing w:before="47"/>
        <w:ind w:left="124"/>
        <w:jc w:val="both"/>
      </w:pPr>
      <w:r>
        <w:rPr>
          <w:rFonts w:ascii="MS Gothic"/>
          <w:color w:val="B02045"/>
          <w:w w:val="110"/>
        </w:rPr>
        <w:t>Application</w:t>
      </w:r>
      <w:r>
        <w:rPr>
          <w:color w:val="333333"/>
          <w:w w:val="110"/>
        </w:rPr>
        <w:t>, as shown in the following example:</w:t>
      </w:r>
    </w:p>
    <w:p w14:paraId="1D8B6D09" w14:textId="77777777" w:rsidR="00A720EB" w:rsidRDefault="00E10349">
      <w:pPr>
        <w:pStyle w:val="a3"/>
        <w:spacing w:before="11"/>
        <w:rPr>
          <w:sz w:val="17"/>
        </w:rPr>
      </w:pPr>
      <w:r>
        <w:pict w14:anchorId="58815789">
          <v:group id="_x0000_s1212" style="position:absolute;margin-left:47.85pt;margin-top:12.5pt;width:499.55pt;height:67pt;z-index:-15031808;mso-wrap-distance-left:0;mso-wrap-distance-right:0;mso-position-horizontal-relative:page" coordorigin="957,250" coordsize="9991,1340">
            <v:shape id="_x0000_s1215" style="position:absolute;left:964;top:257;width:9976;height:1325" coordorigin="965,257" coordsize="9976,1325" path="m10861,257r-9816,l1014,264r-26,17l971,306r-6,31l965,1502r6,31l988,1558r26,17l1045,1582r9816,l10892,1575r25,-17l10935,1533r6,-31l10941,337r-6,-31l10917,281r-25,-17l10861,257xe" fillcolor="#f5f5f5" stroked="f">
              <v:path arrowok="t"/>
            </v:shape>
            <v:shape id="_x0000_s1214" style="position:absolute;left:964;top:257;width:9976;height:1325" coordorigin="965,257" coordsize="9976,1325" path="m1045,257r9816,l10892,264r25,17l10935,306r6,31l10941,1502r-6,31l10917,1558r-25,17l10861,1582r-9816,l1014,1575r-26,-17l971,1533r-6,-31l965,337r6,-31l988,281r26,-17l1045,257xe" filled="f" strokecolor="#ccc">
              <v:path arrowok="t"/>
            </v:shape>
            <v:shape id="_x0000_s1213" type="#_x0000_t202" style="position:absolute;left:984;top:272;width:9938;height:1294" filled="f" stroked="f">
              <v:textbox inset="0,0,0,0">
                <w:txbxContent>
                  <w:p w14:paraId="376D68A7" w14:textId="77777777" w:rsidR="00711A16" w:rsidRDefault="00711A16">
                    <w:pPr>
                      <w:spacing w:before="221" w:line="252" w:lineRule="auto"/>
                      <w:ind w:left="640" w:right="4108" w:hanging="4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 SpringApplication.run(Application.class, args);</w:t>
                    </w:r>
                  </w:p>
                  <w:p w14:paraId="7B54A25C" w14:textId="77777777" w:rsidR="00711A16" w:rsidRDefault="00711A16">
                    <w:pPr>
                      <w:spacing w:line="280" w:lineRule="exact"/>
                      <w:ind w:left="200"/>
                      <w:rPr>
                        <w:rFonts w:ascii="MS Gothic"/>
                      </w:rPr>
                    </w:pPr>
                    <w:r>
                      <w:rPr>
                        <w:rFonts w:ascii="MS Gothic"/>
                        <w:color w:val="333333"/>
                      </w:rPr>
                      <w:t>}</w:t>
                    </w:r>
                  </w:p>
                </w:txbxContent>
              </v:textbox>
            </v:shape>
            <w10:wrap type="topAndBottom" anchorx="page"/>
          </v:group>
        </w:pict>
      </w:r>
    </w:p>
    <w:p w14:paraId="08E2B4E2" w14:textId="77777777" w:rsidR="00A720EB" w:rsidRDefault="00A720EB">
      <w:pPr>
        <w:rPr>
          <w:sz w:val="17"/>
        </w:rPr>
        <w:sectPr w:rsidR="00A720EB">
          <w:pgSz w:w="11910" w:h="16840"/>
          <w:pgMar w:top="700" w:right="840" w:bottom="520" w:left="840" w:header="0" w:footer="323" w:gutter="0"/>
          <w:cols w:space="720"/>
        </w:sectPr>
      </w:pPr>
    </w:p>
    <w:p w14:paraId="7C4207EE" w14:textId="77777777" w:rsidR="00A720EB" w:rsidRDefault="00E10349">
      <w:pPr>
        <w:pStyle w:val="a3"/>
        <w:spacing w:before="122" w:line="297" w:lineRule="auto"/>
        <w:ind w:left="1564" w:right="364"/>
        <w:jc w:val="both"/>
      </w:pPr>
      <w:r>
        <w:lastRenderedPageBreak/>
        <w:pict w14:anchorId="7508029A">
          <v:line id="_x0000_s1211" style="position:absolute;left:0;text-align:left;z-index:16427008;mso-position-horizontal-relative:page" from="108.25pt,.1pt" to="108.25pt,400.05pt" strokecolor="#ededed" strokeweight=".5pt">
            <w10:wrap anchorx="page"/>
          </v:line>
        </w:pict>
      </w:r>
      <w:r w:rsidR="0030286B">
        <w:rPr>
          <w:color w:val="333333"/>
          <w:w w:val="110"/>
        </w:rPr>
        <w:t xml:space="preserve">If you intend to start your application as a war or as an executable application, you need to share the customizations of the builder in a method that is both available    to the </w:t>
      </w:r>
      <w:r w:rsidR="0030286B">
        <w:rPr>
          <w:rFonts w:ascii="MS Gothic"/>
          <w:color w:val="B02045"/>
          <w:w w:val="110"/>
        </w:rPr>
        <w:t xml:space="preserve">SpringBootServletInitializer </w:t>
      </w:r>
      <w:r w:rsidR="0030286B">
        <w:rPr>
          <w:color w:val="333333"/>
          <w:w w:val="110"/>
        </w:rPr>
        <w:t xml:space="preserve">callback and in the </w:t>
      </w:r>
      <w:r w:rsidR="0030286B">
        <w:rPr>
          <w:rFonts w:ascii="MS Gothic"/>
          <w:color w:val="B02045"/>
          <w:w w:val="110"/>
        </w:rPr>
        <w:t xml:space="preserve">main </w:t>
      </w:r>
      <w:r w:rsidR="0030286B">
        <w:rPr>
          <w:color w:val="333333"/>
          <w:w w:val="110"/>
        </w:rPr>
        <w:t>method in a class similar to the</w:t>
      </w:r>
      <w:r w:rsidR="0030286B">
        <w:rPr>
          <w:color w:val="333333"/>
          <w:spacing w:val="10"/>
          <w:w w:val="110"/>
        </w:rPr>
        <w:t xml:space="preserve"> </w:t>
      </w:r>
      <w:r w:rsidR="0030286B">
        <w:rPr>
          <w:color w:val="333333"/>
          <w:w w:val="110"/>
        </w:rPr>
        <w:t>following:</w:t>
      </w:r>
    </w:p>
    <w:p w14:paraId="0C3740C2" w14:textId="77777777" w:rsidR="00A720EB" w:rsidRDefault="0030286B">
      <w:pPr>
        <w:pStyle w:val="a3"/>
        <w:spacing w:before="1"/>
        <w:rPr>
          <w:sz w:val="14"/>
        </w:rPr>
      </w:pPr>
      <w:r>
        <w:rPr>
          <w:noProof/>
        </w:rPr>
        <w:drawing>
          <wp:anchor distT="0" distB="0" distL="0" distR="0" simplePos="0" relativeHeight="1362" behindDoc="0" locked="0" layoutInCell="1" allowOverlap="1" wp14:anchorId="4F58B3FF" wp14:editId="18FE26C4">
            <wp:simplePos x="0" y="0"/>
            <wp:positionH relativeFrom="page">
              <wp:posOffset>844422</wp:posOffset>
            </wp:positionH>
            <wp:positionV relativeFrom="paragraph">
              <wp:posOffset>1520769</wp:posOffset>
            </wp:positionV>
            <wp:extent cx="295465" cy="295465"/>
            <wp:effectExtent l="0" t="0" r="0" b="0"/>
            <wp:wrapTopAndBottom/>
            <wp:docPr id="7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1.png"/>
                    <pic:cNvPicPr/>
                  </pic:nvPicPr>
                  <pic:blipFill>
                    <a:blip r:embed="rId24" cstate="print"/>
                    <a:stretch>
                      <a:fillRect/>
                    </a:stretch>
                  </pic:blipFill>
                  <pic:spPr>
                    <a:xfrm>
                      <a:off x="0" y="0"/>
                      <a:ext cx="295465" cy="295465"/>
                    </a:xfrm>
                    <a:prstGeom prst="rect">
                      <a:avLst/>
                    </a:prstGeom>
                  </pic:spPr>
                </pic:pic>
              </a:graphicData>
            </a:graphic>
          </wp:anchor>
        </w:drawing>
      </w:r>
      <w:r w:rsidR="00E10349">
        <w:pict w14:anchorId="6921DA9C">
          <v:group id="_x0000_s1207" style="position:absolute;margin-left:119.85pt;margin-top:10.3pt;width:415.55pt;height:317.55pt;z-index:-15030784;mso-wrap-distance-left:0;mso-wrap-distance-right:0;mso-position-horizontal-relative:page;mso-position-vertical-relative:text" coordorigin="2397,206" coordsize="8311,6351">
            <v:shape id="_x0000_s1210" style="position:absolute;left:2404;top:213;width:8296;height:6336" coordorigin="2405,213" coordsize="8296,6336" path="m10621,213r-8136,l2454,219r-26,18l2411,262r-6,31l2405,6469r6,31l2428,6526r26,17l2485,6549r8136,l10652,6543r25,-17l10695,6500r6,-31l10701,293r-6,-31l10677,237r-25,-18l10621,213xe" fillcolor="#f5f5f5" stroked="f">
              <v:path arrowok="t"/>
            </v:shape>
            <v:shape id="_x0000_s1209" style="position:absolute;left:2404;top:213;width:8296;height:6336" coordorigin="2405,213" coordsize="8296,6336" path="m2485,213r8136,l10652,219r25,18l10695,262r6,31l10701,6469r-6,31l10677,6526r-25,17l10621,6549r-8136,l2454,6543r-26,-17l2411,6500r-6,-31l2405,293r6,-31l2428,237r26,-18l2485,213xe" filled="f" strokecolor="#ccc">
              <v:path arrowok="t"/>
            </v:shape>
            <v:shape id="_x0000_s1208" type="#_x0000_t202" style="position:absolute;left:2424;top:228;width:8258;height:6306" filled="f" stroked="f">
              <v:textbox inset="0,0,0,0">
                <w:txbxContent>
                  <w:p w14:paraId="1C24E9EA" w14:textId="77777777" w:rsidR="00711A16" w:rsidRDefault="00711A16">
                    <w:pPr>
                      <w:spacing w:before="221"/>
                      <w:ind w:left="200"/>
                      <w:rPr>
                        <w:rFonts w:ascii="MS Gothic"/>
                      </w:rPr>
                    </w:pPr>
                    <w:r>
                      <w:rPr>
                        <w:rFonts w:ascii="MS Gothic"/>
                        <w:color w:val="333333"/>
                      </w:rPr>
                      <w:t>@SpringBootApplication</w:t>
                    </w:r>
                  </w:p>
                  <w:p w14:paraId="4F2E6596" w14:textId="77777777" w:rsidR="00711A16" w:rsidRDefault="00711A16">
                    <w:pPr>
                      <w:spacing w:before="13"/>
                      <w:ind w:left="200"/>
                      <w:rPr>
                        <w:rFonts w:ascii="MS Gothic"/>
                      </w:rPr>
                    </w:pPr>
                    <w:r>
                      <w:rPr>
                        <w:rFonts w:ascii="MS Gothic"/>
                        <w:color w:val="333333"/>
                      </w:rPr>
                      <w:t>public class Application extends SpringBootServletInitializer {</w:t>
                    </w:r>
                  </w:p>
                  <w:p w14:paraId="41FC1272" w14:textId="77777777" w:rsidR="00711A16" w:rsidRDefault="00711A16">
                    <w:pPr>
                      <w:rPr>
                        <w:rFonts w:ascii="MS Gothic"/>
                        <w:sz w:val="24"/>
                      </w:rPr>
                    </w:pPr>
                  </w:p>
                  <w:p w14:paraId="7E5C68EA" w14:textId="77777777" w:rsidR="00711A16" w:rsidRDefault="00711A16">
                    <w:pPr>
                      <w:ind w:left="640"/>
                      <w:rPr>
                        <w:rFonts w:ascii="MS Gothic"/>
                      </w:rPr>
                    </w:pPr>
                    <w:r>
                      <w:rPr>
                        <w:rFonts w:ascii="MS Gothic"/>
                        <w:color w:val="333333"/>
                      </w:rPr>
                      <w:t>@Override</w:t>
                    </w:r>
                  </w:p>
                  <w:p w14:paraId="3A31E07B" w14:textId="77777777" w:rsidR="00711A16" w:rsidRDefault="00711A16">
                    <w:pPr>
                      <w:spacing w:before="13" w:line="252" w:lineRule="auto"/>
                      <w:ind w:left="200" w:right="1438" w:firstLine="440"/>
                      <w:rPr>
                        <w:rFonts w:ascii="MS Gothic"/>
                      </w:rPr>
                    </w:pPr>
                    <w:r>
                      <w:rPr>
                        <w:rFonts w:ascii="MS Gothic"/>
                        <w:color w:val="333333"/>
                      </w:rPr>
                      <w:t xml:space="preserve">protected SpringApplicationBuilder </w:t>
                    </w:r>
                    <w:proofErr w:type="gramStart"/>
                    <w:r>
                      <w:rPr>
                        <w:rFonts w:ascii="MS Gothic"/>
                        <w:color w:val="333333"/>
                      </w:rPr>
                      <w:t>configure(</w:t>
                    </w:r>
                    <w:proofErr w:type="gramEnd"/>
                    <w:r>
                      <w:rPr>
                        <w:rFonts w:ascii="MS Gothic"/>
                        <w:color w:val="333333"/>
                      </w:rPr>
                      <w:t xml:space="preserve">SpringApplicationBuilder builder) </w:t>
                    </w:r>
                    <w:r>
                      <w:rPr>
                        <w:rFonts w:ascii="MS Gothic"/>
                        <w:color w:val="333333"/>
                        <w:spacing w:val="-17"/>
                      </w:rPr>
                      <w:t>{</w:t>
                    </w:r>
                  </w:p>
                  <w:p w14:paraId="267D91BF" w14:textId="77777777" w:rsidR="00711A16" w:rsidRDefault="00711A16">
                    <w:pPr>
                      <w:spacing w:line="280" w:lineRule="exact"/>
                      <w:ind w:left="1080"/>
                      <w:rPr>
                        <w:rFonts w:ascii="MS Gothic"/>
                      </w:rPr>
                    </w:pPr>
                    <w:r>
                      <w:rPr>
                        <w:rFonts w:ascii="MS Gothic"/>
                        <w:color w:val="333333"/>
                      </w:rPr>
                      <w:t>return configureApplication(builder);</w:t>
                    </w:r>
                  </w:p>
                  <w:p w14:paraId="3A4D15AB" w14:textId="77777777" w:rsidR="00711A16" w:rsidRDefault="00711A16">
                    <w:pPr>
                      <w:spacing w:before="13"/>
                      <w:ind w:left="640"/>
                      <w:rPr>
                        <w:rFonts w:ascii="MS Gothic"/>
                      </w:rPr>
                    </w:pPr>
                    <w:r>
                      <w:rPr>
                        <w:rFonts w:ascii="MS Gothic"/>
                        <w:color w:val="333333"/>
                      </w:rPr>
                      <w:t>}</w:t>
                    </w:r>
                  </w:p>
                  <w:p w14:paraId="3A450D53" w14:textId="77777777" w:rsidR="00711A16" w:rsidRDefault="00711A16">
                    <w:pPr>
                      <w:rPr>
                        <w:rFonts w:ascii="MS Gothic"/>
                        <w:sz w:val="24"/>
                      </w:rPr>
                    </w:pPr>
                  </w:p>
                  <w:p w14:paraId="061CF895" w14:textId="77777777" w:rsidR="00711A16" w:rsidRDefault="00711A16">
                    <w:pPr>
                      <w:ind w:left="640"/>
                      <w:rPr>
                        <w:rFonts w:ascii="MS Gothic"/>
                      </w:rPr>
                    </w:pPr>
                    <w:r>
                      <w:rPr>
                        <w:rFonts w:ascii="MS Gothic"/>
                        <w:color w:val="333333"/>
                      </w:rPr>
                      <w:t xml:space="preserve">public static void </w:t>
                    </w:r>
                    <w:proofErr w:type="gramStart"/>
                    <w:r>
                      <w:rPr>
                        <w:rFonts w:ascii="MS Gothic"/>
                        <w:color w:val="333333"/>
                      </w:rPr>
                      <w:t>main(</w:t>
                    </w:r>
                    <w:proofErr w:type="gramEnd"/>
                    <w:r>
                      <w:rPr>
                        <w:rFonts w:ascii="MS Gothic"/>
                        <w:color w:val="333333"/>
                      </w:rPr>
                      <w:t>String[] args) {</w:t>
                    </w:r>
                  </w:p>
                  <w:p w14:paraId="20790DEC" w14:textId="77777777" w:rsidR="00711A16" w:rsidRDefault="00711A16">
                    <w:pPr>
                      <w:spacing w:before="13"/>
                      <w:ind w:left="1080"/>
                      <w:rPr>
                        <w:rFonts w:ascii="MS Gothic"/>
                      </w:rPr>
                    </w:pPr>
                    <w:proofErr w:type="gramStart"/>
                    <w:r>
                      <w:rPr>
                        <w:rFonts w:ascii="MS Gothic"/>
                        <w:color w:val="333333"/>
                      </w:rPr>
                      <w:t>configureApplication(</w:t>
                    </w:r>
                    <w:proofErr w:type="gramEnd"/>
                    <w:r>
                      <w:rPr>
                        <w:rFonts w:ascii="MS Gothic"/>
                        <w:color w:val="333333"/>
                      </w:rPr>
                      <w:t>new SpringApplicationBuilder()).run(args);</w:t>
                    </w:r>
                  </w:p>
                  <w:p w14:paraId="5F17ED80" w14:textId="77777777" w:rsidR="00711A16" w:rsidRDefault="00711A16">
                    <w:pPr>
                      <w:spacing w:before="13"/>
                      <w:ind w:left="640"/>
                      <w:rPr>
                        <w:rFonts w:ascii="MS Gothic"/>
                      </w:rPr>
                    </w:pPr>
                    <w:r>
                      <w:rPr>
                        <w:rFonts w:ascii="MS Gothic"/>
                        <w:color w:val="333333"/>
                      </w:rPr>
                      <w:t>}</w:t>
                    </w:r>
                  </w:p>
                  <w:p w14:paraId="33FF2E61" w14:textId="77777777" w:rsidR="00711A16" w:rsidRDefault="00711A16">
                    <w:pPr>
                      <w:rPr>
                        <w:rFonts w:ascii="MS Gothic"/>
                        <w:sz w:val="24"/>
                      </w:rPr>
                    </w:pPr>
                  </w:p>
                  <w:p w14:paraId="5FA301C6" w14:textId="77777777" w:rsidR="00711A16" w:rsidRDefault="00711A16">
                    <w:pPr>
                      <w:spacing w:line="252" w:lineRule="auto"/>
                      <w:ind w:left="200" w:right="1878" w:firstLine="440"/>
                      <w:rPr>
                        <w:rFonts w:ascii="MS Gothic"/>
                      </w:rPr>
                    </w:pPr>
                    <w:r>
                      <w:rPr>
                        <w:rFonts w:ascii="MS Gothic"/>
                        <w:color w:val="333333"/>
                      </w:rPr>
                      <w:t xml:space="preserve">private static SpringApplicationBuilder </w:t>
                    </w:r>
                    <w:proofErr w:type="gramStart"/>
                    <w:r>
                      <w:rPr>
                        <w:rFonts w:ascii="MS Gothic"/>
                        <w:color w:val="333333"/>
                      </w:rPr>
                      <w:t>configureApplication(</w:t>
                    </w:r>
                    <w:proofErr w:type="gramEnd"/>
                    <w:r>
                      <w:rPr>
                        <w:rFonts w:ascii="MS Gothic"/>
                        <w:color w:val="333333"/>
                      </w:rPr>
                      <w:t>SpringApplicationBuilder builder) {</w:t>
                    </w:r>
                  </w:p>
                  <w:p w14:paraId="0B87EE29" w14:textId="77777777" w:rsidR="00711A16" w:rsidRDefault="00711A16">
                    <w:pPr>
                      <w:spacing w:line="252" w:lineRule="auto"/>
                      <w:ind w:left="200" w:right="1108" w:firstLine="880"/>
                      <w:rPr>
                        <w:rFonts w:ascii="MS Gothic"/>
                      </w:rPr>
                    </w:pPr>
                    <w:r>
                      <w:rPr>
                        <w:rFonts w:ascii="MS Gothic"/>
                        <w:color w:val="333333"/>
                      </w:rPr>
                      <w:t xml:space="preserve">return </w:t>
                    </w:r>
                    <w:proofErr w:type="gramStart"/>
                    <w:r>
                      <w:rPr>
                        <w:rFonts w:ascii="MS Gothic"/>
                        <w:color w:val="333333"/>
                      </w:rPr>
                      <w:t>builder.sources</w:t>
                    </w:r>
                    <w:proofErr w:type="gramEnd"/>
                    <w:r>
                      <w:rPr>
                        <w:rFonts w:ascii="MS Gothic"/>
                        <w:color w:val="333333"/>
                      </w:rPr>
                      <w:t>(Application.class).bannerMode(Banner.Mode.OFF);</w:t>
                    </w:r>
                  </w:p>
                  <w:p w14:paraId="78C85D94" w14:textId="77777777" w:rsidR="00711A16" w:rsidRDefault="00711A16">
                    <w:pPr>
                      <w:spacing w:line="280" w:lineRule="exact"/>
                      <w:ind w:left="640"/>
                      <w:rPr>
                        <w:rFonts w:ascii="MS Gothic"/>
                      </w:rPr>
                    </w:pPr>
                    <w:r>
                      <w:rPr>
                        <w:rFonts w:ascii="MS Gothic"/>
                        <w:color w:val="333333"/>
                      </w:rPr>
                      <w:t>}</w:t>
                    </w:r>
                  </w:p>
                  <w:p w14:paraId="39BAE9EE" w14:textId="77777777" w:rsidR="00711A16" w:rsidRDefault="00711A16">
                    <w:pPr>
                      <w:spacing w:before="11"/>
                      <w:rPr>
                        <w:rFonts w:ascii="MS Gothic"/>
                        <w:sz w:val="23"/>
                      </w:rPr>
                    </w:pPr>
                  </w:p>
                  <w:p w14:paraId="52AD3058" w14:textId="77777777" w:rsidR="00711A16" w:rsidRDefault="00711A16">
                    <w:pPr>
                      <w:ind w:left="200"/>
                      <w:rPr>
                        <w:rFonts w:ascii="MS Gothic"/>
                      </w:rPr>
                    </w:pPr>
                    <w:r>
                      <w:rPr>
                        <w:rFonts w:ascii="MS Gothic"/>
                        <w:color w:val="333333"/>
                      </w:rPr>
                      <w:t>}</w:t>
                    </w:r>
                  </w:p>
                </w:txbxContent>
              </v:textbox>
            </v:shape>
            <w10:wrap type="topAndBottom" anchorx="page"/>
          </v:group>
        </w:pict>
      </w:r>
    </w:p>
    <w:p w14:paraId="3EBBF95D" w14:textId="77777777" w:rsidR="00A720EB" w:rsidRDefault="00A720EB">
      <w:pPr>
        <w:pStyle w:val="a3"/>
        <w:spacing w:before="10"/>
        <w:rPr>
          <w:sz w:val="16"/>
        </w:rPr>
      </w:pPr>
    </w:p>
    <w:p w14:paraId="4C5A490A" w14:textId="77777777" w:rsidR="00A720EB" w:rsidRDefault="0030286B">
      <w:pPr>
        <w:pStyle w:val="a3"/>
        <w:spacing w:before="125"/>
        <w:ind w:left="124"/>
        <w:jc w:val="both"/>
      </w:pPr>
      <w:r>
        <w:rPr>
          <w:color w:val="333333"/>
          <w:w w:val="110"/>
        </w:rPr>
        <w:t xml:space="preserve">Applications can fall into more than </w:t>
      </w:r>
      <w:proofErr w:type="gramStart"/>
      <w:r>
        <w:rPr>
          <w:color w:val="333333"/>
          <w:w w:val="110"/>
        </w:rPr>
        <w:t xml:space="preserve">one </w:t>
      </w:r>
      <w:r>
        <w:rPr>
          <w:color w:val="333333"/>
          <w:spacing w:val="17"/>
          <w:w w:val="110"/>
        </w:rPr>
        <w:t xml:space="preserve"> </w:t>
      </w:r>
      <w:r>
        <w:rPr>
          <w:color w:val="333333"/>
          <w:w w:val="110"/>
        </w:rPr>
        <w:t>category</w:t>
      </w:r>
      <w:proofErr w:type="gramEnd"/>
      <w:r>
        <w:rPr>
          <w:color w:val="333333"/>
          <w:w w:val="110"/>
        </w:rPr>
        <w:t>:</w:t>
      </w:r>
    </w:p>
    <w:p w14:paraId="3EB0DFD2" w14:textId="77777777" w:rsidR="00A720EB" w:rsidRDefault="00A720EB">
      <w:pPr>
        <w:pStyle w:val="a3"/>
        <w:spacing w:before="6"/>
        <w:rPr>
          <w:sz w:val="25"/>
        </w:rPr>
      </w:pPr>
    </w:p>
    <w:p w14:paraId="2287574E" w14:textId="77777777" w:rsidR="00A720EB" w:rsidRDefault="0030286B">
      <w:pPr>
        <w:pStyle w:val="a6"/>
        <w:numPr>
          <w:ilvl w:val="3"/>
          <w:numId w:val="13"/>
        </w:numPr>
        <w:tabs>
          <w:tab w:val="left" w:pos="485"/>
        </w:tabs>
        <w:rPr>
          <w:sz w:val="21"/>
        </w:rPr>
      </w:pPr>
      <w:r>
        <w:rPr>
          <w:color w:val="333333"/>
          <w:w w:val="110"/>
          <w:sz w:val="21"/>
        </w:rPr>
        <w:t>Servlet</w:t>
      </w:r>
      <w:r>
        <w:rPr>
          <w:color w:val="333333"/>
          <w:spacing w:val="-14"/>
          <w:w w:val="110"/>
          <w:sz w:val="21"/>
        </w:rPr>
        <w:t xml:space="preserve"> </w:t>
      </w:r>
      <w:r>
        <w:rPr>
          <w:color w:val="333333"/>
          <w:w w:val="110"/>
          <w:sz w:val="21"/>
        </w:rPr>
        <w:t>3.0+</w:t>
      </w:r>
      <w:r>
        <w:rPr>
          <w:color w:val="333333"/>
          <w:spacing w:val="-13"/>
          <w:w w:val="110"/>
          <w:sz w:val="21"/>
        </w:rPr>
        <w:t xml:space="preserve"> </w:t>
      </w:r>
      <w:r>
        <w:rPr>
          <w:color w:val="333333"/>
          <w:w w:val="110"/>
          <w:sz w:val="21"/>
        </w:rPr>
        <w:t>applications</w:t>
      </w:r>
      <w:r>
        <w:rPr>
          <w:color w:val="333333"/>
          <w:spacing w:val="-13"/>
          <w:w w:val="110"/>
          <w:sz w:val="21"/>
        </w:rPr>
        <w:t xml:space="preserve"> </w:t>
      </w:r>
      <w:r>
        <w:rPr>
          <w:color w:val="333333"/>
          <w:w w:val="110"/>
          <w:sz w:val="21"/>
        </w:rPr>
        <w:t>with</w:t>
      </w:r>
      <w:r>
        <w:rPr>
          <w:color w:val="333333"/>
          <w:spacing w:val="-14"/>
          <w:w w:val="110"/>
          <w:sz w:val="21"/>
        </w:rPr>
        <w:t xml:space="preserve"> </w:t>
      </w:r>
      <w:r>
        <w:rPr>
          <w:color w:val="333333"/>
          <w:w w:val="110"/>
          <w:sz w:val="21"/>
        </w:rPr>
        <w:t>no</w:t>
      </w:r>
      <w:r>
        <w:rPr>
          <w:color w:val="333333"/>
          <w:spacing w:val="-8"/>
          <w:w w:val="110"/>
          <w:sz w:val="21"/>
        </w:rPr>
        <w:t xml:space="preserve"> </w:t>
      </w:r>
      <w:r>
        <w:rPr>
          <w:rFonts w:ascii="MS Gothic" w:hAnsi="MS Gothic"/>
          <w:color w:val="B02045"/>
          <w:w w:val="110"/>
          <w:sz w:val="21"/>
        </w:rPr>
        <w:t>web.xml</w:t>
      </w:r>
      <w:r>
        <w:rPr>
          <w:color w:val="333333"/>
          <w:w w:val="110"/>
          <w:sz w:val="21"/>
        </w:rPr>
        <w:t>.</w:t>
      </w:r>
    </w:p>
    <w:p w14:paraId="3D2D00E9" w14:textId="77777777" w:rsidR="00A720EB" w:rsidRDefault="0030286B">
      <w:pPr>
        <w:pStyle w:val="a6"/>
        <w:numPr>
          <w:ilvl w:val="3"/>
          <w:numId w:val="13"/>
        </w:numPr>
        <w:tabs>
          <w:tab w:val="left" w:pos="485"/>
        </w:tabs>
        <w:spacing w:before="166"/>
        <w:rPr>
          <w:sz w:val="21"/>
        </w:rPr>
      </w:pPr>
      <w:r>
        <w:rPr>
          <w:color w:val="333333"/>
          <w:w w:val="110"/>
          <w:sz w:val="21"/>
        </w:rPr>
        <w:t>Applications with a</w:t>
      </w:r>
      <w:r>
        <w:rPr>
          <w:color w:val="333333"/>
          <w:spacing w:val="7"/>
          <w:w w:val="110"/>
          <w:sz w:val="21"/>
        </w:rPr>
        <w:t xml:space="preserve"> </w:t>
      </w:r>
      <w:r>
        <w:rPr>
          <w:rFonts w:ascii="MS Gothic" w:hAnsi="MS Gothic"/>
          <w:color w:val="B02045"/>
          <w:w w:val="110"/>
          <w:sz w:val="21"/>
        </w:rPr>
        <w:t>web.xml</w:t>
      </w:r>
      <w:r>
        <w:rPr>
          <w:color w:val="333333"/>
          <w:w w:val="110"/>
          <w:sz w:val="21"/>
        </w:rPr>
        <w:t>.</w:t>
      </w:r>
    </w:p>
    <w:p w14:paraId="0288BF9E" w14:textId="77777777" w:rsidR="00A720EB" w:rsidRDefault="0030286B">
      <w:pPr>
        <w:pStyle w:val="a6"/>
        <w:numPr>
          <w:ilvl w:val="3"/>
          <w:numId w:val="13"/>
        </w:numPr>
        <w:tabs>
          <w:tab w:val="left" w:pos="485"/>
        </w:tabs>
        <w:spacing w:before="177"/>
        <w:rPr>
          <w:sz w:val="21"/>
        </w:rPr>
      </w:pPr>
      <w:r>
        <w:rPr>
          <w:color w:val="333333"/>
          <w:w w:val="115"/>
          <w:sz w:val="21"/>
        </w:rPr>
        <w:t>Applications with a context</w:t>
      </w:r>
      <w:r>
        <w:rPr>
          <w:color w:val="333333"/>
          <w:spacing w:val="-2"/>
          <w:w w:val="115"/>
          <w:sz w:val="21"/>
        </w:rPr>
        <w:t xml:space="preserve"> </w:t>
      </w:r>
      <w:r>
        <w:rPr>
          <w:color w:val="333333"/>
          <w:spacing w:val="-4"/>
          <w:w w:val="115"/>
          <w:sz w:val="21"/>
        </w:rPr>
        <w:t>hierarchy.</w:t>
      </w:r>
    </w:p>
    <w:p w14:paraId="532BC320" w14:textId="77777777" w:rsidR="00A720EB" w:rsidRDefault="0030286B">
      <w:pPr>
        <w:pStyle w:val="a6"/>
        <w:numPr>
          <w:ilvl w:val="3"/>
          <w:numId w:val="13"/>
        </w:numPr>
        <w:tabs>
          <w:tab w:val="left" w:pos="485"/>
        </w:tabs>
        <w:spacing w:before="190"/>
        <w:rPr>
          <w:sz w:val="21"/>
        </w:rPr>
      </w:pPr>
      <w:r>
        <w:rPr>
          <w:color w:val="333333"/>
          <w:w w:val="115"/>
          <w:sz w:val="21"/>
        </w:rPr>
        <w:t>Applications without a context</w:t>
      </w:r>
      <w:r>
        <w:rPr>
          <w:color w:val="333333"/>
          <w:spacing w:val="-3"/>
          <w:w w:val="115"/>
          <w:sz w:val="21"/>
        </w:rPr>
        <w:t xml:space="preserve"> </w:t>
      </w:r>
      <w:r>
        <w:rPr>
          <w:color w:val="333333"/>
          <w:spacing w:val="-4"/>
          <w:w w:val="115"/>
          <w:sz w:val="21"/>
        </w:rPr>
        <w:t>hierarchy.</w:t>
      </w:r>
    </w:p>
    <w:p w14:paraId="50E97B57" w14:textId="77777777" w:rsidR="00A720EB" w:rsidRDefault="00A720EB">
      <w:pPr>
        <w:pStyle w:val="a3"/>
        <w:spacing w:before="4"/>
        <w:rPr>
          <w:sz w:val="26"/>
        </w:rPr>
      </w:pPr>
    </w:p>
    <w:p w14:paraId="282DABD9" w14:textId="77777777" w:rsidR="00A720EB" w:rsidRDefault="0030286B">
      <w:pPr>
        <w:pStyle w:val="a3"/>
        <w:ind w:left="124"/>
        <w:jc w:val="both"/>
      </w:pPr>
      <w:r>
        <w:rPr>
          <w:color w:val="333333"/>
          <w:w w:val="110"/>
        </w:rPr>
        <w:t>All of these should be amenable to translation, but each might require slightly different techniques.</w:t>
      </w:r>
    </w:p>
    <w:p w14:paraId="7B26653E" w14:textId="77777777" w:rsidR="00A720EB" w:rsidRDefault="00A720EB">
      <w:pPr>
        <w:pStyle w:val="a3"/>
        <w:spacing w:before="5"/>
        <w:rPr>
          <w:sz w:val="26"/>
        </w:rPr>
      </w:pPr>
    </w:p>
    <w:p w14:paraId="0B06EB52" w14:textId="77777777" w:rsidR="00A720EB" w:rsidRDefault="0030286B">
      <w:pPr>
        <w:pStyle w:val="a3"/>
        <w:spacing w:line="290" w:lineRule="auto"/>
        <w:ind w:left="124" w:right="122"/>
        <w:jc w:val="both"/>
      </w:pPr>
      <w:r>
        <w:rPr>
          <w:color w:val="333333"/>
          <w:w w:val="110"/>
        </w:rPr>
        <w:t>Servlet 3.0+ applications might translate pretty easily if they already use the Spring Servlet 3.0+ initializer</w:t>
      </w:r>
      <w:r>
        <w:rPr>
          <w:color w:val="333333"/>
          <w:spacing w:val="-7"/>
          <w:w w:val="110"/>
        </w:rPr>
        <w:t xml:space="preserve"> </w:t>
      </w:r>
      <w:r>
        <w:rPr>
          <w:color w:val="333333"/>
          <w:w w:val="110"/>
        </w:rPr>
        <w:t>support</w:t>
      </w:r>
      <w:r>
        <w:rPr>
          <w:color w:val="333333"/>
          <w:spacing w:val="-6"/>
          <w:w w:val="110"/>
        </w:rPr>
        <w:t xml:space="preserve"> </w:t>
      </w:r>
      <w:r>
        <w:rPr>
          <w:color w:val="333333"/>
          <w:w w:val="110"/>
        </w:rPr>
        <w:t>classes.</w:t>
      </w:r>
      <w:r>
        <w:rPr>
          <w:color w:val="333333"/>
          <w:spacing w:val="-5"/>
          <w:w w:val="110"/>
        </w:rPr>
        <w:t xml:space="preserve"> </w:t>
      </w:r>
      <w:r>
        <w:rPr>
          <w:color w:val="333333"/>
          <w:spacing w:val="-3"/>
          <w:w w:val="110"/>
        </w:rPr>
        <w:t>Normally,</w:t>
      </w:r>
      <w:r>
        <w:rPr>
          <w:color w:val="333333"/>
          <w:spacing w:val="-6"/>
          <w:w w:val="110"/>
        </w:rPr>
        <w:t xml:space="preserve"> </w:t>
      </w:r>
      <w:r>
        <w:rPr>
          <w:color w:val="333333"/>
          <w:w w:val="110"/>
        </w:rPr>
        <w:t>all</w:t>
      </w:r>
      <w:r>
        <w:rPr>
          <w:color w:val="333333"/>
          <w:spacing w:val="-6"/>
          <w:w w:val="110"/>
        </w:rPr>
        <w:t xml:space="preserve"> </w:t>
      </w:r>
      <w:r>
        <w:rPr>
          <w:color w:val="333333"/>
          <w:w w:val="110"/>
        </w:rPr>
        <w:t>the</w:t>
      </w:r>
      <w:r>
        <w:rPr>
          <w:color w:val="333333"/>
          <w:spacing w:val="-6"/>
          <w:w w:val="110"/>
        </w:rPr>
        <w:t xml:space="preserve"> </w:t>
      </w:r>
      <w:r>
        <w:rPr>
          <w:color w:val="333333"/>
          <w:w w:val="110"/>
        </w:rPr>
        <w:t>code</w:t>
      </w:r>
      <w:r>
        <w:rPr>
          <w:color w:val="333333"/>
          <w:spacing w:val="-6"/>
          <w:w w:val="110"/>
        </w:rPr>
        <w:t xml:space="preserve"> </w:t>
      </w:r>
      <w:r>
        <w:rPr>
          <w:color w:val="333333"/>
          <w:w w:val="110"/>
        </w:rPr>
        <w:t>from</w:t>
      </w:r>
      <w:r>
        <w:rPr>
          <w:color w:val="333333"/>
          <w:spacing w:val="-5"/>
          <w:w w:val="110"/>
        </w:rPr>
        <w:t xml:space="preserve"> </w:t>
      </w:r>
      <w:r>
        <w:rPr>
          <w:color w:val="333333"/>
          <w:w w:val="110"/>
        </w:rPr>
        <w:t>an</w:t>
      </w:r>
      <w:r>
        <w:rPr>
          <w:color w:val="333333"/>
          <w:spacing w:val="-7"/>
          <w:w w:val="110"/>
        </w:rPr>
        <w:t xml:space="preserve"> </w:t>
      </w:r>
      <w:r>
        <w:rPr>
          <w:color w:val="333333"/>
          <w:w w:val="110"/>
        </w:rPr>
        <w:t>existing</w:t>
      </w:r>
      <w:r>
        <w:rPr>
          <w:color w:val="333333"/>
          <w:spacing w:val="-2"/>
          <w:w w:val="110"/>
        </w:rPr>
        <w:t xml:space="preserve"> </w:t>
      </w:r>
      <w:r>
        <w:rPr>
          <w:rFonts w:ascii="MS Gothic"/>
          <w:color w:val="B02045"/>
          <w:w w:val="110"/>
        </w:rPr>
        <w:t>WebApplicationInitializer</w:t>
      </w:r>
      <w:r>
        <w:rPr>
          <w:rFonts w:ascii="MS Gothic"/>
          <w:color w:val="B02045"/>
          <w:spacing w:val="-71"/>
          <w:w w:val="110"/>
        </w:rPr>
        <w:t xml:space="preserve"> </w:t>
      </w:r>
      <w:r>
        <w:rPr>
          <w:color w:val="333333"/>
          <w:w w:val="110"/>
        </w:rPr>
        <w:t>can</w:t>
      </w:r>
      <w:r>
        <w:rPr>
          <w:color w:val="333333"/>
          <w:spacing w:val="-5"/>
          <w:w w:val="110"/>
        </w:rPr>
        <w:t xml:space="preserve"> </w:t>
      </w:r>
      <w:r>
        <w:rPr>
          <w:color w:val="333333"/>
          <w:w w:val="110"/>
        </w:rPr>
        <w:t xml:space="preserve">be moved into a </w:t>
      </w:r>
      <w:r>
        <w:rPr>
          <w:rFonts w:ascii="MS Gothic"/>
          <w:color w:val="B02045"/>
          <w:w w:val="110"/>
        </w:rPr>
        <w:t>SpringBootServletInitializer</w:t>
      </w:r>
      <w:r>
        <w:rPr>
          <w:color w:val="333333"/>
          <w:w w:val="110"/>
        </w:rPr>
        <w:t xml:space="preserve">. If your existing application has more than one </w:t>
      </w:r>
      <w:r>
        <w:rPr>
          <w:rFonts w:ascii="MS Gothic"/>
          <w:color w:val="B02045"/>
          <w:w w:val="105"/>
        </w:rPr>
        <w:t>ApplicationContext</w:t>
      </w:r>
      <w:r>
        <w:rPr>
          <w:rFonts w:ascii="MS Gothic"/>
          <w:color w:val="B02045"/>
          <w:spacing w:val="-69"/>
          <w:w w:val="105"/>
        </w:rPr>
        <w:t xml:space="preserve"> </w:t>
      </w:r>
      <w:r>
        <w:rPr>
          <w:color w:val="333333"/>
          <w:w w:val="105"/>
        </w:rPr>
        <w:t xml:space="preserve">(for example, if it uses </w:t>
      </w:r>
      <w:r>
        <w:rPr>
          <w:rFonts w:ascii="MS Gothic"/>
          <w:color w:val="B02045"/>
          <w:w w:val="105"/>
        </w:rPr>
        <w:t>AbstractDispatcherServletInitializer</w:t>
      </w:r>
      <w:r>
        <w:rPr>
          <w:color w:val="333333"/>
          <w:w w:val="105"/>
        </w:rPr>
        <w:t xml:space="preserve">) then you might be </w:t>
      </w:r>
      <w:r>
        <w:rPr>
          <w:color w:val="333333"/>
          <w:w w:val="110"/>
        </w:rPr>
        <w:t>able</w:t>
      </w:r>
      <w:r>
        <w:rPr>
          <w:color w:val="333333"/>
          <w:spacing w:val="-6"/>
          <w:w w:val="110"/>
        </w:rPr>
        <w:t xml:space="preserve"> </w:t>
      </w:r>
      <w:r>
        <w:rPr>
          <w:color w:val="333333"/>
          <w:w w:val="110"/>
        </w:rPr>
        <w:t>to</w:t>
      </w:r>
      <w:r>
        <w:rPr>
          <w:color w:val="333333"/>
          <w:spacing w:val="-4"/>
          <w:w w:val="110"/>
        </w:rPr>
        <w:t xml:space="preserve"> </w:t>
      </w:r>
      <w:r>
        <w:rPr>
          <w:color w:val="333333"/>
          <w:w w:val="110"/>
        </w:rPr>
        <w:t>combine</w:t>
      </w:r>
      <w:r>
        <w:rPr>
          <w:color w:val="333333"/>
          <w:spacing w:val="-4"/>
          <w:w w:val="110"/>
        </w:rPr>
        <w:t xml:space="preserve"> </w:t>
      </w:r>
      <w:r>
        <w:rPr>
          <w:color w:val="333333"/>
          <w:w w:val="110"/>
        </w:rPr>
        <w:t>all</w:t>
      </w:r>
      <w:r>
        <w:rPr>
          <w:color w:val="333333"/>
          <w:spacing w:val="-5"/>
          <w:w w:val="110"/>
        </w:rPr>
        <w:t xml:space="preserve"> </w:t>
      </w:r>
      <w:r>
        <w:rPr>
          <w:color w:val="333333"/>
          <w:w w:val="110"/>
        </w:rPr>
        <w:t>your</w:t>
      </w:r>
      <w:r>
        <w:rPr>
          <w:color w:val="333333"/>
          <w:spacing w:val="-5"/>
          <w:w w:val="110"/>
        </w:rPr>
        <w:t xml:space="preserve"> </w:t>
      </w:r>
      <w:r>
        <w:rPr>
          <w:color w:val="333333"/>
          <w:w w:val="110"/>
        </w:rPr>
        <w:t>context</w:t>
      </w:r>
      <w:r>
        <w:rPr>
          <w:color w:val="333333"/>
          <w:spacing w:val="-4"/>
          <w:w w:val="110"/>
        </w:rPr>
        <w:t xml:space="preserve"> </w:t>
      </w:r>
      <w:r>
        <w:rPr>
          <w:color w:val="333333"/>
          <w:w w:val="110"/>
        </w:rPr>
        <w:t>sources</w:t>
      </w:r>
      <w:r>
        <w:rPr>
          <w:color w:val="333333"/>
          <w:spacing w:val="-4"/>
          <w:w w:val="110"/>
        </w:rPr>
        <w:t xml:space="preserve"> </w:t>
      </w:r>
      <w:r>
        <w:rPr>
          <w:color w:val="333333"/>
          <w:w w:val="110"/>
        </w:rPr>
        <w:t>into</w:t>
      </w:r>
      <w:r>
        <w:rPr>
          <w:color w:val="333333"/>
          <w:spacing w:val="-5"/>
          <w:w w:val="110"/>
        </w:rPr>
        <w:t xml:space="preserve"> </w:t>
      </w:r>
      <w:r>
        <w:rPr>
          <w:color w:val="333333"/>
          <w:w w:val="110"/>
        </w:rPr>
        <w:t>a</w:t>
      </w:r>
      <w:r>
        <w:rPr>
          <w:color w:val="333333"/>
          <w:spacing w:val="-5"/>
          <w:w w:val="110"/>
        </w:rPr>
        <w:t xml:space="preserve"> </w:t>
      </w:r>
      <w:r>
        <w:rPr>
          <w:color w:val="333333"/>
          <w:w w:val="110"/>
        </w:rPr>
        <w:t xml:space="preserve">single </w:t>
      </w:r>
      <w:r>
        <w:rPr>
          <w:rFonts w:ascii="MS Gothic"/>
          <w:color w:val="B02045"/>
          <w:w w:val="110"/>
        </w:rPr>
        <w:t>SpringApplication</w:t>
      </w:r>
      <w:r>
        <w:rPr>
          <w:color w:val="333333"/>
          <w:w w:val="110"/>
        </w:rPr>
        <w:t>.</w:t>
      </w:r>
      <w:r>
        <w:rPr>
          <w:color w:val="333333"/>
          <w:spacing w:val="-4"/>
          <w:w w:val="110"/>
        </w:rPr>
        <w:t xml:space="preserve"> </w:t>
      </w:r>
      <w:r>
        <w:rPr>
          <w:color w:val="333333"/>
          <w:w w:val="110"/>
        </w:rPr>
        <w:t>The</w:t>
      </w:r>
      <w:r>
        <w:rPr>
          <w:color w:val="333333"/>
          <w:spacing w:val="-6"/>
          <w:w w:val="110"/>
        </w:rPr>
        <w:t xml:space="preserve"> </w:t>
      </w:r>
      <w:r>
        <w:rPr>
          <w:color w:val="333333"/>
          <w:w w:val="110"/>
        </w:rPr>
        <w:t>main</w:t>
      </w:r>
      <w:r>
        <w:rPr>
          <w:color w:val="333333"/>
          <w:spacing w:val="-5"/>
          <w:w w:val="110"/>
        </w:rPr>
        <w:t xml:space="preserve"> </w:t>
      </w:r>
      <w:r>
        <w:rPr>
          <w:color w:val="333333"/>
          <w:w w:val="110"/>
        </w:rPr>
        <w:t>complication</w:t>
      </w:r>
      <w:r>
        <w:rPr>
          <w:color w:val="333333"/>
          <w:spacing w:val="-4"/>
          <w:w w:val="110"/>
        </w:rPr>
        <w:t xml:space="preserve"> </w:t>
      </w:r>
      <w:r>
        <w:rPr>
          <w:color w:val="333333"/>
          <w:w w:val="110"/>
        </w:rPr>
        <w:t xml:space="preserve">you might encounter is if combining does not work and you need to maintain the context </w:t>
      </w:r>
      <w:r>
        <w:rPr>
          <w:color w:val="333333"/>
          <w:spacing w:val="-4"/>
          <w:w w:val="110"/>
        </w:rPr>
        <w:t xml:space="preserve">hierarchy. </w:t>
      </w:r>
      <w:r>
        <w:rPr>
          <w:color w:val="333333"/>
          <w:w w:val="110"/>
        </w:rPr>
        <w:t xml:space="preserve">See the </w:t>
      </w:r>
      <w:hyperlink w:anchor="_bookmark530" w:history="1">
        <w:r>
          <w:rPr>
            <w:color w:val="418BCA"/>
            <w:w w:val="110"/>
          </w:rPr>
          <w:t>entry on building a hierarchy</w:t>
        </w:r>
      </w:hyperlink>
      <w:r>
        <w:rPr>
          <w:color w:val="418BCA"/>
          <w:w w:val="110"/>
        </w:rPr>
        <w:t xml:space="preserve"> </w:t>
      </w:r>
      <w:r>
        <w:rPr>
          <w:color w:val="333333"/>
          <w:w w:val="110"/>
        </w:rPr>
        <w:t xml:space="preserve">for examples. An existing parent context that </w:t>
      </w:r>
      <w:proofErr w:type="gramStart"/>
      <w:r>
        <w:rPr>
          <w:color w:val="333333"/>
          <w:w w:val="110"/>
        </w:rPr>
        <w:t>contains  web</w:t>
      </w:r>
      <w:proofErr w:type="gramEnd"/>
      <w:r>
        <w:rPr>
          <w:color w:val="333333"/>
          <w:w w:val="110"/>
        </w:rPr>
        <w:t xml:space="preserve">-  specific features usually needs to be broken up so that all the </w:t>
      </w:r>
      <w:r>
        <w:rPr>
          <w:rFonts w:ascii="MS Gothic"/>
          <w:color w:val="B02045"/>
          <w:w w:val="110"/>
        </w:rPr>
        <w:t xml:space="preserve">ServletContextAware </w:t>
      </w:r>
      <w:r>
        <w:rPr>
          <w:color w:val="333333"/>
          <w:w w:val="110"/>
        </w:rPr>
        <w:t>components are in the child</w:t>
      </w:r>
      <w:r>
        <w:rPr>
          <w:color w:val="333333"/>
          <w:spacing w:val="9"/>
          <w:w w:val="110"/>
        </w:rPr>
        <w:t xml:space="preserve"> </w:t>
      </w:r>
      <w:r>
        <w:rPr>
          <w:color w:val="333333"/>
          <w:w w:val="110"/>
        </w:rPr>
        <w:t>context.</w:t>
      </w:r>
    </w:p>
    <w:p w14:paraId="237E5C91" w14:textId="77777777" w:rsidR="00A720EB" w:rsidRDefault="00A720EB">
      <w:pPr>
        <w:pStyle w:val="a3"/>
        <w:spacing w:before="3"/>
        <w:rPr>
          <w:sz w:val="22"/>
        </w:rPr>
      </w:pPr>
    </w:p>
    <w:p w14:paraId="41B1EDDC" w14:textId="77777777" w:rsidR="00A720EB" w:rsidRDefault="0030286B">
      <w:pPr>
        <w:pStyle w:val="a3"/>
        <w:spacing w:line="307" w:lineRule="auto"/>
        <w:ind w:left="124" w:right="134"/>
        <w:jc w:val="both"/>
      </w:pPr>
      <w:r>
        <w:rPr>
          <w:color w:val="333333"/>
          <w:w w:val="110"/>
        </w:rPr>
        <w:t>Applications that are not already Spring applications might be convertible to Spring Boot applications, and the previously mentioned guidance may help. However, you may yet encounter</w:t>
      </w:r>
    </w:p>
    <w:p w14:paraId="61FED9D3" w14:textId="77777777" w:rsidR="00A720EB" w:rsidRDefault="00A720EB">
      <w:pPr>
        <w:spacing w:line="307" w:lineRule="auto"/>
        <w:jc w:val="both"/>
        <w:sectPr w:rsidR="00A720EB">
          <w:pgSz w:w="11910" w:h="16840"/>
          <w:pgMar w:top="700" w:right="840" w:bottom="520" w:left="840" w:header="0" w:footer="323" w:gutter="0"/>
          <w:cols w:space="720"/>
        </w:sectPr>
      </w:pPr>
    </w:p>
    <w:p w14:paraId="08F769BE" w14:textId="77777777" w:rsidR="00A720EB" w:rsidRDefault="0030286B">
      <w:pPr>
        <w:pStyle w:val="a3"/>
        <w:spacing w:before="96"/>
        <w:ind w:left="124"/>
        <w:jc w:val="both"/>
      </w:pPr>
      <w:r>
        <w:rPr>
          <w:color w:val="333333"/>
          <w:w w:val="110"/>
        </w:rPr>
        <w:lastRenderedPageBreak/>
        <w:t xml:space="preserve">problems. In that case, we suggest </w:t>
      </w:r>
      <w:hyperlink r:id="rId667">
        <w:r>
          <w:rPr>
            <w:color w:val="418BCA"/>
            <w:w w:val="110"/>
          </w:rPr>
          <w:t xml:space="preserve">asking questions on Stack Overflow with a tag of </w:t>
        </w:r>
      </w:hyperlink>
      <w:hyperlink r:id="rId668">
        <w:r>
          <w:rPr>
            <w:rFonts w:ascii="MS Gothic"/>
            <w:color w:val="B02045"/>
            <w:w w:val="110"/>
          </w:rPr>
          <w:t>spring-boot</w:t>
        </w:r>
      </w:hyperlink>
      <w:r>
        <w:rPr>
          <w:color w:val="333333"/>
          <w:w w:val="110"/>
        </w:rPr>
        <w:t>.</w:t>
      </w:r>
    </w:p>
    <w:p w14:paraId="16A05BB1" w14:textId="77777777" w:rsidR="00A720EB" w:rsidRDefault="00A720EB">
      <w:pPr>
        <w:pStyle w:val="a3"/>
        <w:spacing w:before="6"/>
        <w:rPr>
          <w:sz w:val="30"/>
        </w:rPr>
      </w:pPr>
    </w:p>
    <w:p w14:paraId="20EA5B96" w14:textId="77777777" w:rsidR="00A720EB" w:rsidRDefault="0030286B">
      <w:pPr>
        <w:pStyle w:val="3"/>
        <w:numPr>
          <w:ilvl w:val="2"/>
          <w:numId w:val="13"/>
        </w:numPr>
        <w:tabs>
          <w:tab w:val="left" w:pos="1003"/>
        </w:tabs>
        <w:ind w:left="1002" w:hanging="879"/>
      </w:pPr>
      <w:bookmarkStart w:id="1014" w:name="9.17.3._Deploying_a_WAR_to_WebLogic"/>
      <w:bookmarkStart w:id="1015" w:name="_Toc54424025"/>
      <w:bookmarkEnd w:id="1014"/>
      <w:r>
        <w:rPr>
          <w:color w:val="333333"/>
          <w:w w:val="110"/>
        </w:rPr>
        <w:t xml:space="preserve">Deploying a </w:t>
      </w:r>
      <w:r>
        <w:rPr>
          <w:color w:val="333333"/>
          <w:spacing w:val="-6"/>
          <w:w w:val="110"/>
        </w:rPr>
        <w:t xml:space="preserve">WAR </w:t>
      </w:r>
      <w:r>
        <w:rPr>
          <w:color w:val="333333"/>
          <w:w w:val="110"/>
        </w:rPr>
        <w:t>to</w:t>
      </w:r>
      <w:r>
        <w:rPr>
          <w:color w:val="333333"/>
          <w:spacing w:val="-21"/>
          <w:w w:val="110"/>
        </w:rPr>
        <w:t xml:space="preserve"> </w:t>
      </w:r>
      <w:r>
        <w:rPr>
          <w:color w:val="333333"/>
          <w:spacing w:val="-3"/>
          <w:w w:val="110"/>
        </w:rPr>
        <w:t>WebLogic</w:t>
      </w:r>
      <w:bookmarkEnd w:id="1015"/>
    </w:p>
    <w:p w14:paraId="59C84B81" w14:textId="77777777" w:rsidR="00A720EB" w:rsidRDefault="0030286B">
      <w:pPr>
        <w:pStyle w:val="a3"/>
        <w:spacing w:before="254" w:line="285" w:lineRule="auto"/>
        <w:ind w:left="124" w:right="125"/>
        <w:jc w:val="both"/>
      </w:pPr>
      <w:r>
        <w:rPr>
          <w:color w:val="333333"/>
          <w:w w:val="110"/>
        </w:rPr>
        <w:t xml:space="preserve">To deploy a Spring Boot application to WebLogic, you must ensure that your servlet initializer </w:t>
      </w:r>
      <w:r>
        <w:rPr>
          <w:rFonts w:ascii="Palatino Linotype"/>
          <w:b/>
          <w:color w:val="333333"/>
          <w:w w:val="110"/>
        </w:rPr>
        <w:t xml:space="preserve">directly </w:t>
      </w:r>
      <w:r>
        <w:rPr>
          <w:color w:val="333333"/>
          <w:w w:val="110"/>
        </w:rPr>
        <w:t xml:space="preserve">implements </w:t>
      </w:r>
      <w:r>
        <w:rPr>
          <w:rFonts w:ascii="MS Gothic"/>
          <w:color w:val="B02045"/>
          <w:w w:val="110"/>
        </w:rPr>
        <w:t xml:space="preserve">WebApplicationInitializer </w:t>
      </w:r>
      <w:r>
        <w:rPr>
          <w:color w:val="333333"/>
          <w:w w:val="110"/>
        </w:rPr>
        <w:t>(even if you extend from a base class that already implements it).</w:t>
      </w:r>
    </w:p>
    <w:p w14:paraId="74056EAC" w14:textId="77777777" w:rsidR="00A720EB" w:rsidRDefault="00A720EB">
      <w:pPr>
        <w:pStyle w:val="a3"/>
        <w:spacing w:before="6"/>
        <w:rPr>
          <w:sz w:val="22"/>
        </w:rPr>
      </w:pPr>
    </w:p>
    <w:p w14:paraId="0F73C262" w14:textId="77777777" w:rsidR="00A720EB" w:rsidRDefault="0030286B">
      <w:pPr>
        <w:pStyle w:val="a3"/>
        <w:ind w:left="124"/>
        <w:jc w:val="both"/>
      </w:pPr>
      <w:r>
        <w:rPr>
          <w:color w:val="333333"/>
          <w:w w:val="110"/>
        </w:rPr>
        <w:t>A typical initializer for WebLogic should resemble the following example:</w:t>
      </w:r>
    </w:p>
    <w:p w14:paraId="66F4F3DA" w14:textId="77777777" w:rsidR="00A720EB" w:rsidRDefault="00E10349">
      <w:pPr>
        <w:pStyle w:val="a3"/>
        <w:rPr>
          <w:sz w:val="19"/>
        </w:rPr>
      </w:pPr>
      <w:r>
        <w:pict w14:anchorId="52CC6F5B">
          <v:group id="_x0000_s1203" style="position:absolute;margin-left:47.85pt;margin-top:13.15pt;width:499.55pt;height:155.45pt;z-index:-15029760;mso-wrap-distance-left:0;mso-wrap-distance-right:0;mso-position-horizontal-relative:page" coordorigin="957,263" coordsize="9991,3109">
            <v:shape id="_x0000_s1206" style="position:absolute;left:964;top:270;width:9976;height:3094" coordorigin="965,270" coordsize="9976,3094" path="m10861,270r-9816,l1014,276r-26,17l971,319r-6,31l965,3283r6,31l988,3340r26,17l1045,3363r9816,l10892,3357r25,-17l10935,3314r6,-31l10941,350r-6,-31l10917,293r-25,-17l10861,270xe" fillcolor="#f5f5f5" stroked="f">
              <v:path arrowok="t"/>
            </v:shape>
            <v:shape id="_x0000_s1205" style="position:absolute;left:964;top:270;width:9976;height:3094" coordorigin="965,270" coordsize="9976,3094" path="m1045,270r9816,l10892,276r25,17l10935,319r6,31l10941,3283r-6,31l10917,3340r-25,17l10861,3363r-9816,l1014,3357r-26,-17l971,3314r-6,-31l965,350r6,-31l988,293r26,-17l1045,270xe" filled="f" strokecolor="#ccc">
              <v:path arrowok="t"/>
            </v:shape>
            <v:shape id="_x0000_s1204" type="#_x0000_t202" style="position:absolute;left:984;top:285;width:9938;height:3063" filled="f" stroked="f">
              <v:textbox inset="0,0,0,0">
                <w:txbxContent>
                  <w:p w14:paraId="6695B50D" w14:textId="77777777" w:rsidR="00711A16" w:rsidRDefault="00711A16">
                    <w:pPr>
                      <w:spacing w:before="221"/>
                      <w:ind w:left="200"/>
                      <w:rPr>
                        <w:rFonts w:ascii="MS Gothic"/>
                      </w:rPr>
                    </w:pPr>
                    <w:r>
                      <w:rPr>
                        <w:rFonts w:ascii="MS Gothic"/>
                        <w:color w:val="333333"/>
                      </w:rPr>
                      <w:t xml:space="preserve">import </w:t>
                    </w:r>
                    <w:proofErr w:type="gramStart"/>
                    <w:r>
                      <w:rPr>
                        <w:rFonts w:ascii="MS Gothic"/>
                        <w:color w:val="333333"/>
                      </w:rPr>
                      <w:t>org.springframework</w:t>
                    </w:r>
                    <w:proofErr w:type="gramEnd"/>
                    <w:r>
                      <w:rPr>
                        <w:rFonts w:ascii="MS Gothic"/>
                        <w:color w:val="333333"/>
                      </w:rPr>
                      <w:t>.boot.autoconfigure.SpringBootApplication;</w:t>
                    </w:r>
                  </w:p>
                  <w:p w14:paraId="184FA52B" w14:textId="77777777" w:rsidR="00711A16" w:rsidRDefault="00711A16">
                    <w:pPr>
                      <w:spacing w:before="13" w:line="252" w:lineRule="auto"/>
                      <w:ind w:left="200" w:right="808"/>
                      <w:rPr>
                        <w:rFonts w:ascii="MS Gothic"/>
                      </w:rPr>
                    </w:pPr>
                    <w:r>
                      <w:rPr>
                        <w:rFonts w:ascii="MS Gothic"/>
                        <w:color w:val="333333"/>
                      </w:rPr>
                      <w:t xml:space="preserve">import </w:t>
                    </w:r>
                    <w:proofErr w:type="gramStart"/>
                    <w:r>
                      <w:rPr>
                        <w:rFonts w:ascii="MS Gothic"/>
                        <w:color w:val="333333"/>
                      </w:rPr>
                      <w:t>org.springframework.boot.web.servlet</w:t>
                    </w:r>
                    <w:proofErr w:type="gramEnd"/>
                    <w:r>
                      <w:rPr>
                        <w:rFonts w:ascii="MS Gothic"/>
                        <w:color w:val="333333"/>
                      </w:rPr>
                      <w:t>.support.SpringBootServletInitializer; import org.springframework.web.WebApplicationInitializer;</w:t>
                    </w:r>
                  </w:p>
                  <w:p w14:paraId="4280163F" w14:textId="77777777" w:rsidR="00711A16" w:rsidRDefault="00711A16">
                    <w:pPr>
                      <w:spacing w:before="10"/>
                      <w:rPr>
                        <w:rFonts w:ascii="MS Gothic"/>
                      </w:rPr>
                    </w:pPr>
                  </w:p>
                  <w:p w14:paraId="46E24E7F" w14:textId="77777777" w:rsidR="00711A16" w:rsidRDefault="00711A16">
                    <w:pPr>
                      <w:ind w:left="200"/>
                      <w:rPr>
                        <w:rFonts w:ascii="MS Gothic"/>
                      </w:rPr>
                    </w:pPr>
                    <w:r>
                      <w:rPr>
                        <w:rFonts w:ascii="MS Gothic"/>
                        <w:color w:val="333333"/>
                      </w:rPr>
                      <w:t>@SpringBootApplication</w:t>
                    </w:r>
                  </w:p>
                  <w:p w14:paraId="72EA2F48" w14:textId="77777777" w:rsidR="00711A16" w:rsidRDefault="00711A16">
                    <w:pPr>
                      <w:spacing w:before="13" w:line="252" w:lineRule="auto"/>
                      <w:ind w:left="200" w:right="1578"/>
                      <w:rPr>
                        <w:rFonts w:ascii="MS Gothic"/>
                      </w:rPr>
                    </w:pPr>
                    <w:r>
                      <w:rPr>
                        <w:rFonts w:ascii="MS Gothic"/>
                        <w:color w:val="333333"/>
                      </w:rPr>
                      <w:t>public class MyApplication extends SpringBootServletInitializer implements WebApplicationInitializer {</w:t>
                    </w:r>
                  </w:p>
                  <w:p w14:paraId="1D24D27F" w14:textId="77777777" w:rsidR="00711A16" w:rsidRDefault="00711A16">
                    <w:pPr>
                      <w:spacing w:before="11"/>
                      <w:rPr>
                        <w:rFonts w:ascii="MS Gothic"/>
                      </w:rPr>
                    </w:pPr>
                  </w:p>
                  <w:p w14:paraId="28AC16FF" w14:textId="77777777" w:rsidR="00711A16" w:rsidRDefault="00711A16">
                    <w:pPr>
                      <w:ind w:left="200"/>
                      <w:rPr>
                        <w:rFonts w:ascii="MS Gothic"/>
                      </w:rPr>
                    </w:pPr>
                    <w:r>
                      <w:rPr>
                        <w:rFonts w:ascii="MS Gothic"/>
                        <w:color w:val="333333"/>
                      </w:rPr>
                      <w:t>}</w:t>
                    </w:r>
                  </w:p>
                </w:txbxContent>
              </v:textbox>
            </v:shape>
            <w10:wrap type="topAndBottom" anchorx="page"/>
          </v:group>
        </w:pict>
      </w:r>
    </w:p>
    <w:p w14:paraId="5E3BF29F" w14:textId="77777777" w:rsidR="00A720EB" w:rsidRDefault="00A720EB">
      <w:pPr>
        <w:pStyle w:val="a3"/>
        <w:rPr>
          <w:sz w:val="10"/>
        </w:rPr>
      </w:pPr>
    </w:p>
    <w:p w14:paraId="3CD7A457" w14:textId="77777777" w:rsidR="00A720EB" w:rsidRDefault="0030286B">
      <w:pPr>
        <w:pStyle w:val="a3"/>
        <w:spacing w:before="125" w:line="295" w:lineRule="auto"/>
        <w:ind w:left="124" w:right="122"/>
        <w:jc w:val="both"/>
      </w:pPr>
      <w:r>
        <w:rPr>
          <w:color w:val="333333"/>
          <w:w w:val="110"/>
        </w:rPr>
        <w:t xml:space="preserve">If you use Logback, you also need to tell WebLogic to prefer the packaged version rather than the version that was pre-installed with the server. You can do so by adding a </w:t>
      </w:r>
      <w:r>
        <w:rPr>
          <w:rFonts w:ascii="MS Gothic"/>
          <w:color w:val="B02045"/>
          <w:w w:val="110"/>
        </w:rPr>
        <w:t xml:space="preserve">WEB-INF/weblogic.xml </w:t>
      </w:r>
      <w:r>
        <w:rPr>
          <w:color w:val="333333"/>
          <w:w w:val="110"/>
        </w:rPr>
        <w:t>file with the following contents:</w:t>
      </w:r>
    </w:p>
    <w:p w14:paraId="37C86AA2" w14:textId="77777777" w:rsidR="00A720EB" w:rsidRDefault="00E10349">
      <w:pPr>
        <w:pStyle w:val="a3"/>
        <w:spacing w:before="11"/>
        <w:rPr>
          <w:sz w:val="13"/>
        </w:rPr>
      </w:pPr>
      <w:r>
        <w:pict w14:anchorId="07D8EA5A">
          <v:group id="_x0000_s1199" style="position:absolute;margin-left:47.85pt;margin-top:10.15pt;width:499.55pt;height:229.15pt;z-index:-15029248;mso-wrap-distance-left:0;mso-wrap-distance-right:0;mso-position-horizontal-relative:page" coordorigin="957,203" coordsize="9991,4583">
            <v:shape id="_x0000_s1202" style="position:absolute;left:964;top:210;width:9976;height:4568" coordorigin="965,211" coordsize="9976,4568" path="m10861,211r-9816,l1014,217r-26,17l971,260r-6,31l965,4698r6,31l988,4755r26,17l1045,4778r9816,l10892,4772r25,-17l10935,4729r6,-31l10941,291r-6,-31l10917,234r-25,-17l10861,211xe" fillcolor="#f5f5f5" stroked="f">
              <v:path arrowok="t"/>
            </v:shape>
            <v:shape id="_x0000_s1201" style="position:absolute;left:964;top:210;width:9976;height:4568" coordorigin="965,211" coordsize="9976,4568" path="m1045,211r9816,l10892,217r25,17l10935,260r6,31l10941,4698r-6,31l10917,4755r-25,17l10861,4778r-9816,l1014,4772r-26,-17l971,4729r-6,-31l965,291r6,-31l988,234r26,-17l1045,211xe" filled="f" strokecolor="#ccc">
              <v:path arrowok="t"/>
            </v:shape>
            <v:shape id="_x0000_s1200" type="#_x0000_t202" style="position:absolute;left:984;top:226;width:9938;height:4537" filled="f" stroked="f">
              <v:textbox inset="0,0,0,0">
                <w:txbxContent>
                  <w:p w14:paraId="75FCD4C6" w14:textId="77777777" w:rsidR="00711A16" w:rsidRDefault="00711A16">
                    <w:pPr>
                      <w:spacing w:before="221"/>
                      <w:ind w:left="200"/>
                      <w:rPr>
                        <w:rFonts w:ascii="MS Gothic"/>
                      </w:rPr>
                    </w:pPr>
                    <w:r>
                      <w:rPr>
                        <w:rFonts w:ascii="MS Gothic"/>
                        <w:color w:val="333333"/>
                      </w:rPr>
                      <w:t>&lt;?xml version="1.0" encoding="UTF-8"?&gt;</w:t>
                    </w:r>
                  </w:p>
                  <w:p w14:paraId="7F7BAEC8" w14:textId="77777777" w:rsidR="00711A16" w:rsidRDefault="00711A16">
                    <w:pPr>
                      <w:spacing w:before="13" w:line="252" w:lineRule="auto"/>
                      <w:ind w:left="640" w:right="2584" w:hanging="440"/>
                      <w:rPr>
                        <w:rFonts w:ascii="MS Gothic"/>
                      </w:rPr>
                    </w:pPr>
                    <w:r>
                      <w:rPr>
                        <w:rFonts w:ascii="MS Gothic"/>
                        <w:color w:val="333333"/>
                      </w:rPr>
                      <w:t xml:space="preserve">&lt;wls:weblogic-web-app </w:t>
                    </w:r>
                    <w:hyperlink r:id="rId669">
                      <w:r>
                        <w:rPr>
                          <w:rFonts w:ascii="MS Gothic"/>
                          <w:color w:val="333333"/>
                        </w:rPr>
                        <w:t>xmlns:wls="http://xmlns.oracle.com/weblogic/weblogic-web-app"</w:t>
                      </w:r>
                    </w:hyperlink>
                    <w:r>
                      <w:rPr>
                        <w:rFonts w:ascii="MS Gothic"/>
                        <w:color w:val="333333"/>
                      </w:rPr>
                      <w:t xml:space="preserve"> </w:t>
                    </w:r>
                    <w:hyperlink r:id="rId670">
                      <w:r>
                        <w:rPr>
                          <w:rFonts w:ascii="MS Gothic"/>
                          <w:color w:val="333333"/>
                        </w:rPr>
                        <w:t>xmlns:xsi="http://www.w3.org/2001/XMLSchema-instance"</w:t>
                      </w:r>
                    </w:hyperlink>
                    <w:r>
                      <w:rPr>
                        <w:rFonts w:ascii="MS Gothic"/>
                        <w:color w:val="333333"/>
                      </w:rPr>
                      <w:t xml:space="preserve"> </w:t>
                    </w:r>
                    <w:hyperlink r:id="rId671">
                      <w:r>
                        <w:rPr>
                          <w:rFonts w:ascii="MS Gothic"/>
                          <w:color w:val="333333"/>
                        </w:rPr>
                        <w:t>xsi:schemaLocation="http://java.sun.com/xml/ns/javaee</w:t>
                      </w:r>
                    </w:hyperlink>
                  </w:p>
                  <w:p w14:paraId="46ED1C6D" w14:textId="77777777" w:rsidR="00711A16" w:rsidRDefault="00711A16">
                    <w:pPr>
                      <w:spacing w:line="252" w:lineRule="auto"/>
                      <w:ind w:left="1080" w:right="384"/>
                      <w:rPr>
                        <w:rFonts w:ascii="MS Gothic"/>
                      </w:rPr>
                    </w:pPr>
                    <w:r>
                      <w:rPr>
                        <w:rFonts w:ascii="MS Gothic"/>
                        <w:color w:val="333333"/>
                      </w:rPr>
                      <w:t xml:space="preserve">https://java.sun.com/xml/ns/javaee/ejb-jar_3_0.xsd </w:t>
                    </w:r>
                    <w:hyperlink r:id="rId672">
                      <w:r>
                        <w:rPr>
                          <w:rFonts w:ascii="MS Gothic"/>
                          <w:color w:val="333333"/>
                        </w:rPr>
                        <w:t>http://xmlns.oracle.com/weblogic/weblogic-web-app</w:t>
                      </w:r>
                    </w:hyperlink>
                    <w:r>
                      <w:rPr>
                        <w:rFonts w:ascii="MS Gothic"/>
                        <w:color w:val="333333"/>
                      </w:rPr>
                      <w:t xml:space="preserve"> https://xmlns.oracle.com/weblogic/weblogic-web-app/1.4/weblogic-web-app.xsd"&gt;</w:t>
                    </w:r>
                  </w:p>
                  <w:p w14:paraId="11685F7C" w14:textId="77777777" w:rsidR="00711A16" w:rsidRDefault="00711A16">
                    <w:pPr>
                      <w:spacing w:line="278" w:lineRule="exact"/>
                      <w:ind w:left="640"/>
                      <w:rPr>
                        <w:rFonts w:ascii="MS Gothic"/>
                      </w:rPr>
                    </w:pPr>
                    <w:r>
                      <w:rPr>
                        <w:rFonts w:ascii="MS Gothic"/>
                        <w:color w:val="333333"/>
                      </w:rPr>
                      <w:t>&lt;wls:container-descriptor&gt;</w:t>
                    </w:r>
                  </w:p>
                  <w:p w14:paraId="6C23E260" w14:textId="77777777" w:rsidR="00711A16" w:rsidRDefault="00711A16">
                    <w:pPr>
                      <w:spacing w:before="8"/>
                      <w:ind w:left="1080"/>
                      <w:rPr>
                        <w:rFonts w:ascii="MS Gothic"/>
                      </w:rPr>
                    </w:pPr>
                    <w:r>
                      <w:rPr>
                        <w:rFonts w:ascii="MS Gothic"/>
                        <w:color w:val="333333"/>
                      </w:rPr>
                      <w:t>&lt;</w:t>
                    </w:r>
                    <w:proofErr w:type="gramStart"/>
                    <w:r>
                      <w:rPr>
                        <w:rFonts w:ascii="MS Gothic"/>
                        <w:color w:val="333333"/>
                      </w:rPr>
                      <w:t>wls:prefer</w:t>
                    </w:r>
                    <w:proofErr w:type="gramEnd"/>
                    <w:r>
                      <w:rPr>
                        <w:rFonts w:ascii="MS Gothic"/>
                        <w:color w:val="333333"/>
                      </w:rPr>
                      <w:t>-application-packages&gt;</w:t>
                    </w:r>
                  </w:p>
                  <w:p w14:paraId="37B05DE8" w14:textId="77777777" w:rsidR="00711A16" w:rsidRDefault="00711A16">
                    <w:pPr>
                      <w:spacing w:before="13"/>
                      <w:ind w:left="1520"/>
                      <w:rPr>
                        <w:rFonts w:ascii="MS Gothic"/>
                      </w:rPr>
                    </w:pPr>
                    <w:r>
                      <w:rPr>
                        <w:rFonts w:ascii="MS Gothic"/>
                        <w:color w:val="333333"/>
                      </w:rPr>
                      <w:t>&lt;</w:t>
                    </w:r>
                    <w:proofErr w:type="gramStart"/>
                    <w:r>
                      <w:rPr>
                        <w:rFonts w:ascii="MS Gothic"/>
                        <w:color w:val="333333"/>
                      </w:rPr>
                      <w:t>wls:package</w:t>
                    </w:r>
                    <w:proofErr w:type="gramEnd"/>
                    <w:r>
                      <w:rPr>
                        <w:rFonts w:ascii="MS Gothic"/>
                        <w:color w:val="333333"/>
                      </w:rPr>
                      <w:t>-name&gt;org.slf4j&lt;/wls:package-name&gt;</w:t>
                    </w:r>
                  </w:p>
                  <w:p w14:paraId="040F6FD1" w14:textId="77777777" w:rsidR="00711A16" w:rsidRDefault="00711A16">
                    <w:pPr>
                      <w:spacing w:before="13"/>
                      <w:ind w:left="1080"/>
                      <w:rPr>
                        <w:rFonts w:ascii="MS Gothic"/>
                      </w:rPr>
                    </w:pPr>
                    <w:r>
                      <w:rPr>
                        <w:rFonts w:ascii="MS Gothic"/>
                        <w:color w:val="333333"/>
                      </w:rPr>
                      <w:t>&lt;/</w:t>
                    </w:r>
                    <w:proofErr w:type="gramStart"/>
                    <w:r>
                      <w:rPr>
                        <w:rFonts w:ascii="MS Gothic"/>
                        <w:color w:val="333333"/>
                      </w:rPr>
                      <w:t>wls:prefer</w:t>
                    </w:r>
                    <w:proofErr w:type="gramEnd"/>
                    <w:r>
                      <w:rPr>
                        <w:rFonts w:ascii="MS Gothic"/>
                        <w:color w:val="333333"/>
                      </w:rPr>
                      <w:t>-application-packages&gt;</w:t>
                    </w:r>
                  </w:p>
                  <w:p w14:paraId="5F4152EE" w14:textId="77777777" w:rsidR="00711A16" w:rsidRDefault="00711A16">
                    <w:pPr>
                      <w:spacing w:before="13"/>
                      <w:ind w:left="640"/>
                      <w:rPr>
                        <w:rFonts w:ascii="MS Gothic"/>
                      </w:rPr>
                    </w:pPr>
                    <w:r>
                      <w:rPr>
                        <w:rFonts w:ascii="MS Gothic"/>
                        <w:color w:val="333333"/>
                      </w:rPr>
                      <w:t>&lt;/wls:container-descriptor&gt;</w:t>
                    </w:r>
                  </w:p>
                  <w:p w14:paraId="68176287" w14:textId="77777777" w:rsidR="00711A16" w:rsidRDefault="00711A16">
                    <w:pPr>
                      <w:spacing w:before="13"/>
                      <w:ind w:left="200"/>
                      <w:rPr>
                        <w:rFonts w:ascii="MS Gothic"/>
                      </w:rPr>
                    </w:pPr>
                    <w:r>
                      <w:rPr>
                        <w:rFonts w:ascii="MS Gothic"/>
                        <w:color w:val="333333"/>
                      </w:rPr>
                      <w:t>&lt;/</w:t>
                    </w:r>
                    <w:proofErr w:type="gramStart"/>
                    <w:r>
                      <w:rPr>
                        <w:rFonts w:ascii="MS Gothic"/>
                        <w:color w:val="333333"/>
                      </w:rPr>
                      <w:t>wls:weblogic</w:t>
                    </w:r>
                    <w:proofErr w:type="gramEnd"/>
                    <w:r>
                      <w:rPr>
                        <w:rFonts w:ascii="MS Gothic"/>
                        <w:color w:val="333333"/>
                      </w:rPr>
                      <w:t>-web-app&gt;</w:t>
                    </w:r>
                  </w:p>
                </w:txbxContent>
              </v:textbox>
            </v:shape>
            <w10:wrap type="topAndBottom" anchorx="page"/>
          </v:group>
        </w:pict>
      </w:r>
    </w:p>
    <w:p w14:paraId="1EAF9834" w14:textId="77777777" w:rsidR="00A720EB" w:rsidRDefault="00A720EB">
      <w:pPr>
        <w:pStyle w:val="a3"/>
        <w:spacing w:before="11"/>
        <w:rPr>
          <w:sz w:val="16"/>
        </w:rPr>
      </w:pPr>
    </w:p>
    <w:p w14:paraId="516EC414" w14:textId="77777777" w:rsidR="00A720EB" w:rsidRDefault="0030286B">
      <w:pPr>
        <w:pStyle w:val="3"/>
        <w:numPr>
          <w:ilvl w:val="2"/>
          <w:numId w:val="13"/>
        </w:numPr>
        <w:tabs>
          <w:tab w:val="left" w:pos="1003"/>
        </w:tabs>
        <w:spacing w:before="105"/>
        <w:ind w:left="1002" w:hanging="879"/>
      </w:pPr>
      <w:bookmarkStart w:id="1016" w:name="9.17.4._Use_Jedis_Instead_of_Lettuce"/>
      <w:bookmarkStart w:id="1017" w:name="_Toc54424026"/>
      <w:bookmarkEnd w:id="1016"/>
      <w:r>
        <w:rPr>
          <w:color w:val="333333"/>
          <w:w w:val="110"/>
        </w:rPr>
        <w:t>Use Jedis Instead of</w:t>
      </w:r>
      <w:r>
        <w:rPr>
          <w:color w:val="333333"/>
          <w:spacing w:val="-21"/>
          <w:w w:val="110"/>
        </w:rPr>
        <w:t xml:space="preserve"> </w:t>
      </w:r>
      <w:r>
        <w:rPr>
          <w:color w:val="333333"/>
          <w:w w:val="110"/>
        </w:rPr>
        <w:t>Lettuce</w:t>
      </w:r>
      <w:bookmarkEnd w:id="1017"/>
    </w:p>
    <w:p w14:paraId="21650E28" w14:textId="77777777" w:rsidR="00A720EB" w:rsidRDefault="0030286B">
      <w:pPr>
        <w:pStyle w:val="a3"/>
        <w:spacing w:before="243" w:line="300" w:lineRule="auto"/>
        <w:ind w:left="124" w:right="122"/>
        <w:jc w:val="both"/>
      </w:pPr>
      <w:r>
        <w:rPr>
          <w:color w:val="333333"/>
          <w:w w:val="110"/>
        </w:rPr>
        <w:t>By default, the Spring Boot starter (</w:t>
      </w:r>
      <w:r>
        <w:rPr>
          <w:rFonts w:ascii="MS Gothic"/>
          <w:color w:val="B02045"/>
          <w:w w:val="110"/>
        </w:rPr>
        <w:t>spring-boot-starter-data-redis</w:t>
      </w:r>
      <w:r>
        <w:rPr>
          <w:color w:val="333333"/>
          <w:w w:val="110"/>
        </w:rPr>
        <w:t xml:space="preserve">) uses </w:t>
      </w:r>
      <w:hyperlink r:id="rId673">
        <w:r>
          <w:rPr>
            <w:color w:val="418BCA"/>
            <w:w w:val="110"/>
          </w:rPr>
          <w:t>Lettuce</w:t>
        </w:r>
      </w:hyperlink>
      <w:r>
        <w:rPr>
          <w:color w:val="333333"/>
          <w:w w:val="110"/>
        </w:rPr>
        <w:t xml:space="preserve">. You need </w:t>
      </w:r>
      <w:proofErr w:type="gramStart"/>
      <w:r>
        <w:rPr>
          <w:color w:val="333333"/>
          <w:w w:val="110"/>
        </w:rPr>
        <w:t>to  exclude</w:t>
      </w:r>
      <w:proofErr w:type="gramEnd"/>
      <w:r>
        <w:rPr>
          <w:color w:val="333333"/>
          <w:w w:val="110"/>
        </w:rPr>
        <w:t xml:space="preserve"> that dependency and include the </w:t>
      </w:r>
      <w:hyperlink r:id="rId674">
        <w:r>
          <w:rPr>
            <w:color w:val="418BCA"/>
            <w:w w:val="110"/>
          </w:rPr>
          <w:t>Jedis</w:t>
        </w:r>
      </w:hyperlink>
      <w:r>
        <w:rPr>
          <w:color w:val="418BCA"/>
          <w:w w:val="110"/>
        </w:rPr>
        <w:t xml:space="preserve"> </w:t>
      </w:r>
      <w:r>
        <w:rPr>
          <w:color w:val="333333"/>
          <w:w w:val="110"/>
        </w:rPr>
        <w:t>one instead. Spring Boot manages both of these dependencies so you can switch to Jedis without specifying a version.</w:t>
      </w:r>
    </w:p>
    <w:p w14:paraId="3CDCD4AC" w14:textId="77777777" w:rsidR="00A720EB" w:rsidRDefault="0030286B">
      <w:pPr>
        <w:pStyle w:val="a3"/>
        <w:spacing w:before="246"/>
        <w:ind w:left="124"/>
        <w:jc w:val="both"/>
      </w:pPr>
      <w:r>
        <w:rPr>
          <w:color w:val="333333"/>
          <w:w w:val="110"/>
        </w:rPr>
        <w:t>The following example shows how to do so in Maven:</w:t>
      </w:r>
    </w:p>
    <w:p w14:paraId="7ED7908A" w14:textId="77777777" w:rsidR="00A720EB" w:rsidRDefault="00A720EB">
      <w:pPr>
        <w:jc w:val="both"/>
        <w:sectPr w:rsidR="00A720EB">
          <w:pgSz w:w="11910" w:h="16840"/>
          <w:pgMar w:top="620" w:right="840" w:bottom="520" w:left="840" w:header="0" w:footer="323" w:gutter="0"/>
          <w:cols w:space="720"/>
        </w:sectPr>
      </w:pPr>
    </w:p>
    <w:p w14:paraId="2ED0F7F8" w14:textId="77777777" w:rsidR="00A720EB" w:rsidRDefault="00E10349">
      <w:pPr>
        <w:pStyle w:val="a3"/>
        <w:ind w:left="116"/>
        <w:rPr>
          <w:sz w:val="20"/>
        </w:rPr>
      </w:pPr>
      <w:r>
        <w:rPr>
          <w:sz w:val="20"/>
        </w:rPr>
      </w:r>
      <w:r>
        <w:rPr>
          <w:sz w:val="20"/>
        </w:rPr>
        <w:pict w14:anchorId="3A3E99DD">
          <v:group id="_x0000_s1195" style="width:499.55pt;height:229.15pt;mso-position-horizontal-relative:char;mso-position-vertical-relative:line" coordsize="9991,4583">
            <v:shape id="_x0000_s1198" style="position:absolute;left:7;top:7;width:9976;height:4568" coordorigin="8,8" coordsize="9976,4568" path="m9904,8l88,8,56,14,31,31,14,56,8,88r,4407l14,4526r17,25l56,4568r32,7l9904,4575r31,-7l9960,4551r17,-25l9984,4495r,-4407l9977,56,9960,31,9935,14,9904,8xe" fillcolor="#f5f5f5" stroked="f">
              <v:path arrowok="t"/>
            </v:shape>
            <v:shape id="_x0000_s1197" style="position:absolute;left:7;top:7;width:9976;height:4568" coordorigin="8,8" coordsize="9976,4568" path="m88,8r9816,l9935,14r25,17l9977,56r7,32l9984,4495r-7,31l9960,4551r-25,17l9904,4575r-9816,l56,4568,31,4551,14,4526,8,4495,8,88,14,56,31,31,56,14,88,8xe" filled="f" strokecolor="#ccc">
              <v:path arrowok="t"/>
            </v:shape>
            <v:shape id="_x0000_s1196" type="#_x0000_t202" style="position:absolute;left:26;top:22;width:9938;height:4537" filled="f" stroked="f">
              <v:textbox inset="0,0,0,0">
                <w:txbxContent>
                  <w:p w14:paraId="7FA68ECE" w14:textId="77777777" w:rsidR="00711A16" w:rsidRDefault="00711A16">
                    <w:pPr>
                      <w:spacing w:before="221"/>
                      <w:ind w:left="200"/>
                      <w:rPr>
                        <w:rFonts w:ascii="MS Gothic"/>
                      </w:rPr>
                    </w:pPr>
                    <w:r>
                      <w:rPr>
                        <w:rFonts w:ascii="MS Gothic"/>
                        <w:color w:val="333333"/>
                      </w:rPr>
                      <w:t>&lt;dependency&gt;</w:t>
                    </w:r>
                  </w:p>
                  <w:p w14:paraId="33C181DA"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219F5C58" w14:textId="77777777" w:rsidR="00711A16" w:rsidRDefault="00711A16">
                    <w:pPr>
                      <w:spacing w:before="13"/>
                      <w:ind w:left="640"/>
                      <w:rPr>
                        <w:rFonts w:ascii="MS Gothic"/>
                      </w:rPr>
                    </w:pPr>
                    <w:r>
                      <w:rPr>
                        <w:rFonts w:ascii="MS Gothic"/>
                        <w:color w:val="333333"/>
                      </w:rPr>
                      <w:t>&lt;artifactId&gt;spring-boot-starter-data-redis&lt;/artifactId&gt;</w:t>
                    </w:r>
                  </w:p>
                  <w:p w14:paraId="79A64EC4" w14:textId="77777777" w:rsidR="00711A16" w:rsidRDefault="00711A16">
                    <w:pPr>
                      <w:spacing w:before="13"/>
                      <w:ind w:left="640"/>
                      <w:rPr>
                        <w:rFonts w:ascii="MS Gothic"/>
                      </w:rPr>
                    </w:pPr>
                    <w:r>
                      <w:rPr>
                        <w:rFonts w:ascii="MS Gothic"/>
                        <w:color w:val="333333"/>
                      </w:rPr>
                      <w:t>&lt;exclusions&gt;</w:t>
                    </w:r>
                  </w:p>
                  <w:p w14:paraId="7C28BB3F" w14:textId="77777777" w:rsidR="00711A16" w:rsidRDefault="00711A16">
                    <w:pPr>
                      <w:spacing w:before="12"/>
                      <w:ind w:left="1080"/>
                      <w:rPr>
                        <w:rFonts w:ascii="MS Gothic"/>
                      </w:rPr>
                    </w:pPr>
                    <w:r>
                      <w:rPr>
                        <w:rFonts w:ascii="MS Gothic"/>
                        <w:color w:val="333333"/>
                      </w:rPr>
                      <w:t>&lt;exclusion&gt;</w:t>
                    </w:r>
                  </w:p>
                  <w:p w14:paraId="41A45E71" w14:textId="77777777" w:rsidR="00711A16" w:rsidRDefault="00711A16">
                    <w:pPr>
                      <w:spacing w:before="13"/>
                      <w:ind w:left="1520"/>
                      <w:rPr>
                        <w:rFonts w:ascii="MS Gothic"/>
                      </w:rPr>
                    </w:pPr>
                    <w:r>
                      <w:rPr>
                        <w:rFonts w:ascii="MS Gothic"/>
                        <w:color w:val="333333"/>
                      </w:rPr>
                      <w:t>&lt;groupId&gt;io.lettuce&lt;/groupId&gt;</w:t>
                    </w:r>
                  </w:p>
                  <w:p w14:paraId="59C7E6F2" w14:textId="77777777" w:rsidR="00711A16" w:rsidRDefault="00711A16">
                    <w:pPr>
                      <w:spacing w:before="13"/>
                      <w:ind w:left="1520"/>
                      <w:rPr>
                        <w:rFonts w:ascii="MS Gothic"/>
                      </w:rPr>
                    </w:pPr>
                    <w:r>
                      <w:rPr>
                        <w:rFonts w:ascii="MS Gothic"/>
                        <w:color w:val="333333"/>
                      </w:rPr>
                      <w:t>&lt;artifactId&gt;lettuce-core&lt;/artifactId&gt;</w:t>
                    </w:r>
                  </w:p>
                  <w:p w14:paraId="64F3C035" w14:textId="77777777" w:rsidR="00711A16" w:rsidRDefault="00711A16">
                    <w:pPr>
                      <w:spacing w:before="13"/>
                      <w:ind w:left="1080"/>
                      <w:rPr>
                        <w:rFonts w:ascii="MS Gothic"/>
                      </w:rPr>
                    </w:pPr>
                    <w:r>
                      <w:rPr>
                        <w:rFonts w:ascii="MS Gothic"/>
                        <w:color w:val="333333"/>
                      </w:rPr>
                      <w:t>&lt;/exclusion&gt;</w:t>
                    </w:r>
                  </w:p>
                  <w:p w14:paraId="7621997A" w14:textId="77777777" w:rsidR="00711A16" w:rsidRDefault="00711A16">
                    <w:pPr>
                      <w:spacing w:before="13"/>
                      <w:ind w:left="640"/>
                      <w:rPr>
                        <w:rFonts w:ascii="MS Gothic"/>
                      </w:rPr>
                    </w:pPr>
                    <w:r>
                      <w:rPr>
                        <w:rFonts w:ascii="MS Gothic"/>
                        <w:color w:val="333333"/>
                      </w:rPr>
                      <w:t>&lt;/exclusions&gt;</w:t>
                    </w:r>
                  </w:p>
                  <w:p w14:paraId="0209D090" w14:textId="77777777" w:rsidR="00711A16" w:rsidRDefault="00711A16">
                    <w:pPr>
                      <w:spacing w:before="13"/>
                      <w:ind w:left="200"/>
                      <w:rPr>
                        <w:rFonts w:ascii="MS Gothic"/>
                      </w:rPr>
                    </w:pPr>
                    <w:r>
                      <w:rPr>
                        <w:rFonts w:ascii="MS Gothic"/>
                        <w:color w:val="333333"/>
                      </w:rPr>
                      <w:t>&lt;/dependency&gt;</w:t>
                    </w:r>
                  </w:p>
                  <w:p w14:paraId="4D92E5E0" w14:textId="77777777" w:rsidR="00711A16" w:rsidRDefault="00711A16">
                    <w:pPr>
                      <w:spacing w:before="13"/>
                      <w:ind w:left="200"/>
                      <w:rPr>
                        <w:rFonts w:ascii="MS Gothic"/>
                      </w:rPr>
                    </w:pPr>
                    <w:r>
                      <w:rPr>
                        <w:rFonts w:ascii="MS Gothic"/>
                        <w:color w:val="333333"/>
                      </w:rPr>
                      <w:t>&lt;dependency&gt;</w:t>
                    </w:r>
                  </w:p>
                  <w:p w14:paraId="178999BF" w14:textId="77777777" w:rsidR="00711A16" w:rsidRDefault="00711A16">
                    <w:pPr>
                      <w:spacing w:before="13"/>
                      <w:ind w:left="640"/>
                      <w:rPr>
                        <w:rFonts w:ascii="MS Gothic"/>
                      </w:rPr>
                    </w:pPr>
                    <w:r>
                      <w:rPr>
                        <w:rFonts w:ascii="MS Gothic"/>
                        <w:color w:val="333333"/>
                      </w:rPr>
                      <w:t>&lt;groupId&gt;redis.clients&lt;/groupId&gt;</w:t>
                    </w:r>
                  </w:p>
                  <w:p w14:paraId="14DBF6ED" w14:textId="77777777" w:rsidR="00711A16" w:rsidRDefault="00711A16">
                    <w:pPr>
                      <w:spacing w:before="13"/>
                      <w:ind w:left="640"/>
                      <w:rPr>
                        <w:rFonts w:ascii="MS Gothic"/>
                      </w:rPr>
                    </w:pPr>
                    <w:r>
                      <w:rPr>
                        <w:rFonts w:ascii="MS Gothic"/>
                        <w:color w:val="333333"/>
                      </w:rPr>
                      <w:t>&lt;artifactId&gt;jedis&lt;/artifactId&gt;</w:t>
                    </w:r>
                  </w:p>
                  <w:p w14:paraId="559CA0F6" w14:textId="77777777" w:rsidR="00711A16" w:rsidRDefault="00711A16">
                    <w:pPr>
                      <w:spacing w:before="13"/>
                      <w:ind w:left="200"/>
                      <w:rPr>
                        <w:rFonts w:ascii="MS Gothic"/>
                      </w:rPr>
                    </w:pPr>
                    <w:r>
                      <w:rPr>
                        <w:rFonts w:ascii="MS Gothic"/>
                        <w:color w:val="333333"/>
                      </w:rPr>
                      <w:t>&lt;/dependency&gt;</w:t>
                    </w:r>
                  </w:p>
                </w:txbxContent>
              </v:textbox>
            </v:shape>
            <w10:anchorlock/>
          </v:group>
        </w:pict>
      </w:r>
    </w:p>
    <w:p w14:paraId="21C5A60F" w14:textId="77777777" w:rsidR="00A720EB" w:rsidRDefault="00A720EB">
      <w:pPr>
        <w:pStyle w:val="a3"/>
        <w:spacing w:before="8"/>
        <w:rPr>
          <w:sz w:val="9"/>
        </w:rPr>
      </w:pPr>
    </w:p>
    <w:p w14:paraId="3680536F" w14:textId="77777777" w:rsidR="00A720EB" w:rsidRDefault="0030286B">
      <w:pPr>
        <w:pStyle w:val="a3"/>
        <w:spacing w:before="125"/>
        <w:ind w:left="124"/>
      </w:pPr>
      <w:r>
        <w:rPr>
          <w:color w:val="333333"/>
          <w:w w:val="110"/>
        </w:rPr>
        <w:t>The following example shows how to do so in Gradle:</w:t>
      </w:r>
    </w:p>
    <w:p w14:paraId="740D95D3" w14:textId="77777777" w:rsidR="00A720EB" w:rsidRDefault="00E10349">
      <w:pPr>
        <w:pStyle w:val="a3"/>
        <w:rPr>
          <w:sz w:val="19"/>
        </w:rPr>
      </w:pPr>
      <w:r>
        <w:pict w14:anchorId="0EA192AC">
          <v:group id="_x0000_s1191" style="position:absolute;margin-left:47.85pt;margin-top:13.15pt;width:499.55pt;height:125.95pt;z-index:-15028224;mso-wrap-distance-left:0;mso-wrap-distance-right:0;mso-position-horizontal-relative:page" coordorigin="957,263" coordsize="9991,2519">
            <v:shape id="_x0000_s1194" style="position:absolute;left:964;top:270;width:9976;height:2504" coordorigin="965,270" coordsize="9976,2504" path="m10861,270r-9816,l1014,277r-26,17l971,319r-6,31l965,2694r6,31l988,2750r26,18l1045,2774r9816,l10892,2768r25,-18l10935,2725r6,-31l10941,350r-6,-31l10917,294r-25,-17l10861,270xe" fillcolor="#f5f5f5" stroked="f">
              <v:path arrowok="t"/>
            </v:shape>
            <v:shape id="_x0000_s1193" style="position:absolute;left:964;top:270;width:9976;height:2504" coordorigin="965,270" coordsize="9976,2504" path="m1045,270r9816,l10892,277r25,17l10935,319r6,31l10941,2694r-6,31l10917,2750r-25,18l10861,2774r-9816,l1014,2768r-26,-18l971,2725r-6,-31l965,350r6,-31l988,294r26,-17l1045,270xe" filled="f" strokecolor="#ccc">
              <v:path arrowok="t"/>
            </v:shape>
            <v:shape id="_x0000_s1192" type="#_x0000_t202" style="position:absolute;left:984;top:285;width:9938;height:2473" filled="f" stroked="f">
              <v:textbox inset="0,0,0,0">
                <w:txbxContent>
                  <w:p w14:paraId="19AF63AD" w14:textId="77777777" w:rsidR="00711A16" w:rsidRDefault="00711A16">
                    <w:pPr>
                      <w:spacing w:before="221"/>
                      <w:ind w:left="200"/>
                      <w:rPr>
                        <w:rFonts w:ascii="MS Gothic"/>
                      </w:rPr>
                    </w:pPr>
                    <w:r>
                      <w:rPr>
                        <w:rFonts w:ascii="MS Gothic"/>
                        <w:color w:val="333333"/>
                      </w:rPr>
                      <w:t>dependencies {</w:t>
                    </w:r>
                  </w:p>
                  <w:p w14:paraId="788F9E5D" w14:textId="77777777" w:rsidR="00711A16" w:rsidRDefault="00711A16">
                    <w:pPr>
                      <w:spacing w:before="13" w:line="252" w:lineRule="auto"/>
                      <w:ind w:left="1080" w:right="1028" w:hanging="440"/>
                      <w:rPr>
                        <w:rFonts w:ascii="MS Gothic"/>
                      </w:rPr>
                    </w:pPr>
                    <w:r>
                      <w:rPr>
                        <w:rFonts w:ascii="MS Gothic"/>
                        <w:color w:val="333333"/>
                      </w:rPr>
                      <w:t>implementation('</w:t>
                    </w:r>
                    <w:proofErr w:type="gramStart"/>
                    <w:r>
                      <w:rPr>
                        <w:rFonts w:ascii="MS Gothic"/>
                        <w:color w:val="333333"/>
                      </w:rPr>
                      <w:t>org.springframework</w:t>
                    </w:r>
                    <w:proofErr w:type="gramEnd"/>
                    <w:r>
                      <w:rPr>
                        <w:rFonts w:ascii="MS Gothic"/>
                        <w:color w:val="333333"/>
                      </w:rPr>
                      <w:t>.boot:spring-boot-starter-data-redis') { exclude group: 'io.lettuce', module: 'lettuce-core'</w:t>
                    </w:r>
                  </w:p>
                  <w:p w14:paraId="38BB50AB" w14:textId="77777777" w:rsidR="00711A16" w:rsidRDefault="00711A16">
                    <w:pPr>
                      <w:spacing w:line="280" w:lineRule="exact"/>
                      <w:ind w:left="640"/>
                      <w:rPr>
                        <w:rFonts w:ascii="MS Gothic"/>
                      </w:rPr>
                    </w:pPr>
                    <w:r>
                      <w:rPr>
                        <w:rFonts w:ascii="MS Gothic"/>
                        <w:color w:val="333333"/>
                      </w:rPr>
                      <w:t>}</w:t>
                    </w:r>
                  </w:p>
                  <w:p w14:paraId="051285C5" w14:textId="77777777" w:rsidR="00711A16" w:rsidRDefault="00711A16">
                    <w:pPr>
                      <w:spacing w:before="13"/>
                      <w:ind w:left="640"/>
                      <w:rPr>
                        <w:rFonts w:ascii="MS Gothic"/>
                      </w:rPr>
                    </w:pPr>
                    <w:r>
                      <w:rPr>
                        <w:rFonts w:ascii="MS Gothic"/>
                        <w:color w:val="333333"/>
                      </w:rPr>
                      <w:t>implementation '</w:t>
                    </w:r>
                    <w:proofErr w:type="gramStart"/>
                    <w:r>
                      <w:rPr>
                        <w:rFonts w:ascii="MS Gothic"/>
                        <w:color w:val="333333"/>
                      </w:rPr>
                      <w:t>redis.clients</w:t>
                    </w:r>
                    <w:proofErr w:type="gramEnd"/>
                    <w:r>
                      <w:rPr>
                        <w:rFonts w:ascii="MS Gothic"/>
                        <w:color w:val="333333"/>
                      </w:rPr>
                      <w:t>:jedis'</w:t>
                    </w:r>
                  </w:p>
                  <w:p w14:paraId="32A27B48" w14:textId="77777777" w:rsidR="00711A16" w:rsidRDefault="00711A16">
                    <w:pPr>
                      <w:spacing w:before="13"/>
                      <w:ind w:left="640"/>
                      <w:rPr>
                        <w:rFonts w:ascii="MS Gothic"/>
                      </w:rPr>
                    </w:pPr>
                    <w:r>
                      <w:rPr>
                        <w:rFonts w:ascii="MS Gothic"/>
                        <w:color w:val="333333"/>
                      </w:rPr>
                      <w:t>// ...</w:t>
                    </w:r>
                  </w:p>
                  <w:p w14:paraId="1E605326" w14:textId="77777777" w:rsidR="00711A16" w:rsidRDefault="00711A16">
                    <w:pPr>
                      <w:spacing w:before="12"/>
                      <w:ind w:left="200"/>
                      <w:rPr>
                        <w:rFonts w:ascii="MS Gothic"/>
                      </w:rPr>
                    </w:pPr>
                    <w:r>
                      <w:rPr>
                        <w:rFonts w:ascii="MS Gothic"/>
                        <w:color w:val="333333"/>
                      </w:rPr>
                      <w:t>}</w:t>
                    </w:r>
                  </w:p>
                </w:txbxContent>
              </v:textbox>
            </v:shape>
            <w10:wrap type="topAndBottom" anchorx="page"/>
          </v:group>
        </w:pict>
      </w:r>
    </w:p>
    <w:p w14:paraId="4839AAF3" w14:textId="77777777" w:rsidR="00A720EB" w:rsidRDefault="00A720EB">
      <w:pPr>
        <w:pStyle w:val="a3"/>
        <w:spacing w:before="11"/>
        <w:rPr>
          <w:sz w:val="16"/>
        </w:rPr>
      </w:pPr>
    </w:p>
    <w:p w14:paraId="67600A4F" w14:textId="77777777" w:rsidR="00A720EB" w:rsidRDefault="0030286B">
      <w:pPr>
        <w:pStyle w:val="3"/>
        <w:numPr>
          <w:ilvl w:val="2"/>
          <w:numId w:val="13"/>
        </w:numPr>
        <w:tabs>
          <w:tab w:val="left" w:pos="1003"/>
        </w:tabs>
        <w:spacing w:before="105"/>
        <w:ind w:left="1002" w:hanging="879"/>
      </w:pPr>
      <w:bookmarkStart w:id="1018" w:name="9.17.5._Use_Testcontainers_for_integrati"/>
      <w:bookmarkStart w:id="1019" w:name="_Toc54424027"/>
      <w:bookmarkEnd w:id="1018"/>
      <w:r>
        <w:rPr>
          <w:color w:val="333333"/>
          <w:w w:val="110"/>
        </w:rPr>
        <w:t>Use Testcontainers for integration</w:t>
      </w:r>
      <w:r>
        <w:rPr>
          <w:color w:val="333333"/>
          <w:spacing w:val="-16"/>
          <w:w w:val="110"/>
        </w:rPr>
        <w:t xml:space="preserve"> </w:t>
      </w:r>
      <w:r>
        <w:rPr>
          <w:color w:val="333333"/>
          <w:w w:val="110"/>
        </w:rPr>
        <w:t>testing</w:t>
      </w:r>
      <w:bookmarkEnd w:id="1019"/>
    </w:p>
    <w:p w14:paraId="6A787753" w14:textId="77777777" w:rsidR="00A720EB" w:rsidRDefault="0030286B">
      <w:pPr>
        <w:pStyle w:val="a3"/>
        <w:spacing w:before="254" w:line="307" w:lineRule="auto"/>
        <w:ind w:left="124" w:right="128"/>
        <w:jc w:val="both"/>
      </w:pPr>
      <w:r>
        <w:rPr>
          <w:color w:val="333333"/>
          <w:w w:val="110"/>
        </w:rPr>
        <w:t xml:space="preserve">The </w:t>
      </w:r>
      <w:hyperlink r:id="rId675">
        <w:r>
          <w:rPr>
            <w:color w:val="418BCA"/>
            <w:w w:val="110"/>
          </w:rPr>
          <w:t xml:space="preserve">Testcontainers </w:t>
        </w:r>
      </w:hyperlink>
      <w:r>
        <w:rPr>
          <w:color w:val="333333"/>
          <w:w w:val="110"/>
        </w:rPr>
        <w:t>library provides a way to manage services running inside Docker containers. It integrates with JUnit, allowing you to write a test class that can start up a container before any of   the tests run. Testcontainers is especially useful for writing integration tests that talk to a real backend service such as MySQL, MongoDB, Cassandra etc. Testcontainers can be used in a Spring Boot test as</w:t>
      </w:r>
      <w:r>
        <w:rPr>
          <w:color w:val="333333"/>
          <w:spacing w:val="7"/>
          <w:w w:val="110"/>
        </w:rPr>
        <w:t xml:space="preserve"> </w:t>
      </w:r>
      <w:r>
        <w:rPr>
          <w:color w:val="333333"/>
          <w:w w:val="110"/>
        </w:rPr>
        <w:t>follows:</w:t>
      </w:r>
    </w:p>
    <w:p w14:paraId="2A86AA4F" w14:textId="77777777" w:rsidR="00A720EB" w:rsidRDefault="00E10349">
      <w:pPr>
        <w:pStyle w:val="a3"/>
        <w:spacing w:before="3"/>
        <w:rPr>
          <w:sz w:val="13"/>
        </w:rPr>
      </w:pPr>
      <w:r>
        <w:pict w14:anchorId="67848CBA">
          <v:group id="_x0000_s1187" style="position:absolute;margin-left:47.85pt;margin-top:9.75pt;width:499.55pt;height:140.7pt;z-index:-15027712;mso-wrap-distance-left:0;mso-wrap-distance-right:0;mso-position-horizontal-relative:page" coordorigin="957,195" coordsize="9991,2814">
            <v:shape id="_x0000_s1190" style="position:absolute;left:964;top:202;width:9976;height:2799" coordorigin="965,203" coordsize="9976,2799" path="m10861,203r-9816,l1014,209r-26,17l971,251r-6,32l965,2921r6,31l988,2978r26,17l1045,3001r9816,l10892,2995r25,-17l10935,2952r6,-31l10941,283r-6,-32l10917,226r-25,-17l10861,203xe" fillcolor="#f5f5f5" stroked="f">
              <v:path arrowok="t"/>
            </v:shape>
            <v:shape id="_x0000_s1189" style="position:absolute;left:964;top:202;width:9976;height:2799" coordorigin="965,203" coordsize="9976,2799" path="m1045,203r9816,l10892,209r25,17l10935,251r6,32l10941,2921r-6,31l10917,2978r-25,17l10861,3001r-9816,l1014,2995r-26,-17l971,2952r-6,-31l965,283r6,-32l988,226r26,-17l1045,203xe" filled="f" strokecolor="#ccc">
              <v:path arrowok="t"/>
            </v:shape>
            <v:shape id="_x0000_s1188" type="#_x0000_t202" style="position:absolute;left:984;top:218;width:9938;height:2768" filled="f" stroked="f">
              <v:textbox inset="0,0,0,0">
                <w:txbxContent>
                  <w:p w14:paraId="1089CDE0" w14:textId="77777777" w:rsidR="00711A16" w:rsidRDefault="00711A16">
                    <w:pPr>
                      <w:spacing w:before="221" w:line="252" w:lineRule="auto"/>
                      <w:ind w:left="200" w:right="8068"/>
                      <w:rPr>
                        <w:rFonts w:ascii="MS Gothic"/>
                      </w:rPr>
                    </w:pPr>
                    <w:r>
                      <w:rPr>
                        <w:rFonts w:ascii="MS Gothic"/>
                        <w:color w:val="333333"/>
                      </w:rPr>
                      <w:t>@SpringBootTest @Testcontainers</w:t>
                    </w:r>
                  </w:p>
                  <w:p w14:paraId="11ABB310" w14:textId="77777777" w:rsidR="00711A16" w:rsidRDefault="00711A16">
                    <w:pPr>
                      <w:spacing w:line="280" w:lineRule="exact"/>
                      <w:ind w:left="200"/>
                      <w:rPr>
                        <w:rFonts w:ascii="MS Gothic"/>
                      </w:rPr>
                    </w:pPr>
                    <w:r>
                      <w:rPr>
                        <w:rFonts w:ascii="MS Gothic"/>
                        <w:color w:val="333333"/>
                      </w:rPr>
                      <w:t>class ExampleIntegrationTests {</w:t>
                    </w:r>
                  </w:p>
                  <w:p w14:paraId="0301387E" w14:textId="77777777" w:rsidR="00711A16" w:rsidRDefault="00711A16">
                    <w:pPr>
                      <w:rPr>
                        <w:rFonts w:ascii="MS Gothic"/>
                        <w:sz w:val="24"/>
                      </w:rPr>
                    </w:pPr>
                  </w:p>
                  <w:p w14:paraId="60E0FEC8" w14:textId="77777777" w:rsidR="00711A16" w:rsidRDefault="00711A16">
                    <w:pPr>
                      <w:ind w:left="640"/>
                      <w:rPr>
                        <w:rFonts w:ascii="MS Gothic"/>
                      </w:rPr>
                    </w:pPr>
                    <w:r>
                      <w:rPr>
                        <w:rFonts w:ascii="MS Gothic"/>
                        <w:color w:val="333333"/>
                      </w:rPr>
                      <w:t>@Container</w:t>
                    </w:r>
                  </w:p>
                  <w:p w14:paraId="329B23AA" w14:textId="77777777" w:rsidR="00711A16" w:rsidRDefault="00711A16">
                    <w:pPr>
                      <w:spacing w:before="13"/>
                      <w:ind w:left="640"/>
                      <w:rPr>
                        <w:rFonts w:ascii="MS Gothic"/>
                      </w:rPr>
                    </w:pPr>
                    <w:r>
                      <w:rPr>
                        <w:rFonts w:ascii="MS Gothic"/>
                        <w:color w:val="333333"/>
                      </w:rPr>
                      <w:t>static Neo4jContainer&lt;?&gt; neo4j = new Neo4jContainer&lt;</w:t>
                    </w:r>
                    <w:proofErr w:type="gramStart"/>
                    <w:r>
                      <w:rPr>
                        <w:rFonts w:ascii="MS Gothic"/>
                        <w:color w:val="333333"/>
                      </w:rPr>
                      <w:t>&gt;(</w:t>
                    </w:r>
                    <w:proofErr w:type="gramEnd"/>
                    <w:r>
                      <w:rPr>
                        <w:rFonts w:ascii="MS Gothic"/>
                        <w:color w:val="333333"/>
                      </w:rPr>
                      <w:t>);</w:t>
                    </w:r>
                  </w:p>
                  <w:p w14:paraId="04B3F58C" w14:textId="77777777" w:rsidR="00711A16" w:rsidRDefault="00711A16">
                    <w:pPr>
                      <w:rPr>
                        <w:rFonts w:ascii="MS Gothic"/>
                        <w:sz w:val="24"/>
                      </w:rPr>
                    </w:pPr>
                  </w:p>
                  <w:p w14:paraId="06DFA599" w14:textId="77777777" w:rsidR="00711A16" w:rsidRDefault="00711A16">
                    <w:pPr>
                      <w:ind w:left="200"/>
                      <w:rPr>
                        <w:rFonts w:ascii="MS Gothic"/>
                      </w:rPr>
                    </w:pPr>
                    <w:r>
                      <w:rPr>
                        <w:rFonts w:ascii="MS Gothic"/>
                        <w:color w:val="333333"/>
                      </w:rPr>
                      <w:t>}</w:t>
                    </w:r>
                  </w:p>
                </w:txbxContent>
              </v:textbox>
            </v:shape>
            <w10:wrap type="topAndBottom" anchorx="page"/>
          </v:group>
        </w:pict>
      </w:r>
    </w:p>
    <w:p w14:paraId="0B40558B" w14:textId="77777777" w:rsidR="00A720EB" w:rsidRDefault="00A720EB">
      <w:pPr>
        <w:pStyle w:val="a3"/>
        <w:rPr>
          <w:sz w:val="10"/>
        </w:rPr>
      </w:pPr>
    </w:p>
    <w:p w14:paraId="3E1E7BDB" w14:textId="77777777" w:rsidR="00A720EB" w:rsidRDefault="0030286B">
      <w:pPr>
        <w:pStyle w:val="a3"/>
        <w:spacing w:before="125" w:line="307" w:lineRule="auto"/>
        <w:ind w:left="124" w:right="127"/>
        <w:jc w:val="both"/>
      </w:pPr>
      <w:r>
        <w:rPr>
          <w:color w:val="333333"/>
          <w:w w:val="110"/>
        </w:rPr>
        <w:t xml:space="preserve">This will start up a docker container running Neo4j (if Docker is running locally) before any of the tests are run. In most cases, you will need to configure the application using details </w:t>
      </w:r>
      <w:proofErr w:type="gramStart"/>
      <w:r>
        <w:rPr>
          <w:color w:val="333333"/>
          <w:w w:val="110"/>
        </w:rPr>
        <w:t>from  the</w:t>
      </w:r>
      <w:proofErr w:type="gramEnd"/>
      <w:r>
        <w:rPr>
          <w:color w:val="333333"/>
          <w:w w:val="110"/>
        </w:rPr>
        <w:t xml:space="preserve">  running container, such as container IP or</w:t>
      </w:r>
      <w:r>
        <w:rPr>
          <w:color w:val="333333"/>
          <w:spacing w:val="26"/>
          <w:w w:val="110"/>
        </w:rPr>
        <w:t xml:space="preserve"> </w:t>
      </w:r>
      <w:r>
        <w:rPr>
          <w:color w:val="333333"/>
          <w:w w:val="110"/>
        </w:rPr>
        <w:t>port.</w:t>
      </w:r>
    </w:p>
    <w:p w14:paraId="3282498A" w14:textId="77777777" w:rsidR="00A720EB" w:rsidRDefault="0030286B">
      <w:pPr>
        <w:pStyle w:val="a3"/>
        <w:spacing w:before="231"/>
        <w:ind w:left="124"/>
        <w:jc w:val="both"/>
      </w:pPr>
      <w:r>
        <w:rPr>
          <w:color w:val="333333"/>
          <w:w w:val="110"/>
        </w:rPr>
        <w:t xml:space="preserve">This can be done with a static </w:t>
      </w:r>
      <w:r>
        <w:rPr>
          <w:rFonts w:ascii="MS Gothic"/>
          <w:color w:val="B02045"/>
          <w:w w:val="110"/>
        </w:rPr>
        <w:t>@DynamicPropertySource</w:t>
      </w:r>
      <w:r>
        <w:rPr>
          <w:rFonts w:ascii="MS Gothic"/>
          <w:color w:val="B02045"/>
          <w:spacing w:val="-98"/>
          <w:w w:val="110"/>
        </w:rPr>
        <w:t xml:space="preserve"> </w:t>
      </w:r>
      <w:r>
        <w:rPr>
          <w:color w:val="333333"/>
          <w:w w:val="110"/>
        </w:rPr>
        <w:t>method that allows adding dynamic property</w:t>
      </w:r>
    </w:p>
    <w:p w14:paraId="4B4C09D3" w14:textId="77777777" w:rsidR="00A720EB" w:rsidRDefault="00A720EB">
      <w:pPr>
        <w:jc w:val="both"/>
        <w:sectPr w:rsidR="00A720EB">
          <w:pgSz w:w="11910" w:h="16840"/>
          <w:pgMar w:top="700" w:right="840" w:bottom="520" w:left="840" w:header="0" w:footer="323" w:gutter="0"/>
          <w:cols w:space="720"/>
        </w:sectPr>
      </w:pPr>
    </w:p>
    <w:p w14:paraId="3F21C390" w14:textId="77777777" w:rsidR="00A720EB" w:rsidRDefault="0030286B">
      <w:pPr>
        <w:pStyle w:val="a3"/>
        <w:spacing w:before="107"/>
        <w:ind w:left="124"/>
      </w:pPr>
      <w:r>
        <w:rPr>
          <w:color w:val="333333"/>
          <w:w w:val="110"/>
        </w:rPr>
        <w:lastRenderedPageBreak/>
        <w:t>values to the Spring Environment.</w:t>
      </w:r>
    </w:p>
    <w:p w14:paraId="0D5831F9" w14:textId="77777777" w:rsidR="00A720EB" w:rsidRDefault="00E10349">
      <w:pPr>
        <w:pStyle w:val="a3"/>
        <w:spacing w:before="11"/>
        <w:rPr>
          <w:sz w:val="18"/>
        </w:rPr>
      </w:pPr>
      <w:r>
        <w:pict w14:anchorId="631796E8">
          <v:group id="_x0000_s1183" style="position:absolute;margin-left:47.85pt;margin-top:13.1pt;width:499.55pt;height:214.4pt;z-index:-15027200;mso-wrap-distance-left:0;mso-wrap-distance-right:0;mso-position-horizontal-relative:page" coordorigin="957,262" coordsize="9991,4288">
            <v:shape id="_x0000_s1186" style="position:absolute;left:964;top:269;width:9976;height:4273" coordorigin="965,270" coordsize="9976,4273" path="m10861,270r-9816,l1014,276r-26,17l971,318r-6,32l965,4462r6,31l988,4519r26,17l1045,4542r9816,l10892,4536r25,-17l10935,4493r6,-31l10941,350r-6,-32l10917,293r-25,-17l10861,270xe" fillcolor="#f5f5f5" stroked="f">
              <v:path arrowok="t"/>
            </v:shape>
            <v:shape id="_x0000_s1185" style="position:absolute;left:964;top:269;width:9976;height:4273" coordorigin="965,270" coordsize="9976,4273" path="m1045,270r9816,l10892,276r25,17l10935,318r6,32l10941,4462r-6,31l10917,4519r-25,17l10861,4542r-9816,l1014,4536r-26,-17l971,4493r-6,-31l965,350r6,-32l988,293r26,-17l1045,270xe" filled="f" strokecolor="#ccc">
              <v:path arrowok="t"/>
            </v:shape>
            <v:shape id="_x0000_s1184" type="#_x0000_t202" style="position:absolute;left:984;top:285;width:9938;height:4242" filled="f" stroked="f">
              <v:textbox inset="0,0,0,0">
                <w:txbxContent>
                  <w:p w14:paraId="5F4FEF9C" w14:textId="77777777" w:rsidR="00711A16" w:rsidRDefault="00711A16">
                    <w:pPr>
                      <w:spacing w:before="221" w:line="252" w:lineRule="auto"/>
                      <w:ind w:left="200" w:right="8068"/>
                      <w:rPr>
                        <w:rFonts w:ascii="MS Gothic"/>
                      </w:rPr>
                    </w:pPr>
                    <w:r>
                      <w:rPr>
                        <w:rFonts w:ascii="MS Gothic"/>
                        <w:color w:val="333333"/>
                      </w:rPr>
                      <w:t>@SpringBootTest @Testcontainers</w:t>
                    </w:r>
                  </w:p>
                  <w:p w14:paraId="18A81DEC" w14:textId="77777777" w:rsidR="00711A16" w:rsidRDefault="00711A16">
                    <w:pPr>
                      <w:spacing w:line="280" w:lineRule="exact"/>
                      <w:ind w:left="200"/>
                      <w:rPr>
                        <w:rFonts w:ascii="MS Gothic"/>
                      </w:rPr>
                    </w:pPr>
                    <w:r>
                      <w:rPr>
                        <w:rFonts w:ascii="MS Gothic"/>
                        <w:color w:val="333333"/>
                      </w:rPr>
                      <w:t>class ExampleIntegrationTests {</w:t>
                    </w:r>
                  </w:p>
                  <w:p w14:paraId="0490AFF1" w14:textId="77777777" w:rsidR="00711A16" w:rsidRDefault="00711A16">
                    <w:pPr>
                      <w:rPr>
                        <w:rFonts w:ascii="MS Gothic"/>
                        <w:sz w:val="24"/>
                      </w:rPr>
                    </w:pPr>
                  </w:p>
                  <w:p w14:paraId="3DBA75C9" w14:textId="77777777" w:rsidR="00711A16" w:rsidRDefault="00711A16">
                    <w:pPr>
                      <w:ind w:left="640"/>
                      <w:rPr>
                        <w:rFonts w:ascii="MS Gothic"/>
                      </w:rPr>
                    </w:pPr>
                    <w:r>
                      <w:rPr>
                        <w:rFonts w:ascii="MS Gothic"/>
                        <w:color w:val="333333"/>
                      </w:rPr>
                      <w:t>@Container</w:t>
                    </w:r>
                  </w:p>
                  <w:p w14:paraId="35457391" w14:textId="77777777" w:rsidR="00711A16" w:rsidRDefault="00711A16">
                    <w:pPr>
                      <w:spacing w:before="13"/>
                      <w:ind w:left="640"/>
                      <w:rPr>
                        <w:rFonts w:ascii="MS Gothic"/>
                      </w:rPr>
                    </w:pPr>
                    <w:r>
                      <w:rPr>
                        <w:rFonts w:ascii="MS Gothic"/>
                        <w:color w:val="333333"/>
                      </w:rPr>
                      <w:t>static Neo4jContainer&lt;?&gt; neo4j = new Neo4jContainer&lt;</w:t>
                    </w:r>
                    <w:proofErr w:type="gramStart"/>
                    <w:r>
                      <w:rPr>
                        <w:rFonts w:ascii="MS Gothic"/>
                        <w:color w:val="333333"/>
                      </w:rPr>
                      <w:t>&gt;(</w:t>
                    </w:r>
                    <w:proofErr w:type="gramEnd"/>
                    <w:r>
                      <w:rPr>
                        <w:rFonts w:ascii="MS Gothic"/>
                        <w:color w:val="333333"/>
                      </w:rPr>
                      <w:t>);</w:t>
                    </w:r>
                  </w:p>
                  <w:p w14:paraId="446F4975" w14:textId="77777777" w:rsidR="00711A16" w:rsidRDefault="00711A16">
                    <w:pPr>
                      <w:rPr>
                        <w:rFonts w:ascii="MS Gothic"/>
                        <w:sz w:val="24"/>
                      </w:rPr>
                    </w:pPr>
                  </w:p>
                  <w:p w14:paraId="7C61E7CA" w14:textId="77777777" w:rsidR="00711A16" w:rsidRDefault="00711A16">
                    <w:pPr>
                      <w:ind w:left="640"/>
                      <w:rPr>
                        <w:rFonts w:ascii="MS Gothic"/>
                      </w:rPr>
                    </w:pPr>
                    <w:r>
                      <w:rPr>
                        <w:rFonts w:ascii="MS Gothic"/>
                        <w:color w:val="333333"/>
                      </w:rPr>
                      <w:t>@DynamicPropertySource</w:t>
                    </w:r>
                  </w:p>
                  <w:p w14:paraId="53062BDD" w14:textId="77777777" w:rsidR="00711A16" w:rsidRDefault="00711A16">
                    <w:pPr>
                      <w:spacing w:before="13" w:line="252" w:lineRule="auto"/>
                      <w:ind w:left="1080" w:right="2348" w:hanging="440"/>
                      <w:rPr>
                        <w:rFonts w:ascii="MS Gothic"/>
                      </w:rPr>
                    </w:pPr>
                    <w:r>
                      <w:rPr>
                        <w:rFonts w:ascii="MS Gothic"/>
                        <w:color w:val="333333"/>
                      </w:rPr>
                      <w:t>static void neo4</w:t>
                    </w:r>
                    <w:proofErr w:type="gramStart"/>
                    <w:r>
                      <w:rPr>
                        <w:rFonts w:ascii="MS Gothic"/>
                        <w:color w:val="333333"/>
                      </w:rPr>
                      <w:t>jProperties(</w:t>
                    </w:r>
                    <w:proofErr w:type="gramEnd"/>
                    <w:r>
                      <w:rPr>
                        <w:rFonts w:ascii="MS Gothic"/>
                        <w:color w:val="333333"/>
                      </w:rPr>
                      <w:t>DynamicPropertyRegistry registry) { registry.add("spring.data.neo4j.uri", neo4j::getBoltUrl);</w:t>
                    </w:r>
                  </w:p>
                  <w:p w14:paraId="2ECDA450" w14:textId="77777777" w:rsidR="00711A16" w:rsidRDefault="00711A16">
                    <w:pPr>
                      <w:spacing w:line="280" w:lineRule="exact"/>
                      <w:ind w:left="640"/>
                      <w:rPr>
                        <w:rFonts w:ascii="MS Gothic"/>
                      </w:rPr>
                    </w:pPr>
                    <w:r>
                      <w:rPr>
                        <w:rFonts w:ascii="MS Gothic"/>
                        <w:color w:val="333333"/>
                      </w:rPr>
                      <w:t>}</w:t>
                    </w:r>
                  </w:p>
                  <w:p w14:paraId="2225618A" w14:textId="77777777" w:rsidR="00711A16" w:rsidRDefault="00711A16">
                    <w:pPr>
                      <w:rPr>
                        <w:rFonts w:ascii="MS Gothic"/>
                        <w:sz w:val="24"/>
                      </w:rPr>
                    </w:pPr>
                  </w:p>
                  <w:p w14:paraId="0F1BA1C2" w14:textId="77777777" w:rsidR="00711A16" w:rsidRDefault="00711A16">
                    <w:pPr>
                      <w:ind w:left="200"/>
                      <w:rPr>
                        <w:rFonts w:ascii="MS Gothic"/>
                      </w:rPr>
                    </w:pPr>
                    <w:r>
                      <w:rPr>
                        <w:rFonts w:ascii="MS Gothic"/>
                        <w:color w:val="333333"/>
                      </w:rPr>
                      <w:t>}</w:t>
                    </w:r>
                  </w:p>
                </w:txbxContent>
              </v:textbox>
            </v:shape>
            <w10:wrap type="topAndBottom" anchorx="page"/>
          </v:group>
        </w:pict>
      </w:r>
    </w:p>
    <w:p w14:paraId="0B81DBF3" w14:textId="77777777" w:rsidR="00A720EB" w:rsidRDefault="00A720EB">
      <w:pPr>
        <w:pStyle w:val="a3"/>
        <w:rPr>
          <w:sz w:val="10"/>
        </w:rPr>
      </w:pPr>
    </w:p>
    <w:p w14:paraId="0FDFBF7D" w14:textId="77777777" w:rsidR="00A720EB" w:rsidRDefault="0030286B">
      <w:pPr>
        <w:pStyle w:val="a3"/>
        <w:spacing w:before="125" w:line="307" w:lineRule="auto"/>
        <w:ind w:left="124" w:right="359"/>
      </w:pPr>
      <w:r>
        <w:rPr>
          <w:color w:val="333333"/>
          <w:w w:val="110"/>
        </w:rPr>
        <w:t>The above configuration allows Neo4j-related beans in the application to communicate with Neo4j running inside the Testcontainers-managed Docker container.</w:t>
      </w:r>
    </w:p>
    <w:p w14:paraId="15C1D975" w14:textId="77777777" w:rsidR="00A720EB" w:rsidRDefault="00A720EB">
      <w:pPr>
        <w:spacing w:line="307" w:lineRule="auto"/>
        <w:sectPr w:rsidR="00A720EB">
          <w:pgSz w:w="11910" w:h="16840"/>
          <w:pgMar w:top="620" w:right="840" w:bottom="520" w:left="840" w:header="0" w:footer="323" w:gutter="0"/>
          <w:cols w:space="720"/>
        </w:sectPr>
      </w:pPr>
    </w:p>
    <w:p w14:paraId="48C01613" w14:textId="77777777" w:rsidR="00A720EB" w:rsidRDefault="0030286B">
      <w:pPr>
        <w:spacing w:before="90"/>
        <w:ind w:left="124"/>
        <w:rPr>
          <w:rFonts w:ascii="Palatino Linotype"/>
          <w:b/>
          <w:sz w:val="44"/>
        </w:rPr>
      </w:pPr>
      <w:bookmarkStart w:id="1020" w:name="Chapter_10._Appendices"/>
      <w:bookmarkEnd w:id="1020"/>
      <w:r>
        <w:rPr>
          <w:rFonts w:ascii="Palatino Linotype"/>
          <w:b/>
          <w:color w:val="333333"/>
          <w:w w:val="110"/>
          <w:sz w:val="44"/>
        </w:rPr>
        <w:lastRenderedPageBreak/>
        <w:t>Chapter 10. Appendices</w:t>
      </w:r>
    </w:p>
    <w:p w14:paraId="0C1BB611" w14:textId="77777777" w:rsidR="00A720EB" w:rsidRDefault="0030286B">
      <w:pPr>
        <w:pStyle w:val="2"/>
        <w:spacing w:before="315"/>
        <w:ind w:left="124" w:firstLine="0"/>
      </w:pPr>
      <w:bookmarkStart w:id="1021" w:name="Appendix_A:_Common_Application_propertie"/>
      <w:bookmarkStart w:id="1022" w:name="_Toc54424028"/>
      <w:bookmarkEnd w:id="1021"/>
      <w:r>
        <w:rPr>
          <w:color w:val="333333"/>
          <w:w w:val="110"/>
        </w:rPr>
        <w:t>Appendix A: Common Application properties</w:t>
      </w:r>
      <w:bookmarkEnd w:id="1022"/>
    </w:p>
    <w:p w14:paraId="1E245184" w14:textId="77777777" w:rsidR="00A720EB" w:rsidRDefault="0030286B">
      <w:pPr>
        <w:pStyle w:val="a3"/>
        <w:spacing w:before="243" w:line="285" w:lineRule="auto"/>
        <w:ind w:left="124" w:right="124"/>
        <w:jc w:val="both"/>
      </w:pPr>
      <w:r>
        <w:rPr>
          <w:color w:val="333333"/>
          <w:w w:val="110"/>
        </w:rPr>
        <w:t xml:space="preserve">Various properties can be specified inside your </w:t>
      </w:r>
      <w:proofErr w:type="gramStart"/>
      <w:r>
        <w:rPr>
          <w:rFonts w:ascii="MS Gothic"/>
          <w:color w:val="B02045"/>
          <w:w w:val="110"/>
        </w:rPr>
        <w:t>application.properties</w:t>
      </w:r>
      <w:proofErr w:type="gramEnd"/>
      <w:r>
        <w:rPr>
          <w:rFonts w:ascii="MS Gothic"/>
          <w:color w:val="B02045"/>
          <w:w w:val="110"/>
        </w:rPr>
        <w:t xml:space="preserve"> </w:t>
      </w:r>
      <w:r>
        <w:rPr>
          <w:color w:val="333333"/>
          <w:w w:val="110"/>
        </w:rPr>
        <w:t xml:space="preserve">file, inside your </w:t>
      </w:r>
      <w:r>
        <w:rPr>
          <w:rFonts w:ascii="MS Gothic"/>
          <w:color w:val="B02045"/>
          <w:w w:val="110"/>
        </w:rPr>
        <w:t xml:space="preserve">application.yml </w:t>
      </w:r>
      <w:r>
        <w:rPr>
          <w:color w:val="333333"/>
          <w:w w:val="110"/>
        </w:rPr>
        <w:t>file, or as command line switches. This appendix provides a list of common Spring Boot properties and references to the underlying classes that consume them.</w:t>
      </w:r>
    </w:p>
    <w:p w14:paraId="7257F64A" w14:textId="77777777" w:rsidR="00A720EB" w:rsidRDefault="00A720EB">
      <w:pPr>
        <w:pStyle w:val="a3"/>
        <w:spacing w:before="4"/>
        <w:rPr>
          <w:sz w:val="29"/>
        </w:rPr>
      </w:pPr>
    </w:p>
    <w:p w14:paraId="33905DB5" w14:textId="77777777" w:rsidR="00A720EB" w:rsidRDefault="00E10349">
      <w:pPr>
        <w:pStyle w:val="a3"/>
        <w:spacing w:line="307" w:lineRule="auto"/>
        <w:ind w:left="1564" w:right="462"/>
      </w:pPr>
      <w:r>
        <w:pict w14:anchorId="1B052C3C">
          <v:line id="_x0000_s1182" style="position:absolute;left:0;text-align:left;z-index:16430592;mso-position-horizontal-relative:page" from="108.25pt,-6pt" to="108.25pt,33.55pt" strokecolor="#ededed" strokeweight=".5pt">
            <w10:wrap anchorx="page"/>
          </v:line>
        </w:pict>
      </w:r>
      <w:r w:rsidR="0030286B">
        <w:rPr>
          <w:noProof/>
        </w:rPr>
        <w:drawing>
          <wp:anchor distT="0" distB="0" distL="0" distR="0" simplePos="0" relativeHeight="16431104" behindDoc="0" locked="0" layoutInCell="1" allowOverlap="1" wp14:anchorId="307EA721" wp14:editId="05DE72B6">
            <wp:simplePos x="0" y="0"/>
            <wp:positionH relativeFrom="page">
              <wp:posOffset>888949</wp:posOffset>
            </wp:positionH>
            <wp:positionV relativeFrom="paragraph">
              <wp:posOffset>22771</wp:posOffset>
            </wp:positionV>
            <wp:extent cx="209550" cy="304800"/>
            <wp:effectExtent l="0" t="0" r="0" b="0"/>
            <wp:wrapNone/>
            <wp:docPr id="79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Spring Boot provides various conversion mechanism with advanced value formatting, make sure to review </w:t>
      </w:r>
      <w:hyperlink w:anchor="_bookmark123" w:history="1">
        <w:r w:rsidR="0030286B">
          <w:rPr>
            <w:color w:val="418BCA"/>
            <w:w w:val="110"/>
          </w:rPr>
          <w:t>the properties conversion section</w:t>
        </w:r>
      </w:hyperlink>
      <w:r w:rsidR="0030286B">
        <w:rPr>
          <w:color w:val="333333"/>
          <w:w w:val="110"/>
        </w:rPr>
        <w:t>.</w:t>
      </w:r>
    </w:p>
    <w:p w14:paraId="4467C717" w14:textId="77777777" w:rsidR="00A720EB" w:rsidRDefault="00A720EB">
      <w:pPr>
        <w:pStyle w:val="a3"/>
        <w:spacing w:before="6"/>
        <w:rPr>
          <w:sz w:val="23"/>
        </w:rPr>
      </w:pPr>
    </w:p>
    <w:p w14:paraId="5C4D8B21" w14:textId="77777777" w:rsidR="00A720EB" w:rsidRDefault="00E10349">
      <w:pPr>
        <w:pStyle w:val="a3"/>
        <w:spacing w:before="125" w:line="307" w:lineRule="auto"/>
        <w:ind w:left="1564" w:right="366"/>
        <w:jc w:val="both"/>
      </w:pPr>
      <w:r>
        <w:pict w14:anchorId="41E35BCD">
          <v:line id="_x0000_s1181" style="position:absolute;left:0;text-align:left;z-index:16431616;mso-position-horizontal-relative:page" from="108.25pt,.25pt" to="108.25pt,55.6pt" strokecolor="#ededed" strokeweight=".5pt">
            <w10:wrap anchorx="page"/>
          </v:line>
        </w:pict>
      </w:r>
      <w:r w:rsidR="0030286B">
        <w:rPr>
          <w:noProof/>
        </w:rPr>
        <w:drawing>
          <wp:anchor distT="0" distB="0" distL="0" distR="0" simplePos="0" relativeHeight="16432128" behindDoc="0" locked="0" layoutInCell="1" allowOverlap="1" wp14:anchorId="4A459D57" wp14:editId="6BB1F296">
            <wp:simplePos x="0" y="0"/>
            <wp:positionH relativeFrom="page">
              <wp:posOffset>844422</wp:posOffset>
            </wp:positionH>
            <wp:positionV relativeFrom="paragraph">
              <wp:posOffset>205524</wp:posOffset>
            </wp:positionV>
            <wp:extent cx="298450" cy="298450"/>
            <wp:effectExtent l="0" t="0" r="0" b="0"/>
            <wp:wrapNone/>
            <wp:docPr id="7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Property contributions can come from additional jar files on your classpath, so you should not consider this an exhaustive list. Also, you can define your own properties.</w:t>
      </w:r>
    </w:p>
    <w:p w14:paraId="25DF5FA9" w14:textId="77777777" w:rsidR="00A720EB" w:rsidRDefault="00A720EB">
      <w:pPr>
        <w:pStyle w:val="a3"/>
        <w:spacing w:before="8"/>
        <w:rPr>
          <w:sz w:val="23"/>
        </w:rPr>
      </w:pPr>
    </w:p>
    <w:p w14:paraId="056594BD" w14:textId="77777777" w:rsidR="00A720EB" w:rsidRDefault="0030286B">
      <w:pPr>
        <w:pStyle w:val="3"/>
        <w:numPr>
          <w:ilvl w:val="2"/>
          <w:numId w:val="9"/>
        </w:numPr>
        <w:tabs>
          <w:tab w:val="left" w:pos="1053"/>
        </w:tabs>
        <w:spacing w:before="105"/>
      </w:pPr>
      <w:bookmarkStart w:id="1023" w:name="10.A.1._Core_properties"/>
      <w:bookmarkStart w:id="1024" w:name="_Toc54424029"/>
      <w:bookmarkEnd w:id="1023"/>
      <w:r>
        <w:rPr>
          <w:color w:val="333333"/>
          <w:w w:val="110"/>
        </w:rPr>
        <w:t>Core</w:t>
      </w:r>
      <w:r>
        <w:rPr>
          <w:color w:val="333333"/>
          <w:spacing w:val="-6"/>
          <w:w w:val="110"/>
        </w:rPr>
        <w:t xml:space="preserve"> </w:t>
      </w:r>
      <w:r>
        <w:rPr>
          <w:color w:val="333333"/>
          <w:w w:val="110"/>
        </w:rPr>
        <w:t>properties</w:t>
      </w:r>
      <w:bookmarkEnd w:id="1024"/>
    </w:p>
    <w:p w14:paraId="2507CEEF"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41A41E3" w14:textId="77777777">
        <w:trPr>
          <w:trHeight w:val="415"/>
        </w:trPr>
        <w:tc>
          <w:tcPr>
            <w:tcW w:w="2494" w:type="dxa"/>
            <w:tcBorders>
              <w:bottom w:val="single" w:sz="12" w:space="0" w:color="DDDDDD"/>
            </w:tcBorders>
          </w:tcPr>
          <w:p w14:paraId="379A6A1C"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39E5925C"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72C9343"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64E2DF7F" w14:textId="77777777">
        <w:trPr>
          <w:trHeight w:val="415"/>
        </w:trPr>
        <w:tc>
          <w:tcPr>
            <w:tcW w:w="2494" w:type="dxa"/>
            <w:tcBorders>
              <w:top w:val="single" w:sz="12" w:space="0" w:color="DDDDDD"/>
            </w:tcBorders>
          </w:tcPr>
          <w:p w14:paraId="3E5E856B" w14:textId="77777777" w:rsidR="00A720EB" w:rsidRDefault="0030286B">
            <w:pPr>
              <w:pStyle w:val="TableParagraph"/>
              <w:spacing w:before="30"/>
              <w:rPr>
                <w:sz w:val="21"/>
              </w:rPr>
            </w:pPr>
            <w:r>
              <w:rPr>
                <w:color w:val="B02045"/>
                <w:sz w:val="21"/>
              </w:rPr>
              <w:t>debug</w:t>
            </w:r>
          </w:p>
        </w:tc>
        <w:tc>
          <w:tcPr>
            <w:tcW w:w="2494" w:type="dxa"/>
            <w:tcBorders>
              <w:top w:val="single" w:sz="12" w:space="0" w:color="DDDDDD"/>
            </w:tcBorders>
          </w:tcPr>
          <w:p w14:paraId="4B313F8C" w14:textId="77777777" w:rsidR="00A720EB" w:rsidRDefault="0030286B">
            <w:pPr>
              <w:pStyle w:val="TableParagraph"/>
              <w:spacing w:before="30"/>
              <w:rPr>
                <w:sz w:val="21"/>
              </w:rPr>
            </w:pPr>
            <w:r>
              <w:rPr>
                <w:color w:val="B02045"/>
                <w:sz w:val="21"/>
              </w:rPr>
              <w:t>false</w:t>
            </w:r>
          </w:p>
        </w:tc>
        <w:tc>
          <w:tcPr>
            <w:tcW w:w="4988" w:type="dxa"/>
            <w:tcBorders>
              <w:top w:val="single" w:sz="12" w:space="0" w:color="DDDDDD"/>
            </w:tcBorders>
          </w:tcPr>
          <w:p w14:paraId="3B5FCA5B" w14:textId="77777777" w:rsidR="00A720EB" w:rsidRDefault="0030286B">
            <w:pPr>
              <w:pStyle w:val="TableParagraph"/>
              <w:spacing w:before="84"/>
              <w:rPr>
                <w:rFonts w:ascii="Cambria"/>
                <w:sz w:val="21"/>
              </w:rPr>
            </w:pPr>
            <w:r>
              <w:rPr>
                <w:rFonts w:ascii="Cambria"/>
                <w:color w:val="333333"/>
                <w:w w:val="110"/>
                <w:sz w:val="21"/>
              </w:rPr>
              <w:t>Enable debug logs.</w:t>
            </w:r>
          </w:p>
        </w:tc>
      </w:tr>
      <w:tr w:rsidR="00A720EB" w14:paraId="5A046D4B" w14:textId="77777777">
        <w:trPr>
          <w:trHeight w:val="425"/>
        </w:trPr>
        <w:tc>
          <w:tcPr>
            <w:tcW w:w="2494" w:type="dxa"/>
          </w:tcPr>
          <w:p w14:paraId="6EA4EE30" w14:textId="77777777" w:rsidR="00A720EB" w:rsidRDefault="0030286B">
            <w:pPr>
              <w:pStyle w:val="TableParagraph"/>
              <w:spacing w:before="40"/>
              <w:rPr>
                <w:sz w:val="21"/>
              </w:rPr>
            </w:pPr>
            <w:proofErr w:type="gramStart"/>
            <w:r>
              <w:rPr>
                <w:color w:val="B02045"/>
                <w:sz w:val="21"/>
              </w:rPr>
              <w:t>info.*</w:t>
            </w:r>
            <w:proofErr w:type="gramEnd"/>
          </w:p>
        </w:tc>
        <w:tc>
          <w:tcPr>
            <w:tcW w:w="2494" w:type="dxa"/>
          </w:tcPr>
          <w:p w14:paraId="4852AC96" w14:textId="77777777" w:rsidR="00A720EB" w:rsidRDefault="00A720EB">
            <w:pPr>
              <w:pStyle w:val="TableParagraph"/>
              <w:spacing w:before="0"/>
              <w:ind w:left="0"/>
              <w:rPr>
                <w:rFonts w:ascii="Times New Roman"/>
                <w:sz w:val="20"/>
              </w:rPr>
            </w:pPr>
          </w:p>
        </w:tc>
        <w:tc>
          <w:tcPr>
            <w:tcW w:w="4988" w:type="dxa"/>
          </w:tcPr>
          <w:p w14:paraId="26B3C7CB" w14:textId="77777777" w:rsidR="00A720EB" w:rsidRDefault="0030286B">
            <w:pPr>
              <w:pStyle w:val="TableParagraph"/>
              <w:spacing w:before="94"/>
              <w:rPr>
                <w:rFonts w:ascii="Cambria"/>
                <w:sz w:val="21"/>
              </w:rPr>
            </w:pPr>
            <w:r>
              <w:rPr>
                <w:rFonts w:ascii="Cambria"/>
                <w:color w:val="333333"/>
                <w:w w:val="110"/>
                <w:sz w:val="21"/>
              </w:rPr>
              <w:t>Arbitrary properties to add to the info endpoint.</w:t>
            </w:r>
          </w:p>
        </w:tc>
      </w:tr>
      <w:tr w:rsidR="00A720EB" w14:paraId="3014341B" w14:textId="77777777">
        <w:trPr>
          <w:trHeight w:val="741"/>
        </w:trPr>
        <w:tc>
          <w:tcPr>
            <w:tcW w:w="2494" w:type="dxa"/>
          </w:tcPr>
          <w:p w14:paraId="76E1B913" w14:textId="77777777" w:rsidR="00A720EB" w:rsidRDefault="0030286B">
            <w:pPr>
              <w:pStyle w:val="TableParagraph"/>
              <w:spacing w:before="40"/>
              <w:rPr>
                <w:sz w:val="21"/>
              </w:rPr>
            </w:pPr>
            <w:r>
              <w:rPr>
                <w:color w:val="B02045"/>
                <w:sz w:val="21"/>
              </w:rPr>
              <w:t>logging.config</w:t>
            </w:r>
          </w:p>
        </w:tc>
        <w:tc>
          <w:tcPr>
            <w:tcW w:w="2494" w:type="dxa"/>
          </w:tcPr>
          <w:p w14:paraId="4C85FE25" w14:textId="77777777" w:rsidR="00A720EB" w:rsidRDefault="00A720EB">
            <w:pPr>
              <w:pStyle w:val="TableParagraph"/>
              <w:spacing w:before="0"/>
              <w:ind w:left="0"/>
              <w:rPr>
                <w:rFonts w:ascii="Times New Roman"/>
                <w:sz w:val="20"/>
              </w:rPr>
            </w:pPr>
          </w:p>
        </w:tc>
        <w:tc>
          <w:tcPr>
            <w:tcW w:w="4988" w:type="dxa"/>
          </w:tcPr>
          <w:p w14:paraId="4B73AF2D" w14:textId="77777777" w:rsidR="00A720EB" w:rsidRDefault="0030286B">
            <w:pPr>
              <w:pStyle w:val="TableParagraph"/>
              <w:spacing w:before="31" w:line="310" w:lineRule="atLeast"/>
              <w:ind w:right="218"/>
              <w:rPr>
                <w:rFonts w:ascii="Cambria"/>
                <w:sz w:val="21"/>
              </w:rPr>
            </w:pPr>
            <w:r>
              <w:rPr>
                <w:rFonts w:ascii="Cambria"/>
                <w:color w:val="333333"/>
                <w:w w:val="115"/>
                <w:sz w:val="21"/>
              </w:rPr>
              <w:t>Location of the logging configuration file. For instance, `</w:t>
            </w:r>
            <w:proofErr w:type="gramStart"/>
            <w:r>
              <w:rPr>
                <w:rFonts w:ascii="Cambria"/>
                <w:color w:val="333333"/>
                <w:w w:val="115"/>
                <w:sz w:val="21"/>
              </w:rPr>
              <w:t>classpath:logback.xml</w:t>
            </w:r>
            <w:proofErr w:type="gramEnd"/>
            <w:r>
              <w:rPr>
                <w:rFonts w:ascii="Cambria"/>
                <w:color w:val="333333"/>
                <w:w w:val="115"/>
                <w:sz w:val="21"/>
              </w:rPr>
              <w:t>` for Logback.</w:t>
            </w:r>
          </w:p>
        </w:tc>
      </w:tr>
      <w:tr w:rsidR="00A720EB" w14:paraId="10EFFDCD" w14:textId="77777777">
        <w:trPr>
          <w:trHeight w:val="627"/>
        </w:trPr>
        <w:tc>
          <w:tcPr>
            <w:tcW w:w="2494" w:type="dxa"/>
          </w:tcPr>
          <w:p w14:paraId="121FB2B9" w14:textId="77777777" w:rsidR="00A720EB" w:rsidRDefault="0030286B">
            <w:pPr>
              <w:pStyle w:val="TableParagraph"/>
              <w:spacing w:before="49" w:line="230" w:lineRule="auto"/>
              <w:ind w:right="533"/>
              <w:rPr>
                <w:sz w:val="21"/>
              </w:rPr>
            </w:pPr>
            <w:proofErr w:type="gramStart"/>
            <w:r>
              <w:rPr>
                <w:color w:val="B02045"/>
                <w:sz w:val="21"/>
              </w:rPr>
              <w:t>logging.exception</w:t>
            </w:r>
            <w:proofErr w:type="gramEnd"/>
            <w:r>
              <w:rPr>
                <w:color w:val="B02045"/>
                <w:sz w:val="21"/>
              </w:rPr>
              <w:t>- conversion-word</w:t>
            </w:r>
          </w:p>
        </w:tc>
        <w:tc>
          <w:tcPr>
            <w:tcW w:w="2494" w:type="dxa"/>
          </w:tcPr>
          <w:p w14:paraId="65181E8C" w14:textId="77777777" w:rsidR="00A720EB" w:rsidRDefault="0030286B">
            <w:pPr>
              <w:pStyle w:val="TableParagraph"/>
              <w:spacing w:before="40"/>
              <w:rPr>
                <w:sz w:val="21"/>
              </w:rPr>
            </w:pPr>
            <w:r>
              <w:rPr>
                <w:color w:val="B02045"/>
                <w:sz w:val="21"/>
              </w:rPr>
              <w:t>%wEx</w:t>
            </w:r>
          </w:p>
        </w:tc>
        <w:tc>
          <w:tcPr>
            <w:tcW w:w="4988" w:type="dxa"/>
          </w:tcPr>
          <w:p w14:paraId="6958DBAA" w14:textId="77777777" w:rsidR="00A720EB" w:rsidRDefault="0030286B">
            <w:pPr>
              <w:pStyle w:val="TableParagraph"/>
              <w:spacing w:before="94"/>
              <w:rPr>
                <w:rFonts w:ascii="Cambria"/>
                <w:sz w:val="21"/>
              </w:rPr>
            </w:pPr>
            <w:r>
              <w:rPr>
                <w:rFonts w:ascii="Cambria"/>
                <w:color w:val="333333"/>
                <w:w w:val="110"/>
                <w:sz w:val="21"/>
              </w:rPr>
              <w:t>Conversion word used when logging exceptions.</w:t>
            </w:r>
          </w:p>
        </w:tc>
      </w:tr>
      <w:tr w:rsidR="00A720EB" w14:paraId="56093F8D" w14:textId="77777777">
        <w:trPr>
          <w:trHeight w:val="741"/>
        </w:trPr>
        <w:tc>
          <w:tcPr>
            <w:tcW w:w="2494" w:type="dxa"/>
          </w:tcPr>
          <w:p w14:paraId="61E84A4F" w14:textId="77777777" w:rsidR="00A720EB" w:rsidRDefault="0030286B">
            <w:pPr>
              <w:pStyle w:val="TableParagraph"/>
              <w:spacing w:before="49" w:line="230" w:lineRule="auto"/>
              <w:ind w:right="428"/>
              <w:rPr>
                <w:sz w:val="21"/>
              </w:rPr>
            </w:pPr>
            <w:proofErr w:type="gramStart"/>
            <w:r>
              <w:rPr>
                <w:color w:val="B02045"/>
                <w:sz w:val="21"/>
              </w:rPr>
              <w:t>logging.file</w:t>
            </w:r>
            <w:proofErr w:type="gramEnd"/>
            <w:r>
              <w:rPr>
                <w:color w:val="B02045"/>
                <w:sz w:val="21"/>
              </w:rPr>
              <w:t>.clean- history-on-start</w:t>
            </w:r>
          </w:p>
        </w:tc>
        <w:tc>
          <w:tcPr>
            <w:tcW w:w="2494" w:type="dxa"/>
          </w:tcPr>
          <w:p w14:paraId="27779251" w14:textId="77777777" w:rsidR="00A720EB" w:rsidRDefault="0030286B">
            <w:pPr>
              <w:pStyle w:val="TableParagraph"/>
              <w:spacing w:before="40"/>
              <w:rPr>
                <w:sz w:val="21"/>
              </w:rPr>
            </w:pPr>
            <w:r>
              <w:rPr>
                <w:color w:val="B02045"/>
                <w:sz w:val="21"/>
              </w:rPr>
              <w:t>false</w:t>
            </w:r>
          </w:p>
        </w:tc>
        <w:tc>
          <w:tcPr>
            <w:tcW w:w="4988" w:type="dxa"/>
          </w:tcPr>
          <w:p w14:paraId="3134EA32" w14:textId="77777777" w:rsidR="00A720EB" w:rsidRDefault="0030286B">
            <w:pPr>
              <w:pStyle w:val="TableParagraph"/>
              <w:spacing w:before="31" w:line="310" w:lineRule="atLeast"/>
              <w:rPr>
                <w:rFonts w:ascii="Cambria"/>
                <w:sz w:val="21"/>
              </w:rPr>
            </w:pPr>
            <w:r>
              <w:rPr>
                <w:rFonts w:ascii="Cambria"/>
                <w:color w:val="333333"/>
                <w:w w:val="110"/>
                <w:sz w:val="21"/>
              </w:rPr>
              <w:t>Whether to clean the archive log files on startup. Only supported with the default logback setup.</w:t>
            </w:r>
          </w:p>
        </w:tc>
      </w:tr>
      <w:tr w:rsidR="00A720EB" w14:paraId="56043742" w14:textId="77777777">
        <w:trPr>
          <w:trHeight w:val="1056"/>
        </w:trPr>
        <w:tc>
          <w:tcPr>
            <w:tcW w:w="2494" w:type="dxa"/>
          </w:tcPr>
          <w:p w14:paraId="3BD7F7B0" w14:textId="77777777" w:rsidR="00A720EB" w:rsidRDefault="0030286B">
            <w:pPr>
              <w:pStyle w:val="TableParagraph"/>
              <w:spacing w:before="49" w:line="230" w:lineRule="auto"/>
              <w:ind w:right="619"/>
              <w:rPr>
                <w:sz w:val="21"/>
              </w:rPr>
            </w:pPr>
            <w:r>
              <w:rPr>
                <w:color w:val="B02045"/>
                <w:sz w:val="21"/>
              </w:rPr>
              <w:t>logging.file.max- history</w:t>
            </w:r>
          </w:p>
        </w:tc>
        <w:tc>
          <w:tcPr>
            <w:tcW w:w="2494" w:type="dxa"/>
          </w:tcPr>
          <w:p w14:paraId="6745F141" w14:textId="77777777" w:rsidR="00A720EB" w:rsidRDefault="0030286B">
            <w:pPr>
              <w:pStyle w:val="TableParagraph"/>
              <w:spacing w:before="40"/>
              <w:rPr>
                <w:sz w:val="21"/>
              </w:rPr>
            </w:pPr>
            <w:r>
              <w:rPr>
                <w:color w:val="B02045"/>
                <w:sz w:val="21"/>
              </w:rPr>
              <w:t>7.0</w:t>
            </w:r>
          </w:p>
        </w:tc>
        <w:tc>
          <w:tcPr>
            <w:tcW w:w="4988" w:type="dxa"/>
          </w:tcPr>
          <w:p w14:paraId="01452E0C" w14:textId="77777777" w:rsidR="00A720EB" w:rsidRDefault="0030286B">
            <w:pPr>
              <w:pStyle w:val="TableParagraph"/>
              <w:spacing w:before="31" w:line="310" w:lineRule="atLeast"/>
              <w:rPr>
                <w:rFonts w:ascii="Cambria"/>
                <w:sz w:val="21"/>
              </w:rPr>
            </w:pPr>
            <w:r>
              <w:rPr>
                <w:rFonts w:ascii="Cambria"/>
                <w:color w:val="333333"/>
                <w:w w:val="110"/>
                <w:sz w:val="21"/>
              </w:rPr>
              <w:t>Maximum number of days archive log files are kept. Only supported with the default logback setup.</w:t>
            </w:r>
          </w:p>
        </w:tc>
      </w:tr>
      <w:tr w:rsidR="00A720EB" w14:paraId="27358191" w14:textId="77777777">
        <w:trPr>
          <w:trHeight w:val="741"/>
        </w:trPr>
        <w:tc>
          <w:tcPr>
            <w:tcW w:w="2494" w:type="dxa"/>
          </w:tcPr>
          <w:p w14:paraId="7AC8C1F4" w14:textId="77777777" w:rsidR="00A720EB" w:rsidRDefault="0030286B">
            <w:pPr>
              <w:pStyle w:val="TableParagraph"/>
              <w:spacing w:before="40"/>
              <w:rPr>
                <w:sz w:val="21"/>
              </w:rPr>
            </w:pPr>
            <w:r>
              <w:rPr>
                <w:color w:val="B02045"/>
                <w:sz w:val="21"/>
              </w:rPr>
              <w:t>logging.file.max-size</w:t>
            </w:r>
          </w:p>
        </w:tc>
        <w:tc>
          <w:tcPr>
            <w:tcW w:w="2494" w:type="dxa"/>
          </w:tcPr>
          <w:p w14:paraId="02C5B74A" w14:textId="77777777" w:rsidR="00A720EB" w:rsidRDefault="0030286B">
            <w:pPr>
              <w:pStyle w:val="TableParagraph"/>
              <w:spacing w:before="40"/>
              <w:rPr>
                <w:sz w:val="21"/>
              </w:rPr>
            </w:pPr>
            <w:r>
              <w:rPr>
                <w:color w:val="B02045"/>
                <w:sz w:val="21"/>
              </w:rPr>
              <w:t>10MB</w:t>
            </w:r>
          </w:p>
        </w:tc>
        <w:tc>
          <w:tcPr>
            <w:tcW w:w="4988" w:type="dxa"/>
          </w:tcPr>
          <w:p w14:paraId="761538EB" w14:textId="77777777" w:rsidR="00A720EB" w:rsidRDefault="0030286B">
            <w:pPr>
              <w:pStyle w:val="TableParagraph"/>
              <w:spacing w:before="31" w:line="310" w:lineRule="atLeast"/>
              <w:rPr>
                <w:rFonts w:ascii="Cambria"/>
                <w:sz w:val="21"/>
              </w:rPr>
            </w:pPr>
            <w:r>
              <w:rPr>
                <w:rFonts w:ascii="Cambria"/>
                <w:color w:val="333333"/>
                <w:w w:val="110"/>
                <w:sz w:val="21"/>
              </w:rPr>
              <w:t>Maximum log file size. Only supported with the default logback setup.</w:t>
            </w:r>
          </w:p>
        </w:tc>
      </w:tr>
      <w:tr w:rsidR="00A720EB" w14:paraId="5405D729" w14:textId="77777777">
        <w:trPr>
          <w:trHeight w:val="1056"/>
        </w:trPr>
        <w:tc>
          <w:tcPr>
            <w:tcW w:w="2494" w:type="dxa"/>
          </w:tcPr>
          <w:p w14:paraId="4AB85B56" w14:textId="77777777" w:rsidR="00A720EB" w:rsidRDefault="0030286B">
            <w:pPr>
              <w:pStyle w:val="TableParagraph"/>
              <w:spacing w:before="40"/>
              <w:rPr>
                <w:sz w:val="21"/>
              </w:rPr>
            </w:pPr>
            <w:r>
              <w:rPr>
                <w:color w:val="B02045"/>
                <w:sz w:val="21"/>
              </w:rPr>
              <w:t>logging.file.name</w:t>
            </w:r>
          </w:p>
        </w:tc>
        <w:tc>
          <w:tcPr>
            <w:tcW w:w="2494" w:type="dxa"/>
          </w:tcPr>
          <w:p w14:paraId="1D94CCE8" w14:textId="77777777" w:rsidR="00A720EB" w:rsidRDefault="00A720EB">
            <w:pPr>
              <w:pStyle w:val="TableParagraph"/>
              <w:spacing w:before="0"/>
              <w:ind w:left="0"/>
              <w:rPr>
                <w:rFonts w:ascii="Times New Roman"/>
                <w:sz w:val="20"/>
              </w:rPr>
            </w:pPr>
          </w:p>
        </w:tc>
        <w:tc>
          <w:tcPr>
            <w:tcW w:w="4988" w:type="dxa"/>
          </w:tcPr>
          <w:p w14:paraId="7085B1E0" w14:textId="77777777" w:rsidR="00A720EB" w:rsidRDefault="0030286B">
            <w:pPr>
              <w:pStyle w:val="TableParagraph"/>
              <w:spacing w:before="31" w:line="310" w:lineRule="atLeast"/>
              <w:ind w:right="117"/>
              <w:rPr>
                <w:rFonts w:ascii="Cambria"/>
                <w:sz w:val="21"/>
              </w:rPr>
            </w:pPr>
            <w:r>
              <w:rPr>
                <w:rFonts w:ascii="Cambria"/>
                <w:color w:val="333333"/>
                <w:w w:val="110"/>
                <w:sz w:val="21"/>
              </w:rPr>
              <w:t xml:space="preserve">Log file </w:t>
            </w:r>
            <w:proofErr w:type="gramStart"/>
            <w:r>
              <w:rPr>
                <w:rFonts w:ascii="Cambria"/>
                <w:color w:val="333333"/>
                <w:w w:val="110"/>
                <w:sz w:val="21"/>
              </w:rPr>
              <w:t>name  (</w:t>
            </w:r>
            <w:proofErr w:type="gramEnd"/>
            <w:r>
              <w:rPr>
                <w:rFonts w:ascii="Cambria"/>
                <w:color w:val="333333"/>
                <w:w w:val="110"/>
                <w:sz w:val="21"/>
              </w:rPr>
              <w:t>for  instance,  `myapp.log`). Names can be an exact location or relative to the current</w:t>
            </w:r>
            <w:r>
              <w:rPr>
                <w:rFonts w:ascii="Cambria"/>
                <w:color w:val="333333"/>
                <w:spacing w:val="3"/>
                <w:w w:val="110"/>
                <w:sz w:val="21"/>
              </w:rPr>
              <w:t xml:space="preserve"> </w:t>
            </w:r>
            <w:r>
              <w:rPr>
                <w:rFonts w:ascii="Cambria"/>
                <w:color w:val="333333"/>
                <w:spacing w:val="-3"/>
                <w:w w:val="110"/>
                <w:sz w:val="21"/>
              </w:rPr>
              <w:t>directory.</w:t>
            </w:r>
          </w:p>
        </w:tc>
      </w:tr>
      <w:tr w:rsidR="00A720EB" w14:paraId="01FF07D1" w14:textId="77777777">
        <w:trPr>
          <w:trHeight w:val="425"/>
        </w:trPr>
        <w:tc>
          <w:tcPr>
            <w:tcW w:w="2494" w:type="dxa"/>
          </w:tcPr>
          <w:p w14:paraId="7F1C123D" w14:textId="77777777" w:rsidR="00A720EB" w:rsidRDefault="0030286B">
            <w:pPr>
              <w:pStyle w:val="TableParagraph"/>
              <w:spacing w:before="40"/>
              <w:rPr>
                <w:sz w:val="21"/>
              </w:rPr>
            </w:pPr>
            <w:proofErr w:type="gramStart"/>
            <w:r>
              <w:rPr>
                <w:color w:val="B02045"/>
                <w:sz w:val="21"/>
              </w:rPr>
              <w:t>logging.file</w:t>
            </w:r>
            <w:proofErr w:type="gramEnd"/>
            <w:r>
              <w:rPr>
                <w:color w:val="B02045"/>
                <w:sz w:val="21"/>
              </w:rPr>
              <w:t>.path</w:t>
            </w:r>
          </w:p>
        </w:tc>
        <w:tc>
          <w:tcPr>
            <w:tcW w:w="2494" w:type="dxa"/>
          </w:tcPr>
          <w:p w14:paraId="72F49FE6" w14:textId="77777777" w:rsidR="00A720EB" w:rsidRDefault="00A720EB">
            <w:pPr>
              <w:pStyle w:val="TableParagraph"/>
              <w:spacing w:before="0"/>
              <w:ind w:left="0"/>
              <w:rPr>
                <w:rFonts w:ascii="Times New Roman"/>
                <w:sz w:val="20"/>
              </w:rPr>
            </w:pPr>
          </w:p>
        </w:tc>
        <w:tc>
          <w:tcPr>
            <w:tcW w:w="4988" w:type="dxa"/>
          </w:tcPr>
          <w:p w14:paraId="2DA73091" w14:textId="77777777" w:rsidR="00A720EB" w:rsidRDefault="0030286B">
            <w:pPr>
              <w:pStyle w:val="TableParagraph"/>
              <w:spacing w:before="94"/>
              <w:rPr>
                <w:rFonts w:ascii="Cambria"/>
                <w:sz w:val="21"/>
              </w:rPr>
            </w:pPr>
            <w:r>
              <w:rPr>
                <w:rFonts w:ascii="Cambria"/>
                <w:color w:val="333333"/>
                <w:w w:val="110"/>
                <w:sz w:val="21"/>
              </w:rPr>
              <w:t>Location of the log file. For instance, `/var/log`.</w:t>
            </w:r>
          </w:p>
        </w:tc>
      </w:tr>
      <w:tr w:rsidR="00A720EB" w14:paraId="35EF96FF" w14:textId="77777777">
        <w:trPr>
          <w:trHeight w:val="741"/>
        </w:trPr>
        <w:tc>
          <w:tcPr>
            <w:tcW w:w="2494" w:type="dxa"/>
          </w:tcPr>
          <w:p w14:paraId="2FDB87F0" w14:textId="77777777" w:rsidR="00A720EB" w:rsidRDefault="0030286B">
            <w:pPr>
              <w:pStyle w:val="TableParagraph"/>
              <w:spacing w:before="49" w:line="230" w:lineRule="auto"/>
              <w:ind w:right="428"/>
              <w:rPr>
                <w:sz w:val="21"/>
              </w:rPr>
            </w:pPr>
            <w:proofErr w:type="gramStart"/>
            <w:r>
              <w:rPr>
                <w:color w:val="B02045"/>
                <w:sz w:val="21"/>
              </w:rPr>
              <w:t>logging.file</w:t>
            </w:r>
            <w:proofErr w:type="gramEnd"/>
            <w:r>
              <w:rPr>
                <w:color w:val="B02045"/>
                <w:sz w:val="21"/>
              </w:rPr>
              <w:t>.total- size-cap</w:t>
            </w:r>
          </w:p>
        </w:tc>
        <w:tc>
          <w:tcPr>
            <w:tcW w:w="2494" w:type="dxa"/>
          </w:tcPr>
          <w:p w14:paraId="13FABFB6" w14:textId="77777777" w:rsidR="00A720EB" w:rsidRDefault="0030286B">
            <w:pPr>
              <w:pStyle w:val="TableParagraph"/>
              <w:spacing w:before="40"/>
              <w:rPr>
                <w:sz w:val="21"/>
              </w:rPr>
            </w:pPr>
            <w:r>
              <w:rPr>
                <w:color w:val="B02045"/>
                <w:sz w:val="21"/>
              </w:rPr>
              <w:t>0B</w:t>
            </w:r>
          </w:p>
        </w:tc>
        <w:tc>
          <w:tcPr>
            <w:tcW w:w="4988" w:type="dxa"/>
          </w:tcPr>
          <w:p w14:paraId="1599521B" w14:textId="77777777" w:rsidR="00A720EB" w:rsidRDefault="0030286B">
            <w:pPr>
              <w:pStyle w:val="TableParagraph"/>
              <w:spacing w:before="31" w:line="310" w:lineRule="atLeast"/>
              <w:ind w:right="640"/>
              <w:rPr>
                <w:rFonts w:ascii="Cambria"/>
                <w:sz w:val="21"/>
              </w:rPr>
            </w:pPr>
            <w:r>
              <w:rPr>
                <w:rFonts w:ascii="Cambria"/>
                <w:color w:val="333333"/>
                <w:w w:val="110"/>
                <w:sz w:val="21"/>
              </w:rPr>
              <w:t>Total size of log backups to be kept. Only supported with the default logback setup.</w:t>
            </w:r>
          </w:p>
        </w:tc>
      </w:tr>
      <w:tr w:rsidR="00A720EB" w14:paraId="0A8ADC76" w14:textId="77777777">
        <w:trPr>
          <w:trHeight w:val="1372"/>
        </w:trPr>
        <w:tc>
          <w:tcPr>
            <w:tcW w:w="2494" w:type="dxa"/>
          </w:tcPr>
          <w:p w14:paraId="43808F86" w14:textId="77777777" w:rsidR="00A720EB" w:rsidRDefault="0030286B">
            <w:pPr>
              <w:pStyle w:val="TableParagraph"/>
              <w:spacing w:before="40"/>
              <w:rPr>
                <w:sz w:val="21"/>
              </w:rPr>
            </w:pPr>
            <w:proofErr w:type="gramStart"/>
            <w:r>
              <w:rPr>
                <w:color w:val="B02045"/>
                <w:sz w:val="21"/>
              </w:rPr>
              <w:t>logging.group</w:t>
            </w:r>
            <w:proofErr w:type="gramEnd"/>
            <w:r>
              <w:rPr>
                <w:color w:val="B02045"/>
                <w:sz w:val="21"/>
              </w:rPr>
              <w:t>.*</w:t>
            </w:r>
          </w:p>
        </w:tc>
        <w:tc>
          <w:tcPr>
            <w:tcW w:w="2494" w:type="dxa"/>
          </w:tcPr>
          <w:p w14:paraId="360EEE2F" w14:textId="77777777" w:rsidR="00A720EB" w:rsidRDefault="00A720EB">
            <w:pPr>
              <w:pStyle w:val="TableParagraph"/>
              <w:spacing w:before="0"/>
              <w:ind w:left="0"/>
              <w:rPr>
                <w:rFonts w:ascii="Times New Roman"/>
                <w:sz w:val="20"/>
              </w:rPr>
            </w:pPr>
          </w:p>
        </w:tc>
        <w:tc>
          <w:tcPr>
            <w:tcW w:w="4988" w:type="dxa"/>
          </w:tcPr>
          <w:p w14:paraId="75D44721" w14:textId="77777777" w:rsidR="00A720EB" w:rsidRDefault="0030286B">
            <w:pPr>
              <w:pStyle w:val="TableParagraph"/>
              <w:spacing w:before="94" w:line="307" w:lineRule="auto"/>
              <w:rPr>
                <w:rFonts w:ascii="Cambria"/>
                <w:sz w:val="21"/>
              </w:rPr>
            </w:pPr>
            <w:r>
              <w:rPr>
                <w:rFonts w:ascii="Cambria"/>
                <w:color w:val="333333"/>
                <w:w w:val="110"/>
                <w:sz w:val="21"/>
              </w:rPr>
              <w:t>Log groups to quickly change multiple loggers at the same time. For instance,</w:t>
            </w:r>
          </w:p>
          <w:p w14:paraId="6BB9B6D2" w14:textId="77777777" w:rsidR="00A720EB" w:rsidRDefault="0030286B">
            <w:pPr>
              <w:pStyle w:val="TableParagraph"/>
              <w:spacing w:before="1"/>
              <w:rPr>
                <w:rFonts w:ascii="Cambria"/>
                <w:sz w:val="21"/>
              </w:rPr>
            </w:pPr>
            <w:r>
              <w:rPr>
                <w:rFonts w:ascii="Cambria"/>
                <w:color w:val="333333"/>
                <w:w w:val="110"/>
                <w:sz w:val="21"/>
              </w:rPr>
              <w:t>`</w:t>
            </w:r>
            <w:proofErr w:type="gramStart"/>
            <w:r>
              <w:rPr>
                <w:rFonts w:ascii="Cambria"/>
                <w:color w:val="333333"/>
                <w:w w:val="110"/>
                <w:sz w:val="21"/>
              </w:rPr>
              <w:t>logging.group</w:t>
            </w:r>
            <w:proofErr w:type="gramEnd"/>
            <w:r>
              <w:rPr>
                <w:rFonts w:ascii="Cambria"/>
                <w:color w:val="333333"/>
                <w:w w:val="110"/>
                <w:sz w:val="21"/>
              </w:rPr>
              <w:t>.db=org.hibernate,org.springfram</w:t>
            </w:r>
          </w:p>
          <w:p w14:paraId="4EA77D9D" w14:textId="77777777" w:rsidR="00A720EB" w:rsidRDefault="0030286B">
            <w:pPr>
              <w:pStyle w:val="TableParagraph"/>
              <w:spacing w:before="70"/>
              <w:rPr>
                <w:rFonts w:ascii="Cambria"/>
                <w:sz w:val="21"/>
              </w:rPr>
            </w:pPr>
            <w:proofErr w:type="gramStart"/>
            <w:r>
              <w:rPr>
                <w:rFonts w:ascii="Cambria"/>
                <w:color w:val="333333"/>
                <w:w w:val="115"/>
                <w:sz w:val="21"/>
              </w:rPr>
              <w:lastRenderedPageBreak/>
              <w:t>ework.jdbc</w:t>
            </w:r>
            <w:proofErr w:type="gramEnd"/>
            <w:r>
              <w:rPr>
                <w:rFonts w:ascii="Cambria"/>
                <w:color w:val="333333"/>
                <w:w w:val="115"/>
                <w:sz w:val="21"/>
              </w:rPr>
              <w:t>`.</w:t>
            </w:r>
          </w:p>
        </w:tc>
      </w:tr>
    </w:tbl>
    <w:p w14:paraId="0C3847FA" w14:textId="77777777" w:rsidR="00A720EB" w:rsidRDefault="00A720EB">
      <w:pPr>
        <w:rPr>
          <w:sz w:val="21"/>
        </w:rPr>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56A2A2D" w14:textId="77777777">
        <w:trPr>
          <w:trHeight w:val="415"/>
        </w:trPr>
        <w:tc>
          <w:tcPr>
            <w:tcW w:w="2494" w:type="dxa"/>
            <w:tcBorders>
              <w:bottom w:val="single" w:sz="12" w:space="0" w:color="DDDDDD"/>
            </w:tcBorders>
          </w:tcPr>
          <w:p w14:paraId="662E02A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E27DF44"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AACE216"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3EDF13C" w14:textId="77777777">
        <w:trPr>
          <w:trHeight w:val="731"/>
        </w:trPr>
        <w:tc>
          <w:tcPr>
            <w:tcW w:w="2494" w:type="dxa"/>
            <w:tcBorders>
              <w:top w:val="single" w:sz="12" w:space="0" w:color="DDDDDD"/>
            </w:tcBorders>
          </w:tcPr>
          <w:p w14:paraId="14E0E56E" w14:textId="77777777" w:rsidR="00A720EB" w:rsidRDefault="0030286B">
            <w:pPr>
              <w:pStyle w:val="TableParagraph"/>
              <w:spacing w:before="27"/>
              <w:rPr>
                <w:sz w:val="21"/>
              </w:rPr>
            </w:pPr>
            <w:proofErr w:type="gramStart"/>
            <w:r>
              <w:rPr>
                <w:color w:val="B02045"/>
                <w:sz w:val="21"/>
              </w:rPr>
              <w:t>logging.level</w:t>
            </w:r>
            <w:proofErr w:type="gramEnd"/>
            <w:r>
              <w:rPr>
                <w:color w:val="B02045"/>
                <w:sz w:val="21"/>
              </w:rPr>
              <w:t>.*</w:t>
            </w:r>
          </w:p>
        </w:tc>
        <w:tc>
          <w:tcPr>
            <w:tcW w:w="2494" w:type="dxa"/>
            <w:tcBorders>
              <w:top w:val="single" w:sz="12" w:space="0" w:color="DDDDDD"/>
            </w:tcBorders>
          </w:tcPr>
          <w:p w14:paraId="12CE61B7"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1287582A" w14:textId="77777777" w:rsidR="00A720EB" w:rsidRDefault="0030286B">
            <w:pPr>
              <w:pStyle w:val="TableParagraph"/>
              <w:spacing w:before="82"/>
              <w:rPr>
                <w:rFonts w:ascii="Cambria"/>
                <w:sz w:val="21"/>
              </w:rPr>
            </w:pPr>
            <w:r>
              <w:rPr>
                <w:rFonts w:ascii="Cambria"/>
                <w:color w:val="333333"/>
                <w:w w:val="110"/>
                <w:sz w:val="21"/>
              </w:rPr>
              <w:t>Log levels severity mapping. For instance,</w:t>
            </w:r>
          </w:p>
          <w:p w14:paraId="6D4DFCF3" w14:textId="77777777" w:rsidR="00A720EB" w:rsidRDefault="0030286B">
            <w:pPr>
              <w:pStyle w:val="TableParagraph"/>
              <w:spacing w:before="69"/>
              <w:rPr>
                <w:rFonts w:ascii="Cambria"/>
                <w:sz w:val="21"/>
              </w:rPr>
            </w:pPr>
            <w:r>
              <w:rPr>
                <w:rFonts w:ascii="Cambria"/>
                <w:color w:val="333333"/>
                <w:w w:val="115"/>
                <w:sz w:val="21"/>
              </w:rPr>
              <w:t>`</w:t>
            </w:r>
            <w:proofErr w:type="gramStart"/>
            <w:r>
              <w:rPr>
                <w:rFonts w:ascii="Cambria"/>
                <w:color w:val="333333"/>
                <w:w w:val="115"/>
                <w:sz w:val="21"/>
              </w:rPr>
              <w:t>logging.level.org.springframework</w:t>
            </w:r>
            <w:proofErr w:type="gramEnd"/>
            <w:r>
              <w:rPr>
                <w:rFonts w:ascii="Cambria"/>
                <w:color w:val="333333"/>
                <w:w w:val="115"/>
                <w:sz w:val="21"/>
              </w:rPr>
              <w:t>=DEBUG`.</w:t>
            </w:r>
          </w:p>
        </w:tc>
      </w:tr>
      <w:tr w:rsidR="00A720EB" w14:paraId="0C8DB157" w14:textId="77777777">
        <w:trPr>
          <w:trHeight w:val="3475"/>
        </w:trPr>
        <w:tc>
          <w:tcPr>
            <w:tcW w:w="2494" w:type="dxa"/>
          </w:tcPr>
          <w:p w14:paraId="3A4C677C" w14:textId="77777777" w:rsidR="00A720EB" w:rsidRDefault="0030286B">
            <w:pPr>
              <w:pStyle w:val="TableParagraph"/>
              <w:spacing w:before="46" w:line="230" w:lineRule="auto"/>
              <w:ind w:right="94"/>
              <w:rPr>
                <w:sz w:val="21"/>
              </w:rPr>
            </w:pPr>
            <w:proofErr w:type="gramStart"/>
            <w:r>
              <w:rPr>
                <w:color w:val="B02045"/>
                <w:sz w:val="21"/>
              </w:rPr>
              <w:t>logging.pattern</w:t>
            </w:r>
            <w:proofErr w:type="gramEnd"/>
            <w:r>
              <w:rPr>
                <w:color w:val="B02045"/>
                <w:sz w:val="21"/>
              </w:rPr>
              <w:t>.consol e</w:t>
            </w:r>
          </w:p>
        </w:tc>
        <w:tc>
          <w:tcPr>
            <w:tcW w:w="2494" w:type="dxa"/>
          </w:tcPr>
          <w:p w14:paraId="202ACDF9" w14:textId="77777777" w:rsidR="00A720EB" w:rsidRDefault="0030286B">
            <w:pPr>
              <w:pStyle w:val="TableParagraph"/>
              <w:spacing w:before="37" w:line="264" w:lineRule="exact"/>
              <w:rPr>
                <w:sz w:val="21"/>
              </w:rPr>
            </w:pPr>
            <w:r>
              <w:rPr>
                <w:color w:val="B02045"/>
                <w:sz w:val="21"/>
              </w:rPr>
              <w:t>%</w:t>
            </w:r>
            <w:proofErr w:type="gramStart"/>
            <w:r>
              <w:rPr>
                <w:color w:val="B02045"/>
                <w:sz w:val="21"/>
              </w:rPr>
              <w:t>clr(</w:t>
            </w:r>
            <w:proofErr w:type="gramEnd"/>
            <w:r>
              <w:rPr>
                <w:color w:val="B02045"/>
                <w:sz w:val="21"/>
              </w:rPr>
              <w:t>%d{${LOG_DATEFORM</w:t>
            </w:r>
          </w:p>
          <w:p w14:paraId="252C9FB4" w14:textId="77777777" w:rsidR="00A720EB" w:rsidRDefault="0030286B">
            <w:pPr>
              <w:pStyle w:val="TableParagraph"/>
              <w:spacing w:before="4" w:line="230" w:lineRule="auto"/>
              <w:ind w:right="94"/>
              <w:rPr>
                <w:sz w:val="21"/>
              </w:rPr>
            </w:pPr>
            <w:r>
              <w:rPr>
                <w:color w:val="B02045"/>
                <w:sz w:val="21"/>
              </w:rPr>
              <w:t>AT_</w:t>
            </w:r>
            <w:proofErr w:type="gramStart"/>
            <w:r>
              <w:rPr>
                <w:color w:val="B02045"/>
                <w:sz w:val="21"/>
              </w:rPr>
              <w:t>PATTERN:-</w:t>
            </w:r>
            <w:proofErr w:type="gramEnd"/>
            <w:r>
              <w:rPr>
                <w:color w:val="B02045"/>
                <w:sz w:val="21"/>
              </w:rPr>
              <w:t>yyyy-MM-dd HH:mm:ss.SSS}}){faint}</w:t>
            </w:r>
          </w:p>
          <w:p w14:paraId="3BF7727D" w14:textId="77777777" w:rsidR="00A720EB" w:rsidRDefault="0030286B">
            <w:pPr>
              <w:pStyle w:val="TableParagraph"/>
              <w:spacing w:before="1" w:line="230" w:lineRule="auto"/>
              <w:ind w:right="113"/>
              <w:rPr>
                <w:sz w:val="21"/>
              </w:rPr>
            </w:pPr>
            <w:r>
              <w:rPr>
                <w:color w:val="B02045"/>
                <w:sz w:val="21"/>
              </w:rPr>
              <w:t>%</w:t>
            </w:r>
            <w:proofErr w:type="gramStart"/>
            <w:r>
              <w:rPr>
                <w:color w:val="B02045"/>
                <w:sz w:val="21"/>
              </w:rPr>
              <w:t>clr(</w:t>
            </w:r>
            <w:proofErr w:type="gramEnd"/>
            <w:r>
              <w:rPr>
                <w:color w:val="B02045"/>
                <w:sz w:val="21"/>
              </w:rPr>
              <w:t>${LOG_LEVEL_PATTE RN:-%5p})</w:t>
            </w:r>
            <w:r>
              <w:rPr>
                <w:color w:val="B02045"/>
                <w:spacing w:val="5"/>
                <w:sz w:val="21"/>
              </w:rPr>
              <w:t xml:space="preserve"> </w:t>
            </w:r>
            <w:r>
              <w:rPr>
                <w:color w:val="B02045"/>
                <w:spacing w:val="-2"/>
                <w:sz w:val="21"/>
              </w:rPr>
              <w:t>%clr(${PID:-</w:t>
            </w:r>
          </w:p>
          <w:p w14:paraId="1EF004CC" w14:textId="77777777" w:rsidR="00A720EB" w:rsidRDefault="0030286B">
            <w:pPr>
              <w:pStyle w:val="TableParagraph"/>
              <w:spacing w:before="0" w:line="257" w:lineRule="exact"/>
              <w:rPr>
                <w:sz w:val="21"/>
              </w:rPr>
            </w:pPr>
            <w:proofErr w:type="gramStart"/>
            <w:r>
              <w:rPr>
                <w:color w:val="B02045"/>
                <w:sz w:val="21"/>
              </w:rPr>
              <w:t>}){</w:t>
            </w:r>
            <w:proofErr w:type="gramEnd"/>
            <w:r>
              <w:rPr>
                <w:color w:val="B02045"/>
                <w:sz w:val="21"/>
              </w:rPr>
              <w:t>magenta} %clr(---</w:t>
            </w:r>
          </w:p>
          <w:p w14:paraId="78F4C259" w14:textId="77777777" w:rsidR="00A720EB" w:rsidRDefault="0030286B">
            <w:pPr>
              <w:pStyle w:val="TableParagraph"/>
              <w:spacing w:before="0" w:line="259" w:lineRule="exact"/>
              <w:rPr>
                <w:sz w:val="21"/>
              </w:rPr>
            </w:pPr>
            <w:proofErr w:type="gramStart"/>
            <w:r>
              <w:rPr>
                <w:color w:val="B02045"/>
                <w:sz w:val="21"/>
              </w:rPr>
              <w:t>){</w:t>
            </w:r>
            <w:proofErr w:type="gramEnd"/>
            <w:r>
              <w:rPr>
                <w:color w:val="B02045"/>
                <w:sz w:val="21"/>
              </w:rPr>
              <w:t>faint}</w:t>
            </w:r>
          </w:p>
          <w:p w14:paraId="60D0D208" w14:textId="77777777" w:rsidR="00A720EB" w:rsidRDefault="0030286B">
            <w:pPr>
              <w:pStyle w:val="TableParagraph"/>
              <w:spacing w:before="0" w:line="259" w:lineRule="exact"/>
              <w:rPr>
                <w:sz w:val="21"/>
              </w:rPr>
            </w:pPr>
            <w:r>
              <w:rPr>
                <w:color w:val="B02045"/>
                <w:sz w:val="21"/>
              </w:rPr>
              <w:t>%clr([%15.15t</w:t>
            </w:r>
            <w:proofErr w:type="gramStart"/>
            <w:r>
              <w:rPr>
                <w:color w:val="B02045"/>
                <w:sz w:val="21"/>
              </w:rPr>
              <w:t>]){</w:t>
            </w:r>
            <w:proofErr w:type="gramEnd"/>
            <w:r>
              <w:rPr>
                <w:color w:val="B02045"/>
                <w:sz w:val="21"/>
              </w:rPr>
              <w:t>faint}</w:t>
            </w:r>
          </w:p>
          <w:p w14:paraId="461666EE" w14:textId="77777777" w:rsidR="00A720EB" w:rsidRDefault="0030286B">
            <w:pPr>
              <w:pStyle w:val="TableParagraph"/>
              <w:spacing w:before="3" w:line="230" w:lineRule="auto"/>
              <w:ind w:right="94"/>
              <w:rPr>
                <w:sz w:val="21"/>
              </w:rPr>
            </w:pPr>
            <w:r>
              <w:rPr>
                <w:color w:val="B02045"/>
                <w:sz w:val="21"/>
              </w:rPr>
              <w:t>%</w:t>
            </w:r>
            <w:proofErr w:type="gramStart"/>
            <w:r>
              <w:rPr>
                <w:color w:val="B02045"/>
                <w:sz w:val="21"/>
              </w:rPr>
              <w:t>clr(</w:t>
            </w:r>
            <w:proofErr w:type="gramEnd"/>
            <w:r>
              <w:rPr>
                <w:color w:val="B02045"/>
                <w:sz w:val="21"/>
              </w:rPr>
              <w:t>%- 40.40logger{39}){cyan}</w:t>
            </w:r>
          </w:p>
          <w:p w14:paraId="6477931F" w14:textId="77777777" w:rsidR="00A720EB" w:rsidRDefault="0030286B">
            <w:pPr>
              <w:pStyle w:val="TableParagraph"/>
              <w:spacing w:before="0" w:line="257" w:lineRule="exact"/>
              <w:rPr>
                <w:sz w:val="21"/>
              </w:rPr>
            </w:pPr>
            <w:r>
              <w:rPr>
                <w:color w:val="B02045"/>
                <w:sz w:val="21"/>
              </w:rPr>
              <w:t>%clr(:){faint}</w:t>
            </w:r>
          </w:p>
          <w:p w14:paraId="5A540438" w14:textId="77777777" w:rsidR="00A720EB" w:rsidRDefault="0030286B">
            <w:pPr>
              <w:pStyle w:val="TableParagraph"/>
              <w:spacing w:before="4" w:line="230" w:lineRule="auto"/>
              <w:ind w:right="113"/>
              <w:rPr>
                <w:sz w:val="21"/>
              </w:rPr>
            </w:pPr>
            <w:r>
              <w:rPr>
                <w:color w:val="B02045"/>
                <w:sz w:val="21"/>
              </w:rPr>
              <w:t>%m%n${LOG_EXCEPTION_CO NVERSION_</w:t>
            </w:r>
            <w:proofErr w:type="gramStart"/>
            <w:r>
              <w:rPr>
                <w:color w:val="B02045"/>
                <w:sz w:val="21"/>
              </w:rPr>
              <w:t>WORD:-</w:t>
            </w:r>
            <w:proofErr w:type="gramEnd"/>
            <w:r>
              <w:rPr>
                <w:color w:val="B02045"/>
                <w:sz w:val="21"/>
              </w:rPr>
              <w:t>%wEx}</w:t>
            </w:r>
          </w:p>
        </w:tc>
        <w:tc>
          <w:tcPr>
            <w:tcW w:w="4988" w:type="dxa"/>
          </w:tcPr>
          <w:p w14:paraId="6432D120" w14:textId="77777777" w:rsidR="00A720EB" w:rsidRDefault="0030286B">
            <w:pPr>
              <w:pStyle w:val="TableParagraph"/>
              <w:spacing w:before="92" w:line="307" w:lineRule="auto"/>
              <w:rPr>
                <w:rFonts w:ascii="Cambria"/>
                <w:sz w:val="21"/>
              </w:rPr>
            </w:pPr>
            <w:r>
              <w:rPr>
                <w:rFonts w:ascii="Cambria"/>
                <w:color w:val="333333"/>
                <w:w w:val="110"/>
                <w:sz w:val="21"/>
              </w:rPr>
              <w:t>Appender pattern for output to the console. Supported only with the default Logback setup.</w:t>
            </w:r>
          </w:p>
        </w:tc>
      </w:tr>
      <w:tr w:rsidR="00A720EB" w14:paraId="33115EE1" w14:textId="77777777">
        <w:trPr>
          <w:trHeight w:val="741"/>
        </w:trPr>
        <w:tc>
          <w:tcPr>
            <w:tcW w:w="2494" w:type="dxa"/>
          </w:tcPr>
          <w:p w14:paraId="32D8FB9F" w14:textId="77777777" w:rsidR="00A720EB" w:rsidRDefault="0030286B">
            <w:pPr>
              <w:pStyle w:val="TableParagraph"/>
              <w:spacing w:before="46" w:line="230" w:lineRule="auto"/>
              <w:ind w:right="94"/>
              <w:rPr>
                <w:sz w:val="21"/>
              </w:rPr>
            </w:pPr>
            <w:proofErr w:type="gramStart"/>
            <w:r>
              <w:rPr>
                <w:color w:val="B02045"/>
                <w:sz w:val="21"/>
              </w:rPr>
              <w:t>logging.pattern</w:t>
            </w:r>
            <w:proofErr w:type="gramEnd"/>
            <w:r>
              <w:rPr>
                <w:color w:val="B02045"/>
                <w:sz w:val="21"/>
              </w:rPr>
              <w:t>.datefo rmat</w:t>
            </w:r>
          </w:p>
        </w:tc>
        <w:tc>
          <w:tcPr>
            <w:tcW w:w="2494" w:type="dxa"/>
          </w:tcPr>
          <w:p w14:paraId="4939D243" w14:textId="77777777" w:rsidR="00A720EB" w:rsidRDefault="0030286B">
            <w:pPr>
              <w:pStyle w:val="TableParagraph"/>
              <w:spacing w:before="46" w:line="230" w:lineRule="auto"/>
              <w:ind w:right="1144"/>
              <w:rPr>
                <w:sz w:val="21"/>
              </w:rPr>
            </w:pPr>
            <w:r>
              <w:rPr>
                <w:color w:val="B02045"/>
                <w:sz w:val="21"/>
              </w:rPr>
              <w:t>yyyy-MM-dd HH:</w:t>
            </w:r>
            <w:proofErr w:type="gramStart"/>
            <w:r>
              <w:rPr>
                <w:color w:val="B02045"/>
                <w:sz w:val="21"/>
              </w:rPr>
              <w:t>mm:ss.SSS</w:t>
            </w:r>
            <w:proofErr w:type="gramEnd"/>
          </w:p>
        </w:tc>
        <w:tc>
          <w:tcPr>
            <w:tcW w:w="4988" w:type="dxa"/>
          </w:tcPr>
          <w:p w14:paraId="4A442377" w14:textId="77777777" w:rsidR="00A720EB" w:rsidRDefault="0030286B">
            <w:pPr>
              <w:pStyle w:val="TableParagraph"/>
              <w:spacing w:before="28" w:line="310" w:lineRule="atLeast"/>
              <w:rPr>
                <w:rFonts w:ascii="Cambria"/>
                <w:sz w:val="21"/>
              </w:rPr>
            </w:pPr>
            <w:r>
              <w:rPr>
                <w:rFonts w:ascii="Cambria"/>
                <w:color w:val="333333"/>
                <w:w w:val="110"/>
                <w:sz w:val="21"/>
              </w:rPr>
              <w:t>Appender pattern for log date format. Supported only with the default Logback setup.</w:t>
            </w:r>
          </w:p>
        </w:tc>
      </w:tr>
      <w:tr w:rsidR="00A720EB" w14:paraId="1B8A55EE" w14:textId="77777777">
        <w:trPr>
          <w:trHeight w:val="2440"/>
        </w:trPr>
        <w:tc>
          <w:tcPr>
            <w:tcW w:w="2494" w:type="dxa"/>
          </w:tcPr>
          <w:p w14:paraId="3C719EA0" w14:textId="77777777" w:rsidR="00A720EB" w:rsidRDefault="0030286B">
            <w:pPr>
              <w:pStyle w:val="TableParagraph"/>
              <w:rPr>
                <w:sz w:val="21"/>
              </w:rPr>
            </w:pPr>
            <w:proofErr w:type="gramStart"/>
            <w:r>
              <w:rPr>
                <w:color w:val="B02045"/>
                <w:sz w:val="21"/>
              </w:rPr>
              <w:t>logging.pattern</w:t>
            </w:r>
            <w:proofErr w:type="gramEnd"/>
            <w:r>
              <w:rPr>
                <w:color w:val="B02045"/>
                <w:sz w:val="21"/>
              </w:rPr>
              <w:t>.file</w:t>
            </w:r>
          </w:p>
        </w:tc>
        <w:tc>
          <w:tcPr>
            <w:tcW w:w="2494" w:type="dxa"/>
          </w:tcPr>
          <w:p w14:paraId="6DDF4580" w14:textId="77777777" w:rsidR="00A720EB" w:rsidRDefault="0030286B">
            <w:pPr>
              <w:pStyle w:val="TableParagraph"/>
              <w:spacing w:line="264" w:lineRule="exact"/>
              <w:rPr>
                <w:sz w:val="21"/>
              </w:rPr>
            </w:pPr>
            <w:r>
              <w:rPr>
                <w:color w:val="B02045"/>
                <w:sz w:val="21"/>
              </w:rPr>
              <w:t>%</w:t>
            </w:r>
            <w:proofErr w:type="gramStart"/>
            <w:r>
              <w:rPr>
                <w:color w:val="B02045"/>
                <w:sz w:val="21"/>
              </w:rPr>
              <w:t>d{</w:t>
            </w:r>
            <w:proofErr w:type="gramEnd"/>
            <w:r>
              <w:rPr>
                <w:color w:val="B02045"/>
                <w:sz w:val="21"/>
              </w:rPr>
              <w:t>${LOG_DATEFORMAT_PA</w:t>
            </w:r>
          </w:p>
          <w:p w14:paraId="297A367D" w14:textId="77777777" w:rsidR="00A720EB" w:rsidRDefault="0030286B">
            <w:pPr>
              <w:pStyle w:val="TableParagraph"/>
              <w:spacing w:before="3" w:line="230" w:lineRule="auto"/>
              <w:ind w:right="619"/>
              <w:rPr>
                <w:sz w:val="21"/>
              </w:rPr>
            </w:pPr>
            <w:proofErr w:type="gramStart"/>
            <w:r>
              <w:rPr>
                <w:color w:val="B02045"/>
                <w:sz w:val="21"/>
              </w:rPr>
              <w:t>TTERN:-</w:t>
            </w:r>
            <w:proofErr w:type="gramEnd"/>
            <w:r>
              <w:rPr>
                <w:color w:val="B02045"/>
                <w:sz w:val="21"/>
              </w:rPr>
              <w:t>yyyy-MM-dd HH:mm:ss.SSS}}</w:t>
            </w:r>
          </w:p>
          <w:p w14:paraId="50891DF8" w14:textId="77777777" w:rsidR="00A720EB" w:rsidRDefault="0030286B">
            <w:pPr>
              <w:pStyle w:val="TableParagraph"/>
              <w:spacing w:before="0" w:line="257" w:lineRule="exact"/>
              <w:rPr>
                <w:sz w:val="21"/>
              </w:rPr>
            </w:pPr>
            <w:r>
              <w:rPr>
                <w:color w:val="B02045"/>
                <w:sz w:val="21"/>
              </w:rPr>
              <w:t>${LOG_LEVEL_</w:t>
            </w:r>
            <w:proofErr w:type="gramStart"/>
            <w:r>
              <w:rPr>
                <w:color w:val="B02045"/>
                <w:sz w:val="21"/>
              </w:rPr>
              <w:t>PATTERN:-</w:t>
            </w:r>
            <w:proofErr w:type="gramEnd"/>
          </w:p>
          <w:p w14:paraId="374F94A7" w14:textId="77777777" w:rsidR="00A720EB" w:rsidRDefault="0030286B">
            <w:pPr>
              <w:pStyle w:val="TableParagraph"/>
              <w:spacing w:before="0" w:line="259" w:lineRule="exact"/>
              <w:rPr>
                <w:sz w:val="21"/>
              </w:rPr>
            </w:pPr>
            <w:r>
              <w:rPr>
                <w:color w:val="B02045"/>
                <w:sz w:val="21"/>
              </w:rPr>
              <w:t>%5p} ${</w:t>
            </w:r>
            <w:proofErr w:type="gramStart"/>
            <w:r>
              <w:rPr>
                <w:color w:val="B02045"/>
                <w:sz w:val="21"/>
              </w:rPr>
              <w:t>PID:-</w:t>
            </w:r>
            <w:proofErr w:type="gramEnd"/>
            <w:r>
              <w:rPr>
                <w:color w:val="B02045"/>
                <w:sz w:val="21"/>
              </w:rPr>
              <w:t xml:space="preserve"> } ---</w:t>
            </w:r>
          </w:p>
          <w:p w14:paraId="0306912E" w14:textId="77777777" w:rsidR="00A720EB" w:rsidRDefault="0030286B">
            <w:pPr>
              <w:pStyle w:val="TableParagraph"/>
              <w:spacing w:before="0" w:line="259" w:lineRule="exact"/>
              <w:rPr>
                <w:sz w:val="21"/>
              </w:rPr>
            </w:pPr>
            <w:r>
              <w:rPr>
                <w:color w:val="B02045"/>
                <w:sz w:val="21"/>
              </w:rPr>
              <w:t>[%t] %-40.40</w:t>
            </w:r>
            <w:proofErr w:type="gramStart"/>
            <w:r>
              <w:rPr>
                <w:color w:val="B02045"/>
                <w:sz w:val="21"/>
              </w:rPr>
              <w:t>logger{</w:t>
            </w:r>
            <w:proofErr w:type="gramEnd"/>
            <w:r>
              <w:rPr>
                <w:color w:val="B02045"/>
                <w:sz w:val="21"/>
              </w:rPr>
              <w:t>39}</w:t>
            </w:r>
          </w:p>
          <w:p w14:paraId="2DFC4244" w14:textId="77777777" w:rsidR="00A720EB" w:rsidRDefault="0030286B">
            <w:pPr>
              <w:pStyle w:val="TableParagraph"/>
              <w:spacing w:before="0" w:line="259" w:lineRule="exact"/>
              <w:rPr>
                <w:sz w:val="21"/>
              </w:rPr>
            </w:pPr>
            <w:r>
              <w:rPr>
                <w:color w:val="B02045"/>
                <w:sz w:val="21"/>
              </w:rPr>
              <w:t>:</w:t>
            </w:r>
          </w:p>
          <w:p w14:paraId="4186F928" w14:textId="77777777" w:rsidR="00A720EB" w:rsidRDefault="0030286B">
            <w:pPr>
              <w:pStyle w:val="TableParagraph"/>
              <w:spacing w:before="3" w:line="230" w:lineRule="auto"/>
              <w:ind w:right="113"/>
              <w:rPr>
                <w:sz w:val="21"/>
              </w:rPr>
            </w:pPr>
            <w:r>
              <w:rPr>
                <w:color w:val="B02045"/>
                <w:sz w:val="21"/>
              </w:rPr>
              <w:t>%m%n${LOG_EXCEPTION_CO NVERSION_</w:t>
            </w:r>
            <w:proofErr w:type="gramStart"/>
            <w:r>
              <w:rPr>
                <w:color w:val="B02045"/>
                <w:sz w:val="21"/>
              </w:rPr>
              <w:t>WORD:-</w:t>
            </w:r>
            <w:proofErr w:type="gramEnd"/>
            <w:r>
              <w:rPr>
                <w:color w:val="B02045"/>
                <w:sz w:val="21"/>
              </w:rPr>
              <w:t>%wEx}</w:t>
            </w:r>
          </w:p>
        </w:tc>
        <w:tc>
          <w:tcPr>
            <w:tcW w:w="4988" w:type="dxa"/>
          </w:tcPr>
          <w:p w14:paraId="721144D3" w14:textId="77777777" w:rsidR="00A720EB" w:rsidRDefault="0030286B">
            <w:pPr>
              <w:pStyle w:val="TableParagraph"/>
              <w:spacing w:before="92" w:line="307" w:lineRule="auto"/>
              <w:rPr>
                <w:rFonts w:ascii="Cambria"/>
                <w:sz w:val="21"/>
              </w:rPr>
            </w:pPr>
            <w:r>
              <w:rPr>
                <w:rFonts w:ascii="Cambria"/>
                <w:color w:val="333333"/>
                <w:w w:val="110"/>
                <w:sz w:val="21"/>
              </w:rPr>
              <w:t>Appender pattern for output to a file. Supported only with the default Logback setup.</w:t>
            </w:r>
          </w:p>
        </w:tc>
      </w:tr>
      <w:tr w:rsidR="00A720EB" w14:paraId="243A8E9F" w14:textId="77777777">
        <w:trPr>
          <w:trHeight w:val="741"/>
        </w:trPr>
        <w:tc>
          <w:tcPr>
            <w:tcW w:w="2494" w:type="dxa"/>
          </w:tcPr>
          <w:p w14:paraId="250F47EE" w14:textId="77777777" w:rsidR="00A720EB" w:rsidRDefault="0030286B">
            <w:pPr>
              <w:pStyle w:val="TableParagraph"/>
              <w:spacing w:before="37"/>
              <w:rPr>
                <w:sz w:val="21"/>
              </w:rPr>
            </w:pPr>
            <w:proofErr w:type="gramStart"/>
            <w:r>
              <w:rPr>
                <w:color w:val="B02045"/>
                <w:sz w:val="21"/>
              </w:rPr>
              <w:t>logging.pattern</w:t>
            </w:r>
            <w:proofErr w:type="gramEnd"/>
            <w:r>
              <w:rPr>
                <w:color w:val="B02045"/>
                <w:sz w:val="21"/>
              </w:rPr>
              <w:t>.level</w:t>
            </w:r>
          </w:p>
        </w:tc>
        <w:tc>
          <w:tcPr>
            <w:tcW w:w="2494" w:type="dxa"/>
          </w:tcPr>
          <w:p w14:paraId="56473F57" w14:textId="77777777" w:rsidR="00A720EB" w:rsidRDefault="0030286B">
            <w:pPr>
              <w:pStyle w:val="TableParagraph"/>
              <w:spacing w:before="37"/>
              <w:rPr>
                <w:sz w:val="21"/>
              </w:rPr>
            </w:pPr>
            <w:r>
              <w:rPr>
                <w:color w:val="B02045"/>
                <w:sz w:val="21"/>
              </w:rPr>
              <w:t>%5p</w:t>
            </w:r>
          </w:p>
        </w:tc>
        <w:tc>
          <w:tcPr>
            <w:tcW w:w="4988" w:type="dxa"/>
          </w:tcPr>
          <w:p w14:paraId="0655CA32" w14:textId="77777777" w:rsidR="00A720EB" w:rsidRDefault="0030286B">
            <w:pPr>
              <w:pStyle w:val="TableParagraph"/>
              <w:spacing w:before="28" w:line="310" w:lineRule="atLeast"/>
              <w:rPr>
                <w:rFonts w:ascii="Cambria"/>
                <w:sz w:val="21"/>
              </w:rPr>
            </w:pPr>
            <w:r>
              <w:rPr>
                <w:rFonts w:ascii="Cambria"/>
                <w:color w:val="333333"/>
                <w:w w:val="110"/>
                <w:sz w:val="21"/>
              </w:rPr>
              <w:t>Appender pattern for log level. Supported only with the default Logback setup.</w:t>
            </w:r>
          </w:p>
        </w:tc>
      </w:tr>
      <w:tr w:rsidR="00A720EB" w14:paraId="2FFB359C" w14:textId="77777777">
        <w:trPr>
          <w:trHeight w:val="741"/>
        </w:trPr>
        <w:tc>
          <w:tcPr>
            <w:tcW w:w="2494" w:type="dxa"/>
          </w:tcPr>
          <w:p w14:paraId="757E34E9" w14:textId="77777777" w:rsidR="00A720EB" w:rsidRDefault="0030286B">
            <w:pPr>
              <w:pStyle w:val="TableParagraph"/>
              <w:spacing w:before="46" w:line="230" w:lineRule="auto"/>
              <w:ind w:right="113"/>
              <w:rPr>
                <w:sz w:val="21"/>
              </w:rPr>
            </w:pPr>
            <w:proofErr w:type="gramStart"/>
            <w:r>
              <w:rPr>
                <w:color w:val="B02045"/>
                <w:sz w:val="21"/>
              </w:rPr>
              <w:t>logging.pattern</w:t>
            </w:r>
            <w:proofErr w:type="gramEnd"/>
            <w:r>
              <w:rPr>
                <w:color w:val="B02045"/>
                <w:sz w:val="21"/>
              </w:rPr>
              <w:t>.rollin g-file-name</w:t>
            </w:r>
          </w:p>
        </w:tc>
        <w:tc>
          <w:tcPr>
            <w:tcW w:w="2494" w:type="dxa"/>
          </w:tcPr>
          <w:p w14:paraId="05C0D5F8" w14:textId="77777777" w:rsidR="00A720EB" w:rsidRDefault="0030286B">
            <w:pPr>
              <w:pStyle w:val="TableParagraph"/>
              <w:spacing w:before="46" w:line="230" w:lineRule="auto"/>
              <w:ind w:right="323"/>
              <w:rPr>
                <w:sz w:val="21"/>
              </w:rPr>
            </w:pPr>
            <w:r>
              <w:rPr>
                <w:color w:val="B02045"/>
                <w:sz w:val="21"/>
              </w:rPr>
              <w:t>${LOG_FILE</w:t>
            </w:r>
            <w:proofErr w:type="gramStart"/>
            <w:r>
              <w:rPr>
                <w:color w:val="B02045"/>
                <w:sz w:val="21"/>
              </w:rPr>
              <w:t>}.%</w:t>
            </w:r>
            <w:proofErr w:type="gramEnd"/>
            <w:r>
              <w:rPr>
                <w:color w:val="B02045"/>
                <w:sz w:val="21"/>
              </w:rPr>
              <w:t>d{yyyy- MM-dd}.%i.gz</w:t>
            </w:r>
          </w:p>
        </w:tc>
        <w:tc>
          <w:tcPr>
            <w:tcW w:w="4988" w:type="dxa"/>
          </w:tcPr>
          <w:p w14:paraId="51DD405E" w14:textId="77777777" w:rsidR="00A720EB" w:rsidRDefault="0030286B">
            <w:pPr>
              <w:pStyle w:val="TableParagraph"/>
              <w:spacing w:before="28" w:line="310" w:lineRule="atLeast"/>
              <w:rPr>
                <w:rFonts w:ascii="Cambria"/>
                <w:sz w:val="21"/>
              </w:rPr>
            </w:pPr>
            <w:r>
              <w:rPr>
                <w:rFonts w:ascii="Cambria"/>
                <w:color w:val="333333"/>
                <w:w w:val="110"/>
                <w:sz w:val="21"/>
              </w:rPr>
              <w:t>Pattern for rolled-over log file names. Supported only with the default Logback setup.</w:t>
            </w:r>
          </w:p>
        </w:tc>
      </w:tr>
      <w:tr w:rsidR="00A720EB" w14:paraId="03F45FEE" w14:textId="77777777">
        <w:trPr>
          <w:trHeight w:val="741"/>
        </w:trPr>
        <w:tc>
          <w:tcPr>
            <w:tcW w:w="2494" w:type="dxa"/>
          </w:tcPr>
          <w:p w14:paraId="534464E2" w14:textId="77777777" w:rsidR="00A720EB" w:rsidRDefault="0030286B">
            <w:pPr>
              <w:pStyle w:val="TableParagraph"/>
              <w:spacing w:before="46" w:line="230" w:lineRule="auto"/>
              <w:ind w:right="638"/>
              <w:rPr>
                <w:sz w:val="21"/>
              </w:rPr>
            </w:pPr>
            <w:proofErr w:type="gramStart"/>
            <w:r>
              <w:rPr>
                <w:color w:val="B02045"/>
                <w:sz w:val="21"/>
              </w:rPr>
              <w:t>logging.register</w:t>
            </w:r>
            <w:proofErr w:type="gramEnd"/>
            <w:r>
              <w:rPr>
                <w:color w:val="B02045"/>
                <w:sz w:val="21"/>
              </w:rPr>
              <w:t>- shutdown-hook</w:t>
            </w:r>
          </w:p>
        </w:tc>
        <w:tc>
          <w:tcPr>
            <w:tcW w:w="2494" w:type="dxa"/>
          </w:tcPr>
          <w:p w14:paraId="01DF0952" w14:textId="77777777" w:rsidR="00A720EB" w:rsidRDefault="0030286B">
            <w:pPr>
              <w:pStyle w:val="TableParagraph"/>
              <w:rPr>
                <w:sz w:val="21"/>
              </w:rPr>
            </w:pPr>
            <w:r>
              <w:rPr>
                <w:color w:val="B02045"/>
                <w:sz w:val="21"/>
              </w:rPr>
              <w:t>false</w:t>
            </w:r>
          </w:p>
        </w:tc>
        <w:tc>
          <w:tcPr>
            <w:tcW w:w="4988" w:type="dxa"/>
          </w:tcPr>
          <w:p w14:paraId="647552BF" w14:textId="77777777" w:rsidR="00A720EB" w:rsidRDefault="0030286B">
            <w:pPr>
              <w:pStyle w:val="TableParagraph"/>
              <w:spacing w:before="28" w:line="310" w:lineRule="atLeast"/>
              <w:rPr>
                <w:rFonts w:ascii="Cambria"/>
                <w:sz w:val="21"/>
              </w:rPr>
            </w:pPr>
            <w:r>
              <w:rPr>
                <w:rFonts w:ascii="Cambria"/>
                <w:color w:val="333333"/>
                <w:w w:val="110"/>
                <w:sz w:val="21"/>
              </w:rPr>
              <w:t>Register a shutdown hook for the logging system when it is initialized.</w:t>
            </w:r>
          </w:p>
        </w:tc>
      </w:tr>
      <w:tr w:rsidR="00A720EB" w14:paraId="7531EB9F" w14:textId="77777777">
        <w:trPr>
          <w:trHeight w:val="425"/>
        </w:trPr>
        <w:tc>
          <w:tcPr>
            <w:tcW w:w="2494" w:type="dxa"/>
          </w:tcPr>
          <w:p w14:paraId="5110DF36" w14:textId="77777777" w:rsidR="00A720EB" w:rsidRDefault="0030286B">
            <w:pPr>
              <w:pStyle w:val="TableParagraph"/>
              <w:rPr>
                <w:sz w:val="21"/>
              </w:rPr>
            </w:pPr>
            <w:proofErr w:type="gramStart"/>
            <w:r>
              <w:rPr>
                <w:color w:val="B02045"/>
                <w:sz w:val="21"/>
              </w:rPr>
              <w:t>spring.aop.auto</w:t>
            </w:r>
            <w:proofErr w:type="gramEnd"/>
          </w:p>
        </w:tc>
        <w:tc>
          <w:tcPr>
            <w:tcW w:w="2494" w:type="dxa"/>
          </w:tcPr>
          <w:p w14:paraId="0F500BD6" w14:textId="77777777" w:rsidR="00A720EB" w:rsidRDefault="0030286B">
            <w:pPr>
              <w:pStyle w:val="TableParagraph"/>
              <w:rPr>
                <w:sz w:val="21"/>
              </w:rPr>
            </w:pPr>
            <w:r>
              <w:rPr>
                <w:color w:val="B02045"/>
                <w:sz w:val="21"/>
              </w:rPr>
              <w:t>true</w:t>
            </w:r>
          </w:p>
        </w:tc>
        <w:tc>
          <w:tcPr>
            <w:tcW w:w="4988" w:type="dxa"/>
          </w:tcPr>
          <w:p w14:paraId="0CE2D5D4" w14:textId="77777777" w:rsidR="00A720EB" w:rsidRDefault="0030286B">
            <w:pPr>
              <w:pStyle w:val="TableParagraph"/>
              <w:spacing w:before="92"/>
              <w:rPr>
                <w:rFonts w:ascii="Cambria"/>
                <w:sz w:val="21"/>
              </w:rPr>
            </w:pPr>
            <w:r>
              <w:rPr>
                <w:rFonts w:ascii="Cambria"/>
                <w:color w:val="333333"/>
                <w:w w:val="110"/>
                <w:sz w:val="21"/>
              </w:rPr>
              <w:t>Add @EnableAspectJAutoProxy.</w:t>
            </w:r>
          </w:p>
        </w:tc>
      </w:tr>
      <w:tr w:rsidR="00A720EB" w14:paraId="5F5427DC" w14:textId="77777777">
        <w:trPr>
          <w:trHeight w:val="1056"/>
        </w:trPr>
        <w:tc>
          <w:tcPr>
            <w:tcW w:w="2494" w:type="dxa"/>
          </w:tcPr>
          <w:p w14:paraId="17292927" w14:textId="77777777" w:rsidR="00A720EB" w:rsidRDefault="0030286B">
            <w:pPr>
              <w:pStyle w:val="TableParagraph"/>
              <w:spacing w:before="46" w:line="230" w:lineRule="auto"/>
              <w:ind w:right="638"/>
              <w:rPr>
                <w:sz w:val="21"/>
              </w:rPr>
            </w:pPr>
            <w:proofErr w:type="gramStart"/>
            <w:r>
              <w:rPr>
                <w:color w:val="B02045"/>
                <w:sz w:val="21"/>
              </w:rPr>
              <w:t>spring.aop.proxy</w:t>
            </w:r>
            <w:proofErr w:type="gramEnd"/>
            <w:r>
              <w:rPr>
                <w:color w:val="B02045"/>
                <w:sz w:val="21"/>
              </w:rPr>
              <w:t>- target-class</w:t>
            </w:r>
          </w:p>
        </w:tc>
        <w:tc>
          <w:tcPr>
            <w:tcW w:w="2494" w:type="dxa"/>
          </w:tcPr>
          <w:p w14:paraId="211C7059" w14:textId="77777777" w:rsidR="00A720EB" w:rsidRDefault="0030286B">
            <w:pPr>
              <w:pStyle w:val="TableParagraph"/>
              <w:rPr>
                <w:sz w:val="21"/>
              </w:rPr>
            </w:pPr>
            <w:r>
              <w:rPr>
                <w:color w:val="B02045"/>
                <w:sz w:val="21"/>
              </w:rPr>
              <w:t>true</w:t>
            </w:r>
          </w:p>
        </w:tc>
        <w:tc>
          <w:tcPr>
            <w:tcW w:w="4988" w:type="dxa"/>
          </w:tcPr>
          <w:p w14:paraId="5B0EBC21" w14:textId="77777777" w:rsidR="00A720EB" w:rsidRDefault="0030286B">
            <w:pPr>
              <w:pStyle w:val="TableParagraph"/>
              <w:spacing w:before="28" w:line="310" w:lineRule="atLeast"/>
              <w:ind w:right="247"/>
              <w:rPr>
                <w:rFonts w:ascii="Cambria"/>
                <w:sz w:val="21"/>
              </w:rPr>
            </w:pPr>
            <w:r>
              <w:rPr>
                <w:rFonts w:ascii="Cambria"/>
                <w:color w:val="333333"/>
                <w:w w:val="110"/>
                <w:sz w:val="21"/>
              </w:rPr>
              <w:t>Whether subclass-based (CGLIB) proxies are to be created (true), as opposed to standard Java interface-based proxies (false).</w:t>
            </w:r>
          </w:p>
        </w:tc>
      </w:tr>
      <w:tr w:rsidR="00A720EB" w14:paraId="188617BE" w14:textId="77777777">
        <w:trPr>
          <w:trHeight w:val="741"/>
        </w:trPr>
        <w:tc>
          <w:tcPr>
            <w:tcW w:w="2494" w:type="dxa"/>
          </w:tcPr>
          <w:p w14:paraId="3A8A1603" w14:textId="77777777" w:rsidR="00A720EB" w:rsidRDefault="0030286B">
            <w:pPr>
              <w:pStyle w:val="TableParagraph"/>
              <w:spacing w:before="46" w:line="230" w:lineRule="auto"/>
              <w:ind w:right="94"/>
              <w:rPr>
                <w:sz w:val="21"/>
              </w:rPr>
            </w:pPr>
            <w:r>
              <w:rPr>
                <w:color w:val="B02045"/>
                <w:sz w:val="21"/>
              </w:rPr>
              <w:t xml:space="preserve">spring.application.adm </w:t>
            </w:r>
            <w:proofErr w:type="gramStart"/>
            <w:r>
              <w:rPr>
                <w:color w:val="B02045"/>
                <w:sz w:val="21"/>
              </w:rPr>
              <w:t>in.enabled</w:t>
            </w:r>
            <w:proofErr w:type="gramEnd"/>
          </w:p>
        </w:tc>
        <w:tc>
          <w:tcPr>
            <w:tcW w:w="2494" w:type="dxa"/>
          </w:tcPr>
          <w:p w14:paraId="5E7B4AED" w14:textId="77777777" w:rsidR="00A720EB" w:rsidRDefault="0030286B">
            <w:pPr>
              <w:pStyle w:val="TableParagraph"/>
              <w:rPr>
                <w:sz w:val="21"/>
              </w:rPr>
            </w:pPr>
            <w:r>
              <w:rPr>
                <w:color w:val="B02045"/>
                <w:sz w:val="21"/>
              </w:rPr>
              <w:t>false</w:t>
            </w:r>
          </w:p>
        </w:tc>
        <w:tc>
          <w:tcPr>
            <w:tcW w:w="4988" w:type="dxa"/>
          </w:tcPr>
          <w:p w14:paraId="3AF65E22" w14:textId="77777777" w:rsidR="00A720EB" w:rsidRDefault="0030286B">
            <w:pPr>
              <w:pStyle w:val="TableParagraph"/>
              <w:spacing w:before="28" w:line="310" w:lineRule="atLeast"/>
              <w:rPr>
                <w:rFonts w:ascii="Cambria"/>
                <w:sz w:val="21"/>
              </w:rPr>
            </w:pPr>
            <w:r>
              <w:rPr>
                <w:rFonts w:ascii="Cambria"/>
                <w:color w:val="333333"/>
                <w:w w:val="110"/>
                <w:sz w:val="21"/>
              </w:rPr>
              <w:t>Whether to enable admin features for the application.</w:t>
            </w:r>
          </w:p>
        </w:tc>
      </w:tr>
      <w:tr w:rsidR="00A720EB" w14:paraId="2867995D" w14:textId="77777777">
        <w:trPr>
          <w:trHeight w:val="886"/>
        </w:trPr>
        <w:tc>
          <w:tcPr>
            <w:tcW w:w="2494" w:type="dxa"/>
          </w:tcPr>
          <w:p w14:paraId="6B49A23F" w14:textId="77777777" w:rsidR="00A720EB" w:rsidRDefault="0030286B">
            <w:pPr>
              <w:pStyle w:val="TableParagraph"/>
              <w:spacing w:before="46" w:line="230" w:lineRule="auto"/>
              <w:ind w:right="113"/>
              <w:rPr>
                <w:sz w:val="21"/>
              </w:rPr>
            </w:pPr>
            <w:r>
              <w:rPr>
                <w:color w:val="B02045"/>
                <w:sz w:val="21"/>
              </w:rPr>
              <w:lastRenderedPageBreak/>
              <w:t>spring.application.adm in.jmx-name</w:t>
            </w:r>
          </w:p>
        </w:tc>
        <w:tc>
          <w:tcPr>
            <w:tcW w:w="2494" w:type="dxa"/>
          </w:tcPr>
          <w:p w14:paraId="02E23D02" w14:textId="77777777" w:rsidR="00A720EB" w:rsidRDefault="0030286B">
            <w:pPr>
              <w:pStyle w:val="TableParagraph"/>
              <w:spacing w:before="46" w:line="230" w:lineRule="auto"/>
              <w:ind w:right="113"/>
              <w:jc w:val="both"/>
              <w:rPr>
                <w:sz w:val="21"/>
              </w:rPr>
            </w:pPr>
            <w:r>
              <w:rPr>
                <w:color w:val="B02045"/>
                <w:sz w:val="21"/>
              </w:rPr>
              <w:t xml:space="preserve">org.springframework.bo </w:t>
            </w:r>
            <w:proofErr w:type="gramStart"/>
            <w:r>
              <w:rPr>
                <w:color w:val="B02045"/>
                <w:sz w:val="21"/>
              </w:rPr>
              <w:t>ot:type</w:t>
            </w:r>
            <w:proofErr w:type="gramEnd"/>
            <w:r>
              <w:rPr>
                <w:color w:val="B02045"/>
                <w:sz w:val="21"/>
              </w:rPr>
              <w:t>=Admin,name=Spr ingApplication</w:t>
            </w:r>
          </w:p>
        </w:tc>
        <w:tc>
          <w:tcPr>
            <w:tcW w:w="4988" w:type="dxa"/>
          </w:tcPr>
          <w:p w14:paraId="3C4B1B6B" w14:textId="77777777" w:rsidR="00A720EB" w:rsidRDefault="0030286B">
            <w:pPr>
              <w:pStyle w:val="TableParagraph"/>
              <w:spacing w:before="92"/>
              <w:rPr>
                <w:rFonts w:ascii="Cambria"/>
                <w:sz w:val="21"/>
              </w:rPr>
            </w:pPr>
            <w:r>
              <w:rPr>
                <w:rFonts w:ascii="Cambria"/>
                <w:color w:val="333333"/>
                <w:w w:val="115"/>
                <w:sz w:val="21"/>
              </w:rPr>
              <w:t>JMX name of the application admin MBean.</w:t>
            </w:r>
          </w:p>
        </w:tc>
      </w:tr>
      <w:tr w:rsidR="00A720EB" w14:paraId="018F619D" w14:textId="77777777">
        <w:trPr>
          <w:trHeight w:val="627"/>
        </w:trPr>
        <w:tc>
          <w:tcPr>
            <w:tcW w:w="2494" w:type="dxa"/>
          </w:tcPr>
          <w:p w14:paraId="297345D3" w14:textId="77777777" w:rsidR="00A720EB" w:rsidRDefault="0030286B">
            <w:pPr>
              <w:pStyle w:val="TableParagraph"/>
              <w:spacing w:before="46" w:line="230" w:lineRule="auto"/>
              <w:ind w:right="94"/>
              <w:rPr>
                <w:sz w:val="21"/>
              </w:rPr>
            </w:pPr>
            <w:r>
              <w:rPr>
                <w:color w:val="B02045"/>
                <w:sz w:val="21"/>
              </w:rPr>
              <w:t>spring.application.nam e</w:t>
            </w:r>
          </w:p>
        </w:tc>
        <w:tc>
          <w:tcPr>
            <w:tcW w:w="2494" w:type="dxa"/>
          </w:tcPr>
          <w:p w14:paraId="464A7C9B" w14:textId="77777777" w:rsidR="00A720EB" w:rsidRDefault="00A720EB">
            <w:pPr>
              <w:pStyle w:val="TableParagraph"/>
              <w:spacing w:before="0"/>
              <w:ind w:left="0"/>
              <w:rPr>
                <w:rFonts w:ascii="Times New Roman"/>
                <w:sz w:val="20"/>
              </w:rPr>
            </w:pPr>
          </w:p>
        </w:tc>
        <w:tc>
          <w:tcPr>
            <w:tcW w:w="4988" w:type="dxa"/>
          </w:tcPr>
          <w:p w14:paraId="329B0EB1" w14:textId="77777777" w:rsidR="00A720EB" w:rsidRDefault="0030286B">
            <w:pPr>
              <w:pStyle w:val="TableParagraph"/>
              <w:spacing w:before="92"/>
              <w:rPr>
                <w:rFonts w:ascii="Cambria"/>
                <w:sz w:val="21"/>
              </w:rPr>
            </w:pPr>
            <w:r>
              <w:rPr>
                <w:rFonts w:ascii="Cambria"/>
                <w:color w:val="333333"/>
                <w:w w:val="115"/>
                <w:sz w:val="21"/>
              </w:rPr>
              <w:t>Application name.</w:t>
            </w:r>
          </w:p>
        </w:tc>
      </w:tr>
      <w:tr w:rsidR="00A720EB" w14:paraId="3F1346F0" w14:textId="77777777">
        <w:trPr>
          <w:trHeight w:val="627"/>
        </w:trPr>
        <w:tc>
          <w:tcPr>
            <w:tcW w:w="2494" w:type="dxa"/>
          </w:tcPr>
          <w:p w14:paraId="74A0782F" w14:textId="77777777" w:rsidR="00A720EB" w:rsidRDefault="0030286B">
            <w:pPr>
              <w:pStyle w:val="TableParagraph"/>
              <w:spacing w:before="46" w:line="230" w:lineRule="auto"/>
              <w:ind w:right="94"/>
              <w:rPr>
                <w:sz w:val="21"/>
              </w:rPr>
            </w:pPr>
            <w:proofErr w:type="gramStart"/>
            <w:r>
              <w:rPr>
                <w:color w:val="B02045"/>
                <w:sz w:val="21"/>
              </w:rPr>
              <w:t>spring.autoconfigure</w:t>
            </w:r>
            <w:proofErr w:type="gramEnd"/>
            <w:r>
              <w:rPr>
                <w:color w:val="B02045"/>
                <w:sz w:val="21"/>
              </w:rPr>
              <w:t>.e xclude</w:t>
            </w:r>
          </w:p>
        </w:tc>
        <w:tc>
          <w:tcPr>
            <w:tcW w:w="2494" w:type="dxa"/>
          </w:tcPr>
          <w:p w14:paraId="4B2F8D19" w14:textId="77777777" w:rsidR="00A720EB" w:rsidRDefault="00A720EB">
            <w:pPr>
              <w:pStyle w:val="TableParagraph"/>
              <w:spacing w:before="0"/>
              <w:ind w:left="0"/>
              <w:rPr>
                <w:rFonts w:ascii="Times New Roman"/>
                <w:sz w:val="20"/>
              </w:rPr>
            </w:pPr>
          </w:p>
        </w:tc>
        <w:tc>
          <w:tcPr>
            <w:tcW w:w="4988" w:type="dxa"/>
          </w:tcPr>
          <w:p w14:paraId="7A44DE5B" w14:textId="77777777" w:rsidR="00A720EB" w:rsidRDefault="0030286B">
            <w:pPr>
              <w:pStyle w:val="TableParagraph"/>
              <w:spacing w:before="92"/>
              <w:rPr>
                <w:rFonts w:ascii="Cambria"/>
                <w:sz w:val="21"/>
              </w:rPr>
            </w:pPr>
            <w:r>
              <w:rPr>
                <w:rFonts w:ascii="Cambria"/>
                <w:color w:val="333333"/>
                <w:w w:val="110"/>
                <w:sz w:val="21"/>
              </w:rPr>
              <w:t>Auto-configuration classes to exclude.</w:t>
            </w:r>
          </w:p>
        </w:tc>
      </w:tr>
      <w:tr w:rsidR="00A720EB" w14:paraId="25F2FEF6" w14:textId="77777777">
        <w:trPr>
          <w:trHeight w:val="425"/>
        </w:trPr>
        <w:tc>
          <w:tcPr>
            <w:tcW w:w="2494" w:type="dxa"/>
          </w:tcPr>
          <w:p w14:paraId="61954505" w14:textId="77777777" w:rsidR="00A720EB" w:rsidRDefault="0030286B">
            <w:pPr>
              <w:pStyle w:val="TableParagraph"/>
              <w:rPr>
                <w:sz w:val="21"/>
              </w:rPr>
            </w:pPr>
            <w:proofErr w:type="gramStart"/>
            <w:r>
              <w:rPr>
                <w:color w:val="B02045"/>
                <w:sz w:val="21"/>
              </w:rPr>
              <w:t>spring.banner</w:t>
            </w:r>
            <w:proofErr w:type="gramEnd"/>
            <w:r>
              <w:rPr>
                <w:color w:val="B02045"/>
                <w:sz w:val="21"/>
              </w:rPr>
              <w:t>.charset</w:t>
            </w:r>
          </w:p>
        </w:tc>
        <w:tc>
          <w:tcPr>
            <w:tcW w:w="2494" w:type="dxa"/>
          </w:tcPr>
          <w:p w14:paraId="3685B6DF" w14:textId="77777777" w:rsidR="00A720EB" w:rsidRDefault="0030286B">
            <w:pPr>
              <w:pStyle w:val="TableParagraph"/>
              <w:rPr>
                <w:sz w:val="21"/>
              </w:rPr>
            </w:pPr>
            <w:r>
              <w:rPr>
                <w:color w:val="B02045"/>
                <w:sz w:val="21"/>
              </w:rPr>
              <w:t>UTF-8</w:t>
            </w:r>
          </w:p>
        </w:tc>
        <w:tc>
          <w:tcPr>
            <w:tcW w:w="4988" w:type="dxa"/>
          </w:tcPr>
          <w:p w14:paraId="42C54BA0" w14:textId="77777777" w:rsidR="00A720EB" w:rsidRDefault="0030286B">
            <w:pPr>
              <w:pStyle w:val="TableParagraph"/>
              <w:spacing w:before="92"/>
              <w:rPr>
                <w:rFonts w:ascii="Cambria"/>
                <w:sz w:val="21"/>
              </w:rPr>
            </w:pPr>
            <w:r>
              <w:rPr>
                <w:rFonts w:ascii="Cambria"/>
                <w:color w:val="333333"/>
                <w:w w:val="115"/>
                <w:sz w:val="21"/>
              </w:rPr>
              <w:t>Banner file encoding.</w:t>
            </w:r>
          </w:p>
        </w:tc>
      </w:tr>
    </w:tbl>
    <w:p w14:paraId="762BE1EE"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618F36E" w14:textId="77777777">
        <w:trPr>
          <w:trHeight w:val="415"/>
        </w:trPr>
        <w:tc>
          <w:tcPr>
            <w:tcW w:w="2494" w:type="dxa"/>
            <w:tcBorders>
              <w:bottom w:val="single" w:sz="12" w:space="0" w:color="DDDDDD"/>
            </w:tcBorders>
          </w:tcPr>
          <w:p w14:paraId="0C875B01"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FBAEC70"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10D4B93"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8352FD1" w14:textId="77777777">
        <w:trPr>
          <w:trHeight w:val="731"/>
        </w:trPr>
        <w:tc>
          <w:tcPr>
            <w:tcW w:w="2494" w:type="dxa"/>
            <w:tcBorders>
              <w:top w:val="single" w:sz="12" w:space="0" w:color="DDDDDD"/>
            </w:tcBorders>
          </w:tcPr>
          <w:p w14:paraId="363FC989" w14:textId="77777777" w:rsidR="00A720EB" w:rsidRDefault="0030286B">
            <w:pPr>
              <w:pStyle w:val="TableParagraph"/>
              <w:spacing w:before="36" w:line="230" w:lineRule="auto"/>
              <w:ind w:right="94"/>
              <w:rPr>
                <w:sz w:val="21"/>
              </w:rPr>
            </w:pPr>
            <w:r>
              <w:rPr>
                <w:color w:val="B02045"/>
                <w:sz w:val="21"/>
              </w:rPr>
              <w:t>spring.banner.image.bi tdepth</w:t>
            </w:r>
          </w:p>
        </w:tc>
        <w:tc>
          <w:tcPr>
            <w:tcW w:w="2494" w:type="dxa"/>
            <w:tcBorders>
              <w:top w:val="single" w:sz="12" w:space="0" w:color="DDDDDD"/>
            </w:tcBorders>
          </w:tcPr>
          <w:p w14:paraId="4823547A" w14:textId="77777777" w:rsidR="00A720EB" w:rsidRDefault="0030286B">
            <w:pPr>
              <w:pStyle w:val="TableParagraph"/>
              <w:spacing w:before="27"/>
              <w:rPr>
                <w:sz w:val="21"/>
              </w:rPr>
            </w:pPr>
            <w:r>
              <w:rPr>
                <w:color w:val="B02045"/>
                <w:sz w:val="21"/>
              </w:rPr>
              <w:t>4.0</w:t>
            </w:r>
          </w:p>
        </w:tc>
        <w:tc>
          <w:tcPr>
            <w:tcW w:w="4988" w:type="dxa"/>
            <w:tcBorders>
              <w:top w:val="single" w:sz="12" w:space="0" w:color="DDDDDD"/>
            </w:tcBorders>
          </w:tcPr>
          <w:p w14:paraId="0E6C9FA5" w14:textId="77777777" w:rsidR="00A720EB" w:rsidRDefault="0030286B">
            <w:pPr>
              <w:pStyle w:val="TableParagraph"/>
              <w:spacing w:before="18" w:line="310" w:lineRule="atLeast"/>
              <w:rPr>
                <w:rFonts w:ascii="Cambria"/>
                <w:sz w:val="21"/>
              </w:rPr>
            </w:pPr>
            <w:r>
              <w:rPr>
                <w:rFonts w:ascii="Cambria"/>
                <w:color w:val="333333"/>
                <w:w w:val="110"/>
                <w:sz w:val="21"/>
              </w:rPr>
              <w:t>The bit depth to use for ANSI colors. Supported values are 4 (16 color) or 8 (256 color).</w:t>
            </w:r>
          </w:p>
        </w:tc>
      </w:tr>
      <w:tr w:rsidR="00A720EB" w14:paraId="1CA1FBE3" w14:textId="77777777">
        <w:trPr>
          <w:trHeight w:val="741"/>
        </w:trPr>
        <w:tc>
          <w:tcPr>
            <w:tcW w:w="2494" w:type="dxa"/>
          </w:tcPr>
          <w:p w14:paraId="2B784B94" w14:textId="77777777" w:rsidR="00A720EB" w:rsidRDefault="0030286B">
            <w:pPr>
              <w:pStyle w:val="TableParagraph"/>
              <w:spacing w:before="46" w:line="230" w:lineRule="auto"/>
              <w:ind w:right="94"/>
              <w:rPr>
                <w:sz w:val="21"/>
              </w:rPr>
            </w:pPr>
            <w:proofErr w:type="gramStart"/>
            <w:r>
              <w:rPr>
                <w:color w:val="B02045"/>
                <w:sz w:val="21"/>
              </w:rPr>
              <w:t>spring.banner</w:t>
            </w:r>
            <w:proofErr w:type="gramEnd"/>
            <w:r>
              <w:rPr>
                <w:color w:val="B02045"/>
                <w:sz w:val="21"/>
              </w:rPr>
              <w:t>.image.he ight</w:t>
            </w:r>
          </w:p>
        </w:tc>
        <w:tc>
          <w:tcPr>
            <w:tcW w:w="2494" w:type="dxa"/>
          </w:tcPr>
          <w:p w14:paraId="40F840E9" w14:textId="77777777" w:rsidR="00A720EB" w:rsidRDefault="00A720EB">
            <w:pPr>
              <w:pStyle w:val="TableParagraph"/>
              <w:spacing w:before="0"/>
              <w:ind w:left="0"/>
              <w:rPr>
                <w:rFonts w:ascii="Times New Roman"/>
                <w:sz w:val="20"/>
              </w:rPr>
            </w:pPr>
          </w:p>
        </w:tc>
        <w:tc>
          <w:tcPr>
            <w:tcW w:w="4988" w:type="dxa"/>
          </w:tcPr>
          <w:p w14:paraId="0EDF03D0" w14:textId="77777777" w:rsidR="00A720EB" w:rsidRDefault="0030286B">
            <w:pPr>
              <w:pStyle w:val="TableParagraph"/>
              <w:spacing w:before="28" w:line="310" w:lineRule="atLeast"/>
              <w:ind w:right="372"/>
              <w:rPr>
                <w:rFonts w:ascii="Cambria"/>
                <w:sz w:val="21"/>
              </w:rPr>
            </w:pPr>
            <w:r>
              <w:rPr>
                <w:rFonts w:ascii="Cambria"/>
                <w:color w:val="333333"/>
                <w:w w:val="110"/>
                <w:sz w:val="21"/>
              </w:rPr>
              <w:t>Height of the banner image in chars (default based on image height).</w:t>
            </w:r>
          </w:p>
        </w:tc>
      </w:tr>
      <w:tr w:rsidR="00A720EB" w14:paraId="65CDD1A4" w14:textId="77777777">
        <w:trPr>
          <w:trHeight w:val="741"/>
        </w:trPr>
        <w:tc>
          <w:tcPr>
            <w:tcW w:w="2494" w:type="dxa"/>
          </w:tcPr>
          <w:p w14:paraId="0D48E538" w14:textId="77777777" w:rsidR="00A720EB" w:rsidRDefault="0030286B">
            <w:pPr>
              <w:pStyle w:val="TableParagraph"/>
              <w:spacing w:before="46" w:line="230" w:lineRule="auto"/>
              <w:ind w:right="94"/>
              <w:rPr>
                <w:sz w:val="21"/>
              </w:rPr>
            </w:pPr>
            <w:r>
              <w:rPr>
                <w:color w:val="B02045"/>
                <w:sz w:val="21"/>
              </w:rPr>
              <w:t>spring.banner.image.in vert</w:t>
            </w:r>
          </w:p>
        </w:tc>
        <w:tc>
          <w:tcPr>
            <w:tcW w:w="2494" w:type="dxa"/>
          </w:tcPr>
          <w:p w14:paraId="408E6033" w14:textId="77777777" w:rsidR="00A720EB" w:rsidRDefault="0030286B">
            <w:pPr>
              <w:pStyle w:val="TableParagraph"/>
              <w:spacing w:before="37"/>
              <w:rPr>
                <w:sz w:val="21"/>
              </w:rPr>
            </w:pPr>
            <w:r>
              <w:rPr>
                <w:color w:val="B02045"/>
                <w:sz w:val="21"/>
              </w:rPr>
              <w:t>false</w:t>
            </w:r>
          </w:p>
        </w:tc>
        <w:tc>
          <w:tcPr>
            <w:tcW w:w="4988" w:type="dxa"/>
          </w:tcPr>
          <w:p w14:paraId="310D499D" w14:textId="77777777" w:rsidR="00A720EB" w:rsidRDefault="0030286B">
            <w:pPr>
              <w:pStyle w:val="TableParagraph"/>
              <w:spacing w:before="28" w:line="310" w:lineRule="atLeast"/>
              <w:rPr>
                <w:rFonts w:ascii="Cambria"/>
                <w:sz w:val="21"/>
              </w:rPr>
            </w:pPr>
            <w:r>
              <w:rPr>
                <w:rFonts w:ascii="Cambria"/>
                <w:color w:val="333333"/>
                <w:w w:val="110"/>
                <w:sz w:val="21"/>
              </w:rPr>
              <w:t>Whether images should be inverted for dark terminal themes.</w:t>
            </w:r>
          </w:p>
        </w:tc>
      </w:tr>
      <w:tr w:rsidR="00A720EB" w14:paraId="4346F4F2" w14:textId="77777777">
        <w:trPr>
          <w:trHeight w:val="741"/>
        </w:trPr>
        <w:tc>
          <w:tcPr>
            <w:tcW w:w="2494" w:type="dxa"/>
          </w:tcPr>
          <w:p w14:paraId="23F076F8" w14:textId="77777777" w:rsidR="00A720EB" w:rsidRDefault="0030286B">
            <w:pPr>
              <w:pStyle w:val="TableParagraph"/>
              <w:spacing w:before="46" w:line="230" w:lineRule="auto"/>
              <w:ind w:right="94"/>
              <w:rPr>
                <w:sz w:val="21"/>
              </w:rPr>
            </w:pPr>
            <w:proofErr w:type="gramStart"/>
            <w:r>
              <w:rPr>
                <w:color w:val="B02045"/>
                <w:sz w:val="21"/>
              </w:rPr>
              <w:t>spring.banner</w:t>
            </w:r>
            <w:proofErr w:type="gramEnd"/>
            <w:r>
              <w:rPr>
                <w:color w:val="B02045"/>
                <w:sz w:val="21"/>
              </w:rPr>
              <w:t>.image.lo cation</w:t>
            </w:r>
          </w:p>
        </w:tc>
        <w:tc>
          <w:tcPr>
            <w:tcW w:w="2494" w:type="dxa"/>
          </w:tcPr>
          <w:p w14:paraId="5B10BB45" w14:textId="77777777" w:rsidR="00A720EB" w:rsidRDefault="0030286B">
            <w:pPr>
              <w:pStyle w:val="TableParagraph"/>
              <w:spacing w:before="37"/>
              <w:rPr>
                <w:sz w:val="21"/>
              </w:rPr>
            </w:pPr>
            <w:proofErr w:type="gramStart"/>
            <w:r>
              <w:rPr>
                <w:color w:val="B02045"/>
                <w:sz w:val="21"/>
              </w:rPr>
              <w:t>classpath:banner.gif</w:t>
            </w:r>
            <w:proofErr w:type="gramEnd"/>
          </w:p>
        </w:tc>
        <w:tc>
          <w:tcPr>
            <w:tcW w:w="4988" w:type="dxa"/>
          </w:tcPr>
          <w:p w14:paraId="2BED223B" w14:textId="77777777" w:rsidR="00A720EB" w:rsidRDefault="0030286B">
            <w:pPr>
              <w:pStyle w:val="TableParagraph"/>
              <w:spacing w:before="28" w:line="310" w:lineRule="atLeast"/>
              <w:ind w:right="218"/>
              <w:rPr>
                <w:rFonts w:ascii="Cambria"/>
                <w:sz w:val="21"/>
              </w:rPr>
            </w:pPr>
            <w:r>
              <w:rPr>
                <w:rFonts w:ascii="Cambria"/>
                <w:color w:val="333333"/>
                <w:w w:val="110"/>
                <w:sz w:val="21"/>
              </w:rPr>
              <w:t>Banner image file location (jpg or png can also be used).</w:t>
            </w:r>
          </w:p>
        </w:tc>
      </w:tr>
      <w:tr w:rsidR="00A720EB" w14:paraId="0762F8E4" w14:textId="77777777">
        <w:trPr>
          <w:trHeight w:val="627"/>
        </w:trPr>
        <w:tc>
          <w:tcPr>
            <w:tcW w:w="2494" w:type="dxa"/>
          </w:tcPr>
          <w:p w14:paraId="142FB4A5" w14:textId="77777777" w:rsidR="00A720EB" w:rsidRDefault="0030286B">
            <w:pPr>
              <w:pStyle w:val="TableParagraph"/>
              <w:spacing w:before="46" w:line="230" w:lineRule="auto"/>
              <w:ind w:right="94"/>
              <w:rPr>
                <w:sz w:val="21"/>
              </w:rPr>
            </w:pPr>
            <w:r>
              <w:rPr>
                <w:color w:val="B02045"/>
                <w:sz w:val="21"/>
              </w:rPr>
              <w:t>spring.banner.image.ma rgin</w:t>
            </w:r>
          </w:p>
        </w:tc>
        <w:tc>
          <w:tcPr>
            <w:tcW w:w="2494" w:type="dxa"/>
          </w:tcPr>
          <w:p w14:paraId="0531D16C" w14:textId="77777777" w:rsidR="00A720EB" w:rsidRDefault="0030286B">
            <w:pPr>
              <w:pStyle w:val="TableParagraph"/>
              <w:spacing w:before="37"/>
              <w:rPr>
                <w:sz w:val="21"/>
              </w:rPr>
            </w:pPr>
            <w:r>
              <w:rPr>
                <w:color w:val="B02045"/>
                <w:sz w:val="21"/>
              </w:rPr>
              <w:t>2.0</w:t>
            </w:r>
          </w:p>
        </w:tc>
        <w:tc>
          <w:tcPr>
            <w:tcW w:w="4988" w:type="dxa"/>
          </w:tcPr>
          <w:p w14:paraId="633BC78B" w14:textId="77777777" w:rsidR="00A720EB" w:rsidRDefault="0030286B">
            <w:pPr>
              <w:pStyle w:val="TableParagraph"/>
              <w:spacing w:before="92"/>
              <w:rPr>
                <w:rFonts w:ascii="Cambria"/>
                <w:sz w:val="21"/>
              </w:rPr>
            </w:pPr>
            <w:r>
              <w:rPr>
                <w:rFonts w:ascii="Cambria"/>
                <w:color w:val="333333"/>
                <w:w w:val="115"/>
                <w:sz w:val="21"/>
              </w:rPr>
              <w:t>Left hand image margin in chars.</w:t>
            </w:r>
          </w:p>
        </w:tc>
      </w:tr>
      <w:tr w:rsidR="00A720EB" w14:paraId="38714B91" w14:textId="77777777">
        <w:trPr>
          <w:trHeight w:val="741"/>
        </w:trPr>
        <w:tc>
          <w:tcPr>
            <w:tcW w:w="2494" w:type="dxa"/>
          </w:tcPr>
          <w:p w14:paraId="7AF2EAB0" w14:textId="77777777" w:rsidR="00A720EB" w:rsidRDefault="0030286B">
            <w:pPr>
              <w:pStyle w:val="TableParagraph"/>
              <w:spacing w:before="46" w:line="230" w:lineRule="auto"/>
              <w:ind w:right="94"/>
              <w:rPr>
                <w:sz w:val="21"/>
              </w:rPr>
            </w:pPr>
            <w:r>
              <w:rPr>
                <w:color w:val="B02045"/>
                <w:sz w:val="21"/>
              </w:rPr>
              <w:t>spring.banner.image.pi xelmode</w:t>
            </w:r>
          </w:p>
        </w:tc>
        <w:tc>
          <w:tcPr>
            <w:tcW w:w="2494" w:type="dxa"/>
          </w:tcPr>
          <w:p w14:paraId="5422540D" w14:textId="77777777" w:rsidR="00A720EB" w:rsidRDefault="0030286B">
            <w:pPr>
              <w:pStyle w:val="TableParagraph"/>
              <w:spacing w:before="37"/>
              <w:rPr>
                <w:sz w:val="21"/>
              </w:rPr>
            </w:pPr>
            <w:r>
              <w:rPr>
                <w:color w:val="B02045"/>
                <w:sz w:val="21"/>
              </w:rPr>
              <w:t>TEXT</w:t>
            </w:r>
          </w:p>
        </w:tc>
        <w:tc>
          <w:tcPr>
            <w:tcW w:w="4988" w:type="dxa"/>
          </w:tcPr>
          <w:p w14:paraId="43FF6923" w14:textId="77777777" w:rsidR="00A720EB" w:rsidRDefault="0030286B">
            <w:pPr>
              <w:pStyle w:val="TableParagraph"/>
              <w:spacing w:before="28" w:line="310" w:lineRule="atLeast"/>
              <w:ind w:right="372"/>
              <w:rPr>
                <w:rFonts w:ascii="Cambria"/>
                <w:sz w:val="21"/>
              </w:rPr>
            </w:pPr>
            <w:r>
              <w:rPr>
                <w:rFonts w:ascii="Cambria"/>
                <w:color w:val="333333"/>
                <w:w w:val="110"/>
                <w:sz w:val="21"/>
              </w:rPr>
              <w:t>The pixel mode to use when rendering the image.</w:t>
            </w:r>
          </w:p>
        </w:tc>
      </w:tr>
      <w:tr w:rsidR="00A720EB" w14:paraId="64C903A1" w14:textId="77777777">
        <w:trPr>
          <w:trHeight w:val="627"/>
        </w:trPr>
        <w:tc>
          <w:tcPr>
            <w:tcW w:w="2494" w:type="dxa"/>
          </w:tcPr>
          <w:p w14:paraId="6D6CCA12" w14:textId="77777777" w:rsidR="00A720EB" w:rsidRDefault="0030286B">
            <w:pPr>
              <w:pStyle w:val="TableParagraph"/>
              <w:spacing w:before="46" w:line="230" w:lineRule="auto"/>
              <w:ind w:right="94"/>
              <w:rPr>
                <w:sz w:val="21"/>
              </w:rPr>
            </w:pPr>
            <w:proofErr w:type="gramStart"/>
            <w:r>
              <w:rPr>
                <w:color w:val="B02045"/>
                <w:sz w:val="21"/>
              </w:rPr>
              <w:t>spring.banner</w:t>
            </w:r>
            <w:proofErr w:type="gramEnd"/>
            <w:r>
              <w:rPr>
                <w:color w:val="B02045"/>
                <w:sz w:val="21"/>
              </w:rPr>
              <w:t>.image.wi dth</w:t>
            </w:r>
          </w:p>
        </w:tc>
        <w:tc>
          <w:tcPr>
            <w:tcW w:w="2494" w:type="dxa"/>
          </w:tcPr>
          <w:p w14:paraId="019110ED" w14:textId="77777777" w:rsidR="00A720EB" w:rsidRDefault="0030286B">
            <w:pPr>
              <w:pStyle w:val="TableParagraph"/>
              <w:spacing w:before="37"/>
              <w:rPr>
                <w:sz w:val="21"/>
              </w:rPr>
            </w:pPr>
            <w:r>
              <w:rPr>
                <w:color w:val="B02045"/>
                <w:sz w:val="21"/>
              </w:rPr>
              <w:t>76.0</w:t>
            </w:r>
          </w:p>
        </w:tc>
        <w:tc>
          <w:tcPr>
            <w:tcW w:w="4988" w:type="dxa"/>
          </w:tcPr>
          <w:p w14:paraId="3542F54B" w14:textId="77777777" w:rsidR="00A720EB" w:rsidRDefault="0030286B">
            <w:pPr>
              <w:pStyle w:val="TableParagraph"/>
              <w:spacing w:before="92"/>
              <w:rPr>
                <w:rFonts w:ascii="Cambria"/>
                <w:sz w:val="21"/>
              </w:rPr>
            </w:pPr>
            <w:r>
              <w:rPr>
                <w:rFonts w:ascii="Cambria"/>
                <w:color w:val="333333"/>
                <w:w w:val="115"/>
                <w:sz w:val="21"/>
              </w:rPr>
              <w:t>Width of the banner image in chars.</w:t>
            </w:r>
          </w:p>
        </w:tc>
      </w:tr>
      <w:tr w:rsidR="00A720EB" w14:paraId="4ED172FE" w14:textId="77777777">
        <w:trPr>
          <w:trHeight w:val="425"/>
        </w:trPr>
        <w:tc>
          <w:tcPr>
            <w:tcW w:w="2494" w:type="dxa"/>
          </w:tcPr>
          <w:p w14:paraId="0E9D247A" w14:textId="77777777" w:rsidR="00A720EB" w:rsidRDefault="0030286B">
            <w:pPr>
              <w:pStyle w:val="TableParagraph"/>
              <w:spacing w:before="37"/>
              <w:rPr>
                <w:sz w:val="21"/>
              </w:rPr>
            </w:pPr>
            <w:proofErr w:type="gramStart"/>
            <w:r>
              <w:rPr>
                <w:color w:val="B02045"/>
                <w:sz w:val="21"/>
              </w:rPr>
              <w:t>spring.banner</w:t>
            </w:r>
            <w:proofErr w:type="gramEnd"/>
            <w:r>
              <w:rPr>
                <w:color w:val="B02045"/>
                <w:sz w:val="21"/>
              </w:rPr>
              <w:t>.location</w:t>
            </w:r>
          </w:p>
        </w:tc>
        <w:tc>
          <w:tcPr>
            <w:tcW w:w="2494" w:type="dxa"/>
          </w:tcPr>
          <w:p w14:paraId="3D8D042F" w14:textId="77777777" w:rsidR="00A720EB" w:rsidRDefault="0030286B">
            <w:pPr>
              <w:pStyle w:val="TableParagraph"/>
              <w:spacing w:before="37"/>
              <w:rPr>
                <w:sz w:val="21"/>
              </w:rPr>
            </w:pPr>
            <w:proofErr w:type="gramStart"/>
            <w:r>
              <w:rPr>
                <w:color w:val="B02045"/>
                <w:sz w:val="21"/>
              </w:rPr>
              <w:t>classpath:banner.txt</w:t>
            </w:r>
            <w:proofErr w:type="gramEnd"/>
          </w:p>
        </w:tc>
        <w:tc>
          <w:tcPr>
            <w:tcW w:w="4988" w:type="dxa"/>
          </w:tcPr>
          <w:p w14:paraId="65E64AD3" w14:textId="77777777" w:rsidR="00A720EB" w:rsidRDefault="0030286B">
            <w:pPr>
              <w:pStyle w:val="TableParagraph"/>
              <w:spacing w:before="92"/>
              <w:rPr>
                <w:rFonts w:ascii="Cambria"/>
                <w:sz w:val="21"/>
              </w:rPr>
            </w:pPr>
            <w:r>
              <w:rPr>
                <w:rFonts w:ascii="Cambria"/>
                <w:color w:val="333333"/>
                <w:w w:val="110"/>
                <w:sz w:val="21"/>
              </w:rPr>
              <w:t>Banner text resource location.</w:t>
            </w:r>
          </w:p>
        </w:tc>
      </w:tr>
      <w:tr w:rsidR="00A720EB" w14:paraId="0ADAFB3B" w14:textId="77777777">
        <w:trPr>
          <w:trHeight w:val="425"/>
        </w:trPr>
        <w:tc>
          <w:tcPr>
            <w:tcW w:w="2494" w:type="dxa"/>
          </w:tcPr>
          <w:p w14:paraId="54355B28" w14:textId="77777777" w:rsidR="00A720EB" w:rsidRDefault="0030286B">
            <w:pPr>
              <w:pStyle w:val="TableParagraph"/>
              <w:spacing w:before="37"/>
              <w:rPr>
                <w:sz w:val="21"/>
              </w:rPr>
            </w:pPr>
            <w:proofErr w:type="gramStart"/>
            <w:r>
              <w:rPr>
                <w:color w:val="B02045"/>
                <w:sz w:val="21"/>
              </w:rPr>
              <w:t>spring.beaninfo</w:t>
            </w:r>
            <w:proofErr w:type="gramEnd"/>
            <w:r>
              <w:rPr>
                <w:color w:val="B02045"/>
                <w:sz w:val="21"/>
              </w:rPr>
              <w:t>.ignore</w:t>
            </w:r>
          </w:p>
        </w:tc>
        <w:tc>
          <w:tcPr>
            <w:tcW w:w="2494" w:type="dxa"/>
          </w:tcPr>
          <w:p w14:paraId="1DF6E20E" w14:textId="77777777" w:rsidR="00A720EB" w:rsidRDefault="0030286B">
            <w:pPr>
              <w:pStyle w:val="TableParagraph"/>
              <w:spacing w:before="37"/>
              <w:rPr>
                <w:sz w:val="21"/>
              </w:rPr>
            </w:pPr>
            <w:r>
              <w:rPr>
                <w:color w:val="B02045"/>
                <w:sz w:val="21"/>
              </w:rPr>
              <w:t>true</w:t>
            </w:r>
          </w:p>
        </w:tc>
        <w:tc>
          <w:tcPr>
            <w:tcW w:w="4988" w:type="dxa"/>
          </w:tcPr>
          <w:p w14:paraId="234AE25E" w14:textId="77777777" w:rsidR="00A720EB" w:rsidRDefault="0030286B">
            <w:pPr>
              <w:pStyle w:val="TableParagraph"/>
              <w:spacing w:before="92"/>
              <w:rPr>
                <w:rFonts w:ascii="Cambria"/>
                <w:sz w:val="21"/>
              </w:rPr>
            </w:pPr>
            <w:r>
              <w:rPr>
                <w:rFonts w:ascii="Cambria"/>
                <w:color w:val="333333"/>
                <w:w w:val="110"/>
                <w:sz w:val="21"/>
              </w:rPr>
              <w:t>Whether to skip search of BeanInfo classes.</w:t>
            </w:r>
          </w:p>
        </w:tc>
      </w:tr>
      <w:tr w:rsidR="00A720EB" w14:paraId="7A86858E" w14:textId="77777777">
        <w:trPr>
          <w:trHeight w:val="741"/>
        </w:trPr>
        <w:tc>
          <w:tcPr>
            <w:tcW w:w="2494" w:type="dxa"/>
          </w:tcPr>
          <w:p w14:paraId="0DE4BA10" w14:textId="77777777" w:rsidR="00A720EB" w:rsidRDefault="0030286B">
            <w:pPr>
              <w:pStyle w:val="TableParagraph"/>
              <w:spacing w:before="46" w:line="230" w:lineRule="auto"/>
              <w:ind w:right="638"/>
              <w:rPr>
                <w:sz w:val="21"/>
              </w:rPr>
            </w:pPr>
            <w:r>
              <w:rPr>
                <w:color w:val="B02045"/>
                <w:sz w:val="21"/>
              </w:rPr>
              <w:t>spring.codec.log- request-details</w:t>
            </w:r>
          </w:p>
        </w:tc>
        <w:tc>
          <w:tcPr>
            <w:tcW w:w="2494" w:type="dxa"/>
          </w:tcPr>
          <w:p w14:paraId="1AC2B10F" w14:textId="77777777" w:rsidR="00A720EB" w:rsidRDefault="0030286B">
            <w:pPr>
              <w:pStyle w:val="TableParagraph"/>
              <w:spacing w:before="37"/>
              <w:rPr>
                <w:sz w:val="21"/>
              </w:rPr>
            </w:pPr>
            <w:r>
              <w:rPr>
                <w:color w:val="B02045"/>
                <w:sz w:val="21"/>
              </w:rPr>
              <w:t>false</w:t>
            </w:r>
          </w:p>
        </w:tc>
        <w:tc>
          <w:tcPr>
            <w:tcW w:w="4988" w:type="dxa"/>
          </w:tcPr>
          <w:p w14:paraId="3A0F5D99" w14:textId="77777777" w:rsidR="00A720EB" w:rsidRDefault="0030286B">
            <w:pPr>
              <w:pStyle w:val="TableParagraph"/>
              <w:spacing w:before="28" w:line="310" w:lineRule="atLeast"/>
              <w:rPr>
                <w:rFonts w:ascii="Cambria"/>
                <w:sz w:val="21"/>
              </w:rPr>
            </w:pPr>
            <w:r>
              <w:rPr>
                <w:rFonts w:ascii="Cambria"/>
                <w:color w:val="333333"/>
                <w:w w:val="110"/>
                <w:sz w:val="21"/>
              </w:rPr>
              <w:t>Whether to log form data at DEBUG level, and headers at TRACE level.</w:t>
            </w:r>
          </w:p>
        </w:tc>
      </w:tr>
      <w:tr w:rsidR="00A720EB" w14:paraId="5CF81841" w14:textId="77777777">
        <w:trPr>
          <w:trHeight w:val="2319"/>
        </w:trPr>
        <w:tc>
          <w:tcPr>
            <w:tcW w:w="2494" w:type="dxa"/>
          </w:tcPr>
          <w:p w14:paraId="15BE83A9" w14:textId="77777777" w:rsidR="00A720EB" w:rsidRDefault="0030286B">
            <w:pPr>
              <w:pStyle w:val="TableParagraph"/>
              <w:spacing w:before="46" w:line="230" w:lineRule="auto"/>
              <w:ind w:right="323"/>
              <w:rPr>
                <w:sz w:val="21"/>
              </w:rPr>
            </w:pPr>
            <w:r>
              <w:rPr>
                <w:color w:val="B02045"/>
                <w:sz w:val="21"/>
              </w:rPr>
              <w:t>spring.codec.max-in- memory-size</w:t>
            </w:r>
          </w:p>
        </w:tc>
        <w:tc>
          <w:tcPr>
            <w:tcW w:w="2494" w:type="dxa"/>
          </w:tcPr>
          <w:p w14:paraId="48CDB399" w14:textId="77777777" w:rsidR="00A720EB" w:rsidRDefault="00A720EB">
            <w:pPr>
              <w:pStyle w:val="TableParagraph"/>
              <w:spacing w:before="0"/>
              <w:ind w:left="0"/>
              <w:rPr>
                <w:rFonts w:ascii="Times New Roman"/>
                <w:sz w:val="20"/>
              </w:rPr>
            </w:pPr>
          </w:p>
        </w:tc>
        <w:tc>
          <w:tcPr>
            <w:tcW w:w="4988" w:type="dxa"/>
          </w:tcPr>
          <w:p w14:paraId="166FE02F" w14:textId="77777777" w:rsidR="00A720EB" w:rsidRDefault="0030286B">
            <w:pPr>
              <w:pStyle w:val="TableParagraph"/>
              <w:spacing w:before="92" w:line="307" w:lineRule="auto"/>
              <w:ind w:right="86"/>
              <w:rPr>
                <w:rFonts w:ascii="Cambria"/>
                <w:sz w:val="21"/>
              </w:rPr>
            </w:pPr>
            <w:r>
              <w:rPr>
                <w:rFonts w:ascii="Cambria"/>
                <w:color w:val="333333"/>
                <w:w w:val="110"/>
                <w:sz w:val="21"/>
              </w:rPr>
              <w:t xml:space="preserve">Limit on the number of bytes that can be buffered whenever the input stream needs to be aggregated. This applies only to the auto- configured </w:t>
            </w:r>
            <w:r>
              <w:rPr>
                <w:rFonts w:ascii="Cambria"/>
                <w:color w:val="333333"/>
                <w:spacing w:val="-3"/>
                <w:w w:val="110"/>
                <w:sz w:val="21"/>
              </w:rPr>
              <w:t xml:space="preserve">WebFlux </w:t>
            </w:r>
            <w:r>
              <w:rPr>
                <w:rFonts w:ascii="Cambria"/>
                <w:color w:val="333333"/>
                <w:w w:val="110"/>
                <w:sz w:val="21"/>
              </w:rPr>
              <w:t xml:space="preserve">server and </w:t>
            </w:r>
            <w:r>
              <w:rPr>
                <w:rFonts w:ascii="Cambria"/>
                <w:color w:val="333333"/>
                <w:spacing w:val="-3"/>
                <w:w w:val="110"/>
                <w:sz w:val="21"/>
              </w:rPr>
              <w:t xml:space="preserve">WebClient </w:t>
            </w:r>
            <w:r>
              <w:rPr>
                <w:rFonts w:ascii="Cambria"/>
                <w:color w:val="333333"/>
                <w:w w:val="110"/>
                <w:sz w:val="21"/>
              </w:rPr>
              <w:t xml:space="preserve">instances. </w:t>
            </w:r>
            <w:r>
              <w:rPr>
                <w:rFonts w:ascii="Cambria"/>
                <w:color w:val="333333"/>
                <w:spacing w:val="-3"/>
                <w:w w:val="110"/>
                <w:sz w:val="21"/>
              </w:rPr>
              <w:t xml:space="preserve">By </w:t>
            </w:r>
            <w:proofErr w:type="gramStart"/>
            <w:r>
              <w:rPr>
                <w:rFonts w:ascii="Cambria"/>
                <w:color w:val="333333"/>
                <w:w w:val="110"/>
                <w:sz w:val="21"/>
              </w:rPr>
              <w:t>default</w:t>
            </w:r>
            <w:proofErr w:type="gramEnd"/>
            <w:r>
              <w:rPr>
                <w:rFonts w:ascii="Cambria"/>
                <w:color w:val="333333"/>
                <w:w w:val="110"/>
                <w:sz w:val="21"/>
              </w:rPr>
              <w:t xml:space="preserve"> this is not set, in which case individual codec defaults </w:t>
            </w:r>
            <w:r>
              <w:rPr>
                <w:rFonts w:ascii="Cambria"/>
                <w:color w:val="333333"/>
                <w:spacing w:val="-4"/>
                <w:w w:val="110"/>
                <w:sz w:val="21"/>
              </w:rPr>
              <w:t xml:space="preserve">apply. </w:t>
            </w:r>
            <w:r>
              <w:rPr>
                <w:rFonts w:ascii="Cambria"/>
                <w:color w:val="333333"/>
                <w:w w:val="110"/>
                <w:sz w:val="21"/>
              </w:rPr>
              <w:t xml:space="preserve">Most codecs are limited to 256K </w:t>
            </w:r>
            <w:r>
              <w:rPr>
                <w:rFonts w:ascii="Cambria"/>
                <w:color w:val="333333"/>
                <w:spacing w:val="-3"/>
                <w:w w:val="110"/>
                <w:sz w:val="21"/>
              </w:rPr>
              <w:t>by</w:t>
            </w:r>
            <w:r>
              <w:rPr>
                <w:rFonts w:ascii="Cambria"/>
                <w:color w:val="333333"/>
                <w:spacing w:val="11"/>
                <w:w w:val="110"/>
                <w:sz w:val="21"/>
              </w:rPr>
              <w:t xml:space="preserve"> </w:t>
            </w:r>
            <w:r>
              <w:rPr>
                <w:rFonts w:ascii="Cambria"/>
                <w:color w:val="333333"/>
                <w:w w:val="110"/>
                <w:sz w:val="21"/>
              </w:rPr>
              <w:t>default.</w:t>
            </w:r>
          </w:p>
        </w:tc>
      </w:tr>
      <w:tr w:rsidR="00A720EB" w14:paraId="7E894FD0" w14:textId="77777777">
        <w:trPr>
          <w:trHeight w:val="741"/>
        </w:trPr>
        <w:tc>
          <w:tcPr>
            <w:tcW w:w="2494" w:type="dxa"/>
          </w:tcPr>
          <w:p w14:paraId="34C763C2"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config.addition</w:t>
            </w:r>
            <w:proofErr w:type="gramEnd"/>
            <w:r>
              <w:rPr>
                <w:color w:val="B02045"/>
                <w:sz w:val="21"/>
              </w:rPr>
              <w:t xml:space="preserve"> al-location</w:t>
            </w:r>
          </w:p>
        </w:tc>
        <w:tc>
          <w:tcPr>
            <w:tcW w:w="2494" w:type="dxa"/>
          </w:tcPr>
          <w:p w14:paraId="604AE3C3" w14:textId="77777777" w:rsidR="00A720EB" w:rsidRDefault="00A720EB">
            <w:pPr>
              <w:pStyle w:val="TableParagraph"/>
              <w:spacing w:before="0"/>
              <w:ind w:left="0"/>
              <w:rPr>
                <w:rFonts w:ascii="Times New Roman"/>
                <w:sz w:val="20"/>
              </w:rPr>
            </w:pPr>
          </w:p>
        </w:tc>
        <w:tc>
          <w:tcPr>
            <w:tcW w:w="4988" w:type="dxa"/>
          </w:tcPr>
          <w:p w14:paraId="3410AB53" w14:textId="77777777" w:rsidR="00A720EB" w:rsidRDefault="0030286B">
            <w:pPr>
              <w:pStyle w:val="TableParagraph"/>
              <w:spacing w:before="28" w:line="310" w:lineRule="atLeast"/>
              <w:ind w:right="640"/>
              <w:rPr>
                <w:rFonts w:ascii="Cambria"/>
                <w:sz w:val="21"/>
              </w:rPr>
            </w:pPr>
            <w:r>
              <w:rPr>
                <w:rFonts w:ascii="Cambria"/>
                <w:color w:val="333333"/>
                <w:w w:val="110"/>
                <w:sz w:val="21"/>
              </w:rPr>
              <w:t>Config file locations used in addition to the defaults.</w:t>
            </w:r>
          </w:p>
        </w:tc>
      </w:tr>
      <w:tr w:rsidR="00A720EB" w14:paraId="4FF63FBC" w14:textId="77777777">
        <w:trPr>
          <w:trHeight w:val="425"/>
        </w:trPr>
        <w:tc>
          <w:tcPr>
            <w:tcW w:w="2494" w:type="dxa"/>
          </w:tcPr>
          <w:p w14:paraId="74C7D565" w14:textId="77777777" w:rsidR="00A720EB" w:rsidRDefault="0030286B">
            <w:pPr>
              <w:pStyle w:val="TableParagraph"/>
              <w:rPr>
                <w:sz w:val="21"/>
              </w:rPr>
            </w:pPr>
            <w:r>
              <w:rPr>
                <w:color w:val="B02045"/>
                <w:sz w:val="21"/>
              </w:rPr>
              <w:t>spring.</w:t>
            </w:r>
            <w:proofErr w:type="gramStart"/>
            <w:r>
              <w:rPr>
                <w:color w:val="B02045"/>
                <w:sz w:val="21"/>
              </w:rPr>
              <w:t>config.location</w:t>
            </w:r>
            <w:proofErr w:type="gramEnd"/>
          </w:p>
        </w:tc>
        <w:tc>
          <w:tcPr>
            <w:tcW w:w="2494" w:type="dxa"/>
          </w:tcPr>
          <w:p w14:paraId="31528731" w14:textId="77777777" w:rsidR="00A720EB" w:rsidRDefault="00A720EB">
            <w:pPr>
              <w:pStyle w:val="TableParagraph"/>
              <w:spacing w:before="0"/>
              <w:ind w:left="0"/>
              <w:rPr>
                <w:rFonts w:ascii="Times New Roman"/>
                <w:sz w:val="20"/>
              </w:rPr>
            </w:pPr>
          </w:p>
        </w:tc>
        <w:tc>
          <w:tcPr>
            <w:tcW w:w="4988" w:type="dxa"/>
          </w:tcPr>
          <w:p w14:paraId="4619343F" w14:textId="77777777" w:rsidR="00A720EB" w:rsidRDefault="0030286B">
            <w:pPr>
              <w:pStyle w:val="TableParagraph"/>
              <w:spacing w:before="92"/>
              <w:rPr>
                <w:rFonts w:ascii="Cambria"/>
                <w:sz w:val="21"/>
              </w:rPr>
            </w:pPr>
            <w:r>
              <w:rPr>
                <w:rFonts w:ascii="Cambria"/>
                <w:color w:val="333333"/>
                <w:w w:val="110"/>
                <w:sz w:val="21"/>
              </w:rPr>
              <w:t>Config file locations that replace the defaults.</w:t>
            </w:r>
          </w:p>
        </w:tc>
      </w:tr>
      <w:tr w:rsidR="00A720EB" w14:paraId="79FC434F" w14:textId="77777777">
        <w:trPr>
          <w:trHeight w:val="425"/>
        </w:trPr>
        <w:tc>
          <w:tcPr>
            <w:tcW w:w="2494" w:type="dxa"/>
          </w:tcPr>
          <w:p w14:paraId="34F7E9E3" w14:textId="77777777" w:rsidR="00A720EB" w:rsidRDefault="0030286B">
            <w:pPr>
              <w:pStyle w:val="TableParagraph"/>
              <w:rPr>
                <w:sz w:val="21"/>
              </w:rPr>
            </w:pPr>
            <w:r>
              <w:rPr>
                <w:color w:val="B02045"/>
                <w:sz w:val="21"/>
              </w:rPr>
              <w:t>spring.config.name</w:t>
            </w:r>
          </w:p>
        </w:tc>
        <w:tc>
          <w:tcPr>
            <w:tcW w:w="2494" w:type="dxa"/>
          </w:tcPr>
          <w:p w14:paraId="25D47418" w14:textId="77777777" w:rsidR="00A720EB" w:rsidRDefault="0030286B">
            <w:pPr>
              <w:pStyle w:val="TableParagraph"/>
              <w:rPr>
                <w:sz w:val="21"/>
              </w:rPr>
            </w:pPr>
            <w:r>
              <w:rPr>
                <w:color w:val="B02045"/>
                <w:sz w:val="21"/>
              </w:rPr>
              <w:t>application</w:t>
            </w:r>
          </w:p>
        </w:tc>
        <w:tc>
          <w:tcPr>
            <w:tcW w:w="4988" w:type="dxa"/>
          </w:tcPr>
          <w:p w14:paraId="62769342" w14:textId="77777777" w:rsidR="00A720EB" w:rsidRDefault="0030286B">
            <w:pPr>
              <w:pStyle w:val="TableParagraph"/>
              <w:spacing w:before="92"/>
              <w:rPr>
                <w:rFonts w:ascii="Cambria"/>
                <w:sz w:val="21"/>
              </w:rPr>
            </w:pPr>
            <w:r>
              <w:rPr>
                <w:rFonts w:ascii="Cambria"/>
                <w:color w:val="333333"/>
                <w:w w:val="115"/>
                <w:sz w:val="21"/>
              </w:rPr>
              <w:t>Config file name.</w:t>
            </w:r>
          </w:p>
        </w:tc>
      </w:tr>
      <w:tr w:rsidR="00A720EB" w14:paraId="3C9B4566" w14:textId="77777777">
        <w:trPr>
          <w:trHeight w:val="627"/>
        </w:trPr>
        <w:tc>
          <w:tcPr>
            <w:tcW w:w="2494" w:type="dxa"/>
          </w:tcPr>
          <w:p w14:paraId="5DAF22F6" w14:textId="77777777" w:rsidR="00A720EB" w:rsidRDefault="0030286B">
            <w:pPr>
              <w:pStyle w:val="TableParagraph"/>
              <w:spacing w:before="46" w:line="230" w:lineRule="auto"/>
              <w:ind w:right="94"/>
              <w:rPr>
                <w:sz w:val="21"/>
              </w:rPr>
            </w:pPr>
            <w:proofErr w:type="gramStart"/>
            <w:r>
              <w:rPr>
                <w:color w:val="B02045"/>
                <w:sz w:val="21"/>
              </w:rPr>
              <w:t>spring.info.build</w:t>
            </w:r>
            <w:proofErr w:type="gramEnd"/>
            <w:r>
              <w:rPr>
                <w:color w:val="B02045"/>
                <w:sz w:val="21"/>
              </w:rPr>
              <w:t>.enco ding</w:t>
            </w:r>
          </w:p>
        </w:tc>
        <w:tc>
          <w:tcPr>
            <w:tcW w:w="2494" w:type="dxa"/>
          </w:tcPr>
          <w:p w14:paraId="22DD1B8C" w14:textId="77777777" w:rsidR="00A720EB" w:rsidRDefault="0030286B">
            <w:pPr>
              <w:pStyle w:val="TableParagraph"/>
              <w:spacing w:before="37"/>
              <w:rPr>
                <w:sz w:val="21"/>
              </w:rPr>
            </w:pPr>
            <w:r>
              <w:rPr>
                <w:color w:val="B02045"/>
                <w:sz w:val="21"/>
              </w:rPr>
              <w:t>UTF-8</w:t>
            </w:r>
          </w:p>
        </w:tc>
        <w:tc>
          <w:tcPr>
            <w:tcW w:w="4988" w:type="dxa"/>
          </w:tcPr>
          <w:p w14:paraId="17769E15" w14:textId="77777777" w:rsidR="00A720EB" w:rsidRDefault="0030286B">
            <w:pPr>
              <w:pStyle w:val="TableParagraph"/>
              <w:spacing w:before="92"/>
              <w:rPr>
                <w:rFonts w:ascii="Cambria"/>
                <w:sz w:val="21"/>
              </w:rPr>
            </w:pPr>
            <w:r>
              <w:rPr>
                <w:rFonts w:ascii="Cambria"/>
                <w:color w:val="333333"/>
                <w:w w:val="110"/>
                <w:sz w:val="21"/>
              </w:rPr>
              <w:t>File encoding.</w:t>
            </w:r>
          </w:p>
        </w:tc>
      </w:tr>
      <w:tr w:rsidR="00A720EB" w14:paraId="371D5BBD" w14:textId="77777777">
        <w:trPr>
          <w:trHeight w:val="886"/>
        </w:trPr>
        <w:tc>
          <w:tcPr>
            <w:tcW w:w="2494" w:type="dxa"/>
          </w:tcPr>
          <w:p w14:paraId="2BC2359E" w14:textId="77777777" w:rsidR="00A720EB" w:rsidRDefault="0030286B">
            <w:pPr>
              <w:pStyle w:val="TableParagraph"/>
              <w:spacing w:before="46" w:line="230" w:lineRule="auto"/>
              <w:ind w:right="94"/>
              <w:rPr>
                <w:sz w:val="21"/>
              </w:rPr>
            </w:pPr>
            <w:proofErr w:type="gramStart"/>
            <w:r>
              <w:rPr>
                <w:color w:val="B02045"/>
                <w:sz w:val="21"/>
              </w:rPr>
              <w:t>spring.info.build</w:t>
            </w:r>
            <w:proofErr w:type="gramEnd"/>
            <w:r>
              <w:rPr>
                <w:color w:val="B02045"/>
                <w:sz w:val="21"/>
              </w:rPr>
              <w:t>.loca tion</w:t>
            </w:r>
          </w:p>
        </w:tc>
        <w:tc>
          <w:tcPr>
            <w:tcW w:w="2494" w:type="dxa"/>
          </w:tcPr>
          <w:p w14:paraId="548FC6E3" w14:textId="77777777" w:rsidR="00A720EB" w:rsidRDefault="0030286B">
            <w:pPr>
              <w:pStyle w:val="TableParagraph"/>
              <w:spacing w:before="46" w:line="230" w:lineRule="auto"/>
              <w:ind w:right="848"/>
              <w:rPr>
                <w:sz w:val="21"/>
              </w:rPr>
            </w:pPr>
            <w:proofErr w:type="gramStart"/>
            <w:r>
              <w:rPr>
                <w:color w:val="B02045"/>
                <w:sz w:val="21"/>
              </w:rPr>
              <w:t>classpath:META</w:t>
            </w:r>
            <w:proofErr w:type="gramEnd"/>
            <w:r>
              <w:rPr>
                <w:color w:val="B02045"/>
                <w:sz w:val="21"/>
              </w:rPr>
              <w:t>- INF/build- info.properties</w:t>
            </w:r>
          </w:p>
        </w:tc>
        <w:tc>
          <w:tcPr>
            <w:tcW w:w="4988" w:type="dxa"/>
          </w:tcPr>
          <w:p w14:paraId="2ACDE029" w14:textId="77777777" w:rsidR="00A720EB" w:rsidRDefault="0030286B">
            <w:pPr>
              <w:pStyle w:val="TableParagraph"/>
              <w:spacing w:before="92" w:line="307" w:lineRule="auto"/>
              <w:rPr>
                <w:rFonts w:ascii="Cambria"/>
                <w:sz w:val="21"/>
              </w:rPr>
            </w:pPr>
            <w:r>
              <w:rPr>
                <w:rFonts w:ascii="Cambria"/>
                <w:color w:val="333333"/>
                <w:w w:val="110"/>
                <w:sz w:val="21"/>
              </w:rPr>
              <w:t>Location of the generated build-</w:t>
            </w:r>
            <w:proofErr w:type="gramStart"/>
            <w:r>
              <w:rPr>
                <w:rFonts w:ascii="Cambria"/>
                <w:color w:val="333333"/>
                <w:w w:val="110"/>
                <w:sz w:val="21"/>
              </w:rPr>
              <w:t>info.properties</w:t>
            </w:r>
            <w:proofErr w:type="gramEnd"/>
            <w:r>
              <w:rPr>
                <w:rFonts w:ascii="Cambria"/>
                <w:color w:val="333333"/>
                <w:w w:val="110"/>
                <w:sz w:val="21"/>
              </w:rPr>
              <w:t xml:space="preserve"> file.</w:t>
            </w:r>
          </w:p>
        </w:tc>
      </w:tr>
      <w:tr w:rsidR="00A720EB" w14:paraId="3CCD834B" w14:textId="77777777">
        <w:trPr>
          <w:trHeight w:val="627"/>
        </w:trPr>
        <w:tc>
          <w:tcPr>
            <w:tcW w:w="2494" w:type="dxa"/>
          </w:tcPr>
          <w:p w14:paraId="7C552923" w14:textId="77777777" w:rsidR="00A720EB" w:rsidRDefault="0030286B">
            <w:pPr>
              <w:pStyle w:val="TableParagraph"/>
              <w:spacing w:before="46" w:line="230" w:lineRule="auto"/>
              <w:ind w:right="94"/>
              <w:rPr>
                <w:sz w:val="21"/>
              </w:rPr>
            </w:pPr>
            <w:proofErr w:type="gramStart"/>
            <w:r>
              <w:rPr>
                <w:color w:val="B02045"/>
                <w:sz w:val="21"/>
              </w:rPr>
              <w:t>spring.info.git.encodi</w:t>
            </w:r>
            <w:proofErr w:type="gramEnd"/>
            <w:r>
              <w:rPr>
                <w:color w:val="B02045"/>
                <w:sz w:val="21"/>
              </w:rPr>
              <w:t xml:space="preserve"> ng</w:t>
            </w:r>
          </w:p>
        </w:tc>
        <w:tc>
          <w:tcPr>
            <w:tcW w:w="2494" w:type="dxa"/>
          </w:tcPr>
          <w:p w14:paraId="6A182EDB" w14:textId="77777777" w:rsidR="00A720EB" w:rsidRDefault="0030286B">
            <w:pPr>
              <w:pStyle w:val="TableParagraph"/>
              <w:rPr>
                <w:sz w:val="21"/>
              </w:rPr>
            </w:pPr>
            <w:r>
              <w:rPr>
                <w:color w:val="B02045"/>
                <w:sz w:val="21"/>
              </w:rPr>
              <w:t>UTF-8</w:t>
            </w:r>
          </w:p>
        </w:tc>
        <w:tc>
          <w:tcPr>
            <w:tcW w:w="4988" w:type="dxa"/>
          </w:tcPr>
          <w:p w14:paraId="3CCA6D3D" w14:textId="77777777" w:rsidR="00A720EB" w:rsidRDefault="0030286B">
            <w:pPr>
              <w:pStyle w:val="TableParagraph"/>
              <w:spacing w:before="92"/>
              <w:rPr>
                <w:rFonts w:ascii="Cambria"/>
                <w:sz w:val="21"/>
              </w:rPr>
            </w:pPr>
            <w:r>
              <w:rPr>
                <w:rFonts w:ascii="Cambria"/>
                <w:color w:val="333333"/>
                <w:w w:val="110"/>
                <w:sz w:val="21"/>
              </w:rPr>
              <w:t>File encoding.</w:t>
            </w:r>
          </w:p>
        </w:tc>
      </w:tr>
      <w:tr w:rsidR="00A720EB" w14:paraId="0CB053A8" w14:textId="77777777">
        <w:trPr>
          <w:trHeight w:val="627"/>
        </w:trPr>
        <w:tc>
          <w:tcPr>
            <w:tcW w:w="2494" w:type="dxa"/>
          </w:tcPr>
          <w:p w14:paraId="3332AEB0" w14:textId="77777777" w:rsidR="00A720EB" w:rsidRDefault="0030286B">
            <w:pPr>
              <w:pStyle w:val="TableParagraph"/>
              <w:spacing w:before="46" w:line="230" w:lineRule="auto"/>
              <w:ind w:right="94"/>
              <w:rPr>
                <w:sz w:val="21"/>
              </w:rPr>
            </w:pPr>
            <w:proofErr w:type="gramStart"/>
            <w:r>
              <w:rPr>
                <w:color w:val="B02045"/>
                <w:sz w:val="21"/>
              </w:rPr>
              <w:t>spring.info.git.locati</w:t>
            </w:r>
            <w:proofErr w:type="gramEnd"/>
            <w:r>
              <w:rPr>
                <w:color w:val="B02045"/>
                <w:sz w:val="21"/>
              </w:rPr>
              <w:t xml:space="preserve"> on</w:t>
            </w:r>
          </w:p>
        </w:tc>
        <w:tc>
          <w:tcPr>
            <w:tcW w:w="2494" w:type="dxa"/>
          </w:tcPr>
          <w:p w14:paraId="3A6452A1" w14:textId="77777777" w:rsidR="00A720EB" w:rsidRDefault="0030286B">
            <w:pPr>
              <w:pStyle w:val="TableParagraph"/>
              <w:spacing w:before="46" w:line="230" w:lineRule="auto"/>
              <w:ind w:right="94"/>
              <w:rPr>
                <w:sz w:val="21"/>
              </w:rPr>
            </w:pPr>
            <w:proofErr w:type="gramStart"/>
            <w:r>
              <w:rPr>
                <w:color w:val="B02045"/>
                <w:sz w:val="21"/>
              </w:rPr>
              <w:t>classpath:git</w:t>
            </w:r>
            <w:proofErr w:type="gramEnd"/>
            <w:r>
              <w:rPr>
                <w:color w:val="B02045"/>
                <w:sz w:val="21"/>
              </w:rPr>
              <w:t>.properti es</w:t>
            </w:r>
          </w:p>
        </w:tc>
        <w:tc>
          <w:tcPr>
            <w:tcW w:w="4988" w:type="dxa"/>
          </w:tcPr>
          <w:p w14:paraId="35C2C946" w14:textId="77777777" w:rsidR="00A720EB" w:rsidRDefault="0030286B">
            <w:pPr>
              <w:pStyle w:val="TableParagraph"/>
              <w:spacing w:before="92"/>
              <w:rPr>
                <w:rFonts w:ascii="Cambria"/>
                <w:sz w:val="21"/>
              </w:rPr>
            </w:pPr>
            <w:r>
              <w:rPr>
                <w:rFonts w:ascii="Cambria"/>
                <w:color w:val="333333"/>
                <w:w w:val="110"/>
                <w:sz w:val="21"/>
              </w:rPr>
              <w:t xml:space="preserve">Location of the generated </w:t>
            </w:r>
            <w:proofErr w:type="gramStart"/>
            <w:r>
              <w:rPr>
                <w:rFonts w:ascii="Cambria"/>
                <w:color w:val="333333"/>
                <w:w w:val="110"/>
                <w:sz w:val="21"/>
              </w:rPr>
              <w:t>git.properties</w:t>
            </w:r>
            <w:proofErr w:type="gramEnd"/>
            <w:r>
              <w:rPr>
                <w:rFonts w:ascii="Cambria"/>
                <w:color w:val="333333"/>
                <w:w w:val="110"/>
                <w:sz w:val="21"/>
              </w:rPr>
              <w:t xml:space="preserve"> file.</w:t>
            </w:r>
          </w:p>
        </w:tc>
      </w:tr>
      <w:tr w:rsidR="00A720EB" w14:paraId="1A4EA699" w14:textId="77777777">
        <w:trPr>
          <w:trHeight w:val="627"/>
        </w:trPr>
        <w:tc>
          <w:tcPr>
            <w:tcW w:w="2494" w:type="dxa"/>
          </w:tcPr>
          <w:p w14:paraId="6386039C" w14:textId="77777777" w:rsidR="00A720EB" w:rsidRDefault="0030286B">
            <w:pPr>
              <w:pStyle w:val="TableParagraph"/>
              <w:spacing w:before="46" w:line="230" w:lineRule="auto"/>
              <w:ind w:right="409"/>
              <w:rPr>
                <w:sz w:val="21"/>
              </w:rPr>
            </w:pPr>
            <w:r>
              <w:rPr>
                <w:color w:val="B02045"/>
                <w:sz w:val="21"/>
              </w:rPr>
              <w:t>spring.jmx.default- domain</w:t>
            </w:r>
          </w:p>
        </w:tc>
        <w:tc>
          <w:tcPr>
            <w:tcW w:w="2494" w:type="dxa"/>
          </w:tcPr>
          <w:p w14:paraId="27455EA0" w14:textId="77777777" w:rsidR="00A720EB" w:rsidRDefault="00A720EB">
            <w:pPr>
              <w:pStyle w:val="TableParagraph"/>
              <w:spacing w:before="0"/>
              <w:ind w:left="0"/>
              <w:rPr>
                <w:rFonts w:ascii="Times New Roman"/>
                <w:sz w:val="20"/>
              </w:rPr>
            </w:pPr>
          </w:p>
        </w:tc>
        <w:tc>
          <w:tcPr>
            <w:tcW w:w="4988" w:type="dxa"/>
          </w:tcPr>
          <w:p w14:paraId="2B4BE9A2" w14:textId="77777777" w:rsidR="00A720EB" w:rsidRDefault="0030286B">
            <w:pPr>
              <w:pStyle w:val="TableParagraph"/>
              <w:spacing w:before="92"/>
              <w:rPr>
                <w:rFonts w:ascii="Cambria"/>
                <w:sz w:val="21"/>
              </w:rPr>
            </w:pPr>
            <w:r>
              <w:rPr>
                <w:rFonts w:ascii="Cambria"/>
                <w:color w:val="333333"/>
                <w:w w:val="115"/>
                <w:sz w:val="21"/>
              </w:rPr>
              <w:t>JMX domain name.</w:t>
            </w:r>
          </w:p>
        </w:tc>
      </w:tr>
      <w:tr w:rsidR="00A720EB" w14:paraId="3410C912" w14:textId="77777777">
        <w:trPr>
          <w:trHeight w:val="425"/>
        </w:trPr>
        <w:tc>
          <w:tcPr>
            <w:tcW w:w="2494" w:type="dxa"/>
          </w:tcPr>
          <w:p w14:paraId="5659FEA4" w14:textId="77777777" w:rsidR="00A720EB" w:rsidRDefault="0030286B">
            <w:pPr>
              <w:pStyle w:val="TableParagraph"/>
              <w:rPr>
                <w:sz w:val="21"/>
              </w:rPr>
            </w:pPr>
            <w:proofErr w:type="gramStart"/>
            <w:r>
              <w:rPr>
                <w:color w:val="B02045"/>
                <w:sz w:val="21"/>
              </w:rPr>
              <w:t>spring.jmx.enabled</w:t>
            </w:r>
            <w:proofErr w:type="gramEnd"/>
          </w:p>
        </w:tc>
        <w:tc>
          <w:tcPr>
            <w:tcW w:w="2494" w:type="dxa"/>
          </w:tcPr>
          <w:p w14:paraId="558AC938" w14:textId="77777777" w:rsidR="00A720EB" w:rsidRDefault="0030286B">
            <w:pPr>
              <w:pStyle w:val="TableParagraph"/>
              <w:rPr>
                <w:sz w:val="21"/>
              </w:rPr>
            </w:pPr>
            <w:r>
              <w:rPr>
                <w:color w:val="B02045"/>
                <w:sz w:val="21"/>
              </w:rPr>
              <w:t>false</w:t>
            </w:r>
          </w:p>
        </w:tc>
        <w:tc>
          <w:tcPr>
            <w:tcW w:w="4988" w:type="dxa"/>
          </w:tcPr>
          <w:p w14:paraId="48565BE9" w14:textId="77777777" w:rsidR="00A720EB" w:rsidRDefault="0030286B">
            <w:pPr>
              <w:pStyle w:val="TableParagraph"/>
              <w:spacing w:before="92"/>
              <w:rPr>
                <w:rFonts w:ascii="Cambria"/>
                <w:sz w:val="21"/>
              </w:rPr>
            </w:pPr>
            <w:r>
              <w:rPr>
                <w:rFonts w:ascii="Cambria"/>
                <w:color w:val="333333"/>
                <w:w w:val="110"/>
                <w:sz w:val="21"/>
              </w:rPr>
              <w:t>Expose management beans to the JMX domain.</w:t>
            </w:r>
          </w:p>
        </w:tc>
      </w:tr>
    </w:tbl>
    <w:p w14:paraId="02FE7FB3"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A72F31A" w14:textId="77777777">
        <w:trPr>
          <w:trHeight w:val="415"/>
        </w:trPr>
        <w:tc>
          <w:tcPr>
            <w:tcW w:w="2494" w:type="dxa"/>
            <w:tcBorders>
              <w:bottom w:val="single" w:sz="12" w:space="0" w:color="DDDDDD"/>
            </w:tcBorders>
          </w:tcPr>
          <w:p w14:paraId="7875A66E"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547EB0D7"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B5301A6"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1856E6B" w14:textId="77777777">
        <w:trPr>
          <w:trHeight w:val="415"/>
        </w:trPr>
        <w:tc>
          <w:tcPr>
            <w:tcW w:w="2494" w:type="dxa"/>
            <w:tcBorders>
              <w:top w:val="single" w:sz="12" w:space="0" w:color="DDDDDD"/>
            </w:tcBorders>
          </w:tcPr>
          <w:p w14:paraId="06E51653" w14:textId="77777777" w:rsidR="00A720EB" w:rsidRDefault="0030286B">
            <w:pPr>
              <w:pStyle w:val="TableParagraph"/>
              <w:spacing w:before="27"/>
              <w:rPr>
                <w:sz w:val="21"/>
              </w:rPr>
            </w:pPr>
            <w:proofErr w:type="gramStart"/>
            <w:r>
              <w:rPr>
                <w:color w:val="B02045"/>
                <w:sz w:val="21"/>
              </w:rPr>
              <w:t>spring.jmx.server</w:t>
            </w:r>
            <w:proofErr w:type="gramEnd"/>
          </w:p>
        </w:tc>
        <w:tc>
          <w:tcPr>
            <w:tcW w:w="2494" w:type="dxa"/>
            <w:tcBorders>
              <w:top w:val="single" w:sz="12" w:space="0" w:color="DDDDDD"/>
            </w:tcBorders>
          </w:tcPr>
          <w:p w14:paraId="1D961485" w14:textId="77777777" w:rsidR="00A720EB" w:rsidRDefault="0030286B">
            <w:pPr>
              <w:pStyle w:val="TableParagraph"/>
              <w:spacing w:before="27"/>
              <w:rPr>
                <w:sz w:val="21"/>
              </w:rPr>
            </w:pPr>
            <w:r>
              <w:rPr>
                <w:color w:val="B02045"/>
                <w:sz w:val="21"/>
              </w:rPr>
              <w:t>mbeanServer</w:t>
            </w:r>
          </w:p>
        </w:tc>
        <w:tc>
          <w:tcPr>
            <w:tcW w:w="4988" w:type="dxa"/>
            <w:tcBorders>
              <w:top w:val="single" w:sz="12" w:space="0" w:color="DDDDDD"/>
            </w:tcBorders>
          </w:tcPr>
          <w:p w14:paraId="219DE5CB" w14:textId="77777777" w:rsidR="00A720EB" w:rsidRDefault="0030286B">
            <w:pPr>
              <w:pStyle w:val="TableParagraph"/>
              <w:spacing w:before="82"/>
              <w:rPr>
                <w:rFonts w:ascii="Cambria"/>
                <w:sz w:val="21"/>
              </w:rPr>
            </w:pPr>
            <w:r>
              <w:rPr>
                <w:rFonts w:ascii="Cambria"/>
                <w:color w:val="333333"/>
                <w:w w:val="115"/>
                <w:sz w:val="21"/>
              </w:rPr>
              <w:t>MBeanServer bean name.</w:t>
            </w:r>
          </w:p>
        </w:tc>
      </w:tr>
      <w:tr w:rsidR="00A720EB" w14:paraId="2C44C5F1" w14:textId="77777777">
        <w:trPr>
          <w:trHeight w:val="741"/>
        </w:trPr>
        <w:tc>
          <w:tcPr>
            <w:tcW w:w="2494" w:type="dxa"/>
          </w:tcPr>
          <w:p w14:paraId="36E9D843" w14:textId="77777777" w:rsidR="00A720EB" w:rsidRDefault="0030286B">
            <w:pPr>
              <w:pStyle w:val="TableParagraph"/>
              <w:spacing w:before="46" w:line="230" w:lineRule="auto"/>
              <w:ind w:right="514"/>
              <w:rPr>
                <w:sz w:val="21"/>
              </w:rPr>
            </w:pPr>
            <w:proofErr w:type="gramStart"/>
            <w:r>
              <w:rPr>
                <w:color w:val="B02045"/>
                <w:sz w:val="21"/>
              </w:rPr>
              <w:t>spring.jmx.unique</w:t>
            </w:r>
            <w:proofErr w:type="gramEnd"/>
            <w:r>
              <w:rPr>
                <w:color w:val="B02045"/>
                <w:sz w:val="21"/>
              </w:rPr>
              <w:t>- names</w:t>
            </w:r>
          </w:p>
        </w:tc>
        <w:tc>
          <w:tcPr>
            <w:tcW w:w="2494" w:type="dxa"/>
          </w:tcPr>
          <w:p w14:paraId="441A5091" w14:textId="77777777" w:rsidR="00A720EB" w:rsidRDefault="0030286B">
            <w:pPr>
              <w:pStyle w:val="TableParagraph"/>
              <w:rPr>
                <w:sz w:val="21"/>
              </w:rPr>
            </w:pPr>
            <w:r>
              <w:rPr>
                <w:color w:val="B02045"/>
                <w:sz w:val="21"/>
              </w:rPr>
              <w:t>false</w:t>
            </w:r>
          </w:p>
        </w:tc>
        <w:tc>
          <w:tcPr>
            <w:tcW w:w="4988" w:type="dxa"/>
          </w:tcPr>
          <w:p w14:paraId="4091966E"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unique runtime object names should be ensured.</w:t>
            </w:r>
          </w:p>
        </w:tc>
      </w:tr>
      <w:tr w:rsidR="00A720EB" w14:paraId="43A110CC" w14:textId="77777777">
        <w:trPr>
          <w:trHeight w:val="1056"/>
        </w:trPr>
        <w:tc>
          <w:tcPr>
            <w:tcW w:w="2494" w:type="dxa"/>
          </w:tcPr>
          <w:p w14:paraId="656A6911" w14:textId="77777777" w:rsidR="00A720EB" w:rsidRDefault="0030286B">
            <w:pPr>
              <w:pStyle w:val="TableParagraph"/>
              <w:spacing w:before="46" w:line="230" w:lineRule="auto"/>
              <w:ind w:right="113"/>
              <w:rPr>
                <w:sz w:val="21"/>
              </w:rPr>
            </w:pPr>
            <w:proofErr w:type="gramStart"/>
            <w:r>
              <w:rPr>
                <w:color w:val="B02045"/>
                <w:sz w:val="21"/>
              </w:rPr>
              <w:t>spring.lifecycle</w:t>
            </w:r>
            <w:proofErr w:type="gramEnd"/>
            <w:r>
              <w:rPr>
                <w:color w:val="B02045"/>
                <w:sz w:val="21"/>
              </w:rPr>
              <w:t>.timeo ut-per-shutdown-phase</w:t>
            </w:r>
          </w:p>
        </w:tc>
        <w:tc>
          <w:tcPr>
            <w:tcW w:w="2494" w:type="dxa"/>
          </w:tcPr>
          <w:p w14:paraId="3E4DAC0F" w14:textId="77777777" w:rsidR="00A720EB" w:rsidRDefault="0030286B">
            <w:pPr>
              <w:pStyle w:val="TableParagraph"/>
              <w:rPr>
                <w:sz w:val="21"/>
              </w:rPr>
            </w:pPr>
            <w:r>
              <w:rPr>
                <w:color w:val="B02045"/>
                <w:sz w:val="21"/>
              </w:rPr>
              <w:t>30s</w:t>
            </w:r>
          </w:p>
        </w:tc>
        <w:tc>
          <w:tcPr>
            <w:tcW w:w="4988" w:type="dxa"/>
          </w:tcPr>
          <w:p w14:paraId="44CE9118" w14:textId="77777777" w:rsidR="00A720EB" w:rsidRDefault="0030286B">
            <w:pPr>
              <w:pStyle w:val="TableParagraph"/>
              <w:spacing w:before="28" w:line="310" w:lineRule="atLeast"/>
              <w:ind w:right="218"/>
              <w:rPr>
                <w:rFonts w:ascii="Cambria"/>
                <w:sz w:val="21"/>
              </w:rPr>
            </w:pPr>
            <w:r>
              <w:rPr>
                <w:rFonts w:ascii="Cambria"/>
                <w:color w:val="333333"/>
                <w:w w:val="110"/>
                <w:sz w:val="21"/>
              </w:rPr>
              <w:t>Timeout for the shutdown of any phase (group of SmartLifecycle beans with the same 'phase' value).</w:t>
            </w:r>
          </w:p>
        </w:tc>
      </w:tr>
      <w:tr w:rsidR="00A720EB" w14:paraId="322BDFC1" w14:textId="77777777">
        <w:trPr>
          <w:trHeight w:val="1056"/>
        </w:trPr>
        <w:tc>
          <w:tcPr>
            <w:tcW w:w="2494" w:type="dxa"/>
          </w:tcPr>
          <w:p w14:paraId="150E3C1A" w14:textId="77777777" w:rsidR="00A720EB" w:rsidRDefault="0030286B">
            <w:pPr>
              <w:pStyle w:val="TableParagraph"/>
              <w:spacing w:before="46" w:line="230" w:lineRule="auto"/>
              <w:ind w:right="533"/>
              <w:rPr>
                <w:sz w:val="21"/>
              </w:rPr>
            </w:pPr>
            <w:proofErr w:type="gramStart"/>
            <w:r>
              <w:rPr>
                <w:color w:val="B02045"/>
                <w:sz w:val="21"/>
              </w:rPr>
              <w:t>spring.main</w:t>
            </w:r>
            <w:proofErr w:type="gramEnd"/>
            <w:r>
              <w:rPr>
                <w:color w:val="B02045"/>
                <w:sz w:val="21"/>
              </w:rPr>
              <w:t>.allow- bean-definition- overriding</w:t>
            </w:r>
          </w:p>
        </w:tc>
        <w:tc>
          <w:tcPr>
            <w:tcW w:w="2494" w:type="dxa"/>
          </w:tcPr>
          <w:p w14:paraId="5E246AB0" w14:textId="77777777" w:rsidR="00A720EB" w:rsidRDefault="0030286B">
            <w:pPr>
              <w:pStyle w:val="TableParagraph"/>
              <w:spacing w:before="37"/>
              <w:rPr>
                <w:sz w:val="21"/>
              </w:rPr>
            </w:pPr>
            <w:r>
              <w:rPr>
                <w:color w:val="B02045"/>
                <w:sz w:val="21"/>
              </w:rPr>
              <w:t>false</w:t>
            </w:r>
          </w:p>
        </w:tc>
        <w:tc>
          <w:tcPr>
            <w:tcW w:w="4988" w:type="dxa"/>
          </w:tcPr>
          <w:p w14:paraId="361DD973"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bean definition overriding, by registering a definition with the same name as an existing definition, is allowed.</w:t>
            </w:r>
          </w:p>
        </w:tc>
      </w:tr>
      <w:tr w:rsidR="00A720EB" w14:paraId="733A6F2F" w14:textId="77777777">
        <w:trPr>
          <w:trHeight w:val="741"/>
        </w:trPr>
        <w:tc>
          <w:tcPr>
            <w:tcW w:w="2494" w:type="dxa"/>
          </w:tcPr>
          <w:p w14:paraId="5833B3D2" w14:textId="77777777" w:rsidR="00A720EB" w:rsidRDefault="0030286B">
            <w:pPr>
              <w:pStyle w:val="TableParagraph"/>
              <w:spacing w:before="46" w:line="230" w:lineRule="auto"/>
              <w:ind w:right="409"/>
              <w:rPr>
                <w:sz w:val="21"/>
              </w:rPr>
            </w:pPr>
            <w:proofErr w:type="gramStart"/>
            <w:r>
              <w:rPr>
                <w:color w:val="B02045"/>
                <w:sz w:val="21"/>
              </w:rPr>
              <w:t>spring.main</w:t>
            </w:r>
            <w:proofErr w:type="gramEnd"/>
            <w:r>
              <w:rPr>
                <w:color w:val="B02045"/>
                <w:sz w:val="21"/>
              </w:rPr>
              <w:t>.banner- mode</w:t>
            </w:r>
          </w:p>
        </w:tc>
        <w:tc>
          <w:tcPr>
            <w:tcW w:w="2494" w:type="dxa"/>
          </w:tcPr>
          <w:p w14:paraId="52866EC8" w14:textId="77777777" w:rsidR="00A720EB" w:rsidRDefault="0030286B">
            <w:pPr>
              <w:pStyle w:val="TableParagraph"/>
              <w:rPr>
                <w:sz w:val="21"/>
              </w:rPr>
            </w:pPr>
            <w:r>
              <w:rPr>
                <w:color w:val="B02045"/>
                <w:sz w:val="21"/>
              </w:rPr>
              <w:t>console</w:t>
            </w:r>
          </w:p>
        </w:tc>
        <w:tc>
          <w:tcPr>
            <w:tcW w:w="4988" w:type="dxa"/>
          </w:tcPr>
          <w:p w14:paraId="0A54D34A" w14:textId="77777777" w:rsidR="00A720EB" w:rsidRDefault="0030286B">
            <w:pPr>
              <w:pStyle w:val="TableParagraph"/>
              <w:spacing w:before="28" w:line="310" w:lineRule="atLeast"/>
              <w:rPr>
                <w:rFonts w:ascii="Cambria"/>
                <w:sz w:val="21"/>
              </w:rPr>
            </w:pPr>
            <w:r>
              <w:rPr>
                <w:rFonts w:ascii="Cambria"/>
                <w:color w:val="333333"/>
                <w:w w:val="110"/>
                <w:sz w:val="21"/>
              </w:rPr>
              <w:t>Mode used to display the banner when the application runs.</w:t>
            </w:r>
          </w:p>
        </w:tc>
      </w:tr>
      <w:tr w:rsidR="00A720EB" w14:paraId="5E34E2FF" w14:textId="77777777">
        <w:trPr>
          <w:trHeight w:val="627"/>
        </w:trPr>
        <w:tc>
          <w:tcPr>
            <w:tcW w:w="2494" w:type="dxa"/>
          </w:tcPr>
          <w:p w14:paraId="23C84BD9" w14:textId="77777777" w:rsidR="00A720EB" w:rsidRDefault="0030286B">
            <w:pPr>
              <w:pStyle w:val="TableParagraph"/>
              <w:spacing w:before="46" w:line="230" w:lineRule="auto"/>
              <w:ind w:right="514"/>
              <w:rPr>
                <w:sz w:val="21"/>
              </w:rPr>
            </w:pPr>
            <w:proofErr w:type="gramStart"/>
            <w:r>
              <w:rPr>
                <w:color w:val="B02045"/>
                <w:sz w:val="21"/>
              </w:rPr>
              <w:t>spring.main</w:t>
            </w:r>
            <w:proofErr w:type="gramEnd"/>
            <w:r>
              <w:rPr>
                <w:color w:val="B02045"/>
                <w:sz w:val="21"/>
              </w:rPr>
              <w:t>.cloud- platform</w:t>
            </w:r>
          </w:p>
        </w:tc>
        <w:tc>
          <w:tcPr>
            <w:tcW w:w="2494" w:type="dxa"/>
          </w:tcPr>
          <w:p w14:paraId="56127B5A" w14:textId="77777777" w:rsidR="00A720EB" w:rsidRDefault="00A720EB">
            <w:pPr>
              <w:pStyle w:val="TableParagraph"/>
              <w:spacing w:before="0"/>
              <w:ind w:left="0"/>
              <w:rPr>
                <w:rFonts w:ascii="Times New Roman"/>
                <w:sz w:val="20"/>
              </w:rPr>
            </w:pPr>
          </w:p>
        </w:tc>
        <w:tc>
          <w:tcPr>
            <w:tcW w:w="4988" w:type="dxa"/>
          </w:tcPr>
          <w:p w14:paraId="1E131C64" w14:textId="77777777" w:rsidR="00A720EB" w:rsidRDefault="0030286B">
            <w:pPr>
              <w:pStyle w:val="TableParagraph"/>
              <w:spacing w:before="92"/>
              <w:rPr>
                <w:rFonts w:ascii="Cambria"/>
                <w:sz w:val="21"/>
              </w:rPr>
            </w:pPr>
            <w:r>
              <w:rPr>
                <w:rFonts w:ascii="Cambria"/>
                <w:color w:val="333333"/>
                <w:w w:val="110"/>
                <w:sz w:val="21"/>
              </w:rPr>
              <w:t>Override the Cloud Platform auto-detection.</w:t>
            </w:r>
          </w:p>
        </w:tc>
      </w:tr>
      <w:tr w:rsidR="00A720EB" w14:paraId="7AFC674C" w14:textId="77777777">
        <w:trPr>
          <w:trHeight w:val="741"/>
        </w:trPr>
        <w:tc>
          <w:tcPr>
            <w:tcW w:w="2494" w:type="dxa"/>
          </w:tcPr>
          <w:p w14:paraId="2DF53318" w14:textId="77777777" w:rsidR="00A720EB" w:rsidRDefault="0030286B">
            <w:pPr>
              <w:pStyle w:val="TableParagraph"/>
              <w:spacing w:before="46" w:line="230" w:lineRule="auto"/>
              <w:ind w:right="619"/>
              <w:rPr>
                <w:sz w:val="21"/>
              </w:rPr>
            </w:pPr>
            <w:proofErr w:type="gramStart"/>
            <w:r>
              <w:rPr>
                <w:color w:val="B02045"/>
                <w:sz w:val="21"/>
              </w:rPr>
              <w:t>spring.main</w:t>
            </w:r>
            <w:proofErr w:type="gramEnd"/>
            <w:r>
              <w:rPr>
                <w:color w:val="B02045"/>
                <w:sz w:val="21"/>
              </w:rPr>
              <w:t>.lazy- initialization</w:t>
            </w:r>
          </w:p>
        </w:tc>
        <w:tc>
          <w:tcPr>
            <w:tcW w:w="2494" w:type="dxa"/>
          </w:tcPr>
          <w:p w14:paraId="32B5ED1F" w14:textId="77777777" w:rsidR="00A720EB" w:rsidRDefault="0030286B">
            <w:pPr>
              <w:pStyle w:val="TableParagraph"/>
              <w:rPr>
                <w:sz w:val="21"/>
              </w:rPr>
            </w:pPr>
            <w:r>
              <w:rPr>
                <w:color w:val="B02045"/>
                <w:sz w:val="21"/>
              </w:rPr>
              <w:t>false</w:t>
            </w:r>
          </w:p>
        </w:tc>
        <w:tc>
          <w:tcPr>
            <w:tcW w:w="4988" w:type="dxa"/>
          </w:tcPr>
          <w:p w14:paraId="08568A18"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initialization should be performed lazily.</w:t>
            </w:r>
          </w:p>
        </w:tc>
      </w:tr>
      <w:tr w:rsidR="00A720EB" w14:paraId="22BFD15B" w14:textId="77777777">
        <w:trPr>
          <w:trHeight w:val="741"/>
        </w:trPr>
        <w:tc>
          <w:tcPr>
            <w:tcW w:w="2494" w:type="dxa"/>
          </w:tcPr>
          <w:p w14:paraId="4013D1BC" w14:textId="77777777" w:rsidR="00A720EB" w:rsidRDefault="0030286B">
            <w:pPr>
              <w:pStyle w:val="TableParagraph"/>
              <w:spacing w:before="46" w:line="230" w:lineRule="auto"/>
              <w:ind w:right="743"/>
              <w:rPr>
                <w:sz w:val="21"/>
              </w:rPr>
            </w:pPr>
            <w:r>
              <w:rPr>
                <w:color w:val="B02045"/>
                <w:sz w:val="21"/>
              </w:rPr>
              <w:t>spring.main.log- startup-info</w:t>
            </w:r>
          </w:p>
        </w:tc>
        <w:tc>
          <w:tcPr>
            <w:tcW w:w="2494" w:type="dxa"/>
          </w:tcPr>
          <w:p w14:paraId="5361EE57" w14:textId="77777777" w:rsidR="00A720EB" w:rsidRDefault="0030286B">
            <w:pPr>
              <w:pStyle w:val="TableParagraph"/>
              <w:rPr>
                <w:sz w:val="21"/>
              </w:rPr>
            </w:pPr>
            <w:r>
              <w:rPr>
                <w:color w:val="B02045"/>
                <w:sz w:val="21"/>
              </w:rPr>
              <w:t>true</w:t>
            </w:r>
          </w:p>
        </w:tc>
        <w:tc>
          <w:tcPr>
            <w:tcW w:w="4988" w:type="dxa"/>
          </w:tcPr>
          <w:p w14:paraId="6F015FA9" w14:textId="77777777" w:rsidR="00A720EB" w:rsidRDefault="0030286B">
            <w:pPr>
              <w:pStyle w:val="TableParagraph"/>
              <w:spacing w:before="28" w:line="310" w:lineRule="atLeast"/>
              <w:ind w:right="640"/>
              <w:rPr>
                <w:rFonts w:ascii="Cambria"/>
                <w:sz w:val="21"/>
              </w:rPr>
            </w:pPr>
            <w:r>
              <w:rPr>
                <w:rFonts w:ascii="Cambria"/>
                <w:color w:val="333333"/>
                <w:w w:val="110"/>
                <w:sz w:val="21"/>
              </w:rPr>
              <w:t>Whether to log information about the application when it starts.</w:t>
            </w:r>
          </w:p>
        </w:tc>
      </w:tr>
      <w:tr w:rsidR="00A720EB" w14:paraId="593B7CFB" w14:textId="77777777">
        <w:trPr>
          <w:trHeight w:val="741"/>
        </w:trPr>
        <w:tc>
          <w:tcPr>
            <w:tcW w:w="2494" w:type="dxa"/>
          </w:tcPr>
          <w:p w14:paraId="33CF4662" w14:textId="77777777" w:rsidR="00A720EB" w:rsidRDefault="0030286B">
            <w:pPr>
              <w:pStyle w:val="TableParagraph"/>
              <w:spacing w:before="46" w:line="230" w:lineRule="auto"/>
              <w:ind w:right="218"/>
              <w:rPr>
                <w:sz w:val="21"/>
              </w:rPr>
            </w:pPr>
            <w:proofErr w:type="gramStart"/>
            <w:r>
              <w:rPr>
                <w:color w:val="B02045"/>
                <w:sz w:val="21"/>
              </w:rPr>
              <w:t>spring.main</w:t>
            </w:r>
            <w:proofErr w:type="gramEnd"/>
            <w:r>
              <w:rPr>
                <w:color w:val="B02045"/>
                <w:sz w:val="21"/>
              </w:rPr>
              <w:t>.register- shutdown-hook</w:t>
            </w:r>
          </w:p>
        </w:tc>
        <w:tc>
          <w:tcPr>
            <w:tcW w:w="2494" w:type="dxa"/>
          </w:tcPr>
          <w:p w14:paraId="31CBEB87" w14:textId="77777777" w:rsidR="00A720EB" w:rsidRDefault="0030286B">
            <w:pPr>
              <w:pStyle w:val="TableParagraph"/>
              <w:rPr>
                <w:sz w:val="21"/>
              </w:rPr>
            </w:pPr>
            <w:r>
              <w:rPr>
                <w:color w:val="B02045"/>
                <w:sz w:val="21"/>
              </w:rPr>
              <w:t>true</w:t>
            </w:r>
          </w:p>
        </w:tc>
        <w:tc>
          <w:tcPr>
            <w:tcW w:w="4988" w:type="dxa"/>
          </w:tcPr>
          <w:p w14:paraId="77177048"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the application should have a shutdown hook registered.</w:t>
            </w:r>
          </w:p>
        </w:tc>
      </w:tr>
      <w:tr w:rsidR="00A720EB" w14:paraId="70344A33" w14:textId="77777777">
        <w:trPr>
          <w:trHeight w:val="1056"/>
        </w:trPr>
        <w:tc>
          <w:tcPr>
            <w:tcW w:w="2494" w:type="dxa"/>
          </w:tcPr>
          <w:p w14:paraId="5A3688B7" w14:textId="77777777" w:rsidR="00A720EB" w:rsidRDefault="0030286B">
            <w:pPr>
              <w:pStyle w:val="TableParagraph"/>
              <w:rPr>
                <w:sz w:val="21"/>
              </w:rPr>
            </w:pPr>
            <w:proofErr w:type="gramStart"/>
            <w:r>
              <w:rPr>
                <w:color w:val="B02045"/>
                <w:sz w:val="21"/>
              </w:rPr>
              <w:t>spring.main</w:t>
            </w:r>
            <w:proofErr w:type="gramEnd"/>
            <w:r>
              <w:rPr>
                <w:color w:val="B02045"/>
                <w:sz w:val="21"/>
              </w:rPr>
              <w:t>.sources</w:t>
            </w:r>
          </w:p>
        </w:tc>
        <w:tc>
          <w:tcPr>
            <w:tcW w:w="2494" w:type="dxa"/>
          </w:tcPr>
          <w:p w14:paraId="7927C505" w14:textId="77777777" w:rsidR="00A720EB" w:rsidRDefault="00A720EB">
            <w:pPr>
              <w:pStyle w:val="TableParagraph"/>
              <w:spacing w:before="0"/>
              <w:ind w:left="0"/>
              <w:rPr>
                <w:rFonts w:ascii="Times New Roman"/>
                <w:sz w:val="20"/>
              </w:rPr>
            </w:pPr>
          </w:p>
        </w:tc>
        <w:tc>
          <w:tcPr>
            <w:tcW w:w="4988" w:type="dxa"/>
          </w:tcPr>
          <w:p w14:paraId="05BE4A47" w14:textId="77777777" w:rsidR="00A720EB" w:rsidRDefault="0030286B">
            <w:pPr>
              <w:pStyle w:val="TableParagraph"/>
              <w:spacing w:before="28" w:line="310" w:lineRule="atLeast"/>
              <w:rPr>
                <w:rFonts w:ascii="Cambria"/>
                <w:sz w:val="21"/>
              </w:rPr>
            </w:pPr>
            <w:r>
              <w:rPr>
                <w:rFonts w:ascii="Cambria"/>
                <w:color w:val="333333"/>
                <w:w w:val="110"/>
                <w:sz w:val="21"/>
              </w:rPr>
              <w:t>Sources (class names, package names, or XML resource locations) to include in the ApplicationContext.</w:t>
            </w:r>
          </w:p>
        </w:tc>
      </w:tr>
      <w:tr w:rsidR="00A720EB" w14:paraId="5B1FF46C" w14:textId="77777777">
        <w:trPr>
          <w:trHeight w:val="1056"/>
        </w:trPr>
        <w:tc>
          <w:tcPr>
            <w:tcW w:w="2494" w:type="dxa"/>
          </w:tcPr>
          <w:p w14:paraId="210F8083" w14:textId="77777777" w:rsidR="00A720EB" w:rsidRDefault="0030286B">
            <w:pPr>
              <w:pStyle w:val="TableParagraph"/>
              <w:spacing w:before="46" w:line="230" w:lineRule="auto"/>
              <w:ind w:right="743"/>
              <w:rPr>
                <w:sz w:val="21"/>
              </w:rPr>
            </w:pPr>
            <w:r>
              <w:rPr>
                <w:color w:val="B02045"/>
                <w:sz w:val="21"/>
              </w:rPr>
              <w:t>spring.main.web- application-type</w:t>
            </w:r>
          </w:p>
        </w:tc>
        <w:tc>
          <w:tcPr>
            <w:tcW w:w="2494" w:type="dxa"/>
          </w:tcPr>
          <w:p w14:paraId="6AC1F056" w14:textId="77777777" w:rsidR="00A720EB" w:rsidRDefault="00A720EB">
            <w:pPr>
              <w:pStyle w:val="TableParagraph"/>
              <w:spacing w:before="0"/>
              <w:ind w:left="0"/>
              <w:rPr>
                <w:rFonts w:ascii="Times New Roman"/>
                <w:sz w:val="20"/>
              </w:rPr>
            </w:pPr>
          </w:p>
        </w:tc>
        <w:tc>
          <w:tcPr>
            <w:tcW w:w="4988" w:type="dxa"/>
          </w:tcPr>
          <w:p w14:paraId="2D2E0FC6" w14:textId="77777777" w:rsidR="00A720EB" w:rsidRDefault="0030286B">
            <w:pPr>
              <w:pStyle w:val="TableParagraph"/>
              <w:spacing w:before="28" w:line="310" w:lineRule="atLeast"/>
              <w:ind w:right="218"/>
              <w:rPr>
                <w:rFonts w:ascii="Cambria"/>
                <w:sz w:val="21"/>
              </w:rPr>
            </w:pPr>
            <w:r>
              <w:rPr>
                <w:rFonts w:ascii="Cambria"/>
                <w:color w:val="333333"/>
                <w:w w:val="110"/>
                <w:sz w:val="21"/>
              </w:rPr>
              <w:t>Flag to explicitly request a specific type of web application. If not set, auto-detected based on the classpath.</w:t>
            </w:r>
          </w:p>
        </w:tc>
      </w:tr>
      <w:tr w:rsidR="00A720EB" w14:paraId="5537BF13" w14:textId="77777777">
        <w:trPr>
          <w:trHeight w:val="741"/>
        </w:trPr>
        <w:tc>
          <w:tcPr>
            <w:tcW w:w="2494" w:type="dxa"/>
          </w:tcPr>
          <w:p w14:paraId="73F0B6BC" w14:textId="77777777" w:rsidR="00A720EB" w:rsidRDefault="0030286B">
            <w:pPr>
              <w:pStyle w:val="TableParagraph"/>
              <w:spacing w:before="46" w:line="230" w:lineRule="auto"/>
              <w:ind w:right="94"/>
              <w:rPr>
                <w:sz w:val="21"/>
              </w:rPr>
            </w:pPr>
            <w:proofErr w:type="gramStart"/>
            <w:r>
              <w:rPr>
                <w:color w:val="B02045"/>
                <w:sz w:val="21"/>
              </w:rPr>
              <w:t>spring.mandatory</w:t>
            </w:r>
            <w:proofErr w:type="gramEnd"/>
            <w:r>
              <w:rPr>
                <w:color w:val="B02045"/>
                <w:sz w:val="21"/>
              </w:rPr>
              <w:t>-file- encoding</w:t>
            </w:r>
          </w:p>
        </w:tc>
        <w:tc>
          <w:tcPr>
            <w:tcW w:w="2494" w:type="dxa"/>
          </w:tcPr>
          <w:p w14:paraId="749F52E3" w14:textId="77777777" w:rsidR="00A720EB" w:rsidRDefault="00A720EB">
            <w:pPr>
              <w:pStyle w:val="TableParagraph"/>
              <w:spacing w:before="0"/>
              <w:ind w:left="0"/>
              <w:rPr>
                <w:rFonts w:ascii="Times New Roman"/>
                <w:sz w:val="20"/>
              </w:rPr>
            </w:pPr>
          </w:p>
        </w:tc>
        <w:tc>
          <w:tcPr>
            <w:tcW w:w="4988" w:type="dxa"/>
          </w:tcPr>
          <w:p w14:paraId="1F3BD3C4" w14:textId="77777777" w:rsidR="00A720EB" w:rsidRDefault="0030286B">
            <w:pPr>
              <w:pStyle w:val="TableParagraph"/>
              <w:spacing w:before="28" w:line="310" w:lineRule="atLeast"/>
              <w:ind w:right="372"/>
              <w:rPr>
                <w:rFonts w:ascii="Cambria"/>
                <w:sz w:val="21"/>
              </w:rPr>
            </w:pPr>
            <w:r>
              <w:rPr>
                <w:rFonts w:ascii="Cambria"/>
                <w:color w:val="333333"/>
                <w:w w:val="110"/>
                <w:sz w:val="21"/>
              </w:rPr>
              <w:t>Expected character encoding the application must use.</w:t>
            </w:r>
          </w:p>
        </w:tc>
      </w:tr>
      <w:tr w:rsidR="00A720EB" w14:paraId="6D55745A" w14:textId="77777777">
        <w:trPr>
          <w:trHeight w:val="1056"/>
        </w:trPr>
        <w:tc>
          <w:tcPr>
            <w:tcW w:w="2494" w:type="dxa"/>
          </w:tcPr>
          <w:p w14:paraId="56AA1092" w14:textId="77777777" w:rsidR="00A720EB" w:rsidRDefault="0030286B">
            <w:pPr>
              <w:pStyle w:val="TableParagraph"/>
              <w:spacing w:before="37" w:line="264" w:lineRule="exact"/>
              <w:rPr>
                <w:sz w:val="21"/>
              </w:rPr>
            </w:pPr>
            <w:proofErr w:type="gramStart"/>
            <w:r>
              <w:rPr>
                <w:color w:val="B02045"/>
                <w:sz w:val="21"/>
              </w:rPr>
              <w:t>spring.messages</w:t>
            </w:r>
            <w:proofErr w:type="gramEnd"/>
            <w:r>
              <w:rPr>
                <w:color w:val="B02045"/>
                <w:sz w:val="21"/>
              </w:rPr>
              <w:t>.always</w:t>
            </w:r>
          </w:p>
          <w:p w14:paraId="554A949E" w14:textId="77777777" w:rsidR="00A720EB" w:rsidRDefault="0030286B">
            <w:pPr>
              <w:pStyle w:val="TableParagraph"/>
              <w:spacing w:before="0" w:line="264" w:lineRule="exact"/>
              <w:rPr>
                <w:sz w:val="21"/>
              </w:rPr>
            </w:pPr>
            <w:r>
              <w:rPr>
                <w:color w:val="B02045"/>
                <w:sz w:val="21"/>
              </w:rPr>
              <w:t>-use-message-format</w:t>
            </w:r>
          </w:p>
        </w:tc>
        <w:tc>
          <w:tcPr>
            <w:tcW w:w="2494" w:type="dxa"/>
          </w:tcPr>
          <w:p w14:paraId="29345A99" w14:textId="77777777" w:rsidR="00A720EB" w:rsidRDefault="0030286B">
            <w:pPr>
              <w:pStyle w:val="TableParagraph"/>
              <w:spacing w:before="37"/>
              <w:rPr>
                <w:sz w:val="21"/>
              </w:rPr>
            </w:pPr>
            <w:r>
              <w:rPr>
                <w:color w:val="B02045"/>
                <w:sz w:val="21"/>
              </w:rPr>
              <w:t>false</w:t>
            </w:r>
          </w:p>
        </w:tc>
        <w:tc>
          <w:tcPr>
            <w:tcW w:w="4988" w:type="dxa"/>
          </w:tcPr>
          <w:p w14:paraId="58847A52"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always apply the MessageFormat rules, parsing even messages without arguments.</w:t>
            </w:r>
          </w:p>
        </w:tc>
      </w:tr>
      <w:tr w:rsidR="00A720EB" w14:paraId="5FA551C2" w14:textId="77777777">
        <w:trPr>
          <w:trHeight w:val="2319"/>
        </w:trPr>
        <w:tc>
          <w:tcPr>
            <w:tcW w:w="2494" w:type="dxa"/>
          </w:tcPr>
          <w:p w14:paraId="025D955D" w14:textId="77777777" w:rsidR="00A720EB" w:rsidRDefault="0030286B">
            <w:pPr>
              <w:pStyle w:val="TableParagraph"/>
              <w:spacing w:before="46" w:line="230" w:lineRule="auto"/>
              <w:ind w:right="94"/>
              <w:rPr>
                <w:sz w:val="21"/>
              </w:rPr>
            </w:pPr>
            <w:proofErr w:type="gramStart"/>
            <w:r>
              <w:rPr>
                <w:color w:val="B02045"/>
                <w:sz w:val="21"/>
              </w:rPr>
              <w:t>spring.messages</w:t>
            </w:r>
            <w:proofErr w:type="gramEnd"/>
            <w:r>
              <w:rPr>
                <w:color w:val="B02045"/>
                <w:sz w:val="21"/>
              </w:rPr>
              <w:t>.basena me</w:t>
            </w:r>
          </w:p>
        </w:tc>
        <w:tc>
          <w:tcPr>
            <w:tcW w:w="2494" w:type="dxa"/>
          </w:tcPr>
          <w:p w14:paraId="5B37BD37" w14:textId="77777777" w:rsidR="00A720EB" w:rsidRDefault="0030286B">
            <w:pPr>
              <w:pStyle w:val="TableParagraph"/>
              <w:spacing w:before="37"/>
              <w:rPr>
                <w:sz w:val="21"/>
              </w:rPr>
            </w:pPr>
            <w:r>
              <w:rPr>
                <w:color w:val="B02045"/>
                <w:sz w:val="21"/>
              </w:rPr>
              <w:t>messages</w:t>
            </w:r>
          </w:p>
        </w:tc>
        <w:tc>
          <w:tcPr>
            <w:tcW w:w="4988" w:type="dxa"/>
          </w:tcPr>
          <w:p w14:paraId="0462DC2D" w14:textId="77777777" w:rsidR="00A720EB" w:rsidRDefault="0030286B">
            <w:pPr>
              <w:pStyle w:val="TableParagraph"/>
              <w:spacing w:before="92" w:line="307" w:lineRule="auto"/>
              <w:ind w:right="117"/>
              <w:rPr>
                <w:rFonts w:ascii="Cambria"/>
                <w:sz w:val="21"/>
              </w:rPr>
            </w:pPr>
            <w:r>
              <w:rPr>
                <w:rFonts w:ascii="Cambria"/>
                <w:color w:val="333333"/>
                <w:w w:val="110"/>
                <w:sz w:val="21"/>
              </w:rPr>
              <w:t xml:space="preserve">Comma-separated list of basenames (essentially a fully-qualified classpath location), each following the ResourceBundle convention with relaxed support for </w:t>
            </w:r>
            <w:proofErr w:type="gramStart"/>
            <w:r>
              <w:rPr>
                <w:rFonts w:ascii="Cambria"/>
                <w:color w:val="333333"/>
                <w:w w:val="110"/>
                <w:sz w:val="21"/>
              </w:rPr>
              <w:t>slash based</w:t>
            </w:r>
            <w:proofErr w:type="gramEnd"/>
            <w:r>
              <w:rPr>
                <w:rFonts w:ascii="Cambria"/>
                <w:color w:val="333333"/>
                <w:w w:val="110"/>
                <w:sz w:val="21"/>
              </w:rPr>
              <w:t xml:space="preserve"> locations. If it doesn't contain a package qualifier (such as "</w:t>
            </w:r>
            <w:proofErr w:type="gramStart"/>
            <w:r>
              <w:rPr>
                <w:rFonts w:ascii="Cambria"/>
                <w:color w:val="333333"/>
                <w:w w:val="110"/>
                <w:sz w:val="21"/>
              </w:rPr>
              <w:t>org.mypackage</w:t>
            </w:r>
            <w:proofErr w:type="gramEnd"/>
            <w:r>
              <w:rPr>
                <w:rFonts w:ascii="Cambria"/>
                <w:color w:val="333333"/>
                <w:w w:val="110"/>
                <w:sz w:val="21"/>
              </w:rPr>
              <w:t>"), it will be resolved from the classpath root.</w:t>
            </w:r>
          </w:p>
        </w:tc>
      </w:tr>
      <w:tr w:rsidR="00A720EB" w14:paraId="7FCE5A8C" w14:textId="77777777">
        <w:trPr>
          <w:trHeight w:val="1372"/>
        </w:trPr>
        <w:tc>
          <w:tcPr>
            <w:tcW w:w="2494" w:type="dxa"/>
          </w:tcPr>
          <w:p w14:paraId="643E6E25" w14:textId="77777777" w:rsidR="00A720EB" w:rsidRDefault="0030286B">
            <w:pPr>
              <w:pStyle w:val="TableParagraph"/>
              <w:spacing w:before="46" w:line="230" w:lineRule="auto"/>
              <w:ind w:right="94"/>
              <w:rPr>
                <w:sz w:val="21"/>
              </w:rPr>
            </w:pPr>
            <w:proofErr w:type="gramStart"/>
            <w:r>
              <w:rPr>
                <w:color w:val="B02045"/>
                <w:sz w:val="21"/>
              </w:rPr>
              <w:t>spring.messages</w:t>
            </w:r>
            <w:proofErr w:type="gramEnd"/>
            <w:r>
              <w:rPr>
                <w:color w:val="B02045"/>
                <w:sz w:val="21"/>
              </w:rPr>
              <w:t>.cache- duration</w:t>
            </w:r>
          </w:p>
        </w:tc>
        <w:tc>
          <w:tcPr>
            <w:tcW w:w="2494" w:type="dxa"/>
          </w:tcPr>
          <w:p w14:paraId="4A146625" w14:textId="77777777" w:rsidR="00A720EB" w:rsidRDefault="00A720EB">
            <w:pPr>
              <w:pStyle w:val="TableParagraph"/>
              <w:spacing w:before="0"/>
              <w:ind w:left="0"/>
              <w:rPr>
                <w:rFonts w:ascii="Times New Roman"/>
                <w:sz w:val="20"/>
              </w:rPr>
            </w:pPr>
          </w:p>
        </w:tc>
        <w:tc>
          <w:tcPr>
            <w:tcW w:w="4988" w:type="dxa"/>
          </w:tcPr>
          <w:p w14:paraId="0B9F7814" w14:textId="77777777" w:rsidR="00A720EB" w:rsidRDefault="0030286B">
            <w:pPr>
              <w:pStyle w:val="TableParagraph"/>
              <w:spacing w:before="28" w:line="310" w:lineRule="atLeast"/>
              <w:rPr>
                <w:rFonts w:ascii="Cambria"/>
                <w:sz w:val="21"/>
              </w:rPr>
            </w:pPr>
            <w:r>
              <w:rPr>
                <w:rFonts w:ascii="Cambria"/>
                <w:color w:val="333333"/>
                <w:w w:val="110"/>
                <w:sz w:val="21"/>
              </w:rPr>
              <w:t>Loaded resource bundle files cache duration. When not set, bundles are cached forever. If a duration suffix is not specified, seconds will be used.</w:t>
            </w:r>
          </w:p>
        </w:tc>
      </w:tr>
    </w:tbl>
    <w:p w14:paraId="2A74B169" w14:textId="77777777" w:rsidR="00A720EB" w:rsidRDefault="00A720EB">
      <w:pPr>
        <w:spacing w:line="310" w:lineRule="atLeast"/>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8F4245D" w14:textId="77777777">
        <w:trPr>
          <w:trHeight w:val="415"/>
        </w:trPr>
        <w:tc>
          <w:tcPr>
            <w:tcW w:w="2494" w:type="dxa"/>
            <w:tcBorders>
              <w:bottom w:val="single" w:sz="12" w:space="0" w:color="DDDDDD"/>
            </w:tcBorders>
          </w:tcPr>
          <w:p w14:paraId="59C6C90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A1C1BF7"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369B290"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E1CD8C1" w14:textId="77777777">
        <w:trPr>
          <w:trHeight w:val="617"/>
        </w:trPr>
        <w:tc>
          <w:tcPr>
            <w:tcW w:w="2494" w:type="dxa"/>
            <w:tcBorders>
              <w:top w:val="single" w:sz="12" w:space="0" w:color="DDDDDD"/>
            </w:tcBorders>
          </w:tcPr>
          <w:p w14:paraId="7923ECC2" w14:textId="77777777" w:rsidR="00A720EB" w:rsidRDefault="0030286B">
            <w:pPr>
              <w:pStyle w:val="TableParagraph"/>
              <w:spacing w:before="36" w:line="230" w:lineRule="auto"/>
              <w:ind w:right="94"/>
              <w:rPr>
                <w:sz w:val="21"/>
              </w:rPr>
            </w:pPr>
            <w:proofErr w:type="gramStart"/>
            <w:r>
              <w:rPr>
                <w:color w:val="B02045"/>
                <w:sz w:val="21"/>
              </w:rPr>
              <w:t>spring.messages</w:t>
            </w:r>
            <w:proofErr w:type="gramEnd"/>
            <w:r>
              <w:rPr>
                <w:color w:val="B02045"/>
                <w:sz w:val="21"/>
              </w:rPr>
              <w:t>.encodi ng</w:t>
            </w:r>
          </w:p>
        </w:tc>
        <w:tc>
          <w:tcPr>
            <w:tcW w:w="2494" w:type="dxa"/>
            <w:tcBorders>
              <w:top w:val="single" w:sz="12" w:space="0" w:color="DDDDDD"/>
            </w:tcBorders>
          </w:tcPr>
          <w:p w14:paraId="723EBAAC" w14:textId="77777777" w:rsidR="00A720EB" w:rsidRDefault="0030286B">
            <w:pPr>
              <w:pStyle w:val="TableParagraph"/>
              <w:spacing w:before="27"/>
              <w:rPr>
                <w:sz w:val="21"/>
              </w:rPr>
            </w:pPr>
            <w:r>
              <w:rPr>
                <w:color w:val="B02045"/>
                <w:sz w:val="21"/>
              </w:rPr>
              <w:t>UTF-8</w:t>
            </w:r>
          </w:p>
        </w:tc>
        <w:tc>
          <w:tcPr>
            <w:tcW w:w="4988" w:type="dxa"/>
            <w:tcBorders>
              <w:top w:val="single" w:sz="12" w:space="0" w:color="DDDDDD"/>
            </w:tcBorders>
          </w:tcPr>
          <w:p w14:paraId="6B8C3D69" w14:textId="77777777" w:rsidR="00A720EB" w:rsidRDefault="0030286B">
            <w:pPr>
              <w:pStyle w:val="TableParagraph"/>
              <w:spacing w:before="82"/>
              <w:rPr>
                <w:rFonts w:ascii="Cambria"/>
                <w:sz w:val="21"/>
              </w:rPr>
            </w:pPr>
            <w:r>
              <w:rPr>
                <w:rFonts w:ascii="Cambria"/>
                <w:color w:val="333333"/>
                <w:w w:val="110"/>
                <w:sz w:val="21"/>
              </w:rPr>
              <w:t>Message bundles encoding.</w:t>
            </w:r>
          </w:p>
        </w:tc>
      </w:tr>
      <w:tr w:rsidR="00A720EB" w14:paraId="7DD7BF75" w14:textId="77777777">
        <w:trPr>
          <w:trHeight w:val="1687"/>
        </w:trPr>
        <w:tc>
          <w:tcPr>
            <w:tcW w:w="2494" w:type="dxa"/>
          </w:tcPr>
          <w:p w14:paraId="33B46ECE" w14:textId="77777777" w:rsidR="00A720EB" w:rsidRDefault="0030286B">
            <w:pPr>
              <w:pStyle w:val="TableParagraph"/>
              <w:spacing w:before="46" w:line="230" w:lineRule="auto"/>
              <w:ind w:right="113"/>
              <w:rPr>
                <w:sz w:val="21"/>
              </w:rPr>
            </w:pPr>
            <w:proofErr w:type="gramStart"/>
            <w:r>
              <w:rPr>
                <w:color w:val="B02045"/>
                <w:sz w:val="21"/>
              </w:rPr>
              <w:t>spring.messages</w:t>
            </w:r>
            <w:proofErr w:type="gramEnd"/>
            <w:r>
              <w:rPr>
                <w:color w:val="B02045"/>
                <w:sz w:val="21"/>
              </w:rPr>
              <w:t>.fallba ck-to-system-locale</w:t>
            </w:r>
          </w:p>
        </w:tc>
        <w:tc>
          <w:tcPr>
            <w:tcW w:w="2494" w:type="dxa"/>
          </w:tcPr>
          <w:p w14:paraId="2C0BB712" w14:textId="77777777" w:rsidR="00A720EB" w:rsidRDefault="0030286B">
            <w:pPr>
              <w:pStyle w:val="TableParagraph"/>
              <w:spacing w:before="37"/>
              <w:rPr>
                <w:sz w:val="21"/>
              </w:rPr>
            </w:pPr>
            <w:r>
              <w:rPr>
                <w:color w:val="B02045"/>
                <w:sz w:val="21"/>
              </w:rPr>
              <w:t>true</w:t>
            </w:r>
          </w:p>
        </w:tc>
        <w:tc>
          <w:tcPr>
            <w:tcW w:w="4988" w:type="dxa"/>
          </w:tcPr>
          <w:p w14:paraId="587AE609" w14:textId="77777777" w:rsidR="00A720EB" w:rsidRDefault="0030286B">
            <w:pPr>
              <w:pStyle w:val="TableParagraph"/>
              <w:spacing w:before="92" w:line="307" w:lineRule="auto"/>
              <w:ind w:right="73"/>
              <w:rPr>
                <w:rFonts w:ascii="Cambria"/>
                <w:sz w:val="21"/>
              </w:rPr>
            </w:pPr>
            <w:r>
              <w:rPr>
                <w:rFonts w:ascii="Cambria"/>
                <w:color w:val="333333"/>
                <w:w w:val="110"/>
                <w:sz w:val="21"/>
              </w:rPr>
              <w:t>Whether to fall back to the system Locale if no files for a specific Locale have been found. if this is turned off, the only fallback will be the default file (e.g. "</w:t>
            </w:r>
            <w:proofErr w:type="gramStart"/>
            <w:r>
              <w:rPr>
                <w:rFonts w:ascii="Cambria"/>
                <w:color w:val="333333"/>
                <w:w w:val="110"/>
                <w:sz w:val="21"/>
              </w:rPr>
              <w:t>messages.properties</w:t>
            </w:r>
            <w:proofErr w:type="gramEnd"/>
            <w:r>
              <w:rPr>
                <w:rFonts w:ascii="Cambria"/>
                <w:color w:val="333333"/>
                <w:w w:val="110"/>
                <w:sz w:val="21"/>
              </w:rPr>
              <w:t>" for basename "messages").</w:t>
            </w:r>
          </w:p>
        </w:tc>
      </w:tr>
      <w:tr w:rsidR="00A720EB" w14:paraId="6BD8B870" w14:textId="77777777">
        <w:trPr>
          <w:trHeight w:val="1372"/>
        </w:trPr>
        <w:tc>
          <w:tcPr>
            <w:tcW w:w="2494" w:type="dxa"/>
          </w:tcPr>
          <w:p w14:paraId="58D8E3B0" w14:textId="77777777" w:rsidR="00A720EB" w:rsidRDefault="0030286B">
            <w:pPr>
              <w:pStyle w:val="TableParagraph"/>
              <w:spacing w:before="46" w:line="230" w:lineRule="auto"/>
              <w:ind w:right="323"/>
              <w:rPr>
                <w:sz w:val="21"/>
              </w:rPr>
            </w:pPr>
            <w:r>
              <w:rPr>
                <w:color w:val="B02045"/>
                <w:sz w:val="21"/>
              </w:rPr>
              <w:t>spring.messages.use- code-as-default- message</w:t>
            </w:r>
          </w:p>
        </w:tc>
        <w:tc>
          <w:tcPr>
            <w:tcW w:w="2494" w:type="dxa"/>
          </w:tcPr>
          <w:p w14:paraId="13A3BE44" w14:textId="77777777" w:rsidR="00A720EB" w:rsidRDefault="0030286B">
            <w:pPr>
              <w:pStyle w:val="TableParagraph"/>
              <w:rPr>
                <w:sz w:val="21"/>
              </w:rPr>
            </w:pPr>
            <w:r>
              <w:rPr>
                <w:color w:val="B02045"/>
                <w:sz w:val="21"/>
              </w:rPr>
              <w:t>false</w:t>
            </w:r>
          </w:p>
        </w:tc>
        <w:tc>
          <w:tcPr>
            <w:tcW w:w="4988" w:type="dxa"/>
          </w:tcPr>
          <w:p w14:paraId="0BC6FCB1" w14:textId="77777777" w:rsidR="00A720EB" w:rsidRDefault="0030286B">
            <w:pPr>
              <w:pStyle w:val="TableParagraph"/>
              <w:spacing w:before="28" w:line="310" w:lineRule="atLeast"/>
              <w:rPr>
                <w:rFonts w:ascii="Cambria"/>
                <w:sz w:val="21"/>
              </w:rPr>
            </w:pPr>
            <w:r>
              <w:rPr>
                <w:rFonts w:ascii="Cambria"/>
                <w:color w:val="333333"/>
                <w:w w:val="110"/>
                <w:sz w:val="21"/>
              </w:rPr>
              <w:t>Whether to use the message code as the default message instead of throwing a "NoSuchMessageException". Recommended during development only.</w:t>
            </w:r>
          </w:p>
        </w:tc>
      </w:tr>
      <w:tr w:rsidR="00A720EB" w14:paraId="0C6DF75B" w14:textId="77777777">
        <w:trPr>
          <w:trHeight w:val="627"/>
        </w:trPr>
        <w:tc>
          <w:tcPr>
            <w:tcW w:w="2494" w:type="dxa"/>
          </w:tcPr>
          <w:p w14:paraId="74288BFB" w14:textId="77777777" w:rsidR="00A720EB" w:rsidRDefault="0030286B">
            <w:pPr>
              <w:pStyle w:val="TableParagraph"/>
              <w:spacing w:before="46" w:line="230" w:lineRule="auto"/>
              <w:ind w:right="94"/>
              <w:rPr>
                <w:sz w:val="21"/>
              </w:rPr>
            </w:pPr>
            <w:r>
              <w:rPr>
                <w:color w:val="B02045"/>
                <w:sz w:val="21"/>
              </w:rPr>
              <w:t>spring.output.ansi.ena bled</w:t>
            </w:r>
          </w:p>
        </w:tc>
        <w:tc>
          <w:tcPr>
            <w:tcW w:w="2494" w:type="dxa"/>
          </w:tcPr>
          <w:p w14:paraId="528F2095" w14:textId="77777777" w:rsidR="00A720EB" w:rsidRDefault="0030286B">
            <w:pPr>
              <w:pStyle w:val="TableParagraph"/>
              <w:rPr>
                <w:sz w:val="21"/>
              </w:rPr>
            </w:pPr>
            <w:r>
              <w:rPr>
                <w:color w:val="B02045"/>
                <w:sz w:val="21"/>
              </w:rPr>
              <w:t>detect</w:t>
            </w:r>
          </w:p>
        </w:tc>
        <w:tc>
          <w:tcPr>
            <w:tcW w:w="4988" w:type="dxa"/>
          </w:tcPr>
          <w:p w14:paraId="57E1CC78" w14:textId="77777777" w:rsidR="00A720EB" w:rsidRDefault="0030286B">
            <w:pPr>
              <w:pStyle w:val="TableParagraph"/>
              <w:spacing w:before="92"/>
              <w:rPr>
                <w:rFonts w:ascii="Cambria"/>
                <w:sz w:val="21"/>
              </w:rPr>
            </w:pPr>
            <w:r>
              <w:rPr>
                <w:rFonts w:ascii="Cambria"/>
                <w:color w:val="333333"/>
                <w:w w:val="110"/>
                <w:sz w:val="21"/>
              </w:rPr>
              <w:t>Configures the ANSI output.</w:t>
            </w:r>
          </w:p>
        </w:tc>
      </w:tr>
      <w:tr w:rsidR="00A720EB" w14:paraId="5B3C8978" w14:textId="77777777">
        <w:trPr>
          <w:trHeight w:val="741"/>
        </w:trPr>
        <w:tc>
          <w:tcPr>
            <w:tcW w:w="2494" w:type="dxa"/>
          </w:tcPr>
          <w:p w14:paraId="71B716C7" w14:textId="77777777" w:rsidR="00A720EB" w:rsidRDefault="0030286B">
            <w:pPr>
              <w:pStyle w:val="TableParagraph"/>
              <w:spacing w:before="46" w:line="230" w:lineRule="auto"/>
              <w:ind w:right="428"/>
              <w:rPr>
                <w:sz w:val="21"/>
              </w:rPr>
            </w:pPr>
            <w:proofErr w:type="gramStart"/>
            <w:r>
              <w:rPr>
                <w:color w:val="B02045"/>
                <w:sz w:val="21"/>
              </w:rPr>
              <w:t>spring.pid.fail</w:t>
            </w:r>
            <w:proofErr w:type="gramEnd"/>
            <w:r>
              <w:rPr>
                <w:color w:val="B02045"/>
                <w:sz w:val="21"/>
              </w:rPr>
              <w:t>-on- write-error</w:t>
            </w:r>
          </w:p>
        </w:tc>
        <w:tc>
          <w:tcPr>
            <w:tcW w:w="2494" w:type="dxa"/>
          </w:tcPr>
          <w:p w14:paraId="17F1BD64" w14:textId="77777777" w:rsidR="00A720EB" w:rsidRDefault="00A720EB">
            <w:pPr>
              <w:pStyle w:val="TableParagraph"/>
              <w:spacing w:before="0"/>
              <w:ind w:left="0"/>
              <w:rPr>
                <w:rFonts w:ascii="Times New Roman"/>
                <w:sz w:val="20"/>
              </w:rPr>
            </w:pPr>
          </w:p>
        </w:tc>
        <w:tc>
          <w:tcPr>
            <w:tcW w:w="4988" w:type="dxa"/>
          </w:tcPr>
          <w:p w14:paraId="2FFB6ACA" w14:textId="77777777" w:rsidR="00A720EB" w:rsidRDefault="0030286B">
            <w:pPr>
              <w:pStyle w:val="TableParagraph"/>
              <w:spacing w:before="28" w:line="310" w:lineRule="atLeast"/>
              <w:rPr>
                <w:rFonts w:ascii="Cambria"/>
                <w:sz w:val="21"/>
              </w:rPr>
            </w:pPr>
            <w:r>
              <w:rPr>
                <w:rFonts w:ascii="Cambria"/>
                <w:color w:val="333333"/>
                <w:w w:val="110"/>
                <w:sz w:val="21"/>
              </w:rPr>
              <w:t>Fails if ApplicationPidFileWriter is used but it cannot write the PID file.</w:t>
            </w:r>
          </w:p>
        </w:tc>
      </w:tr>
      <w:tr w:rsidR="00A720EB" w14:paraId="68272D42" w14:textId="77777777">
        <w:trPr>
          <w:trHeight w:val="741"/>
        </w:trPr>
        <w:tc>
          <w:tcPr>
            <w:tcW w:w="2494" w:type="dxa"/>
          </w:tcPr>
          <w:p w14:paraId="3C72A260" w14:textId="77777777" w:rsidR="00A720EB" w:rsidRDefault="0030286B">
            <w:pPr>
              <w:pStyle w:val="TableParagraph"/>
              <w:rPr>
                <w:sz w:val="21"/>
              </w:rPr>
            </w:pPr>
            <w:proofErr w:type="gramStart"/>
            <w:r>
              <w:rPr>
                <w:color w:val="B02045"/>
                <w:sz w:val="21"/>
              </w:rPr>
              <w:t>spring.pid.file</w:t>
            </w:r>
            <w:proofErr w:type="gramEnd"/>
          </w:p>
        </w:tc>
        <w:tc>
          <w:tcPr>
            <w:tcW w:w="2494" w:type="dxa"/>
          </w:tcPr>
          <w:p w14:paraId="14CC184A" w14:textId="77777777" w:rsidR="00A720EB" w:rsidRDefault="00A720EB">
            <w:pPr>
              <w:pStyle w:val="TableParagraph"/>
              <w:spacing w:before="0"/>
              <w:ind w:left="0"/>
              <w:rPr>
                <w:rFonts w:ascii="Times New Roman"/>
                <w:sz w:val="20"/>
              </w:rPr>
            </w:pPr>
          </w:p>
        </w:tc>
        <w:tc>
          <w:tcPr>
            <w:tcW w:w="4988" w:type="dxa"/>
          </w:tcPr>
          <w:p w14:paraId="74CC996F" w14:textId="77777777" w:rsidR="00A720EB" w:rsidRDefault="0030286B">
            <w:pPr>
              <w:pStyle w:val="TableParagraph"/>
              <w:spacing w:before="28" w:line="310" w:lineRule="atLeast"/>
              <w:rPr>
                <w:rFonts w:ascii="Cambria"/>
                <w:sz w:val="21"/>
              </w:rPr>
            </w:pPr>
            <w:r>
              <w:rPr>
                <w:rFonts w:ascii="Cambria"/>
                <w:color w:val="333333"/>
                <w:w w:val="110"/>
                <w:sz w:val="21"/>
              </w:rPr>
              <w:t>Location of the PID file to write (if ApplicationPidFileWriter is used).</w:t>
            </w:r>
          </w:p>
        </w:tc>
      </w:tr>
      <w:tr w:rsidR="00A720EB" w14:paraId="469553C4" w14:textId="77777777">
        <w:trPr>
          <w:trHeight w:val="1056"/>
        </w:trPr>
        <w:tc>
          <w:tcPr>
            <w:tcW w:w="2494" w:type="dxa"/>
          </w:tcPr>
          <w:p w14:paraId="42003995" w14:textId="77777777" w:rsidR="00A720EB" w:rsidRDefault="0030286B">
            <w:pPr>
              <w:pStyle w:val="TableParagraph"/>
              <w:spacing w:before="37"/>
              <w:rPr>
                <w:sz w:val="21"/>
              </w:rPr>
            </w:pPr>
            <w:proofErr w:type="gramStart"/>
            <w:r>
              <w:rPr>
                <w:color w:val="B02045"/>
                <w:sz w:val="21"/>
              </w:rPr>
              <w:t>spring.profiles</w:t>
            </w:r>
            <w:proofErr w:type="gramEnd"/>
          </w:p>
        </w:tc>
        <w:tc>
          <w:tcPr>
            <w:tcW w:w="2494" w:type="dxa"/>
          </w:tcPr>
          <w:p w14:paraId="1DADE598" w14:textId="77777777" w:rsidR="00A720EB" w:rsidRDefault="00A720EB">
            <w:pPr>
              <w:pStyle w:val="TableParagraph"/>
              <w:spacing w:before="0"/>
              <w:ind w:left="0"/>
              <w:rPr>
                <w:rFonts w:ascii="Times New Roman"/>
                <w:sz w:val="20"/>
              </w:rPr>
            </w:pPr>
          </w:p>
        </w:tc>
        <w:tc>
          <w:tcPr>
            <w:tcW w:w="4988" w:type="dxa"/>
          </w:tcPr>
          <w:p w14:paraId="334DB13E" w14:textId="77777777" w:rsidR="00A720EB" w:rsidRDefault="0030286B">
            <w:pPr>
              <w:pStyle w:val="TableParagraph"/>
              <w:spacing w:before="28" w:line="310" w:lineRule="atLeast"/>
              <w:ind w:right="42"/>
              <w:jc w:val="both"/>
              <w:rPr>
                <w:rFonts w:ascii="Cambria"/>
                <w:sz w:val="21"/>
              </w:rPr>
            </w:pPr>
            <w:r>
              <w:rPr>
                <w:rFonts w:ascii="Cambria"/>
                <w:color w:val="333333"/>
                <w:w w:val="110"/>
                <w:sz w:val="21"/>
              </w:rPr>
              <w:t>Comma-separated list of profile expressions that at least one should match for the document to be included.</w:t>
            </w:r>
          </w:p>
        </w:tc>
      </w:tr>
      <w:tr w:rsidR="00A720EB" w14:paraId="38E5F7DF" w14:textId="77777777">
        <w:trPr>
          <w:trHeight w:val="741"/>
        </w:trPr>
        <w:tc>
          <w:tcPr>
            <w:tcW w:w="2494" w:type="dxa"/>
          </w:tcPr>
          <w:p w14:paraId="69BB618A" w14:textId="77777777" w:rsidR="00A720EB" w:rsidRDefault="0030286B">
            <w:pPr>
              <w:pStyle w:val="TableParagraph"/>
              <w:spacing w:before="37"/>
              <w:rPr>
                <w:sz w:val="21"/>
              </w:rPr>
            </w:pPr>
            <w:proofErr w:type="gramStart"/>
            <w:r>
              <w:rPr>
                <w:color w:val="B02045"/>
                <w:sz w:val="21"/>
              </w:rPr>
              <w:t>spring.profiles</w:t>
            </w:r>
            <w:proofErr w:type="gramEnd"/>
            <w:r>
              <w:rPr>
                <w:color w:val="B02045"/>
                <w:sz w:val="21"/>
              </w:rPr>
              <w:t>.active</w:t>
            </w:r>
          </w:p>
        </w:tc>
        <w:tc>
          <w:tcPr>
            <w:tcW w:w="2494" w:type="dxa"/>
          </w:tcPr>
          <w:p w14:paraId="5499D515" w14:textId="77777777" w:rsidR="00A720EB" w:rsidRDefault="00A720EB">
            <w:pPr>
              <w:pStyle w:val="TableParagraph"/>
              <w:spacing w:before="0"/>
              <w:ind w:left="0"/>
              <w:rPr>
                <w:rFonts w:ascii="Times New Roman"/>
                <w:sz w:val="20"/>
              </w:rPr>
            </w:pPr>
          </w:p>
        </w:tc>
        <w:tc>
          <w:tcPr>
            <w:tcW w:w="4988" w:type="dxa"/>
          </w:tcPr>
          <w:p w14:paraId="2C905A53"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active profiles. Can be overridden by a command line switch.</w:t>
            </w:r>
          </w:p>
        </w:tc>
      </w:tr>
      <w:tr w:rsidR="00A720EB" w14:paraId="7EABF5C4" w14:textId="77777777">
        <w:trPr>
          <w:trHeight w:val="1056"/>
        </w:trPr>
        <w:tc>
          <w:tcPr>
            <w:tcW w:w="2494" w:type="dxa"/>
          </w:tcPr>
          <w:p w14:paraId="6962F80E" w14:textId="77777777" w:rsidR="00A720EB" w:rsidRDefault="0030286B">
            <w:pPr>
              <w:pStyle w:val="TableParagraph"/>
              <w:spacing w:before="46" w:line="230" w:lineRule="auto"/>
              <w:ind w:right="94"/>
              <w:rPr>
                <w:sz w:val="21"/>
              </w:rPr>
            </w:pPr>
            <w:proofErr w:type="gramStart"/>
            <w:r>
              <w:rPr>
                <w:color w:val="B02045"/>
                <w:sz w:val="21"/>
              </w:rPr>
              <w:t>spring.profiles</w:t>
            </w:r>
            <w:proofErr w:type="gramEnd"/>
            <w:r>
              <w:rPr>
                <w:color w:val="B02045"/>
                <w:sz w:val="21"/>
              </w:rPr>
              <w:t>.includ e</w:t>
            </w:r>
          </w:p>
        </w:tc>
        <w:tc>
          <w:tcPr>
            <w:tcW w:w="2494" w:type="dxa"/>
          </w:tcPr>
          <w:p w14:paraId="14D32D52" w14:textId="77777777" w:rsidR="00A720EB" w:rsidRDefault="00A720EB">
            <w:pPr>
              <w:pStyle w:val="TableParagraph"/>
              <w:spacing w:before="0"/>
              <w:ind w:left="0"/>
              <w:rPr>
                <w:rFonts w:ascii="Times New Roman"/>
                <w:sz w:val="20"/>
              </w:rPr>
            </w:pPr>
          </w:p>
        </w:tc>
        <w:tc>
          <w:tcPr>
            <w:tcW w:w="4988" w:type="dxa"/>
          </w:tcPr>
          <w:p w14:paraId="047E5C6A" w14:textId="77777777" w:rsidR="00A720EB" w:rsidRDefault="0030286B">
            <w:pPr>
              <w:pStyle w:val="TableParagraph"/>
              <w:spacing w:before="28" w:line="310" w:lineRule="atLeast"/>
              <w:ind w:right="218"/>
              <w:rPr>
                <w:rFonts w:ascii="Cambria"/>
                <w:sz w:val="21"/>
              </w:rPr>
            </w:pPr>
            <w:r>
              <w:rPr>
                <w:rFonts w:ascii="Cambria"/>
                <w:color w:val="333333"/>
                <w:w w:val="110"/>
                <w:sz w:val="21"/>
              </w:rPr>
              <w:t>Unconditionally activate the specified comma- separated list of profiles (or list of profiles if using YAML).</w:t>
            </w:r>
          </w:p>
        </w:tc>
      </w:tr>
      <w:tr w:rsidR="00A720EB" w14:paraId="52EB9A53" w14:textId="77777777">
        <w:trPr>
          <w:trHeight w:val="741"/>
        </w:trPr>
        <w:tc>
          <w:tcPr>
            <w:tcW w:w="2494" w:type="dxa"/>
          </w:tcPr>
          <w:p w14:paraId="2600674D" w14:textId="77777777" w:rsidR="00A720EB" w:rsidRDefault="0030286B">
            <w:pPr>
              <w:pStyle w:val="TableParagraph"/>
              <w:spacing w:before="46" w:line="230" w:lineRule="auto"/>
              <w:ind w:right="409"/>
              <w:rPr>
                <w:sz w:val="21"/>
              </w:rPr>
            </w:pPr>
            <w:proofErr w:type="gramStart"/>
            <w:r>
              <w:rPr>
                <w:color w:val="B02045"/>
                <w:sz w:val="21"/>
              </w:rPr>
              <w:t>spring.quartz</w:t>
            </w:r>
            <w:proofErr w:type="gramEnd"/>
            <w:r>
              <w:rPr>
                <w:color w:val="B02045"/>
                <w:sz w:val="21"/>
              </w:rPr>
              <w:t>.auto- startup</w:t>
            </w:r>
          </w:p>
        </w:tc>
        <w:tc>
          <w:tcPr>
            <w:tcW w:w="2494" w:type="dxa"/>
          </w:tcPr>
          <w:p w14:paraId="7887BBA0" w14:textId="77777777" w:rsidR="00A720EB" w:rsidRDefault="0030286B">
            <w:pPr>
              <w:pStyle w:val="TableParagraph"/>
              <w:spacing w:before="37"/>
              <w:rPr>
                <w:sz w:val="21"/>
              </w:rPr>
            </w:pPr>
            <w:r>
              <w:rPr>
                <w:color w:val="B02045"/>
                <w:sz w:val="21"/>
              </w:rPr>
              <w:t>true</w:t>
            </w:r>
          </w:p>
        </w:tc>
        <w:tc>
          <w:tcPr>
            <w:tcW w:w="4988" w:type="dxa"/>
          </w:tcPr>
          <w:p w14:paraId="0A35F458"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automatically start the scheduler after initialization.</w:t>
            </w:r>
          </w:p>
        </w:tc>
      </w:tr>
      <w:tr w:rsidR="00A720EB" w14:paraId="73B0C1C1" w14:textId="77777777">
        <w:trPr>
          <w:trHeight w:val="741"/>
        </w:trPr>
        <w:tc>
          <w:tcPr>
            <w:tcW w:w="2494" w:type="dxa"/>
          </w:tcPr>
          <w:p w14:paraId="338C517F" w14:textId="77777777" w:rsidR="00A720EB" w:rsidRDefault="0030286B">
            <w:pPr>
              <w:pStyle w:val="TableParagraph"/>
              <w:spacing w:before="46" w:line="230" w:lineRule="auto"/>
              <w:ind w:right="113"/>
              <w:rPr>
                <w:sz w:val="21"/>
              </w:rPr>
            </w:pPr>
            <w:r>
              <w:rPr>
                <w:color w:val="B02045"/>
                <w:sz w:val="21"/>
              </w:rPr>
              <w:t>spring.quartz.jdbc.com ment-prefix</w:t>
            </w:r>
          </w:p>
        </w:tc>
        <w:tc>
          <w:tcPr>
            <w:tcW w:w="2494" w:type="dxa"/>
          </w:tcPr>
          <w:p w14:paraId="291F4BD5" w14:textId="77777777" w:rsidR="00A720EB" w:rsidRDefault="0030286B">
            <w:pPr>
              <w:pStyle w:val="TableParagraph"/>
              <w:rPr>
                <w:sz w:val="21"/>
              </w:rPr>
            </w:pPr>
            <w:r>
              <w:rPr>
                <w:color w:val="B02045"/>
                <w:sz w:val="21"/>
              </w:rPr>
              <w:t>[#, --]</w:t>
            </w:r>
          </w:p>
        </w:tc>
        <w:tc>
          <w:tcPr>
            <w:tcW w:w="4988" w:type="dxa"/>
          </w:tcPr>
          <w:p w14:paraId="30ACE3ED" w14:textId="77777777" w:rsidR="00A720EB" w:rsidRDefault="0030286B">
            <w:pPr>
              <w:pStyle w:val="TableParagraph"/>
              <w:spacing w:before="28" w:line="310" w:lineRule="atLeast"/>
              <w:rPr>
                <w:rFonts w:ascii="Cambria"/>
                <w:sz w:val="21"/>
              </w:rPr>
            </w:pPr>
            <w:r>
              <w:rPr>
                <w:rFonts w:ascii="Cambria"/>
                <w:color w:val="333333"/>
                <w:w w:val="110"/>
                <w:sz w:val="21"/>
              </w:rPr>
              <w:t>Prefixes for single-line comments in SQL initialization scripts.</w:t>
            </w:r>
          </w:p>
        </w:tc>
      </w:tr>
      <w:tr w:rsidR="00A720EB" w14:paraId="0B142BF5" w14:textId="77777777">
        <w:trPr>
          <w:trHeight w:val="627"/>
        </w:trPr>
        <w:tc>
          <w:tcPr>
            <w:tcW w:w="2494" w:type="dxa"/>
          </w:tcPr>
          <w:p w14:paraId="5F05EDF7" w14:textId="77777777" w:rsidR="00A720EB" w:rsidRDefault="0030286B">
            <w:pPr>
              <w:pStyle w:val="TableParagraph"/>
              <w:spacing w:before="46" w:line="230" w:lineRule="auto"/>
              <w:ind w:right="113"/>
              <w:rPr>
                <w:sz w:val="21"/>
              </w:rPr>
            </w:pPr>
            <w:r>
              <w:rPr>
                <w:color w:val="B02045"/>
                <w:sz w:val="21"/>
              </w:rPr>
              <w:t>spring.quartz.jdbc.ini tialize-schema</w:t>
            </w:r>
          </w:p>
        </w:tc>
        <w:tc>
          <w:tcPr>
            <w:tcW w:w="2494" w:type="dxa"/>
          </w:tcPr>
          <w:p w14:paraId="01870975" w14:textId="77777777" w:rsidR="00A720EB" w:rsidRDefault="0030286B">
            <w:pPr>
              <w:pStyle w:val="TableParagraph"/>
              <w:rPr>
                <w:sz w:val="21"/>
              </w:rPr>
            </w:pPr>
            <w:r>
              <w:rPr>
                <w:color w:val="B02045"/>
                <w:sz w:val="21"/>
              </w:rPr>
              <w:t>embedded</w:t>
            </w:r>
          </w:p>
        </w:tc>
        <w:tc>
          <w:tcPr>
            <w:tcW w:w="4988" w:type="dxa"/>
          </w:tcPr>
          <w:p w14:paraId="3482701F" w14:textId="77777777" w:rsidR="00A720EB" w:rsidRDefault="0030286B">
            <w:pPr>
              <w:pStyle w:val="TableParagraph"/>
              <w:spacing w:before="92"/>
              <w:rPr>
                <w:rFonts w:ascii="Cambria"/>
                <w:sz w:val="21"/>
              </w:rPr>
            </w:pPr>
            <w:r>
              <w:rPr>
                <w:rFonts w:ascii="Cambria"/>
                <w:color w:val="333333"/>
                <w:w w:val="110"/>
                <w:sz w:val="21"/>
              </w:rPr>
              <w:t>Database schema initialization mode.</w:t>
            </w:r>
          </w:p>
        </w:tc>
      </w:tr>
      <w:tr w:rsidR="00A720EB" w14:paraId="4EE0FA8D" w14:textId="77777777">
        <w:trPr>
          <w:trHeight w:val="886"/>
        </w:trPr>
        <w:tc>
          <w:tcPr>
            <w:tcW w:w="2494" w:type="dxa"/>
          </w:tcPr>
          <w:p w14:paraId="1FE71B0D" w14:textId="77777777" w:rsidR="00A720EB" w:rsidRDefault="0030286B">
            <w:pPr>
              <w:pStyle w:val="TableParagraph"/>
              <w:spacing w:before="46" w:line="230" w:lineRule="auto"/>
              <w:ind w:right="94"/>
              <w:rPr>
                <w:sz w:val="21"/>
              </w:rPr>
            </w:pPr>
            <w:r>
              <w:rPr>
                <w:color w:val="B02045"/>
                <w:sz w:val="21"/>
              </w:rPr>
              <w:t>spring.quartz.jdbc.sch ema</w:t>
            </w:r>
          </w:p>
        </w:tc>
        <w:tc>
          <w:tcPr>
            <w:tcW w:w="2494" w:type="dxa"/>
          </w:tcPr>
          <w:p w14:paraId="00059708" w14:textId="77777777" w:rsidR="00A720EB" w:rsidRDefault="0030286B">
            <w:pPr>
              <w:pStyle w:val="TableParagraph"/>
              <w:spacing w:before="46" w:line="230" w:lineRule="auto"/>
              <w:ind w:right="113"/>
              <w:jc w:val="both"/>
              <w:rPr>
                <w:sz w:val="21"/>
              </w:rPr>
            </w:pPr>
            <w:r>
              <w:rPr>
                <w:color w:val="B02045"/>
                <w:sz w:val="21"/>
              </w:rPr>
              <w:t xml:space="preserve">classpath:org/quartz/i mpl/jdbcjobstore/table </w:t>
            </w:r>
            <w:hyperlink r:id="rId676">
              <w:r>
                <w:rPr>
                  <w:color w:val="B02045"/>
                  <w:sz w:val="21"/>
                </w:rPr>
                <w:t>s_@@platform@@.sql</w:t>
              </w:r>
            </w:hyperlink>
          </w:p>
        </w:tc>
        <w:tc>
          <w:tcPr>
            <w:tcW w:w="4988" w:type="dxa"/>
          </w:tcPr>
          <w:p w14:paraId="717FCCCE" w14:textId="77777777" w:rsidR="00A720EB" w:rsidRDefault="0030286B">
            <w:pPr>
              <w:pStyle w:val="TableParagraph"/>
              <w:spacing w:before="92" w:line="307" w:lineRule="auto"/>
              <w:ind w:right="372"/>
              <w:rPr>
                <w:rFonts w:ascii="Cambria"/>
                <w:sz w:val="21"/>
              </w:rPr>
            </w:pPr>
            <w:r>
              <w:rPr>
                <w:rFonts w:ascii="Cambria"/>
                <w:color w:val="333333"/>
                <w:w w:val="110"/>
                <w:sz w:val="21"/>
              </w:rPr>
              <w:t>Path to the SQL file to use to initialize the database schema.</w:t>
            </w:r>
          </w:p>
        </w:tc>
      </w:tr>
      <w:tr w:rsidR="00A720EB" w14:paraId="59F8ED93" w14:textId="77777777">
        <w:trPr>
          <w:trHeight w:val="627"/>
        </w:trPr>
        <w:tc>
          <w:tcPr>
            <w:tcW w:w="2494" w:type="dxa"/>
          </w:tcPr>
          <w:p w14:paraId="27F8DF0C" w14:textId="77777777" w:rsidR="00A720EB" w:rsidRDefault="0030286B">
            <w:pPr>
              <w:pStyle w:val="TableParagraph"/>
              <w:spacing w:before="46" w:line="230" w:lineRule="auto"/>
              <w:ind w:right="533"/>
              <w:rPr>
                <w:sz w:val="21"/>
              </w:rPr>
            </w:pPr>
            <w:r>
              <w:rPr>
                <w:color w:val="B02045"/>
                <w:sz w:val="21"/>
              </w:rPr>
              <w:t>spring.quartz.job- store-type</w:t>
            </w:r>
          </w:p>
        </w:tc>
        <w:tc>
          <w:tcPr>
            <w:tcW w:w="2494" w:type="dxa"/>
          </w:tcPr>
          <w:p w14:paraId="11919173" w14:textId="77777777" w:rsidR="00A720EB" w:rsidRDefault="0030286B">
            <w:pPr>
              <w:pStyle w:val="TableParagraph"/>
              <w:rPr>
                <w:sz w:val="21"/>
              </w:rPr>
            </w:pPr>
            <w:r>
              <w:rPr>
                <w:color w:val="B02045"/>
                <w:sz w:val="21"/>
              </w:rPr>
              <w:t>memory</w:t>
            </w:r>
          </w:p>
        </w:tc>
        <w:tc>
          <w:tcPr>
            <w:tcW w:w="4988" w:type="dxa"/>
          </w:tcPr>
          <w:p w14:paraId="1885A433" w14:textId="77777777" w:rsidR="00A720EB" w:rsidRDefault="0030286B">
            <w:pPr>
              <w:pStyle w:val="TableParagraph"/>
              <w:spacing w:before="92"/>
              <w:rPr>
                <w:rFonts w:ascii="Cambria"/>
                <w:sz w:val="21"/>
              </w:rPr>
            </w:pPr>
            <w:r>
              <w:rPr>
                <w:rFonts w:ascii="Cambria"/>
                <w:color w:val="333333"/>
                <w:w w:val="110"/>
                <w:sz w:val="21"/>
              </w:rPr>
              <w:t>Quartz job store type.</w:t>
            </w:r>
          </w:p>
        </w:tc>
      </w:tr>
      <w:tr w:rsidR="00A720EB" w14:paraId="5F530D43" w14:textId="77777777">
        <w:trPr>
          <w:trHeight w:val="741"/>
        </w:trPr>
        <w:tc>
          <w:tcPr>
            <w:tcW w:w="2494" w:type="dxa"/>
          </w:tcPr>
          <w:p w14:paraId="3DBF1152" w14:textId="77777777" w:rsidR="00A720EB" w:rsidRDefault="0030286B">
            <w:pPr>
              <w:pStyle w:val="TableParagraph"/>
              <w:spacing w:before="46" w:line="230" w:lineRule="auto"/>
              <w:ind w:right="113"/>
              <w:rPr>
                <w:sz w:val="21"/>
              </w:rPr>
            </w:pPr>
            <w:proofErr w:type="gramStart"/>
            <w:r>
              <w:rPr>
                <w:color w:val="B02045"/>
                <w:sz w:val="21"/>
              </w:rPr>
              <w:t>spring.quartz</w:t>
            </w:r>
            <w:proofErr w:type="gramEnd"/>
            <w:r>
              <w:rPr>
                <w:color w:val="B02045"/>
                <w:sz w:val="21"/>
              </w:rPr>
              <w:t>.overwrit e-existing-jobs</w:t>
            </w:r>
          </w:p>
        </w:tc>
        <w:tc>
          <w:tcPr>
            <w:tcW w:w="2494" w:type="dxa"/>
          </w:tcPr>
          <w:p w14:paraId="6608465C" w14:textId="77777777" w:rsidR="00A720EB" w:rsidRDefault="0030286B">
            <w:pPr>
              <w:pStyle w:val="TableParagraph"/>
              <w:rPr>
                <w:sz w:val="21"/>
              </w:rPr>
            </w:pPr>
            <w:r>
              <w:rPr>
                <w:color w:val="B02045"/>
                <w:sz w:val="21"/>
              </w:rPr>
              <w:t>false</w:t>
            </w:r>
          </w:p>
        </w:tc>
        <w:tc>
          <w:tcPr>
            <w:tcW w:w="4988" w:type="dxa"/>
          </w:tcPr>
          <w:p w14:paraId="668033E0" w14:textId="77777777" w:rsidR="00A720EB" w:rsidRDefault="0030286B">
            <w:pPr>
              <w:pStyle w:val="TableParagraph"/>
              <w:spacing w:before="28" w:line="310" w:lineRule="atLeast"/>
              <w:rPr>
                <w:rFonts w:ascii="Cambria"/>
                <w:sz w:val="21"/>
              </w:rPr>
            </w:pPr>
            <w:r>
              <w:rPr>
                <w:rFonts w:ascii="Cambria"/>
                <w:color w:val="333333"/>
                <w:w w:val="110"/>
                <w:sz w:val="21"/>
              </w:rPr>
              <w:t>Whether configured jobs should overwrite existing job definitions.</w:t>
            </w:r>
          </w:p>
        </w:tc>
      </w:tr>
      <w:tr w:rsidR="00A720EB" w14:paraId="35AFE2CF" w14:textId="77777777">
        <w:trPr>
          <w:trHeight w:val="627"/>
        </w:trPr>
        <w:tc>
          <w:tcPr>
            <w:tcW w:w="2494" w:type="dxa"/>
          </w:tcPr>
          <w:p w14:paraId="1030AAF8" w14:textId="77777777" w:rsidR="00A720EB" w:rsidRDefault="0030286B">
            <w:pPr>
              <w:pStyle w:val="TableParagraph"/>
              <w:spacing w:before="46" w:line="230" w:lineRule="auto"/>
              <w:ind w:right="94"/>
              <w:rPr>
                <w:sz w:val="21"/>
              </w:rPr>
            </w:pPr>
            <w:proofErr w:type="gramStart"/>
            <w:r>
              <w:rPr>
                <w:color w:val="B02045"/>
                <w:sz w:val="21"/>
              </w:rPr>
              <w:t>spring.quartz</w:t>
            </w:r>
            <w:proofErr w:type="gramEnd"/>
            <w:r>
              <w:rPr>
                <w:color w:val="B02045"/>
                <w:sz w:val="21"/>
              </w:rPr>
              <w:t>.properti es.*</w:t>
            </w:r>
          </w:p>
        </w:tc>
        <w:tc>
          <w:tcPr>
            <w:tcW w:w="2494" w:type="dxa"/>
          </w:tcPr>
          <w:p w14:paraId="361BA796" w14:textId="77777777" w:rsidR="00A720EB" w:rsidRDefault="00A720EB">
            <w:pPr>
              <w:pStyle w:val="TableParagraph"/>
              <w:spacing w:before="0"/>
              <w:ind w:left="0"/>
              <w:rPr>
                <w:rFonts w:ascii="Times New Roman"/>
                <w:sz w:val="20"/>
              </w:rPr>
            </w:pPr>
          </w:p>
        </w:tc>
        <w:tc>
          <w:tcPr>
            <w:tcW w:w="4988" w:type="dxa"/>
          </w:tcPr>
          <w:p w14:paraId="5DF907DF" w14:textId="77777777" w:rsidR="00A720EB" w:rsidRDefault="0030286B">
            <w:pPr>
              <w:pStyle w:val="TableParagraph"/>
              <w:spacing w:before="92"/>
              <w:rPr>
                <w:rFonts w:ascii="Cambria"/>
                <w:sz w:val="21"/>
              </w:rPr>
            </w:pPr>
            <w:r>
              <w:rPr>
                <w:rFonts w:ascii="Cambria"/>
                <w:color w:val="333333"/>
                <w:w w:val="110"/>
                <w:sz w:val="21"/>
              </w:rPr>
              <w:t>Additional Quartz Scheduler properties.</w:t>
            </w:r>
          </w:p>
        </w:tc>
      </w:tr>
      <w:tr w:rsidR="00A720EB" w14:paraId="16B28E08" w14:textId="77777777">
        <w:trPr>
          <w:trHeight w:val="627"/>
        </w:trPr>
        <w:tc>
          <w:tcPr>
            <w:tcW w:w="2494" w:type="dxa"/>
          </w:tcPr>
          <w:p w14:paraId="379CEF26" w14:textId="77777777" w:rsidR="00A720EB" w:rsidRDefault="0030286B">
            <w:pPr>
              <w:pStyle w:val="TableParagraph"/>
              <w:spacing w:before="46" w:line="230" w:lineRule="auto"/>
              <w:ind w:right="113"/>
              <w:rPr>
                <w:sz w:val="21"/>
              </w:rPr>
            </w:pPr>
            <w:proofErr w:type="gramStart"/>
            <w:r>
              <w:rPr>
                <w:color w:val="B02045"/>
                <w:sz w:val="21"/>
              </w:rPr>
              <w:t>spring.quartz</w:t>
            </w:r>
            <w:proofErr w:type="gramEnd"/>
            <w:r>
              <w:rPr>
                <w:color w:val="B02045"/>
                <w:sz w:val="21"/>
              </w:rPr>
              <w:t>.schedule r-name</w:t>
            </w:r>
          </w:p>
        </w:tc>
        <w:tc>
          <w:tcPr>
            <w:tcW w:w="2494" w:type="dxa"/>
          </w:tcPr>
          <w:p w14:paraId="1A8F5761" w14:textId="77777777" w:rsidR="00A720EB" w:rsidRDefault="0030286B">
            <w:pPr>
              <w:pStyle w:val="TableParagraph"/>
              <w:spacing w:before="37"/>
              <w:rPr>
                <w:sz w:val="21"/>
              </w:rPr>
            </w:pPr>
            <w:r>
              <w:rPr>
                <w:color w:val="B02045"/>
                <w:sz w:val="21"/>
              </w:rPr>
              <w:t>quartzScheduler</w:t>
            </w:r>
          </w:p>
        </w:tc>
        <w:tc>
          <w:tcPr>
            <w:tcW w:w="4988" w:type="dxa"/>
          </w:tcPr>
          <w:p w14:paraId="0817DE29" w14:textId="77777777" w:rsidR="00A720EB" w:rsidRDefault="0030286B">
            <w:pPr>
              <w:pStyle w:val="TableParagraph"/>
              <w:spacing w:before="92"/>
              <w:rPr>
                <w:rFonts w:ascii="Cambria"/>
                <w:sz w:val="21"/>
              </w:rPr>
            </w:pPr>
            <w:r>
              <w:rPr>
                <w:rFonts w:ascii="Cambria"/>
                <w:color w:val="333333"/>
                <w:w w:val="110"/>
                <w:sz w:val="21"/>
              </w:rPr>
              <w:t>Name of the scheduler.</w:t>
            </w:r>
          </w:p>
        </w:tc>
      </w:tr>
    </w:tbl>
    <w:p w14:paraId="5AFF9927"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14775667" w14:textId="77777777">
        <w:trPr>
          <w:trHeight w:val="415"/>
        </w:trPr>
        <w:tc>
          <w:tcPr>
            <w:tcW w:w="2494" w:type="dxa"/>
            <w:tcBorders>
              <w:bottom w:val="single" w:sz="12" w:space="0" w:color="DDDDDD"/>
            </w:tcBorders>
          </w:tcPr>
          <w:p w14:paraId="1AA35B9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7FE65D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5958760"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115606C" w14:textId="77777777">
        <w:trPr>
          <w:trHeight w:val="1362"/>
        </w:trPr>
        <w:tc>
          <w:tcPr>
            <w:tcW w:w="2494" w:type="dxa"/>
            <w:tcBorders>
              <w:top w:val="single" w:sz="12" w:space="0" w:color="DDDDDD"/>
            </w:tcBorders>
          </w:tcPr>
          <w:p w14:paraId="413A6FCE" w14:textId="77777777" w:rsidR="00A720EB" w:rsidRDefault="0030286B">
            <w:pPr>
              <w:pStyle w:val="TableParagraph"/>
              <w:spacing w:before="36" w:line="230" w:lineRule="auto"/>
              <w:ind w:right="94"/>
              <w:rPr>
                <w:sz w:val="21"/>
              </w:rPr>
            </w:pPr>
            <w:proofErr w:type="gramStart"/>
            <w:r>
              <w:rPr>
                <w:color w:val="B02045"/>
                <w:sz w:val="21"/>
              </w:rPr>
              <w:t>spring.quartz</w:t>
            </w:r>
            <w:proofErr w:type="gramEnd"/>
            <w:r>
              <w:rPr>
                <w:color w:val="B02045"/>
                <w:sz w:val="21"/>
              </w:rPr>
              <w:t>.startup- delay</w:t>
            </w:r>
          </w:p>
        </w:tc>
        <w:tc>
          <w:tcPr>
            <w:tcW w:w="2494" w:type="dxa"/>
            <w:tcBorders>
              <w:top w:val="single" w:sz="12" w:space="0" w:color="DDDDDD"/>
            </w:tcBorders>
          </w:tcPr>
          <w:p w14:paraId="79E00920" w14:textId="77777777" w:rsidR="00A720EB" w:rsidRDefault="0030286B">
            <w:pPr>
              <w:pStyle w:val="TableParagraph"/>
              <w:spacing w:before="27"/>
              <w:rPr>
                <w:sz w:val="21"/>
              </w:rPr>
            </w:pPr>
            <w:r>
              <w:rPr>
                <w:color w:val="B02045"/>
                <w:sz w:val="21"/>
              </w:rPr>
              <w:t>0s</w:t>
            </w:r>
          </w:p>
        </w:tc>
        <w:tc>
          <w:tcPr>
            <w:tcW w:w="4988" w:type="dxa"/>
            <w:tcBorders>
              <w:top w:val="single" w:sz="12" w:space="0" w:color="DDDDDD"/>
            </w:tcBorders>
          </w:tcPr>
          <w:p w14:paraId="22CB01EB" w14:textId="77777777" w:rsidR="00A720EB" w:rsidRDefault="0030286B">
            <w:pPr>
              <w:pStyle w:val="TableParagraph"/>
              <w:spacing w:before="18" w:line="310" w:lineRule="atLeast"/>
              <w:rPr>
                <w:rFonts w:ascii="Cambria"/>
                <w:sz w:val="21"/>
              </w:rPr>
            </w:pPr>
            <w:r>
              <w:rPr>
                <w:rFonts w:ascii="Cambria"/>
                <w:color w:val="333333"/>
                <w:w w:val="110"/>
                <w:sz w:val="21"/>
              </w:rPr>
              <w:t>Delay after which the scheduler is started once initialization completes. Setting this property makes sense if no jobs should be run before the entire application has started up.</w:t>
            </w:r>
          </w:p>
        </w:tc>
      </w:tr>
      <w:tr w:rsidR="00A720EB" w14:paraId="305036E4" w14:textId="77777777">
        <w:trPr>
          <w:trHeight w:val="886"/>
        </w:trPr>
        <w:tc>
          <w:tcPr>
            <w:tcW w:w="2494" w:type="dxa"/>
          </w:tcPr>
          <w:p w14:paraId="0C20F717" w14:textId="77777777" w:rsidR="00A720EB" w:rsidRDefault="0030286B">
            <w:pPr>
              <w:pStyle w:val="TableParagraph"/>
              <w:spacing w:before="46" w:line="230" w:lineRule="auto"/>
              <w:ind w:right="218"/>
              <w:rPr>
                <w:sz w:val="21"/>
              </w:rPr>
            </w:pPr>
            <w:proofErr w:type="gramStart"/>
            <w:r>
              <w:rPr>
                <w:color w:val="B02045"/>
                <w:sz w:val="21"/>
              </w:rPr>
              <w:t>spring.quartz</w:t>
            </w:r>
            <w:proofErr w:type="gramEnd"/>
            <w:r>
              <w:rPr>
                <w:color w:val="B02045"/>
                <w:sz w:val="21"/>
              </w:rPr>
              <w:t>.wait- for-jobs-to-complete- on-shutdown</w:t>
            </w:r>
          </w:p>
        </w:tc>
        <w:tc>
          <w:tcPr>
            <w:tcW w:w="2494" w:type="dxa"/>
          </w:tcPr>
          <w:p w14:paraId="67B3D763" w14:textId="77777777" w:rsidR="00A720EB" w:rsidRDefault="0030286B">
            <w:pPr>
              <w:pStyle w:val="TableParagraph"/>
              <w:spacing w:before="37"/>
              <w:rPr>
                <w:sz w:val="21"/>
              </w:rPr>
            </w:pPr>
            <w:r>
              <w:rPr>
                <w:color w:val="B02045"/>
                <w:sz w:val="21"/>
              </w:rPr>
              <w:t>false</w:t>
            </w:r>
          </w:p>
        </w:tc>
        <w:tc>
          <w:tcPr>
            <w:tcW w:w="4988" w:type="dxa"/>
          </w:tcPr>
          <w:p w14:paraId="795AED58" w14:textId="77777777" w:rsidR="00A720EB" w:rsidRDefault="0030286B">
            <w:pPr>
              <w:pStyle w:val="TableParagraph"/>
              <w:spacing w:before="92" w:line="307" w:lineRule="auto"/>
              <w:rPr>
                <w:rFonts w:ascii="Cambria"/>
                <w:sz w:val="21"/>
              </w:rPr>
            </w:pPr>
            <w:r>
              <w:rPr>
                <w:rFonts w:ascii="Cambria"/>
                <w:color w:val="333333"/>
                <w:w w:val="110"/>
                <w:sz w:val="21"/>
              </w:rPr>
              <w:t>Whether to wait for running jobs to complete on shutdown.</w:t>
            </w:r>
          </w:p>
        </w:tc>
      </w:tr>
      <w:tr w:rsidR="00A720EB" w14:paraId="6CCFC9C9" w14:textId="77777777">
        <w:trPr>
          <w:trHeight w:val="741"/>
        </w:trPr>
        <w:tc>
          <w:tcPr>
            <w:tcW w:w="2494" w:type="dxa"/>
          </w:tcPr>
          <w:p w14:paraId="10568E4A" w14:textId="77777777" w:rsidR="00A720EB" w:rsidRDefault="0030286B">
            <w:pPr>
              <w:pStyle w:val="TableParagraph"/>
              <w:spacing w:before="46" w:line="230" w:lineRule="auto"/>
              <w:ind w:right="199"/>
              <w:rPr>
                <w:sz w:val="21"/>
              </w:rPr>
            </w:pPr>
            <w:proofErr w:type="gramStart"/>
            <w:r>
              <w:rPr>
                <w:color w:val="B02045"/>
                <w:sz w:val="21"/>
              </w:rPr>
              <w:t>spring.reactor</w:t>
            </w:r>
            <w:proofErr w:type="gramEnd"/>
            <w:r>
              <w:rPr>
                <w:color w:val="B02045"/>
                <w:sz w:val="21"/>
              </w:rPr>
              <w:t>.debug- agent.enabled</w:t>
            </w:r>
          </w:p>
        </w:tc>
        <w:tc>
          <w:tcPr>
            <w:tcW w:w="2494" w:type="dxa"/>
          </w:tcPr>
          <w:p w14:paraId="639D6EF8" w14:textId="77777777" w:rsidR="00A720EB" w:rsidRDefault="0030286B">
            <w:pPr>
              <w:pStyle w:val="TableParagraph"/>
              <w:spacing w:before="37"/>
              <w:rPr>
                <w:sz w:val="21"/>
              </w:rPr>
            </w:pPr>
            <w:r>
              <w:rPr>
                <w:color w:val="B02045"/>
                <w:sz w:val="21"/>
              </w:rPr>
              <w:t>true</w:t>
            </w:r>
          </w:p>
        </w:tc>
        <w:tc>
          <w:tcPr>
            <w:tcW w:w="4988" w:type="dxa"/>
          </w:tcPr>
          <w:p w14:paraId="29B701E0" w14:textId="77777777" w:rsidR="00A720EB" w:rsidRDefault="0030286B">
            <w:pPr>
              <w:pStyle w:val="TableParagraph"/>
              <w:spacing w:before="28" w:line="310" w:lineRule="atLeast"/>
              <w:rPr>
                <w:rFonts w:ascii="Cambria"/>
                <w:sz w:val="21"/>
              </w:rPr>
            </w:pPr>
            <w:r>
              <w:rPr>
                <w:rFonts w:ascii="Cambria"/>
                <w:color w:val="333333"/>
                <w:w w:val="110"/>
                <w:sz w:val="21"/>
              </w:rPr>
              <w:t>Whether the Reactor Debug Agent should be enabled when reactor-tools is present.</w:t>
            </w:r>
          </w:p>
        </w:tc>
      </w:tr>
      <w:tr w:rsidR="00A720EB" w14:paraId="535FD91C" w14:textId="77777777">
        <w:trPr>
          <w:trHeight w:val="1056"/>
        </w:trPr>
        <w:tc>
          <w:tcPr>
            <w:tcW w:w="2494" w:type="dxa"/>
          </w:tcPr>
          <w:p w14:paraId="7A7D14EF" w14:textId="77777777" w:rsidR="00A720EB" w:rsidRDefault="0030286B">
            <w:pPr>
              <w:pStyle w:val="TableParagraph"/>
              <w:spacing w:before="46" w:line="230" w:lineRule="auto"/>
              <w:ind w:right="113"/>
              <w:rPr>
                <w:sz w:val="21"/>
              </w:rPr>
            </w:pPr>
            <w:proofErr w:type="gramStart"/>
            <w:r>
              <w:rPr>
                <w:color w:val="B02045"/>
                <w:sz w:val="21"/>
              </w:rPr>
              <w:t>spring.task</w:t>
            </w:r>
            <w:proofErr w:type="gramEnd"/>
            <w:r>
              <w:rPr>
                <w:color w:val="B02045"/>
                <w:sz w:val="21"/>
              </w:rPr>
              <w:t xml:space="preserve">.execution. </w:t>
            </w:r>
            <w:proofErr w:type="gramStart"/>
            <w:r>
              <w:rPr>
                <w:color w:val="B02045"/>
                <w:sz w:val="21"/>
              </w:rPr>
              <w:t>pool.allow</w:t>
            </w:r>
            <w:proofErr w:type="gramEnd"/>
            <w:r>
              <w:rPr>
                <w:color w:val="B02045"/>
                <w:sz w:val="21"/>
              </w:rPr>
              <w:t>-core- thread-timeout</w:t>
            </w:r>
          </w:p>
        </w:tc>
        <w:tc>
          <w:tcPr>
            <w:tcW w:w="2494" w:type="dxa"/>
          </w:tcPr>
          <w:p w14:paraId="2B990AD6" w14:textId="77777777" w:rsidR="00A720EB" w:rsidRDefault="0030286B">
            <w:pPr>
              <w:pStyle w:val="TableParagraph"/>
              <w:spacing w:before="37"/>
              <w:rPr>
                <w:sz w:val="21"/>
              </w:rPr>
            </w:pPr>
            <w:r>
              <w:rPr>
                <w:color w:val="B02045"/>
                <w:sz w:val="21"/>
              </w:rPr>
              <w:t>true</w:t>
            </w:r>
          </w:p>
        </w:tc>
        <w:tc>
          <w:tcPr>
            <w:tcW w:w="4988" w:type="dxa"/>
          </w:tcPr>
          <w:p w14:paraId="294190E1" w14:textId="77777777" w:rsidR="00A720EB" w:rsidRDefault="0030286B">
            <w:pPr>
              <w:pStyle w:val="TableParagraph"/>
              <w:spacing w:before="28" w:line="310" w:lineRule="atLeast"/>
              <w:rPr>
                <w:rFonts w:ascii="Cambria"/>
                <w:sz w:val="21"/>
              </w:rPr>
            </w:pPr>
            <w:r>
              <w:rPr>
                <w:rFonts w:ascii="Cambria"/>
                <w:color w:val="333333"/>
                <w:w w:val="110"/>
                <w:sz w:val="21"/>
              </w:rPr>
              <w:t>Whether core threads are allowed to time out. This enables dynamic growing and shrinking of the pool.</w:t>
            </w:r>
          </w:p>
        </w:tc>
      </w:tr>
      <w:tr w:rsidR="00A720EB" w14:paraId="34DEF3D5" w14:textId="77777777">
        <w:trPr>
          <w:trHeight w:val="627"/>
        </w:trPr>
        <w:tc>
          <w:tcPr>
            <w:tcW w:w="2494" w:type="dxa"/>
          </w:tcPr>
          <w:p w14:paraId="1F18EB0E" w14:textId="77777777" w:rsidR="00A720EB" w:rsidRDefault="0030286B">
            <w:pPr>
              <w:pStyle w:val="TableParagraph"/>
              <w:spacing w:before="46" w:line="230" w:lineRule="auto"/>
              <w:ind w:right="113"/>
              <w:rPr>
                <w:sz w:val="21"/>
              </w:rPr>
            </w:pPr>
            <w:proofErr w:type="gramStart"/>
            <w:r>
              <w:rPr>
                <w:color w:val="B02045"/>
                <w:sz w:val="21"/>
              </w:rPr>
              <w:t>spring.task</w:t>
            </w:r>
            <w:proofErr w:type="gramEnd"/>
            <w:r>
              <w:rPr>
                <w:color w:val="B02045"/>
                <w:sz w:val="21"/>
              </w:rPr>
              <w:t xml:space="preserve">.execution. </w:t>
            </w:r>
            <w:proofErr w:type="gramStart"/>
            <w:r>
              <w:rPr>
                <w:color w:val="B02045"/>
                <w:sz w:val="21"/>
              </w:rPr>
              <w:t>pool.core</w:t>
            </w:r>
            <w:proofErr w:type="gramEnd"/>
            <w:r>
              <w:rPr>
                <w:color w:val="B02045"/>
                <w:sz w:val="21"/>
              </w:rPr>
              <w:t>-size</w:t>
            </w:r>
          </w:p>
        </w:tc>
        <w:tc>
          <w:tcPr>
            <w:tcW w:w="2494" w:type="dxa"/>
          </w:tcPr>
          <w:p w14:paraId="19FE306F" w14:textId="77777777" w:rsidR="00A720EB" w:rsidRDefault="0030286B">
            <w:pPr>
              <w:pStyle w:val="TableParagraph"/>
              <w:rPr>
                <w:sz w:val="21"/>
              </w:rPr>
            </w:pPr>
            <w:r>
              <w:rPr>
                <w:color w:val="B02045"/>
                <w:sz w:val="21"/>
              </w:rPr>
              <w:t>8.0</w:t>
            </w:r>
          </w:p>
        </w:tc>
        <w:tc>
          <w:tcPr>
            <w:tcW w:w="4988" w:type="dxa"/>
          </w:tcPr>
          <w:p w14:paraId="4794DC94" w14:textId="77777777" w:rsidR="00A720EB" w:rsidRDefault="0030286B">
            <w:pPr>
              <w:pStyle w:val="TableParagraph"/>
              <w:spacing w:before="92"/>
              <w:rPr>
                <w:rFonts w:ascii="Cambria"/>
                <w:sz w:val="21"/>
              </w:rPr>
            </w:pPr>
            <w:r>
              <w:rPr>
                <w:rFonts w:ascii="Cambria"/>
                <w:color w:val="333333"/>
                <w:w w:val="110"/>
                <w:sz w:val="21"/>
              </w:rPr>
              <w:t>Core number of threads.</w:t>
            </w:r>
          </w:p>
        </w:tc>
      </w:tr>
      <w:tr w:rsidR="00A720EB" w14:paraId="5B1F1359" w14:textId="77777777">
        <w:trPr>
          <w:trHeight w:val="741"/>
        </w:trPr>
        <w:tc>
          <w:tcPr>
            <w:tcW w:w="2494" w:type="dxa"/>
          </w:tcPr>
          <w:p w14:paraId="683CF297" w14:textId="77777777" w:rsidR="00A720EB" w:rsidRDefault="0030286B">
            <w:pPr>
              <w:pStyle w:val="TableParagraph"/>
              <w:spacing w:before="46" w:line="230" w:lineRule="auto"/>
              <w:ind w:right="113"/>
              <w:rPr>
                <w:sz w:val="21"/>
              </w:rPr>
            </w:pPr>
            <w:proofErr w:type="gramStart"/>
            <w:r>
              <w:rPr>
                <w:color w:val="B02045"/>
                <w:sz w:val="21"/>
              </w:rPr>
              <w:t>spring.task</w:t>
            </w:r>
            <w:proofErr w:type="gramEnd"/>
            <w:r>
              <w:rPr>
                <w:color w:val="B02045"/>
                <w:sz w:val="21"/>
              </w:rPr>
              <w:t xml:space="preserve">.execution. </w:t>
            </w:r>
            <w:proofErr w:type="gramStart"/>
            <w:r>
              <w:rPr>
                <w:color w:val="B02045"/>
                <w:sz w:val="21"/>
              </w:rPr>
              <w:t>pool.keep</w:t>
            </w:r>
            <w:proofErr w:type="gramEnd"/>
            <w:r>
              <w:rPr>
                <w:color w:val="B02045"/>
                <w:sz w:val="21"/>
              </w:rPr>
              <w:t>-alive</w:t>
            </w:r>
          </w:p>
        </w:tc>
        <w:tc>
          <w:tcPr>
            <w:tcW w:w="2494" w:type="dxa"/>
          </w:tcPr>
          <w:p w14:paraId="05337E40" w14:textId="77777777" w:rsidR="00A720EB" w:rsidRDefault="0030286B">
            <w:pPr>
              <w:pStyle w:val="TableParagraph"/>
              <w:spacing w:before="37"/>
              <w:rPr>
                <w:sz w:val="21"/>
              </w:rPr>
            </w:pPr>
            <w:r>
              <w:rPr>
                <w:color w:val="B02045"/>
                <w:sz w:val="21"/>
              </w:rPr>
              <w:t>60s</w:t>
            </w:r>
          </w:p>
        </w:tc>
        <w:tc>
          <w:tcPr>
            <w:tcW w:w="4988" w:type="dxa"/>
          </w:tcPr>
          <w:p w14:paraId="237F063D" w14:textId="77777777" w:rsidR="00A720EB" w:rsidRDefault="0030286B">
            <w:pPr>
              <w:pStyle w:val="TableParagraph"/>
              <w:spacing w:before="28" w:line="310" w:lineRule="atLeast"/>
              <w:rPr>
                <w:rFonts w:ascii="Cambria"/>
                <w:sz w:val="21"/>
              </w:rPr>
            </w:pPr>
            <w:r>
              <w:rPr>
                <w:rFonts w:ascii="Cambria"/>
                <w:color w:val="333333"/>
                <w:w w:val="110"/>
                <w:sz w:val="21"/>
              </w:rPr>
              <w:t>Time limit for which threads may remain idle before being terminated.</w:t>
            </w:r>
          </w:p>
        </w:tc>
      </w:tr>
      <w:tr w:rsidR="00A720EB" w14:paraId="0AC6724E" w14:textId="77777777">
        <w:trPr>
          <w:trHeight w:val="1372"/>
        </w:trPr>
        <w:tc>
          <w:tcPr>
            <w:tcW w:w="2494" w:type="dxa"/>
          </w:tcPr>
          <w:p w14:paraId="52361838" w14:textId="77777777" w:rsidR="00A720EB" w:rsidRDefault="0030286B">
            <w:pPr>
              <w:pStyle w:val="TableParagraph"/>
              <w:spacing w:before="46" w:line="230" w:lineRule="auto"/>
              <w:ind w:right="113"/>
              <w:rPr>
                <w:sz w:val="21"/>
              </w:rPr>
            </w:pPr>
            <w:proofErr w:type="gramStart"/>
            <w:r>
              <w:rPr>
                <w:color w:val="B02045"/>
                <w:sz w:val="21"/>
              </w:rPr>
              <w:t>spring.task</w:t>
            </w:r>
            <w:proofErr w:type="gramEnd"/>
            <w:r>
              <w:rPr>
                <w:color w:val="B02045"/>
                <w:sz w:val="21"/>
              </w:rPr>
              <w:t>.execution. pool.max-size</w:t>
            </w:r>
          </w:p>
        </w:tc>
        <w:tc>
          <w:tcPr>
            <w:tcW w:w="2494" w:type="dxa"/>
          </w:tcPr>
          <w:p w14:paraId="004C02DA" w14:textId="77777777" w:rsidR="00A720EB" w:rsidRDefault="00A720EB">
            <w:pPr>
              <w:pStyle w:val="TableParagraph"/>
              <w:spacing w:before="0"/>
              <w:ind w:left="0"/>
              <w:rPr>
                <w:rFonts w:ascii="Times New Roman"/>
                <w:sz w:val="20"/>
              </w:rPr>
            </w:pPr>
          </w:p>
        </w:tc>
        <w:tc>
          <w:tcPr>
            <w:tcW w:w="4988" w:type="dxa"/>
          </w:tcPr>
          <w:p w14:paraId="7F1604E3" w14:textId="77777777" w:rsidR="00A720EB" w:rsidRDefault="0030286B">
            <w:pPr>
              <w:pStyle w:val="TableParagraph"/>
              <w:spacing w:before="28" w:line="310" w:lineRule="atLeast"/>
              <w:ind w:right="117"/>
              <w:rPr>
                <w:rFonts w:ascii="Cambria"/>
                <w:sz w:val="21"/>
              </w:rPr>
            </w:pPr>
            <w:r>
              <w:rPr>
                <w:rFonts w:ascii="Cambria"/>
                <w:color w:val="333333"/>
                <w:w w:val="110"/>
                <w:sz w:val="21"/>
              </w:rPr>
              <w:t>Maximum allowed number of threads. If tasks are filling up the queue, the pool can expand up to that size to accommodate the load. Ignored if the queue is unbounded.</w:t>
            </w:r>
          </w:p>
        </w:tc>
      </w:tr>
      <w:tr w:rsidR="00A720EB" w14:paraId="7F9E43DE" w14:textId="77777777">
        <w:trPr>
          <w:trHeight w:val="1056"/>
        </w:trPr>
        <w:tc>
          <w:tcPr>
            <w:tcW w:w="2494" w:type="dxa"/>
          </w:tcPr>
          <w:p w14:paraId="7A1BC32B" w14:textId="77777777" w:rsidR="00A720EB" w:rsidRDefault="0030286B">
            <w:pPr>
              <w:pStyle w:val="TableParagraph"/>
              <w:spacing w:before="46" w:line="230" w:lineRule="auto"/>
              <w:ind w:right="113"/>
              <w:rPr>
                <w:sz w:val="21"/>
              </w:rPr>
            </w:pPr>
            <w:proofErr w:type="gramStart"/>
            <w:r>
              <w:rPr>
                <w:color w:val="B02045"/>
                <w:sz w:val="21"/>
              </w:rPr>
              <w:t>spring.task</w:t>
            </w:r>
            <w:proofErr w:type="gramEnd"/>
            <w:r>
              <w:rPr>
                <w:color w:val="B02045"/>
                <w:sz w:val="21"/>
              </w:rPr>
              <w:t xml:space="preserve">.execution. </w:t>
            </w:r>
            <w:proofErr w:type="gramStart"/>
            <w:r>
              <w:rPr>
                <w:color w:val="B02045"/>
                <w:sz w:val="21"/>
              </w:rPr>
              <w:t>pool.queue</w:t>
            </w:r>
            <w:proofErr w:type="gramEnd"/>
            <w:r>
              <w:rPr>
                <w:color w:val="B02045"/>
                <w:sz w:val="21"/>
              </w:rPr>
              <w:t>-capacity</w:t>
            </w:r>
          </w:p>
        </w:tc>
        <w:tc>
          <w:tcPr>
            <w:tcW w:w="2494" w:type="dxa"/>
          </w:tcPr>
          <w:p w14:paraId="161B489A" w14:textId="77777777" w:rsidR="00A720EB" w:rsidRDefault="00A720EB">
            <w:pPr>
              <w:pStyle w:val="TableParagraph"/>
              <w:spacing w:before="0"/>
              <w:ind w:left="0"/>
              <w:rPr>
                <w:rFonts w:ascii="Times New Roman"/>
                <w:sz w:val="20"/>
              </w:rPr>
            </w:pPr>
          </w:p>
        </w:tc>
        <w:tc>
          <w:tcPr>
            <w:tcW w:w="4988" w:type="dxa"/>
          </w:tcPr>
          <w:p w14:paraId="2FBCF8B7" w14:textId="77777777" w:rsidR="00A720EB" w:rsidRDefault="0030286B">
            <w:pPr>
              <w:pStyle w:val="TableParagraph"/>
              <w:spacing w:before="28" w:line="310" w:lineRule="atLeast"/>
              <w:ind w:right="227"/>
              <w:rPr>
                <w:rFonts w:ascii="Cambria"/>
                <w:sz w:val="21"/>
              </w:rPr>
            </w:pPr>
            <w:r>
              <w:rPr>
                <w:rFonts w:ascii="Cambria"/>
                <w:color w:val="333333"/>
                <w:w w:val="110"/>
                <w:sz w:val="21"/>
              </w:rPr>
              <w:t>Queue capacity. An unbounded capacity does not increase the pool and therefore ignores the "max-size" property.</w:t>
            </w:r>
          </w:p>
        </w:tc>
      </w:tr>
      <w:tr w:rsidR="00A720EB" w14:paraId="76529E25" w14:textId="77777777">
        <w:trPr>
          <w:trHeight w:val="886"/>
        </w:trPr>
        <w:tc>
          <w:tcPr>
            <w:tcW w:w="2494" w:type="dxa"/>
          </w:tcPr>
          <w:p w14:paraId="759E8F1C" w14:textId="77777777" w:rsidR="00A720EB" w:rsidRDefault="0030286B">
            <w:pPr>
              <w:pStyle w:val="TableParagraph"/>
              <w:spacing w:before="46" w:line="230" w:lineRule="auto"/>
              <w:ind w:right="113"/>
              <w:rPr>
                <w:sz w:val="21"/>
              </w:rPr>
            </w:pPr>
            <w:proofErr w:type="gramStart"/>
            <w:r>
              <w:rPr>
                <w:color w:val="B02045"/>
                <w:sz w:val="21"/>
              </w:rPr>
              <w:t>spring.task</w:t>
            </w:r>
            <w:proofErr w:type="gramEnd"/>
            <w:r>
              <w:rPr>
                <w:color w:val="B02045"/>
                <w:sz w:val="21"/>
              </w:rPr>
              <w:t xml:space="preserve">.execution. </w:t>
            </w:r>
            <w:proofErr w:type="gramStart"/>
            <w:r>
              <w:rPr>
                <w:color w:val="B02045"/>
                <w:sz w:val="21"/>
              </w:rPr>
              <w:t>shutdown.await</w:t>
            </w:r>
            <w:proofErr w:type="gramEnd"/>
            <w:r>
              <w:rPr>
                <w:color w:val="B02045"/>
                <w:sz w:val="21"/>
              </w:rPr>
              <w:t>- termination</w:t>
            </w:r>
          </w:p>
        </w:tc>
        <w:tc>
          <w:tcPr>
            <w:tcW w:w="2494" w:type="dxa"/>
          </w:tcPr>
          <w:p w14:paraId="5EE521ED" w14:textId="77777777" w:rsidR="00A720EB" w:rsidRDefault="0030286B">
            <w:pPr>
              <w:pStyle w:val="TableParagraph"/>
              <w:spacing w:before="37"/>
              <w:rPr>
                <w:sz w:val="21"/>
              </w:rPr>
            </w:pPr>
            <w:r>
              <w:rPr>
                <w:color w:val="B02045"/>
                <w:sz w:val="21"/>
              </w:rPr>
              <w:t>false</w:t>
            </w:r>
          </w:p>
        </w:tc>
        <w:tc>
          <w:tcPr>
            <w:tcW w:w="4988" w:type="dxa"/>
          </w:tcPr>
          <w:p w14:paraId="17536B93" w14:textId="77777777" w:rsidR="00A720EB" w:rsidRDefault="0030286B">
            <w:pPr>
              <w:pStyle w:val="TableParagraph"/>
              <w:spacing w:before="92" w:line="307" w:lineRule="auto"/>
              <w:rPr>
                <w:rFonts w:ascii="Cambria"/>
                <w:sz w:val="21"/>
              </w:rPr>
            </w:pPr>
            <w:r>
              <w:rPr>
                <w:rFonts w:ascii="Cambria"/>
                <w:color w:val="333333"/>
                <w:w w:val="110"/>
                <w:sz w:val="21"/>
              </w:rPr>
              <w:t>Whether the executor should wait for scheduled tasks to complete on shutdown.</w:t>
            </w:r>
          </w:p>
        </w:tc>
      </w:tr>
      <w:tr w:rsidR="00A720EB" w14:paraId="2263D477" w14:textId="77777777">
        <w:trPr>
          <w:trHeight w:val="886"/>
        </w:trPr>
        <w:tc>
          <w:tcPr>
            <w:tcW w:w="2494" w:type="dxa"/>
          </w:tcPr>
          <w:p w14:paraId="5A89F70A" w14:textId="77777777" w:rsidR="00A720EB" w:rsidRDefault="0030286B">
            <w:pPr>
              <w:pStyle w:val="TableParagraph"/>
              <w:spacing w:before="46" w:line="230" w:lineRule="auto"/>
              <w:ind w:right="113"/>
              <w:rPr>
                <w:sz w:val="21"/>
              </w:rPr>
            </w:pPr>
            <w:proofErr w:type="gramStart"/>
            <w:r>
              <w:rPr>
                <w:color w:val="B02045"/>
                <w:sz w:val="21"/>
              </w:rPr>
              <w:t>spring.task</w:t>
            </w:r>
            <w:proofErr w:type="gramEnd"/>
            <w:r>
              <w:rPr>
                <w:color w:val="B02045"/>
                <w:sz w:val="21"/>
              </w:rPr>
              <w:t xml:space="preserve">.execution. </w:t>
            </w:r>
            <w:proofErr w:type="gramStart"/>
            <w:r>
              <w:rPr>
                <w:color w:val="B02045"/>
                <w:sz w:val="21"/>
              </w:rPr>
              <w:t>shutdown.await</w:t>
            </w:r>
            <w:proofErr w:type="gramEnd"/>
            <w:r>
              <w:rPr>
                <w:color w:val="B02045"/>
                <w:sz w:val="21"/>
              </w:rPr>
              <w:t>- termination-period</w:t>
            </w:r>
          </w:p>
        </w:tc>
        <w:tc>
          <w:tcPr>
            <w:tcW w:w="2494" w:type="dxa"/>
          </w:tcPr>
          <w:p w14:paraId="79D70F60" w14:textId="77777777" w:rsidR="00A720EB" w:rsidRDefault="00A720EB">
            <w:pPr>
              <w:pStyle w:val="TableParagraph"/>
              <w:spacing w:before="0"/>
              <w:ind w:left="0"/>
              <w:rPr>
                <w:rFonts w:ascii="Times New Roman"/>
                <w:sz w:val="20"/>
              </w:rPr>
            </w:pPr>
          </w:p>
        </w:tc>
        <w:tc>
          <w:tcPr>
            <w:tcW w:w="4988" w:type="dxa"/>
          </w:tcPr>
          <w:p w14:paraId="4A75C06C" w14:textId="77777777" w:rsidR="00A720EB" w:rsidRDefault="0030286B">
            <w:pPr>
              <w:pStyle w:val="TableParagraph"/>
              <w:spacing w:before="92" w:line="307" w:lineRule="auto"/>
              <w:rPr>
                <w:rFonts w:ascii="Cambria"/>
                <w:sz w:val="21"/>
              </w:rPr>
            </w:pPr>
            <w:r>
              <w:rPr>
                <w:rFonts w:ascii="Cambria"/>
                <w:color w:val="333333"/>
                <w:w w:val="110"/>
                <w:sz w:val="21"/>
              </w:rPr>
              <w:t>Maximum time the executor should wait for remaining tasks to complete.</w:t>
            </w:r>
          </w:p>
        </w:tc>
      </w:tr>
      <w:tr w:rsidR="00A720EB" w14:paraId="3D14DC2B" w14:textId="77777777">
        <w:trPr>
          <w:trHeight w:val="741"/>
        </w:trPr>
        <w:tc>
          <w:tcPr>
            <w:tcW w:w="2494" w:type="dxa"/>
          </w:tcPr>
          <w:p w14:paraId="6ADA9BEA" w14:textId="77777777" w:rsidR="00A720EB" w:rsidRDefault="0030286B">
            <w:pPr>
              <w:pStyle w:val="TableParagraph"/>
              <w:spacing w:before="46" w:line="230" w:lineRule="auto"/>
              <w:ind w:right="113"/>
              <w:rPr>
                <w:sz w:val="21"/>
              </w:rPr>
            </w:pPr>
            <w:proofErr w:type="gramStart"/>
            <w:r>
              <w:rPr>
                <w:color w:val="B02045"/>
                <w:sz w:val="21"/>
              </w:rPr>
              <w:t>spring.task</w:t>
            </w:r>
            <w:proofErr w:type="gramEnd"/>
            <w:r>
              <w:rPr>
                <w:color w:val="B02045"/>
                <w:sz w:val="21"/>
              </w:rPr>
              <w:t>.execution. thread-name-prefix</w:t>
            </w:r>
          </w:p>
        </w:tc>
        <w:tc>
          <w:tcPr>
            <w:tcW w:w="2494" w:type="dxa"/>
          </w:tcPr>
          <w:p w14:paraId="5F9C532C" w14:textId="77777777" w:rsidR="00A720EB" w:rsidRDefault="0030286B">
            <w:pPr>
              <w:pStyle w:val="TableParagraph"/>
              <w:rPr>
                <w:sz w:val="21"/>
              </w:rPr>
            </w:pPr>
            <w:r>
              <w:rPr>
                <w:color w:val="B02045"/>
                <w:sz w:val="21"/>
              </w:rPr>
              <w:t>task-</w:t>
            </w:r>
          </w:p>
        </w:tc>
        <w:tc>
          <w:tcPr>
            <w:tcW w:w="4988" w:type="dxa"/>
          </w:tcPr>
          <w:p w14:paraId="0B2F9FDF" w14:textId="77777777" w:rsidR="00A720EB" w:rsidRDefault="0030286B">
            <w:pPr>
              <w:pStyle w:val="TableParagraph"/>
              <w:spacing w:before="28" w:line="310" w:lineRule="atLeast"/>
              <w:rPr>
                <w:rFonts w:ascii="Cambria"/>
                <w:sz w:val="21"/>
              </w:rPr>
            </w:pPr>
            <w:r>
              <w:rPr>
                <w:rFonts w:ascii="Cambria"/>
                <w:color w:val="333333"/>
                <w:w w:val="110"/>
                <w:sz w:val="21"/>
              </w:rPr>
              <w:t>Prefix to use for the names of newly created threads.</w:t>
            </w:r>
          </w:p>
        </w:tc>
      </w:tr>
      <w:tr w:rsidR="00A720EB" w14:paraId="2AE1F35F" w14:textId="77777777">
        <w:trPr>
          <w:trHeight w:val="627"/>
        </w:trPr>
        <w:tc>
          <w:tcPr>
            <w:tcW w:w="2494" w:type="dxa"/>
          </w:tcPr>
          <w:p w14:paraId="644F3343" w14:textId="77777777" w:rsidR="00A720EB" w:rsidRDefault="0030286B">
            <w:pPr>
              <w:pStyle w:val="TableParagraph"/>
              <w:spacing w:before="37" w:line="264" w:lineRule="exact"/>
              <w:rPr>
                <w:sz w:val="21"/>
              </w:rPr>
            </w:pPr>
            <w:proofErr w:type="gramStart"/>
            <w:r>
              <w:rPr>
                <w:color w:val="B02045"/>
                <w:sz w:val="21"/>
              </w:rPr>
              <w:t>spring.task</w:t>
            </w:r>
            <w:proofErr w:type="gramEnd"/>
            <w:r>
              <w:rPr>
                <w:color w:val="B02045"/>
                <w:sz w:val="21"/>
              </w:rPr>
              <w:t>.scheduling</w:t>
            </w:r>
          </w:p>
          <w:p w14:paraId="4D6E82C8" w14:textId="77777777" w:rsidR="00A720EB" w:rsidRDefault="0030286B">
            <w:pPr>
              <w:pStyle w:val="TableParagraph"/>
              <w:spacing w:before="0" w:line="264" w:lineRule="exact"/>
              <w:rPr>
                <w:sz w:val="21"/>
              </w:rPr>
            </w:pPr>
            <w:proofErr w:type="gramStart"/>
            <w:r>
              <w:rPr>
                <w:color w:val="B02045"/>
                <w:sz w:val="21"/>
              </w:rPr>
              <w:t>.pool</w:t>
            </w:r>
            <w:proofErr w:type="gramEnd"/>
            <w:r>
              <w:rPr>
                <w:color w:val="B02045"/>
                <w:sz w:val="21"/>
              </w:rPr>
              <w:t>.size</w:t>
            </w:r>
          </w:p>
        </w:tc>
        <w:tc>
          <w:tcPr>
            <w:tcW w:w="2494" w:type="dxa"/>
          </w:tcPr>
          <w:p w14:paraId="239C0CA6" w14:textId="77777777" w:rsidR="00A720EB" w:rsidRDefault="0030286B">
            <w:pPr>
              <w:pStyle w:val="TableParagraph"/>
              <w:spacing w:before="37"/>
              <w:rPr>
                <w:sz w:val="21"/>
              </w:rPr>
            </w:pPr>
            <w:r>
              <w:rPr>
                <w:color w:val="B02045"/>
                <w:sz w:val="21"/>
              </w:rPr>
              <w:t>1.0</w:t>
            </w:r>
          </w:p>
        </w:tc>
        <w:tc>
          <w:tcPr>
            <w:tcW w:w="4988" w:type="dxa"/>
          </w:tcPr>
          <w:p w14:paraId="349DF58D" w14:textId="77777777" w:rsidR="00A720EB" w:rsidRDefault="0030286B">
            <w:pPr>
              <w:pStyle w:val="TableParagraph"/>
              <w:spacing w:before="92"/>
              <w:rPr>
                <w:rFonts w:ascii="Cambria"/>
                <w:sz w:val="21"/>
              </w:rPr>
            </w:pPr>
            <w:r>
              <w:rPr>
                <w:rFonts w:ascii="Cambria"/>
                <w:color w:val="333333"/>
                <w:w w:val="115"/>
                <w:sz w:val="21"/>
              </w:rPr>
              <w:t>Maximum allowed number of threads.</w:t>
            </w:r>
          </w:p>
        </w:tc>
      </w:tr>
      <w:tr w:rsidR="00A720EB" w14:paraId="1A37BEAC" w14:textId="77777777">
        <w:trPr>
          <w:trHeight w:val="886"/>
        </w:trPr>
        <w:tc>
          <w:tcPr>
            <w:tcW w:w="2494" w:type="dxa"/>
          </w:tcPr>
          <w:p w14:paraId="3942527D" w14:textId="77777777" w:rsidR="00A720EB" w:rsidRDefault="0030286B">
            <w:pPr>
              <w:pStyle w:val="TableParagraph"/>
              <w:spacing w:before="37" w:line="264" w:lineRule="exact"/>
              <w:rPr>
                <w:sz w:val="21"/>
              </w:rPr>
            </w:pPr>
            <w:proofErr w:type="gramStart"/>
            <w:r>
              <w:rPr>
                <w:color w:val="B02045"/>
                <w:sz w:val="21"/>
              </w:rPr>
              <w:t>spring.task</w:t>
            </w:r>
            <w:proofErr w:type="gramEnd"/>
            <w:r>
              <w:rPr>
                <w:color w:val="B02045"/>
                <w:sz w:val="21"/>
              </w:rPr>
              <w:t>.scheduling</w:t>
            </w:r>
          </w:p>
          <w:p w14:paraId="40634A1F" w14:textId="77777777" w:rsidR="00A720EB" w:rsidRDefault="0030286B">
            <w:pPr>
              <w:pStyle w:val="TableParagraph"/>
              <w:spacing w:before="4" w:line="230" w:lineRule="auto"/>
              <w:ind w:right="724"/>
              <w:rPr>
                <w:sz w:val="21"/>
              </w:rPr>
            </w:pPr>
            <w:proofErr w:type="gramStart"/>
            <w:r>
              <w:rPr>
                <w:color w:val="B02045"/>
                <w:sz w:val="21"/>
              </w:rPr>
              <w:t>.shutdown</w:t>
            </w:r>
            <w:proofErr w:type="gramEnd"/>
            <w:r>
              <w:rPr>
                <w:color w:val="B02045"/>
                <w:sz w:val="21"/>
              </w:rPr>
              <w:t>.await- termination</w:t>
            </w:r>
          </w:p>
        </w:tc>
        <w:tc>
          <w:tcPr>
            <w:tcW w:w="2494" w:type="dxa"/>
          </w:tcPr>
          <w:p w14:paraId="3C1F5064" w14:textId="77777777" w:rsidR="00A720EB" w:rsidRDefault="0030286B">
            <w:pPr>
              <w:pStyle w:val="TableParagraph"/>
              <w:spacing w:before="37"/>
              <w:rPr>
                <w:sz w:val="21"/>
              </w:rPr>
            </w:pPr>
            <w:r>
              <w:rPr>
                <w:color w:val="B02045"/>
                <w:sz w:val="21"/>
              </w:rPr>
              <w:t>false</w:t>
            </w:r>
          </w:p>
        </w:tc>
        <w:tc>
          <w:tcPr>
            <w:tcW w:w="4988" w:type="dxa"/>
          </w:tcPr>
          <w:p w14:paraId="185BF0F6" w14:textId="77777777" w:rsidR="00A720EB" w:rsidRDefault="0030286B">
            <w:pPr>
              <w:pStyle w:val="TableParagraph"/>
              <w:spacing w:before="92" w:line="307" w:lineRule="auto"/>
              <w:rPr>
                <w:rFonts w:ascii="Cambria"/>
                <w:sz w:val="21"/>
              </w:rPr>
            </w:pPr>
            <w:r>
              <w:rPr>
                <w:rFonts w:ascii="Cambria"/>
                <w:color w:val="333333"/>
                <w:w w:val="110"/>
                <w:sz w:val="21"/>
              </w:rPr>
              <w:t>Whether the executor should wait for scheduled tasks to complete on shutdown.</w:t>
            </w:r>
          </w:p>
        </w:tc>
      </w:tr>
      <w:tr w:rsidR="00A720EB" w14:paraId="4BD288B0" w14:textId="77777777">
        <w:trPr>
          <w:trHeight w:val="886"/>
        </w:trPr>
        <w:tc>
          <w:tcPr>
            <w:tcW w:w="2494" w:type="dxa"/>
          </w:tcPr>
          <w:p w14:paraId="679A93E4" w14:textId="77777777" w:rsidR="00A720EB" w:rsidRDefault="0030286B">
            <w:pPr>
              <w:pStyle w:val="TableParagraph"/>
              <w:spacing w:before="37" w:line="264" w:lineRule="exact"/>
              <w:rPr>
                <w:sz w:val="21"/>
              </w:rPr>
            </w:pPr>
            <w:proofErr w:type="gramStart"/>
            <w:r>
              <w:rPr>
                <w:color w:val="B02045"/>
                <w:sz w:val="21"/>
              </w:rPr>
              <w:t>spring.task</w:t>
            </w:r>
            <w:proofErr w:type="gramEnd"/>
            <w:r>
              <w:rPr>
                <w:color w:val="B02045"/>
                <w:sz w:val="21"/>
              </w:rPr>
              <w:t>.scheduling</w:t>
            </w:r>
          </w:p>
          <w:p w14:paraId="30286FA4" w14:textId="77777777" w:rsidR="00A720EB" w:rsidRDefault="0030286B">
            <w:pPr>
              <w:pStyle w:val="TableParagraph"/>
              <w:spacing w:before="4" w:line="230" w:lineRule="auto"/>
              <w:ind w:right="533"/>
              <w:rPr>
                <w:sz w:val="21"/>
              </w:rPr>
            </w:pPr>
            <w:proofErr w:type="gramStart"/>
            <w:r>
              <w:rPr>
                <w:color w:val="B02045"/>
                <w:sz w:val="21"/>
              </w:rPr>
              <w:t>.shutdown</w:t>
            </w:r>
            <w:proofErr w:type="gramEnd"/>
            <w:r>
              <w:rPr>
                <w:color w:val="B02045"/>
                <w:sz w:val="21"/>
              </w:rPr>
              <w:t>.await- termination-period</w:t>
            </w:r>
          </w:p>
        </w:tc>
        <w:tc>
          <w:tcPr>
            <w:tcW w:w="2494" w:type="dxa"/>
          </w:tcPr>
          <w:p w14:paraId="1A4FA9F1" w14:textId="77777777" w:rsidR="00A720EB" w:rsidRDefault="00A720EB">
            <w:pPr>
              <w:pStyle w:val="TableParagraph"/>
              <w:spacing w:before="0"/>
              <w:ind w:left="0"/>
              <w:rPr>
                <w:rFonts w:ascii="Times New Roman"/>
                <w:sz w:val="20"/>
              </w:rPr>
            </w:pPr>
          </w:p>
        </w:tc>
        <w:tc>
          <w:tcPr>
            <w:tcW w:w="4988" w:type="dxa"/>
          </w:tcPr>
          <w:p w14:paraId="7D374156" w14:textId="77777777" w:rsidR="00A720EB" w:rsidRDefault="0030286B">
            <w:pPr>
              <w:pStyle w:val="TableParagraph"/>
              <w:spacing w:before="92" w:line="307" w:lineRule="auto"/>
              <w:rPr>
                <w:rFonts w:ascii="Cambria"/>
                <w:sz w:val="21"/>
              </w:rPr>
            </w:pPr>
            <w:r>
              <w:rPr>
                <w:rFonts w:ascii="Cambria"/>
                <w:color w:val="333333"/>
                <w:w w:val="110"/>
                <w:sz w:val="21"/>
              </w:rPr>
              <w:t>Maximum time the executor should wait for remaining tasks to complete.</w:t>
            </w:r>
          </w:p>
        </w:tc>
      </w:tr>
      <w:tr w:rsidR="00A720EB" w14:paraId="079E2DA0" w14:textId="77777777">
        <w:trPr>
          <w:trHeight w:val="741"/>
        </w:trPr>
        <w:tc>
          <w:tcPr>
            <w:tcW w:w="2494" w:type="dxa"/>
          </w:tcPr>
          <w:p w14:paraId="66D298EF" w14:textId="77777777" w:rsidR="00A720EB" w:rsidRDefault="0030286B">
            <w:pPr>
              <w:pStyle w:val="TableParagraph"/>
              <w:spacing w:before="37" w:line="264" w:lineRule="exact"/>
              <w:rPr>
                <w:sz w:val="21"/>
              </w:rPr>
            </w:pPr>
            <w:proofErr w:type="gramStart"/>
            <w:r>
              <w:rPr>
                <w:color w:val="B02045"/>
                <w:sz w:val="21"/>
              </w:rPr>
              <w:t>spring.task</w:t>
            </w:r>
            <w:proofErr w:type="gramEnd"/>
            <w:r>
              <w:rPr>
                <w:color w:val="B02045"/>
                <w:sz w:val="21"/>
              </w:rPr>
              <w:t>.scheduling</w:t>
            </w:r>
          </w:p>
          <w:p w14:paraId="3841F03A" w14:textId="77777777" w:rsidR="00A720EB" w:rsidRDefault="0030286B">
            <w:pPr>
              <w:pStyle w:val="TableParagraph"/>
              <w:spacing w:before="0" w:line="264" w:lineRule="exact"/>
              <w:rPr>
                <w:sz w:val="21"/>
              </w:rPr>
            </w:pPr>
            <w:proofErr w:type="gramStart"/>
            <w:r>
              <w:rPr>
                <w:color w:val="B02045"/>
                <w:sz w:val="21"/>
              </w:rPr>
              <w:t>.thread</w:t>
            </w:r>
            <w:proofErr w:type="gramEnd"/>
            <w:r>
              <w:rPr>
                <w:color w:val="B02045"/>
                <w:sz w:val="21"/>
              </w:rPr>
              <w:t>-name-prefix</w:t>
            </w:r>
          </w:p>
        </w:tc>
        <w:tc>
          <w:tcPr>
            <w:tcW w:w="2494" w:type="dxa"/>
          </w:tcPr>
          <w:p w14:paraId="54A9AE05" w14:textId="77777777" w:rsidR="00A720EB" w:rsidRDefault="0030286B">
            <w:pPr>
              <w:pStyle w:val="TableParagraph"/>
              <w:spacing w:before="37"/>
              <w:rPr>
                <w:sz w:val="21"/>
              </w:rPr>
            </w:pPr>
            <w:r>
              <w:rPr>
                <w:color w:val="B02045"/>
                <w:sz w:val="21"/>
              </w:rPr>
              <w:t>scheduling-</w:t>
            </w:r>
          </w:p>
        </w:tc>
        <w:tc>
          <w:tcPr>
            <w:tcW w:w="4988" w:type="dxa"/>
          </w:tcPr>
          <w:p w14:paraId="0C85E490" w14:textId="77777777" w:rsidR="00A720EB" w:rsidRDefault="0030286B">
            <w:pPr>
              <w:pStyle w:val="TableParagraph"/>
              <w:spacing w:before="28" w:line="310" w:lineRule="atLeast"/>
              <w:rPr>
                <w:rFonts w:ascii="Cambria"/>
                <w:sz w:val="21"/>
              </w:rPr>
            </w:pPr>
            <w:r>
              <w:rPr>
                <w:rFonts w:ascii="Cambria"/>
                <w:color w:val="333333"/>
                <w:w w:val="110"/>
                <w:sz w:val="21"/>
              </w:rPr>
              <w:t>Prefix to use for the names of newly created threads.</w:t>
            </w:r>
          </w:p>
        </w:tc>
      </w:tr>
      <w:tr w:rsidR="00A720EB" w14:paraId="6D5F7E6E" w14:textId="77777777">
        <w:trPr>
          <w:trHeight w:val="425"/>
        </w:trPr>
        <w:tc>
          <w:tcPr>
            <w:tcW w:w="2494" w:type="dxa"/>
          </w:tcPr>
          <w:p w14:paraId="5A490746" w14:textId="77777777" w:rsidR="00A720EB" w:rsidRDefault="0030286B">
            <w:pPr>
              <w:pStyle w:val="TableParagraph"/>
              <w:rPr>
                <w:sz w:val="21"/>
              </w:rPr>
            </w:pPr>
            <w:r>
              <w:rPr>
                <w:color w:val="B02045"/>
                <w:sz w:val="21"/>
              </w:rPr>
              <w:lastRenderedPageBreak/>
              <w:t>trace</w:t>
            </w:r>
          </w:p>
        </w:tc>
        <w:tc>
          <w:tcPr>
            <w:tcW w:w="2494" w:type="dxa"/>
          </w:tcPr>
          <w:p w14:paraId="3EA8F274" w14:textId="77777777" w:rsidR="00A720EB" w:rsidRDefault="0030286B">
            <w:pPr>
              <w:pStyle w:val="TableParagraph"/>
              <w:rPr>
                <w:sz w:val="21"/>
              </w:rPr>
            </w:pPr>
            <w:r>
              <w:rPr>
                <w:color w:val="B02045"/>
                <w:sz w:val="21"/>
              </w:rPr>
              <w:t>false</w:t>
            </w:r>
          </w:p>
        </w:tc>
        <w:tc>
          <w:tcPr>
            <w:tcW w:w="4988" w:type="dxa"/>
          </w:tcPr>
          <w:p w14:paraId="726A26CD" w14:textId="77777777" w:rsidR="00A720EB" w:rsidRDefault="0030286B">
            <w:pPr>
              <w:pStyle w:val="TableParagraph"/>
              <w:spacing w:before="92"/>
              <w:rPr>
                <w:rFonts w:ascii="Cambria"/>
                <w:sz w:val="21"/>
              </w:rPr>
            </w:pPr>
            <w:r>
              <w:rPr>
                <w:rFonts w:ascii="Cambria"/>
                <w:color w:val="333333"/>
                <w:w w:val="110"/>
                <w:sz w:val="21"/>
              </w:rPr>
              <w:t>Enable trace logs.</w:t>
            </w:r>
          </w:p>
        </w:tc>
      </w:tr>
    </w:tbl>
    <w:p w14:paraId="03823AD3" w14:textId="77777777" w:rsidR="00A720EB" w:rsidRDefault="00A720EB">
      <w:pPr>
        <w:rPr>
          <w:sz w:val="21"/>
        </w:rPr>
        <w:sectPr w:rsidR="00A720EB">
          <w:pgSz w:w="11910" w:h="16840"/>
          <w:pgMar w:top="700" w:right="840" w:bottom="380" w:left="840" w:header="0" w:footer="323" w:gutter="0"/>
          <w:cols w:space="720"/>
        </w:sectPr>
      </w:pPr>
    </w:p>
    <w:p w14:paraId="361763AE" w14:textId="77777777" w:rsidR="00A720EB" w:rsidRDefault="0030286B">
      <w:pPr>
        <w:pStyle w:val="3"/>
        <w:numPr>
          <w:ilvl w:val="2"/>
          <w:numId w:val="9"/>
        </w:numPr>
        <w:tabs>
          <w:tab w:val="left" w:pos="1053"/>
        </w:tabs>
        <w:spacing w:before="87"/>
      </w:pPr>
      <w:bookmarkStart w:id="1025" w:name="10.A.2._Cache_properties"/>
      <w:bookmarkStart w:id="1026" w:name="_Toc54424030"/>
      <w:bookmarkEnd w:id="1025"/>
      <w:r>
        <w:rPr>
          <w:color w:val="333333"/>
          <w:w w:val="110"/>
        </w:rPr>
        <w:lastRenderedPageBreak/>
        <w:t>Cache</w:t>
      </w:r>
      <w:r>
        <w:rPr>
          <w:color w:val="333333"/>
          <w:spacing w:val="-6"/>
          <w:w w:val="110"/>
        </w:rPr>
        <w:t xml:space="preserve"> </w:t>
      </w:r>
      <w:r>
        <w:rPr>
          <w:color w:val="333333"/>
          <w:w w:val="110"/>
        </w:rPr>
        <w:t>properties</w:t>
      </w:r>
      <w:bookmarkEnd w:id="1026"/>
    </w:p>
    <w:p w14:paraId="3A57D870" w14:textId="77777777" w:rsidR="00A720EB" w:rsidRDefault="00A720EB">
      <w:pPr>
        <w:pStyle w:val="a3"/>
        <w:spacing w:before="6"/>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B94521E" w14:textId="77777777">
        <w:trPr>
          <w:trHeight w:val="415"/>
        </w:trPr>
        <w:tc>
          <w:tcPr>
            <w:tcW w:w="2494" w:type="dxa"/>
            <w:tcBorders>
              <w:bottom w:val="single" w:sz="12" w:space="0" w:color="DDDDDD"/>
            </w:tcBorders>
          </w:tcPr>
          <w:p w14:paraId="57170C70"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2A451708"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791486D"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2EC94738" w14:textId="77777777">
        <w:trPr>
          <w:trHeight w:val="1362"/>
        </w:trPr>
        <w:tc>
          <w:tcPr>
            <w:tcW w:w="2494" w:type="dxa"/>
            <w:tcBorders>
              <w:top w:val="single" w:sz="12" w:space="0" w:color="DDDDDD"/>
            </w:tcBorders>
          </w:tcPr>
          <w:p w14:paraId="641F1E8A" w14:textId="77777777" w:rsidR="00A720EB" w:rsidRDefault="0030286B">
            <w:pPr>
              <w:pStyle w:val="TableParagraph"/>
              <w:spacing w:before="39" w:line="230" w:lineRule="auto"/>
              <w:ind w:right="409"/>
              <w:rPr>
                <w:sz w:val="21"/>
              </w:rPr>
            </w:pPr>
            <w:proofErr w:type="gramStart"/>
            <w:r>
              <w:rPr>
                <w:color w:val="B02045"/>
                <w:sz w:val="21"/>
              </w:rPr>
              <w:t>spring.cache</w:t>
            </w:r>
            <w:proofErr w:type="gramEnd"/>
            <w:r>
              <w:rPr>
                <w:color w:val="B02045"/>
                <w:sz w:val="21"/>
              </w:rPr>
              <w:t>.cache- names</w:t>
            </w:r>
          </w:p>
        </w:tc>
        <w:tc>
          <w:tcPr>
            <w:tcW w:w="2494" w:type="dxa"/>
            <w:tcBorders>
              <w:top w:val="single" w:sz="12" w:space="0" w:color="DDDDDD"/>
            </w:tcBorders>
          </w:tcPr>
          <w:p w14:paraId="18E38594"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6B883264" w14:textId="77777777" w:rsidR="00A720EB" w:rsidRDefault="0030286B">
            <w:pPr>
              <w:pStyle w:val="TableParagraph"/>
              <w:spacing w:before="84" w:line="307" w:lineRule="auto"/>
              <w:rPr>
                <w:rFonts w:ascii="Cambria"/>
                <w:sz w:val="21"/>
              </w:rPr>
            </w:pPr>
            <w:r>
              <w:rPr>
                <w:rFonts w:ascii="Cambria"/>
                <w:color w:val="333333"/>
                <w:w w:val="110"/>
                <w:sz w:val="21"/>
              </w:rPr>
              <w:t>Comma-separated list of cache names to create if supported by the underlying cache manager.</w:t>
            </w:r>
          </w:p>
          <w:p w14:paraId="630205EF" w14:textId="77777777" w:rsidR="00A720EB" w:rsidRDefault="0030286B">
            <w:pPr>
              <w:pStyle w:val="TableParagraph"/>
              <w:spacing w:before="1"/>
              <w:rPr>
                <w:rFonts w:ascii="Cambria"/>
                <w:sz w:val="21"/>
              </w:rPr>
            </w:pPr>
            <w:r>
              <w:rPr>
                <w:rFonts w:ascii="Cambria"/>
                <w:color w:val="333333"/>
                <w:w w:val="110"/>
                <w:sz w:val="21"/>
              </w:rPr>
              <w:t>Usually, this disables the ability to create</w:t>
            </w:r>
          </w:p>
          <w:p w14:paraId="5FAA9955" w14:textId="77777777" w:rsidR="00A720EB" w:rsidRDefault="0030286B">
            <w:pPr>
              <w:pStyle w:val="TableParagraph"/>
              <w:spacing w:before="70"/>
              <w:rPr>
                <w:rFonts w:ascii="Cambria"/>
                <w:sz w:val="21"/>
              </w:rPr>
            </w:pPr>
            <w:r>
              <w:rPr>
                <w:rFonts w:ascii="Cambria"/>
                <w:color w:val="333333"/>
                <w:w w:val="110"/>
                <w:sz w:val="21"/>
              </w:rPr>
              <w:t>additional caches on-the-fly.</w:t>
            </w:r>
          </w:p>
        </w:tc>
      </w:tr>
      <w:tr w:rsidR="00A720EB" w14:paraId="56BCC856" w14:textId="77777777">
        <w:trPr>
          <w:trHeight w:val="1056"/>
        </w:trPr>
        <w:tc>
          <w:tcPr>
            <w:tcW w:w="2494" w:type="dxa"/>
          </w:tcPr>
          <w:p w14:paraId="7ABDF40D" w14:textId="77777777" w:rsidR="00A720EB" w:rsidRDefault="0030286B">
            <w:pPr>
              <w:pStyle w:val="TableParagraph"/>
              <w:spacing w:before="49" w:line="230" w:lineRule="auto"/>
              <w:ind w:right="94"/>
              <w:rPr>
                <w:sz w:val="21"/>
              </w:rPr>
            </w:pPr>
            <w:proofErr w:type="gramStart"/>
            <w:r>
              <w:rPr>
                <w:color w:val="B02045"/>
                <w:sz w:val="21"/>
              </w:rPr>
              <w:t>spring.cache</w:t>
            </w:r>
            <w:proofErr w:type="gramEnd"/>
            <w:r>
              <w:rPr>
                <w:color w:val="B02045"/>
                <w:sz w:val="21"/>
              </w:rPr>
              <w:t>.caffeine. spec</w:t>
            </w:r>
          </w:p>
        </w:tc>
        <w:tc>
          <w:tcPr>
            <w:tcW w:w="2494" w:type="dxa"/>
          </w:tcPr>
          <w:p w14:paraId="64488637" w14:textId="77777777" w:rsidR="00A720EB" w:rsidRDefault="00A720EB">
            <w:pPr>
              <w:pStyle w:val="TableParagraph"/>
              <w:spacing w:before="0"/>
              <w:ind w:left="0"/>
              <w:rPr>
                <w:rFonts w:ascii="Times New Roman"/>
                <w:sz w:val="20"/>
              </w:rPr>
            </w:pPr>
          </w:p>
        </w:tc>
        <w:tc>
          <w:tcPr>
            <w:tcW w:w="4988" w:type="dxa"/>
          </w:tcPr>
          <w:p w14:paraId="4D51D09C" w14:textId="77777777" w:rsidR="00A720EB" w:rsidRDefault="0030286B">
            <w:pPr>
              <w:pStyle w:val="TableParagraph"/>
              <w:spacing w:before="31" w:line="310" w:lineRule="atLeast"/>
              <w:ind w:right="640"/>
              <w:rPr>
                <w:rFonts w:ascii="Cambria"/>
                <w:sz w:val="21"/>
              </w:rPr>
            </w:pPr>
            <w:r>
              <w:rPr>
                <w:rFonts w:ascii="Cambria"/>
                <w:color w:val="333333"/>
                <w:w w:val="110"/>
                <w:sz w:val="21"/>
              </w:rPr>
              <w:t>The spec to use to create caches. See CaffeineSpec for more details on the spec format.</w:t>
            </w:r>
          </w:p>
        </w:tc>
      </w:tr>
      <w:tr w:rsidR="00A720EB" w14:paraId="0352EFDF" w14:textId="77777777">
        <w:trPr>
          <w:trHeight w:val="1056"/>
        </w:trPr>
        <w:tc>
          <w:tcPr>
            <w:tcW w:w="2494" w:type="dxa"/>
          </w:tcPr>
          <w:p w14:paraId="235E7904" w14:textId="77777777" w:rsidR="00A720EB" w:rsidRDefault="0030286B">
            <w:pPr>
              <w:pStyle w:val="TableParagraph"/>
              <w:spacing w:before="40" w:line="264" w:lineRule="exact"/>
              <w:rPr>
                <w:sz w:val="21"/>
              </w:rPr>
            </w:pPr>
            <w:proofErr w:type="gramStart"/>
            <w:r>
              <w:rPr>
                <w:color w:val="B02045"/>
                <w:sz w:val="21"/>
              </w:rPr>
              <w:t>spring.cache</w:t>
            </w:r>
            <w:proofErr w:type="gramEnd"/>
            <w:r>
              <w:rPr>
                <w:color w:val="B02045"/>
                <w:sz w:val="21"/>
              </w:rPr>
              <w:t>.couchbase</w:t>
            </w:r>
          </w:p>
          <w:p w14:paraId="7A5545E6" w14:textId="77777777" w:rsidR="00A720EB" w:rsidRDefault="0030286B">
            <w:pPr>
              <w:pStyle w:val="TableParagraph"/>
              <w:spacing w:before="0" w:line="264" w:lineRule="exact"/>
              <w:rPr>
                <w:sz w:val="21"/>
              </w:rPr>
            </w:pPr>
            <w:proofErr w:type="gramStart"/>
            <w:r>
              <w:rPr>
                <w:color w:val="B02045"/>
                <w:sz w:val="21"/>
              </w:rPr>
              <w:t>.expiration</w:t>
            </w:r>
            <w:proofErr w:type="gramEnd"/>
          </w:p>
        </w:tc>
        <w:tc>
          <w:tcPr>
            <w:tcW w:w="2494" w:type="dxa"/>
          </w:tcPr>
          <w:p w14:paraId="34677248" w14:textId="77777777" w:rsidR="00A720EB" w:rsidRDefault="00A720EB">
            <w:pPr>
              <w:pStyle w:val="TableParagraph"/>
              <w:spacing w:before="0"/>
              <w:ind w:left="0"/>
              <w:rPr>
                <w:rFonts w:ascii="Times New Roman"/>
                <w:sz w:val="20"/>
              </w:rPr>
            </w:pPr>
          </w:p>
        </w:tc>
        <w:tc>
          <w:tcPr>
            <w:tcW w:w="4988" w:type="dxa"/>
          </w:tcPr>
          <w:p w14:paraId="7F97F304" w14:textId="77777777" w:rsidR="00A720EB" w:rsidRDefault="0030286B">
            <w:pPr>
              <w:pStyle w:val="TableParagraph"/>
              <w:spacing w:before="31" w:line="310" w:lineRule="atLeast"/>
              <w:ind w:right="372"/>
              <w:rPr>
                <w:rFonts w:ascii="Cambria"/>
                <w:sz w:val="21"/>
              </w:rPr>
            </w:pPr>
            <w:r>
              <w:rPr>
                <w:rFonts w:ascii="Cambria"/>
                <w:color w:val="333333"/>
                <w:w w:val="110"/>
                <w:sz w:val="21"/>
              </w:rPr>
              <w:t xml:space="preserve">Entry expiration. By </w:t>
            </w:r>
            <w:proofErr w:type="gramStart"/>
            <w:r>
              <w:rPr>
                <w:rFonts w:ascii="Cambria"/>
                <w:color w:val="333333"/>
                <w:w w:val="110"/>
                <w:sz w:val="21"/>
              </w:rPr>
              <w:t>default</w:t>
            </w:r>
            <w:proofErr w:type="gramEnd"/>
            <w:r>
              <w:rPr>
                <w:rFonts w:ascii="Cambria"/>
                <w:color w:val="333333"/>
                <w:w w:val="110"/>
                <w:sz w:val="21"/>
              </w:rPr>
              <w:t xml:space="preserve"> the entries never expire. Note that this value is ultimately converted to seconds.</w:t>
            </w:r>
          </w:p>
        </w:tc>
      </w:tr>
      <w:tr w:rsidR="00A720EB" w14:paraId="23F73077" w14:textId="77777777">
        <w:trPr>
          <w:trHeight w:val="741"/>
        </w:trPr>
        <w:tc>
          <w:tcPr>
            <w:tcW w:w="2494" w:type="dxa"/>
          </w:tcPr>
          <w:p w14:paraId="1FC8E49A" w14:textId="77777777" w:rsidR="00A720EB" w:rsidRDefault="0030286B">
            <w:pPr>
              <w:pStyle w:val="TableParagraph"/>
              <w:spacing w:before="49" w:line="230" w:lineRule="auto"/>
              <w:ind w:right="94"/>
              <w:rPr>
                <w:sz w:val="21"/>
              </w:rPr>
            </w:pPr>
            <w:proofErr w:type="gramStart"/>
            <w:r>
              <w:rPr>
                <w:color w:val="B02045"/>
                <w:sz w:val="21"/>
              </w:rPr>
              <w:t>spring.cache</w:t>
            </w:r>
            <w:proofErr w:type="gramEnd"/>
            <w:r>
              <w:rPr>
                <w:color w:val="B02045"/>
                <w:sz w:val="21"/>
              </w:rPr>
              <w:t>.ehcache.c onfig</w:t>
            </w:r>
          </w:p>
        </w:tc>
        <w:tc>
          <w:tcPr>
            <w:tcW w:w="2494" w:type="dxa"/>
          </w:tcPr>
          <w:p w14:paraId="78F6B053" w14:textId="77777777" w:rsidR="00A720EB" w:rsidRDefault="00A720EB">
            <w:pPr>
              <w:pStyle w:val="TableParagraph"/>
              <w:spacing w:before="0"/>
              <w:ind w:left="0"/>
              <w:rPr>
                <w:rFonts w:ascii="Times New Roman"/>
                <w:sz w:val="20"/>
              </w:rPr>
            </w:pPr>
          </w:p>
        </w:tc>
        <w:tc>
          <w:tcPr>
            <w:tcW w:w="4988" w:type="dxa"/>
          </w:tcPr>
          <w:p w14:paraId="2AD762D4" w14:textId="77777777" w:rsidR="00A720EB" w:rsidRDefault="0030286B">
            <w:pPr>
              <w:pStyle w:val="TableParagraph"/>
              <w:spacing w:before="31" w:line="310" w:lineRule="atLeast"/>
              <w:rPr>
                <w:rFonts w:ascii="Cambria"/>
                <w:sz w:val="21"/>
              </w:rPr>
            </w:pPr>
            <w:r>
              <w:rPr>
                <w:rFonts w:ascii="Cambria"/>
                <w:color w:val="333333"/>
                <w:w w:val="110"/>
                <w:sz w:val="21"/>
              </w:rPr>
              <w:t>The location of the configuration file to use to initialize EhCache.</w:t>
            </w:r>
          </w:p>
        </w:tc>
      </w:tr>
      <w:tr w:rsidR="00A720EB" w14:paraId="1F8B9D2A" w14:textId="77777777">
        <w:trPr>
          <w:trHeight w:val="741"/>
        </w:trPr>
        <w:tc>
          <w:tcPr>
            <w:tcW w:w="2494" w:type="dxa"/>
          </w:tcPr>
          <w:p w14:paraId="5D0B09B7" w14:textId="77777777" w:rsidR="00A720EB" w:rsidRDefault="0030286B">
            <w:pPr>
              <w:pStyle w:val="TableParagraph"/>
              <w:spacing w:before="49" w:line="230" w:lineRule="auto"/>
              <w:ind w:right="94"/>
              <w:rPr>
                <w:sz w:val="21"/>
              </w:rPr>
            </w:pPr>
            <w:proofErr w:type="gramStart"/>
            <w:r>
              <w:rPr>
                <w:color w:val="B02045"/>
                <w:sz w:val="21"/>
              </w:rPr>
              <w:t>spring.cache</w:t>
            </w:r>
            <w:proofErr w:type="gramEnd"/>
            <w:r>
              <w:rPr>
                <w:color w:val="B02045"/>
                <w:sz w:val="21"/>
              </w:rPr>
              <w:t>.infinispa n.config</w:t>
            </w:r>
          </w:p>
        </w:tc>
        <w:tc>
          <w:tcPr>
            <w:tcW w:w="2494" w:type="dxa"/>
          </w:tcPr>
          <w:p w14:paraId="0B808C13" w14:textId="77777777" w:rsidR="00A720EB" w:rsidRDefault="00A720EB">
            <w:pPr>
              <w:pStyle w:val="TableParagraph"/>
              <w:spacing w:before="0"/>
              <w:ind w:left="0"/>
              <w:rPr>
                <w:rFonts w:ascii="Times New Roman"/>
                <w:sz w:val="20"/>
              </w:rPr>
            </w:pPr>
          </w:p>
        </w:tc>
        <w:tc>
          <w:tcPr>
            <w:tcW w:w="4988" w:type="dxa"/>
          </w:tcPr>
          <w:p w14:paraId="5D8A592B" w14:textId="77777777" w:rsidR="00A720EB" w:rsidRDefault="0030286B">
            <w:pPr>
              <w:pStyle w:val="TableParagraph"/>
              <w:spacing w:before="31" w:line="310" w:lineRule="atLeast"/>
              <w:rPr>
                <w:rFonts w:ascii="Cambria"/>
                <w:sz w:val="21"/>
              </w:rPr>
            </w:pPr>
            <w:r>
              <w:rPr>
                <w:rFonts w:ascii="Cambria"/>
                <w:color w:val="333333"/>
                <w:w w:val="110"/>
                <w:sz w:val="21"/>
              </w:rPr>
              <w:t>The location of the configuration file to use to initialize Infinispan.</w:t>
            </w:r>
          </w:p>
        </w:tc>
      </w:tr>
      <w:tr w:rsidR="00A720EB" w14:paraId="44FCC4CC" w14:textId="77777777">
        <w:trPr>
          <w:trHeight w:val="1372"/>
        </w:trPr>
        <w:tc>
          <w:tcPr>
            <w:tcW w:w="2494" w:type="dxa"/>
          </w:tcPr>
          <w:p w14:paraId="4A19263B" w14:textId="77777777" w:rsidR="00A720EB" w:rsidRDefault="0030286B">
            <w:pPr>
              <w:pStyle w:val="TableParagraph"/>
              <w:spacing w:before="49" w:line="230" w:lineRule="auto"/>
              <w:ind w:right="94"/>
              <w:rPr>
                <w:sz w:val="21"/>
              </w:rPr>
            </w:pPr>
            <w:r>
              <w:rPr>
                <w:color w:val="B02045"/>
                <w:sz w:val="21"/>
              </w:rPr>
              <w:t>spring.cache.jcache.co nfig</w:t>
            </w:r>
          </w:p>
        </w:tc>
        <w:tc>
          <w:tcPr>
            <w:tcW w:w="2494" w:type="dxa"/>
          </w:tcPr>
          <w:p w14:paraId="41DC7455" w14:textId="77777777" w:rsidR="00A720EB" w:rsidRDefault="00A720EB">
            <w:pPr>
              <w:pStyle w:val="TableParagraph"/>
              <w:spacing w:before="0"/>
              <w:ind w:left="0"/>
              <w:rPr>
                <w:rFonts w:ascii="Times New Roman"/>
                <w:sz w:val="20"/>
              </w:rPr>
            </w:pPr>
          </w:p>
        </w:tc>
        <w:tc>
          <w:tcPr>
            <w:tcW w:w="4988" w:type="dxa"/>
          </w:tcPr>
          <w:p w14:paraId="4167C4FC" w14:textId="77777777" w:rsidR="00A720EB" w:rsidRDefault="0030286B">
            <w:pPr>
              <w:pStyle w:val="TableParagraph"/>
              <w:spacing w:before="31" w:line="310" w:lineRule="atLeast"/>
              <w:ind w:right="218"/>
              <w:rPr>
                <w:rFonts w:ascii="Cambria"/>
                <w:sz w:val="21"/>
              </w:rPr>
            </w:pPr>
            <w:r>
              <w:rPr>
                <w:rFonts w:ascii="Cambria"/>
                <w:color w:val="333333"/>
                <w:w w:val="110"/>
                <w:sz w:val="21"/>
              </w:rPr>
              <w:t>The location of the configuration file to use to initialize the cache manager. The configuration file is dependent of the underlying cache implementation.</w:t>
            </w:r>
          </w:p>
        </w:tc>
      </w:tr>
      <w:tr w:rsidR="00A720EB" w14:paraId="774CBF87" w14:textId="77777777">
        <w:trPr>
          <w:trHeight w:val="1687"/>
        </w:trPr>
        <w:tc>
          <w:tcPr>
            <w:tcW w:w="2494" w:type="dxa"/>
          </w:tcPr>
          <w:p w14:paraId="3016AA5D" w14:textId="77777777" w:rsidR="00A720EB" w:rsidRDefault="0030286B">
            <w:pPr>
              <w:pStyle w:val="TableParagraph"/>
              <w:spacing w:before="49" w:line="230" w:lineRule="auto"/>
              <w:ind w:right="94"/>
              <w:rPr>
                <w:sz w:val="21"/>
              </w:rPr>
            </w:pPr>
            <w:r>
              <w:rPr>
                <w:color w:val="B02045"/>
                <w:sz w:val="21"/>
              </w:rPr>
              <w:t>spring.cache.jcache.pr ovider</w:t>
            </w:r>
          </w:p>
        </w:tc>
        <w:tc>
          <w:tcPr>
            <w:tcW w:w="2494" w:type="dxa"/>
          </w:tcPr>
          <w:p w14:paraId="70928CF8" w14:textId="77777777" w:rsidR="00A720EB" w:rsidRDefault="00A720EB">
            <w:pPr>
              <w:pStyle w:val="TableParagraph"/>
              <w:spacing w:before="0"/>
              <w:ind w:left="0"/>
              <w:rPr>
                <w:rFonts w:ascii="Times New Roman"/>
                <w:sz w:val="20"/>
              </w:rPr>
            </w:pPr>
          </w:p>
        </w:tc>
        <w:tc>
          <w:tcPr>
            <w:tcW w:w="4988" w:type="dxa"/>
          </w:tcPr>
          <w:p w14:paraId="41370878" w14:textId="77777777" w:rsidR="00A720EB" w:rsidRDefault="0030286B">
            <w:pPr>
              <w:pStyle w:val="TableParagraph"/>
              <w:spacing w:before="31" w:line="310" w:lineRule="atLeast"/>
              <w:rPr>
                <w:rFonts w:ascii="Cambria"/>
                <w:sz w:val="21"/>
              </w:rPr>
            </w:pPr>
            <w:r>
              <w:rPr>
                <w:rFonts w:ascii="Cambria"/>
                <w:color w:val="333333"/>
                <w:w w:val="110"/>
                <w:sz w:val="21"/>
              </w:rPr>
              <w:t>Fully qualified name of the CachingProvider implementation to use to retrieve the JSR-107 compliant cache manager. Needed only if more than one JSR-107 implementation is available on the classpath.</w:t>
            </w:r>
          </w:p>
        </w:tc>
      </w:tr>
      <w:tr w:rsidR="00A720EB" w14:paraId="49B7016F" w14:textId="77777777">
        <w:trPr>
          <w:trHeight w:val="627"/>
        </w:trPr>
        <w:tc>
          <w:tcPr>
            <w:tcW w:w="2494" w:type="dxa"/>
          </w:tcPr>
          <w:p w14:paraId="565C9960" w14:textId="77777777" w:rsidR="00A720EB" w:rsidRDefault="0030286B">
            <w:pPr>
              <w:pStyle w:val="TableParagraph"/>
              <w:spacing w:before="49" w:line="230" w:lineRule="auto"/>
              <w:ind w:right="113"/>
              <w:rPr>
                <w:sz w:val="21"/>
              </w:rPr>
            </w:pPr>
            <w:r>
              <w:rPr>
                <w:color w:val="B02045"/>
                <w:sz w:val="21"/>
              </w:rPr>
              <w:t>spring.cache.redis.cac he-null-values</w:t>
            </w:r>
          </w:p>
        </w:tc>
        <w:tc>
          <w:tcPr>
            <w:tcW w:w="2494" w:type="dxa"/>
          </w:tcPr>
          <w:p w14:paraId="3974D11E" w14:textId="77777777" w:rsidR="00A720EB" w:rsidRDefault="0030286B">
            <w:pPr>
              <w:pStyle w:val="TableParagraph"/>
              <w:spacing w:before="40"/>
              <w:rPr>
                <w:sz w:val="21"/>
              </w:rPr>
            </w:pPr>
            <w:r>
              <w:rPr>
                <w:color w:val="B02045"/>
                <w:sz w:val="21"/>
              </w:rPr>
              <w:t>true</w:t>
            </w:r>
          </w:p>
        </w:tc>
        <w:tc>
          <w:tcPr>
            <w:tcW w:w="4988" w:type="dxa"/>
          </w:tcPr>
          <w:p w14:paraId="51872C30" w14:textId="77777777" w:rsidR="00A720EB" w:rsidRDefault="0030286B">
            <w:pPr>
              <w:pStyle w:val="TableParagraph"/>
              <w:spacing w:before="94"/>
              <w:rPr>
                <w:rFonts w:ascii="Cambria"/>
                <w:sz w:val="21"/>
              </w:rPr>
            </w:pPr>
            <w:r>
              <w:rPr>
                <w:rFonts w:ascii="Cambria"/>
                <w:color w:val="333333"/>
                <w:w w:val="115"/>
                <w:sz w:val="21"/>
              </w:rPr>
              <w:t>Allow caching null values.</w:t>
            </w:r>
          </w:p>
        </w:tc>
      </w:tr>
      <w:tr w:rsidR="00A720EB" w14:paraId="6F3F7308" w14:textId="77777777">
        <w:trPr>
          <w:trHeight w:val="627"/>
        </w:trPr>
        <w:tc>
          <w:tcPr>
            <w:tcW w:w="2494" w:type="dxa"/>
          </w:tcPr>
          <w:p w14:paraId="0CBECA8E" w14:textId="77777777" w:rsidR="00A720EB" w:rsidRDefault="0030286B">
            <w:pPr>
              <w:pStyle w:val="TableParagraph"/>
              <w:spacing w:before="40" w:line="264" w:lineRule="exact"/>
              <w:rPr>
                <w:sz w:val="21"/>
              </w:rPr>
            </w:pPr>
            <w:r>
              <w:rPr>
                <w:color w:val="B02045"/>
                <w:sz w:val="21"/>
              </w:rPr>
              <w:t>spring.cache.redis.key</w:t>
            </w:r>
          </w:p>
          <w:p w14:paraId="0E6D6B27" w14:textId="77777777" w:rsidR="00A720EB" w:rsidRDefault="0030286B">
            <w:pPr>
              <w:pStyle w:val="TableParagraph"/>
              <w:spacing w:before="0" w:line="264" w:lineRule="exact"/>
              <w:rPr>
                <w:sz w:val="21"/>
              </w:rPr>
            </w:pPr>
            <w:r>
              <w:rPr>
                <w:color w:val="B02045"/>
                <w:sz w:val="21"/>
              </w:rPr>
              <w:t>-prefix</w:t>
            </w:r>
          </w:p>
        </w:tc>
        <w:tc>
          <w:tcPr>
            <w:tcW w:w="2494" w:type="dxa"/>
          </w:tcPr>
          <w:p w14:paraId="16B4682D" w14:textId="77777777" w:rsidR="00A720EB" w:rsidRDefault="00A720EB">
            <w:pPr>
              <w:pStyle w:val="TableParagraph"/>
              <w:spacing w:before="0"/>
              <w:ind w:left="0"/>
              <w:rPr>
                <w:rFonts w:ascii="Times New Roman"/>
                <w:sz w:val="20"/>
              </w:rPr>
            </w:pPr>
          </w:p>
        </w:tc>
        <w:tc>
          <w:tcPr>
            <w:tcW w:w="4988" w:type="dxa"/>
          </w:tcPr>
          <w:p w14:paraId="220D31E2" w14:textId="77777777" w:rsidR="00A720EB" w:rsidRDefault="0030286B">
            <w:pPr>
              <w:pStyle w:val="TableParagraph"/>
              <w:spacing w:before="94"/>
              <w:rPr>
                <w:rFonts w:ascii="Cambria"/>
                <w:sz w:val="21"/>
              </w:rPr>
            </w:pPr>
            <w:r>
              <w:rPr>
                <w:rFonts w:ascii="Cambria"/>
                <w:color w:val="333333"/>
                <w:w w:val="115"/>
                <w:sz w:val="21"/>
              </w:rPr>
              <w:t>Key prefix.</w:t>
            </w:r>
          </w:p>
        </w:tc>
      </w:tr>
      <w:tr w:rsidR="00A720EB" w14:paraId="6E6D0705" w14:textId="77777777">
        <w:trPr>
          <w:trHeight w:val="741"/>
        </w:trPr>
        <w:tc>
          <w:tcPr>
            <w:tcW w:w="2494" w:type="dxa"/>
          </w:tcPr>
          <w:p w14:paraId="702CE221" w14:textId="77777777" w:rsidR="00A720EB" w:rsidRDefault="0030286B">
            <w:pPr>
              <w:pStyle w:val="TableParagraph"/>
              <w:spacing w:before="49" w:line="230" w:lineRule="auto"/>
              <w:ind w:right="113"/>
              <w:rPr>
                <w:sz w:val="21"/>
              </w:rPr>
            </w:pPr>
            <w:r>
              <w:rPr>
                <w:color w:val="B02045"/>
                <w:sz w:val="21"/>
              </w:rPr>
              <w:t>spring.cache.redis.tim e-to-live</w:t>
            </w:r>
          </w:p>
        </w:tc>
        <w:tc>
          <w:tcPr>
            <w:tcW w:w="2494" w:type="dxa"/>
          </w:tcPr>
          <w:p w14:paraId="04EBFF4F" w14:textId="77777777" w:rsidR="00A720EB" w:rsidRDefault="00A720EB">
            <w:pPr>
              <w:pStyle w:val="TableParagraph"/>
              <w:spacing w:before="0"/>
              <w:ind w:left="0"/>
              <w:rPr>
                <w:rFonts w:ascii="Times New Roman"/>
                <w:sz w:val="20"/>
              </w:rPr>
            </w:pPr>
          </w:p>
        </w:tc>
        <w:tc>
          <w:tcPr>
            <w:tcW w:w="4988" w:type="dxa"/>
          </w:tcPr>
          <w:p w14:paraId="6CAE1BCA" w14:textId="77777777" w:rsidR="00A720EB" w:rsidRDefault="0030286B">
            <w:pPr>
              <w:pStyle w:val="TableParagraph"/>
              <w:spacing w:before="31" w:line="310" w:lineRule="atLeast"/>
              <w:rPr>
                <w:rFonts w:ascii="Cambria"/>
                <w:sz w:val="21"/>
              </w:rPr>
            </w:pPr>
            <w:r>
              <w:rPr>
                <w:rFonts w:ascii="Cambria"/>
                <w:color w:val="333333"/>
                <w:w w:val="110"/>
                <w:sz w:val="21"/>
              </w:rPr>
              <w:t xml:space="preserve">Entry expiration. By </w:t>
            </w:r>
            <w:proofErr w:type="gramStart"/>
            <w:r>
              <w:rPr>
                <w:rFonts w:ascii="Cambria"/>
                <w:color w:val="333333"/>
                <w:w w:val="110"/>
                <w:sz w:val="21"/>
              </w:rPr>
              <w:t>default</w:t>
            </w:r>
            <w:proofErr w:type="gramEnd"/>
            <w:r>
              <w:rPr>
                <w:rFonts w:ascii="Cambria"/>
                <w:color w:val="333333"/>
                <w:w w:val="110"/>
                <w:sz w:val="21"/>
              </w:rPr>
              <w:t xml:space="preserve"> the entries never expire.</w:t>
            </w:r>
          </w:p>
        </w:tc>
      </w:tr>
      <w:tr w:rsidR="00A720EB" w14:paraId="27AADCC0" w14:textId="77777777">
        <w:trPr>
          <w:trHeight w:val="741"/>
        </w:trPr>
        <w:tc>
          <w:tcPr>
            <w:tcW w:w="2494" w:type="dxa"/>
          </w:tcPr>
          <w:p w14:paraId="67B347B8" w14:textId="77777777" w:rsidR="00A720EB" w:rsidRDefault="0030286B">
            <w:pPr>
              <w:pStyle w:val="TableParagraph"/>
              <w:spacing w:before="40" w:line="264" w:lineRule="exact"/>
              <w:rPr>
                <w:sz w:val="21"/>
              </w:rPr>
            </w:pPr>
            <w:r>
              <w:rPr>
                <w:color w:val="B02045"/>
                <w:sz w:val="21"/>
              </w:rPr>
              <w:t>spring.cache.redis.use</w:t>
            </w:r>
          </w:p>
          <w:p w14:paraId="63D35640" w14:textId="77777777" w:rsidR="00A720EB" w:rsidRDefault="0030286B">
            <w:pPr>
              <w:pStyle w:val="TableParagraph"/>
              <w:spacing w:before="0" w:line="264" w:lineRule="exact"/>
              <w:rPr>
                <w:sz w:val="21"/>
              </w:rPr>
            </w:pPr>
            <w:r>
              <w:rPr>
                <w:color w:val="B02045"/>
                <w:sz w:val="21"/>
              </w:rPr>
              <w:t>-key-prefix</w:t>
            </w:r>
          </w:p>
        </w:tc>
        <w:tc>
          <w:tcPr>
            <w:tcW w:w="2494" w:type="dxa"/>
          </w:tcPr>
          <w:p w14:paraId="3DA0D17B" w14:textId="77777777" w:rsidR="00A720EB" w:rsidRDefault="0030286B">
            <w:pPr>
              <w:pStyle w:val="TableParagraph"/>
              <w:spacing w:before="40"/>
              <w:rPr>
                <w:sz w:val="21"/>
              </w:rPr>
            </w:pPr>
            <w:r>
              <w:rPr>
                <w:color w:val="B02045"/>
                <w:sz w:val="21"/>
              </w:rPr>
              <w:t>true</w:t>
            </w:r>
          </w:p>
        </w:tc>
        <w:tc>
          <w:tcPr>
            <w:tcW w:w="4988" w:type="dxa"/>
          </w:tcPr>
          <w:p w14:paraId="5D913BAA" w14:textId="77777777" w:rsidR="00A720EB" w:rsidRDefault="0030286B">
            <w:pPr>
              <w:pStyle w:val="TableParagraph"/>
              <w:spacing w:before="31" w:line="310" w:lineRule="atLeast"/>
              <w:rPr>
                <w:rFonts w:ascii="Cambria"/>
                <w:sz w:val="21"/>
              </w:rPr>
            </w:pPr>
            <w:r>
              <w:rPr>
                <w:rFonts w:ascii="Cambria"/>
                <w:color w:val="333333"/>
                <w:w w:val="110"/>
                <w:sz w:val="21"/>
              </w:rPr>
              <w:t>Whether to use the key prefix when writing to Redis.</w:t>
            </w:r>
          </w:p>
        </w:tc>
      </w:tr>
      <w:tr w:rsidR="00A720EB" w14:paraId="37EE5863" w14:textId="77777777">
        <w:trPr>
          <w:trHeight w:val="741"/>
        </w:trPr>
        <w:tc>
          <w:tcPr>
            <w:tcW w:w="2494" w:type="dxa"/>
          </w:tcPr>
          <w:p w14:paraId="60E36C1E" w14:textId="77777777" w:rsidR="00A720EB" w:rsidRDefault="0030286B">
            <w:pPr>
              <w:pStyle w:val="TableParagraph"/>
              <w:spacing w:before="40"/>
              <w:rPr>
                <w:sz w:val="21"/>
              </w:rPr>
            </w:pPr>
            <w:proofErr w:type="gramStart"/>
            <w:r>
              <w:rPr>
                <w:color w:val="B02045"/>
                <w:sz w:val="21"/>
              </w:rPr>
              <w:t>spring.cache</w:t>
            </w:r>
            <w:proofErr w:type="gramEnd"/>
            <w:r>
              <w:rPr>
                <w:color w:val="B02045"/>
                <w:sz w:val="21"/>
              </w:rPr>
              <w:t>.type</w:t>
            </w:r>
          </w:p>
        </w:tc>
        <w:tc>
          <w:tcPr>
            <w:tcW w:w="2494" w:type="dxa"/>
          </w:tcPr>
          <w:p w14:paraId="0FB7A7D9" w14:textId="77777777" w:rsidR="00A720EB" w:rsidRDefault="00A720EB">
            <w:pPr>
              <w:pStyle w:val="TableParagraph"/>
              <w:spacing w:before="0"/>
              <w:ind w:left="0"/>
              <w:rPr>
                <w:rFonts w:ascii="Times New Roman"/>
                <w:sz w:val="20"/>
              </w:rPr>
            </w:pPr>
          </w:p>
        </w:tc>
        <w:tc>
          <w:tcPr>
            <w:tcW w:w="4988" w:type="dxa"/>
          </w:tcPr>
          <w:p w14:paraId="13AEE75B" w14:textId="77777777" w:rsidR="00A720EB" w:rsidRDefault="0030286B">
            <w:pPr>
              <w:pStyle w:val="TableParagraph"/>
              <w:spacing w:before="31" w:line="310" w:lineRule="atLeast"/>
              <w:ind w:right="117"/>
              <w:rPr>
                <w:rFonts w:ascii="Cambria"/>
                <w:sz w:val="21"/>
              </w:rPr>
            </w:pPr>
            <w:r>
              <w:rPr>
                <w:rFonts w:ascii="Cambria"/>
                <w:color w:val="333333"/>
                <w:w w:val="110"/>
                <w:sz w:val="21"/>
              </w:rPr>
              <w:t>Cache type. By default, auto-detected according to the environment.</w:t>
            </w:r>
          </w:p>
        </w:tc>
      </w:tr>
    </w:tbl>
    <w:p w14:paraId="4DC1AEFF" w14:textId="77777777" w:rsidR="00A720EB" w:rsidRDefault="00A720EB">
      <w:pPr>
        <w:pStyle w:val="a3"/>
        <w:spacing w:before="11"/>
        <w:rPr>
          <w:rFonts w:ascii="Palatino Linotype"/>
          <w:b/>
          <w:sz w:val="24"/>
        </w:rPr>
      </w:pPr>
    </w:p>
    <w:p w14:paraId="1A634F18" w14:textId="77777777" w:rsidR="00A720EB" w:rsidRDefault="0030286B">
      <w:pPr>
        <w:pStyle w:val="3"/>
        <w:numPr>
          <w:ilvl w:val="2"/>
          <w:numId w:val="9"/>
        </w:numPr>
        <w:tabs>
          <w:tab w:val="left" w:pos="1053"/>
        </w:tabs>
        <w:spacing w:before="1"/>
      </w:pPr>
      <w:bookmarkStart w:id="1027" w:name="10.A.3._Mail_properties"/>
      <w:bookmarkStart w:id="1028" w:name="_Toc54424031"/>
      <w:bookmarkEnd w:id="1027"/>
      <w:r>
        <w:rPr>
          <w:color w:val="333333"/>
          <w:w w:val="110"/>
        </w:rPr>
        <w:t>Mail</w:t>
      </w:r>
      <w:r>
        <w:rPr>
          <w:color w:val="333333"/>
          <w:spacing w:val="-5"/>
          <w:w w:val="110"/>
        </w:rPr>
        <w:t xml:space="preserve"> </w:t>
      </w:r>
      <w:r>
        <w:rPr>
          <w:color w:val="333333"/>
          <w:w w:val="110"/>
        </w:rPr>
        <w:t>properties</w:t>
      </w:r>
      <w:bookmarkEnd w:id="1028"/>
    </w:p>
    <w:p w14:paraId="6EDE191E" w14:textId="77777777" w:rsidR="00A720EB" w:rsidRDefault="00A720EB">
      <w:pPr>
        <w:pStyle w:val="a3"/>
        <w:spacing w:before="6"/>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19E1DA31" w14:textId="77777777">
        <w:trPr>
          <w:trHeight w:val="415"/>
        </w:trPr>
        <w:tc>
          <w:tcPr>
            <w:tcW w:w="2494" w:type="dxa"/>
            <w:tcBorders>
              <w:bottom w:val="single" w:sz="12" w:space="0" w:color="DDDDDD"/>
            </w:tcBorders>
          </w:tcPr>
          <w:p w14:paraId="59768617"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3302F34D"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33CADBD"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2AEB08EC" w14:textId="77777777">
        <w:trPr>
          <w:trHeight w:val="617"/>
        </w:trPr>
        <w:tc>
          <w:tcPr>
            <w:tcW w:w="2494" w:type="dxa"/>
            <w:tcBorders>
              <w:top w:val="single" w:sz="12" w:space="0" w:color="DDDDDD"/>
            </w:tcBorders>
          </w:tcPr>
          <w:p w14:paraId="087C5BED" w14:textId="77777777" w:rsidR="00A720EB" w:rsidRDefault="0030286B">
            <w:pPr>
              <w:pStyle w:val="TableParagraph"/>
              <w:spacing w:before="39" w:line="230" w:lineRule="auto"/>
              <w:ind w:right="304"/>
              <w:rPr>
                <w:sz w:val="21"/>
              </w:rPr>
            </w:pPr>
            <w:proofErr w:type="gramStart"/>
            <w:r>
              <w:rPr>
                <w:color w:val="B02045"/>
                <w:sz w:val="21"/>
              </w:rPr>
              <w:t>spring.mail</w:t>
            </w:r>
            <w:proofErr w:type="gramEnd"/>
            <w:r>
              <w:rPr>
                <w:color w:val="B02045"/>
                <w:sz w:val="21"/>
              </w:rPr>
              <w:t>.default- encoding</w:t>
            </w:r>
          </w:p>
        </w:tc>
        <w:tc>
          <w:tcPr>
            <w:tcW w:w="2494" w:type="dxa"/>
            <w:tcBorders>
              <w:top w:val="single" w:sz="12" w:space="0" w:color="DDDDDD"/>
            </w:tcBorders>
          </w:tcPr>
          <w:p w14:paraId="25DF4993" w14:textId="77777777" w:rsidR="00A720EB" w:rsidRDefault="0030286B">
            <w:pPr>
              <w:pStyle w:val="TableParagraph"/>
              <w:spacing w:before="30"/>
              <w:rPr>
                <w:sz w:val="21"/>
              </w:rPr>
            </w:pPr>
            <w:r>
              <w:rPr>
                <w:color w:val="B02045"/>
                <w:sz w:val="21"/>
              </w:rPr>
              <w:t>UTF-8</w:t>
            </w:r>
          </w:p>
        </w:tc>
        <w:tc>
          <w:tcPr>
            <w:tcW w:w="4988" w:type="dxa"/>
            <w:tcBorders>
              <w:top w:val="single" w:sz="12" w:space="0" w:color="DDDDDD"/>
            </w:tcBorders>
          </w:tcPr>
          <w:p w14:paraId="021641E8" w14:textId="77777777" w:rsidR="00A720EB" w:rsidRDefault="0030286B">
            <w:pPr>
              <w:pStyle w:val="TableParagraph"/>
              <w:spacing w:before="84"/>
              <w:rPr>
                <w:rFonts w:ascii="Cambria"/>
                <w:sz w:val="21"/>
              </w:rPr>
            </w:pPr>
            <w:r>
              <w:rPr>
                <w:rFonts w:ascii="Cambria"/>
                <w:color w:val="333333"/>
                <w:w w:val="110"/>
                <w:sz w:val="21"/>
              </w:rPr>
              <w:t>Default MimeMessage encoding.</w:t>
            </w:r>
          </w:p>
        </w:tc>
      </w:tr>
    </w:tbl>
    <w:p w14:paraId="15C1FC96" w14:textId="77777777" w:rsidR="00A720EB" w:rsidRDefault="00A720EB">
      <w:pPr>
        <w:rPr>
          <w:sz w:val="21"/>
        </w:rPr>
        <w:sectPr w:rsidR="00A720EB">
          <w:pgSz w:w="11910" w:h="16840"/>
          <w:pgMar w:top="62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F7F87A3" w14:textId="77777777">
        <w:trPr>
          <w:trHeight w:val="415"/>
        </w:trPr>
        <w:tc>
          <w:tcPr>
            <w:tcW w:w="2494" w:type="dxa"/>
            <w:tcBorders>
              <w:bottom w:val="single" w:sz="12" w:space="0" w:color="DDDDDD"/>
            </w:tcBorders>
          </w:tcPr>
          <w:p w14:paraId="4E03CF79"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33B2BA7"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0065F3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58BDFA8" w14:textId="77777777">
        <w:trPr>
          <w:trHeight w:val="731"/>
        </w:trPr>
        <w:tc>
          <w:tcPr>
            <w:tcW w:w="2494" w:type="dxa"/>
            <w:tcBorders>
              <w:top w:val="single" w:sz="12" w:space="0" w:color="DDDDDD"/>
            </w:tcBorders>
          </w:tcPr>
          <w:p w14:paraId="3A837412" w14:textId="77777777" w:rsidR="00A720EB" w:rsidRDefault="0030286B">
            <w:pPr>
              <w:pStyle w:val="TableParagraph"/>
              <w:spacing w:before="27"/>
              <w:rPr>
                <w:sz w:val="21"/>
              </w:rPr>
            </w:pPr>
            <w:proofErr w:type="gramStart"/>
            <w:r>
              <w:rPr>
                <w:color w:val="B02045"/>
                <w:sz w:val="21"/>
              </w:rPr>
              <w:t>spring.mail</w:t>
            </w:r>
            <w:proofErr w:type="gramEnd"/>
            <w:r>
              <w:rPr>
                <w:color w:val="B02045"/>
                <w:sz w:val="21"/>
              </w:rPr>
              <w:t>.host</w:t>
            </w:r>
          </w:p>
        </w:tc>
        <w:tc>
          <w:tcPr>
            <w:tcW w:w="2494" w:type="dxa"/>
            <w:tcBorders>
              <w:top w:val="single" w:sz="12" w:space="0" w:color="DDDDDD"/>
            </w:tcBorders>
          </w:tcPr>
          <w:p w14:paraId="6008BA0B"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49D61A3A" w14:textId="77777777" w:rsidR="00A720EB" w:rsidRDefault="0030286B">
            <w:pPr>
              <w:pStyle w:val="TableParagraph"/>
              <w:spacing w:before="82"/>
              <w:rPr>
                <w:rFonts w:ascii="Cambria"/>
                <w:sz w:val="21"/>
              </w:rPr>
            </w:pPr>
            <w:r>
              <w:rPr>
                <w:rFonts w:ascii="Cambria"/>
                <w:color w:val="333333"/>
                <w:w w:val="110"/>
                <w:sz w:val="21"/>
              </w:rPr>
              <w:t>SMTP server host. For instance,</w:t>
            </w:r>
          </w:p>
          <w:p w14:paraId="35B901EE" w14:textId="77777777" w:rsidR="00A720EB" w:rsidRDefault="0030286B">
            <w:pPr>
              <w:pStyle w:val="TableParagraph"/>
              <w:spacing w:before="69"/>
              <w:rPr>
                <w:rFonts w:ascii="Cambria"/>
                <w:sz w:val="21"/>
              </w:rPr>
            </w:pPr>
            <w:r>
              <w:rPr>
                <w:rFonts w:ascii="Cambria"/>
                <w:color w:val="333333"/>
                <w:w w:val="120"/>
                <w:sz w:val="21"/>
              </w:rPr>
              <w:t>`smtp.example.com`.</w:t>
            </w:r>
          </w:p>
        </w:tc>
      </w:tr>
      <w:tr w:rsidR="00A720EB" w14:paraId="757AB771" w14:textId="77777777">
        <w:trPr>
          <w:trHeight w:val="741"/>
        </w:trPr>
        <w:tc>
          <w:tcPr>
            <w:tcW w:w="2494" w:type="dxa"/>
          </w:tcPr>
          <w:p w14:paraId="320FDB7E" w14:textId="77777777" w:rsidR="00A720EB" w:rsidRDefault="0030286B">
            <w:pPr>
              <w:pStyle w:val="TableParagraph"/>
              <w:spacing w:before="37"/>
              <w:rPr>
                <w:sz w:val="21"/>
              </w:rPr>
            </w:pPr>
            <w:proofErr w:type="gramStart"/>
            <w:r>
              <w:rPr>
                <w:color w:val="B02045"/>
                <w:sz w:val="21"/>
              </w:rPr>
              <w:t>spring.mail</w:t>
            </w:r>
            <w:proofErr w:type="gramEnd"/>
            <w:r>
              <w:rPr>
                <w:color w:val="B02045"/>
                <w:sz w:val="21"/>
              </w:rPr>
              <w:t>.jndi-name</w:t>
            </w:r>
          </w:p>
        </w:tc>
        <w:tc>
          <w:tcPr>
            <w:tcW w:w="2494" w:type="dxa"/>
          </w:tcPr>
          <w:p w14:paraId="256431BD" w14:textId="77777777" w:rsidR="00A720EB" w:rsidRDefault="00A720EB">
            <w:pPr>
              <w:pStyle w:val="TableParagraph"/>
              <w:spacing w:before="0"/>
              <w:ind w:left="0"/>
              <w:rPr>
                <w:rFonts w:ascii="Times New Roman"/>
                <w:sz w:val="20"/>
              </w:rPr>
            </w:pPr>
          </w:p>
        </w:tc>
        <w:tc>
          <w:tcPr>
            <w:tcW w:w="4988" w:type="dxa"/>
          </w:tcPr>
          <w:p w14:paraId="0FD4E5A5" w14:textId="77777777" w:rsidR="00A720EB" w:rsidRDefault="0030286B">
            <w:pPr>
              <w:pStyle w:val="TableParagraph"/>
              <w:spacing w:before="28" w:line="310" w:lineRule="atLeast"/>
              <w:rPr>
                <w:rFonts w:ascii="Cambria"/>
                <w:sz w:val="21"/>
              </w:rPr>
            </w:pPr>
            <w:r>
              <w:rPr>
                <w:rFonts w:ascii="Cambria"/>
                <w:color w:val="333333"/>
                <w:w w:val="110"/>
                <w:sz w:val="21"/>
              </w:rPr>
              <w:t>Session JNDI name. When set, takes precedence over other Session settings.</w:t>
            </w:r>
          </w:p>
        </w:tc>
      </w:tr>
      <w:tr w:rsidR="00A720EB" w14:paraId="0FE88E2C" w14:textId="77777777">
        <w:trPr>
          <w:trHeight w:val="425"/>
        </w:trPr>
        <w:tc>
          <w:tcPr>
            <w:tcW w:w="2494" w:type="dxa"/>
          </w:tcPr>
          <w:p w14:paraId="7FDC5558" w14:textId="77777777" w:rsidR="00A720EB" w:rsidRDefault="0030286B">
            <w:pPr>
              <w:pStyle w:val="TableParagraph"/>
              <w:spacing w:before="37"/>
              <w:rPr>
                <w:sz w:val="21"/>
              </w:rPr>
            </w:pPr>
            <w:proofErr w:type="gramStart"/>
            <w:r>
              <w:rPr>
                <w:color w:val="B02045"/>
                <w:sz w:val="21"/>
              </w:rPr>
              <w:t>spring.mail</w:t>
            </w:r>
            <w:proofErr w:type="gramEnd"/>
            <w:r>
              <w:rPr>
                <w:color w:val="B02045"/>
                <w:sz w:val="21"/>
              </w:rPr>
              <w:t>.password</w:t>
            </w:r>
          </w:p>
        </w:tc>
        <w:tc>
          <w:tcPr>
            <w:tcW w:w="2494" w:type="dxa"/>
          </w:tcPr>
          <w:p w14:paraId="42C3155E" w14:textId="77777777" w:rsidR="00A720EB" w:rsidRDefault="00A720EB">
            <w:pPr>
              <w:pStyle w:val="TableParagraph"/>
              <w:spacing w:before="0"/>
              <w:ind w:left="0"/>
              <w:rPr>
                <w:rFonts w:ascii="Times New Roman"/>
                <w:sz w:val="20"/>
              </w:rPr>
            </w:pPr>
          </w:p>
        </w:tc>
        <w:tc>
          <w:tcPr>
            <w:tcW w:w="4988" w:type="dxa"/>
          </w:tcPr>
          <w:p w14:paraId="51178F7D" w14:textId="77777777" w:rsidR="00A720EB" w:rsidRDefault="0030286B">
            <w:pPr>
              <w:pStyle w:val="TableParagraph"/>
              <w:spacing w:before="92"/>
              <w:rPr>
                <w:rFonts w:ascii="Cambria"/>
                <w:sz w:val="21"/>
              </w:rPr>
            </w:pPr>
            <w:r>
              <w:rPr>
                <w:rFonts w:ascii="Cambria"/>
                <w:color w:val="333333"/>
                <w:w w:val="110"/>
                <w:sz w:val="21"/>
              </w:rPr>
              <w:t>Login password of the SMTP server.</w:t>
            </w:r>
          </w:p>
        </w:tc>
      </w:tr>
      <w:tr w:rsidR="00A720EB" w14:paraId="5F9FC12C" w14:textId="77777777">
        <w:trPr>
          <w:trHeight w:val="425"/>
        </w:trPr>
        <w:tc>
          <w:tcPr>
            <w:tcW w:w="2494" w:type="dxa"/>
          </w:tcPr>
          <w:p w14:paraId="67A2E6B4" w14:textId="77777777" w:rsidR="00A720EB" w:rsidRDefault="0030286B">
            <w:pPr>
              <w:pStyle w:val="TableParagraph"/>
              <w:rPr>
                <w:sz w:val="21"/>
              </w:rPr>
            </w:pPr>
            <w:proofErr w:type="gramStart"/>
            <w:r>
              <w:rPr>
                <w:color w:val="B02045"/>
                <w:sz w:val="21"/>
              </w:rPr>
              <w:t>spring.mail</w:t>
            </w:r>
            <w:proofErr w:type="gramEnd"/>
            <w:r>
              <w:rPr>
                <w:color w:val="B02045"/>
                <w:sz w:val="21"/>
              </w:rPr>
              <w:t>.port</w:t>
            </w:r>
          </w:p>
        </w:tc>
        <w:tc>
          <w:tcPr>
            <w:tcW w:w="2494" w:type="dxa"/>
          </w:tcPr>
          <w:p w14:paraId="6F79747C" w14:textId="77777777" w:rsidR="00A720EB" w:rsidRDefault="00A720EB">
            <w:pPr>
              <w:pStyle w:val="TableParagraph"/>
              <w:spacing w:before="0"/>
              <w:ind w:left="0"/>
              <w:rPr>
                <w:rFonts w:ascii="Times New Roman"/>
                <w:sz w:val="20"/>
              </w:rPr>
            </w:pPr>
          </w:p>
        </w:tc>
        <w:tc>
          <w:tcPr>
            <w:tcW w:w="4988" w:type="dxa"/>
          </w:tcPr>
          <w:p w14:paraId="2176A4DF" w14:textId="77777777" w:rsidR="00A720EB" w:rsidRDefault="0030286B">
            <w:pPr>
              <w:pStyle w:val="TableParagraph"/>
              <w:spacing w:before="92"/>
              <w:rPr>
                <w:rFonts w:ascii="Cambria"/>
                <w:sz w:val="21"/>
              </w:rPr>
            </w:pPr>
            <w:r>
              <w:rPr>
                <w:rFonts w:ascii="Cambria"/>
                <w:color w:val="333333"/>
                <w:w w:val="110"/>
                <w:sz w:val="21"/>
              </w:rPr>
              <w:t>SMTP server port.</w:t>
            </w:r>
          </w:p>
        </w:tc>
      </w:tr>
      <w:tr w:rsidR="00A720EB" w14:paraId="27893877" w14:textId="77777777">
        <w:trPr>
          <w:trHeight w:val="627"/>
        </w:trPr>
        <w:tc>
          <w:tcPr>
            <w:tcW w:w="2494" w:type="dxa"/>
          </w:tcPr>
          <w:p w14:paraId="0EC29DBD" w14:textId="77777777" w:rsidR="00A720EB" w:rsidRDefault="0030286B">
            <w:pPr>
              <w:pStyle w:val="TableParagraph"/>
              <w:spacing w:before="37" w:line="264" w:lineRule="exact"/>
              <w:rPr>
                <w:sz w:val="21"/>
              </w:rPr>
            </w:pPr>
            <w:proofErr w:type="gramStart"/>
            <w:r>
              <w:rPr>
                <w:color w:val="B02045"/>
                <w:sz w:val="21"/>
              </w:rPr>
              <w:t>spring.mail</w:t>
            </w:r>
            <w:proofErr w:type="gramEnd"/>
            <w:r>
              <w:rPr>
                <w:color w:val="B02045"/>
                <w:sz w:val="21"/>
              </w:rPr>
              <w:t>.properties</w:t>
            </w:r>
          </w:p>
          <w:p w14:paraId="5B2A0C96" w14:textId="77777777" w:rsidR="00A720EB" w:rsidRDefault="0030286B">
            <w:pPr>
              <w:pStyle w:val="TableParagraph"/>
              <w:spacing w:before="0" w:line="264" w:lineRule="exact"/>
              <w:rPr>
                <w:sz w:val="21"/>
              </w:rPr>
            </w:pPr>
            <w:r>
              <w:rPr>
                <w:color w:val="B02045"/>
                <w:sz w:val="21"/>
              </w:rPr>
              <w:t>.*</w:t>
            </w:r>
          </w:p>
        </w:tc>
        <w:tc>
          <w:tcPr>
            <w:tcW w:w="2494" w:type="dxa"/>
          </w:tcPr>
          <w:p w14:paraId="7731C7C8" w14:textId="77777777" w:rsidR="00A720EB" w:rsidRDefault="00A720EB">
            <w:pPr>
              <w:pStyle w:val="TableParagraph"/>
              <w:spacing w:before="0"/>
              <w:ind w:left="0"/>
              <w:rPr>
                <w:rFonts w:ascii="Times New Roman"/>
                <w:sz w:val="20"/>
              </w:rPr>
            </w:pPr>
          </w:p>
        </w:tc>
        <w:tc>
          <w:tcPr>
            <w:tcW w:w="4988" w:type="dxa"/>
          </w:tcPr>
          <w:p w14:paraId="4BCA3612" w14:textId="77777777" w:rsidR="00A720EB" w:rsidRDefault="0030286B">
            <w:pPr>
              <w:pStyle w:val="TableParagraph"/>
              <w:spacing w:before="92"/>
              <w:rPr>
                <w:rFonts w:ascii="Cambria"/>
                <w:sz w:val="21"/>
              </w:rPr>
            </w:pPr>
            <w:r>
              <w:rPr>
                <w:rFonts w:ascii="Cambria"/>
                <w:color w:val="333333"/>
                <w:w w:val="110"/>
                <w:sz w:val="21"/>
              </w:rPr>
              <w:t>Additional JavaMail Session properties.</w:t>
            </w:r>
          </w:p>
        </w:tc>
      </w:tr>
      <w:tr w:rsidR="00A720EB" w14:paraId="0A1B1844" w14:textId="77777777">
        <w:trPr>
          <w:trHeight w:val="425"/>
        </w:trPr>
        <w:tc>
          <w:tcPr>
            <w:tcW w:w="2494" w:type="dxa"/>
          </w:tcPr>
          <w:p w14:paraId="56480499" w14:textId="77777777" w:rsidR="00A720EB" w:rsidRDefault="0030286B">
            <w:pPr>
              <w:pStyle w:val="TableParagraph"/>
              <w:spacing w:before="37"/>
              <w:rPr>
                <w:sz w:val="21"/>
              </w:rPr>
            </w:pPr>
            <w:proofErr w:type="gramStart"/>
            <w:r>
              <w:rPr>
                <w:color w:val="B02045"/>
                <w:sz w:val="21"/>
              </w:rPr>
              <w:t>spring.mail</w:t>
            </w:r>
            <w:proofErr w:type="gramEnd"/>
            <w:r>
              <w:rPr>
                <w:color w:val="B02045"/>
                <w:sz w:val="21"/>
              </w:rPr>
              <w:t>.protocol</w:t>
            </w:r>
          </w:p>
        </w:tc>
        <w:tc>
          <w:tcPr>
            <w:tcW w:w="2494" w:type="dxa"/>
          </w:tcPr>
          <w:p w14:paraId="23E5337B" w14:textId="77777777" w:rsidR="00A720EB" w:rsidRDefault="0030286B">
            <w:pPr>
              <w:pStyle w:val="TableParagraph"/>
              <w:spacing w:before="37"/>
              <w:rPr>
                <w:sz w:val="21"/>
              </w:rPr>
            </w:pPr>
            <w:r>
              <w:rPr>
                <w:color w:val="B02045"/>
                <w:sz w:val="21"/>
              </w:rPr>
              <w:t>smtp</w:t>
            </w:r>
          </w:p>
        </w:tc>
        <w:tc>
          <w:tcPr>
            <w:tcW w:w="4988" w:type="dxa"/>
          </w:tcPr>
          <w:p w14:paraId="2AF4BD9E" w14:textId="77777777" w:rsidR="00A720EB" w:rsidRDefault="0030286B">
            <w:pPr>
              <w:pStyle w:val="TableParagraph"/>
              <w:spacing w:before="92"/>
              <w:rPr>
                <w:rFonts w:ascii="Cambria"/>
                <w:sz w:val="21"/>
              </w:rPr>
            </w:pPr>
            <w:r>
              <w:rPr>
                <w:rFonts w:ascii="Cambria"/>
                <w:color w:val="333333"/>
                <w:w w:val="110"/>
                <w:sz w:val="21"/>
              </w:rPr>
              <w:t>Protocol used by the SMTP server.</w:t>
            </w:r>
          </w:p>
        </w:tc>
      </w:tr>
      <w:tr w:rsidR="00A720EB" w14:paraId="6602056B" w14:textId="77777777">
        <w:trPr>
          <w:trHeight w:val="741"/>
        </w:trPr>
        <w:tc>
          <w:tcPr>
            <w:tcW w:w="2494" w:type="dxa"/>
          </w:tcPr>
          <w:p w14:paraId="4C7E8F37" w14:textId="77777777" w:rsidR="00A720EB" w:rsidRDefault="0030286B">
            <w:pPr>
              <w:pStyle w:val="TableParagraph"/>
              <w:spacing w:before="46" w:line="230" w:lineRule="auto"/>
              <w:ind w:right="619"/>
              <w:rPr>
                <w:sz w:val="21"/>
              </w:rPr>
            </w:pPr>
            <w:proofErr w:type="gramStart"/>
            <w:r>
              <w:rPr>
                <w:color w:val="B02045"/>
                <w:sz w:val="21"/>
              </w:rPr>
              <w:t>spring.mail</w:t>
            </w:r>
            <w:proofErr w:type="gramEnd"/>
            <w:r>
              <w:rPr>
                <w:color w:val="B02045"/>
                <w:sz w:val="21"/>
              </w:rPr>
              <w:t>.test- connection</w:t>
            </w:r>
          </w:p>
        </w:tc>
        <w:tc>
          <w:tcPr>
            <w:tcW w:w="2494" w:type="dxa"/>
          </w:tcPr>
          <w:p w14:paraId="2E4918C2" w14:textId="77777777" w:rsidR="00A720EB" w:rsidRDefault="0030286B">
            <w:pPr>
              <w:pStyle w:val="TableParagraph"/>
              <w:rPr>
                <w:sz w:val="21"/>
              </w:rPr>
            </w:pPr>
            <w:r>
              <w:rPr>
                <w:color w:val="B02045"/>
                <w:sz w:val="21"/>
              </w:rPr>
              <w:t>false</w:t>
            </w:r>
          </w:p>
        </w:tc>
        <w:tc>
          <w:tcPr>
            <w:tcW w:w="4988" w:type="dxa"/>
          </w:tcPr>
          <w:p w14:paraId="454793E8" w14:textId="77777777" w:rsidR="00A720EB" w:rsidRDefault="0030286B">
            <w:pPr>
              <w:pStyle w:val="TableParagraph"/>
              <w:spacing w:before="28" w:line="310" w:lineRule="atLeast"/>
              <w:ind w:right="44"/>
              <w:rPr>
                <w:rFonts w:ascii="Cambria"/>
                <w:sz w:val="21"/>
              </w:rPr>
            </w:pPr>
            <w:r>
              <w:rPr>
                <w:rFonts w:ascii="Cambria"/>
                <w:color w:val="333333"/>
                <w:w w:val="110"/>
                <w:sz w:val="21"/>
              </w:rPr>
              <w:t>Whether to test that the mail server is available on startup.</w:t>
            </w:r>
          </w:p>
        </w:tc>
      </w:tr>
      <w:tr w:rsidR="00A720EB" w14:paraId="6DF0335A" w14:textId="77777777">
        <w:trPr>
          <w:trHeight w:val="425"/>
        </w:trPr>
        <w:tc>
          <w:tcPr>
            <w:tcW w:w="2494" w:type="dxa"/>
          </w:tcPr>
          <w:p w14:paraId="7696C76A" w14:textId="77777777" w:rsidR="00A720EB" w:rsidRDefault="0030286B">
            <w:pPr>
              <w:pStyle w:val="TableParagraph"/>
              <w:rPr>
                <w:sz w:val="21"/>
              </w:rPr>
            </w:pPr>
            <w:proofErr w:type="gramStart"/>
            <w:r>
              <w:rPr>
                <w:color w:val="B02045"/>
                <w:sz w:val="21"/>
              </w:rPr>
              <w:t>spring.mail</w:t>
            </w:r>
            <w:proofErr w:type="gramEnd"/>
            <w:r>
              <w:rPr>
                <w:color w:val="B02045"/>
                <w:sz w:val="21"/>
              </w:rPr>
              <w:t>.username</w:t>
            </w:r>
          </w:p>
        </w:tc>
        <w:tc>
          <w:tcPr>
            <w:tcW w:w="2494" w:type="dxa"/>
          </w:tcPr>
          <w:p w14:paraId="116D1CC8" w14:textId="77777777" w:rsidR="00A720EB" w:rsidRDefault="00A720EB">
            <w:pPr>
              <w:pStyle w:val="TableParagraph"/>
              <w:spacing w:before="0"/>
              <w:ind w:left="0"/>
              <w:rPr>
                <w:rFonts w:ascii="Times New Roman"/>
                <w:sz w:val="20"/>
              </w:rPr>
            </w:pPr>
          </w:p>
        </w:tc>
        <w:tc>
          <w:tcPr>
            <w:tcW w:w="4988" w:type="dxa"/>
          </w:tcPr>
          <w:p w14:paraId="21F5CE18" w14:textId="77777777" w:rsidR="00A720EB" w:rsidRDefault="0030286B">
            <w:pPr>
              <w:pStyle w:val="TableParagraph"/>
              <w:spacing w:before="92"/>
              <w:rPr>
                <w:rFonts w:ascii="Cambria"/>
                <w:sz w:val="21"/>
              </w:rPr>
            </w:pPr>
            <w:r>
              <w:rPr>
                <w:rFonts w:ascii="Cambria"/>
                <w:color w:val="333333"/>
                <w:w w:val="110"/>
                <w:sz w:val="21"/>
              </w:rPr>
              <w:t>Login user of the SMTP server.</w:t>
            </w:r>
          </w:p>
        </w:tc>
      </w:tr>
      <w:tr w:rsidR="00A720EB" w14:paraId="6A8968E8" w14:textId="77777777">
        <w:trPr>
          <w:trHeight w:val="627"/>
        </w:trPr>
        <w:tc>
          <w:tcPr>
            <w:tcW w:w="2494" w:type="dxa"/>
          </w:tcPr>
          <w:p w14:paraId="32EEEC39" w14:textId="77777777" w:rsidR="00A720EB" w:rsidRDefault="0030286B">
            <w:pPr>
              <w:pStyle w:val="TableParagraph"/>
              <w:spacing w:before="46" w:line="230" w:lineRule="auto"/>
              <w:ind w:right="304"/>
              <w:rPr>
                <w:sz w:val="21"/>
              </w:rPr>
            </w:pPr>
            <w:r>
              <w:rPr>
                <w:color w:val="B02045"/>
                <w:sz w:val="21"/>
              </w:rPr>
              <w:t>spring.sendgrid.api- key</w:t>
            </w:r>
          </w:p>
        </w:tc>
        <w:tc>
          <w:tcPr>
            <w:tcW w:w="2494" w:type="dxa"/>
          </w:tcPr>
          <w:p w14:paraId="12E9092C" w14:textId="77777777" w:rsidR="00A720EB" w:rsidRDefault="00A720EB">
            <w:pPr>
              <w:pStyle w:val="TableParagraph"/>
              <w:spacing w:before="0"/>
              <w:ind w:left="0"/>
              <w:rPr>
                <w:rFonts w:ascii="Times New Roman"/>
                <w:sz w:val="20"/>
              </w:rPr>
            </w:pPr>
          </w:p>
        </w:tc>
        <w:tc>
          <w:tcPr>
            <w:tcW w:w="4988" w:type="dxa"/>
          </w:tcPr>
          <w:p w14:paraId="111194E2" w14:textId="77777777" w:rsidR="00A720EB" w:rsidRDefault="0030286B">
            <w:pPr>
              <w:pStyle w:val="TableParagraph"/>
              <w:spacing w:before="92"/>
              <w:rPr>
                <w:rFonts w:ascii="Cambria"/>
                <w:sz w:val="21"/>
              </w:rPr>
            </w:pPr>
            <w:r>
              <w:rPr>
                <w:rFonts w:ascii="Cambria"/>
                <w:color w:val="333333"/>
                <w:w w:val="110"/>
                <w:sz w:val="21"/>
              </w:rPr>
              <w:t>SendGrid API key.</w:t>
            </w:r>
          </w:p>
        </w:tc>
      </w:tr>
      <w:tr w:rsidR="00A720EB" w14:paraId="667AC5BA" w14:textId="77777777">
        <w:trPr>
          <w:trHeight w:val="627"/>
        </w:trPr>
        <w:tc>
          <w:tcPr>
            <w:tcW w:w="2494" w:type="dxa"/>
          </w:tcPr>
          <w:p w14:paraId="348A7F13" w14:textId="77777777" w:rsidR="00A720EB" w:rsidRDefault="0030286B">
            <w:pPr>
              <w:pStyle w:val="TableParagraph"/>
              <w:spacing w:before="46" w:line="230" w:lineRule="auto"/>
              <w:ind w:right="94"/>
              <w:rPr>
                <w:sz w:val="21"/>
              </w:rPr>
            </w:pPr>
            <w:proofErr w:type="gramStart"/>
            <w:r>
              <w:rPr>
                <w:color w:val="B02045"/>
                <w:sz w:val="21"/>
              </w:rPr>
              <w:t>spring.sendgrid</w:t>
            </w:r>
            <w:proofErr w:type="gramEnd"/>
            <w:r>
              <w:rPr>
                <w:color w:val="B02045"/>
                <w:sz w:val="21"/>
              </w:rPr>
              <w:t>.proxy. host</w:t>
            </w:r>
          </w:p>
        </w:tc>
        <w:tc>
          <w:tcPr>
            <w:tcW w:w="2494" w:type="dxa"/>
          </w:tcPr>
          <w:p w14:paraId="4039B9DE" w14:textId="77777777" w:rsidR="00A720EB" w:rsidRDefault="00A720EB">
            <w:pPr>
              <w:pStyle w:val="TableParagraph"/>
              <w:spacing w:before="0"/>
              <w:ind w:left="0"/>
              <w:rPr>
                <w:rFonts w:ascii="Times New Roman"/>
                <w:sz w:val="20"/>
              </w:rPr>
            </w:pPr>
          </w:p>
        </w:tc>
        <w:tc>
          <w:tcPr>
            <w:tcW w:w="4988" w:type="dxa"/>
          </w:tcPr>
          <w:p w14:paraId="019C5BCF" w14:textId="77777777" w:rsidR="00A720EB" w:rsidRDefault="0030286B">
            <w:pPr>
              <w:pStyle w:val="TableParagraph"/>
              <w:spacing w:before="92"/>
              <w:rPr>
                <w:rFonts w:ascii="Cambria"/>
                <w:sz w:val="21"/>
              </w:rPr>
            </w:pPr>
            <w:r>
              <w:rPr>
                <w:rFonts w:ascii="Cambria"/>
                <w:color w:val="333333"/>
                <w:w w:val="110"/>
                <w:sz w:val="21"/>
              </w:rPr>
              <w:t>SendGrid proxy host.</w:t>
            </w:r>
          </w:p>
        </w:tc>
      </w:tr>
      <w:tr w:rsidR="00A720EB" w14:paraId="70C7579C" w14:textId="77777777">
        <w:trPr>
          <w:trHeight w:val="627"/>
        </w:trPr>
        <w:tc>
          <w:tcPr>
            <w:tcW w:w="2494" w:type="dxa"/>
          </w:tcPr>
          <w:p w14:paraId="0F004CE3" w14:textId="77777777" w:rsidR="00A720EB" w:rsidRDefault="0030286B">
            <w:pPr>
              <w:pStyle w:val="TableParagraph"/>
              <w:spacing w:before="46" w:line="230" w:lineRule="auto"/>
              <w:ind w:right="94"/>
              <w:rPr>
                <w:sz w:val="21"/>
              </w:rPr>
            </w:pPr>
            <w:proofErr w:type="gramStart"/>
            <w:r>
              <w:rPr>
                <w:color w:val="B02045"/>
                <w:sz w:val="21"/>
              </w:rPr>
              <w:t>spring.sendgrid</w:t>
            </w:r>
            <w:proofErr w:type="gramEnd"/>
            <w:r>
              <w:rPr>
                <w:color w:val="B02045"/>
                <w:sz w:val="21"/>
              </w:rPr>
              <w:t>.proxy. port</w:t>
            </w:r>
          </w:p>
        </w:tc>
        <w:tc>
          <w:tcPr>
            <w:tcW w:w="2494" w:type="dxa"/>
          </w:tcPr>
          <w:p w14:paraId="19925704" w14:textId="77777777" w:rsidR="00A720EB" w:rsidRDefault="00A720EB">
            <w:pPr>
              <w:pStyle w:val="TableParagraph"/>
              <w:spacing w:before="0"/>
              <w:ind w:left="0"/>
              <w:rPr>
                <w:rFonts w:ascii="Times New Roman"/>
                <w:sz w:val="20"/>
              </w:rPr>
            </w:pPr>
          </w:p>
        </w:tc>
        <w:tc>
          <w:tcPr>
            <w:tcW w:w="4988" w:type="dxa"/>
          </w:tcPr>
          <w:p w14:paraId="1E20F0EC" w14:textId="77777777" w:rsidR="00A720EB" w:rsidRDefault="0030286B">
            <w:pPr>
              <w:pStyle w:val="TableParagraph"/>
              <w:spacing w:before="92"/>
              <w:rPr>
                <w:rFonts w:ascii="Cambria"/>
                <w:sz w:val="21"/>
              </w:rPr>
            </w:pPr>
            <w:r>
              <w:rPr>
                <w:rFonts w:ascii="Cambria"/>
                <w:color w:val="333333"/>
                <w:w w:val="110"/>
                <w:sz w:val="21"/>
              </w:rPr>
              <w:t>SendGrid proxy port.</w:t>
            </w:r>
          </w:p>
        </w:tc>
      </w:tr>
    </w:tbl>
    <w:p w14:paraId="2A78FF9F" w14:textId="77777777" w:rsidR="00A720EB" w:rsidRDefault="00A720EB">
      <w:pPr>
        <w:pStyle w:val="a3"/>
        <w:spacing w:before="12"/>
        <w:rPr>
          <w:rFonts w:ascii="Palatino Linotype"/>
          <w:b/>
          <w:sz w:val="16"/>
        </w:rPr>
      </w:pPr>
    </w:p>
    <w:p w14:paraId="7EF34BA7" w14:textId="77777777" w:rsidR="00A720EB" w:rsidRDefault="0030286B">
      <w:pPr>
        <w:pStyle w:val="3"/>
        <w:numPr>
          <w:ilvl w:val="2"/>
          <w:numId w:val="9"/>
        </w:numPr>
        <w:tabs>
          <w:tab w:val="left" w:pos="1053"/>
        </w:tabs>
        <w:spacing w:before="105"/>
      </w:pPr>
      <w:bookmarkStart w:id="1029" w:name="10.A.4._JSON_properties"/>
      <w:bookmarkStart w:id="1030" w:name="_Toc54424032"/>
      <w:bookmarkEnd w:id="1029"/>
      <w:r>
        <w:rPr>
          <w:color w:val="333333"/>
          <w:w w:val="105"/>
        </w:rPr>
        <w:t>JSON</w:t>
      </w:r>
      <w:r>
        <w:rPr>
          <w:color w:val="333333"/>
          <w:spacing w:val="-1"/>
          <w:w w:val="105"/>
        </w:rPr>
        <w:t xml:space="preserve"> </w:t>
      </w:r>
      <w:r>
        <w:rPr>
          <w:color w:val="333333"/>
          <w:w w:val="105"/>
        </w:rPr>
        <w:t>properties</w:t>
      </w:r>
      <w:bookmarkEnd w:id="1030"/>
    </w:p>
    <w:p w14:paraId="56AA3E27"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C1D6BC0" w14:textId="77777777">
        <w:trPr>
          <w:trHeight w:val="415"/>
        </w:trPr>
        <w:tc>
          <w:tcPr>
            <w:tcW w:w="2494" w:type="dxa"/>
            <w:tcBorders>
              <w:bottom w:val="single" w:sz="12" w:space="0" w:color="DDDDDD"/>
            </w:tcBorders>
          </w:tcPr>
          <w:p w14:paraId="5C1F3B01"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3527713A"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52F8C12"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183B6892" w14:textId="77777777">
        <w:trPr>
          <w:trHeight w:val="617"/>
        </w:trPr>
        <w:tc>
          <w:tcPr>
            <w:tcW w:w="2494" w:type="dxa"/>
            <w:tcBorders>
              <w:top w:val="single" w:sz="12" w:space="0" w:color="DDDDDD"/>
            </w:tcBorders>
          </w:tcPr>
          <w:p w14:paraId="1FBB7D18" w14:textId="77777777" w:rsidR="00A720EB" w:rsidRDefault="0030286B">
            <w:pPr>
              <w:pStyle w:val="TableParagraph"/>
              <w:spacing w:before="39" w:line="230" w:lineRule="auto"/>
              <w:ind w:right="619"/>
              <w:rPr>
                <w:sz w:val="21"/>
              </w:rPr>
            </w:pPr>
            <w:proofErr w:type="gramStart"/>
            <w:r>
              <w:rPr>
                <w:color w:val="B02045"/>
                <w:sz w:val="21"/>
              </w:rPr>
              <w:t>spring.gson</w:t>
            </w:r>
            <w:proofErr w:type="gramEnd"/>
            <w:r>
              <w:rPr>
                <w:color w:val="B02045"/>
                <w:sz w:val="21"/>
              </w:rPr>
              <w:t>.date- format</w:t>
            </w:r>
          </w:p>
        </w:tc>
        <w:tc>
          <w:tcPr>
            <w:tcW w:w="2494" w:type="dxa"/>
            <w:tcBorders>
              <w:top w:val="single" w:sz="12" w:space="0" w:color="DDDDDD"/>
            </w:tcBorders>
          </w:tcPr>
          <w:p w14:paraId="76BABB1C"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74A9269E" w14:textId="77777777" w:rsidR="00A720EB" w:rsidRDefault="0030286B">
            <w:pPr>
              <w:pStyle w:val="TableParagraph"/>
              <w:spacing w:before="84"/>
              <w:rPr>
                <w:rFonts w:ascii="Cambria"/>
                <w:sz w:val="21"/>
              </w:rPr>
            </w:pPr>
            <w:r>
              <w:rPr>
                <w:rFonts w:ascii="Cambria"/>
                <w:color w:val="333333"/>
                <w:w w:val="110"/>
                <w:sz w:val="21"/>
              </w:rPr>
              <w:t>Format to use when serializing Date objects.</w:t>
            </w:r>
          </w:p>
        </w:tc>
      </w:tr>
      <w:tr w:rsidR="00A720EB" w14:paraId="7795CDE6" w14:textId="77777777">
        <w:trPr>
          <w:trHeight w:val="741"/>
        </w:trPr>
        <w:tc>
          <w:tcPr>
            <w:tcW w:w="2494" w:type="dxa"/>
          </w:tcPr>
          <w:p w14:paraId="3A27758B" w14:textId="77777777" w:rsidR="00A720EB" w:rsidRDefault="0030286B">
            <w:pPr>
              <w:pStyle w:val="TableParagraph"/>
              <w:spacing w:before="49" w:line="230" w:lineRule="auto"/>
              <w:ind w:right="323"/>
              <w:rPr>
                <w:sz w:val="21"/>
              </w:rPr>
            </w:pPr>
            <w:proofErr w:type="gramStart"/>
            <w:r>
              <w:rPr>
                <w:color w:val="B02045"/>
                <w:sz w:val="21"/>
              </w:rPr>
              <w:t>spring.gson</w:t>
            </w:r>
            <w:proofErr w:type="gramEnd"/>
            <w:r>
              <w:rPr>
                <w:color w:val="B02045"/>
                <w:sz w:val="21"/>
              </w:rPr>
              <w:t>.disable- html-escaping</w:t>
            </w:r>
          </w:p>
        </w:tc>
        <w:tc>
          <w:tcPr>
            <w:tcW w:w="2494" w:type="dxa"/>
          </w:tcPr>
          <w:p w14:paraId="16D51A6F" w14:textId="77777777" w:rsidR="00A720EB" w:rsidRDefault="00A720EB">
            <w:pPr>
              <w:pStyle w:val="TableParagraph"/>
              <w:spacing w:before="0"/>
              <w:ind w:left="0"/>
              <w:rPr>
                <w:rFonts w:ascii="Times New Roman"/>
                <w:sz w:val="20"/>
              </w:rPr>
            </w:pPr>
          </w:p>
        </w:tc>
        <w:tc>
          <w:tcPr>
            <w:tcW w:w="4988" w:type="dxa"/>
          </w:tcPr>
          <w:p w14:paraId="0863CC00" w14:textId="77777777" w:rsidR="00A720EB" w:rsidRDefault="0030286B">
            <w:pPr>
              <w:pStyle w:val="TableParagraph"/>
              <w:spacing w:before="31" w:line="310" w:lineRule="atLeast"/>
              <w:rPr>
                <w:rFonts w:ascii="Cambria"/>
                <w:sz w:val="21"/>
              </w:rPr>
            </w:pPr>
            <w:r>
              <w:rPr>
                <w:rFonts w:ascii="Cambria"/>
                <w:color w:val="333333"/>
                <w:w w:val="110"/>
                <w:sz w:val="21"/>
              </w:rPr>
              <w:t>Whether to disable the escaping of HTML characters such as '&lt;', '&gt;', etc.</w:t>
            </w:r>
          </w:p>
        </w:tc>
      </w:tr>
      <w:tr w:rsidR="00A720EB" w14:paraId="07718672" w14:textId="77777777">
        <w:trPr>
          <w:trHeight w:val="886"/>
        </w:trPr>
        <w:tc>
          <w:tcPr>
            <w:tcW w:w="2494" w:type="dxa"/>
          </w:tcPr>
          <w:p w14:paraId="4908EFB5" w14:textId="77777777" w:rsidR="00A720EB" w:rsidRDefault="0030286B">
            <w:pPr>
              <w:pStyle w:val="TableParagraph"/>
              <w:spacing w:before="49" w:line="230" w:lineRule="auto"/>
              <w:ind w:right="323"/>
              <w:rPr>
                <w:sz w:val="21"/>
              </w:rPr>
            </w:pPr>
            <w:proofErr w:type="gramStart"/>
            <w:r>
              <w:rPr>
                <w:color w:val="B02045"/>
                <w:sz w:val="21"/>
              </w:rPr>
              <w:t>spring.gson</w:t>
            </w:r>
            <w:proofErr w:type="gramEnd"/>
            <w:r>
              <w:rPr>
                <w:color w:val="B02045"/>
                <w:sz w:val="21"/>
              </w:rPr>
              <w:t>.disable- inner-class- serialization</w:t>
            </w:r>
          </w:p>
        </w:tc>
        <w:tc>
          <w:tcPr>
            <w:tcW w:w="2494" w:type="dxa"/>
          </w:tcPr>
          <w:p w14:paraId="76E0D608" w14:textId="77777777" w:rsidR="00A720EB" w:rsidRDefault="00A720EB">
            <w:pPr>
              <w:pStyle w:val="TableParagraph"/>
              <w:spacing w:before="0"/>
              <w:ind w:left="0"/>
              <w:rPr>
                <w:rFonts w:ascii="Times New Roman"/>
                <w:sz w:val="20"/>
              </w:rPr>
            </w:pPr>
          </w:p>
        </w:tc>
        <w:tc>
          <w:tcPr>
            <w:tcW w:w="4988" w:type="dxa"/>
          </w:tcPr>
          <w:p w14:paraId="2A7FE499" w14:textId="77777777" w:rsidR="00A720EB" w:rsidRDefault="0030286B">
            <w:pPr>
              <w:pStyle w:val="TableParagraph"/>
              <w:spacing w:before="94" w:line="307" w:lineRule="auto"/>
              <w:ind w:right="640"/>
              <w:rPr>
                <w:rFonts w:ascii="Cambria"/>
                <w:sz w:val="21"/>
              </w:rPr>
            </w:pPr>
            <w:r>
              <w:rPr>
                <w:rFonts w:ascii="Cambria"/>
                <w:color w:val="333333"/>
                <w:w w:val="110"/>
                <w:sz w:val="21"/>
              </w:rPr>
              <w:t>Whether to exclude inner classes during serialization.</w:t>
            </w:r>
          </w:p>
        </w:tc>
      </w:tr>
      <w:tr w:rsidR="00A720EB" w14:paraId="6D31168D" w14:textId="77777777">
        <w:trPr>
          <w:trHeight w:val="886"/>
        </w:trPr>
        <w:tc>
          <w:tcPr>
            <w:tcW w:w="2494" w:type="dxa"/>
          </w:tcPr>
          <w:p w14:paraId="293F741F" w14:textId="77777777" w:rsidR="00A720EB" w:rsidRDefault="0030286B">
            <w:pPr>
              <w:pStyle w:val="TableParagraph"/>
              <w:spacing w:before="49" w:line="230" w:lineRule="auto"/>
              <w:ind w:right="428"/>
              <w:rPr>
                <w:sz w:val="21"/>
              </w:rPr>
            </w:pPr>
            <w:proofErr w:type="gramStart"/>
            <w:r>
              <w:rPr>
                <w:color w:val="B02045"/>
                <w:sz w:val="21"/>
              </w:rPr>
              <w:t>spring.gson</w:t>
            </w:r>
            <w:proofErr w:type="gramEnd"/>
            <w:r>
              <w:rPr>
                <w:color w:val="B02045"/>
                <w:sz w:val="21"/>
              </w:rPr>
              <w:t>.enable- complex-map-key- serialization</w:t>
            </w:r>
          </w:p>
        </w:tc>
        <w:tc>
          <w:tcPr>
            <w:tcW w:w="2494" w:type="dxa"/>
          </w:tcPr>
          <w:p w14:paraId="02567F4A" w14:textId="77777777" w:rsidR="00A720EB" w:rsidRDefault="00A720EB">
            <w:pPr>
              <w:pStyle w:val="TableParagraph"/>
              <w:spacing w:before="0"/>
              <w:ind w:left="0"/>
              <w:rPr>
                <w:rFonts w:ascii="Times New Roman"/>
                <w:sz w:val="20"/>
              </w:rPr>
            </w:pPr>
          </w:p>
        </w:tc>
        <w:tc>
          <w:tcPr>
            <w:tcW w:w="4988" w:type="dxa"/>
          </w:tcPr>
          <w:p w14:paraId="4B5DEBEF" w14:textId="77777777" w:rsidR="00A720EB" w:rsidRDefault="0030286B">
            <w:pPr>
              <w:pStyle w:val="TableParagraph"/>
              <w:spacing w:before="94" w:line="307" w:lineRule="auto"/>
              <w:rPr>
                <w:rFonts w:ascii="Cambria"/>
                <w:sz w:val="21"/>
              </w:rPr>
            </w:pPr>
            <w:r>
              <w:rPr>
                <w:rFonts w:ascii="Cambria"/>
                <w:color w:val="333333"/>
                <w:w w:val="110"/>
                <w:sz w:val="21"/>
              </w:rPr>
              <w:t>Whether to enable serialization of complex map keys (i.e. non-primitives).</w:t>
            </w:r>
          </w:p>
        </w:tc>
      </w:tr>
      <w:tr w:rsidR="00A720EB" w14:paraId="515BE418" w14:textId="77777777">
        <w:trPr>
          <w:trHeight w:val="1056"/>
        </w:trPr>
        <w:tc>
          <w:tcPr>
            <w:tcW w:w="2494" w:type="dxa"/>
          </w:tcPr>
          <w:p w14:paraId="0F3B1131" w14:textId="77777777" w:rsidR="00A720EB" w:rsidRDefault="0030286B">
            <w:pPr>
              <w:pStyle w:val="TableParagraph"/>
              <w:spacing w:before="49" w:line="230" w:lineRule="auto"/>
              <w:ind w:right="113"/>
              <w:rPr>
                <w:sz w:val="21"/>
              </w:rPr>
            </w:pPr>
            <w:proofErr w:type="gramStart"/>
            <w:r>
              <w:rPr>
                <w:color w:val="B02045"/>
                <w:sz w:val="21"/>
              </w:rPr>
              <w:t>spring.gson</w:t>
            </w:r>
            <w:proofErr w:type="gramEnd"/>
            <w:r>
              <w:rPr>
                <w:color w:val="B02045"/>
                <w:sz w:val="21"/>
              </w:rPr>
              <w:t>.exclude- fields-without-expose- annotation</w:t>
            </w:r>
          </w:p>
        </w:tc>
        <w:tc>
          <w:tcPr>
            <w:tcW w:w="2494" w:type="dxa"/>
          </w:tcPr>
          <w:p w14:paraId="680F42EA" w14:textId="77777777" w:rsidR="00A720EB" w:rsidRDefault="00A720EB">
            <w:pPr>
              <w:pStyle w:val="TableParagraph"/>
              <w:spacing w:before="0"/>
              <w:ind w:left="0"/>
              <w:rPr>
                <w:rFonts w:ascii="Times New Roman"/>
                <w:sz w:val="20"/>
              </w:rPr>
            </w:pPr>
          </w:p>
        </w:tc>
        <w:tc>
          <w:tcPr>
            <w:tcW w:w="4988" w:type="dxa"/>
          </w:tcPr>
          <w:p w14:paraId="2C86FB1A" w14:textId="77777777" w:rsidR="00A720EB" w:rsidRDefault="0030286B">
            <w:pPr>
              <w:pStyle w:val="TableParagraph"/>
              <w:spacing w:before="31" w:line="310" w:lineRule="atLeast"/>
              <w:rPr>
                <w:rFonts w:ascii="Cambria"/>
                <w:sz w:val="21"/>
              </w:rPr>
            </w:pPr>
            <w:r>
              <w:rPr>
                <w:rFonts w:ascii="Cambria"/>
                <w:color w:val="333333"/>
                <w:w w:val="110"/>
                <w:sz w:val="21"/>
              </w:rPr>
              <w:t>Whether to exclude all fields from consideration for serialization or deserialization that do not have the "Expose" annotation.</w:t>
            </w:r>
          </w:p>
        </w:tc>
      </w:tr>
      <w:tr w:rsidR="00A720EB" w14:paraId="496ECD1D" w14:textId="77777777">
        <w:trPr>
          <w:trHeight w:val="1056"/>
        </w:trPr>
        <w:tc>
          <w:tcPr>
            <w:tcW w:w="2494" w:type="dxa"/>
          </w:tcPr>
          <w:p w14:paraId="4D4A49C7" w14:textId="77777777" w:rsidR="00A720EB" w:rsidRDefault="0030286B">
            <w:pPr>
              <w:pStyle w:val="TableParagraph"/>
              <w:spacing w:before="49" w:line="230" w:lineRule="auto"/>
              <w:ind w:right="533"/>
              <w:rPr>
                <w:sz w:val="21"/>
              </w:rPr>
            </w:pPr>
            <w:proofErr w:type="gramStart"/>
            <w:r>
              <w:rPr>
                <w:color w:val="B02045"/>
                <w:sz w:val="21"/>
              </w:rPr>
              <w:t>spring.gson</w:t>
            </w:r>
            <w:proofErr w:type="gramEnd"/>
            <w:r>
              <w:rPr>
                <w:color w:val="B02045"/>
                <w:sz w:val="21"/>
              </w:rPr>
              <w:t>.field- naming-policy</w:t>
            </w:r>
          </w:p>
        </w:tc>
        <w:tc>
          <w:tcPr>
            <w:tcW w:w="2494" w:type="dxa"/>
          </w:tcPr>
          <w:p w14:paraId="35FD4810" w14:textId="77777777" w:rsidR="00A720EB" w:rsidRDefault="00A720EB">
            <w:pPr>
              <w:pStyle w:val="TableParagraph"/>
              <w:spacing w:before="0"/>
              <w:ind w:left="0"/>
              <w:rPr>
                <w:rFonts w:ascii="Times New Roman"/>
                <w:sz w:val="20"/>
              </w:rPr>
            </w:pPr>
          </w:p>
        </w:tc>
        <w:tc>
          <w:tcPr>
            <w:tcW w:w="4988" w:type="dxa"/>
          </w:tcPr>
          <w:p w14:paraId="50C24F73" w14:textId="77777777" w:rsidR="00A720EB" w:rsidRDefault="0030286B">
            <w:pPr>
              <w:pStyle w:val="TableParagraph"/>
              <w:spacing w:before="31" w:line="310" w:lineRule="atLeast"/>
              <w:rPr>
                <w:rFonts w:ascii="Cambria"/>
                <w:sz w:val="21"/>
              </w:rPr>
            </w:pPr>
            <w:r>
              <w:rPr>
                <w:rFonts w:ascii="Cambria"/>
                <w:color w:val="333333"/>
                <w:w w:val="110"/>
                <w:sz w:val="21"/>
              </w:rPr>
              <w:t>Naming policy that should be applied to an object's field during serialization and deserialization.</w:t>
            </w:r>
          </w:p>
        </w:tc>
      </w:tr>
      <w:tr w:rsidR="00A720EB" w14:paraId="66F023D4" w14:textId="77777777">
        <w:trPr>
          <w:trHeight w:val="741"/>
        </w:trPr>
        <w:tc>
          <w:tcPr>
            <w:tcW w:w="2494" w:type="dxa"/>
          </w:tcPr>
          <w:p w14:paraId="3ABF9F50" w14:textId="77777777" w:rsidR="00A720EB" w:rsidRDefault="0030286B">
            <w:pPr>
              <w:pStyle w:val="TableParagraph"/>
              <w:spacing w:before="49" w:line="230" w:lineRule="auto"/>
              <w:ind w:right="218"/>
              <w:rPr>
                <w:sz w:val="21"/>
              </w:rPr>
            </w:pPr>
            <w:proofErr w:type="gramStart"/>
            <w:r>
              <w:rPr>
                <w:color w:val="B02045"/>
                <w:sz w:val="21"/>
              </w:rPr>
              <w:t>spring.gson</w:t>
            </w:r>
            <w:proofErr w:type="gramEnd"/>
            <w:r>
              <w:rPr>
                <w:color w:val="B02045"/>
                <w:sz w:val="21"/>
              </w:rPr>
              <w:t>.generate- non-executable-json</w:t>
            </w:r>
          </w:p>
        </w:tc>
        <w:tc>
          <w:tcPr>
            <w:tcW w:w="2494" w:type="dxa"/>
          </w:tcPr>
          <w:p w14:paraId="644F885E" w14:textId="77777777" w:rsidR="00A720EB" w:rsidRDefault="00A720EB">
            <w:pPr>
              <w:pStyle w:val="TableParagraph"/>
              <w:spacing w:before="0"/>
              <w:ind w:left="0"/>
              <w:rPr>
                <w:rFonts w:ascii="Times New Roman"/>
                <w:sz w:val="20"/>
              </w:rPr>
            </w:pPr>
          </w:p>
        </w:tc>
        <w:tc>
          <w:tcPr>
            <w:tcW w:w="4988" w:type="dxa"/>
          </w:tcPr>
          <w:p w14:paraId="5A2F62DA" w14:textId="77777777" w:rsidR="00A720EB" w:rsidRDefault="0030286B">
            <w:pPr>
              <w:pStyle w:val="TableParagraph"/>
              <w:spacing w:before="31" w:line="310" w:lineRule="atLeast"/>
              <w:rPr>
                <w:rFonts w:ascii="Cambria"/>
                <w:sz w:val="21"/>
              </w:rPr>
            </w:pPr>
            <w:r>
              <w:rPr>
                <w:rFonts w:ascii="Cambria"/>
                <w:color w:val="333333"/>
                <w:w w:val="110"/>
                <w:sz w:val="21"/>
              </w:rPr>
              <w:t>Whether to generate non executable JSON by prefixing the output with some special text.</w:t>
            </w:r>
          </w:p>
        </w:tc>
      </w:tr>
      <w:tr w:rsidR="00A720EB" w14:paraId="2CB01BAA" w14:textId="77777777">
        <w:trPr>
          <w:trHeight w:val="741"/>
        </w:trPr>
        <w:tc>
          <w:tcPr>
            <w:tcW w:w="2494" w:type="dxa"/>
          </w:tcPr>
          <w:p w14:paraId="259B65AB" w14:textId="77777777" w:rsidR="00A720EB" w:rsidRDefault="0030286B">
            <w:pPr>
              <w:pStyle w:val="TableParagraph"/>
              <w:spacing w:before="40"/>
              <w:rPr>
                <w:sz w:val="21"/>
              </w:rPr>
            </w:pPr>
            <w:proofErr w:type="gramStart"/>
            <w:r>
              <w:rPr>
                <w:color w:val="B02045"/>
                <w:sz w:val="21"/>
              </w:rPr>
              <w:lastRenderedPageBreak/>
              <w:t>spring.gson</w:t>
            </w:r>
            <w:proofErr w:type="gramEnd"/>
            <w:r>
              <w:rPr>
                <w:color w:val="B02045"/>
                <w:sz w:val="21"/>
              </w:rPr>
              <w:t>.lenient</w:t>
            </w:r>
          </w:p>
        </w:tc>
        <w:tc>
          <w:tcPr>
            <w:tcW w:w="2494" w:type="dxa"/>
          </w:tcPr>
          <w:p w14:paraId="559808F1" w14:textId="77777777" w:rsidR="00A720EB" w:rsidRDefault="00A720EB">
            <w:pPr>
              <w:pStyle w:val="TableParagraph"/>
              <w:spacing w:before="0"/>
              <w:ind w:left="0"/>
              <w:rPr>
                <w:rFonts w:ascii="Times New Roman"/>
                <w:sz w:val="20"/>
              </w:rPr>
            </w:pPr>
          </w:p>
        </w:tc>
        <w:tc>
          <w:tcPr>
            <w:tcW w:w="4988" w:type="dxa"/>
          </w:tcPr>
          <w:p w14:paraId="449BEBC1" w14:textId="77777777" w:rsidR="00A720EB" w:rsidRDefault="0030286B">
            <w:pPr>
              <w:pStyle w:val="TableParagraph"/>
              <w:spacing w:before="31" w:line="310" w:lineRule="atLeast"/>
              <w:rPr>
                <w:rFonts w:ascii="Cambria"/>
                <w:sz w:val="21"/>
              </w:rPr>
            </w:pPr>
            <w:r>
              <w:rPr>
                <w:rFonts w:ascii="Cambria"/>
                <w:color w:val="333333"/>
                <w:w w:val="110"/>
                <w:sz w:val="21"/>
              </w:rPr>
              <w:t>Whether to be lenient about parsing JSON that doesn't conform to RFC 4627.</w:t>
            </w:r>
          </w:p>
        </w:tc>
      </w:tr>
    </w:tbl>
    <w:p w14:paraId="7B220658" w14:textId="77777777" w:rsidR="00A720EB" w:rsidRDefault="00A720EB">
      <w:pPr>
        <w:spacing w:line="310" w:lineRule="atLeast"/>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6275C64" w14:textId="77777777">
        <w:trPr>
          <w:trHeight w:val="415"/>
        </w:trPr>
        <w:tc>
          <w:tcPr>
            <w:tcW w:w="2494" w:type="dxa"/>
            <w:tcBorders>
              <w:bottom w:val="single" w:sz="12" w:space="0" w:color="DDDDDD"/>
            </w:tcBorders>
          </w:tcPr>
          <w:p w14:paraId="635A6A0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EA1BB4D"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D9B3404"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542AF505" w14:textId="77777777">
        <w:trPr>
          <w:trHeight w:val="617"/>
        </w:trPr>
        <w:tc>
          <w:tcPr>
            <w:tcW w:w="2494" w:type="dxa"/>
            <w:tcBorders>
              <w:top w:val="single" w:sz="12" w:space="0" w:color="DDDDDD"/>
            </w:tcBorders>
          </w:tcPr>
          <w:p w14:paraId="2F102120" w14:textId="77777777" w:rsidR="00A720EB" w:rsidRDefault="0030286B">
            <w:pPr>
              <w:pStyle w:val="TableParagraph"/>
              <w:spacing w:before="36" w:line="230" w:lineRule="auto"/>
              <w:ind w:right="323"/>
              <w:rPr>
                <w:sz w:val="21"/>
              </w:rPr>
            </w:pPr>
            <w:proofErr w:type="gramStart"/>
            <w:r>
              <w:rPr>
                <w:color w:val="B02045"/>
                <w:sz w:val="21"/>
              </w:rPr>
              <w:t>spring.gson</w:t>
            </w:r>
            <w:proofErr w:type="gramEnd"/>
            <w:r>
              <w:rPr>
                <w:color w:val="B02045"/>
                <w:sz w:val="21"/>
              </w:rPr>
              <w:t>.long- serialization-policy</w:t>
            </w:r>
          </w:p>
        </w:tc>
        <w:tc>
          <w:tcPr>
            <w:tcW w:w="2494" w:type="dxa"/>
            <w:tcBorders>
              <w:top w:val="single" w:sz="12" w:space="0" w:color="DDDDDD"/>
            </w:tcBorders>
          </w:tcPr>
          <w:p w14:paraId="18D39654"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083AD5DB" w14:textId="77777777" w:rsidR="00A720EB" w:rsidRDefault="0030286B">
            <w:pPr>
              <w:pStyle w:val="TableParagraph"/>
              <w:spacing w:before="82"/>
              <w:rPr>
                <w:rFonts w:ascii="Cambria"/>
                <w:sz w:val="21"/>
              </w:rPr>
            </w:pPr>
            <w:r>
              <w:rPr>
                <w:rFonts w:ascii="Cambria"/>
                <w:color w:val="333333"/>
                <w:w w:val="110"/>
                <w:sz w:val="21"/>
              </w:rPr>
              <w:t>Serialization policy for Long and long types.</w:t>
            </w:r>
          </w:p>
        </w:tc>
      </w:tr>
      <w:tr w:rsidR="00A720EB" w14:paraId="652FFCD8" w14:textId="77777777">
        <w:trPr>
          <w:trHeight w:val="741"/>
        </w:trPr>
        <w:tc>
          <w:tcPr>
            <w:tcW w:w="2494" w:type="dxa"/>
          </w:tcPr>
          <w:p w14:paraId="0F069F14" w14:textId="77777777" w:rsidR="00A720EB" w:rsidRDefault="0030286B">
            <w:pPr>
              <w:pStyle w:val="TableParagraph"/>
              <w:spacing w:before="46" w:line="230" w:lineRule="auto"/>
              <w:ind w:right="409"/>
              <w:rPr>
                <w:sz w:val="21"/>
              </w:rPr>
            </w:pPr>
            <w:proofErr w:type="gramStart"/>
            <w:r>
              <w:rPr>
                <w:color w:val="B02045"/>
                <w:sz w:val="21"/>
              </w:rPr>
              <w:t>spring.gson</w:t>
            </w:r>
            <w:proofErr w:type="gramEnd"/>
            <w:r>
              <w:rPr>
                <w:color w:val="B02045"/>
                <w:sz w:val="21"/>
              </w:rPr>
              <w:t>.pretty- printing</w:t>
            </w:r>
          </w:p>
        </w:tc>
        <w:tc>
          <w:tcPr>
            <w:tcW w:w="2494" w:type="dxa"/>
          </w:tcPr>
          <w:p w14:paraId="0C118914" w14:textId="77777777" w:rsidR="00A720EB" w:rsidRDefault="00A720EB">
            <w:pPr>
              <w:pStyle w:val="TableParagraph"/>
              <w:spacing w:before="0"/>
              <w:ind w:left="0"/>
              <w:rPr>
                <w:rFonts w:ascii="Times New Roman"/>
                <w:sz w:val="20"/>
              </w:rPr>
            </w:pPr>
          </w:p>
        </w:tc>
        <w:tc>
          <w:tcPr>
            <w:tcW w:w="4988" w:type="dxa"/>
          </w:tcPr>
          <w:p w14:paraId="17C46A55" w14:textId="77777777" w:rsidR="00A720EB" w:rsidRDefault="0030286B">
            <w:pPr>
              <w:pStyle w:val="TableParagraph"/>
              <w:spacing w:before="28" w:line="310" w:lineRule="atLeast"/>
              <w:rPr>
                <w:rFonts w:ascii="Cambria"/>
                <w:sz w:val="21"/>
              </w:rPr>
            </w:pPr>
            <w:r>
              <w:rPr>
                <w:rFonts w:ascii="Cambria"/>
                <w:color w:val="333333"/>
                <w:w w:val="110"/>
                <w:sz w:val="21"/>
              </w:rPr>
              <w:t>Whether to output serialized JSON that fits in a page for pretty printing.</w:t>
            </w:r>
          </w:p>
        </w:tc>
      </w:tr>
      <w:tr w:rsidR="00A720EB" w14:paraId="27D46F86" w14:textId="77777777">
        <w:trPr>
          <w:trHeight w:val="627"/>
        </w:trPr>
        <w:tc>
          <w:tcPr>
            <w:tcW w:w="2494" w:type="dxa"/>
          </w:tcPr>
          <w:p w14:paraId="7D03CC9F" w14:textId="77777777" w:rsidR="00A720EB" w:rsidRDefault="0030286B">
            <w:pPr>
              <w:pStyle w:val="TableParagraph"/>
              <w:spacing w:before="46" w:line="230" w:lineRule="auto"/>
              <w:ind w:right="94"/>
              <w:rPr>
                <w:sz w:val="21"/>
              </w:rPr>
            </w:pPr>
            <w:proofErr w:type="gramStart"/>
            <w:r>
              <w:rPr>
                <w:color w:val="B02045"/>
                <w:sz w:val="21"/>
              </w:rPr>
              <w:t>spring.gson</w:t>
            </w:r>
            <w:proofErr w:type="gramEnd"/>
            <w:r>
              <w:rPr>
                <w:color w:val="B02045"/>
                <w:sz w:val="21"/>
              </w:rPr>
              <w:t>.serialize- nulls</w:t>
            </w:r>
          </w:p>
        </w:tc>
        <w:tc>
          <w:tcPr>
            <w:tcW w:w="2494" w:type="dxa"/>
          </w:tcPr>
          <w:p w14:paraId="15CDEE05" w14:textId="77777777" w:rsidR="00A720EB" w:rsidRDefault="00A720EB">
            <w:pPr>
              <w:pStyle w:val="TableParagraph"/>
              <w:spacing w:before="0"/>
              <w:ind w:left="0"/>
              <w:rPr>
                <w:rFonts w:ascii="Times New Roman"/>
                <w:sz w:val="20"/>
              </w:rPr>
            </w:pPr>
          </w:p>
        </w:tc>
        <w:tc>
          <w:tcPr>
            <w:tcW w:w="4988" w:type="dxa"/>
          </w:tcPr>
          <w:p w14:paraId="1830EBD8" w14:textId="77777777" w:rsidR="00A720EB" w:rsidRDefault="0030286B">
            <w:pPr>
              <w:pStyle w:val="TableParagraph"/>
              <w:spacing w:before="92"/>
              <w:rPr>
                <w:rFonts w:ascii="Cambria"/>
                <w:sz w:val="21"/>
              </w:rPr>
            </w:pPr>
            <w:r>
              <w:rPr>
                <w:rFonts w:ascii="Cambria"/>
                <w:color w:val="333333"/>
                <w:w w:val="110"/>
                <w:sz w:val="21"/>
              </w:rPr>
              <w:t>Whether to serialize null fields.</w:t>
            </w:r>
          </w:p>
        </w:tc>
      </w:tr>
      <w:tr w:rsidR="00A720EB" w14:paraId="6785E641" w14:textId="77777777">
        <w:trPr>
          <w:trHeight w:val="1056"/>
        </w:trPr>
        <w:tc>
          <w:tcPr>
            <w:tcW w:w="2494" w:type="dxa"/>
          </w:tcPr>
          <w:p w14:paraId="1BC7280C" w14:textId="77777777" w:rsidR="00A720EB" w:rsidRDefault="0030286B">
            <w:pPr>
              <w:pStyle w:val="TableParagraph"/>
              <w:spacing w:before="46" w:line="230" w:lineRule="auto"/>
              <w:ind w:right="304"/>
              <w:rPr>
                <w:sz w:val="21"/>
              </w:rPr>
            </w:pPr>
            <w:proofErr w:type="gramStart"/>
            <w:r>
              <w:rPr>
                <w:color w:val="B02045"/>
                <w:sz w:val="21"/>
              </w:rPr>
              <w:t>spring.jackson</w:t>
            </w:r>
            <w:proofErr w:type="gramEnd"/>
            <w:r>
              <w:rPr>
                <w:color w:val="B02045"/>
                <w:sz w:val="21"/>
              </w:rPr>
              <w:t>.date- format</w:t>
            </w:r>
          </w:p>
        </w:tc>
        <w:tc>
          <w:tcPr>
            <w:tcW w:w="2494" w:type="dxa"/>
          </w:tcPr>
          <w:p w14:paraId="425808F6" w14:textId="77777777" w:rsidR="00A720EB" w:rsidRDefault="00A720EB">
            <w:pPr>
              <w:pStyle w:val="TableParagraph"/>
              <w:spacing w:before="0"/>
              <w:ind w:left="0"/>
              <w:rPr>
                <w:rFonts w:ascii="Times New Roman"/>
                <w:sz w:val="20"/>
              </w:rPr>
            </w:pPr>
          </w:p>
        </w:tc>
        <w:tc>
          <w:tcPr>
            <w:tcW w:w="4988" w:type="dxa"/>
          </w:tcPr>
          <w:p w14:paraId="465C8C79" w14:textId="77777777" w:rsidR="00A720EB" w:rsidRDefault="0030286B">
            <w:pPr>
              <w:pStyle w:val="TableParagraph"/>
              <w:spacing w:before="28" w:line="310" w:lineRule="atLeast"/>
              <w:ind w:right="162"/>
              <w:rPr>
                <w:rFonts w:ascii="Cambria"/>
                <w:sz w:val="21"/>
              </w:rPr>
            </w:pPr>
            <w:r>
              <w:rPr>
                <w:rFonts w:ascii="Cambria"/>
                <w:color w:val="333333"/>
                <w:w w:val="115"/>
                <w:sz w:val="21"/>
              </w:rPr>
              <w:t>Date format string or a fully-qualified date format class name. For instance, `yyyy-MM-dd HH:</w:t>
            </w:r>
            <w:proofErr w:type="gramStart"/>
            <w:r>
              <w:rPr>
                <w:rFonts w:ascii="Cambria"/>
                <w:color w:val="333333"/>
                <w:w w:val="115"/>
                <w:sz w:val="21"/>
              </w:rPr>
              <w:t>mm:ss</w:t>
            </w:r>
            <w:proofErr w:type="gramEnd"/>
            <w:r>
              <w:rPr>
                <w:rFonts w:ascii="Cambria"/>
                <w:color w:val="333333"/>
                <w:w w:val="115"/>
                <w:sz w:val="21"/>
              </w:rPr>
              <w:t>`.</w:t>
            </w:r>
          </w:p>
        </w:tc>
      </w:tr>
      <w:tr w:rsidR="00A720EB" w14:paraId="0C7EFDD0" w14:textId="77777777">
        <w:trPr>
          <w:trHeight w:val="1056"/>
        </w:trPr>
        <w:tc>
          <w:tcPr>
            <w:tcW w:w="2494" w:type="dxa"/>
          </w:tcPr>
          <w:p w14:paraId="16DF45D3" w14:textId="77777777" w:rsidR="00A720EB" w:rsidRDefault="0030286B">
            <w:pPr>
              <w:pStyle w:val="TableParagraph"/>
              <w:spacing w:before="37" w:line="264" w:lineRule="exact"/>
              <w:rPr>
                <w:sz w:val="21"/>
              </w:rPr>
            </w:pPr>
            <w:proofErr w:type="gramStart"/>
            <w:r>
              <w:rPr>
                <w:color w:val="B02045"/>
                <w:sz w:val="21"/>
              </w:rPr>
              <w:t>spring.jackson</w:t>
            </w:r>
            <w:proofErr w:type="gramEnd"/>
            <w:r>
              <w:rPr>
                <w:color w:val="B02045"/>
                <w:sz w:val="21"/>
              </w:rPr>
              <w:t>.default</w:t>
            </w:r>
          </w:p>
          <w:p w14:paraId="0E866CF2" w14:textId="77777777" w:rsidR="00A720EB" w:rsidRDefault="0030286B">
            <w:pPr>
              <w:pStyle w:val="TableParagraph"/>
              <w:spacing w:before="0" w:line="264" w:lineRule="exact"/>
              <w:rPr>
                <w:sz w:val="21"/>
              </w:rPr>
            </w:pPr>
            <w:r>
              <w:rPr>
                <w:color w:val="B02045"/>
                <w:sz w:val="21"/>
              </w:rPr>
              <w:t>-property-inclusion</w:t>
            </w:r>
          </w:p>
        </w:tc>
        <w:tc>
          <w:tcPr>
            <w:tcW w:w="2494" w:type="dxa"/>
          </w:tcPr>
          <w:p w14:paraId="560E49B8" w14:textId="77777777" w:rsidR="00A720EB" w:rsidRDefault="00A720EB">
            <w:pPr>
              <w:pStyle w:val="TableParagraph"/>
              <w:spacing w:before="0"/>
              <w:ind w:left="0"/>
              <w:rPr>
                <w:rFonts w:ascii="Times New Roman"/>
                <w:sz w:val="20"/>
              </w:rPr>
            </w:pPr>
          </w:p>
        </w:tc>
        <w:tc>
          <w:tcPr>
            <w:tcW w:w="4988" w:type="dxa"/>
          </w:tcPr>
          <w:p w14:paraId="7D2EEE75" w14:textId="77777777" w:rsidR="00A720EB" w:rsidRDefault="0030286B">
            <w:pPr>
              <w:pStyle w:val="TableParagraph"/>
              <w:spacing w:before="28" w:line="310" w:lineRule="atLeast"/>
              <w:ind w:right="218"/>
              <w:rPr>
                <w:rFonts w:ascii="Cambria"/>
                <w:sz w:val="21"/>
              </w:rPr>
            </w:pPr>
            <w:r>
              <w:rPr>
                <w:rFonts w:ascii="Cambria"/>
                <w:color w:val="333333"/>
                <w:w w:val="110"/>
                <w:sz w:val="21"/>
              </w:rPr>
              <w:t>Controls the inclusion of properties during serialization. Configured with one of the values in Jackson's JsonInclude.Include enumeration.</w:t>
            </w:r>
          </w:p>
        </w:tc>
      </w:tr>
      <w:tr w:rsidR="00A720EB" w14:paraId="49650AFC" w14:textId="77777777">
        <w:trPr>
          <w:trHeight w:val="741"/>
        </w:trPr>
        <w:tc>
          <w:tcPr>
            <w:tcW w:w="2494" w:type="dxa"/>
          </w:tcPr>
          <w:p w14:paraId="7EDBB90D" w14:textId="77777777" w:rsidR="00A720EB" w:rsidRDefault="0030286B">
            <w:pPr>
              <w:pStyle w:val="TableParagraph"/>
              <w:spacing w:before="46" w:line="230" w:lineRule="auto"/>
              <w:ind w:right="94"/>
              <w:rPr>
                <w:sz w:val="21"/>
              </w:rPr>
            </w:pPr>
            <w:proofErr w:type="gramStart"/>
            <w:r>
              <w:rPr>
                <w:color w:val="B02045"/>
                <w:sz w:val="21"/>
              </w:rPr>
              <w:t>spring.jackson</w:t>
            </w:r>
            <w:proofErr w:type="gramEnd"/>
            <w:r>
              <w:rPr>
                <w:color w:val="B02045"/>
                <w:sz w:val="21"/>
              </w:rPr>
              <w:t>.deseria lization.*</w:t>
            </w:r>
          </w:p>
        </w:tc>
        <w:tc>
          <w:tcPr>
            <w:tcW w:w="2494" w:type="dxa"/>
          </w:tcPr>
          <w:p w14:paraId="4E57132B" w14:textId="77777777" w:rsidR="00A720EB" w:rsidRDefault="00A720EB">
            <w:pPr>
              <w:pStyle w:val="TableParagraph"/>
              <w:spacing w:before="0"/>
              <w:ind w:left="0"/>
              <w:rPr>
                <w:rFonts w:ascii="Times New Roman"/>
                <w:sz w:val="20"/>
              </w:rPr>
            </w:pPr>
          </w:p>
        </w:tc>
        <w:tc>
          <w:tcPr>
            <w:tcW w:w="4988" w:type="dxa"/>
          </w:tcPr>
          <w:p w14:paraId="7D8744BD" w14:textId="77777777" w:rsidR="00A720EB" w:rsidRDefault="0030286B">
            <w:pPr>
              <w:pStyle w:val="TableParagraph"/>
              <w:spacing w:before="28" w:line="310" w:lineRule="atLeast"/>
              <w:rPr>
                <w:rFonts w:ascii="Cambria"/>
                <w:sz w:val="21"/>
              </w:rPr>
            </w:pPr>
            <w:r>
              <w:rPr>
                <w:rFonts w:ascii="Cambria"/>
                <w:color w:val="333333"/>
                <w:w w:val="110"/>
                <w:sz w:val="21"/>
              </w:rPr>
              <w:t>Jackson on/off features that affect the way Java objects are deserialized.</w:t>
            </w:r>
          </w:p>
        </w:tc>
      </w:tr>
      <w:tr w:rsidR="00A720EB" w14:paraId="26D8B9D3" w14:textId="77777777">
        <w:trPr>
          <w:trHeight w:val="627"/>
        </w:trPr>
        <w:tc>
          <w:tcPr>
            <w:tcW w:w="2494" w:type="dxa"/>
          </w:tcPr>
          <w:p w14:paraId="446336FE" w14:textId="77777777" w:rsidR="00A720EB" w:rsidRDefault="0030286B">
            <w:pPr>
              <w:pStyle w:val="TableParagraph"/>
              <w:spacing w:before="46" w:line="230" w:lineRule="auto"/>
              <w:ind w:right="94"/>
              <w:rPr>
                <w:sz w:val="21"/>
              </w:rPr>
            </w:pPr>
            <w:proofErr w:type="gramStart"/>
            <w:r>
              <w:rPr>
                <w:color w:val="B02045"/>
                <w:sz w:val="21"/>
              </w:rPr>
              <w:t>spring.jackson</w:t>
            </w:r>
            <w:proofErr w:type="gramEnd"/>
            <w:r>
              <w:rPr>
                <w:color w:val="B02045"/>
                <w:sz w:val="21"/>
              </w:rPr>
              <w:t>.generat or.*</w:t>
            </w:r>
          </w:p>
        </w:tc>
        <w:tc>
          <w:tcPr>
            <w:tcW w:w="2494" w:type="dxa"/>
          </w:tcPr>
          <w:p w14:paraId="2D41991F" w14:textId="77777777" w:rsidR="00A720EB" w:rsidRDefault="00A720EB">
            <w:pPr>
              <w:pStyle w:val="TableParagraph"/>
              <w:spacing w:before="0"/>
              <w:ind w:left="0"/>
              <w:rPr>
                <w:rFonts w:ascii="Times New Roman"/>
                <w:sz w:val="20"/>
              </w:rPr>
            </w:pPr>
          </w:p>
        </w:tc>
        <w:tc>
          <w:tcPr>
            <w:tcW w:w="4988" w:type="dxa"/>
          </w:tcPr>
          <w:p w14:paraId="489C14DA" w14:textId="77777777" w:rsidR="00A720EB" w:rsidRDefault="0030286B">
            <w:pPr>
              <w:pStyle w:val="TableParagraph"/>
              <w:spacing w:before="92"/>
              <w:rPr>
                <w:rFonts w:ascii="Cambria"/>
                <w:sz w:val="21"/>
              </w:rPr>
            </w:pPr>
            <w:r>
              <w:rPr>
                <w:rFonts w:ascii="Cambria"/>
                <w:color w:val="333333"/>
                <w:w w:val="110"/>
                <w:sz w:val="21"/>
              </w:rPr>
              <w:t>Jackson on/off features for generators.</w:t>
            </w:r>
          </w:p>
        </w:tc>
      </w:tr>
      <w:tr w:rsidR="00A720EB" w14:paraId="4C484624" w14:textId="77777777">
        <w:trPr>
          <w:trHeight w:val="425"/>
        </w:trPr>
        <w:tc>
          <w:tcPr>
            <w:tcW w:w="2494" w:type="dxa"/>
          </w:tcPr>
          <w:p w14:paraId="635DAA31" w14:textId="77777777" w:rsidR="00A720EB" w:rsidRDefault="0030286B">
            <w:pPr>
              <w:pStyle w:val="TableParagraph"/>
              <w:rPr>
                <w:sz w:val="21"/>
              </w:rPr>
            </w:pPr>
            <w:proofErr w:type="gramStart"/>
            <w:r>
              <w:rPr>
                <w:color w:val="B02045"/>
                <w:sz w:val="21"/>
              </w:rPr>
              <w:t>spring.jackson</w:t>
            </w:r>
            <w:proofErr w:type="gramEnd"/>
            <w:r>
              <w:rPr>
                <w:color w:val="B02045"/>
                <w:sz w:val="21"/>
              </w:rPr>
              <w:t>.locale</w:t>
            </w:r>
          </w:p>
        </w:tc>
        <w:tc>
          <w:tcPr>
            <w:tcW w:w="2494" w:type="dxa"/>
          </w:tcPr>
          <w:p w14:paraId="1B571223" w14:textId="77777777" w:rsidR="00A720EB" w:rsidRDefault="00A720EB">
            <w:pPr>
              <w:pStyle w:val="TableParagraph"/>
              <w:spacing w:before="0"/>
              <w:ind w:left="0"/>
              <w:rPr>
                <w:rFonts w:ascii="Times New Roman"/>
                <w:sz w:val="20"/>
              </w:rPr>
            </w:pPr>
          </w:p>
        </w:tc>
        <w:tc>
          <w:tcPr>
            <w:tcW w:w="4988" w:type="dxa"/>
          </w:tcPr>
          <w:p w14:paraId="765F979D" w14:textId="77777777" w:rsidR="00A720EB" w:rsidRDefault="0030286B">
            <w:pPr>
              <w:pStyle w:val="TableParagraph"/>
              <w:spacing w:before="92"/>
              <w:rPr>
                <w:rFonts w:ascii="Cambria"/>
                <w:sz w:val="21"/>
              </w:rPr>
            </w:pPr>
            <w:r>
              <w:rPr>
                <w:rFonts w:ascii="Cambria"/>
                <w:color w:val="333333"/>
                <w:w w:val="110"/>
                <w:sz w:val="21"/>
              </w:rPr>
              <w:t>Locale used for formatting.</w:t>
            </w:r>
          </w:p>
        </w:tc>
      </w:tr>
      <w:tr w:rsidR="00A720EB" w14:paraId="592DB190" w14:textId="77777777">
        <w:trPr>
          <w:trHeight w:val="627"/>
        </w:trPr>
        <w:tc>
          <w:tcPr>
            <w:tcW w:w="2494" w:type="dxa"/>
          </w:tcPr>
          <w:p w14:paraId="0BB7A055" w14:textId="77777777" w:rsidR="00A720EB" w:rsidRDefault="0030286B">
            <w:pPr>
              <w:pStyle w:val="TableParagraph"/>
              <w:spacing w:line="264" w:lineRule="exact"/>
              <w:rPr>
                <w:sz w:val="21"/>
              </w:rPr>
            </w:pPr>
            <w:proofErr w:type="gramStart"/>
            <w:r>
              <w:rPr>
                <w:color w:val="B02045"/>
                <w:sz w:val="21"/>
              </w:rPr>
              <w:t>spring.jackson</w:t>
            </w:r>
            <w:proofErr w:type="gramEnd"/>
            <w:r>
              <w:rPr>
                <w:color w:val="B02045"/>
                <w:sz w:val="21"/>
              </w:rPr>
              <w:t>.mapper.</w:t>
            </w:r>
          </w:p>
          <w:p w14:paraId="1E8E9AC6" w14:textId="77777777" w:rsidR="00A720EB" w:rsidRDefault="0030286B">
            <w:pPr>
              <w:pStyle w:val="TableParagraph"/>
              <w:spacing w:before="0" w:line="264" w:lineRule="exact"/>
              <w:rPr>
                <w:sz w:val="21"/>
              </w:rPr>
            </w:pPr>
            <w:r>
              <w:rPr>
                <w:color w:val="B02045"/>
                <w:sz w:val="21"/>
              </w:rPr>
              <w:t>*</w:t>
            </w:r>
          </w:p>
        </w:tc>
        <w:tc>
          <w:tcPr>
            <w:tcW w:w="2494" w:type="dxa"/>
          </w:tcPr>
          <w:p w14:paraId="5FD452C1" w14:textId="77777777" w:rsidR="00A720EB" w:rsidRDefault="00A720EB">
            <w:pPr>
              <w:pStyle w:val="TableParagraph"/>
              <w:spacing w:before="0"/>
              <w:ind w:left="0"/>
              <w:rPr>
                <w:rFonts w:ascii="Times New Roman"/>
                <w:sz w:val="20"/>
              </w:rPr>
            </w:pPr>
          </w:p>
        </w:tc>
        <w:tc>
          <w:tcPr>
            <w:tcW w:w="4988" w:type="dxa"/>
          </w:tcPr>
          <w:p w14:paraId="6F77921F" w14:textId="77777777" w:rsidR="00A720EB" w:rsidRDefault="0030286B">
            <w:pPr>
              <w:pStyle w:val="TableParagraph"/>
              <w:spacing w:before="92"/>
              <w:rPr>
                <w:rFonts w:ascii="Cambria"/>
                <w:sz w:val="21"/>
              </w:rPr>
            </w:pPr>
            <w:r>
              <w:rPr>
                <w:rFonts w:ascii="Cambria"/>
                <w:color w:val="333333"/>
                <w:w w:val="110"/>
                <w:sz w:val="21"/>
              </w:rPr>
              <w:t>Jackson general purpose on/off features.</w:t>
            </w:r>
          </w:p>
        </w:tc>
      </w:tr>
      <w:tr w:rsidR="00A720EB" w14:paraId="6534F2EC" w14:textId="77777777">
        <w:trPr>
          <w:trHeight w:val="627"/>
        </w:trPr>
        <w:tc>
          <w:tcPr>
            <w:tcW w:w="2494" w:type="dxa"/>
          </w:tcPr>
          <w:p w14:paraId="4901B65B" w14:textId="77777777" w:rsidR="00A720EB" w:rsidRDefault="0030286B">
            <w:pPr>
              <w:pStyle w:val="TableParagraph"/>
              <w:spacing w:before="37" w:line="264" w:lineRule="exact"/>
              <w:rPr>
                <w:sz w:val="21"/>
              </w:rPr>
            </w:pPr>
            <w:proofErr w:type="gramStart"/>
            <w:r>
              <w:rPr>
                <w:color w:val="B02045"/>
                <w:sz w:val="21"/>
              </w:rPr>
              <w:t>spring.jackson</w:t>
            </w:r>
            <w:proofErr w:type="gramEnd"/>
            <w:r>
              <w:rPr>
                <w:color w:val="B02045"/>
                <w:sz w:val="21"/>
              </w:rPr>
              <w:t>.parser.</w:t>
            </w:r>
          </w:p>
          <w:p w14:paraId="61BDA11D" w14:textId="77777777" w:rsidR="00A720EB" w:rsidRDefault="0030286B">
            <w:pPr>
              <w:pStyle w:val="TableParagraph"/>
              <w:spacing w:before="0" w:line="264" w:lineRule="exact"/>
              <w:rPr>
                <w:sz w:val="21"/>
              </w:rPr>
            </w:pPr>
            <w:r>
              <w:rPr>
                <w:color w:val="B02045"/>
                <w:sz w:val="21"/>
              </w:rPr>
              <w:t>*</w:t>
            </w:r>
          </w:p>
        </w:tc>
        <w:tc>
          <w:tcPr>
            <w:tcW w:w="2494" w:type="dxa"/>
          </w:tcPr>
          <w:p w14:paraId="42DAD07E" w14:textId="77777777" w:rsidR="00A720EB" w:rsidRDefault="00A720EB">
            <w:pPr>
              <w:pStyle w:val="TableParagraph"/>
              <w:spacing w:before="0"/>
              <w:ind w:left="0"/>
              <w:rPr>
                <w:rFonts w:ascii="Times New Roman"/>
                <w:sz w:val="20"/>
              </w:rPr>
            </w:pPr>
          </w:p>
        </w:tc>
        <w:tc>
          <w:tcPr>
            <w:tcW w:w="4988" w:type="dxa"/>
          </w:tcPr>
          <w:p w14:paraId="5F7D4E62" w14:textId="77777777" w:rsidR="00A720EB" w:rsidRDefault="0030286B">
            <w:pPr>
              <w:pStyle w:val="TableParagraph"/>
              <w:spacing w:before="92"/>
              <w:rPr>
                <w:rFonts w:ascii="Cambria"/>
                <w:sz w:val="21"/>
              </w:rPr>
            </w:pPr>
            <w:r>
              <w:rPr>
                <w:rFonts w:ascii="Cambria"/>
                <w:color w:val="333333"/>
                <w:w w:val="110"/>
                <w:sz w:val="21"/>
              </w:rPr>
              <w:t>Jackson on/off features for parsers.</w:t>
            </w:r>
          </w:p>
        </w:tc>
      </w:tr>
      <w:tr w:rsidR="00A720EB" w14:paraId="005FECE5" w14:textId="77777777">
        <w:trPr>
          <w:trHeight w:val="1372"/>
        </w:trPr>
        <w:tc>
          <w:tcPr>
            <w:tcW w:w="2494" w:type="dxa"/>
          </w:tcPr>
          <w:p w14:paraId="3B582219" w14:textId="77777777" w:rsidR="00A720EB" w:rsidRDefault="0030286B">
            <w:pPr>
              <w:pStyle w:val="TableParagraph"/>
              <w:spacing w:before="46" w:line="230" w:lineRule="auto"/>
              <w:ind w:right="113"/>
              <w:rPr>
                <w:sz w:val="21"/>
              </w:rPr>
            </w:pPr>
            <w:proofErr w:type="gramStart"/>
            <w:r>
              <w:rPr>
                <w:color w:val="B02045"/>
                <w:sz w:val="21"/>
              </w:rPr>
              <w:t>spring.jackson</w:t>
            </w:r>
            <w:proofErr w:type="gramEnd"/>
            <w:r>
              <w:rPr>
                <w:color w:val="B02045"/>
                <w:sz w:val="21"/>
              </w:rPr>
              <w:t>.propert y-naming-strategy</w:t>
            </w:r>
          </w:p>
        </w:tc>
        <w:tc>
          <w:tcPr>
            <w:tcW w:w="2494" w:type="dxa"/>
          </w:tcPr>
          <w:p w14:paraId="3F20F52B" w14:textId="77777777" w:rsidR="00A720EB" w:rsidRDefault="00A720EB">
            <w:pPr>
              <w:pStyle w:val="TableParagraph"/>
              <w:spacing w:before="0"/>
              <w:ind w:left="0"/>
              <w:rPr>
                <w:rFonts w:ascii="Times New Roman"/>
                <w:sz w:val="20"/>
              </w:rPr>
            </w:pPr>
          </w:p>
        </w:tc>
        <w:tc>
          <w:tcPr>
            <w:tcW w:w="4988" w:type="dxa"/>
          </w:tcPr>
          <w:p w14:paraId="6E6A5586" w14:textId="77777777" w:rsidR="00A720EB" w:rsidRDefault="0030286B">
            <w:pPr>
              <w:pStyle w:val="TableParagraph"/>
              <w:spacing w:before="28" w:line="310" w:lineRule="atLeast"/>
              <w:ind w:right="372"/>
              <w:rPr>
                <w:rFonts w:ascii="Cambria"/>
                <w:sz w:val="21"/>
              </w:rPr>
            </w:pPr>
            <w:r>
              <w:rPr>
                <w:rFonts w:ascii="Cambria"/>
                <w:color w:val="333333"/>
                <w:w w:val="110"/>
                <w:sz w:val="21"/>
              </w:rPr>
              <w:t>One of the constants on Jackson's PropertyNamingStrategy. Can also be a fully- qualified class name of a PropertyNamingStrategy subclass.</w:t>
            </w:r>
          </w:p>
        </w:tc>
      </w:tr>
      <w:tr w:rsidR="00A720EB" w14:paraId="51E93D4C" w14:textId="77777777">
        <w:trPr>
          <w:trHeight w:val="741"/>
        </w:trPr>
        <w:tc>
          <w:tcPr>
            <w:tcW w:w="2494" w:type="dxa"/>
          </w:tcPr>
          <w:p w14:paraId="7B0FC05D" w14:textId="77777777" w:rsidR="00A720EB" w:rsidRDefault="0030286B">
            <w:pPr>
              <w:pStyle w:val="TableParagraph"/>
              <w:spacing w:before="46" w:line="230" w:lineRule="auto"/>
              <w:ind w:right="94"/>
              <w:rPr>
                <w:sz w:val="21"/>
              </w:rPr>
            </w:pPr>
            <w:proofErr w:type="gramStart"/>
            <w:r>
              <w:rPr>
                <w:color w:val="B02045"/>
                <w:sz w:val="21"/>
              </w:rPr>
              <w:t>spring.jackson</w:t>
            </w:r>
            <w:proofErr w:type="gramEnd"/>
            <w:r>
              <w:rPr>
                <w:color w:val="B02045"/>
                <w:sz w:val="21"/>
              </w:rPr>
              <w:t>.seriali zation.*</w:t>
            </w:r>
          </w:p>
        </w:tc>
        <w:tc>
          <w:tcPr>
            <w:tcW w:w="2494" w:type="dxa"/>
          </w:tcPr>
          <w:p w14:paraId="2653B250" w14:textId="77777777" w:rsidR="00A720EB" w:rsidRDefault="00A720EB">
            <w:pPr>
              <w:pStyle w:val="TableParagraph"/>
              <w:spacing w:before="0"/>
              <w:ind w:left="0"/>
              <w:rPr>
                <w:rFonts w:ascii="Times New Roman"/>
                <w:sz w:val="20"/>
              </w:rPr>
            </w:pPr>
          </w:p>
        </w:tc>
        <w:tc>
          <w:tcPr>
            <w:tcW w:w="4988" w:type="dxa"/>
          </w:tcPr>
          <w:p w14:paraId="73EC78F5" w14:textId="77777777" w:rsidR="00A720EB" w:rsidRDefault="0030286B">
            <w:pPr>
              <w:pStyle w:val="TableParagraph"/>
              <w:spacing w:before="28" w:line="310" w:lineRule="atLeast"/>
              <w:rPr>
                <w:rFonts w:ascii="Cambria"/>
                <w:sz w:val="21"/>
              </w:rPr>
            </w:pPr>
            <w:r>
              <w:rPr>
                <w:rFonts w:ascii="Cambria"/>
                <w:color w:val="333333"/>
                <w:w w:val="110"/>
                <w:sz w:val="21"/>
              </w:rPr>
              <w:t>Jackson on/off features that affect the way Java objects are serialized.</w:t>
            </w:r>
          </w:p>
        </w:tc>
      </w:tr>
      <w:tr w:rsidR="00A720EB" w14:paraId="27A8FA85" w14:textId="77777777">
        <w:trPr>
          <w:trHeight w:val="741"/>
        </w:trPr>
        <w:tc>
          <w:tcPr>
            <w:tcW w:w="2494" w:type="dxa"/>
          </w:tcPr>
          <w:p w14:paraId="7BE174D5" w14:textId="77777777" w:rsidR="00A720EB" w:rsidRDefault="0030286B">
            <w:pPr>
              <w:pStyle w:val="TableParagraph"/>
              <w:spacing w:before="46" w:line="230" w:lineRule="auto"/>
              <w:ind w:right="304"/>
              <w:rPr>
                <w:sz w:val="21"/>
              </w:rPr>
            </w:pPr>
            <w:proofErr w:type="gramStart"/>
            <w:r>
              <w:rPr>
                <w:color w:val="B02045"/>
                <w:sz w:val="21"/>
              </w:rPr>
              <w:t>spring.jackson</w:t>
            </w:r>
            <w:proofErr w:type="gramEnd"/>
            <w:r>
              <w:rPr>
                <w:color w:val="B02045"/>
                <w:sz w:val="21"/>
              </w:rPr>
              <w:t>.time- zone</w:t>
            </w:r>
          </w:p>
        </w:tc>
        <w:tc>
          <w:tcPr>
            <w:tcW w:w="2494" w:type="dxa"/>
          </w:tcPr>
          <w:p w14:paraId="134C029F" w14:textId="77777777" w:rsidR="00A720EB" w:rsidRDefault="00A720EB">
            <w:pPr>
              <w:pStyle w:val="TableParagraph"/>
              <w:spacing w:before="0"/>
              <w:ind w:left="0"/>
              <w:rPr>
                <w:rFonts w:ascii="Times New Roman"/>
                <w:sz w:val="20"/>
              </w:rPr>
            </w:pPr>
          </w:p>
        </w:tc>
        <w:tc>
          <w:tcPr>
            <w:tcW w:w="4988" w:type="dxa"/>
          </w:tcPr>
          <w:p w14:paraId="660D4F52" w14:textId="77777777" w:rsidR="00A720EB" w:rsidRDefault="0030286B">
            <w:pPr>
              <w:pStyle w:val="TableParagraph"/>
              <w:spacing w:before="28" w:line="310" w:lineRule="atLeast"/>
              <w:rPr>
                <w:rFonts w:ascii="Cambria"/>
                <w:sz w:val="21"/>
              </w:rPr>
            </w:pPr>
            <w:r>
              <w:rPr>
                <w:rFonts w:ascii="Cambria"/>
                <w:color w:val="333333"/>
                <w:w w:val="110"/>
                <w:sz w:val="21"/>
              </w:rPr>
              <w:t>Time zone used when formatting dates. For instance, "America/Los_Angeles" or "GMT+10".</w:t>
            </w:r>
          </w:p>
        </w:tc>
      </w:tr>
      <w:tr w:rsidR="00A720EB" w14:paraId="131948E4" w14:textId="77777777">
        <w:trPr>
          <w:trHeight w:val="1056"/>
        </w:trPr>
        <w:tc>
          <w:tcPr>
            <w:tcW w:w="2494" w:type="dxa"/>
          </w:tcPr>
          <w:p w14:paraId="189F9237" w14:textId="77777777" w:rsidR="00A720EB" w:rsidRDefault="0030286B">
            <w:pPr>
              <w:pStyle w:val="TableParagraph"/>
              <w:spacing w:before="46" w:line="230" w:lineRule="auto"/>
              <w:ind w:right="94"/>
              <w:rPr>
                <w:sz w:val="21"/>
              </w:rPr>
            </w:pPr>
            <w:proofErr w:type="gramStart"/>
            <w:r>
              <w:rPr>
                <w:color w:val="B02045"/>
                <w:sz w:val="21"/>
              </w:rPr>
              <w:t>spring.jackson</w:t>
            </w:r>
            <w:proofErr w:type="gramEnd"/>
            <w:r>
              <w:rPr>
                <w:color w:val="B02045"/>
                <w:sz w:val="21"/>
              </w:rPr>
              <w:t>.visibil ity.*</w:t>
            </w:r>
          </w:p>
        </w:tc>
        <w:tc>
          <w:tcPr>
            <w:tcW w:w="2494" w:type="dxa"/>
          </w:tcPr>
          <w:p w14:paraId="3CB90FEA" w14:textId="77777777" w:rsidR="00A720EB" w:rsidRDefault="00A720EB">
            <w:pPr>
              <w:pStyle w:val="TableParagraph"/>
              <w:spacing w:before="0"/>
              <w:ind w:left="0"/>
              <w:rPr>
                <w:rFonts w:ascii="Times New Roman"/>
                <w:sz w:val="20"/>
              </w:rPr>
            </w:pPr>
          </w:p>
        </w:tc>
        <w:tc>
          <w:tcPr>
            <w:tcW w:w="4988" w:type="dxa"/>
          </w:tcPr>
          <w:p w14:paraId="22A445DF" w14:textId="77777777" w:rsidR="00A720EB" w:rsidRDefault="0030286B">
            <w:pPr>
              <w:pStyle w:val="TableParagraph"/>
              <w:spacing w:before="28" w:line="310" w:lineRule="atLeast"/>
              <w:rPr>
                <w:rFonts w:ascii="Cambria"/>
                <w:sz w:val="21"/>
              </w:rPr>
            </w:pPr>
            <w:r>
              <w:rPr>
                <w:rFonts w:ascii="Cambria"/>
                <w:color w:val="333333"/>
                <w:w w:val="110"/>
                <w:sz w:val="21"/>
              </w:rPr>
              <w:t>Jackson visibility thresholds that can be used to limit which methods (and fields) are auto- detected.</w:t>
            </w:r>
          </w:p>
        </w:tc>
      </w:tr>
    </w:tbl>
    <w:p w14:paraId="4C0E143D" w14:textId="77777777" w:rsidR="00A720EB" w:rsidRDefault="00A720EB">
      <w:pPr>
        <w:pStyle w:val="a3"/>
        <w:spacing w:before="12"/>
        <w:rPr>
          <w:rFonts w:ascii="Palatino Linotype"/>
          <w:b/>
          <w:sz w:val="16"/>
        </w:rPr>
      </w:pPr>
    </w:p>
    <w:p w14:paraId="532B57F4" w14:textId="77777777" w:rsidR="00A720EB" w:rsidRDefault="0030286B">
      <w:pPr>
        <w:pStyle w:val="3"/>
        <w:numPr>
          <w:ilvl w:val="2"/>
          <w:numId w:val="9"/>
        </w:numPr>
        <w:tabs>
          <w:tab w:val="left" w:pos="1053"/>
        </w:tabs>
        <w:spacing w:before="105"/>
      </w:pPr>
      <w:bookmarkStart w:id="1031" w:name="10.A.5._Data_properties"/>
      <w:bookmarkStart w:id="1032" w:name="_Toc54424033"/>
      <w:bookmarkEnd w:id="1031"/>
      <w:r>
        <w:rPr>
          <w:color w:val="333333"/>
          <w:w w:val="110"/>
        </w:rPr>
        <w:t>Data</w:t>
      </w:r>
      <w:r>
        <w:rPr>
          <w:color w:val="333333"/>
          <w:spacing w:val="-5"/>
          <w:w w:val="110"/>
        </w:rPr>
        <w:t xml:space="preserve"> </w:t>
      </w:r>
      <w:r>
        <w:rPr>
          <w:color w:val="333333"/>
          <w:w w:val="110"/>
        </w:rPr>
        <w:t>properties</w:t>
      </w:r>
      <w:bookmarkEnd w:id="1032"/>
    </w:p>
    <w:p w14:paraId="40DA05C8"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9EAA297" w14:textId="77777777">
        <w:trPr>
          <w:trHeight w:val="415"/>
        </w:trPr>
        <w:tc>
          <w:tcPr>
            <w:tcW w:w="2494" w:type="dxa"/>
            <w:tcBorders>
              <w:bottom w:val="single" w:sz="12" w:space="0" w:color="DDDDDD"/>
            </w:tcBorders>
          </w:tcPr>
          <w:p w14:paraId="071C90D8"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6DED5102"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449AFD0"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59FE95F8" w14:textId="77777777">
        <w:trPr>
          <w:trHeight w:val="731"/>
        </w:trPr>
        <w:tc>
          <w:tcPr>
            <w:tcW w:w="2494" w:type="dxa"/>
            <w:tcBorders>
              <w:top w:val="single" w:sz="12" w:space="0" w:color="DDDDDD"/>
            </w:tcBorders>
          </w:tcPr>
          <w:p w14:paraId="196C6781" w14:textId="77777777" w:rsidR="00A720EB" w:rsidRDefault="0030286B">
            <w:pPr>
              <w:pStyle w:val="TableParagraph"/>
              <w:spacing w:before="39" w:line="230" w:lineRule="auto"/>
              <w:ind w:right="113"/>
              <w:rPr>
                <w:sz w:val="21"/>
              </w:rPr>
            </w:pPr>
            <w:proofErr w:type="gramStart"/>
            <w:r>
              <w:rPr>
                <w:color w:val="B02045"/>
                <w:sz w:val="21"/>
              </w:rPr>
              <w:t>spring.couchbase</w:t>
            </w:r>
            <w:proofErr w:type="gramEnd"/>
            <w:r>
              <w:rPr>
                <w:color w:val="B02045"/>
                <w:sz w:val="21"/>
              </w:rPr>
              <w:t>.conne ction-string</w:t>
            </w:r>
          </w:p>
        </w:tc>
        <w:tc>
          <w:tcPr>
            <w:tcW w:w="2494" w:type="dxa"/>
            <w:tcBorders>
              <w:top w:val="single" w:sz="12" w:space="0" w:color="DDDDDD"/>
            </w:tcBorders>
          </w:tcPr>
          <w:p w14:paraId="6ECB81DF"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10424931" w14:textId="77777777" w:rsidR="00A720EB" w:rsidRDefault="0030286B">
            <w:pPr>
              <w:pStyle w:val="TableParagraph"/>
              <w:spacing w:before="21" w:line="310" w:lineRule="atLeast"/>
              <w:rPr>
                <w:rFonts w:ascii="Cambria"/>
                <w:sz w:val="21"/>
              </w:rPr>
            </w:pPr>
            <w:r>
              <w:rPr>
                <w:rFonts w:ascii="Cambria"/>
                <w:color w:val="333333"/>
                <w:w w:val="110"/>
                <w:sz w:val="21"/>
              </w:rPr>
              <w:t>Connection string used to locate the Couchbase cluster.</w:t>
            </w:r>
          </w:p>
        </w:tc>
      </w:tr>
      <w:tr w:rsidR="00A720EB" w14:paraId="515499B5" w14:textId="77777777">
        <w:trPr>
          <w:trHeight w:val="1056"/>
        </w:trPr>
        <w:tc>
          <w:tcPr>
            <w:tcW w:w="2494" w:type="dxa"/>
          </w:tcPr>
          <w:p w14:paraId="16CC3BA4" w14:textId="77777777" w:rsidR="00A720EB" w:rsidRDefault="0030286B">
            <w:pPr>
              <w:pStyle w:val="TableParagraph"/>
              <w:spacing w:before="49" w:line="230" w:lineRule="auto"/>
              <w:ind w:right="113"/>
              <w:rPr>
                <w:sz w:val="21"/>
              </w:rPr>
            </w:pPr>
            <w:proofErr w:type="gramStart"/>
            <w:r>
              <w:rPr>
                <w:color w:val="B02045"/>
                <w:sz w:val="21"/>
              </w:rPr>
              <w:lastRenderedPageBreak/>
              <w:t>spring.couchbase.env.i</w:t>
            </w:r>
            <w:proofErr w:type="gramEnd"/>
            <w:r>
              <w:rPr>
                <w:color w:val="B02045"/>
                <w:sz w:val="21"/>
              </w:rPr>
              <w:t xml:space="preserve"> o.idle-http- connection-timeout</w:t>
            </w:r>
          </w:p>
        </w:tc>
        <w:tc>
          <w:tcPr>
            <w:tcW w:w="2494" w:type="dxa"/>
          </w:tcPr>
          <w:p w14:paraId="3418AF50" w14:textId="77777777" w:rsidR="00A720EB" w:rsidRDefault="0030286B">
            <w:pPr>
              <w:pStyle w:val="TableParagraph"/>
              <w:spacing w:before="40"/>
              <w:rPr>
                <w:sz w:val="21"/>
              </w:rPr>
            </w:pPr>
            <w:r>
              <w:rPr>
                <w:color w:val="B02045"/>
                <w:sz w:val="21"/>
              </w:rPr>
              <w:t>4500ms</w:t>
            </w:r>
          </w:p>
        </w:tc>
        <w:tc>
          <w:tcPr>
            <w:tcW w:w="4988" w:type="dxa"/>
          </w:tcPr>
          <w:p w14:paraId="320A5466" w14:textId="77777777" w:rsidR="00A720EB" w:rsidRDefault="0030286B">
            <w:pPr>
              <w:pStyle w:val="TableParagraph"/>
              <w:spacing w:before="31" w:line="310" w:lineRule="atLeast"/>
              <w:ind w:right="73"/>
              <w:rPr>
                <w:rFonts w:ascii="Cambria"/>
                <w:sz w:val="21"/>
              </w:rPr>
            </w:pPr>
            <w:r>
              <w:rPr>
                <w:rFonts w:ascii="Cambria"/>
                <w:color w:val="333333"/>
                <w:w w:val="110"/>
                <w:sz w:val="21"/>
              </w:rPr>
              <w:t>Length of time an HTTP connection may remain idle before it is closed and removed from the pool.</w:t>
            </w:r>
          </w:p>
        </w:tc>
      </w:tr>
    </w:tbl>
    <w:p w14:paraId="359987A0" w14:textId="77777777" w:rsidR="00A720EB" w:rsidRDefault="00A720EB">
      <w:pPr>
        <w:spacing w:line="310" w:lineRule="atLeast"/>
        <w:rPr>
          <w:sz w:val="21"/>
        </w:rPr>
        <w:sectPr w:rsidR="00A720EB">
          <w:pgSz w:w="11910" w:h="16840"/>
          <w:pgMar w:top="70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1A2A37A" w14:textId="77777777">
        <w:trPr>
          <w:trHeight w:val="415"/>
        </w:trPr>
        <w:tc>
          <w:tcPr>
            <w:tcW w:w="2494" w:type="dxa"/>
            <w:tcBorders>
              <w:bottom w:val="single" w:sz="12" w:space="0" w:color="DDDDDD"/>
            </w:tcBorders>
          </w:tcPr>
          <w:p w14:paraId="5DF4DAEB"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57F4264"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E22A1B6"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550636D2" w14:textId="77777777">
        <w:trPr>
          <w:trHeight w:val="617"/>
        </w:trPr>
        <w:tc>
          <w:tcPr>
            <w:tcW w:w="2494" w:type="dxa"/>
            <w:tcBorders>
              <w:top w:val="single" w:sz="12" w:space="0" w:color="DDDDDD"/>
            </w:tcBorders>
          </w:tcPr>
          <w:p w14:paraId="7766496C" w14:textId="77777777" w:rsidR="00A720EB" w:rsidRDefault="0030286B">
            <w:pPr>
              <w:pStyle w:val="TableParagraph"/>
              <w:spacing w:before="36" w:line="230" w:lineRule="auto"/>
              <w:ind w:right="113"/>
              <w:rPr>
                <w:sz w:val="21"/>
              </w:rPr>
            </w:pPr>
            <w:proofErr w:type="gramStart"/>
            <w:r>
              <w:rPr>
                <w:color w:val="B02045"/>
                <w:sz w:val="21"/>
              </w:rPr>
              <w:t>spring.couchbase.env.i</w:t>
            </w:r>
            <w:proofErr w:type="gramEnd"/>
            <w:r>
              <w:rPr>
                <w:color w:val="B02045"/>
                <w:sz w:val="21"/>
              </w:rPr>
              <w:t xml:space="preserve"> o.max-endpoints</w:t>
            </w:r>
          </w:p>
        </w:tc>
        <w:tc>
          <w:tcPr>
            <w:tcW w:w="2494" w:type="dxa"/>
            <w:tcBorders>
              <w:top w:val="single" w:sz="12" w:space="0" w:color="DDDDDD"/>
            </w:tcBorders>
          </w:tcPr>
          <w:p w14:paraId="2A1BA6BA" w14:textId="77777777" w:rsidR="00A720EB" w:rsidRDefault="0030286B">
            <w:pPr>
              <w:pStyle w:val="TableParagraph"/>
              <w:spacing w:before="27"/>
              <w:rPr>
                <w:sz w:val="21"/>
              </w:rPr>
            </w:pPr>
            <w:r>
              <w:rPr>
                <w:color w:val="B02045"/>
                <w:sz w:val="21"/>
              </w:rPr>
              <w:t>12.0</w:t>
            </w:r>
          </w:p>
        </w:tc>
        <w:tc>
          <w:tcPr>
            <w:tcW w:w="4988" w:type="dxa"/>
            <w:tcBorders>
              <w:top w:val="single" w:sz="12" w:space="0" w:color="DDDDDD"/>
            </w:tcBorders>
          </w:tcPr>
          <w:p w14:paraId="01D7F608" w14:textId="77777777" w:rsidR="00A720EB" w:rsidRDefault="0030286B">
            <w:pPr>
              <w:pStyle w:val="TableParagraph"/>
              <w:spacing w:before="82"/>
              <w:rPr>
                <w:rFonts w:ascii="Cambria"/>
                <w:sz w:val="21"/>
              </w:rPr>
            </w:pPr>
            <w:r>
              <w:rPr>
                <w:rFonts w:ascii="Cambria"/>
                <w:color w:val="333333"/>
                <w:w w:val="115"/>
                <w:sz w:val="21"/>
              </w:rPr>
              <w:t>Maximum number of sockets per node.</w:t>
            </w:r>
          </w:p>
        </w:tc>
      </w:tr>
      <w:tr w:rsidR="00A720EB" w14:paraId="0BEE475B" w14:textId="77777777">
        <w:trPr>
          <w:trHeight w:val="627"/>
        </w:trPr>
        <w:tc>
          <w:tcPr>
            <w:tcW w:w="2494" w:type="dxa"/>
          </w:tcPr>
          <w:p w14:paraId="6A71ECAE" w14:textId="77777777" w:rsidR="00A720EB" w:rsidRDefault="0030286B">
            <w:pPr>
              <w:pStyle w:val="TableParagraph"/>
              <w:spacing w:before="46" w:line="230" w:lineRule="auto"/>
              <w:ind w:right="113"/>
              <w:rPr>
                <w:sz w:val="21"/>
              </w:rPr>
            </w:pPr>
            <w:proofErr w:type="gramStart"/>
            <w:r>
              <w:rPr>
                <w:color w:val="B02045"/>
                <w:sz w:val="21"/>
              </w:rPr>
              <w:t>spring.couchbase.env.i</w:t>
            </w:r>
            <w:proofErr w:type="gramEnd"/>
            <w:r>
              <w:rPr>
                <w:color w:val="B02045"/>
                <w:sz w:val="21"/>
              </w:rPr>
              <w:t xml:space="preserve"> o.min-endpoints</w:t>
            </w:r>
          </w:p>
        </w:tc>
        <w:tc>
          <w:tcPr>
            <w:tcW w:w="2494" w:type="dxa"/>
          </w:tcPr>
          <w:p w14:paraId="2F91D09D" w14:textId="77777777" w:rsidR="00A720EB" w:rsidRDefault="0030286B">
            <w:pPr>
              <w:pStyle w:val="TableParagraph"/>
              <w:spacing w:before="37"/>
              <w:rPr>
                <w:sz w:val="21"/>
              </w:rPr>
            </w:pPr>
            <w:r>
              <w:rPr>
                <w:color w:val="B02045"/>
                <w:sz w:val="21"/>
              </w:rPr>
              <w:t>1.0</w:t>
            </w:r>
          </w:p>
        </w:tc>
        <w:tc>
          <w:tcPr>
            <w:tcW w:w="4988" w:type="dxa"/>
          </w:tcPr>
          <w:p w14:paraId="07FCE51D" w14:textId="77777777" w:rsidR="00A720EB" w:rsidRDefault="0030286B">
            <w:pPr>
              <w:pStyle w:val="TableParagraph"/>
              <w:spacing w:before="92"/>
              <w:rPr>
                <w:rFonts w:ascii="Cambria"/>
                <w:sz w:val="21"/>
              </w:rPr>
            </w:pPr>
            <w:r>
              <w:rPr>
                <w:rFonts w:ascii="Cambria"/>
                <w:color w:val="333333"/>
                <w:w w:val="115"/>
                <w:sz w:val="21"/>
              </w:rPr>
              <w:t>Minimum number of sockets per node.</w:t>
            </w:r>
          </w:p>
        </w:tc>
      </w:tr>
      <w:tr w:rsidR="00A720EB" w14:paraId="34F46C12" w14:textId="77777777">
        <w:trPr>
          <w:trHeight w:val="1056"/>
        </w:trPr>
        <w:tc>
          <w:tcPr>
            <w:tcW w:w="2494" w:type="dxa"/>
          </w:tcPr>
          <w:p w14:paraId="4F341BEA" w14:textId="77777777" w:rsidR="00A720EB" w:rsidRDefault="0030286B">
            <w:pPr>
              <w:pStyle w:val="TableParagraph"/>
              <w:spacing w:before="46" w:line="230" w:lineRule="auto"/>
              <w:ind w:right="94"/>
              <w:rPr>
                <w:sz w:val="21"/>
              </w:rPr>
            </w:pPr>
            <w:proofErr w:type="gramStart"/>
            <w:r>
              <w:rPr>
                <w:color w:val="B02045"/>
                <w:sz w:val="21"/>
              </w:rPr>
              <w:t>spring.couchbase.env.s</w:t>
            </w:r>
            <w:proofErr w:type="gramEnd"/>
            <w:r>
              <w:rPr>
                <w:color w:val="B02045"/>
                <w:sz w:val="21"/>
              </w:rPr>
              <w:t xml:space="preserve"> sl.enabled</w:t>
            </w:r>
          </w:p>
        </w:tc>
        <w:tc>
          <w:tcPr>
            <w:tcW w:w="2494" w:type="dxa"/>
          </w:tcPr>
          <w:p w14:paraId="1D1FC025" w14:textId="77777777" w:rsidR="00A720EB" w:rsidRDefault="00A720EB">
            <w:pPr>
              <w:pStyle w:val="TableParagraph"/>
              <w:spacing w:before="0"/>
              <w:ind w:left="0"/>
              <w:rPr>
                <w:rFonts w:ascii="Times New Roman"/>
                <w:sz w:val="20"/>
              </w:rPr>
            </w:pPr>
          </w:p>
        </w:tc>
        <w:tc>
          <w:tcPr>
            <w:tcW w:w="4988" w:type="dxa"/>
          </w:tcPr>
          <w:p w14:paraId="661B00A3" w14:textId="77777777" w:rsidR="00A720EB" w:rsidRDefault="0030286B">
            <w:pPr>
              <w:pStyle w:val="TableParagraph"/>
              <w:spacing w:before="28" w:line="310" w:lineRule="atLeast"/>
              <w:rPr>
                <w:rFonts w:ascii="Cambria"/>
                <w:sz w:val="21"/>
              </w:rPr>
            </w:pPr>
            <w:r>
              <w:rPr>
                <w:rFonts w:ascii="Cambria"/>
                <w:color w:val="333333"/>
                <w:w w:val="110"/>
                <w:sz w:val="21"/>
              </w:rPr>
              <w:t>Whether to enable SSL support. Enabled automatically if a "keyStore" is provided unless specified otherwise.</w:t>
            </w:r>
          </w:p>
        </w:tc>
      </w:tr>
      <w:tr w:rsidR="00A720EB" w14:paraId="27788B6A" w14:textId="77777777">
        <w:trPr>
          <w:trHeight w:val="741"/>
        </w:trPr>
        <w:tc>
          <w:tcPr>
            <w:tcW w:w="2494" w:type="dxa"/>
          </w:tcPr>
          <w:p w14:paraId="1FE2B5E0" w14:textId="77777777" w:rsidR="00A720EB" w:rsidRDefault="0030286B">
            <w:pPr>
              <w:pStyle w:val="TableParagraph"/>
              <w:spacing w:before="46" w:line="230" w:lineRule="auto"/>
              <w:ind w:right="113"/>
              <w:rPr>
                <w:sz w:val="21"/>
              </w:rPr>
            </w:pPr>
            <w:proofErr w:type="gramStart"/>
            <w:r>
              <w:rPr>
                <w:color w:val="B02045"/>
                <w:sz w:val="21"/>
              </w:rPr>
              <w:t>spring.couchbase.env.s</w:t>
            </w:r>
            <w:proofErr w:type="gramEnd"/>
            <w:r>
              <w:rPr>
                <w:color w:val="B02045"/>
                <w:sz w:val="21"/>
              </w:rPr>
              <w:t xml:space="preserve"> sl.key-store</w:t>
            </w:r>
          </w:p>
        </w:tc>
        <w:tc>
          <w:tcPr>
            <w:tcW w:w="2494" w:type="dxa"/>
          </w:tcPr>
          <w:p w14:paraId="576802DA" w14:textId="77777777" w:rsidR="00A720EB" w:rsidRDefault="00A720EB">
            <w:pPr>
              <w:pStyle w:val="TableParagraph"/>
              <w:spacing w:before="0"/>
              <w:ind w:left="0"/>
              <w:rPr>
                <w:rFonts w:ascii="Times New Roman"/>
                <w:sz w:val="20"/>
              </w:rPr>
            </w:pPr>
          </w:p>
        </w:tc>
        <w:tc>
          <w:tcPr>
            <w:tcW w:w="4988" w:type="dxa"/>
          </w:tcPr>
          <w:p w14:paraId="4C42530A" w14:textId="77777777" w:rsidR="00A720EB" w:rsidRDefault="0030286B">
            <w:pPr>
              <w:pStyle w:val="TableParagraph"/>
              <w:spacing w:before="28" w:line="310" w:lineRule="atLeast"/>
              <w:rPr>
                <w:rFonts w:ascii="Cambria"/>
                <w:sz w:val="21"/>
              </w:rPr>
            </w:pPr>
            <w:r>
              <w:rPr>
                <w:rFonts w:ascii="Cambria"/>
                <w:color w:val="333333"/>
                <w:w w:val="110"/>
                <w:sz w:val="21"/>
              </w:rPr>
              <w:t>Path to the JVM key store that holds the certificates.</w:t>
            </w:r>
          </w:p>
        </w:tc>
      </w:tr>
      <w:tr w:rsidR="00A720EB" w14:paraId="40C0B45B" w14:textId="77777777">
        <w:trPr>
          <w:trHeight w:val="627"/>
        </w:trPr>
        <w:tc>
          <w:tcPr>
            <w:tcW w:w="2494" w:type="dxa"/>
          </w:tcPr>
          <w:p w14:paraId="568920BF" w14:textId="77777777" w:rsidR="00A720EB" w:rsidRDefault="0030286B">
            <w:pPr>
              <w:pStyle w:val="TableParagraph"/>
              <w:spacing w:before="46" w:line="230" w:lineRule="auto"/>
              <w:ind w:right="113"/>
              <w:rPr>
                <w:sz w:val="21"/>
              </w:rPr>
            </w:pPr>
            <w:proofErr w:type="gramStart"/>
            <w:r>
              <w:rPr>
                <w:color w:val="B02045"/>
                <w:sz w:val="21"/>
              </w:rPr>
              <w:t>spring.couchbase.env.s</w:t>
            </w:r>
            <w:proofErr w:type="gramEnd"/>
            <w:r>
              <w:rPr>
                <w:color w:val="B02045"/>
                <w:sz w:val="21"/>
              </w:rPr>
              <w:t xml:space="preserve"> sl.key-store-password</w:t>
            </w:r>
          </w:p>
        </w:tc>
        <w:tc>
          <w:tcPr>
            <w:tcW w:w="2494" w:type="dxa"/>
          </w:tcPr>
          <w:p w14:paraId="65BA24EA" w14:textId="77777777" w:rsidR="00A720EB" w:rsidRDefault="00A720EB">
            <w:pPr>
              <w:pStyle w:val="TableParagraph"/>
              <w:spacing w:before="0"/>
              <w:ind w:left="0"/>
              <w:rPr>
                <w:rFonts w:ascii="Times New Roman"/>
                <w:sz w:val="20"/>
              </w:rPr>
            </w:pPr>
          </w:p>
        </w:tc>
        <w:tc>
          <w:tcPr>
            <w:tcW w:w="4988" w:type="dxa"/>
          </w:tcPr>
          <w:p w14:paraId="31270392" w14:textId="77777777" w:rsidR="00A720EB" w:rsidRDefault="0030286B">
            <w:pPr>
              <w:pStyle w:val="TableParagraph"/>
              <w:spacing w:before="92"/>
              <w:rPr>
                <w:rFonts w:ascii="Cambria"/>
                <w:sz w:val="21"/>
              </w:rPr>
            </w:pPr>
            <w:r>
              <w:rPr>
                <w:rFonts w:ascii="Cambria"/>
                <w:color w:val="333333"/>
                <w:w w:val="110"/>
                <w:sz w:val="21"/>
              </w:rPr>
              <w:t>Password used to access the key store.</w:t>
            </w:r>
          </w:p>
        </w:tc>
      </w:tr>
      <w:tr w:rsidR="00A720EB" w14:paraId="2345B702" w14:textId="77777777">
        <w:trPr>
          <w:trHeight w:val="627"/>
        </w:trPr>
        <w:tc>
          <w:tcPr>
            <w:tcW w:w="2494" w:type="dxa"/>
          </w:tcPr>
          <w:p w14:paraId="3BD3E95D" w14:textId="77777777" w:rsidR="00A720EB" w:rsidRDefault="0030286B">
            <w:pPr>
              <w:pStyle w:val="TableParagraph"/>
              <w:spacing w:before="46" w:line="230" w:lineRule="auto"/>
              <w:ind w:right="94"/>
              <w:rPr>
                <w:sz w:val="21"/>
              </w:rPr>
            </w:pPr>
            <w:r>
              <w:rPr>
                <w:color w:val="B02045"/>
                <w:sz w:val="21"/>
              </w:rPr>
              <w:t xml:space="preserve">spring.couchbase.env.t </w:t>
            </w:r>
            <w:proofErr w:type="gramStart"/>
            <w:r>
              <w:rPr>
                <w:color w:val="B02045"/>
                <w:sz w:val="21"/>
              </w:rPr>
              <w:t>imeouts.analytics</w:t>
            </w:r>
            <w:proofErr w:type="gramEnd"/>
          </w:p>
        </w:tc>
        <w:tc>
          <w:tcPr>
            <w:tcW w:w="2494" w:type="dxa"/>
          </w:tcPr>
          <w:p w14:paraId="4BAC7A9D" w14:textId="77777777" w:rsidR="00A720EB" w:rsidRDefault="0030286B">
            <w:pPr>
              <w:pStyle w:val="TableParagraph"/>
              <w:spacing w:before="37"/>
              <w:rPr>
                <w:sz w:val="21"/>
              </w:rPr>
            </w:pPr>
            <w:r>
              <w:rPr>
                <w:color w:val="B02045"/>
                <w:sz w:val="21"/>
              </w:rPr>
              <w:t>75s</w:t>
            </w:r>
          </w:p>
        </w:tc>
        <w:tc>
          <w:tcPr>
            <w:tcW w:w="4988" w:type="dxa"/>
          </w:tcPr>
          <w:p w14:paraId="32E8AD1B" w14:textId="77777777" w:rsidR="00A720EB" w:rsidRDefault="0030286B">
            <w:pPr>
              <w:pStyle w:val="TableParagraph"/>
              <w:spacing w:before="92"/>
              <w:rPr>
                <w:rFonts w:ascii="Cambria"/>
                <w:sz w:val="21"/>
              </w:rPr>
            </w:pPr>
            <w:r>
              <w:rPr>
                <w:rFonts w:ascii="Cambria"/>
                <w:color w:val="333333"/>
                <w:w w:val="110"/>
                <w:sz w:val="21"/>
              </w:rPr>
              <w:t>Timeout for the analytics service.</w:t>
            </w:r>
          </w:p>
        </w:tc>
      </w:tr>
      <w:tr w:rsidR="00A720EB" w14:paraId="0FA3EE96" w14:textId="77777777">
        <w:trPr>
          <w:trHeight w:val="627"/>
        </w:trPr>
        <w:tc>
          <w:tcPr>
            <w:tcW w:w="2494" w:type="dxa"/>
          </w:tcPr>
          <w:p w14:paraId="448A852B" w14:textId="77777777" w:rsidR="00A720EB" w:rsidRDefault="0030286B">
            <w:pPr>
              <w:pStyle w:val="TableParagraph"/>
              <w:spacing w:before="46" w:line="230" w:lineRule="auto"/>
              <w:ind w:right="94"/>
              <w:rPr>
                <w:sz w:val="21"/>
              </w:rPr>
            </w:pPr>
            <w:r>
              <w:rPr>
                <w:color w:val="B02045"/>
                <w:sz w:val="21"/>
              </w:rPr>
              <w:t xml:space="preserve">spring.couchbase.env.t </w:t>
            </w:r>
            <w:proofErr w:type="gramStart"/>
            <w:r>
              <w:rPr>
                <w:color w:val="B02045"/>
                <w:sz w:val="21"/>
              </w:rPr>
              <w:t>imeouts.connect</w:t>
            </w:r>
            <w:proofErr w:type="gramEnd"/>
          </w:p>
        </w:tc>
        <w:tc>
          <w:tcPr>
            <w:tcW w:w="2494" w:type="dxa"/>
          </w:tcPr>
          <w:p w14:paraId="11239A5E" w14:textId="77777777" w:rsidR="00A720EB" w:rsidRDefault="0030286B">
            <w:pPr>
              <w:pStyle w:val="TableParagraph"/>
              <w:rPr>
                <w:sz w:val="21"/>
              </w:rPr>
            </w:pPr>
            <w:r>
              <w:rPr>
                <w:color w:val="B02045"/>
                <w:sz w:val="21"/>
              </w:rPr>
              <w:t>10s</w:t>
            </w:r>
          </w:p>
        </w:tc>
        <w:tc>
          <w:tcPr>
            <w:tcW w:w="4988" w:type="dxa"/>
          </w:tcPr>
          <w:p w14:paraId="1DE5B02A" w14:textId="77777777" w:rsidR="00A720EB" w:rsidRDefault="0030286B">
            <w:pPr>
              <w:pStyle w:val="TableParagraph"/>
              <w:spacing w:before="92"/>
              <w:rPr>
                <w:rFonts w:ascii="Cambria"/>
                <w:sz w:val="21"/>
              </w:rPr>
            </w:pPr>
            <w:r>
              <w:rPr>
                <w:rFonts w:ascii="Cambria"/>
                <w:color w:val="333333"/>
                <w:w w:val="110"/>
                <w:sz w:val="21"/>
              </w:rPr>
              <w:t>Bucket connect timeout.</w:t>
            </w:r>
          </w:p>
        </w:tc>
      </w:tr>
      <w:tr w:rsidR="00A720EB" w14:paraId="22762B72" w14:textId="77777777">
        <w:trPr>
          <w:trHeight w:val="627"/>
        </w:trPr>
        <w:tc>
          <w:tcPr>
            <w:tcW w:w="2494" w:type="dxa"/>
          </w:tcPr>
          <w:p w14:paraId="1F04B43B" w14:textId="77777777" w:rsidR="00A720EB" w:rsidRDefault="0030286B">
            <w:pPr>
              <w:pStyle w:val="TableParagraph"/>
              <w:spacing w:before="46" w:line="230" w:lineRule="auto"/>
              <w:ind w:right="94"/>
              <w:rPr>
                <w:sz w:val="21"/>
              </w:rPr>
            </w:pPr>
            <w:r>
              <w:rPr>
                <w:color w:val="B02045"/>
                <w:sz w:val="21"/>
              </w:rPr>
              <w:t xml:space="preserve">spring.couchbase.env.t </w:t>
            </w:r>
            <w:proofErr w:type="gramStart"/>
            <w:r>
              <w:rPr>
                <w:color w:val="B02045"/>
                <w:sz w:val="21"/>
              </w:rPr>
              <w:t>imeouts.disconnect</w:t>
            </w:r>
            <w:proofErr w:type="gramEnd"/>
          </w:p>
        </w:tc>
        <w:tc>
          <w:tcPr>
            <w:tcW w:w="2494" w:type="dxa"/>
          </w:tcPr>
          <w:p w14:paraId="1282F6B4" w14:textId="77777777" w:rsidR="00A720EB" w:rsidRDefault="0030286B">
            <w:pPr>
              <w:pStyle w:val="TableParagraph"/>
              <w:rPr>
                <w:sz w:val="21"/>
              </w:rPr>
            </w:pPr>
            <w:r>
              <w:rPr>
                <w:color w:val="B02045"/>
                <w:sz w:val="21"/>
              </w:rPr>
              <w:t>10s</w:t>
            </w:r>
          </w:p>
        </w:tc>
        <w:tc>
          <w:tcPr>
            <w:tcW w:w="4988" w:type="dxa"/>
          </w:tcPr>
          <w:p w14:paraId="453F24DE" w14:textId="77777777" w:rsidR="00A720EB" w:rsidRDefault="0030286B">
            <w:pPr>
              <w:pStyle w:val="TableParagraph"/>
              <w:spacing w:before="92"/>
              <w:rPr>
                <w:rFonts w:ascii="Cambria"/>
                <w:sz w:val="21"/>
              </w:rPr>
            </w:pPr>
            <w:r>
              <w:rPr>
                <w:rFonts w:ascii="Cambria"/>
                <w:color w:val="333333"/>
                <w:w w:val="110"/>
                <w:sz w:val="21"/>
              </w:rPr>
              <w:t>Bucket disconnect timeout.</w:t>
            </w:r>
          </w:p>
        </w:tc>
      </w:tr>
      <w:tr w:rsidR="00A720EB" w14:paraId="2834BD11" w14:textId="77777777">
        <w:trPr>
          <w:trHeight w:val="627"/>
        </w:trPr>
        <w:tc>
          <w:tcPr>
            <w:tcW w:w="2494" w:type="dxa"/>
          </w:tcPr>
          <w:p w14:paraId="2A6D833E" w14:textId="77777777" w:rsidR="00A720EB" w:rsidRDefault="0030286B">
            <w:pPr>
              <w:pStyle w:val="TableParagraph"/>
              <w:spacing w:before="46" w:line="230" w:lineRule="auto"/>
              <w:ind w:right="113"/>
              <w:rPr>
                <w:sz w:val="21"/>
              </w:rPr>
            </w:pPr>
            <w:r>
              <w:rPr>
                <w:color w:val="B02045"/>
                <w:sz w:val="21"/>
              </w:rPr>
              <w:t>spring.couchbase.env.t imeouts.key-value</w:t>
            </w:r>
          </w:p>
        </w:tc>
        <w:tc>
          <w:tcPr>
            <w:tcW w:w="2494" w:type="dxa"/>
          </w:tcPr>
          <w:p w14:paraId="4650984C" w14:textId="77777777" w:rsidR="00A720EB" w:rsidRDefault="0030286B">
            <w:pPr>
              <w:pStyle w:val="TableParagraph"/>
              <w:rPr>
                <w:sz w:val="21"/>
              </w:rPr>
            </w:pPr>
            <w:r>
              <w:rPr>
                <w:color w:val="B02045"/>
                <w:sz w:val="21"/>
              </w:rPr>
              <w:t>2500ms</w:t>
            </w:r>
          </w:p>
        </w:tc>
        <w:tc>
          <w:tcPr>
            <w:tcW w:w="4988" w:type="dxa"/>
          </w:tcPr>
          <w:p w14:paraId="1CEF6CFC" w14:textId="77777777" w:rsidR="00A720EB" w:rsidRDefault="0030286B">
            <w:pPr>
              <w:pStyle w:val="TableParagraph"/>
              <w:spacing w:before="92"/>
              <w:rPr>
                <w:rFonts w:ascii="Cambria"/>
                <w:sz w:val="21"/>
              </w:rPr>
            </w:pPr>
            <w:r>
              <w:rPr>
                <w:rFonts w:ascii="Cambria"/>
                <w:color w:val="333333"/>
                <w:w w:val="110"/>
                <w:sz w:val="21"/>
              </w:rPr>
              <w:t>Timeout for operations on a specific key-value.</w:t>
            </w:r>
          </w:p>
        </w:tc>
      </w:tr>
      <w:tr w:rsidR="00A720EB" w14:paraId="13529C0B" w14:textId="77777777">
        <w:trPr>
          <w:trHeight w:val="886"/>
        </w:trPr>
        <w:tc>
          <w:tcPr>
            <w:tcW w:w="2494" w:type="dxa"/>
          </w:tcPr>
          <w:p w14:paraId="0A45ED87" w14:textId="77777777" w:rsidR="00A720EB" w:rsidRDefault="0030286B">
            <w:pPr>
              <w:pStyle w:val="TableParagraph"/>
              <w:spacing w:before="46" w:line="230" w:lineRule="auto"/>
              <w:ind w:right="113"/>
              <w:rPr>
                <w:sz w:val="21"/>
              </w:rPr>
            </w:pPr>
            <w:r>
              <w:rPr>
                <w:color w:val="B02045"/>
                <w:sz w:val="21"/>
              </w:rPr>
              <w:t>spring.couchbase.env.t imeouts.key-value- durable</w:t>
            </w:r>
          </w:p>
        </w:tc>
        <w:tc>
          <w:tcPr>
            <w:tcW w:w="2494" w:type="dxa"/>
          </w:tcPr>
          <w:p w14:paraId="37B5F7EF" w14:textId="77777777" w:rsidR="00A720EB" w:rsidRDefault="0030286B">
            <w:pPr>
              <w:pStyle w:val="TableParagraph"/>
              <w:spacing w:before="37"/>
              <w:rPr>
                <w:sz w:val="21"/>
              </w:rPr>
            </w:pPr>
            <w:r>
              <w:rPr>
                <w:color w:val="B02045"/>
                <w:sz w:val="21"/>
              </w:rPr>
              <w:t>10s</w:t>
            </w:r>
          </w:p>
        </w:tc>
        <w:tc>
          <w:tcPr>
            <w:tcW w:w="4988" w:type="dxa"/>
          </w:tcPr>
          <w:p w14:paraId="5AF565E3" w14:textId="77777777" w:rsidR="00A720EB" w:rsidRDefault="0030286B">
            <w:pPr>
              <w:pStyle w:val="TableParagraph"/>
              <w:spacing w:before="92" w:line="307" w:lineRule="auto"/>
              <w:ind w:right="296"/>
              <w:rPr>
                <w:rFonts w:ascii="Cambria"/>
                <w:sz w:val="21"/>
              </w:rPr>
            </w:pPr>
            <w:r>
              <w:rPr>
                <w:rFonts w:ascii="Cambria"/>
                <w:color w:val="333333"/>
                <w:w w:val="115"/>
                <w:sz w:val="21"/>
              </w:rPr>
              <w:t>Timeout</w:t>
            </w:r>
            <w:r>
              <w:rPr>
                <w:rFonts w:ascii="Cambria"/>
                <w:color w:val="333333"/>
                <w:spacing w:val="-28"/>
                <w:w w:val="115"/>
                <w:sz w:val="21"/>
              </w:rPr>
              <w:t xml:space="preserve"> </w:t>
            </w:r>
            <w:r>
              <w:rPr>
                <w:rFonts w:ascii="Cambria"/>
                <w:color w:val="333333"/>
                <w:w w:val="115"/>
                <w:sz w:val="21"/>
              </w:rPr>
              <w:t>for</w:t>
            </w:r>
            <w:r>
              <w:rPr>
                <w:rFonts w:ascii="Cambria"/>
                <w:color w:val="333333"/>
                <w:spacing w:val="-27"/>
                <w:w w:val="115"/>
                <w:sz w:val="21"/>
              </w:rPr>
              <w:t xml:space="preserve"> </w:t>
            </w:r>
            <w:r>
              <w:rPr>
                <w:rFonts w:ascii="Cambria"/>
                <w:color w:val="333333"/>
                <w:w w:val="115"/>
                <w:sz w:val="21"/>
              </w:rPr>
              <w:t>operations</w:t>
            </w:r>
            <w:r>
              <w:rPr>
                <w:rFonts w:ascii="Cambria"/>
                <w:color w:val="333333"/>
                <w:spacing w:val="-28"/>
                <w:w w:val="115"/>
                <w:sz w:val="21"/>
              </w:rPr>
              <w:t xml:space="preserve"> </w:t>
            </w:r>
            <w:r>
              <w:rPr>
                <w:rFonts w:ascii="Cambria"/>
                <w:color w:val="333333"/>
                <w:w w:val="115"/>
                <w:sz w:val="21"/>
              </w:rPr>
              <w:t>on</w:t>
            </w:r>
            <w:r>
              <w:rPr>
                <w:rFonts w:ascii="Cambria"/>
                <w:color w:val="333333"/>
                <w:spacing w:val="-27"/>
                <w:w w:val="115"/>
                <w:sz w:val="21"/>
              </w:rPr>
              <w:t xml:space="preserve"> </w:t>
            </w:r>
            <w:r>
              <w:rPr>
                <w:rFonts w:ascii="Cambria"/>
                <w:color w:val="333333"/>
                <w:w w:val="115"/>
                <w:sz w:val="21"/>
              </w:rPr>
              <w:t>a</w:t>
            </w:r>
            <w:r>
              <w:rPr>
                <w:rFonts w:ascii="Cambria"/>
                <w:color w:val="333333"/>
                <w:spacing w:val="-27"/>
                <w:w w:val="115"/>
                <w:sz w:val="21"/>
              </w:rPr>
              <w:t xml:space="preserve"> </w:t>
            </w:r>
            <w:r>
              <w:rPr>
                <w:rFonts w:ascii="Cambria"/>
                <w:color w:val="333333"/>
                <w:w w:val="115"/>
                <w:sz w:val="21"/>
              </w:rPr>
              <w:t>specific</w:t>
            </w:r>
            <w:r>
              <w:rPr>
                <w:rFonts w:ascii="Cambria"/>
                <w:color w:val="333333"/>
                <w:spacing w:val="-27"/>
                <w:w w:val="115"/>
                <w:sz w:val="21"/>
              </w:rPr>
              <w:t xml:space="preserve"> </w:t>
            </w:r>
            <w:r>
              <w:rPr>
                <w:rFonts w:ascii="Cambria"/>
                <w:color w:val="333333"/>
                <w:w w:val="115"/>
                <w:sz w:val="21"/>
              </w:rPr>
              <w:t>key-value with a durability</w:t>
            </w:r>
            <w:r>
              <w:rPr>
                <w:rFonts w:ascii="Cambria"/>
                <w:color w:val="333333"/>
                <w:spacing w:val="-4"/>
                <w:w w:val="115"/>
                <w:sz w:val="21"/>
              </w:rPr>
              <w:t xml:space="preserve"> </w:t>
            </w:r>
            <w:r>
              <w:rPr>
                <w:rFonts w:ascii="Cambria"/>
                <w:color w:val="333333"/>
                <w:w w:val="115"/>
                <w:sz w:val="21"/>
              </w:rPr>
              <w:t>level.</w:t>
            </w:r>
          </w:p>
        </w:tc>
      </w:tr>
      <w:tr w:rsidR="00A720EB" w14:paraId="65F2B41B" w14:textId="77777777">
        <w:trPr>
          <w:trHeight w:val="627"/>
        </w:trPr>
        <w:tc>
          <w:tcPr>
            <w:tcW w:w="2494" w:type="dxa"/>
          </w:tcPr>
          <w:p w14:paraId="63391F05" w14:textId="77777777" w:rsidR="00A720EB" w:rsidRDefault="0030286B">
            <w:pPr>
              <w:pStyle w:val="TableParagraph"/>
              <w:spacing w:before="46" w:line="230" w:lineRule="auto"/>
              <w:ind w:right="94"/>
              <w:rPr>
                <w:sz w:val="21"/>
              </w:rPr>
            </w:pPr>
            <w:r>
              <w:rPr>
                <w:color w:val="B02045"/>
                <w:sz w:val="21"/>
              </w:rPr>
              <w:t xml:space="preserve">spring.couchbase.env.t </w:t>
            </w:r>
            <w:proofErr w:type="gramStart"/>
            <w:r>
              <w:rPr>
                <w:color w:val="B02045"/>
                <w:sz w:val="21"/>
              </w:rPr>
              <w:t>imeouts.management</w:t>
            </w:r>
            <w:proofErr w:type="gramEnd"/>
          </w:p>
        </w:tc>
        <w:tc>
          <w:tcPr>
            <w:tcW w:w="2494" w:type="dxa"/>
          </w:tcPr>
          <w:p w14:paraId="2167F888" w14:textId="77777777" w:rsidR="00A720EB" w:rsidRDefault="0030286B">
            <w:pPr>
              <w:pStyle w:val="TableParagraph"/>
              <w:rPr>
                <w:sz w:val="21"/>
              </w:rPr>
            </w:pPr>
            <w:r>
              <w:rPr>
                <w:color w:val="B02045"/>
                <w:sz w:val="21"/>
              </w:rPr>
              <w:t>75s</w:t>
            </w:r>
          </w:p>
        </w:tc>
        <w:tc>
          <w:tcPr>
            <w:tcW w:w="4988" w:type="dxa"/>
          </w:tcPr>
          <w:p w14:paraId="2CB63A98" w14:textId="77777777" w:rsidR="00A720EB" w:rsidRDefault="0030286B">
            <w:pPr>
              <w:pStyle w:val="TableParagraph"/>
              <w:spacing w:before="92"/>
              <w:rPr>
                <w:rFonts w:ascii="Cambria"/>
                <w:sz w:val="21"/>
              </w:rPr>
            </w:pPr>
            <w:r>
              <w:rPr>
                <w:rFonts w:ascii="Cambria"/>
                <w:color w:val="333333"/>
                <w:w w:val="110"/>
                <w:sz w:val="21"/>
              </w:rPr>
              <w:t>Timeout for the management operations.</w:t>
            </w:r>
          </w:p>
        </w:tc>
      </w:tr>
      <w:tr w:rsidR="00A720EB" w14:paraId="2FAF4E43" w14:textId="77777777">
        <w:trPr>
          <w:trHeight w:val="627"/>
        </w:trPr>
        <w:tc>
          <w:tcPr>
            <w:tcW w:w="2494" w:type="dxa"/>
          </w:tcPr>
          <w:p w14:paraId="2AF45650" w14:textId="77777777" w:rsidR="00A720EB" w:rsidRDefault="0030286B">
            <w:pPr>
              <w:pStyle w:val="TableParagraph"/>
              <w:spacing w:before="46" w:line="230" w:lineRule="auto"/>
              <w:ind w:right="94"/>
              <w:rPr>
                <w:sz w:val="21"/>
              </w:rPr>
            </w:pPr>
            <w:r>
              <w:rPr>
                <w:color w:val="B02045"/>
                <w:sz w:val="21"/>
              </w:rPr>
              <w:t xml:space="preserve">spring.couchbase.env.t </w:t>
            </w:r>
            <w:proofErr w:type="gramStart"/>
            <w:r>
              <w:rPr>
                <w:color w:val="B02045"/>
                <w:sz w:val="21"/>
              </w:rPr>
              <w:t>imeouts.query</w:t>
            </w:r>
            <w:proofErr w:type="gramEnd"/>
          </w:p>
        </w:tc>
        <w:tc>
          <w:tcPr>
            <w:tcW w:w="2494" w:type="dxa"/>
          </w:tcPr>
          <w:p w14:paraId="7AA0011E" w14:textId="77777777" w:rsidR="00A720EB" w:rsidRDefault="0030286B">
            <w:pPr>
              <w:pStyle w:val="TableParagraph"/>
              <w:spacing w:before="37"/>
              <w:rPr>
                <w:sz w:val="21"/>
              </w:rPr>
            </w:pPr>
            <w:r>
              <w:rPr>
                <w:color w:val="B02045"/>
                <w:sz w:val="21"/>
              </w:rPr>
              <w:t>75s</w:t>
            </w:r>
          </w:p>
        </w:tc>
        <w:tc>
          <w:tcPr>
            <w:tcW w:w="4988" w:type="dxa"/>
          </w:tcPr>
          <w:p w14:paraId="6757D5BB" w14:textId="77777777" w:rsidR="00A720EB" w:rsidRDefault="0030286B">
            <w:pPr>
              <w:pStyle w:val="TableParagraph"/>
              <w:spacing w:before="92"/>
              <w:rPr>
                <w:rFonts w:ascii="Cambria"/>
                <w:sz w:val="21"/>
              </w:rPr>
            </w:pPr>
            <w:r>
              <w:rPr>
                <w:rFonts w:ascii="Cambria"/>
                <w:color w:val="333333"/>
                <w:w w:val="110"/>
                <w:sz w:val="21"/>
              </w:rPr>
              <w:t>N1QL query operations timeout.</w:t>
            </w:r>
          </w:p>
        </w:tc>
      </w:tr>
      <w:tr w:rsidR="00A720EB" w14:paraId="465228A3" w14:textId="77777777">
        <w:trPr>
          <w:trHeight w:val="627"/>
        </w:trPr>
        <w:tc>
          <w:tcPr>
            <w:tcW w:w="2494" w:type="dxa"/>
          </w:tcPr>
          <w:p w14:paraId="735A2652" w14:textId="77777777" w:rsidR="00A720EB" w:rsidRDefault="0030286B">
            <w:pPr>
              <w:pStyle w:val="TableParagraph"/>
              <w:spacing w:before="46" w:line="230" w:lineRule="auto"/>
              <w:ind w:right="94"/>
              <w:rPr>
                <w:sz w:val="21"/>
              </w:rPr>
            </w:pPr>
            <w:r>
              <w:rPr>
                <w:color w:val="B02045"/>
                <w:sz w:val="21"/>
              </w:rPr>
              <w:t xml:space="preserve">spring.couchbase.env.t </w:t>
            </w:r>
            <w:proofErr w:type="gramStart"/>
            <w:r>
              <w:rPr>
                <w:color w:val="B02045"/>
                <w:sz w:val="21"/>
              </w:rPr>
              <w:t>imeouts.search</w:t>
            </w:r>
            <w:proofErr w:type="gramEnd"/>
          </w:p>
        </w:tc>
        <w:tc>
          <w:tcPr>
            <w:tcW w:w="2494" w:type="dxa"/>
          </w:tcPr>
          <w:p w14:paraId="647D0AA7" w14:textId="77777777" w:rsidR="00A720EB" w:rsidRDefault="0030286B">
            <w:pPr>
              <w:pStyle w:val="TableParagraph"/>
              <w:rPr>
                <w:sz w:val="21"/>
              </w:rPr>
            </w:pPr>
            <w:r>
              <w:rPr>
                <w:color w:val="B02045"/>
                <w:sz w:val="21"/>
              </w:rPr>
              <w:t>75s</w:t>
            </w:r>
          </w:p>
        </w:tc>
        <w:tc>
          <w:tcPr>
            <w:tcW w:w="4988" w:type="dxa"/>
          </w:tcPr>
          <w:p w14:paraId="2C0E940B" w14:textId="77777777" w:rsidR="00A720EB" w:rsidRDefault="0030286B">
            <w:pPr>
              <w:pStyle w:val="TableParagraph"/>
              <w:spacing w:before="92"/>
              <w:rPr>
                <w:rFonts w:ascii="Cambria"/>
                <w:sz w:val="21"/>
              </w:rPr>
            </w:pPr>
            <w:r>
              <w:rPr>
                <w:rFonts w:ascii="Cambria"/>
                <w:color w:val="333333"/>
                <w:w w:val="110"/>
                <w:sz w:val="21"/>
              </w:rPr>
              <w:t>Timeout for the search service.</w:t>
            </w:r>
          </w:p>
        </w:tc>
      </w:tr>
      <w:tr w:rsidR="00A720EB" w14:paraId="32776777" w14:textId="77777777">
        <w:trPr>
          <w:trHeight w:val="627"/>
        </w:trPr>
        <w:tc>
          <w:tcPr>
            <w:tcW w:w="2494" w:type="dxa"/>
          </w:tcPr>
          <w:p w14:paraId="58EDC95C" w14:textId="77777777" w:rsidR="00A720EB" w:rsidRDefault="0030286B">
            <w:pPr>
              <w:pStyle w:val="TableParagraph"/>
              <w:spacing w:before="46" w:line="230" w:lineRule="auto"/>
              <w:ind w:right="94"/>
              <w:rPr>
                <w:sz w:val="21"/>
              </w:rPr>
            </w:pPr>
            <w:r>
              <w:rPr>
                <w:color w:val="B02045"/>
                <w:sz w:val="21"/>
              </w:rPr>
              <w:t xml:space="preserve">spring.couchbase.env.t </w:t>
            </w:r>
            <w:proofErr w:type="gramStart"/>
            <w:r>
              <w:rPr>
                <w:color w:val="B02045"/>
                <w:sz w:val="21"/>
              </w:rPr>
              <w:t>imeouts.view</w:t>
            </w:r>
            <w:proofErr w:type="gramEnd"/>
          </w:p>
        </w:tc>
        <w:tc>
          <w:tcPr>
            <w:tcW w:w="2494" w:type="dxa"/>
          </w:tcPr>
          <w:p w14:paraId="3552A796" w14:textId="77777777" w:rsidR="00A720EB" w:rsidRDefault="0030286B">
            <w:pPr>
              <w:pStyle w:val="TableParagraph"/>
              <w:spacing w:before="37"/>
              <w:rPr>
                <w:sz w:val="21"/>
              </w:rPr>
            </w:pPr>
            <w:r>
              <w:rPr>
                <w:color w:val="B02045"/>
                <w:sz w:val="21"/>
              </w:rPr>
              <w:t>75s</w:t>
            </w:r>
          </w:p>
        </w:tc>
        <w:tc>
          <w:tcPr>
            <w:tcW w:w="4988" w:type="dxa"/>
          </w:tcPr>
          <w:p w14:paraId="3EF4052D" w14:textId="77777777" w:rsidR="00A720EB" w:rsidRDefault="0030286B">
            <w:pPr>
              <w:pStyle w:val="TableParagraph"/>
              <w:spacing w:before="92"/>
              <w:rPr>
                <w:rFonts w:ascii="Cambria"/>
                <w:sz w:val="21"/>
              </w:rPr>
            </w:pPr>
            <w:r>
              <w:rPr>
                <w:rFonts w:ascii="Cambria"/>
                <w:color w:val="333333"/>
                <w:w w:val="110"/>
                <w:sz w:val="21"/>
              </w:rPr>
              <w:t>Regular and geospatial view operations timeout.</w:t>
            </w:r>
          </w:p>
        </w:tc>
      </w:tr>
      <w:tr w:rsidR="00A720EB" w14:paraId="04B02567" w14:textId="77777777">
        <w:trPr>
          <w:trHeight w:val="627"/>
        </w:trPr>
        <w:tc>
          <w:tcPr>
            <w:tcW w:w="2494" w:type="dxa"/>
          </w:tcPr>
          <w:p w14:paraId="29C90B16" w14:textId="77777777" w:rsidR="00A720EB" w:rsidRDefault="0030286B">
            <w:pPr>
              <w:pStyle w:val="TableParagraph"/>
              <w:spacing w:before="46" w:line="230" w:lineRule="auto"/>
              <w:ind w:right="94"/>
              <w:rPr>
                <w:sz w:val="21"/>
              </w:rPr>
            </w:pPr>
            <w:proofErr w:type="gramStart"/>
            <w:r>
              <w:rPr>
                <w:color w:val="B02045"/>
                <w:sz w:val="21"/>
              </w:rPr>
              <w:t>spring.couchbase</w:t>
            </w:r>
            <w:proofErr w:type="gramEnd"/>
            <w:r>
              <w:rPr>
                <w:color w:val="B02045"/>
                <w:sz w:val="21"/>
              </w:rPr>
              <w:t>.passw ord</w:t>
            </w:r>
          </w:p>
        </w:tc>
        <w:tc>
          <w:tcPr>
            <w:tcW w:w="2494" w:type="dxa"/>
          </w:tcPr>
          <w:p w14:paraId="20BB1014" w14:textId="77777777" w:rsidR="00A720EB" w:rsidRDefault="00A720EB">
            <w:pPr>
              <w:pStyle w:val="TableParagraph"/>
              <w:spacing w:before="0"/>
              <w:ind w:left="0"/>
              <w:rPr>
                <w:rFonts w:ascii="Times New Roman"/>
                <w:sz w:val="20"/>
              </w:rPr>
            </w:pPr>
          </w:p>
        </w:tc>
        <w:tc>
          <w:tcPr>
            <w:tcW w:w="4988" w:type="dxa"/>
          </w:tcPr>
          <w:p w14:paraId="436494E0" w14:textId="77777777" w:rsidR="00A720EB" w:rsidRDefault="0030286B">
            <w:pPr>
              <w:pStyle w:val="TableParagraph"/>
              <w:spacing w:before="92"/>
              <w:rPr>
                <w:rFonts w:ascii="Cambria"/>
                <w:sz w:val="21"/>
              </w:rPr>
            </w:pPr>
            <w:r>
              <w:rPr>
                <w:rFonts w:ascii="Cambria"/>
                <w:color w:val="333333"/>
                <w:w w:val="110"/>
                <w:sz w:val="21"/>
              </w:rPr>
              <w:t>Cluster password.</w:t>
            </w:r>
          </w:p>
        </w:tc>
      </w:tr>
      <w:tr w:rsidR="00A720EB" w14:paraId="1D418615" w14:textId="77777777">
        <w:trPr>
          <w:trHeight w:val="627"/>
        </w:trPr>
        <w:tc>
          <w:tcPr>
            <w:tcW w:w="2494" w:type="dxa"/>
          </w:tcPr>
          <w:p w14:paraId="74979397" w14:textId="77777777" w:rsidR="00A720EB" w:rsidRDefault="0030286B">
            <w:pPr>
              <w:pStyle w:val="TableParagraph"/>
              <w:spacing w:before="46" w:line="230" w:lineRule="auto"/>
              <w:ind w:right="94"/>
              <w:rPr>
                <w:sz w:val="21"/>
              </w:rPr>
            </w:pPr>
            <w:proofErr w:type="gramStart"/>
            <w:r>
              <w:rPr>
                <w:color w:val="B02045"/>
                <w:sz w:val="21"/>
              </w:rPr>
              <w:t>spring.couchbase</w:t>
            </w:r>
            <w:proofErr w:type="gramEnd"/>
            <w:r>
              <w:rPr>
                <w:color w:val="B02045"/>
                <w:sz w:val="21"/>
              </w:rPr>
              <w:t>.usern ame</w:t>
            </w:r>
          </w:p>
        </w:tc>
        <w:tc>
          <w:tcPr>
            <w:tcW w:w="2494" w:type="dxa"/>
          </w:tcPr>
          <w:p w14:paraId="76060A61" w14:textId="77777777" w:rsidR="00A720EB" w:rsidRDefault="00A720EB">
            <w:pPr>
              <w:pStyle w:val="TableParagraph"/>
              <w:spacing w:before="0"/>
              <w:ind w:left="0"/>
              <w:rPr>
                <w:rFonts w:ascii="Times New Roman"/>
                <w:sz w:val="20"/>
              </w:rPr>
            </w:pPr>
          </w:p>
        </w:tc>
        <w:tc>
          <w:tcPr>
            <w:tcW w:w="4988" w:type="dxa"/>
          </w:tcPr>
          <w:p w14:paraId="60C91543" w14:textId="77777777" w:rsidR="00A720EB" w:rsidRDefault="0030286B">
            <w:pPr>
              <w:pStyle w:val="TableParagraph"/>
              <w:spacing w:before="92"/>
              <w:rPr>
                <w:rFonts w:ascii="Cambria"/>
                <w:sz w:val="21"/>
              </w:rPr>
            </w:pPr>
            <w:r>
              <w:rPr>
                <w:rFonts w:ascii="Cambria"/>
                <w:color w:val="333333"/>
                <w:w w:val="110"/>
                <w:sz w:val="21"/>
              </w:rPr>
              <w:t>Cluster username.</w:t>
            </w:r>
          </w:p>
        </w:tc>
      </w:tr>
      <w:tr w:rsidR="00A720EB" w14:paraId="3BB4838D" w14:textId="77777777">
        <w:trPr>
          <w:trHeight w:val="741"/>
        </w:trPr>
        <w:tc>
          <w:tcPr>
            <w:tcW w:w="2494" w:type="dxa"/>
          </w:tcPr>
          <w:p w14:paraId="75C185D4" w14:textId="77777777" w:rsidR="00A720EB" w:rsidRDefault="0030286B">
            <w:pPr>
              <w:pStyle w:val="TableParagraph"/>
              <w:spacing w:before="46" w:line="230" w:lineRule="auto"/>
              <w:ind w:right="94"/>
              <w:rPr>
                <w:sz w:val="21"/>
              </w:rPr>
            </w:pPr>
            <w:proofErr w:type="gramStart"/>
            <w:r>
              <w:rPr>
                <w:color w:val="B02045"/>
                <w:sz w:val="21"/>
              </w:rPr>
              <w:t>spring.dao.exceptiontr</w:t>
            </w:r>
            <w:proofErr w:type="gramEnd"/>
            <w:r>
              <w:rPr>
                <w:color w:val="B02045"/>
                <w:sz w:val="21"/>
              </w:rPr>
              <w:t xml:space="preserve"> anslation.enabled</w:t>
            </w:r>
          </w:p>
        </w:tc>
        <w:tc>
          <w:tcPr>
            <w:tcW w:w="2494" w:type="dxa"/>
          </w:tcPr>
          <w:p w14:paraId="1C380AAE" w14:textId="77777777" w:rsidR="00A720EB" w:rsidRDefault="0030286B">
            <w:pPr>
              <w:pStyle w:val="TableParagraph"/>
              <w:rPr>
                <w:sz w:val="21"/>
              </w:rPr>
            </w:pPr>
            <w:r>
              <w:rPr>
                <w:color w:val="B02045"/>
                <w:sz w:val="21"/>
              </w:rPr>
              <w:t>true</w:t>
            </w:r>
          </w:p>
        </w:tc>
        <w:tc>
          <w:tcPr>
            <w:tcW w:w="4988" w:type="dxa"/>
          </w:tcPr>
          <w:p w14:paraId="2CFE8802" w14:textId="77777777" w:rsidR="00A720EB" w:rsidRDefault="0030286B">
            <w:pPr>
              <w:pStyle w:val="TableParagraph"/>
              <w:spacing w:before="28" w:line="310" w:lineRule="atLeast"/>
              <w:rPr>
                <w:rFonts w:ascii="Cambria"/>
                <w:sz w:val="21"/>
              </w:rPr>
            </w:pPr>
            <w:r>
              <w:rPr>
                <w:rFonts w:ascii="Cambria"/>
                <w:color w:val="333333"/>
                <w:w w:val="110"/>
                <w:sz w:val="21"/>
              </w:rPr>
              <w:t>Whether to enable the PersistenceExceptionTranslationPostProcessor.</w:t>
            </w:r>
          </w:p>
        </w:tc>
      </w:tr>
      <w:tr w:rsidR="00A720EB" w14:paraId="685D5ED5" w14:textId="77777777">
        <w:trPr>
          <w:trHeight w:val="741"/>
        </w:trPr>
        <w:tc>
          <w:tcPr>
            <w:tcW w:w="2494" w:type="dxa"/>
          </w:tcPr>
          <w:p w14:paraId="1727955D"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data.cassandra</w:t>
            </w:r>
            <w:proofErr w:type="gramEnd"/>
            <w:r>
              <w:rPr>
                <w:color w:val="B02045"/>
                <w:sz w:val="21"/>
              </w:rPr>
              <w:t>. compression</w:t>
            </w:r>
          </w:p>
        </w:tc>
        <w:tc>
          <w:tcPr>
            <w:tcW w:w="2494" w:type="dxa"/>
          </w:tcPr>
          <w:p w14:paraId="6499BBCB" w14:textId="77777777" w:rsidR="00A720EB" w:rsidRDefault="0030286B">
            <w:pPr>
              <w:pStyle w:val="TableParagraph"/>
              <w:rPr>
                <w:sz w:val="21"/>
              </w:rPr>
            </w:pPr>
            <w:r>
              <w:rPr>
                <w:color w:val="B02045"/>
                <w:sz w:val="21"/>
              </w:rPr>
              <w:t>none</w:t>
            </w:r>
          </w:p>
        </w:tc>
        <w:tc>
          <w:tcPr>
            <w:tcW w:w="4988" w:type="dxa"/>
          </w:tcPr>
          <w:p w14:paraId="78C63E9F" w14:textId="77777777" w:rsidR="00A720EB" w:rsidRDefault="0030286B">
            <w:pPr>
              <w:pStyle w:val="TableParagraph"/>
              <w:spacing w:before="28" w:line="310" w:lineRule="atLeast"/>
              <w:rPr>
                <w:rFonts w:ascii="Cambria"/>
                <w:sz w:val="21"/>
              </w:rPr>
            </w:pPr>
            <w:r>
              <w:rPr>
                <w:rFonts w:ascii="Cambria"/>
                <w:color w:val="333333"/>
                <w:w w:val="110"/>
                <w:sz w:val="21"/>
              </w:rPr>
              <w:t>Compression supported by the Cassandra binary protocol.</w:t>
            </w:r>
          </w:p>
        </w:tc>
      </w:tr>
      <w:tr w:rsidR="00A720EB" w14:paraId="74F3D155" w14:textId="77777777">
        <w:trPr>
          <w:trHeight w:val="886"/>
        </w:trPr>
        <w:tc>
          <w:tcPr>
            <w:tcW w:w="2494" w:type="dxa"/>
          </w:tcPr>
          <w:p w14:paraId="610C01FF"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connection.connect</w:t>
            </w:r>
            <w:proofErr w:type="gramEnd"/>
            <w:r>
              <w:rPr>
                <w:color w:val="B02045"/>
                <w:sz w:val="21"/>
              </w:rPr>
              <w:t>- timeout</w:t>
            </w:r>
          </w:p>
        </w:tc>
        <w:tc>
          <w:tcPr>
            <w:tcW w:w="2494" w:type="dxa"/>
          </w:tcPr>
          <w:p w14:paraId="24B56DB4" w14:textId="77777777" w:rsidR="00A720EB" w:rsidRDefault="0030286B">
            <w:pPr>
              <w:pStyle w:val="TableParagraph"/>
              <w:rPr>
                <w:sz w:val="21"/>
              </w:rPr>
            </w:pPr>
            <w:r>
              <w:rPr>
                <w:color w:val="B02045"/>
                <w:sz w:val="21"/>
              </w:rPr>
              <w:t>5s</w:t>
            </w:r>
          </w:p>
        </w:tc>
        <w:tc>
          <w:tcPr>
            <w:tcW w:w="4988" w:type="dxa"/>
          </w:tcPr>
          <w:p w14:paraId="5F3E529A" w14:textId="77777777" w:rsidR="00A720EB" w:rsidRDefault="0030286B">
            <w:pPr>
              <w:pStyle w:val="TableParagraph"/>
              <w:spacing w:before="92" w:line="307" w:lineRule="auto"/>
              <w:rPr>
                <w:rFonts w:ascii="Cambria"/>
                <w:sz w:val="21"/>
              </w:rPr>
            </w:pPr>
            <w:r>
              <w:rPr>
                <w:rFonts w:ascii="Cambria"/>
                <w:color w:val="333333"/>
                <w:w w:val="110"/>
                <w:sz w:val="21"/>
              </w:rPr>
              <w:t>Timeout to use when establishing driver connections.</w:t>
            </w:r>
          </w:p>
        </w:tc>
      </w:tr>
      <w:tr w:rsidR="00A720EB" w14:paraId="22648384" w14:textId="77777777">
        <w:trPr>
          <w:trHeight w:val="1056"/>
        </w:trPr>
        <w:tc>
          <w:tcPr>
            <w:tcW w:w="2494" w:type="dxa"/>
          </w:tcPr>
          <w:p w14:paraId="48B29F97" w14:textId="77777777" w:rsidR="00A720EB" w:rsidRDefault="0030286B">
            <w:pPr>
              <w:pStyle w:val="TableParagraph"/>
              <w:spacing w:before="46" w:line="230" w:lineRule="auto"/>
              <w:ind w:right="113"/>
              <w:jc w:val="both"/>
              <w:rPr>
                <w:sz w:val="21"/>
              </w:rPr>
            </w:pPr>
            <w:r>
              <w:rPr>
                <w:color w:val="B02045"/>
                <w:sz w:val="21"/>
              </w:rPr>
              <w:lastRenderedPageBreak/>
              <w:t>spring.</w:t>
            </w:r>
            <w:proofErr w:type="gramStart"/>
            <w:r>
              <w:rPr>
                <w:color w:val="B02045"/>
                <w:sz w:val="21"/>
              </w:rPr>
              <w:t>data.cassandra</w:t>
            </w:r>
            <w:proofErr w:type="gramEnd"/>
            <w:r>
              <w:rPr>
                <w:color w:val="B02045"/>
                <w:sz w:val="21"/>
              </w:rPr>
              <w:t xml:space="preserve">. </w:t>
            </w:r>
            <w:proofErr w:type="gramStart"/>
            <w:r>
              <w:rPr>
                <w:color w:val="B02045"/>
                <w:sz w:val="21"/>
              </w:rPr>
              <w:t>connection.init</w:t>
            </w:r>
            <w:proofErr w:type="gramEnd"/>
            <w:r>
              <w:rPr>
                <w:color w:val="B02045"/>
                <w:sz w:val="21"/>
              </w:rPr>
              <w:t>-query- timeout</w:t>
            </w:r>
          </w:p>
        </w:tc>
        <w:tc>
          <w:tcPr>
            <w:tcW w:w="2494" w:type="dxa"/>
          </w:tcPr>
          <w:p w14:paraId="07A14B7C" w14:textId="77777777" w:rsidR="00A720EB" w:rsidRDefault="0030286B">
            <w:pPr>
              <w:pStyle w:val="TableParagraph"/>
              <w:rPr>
                <w:sz w:val="21"/>
              </w:rPr>
            </w:pPr>
            <w:r>
              <w:rPr>
                <w:color w:val="B02045"/>
                <w:sz w:val="21"/>
              </w:rPr>
              <w:t>500ms</w:t>
            </w:r>
          </w:p>
        </w:tc>
        <w:tc>
          <w:tcPr>
            <w:tcW w:w="4988" w:type="dxa"/>
          </w:tcPr>
          <w:p w14:paraId="51D98F8A" w14:textId="77777777" w:rsidR="00A720EB" w:rsidRDefault="0030286B">
            <w:pPr>
              <w:pStyle w:val="TableParagraph"/>
              <w:spacing w:before="28" w:line="310" w:lineRule="atLeast"/>
              <w:rPr>
                <w:rFonts w:ascii="Cambria"/>
                <w:sz w:val="21"/>
              </w:rPr>
            </w:pPr>
            <w:r>
              <w:rPr>
                <w:rFonts w:ascii="Cambria"/>
                <w:color w:val="333333"/>
                <w:w w:val="110"/>
                <w:sz w:val="21"/>
              </w:rPr>
              <w:t>Timeout to use for internal queries that run as part of the initialization process, just after a connection is opened.</w:t>
            </w:r>
          </w:p>
        </w:tc>
      </w:tr>
    </w:tbl>
    <w:p w14:paraId="05162564" w14:textId="77777777" w:rsidR="00A720EB" w:rsidRDefault="00A720EB">
      <w:pPr>
        <w:spacing w:line="310" w:lineRule="atLeast"/>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A7874DD" w14:textId="77777777">
        <w:trPr>
          <w:trHeight w:val="415"/>
        </w:trPr>
        <w:tc>
          <w:tcPr>
            <w:tcW w:w="2494" w:type="dxa"/>
            <w:tcBorders>
              <w:bottom w:val="single" w:sz="12" w:space="0" w:color="DDDDDD"/>
            </w:tcBorders>
          </w:tcPr>
          <w:p w14:paraId="3DA516EA"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16CE19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916CB0C"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72235A2" w14:textId="77777777">
        <w:trPr>
          <w:trHeight w:val="731"/>
        </w:trPr>
        <w:tc>
          <w:tcPr>
            <w:tcW w:w="2494" w:type="dxa"/>
            <w:tcBorders>
              <w:top w:val="single" w:sz="12" w:space="0" w:color="DDDDDD"/>
            </w:tcBorders>
          </w:tcPr>
          <w:p w14:paraId="4A27F7A2" w14:textId="77777777" w:rsidR="00A720EB" w:rsidRDefault="0030286B">
            <w:pPr>
              <w:pStyle w:val="TableParagraph"/>
              <w:spacing w:before="36" w:line="230" w:lineRule="auto"/>
              <w:ind w:right="113"/>
              <w:rPr>
                <w:sz w:val="21"/>
              </w:rPr>
            </w:pPr>
            <w:r>
              <w:rPr>
                <w:color w:val="B02045"/>
                <w:sz w:val="21"/>
              </w:rPr>
              <w:t>spring.</w:t>
            </w:r>
            <w:proofErr w:type="gramStart"/>
            <w:r>
              <w:rPr>
                <w:color w:val="B02045"/>
                <w:sz w:val="21"/>
              </w:rPr>
              <w:t>data.cassandra</w:t>
            </w:r>
            <w:proofErr w:type="gramEnd"/>
            <w:r>
              <w:rPr>
                <w:color w:val="B02045"/>
                <w:sz w:val="21"/>
              </w:rPr>
              <w:t>. contact-points</w:t>
            </w:r>
          </w:p>
        </w:tc>
        <w:tc>
          <w:tcPr>
            <w:tcW w:w="2494" w:type="dxa"/>
            <w:tcBorders>
              <w:top w:val="single" w:sz="12" w:space="0" w:color="DDDDDD"/>
            </w:tcBorders>
          </w:tcPr>
          <w:p w14:paraId="7A53E846" w14:textId="77777777" w:rsidR="00A720EB" w:rsidRDefault="0030286B">
            <w:pPr>
              <w:pStyle w:val="TableParagraph"/>
              <w:spacing w:before="27"/>
              <w:rPr>
                <w:sz w:val="21"/>
              </w:rPr>
            </w:pPr>
            <w:r>
              <w:rPr>
                <w:color w:val="B02045"/>
                <w:sz w:val="21"/>
              </w:rPr>
              <w:t>[127.0.0.1:9042]</w:t>
            </w:r>
          </w:p>
        </w:tc>
        <w:tc>
          <w:tcPr>
            <w:tcW w:w="4988" w:type="dxa"/>
            <w:tcBorders>
              <w:top w:val="single" w:sz="12" w:space="0" w:color="DDDDDD"/>
            </w:tcBorders>
          </w:tcPr>
          <w:p w14:paraId="0002D140" w14:textId="77777777" w:rsidR="00A720EB" w:rsidRDefault="0030286B">
            <w:pPr>
              <w:pStyle w:val="TableParagraph"/>
              <w:spacing w:before="18" w:line="310" w:lineRule="atLeast"/>
              <w:ind w:right="44"/>
              <w:rPr>
                <w:rFonts w:ascii="Cambria"/>
                <w:sz w:val="21"/>
              </w:rPr>
            </w:pPr>
            <w:r>
              <w:rPr>
                <w:rFonts w:ascii="Cambria"/>
                <w:color w:val="333333"/>
                <w:w w:val="110"/>
                <w:sz w:val="21"/>
              </w:rPr>
              <w:t>Cluster node addresses in the form '</w:t>
            </w:r>
            <w:proofErr w:type="gramStart"/>
            <w:r>
              <w:rPr>
                <w:rFonts w:ascii="Cambria"/>
                <w:color w:val="333333"/>
                <w:w w:val="110"/>
                <w:sz w:val="21"/>
              </w:rPr>
              <w:t>host:port</w:t>
            </w:r>
            <w:proofErr w:type="gramEnd"/>
            <w:r>
              <w:rPr>
                <w:rFonts w:ascii="Cambria"/>
                <w:color w:val="333333"/>
                <w:w w:val="110"/>
                <w:sz w:val="21"/>
              </w:rPr>
              <w:t>', or a simple 'host' to use the configured port.</w:t>
            </w:r>
          </w:p>
        </w:tc>
      </w:tr>
      <w:tr w:rsidR="00A720EB" w14:paraId="49DFD74C" w14:textId="77777777">
        <w:trPr>
          <w:trHeight w:val="627"/>
        </w:trPr>
        <w:tc>
          <w:tcPr>
            <w:tcW w:w="2494" w:type="dxa"/>
          </w:tcPr>
          <w:p w14:paraId="46702FDD"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data.cassandra</w:t>
            </w:r>
            <w:proofErr w:type="gramEnd"/>
            <w:r>
              <w:rPr>
                <w:color w:val="B02045"/>
                <w:sz w:val="21"/>
              </w:rPr>
              <w:t>. keyspace-name</w:t>
            </w:r>
          </w:p>
        </w:tc>
        <w:tc>
          <w:tcPr>
            <w:tcW w:w="2494" w:type="dxa"/>
          </w:tcPr>
          <w:p w14:paraId="58E918CF" w14:textId="77777777" w:rsidR="00A720EB" w:rsidRDefault="00A720EB">
            <w:pPr>
              <w:pStyle w:val="TableParagraph"/>
              <w:spacing w:before="0"/>
              <w:ind w:left="0"/>
              <w:rPr>
                <w:rFonts w:ascii="Times New Roman"/>
                <w:sz w:val="20"/>
              </w:rPr>
            </w:pPr>
          </w:p>
        </w:tc>
        <w:tc>
          <w:tcPr>
            <w:tcW w:w="4988" w:type="dxa"/>
          </w:tcPr>
          <w:p w14:paraId="016990AC" w14:textId="77777777" w:rsidR="00A720EB" w:rsidRDefault="0030286B">
            <w:pPr>
              <w:pStyle w:val="TableParagraph"/>
              <w:spacing w:before="92"/>
              <w:rPr>
                <w:rFonts w:ascii="Cambria"/>
                <w:sz w:val="21"/>
              </w:rPr>
            </w:pPr>
            <w:r>
              <w:rPr>
                <w:rFonts w:ascii="Cambria"/>
                <w:color w:val="333333"/>
                <w:w w:val="110"/>
                <w:sz w:val="21"/>
              </w:rPr>
              <w:t>Keyspace name to use.</w:t>
            </w:r>
          </w:p>
        </w:tc>
      </w:tr>
      <w:tr w:rsidR="00A720EB" w14:paraId="47F5337C" w14:textId="77777777">
        <w:trPr>
          <w:trHeight w:val="741"/>
        </w:trPr>
        <w:tc>
          <w:tcPr>
            <w:tcW w:w="2494" w:type="dxa"/>
          </w:tcPr>
          <w:p w14:paraId="2B535D06"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data.cassandra</w:t>
            </w:r>
            <w:proofErr w:type="gramEnd"/>
            <w:r>
              <w:rPr>
                <w:color w:val="B02045"/>
                <w:sz w:val="21"/>
              </w:rPr>
              <w:t>. local-datacenter</w:t>
            </w:r>
          </w:p>
        </w:tc>
        <w:tc>
          <w:tcPr>
            <w:tcW w:w="2494" w:type="dxa"/>
          </w:tcPr>
          <w:p w14:paraId="38246906" w14:textId="77777777" w:rsidR="00A720EB" w:rsidRDefault="00A720EB">
            <w:pPr>
              <w:pStyle w:val="TableParagraph"/>
              <w:spacing w:before="0"/>
              <w:ind w:left="0"/>
              <w:rPr>
                <w:rFonts w:ascii="Times New Roman"/>
                <w:sz w:val="20"/>
              </w:rPr>
            </w:pPr>
          </w:p>
        </w:tc>
        <w:tc>
          <w:tcPr>
            <w:tcW w:w="4988" w:type="dxa"/>
          </w:tcPr>
          <w:p w14:paraId="67DDEDB5" w14:textId="77777777" w:rsidR="00A720EB" w:rsidRDefault="0030286B">
            <w:pPr>
              <w:pStyle w:val="TableParagraph"/>
              <w:spacing w:before="28" w:line="310" w:lineRule="atLeast"/>
              <w:rPr>
                <w:rFonts w:ascii="Cambria"/>
                <w:sz w:val="21"/>
              </w:rPr>
            </w:pPr>
            <w:r>
              <w:rPr>
                <w:rFonts w:ascii="Cambria"/>
                <w:color w:val="333333"/>
                <w:w w:val="110"/>
                <w:sz w:val="21"/>
              </w:rPr>
              <w:t>Datacenter that is considered "local". Contact points should be from this datacenter.</w:t>
            </w:r>
          </w:p>
        </w:tc>
      </w:tr>
      <w:tr w:rsidR="00A720EB" w14:paraId="36B4F7C8" w14:textId="77777777">
        <w:trPr>
          <w:trHeight w:val="627"/>
        </w:trPr>
        <w:tc>
          <w:tcPr>
            <w:tcW w:w="2494" w:type="dxa"/>
          </w:tcPr>
          <w:p w14:paraId="24C50A1E"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data.cassandra</w:t>
            </w:r>
            <w:proofErr w:type="gramEnd"/>
            <w:r>
              <w:rPr>
                <w:color w:val="B02045"/>
                <w:sz w:val="21"/>
              </w:rPr>
              <w:t>. password</w:t>
            </w:r>
          </w:p>
        </w:tc>
        <w:tc>
          <w:tcPr>
            <w:tcW w:w="2494" w:type="dxa"/>
          </w:tcPr>
          <w:p w14:paraId="3621F438" w14:textId="77777777" w:rsidR="00A720EB" w:rsidRDefault="00A720EB">
            <w:pPr>
              <w:pStyle w:val="TableParagraph"/>
              <w:spacing w:before="0"/>
              <w:ind w:left="0"/>
              <w:rPr>
                <w:rFonts w:ascii="Times New Roman"/>
                <w:sz w:val="20"/>
              </w:rPr>
            </w:pPr>
          </w:p>
        </w:tc>
        <w:tc>
          <w:tcPr>
            <w:tcW w:w="4988" w:type="dxa"/>
          </w:tcPr>
          <w:p w14:paraId="4FA2E195" w14:textId="77777777" w:rsidR="00A720EB" w:rsidRDefault="0030286B">
            <w:pPr>
              <w:pStyle w:val="TableParagraph"/>
              <w:spacing w:before="92"/>
              <w:rPr>
                <w:rFonts w:ascii="Cambria"/>
                <w:sz w:val="21"/>
              </w:rPr>
            </w:pPr>
            <w:r>
              <w:rPr>
                <w:rFonts w:ascii="Cambria"/>
                <w:color w:val="333333"/>
                <w:w w:val="110"/>
                <w:sz w:val="21"/>
              </w:rPr>
              <w:t>Login password of the server.</w:t>
            </w:r>
          </w:p>
        </w:tc>
      </w:tr>
      <w:tr w:rsidR="00A720EB" w14:paraId="1D01C744" w14:textId="77777777">
        <w:trPr>
          <w:trHeight w:val="886"/>
        </w:trPr>
        <w:tc>
          <w:tcPr>
            <w:tcW w:w="2494" w:type="dxa"/>
          </w:tcPr>
          <w:p w14:paraId="579287A6"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pool.heartbeat</w:t>
            </w:r>
            <w:proofErr w:type="gramEnd"/>
            <w:r>
              <w:rPr>
                <w:color w:val="B02045"/>
                <w:sz w:val="21"/>
              </w:rPr>
              <w:t>- interval</w:t>
            </w:r>
          </w:p>
        </w:tc>
        <w:tc>
          <w:tcPr>
            <w:tcW w:w="2494" w:type="dxa"/>
          </w:tcPr>
          <w:p w14:paraId="2B6ADCE6" w14:textId="77777777" w:rsidR="00A720EB" w:rsidRDefault="0030286B">
            <w:pPr>
              <w:pStyle w:val="TableParagraph"/>
              <w:rPr>
                <w:sz w:val="21"/>
              </w:rPr>
            </w:pPr>
            <w:r>
              <w:rPr>
                <w:color w:val="B02045"/>
                <w:sz w:val="21"/>
              </w:rPr>
              <w:t>30s</w:t>
            </w:r>
          </w:p>
        </w:tc>
        <w:tc>
          <w:tcPr>
            <w:tcW w:w="4988" w:type="dxa"/>
          </w:tcPr>
          <w:p w14:paraId="3DA9251E" w14:textId="77777777" w:rsidR="00A720EB" w:rsidRDefault="0030286B">
            <w:pPr>
              <w:pStyle w:val="TableParagraph"/>
              <w:spacing w:before="92" w:line="307" w:lineRule="auto"/>
              <w:rPr>
                <w:rFonts w:ascii="Cambria"/>
                <w:sz w:val="21"/>
              </w:rPr>
            </w:pPr>
            <w:r>
              <w:rPr>
                <w:rFonts w:ascii="Cambria"/>
                <w:color w:val="333333"/>
                <w:w w:val="110"/>
                <w:sz w:val="21"/>
              </w:rPr>
              <w:t>Heartbeat interval after which a message is sent on an idle connection to make sure it's still alive.</w:t>
            </w:r>
          </w:p>
        </w:tc>
      </w:tr>
      <w:tr w:rsidR="00A720EB" w14:paraId="7A5949E5" w14:textId="77777777">
        <w:trPr>
          <w:trHeight w:val="741"/>
        </w:trPr>
        <w:tc>
          <w:tcPr>
            <w:tcW w:w="2494" w:type="dxa"/>
          </w:tcPr>
          <w:p w14:paraId="68464D99"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pool.idle</w:t>
            </w:r>
            <w:proofErr w:type="gramEnd"/>
            <w:r>
              <w:rPr>
                <w:color w:val="B02045"/>
                <w:sz w:val="21"/>
              </w:rPr>
              <w:t>-timeout</w:t>
            </w:r>
          </w:p>
        </w:tc>
        <w:tc>
          <w:tcPr>
            <w:tcW w:w="2494" w:type="dxa"/>
          </w:tcPr>
          <w:p w14:paraId="6C1BD4E0" w14:textId="77777777" w:rsidR="00A720EB" w:rsidRDefault="0030286B">
            <w:pPr>
              <w:pStyle w:val="TableParagraph"/>
              <w:rPr>
                <w:sz w:val="21"/>
              </w:rPr>
            </w:pPr>
            <w:r>
              <w:rPr>
                <w:color w:val="B02045"/>
                <w:sz w:val="21"/>
              </w:rPr>
              <w:t>120s</w:t>
            </w:r>
          </w:p>
        </w:tc>
        <w:tc>
          <w:tcPr>
            <w:tcW w:w="4988" w:type="dxa"/>
          </w:tcPr>
          <w:p w14:paraId="02C27D9B" w14:textId="77777777" w:rsidR="00A720EB" w:rsidRDefault="0030286B">
            <w:pPr>
              <w:pStyle w:val="TableParagraph"/>
              <w:spacing w:before="28" w:line="310" w:lineRule="atLeast"/>
              <w:ind w:right="372"/>
              <w:rPr>
                <w:rFonts w:ascii="Cambria"/>
                <w:sz w:val="21"/>
              </w:rPr>
            </w:pPr>
            <w:r>
              <w:rPr>
                <w:rFonts w:ascii="Cambria"/>
                <w:color w:val="333333"/>
                <w:w w:val="110"/>
                <w:sz w:val="21"/>
              </w:rPr>
              <w:t>Idle timeout before an idle connection is removed.</w:t>
            </w:r>
          </w:p>
        </w:tc>
      </w:tr>
      <w:tr w:rsidR="00A720EB" w14:paraId="4375BAA7" w14:textId="77777777">
        <w:trPr>
          <w:trHeight w:val="741"/>
        </w:trPr>
        <w:tc>
          <w:tcPr>
            <w:tcW w:w="2494" w:type="dxa"/>
          </w:tcPr>
          <w:p w14:paraId="4E74C4F0"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data.cassandra</w:t>
            </w:r>
            <w:proofErr w:type="gramEnd"/>
            <w:r>
              <w:rPr>
                <w:color w:val="B02045"/>
                <w:sz w:val="21"/>
              </w:rPr>
              <w:t>. port</w:t>
            </w:r>
          </w:p>
        </w:tc>
        <w:tc>
          <w:tcPr>
            <w:tcW w:w="2494" w:type="dxa"/>
          </w:tcPr>
          <w:p w14:paraId="70B40792" w14:textId="77777777" w:rsidR="00A720EB" w:rsidRDefault="0030286B">
            <w:pPr>
              <w:pStyle w:val="TableParagraph"/>
              <w:rPr>
                <w:sz w:val="21"/>
              </w:rPr>
            </w:pPr>
            <w:r>
              <w:rPr>
                <w:color w:val="B02045"/>
                <w:sz w:val="21"/>
              </w:rPr>
              <w:t>9042.0</w:t>
            </w:r>
          </w:p>
        </w:tc>
        <w:tc>
          <w:tcPr>
            <w:tcW w:w="4988" w:type="dxa"/>
          </w:tcPr>
          <w:p w14:paraId="45936AD1" w14:textId="77777777" w:rsidR="00A720EB" w:rsidRDefault="0030286B">
            <w:pPr>
              <w:pStyle w:val="TableParagraph"/>
              <w:spacing w:before="28" w:line="310" w:lineRule="atLeast"/>
              <w:ind w:right="372"/>
              <w:rPr>
                <w:rFonts w:ascii="Cambria"/>
                <w:sz w:val="21"/>
              </w:rPr>
            </w:pPr>
            <w:r>
              <w:rPr>
                <w:rFonts w:ascii="Cambria"/>
                <w:color w:val="333333"/>
                <w:w w:val="110"/>
                <w:sz w:val="21"/>
              </w:rPr>
              <w:t>Port to use if a contact point does not specify one.</w:t>
            </w:r>
          </w:p>
        </w:tc>
      </w:tr>
      <w:tr w:rsidR="00A720EB" w14:paraId="7AE1BB2D" w14:textId="77777777">
        <w:trPr>
          <w:trHeight w:val="627"/>
        </w:trPr>
        <w:tc>
          <w:tcPr>
            <w:tcW w:w="2494" w:type="dxa"/>
          </w:tcPr>
          <w:p w14:paraId="168673A2"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repositories.type</w:t>
            </w:r>
            <w:proofErr w:type="gramEnd"/>
          </w:p>
        </w:tc>
        <w:tc>
          <w:tcPr>
            <w:tcW w:w="2494" w:type="dxa"/>
          </w:tcPr>
          <w:p w14:paraId="3F0ED4F5" w14:textId="77777777" w:rsidR="00A720EB" w:rsidRDefault="0030286B">
            <w:pPr>
              <w:pStyle w:val="TableParagraph"/>
              <w:rPr>
                <w:sz w:val="21"/>
              </w:rPr>
            </w:pPr>
            <w:r>
              <w:rPr>
                <w:color w:val="B02045"/>
                <w:sz w:val="21"/>
              </w:rPr>
              <w:t>auto</w:t>
            </w:r>
          </w:p>
        </w:tc>
        <w:tc>
          <w:tcPr>
            <w:tcW w:w="4988" w:type="dxa"/>
          </w:tcPr>
          <w:p w14:paraId="370CA34E" w14:textId="77777777" w:rsidR="00A720EB" w:rsidRDefault="0030286B">
            <w:pPr>
              <w:pStyle w:val="TableParagraph"/>
              <w:spacing w:before="92"/>
              <w:rPr>
                <w:rFonts w:ascii="Cambria"/>
                <w:sz w:val="21"/>
              </w:rPr>
            </w:pPr>
            <w:r>
              <w:rPr>
                <w:rFonts w:ascii="Cambria"/>
                <w:color w:val="333333"/>
                <w:w w:val="110"/>
                <w:sz w:val="21"/>
              </w:rPr>
              <w:t>Type of Cassandra repositories to enable.</w:t>
            </w:r>
          </w:p>
        </w:tc>
      </w:tr>
      <w:tr w:rsidR="00A720EB" w14:paraId="05C5A5B4" w14:textId="77777777">
        <w:trPr>
          <w:trHeight w:val="627"/>
        </w:trPr>
        <w:tc>
          <w:tcPr>
            <w:tcW w:w="2494" w:type="dxa"/>
          </w:tcPr>
          <w:p w14:paraId="40D6B75E"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request.consistency</w:t>
            </w:r>
            <w:proofErr w:type="gramEnd"/>
          </w:p>
        </w:tc>
        <w:tc>
          <w:tcPr>
            <w:tcW w:w="2494" w:type="dxa"/>
          </w:tcPr>
          <w:p w14:paraId="08455B1B" w14:textId="77777777" w:rsidR="00A720EB" w:rsidRDefault="00A720EB">
            <w:pPr>
              <w:pStyle w:val="TableParagraph"/>
              <w:spacing w:before="0"/>
              <w:ind w:left="0"/>
              <w:rPr>
                <w:rFonts w:ascii="Times New Roman"/>
                <w:sz w:val="20"/>
              </w:rPr>
            </w:pPr>
          </w:p>
        </w:tc>
        <w:tc>
          <w:tcPr>
            <w:tcW w:w="4988" w:type="dxa"/>
          </w:tcPr>
          <w:p w14:paraId="67C4D8FF" w14:textId="77777777" w:rsidR="00A720EB" w:rsidRDefault="0030286B">
            <w:pPr>
              <w:pStyle w:val="TableParagraph"/>
              <w:spacing w:before="92"/>
              <w:rPr>
                <w:rFonts w:ascii="Cambria"/>
                <w:sz w:val="21"/>
              </w:rPr>
            </w:pPr>
            <w:r>
              <w:rPr>
                <w:rFonts w:ascii="Cambria"/>
                <w:color w:val="333333"/>
                <w:w w:val="110"/>
                <w:sz w:val="21"/>
              </w:rPr>
              <w:t>Queries consistency level.</w:t>
            </w:r>
          </w:p>
        </w:tc>
      </w:tr>
      <w:tr w:rsidR="00A720EB" w14:paraId="25C9EA36" w14:textId="77777777">
        <w:trPr>
          <w:trHeight w:val="741"/>
        </w:trPr>
        <w:tc>
          <w:tcPr>
            <w:tcW w:w="2494" w:type="dxa"/>
          </w:tcPr>
          <w:p w14:paraId="0A728F8F"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request.page</w:t>
            </w:r>
            <w:proofErr w:type="gramEnd"/>
            <w:r>
              <w:rPr>
                <w:color w:val="B02045"/>
                <w:sz w:val="21"/>
              </w:rPr>
              <w:t>-size</w:t>
            </w:r>
          </w:p>
        </w:tc>
        <w:tc>
          <w:tcPr>
            <w:tcW w:w="2494" w:type="dxa"/>
          </w:tcPr>
          <w:p w14:paraId="67FA1805" w14:textId="77777777" w:rsidR="00A720EB" w:rsidRDefault="0030286B">
            <w:pPr>
              <w:pStyle w:val="TableParagraph"/>
              <w:spacing w:before="37"/>
              <w:rPr>
                <w:sz w:val="21"/>
              </w:rPr>
            </w:pPr>
            <w:r>
              <w:rPr>
                <w:color w:val="B02045"/>
                <w:sz w:val="21"/>
              </w:rPr>
              <w:t>5000.0</w:t>
            </w:r>
          </w:p>
        </w:tc>
        <w:tc>
          <w:tcPr>
            <w:tcW w:w="4988" w:type="dxa"/>
          </w:tcPr>
          <w:p w14:paraId="00786511" w14:textId="77777777" w:rsidR="00A720EB" w:rsidRDefault="0030286B">
            <w:pPr>
              <w:pStyle w:val="TableParagraph"/>
              <w:spacing w:before="28" w:line="310" w:lineRule="atLeast"/>
              <w:ind w:right="372"/>
              <w:rPr>
                <w:rFonts w:ascii="Cambria"/>
                <w:sz w:val="21"/>
              </w:rPr>
            </w:pPr>
            <w:r>
              <w:rPr>
                <w:rFonts w:ascii="Cambria"/>
                <w:color w:val="333333"/>
                <w:w w:val="110"/>
                <w:sz w:val="21"/>
              </w:rPr>
              <w:t>How many rows will be retrieved simultaneously in a single network roundtrip.</w:t>
            </w:r>
          </w:p>
        </w:tc>
      </w:tr>
      <w:tr w:rsidR="00A720EB" w14:paraId="2F968C75" w14:textId="77777777">
        <w:trPr>
          <w:trHeight w:val="886"/>
        </w:trPr>
        <w:tc>
          <w:tcPr>
            <w:tcW w:w="2494" w:type="dxa"/>
          </w:tcPr>
          <w:p w14:paraId="4E2AD376"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request.serial</w:t>
            </w:r>
            <w:proofErr w:type="gramEnd"/>
            <w:r>
              <w:rPr>
                <w:color w:val="B02045"/>
                <w:sz w:val="21"/>
              </w:rPr>
              <w:t>- consistency</w:t>
            </w:r>
          </w:p>
        </w:tc>
        <w:tc>
          <w:tcPr>
            <w:tcW w:w="2494" w:type="dxa"/>
          </w:tcPr>
          <w:p w14:paraId="5BFF43E6" w14:textId="77777777" w:rsidR="00A720EB" w:rsidRDefault="00A720EB">
            <w:pPr>
              <w:pStyle w:val="TableParagraph"/>
              <w:spacing w:before="0"/>
              <w:ind w:left="0"/>
              <w:rPr>
                <w:rFonts w:ascii="Times New Roman"/>
                <w:sz w:val="20"/>
              </w:rPr>
            </w:pPr>
          </w:p>
        </w:tc>
        <w:tc>
          <w:tcPr>
            <w:tcW w:w="4988" w:type="dxa"/>
          </w:tcPr>
          <w:p w14:paraId="6ADCB19C" w14:textId="77777777" w:rsidR="00A720EB" w:rsidRDefault="0030286B">
            <w:pPr>
              <w:pStyle w:val="TableParagraph"/>
              <w:spacing w:before="92"/>
              <w:rPr>
                <w:rFonts w:ascii="Cambria"/>
                <w:sz w:val="21"/>
              </w:rPr>
            </w:pPr>
            <w:r>
              <w:rPr>
                <w:rFonts w:ascii="Cambria"/>
                <w:color w:val="333333"/>
                <w:w w:val="110"/>
                <w:sz w:val="21"/>
              </w:rPr>
              <w:t>Queries serial consistency level.</w:t>
            </w:r>
          </w:p>
        </w:tc>
      </w:tr>
      <w:tr w:rsidR="00A720EB" w14:paraId="3D627C47" w14:textId="77777777">
        <w:trPr>
          <w:trHeight w:val="1372"/>
        </w:trPr>
        <w:tc>
          <w:tcPr>
            <w:tcW w:w="2494" w:type="dxa"/>
          </w:tcPr>
          <w:p w14:paraId="3D9735CD"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request.throttler</w:t>
            </w:r>
            <w:proofErr w:type="gramEnd"/>
            <w:r>
              <w:rPr>
                <w:color w:val="B02045"/>
                <w:sz w:val="21"/>
              </w:rPr>
              <w:t>.drai n-interval</w:t>
            </w:r>
          </w:p>
        </w:tc>
        <w:tc>
          <w:tcPr>
            <w:tcW w:w="2494" w:type="dxa"/>
          </w:tcPr>
          <w:p w14:paraId="6CF7D662" w14:textId="77777777" w:rsidR="00A720EB" w:rsidRDefault="0030286B">
            <w:pPr>
              <w:pStyle w:val="TableParagraph"/>
              <w:rPr>
                <w:sz w:val="21"/>
              </w:rPr>
            </w:pPr>
            <w:r>
              <w:rPr>
                <w:color w:val="B02045"/>
                <w:sz w:val="21"/>
              </w:rPr>
              <w:t>10ms</w:t>
            </w:r>
          </w:p>
        </w:tc>
        <w:tc>
          <w:tcPr>
            <w:tcW w:w="4988" w:type="dxa"/>
          </w:tcPr>
          <w:p w14:paraId="7AE8506E" w14:textId="77777777" w:rsidR="00A720EB" w:rsidRDefault="0030286B">
            <w:pPr>
              <w:pStyle w:val="TableParagraph"/>
              <w:spacing w:before="28" w:line="310" w:lineRule="atLeast"/>
              <w:ind w:right="117"/>
              <w:rPr>
                <w:rFonts w:ascii="Cambria"/>
                <w:sz w:val="21"/>
              </w:rPr>
            </w:pPr>
            <w:r>
              <w:rPr>
                <w:rFonts w:ascii="Cambria"/>
                <w:color w:val="333333"/>
                <w:w w:val="110"/>
                <w:sz w:val="21"/>
              </w:rPr>
              <w:t>How often the throttler attempts to dequeue requests. Set this high enough that each attempt will process multiple entries in the queue, but not delay requests too much.</w:t>
            </w:r>
          </w:p>
        </w:tc>
      </w:tr>
      <w:tr w:rsidR="00A720EB" w14:paraId="748798F6" w14:textId="77777777">
        <w:trPr>
          <w:trHeight w:val="886"/>
        </w:trPr>
        <w:tc>
          <w:tcPr>
            <w:tcW w:w="2494" w:type="dxa"/>
          </w:tcPr>
          <w:p w14:paraId="0646946D"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data.cassandra</w:t>
            </w:r>
            <w:proofErr w:type="gramEnd"/>
            <w:r>
              <w:rPr>
                <w:color w:val="B02045"/>
                <w:sz w:val="21"/>
              </w:rPr>
              <w:t>. request.throttler.max- concurrent-requests</w:t>
            </w:r>
          </w:p>
        </w:tc>
        <w:tc>
          <w:tcPr>
            <w:tcW w:w="2494" w:type="dxa"/>
          </w:tcPr>
          <w:p w14:paraId="5CB8CAE6" w14:textId="77777777" w:rsidR="00A720EB" w:rsidRDefault="0030286B">
            <w:pPr>
              <w:pStyle w:val="TableParagraph"/>
              <w:rPr>
                <w:sz w:val="21"/>
              </w:rPr>
            </w:pPr>
            <w:r>
              <w:rPr>
                <w:color w:val="B02045"/>
                <w:sz w:val="21"/>
              </w:rPr>
              <w:t>10000.0</w:t>
            </w:r>
          </w:p>
        </w:tc>
        <w:tc>
          <w:tcPr>
            <w:tcW w:w="4988" w:type="dxa"/>
          </w:tcPr>
          <w:p w14:paraId="384CC753" w14:textId="77777777" w:rsidR="00A720EB" w:rsidRDefault="0030286B">
            <w:pPr>
              <w:pStyle w:val="TableParagraph"/>
              <w:spacing w:before="92" w:line="307" w:lineRule="auto"/>
              <w:ind w:right="181"/>
              <w:rPr>
                <w:rFonts w:ascii="Cambria"/>
                <w:sz w:val="21"/>
              </w:rPr>
            </w:pPr>
            <w:r>
              <w:rPr>
                <w:rFonts w:ascii="Cambria"/>
                <w:color w:val="333333"/>
                <w:w w:val="115"/>
                <w:sz w:val="21"/>
              </w:rPr>
              <w:t>Maximum</w:t>
            </w:r>
            <w:r>
              <w:rPr>
                <w:rFonts w:ascii="Cambria"/>
                <w:color w:val="333333"/>
                <w:spacing w:val="-20"/>
                <w:w w:val="115"/>
                <w:sz w:val="21"/>
              </w:rPr>
              <w:t xml:space="preserve"> </w:t>
            </w:r>
            <w:r>
              <w:rPr>
                <w:rFonts w:ascii="Cambria"/>
                <w:color w:val="333333"/>
                <w:w w:val="115"/>
                <w:sz w:val="21"/>
              </w:rPr>
              <w:t>number</w:t>
            </w:r>
            <w:r>
              <w:rPr>
                <w:rFonts w:ascii="Cambria"/>
                <w:color w:val="333333"/>
                <w:spacing w:val="-18"/>
                <w:w w:val="115"/>
                <w:sz w:val="21"/>
              </w:rPr>
              <w:t xml:space="preserve"> </w:t>
            </w:r>
            <w:r>
              <w:rPr>
                <w:rFonts w:ascii="Cambria"/>
                <w:color w:val="333333"/>
                <w:w w:val="115"/>
                <w:sz w:val="21"/>
              </w:rPr>
              <w:t>of</w:t>
            </w:r>
            <w:r>
              <w:rPr>
                <w:rFonts w:ascii="Cambria"/>
                <w:color w:val="333333"/>
                <w:spacing w:val="-19"/>
                <w:w w:val="115"/>
                <w:sz w:val="21"/>
              </w:rPr>
              <w:t xml:space="preserve"> </w:t>
            </w:r>
            <w:r>
              <w:rPr>
                <w:rFonts w:ascii="Cambria"/>
                <w:color w:val="333333"/>
                <w:w w:val="115"/>
                <w:sz w:val="21"/>
              </w:rPr>
              <w:t>requests</w:t>
            </w:r>
            <w:r>
              <w:rPr>
                <w:rFonts w:ascii="Cambria"/>
                <w:color w:val="333333"/>
                <w:spacing w:val="-18"/>
                <w:w w:val="115"/>
                <w:sz w:val="21"/>
              </w:rPr>
              <w:t xml:space="preserve"> </w:t>
            </w:r>
            <w:r>
              <w:rPr>
                <w:rFonts w:ascii="Cambria"/>
                <w:color w:val="333333"/>
                <w:w w:val="115"/>
                <w:sz w:val="21"/>
              </w:rPr>
              <w:t>that</w:t>
            </w:r>
            <w:r>
              <w:rPr>
                <w:rFonts w:ascii="Cambria"/>
                <w:color w:val="333333"/>
                <w:spacing w:val="-19"/>
                <w:w w:val="115"/>
                <w:sz w:val="21"/>
              </w:rPr>
              <w:t xml:space="preserve"> </w:t>
            </w:r>
            <w:r>
              <w:rPr>
                <w:rFonts w:ascii="Cambria"/>
                <w:color w:val="333333"/>
                <w:w w:val="115"/>
                <w:sz w:val="21"/>
              </w:rPr>
              <w:t>are</w:t>
            </w:r>
            <w:r>
              <w:rPr>
                <w:rFonts w:ascii="Cambria"/>
                <w:color w:val="333333"/>
                <w:spacing w:val="-19"/>
                <w:w w:val="115"/>
                <w:sz w:val="21"/>
              </w:rPr>
              <w:t xml:space="preserve"> </w:t>
            </w:r>
            <w:r>
              <w:rPr>
                <w:rFonts w:ascii="Cambria"/>
                <w:color w:val="333333"/>
                <w:w w:val="115"/>
                <w:sz w:val="21"/>
              </w:rPr>
              <w:t>allowed to execute in</w:t>
            </w:r>
            <w:r>
              <w:rPr>
                <w:rFonts w:ascii="Cambria"/>
                <w:color w:val="333333"/>
                <w:spacing w:val="-2"/>
                <w:w w:val="115"/>
                <w:sz w:val="21"/>
              </w:rPr>
              <w:t xml:space="preserve"> </w:t>
            </w:r>
            <w:r>
              <w:rPr>
                <w:rFonts w:ascii="Cambria"/>
                <w:color w:val="333333"/>
                <w:w w:val="115"/>
                <w:sz w:val="21"/>
              </w:rPr>
              <w:t>parallel.</w:t>
            </w:r>
          </w:p>
        </w:tc>
      </w:tr>
      <w:tr w:rsidR="00A720EB" w14:paraId="0C4A2484" w14:textId="77777777">
        <w:trPr>
          <w:trHeight w:val="1056"/>
        </w:trPr>
        <w:tc>
          <w:tcPr>
            <w:tcW w:w="2494" w:type="dxa"/>
          </w:tcPr>
          <w:p w14:paraId="1103FF18"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data.cassandra</w:t>
            </w:r>
            <w:proofErr w:type="gramEnd"/>
            <w:r>
              <w:rPr>
                <w:color w:val="B02045"/>
                <w:sz w:val="21"/>
              </w:rPr>
              <w:t>. request.throttler.max- queue-size</w:t>
            </w:r>
          </w:p>
        </w:tc>
        <w:tc>
          <w:tcPr>
            <w:tcW w:w="2494" w:type="dxa"/>
          </w:tcPr>
          <w:p w14:paraId="615DFA95" w14:textId="77777777" w:rsidR="00A720EB" w:rsidRDefault="0030286B">
            <w:pPr>
              <w:pStyle w:val="TableParagraph"/>
              <w:spacing w:before="37"/>
              <w:rPr>
                <w:sz w:val="21"/>
              </w:rPr>
            </w:pPr>
            <w:r>
              <w:rPr>
                <w:color w:val="B02045"/>
                <w:sz w:val="21"/>
              </w:rPr>
              <w:t>10000.0</w:t>
            </w:r>
          </w:p>
        </w:tc>
        <w:tc>
          <w:tcPr>
            <w:tcW w:w="4988" w:type="dxa"/>
          </w:tcPr>
          <w:p w14:paraId="6D630F2D" w14:textId="77777777" w:rsidR="00A720EB" w:rsidRDefault="0030286B">
            <w:pPr>
              <w:pStyle w:val="TableParagraph"/>
              <w:spacing w:before="28" w:line="310" w:lineRule="atLeast"/>
              <w:ind w:right="688"/>
              <w:jc w:val="both"/>
              <w:rPr>
                <w:rFonts w:ascii="Cambria"/>
                <w:sz w:val="21"/>
              </w:rPr>
            </w:pPr>
            <w:r>
              <w:rPr>
                <w:rFonts w:ascii="Cambria"/>
                <w:color w:val="333333"/>
                <w:w w:val="110"/>
                <w:sz w:val="21"/>
              </w:rPr>
              <w:t>Maximum number of requests that can be enqueued when the throttling threshold is exceeded.</w:t>
            </w:r>
          </w:p>
        </w:tc>
      </w:tr>
      <w:tr w:rsidR="00A720EB" w14:paraId="34F06BCF" w14:textId="77777777">
        <w:trPr>
          <w:trHeight w:val="886"/>
        </w:trPr>
        <w:tc>
          <w:tcPr>
            <w:tcW w:w="2494" w:type="dxa"/>
          </w:tcPr>
          <w:p w14:paraId="1367967A"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data.cassandra</w:t>
            </w:r>
            <w:proofErr w:type="gramEnd"/>
            <w:r>
              <w:rPr>
                <w:color w:val="B02045"/>
                <w:sz w:val="21"/>
              </w:rPr>
              <w:t>. request.throttler.max- requests-per-second</w:t>
            </w:r>
          </w:p>
        </w:tc>
        <w:tc>
          <w:tcPr>
            <w:tcW w:w="2494" w:type="dxa"/>
          </w:tcPr>
          <w:p w14:paraId="0804747B" w14:textId="77777777" w:rsidR="00A720EB" w:rsidRDefault="0030286B">
            <w:pPr>
              <w:pStyle w:val="TableParagraph"/>
              <w:spacing w:before="37"/>
              <w:rPr>
                <w:sz w:val="21"/>
              </w:rPr>
            </w:pPr>
            <w:r>
              <w:rPr>
                <w:color w:val="B02045"/>
                <w:sz w:val="21"/>
              </w:rPr>
              <w:t>10000.0</w:t>
            </w:r>
          </w:p>
        </w:tc>
        <w:tc>
          <w:tcPr>
            <w:tcW w:w="4988" w:type="dxa"/>
          </w:tcPr>
          <w:p w14:paraId="2DF541F7" w14:textId="77777777" w:rsidR="00A720EB" w:rsidRDefault="0030286B">
            <w:pPr>
              <w:pStyle w:val="TableParagraph"/>
              <w:spacing w:before="92"/>
              <w:rPr>
                <w:rFonts w:ascii="Cambria"/>
                <w:sz w:val="21"/>
              </w:rPr>
            </w:pPr>
            <w:r>
              <w:rPr>
                <w:rFonts w:ascii="Cambria"/>
                <w:color w:val="333333"/>
                <w:w w:val="110"/>
                <w:sz w:val="21"/>
              </w:rPr>
              <w:t>Maximum allowed request rate.</w:t>
            </w:r>
          </w:p>
        </w:tc>
      </w:tr>
      <w:tr w:rsidR="00A720EB" w14:paraId="4B736233" w14:textId="77777777">
        <w:trPr>
          <w:trHeight w:val="627"/>
        </w:trPr>
        <w:tc>
          <w:tcPr>
            <w:tcW w:w="2494" w:type="dxa"/>
          </w:tcPr>
          <w:p w14:paraId="0664BE31"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data.cassandra</w:t>
            </w:r>
            <w:proofErr w:type="gramEnd"/>
            <w:r>
              <w:rPr>
                <w:color w:val="B02045"/>
                <w:sz w:val="21"/>
              </w:rPr>
              <w:t xml:space="preserve">. </w:t>
            </w:r>
            <w:proofErr w:type="gramStart"/>
            <w:r>
              <w:rPr>
                <w:color w:val="B02045"/>
                <w:sz w:val="21"/>
              </w:rPr>
              <w:t>request.throttler</w:t>
            </w:r>
            <w:proofErr w:type="gramEnd"/>
            <w:r>
              <w:rPr>
                <w:color w:val="B02045"/>
                <w:sz w:val="21"/>
              </w:rPr>
              <w:t>.type</w:t>
            </w:r>
          </w:p>
        </w:tc>
        <w:tc>
          <w:tcPr>
            <w:tcW w:w="2494" w:type="dxa"/>
          </w:tcPr>
          <w:p w14:paraId="61E1170B" w14:textId="77777777" w:rsidR="00A720EB" w:rsidRDefault="0030286B">
            <w:pPr>
              <w:pStyle w:val="TableParagraph"/>
              <w:rPr>
                <w:sz w:val="21"/>
              </w:rPr>
            </w:pPr>
            <w:r>
              <w:rPr>
                <w:color w:val="B02045"/>
                <w:sz w:val="21"/>
              </w:rPr>
              <w:t>none</w:t>
            </w:r>
          </w:p>
        </w:tc>
        <w:tc>
          <w:tcPr>
            <w:tcW w:w="4988" w:type="dxa"/>
          </w:tcPr>
          <w:p w14:paraId="133DF883" w14:textId="77777777" w:rsidR="00A720EB" w:rsidRDefault="0030286B">
            <w:pPr>
              <w:pStyle w:val="TableParagraph"/>
              <w:spacing w:before="92"/>
              <w:rPr>
                <w:rFonts w:ascii="Cambria"/>
                <w:sz w:val="21"/>
              </w:rPr>
            </w:pPr>
            <w:r>
              <w:rPr>
                <w:rFonts w:ascii="Cambria"/>
                <w:color w:val="333333"/>
                <w:w w:val="110"/>
                <w:sz w:val="21"/>
              </w:rPr>
              <w:t>Request throttling type.</w:t>
            </w:r>
          </w:p>
        </w:tc>
      </w:tr>
      <w:tr w:rsidR="00A720EB" w14:paraId="2BF83413" w14:textId="77777777">
        <w:trPr>
          <w:trHeight w:val="741"/>
        </w:trPr>
        <w:tc>
          <w:tcPr>
            <w:tcW w:w="2494" w:type="dxa"/>
          </w:tcPr>
          <w:p w14:paraId="248B299A" w14:textId="77777777" w:rsidR="00A720EB" w:rsidRDefault="0030286B">
            <w:pPr>
              <w:pStyle w:val="TableParagraph"/>
              <w:spacing w:before="46" w:line="230" w:lineRule="auto"/>
              <w:ind w:right="94"/>
              <w:rPr>
                <w:sz w:val="21"/>
              </w:rPr>
            </w:pPr>
            <w:r>
              <w:rPr>
                <w:color w:val="B02045"/>
                <w:sz w:val="21"/>
              </w:rPr>
              <w:lastRenderedPageBreak/>
              <w:t>spring.</w:t>
            </w:r>
            <w:proofErr w:type="gramStart"/>
            <w:r>
              <w:rPr>
                <w:color w:val="B02045"/>
                <w:sz w:val="21"/>
              </w:rPr>
              <w:t>data.cassandra</w:t>
            </w:r>
            <w:proofErr w:type="gramEnd"/>
            <w:r>
              <w:rPr>
                <w:color w:val="B02045"/>
                <w:sz w:val="21"/>
              </w:rPr>
              <w:t xml:space="preserve">. </w:t>
            </w:r>
            <w:proofErr w:type="gramStart"/>
            <w:r>
              <w:rPr>
                <w:color w:val="B02045"/>
                <w:sz w:val="21"/>
              </w:rPr>
              <w:t>request.timeout</w:t>
            </w:r>
            <w:proofErr w:type="gramEnd"/>
          </w:p>
        </w:tc>
        <w:tc>
          <w:tcPr>
            <w:tcW w:w="2494" w:type="dxa"/>
          </w:tcPr>
          <w:p w14:paraId="09C7C214" w14:textId="77777777" w:rsidR="00A720EB" w:rsidRDefault="0030286B">
            <w:pPr>
              <w:pStyle w:val="TableParagraph"/>
              <w:rPr>
                <w:sz w:val="21"/>
              </w:rPr>
            </w:pPr>
            <w:r>
              <w:rPr>
                <w:color w:val="B02045"/>
                <w:sz w:val="21"/>
              </w:rPr>
              <w:t>2s</w:t>
            </w:r>
          </w:p>
        </w:tc>
        <w:tc>
          <w:tcPr>
            <w:tcW w:w="4988" w:type="dxa"/>
          </w:tcPr>
          <w:p w14:paraId="4F6D3788" w14:textId="77777777" w:rsidR="00A720EB" w:rsidRDefault="0030286B">
            <w:pPr>
              <w:pStyle w:val="TableParagraph"/>
              <w:spacing w:before="28" w:line="310" w:lineRule="atLeast"/>
              <w:rPr>
                <w:rFonts w:ascii="Cambria"/>
                <w:sz w:val="21"/>
              </w:rPr>
            </w:pPr>
            <w:r>
              <w:rPr>
                <w:rFonts w:ascii="Cambria"/>
                <w:color w:val="333333"/>
                <w:w w:val="110"/>
                <w:sz w:val="21"/>
              </w:rPr>
              <w:t>How long the driver waits for a request to complete.</w:t>
            </w:r>
          </w:p>
        </w:tc>
      </w:tr>
      <w:tr w:rsidR="00A720EB" w14:paraId="72F38B6E" w14:textId="77777777">
        <w:trPr>
          <w:trHeight w:val="627"/>
        </w:trPr>
        <w:tc>
          <w:tcPr>
            <w:tcW w:w="2494" w:type="dxa"/>
          </w:tcPr>
          <w:p w14:paraId="6BF2844F"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data.cassandra</w:t>
            </w:r>
            <w:proofErr w:type="gramEnd"/>
            <w:r>
              <w:rPr>
                <w:color w:val="B02045"/>
                <w:sz w:val="21"/>
              </w:rPr>
              <w:t>. schema-action</w:t>
            </w:r>
          </w:p>
        </w:tc>
        <w:tc>
          <w:tcPr>
            <w:tcW w:w="2494" w:type="dxa"/>
          </w:tcPr>
          <w:p w14:paraId="51CAA882" w14:textId="77777777" w:rsidR="00A720EB" w:rsidRDefault="0030286B">
            <w:pPr>
              <w:pStyle w:val="TableParagraph"/>
              <w:spacing w:before="37"/>
              <w:rPr>
                <w:sz w:val="21"/>
              </w:rPr>
            </w:pPr>
            <w:r>
              <w:rPr>
                <w:color w:val="B02045"/>
                <w:sz w:val="21"/>
              </w:rPr>
              <w:t>none</w:t>
            </w:r>
          </w:p>
        </w:tc>
        <w:tc>
          <w:tcPr>
            <w:tcW w:w="4988" w:type="dxa"/>
          </w:tcPr>
          <w:p w14:paraId="66AF6CF3" w14:textId="77777777" w:rsidR="00A720EB" w:rsidRDefault="0030286B">
            <w:pPr>
              <w:pStyle w:val="TableParagraph"/>
              <w:spacing w:before="92"/>
              <w:rPr>
                <w:rFonts w:ascii="Cambria"/>
                <w:sz w:val="21"/>
              </w:rPr>
            </w:pPr>
            <w:r>
              <w:rPr>
                <w:rFonts w:ascii="Cambria"/>
                <w:color w:val="333333"/>
                <w:w w:val="110"/>
                <w:sz w:val="21"/>
              </w:rPr>
              <w:t>Schema action to take at startup.</w:t>
            </w:r>
          </w:p>
        </w:tc>
      </w:tr>
    </w:tbl>
    <w:p w14:paraId="0438DD0C"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4E15FDB" w14:textId="77777777">
        <w:trPr>
          <w:trHeight w:val="415"/>
        </w:trPr>
        <w:tc>
          <w:tcPr>
            <w:tcW w:w="2494" w:type="dxa"/>
            <w:tcBorders>
              <w:bottom w:val="single" w:sz="12" w:space="0" w:color="DDDDDD"/>
            </w:tcBorders>
          </w:tcPr>
          <w:p w14:paraId="1484BFF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3C65AAD"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B916BCD"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A94FC09" w14:textId="77777777">
        <w:trPr>
          <w:trHeight w:val="617"/>
        </w:trPr>
        <w:tc>
          <w:tcPr>
            <w:tcW w:w="2494" w:type="dxa"/>
            <w:tcBorders>
              <w:top w:val="single" w:sz="12" w:space="0" w:color="DDDDDD"/>
            </w:tcBorders>
          </w:tcPr>
          <w:p w14:paraId="552719DE" w14:textId="77777777" w:rsidR="00A720EB" w:rsidRDefault="0030286B">
            <w:pPr>
              <w:pStyle w:val="TableParagraph"/>
              <w:spacing w:before="36" w:line="230" w:lineRule="auto"/>
              <w:ind w:right="113"/>
              <w:rPr>
                <w:sz w:val="21"/>
              </w:rPr>
            </w:pPr>
            <w:r>
              <w:rPr>
                <w:color w:val="B02045"/>
                <w:sz w:val="21"/>
              </w:rPr>
              <w:t>spring.</w:t>
            </w:r>
            <w:proofErr w:type="gramStart"/>
            <w:r>
              <w:rPr>
                <w:color w:val="B02045"/>
                <w:sz w:val="21"/>
              </w:rPr>
              <w:t>data.cassandra</w:t>
            </w:r>
            <w:proofErr w:type="gramEnd"/>
            <w:r>
              <w:rPr>
                <w:color w:val="B02045"/>
                <w:sz w:val="21"/>
              </w:rPr>
              <w:t>. session-name</w:t>
            </w:r>
          </w:p>
        </w:tc>
        <w:tc>
          <w:tcPr>
            <w:tcW w:w="2494" w:type="dxa"/>
            <w:tcBorders>
              <w:top w:val="single" w:sz="12" w:space="0" w:color="DDDDDD"/>
            </w:tcBorders>
          </w:tcPr>
          <w:p w14:paraId="58183429"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3395F2EB" w14:textId="77777777" w:rsidR="00A720EB" w:rsidRDefault="0030286B">
            <w:pPr>
              <w:pStyle w:val="TableParagraph"/>
              <w:spacing w:before="82"/>
              <w:rPr>
                <w:rFonts w:ascii="Cambria"/>
                <w:sz w:val="21"/>
              </w:rPr>
            </w:pPr>
            <w:r>
              <w:rPr>
                <w:rFonts w:ascii="Cambria"/>
                <w:color w:val="333333"/>
                <w:w w:val="110"/>
                <w:sz w:val="21"/>
              </w:rPr>
              <w:t>Name of the Cassandra session.</w:t>
            </w:r>
          </w:p>
        </w:tc>
      </w:tr>
      <w:tr w:rsidR="00A720EB" w14:paraId="1FB160D8" w14:textId="77777777">
        <w:trPr>
          <w:trHeight w:val="627"/>
        </w:trPr>
        <w:tc>
          <w:tcPr>
            <w:tcW w:w="2494" w:type="dxa"/>
          </w:tcPr>
          <w:p w14:paraId="6095B6DD"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data.cassandra</w:t>
            </w:r>
            <w:proofErr w:type="gramEnd"/>
            <w:r>
              <w:rPr>
                <w:color w:val="B02045"/>
                <w:sz w:val="21"/>
              </w:rPr>
              <w:t>. ssl</w:t>
            </w:r>
          </w:p>
        </w:tc>
        <w:tc>
          <w:tcPr>
            <w:tcW w:w="2494" w:type="dxa"/>
          </w:tcPr>
          <w:p w14:paraId="6A953511" w14:textId="77777777" w:rsidR="00A720EB" w:rsidRDefault="0030286B">
            <w:pPr>
              <w:pStyle w:val="TableParagraph"/>
              <w:spacing w:before="37"/>
              <w:rPr>
                <w:sz w:val="21"/>
              </w:rPr>
            </w:pPr>
            <w:r>
              <w:rPr>
                <w:color w:val="B02045"/>
                <w:sz w:val="21"/>
              </w:rPr>
              <w:t>false</w:t>
            </w:r>
          </w:p>
        </w:tc>
        <w:tc>
          <w:tcPr>
            <w:tcW w:w="4988" w:type="dxa"/>
          </w:tcPr>
          <w:p w14:paraId="7921C5E2" w14:textId="77777777" w:rsidR="00A720EB" w:rsidRDefault="0030286B">
            <w:pPr>
              <w:pStyle w:val="TableParagraph"/>
              <w:spacing w:before="92"/>
              <w:rPr>
                <w:rFonts w:ascii="Cambria"/>
                <w:sz w:val="21"/>
              </w:rPr>
            </w:pPr>
            <w:r>
              <w:rPr>
                <w:rFonts w:ascii="Cambria"/>
                <w:color w:val="333333"/>
                <w:w w:val="110"/>
                <w:sz w:val="21"/>
              </w:rPr>
              <w:t>Enable SSL support.</w:t>
            </w:r>
          </w:p>
        </w:tc>
      </w:tr>
      <w:tr w:rsidR="00A720EB" w14:paraId="4C14914F" w14:textId="77777777">
        <w:trPr>
          <w:trHeight w:val="627"/>
        </w:trPr>
        <w:tc>
          <w:tcPr>
            <w:tcW w:w="2494" w:type="dxa"/>
          </w:tcPr>
          <w:p w14:paraId="72DD0E1D"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data.cassandra</w:t>
            </w:r>
            <w:proofErr w:type="gramEnd"/>
            <w:r>
              <w:rPr>
                <w:color w:val="B02045"/>
                <w:sz w:val="21"/>
              </w:rPr>
              <w:t>. username</w:t>
            </w:r>
          </w:p>
        </w:tc>
        <w:tc>
          <w:tcPr>
            <w:tcW w:w="2494" w:type="dxa"/>
          </w:tcPr>
          <w:p w14:paraId="257371F6" w14:textId="77777777" w:rsidR="00A720EB" w:rsidRDefault="00A720EB">
            <w:pPr>
              <w:pStyle w:val="TableParagraph"/>
              <w:spacing w:before="0"/>
              <w:ind w:left="0"/>
              <w:rPr>
                <w:rFonts w:ascii="Times New Roman"/>
                <w:sz w:val="20"/>
              </w:rPr>
            </w:pPr>
          </w:p>
        </w:tc>
        <w:tc>
          <w:tcPr>
            <w:tcW w:w="4988" w:type="dxa"/>
          </w:tcPr>
          <w:p w14:paraId="58E7B4EB" w14:textId="77777777" w:rsidR="00A720EB" w:rsidRDefault="0030286B">
            <w:pPr>
              <w:pStyle w:val="TableParagraph"/>
              <w:spacing w:before="92"/>
              <w:rPr>
                <w:rFonts w:ascii="Cambria"/>
                <w:sz w:val="21"/>
              </w:rPr>
            </w:pPr>
            <w:r>
              <w:rPr>
                <w:rFonts w:ascii="Cambria"/>
                <w:color w:val="333333"/>
                <w:w w:val="110"/>
                <w:sz w:val="21"/>
              </w:rPr>
              <w:t>Login user of the server.</w:t>
            </w:r>
          </w:p>
        </w:tc>
      </w:tr>
      <w:tr w:rsidR="00A720EB" w14:paraId="7F8C3527" w14:textId="77777777">
        <w:trPr>
          <w:trHeight w:val="1372"/>
        </w:trPr>
        <w:tc>
          <w:tcPr>
            <w:tcW w:w="2494" w:type="dxa"/>
          </w:tcPr>
          <w:p w14:paraId="4C1759CB"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data.couchbase</w:t>
            </w:r>
            <w:proofErr w:type="gramEnd"/>
            <w:r>
              <w:rPr>
                <w:color w:val="B02045"/>
                <w:sz w:val="21"/>
              </w:rPr>
              <w:t>. auto-index</w:t>
            </w:r>
          </w:p>
        </w:tc>
        <w:tc>
          <w:tcPr>
            <w:tcW w:w="2494" w:type="dxa"/>
          </w:tcPr>
          <w:p w14:paraId="36DC8F46" w14:textId="77777777" w:rsidR="00A720EB" w:rsidRDefault="0030286B">
            <w:pPr>
              <w:pStyle w:val="TableParagraph"/>
              <w:rPr>
                <w:sz w:val="21"/>
              </w:rPr>
            </w:pPr>
            <w:r>
              <w:rPr>
                <w:color w:val="B02045"/>
                <w:sz w:val="21"/>
              </w:rPr>
              <w:t>false</w:t>
            </w:r>
          </w:p>
        </w:tc>
        <w:tc>
          <w:tcPr>
            <w:tcW w:w="4988" w:type="dxa"/>
          </w:tcPr>
          <w:p w14:paraId="467131B1" w14:textId="77777777" w:rsidR="00A720EB" w:rsidRDefault="0030286B">
            <w:pPr>
              <w:pStyle w:val="TableParagraph"/>
              <w:spacing w:before="28" w:line="310" w:lineRule="atLeast"/>
              <w:ind w:right="117"/>
              <w:rPr>
                <w:rFonts w:ascii="Cambria"/>
                <w:sz w:val="21"/>
              </w:rPr>
            </w:pPr>
            <w:r>
              <w:rPr>
                <w:rFonts w:ascii="Cambria"/>
                <w:color w:val="333333"/>
                <w:w w:val="110"/>
                <w:sz w:val="21"/>
              </w:rPr>
              <w:t>Automatically create views and indexes. Use the meta-data provided by "@ViewIndexed", "@N1qlPrimaryIndexed" and "@N1qlSecondaryIndexed".</w:t>
            </w:r>
          </w:p>
        </w:tc>
      </w:tr>
      <w:tr w:rsidR="00A720EB" w14:paraId="71EF1375" w14:textId="77777777">
        <w:trPr>
          <w:trHeight w:val="627"/>
        </w:trPr>
        <w:tc>
          <w:tcPr>
            <w:tcW w:w="2494" w:type="dxa"/>
          </w:tcPr>
          <w:p w14:paraId="40E021EA"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data.couchbase</w:t>
            </w:r>
            <w:proofErr w:type="gramEnd"/>
            <w:r>
              <w:rPr>
                <w:color w:val="B02045"/>
                <w:sz w:val="21"/>
              </w:rPr>
              <w:t>. bucket-name</w:t>
            </w:r>
          </w:p>
        </w:tc>
        <w:tc>
          <w:tcPr>
            <w:tcW w:w="2494" w:type="dxa"/>
          </w:tcPr>
          <w:p w14:paraId="7181D483" w14:textId="77777777" w:rsidR="00A720EB" w:rsidRDefault="00A720EB">
            <w:pPr>
              <w:pStyle w:val="TableParagraph"/>
              <w:spacing w:before="0"/>
              <w:ind w:left="0"/>
              <w:rPr>
                <w:rFonts w:ascii="Times New Roman"/>
                <w:sz w:val="20"/>
              </w:rPr>
            </w:pPr>
          </w:p>
        </w:tc>
        <w:tc>
          <w:tcPr>
            <w:tcW w:w="4988" w:type="dxa"/>
          </w:tcPr>
          <w:p w14:paraId="1CC2A2DF" w14:textId="77777777" w:rsidR="00A720EB" w:rsidRDefault="0030286B">
            <w:pPr>
              <w:pStyle w:val="TableParagraph"/>
              <w:spacing w:before="92"/>
              <w:rPr>
                <w:rFonts w:ascii="Cambria"/>
                <w:sz w:val="21"/>
              </w:rPr>
            </w:pPr>
            <w:r>
              <w:rPr>
                <w:rFonts w:ascii="Cambria"/>
                <w:color w:val="333333"/>
                <w:w w:val="110"/>
                <w:sz w:val="21"/>
              </w:rPr>
              <w:t>Name of the bucket to connect to.</w:t>
            </w:r>
          </w:p>
        </w:tc>
      </w:tr>
      <w:tr w:rsidR="00A720EB" w14:paraId="7F46083C" w14:textId="77777777">
        <w:trPr>
          <w:trHeight w:val="741"/>
        </w:trPr>
        <w:tc>
          <w:tcPr>
            <w:tcW w:w="2494" w:type="dxa"/>
          </w:tcPr>
          <w:p w14:paraId="7BCA7685"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data.couchbase</w:t>
            </w:r>
            <w:proofErr w:type="gramEnd"/>
            <w:r>
              <w:rPr>
                <w:color w:val="B02045"/>
                <w:sz w:val="21"/>
              </w:rPr>
              <w:t>. field-naming-strategy</w:t>
            </w:r>
          </w:p>
        </w:tc>
        <w:tc>
          <w:tcPr>
            <w:tcW w:w="2494" w:type="dxa"/>
          </w:tcPr>
          <w:p w14:paraId="2131D8CF" w14:textId="77777777" w:rsidR="00A720EB" w:rsidRDefault="00A720EB">
            <w:pPr>
              <w:pStyle w:val="TableParagraph"/>
              <w:spacing w:before="0"/>
              <w:ind w:left="0"/>
              <w:rPr>
                <w:rFonts w:ascii="Times New Roman"/>
                <w:sz w:val="20"/>
              </w:rPr>
            </w:pPr>
          </w:p>
        </w:tc>
        <w:tc>
          <w:tcPr>
            <w:tcW w:w="4988" w:type="dxa"/>
          </w:tcPr>
          <w:p w14:paraId="105746DB" w14:textId="77777777" w:rsidR="00A720EB" w:rsidRDefault="0030286B">
            <w:pPr>
              <w:pStyle w:val="TableParagraph"/>
              <w:spacing w:before="28" w:line="310" w:lineRule="atLeast"/>
              <w:rPr>
                <w:rFonts w:ascii="Cambria"/>
                <w:sz w:val="21"/>
              </w:rPr>
            </w:pPr>
            <w:r>
              <w:rPr>
                <w:rFonts w:ascii="Cambria"/>
                <w:color w:val="333333"/>
                <w:w w:val="110"/>
                <w:sz w:val="21"/>
              </w:rPr>
              <w:t>Fully qualified name of the FieldNamingStrategy to use.</w:t>
            </w:r>
          </w:p>
        </w:tc>
      </w:tr>
      <w:tr w:rsidR="00A720EB" w14:paraId="2CECD75D" w14:textId="77777777">
        <w:trPr>
          <w:trHeight w:val="627"/>
        </w:trPr>
        <w:tc>
          <w:tcPr>
            <w:tcW w:w="2494" w:type="dxa"/>
          </w:tcPr>
          <w:p w14:paraId="3CB6ED58"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data.couchbase</w:t>
            </w:r>
            <w:proofErr w:type="gramEnd"/>
            <w:r>
              <w:rPr>
                <w:color w:val="B02045"/>
                <w:sz w:val="21"/>
              </w:rPr>
              <w:t xml:space="preserve">. </w:t>
            </w:r>
            <w:proofErr w:type="gramStart"/>
            <w:r>
              <w:rPr>
                <w:color w:val="B02045"/>
                <w:sz w:val="21"/>
              </w:rPr>
              <w:t>repositories.type</w:t>
            </w:r>
            <w:proofErr w:type="gramEnd"/>
          </w:p>
        </w:tc>
        <w:tc>
          <w:tcPr>
            <w:tcW w:w="2494" w:type="dxa"/>
          </w:tcPr>
          <w:p w14:paraId="50BC1312" w14:textId="77777777" w:rsidR="00A720EB" w:rsidRDefault="0030286B">
            <w:pPr>
              <w:pStyle w:val="TableParagraph"/>
              <w:spacing w:before="37"/>
              <w:rPr>
                <w:sz w:val="21"/>
              </w:rPr>
            </w:pPr>
            <w:r>
              <w:rPr>
                <w:color w:val="B02045"/>
                <w:sz w:val="21"/>
              </w:rPr>
              <w:t>auto</w:t>
            </w:r>
          </w:p>
        </w:tc>
        <w:tc>
          <w:tcPr>
            <w:tcW w:w="4988" w:type="dxa"/>
          </w:tcPr>
          <w:p w14:paraId="5A348C07" w14:textId="77777777" w:rsidR="00A720EB" w:rsidRDefault="0030286B">
            <w:pPr>
              <w:pStyle w:val="TableParagraph"/>
              <w:spacing w:before="92"/>
              <w:rPr>
                <w:rFonts w:ascii="Cambria"/>
                <w:sz w:val="21"/>
              </w:rPr>
            </w:pPr>
            <w:r>
              <w:rPr>
                <w:rFonts w:ascii="Cambria"/>
                <w:color w:val="333333"/>
                <w:w w:val="110"/>
                <w:sz w:val="21"/>
              </w:rPr>
              <w:t>Type of Couchbase repositories to enable.</w:t>
            </w:r>
          </w:p>
        </w:tc>
      </w:tr>
      <w:tr w:rsidR="00A720EB" w14:paraId="7CFFFE05" w14:textId="77777777">
        <w:trPr>
          <w:trHeight w:val="627"/>
        </w:trPr>
        <w:tc>
          <w:tcPr>
            <w:tcW w:w="2494" w:type="dxa"/>
          </w:tcPr>
          <w:p w14:paraId="150ED711"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data.couchbase</w:t>
            </w:r>
            <w:proofErr w:type="gramEnd"/>
            <w:r>
              <w:rPr>
                <w:color w:val="B02045"/>
                <w:sz w:val="21"/>
              </w:rPr>
              <w:t>. scope-name</w:t>
            </w:r>
          </w:p>
        </w:tc>
        <w:tc>
          <w:tcPr>
            <w:tcW w:w="2494" w:type="dxa"/>
          </w:tcPr>
          <w:p w14:paraId="755D5734" w14:textId="77777777" w:rsidR="00A720EB" w:rsidRDefault="00A720EB">
            <w:pPr>
              <w:pStyle w:val="TableParagraph"/>
              <w:spacing w:before="0"/>
              <w:ind w:left="0"/>
              <w:rPr>
                <w:rFonts w:ascii="Times New Roman"/>
                <w:sz w:val="20"/>
              </w:rPr>
            </w:pPr>
          </w:p>
        </w:tc>
        <w:tc>
          <w:tcPr>
            <w:tcW w:w="4988" w:type="dxa"/>
          </w:tcPr>
          <w:p w14:paraId="18E7504B" w14:textId="77777777" w:rsidR="00A720EB" w:rsidRDefault="0030286B">
            <w:pPr>
              <w:pStyle w:val="TableParagraph"/>
              <w:spacing w:before="92"/>
              <w:rPr>
                <w:rFonts w:ascii="Cambria"/>
                <w:sz w:val="21"/>
              </w:rPr>
            </w:pPr>
            <w:r>
              <w:rPr>
                <w:rFonts w:ascii="Cambria"/>
                <w:color w:val="333333"/>
                <w:w w:val="110"/>
                <w:sz w:val="21"/>
              </w:rPr>
              <w:t>Name of the scope used for all collection access.</w:t>
            </w:r>
          </w:p>
        </w:tc>
      </w:tr>
      <w:tr w:rsidR="00A720EB" w14:paraId="672DDF3A" w14:textId="77777777">
        <w:trPr>
          <w:trHeight w:val="1056"/>
        </w:trPr>
        <w:tc>
          <w:tcPr>
            <w:tcW w:w="2494" w:type="dxa"/>
          </w:tcPr>
          <w:p w14:paraId="03C10F8A"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data.couchbase</w:t>
            </w:r>
            <w:proofErr w:type="gramEnd"/>
            <w:r>
              <w:rPr>
                <w:color w:val="B02045"/>
                <w:sz w:val="21"/>
              </w:rPr>
              <w:t>. type-key</w:t>
            </w:r>
          </w:p>
        </w:tc>
        <w:tc>
          <w:tcPr>
            <w:tcW w:w="2494" w:type="dxa"/>
          </w:tcPr>
          <w:p w14:paraId="207DCF37" w14:textId="77777777" w:rsidR="00A720EB" w:rsidRDefault="0030286B">
            <w:pPr>
              <w:pStyle w:val="TableParagraph"/>
              <w:rPr>
                <w:sz w:val="21"/>
              </w:rPr>
            </w:pPr>
            <w:r>
              <w:rPr>
                <w:color w:val="B02045"/>
                <w:sz w:val="21"/>
              </w:rPr>
              <w:t>_class</w:t>
            </w:r>
          </w:p>
        </w:tc>
        <w:tc>
          <w:tcPr>
            <w:tcW w:w="4988" w:type="dxa"/>
          </w:tcPr>
          <w:p w14:paraId="15833FA8" w14:textId="77777777" w:rsidR="00A720EB" w:rsidRDefault="0030286B">
            <w:pPr>
              <w:pStyle w:val="TableParagraph"/>
              <w:spacing w:before="28" w:line="310" w:lineRule="atLeast"/>
              <w:ind w:right="372"/>
              <w:rPr>
                <w:rFonts w:ascii="Cambria"/>
                <w:sz w:val="21"/>
              </w:rPr>
            </w:pPr>
            <w:r>
              <w:rPr>
                <w:rFonts w:ascii="Cambria"/>
                <w:color w:val="333333"/>
                <w:w w:val="110"/>
                <w:sz w:val="21"/>
              </w:rPr>
              <w:t>Name of the field that stores the type information for complex types when using "MappingCouchbaseConverter".</w:t>
            </w:r>
          </w:p>
        </w:tc>
      </w:tr>
      <w:tr w:rsidR="00A720EB" w14:paraId="3C118082" w14:textId="77777777">
        <w:trPr>
          <w:trHeight w:val="886"/>
        </w:trPr>
        <w:tc>
          <w:tcPr>
            <w:tcW w:w="2494" w:type="dxa"/>
          </w:tcPr>
          <w:p w14:paraId="65D9B40C"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data.elasticsea</w:t>
            </w:r>
            <w:proofErr w:type="gramEnd"/>
            <w:r>
              <w:rPr>
                <w:color w:val="B02045"/>
                <w:sz w:val="21"/>
              </w:rPr>
              <w:t xml:space="preserve"> rch.client.reactive.co nnection-timeout</w:t>
            </w:r>
          </w:p>
        </w:tc>
        <w:tc>
          <w:tcPr>
            <w:tcW w:w="2494" w:type="dxa"/>
          </w:tcPr>
          <w:p w14:paraId="6BDD137D" w14:textId="77777777" w:rsidR="00A720EB" w:rsidRDefault="00A720EB">
            <w:pPr>
              <w:pStyle w:val="TableParagraph"/>
              <w:spacing w:before="0"/>
              <w:ind w:left="0"/>
              <w:rPr>
                <w:rFonts w:ascii="Times New Roman"/>
                <w:sz w:val="20"/>
              </w:rPr>
            </w:pPr>
          </w:p>
        </w:tc>
        <w:tc>
          <w:tcPr>
            <w:tcW w:w="4988" w:type="dxa"/>
          </w:tcPr>
          <w:p w14:paraId="1B41882A" w14:textId="77777777" w:rsidR="00A720EB" w:rsidRDefault="0030286B">
            <w:pPr>
              <w:pStyle w:val="TableParagraph"/>
              <w:spacing w:before="92"/>
              <w:rPr>
                <w:rFonts w:ascii="Cambria"/>
                <w:sz w:val="21"/>
              </w:rPr>
            </w:pPr>
            <w:r>
              <w:rPr>
                <w:rFonts w:ascii="Cambria"/>
                <w:color w:val="333333"/>
                <w:w w:val="110"/>
                <w:sz w:val="21"/>
              </w:rPr>
              <w:t>Connection timeout.</w:t>
            </w:r>
          </w:p>
        </w:tc>
      </w:tr>
      <w:tr w:rsidR="00A720EB" w14:paraId="6880391D" w14:textId="77777777">
        <w:trPr>
          <w:trHeight w:val="886"/>
        </w:trPr>
        <w:tc>
          <w:tcPr>
            <w:tcW w:w="2494" w:type="dxa"/>
          </w:tcPr>
          <w:p w14:paraId="067BDF7C"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data.elasticsea</w:t>
            </w:r>
            <w:proofErr w:type="gramEnd"/>
            <w:r>
              <w:rPr>
                <w:color w:val="B02045"/>
                <w:sz w:val="21"/>
              </w:rPr>
              <w:t xml:space="preserve"> rch.client.reactive.en dpoints</w:t>
            </w:r>
          </w:p>
        </w:tc>
        <w:tc>
          <w:tcPr>
            <w:tcW w:w="2494" w:type="dxa"/>
          </w:tcPr>
          <w:p w14:paraId="59394CDF" w14:textId="77777777" w:rsidR="00A720EB" w:rsidRDefault="00A720EB">
            <w:pPr>
              <w:pStyle w:val="TableParagraph"/>
              <w:spacing w:before="0"/>
              <w:ind w:left="0"/>
              <w:rPr>
                <w:rFonts w:ascii="Times New Roman"/>
                <w:sz w:val="20"/>
              </w:rPr>
            </w:pPr>
          </w:p>
        </w:tc>
        <w:tc>
          <w:tcPr>
            <w:tcW w:w="4988" w:type="dxa"/>
          </w:tcPr>
          <w:p w14:paraId="0646E307" w14:textId="77777777" w:rsidR="00A720EB" w:rsidRDefault="0030286B">
            <w:pPr>
              <w:pStyle w:val="TableParagraph"/>
              <w:spacing w:before="92" w:line="307" w:lineRule="auto"/>
              <w:rPr>
                <w:rFonts w:ascii="Cambria"/>
                <w:sz w:val="21"/>
              </w:rPr>
            </w:pPr>
            <w:r>
              <w:rPr>
                <w:rFonts w:ascii="Cambria"/>
                <w:color w:val="333333"/>
                <w:w w:val="110"/>
                <w:sz w:val="21"/>
              </w:rPr>
              <w:t>Comma-separated list of the Elasticsearch endpoints to connect to.</w:t>
            </w:r>
          </w:p>
        </w:tc>
      </w:tr>
      <w:tr w:rsidR="00A720EB" w14:paraId="1BDBCB1D" w14:textId="77777777">
        <w:trPr>
          <w:trHeight w:val="1056"/>
        </w:trPr>
        <w:tc>
          <w:tcPr>
            <w:tcW w:w="2494" w:type="dxa"/>
          </w:tcPr>
          <w:p w14:paraId="1A1C08DF"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data.elasticsea</w:t>
            </w:r>
            <w:proofErr w:type="gramEnd"/>
            <w:r>
              <w:rPr>
                <w:color w:val="B02045"/>
                <w:sz w:val="21"/>
              </w:rPr>
              <w:t xml:space="preserve"> rch.client.reactive.ma x-in-memory-size</w:t>
            </w:r>
          </w:p>
        </w:tc>
        <w:tc>
          <w:tcPr>
            <w:tcW w:w="2494" w:type="dxa"/>
          </w:tcPr>
          <w:p w14:paraId="408D05BD" w14:textId="77777777" w:rsidR="00A720EB" w:rsidRDefault="00A720EB">
            <w:pPr>
              <w:pStyle w:val="TableParagraph"/>
              <w:spacing w:before="0"/>
              <w:ind w:left="0"/>
              <w:rPr>
                <w:rFonts w:ascii="Times New Roman"/>
                <w:sz w:val="20"/>
              </w:rPr>
            </w:pPr>
          </w:p>
        </w:tc>
        <w:tc>
          <w:tcPr>
            <w:tcW w:w="4988" w:type="dxa"/>
          </w:tcPr>
          <w:p w14:paraId="7D21FC5F" w14:textId="77777777" w:rsidR="00A720EB" w:rsidRDefault="0030286B">
            <w:pPr>
              <w:pStyle w:val="TableParagraph"/>
              <w:spacing w:before="28" w:line="310" w:lineRule="atLeast"/>
              <w:ind w:right="117"/>
              <w:rPr>
                <w:rFonts w:ascii="Cambria"/>
                <w:sz w:val="21"/>
              </w:rPr>
            </w:pPr>
            <w:r>
              <w:rPr>
                <w:rFonts w:ascii="Cambria"/>
                <w:color w:val="333333"/>
                <w:w w:val="110"/>
                <w:sz w:val="21"/>
              </w:rPr>
              <w:t>Limit on the number of bytes that can be buffered whenever the input stream needs to be aggregated.</w:t>
            </w:r>
          </w:p>
        </w:tc>
      </w:tr>
      <w:tr w:rsidR="00A720EB" w14:paraId="3E4C091C" w14:textId="77777777">
        <w:trPr>
          <w:trHeight w:val="886"/>
        </w:trPr>
        <w:tc>
          <w:tcPr>
            <w:tcW w:w="2494" w:type="dxa"/>
          </w:tcPr>
          <w:p w14:paraId="5A0BE216"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data.elasticsea</w:t>
            </w:r>
            <w:proofErr w:type="gramEnd"/>
            <w:r>
              <w:rPr>
                <w:color w:val="B02045"/>
                <w:sz w:val="21"/>
              </w:rPr>
              <w:t xml:space="preserve"> rch.client.reactive.pa ssword</w:t>
            </w:r>
          </w:p>
        </w:tc>
        <w:tc>
          <w:tcPr>
            <w:tcW w:w="2494" w:type="dxa"/>
          </w:tcPr>
          <w:p w14:paraId="14ED5BEF" w14:textId="77777777" w:rsidR="00A720EB" w:rsidRDefault="00A720EB">
            <w:pPr>
              <w:pStyle w:val="TableParagraph"/>
              <w:spacing w:before="0"/>
              <w:ind w:left="0"/>
              <w:rPr>
                <w:rFonts w:ascii="Times New Roman"/>
                <w:sz w:val="20"/>
              </w:rPr>
            </w:pPr>
          </w:p>
        </w:tc>
        <w:tc>
          <w:tcPr>
            <w:tcW w:w="4988" w:type="dxa"/>
          </w:tcPr>
          <w:p w14:paraId="70EC8F8D" w14:textId="77777777" w:rsidR="00A720EB" w:rsidRDefault="0030286B">
            <w:pPr>
              <w:pStyle w:val="TableParagraph"/>
              <w:spacing w:before="92"/>
              <w:rPr>
                <w:rFonts w:ascii="Cambria"/>
                <w:sz w:val="21"/>
              </w:rPr>
            </w:pPr>
            <w:r>
              <w:rPr>
                <w:rFonts w:ascii="Cambria"/>
                <w:color w:val="333333"/>
                <w:w w:val="110"/>
                <w:sz w:val="21"/>
              </w:rPr>
              <w:t>Credentials password.</w:t>
            </w:r>
          </w:p>
        </w:tc>
      </w:tr>
      <w:tr w:rsidR="00A720EB" w14:paraId="2BE9CDF8" w14:textId="77777777">
        <w:trPr>
          <w:trHeight w:val="886"/>
        </w:trPr>
        <w:tc>
          <w:tcPr>
            <w:tcW w:w="2494" w:type="dxa"/>
          </w:tcPr>
          <w:p w14:paraId="06065ECD"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data.elasticsea</w:t>
            </w:r>
            <w:proofErr w:type="gramEnd"/>
            <w:r>
              <w:rPr>
                <w:color w:val="B02045"/>
                <w:sz w:val="21"/>
              </w:rPr>
              <w:t xml:space="preserve"> rch.client.reactive.so cket-timeout</w:t>
            </w:r>
          </w:p>
        </w:tc>
        <w:tc>
          <w:tcPr>
            <w:tcW w:w="2494" w:type="dxa"/>
          </w:tcPr>
          <w:p w14:paraId="3D6F99F7" w14:textId="77777777" w:rsidR="00A720EB" w:rsidRDefault="00A720EB">
            <w:pPr>
              <w:pStyle w:val="TableParagraph"/>
              <w:spacing w:before="0"/>
              <w:ind w:left="0"/>
              <w:rPr>
                <w:rFonts w:ascii="Times New Roman"/>
                <w:sz w:val="20"/>
              </w:rPr>
            </w:pPr>
          </w:p>
        </w:tc>
        <w:tc>
          <w:tcPr>
            <w:tcW w:w="4988" w:type="dxa"/>
          </w:tcPr>
          <w:p w14:paraId="7D727B1C" w14:textId="77777777" w:rsidR="00A720EB" w:rsidRDefault="0030286B">
            <w:pPr>
              <w:pStyle w:val="TableParagraph"/>
              <w:spacing w:before="92"/>
              <w:rPr>
                <w:rFonts w:ascii="Cambria"/>
                <w:sz w:val="21"/>
              </w:rPr>
            </w:pPr>
            <w:r>
              <w:rPr>
                <w:rFonts w:ascii="Cambria"/>
                <w:color w:val="333333"/>
                <w:w w:val="110"/>
                <w:sz w:val="21"/>
              </w:rPr>
              <w:t>Read and Write Socket timeout.</w:t>
            </w:r>
          </w:p>
        </w:tc>
      </w:tr>
      <w:tr w:rsidR="00A720EB" w14:paraId="3B390994" w14:textId="77777777">
        <w:trPr>
          <w:trHeight w:val="886"/>
        </w:trPr>
        <w:tc>
          <w:tcPr>
            <w:tcW w:w="2494" w:type="dxa"/>
          </w:tcPr>
          <w:p w14:paraId="438F730B"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data.elasticsea</w:t>
            </w:r>
            <w:proofErr w:type="gramEnd"/>
            <w:r>
              <w:rPr>
                <w:color w:val="B02045"/>
                <w:sz w:val="21"/>
              </w:rPr>
              <w:t xml:space="preserve"> rch.client.reactive.us e-ssl</w:t>
            </w:r>
          </w:p>
        </w:tc>
        <w:tc>
          <w:tcPr>
            <w:tcW w:w="2494" w:type="dxa"/>
          </w:tcPr>
          <w:p w14:paraId="713D3F90" w14:textId="77777777" w:rsidR="00A720EB" w:rsidRDefault="0030286B">
            <w:pPr>
              <w:pStyle w:val="TableParagraph"/>
              <w:rPr>
                <w:sz w:val="21"/>
              </w:rPr>
            </w:pPr>
            <w:r>
              <w:rPr>
                <w:color w:val="B02045"/>
                <w:sz w:val="21"/>
              </w:rPr>
              <w:t>false</w:t>
            </w:r>
          </w:p>
        </w:tc>
        <w:tc>
          <w:tcPr>
            <w:tcW w:w="4988" w:type="dxa"/>
          </w:tcPr>
          <w:p w14:paraId="55BC7DF5" w14:textId="77777777" w:rsidR="00A720EB" w:rsidRDefault="0030286B">
            <w:pPr>
              <w:pStyle w:val="TableParagraph"/>
              <w:spacing w:before="92" w:line="307" w:lineRule="auto"/>
              <w:rPr>
                <w:rFonts w:ascii="Cambria"/>
                <w:sz w:val="21"/>
              </w:rPr>
            </w:pPr>
            <w:r>
              <w:rPr>
                <w:rFonts w:ascii="Cambria"/>
                <w:color w:val="333333"/>
                <w:w w:val="110"/>
                <w:sz w:val="21"/>
              </w:rPr>
              <w:t>Whether the client should use SSL to connect to the endpoints.</w:t>
            </w:r>
          </w:p>
        </w:tc>
      </w:tr>
      <w:tr w:rsidR="00A720EB" w14:paraId="3D4EDBAE" w14:textId="77777777">
        <w:trPr>
          <w:trHeight w:val="886"/>
        </w:trPr>
        <w:tc>
          <w:tcPr>
            <w:tcW w:w="2494" w:type="dxa"/>
          </w:tcPr>
          <w:p w14:paraId="163149FC" w14:textId="77777777" w:rsidR="00A720EB" w:rsidRDefault="0030286B">
            <w:pPr>
              <w:pStyle w:val="TableParagraph"/>
              <w:spacing w:before="46" w:line="230" w:lineRule="auto"/>
              <w:ind w:right="113"/>
              <w:jc w:val="both"/>
              <w:rPr>
                <w:sz w:val="21"/>
              </w:rPr>
            </w:pPr>
            <w:r>
              <w:rPr>
                <w:color w:val="B02045"/>
                <w:sz w:val="21"/>
              </w:rPr>
              <w:t>spring.</w:t>
            </w:r>
            <w:proofErr w:type="gramStart"/>
            <w:r>
              <w:rPr>
                <w:color w:val="B02045"/>
                <w:sz w:val="21"/>
              </w:rPr>
              <w:t>data.elasticsea</w:t>
            </w:r>
            <w:proofErr w:type="gramEnd"/>
            <w:r>
              <w:rPr>
                <w:color w:val="B02045"/>
                <w:sz w:val="21"/>
              </w:rPr>
              <w:t xml:space="preserve"> rch.client.reactive.us ername</w:t>
            </w:r>
          </w:p>
        </w:tc>
        <w:tc>
          <w:tcPr>
            <w:tcW w:w="2494" w:type="dxa"/>
          </w:tcPr>
          <w:p w14:paraId="7BF00C81" w14:textId="77777777" w:rsidR="00A720EB" w:rsidRDefault="00A720EB">
            <w:pPr>
              <w:pStyle w:val="TableParagraph"/>
              <w:spacing w:before="0"/>
              <w:ind w:left="0"/>
              <w:rPr>
                <w:rFonts w:ascii="Times New Roman"/>
                <w:sz w:val="20"/>
              </w:rPr>
            </w:pPr>
          </w:p>
        </w:tc>
        <w:tc>
          <w:tcPr>
            <w:tcW w:w="4988" w:type="dxa"/>
          </w:tcPr>
          <w:p w14:paraId="431CA766" w14:textId="77777777" w:rsidR="00A720EB" w:rsidRDefault="0030286B">
            <w:pPr>
              <w:pStyle w:val="TableParagraph"/>
              <w:spacing w:before="92"/>
              <w:rPr>
                <w:rFonts w:ascii="Cambria"/>
                <w:sz w:val="21"/>
              </w:rPr>
            </w:pPr>
            <w:r>
              <w:rPr>
                <w:rFonts w:ascii="Cambria"/>
                <w:color w:val="333333"/>
                <w:w w:val="110"/>
                <w:sz w:val="21"/>
              </w:rPr>
              <w:t>Credentials username.</w:t>
            </w:r>
          </w:p>
        </w:tc>
      </w:tr>
      <w:tr w:rsidR="00A720EB" w14:paraId="4D3C558D" w14:textId="77777777">
        <w:trPr>
          <w:trHeight w:val="886"/>
        </w:trPr>
        <w:tc>
          <w:tcPr>
            <w:tcW w:w="2494" w:type="dxa"/>
          </w:tcPr>
          <w:p w14:paraId="154E8412" w14:textId="77777777" w:rsidR="00A720EB" w:rsidRDefault="0030286B">
            <w:pPr>
              <w:pStyle w:val="TableParagraph"/>
              <w:spacing w:before="46" w:line="230" w:lineRule="auto"/>
              <w:ind w:right="113"/>
              <w:jc w:val="both"/>
              <w:rPr>
                <w:sz w:val="21"/>
              </w:rPr>
            </w:pPr>
            <w:r>
              <w:rPr>
                <w:color w:val="B02045"/>
                <w:sz w:val="21"/>
              </w:rPr>
              <w:lastRenderedPageBreak/>
              <w:t>spring.</w:t>
            </w:r>
            <w:proofErr w:type="gramStart"/>
            <w:r>
              <w:rPr>
                <w:color w:val="B02045"/>
                <w:sz w:val="21"/>
              </w:rPr>
              <w:t>data.elasticsea</w:t>
            </w:r>
            <w:proofErr w:type="gramEnd"/>
            <w:r>
              <w:rPr>
                <w:color w:val="B02045"/>
                <w:sz w:val="21"/>
              </w:rPr>
              <w:t xml:space="preserve"> rch.repositories.enabl ed</w:t>
            </w:r>
          </w:p>
        </w:tc>
        <w:tc>
          <w:tcPr>
            <w:tcW w:w="2494" w:type="dxa"/>
          </w:tcPr>
          <w:p w14:paraId="002D6290" w14:textId="77777777" w:rsidR="00A720EB" w:rsidRDefault="0030286B">
            <w:pPr>
              <w:pStyle w:val="TableParagraph"/>
              <w:spacing w:before="37"/>
              <w:rPr>
                <w:sz w:val="21"/>
              </w:rPr>
            </w:pPr>
            <w:r>
              <w:rPr>
                <w:color w:val="B02045"/>
                <w:sz w:val="21"/>
              </w:rPr>
              <w:t>true</w:t>
            </w:r>
          </w:p>
        </w:tc>
        <w:tc>
          <w:tcPr>
            <w:tcW w:w="4988" w:type="dxa"/>
          </w:tcPr>
          <w:p w14:paraId="682ACE61" w14:textId="77777777" w:rsidR="00A720EB" w:rsidRDefault="0030286B">
            <w:pPr>
              <w:pStyle w:val="TableParagraph"/>
              <w:spacing w:before="92"/>
              <w:rPr>
                <w:rFonts w:ascii="Cambria"/>
                <w:sz w:val="21"/>
              </w:rPr>
            </w:pPr>
            <w:r>
              <w:rPr>
                <w:rFonts w:ascii="Cambria"/>
                <w:color w:val="333333"/>
                <w:w w:val="110"/>
                <w:sz w:val="21"/>
              </w:rPr>
              <w:t>Whether to enable Elasticsearch repositories.</w:t>
            </w:r>
          </w:p>
        </w:tc>
      </w:tr>
    </w:tbl>
    <w:p w14:paraId="1EAAE32F"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80C53E3" w14:textId="77777777">
        <w:trPr>
          <w:trHeight w:val="415"/>
        </w:trPr>
        <w:tc>
          <w:tcPr>
            <w:tcW w:w="2494" w:type="dxa"/>
            <w:tcBorders>
              <w:bottom w:val="single" w:sz="12" w:space="0" w:color="DDDDDD"/>
            </w:tcBorders>
          </w:tcPr>
          <w:p w14:paraId="1CDA3733"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7A84710C"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5F1CB2D"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3D6C8A6" w14:textId="77777777">
        <w:trPr>
          <w:trHeight w:val="617"/>
        </w:trPr>
        <w:tc>
          <w:tcPr>
            <w:tcW w:w="2494" w:type="dxa"/>
            <w:tcBorders>
              <w:top w:val="single" w:sz="12" w:space="0" w:color="DDDDDD"/>
            </w:tcBorders>
          </w:tcPr>
          <w:p w14:paraId="3BFB23CD" w14:textId="77777777" w:rsidR="00A720EB" w:rsidRDefault="0030286B">
            <w:pPr>
              <w:pStyle w:val="TableParagraph"/>
              <w:spacing w:before="36" w:line="230" w:lineRule="auto"/>
              <w:ind w:right="94"/>
              <w:rPr>
                <w:sz w:val="21"/>
              </w:rPr>
            </w:pPr>
            <w:r>
              <w:rPr>
                <w:color w:val="B02045"/>
                <w:sz w:val="21"/>
              </w:rPr>
              <w:t>spring.</w:t>
            </w:r>
            <w:proofErr w:type="gramStart"/>
            <w:r>
              <w:rPr>
                <w:color w:val="B02045"/>
                <w:sz w:val="21"/>
              </w:rPr>
              <w:t>data.jdbc</w:t>
            </w:r>
            <w:proofErr w:type="gramEnd"/>
            <w:r>
              <w:rPr>
                <w:color w:val="B02045"/>
                <w:sz w:val="21"/>
              </w:rPr>
              <w:t>.repos itories.enabled</w:t>
            </w:r>
          </w:p>
        </w:tc>
        <w:tc>
          <w:tcPr>
            <w:tcW w:w="2494" w:type="dxa"/>
            <w:tcBorders>
              <w:top w:val="single" w:sz="12" w:space="0" w:color="DDDDDD"/>
            </w:tcBorders>
          </w:tcPr>
          <w:p w14:paraId="2C993E60"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0DFAA69F" w14:textId="77777777" w:rsidR="00A720EB" w:rsidRDefault="0030286B">
            <w:pPr>
              <w:pStyle w:val="TableParagraph"/>
              <w:spacing w:before="82"/>
              <w:rPr>
                <w:rFonts w:ascii="Cambria"/>
                <w:sz w:val="21"/>
              </w:rPr>
            </w:pPr>
            <w:r>
              <w:rPr>
                <w:rFonts w:ascii="Cambria"/>
                <w:color w:val="333333"/>
                <w:w w:val="110"/>
                <w:sz w:val="21"/>
              </w:rPr>
              <w:t>Whether to enable JDBC repositories.</w:t>
            </w:r>
          </w:p>
        </w:tc>
      </w:tr>
      <w:tr w:rsidR="00A720EB" w14:paraId="37169A82" w14:textId="77777777">
        <w:trPr>
          <w:trHeight w:val="627"/>
        </w:trPr>
        <w:tc>
          <w:tcPr>
            <w:tcW w:w="2494" w:type="dxa"/>
          </w:tcPr>
          <w:p w14:paraId="41DC6C8F" w14:textId="77777777" w:rsidR="00A720EB" w:rsidRDefault="0030286B">
            <w:pPr>
              <w:pStyle w:val="TableParagraph"/>
              <w:spacing w:before="46" w:line="230" w:lineRule="auto"/>
              <w:ind w:right="113"/>
              <w:rPr>
                <w:sz w:val="21"/>
              </w:rPr>
            </w:pPr>
            <w:proofErr w:type="gramStart"/>
            <w:r>
              <w:rPr>
                <w:color w:val="B02045"/>
                <w:sz w:val="21"/>
              </w:rPr>
              <w:t>spring.data.jpa.reposi</w:t>
            </w:r>
            <w:proofErr w:type="gramEnd"/>
            <w:r>
              <w:rPr>
                <w:color w:val="B02045"/>
                <w:sz w:val="21"/>
              </w:rPr>
              <w:t xml:space="preserve"> tories.bootstrap-mode</w:t>
            </w:r>
          </w:p>
        </w:tc>
        <w:tc>
          <w:tcPr>
            <w:tcW w:w="2494" w:type="dxa"/>
          </w:tcPr>
          <w:p w14:paraId="403D8523" w14:textId="77777777" w:rsidR="00A720EB" w:rsidRDefault="0030286B">
            <w:pPr>
              <w:pStyle w:val="TableParagraph"/>
              <w:spacing w:before="37"/>
              <w:rPr>
                <w:sz w:val="21"/>
              </w:rPr>
            </w:pPr>
            <w:r>
              <w:rPr>
                <w:color w:val="B02045"/>
                <w:sz w:val="21"/>
              </w:rPr>
              <w:t>deferred</w:t>
            </w:r>
          </w:p>
        </w:tc>
        <w:tc>
          <w:tcPr>
            <w:tcW w:w="4988" w:type="dxa"/>
          </w:tcPr>
          <w:p w14:paraId="13296BBB" w14:textId="77777777" w:rsidR="00A720EB" w:rsidRDefault="0030286B">
            <w:pPr>
              <w:pStyle w:val="TableParagraph"/>
              <w:spacing w:before="92"/>
              <w:rPr>
                <w:rFonts w:ascii="Cambria"/>
                <w:sz w:val="21"/>
              </w:rPr>
            </w:pPr>
            <w:r>
              <w:rPr>
                <w:rFonts w:ascii="Cambria"/>
                <w:color w:val="333333"/>
                <w:w w:val="110"/>
                <w:sz w:val="21"/>
              </w:rPr>
              <w:t>Bootstrap mode for JPA repositories.</w:t>
            </w:r>
          </w:p>
        </w:tc>
      </w:tr>
      <w:tr w:rsidR="00A720EB" w14:paraId="045369A1" w14:textId="77777777">
        <w:trPr>
          <w:trHeight w:val="627"/>
        </w:trPr>
        <w:tc>
          <w:tcPr>
            <w:tcW w:w="2494" w:type="dxa"/>
          </w:tcPr>
          <w:p w14:paraId="79324231" w14:textId="77777777" w:rsidR="00A720EB" w:rsidRDefault="0030286B">
            <w:pPr>
              <w:pStyle w:val="TableParagraph"/>
              <w:spacing w:before="46" w:line="230" w:lineRule="auto"/>
              <w:ind w:right="94"/>
              <w:rPr>
                <w:sz w:val="21"/>
              </w:rPr>
            </w:pPr>
            <w:proofErr w:type="gramStart"/>
            <w:r>
              <w:rPr>
                <w:color w:val="B02045"/>
                <w:sz w:val="21"/>
              </w:rPr>
              <w:t>spring.data.jpa.reposi</w:t>
            </w:r>
            <w:proofErr w:type="gramEnd"/>
            <w:r>
              <w:rPr>
                <w:color w:val="B02045"/>
                <w:sz w:val="21"/>
              </w:rPr>
              <w:t xml:space="preserve"> tories.enabled</w:t>
            </w:r>
          </w:p>
        </w:tc>
        <w:tc>
          <w:tcPr>
            <w:tcW w:w="2494" w:type="dxa"/>
          </w:tcPr>
          <w:p w14:paraId="18225142" w14:textId="77777777" w:rsidR="00A720EB" w:rsidRDefault="0030286B">
            <w:pPr>
              <w:pStyle w:val="TableParagraph"/>
              <w:rPr>
                <w:sz w:val="21"/>
              </w:rPr>
            </w:pPr>
            <w:r>
              <w:rPr>
                <w:color w:val="B02045"/>
                <w:sz w:val="21"/>
              </w:rPr>
              <w:t>true</w:t>
            </w:r>
          </w:p>
        </w:tc>
        <w:tc>
          <w:tcPr>
            <w:tcW w:w="4988" w:type="dxa"/>
          </w:tcPr>
          <w:p w14:paraId="77940366" w14:textId="77777777" w:rsidR="00A720EB" w:rsidRDefault="0030286B">
            <w:pPr>
              <w:pStyle w:val="TableParagraph"/>
              <w:spacing w:before="92"/>
              <w:rPr>
                <w:rFonts w:ascii="Cambria"/>
                <w:sz w:val="21"/>
              </w:rPr>
            </w:pPr>
            <w:r>
              <w:rPr>
                <w:rFonts w:ascii="Cambria"/>
                <w:color w:val="333333"/>
                <w:w w:val="110"/>
                <w:sz w:val="21"/>
              </w:rPr>
              <w:t>Whether to enable JPA repositories.</w:t>
            </w:r>
          </w:p>
        </w:tc>
      </w:tr>
      <w:tr w:rsidR="00A720EB" w14:paraId="49E99BB4" w14:textId="77777777">
        <w:trPr>
          <w:trHeight w:val="627"/>
        </w:trPr>
        <w:tc>
          <w:tcPr>
            <w:tcW w:w="2494" w:type="dxa"/>
          </w:tcPr>
          <w:p w14:paraId="0F07E57C"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data.ldap</w:t>
            </w:r>
            <w:proofErr w:type="gramEnd"/>
            <w:r>
              <w:rPr>
                <w:color w:val="B02045"/>
                <w:sz w:val="21"/>
              </w:rPr>
              <w:t>.repos itories.enabled</w:t>
            </w:r>
          </w:p>
        </w:tc>
        <w:tc>
          <w:tcPr>
            <w:tcW w:w="2494" w:type="dxa"/>
          </w:tcPr>
          <w:p w14:paraId="3CFB8F07" w14:textId="77777777" w:rsidR="00A720EB" w:rsidRDefault="0030286B">
            <w:pPr>
              <w:pStyle w:val="TableParagraph"/>
              <w:rPr>
                <w:sz w:val="21"/>
              </w:rPr>
            </w:pPr>
            <w:r>
              <w:rPr>
                <w:color w:val="B02045"/>
                <w:sz w:val="21"/>
              </w:rPr>
              <w:t>true</w:t>
            </w:r>
          </w:p>
        </w:tc>
        <w:tc>
          <w:tcPr>
            <w:tcW w:w="4988" w:type="dxa"/>
          </w:tcPr>
          <w:p w14:paraId="19AAD63D" w14:textId="77777777" w:rsidR="00A720EB" w:rsidRDefault="0030286B">
            <w:pPr>
              <w:pStyle w:val="TableParagraph"/>
              <w:spacing w:before="92"/>
              <w:rPr>
                <w:rFonts w:ascii="Cambria"/>
                <w:sz w:val="21"/>
              </w:rPr>
            </w:pPr>
            <w:r>
              <w:rPr>
                <w:rFonts w:ascii="Cambria"/>
                <w:color w:val="333333"/>
                <w:w w:val="110"/>
                <w:sz w:val="21"/>
              </w:rPr>
              <w:t>Whether to enable LDAP repositories.</w:t>
            </w:r>
          </w:p>
        </w:tc>
      </w:tr>
      <w:tr w:rsidR="00A720EB" w14:paraId="5A0032A9" w14:textId="77777777">
        <w:trPr>
          <w:trHeight w:val="627"/>
        </w:trPr>
        <w:tc>
          <w:tcPr>
            <w:tcW w:w="2494" w:type="dxa"/>
          </w:tcPr>
          <w:p w14:paraId="2207356A" w14:textId="77777777" w:rsidR="00A720EB" w:rsidRDefault="0030286B">
            <w:pPr>
              <w:pStyle w:val="TableParagraph"/>
              <w:spacing w:before="46" w:line="230" w:lineRule="auto"/>
              <w:ind w:right="113"/>
              <w:rPr>
                <w:sz w:val="21"/>
              </w:rPr>
            </w:pPr>
            <w:r>
              <w:rPr>
                <w:color w:val="B02045"/>
                <w:sz w:val="21"/>
              </w:rPr>
              <w:t>spring.data.mongodb.au thentication-database</w:t>
            </w:r>
          </w:p>
        </w:tc>
        <w:tc>
          <w:tcPr>
            <w:tcW w:w="2494" w:type="dxa"/>
          </w:tcPr>
          <w:p w14:paraId="0998E200" w14:textId="77777777" w:rsidR="00A720EB" w:rsidRDefault="00A720EB">
            <w:pPr>
              <w:pStyle w:val="TableParagraph"/>
              <w:spacing w:before="0"/>
              <w:ind w:left="0"/>
              <w:rPr>
                <w:rFonts w:ascii="Times New Roman"/>
                <w:sz w:val="20"/>
              </w:rPr>
            </w:pPr>
          </w:p>
        </w:tc>
        <w:tc>
          <w:tcPr>
            <w:tcW w:w="4988" w:type="dxa"/>
          </w:tcPr>
          <w:p w14:paraId="4922E035" w14:textId="77777777" w:rsidR="00A720EB" w:rsidRDefault="0030286B">
            <w:pPr>
              <w:pStyle w:val="TableParagraph"/>
              <w:spacing w:before="92"/>
              <w:rPr>
                <w:rFonts w:ascii="Cambria"/>
                <w:sz w:val="21"/>
              </w:rPr>
            </w:pPr>
            <w:r>
              <w:rPr>
                <w:rFonts w:ascii="Cambria"/>
                <w:color w:val="333333"/>
                <w:w w:val="115"/>
                <w:sz w:val="21"/>
              </w:rPr>
              <w:t>Authentication database name.</w:t>
            </w:r>
          </w:p>
        </w:tc>
      </w:tr>
      <w:tr w:rsidR="00A720EB" w14:paraId="78431D8F" w14:textId="77777777">
        <w:trPr>
          <w:trHeight w:val="627"/>
        </w:trPr>
        <w:tc>
          <w:tcPr>
            <w:tcW w:w="2494" w:type="dxa"/>
          </w:tcPr>
          <w:p w14:paraId="54A45C54" w14:textId="77777777" w:rsidR="00A720EB" w:rsidRDefault="0030286B">
            <w:pPr>
              <w:pStyle w:val="TableParagraph"/>
              <w:spacing w:before="46" w:line="230" w:lineRule="auto"/>
              <w:ind w:right="113"/>
              <w:rPr>
                <w:sz w:val="21"/>
              </w:rPr>
            </w:pPr>
            <w:r>
              <w:rPr>
                <w:color w:val="B02045"/>
                <w:sz w:val="21"/>
              </w:rPr>
              <w:t>spring.data.mongodb.au to-index-creation</w:t>
            </w:r>
          </w:p>
        </w:tc>
        <w:tc>
          <w:tcPr>
            <w:tcW w:w="2494" w:type="dxa"/>
          </w:tcPr>
          <w:p w14:paraId="4076E1AD" w14:textId="77777777" w:rsidR="00A720EB" w:rsidRDefault="00A720EB">
            <w:pPr>
              <w:pStyle w:val="TableParagraph"/>
              <w:spacing w:before="0"/>
              <w:ind w:left="0"/>
              <w:rPr>
                <w:rFonts w:ascii="Times New Roman"/>
                <w:sz w:val="20"/>
              </w:rPr>
            </w:pPr>
          </w:p>
        </w:tc>
        <w:tc>
          <w:tcPr>
            <w:tcW w:w="4988" w:type="dxa"/>
          </w:tcPr>
          <w:p w14:paraId="2BBC778D" w14:textId="77777777" w:rsidR="00A720EB" w:rsidRDefault="0030286B">
            <w:pPr>
              <w:pStyle w:val="TableParagraph"/>
              <w:spacing w:before="92"/>
              <w:rPr>
                <w:rFonts w:ascii="Cambria"/>
                <w:sz w:val="21"/>
              </w:rPr>
            </w:pPr>
            <w:r>
              <w:rPr>
                <w:rFonts w:ascii="Cambria"/>
                <w:color w:val="333333"/>
                <w:w w:val="110"/>
                <w:sz w:val="21"/>
              </w:rPr>
              <w:t>Whether to enable auto-index creation.</w:t>
            </w:r>
          </w:p>
        </w:tc>
      </w:tr>
      <w:tr w:rsidR="00A720EB" w14:paraId="1AC731FE" w14:textId="77777777">
        <w:trPr>
          <w:trHeight w:val="627"/>
        </w:trPr>
        <w:tc>
          <w:tcPr>
            <w:tcW w:w="2494" w:type="dxa"/>
          </w:tcPr>
          <w:p w14:paraId="41D1DFC6"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data.mongodb</w:t>
            </w:r>
            <w:proofErr w:type="gramEnd"/>
            <w:r>
              <w:rPr>
                <w:color w:val="B02045"/>
                <w:sz w:val="21"/>
              </w:rPr>
              <w:t>.da tabase</w:t>
            </w:r>
          </w:p>
        </w:tc>
        <w:tc>
          <w:tcPr>
            <w:tcW w:w="2494" w:type="dxa"/>
          </w:tcPr>
          <w:p w14:paraId="2B828D44" w14:textId="77777777" w:rsidR="00A720EB" w:rsidRDefault="00A720EB">
            <w:pPr>
              <w:pStyle w:val="TableParagraph"/>
              <w:spacing w:before="0"/>
              <w:ind w:left="0"/>
              <w:rPr>
                <w:rFonts w:ascii="Times New Roman"/>
                <w:sz w:val="20"/>
              </w:rPr>
            </w:pPr>
          </w:p>
        </w:tc>
        <w:tc>
          <w:tcPr>
            <w:tcW w:w="4988" w:type="dxa"/>
          </w:tcPr>
          <w:p w14:paraId="4A72377A" w14:textId="77777777" w:rsidR="00A720EB" w:rsidRDefault="0030286B">
            <w:pPr>
              <w:pStyle w:val="TableParagraph"/>
              <w:spacing w:before="92"/>
              <w:rPr>
                <w:rFonts w:ascii="Cambria"/>
                <w:sz w:val="21"/>
              </w:rPr>
            </w:pPr>
            <w:r>
              <w:rPr>
                <w:rFonts w:ascii="Cambria"/>
                <w:color w:val="333333"/>
                <w:w w:val="115"/>
                <w:sz w:val="21"/>
              </w:rPr>
              <w:t>Database name.</w:t>
            </w:r>
          </w:p>
        </w:tc>
      </w:tr>
      <w:tr w:rsidR="00A720EB" w14:paraId="5DE87CC0" w14:textId="77777777">
        <w:trPr>
          <w:trHeight w:val="741"/>
        </w:trPr>
        <w:tc>
          <w:tcPr>
            <w:tcW w:w="2494" w:type="dxa"/>
          </w:tcPr>
          <w:p w14:paraId="66D59B9D" w14:textId="77777777" w:rsidR="00A720EB" w:rsidRDefault="0030286B">
            <w:pPr>
              <w:pStyle w:val="TableParagraph"/>
              <w:spacing w:before="46" w:line="230" w:lineRule="auto"/>
              <w:ind w:right="113"/>
              <w:rPr>
                <w:sz w:val="21"/>
              </w:rPr>
            </w:pPr>
            <w:r>
              <w:rPr>
                <w:color w:val="B02045"/>
                <w:sz w:val="21"/>
              </w:rPr>
              <w:t>spring.data.mongodb.fi eld-naming-strategy</w:t>
            </w:r>
          </w:p>
        </w:tc>
        <w:tc>
          <w:tcPr>
            <w:tcW w:w="2494" w:type="dxa"/>
          </w:tcPr>
          <w:p w14:paraId="2BBFB4AC" w14:textId="77777777" w:rsidR="00A720EB" w:rsidRDefault="00A720EB">
            <w:pPr>
              <w:pStyle w:val="TableParagraph"/>
              <w:spacing w:before="0"/>
              <w:ind w:left="0"/>
              <w:rPr>
                <w:rFonts w:ascii="Times New Roman"/>
                <w:sz w:val="20"/>
              </w:rPr>
            </w:pPr>
          </w:p>
        </w:tc>
        <w:tc>
          <w:tcPr>
            <w:tcW w:w="4988" w:type="dxa"/>
          </w:tcPr>
          <w:p w14:paraId="7482EDC4" w14:textId="77777777" w:rsidR="00A720EB" w:rsidRDefault="0030286B">
            <w:pPr>
              <w:pStyle w:val="TableParagraph"/>
              <w:spacing w:before="28" w:line="310" w:lineRule="atLeast"/>
              <w:rPr>
                <w:rFonts w:ascii="Cambria"/>
                <w:sz w:val="21"/>
              </w:rPr>
            </w:pPr>
            <w:r>
              <w:rPr>
                <w:rFonts w:ascii="Cambria"/>
                <w:color w:val="333333"/>
                <w:w w:val="110"/>
                <w:sz w:val="21"/>
              </w:rPr>
              <w:t>Fully qualified name of the FieldNamingStrategy to use.</w:t>
            </w:r>
          </w:p>
        </w:tc>
      </w:tr>
      <w:tr w:rsidR="00A720EB" w14:paraId="584D8F35" w14:textId="77777777">
        <w:trPr>
          <w:trHeight w:val="627"/>
        </w:trPr>
        <w:tc>
          <w:tcPr>
            <w:tcW w:w="2494" w:type="dxa"/>
          </w:tcPr>
          <w:p w14:paraId="3B06B807" w14:textId="77777777" w:rsidR="00A720EB" w:rsidRDefault="0030286B">
            <w:pPr>
              <w:pStyle w:val="TableParagraph"/>
              <w:spacing w:before="46" w:line="230" w:lineRule="auto"/>
              <w:ind w:right="113"/>
              <w:rPr>
                <w:sz w:val="21"/>
              </w:rPr>
            </w:pPr>
            <w:r>
              <w:rPr>
                <w:color w:val="B02045"/>
                <w:sz w:val="21"/>
              </w:rPr>
              <w:t>spring.data.mongodb.gr id-fs-database</w:t>
            </w:r>
          </w:p>
        </w:tc>
        <w:tc>
          <w:tcPr>
            <w:tcW w:w="2494" w:type="dxa"/>
          </w:tcPr>
          <w:p w14:paraId="0BCEBC10" w14:textId="77777777" w:rsidR="00A720EB" w:rsidRDefault="00A720EB">
            <w:pPr>
              <w:pStyle w:val="TableParagraph"/>
              <w:spacing w:before="0"/>
              <w:ind w:left="0"/>
              <w:rPr>
                <w:rFonts w:ascii="Times New Roman"/>
                <w:sz w:val="20"/>
              </w:rPr>
            </w:pPr>
          </w:p>
        </w:tc>
        <w:tc>
          <w:tcPr>
            <w:tcW w:w="4988" w:type="dxa"/>
          </w:tcPr>
          <w:p w14:paraId="15116B49" w14:textId="77777777" w:rsidR="00A720EB" w:rsidRDefault="0030286B">
            <w:pPr>
              <w:pStyle w:val="TableParagraph"/>
              <w:spacing w:before="92"/>
              <w:rPr>
                <w:rFonts w:ascii="Cambria"/>
                <w:sz w:val="21"/>
              </w:rPr>
            </w:pPr>
            <w:r>
              <w:rPr>
                <w:rFonts w:ascii="Cambria"/>
                <w:color w:val="333333"/>
                <w:w w:val="115"/>
                <w:sz w:val="21"/>
              </w:rPr>
              <w:t>GridFS database name.</w:t>
            </w:r>
          </w:p>
        </w:tc>
      </w:tr>
      <w:tr w:rsidR="00A720EB" w14:paraId="6719FB07" w14:textId="77777777">
        <w:trPr>
          <w:trHeight w:val="627"/>
        </w:trPr>
        <w:tc>
          <w:tcPr>
            <w:tcW w:w="2494" w:type="dxa"/>
          </w:tcPr>
          <w:p w14:paraId="327BCD3B"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data.mongodb</w:t>
            </w:r>
            <w:proofErr w:type="gramEnd"/>
            <w:r>
              <w:rPr>
                <w:color w:val="B02045"/>
                <w:sz w:val="21"/>
              </w:rPr>
              <w:t>.ho st</w:t>
            </w:r>
          </w:p>
        </w:tc>
        <w:tc>
          <w:tcPr>
            <w:tcW w:w="2494" w:type="dxa"/>
          </w:tcPr>
          <w:p w14:paraId="527D1644" w14:textId="77777777" w:rsidR="00A720EB" w:rsidRDefault="00A720EB">
            <w:pPr>
              <w:pStyle w:val="TableParagraph"/>
              <w:spacing w:before="0"/>
              <w:ind w:left="0"/>
              <w:rPr>
                <w:rFonts w:ascii="Times New Roman"/>
                <w:sz w:val="20"/>
              </w:rPr>
            </w:pPr>
          </w:p>
        </w:tc>
        <w:tc>
          <w:tcPr>
            <w:tcW w:w="4988" w:type="dxa"/>
          </w:tcPr>
          <w:p w14:paraId="23CC13A2" w14:textId="77777777" w:rsidR="00A720EB" w:rsidRDefault="0030286B">
            <w:pPr>
              <w:pStyle w:val="TableParagraph"/>
              <w:spacing w:before="92"/>
              <w:rPr>
                <w:rFonts w:ascii="Cambria"/>
                <w:sz w:val="21"/>
              </w:rPr>
            </w:pPr>
            <w:r>
              <w:rPr>
                <w:rFonts w:ascii="Cambria"/>
                <w:color w:val="333333"/>
                <w:w w:val="110"/>
                <w:sz w:val="21"/>
              </w:rPr>
              <w:t>Mongo server host. Cannot be set with URI.</w:t>
            </w:r>
          </w:p>
        </w:tc>
      </w:tr>
      <w:tr w:rsidR="00A720EB" w14:paraId="4C1E9FD7" w14:textId="77777777">
        <w:trPr>
          <w:trHeight w:val="741"/>
        </w:trPr>
        <w:tc>
          <w:tcPr>
            <w:tcW w:w="2494" w:type="dxa"/>
          </w:tcPr>
          <w:p w14:paraId="6AC018D4" w14:textId="77777777" w:rsidR="00A720EB" w:rsidRDefault="0030286B">
            <w:pPr>
              <w:pStyle w:val="TableParagraph"/>
              <w:spacing w:before="46" w:line="230" w:lineRule="auto"/>
              <w:ind w:right="94"/>
              <w:rPr>
                <w:sz w:val="21"/>
              </w:rPr>
            </w:pPr>
            <w:r>
              <w:rPr>
                <w:color w:val="B02045"/>
                <w:sz w:val="21"/>
              </w:rPr>
              <w:t>spring.data.mongodb.pa ssword</w:t>
            </w:r>
          </w:p>
        </w:tc>
        <w:tc>
          <w:tcPr>
            <w:tcW w:w="2494" w:type="dxa"/>
          </w:tcPr>
          <w:p w14:paraId="66855C53" w14:textId="77777777" w:rsidR="00A720EB" w:rsidRDefault="00A720EB">
            <w:pPr>
              <w:pStyle w:val="TableParagraph"/>
              <w:spacing w:before="0"/>
              <w:ind w:left="0"/>
              <w:rPr>
                <w:rFonts w:ascii="Times New Roman"/>
                <w:sz w:val="20"/>
              </w:rPr>
            </w:pPr>
          </w:p>
        </w:tc>
        <w:tc>
          <w:tcPr>
            <w:tcW w:w="4988" w:type="dxa"/>
          </w:tcPr>
          <w:p w14:paraId="2533B7CB" w14:textId="77777777" w:rsidR="00A720EB" w:rsidRDefault="0030286B">
            <w:pPr>
              <w:pStyle w:val="TableParagraph"/>
              <w:spacing w:before="28" w:line="310" w:lineRule="atLeast"/>
              <w:rPr>
                <w:rFonts w:ascii="Cambria"/>
                <w:sz w:val="21"/>
              </w:rPr>
            </w:pPr>
            <w:r>
              <w:rPr>
                <w:rFonts w:ascii="Cambria"/>
                <w:color w:val="333333"/>
                <w:w w:val="110"/>
                <w:sz w:val="21"/>
              </w:rPr>
              <w:t>Login password of the mongo server. Cannot be set with URI.</w:t>
            </w:r>
          </w:p>
        </w:tc>
      </w:tr>
      <w:tr w:rsidR="00A720EB" w14:paraId="421C3EE8" w14:textId="77777777">
        <w:trPr>
          <w:trHeight w:val="627"/>
        </w:trPr>
        <w:tc>
          <w:tcPr>
            <w:tcW w:w="2494" w:type="dxa"/>
          </w:tcPr>
          <w:p w14:paraId="4DE6E4AE"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data.mongodb</w:t>
            </w:r>
            <w:proofErr w:type="gramEnd"/>
            <w:r>
              <w:rPr>
                <w:color w:val="B02045"/>
                <w:sz w:val="21"/>
              </w:rPr>
              <w:t>.po rt</w:t>
            </w:r>
          </w:p>
        </w:tc>
        <w:tc>
          <w:tcPr>
            <w:tcW w:w="2494" w:type="dxa"/>
          </w:tcPr>
          <w:p w14:paraId="2DDFBE6E" w14:textId="77777777" w:rsidR="00A720EB" w:rsidRDefault="00A720EB">
            <w:pPr>
              <w:pStyle w:val="TableParagraph"/>
              <w:spacing w:before="0"/>
              <w:ind w:left="0"/>
              <w:rPr>
                <w:rFonts w:ascii="Times New Roman"/>
                <w:sz w:val="20"/>
              </w:rPr>
            </w:pPr>
          </w:p>
        </w:tc>
        <w:tc>
          <w:tcPr>
            <w:tcW w:w="4988" w:type="dxa"/>
          </w:tcPr>
          <w:p w14:paraId="7B9945EB" w14:textId="77777777" w:rsidR="00A720EB" w:rsidRDefault="0030286B">
            <w:pPr>
              <w:pStyle w:val="TableParagraph"/>
              <w:spacing w:before="92"/>
              <w:rPr>
                <w:rFonts w:ascii="Cambria"/>
                <w:sz w:val="21"/>
              </w:rPr>
            </w:pPr>
            <w:r>
              <w:rPr>
                <w:rFonts w:ascii="Cambria"/>
                <w:color w:val="333333"/>
                <w:w w:val="110"/>
                <w:sz w:val="21"/>
              </w:rPr>
              <w:t>Mongo server port. Cannot be set with URI.</w:t>
            </w:r>
          </w:p>
        </w:tc>
      </w:tr>
      <w:tr w:rsidR="00A720EB" w14:paraId="4E0ACD84" w14:textId="77777777">
        <w:trPr>
          <w:trHeight w:val="741"/>
        </w:trPr>
        <w:tc>
          <w:tcPr>
            <w:tcW w:w="2494" w:type="dxa"/>
          </w:tcPr>
          <w:p w14:paraId="50A631E8" w14:textId="77777777" w:rsidR="00A720EB" w:rsidRDefault="0030286B">
            <w:pPr>
              <w:pStyle w:val="TableParagraph"/>
              <w:spacing w:before="46" w:line="230" w:lineRule="auto"/>
              <w:ind w:right="113"/>
              <w:rPr>
                <w:sz w:val="21"/>
              </w:rPr>
            </w:pPr>
            <w:r>
              <w:rPr>
                <w:color w:val="B02045"/>
                <w:sz w:val="21"/>
              </w:rPr>
              <w:t>spring.data.mongodb.re plica-set-name</w:t>
            </w:r>
          </w:p>
        </w:tc>
        <w:tc>
          <w:tcPr>
            <w:tcW w:w="2494" w:type="dxa"/>
          </w:tcPr>
          <w:p w14:paraId="12D57324" w14:textId="77777777" w:rsidR="00A720EB" w:rsidRDefault="00A720EB">
            <w:pPr>
              <w:pStyle w:val="TableParagraph"/>
              <w:spacing w:before="0"/>
              <w:ind w:left="0"/>
              <w:rPr>
                <w:rFonts w:ascii="Times New Roman"/>
                <w:sz w:val="20"/>
              </w:rPr>
            </w:pPr>
          </w:p>
        </w:tc>
        <w:tc>
          <w:tcPr>
            <w:tcW w:w="4988" w:type="dxa"/>
          </w:tcPr>
          <w:p w14:paraId="21AEE819" w14:textId="77777777" w:rsidR="00A720EB" w:rsidRDefault="0030286B">
            <w:pPr>
              <w:pStyle w:val="TableParagraph"/>
              <w:spacing w:before="28" w:line="310" w:lineRule="atLeast"/>
              <w:ind w:right="372"/>
              <w:rPr>
                <w:rFonts w:ascii="Cambria"/>
                <w:sz w:val="21"/>
              </w:rPr>
            </w:pPr>
            <w:r>
              <w:rPr>
                <w:rFonts w:ascii="Cambria"/>
                <w:color w:val="333333"/>
                <w:w w:val="110"/>
                <w:sz w:val="21"/>
              </w:rPr>
              <w:t>Required replica set name for the cluster. Cannot be set with URI.</w:t>
            </w:r>
          </w:p>
        </w:tc>
      </w:tr>
      <w:tr w:rsidR="00A720EB" w14:paraId="367AFEE0" w14:textId="77777777">
        <w:trPr>
          <w:trHeight w:val="627"/>
        </w:trPr>
        <w:tc>
          <w:tcPr>
            <w:tcW w:w="2494" w:type="dxa"/>
          </w:tcPr>
          <w:p w14:paraId="0F7B10E8" w14:textId="77777777" w:rsidR="00A720EB" w:rsidRDefault="0030286B">
            <w:pPr>
              <w:pStyle w:val="TableParagraph"/>
              <w:spacing w:before="46" w:line="230" w:lineRule="auto"/>
              <w:ind w:right="94"/>
              <w:rPr>
                <w:sz w:val="21"/>
              </w:rPr>
            </w:pPr>
            <w:r>
              <w:rPr>
                <w:color w:val="B02045"/>
                <w:sz w:val="21"/>
              </w:rPr>
              <w:t xml:space="preserve">spring.data.mongodb.re </w:t>
            </w:r>
            <w:proofErr w:type="gramStart"/>
            <w:r>
              <w:rPr>
                <w:color w:val="B02045"/>
                <w:sz w:val="21"/>
              </w:rPr>
              <w:t>positories.type</w:t>
            </w:r>
            <w:proofErr w:type="gramEnd"/>
          </w:p>
        </w:tc>
        <w:tc>
          <w:tcPr>
            <w:tcW w:w="2494" w:type="dxa"/>
          </w:tcPr>
          <w:p w14:paraId="7F44407C" w14:textId="77777777" w:rsidR="00A720EB" w:rsidRDefault="0030286B">
            <w:pPr>
              <w:pStyle w:val="TableParagraph"/>
              <w:spacing w:before="37"/>
              <w:rPr>
                <w:sz w:val="21"/>
              </w:rPr>
            </w:pPr>
            <w:r>
              <w:rPr>
                <w:color w:val="B02045"/>
                <w:sz w:val="21"/>
              </w:rPr>
              <w:t>auto</w:t>
            </w:r>
          </w:p>
        </w:tc>
        <w:tc>
          <w:tcPr>
            <w:tcW w:w="4988" w:type="dxa"/>
          </w:tcPr>
          <w:p w14:paraId="786ADBB1" w14:textId="77777777" w:rsidR="00A720EB" w:rsidRDefault="0030286B">
            <w:pPr>
              <w:pStyle w:val="TableParagraph"/>
              <w:spacing w:before="92"/>
              <w:rPr>
                <w:rFonts w:ascii="Cambria"/>
                <w:sz w:val="21"/>
              </w:rPr>
            </w:pPr>
            <w:r>
              <w:rPr>
                <w:rFonts w:ascii="Cambria"/>
                <w:color w:val="333333"/>
                <w:w w:val="110"/>
                <w:sz w:val="21"/>
              </w:rPr>
              <w:t>Type of Mongo repositories to enable.</w:t>
            </w:r>
          </w:p>
        </w:tc>
      </w:tr>
      <w:tr w:rsidR="00A720EB" w14:paraId="5AA602DB" w14:textId="77777777">
        <w:trPr>
          <w:trHeight w:val="741"/>
        </w:trPr>
        <w:tc>
          <w:tcPr>
            <w:tcW w:w="2494" w:type="dxa"/>
          </w:tcPr>
          <w:p w14:paraId="2790AEAB"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data.mongodb</w:t>
            </w:r>
            <w:proofErr w:type="gramEnd"/>
            <w:r>
              <w:rPr>
                <w:color w:val="B02045"/>
                <w:sz w:val="21"/>
              </w:rPr>
              <w:t>.ur i</w:t>
            </w:r>
          </w:p>
        </w:tc>
        <w:tc>
          <w:tcPr>
            <w:tcW w:w="2494" w:type="dxa"/>
          </w:tcPr>
          <w:p w14:paraId="7489A10C" w14:textId="77777777" w:rsidR="00A720EB" w:rsidRDefault="0030286B">
            <w:pPr>
              <w:pStyle w:val="TableParagraph"/>
              <w:spacing w:before="46" w:line="230" w:lineRule="auto"/>
              <w:ind w:right="94"/>
              <w:rPr>
                <w:sz w:val="21"/>
              </w:rPr>
            </w:pPr>
            <w:r>
              <w:rPr>
                <w:color w:val="B02045"/>
                <w:sz w:val="21"/>
              </w:rPr>
              <w:t>mongodb://localhost/te st</w:t>
            </w:r>
          </w:p>
        </w:tc>
        <w:tc>
          <w:tcPr>
            <w:tcW w:w="4988" w:type="dxa"/>
          </w:tcPr>
          <w:p w14:paraId="5EF43BC6" w14:textId="77777777" w:rsidR="00A720EB" w:rsidRDefault="0030286B">
            <w:pPr>
              <w:pStyle w:val="TableParagraph"/>
              <w:spacing w:before="28" w:line="310" w:lineRule="atLeast"/>
              <w:rPr>
                <w:rFonts w:ascii="Cambria"/>
                <w:sz w:val="21"/>
              </w:rPr>
            </w:pPr>
            <w:r>
              <w:rPr>
                <w:rFonts w:ascii="Cambria"/>
                <w:color w:val="333333"/>
                <w:w w:val="110"/>
                <w:sz w:val="21"/>
              </w:rPr>
              <w:t>Mongo database URI. Cannot be set with host, port, credentials and replica set name.</w:t>
            </w:r>
          </w:p>
        </w:tc>
      </w:tr>
      <w:tr w:rsidR="00A720EB" w14:paraId="388A8FE7" w14:textId="77777777">
        <w:trPr>
          <w:trHeight w:val="741"/>
        </w:trPr>
        <w:tc>
          <w:tcPr>
            <w:tcW w:w="2494" w:type="dxa"/>
          </w:tcPr>
          <w:p w14:paraId="2DC862ED" w14:textId="77777777" w:rsidR="00A720EB" w:rsidRDefault="0030286B">
            <w:pPr>
              <w:pStyle w:val="TableParagraph"/>
              <w:spacing w:before="46" w:line="230" w:lineRule="auto"/>
              <w:ind w:right="94"/>
              <w:rPr>
                <w:sz w:val="21"/>
              </w:rPr>
            </w:pPr>
            <w:r>
              <w:rPr>
                <w:color w:val="B02045"/>
                <w:sz w:val="21"/>
              </w:rPr>
              <w:t>spring.data.mongodb.us ername</w:t>
            </w:r>
          </w:p>
        </w:tc>
        <w:tc>
          <w:tcPr>
            <w:tcW w:w="2494" w:type="dxa"/>
          </w:tcPr>
          <w:p w14:paraId="7B87EFFE" w14:textId="77777777" w:rsidR="00A720EB" w:rsidRDefault="00A720EB">
            <w:pPr>
              <w:pStyle w:val="TableParagraph"/>
              <w:spacing w:before="0"/>
              <w:ind w:left="0"/>
              <w:rPr>
                <w:rFonts w:ascii="Times New Roman"/>
                <w:sz w:val="20"/>
              </w:rPr>
            </w:pPr>
          </w:p>
        </w:tc>
        <w:tc>
          <w:tcPr>
            <w:tcW w:w="4988" w:type="dxa"/>
          </w:tcPr>
          <w:p w14:paraId="290ED192" w14:textId="77777777" w:rsidR="00A720EB" w:rsidRDefault="0030286B">
            <w:pPr>
              <w:pStyle w:val="TableParagraph"/>
              <w:spacing w:before="28" w:line="310" w:lineRule="atLeast"/>
              <w:rPr>
                <w:rFonts w:ascii="Cambria"/>
                <w:sz w:val="21"/>
              </w:rPr>
            </w:pPr>
            <w:r>
              <w:rPr>
                <w:rFonts w:ascii="Cambria"/>
                <w:color w:val="333333"/>
                <w:w w:val="110"/>
                <w:sz w:val="21"/>
              </w:rPr>
              <w:t>Login user of the mongo server. Cannot be set with URI.</w:t>
            </w:r>
          </w:p>
        </w:tc>
      </w:tr>
      <w:tr w:rsidR="00A720EB" w14:paraId="4EA5AE4F" w14:textId="77777777">
        <w:trPr>
          <w:trHeight w:val="741"/>
        </w:trPr>
        <w:tc>
          <w:tcPr>
            <w:tcW w:w="2494" w:type="dxa"/>
          </w:tcPr>
          <w:p w14:paraId="36BF5DCC"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data.mongodb</w:t>
            </w:r>
            <w:proofErr w:type="gramEnd"/>
            <w:r>
              <w:rPr>
                <w:color w:val="B02045"/>
                <w:sz w:val="21"/>
              </w:rPr>
              <w:t>.uu id-representation</w:t>
            </w:r>
          </w:p>
        </w:tc>
        <w:tc>
          <w:tcPr>
            <w:tcW w:w="2494" w:type="dxa"/>
          </w:tcPr>
          <w:p w14:paraId="667E1C85" w14:textId="77777777" w:rsidR="00A720EB" w:rsidRDefault="0030286B">
            <w:pPr>
              <w:pStyle w:val="TableParagraph"/>
              <w:spacing w:before="37"/>
              <w:rPr>
                <w:sz w:val="21"/>
              </w:rPr>
            </w:pPr>
            <w:r>
              <w:rPr>
                <w:color w:val="B02045"/>
                <w:sz w:val="21"/>
              </w:rPr>
              <w:t>java-legacy</w:t>
            </w:r>
          </w:p>
        </w:tc>
        <w:tc>
          <w:tcPr>
            <w:tcW w:w="4988" w:type="dxa"/>
          </w:tcPr>
          <w:p w14:paraId="0F190A1D" w14:textId="77777777" w:rsidR="00A720EB" w:rsidRDefault="0030286B">
            <w:pPr>
              <w:pStyle w:val="TableParagraph"/>
              <w:spacing w:before="28" w:line="310" w:lineRule="atLeast"/>
              <w:ind w:right="218"/>
              <w:rPr>
                <w:rFonts w:ascii="Cambria"/>
                <w:sz w:val="21"/>
              </w:rPr>
            </w:pPr>
            <w:r>
              <w:rPr>
                <w:rFonts w:ascii="Cambria"/>
                <w:color w:val="333333"/>
                <w:w w:val="110"/>
                <w:sz w:val="21"/>
              </w:rPr>
              <w:t>Representation to use when converting a UUID to a BSON binary value.</w:t>
            </w:r>
          </w:p>
        </w:tc>
      </w:tr>
      <w:tr w:rsidR="00A720EB" w14:paraId="032B4D7D" w14:textId="77777777">
        <w:trPr>
          <w:trHeight w:val="627"/>
        </w:trPr>
        <w:tc>
          <w:tcPr>
            <w:tcW w:w="2494" w:type="dxa"/>
          </w:tcPr>
          <w:p w14:paraId="451CFA3F" w14:textId="77777777" w:rsidR="00A720EB" w:rsidRDefault="0030286B">
            <w:pPr>
              <w:pStyle w:val="TableParagraph"/>
              <w:spacing w:line="264" w:lineRule="exact"/>
              <w:rPr>
                <w:sz w:val="21"/>
              </w:rPr>
            </w:pPr>
            <w:r>
              <w:rPr>
                <w:color w:val="B02045"/>
                <w:sz w:val="21"/>
              </w:rPr>
              <w:t>spring.</w:t>
            </w:r>
            <w:proofErr w:type="gramStart"/>
            <w:r>
              <w:rPr>
                <w:color w:val="B02045"/>
                <w:sz w:val="21"/>
              </w:rPr>
              <w:t>data.neo4j.auto</w:t>
            </w:r>
            <w:proofErr w:type="gramEnd"/>
          </w:p>
          <w:p w14:paraId="03B90BCC" w14:textId="77777777" w:rsidR="00A720EB" w:rsidRDefault="0030286B">
            <w:pPr>
              <w:pStyle w:val="TableParagraph"/>
              <w:spacing w:before="0" w:line="264" w:lineRule="exact"/>
              <w:rPr>
                <w:sz w:val="21"/>
              </w:rPr>
            </w:pPr>
            <w:r>
              <w:rPr>
                <w:color w:val="B02045"/>
                <w:sz w:val="21"/>
              </w:rPr>
              <w:t>-index</w:t>
            </w:r>
          </w:p>
        </w:tc>
        <w:tc>
          <w:tcPr>
            <w:tcW w:w="2494" w:type="dxa"/>
          </w:tcPr>
          <w:p w14:paraId="6D063A78" w14:textId="77777777" w:rsidR="00A720EB" w:rsidRDefault="0030286B">
            <w:pPr>
              <w:pStyle w:val="TableParagraph"/>
              <w:rPr>
                <w:sz w:val="21"/>
              </w:rPr>
            </w:pPr>
            <w:r>
              <w:rPr>
                <w:color w:val="B02045"/>
                <w:sz w:val="21"/>
              </w:rPr>
              <w:t>none</w:t>
            </w:r>
          </w:p>
        </w:tc>
        <w:tc>
          <w:tcPr>
            <w:tcW w:w="4988" w:type="dxa"/>
          </w:tcPr>
          <w:p w14:paraId="22FDF1A0" w14:textId="77777777" w:rsidR="00A720EB" w:rsidRDefault="0030286B">
            <w:pPr>
              <w:pStyle w:val="TableParagraph"/>
              <w:spacing w:before="92"/>
              <w:rPr>
                <w:rFonts w:ascii="Cambria"/>
                <w:sz w:val="21"/>
              </w:rPr>
            </w:pPr>
            <w:r>
              <w:rPr>
                <w:rFonts w:ascii="Cambria"/>
                <w:color w:val="333333"/>
                <w:w w:val="110"/>
                <w:sz w:val="21"/>
              </w:rPr>
              <w:t>Auto index mode.</w:t>
            </w:r>
          </w:p>
        </w:tc>
      </w:tr>
      <w:tr w:rsidR="00A720EB" w14:paraId="353995B6" w14:textId="77777777">
        <w:trPr>
          <w:trHeight w:val="741"/>
        </w:trPr>
        <w:tc>
          <w:tcPr>
            <w:tcW w:w="2494" w:type="dxa"/>
          </w:tcPr>
          <w:p w14:paraId="2F485707"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data.neo4j.embe</w:t>
            </w:r>
            <w:proofErr w:type="gramEnd"/>
            <w:r>
              <w:rPr>
                <w:color w:val="B02045"/>
                <w:sz w:val="21"/>
              </w:rPr>
              <w:t xml:space="preserve"> dded.enabled</w:t>
            </w:r>
          </w:p>
        </w:tc>
        <w:tc>
          <w:tcPr>
            <w:tcW w:w="2494" w:type="dxa"/>
          </w:tcPr>
          <w:p w14:paraId="053F7E3E" w14:textId="77777777" w:rsidR="00A720EB" w:rsidRDefault="0030286B">
            <w:pPr>
              <w:pStyle w:val="TableParagraph"/>
              <w:rPr>
                <w:sz w:val="21"/>
              </w:rPr>
            </w:pPr>
            <w:r>
              <w:rPr>
                <w:color w:val="B02045"/>
                <w:sz w:val="21"/>
              </w:rPr>
              <w:t>true</w:t>
            </w:r>
          </w:p>
        </w:tc>
        <w:tc>
          <w:tcPr>
            <w:tcW w:w="4988" w:type="dxa"/>
          </w:tcPr>
          <w:p w14:paraId="6FDABAB5" w14:textId="77777777" w:rsidR="00A720EB" w:rsidRDefault="0030286B">
            <w:pPr>
              <w:pStyle w:val="TableParagraph"/>
              <w:spacing w:before="28" w:line="310" w:lineRule="atLeast"/>
              <w:rPr>
                <w:rFonts w:ascii="Cambria"/>
                <w:sz w:val="21"/>
              </w:rPr>
            </w:pPr>
            <w:r>
              <w:rPr>
                <w:rFonts w:ascii="Cambria"/>
                <w:color w:val="333333"/>
                <w:w w:val="110"/>
                <w:sz w:val="21"/>
              </w:rPr>
              <w:t>Whether to enable embedded mode if the embedded driver is available.</w:t>
            </w:r>
          </w:p>
        </w:tc>
      </w:tr>
      <w:tr w:rsidR="00A720EB" w14:paraId="77319B9C" w14:textId="77777777">
        <w:trPr>
          <w:trHeight w:val="1056"/>
        </w:trPr>
        <w:tc>
          <w:tcPr>
            <w:tcW w:w="2494" w:type="dxa"/>
          </w:tcPr>
          <w:p w14:paraId="7D312694"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data.neo4j.open</w:t>
            </w:r>
            <w:proofErr w:type="gramEnd"/>
          </w:p>
          <w:p w14:paraId="61A1F632" w14:textId="77777777" w:rsidR="00A720EB" w:rsidRDefault="0030286B">
            <w:pPr>
              <w:pStyle w:val="TableParagraph"/>
              <w:spacing w:before="0" w:line="264" w:lineRule="exact"/>
              <w:rPr>
                <w:sz w:val="21"/>
              </w:rPr>
            </w:pPr>
            <w:r>
              <w:rPr>
                <w:color w:val="B02045"/>
                <w:sz w:val="21"/>
              </w:rPr>
              <w:t>-in-view</w:t>
            </w:r>
          </w:p>
        </w:tc>
        <w:tc>
          <w:tcPr>
            <w:tcW w:w="2494" w:type="dxa"/>
          </w:tcPr>
          <w:p w14:paraId="1D6ED4E0" w14:textId="77777777" w:rsidR="00A720EB" w:rsidRDefault="0030286B">
            <w:pPr>
              <w:pStyle w:val="TableParagraph"/>
              <w:spacing w:before="37"/>
              <w:rPr>
                <w:sz w:val="21"/>
              </w:rPr>
            </w:pPr>
            <w:r>
              <w:rPr>
                <w:color w:val="B02045"/>
                <w:sz w:val="21"/>
              </w:rPr>
              <w:t>false</w:t>
            </w:r>
          </w:p>
        </w:tc>
        <w:tc>
          <w:tcPr>
            <w:tcW w:w="4988" w:type="dxa"/>
          </w:tcPr>
          <w:p w14:paraId="3FE960C1" w14:textId="77777777" w:rsidR="00A720EB" w:rsidRDefault="0030286B">
            <w:pPr>
              <w:pStyle w:val="TableParagraph"/>
              <w:spacing w:before="28" w:line="310" w:lineRule="atLeast"/>
              <w:rPr>
                <w:rFonts w:ascii="Cambria"/>
                <w:sz w:val="21"/>
              </w:rPr>
            </w:pPr>
            <w:r>
              <w:rPr>
                <w:rFonts w:ascii="Cambria"/>
                <w:color w:val="333333"/>
                <w:w w:val="110"/>
                <w:sz w:val="21"/>
              </w:rPr>
              <w:t>Register OpenSessionInViewInterceptor that binds a Neo4j Session to the thread for the entire processing of the request.</w:t>
            </w:r>
          </w:p>
        </w:tc>
      </w:tr>
      <w:tr w:rsidR="00A720EB" w14:paraId="6F6DDDFA" w14:textId="77777777">
        <w:trPr>
          <w:trHeight w:val="627"/>
        </w:trPr>
        <w:tc>
          <w:tcPr>
            <w:tcW w:w="2494" w:type="dxa"/>
          </w:tcPr>
          <w:p w14:paraId="452BA529"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data.neo4j.pass</w:t>
            </w:r>
            <w:proofErr w:type="gramEnd"/>
            <w:r>
              <w:rPr>
                <w:color w:val="B02045"/>
                <w:sz w:val="21"/>
              </w:rPr>
              <w:t xml:space="preserve"> word</w:t>
            </w:r>
          </w:p>
        </w:tc>
        <w:tc>
          <w:tcPr>
            <w:tcW w:w="2494" w:type="dxa"/>
          </w:tcPr>
          <w:p w14:paraId="366BE88B" w14:textId="77777777" w:rsidR="00A720EB" w:rsidRDefault="00A720EB">
            <w:pPr>
              <w:pStyle w:val="TableParagraph"/>
              <w:spacing w:before="0"/>
              <w:ind w:left="0"/>
              <w:rPr>
                <w:rFonts w:ascii="Times New Roman"/>
                <w:sz w:val="20"/>
              </w:rPr>
            </w:pPr>
          </w:p>
        </w:tc>
        <w:tc>
          <w:tcPr>
            <w:tcW w:w="4988" w:type="dxa"/>
          </w:tcPr>
          <w:p w14:paraId="64C4DD62" w14:textId="77777777" w:rsidR="00A720EB" w:rsidRDefault="0030286B">
            <w:pPr>
              <w:pStyle w:val="TableParagraph"/>
              <w:spacing w:before="92"/>
              <w:rPr>
                <w:rFonts w:ascii="Cambria"/>
                <w:sz w:val="21"/>
              </w:rPr>
            </w:pPr>
            <w:r>
              <w:rPr>
                <w:rFonts w:ascii="Cambria"/>
                <w:color w:val="333333"/>
                <w:w w:val="110"/>
                <w:sz w:val="21"/>
              </w:rPr>
              <w:t>Login password of the server.</w:t>
            </w:r>
          </w:p>
        </w:tc>
      </w:tr>
    </w:tbl>
    <w:p w14:paraId="64E9B6CE"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3EAC2F3" w14:textId="77777777">
        <w:trPr>
          <w:trHeight w:val="415"/>
        </w:trPr>
        <w:tc>
          <w:tcPr>
            <w:tcW w:w="2494" w:type="dxa"/>
            <w:tcBorders>
              <w:bottom w:val="single" w:sz="12" w:space="0" w:color="DDDDDD"/>
            </w:tcBorders>
          </w:tcPr>
          <w:p w14:paraId="7516E7C1"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AC5DF09"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40A22ED"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5981EC4" w14:textId="77777777">
        <w:trPr>
          <w:trHeight w:val="617"/>
        </w:trPr>
        <w:tc>
          <w:tcPr>
            <w:tcW w:w="2494" w:type="dxa"/>
            <w:tcBorders>
              <w:top w:val="single" w:sz="12" w:space="0" w:color="DDDDDD"/>
            </w:tcBorders>
          </w:tcPr>
          <w:p w14:paraId="1045D0DA" w14:textId="77777777" w:rsidR="00A720EB" w:rsidRDefault="0030286B">
            <w:pPr>
              <w:pStyle w:val="TableParagraph"/>
              <w:spacing w:before="36" w:line="230" w:lineRule="auto"/>
              <w:ind w:right="94"/>
              <w:rPr>
                <w:sz w:val="21"/>
              </w:rPr>
            </w:pPr>
            <w:r>
              <w:rPr>
                <w:color w:val="B02045"/>
                <w:sz w:val="21"/>
              </w:rPr>
              <w:t>spring.</w:t>
            </w:r>
            <w:proofErr w:type="gramStart"/>
            <w:r>
              <w:rPr>
                <w:color w:val="B02045"/>
                <w:sz w:val="21"/>
              </w:rPr>
              <w:t>data.neo4j.repo</w:t>
            </w:r>
            <w:proofErr w:type="gramEnd"/>
            <w:r>
              <w:rPr>
                <w:color w:val="B02045"/>
                <w:sz w:val="21"/>
              </w:rPr>
              <w:t xml:space="preserve"> sitories.enabled</w:t>
            </w:r>
          </w:p>
        </w:tc>
        <w:tc>
          <w:tcPr>
            <w:tcW w:w="2494" w:type="dxa"/>
            <w:tcBorders>
              <w:top w:val="single" w:sz="12" w:space="0" w:color="DDDDDD"/>
            </w:tcBorders>
          </w:tcPr>
          <w:p w14:paraId="6169F650"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391B40F7" w14:textId="77777777" w:rsidR="00A720EB" w:rsidRDefault="0030286B">
            <w:pPr>
              <w:pStyle w:val="TableParagraph"/>
              <w:spacing w:before="82"/>
              <w:rPr>
                <w:rFonts w:ascii="Cambria"/>
                <w:sz w:val="21"/>
              </w:rPr>
            </w:pPr>
            <w:r>
              <w:rPr>
                <w:rFonts w:ascii="Cambria"/>
                <w:color w:val="333333"/>
                <w:w w:val="110"/>
                <w:sz w:val="21"/>
              </w:rPr>
              <w:t>Whether to enable Neo4j repositories.</w:t>
            </w:r>
          </w:p>
        </w:tc>
      </w:tr>
      <w:tr w:rsidR="00A720EB" w14:paraId="5AB7A6CC" w14:textId="77777777">
        <w:trPr>
          <w:trHeight w:val="425"/>
        </w:trPr>
        <w:tc>
          <w:tcPr>
            <w:tcW w:w="2494" w:type="dxa"/>
          </w:tcPr>
          <w:p w14:paraId="17E139A5" w14:textId="77777777" w:rsidR="00A720EB" w:rsidRDefault="0030286B">
            <w:pPr>
              <w:pStyle w:val="TableParagraph"/>
              <w:spacing w:before="37"/>
              <w:rPr>
                <w:sz w:val="21"/>
              </w:rPr>
            </w:pPr>
            <w:r>
              <w:rPr>
                <w:color w:val="B02045"/>
                <w:sz w:val="21"/>
              </w:rPr>
              <w:t>spring.data.neo4j.uri</w:t>
            </w:r>
          </w:p>
        </w:tc>
        <w:tc>
          <w:tcPr>
            <w:tcW w:w="2494" w:type="dxa"/>
          </w:tcPr>
          <w:p w14:paraId="366D2CC2" w14:textId="77777777" w:rsidR="00A720EB" w:rsidRDefault="00A720EB">
            <w:pPr>
              <w:pStyle w:val="TableParagraph"/>
              <w:spacing w:before="0"/>
              <w:ind w:left="0"/>
              <w:rPr>
                <w:rFonts w:ascii="Times New Roman"/>
                <w:sz w:val="20"/>
              </w:rPr>
            </w:pPr>
          </w:p>
        </w:tc>
        <w:tc>
          <w:tcPr>
            <w:tcW w:w="4988" w:type="dxa"/>
          </w:tcPr>
          <w:p w14:paraId="155AE2B3" w14:textId="77777777" w:rsidR="00A720EB" w:rsidRDefault="0030286B">
            <w:pPr>
              <w:pStyle w:val="TableParagraph"/>
              <w:spacing w:before="92"/>
              <w:rPr>
                <w:rFonts w:ascii="Cambria"/>
                <w:sz w:val="21"/>
              </w:rPr>
            </w:pPr>
            <w:r>
              <w:rPr>
                <w:rFonts w:ascii="Cambria"/>
                <w:color w:val="333333"/>
                <w:w w:val="110"/>
                <w:sz w:val="21"/>
              </w:rPr>
              <w:t>URI used by the driver. Auto-detected by default.</w:t>
            </w:r>
          </w:p>
        </w:tc>
      </w:tr>
      <w:tr w:rsidR="00A720EB" w14:paraId="2738EA03" w14:textId="77777777">
        <w:trPr>
          <w:trHeight w:val="741"/>
        </w:trPr>
        <w:tc>
          <w:tcPr>
            <w:tcW w:w="2494" w:type="dxa"/>
          </w:tcPr>
          <w:p w14:paraId="5286BBAC" w14:textId="77777777" w:rsidR="00A720EB" w:rsidRDefault="0030286B">
            <w:pPr>
              <w:pStyle w:val="TableParagraph"/>
              <w:spacing w:before="46" w:line="230" w:lineRule="auto"/>
              <w:ind w:right="113"/>
              <w:rPr>
                <w:sz w:val="21"/>
              </w:rPr>
            </w:pPr>
            <w:r>
              <w:rPr>
                <w:color w:val="B02045"/>
                <w:sz w:val="21"/>
              </w:rPr>
              <w:t>spring.data.neo4j.use- native-types</w:t>
            </w:r>
          </w:p>
        </w:tc>
        <w:tc>
          <w:tcPr>
            <w:tcW w:w="2494" w:type="dxa"/>
          </w:tcPr>
          <w:p w14:paraId="15DA8DFA" w14:textId="77777777" w:rsidR="00A720EB" w:rsidRDefault="0030286B">
            <w:pPr>
              <w:pStyle w:val="TableParagraph"/>
              <w:rPr>
                <w:sz w:val="21"/>
              </w:rPr>
            </w:pPr>
            <w:r>
              <w:rPr>
                <w:color w:val="B02045"/>
                <w:sz w:val="21"/>
              </w:rPr>
              <w:t>false</w:t>
            </w:r>
          </w:p>
        </w:tc>
        <w:tc>
          <w:tcPr>
            <w:tcW w:w="4988" w:type="dxa"/>
          </w:tcPr>
          <w:p w14:paraId="7C857726" w14:textId="77777777" w:rsidR="00A720EB" w:rsidRDefault="0030286B">
            <w:pPr>
              <w:pStyle w:val="TableParagraph"/>
              <w:spacing w:before="28" w:line="310" w:lineRule="atLeast"/>
              <w:rPr>
                <w:rFonts w:ascii="Cambria"/>
                <w:sz w:val="21"/>
              </w:rPr>
            </w:pPr>
            <w:r>
              <w:rPr>
                <w:rFonts w:ascii="Cambria"/>
                <w:color w:val="333333"/>
                <w:w w:val="110"/>
                <w:sz w:val="21"/>
              </w:rPr>
              <w:t>Whether to use Neo4j native types wherever possible.</w:t>
            </w:r>
          </w:p>
        </w:tc>
      </w:tr>
      <w:tr w:rsidR="00A720EB" w14:paraId="589444C6" w14:textId="77777777">
        <w:trPr>
          <w:trHeight w:val="627"/>
        </w:trPr>
        <w:tc>
          <w:tcPr>
            <w:tcW w:w="2494" w:type="dxa"/>
          </w:tcPr>
          <w:p w14:paraId="4D763CA5"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data.neo4j.user</w:t>
            </w:r>
            <w:proofErr w:type="gramEnd"/>
            <w:r>
              <w:rPr>
                <w:color w:val="B02045"/>
                <w:sz w:val="21"/>
              </w:rPr>
              <w:t xml:space="preserve"> name</w:t>
            </w:r>
          </w:p>
        </w:tc>
        <w:tc>
          <w:tcPr>
            <w:tcW w:w="2494" w:type="dxa"/>
          </w:tcPr>
          <w:p w14:paraId="4C0171B0" w14:textId="77777777" w:rsidR="00A720EB" w:rsidRDefault="00A720EB">
            <w:pPr>
              <w:pStyle w:val="TableParagraph"/>
              <w:spacing w:before="0"/>
              <w:ind w:left="0"/>
              <w:rPr>
                <w:rFonts w:ascii="Times New Roman"/>
                <w:sz w:val="20"/>
              </w:rPr>
            </w:pPr>
          </w:p>
        </w:tc>
        <w:tc>
          <w:tcPr>
            <w:tcW w:w="4988" w:type="dxa"/>
          </w:tcPr>
          <w:p w14:paraId="6E734E6B" w14:textId="77777777" w:rsidR="00A720EB" w:rsidRDefault="0030286B">
            <w:pPr>
              <w:pStyle w:val="TableParagraph"/>
              <w:spacing w:before="92"/>
              <w:rPr>
                <w:rFonts w:ascii="Cambria"/>
                <w:sz w:val="21"/>
              </w:rPr>
            </w:pPr>
            <w:r>
              <w:rPr>
                <w:rFonts w:ascii="Cambria"/>
                <w:color w:val="333333"/>
                <w:w w:val="110"/>
                <w:sz w:val="21"/>
              </w:rPr>
              <w:t>Login user of the server.</w:t>
            </w:r>
          </w:p>
        </w:tc>
      </w:tr>
      <w:tr w:rsidR="00A720EB" w14:paraId="410F47B1" w14:textId="77777777">
        <w:trPr>
          <w:trHeight w:val="627"/>
        </w:trPr>
        <w:tc>
          <w:tcPr>
            <w:tcW w:w="2494" w:type="dxa"/>
          </w:tcPr>
          <w:p w14:paraId="4B1F3AF8"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data.r2dbc.repo</w:t>
            </w:r>
            <w:proofErr w:type="gramEnd"/>
            <w:r>
              <w:rPr>
                <w:color w:val="B02045"/>
                <w:sz w:val="21"/>
              </w:rPr>
              <w:t xml:space="preserve"> sitories.enabled</w:t>
            </w:r>
          </w:p>
        </w:tc>
        <w:tc>
          <w:tcPr>
            <w:tcW w:w="2494" w:type="dxa"/>
          </w:tcPr>
          <w:p w14:paraId="08260A2C" w14:textId="77777777" w:rsidR="00A720EB" w:rsidRDefault="0030286B">
            <w:pPr>
              <w:pStyle w:val="TableParagraph"/>
              <w:spacing w:before="37"/>
              <w:rPr>
                <w:sz w:val="21"/>
              </w:rPr>
            </w:pPr>
            <w:r>
              <w:rPr>
                <w:color w:val="B02045"/>
                <w:sz w:val="21"/>
              </w:rPr>
              <w:t>true</w:t>
            </w:r>
          </w:p>
        </w:tc>
        <w:tc>
          <w:tcPr>
            <w:tcW w:w="4988" w:type="dxa"/>
          </w:tcPr>
          <w:p w14:paraId="3660F7CD" w14:textId="77777777" w:rsidR="00A720EB" w:rsidRDefault="0030286B">
            <w:pPr>
              <w:pStyle w:val="TableParagraph"/>
              <w:spacing w:before="92"/>
              <w:rPr>
                <w:rFonts w:ascii="Cambria"/>
                <w:sz w:val="21"/>
              </w:rPr>
            </w:pPr>
            <w:r>
              <w:rPr>
                <w:rFonts w:ascii="Cambria"/>
                <w:color w:val="333333"/>
                <w:w w:val="110"/>
                <w:sz w:val="21"/>
              </w:rPr>
              <w:t>Whether to enable R2DBC repositories.</w:t>
            </w:r>
          </w:p>
        </w:tc>
      </w:tr>
      <w:tr w:rsidR="00A720EB" w14:paraId="46CE9B57" w14:textId="77777777">
        <w:trPr>
          <w:trHeight w:val="627"/>
        </w:trPr>
        <w:tc>
          <w:tcPr>
            <w:tcW w:w="2494" w:type="dxa"/>
          </w:tcPr>
          <w:p w14:paraId="023E3170"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data.redis</w:t>
            </w:r>
            <w:proofErr w:type="gramEnd"/>
            <w:r>
              <w:rPr>
                <w:color w:val="B02045"/>
                <w:sz w:val="21"/>
              </w:rPr>
              <w:t>.repo sitories.enabled</w:t>
            </w:r>
          </w:p>
        </w:tc>
        <w:tc>
          <w:tcPr>
            <w:tcW w:w="2494" w:type="dxa"/>
          </w:tcPr>
          <w:p w14:paraId="26FB4AE3" w14:textId="77777777" w:rsidR="00A720EB" w:rsidRDefault="0030286B">
            <w:pPr>
              <w:pStyle w:val="TableParagraph"/>
              <w:spacing w:before="37"/>
              <w:rPr>
                <w:sz w:val="21"/>
              </w:rPr>
            </w:pPr>
            <w:r>
              <w:rPr>
                <w:color w:val="B02045"/>
                <w:sz w:val="21"/>
              </w:rPr>
              <w:t>true</w:t>
            </w:r>
          </w:p>
        </w:tc>
        <w:tc>
          <w:tcPr>
            <w:tcW w:w="4988" w:type="dxa"/>
          </w:tcPr>
          <w:p w14:paraId="1174BEF6" w14:textId="77777777" w:rsidR="00A720EB" w:rsidRDefault="0030286B">
            <w:pPr>
              <w:pStyle w:val="TableParagraph"/>
              <w:spacing w:before="92"/>
              <w:rPr>
                <w:rFonts w:ascii="Cambria"/>
                <w:sz w:val="21"/>
              </w:rPr>
            </w:pPr>
            <w:r>
              <w:rPr>
                <w:rFonts w:ascii="Cambria"/>
                <w:color w:val="333333"/>
                <w:w w:val="110"/>
                <w:sz w:val="21"/>
              </w:rPr>
              <w:t>Whether to enable Redis repositories.</w:t>
            </w:r>
          </w:p>
        </w:tc>
      </w:tr>
      <w:tr w:rsidR="00A720EB" w14:paraId="2263B70E" w14:textId="77777777">
        <w:trPr>
          <w:trHeight w:val="741"/>
        </w:trPr>
        <w:tc>
          <w:tcPr>
            <w:tcW w:w="2494" w:type="dxa"/>
          </w:tcPr>
          <w:p w14:paraId="7F2A2661"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data.rest</w:t>
            </w:r>
            <w:proofErr w:type="gramEnd"/>
            <w:r>
              <w:rPr>
                <w:color w:val="B02045"/>
                <w:sz w:val="21"/>
              </w:rPr>
              <w:t>.base- path</w:t>
            </w:r>
          </w:p>
        </w:tc>
        <w:tc>
          <w:tcPr>
            <w:tcW w:w="2494" w:type="dxa"/>
          </w:tcPr>
          <w:p w14:paraId="0F0F45E9" w14:textId="77777777" w:rsidR="00A720EB" w:rsidRDefault="00A720EB">
            <w:pPr>
              <w:pStyle w:val="TableParagraph"/>
              <w:spacing w:before="0"/>
              <w:ind w:left="0"/>
              <w:rPr>
                <w:rFonts w:ascii="Times New Roman"/>
                <w:sz w:val="20"/>
              </w:rPr>
            </w:pPr>
          </w:p>
        </w:tc>
        <w:tc>
          <w:tcPr>
            <w:tcW w:w="4988" w:type="dxa"/>
          </w:tcPr>
          <w:p w14:paraId="57F9BA0F" w14:textId="77777777" w:rsidR="00A720EB" w:rsidRDefault="0030286B">
            <w:pPr>
              <w:pStyle w:val="TableParagraph"/>
              <w:spacing w:before="28" w:line="310" w:lineRule="atLeast"/>
              <w:rPr>
                <w:rFonts w:ascii="Cambria"/>
                <w:sz w:val="21"/>
              </w:rPr>
            </w:pPr>
            <w:r>
              <w:rPr>
                <w:rFonts w:ascii="Cambria"/>
                <w:color w:val="333333"/>
                <w:w w:val="110"/>
                <w:sz w:val="21"/>
              </w:rPr>
              <w:t>Base path to be used by Spring Data REST to expose repository resources.</w:t>
            </w:r>
          </w:p>
        </w:tc>
      </w:tr>
      <w:tr w:rsidR="00A720EB" w14:paraId="5C82010B" w14:textId="77777777">
        <w:trPr>
          <w:trHeight w:val="741"/>
        </w:trPr>
        <w:tc>
          <w:tcPr>
            <w:tcW w:w="2494" w:type="dxa"/>
          </w:tcPr>
          <w:p w14:paraId="66725340"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data.rest</w:t>
            </w:r>
            <w:proofErr w:type="gramEnd"/>
            <w:r>
              <w:rPr>
                <w:color w:val="B02045"/>
                <w:sz w:val="21"/>
              </w:rPr>
              <w:t>.defau lt-media-type</w:t>
            </w:r>
          </w:p>
        </w:tc>
        <w:tc>
          <w:tcPr>
            <w:tcW w:w="2494" w:type="dxa"/>
          </w:tcPr>
          <w:p w14:paraId="4AF09CCF" w14:textId="77777777" w:rsidR="00A720EB" w:rsidRDefault="00A720EB">
            <w:pPr>
              <w:pStyle w:val="TableParagraph"/>
              <w:spacing w:before="0"/>
              <w:ind w:left="0"/>
              <w:rPr>
                <w:rFonts w:ascii="Times New Roman"/>
                <w:sz w:val="20"/>
              </w:rPr>
            </w:pPr>
          </w:p>
        </w:tc>
        <w:tc>
          <w:tcPr>
            <w:tcW w:w="4988" w:type="dxa"/>
          </w:tcPr>
          <w:p w14:paraId="0BBC93E2" w14:textId="77777777" w:rsidR="00A720EB" w:rsidRDefault="0030286B">
            <w:pPr>
              <w:pStyle w:val="TableParagraph"/>
              <w:spacing w:before="28" w:line="310" w:lineRule="atLeast"/>
              <w:rPr>
                <w:rFonts w:ascii="Cambria"/>
                <w:sz w:val="21"/>
              </w:rPr>
            </w:pPr>
            <w:r>
              <w:rPr>
                <w:rFonts w:ascii="Cambria"/>
                <w:color w:val="333333"/>
                <w:w w:val="110"/>
                <w:sz w:val="21"/>
              </w:rPr>
              <w:t>Content type to use as a default when none is specified.</w:t>
            </w:r>
          </w:p>
        </w:tc>
      </w:tr>
      <w:tr w:rsidR="00A720EB" w14:paraId="1AF2F33A" w14:textId="77777777">
        <w:trPr>
          <w:trHeight w:val="627"/>
        </w:trPr>
        <w:tc>
          <w:tcPr>
            <w:tcW w:w="2494" w:type="dxa"/>
          </w:tcPr>
          <w:p w14:paraId="026EE8D4"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data.rest</w:t>
            </w:r>
            <w:proofErr w:type="gramEnd"/>
            <w:r>
              <w:rPr>
                <w:color w:val="B02045"/>
                <w:sz w:val="21"/>
              </w:rPr>
              <w:t>.defau lt-page-size</w:t>
            </w:r>
          </w:p>
        </w:tc>
        <w:tc>
          <w:tcPr>
            <w:tcW w:w="2494" w:type="dxa"/>
          </w:tcPr>
          <w:p w14:paraId="73E6BAB8" w14:textId="77777777" w:rsidR="00A720EB" w:rsidRDefault="00A720EB">
            <w:pPr>
              <w:pStyle w:val="TableParagraph"/>
              <w:spacing w:before="0"/>
              <w:ind w:left="0"/>
              <w:rPr>
                <w:rFonts w:ascii="Times New Roman"/>
                <w:sz w:val="20"/>
              </w:rPr>
            </w:pPr>
          </w:p>
        </w:tc>
        <w:tc>
          <w:tcPr>
            <w:tcW w:w="4988" w:type="dxa"/>
          </w:tcPr>
          <w:p w14:paraId="75961D67" w14:textId="77777777" w:rsidR="00A720EB" w:rsidRDefault="0030286B">
            <w:pPr>
              <w:pStyle w:val="TableParagraph"/>
              <w:spacing w:before="92"/>
              <w:rPr>
                <w:rFonts w:ascii="Cambria"/>
                <w:sz w:val="21"/>
              </w:rPr>
            </w:pPr>
            <w:r>
              <w:rPr>
                <w:rFonts w:ascii="Cambria"/>
                <w:color w:val="333333"/>
                <w:w w:val="110"/>
                <w:sz w:val="21"/>
              </w:rPr>
              <w:t>Default size of pages.</w:t>
            </w:r>
          </w:p>
        </w:tc>
      </w:tr>
      <w:tr w:rsidR="00A720EB" w14:paraId="542EBEF5" w14:textId="77777777">
        <w:trPr>
          <w:trHeight w:val="741"/>
        </w:trPr>
        <w:tc>
          <w:tcPr>
            <w:tcW w:w="2494" w:type="dxa"/>
          </w:tcPr>
          <w:p w14:paraId="7569C6D1"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data.rest</w:t>
            </w:r>
            <w:proofErr w:type="gramEnd"/>
            <w:r>
              <w:rPr>
                <w:color w:val="B02045"/>
                <w:sz w:val="21"/>
              </w:rPr>
              <w:t>.detec tion-strategy</w:t>
            </w:r>
          </w:p>
        </w:tc>
        <w:tc>
          <w:tcPr>
            <w:tcW w:w="2494" w:type="dxa"/>
          </w:tcPr>
          <w:p w14:paraId="75FD3C74" w14:textId="77777777" w:rsidR="00A720EB" w:rsidRDefault="0030286B">
            <w:pPr>
              <w:pStyle w:val="TableParagraph"/>
              <w:spacing w:before="37"/>
              <w:rPr>
                <w:sz w:val="21"/>
              </w:rPr>
            </w:pPr>
            <w:r>
              <w:rPr>
                <w:color w:val="B02045"/>
                <w:sz w:val="21"/>
              </w:rPr>
              <w:t>default</w:t>
            </w:r>
          </w:p>
        </w:tc>
        <w:tc>
          <w:tcPr>
            <w:tcW w:w="4988" w:type="dxa"/>
          </w:tcPr>
          <w:p w14:paraId="0F052A26" w14:textId="77777777" w:rsidR="00A720EB" w:rsidRDefault="0030286B">
            <w:pPr>
              <w:pStyle w:val="TableParagraph"/>
              <w:spacing w:before="28" w:line="310" w:lineRule="atLeast"/>
              <w:rPr>
                <w:rFonts w:ascii="Cambria"/>
                <w:sz w:val="21"/>
              </w:rPr>
            </w:pPr>
            <w:r>
              <w:rPr>
                <w:rFonts w:ascii="Cambria"/>
                <w:color w:val="333333"/>
                <w:w w:val="110"/>
                <w:sz w:val="21"/>
              </w:rPr>
              <w:t>Strategy to use to determine which repositories get exposed.</w:t>
            </w:r>
          </w:p>
        </w:tc>
      </w:tr>
      <w:tr w:rsidR="00A720EB" w14:paraId="1B42B116" w14:textId="77777777">
        <w:trPr>
          <w:trHeight w:val="1056"/>
        </w:trPr>
        <w:tc>
          <w:tcPr>
            <w:tcW w:w="2494" w:type="dxa"/>
          </w:tcPr>
          <w:p w14:paraId="20609DF7"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data.rest</w:t>
            </w:r>
            <w:proofErr w:type="gramEnd"/>
            <w:r>
              <w:rPr>
                <w:color w:val="B02045"/>
                <w:sz w:val="21"/>
              </w:rPr>
              <w:t>.enabl e-enum-translation</w:t>
            </w:r>
          </w:p>
        </w:tc>
        <w:tc>
          <w:tcPr>
            <w:tcW w:w="2494" w:type="dxa"/>
          </w:tcPr>
          <w:p w14:paraId="3598C1DB" w14:textId="77777777" w:rsidR="00A720EB" w:rsidRDefault="00A720EB">
            <w:pPr>
              <w:pStyle w:val="TableParagraph"/>
              <w:spacing w:before="0"/>
              <w:ind w:left="0"/>
              <w:rPr>
                <w:rFonts w:ascii="Times New Roman"/>
                <w:sz w:val="20"/>
              </w:rPr>
            </w:pPr>
          </w:p>
        </w:tc>
        <w:tc>
          <w:tcPr>
            <w:tcW w:w="4988" w:type="dxa"/>
          </w:tcPr>
          <w:p w14:paraId="4051C015" w14:textId="77777777" w:rsidR="00A720EB" w:rsidRDefault="0030286B">
            <w:pPr>
              <w:pStyle w:val="TableParagraph"/>
              <w:spacing w:before="28" w:line="310" w:lineRule="atLeast"/>
              <w:rPr>
                <w:rFonts w:ascii="Cambria"/>
                <w:sz w:val="21"/>
              </w:rPr>
            </w:pPr>
            <w:r>
              <w:rPr>
                <w:rFonts w:ascii="Cambria"/>
                <w:color w:val="333333"/>
                <w:w w:val="110"/>
                <w:sz w:val="21"/>
              </w:rPr>
              <w:t>Whether to enable enum value translation through the Spring Data REST default resource bundle.</w:t>
            </w:r>
          </w:p>
        </w:tc>
      </w:tr>
      <w:tr w:rsidR="00A720EB" w14:paraId="6DA14010" w14:textId="77777777">
        <w:trPr>
          <w:trHeight w:val="741"/>
        </w:trPr>
        <w:tc>
          <w:tcPr>
            <w:tcW w:w="2494" w:type="dxa"/>
          </w:tcPr>
          <w:p w14:paraId="68904918" w14:textId="77777777" w:rsidR="00A720EB" w:rsidRDefault="0030286B">
            <w:pPr>
              <w:pStyle w:val="TableParagraph"/>
              <w:spacing w:line="264" w:lineRule="exact"/>
              <w:rPr>
                <w:sz w:val="21"/>
              </w:rPr>
            </w:pPr>
            <w:r>
              <w:rPr>
                <w:color w:val="B02045"/>
                <w:sz w:val="21"/>
              </w:rPr>
              <w:t>spring.</w:t>
            </w:r>
            <w:proofErr w:type="gramStart"/>
            <w:r>
              <w:rPr>
                <w:color w:val="B02045"/>
                <w:sz w:val="21"/>
              </w:rPr>
              <w:t>data.rest</w:t>
            </w:r>
            <w:proofErr w:type="gramEnd"/>
            <w:r>
              <w:rPr>
                <w:color w:val="B02045"/>
                <w:sz w:val="21"/>
              </w:rPr>
              <w:t>.limit</w:t>
            </w:r>
          </w:p>
          <w:p w14:paraId="02510F17" w14:textId="77777777" w:rsidR="00A720EB" w:rsidRDefault="0030286B">
            <w:pPr>
              <w:pStyle w:val="TableParagraph"/>
              <w:spacing w:before="0" w:line="264" w:lineRule="exact"/>
              <w:rPr>
                <w:sz w:val="21"/>
              </w:rPr>
            </w:pPr>
            <w:r>
              <w:rPr>
                <w:color w:val="B02045"/>
                <w:sz w:val="21"/>
              </w:rPr>
              <w:t>-param-name</w:t>
            </w:r>
          </w:p>
        </w:tc>
        <w:tc>
          <w:tcPr>
            <w:tcW w:w="2494" w:type="dxa"/>
          </w:tcPr>
          <w:p w14:paraId="7ABC9202" w14:textId="77777777" w:rsidR="00A720EB" w:rsidRDefault="00A720EB">
            <w:pPr>
              <w:pStyle w:val="TableParagraph"/>
              <w:spacing w:before="0"/>
              <w:ind w:left="0"/>
              <w:rPr>
                <w:rFonts w:ascii="Times New Roman"/>
                <w:sz w:val="20"/>
              </w:rPr>
            </w:pPr>
          </w:p>
        </w:tc>
        <w:tc>
          <w:tcPr>
            <w:tcW w:w="4988" w:type="dxa"/>
          </w:tcPr>
          <w:p w14:paraId="2F3A60D3" w14:textId="77777777" w:rsidR="00A720EB" w:rsidRDefault="0030286B">
            <w:pPr>
              <w:pStyle w:val="TableParagraph"/>
              <w:spacing w:before="28" w:line="310" w:lineRule="atLeast"/>
              <w:rPr>
                <w:rFonts w:ascii="Cambria"/>
                <w:sz w:val="21"/>
              </w:rPr>
            </w:pPr>
            <w:r>
              <w:rPr>
                <w:rFonts w:ascii="Cambria"/>
                <w:color w:val="333333"/>
                <w:w w:val="110"/>
                <w:sz w:val="21"/>
              </w:rPr>
              <w:t>Name of the URL query string parameter that indicates how many results to return at once.</w:t>
            </w:r>
          </w:p>
        </w:tc>
      </w:tr>
      <w:tr w:rsidR="00A720EB" w14:paraId="3995FD46" w14:textId="77777777">
        <w:trPr>
          <w:trHeight w:val="627"/>
        </w:trPr>
        <w:tc>
          <w:tcPr>
            <w:tcW w:w="2494" w:type="dxa"/>
          </w:tcPr>
          <w:p w14:paraId="5E23959B" w14:textId="77777777" w:rsidR="00A720EB" w:rsidRDefault="0030286B">
            <w:pPr>
              <w:pStyle w:val="TableParagraph"/>
              <w:spacing w:before="46" w:line="230" w:lineRule="auto"/>
              <w:ind w:right="218"/>
              <w:rPr>
                <w:sz w:val="21"/>
              </w:rPr>
            </w:pPr>
            <w:r>
              <w:rPr>
                <w:color w:val="B02045"/>
                <w:sz w:val="21"/>
              </w:rPr>
              <w:t>spring.data.rest.max- page-size</w:t>
            </w:r>
          </w:p>
        </w:tc>
        <w:tc>
          <w:tcPr>
            <w:tcW w:w="2494" w:type="dxa"/>
          </w:tcPr>
          <w:p w14:paraId="162F3573" w14:textId="77777777" w:rsidR="00A720EB" w:rsidRDefault="00A720EB">
            <w:pPr>
              <w:pStyle w:val="TableParagraph"/>
              <w:spacing w:before="0"/>
              <w:ind w:left="0"/>
              <w:rPr>
                <w:rFonts w:ascii="Times New Roman"/>
                <w:sz w:val="20"/>
              </w:rPr>
            </w:pPr>
          </w:p>
        </w:tc>
        <w:tc>
          <w:tcPr>
            <w:tcW w:w="4988" w:type="dxa"/>
          </w:tcPr>
          <w:p w14:paraId="2C2243F6" w14:textId="77777777" w:rsidR="00A720EB" w:rsidRDefault="0030286B">
            <w:pPr>
              <w:pStyle w:val="TableParagraph"/>
              <w:spacing w:before="92"/>
              <w:rPr>
                <w:rFonts w:ascii="Cambria"/>
                <w:sz w:val="21"/>
              </w:rPr>
            </w:pPr>
            <w:r>
              <w:rPr>
                <w:rFonts w:ascii="Cambria"/>
                <w:color w:val="333333"/>
                <w:w w:val="110"/>
                <w:sz w:val="21"/>
              </w:rPr>
              <w:t>Maximum size of pages.</w:t>
            </w:r>
          </w:p>
        </w:tc>
      </w:tr>
      <w:tr w:rsidR="00A720EB" w14:paraId="02AF1994" w14:textId="77777777">
        <w:trPr>
          <w:trHeight w:val="741"/>
        </w:trPr>
        <w:tc>
          <w:tcPr>
            <w:tcW w:w="2494" w:type="dxa"/>
          </w:tcPr>
          <w:p w14:paraId="4A223627"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data.rest</w:t>
            </w:r>
            <w:proofErr w:type="gramEnd"/>
            <w:r>
              <w:rPr>
                <w:color w:val="B02045"/>
                <w:sz w:val="21"/>
              </w:rPr>
              <w:t>.page- param-name</w:t>
            </w:r>
          </w:p>
        </w:tc>
        <w:tc>
          <w:tcPr>
            <w:tcW w:w="2494" w:type="dxa"/>
          </w:tcPr>
          <w:p w14:paraId="1D845A33" w14:textId="77777777" w:rsidR="00A720EB" w:rsidRDefault="00A720EB">
            <w:pPr>
              <w:pStyle w:val="TableParagraph"/>
              <w:spacing w:before="0"/>
              <w:ind w:left="0"/>
              <w:rPr>
                <w:rFonts w:ascii="Times New Roman"/>
                <w:sz w:val="20"/>
              </w:rPr>
            </w:pPr>
          </w:p>
        </w:tc>
        <w:tc>
          <w:tcPr>
            <w:tcW w:w="4988" w:type="dxa"/>
          </w:tcPr>
          <w:p w14:paraId="79851CCF" w14:textId="77777777" w:rsidR="00A720EB" w:rsidRDefault="0030286B">
            <w:pPr>
              <w:pStyle w:val="TableParagraph"/>
              <w:spacing w:before="28" w:line="310" w:lineRule="atLeast"/>
              <w:rPr>
                <w:rFonts w:ascii="Cambria"/>
                <w:sz w:val="21"/>
              </w:rPr>
            </w:pPr>
            <w:r>
              <w:rPr>
                <w:rFonts w:ascii="Cambria"/>
                <w:color w:val="333333"/>
                <w:w w:val="110"/>
                <w:sz w:val="21"/>
              </w:rPr>
              <w:t>Name of the URL query string parameter that indicates what page to return.</w:t>
            </w:r>
          </w:p>
        </w:tc>
      </w:tr>
      <w:tr w:rsidR="00A720EB" w14:paraId="218F55F3" w14:textId="77777777">
        <w:trPr>
          <w:trHeight w:val="741"/>
        </w:trPr>
        <w:tc>
          <w:tcPr>
            <w:tcW w:w="2494" w:type="dxa"/>
          </w:tcPr>
          <w:p w14:paraId="1274F74B"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data.rest</w:t>
            </w:r>
            <w:proofErr w:type="gramEnd"/>
            <w:r>
              <w:rPr>
                <w:color w:val="B02045"/>
                <w:sz w:val="21"/>
              </w:rPr>
              <w:t>.retur n-body-on-create</w:t>
            </w:r>
          </w:p>
        </w:tc>
        <w:tc>
          <w:tcPr>
            <w:tcW w:w="2494" w:type="dxa"/>
          </w:tcPr>
          <w:p w14:paraId="2C3FB863" w14:textId="77777777" w:rsidR="00A720EB" w:rsidRDefault="00A720EB">
            <w:pPr>
              <w:pStyle w:val="TableParagraph"/>
              <w:spacing w:before="0"/>
              <w:ind w:left="0"/>
              <w:rPr>
                <w:rFonts w:ascii="Times New Roman"/>
                <w:sz w:val="20"/>
              </w:rPr>
            </w:pPr>
          </w:p>
        </w:tc>
        <w:tc>
          <w:tcPr>
            <w:tcW w:w="4988" w:type="dxa"/>
          </w:tcPr>
          <w:p w14:paraId="23918B07"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return a response body after creating an entity.</w:t>
            </w:r>
          </w:p>
        </w:tc>
      </w:tr>
      <w:tr w:rsidR="00A720EB" w14:paraId="700333B1" w14:textId="77777777">
        <w:trPr>
          <w:trHeight w:val="741"/>
        </w:trPr>
        <w:tc>
          <w:tcPr>
            <w:tcW w:w="2494" w:type="dxa"/>
          </w:tcPr>
          <w:p w14:paraId="12E10CEB"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data.rest</w:t>
            </w:r>
            <w:proofErr w:type="gramEnd"/>
            <w:r>
              <w:rPr>
                <w:color w:val="B02045"/>
                <w:sz w:val="21"/>
              </w:rPr>
              <w:t>.retur n-body-on-update</w:t>
            </w:r>
          </w:p>
        </w:tc>
        <w:tc>
          <w:tcPr>
            <w:tcW w:w="2494" w:type="dxa"/>
          </w:tcPr>
          <w:p w14:paraId="5EB94B57" w14:textId="77777777" w:rsidR="00A720EB" w:rsidRDefault="00A720EB">
            <w:pPr>
              <w:pStyle w:val="TableParagraph"/>
              <w:spacing w:before="0"/>
              <w:ind w:left="0"/>
              <w:rPr>
                <w:rFonts w:ascii="Times New Roman"/>
                <w:sz w:val="20"/>
              </w:rPr>
            </w:pPr>
          </w:p>
        </w:tc>
        <w:tc>
          <w:tcPr>
            <w:tcW w:w="4988" w:type="dxa"/>
          </w:tcPr>
          <w:p w14:paraId="058C3CC0"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return a response body after updating an entity.</w:t>
            </w:r>
          </w:p>
        </w:tc>
      </w:tr>
      <w:tr w:rsidR="00A720EB" w14:paraId="09154CB5" w14:textId="77777777">
        <w:trPr>
          <w:trHeight w:val="741"/>
        </w:trPr>
        <w:tc>
          <w:tcPr>
            <w:tcW w:w="2494" w:type="dxa"/>
          </w:tcPr>
          <w:p w14:paraId="45E2F201"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data.rest</w:t>
            </w:r>
            <w:proofErr w:type="gramEnd"/>
            <w:r>
              <w:rPr>
                <w:color w:val="B02045"/>
                <w:sz w:val="21"/>
              </w:rPr>
              <w:t>.sort- param-name</w:t>
            </w:r>
          </w:p>
        </w:tc>
        <w:tc>
          <w:tcPr>
            <w:tcW w:w="2494" w:type="dxa"/>
          </w:tcPr>
          <w:p w14:paraId="2E6AEF00" w14:textId="77777777" w:rsidR="00A720EB" w:rsidRDefault="00A720EB">
            <w:pPr>
              <w:pStyle w:val="TableParagraph"/>
              <w:spacing w:before="0"/>
              <w:ind w:left="0"/>
              <w:rPr>
                <w:rFonts w:ascii="Times New Roman"/>
                <w:sz w:val="20"/>
              </w:rPr>
            </w:pPr>
          </w:p>
        </w:tc>
        <w:tc>
          <w:tcPr>
            <w:tcW w:w="4988" w:type="dxa"/>
          </w:tcPr>
          <w:p w14:paraId="575F9649" w14:textId="77777777" w:rsidR="00A720EB" w:rsidRDefault="0030286B">
            <w:pPr>
              <w:pStyle w:val="TableParagraph"/>
              <w:spacing w:before="28" w:line="310" w:lineRule="atLeast"/>
              <w:rPr>
                <w:rFonts w:ascii="Cambria"/>
                <w:sz w:val="21"/>
              </w:rPr>
            </w:pPr>
            <w:r>
              <w:rPr>
                <w:rFonts w:ascii="Cambria"/>
                <w:color w:val="333333"/>
                <w:w w:val="110"/>
                <w:sz w:val="21"/>
              </w:rPr>
              <w:t>Name of the URL query string parameter that indicates what direction to sort results.</w:t>
            </w:r>
          </w:p>
        </w:tc>
      </w:tr>
      <w:tr w:rsidR="00A720EB" w14:paraId="74C2315B" w14:textId="77777777">
        <w:trPr>
          <w:trHeight w:val="627"/>
        </w:trPr>
        <w:tc>
          <w:tcPr>
            <w:tcW w:w="2494" w:type="dxa"/>
          </w:tcPr>
          <w:p w14:paraId="112C7B99" w14:textId="77777777" w:rsidR="00A720EB" w:rsidRDefault="0030286B">
            <w:pPr>
              <w:pStyle w:val="TableParagraph"/>
              <w:spacing w:before="37"/>
              <w:rPr>
                <w:sz w:val="21"/>
              </w:rPr>
            </w:pPr>
            <w:r>
              <w:rPr>
                <w:color w:val="B02045"/>
                <w:sz w:val="21"/>
              </w:rPr>
              <w:t>spring.</w:t>
            </w:r>
            <w:proofErr w:type="gramStart"/>
            <w:r>
              <w:rPr>
                <w:color w:val="B02045"/>
                <w:sz w:val="21"/>
              </w:rPr>
              <w:t>data.solr</w:t>
            </w:r>
            <w:proofErr w:type="gramEnd"/>
            <w:r>
              <w:rPr>
                <w:color w:val="B02045"/>
                <w:sz w:val="21"/>
              </w:rPr>
              <w:t>.host</w:t>
            </w:r>
          </w:p>
        </w:tc>
        <w:tc>
          <w:tcPr>
            <w:tcW w:w="2494" w:type="dxa"/>
          </w:tcPr>
          <w:p w14:paraId="728E46C4" w14:textId="77777777" w:rsidR="00A720EB" w:rsidRDefault="0030286B">
            <w:pPr>
              <w:pStyle w:val="TableParagraph"/>
              <w:spacing w:before="46" w:line="230" w:lineRule="auto"/>
              <w:ind w:right="94"/>
              <w:rPr>
                <w:sz w:val="21"/>
              </w:rPr>
            </w:pPr>
            <w:r>
              <w:rPr>
                <w:color w:val="B02045"/>
                <w:sz w:val="21"/>
              </w:rPr>
              <w:t>http://127.0.0.1:8983/ solr</w:t>
            </w:r>
          </w:p>
        </w:tc>
        <w:tc>
          <w:tcPr>
            <w:tcW w:w="4988" w:type="dxa"/>
          </w:tcPr>
          <w:p w14:paraId="573DB128" w14:textId="77777777" w:rsidR="00A720EB" w:rsidRDefault="0030286B">
            <w:pPr>
              <w:pStyle w:val="TableParagraph"/>
              <w:spacing w:before="92"/>
              <w:rPr>
                <w:rFonts w:ascii="Cambria"/>
                <w:sz w:val="21"/>
              </w:rPr>
            </w:pPr>
            <w:r>
              <w:rPr>
                <w:rFonts w:ascii="Cambria"/>
                <w:color w:val="333333"/>
                <w:w w:val="110"/>
                <w:sz w:val="21"/>
              </w:rPr>
              <w:t>Solr host. Ignored if "zk-host" is set.</w:t>
            </w:r>
          </w:p>
        </w:tc>
      </w:tr>
      <w:tr w:rsidR="00A720EB" w14:paraId="54517914" w14:textId="77777777">
        <w:trPr>
          <w:trHeight w:val="627"/>
        </w:trPr>
        <w:tc>
          <w:tcPr>
            <w:tcW w:w="2494" w:type="dxa"/>
          </w:tcPr>
          <w:p w14:paraId="58EC6A7E" w14:textId="77777777" w:rsidR="00A720EB" w:rsidRDefault="0030286B">
            <w:pPr>
              <w:pStyle w:val="TableParagraph"/>
              <w:spacing w:before="46" w:line="230" w:lineRule="auto"/>
              <w:ind w:right="94"/>
              <w:rPr>
                <w:sz w:val="21"/>
              </w:rPr>
            </w:pPr>
            <w:r>
              <w:rPr>
                <w:color w:val="B02045"/>
                <w:sz w:val="21"/>
              </w:rPr>
              <w:t>spring.</w:t>
            </w:r>
            <w:proofErr w:type="gramStart"/>
            <w:r>
              <w:rPr>
                <w:color w:val="B02045"/>
                <w:sz w:val="21"/>
              </w:rPr>
              <w:t>data.solr</w:t>
            </w:r>
            <w:proofErr w:type="gramEnd"/>
            <w:r>
              <w:rPr>
                <w:color w:val="B02045"/>
                <w:sz w:val="21"/>
              </w:rPr>
              <w:t>.repos itories.enabled</w:t>
            </w:r>
          </w:p>
        </w:tc>
        <w:tc>
          <w:tcPr>
            <w:tcW w:w="2494" w:type="dxa"/>
          </w:tcPr>
          <w:p w14:paraId="00BE3620" w14:textId="77777777" w:rsidR="00A720EB" w:rsidRDefault="0030286B">
            <w:pPr>
              <w:pStyle w:val="TableParagraph"/>
              <w:spacing w:before="37"/>
              <w:rPr>
                <w:sz w:val="21"/>
              </w:rPr>
            </w:pPr>
            <w:r>
              <w:rPr>
                <w:color w:val="B02045"/>
                <w:sz w:val="21"/>
              </w:rPr>
              <w:t>true</w:t>
            </w:r>
          </w:p>
        </w:tc>
        <w:tc>
          <w:tcPr>
            <w:tcW w:w="4988" w:type="dxa"/>
          </w:tcPr>
          <w:p w14:paraId="1C2F0EA4" w14:textId="77777777" w:rsidR="00A720EB" w:rsidRDefault="0030286B">
            <w:pPr>
              <w:pStyle w:val="TableParagraph"/>
              <w:spacing w:before="92"/>
              <w:rPr>
                <w:rFonts w:ascii="Cambria"/>
                <w:sz w:val="21"/>
              </w:rPr>
            </w:pPr>
            <w:r>
              <w:rPr>
                <w:rFonts w:ascii="Cambria"/>
                <w:color w:val="333333"/>
                <w:w w:val="110"/>
                <w:sz w:val="21"/>
              </w:rPr>
              <w:t>Whether to enable Solr repositories.</w:t>
            </w:r>
          </w:p>
        </w:tc>
      </w:tr>
      <w:tr w:rsidR="00A720EB" w14:paraId="5E0B6F62" w14:textId="77777777">
        <w:trPr>
          <w:trHeight w:val="627"/>
        </w:trPr>
        <w:tc>
          <w:tcPr>
            <w:tcW w:w="2494" w:type="dxa"/>
          </w:tcPr>
          <w:p w14:paraId="549ECEE4" w14:textId="77777777" w:rsidR="00A720EB" w:rsidRDefault="0030286B">
            <w:pPr>
              <w:pStyle w:val="TableParagraph"/>
              <w:spacing w:before="46" w:line="230" w:lineRule="auto"/>
              <w:ind w:right="304"/>
              <w:rPr>
                <w:sz w:val="21"/>
              </w:rPr>
            </w:pPr>
            <w:r>
              <w:rPr>
                <w:color w:val="B02045"/>
                <w:sz w:val="21"/>
              </w:rPr>
              <w:t>spring.</w:t>
            </w:r>
            <w:proofErr w:type="gramStart"/>
            <w:r>
              <w:rPr>
                <w:color w:val="B02045"/>
                <w:sz w:val="21"/>
              </w:rPr>
              <w:t>data.solr</w:t>
            </w:r>
            <w:proofErr w:type="gramEnd"/>
            <w:r>
              <w:rPr>
                <w:color w:val="B02045"/>
                <w:sz w:val="21"/>
              </w:rPr>
              <w:t>.zk- host</w:t>
            </w:r>
          </w:p>
        </w:tc>
        <w:tc>
          <w:tcPr>
            <w:tcW w:w="2494" w:type="dxa"/>
          </w:tcPr>
          <w:p w14:paraId="6B73E215" w14:textId="77777777" w:rsidR="00A720EB" w:rsidRDefault="00A720EB">
            <w:pPr>
              <w:pStyle w:val="TableParagraph"/>
              <w:spacing w:before="0"/>
              <w:ind w:left="0"/>
              <w:rPr>
                <w:rFonts w:ascii="Times New Roman"/>
                <w:sz w:val="20"/>
              </w:rPr>
            </w:pPr>
          </w:p>
        </w:tc>
        <w:tc>
          <w:tcPr>
            <w:tcW w:w="4988" w:type="dxa"/>
          </w:tcPr>
          <w:p w14:paraId="57B536FD" w14:textId="77777777" w:rsidR="00A720EB" w:rsidRDefault="0030286B">
            <w:pPr>
              <w:pStyle w:val="TableParagraph"/>
              <w:spacing w:before="92"/>
              <w:rPr>
                <w:rFonts w:ascii="Cambria"/>
                <w:sz w:val="21"/>
              </w:rPr>
            </w:pPr>
            <w:r>
              <w:rPr>
                <w:rFonts w:ascii="Cambria"/>
                <w:color w:val="333333"/>
                <w:w w:val="110"/>
                <w:sz w:val="21"/>
              </w:rPr>
              <w:t xml:space="preserve">ZooKeeper host address in the form </w:t>
            </w:r>
            <w:proofErr w:type="gramStart"/>
            <w:r>
              <w:rPr>
                <w:rFonts w:ascii="Cambria"/>
                <w:color w:val="333333"/>
                <w:w w:val="110"/>
                <w:sz w:val="21"/>
              </w:rPr>
              <w:t>HOST:PORT</w:t>
            </w:r>
            <w:proofErr w:type="gramEnd"/>
            <w:r>
              <w:rPr>
                <w:rFonts w:ascii="Cambria"/>
                <w:color w:val="333333"/>
                <w:w w:val="110"/>
                <w:sz w:val="21"/>
              </w:rPr>
              <w:t>.</w:t>
            </w:r>
          </w:p>
        </w:tc>
      </w:tr>
      <w:tr w:rsidR="00A720EB" w14:paraId="4A4F597A" w14:textId="77777777">
        <w:trPr>
          <w:trHeight w:val="627"/>
        </w:trPr>
        <w:tc>
          <w:tcPr>
            <w:tcW w:w="2494" w:type="dxa"/>
          </w:tcPr>
          <w:p w14:paraId="77BCFCE2" w14:textId="77777777" w:rsidR="00A720EB" w:rsidRDefault="0030286B">
            <w:pPr>
              <w:pStyle w:val="TableParagraph"/>
              <w:spacing w:before="46" w:line="230" w:lineRule="auto"/>
              <w:ind w:right="113"/>
              <w:rPr>
                <w:sz w:val="21"/>
              </w:rPr>
            </w:pPr>
            <w:proofErr w:type="gramStart"/>
            <w:r>
              <w:rPr>
                <w:color w:val="B02045"/>
                <w:sz w:val="21"/>
              </w:rPr>
              <w:t>spring.data.web.pageab</w:t>
            </w:r>
            <w:proofErr w:type="gramEnd"/>
            <w:r>
              <w:rPr>
                <w:color w:val="B02045"/>
                <w:sz w:val="21"/>
              </w:rPr>
              <w:t xml:space="preserve"> le.default-page-size</w:t>
            </w:r>
          </w:p>
        </w:tc>
        <w:tc>
          <w:tcPr>
            <w:tcW w:w="2494" w:type="dxa"/>
          </w:tcPr>
          <w:p w14:paraId="283E54BA" w14:textId="77777777" w:rsidR="00A720EB" w:rsidRDefault="0030286B">
            <w:pPr>
              <w:pStyle w:val="TableParagraph"/>
              <w:spacing w:before="37"/>
              <w:rPr>
                <w:sz w:val="21"/>
              </w:rPr>
            </w:pPr>
            <w:r>
              <w:rPr>
                <w:color w:val="B02045"/>
                <w:sz w:val="21"/>
              </w:rPr>
              <w:t>20.0</w:t>
            </w:r>
          </w:p>
        </w:tc>
        <w:tc>
          <w:tcPr>
            <w:tcW w:w="4988" w:type="dxa"/>
          </w:tcPr>
          <w:p w14:paraId="7A452953" w14:textId="77777777" w:rsidR="00A720EB" w:rsidRDefault="0030286B">
            <w:pPr>
              <w:pStyle w:val="TableParagraph"/>
              <w:spacing w:before="92"/>
              <w:rPr>
                <w:rFonts w:ascii="Cambria"/>
                <w:sz w:val="21"/>
              </w:rPr>
            </w:pPr>
            <w:r>
              <w:rPr>
                <w:rFonts w:ascii="Cambria"/>
                <w:color w:val="333333"/>
                <w:w w:val="110"/>
                <w:sz w:val="21"/>
              </w:rPr>
              <w:t>Default page size.</w:t>
            </w:r>
          </w:p>
        </w:tc>
      </w:tr>
    </w:tbl>
    <w:p w14:paraId="61286EC4"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590DCD8" w14:textId="77777777">
        <w:trPr>
          <w:trHeight w:val="415"/>
        </w:trPr>
        <w:tc>
          <w:tcPr>
            <w:tcW w:w="2494" w:type="dxa"/>
            <w:tcBorders>
              <w:bottom w:val="single" w:sz="12" w:space="0" w:color="DDDDDD"/>
            </w:tcBorders>
          </w:tcPr>
          <w:p w14:paraId="672E400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745C0D4F"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A7780B2"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8A4C3DA" w14:textId="77777777">
        <w:trPr>
          <w:trHeight w:val="617"/>
        </w:trPr>
        <w:tc>
          <w:tcPr>
            <w:tcW w:w="2494" w:type="dxa"/>
            <w:tcBorders>
              <w:top w:val="single" w:sz="12" w:space="0" w:color="DDDDDD"/>
            </w:tcBorders>
          </w:tcPr>
          <w:p w14:paraId="41751C71" w14:textId="77777777" w:rsidR="00A720EB" w:rsidRDefault="0030286B">
            <w:pPr>
              <w:pStyle w:val="TableParagraph"/>
              <w:spacing w:before="36" w:line="230" w:lineRule="auto"/>
              <w:ind w:right="113"/>
              <w:rPr>
                <w:sz w:val="21"/>
              </w:rPr>
            </w:pPr>
            <w:proofErr w:type="gramStart"/>
            <w:r>
              <w:rPr>
                <w:color w:val="B02045"/>
                <w:sz w:val="21"/>
              </w:rPr>
              <w:t>spring.data.web.pageab</w:t>
            </w:r>
            <w:proofErr w:type="gramEnd"/>
            <w:r>
              <w:rPr>
                <w:color w:val="B02045"/>
                <w:sz w:val="21"/>
              </w:rPr>
              <w:t xml:space="preserve"> le.max-page-size</w:t>
            </w:r>
          </w:p>
        </w:tc>
        <w:tc>
          <w:tcPr>
            <w:tcW w:w="2494" w:type="dxa"/>
            <w:tcBorders>
              <w:top w:val="single" w:sz="12" w:space="0" w:color="DDDDDD"/>
            </w:tcBorders>
          </w:tcPr>
          <w:p w14:paraId="44D0E9F3" w14:textId="77777777" w:rsidR="00A720EB" w:rsidRDefault="0030286B">
            <w:pPr>
              <w:pStyle w:val="TableParagraph"/>
              <w:spacing w:before="27"/>
              <w:rPr>
                <w:sz w:val="21"/>
              </w:rPr>
            </w:pPr>
            <w:r>
              <w:rPr>
                <w:color w:val="B02045"/>
                <w:sz w:val="21"/>
              </w:rPr>
              <w:t>2000.0</w:t>
            </w:r>
          </w:p>
        </w:tc>
        <w:tc>
          <w:tcPr>
            <w:tcW w:w="4988" w:type="dxa"/>
            <w:tcBorders>
              <w:top w:val="single" w:sz="12" w:space="0" w:color="DDDDDD"/>
            </w:tcBorders>
          </w:tcPr>
          <w:p w14:paraId="1DABF362" w14:textId="77777777" w:rsidR="00A720EB" w:rsidRDefault="0030286B">
            <w:pPr>
              <w:pStyle w:val="TableParagraph"/>
              <w:spacing w:before="82"/>
              <w:rPr>
                <w:rFonts w:ascii="Cambria"/>
                <w:sz w:val="21"/>
              </w:rPr>
            </w:pPr>
            <w:r>
              <w:rPr>
                <w:rFonts w:ascii="Cambria"/>
                <w:color w:val="333333"/>
                <w:w w:val="110"/>
                <w:sz w:val="21"/>
              </w:rPr>
              <w:t>Maximum page size to be accepted.</w:t>
            </w:r>
          </w:p>
        </w:tc>
      </w:tr>
      <w:tr w:rsidR="00A720EB" w14:paraId="63D29BF5" w14:textId="77777777">
        <w:trPr>
          <w:trHeight w:val="1372"/>
        </w:trPr>
        <w:tc>
          <w:tcPr>
            <w:tcW w:w="2494" w:type="dxa"/>
          </w:tcPr>
          <w:p w14:paraId="13FA6674" w14:textId="77777777" w:rsidR="00A720EB" w:rsidRDefault="0030286B">
            <w:pPr>
              <w:pStyle w:val="TableParagraph"/>
              <w:spacing w:before="46" w:line="230" w:lineRule="auto"/>
              <w:ind w:right="113"/>
              <w:rPr>
                <w:sz w:val="21"/>
              </w:rPr>
            </w:pPr>
            <w:proofErr w:type="gramStart"/>
            <w:r>
              <w:rPr>
                <w:color w:val="B02045"/>
                <w:sz w:val="21"/>
              </w:rPr>
              <w:t>spring.data.web.pageab</w:t>
            </w:r>
            <w:proofErr w:type="gramEnd"/>
            <w:r>
              <w:rPr>
                <w:color w:val="B02045"/>
                <w:sz w:val="21"/>
              </w:rPr>
              <w:t xml:space="preserve"> le.one-indexed- parameters</w:t>
            </w:r>
          </w:p>
        </w:tc>
        <w:tc>
          <w:tcPr>
            <w:tcW w:w="2494" w:type="dxa"/>
          </w:tcPr>
          <w:p w14:paraId="083924F8" w14:textId="77777777" w:rsidR="00A720EB" w:rsidRDefault="0030286B">
            <w:pPr>
              <w:pStyle w:val="TableParagraph"/>
              <w:spacing w:before="37"/>
              <w:rPr>
                <w:sz w:val="21"/>
              </w:rPr>
            </w:pPr>
            <w:r>
              <w:rPr>
                <w:color w:val="B02045"/>
                <w:sz w:val="21"/>
              </w:rPr>
              <w:t>false</w:t>
            </w:r>
          </w:p>
        </w:tc>
        <w:tc>
          <w:tcPr>
            <w:tcW w:w="4988" w:type="dxa"/>
          </w:tcPr>
          <w:p w14:paraId="134BF3BF" w14:textId="77777777" w:rsidR="00A720EB" w:rsidRDefault="0030286B">
            <w:pPr>
              <w:pStyle w:val="TableParagraph"/>
              <w:spacing w:before="28" w:line="310" w:lineRule="atLeast"/>
              <w:rPr>
                <w:rFonts w:ascii="Cambria"/>
                <w:sz w:val="21"/>
              </w:rPr>
            </w:pPr>
            <w:r>
              <w:rPr>
                <w:rFonts w:ascii="Cambria"/>
                <w:color w:val="333333"/>
                <w:w w:val="110"/>
                <w:sz w:val="21"/>
              </w:rPr>
              <w:t>Whether to expose and assume 1-based page number indexes. Defaults to "false", meaning a page number of 0 in the request equals the first page.</w:t>
            </w:r>
          </w:p>
        </w:tc>
      </w:tr>
      <w:tr w:rsidR="00A720EB" w14:paraId="76E36574" w14:textId="77777777">
        <w:trPr>
          <w:trHeight w:val="627"/>
        </w:trPr>
        <w:tc>
          <w:tcPr>
            <w:tcW w:w="2494" w:type="dxa"/>
          </w:tcPr>
          <w:p w14:paraId="21B60157" w14:textId="77777777" w:rsidR="00A720EB" w:rsidRDefault="0030286B">
            <w:pPr>
              <w:pStyle w:val="TableParagraph"/>
              <w:spacing w:before="46" w:line="230" w:lineRule="auto"/>
              <w:ind w:right="113"/>
              <w:rPr>
                <w:sz w:val="21"/>
              </w:rPr>
            </w:pPr>
            <w:proofErr w:type="gramStart"/>
            <w:r>
              <w:rPr>
                <w:color w:val="B02045"/>
                <w:sz w:val="21"/>
              </w:rPr>
              <w:t>spring.data.web.pageab</w:t>
            </w:r>
            <w:proofErr w:type="gramEnd"/>
            <w:r>
              <w:rPr>
                <w:color w:val="B02045"/>
                <w:sz w:val="21"/>
              </w:rPr>
              <w:t xml:space="preserve"> le.page-parameter</w:t>
            </w:r>
          </w:p>
        </w:tc>
        <w:tc>
          <w:tcPr>
            <w:tcW w:w="2494" w:type="dxa"/>
          </w:tcPr>
          <w:p w14:paraId="5E5E1955" w14:textId="77777777" w:rsidR="00A720EB" w:rsidRDefault="0030286B">
            <w:pPr>
              <w:pStyle w:val="TableParagraph"/>
              <w:spacing w:before="37"/>
              <w:rPr>
                <w:sz w:val="21"/>
              </w:rPr>
            </w:pPr>
            <w:r>
              <w:rPr>
                <w:color w:val="B02045"/>
                <w:sz w:val="21"/>
              </w:rPr>
              <w:t>page</w:t>
            </w:r>
          </w:p>
        </w:tc>
        <w:tc>
          <w:tcPr>
            <w:tcW w:w="4988" w:type="dxa"/>
          </w:tcPr>
          <w:p w14:paraId="5AFEAA98" w14:textId="77777777" w:rsidR="00A720EB" w:rsidRDefault="0030286B">
            <w:pPr>
              <w:pStyle w:val="TableParagraph"/>
              <w:spacing w:before="92"/>
              <w:rPr>
                <w:rFonts w:ascii="Cambria"/>
                <w:sz w:val="21"/>
              </w:rPr>
            </w:pPr>
            <w:r>
              <w:rPr>
                <w:rFonts w:ascii="Cambria"/>
                <w:color w:val="333333"/>
                <w:w w:val="115"/>
                <w:sz w:val="21"/>
              </w:rPr>
              <w:t>Page index parameter name.</w:t>
            </w:r>
          </w:p>
        </w:tc>
      </w:tr>
      <w:tr w:rsidR="00A720EB" w14:paraId="2EDAF689" w14:textId="77777777">
        <w:trPr>
          <w:trHeight w:val="741"/>
        </w:trPr>
        <w:tc>
          <w:tcPr>
            <w:tcW w:w="2494" w:type="dxa"/>
          </w:tcPr>
          <w:p w14:paraId="0CB803FC" w14:textId="77777777" w:rsidR="00A720EB" w:rsidRDefault="0030286B">
            <w:pPr>
              <w:pStyle w:val="TableParagraph"/>
              <w:spacing w:before="46" w:line="230" w:lineRule="auto"/>
              <w:ind w:right="94"/>
              <w:rPr>
                <w:sz w:val="21"/>
              </w:rPr>
            </w:pPr>
            <w:proofErr w:type="gramStart"/>
            <w:r>
              <w:rPr>
                <w:color w:val="B02045"/>
                <w:sz w:val="21"/>
              </w:rPr>
              <w:t>spring.data.web.pageab</w:t>
            </w:r>
            <w:proofErr w:type="gramEnd"/>
            <w:r>
              <w:rPr>
                <w:color w:val="B02045"/>
                <w:sz w:val="21"/>
              </w:rPr>
              <w:t xml:space="preserve"> le.prefix</w:t>
            </w:r>
          </w:p>
        </w:tc>
        <w:tc>
          <w:tcPr>
            <w:tcW w:w="2494" w:type="dxa"/>
          </w:tcPr>
          <w:p w14:paraId="0A7DA34E" w14:textId="77777777" w:rsidR="00A720EB" w:rsidRDefault="00A720EB">
            <w:pPr>
              <w:pStyle w:val="TableParagraph"/>
              <w:spacing w:before="0"/>
              <w:ind w:left="0"/>
              <w:rPr>
                <w:rFonts w:ascii="Times New Roman"/>
                <w:sz w:val="20"/>
              </w:rPr>
            </w:pPr>
          </w:p>
        </w:tc>
        <w:tc>
          <w:tcPr>
            <w:tcW w:w="4988" w:type="dxa"/>
          </w:tcPr>
          <w:p w14:paraId="10EEA920" w14:textId="77777777" w:rsidR="00A720EB" w:rsidRDefault="0030286B">
            <w:pPr>
              <w:pStyle w:val="TableParagraph"/>
              <w:spacing w:before="28" w:line="310" w:lineRule="atLeast"/>
              <w:rPr>
                <w:rFonts w:ascii="Cambria"/>
                <w:sz w:val="21"/>
              </w:rPr>
            </w:pPr>
            <w:r>
              <w:rPr>
                <w:rFonts w:ascii="Cambria"/>
                <w:color w:val="333333"/>
                <w:w w:val="110"/>
                <w:sz w:val="21"/>
              </w:rPr>
              <w:t>General prefix to be prepended to the page number and page size parameters.</w:t>
            </w:r>
          </w:p>
        </w:tc>
      </w:tr>
      <w:tr w:rsidR="00A720EB" w14:paraId="519DF2B2" w14:textId="77777777">
        <w:trPr>
          <w:trHeight w:val="741"/>
        </w:trPr>
        <w:tc>
          <w:tcPr>
            <w:tcW w:w="2494" w:type="dxa"/>
          </w:tcPr>
          <w:p w14:paraId="2130AB4E" w14:textId="77777777" w:rsidR="00A720EB" w:rsidRDefault="0030286B">
            <w:pPr>
              <w:pStyle w:val="TableParagraph"/>
              <w:spacing w:before="46" w:line="230" w:lineRule="auto"/>
              <w:ind w:right="113"/>
              <w:rPr>
                <w:sz w:val="21"/>
              </w:rPr>
            </w:pPr>
            <w:proofErr w:type="gramStart"/>
            <w:r>
              <w:rPr>
                <w:color w:val="B02045"/>
                <w:sz w:val="21"/>
              </w:rPr>
              <w:t>spring.data.web.pageab</w:t>
            </w:r>
            <w:proofErr w:type="gramEnd"/>
            <w:r>
              <w:rPr>
                <w:color w:val="B02045"/>
                <w:sz w:val="21"/>
              </w:rPr>
              <w:t xml:space="preserve"> le.qualifier-delimiter</w:t>
            </w:r>
          </w:p>
        </w:tc>
        <w:tc>
          <w:tcPr>
            <w:tcW w:w="2494" w:type="dxa"/>
          </w:tcPr>
          <w:p w14:paraId="63289864" w14:textId="77777777" w:rsidR="00A720EB" w:rsidRDefault="0030286B">
            <w:pPr>
              <w:pStyle w:val="TableParagraph"/>
              <w:rPr>
                <w:sz w:val="21"/>
              </w:rPr>
            </w:pPr>
            <w:r>
              <w:rPr>
                <w:color w:val="B02045"/>
                <w:sz w:val="21"/>
              </w:rPr>
              <w:t>_</w:t>
            </w:r>
          </w:p>
        </w:tc>
        <w:tc>
          <w:tcPr>
            <w:tcW w:w="4988" w:type="dxa"/>
          </w:tcPr>
          <w:p w14:paraId="276B11FE" w14:textId="77777777" w:rsidR="00A720EB" w:rsidRDefault="0030286B">
            <w:pPr>
              <w:pStyle w:val="TableParagraph"/>
              <w:spacing w:before="28" w:line="310" w:lineRule="atLeast"/>
              <w:ind w:right="218"/>
              <w:rPr>
                <w:rFonts w:ascii="Cambria"/>
                <w:sz w:val="21"/>
              </w:rPr>
            </w:pPr>
            <w:r>
              <w:rPr>
                <w:rFonts w:ascii="Cambria"/>
                <w:color w:val="333333"/>
                <w:w w:val="110"/>
                <w:sz w:val="21"/>
              </w:rPr>
              <w:t>Delimiter to be used between the qualifier and the actual page number and size properties.</w:t>
            </w:r>
          </w:p>
        </w:tc>
      </w:tr>
      <w:tr w:rsidR="00A720EB" w14:paraId="7278FB0A" w14:textId="77777777">
        <w:trPr>
          <w:trHeight w:val="627"/>
        </w:trPr>
        <w:tc>
          <w:tcPr>
            <w:tcW w:w="2494" w:type="dxa"/>
          </w:tcPr>
          <w:p w14:paraId="3374840F" w14:textId="77777777" w:rsidR="00A720EB" w:rsidRDefault="0030286B">
            <w:pPr>
              <w:pStyle w:val="TableParagraph"/>
              <w:spacing w:before="46" w:line="230" w:lineRule="auto"/>
              <w:ind w:right="113"/>
              <w:rPr>
                <w:sz w:val="21"/>
              </w:rPr>
            </w:pPr>
            <w:proofErr w:type="gramStart"/>
            <w:r>
              <w:rPr>
                <w:color w:val="B02045"/>
                <w:sz w:val="21"/>
              </w:rPr>
              <w:t>spring.data.web.pageab</w:t>
            </w:r>
            <w:proofErr w:type="gramEnd"/>
            <w:r>
              <w:rPr>
                <w:color w:val="B02045"/>
                <w:sz w:val="21"/>
              </w:rPr>
              <w:t xml:space="preserve"> le.size-parameter</w:t>
            </w:r>
          </w:p>
        </w:tc>
        <w:tc>
          <w:tcPr>
            <w:tcW w:w="2494" w:type="dxa"/>
          </w:tcPr>
          <w:p w14:paraId="17FB14C9" w14:textId="77777777" w:rsidR="00A720EB" w:rsidRDefault="0030286B">
            <w:pPr>
              <w:pStyle w:val="TableParagraph"/>
              <w:rPr>
                <w:sz w:val="21"/>
              </w:rPr>
            </w:pPr>
            <w:r>
              <w:rPr>
                <w:color w:val="B02045"/>
                <w:sz w:val="21"/>
              </w:rPr>
              <w:t>size</w:t>
            </w:r>
          </w:p>
        </w:tc>
        <w:tc>
          <w:tcPr>
            <w:tcW w:w="4988" w:type="dxa"/>
          </w:tcPr>
          <w:p w14:paraId="165914A0" w14:textId="77777777" w:rsidR="00A720EB" w:rsidRDefault="0030286B">
            <w:pPr>
              <w:pStyle w:val="TableParagraph"/>
              <w:spacing w:before="92"/>
              <w:rPr>
                <w:rFonts w:ascii="Cambria"/>
                <w:sz w:val="21"/>
              </w:rPr>
            </w:pPr>
            <w:r>
              <w:rPr>
                <w:rFonts w:ascii="Cambria"/>
                <w:color w:val="333333"/>
                <w:w w:val="110"/>
                <w:sz w:val="21"/>
              </w:rPr>
              <w:t>Page size parameter name.</w:t>
            </w:r>
          </w:p>
        </w:tc>
      </w:tr>
      <w:tr w:rsidR="00A720EB" w14:paraId="71B083EA" w14:textId="77777777">
        <w:trPr>
          <w:trHeight w:val="627"/>
        </w:trPr>
        <w:tc>
          <w:tcPr>
            <w:tcW w:w="2494" w:type="dxa"/>
          </w:tcPr>
          <w:p w14:paraId="2643A253" w14:textId="77777777" w:rsidR="00A720EB" w:rsidRDefault="0030286B">
            <w:pPr>
              <w:pStyle w:val="TableParagraph"/>
              <w:spacing w:before="46" w:line="230" w:lineRule="auto"/>
              <w:ind w:right="113"/>
              <w:rPr>
                <w:sz w:val="21"/>
              </w:rPr>
            </w:pPr>
            <w:proofErr w:type="gramStart"/>
            <w:r>
              <w:rPr>
                <w:color w:val="B02045"/>
                <w:sz w:val="21"/>
              </w:rPr>
              <w:t>spring.data.web.sort</w:t>
            </w:r>
            <w:proofErr w:type="gramEnd"/>
            <w:r>
              <w:rPr>
                <w:color w:val="B02045"/>
                <w:sz w:val="21"/>
              </w:rPr>
              <w:t>.s ort-parameter</w:t>
            </w:r>
          </w:p>
        </w:tc>
        <w:tc>
          <w:tcPr>
            <w:tcW w:w="2494" w:type="dxa"/>
          </w:tcPr>
          <w:p w14:paraId="0BB70F04" w14:textId="77777777" w:rsidR="00A720EB" w:rsidRDefault="0030286B">
            <w:pPr>
              <w:pStyle w:val="TableParagraph"/>
              <w:rPr>
                <w:sz w:val="21"/>
              </w:rPr>
            </w:pPr>
            <w:r>
              <w:rPr>
                <w:color w:val="B02045"/>
                <w:sz w:val="21"/>
              </w:rPr>
              <w:t>sort</w:t>
            </w:r>
          </w:p>
        </w:tc>
        <w:tc>
          <w:tcPr>
            <w:tcW w:w="4988" w:type="dxa"/>
          </w:tcPr>
          <w:p w14:paraId="08C7BD29" w14:textId="77777777" w:rsidR="00A720EB" w:rsidRDefault="0030286B">
            <w:pPr>
              <w:pStyle w:val="TableParagraph"/>
              <w:spacing w:before="92"/>
              <w:rPr>
                <w:rFonts w:ascii="Cambria"/>
                <w:sz w:val="21"/>
              </w:rPr>
            </w:pPr>
            <w:r>
              <w:rPr>
                <w:rFonts w:ascii="Cambria"/>
                <w:color w:val="333333"/>
                <w:w w:val="110"/>
                <w:sz w:val="21"/>
              </w:rPr>
              <w:t>Sort parameter name.</w:t>
            </w:r>
          </w:p>
        </w:tc>
      </w:tr>
      <w:tr w:rsidR="00A720EB" w14:paraId="1A37C0F4" w14:textId="77777777">
        <w:trPr>
          <w:trHeight w:val="741"/>
        </w:trPr>
        <w:tc>
          <w:tcPr>
            <w:tcW w:w="2494" w:type="dxa"/>
          </w:tcPr>
          <w:p w14:paraId="1BC1A6CA" w14:textId="77777777" w:rsidR="00A720EB" w:rsidRDefault="0030286B">
            <w:pPr>
              <w:pStyle w:val="TableParagraph"/>
              <w:spacing w:before="46" w:line="230" w:lineRule="auto"/>
              <w:ind w:right="113"/>
              <w:rPr>
                <w:sz w:val="21"/>
              </w:rPr>
            </w:pPr>
            <w:proofErr w:type="gramStart"/>
            <w:r>
              <w:rPr>
                <w:color w:val="B02045"/>
                <w:sz w:val="21"/>
              </w:rPr>
              <w:t>spring.datasource</w:t>
            </w:r>
            <w:proofErr w:type="gramEnd"/>
            <w:r>
              <w:rPr>
                <w:color w:val="B02045"/>
                <w:sz w:val="21"/>
              </w:rPr>
              <w:t>.cont inue-on-error</w:t>
            </w:r>
          </w:p>
        </w:tc>
        <w:tc>
          <w:tcPr>
            <w:tcW w:w="2494" w:type="dxa"/>
          </w:tcPr>
          <w:p w14:paraId="6F2853BE" w14:textId="77777777" w:rsidR="00A720EB" w:rsidRDefault="0030286B">
            <w:pPr>
              <w:pStyle w:val="TableParagraph"/>
              <w:rPr>
                <w:sz w:val="21"/>
              </w:rPr>
            </w:pPr>
            <w:r>
              <w:rPr>
                <w:color w:val="B02045"/>
                <w:sz w:val="21"/>
              </w:rPr>
              <w:t>false</w:t>
            </w:r>
          </w:p>
        </w:tc>
        <w:tc>
          <w:tcPr>
            <w:tcW w:w="4988" w:type="dxa"/>
          </w:tcPr>
          <w:p w14:paraId="7921A159" w14:textId="77777777" w:rsidR="00A720EB" w:rsidRDefault="0030286B">
            <w:pPr>
              <w:pStyle w:val="TableParagraph"/>
              <w:spacing w:before="28" w:line="310" w:lineRule="atLeast"/>
              <w:ind w:right="898"/>
              <w:rPr>
                <w:rFonts w:ascii="Cambria"/>
                <w:sz w:val="21"/>
              </w:rPr>
            </w:pPr>
            <w:r>
              <w:rPr>
                <w:rFonts w:ascii="Cambria"/>
                <w:color w:val="333333"/>
                <w:w w:val="115"/>
                <w:sz w:val="21"/>
              </w:rPr>
              <w:t>Whether</w:t>
            </w:r>
            <w:r>
              <w:rPr>
                <w:rFonts w:ascii="Cambria"/>
                <w:color w:val="333333"/>
                <w:spacing w:val="-18"/>
                <w:w w:val="115"/>
                <w:sz w:val="21"/>
              </w:rPr>
              <w:t xml:space="preserve"> </w:t>
            </w:r>
            <w:r>
              <w:rPr>
                <w:rFonts w:ascii="Cambria"/>
                <w:color w:val="333333"/>
                <w:w w:val="115"/>
                <w:sz w:val="21"/>
              </w:rPr>
              <w:t>to</w:t>
            </w:r>
            <w:r>
              <w:rPr>
                <w:rFonts w:ascii="Cambria"/>
                <w:color w:val="333333"/>
                <w:spacing w:val="-18"/>
                <w:w w:val="115"/>
                <w:sz w:val="21"/>
              </w:rPr>
              <w:t xml:space="preserve"> </w:t>
            </w:r>
            <w:r>
              <w:rPr>
                <w:rFonts w:ascii="Cambria"/>
                <w:color w:val="333333"/>
                <w:w w:val="115"/>
                <w:sz w:val="21"/>
              </w:rPr>
              <w:t>stop</w:t>
            </w:r>
            <w:r>
              <w:rPr>
                <w:rFonts w:ascii="Cambria"/>
                <w:color w:val="333333"/>
                <w:spacing w:val="-17"/>
                <w:w w:val="115"/>
                <w:sz w:val="21"/>
              </w:rPr>
              <w:t xml:space="preserve"> </w:t>
            </w:r>
            <w:r>
              <w:rPr>
                <w:rFonts w:ascii="Cambria"/>
                <w:color w:val="333333"/>
                <w:w w:val="115"/>
                <w:sz w:val="21"/>
              </w:rPr>
              <w:t>if</w:t>
            </w:r>
            <w:r>
              <w:rPr>
                <w:rFonts w:ascii="Cambria"/>
                <w:color w:val="333333"/>
                <w:spacing w:val="-18"/>
                <w:w w:val="115"/>
                <w:sz w:val="21"/>
              </w:rPr>
              <w:t xml:space="preserve"> </w:t>
            </w:r>
            <w:r>
              <w:rPr>
                <w:rFonts w:ascii="Cambria"/>
                <w:color w:val="333333"/>
                <w:w w:val="115"/>
                <w:sz w:val="21"/>
              </w:rPr>
              <w:t>an</w:t>
            </w:r>
            <w:r>
              <w:rPr>
                <w:rFonts w:ascii="Cambria"/>
                <w:color w:val="333333"/>
                <w:spacing w:val="-18"/>
                <w:w w:val="115"/>
                <w:sz w:val="21"/>
              </w:rPr>
              <w:t xml:space="preserve"> </w:t>
            </w:r>
            <w:r>
              <w:rPr>
                <w:rFonts w:ascii="Cambria"/>
                <w:color w:val="333333"/>
                <w:w w:val="115"/>
                <w:sz w:val="21"/>
              </w:rPr>
              <w:t>error</w:t>
            </w:r>
            <w:r>
              <w:rPr>
                <w:rFonts w:ascii="Cambria"/>
                <w:color w:val="333333"/>
                <w:spacing w:val="-18"/>
                <w:w w:val="115"/>
                <w:sz w:val="21"/>
              </w:rPr>
              <w:t xml:space="preserve"> </w:t>
            </w:r>
            <w:r>
              <w:rPr>
                <w:rFonts w:ascii="Cambria"/>
                <w:color w:val="333333"/>
                <w:w w:val="115"/>
                <w:sz w:val="21"/>
              </w:rPr>
              <w:t>occurs</w:t>
            </w:r>
            <w:r>
              <w:rPr>
                <w:rFonts w:ascii="Cambria"/>
                <w:color w:val="333333"/>
                <w:spacing w:val="-17"/>
                <w:w w:val="115"/>
                <w:sz w:val="21"/>
              </w:rPr>
              <w:t xml:space="preserve"> </w:t>
            </w:r>
            <w:r>
              <w:rPr>
                <w:rFonts w:ascii="Cambria"/>
                <w:color w:val="333333"/>
                <w:w w:val="115"/>
                <w:sz w:val="21"/>
              </w:rPr>
              <w:t>while initializing the</w:t>
            </w:r>
            <w:r>
              <w:rPr>
                <w:rFonts w:ascii="Cambria"/>
                <w:color w:val="333333"/>
                <w:spacing w:val="-4"/>
                <w:w w:val="115"/>
                <w:sz w:val="21"/>
              </w:rPr>
              <w:t xml:space="preserve"> </w:t>
            </w:r>
            <w:r>
              <w:rPr>
                <w:rFonts w:ascii="Cambria"/>
                <w:color w:val="333333"/>
                <w:w w:val="115"/>
                <w:sz w:val="21"/>
              </w:rPr>
              <w:t>database.</w:t>
            </w:r>
          </w:p>
        </w:tc>
      </w:tr>
      <w:tr w:rsidR="00A720EB" w14:paraId="231FCD3D" w14:textId="77777777">
        <w:trPr>
          <w:trHeight w:val="425"/>
        </w:trPr>
        <w:tc>
          <w:tcPr>
            <w:tcW w:w="2494" w:type="dxa"/>
          </w:tcPr>
          <w:p w14:paraId="67F22096" w14:textId="77777777" w:rsidR="00A720EB" w:rsidRDefault="0030286B">
            <w:pPr>
              <w:pStyle w:val="TableParagraph"/>
              <w:spacing w:before="37"/>
              <w:rPr>
                <w:sz w:val="21"/>
              </w:rPr>
            </w:pPr>
            <w:proofErr w:type="gramStart"/>
            <w:r>
              <w:rPr>
                <w:color w:val="B02045"/>
                <w:sz w:val="21"/>
              </w:rPr>
              <w:t>spring.datasource</w:t>
            </w:r>
            <w:proofErr w:type="gramEnd"/>
            <w:r>
              <w:rPr>
                <w:color w:val="B02045"/>
                <w:sz w:val="21"/>
              </w:rPr>
              <w:t>.data</w:t>
            </w:r>
          </w:p>
        </w:tc>
        <w:tc>
          <w:tcPr>
            <w:tcW w:w="2494" w:type="dxa"/>
          </w:tcPr>
          <w:p w14:paraId="4ED9136D" w14:textId="77777777" w:rsidR="00A720EB" w:rsidRDefault="00A720EB">
            <w:pPr>
              <w:pStyle w:val="TableParagraph"/>
              <w:spacing w:before="0"/>
              <w:ind w:left="0"/>
              <w:rPr>
                <w:rFonts w:ascii="Times New Roman"/>
                <w:sz w:val="20"/>
              </w:rPr>
            </w:pPr>
          </w:p>
        </w:tc>
        <w:tc>
          <w:tcPr>
            <w:tcW w:w="4988" w:type="dxa"/>
          </w:tcPr>
          <w:p w14:paraId="78CB1CE1" w14:textId="77777777" w:rsidR="00A720EB" w:rsidRDefault="0030286B">
            <w:pPr>
              <w:pStyle w:val="TableParagraph"/>
              <w:spacing w:before="92"/>
              <w:rPr>
                <w:rFonts w:ascii="Cambria"/>
                <w:sz w:val="21"/>
              </w:rPr>
            </w:pPr>
            <w:r>
              <w:rPr>
                <w:rFonts w:ascii="Cambria"/>
                <w:color w:val="333333"/>
                <w:w w:val="110"/>
                <w:sz w:val="21"/>
              </w:rPr>
              <w:t>Data (DML) script resource references.</w:t>
            </w:r>
          </w:p>
        </w:tc>
      </w:tr>
      <w:tr w:rsidR="00A720EB" w14:paraId="3B0BC678" w14:textId="77777777">
        <w:trPr>
          <w:trHeight w:val="741"/>
        </w:trPr>
        <w:tc>
          <w:tcPr>
            <w:tcW w:w="2494" w:type="dxa"/>
          </w:tcPr>
          <w:p w14:paraId="16116D69" w14:textId="77777777" w:rsidR="00A720EB" w:rsidRDefault="0030286B">
            <w:pPr>
              <w:pStyle w:val="TableParagraph"/>
              <w:spacing w:before="37" w:line="264" w:lineRule="exact"/>
              <w:rPr>
                <w:sz w:val="21"/>
              </w:rPr>
            </w:pPr>
            <w:proofErr w:type="gramStart"/>
            <w:r>
              <w:rPr>
                <w:color w:val="B02045"/>
                <w:sz w:val="21"/>
              </w:rPr>
              <w:t>spring.datasource</w:t>
            </w:r>
            <w:proofErr w:type="gramEnd"/>
            <w:r>
              <w:rPr>
                <w:color w:val="B02045"/>
                <w:sz w:val="21"/>
              </w:rPr>
              <w:t>.data</w:t>
            </w:r>
          </w:p>
          <w:p w14:paraId="359F1D3A" w14:textId="77777777" w:rsidR="00A720EB" w:rsidRDefault="0030286B">
            <w:pPr>
              <w:pStyle w:val="TableParagraph"/>
              <w:spacing w:before="0" w:line="264" w:lineRule="exact"/>
              <w:rPr>
                <w:sz w:val="21"/>
              </w:rPr>
            </w:pPr>
            <w:r>
              <w:rPr>
                <w:color w:val="B02045"/>
                <w:sz w:val="21"/>
              </w:rPr>
              <w:t>-password</w:t>
            </w:r>
          </w:p>
        </w:tc>
        <w:tc>
          <w:tcPr>
            <w:tcW w:w="2494" w:type="dxa"/>
          </w:tcPr>
          <w:p w14:paraId="343109DF" w14:textId="77777777" w:rsidR="00A720EB" w:rsidRDefault="00A720EB">
            <w:pPr>
              <w:pStyle w:val="TableParagraph"/>
              <w:spacing w:before="0"/>
              <w:ind w:left="0"/>
              <w:rPr>
                <w:rFonts w:ascii="Times New Roman"/>
                <w:sz w:val="20"/>
              </w:rPr>
            </w:pPr>
          </w:p>
        </w:tc>
        <w:tc>
          <w:tcPr>
            <w:tcW w:w="4988" w:type="dxa"/>
          </w:tcPr>
          <w:p w14:paraId="585474A5" w14:textId="77777777" w:rsidR="00A720EB" w:rsidRDefault="0030286B">
            <w:pPr>
              <w:pStyle w:val="TableParagraph"/>
              <w:spacing w:before="28" w:line="310" w:lineRule="atLeast"/>
              <w:rPr>
                <w:rFonts w:ascii="Cambria"/>
                <w:sz w:val="21"/>
              </w:rPr>
            </w:pPr>
            <w:r>
              <w:rPr>
                <w:rFonts w:ascii="Cambria"/>
                <w:color w:val="333333"/>
                <w:w w:val="110"/>
                <w:sz w:val="21"/>
              </w:rPr>
              <w:t>Password of the database to execute DML scripts (if different).</w:t>
            </w:r>
          </w:p>
        </w:tc>
      </w:tr>
      <w:tr w:rsidR="00A720EB" w14:paraId="426732D3" w14:textId="77777777">
        <w:trPr>
          <w:trHeight w:val="741"/>
        </w:trPr>
        <w:tc>
          <w:tcPr>
            <w:tcW w:w="2494" w:type="dxa"/>
          </w:tcPr>
          <w:p w14:paraId="4DC9ABFB" w14:textId="77777777" w:rsidR="00A720EB" w:rsidRDefault="0030286B">
            <w:pPr>
              <w:pStyle w:val="TableParagraph"/>
              <w:spacing w:before="37" w:line="264" w:lineRule="exact"/>
              <w:rPr>
                <w:sz w:val="21"/>
              </w:rPr>
            </w:pPr>
            <w:proofErr w:type="gramStart"/>
            <w:r>
              <w:rPr>
                <w:color w:val="B02045"/>
                <w:sz w:val="21"/>
              </w:rPr>
              <w:t>spring.datasource</w:t>
            </w:r>
            <w:proofErr w:type="gramEnd"/>
            <w:r>
              <w:rPr>
                <w:color w:val="B02045"/>
                <w:sz w:val="21"/>
              </w:rPr>
              <w:t>.data</w:t>
            </w:r>
          </w:p>
          <w:p w14:paraId="4CD79379" w14:textId="77777777" w:rsidR="00A720EB" w:rsidRDefault="0030286B">
            <w:pPr>
              <w:pStyle w:val="TableParagraph"/>
              <w:spacing w:before="0" w:line="264" w:lineRule="exact"/>
              <w:rPr>
                <w:sz w:val="21"/>
              </w:rPr>
            </w:pPr>
            <w:r>
              <w:rPr>
                <w:color w:val="B02045"/>
                <w:sz w:val="21"/>
              </w:rPr>
              <w:t>-username</w:t>
            </w:r>
          </w:p>
        </w:tc>
        <w:tc>
          <w:tcPr>
            <w:tcW w:w="2494" w:type="dxa"/>
          </w:tcPr>
          <w:p w14:paraId="05417A41" w14:textId="77777777" w:rsidR="00A720EB" w:rsidRDefault="00A720EB">
            <w:pPr>
              <w:pStyle w:val="TableParagraph"/>
              <w:spacing w:before="0"/>
              <w:ind w:left="0"/>
              <w:rPr>
                <w:rFonts w:ascii="Times New Roman"/>
                <w:sz w:val="20"/>
              </w:rPr>
            </w:pPr>
          </w:p>
        </w:tc>
        <w:tc>
          <w:tcPr>
            <w:tcW w:w="4988" w:type="dxa"/>
          </w:tcPr>
          <w:p w14:paraId="3BFBB54E" w14:textId="77777777" w:rsidR="00A720EB" w:rsidRDefault="0030286B">
            <w:pPr>
              <w:pStyle w:val="TableParagraph"/>
              <w:spacing w:before="28" w:line="310" w:lineRule="atLeast"/>
              <w:ind w:right="372"/>
              <w:rPr>
                <w:rFonts w:ascii="Cambria"/>
                <w:sz w:val="21"/>
              </w:rPr>
            </w:pPr>
            <w:r>
              <w:rPr>
                <w:rFonts w:ascii="Cambria"/>
                <w:color w:val="333333"/>
                <w:w w:val="110"/>
                <w:sz w:val="21"/>
              </w:rPr>
              <w:t>Username of the database to execute DML scripts (if different).</w:t>
            </w:r>
          </w:p>
        </w:tc>
      </w:tr>
    </w:tbl>
    <w:p w14:paraId="0C15990E" w14:textId="77777777" w:rsidR="00A720EB" w:rsidRDefault="00A720EB">
      <w:pPr>
        <w:spacing w:line="310" w:lineRule="atLeast"/>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DF4A912" w14:textId="77777777">
        <w:trPr>
          <w:trHeight w:val="415"/>
        </w:trPr>
        <w:tc>
          <w:tcPr>
            <w:tcW w:w="2494" w:type="dxa"/>
            <w:tcBorders>
              <w:bottom w:val="single" w:sz="12" w:space="0" w:color="DDDDDD"/>
            </w:tcBorders>
          </w:tcPr>
          <w:p w14:paraId="339D5DBE"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722099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FD65E84"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61E484F" w14:textId="77777777">
        <w:trPr>
          <w:trHeight w:val="15010"/>
        </w:trPr>
        <w:tc>
          <w:tcPr>
            <w:tcW w:w="2494" w:type="dxa"/>
            <w:tcBorders>
              <w:top w:val="single" w:sz="12" w:space="0" w:color="DDDDDD"/>
            </w:tcBorders>
          </w:tcPr>
          <w:p w14:paraId="3E06FD71" w14:textId="77777777" w:rsidR="00A720EB" w:rsidRDefault="0030286B">
            <w:pPr>
              <w:pStyle w:val="TableParagraph"/>
              <w:spacing w:before="36" w:line="230" w:lineRule="auto"/>
              <w:ind w:right="113"/>
              <w:rPr>
                <w:sz w:val="21"/>
              </w:rPr>
            </w:pPr>
            <w:proofErr w:type="gramStart"/>
            <w:r>
              <w:rPr>
                <w:color w:val="B02045"/>
                <w:sz w:val="21"/>
              </w:rPr>
              <w:t>spring.datasource</w:t>
            </w:r>
            <w:proofErr w:type="gramEnd"/>
            <w:r>
              <w:rPr>
                <w:color w:val="B02045"/>
                <w:sz w:val="21"/>
              </w:rPr>
              <w:t>.dbcp 2.abandoned-usage-</w:t>
            </w:r>
          </w:p>
          <w:p w14:paraId="2D35B317" w14:textId="77777777" w:rsidR="00A720EB" w:rsidRDefault="0030286B">
            <w:pPr>
              <w:pStyle w:val="TableParagraph"/>
              <w:spacing w:before="49"/>
              <w:rPr>
                <w:sz w:val="21"/>
              </w:rPr>
            </w:pPr>
            <w:r>
              <w:rPr>
                <w:color w:val="B02045"/>
                <w:sz w:val="21"/>
              </w:rPr>
              <w:t>tracking</w:t>
            </w:r>
          </w:p>
          <w:p w14:paraId="0024476F" w14:textId="77777777" w:rsidR="00A720EB" w:rsidRDefault="0030286B">
            <w:pPr>
              <w:pStyle w:val="TableParagraph"/>
              <w:spacing w:before="55" w:line="230" w:lineRule="auto"/>
              <w:ind w:right="113"/>
              <w:rPr>
                <w:sz w:val="21"/>
              </w:rPr>
            </w:pPr>
            <w:proofErr w:type="gramStart"/>
            <w:r>
              <w:rPr>
                <w:color w:val="B02045"/>
                <w:sz w:val="21"/>
              </w:rPr>
              <w:t>spring.datasource</w:t>
            </w:r>
            <w:proofErr w:type="gramEnd"/>
            <w:r>
              <w:rPr>
                <w:color w:val="B02045"/>
                <w:sz w:val="21"/>
              </w:rPr>
              <w:t>.dbcp 2.access-to- underlying-connection-</w:t>
            </w:r>
          </w:p>
          <w:p w14:paraId="0AD52B25" w14:textId="77777777" w:rsidR="00A720EB" w:rsidRDefault="0030286B">
            <w:pPr>
              <w:pStyle w:val="TableParagraph"/>
              <w:spacing w:before="50"/>
              <w:rPr>
                <w:sz w:val="21"/>
              </w:rPr>
            </w:pPr>
            <w:r>
              <w:rPr>
                <w:color w:val="B02045"/>
                <w:sz w:val="21"/>
              </w:rPr>
              <w:t>allowed</w:t>
            </w:r>
          </w:p>
          <w:p w14:paraId="2EE4D84D" w14:textId="77777777" w:rsidR="00A720EB" w:rsidRDefault="0030286B">
            <w:pPr>
              <w:pStyle w:val="TableParagraph"/>
              <w:spacing w:before="55" w:line="230" w:lineRule="auto"/>
              <w:ind w:right="113"/>
              <w:rPr>
                <w:sz w:val="21"/>
              </w:rPr>
            </w:pPr>
            <w:proofErr w:type="gramStart"/>
            <w:r>
              <w:rPr>
                <w:color w:val="B02045"/>
                <w:sz w:val="21"/>
              </w:rPr>
              <w:t>spring.datasource</w:t>
            </w:r>
            <w:proofErr w:type="gramEnd"/>
            <w:r>
              <w:rPr>
                <w:color w:val="B02045"/>
                <w:sz w:val="21"/>
              </w:rPr>
              <w:t>.dbcp 2.auto-commit-on-</w:t>
            </w:r>
          </w:p>
          <w:p w14:paraId="1C4ACA1F" w14:textId="77777777" w:rsidR="00A720EB" w:rsidRDefault="0030286B">
            <w:pPr>
              <w:pStyle w:val="TableParagraph"/>
              <w:spacing w:before="50" w:line="280" w:lineRule="auto"/>
              <w:ind w:right="113"/>
              <w:rPr>
                <w:sz w:val="21"/>
              </w:rPr>
            </w:pPr>
            <w:r>
              <w:rPr>
                <w:color w:val="B02045"/>
                <w:sz w:val="21"/>
              </w:rPr>
              <w:t xml:space="preserve">return </w:t>
            </w:r>
            <w:proofErr w:type="gramStart"/>
            <w:r>
              <w:rPr>
                <w:color w:val="B02045"/>
                <w:sz w:val="21"/>
              </w:rPr>
              <w:t>spring.datasource</w:t>
            </w:r>
            <w:proofErr w:type="gramEnd"/>
            <w:r>
              <w:rPr>
                <w:color w:val="B02045"/>
                <w:sz w:val="21"/>
              </w:rPr>
              <w:t>.dbcp 2.cache-state</w:t>
            </w:r>
          </w:p>
          <w:p w14:paraId="7C38CEC7" w14:textId="77777777" w:rsidR="00A720EB" w:rsidRDefault="0030286B">
            <w:pPr>
              <w:pStyle w:val="TableParagraph"/>
              <w:spacing w:before="11" w:line="230" w:lineRule="auto"/>
              <w:ind w:right="113"/>
              <w:rPr>
                <w:sz w:val="21"/>
              </w:rPr>
            </w:pPr>
            <w:proofErr w:type="gramStart"/>
            <w:r>
              <w:rPr>
                <w:color w:val="B02045"/>
                <w:sz w:val="21"/>
              </w:rPr>
              <w:t>spring.datasource</w:t>
            </w:r>
            <w:proofErr w:type="gramEnd"/>
            <w:r>
              <w:rPr>
                <w:color w:val="B02045"/>
                <w:sz w:val="21"/>
              </w:rPr>
              <w:t>.dbcp 2.connection-factory-</w:t>
            </w:r>
          </w:p>
          <w:p w14:paraId="2A61A3BD" w14:textId="77777777" w:rsidR="00A720EB" w:rsidRDefault="0030286B">
            <w:pPr>
              <w:pStyle w:val="TableParagraph"/>
              <w:spacing w:before="49" w:line="280" w:lineRule="auto"/>
              <w:ind w:right="113"/>
              <w:rPr>
                <w:sz w:val="21"/>
              </w:rPr>
            </w:pPr>
            <w:r>
              <w:rPr>
                <w:color w:val="B02045"/>
                <w:sz w:val="21"/>
              </w:rPr>
              <w:t xml:space="preserve">class-name </w:t>
            </w:r>
            <w:proofErr w:type="gramStart"/>
            <w:r>
              <w:rPr>
                <w:color w:val="B02045"/>
                <w:sz w:val="21"/>
              </w:rPr>
              <w:t>spring.datasource</w:t>
            </w:r>
            <w:proofErr w:type="gramEnd"/>
            <w:r>
              <w:rPr>
                <w:color w:val="B02045"/>
                <w:sz w:val="21"/>
              </w:rPr>
              <w:t>.dbcp 2.connection-init-sqls spring.datasource.dbcp 2.default-auto-commit spring.datasource.dbcp 2.default-catalog</w:t>
            </w:r>
          </w:p>
          <w:p w14:paraId="7ED35A0E" w14:textId="77777777" w:rsidR="00A720EB" w:rsidRDefault="0030286B">
            <w:pPr>
              <w:pStyle w:val="TableParagraph"/>
              <w:spacing w:before="14" w:line="230" w:lineRule="auto"/>
              <w:ind w:right="113"/>
              <w:rPr>
                <w:sz w:val="21"/>
              </w:rPr>
            </w:pPr>
            <w:proofErr w:type="gramStart"/>
            <w:r>
              <w:rPr>
                <w:color w:val="B02045"/>
                <w:sz w:val="21"/>
              </w:rPr>
              <w:t>spring.datasource</w:t>
            </w:r>
            <w:proofErr w:type="gramEnd"/>
            <w:r>
              <w:rPr>
                <w:color w:val="B02045"/>
                <w:sz w:val="21"/>
              </w:rPr>
              <w:t>.dbcp 2.default-query-</w:t>
            </w:r>
          </w:p>
          <w:p w14:paraId="0D32C778" w14:textId="77777777" w:rsidR="00A720EB" w:rsidRDefault="0030286B">
            <w:pPr>
              <w:pStyle w:val="TableParagraph"/>
              <w:spacing w:before="50" w:line="280" w:lineRule="auto"/>
              <w:ind w:right="113"/>
              <w:rPr>
                <w:sz w:val="21"/>
              </w:rPr>
            </w:pPr>
            <w:r>
              <w:rPr>
                <w:color w:val="B02045"/>
                <w:sz w:val="21"/>
              </w:rPr>
              <w:t xml:space="preserve">timeout </w:t>
            </w:r>
            <w:proofErr w:type="gramStart"/>
            <w:r>
              <w:rPr>
                <w:color w:val="B02045"/>
                <w:sz w:val="21"/>
              </w:rPr>
              <w:t>spring.datasource</w:t>
            </w:r>
            <w:proofErr w:type="gramEnd"/>
            <w:r>
              <w:rPr>
                <w:color w:val="B02045"/>
                <w:sz w:val="21"/>
              </w:rPr>
              <w:t>.dbcp 2.default-read-only spring.datasource.dbcp 2.default-schema</w:t>
            </w:r>
          </w:p>
          <w:p w14:paraId="701B0E26" w14:textId="77777777" w:rsidR="00A720EB" w:rsidRDefault="0030286B">
            <w:pPr>
              <w:pStyle w:val="TableParagraph"/>
              <w:spacing w:before="12" w:line="230" w:lineRule="auto"/>
              <w:ind w:right="113"/>
              <w:rPr>
                <w:sz w:val="21"/>
              </w:rPr>
            </w:pPr>
            <w:proofErr w:type="gramStart"/>
            <w:r>
              <w:rPr>
                <w:color w:val="B02045"/>
                <w:sz w:val="21"/>
              </w:rPr>
              <w:t>spring.datasource</w:t>
            </w:r>
            <w:proofErr w:type="gramEnd"/>
            <w:r>
              <w:rPr>
                <w:color w:val="B02045"/>
                <w:sz w:val="21"/>
              </w:rPr>
              <w:t>.dbcp 2.default-transaction-</w:t>
            </w:r>
          </w:p>
          <w:p w14:paraId="58FAB38D" w14:textId="77777777" w:rsidR="00A720EB" w:rsidRDefault="0030286B">
            <w:pPr>
              <w:pStyle w:val="TableParagraph"/>
              <w:spacing w:before="50"/>
              <w:rPr>
                <w:sz w:val="21"/>
              </w:rPr>
            </w:pPr>
            <w:r>
              <w:rPr>
                <w:color w:val="B02045"/>
                <w:sz w:val="21"/>
              </w:rPr>
              <w:t>isolation</w:t>
            </w:r>
          </w:p>
          <w:p w14:paraId="24C709DB" w14:textId="77777777" w:rsidR="00A720EB" w:rsidRDefault="0030286B">
            <w:pPr>
              <w:pStyle w:val="TableParagraph"/>
              <w:spacing w:before="54" w:line="230" w:lineRule="auto"/>
              <w:ind w:right="113"/>
              <w:rPr>
                <w:sz w:val="21"/>
              </w:rPr>
            </w:pPr>
            <w:proofErr w:type="gramStart"/>
            <w:r>
              <w:rPr>
                <w:color w:val="B02045"/>
                <w:sz w:val="21"/>
              </w:rPr>
              <w:t>spring.datasource</w:t>
            </w:r>
            <w:proofErr w:type="gramEnd"/>
            <w:r>
              <w:rPr>
                <w:color w:val="B02045"/>
                <w:sz w:val="21"/>
              </w:rPr>
              <w:t>.dbcp 2.disconnection-sql-</w:t>
            </w:r>
          </w:p>
          <w:p w14:paraId="02D1E40A" w14:textId="77777777" w:rsidR="00A720EB" w:rsidRDefault="0030286B">
            <w:pPr>
              <w:pStyle w:val="TableParagraph"/>
              <w:spacing w:before="50" w:line="280" w:lineRule="auto"/>
              <w:ind w:right="113"/>
              <w:rPr>
                <w:sz w:val="21"/>
              </w:rPr>
            </w:pPr>
            <w:r>
              <w:rPr>
                <w:color w:val="B02045"/>
                <w:sz w:val="21"/>
              </w:rPr>
              <w:t xml:space="preserve">codes </w:t>
            </w:r>
            <w:proofErr w:type="gramStart"/>
            <w:r>
              <w:rPr>
                <w:color w:val="B02045"/>
                <w:sz w:val="21"/>
              </w:rPr>
              <w:t>spring.datasource</w:t>
            </w:r>
            <w:proofErr w:type="gramEnd"/>
            <w:r>
              <w:rPr>
                <w:color w:val="B02045"/>
                <w:sz w:val="21"/>
              </w:rPr>
              <w:t>.dbcp 2.driver spring.datasource.dbcp 2.driver-class-name</w:t>
            </w:r>
          </w:p>
          <w:p w14:paraId="49260011" w14:textId="77777777" w:rsidR="00A720EB" w:rsidRDefault="0030286B">
            <w:pPr>
              <w:pStyle w:val="TableParagraph"/>
              <w:spacing w:before="12" w:line="230" w:lineRule="auto"/>
              <w:ind w:right="113"/>
              <w:rPr>
                <w:sz w:val="21"/>
              </w:rPr>
            </w:pPr>
            <w:proofErr w:type="gramStart"/>
            <w:r>
              <w:rPr>
                <w:color w:val="B02045"/>
                <w:sz w:val="21"/>
              </w:rPr>
              <w:t>spring.datasource</w:t>
            </w:r>
            <w:proofErr w:type="gramEnd"/>
            <w:r>
              <w:rPr>
                <w:color w:val="B02045"/>
                <w:sz w:val="21"/>
              </w:rPr>
              <w:t>.dbcp 2.eviction-policy-</w:t>
            </w:r>
          </w:p>
          <w:p w14:paraId="51DD5B00" w14:textId="77777777" w:rsidR="00A720EB" w:rsidRDefault="0030286B">
            <w:pPr>
              <w:pStyle w:val="TableParagraph"/>
              <w:spacing w:before="50" w:line="280" w:lineRule="auto"/>
              <w:ind w:right="113"/>
              <w:rPr>
                <w:sz w:val="21"/>
              </w:rPr>
            </w:pPr>
            <w:r>
              <w:rPr>
                <w:color w:val="B02045"/>
                <w:sz w:val="21"/>
              </w:rPr>
              <w:lastRenderedPageBreak/>
              <w:t xml:space="preserve">class-name </w:t>
            </w:r>
            <w:proofErr w:type="gramStart"/>
            <w:r>
              <w:rPr>
                <w:color w:val="B02045"/>
                <w:sz w:val="21"/>
              </w:rPr>
              <w:t>spring.datasource</w:t>
            </w:r>
            <w:proofErr w:type="gramEnd"/>
            <w:r>
              <w:rPr>
                <w:color w:val="B02045"/>
                <w:sz w:val="21"/>
              </w:rPr>
              <w:t>.dbcp 2.fast-fail-validation spring.datasource.dbcp 2.initial-size spring.datasource.dbcp 2.jmx-name spring.datasource.dbcp 2.lifo</w:t>
            </w:r>
          </w:p>
        </w:tc>
        <w:tc>
          <w:tcPr>
            <w:tcW w:w="2494" w:type="dxa"/>
            <w:tcBorders>
              <w:top w:val="single" w:sz="12" w:space="0" w:color="DDDDDD"/>
            </w:tcBorders>
          </w:tcPr>
          <w:p w14:paraId="33F90324"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72FA4462" w14:textId="77777777" w:rsidR="00A720EB" w:rsidRDefault="0030286B">
            <w:pPr>
              <w:pStyle w:val="TableParagraph"/>
              <w:spacing w:before="82" w:line="307" w:lineRule="auto"/>
              <w:rPr>
                <w:rFonts w:ascii="Cambria"/>
                <w:sz w:val="21"/>
              </w:rPr>
            </w:pPr>
            <w:r>
              <w:rPr>
                <w:rFonts w:ascii="Cambria"/>
                <w:color w:val="333333"/>
                <w:w w:val="110"/>
                <w:sz w:val="21"/>
              </w:rPr>
              <w:t>Commons DBCP2 specific settings bound to an instance of DBCP2's BasicDataSource</w:t>
            </w:r>
          </w:p>
        </w:tc>
      </w:tr>
    </w:tbl>
    <w:p w14:paraId="52C8B6F8" w14:textId="77777777" w:rsidR="00A720EB" w:rsidRDefault="00A720EB">
      <w:pPr>
        <w:spacing w:line="307" w:lineRule="auto"/>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23697EC" w14:textId="77777777">
        <w:trPr>
          <w:trHeight w:val="415"/>
        </w:trPr>
        <w:tc>
          <w:tcPr>
            <w:tcW w:w="2494" w:type="dxa"/>
            <w:tcBorders>
              <w:bottom w:val="single" w:sz="12" w:space="0" w:color="DDDDDD"/>
            </w:tcBorders>
          </w:tcPr>
          <w:p w14:paraId="792031B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321243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976EB89"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8E34070" w14:textId="77777777">
        <w:trPr>
          <w:trHeight w:val="731"/>
        </w:trPr>
        <w:tc>
          <w:tcPr>
            <w:tcW w:w="2494" w:type="dxa"/>
            <w:tcBorders>
              <w:top w:val="single" w:sz="12" w:space="0" w:color="DDDDDD"/>
            </w:tcBorders>
          </w:tcPr>
          <w:p w14:paraId="736F1891" w14:textId="77777777" w:rsidR="00A720EB" w:rsidRDefault="0030286B">
            <w:pPr>
              <w:pStyle w:val="TableParagraph"/>
              <w:spacing w:before="36" w:line="230" w:lineRule="auto"/>
              <w:ind w:right="113"/>
              <w:rPr>
                <w:sz w:val="21"/>
              </w:rPr>
            </w:pPr>
            <w:proofErr w:type="gramStart"/>
            <w:r>
              <w:rPr>
                <w:color w:val="B02045"/>
                <w:sz w:val="21"/>
              </w:rPr>
              <w:t>spring.datasource</w:t>
            </w:r>
            <w:proofErr w:type="gramEnd"/>
            <w:r>
              <w:rPr>
                <w:color w:val="B02045"/>
                <w:sz w:val="21"/>
              </w:rPr>
              <w:t>.driv er-class-name</w:t>
            </w:r>
          </w:p>
        </w:tc>
        <w:tc>
          <w:tcPr>
            <w:tcW w:w="2494" w:type="dxa"/>
            <w:tcBorders>
              <w:top w:val="single" w:sz="12" w:space="0" w:color="DDDDDD"/>
            </w:tcBorders>
          </w:tcPr>
          <w:p w14:paraId="080E58BB"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296EC0B2" w14:textId="77777777" w:rsidR="00A720EB" w:rsidRDefault="0030286B">
            <w:pPr>
              <w:pStyle w:val="TableParagraph"/>
              <w:spacing w:before="18" w:line="310" w:lineRule="atLeast"/>
              <w:rPr>
                <w:rFonts w:ascii="Cambria"/>
                <w:sz w:val="21"/>
              </w:rPr>
            </w:pPr>
            <w:r>
              <w:rPr>
                <w:rFonts w:ascii="Cambria"/>
                <w:color w:val="333333"/>
                <w:w w:val="110"/>
                <w:sz w:val="21"/>
              </w:rPr>
              <w:t>Fully qualified name of the JDBC driver. Auto- detected based on the URL by default.</w:t>
            </w:r>
          </w:p>
        </w:tc>
      </w:tr>
      <w:tr w:rsidR="00A720EB" w14:paraId="72FAA01F" w14:textId="77777777">
        <w:trPr>
          <w:trHeight w:val="741"/>
        </w:trPr>
        <w:tc>
          <w:tcPr>
            <w:tcW w:w="2494" w:type="dxa"/>
          </w:tcPr>
          <w:p w14:paraId="612BBF02" w14:textId="77777777" w:rsidR="00A720EB" w:rsidRDefault="0030286B">
            <w:pPr>
              <w:pStyle w:val="TableParagraph"/>
              <w:spacing w:before="46" w:line="230" w:lineRule="auto"/>
              <w:ind w:right="113"/>
              <w:rPr>
                <w:sz w:val="21"/>
              </w:rPr>
            </w:pPr>
            <w:proofErr w:type="gramStart"/>
            <w:r>
              <w:rPr>
                <w:color w:val="B02045"/>
                <w:sz w:val="21"/>
              </w:rPr>
              <w:t>spring.datasource</w:t>
            </w:r>
            <w:proofErr w:type="gramEnd"/>
            <w:r>
              <w:rPr>
                <w:color w:val="B02045"/>
                <w:sz w:val="21"/>
              </w:rPr>
              <w:t>.gene rate-unique-name</w:t>
            </w:r>
          </w:p>
        </w:tc>
        <w:tc>
          <w:tcPr>
            <w:tcW w:w="2494" w:type="dxa"/>
          </w:tcPr>
          <w:p w14:paraId="664BA403" w14:textId="77777777" w:rsidR="00A720EB" w:rsidRDefault="0030286B">
            <w:pPr>
              <w:pStyle w:val="TableParagraph"/>
              <w:spacing w:before="37"/>
              <w:rPr>
                <w:sz w:val="21"/>
              </w:rPr>
            </w:pPr>
            <w:r>
              <w:rPr>
                <w:color w:val="B02045"/>
                <w:sz w:val="21"/>
              </w:rPr>
              <w:t>true</w:t>
            </w:r>
          </w:p>
        </w:tc>
        <w:tc>
          <w:tcPr>
            <w:tcW w:w="4988" w:type="dxa"/>
          </w:tcPr>
          <w:p w14:paraId="7EE003B1"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generate a random datasource name.</w:t>
            </w:r>
          </w:p>
        </w:tc>
      </w:tr>
    </w:tbl>
    <w:p w14:paraId="13DDCB29" w14:textId="77777777" w:rsidR="00A720EB" w:rsidRDefault="00A720EB">
      <w:pPr>
        <w:spacing w:line="310" w:lineRule="atLeast"/>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041A619" w14:textId="77777777">
        <w:trPr>
          <w:trHeight w:val="415"/>
        </w:trPr>
        <w:tc>
          <w:tcPr>
            <w:tcW w:w="2494" w:type="dxa"/>
            <w:tcBorders>
              <w:bottom w:val="single" w:sz="12" w:space="0" w:color="DDDDDD"/>
            </w:tcBorders>
          </w:tcPr>
          <w:p w14:paraId="3EC7AE26"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D70C1DF"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9CA483A"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8B324A7" w14:textId="77777777">
        <w:trPr>
          <w:trHeight w:val="15064"/>
        </w:trPr>
        <w:tc>
          <w:tcPr>
            <w:tcW w:w="2494" w:type="dxa"/>
            <w:tcBorders>
              <w:top w:val="single" w:sz="12" w:space="0" w:color="DDDDDD"/>
              <w:bottom w:val="single" w:sz="2" w:space="0" w:color="DDDDDD"/>
            </w:tcBorders>
          </w:tcPr>
          <w:p w14:paraId="118DDC6F" w14:textId="77777777" w:rsidR="00A720EB" w:rsidRDefault="0030286B">
            <w:pPr>
              <w:pStyle w:val="TableParagraph"/>
              <w:spacing w:before="36" w:line="230" w:lineRule="auto"/>
              <w:ind w:right="113"/>
              <w:rPr>
                <w:sz w:val="21"/>
              </w:rPr>
            </w:pPr>
            <w:proofErr w:type="gramStart"/>
            <w:r>
              <w:rPr>
                <w:color w:val="B02045"/>
                <w:sz w:val="21"/>
              </w:rPr>
              <w:t>spring.datasource</w:t>
            </w:r>
            <w:proofErr w:type="gramEnd"/>
            <w:r>
              <w:rPr>
                <w:color w:val="B02045"/>
                <w:sz w:val="21"/>
              </w:rPr>
              <w:t>.hika ri.allow-pool-</w:t>
            </w:r>
          </w:p>
          <w:p w14:paraId="0A4E4F84" w14:textId="77777777" w:rsidR="00A720EB" w:rsidRDefault="0030286B">
            <w:pPr>
              <w:pStyle w:val="TableParagraph"/>
              <w:spacing w:before="49" w:line="280" w:lineRule="auto"/>
              <w:ind w:right="113"/>
              <w:rPr>
                <w:sz w:val="21"/>
              </w:rPr>
            </w:pPr>
            <w:r>
              <w:rPr>
                <w:color w:val="B02045"/>
                <w:sz w:val="21"/>
              </w:rPr>
              <w:t xml:space="preserve">suspension </w:t>
            </w:r>
            <w:proofErr w:type="gramStart"/>
            <w:r>
              <w:rPr>
                <w:color w:val="B02045"/>
                <w:sz w:val="21"/>
              </w:rPr>
              <w:t>spring.datasource</w:t>
            </w:r>
            <w:proofErr w:type="gramEnd"/>
            <w:r>
              <w:rPr>
                <w:color w:val="B02045"/>
                <w:sz w:val="21"/>
              </w:rPr>
              <w:t>.hika ri.auto-commit spring.datasource.hika ri.catalog spring.datasource.hika ri.connection-init-sql</w:t>
            </w:r>
          </w:p>
          <w:p w14:paraId="794D2F7A" w14:textId="77777777" w:rsidR="00A720EB" w:rsidRDefault="0030286B">
            <w:pPr>
              <w:pStyle w:val="TableParagraph"/>
              <w:spacing w:before="14" w:line="230" w:lineRule="auto"/>
              <w:ind w:right="113"/>
              <w:rPr>
                <w:sz w:val="21"/>
              </w:rPr>
            </w:pPr>
            <w:proofErr w:type="gramStart"/>
            <w:r>
              <w:rPr>
                <w:color w:val="B02045"/>
                <w:sz w:val="21"/>
              </w:rPr>
              <w:t>spring.datasource</w:t>
            </w:r>
            <w:proofErr w:type="gramEnd"/>
            <w:r>
              <w:rPr>
                <w:color w:val="B02045"/>
                <w:sz w:val="21"/>
              </w:rPr>
              <w:t>.hika ri.connection-test-</w:t>
            </w:r>
          </w:p>
          <w:p w14:paraId="212341D3" w14:textId="77777777" w:rsidR="00A720EB" w:rsidRDefault="0030286B">
            <w:pPr>
              <w:pStyle w:val="TableParagraph"/>
              <w:spacing w:before="50" w:line="280" w:lineRule="auto"/>
              <w:ind w:right="113"/>
              <w:rPr>
                <w:sz w:val="21"/>
              </w:rPr>
            </w:pPr>
            <w:r>
              <w:rPr>
                <w:color w:val="B02045"/>
                <w:sz w:val="21"/>
              </w:rPr>
              <w:t xml:space="preserve">query </w:t>
            </w:r>
            <w:proofErr w:type="gramStart"/>
            <w:r>
              <w:rPr>
                <w:color w:val="B02045"/>
                <w:sz w:val="21"/>
              </w:rPr>
              <w:t>spring.datasource</w:t>
            </w:r>
            <w:proofErr w:type="gramEnd"/>
            <w:r>
              <w:rPr>
                <w:color w:val="B02045"/>
                <w:sz w:val="21"/>
              </w:rPr>
              <w:t>.hika ri.connection-timeout</w:t>
            </w:r>
          </w:p>
          <w:p w14:paraId="60A101B5" w14:textId="77777777" w:rsidR="00A720EB" w:rsidRDefault="0030286B">
            <w:pPr>
              <w:pStyle w:val="TableParagraph"/>
              <w:spacing w:before="11" w:line="230" w:lineRule="auto"/>
              <w:ind w:right="113"/>
              <w:rPr>
                <w:sz w:val="21"/>
              </w:rPr>
            </w:pPr>
            <w:proofErr w:type="gramStart"/>
            <w:r>
              <w:rPr>
                <w:color w:val="B02045"/>
                <w:sz w:val="21"/>
              </w:rPr>
              <w:t>spring.datasource</w:t>
            </w:r>
            <w:proofErr w:type="gramEnd"/>
            <w:r>
              <w:rPr>
                <w:color w:val="B02045"/>
                <w:sz w:val="21"/>
              </w:rPr>
              <w:t>.hika ri.data-source-class-</w:t>
            </w:r>
          </w:p>
          <w:p w14:paraId="1BCB7697" w14:textId="77777777" w:rsidR="00A720EB" w:rsidRDefault="0030286B">
            <w:pPr>
              <w:pStyle w:val="TableParagraph"/>
              <w:spacing w:before="49" w:line="280" w:lineRule="auto"/>
              <w:ind w:right="113"/>
              <w:rPr>
                <w:sz w:val="21"/>
              </w:rPr>
            </w:pPr>
            <w:r>
              <w:rPr>
                <w:color w:val="B02045"/>
                <w:sz w:val="21"/>
              </w:rPr>
              <w:t xml:space="preserve">name </w:t>
            </w:r>
            <w:proofErr w:type="gramStart"/>
            <w:r>
              <w:rPr>
                <w:color w:val="B02045"/>
                <w:sz w:val="21"/>
              </w:rPr>
              <w:t>spring.datasource</w:t>
            </w:r>
            <w:proofErr w:type="gramEnd"/>
            <w:r>
              <w:rPr>
                <w:color w:val="B02045"/>
                <w:sz w:val="21"/>
              </w:rPr>
              <w:t>.hika ri.data-source-j-n-d-i</w:t>
            </w:r>
          </w:p>
          <w:p w14:paraId="67913FAB" w14:textId="77777777" w:rsidR="00A720EB" w:rsidRDefault="0030286B">
            <w:pPr>
              <w:pStyle w:val="TableParagraph"/>
              <w:spacing w:before="11" w:line="230" w:lineRule="auto"/>
              <w:ind w:right="113"/>
              <w:rPr>
                <w:sz w:val="21"/>
              </w:rPr>
            </w:pPr>
            <w:proofErr w:type="gramStart"/>
            <w:r>
              <w:rPr>
                <w:color w:val="B02045"/>
                <w:sz w:val="21"/>
              </w:rPr>
              <w:t>spring.datasource</w:t>
            </w:r>
            <w:proofErr w:type="gramEnd"/>
            <w:r>
              <w:rPr>
                <w:color w:val="B02045"/>
                <w:sz w:val="21"/>
              </w:rPr>
              <w:t>.hika ri.data-source-</w:t>
            </w:r>
          </w:p>
          <w:p w14:paraId="4A446188" w14:textId="77777777" w:rsidR="00A720EB" w:rsidRDefault="0030286B">
            <w:pPr>
              <w:pStyle w:val="TableParagraph"/>
              <w:spacing w:before="49" w:line="280" w:lineRule="auto"/>
              <w:ind w:right="113"/>
              <w:rPr>
                <w:sz w:val="21"/>
              </w:rPr>
            </w:pPr>
            <w:r>
              <w:rPr>
                <w:color w:val="B02045"/>
                <w:sz w:val="21"/>
              </w:rPr>
              <w:t xml:space="preserve">properties </w:t>
            </w:r>
            <w:proofErr w:type="gramStart"/>
            <w:r>
              <w:rPr>
                <w:color w:val="B02045"/>
                <w:sz w:val="21"/>
              </w:rPr>
              <w:t>spring.datasource</w:t>
            </w:r>
            <w:proofErr w:type="gramEnd"/>
            <w:r>
              <w:rPr>
                <w:color w:val="B02045"/>
                <w:sz w:val="21"/>
              </w:rPr>
              <w:t>.hika ri.driver-class-name</w:t>
            </w:r>
          </w:p>
          <w:p w14:paraId="3C5E7327" w14:textId="77777777" w:rsidR="00A720EB" w:rsidRDefault="0030286B">
            <w:pPr>
              <w:pStyle w:val="TableParagraph"/>
              <w:spacing w:before="11" w:line="230" w:lineRule="auto"/>
              <w:ind w:right="113"/>
              <w:rPr>
                <w:sz w:val="21"/>
              </w:rPr>
            </w:pPr>
            <w:proofErr w:type="gramStart"/>
            <w:r>
              <w:rPr>
                <w:color w:val="B02045"/>
                <w:sz w:val="21"/>
              </w:rPr>
              <w:t>spring.datasource</w:t>
            </w:r>
            <w:proofErr w:type="gramEnd"/>
            <w:r>
              <w:rPr>
                <w:color w:val="B02045"/>
                <w:sz w:val="21"/>
              </w:rPr>
              <w:t>.hika ri.exception-override-</w:t>
            </w:r>
          </w:p>
          <w:p w14:paraId="0E74635B" w14:textId="77777777" w:rsidR="00A720EB" w:rsidRDefault="0030286B">
            <w:pPr>
              <w:pStyle w:val="TableParagraph"/>
              <w:spacing w:before="50"/>
              <w:rPr>
                <w:sz w:val="21"/>
              </w:rPr>
            </w:pPr>
            <w:r>
              <w:rPr>
                <w:color w:val="B02045"/>
                <w:sz w:val="21"/>
              </w:rPr>
              <w:t>class-name</w:t>
            </w:r>
          </w:p>
          <w:p w14:paraId="221458C7" w14:textId="77777777" w:rsidR="00A720EB" w:rsidRDefault="0030286B">
            <w:pPr>
              <w:pStyle w:val="TableParagraph"/>
              <w:spacing w:before="55" w:line="230" w:lineRule="auto"/>
              <w:ind w:right="113"/>
              <w:rPr>
                <w:sz w:val="21"/>
              </w:rPr>
            </w:pPr>
            <w:proofErr w:type="gramStart"/>
            <w:r>
              <w:rPr>
                <w:color w:val="B02045"/>
                <w:sz w:val="21"/>
              </w:rPr>
              <w:t>spring.datasource</w:t>
            </w:r>
            <w:proofErr w:type="gramEnd"/>
            <w:r>
              <w:rPr>
                <w:color w:val="B02045"/>
                <w:sz w:val="21"/>
              </w:rPr>
              <w:t>.hika ri.health-check-</w:t>
            </w:r>
          </w:p>
          <w:p w14:paraId="019E7F0C" w14:textId="77777777" w:rsidR="00A720EB" w:rsidRDefault="0030286B">
            <w:pPr>
              <w:pStyle w:val="TableParagraph"/>
              <w:spacing w:before="49"/>
              <w:rPr>
                <w:sz w:val="21"/>
              </w:rPr>
            </w:pPr>
            <w:r>
              <w:rPr>
                <w:color w:val="B02045"/>
                <w:sz w:val="21"/>
              </w:rPr>
              <w:t>properties</w:t>
            </w:r>
          </w:p>
          <w:p w14:paraId="387C9E0A" w14:textId="77777777" w:rsidR="00A720EB" w:rsidRDefault="0030286B">
            <w:pPr>
              <w:pStyle w:val="TableParagraph"/>
              <w:spacing w:before="55" w:line="230" w:lineRule="auto"/>
              <w:ind w:right="113"/>
              <w:rPr>
                <w:sz w:val="21"/>
              </w:rPr>
            </w:pPr>
            <w:proofErr w:type="gramStart"/>
            <w:r>
              <w:rPr>
                <w:color w:val="B02045"/>
                <w:sz w:val="21"/>
              </w:rPr>
              <w:t>spring.datasource</w:t>
            </w:r>
            <w:proofErr w:type="gramEnd"/>
            <w:r>
              <w:rPr>
                <w:color w:val="B02045"/>
                <w:sz w:val="21"/>
              </w:rPr>
              <w:t>.hika ri.health-check-</w:t>
            </w:r>
          </w:p>
          <w:p w14:paraId="1FC7C5B2" w14:textId="77777777" w:rsidR="00A720EB" w:rsidRDefault="0030286B">
            <w:pPr>
              <w:pStyle w:val="TableParagraph"/>
              <w:spacing w:before="50" w:line="280" w:lineRule="auto"/>
              <w:ind w:right="113"/>
              <w:rPr>
                <w:sz w:val="21"/>
              </w:rPr>
            </w:pPr>
            <w:r>
              <w:rPr>
                <w:color w:val="B02045"/>
                <w:sz w:val="21"/>
              </w:rPr>
              <w:t xml:space="preserve">registry </w:t>
            </w:r>
            <w:proofErr w:type="gramStart"/>
            <w:r>
              <w:rPr>
                <w:color w:val="B02045"/>
                <w:sz w:val="21"/>
              </w:rPr>
              <w:t>spring.datasource</w:t>
            </w:r>
            <w:proofErr w:type="gramEnd"/>
            <w:r>
              <w:rPr>
                <w:color w:val="B02045"/>
                <w:sz w:val="21"/>
              </w:rPr>
              <w:t>.hika ri.idle-timeout</w:t>
            </w:r>
          </w:p>
          <w:p w14:paraId="4DF7F75C" w14:textId="77777777" w:rsidR="00A720EB" w:rsidRDefault="0030286B">
            <w:pPr>
              <w:pStyle w:val="TableParagraph"/>
              <w:spacing w:before="10" w:line="230" w:lineRule="auto"/>
              <w:ind w:right="113"/>
              <w:rPr>
                <w:sz w:val="21"/>
              </w:rPr>
            </w:pPr>
            <w:proofErr w:type="gramStart"/>
            <w:r>
              <w:rPr>
                <w:color w:val="B02045"/>
                <w:sz w:val="21"/>
              </w:rPr>
              <w:t>spring.datasource</w:t>
            </w:r>
            <w:proofErr w:type="gramEnd"/>
            <w:r>
              <w:rPr>
                <w:color w:val="B02045"/>
                <w:sz w:val="21"/>
              </w:rPr>
              <w:t>.hika ri.initialization-</w:t>
            </w:r>
          </w:p>
          <w:p w14:paraId="3CD95904" w14:textId="77777777" w:rsidR="00A720EB" w:rsidRDefault="0030286B">
            <w:pPr>
              <w:pStyle w:val="TableParagraph"/>
              <w:spacing w:before="50"/>
              <w:rPr>
                <w:sz w:val="21"/>
              </w:rPr>
            </w:pPr>
            <w:r>
              <w:rPr>
                <w:color w:val="B02045"/>
                <w:sz w:val="21"/>
              </w:rPr>
              <w:t>fail-timeout</w:t>
            </w:r>
          </w:p>
          <w:p w14:paraId="7938CB10" w14:textId="77777777" w:rsidR="00A720EB" w:rsidRDefault="0030286B">
            <w:pPr>
              <w:pStyle w:val="TableParagraph"/>
              <w:spacing w:before="55" w:line="230" w:lineRule="auto"/>
              <w:ind w:right="113"/>
              <w:rPr>
                <w:sz w:val="21"/>
              </w:rPr>
            </w:pPr>
            <w:proofErr w:type="gramStart"/>
            <w:r>
              <w:rPr>
                <w:color w:val="B02045"/>
                <w:sz w:val="21"/>
              </w:rPr>
              <w:t>spring.datasource</w:t>
            </w:r>
            <w:proofErr w:type="gramEnd"/>
            <w:r>
              <w:rPr>
                <w:color w:val="B02045"/>
                <w:sz w:val="21"/>
              </w:rPr>
              <w:t>.hika ri.isolate-internal-</w:t>
            </w:r>
          </w:p>
          <w:p w14:paraId="12D31223" w14:textId="77777777" w:rsidR="00A720EB" w:rsidRDefault="0030286B">
            <w:pPr>
              <w:pStyle w:val="TableParagraph"/>
              <w:spacing w:before="49" w:line="280" w:lineRule="auto"/>
              <w:ind w:right="113"/>
              <w:rPr>
                <w:sz w:val="21"/>
              </w:rPr>
            </w:pPr>
            <w:r>
              <w:rPr>
                <w:color w:val="B02045"/>
                <w:sz w:val="21"/>
              </w:rPr>
              <w:t xml:space="preserve">queries </w:t>
            </w:r>
            <w:proofErr w:type="gramStart"/>
            <w:r>
              <w:rPr>
                <w:color w:val="B02045"/>
                <w:sz w:val="21"/>
              </w:rPr>
              <w:lastRenderedPageBreak/>
              <w:t>spring.datasource</w:t>
            </w:r>
            <w:proofErr w:type="gramEnd"/>
            <w:r>
              <w:rPr>
                <w:color w:val="B02045"/>
                <w:sz w:val="21"/>
              </w:rPr>
              <w:t>.hika ri.jdbc-url</w:t>
            </w:r>
          </w:p>
          <w:p w14:paraId="466B7CCA" w14:textId="77777777" w:rsidR="00A720EB" w:rsidRDefault="0030286B">
            <w:pPr>
              <w:pStyle w:val="TableParagraph"/>
              <w:spacing w:before="11" w:line="230" w:lineRule="auto"/>
              <w:ind w:right="113"/>
              <w:rPr>
                <w:sz w:val="21"/>
              </w:rPr>
            </w:pPr>
            <w:proofErr w:type="gramStart"/>
            <w:r>
              <w:rPr>
                <w:color w:val="B02045"/>
                <w:sz w:val="21"/>
              </w:rPr>
              <w:t>spring.datasource</w:t>
            </w:r>
            <w:proofErr w:type="gramEnd"/>
            <w:r>
              <w:rPr>
                <w:color w:val="B02045"/>
                <w:sz w:val="21"/>
              </w:rPr>
              <w:t>.hika ri.leak-detection-</w:t>
            </w:r>
          </w:p>
          <w:p w14:paraId="249F3471" w14:textId="77777777" w:rsidR="00A720EB" w:rsidRDefault="0030286B">
            <w:pPr>
              <w:pStyle w:val="TableParagraph"/>
              <w:spacing w:before="0" w:line="310" w:lineRule="atLeast"/>
              <w:ind w:right="113"/>
              <w:rPr>
                <w:sz w:val="21"/>
              </w:rPr>
            </w:pPr>
            <w:r>
              <w:rPr>
                <w:color w:val="B02045"/>
                <w:sz w:val="21"/>
              </w:rPr>
              <w:t xml:space="preserve">threshold </w:t>
            </w:r>
            <w:proofErr w:type="gramStart"/>
            <w:r>
              <w:rPr>
                <w:color w:val="B02045"/>
                <w:sz w:val="21"/>
              </w:rPr>
              <w:t>spring.datasource</w:t>
            </w:r>
            <w:proofErr w:type="gramEnd"/>
            <w:r>
              <w:rPr>
                <w:color w:val="B02045"/>
                <w:sz w:val="21"/>
              </w:rPr>
              <w:t>.hika ri.login-timeout spring.datasource.hika ri.max-lifetime</w:t>
            </w:r>
          </w:p>
        </w:tc>
        <w:tc>
          <w:tcPr>
            <w:tcW w:w="2494" w:type="dxa"/>
            <w:tcBorders>
              <w:top w:val="single" w:sz="12" w:space="0" w:color="DDDDDD"/>
              <w:bottom w:val="single" w:sz="2" w:space="0" w:color="DDDDDD"/>
            </w:tcBorders>
          </w:tcPr>
          <w:p w14:paraId="0AAB8B7A" w14:textId="77777777" w:rsidR="00A720EB" w:rsidRDefault="00A720EB">
            <w:pPr>
              <w:pStyle w:val="TableParagraph"/>
              <w:spacing w:before="0"/>
              <w:ind w:left="0"/>
              <w:rPr>
                <w:rFonts w:ascii="Times New Roman"/>
                <w:sz w:val="20"/>
              </w:rPr>
            </w:pPr>
          </w:p>
        </w:tc>
        <w:tc>
          <w:tcPr>
            <w:tcW w:w="4988" w:type="dxa"/>
            <w:tcBorders>
              <w:top w:val="single" w:sz="12" w:space="0" w:color="DDDDDD"/>
              <w:bottom w:val="single" w:sz="2" w:space="0" w:color="DDDDDD"/>
            </w:tcBorders>
          </w:tcPr>
          <w:p w14:paraId="7212722D" w14:textId="77777777" w:rsidR="00A720EB" w:rsidRDefault="0030286B">
            <w:pPr>
              <w:pStyle w:val="TableParagraph"/>
              <w:spacing w:before="82" w:line="307" w:lineRule="auto"/>
              <w:rPr>
                <w:rFonts w:ascii="Cambria"/>
                <w:sz w:val="21"/>
              </w:rPr>
            </w:pPr>
            <w:r>
              <w:rPr>
                <w:rFonts w:ascii="Cambria"/>
                <w:color w:val="333333"/>
                <w:w w:val="110"/>
                <w:sz w:val="21"/>
              </w:rPr>
              <w:t>Hikari specific settings bound to an instance of Hikari's HikariDataSource</w:t>
            </w:r>
          </w:p>
        </w:tc>
      </w:tr>
      <w:tr w:rsidR="00A720EB" w14:paraId="4AA9B5D3" w14:textId="77777777">
        <w:trPr>
          <w:trHeight w:val="101"/>
        </w:trPr>
        <w:tc>
          <w:tcPr>
            <w:tcW w:w="2494" w:type="dxa"/>
            <w:tcBorders>
              <w:top w:val="single" w:sz="2" w:space="0" w:color="DDDDDD"/>
            </w:tcBorders>
          </w:tcPr>
          <w:p w14:paraId="1B9201B2" w14:textId="77777777" w:rsidR="00A720EB" w:rsidRDefault="00A720EB">
            <w:pPr>
              <w:pStyle w:val="TableParagraph"/>
              <w:spacing w:before="0"/>
              <w:ind w:left="0"/>
              <w:rPr>
                <w:rFonts w:ascii="Times New Roman"/>
                <w:sz w:val="4"/>
              </w:rPr>
            </w:pPr>
          </w:p>
        </w:tc>
        <w:tc>
          <w:tcPr>
            <w:tcW w:w="2494" w:type="dxa"/>
            <w:tcBorders>
              <w:top w:val="single" w:sz="2" w:space="0" w:color="DDDDDD"/>
            </w:tcBorders>
          </w:tcPr>
          <w:p w14:paraId="4B57DA23" w14:textId="77777777" w:rsidR="00A720EB" w:rsidRDefault="00A720EB">
            <w:pPr>
              <w:pStyle w:val="TableParagraph"/>
              <w:spacing w:before="0"/>
              <w:ind w:left="0"/>
              <w:rPr>
                <w:rFonts w:ascii="Times New Roman"/>
                <w:sz w:val="4"/>
              </w:rPr>
            </w:pPr>
          </w:p>
        </w:tc>
        <w:tc>
          <w:tcPr>
            <w:tcW w:w="4988" w:type="dxa"/>
            <w:tcBorders>
              <w:top w:val="single" w:sz="2" w:space="0" w:color="DDDDDD"/>
            </w:tcBorders>
          </w:tcPr>
          <w:p w14:paraId="04584DB4" w14:textId="77777777" w:rsidR="00A720EB" w:rsidRDefault="00A720EB">
            <w:pPr>
              <w:pStyle w:val="TableParagraph"/>
              <w:spacing w:before="0"/>
              <w:ind w:left="0"/>
              <w:rPr>
                <w:rFonts w:ascii="Times New Roman"/>
                <w:sz w:val="4"/>
              </w:rPr>
            </w:pPr>
          </w:p>
        </w:tc>
      </w:tr>
    </w:tbl>
    <w:p w14:paraId="6BB14BC6" w14:textId="77777777" w:rsidR="00A720EB" w:rsidRDefault="00A720EB">
      <w:pPr>
        <w:rPr>
          <w:rFonts w:ascii="Times New Roman"/>
          <w:sz w:val="4"/>
        </w:rPr>
        <w:sectPr w:rsidR="00A720EB">
          <w:footerReference w:type="even" r:id="rId677"/>
          <w:footerReference w:type="default" r:id="rId678"/>
          <w:pgSz w:w="11910" w:h="16840"/>
          <w:pgMar w:top="700" w:right="840" w:bottom="300" w:left="840" w:header="0" w:footer="198" w:gutter="0"/>
          <w:pgNumType w:start="382"/>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6C00A62" w14:textId="77777777">
        <w:trPr>
          <w:trHeight w:val="415"/>
        </w:trPr>
        <w:tc>
          <w:tcPr>
            <w:tcW w:w="2494" w:type="dxa"/>
            <w:tcBorders>
              <w:bottom w:val="single" w:sz="12" w:space="0" w:color="DDDDDD"/>
            </w:tcBorders>
          </w:tcPr>
          <w:p w14:paraId="0BB4C8E5"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18BA447"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529FC4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E84C3A6" w14:textId="77777777">
        <w:trPr>
          <w:trHeight w:val="731"/>
        </w:trPr>
        <w:tc>
          <w:tcPr>
            <w:tcW w:w="2494" w:type="dxa"/>
            <w:tcBorders>
              <w:top w:val="single" w:sz="12" w:space="0" w:color="DDDDDD"/>
            </w:tcBorders>
          </w:tcPr>
          <w:p w14:paraId="505B1C3B" w14:textId="77777777" w:rsidR="00A720EB" w:rsidRDefault="0030286B">
            <w:pPr>
              <w:pStyle w:val="TableParagraph"/>
              <w:spacing w:before="36" w:line="230" w:lineRule="auto"/>
              <w:ind w:right="113"/>
              <w:rPr>
                <w:sz w:val="21"/>
              </w:rPr>
            </w:pPr>
            <w:proofErr w:type="gramStart"/>
            <w:r>
              <w:rPr>
                <w:color w:val="B02045"/>
                <w:sz w:val="21"/>
              </w:rPr>
              <w:t>spring.datasource</w:t>
            </w:r>
            <w:proofErr w:type="gramEnd"/>
            <w:r>
              <w:rPr>
                <w:color w:val="B02045"/>
                <w:sz w:val="21"/>
              </w:rPr>
              <w:t>.init ialization-mode</w:t>
            </w:r>
          </w:p>
        </w:tc>
        <w:tc>
          <w:tcPr>
            <w:tcW w:w="2494" w:type="dxa"/>
            <w:tcBorders>
              <w:top w:val="single" w:sz="12" w:space="0" w:color="DDDDDD"/>
            </w:tcBorders>
          </w:tcPr>
          <w:p w14:paraId="5256D9FA" w14:textId="77777777" w:rsidR="00A720EB" w:rsidRDefault="0030286B">
            <w:pPr>
              <w:pStyle w:val="TableParagraph"/>
              <w:spacing w:before="27"/>
              <w:rPr>
                <w:sz w:val="21"/>
              </w:rPr>
            </w:pPr>
            <w:r>
              <w:rPr>
                <w:color w:val="B02045"/>
                <w:sz w:val="21"/>
              </w:rPr>
              <w:t>embedded</w:t>
            </w:r>
          </w:p>
        </w:tc>
        <w:tc>
          <w:tcPr>
            <w:tcW w:w="4988" w:type="dxa"/>
            <w:tcBorders>
              <w:top w:val="single" w:sz="12" w:space="0" w:color="DDDDDD"/>
            </w:tcBorders>
          </w:tcPr>
          <w:p w14:paraId="68F51DCA" w14:textId="77777777" w:rsidR="00A720EB" w:rsidRDefault="0030286B">
            <w:pPr>
              <w:pStyle w:val="TableParagraph"/>
              <w:spacing w:before="18" w:line="310" w:lineRule="atLeast"/>
              <w:rPr>
                <w:rFonts w:ascii="Cambria"/>
                <w:sz w:val="21"/>
              </w:rPr>
            </w:pPr>
            <w:r>
              <w:rPr>
                <w:rFonts w:ascii="Cambria"/>
                <w:color w:val="333333"/>
                <w:w w:val="110"/>
                <w:sz w:val="21"/>
              </w:rPr>
              <w:t>Initialize the datasource with available DDL and DML scripts.</w:t>
            </w:r>
          </w:p>
        </w:tc>
      </w:tr>
      <w:tr w:rsidR="00A720EB" w14:paraId="5BA73588" w14:textId="77777777">
        <w:trPr>
          <w:trHeight w:val="741"/>
        </w:trPr>
        <w:tc>
          <w:tcPr>
            <w:tcW w:w="2494" w:type="dxa"/>
          </w:tcPr>
          <w:p w14:paraId="6652750B" w14:textId="77777777" w:rsidR="00A720EB" w:rsidRDefault="0030286B">
            <w:pPr>
              <w:pStyle w:val="TableParagraph"/>
              <w:spacing w:before="37" w:line="264" w:lineRule="exact"/>
              <w:rPr>
                <w:sz w:val="21"/>
              </w:rPr>
            </w:pPr>
            <w:proofErr w:type="gramStart"/>
            <w:r>
              <w:rPr>
                <w:color w:val="B02045"/>
                <w:sz w:val="21"/>
              </w:rPr>
              <w:t>spring.datasource</w:t>
            </w:r>
            <w:proofErr w:type="gramEnd"/>
            <w:r>
              <w:rPr>
                <w:color w:val="B02045"/>
                <w:sz w:val="21"/>
              </w:rPr>
              <w:t>.jndi</w:t>
            </w:r>
          </w:p>
          <w:p w14:paraId="04611A9D" w14:textId="77777777" w:rsidR="00A720EB" w:rsidRDefault="0030286B">
            <w:pPr>
              <w:pStyle w:val="TableParagraph"/>
              <w:spacing w:before="0" w:line="264" w:lineRule="exact"/>
              <w:rPr>
                <w:sz w:val="21"/>
              </w:rPr>
            </w:pPr>
            <w:r>
              <w:rPr>
                <w:color w:val="B02045"/>
                <w:sz w:val="21"/>
              </w:rPr>
              <w:t>-name</w:t>
            </w:r>
          </w:p>
        </w:tc>
        <w:tc>
          <w:tcPr>
            <w:tcW w:w="2494" w:type="dxa"/>
          </w:tcPr>
          <w:p w14:paraId="1C46B6EE" w14:textId="77777777" w:rsidR="00A720EB" w:rsidRDefault="00A720EB">
            <w:pPr>
              <w:pStyle w:val="TableParagraph"/>
              <w:spacing w:before="0"/>
              <w:ind w:left="0"/>
              <w:rPr>
                <w:rFonts w:ascii="Times New Roman"/>
                <w:sz w:val="20"/>
              </w:rPr>
            </w:pPr>
          </w:p>
        </w:tc>
        <w:tc>
          <w:tcPr>
            <w:tcW w:w="4988" w:type="dxa"/>
          </w:tcPr>
          <w:p w14:paraId="5FE47D49" w14:textId="77777777" w:rsidR="00A720EB" w:rsidRDefault="0030286B">
            <w:pPr>
              <w:pStyle w:val="TableParagraph"/>
              <w:spacing w:before="28" w:line="310" w:lineRule="atLeast"/>
              <w:rPr>
                <w:rFonts w:ascii="Cambria"/>
                <w:sz w:val="21"/>
              </w:rPr>
            </w:pPr>
            <w:r>
              <w:rPr>
                <w:rFonts w:ascii="Cambria"/>
                <w:color w:val="333333"/>
                <w:w w:val="110"/>
                <w:sz w:val="21"/>
              </w:rPr>
              <w:t>JNDI location of the datasource. Class, url, username and password are ignored when set.</w:t>
            </w:r>
          </w:p>
        </w:tc>
      </w:tr>
      <w:tr w:rsidR="00A720EB" w14:paraId="3337A682" w14:textId="77777777">
        <w:trPr>
          <w:trHeight w:val="741"/>
        </w:trPr>
        <w:tc>
          <w:tcPr>
            <w:tcW w:w="2494" w:type="dxa"/>
          </w:tcPr>
          <w:p w14:paraId="38BD7E58" w14:textId="77777777" w:rsidR="00A720EB" w:rsidRDefault="0030286B">
            <w:pPr>
              <w:pStyle w:val="TableParagraph"/>
              <w:spacing w:before="37"/>
              <w:rPr>
                <w:sz w:val="21"/>
              </w:rPr>
            </w:pPr>
            <w:r>
              <w:rPr>
                <w:color w:val="B02045"/>
                <w:sz w:val="21"/>
              </w:rPr>
              <w:t>spring.datasource.name</w:t>
            </w:r>
          </w:p>
        </w:tc>
        <w:tc>
          <w:tcPr>
            <w:tcW w:w="2494" w:type="dxa"/>
          </w:tcPr>
          <w:p w14:paraId="58A4CAF0" w14:textId="77777777" w:rsidR="00A720EB" w:rsidRDefault="00A720EB">
            <w:pPr>
              <w:pStyle w:val="TableParagraph"/>
              <w:spacing w:before="0"/>
              <w:ind w:left="0"/>
              <w:rPr>
                <w:rFonts w:ascii="Times New Roman"/>
                <w:sz w:val="20"/>
              </w:rPr>
            </w:pPr>
          </w:p>
        </w:tc>
        <w:tc>
          <w:tcPr>
            <w:tcW w:w="4988" w:type="dxa"/>
          </w:tcPr>
          <w:p w14:paraId="450A3247" w14:textId="77777777" w:rsidR="00A720EB" w:rsidRDefault="0030286B">
            <w:pPr>
              <w:pStyle w:val="TableParagraph"/>
              <w:spacing w:before="28" w:line="310" w:lineRule="atLeast"/>
              <w:ind w:right="372"/>
              <w:rPr>
                <w:rFonts w:ascii="Cambria"/>
                <w:sz w:val="21"/>
              </w:rPr>
            </w:pPr>
            <w:r>
              <w:rPr>
                <w:rFonts w:ascii="Cambria"/>
                <w:color w:val="333333"/>
                <w:w w:val="110"/>
                <w:sz w:val="21"/>
              </w:rPr>
              <w:t>Name of the datasource. Default to "testdb" when using an embedded database.</w:t>
            </w:r>
          </w:p>
        </w:tc>
      </w:tr>
      <w:tr w:rsidR="00A720EB" w14:paraId="670F7929" w14:textId="77777777">
        <w:trPr>
          <w:trHeight w:val="627"/>
        </w:trPr>
        <w:tc>
          <w:tcPr>
            <w:tcW w:w="2494" w:type="dxa"/>
          </w:tcPr>
          <w:p w14:paraId="78FBA576" w14:textId="77777777" w:rsidR="00A720EB" w:rsidRDefault="0030286B">
            <w:pPr>
              <w:pStyle w:val="TableParagraph"/>
              <w:spacing w:before="46" w:line="230" w:lineRule="auto"/>
              <w:ind w:right="94"/>
              <w:rPr>
                <w:sz w:val="21"/>
              </w:rPr>
            </w:pPr>
            <w:proofErr w:type="gramStart"/>
            <w:r>
              <w:rPr>
                <w:color w:val="B02045"/>
                <w:sz w:val="21"/>
              </w:rPr>
              <w:t>spring.datasource</w:t>
            </w:r>
            <w:proofErr w:type="gramEnd"/>
            <w:r>
              <w:rPr>
                <w:color w:val="B02045"/>
                <w:sz w:val="21"/>
              </w:rPr>
              <w:t>.pass word</w:t>
            </w:r>
          </w:p>
        </w:tc>
        <w:tc>
          <w:tcPr>
            <w:tcW w:w="2494" w:type="dxa"/>
          </w:tcPr>
          <w:p w14:paraId="690790B5" w14:textId="77777777" w:rsidR="00A720EB" w:rsidRDefault="00A720EB">
            <w:pPr>
              <w:pStyle w:val="TableParagraph"/>
              <w:spacing w:before="0"/>
              <w:ind w:left="0"/>
              <w:rPr>
                <w:rFonts w:ascii="Times New Roman"/>
                <w:sz w:val="20"/>
              </w:rPr>
            </w:pPr>
          </w:p>
        </w:tc>
        <w:tc>
          <w:tcPr>
            <w:tcW w:w="4988" w:type="dxa"/>
          </w:tcPr>
          <w:p w14:paraId="62475EDF" w14:textId="77777777" w:rsidR="00A720EB" w:rsidRDefault="0030286B">
            <w:pPr>
              <w:pStyle w:val="TableParagraph"/>
              <w:spacing w:before="92"/>
              <w:rPr>
                <w:rFonts w:ascii="Cambria"/>
                <w:sz w:val="21"/>
              </w:rPr>
            </w:pPr>
            <w:r>
              <w:rPr>
                <w:rFonts w:ascii="Cambria"/>
                <w:color w:val="333333"/>
                <w:w w:val="110"/>
                <w:sz w:val="21"/>
              </w:rPr>
              <w:t>Login password of the database.</w:t>
            </w:r>
          </w:p>
        </w:tc>
      </w:tr>
      <w:tr w:rsidR="00A720EB" w14:paraId="1791E3F5" w14:textId="77777777">
        <w:trPr>
          <w:trHeight w:val="1056"/>
        </w:trPr>
        <w:tc>
          <w:tcPr>
            <w:tcW w:w="2494" w:type="dxa"/>
          </w:tcPr>
          <w:p w14:paraId="57A8062A" w14:textId="77777777" w:rsidR="00A720EB" w:rsidRDefault="0030286B">
            <w:pPr>
              <w:pStyle w:val="TableParagraph"/>
              <w:spacing w:before="46" w:line="230" w:lineRule="auto"/>
              <w:ind w:right="94"/>
              <w:rPr>
                <w:sz w:val="21"/>
              </w:rPr>
            </w:pPr>
            <w:proofErr w:type="gramStart"/>
            <w:r>
              <w:rPr>
                <w:color w:val="B02045"/>
                <w:sz w:val="21"/>
              </w:rPr>
              <w:t>spring.datasource</w:t>
            </w:r>
            <w:proofErr w:type="gramEnd"/>
            <w:r>
              <w:rPr>
                <w:color w:val="B02045"/>
                <w:sz w:val="21"/>
              </w:rPr>
              <w:t>.plat form</w:t>
            </w:r>
          </w:p>
        </w:tc>
        <w:tc>
          <w:tcPr>
            <w:tcW w:w="2494" w:type="dxa"/>
          </w:tcPr>
          <w:p w14:paraId="64016527" w14:textId="77777777" w:rsidR="00A720EB" w:rsidRDefault="0030286B">
            <w:pPr>
              <w:pStyle w:val="TableParagraph"/>
              <w:spacing w:before="37"/>
              <w:rPr>
                <w:sz w:val="21"/>
              </w:rPr>
            </w:pPr>
            <w:r>
              <w:rPr>
                <w:color w:val="B02045"/>
                <w:sz w:val="21"/>
              </w:rPr>
              <w:t>all</w:t>
            </w:r>
          </w:p>
        </w:tc>
        <w:tc>
          <w:tcPr>
            <w:tcW w:w="4988" w:type="dxa"/>
          </w:tcPr>
          <w:p w14:paraId="24927897" w14:textId="77777777" w:rsidR="00A720EB" w:rsidRDefault="0030286B">
            <w:pPr>
              <w:pStyle w:val="TableParagraph"/>
              <w:spacing w:before="92" w:line="307" w:lineRule="auto"/>
              <w:ind w:right="44"/>
              <w:rPr>
                <w:rFonts w:ascii="Cambria"/>
                <w:sz w:val="21"/>
              </w:rPr>
            </w:pPr>
            <w:r>
              <w:rPr>
                <w:rFonts w:ascii="Cambria"/>
                <w:color w:val="333333"/>
                <w:w w:val="110"/>
                <w:sz w:val="21"/>
              </w:rPr>
              <w:t>Platform to use in the DDL or DML scripts (such as schema-${platform}.sql or data-</w:t>
            </w:r>
          </w:p>
          <w:p w14:paraId="2228F028" w14:textId="77777777" w:rsidR="00A720EB" w:rsidRDefault="0030286B">
            <w:pPr>
              <w:pStyle w:val="TableParagraph"/>
              <w:spacing w:before="1"/>
              <w:rPr>
                <w:rFonts w:ascii="Cambria"/>
                <w:sz w:val="21"/>
              </w:rPr>
            </w:pPr>
            <w:r>
              <w:rPr>
                <w:rFonts w:ascii="Cambria"/>
                <w:color w:val="333333"/>
                <w:w w:val="110"/>
                <w:sz w:val="21"/>
              </w:rPr>
              <w:t>${platform}.sql).</w:t>
            </w:r>
          </w:p>
        </w:tc>
      </w:tr>
      <w:tr w:rsidR="00A720EB" w14:paraId="2DF27FED" w14:textId="77777777">
        <w:trPr>
          <w:trHeight w:val="627"/>
        </w:trPr>
        <w:tc>
          <w:tcPr>
            <w:tcW w:w="2494" w:type="dxa"/>
          </w:tcPr>
          <w:p w14:paraId="52E2F509" w14:textId="77777777" w:rsidR="00A720EB" w:rsidRDefault="0030286B">
            <w:pPr>
              <w:pStyle w:val="TableParagraph"/>
              <w:spacing w:before="46" w:line="230" w:lineRule="auto"/>
              <w:ind w:right="94"/>
              <w:rPr>
                <w:sz w:val="21"/>
              </w:rPr>
            </w:pPr>
            <w:proofErr w:type="gramStart"/>
            <w:r>
              <w:rPr>
                <w:color w:val="B02045"/>
                <w:sz w:val="21"/>
              </w:rPr>
              <w:t>spring.datasource</w:t>
            </w:r>
            <w:proofErr w:type="gramEnd"/>
            <w:r>
              <w:rPr>
                <w:color w:val="B02045"/>
                <w:sz w:val="21"/>
              </w:rPr>
              <w:t>.sche ma</w:t>
            </w:r>
          </w:p>
        </w:tc>
        <w:tc>
          <w:tcPr>
            <w:tcW w:w="2494" w:type="dxa"/>
          </w:tcPr>
          <w:p w14:paraId="67DF3B99" w14:textId="77777777" w:rsidR="00A720EB" w:rsidRDefault="00A720EB">
            <w:pPr>
              <w:pStyle w:val="TableParagraph"/>
              <w:spacing w:before="0"/>
              <w:ind w:left="0"/>
              <w:rPr>
                <w:rFonts w:ascii="Times New Roman"/>
                <w:sz w:val="20"/>
              </w:rPr>
            </w:pPr>
          </w:p>
        </w:tc>
        <w:tc>
          <w:tcPr>
            <w:tcW w:w="4988" w:type="dxa"/>
          </w:tcPr>
          <w:p w14:paraId="79FE5AE8" w14:textId="77777777" w:rsidR="00A720EB" w:rsidRDefault="0030286B">
            <w:pPr>
              <w:pStyle w:val="TableParagraph"/>
              <w:spacing w:before="92"/>
              <w:rPr>
                <w:rFonts w:ascii="Cambria"/>
                <w:sz w:val="21"/>
              </w:rPr>
            </w:pPr>
            <w:r>
              <w:rPr>
                <w:rFonts w:ascii="Cambria"/>
                <w:color w:val="333333"/>
                <w:w w:val="110"/>
                <w:sz w:val="21"/>
              </w:rPr>
              <w:t>Schema (DDL) script resource references.</w:t>
            </w:r>
          </w:p>
        </w:tc>
      </w:tr>
      <w:tr w:rsidR="00A720EB" w14:paraId="24E93EA1" w14:textId="77777777">
        <w:trPr>
          <w:trHeight w:val="741"/>
        </w:trPr>
        <w:tc>
          <w:tcPr>
            <w:tcW w:w="2494" w:type="dxa"/>
          </w:tcPr>
          <w:p w14:paraId="4B227480" w14:textId="77777777" w:rsidR="00A720EB" w:rsidRDefault="0030286B">
            <w:pPr>
              <w:pStyle w:val="TableParagraph"/>
              <w:spacing w:before="46" w:line="230" w:lineRule="auto"/>
              <w:ind w:right="113"/>
              <w:rPr>
                <w:sz w:val="21"/>
              </w:rPr>
            </w:pPr>
            <w:proofErr w:type="gramStart"/>
            <w:r>
              <w:rPr>
                <w:color w:val="B02045"/>
                <w:sz w:val="21"/>
              </w:rPr>
              <w:t>spring.datasource</w:t>
            </w:r>
            <w:proofErr w:type="gramEnd"/>
            <w:r>
              <w:rPr>
                <w:color w:val="B02045"/>
                <w:sz w:val="21"/>
              </w:rPr>
              <w:t>.sche ma-password</w:t>
            </w:r>
          </w:p>
        </w:tc>
        <w:tc>
          <w:tcPr>
            <w:tcW w:w="2494" w:type="dxa"/>
          </w:tcPr>
          <w:p w14:paraId="03DC1E55" w14:textId="77777777" w:rsidR="00A720EB" w:rsidRDefault="00A720EB">
            <w:pPr>
              <w:pStyle w:val="TableParagraph"/>
              <w:spacing w:before="0"/>
              <w:ind w:left="0"/>
              <w:rPr>
                <w:rFonts w:ascii="Times New Roman"/>
                <w:sz w:val="20"/>
              </w:rPr>
            </w:pPr>
          </w:p>
        </w:tc>
        <w:tc>
          <w:tcPr>
            <w:tcW w:w="4988" w:type="dxa"/>
          </w:tcPr>
          <w:p w14:paraId="2E844F76" w14:textId="77777777" w:rsidR="00A720EB" w:rsidRDefault="0030286B">
            <w:pPr>
              <w:pStyle w:val="TableParagraph"/>
              <w:spacing w:before="28" w:line="310" w:lineRule="atLeast"/>
              <w:rPr>
                <w:rFonts w:ascii="Cambria"/>
                <w:sz w:val="21"/>
              </w:rPr>
            </w:pPr>
            <w:r>
              <w:rPr>
                <w:rFonts w:ascii="Cambria"/>
                <w:color w:val="333333"/>
                <w:w w:val="110"/>
                <w:sz w:val="21"/>
              </w:rPr>
              <w:t>Password of the database to execute DDL scripts (if different).</w:t>
            </w:r>
          </w:p>
        </w:tc>
      </w:tr>
      <w:tr w:rsidR="00A720EB" w14:paraId="6564AFDB" w14:textId="77777777">
        <w:trPr>
          <w:trHeight w:val="741"/>
        </w:trPr>
        <w:tc>
          <w:tcPr>
            <w:tcW w:w="2494" w:type="dxa"/>
          </w:tcPr>
          <w:p w14:paraId="23147B62" w14:textId="77777777" w:rsidR="00A720EB" w:rsidRDefault="0030286B">
            <w:pPr>
              <w:pStyle w:val="TableParagraph"/>
              <w:spacing w:before="46" w:line="230" w:lineRule="auto"/>
              <w:ind w:right="113"/>
              <w:rPr>
                <w:sz w:val="21"/>
              </w:rPr>
            </w:pPr>
            <w:proofErr w:type="gramStart"/>
            <w:r>
              <w:rPr>
                <w:color w:val="B02045"/>
                <w:sz w:val="21"/>
              </w:rPr>
              <w:t>spring.datasource</w:t>
            </w:r>
            <w:proofErr w:type="gramEnd"/>
            <w:r>
              <w:rPr>
                <w:color w:val="B02045"/>
                <w:sz w:val="21"/>
              </w:rPr>
              <w:t>.sche ma-username</w:t>
            </w:r>
          </w:p>
        </w:tc>
        <w:tc>
          <w:tcPr>
            <w:tcW w:w="2494" w:type="dxa"/>
          </w:tcPr>
          <w:p w14:paraId="63CE30B9" w14:textId="77777777" w:rsidR="00A720EB" w:rsidRDefault="00A720EB">
            <w:pPr>
              <w:pStyle w:val="TableParagraph"/>
              <w:spacing w:before="0"/>
              <w:ind w:left="0"/>
              <w:rPr>
                <w:rFonts w:ascii="Times New Roman"/>
                <w:sz w:val="20"/>
              </w:rPr>
            </w:pPr>
          </w:p>
        </w:tc>
        <w:tc>
          <w:tcPr>
            <w:tcW w:w="4988" w:type="dxa"/>
          </w:tcPr>
          <w:p w14:paraId="7830060A" w14:textId="77777777" w:rsidR="00A720EB" w:rsidRDefault="0030286B">
            <w:pPr>
              <w:pStyle w:val="TableParagraph"/>
              <w:spacing w:before="28" w:line="310" w:lineRule="atLeast"/>
              <w:rPr>
                <w:rFonts w:ascii="Cambria"/>
                <w:sz w:val="21"/>
              </w:rPr>
            </w:pPr>
            <w:r>
              <w:rPr>
                <w:rFonts w:ascii="Cambria"/>
                <w:color w:val="333333"/>
                <w:w w:val="110"/>
                <w:sz w:val="21"/>
              </w:rPr>
              <w:t>Username of the database to execute DDL scripts (if different).</w:t>
            </w:r>
          </w:p>
        </w:tc>
      </w:tr>
      <w:tr w:rsidR="00A720EB" w14:paraId="58C6ABC7" w14:textId="77777777">
        <w:trPr>
          <w:trHeight w:val="627"/>
        </w:trPr>
        <w:tc>
          <w:tcPr>
            <w:tcW w:w="2494" w:type="dxa"/>
          </w:tcPr>
          <w:p w14:paraId="62BB5912" w14:textId="77777777" w:rsidR="00A720EB" w:rsidRDefault="0030286B">
            <w:pPr>
              <w:pStyle w:val="TableParagraph"/>
              <w:spacing w:before="46" w:line="230" w:lineRule="auto"/>
              <w:ind w:right="94"/>
              <w:rPr>
                <w:sz w:val="21"/>
              </w:rPr>
            </w:pPr>
            <w:proofErr w:type="gramStart"/>
            <w:r>
              <w:rPr>
                <w:color w:val="B02045"/>
                <w:sz w:val="21"/>
              </w:rPr>
              <w:t>spring.datasource</w:t>
            </w:r>
            <w:proofErr w:type="gramEnd"/>
            <w:r>
              <w:rPr>
                <w:color w:val="B02045"/>
                <w:sz w:val="21"/>
              </w:rPr>
              <w:t>.sepa rator</w:t>
            </w:r>
          </w:p>
        </w:tc>
        <w:tc>
          <w:tcPr>
            <w:tcW w:w="2494" w:type="dxa"/>
          </w:tcPr>
          <w:p w14:paraId="4854F2B0" w14:textId="77777777" w:rsidR="00A720EB" w:rsidRDefault="0030286B">
            <w:pPr>
              <w:pStyle w:val="TableParagraph"/>
              <w:spacing w:before="37"/>
              <w:rPr>
                <w:sz w:val="21"/>
              </w:rPr>
            </w:pPr>
            <w:r>
              <w:rPr>
                <w:color w:val="B02045"/>
                <w:sz w:val="21"/>
              </w:rPr>
              <w:t>;</w:t>
            </w:r>
          </w:p>
        </w:tc>
        <w:tc>
          <w:tcPr>
            <w:tcW w:w="4988" w:type="dxa"/>
          </w:tcPr>
          <w:p w14:paraId="7DEF1A08" w14:textId="77777777" w:rsidR="00A720EB" w:rsidRDefault="0030286B">
            <w:pPr>
              <w:pStyle w:val="TableParagraph"/>
              <w:spacing w:before="92"/>
              <w:rPr>
                <w:rFonts w:ascii="Cambria"/>
                <w:sz w:val="21"/>
              </w:rPr>
            </w:pPr>
            <w:r>
              <w:rPr>
                <w:rFonts w:ascii="Cambria"/>
                <w:color w:val="333333"/>
                <w:w w:val="110"/>
                <w:sz w:val="21"/>
              </w:rPr>
              <w:t>Statement separator in SQL initialization scripts.</w:t>
            </w:r>
          </w:p>
        </w:tc>
      </w:tr>
      <w:tr w:rsidR="00A720EB" w14:paraId="265A3E66" w14:textId="77777777">
        <w:trPr>
          <w:trHeight w:val="627"/>
        </w:trPr>
        <w:tc>
          <w:tcPr>
            <w:tcW w:w="2494" w:type="dxa"/>
          </w:tcPr>
          <w:p w14:paraId="58B8C955" w14:textId="77777777" w:rsidR="00A720EB" w:rsidRDefault="0030286B">
            <w:pPr>
              <w:pStyle w:val="TableParagraph"/>
              <w:spacing w:before="46" w:line="230" w:lineRule="auto"/>
              <w:ind w:right="113"/>
              <w:rPr>
                <w:sz w:val="21"/>
              </w:rPr>
            </w:pPr>
            <w:r>
              <w:rPr>
                <w:color w:val="B02045"/>
                <w:sz w:val="21"/>
              </w:rPr>
              <w:t>spring.datasource.sql- script-encoding</w:t>
            </w:r>
          </w:p>
        </w:tc>
        <w:tc>
          <w:tcPr>
            <w:tcW w:w="2494" w:type="dxa"/>
          </w:tcPr>
          <w:p w14:paraId="4410AC21" w14:textId="77777777" w:rsidR="00A720EB" w:rsidRDefault="00A720EB">
            <w:pPr>
              <w:pStyle w:val="TableParagraph"/>
              <w:spacing w:before="0"/>
              <w:ind w:left="0"/>
              <w:rPr>
                <w:rFonts w:ascii="Times New Roman"/>
                <w:sz w:val="20"/>
              </w:rPr>
            </w:pPr>
          </w:p>
        </w:tc>
        <w:tc>
          <w:tcPr>
            <w:tcW w:w="4988" w:type="dxa"/>
          </w:tcPr>
          <w:p w14:paraId="4EA83731" w14:textId="77777777" w:rsidR="00A720EB" w:rsidRDefault="0030286B">
            <w:pPr>
              <w:pStyle w:val="TableParagraph"/>
              <w:spacing w:before="92"/>
              <w:rPr>
                <w:rFonts w:ascii="Cambria"/>
                <w:sz w:val="21"/>
              </w:rPr>
            </w:pPr>
            <w:r>
              <w:rPr>
                <w:rFonts w:ascii="Cambria"/>
                <w:color w:val="333333"/>
                <w:w w:val="110"/>
                <w:sz w:val="21"/>
              </w:rPr>
              <w:t>SQL scripts encoding.</w:t>
            </w:r>
          </w:p>
        </w:tc>
      </w:tr>
    </w:tbl>
    <w:p w14:paraId="6F18A299" w14:textId="77777777" w:rsidR="00A720EB" w:rsidRDefault="00A720EB">
      <w:pPr>
        <w:rPr>
          <w:sz w:val="21"/>
        </w:rPr>
        <w:sectPr w:rsidR="00A720EB">
          <w:pgSz w:w="11910" w:h="16840"/>
          <w:pgMar w:top="700" w:right="840" w:bottom="380" w:left="840" w:header="0" w:footer="11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6507D70" w14:textId="77777777">
        <w:trPr>
          <w:trHeight w:val="415"/>
        </w:trPr>
        <w:tc>
          <w:tcPr>
            <w:tcW w:w="2494" w:type="dxa"/>
            <w:tcBorders>
              <w:bottom w:val="single" w:sz="12" w:space="0" w:color="DDDDDD"/>
            </w:tcBorders>
          </w:tcPr>
          <w:p w14:paraId="1F22B5BB"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1A27B03"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155DEC9"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1AEA118" w14:textId="77777777">
        <w:trPr>
          <w:trHeight w:val="15059"/>
        </w:trPr>
        <w:tc>
          <w:tcPr>
            <w:tcW w:w="2494" w:type="dxa"/>
            <w:tcBorders>
              <w:top w:val="single" w:sz="12" w:space="0" w:color="DDDDDD"/>
              <w:bottom w:val="single" w:sz="6" w:space="0" w:color="DDDDDD"/>
            </w:tcBorders>
          </w:tcPr>
          <w:p w14:paraId="08E92947" w14:textId="77777777" w:rsidR="00A720EB" w:rsidRDefault="0030286B">
            <w:pPr>
              <w:pStyle w:val="TableParagraph"/>
              <w:spacing w:before="36" w:line="230" w:lineRule="auto"/>
              <w:ind w:right="113"/>
              <w:rPr>
                <w:sz w:val="21"/>
              </w:rPr>
            </w:pPr>
            <w:proofErr w:type="gramStart"/>
            <w:r>
              <w:rPr>
                <w:color w:val="B02045"/>
                <w:sz w:val="21"/>
              </w:rPr>
              <w:t>spring.datasource</w:t>
            </w:r>
            <w:proofErr w:type="gramEnd"/>
            <w:r>
              <w:rPr>
                <w:color w:val="B02045"/>
                <w:sz w:val="21"/>
              </w:rPr>
              <w:t>.tomc at.abandon-when-</w:t>
            </w:r>
          </w:p>
          <w:p w14:paraId="73E1385F" w14:textId="77777777" w:rsidR="00A720EB" w:rsidRDefault="0030286B">
            <w:pPr>
              <w:pStyle w:val="TableParagraph"/>
              <w:spacing w:before="49"/>
              <w:rPr>
                <w:sz w:val="21"/>
              </w:rPr>
            </w:pPr>
            <w:r>
              <w:rPr>
                <w:color w:val="B02045"/>
                <w:sz w:val="21"/>
              </w:rPr>
              <w:t>percentage-full</w:t>
            </w:r>
          </w:p>
          <w:p w14:paraId="223C7B77" w14:textId="77777777" w:rsidR="00A720EB" w:rsidRDefault="0030286B">
            <w:pPr>
              <w:pStyle w:val="TableParagraph"/>
              <w:spacing w:before="55" w:line="230" w:lineRule="auto"/>
              <w:ind w:right="113"/>
              <w:rPr>
                <w:sz w:val="21"/>
              </w:rPr>
            </w:pPr>
            <w:proofErr w:type="gramStart"/>
            <w:r>
              <w:rPr>
                <w:color w:val="B02045"/>
                <w:sz w:val="21"/>
              </w:rPr>
              <w:t>spring.datasource</w:t>
            </w:r>
            <w:proofErr w:type="gramEnd"/>
            <w:r>
              <w:rPr>
                <w:color w:val="B02045"/>
                <w:sz w:val="21"/>
              </w:rPr>
              <w:t>.tomc at.access-to- underlying-connection-</w:t>
            </w:r>
          </w:p>
          <w:p w14:paraId="05594DE4" w14:textId="77777777" w:rsidR="00A720EB" w:rsidRDefault="0030286B">
            <w:pPr>
              <w:pStyle w:val="TableParagraph"/>
              <w:spacing w:before="50"/>
              <w:rPr>
                <w:sz w:val="21"/>
              </w:rPr>
            </w:pPr>
            <w:r>
              <w:rPr>
                <w:color w:val="B02045"/>
                <w:sz w:val="21"/>
              </w:rPr>
              <w:t>allowed</w:t>
            </w:r>
          </w:p>
          <w:p w14:paraId="4E0DC625" w14:textId="77777777" w:rsidR="00A720EB" w:rsidRDefault="0030286B">
            <w:pPr>
              <w:pStyle w:val="TableParagraph"/>
              <w:spacing w:before="55" w:line="230" w:lineRule="auto"/>
              <w:ind w:right="113"/>
              <w:rPr>
                <w:sz w:val="21"/>
              </w:rPr>
            </w:pPr>
            <w:proofErr w:type="gramStart"/>
            <w:r>
              <w:rPr>
                <w:color w:val="B02045"/>
                <w:sz w:val="21"/>
              </w:rPr>
              <w:t>spring.datasource</w:t>
            </w:r>
            <w:proofErr w:type="gramEnd"/>
            <w:r>
              <w:rPr>
                <w:color w:val="B02045"/>
                <w:sz w:val="21"/>
              </w:rPr>
              <w:t>.tomc at.alternate-username-</w:t>
            </w:r>
          </w:p>
          <w:p w14:paraId="01775AA1" w14:textId="77777777" w:rsidR="00A720EB" w:rsidRDefault="0030286B">
            <w:pPr>
              <w:pStyle w:val="TableParagraph"/>
              <w:spacing w:before="50" w:line="280" w:lineRule="auto"/>
              <w:ind w:right="113"/>
              <w:rPr>
                <w:sz w:val="21"/>
              </w:rPr>
            </w:pPr>
            <w:r>
              <w:rPr>
                <w:color w:val="B02045"/>
                <w:sz w:val="21"/>
              </w:rPr>
              <w:t xml:space="preserve">allowed </w:t>
            </w:r>
            <w:proofErr w:type="gramStart"/>
            <w:r>
              <w:rPr>
                <w:color w:val="B02045"/>
                <w:sz w:val="21"/>
              </w:rPr>
              <w:t>spring.datasource</w:t>
            </w:r>
            <w:proofErr w:type="gramEnd"/>
            <w:r>
              <w:rPr>
                <w:color w:val="B02045"/>
                <w:sz w:val="21"/>
              </w:rPr>
              <w:t>.tomc at.commit-on-return</w:t>
            </w:r>
          </w:p>
          <w:p w14:paraId="5ADC7627" w14:textId="77777777" w:rsidR="00A720EB" w:rsidRDefault="0030286B">
            <w:pPr>
              <w:pStyle w:val="TableParagraph"/>
              <w:spacing w:before="11" w:line="230" w:lineRule="auto"/>
              <w:ind w:right="113"/>
              <w:rPr>
                <w:sz w:val="21"/>
              </w:rPr>
            </w:pPr>
            <w:proofErr w:type="gramStart"/>
            <w:r>
              <w:rPr>
                <w:color w:val="B02045"/>
                <w:sz w:val="21"/>
              </w:rPr>
              <w:t>spring.datasource</w:t>
            </w:r>
            <w:proofErr w:type="gramEnd"/>
            <w:r>
              <w:rPr>
                <w:color w:val="B02045"/>
                <w:sz w:val="21"/>
              </w:rPr>
              <w:t>.tomc at.connection-</w:t>
            </w:r>
          </w:p>
          <w:p w14:paraId="56ADA1B1" w14:textId="77777777" w:rsidR="00A720EB" w:rsidRDefault="0030286B">
            <w:pPr>
              <w:pStyle w:val="TableParagraph"/>
              <w:spacing w:before="49" w:line="280" w:lineRule="auto"/>
              <w:ind w:right="113"/>
              <w:rPr>
                <w:sz w:val="21"/>
              </w:rPr>
            </w:pPr>
            <w:r>
              <w:rPr>
                <w:color w:val="B02045"/>
                <w:sz w:val="21"/>
              </w:rPr>
              <w:t xml:space="preserve">properties </w:t>
            </w:r>
            <w:proofErr w:type="gramStart"/>
            <w:r>
              <w:rPr>
                <w:color w:val="B02045"/>
                <w:sz w:val="21"/>
              </w:rPr>
              <w:t>spring.datasource</w:t>
            </w:r>
            <w:proofErr w:type="gramEnd"/>
            <w:r>
              <w:rPr>
                <w:color w:val="B02045"/>
                <w:sz w:val="21"/>
              </w:rPr>
              <w:t>.tomc at.data-source spring.datasource.tomc at.data-source-j-n-d-i spring.datasource.tomc at.db-properties spring.datasource.tomc at.default-auto-commit spring.datasource.tomc at.default-catalog spring.datasource.tomc at.default-read-only</w:t>
            </w:r>
          </w:p>
          <w:p w14:paraId="5E20DB57" w14:textId="77777777" w:rsidR="00A720EB" w:rsidRDefault="0030286B">
            <w:pPr>
              <w:pStyle w:val="TableParagraph"/>
              <w:spacing w:before="19" w:line="230" w:lineRule="auto"/>
              <w:ind w:right="113"/>
              <w:rPr>
                <w:sz w:val="21"/>
              </w:rPr>
            </w:pPr>
            <w:proofErr w:type="gramStart"/>
            <w:r>
              <w:rPr>
                <w:color w:val="B02045"/>
                <w:sz w:val="21"/>
              </w:rPr>
              <w:t>spring.datasource</w:t>
            </w:r>
            <w:proofErr w:type="gramEnd"/>
            <w:r>
              <w:rPr>
                <w:color w:val="B02045"/>
                <w:sz w:val="21"/>
              </w:rPr>
              <w:t>.tomc at.default-</w:t>
            </w:r>
          </w:p>
          <w:p w14:paraId="2D8B82DB" w14:textId="77777777" w:rsidR="00A720EB" w:rsidRDefault="0030286B">
            <w:pPr>
              <w:pStyle w:val="TableParagraph"/>
              <w:spacing w:before="49" w:line="280" w:lineRule="auto"/>
              <w:ind w:right="113"/>
              <w:rPr>
                <w:sz w:val="21"/>
              </w:rPr>
            </w:pPr>
            <w:r>
              <w:rPr>
                <w:color w:val="B02045"/>
                <w:sz w:val="21"/>
              </w:rPr>
              <w:t xml:space="preserve">transaction-isolation </w:t>
            </w:r>
            <w:proofErr w:type="gramStart"/>
            <w:r>
              <w:rPr>
                <w:color w:val="B02045"/>
                <w:sz w:val="21"/>
              </w:rPr>
              <w:t>spring.datasource</w:t>
            </w:r>
            <w:proofErr w:type="gramEnd"/>
            <w:r>
              <w:rPr>
                <w:color w:val="B02045"/>
                <w:sz w:val="21"/>
              </w:rPr>
              <w:t>.tomc at.driver-class-name spring.datasource.tomc at.fair-queue</w:t>
            </w:r>
          </w:p>
          <w:p w14:paraId="5C27D4C3" w14:textId="77777777" w:rsidR="00A720EB" w:rsidRDefault="0030286B">
            <w:pPr>
              <w:pStyle w:val="TableParagraph"/>
              <w:spacing w:before="13" w:line="230" w:lineRule="auto"/>
              <w:ind w:right="113"/>
              <w:rPr>
                <w:sz w:val="21"/>
              </w:rPr>
            </w:pPr>
            <w:proofErr w:type="gramStart"/>
            <w:r>
              <w:rPr>
                <w:color w:val="B02045"/>
                <w:sz w:val="21"/>
              </w:rPr>
              <w:t>spring.datasource</w:t>
            </w:r>
            <w:proofErr w:type="gramEnd"/>
            <w:r>
              <w:rPr>
                <w:color w:val="B02045"/>
                <w:sz w:val="21"/>
              </w:rPr>
              <w:t>.tomc at.ignore-exception-</w:t>
            </w:r>
          </w:p>
          <w:p w14:paraId="7F1A286F" w14:textId="77777777" w:rsidR="00A720EB" w:rsidRDefault="0030286B">
            <w:pPr>
              <w:pStyle w:val="TableParagraph"/>
              <w:spacing w:before="49" w:line="280" w:lineRule="auto"/>
              <w:ind w:right="113"/>
              <w:rPr>
                <w:sz w:val="21"/>
              </w:rPr>
            </w:pPr>
            <w:r>
              <w:rPr>
                <w:color w:val="B02045"/>
                <w:sz w:val="21"/>
              </w:rPr>
              <w:t xml:space="preserve">on-pre-load </w:t>
            </w:r>
            <w:proofErr w:type="gramStart"/>
            <w:r>
              <w:rPr>
                <w:color w:val="B02045"/>
                <w:sz w:val="21"/>
              </w:rPr>
              <w:t>spring.datasource</w:t>
            </w:r>
            <w:proofErr w:type="gramEnd"/>
            <w:r>
              <w:rPr>
                <w:color w:val="B02045"/>
                <w:sz w:val="21"/>
              </w:rPr>
              <w:t xml:space="preserve">.tomc at.init-s-q-l </w:t>
            </w:r>
            <w:r>
              <w:rPr>
                <w:color w:val="B02045"/>
                <w:sz w:val="21"/>
              </w:rPr>
              <w:lastRenderedPageBreak/>
              <w:t>spring.datasource.tomc at.initial-size spring.datasource.tomc at.jdbc-interceptors spring.datasource.tomc at.jmx-enabled spring.datasource.tomc at.log-abandoned</w:t>
            </w:r>
          </w:p>
          <w:p w14:paraId="298E243C" w14:textId="77777777" w:rsidR="00A720EB" w:rsidRDefault="0030286B">
            <w:pPr>
              <w:pStyle w:val="TableParagraph"/>
              <w:spacing w:before="17" w:line="230" w:lineRule="auto"/>
              <w:ind w:right="113"/>
              <w:rPr>
                <w:sz w:val="21"/>
              </w:rPr>
            </w:pPr>
            <w:proofErr w:type="gramStart"/>
            <w:r>
              <w:rPr>
                <w:color w:val="B02045"/>
                <w:sz w:val="21"/>
              </w:rPr>
              <w:t>spring.datasource</w:t>
            </w:r>
            <w:proofErr w:type="gramEnd"/>
            <w:r>
              <w:rPr>
                <w:color w:val="B02045"/>
                <w:sz w:val="21"/>
              </w:rPr>
              <w:t>.tomc at.log-validation-</w:t>
            </w:r>
          </w:p>
        </w:tc>
        <w:tc>
          <w:tcPr>
            <w:tcW w:w="2494" w:type="dxa"/>
            <w:tcBorders>
              <w:top w:val="single" w:sz="12" w:space="0" w:color="DDDDDD"/>
              <w:bottom w:val="single" w:sz="6" w:space="0" w:color="DDDDDD"/>
            </w:tcBorders>
          </w:tcPr>
          <w:p w14:paraId="4D10D9A7" w14:textId="77777777" w:rsidR="00A720EB" w:rsidRDefault="00A720EB">
            <w:pPr>
              <w:pStyle w:val="TableParagraph"/>
              <w:spacing w:before="0"/>
              <w:ind w:left="0"/>
              <w:rPr>
                <w:rFonts w:ascii="Times New Roman"/>
                <w:sz w:val="20"/>
              </w:rPr>
            </w:pPr>
          </w:p>
        </w:tc>
        <w:tc>
          <w:tcPr>
            <w:tcW w:w="4988" w:type="dxa"/>
            <w:tcBorders>
              <w:top w:val="single" w:sz="12" w:space="0" w:color="DDDDDD"/>
              <w:bottom w:val="single" w:sz="6" w:space="0" w:color="DDDDDD"/>
            </w:tcBorders>
          </w:tcPr>
          <w:p w14:paraId="1A7ABCED" w14:textId="77777777" w:rsidR="00A720EB" w:rsidRDefault="0030286B">
            <w:pPr>
              <w:pStyle w:val="TableParagraph"/>
              <w:spacing w:before="82" w:line="307" w:lineRule="auto"/>
              <w:rPr>
                <w:rFonts w:ascii="Cambria"/>
                <w:sz w:val="21"/>
              </w:rPr>
            </w:pPr>
            <w:r>
              <w:rPr>
                <w:rFonts w:ascii="Cambria"/>
                <w:color w:val="333333"/>
                <w:w w:val="110"/>
                <w:sz w:val="21"/>
              </w:rPr>
              <w:t>Tomcat datasource specific settings bound to an instance of Tomcat JDBC's DataSource</w:t>
            </w:r>
          </w:p>
        </w:tc>
      </w:tr>
    </w:tbl>
    <w:p w14:paraId="5366FD1E"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2D8B13B" w14:textId="77777777">
        <w:trPr>
          <w:trHeight w:val="415"/>
        </w:trPr>
        <w:tc>
          <w:tcPr>
            <w:tcW w:w="2494" w:type="dxa"/>
            <w:tcBorders>
              <w:bottom w:val="single" w:sz="12" w:space="0" w:color="DDDDDD"/>
            </w:tcBorders>
          </w:tcPr>
          <w:p w14:paraId="31095B37"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EFD155C"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E295618"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D96D886" w14:textId="77777777">
        <w:trPr>
          <w:trHeight w:val="1046"/>
        </w:trPr>
        <w:tc>
          <w:tcPr>
            <w:tcW w:w="2494" w:type="dxa"/>
            <w:tcBorders>
              <w:top w:val="single" w:sz="12" w:space="0" w:color="DDDDDD"/>
            </w:tcBorders>
          </w:tcPr>
          <w:p w14:paraId="7E140E74" w14:textId="77777777" w:rsidR="00A720EB" w:rsidRDefault="0030286B">
            <w:pPr>
              <w:pStyle w:val="TableParagraph"/>
              <w:spacing w:before="27"/>
              <w:rPr>
                <w:sz w:val="21"/>
              </w:rPr>
            </w:pPr>
            <w:proofErr w:type="gramStart"/>
            <w:r>
              <w:rPr>
                <w:color w:val="B02045"/>
                <w:sz w:val="21"/>
              </w:rPr>
              <w:t>spring.datasource</w:t>
            </w:r>
            <w:proofErr w:type="gramEnd"/>
            <w:r>
              <w:rPr>
                <w:color w:val="B02045"/>
                <w:sz w:val="21"/>
              </w:rPr>
              <w:t>.type</w:t>
            </w:r>
          </w:p>
        </w:tc>
        <w:tc>
          <w:tcPr>
            <w:tcW w:w="2494" w:type="dxa"/>
            <w:tcBorders>
              <w:top w:val="single" w:sz="12" w:space="0" w:color="DDDDDD"/>
            </w:tcBorders>
          </w:tcPr>
          <w:p w14:paraId="627B793E"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35E7182A" w14:textId="77777777" w:rsidR="00A720EB" w:rsidRDefault="0030286B">
            <w:pPr>
              <w:pStyle w:val="TableParagraph"/>
              <w:spacing w:before="18" w:line="310" w:lineRule="atLeast"/>
              <w:ind w:right="522"/>
              <w:jc w:val="both"/>
              <w:rPr>
                <w:rFonts w:ascii="Cambria"/>
                <w:sz w:val="21"/>
              </w:rPr>
            </w:pPr>
            <w:r>
              <w:rPr>
                <w:rFonts w:ascii="Cambria"/>
                <w:color w:val="333333"/>
                <w:w w:val="110"/>
                <w:sz w:val="21"/>
              </w:rPr>
              <w:t>Fully qualified name of the connection pool implementation to use. By default, it is auto- detected from the classpath.</w:t>
            </w:r>
          </w:p>
        </w:tc>
      </w:tr>
      <w:tr w:rsidR="00A720EB" w14:paraId="3D06F77E" w14:textId="77777777">
        <w:trPr>
          <w:trHeight w:val="425"/>
        </w:trPr>
        <w:tc>
          <w:tcPr>
            <w:tcW w:w="2494" w:type="dxa"/>
          </w:tcPr>
          <w:p w14:paraId="1EFD81A5" w14:textId="77777777" w:rsidR="00A720EB" w:rsidRDefault="0030286B">
            <w:pPr>
              <w:pStyle w:val="TableParagraph"/>
              <w:rPr>
                <w:sz w:val="21"/>
              </w:rPr>
            </w:pPr>
            <w:r>
              <w:rPr>
                <w:color w:val="B02045"/>
                <w:sz w:val="21"/>
              </w:rPr>
              <w:t>spring.datasource.url</w:t>
            </w:r>
          </w:p>
        </w:tc>
        <w:tc>
          <w:tcPr>
            <w:tcW w:w="2494" w:type="dxa"/>
          </w:tcPr>
          <w:p w14:paraId="7E635F3E" w14:textId="77777777" w:rsidR="00A720EB" w:rsidRDefault="00A720EB">
            <w:pPr>
              <w:pStyle w:val="TableParagraph"/>
              <w:spacing w:before="0"/>
              <w:ind w:left="0"/>
              <w:rPr>
                <w:rFonts w:ascii="Times New Roman"/>
                <w:sz w:val="20"/>
              </w:rPr>
            </w:pPr>
          </w:p>
        </w:tc>
        <w:tc>
          <w:tcPr>
            <w:tcW w:w="4988" w:type="dxa"/>
          </w:tcPr>
          <w:p w14:paraId="4549D897" w14:textId="77777777" w:rsidR="00A720EB" w:rsidRDefault="0030286B">
            <w:pPr>
              <w:pStyle w:val="TableParagraph"/>
              <w:spacing w:before="92"/>
              <w:rPr>
                <w:rFonts w:ascii="Cambria"/>
                <w:sz w:val="21"/>
              </w:rPr>
            </w:pPr>
            <w:r>
              <w:rPr>
                <w:rFonts w:ascii="Cambria"/>
                <w:color w:val="333333"/>
                <w:w w:val="110"/>
                <w:sz w:val="21"/>
              </w:rPr>
              <w:t>JDBC URL of the database.</w:t>
            </w:r>
          </w:p>
        </w:tc>
      </w:tr>
      <w:tr w:rsidR="00A720EB" w14:paraId="461BE7A2" w14:textId="77777777">
        <w:trPr>
          <w:trHeight w:val="627"/>
        </w:trPr>
        <w:tc>
          <w:tcPr>
            <w:tcW w:w="2494" w:type="dxa"/>
          </w:tcPr>
          <w:p w14:paraId="4F51600F" w14:textId="77777777" w:rsidR="00A720EB" w:rsidRDefault="0030286B">
            <w:pPr>
              <w:pStyle w:val="TableParagraph"/>
              <w:spacing w:before="46" w:line="230" w:lineRule="auto"/>
              <w:ind w:right="94"/>
              <w:rPr>
                <w:sz w:val="21"/>
              </w:rPr>
            </w:pPr>
            <w:proofErr w:type="gramStart"/>
            <w:r>
              <w:rPr>
                <w:color w:val="B02045"/>
                <w:sz w:val="21"/>
              </w:rPr>
              <w:t>spring.datasource</w:t>
            </w:r>
            <w:proofErr w:type="gramEnd"/>
            <w:r>
              <w:rPr>
                <w:color w:val="B02045"/>
                <w:sz w:val="21"/>
              </w:rPr>
              <w:t>.user name</w:t>
            </w:r>
          </w:p>
        </w:tc>
        <w:tc>
          <w:tcPr>
            <w:tcW w:w="2494" w:type="dxa"/>
          </w:tcPr>
          <w:p w14:paraId="7FDEFDA1" w14:textId="77777777" w:rsidR="00A720EB" w:rsidRDefault="00A720EB">
            <w:pPr>
              <w:pStyle w:val="TableParagraph"/>
              <w:spacing w:before="0"/>
              <w:ind w:left="0"/>
              <w:rPr>
                <w:rFonts w:ascii="Times New Roman"/>
                <w:sz w:val="20"/>
              </w:rPr>
            </w:pPr>
          </w:p>
        </w:tc>
        <w:tc>
          <w:tcPr>
            <w:tcW w:w="4988" w:type="dxa"/>
          </w:tcPr>
          <w:p w14:paraId="28B5160E" w14:textId="77777777" w:rsidR="00A720EB" w:rsidRDefault="0030286B">
            <w:pPr>
              <w:pStyle w:val="TableParagraph"/>
              <w:spacing w:before="92"/>
              <w:rPr>
                <w:rFonts w:ascii="Cambria"/>
                <w:sz w:val="21"/>
              </w:rPr>
            </w:pPr>
            <w:r>
              <w:rPr>
                <w:rFonts w:ascii="Cambria"/>
                <w:color w:val="333333"/>
                <w:w w:val="110"/>
                <w:sz w:val="21"/>
              </w:rPr>
              <w:t>Login username of the database.</w:t>
            </w:r>
          </w:p>
        </w:tc>
      </w:tr>
      <w:tr w:rsidR="00A720EB" w14:paraId="314B096F" w14:textId="77777777">
        <w:trPr>
          <w:trHeight w:val="627"/>
        </w:trPr>
        <w:tc>
          <w:tcPr>
            <w:tcW w:w="2494" w:type="dxa"/>
          </w:tcPr>
          <w:p w14:paraId="379215CF" w14:textId="77777777" w:rsidR="00A720EB" w:rsidRDefault="0030286B">
            <w:pPr>
              <w:pStyle w:val="TableParagraph"/>
              <w:spacing w:before="46" w:line="230" w:lineRule="auto"/>
              <w:ind w:right="113"/>
              <w:rPr>
                <w:sz w:val="21"/>
              </w:rPr>
            </w:pPr>
            <w:proofErr w:type="gramStart"/>
            <w:r>
              <w:rPr>
                <w:color w:val="B02045"/>
                <w:sz w:val="21"/>
              </w:rPr>
              <w:t>spring.datasource</w:t>
            </w:r>
            <w:proofErr w:type="gramEnd"/>
            <w:r>
              <w:rPr>
                <w:color w:val="B02045"/>
                <w:sz w:val="21"/>
              </w:rPr>
              <w:t>.xa.d ata-source-class-name</w:t>
            </w:r>
          </w:p>
        </w:tc>
        <w:tc>
          <w:tcPr>
            <w:tcW w:w="2494" w:type="dxa"/>
          </w:tcPr>
          <w:p w14:paraId="7A5B6583" w14:textId="77777777" w:rsidR="00A720EB" w:rsidRDefault="00A720EB">
            <w:pPr>
              <w:pStyle w:val="TableParagraph"/>
              <w:spacing w:before="0"/>
              <w:ind w:left="0"/>
              <w:rPr>
                <w:rFonts w:ascii="Times New Roman"/>
                <w:sz w:val="20"/>
              </w:rPr>
            </w:pPr>
          </w:p>
        </w:tc>
        <w:tc>
          <w:tcPr>
            <w:tcW w:w="4988" w:type="dxa"/>
          </w:tcPr>
          <w:p w14:paraId="1F523F17" w14:textId="77777777" w:rsidR="00A720EB" w:rsidRDefault="0030286B">
            <w:pPr>
              <w:pStyle w:val="TableParagraph"/>
              <w:spacing w:before="92"/>
              <w:rPr>
                <w:rFonts w:ascii="Cambria"/>
                <w:sz w:val="21"/>
              </w:rPr>
            </w:pPr>
            <w:r>
              <w:rPr>
                <w:rFonts w:ascii="Cambria"/>
                <w:color w:val="333333"/>
                <w:w w:val="115"/>
                <w:sz w:val="21"/>
              </w:rPr>
              <w:t>XA datasource fully qualified name.</w:t>
            </w:r>
          </w:p>
        </w:tc>
      </w:tr>
      <w:tr w:rsidR="00A720EB" w14:paraId="414AF28B" w14:textId="77777777">
        <w:trPr>
          <w:trHeight w:val="627"/>
        </w:trPr>
        <w:tc>
          <w:tcPr>
            <w:tcW w:w="2494" w:type="dxa"/>
          </w:tcPr>
          <w:p w14:paraId="26B5A405" w14:textId="77777777" w:rsidR="00A720EB" w:rsidRDefault="0030286B">
            <w:pPr>
              <w:pStyle w:val="TableParagraph"/>
              <w:spacing w:before="46" w:line="230" w:lineRule="auto"/>
              <w:ind w:right="94"/>
              <w:rPr>
                <w:sz w:val="21"/>
              </w:rPr>
            </w:pPr>
            <w:proofErr w:type="gramStart"/>
            <w:r>
              <w:rPr>
                <w:color w:val="B02045"/>
                <w:sz w:val="21"/>
              </w:rPr>
              <w:t>spring.datasource</w:t>
            </w:r>
            <w:proofErr w:type="gramEnd"/>
            <w:r>
              <w:rPr>
                <w:color w:val="B02045"/>
                <w:sz w:val="21"/>
              </w:rPr>
              <w:t>.xa.p roperties.*</w:t>
            </w:r>
          </w:p>
        </w:tc>
        <w:tc>
          <w:tcPr>
            <w:tcW w:w="2494" w:type="dxa"/>
          </w:tcPr>
          <w:p w14:paraId="21620C3D" w14:textId="77777777" w:rsidR="00A720EB" w:rsidRDefault="00A720EB">
            <w:pPr>
              <w:pStyle w:val="TableParagraph"/>
              <w:spacing w:before="0"/>
              <w:ind w:left="0"/>
              <w:rPr>
                <w:rFonts w:ascii="Times New Roman"/>
                <w:sz w:val="20"/>
              </w:rPr>
            </w:pPr>
          </w:p>
        </w:tc>
        <w:tc>
          <w:tcPr>
            <w:tcW w:w="4988" w:type="dxa"/>
          </w:tcPr>
          <w:p w14:paraId="497C5162" w14:textId="77777777" w:rsidR="00A720EB" w:rsidRDefault="0030286B">
            <w:pPr>
              <w:pStyle w:val="TableParagraph"/>
              <w:spacing w:before="92"/>
              <w:rPr>
                <w:rFonts w:ascii="Cambria"/>
                <w:sz w:val="21"/>
              </w:rPr>
            </w:pPr>
            <w:r>
              <w:rPr>
                <w:rFonts w:ascii="Cambria"/>
                <w:color w:val="333333"/>
                <w:w w:val="110"/>
                <w:sz w:val="21"/>
              </w:rPr>
              <w:t>Properties to pass to the XA data source.</w:t>
            </w:r>
          </w:p>
        </w:tc>
      </w:tr>
      <w:tr w:rsidR="00A720EB" w14:paraId="5DA618A2" w14:textId="77777777">
        <w:trPr>
          <w:trHeight w:val="627"/>
        </w:trPr>
        <w:tc>
          <w:tcPr>
            <w:tcW w:w="2494" w:type="dxa"/>
          </w:tcPr>
          <w:p w14:paraId="7347A572" w14:textId="77777777" w:rsidR="00A720EB" w:rsidRDefault="0030286B">
            <w:pPr>
              <w:pStyle w:val="TableParagraph"/>
              <w:spacing w:before="46" w:line="230" w:lineRule="auto"/>
              <w:ind w:right="113"/>
              <w:rPr>
                <w:sz w:val="21"/>
              </w:rPr>
            </w:pPr>
            <w:proofErr w:type="gramStart"/>
            <w:r>
              <w:rPr>
                <w:color w:val="B02045"/>
                <w:sz w:val="21"/>
              </w:rPr>
              <w:t>spring.elasticsearch</w:t>
            </w:r>
            <w:proofErr w:type="gramEnd"/>
            <w:r>
              <w:rPr>
                <w:color w:val="B02045"/>
                <w:sz w:val="21"/>
              </w:rPr>
              <w:t>.r est.connection-timeout</w:t>
            </w:r>
          </w:p>
        </w:tc>
        <w:tc>
          <w:tcPr>
            <w:tcW w:w="2494" w:type="dxa"/>
          </w:tcPr>
          <w:p w14:paraId="1EA2F649" w14:textId="77777777" w:rsidR="00A720EB" w:rsidRDefault="0030286B">
            <w:pPr>
              <w:pStyle w:val="TableParagraph"/>
              <w:rPr>
                <w:sz w:val="21"/>
              </w:rPr>
            </w:pPr>
            <w:r>
              <w:rPr>
                <w:color w:val="B02045"/>
                <w:sz w:val="21"/>
              </w:rPr>
              <w:t>1s</w:t>
            </w:r>
          </w:p>
        </w:tc>
        <w:tc>
          <w:tcPr>
            <w:tcW w:w="4988" w:type="dxa"/>
          </w:tcPr>
          <w:p w14:paraId="6CCF0956" w14:textId="77777777" w:rsidR="00A720EB" w:rsidRDefault="0030286B">
            <w:pPr>
              <w:pStyle w:val="TableParagraph"/>
              <w:spacing w:before="92"/>
              <w:rPr>
                <w:rFonts w:ascii="Cambria"/>
                <w:sz w:val="21"/>
              </w:rPr>
            </w:pPr>
            <w:r>
              <w:rPr>
                <w:rFonts w:ascii="Cambria"/>
                <w:color w:val="333333"/>
                <w:w w:val="110"/>
                <w:sz w:val="21"/>
              </w:rPr>
              <w:t>Connection timeout.</w:t>
            </w:r>
          </w:p>
        </w:tc>
      </w:tr>
      <w:tr w:rsidR="00A720EB" w14:paraId="6FEFAEE8" w14:textId="77777777">
        <w:trPr>
          <w:trHeight w:val="627"/>
        </w:trPr>
        <w:tc>
          <w:tcPr>
            <w:tcW w:w="2494" w:type="dxa"/>
          </w:tcPr>
          <w:p w14:paraId="480BEA60" w14:textId="77777777" w:rsidR="00A720EB" w:rsidRDefault="0030286B">
            <w:pPr>
              <w:pStyle w:val="TableParagraph"/>
              <w:spacing w:before="46" w:line="230" w:lineRule="auto"/>
              <w:ind w:right="94"/>
              <w:rPr>
                <w:sz w:val="21"/>
              </w:rPr>
            </w:pPr>
            <w:proofErr w:type="gramStart"/>
            <w:r>
              <w:rPr>
                <w:color w:val="B02045"/>
                <w:sz w:val="21"/>
              </w:rPr>
              <w:t>spring.elasticsearch</w:t>
            </w:r>
            <w:proofErr w:type="gramEnd"/>
            <w:r>
              <w:rPr>
                <w:color w:val="B02045"/>
                <w:sz w:val="21"/>
              </w:rPr>
              <w:t>.r est.password</w:t>
            </w:r>
          </w:p>
        </w:tc>
        <w:tc>
          <w:tcPr>
            <w:tcW w:w="2494" w:type="dxa"/>
          </w:tcPr>
          <w:p w14:paraId="0C2B3175" w14:textId="77777777" w:rsidR="00A720EB" w:rsidRDefault="00A720EB">
            <w:pPr>
              <w:pStyle w:val="TableParagraph"/>
              <w:spacing w:before="0"/>
              <w:ind w:left="0"/>
              <w:rPr>
                <w:rFonts w:ascii="Times New Roman"/>
                <w:sz w:val="20"/>
              </w:rPr>
            </w:pPr>
          </w:p>
        </w:tc>
        <w:tc>
          <w:tcPr>
            <w:tcW w:w="4988" w:type="dxa"/>
          </w:tcPr>
          <w:p w14:paraId="7014FB0A" w14:textId="77777777" w:rsidR="00A720EB" w:rsidRDefault="0030286B">
            <w:pPr>
              <w:pStyle w:val="TableParagraph"/>
              <w:spacing w:before="92"/>
              <w:rPr>
                <w:rFonts w:ascii="Cambria"/>
                <w:sz w:val="21"/>
              </w:rPr>
            </w:pPr>
            <w:r>
              <w:rPr>
                <w:rFonts w:ascii="Cambria"/>
                <w:color w:val="333333"/>
                <w:w w:val="110"/>
                <w:sz w:val="21"/>
              </w:rPr>
              <w:t>Credentials password.</w:t>
            </w:r>
          </w:p>
        </w:tc>
      </w:tr>
      <w:tr w:rsidR="00A720EB" w14:paraId="3D0166AB" w14:textId="77777777">
        <w:trPr>
          <w:trHeight w:val="627"/>
        </w:trPr>
        <w:tc>
          <w:tcPr>
            <w:tcW w:w="2494" w:type="dxa"/>
          </w:tcPr>
          <w:p w14:paraId="5915F949" w14:textId="77777777" w:rsidR="00A720EB" w:rsidRDefault="0030286B">
            <w:pPr>
              <w:pStyle w:val="TableParagraph"/>
              <w:spacing w:before="46" w:line="230" w:lineRule="auto"/>
              <w:ind w:right="113"/>
              <w:rPr>
                <w:sz w:val="21"/>
              </w:rPr>
            </w:pPr>
            <w:proofErr w:type="gramStart"/>
            <w:r>
              <w:rPr>
                <w:color w:val="B02045"/>
                <w:sz w:val="21"/>
              </w:rPr>
              <w:t>spring.elasticsearch</w:t>
            </w:r>
            <w:proofErr w:type="gramEnd"/>
            <w:r>
              <w:rPr>
                <w:color w:val="B02045"/>
                <w:sz w:val="21"/>
              </w:rPr>
              <w:t>.r est.read-timeout</w:t>
            </w:r>
          </w:p>
        </w:tc>
        <w:tc>
          <w:tcPr>
            <w:tcW w:w="2494" w:type="dxa"/>
          </w:tcPr>
          <w:p w14:paraId="3B093ADD" w14:textId="77777777" w:rsidR="00A720EB" w:rsidRDefault="0030286B">
            <w:pPr>
              <w:pStyle w:val="TableParagraph"/>
              <w:spacing w:before="37"/>
              <w:rPr>
                <w:sz w:val="21"/>
              </w:rPr>
            </w:pPr>
            <w:r>
              <w:rPr>
                <w:color w:val="B02045"/>
                <w:sz w:val="21"/>
              </w:rPr>
              <w:t>30s</w:t>
            </w:r>
          </w:p>
        </w:tc>
        <w:tc>
          <w:tcPr>
            <w:tcW w:w="4988" w:type="dxa"/>
          </w:tcPr>
          <w:p w14:paraId="6C2405DA" w14:textId="77777777" w:rsidR="00A720EB" w:rsidRDefault="0030286B">
            <w:pPr>
              <w:pStyle w:val="TableParagraph"/>
              <w:spacing w:before="92"/>
              <w:rPr>
                <w:rFonts w:ascii="Cambria"/>
                <w:sz w:val="21"/>
              </w:rPr>
            </w:pPr>
            <w:r>
              <w:rPr>
                <w:rFonts w:ascii="Cambria"/>
                <w:color w:val="333333"/>
                <w:w w:val="110"/>
                <w:sz w:val="21"/>
              </w:rPr>
              <w:t>Read timeout.</w:t>
            </w:r>
          </w:p>
        </w:tc>
      </w:tr>
      <w:tr w:rsidR="00A720EB" w14:paraId="653413EF" w14:textId="77777777">
        <w:trPr>
          <w:trHeight w:val="741"/>
        </w:trPr>
        <w:tc>
          <w:tcPr>
            <w:tcW w:w="2494" w:type="dxa"/>
          </w:tcPr>
          <w:p w14:paraId="79CC8C4E" w14:textId="77777777" w:rsidR="00A720EB" w:rsidRDefault="0030286B">
            <w:pPr>
              <w:pStyle w:val="TableParagraph"/>
              <w:spacing w:before="46" w:line="230" w:lineRule="auto"/>
              <w:ind w:right="94"/>
              <w:rPr>
                <w:sz w:val="21"/>
              </w:rPr>
            </w:pPr>
            <w:proofErr w:type="gramStart"/>
            <w:r>
              <w:rPr>
                <w:color w:val="B02045"/>
                <w:sz w:val="21"/>
              </w:rPr>
              <w:t>spring.elasticsearch</w:t>
            </w:r>
            <w:proofErr w:type="gramEnd"/>
            <w:r>
              <w:rPr>
                <w:color w:val="B02045"/>
                <w:sz w:val="21"/>
              </w:rPr>
              <w:t>.r est.uris</w:t>
            </w:r>
          </w:p>
        </w:tc>
        <w:tc>
          <w:tcPr>
            <w:tcW w:w="2494" w:type="dxa"/>
          </w:tcPr>
          <w:p w14:paraId="372F728A" w14:textId="77777777" w:rsidR="00A720EB" w:rsidRDefault="0030286B">
            <w:pPr>
              <w:pStyle w:val="TableParagraph"/>
              <w:spacing w:line="264" w:lineRule="exact"/>
              <w:rPr>
                <w:sz w:val="21"/>
              </w:rPr>
            </w:pPr>
            <w:r>
              <w:rPr>
                <w:color w:val="B02045"/>
                <w:sz w:val="21"/>
              </w:rPr>
              <w:t>[http://localhost:9200</w:t>
            </w:r>
          </w:p>
          <w:p w14:paraId="3249E8AF" w14:textId="77777777" w:rsidR="00A720EB" w:rsidRDefault="0030286B">
            <w:pPr>
              <w:pStyle w:val="TableParagraph"/>
              <w:spacing w:before="0" w:line="264" w:lineRule="exact"/>
              <w:rPr>
                <w:sz w:val="21"/>
              </w:rPr>
            </w:pPr>
            <w:r>
              <w:rPr>
                <w:color w:val="B02045"/>
                <w:sz w:val="21"/>
              </w:rPr>
              <w:t>]</w:t>
            </w:r>
          </w:p>
        </w:tc>
        <w:tc>
          <w:tcPr>
            <w:tcW w:w="4988" w:type="dxa"/>
          </w:tcPr>
          <w:p w14:paraId="58703F2A"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the Elasticsearch instances to use.</w:t>
            </w:r>
          </w:p>
        </w:tc>
      </w:tr>
      <w:tr w:rsidR="00A720EB" w14:paraId="2DF5E669" w14:textId="77777777">
        <w:trPr>
          <w:trHeight w:val="627"/>
        </w:trPr>
        <w:tc>
          <w:tcPr>
            <w:tcW w:w="2494" w:type="dxa"/>
          </w:tcPr>
          <w:p w14:paraId="19EDA453" w14:textId="77777777" w:rsidR="00A720EB" w:rsidRDefault="0030286B">
            <w:pPr>
              <w:pStyle w:val="TableParagraph"/>
              <w:spacing w:before="46" w:line="230" w:lineRule="auto"/>
              <w:ind w:right="94"/>
              <w:rPr>
                <w:sz w:val="21"/>
              </w:rPr>
            </w:pPr>
            <w:proofErr w:type="gramStart"/>
            <w:r>
              <w:rPr>
                <w:color w:val="B02045"/>
                <w:sz w:val="21"/>
              </w:rPr>
              <w:t>spring.elasticsearch</w:t>
            </w:r>
            <w:proofErr w:type="gramEnd"/>
            <w:r>
              <w:rPr>
                <w:color w:val="B02045"/>
                <w:sz w:val="21"/>
              </w:rPr>
              <w:t>.r est.username</w:t>
            </w:r>
          </w:p>
        </w:tc>
        <w:tc>
          <w:tcPr>
            <w:tcW w:w="2494" w:type="dxa"/>
          </w:tcPr>
          <w:p w14:paraId="4CC5B83A" w14:textId="77777777" w:rsidR="00A720EB" w:rsidRDefault="00A720EB">
            <w:pPr>
              <w:pStyle w:val="TableParagraph"/>
              <w:spacing w:before="0"/>
              <w:ind w:left="0"/>
              <w:rPr>
                <w:rFonts w:ascii="Times New Roman"/>
                <w:sz w:val="20"/>
              </w:rPr>
            </w:pPr>
          </w:p>
        </w:tc>
        <w:tc>
          <w:tcPr>
            <w:tcW w:w="4988" w:type="dxa"/>
          </w:tcPr>
          <w:p w14:paraId="58396C20" w14:textId="77777777" w:rsidR="00A720EB" w:rsidRDefault="0030286B">
            <w:pPr>
              <w:pStyle w:val="TableParagraph"/>
              <w:spacing w:before="92"/>
              <w:rPr>
                <w:rFonts w:ascii="Cambria"/>
                <w:sz w:val="21"/>
              </w:rPr>
            </w:pPr>
            <w:r>
              <w:rPr>
                <w:rFonts w:ascii="Cambria"/>
                <w:color w:val="333333"/>
                <w:w w:val="110"/>
                <w:sz w:val="21"/>
              </w:rPr>
              <w:t>Credentials username.</w:t>
            </w:r>
          </w:p>
        </w:tc>
      </w:tr>
      <w:tr w:rsidR="00A720EB" w14:paraId="5B9FC85A" w14:textId="77777777">
        <w:trPr>
          <w:trHeight w:val="627"/>
        </w:trPr>
        <w:tc>
          <w:tcPr>
            <w:tcW w:w="2494" w:type="dxa"/>
          </w:tcPr>
          <w:p w14:paraId="4D951B5E" w14:textId="77777777" w:rsidR="00A720EB" w:rsidRDefault="0030286B">
            <w:pPr>
              <w:pStyle w:val="TableParagraph"/>
              <w:spacing w:before="46" w:line="230" w:lineRule="auto"/>
              <w:ind w:right="94"/>
              <w:rPr>
                <w:sz w:val="21"/>
              </w:rPr>
            </w:pPr>
            <w:r>
              <w:rPr>
                <w:color w:val="B02045"/>
                <w:sz w:val="21"/>
              </w:rPr>
              <w:t>spring.h</w:t>
            </w:r>
            <w:proofErr w:type="gramStart"/>
            <w:r>
              <w:rPr>
                <w:color w:val="B02045"/>
                <w:sz w:val="21"/>
              </w:rPr>
              <w:t>2.console</w:t>
            </w:r>
            <w:proofErr w:type="gramEnd"/>
            <w:r>
              <w:rPr>
                <w:color w:val="B02045"/>
                <w:sz w:val="21"/>
              </w:rPr>
              <w:t>.enab led</w:t>
            </w:r>
          </w:p>
        </w:tc>
        <w:tc>
          <w:tcPr>
            <w:tcW w:w="2494" w:type="dxa"/>
          </w:tcPr>
          <w:p w14:paraId="6C47BB17" w14:textId="77777777" w:rsidR="00A720EB" w:rsidRDefault="0030286B">
            <w:pPr>
              <w:pStyle w:val="TableParagraph"/>
              <w:spacing w:before="37"/>
              <w:rPr>
                <w:sz w:val="21"/>
              </w:rPr>
            </w:pPr>
            <w:r>
              <w:rPr>
                <w:color w:val="B02045"/>
                <w:sz w:val="21"/>
              </w:rPr>
              <w:t>false</w:t>
            </w:r>
          </w:p>
        </w:tc>
        <w:tc>
          <w:tcPr>
            <w:tcW w:w="4988" w:type="dxa"/>
          </w:tcPr>
          <w:p w14:paraId="16E1484F" w14:textId="77777777" w:rsidR="00A720EB" w:rsidRDefault="0030286B">
            <w:pPr>
              <w:pStyle w:val="TableParagraph"/>
              <w:spacing w:before="92"/>
              <w:rPr>
                <w:rFonts w:ascii="Cambria"/>
                <w:sz w:val="21"/>
              </w:rPr>
            </w:pPr>
            <w:r>
              <w:rPr>
                <w:rFonts w:ascii="Cambria"/>
                <w:color w:val="333333"/>
                <w:w w:val="110"/>
                <w:sz w:val="21"/>
              </w:rPr>
              <w:t>Whether to enable the console.</w:t>
            </w:r>
          </w:p>
        </w:tc>
      </w:tr>
      <w:tr w:rsidR="00A720EB" w14:paraId="6C7DE5A8" w14:textId="77777777">
        <w:trPr>
          <w:trHeight w:val="425"/>
        </w:trPr>
        <w:tc>
          <w:tcPr>
            <w:tcW w:w="2494" w:type="dxa"/>
          </w:tcPr>
          <w:p w14:paraId="1BD613BE" w14:textId="77777777" w:rsidR="00A720EB" w:rsidRDefault="0030286B">
            <w:pPr>
              <w:pStyle w:val="TableParagraph"/>
              <w:rPr>
                <w:sz w:val="21"/>
              </w:rPr>
            </w:pPr>
            <w:r>
              <w:rPr>
                <w:color w:val="B02045"/>
                <w:sz w:val="21"/>
              </w:rPr>
              <w:t>spring.h</w:t>
            </w:r>
            <w:proofErr w:type="gramStart"/>
            <w:r>
              <w:rPr>
                <w:color w:val="B02045"/>
                <w:sz w:val="21"/>
              </w:rPr>
              <w:t>2.console</w:t>
            </w:r>
            <w:proofErr w:type="gramEnd"/>
            <w:r>
              <w:rPr>
                <w:color w:val="B02045"/>
                <w:sz w:val="21"/>
              </w:rPr>
              <w:t>.path</w:t>
            </w:r>
          </w:p>
        </w:tc>
        <w:tc>
          <w:tcPr>
            <w:tcW w:w="2494" w:type="dxa"/>
          </w:tcPr>
          <w:p w14:paraId="7EC01AD7" w14:textId="77777777" w:rsidR="00A720EB" w:rsidRDefault="0030286B">
            <w:pPr>
              <w:pStyle w:val="TableParagraph"/>
              <w:rPr>
                <w:sz w:val="21"/>
              </w:rPr>
            </w:pPr>
            <w:r>
              <w:rPr>
                <w:color w:val="B02045"/>
                <w:sz w:val="21"/>
              </w:rPr>
              <w:t>/h2-console</w:t>
            </w:r>
          </w:p>
        </w:tc>
        <w:tc>
          <w:tcPr>
            <w:tcW w:w="4988" w:type="dxa"/>
          </w:tcPr>
          <w:p w14:paraId="2AD29A80" w14:textId="77777777" w:rsidR="00A720EB" w:rsidRDefault="0030286B">
            <w:pPr>
              <w:pStyle w:val="TableParagraph"/>
              <w:spacing w:before="92"/>
              <w:rPr>
                <w:rFonts w:ascii="Cambria"/>
                <w:sz w:val="21"/>
              </w:rPr>
            </w:pPr>
            <w:r>
              <w:rPr>
                <w:rFonts w:ascii="Cambria"/>
                <w:color w:val="333333"/>
                <w:w w:val="110"/>
                <w:sz w:val="21"/>
              </w:rPr>
              <w:t>Path at which the console is available.</w:t>
            </w:r>
          </w:p>
        </w:tc>
      </w:tr>
      <w:tr w:rsidR="00A720EB" w14:paraId="386B52AA" w14:textId="77777777">
        <w:trPr>
          <w:trHeight w:val="627"/>
        </w:trPr>
        <w:tc>
          <w:tcPr>
            <w:tcW w:w="2494" w:type="dxa"/>
          </w:tcPr>
          <w:p w14:paraId="34E050F9" w14:textId="77777777" w:rsidR="00A720EB" w:rsidRDefault="0030286B">
            <w:pPr>
              <w:pStyle w:val="TableParagraph"/>
              <w:spacing w:before="46" w:line="230" w:lineRule="auto"/>
              <w:ind w:right="94"/>
              <w:rPr>
                <w:sz w:val="21"/>
              </w:rPr>
            </w:pPr>
            <w:r>
              <w:rPr>
                <w:color w:val="B02045"/>
                <w:sz w:val="21"/>
              </w:rPr>
              <w:t>spring.h</w:t>
            </w:r>
            <w:proofErr w:type="gramStart"/>
            <w:r>
              <w:rPr>
                <w:color w:val="B02045"/>
                <w:sz w:val="21"/>
              </w:rPr>
              <w:t>2.console</w:t>
            </w:r>
            <w:proofErr w:type="gramEnd"/>
            <w:r>
              <w:rPr>
                <w:color w:val="B02045"/>
                <w:sz w:val="21"/>
              </w:rPr>
              <w:t>.sett ings.trace</w:t>
            </w:r>
          </w:p>
        </w:tc>
        <w:tc>
          <w:tcPr>
            <w:tcW w:w="2494" w:type="dxa"/>
          </w:tcPr>
          <w:p w14:paraId="1C8F2C83" w14:textId="77777777" w:rsidR="00A720EB" w:rsidRDefault="0030286B">
            <w:pPr>
              <w:pStyle w:val="TableParagraph"/>
              <w:spacing w:before="37"/>
              <w:rPr>
                <w:sz w:val="21"/>
              </w:rPr>
            </w:pPr>
            <w:r>
              <w:rPr>
                <w:color w:val="B02045"/>
                <w:sz w:val="21"/>
              </w:rPr>
              <w:t>false</w:t>
            </w:r>
          </w:p>
        </w:tc>
        <w:tc>
          <w:tcPr>
            <w:tcW w:w="4988" w:type="dxa"/>
          </w:tcPr>
          <w:p w14:paraId="3BAB5F14" w14:textId="77777777" w:rsidR="00A720EB" w:rsidRDefault="0030286B">
            <w:pPr>
              <w:pStyle w:val="TableParagraph"/>
              <w:spacing w:before="92"/>
              <w:rPr>
                <w:rFonts w:ascii="Cambria"/>
                <w:sz w:val="21"/>
              </w:rPr>
            </w:pPr>
            <w:r>
              <w:rPr>
                <w:rFonts w:ascii="Cambria"/>
                <w:color w:val="333333"/>
                <w:w w:val="110"/>
                <w:sz w:val="21"/>
              </w:rPr>
              <w:t>Whether to enable trace output.</w:t>
            </w:r>
          </w:p>
        </w:tc>
      </w:tr>
      <w:tr w:rsidR="00A720EB" w14:paraId="37BF5D40" w14:textId="77777777">
        <w:trPr>
          <w:trHeight w:val="627"/>
        </w:trPr>
        <w:tc>
          <w:tcPr>
            <w:tcW w:w="2494" w:type="dxa"/>
          </w:tcPr>
          <w:p w14:paraId="084F19C7" w14:textId="77777777" w:rsidR="00A720EB" w:rsidRDefault="0030286B">
            <w:pPr>
              <w:pStyle w:val="TableParagraph"/>
              <w:spacing w:before="46" w:line="230" w:lineRule="auto"/>
              <w:ind w:right="113"/>
              <w:rPr>
                <w:sz w:val="21"/>
              </w:rPr>
            </w:pPr>
            <w:r>
              <w:rPr>
                <w:color w:val="B02045"/>
                <w:sz w:val="21"/>
              </w:rPr>
              <w:t>spring.h</w:t>
            </w:r>
            <w:proofErr w:type="gramStart"/>
            <w:r>
              <w:rPr>
                <w:color w:val="B02045"/>
                <w:sz w:val="21"/>
              </w:rPr>
              <w:t>2.console</w:t>
            </w:r>
            <w:proofErr w:type="gramEnd"/>
            <w:r>
              <w:rPr>
                <w:color w:val="B02045"/>
                <w:sz w:val="21"/>
              </w:rPr>
              <w:t>.sett ings.web-allow-others</w:t>
            </w:r>
          </w:p>
        </w:tc>
        <w:tc>
          <w:tcPr>
            <w:tcW w:w="2494" w:type="dxa"/>
          </w:tcPr>
          <w:p w14:paraId="5D9CAED9" w14:textId="77777777" w:rsidR="00A720EB" w:rsidRDefault="0030286B">
            <w:pPr>
              <w:pStyle w:val="TableParagraph"/>
              <w:rPr>
                <w:sz w:val="21"/>
              </w:rPr>
            </w:pPr>
            <w:r>
              <w:rPr>
                <w:color w:val="B02045"/>
                <w:sz w:val="21"/>
              </w:rPr>
              <w:t>false</w:t>
            </w:r>
          </w:p>
        </w:tc>
        <w:tc>
          <w:tcPr>
            <w:tcW w:w="4988" w:type="dxa"/>
          </w:tcPr>
          <w:p w14:paraId="5EECA694" w14:textId="77777777" w:rsidR="00A720EB" w:rsidRDefault="0030286B">
            <w:pPr>
              <w:pStyle w:val="TableParagraph"/>
              <w:spacing w:before="92"/>
              <w:rPr>
                <w:rFonts w:ascii="Cambria"/>
                <w:sz w:val="21"/>
              </w:rPr>
            </w:pPr>
            <w:r>
              <w:rPr>
                <w:rFonts w:ascii="Cambria"/>
                <w:color w:val="333333"/>
                <w:w w:val="110"/>
                <w:sz w:val="21"/>
              </w:rPr>
              <w:t>Whether to enable remote access.</w:t>
            </w:r>
          </w:p>
        </w:tc>
      </w:tr>
      <w:tr w:rsidR="00A720EB" w14:paraId="4BF05EE1" w14:textId="77777777">
        <w:trPr>
          <w:trHeight w:val="425"/>
        </w:trPr>
        <w:tc>
          <w:tcPr>
            <w:tcW w:w="2494" w:type="dxa"/>
          </w:tcPr>
          <w:p w14:paraId="43691FCA" w14:textId="77777777" w:rsidR="00A720EB" w:rsidRDefault="0030286B">
            <w:pPr>
              <w:pStyle w:val="TableParagraph"/>
              <w:spacing w:before="37"/>
              <w:rPr>
                <w:sz w:val="21"/>
              </w:rPr>
            </w:pPr>
            <w:proofErr w:type="gramStart"/>
            <w:r>
              <w:rPr>
                <w:color w:val="B02045"/>
                <w:sz w:val="21"/>
              </w:rPr>
              <w:t>spring.influx</w:t>
            </w:r>
            <w:proofErr w:type="gramEnd"/>
            <w:r>
              <w:rPr>
                <w:color w:val="B02045"/>
                <w:sz w:val="21"/>
              </w:rPr>
              <w:t>.password</w:t>
            </w:r>
          </w:p>
        </w:tc>
        <w:tc>
          <w:tcPr>
            <w:tcW w:w="2494" w:type="dxa"/>
          </w:tcPr>
          <w:p w14:paraId="32F5636C" w14:textId="77777777" w:rsidR="00A720EB" w:rsidRDefault="00A720EB">
            <w:pPr>
              <w:pStyle w:val="TableParagraph"/>
              <w:spacing w:before="0"/>
              <w:ind w:left="0"/>
              <w:rPr>
                <w:rFonts w:ascii="Times New Roman"/>
                <w:sz w:val="20"/>
              </w:rPr>
            </w:pPr>
          </w:p>
        </w:tc>
        <w:tc>
          <w:tcPr>
            <w:tcW w:w="4988" w:type="dxa"/>
          </w:tcPr>
          <w:p w14:paraId="0AF3F450" w14:textId="77777777" w:rsidR="00A720EB" w:rsidRDefault="0030286B">
            <w:pPr>
              <w:pStyle w:val="TableParagraph"/>
              <w:spacing w:before="92"/>
              <w:rPr>
                <w:rFonts w:ascii="Cambria"/>
                <w:sz w:val="21"/>
              </w:rPr>
            </w:pPr>
            <w:r>
              <w:rPr>
                <w:rFonts w:ascii="Cambria"/>
                <w:color w:val="333333"/>
                <w:w w:val="110"/>
                <w:sz w:val="21"/>
              </w:rPr>
              <w:t>Login password.</w:t>
            </w:r>
          </w:p>
        </w:tc>
      </w:tr>
      <w:tr w:rsidR="00A720EB" w14:paraId="2A80F249" w14:textId="77777777">
        <w:trPr>
          <w:trHeight w:val="741"/>
        </w:trPr>
        <w:tc>
          <w:tcPr>
            <w:tcW w:w="2494" w:type="dxa"/>
          </w:tcPr>
          <w:p w14:paraId="5F74B1F5" w14:textId="77777777" w:rsidR="00A720EB" w:rsidRDefault="0030286B">
            <w:pPr>
              <w:pStyle w:val="TableParagraph"/>
              <w:spacing w:before="37"/>
              <w:rPr>
                <w:sz w:val="21"/>
              </w:rPr>
            </w:pPr>
            <w:r>
              <w:rPr>
                <w:color w:val="B02045"/>
                <w:sz w:val="21"/>
              </w:rPr>
              <w:t>spring.influx.url</w:t>
            </w:r>
          </w:p>
        </w:tc>
        <w:tc>
          <w:tcPr>
            <w:tcW w:w="2494" w:type="dxa"/>
          </w:tcPr>
          <w:p w14:paraId="1ADBE424" w14:textId="77777777" w:rsidR="00A720EB" w:rsidRDefault="00A720EB">
            <w:pPr>
              <w:pStyle w:val="TableParagraph"/>
              <w:spacing w:before="0"/>
              <w:ind w:left="0"/>
              <w:rPr>
                <w:rFonts w:ascii="Times New Roman"/>
                <w:sz w:val="20"/>
              </w:rPr>
            </w:pPr>
          </w:p>
        </w:tc>
        <w:tc>
          <w:tcPr>
            <w:tcW w:w="4988" w:type="dxa"/>
          </w:tcPr>
          <w:p w14:paraId="00CBEE48" w14:textId="77777777" w:rsidR="00A720EB" w:rsidRDefault="0030286B">
            <w:pPr>
              <w:pStyle w:val="TableParagraph"/>
              <w:spacing w:before="28" w:line="310" w:lineRule="atLeast"/>
              <w:ind w:right="372"/>
              <w:rPr>
                <w:rFonts w:ascii="Cambria"/>
                <w:sz w:val="21"/>
              </w:rPr>
            </w:pPr>
            <w:r>
              <w:rPr>
                <w:rFonts w:ascii="Cambria"/>
                <w:color w:val="333333"/>
                <w:w w:val="110"/>
                <w:sz w:val="21"/>
              </w:rPr>
              <w:t>URL of the InfluxDB instance to which to connect.</w:t>
            </w:r>
          </w:p>
        </w:tc>
      </w:tr>
      <w:tr w:rsidR="00A720EB" w14:paraId="52CABD88" w14:textId="77777777">
        <w:trPr>
          <w:trHeight w:val="425"/>
        </w:trPr>
        <w:tc>
          <w:tcPr>
            <w:tcW w:w="2494" w:type="dxa"/>
          </w:tcPr>
          <w:p w14:paraId="2FDBA1DB" w14:textId="77777777" w:rsidR="00A720EB" w:rsidRDefault="0030286B">
            <w:pPr>
              <w:pStyle w:val="TableParagraph"/>
              <w:spacing w:before="37"/>
              <w:rPr>
                <w:sz w:val="21"/>
              </w:rPr>
            </w:pPr>
            <w:proofErr w:type="gramStart"/>
            <w:r>
              <w:rPr>
                <w:color w:val="B02045"/>
                <w:sz w:val="21"/>
              </w:rPr>
              <w:t>spring.influx</w:t>
            </w:r>
            <w:proofErr w:type="gramEnd"/>
            <w:r>
              <w:rPr>
                <w:color w:val="B02045"/>
                <w:sz w:val="21"/>
              </w:rPr>
              <w:t>.user</w:t>
            </w:r>
          </w:p>
        </w:tc>
        <w:tc>
          <w:tcPr>
            <w:tcW w:w="2494" w:type="dxa"/>
          </w:tcPr>
          <w:p w14:paraId="17DD0A8B" w14:textId="77777777" w:rsidR="00A720EB" w:rsidRDefault="00A720EB">
            <w:pPr>
              <w:pStyle w:val="TableParagraph"/>
              <w:spacing w:before="0"/>
              <w:ind w:left="0"/>
              <w:rPr>
                <w:rFonts w:ascii="Times New Roman"/>
                <w:sz w:val="20"/>
              </w:rPr>
            </w:pPr>
          </w:p>
        </w:tc>
        <w:tc>
          <w:tcPr>
            <w:tcW w:w="4988" w:type="dxa"/>
          </w:tcPr>
          <w:p w14:paraId="15EA2644" w14:textId="77777777" w:rsidR="00A720EB" w:rsidRDefault="0030286B">
            <w:pPr>
              <w:pStyle w:val="TableParagraph"/>
              <w:spacing w:before="92"/>
              <w:rPr>
                <w:rFonts w:ascii="Cambria"/>
                <w:sz w:val="21"/>
              </w:rPr>
            </w:pPr>
            <w:r>
              <w:rPr>
                <w:rFonts w:ascii="Cambria"/>
                <w:color w:val="333333"/>
                <w:w w:val="110"/>
                <w:sz w:val="21"/>
              </w:rPr>
              <w:t>Login user.</w:t>
            </w:r>
          </w:p>
        </w:tc>
      </w:tr>
      <w:tr w:rsidR="00A720EB" w14:paraId="274C87B6" w14:textId="77777777">
        <w:trPr>
          <w:trHeight w:val="1056"/>
        </w:trPr>
        <w:tc>
          <w:tcPr>
            <w:tcW w:w="2494" w:type="dxa"/>
          </w:tcPr>
          <w:p w14:paraId="46D5DCCA" w14:textId="77777777" w:rsidR="00A720EB" w:rsidRDefault="0030286B">
            <w:pPr>
              <w:pStyle w:val="TableParagraph"/>
              <w:spacing w:before="46" w:line="230" w:lineRule="auto"/>
              <w:ind w:right="113"/>
              <w:rPr>
                <w:sz w:val="21"/>
              </w:rPr>
            </w:pPr>
            <w:proofErr w:type="gramStart"/>
            <w:r>
              <w:rPr>
                <w:color w:val="B02045"/>
                <w:sz w:val="21"/>
              </w:rPr>
              <w:t>spring.jdbc</w:t>
            </w:r>
            <w:proofErr w:type="gramEnd"/>
            <w:r>
              <w:rPr>
                <w:color w:val="B02045"/>
                <w:sz w:val="21"/>
              </w:rPr>
              <w:t>.template.f etch-size</w:t>
            </w:r>
          </w:p>
        </w:tc>
        <w:tc>
          <w:tcPr>
            <w:tcW w:w="2494" w:type="dxa"/>
          </w:tcPr>
          <w:p w14:paraId="15841364" w14:textId="77777777" w:rsidR="00A720EB" w:rsidRDefault="0030286B">
            <w:pPr>
              <w:pStyle w:val="TableParagraph"/>
              <w:spacing w:before="37"/>
              <w:rPr>
                <w:sz w:val="21"/>
              </w:rPr>
            </w:pPr>
            <w:r>
              <w:rPr>
                <w:color w:val="B02045"/>
                <w:sz w:val="21"/>
              </w:rPr>
              <w:t>-1.0</w:t>
            </w:r>
          </w:p>
        </w:tc>
        <w:tc>
          <w:tcPr>
            <w:tcW w:w="4988" w:type="dxa"/>
          </w:tcPr>
          <w:p w14:paraId="06E8AD49" w14:textId="77777777" w:rsidR="00A720EB" w:rsidRDefault="0030286B">
            <w:pPr>
              <w:pStyle w:val="TableParagraph"/>
              <w:spacing w:before="28" w:line="310" w:lineRule="atLeast"/>
              <w:rPr>
                <w:rFonts w:ascii="Cambria"/>
                <w:sz w:val="21"/>
              </w:rPr>
            </w:pPr>
            <w:r>
              <w:rPr>
                <w:rFonts w:ascii="Cambria"/>
                <w:color w:val="333333"/>
                <w:w w:val="110"/>
                <w:sz w:val="21"/>
              </w:rPr>
              <w:t>Number of rows that should be fetched from the database when more rows are needed. Use -1 to use the JDBC driver's default configuration.</w:t>
            </w:r>
          </w:p>
        </w:tc>
      </w:tr>
      <w:tr w:rsidR="00A720EB" w14:paraId="374941B9" w14:textId="77777777">
        <w:trPr>
          <w:trHeight w:val="741"/>
        </w:trPr>
        <w:tc>
          <w:tcPr>
            <w:tcW w:w="2494" w:type="dxa"/>
          </w:tcPr>
          <w:p w14:paraId="3DFF21D1" w14:textId="77777777" w:rsidR="00A720EB" w:rsidRDefault="0030286B">
            <w:pPr>
              <w:pStyle w:val="TableParagraph"/>
              <w:spacing w:before="46" w:line="230" w:lineRule="auto"/>
              <w:ind w:right="113"/>
              <w:rPr>
                <w:sz w:val="21"/>
              </w:rPr>
            </w:pPr>
            <w:proofErr w:type="gramStart"/>
            <w:r>
              <w:rPr>
                <w:color w:val="B02045"/>
                <w:sz w:val="21"/>
              </w:rPr>
              <w:t>spring.jdbc</w:t>
            </w:r>
            <w:proofErr w:type="gramEnd"/>
            <w:r>
              <w:rPr>
                <w:color w:val="B02045"/>
                <w:sz w:val="21"/>
              </w:rPr>
              <w:t>.template.m ax-rows</w:t>
            </w:r>
          </w:p>
        </w:tc>
        <w:tc>
          <w:tcPr>
            <w:tcW w:w="2494" w:type="dxa"/>
          </w:tcPr>
          <w:p w14:paraId="7FC11A73" w14:textId="77777777" w:rsidR="00A720EB" w:rsidRDefault="0030286B">
            <w:pPr>
              <w:pStyle w:val="TableParagraph"/>
              <w:rPr>
                <w:sz w:val="21"/>
              </w:rPr>
            </w:pPr>
            <w:r>
              <w:rPr>
                <w:color w:val="B02045"/>
                <w:sz w:val="21"/>
              </w:rPr>
              <w:t>-1.0</w:t>
            </w:r>
          </w:p>
        </w:tc>
        <w:tc>
          <w:tcPr>
            <w:tcW w:w="4988" w:type="dxa"/>
          </w:tcPr>
          <w:p w14:paraId="2E20B194" w14:textId="77777777" w:rsidR="00A720EB" w:rsidRDefault="0030286B">
            <w:pPr>
              <w:pStyle w:val="TableParagraph"/>
              <w:spacing w:before="28" w:line="310" w:lineRule="atLeast"/>
              <w:ind w:right="372"/>
              <w:rPr>
                <w:rFonts w:ascii="Cambria"/>
                <w:sz w:val="21"/>
              </w:rPr>
            </w:pPr>
            <w:r>
              <w:rPr>
                <w:rFonts w:ascii="Cambria"/>
                <w:color w:val="333333"/>
                <w:w w:val="110"/>
                <w:sz w:val="21"/>
              </w:rPr>
              <w:t>Maximum number of rows. Use -1 to use the JDBC driver's default configuration.</w:t>
            </w:r>
          </w:p>
        </w:tc>
      </w:tr>
      <w:tr w:rsidR="00A720EB" w14:paraId="26C8BD41" w14:textId="77777777">
        <w:trPr>
          <w:trHeight w:val="1056"/>
        </w:trPr>
        <w:tc>
          <w:tcPr>
            <w:tcW w:w="2494" w:type="dxa"/>
          </w:tcPr>
          <w:p w14:paraId="106B3093" w14:textId="77777777" w:rsidR="00A720EB" w:rsidRDefault="0030286B">
            <w:pPr>
              <w:pStyle w:val="TableParagraph"/>
              <w:spacing w:before="46" w:line="230" w:lineRule="auto"/>
              <w:ind w:right="113"/>
              <w:rPr>
                <w:sz w:val="21"/>
              </w:rPr>
            </w:pPr>
            <w:proofErr w:type="gramStart"/>
            <w:r>
              <w:rPr>
                <w:color w:val="B02045"/>
                <w:sz w:val="21"/>
              </w:rPr>
              <w:t>spring.jdbc</w:t>
            </w:r>
            <w:proofErr w:type="gramEnd"/>
            <w:r>
              <w:rPr>
                <w:color w:val="B02045"/>
                <w:sz w:val="21"/>
              </w:rPr>
              <w:t>.template.q uery-timeout</w:t>
            </w:r>
          </w:p>
        </w:tc>
        <w:tc>
          <w:tcPr>
            <w:tcW w:w="2494" w:type="dxa"/>
          </w:tcPr>
          <w:p w14:paraId="7B332D1F" w14:textId="77777777" w:rsidR="00A720EB" w:rsidRDefault="00A720EB">
            <w:pPr>
              <w:pStyle w:val="TableParagraph"/>
              <w:spacing w:before="0"/>
              <w:ind w:left="0"/>
              <w:rPr>
                <w:rFonts w:ascii="Times New Roman"/>
                <w:sz w:val="20"/>
              </w:rPr>
            </w:pPr>
          </w:p>
        </w:tc>
        <w:tc>
          <w:tcPr>
            <w:tcW w:w="4988" w:type="dxa"/>
          </w:tcPr>
          <w:p w14:paraId="75570787" w14:textId="77777777" w:rsidR="00A720EB" w:rsidRDefault="0030286B">
            <w:pPr>
              <w:pStyle w:val="TableParagraph"/>
              <w:spacing w:before="28" w:line="310" w:lineRule="atLeast"/>
              <w:ind w:right="372"/>
              <w:rPr>
                <w:rFonts w:ascii="Cambria"/>
                <w:sz w:val="21"/>
              </w:rPr>
            </w:pPr>
            <w:r>
              <w:rPr>
                <w:rFonts w:ascii="Cambria"/>
                <w:color w:val="333333"/>
                <w:w w:val="110"/>
                <w:sz w:val="21"/>
              </w:rPr>
              <w:t>Query timeout. Default is to use the JDBC driver's default configuration. If a duration suffix is not specified, seconds will be used.</w:t>
            </w:r>
          </w:p>
        </w:tc>
      </w:tr>
      <w:tr w:rsidR="00A720EB" w14:paraId="494E9CDF" w14:textId="77777777">
        <w:trPr>
          <w:trHeight w:val="627"/>
        </w:trPr>
        <w:tc>
          <w:tcPr>
            <w:tcW w:w="2494" w:type="dxa"/>
          </w:tcPr>
          <w:p w14:paraId="7E114026" w14:textId="77777777" w:rsidR="00A720EB" w:rsidRDefault="0030286B">
            <w:pPr>
              <w:pStyle w:val="TableParagraph"/>
              <w:spacing w:before="46" w:line="230" w:lineRule="auto"/>
              <w:ind w:right="724"/>
              <w:rPr>
                <w:sz w:val="21"/>
              </w:rPr>
            </w:pPr>
            <w:r>
              <w:rPr>
                <w:color w:val="B02045"/>
                <w:sz w:val="21"/>
              </w:rPr>
              <w:t>spring.jooq.sql- dialect</w:t>
            </w:r>
          </w:p>
        </w:tc>
        <w:tc>
          <w:tcPr>
            <w:tcW w:w="2494" w:type="dxa"/>
          </w:tcPr>
          <w:p w14:paraId="76D6F454" w14:textId="77777777" w:rsidR="00A720EB" w:rsidRDefault="00A720EB">
            <w:pPr>
              <w:pStyle w:val="TableParagraph"/>
              <w:spacing w:before="0"/>
              <w:ind w:left="0"/>
              <w:rPr>
                <w:rFonts w:ascii="Times New Roman"/>
                <w:sz w:val="20"/>
              </w:rPr>
            </w:pPr>
          </w:p>
        </w:tc>
        <w:tc>
          <w:tcPr>
            <w:tcW w:w="4988" w:type="dxa"/>
          </w:tcPr>
          <w:p w14:paraId="2F68248A" w14:textId="77777777" w:rsidR="00A720EB" w:rsidRDefault="0030286B">
            <w:pPr>
              <w:pStyle w:val="TableParagraph"/>
              <w:spacing w:before="92"/>
              <w:rPr>
                <w:rFonts w:ascii="Cambria"/>
                <w:sz w:val="21"/>
              </w:rPr>
            </w:pPr>
            <w:r>
              <w:rPr>
                <w:rFonts w:ascii="Cambria"/>
                <w:color w:val="333333"/>
                <w:w w:val="110"/>
                <w:sz w:val="21"/>
              </w:rPr>
              <w:t>SQL dialect to use. Auto-detected by default.</w:t>
            </w:r>
          </w:p>
        </w:tc>
      </w:tr>
    </w:tbl>
    <w:p w14:paraId="67E4EF93" w14:textId="77777777" w:rsidR="00A720EB" w:rsidRDefault="00A720EB">
      <w:pPr>
        <w:rPr>
          <w:sz w:val="21"/>
        </w:rPr>
        <w:sectPr w:rsidR="00A720EB">
          <w:pgSz w:w="11910" w:h="16840"/>
          <w:pgMar w:top="700" w:right="840" w:bottom="380" w:left="840" w:header="0" w:footer="11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16B65968" w14:textId="77777777">
        <w:trPr>
          <w:trHeight w:val="415"/>
        </w:trPr>
        <w:tc>
          <w:tcPr>
            <w:tcW w:w="2494" w:type="dxa"/>
            <w:tcBorders>
              <w:bottom w:val="single" w:sz="12" w:space="0" w:color="DDDDDD"/>
            </w:tcBorders>
          </w:tcPr>
          <w:p w14:paraId="54C7CF11"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05F91E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D6CEC69"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3DCEAF6" w14:textId="77777777">
        <w:trPr>
          <w:trHeight w:val="1046"/>
        </w:trPr>
        <w:tc>
          <w:tcPr>
            <w:tcW w:w="2494" w:type="dxa"/>
            <w:tcBorders>
              <w:top w:val="single" w:sz="12" w:space="0" w:color="DDDDDD"/>
            </w:tcBorders>
          </w:tcPr>
          <w:p w14:paraId="6C90956A" w14:textId="77777777" w:rsidR="00A720EB" w:rsidRDefault="0030286B">
            <w:pPr>
              <w:pStyle w:val="TableParagraph"/>
              <w:spacing w:before="27"/>
              <w:rPr>
                <w:sz w:val="21"/>
              </w:rPr>
            </w:pPr>
            <w:proofErr w:type="gramStart"/>
            <w:r>
              <w:rPr>
                <w:color w:val="B02045"/>
                <w:sz w:val="21"/>
              </w:rPr>
              <w:t>spring.jpa.database</w:t>
            </w:r>
            <w:proofErr w:type="gramEnd"/>
          </w:p>
        </w:tc>
        <w:tc>
          <w:tcPr>
            <w:tcW w:w="2494" w:type="dxa"/>
            <w:tcBorders>
              <w:top w:val="single" w:sz="12" w:space="0" w:color="DDDDDD"/>
            </w:tcBorders>
          </w:tcPr>
          <w:p w14:paraId="01C0EAEA"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6100B998" w14:textId="77777777" w:rsidR="00A720EB" w:rsidRDefault="0030286B">
            <w:pPr>
              <w:pStyle w:val="TableParagraph"/>
              <w:spacing w:before="18" w:line="310" w:lineRule="atLeast"/>
              <w:ind w:right="183"/>
              <w:rPr>
                <w:rFonts w:ascii="Cambria"/>
                <w:sz w:val="21"/>
              </w:rPr>
            </w:pPr>
            <w:r>
              <w:rPr>
                <w:rFonts w:ascii="Cambria"/>
                <w:color w:val="333333"/>
                <w:w w:val="110"/>
                <w:sz w:val="21"/>
              </w:rPr>
              <w:t>Target database to operate on, auto-detected by default. Can be alternatively set using the "databasePlatform" property.</w:t>
            </w:r>
          </w:p>
        </w:tc>
      </w:tr>
      <w:tr w:rsidR="00A720EB" w14:paraId="70F0E003" w14:textId="77777777">
        <w:trPr>
          <w:trHeight w:val="1056"/>
        </w:trPr>
        <w:tc>
          <w:tcPr>
            <w:tcW w:w="2494" w:type="dxa"/>
          </w:tcPr>
          <w:p w14:paraId="7D2EE20A" w14:textId="77777777" w:rsidR="00A720EB" w:rsidRDefault="0030286B">
            <w:pPr>
              <w:pStyle w:val="TableParagraph"/>
              <w:spacing w:before="46" w:line="230" w:lineRule="auto"/>
              <w:ind w:right="304"/>
              <w:rPr>
                <w:sz w:val="21"/>
              </w:rPr>
            </w:pPr>
            <w:proofErr w:type="gramStart"/>
            <w:r>
              <w:rPr>
                <w:color w:val="B02045"/>
                <w:sz w:val="21"/>
              </w:rPr>
              <w:t>spring.jpa.database</w:t>
            </w:r>
            <w:proofErr w:type="gramEnd"/>
            <w:r>
              <w:rPr>
                <w:color w:val="B02045"/>
                <w:sz w:val="21"/>
              </w:rPr>
              <w:t>- platform</w:t>
            </w:r>
          </w:p>
        </w:tc>
        <w:tc>
          <w:tcPr>
            <w:tcW w:w="2494" w:type="dxa"/>
          </w:tcPr>
          <w:p w14:paraId="0AA29172" w14:textId="77777777" w:rsidR="00A720EB" w:rsidRDefault="00A720EB">
            <w:pPr>
              <w:pStyle w:val="TableParagraph"/>
              <w:spacing w:before="0"/>
              <w:ind w:left="0"/>
              <w:rPr>
                <w:rFonts w:ascii="Times New Roman"/>
                <w:sz w:val="20"/>
              </w:rPr>
            </w:pPr>
          </w:p>
        </w:tc>
        <w:tc>
          <w:tcPr>
            <w:tcW w:w="4988" w:type="dxa"/>
          </w:tcPr>
          <w:p w14:paraId="19B286FA" w14:textId="77777777" w:rsidR="00A720EB" w:rsidRDefault="0030286B">
            <w:pPr>
              <w:pStyle w:val="TableParagraph"/>
              <w:spacing w:before="28" w:line="310" w:lineRule="atLeast"/>
              <w:ind w:right="117"/>
              <w:rPr>
                <w:rFonts w:ascii="Cambria"/>
                <w:sz w:val="21"/>
              </w:rPr>
            </w:pPr>
            <w:r>
              <w:rPr>
                <w:rFonts w:ascii="Cambria"/>
                <w:color w:val="333333"/>
                <w:w w:val="110"/>
                <w:sz w:val="21"/>
              </w:rPr>
              <w:t>Name of the target database to operate on, auto- detected by default. Can be alternatively set using the "Database" enum.</w:t>
            </w:r>
          </w:p>
        </w:tc>
      </w:tr>
      <w:tr w:rsidR="00A720EB" w14:paraId="247889A5" w14:textId="77777777">
        <w:trPr>
          <w:trHeight w:val="627"/>
        </w:trPr>
        <w:tc>
          <w:tcPr>
            <w:tcW w:w="2494" w:type="dxa"/>
          </w:tcPr>
          <w:p w14:paraId="63CEBFF5" w14:textId="77777777" w:rsidR="00A720EB" w:rsidRDefault="0030286B">
            <w:pPr>
              <w:pStyle w:val="TableParagraph"/>
              <w:spacing w:before="46" w:line="230" w:lineRule="auto"/>
              <w:ind w:right="304"/>
              <w:rPr>
                <w:sz w:val="21"/>
              </w:rPr>
            </w:pPr>
            <w:proofErr w:type="gramStart"/>
            <w:r>
              <w:rPr>
                <w:color w:val="B02045"/>
                <w:sz w:val="21"/>
              </w:rPr>
              <w:t>spring.jpa.generate</w:t>
            </w:r>
            <w:proofErr w:type="gramEnd"/>
            <w:r>
              <w:rPr>
                <w:color w:val="B02045"/>
                <w:sz w:val="21"/>
              </w:rPr>
              <w:t>- ddl</w:t>
            </w:r>
          </w:p>
        </w:tc>
        <w:tc>
          <w:tcPr>
            <w:tcW w:w="2494" w:type="dxa"/>
          </w:tcPr>
          <w:p w14:paraId="0DA7175D" w14:textId="77777777" w:rsidR="00A720EB" w:rsidRDefault="0030286B">
            <w:pPr>
              <w:pStyle w:val="TableParagraph"/>
              <w:spacing w:before="37"/>
              <w:rPr>
                <w:sz w:val="21"/>
              </w:rPr>
            </w:pPr>
            <w:r>
              <w:rPr>
                <w:color w:val="B02045"/>
                <w:sz w:val="21"/>
              </w:rPr>
              <w:t>false</w:t>
            </w:r>
          </w:p>
        </w:tc>
        <w:tc>
          <w:tcPr>
            <w:tcW w:w="4988" w:type="dxa"/>
          </w:tcPr>
          <w:p w14:paraId="5E37F9D7" w14:textId="77777777" w:rsidR="00A720EB" w:rsidRDefault="0030286B">
            <w:pPr>
              <w:pStyle w:val="TableParagraph"/>
              <w:spacing w:before="92"/>
              <w:rPr>
                <w:rFonts w:ascii="Cambria"/>
                <w:sz w:val="21"/>
              </w:rPr>
            </w:pPr>
            <w:r>
              <w:rPr>
                <w:rFonts w:ascii="Cambria"/>
                <w:color w:val="333333"/>
                <w:w w:val="110"/>
                <w:sz w:val="21"/>
              </w:rPr>
              <w:t>Whether to initialize the schema on startup.</w:t>
            </w:r>
          </w:p>
        </w:tc>
      </w:tr>
      <w:tr w:rsidR="00A720EB" w14:paraId="5AE4218D" w14:textId="77777777">
        <w:trPr>
          <w:trHeight w:val="1687"/>
        </w:trPr>
        <w:tc>
          <w:tcPr>
            <w:tcW w:w="2494" w:type="dxa"/>
          </w:tcPr>
          <w:p w14:paraId="3F453EEE" w14:textId="77777777" w:rsidR="00A720EB" w:rsidRDefault="0030286B">
            <w:pPr>
              <w:pStyle w:val="TableParagraph"/>
              <w:spacing w:before="46" w:line="230" w:lineRule="auto"/>
              <w:ind w:right="113"/>
              <w:rPr>
                <w:sz w:val="21"/>
              </w:rPr>
            </w:pPr>
            <w:proofErr w:type="gramStart"/>
            <w:r>
              <w:rPr>
                <w:color w:val="B02045"/>
                <w:sz w:val="21"/>
              </w:rPr>
              <w:t>spring.jpa.hibernate</w:t>
            </w:r>
            <w:proofErr w:type="gramEnd"/>
            <w:r>
              <w:rPr>
                <w:color w:val="B02045"/>
                <w:sz w:val="21"/>
              </w:rPr>
              <w:t>.d dl-auto</w:t>
            </w:r>
          </w:p>
        </w:tc>
        <w:tc>
          <w:tcPr>
            <w:tcW w:w="2494" w:type="dxa"/>
          </w:tcPr>
          <w:p w14:paraId="5E8C0EF2" w14:textId="77777777" w:rsidR="00A720EB" w:rsidRDefault="00A720EB">
            <w:pPr>
              <w:pStyle w:val="TableParagraph"/>
              <w:spacing w:before="0"/>
              <w:ind w:left="0"/>
              <w:rPr>
                <w:rFonts w:ascii="Times New Roman"/>
                <w:sz w:val="20"/>
              </w:rPr>
            </w:pPr>
          </w:p>
        </w:tc>
        <w:tc>
          <w:tcPr>
            <w:tcW w:w="4988" w:type="dxa"/>
          </w:tcPr>
          <w:p w14:paraId="3E2635A0" w14:textId="77777777" w:rsidR="00A720EB" w:rsidRDefault="0030286B">
            <w:pPr>
              <w:pStyle w:val="TableParagraph"/>
              <w:spacing w:before="92" w:line="307" w:lineRule="auto"/>
              <w:ind w:right="118"/>
              <w:rPr>
                <w:rFonts w:ascii="Cambria"/>
                <w:sz w:val="21"/>
              </w:rPr>
            </w:pPr>
            <w:r>
              <w:rPr>
                <w:rFonts w:ascii="Cambria"/>
                <w:color w:val="333333"/>
                <w:w w:val="110"/>
                <w:sz w:val="21"/>
              </w:rPr>
              <w:t>DDL mode. This is actually a shortcut for the "</w:t>
            </w:r>
            <w:proofErr w:type="gramStart"/>
            <w:r>
              <w:rPr>
                <w:rFonts w:ascii="Cambria"/>
                <w:color w:val="333333"/>
                <w:w w:val="110"/>
                <w:sz w:val="21"/>
              </w:rPr>
              <w:t>hibernate.hbm2ddl.auto</w:t>
            </w:r>
            <w:proofErr w:type="gramEnd"/>
            <w:r>
              <w:rPr>
                <w:rFonts w:ascii="Cambria"/>
                <w:color w:val="333333"/>
                <w:w w:val="110"/>
                <w:sz w:val="21"/>
              </w:rPr>
              <w:t xml:space="preserve">" </w:t>
            </w:r>
            <w:r>
              <w:rPr>
                <w:rFonts w:ascii="Cambria"/>
                <w:color w:val="333333"/>
                <w:spacing w:val="-3"/>
                <w:w w:val="110"/>
                <w:sz w:val="21"/>
              </w:rPr>
              <w:t xml:space="preserve">property. </w:t>
            </w:r>
            <w:r>
              <w:rPr>
                <w:rFonts w:ascii="Cambria"/>
                <w:color w:val="333333"/>
                <w:w w:val="110"/>
                <w:sz w:val="21"/>
              </w:rPr>
              <w:t>Defaults to "create-drop" when using an embedded database and no schema manager was detected. Otherwise, defaults to</w:t>
            </w:r>
            <w:r>
              <w:rPr>
                <w:rFonts w:ascii="Cambria"/>
                <w:color w:val="333333"/>
                <w:spacing w:val="9"/>
                <w:w w:val="110"/>
                <w:sz w:val="21"/>
              </w:rPr>
              <w:t xml:space="preserve"> </w:t>
            </w:r>
            <w:r>
              <w:rPr>
                <w:rFonts w:ascii="Cambria"/>
                <w:color w:val="333333"/>
                <w:w w:val="110"/>
                <w:sz w:val="21"/>
              </w:rPr>
              <w:t>"none".</w:t>
            </w:r>
          </w:p>
        </w:tc>
      </w:tr>
      <w:tr w:rsidR="00A720EB" w14:paraId="34E9034A" w14:textId="77777777">
        <w:trPr>
          <w:trHeight w:val="886"/>
        </w:trPr>
        <w:tc>
          <w:tcPr>
            <w:tcW w:w="2494" w:type="dxa"/>
          </w:tcPr>
          <w:p w14:paraId="7CE803AC" w14:textId="77777777" w:rsidR="00A720EB" w:rsidRDefault="0030286B">
            <w:pPr>
              <w:pStyle w:val="TableParagraph"/>
              <w:spacing w:before="46" w:line="230" w:lineRule="auto"/>
              <w:ind w:right="113"/>
              <w:rPr>
                <w:sz w:val="21"/>
              </w:rPr>
            </w:pPr>
            <w:proofErr w:type="gramStart"/>
            <w:r>
              <w:rPr>
                <w:color w:val="B02045"/>
                <w:sz w:val="21"/>
              </w:rPr>
              <w:t>spring.jpa.hibernate</w:t>
            </w:r>
            <w:proofErr w:type="gramEnd"/>
            <w:r>
              <w:rPr>
                <w:color w:val="B02045"/>
                <w:sz w:val="21"/>
              </w:rPr>
              <w:t>.n aming.implicit- strategy</w:t>
            </w:r>
          </w:p>
        </w:tc>
        <w:tc>
          <w:tcPr>
            <w:tcW w:w="2494" w:type="dxa"/>
          </w:tcPr>
          <w:p w14:paraId="6BE1DB70" w14:textId="77777777" w:rsidR="00A720EB" w:rsidRDefault="00A720EB">
            <w:pPr>
              <w:pStyle w:val="TableParagraph"/>
              <w:spacing w:before="0"/>
              <w:ind w:left="0"/>
              <w:rPr>
                <w:rFonts w:ascii="Times New Roman"/>
                <w:sz w:val="20"/>
              </w:rPr>
            </w:pPr>
          </w:p>
        </w:tc>
        <w:tc>
          <w:tcPr>
            <w:tcW w:w="4988" w:type="dxa"/>
          </w:tcPr>
          <w:p w14:paraId="52AC3E90" w14:textId="77777777" w:rsidR="00A720EB" w:rsidRDefault="0030286B">
            <w:pPr>
              <w:pStyle w:val="TableParagraph"/>
              <w:spacing w:before="92" w:line="307" w:lineRule="auto"/>
              <w:ind w:right="484"/>
              <w:rPr>
                <w:rFonts w:ascii="Cambria"/>
                <w:sz w:val="21"/>
              </w:rPr>
            </w:pPr>
            <w:r>
              <w:rPr>
                <w:rFonts w:ascii="Cambria"/>
                <w:color w:val="333333"/>
                <w:w w:val="115"/>
                <w:sz w:val="21"/>
              </w:rPr>
              <w:t>Fully qualified name of the implicit naming strategy.</w:t>
            </w:r>
          </w:p>
        </w:tc>
      </w:tr>
      <w:tr w:rsidR="00A720EB" w14:paraId="08094414" w14:textId="77777777">
        <w:trPr>
          <w:trHeight w:val="886"/>
        </w:trPr>
        <w:tc>
          <w:tcPr>
            <w:tcW w:w="2494" w:type="dxa"/>
          </w:tcPr>
          <w:p w14:paraId="6A2FF3B7" w14:textId="77777777" w:rsidR="00A720EB" w:rsidRDefault="0030286B">
            <w:pPr>
              <w:pStyle w:val="TableParagraph"/>
              <w:spacing w:before="46" w:line="230" w:lineRule="auto"/>
              <w:ind w:right="113"/>
              <w:rPr>
                <w:sz w:val="21"/>
              </w:rPr>
            </w:pPr>
            <w:proofErr w:type="gramStart"/>
            <w:r>
              <w:rPr>
                <w:color w:val="B02045"/>
                <w:sz w:val="21"/>
              </w:rPr>
              <w:t>spring.jpa.hibernate</w:t>
            </w:r>
            <w:proofErr w:type="gramEnd"/>
            <w:r>
              <w:rPr>
                <w:color w:val="B02045"/>
                <w:sz w:val="21"/>
              </w:rPr>
              <w:t>.n aming.physical- strategy</w:t>
            </w:r>
          </w:p>
        </w:tc>
        <w:tc>
          <w:tcPr>
            <w:tcW w:w="2494" w:type="dxa"/>
          </w:tcPr>
          <w:p w14:paraId="4CA59869" w14:textId="77777777" w:rsidR="00A720EB" w:rsidRDefault="00A720EB">
            <w:pPr>
              <w:pStyle w:val="TableParagraph"/>
              <w:spacing w:before="0"/>
              <w:ind w:left="0"/>
              <w:rPr>
                <w:rFonts w:ascii="Times New Roman"/>
                <w:sz w:val="20"/>
              </w:rPr>
            </w:pPr>
          </w:p>
        </w:tc>
        <w:tc>
          <w:tcPr>
            <w:tcW w:w="4988" w:type="dxa"/>
          </w:tcPr>
          <w:p w14:paraId="07D4C153" w14:textId="77777777" w:rsidR="00A720EB" w:rsidRDefault="0030286B">
            <w:pPr>
              <w:pStyle w:val="TableParagraph"/>
              <w:spacing w:before="92" w:line="307" w:lineRule="auto"/>
              <w:ind w:right="424"/>
              <w:rPr>
                <w:rFonts w:ascii="Cambria"/>
                <w:sz w:val="21"/>
              </w:rPr>
            </w:pPr>
            <w:r>
              <w:rPr>
                <w:rFonts w:ascii="Cambria"/>
                <w:color w:val="333333"/>
                <w:w w:val="115"/>
                <w:sz w:val="21"/>
              </w:rPr>
              <w:t>Fully qualified name of the physical naming strategy.</w:t>
            </w:r>
          </w:p>
        </w:tc>
      </w:tr>
      <w:tr w:rsidR="00A720EB" w14:paraId="16698C1E" w14:textId="77777777">
        <w:trPr>
          <w:trHeight w:val="2003"/>
        </w:trPr>
        <w:tc>
          <w:tcPr>
            <w:tcW w:w="2494" w:type="dxa"/>
          </w:tcPr>
          <w:p w14:paraId="66856C36" w14:textId="77777777" w:rsidR="00A720EB" w:rsidRDefault="0030286B">
            <w:pPr>
              <w:pStyle w:val="TableParagraph"/>
              <w:spacing w:before="46" w:line="230" w:lineRule="auto"/>
              <w:ind w:right="113"/>
              <w:rPr>
                <w:sz w:val="21"/>
              </w:rPr>
            </w:pPr>
            <w:proofErr w:type="gramStart"/>
            <w:r>
              <w:rPr>
                <w:color w:val="B02045"/>
                <w:sz w:val="21"/>
              </w:rPr>
              <w:t>spring.jpa.hibernate</w:t>
            </w:r>
            <w:proofErr w:type="gramEnd"/>
            <w:r>
              <w:rPr>
                <w:color w:val="B02045"/>
                <w:sz w:val="21"/>
              </w:rPr>
              <w:t>.u se-new-id-generator- mappings</w:t>
            </w:r>
          </w:p>
        </w:tc>
        <w:tc>
          <w:tcPr>
            <w:tcW w:w="2494" w:type="dxa"/>
          </w:tcPr>
          <w:p w14:paraId="27952F42" w14:textId="77777777" w:rsidR="00A720EB" w:rsidRDefault="00A720EB">
            <w:pPr>
              <w:pStyle w:val="TableParagraph"/>
              <w:spacing w:before="0"/>
              <w:ind w:left="0"/>
              <w:rPr>
                <w:rFonts w:ascii="Times New Roman"/>
                <w:sz w:val="20"/>
              </w:rPr>
            </w:pPr>
          </w:p>
        </w:tc>
        <w:tc>
          <w:tcPr>
            <w:tcW w:w="4988" w:type="dxa"/>
          </w:tcPr>
          <w:p w14:paraId="2142B013" w14:textId="77777777" w:rsidR="00A720EB" w:rsidRDefault="0030286B">
            <w:pPr>
              <w:pStyle w:val="TableParagraph"/>
              <w:spacing w:before="92" w:line="307" w:lineRule="auto"/>
              <w:ind w:right="372"/>
              <w:rPr>
                <w:rFonts w:ascii="Cambria"/>
                <w:sz w:val="21"/>
              </w:rPr>
            </w:pPr>
            <w:r>
              <w:rPr>
                <w:rFonts w:ascii="Cambria"/>
                <w:color w:val="333333"/>
                <w:w w:val="110"/>
                <w:sz w:val="21"/>
              </w:rPr>
              <w:t>Whether to use Hibernate's newer IdentifierGenerator for AUTO, TABLE and SEQUENCE. This is actually a shortcut for the "hibernate.id.new_generator_mappings" property. When not specified will default to "true".</w:t>
            </w:r>
          </w:p>
        </w:tc>
      </w:tr>
      <w:tr w:rsidR="00A720EB" w14:paraId="220E8C88" w14:textId="77777777">
        <w:trPr>
          <w:trHeight w:val="741"/>
        </w:trPr>
        <w:tc>
          <w:tcPr>
            <w:tcW w:w="2494" w:type="dxa"/>
          </w:tcPr>
          <w:p w14:paraId="6A310BC0" w14:textId="77777777" w:rsidR="00A720EB" w:rsidRDefault="0030286B">
            <w:pPr>
              <w:pStyle w:val="TableParagraph"/>
              <w:spacing w:before="46" w:line="230" w:lineRule="auto"/>
              <w:ind w:right="409"/>
              <w:rPr>
                <w:sz w:val="21"/>
              </w:rPr>
            </w:pPr>
            <w:proofErr w:type="gramStart"/>
            <w:r>
              <w:rPr>
                <w:color w:val="B02045"/>
                <w:sz w:val="21"/>
              </w:rPr>
              <w:t>spring.jpa.mapping</w:t>
            </w:r>
            <w:proofErr w:type="gramEnd"/>
            <w:r>
              <w:rPr>
                <w:color w:val="B02045"/>
                <w:sz w:val="21"/>
              </w:rPr>
              <w:t>- resources</w:t>
            </w:r>
          </w:p>
        </w:tc>
        <w:tc>
          <w:tcPr>
            <w:tcW w:w="2494" w:type="dxa"/>
          </w:tcPr>
          <w:p w14:paraId="769CAF12" w14:textId="77777777" w:rsidR="00A720EB" w:rsidRDefault="00A720EB">
            <w:pPr>
              <w:pStyle w:val="TableParagraph"/>
              <w:spacing w:before="0"/>
              <w:ind w:left="0"/>
              <w:rPr>
                <w:rFonts w:ascii="Times New Roman"/>
                <w:sz w:val="20"/>
              </w:rPr>
            </w:pPr>
          </w:p>
        </w:tc>
        <w:tc>
          <w:tcPr>
            <w:tcW w:w="4988" w:type="dxa"/>
          </w:tcPr>
          <w:p w14:paraId="73F53C13" w14:textId="77777777" w:rsidR="00A720EB" w:rsidRDefault="0030286B">
            <w:pPr>
              <w:pStyle w:val="TableParagraph"/>
              <w:spacing w:before="28" w:line="310" w:lineRule="atLeast"/>
              <w:rPr>
                <w:rFonts w:ascii="Cambria"/>
                <w:sz w:val="21"/>
              </w:rPr>
            </w:pPr>
            <w:r>
              <w:rPr>
                <w:rFonts w:ascii="Cambria"/>
                <w:color w:val="333333"/>
                <w:w w:val="110"/>
                <w:sz w:val="21"/>
              </w:rPr>
              <w:t>Mapping resources (equivalent to "mapping-file" entries in persistence.xml).</w:t>
            </w:r>
          </w:p>
        </w:tc>
      </w:tr>
      <w:tr w:rsidR="00A720EB" w14:paraId="10CF55EB" w14:textId="77777777">
        <w:trPr>
          <w:trHeight w:val="1056"/>
        </w:trPr>
        <w:tc>
          <w:tcPr>
            <w:tcW w:w="2494" w:type="dxa"/>
          </w:tcPr>
          <w:p w14:paraId="2331F8FA" w14:textId="77777777" w:rsidR="00A720EB" w:rsidRDefault="0030286B">
            <w:pPr>
              <w:pStyle w:val="TableParagraph"/>
              <w:spacing w:before="46" w:line="230" w:lineRule="auto"/>
              <w:ind w:right="409"/>
              <w:rPr>
                <w:sz w:val="21"/>
              </w:rPr>
            </w:pPr>
            <w:proofErr w:type="gramStart"/>
            <w:r>
              <w:rPr>
                <w:color w:val="B02045"/>
                <w:sz w:val="21"/>
              </w:rPr>
              <w:t>spring.jpa.open</w:t>
            </w:r>
            <w:proofErr w:type="gramEnd"/>
            <w:r>
              <w:rPr>
                <w:color w:val="B02045"/>
                <w:sz w:val="21"/>
              </w:rPr>
              <w:t>-in- view</w:t>
            </w:r>
          </w:p>
        </w:tc>
        <w:tc>
          <w:tcPr>
            <w:tcW w:w="2494" w:type="dxa"/>
          </w:tcPr>
          <w:p w14:paraId="4F2951CE" w14:textId="77777777" w:rsidR="00A720EB" w:rsidRDefault="0030286B">
            <w:pPr>
              <w:pStyle w:val="TableParagraph"/>
              <w:spacing w:before="37"/>
              <w:rPr>
                <w:sz w:val="21"/>
              </w:rPr>
            </w:pPr>
            <w:r>
              <w:rPr>
                <w:color w:val="B02045"/>
                <w:sz w:val="21"/>
              </w:rPr>
              <w:t>true</w:t>
            </w:r>
          </w:p>
        </w:tc>
        <w:tc>
          <w:tcPr>
            <w:tcW w:w="4988" w:type="dxa"/>
          </w:tcPr>
          <w:p w14:paraId="7F343482" w14:textId="77777777" w:rsidR="00A720EB" w:rsidRDefault="0030286B">
            <w:pPr>
              <w:pStyle w:val="TableParagraph"/>
              <w:spacing w:before="28" w:line="310" w:lineRule="atLeast"/>
              <w:ind w:right="125"/>
              <w:jc w:val="both"/>
              <w:rPr>
                <w:rFonts w:ascii="Cambria"/>
                <w:sz w:val="21"/>
              </w:rPr>
            </w:pPr>
            <w:r>
              <w:rPr>
                <w:rFonts w:ascii="Cambria"/>
                <w:color w:val="333333"/>
                <w:w w:val="110"/>
                <w:sz w:val="21"/>
              </w:rPr>
              <w:t>Register OpenEntityManagerInViewInterceptor. Binds a JPA EntityManager to the thread for the entire processing of the request.</w:t>
            </w:r>
          </w:p>
        </w:tc>
      </w:tr>
      <w:tr w:rsidR="00A720EB" w14:paraId="7401B880" w14:textId="77777777">
        <w:trPr>
          <w:trHeight w:val="741"/>
        </w:trPr>
        <w:tc>
          <w:tcPr>
            <w:tcW w:w="2494" w:type="dxa"/>
          </w:tcPr>
          <w:p w14:paraId="7D1FC10E" w14:textId="77777777" w:rsidR="00A720EB" w:rsidRDefault="0030286B">
            <w:pPr>
              <w:pStyle w:val="TableParagraph"/>
              <w:spacing w:line="264" w:lineRule="exact"/>
              <w:rPr>
                <w:sz w:val="21"/>
              </w:rPr>
            </w:pPr>
            <w:proofErr w:type="gramStart"/>
            <w:r>
              <w:rPr>
                <w:color w:val="B02045"/>
                <w:sz w:val="21"/>
              </w:rPr>
              <w:t>spring.jpa.properties</w:t>
            </w:r>
            <w:proofErr w:type="gramEnd"/>
            <w:r>
              <w:rPr>
                <w:color w:val="B02045"/>
                <w:sz w:val="21"/>
              </w:rPr>
              <w:t>.</w:t>
            </w:r>
          </w:p>
          <w:p w14:paraId="463E2820" w14:textId="77777777" w:rsidR="00A720EB" w:rsidRDefault="0030286B">
            <w:pPr>
              <w:pStyle w:val="TableParagraph"/>
              <w:spacing w:before="0" w:line="264" w:lineRule="exact"/>
              <w:rPr>
                <w:sz w:val="21"/>
              </w:rPr>
            </w:pPr>
            <w:r>
              <w:rPr>
                <w:color w:val="B02045"/>
                <w:sz w:val="21"/>
              </w:rPr>
              <w:t>*</w:t>
            </w:r>
          </w:p>
        </w:tc>
        <w:tc>
          <w:tcPr>
            <w:tcW w:w="2494" w:type="dxa"/>
          </w:tcPr>
          <w:p w14:paraId="59963F25" w14:textId="77777777" w:rsidR="00A720EB" w:rsidRDefault="00A720EB">
            <w:pPr>
              <w:pStyle w:val="TableParagraph"/>
              <w:spacing w:before="0"/>
              <w:ind w:left="0"/>
              <w:rPr>
                <w:rFonts w:ascii="Times New Roman"/>
                <w:sz w:val="20"/>
              </w:rPr>
            </w:pPr>
          </w:p>
        </w:tc>
        <w:tc>
          <w:tcPr>
            <w:tcW w:w="4988" w:type="dxa"/>
          </w:tcPr>
          <w:p w14:paraId="74016161" w14:textId="77777777" w:rsidR="00A720EB" w:rsidRDefault="0030286B">
            <w:pPr>
              <w:pStyle w:val="TableParagraph"/>
              <w:spacing w:before="28" w:line="310" w:lineRule="atLeast"/>
              <w:rPr>
                <w:rFonts w:ascii="Cambria"/>
                <w:sz w:val="21"/>
              </w:rPr>
            </w:pPr>
            <w:r>
              <w:rPr>
                <w:rFonts w:ascii="Cambria"/>
                <w:color w:val="333333"/>
                <w:w w:val="110"/>
                <w:sz w:val="21"/>
              </w:rPr>
              <w:t>Additional native properties to set on the JPA provider.</w:t>
            </w:r>
          </w:p>
        </w:tc>
      </w:tr>
      <w:tr w:rsidR="00A720EB" w14:paraId="4BF512E0" w14:textId="77777777">
        <w:trPr>
          <w:trHeight w:val="425"/>
        </w:trPr>
        <w:tc>
          <w:tcPr>
            <w:tcW w:w="2494" w:type="dxa"/>
          </w:tcPr>
          <w:p w14:paraId="011006DB" w14:textId="77777777" w:rsidR="00A720EB" w:rsidRDefault="0030286B">
            <w:pPr>
              <w:pStyle w:val="TableParagraph"/>
              <w:spacing w:before="37"/>
              <w:rPr>
                <w:sz w:val="21"/>
              </w:rPr>
            </w:pPr>
            <w:proofErr w:type="gramStart"/>
            <w:r>
              <w:rPr>
                <w:color w:val="B02045"/>
                <w:sz w:val="21"/>
              </w:rPr>
              <w:t>spring.jpa.show</w:t>
            </w:r>
            <w:proofErr w:type="gramEnd"/>
            <w:r>
              <w:rPr>
                <w:color w:val="B02045"/>
                <w:sz w:val="21"/>
              </w:rPr>
              <w:t>-sql</w:t>
            </w:r>
          </w:p>
        </w:tc>
        <w:tc>
          <w:tcPr>
            <w:tcW w:w="2494" w:type="dxa"/>
          </w:tcPr>
          <w:p w14:paraId="5EE3B8E1" w14:textId="77777777" w:rsidR="00A720EB" w:rsidRDefault="0030286B">
            <w:pPr>
              <w:pStyle w:val="TableParagraph"/>
              <w:spacing w:before="37"/>
              <w:rPr>
                <w:sz w:val="21"/>
              </w:rPr>
            </w:pPr>
            <w:r>
              <w:rPr>
                <w:color w:val="B02045"/>
                <w:sz w:val="21"/>
              </w:rPr>
              <w:t>false</w:t>
            </w:r>
          </w:p>
        </w:tc>
        <w:tc>
          <w:tcPr>
            <w:tcW w:w="4988" w:type="dxa"/>
          </w:tcPr>
          <w:p w14:paraId="613867DA" w14:textId="77777777" w:rsidR="00A720EB" w:rsidRDefault="0030286B">
            <w:pPr>
              <w:pStyle w:val="TableParagraph"/>
              <w:spacing w:before="92"/>
              <w:rPr>
                <w:rFonts w:ascii="Cambria"/>
                <w:sz w:val="21"/>
              </w:rPr>
            </w:pPr>
            <w:r>
              <w:rPr>
                <w:rFonts w:ascii="Cambria"/>
                <w:color w:val="333333"/>
                <w:w w:val="110"/>
                <w:sz w:val="21"/>
              </w:rPr>
              <w:t>Whether to enable logging of SQL statements.</w:t>
            </w:r>
          </w:p>
        </w:tc>
      </w:tr>
      <w:tr w:rsidR="00A720EB" w14:paraId="17A717A2" w14:textId="77777777">
        <w:trPr>
          <w:trHeight w:val="741"/>
        </w:trPr>
        <w:tc>
          <w:tcPr>
            <w:tcW w:w="2494" w:type="dxa"/>
          </w:tcPr>
          <w:p w14:paraId="13E1FECF" w14:textId="77777777" w:rsidR="00A720EB" w:rsidRDefault="0030286B">
            <w:pPr>
              <w:pStyle w:val="TableParagraph"/>
              <w:spacing w:before="46" w:line="230" w:lineRule="auto"/>
              <w:ind w:right="94"/>
              <w:rPr>
                <w:sz w:val="21"/>
              </w:rPr>
            </w:pPr>
            <w:proofErr w:type="gramStart"/>
            <w:r>
              <w:rPr>
                <w:color w:val="B02045"/>
                <w:sz w:val="21"/>
              </w:rPr>
              <w:t>spring.mongodb</w:t>
            </w:r>
            <w:proofErr w:type="gramEnd"/>
            <w:r>
              <w:rPr>
                <w:color w:val="B02045"/>
                <w:sz w:val="21"/>
              </w:rPr>
              <w:t>.embedde d.features</w:t>
            </w:r>
          </w:p>
        </w:tc>
        <w:tc>
          <w:tcPr>
            <w:tcW w:w="2494" w:type="dxa"/>
          </w:tcPr>
          <w:p w14:paraId="5FF90019" w14:textId="77777777" w:rsidR="00A720EB" w:rsidRDefault="0030286B">
            <w:pPr>
              <w:pStyle w:val="TableParagraph"/>
              <w:spacing w:before="37"/>
              <w:rPr>
                <w:sz w:val="21"/>
              </w:rPr>
            </w:pPr>
            <w:r>
              <w:rPr>
                <w:color w:val="B02045"/>
                <w:sz w:val="21"/>
              </w:rPr>
              <w:t>[sync_delay]</w:t>
            </w:r>
          </w:p>
        </w:tc>
        <w:tc>
          <w:tcPr>
            <w:tcW w:w="4988" w:type="dxa"/>
          </w:tcPr>
          <w:p w14:paraId="6E85A20F"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features to enable. Uses the defaults of the configured version by default.</w:t>
            </w:r>
          </w:p>
        </w:tc>
      </w:tr>
      <w:tr w:rsidR="00A720EB" w14:paraId="287BC874" w14:textId="77777777">
        <w:trPr>
          <w:trHeight w:val="627"/>
        </w:trPr>
        <w:tc>
          <w:tcPr>
            <w:tcW w:w="2494" w:type="dxa"/>
          </w:tcPr>
          <w:p w14:paraId="004250D6" w14:textId="77777777" w:rsidR="00A720EB" w:rsidRDefault="0030286B">
            <w:pPr>
              <w:pStyle w:val="TableParagraph"/>
              <w:spacing w:before="46" w:line="230" w:lineRule="auto"/>
              <w:ind w:right="113"/>
              <w:rPr>
                <w:sz w:val="21"/>
              </w:rPr>
            </w:pPr>
            <w:proofErr w:type="gramStart"/>
            <w:r>
              <w:rPr>
                <w:color w:val="B02045"/>
                <w:sz w:val="21"/>
              </w:rPr>
              <w:t>spring.mongodb</w:t>
            </w:r>
            <w:proofErr w:type="gramEnd"/>
            <w:r>
              <w:rPr>
                <w:color w:val="B02045"/>
                <w:sz w:val="21"/>
              </w:rPr>
              <w:t>.embedde d.storage.database-dir</w:t>
            </w:r>
          </w:p>
        </w:tc>
        <w:tc>
          <w:tcPr>
            <w:tcW w:w="2494" w:type="dxa"/>
          </w:tcPr>
          <w:p w14:paraId="0B23D0F3" w14:textId="77777777" w:rsidR="00A720EB" w:rsidRDefault="00A720EB">
            <w:pPr>
              <w:pStyle w:val="TableParagraph"/>
              <w:spacing w:before="0"/>
              <w:ind w:left="0"/>
              <w:rPr>
                <w:rFonts w:ascii="Times New Roman"/>
                <w:sz w:val="20"/>
              </w:rPr>
            </w:pPr>
          </w:p>
        </w:tc>
        <w:tc>
          <w:tcPr>
            <w:tcW w:w="4988" w:type="dxa"/>
          </w:tcPr>
          <w:p w14:paraId="7813BE63" w14:textId="77777777" w:rsidR="00A720EB" w:rsidRDefault="0030286B">
            <w:pPr>
              <w:pStyle w:val="TableParagraph"/>
              <w:spacing w:before="92"/>
              <w:rPr>
                <w:rFonts w:ascii="Cambria"/>
                <w:sz w:val="21"/>
              </w:rPr>
            </w:pPr>
            <w:r>
              <w:rPr>
                <w:rFonts w:ascii="Cambria"/>
                <w:color w:val="333333"/>
                <w:w w:val="110"/>
                <w:sz w:val="21"/>
              </w:rPr>
              <w:t>Directory used for data storage.</w:t>
            </w:r>
          </w:p>
        </w:tc>
      </w:tr>
      <w:tr w:rsidR="00A720EB" w14:paraId="0B33002B" w14:textId="77777777">
        <w:trPr>
          <w:trHeight w:val="627"/>
        </w:trPr>
        <w:tc>
          <w:tcPr>
            <w:tcW w:w="2494" w:type="dxa"/>
          </w:tcPr>
          <w:p w14:paraId="2FC5D572" w14:textId="77777777" w:rsidR="00A720EB" w:rsidRDefault="0030286B">
            <w:pPr>
              <w:pStyle w:val="TableParagraph"/>
              <w:spacing w:before="46" w:line="230" w:lineRule="auto"/>
              <w:ind w:right="113"/>
              <w:rPr>
                <w:sz w:val="21"/>
              </w:rPr>
            </w:pPr>
            <w:proofErr w:type="gramStart"/>
            <w:r>
              <w:rPr>
                <w:color w:val="B02045"/>
                <w:sz w:val="21"/>
              </w:rPr>
              <w:t>spring.mongodb</w:t>
            </w:r>
            <w:proofErr w:type="gramEnd"/>
            <w:r>
              <w:rPr>
                <w:color w:val="B02045"/>
                <w:sz w:val="21"/>
              </w:rPr>
              <w:t>.embedde d.storage.oplog-size</w:t>
            </w:r>
          </w:p>
        </w:tc>
        <w:tc>
          <w:tcPr>
            <w:tcW w:w="2494" w:type="dxa"/>
          </w:tcPr>
          <w:p w14:paraId="539A3EF2" w14:textId="77777777" w:rsidR="00A720EB" w:rsidRDefault="00A720EB">
            <w:pPr>
              <w:pStyle w:val="TableParagraph"/>
              <w:spacing w:before="0"/>
              <w:ind w:left="0"/>
              <w:rPr>
                <w:rFonts w:ascii="Times New Roman"/>
                <w:sz w:val="20"/>
              </w:rPr>
            </w:pPr>
          </w:p>
        </w:tc>
        <w:tc>
          <w:tcPr>
            <w:tcW w:w="4988" w:type="dxa"/>
          </w:tcPr>
          <w:p w14:paraId="5F6D9D28" w14:textId="77777777" w:rsidR="00A720EB" w:rsidRDefault="0030286B">
            <w:pPr>
              <w:pStyle w:val="TableParagraph"/>
              <w:spacing w:before="92"/>
              <w:rPr>
                <w:rFonts w:ascii="Cambria"/>
                <w:sz w:val="21"/>
              </w:rPr>
            </w:pPr>
            <w:r>
              <w:rPr>
                <w:rFonts w:ascii="Cambria"/>
                <w:color w:val="333333"/>
                <w:w w:val="110"/>
                <w:sz w:val="21"/>
              </w:rPr>
              <w:t>Maximum size of the oplog.</w:t>
            </w:r>
          </w:p>
        </w:tc>
      </w:tr>
      <w:tr w:rsidR="00A720EB" w14:paraId="25254AEA" w14:textId="77777777">
        <w:trPr>
          <w:trHeight w:val="886"/>
        </w:trPr>
        <w:tc>
          <w:tcPr>
            <w:tcW w:w="2494" w:type="dxa"/>
          </w:tcPr>
          <w:p w14:paraId="3E9A3608" w14:textId="77777777" w:rsidR="00A720EB" w:rsidRDefault="0030286B">
            <w:pPr>
              <w:pStyle w:val="TableParagraph"/>
              <w:spacing w:before="46" w:line="230" w:lineRule="auto"/>
              <w:ind w:right="113"/>
              <w:rPr>
                <w:sz w:val="21"/>
              </w:rPr>
            </w:pPr>
            <w:proofErr w:type="gramStart"/>
            <w:r>
              <w:rPr>
                <w:color w:val="B02045"/>
                <w:sz w:val="21"/>
              </w:rPr>
              <w:lastRenderedPageBreak/>
              <w:t>spring.mongodb</w:t>
            </w:r>
            <w:proofErr w:type="gramEnd"/>
            <w:r>
              <w:rPr>
                <w:color w:val="B02045"/>
                <w:sz w:val="21"/>
              </w:rPr>
              <w:t>.embedde d.storage.repl-set- name</w:t>
            </w:r>
          </w:p>
        </w:tc>
        <w:tc>
          <w:tcPr>
            <w:tcW w:w="2494" w:type="dxa"/>
          </w:tcPr>
          <w:p w14:paraId="3D17A487" w14:textId="77777777" w:rsidR="00A720EB" w:rsidRDefault="00A720EB">
            <w:pPr>
              <w:pStyle w:val="TableParagraph"/>
              <w:spacing w:before="0"/>
              <w:ind w:left="0"/>
              <w:rPr>
                <w:rFonts w:ascii="Times New Roman"/>
                <w:sz w:val="20"/>
              </w:rPr>
            </w:pPr>
          </w:p>
        </w:tc>
        <w:tc>
          <w:tcPr>
            <w:tcW w:w="4988" w:type="dxa"/>
          </w:tcPr>
          <w:p w14:paraId="4F0F9DCB" w14:textId="77777777" w:rsidR="00A720EB" w:rsidRDefault="0030286B">
            <w:pPr>
              <w:pStyle w:val="TableParagraph"/>
              <w:spacing w:before="92"/>
              <w:rPr>
                <w:rFonts w:ascii="Cambria"/>
                <w:sz w:val="21"/>
              </w:rPr>
            </w:pPr>
            <w:r>
              <w:rPr>
                <w:rFonts w:ascii="Cambria"/>
                <w:color w:val="333333"/>
                <w:w w:val="110"/>
                <w:sz w:val="21"/>
              </w:rPr>
              <w:t>Name of the replica set.</w:t>
            </w:r>
          </w:p>
        </w:tc>
      </w:tr>
    </w:tbl>
    <w:p w14:paraId="22B7C881" w14:textId="77777777" w:rsidR="00A720EB" w:rsidRDefault="00A720EB">
      <w:pPr>
        <w:pStyle w:val="a3"/>
        <w:rPr>
          <w:rFonts w:ascii="Palatino Linotype"/>
          <w:b/>
          <w:sz w:val="20"/>
        </w:rPr>
      </w:pPr>
    </w:p>
    <w:p w14:paraId="7F93BA00" w14:textId="77777777" w:rsidR="00A720EB" w:rsidRDefault="00A720EB">
      <w:pPr>
        <w:pStyle w:val="a3"/>
        <w:rPr>
          <w:rFonts w:ascii="Palatino Linotype"/>
          <w:b/>
          <w:sz w:val="20"/>
        </w:rPr>
      </w:pPr>
    </w:p>
    <w:p w14:paraId="61539A98" w14:textId="77777777" w:rsidR="00A720EB" w:rsidRDefault="00E10349">
      <w:pPr>
        <w:pStyle w:val="a3"/>
        <w:spacing w:before="4"/>
        <w:rPr>
          <w:rFonts w:ascii="Palatino Linotype"/>
          <w:b/>
        </w:rPr>
      </w:pPr>
      <w:r>
        <w:pict w14:anchorId="24B4587C">
          <v:shape id="_x0000_s1180" style="position:absolute;margin-left:48.25pt;margin-top:16.45pt;width:498.8pt;height:.1pt;z-index:-15024640;mso-wrap-distance-left:0;mso-wrap-distance-right:0;mso-position-horizontal-relative:page" coordorigin="965,329" coordsize="9976,0" path="m965,329r9976,e" filled="f" strokecolor="#ddd" strokeweight=".25pt">
            <v:path arrowok="t"/>
            <w10:wrap type="topAndBottom" anchorx="page"/>
          </v:shape>
        </w:pict>
      </w:r>
    </w:p>
    <w:p w14:paraId="5F5E9827" w14:textId="77777777" w:rsidR="00A720EB" w:rsidRDefault="00A720EB">
      <w:pPr>
        <w:rPr>
          <w:rFonts w:ascii="Palatino Linotype"/>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1DCE9C0A" w14:textId="77777777">
        <w:trPr>
          <w:trHeight w:val="415"/>
        </w:trPr>
        <w:tc>
          <w:tcPr>
            <w:tcW w:w="2494" w:type="dxa"/>
            <w:tcBorders>
              <w:bottom w:val="single" w:sz="12" w:space="0" w:color="DDDDDD"/>
            </w:tcBorders>
          </w:tcPr>
          <w:p w14:paraId="4AFFEF54"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578D3737"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F8C20A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E7DF31D" w14:textId="77777777">
        <w:trPr>
          <w:trHeight w:val="617"/>
        </w:trPr>
        <w:tc>
          <w:tcPr>
            <w:tcW w:w="2494" w:type="dxa"/>
            <w:tcBorders>
              <w:top w:val="single" w:sz="12" w:space="0" w:color="DDDDDD"/>
            </w:tcBorders>
          </w:tcPr>
          <w:p w14:paraId="1A44E388" w14:textId="77777777" w:rsidR="00A720EB" w:rsidRDefault="0030286B">
            <w:pPr>
              <w:pStyle w:val="TableParagraph"/>
              <w:spacing w:before="36" w:line="230" w:lineRule="auto"/>
              <w:ind w:right="94"/>
              <w:rPr>
                <w:sz w:val="21"/>
              </w:rPr>
            </w:pPr>
            <w:proofErr w:type="gramStart"/>
            <w:r>
              <w:rPr>
                <w:color w:val="B02045"/>
                <w:sz w:val="21"/>
              </w:rPr>
              <w:t>spring.mongodb</w:t>
            </w:r>
            <w:proofErr w:type="gramEnd"/>
            <w:r>
              <w:rPr>
                <w:color w:val="B02045"/>
                <w:sz w:val="21"/>
              </w:rPr>
              <w:t>.embedde d.version</w:t>
            </w:r>
          </w:p>
        </w:tc>
        <w:tc>
          <w:tcPr>
            <w:tcW w:w="2494" w:type="dxa"/>
            <w:tcBorders>
              <w:top w:val="single" w:sz="12" w:space="0" w:color="DDDDDD"/>
            </w:tcBorders>
          </w:tcPr>
          <w:p w14:paraId="5FD99F36" w14:textId="77777777" w:rsidR="00A720EB" w:rsidRDefault="0030286B">
            <w:pPr>
              <w:pStyle w:val="TableParagraph"/>
              <w:spacing w:before="27"/>
              <w:rPr>
                <w:sz w:val="21"/>
              </w:rPr>
            </w:pPr>
            <w:r>
              <w:rPr>
                <w:color w:val="B02045"/>
                <w:sz w:val="21"/>
              </w:rPr>
              <w:t>3.5.5</w:t>
            </w:r>
          </w:p>
        </w:tc>
        <w:tc>
          <w:tcPr>
            <w:tcW w:w="4988" w:type="dxa"/>
            <w:tcBorders>
              <w:top w:val="single" w:sz="12" w:space="0" w:color="DDDDDD"/>
            </w:tcBorders>
          </w:tcPr>
          <w:p w14:paraId="3ABDCD68" w14:textId="77777777" w:rsidR="00A720EB" w:rsidRDefault="0030286B">
            <w:pPr>
              <w:pStyle w:val="TableParagraph"/>
              <w:spacing w:before="82"/>
              <w:rPr>
                <w:rFonts w:ascii="Cambria"/>
                <w:sz w:val="21"/>
              </w:rPr>
            </w:pPr>
            <w:r>
              <w:rPr>
                <w:rFonts w:ascii="Cambria"/>
                <w:color w:val="333333"/>
                <w:w w:val="110"/>
                <w:sz w:val="21"/>
              </w:rPr>
              <w:t>Version of Mongo to use.</w:t>
            </w:r>
          </w:p>
        </w:tc>
      </w:tr>
      <w:tr w:rsidR="00A720EB" w14:paraId="190CF92B" w14:textId="77777777">
        <w:trPr>
          <w:trHeight w:val="741"/>
        </w:trPr>
        <w:tc>
          <w:tcPr>
            <w:tcW w:w="2494" w:type="dxa"/>
          </w:tcPr>
          <w:p w14:paraId="60E45B54" w14:textId="77777777" w:rsidR="00A720EB" w:rsidRDefault="0030286B">
            <w:pPr>
              <w:pStyle w:val="TableParagraph"/>
              <w:spacing w:before="46" w:line="230" w:lineRule="auto"/>
              <w:ind w:right="113"/>
              <w:rPr>
                <w:sz w:val="21"/>
              </w:rPr>
            </w:pPr>
            <w:proofErr w:type="gramStart"/>
            <w:r>
              <w:rPr>
                <w:color w:val="B02045"/>
                <w:sz w:val="21"/>
              </w:rPr>
              <w:t>spring.r2dbc.generate</w:t>
            </w:r>
            <w:proofErr w:type="gramEnd"/>
            <w:r>
              <w:rPr>
                <w:color w:val="B02045"/>
                <w:sz w:val="21"/>
              </w:rPr>
              <w:t>- unique-name</w:t>
            </w:r>
          </w:p>
        </w:tc>
        <w:tc>
          <w:tcPr>
            <w:tcW w:w="2494" w:type="dxa"/>
          </w:tcPr>
          <w:p w14:paraId="33907D68" w14:textId="77777777" w:rsidR="00A720EB" w:rsidRDefault="0030286B">
            <w:pPr>
              <w:pStyle w:val="TableParagraph"/>
              <w:spacing w:before="37"/>
              <w:rPr>
                <w:sz w:val="21"/>
              </w:rPr>
            </w:pPr>
            <w:r>
              <w:rPr>
                <w:color w:val="B02045"/>
                <w:sz w:val="21"/>
              </w:rPr>
              <w:t>false</w:t>
            </w:r>
          </w:p>
        </w:tc>
        <w:tc>
          <w:tcPr>
            <w:tcW w:w="4988" w:type="dxa"/>
          </w:tcPr>
          <w:p w14:paraId="4927DB18" w14:textId="77777777" w:rsidR="00A720EB" w:rsidRDefault="0030286B">
            <w:pPr>
              <w:pStyle w:val="TableParagraph"/>
              <w:spacing w:before="28" w:line="310" w:lineRule="atLeast"/>
              <w:ind w:right="216"/>
              <w:rPr>
                <w:rFonts w:ascii="Cambria"/>
                <w:sz w:val="21"/>
              </w:rPr>
            </w:pPr>
            <w:r>
              <w:rPr>
                <w:rFonts w:ascii="Cambria"/>
                <w:color w:val="333333"/>
                <w:w w:val="115"/>
                <w:sz w:val="21"/>
              </w:rPr>
              <w:t>Whether</w:t>
            </w:r>
            <w:r>
              <w:rPr>
                <w:rFonts w:ascii="Cambria"/>
                <w:color w:val="333333"/>
                <w:spacing w:val="-23"/>
                <w:w w:val="115"/>
                <w:sz w:val="21"/>
              </w:rPr>
              <w:t xml:space="preserve"> </w:t>
            </w:r>
            <w:r>
              <w:rPr>
                <w:rFonts w:ascii="Cambria"/>
                <w:color w:val="333333"/>
                <w:w w:val="115"/>
                <w:sz w:val="21"/>
              </w:rPr>
              <w:t>to</w:t>
            </w:r>
            <w:r>
              <w:rPr>
                <w:rFonts w:ascii="Cambria"/>
                <w:color w:val="333333"/>
                <w:spacing w:val="-23"/>
                <w:w w:val="115"/>
                <w:sz w:val="21"/>
              </w:rPr>
              <w:t xml:space="preserve"> </w:t>
            </w:r>
            <w:r>
              <w:rPr>
                <w:rFonts w:ascii="Cambria"/>
                <w:color w:val="333333"/>
                <w:w w:val="115"/>
                <w:sz w:val="21"/>
              </w:rPr>
              <w:t>generate</w:t>
            </w:r>
            <w:r>
              <w:rPr>
                <w:rFonts w:ascii="Cambria"/>
                <w:color w:val="333333"/>
                <w:spacing w:val="-23"/>
                <w:w w:val="115"/>
                <w:sz w:val="21"/>
              </w:rPr>
              <w:t xml:space="preserve"> </w:t>
            </w:r>
            <w:r>
              <w:rPr>
                <w:rFonts w:ascii="Cambria"/>
                <w:color w:val="333333"/>
                <w:w w:val="115"/>
                <w:sz w:val="21"/>
              </w:rPr>
              <w:t>a</w:t>
            </w:r>
            <w:r>
              <w:rPr>
                <w:rFonts w:ascii="Cambria"/>
                <w:color w:val="333333"/>
                <w:spacing w:val="-23"/>
                <w:w w:val="115"/>
                <w:sz w:val="21"/>
              </w:rPr>
              <w:t xml:space="preserve"> </w:t>
            </w:r>
            <w:r>
              <w:rPr>
                <w:rFonts w:ascii="Cambria"/>
                <w:color w:val="333333"/>
                <w:w w:val="115"/>
                <w:sz w:val="21"/>
              </w:rPr>
              <w:t>random</w:t>
            </w:r>
            <w:r>
              <w:rPr>
                <w:rFonts w:ascii="Cambria"/>
                <w:color w:val="333333"/>
                <w:spacing w:val="-23"/>
                <w:w w:val="115"/>
                <w:sz w:val="21"/>
              </w:rPr>
              <w:t xml:space="preserve"> </w:t>
            </w:r>
            <w:r>
              <w:rPr>
                <w:rFonts w:ascii="Cambria"/>
                <w:color w:val="333333"/>
                <w:w w:val="115"/>
                <w:sz w:val="21"/>
              </w:rPr>
              <w:t>database</w:t>
            </w:r>
            <w:r>
              <w:rPr>
                <w:rFonts w:ascii="Cambria"/>
                <w:color w:val="333333"/>
                <w:spacing w:val="-23"/>
                <w:w w:val="115"/>
                <w:sz w:val="21"/>
              </w:rPr>
              <w:t xml:space="preserve"> </w:t>
            </w:r>
            <w:r>
              <w:rPr>
                <w:rFonts w:ascii="Cambria"/>
                <w:color w:val="333333"/>
                <w:w w:val="115"/>
                <w:sz w:val="21"/>
              </w:rPr>
              <w:t>name. Ignore</w:t>
            </w:r>
            <w:r>
              <w:rPr>
                <w:rFonts w:ascii="Cambria"/>
                <w:color w:val="333333"/>
                <w:spacing w:val="-9"/>
                <w:w w:val="115"/>
                <w:sz w:val="21"/>
              </w:rPr>
              <w:t xml:space="preserve"> </w:t>
            </w:r>
            <w:r>
              <w:rPr>
                <w:rFonts w:ascii="Cambria"/>
                <w:color w:val="333333"/>
                <w:w w:val="115"/>
                <w:sz w:val="21"/>
              </w:rPr>
              <w:t>any</w:t>
            </w:r>
            <w:r>
              <w:rPr>
                <w:rFonts w:ascii="Cambria"/>
                <w:color w:val="333333"/>
                <w:spacing w:val="-9"/>
                <w:w w:val="115"/>
                <w:sz w:val="21"/>
              </w:rPr>
              <w:t xml:space="preserve"> </w:t>
            </w:r>
            <w:r>
              <w:rPr>
                <w:rFonts w:ascii="Cambria"/>
                <w:color w:val="333333"/>
                <w:w w:val="115"/>
                <w:sz w:val="21"/>
              </w:rPr>
              <w:t>configured</w:t>
            </w:r>
            <w:r>
              <w:rPr>
                <w:rFonts w:ascii="Cambria"/>
                <w:color w:val="333333"/>
                <w:spacing w:val="-9"/>
                <w:w w:val="115"/>
                <w:sz w:val="21"/>
              </w:rPr>
              <w:t xml:space="preserve"> </w:t>
            </w:r>
            <w:r>
              <w:rPr>
                <w:rFonts w:ascii="Cambria"/>
                <w:color w:val="333333"/>
                <w:w w:val="115"/>
                <w:sz w:val="21"/>
              </w:rPr>
              <w:t>name</w:t>
            </w:r>
            <w:r>
              <w:rPr>
                <w:rFonts w:ascii="Cambria"/>
                <w:color w:val="333333"/>
                <w:spacing w:val="-8"/>
                <w:w w:val="115"/>
                <w:sz w:val="21"/>
              </w:rPr>
              <w:t xml:space="preserve"> </w:t>
            </w:r>
            <w:r>
              <w:rPr>
                <w:rFonts w:ascii="Cambria"/>
                <w:color w:val="333333"/>
                <w:w w:val="115"/>
                <w:sz w:val="21"/>
              </w:rPr>
              <w:t>when</w:t>
            </w:r>
            <w:r>
              <w:rPr>
                <w:rFonts w:ascii="Cambria"/>
                <w:color w:val="333333"/>
                <w:spacing w:val="-9"/>
                <w:w w:val="115"/>
                <w:sz w:val="21"/>
              </w:rPr>
              <w:t xml:space="preserve"> </w:t>
            </w:r>
            <w:r>
              <w:rPr>
                <w:rFonts w:ascii="Cambria"/>
                <w:color w:val="333333"/>
                <w:w w:val="115"/>
                <w:sz w:val="21"/>
              </w:rPr>
              <w:t>enabled.</w:t>
            </w:r>
          </w:p>
        </w:tc>
      </w:tr>
      <w:tr w:rsidR="00A720EB" w14:paraId="4A94E41E" w14:textId="77777777">
        <w:trPr>
          <w:trHeight w:val="1056"/>
        </w:trPr>
        <w:tc>
          <w:tcPr>
            <w:tcW w:w="2494" w:type="dxa"/>
          </w:tcPr>
          <w:p w14:paraId="21BFAB1C" w14:textId="77777777" w:rsidR="00A720EB" w:rsidRDefault="0030286B">
            <w:pPr>
              <w:pStyle w:val="TableParagraph"/>
              <w:spacing w:before="37"/>
              <w:rPr>
                <w:sz w:val="21"/>
              </w:rPr>
            </w:pPr>
            <w:r>
              <w:rPr>
                <w:color w:val="B02045"/>
                <w:sz w:val="21"/>
              </w:rPr>
              <w:t>spring.r2dbc.name</w:t>
            </w:r>
          </w:p>
        </w:tc>
        <w:tc>
          <w:tcPr>
            <w:tcW w:w="2494" w:type="dxa"/>
          </w:tcPr>
          <w:p w14:paraId="51140565" w14:textId="77777777" w:rsidR="00A720EB" w:rsidRDefault="00A720EB">
            <w:pPr>
              <w:pStyle w:val="TableParagraph"/>
              <w:spacing w:before="0"/>
              <w:ind w:left="0"/>
              <w:rPr>
                <w:rFonts w:ascii="Times New Roman"/>
                <w:sz w:val="20"/>
              </w:rPr>
            </w:pPr>
          </w:p>
        </w:tc>
        <w:tc>
          <w:tcPr>
            <w:tcW w:w="4988" w:type="dxa"/>
          </w:tcPr>
          <w:p w14:paraId="081FE4B0" w14:textId="77777777" w:rsidR="00A720EB" w:rsidRDefault="0030286B">
            <w:pPr>
              <w:pStyle w:val="TableParagraph"/>
              <w:spacing w:before="28" w:line="310" w:lineRule="atLeast"/>
              <w:ind w:right="53"/>
              <w:jc w:val="both"/>
              <w:rPr>
                <w:rFonts w:ascii="Cambria"/>
                <w:sz w:val="21"/>
              </w:rPr>
            </w:pPr>
            <w:r>
              <w:rPr>
                <w:rFonts w:ascii="Cambria"/>
                <w:color w:val="333333"/>
                <w:w w:val="110"/>
                <w:sz w:val="21"/>
              </w:rPr>
              <w:t>Database name. Set if no name is specified in the url. Default to "testdb" when using an embedded database.</w:t>
            </w:r>
          </w:p>
        </w:tc>
      </w:tr>
      <w:tr w:rsidR="00A720EB" w14:paraId="5B9BDE00" w14:textId="77777777">
        <w:trPr>
          <w:trHeight w:val="741"/>
        </w:trPr>
        <w:tc>
          <w:tcPr>
            <w:tcW w:w="2494" w:type="dxa"/>
          </w:tcPr>
          <w:p w14:paraId="4D0024DF" w14:textId="77777777" w:rsidR="00A720EB" w:rsidRDefault="0030286B">
            <w:pPr>
              <w:pStyle w:val="TableParagraph"/>
              <w:rPr>
                <w:sz w:val="21"/>
              </w:rPr>
            </w:pPr>
            <w:proofErr w:type="gramStart"/>
            <w:r>
              <w:rPr>
                <w:color w:val="B02045"/>
                <w:sz w:val="21"/>
              </w:rPr>
              <w:t>spring.r2dbc.password</w:t>
            </w:r>
            <w:proofErr w:type="gramEnd"/>
          </w:p>
        </w:tc>
        <w:tc>
          <w:tcPr>
            <w:tcW w:w="2494" w:type="dxa"/>
          </w:tcPr>
          <w:p w14:paraId="19934DEA" w14:textId="77777777" w:rsidR="00A720EB" w:rsidRDefault="00A720EB">
            <w:pPr>
              <w:pStyle w:val="TableParagraph"/>
              <w:spacing w:before="0"/>
              <w:ind w:left="0"/>
              <w:rPr>
                <w:rFonts w:ascii="Times New Roman"/>
                <w:sz w:val="20"/>
              </w:rPr>
            </w:pPr>
          </w:p>
        </w:tc>
        <w:tc>
          <w:tcPr>
            <w:tcW w:w="4988" w:type="dxa"/>
          </w:tcPr>
          <w:p w14:paraId="4320C7C0" w14:textId="77777777" w:rsidR="00A720EB" w:rsidRDefault="0030286B">
            <w:pPr>
              <w:pStyle w:val="TableParagraph"/>
              <w:spacing w:before="28" w:line="310" w:lineRule="atLeast"/>
              <w:rPr>
                <w:rFonts w:ascii="Cambria"/>
                <w:sz w:val="21"/>
              </w:rPr>
            </w:pPr>
            <w:r>
              <w:rPr>
                <w:rFonts w:ascii="Cambria"/>
                <w:color w:val="333333"/>
                <w:w w:val="110"/>
                <w:sz w:val="21"/>
              </w:rPr>
              <w:t>Login password of the database. Set if no password is specified in the url.</w:t>
            </w:r>
          </w:p>
        </w:tc>
      </w:tr>
      <w:tr w:rsidR="00A720EB" w14:paraId="12D43EFD" w14:textId="77777777">
        <w:trPr>
          <w:trHeight w:val="741"/>
        </w:trPr>
        <w:tc>
          <w:tcPr>
            <w:tcW w:w="2494" w:type="dxa"/>
          </w:tcPr>
          <w:p w14:paraId="05A08A42" w14:textId="77777777" w:rsidR="00A720EB" w:rsidRDefault="0030286B">
            <w:pPr>
              <w:pStyle w:val="TableParagraph"/>
              <w:spacing w:before="46" w:line="230" w:lineRule="auto"/>
              <w:ind w:right="94"/>
              <w:rPr>
                <w:sz w:val="21"/>
              </w:rPr>
            </w:pPr>
            <w:proofErr w:type="gramStart"/>
            <w:r>
              <w:rPr>
                <w:color w:val="B02045"/>
                <w:sz w:val="21"/>
              </w:rPr>
              <w:t>spring.r2dbc.pool</w:t>
            </w:r>
            <w:proofErr w:type="gramEnd"/>
            <w:r>
              <w:rPr>
                <w:color w:val="B02045"/>
                <w:sz w:val="21"/>
              </w:rPr>
              <w:t>.enab led</w:t>
            </w:r>
          </w:p>
        </w:tc>
        <w:tc>
          <w:tcPr>
            <w:tcW w:w="2494" w:type="dxa"/>
          </w:tcPr>
          <w:p w14:paraId="7AE4BACC" w14:textId="77777777" w:rsidR="00A720EB" w:rsidRDefault="00A720EB">
            <w:pPr>
              <w:pStyle w:val="TableParagraph"/>
              <w:spacing w:before="0"/>
              <w:ind w:left="0"/>
              <w:rPr>
                <w:rFonts w:ascii="Times New Roman"/>
                <w:sz w:val="20"/>
              </w:rPr>
            </w:pPr>
          </w:p>
        </w:tc>
        <w:tc>
          <w:tcPr>
            <w:tcW w:w="4988" w:type="dxa"/>
          </w:tcPr>
          <w:p w14:paraId="33DF267C" w14:textId="77777777" w:rsidR="00A720EB" w:rsidRDefault="0030286B">
            <w:pPr>
              <w:pStyle w:val="TableParagraph"/>
              <w:spacing w:before="28" w:line="310" w:lineRule="atLeast"/>
              <w:rPr>
                <w:rFonts w:ascii="Cambria"/>
                <w:sz w:val="21"/>
              </w:rPr>
            </w:pPr>
            <w:r>
              <w:rPr>
                <w:rFonts w:ascii="Cambria"/>
                <w:color w:val="333333"/>
                <w:w w:val="110"/>
                <w:sz w:val="21"/>
              </w:rPr>
              <w:t>Whether pooling is enabled. Enabled automatically if "r2dbc-pool" is on the classpath.</w:t>
            </w:r>
          </w:p>
        </w:tc>
      </w:tr>
      <w:tr w:rsidR="00A720EB" w14:paraId="7393C739" w14:textId="77777777">
        <w:trPr>
          <w:trHeight w:val="627"/>
        </w:trPr>
        <w:tc>
          <w:tcPr>
            <w:tcW w:w="2494" w:type="dxa"/>
          </w:tcPr>
          <w:p w14:paraId="73811E83" w14:textId="77777777" w:rsidR="00A720EB" w:rsidRDefault="0030286B">
            <w:pPr>
              <w:pStyle w:val="TableParagraph"/>
              <w:spacing w:before="46" w:line="230" w:lineRule="auto"/>
              <w:ind w:right="113"/>
              <w:rPr>
                <w:sz w:val="21"/>
              </w:rPr>
            </w:pPr>
            <w:proofErr w:type="gramStart"/>
            <w:r>
              <w:rPr>
                <w:color w:val="B02045"/>
                <w:sz w:val="21"/>
              </w:rPr>
              <w:t>spring.r2dbc.pool</w:t>
            </w:r>
            <w:proofErr w:type="gramEnd"/>
            <w:r>
              <w:rPr>
                <w:color w:val="B02045"/>
                <w:sz w:val="21"/>
              </w:rPr>
              <w:t>.init ial-size</w:t>
            </w:r>
          </w:p>
        </w:tc>
        <w:tc>
          <w:tcPr>
            <w:tcW w:w="2494" w:type="dxa"/>
          </w:tcPr>
          <w:p w14:paraId="3B7C870B" w14:textId="77777777" w:rsidR="00A720EB" w:rsidRDefault="0030286B">
            <w:pPr>
              <w:pStyle w:val="TableParagraph"/>
              <w:rPr>
                <w:sz w:val="21"/>
              </w:rPr>
            </w:pPr>
            <w:r>
              <w:rPr>
                <w:color w:val="B02045"/>
                <w:sz w:val="21"/>
              </w:rPr>
              <w:t>10.0</w:t>
            </w:r>
          </w:p>
        </w:tc>
        <w:tc>
          <w:tcPr>
            <w:tcW w:w="4988" w:type="dxa"/>
          </w:tcPr>
          <w:p w14:paraId="335589CA" w14:textId="77777777" w:rsidR="00A720EB" w:rsidRDefault="0030286B">
            <w:pPr>
              <w:pStyle w:val="TableParagraph"/>
              <w:spacing w:before="92"/>
              <w:rPr>
                <w:rFonts w:ascii="Cambria"/>
                <w:sz w:val="21"/>
              </w:rPr>
            </w:pPr>
            <w:r>
              <w:rPr>
                <w:rFonts w:ascii="Cambria"/>
                <w:color w:val="333333"/>
                <w:w w:val="110"/>
                <w:sz w:val="21"/>
              </w:rPr>
              <w:t>Initial connection pool size.</w:t>
            </w:r>
          </w:p>
        </w:tc>
      </w:tr>
      <w:tr w:rsidR="00A720EB" w14:paraId="61A56678" w14:textId="77777777">
        <w:trPr>
          <w:trHeight w:val="741"/>
        </w:trPr>
        <w:tc>
          <w:tcPr>
            <w:tcW w:w="2494" w:type="dxa"/>
          </w:tcPr>
          <w:p w14:paraId="074EC26F" w14:textId="77777777" w:rsidR="00A720EB" w:rsidRDefault="0030286B">
            <w:pPr>
              <w:pStyle w:val="TableParagraph"/>
              <w:spacing w:before="46" w:line="230" w:lineRule="auto"/>
              <w:ind w:right="113"/>
              <w:rPr>
                <w:sz w:val="21"/>
              </w:rPr>
            </w:pPr>
            <w:r>
              <w:rPr>
                <w:color w:val="B02045"/>
                <w:sz w:val="21"/>
              </w:rPr>
              <w:t>spring.r2dbc.pool.max- idle-time</w:t>
            </w:r>
          </w:p>
        </w:tc>
        <w:tc>
          <w:tcPr>
            <w:tcW w:w="2494" w:type="dxa"/>
          </w:tcPr>
          <w:p w14:paraId="7385BF03" w14:textId="77777777" w:rsidR="00A720EB" w:rsidRDefault="0030286B">
            <w:pPr>
              <w:pStyle w:val="TableParagraph"/>
              <w:spacing w:before="37"/>
              <w:rPr>
                <w:sz w:val="21"/>
              </w:rPr>
            </w:pPr>
            <w:r>
              <w:rPr>
                <w:color w:val="B02045"/>
                <w:sz w:val="21"/>
              </w:rPr>
              <w:t>30m</w:t>
            </w:r>
          </w:p>
        </w:tc>
        <w:tc>
          <w:tcPr>
            <w:tcW w:w="4988" w:type="dxa"/>
          </w:tcPr>
          <w:p w14:paraId="6CFDDA1C" w14:textId="77777777" w:rsidR="00A720EB" w:rsidRDefault="0030286B">
            <w:pPr>
              <w:pStyle w:val="TableParagraph"/>
              <w:spacing w:before="28" w:line="310" w:lineRule="atLeast"/>
              <w:rPr>
                <w:rFonts w:ascii="Cambria"/>
                <w:sz w:val="21"/>
              </w:rPr>
            </w:pPr>
            <w:r>
              <w:rPr>
                <w:rFonts w:ascii="Cambria"/>
                <w:color w:val="333333"/>
                <w:w w:val="110"/>
                <w:sz w:val="21"/>
              </w:rPr>
              <w:t>Maximum amount of time that a connection is allowed to sit idle in the pool.</w:t>
            </w:r>
          </w:p>
        </w:tc>
      </w:tr>
      <w:tr w:rsidR="00A720EB" w14:paraId="5CA1BFAE" w14:textId="77777777">
        <w:trPr>
          <w:trHeight w:val="627"/>
        </w:trPr>
        <w:tc>
          <w:tcPr>
            <w:tcW w:w="2494" w:type="dxa"/>
          </w:tcPr>
          <w:p w14:paraId="21590501" w14:textId="77777777" w:rsidR="00A720EB" w:rsidRDefault="0030286B">
            <w:pPr>
              <w:pStyle w:val="TableParagraph"/>
              <w:spacing w:before="46" w:line="230" w:lineRule="auto"/>
              <w:ind w:right="94"/>
              <w:rPr>
                <w:sz w:val="21"/>
              </w:rPr>
            </w:pPr>
            <w:r>
              <w:rPr>
                <w:color w:val="B02045"/>
                <w:sz w:val="21"/>
              </w:rPr>
              <w:t>spring.r2dbc.pool.max- size</w:t>
            </w:r>
          </w:p>
        </w:tc>
        <w:tc>
          <w:tcPr>
            <w:tcW w:w="2494" w:type="dxa"/>
          </w:tcPr>
          <w:p w14:paraId="6F21B10E" w14:textId="77777777" w:rsidR="00A720EB" w:rsidRDefault="0030286B">
            <w:pPr>
              <w:pStyle w:val="TableParagraph"/>
              <w:spacing w:before="37"/>
              <w:rPr>
                <w:sz w:val="21"/>
              </w:rPr>
            </w:pPr>
            <w:r>
              <w:rPr>
                <w:color w:val="B02045"/>
                <w:sz w:val="21"/>
              </w:rPr>
              <w:t>10.0</w:t>
            </w:r>
          </w:p>
        </w:tc>
        <w:tc>
          <w:tcPr>
            <w:tcW w:w="4988" w:type="dxa"/>
          </w:tcPr>
          <w:p w14:paraId="7A92610A" w14:textId="77777777" w:rsidR="00A720EB" w:rsidRDefault="0030286B">
            <w:pPr>
              <w:pStyle w:val="TableParagraph"/>
              <w:spacing w:before="92"/>
              <w:rPr>
                <w:rFonts w:ascii="Cambria"/>
                <w:sz w:val="21"/>
              </w:rPr>
            </w:pPr>
            <w:r>
              <w:rPr>
                <w:rFonts w:ascii="Cambria"/>
                <w:color w:val="333333"/>
                <w:w w:val="110"/>
                <w:sz w:val="21"/>
              </w:rPr>
              <w:t>Maximal connection pool size.</w:t>
            </w:r>
          </w:p>
        </w:tc>
      </w:tr>
      <w:tr w:rsidR="00A720EB" w14:paraId="6845DBA2" w14:textId="77777777">
        <w:trPr>
          <w:trHeight w:val="627"/>
        </w:trPr>
        <w:tc>
          <w:tcPr>
            <w:tcW w:w="2494" w:type="dxa"/>
          </w:tcPr>
          <w:p w14:paraId="44436A93" w14:textId="77777777" w:rsidR="00A720EB" w:rsidRDefault="0030286B">
            <w:pPr>
              <w:pStyle w:val="TableParagraph"/>
              <w:spacing w:before="46" w:line="230" w:lineRule="auto"/>
              <w:ind w:right="113"/>
              <w:rPr>
                <w:sz w:val="21"/>
              </w:rPr>
            </w:pPr>
            <w:proofErr w:type="gramStart"/>
            <w:r>
              <w:rPr>
                <w:color w:val="B02045"/>
                <w:sz w:val="21"/>
              </w:rPr>
              <w:t>spring.r2dbc.pool</w:t>
            </w:r>
            <w:proofErr w:type="gramEnd"/>
            <w:r>
              <w:rPr>
                <w:color w:val="B02045"/>
                <w:sz w:val="21"/>
              </w:rPr>
              <w:t>.vali dation-query</w:t>
            </w:r>
          </w:p>
        </w:tc>
        <w:tc>
          <w:tcPr>
            <w:tcW w:w="2494" w:type="dxa"/>
          </w:tcPr>
          <w:p w14:paraId="695C669C" w14:textId="77777777" w:rsidR="00A720EB" w:rsidRDefault="00A720EB">
            <w:pPr>
              <w:pStyle w:val="TableParagraph"/>
              <w:spacing w:before="0"/>
              <w:ind w:left="0"/>
              <w:rPr>
                <w:rFonts w:ascii="Times New Roman"/>
                <w:sz w:val="20"/>
              </w:rPr>
            </w:pPr>
          </w:p>
        </w:tc>
        <w:tc>
          <w:tcPr>
            <w:tcW w:w="4988" w:type="dxa"/>
          </w:tcPr>
          <w:p w14:paraId="18D96D61" w14:textId="77777777" w:rsidR="00A720EB" w:rsidRDefault="0030286B">
            <w:pPr>
              <w:pStyle w:val="TableParagraph"/>
              <w:spacing w:before="92"/>
              <w:rPr>
                <w:rFonts w:ascii="Cambria"/>
                <w:sz w:val="21"/>
              </w:rPr>
            </w:pPr>
            <w:r>
              <w:rPr>
                <w:rFonts w:ascii="Cambria"/>
                <w:color w:val="333333"/>
                <w:w w:val="115"/>
                <w:sz w:val="21"/>
              </w:rPr>
              <w:t>Validation query.</w:t>
            </w:r>
          </w:p>
        </w:tc>
      </w:tr>
      <w:tr w:rsidR="00A720EB" w14:paraId="2056E041" w14:textId="77777777">
        <w:trPr>
          <w:trHeight w:val="627"/>
        </w:trPr>
        <w:tc>
          <w:tcPr>
            <w:tcW w:w="2494" w:type="dxa"/>
          </w:tcPr>
          <w:p w14:paraId="5B07B4EF" w14:textId="77777777" w:rsidR="00A720EB" w:rsidRDefault="0030286B">
            <w:pPr>
              <w:pStyle w:val="TableParagraph"/>
              <w:spacing w:before="46" w:line="230" w:lineRule="auto"/>
              <w:ind w:right="94"/>
              <w:rPr>
                <w:sz w:val="21"/>
              </w:rPr>
            </w:pPr>
            <w:proofErr w:type="gramStart"/>
            <w:r>
              <w:rPr>
                <w:color w:val="B02045"/>
                <w:sz w:val="21"/>
              </w:rPr>
              <w:t>spring.r2dbc.propertie</w:t>
            </w:r>
            <w:proofErr w:type="gramEnd"/>
            <w:r>
              <w:rPr>
                <w:color w:val="B02045"/>
                <w:sz w:val="21"/>
              </w:rPr>
              <w:t xml:space="preserve"> s.*</w:t>
            </w:r>
          </w:p>
        </w:tc>
        <w:tc>
          <w:tcPr>
            <w:tcW w:w="2494" w:type="dxa"/>
          </w:tcPr>
          <w:p w14:paraId="51B521EB" w14:textId="77777777" w:rsidR="00A720EB" w:rsidRDefault="00A720EB">
            <w:pPr>
              <w:pStyle w:val="TableParagraph"/>
              <w:spacing w:before="0"/>
              <w:ind w:left="0"/>
              <w:rPr>
                <w:rFonts w:ascii="Times New Roman"/>
                <w:sz w:val="20"/>
              </w:rPr>
            </w:pPr>
          </w:p>
        </w:tc>
        <w:tc>
          <w:tcPr>
            <w:tcW w:w="4988" w:type="dxa"/>
          </w:tcPr>
          <w:p w14:paraId="2CE32032" w14:textId="77777777" w:rsidR="00A720EB" w:rsidRDefault="0030286B">
            <w:pPr>
              <w:pStyle w:val="TableParagraph"/>
              <w:spacing w:before="92"/>
              <w:rPr>
                <w:rFonts w:ascii="Cambria"/>
                <w:sz w:val="21"/>
              </w:rPr>
            </w:pPr>
            <w:r>
              <w:rPr>
                <w:rFonts w:ascii="Cambria"/>
                <w:color w:val="333333"/>
                <w:w w:val="110"/>
                <w:sz w:val="21"/>
              </w:rPr>
              <w:t>Additional R2DBC options.</w:t>
            </w:r>
          </w:p>
        </w:tc>
      </w:tr>
      <w:tr w:rsidR="00A720EB" w14:paraId="68927E9E" w14:textId="77777777">
        <w:trPr>
          <w:trHeight w:val="1372"/>
        </w:trPr>
        <w:tc>
          <w:tcPr>
            <w:tcW w:w="2494" w:type="dxa"/>
          </w:tcPr>
          <w:p w14:paraId="3FE5D908" w14:textId="77777777" w:rsidR="00A720EB" w:rsidRDefault="0030286B">
            <w:pPr>
              <w:pStyle w:val="TableParagraph"/>
              <w:rPr>
                <w:sz w:val="21"/>
              </w:rPr>
            </w:pPr>
            <w:r>
              <w:rPr>
                <w:color w:val="B02045"/>
                <w:sz w:val="21"/>
              </w:rPr>
              <w:t>spring.r2dbc.url</w:t>
            </w:r>
          </w:p>
        </w:tc>
        <w:tc>
          <w:tcPr>
            <w:tcW w:w="2494" w:type="dxa"/>
          </w:tcPr>
          <w:p w14:paraId="6FC3E351" w14:textId="77777777" w:rsidR="00A720EB" w:rsidRDefault="00A720EB">
            <w:pPr>
              <w:pStyle w:val="TableParagraph"/>
              <w:spacing w:before="0"/>
              <w:ind w:left="0"/>
              <w:rPr>
                <w:rFonts w:ascii="Times New Roman"/>
                <w:sz w:val="20"/>
              </w:rPr>
            </w:pPr>
          </w:p>
        </w:tc>
        <w:tc>
          <w:tcPr>
            <w:tcW w:w="4988" w:type="dxa"/>
          </w:tcPr>
          <w:p w14:paraId="48F48B58" w14:textId="77777777" w:rsidR="00A720EB" w:rsidRDefault="0030286B">
            <w:pPr>
              <w:pStyle w:val="TableParagraph"/>
              <w:spacing w:before="28" w:line="310" w:lineRule="atLeast"/>
              <w:ind w:right="372"/>
              <w:rPr>
                <w:rFonts w:ascii="Cambria"/>
                <w:sz w:val="21"/>
              </w:rPr>
            </w:pPr>
            <w:r>
              <w:rPr>
                <w:rFonts w:ascii="Cambria"/>
                <w:color w:val="333333"/>
                <w:w w:val="110"/>
                <w:sz w:val="21"/>
              </w:rPr>
              <w:t>R2DBC URL of the database. database name, username, password and pooling options specified in the url take precedence over individual options.</w:t>
            </w:r>
          </w:p>
        </w:tc>
      </w:tr>
      <w:tr w:rsidR="00A720EB" w14:paraId="58EEDE82" w14:textId="77777777">
        <w:trPr>
          <w:trHeight w:val="741"/>
        </w:trPr>
        <w:tc>
          <w:tcPr>
            <w:tcW w:w="2494" w:type="dxa"/>
          </w:tcPr>
          <w:p w14:paraId="57105075" w14:textId="77777777" w:rsidR="00A720EB" w:rsidRDefault="0030286B">
            <w:pPr>
              <w:pStyle w:val="TableParagraph"/>
              <w:rPr>
                <w:sz w:val="21"/>
              </w:rPr>
            </w:pPr>
            <w:proofErr w:type="gramStart"/>
            <w:r>
              <w:rPr>
                <w:color w:val="B02045"/>
                <w:sz w:val="21"/>
              </w:rPr>
              <w:t>spring.r2dbc.username</w:t>
            </w:r>
            <w:proofErr w:type="gramEnd"/>
          </w:p>
        </w:tc>
        <w:tc>
          <w:tcPr>
            <w:tcW w:w="2494" w:type="dxa"/>
          </w:tcPr>
          <w:p w14:paraId="27EB8946" w14:textId="77777777" w:rsidR="00A720EB" w:rsidRDefault="00A720EB">
            <w:pPr>
              <w:pStyle w:val="TableParagraph"/>
              <w:spacing w:before="0"/>
              <w:ind w:left="0"/>
              <w:rPr>
                <w:rFonts w:ascii="Times New Roman"/>
                <w:sz w:val="20"/>
              </w:rPr>
            </w:pPr>
          </w:p>
        </w:tc>
        <w:tc>
          <w:tcPr>
            <w:tcW w:w="4988" w:type="dxa"/>
          </w:tcPr>
          <w:p w14:paraId="11FE0412" w14:textId="77777777" w:rsidR="00A720EB" w:rsidRDefault="0030286B">
            <w:pPr>
              <w:pStyle w:val="TableParagraph"/>
              <w:spacing w:before="28" w:line="310" w:lineRule="atLeast"/>
              <w:rPr>
                <w:rFonts w:ascii="Cambria"/>
                <w:sz w:val="21"/>
              </w:rPr>
            </w:pPr>
            <w:r>
              <w:rPr>
                <w:rFonts w:ascii="Cambria"/>
                <w:color w:val="333333"/>
                <w:w w:val="110"/>
                <w:sz w:val="21"/>
              </w:rPr>
              <w:t>Login username of the database. Set if no username is specified in the url.</w:t>
            </w:r>
          </w:p>
        </w:tc>
      </w:tr>
      <w:tr w:rsidR="00A720EB" w14:paraId="053E621B" w14:textId="77777777">
        <w:trPr>
          <w:trHeight w:val="741"/>
        </w:trPr>
        <w:tc>
          <w:tcPr>
            <w:tcW w:w="2494" w:type="dxa"/>
          </w:tcPr>
          <w:p w14:paraId="5EDB155D" w14:textId="77777777" w:rsidR="00A720EB" w:rsidRDefault="0030286B">
            <w:pPr>
              <w:pStyle w:val="TableParagraph"/>
              <w:spacing w:before="46" w:line="230" w:lineRule="auto"/>
              <w:ind w:right="304"/>
              <w:rPr>
                <w:sz w:val="21"/>
              </w:rPr>
            </w:pPr>
            <w:proofErr w:type="gramStart"/>
            <w:r>
              <w:rPr>
                <w:color w:val="B02045"/>
                <w:sz w:val="21"/>
              </w:rPr>
              <w:t>spring.redis</w:t>
            </w:r>
            <w:proofErr w:type="gramEnd"/>
            <w:r>
              <w:rPr>
                <w:color w:val="B02045"/>
                <w:sz w:val="21"/>
              </w:rPr>
              <w:t>.client- name</w:t>
            </w:r>
          </w:p>
        </w:tc>
        <w:tc>
          <w:tcPr>
            <w:tcW w:w="2494" w:type="dxa"/>
          </w:tcPr>
          <w:p w14:paraId="15CF7F75" w14:textId="77777777" w:rsidR="00A720EB" w:rsidRDefault="00A720EB">
            <w:pPr>
              <w:pStyle w:val="TableParagraph"/>
              <w:spacing w:before="0"/>
              <w:ind w:left="0"/>
              <w:rPr>
                <w:rFonts w:ascii="Times New Roman"/>
                <w:sz w:val="20"/>
              </w:rPr>
            </w:pPr>
          </w:p>
        </w:tc>
        <w:tc>
          <w:tcPr>
            <w:tcW w:w="4988" w:type="dxa"/>
          </w:tcPr>
          <w:p w14:paraId="545969D8" w14:textId="77777777" w:rsidR="00A720EB" w:rsidRDefault="0030286B">
            <w:pPr>
              <w:pStyle w:val="TableParagraph"/>
              <w:spacing w:before="28" w:line="310" w:lineRule="atLeast"/>
              <w:ind w:right="640"/>
              <w:rPr>
                <w:rFonts w:ascii="Cambria"/>
                <w:sz w:val="21"/>
              </w:rPr>
            </w:pPr>
            <w:r>
              <w:rPr>
                <w:rFonts w:ascii="Cambria"/>
                <w:color w:val="333333"/>
                <w:w w:val="110"/>
                <w:sz w:val="21"/>
              </w:rPr>
              <w:t>Client name to be set on connections with CLIENT SETNAME.</w:t>
            </w:r>
          </w:p>
        </w:tc>
      </w:tr>
      <w:tr w:rsidR="00A720EB" w14:paraId="615F1CCF" w14:textId="77777777">
        <w:trPr>
          <w:trHeight w:val="741"/>
        </w:trPr>
        <w:tc>
          <w:tcPr>
            <w:tcW w:w="2494" w:type="dxa"/>
          </w:tcPr>
          <w:p w14:paraId="45466918" w14:textId="77777777" w:rsidR="00A720EB" w:rsidRDefault="0030286B">
            <w:pPr>
              <w:pStyle w:val="TableParagraph"/>
              <w:spacing w:before="46" w:line="230" w:lineRule="auto"/>
              <w:ind w:right="113"/>
              <w:rPr>
                <w:sz w:val="21"/>
              </w:rPr>
            </w:pPr>
            <w:proofErr w:type="gramStart"/>
            <w:r>
              <w:rPr>
                <w:color w:val="B02045"/>
                <w:sz w:val="21"/>
              </w:rPr>
              <w:t>spring.redis</w:t>
            </w:r>
            <w:proofErr w:type="gramEnd"/>
            <w:r>
              <w:rPr>
                <w:color w:val="B02045"/>
                <w:sz w:val="21"/>
              </w:rPr>
              <w:t>.cluster.m ax-redirects</w:t>
            </w:r>
          </w:p>
        </w:tc>
        <w:tc>
          <w:tcPr>
            <w:tcW w:w="2494" w:type="dxa"/>
          </w:tcPr>
          <w:p w14:paraId="393A9BE8" w14:textId="77777777" w:rsidR="00A720EB" w:rsidRDefault="00A720EB">
            <w:pPr>
              <w:pStyle w:val="TableParagraph"/>
              <w:spacing w:before="0"/>
              <w:ind w:left="0"/>
              <w:rPr>
                <w:rFonts w:ascii="Times New Roman"/>
                <w:sz w:val="20"/>
              </w:rPr>
            </w:pPr>
          </w:p>
        </w:tc>
        <w:tc>
          <w:tcPr>
            <w:tcW w:w="4988" w:type="dxa"/>
          </w:tcPr>
          <w:p w14:paraId="187BD31F" w14:textId="77777777" w:rsidR="00A720EB" w:rsidRDefault="0030286B">
            <w:pPr>
              <w:pStyle w:val="TableParagraph"/>
              <w:spacing w:before="28" w:line="310" w:lineRule="atLeast"/>
              <w:rPr>
                <w:rFonts w:ascii="Cambria"/>
                <w:sz w:val="21"/>
              </w:rPr>
            </w:pPr>
            <w:r>
              <w:rPr>
                <w:rFonts w:ascii="Cambria"/>
                <w:color w:val="333333"/>
                <w:w w:val="110"/>
                <w:sz w:val="21"/>
              </w:rPr>
              <w:t>Maximum number of redirects to follow when executing commands across the cluster.</w:t>
            </w:r>
          </w:p>
        </w:tc>
      </w:tr>
      <w:tr w:rsidR="00A720EB" w14:paraId="71AE8E2B" w14:textId="77777777">
        <w:trPr>
          <w:trHeight w:val="1372"/>
        </w:trPr>
        <w:tc>
          <w:tcPr>
            <w:tcW w:w="2494" w:type="dxa"/>
          </w:tcPr>
          <w:p w14:paraId="18E11528" w14:textId="77777777" w:rsidR="00A720EB" w:rsidRDefault="0030286B">
            <w:pPr>
              <w:pStyle w:val="TableParagraph"/>
              <w:spacing w:before="46" w:line="230" w:lineRule="auto"/>
              <w:ind w:right="94"/>
              <w:rPr>
                <w:sz w:val="21"/>
              </w:rPr>
            </w:pPr>
            <w:proofErr w:type="gramStart"/>
            <w:r>
              <w:rPr>
                <w:color w:val="B02045"/>
                <w:sz w:val="21"/>
              </w:rPr>
              <w:t>spring.redis</w:t>
            </w:r>
            <w:proofErr w:type="gramEnd"/>
            <w:r>
              <w:rPr>
                <w:color w:val="B02045"/>
                <w:sz w:val="21"/>
              </w:rPr>
              <w:t>.cluster.n odes</w:t>
            </w:r>
          </w:p>
        </w:tc>
        <w:tc>
          <w:tcPr>
            <w:tcW w:w="2494" w:type="dxa"/>
          </w:tcPr>
          <w:p w14:paraId="0DF55ED9" w14:textId="77777777" w:rsidR="00A720EB" w:rsidRDefault="00A720EB">
            <w:pPr>
              <w:pStyle w:val="TableParagraph"/>
              <w:spacing w:before="0"/>
              <w:ind w:left="0"/>
              <w:rPr>
                <w:rFonts w:ascii="Times New Roman"/>
                <w:sz w:val="20"/>
              </w:rPr>
            </w:pPr>
          </w:p>
        </w:tc>
        <w:tc>
          <w:tcPr>
            <w:tcW w:w="4988" w:type="dxa"/>
          </w:tcPr>
          <w:p w14:paraId="194470F8" w14:textId="77777777" w:rsidR="00A720EB" w:rsidRDefault="0030286B">
            <w:pPr>
              <w:pStyle w:val="TableParagraph"/>
              <w:spacing w:before="28" w:line="310" w:lineRule="atLeast"/>
              <w:ind w:right="63"/>
              <w:rPr>
                <w:rFonts w:ascii="Cambria"/>
                <w:sz w:val="21"/>
              </w:rPr>
            </w:pPr>
            <w:r>
              <w:rPr>
                <w:rFonts w:ascii="Cambria"/>
                <w:color w:val="333333"/>
                <w:w w:val="110"/>
                <w:sz w:val="21"/>
              </w:rPr>
              <w:t>Comma-separated list of "</w:t>
            </w:r>
            <w:proofErr w:type="gramStart"/>
            <w:r>
              <w:rPr>
                <w:rFonts w:ascii="Cambria"/>
                <w:color w:val="333333"/>
                <w:w w:val="110"/>
                <w:sz w:val="21"/>
              </w:rPr>
              <w:t>host:port</w:t>
            </w:r>
            <w:proofErr w:type="gramEnd"/>
            <w:r>
              <w:rPr>
                <w:rFonts w:ascii="Cambria"/>
                <w:color w:val="333333"/>
                <w:w w:val="110"/>
                <w:sz w:val="21"/>
              </w:rPr>
              <w:t>" pairs to bootstrap from. This represents an "initial" list of cluster nodes and is required to have at least   one</w:t>
            </w:r>
            <w:r>
              <w:rPr>
                <w:rFonts w:ascii="Cambria"/>
                <w:color w:val="333333"/>
                <w:spacing w:val="3"/>
                <w:w w:val="110"/>
                <w:sz w:val="21"/>
              </w:rPr>
              <w:t xml:space="preserve"> </w:t>
            </w:r>
            <w:r>
              <w:rPr>
                <w:rFonts w:ascii="Cambria"/>
                <w:color w:val="333333"/>
                <w:spacing w:val="-4"/>
                <w:w w:val="110"/>
                <w:sz w:val="21"/>
              </w:rPr>
              <w:t>entry.</w:t>
            </w:r>
          </w:p>
        </w:tc>
      </w:tr>
      <w:tr w:rsidR="00A720EB" w14:paraId="679F2FA0" w14:textId="77777777">
        <w:trPr>
          <w:trHeight w:val="425"/>
        </w:trPr>
        <w:tc>
          <w:tcPr>
            <w:tcW w:w="2494" w:type="dxa"/>
          </w:tcPr>
          <w:p w14:paraId="5090EAAD" w14:textId="77777777" w:rsidR="00A720EB" w:rsidRDefault="0030286B">
            <w:pPr>
              <w:pStyle w:val="TableParagraph"/>
              <w:spacing w:before="37"/>
              <w:rPr>
                <w:sz w:val="21"/>
              </w:rPr>
            </w:pPr>
            <w:proofErr w:type="gramStart"/>
            <w:r>
              <w:rPr>
                <w:color w:val="B02045"/>
                <w:sz w:val="21"/>
              </w:rPr>
              <w:t>spring.redis</w:t>
            </w:r>
            <w:proofErr w:type="gramEnd"/>
            <w:r>
              <w:rPr>
                <w:color w:val="B02045"/>
                <w:sz w:val="21"/>
              </w:rPr>
              <w:t>.database</w:t>
            </w:r>
          </w:p>
        </w:tc>
        <w:tc>
          <w:tcPr>
            <w:tcW w:w="2494" w:type="dxa"/>
          </w:tcPr>
          <w:p w14:paraId="6287CDC8" w14:textId="77777777" w:rsidR="00A720EB" w:rsidRDefault="0030286B">
            <w:pPr>
              <w:pStyle w:val="TableParagraph"/>
              <w:spacing w:before="37"/>
              <w:rPr>
                <w:sz w:val="21"/>
              </w:rPr>
            </w:pPr>
            <w:r>
              <w:rPr>
                <w:color w:val="B02045"/>
                <w:sz w:val="21"/>
              </w:rPr>
              <w:t>0.0</w:t>
            </w:r>
          </w:p>
        </w:tc>
        <w:tc>
          <w:tcPr>
            <w:tcW w:w="4988" w:type="dxa"/>
          </w:tcPr>
          <w:p w14:paraId="0EEE50D2" w14:textId="77777777" w:rsidR="00A720EB" w:rsidRDefault="0030286B">
            <w:pPr>
              <w:pStyle w:val="TableParagraph"/>
              <w:spacing w:before="92"/>
              <w:rPr>
                <w:rFonts w:ascii="Cambria"/>
                <w:sz w:val="21"/>
              </w:rPr>
            </w:pPr>
            <w:r>
              <w:rPr>
                <w:rFonts w:ascii="Cambria"/>
                <w:color w:val="333333"/>
                <w:w w:val="110"/>
                <w:sz w:val="21"/>
              </w:rPr>
              <w:t>Database index used by the connection factory.</w:t>
            </w:r>
          </w:p>
        </w:tc>
      </w:tr>
      <w:tr w:rsidR="00A720EB" w14:paraId="5317ABEF" w14:textId="77777777">
        <w:trPr>
          <w:trHeight w:val="425"/>
        </w:trPr>
        <w:tc>
          <w:tcPr>
            <w:tcW w:w="2494" w:type="dxa"/>
          </w:tcPr>
          <w:p w14:paraId="60F2F4D3" w14:textId="77777777" w:rsidR="00A720EB" w:rsidRDefault="0030286B">
            <w:pPr>
              <w:pStyle w:val="TableParagraph"/>
              <w:spacing w:before="37"/>
              <w:rPr>
                <w:sz w:val="21"/>
              </w:rPr>
            </w:pPr>
            <w:proofErr w:type="gramStart"/>
            <w:r>
              <w:rPr>
                <w:color w:val="B02045"/>
                <w:sz w:val="21"/>
              </w:rPr>
              <w:t>spring.redis</w:t>
            </w:r>
            <w:proofErr w:type="gramEnd"/>
            <w:r>
              <w:rPr>
                <w:color w:val="B02045"/>
                <w:sz w:val="21"/>
              </w:rPr>
              <w:t>.host</w:t>
            </w:r>
          </w:p>
        </w:tc>
        <w:tc>
          <w:tcPr>
            <w:tcW w:w="2494" w:type="dxa"/>
          </w:tcPr>
          <w:p w14:paraId="63A72B7A" w14:textId="77777777" w:rsidR="00A720EB" w:rsidRDefault="0030286B">
            <w:pPr>
              <w:pStyle w:val="TableParagraph"/>
              <w:spacing w:before="37"/>
              <w:rPr>
                <w:sz w:val="21"/>
              </w:rPr>
            </w:pPr>
            <w:r>
              <w:rPr>
                <w:color w:val="B02045"/>
                <w:sz w:val="21"/>
              </w:rPr>
              <w:t>localhost</w:t>
            </w:r>
          </w:p>
        </w:tc>
        <w:tc>
          <w:tcPr>
            <w:tcW w:w="4988" w:type="dxa"/>
          </w:tcPr>
          <w:p w14:paraId="1F3BC595" w14:textId="77777777" w:rsidR="00A720EB" w:rsidRDefault="0030286B">
            <w:pPr>
              <w:pStyle w:val="TableParagraph"/>
              <w:spacing w:before="92"/>
              <w:rPr>
                <w:rFonts w:ascii="Cambria"/>
                <w:sz w:val="21"/>
              </w:rPr>
            </w:pPr>
            <w:r>
              <w:rPr>
                <w:rFonts w:ascii="Cambria"/>
                <w:color w:val="333333"/>
                <w:w w:val="110"/>
                <w:sz w:val="21"/>
              </w:rPr>
              <w:t>Redis server host.</w:t>
            </w:r>
          </w:p>
        </w:tc>
      </w:tr>
      <w:tr w:rsidR="00A720EB" w14:paraId="0BF74F72" w14:textId="77777777">
        <w:trPr>
          <w:trHeight w:val="1056"/>
        </w:trPr>
        <w:tc>
          <w:tcPr>
            <w:tcW w:w="2494" w:type="dxa"/>
          </w:tcPr>
          <w:p w14:paraId="4E2BE29D" w14:textId="77777777" w:rsidR="00A720EB" w:rsidRDefault="0030286B">
            <w:pPr>
              <w:pStyle w:val="TableParagraph"/>
              <w:spacing w:before="46" w:line="230" w:lineRule="auto"/>
              <w:ind w:right="113"/>
              <w:rPr>
                <w:sz w:val="21"/>
              </w:rPr>
            </w:pPr>
            <w:r>
              <w:rPr>
                <w:color w:val="B02045"/>
                <w:sz w:val="21"/>
              </w:rPr>
              <w:t>spring.redis.jedis.poo l.max-active</w:t>
            </w:r>
          </w:p>
        </w:tc>
        <w:tc>
          <w:tcPr>
            <w:tcW w:w="2494" w:type="dxa"/>
          </w:tcPr>
          <w:p w14:paraId="04A1855E" w14:textId="77777777" w:rsidR="00A720EB" w:rsidRDefault="0030286B">
            <w:pPr>
              <w:pStyle w:val="TableParagraph"/>
              <w:rPr>
                <w:sz w:val="21"/>
              </w:rPr>
            </w:pPr>
            <w:r>
              <w:rPr>
                <w:color w:val="B02045"/>
                <w:sz w:val="21"/>
              </w:rPr>
              <w:t>8.0</w:t>
            </w:r>
          </w:p>
        </w:tc>
        <w:tc>
          <w:tcPr>
            <w:tcW w:w="4988" w:type="dxa"/>
          </w:tcPr>
          <w:p w14:paraId="438622F1" w14:textId="77777777" w:rsidR="00A720EB" w:rsidRDefault="0030286B">
            <w:pPr>
              <w:pStyle w:val="TableParagraph"/>
              <w:spacing w:before="28" w:line="310" w:lineRule="atLeast"/>
              <w:rPr>
                <w:rFonts w:ascii="Cambria"/>
                <w:sz w:val="21"/>
              </w:rPr>
            </w:pPr>
            <w:r>
              <w:rPr>
                <w:rFonts w:ascii="Cambria"/>
                <w:color w:val="333333"/>
                <w:w w:val="110"/>
                <w:sz w:val="21"/>
              </w:rPr>
              <w:t>Maximum number of connections that can be allocated by the pool at a given time. Use a negative value for no limit.</w:t>
            </w:r>
          </w:p>
        </w:tc>
      </w:tr>
    </w:tbl>
    <w:p w14:paraId="29AF7E5D" w14:textId="77777777" w:rsidR="00A720EB" w:rsidRDefault="00A720EB">
      <w:pPr>
        <w:spacing w:line="310" w:lineRule="atLeast"/>
        <w:rPr>
          <w:sz w:val="21"/>
        </w:rPr>
        <w:sectPr w:rsidR="00A720EB">
          <w:pgSz w:w="11910" w:h="16840"/>
          <w:pgMar w:top="700" w:right="840" w:bottom="380" w:left="840" w:header="0" w:footer="11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CACF303" w14:textId="77777777">
        <w:trPr>
          <w:trHeight w:val="415"/>
        </w:trPr>
        <w:tc>
          <w:tcPr>
            <w:tcW w:w="2494" w:type="dxa"/>
            <w:tcBorders>
              <w:bottom w:val="single" w:sz="12" w:space="0" w:color="DDDDDD"/>
            </w:tcBorders>
          </w:tcPr>
          <w:p w14:paraId="4C8F873B"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943CD48"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9271DB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6741808" w14:textId="77777777">
        <w:trPr>
          <w:trHeight w:val="1046"/>
        </w:trPr>
        <w:tc>
          <w:tcPr>
            <w:tcW w:w="2494" w:type="dxa"/>
            <w:tcBorders>
              <w:top w:val="single" w:sz="12" w:space="0" w:color="DDDDDD"/>
            </w:tcBorders>
          </w:tcPr>
          <w:p w14:paraId="41F3B6FF" w14:textId="77777777" w:rsidR="00A720EB" w:rsidRDefault="0030286B">
            <w:pPr>
              <w:pStyle w:val="TableParagraph"/>
              <w:spacing w:before="36" w:line="230" w:lineRule="auto"/>
              <w:ind w:right="113"/>
              <w:rPr>
                <w:sz w:val="21"/>
              </w:rPr>
            </w:pPr>
            <w:r>
              <w:rPr>
                <w:color w:val="B02045"/>
                <w:sz w:val="21"/>
              </w:rPr>
              <w:t>spring.redis.jedis.poo l.max-idle</w:t>
            </w:r>
          </w:p>
        </w:tc>
        <w:tc>
          <w:tcPr>
            <w:tcW w:w="2494" w:type="dxa"/>
            <w:tcBorders>
              <w:top w:val="single" w:sz="12" w:space="0" w:color="DDDDDD"/>
            </w:tcBorders>
          </w:tcPr>
          <w:p w14:paraId="3DC026AF" w14:textId="77777777" w:rsidR="00A720EB" w:rsidRDefault="0030286B">
            <w:pPr>
              <w:pStyle w:val="TableParagraph"/>
              <w:spacing w:before="27"/>
              <w:rPr>
                <w:sz w:val="21"/>
              </w:rPr>
            </w:pPr>
            <w:r>
              <w:rPr>
                <w:color w:val="B02045"/>
                <w:sz w:val="21"/>
              </w:rPr>
              <w:t>8.0</w:t>
            </w:r>
          </w:p>
        </w:tc>
        <w:tc>
          <w:tcPr>
            <w:tcW w:w="4988" w:type="dxa"/>
            <w:tcBorders>
              <w:top w:val="single" w:sz="12" w:space="0" w:color="DDDDDD"/>
            </w:tcBorders>
          </w:tcPr>
          <w:p w14:paraId="0F98DD72" w14:textId="77777777" w:rsidR="00A720EB" w:rsidRDefault="0030286B">
            <w:pPr>
              <w:pStyle w:val="TableParagraph"/>
              <w:spacing w:before="18" w:line="310" w:lineRule="atLeast"/>
              <w:ind w:right="218"/>
              <w:rPr>
                <w:rFonts w:ascii="Cambria"/>
                <w:sz w:val="21"/>
              </w:rPr>
            </w:pPr>
            <w:r>
              <w:rPr>
                <w:rFonts w:ascii="Cambria"/>
                <w:color w:val="333333"/>
                <w:w w:val="110"/>
                <w:sz w:val="21"/>
              </w:rPr>
              <w:t>Maximum number of "idle" connections in the pool. Use a negative value to indicate an unlimited number of idle connections.</w:t>
            </w:r>
          </w:p>
        </w:tc>
      </w:tr>
      <w:tr w:rsidR="00A720EB" w14:paraId="364EA219" w14:textId="77777777">
        <w:trPr>
          <w:trHeight w:val="1372"/>
        </w:trPr>
        <w:tc>
          <w:tcPr>
            <w:tcW w:w="2494" w:type="dxa"/>
          </w:tcPr>
          <w:p w14:paraId="5ECADEE5" w14:textId="77777777" w:rsidR="00A720EB" w:rsidRDefault="0030286B">
            <w:pPr>
              <w:pStyle w:val="TableParagraph"/>
              <w:spacing w:before="46" w:line="230" w:lineRule="auto"/>
              <w:ind w:right="113"/>
              <w:rPr>
                <w:sz w:val="21"/>
              </w:rPr>
            </w:pPr>
            <w:r>
              <w:rPr>
                <w:color w:val="B02045"/>
                <w:sz w:val="21"/>
              </w:rPr>
              <w:t>spring.redis.jedis.poo l.max-wait</w:t>
            </w:r>
          </w:p>
        </w:tc>
        <w:tc>
          <w:tcPr>
            <w:tcW w:w="2494" w:type="dxa"/>
          </w:tcPr>
          <w:p w14:paraId="27D5D7ED" w14:textId="77777777" w:rsidR="00A720EB" w:rsidRDefault="0030286B">
            <w:pPr>
              <w:pStyle w:val="TableParagraph"/>
              <w:rPr>
                <w:sz w:val="21"/>
              </w:rPr>
            </w:pPr>
            <w:r>
              <w:rPr>
                <w:color w:val="B02045"/>
                <w:sz w:val="21"/>
              </w:rPr>
              <w:t>-1ms</w:t>
            </w:r>
          </w:p>
        </w:tc>
        <w:tc>
          <w:tcPr>
            <w:tcW w:w="4988" w:type="dxa"/>
          </w:tcPr>
          <w:p w14:paraId="51C965AE" w14:textId="77777777" w:rsidR="00A720EB" w:rsidRDefault="0030286B">
            <w:pPr>
              <w:pStyle w:val="TableParagraph"/>
              <w:spacing w:before="28" w:line="310" w:lineRule="atLeast"/>
              <w:ind w:right="526"/>
              <w:rPr>
                <w:rFonts w:ascii="Cambria"/>
                <w:sz w:val="21"/>
              </w:rPr>
            </w:pPr>
            <w:r>
              <w:rPr>
                <w:rFonts w:ascii="Cambria"/>
                <w:color w:val="333333"/>
                <w:w w:val="115"/>
                <w:sz w:val="21"/>
              </w:rPr>
              <w:t>Maximum amount of time a connection allocation</w:t>
            </w:r>
            <w:r>
              <w:rPr>
                <w:rFonts w:ascii="Cambria"/>
                <w:color w:val="333333"/>
                <w:spacing w:val="-20"/>
                <w:w w:val="115"/>
                <w:sz w:val="21"/>
              </w:rPr>
              <w:t xml:space="preserve"> </w:t>
            </w:r>
            <w:r>
              <w:rPr>
                <w:rFonts w:ascii="Cambria"/>
                <w:color w:val="333333"/>
                <w:w w:val="115"/>
                <w:sz w:val="21"/>
              </w:rPr>
              <w:t>should</w:t>
            </w:r>
            <w:r>
              <w:rPr>
                <w:rFonts w:ascii="Cambria"/>
                <w:color w:val="333333"/>
                <w:spacing w:val="-18"/>
                <w:w w:val="115"/>
                <w:sz w:val="21"/>
              </w:rPr>
              <w:t xml:space="preserve"> </w:t>
            </w:r>
            <w:r>
              <w:rPr>
                <w:rFonts w:ascii="Cambria"/>
                <w:color w:val="333333"/>
                <w:w w:val="115"/>
                <w:sz w:val="21"/>
              </w:rPr>
              <w:t>block</w:t>
            </w:r>
            <w:r>
              <w:rPr>
                <w:rFonts w:ascii="Cambria"/>
                <w:color w:val="333333"/>
                <w:spacing w:val="-19"/>
                <w:w w:val="115"/>
                <w:sz w:val="21"/>
              </w:rPr>
              <w:t xml:space="preserve"> </w:t>
            </w:r>
            <w:r>
              <w:rPr>
                <w:rFonts w:ascii="Cambria"/>
                <w:color w:val="333333"/>
                <w:w w:val="115"/>
                <w:sz w:val="21"/>
              </w:rPr>
              <w:t>before</w:t>
            </w:r>
            <w:r>
              <w:rPr>
                <w:rFonts w:ascii="Cambria"/>
                <w:color w:val="333333"/>
                <w:spacing w:val="-19"/>
                <w:w w:val="115"/>
                <w:sz w:val="21"/>
              </w:rPr>
              <w:t xml:space="preserve"> </w:t>
            </w:r>
            <w:r>
              <w:rPr>
                <w:rFonts w:ascii="Cambria"/>
                <w:color w:val="333333"/>
                <w:w w:val="115"/>
                <w:sz w:val="21"/>
              </w:rPr>
              <w:t>throwing</w:t>
            </w:r>
            <w:r>
              <w:rPr>
                <w:rFonts w:ascii="Cambria"/>
                <w:color w:val="333333"/>
                <w:spacing w:val="-19"/>
                <w:w w:val="115"/>
                <w:sz w:val="21"/>
              </w:rPr>
              <w:t xml:space="preserve"> </w:t>
            </w:r>
            <w:r>
              <w:rPr>
                <w:rFonts w:ascii="Cambria"/>
                <w:color w:val="333333"/>
                <w:w w:val="115"/>
                <w:sz w:val="21"/>
              </w:rPr>
              <w:t>an exception</w:t>
            </w:r>
            <w:r>
              <w:rPr>
                <w:rFonts w:ascii="Cambria"/>
                <w:color w:val="333333"/>
                <w:spacing w:val="-20"/>
                <w:w w:val="115"/>
                <w:sz w:val="21"/>
              </w:rPr>
              <w:t xml:space="preserve"> </w:t>
            </w:r>
            <w:r>
              <w:rPr>
                <w:rFonts w:ascii="Cambria"/>
                <w:color w:val="333333"/>
                <w:w w:val="115"/>
                <w:sz w:val="21"/>
              </w:rPr>
              <w:t>when</w:t>
            </w:r>
            <w:r>
              <w:rPr>
                <w:rFonts w:ascii="Cambria"/>
                <w:color w:val="333333"/>
                <w:spacing w:val="-20"/>
                <w:w w:val="115"/>
                <w:sz w:val="21"/>
              </w:rPr>
              <w:t xml:space="preserve"> </w:t>
            </w:r>
            <w:r>
              <w:rPr>
                <w:rFonts w:ascii="Cambria"/>
                <w:color w:val="333333"/>
                <w:w w:val="115"/>
                <w:sz w:val="21"/>
              </w:rPr>
              <w:t>the</w:t>
            </w:r>
            <w:r>
              <w:rPr>
                <w:rFonts w:ascii="Cambria"/>
                <w:color w:val="333333"/>
                <w:spacing w:val="-20"/>
                <w:w w:val="115"/>
                <w:sz w:val="21"/>
              </w:rPr>
              <w:t xml:space="preserve"> </w:t>
            </w:r>
            <w:r>
              <w:rPr>
                <w:rFonts w:ascii="Cambria"/>
                <w:color w:val="333333"/>
                <w:w w:val="115"/>
                <w:sz w:val="21"/>
              </w:rPr>
              <w:t>pool</w:t>
            </w:r>
            <w:r>
              <w:rPr>
                <w:rFonts w:ascii="Cambria"/>
                <w:color w:val="333333"/>
                <w:spacing w:val="-20"/>
                <w:w w:val="115"/>
                <w:sz w:val="21"/>
              </w:rPr>
              <w:t xml:space="preserve"> </w:t>
            </w:r>
            <w:r>
              <w:rPr>
                <w:rFonts w:ascii="Cambria"/>
                <w:color w:val="333333"/>
                <w:w w:val="115"/>
                <w:sz w:val="21"/>
              </w:rPr>
              <w:t>is</w:t>
            </w:r>
            <w:r>
              <w:rPr>
                <w:rFonts w:ascii="Cambria"/>
                <w:color w:val="333333"/>
                <w:spacing w:val="-20"/>
                <w:w w:val="115"/>
                <w:sz w:val="21"/>
              </w:rPr>
              <w:t xml:space="preserve"> </w:t>
            </w:r>
            <w:r>
              <w:rPr>
                <w:rFonts w:ascii="Cambria"/>
                <w:color w:val="333333"/>
                <w:w w:val="115"/>
                <w:sz w:val="21"/>
              </w:rPr>
              <w:t>exhausted.</w:t>
            </w:r>
            <w:r>
              <w:rPr>
                <w:rFonts w:ascii="Cambria"/>
                <w:color w:val="333333"/>
                <w:spacing w:val="-20"/>
                <w:w w:val="115"/>
                <w:sz w:val="21"/>
              </w:rPr>
              <w:t xml:space="preserve"> </w:t>
            </w:r>
            <w:r>
              <w:rPr>
                <w:rFonts w:ascii="Cambria"/>
                <w:color w:val="333333"/>
                <w:w w:val="115"/>
                <w:sz w:val="21"/>
              </w:rPr>
              <w:t>Use</w:t>
            </w:r>
            <w:r>
              <w:rPr>
                <w:rFonts w:ascii="Cambria"/>
                <w:color w:val="333333"/>
                <w:spacing w:val="-20"/>
                <w:w w:val="115"/>
                <w:sz w:val="21"/>
              </w:rPr>
              <w:t xml:space="preserve"> </w:t>
            </w:r>
            <w:r>
              <w:rPr>
                <w:rFonts w:ascii="Cambria"/>
                <w:color w:val="333333"/>
                <w:w w:val="115"/>
                <w:sz w:val="21"/>
              </w:rPr>
              <w:t>a negative value to block</w:t>
            </w:r>
            <w:r>
              <w:rPr>
                <w:rFonts w:ascii="Cambria"/>
                <w:color w:val="333333"/>
                <w:spacing w:val="-14"/>
                <w:w w:val="115"/>
                <w:sz w:val="21"/>
              </w:rPr>
              <w:t xml:space="preserve"> </w:t>
            </w:r>
            <w:r>
              <w:rPr>
                <w:rFonts w:ascii="Cambria"/>
                <w:color w:val="333333"/>
                <w:spacing w:val="-3"/>
                <w:w w:val="115"/>
                <w:sz w:val="21"/>
              </w:rPr>
              <w:t>indefinitely.</w:t>
            </w:r>
          </w:p>
        </w:tc>
      </w:tr>
      <w:tr w:rsidR="00A720EB" w14:paraId="7E281750" w14:textId="77777777">
        <w:trPr>
          <w:trHeight w:val="1372"/>
        </w:trPr>
        <w:tc>
          <w:tcPr>
            <w:tcW w:w="2494" w:type="dxa"/>
          </w:tcPr>
          <w:p w14:paraId="01AD636A" w14:textId="77777777" w:rsidR="00A720EB" w:rsidRDefault="0030286B">
            <w:pPr>
              <w:pStyle w:val="TableParagraph"/>
              <w:spacing w:before="46" w:line="230" w:lineRule="auto"/>
              <w:ind w:right="113"/>
              <w:rPr>
                <w:sz w:val="21"/>
              </w:rPr>
            </w:pPr>
            <w:r>
              <w:rPr>
                <w:color w:val="B02045"/>
                <w:sz w:val="21"/>
              </w:rPr>
              <w:t>spring.redis.jedis.poo l.min-idle</w:t>
            </w:r>
          </w:p>
        </w:tc>
        <w:tc>
          <w:tcPr>
            <w:tcW w:w="2494" w:type="dxa"/>
          </w:tcPr>
          <w:p w14:paraId="73CB942D" w14:textId="77777777" w:rsidR="00A720EB" w:rsidRDefault="0030286B">
            <w:pPr>
              <w:pStyle w:val="TableParagraph"/>
              <w:rPr>
                <w:sz w:val="21"/>
              </w:rPr>
            </w:pPr>
            <w:r>
              <w:rPr>
                <w:color w:val="B02045"/>
                <w:sz w:val="21"/>
              </w:rPr>
              <w:t>0.0</w:t>
            </w:r>
          </w:p>
        </w:tc>
        <w:tc>
          <w:tcPr>
            <w:tcW w:w="4988" w:type="dxa"/>
          </w:tcPr>
          <w:p w14:paraId="640064CE" w14:textId="77777777" w:rsidR="00A720EB" w:rsidRDefault="0030286B">
            <w:pPr>
              <w:pStyle w:val="TableParagraph"/>
              <w:spacing w:before="28" w:line="310" w:lineRule="atLeast"/>
              <w:rPr>
                <w:rFonts w:ascii="Cambria"/>
                <w:sz w:val="21"/>
              </w:rPr>
            </w:pPr>
            <w:r>
              <w:rPr>
                <w:rFonts w:ascii="Cambria"/>
                <w:color w:val="333333"/>
                <w:w w:val="110"/>
                <w:sz w:val="21"/>
              </w:rPr>
              <w:t>Target for the minimum number of idle connections to maintain in the pool. This setting only has an effect if both it and time between eviction runs are positive.</w:t>
            </w:r>
          </w:p>
        </w:tc>
      </w:tr>
      <w:tr w:rsidR="00A720EB" w14:paraId="0D77B97D" w14:textId="77777777">
        <w:trPr>
          <w:trHeight w:val="1372"/>
        </w:trPr>
        <w:tc>
          <w:tcPr>
            <w:tcW w:w="2494" w:type="dxa"/>
          </w:tcPr>
          <w:p w14:paraId="63134827" w14:textId="77777777" w:rsidR="00A720EB" w:rsidRDefault="0030286B">
            <w:pPr>
              <w:pStyle w:val="TableParagraph"/>
              <w:spacing w:before="46" w:line="230" w:lineRule="auto"/>
              <w:ind w:right="113"/>
              <w:rPr>
                <w:sz w:val="21"/>
              </w:rPr>
            </w:pPr>
            <w:r>
              <w:rPr>
                <w:color w:val="B02045"/>
                <w:sz w:val="21"/>
              </w:rPr>
              <w:t xml:space="preserve">spring.redis.jedis.poo </w:t>
            </w:r>
            <w:proofErr w:type="gramStart"/>
            <w:r>
              <w:rPr>
                <w:color w:val="B02045"/>
                <w:sz w:val="21"/>
              </w:rPr>
              <w:t>l.time</w:t>
            </w:r>
            <w:proofErr w:type="gramEnd"/>
            <w:r>
              <w:rPr>
                <w:color w:val="B02045"/>
                <w:sz w:val="21"/>
              </w:rPr>
              <w:t>-between- eviction-runs</w:t>
            </w:r>
          </w:p>
        </w:tc>
        <w:tc>
          <w:tcPr>
            <w:tcW w:w="2494" w:type="dxa"/>
          </w:tcPr>
          <w:p w14:paraId="75C3F62D" w14:textId="77777777" w:rsidR="00A720EB" w:rsidRDefault="00A720EB">
            <w:pPr>
              <w:pStyle w:val="TableParagraph"/>
              <w:spacing w:before="0"/>
              <w:ind w:left="0"/>
              <w:rPr>
                <w:rFonts w:ascii="Times New Roman"/>
                <w:sz w:val="20"/>
              </w:rPr>
            </w:pPr>
          </w:p>
        </w:tc>
        <w:tc>
          <w:tcPr>
            <w:tcW w:w="4988" w:type="dxa"/>
          </w:tcPr>
          <w:p w14:paraId="79C81FC5" w14:textId="77777777" w:rsidR="00A720EB" w:rsidRDefault="0030286B">
            <w:pPr>
              <w:pStyle w:val="TableParagraph"/>
              <w:spacing w:before="28" w:line="310" w:lineRule="atLeast"/>
              <w:rPr>
                <w:rFonts w:ascii="Cambria"/>
                <w:sz w:val="21"/>
              </w:rPr>
            </w:pPr>
            <w:r>
              <w:rPr>
                <w:rFonts w:ascii="Cambria"/>
                <w:color w:val="333333"/>
                <w:w w:val="110"/>
                <w:sz w:val="21"/>
              </w:rPr>
              <w:t>Time between runs of the idle object evictor thread. When positive, the idle object evictor thread starts, otherwise no idle object eviction is performed.</w:t>
            </w:r>
          </w:p>
        </w:tc>
      </w:tr>
      <w:tr w:rsidR="00A720EB" w14:paraId="7F272B74" w14:textId="77777777">
        <w:trPr>
          <w:trHeight w:val="886"/>
        </w:trPr>
        <w:tc>
          <w:tcPr>
            <w:tcW w:w="2494" w:type="dxa"/>
          </w:tcPr>
          <w:p w14:paraId="451399B2" w14:textId="77777777" w:rsidR="00A720EB" w:rsidRDefault="0030286B">
            <w:pPr>
              <w:pStyle w:val="TableParagraph"/>
              <w:spacing w:before="46" w:line="230" w:lineRule="auto"/>
              <w:ind w:right="113"/>
              <w:jc w:val="both"/>
              <w:rPr>
                <w:sz w:val="21"/>
              </w:rPr>
            </w:pPr>
            <w:proofErr w:type="gramStart"/>
            <w:r>
              <w:rPr>
                <w:color w:val="B02045"/>
                <w:sz w:val="21"/>
              </w:rPr>
              <w:t>spring.redis</w:t>
            </w:r>
            <w:proofErr w:type="gramEnd"/>
            <w:r>
              <w:rPr>
                <w:color w:val="B02045"/>
                <w:sz w:val="21"/>
              </w:rPr>
              <w:t>.lettuce.c luster.refresh.adaptiv e</w:t>
            </w:r>
          </w:p>
        </w:tc>
        <w:tc>
          <w:tcPr>
            <w:tcW w:w="2494" w:type="dxa"/>
          </w:tcPr>
          <w:p w14:paraId="1BFC1EBA" w14:textId="77777777" w:rsidR="00A720EB" w:rsidRDefault="0030286B">
            <w:pPr>
              <w:pStyle w:val="TableParagraph"/>
              <w:spacing w:before="37"/>
              <w:rPr>
                <w:sz w:val="21"/>
              </w:rPr>
            </w:pPr>
            <w:r>
              <w:rPr>
                <w:color w:val="B02045"/>
                <w:sz w:val="21"/>
              </w:rPr>
              <w:t>false</w:t>
            </w:r>
          </w:p>
        </w:tc>
        <w:tc>
          <w:tcPr>
            <w:tcW w:w="4988" w:type="dxa"/>
          </w:tcPr>
          <w:p w14:paraId="32338FFA" w14:textId="77777777" w:rsidR="00A720EB" w:rsidRDefault="0030286B">
            <w:pPr>
              <w:pStyle w:val="TableParagraph"/>
              <w:spacing w:before="92" w:line="307" w:lineRule="auto"/>
              <w:rPr>
                <w:rFonts w:ascii="Cambria"/>
                <w:sz w:val="21"/>
              </w:rPr>
            </w:pPr>
            <w:r>
              <w:rPr>
                <w:rFonts w:ascii="Cambria"/>
                <w:color w:val="333333"/>
                <w:w w:val="110"/>
                <w:sz w:val="21"/>
              </w:rPr>
              <w:t>Whether adaptive topology refreshing using all available refresh triggers should be used.</w:t>
            </w:r>
          </w:p>
        </w:tc>
      </w:tr>
      <w:tr w:rsidR="00A720EB" w14:paraId="6E92385F" w14:textId="77777777">
        <w:trPr>
          <w:trHeight w:val="627"/>
        </w:trPr>
        <w:tc>
          <w:tcPr>
            <w:tcW w:w="2494" w:type="dxa"/>
          </w:tcPr>
          <w:p w14:paraId="1CBB05D7" w14:textId="77777777" w:rsidR="00A720EB" w:rsidRDefault="0030286B">
            <w:pPr>
              <w:pStyle w:val="TableParagraph"/>
              <w:spacing w:before="46" w:line="230" w:lineRule="auto"/>
              <w:ind w:right="94"/>
              <w:rPr>
                <w:sz w:val="21"/>
              </w:rPr>
            </w:pPr>
            <w:proofErr w:type="gramStart"/>
            <w:r>
              <w:rPr>
                <w:color w:val="B02045"/>
                <w:sz w:val="21"/>
              </w:rPr>
              <w:t>spring.redis</w:t>
            </w:r>
            <w:proofErr w:type="gramEnd"/>
            <w:r>
              <w:rPr>
                <w:color w:val="B02045"/>
                <w:sz w:val="21"/>
              </w:rPr>
              <w:t>.lettuce.c luster.refresh.period</w:t>
            </w:r>
          </w:p>
        </w:tc>
        <w:tc>
          <w:tcPr>
            <w:tcW w:w="2494" w:type="dxa"/>
          </w:tcPr>
          <w:p w14:paraId="4DDBD6F5" w14:textId="77777777" w:rsidR="00A720EB" w:rsidRDefault="00A720EB">
            <w:pPr>
              <w:pStyle w:val="TableParagraph"/>
              <w:spacing w:before="0"/>
              <w:ind w:left="0"/>
              <w:rPr>
                <w:rFonts w:ascii="Times New Roman"/>
                <w:sz w:val="20"/>
              </w:rPr>
            </w:pPr>
          </w:p>
        </w:tc>
        <w:tc>
          <w:tcPr>
            <w:tcW w:w="4988" w:type="dxa"/>
          </w:tcPr>
          <w:p w14:paraId="05D24448" w14:textId="77777777" w:rsidR="00A720EB" w:rsidRDefault="0030286B">
            <w:pPr>
              <w:pStyle w:val="TableParagraph"/>
              <w:spacing w:before="92"/>
              <w:rPr>
                <w:rFonts w:ascii="Cambria"/>
                <w:sz w:val="21"/>
              </w:rPr>
            </w:pPr>
            <w:r>
              <w:rPr>
                <w:rFonts w:ascii="Cambria"/>
                <w:color w:val="333333"/>
                <w:w w:val="110"/>
                <w:sz w:val="21"/>
              </w:rPr>
              <w:t>Cluster topology refresh period.</w:t>
            </w:r>
          </w:p>
        </w:tc>
      </w:tr>
      <w:tr w:rsidR="00A720EB" w14:paraId="41759909" w14:textId="77777777">
        <w:trPr>
          <w:trHeight w:val="1056"/>
        </w:trPr>
        <w:tc>
          <w:tcPr>
            <w:tcW w:w="2494" w:type="dxa"/>
          </w:tcPr>
          <w:p w14:paraId="7A8999E1" w14:textId="77777777" w:rsidR="00A720EB" w:rsidRDefault="0030286B">
            <w:pPr>
              <w:pStyle w:val="TableParagraph"/>
              <w:spacing w:before="46" w:line="230" w:lineRule="auto"/>
              <w:ind w:right="113"/>
              <w:rPr>
                <w:sz w:val="21"/>
              </w:rPr>
            </w:pPr>
            <w:proofErr w:type="gramStart"/>
            <w:r>
              <w:rPr>
                <w:color w:val="B02045"/>
                <w:sz w:val="21"/>
              </w:rPr>
              <w:t>spring.redis</w:t>
            </w:r>
            <w:proofErr w:type="gramEnd"/>
            <w:r>
              <w:rPr>
                <w:color w:val="B02045"/>
                <w:sz w:val="21"/>
              </w:rPr>
              <w:t>.lettuce.p ool.max-active</w:t>
            </w:r>
          </w:p>
        </w:tc>
        <w:tc>
          <w:tcPr>
            <w:tcW w:w="2494" w:type="dxa"/>
          </w:tcPr>
          <w:p w14:paraId="0BE1593B" w14:textId="77777777" w:rsidR="00A720EB" w:rsidRDefault="0030286B">
            <w:pPr>
              <w:pStyle w:val="TableParagraph"/>
              <w:rPr>
                <w:sz w:val="21"/>
              </w:rPr>
            </w:pPr>
            <w:r>
              <w:rPr>
                <w:color w:val="B02045"/>
                <w:sz w:val="21"/>
              </w:rPr>
              <w:t>8.0</w:t>
            </w:r>
          </w:p>
        </w:tc>
        <w:tc>
          <w:tcPr>
            <w:tcW w:w="4988" w:type="dxa"/>
          </w:tcPr>
          <w:p w14:paraId="5F28F616" w14:textId="77777777" w:rsidR="00A720EB" w:rsidRDefault="0030286B">
            <w:pPr>
              <w:pStyle w:val="TableParagraph"/>
              <w:spacing w:before="28" w:line="310" w:lineRule="atLeast"/>
              <w:rPr>
                <w:rFonts w:ascii="Cambria"/>
                <w:sz w:val="21"/>
              </w:rPr>
            </w:pPr>
            <w:r>
              <w:rPr>
                <w:rFonts w:ascii="Cambria"/>
                <w:color w:val="333333"/>
                <w:w w:val="110"/>
                <w:sz w:val="21"/>
              </w:rPr>
              <w:t>Maximum number of connections that can be allocated by the pool at a given time. Use a negative value for no limit.</w:t>
            </w:r>
          </w:p>
        </w:tc>
      </w:tr>
      <w:tr w:rsidR="00A720EB" w14:paraId="0A3DB806" w14:textId="77777777">
        <w:trPr>
          <w:trHeight w:val="1056"/>
        </w:trPr>
        <w:tc>
          <w:tcPr>
            <w:tcW w:w="2494" w:type="dxa"/>
          </w:tcPr>
          <w:p w14:paraId="577CCF73" w14:textId="77777777" w:rsidR="00A720EB" w:rsidRDefault="0030286B">
            <w:pPr>
              <w:pStyle w:val="TableParagraph"/>
              <w:spacing w:before="46" w:line="230" w:lineRule="auto"/>
              <w:ind w:right="113"/>
              <w:rPr>
                <w:sz w:val="21"/>
              </w:rPr>
            </w:pPr>
            <w:proofErr w:type="gramStart"/>
            <w:r>
              <w:rPr>
                <w:color w:val="B02045"/>
                <w:sz w:val="21"/>
              </w:rPr>
              <w:t>spring.redis</w:t>
            </w:r>
            <w:proofErr w:type="gramEnd"/>
            <w:r>
              <w:rPr>
                <w:color w:val="B02045"/>
                <w:sz w:val="21"/>
              </w:rPr>
              <w:t>.lettuce.p ool.max-idle</w:t>
            </w:r>
          </w:p>
        </w:tc>
        <w:tc>
          <w:tcPr>
            <w:tcW w:w="2494" w:type="dxa"/>
          </w:tcPr>
          <w:p w14:paraId="6A2F5F2B" w14:textId="77777777" w:rsidR="00A720EB" w:rsidRDefault="0030286B">
            <w:pPr>
              <w:pStyle w:val="TableParagraph"/>
              <w:spacing w:before="37"/>
              <w:rPr>
                <w:sz w:val="21"/>
              </w:rPr>
            </w:pPr>
            <w:r>
              <w:rPr>
                <w:color w:val="B02045"/>
                <w:sz w:val="21"/>
              </w:rPr>
              <w:t>8.0</w:t>
            </w:r>
          </w:p>
        </w:tc>
        <w:tc>
          <w:tcPr>
            <w:tcW w:w="4988" w:type="dxa"/>
          </w:tcPr>
          <w:p w14:paraId="3662E025" w14:textId="77777777" w:rsidR="00A720EB" w:rsidRDefault="0030286B">
            <w:pPr>
              <w:pStyle w:val="TableParagraph"/>
              <w:spacing w:before="28" w:line="310" w:lineRule="atLeast"/>
              <w:ind w:right="218"/>
              <w:rPr>
                <w:rFonts w:ascii="Cambria"/>
                <w:sz w:val="21"/>
              </w:rPr>
            </w:pPr>
            <w:r>
              <w:rPr>
                <w:rFonts w:ascii="Cambria"/>
                <w:color w:val="333333"/>
                <w:w w:val="110"/>
                <w:sz w:val="21"/>
              </w:rPr>
              <w:t>Maximum number of "idle" connections in the pool. Use a negative value to indicate an unlimited number of idle connections.</w:t>
            </w:r>
          </w:p>
        </w:tc>
      </w:tr>
      <w:tr w:rsidR="00A720EB" w14:paraId="4EED6E2B" w14:textId="77777777">
        <w:trPr>
          <w:trHeight w:val="1372"/>
        </w:trPr>
        <w:tc>
          <w:tcPr>
            <w:tcW w:w="2494" w:type="dxa"/>
          </w:tcPr>
          <w:p w14:paraId="7CC963B7" w14:textId="77777777" w:rsidR="00A720EB" w:rsidRDefault="0030286B">
            <w:pPr>
              <w:pStyle w:val="TableParagraph"/>
              <w:spacing w:before="46" w:line="230" w:lineRule="auto"/>
              <w:ind w:right="113"/>
              <w:rPr>
                <w:sz w:val="21"/>
              </w:rPr>
            </w:pPr>
            <w:proofErr w:type="gramStart"/>
            <w:r>
              <w:rPr>
                <w:color w:val="B02045"/>
                <w:sz w:val="21"/>
              </w:rPr>
              <w:t>spring.redis</w:t>
            </w:r>
            <w:proofErr w:type="gramEnd"/>
            <w:r>
              <w:rPr>
                <w:color w:val="B02045"/>
                <w:sz w:val="21"/>
              </w:rPr>
              <w:t>.lettuce.p ool.max-wait</w:t>
            </w:r>
          </w:p>
        </w:tc>
        <w:tc>
          <w:tcPr>
            <w:tcW w:w="2494" w:type="dxa"/>
          </w:tcPr>
          <w:p w14:paraId="550363C2" w14:textId="77777777" w:rsidR="00A720EB" w:rsidRDefault="0030286B">
            <w:pPr>
              <w:pStyle w:val="TableParagraph"/>
              <w:spacing w:before="37"/>
              <w:rPr>
                <w:sz w:val="21"/>
              </w:rPr>
            </w:pPr>
            <w:r>
              <w:rPr>
                <w:color w:val="B02045"/>
                <w:sz w:val="21"/>
              </w:rPr>
              <w:t>-1ms</w:t>
            </w:r>
          </w:p>
        </w:tc>
        <w:tc>
          <w:tcPr>
            <w:tcW w:w="4988" w:type="dxa"/>
          </w:tcPr>
          <w:p w14:paraId="7E16E21D" w14:textId="77777777" w:rsidR="00A720EB" w:rsidRDefault="0030286B">
            <w:pPr>
              <w:pStyle w:val="TableParagraph"/>
              <w:spacing w:before="28" w:line="310" w:lineRule="atLeast"/>
              <w:ind w:right="526"/>
              <w:rPr>
                <w:rFonts w:ascii="Cambria"/>
                <w:sz w:val="21"/>
              </w:rPr>
            </w:pPr>
            <w:r>
              <w:rPr>
                <w:rFonts w:ascii="Cambria"/>
                <w:color w:val="333333"/>
                <w:w w:val="115"/>
                <w:sz w:val="21"/>
              </w:rPr>
              <w:t>Maximum amount of time a connection allocation</w:t>
            </w:r>
            <w:r>
              <w:rPr>
                <w:rFonts w:ascii="Cambria"/>
                <w:color w:val="333333"/>
                <w:spacing w:val="-20"/>
                <w:w w:val="115"/>
                <w:sz w:val="21"/>
              </w:rPr>
              <w:t xml:space="preserve"> </w:t>
            </w:r>
            <w:r>
              <w:rPr>
                <w:rFonts w:ascii="Cambria"/>
                <w:color w:val="333333"/>
                <w:w w:val="115"/>
                <w:sz w:val="21"/>
              </w:rPr>
              <w:t>should</w:t>
            </w:r>
            <w:r>
              <w:rPr>
                <w:rFonts w:ascii="Cambria"/>
                <w:color w:val="333333"/>
                <w:spacing w:val="-18"/>
                <w:w w:val="115"/>
                <w:sz w:val="21"/>
              </w:rPr>
              <w:t xml:space="preserve"> </w:t>
            </w:r>
            <w:r>
              <w:rPr>
                <w:rFonts w:ascii="Cambria"/>
                <w:color w:val="333333"/>
                <w:w w:val="115"/>
                <w:sz w:val="21"/>
              </w:rPr>
              <w:t>block</w:t>
            </w:r>
            <w:r>
              <w:rPr>
                <w:rFonts w:ascii="Cambria"/>
                <w:color w:val="333333"/>
                <w:spacing w:val="-19"/>
                <w:w w:val="115"/>
                <w:sz w:val="21"/>
              </w:rPr>
              <w:t xml:space="preserve"> </w:t>
            </w:r>
            <w:r>
              <w:rPr>
                <w:rFonts w:ascii="Cambria"/>
                <w:color w:val="333333"/>
                <w:w w:val="115"/>
                <w:sz w:val="21"/>
              </w:rPr>
              <w:t>before</w:t>
            </w:r>
            <w:r>
              <w:rPr>
                <w:rFonts w:ascii="Cambria"/>
                <w:color w:val="333333"/>
                <w:spacing w:val="-19"/>
                <w:w w:val="115"/>
                <w:sz w:val="21"/>
              </w:rPr>
              <w:t xml:space="preserve"> </w:t>
            </w:r>
            <w:r>
              <w:rPr>
                <w:rFonts w:ascii="Cambria"/>
                <w:color w:val="333333"/>
                <w:w w:val="115"/>
                <w:sz w:val="21"/>
              </w:rPr>
              <w:t>throwing</w:t>
            </w:r>
            <w:r>
              <w:rPr>
                <w:rFonts w:ascii="Cambria"/>
                <w:color w:val="333333"/>
                <w:spacing w:val="-19"/>
                <w:w w:val="115"/>
                <w:sz w:val="21"/>
              </w:rPr>
              <w:t xml:space="preserve"> </w:t>
            </w:r>
            <w:r>
              <w:rPr>
                <w:rFonts w:ascii="Cambria"/>
                <w:color w:val="333333"/>
                <w:w w:val="115"/>
                <w:sz w:val="21"/>
              </w:rPr>
              <w:t>an exception</w:t>
            </w:r>
            <w:r>
              <w:rPr>
                <w:rFonts w:ascii="Cambria"/>
                <w:color w:val="333333"/>
                <w:spacing w:val="-20"/>
                <w:w w:val="115"/>
                <w:sz w:val="21"/>
              </w:rPr>
              <w:t xml:space="preserve"> </w:t>
            </w:r>
            <w:r>
              <w:rPr>
                <w:rFonts w:ascii="Cambria"/>
                <w:color w:val="333333"/>
                <w:w w:val="115"/>
                <w:sz w:val="21"/>
              </w:rPr>
              <w:t>when</w:t>
            </w:r>
            <w:r>
              <w:rPr>
                <w:rFonts w:ascii="Cambria"/>
                <w:color w:val="333333"/>
                <w:spacing w:val="-20"/>
                <w:w w:val="115"/>
                <w:sz w:val="21"/>
              </w:rPr>
              <w:t xml:space="preserve"> </w:t>
            </w:r>
            <w:r>
              <w:rPr>
                <w:rFonts w:ascii="Cambria"/>
                <w:color w:val="333333"/>
                <w:w w:val="115"/>
                <w:sz w:val="21"/>
              </w:rPr>
              <w:t>the</w:t>
            </w:r>
            <w:r>
              <w:rPr>
                <w:rFonts w:ascii="Cambria"/>
                <w:color w:val="333333"/>
                <w:spacing w:val="-20"/>
                <w:w w:val="115"/>
                <w:sz w:val="21"/>
              </w:rPr>
              <w:t xml:space="preserve"> </w:t>
            </w:r>
            <w:r>
              <w:rPr>
                <w:rFonts w:ascii="Cambria"/>
                <w:color w:val="333333"/>
                <w:w w:val="115"/>
                <w:sz w:val="21"/>
              </w:rPr>
              <w:t>pool</w:t>
            </w:r>
            <w:r>
              <w:rPr>
                <w:rFonts w:ascii="Cambria"/>
                <w:color w:val="333333"/>
                <w:spacing w:val="-20"/>
                <w:w w:val="115"/>
                <w:sz w:val="21"/>
              </w:rPr>
              <w:t xml:space="preserve"> </w:t>
            </w:r>
            <w:r>
              <w:rPr>
                <w:rFonts w:ascii="Cambria"/>
                <w:color w:val="333333"/>
                <w:w w:val="115"/>
                <w:sz w:val="21"/>
              </w:rPr>
              <w:t>is</w:t>
            </w:r>
            <w:r>
              <w:rPr>
                <w:rFonts w:ascii="Cambria"/>
                <w:color w:val="333333"/>
                <w:spacing w:val="-20"/>
                <w:w w:val="115"/>
                <w:sz w:val="21"/>
              </w:rPr>
              <w:t xml:space="preserve"> </w:t>
            </w:r>
            <w:r>
              <w:rPr>
                <w:rFonts w:ascii="Cambria"/>
                <w:color w:val="333333"/>
                <w:w w:val="115"/>
                <w:sz w:val="21"/>
              </w:rPr>
              <w:t>exhausted.</w:t>
            </w:r>
            <w:r>
              <w:rPr>
                <w:rFonts w:ascii="Cambria"/>
                <w:color w:val="333333"/>
                <w:spacing w:val="-20"/>
                <w:w w:val="115"/>
                <w:sz w:val="21"/>
              </w:rPr>
              <w:t xml:space="preserve"> </w:t>
            </w:r>
            <w:r>
              <w:rPr>
                <w:rFonts w:ascii="Cambria"/>
                <w:color w:val="333333"/>
                <w:w w:val="115"/>
                <w:sz w:val="21"/>
              </w:rPr>
              <w:t>Use</w:t>
            </w:r>
            <w:r>
              <w:rPr>
                <w:rFonts w:ascii="Cambria"/>
                <w:color w:val="333333"/>
                <w:spacing w:val="-20"/>
                <w:w w:val="115"/>
                <w:sz w:val="21"/>
              </w:rPr>
              <w:t xml:space="preserve"> </w:t>
            </w:r>
            <w:r>
              <w:rPr>
                <w:rFonts w:ascii="Cambria"/>
                <w:color w:val="333333"/>
                <w:w w:val="115"/>
                <w:sz w:val="21"/>
              </w:rPr>
              <w:t>a negative value to block</w:t>
            </w:r>
            <w:r>
              <w:rPr>
                <w:rFonts w:ascii="Cambria"/>
                <w:color w:val="333333"/>
                <w:spacing w:val="-14"/>
                <w:w w:val="115"/>
                <w:sz w:val="21"/>
              </w:rPr>
              <w:t xml:space="preserve"> </w:t>
            </w:r>
            <w:r>
              <w:rPr>
                <w:rFonts w:ascii="Cambria"/>
                <w:color w:val="333333"/>
                <w:spacing w:val="-3"/>
                <w:w w:val="115"/>
                <w:sz w:val="21"/>
              </w:rPr>
              <w:t>indefinitely.</w:t>
            </w:r>
          </w:p>
        </w:tc>
      </w:tr>
      <w:tr w:rsidR="00A720EB" w14:paraId="79BE54E4" w14:textId="77777777">
        <w:trPr>
          <w:trHeight w:val="1372"/>
        </w:trPr>
        <w:tc>
          <w:tcPr>
            <w:tcW w:w="2494" w:type="dxa"/>
          </w:tcPr>
          <w:p w14:paraId="05A83660" w14:textId="77777777" w:rsidR="00A720EB" w:rsidRDefault="0030286B">
            <w:pPr>
              <w:pStyle w:val="TableParagraph"/>
              <w:spacing w:before="46" w:line="230" w:lineRule="auto"/>
              <w:ind w:right="113"/>
              <w:rPr>
                <w:sz w:val="21"/>
              </w:rPr>
            </w:pPr>
            <w:proofErr w:type="gramStart"/>
            <w:r>
              <w:rPr>
                <w:color w:val="B02045"/>
                <w:sz w:val="21"/>
              </w:rPr>
              <w:t>spring.redis</w:t>
            </w:r>
            <w:proofErr w:type="gramEnd"/>
            <w:r>
              <w:rPr>
                <w:color w:val="B02045"/>
                <w:sz w:val="21"/>
              </w:rPr>
              <w:t>.lettuce.p ool.min-idle</w:t>
            </w:r>
          </w:p>
        </w:tc>
        <w:tc>
          <w:tcPr>
            <w:tcW w:w="2494" w:type="dxa"/>
          </w:tcPr>
          <w:p w14:paraId="213AB0AE" w14:textId="77777777" w:rsidR="00A720EB" w:rsidRDefault="0030286B">
            <w:pPr>
              <w:pStyle w:val="TableParagraph"/>
              <w:spacing w:before="37"/>
              <w:rPr>
                <w:sz w:val="21"/>
              </w:rPr>
            </w:pPr>
            <w:r>
              <w:rPr>
                <w:color w:val="B02045"/>
                <w:sz w:val="21"/>
              </w:rPr>
              <w:t>0.0</w:t>
            </w:r>
          </w:p>
        </w:tc>
        <w:tc>
          <w:tcPr>
            <w:tcW w:w="4988" w:type="dxa"/>
          </w:tcPr>
          <w:p w14:paraId="6398D8B4" w14:textId="77777777" w:rsidR="00A720EB" w:rsidRDefault="0030286B">
            <w:pPr>
              <w:pStyle w:val="TableParagraph"/>
              <w:spacing w:before="28" w:line="310" w:lineRule="atLeast"/>
              <w:rPr>
                <w:rFonts w:ascii="Cambria"/>
                <w:sz w:val="21"/>
              </w:rPr>
            </w:pPr>
            <w:r>
              <w:rPr>
                <w:rFonts w:ascii="Cambria"/>
                <w:color w:val="333333"/>
                <w:w w:val="110"/>
                <w:sz w:val="21"/>
              </w:rPr>
              <w:t>Target for the minimum number of idle connections to maintain in the pool. This setting only has an effect if both it and time between eviction runs are positive.</w:t>
            </w:r>
          </w:p>
        </w:tc>
      </w:tr>
      <w:tr w:rsidR="00A720EB" w14:paraId="6727675B" w14:textId="77777777">
        <w:trPr>
          <w:trHeight w:val="1372"/>
        </w:trPr>
        <w:tc>
          <w:tcPr>
            <w:tcW w:w="2494" w:type="dxa"/>
          </w:tcPr>
          <w:p w14:paraId="15CBB76D" w14:textId="77777777" w:rsidR="00A720EB" w:rsidRDefault="0030286B">
            <w:pPr>
              <w:pStyle w:val="TableParagraph"/>
              <w:spacing w:before="46" w:line="230" w:lineRule="auto"/>
              <w:ind w:right="113"/>
              <w:rPr>
                <w:sz w:val="21"/>
              </w:rPr>
            </w:pPr>
            <w:proofErr w:type="gramStart"/>
            <w:r>
              <w:rPr>
                <w:color w:val="B02045"/>
                <w:sz w:val="21"/>
              </w:rPr>
              <w:t>spring.redis</w:t>
            </w:r>
            <w:proofErr w:type="gramEnd"/>
            <w:r>
              <w:rPr>
                <w:color w:val="B02045"/>
                <w:sz w:val="21"/>
              </w:rPr>
              <w:t>.lettuce.p ool.time-between- eviction-runs</w:t>
            </w:r>
          </w:p>
        </w:tc>
        <w:tc>
          <w:tcPr>
            <w:tcW w:w="2494" w:type="dxa"/>
          </w:tcPr>
          <w:p w14:paraId="4348892B" w14:textId="77777777" w:rsidR="00A720EB" w:rsidRDefault="00A720EB">
            <w:pPr>
              <w:pStyle w:val="TableParagraph"/>
              <w:spacing w:before="0"/>
              <w:ind w:left="0"/>
              <w:rPr>
                <w:rFonts w:ascii="Times New Roman"/>
                <w:sz w:val="20"/>
              </w:rPr>
            </w:pPr>
          </w:p>
        </w:tc>
        <w:tc>
          <w:tcPr>
            <w:tcW w:w="4988" w:type="dxa"/>
          </w:tcPr>
          <w:p w14:paraId="50C315C8" w14:textId="77777777" w:rsidR="00A720EB" w:rsidRDefault="0030286B">
            <w:pPr>
              <w:pStyle w:val="TableParagraph"/>
              <w:spacing w:before="28" w:line="310" w:lineRule="atLeast"/>
              <w:rPr>
                <w:rFonts w:ascii="Cambria"/>
                <w:sz w:val="21"/>
              </w:rPr>
            </w:pPr>
            <w:r>
              <w:rPr>
                <w:rFonts w:ascii="Cambria"/>
                <w:color w:val="333333"/>
                <w:w w:val="110"/>
                <w:sz w:val="21"/>
              </w:rPr>
              <w:t>Time between runs of the idle object evictor thread. When positive, the idle object evictor thread starts, otherwise no idle object eviction is performed.</w:t>
            </w:r>
          </w:p>
        </w:tc>
      </w:tr>
      <w:tr w:rsidR="00A720EB" w14:paraId="1C9C487A" w14:textId="77777777">
        <w:trPr>
          <w:trHeight w:val="627"/>
        </w:trPr>
        <w:tc>
          <w:tcPr>
            <w:tcW w:w="2494" w:type="dxa"/>
          </w:tcPr>
          <w:p w14:paraId="6DB4F5C2" w14:textId="77777777" w:rsidR="00A720EB" w:rsidRDefault="0030286B">
            <w:pPr>
              <w:pStyle w:val="TableParagraph"/>
              <w:spacing w:before="46" w:line="230" w:lineRule="auto"/>
              <w:ind w:right="113"/>
              <w:rPr>
                <w:sz w:val="21"/>
              </w:rPr>
            </w:pPr>
            <w:proofErr w:type="gramStart"/>
            <w:r>
              <w:rPr>
                <w:color w:val="B02045"/>
                <w:sz w:val="21"/>
              </w:rPr>
              <w:t>spring.redis</w:t>
            </w:r>
            <w:proofErr w:type="gramEnd"/>
            <w:r>
              <w:rPr>
                <w:color w:val="B02045"/>
                <w:sz w:val="21"/>
              </w:rPr>
              <w:t>.lettuce.s hutdown-timeout</w:t>
            </w:r>
          </w:p>
        </w:tc>
        <w:tc>
          <w:tcPr>
            <w:tcW w:w="2494" w:type="dxa"/>
          </w:tcPr>
          <w:p w14:paraId="5244FC4D" w14:textId="77777777" w:rsidR="00A720EB" w:rsidRDefault="0030286B">
            <w:pPr>
              <w:pStyle w:val="TableParagraph"/>
              <w:rPr>
                <w:sz w:val="21"/>
              </w:rPr>
            </w:pPr>
            <w:r>
              <w:rPr>
                <w:color w:val="B02045"/>
                <w:sz w:val="21"/>
              </w:rPr>
              <w:t>100ms</w:t>
            </w:r>
          </w:p>
        </w:tc>
        <w:tc>
          <w:tcPr>
            <w:tcW w:w="4988" w:type="dxa"/>
          </w:tcPr>
          <w:p w14:paraId="3B8FF44F" w14:textId="77777777" w:rsidR="00A720EB" w:rsidRDefault="0030286B">
            <w:pPr>
              <w:pStyle w:val="TableParagraph"/>
              <w:spacing w:before="92"/>
              <w:rPr>
                <w:rFonts w:ascii="Cambria"/>
                <w:sz w:val="21"/>
              </w:rPr>
            </w:pPr>
            <w:r>
              <w:rPr>
                <w:rFonts w:ascii="Cambria"/>
                <w:color w:val="333333"/>
                <w:w w:val="110"/>
                <w:sz w:val="21"/>
              </w:rPr>
              <w:t>Shutdown timeout.</w:t>
            </w:r>
          </w:p>
        </w:tc>
      </w:tr>
      <w:tr w:rsidR="00A720EB" w14:paraId="7D1166F3" w14:textId="77777777">
        <w:trPr>
          <w:trHeight w:val="425"/>
        </w:trPr>
        <w:tc>
          <w:tcPr>
            <w:tcW w:w="2494" w:type="dxa"/>
          </w:tcPr>
          <w:p w14:paraId="329538A1" w14:textId="77777777" w:rsidR="00A720EB" w:rsidRDefault="0030286B">
            <w:pPr>
              <w:pStyle w:val="TableParagraph"/>
              <w:rPr>
                <w:sz w:val="21"/>
              </w:rPr>
            </w:pPr>
            <w:proofErr w:type="gramStart"/>
            <w:r>
              <w:rPr>
                <w:color w:val="B02045"/>
                <w:sz w:val="21"/>
              </w:rPr>
              <w:t>spring.redis</w:t>
            </w:r>
            <w:proofErr w:type="gramEnd"/>
            <w:r>
              <w:rPr>
                <w:color w:val="B02045"/>
                <w:sz w:val="21"/>
              </w:rPr>
              <w:t>.password</w:t>
            </w:r>
          </w:p>
        </w:tc>
        <w:tc>
          <w:tcPr>
            <w:tcW w:w="2494" w:type="dxa"/>
          </w:tcPr>
          <w:p w14:paraId="21AA36D5" w14:textId="77777777" w:rsidR="00A720EB" w:rsidRDefault="00A720EB">
            <w:pPr>
              <w:pStyle w:val="TableParagraph"/>
              <w:spacing w:before="0"/>
              <w:ind w:left="0"/>
              <w:rPr>
                <w:rFonts w:ascii="Times New Roman"/>
                <w:sz w:val="20"/>
              </w:rPr>
            </w:pPr>
          </w:p>
        </w:tc>
        <w:tc>
          <w:tcPr>
            <w:tcW w:w="4988" w:type="dxa"/>
          </w:tcPr>
          <w:p w14:paraId="1A0641A7" w14:textId="77777777" w:rsidR="00A720EB" w:rsidRDefault="0030286B">
            <w:pPr>
              <w:pStyle w:val="TableParagraph"/>
              <w:spacing w:before="92"/>
              <w:rPr>
                <w:rFonts w:ascii="Cambria"/>
                <w:sz w:val="21"/>
              </w:rPr>
            </w:pPr>
            <w:r>
              <w:rPr>
                <w:rFonts w:ascii="Cambria"/>
                <w:color w:val="333333"/>
                <w:w w:val="110"/>
                <w:sz w:val="21"/>
              </w:rPr>
              <w:t>Login password of the redis server.</w:t>
            </w:r>
          </w:p>
        </w:tc>
      </w:tr>
      <w:tr w:rsidR="00A720EB" w14:paraId="098443A8" w14:textId="77777777">
        <w:trPr>
          <w:trHeight w:val="425"/>
        </w:trPr>
        <w:tc>
          <w:tcPr>
            <w:tcW w:w="2494" w:type="dxa"/>
          </w:tcPr>
          <w:p w14:paraId="1FA77CD4" w14:textId="77777777" w:rsidR="00A720EB" w:rsidRDefault="0030286B">
            <w:pPr>
              <w:pStyle w:val="TableParagraph"/>
              <w:rPr>
                <w:sz w:val="21"/>
              </w:rPr>
            </w:pPr>
            <w:proofErr w:type="gramStart"/>
            <w:r>
              <w:rPr>
                <w:color w:val="B02045"/>
                <w:sz w:val="21"/>
              </w:rPr>
              <w:t>spring.redis</w:t>
            </w:r>
            <w:proofErr w:type="gramEnd"/>
            <w:r>
              <w:rPr>
                <w:color w:val="B02045"/>
                <w:sz w:val="21"/>
              </w:rPr>
              <w:t>.port</w:t>
            </w:r>
          </w:p>
        </w:tc>
        <w:tc>
          <w:tcPr>
            <w:tcW w:w="2494" w:type="dxa"/>
          </w:tcPr>
          <w:p w14:paraId="776C90ED" w14:textId="77777777" w:rsidR="00A720EB" w:rsidRDefault="0030286B">
            <w:pPr>
              <w:pStyle w:val="TableParagraph"/>
              <w:rPr>
                <w:sz w:val="21"/>
              </w:rPr>
            </w:pPr>
            <w:r>
              <w:rPr>
                <w:color w:val="B02045"/>
                <w:sz w:val="21"/>
              </w:rPr>
              <w:t>6379.0</w:t>
            </w:r>
          </w:p>
        </w:tc>
        <w:tc>
          <w:tcPr>
            <w:tcW w:w="4988" w:type="dxa"/>
          </w:tcPr>
          <w:p w14:paraId="1B00D1FB" w14:textId="77777777" w:rsidR="00A720EB" w:rsidRDefault="0030286B">
            <w:pPr>
              <w:pStyle w:val="TableParagraph"/>
              <w:spacing w:before="92"/>
              <w:rPr>
                <w:rFonts w:ascii="Cambria"/>
                <w:sz w:val="21"/>
              </w:rPr>
            </w:pPr>
            <w:r>
              <w:rPr>
                <w:rFonts w:ascii="Cambria"/>
                <w:color w:val="333333"/>
                <w:w w:val="110"/>
                <w:sz w:val="21"/>
              </w:rPr>
              <w:t>Redis server port.</w:t>
            </w:r>
          </w:p>
        </w:tc>
      </w:tr>
    </w:tbl>
    <w:p w14:paraId="322443B9" w14:textId="77777777" w:rsidR="00A720EB" w:rsidRDefault="00A720EB">
      <w:pPr>
        <w:rPr>
          <w:sz w:val="21"/>
        </w:rPr>
        <w:sectPr w:rsidR="00A720EB">
          <w:footerReference w:type="even" r:id="rId679"/>
          <w:footerReference w:type="default" r:id="rId680"/>
          <w:pgSz w:w="11910" w:h="16840"/>
          <w:pgMar w:top="700" w:right="840" w:bottom="380" w:left="840" w:header="0" w:footer="198" w:gutter="0"/>
          <w:pgNumType w:start="388"/>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BE40EFA" w14:textId="77777777">
        <w:trPr>
          <w:trHeight w:val="415"/>
        </w:trPr>
        <w:tc>
          <w:tcPr>
            <w:tcW w:w="2494" w:type="dxa"/>
            <w:tcBorders>
              <w:bottom w:val="single" w:sz="12" w:space="0" w:color="DDDDDD"/>
            </w:tcBorders>
          </w:tcPr>
          <w:p w14:paraId="3446D2D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C128820"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DFCF232"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2FFAE3B" w14:textId="77777777">
        <w:trPr>
          <w:trHeight w:val="617"/>
        </w:trPr>
        <w:tc>
          <w:tcPr>
            <w:tcW w:w="2494" w:type="dxa"/>
            <w:tcBorders>
              <w:top w:val="single" w:sz="12" w:space="0" w:color="DDDDDD"/>
            </w:tcBorders>
          </w:tcPr>
          <w:p w14:paraId="371F6A1B" w14:textId="77777777" w:rsidR="00A720EB" w:rsidRDefault="0030286B">
            <w:pPr>
              <w:pStyle w:val="TableParagraph"/>
              <w:spacing w:before="36" w:line="230" w:lineRule="auto"/>
              <w:ind w:right="94"/>
              <w:rPr>
                <w:sz w:val="21"/>
              </w:rPr>
            </w:pPr>
            <w:proofErr w:type="gramStart"/>
            <w:r>
              <w:rPr>
                <w:color w:val="B02045"/>
                <w:sz w:val="21"/>
              </w:rPr>
              <w:t>spring.redis</w:t>
            </w:r>
            <w:proofErr w:type="gramEnd"/>
            <w:r>
              <w:rPr>
                <w:color w:val="B02045"/>
                <w:sz w:val="21"/>
              </w:rPr>
              <w:t>.sentinel. master</w:t>
            </w:r>
          </w:p>
        </w:tc>
        <w:tc>
          <w:tcPr>
            <w:tcW w:w="2494" w:type="dxa"/>
            <w:tcBorders>
              <w:top w:val="single" w:sz="12" w:space="0" w:color="DDDDDD"/>
            </w:tcBorders>
          </w:tcPr>
          <w:p w14:paraId="4B366D1E"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0204F38A" w14:textId="77777777" w:rsidR="00A720EB" w:rsidRDefault="0030286B">
            <w:pPr>
              <w:pStyle w:val="TableParagraph"/>
              <w:spacing w:before="82"/>
              <w:rPr>
                <w:rFonts w:ascii="Cambria"/>
                <w:sz w:val="21"/>
              </w:rPr>
            </w:pPr>
            <w:r>
              <w:rPr>
                <w:rFonts w:ascii="Cambria"/>
                <w:color w:val="333333"/>
                <w:w w:val="110"/>
                <w:sz w:val="21"/>
              </w:rPr>
              <w:t>Name of the Redis server.</w:t>
            </w:r>
          </w:p>
        </w:tc>
      </w:tr>
      <w:tr w:rsidR="00A720EB" w14:paraId="30F6AF0A" w14:textId="77777777">
        <w:trPr>
          <w:trHeight w:val="627"/>
        </w:trPr>
        <w:tc>
          <w:tcPr>
            <w:tcW w:w="2494" w:type="dxa"/>
          </w:tcPr>
          <w:p w14:paraId="75CBD0A5" w14:textId="77777777" w:rsidR="00A720EB" w:rsidRDefault="0030286B">
            <w:pPr>
              <w:pStyle w:val="TableParagraph"/>
              <w:spacing w:before="46" w:line="230" w:lineRule="auto"/>
              <w:ind w:right="94"/>
              <w:rPr>
                <w:sz w:val="21"/>
              </w:rPr>
            </w:pPr>
            <w:proofErr w:type="gramStart"/>
            <w:r>
              <w:rPr>
                <w:color w:val="B02045"/>
                <w:sz w:val="21"/>
              </w:rPr>
              <w:t>spring.redis</w:t>
            </w:r>
            <w:proofErr w:type="gramEnd"/>
            <w:r>
              <w:rPr>
                <w:color w:val="B02045"/>
                <w:sz w:val="21"/>
              </w:rPr>
              <w:t>.sentinel. nodes</w:t>
            </w:r>
          </w:p>
        </w:tc>
        <w:tc>
          <w:tcPr>
            <w:tcW w:w="2494" w:type="dxa"/>
          </w:tcPr>
          <w:p w14:paraId="2710382A" w14:textId="77777777" w:rsidR="00A720EB" w:rsidRDefault="00A720EB">
            <w:pPr>
              <w:pStyle w:val="TableParagraph"/>
              <w:spacing w:before="0"/>
              <w:ind w:left="0"/>
              <w:rPr>
                <w:rFonts w:ascii="Times New Roman"/>
                <w:sz w:val="20"/>
              </w:rPr>
            </w:pPr>
          </w:p>
        </w:tc>
        <w:tc>
          <w:tcPr>
            <w:tcW w:w="4988" w:type="dxa"/>
          </w:tcPr>
          <w:p w14:paraId="34475E3A" w14:textId="77777777" w:rsidR="00A720EB" w:rsidRDefault="0030286B">
            <w:pPr>
              <w:pStyle w:val="TableParagraph"/>
              <w:spacing w:before="92"/>
              <w:rPr>
                <w:rFonts w:ascii="Cambria"/>
                <w:sz w:val="21"/>
              </w:rPr>
            </w:pPr>
            <w:r>
              <w:rPr>
                <w:rFonts w:ascii="Cambria"/>
                <w:color w:val="333333"/>
                <w:w w:val="110"/>
                <w:sz w:val="21"/>
              </w:rPr>
              <w:t>Comma-separated list of "</w:t>
            </w:r>
            <w:proofErr w:type="gramStart"/>
            <w:r>
              <w:rPr>
                <w:rFonts w:ascii="Cambria"/>
                <w:color w:val="333333"/>
                <w:w w:val="110"/>
                <w:sz w:val="21"/>
              </w:rPr>
              <w:t>host:port</w:t>
            </w:r>
            <w:proofErr w:type="gramEnd"/>
            <w:r>
              <w:rPr>
                <w:rFonts w:ascii="Cambria"/>
                <w:color w:val="333333"/>
                <w:w w:val="110"/>
                <w:sz w:val="21"/>
              </w:rPr>
              <w:t>" pairs.</w:t>
            </w:r>
          </w:p>
        </w:tc>
      </w:tr>
      <w:tr w:rsidR="00A720EB" w14:paraId="1ED38AB3" w14:textId="77777777">
        <w:trPr>
          <w:trHeight w:val="627"/>
        </w:trPr>
        <w:tc>
          <w:tcPr>
            <w:tcW w:w="2494" w:type="dxa"/>
          </w:tcPr>
          <w:p w14:paraId="02A5CF8E" w14:textId="77777777" w:rsidR="00A720EB" w:rsidRDefault="0030286B">
            <w:pPr>
              <w:pStyle w:val="TableParagraph"/>
              <w:spacing w:before="46" w:line="230" w:lineRule="auto"/>
              <w:ind w:right="94"/>
              <w:rPr>
                <w:sz w:val="21"/>
              </w:rPr>
            </w:pPr>
            <w:proofErr w:type="gramStart"/>
            <w:r>
              <w:rPr>
                <w:color w:val="B02045"/>
                <w:sz w:val="21"/>
              </w:rPr>
              <w:t>spring.redis</w:t>
            </w:r>
            <w:proofErr w:type="gramEnd"/>
            <w:r>
              <w:rPr>
                <w:color w:val="B02045"/>
                <w:sz w:val="21"/>
              </w:rPr>
              <w:t>.sentinel. password</w:t>
            </w:r>
          </w:p>
        </w:tc>
        <w:tc>
          <w:tcPr>
            <w:tcW w:w="2494" w:type="dxa"/>
          </w:tcPr>
          <w:p w14:paraId="2E18218D" w14:textId="77777777" w:rsidR="00A720EB" w:rsidRDefault="00A720EB">
            <w:pPr>
              <w:pStyle w:val="TableParagraph"/>
              <w:spacing w:before="0"/>
              <w:ind w:left="0"/>
              <w:rPr>
                <w:rFonts w:ascii="Times New Roman"/>
                <w:sz w:val="20"/>
              </w:rPr>
            </w:pPr>
          </w:p>
        </w:tc>
        <w:tc>
          <w:tcPr>
            <w:tcW w:w="4988" w:type="dxa"/>
          </w:tcPr>
          <w:p w14:paraId="6ECBE315" w14:textId="77777777" w:rsidR="00A720EB" w:rsidRDefault="0030286B">
            <w:pPr>
              <w:pStyle w:val="TableParagraph"/>
              <w:spacing w:before="92"/>
              <w:rPr>
                <w:rFonts w:ascii="Cambria"/>
                <w:sz w:val="21"/>
              </w:rPr>
            </w:pPr>
            <w:r>
              <w:rPr>
                <w:rFonts w:ascii="Cambria"/>
                <w:color w:val="333333"/>
                <w:w w:val="110"/>
                <w:sz w:val="21"/>
              </w:rPr>
              <w:t>Password for authenticating with sentinel(s).</w:t>
            </w:r>
          </w:p>
        </w:tc>
      </w:tr>
      <w:tr w:rsidR="00A720EB" w14:paraId="2B91C480" w14:textId="77777777">
        <w:trPr>
          <w:trHeight w:val="425"/>
        </w:trPr>
        <w:tc>
          <w:tcPr>
            <w:tcW w:w="2494" w:type="dxa"/>
          </w:tcPr>
          <w:p w14:paraId="347CC86C" w14:textId="77777777" w:rsidR="00A720EB" w:rsidRDefault="0030286B">
            <w:pPr>
              <w:pStyle w:val="TableParagraph"/>
              <w:rPr>
                <w:sz w:val="21"/>
              </w:rPr>
            </w:pPr>
            <w:r>
              <w:rPr>
                <w:color w:val="B02045"/>
                <w:sz w:val="21"/>
              </w:rPr>
              <w:t>spring.redis.ssl</w:t>
            </w:r>
          </w:p>
        </w:tc>
        <w:tc>
          <w:tcPr>
            <w:tcW w:w="2494" w:type="dxa"/>
          </w:tcPr>
          <w:p w14:paraId="3221B772" w14:textId="77777777" w:rsidR="00A720EB" w:rsidRDefault="0030286B">
            <w:pPr>
              <w:pStyle w:val="TableParagraph"/>
              <w:rPr>
                <w:sz w:val="21"/>
              </w:rPr>
            </w:pPr>
            <w:r>
              <w:rPr>
                <w:color w:val="B02045"/>
                <w:sz w:val="21"/>
              </w:rPr>
              <w:t>false</w:t>
            </w:r>
          </w:p>
        </w:tc>
        <w:tc>
          <w:tcPr>
            <w:tcW w:w="4988" w:type="dxa"/>
          </w:tcPr>
          <w:p w14:paraId="52874C95" w14:textId="77777777" w:rsidR="00A720EB" w:rsidRDefault="0030286B">
            <w:pPr>
              <w:pStyle w:val="TableParagraph"/>
              <w:spacing w:before="92"/>
              <w:rPr>
                <w:rFonts w:ascii="Cambria"/>
                <w:sz w:val="21"/>
              </w:rPr>
            </w:pPr>
            <w:r>
              <w:rPr>
                <w:rFonts w:ascii="Cambria"/>
                <w:color w:val="333333"/>
                <w:w w:val="110"/>
                <w:sz w:val="21"/>
              </w:rPr>
              <w:t>Whether to enable SSL support.</w:t>
            </w:r>
          </w:p>
        </w:tc>
      </w:tr>
      <w:tr w:rsidR="00A720EB" w14:paraId="71BF903A" w14:textId="77777777">
        <w:trPr>
          <w:trHeight w:val="425"/>
        </w:trPr>
        <w:tc>
          <w:tcPr>
            <w:tcW w:w="2494" w:type="dxa"/>
          </w:tcPr>
          <w:p w14:paraId="122C2A36" w14:textId="77777777" w:rsidR="00A720EB" w:rsidRDefault="0030286B">
            <w:pPr>
              <w:pStyle w:val="TableParagraph"/>
              <w:spacing w:before="37"/>
              <w:rPr>
                <w:sz w:val="21"/>
              </w:rPr>
            </w:pPr>
            <w:proofErr w:type="gramStart"/>
            <w:r>
              <w:rPr>
                <w:color w:val="B02045"/>
                <w:sz w:val="21"/>
              </w:rPr>
              <w:t>spring.redis</w:t>
            </w:r>
            <w:proofErr w:type="gramEnd"/>
            <w:r>
              <w:rPr>
                <w:color w:val="B02045"/>
                <w:sz w:val="21"/>
              </w:rPr>
              <w:t>.timeout</w:t>
            </w:r>
          </w:p>
        </w:tc>
        <w:tc>
          <w:tcPr>
            <w:tcW w:w="2494" w:type="dxa"/>
          </w:tcPr>
          <w:p w14:paraId="435C0693" w14:textId="77777777" w:rsidR="00A720EB" w:rsidRDefault="00A720EB">
            <w:pPr>
              <w:pStyle w:val="TableParagraph"/>
              <w:spacing w:before="0"/>
              <w:ind w:left="0"/>
              <w:rPr>
                <w:rFonts w:ascii="Times New Roman"/>
                <w:sz w:val="20"/>
              </w:rPr>
            </w:pPr>
          </w:p>
        </w:tc>
        <w:tc>
          <w:tcPr>
            <w:tcW w:w="4988" w:type="dxa"/>
          </w:tcPr>
          <w:p w14:paraId="3C750EA4" w14:textId="77777777" w:rsidR="00A720EB" w:rsidRDefault="0030286B">
            <w:pPr>
              <w:pStyle w:val="TableParagraph"/>
              <w:spacing w:before="92"/>
              <w:rPr>
                <w:rFonts w:ascii="Cambria"/>
                <w:sz w:val="21"/>
              </w:rPr>
            </w:pPr>
            <w:r>
              <w:rPr>
                <w:rFonts w:ascii="Cambria"/>
                <w:color w:val="333333"/>
                <w:w w:val="110"/>
                <w:sz w:val="21"/>
              </w:rPr>
              <w:t>Connection timeout.</w:t>
            </w:r>
          </w:p>
        </w:tc>
      </w:tr>
      <w:tr w:rsidR="00A720EB" w14:paraId="1224EC0C" w14:textId="77777777">
        <w:trPr>
          <w:trHeight w:val="1056"/>
        </w:trPr>
        <w:tc>
          <w:tcPr>
            <w:tcW w:w="2494" w:type="dxa"/>
          </w:tcPr>
          <w:p w14:paraId="5D0CFB6D" w14:textId="77777777" w:rsidR="00A720EB" w:rsidRDefault="0030286B">
            <w:pPr>
              <w:pStyle w:val="TableParagraph"/>
              <w:rPr>
                <w:sz w:val="21"/>
              </w:rPr>
            </w:pPr>
            <w:r>
              <w:rPr>
                <w:color w:val="B02045"/>
                <w:sz w:val="21"/>
              </w:rPr>
              <w:t>spring.redis.url</w:t>
            </w:r>
          </w:p>
        </w:tc>
        <w:tc>
          <w:tcPr>
            <w:tcW w:w="2494" w:type="dxa"/>
          </w:tcPr>
          <w:p w14:paraId="56167643" w14:textId="77777777" w:rsidR="00A720EB" w:rsidRDefault="00A720EB">
            <w:pPr>
              <w:pStyle w:val="TableParagraph"/>
              <w:spacing w:before="0"/>
              <w:ind w:left="0"/>
              <w:rPr>
                <w:rFonts w:ascii="Times New Roman"/>
                <w:sz w:val="20"/>
              </w:rPr>
            </w:pPr>
          </w:p>
        </w:tc>
        <w:tc>
          <w:tcPr>
            <w:tcW w:w="4988" w:type="dxa"/>
          </w:tcPr>
          <w:p w14:paraId="36C3D73C" w14:textId="77777777" w:rsidR="00A720EB" w:rsidRDefault="0030286B">
            <w:pPr>
              <w:pStyle w:val="TableParagraph"/>
              <w:spacing w:before="28" w:line="310" w:lineRule="atLeast"/>
              <w:rPr>
                <w:rFonts w:ascii="Cambria"/>
                <w:sz w:val="21"/>
              </w:rPr>
            </w:pPr>
            <w:r>
              <w:rPr>
                <w:rFonts w:ascii="Cambria"/>
                <w:color w:val="333333"/>
                <w:w w:val="110"/>
                <w:sz w:val="21"/>
              </w:rPr>
              <w:t xml:space="preserve">Connection URL. Overrides host, port, and password. User is ignored. Example: </w:t>
            </w:r>
            <w:r>
              <w:rPr>
                <w:rFonts w:ascii="Cambria"/>
                <w:color w:val="333333"/>
                <w:w w:val="105"/>
                <w:sz w:val="21"/>
              </w:rPr>
              <w:t>redis://user:password@example.com:6379</w:t>
            </w:r>
          </w:p>
        </w:tc>
      </w:tr>
    </w:tbl>
    <w:p w14:paraId="2D803445" w14:textId="77777777" w:rsidR="00A720EB" w:rsidRDefault="00A720EB">
      <w:pPr>
        <w:pStyle w:val="a3"/>
        <w:spacing w:before="12"/>
        <w:rPr>
          <w:rFonts w:ascii="Palatino Linotype"/>
          <w:b/>
          <w:sz w:val="16"/>
        </w:rPr>
      </w:pPr>
    </w:p>
    <w:p w14:paraId="2A61FF7A" w14:textId="77777777" w:rsidR="00A720EB" w:rsidRDefault="0030286B">
      <w:pPr>
        <w:pStyle w:val="3"/>
        <w:numPr>
          <w:ilvl w:val="2"/>
          <w:numId w:val="9"/>
        </w:numPr>
        <w:tabs>
          <w:tab w:val="left" w:pos="1053"/>
        </w:tabs>
        <w:spacing w:before="105"/>
      </w:pPr>
      <w:bookmarkStart w:id="1033" w:name="10.A.6._Transaction_properties"/>
      <w:bookmarkStart w:id="1034" w:name="_Toc54424034"/>
      <w:bookmarkEnd w:id="1033"/>
      <w:r>
        <w:rPr>
          <w:color w:val="333333"/>
          <w:w w:val="115"/>
        </w:rPr>
        <w:t>Transaction</w:t>
      </w:r>
      <w:r>
        <w:rPr>
          <w:color w:val="333333"/>
          <w:spacing w:val="-9"/>
          <w:w w:val="115"/>
        </w:rPr>
        <w:t xml:space="preserve"> </w:t>
      </w:r>
      <w:r>
        <w:rPr>
          <w:color w:val="333333"/>
          <w:w w:val="115"/>
        </w:rPr>
        <w:t>properties</w:t>
      </w:r>
      <w:bookmarkEnd w:id="1034"/>
    </w:p>
    <w:p w14:paraId="0C92BEF2"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CFAB049" w14:textId="77777777">
        <w:trPr>
          <w:trHeight w:val="415"/>
        </w:trPr>
        <w:tc>
          <w:tcPr>
            <w:tcW w:w="2494" w:type="dxa"/>
            <w:tcBorders>
              <w:bottom w:val="single" w:sz="12" w:space="0" w:color="DDDDDD"/>
            </w:tcBorders>
          </w:tcPr>
          <w:p w14:paraId="74B3F24C"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36634A24"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A201CB9"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4542268C" w14:textId="77777777">
        <w:trPr>
          <w:trHeight w:val="876"/>
        </w:trPr>
        <w:tc>
          <w:tcPr>
            <w:tcW w:w="2494" w:type="dxa"/>
            <w:tcBorders>
              <w:top w:val="single" w:sz="12" w:space="0" w:color="DDDDDD"/>
            </w:tcBorders>
          </w:tcPr>
          <w:p w14:paraId="1849BA83" w14:textId="77777777" w:rsidR="00A720EB" w:rsidRDefault="0030286B">
            <w:pPr>
              <w:pStyle w:val="TableParagraph"/>
              <w:spacing w:before="39" w:line="230" w:lineRule="auto"/>
              <w:ind w:right="94"/>
              <w:rPr>
                <w:sz w:val="21"/>
              </w:rPr>
            </w:pPr>
            <w:r>
              <w:rPr>
                <w:color w:val="B02045"/>
                <w:sz w:val="21"/>
              </w:rPr>
              <w:t xml:space="preserve">spring.jta.atomikos.co </w:t>
            </w:r>
            <w:proofErr w:type="gramStart"/>
            <w:r>
              <w:rPr>
                <w:color w:val="B02045"/>
                <w:sz w:val="21"/>
              </w:rPr>
              <w:t>nnectionfactory.borrow</w:t>
            </w:r>
            <w:proofErr w:type="gramEnd"/>
          </w:p>
          <w:p w14:paraId="5F84ECD5" w14:textId="77777777" w:rsidR="00A720EB" w:rsidRDefault="0030286B">
            <w:pPr>
              <w:pStyle w:val="TableParagraph"/>
              <w:spacing w:before="0" w:line="262" w:lineRule="exact"/>
              <w:rPr>
                <w:sz w:val="21"/>
              </w:rPr>
            </w:pPr>
            <w:r>
              <w:rPr>
                <w:color w:val="B02045"/>
                <w:sz w:val="21"/>
              </w:rPr>
              <w:t>-connection-timeout</w:t>
            </w:r>
          </w:p>
        </w:tc>
        <w:tc>
          <w:tcPr>
            <w:tcW w:w="2494" w:type="dxa"/>
            <w:tcBorders>
              <w:top w:val="single" w:sz="12" w:space="0" w:color="DDDDDD"/>
            </w:tcBorders>
          </w:tcPr>
          <w:p w14:paraId="097E9EE5" w14:textId="77777777" w:rsidR="00A720EB" w:rsidRDefault="0030286B">
            <w:pPr>
              <w:pStyle w:val="TableParagraph"/>
              <w:spacing w:before="30"/>
              <w:rPr>
                <w:sz w:val="21"/>
              </w:rPr>
            </w:pPr>
            <w:r>
              <w:rPr>
                <w:color w:val="B02045"/>
                <w:sz w:val="21"/>
              </w:rPr>
              <w:t>30.0</w:t>
            </w:r>
          </w:p>
        </w:tc>
        <w:tc>
          <w:tcPr>
            <w:tcW w:w="4988" w:type="dxa"/>
            <w:tcBorders>
              <w:top w:val="single" w:sz="12" w:space="0" w:color="DDDDDD"/>
            </w:tcBorders>
          </w:tcPr>
          <w:p w14:paraId="59A25FCD" w14:textId="77777777" w:rsidR="00A720EB" w:rsidRDefault="0030286B">
            <w:pPr>
              <w:pStyle w:val="TableParagraph"/>
              <w:spacing w:before="84" w:line="307" w:lineRule="auto"/>
              <w:rPr>
                <w:rFonts w:ascii="Cambria"/>
                <w:sz w:val="21"/>
              </w:rPr>
            </w:pPr>
            <w:r>
              <w:rPr>
                <w:rFonts w:ascii="Cambria"/>
                <w:color w:val="333333"/>
                <w:w w:val="110"/>
                <w:sz w:val="21"/>
              </w:rPr>
              <w:t>Timeout, in seconds, for borrowing connections from the pool.</w:t>
            </w:r>
          </w:p>
        </w:tc>
      </w:tr>
      <w:tr w:rsidR="00A720EB" w14:paraId="07CCC096" w14:textId="77777777">
        <w:trPr>
          <w:trHeight w:val="1145"/>
        </w:trPr>
        <w:tc>
          <w:tcPr>
            <w:tcW w:w="2494" w:type="dxa"/>
          </w:tcPr>
          <w:p w14:paraId="15CD91FE" w14:textId="77777777" w:rsidR="00A720EB" w:rsidRDefault="0030286B">
            <w:pPr>
              <w:pStyle w:val="TableParagraph"/>
              <w:spacing w:before="49" w:line="230" w:lineRule="auto"/>
              <w:ind w:right="94"/>
              <w:rPr>
                <w:sz w:val="21"/>
              </w:rPr>
            </w:pPr>
            <w:r>
              <w:rPr>
                <w:color w:val="B02045"/>
                <w:sz w:val="21"/>
              </w:rPr>
              <w:t xml:space="preserve">spring.jta.atomikos.co </w:t>
            </w:r>
            <w:proofErr w:type="gramStart"/>
            <w:r>
              <w:rPr>
                <w:color w:val="B02045"/>
                <w:sz w:val="21"/>
              </w:rPr>
              <w:t>nnectionfactory.ignore</w:t>
            </w:r>
            <w:proofErr w:type="gramEnd"/>
          </w:p>
          <w:p w14:paraId="0A667B8B" w14:textId="77777777" w:rsidR="00A720EB" w:rsidRDefault="0030286B">
            <w:pPr>
              <w:pStyle w:val="TableParagraph"/>
              <w:spacing w:before="0" w:line="257" w:lineRule="exact"/>
              <w:rPr>
                <w:sz w:val="21"/>
              </w:rPr>
            </w:pPr>
            <w:r>
              <w:rPr>
                <w:color w:val="B02045"/>
                <w:sz w:val="21"/>
              </w:rPr>
              <w:t>-session-transacted</w:t>
            </w:r>
          </w:p>
          <w:p w14:paraId="189E34CD" w14:textId="77777777" w:rsidR="00A720EB" w:rsidRDefault="0030286B">
            <w:pPr>
              <w:pStyle w:val="TableParagraph"/>
              <w:spacing w:before="0" w:line="264" w:lineRule="exact"/>
              <w:rPr>
                <w:sz w:val="21"/>
              </w:rPr>
            </w:pPr>
            <w:r>
              <w:rPr>
                <w:color w:val="B02045"/>
                <w:sz w:val="21"/>
              </w:rPr>
              <w:t>-flag</w:t>
            </w:r>
          </w:p>
        </w:tc>
        <w:tc>
          <w:tcPr>
            <w:tcW w:w="2494" w:type="dxa"/>
          </w:tcPr>
          <w:p w14:paraId="085C63E2" w14:textId="77777777" w:rsidR="00A720EB" w:rsidRDefault="0030286B">
            <w:pPr>
              <w:pStyle w:val="TableParagraph"/>
              <w:spacing w:before="40"/>
              <w:rPr>
                <w:sz w:val="21"/>
              </w:rPr>
            </w:pPr>
            <w:r>
              <w:rPr>
                <w:color w:val="B02045"/>
                <w:sz w:val="21"/>
              </w:rPr>
              <w:t>true</w:t>
            </w:r>
          </w:p>
        </w:tc>
        <w:tc>
          <w:tcPr>
            <w:tcW w:w="4988" w:type="dxa"/>
          </w:tcPr>
          <w:p w14:paraId="5B708C8C" w14:textId="77777777" w:rsidR="00A720EB" w:rsidRDefault="0030286B">
            <w:pPr>
              <w:pStyle w:val="TableParagraph"/>
              <w:spacing w:before="94" w:line="307" w:lineRule="auto"/>
              <w:rPr>
                <w:rFonts w:ascii="Cambria"/>
                <w:sz w:val="21"/>
              </w:rPr>
            </w:pPr>
            <w:r>
              <w:rPr>
                <w:rFonts w:ascii="Cambria"/>
                <w:color w:val="333333"/>
                <w:w w:val="110"/>
                <w:sz w:val="21"/>
              </w:rPr>
              <w:t>Whether to ignore the transacted flag when creating session.</w:t>
            </w:r>
          </w:p>
        </w:tc>
      </w:tr>
      <w:tr w:rsidR="00A720EB" w14:paraId="0E9AF011" w14:textId="77777777">
        <w:trPr>
          <w:trHeight w:val="886"/>
        </w:trPr>
        <w:tc>
          <w:tcPr>
            <w:tcW w:w="2494" w:type="dxa"/>
          </w:tcPr>
          <w:p w14:paraId="5504F948" w14:textId="77777777" w:rsidR="00A720EB" w:rsidRDefault="0030286B">
            <w:pPr>
              <w:pStyle w:val="TableParagraph"/>
              <w:spacing w:before="49" w:line="230" w:lineRule="auto"/>
              <w:ind w:right="113"/>
              <w:jc w:val="both"/>
              <w:rPr>
                <w:sz w:val="21"/>
              </w:rPr>
            </w:pPr>
            <w:r>
              <w:rPr>
                <w:color w:val="B02045"/>
                <w:sz w:val="21"/>
              </w:rPr>
              <w:t xml:space="preserve">spring.jta.atomikos.co </w:t>
            </w:r>
            <w:proofErr w:type="gramStart"/>
            <w:r>
              <w:rPr>
                <w:color w:val="B02045"/>
                <w:sz w:val="21"/>
              </w:rPr>
              <w:t>nnectionfactory.local</w:t>
            </w:r>
            <w:proofErr w:type="gramEnd"/>
            <w:r>
              <w:rPr>
                <w:color w:val="B02045"/>
                <w:sz w:val="21"/>
              </w:rPr>
              <w:t>- transaction-mode</w:t>
            </w:r>
          </w:p>
        </w:tc>
        <w:tc>
          <w:tcPr>
            <w:tcW w:w="2494" w:type="dxa"/>
          </w:tcPr>
          <w:p w14:paraId="3ADC213D" w14:textId="77777777" w:rsidR="00A720EB" w:rsidRDefault="0030286B">
            <w:pPr>
              <w:pStyle w:val="TableParagraph"/>
              <w:spacing w:before="40"/>
              <w:rPr>
                <w:sz w:val="21"/>
              </w:rPr>
            </w:pPr>
            <w:r>
              <w:rPr>
                <w:color w:val="B02045"/>
                <w:sz w:val="21"/>
              </w:rPr>
              <w:t>false</w:t>
            </w:r>
          </w:p>
        </w:tc>
        <w:tc>
          <w:tcPr>
            <w:tcW w:w="4988" w:type="dxa"/>
          </w:tcPr>
          <w:p w14:paraId="29F3F216" w14:textId="77777777" w:rsidR="00A720EB" w:rsidRDefault="0030286B">
            <w:pPr>
              <w:pStyle w:val="TableParagraph"/>
              <w:spacing w:before="94"/>
              <w:rPr>
                <w:rFonts w:ascii="Cambria"/>
                <w:sz w:val="21"/>
              </w:rPr>
            </w:pPr>
            <w:r>
              <w:rPr>
                <w:rFonts w:ascii="Cambria"/>
                <w:color w:val="333333"/>
                <w:w w:val="110"/>
                <w:sz w:val="21"/>
              </w:rPr>
              <w:t>Whether local transactions are desired.</w:t>
            </w:r>
          </w:p>
        </w:tc>
      </w:tr>
      <w:tr w:rsidR="00A720EB" w14:paraId="53063A23" w14:textId="77777777">
        <w:trPr>
          <w:trHeight w:val="886"/>
        </w:trPr>
        <w:tc>
          <w:tcPr>
            <w:tcW w:w="2494" w:type="dxa"/>
          </w:tcPr>
          <w:p w14:paraId="68F866E2" w14:textId="77777777" w:rsidR="00A720EB" w:rsidRDefault="0030286B">
            <w:pPr>
              <w:pStyle w:val="TableParagraph"/>
              <w:spacing w:before="49" w:line="230" w:lineRule="auto"/>
              <w:ind w:right="113"/>
              <w:jc w:val="both"/>
              <w:rPr>
                <w:sz w:val="21"/>
              </w:rPr>
            </w:pPr>
            <w:r>
              <w:rPr>
                <w:color w:val="B02045"/>
                <w:sz w:val="21"/>
              </w:rPr>
              <w:t xml:space="preserve">spring.jta.atomikos.co </w:t>
            </w:r>
            <w:proofErr w:type="gramStart"/>
            <w:r>
              <w:rPr>
                <w:color w:val="B02045"/>
                <w:sz w:val="21"/>
              </w:rPr>
              <w:t>nnectionfactory.mainte</w:t>
            </w:r>
            <w:proofErr w:type="gramEnd"/>
            <w:r>
              <w:rPr>
                <w:color w:val="B02045"/>
                <w:sz w:val="21"/>
              </w:rPr>
              <w:t xml:space="preserve"> nance-interval</w:t>
            </w:r>
          </w:p>
        </w:tc>
        <w:tc>
          <w:tcPr>
            <w:tcW w:w="2494" w:type="dxa"/>
          </w:tcPr>
          <w:p w14:paraId="1C8FDA79" w14:textId="77777777" w:rsidR="00A720EB" w:rsidRDefault="0030286B">
            <w:pPr>
              <w:pStyle w:val="TableParagraph"/>
              <w:spacing w:before="40"/>
              <w:rPr>
                <w:sz w:val="21"/>
              </w:rPr>
            </w:pPr>
            <w:r>
              <w:rPr>
                <w:color w:val="B02045"/>
                <w:sz w:val="21"/>
              </w:rPr>
              <w:t>60.0</w:t>
            </w:r>
          </w:p>
        </w:tc>
        <w:tc>
          <w:tcPr>
            <w:tcW w:w="4988" w:type="dxa"/>
          </w:tcPr>
          <w:p w14:paraId="55BD1CC9" w14:textId="77777777" w:rsidR="00A720EB" w:rsidRDefault="0030286B">
            <w:pPr>
              <w:pStyle w:val="TableParagraph"/>
              <w:spacing w:before="94" w:line="307" w:lineRule="auto"/>
              <w:rPr>
                <w:rFonts w:ascii="Cambria"/>
                <w:sz w:val="21"/>
              </w:rPr>
            </w:pPr>
            <w:r>
              <w:rPr>
                <w:rFonts w:ascii="Cambria"/>
                <w:color w:val="333333"/>
                <w:w w:val="110"/>
                <w:sz w:val="21"/>
              </w:rPr>
              <w:t>Time, in seconds, between runs of the pool's maintenance thread.</w:t>
            </w:r>
          </w:p>
        </w:tc>
      </w:tr>
      <w:tr w:rsidR="00A720EB" w14:paraId="651BD71A" w14:textId="77777777">
        <w:trPr>
          <w:trHeight w:val="886"/>
        </w:trPr>
        <w:tc>
          <w:tcPr>
            <w:tcW w:w="2494" w:type="dxa"/>
          </w:tcPr>
          <w:p w14:paraId="30F138DE" w14:textId="77777777" w:rsidR="00A720EB" w:rsidRDefault="0030286B">
            <w:pPr>
              <w:pStyle w:val="TableParagraph"/>
              <w:spacing w:before="49" w:line="230" w:lineRule="auto"/>
              <w:ind w:right="113"/>
              <w:rPr>
                <w:sz w:val="21"/>
              </w:rPr>
            </w:pPr>
            <w:r>
              <w:rPr>
                <w:color w:val="B02045"/>
                <w:sz w:val="21"/>
              </w:rPr>
              <w:t>spring.jta.atomikos.co nnectionfactory.max- idle-time</w:t>
            </w:r>
          </w:p>
        </w:tc>
        <w:tc>
          <w:tcPr>
            <w:tcW w:w="2494" w:type="dxa"/>
          </w:tcPr>
          <w:p w14:paraId="311F628F" w14:textId="77777777" w:rsidR="00A720EB" w:rsidRDefault="0030286B">
            <w:pPr>
              <w:pStyle w:val="TableParagraph"/>
              <w:spacing w:before="40"/>
              <w:rPr>
                <w:sz w:val="21"/>
              </w:rPr>
            </w:pPr>
            <w:r>
              <w:rPr>
                <w:color w:val="B02045"/>
                <w:sz w:val="21"/>
              </w:rPr>
              <w:t>60.0</w:t>
            </w:r>
          </w:p>
        </w:tc>
        <w:tc>
          <w:tcPr>
            <w:tcW w:w="4988" w:type="dxa"/>
          </w:tcPr>
          <w:p w14:paraId="1C14CD7C" w14:textId="77777777" w:rsidR="00A720EB" w:rsidRDefault="0030286B">
            <w:pPr>
              <w:pStyle w:val="TableParagraph"/>
              <w:spacing w:before="94" w:line="307" w:lineRule="auto"/>
              <w:rPr>
                <w:rFonts w:ascii="Cambria"/>
                <w:sz w:val="21"/>
              </w:rPr>
            </w:pPr>
            <w:r>
              <w:rPr>
                <w:rFonts w:ascii="Cambria"/>
                <w:color w:val="333333"/>
                <w:w w:val="110"/>
                <w:sz w:val="21"/>
              </w:rPr>
              <w:t>Time, in seconds, after which connections are cleaned up from the pool.</w:t>
            </w:r>
          </w:p>
        </w:tc>
      </w:tr>
      <w:tr w:rsidR="00A720EB" w14:paraId="4F8F613D" w14:textId="77777777">
        <w:trPr>
          <w:trHeight w:val="1056"/>
        </w:trPr>
        <w:tc>
          <w:tcPr>
            <w:tcW w:w="2494" w:type="dxa"/>
          </w:tcPr>
          <w:p w14:paraId="7817DE1A" w14:textId="77777777" w:rsidR="00A720EB" w:rsidRDefault="0030286B">
            <w:pPr>
              <w:pStyle w:val="TableParagraph"/>
              <w:spacing w:before="49" w:line="230" w:lineRule="auto"/>
              <w:ind w:right="113"/>
              <w:rPr>
                <w:sz w:val="21"/>
              </w:rPr>
            </w:pPr>
            <w:r>
              <w:rPr>
                <w:color w:val="B02045"/>
                <w:sz w:val="21"/>
              </w:rPr>
              <w:t>spring.jta.atomikos.co nnectionfactory.max- lifetime</w:t>
            </w:r>
          </w:p>
        </w:tc>
        <w:tc>
          <w:tcPr>
            <w:tcW w:w="2494" w:type="dxa"/>
          </w:tcPr>
          <w:p w14:paraId="46B08D98" w14:textId="77777777" w:rsidR="00A720EB" w:rsidRDefault="0030286B">
            <w:pPr>
              <w:pStyle w:val="TableParagraph"/>
              <w:spacing w:before="40"/>
              <w:rPr>
                <w:sz w:val="21"/>
              </w:rPr>
            </w:pPr>
            <w:r>
              <w:rPr>
                <w:color w:val="B02045"/>
                <w:sz w:val="21"/>
              </w:rPr>
              <w:t>0.0</w:t>
            </w:r>
          </w:p>
        </w:tc>
        <w:tc>
          <w:tcPr>
            <w:tcW w:w="4988" w:type="dxa"/>
          </w:tcPr>
          <w:p w14:paraId="7E34EDAF" w14:textId="77777777" w:rsidR="00A720EB" w:rsidRDefault="0030286B">
            <w:pPr>
              <w:pStyle w:val="TableParagraph"/>
              <w:spacing w:before="31" w:line="310" w:lineRule="atLeast"/>
              <w:ind w:right="162"/>
              <w:rPr>
                <w:rFonts w:ascii="Cambria"/>
                <w:sz w:val="21"/>
              </w:rPr>
            </w:pPr>
            <w:r>
              <w:rPr>
                <w:rFonts w:ascii="Cambria"/>
                <w:color w:val="333333"/>
                <w:w w:val="110"/>
                <w:sz w:val="21"/>
              </w:rPr>
              <w:t>Time, in seconds, that a connection can be pooled for before being destroyed. 0 denotes no limit.</w:t>
            </w:r>
          </w:p>
        </w:tc>
      </w:tr>
      <w:tr w:rsidR="00A720EB" w14:paraId="22475262" w14:textId="77777777">
        <w:trPr>
          <w:trHeight w:val="886"/>
        </w:trPr>
        <w:tc>
          <w:tcPr>
            <w:tcW w:w="2494" w:type="dxa"/>
          </w:tcPr>
          <w:p w14:paraId="4A923501" w14:textId="77777777" w:rsidR="00A720EB" w:rsidRDefault="0030286B">
            <w:pPr>
              <w:pStyle w:val="TableParagraph"/>
              <w:spacing w:before="49" w:line="230" w:lineRule="auto"/>
              <w:ind w:right="113"/>
              <w:rPr>
                <w:sz w:val="21"/>
              </w:rPr>
            </w:pPr>
            <w:r>
              <w:rPr>
                <w:color w:val="B02045"/>
                <w:sz w:val="21"/>
              </w:rPr>
              <w:t>spring.jta.atomikos.co nnectionfactory.max- pool-size</w:t>
            </w:r>
          </w:p>
        </w:tc>
        <w:tc>
          <w:tcPr>
            <w:tcW w:w="2494" w:type="dxa"/>
          </w:tcPr>
          <w:p w14:paraId="66084B04" w14:textId="77777777" w:rsidR="00A720EB" w:rsidRDefault="0030286B">
            <w:pPr>
              <w:pStyle w:val="TableParagraph"/>
              <w:spacing w:before="40"/>
              <w:rPr>
                <w:sz w:val="21"/>
              </w:rPr>
            </w:pPr>
            <w:r>
              <w:rPr>
                <w:color w:val="B02045"/>
                <w:sz w:val="21"/>
              </w:rPr>
              <w:t>1.0</w:t>
            </w:r>
          </w:p>
        </w:tc>
        <w:tc>
          <w:tcPr>
            <w:tcW w:w="4988" w:type="dxa"/>
          </w:tcPr>
          <w:p w14:paraId="6732C89E" w14:textId="77777777" w:rsidR="00A720EB" w:rsidRDefault="0030286B">
            <w:pPr>
              <w:pStyle w:val="TableParagraph"/>
              <w:spacing w:before="94"/>
              <w:rPr>
                <w:rFonts w:ascii="Cambria"/>
                <w:sz w:val="21"/>
              </w:rPr>
            </w:pPr>
            <w:r>
              <w:rPr>
                <w:rFonts w:ascii="Cambria"/>
                <w:color w:val="333333"/>
                <w:w w:val="110"/>
                <w:sz w:val="21"/>
              </w:rPr>
              <w:t>Maximum size of the pool.</w:t>
            </w:r>
          </w:p>
        </w:tc>
      </w:tr>
      <w:tr w:rsidR="00A720EB" w14:paraId="233DFA8F" w14:textId="77777777">
        <w:trPr>
          <w:trHeight w:val="886"/>
        </w:trPr>
        <w:tc>
          <w:tcPr>
            <w:tcW w:w="2494" w:type="dxa"/>
          </w:tcPr>
          <w:p w14:paraId="25302C2E" w14:textId="77777777" w:rsidR="00A720EB" w:rsidRDefault="0030286B">
            <w:pPr>
              <w:pStyle w:val="TableParagraph"/>
              <w:spacing w:before="49" w:line="230" w:lineRule="auto"/>
              <w:ind w:right="113"/>
              <w:rPr>
                <w:sz w:val="21"/>
              </w:rPr>
            </w:pPr>
            <w:r>
              <w:rPr>
                <w:color w:val="B02045"/>
                <w:sz w:val="21"/>
              </w:rPr>
              <w:t>spring.jta.atomikos.co nnectionfactory.min- pool-size</w:t>
            </w:r>
          </w:p>
        </w:tc>
        <w:tc>
          <w:tcPr>
            <w:tcW w:w="2494" w:type="dxa"/>
          </w:tcPr>
          <w:p w14:paraId="441BAB7D" w14:textId="77777777" w:rsidR="00A720EB" w:rsidRDefault="0030286B">
            <w:pPr>
              <w:pStyle w:val="TableParagraph"/>
              <w:spacing w:before="40"/>
              <w:rPr>
                <w:sz w:val="21"/>
              </w:rPr>
            </w:pPr>
            <w:r>
              <w:rPr>
                <w:color w:val="B02045"/>
                <w:sz w:val="21"/>
              </w:rPr>
              <w:t>1.0</w:t>
            </w:r>
          </w:p>
        </w:tc>
        <w:tc>
          <w:tcPr>
            <w:tcW w:w="4988" w:type="dxa"/>
          </w:tcPr>
          <w:p w14:paraId="748EBEE3" w14:textId="77777777" w:rsidR="00A720EB" w:rsidRDefault="0030286B">
            <w:pPr>
              <w:pStyle w:val="TableParagraph"/>
              <w:spacing w:before="94"/>
              <w:rPr>
                <w:rFonts w:ascii="Cambria"/>
                <w:sz w:val="21"/>
              </w:rPr>
            </w:pPr>
            <w:r>
              <w:rPr>
                <w:rFonts w:ascii="Cambria"/>
                <w:color w:val="333333"/>
                <w:w w:val="110"/>
                <w:sz w:val="21"/>
              </w:rPr>
              <w:t>Minimum size of the pool.</w:t>
            </w:r>
          </w:p>
        </w:tc>
      </w:tr>
      <w:tr w:rsidR="00A720EB" w14:paraId="7E10F10A" w14:textId="77777777">
        <w:trPr>
          <w:trHeight w:val="886"/>
        </w:trPr>
        <w:tc>
          <w:tcPr>
            <w:tcW w:w="2494" w:type="dxa"/>
          </w:tcPr>
          <w:p w14:paraId="1BC20F9A" w14:textId="77777777" w:rsidR="00A720EB" w:rsidRDefault="0030286B">
            <w:pPr>
              <w:pStyle w:val="TableParagraph"/>
              <w:spacing w:before="49" w:line="230" w:lineRule="auto"/>
              <w:ind w:right="113"/>
              <w:rPr>
                <w:sz w:val="21"/>
              </w:rPr>
            </w:pPr>
            <w:r>
              <w:rPr>
                <w:color w:val="B02045"/>
                <w:sz w:val="21"/>
              </w:rPr>
              <w:lastRenderedPageBreak/>
              <w:t xml:space="preserve">spring.jta.atomikos.co </w:t>
            </w:r>
            <w:proofErr w:type="gramStart"/>
            <w:r>
              <w:rPr>
                <w:color w:val="B02045"/>
                <w:sz w:val="21"/>
              </w:rPr>
              <w:t>nnectionfactory.reap</w:t>
            </w:r>
            <w:proofErr w:type="gramEnd"/>
            <w:r>
              <w:rPr>
                <w:color w:val="B02045"/>
                <w:sz w:val="21"/>
              </w:rPr>
              <w:t>- timeout</w:t>
            </w:r>
          </w:p>
        </w:tc>
        <w:tc>
          <w:tcPr>
            <w:tcW w:w="2494" w:type="dxa"/>
          </w:tcPr>
          <w:p w14:paraId="7EDD3DA4" w14:textId="77777777" w:rsidR="00A720EB" w:rsidRDefault="0030286B">
            <w:pPr>
              <w:pStyle w:val="TableParagraph"/>
              <w:spacing w:before="40"/>
              <w:rPr>
                <w:sz w:val="21"/>
              </w:rPr>
            </w:pPr>
            <w:r>
              <w:rPr>
                <w:color w:val="B02045"/>
                <w:sz w:val="21"/>
              </w:rPr>
              <w:t>0.0</w:t>
            </w:r>
          </w:p>
        </w:tc>
        <w:tc>
          <w:tcPr>
            <w:tcW w:w="4988" w:type="dxa"/>
          </w:tcPr>
          <w:p w14:paraId="0892AD59" w14:textId="77777777" w:rsidR="00A720EB" w:rsidRDefault="0030286B">
            <w:pPr>
              <w:pStyle w:val="TableParagraph"/>
              <w:spacing w:before="94" w:line="307" w:lineRule="auto"/>
              <w:rPr>
                <w:rFonts w:ascii="Cambria"/>
                <w:sz w:val="21"/>
              </w:rPr>
            </w:pPr>
            <w:r>
              <w:rPr>
                <w:rFonts w:ascii="Cambria"/>
                <w:color w:val="333333"/>
                <w:w w:val="110"/>
                <w:sz w:val="21"/>
              </w:rPr>
              <w:t>Reap timeout, in seconds, for borrowed connections. 0 denotes no limit.</w:t>
            </w:r>
          </w:p>
        </w:tc>
      </w:tr>
      <w:tr w:rsidR="00A720EB" w14:paraId="5B6C04C1" w14:textId="77777777">
        <w:trPr>
          <w:trHeight w:val="886"/>
        </w:trPr>
        <w:tc>
          <w:tcPr>
            <w:tcW w:w="2494" w:type="dxa"/>
          </w:tcPr>
          <w:p w14:paraId="6AFC184C" w14:textId="77777777" w:rsidR="00A720EB" w:rsidRDefault="0030286B">
            <w:pPr>
              <w:pStyle w:val="TableParagraph"/>
              <w:spacing w:before="49" w:line="230" w:lineRule="auto"/>
              <w:ind w:right="94"/>
              <w:rPr>
                <w:sz w:val="21"/>
              </w:rPr>
            </w:pPr>
            <w:r>
              <w:rPr>
                <w:color w:val="B02045"/>
                <w:sz w:val="21"/>
              </w:rPr>
              <w:t xml:space="preserve">spring.jta.atomikos.co </w:t>
            </w:r>
            <w:proofErr w:type="gramStart"/>
            <w:r>
              <w:rPr>
                <w:color w:val="B02045"/>
                <w:sz w:val="21"/>
              </w:rPr>
              <w:t>nnectionfactory.unique</w:t>
            </w:r>
            <w:proofErr w:type="gramEnd"/>
          </w:p>
          <w:p w14:paraId="643D0BA0" w14:textId="77777777" w:rsidR="00A720EB" w:rsidRDefault="0030286B">
            <w:pPr>
              <w:pStyle w:val="TableParagraph"/>
              <w:spacing w:before="0" w:line="262" w:lineRule="exact"/>
              <w:rPr>
                <w:sz w:val="21"/>
              </w:rPr>
            </w:pPr>
            <w:r>
              <w:rPr>
                <w:color w:val="B02045"/>
                <w:sz w:val="21"/>
              </w:rPr>
              <w:t>-resource-name</w:t>
            </w:r>
          </w:p>
        </w:tc>
        <w:tc>
          <w:tcPr>
            <w:tcW w:w="2494" w:type="dxa"/>
          </w:tcPr>
          <w:p w14:paraId="14F3E83F" w14:textId="77777777" w:rsidR="00A720EB" w:rsidRDefault="0030286B">
            <w:pPr>
              <w:pStyle w:val="TableParagraph"/>
              <w:spacing w:before="40"/>
              <w:rPr>
                <w:sz w:val="21"/>
              </w:rPr>
            </w:pPr>
            <w:r>
              <w:rPr>
                <w:color w:val="B02045"/>
                <w:sz w:val="21"/>
              </w:rPr>
              <w:t>jmsConnectionFactory</w:t>
            </w:r>
          </w:p>
        </w:tc>
        <w:tc>
          <w:tcPr>
            <w:tcW w:w="4988" w:type="dxa"/>
          </w:tcPr>
          <w:p w14:paraId="6C217AAC" w14:textId="77777777" w:rsidR="00A720EB" w:rsidRDefault="0030286B">
            <w:pPr>
              <w:pStyle w:val="TableParagraph"/>
              <w:spacing w:before="94" w:line="307" w:lineRule="auto"/>
              <w:ind w:right="372"/>
              <w:rPr>
                <w:rFonts w:ascii="Cambria"/>
                <w:sz w:val="21"/>
              </w:rPr>
            </w:pPr>
            <w:r>
              <w:rPr>
                <w:rFonts w:ascii="Cambria"/>
                <w:color w:val="333333"/>
                <w:w w:val="110"/>
                <w:sz w:val="21"/>
              </w:rPr>
              <w:t>Unique name used to identify the resource during recovery.</w:t>
            </w:r>
          </w:p>
        </w:tc>
      </w:tr>
    </w:tbl>
    <w:p w14:paraId="59FF4C15"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68F6233" w14:textId="77777777">
        <w:trPr>
          <w:trHeight w:val="415"/>
        </w:trPr>
        <w:tc>
          <w:tcPr>
            <w:tcW w:w="2494" w:type="dxa"/>
            <w:tcBorders>
              <w:bottom w:val="single" w:sz="12" w:space="0" w:color="DDDDDD"/>
            </w:tcBorders>
          </w:tcPr>
          <w:p w14:paraId="3216B804"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C9E4AFE"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FAFCE6F"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A1951F4" w14:textId="77777777">
        <w:trPr>
          <w:trHeight w:val="1135"/>
        </w:trPr>
        <w:tc>
          <w:tcPr>
            <w:tcW w:w="2494" w:type="dxa"/>
            <w:tcBorders>
              <w:top w:val="single" w:sz="12" w:space="0" w:color="DDDDDD"/>
            </w:tcBorders>
          </w:tcPr>
          <w:p w14:paraId="65B70B40" w14:textId="77777777" w:rsidR="00A720EB" w:rsidRDefault="0030286B">
            <w:pPr>
              <w:pStyle w:val="TableParagraph"/>
              <w:spacing w:before="36" w:line="230" w:lineRule="auto"/>
              <w:ind w:right="113"/>
              <w:rPr>
                <w:sz w:val="21"/>
              </w:rPr>
            </w:pPr>
            <w:r>
              <w:rPr>
                <w:color w:val="B02045"/>
                <w:sz w:val="21"/>
              </w:rPr>
              <w:t xml:space="preserve">spring.jta.atomikos.co </w:t>
            </w:r>
            <w:proofErr w:type="gramStart"/>
            <w:r>
              <w:rPr>
                <w:color w:val="B02045"/>
                <w:sz w:val="21"/>
              </w:rPr>
              <w:t>nnectionfactory.xa</w:t>
            </w:r>
            <w:proofErr w:type="gramEnd"/>
            <w:r>
              <w:rPr>
                <w:color w:val="B02045"/>
                <w:sz w:val="21"/>
              </w:rPr>
              <w:t>- connection-factory- class-name</w:t>
            </w:r>
          </w:p>
        </w:tc>
        <w:tc>
          <w:tcPr>
            <w:tcW w:w="2494" w:type="dxa"/>
            <w:tcBorders>
              <w:top w:val="single" w:sz="12" w:space="0" w:color="DDDDDD"/>
            </w:tcBorders>
          </w:tcPr>
          <w:p w14:paraId="3A379674"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0193B1D1" w14:textId="77777777" w:rsidR="00A720EB" w:rsidRDefault="0030286B">
            <w:pPr>
              <w:pStyle w:val="TableParagraph"/>
              <w:spacing w:before="82" w:line="307" w:lineRule="auto"/>
              <w:rPr>
                <w:rFonts w:ascii="Cambria"/>
                <w:sz w:val="21"/>
              </w:rPr>
            </w:pPr>
            <w:r>
              <w:rPr>
                <w:rFonts w:ascii="Cambria"/>
                <w:color w:val="333333"/>
                <w:w w:val="110"/>
                <w:sz w:val="21"/>
              </w:rPr>
              <w:t>Vendor-specific implementation of XAConnectionFactory.</w:t>
            </w:r>
          </w:p>
        </w:tc>
      </w:tr>
      <w:tr w:rsidR="00A720EB" w14:paraId="3EFCE7E0" w14:textId="77777777">
        <w:trPr>
          <w:trHeight w:val="886"/>
        </w:trPr>
        <w:tc>
          <w:tcPr>
            <w:tcW w:w="2494" w:type="dxa"/>
          </w:tcPr>
          <w:p w14:paraId="5869CBDE" w14:textId="77777777" w:rsidR="00A720EB" w:rsidRDefault="0030286B">
            <w:pPr>
              <w:pStyle w:val="TableParagraph"/>
              <w:spacing w:before="46" w:line="230" w:lineRule="auto"/>
              <w:ind w:right="113"/>
              <w:rPr>
                <w:sz w:val="21"/>
              </w:rPr>
            </w:pPr>
            <w:r>
              <w:rPr>
                <w:color w:val="B02045"/>
                <w:sz w:val="21"/>
              </w:rPr>
              <w:t xml:space="preserve">spring.jta.atomikos.co </w:t>
            </w:r>
            <w:proofErr w:type="gramStart"/>
            <w:r>
              <w:rPr>
                <w:color w:val="B02045"/>
                <w:sz w:val="21"/>
              </w:rPr>
              <w:t>nnectionfactory.xa</w:t>
            </w:r>
            <w:proofErr w:type="gramEnd"/>
            <w:r>
              <w:rPr>
                <w:color w:val="B02045"/>
                <w:sz w:val="21"/>
              </w:rPr>
              <w:t>- properties</w:t>
            </w:r>
          </w:p>
        </w:tc>
        <w:tc>
          <w:tcPr>
            <w:tcW w:w="2494" w:type="dxa"/>
          </w:tcPr>
          <w:p w14:paraId="6DBEDAE6" w14:textId="77777777" w:rsidR="00A720EB" w:rsidRDefault="00A720EB">
            <w:pPr>
              <w:pStyle w:val="TableParagraph"/>
              <w:spacing w:before="0"/>
              <w:ind w:left="0"/>
              <w:rPr>
                <w:rFonts w:ascii="Times New Roman"/>
                <w:sz w:val="20"/>
              </w:rPr>
            </w:pPr>
          </w:p>
        </w:tc>
        <w:tc>
          <w:tcPr>
            <w:tcW w:w="4988" w:type="dxa"/>
          </w:tcPr>
          <w:p w14:paraId="4DE0AA95" w14:textId="77777777" w:rsidR="00A720EB" w:rsidRDefault="0030286B">
            <w:pPr>
              <w:pStyle w:val="TableParagraph"/>
              <w:spacing w:before="92"/>
              <w:rPr>
                <w:rFonts w:ascii="Cambria"/>
                <w:sz w:val="21"/>
              </w:rPr>
            </w:pPr>
            <w:r>
              <w:rPr>
                <w:rFonts w:ascii="Cambria"/>
                <w:color w:val="333333"/>
                <w:w w:val="110"/>
                <w:sz w:val="21"/>
              </w:rPr>
              <w:t>Vendor-specific XA properties.</w:t>
            </w:r>
          </w:p>
        </w:tc>
      </w:tr>
      <w:tr w:rsidR="00A720EB" w14:paraId="40862451" w14:textId="77777777">
        <w:trPr>
          <w:trHeight w:val="886"/>
        </w:trPr>
        <w:tc>
          <w:tcPr>
            <w:tcW w:w="2494" w:type="dxa"/>
          </w:tcPr>
          <w:p w14:paraId="07585CBD"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tasource.borrow- connection-timeout</w:t>
            </w:r>
          </w:p>
        </w:tc>
        <w:tc>
          <w:tcPr>
            <w:tcW w:w="2494" w:type="dxa"/>
          </w:tcPr>
          <w:p w14:paraId="63EA6266" w14:textId="77777777" w:rsidR="00A720EB" w:rsidRDefault="0030286B">
            <w:pPr>
              <w:pStyle w:val="TableParagraph"/>
              <w:spacing w:before="37"/>
              <w:rPr>
                <w:sz w:val="21"/>
              </w:rPr>
            </w:pPr>
            <w:r>
              <w:rPr>
                <w:color w:val="B02045"/>
                <w:sz w:val="21"/>
              </w:rPr>
              <w:t>30.0</w:t>
            </w:r>
          </w:p>
        </w:tc>
        <w:tc>
          <w:tcPr>
            <w:tcW w:w="4988" w:type="dxa"/>
          </w:tcPr>
          <w:p w14:paraId="31CDD58C" w14:textId="77777777" w:rsidR="00A720EB" w:rsidRDefault="0030286B">
            <w:pPr>
              <w:pStyle w:val="TableParagraph"/>
              <w:spacing w:before="92" w:line="307" w:lineRule="auto"/>
              <w:rPr>
                <w:rFonts w:ascii="Cambria"/>
                <w:sz w:val="21"/>
              </w:rPr>
            </w:pPr>
            <w:r>
              <w:rPr>
                <w:rFonts w:ascii="Cambria"/>
                <w:color w:val="333333"/>
                <w:w w:val="110"/>
                <w:sz w:val="21"/>
              </w:rPr>
              <w:t>Timeout, in seconds, for borrowing connections from the pool.</w:t>
            </w:r>
          </w:p>
        </w:tc>
      </w:tr>
      <w:tr w:rsidR="00A720EB" w14:paraId="23A0DD1A" w14:textId="77777777">
        <w:trPr>
          <w:trHeight w:val="886"/>
        </w:trPr>
        <w:tc>
          <w:tcPr>
            <w:tcW w:w="2494" w:type="dxa"/>
          </w:tcPr>
          <w:p w14:paraId="752C03B3"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tasource.concurrent- connection-validation</w:t>
            </w:r>
          </w:p>
        </w:tc>
        <w:tc>
          <w:tcPr>
            <w:tcW w:w="2494" w:type="dxa"/>
          </w:tcPr>
          <w:p w14:paraId="3496E6C9" w14:textId="77777777" w:rsidR="00A720EB" w:rsidRDefault="0030286B">
            <w:pPr>
              <w:pStyle w:val="TableParagraph"/>
              <w:spacing w:before="37"/>
              <w:rPr>
                <w:sz w:val="21"/>
              </w:rPr>
            </w:pPr>
            <w:r>
              <w:rPr>
                <w:color w:val="B02045"/>
                <w:sz w:val="21"/>
              </w:rPr>
              <w:t>true</w:t>
            </w:r>
          </w:p>
        </w:tc>
        <w:tc>
          <w:tcPr>
            <w:tcW w:w="4988" w:type="dxa"/>
          </w:tcPr>
          <w:p w14:paraId="1C207122" w14:textId="77777777" w:rsidR="00A720EB" w:rsidRDefault="0030286B">
            <w:pPr>
              <w:pStyle w:val="TableParagraph"/>
              <w:spacing w:before="92" w:line="307" w:lineRule="auto"/>
              <w:ind w:right="372"/>
              <w:rPr>
                <w:rFonts w:ascii="Cambria"/>
                <w:sz w:val="21"/>
              </w:rPr>
            </w:pPr>
            <w:r>
              <w:rPr>
                <w:rFonts w:ascii="Cambria"/>
                <w:color w:val="333333"/>
                <w:w w:val="110"/>
                <w:sz w:val="21"/>
              </w:rPr>
              <w:t>Whether to use concurrent connection validation.</w:t>
            </w:r>
          </w:p>
        </w:tc>
      </w:tr>
      <w:tr w:rsidR="00A720EB" w14:paraId="4C38538D" w14:textId="77777777">
        <w:trPr>
          <w:trHeight w:val="886"/>
        </w:trPr>
        <w:tc>
          <w:tcPr>
            <w:tcW w:w="2494" w:type="dxa"/>
          </w:tcPr>
          <w:p w14:paraId="6D4EE750"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tasource.default- isolation-level</w:t>
            </w:r>
          </w:p>
        </w:tc>
        <w:tc>
          <w:tcPr>
            <w:tcW w:w="2494" w:type="dxa"/>
          </w:tcPr>
          <w:p w14:paraId="070CE319" w14:textId="77777777" w:rsidR="00A720EB" w:rsidRDefault="00A720EB">
            <w:pPr>
              <w:pStyle w:val="TableParagraph"/>
              <w:spacing w:before="0"/>
              <w:ind w:left="0"/>
              <w:rPr>
                <w:rFonts w:ascii="Times New Roman"/>
                <w:sz w:val="20"/>
              </w:rPr>
            </w:pPr>
          </w:p>
        </w:tc>
        <w:tc>
          <w:tcPr>
            <w:tcW w:w="4988" w:type="dxa"/>
          </w:tcPr>
          <w:p w14:paraId="1470F374" w14:textId="77777777" w:rsidR="00A720EB" w:rsidRDefault="0030286B">
            <w:pPr>
              <w:pStyle w:val="TableParagraph"/>
              <w:spacing w:before="92" w:line="307" w:lineRule="auto"/>
              <w:ind w:right="218"/>
              <w:rPr>
                <w:rFonts w:ascii="Cambria"/>
                <w:sz w:val="21"/>
              </w:rPr>
            </w:pPr>
            <w:r>
              <w:rPr>
                <w:rFonts w:ascii="Cambria"/>
                <w:color w:val="333333"/>
                <w:w w:val="110"/>
                <w:sz w:val="21"/>
              </w:rPr>
              <w:t>Default isolation level of connections provided by the pool.</w:t>
            </w:r>
          </w:p>
        </w:tc>
      </w:tr>
      <w:tr w:rsidR="00A720EB" w14:paraId="1855B20B" w14:textId="77777777">
        <w:trPr>
          <w:trHeight w:val="741"/>
        </w:trPr>
        <w:tc>
          <w:tcPr>
            <w:tcW w:w="2494" w:type="dxa"/>
          </w:tcPr>
          <w:p w14:paraId="27EA1AB8"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tasource.login-timeout</w:t>
            </w:r>
          </w:p>
        </w:tc>
        <w:tc>
          <w:tcPr>
            <w:tcW w:w="2494" w:type="dxa"/>
          </w:tcPr>
          <w:p w14:paraId="5B0FDE28" w14:textId="77777777" w:rsidR="00A720EB" w:rsidRDefault="0030286B">
            <w:pPr>
              <w:pStyle w:val="TableParagraph"/>
              <w:spacing w:before="37"/>
              <w:rPr>
                <w:sz w:val="21"/>
              </w:rPr>
            </w:pPr>
            <w:r>
              <w:rPr>
                <w:color w:val="B02045"/>
                <w:sz w:val="21"/>
              </w:rPr>
              <w:t>0.0</w:t>
            </w:r>
          </w:p>
        </w:tc>
        <w:tc>
          <w:tcPr>
            <w:tcW w:w="4988" w:type="dxa"/>
          </w:tcPr>
          <w:p w14:paraId="0ACA9228" w14:textId="77777777" w:rsidR="00A720EB" w:rsidRDefault="0030286B">
            <w:pPr>
              <w:pStyle w:val="TableParagraph"/>
              <w:spacing w:before="28" w:line="310" w:lineRule="atLeast"/>
              <w:ind w:right="147"/>
              <w:rPr>
                <w:rFonts w:ascii="Cambria"/>
                <w:sz w:val="21"/>
              </w:rPr>
            </w:pPr>
            <w:r>
              <w:rPr>
                <w:rFonts w:ascii="Cambria"/>
                <w:color w:val="333333"/>
                <w:w w:val="115"/>
                <w:sz w:val="21"/>
              </w:rPr>
              <w:t>Timeout,</w:t>
            </w:r>
            <w:r>
              <w:rPr>
                <w:rFonts w:ascii="Cambria"/>
                <w:color w:val="333333"/>
                <w:spacing w:val="-27"/>
                <w:w w:val="115"/>
                <w:sz w:val="21"/>
              </w:rPr>
              <w:t xml:space="preserve"> </w:t>
            </w:r>
            <w:r>
              <w:rPr>
                <w:rFonts w:ascii="Cambria"/>
                <w:color w:val="333333"/>
                <w:w w:val="115"/>
                <w:sz w:val="21"/>
              </w:rPr>
              <w:t>in</w:t>
            </w:r>
            <w:r>
              <w:rPr>
                <w:rFonts w:ascii="Cambria"/>
                <w:color w:val="333333"/>
                <w:spacing w:val="-26"/>
                <w:w w:val="115"/>
                <w:sz w:val="21"/>
              </w:rPr>
              <w:t xml:space="preserve"> </w:t>
            </w:r>
            <w:r>
              <w:rPr>
                <w:rFonts w:ascii="Cambria"/>
                <w:color w:val="333333"/>
                <w:w w:val="115"/>
                <w:sz w:val="21"/>
              </w:rPr>
              <w:t>seconds,</w:t>
            </w:r>
            <w:r>
              <w:rPr>
                <w:rFonts w:ascii="Cambria"/>
                <w:color w:val="333333"/>
                <w:spacing w:val="-26"/>
                <w:w w:val="115"/>
                <w:sz w:val="21"/>
              </w:rPr>
              <w:t xml:space="preserve"> </w:t>
            </w:r>
            <w:r>
              <w:rPr>
                <w:rFonts w:ascii="Cambria"/>
                <w:color w:val="333333"/>
                <w:w w:val="115"/>
                <w:sz w:val="21"/>
              </w:rPr>
              <w:t>for</w:t>
            </w:r>
            <w:r>
              <w:rPr>
                <w:rFonts w:ascii="Cambria"/>
                <w:color w:val="333333"/>
                <w:spacing w:val="-26"/>
                <w:w w:val="115"/>
                <w:sz w:val="21"/>
              </w:rPr>
              <w:t xml:space="preserve"> </w:t>
            </w:r>
            <w:r>
              <w:rPr>
                <w:rFonts w:ascii="Cambria"/>
                <w:color w:val="333333"/>
                <w:w w:val="115"/>
                <w:sz w:val="21"/>
              </w:rPr>
              <w:t>establishing</w:t>
            </w:r>
            <w:r>
              <w:rPr>
                <w:rFonts w:ascii="Cambria"/>
                <w:color w:val="333333"/>
                <w:spacing w:val="-26"/>
                <w:w w:val="115"/>
                <w:sz w:val="21"/>
              </w:rPr>
              <w:t xml:space="preserve"> </w:t>
            </w:r>
            <w:r>
              <w:rPr>
                <w:rFonts w:ascii="Cambria"/>
                <w:color w:val="333333"/>
                <w:w w:val="115"/>
                <w:sz w:val="21"/>
              </w:rPr>
              <w:t>a</w:t>
            </w:r>
            <w:r>
              <w:rPr>
                <w:rFonts w:ascii="Cambria"/>
                <w:color w:val="333333"/>
                <w:spacing w:val="-26"/>
                <w:w w:val="115"/>
                <w:sz w:val="21"/>
              </w:rPr>
              <w:t xml:space="preserve"> </w:t>
            </w:r>
            <w:r>
              <w:rPr>
                <w:rFonts w:ascii="Cambria"/>
                <w:color w:val="333333"/>
                <w:w w:val="115"/>
                <w:sz w:val="21"/>
              </w:rPr>
              <w:t>database connection.</w:t>
            </w:r>
          </w:p>
        </w:tc>
      </w:tr>
      <w:tr w:rsidR="00A720EB" w14:paraId="3CA7B641" w14:textId="77777777">
        <w:trPr>
          <w:trHeight w:val="886"/>
        </w:trPr>
        <w:tc>
          <w:tcPr>
            <w:tcW w:w="2494" w:type="dxa"/>
          </w:tcPr>
          <w:p w14:paraId="2A9C1B9A"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tasource.maintenance- interval</w:t>
            </w:r>
          </w:p>
        </w:tc>
        <w:tc>
          <w:tcPr>
            <w:tcW w:w="2494" w:type="dxa"/>
          </w:tcPr>
          <w:p w14:paraId="41DBA0FC" w14:textId="77777777" w:rsidR="00A720EB" w:rsidRDefault="0030286B">
            <w:pPr>
              <w:pStyle w:val="TableParagraph"/>
              <w:rPr>
                <w:sz w:val="21"/>
              </w:rPr>
            </w:pPr>
            <w:r>
              <w:rPr>
                <w:color w:val="B02045"/>
                <w:sz w:val="21"/>
              </w:rPr>
              <w:t>60.0</w:t>
            </w:r>
          </w:p>
        </w:tc>
        <w:tc>
          <w:tcPr>
            <w:tcW w:w="4988" w:type="dxa"/>
          </w:tcPr>
          <w:p w14:paraId="21BBCCAC" w14:textId="77777777" w:rsidR="00A720EB" w:rsidRDefault="0030286B">
            <w:pPr>
              <w:pStyle w:val="TableParagraph"/>
              <w:spacing w:before="92" w:line="307" w:lineRule="auto"/>
              <w:rPr>
                <w:rFonts w:ascii="Cambria"/>
                <w:sz w:val="21"/>
              </w:rPr>
            </w:pPr>
            <w:r>
              <w:rPr>
                <w:rFonts w:ascii="Cambria"/>
                <w:color w:val="333333"/>
                <w:w w:val="110"/>
                <w:sz w:val="21"/>
              </w:rPr>
              <w:t>Time, in seconds, between runs of the pool's maintenance thread.</w:t>
            </w:r>
          </w:p>
        </w:tc>
      </w:tr>
      <w:tr w:rsidR="00A720EB" w14:paraId="05064E93" w14:textId="77777777">
        <w:trPr>
          <w:trHeight w:val="741"/>
        </w:trPr>
        <w:tc>
          <w:tcPr>
            <w:tcW w:w="2494" w:type="dxa"/>
          </w:tcPr>
          <w:p w14:paraId="0907B84E"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tasource.max-idle-time</w:t>
            </w:r>
          </w:p>
        </w:tc>
        <w:tc>
          <w:tcPr>
            <w:tcW w:w="2494" w:type="dxa"/>
          </w:tcPr>
          <w:p w14:paraId="08362FE7" w14:textId="77777777" w:rsidR="00A720EB" w:rsidRDefault="0030286B">
            <w:pPr>
              <w:pStyle w:val="TableParagraph"/>
              <w:spacing w:before="37"/>
              <w:rPr>
                <w:sz w:val="21"/>
              </w:rPr>
            </w:pPr>
            <w:r>
              <w:rPr>
                <w:color w:val="B02045"/>
                <w:sz w:val="21"/>
              </w:rPr>
              <w:t>60.0</w:t>
            </w:r>
          </w:p>
        </w:tc>
        <w:tc>
          <w:tcPr>
            <w:tcW w:w="4988" w:type="dxa"/>
          </w:tcPr>
          <w:p w14:paraId="21D860CD" w14:textId="77777777" w:rsidR="00A720EB" w:rsidRDefault="0030286B">
            <w:pPr>
              <w:pStyle w:val="TableParagraph"/>
              <w:spacing w:before="28" w:line="310" w:lineRule="atLeast"/>
              <w:rPr>
                <w:rFonts w:ascii="Cambria"/>
                <w:sz w:val="21"/>
              </w:rPr>
            </w:pPr>
            <w:r>
              <w:rPr>
                <w:rFonts w:ascii="Cambria"/>
                <w:color w:val="333333"/>
                <w:w w:val="110"/>
                <w:sz w:val="21"/>
              </w:rPr>
              <w:t>Time, in seconds, after which connections are cleaned up from the pool.</w:t>
            </w:r>
          </w:p>
        </w:tc>
      </w:tr>
      <w:tr w:rsidR="00A720EB" w14:paraId="6AE48712" w14:textId="77777777">
        <w:trPr>
          <w:trHeight w:val="1056"/>
        </w:trPr>
        <w:tc>
          <w:tcPr>
            <w:tcW w:w="2494" w:type="dxa"/>
          </w:tcPr>
          <w:p w14:paraId="5E01166C"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tasource.max-lifetime</w:t>
            </w:r>
          </w:p>
        </w:tc>
        <w:tc>
          <w:tcPr>
            <w:tcW w:w="2494" w:type="dxa"/>
          </w:tcPr>
          <w:p w14:paraId="6AC60FD6" w14:textId="77777777" w:rsidR="00A720EB" w:rsidRDefault="0030286B">
            <w:pPr>
              <w:pStyle w:val="TableParagraph"/>
              <w:spacing w:before="37"/>
              <w:rPr>
                <w:sz w:val="21"/>
              </w:rPr>
            </w:pPr>
            <w:r>
              <w:rPr>
                <w:color w:val="B02045"/>
                <w:sz w:val="21"/>
              </w:rPr>
              <w:t>0.0</w:t>
            </w:r>
          </w:p>
        </w:tc>
        <w:tc>
          <w:tcPr>
            <w:tcW w:w="4988" w:type="dxa"/>
          </w:tcPr>
          <w:p w14:paraId="4B5A8671" w14:textId="77777777" w:rsidR="00A720EB" w:rsidRDefault="0030286B">
            <w:pPr>
              <w:pStyle w:val="TableParagraph"/>
              <w:spacing w:before="28" w:line="310" w:lineRule="atLeast"/>
              <w:ind w:right="162"/>
              <w:rPr>
                <w:rFonts w:ascii="Cambria"/>
                <w:sz w:val="21"/>
              </w:rPr>
            </w:pPr>
            <w:r>
              <w:rPr>
                <w:rFonts w:ascii="Cambria"/>
                <w:color w:val="333333"/>
                <w:w w:val="110"/>
                <w:sz w:val="21"/>
              </w:rPr>
              <w:t>Time, in seconds, that a connection can be pooled for before being destroyed. 0 denotes no limit.</w:t>
            </w:r>
          </w:p>
        </w:tc>
      </w:tr>
      <w:tr w:rsidR="00A720EB" w14:paraId="7371A652" w14:textId="77777777">
        <w:trPr>
          <w:trHeight w:val="627"/>
        </w:trPr>
        <w:tc>
          <w:tcPr>
            <w:tcW w:w="2494" w:type="dxa"/>
          </w:tcPr>
          <w:p w14:paraId="5C1EBE90"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tasource.max-pool-size</w:t>
            </w:r>
          </w:p>
        </w:tc>
        <w:tc>
          <w:tcPr>
            <w:tcW w:w="2494" w:type="dxa"/>
          </w:tcPr>
          <w:p w14:paraId="2281926D" w14:textId="77777777" w:rsidR="00A720EB" w:rsidRDefault="0030286B">
            <w:pPr>
              <w:pStyle w:val="TableParagraph"/>
              <w:spacing w:before="37"/>
              <w:rPr>
                <w:sz w:val="21"/>
              </w:rPr>
            </w:pPr>
            <w:r>
              <w:rPr>
                <w:color w:val="B02045"/>
                <w:sz w:val="21"/>
              </w:rPr>
              <w:t>1.0</w:t>
            </w:r>
          </w:p>
        </w:tc>
        <w:tc>
          <w:tcPr>
            <w:tcW w:w="4988" w:type="dxa"/>
          </w:tcPr>
          <w:p w14:paraId="5FDB1997" w14:textId="77777777" w:rsidR="00A720EB" w:rsidRDefault="0030286B">
            <w:pPr>
              <w:pStyle w:val="TableParagraph"/>
              <w:spacing w:before="92"/>
              <w:rPr>
                <w:rFonts w:ascii="Cambria"/>
                <w:sz w:val="21"/>
              </w:rPr>
            </w:pPr>
            <w:r>
              <w:rPr>
                <w:rFonts w:ascii="Cambria"/>
                <w:color w:val="333333"/>
                <w:w w:val="110"/>
                <w:sz w:val="21"/>
              </w:rPr>
              <w:t>Maximum size of the pool.</w:t>
            </w:r>
          </w:p>
        </w:tc>
      </w:tr>
      <w:tr w:rsidR="00A720EB" w14:paraId="61D94E74" w14:textId="77777777">
        <w:trPr>
          <w:trHeight w:val="627"/>
        </w:trPr>
        <w:tc>
          <w:tcPr>
            <w:tcW w:w="2494" w:type="dxa"/>
          </w:tcPr>
          <w:p w14:paraId="6A068A47"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tasource.min-pool-size</w:t>
            </w:r>
          </w:p>
        </w:tc>
        <w:tc>
          <w:tcPr>
            <w:tcW w:w="2494" w:type="dxa"/>
          </w:tcPr>
          <w:p w14:paraId="17F3B49D" w14:textId="77777777" w:rsidR="00A720EB" w:rsidRDefault="0030286B">
            <w:pPr>
              <w:pStyle w:val="TableParagraph"/>
              <w:rPr>
                <w:sz w:val="21"/>
              </w:rPr>
            </w:pPr>
            <w:r>
              <w:rPr>
                <w:color w:val="B02045"/>
                <w:sz w:val="21"/>
              </w:rPr>
              <w:t>1.0</w:t>
            </w:r>
          </w:p>
        </w:tc>
        <w:tc>
          <w:tcPr>
            <w:tcW w:w="4988" w:type="dxa"/>
          </w:tcPr>
          <w:p w14:paraId="7B64B74F" w14:textId="77777777" w:rsidR="00A720EB" w:rsidRDefault="0030286B">
            <w:pPr>
              <w:pStyle w:val="TableParagraph"/>
              <w:spacing w:before="92"/>
              <w:rPr>
                <w:rFonts w:ascii="Cambria"/>
                <w:sz w:val="21"/>
              </w:rPr>
            </w:pPr>
            <w:r>
              <w:rPr>
                <w:rFonts w:ascii="Cambria"/>
                <w:color w:val="333333"/>
                <w:w w:val="110"/>
                <w:sz w:val="21"/>
              </w:rPr>
              <w:t>Minimum size of the pool.</w:t>
            </w:r>
          </w:p>
        </w:tc>
      </w:tr>
      <w:tr w:rsidR="00A720EB" w14:paraId="1D79BA85" w14:textId="77777777">
        <w:trPr>
          <w:trHeight w:val="741"/>
        </w:trPr>
        <w:tc>
          <w:tcPr>
            <w:tcW w:w="2494" w:type="dxa"/>
          </w:tcPr>
          <w:p w14:paraId="68A3A29D"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tasource.reap-timeout</w:t>
            </w:r>
          </w:p>
        </w:tc>
        <w:tc>
          <w:tcPr>
            <w:tcW w:w="2494" w:type="dxa"/>
          </w:tcPr>
          <w:p w14:paraId="68A23F25" w14:textId="77777777" w:rsidR="00A720EB" w:rsidRDefault="0030286B">
            <w:pPr>
              <w:pStyle w:val="TableParagraph"/>
              <w:spacing w:before="37"/>
              <w:rPr>
                <w:sz w:val="21"/>
              </w:rPr>
            </w:pPr>
            <w:r>
              <w:rPr>
                <w:color w:val="B02045"/>
                <w:sz w:val="21"/>
              </w:rPr>
              <w:t>0.0</w:t>
            </w:r>
          </w:p>
        </w:tc>
        <w:tc>
          <w:tcPr>
            <w:tcW w:w="4988" w:type="dxa"/>
          </w:tcPr>
          <w:p w14:paraId="335D4DAD" w14:textId="77777777" w:rsidR="00A720EB" w:rsidRDefault="0030286B">
            <w:pPr>
              <w:pStyle w:val="TableParagraph"/>
              <w:spacing w:before="28" w:line="310" w:lineRule="atLeast"/>
              <w:rPr>
                <w:rFonts w:ascii="Cambria"/>
                <w:sz w:val="21"/>
              </w:rPr>
            </w:pPr>
            <w:r>
              <w:rPr>
                <w:rFonts w:ascii="Cambria"/>
                <w:color w:val="333333"/>
                <w:w w:val="110"/>
                <w:sz w:val="21"/>
              </w:rPr>
              <w:t>Reap timeout, in seconds, for borrowed connections. 0 denotes no limit.</w:t>
            </w:r>
          </w:p>
        </w:tc>
      </w:tr>
      <w:tr w:rsidR="00A720EB" w14:paraId="317F90ED" w14:textId="77777777">
        <w:trPr>
          <w:trHeight w:val="741"/>
        </w:trPr>
        <w:tc>
          <w:tcPr>
            <w:tcW w:w="2494" w:type="dxa"/>
          </w:tcPr>
          <w:p w14:paraId="61F53D88"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tasource.test-query</w:t>
            </w:r>
          </w:p>
        </w:tc>
        <w:tc>
          <w:tcPr>
            <w:tcW w:w="2494" w:type="dxa"/>
          </w:tcPr>
          <w:p w14:paraId="1846739C" w14:textId="77777777" w:rsidR="00A720EB" w:rsidRDefault="00A720EB">
            <w:pPr>
              <w:pStyle w:val="TableParagraph"/>
              <w:spacing w:before="0"/>
              <w:ind w:left="0"/>
              <w:rPr>
                <w:rFonts w:ascii="Times New Roman"/>
                <w:sz w:val="20"/>
              </w:rPr>
            </w:pPr>
          </w:p>
        </w:tc>
        <w:tc>
          <w:tcPr>
            <w:tcW w:w="4988" w:type="dxa"/>
          </w:tcPr>
          <w:p w14:paraId="61CDDC0C" w14:textId="77777777" w:rsidR="00A720EB" w:rsidRDefault="0030286B">
            <w:pPr>
              <w:pStyle w:val="TableParagraph"/>
              <w:spacing w:before="28" w:line="310" w:lineRule="atLeast"/>
              <w:rPr>
                <w:rFonts w:ascii="Cambria"/>
                <w:sz w:val="21"/>
              </w:rPr>
            </w:pPr>
            <w:r>
              <w:rPr>
                <w:rFonts w:ascii="Cambria"/>
                <w:color w:val="333333"/>
                <w:w w:val="110"/>
                <w:sz w:val="21"/>
              </w:rPr>
              <w:t>SQL query or statement used to validate a connection before returning it.</w:t>
            </w:r>
          </w:p>
        </w:tc>
      </w:tr>
      <w:tr w:rsidR="00A720EB" w14:paraId="147EE211" w14:textId="77777777">
        <w:trPr>
          <w:trHeight w:val="886"/>
        </w:trPr>
        <w:tc>
          <w:tcPr>
            <w:tcW w:w="2494" w:type="dxa"/>
          </w:tcPr>
          <w:p w14:paraId="05E7A267"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tasource.unique- resource-name</w:t>
            </w:r>
          </w:p>
        </w:tc>
        <w:tc>
          <w:tcPr>
            <w:tcW w:w="2494" w:type="dxa"/>
          </w:tcPr>
          <w:p w14:paraId="224DF5C7" w14:textId="77777777" w:rsidR="00A720EB" w:rsidRDefault="0030286B">
            <w:pPr>
              <w:pStyle w:val="TableParagraph"/>
              <w:rPr>
                <w:sz w:val="21"/>
              </w:rPr>
            </w:pPr>
            <w:r>
              <w:rPr>
                <w:color w:val="B02045"/>
                <w:sz w:val="21"/>
              </w:rPr>
              <w:t>dataSource</w:t>
            </w:r>
          </w:p>
        </w:tc>
        <w:tc>
          <w:tcPr>
            <w:tcW w:w="4988" w:type="dxa"/>
          </w:tcPr>
          <w:p w14:paraId="23DA9B27" w14:textId="77777777" w:rsidR="00A720EB" w:rsidRDefault="0030286B">
            <w:pPr>
              <w:pStyle w:val="TableParagraph"/>
              <w:spacing w:before="92" w:line="307" w:lineRule="auto"/>
              <w:ind w:right="372"/>
              <w:rPr>
                <w:rFonts w:ascii="Cambria"/>
                <w:sz w:val="21"/>
              </w:rPr>
            </w:pPr>
            <w:r>
              <w:rPr>
                <w:rFonts w:ascii="Cambria"/>
                <w:color w:val="333333"/>
                <w:w w:val="110"/>
                <w:sz w:val="21"/>
              </w:rPr>
              <w:t>Unique name used to identify the resource during recovery.</w:t>
            </w:r>
          </w:p>
        </w:tc>
      </w:tr>
      <w:tr w:rsidR="00A720EB" w14:paraId="15307BF0" w14:textId="77777777">
        <w:trPr>
          <w:trHeight w:val="886"/>
        </w:trPr>
        <w:tc>
          <w:tcPr>
            <w:tcW w:w="2494" w:type="dxa"/>
          </w:tcPr>
          <w:p w14:paraId="62B350CF"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tasource.xa-data- source-class-name</w:t>
            </w:r>
          </w:p>
        </w:tc>
        <w:tc>
          <w:tcPr>
            <w:tcW w:w="2494" w:type="dxa"/>
          </w:tcPr>
          <w:p w14:paraId="142FFC9A" w14:textId="77777777" w:rsidR="00A720EB" w:rsidRDefault="00A720EB">
            <w:pPr>
              <w:pStyle w:val="TableParagraph"/>
              <w:spacing w:before="0"/>
              <w:ind w:left="0"/>
              <w:rPr>
                <w:rFonts w:ascii="Times New Roman"/>
                <w:sz w:val="20"/>
              </w:rPr>
            </w:pPr>
          </w:p>
        </w:tc>
        <w:tc>
          <w:tcPr>
            <w:tcW w:w="4988" w:type="dxa"/>
          </w:tcPr>
          <w:p w14:paraId="0FFA6CE6" w14:textId="77777777" w:rsidR="00A720EB" w:rsidRDefault="0030286B">
            <w:pPr>
              <w:pStyle w:val="TableParagraph"/>
              <w:spacing w:before="92" w:line="307" w:lineRule="auto"/>
              <w:rPr>
                <w:rFonts w:ascii="Cambria"/>
                <w:sz w:val="21"/>
              </w:rPr>
            </w:pPr>
            <w:r>
              <w:rPr>
                <w:rFonts w:ascii="Cambria"/>
                <w:color w:val="333333"/>
                <w:w w:val="110"/>
                <w:sz w:val="21"/>
              </w:rPr>
              <w:t>Vendor-specific implementation of XAConnectionFactory.</w:t>
            </w:r>
          </w:p>
        </w:tc>
      </w:tr>
      <w:tr w:rsidR="00A720EB" w14:paraId="449769D1" w14:textId="77777777">
        <w:trPr>
          <w:trHeight w:val="627"/>
        </w:trPr>
        <w:tc>
          <w:tcPr>
            <w:tcW w:w="2494" w:type="dxa"/>
          </w:tcPr>
          <w:p w14:paraId="000F6B80" w14:textId="77777777" w:rsidR="00A720EB" w:rsidRDefault="0030286B">
            <w:pPr>
              <w:pStyle w:val="TableParagraph"/>
              <w:spacing w:before="46" w:line="230" w:lineRule="auto"/>
              <w:ind w:right="113"/>
              <w:rPr>
                <w:sz w:val="21"/>
              </w:rPr>
            </w:pPr>
            <w:proofErr w:type="gramStart"/>
            <w:r>
              <w:rPr>
                <w:color w:val="B02045"/>
                <w:sz w:val="21"/>
              </w:rPr>
              <w:t>spring.jta.atomikos</w:t>
            </w:r>
            <w:proofErr w:type="gramEnd"/>
            <w:r>
              <w:rPr>
                <w:color w:val="B02045"/>
                <w:sz w:val="21"/>
              </w:rPr>
              <w:t>.da tasource.xa-</w:t>
            </w:r>
            <w:r>
              <w:rPr>
                <w:color w:val="B02045"/>
                <w:sz w:val="21"/>
              </w:rPr>
              <w:lastRenderedPageBreak/>
              <w:t>properties</w:t>
            </w:r>
          </w:p>
        </w:tc>
        <w:tc>
          <w:tcPr>
            <w:tcW w:w="2494" w:type="dxa"/>
          </w:tcPr>
          <w:p w14:paraId="6A9BC1A6" w14:textId="77777777" w:rsidR="00A720EB" w:rsidRDefault="00A720EB">
            <w:pPr>
              <w:pStyle w:val="TableParagraph"/>
              <w:spacing w:before="0"/>
              <w:ind w:left="0"/>
              <w:rPr>
                <w:rFonts w:ascii="Times New Roman"/>
                <w:sz w:val="20"/>
              </w:rPr>
            </w:pPr>
          </w:p>
        </w:tc>
        <w:tc>
          <w:tcPr>
            <w:tcW w:w="4988" w:type="dxa"/>
          </w:tcPr>
          <w:p w14:paraId="7460E754" w14:textId="77777777" w:rsidR="00A720EB" w:rsidRDefault="0030286B">
            <w:pPr>
              <w:pStyle w:val="TableParagraph"/>
              <w:spacing w:before="92"/>
              <w:rPr>
                <w:rFonts w:ascii="Cambria"/>
                <w:sz w:val="21"/>
              </w:rPr>
            </w:pPr>
            <w:r>
              <w:rPr>
                <w:rFonts w:ascii="Cambria"/>
                <w:color w:val="333333"/>
                <w:w w:val="110"/>
                <w:sz w:val="21"/>
              </w:rPr>
              <w:t>Vendor-specific XA properties.</w:t>
            </w:r>
          </w:p>
        </w:tc>
      </w:tr>
      <w:tr w:rsidR="00A720EB" w14:paraId="25CF9EF4" w14:textId="77777777">
        <w:trPr>
          <w:trHeight w:val="886"/>
        </w:trPr>
        <w:tc>
          <w:tcPr>
            <w:tcW w:w="2494" w:type="dxa"/>
          </w:tcPr>
          <w:p w14:paraId="7FC34AC4" w14:textId="77777777" w:rsidR="00A720EB" w:rsidRDefault="0030286B">
            <w:pPr>
              <w:pStyle w:val="TableParagraph"/>
              <w:spacing w:before="46" w:line="230" w:lineRule="auto"/>
              <w:ind w:right="113"/>
              <w:rPr>
                <w:sz w:val="21"/>
              </w:rPr>
            </w:pPr>
            <w:r>
              <w:rPr>
                <w:color w:val="B02045"/>
                <w:sz w:val="21"/>
              </w:rPr>
              <w:t xml:space="preserve">spring.jta.atomikos.pr </w:t>
            </w:r>
            <w:proofErr w:type="gramStart"/>
            <w:r>
              <w:rPr>
                <w:color w:val="B02045"/>
                <w:sz w:val="21"/>
              </w:rPr>
              <w:t>operties.allow</w:t>
            </w:r>
            <w:proofErr w:type="gramEnd"/>
            <w:r>
              <w:rPr>
                <w:color w:val="B02045"/>
                <w:sz w:val="21"/>
              </w:rPr>
              <w:t>-sub- transactions</w:t>
            </w:r>
          </w:p>
        </w:tc>
        <w:tc>
          <w:tcPr>
            <w:tcW w:w="2494" w:type="dxa"/>
          </w:tcPr>
          <w:p w14:paraId="02184B3A" w14:textId="77777777" w:rsidR="00A720EB" w:rsidRDefault="0030286B">
            <w:pPr>
              <w:pStyle w:val="TableParagraph"/>
              <w:spacing w:before="37"/>
              <w:rPr>
                <w:sz w:val="21"/>
              </w:rPr>
            </w:pPr>
            <w:r>
              <w:rPr>
                <w:color w:val="B02045"/>
                <w:sz w:val="21"/>
              </w:rPr>
              <w:t>true</w:t>
            </w:r>
          </w:p>
        </w:tc>
        <w:tc>
          <w:tcPr>
            <w:tcW w:w="4988" w:type="dxa"/>
          </w:tcPr>
          <w:p w14:paraId="790A93A8" w14:textId="77777777" w:rsidR="00A720EB" w:rsidRDefault="0030286B">
            <w:pPr>
              <w:pStyle w:val="TableParagraph"/>
              <w:spacing w:before="92"/>
              <w:rPr>
                <w:rFonts w:ascii="Cambria"/>
                <w:sz w:val="21"/>
              </w:rPr>
            </w:pPr>
            <w:r>
              <w:rPr>
                <w:rFonts w:ascii="Cambria"/>
                <w:color w:val="333333"/>
                <w:w w:val="110"/>
                <w:sz w:val="21"/>
              </w:rPr>
              <w:t>Specify whether sub-transactions are allowed.</w:t>
            </w:r>
          </w:p>
        </w:tc>
      </w:tr>
    </w:tbl>
    <w:p w14:paraId="2911B80E"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6CEBDD3" w14:textId="77777777">
        <w:trPr>
          <w:trHeight w:val="415"/>
        </w:trPr>
        <w:tc>
          <w:tcPr>
            <w:tcW w:w="2494" w:type="dxa"/>
            <w:tcBorders>
              <w:bottom w:val="single" w:sz="12" w:space="0" w:color="DDDDDD"/>
            </w:tcBorders>
          </w:tcPr>
          <w:p w14:paraId="27CEBA84"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0D63418"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49943E6"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6E957E4" w14:textId="77777777">
        <w:trPr>
          <w:trHeight w:val="1677"/>
        </w:trPr>
        <w:tc>
          <w:tcPr>
            <w:tcW w:w="2494" w:type="dxa"/>
            <w:tcBorders>
              <w:top w:val="single" w:sz="12" w:space="0" w:color="DDDDDD"/>
            </w:tcBorders>
          </w:tcPr>
          <w:p w14:paraId="34551774" w14:textId="77777777" w:rsidR="00A720EB" w:rsidRDefault="0030286B">
            <w:pPr>
              <w:pStyle w:val="TableParagraph"/>
              <w:spacing w:before="36" w:line="230" w:lineRule="auto"/>
              <w:ind w:right="113"/>
              <w:rPr>
                <w:sz w:val="21"/>
              </w:rPr>
            </w:pPr>
            <w:r>
              <w:rPr>
                <w:color w:val="B02045"/>
                <w:sz w:val="21"/>
              </w:rPr>
              <w:t xml:space="preserve">spring.jta.atomikos.pr </w:t>
            </w:r>
            <w:proofErr w:type="gramStart"/>
            <w:r>
              <w:rPr>
                <w:color w:val="B02045"/>
                <w:sz w:val="21"/>
              </w:rPr>
              <w:t>operties.checkpoint</w:t>
            </w:r>
            <w:proofErr w:type="gramEnd"/>
            <w:r>
              <w:rPr>
                <w:color w:val="B02045"/>
                <w:sz w:val="21"/>
              </w:rPr>
              <w:t>- interval</w:t>
            </w:r>
          </w:p>
        </w:tc>
        <w:tc>
          <w:tcPr>
            <w:tcW w:w="2494" w:type="dxa"/>
            <w:tcBorders>
              <w:top w:val="single" w:sz="12" w:space="0" w:color="DDDDDD"/>
            </w:tcBorders>
          </w:tcPr>
          <w:p w14:paraId="3F7181C6" w14:textId="77777777" w:rsidR="00A720EB" w:rsidRDefault="0030286B">
            <w:pPr>
              <w:pStyle w:val="TableParagraph"/>
              <w:spacing w:before="27"/>
              <w:rPr>
                <w:sz w:val="21"/>
              </w:rPr>
            </w:pPr>
            <w:r>
              <w:rPr>
                <w:color w:val="B02045"/>
                <w:sz w:val="21"/>
              </w:rPr>
              <w:t>500.0</w:t>
            </w:r>
          </w:p>
        </w:tc>
        <w:tc>
          <w:tcPr>
            <w:tcW w:w="4988" w:type="dxa"/>
            <w:tcBorders>
              <w:top w:val="single" w:sz="12" w:space="0" w:color="DDDDDD"/>
            </w:tcBorders>
          </w:tcPr>
          <w:p w14:paraId="008C7175" w14:textId="77777777" w:rsidR="00A720EB" w:rsidRDefault="0030286B">
            <w:pPr>
              <w:pStyle w:val="TableParagraph"/>
              <w:spacing w:before="82" w:line="307" w:lineRule="auto"/>
              <w:ind w:right="162"/>
              <w:rPr>
                <w:rFonts w:ascii="Cambria"/>
                <w:sz w:val="21"/>
              </w:rPr>
            </w:pPr>
            <w:r>
              <w:rPr>
                <w:rFonts w:ascii="Cambria"/>
                <w:color w:val="333333"/>
                <w:w w:val="110"/>
                <w:sz w:val="21"/>
              </w:rPr>
              <w:t xml:space="preserve">Interval between checkpoints, expressed as the number of </w:t>
            </w:r>
            <w:proofErr w:type="gramStart"/>
            <w:r>
              <w:rPr>
                <w:rFonts w:ascii="Cambria"/>
                <w:color w:val="333333"/>
                <w:w w:val="110"/>
                <w:sz w:val="21"/>
              </w:rPr>
              <w:t>log</w:t>
            </w:r>
            <w:proofErr w:type="gramEnd"/>
            <w:r>
              <w:rPr>
                <w:rFonts w:ascii="Cambria"/>
                <w:color w:val="333333"/>
                <w:w w:val="110"/>
                <w:sz w:val="21"/>
              </w:rPr>
              <w:t xml:space="preserve"> writes between two checkpoints. A checkpoint reduces the log file size at the expense of adding some overhead in the runtime.</w:t>
            </w:r>
          </w:p>
        </w:tc>
      </w:tr>
      <w:tr w:rsidR="00A720EB" w14:paraId="2C445954" w14:textId="77777777">
        <w:trPr>
          <w:trHeight w:val="886"/>
        </w:trPr>
        <w:tc>
          <w:tcPr>
            <w:tcW w:w="2494" w:type="dxa"/>
          </w:tcPr>
          <w:p w14:paraId="60DD9D1E" w14:textId="77777777" w:rsidR="00A720EB" w:rsidRDefault="0030286B">
            <w:pPr>
              <w:pStyle w:val="TableParagraph"/>
              <w:spacing w:before="46" w:line="230" w:lineRule="auto"/>
              <w:ind w:right="113"/>
              <w:rPr>
                <w:sz w:val="21"/>
              </w:rPr>
            </w:pPr>
            <w:r>
              <w:rPr>
                <w:color w:val="B02045"/>
                <w:sz w:val="21"/>
              </w:rPr>
              <w:t>spring.jta.atomikos.pr operties.default-jta- timeout</w:t>
            </w:r>
          </w:p>
        </w:tc>
        <w:tc>
          <w:tcPr>
            <w:tcW w:w="2494" w:type="dxa"/>
          </w:tcPr>
          <w:p w14:paraId="30E184B1" w14:textId="77777777" w:rsidR="00A720EB" w:rsidRDefault="0030286B">
            <w:pPr>
              <w:pStyle w:val="TableParagraph"/>
              <w:rPr>
                <w:sz w:val="21"/>
              </w:rPr>
            </w:pPr>
            <w:r>
              <w:rPr>
                <w:color w:val="B02045"/>
                <w:sz w:val="21"/>
              </w:rPr>
              <w:t>10000ms</w:t>
            </w:r>
          </w:p>
        </w:tc>
        <w:tc>
          <w:tcPr>
            <w:tcW w:w="4988" w:type="dxa"/>
          </w:tcPr>
          <w:p w14:paraId="56AC54F7" w14:textId="77777777" w:rsidR="00A720EB" w:rsidRDefault="0030286B">
            <w:pPr>
              <w:pStyle w:val="TableParagraph"/>
              <w:spacing w:before="92"/>
              <w:rPr>
                <w:rFonts w:ascii="Cambria"/>
                <w:sz w:val="21"/>
              </w:rPr>
            </w:pPr>
            <w:r>
              <w:rPr>
                <w:rFonts w:ascii="Cambria"/>
                <w:color w:val="333333"/>
                <w:w w:val="110"/>
                <w:sz w:val="21"/>
              </w:rPr>
              <w:t>Default timeout for JTA transactions.</w:t>
            </w:r>
          </w:p>
        </w:tc>
      </w:tr>
      <w:tr w:rsidR="00A720EB" w14:paraId="198D2A4E" w14:textId="77777777">
        <w:trPr>
          <w:trHeight w:val="886"/>
        </w:trPr>
        <w:tc>
          <w:tcPr>
            <w:tcW w:w="2494" w:type="dxa"/>
          </w:tcPr>
          <w:p w14:paraId="5523BDF0" w14:textId="77777777" w:rsidR="00A720EB" w:rsidRDefault="0030286B">
            <w:pPr>
              <w:pStyle w:val="TableParagraph"/>
              <w:spacing w:before="46" w:line="230" w:lineRule="auto"/>
              <w:ind w:right="113"/>
              <w:rPr>
                <w:sz w:val="21"/>
              </w:rPr>
            </w:pPr>
            <w:r>
              <w:rPr>
                <w:color w:val="B02045"/>
                <w:sz w:val="21"/>
              </w:rPr>
              <w:t>spring.jta.atomikos.pr operties.default-max- wait-time-on-shutdown</w:t>
            </w:r>
          </w:p>
        </w:tc>
        <w:tc>
          <w:tcPr>
            <w:tcW w:w="2494" w:type="dxa"/>
          </w:tcPr>
          <w:p w14:paraId="573A7288" w14:textId="77777777" w:rsidR="00A720EB" w:rsidRDefault="00A720EB">
            <w:pPr>
              <w:pStyle w:val="TableParagraph"/>
              <w:spacing w:before="0"/>
              <w:ind w:left="0"/>
              <w:rPr>
                <w:rFonts w:ascii="Times New Roman"/>
                <w:sz w:val="20"/>
              </w:rPr>
            </w:pPr>
          </w:p>
        </w:tc>
        <w:tc>
          <w:tcPr>
            <w:tcW w:w="4988" w:type="dxa"/>
          </w:tcPr>
          <w:p w14:paraId="7848BD25" w14:textId="77777777" w:rsidR="00A720EB" w:rsidRDefault="0030286B">
            <w:pPr>
              <w:pStyle w:val="TableParagraph"/>
              <w:spacing w:before="92" w:line="307" w:lineRule="auto"/>
              <w:rPr>
                <w:rFonts w:ascii="Cambria"/>
                <w:sz w:val="21"/>
              </w:rPr>
            </w:pPr>
            <w:r>
              <w:rPr>
                <w:rFonts w:ascii="Cambria"/>
                <w:color w:val="333333"/>
                <w:w w:val="110"/>
                <w:sz w:val="21"/>
              </w:rPr>
              <w:t>How long should normal shutdown (no-force) wait for transactions to complete.</w:t>
            </w:r>
          </w:p>
        </w:tc>
      </w:tr>
      <w:tr w:rsidR="00A720EB" w14:paraId="1C82E3B0" w14:textId="77777777">
        <w:trPr>
          <w:trHeight w:val="886"/>
        </w:trPr>
        <w:tc>
          <w:tcPr>
            <w:tcW w:w="2494" w:type="dxa"/>
          </w:tcPr>
          <w:p w14:paraId="579CC189" w14:textId="77777777" w:rsidR="00A720EB" w:rsidRDefault="0030286B">
            <w:pPr>
              <w:pStyle w:val="TableParagraph"/>
              <w:spacing w:before="46" w:line="230" w:lineRule="auto"/>
              <w:ind w:right="113"/>
              <w:rPr>
                <w:sz w:val="21"/>
              </w:rPr>
            </w:pPr>
            <w:r>
              <w:rPr>
                <w:color w:val="B02045"/>
                <w:sz w:val="21"/>
              </w:rPr>
              <w:t xml:space="preserve">spring.jta.atomikos.pr </w:t>
            </w:r>
            <w:proofErr w:type="gramStart"/>
            <w:r>
              <w:rPr>
                <w:color w:val="B02045"/>
                <w:sz w:val="21"/>
              </w:rPr>
              <w:t>operties.enable</w:t>
            </w:r>
            <w:proofErr w:type="gramEnd"/>
            <w:r>
              <w:rPr>
                <w:color w:val="B02045"/>
                <w:sz w:val="21"/>
              </w:rPr>
              <w:t>- logging</w:t>
            </w:r>
          </w:p>
        </w:tc>
        <w:tc>
          <w:tcPr>
            <w:tcW w:w="2494" w:type="dxa"/>
          </w:tcPr>
          <w:p w14:paraId="33B97E63" w14:textId="77777777" w:rsidR="00A720EB" w:rsidRDefault="0030286B">
            <w:pPr>
              <w:pStyle w:val="TableParagraph"/>
              <w:spacing w:before="37"/>
              <w:rPr>
                <w:sz w:val="21"/>
              </w:rPr>
            </w:pPr>
            <w:r>
              <w:rPr>
                <w:color w:val="B02045"/>
                <w:sz w:val="21"/>
              </w:rPr>
              <w:t>true</w:t>
            </w:r>
          </w:p>
        </w:tc>
        <w:tc>
          <w:tcPr>
            <w:tcW w:w="4988" w:type="dxa"/>
          </w:tcPr>
          <w:p w14:paraId="6E3258BB" w14:textId="77777777" w:rsidR="00A720EB" w:rsidRDefault="0030286B">
            <w:pPr>
              <w:pStyle w:val="TableParagraph"/>
              <w:spacing w:before="92"/>
              <w:rPr>
                <w:rFonts w:ascii="Cambria"/>
                <w:sz w:val="21"/>
              </w:rPr>
            </w:pPr>
            <w:r>
              <w:rPr>
                <w:rFonts w:ascii="Cambria"/>
                <w:color w:val="333333"/>
                <w:w w:val="110"/>
                <w:sz w:val="21"/>
              </w:rPr>
              <w:t>Whether to enable disk logging.</w:t>
            </w:r>
          </w:p>
        </w:tc>
      </w:tr>
      <w:tr w:rsidR="00A720EB" w14:paraId="1C35856D" w14:textId="77777777">
        <w:trPr>
          <w:trHeight w:val="886"/>
        </w:trPr>
        <w:tc>
          <w:tcPr>
            <w:tcW w:w="2494" w:type="dxa"/>
          </w:tcPr>
          <w:p w14:paraId="6465A430" w14:textId="77777777" w:rsidR="00A720EB" w:rsidRDefault="0030286B">
            <w:pPr>
              <w:pStyle w:val="TableParagraph"/>
              <w:spacing w:before="46" w:line="230" w:lineRule="auto"/>
              <w:ind w:right="113"/>
              <w:rPr>
                <w:sz w:val="21"/>
              </w:rPr>
            </w:pPr>
            <w:r>
              <w:rPr>
                <w:color w:val="B02045"/>
                <w:sz w:val="21"/>
              </w:rPr>
              <w:t xml:space="preserve">spring.jta.atomikos.pr </w:t>
            </w:r>
            <w:proofErr w:type="gramStart"/>
            <w:r>
              <w:rPr>
                <w:color w:val="B02045"/>
                <w:sz w:val="21"/>
              </w:rPr>
              <w:t>operties.force</w:t>
            </w:r>
            <w:proofErr w:type="gramEnd"/>
            <w:r>
              <w:rPr>
                <w:color w:val="B02045"/>
                <w:sz w:val="21"/>
              </w:rPr>
              <w:t>- shutdown-on-vm-exit</w:t>
            </w:r>
          </w:p>
        </w:tc>
        <w:tc>
          <w:tcPr>
            <w:tcW w:w="2494" w:type="dxa"/>
          </w:tcPr>
          <w:p w14:paraId="2A58A9B1" w14:textId="77777777" w:rsidR="00A720EB" w:rsidRDefault="0030286B">
            <w:pPr>
              <w:pStyle w:val="TableParagraph"/>
              <w:rPr>
                <w:sz w:val="21"/>
              </w:rPr>
            </w:pPr>
            <w:r>
              <w:rPr>
                <w:color w:val="B02045"/>
                <w:sz w:val="21"/>
              </w:rPr>
              <w:t>false</w:t>
            </w:r>
          </w:p>
        </w:tc>
        <w:tc>
          <w:tcPr>
            <w:tcW w:w="4988" w:type="dxa"/>
          </w:tcPr>
          <w:p w14:paraId="2672C67E" w14:textId="77777777" w:rsidR="00A720EB" w:rsidRDefault="0030286B">
            <w:pPr>
              <w:pStyle w:val="TableParagraph"/>
              <w:spacing w:before="92" w:line="307" w:lineRule="auto"/>
              <w:rPr>
                <w:rFonts w:ascii="Cambria"/>
                <w:sz w:val="21"/>
              </w:rPr>
            </w:pPr>
            <w:r>
              <w:rPr>
                <w:rFonts w:ascii="Cambria"/>
                <w:color w:val="333333"/>
                <w:w w:val="110"/>
                <w:sz w:val="21"/>
              </w:rPr>
              <w:t>Whether a VM shutdown should trigger forced shutdown of the transaction core.</w:t>
            </w:r>
          </w:p>
        </w:tc>
      </w:tr>
      <w:tr w:rsidR="00A720EB" w14:paraId="780B9BA5" w14:textId="77777777">
        <w:trPr>
          <w:trHeight w:val="741"/>
        </w:trPr>
        <w:tc>
          <w:tcPr>
            <w:tcW w:w="2494" w:type="dxa"/>
          </w:tcPr>
          <w:p w14:paraId="4C4C5C2C" w14:textId="77777777" w:rsidR="00A720EB" w:rsidRDefault="0030286B">
            <w:pPr>
              <w:pStyle w:val="TableParagraph"/>
              <w:spacing w:before="46" w:line="230" w:lineRule="auto"/>
              <w:ind w:right="113"/>
              <w:rPr>
                <w:sz w:val="21"/>
              </w:rPr>
            </w:pPr>
            <w:r>
              <w:rPr>
                <w:color w:val="B02045"/>
                <w:sz w:val="21"/>
              </w:rPr>
              <w:t>spring.jta.atomikos.pr operties.log-base-dir</w:t>
            </w:r>
          </w:p>
        </w:tc>
        <w:tc>
          <w:tcPr>
            <w:tcW w:w="2494" w:type="dxa"/>
          </w:tcPr>
          <w:p w14:paraId="2878D8F4" w14:textId="77777777" w:rsidR="00A720EB" w:rsidRDefault="00A720EB">
            <w:pPr>
              <w:pStyle w:val="TableParagraph"/>
              <w:spacing w:before="0"/>
              <w:ind w:left="0"/>
              <w:rPr>
                <w:rFonts w:ascii="Times New Roman"/>
                <w:sz w:val="20"/>
              </w:rPr>
            </w:pPr>
          </w:p>
        </w:tc>
        <w:tc>
          <w:tcPr>
            <w:tcW w:w="4988" w:type="dxa"/>
          </w:tcPr>
          <w:p w14:paraId="3F27E1BB" w14:textId="77777777" w:rsidR="00A720EB" w:rsidRDefault="0030286B">
            <w:pPr>
              <w:pStyle w:val="TableParagraph"/>
              <w:spacing w:before="28" w:line="310" w:lineRule="atLeast"/>
              <w:rPr>
                <w:rFonts w:ascii="Cambria"/>
                <w:sz w:val="21"/>
              </w:rPr>
            </w:pPr>
            <w:r>
              <w:rPr>
                <w:rFonts w:ascii="Cambria"/>
                <w:color w:val="333333"/>
                <w:w w:val="110"/>
                <w:sz w:val="21"/>
              </w:rPr>
              <w:t>Directory in which the log files should be stored. Defaults to the current working directory.</w:t>
            </w:r>
          </w:p>
        </w:tc>
      </w:tr>
      <w:tr w:rsidR="00A720EB" w14:paraId="647FA192" w14:textId="77777777">
        <w:trPr>
          <w:trHeight w:val="627"/>
        </w:trPr>
        <w:tc>
          <w:tcPr>
            <w:tcW w:w="2494" w:type="dxa"/>
          </w:tcPr>
          <w:p w14:paraId="705F0B8A" w14:textId="77777777" w:rsidR="00A720EB" w:rsidRDefault="0030286B">
            <w:pPr>
              <w:pStyle w:val="TableParagraph"/>
              <w:spacing w:before="46" w:line="230" w:lineRule="auto"/>
              <w:ind w:right="113"/>
              <w:rPr>
                <w:sz w:val="21"/>
              </w:rPr>
            </w:pPr>
            <w:r>
              <w:rPr>
                <w:color w:val="B02045"/>
                <w:sz w:val="21"/>
              </w:rPr>
              <w:t>spring.jta.atomikos.pr operties.log-base-name</w:t>
            </w:r>
          </w:p>
        </w:tc>
        <w:tc>
          <w:tcPr>
            <w:tcW w:w="2494" w:type="dxa"/>
          </w:tcPr>
          <w:p w14:paraId="094A9E0E" w14:textId="77777777" w:rsidR="00A720EB" w:rsidRDefault="0030286B">
            <w:pPr>
              <w:pStyle w:val="TableParagraph"/>
              <w:rPr>
                <w:sz w:val="21"/>
              </w:rPr>
            </w:pPr>
            <w:r>
              <w:rPr>
                <w:color w:val="B02045"/>
                <w:sz w:val="21"/>
              </w:rPr>
              <w:t>tmlog</w:t>
            </w:r>
          </w:p>
        </w:tc>
        <w:tc>
          <w:tcPr>
            <w:tcW w:w="4988" w:type="dxa"/>
          </w:tcPr>
          <w:p w14:paraId="0E9E2860" w14:textId="77777777" w:rsidR="00A720EB" w:rsidRDefault="0030286B">
            <w:pPr>
              <w:pStyle w:val="TableParagraph"/>
              <w:spacing w:before="92"/>
              <w:rPr>
                <w:rFonts w:ascii="Cambria"/>
                <w:sz w:val="21"/>
              </w:rPr>
            </w:pPr>
            <w:r>
              <w:rPr>
                <w:rFonts w:ascii="Cambria"/>
                <w:color w:val="333333"/>
                <w:w w:val="110"/>
                <w:sz w:val="21"/>
              </w:rPr>
              <w:t>Transactions log file base name.</w:t>
            </w:r>
          </w:p>
        </w:tc>
      </w:tr>
      <w:tr w:rsidR="00A720EB" w14:paraId="0A7EF90B" w14:textId="77777777">
        <w:trPr>
          <w:trHeight w:val="627"/>
        </w:trPr>
        <w:tc>
          <w:tcPr>
            <w:tcW w:w="2494" w:type="dxa"/>
          </w:tcPr>
          <w:p w14:paraId="0F664ECF" w14:textId="77777777" w:rsidR="00A720EB" w:rsidRDefault="0030286B">
            <w:pPr>
              <w:pStyle w:val="TableParagraph"/>
              <w:spacing w:before="46" w:line="230" w:lineRule="auto"/>
              <w:ind w:right="113"/>
              <w:rPr>
                <w:sz w:val="21"/>
              </w:rPr>
            </w:pPr>
            <w:r>
              <w:rPr>
                <w:color w:val="B02045"/>
                <w:sz w:val="21"/>
              </w:rPr>
              <w:t>spring.jta.atomikos.pr operties.max-actives</w:t>
            </w:r>
          </w:p>
        </w:tc>
        <w:tc>
          <w:tcPr>
            <w:tcW w:w="2494" w:type="dxa"/>
          </w:tcPr>
          <w:p w14:paraId="62EA1CD6" w14:textId="77777777" w:rsidR="00A720EB" w:rsidRDefault="0030286B">
            <w:pPr>
              <w:pStyle w:val="TableParagraph"/>
              <w:spacing w:before="37"/>
              <w:rPr>
                <w:sz w:val="21"/>
              </w:rPr>
            </w:pPr>
            <w:r>
              <w:rPr>
                <w:color w:val="B02045"/>
                <w:sz w:val="21"/>
              </w:rPr>
              <w:t>50.0</w:t>
            </w:r>
          </w:p>
        </w:tc>
        <w:tc>
          <w:tcPr>
            <w:tcW w:w="4988" w:type="dxa"/>
          </w:tcPr>
          <w:p w14:paraId="4A611C14" w14:textId="77777777" w:rsidR="00A720EB" w:rsidRDefault="0030286B">
            <w:pPr>
              <w:pStyle w:val="TableParagraph"/>
              <w:spacing w:before="92"/>
              <w:rPr>
                <w:rFonts w:ascii="Cambria"/>
                <w:sz w:val="21"/>
              </w:rPr>
            </w:pPr>
            <w:r>
              <w:rPr>
                <w:rFonts w:ascii="Cambria"/>
                <w:color w:val="333333"/>
                <w:w w:val="115"/>
                <w:sz w:val="21"/>
              </w:rPr>
              <w:t>Maximum number of active transactions.</w:t>
            </w:r>
          </w:p>
        </w:tc>
      </w:tr>
      <w:tr w:rsidR="00A720EB" w14:paraId="5ACDE455" w14:textId="77777777">
        <w:trPr>
          <w:trHeight w:val="741"/>
        </w:trPr>
        <w:tc>
          <w:tcPr>
            <w:tcW w:w="2494" w:type="dxa"/>
          </w:tcPr>
          <w:p w14:paraId="4424E34D" w14:textId="77777777" w:rsidR="00A720EB" w:rsidRDefault="0030286B">
            <w:pPr>
              <w:pStyle w:val="TableParagraph"/>
              <w:spacing w:before="46" w:line="230" w:lineRule="auto"/>
              <w:ind w:right="113"/>
              <w:rPr>
                <w:sz w:val="21"/>
              </w:rPr>
            </w:pPr>
            <w:r>
              <w:rPr>
                <w:color w:val="B02045"/>
                <w:sz w:val="21"/>
              </w:rPr>
              <w:t>spring.jta.atomikos.pr operties.max-timeout</w:t>
            </w:r>
          </w:p>
        </w:tc>
        <w:tc>
          <w:tcPr>
            <w:tcW w:w="2494" w:type="dxa"/>
          </w:tcPr>
          <w:p w14:paraId="5630E5AD" w14:textId="77777777" w:rsidR="00A720EB" w:rsidRDefault="0030286B">
            <w:pPr>
              <w:pStyle w:val="TableParagraph"/>
              <w:spacing w:before="37"/>
              <w:rPr>
                <w:sz w:val="21"/>
              </w:rPr>
            </w:pPr>
            <w:r>
              <w:rPr>
                <w:color w:val="B02045"/>
                <w:sz w:val="21"/>
              </w:rPr>
              <w:t>300000ms</w:t>
            </w:r>
          </w:p>
        </w:tc>
        <w:tc>
          <w:tcPr>
            <w:tcW w:w="4988" w:type="dxa"/>
          </w:tcPr>
          <w:p w14:paraId="2CE7FC7C" w14:textId="77777777" w:rsidR="00A720EB" w:rsidRDefault="0030286B">
            <w:pPr>
              <w:pStyle w:val="TableParagraph"/>
              <w:spacing w:before="28" w:line="310" w:lineRule="atLeast"/>
              <w:rPr>
                <w:rFonts w:ascii="Cambria"/>
                <w:sz w:val="21"/>
              </w:rPr>
            </w:pPr>
            <w:r>
              <w:rPr>
                <w:rFonts w:ascii="Cambria"/>
                <w:color w:val="333333"/>
                <w:w w:val="110"/>
                <w:sz w:val="21"/>
              </w:rPr>
              <w:t>Maximum timeout that can be allowed for transactions.</w:t>
            </w:r>
          </w:p>
        </w:tc>
      </w:tr>
      <w:tr w:rsidR="00A720EB" w14:paraId="6D323CF4" w14:textId="77777777">
        <w:trPr>
          <w:trHeight w:val="886"/>
        </w:trPr>
        <w:tc>
          <w:tcPr>
            <w:tcW w:w="2494" w:type="dxa"/>
          </w:tcPr>
          <w:p w14:paraId="27BD6F11" w14:textId="77777777" w:rsidR="00A720EB" w:rsidRDefault="0030286B">
            <w:pPr>
              <w:pStyle w:val="TableParagraph"/>
              <w:spacing w:before="46" w:line="230" w:lineRule="auto"/>
              <w:ind w:right="113"/>
              <w:jc w:val="both"/>
              <w:rPr>
                <w:sz w:val="21"/>
              </w:rPr>
            </w:pPr>
            <w:r>
              <w:rPr>
                <w:color w:val="B02045"/>
                <w:sz w:val="21"/>
              </w:rPr>
              <w:t xml:space="preserve">spring.jta.atomikos.pr </w:t>
            </w:r>
            <w:proofErr w:type="gramStart"/>
            <w:r>
              <w:rPr>
                <w:color w:val="B02045"/>
                <w:sz w:val="21"/>
              </w:rPr>
              <w:t>operties.recovery</w:t>
            </w:r>
            <w:proofErr w:type="gramEnd"/>
            <w:r>
              <w:rPr>
                <w:color w:val="B02045"/>
                <w:sz w:val="21"/>
              </w:rPr>
              <w:t>.dela y</w:t>
            </w:r>
          </w:p>
        </w:tc>
        <w:tc>
          <w:tcPr>
            <w:tcW w:w="2494" w:type="dxa"/>
          </w:tcPr>
          <w:p w14:paraId="295A9F04" w14:textId="77777777" w:rsidR="00A720EB" w:rsidRDefault="0030286B">
            <w:pPr>
              <w:pStyle w:val="TableParagraph"/>
              <w:spacing w:before="37"/>
              <w:rPr>
                <w:sz w:val="21"/>
              </w:rPr>
            </w:pPr>
            <w:r>
              <w:rPr>
                <w:color w:val="B02045"/>
                <w:sz w:val="21"/>
              </w:rPr>
              <w:t>10000ms</w:t>
            </w:r>
          </w:p>
        </w:tc>
        <w:tc>
          <w:tcPr>
            <w:tcW w:w="4988" w:type="dxa"/>
          </w:tcPr>
          <w:p w14:paraId="14932D01" w14:textId="77777777" w:rsidR="00A720EB" w:rsidRDefault="0030286B">
            <w:pPr>
              <w:pStyle w:val="TableParagraph"/>
              <w:spacing w:before="92"/>
              <w:rPr>
                <w:rFonts w:ascii="Cambria"/>
                <w:sz w:val="21"/>
              </w:rPr>
            </w:pPr>
            <w:r>
              <w:rPr>
                <w:rFonts w:ascii="Cambria"/>
                <w:color w:val="333333"/>
                <w:w w:val="110"/>
                <w:sz w:val="21"/>
              </w:rPr>
              <w:t>Delay between two recovery scans.</w:t>
            </w:r>
          </w:p>
        </w:tc>
      </w:tr>
      <w:tr w:rsidR="00A720EB" w14:paraId="543C4DEE" w14:textId="77777777">
        <w:trPr>
          <w:trHeight w:val="1145"/>
        </w:trPr>
        <w:tc>
          <w:tcPr>
            <w:tcW w:w="2494" w:type="dxa"/>
          </w:tcPr>
          <w:p w14:paraId="3B594252" w14:textId="77777777" w:rsidR="00A720EB" w:rsidRDefault="0030286B">
            <w:pPr>
              <w:pStyle w:val="TableParagraph"/>
              <w:spacing w:before="46" w:line="230" w:lineRule="auto"/>
              <w:ind w:right="113"/>
              <w:rPr>
                <w:sz w:val="21"/>
              </w:rPr>
            </w:pPr>
            <w:r>
              <w:rPr>
                <w:color w:val="B02045"/>
                <w:sz w:val="21"/>
              </w:rPr>
              <w:t xml:space="preserve">spring.jta.atomikos.pr </w:t>
            </w:r>
            <w:proofErr w:type="gramStart"/>
            <w:r>
              <w:rPr>
                <w:color w:val="B02045"/>
                <w:sz w:val="21"/>
              </w:rPr>
              <w:t>operties.recovery</w:t>
            </w:r>
            <w:proofErr w:type="gramEnd"/>
            <w:r>
              <w:rPr>
                <w:color w:val="B02045"/>
                <w:sz w:val="21"/>
              </w:rPr>
              <w:t>.forg et-orphaned-log- entries-delay</w:t>
            </w:r>
          </w:p>
        </w:tc>
        <w:tc>
          <w:tcPr>
            <w:tcW w:w="2494" w:type="dxa"/>
          </w:tcPr>
          <w:p w14:paraId="6A5209FF" w14:textId="77777777" w:rsidR="00A720EB" w:rsidRDefault="0030286B">
            <w:pPr>
              <w:pStyle w:val="TableParagraph"/>
              <w:spacing w:before="37"/>
              <w:rPr>
                <w:sz w:val="21"/>
              </w:rPr>
            </w:pPr>
            <w:r>
              <w:rPr>
                <w:color w:val="B02045"/>
                <w:sz w:val="21"/>
              </w:rPr>
              <w:t>86400000ms</w:t>
            </w:r>
          </w:p>
        </w:tc>
        <w:tc>
          <w:tcPr>
            <w:tcW w:w="4988" w:type="dxa"/>
          </w:tcPr>
          <w:p w14:paraId="68565D0B" w14:textId="77777777" w:rsidR="00A720EB" w:rsidRDefault="0030286B">
            <w:pPr>
              <w:pStyle w:val="TableParagraph"/>
              <w:spacing w:before="92" w:line="307" w:lineRule="auto"/>
              <w:rPr>
                <w:rFonts w:ascii="Cambria"/>
                <w:sz w:val="21"/>
              </w:rPr>
            </w:pPr>
            <w:r>
              <w:rPr>
                <w:rFonts w:ascii="Cambria"/>
                <w:color w:val="333333"/>
                <w:w w:val="110"/>
                <w:sz w:val="21"/>
              </w:rPr>
              <w:t>Delay after which recovery can cleanup pending ('orphaned') log entries.</w:t>
            </w:r>
          </w:p>
        </w:tc>
      </w:tr>
      <w:tr w:rsidR="00A720EB" w14:paraId="7F53147F" w14:textId="77777777">
        <w:trPr>
          <w:trHeight w:val="886"/>
        </w:trPr>
        <w:tc>
          <w:tcPr>
            <w:tcW w:w="2494" w:type="dxa"/>
          </w:tcPr>
          <w:p w14:paraId="2886829F" w14:textId="77777777" w:rsidR="00A720EB" w:rsidRDefault="0030286B">
            <w:pPr>
              <w:pStyle w:val="TableParagraph"/>
              <w:spacing w:before="46" w:line="230" w:lineRule="auto"/>
              <w:ind w:right="113"/>
              <w:jc w:val="both"/>
              <w:rPr>
                <w:sz w:val="21"/>
              </w:rPr>
            </w:pPr>
            <w:r>
              <w:rPr>
                <w:color w:val="B02045"/>
                <w:sz w:val="21"/>
              </w:rPr>
              <w:t>spring.jta.atomikos.pr operties.recovery.max- retries</w:t>
            </w:r>
          </w:p>
        </w:tc>
        <w:tc>
          <w:tcPr>
            <w:tcW w:w="2494" w:type="dxa"/>
          </w:tcPr>
          <w:p w14:paraId="4B4DDB76" w14:textId="77777777" w:rsidR="00A720EB" w:rsidRDefault="0030286B">
            <w:pPr>
              <w:pStyle w:val="TableParagraph"/>
              <w:spacing w:before="37"/>
              <w:rPr>
                <w:sz w:val="21"/>
              </w:rPr>
            </w:pPr>
            <w:r>
              <w:rPr>
                <w:color w:val="B02045"/>
                <w:sz w:val="21"/>
              </w:rPr>
              <w:t>5.0</w:t>
            </w:r>
          </w:p>
        </w:tc>
        <w:tc>
          <w:tcPr>
            <w:tcW w:w="4988" w:type="dxa"/>
          </w:tcPr>
          <w:p w14:paraId="04E92592" w14:textId="77777777" w:rsidR="00A720EB" w:rsidRDefault="0030286B">
            <w:pPr>
              <w:pStyle w:val="TableParagraph"/>
              <w:spacing w:before="92" w:line="307" w:lineRule="auto"/>
              <w:rPr>
                <w:rFonts w:ascii="Cambria"/>
                <w:sz w:val="21"/>
              </w:rPr>
            </w:pPr>
            <w:r>
              <w:rPr>
                <w:rFonts w:ascii="Cambria"/>
                <w:color w:val="333333"/>
                <w:w w:val="110"/>
                <w:sz w:val="21"/>
              </w:rPr>
              <w:t>Number of retry attempts to commit the transaction before throwing an exception.</w:t>
            </w:r>
          </w:p>
        </w:tc>
      </w:tr>
      <w:tr w:rsidR="00A720EB" w14:paraId="57090131" w14:textId="77777777">
        <w:trPr>
          <w:trHeight w:val="886"/>
        </w:trPr>
        <w:tc>
          <w:tcPr>
            <w:tcW w:w="2494" w:type="dxa"/>
          </w:tcPr>
          <w:p w14:paraId="314650C3" w14:textId="77777777" w:rsidR="00A720EB" w:rsidRDefault="0030286B">
            <w:pPr>
              <w:pStyle w:val="TableParagraph"/>
              <w:spacing w:before="46" w:line="230" w:lineRule="auto"/>
              <w:ind w:right="113"/>
              <w:jc w:val="both"/>
              <w:rPr>
                <w:sz w:val="21"/>
              </w:rPr>
            </w:pPr>
            <w:r>
              <w:rPr>
                <w:color w:val="B02045"/>
                <w:sz w:val="21"/>
              </w:rPr>
              <w:t xml:space="preserve">spring.jta.atomikos.pr </w:t>
            </w:r>
            <w:proofErr w:type="gramStart"/>
            <w:r>
              <w:rPr>
                <w:color w:val="B02045"/>
                <w:sz w:val="21"/>
              </w:rPr>
              <w:t>operties.recovery</w:t>
            </w:r>
            <w:proofErr w:type="gramEnd"/>
            <w:r>
              <w:rPr>
                <w:color w:val="B02045"/>
                <w:sz w:val="21"/>
              </w:rPr>
              <w:t>.retr y-interval</w:t>
            </w:r>
          </w:p>
        </w:tc>
        <w:tc>
          <w:tcPr>
            <w:tcW w:w="2494" w:type="dxa"/>
          </w:tcPr>
          <w:p w14:paraId="71950FCB" w14:textId="77777777" w:rsidR="00A720EB" w:rsidRDefault="0030286B">
            <w:pPr>
              <w:pStyle w:val="TableParagraph"/>
              <w:spacing w:before="37"/>
              <w:rPr>
                <w:sz w:val="21"/>
              </w:rPr>
            </w:pPr>
            <w:r>
              <w:rPr>
                <w:color w:val="B02045"/>
                <w:sz w:val="21"/>
              </w:rPr>
              <w:t>10000ms</w:t>
            </w:r>
          </w:p>
        </w:tc>
        <w:tc>
          <w:tcPr>
            <w:tcW w:w="4988" w:type="dxa"/>
          </w:tcPr>
          <w:p w14:paraId="7E8BDF78" w14:textId="77777777" w:rsidR="00A720EB" w:rsidRDefault="0030286B">
            <w:pPr>
              <w:pStyle w:val="TableParagraph"/>
              <w:spacing w:before="92"/>
              <w:rPr>
                <w:rFonts w:ascii="Cambria"/>
                <w:sz w:val="21"/>
              </w:rPr>
            </w:pPr>
            <w:r>
              <w:rPr>
                <w:rFonts w:ascii="Cambria"/>
                <w:color w:val="333333"/>
                <w:w w:val="110"/>
                <w:sz w:val="21"/>
              </w:rPr>
              <w:t>Delay between retry attempts.</w:t>
            </w:r>
          </w:p>
        </w:tc>
      </w:tr>
      <w:tr w:rsidR="00A720EB" w14:paraId="0417A342" w14:textId="77777777">
        <w:trPr>
          <w:trHeight w:val="886"/>
        </w:trPr>
        <w:tc>
          <w:tcPr>
            <w:tcW w:w="2494" w:type="dxa"/>
          </w:tcPr>
          <w:p w14:paraId="0F7FA5B9" w14:textId="77777777" w:rsidR="00A720EB" w:rsidRDefault="0030286B">
            <w:pPr>
              <w:pStyle w:val="TableParagraph"/>
              <w:spacing w:before="46" w:line="230" w:lineRule="auto"/>
              <w:ind w:right="113"/>
              <w:rPr>
                <w:sz w:val="21"/>
              </w:rPr>
            </w:pPr>
            <w:r>
              <w:rPr>
                <w:color w:val="B02045"/>
                <w:sz w:val="21"/>
              </w:rPr>
              <w:t xml:space="preserve">spring.jta.atomikos.pr </w:t>
            </w:r>
            <w:proofErr w:type="gramStart"/>
            <w:r>
              <w:rPr>
                <w:color w:val="B02045"/>
                <w:sz w:val="21"/>
              </w:rPr>
              <w:t>operties.serial</w:t>
            </w:r>
            <w:proofErr w:type="gramEnd"/>
            <w:r>
              <w:rPr>
                <w:color w:val="B02045"/>
                <w:sz w:val="21"/>
              </w:rPr>
              <w:t>-jta- transactions</w:t>
            </w:r>
          </w:p>
        </w:tc>
        <w:tc>
          <w:tcPr>
            <w:tcW w:w="2494" w:type="dxa"/>
          </w:tcPr>
          <w:p w14:paraId="2F05536B" w14:textId="77777777" w:rsidR="00A720EB" w:rsidRDefault="0030286B">
            <w:pPr>
              <w:pStyle w:val="TableParagraph"/>
              <w:rPr>
                <w:sz w:val="21"/>
              </w:rPr>
            </w:pPr>
            <w:r>
              <w:rPr>
                <w:color w:val="B02045"/>
                <w:sz w:val="21"/>
              </w:rPr>
              <w:t>true</w:t>
            </w:r>
          </w:p>
        </w:tc>
        <w:tc>
          <w:tcPr>
            <w:tcW w:w="4988" w:type="dxa"/>
          </w:tcPr>
          <w:p w14:paraId="7A5E05F6" w14:textId="77777777" w:rsidR="00A720EB" w:rsidRDefault="0030286B">
            <w:pPr>
              <w:pStyle w:val="TableParagraph"/>
              <w:spacing w:before="92" w:line="307" w:lineRule="auto"/>
              <w:ind w:right="372"/>
              <w:rPr>
                <w:rFonts w:ascii="Cambria"/>
                <w:sz w:val="21"/>
              </w:rPr>
            </w:pPr>
            <w:r>
              <w:rPr>
                <w:rFonts w:ascii="Cambria"/>
                <w:color w:val="333333"/>
                <w:w w:val="110"/>
                <w:sz w:val="21"/>
              </w:rPr>
              <w:t>Whether sub-transactions should be joined when possible.</w:t>
            </w:r>
          </w:p>
        </w:tc>
      </w:tr>
      <w:tr w:rsidR="00A720EB" w14:paraId="6147892C" w14:textId="77777777">
        <w:trPr>
          <w:trHeight w:val="741"/>
        </w:trPr>
        <w:tc>
          <w:tcPr>
            <w:tcW w:w="2494" w:type="dxa"/>
          </w:tcPr>
          <w:p w14:paraId="19DEDC3E" w14:textId="77777777" w:rsidR="00A720EB" w:rsidRDefault="0030286B">
            <w:pPr>
              <w:pStyle w:val="TableParagraph"/>
              <w:spacing w:before="46" w:line="230" w:lineRule="auto"/>
              <w:ind w:right="94"/>
              <w:rPr>
                <w:sz w:val="21"/>
              </w:rPr>
            </w:pPr>
            <w:r>
              <w:rPr>
                <w:color w:val="B02045"/>
                <w:sz w:val="21"/>
              </w:rPr>
              <w:t xml:space="preserve">spring.jta.atomikos.pr </w:t>
            </w:r>
            <w:proofErr w:type="gramStart"/>
            <w:r>
              <w:rPr>
                <w:color w:val="B02045"/>
                <w:sz w:val="21"/>
              </w:rPr>
              <w:t>operties.service</w:t>
            </w:r>
            <w:proofErr w:type="gramEnd"/>
          </w:p>
        </w:tc>
        <w:tc>
          <w:tcPr>
            <w:tcW w:w="2494" w:type="dxa"/>
          </w:tcPr>
          <w:p w14:paraId="15B3F205" w14:textId="77777777" w:rsidR="00A720EB" w:rsidRDefault="00A720EB">
            <w:pPr>
              <w:pStyle w:val="TableParagraph"/>
              <w:spacing w:before="0"/>
              <w:ind w:left="0"/>
              <w:rPr>
                <w:rFonts w:ascii="Times New Roman"/>
                <w:sz w:val="20"/>
              </w:rPr>
            </w:pPr>
          </w:p>
        </w:tc>
        <w:tc>
          <w:tcPr>
            <w:tcW w:w="4988" w:type="dxa"/>
          </w:tcPr>
          <w:p w14:paraId="335865D6" w14:textId="77777777" w:rsidR="00A720EB" w:rsidRDefault="0030286B">
            <w:pPr>
              <w:pStyle w:val="TableParagraph"/>
              <w:spacing w:before="28" w:line="310" w:lineRule="atLeast"/>
              <w:ind w:right="372"/>
              <w:rPr>
                <w:rFonts w:ascii="Cambria"/>
                <w:sz w:val="21"/>
              </w:rPr>
            </w:pPr>
            <w:r>
              <w:rPr>
                <w:rFonts w:ascii="Cambria"/>
                <w:color w:val="333333"/>
                <w:w w:val="110"/>
                <w:sz w:val="21"/>
              </w:rPr>
              <w:t>Transaction manager implementation that should be started.</w:t>
            </w:r>
          </w:p>
        </w:tc>
      </w:tr>
      <w:tr w:rsidR="00A720EB" w14:paraId="7C3132C5" w14:textId="77777777">
        <w:trPr>
          <w:trHeight w:val="1056"/>
        </w:trPr>
        <w:tc>
          <w:tcPr>
            <w:tcW w:w="2494" w:type="dxa"/>
          </w:tcPr>
          <w:p w14:paraId="1066534D" w14:textId="77777777" w:rsidR="00A720EB" w:rsidRDefault="0030286B">
            <w:pPr>
              <w:pStyle w:val="TableParagraph"/>
              <w:spacing w:before="46" w:line="230" w:lineRule="auto"/>
              <w:ind w:right="113"/>
              <w:jc w:val="both"/>
              <w:rPr>
                <w:sz w:val="21"/>
              </w:rPr>
            </w:pPr>
            <w:r>
              <w:rPr>
                <w:color w:val="B02045"/>
                <w:sz w:val="21"/>
              </w:rPr>
              <w:lastRenderedPageBreak/>
              <w:t xml:space="preserve">spring.jta.atomikos.pr </w:t>
            </w:r>
            <w:proofErr w:type="gramStart"/>
            <w:r>
              <w:rPr>
                <w:color w:val="B02045"/>
                <w:sz w:val="21"/>
              </w:rPr>
              <w:t>operties.threaded</w:t>
            </w:r>
            <w:proofErr w:type="gramEnd"/>
            <w:r>
              <w:rPr>
                <w:color w:val="B02045"/>
                <w:sz w:val="21"/>
              </w:rPr>
              <w:t>-two- phase-commit</w:t>
            </w:r>
          </w:p>
        </w:tc>
        <w:tc>
          <w:tcPr>
            <w:tcW w:w="2494" w:type="dxa"/>
          </w:tcPr>
          <w:p w14:paraId="40965D2E" w14:textId="77777777" w:rsidR="00A720EB" w:rsidRDefault="0030286B">
            <w:pPr>
              <w:pStyle w:val="TableParagraph"/>
              <w:spacing w:before="37"/>
              <w:rPr>
                <w:sz w:val="21"/>
              </w:rPr>
            </w:pPr>
            <w:r>
              <w:rPr>
                <w:color w:val="B02045"/>
                <w:sz w:val="21"/>
              </w:rPr>
              <w:t>false</w:t>
            </w:r>
          </w:p>
        </w:tc>
        <w:tc>
          <w:tcPr>
            <w:tcW w:w="4988" w:type="dxa"/>
          </w:tcPr>
          <w:p w14:paraId="63818DFE"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use different (and concurrent) threads for two-phase commit on the participating resources.</w:t>
            </w:r>
          </w:p>
        </w:tc>
      </w:tr>
    </w:tbl>
    <w:p w14:paraId="0675A62F"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621B280" w14:textId="77777777">
        <w:trPr>
          <w:trHeight w:val="415"/>
        </w:trPr>
        <w:tc>
          <w:tcPr>
            <w:tcW w:w="2494" w:type="dxa"/>
            <w:tcBorders>
              <w:bottom w:val="single" w:sz="12" w:space="0" w:color="DDDDDD"/>
            </w:tcBorders>
          </w:tcPr>
          <w:p w14:paraId="6A74FAD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4C8ED6B"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B48E262"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5D764E31" w14:textId="77777777">
        <w:trPr>
          <w:trHeight w:val="1677"/>
        </w:trPr>
        <w:tc>
          <w:tcPr>
            <w:tcW w:w="2494" w:type="dxa"/>
            <w:tcBorders>
              <w:top w:val="single" w:sz="12" w:space="0" w:color="DDDDDD"/>
            </w:tcBorders>
          </w:tcPr>
          <w:p w14:paraId="15C9BDBB" w14:textId="77777777" w:rsidR="00A720EB" w:rsidRDefault="0030286B">
            <w:pPr>
              <w:pStyle w:val="TableParagraph"/>
              <w:spacing w:before="36" w:line="230" w:lineRule="auto"/>
              <w:ind w:right="113"/>
              <w:rPr>
                <w:sz w:val="21"/>
              </w:rPr>
            </w:pPr>
            <w:r>
              <w:rPr>
                <w:color w:val="B02045"/>
                <w:sz w:val="21"/>
              </w:rPr>
              <w:t xml:space="preserve">spring.jta.atomikos.pr </w:t>
            </w:r>
            <w:proofErr w:type="gramStart"/>
            <w:r>
              <w:rPr>
                <w:color w:val="B02045"/>
                <w:sz w:val="21"/>
              </w:rPr>
              <w:t>operties.transaction</w:t>
            </w:r>
            <w:proofErr w:type="gramEnd"/>
            <w:r>
              <w:rPr>
                <w:color w:val="B02045"/>
                <w:sz w:val="21"/>
              </w:rPr>
              <w:t>- manager-unique-name</w:t>
            </w:r>
          </w:p>
        </w:tc>
        <w:tc>
          <w:tcPr>
            <w:tcW w:w="2494" w:type="dxa"/>
            <w:tcBorders>
              <w:top w:val="single" w:sz="12" w:space="0" w:color="DDDDDD"/>
            </w:tcBorders>
          </w:tcPr>
          <w:p w14:paraId="7780719E"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1593AD91" w14:textId="77777777" w:rsidR="00A720EB" w:rsidRDefault="0030286B">
            <w:pPr>
              <w:pStyle w:val="TableParagraph"/>
              <w:spacing w:before="82" w:line="307" w:lineRule="auto"/>
              <w:ind w:right="117"/>
              <w:rPr>
                <w:rFonts w:ascii="Cambria"/>
                <w:sz w:val="21"/>
              </w:rPr>
            </w:pPr>
            <w:r>
              <w:rPr>
                <w:rFonts w:ascii="Cambria"/>
                <w:color w:val="333333"/>
                <w:w w:val="110"/>
                <w:sz w:val="21"/>
              </w:rPr>
              <w:t>The transaction manager's unique name. Defaults to the machine's IP address. If you plan to run more than one transaction manager against one database you must set this property to a unique value.</w:t>
            </w:r>
          </w:p>
        </w:tc>
      </w:tr>
      <w:tr w:rsidR="00A720EB" w14:paraId="13F42B3A" w14:textId="77777777">
        <w:trPr>
          <w:trHeight w:val="886"/>
        </w:trPr>
        <w:tc>
          <w:tcPr>
            <w:tcW w:w="2494" w:type="dxa"/>
          </w:tcPr>
          <w:p w14:paraId="1EA2A8AF"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nnectionfactory.acquir</w:t>
            </w:r>
            <w:proofErr w:type="gramEnd"/>
            <w:r>
              <w:rPr>
                <w:color w:val="B02045"/>
                <w:sz w:val="21"/>
              </w:rPr>
              <w:t xml:space="preserve"> e-increment</w:t>
            </w:r>
          </w:p>
        </w:tc>
        <w:tc>
          <w:tcPr>
            <w:tcW w:w="2494" w:type="dxa"/>
          </w:tcPr>
          <w:p w14:paraId="612E1737" w14:textId="77777777" w:rsidR="00A720EB" w:rsidRDefault="0030286B">
            <w:pPr>
              <w:pStyle w:val="TableParagraph"/>
              <w:rPr>
                <w:sz w:val="21"/>
              </w:rPr>
            </w:pPr>
            <w:r>
              <w:rPr>
                <w:color w:val="B02045"/>
                <w:sz w:val="21"/>
              </w:rPr>
              <w:t>1.0</w:t>
            </w:r>
          </w:p>
        </w:tc>
        <w:tc>
          <w:tcPr>
            <w:tcW w:w="4988" w:type="dxa"/>
          </w:tcPr>
          <w:p w14:paraId="403D8A6C" w14:textId="77777777" w:rsidR="00A720EB" w:rsidRDefault="0030286B">
            <w:pPr>
              <w:pStyle w:val="TableParagraph"/>
              <w:spacing w:before="92" w:line="307" w:lineRule="auto"/>
              <w:rPr>
                <w:rFonts w:ascii="Cambria"/>
                <w:sz w:val="21"/>
              </w:rPr>
            </w:pPr>
            <w:r>
              <w:rPr>
                <w:rFonts w:ascii="Cambria"/>
                <w:color w:val="333333"/>
                <w:w w:val="110"/>
                <w:sz w:val="21"/>
              </w:rPr>
              <w:t>Number of connections to create when growing the pool.</w:t>
            </w:r>
          </w:p>
        </w:tc>
      </w:tr>
      <w:tr w:rsidR="00A720EB" w14:paraId="6921CCF2" w14:textId="77777777">
        <w:trPr>
          <w:trHeight w:val="1056"/>
        </w:trPr>
        <w:tc>
          <w:tcPr>
            <w:tcW w:w="2494" w:type="dxa"/>
          </w:tcPr>
          <w:p w14:paraId="192B0951"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nnectionfactory.acquis</w:t>
            </w:r>
            <w:proofErr w:type="gramEnd"/>
            <w:r>
              <w:rPr>
                <w:color w:val="B02045"/>
                <w:sz w:val="21"/>
              </w:rPr>
              <w:t xml:space="preserve"> ition-interval</w:t>
            </w:r>
          </w:p>
        </w:tc>
        <w:tc>
          <w:tcPr>
            <w:tcW w:w="2494" w:type="dxa"/>
          </w:tcPr>
          <w:p w14:paraId="23113993" w14:textId="77777777" w:rsidR="00A720EB" w:rsidRDefault="0030286B">
            <w:pPr>
              <w:pStyle w:val="TableParagraph"/>
              <w:rPr>
                <w:sz w:val="21"/>
              </w:rPr>
            </w:pPr>
            <w:r>
              <w:rPr>
                <w:color w:val="B02045"/>
                <w:sz w:val="21"/>
              </w:rPr>
              <w:t>1.0</w:t>
            </w:r>
          </w:p>
        </w:tc>
        <w:tc>
          <w:tcPr>
            <w:tcW w:w="4988" w:type="dxa"/>
          </w:tcPr>
          <w:p w14:paraId="66DA8B60" w14:textId="77777777" w:rsidR="00A720EB" w:rsidRDefault="0030286B">
            <w:pPr>
              <w:pStyle w:val="TableParagraph"/>
              <w:spacing w:before="28" w:line="310" w:lineRule="atLeast"/>
              <w:ind w:right="372"/>
              <w:rPr>
                <w:rFonts w:ascii="Cambria"/>
                <w:sz w:val="21"/>
              </w:rPr>
            </w:pPr>
            <w:r>
              <w:rPr>
                <w:rFonts w:ascii="Cambria"/>
                <w:color w:val="333333"/>
                <w:w w:val="110"/>
                <w:sz w:val="21"/>
              </w:rPr>
              <w:t>Time, in seconds, to wait before trying to acquire a connection again after an invalid connection was acquired.</w:t>
            </w:r>
          </w:p>
        </w:tc>
      </w:tr>
      <w:tr w:rsidR="00A720EB" w14:paraId="7646AF1E" w14:textId="77777777">
        <w:trPr>
          <w:trHeight w:val="886"/>
        </w:trPr>
        <w:tc>
          <w:tcPr>
            <w:tcW w:w="2494" w:type="dxa"/>
          </w:tcPr>
          <w:p w14:paraId="50C04F68"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nnectionfactory.acquis</w:t>
            </w:r>
            <w:proofErr w:type="gramEnd"/>
            <w:r>
              <w:rPr>
                <w:color w:val="B02045"/>
                <w:sz w:val="21"/>
              </w:rPr>
              <w:t xml:space="preserve"> ition-timeout</w:t>
            </w:r>
          </w:p>
        </w:tc>
        <w:tc>
          <w:tcPr>
            <w:tcW w:w="2494" w:type="dxa"/>
          </w:tcPr>
          <w:p w14:paraId="7CB32D68" w14:textId="77777777" w:rsidR="00A720EB" w:rsidRDefault="0030286B">
            <w:pPr>
              <w:pStyle w:val="TableParagraph"/>
              <w:spacing w:before="37"/>
              <w:rPr>
                <w:sz w:val="21"/>
              </w:rPr>
            </w:pPr>
            <w:r>
              <w:rPr>
                <w:color w:val="B02045"/>
                <w:sz w:val="21"/>
              </w:rPr>
              <w:t>30.0</w:t>
            </w:r>
          </w:p>
        </w:tc>
        <w:tc>
          <w:tcPr>
            <w:tcW w:w="4988" w:type="dxa"/>
          </w:tcPr>
          <w:p w14:paraId="00E1ECD1" w14:textId="77777777" w:rsidR="00A720EB" w:rsidRDefault="0030286B">
            <w:pPr>
              <w:pStyle w:val="TableParagraph"/>
              <w:spacing w:before="92" w:line="307" w:lineRule="auto"/>
              <w:rPr>
                <w:rFonts w:ascii="Cambria"/>
                <w:sz w:val="21"/>
              </w:rPr>
            </w:pPr>
            <w:r>
              <w:rPr>
                <w:rFonts w:ascii="Cambria"/>
                <w:color w:val="333333"/>
                <w:w w:val="110"/>
                <w:sz w:val="21"/>
              </w:rPr>
              <w:t>Timeout, in seconds, for acquiring connections from the pool.</w:t>
            </w:r>
          </w:p>
        </w:tc>
      </w:tr>
      <w:tr w:rsidR="00A720EB" w14:paraId="355711EA" w14:textId="77777777">
        <w:trPr>
          <w:trHeight w:val="886"/>
        </w:trPr>
        <w:tc>
          <w:tcPr>
            <w:tcW w:w="2494" w:type="dxa"/>
          </w:tcPr>
          <w:p w14:paraId="10B8FDA6"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nnectionfactory.allow</w:t>
            </w:r>
            <w:proofErr w:type="gramEnd"/>
            <w:r>
              <w:rPr>
                <w:color w:val="B02045"/>
                <w:sz w:val="21"/>
              </w:rPr>
              <w:t>- local-transactions</w:t>
            </w:r>
          </w:p>
        </w:tc>
        <w:tc>
          <w:tcPr>
            <w:tcW w:w="2494" w:type="dxa"/>
          </w:tcPr>
          <w:p w14:paraId="23E78FF7" w14:textId="77777777" w:rsidR="00A720EB" w:rsidRDefault="0030286B">
            <w:pPr>
              <w:pStyle w:val="TableParagraph"/>
              <w:rPr>
                <w:sz w:val="21"/>
              </w:rPr>
            </w:pPr>
            <w:r>
              <w:rPr>
                <w:color w:val="B02045"/>
                <w:sz w:val="21"/>
              </w:rPr>
              <w:t>false</w:t>
            </w:r>
          </w:p>
        </w:tc>
        <w:tc>
          <w:tcPr>
            <w:tcW w:w="4988" w:type="dxa"/>
          </w:tcPr>
          <w:p w14:paraId="058AB539" w14:textId="77777777" w:rsidR="00A720EB" w:rsidRDefault="0030286B">
            <w:pPr>
              <w:pStyle w:val="TableParagraph"/>
              <w:spacing w:before="92" w:line="307" w:lineRule="auto"/>
              <w:rPr>
                <w:rFonts w:ascii="Cambria"/>
                <w:sz w:val="21"/>
              </w:rPr>
            </w:pPr>
            <w:r>
              <w:rPr>
                <w:rFonts w:ascii="Cambria"/>
                <w:color w:val="333333"/>
                <w:w w:val="110"/>
                <w:sz w:val="21"/>
              </w:rPr>
              <w:t>Whether the transaction manager should allow mixing XA and non-XA transactions.</w:t>
            </w:r>
          </w:p>
        </w:tc>
      </w:tr>
      <w:tr w:rsidR="00A720EB" w14:paraId="0B78DF79" w14:textId="77777777">
        <w:trPr>
          <w:trHeight w:val="886"/>
        </w:trPr>
        <w:tc>
          <w:tcPr>
            <w:tcW w:w="2494" w:type="dxa"/>
          </w:tcPr>
          <w:p w14:paraId="68571F6A"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nnectionfactory.apply</w:t>
            </w:r>
            <w:proofErr w:type="gramEnd"/>
            <w:r>
              <w:rPr>
                <w:color w:val="B02045"/>
                <w:sz w:val="21"/>
              </w:rPr>
              <w:t>- transaction-timeout</w:t>
            </w:r>
          </w:p>
        </w:tc>
        <w:tc>
          <w:tcPr>
            <w:tcW w:w="2494" w:type="dxa"/>
          </w:tcPr>
          <w:p w14:paraId="715D0470" w14:textId="77777777" w:rsidR="00A720EB" w:rsidRDefault="0030286B">
            <w:pPr>
              <w:pStyle w:val="TableParagraph"/>
              <w:rPr>
                <w:sz w:val="21"/>
              </w:rPr>
            </w:pPr>
            <w:r>
              <w:rPr>
                <w:color w:val="B02045"/>
                <w:sz w:val="21"/>
              </w:rPr>
              <w:t>false</w:t>
            </w:r>
          </w:p>
        </w:tc>
        <w:tc>
          <w:tcPr>
            <w:tcW w:w="4988" w:type="dxa"/>
          </w:tcPr>
          <w:p w14:paraId="18804236" w14:textId="77777777" w:rsidR="00A720EB" w:rsidRDefault="0030286B">
            <w:pPr>
              <w:pStyle w:val="TableParagraph"/>
              <w:spacing w:before="92" w:line="307" w:lineRule="auto"/>
              <w:ind w:right="218"/>
              <w:rPr>
                <w:rFonts w:ascii="Cambria"/>
                <w:sz w:val="21"/>
              </w:rPr>
            </w:pPr>
            <w:r>
              <w:rPr>
                <w:rFonts w:ascii="Cambria"/>
                <w:color w:val="333333"/>
                <w:w w:val="110"/>
                <w:sz w:val="21"/>
              </w:rPr>
              <w:t>Whether the transaction timeout should be set on the XAResource when it is enlisted.</w:t>
            </w:r>
          </w:p>
        </w:tc>
      </w:tr>
      <w:tr w:rsidR="00A720EB" w14:paraId="2162012E" w14:textId="77777777">
        <w:trPr>
          <w:trHeight w:val="886"/>
        </w:trPr>
        <w:tc>
          <w:tcPr>
            <w:tcW w:w="2494" w:type="dxa"/>
          </w:tcPr>
          <w:p w14:paraId="3721CDDE"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nnectionfactory.automa</w:t>
            </w:r>
            <w:proofErr w:type="gramEnd"/>
            <w:r>
              <w:rPr>
                <w:color w:val="B02045"/>
                <w:sz w:val="21"/>
              </w:rPr>
              <w:t xml:space="preserve"> tic-enlisting-enabled</w:t>
            </w:r>
          </w:p>
        </w:tc>
        <w:tc>
          <w:tcPr>
            <w:tcW w:w="2494" w:type="dxa"/>
          </w:tcPr>
          <w:p w14:paraId="26E39E3C" w14:textId="77777777" w:rsidR="00A720EB" w:rsidRDefault="0030286B">
            <w:pPr>
              <w:pStyle w:val="TableParagraph"/>
              <w:spacing w:before="37"/>
              <w:rPr>
                <w:sz w:val="21"/>
              </w:rPr>
            </w:pPr>
            <w:r>
              <w:rPr>
                <w:color w:val="B02045"/>
                <w:sz w:val="21"/>
              </w:rPr>
              <w:t>true</w:t>
            </w:r>
          </w:p>
        </w:tc>
        <w:tc>
          <w:tcPr>
            <w:tcW w:w="4988" w:type="dxa"/>
          </w:tcPr>
          <w:p w14:paraId="053A1C72" w14:textId="77777777" w:rsidR="00A720EB" w:rsidRDefault="0030286B">
            <w:pPr>
              <w:pStyle w:val="TableParagraph"/>
              <w:spacing w:before="92" w:line="307" w:lineRule="auto"/>
              <w:ind w:right="372"/>
              <w:rPr>
                <w:rFonts w:ascii="Cambria"/>
                <w:sz w:val="21"/>
              </w:rPr>
            </w:pPr>
            <w:r>
              <w:rPr>
                <w:rFonts w:ascii="Cambria"/>
                <w:color w:val="333333"/>
                <w:w w:val="110"/>
                <w:sz w:val="21"/>
              </w:rPr>
              <w:t>Whether resources should be enlisted and delisted automatically.</w:t>
            </w:r>
          </w:p>
        </w:tc>
      </w:tr>
      <w:tr w:rsidR="00A720EB" w14:paraId="785EF15A" w14:textId="77777777">
        <w:trPr>
          <w:trHeight w:val="886"/>
        </w:trPr>
        <w:tc>
          <w:tcPr>
            <w:tcW w:w="2494" w:type="dxa"/>
          </w:tcPr>
          <w:p w14:paraId="47D40B4A"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nnectionfactory.cache</w:t>
            </w:r>
            <w:proofErr w:type="gramEnd"/>
            <w:r>
              <w:rPr>
                <w:color w:val="B02045"/>
                <w:sz w:val="21"/>
              </w:rPr>
              <w:t>- producers-consumers</w:t>
            </w:r>
          </w:p>
        </w:tc>
        <w:tc>
          <w:tcPr>
            <w:tcW w:w="2494" w:type="dxa"/>
          </w:tcPr>
          <w:p w14:paraId="2CC1FDF6" w14:textId="77777777" w:rsidR="00A720EB" w:rsidRDefault="0030286B">
            <w:pPr>
              <w:pStyle w:val="TableParagraph"/>
              <w:spacing w:before="37"/>
              <w:rPr>
                <w:sz w:val="21"/>
              </w:rPr>
            </w:pPr>
            <w:r>
              <w:rPr>
                <w:color w:val="B02045"/>
                <w:sz w:val="21"/>
              </w:rPr>
              <w:t>true</w:t>
            </w:r>
          </w:p>
        </w:tc>
        <w:tc>
          <w:tcPr>
            <w:tcW w:w="4988" w:type="dxa"/>
          </w:tcPr>
          <w:p w14:paraId="2938854F" w14:textId="77777777" w:rsidR="00A720EB" w:rsidRDefault="0030286B">
            <w:pPr>
              <w:pStyle w:val="TableParagraph"/>
              <w:spacing w:before="92" w:line="307" w:lineRule="auto"/>
              <w:rPr>
                <w:rFonts w:ascii="Cambria"/>
                <w:sz w:val="21"/>
              </w:rPr>
            </w:pPr>
            <w:r>
              <w:rPr>
                <w:rFonts w:ascii="Cambria"/>
                <w:color w:val="333333"/>
                <w:w w:val="110"/>
                <w:sz w:val="21"/>
              </w:rPr>
              <w:t>Whether producers and consumers should be cached.</w:t>
            </w:r>
          </w:p>
        </w:tc>
      </w:tr>
      <w:tr w:rsidR="00A720EB" w14:paraId="4A9D124F" w14:textId="77777777">
        <w:trPr>
          <w:trHeight w:val="886"/>
        </w:trPr>
        <w:tc>
          <w:tcPr>
            <w:tcW w:w="2494" w:type="dxa"/>
          </w:tcPr>
          <w:p w14:paraId="6D5DF8BD" w14:textId="77777777" w:rsidR="00A720EB" w:rsidRDefault="0030286B">
            <w:pPr>
              <w:pStyle w:val="TableParagraph"/>
              <w:spacing w:before="46" w:line="230" w:lineRule="auto"/>
              <w:ind w:right="113"/>
              <w:jc w:val="both"/>
              <w:rPr>
                <w:sz w:val="21"/>
              </w:rPr>
            </w:pPr>
            <w:r>
              <w:rPr>
                <w:color w:val="B02045"/>
                <w:sz w:val="21"/>
              </w:rPr>
              <w:t>spring.jta.bitronix.co nnectionfactory.class- name</w:t>
            </w:r>
          </w:p>
        </w:tc>
        <w:tc>
          <w:tcPr>
            <w:tcW w:w="2494" w:type="dxa"/>
          </w:tcPr>
          <w:p w14:paraId="491C4BFE" w14:textId="77777777" w:rsidR="00A720EB" w:rsidRDefault="00A720EB">
            <w:pPr>
              <w:pStyle w:val="TableParagraph"/>
              <w:spacing w:before="0"/>
              <w:ind w:left="0"/>
              <w:rPr>
                <w:rFonts w:ascii="Times New Roman"/>
                <w:sz w:val="20"/>
              </w:rPr>
            </w:pPr>
          </w:p>
        </w:tc>
        <w:tc>
          <w:tcPr>
            <w:tcW w:w="4988" w:type="dxa"/>
          </w:tcPr>
          <w:p w14:paraId="5D9C2750" w14:textId="77777777" w:rsidR="00A720EB" w:rsidRDefault="0030286B">
            <w:pPr>
              <w:pStyle w:val="TableParagraph"/>
              <w:spacing w:before="92" w:line="307" w:lineRule="auto"/>
              <w:ind w:right="372"/>
              <w:rPr>
                <w:rFonts w:ascii="Cambria"/>
                <w:sz w:val="21"/>
              </w:rPr>
            </w:pPr>
            <w:r>
              <w:rPr>
                <w:rFonts w:ascii="Cambria"/>
                <w:color w:val="333333"/>
                <w:w w:val="110"/>
                <w:sz w:val="21"/>
              </w:rPr>
              <w:t>Underlying implementation class name of the XA resource.</w:t>
            </w:r>
          </w:p>
        </w:tc>
      </w:tr>
      <w:tr w:rsidR="00A720EB" w14:paraId="3A3F0B19" w14:textId="77777777">
        <w:trPr>
          <w:trHeight w:val="1056"/>
        </w:trPr>
        <w:tc>
          <w:tcPr>
            <w:tcW w:w="2494" w:type="dxa"/>
          </w:tcPr>
          <w:p w14:paraId="06D45045"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nnectionfactory.defer</w:t>
            </w:r>
            <w:proofErr w:type="gramEnd"/>
            <w:r>
              <w:rPr>
                <w:color w:val="B02045"/>
                <w:sz w:val="21"/>
              </w:rPr>
              <w:t>- connection-release</w:t>
            </w:r>
          </w:p>
        </w:tc>
        <w:tc>
          <w:tcPr>
            <w:tcW w:w="2494" w:type="dxa"/>
          </w:tcPr>
          <w:p w14:paraId="1A182C4E" w14:textId="77777777" w:rsidR="00A720EB" w:rsidRDefault="0030286B">
            <w:pPr>
              <w:pStyle w:val="TableParagraph"/>
              <w:rPr>
                <w:sz w:val="21"/>
              </w:rPr>
            </w:pPr>
            <w:r>
              <w:rPr>
                <w:color w:val="B02045"/>
                <w:sz w:val="21"/>
              </w:rPr>
              <w:t>true</w:t>
            </w:r>
          </w:p>
        </w:tc>
        <w:tc>
          <w:tcPr>
            <w:tcW w:w="4988" w:type="dxa"/>
          </w:tcPr>
          <w:p w14:paraId="2C685985"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the provider can run many transactions on the same connection and supports transaction interleaving.</w:t>
            </w:r>
          </w:p>
        </w:tc>
      </w:tr>
      <w:tr w:rsidR="00A720EB" w14:paraId="4E2B746D" w14:textId="77777777">
        <w:trPr>
          <w:trHeight w:val="1056"/>
        </w:trPr>
        <w:tc>
          <w:tcPr>
            <w:tcW w:w="2494" w:type="dxa"/>
          </w:tcPr>
          <w:p w14:paraId="1F99985F"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nnectionfactory.disabl</w:t>
            </w:r>
            <w:proofErr w:type="gramEnd"/>
            <w:r>
              <w:rPr>
                <w:color w:val="B02045"/>
                <w:sz w:val="21"/>
              </w:rPr>
              <w:t xml:space="preserve"> ed</w:t>
            </w:r>
          </w:p>
        </w:tc>
        <w:tc>
          <w:tcPr>
            <w:tcW w:w="2494" w:type="dxa"/>
          </w:tcPr>
          <w:p w14:paraId="627749A1" w14:textId="77777777" w:rsidR="00A720EB" w:rsidRDefault="0030286B">
            <w:pPr>
              <w:pStyle w:val="TableParagraph"/>
              <w:rPr>
                <w:sz w:val="21"/>
              </w:rPr>
            </w:pPr>
            <w:r>
              <w:rPr>
                <w:color w:val="B02045"/>
                <w:sz w:val="21"/>
              </w:rPr>
              <w:t>false</w:t>
            </w:r>
          </w:p>
        </w:tc>
        <w:tc>
          <w:tcPr>
            <w:tcW w:w="4988" w:type="dxa"/>
          </w:tcPr>
          <w:p w14:paraId="15508C85" w14:textId="77777777" w:rsidR="00A720EB" w:rsidRDefault="0030286B">
            <w:pPr>
              <w:pStyle w:val="TableParagraph"/>
              <w:spacing w:before="28" w:line="310" w:lineRule="atLeast"/>
              <w:ind w:right="250"/>
              <w:jc w:val="both"/>
              <w:rPr>
                <w:rFonts w:ascii="Cambria"/>
                <w:sz w:val="21"/>
              </w:rPr>
            </w:pPr>
            <w:r>
              <w:rPr>
                <w:rFonts w:ascii="Cambria"/>
                <w:color w:val="333333"/>
                <w:w w:val="110"/>
                <w:sz w:val="21"/>
              </w:rPr>
              <w:t>Whether this resource is disabled, meaning it's temporarily forbidden to acquire a connection from its pool.</w:t>
            </w:r>
          </w:p>
        </w:tc>
      </w:tr>
      <w:tr w:rsidR="00A720EB" w14:paraId="5D0BD2C8" w14:textId="77777777">
        <w:trPr>
          <w:trHeight w:val="886"/>
        </w:trPr>
        <w:tc>
          <w:tcPr>
            <w:tcW w:w="2494" w:type="dxa"/>
          </w:tcPr>
          <w:p w14:paraId="741E5695" w14:textId="77777777" w:rsidR="00A720EB" w:rsidRDefault="0030286B">
            <w:pPr>
              <w:pStyle w:val="TableParagraph"/>
              <w:spacing w:before="46" w:line="230" w:lineRule="auto"/>
              <w:ind w:right="94"/>
              <w:rPr>
                <w:sz w:val="21"/>
              </w:rPr>
            </w:pPr>
            <w:r>
              <w:rPr>
                <w:color w:val="B02045"/>
                <w:sz w:val="21"/>
              </w:rPr>
              <w:t xml:space="preserve">spring.jta.bitronix.co </w:t>
            </w:r>
            <w:proofErr w:type="gramStart"/>
            <w:r>
              <w:rPr>
                <w:color w:val="B02045"/>
                <w:sz w:val="21"/>
              </w:rPr>
              <w:t>nnectionfactory.driver</w:t>
            </w:r>
            <w:proofErr w:type="gramEnd"/>
          </w:p>
          <w:p w14:paraId="4AEC7BED" w14:textId="77777777" w:rsidR="00A720EB" w:rsidRDefault="0030286B">
            <w:pPr>
              <w:pStyle w:val="TableParagraph"/>
              <w:spacing w:before="0" w:line="262" w:lineRule="exact"/>
              <w:rPr>
                <w:sz w:val="21"/>
              </w:rPr>
            </w:pPr>
            <w:r>
              <w:rPr>
                <w:color w:val="B02045"/>
                <w:sz w:val="21"/>
              </w:rPr>
              <w:lastRenderedPageBreak/>
              <w:t>-properties</w:t>
            </w:r>
          </w:p>
        </w:tc>
        <w:tc>
          <w:tcPr>
            <w:tcW w:w="2494" w:type="dxa"/>
          </w:tcPr>
          <w:p w14:paraId="6D5B1F37" w14:textId="77777777" w:rsidR="00A720EB" w:rsidRDefault="00A720EB">
            <w:pPr>
              <w:pStyle w:val="TableParagraph"/>
              <w:spacing w:before="0"/>
              <w:ind w:left="0"/>
              <w:rPr>
                <w:rFonts w:ascii="Times New Roman"/>
                <w:sz w:val="20"/>
              </w:rPr>
            </w:pPr>
          </w:p>
        </w:tc>
        <w:tc>
          <w:tcPr>
            <w:tcW w:w="4988" w:type="dxa"/>
          </w:tcPr>
          <w:p w14:paraId="5BC9854D" w14:textId="77777777" w:rsidR="00A720EB" w:rsidRDefault="0030286B">
            <w:pPr>
              <w:pStyle w:val="TableParagraph"/>
              <w:spacing w:before="92" w:line="307" w:lineRule="auto"/>
              <w:rPr>
                <w:rFonts w:ascii="Cambria"/>
                <w:sz w:val="21"/>
              </w:rPr>
            </w:pPr>
            <w:r>
              <w:rPr>
                <w:rFonts w:ascii="Cambria"/>
                <w:color w:val="333333"/>
                <w:w w:val="110"/>
                <w:sz w:val="21"/>
              </w:rPr>
              <w:t>Properties that should be set on the underlying implementation.</w:t>
            </w:r>
          </w:p>
        </w:tc>
      </w:tr>
      <w:tr w:rsidR="00A720EB" w14:paraId="29F3201C" w14:textId="77777777">
        <w:trPr>
          <w:trHeight w:val="627"/>
        </w:trPr>
        <w:tc>
          <w:tcPr>
            <w:tcW w:w="2494" w:type="dxa"/>
          </w:tcPr>
          <w:p w14:paraId="29A22D81" w14:textId="77777777" w:rsidR="00A720EB" w:rsidRDefault="0030286B">
            <w:pPr>
              <w:pStyle w:val="TableParagraph"/>
              <w:spacing w:before="46" w:line="230" w:lineRule="auto"/>
              <w:ind w:right="94"/>
              <w:rPr>
                <w:sz w:val="21"/>
              </w:rPr>
            </w:pPr>
            <w:r>
              <w:rPr>
                <w:color w:val="B02045"/>
                <w:sz w:val="21"/>
              </w:rPr>
              <w:t xml:space="preserve">spring.jta.bitronix.co </w:t>
            </w:r>
            <w:proofErr w:type="gramStart"/>
            <w:r>
              <w:rPr>
                <w:color w:val="B02045"/>
                <w:sz w:val="21"/>
              </w:rPr>
              <w:t>nnectionfactory.failed</w:t>
            </w:r>
            <w:proofErr w:type="gramEnd"/>
          </w:p>
        </w:tc>
        <w:tc>
          <w:tcPr>
            <w:tcW w:w="2494" w:type="dxa"/>
          </w:tcPr>
          <w:p w14:paraId="4DB88873" w14:textId="77777777" w:rsidR="00A720EB" w:rsidRDefault="00A720EB">
            <w:pPr>
              <w:pStyle w:val="TableParagraph"/>
              <w:spacing w:before="0"/>
              <w:ind w:left="0"/>
              <w:rPr>
                <w:rFonts w:ascii="Times New Roman"/>
                <w:sz w:val="20"/>
              </w:rPr>
            </w:pPr>
          </w:p>
        </w:tc>
        <w:tc>
          <w:tcPr>
            <w:tcW w:w="4988" w:type="dxa"/>
          </w:tcPr>
          <w:p w14:paraId="3B5794C5" w14:textId="77777777" w:rsidR="00A720EB" w:rsidRDefault="00A720EB">
            <w:pPr>
              <w:pStyle w:val="TableParagraph"/>
              <w:spacing w:before="0"/>
              <w:ind w:left="0"/>
              <w:rPr>
                <w:rFonts w:ascii="Times New Roman"/>
                <w:sz w:val="20"/>
              </w:rPr>
            </w:pPr>
          </w:p>
        </w:tc>
      </w:tr>
      <w:tr w:rsidR="00A720EB" w14:paraId="36D7064B" w14:textId="77777777">
        <w:trPr>
          <w:trHeight w:val="886"/>
        </w:trPr>
        <w:tc>
          <w:tcPr>
            <w:tcW w:w="2494" w:type="dxa"/>
          </w:tcPr>
          <w:p w14:paraId="6F23A424" w14:textId="77777777" w:rsidR="00A720EB" w:rsidRDefault="0030286B">
            <w:pPr>
              <w:pStyle w:val="TableParagraph"/>
              <w:spacing w:before="46" w:line="230" w:lineRule="auto"/>
              <w:ind w:right="94"/>
              <w:rPr>
                <w:sz w:val="21"/>
              </w:rPr>
            </w:pPr>
            <w:r>
              <w:rPr>
                <w:color w:val="B02045"/>
                <w:sz w:val="21"/>
              </w:rPr>
              <w:t xml:space="preserve">spring.jta.bitronix.co </w:t>
            </w:r>
            <w:proofErr w:type="gramStart"/>
            <w:r>
              <w:rPr>
                <w:color w:val="B02045"/>
                <w:sz w:val="21"/>
              </w:rPr>
              <w:t>nnectionfactory.ignore</w:t>
            </w:r>
            <w:proofErr w:type="gramEnd"/>
          </w:p>
          <w:p w14:paraId="455CEE57" w14:textId="77777777" w:rsidR="00A720EB" w:rsidRDefault="0030286B">
            <w:pPr>
              <w:pStyle w:val="TableParagraph"/>
              <w:spacing w:before="0" w:line="262" w:lineRule="exact"/>
              <w:rPr>
                <w:sz w:val="21"/>
              </w:rPr>
            </w:pPr>
            <w:r>
              <w:rPr>
                <w:color w:val="B02045"/>
                <w:sz w:val="21"/>
              </w:rPr>
              <w:t>-recovery-failures</w:t>
            </w:r>
          </w:p>
        </w:tc>
        <w:tc>
          <w:tcPr>
            <w:tcW w:w="2494" w:type="dxa"/>
          </w:tcPr>
          <w:p w14:paraId="193063CA" w14:textId="77777777" w:rsidR="00A720EB" w:rsidRDefault="0030286B">
            <w:pPr>
              <w:pStyle w:val="TableParagraph"/>
              <w:rPr>
                <w:sz w:val="21"/>
              </w:rPr>
            </w:pPr>
            <w:r>
              <w:rPr>
                <w:color w:val="B02045"/>
                <w:sz w:val="21"/>
              </w:rPr>
              <w:t>false</w:t>
            </w:r>
          </w:p>
        </w:tc>
        <w:tc>
          <w:tcPr>
            <w:tcW w:w="4988" w:type="dxa"/>
          </w:tcPr>
          <w:p w14:paraId="7070EA3C" w14:textId="77777777" w:rsidR="00A720EB" w:rsidRDefault="0030286B">
            <w:pPr>
              <w:pStyle w:val="TableParagraph"/>
              <w:spacing w:before="92"/>
              <w:rPr>
                <w:rFonts w:ascii="Cambria"/>
                <w:sz w:val="21"/>
              </w:rPr>
            </w:pPr>
            <w:r>
              <w:rPr>
                <w:rFonts w:ascii="Cambria"/>
                <w:color w:val="333333"/>
                <w:w w:val="110"/>
                <w:sz w:val="21"/>
              </w:rPr>
              <w:t>Whether recovery failures should be ignored.</w:t>
            </w:r>
          </w:p>
        </w:tc>
      </w:tr>
      <w:tr w:rsidR="00A720EB" w14:paraId="16F409A4" w14:textId="77777777">
        <w:trPr>
          <w:trHeight w:val="886"/>
        </w:trPr>
        <w:tc>
          <w:tcPr>
            <w:tcW w:w="2494" w:type="dxa"/>
          </w:tcPr>
          <w:p w14:paraId="721946E1" w14:textId="77777777" w:rsidR="00A720EB" w:rsidRDefault="0030286B">
            <w:pPr>
              <w:pStyle w:val="TableParagraph"/>
              <w:spacing w:before="46" w:line="230" w:lineRule="auto"/>
              <w:ind w:right="113"/>
              <w:rPr>
                <w:sz w:val="21"/>
              </w:rPr>
            </w:pPr>
            <w:r>
              <w:rPr>
                <w:color w:val="B02045"/>
                <w:sz w:val="21"/>
              </w:rPr>
              <w:t>spring.jta.bitronix.co nnectionfactory.max- idle-time</w:t>
            </w:r>
          </w:p>
        </w:tc>
        <w:tc>
          <w:tcPr>
            <w:tcW w:w="2494" w:type="dxa"/>
          </w:tcPr>
          <w:p w14:paraId="4EC12B8F" w14:textId="77777777" w:rsidR="00A720EB" w:rsidRDefault="0030286B">
            <w:pPr>
              <w:pStyle w:val="TableParagraph"/>
              <w:rPr>
                <w:sz w:val="21"/>
              </w:rPr>
            </w:pPr>
            <w:r>
              <w:rPr>
                <w:color w:val="B02045"/>
                <w:sz w:val="21"/>
              </w:rPr>
              <w:t>60.0</w:t>
            </w:r>
          </w:p>
        </w:tc>
        <w:tc>
          <w:tcPr>
            <w:tcW w:w="4988" w:type="dxa"/>
          </w:tcPr>
          <w:p w14:paraId="63B0F6AC" w14:textId="77777777" w:rsidR="00A720EB" w:rsidRDefault="0030286B">
            <w:pPr>
              <w:pStyle w:val="TableParagraph"/>
              <w:spacing w:before="92" w:line="307" w:lineRule="auto"/>
              <w:rPr>
                <w:rFonts w:ascii="Cambria"/>
                <w:sz w:val="21"/>
              </w:rPr>
            </w:pPr>
            <w:r>
              <w:rPr>
                <w:rFonts w:ascii="Cambria"/>
                <w:color w:val="333333"/>
                <w:w w:val="110"/>
                <w:sz w:val="21"/>
              </w:rPr>
              <w:t>Time, in seconds, after which connections are cleaned up from the pool.</w:t>
            </w:r>
          </w:p>
        </w:tc>
      </w:tr>
    </w:tbl>
    <w:p w14:paraId="2B22944C"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FBED2B7" w14:textId="77777777">
        <w:trPr>
          <w:trHeight w:val="415"/>
        </w:trPr>
        <w:tc>
          <w:tcPr>
            <w:tcW w:w="2494" w:type="dxa"/>
            <w:tcBorders>
              <w:bottom w:val="single" w:sz="12" w:space="0" w:color="DDDDDD"/>
            </w:tcBorders>
          </w:tcPr>
          <w:p w14:paraId="689FF88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5C0E59D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D995E2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FB966FE" w14:textId="77777777">
        <w:trPr>
          <w:trHeight w:val="876"/>
        </w:trPr>
        <w:tc>
          <w:tcPr>
            <w:tcW w:w="2494" w:type="dxa"/>
            <w:tcBorders>
              <w:top w:val="single" w:sz="12" w:space="0" w:color="DDDDDD"/>
            </w:tcBorders>
          </w:tcPr>
          <w:p w14:paraId="06A6A5AE" w14:textId="77777777" w:rsidR="00A720EB" w:rsidRDefault="0030286B">
            <w:pPr>
              <w:pStyle w:val="TableParagraph"/>
              <w:spacing w:before="36" w:line="230" w:lineRule="auto"/>
              <w:ind w:right="113"/>
              <w:rPr>
                <w:sz w:val="21"/>
              </w:rPr>
            </w:pPr>
            <w:r>
              <w:rPr>
                <w:color w:val="B02045"/>
                <w:sz w:val="21"/>
              </w:rPr>
              <w:t>spring.jta.bitronix.co nnectionfactory.max- pool-size</w:t>
            </w:r>
          </w:p>
        </w:tc>
        <w:tc>
          <w:tcPr>
            <w:tcW w:w="2494" w:type="dxa"/>
            <w:tcBorders>
              <w:top w:val="single" w:sz="12" w:space="0" w:color="DDDDDD"/>
            </w:tcBorders>
          </w:tcPr>
          <w:p w14:paraId="422EA69A" w14:textId="77777777" w:rsidR="00A720EB" w:rsidRDefault="0030286B">
            <w:pPr>
              <w:pStyle w:val="TableParagraph"/>
              <w:spacing w:before="27"/>
              <w:rPr>
                <w:sz w:val="21"/>
              </w:rPr>
            </w:pPr>
            <w:r>
              <w:rPr>
                <w:color w:val="B02045"/>
                <w:sz w:val="21"/>
              </w:rPr>
              <w:t>0.0</w:t>
            </w:r>
          </w:p>
        </w:tc>
        <w:tc>
          <w:tcPr>
            <w:tcW w:w="4988" w:type="dxa"/>
            <w:tcBorders>
              <w:top w:val="single" w:sz="12" w:space="0" w:color="DDDDDD"/>
            </w:tcBorders>
          </w:tcPr>
          <w:p w14:paraId="12BA4A19" w14:textId="77777777" w:rsidR="00A720EB" w:rsidRDefault="0030286B">
            <w:pPr>
              <w:pStyle w:val="TableParagraph"/>
              <w:spacing w:before="82"/>
              <w:rPr>
                <w:rFonts w:ascii="Cambria"/>
                <w:sz w:val="21"/>
              </w:rPr>
            </w:pPr>
            <w:r>
              <w:rPr>
                <w:rFonts w:ascii="Cambria"/>
                <w:color w:val="333333"/>
                <w:w w:val="110"/>
                <w:sz w:val="21"/>
              </w:rPr>
              <w:t>Maximum size of the pool. 0 denotes no limit.</w:t>
            </w:r>
          </w:p>
        </w:tc>
      </w:tr>
      <w:tr w:rsidR="00A720EB" w14:paraId="2796D538" w14:textId="77777777">
        <w:trPr>
          <w:trHeight w:val="886"/>
        </w:trPr>
        <w:tc>
          <w:tcPr>
            <w:tcW w:w="2494" w:type="dxa"/>
          </w:tcPr>
          <w:p w14:paraId="56B0E3CE" w14:textId="77777777" w:rsidR="00A720EB" w:rsidRDefault="0030286B">
            <w:pPr>
              <w:pStyle w:val="TableParagraph"/>
              <w:spacing w:before="46" w:line="230" w:lineRule="auto"/>
              <w:ind w:right="113"/>
              <w:rPr>
                <w:sz w:val="21"/>
              </w:rPr>
            </w:pPr>
            <w:r>
              <w:rPr>
                <w:color w:val="B02045"/>
                <w:sz w:val="21"/>
              </w:rPr>
              <w:t>spring.jta.bitronix.co nnectionfactory.min- pool-size</w:t>
            </w:r>
          </w:p>
        </w:tc>
        <w:tc>
          <w:tcPr>
            <w:tcW w:w="2494" w:type="dxa"/>
          </w:tcPr>
          <w:p w14:paraId="5B204541" w14:textId="77777777" w:rsidR="00A720EB" w:rsidRDefault="0030286B">
            <w:pPr>
              <w:pStyle w:val="TableParagraph"/>
              <w:rPr>
                <w:sz w:val="21"/>
              </w:rPr>
            </w:pPr>
            <w:r>
              <w:rPr>
                <w:color w:val="B02045"/>
                <w:sz w:val="21"/>
              </w:rPr>
              <w:t>0.0</w:t>
            </w:r>
          </w:p>
        </w:tc>
        <w:tc>
          <w:tcPr>
            <w:tcW w:w="4988" w:type="dxa"/>
          </w:tcPr>
          <w:p w14:paraId="000DAC47" w14:textId="77777777" w:rsidR="00A720EB" w:rsidRDefault="0030286B">
            <w:pPr>
              <w:pStyle w:val="TableParagraph"/>
              <w:spacing w:before="92"/>
              <w:rPr>
                <w:rFonts w:ascii="Cambria"/>
                <w:sz w:val="21"/>
              </w:rPr>
            </w:pPr>
            <w:r>
              <w:rPr>
                <w:rFonts w:ascii="Cambria"/>
                <w:color w:val="333333"/>
                <w:w w:val="110"/>
                <w:sz w:val="21"/>
              </w:rPr>
              <w:t>Minimum size of the pool.</w:t>
            </w:r>
          </w:p>
        </w:tc>
      </w:tr>
      <w:tr w:rsidR="00A720EB" w14:paraId="36FCB4BA" w14:textId="77777777">
        <w:trPr>
          <w:trHeight w:val="886"/>
        </w:trPr>
        <w:tc>
          <w:tcPr>
            <w:tcW w:w="2494" w:type="dxa"/>
          </w:tcPr>
          <w:p w14:paraId="607E8C60" w14:textId="77777777" w:rsidR="00A720EB" w:rsidRDefault="0030286B">
            <w:pPr>
              <w:pStyle w:val="TableParagraph"/>
              <w:spacing w:before="46" w:line="230" w:lineRule="auto"/>
              <w:ind w:right="113"/>
              <w:jc w:val="both"/>
              <w:rPr>
                <w:sz w:val="21"/>
              </w:rPr>
            </w:pPr>
            <w:r>
              <w:rPr>
                <w:color w:val="B02045"/>
                <w:sz w:val="21"/>
              </w:rPr>
              <w:t xml:space="preserve">spring.jta.bitronix.co </w:t>
            </w:r>
            <w:proofErr w:type="gramStart"/>
            <w:r>
              <w:rPr>
                <w:color w:val="B02045"/>
                <w:sz w:val="21"/>
              </w:rPr>
              <w:t>nnectionfactory.passwo</w:t>
            </w:r>
            <w:proofErr w:type="gramEnd"/>
            <w:r>
              <w:rPr>
                <w:color w:val="B02045"/>
                <w:sz w:val="21"/>
              </w:rPr>
              <w:t xml:space="preserve"> rd</w:t>
            </w:r>
          </w:p>
        </w:tc>
        <w:tc>
          <w:tcPr>
            <w:tcW w:w="2494" w:type="dxa"/>
          </w:tcPr>
          <w:p w14:paraId="71DC2DD7" w14:textId="77777777" w:rsidR="00A720EB" w:rsidRDefault="00A720EB">
            <w:pPr>
              <w:pStyle w:val="TableParagraph"/>
              <w:spacing w:before="0"/>
              <w:ind w:left="0"/>
              <w:rPr>
                <w:rFonts w:ascii="Times New Roman"/>
                <w:sz w:val="20"/>
              </w:rPr>
            </w:pPr>
          </w:p>
        </w:tc>
        <w:tc>
          <w:tcPr>
            <w:tcW w:w="4988" w:type="dxa"/>
          </w:tcPr>
          <w:p w14:paraId="26D791AF" w14:textId="77777777" w:rsidR="00A720EB" w:rsidRDefault="0030286B">
            <w:pPr>
              <w:pStyle w:val="TableParagraph"/>
              <w:spacing w:before="92"/>
              <w:rPr>
                <w:rFonts w:ascii="Cambria"/>
                <w:sz w:val="21"/>
              </w:rPr>
            </w:pPr>
            <w:r>
              <w:rPr>
                <w:rFonts w:ascii="Cambria"/>
                <w:color w:val="333333"/>
                <w:w w:val="110"/>
                <w:sz w:val="21"/>
              </w:rPr>
              <w:t>Password to use to connect to the JMS provider.</w:t>
            </w:r>
          </w:p>
        </w:tc>
      </w:tr>
      <w:tr w:rsidR="00A720EB" w14:paraId="5E54CDAC" w14:textId="77777777">
        <w:trPr>
          <w:trHeight w:val="1145"/>
        </w:trPr>
        <w:tc>
          <w:tcPr>
            <w:tcW w:w="2494" w:type="dxa"/>
          </w:tcPr>
          <w:p w14:paraId="17AE085B" w14:textId="77777777" w:rsidR="00A720EB" w:rsidRDefault="0030286B">
            <w:pPr>
              <w:pStyle w:val="TableParagraph"/>
              <w:spacing w:before="46" w:line="230" w:lineRule="auto"/>
              <w:ind w:right="113"/>
              <w:rPr>
                <w:sz w:val="21"/>
              </w:rPr>
            </w:pPr>
            <w:r>
              <w:rPr>
                <w:color w:val="B02045"/>
                <w:sz w:val="21"/>
              </w:rPr>
              <w:t xml:space="preserve">spring.jta.bitronix.co </w:t>
            </w:r>
            <w:proofErr w:type="gramStart"/>
            <w:r>
              <w:rPr>
                <w:color w:val="B02045"/>
                <w:sz w:val="21"/>
              </w:rPr>
              <w:t>nnectionfactory.share</w:t>
            </w:r>
            <w:proofErr w:type="gramEnd"/>
            <w:r>
              <w:rPr>
                <w:color w:val="B02045"/>
                <w:sz w:val="21"/>
              </w:rPr>
              <w:t>- transaction- connections</w:t>
            </w:r>
          </w:p>
        </w:tc>
        <w:tc>
          <w:tcPr>
            <w:tcW w:w="2494" w:type="dxa"/>
          </w:tcPr>
          <w:p w14:paraId="0A835B29" w14:textId="77777777" w:rsidR="00A720EB" w:rsidRDefault="0030286B">
            <w:pPr>
              <w:pStyle w:val="TableParagraph"/>
              <w:spacing w:before="37"/>
              <w:rPr>
                <w:sz w:val="21"/>
              </w:rPr>
            </w:pPr>
            <w:r>
              <w:rPr>
                <w:color w:val="B02045"/>
                <w:sz w:val="21"/>
              </w:rPr>
              <w:t>false</w:t>
            </w:r>
          </w:p>
        </w:tc>
        <w:tc>
          <w:tcPr>
            <w:tcW w:w="4988" w:type="dxa"/>
          </w:tcPr>
          <w:p w14:paraId="6C4CEE09" w14:textId="77777777" w:rsidR="00A720EB" w:rsidRDefault="0030286B">
            <w:pPr>
              <w:pStyle w:val="TableParagraph"/>
              <w:spacing w:before="92" w:line="307" w:lineRule="auto"/>
              <w:ind w:right="218"/>
              <w:rPr>
                <w:rFonts w:ascii="Cambria"/>
                <w:sz w:val="21"/>
              </w:rPr>
            </w:pPr>
            <w:r>
              <w:rPr>
                <w:rFonts w:ascii="Cambria"/>
                <w:color w:val="333333"/>
                <w:w w:val="110"/>
                <w:sz w:val="21"/>
              </w:rPr>
              <w:t>Whether connections in the ACCESSIBLE state can be shared within the context of a transaction.</w:t>
            </w:r>
          </w:p>
        </w:tc>
      </w:tr>
      <w:tr w:rsidR="00A720EB" w14:paraId="2AE93E93" w14:textId="77777777">
        <w:trPr>
          <w:trHeight w:val="886"/>
        </w:trPr>
        <w:tc>
          <w:tcPr>
            <w:tcW w:w="2494" w:type="dxa"/>
          </w:tcPr>
          <w:p w14:paraId="766329CE" w14:textId="77777777" w:rsidR="00A720EB" w:rsidRDefault="0030286B">
            <w:pPr>
              <w:pStyle w:val="TableParagraph"/>
              <w:spacing w:before="46" w:line="230" w:lineRule="auto"/>
              <w:ind w:right="113"/>
              <w:rPr>
                <w:sz w:val="21"/>
              </w:rPr>
            </w:pPr>
            <w:r>
              <w:rPr>
                <w:color w:val="B02045"/>
                <w:sz w:val="21"/>
              </w:rPr>
              <w:t>spring.jta.bitronix.co nnectionfactory.test- connections</w:t>
            </w:r>
          </w:p>
        </w:tc>
        <w:tc>
          <w:tcPr>
            <w:tcW w:w="2494" w:type="dxa"/>
          </w:tcPr>
          <w:p w14:paraId="5547BA5F" w14:textId="77777777" w:rsidR="00A720EB" w:rsidRDefault="0030286B">
            <w:pPr>
              <w:pStyle w:val="TableParagraph"/>
              <w:rPr>
                <w:sz w:val="21"/>
              </w:rPr>
            </w:pPr>
            <w:r>
              <w:rPr>
                <w:color w:val="B02045"/>
                <w:sz w:val="21"/>
              </w:rPr>
              <w:t>false</w:t>
            </w:r>
          </w:p>
        </w:tc>
        <w:tc>
          <w:tcPr>
            <w:tcW w:w="4988" w:type="dxa"/>
          </w:tcPr>
          <w:p w14:paraId="3BC5B623" w14:textId="77777777" w:rsidR="00A720EB" w:rsidRDefault="0030286B">
            <w:pPr>
              <w:pStyle w:val="TableParagraph"/>
              <w:spacing w:before="92" w:line="307" w:lineRule="auto"/>
              <w:rPr>
                <w:rFonts w:ascii="Cambria"/>
                <w:sz w:val="21"/>
              </w:rPr>
            </w:pPr>
            <w:r>
              <w:rPr>
                <w:rFonts w:ascii="Cambria"/>
                <w:color w:val="333333"/>
                <w:w w:val="110"/>
                <w:sz w:val="21"/>
              </w:rPr>
              <w:t>Whether connections should be tested when acquired from the pool.</w:t>
            </w:r>
          </w:p>
        </w:tc>
      </w:tr>
      <w:tr w:rsidR="00A720EB" w14:paraId="2BA6FF1D" w14:textId="77777777">
        <w:trPr>
          <w:trHeight w:val="1372"/>
        </w:trPr>
        <w:tc>
          <w:tcPr>
            <w:tcW w:w="2494" w:type="dxa"/>
          </w:tcPr>
          <w:p w14:paraId="5112496B" w14:textId="77777777" w:rsidR="00A720EB" w:rsidRDefault="0030286B">
            <w:pPr>
              <w:pStyle w:val="TableParagraph"/>
              <w:spacing w:before="46" w:line="230" w:lineRule="auto"/>
              <w:ind w:right="113"/>
              <w:rPr>
                <w:sz w:val="21"/>
              </w:rPr>
            </w:pPr>
            <w:r>
              <w:rPr>
                <w:color w:val="B02045"/>
                <w:sz w:val="21"/>
              </w:rPr>
              <w:t>spring.jta.bitronix.co nnectionfactory.two- pc-ordering-position</w:t>
            </w:r>
          </w:p>
        </w:tc>
        <w:tc>
          <w:tcPr>
            <w:tcW w:w="2494" w:type="dxa"/>
          </w:tcPr>
          <w:p w14:paraId="45977AAB" w14:textId="77777777" w:rsidR="00A720EB" w:rsidRDefault="0030286B">
            <w:pPr>
              <w:pStyle w:val="TableParagraph"/>
              <w:spacing w:before="37"/>
              <w:rPr>
                <w:sz w:val="21"/>
              </w:rPr>
            </w:pPr>
            <w:r>
              <w:rPr>
                <w:color w:val="B02045"/>
                <w:sz w:val="21"/>
              </w:rPr>
              <w:t>1.0</w:t>
            </w:r>
          </w:p>
        </w:tc>
        <w:tc>
          <w:tcPr>
            <w:tcW w:w="4988" w:type="dxa"/>
          </w:tcPr>
          <w:p w14:paraId="5F49C211" w14:textId="77777777" w:rsidR="00A720EB" w:rsidRDefault="0030286B">
            <w:pPr>
              <w:pStyle w:val="TableParagraph"/>
              <w:spacing w:before="28" w:line="310" w:lineRule="atLeast"/>
              <w:ind w:right="365"/>
              <w:rPr>
                <w:rFonts w:ascii="Cambria"/>
                <w:sz w:val="21"/>
              </w:rPr>
            </w:pPr>
            <w:r>
              <w:rPr>
                <w:rFonts w:ascii="Cambria"/>
                <w:color w:val="333333"/>
                <w:w w:val="110"/>
                <w:sz w:val="21"/>
              </w:rPr>
              <w:t>Position that this resource should take during two-phase commit (always first is Integer.MIN_VALUE, always last is Integer.MAX_VALUE).</w:t>
            </w:r>
          </w:p>
        </w:tc>
      </w:tr>
      <w:tr w:rsidR="00A720EB" w14:paraId="77DABEE1" w14:textId="77777777">
        <w:trPr>
          <w:trHeight w:val="886"/>
        </w:trPr>
        <w:tc>
          <w:tcPr>
            <w:tcW w:w="2494" w:type="dxa"/>
          </w:tcPr>
          <w:p w14:paraId="4095B574" w14:textId="77777777" w:rsidR="00A720EB" w:rsidRDefault="0030286B">
            <w:pPr>
              <w:pStyle w:val="TableParagraph"/>
              <w:spacing w:before="46" w:line="230" w:lineRule="auto"/>
              <w:ind w:right="94"/>
              <w:rPr>
                <w:sz w:val="21"/>
              </w:rPr>
            </w:pPr>
            <w:r>
              <w:rPr>
                <w:color w:val="B02045"/>
                <w:sz w:val="21"/>
              </w:rPr>
              <w:t xml:space="preserve">spring.jta.bitronix.co </w:t>
            </w:r>
            <w:proofErr w:type="gramStart"/>
            <w:r>
              <w:rPr>
                <w:color w:val="B02045"/>
                <w:sz w:val="21"/>
              </w:rPr>
              <w:t>nnectionfactory.unique</w:t>
            </w:r>
            <w:proofErr w:type="gramEnd"/>
          </w:p>
          <w:p w14:paraId="4A5F0CA4" w14:textId="77777777" w:rsidR="00A720EB" w:rsidRDefault="0030286B">
            <w:pPr>
              <w:pStyle w:val="TableParagraph"/>
              <w:spacing w:before="0" w:line="262" w:lineRule="exact"/>
              <w:rPr>
                <w:sz w:val="21"/>
              </w:rPr>
            </w:pPr>
            <w:r>
              <w:rPr>
                <w:color w:val="B02045"/>
                <w:sz w:val="21"/>
              </w:rPr>
              <w:t>-name</w:t>
            </w:r>
          </w:p>
        </w:tc>
        <w:tc>
          <w:tcPr>
            <w:tcW w:w="2494" w:type="dxa"/>
          </w:tcPr>
          <w:p w14:paraId="3B74BFD4" w14:textId="77777777" w:rsidR="00A720EB" w:rsidRDefault="0030286B">
            <w:pPr>
              <w:pStyle w:val="TableParagraph"/>
              <w:rPr>
                <w:sz w:val="21"/>
              </w:rPr>
            </w:pPr>
            <w:r>
              <w:rPr>
                <w:color w:val="B02045"/>
                <w:sz w:val="21"/>
              </w:rPr>
              <w:t>jmsConnectionFactory</w:t>
            </w:r>
          </w:p>
        </w:tc>
        <w:tc>
          <w:tcPr>
            <w:tcW w:w="4988" w:type="dxa"/>
          </w:tcPr>
          <w:p w14:paraId="08EFF01A" w14:textId="77777777" w:rsidR="00A720EB" w:rsidRDefault="0030286B">
            <w:pPr>
              <w:pStyle w:val="TableParagraph"/>
              <w:spacing w:before="92" w:line="307" w:lineRule="auto"/>
              <w:ind w:right="372"/>
              <w:rPr>
                <w:rFonts w:ascii="Cambria"/>
                <w:sz w:val="21"/>
              </w:rPr>
            </w:pPr>
            <w:r>
              <w:rPr>
                <w:rFonts w:ascii="Cambria"/>
                <w:color w:val="333333"/>
                <w:w w:val="110"/>
                <w:sz w:val="21"/>
              </w:rPr>
              <w:t>Unique name used to identify the resource during recovery.</w:t>
            </w:r>
          </w:p>
        </w:tc>
      </w:tr>
      <w:tr w:rsidR="00A720EB" w14:paraId="3C188FED" w14:textId="77777777">
        <w:trPr>
          <w:trHeight w:val="886"/>
        </w:trPr>
        <w:tc>
          <w:tcPr>
            <w:tcW w:w="2494" w:type="dxa"/>
          </w:tcPr>
          <w:p w14:paraId="1DD9A8BD" w14:textId="77777777" w:rsidR="00A720EB" w:rsidRDefault="0030286B">
            <w:pPr>
              <w:pStyle w:val="TableParagraph"/>
              <w:spacing w:before="46" w:line="230" w:lineRule="auto"/>
              <w:ind w:right="113"/>
              <w:rPr>
                <w:sz w:val="21"/>
              </w:rPr>
            </w:pPr>
            <w:r>
              <w:rPr>
                <w:color w:val="B02045"/>
                <w:sz w:val="21"/>
              </w:rPr>
              <w:t>spring.jta.bitronix.co nnectionfactory.use- tm-join</w:t>
            </w:r>
          </w:p>
        </w:tc>
        <w:tc>
          <w:tcPr>
            <w:tcW w:w="2494" w:type="dxa"/>
          </w:tcPr>
          <w:p w14:paraId="422B1CD2" w14:textId="77777777" w:rsidR="00A720EB" w:rsidRDefault="0030286B">
            <w:pPr>
              <w:pStyle w:val="TableParagraph"/>
              <w:spacing w:before="37"/>
              <w:rPr>
                <w:sz w:val="21"/>
              </w:rPr>
            </w:pPr>
            <w:r>
              <w:rPr>
                <w:color w:val="B02045"/>
                <w:sz w:val="21"/>
              </w:rPr>
              <w:t>true</w:t>
            </w:r>
          </w:p>
        </w:tc>
        <w:tc>
          <w:tcPr>
            <w:tcW w:w="4988" w:type="dxa"/>
          </w:tcPr>
          <w:p w14:paraId="0AFD8D0B" w14:textId="77777777" w:rsidR="00A720EB" w:rsidRDefault="0030286B">
            <w:pPr>
              <w:pStyle w:val="TableParagraph"/>
              <w:spacing w:before="92" w:line="307" w:lineRule="auto"/>
              <w:rPr>
                <w:rFonts w:ascii="Cambria"/>
                <w:sz w:val="21"/>
              </w:rPr>
            </w:pPr>
            <w:r>
              <w:rPr>
                <w:rFonts w:ascii="Cambria"/>
                <w:color w:val="333333"/>
                <w:w w:val="110"/>
                <w:sz w:val="21"/>
              </w:rPr>
              <w:t>Whether TMJOIN should be used when starting XAResources.</w:t>
            </w:r>
          </w:p>
        </w:tc>
      </w:tr>
      <w:tr w:rsidR="00A720EB" w14:paraId="1595F7F1" w14:textId="77777777">
        <w:trPr>
          <w:trHeight w:val="627"/>
        </w:trPr>
        <w:tc>
          <w:tcPr>
            <w:tcW w:w="2494" w:type="dxa"/>
          </w:tcPr>
          <w:p w14:paraId="15564207" w14:textId="77777777" w:rsidR="00A720EB" w:rsidRDefault="0030286B">
            <w:pPr>
              <w:pStyle w:val="TableParagraph"/>
              <w:spacing w:before="46" w:line="230" w:lineRule="auto"/>
              <w:ind w:right="94"/>
              <w:rPr>
                <w:sz w:val="21"/>
              </w:rPr>
            </w:pPr>
            <w:r>
              <w:rPr>
                <w:color w:val="B02045"/>
                <w:sz w:val="21"/>
              </w:rPr>
              <w:t>spring.jta.bitronix.co nnectionfactory.user</w:t>
            </w:r>
          </w:p>
        </w:tc>
        <w:tc>
          <w:tcPr>
            <w:tcW w:w="2494" w:type="dxa"/>
          </w:tcPr>
          <w:p w14:paraId="292FD299" w14:textId="77777777" w:rsidR="00A720EB" w:rsidRDefault="00A720EB">
            <w:pPr>
              <w:pStyle w:val="TableParagraph"/>
              <w:spacing w:before="0"/>
              <w:ind w:left="0"/>
              <w:rPr>
                <w:rFonts w:ascii="Times New Roman"/>
                <w:sz w:val="20"/>
              </w:rPr>
            </w:pPr>
          </w:p>
        </w:tc>
        <w:tc>
          <w:tcPr>
            <w:tcW w:w="4988" w:type="dxa"/>
          </w:tcPr>
          <w:p w14:paraId="2AAEF912" w14:textId="77777777" w:rsidR="00A720EB" w:rsidRDefault="0030286B">
            <w:pPr>
              <w:pStyle w:val="TableParagraph"/>
              <w:spacing w:before="92"/>
              <w:rPr>
                <w:rFonts w:ascii="Cambria"/>
                <w:sz w:val="21"/>
              </w:rPr>
            </w:pPr>
            <w:r>
              <w:rPr>
                <w:rFonts w:ascii="Cambria"/>
                <w:color w:val="333333"/>
                <w:w w:val="110"/>
                <w:sz w:val="21"/>
              </w:rPr>
              <w:t>User to use to connect to the JMS provider.</w:t>
            </w:r>
          </w:p>
        </w:tc>
      </w:tr>
      <w:tr w:rsidR="00A720EB" w14:paraId="4BCF7565" w14:textId="77777777">
        <w:trPr>
          <w:trHeight w:val="886"/>
        </w:trPr>
        <w:tc>
          <w:tcPr>
            <w:tcW w:w="2494" w:type="dxa"/>
          </w:tcPr>
          <w:p w14:paraId="35558835"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tasource.acquire- increment</w:t>
            </w:r>
          </w:p>
        </w:tc>
        <w:tc>
          <w:tcPr>
            <w:tcW w:w="2494" w:type="dxa"/>
          </w:tcPr>
          <w:p w14:paraId="2D5720D0" w14:textId="77777777" w:rsidR="00A720EB" w:rsidRDefault="0030286B">
            <w:pPr>
              <w:pStyle w:val="TableParagraph"/>
              <w:rPr>
                <w:sz w:val="21"/>
              </w:rPr>
            </w:pPr>
            <w:r>
              <w:rPr>
                <w:color w:val="B02045"/>
                <w:sz w:val="21"/>
              </w:rPr>
              <w:t>1.0</w:t>
            </w:r>
          </w:p>
        </w:tc>
        <w:tc>
          <w:tcPr>
            <w:tcW w:w="4988" w:type="dxa"/>
          </w:tcPr>
          <w:p w14:paraId="029290F3" w14:textId="77777777" w:rsidR="00A720EB" w:rsidRDefault="0030286B">
            <w:pPr>
              <w:pStyle w:val="TableParagraph"/>
              <w:spacing w:before="92" w:line="307" w:lineRule="auto"/>
              <w:rPr>
                <w:rFonts w:ascii="Cambria"/>
                <w:sz w:val="21"/>
              </w:rPr>
            </w:pPr>
            <w:r>
              <w:rPr>
                <w:rFonts w:ascii="Cambria"/>
                <w:color w:val="333333"/>
                <w:w w:val="110"/>
                <w:sz w:val="21"/>
              </w:rPr>
              <w:t>Number of connections to create when growing the pool.</w:t>
            </w:r>
          </w:p>
        </w:tc>
      </w:tr>
      <w:tr w:rsidR="00A720EB" w14:paraId="0D021C15" w14:textId="77777777">
        <w:trPr>
          <w:trHeight w:val="1056"/>
        </w:trPr>
        <w:tc>
          <w:tcPr>
            <w:tcW w:w="2494" w:type="dxa"/>
          </w:tcPr>
          <w:p w14:paraId="70D78998"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tasource.acquisition- interval</w:t>
            </w:r>
          </w:p>
        </w:tc>
        <w:tc>
          <w:tcPr>
            <w:tcW w:w="2494" w:type="dxa"/>
          </w:tcPr>
          <w:p w14:paraId="17C67E43" w14:textId="77777777" w:rsidR="00A720EB" w:rsidRDefault="0030286B">
            <w:pPr>
              <w:pStyle w:val="TableParagraph"/>
              <w:spacing w:before="37"/>
              <w:rPr>
                <w:sz w:val="21"/>
              </w:rPr>
            </w:pPr>
            <w:r>
              <w:rPr>
                <w:color w:val="B02045"/>
                <w:sz w:val="21"/>
              </w:rPr>
              <w:t>1.0</w:t>
            </w:r>
          </w:p>
        </w:tc>
        <w:tc>
          <w:tcPr>
            <w:tcW w:w="4988" w:type="dxa"/>
          </w:tcPr>
          <w:p w14:paraId="34E69580" w14:textId="77777777" w:rsidR="00A720EB" w:rsidRDefault="0030286B">
            <w:pPr>
              <w:pStyle w:val="TableParagraph"/>
              <w:spacing w:before="28" w:line="310" w:lineRule="atLeast"/>
              <w:ind w:right="372"/>
              <w:rPr>
                <w:rFonts w:ascii="Cambria"/>
                <w:sz w:val="21"/>
              </w:rPr>
            </w:pPr>
            <w:r>
              <w:rPr>
                <w:rFonts w:ascii="Cambria"/>
                <w:color w:val="333333"/>
                <w:w w:val="110"/>
                <w:sz w:val="21"/>
              </w:rPr>
              <w:t>Time, in seconds, to wait before trying to acquire a connection again after an invalid connection was acquired.</w:t>
            </w:r>
          </w:p>
        </w:tc>
      </w:tr>
      <w:tr w:rsidR="00A720EB" w14:paraId="06E5277E" w14:textId="77777777">
        <w:trPr>
          <w:trHeight w:val="886"/>
        </w:trPr>
        <w:tc>
          <w:tcPr>
            <w:tcW w:w="2494" w:type="dxa"/>
          </w:tcPr>
          <w:p w14:paraId="24FBF72C"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tasource.acquisition- timeout</w:t>
            </w:r>
          </w:p>
        </w:tc>
        <w:tc>
          <w:tcPr>
            <w:tcW w:w="2494" w:type="dxa"/>
          </w:tcPr>
          <w:p w14:paraId="71460688" w14:textId="77777777" w:rsidR="00A720EB" w:rsidRDefault="0030286B">
            <w:pPr>
              <w:pStyle w:val="TableParagraph"/>
              <w:rPr>
                <w:sz w:val="21"/>
              </w:rPr>
            </w:pPr>
            <w:r>
              <w:rPr>
                <w:color w:val="B02045"/>
                <w:sz w:val="21"/>
              </w:rPr>
              <w:t>30.0</w:t>
            </w:r>
          </w:p>
        </w:tc>
        <w:tc>
          <w:tcPr>
            <w:tcW w:w="4988" w:type="dxa"/>
          </w:tcPr>
          <w:p w14:paraId="26758E69" w14:textId="77777777" w:rsidR="00A720EB" w:rsidRDefault="0030286B">
            <w:pPr>
              <w:pStyle w:val="TableParagraph"/>
              <w:spacing w:before="92" w:line="307" w:lineRule="auto"/>
              <w:rPr>
                <w:rFonts w:ascii="Cambria"/>
                <w:sz w:val="21"/>
              </w:rPr>
            </w:pPr>
            <w:r>
              <w:rPr>
                <w:rFonts w:ascii="Cambria"/>
                <w:color w:val="333333"/>
                <w:w w:val="110"/>
                <w:sz w:val="21"/>
              </w:rPr>
              <w:t>Timeout, in seconds, for acquiring connections from the pool.</w:t>
            </w:r>
          </w:p>
        </w:tc>
      </w:tr>
      <w:tr w:rsidR="00A720EB" w14:paraId="05ED214C" w14:textId="77777777">
        <w:trPr>
          <w:trHeight w:val="886"/>
        </w:trPr>
        <w:tc>
          <w:tcPr>
            <w:tcW w:w="2494" w:type="dxa"/>
          </w:tcPr>
          <w:p w14:paraId="2028BBFB"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tasource.allow-local- transactions</w:t>
            </w:r>
          </w:p>
        </w:tc>
        <w:tc>
          <w:tcPr>
            <w:tcW w:w="2494" w:type="dxa"/>
          </w:tcPr>
          <w:p w14:paraId="55C0504B" w14:textId="77777777" w:rsidR="00A720EB" w:rsidRDefault="0030286B">
            <w:pPr>
              <w:pStyle w:val="TableParagraph"/>
              <w:spacing w:before="37"/>
              <w:rPr>
                <w:sz w:val="21"/>
              </w:rPr>
            </w:pPr>
            <w:r>
              <w:rPr>
                <w:color w:val="B02045"/>
                <w:sz w:val="21"/>
              </w:rPr>
              <w:t>false</w:t>
            </w:r>
          </w:p>
        </w:tc>
        <w:tc>
          <w:tcPr>
            <w:tcW w:w="4988" w:type="dxa"/>
          </w:tcPr>
          <w:p w14:paraId="4DD52B5B" w14:textId="77777777" w:rsidR="00A720EB" w:rsidRDefault="0030286B">
            <w:pPr>
              <w:pStyle w:val="TableParagraph"/>
              <w:spacing w:before="92" w:line="307" w:lineRule="auto"/>
              <w:rPr>
                <w:rFonts w:ascii="Cambria"/>
                <w:sz w:val="21"/>
              </w:rPr>
            </w:pPr>
            <w:r>
              <w:rPr>
                <w:rFonts w:ascii="Cambria"/>
                <w:color w:val="333333"/>
                <w:w w:val="110"/>
                <w:sz w:val="21"/>
              </w:rPr>
              <w:t>Whether the transaction manager should allow mixing XA and non-XA transactions.</w:t>
            </w:r>
          </w:p>
        </w:tc>
      </w:tr>
      <w:tr w:rsidR="00A720EB" w14:paraId="3A2111E9" w14:textId="77777777">
        <w:trPr>
          <w:trHeight w:val="886"/>
        </w:trPr>
        <w:tc>
          <w:tcPr>
            <w:tcW w:w="2494" w:type="dxa"/>
          </w:tcPr>
          <w:p w14:paraId="75230EEA" w14:textId="77777777" w:rsidR="00A720EB" w:rsidRDefault="0030286B">
            <w:pPr>
              <w:pStyle w:val="TableParagraph"/>
              <w:spacing w:before="46" w:line="230" w:lineRule="auto"/>
              <w:ind w:right="113"/>
              <w:rPr>
                <w:sz w:val="21"/>
              </w:rPr>
            </w:pPr>
            <w:proofErr w:type="gramStart"/>
            <w:r>
              <w:rPr>
                <w:color w:val="B02045"/>
                <w:sz w:val="21"/>
              </w:rPr>
              <w:lastRenderedPageBreak/>
              <w:t>spring.jta.bitronix</w:t>
            </w:r>
            <w:proofErr w:type="gramEnd"/>
            <w:r>
              <w:rPr>
                <w:color w:val="B02045"/>
                <w:sz w:val="21"/>
              </w:rPr>
              <w:t>.da tasource.apply- transaction-timeout</w:t>
            </w:r>
          </w:p>
        </w:tc>
        <w:tc>
          <w:tcPr>
            <w:tcW w:w="2494" w:type="dxa"/>
          </w:tcPr>
          <w:p w14:paraId="5D000A96" w14:textId="77777777" w:rsidR="00A720EB" w:rsidRDefault="0030286B">
            <w:pPr>
              <w:pStyle w:val="TableParagraph"/>
              <w:rPr>
                <w:sz w:val="21"/>
              </w:rPr>
            </w:pPr>
            <w:r>
              <w:rPr>
                <w:color w:val="B02045"/>
                <w:sz w:val="21"/>
              </w:rPr>
              <w:t>false</w:t>
            </w:r>
          </w:p>
        </w:tc>
        <w:tc>
          <w:tcPr>
            <w:tcW w:w="4988" w:type="dxa"/>
          </w:tcPr>
          <w:p w14:paraId="65A305C4" w14:textId="77777777" w:rsidR="00A720EB" w:rsidRDefault="0030286B">
            <w:pPr>
              <w:pStyle w:val="TableParagraph"/>
              <w:spacing w:before="92" w:line="307" w:lineRule="auto"/>
              <w:ind w:right="218"/>
              <w:rPr>
                <w:rFonts w:ascii="Cambria"/>
                <w:sz w:val="21"/>
              </w:rPr>
            </w:pPr>
            <w:r>
              <w:rPr>
                <w:rFonts w:ascii="Cambria"/>
                <w:color w:val="333333"/>
                <w:w w:val="110"/>
                <w:sz w:val="21"/>
              </w:rPr>
              <w:t>Whether the transaction timeout should be set on the XAResource when it is enlisted.</w:t>
            </w:r>
          </w:p>
        </w:tc>
      </w:tr>
      <w:tr w:rsidR="00A720EB" w14:paraId="6730446C" w14:textId="77777777">
        <w:trPr>
          <w:trHeight w:val="886"/>
        </w:trPr>
        <w:tc>
          <w:tcPr>
            <w:tcW w:w="2494" w:type="dxa"/>
          </w:tcPr>
          <w:p w14:paraId="21B8EC17"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tasource.automatic- enlisting-enabled</w:t>
            </w:r>
          </w:p>
        </w:tc>
        <w:tc>
          <w:tcPr>
            <w:tcW w:w="2494" w:type="dxa"/>
          </w:tcPr>
          <w:p w14:paraId="4E45FD08" w14:textId="77777777" w:rsidR="00A720EB" w:rsidRDefault="0030286B">
            <w:pPr>
              <w:pStyle w:val="TableParagraph"/>
              <w:rPr>
                <w:sz w:val="21"/>
              </w:rPr>
            </w:pPr>
            <w:r>
              <w:rPr>
                <w:color w:val="B02045"/>
                <w:sz w:val="21"/>
              </w:rPr>
              <w:t>true</w:t>
            </w:r>
          </w:p>
        </w:tc>
        <w:tc>
          <w:tcPr>
            <w:tcW w:w="4988" w:type="dxa"/>
          </w:tcPr>
          <w:p w14:paraId="6E08EB1A" w14:textId="77777777" w:rsidR="00A720EB" w:rsidRDefault="0030286B">
            <w:pPr>
              <w:pStyle w:val="TableParagraph"/>
              <w:spacing w:before="92" w:line="307" w:lineRule="auto"/>
              <w:ind w:right="372"/>
              <w:rPr>
                <w:rFonts w:ascii="Cambria"/>
                <w:sz w:val="21"/>
              </w:rPr>
            </w:pPr>
            <w:r>
              <w:rPr>
                <w:rFonts w:ascii="Cambria"/>
                <w:color w:val="333333"/>
                <w:w w:val="110"/>
                <w:sz w:val="21"/>
              </w:rPr>
              <w:t>Whether resources should be enlisted and delisted automatically.</w:t>
            </w:r>
          </w:p>
        </w:tc>
      </w:tr>
    </w:tbl>
    <w:p w14:paraId="41BDC65D"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D16A1F7" w14:textId="77777777">
        <w:trPr>
          <w:trHeight w:val="415"/>
        </w:trPr>
        <w:tc>
          <w:tcPr>
            <w:tcW w:w="2494" w:type="dxa"/>
            <w:tcBorders>
              <w:bottom w:val="single" w:sz="12" w:space="0" w:color="DDDDDD"/>
            </w:tcBorders>
          </w:tcPr>
          <w:p w14:paraId="286FC38A"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2AD523B"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E389E1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383E42D" w14:textId="77777777">
        <w:trPr>
          <w:trHeight w:val="731"/>
        </w:trPr>
        <w:tc>
          <w:tcPr>
            <w:tcW w:w="2494" w:type="dxa"/>
            <w:tcBorders>
              <w:top w:val="single" w:sz="12" w:space="0" w:color="DDDDDD"/>
            </w:tcBorders>
          </w:tcPr>
          <w:p w14:paraId="78505BFD" w14:textId="77777777" w:rsidR="00A720EB" w:rsidRDefault="0030286B">
            <w:pPr>
              <w:pStyle w:val="TableParagraph"/>
              <w:spacing w:before="36" w:line="230" w:lineRule="auto"/>
              <w:ind w:right="113"/>
              <w:rPr>
                <w:sz w:val="21"/>
              </w:rPr>
            </w:pPr>
            <w:proofErr w:type="gramStart"/>
            <w:r>
              <w:rPr>
                <w:color w:val="B02045"/>
                <w:sz w:val="21"/>
              </w:rPr>
              <w:t>spring.jta.bitronix</w:t>
            </w:r>
            <w:proofErr w:type="gramEnd"/>
            <w:r>
              <w:rPr>
                <w:color w:val="B02045"/>
                <w:sz w:val="21"/>
              </w:rPr>
              <w:t>.da tasource.class-name</w:t>
            </w:r>
          </w:p>
        </w:tc>
        <w:tc>
          <w:tcPr>
            <w:tcW w:w="2494" w:type="dxa"/>
            <w:tcBorders>
              <w:top w:val="single" w:sz="12" w:space="0" w:color="DDDDDD"/>
            </w:tcBorders>
          </w:tcPr>
          <w:p w14:paraId="3DE60241"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3BF14F81" w14:textId="77777777" w:rsidR="00A720EB" w:rsidRDefault="0030286B">
            <w:pPr>
              <w:pStyle w:val="TableParagraph"/>
              <w:spacing w:before="18" w:line="310" w:lineRule="atLeast"/>
              <w:ind w:right="372"/>
              <w:rPr>
                <w:rFonts w:ascii="Cambria"/>
                <w:sz w:val="21"/>
              </w:rPr>
            </w:pPr>
            <w:r>
              <w:rPr>
                <w:rFonts w:ascii="Cambria"/>
                <w:color w:val="333333"/>
                <w:w w:val="110"/>
                <w:sz w:val="21"/>
              </w:rPr>
              <w:t>Underlying implementation class name of the XA resource.</w:t>
            </w:r>
          </w:p>
        </w:tc>
      </w:tr>
      <w:tr w:rsidR="00A720EB" w14:paraId="0A0AC1D5" w14:textId="77777777">
        <w:trPr>
          <w:trHeight w:val="886"/>
        </w:trPr>
        <w:tc>
          <w:tcPr>
            <w:tcW w:w="2494" w:type="dxa"/>
          </w:tcPr>
          <w:p w14:paraId="65D563CB"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tasource.cursor- holdability</w:t>
            </w:r>
          </w:p>
        </w:tc>
        <w:tc>
          <w:tcPr>
            <w:tcW w:w="2494" w:type="dxa"/>
          </w:tcPr>
          <w:p w14:paraId="46624D98" w14:textId="77777777" w:rsidR="00A720EB" w:rsidRDefault="00A720EB">
            <w:pPr>
              <w:pStyle w:val="TableParagraph"/>
              <w:spacing w:before="0"/>
              <w:ind w:left="0"/>
              <w:rPr>
                <w:rFonts w:ascii="Times New Roman"/>
                <w:sz w:val="20"/>
              </w:rPr>
            </w:pPr>
          </w:p>
        </w:tc>
        <w:tc>
          <w:tcPr>
            <w:tcW w:w="4988" w:type="dxa"/>
          </w:tcPr>
          <w:p w14:paraId="44479ACF" w14:textId="77777777" w:rsidR="00A720EB" w:rsidRDefault="0030286B">
            <w:pPr>
              <w:pStyle w:val="TableParagraph"/>
              <w:spacing w:before="92"/>
              <w:rPr>
                <w:rFonts w:ascii="Cambria"/>
                <w:sz w:val="21"/>
              </w:rPr>
            </w:pPr>
            <w:r>
              <w:rPr>
                <w:rFonts w:ascii="Cambria"/>
                <w:color w:val="333333"/>
                <w:w w:val="110"/>
                <w:sz w:val="21"/>
              </w:rPr>
              <w:t>Default cursor holdability for connections.</w:t>
            </w:r>
          </w:p>
        </w:tc>
      </w:tr>
      <w:tr w:rsidR="00A720EB" w14:paraId="01F93609" w14:textId="77777777">
        <w:trPr>
          <w:trHeight w:val="1056"/>
        </w:trPr>
        <w:tc>
          <w:tcPr>
            <w:tcW w:w="2494" w:type="dxa"/>
          </w:tcPr>
          <w:p w14:paraId="59BAB88E"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tasource.defer- connection-release</w:t>
            </w:r>
          </w:p>
        </w:tc>
        <w:tc>
          <w:tcPr>
            <w:tcW w:w="2494" w:type="dxa"/>
          </w:tcPr>
          <w:p w14:paraId="6B4717EB" w14:textId="77777777" w:rsidR="00A720EB" w:rsidRDefault="0030286B">
            <w:pPr>
              <w:pStyle w:val="TableParagraph"/>
              <w:rPr>
                <w:sz w:val="21"/>
              </w:rPr>
            </w:pPr>
            <w:r>
              <w:rPr>
                <w:color w:val="B02045"/>
                <w:sz w:val="21"/>
              </w:rPr>
              <w:t>true</w:t>
            </w:r>
          </w:p>
        </w:tc>
        <w:tc>
          <w:tcPr>
            <w:tcW w:w="4988" w:type="dxa"/>
          </w:tcPr>
          <w:p w14:paraId="216D87A3"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the database can run many transactions on the same connection and supports transaction interleaving.</w:t>
            </w:r>
          </w:p>
        </w:tc>
      </w:tr>
      <w:tr w:rsidR="00A720EB" w14:paraId="7A1BC26B" w14:textId="77777777">
        <w:trPr>
          <w:trHeight w:val="1056"/>
        </w:trPr>
        <w:tc>
          <w:tcPr>
            <w:tcW w:w="2494" w:type="dxa"/>
          </w:tcPr>
          <w:p w14:paraId="509AA520" w14:textId="77777777" w:rsidR="00A720EB" w:rsidRDefault="0030286B">
            <w:pPr>
              <w:pStyle w:val="TableParagraph"/>
              <w:spacing w:before="46" w:line="230" w:lineRule="auto"/>
              <w:ind w:right="94"/>
              <w:rPr>
                <w:sz w:val="21"/>
              </w:rPr>
            </w:pPr>
            <w:proofErr w:type="gramStart"/>
            <w:r>
              <w:rPr>
                <w:color w:val="B02045"/>
                <w:sz w:val="21"/>
              </w:rPr>
              <w:t>spring.jta.bitronix</w:t>
            </w:r>
            <w:proofErr w:type="gramEnd"/>
            <w:r>
              <w:rPr>
                <w:color w:val="B02045"/>
                <w:sz w:val="21"/>
              </w:rPr>
              <w:t>.da tasource.disabled</w:t>
            </w:r>
          </w:p>
        </w:tc>
        <w:tc>
          <w:tcPr>
            <w:tcW w:w="2494" w:type="dxa"/>
          </w:tcPr>
          <w:p w14:paraId="57BD9CC2" w14:textId="77777777" w:rsidR="00A720EB" w:rsidRDefault="0030286B">
            <w:pPr>
              <w:pStyle w:val="TableParagraph"/>
              <w:rPr>
                <w:sz w:val="21"/>
              </w:rPr>
            </w:pPr>
            <w:r>
              <w:rPr>
                <w:color w:val="B02045"/>
                <w:sz w:val="21"/>
              </w:rPr>
              <w:t>false</w:t>
            </w:r>
          </w:p>
        </w:tc>
        <w:tc>
          <w:tcPr>
            <w:tcW w:w="4988" w:type="dxa"/>
          </w:tcPr>
          <w:p w14:paraId="2033B10B" w14:textId="77777777" w:rsidR="00A720EB" w:rsidRDefault="0030286B">
            <w:pPr>
              <w:pStyle w:val="TableParagraph"/>
              <w:spacing w:before="28" w:line="310" w:lineRule="atLeast"/>
              <w:ind w:right="250"/>
              <w:jc w:val="both"/>
              <w:rPr>
                <w:rFonts w:ascii="Cambria"/>
                <w:sz w:val="21"/>
              </w:rPr>
            </w:pPr>
            <w:r>
              <w:rPr>
                <w:rFonts w:ascii="Cambria"/>
                <w:color w:val="333333"/>
                <w:w w:val="110"/>
                <w:sz w:val="21"/>
              </w:rPr>
              <w:t>Whether this resource is disabled, meaning it's temporarily forbidden to acquire a connection from its pool.</w:t>
            </w:r>
          </w:p>
        </w:tc>
      </w:tr>
      <w:tr w:rsidR="00A720EB" w14:paraId="6B221D02" w14:textId="77777777">
        <w:trPr>
          <w:trHeight w:val="886"/>
        </w:trPr>
        <w:tc>
          <w:tcPr>
            <w:tcW w:w="2494" w:type="dxa"/>
          </w:tcPr>
          <w:p w14:paraId="15FE7165"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tasource.driver- properties</w:t>
            </w:r>
          </w:p>
        </w:tc>
        <w:tc>
          <w:tcPr>
            <w:tcW w:w="2494" w:type="dxa"/>
          </w:tcPr>
          <w:p w14:paraId="5D50E02B" w14:textId="77777777" w:rsidR="00A720EB" w:rsidRDefault="00A720EB">
            <w:pPr>
              <w:pStyle w:val="TableParagraph"/>
              <w:spacing w:before="0"/>
              <w:ind w:left="0"/>
              <w:rPr>
                <w:rFonts w:ascii="Times New Roman"/>
                <w:sz w:val="20"/>
              </w:rPr>
            </w:pPr>
          </w:p>
        </w:tc>
        <w:tc>
          <w:tcPr>
            <w:tcW w:w="4988" w:type="dxa"/>
          </w:tcPr>
          <w:p w14:paraId="02B4BF78" w14:textId="77777777" w:rsidR="00A720EB" w:rsidRDefault="0030286B">
            <w:pPr>
              <w:pStyle w:val="TableParagraph"/>
              <w:spacing w:before="92" w:line="307" w:lineRule="auto"/>
              <w:rPr>
                <w:rFonts w:ascii="Cambria"/>
                <w:sz w:val="21"/>
              </w:rPr>
            </w:pPr>
            <w:r>
              <w:rPr>
                <w:rFonts w:ascii="Cambria"/>
                <w:color w:val="333333"/>
                <w:w w:val="110"/>
                <w:sz w:val="21"/>
              </w:rPr>
              <w:t>Properties that should be set on the underlying implementation.</w:t>
            </w:r>
          </w:p>
        </w:tc>
      </w:tr>
      <w:tr w:rsidR="00A720EB" w14:paraId="3C1C8797" w14:textId="77777777">
        <w:trPr>
          <w:trHeight w:val="886"/>
        </w:trPr>
        <w:tc>
          <w:tcPr>
            <w:tcW w:w="2494" w:type="dxa"/>
          </w:tcPr>
          <w:p w14:paraId="16BFBB56" w14:textId="77777777" w:rsidR="00A720EB" w:rsidRDefault="0030286B">
            <w:pPr>
              <w:pStyle w:val="TableParagraph"/>
              <w:spacing w:before="46" w:line="230" w:lineRule="auto"/>
              <w:ind w:right="113"/>
              <w:jc w:val="both"/>
              <w:rPr>
                <w:sz w:val="21"/>
              </w:rPr>
            </w:pPr>
            <w:proofErr w:type="gramStart"/>
            <w:r>
              <w:rPr>
                <w:color w:val="B02045"/>
                <w:sz w:val="21"/>
              </w:rPr>
              <w:t>spring.jta.bitronix</w:t>
            </w:r>
            <w:proofErr w:type="gramEnd"/>
            <w:r>
              <w:rPr>
                <w:color w:val="B02045"/>
                <w:sz w:val="21"/>
              </w:rPr>
              <w:t>.da tasource.enable-jdbc4- connection-test</w:t>
            </w:r>
          </w:p>
        </w:tc>
        <w:tc>
          <w:tcPr>
            <w:tcW w:w="2494" w:type="dxa"/>
          </w:tcPr>
          <w:p w14:paraId="5482821F" w14:textId="77777777" w:rsidR="00A720EB" w:rsidRDefault="0030286B">
            <w:pPr>
              <w:pStyle w:val="TableParagraph"/>
              <w:rPr>
                <w:sz w:val="21"/>
              </w:rPr>
            </w:pPr>
            <w:r>
              <w:rPr>
                <w:color w:val="B02045"/>
                <w:sz w:val="21"/>
              </w:rPr>
              <w:t>false</w:t>
            </w:r>
          </w:p>
        </w:tc>
        <w:tc>
          <w:tcPr>
            <w:tcW w:w="4988" w:type="dxa"/>
          </w:tcPr>
          <w:p w14:paraId="2DC6BBBA" w14:textId="77777777" w:rsidR="00A720EB" w:rsidRDefault="0030286B">
            <w:pPr>
              <w:pStyle w:val="TableParagraph"/>
              <w:spacing w:before="92" w:line="307" w:lineRule="auto"/>
              <w:rPr>
                <w:rFonts w:ascii="Cambria"/>
                <w:sz w:val="21"/>
              </w:rPr>
            </w:pPr>
            <w:r>
              <w:rPr>
                <w:rFonts w:ascii="Cambria"/>
                <w:color w:val="333333"/>
                <w:w w:val="110"/>
                <w:sz w:val="21"/>
              </w:rPr>
              <w:t>Whether Connection.isValid() is called when acquiring a connection from the pool.</w:t>
            </w:r>
          </w:p>
        </w:tc>
      </w:tr>
      <w:tr w:rsidR="00A720EB" w14:paraId="7DEB8FCC" w14:textId="77777777">
        <w:trPr>
          <w:trHeight w:val="627"/>
        </w:trPr>
        <w:tc>
          <w:tcPr>
            <w:tcW w:w="2494" w:type="dxa"/>
          </w:tcPr>
          <w:p w14:paraId="2D8A8E76" w14:textId="77777777" w:rsidR="00A720EB" w:rsidRDefault="0030286B">
            <w:pPr>
              <w:pStyle w:val="TableParagraph"/>
              <w:spacing w:before="46" w:line="230" w:lineRule="auto"/>
              <w:ind w:right="94"/>
              <w:rPr>
                <w:sz w:val="21"/>
              </w:rPr>
            </w:pPr>
            <w:proofErr w:type="gramStart"/>
            <w:r>
              <w:rPr>
                <w:color w:val="B02045"/>
                <w:sz w:val="21"/>
              </w:rPr>
              <w:t>spring.jta.bitronix</w:t>
            </w:r>
            <w:proofErr w:type="gramEnd"/>
            <w:r>
              <w:rPr>
                <w:color w:val="B02045"/>
                <w:sz w:val="21"/>
              </w:rPr>
              <w:t>.da tasource.failed</w:t>
            </w:r>
          </w:p>
        </w:tc>
        <w:tc>
          <w:tcPr>
            <w:tcW w:w="2494" w:type="dxa"/>
          </w:tcPr>
          <w:p w14:paraId="37882035" w14:textId="77777777" w:rsidR="00A720EB" w:rsidRDefault="00A720EB">
            <w:pPr>
              <w:pStyle w:val="TableParagraph"/>
              <w:spacing w:before="0"/>
              <w:ind w:left="0"/>
              <w:rPr>
                <w:rFonts w:ascii="Times New Roman"/>
                <w:sz w:val="20"/>
              </w:rPr>
            </w:pPr>
          </w:p>
        </w:tc>
        <w:tc>
          <w:tcPr>
            <w:tcW w:w="4988" w:type="dxa"/>
          </w:tcPr>
          <w:p w14:paraId="7C4854D6" w14:textId="77777777" w:rsidR="00A720EB" w:rsidRDefault="00A720EB">
            <w:pPr>
              <w:pStyle w:val="TableParagraph"/>
              <w:spacing w:before="0"/>
              <w:ind w:left="0"/>
              <w:rPr>
                <w:rFonts w:ascii="Times New Roman"/>
                <w:sz w:val="20"/>
              </w:rPr>
            </w:pPr>
          </w:p>
        </w:tc>
      </w:tr>
      <w:tr w:rsidR="00A720EB" w14:paraId="704BD51A" w14:textId="77777777">
        <w:trPr>
          <w:trHeight w:val="886"/>
        </w:trPr>
        <w:tc>
          <w:tcPr>
            <w:tcW w:w="2494" w:type="dxa"/>
          </w:tcPr>
          <w:p w14:paraId="50F88144"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tasource.ignore- recovery-failures</w:t>
            </w:r>
          </w:p>
        </w:tc>
        <w:tc>
          <w:tcPr>
            <w:tcW w:w="2494" w:type="dxa"/>
          </w:tcPr>
          <w:p w14:paraId="6883E6CA" w14:textId="77777777" w:rsidR="00A720EB" w:rsidRDefault="0030286B">
            <w:pPr>
              <w:pStyle w:val="TableParagraph"/>
              <w:spacing w:before="37"/>
              <w:rPr>
                <w:sz w:val="21"/>
              </w:rPr>
            </w:pPr>
            <w:r>
              <w:rPr>
                <w:color w:val="B02045"/>
                <w:sz w:val="21"/>
              </w:rPr>
              <w:t>false</w:t>
            </w:r>
          </w:p>
        </w:tc>
        <w:tc>
          <w:tcPr>
            <w:tcW w:w="4988" w:type="dxa"/>
          </w:tcPr>
          <w:p w14:paraId="2739D277" w14:textId="77777777" w:rsidR="00A720EB" w:rsidRDefault="0030286B">
            <w:pPr>
              <w:pStyle w:val="TableParagraph"/>
              <w:spacing w:before="92"/>
              <w:rPr>
                <w:rFonts w:ascii="Cambria"/>
                <w:sz w:val="21"/>
              </w:rPr>
            </w:pPr>
            <w:r>
              <w:rPr>
                <w:rFonts w:ascii="Cambria"/>
                <w:color w:val="333333"/>
                <w:w w:val="110"/>
                <w:sz w:val="21"/>
              </w:rPr>
              <w:t>Whether recovery failures should be ignored.</w:t>
            </w:r>
          </w:p>
        </w:tc>
      </w:tr>
      <w:tr w:rsidR="00A720EB" w14:paraId="29C9E710" w14:textId="77777777">
        <w:trPr>
          <w:trHeight w:val="886"/>
        </w:trPr>
        <w:tc>
          <w:tcPr>
            <w:tcW w:w="2494" w:type="dxa"/>
          </w:tcPr>
          <w:p w14:paraId="283B374A"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tasource.isolation- level</w:t>
            </w:r>
          </w:p>
        </w:tc>
        <w:tc>
          <w:tcPr>
            <w:tcW w:w="2494" w:type="dxa"/>
          </w:tcPr>
          <w:p w14:paraId="02C4DAA4" w14:textId="77777777" w:rsidR="00A720EB" w:rsidRDefault="00A720EB">
            <w:pPr>
              <w:pStyle w:val="TableParagraph"/>
              <w:spacing w:before="0"/>
              <w:ind w:left="0"/>
              <w:rPr>
                <w:rFonts w:ascii="Times New Roman"/>
                <w:sz w:val="20"/>
              </w:rPr>
            </w:pPr>
          </w:p>
        </w:tc>
        <w:tc>
          <w:tcPr>
            <w:tcW w:w="4988" w:type="dxa"/>
          </w:tcPr>
          <w:p w14:paraId="5504875D" w14:textId="77777777" w:rsidR="00A720EB" w:rsidRDefault="0030286B">
            <w:pPr>
              <w:pStyle w:val="TableParagraph"/>
              <w:spacing w:before="92"/>
              <w:rPr>
                <w:rFonts w:ascii="Cambria"/>
                <w:sz w:val="21"/>
              </w:rPr>
            </w:pPr>
            <w:r>
              <w:rPr>
                <w:rFonts w:ascii="Cambria"/>
                <w:color w:val="333333"/>
                <w:w w:val="110"/>
                <w:sz w:val="21"/>
              </w:rPr>
              <w:t>Default isolation level for connections.</w:t>
            </w:r>
          </w:p>
        </w:tc>
      </w:tr>
      <w:tr w:rsidR="00A720EB" w14:paraId="29BA6859" w14:textId="77777777">
        <w:trPr>
          <w:trHeight w:val="886"/>
        </w:trPr>
        <w:tc>
          <w:tcPr>
            <w:tcW w:w="2494" w:type="dxa"/>
          </w:tcPr>
          <w:p w14:paraId="41B206FC"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tasource.local-auto- commit</w:t>
            </w:r>
          </w:p>
        </w:tc>
        <w:tc>
          <w:tcPr>
            <w:tcW w:w="2494" w:type="dxa"/>
          </w:tcPr>
          <w:p w14:paraId="65C2D7E6" w14:textId="77777777" w:rsidR="00A720EB" w:rsidRDefault="00A720EB">
            <w:pPr>
              <w:pStyle w:val="TableParagraph"/>
              <w:spacing w:before="0"/>
              <w:ind w:left="0"/>
              <w:rPr>
                <w:rFonts w:ascii="Times New Roman"/>
                <w:sz w:val="20"/>
              </w:rPr>
            </w:pPr>
          </w:p>
        </w:tc>
        <w:tc>
          <w:tcPr>
            <w:tcW w:w="4988" w:type="dxa"/>
          </w:tcPr>
          <w:p w14:paraId="7EE17109" w14:textId="77777777" w:rsidR="00A720EB" w:rsidRDefault="0030286B">
            <w:pPr>
              <w:pStyle w:val="TableParagraph"/>
              <w:spacing w:before="92" w:line="307" w:lineRule="auto"/>
              <w:ind w:right="372"/>
              <w:rPr>
                <w:rFonts w:ascii="Cambria"/>
                <w:sz w:val="21"/>
              </w:rPr>
            </w:pPr>
            <w:r>
              <w:rPr>
                <w:rFonts w:ascii="Cambria"/>
                <w:color w:val="333333"/>
                <w:w w:val="110"/>
                <w:sz w:val="21"/>
              </w:rPr>
              <w:t>Default auto-commit mode for local transactions.</w:t>
            </w:r>
          </w:p>
        </w:tc>
      </w:tr>
      <w:tr w:rsidR="00A720EB" w14:paraId="3A176E73" w14:textId="77777777">
        <w:trPr>
          <w:trHeight w:val="741"/>
        </w:trPr>
        <w:tc>
          <w:tcPr>
            <w:tcW w:w="2494" w:type="dxa"/>
          </w:tcPr>
          <w:p w14:paraId="6F41DE65"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tasource.login-timeout</w:t>
            </w:r>
          </w:p>
        </w:tc>
        <w:tc>
          <w:tcPr>
            <w:tcW w:w="2494" w:type="dxa"/>
          </w:tcPr>
          <w:p w14:paraId="4CFDAE25" w14:textId="77777777" w:rsidR="00A720EB" w:rsidRDefault="00A720EB">
            <w:pPr>
              <w:pStyle w:val="TableParagraph"/>
              <w:spacing w:before="0"/>
              <w:ind w:left="0"/>
              <w:rPr>
                <w:rFonts w:ascii="Times New Roman"/>
                <w:sz w:val="20"/>
              </w:rPr>
            </w:pPr>
          </w:p>
        </w:tc>
        <w:tc>
          <w:tcPr>
            <w:tcW w:w="4988" w:type="dxa"/>
          </w:tcPr>
          <w:p w14:paraId="3B0E992F" w14:textId="77777777" w:rsidR="00A720EB" w:rsidRDefault="0030286B">
            <w:pPr>
              <w:pStyle w:val="TableParagraph"/>
              <w:spacing w:before="28" w:line="310" w:lineRule="atLeast"/>
              <w:ind w:right="147"/>
              <w:rPr>
                <w:rFonts w:ascii="Cambria"/>
                <w:sz w:val="21"/>
              </w:rPr>
            </w:pPr>
            <w:r>
              <w:rPr>
                <w:rFonts w:ascii="Cambria"/>
                <w:color w:val="333333"/>
                <w:w w:val="115"/>
                <w:sz w:val="21"/>
              </w:rPr>
              <w:t>Timeout,</w:t>
            </w:r>
            <w:r>
              <w:rPr>
                <w:rFonts w:ascii="Cambria"/>
                <w:color w:val="333333"/>
                <w:spacing w:val="-27"/>
                <w:w w:val="115"/>
                <w:sz w:val="21"/>
              </w:rPr>
              <w:t xml:space="preserve"> </w:t>
            </w:r>
            <w:r>
              <w:rPr>
                <w:rFonts w:ascii="Cambria"/>
                <w:color w:val="333333"/>
                <w:w w:val="115"/>
                <w:sz w:val="21"/>
              </w:rPr>
              <w:t>in</w:t>
            </w:r>
            <w:r>
              <w:rPr>
                <w:rFonts w:ascii="Cambria"/>
                <w:color w:val="333333"/>
                <w:spacing w:val="-26"/>
                <w:w w:val="115"/>
                <w:sz w:val="21"/>
              </w:rPr>
              <w:t xml:space="preserve"> </w:t>
            </w:r>
            <w:r>
              <w:rPr>
                <w:rFonts w:ascii="Cambria"/>
                <w:color w:val="333333"/>
                <w:w w:val="115"/>
                <w:sz w:val="21"/>
              </w:rPr>
              <w:t>seconds,</w:t>
            </w:r>
            <w:r>
              <w:rPr>
                <w:rFonts w:ascii="Cambria"/>
                <w:color w:val="333333"/>
                <w:spacing w:val="-26"/>
                <w:w w:val="115"/>
                <w:sz w:val="21"/>
              </w:rPr>
              <w:t xml:space="preserve"> </w:t>
            </w:r>
            <w:r>
              <w:rPr>
                <w:rFonts w:ascii="Cambria"/>
                <w:color w:val="333333"/>
                <w:w w:val="115"/>
                <w:sz w:val="21"/>
              </w:rPr>
              <w:t>for</w:t>
            </w:r>
            <w:r>
              <w:rPr>
                <w:rFonts w:ascii="Cambria"/>
                <w:color w:val="333333"/>
                <w:spacing w:val="-26"/>
                <w:w w:val="115"/>
                <w:sz w:val="21"/>
              </w:rPr>
              <w:t xml:space="preserve"> </w:t>
            </w:r>
            <w:r>
              <w:rPr>
                <w:rFonts w:ascii="Cambria"/>
                <w:color w:val="333333"/>
                <w:w w:val="115"/>
                <w:sz w:val="21"/>
              </w:rPr>
              <w:t>establishing</w:t>
            </w:r>
            <w:r>
              <w:rPr>
                <w:rFonts w:ascii="Cambria"/>
                <w:color w:val="333333"/>
                <w:spacing w:val="-26"/>
                <w:w w:val="115"/>
                <w:sz w:val="21"/>
              </w:rPr>
              <w:t xml:space="preserve"> </w:t>
            </w:r>
            <w:r>
              <w:rPr>
                <w:rFonts w:ascii="Cambria"/>
                <w:color w:val="333333"/>
                <w:w w:val="115"/>
                <w:sz w:val="21"/>
              </w:rPr>
              <w:t>a</w:t>
            </w:r>
            <w:r>
              <w:rPr>
                <w:rFonts w:ascii="Cambria"/>
                <w:color w:val="333333"/>
                <w:spacing w:val="-26"/>
                <w:w w:val="115"/>
                <w:sz w:val="21"/>
              </w:rPr>
              <w:t xml:space="preserve"> </w:t>
            </w:r>
            <w:r>
              <w:rPr>
                <w:rFonts w:ascii="Cambria"/>
                <w:color w:val="333333"/>
                <w:w w:val="115"/>
                <w:sz w:val="21"/>
              </w:rPr>
              <w:t>database connection.</w:t>
            </w:r>
          </w:p>
        </w:tc>
      </w:tr>
      <w:tr w:rsidR="00A720EB" w14:paraId="2BAB4548" w14:textId="77777777">
        <w:trPr>
          <w:trHeight w:val="741"/>
        </w:trPr>
        <w:tc>
          <w:tcPr>
            <w:tcW w:w="2494" w:type="dxa"/>
          </w:tcPr>
          <w:p w14:paraId="2FF50B78"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tasource.max-idle-time</w:t>
            </w:r>
          </w:p>
        </w:tc>
        <w:tc>
          <w:tcPr>
            <w:tcW w:w="2494" w:type="dxa"/>
          </w:tcPr>
          <w:p w14:paraId="66C5BE54" w14:textId="77777777" w:rsidR="00A720EB" w:rsidRDefault="0030286B">
            <w:pPr>
              <w:pStyle w:val="TableParagraph"/>
              <w:spacing w:before="37"/>
              <w:rPr>
                <w:sz w:val="21"/>
              </w:rPr>
            </w:pPr>
            <w:r>
              <w:rPr>
                <w:color w:val="B02045"/>
                <w:sz w:val="21"/>
              </w:rPr>
              <w:t>60.0</w:t>
            </w:r>
          </w:p>
        </w:tc>
        <w:tc>
          <w:tcPr>
            <w:tcW w:w="4988" w:type="dxa"/>
          </w:tcPr>
          <w:p w14:paraId="4B237E26" w14:textId="77777777" w:rsidR="00A720EB" w:rsidRDefault="0030286B">
            <w:pPr>
              <w:pStyle w:val="TableParagraph"/>
              <w:spacing w:before="28" w:line="310" w:lineRule="atLeast"/>
              <w:rPr>
                <w:rFonts w:ascii="Cambria"/>
                <w:sz w:val="21"/>
              </w:rPr>
            </w:pPr>
            <w:r>
              <w:rPr>
                <w:rFonts w:ascii="Cambria"/>
                <w:color w:val="333333"/>
                <w:w w:val="110"/>
                <w:sz w:val="21"/>
              </w:rPr>
              <w:t>Time, in seconds, after which connections are cleaned up from the pool.</w:t>
            </w:r>
          </w:p>
        </w:tc>
      </w:tr>
      <w:tr w:rsidR="00A720EB" w14:paraId="6E808985" w14:textId="77777777">
        <w:trPr>
          <w:trHeight w:val="627"/>
        </w:trPr>
        <w:tc>
          <w:tcPr>
            <w:tcW w:w="2494" w:type="dxa"/>
          </w:tcPr>
          <w:p w14:paraId="648DADF3"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tasource.max-pool-size</w:t>
            </w:r>
          </w:p>
        </w:tc>
        <w:tc>
          <w:tcPr>
            <w:tcW w:w="2494" w:type="dxa"/>
          </w:tcPr>
          <w:p w14:paraId="2A573878" w14:textId="77777777" w:rsidR="00A720EB" w:rsidRDefault="0030286B">
            <w:pPr>
              <w:pStyle w:val="TableParagraph"/>
              <w:spacing w:before="37"/>
              <w:rPr>
                <w:sz w:val="21"/>
              </w:rPr>
            </w:pPr>
            <w:r>
              <w:rPr>
                <w:color w:val="B02045"/>
                <w:sz w:val="21"/>
              </w:rPr>
              <w:t>0.0</w:t>
            </w:r>
          </w:p>
        </w:tc>
        <w:tc>
          <w:tcPr>
            <w:tcW w:w="4988" w:type="dxa"/>
          </w:tcPr>
          <w:p w14:paraId="6F1E0A5D" w14:textId="77777777" w:rsidR="00A720EB" w:rsidRDefault="0030286B">
            <w:pPr>
              <w:pStyle w:val="TableParagraph"/>
              <w:spacing w:before="92"/>
              <w:rPr>
                <w:rFonts w:ascii="Cambria"/>
                <w:sz w:val="21"/>
              </w:rPr>
            </w:pPr>
            <w:r>
              <w:rPr>
                <w:rFonts w:ascii="Cambria"/>
                <w:color w:val="333333"/>
                <w:w w:val="110"/>
                <w:sz w:val="21"/>
              </w:rPr>
              <w:t>Maximum size of the pool. 0 denotes no limit.</w:t>
            </w:r>
          </w:p>
        </w:tc>
      </w:tr>
      <w:tr w:rsidR="00A720EB" w14:paraId="100842DA" w14:textId="77777777">
        <w:trPr>
          <w:trHeight w:val="627"/>
        </w:trPr>
        <w:tc>
          <w:tcPr>
            <w:tcW w:w="2494" w:type="dxa"/>
          </w:tcPr>
          <w:p w14:paraId="54289758"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tasource.min-pool-size</w:t>
            </w:r>
          </w:p>
        </w:tc>
        <w:tc>
          <w:tcPr>
            <w:tcW w:w="2494" w:type="dxa"/>
          </w:tcPr>
          <w:p w14:paraId="3442F7B1" w14:textId="77777777" w:rsidR="00A720EB" w:rsidRDefault="0030286B">
            <w:pPr>
              <w:pStyle w:val="TableParagraph"/>
              <w:rPr>
                <w:sz w:val="21"/>
              </w:rPr>
            </w:pPr>
            <w:r>
              <w:rPr>
                <w:color w:val="B02045"/>
                <w:sz w:val="21"/>
              </w:rPr>
              <w:t>0.0</w:t>
            </w:r>
          </w:p>
        </w:tc>
        <w:tc>
          <w:tcPr>
            <w:tcW w:w="4988" w:type="dxa"/>
          </w:tcPr>
          <w:p w14:paraId="08250A49" w14:textId="77777777" w:rsidR="00A720EB" w:rsidRDefault="0030286B">
            <w:pPr>
              <w:pStyle w:val="TableParagraph"/>
              <w:spacing w:before="92"/>
              <w:rPr>
                <w:rFonts w:ascii="Cambria"/>
                <w:sz w:val="21"/>
              </w:rPr>
            </w:pPr>
            <w:r>
              <w:rPr>
                <w:rFonts w:ascii="Cambria"/>
                <w:color w:val="333333"/>
                <w:w w:val="110"/>
                <w:sz w:val="21"/>
              </w:rPr>
              <w:t>Minimum size of the pool.</w:t>
            </w:r>
          </w:p>
        </w:tc>
      </w:tr>
      <w:tr w:rsidR="00A720EB" w14:paraId="1C3BB763" w14:textId="77777777">
        <w:trPr>
          <w:trHeight w:val="886"/>
        </w:trPr>
        <w:tc>
          <w:tcPr>
            <w:tcW w:w="2494" w:type="dxa"/>
          </w:tcPr>
          <w:p w14:paraId="27F95EBE"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tasource.prepared- statement-cache-size</w:t>
            </w:r>
          </w:p>
        </w:tc>
        <w:tc>
          <w:tcPr>
            <w:tcW w:w="2494" w:type="dxa"/>
          </w:tcPr>
          <w:p w14:paraId="24B465AF" w14:textId="77777777" w:rsidR="00A720EB" w:rsidRDefault="0030286B">
            <w:pPr>
              <w:pStyle w:val="TableParagraph"/>
              <w:rPr>
                <w:sz w:val="21"/>
              </w:rPr>
            </w:pPr>
            <w:r>
              <w:rPr>
                <w:color w:val="B02045"/>
                <w:sz w:val="21"/>
              </w:rPr>
              <w:t>0.0</w:t>
            </w:r>
          </w:p>
        </w:tc>
        <w:tc>
          <w:tcPr>
            <w:tcW w:w="4988" w:type="dxa"/>
          </w:tcPr>
          <w:p w14:paraId="37ADA911" w14:textId="77777777" w:rsidR="00A720EB" w:rsidRDefault="0030286B">
            <w:pPr>
              <w:pStyle w:val="TableParagraph"/>
              <w:spacing w:before="92" w:line="307" w:lineRule="auto"/>
              <w:rPr>
                <w:rFonts w:ascii="Cambria"/>
                <w:sz w:val="21"/>
              </w:rPr>
            </w:pPr>
            <w:r>
              <w:rPr>
                <w:rFonts w:ascii="Cambria"/>
                <w:color w:val="333333"/>
                <w:w w:val="110"/>
                <w:sz w:val="21"/>
              </w:rPr>
              <w:t>Target size of the prepared statement cache. 0 disables the cache.</w:t>
            </w:r>
          </w:p>
        </w:tc>
      </w:tr>
      <w:tr w:rsidR="00A720EB" w14:paraId="35B73E4A" w14:textId="77777777">
        <w:trPr>
          <w:trHeight w:val="1145"/>
        </w:trPr>
        <w:tc>
          <w:tcPr>
            <w:tcW w:w="2494" w:type="dxa"/>
          </w:tcPr>
          <w:p w14:paraId="39F70C02"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tasource.share- transaction- connections</w:t>
            </w:r>
          </w:p>
        </w:tc>
        <w:tc>
          <w:tcPr>
            <w:tcW w:w="2494" w:type="dxa"/>
          </w:tcPr>
          <w:p w14:paraId="559487A9" w14:textId="77777777" w:rsidR="00A720EB" w:rsidRDefault="0030286B">
            <w:pPr>
              <w:pStyle w:val="TableParagraph"/>
              <w:spacing w:before="37"/>
              <w:rPr>
                <w:sz w:val="21"/>
              </w:rPr>
            </w:pPr>
            <w:r>
              <w:rPr>
                <w:color w:val="B02045"/>
                <w:sz w:val="21"/>
              </w:rPr>
              <w:t>false</w:t>
            </w:r>
          </w:p>
        </w:tc>
        <w:tc>
          <w:tcPr>
            <w:tcW w:w="4988" w:type="dxa"/>
          </w:tcPr>
          <w:p w14:paraId="3E253D8E" w14:textId="77777777" w:rsidR="00A720EB" w:rsidRDefault="0030286B">
            <w:pPr>
              <w:pStyle w:val="TableParagraph"/>
              <w:spacing w:before="92" w:line="307" w:lineRule="auto"/>
              <w:ind w:right="218"/>
              <w:rPr>
                <w:rFonts w:ascii="Cambria"/>
                <w:sz w:val="21"/>
              </w:rPr>
            </w:pPr>
            <w:r>
              <w:rPr>
                <w:rFonts w:ascii="Cambria"/>
                <w:color w:val="333333"/>
                <w:w w:val="110"/>
                <w:sz w:val="21"/>
              </w:rPr>
              <w:t>Whether connections in the ACCESSIBLE state can be shared within the context of a transaction.</w:t>
            </w:r>
          </w:p>
        </w:tc>
      </w:tr>
      <w:tr w:rsidR="00A720EB" w14:paraId="4441A2E9" w14:textId="77777777">
        <w:trPr>
          <w:trHeight w:val="741"/>
        </w:trPr>
        <w:tc>
          <w:tcPr>
            <w:tcW w:w="2494" w:type="dxa"/>
          </w:tcPr>
          <w:p w14:paraId="51DD5E38" w14:textId="77777777" w:rsidR="00A720EB" w:rsidRDefault="0030286B">
            <w:pPr>
              <w:pStyle w:val="TableParagraph"/>
              <w:spacing w:before="46" w:line="230" w:lineRule="auto"/>
              <w:ind w:right="113"/>
              <w:rPr>
                <w:sz w:val="21"/>
              </w:rPr>
            </w:pPr>
            <w:proofErr w:type="gramStart"/>
            <w:r>
              <w:rPr>
                <w:color w:val="B02045"/>
                <w:sz w:val="21"/>
              </w:rPr>
              <w:lastRenderedPageBreak/>
              <w:t>spring.jta.bitronix</w:t>
            </w:r>
            <w:proofErr w:type="gramEnd"/>
            <w:r>
              <w:rPr>
                <w:color w:val="B02045"/>
                <w:sz w:val="21"/>
              </w:rPr>
              <w:t>.da tasource.test-query</w:t>
            </w:r>
          </w:p>
        </w:tc>
        <w:tc>
          <w:tcPr>
            <w:tcW w:w="2494" w:type="dxa"/>
          </w:tcPr>
          <w:p w14:paraId="3474732B" w14:textId="77777777" w:rsidR="00A720EB" w:rsidRDefault="00A720EB">
            <w:pPr>
              <w:pStyle w:val="TableParagraph"/>
              <w:spacing w:before="0"/>
              <w:ind w:left="0"/>
              <w:rPr>
                <w:rFonts w:ascii="Times New Roman"/>
                <w:sz w:val="20"/>
              </w:rPr>
            </w:pPr>
          </w:p>
        </w:tc>
        <w:tc>
          <w:tcPr>
            <w:tcW w:w="4988" w:type="dxa"/>
          </w:tcPr>
          <w:p w14:paraId="727316E1" w14:textId="77777777" w:rsidR="00A720EB" w:rsidRDefault="0030286B">
            <w:pPr>
              <w:pStyle w:val="TableParagraph"/>
              <w:spacing w:before="28" w:line="310" w:lineRule="atLeast"/>
              <w:rPr>
                <w:rFonts w:ascii="Cambria"/>
                <w:sz w:val="21"/>
              </w:rPr>
            </w:pPr>
            <w:r>
              <w:rPr>
                <w:rFonts w:ascii="Cambria"/>
                <w:color w:val="333333"/>
                <w:w w:val="110"/>
                <w:sz w:val="21"/>
              </w:rPr>
              <w:t>SQL query or statement used to validate a connection before returning it.</w:t>
            </w:r>
          </w:p>
        </w:tc>
      </w:tr>
    </w:tbl>
    <w:p w14:paraId="25139126"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BC9B632" w14:textId="77777777">
        <w:trPr>
          <w:trHeight w:val="415"/>
        </w:trPr>
        <w:tc>
          <w:tcPr>
            <w:tcW w:w="2494" w:type="dxa"/>
            <w:tcBorders>
              <w:bottom w:val="single" w:sz="12" w:space="0" w:color="DDDDDD"/>
            </w:tcBorders>
          </w:tcPr>
          <w:p w14:paraId="7AB423B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BCBE7B1"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8847002"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8A562AC" w14:textId="77777777">
        <w:trPr>
          <w:trHeight w:val="1362"/>
        </w:trPr>
        <w:tc>
          <w:tcPr>
            <w:tcW w:w="2494" w:type="dxa"/>
            <w:tcBorders>
              <w:top w:val="single" w:sz="12" w:space="0" w:color="DDDDDD"/>
            </w:tcBorders>
          </w:tcPr>
          <w:p w14:paraId="645F8237" w14:textId="77777777" w:rsidR="00A720EB" w:rsidRDefault="0030286B">
            <w:pPr>
              <w:pStyle w:val="TableParagraph"/>
              <w:spacing w:before="36" w:line="230" w:lineRule="auto"/>
              <w:ind w:right="113"/>
              <w:rPr>
                <w:sz w:val="21"/>
              </w:rPr>
            </w:pPr>
            <w:proofErr w:type="gramStart"/>
            <w:r>
              <w:rPr>
                <w:color w:val="B02045"/>
                <w:sz w:val="21"/>
              </w:rPr>
              <w:t>spring.jta.bitronix</w:t>
            </w:r>
            <w:proofErr w:type="gramEnd"/>
            <w:r>
              <w:rPr>
                <w:color w:val="B02045"/>
                <w:sz w:val="21"/>
              </w:rPr>
              <w:t>.da tasource.two-pc- ordering-position</w:t>
            </w:r>
          </w:p>
        </w:tc>
        <w:tc>
          <w:tcPr>
            <w:tcW w:w="2494" w:type="dxa"/>
            <w:tcBorders>
              <w:top w:val="single" w:sz="12" w:space="0" w:color="DDDDDD"/>
            </w:tcBorders>
          </w:tcPr>
          <w:p w14:paraId="3F1360F5" w14:textId="77777777" w:rsidR="00A720EB" w:rsidRDefault="0030286B">
            <w:pPr>
              <w:pStyle w:val="TableParagraph"/>
              <w:spacing w:before="27"/>
              <w:rPr>
                <w:sz w:val="21"/>
              </w:rPr>
            </w:pPr>
            <w:r>
              <w:rPr>
                <w:color w:val="B02045"/>
                <w:sz w:val="21"/>
              </w:rPr>
              <w:t>1.0</w:t>
            </w:r>
          </w:p>
        </w:tc>
        <w:tc>
          <w:tcPr>
            <w:tcW w:w="4988" w:type="dxa"/>
            <w:tcBorders>
              <w:top w:val="single" w:sz="12" w:space="0" w:color="DDDDDD"/>
            </w:tcBorders>
          </w:tcPr>
          <w:p w14:paraId="657B5CD6" w14:textId="77777777" w:rsidR="00A720EB" w:rsidRDefault="0030286B">
            <w:pPr>
              <w:pStyle w:val="TableParagraph"/>
              <w:spacing w:before="18" w:line="310" w:lineRule="atLeast"/>
              <w:ind w:right="365"/>
              <w:rPr>
                <w:rFonts w:ascii="Cambria"/>
                <w:sz w:val="21"/>
              </w:rPr>
            </w:pPr>
            <w:r>
              <w:rPr>
                <w:rFonts w:ascii="Cambria"/>
                <w:color w:val="333333"/>
                <w:w w:val="110"/>
                <w:sz w:val="21"/>
              </w:rPr>
              <w:t>Position that this resource should take during two-phase commit (always first is Integer.MIN_VALUE, and always last is Integer.MAX_VALUE).</w:t>
            </w:r>
          </w:p>
        </w:tc>
      </w:tr>
      <w:tr w:rsidR="00A720EB" w14:paraId="7FAA44F3" w14:textId="77777777">
        <w:trPr>
          <w:trHeight w:val="741"/>
        </w:trPr>
        <w:tc>
          <w:tcPr>
            <w:tcW w:w="2494" w:type="dxa"/>
          </w:tcPr>
          <w:p w14:paraId="0BC72DAA"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tasource.unique-name</w:t>
            </w:r>
          </w:p>
        </w:tc>
        <w:tc>
          <w:tcPr>
            <w:tcW w:w="2494" w:type="dxa"/>
          </w:tcPr>
          <w:p w14:paraId="732F89AD" w14:textId="77777777" w:rsidR="00A720EB" w:rsidRDefault="0030286B">
            <w:pPr>
              <w:pStyle w:val="TableParagraph"/>
              <w:spacing w:before="37"/>
              <w:rPr>
                <w:sz w:val="21"/>
              </w:rPr>
            </w:pPr>
            <w:r>
              <w:rPr>
                <w:color w:val="B02045"/>
                <w:sz w:val="21"/>
              </w:rPr>
              <w:t>dataSource</w:t>
            </w:r>
          </w:p>
        </w:tc>
        <w:tc>
          <w:tcPr>
            <w:tcW w:w="4988" w:type="dxa"/>
          </w:tcPr>
          <w:p w14:paraId="01C1B786" w14:textId="77777777" w:rsidR="00A720EB" w:rsidRDefault="0030286B">
            <w:pPr>
              <w:pStyle w:val="TableParagraph"/>
              <w:spacing w:before="28" w:line="310" w:lineRule="atLeast"/>
              <w:ind w:right="372"/>
              <w:rPr>
                <w:rFonts w:ascii="Cambria"/>
                <w:sz w:val="21"/>
              </w:rPr>
            </w:pPr>
            <w:r>
              <w:rPr>
                <w:rFonts w:ascii="Cambria"/>
                <w:color w:val="333333"/>
                <w:w w:val="110"/>
                <w:sz w:val="21"/>
              </w:rPr>
              <w:t>Unique name used to identify the resource during recovery.</w:t>
            </w:r>
          </w:p>
        </w:tc>
      </w:tr>
      <w:tr w:rsidR="00A720EB" w14:paraId="6025D188" w14:textId="77777777">
        <w:trPr>
          <w:trHeight w:val="741"/>
        </w:trPr>
        <w:tc>
          <w:tcPr>
            <w:tcW w:w="2494" w:type="dxa"/>
          </w:tcPr>
          <w:p w14:paraId="4224241A" w14:textId="77777777" w:rsidR="00A720EB" w:rsidRDefault="0030286B">
            <w:pPr>
              <w:pStyle w:val="TableParagraph"/>
              <w:spacing w:before="46" w:line="230" w:lineRule="auto"/>
              <w:ind w:right="113"/>
              <w:rPr>
                <w:sz w:val="21"/>
              </w:rPr>
            </w:pPr>
            <w:proofErr w:type="gramStart"/>
            <w:r>
              <w:rPr>
                <w:color w:val="B02045"/>
                <w:sz w:val="21"/>
              </w:rPr>
              <w:t>spring.jta.bitronix</w:t>
            </w:r>
            <w:proofErr w:type="gramEnd"/>
            <w:r>
              <w:rPr>
                <w:color w:val="B02045"/>
                <w:sz w:val="21"/>
              </w:rPr>
              <w:t>.da tasource.use-tm-join</w:t>
            </w:r>
          </w:p>
        </w:tc>
        <w:tc>
          <w:tcPr>
            <w:tcW w:w="2494" w:type="dxa"/>
          </w:tcPr>
          <w:p w14:paraId="7F89D3BB" w14:textId="77777777" w:rsidR="00A720EB" w:rsidRDefault="0030286B">
            <w:pPr>
              <w:pStyle w:val="TableParagraph"/>
              <w:spacing w:before="37"/>
              <w:rPr>
                <w:sz w:val="21"/>
              </w:rPr>
            </w:pPr>
            <w:r>
              <w:rPr>
                <w:color w:val="B02045"/>
                <w:sz w:val="21"/>
              </w:rPr>
              <w:t>true</w:t>
            </w:r>
          </w:p>
        </w:tc>
        <w:tc>
          <w:tcPr>
            <w:tcW w:w="4988" w:type="dxa"/>
          </w:tcPr>
          <w:p w14:paraId="658CA86A" w14:textId="77777777" w:rsidR="00A720EB" w:rsidRDefault="0030286B">
            <w:pPr>
              <w:pStyle w:val="TableParagraph"/>
              <w:spacing w:before="28" w:line="310" w:lineRule="atLeast"/>
              <w:rPr>
                <w:rFonts w:ascii="Cambria"/>
                <w:sz w:val="21"/>
              </w:rPr>
            </w:pPr>
            <w:r>
              <w:rPr>
                <w:rFonts w:ascii="Cambria"/>
                <w:color w:val="333333"/>
                <w:w w:val="110"/>
                <w:sz w:val="21"/>
              </w:rPr>
              <w:t>Whether TMJOIN should be used when starting XAResources.</w:t>
            </w:r>
          </w:p>
        </w:tc>
      </w:tr>
      <w:tr w:rsidR="00A720EB" w14:paraId="6F5D7B4C" w14:textId="77777777">
        <w:trPr>
          <w:trHeight w:val="425"/>
        </w:trPr>
        <w:tc>
          <w:tcPr>
            <w:tcW w:w="2494" w:type="dxa"/>
          </w:tcPr>
          <w:p w14:paraId="25E4453F" w14:textId="77777777" w:rsidR="00A720EB" w:rsidRDefault="0030286B">
            <w:pPr>
              <w:pStyle w:val="TableParagraph"/>
              <w:spacing w:before="37"/>
              <w:rPr>
                <w:sz w:val="21"/>
              </w:rPr>
            </w:pPr>
            <w:proofErr w:type="gramStart"/>
            <w:r>
              <w:rPr>
                <w:color w:val="B02045"/>
                <w:sz w:val="21"/>
              </w:rPr>
              <w:t>spring.jta.enabled</w:t>
            </w:r>
            <w:proofErr w:type="gramEnd"/>
          </w:p>
        </w:tc>
        <w:tc>
          <w:tcPr>
            <w:tcW w:w="2494" w:type="dxa"/>
          </w:tcPr>
          <w:p w14:paraId="41413882" w14:textId="77777777" w:rsidR="00A720EB" w:rsidRDefault="0030286B">
            <w:pPr>
              <w:pStyle w:val="TableParagraph"/>
              <w:spacing w:before="37"/>
              <w:rPr>
                <w:sz w:val="21"/>
              </w:rPr>
            </w:pPr>
            <w:r>
              <w:rPr>
                <w:color w:val="B02045"/>
                <w:sz w:val="21"/>
              </w:rPr>
              <w:t>true</w:t>
            </w:r>
          </w:p>
        </w:tc>
        <w:tc>
          <w:tcPr>
            <w:tcW w:w="4988" w:type="dxa"/>
          </w:tcPr>
          <w:p w14:paraId="7E21BD06" w14:textId="77777777" w:rsidR="00A720EB" w:rsidRDefault="0030286B">
            <w:pPr>
              <w:pStyle w:val="TableParagraph"/>
              <w:spacing w:before="92"/>
              <w:rPr>
                <w:rFonts w:ascii="Cambria"/>
                <w:sz w:val="21"/>
              </w:rPr>
            </w:pPr>
            <w:r>
              <w:rPr>
                <w:rFonts w:ascii="Cambria"/>
                <w:color w:val="333333"/>
                <w:w w:val="110"/>
                <w:sz w:val="21"/>
              </w:rPr>
              <w:t>Whether to enable JTA support.</w:t>
            </w:r>
          </w:p>
        </w:tc>
      </w:tr>
      <w:tr w:rsidR="00A720EB" w14:paraId="7EDAEEC6" w14:textId="77777777">
        <w:trPr>
          <w:trHeight w:val="425"/>
        </w:trPr>
        <w:tc>
          <w:tcPr>
            <w:tcW w:w="2494" w:type="dxa"/>
          </w:tcPr>
          <w:p w14:paraId="70501701" w14:textId="77777777" w:rsidR="00A720EB" w:rsidRDefault="0030286B">
            <w:pPr>
              <w:pStyle w:val="TableParagraph"/>
              <w:rPr>
                <w:sz w:val="21"/>
              </w:rPr>
            </w:pPr>
            <w:r>
              <w:rPr>
                <w:color w:val="B02045"/>
                <w:sz w:val="21"/>
              </w:rPr>
              <w:t>spring.jta.log-dir</w:t>
            </w:r>
          </w:p>
        </w:tc>
        <w:tc>
          <w:tcPr>
            <w:tcW w:w="2494" w:type="dxa"/>
          </w:tcPr>
          <w:p w14:paraId="4B8F8011" w14:textId="77777777" w:rsidR="00A720EB" w:rsidRDefault="00A720EB">
            <w:pPr>
              <w:pStyle w:val="TableParagraph"/>
              <w:spacing w:before="0"/>
              <w:ind w:left="0"/>
              <w:rPr>
                <w:rFonts w:ascii="Times New Roman"/>
                <w:sz w:val="20"/>
              </w:rPr>
            </w:pPr>
          </w:p>
        </w:tc>
        <w:tc>
          <w:tcPr>
            <w:tcW w:w="4988" w:type="dxa"/>
          </w:tcPr>
          <w:p w14:paraId="5B30EC02" w14:textId="77777777" w:rsidR="00A720EB" w:rsidRDefault="0030286B">
            <w:pPr>
              <w:pStyle w:val="TableParagraph"/>
              <w:spacing w:before="92"/>
              <w:rPr>
                <w:rFonts w:ascii="Cambria"/>
                <w:sz w:val="21"/>
              </w:rPr>
            </w:pPr>
            <w:r>
              <w:rPr>
                <w:rFonts w:ascii="Cambria"/>
                <w:color w:val="333333"/>
                <w:w w:val="110"/>
                <w:sz w:val="21"/>
              </w:rPr>
              <w:t>Transaction logs directory.</w:t>
            </w:r>
          </w:p>
        </w:tc>
      </w:tr>
      <w:tr w:rsidR="00A720EB" w14:paraId="78591B44" w14:textId="77777777">
        <w:trPr>
          <w:trHeight w:val="627"/>
        </w:trPr>
        <w:tc>
          <w:tcPr>
            <w:tcW w:w="2494" w:type="dxa"/>
          </w:tcPr>
          <w:p w14:paraId="30073145" w14:textId="77777777" w:rsidR="00A720EB" w:rsidRDefault="0030286B">
            <w:pPr>
              <w:pStyle w:val="TableParagraph"/>
              <w:spacing w:before="37" w:line="264" w:lineRule="exact"/>
              <w:rPr>
                <w:sz w:val="21"/>
              </w:rPr>
            </w:pPr>
            <w:proofErr w:type="gramStart"/>
            <w:r>
              <w:rPr>
                <w:color w:val="B02045"/>
                <w:sz w:val="21"/>
              </w:rPr>
              <w:t>spring.jta.transaction</w:t>
            </w:r>
            <w:proofErr w:type="gramEnd"/>
          </w:p>
          <w:p w14:paraId="1EF9E9FA" w14:textId="77777777" w:rsidR="00A720EB" w:rsidRDefault="0030286B">
            <w:pPr>
              <w:pStyle w:val="TableParagraph"/>
              <w:spacing w:before="0" w:line="264" w:lineRule="exact"/>
              <w:rPr>
                <w:sz w:val="21"/>
              </w:rPr>
            </w:pPr>
            <w:r>
              <w:rPr>
                <w:color w:val="B02045"/>
                <w:sz w:val="21"/>
              </w:rPr>
              <w:t>-manager-id</w:t>
            </w:r>
          </w:p>
        </w:tc>
        <w:tc>
          <w:tcPr>
            <w:tcW w:w="2494" w:type="dxa"/>
          </w:tcPr>
          <w:p w14:paraId="7491E15A" w14:textId="77777777" w:rsidR="00A720EB" w:rsidRDefault="00A720EB">
            <w:pPr>
              <w:pStyle w:val="TableParagraph"/>
              <w:spacing w:before="0"/>
              <w:ind w:left="0"/>
              <w:rPr>
                <w:rFonts w:ascii="Times New Roman"/>
                <w:sz w:val="20"/>
              </w:rPr>
            </w:pPr>
          </w:p>
        </w:tc>
        <w:tc>
          <w:tcPr>
            <w:tcW w:w="4988" w:type="dxa"/>
          </w:tcPr>
          <w:p w14:paraId="1B7F291E" w14:textId="77777777" w:rsidR="00A720EB" w:rsidRDefault="0030286B">
            <w:pPr>
              <w:pStyle w:val="TableParagraph"/>
              <w:spacing w:before="92"/>
              <w:rPr>
                <w:rFonts w:ascii="Cambria"/>
                <w:sz w:val="21"/>
              </w:rPr>
            </w:pPr>
            <w:r>
              <w:rPr>
                <w:rFonts w:ascii="Cambria"/>
                <w:color w:val="333333"/>
                <w:w w:val="115"/>
                <w:sz w:val="21"/>
              </w:rPr>
              <w:t>Transaction manager unique identifier.</w:t>
            </w:r>
          </w:p>
        </w:tc>
      </w:tr>
      <w:tr w:rsidR="00A720EB" w14:paraId="0AB0970C" w14:textId="77777777">
        <w:trPr>
          <w:trHeight w:val="741"/>
        </w:trPr>
        <w:tc>
          <w:tcPr>
            <w:tcW w:w="2494" w:type="dxa"/>
          </w:tcPr>
          <w:p w14:paraId="0D7808D3" w14:textId="77777777" w:rsidR="00A720EB" w:rsidRDefault="0030286B">
            <w:pPr>
              <w:pStyle w:val="TableParagraph"/>
              <w:spacing w:before="46" w:line="230" w:lineRule="auto"/>
              <w:ind w:right="113"/>
              <w:rPr>
                <w:sz w:val="21"/>
              </w:rPr>
            </w:pPr>
            <w:r>
              <w:rPr>
                <w:color w:val="B02045"/>
                <w:sz w:val="21"/>
              </w:rPr>
              <w:t>spring.transaction.def ault-timeout</w:t>
            </w:r>
          </w:p>
        </w:tc>
        <w:tc>
          <w:tcPr>
            <w:tcW w:w="2494" w:type="dxa"/>
          </w:tcPr>
          <w:p w14:paraId="50F749B6" w14:textId="77777777" w:rsidR="00A720EB" w:rsidRDefault="00A720EB">
            <w:pPr>
              <w:pStyle w:val="TableParagraph"/>
              <w:spacing w:before="0"/>
              <w:ind w:left="0"/>
              <w:rPr>
                <w:rFonts w:ascii="Times New Roman"/>
                <w:sz w:val="20"/>
              </w:rPr>
            </w:pPr>
          </w:p>
        </w:tc>
        <w:tc>
          <w:tcPr>
            <w:tcW w:w="4988" w:type="dxa"/>
          </w:tcPr>
          <w:p w14:paraId="39D3BAC3" w14:textId="77777777" w:rsidR="00A720EB" w:rsidRDefault="0030286B">
            <w:pPr>
              <w:pStyle w:val="TableParagraph"/>
              <w:spacing w:before="28" w:line="310" w:lineRule="atLeast"/>
              <w:ind w:right="218"/>
              <w:rPr>
                <w:rFonts w:ascii="Cambria"/>
                <w:sz w:val="21"/>
              </w:rPr>
            </w:pPr>
            <w:r>
              <w:rPr>
                <w:rFonts w:ascii="Cambria"/>
                <w:color w:val="333333"/>
                <w:w w:val="110"/>
                <w:sz w:val="21"/>
              </w:rPr>
              <w:t>Default transaction timeout. If a duration suffix is not specified, seconds will be used.</w:t>
            </w:r>
          </w:p>
        </w:tc>
      </w:tr>
      <w:tr w:rsidR="00A720EB" w14:paraId="7333A598" w14:textId="77777777">
        <w:trPr>
          <w:trHeight w:val="886"/>
        </w:trPr>
        <w:tc>
          <w:tcPr>
            <w:tcW w:w="2494" w:type="dxa"/>
          </w:tcPr>
          <w:p w14:paraId="339F506C" w14:textId="77777777" w:rsidR="00A720EB" w:rsidRDefault="0030286B">
            <w:pPr>
              <w:pStyle w:val="TableParagraph"/>
              <w:spacing w:before="46" w:line="230" w:lineRule="auto"/>
              <w:ind w:right="113"/>
              <w:rPr>
                <w:sz w:val="21"/>
              </w:rPr>
            </w:pPr>
            <w:r>
              <w:rPr>
                <w:color w:val="B02045"/>
                <w:sz w:val="21"/>
              </w:rPr>
              <w:t>spring.transaction.rol lback-on-commit- failure</w:t>
            </w:r>
          </w:p>
        </w:tc>
        <w:tc>
          <w:tcPr>
            <w:tcW w:w="2494" w:type="dxa"/>
          </w:tcPr>
          <w:p w14:paraId="01DD0765" w14:textId="77777777" w:rsidR="00A720EB" w:rsidRDefault="00A720EB">
            <w:pPr>
              <w:pStyle w:val="TableParagraph"/>
              <w:spacing w:before="0"/>
              <w:ind w:left="0"/>
              <w:rPr>
                <w:rFonts w:ascii="Times New Roman"/>
                <w:sz w:val="20"/>
              </w:rPr>
            </w:pPr>
          </w:p>
        </w:tc>
        <w:tc>
          <w:tcPr>
            <w:tcW w:w="4988" w:type="dxa"/>
          </w:tcPr>
          <w:p w14:paraId="17715E19" w14:textId="77777777" w:rsidR="00A720EB" w:rsidRDefault="0030286B">
            <w:pPr>
              <w:pStyle w:val="TableParagraph"/>
              <w:spacing w:before="92"/>
              <w:rPr>
                <w:rFonts w:ascii="Cambria"/>
                <w:sz w:val="21"/>
              </w:rPr>
            </w:pPr>
            <w:r>
              <w:rPr>
                <w:rFonts w:ascii="Cambria"/>
                <w:color w:val="333333"/>
                <w:w w:val="110"/>
                <w:sz w:val="21"/>
              </w:rPr>
              <w:t>Whether to roll back on commit failures.</w:t>
            </w:r>
          </w:p>
        </w:tc>
      </w:tr>
    </w:tbl>
    <w:p w14:paraId="1F64B820" w14:textId="77777777" w:rsidR="00A720EB" w:rsidRDefault="00A720EB">
      <w:pPr>
        <w:pStyle w:val="a3"/>
        <w:spacing w:before="12"/>
        <w:rPr>
          <w:rFonts w:ascii="Palatino Linotype"/>
          <w:b/>
          <w:sz w:val="16"/>
        </w:rPr>
      </w:pPr>
    </w:p>
    <w:p w14:paraId="75F8597F" w14:textId="77777777" w:rsidR="00A720EB" w:rsidRDefault="0030286B">
      <w:pPr>
        <w:pStyle w:val="3"/>
        <w:numPr>
          <w:ilvl w:val="2"/>
          <w:numId w:val="9"/>
        </w:numPr>
        <w:tabs>
          <w:tab w:val="left" w:pos="1053"/>
        </w:tabs>
        <w:spacing w:before="105"/>
      </w:pPr>
      <w:bookmarkStart w:id="1035" w:name="10.A.7._Data_migration_properties"/>
      <w:bookmarkStart w:id="1036" w:name="_Toc54424035"/>
      <w:bookmarkEnd w:id="1035"/>
      <w:r>
        <w:rPr>
          <w:color w:val="333333"/>
          <w:w w:val="110"/>
        </w:rPr>
        <w:t>Data migration</w:t>
      </w:r>
      <w:r>
        <w:rPr>
          <w:color w:val="333333"/>
          <w:spacing w:val="-8"/>
          <w:w w:val="110"/>
        </w:rPr>
        <w:t xml:space="preserve"> </w:t>
      </w:r>
      <w:r>
        <w:rPr>
          <w:color w:val="333333"/>
          <w:w w:val="110"/>
        </w:rPr>
        <w:t>properties</w:t>
      </w:r>
      <w:bookmarkEnd w:id="1036"/>
    </w:p>
    <w:p w14:paraId="538E4DFA"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548AD7C" w14:textId="77777777">
        <w:trPr>
          <w:trHeight w:val="415"/>
        </w:trPr>
        <w:tc>
          <w:tcPr>
            <w:tcW w:w="2494" w:type="dxa"/>
            <w:tcBorders>
              <w:bottom w:val="single" w:sz="12" w:space="0" w:color="DDDDDD"/>
            </w:tcBorders>
          </w:tcPr>
          <w:p w14:paraId="15525EF1"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14110557"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C06A083"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5EC19E4B" w14:textId="77777777">
        <w:trPr>
          <w:trHeight w:val="731"/>
        </w:trPr>
        <w:tc>
          <w:tcPr>
            <w:tcW w:w="2494" w:type="dxa"/>
            <w:tcBorders>
              <w:top w:val="single" w:sz="12" w:space="0" w:color="DDDDDD"/>
            </w:tcBorders>
          </w:tcPr>
          <w:p w14:paraId="60345D77" w14:textId="77777777" w:rsidR="00A720EB" w:rsidRDefault="0030286B">
            <w:pPr>
              <w:pStyle w:val="TableParagraph"/>
              <w:spacing w:before="30" w:line="264" w:lineRule="exact"/>
              <w:rPr>
                <w:sz w:val="21"/>
              </w:rPr>
            </w:pPr>
            <w:proofErr w:type="gramStart"/>
            <w:r>
              <w:rPr>
                <w:color w:val="B02045"/>
                <w:sz w:val="21"/>
              </w:rPr>
              <w:t>spring.flyway</w:t>
            </w:r>
            <w:proofErr w:type="gramEnd"/>
            <w:r>
              <w:rPr>
                <w:color w:val="B02045"/>
                <w:sz w:val="21"/>
              </w:rPr>
              <w:t>.baseline</w:t>
            </w:r>
          </w:p>
          <w:p w14:paraId="53F27BE4" w14:textId="77777777" w:rsidR="00A720EB" w:rsidRDefault="0030286B">
            <w:pPr>
              <w:pStyle w:val="TableParagraph"/>
              <w:spacing w:before="0" w:line="264" w:lineRule="exact"/>
              <w:rPr>
                <w:sz w:val="21"/>
              </w:rPr>
            </w:pPr>
            <w:r>
              <w:rPr>
                <w:color w:val="B02045"/>
                <w:sz w:val="21"/>
              </w:rPr>
              <w:t>-description</w:t>
            </w:r>
          </w:p>
        </w:tc>
        <w:tc>
          <w:tcPr>
            <w:tcW w:w="2494" w:type="dxa"/>
            <w:tcBorders>
              <w:top w:val="single" w:sz="12" w:space="0" w:color="DDDDDD"/>
            </w:tcBorders>
          </w:tcPr>
          <w:p w14:paraId="1887B59E" w14:textId="77777777" w:rsidR="00A720EB" w:rsidRDefault="0030286B">
            <w:pPr>
              <w:pStyle w:val="TableParagraph"/>
              <w:spacing w:before="30"/>
              <w:rPr>
                <w:sz w:val="21"/>
              </w:rPr>
            </w:pPr>
            <w:r>
              <w:rPr>
                <w:color w:val="B02045"/>
                <w:sz w:val="21"/>
              </w:rPr>
              <w:t>&lt;&lt; Flyway Baseline &gt;&gt;</w:t>
            </w:r>
          </w:p>
        </w:tc>
        <w:tc>
          <w:tcPr>
            <w:tcW w:w="4988" w:type="dxa"/>
            <w:tcBorders>
              <w:top w:val="single" w:sz="12" w:space="0" w:color="DDDDDD"/>
            </w:tcBorders>
          </w:tcPr>
          <w:p w14:paraId="294F356F" w14:textId="77777777" w:rsidR="00A720EB" w:rsidRDefault="0030286B">
            <w:pPr>
              <w:pStyle w:val="TableParagraph"/>
              <w:spacing w:before="21" w:line="310" w:lineRule="atLeast"/>
              <w:rPr>
                <w:rFonts w:ascii="Cambria"/>
                <w:sz w:val="21"/>
              </w:rPr>
            </w:pPr>
            <w:r>
              <w:rPr>
                <w:rFonts w:ascii="Cambria"/>
                <w:color w:val="333333"/>
                <w:w w:val="110"/>
                <w:sz w:val="21"/>
              </w:rPr>
              <w:t>Description to tag an existing schema with when applying a baseline.</w:t>
            </w:r>
          </w:p>
        </w:tc>
      </w:tr>
      <w:tr w:rsidR="00A720EB" w14:paraId="159B3F70" w14:textId="77777777">
        <w:trPr>
          <w:trHeight w:val="741"/>
        </w:trPr>
        <w:tc>
          <w:tcPr>
            <w:tcW w:w="2494" w:type="dxa"/>
          </w:tcPr>
          <w:p w14:paraId="44E27B36" w14:textId="77777777" w:rsidR="00A720EB" w:rsidRDefault="0030286B">
            <w:pPr>
              <w:pStyle w:val="TableParagraph"/>
              <w:spacing w:before="40" w:line="264" w:lineRule="exact"/>
              <w:rPr>
                <w:sz w:val="21"/>
              </w:rPr>
            </w:pPr>
            <w:proofErr w:type="gramStart"/>
            <w:r>
              <w:rPr>
                <w:color w:val="B02045"/>
                <w:sz w:val="21"/>
              </w:rPr>
              <w:t>spring.flyway</w:t>
            </w:r>
            <w:proofErr w:type="gramEnd"/>
            <w:r>
              <w:rPr>
                <w:color w:val="B02045"/>
                <w:sz w:val="21"/>
              </w:rPr>
              <w:t>.baseline</w:t>
            </w:r>
          </w:p>
          <w:p w14:paraId="3F9DA9E6" w14:textId="77777777" w:rsidR="00A720EB" w:rsidRDefault="0030286B">
            <w:pPr>
              <w:pStyle w:val="TableParagraph"/>
              <w:spacing w:before="0" w:line="264" w:lineRule="exact"/>
              <w:rPr>
                <w:sz w:val="21"/>
              </w:rPr>
            </w:pPr>
            <w:r>
              <w:rPr>
                <w:color w:val="B02045"/>
                <w:sz w:val="21"/>
              </w:rPr>
              <w:t>-on-migrate</w:t>
            </w:r>
          </w:p>
        </w:tc>
        <w:tc>
          <w:tcPr>
            <w:tcW w:w="2494" w:type="dxa"/>
          </w:tcPr>
          <w:p w14:paraId="1E8BA9E2" w14:textId="77777777" w:rsidR="00A720EB" w:rsidRDefault="0030286B">
            <w:pPr>
              <w:pStyle w:val="TableParagraph"/>
              <w:spacing w:before="40"/>
              <w:rPr>
                <w:sz w:val="21"/>
              </w:rPr>
            </w:pPr>
            <w:r>
              <w:rPr>
                <w:color w:val="B02045"/>
                <w:sz w:val="21"/>
              </w:rPr>
              <w:t>false</w:t>
            </w:r>
          </w:p>
        </w:tc>
        <w:tc>
          <w:tcPr>
            <w:tcW w:w="4988" w:type="dxa"/>
          </w:tcPr>
          <w:p w14:paraId="6F0107F5" w14:textId="77777777" w:rsidR="00A720EB" w:rsidRDefault="0030286B">
            <w:pPr>
              <w:pStyle w:val="TableParagraph"/>
              <w:spacing w:before="31" w:line="310" w:lineRule="atLeast"/>
              <w:rPr>
                <w:rFonts w:ascii="Cambria"/>
                <w:sz w:val="21"/>
              </w:rPr>
            </w:pPr>
            <w:r>
              <w:rPr>
                <w:rFonts w:ascii="Cambria"/>
                <w:color w:val="333333"/>
                <w:w w:val="110"/>
                <w:sz w:val="21"/>
              </w:rPr>
              <w:t>Whether to automatically call baseline when migrating a non-empty schema.</w:t>
            </w:r>
          </w:p>
        </w:tc>
      </w:tr>
      <w:tr w:rsidR="00A720EB" w14:paraId="4AC6E2FF" w14:textId="77777777">
        <w:trPr>
          <w:trHeight w:val="741"/>
        </w:trPr>
        <w:tc>
          <w:tcPr>
            <w:tcW w:w="2494" w:type="dxa"/>
          </w:tcPr>
          <w:p w14:paraId="7FDD61DB" w14:textId="77777777" w:rsidR="00A720EB" w:rsidRDefault="0030286B">
            <w:pPr>
              <w:pStyle w:val="TableParagraph"/>
              <w:spacing w:before="40" w:line="264" w:lineRule="exact"/>
              <w:rPr>
                <w:sz w:val="21"/>
              </w:rPr>
            </w:pPr>
            <w:proofErr w:type="gramStart"/>
            <w:r>
              <w:rPr>
                <w:color w:val="B02045"/>
                <w:sz w:val="21"/>
              </w:rPr>
              <w:t>spring.flyway</w:t>
            </w:r>
            <w:proofErr w:type="gramEnd"/>
            <w:r>
              <w:rPr>
                <w:color w:val="B02045"/>
                <w:sz w:val="21"/>
              </w:rPr>
              <w:t>.baseline</w:t>
            </w:r>
          </w:p>
          <w:p w14:paraId="6B001B46" w14:textId="77777777" w:rsidR="00A720EB" w:rsidRDefault="0030286B">
            <w:pPr>
              <w:pStyle w:val="TableParagraph"/>
              <w:spacing w:before="0" w:line="264" w:lineRule="exact"/>
              <w:rPr>
                <w:sz w:val="21"/>
              </w:rPr>
            </w:pPr>
            <w:r>
              <w:rPr>
                <w:color w:val="B02045"/>
                <w:sz w:val="21"/>
              </w:rPr>
              <w:t>-version</w:t>
            </w:r>
          </w:p>
        </w:tc>
        <w:tc>
          <w:tcPr>
            <w:tcW w:w="2494" w:type="dxa"/>
          </w:tcPr>
          <w:p w14:paraId="7E232B10" w14:textId="77777777" w:rsidR="00A720EB" w:rsidRDefault="0030286B">
            <w:pPr>
              <w:pStyle w:val="TableParagraph"/>
              <w:spacing w:before="40"/>
              <w:rPr>
                <w:sz w:val="21"/>
              </w:rPr>
            </w:pPr>
            <w:r>
              <w:rPr>
                <w:color w:val="B02045"/>
                <w:sz w:val="21"/>
              </w:rPr>
              <w:t>1</w:t>
            </w:r>
          </w:p>
        </w:tc>
        <w:tc>
          <w:tcPr>
            <w:tcW w:w="4988" w:type="dxa"/>
          </w:tcPr>
          <w:p w14:paraId="2637EE8A" w14:textId="77777777" w:rsidR="00A720EB" w:rsidRDefault="0030286B">
            <w:pPr>
              <w:pStyle w:val="TableParagraph"/>
              <w:spacing w:before="31" w:line="310" w:lineRule="atLeast"/>
              <w:rPr>
                <w:rFonts w:ascii="Cambria"/>
                <w:sz w:val="21"/>
              </w:rPr>
            </w:pPr>
            <w:r>
              <w:rPr>
                <w:rFonts w:ascii="Cambria"/>
                <w:color w:val="333333"/>
                <w:w w:val="110"/>
                <w:sz w:val="21"/>
              </w:rPr>
              <w:t>Version to tag an existing schema with when executing baseline.</w:t>
            </w:r>
          </w:p>
        </w:tc>
      </w:tr>
      <w:tr w:rsidR="00A720EB" w14:paraId="7E69F924" w14:textId="77777777">
        <w:trPr>
          <w:trHeight w:val="1056"/>
        </w:trPr>
        <w:tc>
          <w:tcPr>
            <w:tcW w:w="2494" w:type="dxa"/>
          </w:tcPr>
          <w:p w14:paraId="4AFF39B0" w14:textId="77777777" w:rsidR="00A720EB" w:rsidRDefault="0030286B">
            <w:pPr>
              <w:pStyle w:val="TableParagraph"/>
              <w:spacing w:before="40"/>
              <w:rPr>
                <w:sz w:val="21"/>
              </w:rPr>
            </w:pPr>
            <w:proofErr w:type="gramStart"/>
            <w:r>
              <w:rPr>
                <w:color w:val="B02045"/>
                <w:sz w:val="21"/>
              </w:rPr>
              <w:t>spring.flyway</w:t>
            </w:r>
            <w:proofErr w:type="gramEnd"/>
            <w:r>
              <w:rPr>
                <w:color w:val="B02045"/>
                <w:sz w:val="21"/>
              </w:rPr>
              <w:t>.batch</w:t>
            </w:r>
          </w:p>
        </w:tc>
        <w:tc>
          <w:tcPr>
            <w:tcW w:w="2494" w:type="dxa"/>
          </w:tcPr>
          <w:p w14:paraId="3C54E1BD" w14:textId="77777777" w:rsidR="00A720EB" w:rsidRDefault="00A720EB">
            <w:pPr>
              <w:pStyle w:val="TableParagraph"/>
              <w:spacing w:before="0"/>
              <w:ind w:left="0"/>
              <w:rPr>
                <w:rFonts w:ascii="Times New Roman"/>
                <w:sz w:val="20"/>
              </w:rPr>
            </w:pPr>
          </w:p>
        </w:tc>
        <w:tc>
          <w:tcPr>
            <w:tcW w:w="4988" w:type="dxa"/>
          </w:tcPr>
          <w:p w14:paraId="1F64F078" w14:textId="77777777" w:rsidR="00A720EB" w:rsidRDefault="0030286B">
            <w:pPr>
              <w:pStyle w:val="TableParagraph"/>
              <w:spacing w:before="31" w:line="310" w:lineRule="atLeast"/>
              <w:ind w:right="117"/>
              <w:rPr>
                <w:rFonts w:ascii="Cambria"/>
                <w:sz w:val="21"/>
              </w:rPr>
            </w:pPr>
            <w:r>
              <w:rPr>
                <w:rFonts w:ascii="Cambria"/>
                <w:color w:val="333333"/>
                <w:w w:val="110"/>
                <w:sz w:val="21"/>
              </w:rPr>
              <w:t>Whether to batch SQL statements when executing them. Requires Flyway Pro or Flyway Enterprise.</w:t>
            </w:r>
          </w:p>
        </w:tc>
      </w:tr>
      <w:tr w:rsidR="00A720EB" w14:paraId="67F542BC" w14:textId="77777777">
        <w:trPr>
          <w:trHeight w:val="741"/>
        </w:trPr>
        <w:tc>
          <w:tcPr>
            <w:tcW w:w="2494" w:type="dxa"/>
          </w:tcPr>
          <w:p w14:paraId="4287DA35" w14:textId="77777777" w:rsidR="00A720EB" w:rsidRDefault="0030286B">
            <w:pPr>
              <w:pStyle w:val="TableParagraph"/>
              <w:spacing w:before="49" w:line="230" w:lineRule="auto"/>
              <w:ind w:right="304"/>
              <w:rPr>
                <w:sz w:val="21"/>
              </w:rPr>
            </w:pPr>
            <w:proofErr w:type="gramStart"/>
            <w:r>
              <w:rPr>
                <w:color w:val="B02045"/>
                <w:sz w:val="21"/>
              </w:rPr>
              <w:t>spring.flyway</w:t>
            </w:r>
            <w:proofErr w:type="gramEnd"/>
            <w:r>
              <w:rPr>
                <w:color w:val="B02045"/>
                <w:sz w:val="21"/>
              </w:rPr>
              <w:t>.check- location</w:t>
            </w:r>
          </w:p>
        </w:tc>
        <w:tc>
          <w:tcPr>
            <w:tcW w:w="2494" w:type="dxa"/>
          </w:tcPr>
          <w:p w14:paraId="70CAEE1B" w14:textId="77777777" w:rsidR="00A720EB" w:rsidRDefault="0030286B">
            <w:pPr>
              <w:pStyle w:val="TableParagraph"/>
              <w:spacing w:before="40"/>
              <w:rPr>
                <w:sz w:val="21"/>
              </w:rPr>
            </w:pPr>
            <w:r>
              <w:rPr>
                <w:color w:val="B02045"/>
                <w:sz w:val="21"/>
              </w:rPr>
              <w:t>true</w:t>
            </w:r>
          </w:p>
        </w:tc>
        <w:tc>
          <w:tcPr>
            <w:tcW w:w="4988" w:type="dxa"/>
          </w:tcPr>
          <w:p w14:paraId="341D6D42" w14:textId="77777777" w:rsidR="00A720EB" w:rsidRDefault="0030286B">
            <w:pPr>
              <w:pStyle w:val="TableParagraph"/>
              <w:spacing w:before="31" w:line="310" w:lineRule="atLeast"/>
              <w:rPr>
                <w:rFonts w:ascii="Cambria"/>
                <w:sz w:val="21"/>
              </w:rPr>
            </w:pPr>
            <w:r>
              <w:rPr>
                <w:rFonts w:ascii="Cambria"/>
                <w:color w:val="333333"/>
                <w:w w:val="110"/>
                <w:sz w:val="21"/>
              </w:rPr>
              <w:t>Whether to check that migration scripts location exists.</w:t>
            </w:r>
          </w:p>
        </w:tc>
      </w:tr>
      <w:tr w:rsidR="00A720EB" w14:paraId="1FCCCF70" w14:textId="77777777">
        <w:trPr>
          <w:trHeight w:val="627"/>
        </w:trPr>
        <w:tc>
          <w:tcPr>
            <w:tcW w:w="2494" w:type="dxa"/>
          </w:tcPr>
          <w:p w14:paraId="470E0442" w14:textId="77777777" w:rsidR="00A720EB" w:rsidRDefault="0030286B">
            <w:pPr>
              <w:pStyle w:val="TableParagraph"/>
              <w:spacing w:before="49" w:line="230" w:lineRule="auto"/>
              <w:ind w:right="304"/>
              <w:rPr>
                <w:sz w:val="21"/>
              </w:rPr>
            </w:pPr>
            <w:proofErr w:type="gramStart"/>
            <w:r>
              <w:rPr>
                <w:color w:val="B02045"/>
                <w:sz w:val="21"/>
              </w:rPr>
              <w:t>spring.flyway</w:t>
            </w:r>
            <w:proofErr w:type="gramEnd"/>
            <w:r>
              <w:rPr>
                <w:color w:val="B02045"/>
                <w:sz w:val="21"/>
              </w:rPr>
              <w:t>.clean- disabled</w:t>
            </w:r>
          </w:p>
        </w:tc>
        <w:tc>
          <w:tcPr>
            <w:tcW w:w="2494" w:type="dxa"/>
          </w:tcPr>
          <w:p w14:paraId="7FC62945" w14:textId="77777777" w:rsidR="00A720EB" w:rsidRDefault="0030286B">
            <w:pPr>
              <w:pStyle w:val="TableParagraph"/>
              <w:spacing w:before="40"/>
              <w:rPr>
                <w:sz w:val="21"/>
              </w:rPr>
            </w:pPr>
            <w:r>
              <w:rPr>
                <w:color w:val="B02045"/>
                <w:sz w:val="21"/>
              </w:rPr>
              <w:t>false</w:t>
            </w:r>
          </w:p>
        </w:tc>
        <w:tc>
          <w:tcPr>
            <w:tcW w:w="4988" w:type="dxa"/>
          </w:tcPr>
          <w:p w14:paraId="702A3F57" w14:textId="77777777" w:rsidR="00A720EB" w:rsidRDefault="0030286B">
            <w:pPr>
              <w:pStyle w:val="TableParagraph"/>
              <w:spacing w:before="94"/>
              <w:rPr>
                <w:rFonts w:ascii="Cambria"/>
                <w:sz w:val="21"/>
              </w:rPr>
            </w:pPr>
            <w:r>
              <w:rPr>
                <w:rFonts w:ascii="Cambria"/>
                <w:color w:val="333333"/>
                <w:w w:val="110"/>
                <w:sz w:val="21"/>
              </w:rPr>
              <w:t>Whether to disable cleaning of the database.</w:t>
            </w:r>
          </w:p>
        </w:tc>
      </w:tr>
      <w:tr w:rsidR="00A720EB" w14:paraId="504B7453" w14:textId="77777777">
        <w:trPr>
          <w:trHeight w:val="741"/>
        </w:trPr>
        <w:tc>
          <w:tcPr>
            <w:tcW w:w="2494" w:type="dxa"/>
          </w:tcPr>
          <w:p w14:paraId="0F3EC5A5" w14:textId="77777777" w:rsidR="00A720EB" w:rsidRDefault="0030286B">
            <w:pPr>
              <w:pStyle w:val="TableParagraph"/>
              <w:spacing w:before="49" w:line="230" w:lineRule="auto"/>
              <w:ind w:right="323"/>
              <w:rPr>
                <w:sz w:val="21"/>
              </w:rPr>
            </w:pPr>
            <w:proofErr w:type="gramStart"/>
            <w:r>
              <w:rPr>
                <w:color w:val="B02045"/>
                <w:sz w:val="21"/>
              </w:rPr>
              <w:t>spring.flyway</w:t>
            </w:r>
            <w:proofErr w:type="gramEnd"/>
            <w:r>
              <w:rPr>
                <w:color w:val="B02045"/>
                <w:sz w:val="21"/>
              </w:rPr>
              <w:t>.clean- on-validation-error</w:t>
            </w:r>
          </w:p>
        </w:tc>
        <w:tc>
          <w:tcPr>
            <w:tcW w:w="2494" w:type="dxa"/>
          </w:tcPr>
          <w:p w14:paraId="76310921" w14:textId="77777777" w:rsidR="00A720EB" w:rsidRDefault="0030286B">
            <w:pPr>
              <w:pStyle w:val="TableParagraph"/>
              <w:spacing w:before="40"/>
              <w:rPr>
                <w:sz w:val="21"/>
              </w:rPr>
            </w:pPr>
            <w:r>
              <w:rPr>
                <w:color w:val="B02045"/>
                <w:sz w:val="21"/>
              </w:rPr>
              <w:t>false</w:t>
            </w:r>
          </w:p>
        </w:tc>
        <w:tc>
          <w:tcPr>
            <w:tcW w:w="4988" w:type="dxa"/>
          </w:tcPr>
          <w:p w14:paraId="52382E0C" w14:textId="77777777" w:rsidR="00A720EB" w:rsidRDefault="0030286B">
            <w:pPr>
              <w:pStyle w:val="TableParagraph"/>
              <w:spacing w:before="31" w:line="310" w:lineRule="atLeast"/>
              <w:rPr>
                <w:rFonts w:ascii="Cambria"/>
                <w:sz w:val="21"/>
              </w:rPr>
            </w:pPr>
            <w:r>
              <w:rPr>
                <w:rFonts w:ascii="Cambria"/>
                <w:color w:val="333333"/>
                <w:w w:val="110"/>
                <w:sz w:val="21"/>
              </w:rPr>
              <w:t>Whether to automatically call clean when a validation error occurs.</w:t>
            </w:r>
          </w:p>
        </w:tc>
      </w:tr>
      <w:tr w:rsidR="00A720EB" w14:paraId="3E24DE06" w14:textId="77777777">
        <w:trPr>
          <w:trHeight w:val="741"/>
        </w:trPr>
        <w:tc>
          <w:tcPr>
            <w:tcW w:w="2494" w:type="dxa"/>
          </w:tcPr>
          <w:p w14:paraId="79BA788E" w14:textId="77777777" w:rsidR="00A720EB" w:rsidRDefault="0030286B">
            <w:pPr>
              <w:pStyle w:val="TableParagraph"/>
              <w:spacing w:before="49" w:line="230" w:lineRule="auto"/>
              <w:ind w:right="94"/>
              <w:rPr>
                <w:sz w:val="21"/>
              </w:rPr>
            </w:pPr>
            <w:proofErr w:type="gramStart"/>
            <w:r>
              <w:rPr>
                <w:color w:val="B02045"/>
                <w:sz w:val="21"/>
              </w:rPr>
              <w:t>spring.flyway</w:t>
            </w:r>
            <w:proofErr w:type="gramEnd"/>
            <w:r>
              <w:rPr>
                <w:color w:val="B02045"/>
                <w:sz w:val="21"/>
              </w:rPr>
              <w:t>.connect- retries</w:t>
            </w:r>
          </w:p>
        </w:tc>
        <w:tc>
          <w:tcPr>
            <w:tcW w:w="2494" w:type="dxa"/>
          </w:tcPr>
          <w:p w14:paraId="01AFC8B7" w14:textId="77777777" w:rsidR="00A720EB" w:rsidRDefault="0030286B">
            <w:pPr>
              <w:pStyle w:val="TableParagraph"/>
              <w:spacing w:before="40"/>
              <w:rPr>
                <w:sz w:val="21"/>
              </w:rPr>
            </w:pPr>
            <w:r>
              <w:rPr>
                <w:color w:val="B02045"/>
                <w:sz w:val="21"/>
              </w:rPr>
              <w:t>0.0</w:t>
            </w:r>
          </w:p>
        </w:tc>
        <w:tc>
          <w:tcPr>
            <w:tcW w:w="4988" w:type="dxa"/>
          </w:tcPr>
          <w:p w14:paraId="4FB3C1F6" w14:textId="77777777" w:rsidR="00A720EB" w:rsidRDefault="0030286B">
            <w:pPr>
              <w:pStyle w:val="TableParagraph"/>
              <w:spacing w:before="31" w:line="310" w:lineRule="atLeast"/>
              <w:rPr>
                <w:rFonts w:ascii="Cambria"/>
                <w:sz w:val="21"/>
              </w:rPr>
            </w:pPr>
            <w:r>
              <w:rPr>
                <w:rFonts w:ascii="Cambria"/>
                <w:color w:val="333333"/>
                <w:w w:val="110"/>
                <w:sz w:val="21"/>
              </w:rPr>
              <w:t>Maximum number of retries when attempting to connect to the database.</w:t>
            </w:r>
          </w:p>
        </w:tc>
      </w:tr>
      <w:tr w:rsidR="00A720EB" w14:paraId="1FB9448F" w14:textId="77777777">
        <w:trPr>
          <w:trHeight w:val="741"/>
        </w:trPr>
        <w:tc>
          <w:tcPr>
            <w:tcW w:w="2494" w:type="dxa"/>
          </w:tcPr>
          <w:p w14:paraId="27666CFD" w14:textId="77777777" w:rsidR="00A720EB" w:rsidRDefault="0030286B">
            <w:pPr>
              <w:pStyle w:val="TableParagraph"/>
              <w:spacing w:before="49" w:line="230" w:lineRule="auto"/>
              <w:ind w:right="94"/>
              <w:rPr>
                <w:sz w:val="21"/>
              </w:rPr>
            </w:pPr>
            <w:proofErr w:type="gramStart"/>
            <w:r>
              <w:rPr>
                <w:color w:val="B02045"/>
                <w:sz w:val="21"/>
              </w:rPr>
              <w:t>spring.flyway</w:t>
            </w:r>
            <w:proofErr w:type="gramEnd"/>
            <w:r>
              <w:rPr>
                <w:color w:val="B02045"/>
                <w:sz w:val="21"/>
              </w:rPr>
              <w:t>.default- schema</w:t>
            </w:r>
          </w:p>
        </w:tc>
        <w:tc>
          <w:tcPr>
            <w:tcW w:w="2494" w:type="dxa"/>
          </w:tcPr>
          <w:p w14:paraId="1F6FF377" w14:textId="77777777" w:rsidR="00A720EB" w:rsidRDefault="00A720EB">
            <w:pPr>
              <w:pStyle w:val="TableParagraph"/>
              <w:spacing w:before="0"/>
              <w:ind w:left="0"/>
              <w:rPr>
                <w:rFonts w:ascii="Times New Roman"/>
                <w:sz w:val="20"/>
              </w:rPr>
            </w:pPr>
          </w:p>
        </w:tc>
        <w:tc>
          <w:tcPr>
            <w:tcW w:w="4988" w:type="dxa"/>
          </w:tcPr>
          <w:p w14:paraId="24DBCFA2" w14:textId="77777777" w:rsidR="00A720EB" w:rsidRDefault="0030286B">
            <w:pPr>
              <w:pStyle w:val="TableParagraph"/>
              <w:spacing w:before="31" w:line="310" w:lineRule="atLeast"/>
              <w:rPr>
                <w:rFonts w:ascii="Cambria"/>
                <w:sz w:val="21"/>
              </w:rPr>
            </w:pPr>
            <w:r>
              <w:rPr>
                <w:rFonts w:ascii="Cambria"/>
                <w:color w:val="333333"/>
                <w:w w:val="110"/>
                <w:sz w:val="21"/>
              </w:rPr>
              <w:t>Default schema name managed by Flyway (case- sensitive).</w:t>
            </w:r>
          </w:p>
        </w:tc>
      </w:tr>
    </w:tbl>
    <w:p w14:paraId="2187D919"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8076096" w14:textId="77777777">
        <w:trPr>
          <w:trHeight w:val="415"/>
        </w:trPr>
        <w:tc>
          <w:tcPr>
            <w:tcW w:w="2494" w:type="dxa"/>
            <w:tcBorders>
              <w:bottom w:val="single" w:sz="12" w:space="0" w:color="DDDDDD"/>
            </w:tcBorders>
          </w:tcPr>
          <w:p w14:paraId="73A061EE"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AD9DD19"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303E8D1"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7A64F40" w14:textId="77777777">
        <w:trPr>
          <w:trHeight w:val="415"/>
        </w:trPr>
        <w:tc>
          <w:tcPr>
            <w:tcW w:w="2494" w:type="dxa"/>
            <w:tcBorders>
              <w:top w:val="single" w:sz="12" w:space="0" w:color="DDDDDD"/>
            </w:tcBorders>
          </w:tcPr>
          <w:p w14:paraId="1E1118FC" w14:textId="77777777" w:rsidR="00A720EB" w:rsidRDefault="0030286B">
            <w:pPr>
              <w:pStyle w:val="TableParagraph"/>
              <w:spacing w:before="27"/>
              <w:rPr>
                <w:sz w:val="21"/>
              </w:rPr>
            </w:pPr>
            <w:proofErr w:type="gramStart"/>
            <w:r>
              <w:rPr>
                <w:color w:val="B02045"/>
                <w:sz w:val="21"/>
              </w:rPr>
              <w:t>spring.flyway</w:t>
            </w:r>
            <w:proofErr w:type="gramEnd"/>
            <w:r>
              <w:rPr>
                <w:color w:val="B02045"/>
                <w:sz w:val="21"/>
              </w:rPr>
              <w:t>.enabled</w:t>
            </w:r>
          </w:p>
        </w:tc>
        <w:tc>
          <w:tcPr>
            <w:tcW w:w="2494" w:type="dxa"/>
            <w:tcBorders>
              <w:top w:val="single" w:sz="12" w:space="0" w:color="DDDDDD"/>
            </w:tcBorders>
          </w:tcPr>
          <w:p w14:paraId="10F841C2"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1EFF6A86" w14:textId="77777777" w:rsidR="00A720EB" w:rsidRDefault="0030286B">
            <w:pPr>
              <w:pStyle w:val="TableParagraph"/>
              <w:spacing w:before="82"/>
              <w:rPr>
                <w:rFonts w:ascii="Cambria"/>
                <w:sz w:val="21"/>
              </w:rPr>
            </w:pPr>
            <w:r>
              <w:rPr>
                <w:rFonts w:ascii="Cambria"/>
                <w:color w:val="333333"/>
                <w:w w:val="110"/>
                <w:sz w:val="21"/>
              </w:rPr>
              <w:t>Whether to enable flyway.</w:t>
            </w:r>
          </w:p>
        </w:tc>
      </w:tr>
      <w:tr w:rsidR="00A720EB" w14:paraId="62A62672" w14:textId="77777777">
        <w:trPr>
          <w:trHeight w:val="425"/>
        </w:trPr>
        <w:tc>
          <w:tcPr>
            <w:tcW w:w="2494" w:type="dxa"/>
          </w:tcPr>
          <w:p w14:paraId="523B2968" w14:textId="77777777" w:rsidR="00A720EB" w:rsidRDefault="0030286B">
            <w:pPr>
              <w:pStyle w:val="TableParagraph"/>
              <w:rPr>
                <w:sz w:val="21"/>
              </w:rPr>
            </w:pPr>
            <w:proofErr w:type="gramStart"/>
            <w:r>
              <w:rPr>
                <w:color w:val="B02045"/>
                <w:sz w:val="21"/>
              </w:rPr>
              <w:t>spring.flyway</w:t>
            </w:r>
            <w:proofErr w:type="gramEnd"/>
            <w:r>
              <w:rPr>
                <w:color w:val="B02045"/>
                <w:sz w:val="21"/>
              </w:rPr>
              <w:t>.encoding</w:t>
            </w:r>
          </w:p>
        </w:tc>
        <w:tc>
          <w:tcPr>
            <w:tcW w:w="2494" w:type="dxa"/>
          </w:tcPr>
          <w:p w14:paraId="42B06ED8" w14:textId="77777777" w:rsidR="00A720EB" w:rsidRDefault="0030286B">
            <w:pPr>
              <w:pStyle w:val="TableParagraph"/>
              <w:rPr>
                <w:sz w:val="21"/>
              </w:rPr>
            </w:pPr>
            <w:r>
              <w:rPr>
                <w:color w:val="B02045"/>
                <w:sz w:val="21"/>
              </w:rPr>
              <w:t>UTF-8</w:t>
            </w:r>
          </w:p>
        </w:tc>
        <w:tc>
          <w:tcPr>
            <w:tcW w:w="4988" w:type="dxa"/>
          </w:tcPr>
          <w:p w14:paraId="05993C2C" w14:textId="77777777" w:rsidR="00A720EB" w:rsidRDefault="0030286B">
            <w:pPr>
              <w:pStyle w:val="TableParagraph"/>
              <w:spacing w:before="92"/>
              <w:rPr>
                <w:rFonts w:ascii="Cambria"/>
                <w:sz w:val="21"/>
              </w:rPr>
            </w:pPr>
            <w:r>
              <w:rPr>
                <w:rFonts w:ascii="Cambria"/>
                <w:color w:val="333333"/>
                <w:w w:val="115"/>
                <w:sz w:val="21"/>
              </w:rPr>
              <w:t>Encoding of SQL migrations.</w:t>
            </w:r>
          </w:p>
        </w:tc>
      </w:tr>
      <w:tr w:rsidR="00A720EB" w14:paraId="64C631D5" w14:textId="77777777">
        <w:trPr>
          <w:trHeight w:val="1056"/>
        </w:trPr>
        <w:tc>
          <w:tcPr>
            <w:tcW w:w="2494" w:type="dxa"/>
          </w:tcPr>
          <w:p w14:paraId="1B1DC1AD" w14:textId="77777777" w:rsidR="00A720EB" w:rsidRDefault="0030286B">
            <w:pPr>
              <w:pStyle w:val="TableParagraph"/>
              <w:spacing w:before="46" w:line="230" w:lineRule="auto"/>
              <w:ind w:right="304"/>
              <w:rPr>
                <w:sz w:val="21"/>
              </w:rPr>
            </w:pPr>
            <w:proofErr w:type="gramStart"/>
            <w:r>
              <w:rPr>
                <w:color w:val="B02045"/>
                <w:sz w:val="21"/>
              </w:rPr>
              <w:t>spring.flyway</w:t>
            </w:r>
            <w:proofErr w:type="gramEnd"/>
            <w:r>
              <w:rPr>
                <w:color w:val="B02045"/>
                <w:sz w:val="21"/>
              </w:rPr>
              <w:t>.error- overrides</w:t>
            </w:r>
          </w:p>
        </w:tc>
        <w:tc>
          <w:tcPr>
            <w:tcW w:w="2494" w:type="dxa"/>
          </w:tcPr>
          <w:p w14:paraId="5F9BD0A7" w14:textId="77777777" w:rsidR="00A720EB" w:rsidRDefault="00A720EB">
            <w:pPr>
              <w:pStyle w:val="TableParagraph"/>
              <w:spacing w:before="0"/>
              <w:ind w:left="0"/>
              <w:rPr>
                <w:rFonts w:ascii="Times New Roman"/>
                <w:sz w:val="20"/>
              </w:rPr>
            </w:pPr>
          </w:p>
        </w:tc>
        <w:tc>
          <w:tcPr>
            <w:tcW w:w="4988" w:type="dxa"/>
          </w:tcPr>
          <w:p w14:paraId="77A08974" w14:textId="77777777" w:rsidR="00A720EB" w:rsidRDefault="0030286B">
            <w:pPr>
              <w:pStyle w:val="TableParagraph"/>
              <w:spacing w:before="28" w:line="310" w:lineRule="atLeast"/>
              <w:rPr>
                <w:rFonts w:ascii="Cambria"/>
                <w:sz w:val="21"/>
              </w:rPr>
            </w:pPr>
            <w:r>
              <w:rPr>
                <w:rFonts w:ascii="Cambria"/>
                <w:color w:val="333333"/>
                <w:w w:val="110"/>
                <w:sz w:val="21"/>
              </w:rPr>
              <w:t>Rules for the built-in error handling to override specific SQL states and error codes. Requires Flyway Pro or Flyway Enterprise.</w:t>
            </w:r>
          </w:p>
        </w:tc>
      </w:tr>
      <w:tr w:rsidR="00A720EB" w14:paraId="1A30ED68" w14:textId="77777777">
        <w:trPr>
          <w:trHeight w:val="1056"/>
        </w:trPr>
        <w:tc>
          <w:tcPr>
            <w:tcW w:w="2494" w:type="dxa"/>
          </w:tcPr>
          <w:p w14:paraId="22729A9D" w14:textId="77777777" w:rsidR="00A720EB" w:rsidRDefault="0030286B">
            <w:pPr>
              <w:pStyle w:val="TableParagraph"/>
              <w:rPr>
                <w:sz w:val="21"/>
              </w:rPr>
            </w:pPr>
            <w:proofErr w:type="gramStart"/>
            <w:r>
              <w:rPr>
                <w:color w:val="B02045"/>
                <w:sz w:val="21"/>
              </w:rPr>
              <w:t>spring.flyway</w:t>
            </w:r>
            <w:proofErr w:type="gramEnd"/>
            <w:r>
              <w:rPr>
                <w:color w:val="B02045"/>
                <w:sz w:val="21"/>
              </w:rPr>
              <w:t>.group</w:t>
            </w:r>
          </w:p>
        </w:tc>
        <w:tc>
          <w:tcPr>
            <w:tcW w:w="2494" w:type="dxa"/>
          </w:tcPr>
          <w:p w14:paraId="21A23189" w14:textId="77777777" w:rsidR="00A720EB" w:rsidRDefault="0030286B">
            <w:pPr>
              <w:pStyle w:val="TableParagraph"/>
              <w:rPr>
                <w:sz w:val="21"/>
              </w:rPr>
            </w:pPr>
            <w:r>
              <w:rPr>
                <w:color w:val="B02045"/>
                <w:sz w:val="21"/>
              </w:rPr>
              <w:t>false</w:t>
            </w:r>
          </w:p>
        </w:tc>
        <w:tc>
          <w:tcPr>
            <w:tcW w:w="4988" w:type="dxa"/>
          </w:tcPr>
          <w:p w14:paraId="66530698" w14:textId="77777777" w:rsidR="00A720EB" w:rsidRDefault="0030286B">
            <w:pPr>
              <w:pStyle w:val="TableParagraph"/>
              <w:spacing w:before="28" w:line="310" w:lineRule="atLeast"/>
              <w:ind w:right="73"/>
              <w:rPr>
                <w:rFonts w:ascii="Cambria"/>
                <w:sz w:val="21"/>
              </w:rPr>
            </w:pPr>
            <w:r>
              <w:rPr>
                <w:rFonts w:ascii="Cambria"/>
                <w:color w:val="333333"/>
                <w:w w:val="110"/>
                <w:sz w:val="21"/>
              </w:rPr>
              <w:t>Whether to group all pending migrations together in the same transaction when applying them.</w:t>
            </w:r>
          </w:p>
        </w:tc>
      </w:tr>
      <w:tr w:rsidR="00A720EB" w14:paraId="73511B62" w14:textId="77777777">
        <w:trPr>
          <w:trHeight w:val="741"/>
        </w:trPr>
        <w:tc>
          <w:tcPr>
            <w:tcW w:w="2494" w:type="dxa"/>
          </w:tcPr>
          <w:p w14:paraId="62106FBE" w14:textId="77777777" w:rsidR="00A720EB" w:rsidRDefault="0030286B">
            <w:pPr>
              <w:pStyle w:val="TableParagraph"/>
              <w:spacing w:before="46" w:line="230" w:lineRule="auto"/>
              <w:ind w:right="218"/>
              <w:rPr>
                <w:sz w:val="21"/>
              </w:rPr>
            </w:pPr>
            <w:proofErr w:type="gramStart"/>
            <w:r>
              <w:rPr>
                <w:color w:val="B02045"/>
                <w:sz w:val="21"/>
              </w:rPr>
              <w:t>spring.flyway</w:t>
            </w:r>
            <w:proofErr w:type="gramEnd"/>
            <w:r>
              <w:rPr>
                <w:color w:val="B02045"/>
                <w:sz w:val="21"/>
              </w:rPr>
              <w:t>.ignore- future-migrations</w:t>
            </w:r>
          </w:p>
        </w:tc>
        <w:tc>
          <w:tcPr>
            <w:tcW w:w="2494" w:type="dxa"/>
          </w:tcPr>
          <w:p w14:paraId="2B9BB85F" w14:textId="77777777" w:rsidR="00A720EB" w:rsidRDefault="0030286B">
            <w:pPr>
              <w:pStyle w:val="TableParagraph"/>
              <w:spacing w:before="37"/>
              <w:rPr>
                <w:sz w:val="21"/>
              </w:rPr>
            </w:pPr>
            <w:r>
              <w:rPr>
                <w:color w:val="B02045"/>
                <w:sz w:val="21"/>
              </w:rPr>
              <w:t>true</w:t>
            </w:r>
          </w:p>
        </w:tc>
        <w:tc>
          <w:tcPr>
            <w:tcW w:w="4988" w:type="dxa"/>
          </w:tcPr>
          <w:p w14:paraId="0FFCE104" w14:textId="77777777" w:rsidR="00A720EB" w:rsidRDefault="0030286B">
            <w:pPr>
              <w:pStyle w:val="TableParagraph"/>
              <w:spacing w:before="28" w:line="310" w:lineRule="atLeast"/>
              <w:rPr>
                <w:rFonts w:ascii="Cambria"/>
                <w:sz w:val="21"/>
              </w:rPr>
            </w:pPr>
            <w:r>
              <w:rPr>
                <w:rFonts w:ascii="Cambria"/>
                <w:color w:val="333333"/>
                <w:w w:val="110"/>
                <w:sz w:val="21"/>
              </w:rPr>
              <w:t>Whether to ignore future migrations when reading the schema history table.</w:t>
            </w:r>
          </w:p>
        </w:tc>
      </w:tr>
      <w:tr w:rsidR="00A720EB" w14:paraId="5BE69ADE" w14:textId="77777777">
        <w:trPr>
          <w:trHeight w:val="741"/>
        </w:trPr>
        <w:tc>
          <w:tcPr>
            <w:tcW w:w="2494" w:type="dxa"/>
          </w:tcPr>
          <w:p w14:paraId="09948301" w14:textId="77777777" w:rsidR="00A720EB" w:rsidRDefault="0030286B">
            <w:pPr>
              <w:pStyle w:val="TableParagraph"/>
              <w:spacing w:before="46" w:line="230" w:lineRule="auto"/>
              <w:ind w:right="218"/>
              <w:rPr>
                <w:sz w:val="21"/>
              </w:rPr>
            </w:pPr>
            <w:proofErr w:type="gramStart"/>
            <w:r>
              <w:rPr>
                <w:color w:val="B02045"/>
                <w:sz w:val="21"/>
              </w:rPr>
              <w:t>spring.flyway</w:t>
            </w:r>
            <w:proofErr w:type="gramEnd"/>
            <w:r>
              <w:rPr>
                <w:color w:val="B02045"/>
                <w:sz w:val="21"/>
              </w:rPr>
              <w:t>.ignore- ignored-migrations</w:t>
            </w:r>
          </w:p>
        </w:tc>
        <w:tc>
          <w:tcPr>
            <w:tcW w:w="2494" w:type="dxa"/>
          </w:tcPr>
          <w:p w14:paraId="21726F58" w14:textId="77777777" w:rsidR="00A720EB" w:rsidRDefault="0030286B">
            <w:pPr>
              <w:pStyle w:val="TableParagraph"/>
              <w:spacing w:before="37"/>
              <w:rPr>
                <w:sz w:val="21"/>
              </w:rPr>
            </w:pPr>
            <w:r>
              <w:rPr>
                <w:color w:val="B02045"/>
                <w:sz w:val="21"/>
              </w:rPr>
              <w:t>false</w:t>
            </w:r>
          </w:p>
        </w:tc>
        <w:tc>
          <w:tcPr>
            <w:tcW w:w="4988" w:type="dxa"/>
          </w:tcPr>
          <w:p w14:paraId="3E263C5D" w14:textId="77777777" w:rsidR="00A720EB" w:rsidRDefault="0030286B">
            <w:pPr>
              <w:pStyle w:val="TableParagraph"/>
              <w:spacing w:before="28" w:line="310" w:lineRule="atLeast"/>
              <w:rPr>
                <w:rFonts w:ascii="Cambria"/>
                <w:sz w:val="21"/>
              </w:rPr>
            </w:pPr>
            <w:r>
              <w:rPr>
                <w:rFonts w:ascii="Cambria"/>
                <w:color w:val="333333"/>
                <w:w w:val="110"/>
                <w:sz w:val="21"/>
              </w:rPr>
              <w:t>Whether to ignore ignored migrations when reading the schema history table.</w:t>
            </w:r>
          </w:p>
        </w:tc>
      </w:tr>
      <w:tr w:rsidR="00A720EB" w14:paraId="41C2BA27" w14:textId="77777777">
        <w:trPr>
          <w:trHeight w:val="741"/>
        </w:trPr>
        <w:tc>
          <w:tcPr>
            <w:tcW w:w="2494" w:type="dxa"/>
          </w:tcPr>
          <w:p w14:paraId="38D023BF" w14:textId="77777777" w:rsidR="00A720EB" w:rsidRDefault="0030286B">
            <w:pPr>
              <w:pStyle w:val="TableParagraph"/>
              <w:spacing w:before="46" w:line="230" w:lineRule="auto"/>
              <w:ind w:right="218"/>
              <w:rPr>
                <w:sz w:val="21"/>
              </w:rPr>
            </w:pPr>
            <w:proofErr w:type="gramStart"/>
            <w:r>
              <w:rPr>
                <w:color w:val="B02045"/>
                <w:sz w:val="21"/>
              </w:rPr>
              <w:t>spring.flyway</w:t>
            </w:r>
            <w:proofErr w:type="gramEnd"/>
            <w:r>
              <w:rPr>
                <w:color w:val="B02045"/>
                <w:sz w:val="21"/>
              </w:rPr>
              <w:t>.ignore- missing-migrations</w:t>
            </w:r>
          </w:p>
        </w:tc>
        <w:tc>
          <w:tcPr>
            <w:tcW w:w="2494" w:type="dxa"/>
          </w:tcPr>
          <w:p w14:paraId="23F81BD9" w14:textId="77777777" w:rsidR="00A720EB" w:rsidRDefault="0030286B">
            <w:pPr>
              <w:pStyle w:val="TableParagraph"/>
              <w:rPr>
                <w:sz w:val="21"/>
              </w:rPr>
            </w:pPr>
            <w:r>
              <w:rPr>
                <w:color w:val="B02045"/>
                <w:sz w:val="21"/>
              </w:rPr>
              <w:t>false</w:t>
            </w:r>
          </w:p>
        </w:tc>
        <w:tc>
          <w:tcPr>
            <w:tcW w:w="4988" w:type="dxa"/>
          </w:tcPr>
          <w:p w14:paraId="005115EC" w14:textId="77777777" w:rsidR="00A720EB" w:rsidRDefault="0030286B">
            <w:pPr>
              <w:pStyle w:val="TableParagraph"/>
              <w:spacing w:before="28" w:line="310" w:lineRule="atLeast"/>
              <w:rPr>
                <w:rFonts w:ascii="Cambria"/>
                <w:sz w:val="21"/>
              </w:rPr>
            </w:pPr>
            <w:r>
              <w:rPr>
                <w:rFonts w:ascii="Cambria"/>
                <w:color w:val="333333"/>
                <w:w w:val="110"/>
                <w:sz w:val="21"/>
              </w:rPr>
              <w:t>Whether to ignore missing migrations when reading the schema history table.</w:t>
            </w:r>
          </w:p>
        </w:tc>
      </w:tr>
      <w:tr w:rsidR="00A720EB" w14:paraId="0B241EE8" w14:textId="77777777">
        <w:trPr>
          <w:trHeight w:val="741"/>
        </w:trPr>
        <w:tc>
          <w:tcPr>
            <w:tcW w:w="2494" w:type="dxa"/>
          </w:tcPr>
          <w:p w14:paraId="666C4594" w14:textId="77777777" w:rsidR="00A720EB" w:rsidRDefault="0030286B">
            <w:pPr>
              <w:pStyle w:val="TableParagraph"/>
              <w:spacing w:before="46" w:line="230" w:lineRule="auto"/>
              <w:ind w:right="218"/>
              <w:rPr>
                <w:sz w:val="21"/>
              </w:rPr>
            </w:pPr>
            <w:proofErr w:type="gramStart"/>
            <w:r>
              <w:rPr>
                <w:color w:val="B02045"/>
                <w:sz w:val="21"/>
              </w:rPr>
              <w:t>spring.flyway</w:t>
            </w:r>
            <w:proofErr w:type="gramEnd"/>
            <w:r>
              <w:rPr>
                <w:color w:val="B02045"/>
                <w:sz w:val="21"/>
              </w:rPr>
              <w:t>.ignore- pending-migrations</w:t>
            </w:r>
          </w:p>
        </w:tc>
        <w:tc>
          <w:tcPr>
            <w:tcW w:w="2494" w:type="dxa"/>
          </w:tcPr>
          <w:p w14:paraId="62B63E11" w14:textId="77777777" w:rsidR="00A720EB" w:rsidRDefault="0030286B">
            <w:pPr>
              <w:pStyle w:val="TableParagraph"/>
              <w:spacing w:before="37"/>
              <w:rPr>
                <w:sz w:val="21"/>
              </w:rPr>
            </w:pPr>
            <w:r>
              <w:rPr>
                <w:color w:val="B02045"/>
                <w:sz w:val="21"/>
              </w:rPr>
              <w:t>false</w:t>
            </w:r>
          </w:p>
        </w:tc>
        <w:tc>
          <w:tcPr>
            <w:tcW w:w="4988" w:type="dxa"/>
          </w:tcPr>
          <w:p w14:paraId="04780352" w14:textId="77777777" w:rsidR="00A720EB" w:rsidRDefault="0030286B">
            <w:pPr>
              <w:pStyle w:val="TableParagraph"/>
              <w:spacing w:before="28" w:line="310" w:lineRule="atLeast"/>
              <w:rPr>
                <w:rFonts w:ascii="Cambria"/>
                <w:sz w:val="21"/>
              </w:rPr>
            </w:pPr>
            <w:r>
              <w:rPr>
                <w:rFonts w:ascii="Cambria"/>
                <w:color w:val="333333"/>
                <w:w w:val="110"/>
                <w:sz w:val="21"/>
              </w:rPr>
              <w:t>Whether to ignore pending migrations when reading the schema history table.</w:t>
            </w:r>
          </w:p>
        </w:tc>
      </w:tr>
      <w:tr w:rsidR="00A720EB" w14:paraId="74A7AC9C" w14:textId="77777777">
        <w:trPr>
          <w:trHeight w:val="741"/>
        </w:trPr>
        <w:tc>
          <w:tcPr>
            <w:tcW w:w="2494" w:type="dxa"/>
          </w:tcPr>
          <w:p w14:paraId="03C27404" w14:textId="77777777" w:rsidR="00A720EB" w:rsidRDefault="0030286B">
            <w:pPr>
              <w:pStyle w:val="TableParagraph"/>
              <w:spacing w:before="46" w:line="230" w:lineRule="auto"/>
              <w:ind w:right="409"/>
              <w:rPr>
                <w:sz w:val="21"/>
              </w:rPr>
            </w:pPr>
            <w:proofErr w:type="gramStart"/>
            <w:r>
              <w:rPr>
                <w:color w:val="B02045"/>
                <w:sz w:val="21"/>
              </w:rPr>
              <w:t>spring.flyway</w:t>
            </w:r>
            <w:proofErr w:type="gramEnd"/>
            <w:r>
              <w:rPr>
                <w:color w:val="B02045"/>
                <w:sz w:val="21"/>
              </w:rPr>
              <w:t>.init- sqls</w:t>
            </w:r>
          </w:p>
        </w:tc>
        <w:tc>
          <w:tcPr>
            <w:tcW w:w="2494" w:type="dxa"/>
          </w:tcPr>
          <w:p w14:paraId="55E966BD" w14:textId="77777777" w:rsidR="00A720EB" w:rsidRDefault="00A720EB">
            <w:pPr>
              <w:pStyle w:val="TableParagraph"/>
              <w:spacing w:before="0"/>
              <w:ind w:left="0"/>
              <w:rPr>
                <w:rFonts w:ascii="Times New Roman"/>
                <w:sz w:val="20"/>
              </w:rPr>
            </w:pPr>
          </w:p>
        </w:tc>
        <w:tc>
          <w:tcPr>
            <w:tcW w:w="4988" w:type="dxa"/>
          </w:tcPr>
          <w:p w14:paraId="76173DB8" w14:textId="77777777" w:rsidR="00A720EB" w:rsidRDefault="0030286B">
            <w:pPr>
              <w:pStyle w:val="TableParagraph"/>
              <w:spacing w:before="28" w:line="310" w:lineRule="atLeast"/>
              <w:rPr>
                <w:rFonts w:ascii="Cambria"/>
                <w:sz w:val="21"/>
              </w:rPr>
            </w:pPr>
            <w:r>
              <w:rPr>
                <w:rFonts w:ascii="Cambria"/>
                <w:color w:val="333333"/>
                <w:w w:val="110"/>
                <w:sz w:val="21"/>
              </w:rPr>
              <w:t>SQL statements to execute to initialize a connection immediately after obtaining it.</w:t>
            </w:r>
          </w:p>
        </w:tc>
      </w:tr>
      <w:tr w:rsidR="00A720EB" w14:paraId="1D931494" w14:textId="77777777">
        <w:trPr>
          <w:trHeight w:val="741"/>
        </w:trPr>
        <w:tc>
          <w:tcPr>
            <w:tcW w:w="2494" w:type="dxa"/>
          </w:tcPr>
          <w:p w14:paraId="5F95C4BF" w14:textId="77777777" w:rsidR="00A720EB" w:rsidRDefault="0030286B">
            <w:pPr>
              <w:pStyle w:val="TableParagraph"/>
              <w:spacing w:before="46" w:line="230" w:lineRule="auto"/>
              <w:ind w:right="113"/>
              <w:rPr>
                <w:sz w:val="21"/>
              </w:rPr>
            </w:pPr>
            <w:proofErr w:type="gramStart"/>
            <w:r>
              <w:rPr>
                <w:color w:val="B02045"/>
                <w:sz w:val="21"/>
              </w:rPr>
              <w:t>spring.flyway</w:t>
            </w:r>
            <w:proofErr w:type="gramEnd"/>
            <w:r>
              <w:rPr>
                <w:color w:val="B02045"/>
                <w:sz w:val="21"/>
              </w:rPr>
              <w:t>.installe d-by</w:t>
            </w:r>
          </w:p>
        </w:tc>
        <w:tc>
          <w:tcPr>
            <w:tcW w:w="2494" w:type="dxa"/>
          </w:tcPr>
          <w:p w14:paraId="0FA9B8C5" w14:textId="77777777" w:rsidR="00A720EB" w:rsidRDefault="00A720EB">
            <w:pPr>
              <w:pStyle w:val="TableParagraph"/>
              <w:spacing w:before="0"/>
              <w:ind w:left="0"/>
              <w:rPr>
                <w:rFonts w:ascii="Times New Roman"/>
                <w:sz w:val="20"/>
              </w:rPr>
            </w:pPr>
          </w:p>
        </w:tc>
        <w:tc>
          <w:tcPr>
            <w:tcW w:w="4988" w:type="dxa"/>
          </w:tcPr>
          <w:p w14:paraId="7D2207D3" w14:textId="77777777" w:rsidR="00A720EB" w:rsidRDefault="0030286B">
            <w:pPr>
              <w:pStyle w:val="TableParagraph"/>
              <w:spacing w:before="28" w:line="310" w:lineRule="atLeast"/>
              <w:ind w:right="73"/>
              <w:rPr>
                <w:rFonts w:ascii="Cambria"/>
                <w:sz w:val="21"/>
              </w:rPr>
            </w:pPr>
            <w:r>
              <w:rPr>
                <w:rFonts w:ascii="Cambria"/>
                <w:color w:val="333333"/>
                <w:w w:val="110"/>
                <w:sz w:val="21"/>
              </w:rPr>
              <w:t>Username recorded in the schema history table as having applied the migration.</w:t>
            </w:r>
          </w:p>
        </w:tc>
      </w:tr>
      <w:tr w:rsidR="00A720EB" w14:paraId="550DFAE6" w14:textId="77777777">
        <w:trPr>
          <w:trHeight w:val="741"/>
        </w:trPr>
        <w:tc>
          <w:tcPr>
            <w:tcW w:w="2494" w:type="dxa"/>
          </w:tcPr>
          <w:p w14:paraId="2E892D09" w14:textId="77777777" w:rsidR="00A720EB" w:rsidRDefault="0030286B">
            <w:pPr>
              <w:pStyle w:val="TableParagraph"/>
              <w:spacing w:before="46" w:line="230" w:lineRule="auto"/>
              <w:ind w:right="94"/>
              <w:rPr>
                <w:sz w:val="21"/>
              </w:rPr>
            </w:pPr>
            <w:proofErr w:type="gramStart"/>
            <w:r>
              <w:rPr>
                <w:color w:val="B02045"/>
                <w:sz w:val="21"/>
              </w:rPr>
              <w:t>spring.flyway</w:t>
            </w:r>
            <w:proofErr w:type="gramEnd"/>
            <w:r>
              <w:rPr>
                <w:color w:val="B02045"/>
                <w:sz w:val="21"/>
              </w:rPr>
              <w:t>.license- key</w:t>
            </w:r>
          </w:p>
        </w:tc>
        <w:tc>
          <w:tcPr>
            <w:tcW w:w="2494" w:type="dxa"/>
          </w:tcPr>
          <w:p w14:paraId="5F917FBE" w14:textId="77777777" w:rsidR="00A720EB" w:rsidRDefault="00A720EB">
            <w:pPr>
              <w:pStyle w:val="TableParagraph"/>
              <w:spacing w:before="0"/>
              <w:ind w:left="0"/>
              <w:rPr>
                <w:rFonts w:ascii="Times New Roman"/>
                <w:sz w:val="20"/>
              </w:rPr>
            </w:pPr>
          </w:p>
        </w:tc>
        <w:tc>
          <w:tcPr>
            <w:tcW w:w="4988" w:type="dxa"/>
          </w:tcPr>
          <w:p w14:paraId="6BDE952E" w14:textId="77777777" w:rsidR="00A720EB" w:rsidRDefault="0030286B">
            <w:pPr>
              <w:pStyle w:val="TableParagraph"/>
              <w:spacing w:before="28" w:line="310" w:lineRule="atLeast"/>
              <w:ind w:right="372"/>
              <w:rPr>
                <w:rFonts w:ascii="Cambria"/>
                <w:sz w:val="21"/>
              </w:rPr>
            </w:pPr>
            <w:r>
              <w:rPr>
                <w:rFonts w:ascii="Cambria"/>
                <w:color w:val="333333"/>
                <w:w w:val="110"/>
                <w:sz w:val="21"/>
              </w:rPr>
              <w:t>Licence key for Flyway Pro or Flyway Enterprise.</w:t>
            </w:r>
          </w:p>
        </w:tc>
      </w:tr>
      <w:tr w:rsidR="00A720EB" w14:paraId="090C9D80" w14:textId="77777777">
        <w:trPr>
          <w:trHeight w:val="1056"/>
        </w:trPr>
        <w:tc>
          <w:tcPr>
            <w:tcW w:w="2494" w:type="dxa"/>
          </w:tcPr>
          <w:p w14:paraId="145F26B2" w14:textId="77777777" w:rsidR="00A720EB" w:rsidRDefault="0030286B">
            <w:pPr>
              <w:pStyle w:val="TableParagraph"/>
              <w:spacing w:before="46" w:line="230" w:lineRule="auto"/>
              <w:ind w:right="94"/>
              <w:rPr>
                <w:sz w:val="21"/>
              </w:rPr>
            </w:pPr>
            <w:proofErr w:type="gramStart"/>
            <w:r>
              <w:rPr>
                <w:color w:val="B02045"/>
                <w:sz w:val="21"/>
              </w:rPr>
              <w:t>spring.flyway</w:t>
            </w:r>
            <w:proofErr w:type="gramEnd"/>
            <w:r>
              <w:rPr>
                <w:color w:val="B02045"/>
                <w:sz w:val="21"/>
              </w:rPr>
              <w:t>.location s</w:t>
            </w:r>
          </w:p>
        </w:tc>
        <w:tc>
          <w:tcPr>
            <w:tcW w:w="2494" w:type="dxa"/>
          </w:tcPr>
          <w:p w14:paraId="215C25AD" w14:textId="77777777" w:rsidR="00A720EB" w:rsidRDefault="0030286B">
            <w:pPr>
              <w:pStyle w:val="TableParagraph"/>
              <w:spacing w:before="46" w:line="230" w:lineRule="auto"/>
              <w:ind w:right="94"/>
              <w:rPr>
                <w:sz w:val="21"/>
              </w:rPr>
            </w:pPr>
            <w:r>
              <w:rPr>
                <w:color w:val="B02045"/>
                <w:sz w:val="21"/>
              </w:rPr>
              <w:t>[classpath:db/migratio n]</w:t>
            </w:r>
          </w:p>
        </w:tc>
        <w:tc>
          <w:tcPr>
            <w:tcW w:w="4988" w:type="dxa"/>
          </w:tcPr>
          <w:p w14:paraId="671E1B5D" w14:textId="77777777" w:rsidR="00A720EB" w:rsidRDefault="0030286B">
            <w:pPr>
              <w:pStyle w:val="TableParagraph"/>
              <w:spacing w:before="28" w:line="310" w:lineRule="atLeast"/>
              <w:rPr>
                <w:rFonts w:ascii="Cambria"/>
                <w:sz w:val="21"/>
              </w:rPr>
            </w:pPr>
            <w:r>
              <w:rPr>
                <w:rFonts w:ascii="Cambria"/>
                <w:color w:val="333333"/>
                <w:w w:val="110"/>
                <w:sz w:val="21"/>
              </w:rPr>
              <w:t>Locations of migrations scripts. Can contain the special "{vendor}" placeholder to use vendor- specific locations.</w:t>
            </w:r>
          </w:p>
        </w:tc>
      </w:tr>
      <w:tr w:rsidR="00A720EB" w14:paraId="27DBF84F" w14:textId="77777777">
        <w:trPr>
          <w:trHeight w:val="1056"/>
        </w:trPr>
        <w:tc>
          <w:tcPr>
            <w:tcW w:w="2494" w:type="dxa"/>
          </w:tcPr>
          <w:p w14:paraId="4402DB64" w14:textId="77777777" w:rsidR="00A720EB" w:rsidRDefault="0030286B">
            <w:pPr>
              <w:pStyle w:val="TableParagraph"/>
              <w:rPr>
                <w:sz w:val="21"/>
              </w:rPr>
            </w:pPr>
            <w:proofErr w:type="gramStart"/>
            <w:r>
              <w:rPr>
                <w:color w:val="B02045"/>
                <w:sz w:val="21"/>
              </w:rPr>
              <w:t>spring.flyway</w:t>
            </w:r>
            <w:proofErr w:type="gramEnd"/>
            <w:r>
              <w:rPr>
                <w:color w:val="B02045"/>
                <w:sz w:val="21"/>
              </w:rPr>
              <w:t>.mixed</w:t>
            </w:r>
          </w:p>
        </w:tc>
        <w:tc>
          <w:tcPr>
            <w:tcW w:w="2494" w:type="dxa"/>
          </w:tcPr>
          <w:p w14:paraId="3CA76564" w14:textId="77777777" w:rsidR="00A720EB" w:rsidRDefault="0030286B">
            <w:pPr>
              <w:pStyle w:val="TableParagraph"/>
              <w:rPr>
                <w:sz w:val="21"/>
              </w:rPr>
            </w:pPr>
            <w:r>
              <w:rPr>
                <w:color w:val="B02045"/>
                <w:sz w:val="21"/>
              </w:rPr>
              <w:t>false</w:t>
            </w:r>
          </w:p>
        </w:tc>
        <w:tc>
          <w:tcPr>
            <w:tcW w:w="4988" w:type="dxa"/>
          </w:tcPr>
          <w:p w14:paraId="7CE993E7" w14:textId="77777777" w:rsidR="00A720EB" w:rsidRDefault="0030286B">
            <w:pPr>
              <w:pStyle w:val="TableParagraph"/>
              <w:spacing w:before="28" w:line="310" w:lineRule="atLeast"/>
              <w:rPr>
                <w:rFonts w:ascii="Cambria"/>
                <w:sz w:val="21"/>
              </w:rPr>
            </w:pPr>
            <w:r>
              <w:rPr>
                <w:rFonts w:ascii="Cambria"/>
                <w:color w:val="333333"/>
                <w:w w:val="110"/>
                <w:sz w:val="21"/>
              </w:rPr>
              <w:t>Whether to allow mixing transactional and non- transactional statements within the same migration.</w:t>
            </w:r>
          </w:p>
        </w:tc>
      </w:tr>
      <w:tr w:rsidR="00A720EB" w14:paraId="5EF419E8" w14:textId="77777777">
        <w:trPr>
          <w:trHeight w:val="1056"/>
        </w:trPr>
        <w:tc>
          <w:tcPr>
            <w:tcW w:w="2494" w:type="dxa"/>
          </w:tcPr>
          <w:p w14:paraId="3CD1BE0C" w14:textId="77777777" w:rsidR="00A720EB" w:rsidRDefault="0030286B">
            <w:pPr>
              <w:pStyle w:val="TableParagraph"/>
              <w:spacing w:before="46" w:line="230" w:lineRule="auto"/>
              <w:ind w:right="199"/>
              <w:rPr>
                <w:sz w:val="21"/>
              </w:rPr>
            </w:pPr>
            <w:proofErr w:type="gramStart"/>
            <w:r>
              <w:rPr>
                <w:color w:val="B02045"/>
                <w:sz w:val="21"/>
              </w:rPr>
              <w:t>spring.flyway</w:t>
            </w:r>
            <w:proofErr w:type="gramEnd"/>
            <w:r>
              <w:rPr>
                <w:color w:val="B02045"/>
                <w:sz w:val="21"/>
              </w:rPr>
              <w:t>.oracle- sqlplus</w:t>
            </w:r>
          </w:p>
        </w:tc>
        <w:tc>
          <w:tcPr>
            <w:tcW w:w="2494" w:type="dxa"/>
          </w:tcPr>
          <w:p w14:paraId="5574B9E9" w14:textId="77777777" w:rsidR="00A720EB" w:rsidRDefault="00A720EB">
            <w:pPr>
              <w:pStyle w:val="TableParagraph"/>
              <w:spacing w:before="0"/>
              <w:ind w:left="0"/>
              <w:rPr>
                <w:rFonts w:ascii="Times New Roman"/>
                <w:sz w:val="20"/>
              </w:rPr>
            </w:pPr>
          </w:p>
        </w:tc>
        <w:tc>
          <w:tcPr>
            <w:tcW w:w="4988" w:type="dxa"/>
          </w:tcPr>
          <w:p w14:paraId="7A0CFA88" w14:textId="77777777" w:rsidR="00A720EB" w:rsidRDefault="0030286B">
            <w:pPr>
              <w:pStyle w:val="TableParagraph"/>
              <w:spacing w:before="28" w:line="310" w:lineRule="atLeast"/>
              <w:rPr>
                <w:rFonts w:ascii="Cambria"/>
                <w:sz w:val="21"/>
              </w:rPr>
            </w:pPr>
            <w:r>
              <w:rPr>
                <w:rFonts w:ascii="Cambria"/>
                <w:color w:val="333333"/>
                <w:w w:val="110"/>
                <w:sz w:val="21"/>
              </w:rPr>
              <w:t>Whether to enable support for Oracle SQL*Plus commands. Requires Flyway Pro or Flyway Enterprise.</w:t>
            </w:r>
          </w:p>
        </w:tc>
      </w:tr>
      <w:tr w:rsidR="00A720EB" w14:paraId="6675A591" w14:textId="77777777">
        <w:trPr>
          <w:trHeight w:val="1372"/>
        </w:trPr>
        <w:tc>
          <w:tcPr>
            <w:tcW w:w="2494" w:type="dxa"/>
          </w:tcPr>
          <w:p w14:paraId="5592C5B4" w14:textId="77777777" w:rsidR="00A720EB" w:rsidRDefault="0030286B">
            <w:pPr>
              <w:pStyle w:val="TableParagraph"/>
              <w:spacing w:before="46" w:line="230" w:lineRule="auto"/>
              <w:ind w:right="218"/>
              <w:rPr>
                <w:sz w:val="21"/>
              </w:rPr>
            </w:pPr>
            <w:proofErr w:type="gramStart"/>
            <w:r>
              <w:rPr>
                <w:color w:val="B02045"/>
                <w:sz w:val="21"/>
              </w:rPr>
              <w:t>spring.flyway</w:t>
            </w:r>
            <w:proofErr w:type="gramEnd"/>
            <w:r>
              <w:rPr>
                <w:color w:val="B02045"/>
                <w:sz w:val="21"/>
              </w:rPr>
              <w:t>.oracle- sqlplus-warn</w:t>
            </w:r>
          </w:p>
        </w:tc>
        <w:tc>
          <w:tcPr>
            <w:tcW w:w="2494" w:type="dxa"/>
          </w:tcPr>
          <w:p w14:paraId="7AB75DDC" w14:textId="77777777" w:rsidR="00A720EB" w:rsidRDefault="00A720EB">
            <w:pPr>
              <w:pStyle w:val="TableParagraph"/>
              <w:spacing w:before="0"/>
              <w:ind w:left="0"/>
              <w:rPr>
                <w:rFonts w:ascii="Times New Roman"/>
                <w:sz w:val="20"/>
              </w:rPr>
            </w:pPr>
          </w:p>
        </w:tc>
        <w:tc>
          <w:tcPr>
            <w:tcW w:w="4988" w:type="dxa"/>
          </w:tcPr>
          <w:p w14:paraId="6798A819" w14:textId="77777777" w:rsidR="00A720EB" w:rsidRDefault="0030286B">
            <w:pPr>
              <w:pStyle w:val="TableParagraph"/>
              <w:spacing w:before="28" w:line="310" w:lineRule="atLeast"/>
              <w:ind w:right="73"/>
              <w:rPr>
                <w:rFonts w:ascii="Cambria"/>
                <w:sz w:val="21"/>
              </w:rPr>
            </w:pPr>
            <w:r>
              <w:rPr>
                <w:rFonts w:ascii="Cambria"/>
                <w:color w:val="333333"/>
                <w:w w:val="110"/>
                <w:sz w:val="21"/>
              </w:rPr>
              <w:t>Whether to issue a warning rather than an error when a not-yet-supported Oracle SQL*Plus statement is encountered. Requires Flyway Pro or Flyway Enterprise.</w:t>
            </w:r>
          </w:p>
        </w:tc>
      </w:tr>
      <w:tr w:rsidR="00A720EB" w14:paraId="688FCC3F" w14:textId="77777777">
        <w:trPr>
          <w:trHeight w:val="741"/>
        </w:trPr>
        <w:tc>
          <w:tcPr>
            <w:tcW w:w="2494" w:type="dxa"/>
          </w:tcPr>
          <w:p w14:paraId="4A5D8763" w14:textId="77777777" w:rsidR="00A720EB" w:rsidRDefault="0030286B">
            <w:pPr>
              <w:pStyle w:val="TableParagraph"/>
              <w:spacing w:before="46" w:line="230" w:lineRule="auto"/>
              <w:ind w:right="199"/>
              <w:rPr>
                <w:sz w:val="21"/>
              </w:rPr>
            </w:pPr>
            <w:r>
              <w:rPr>
                <w:color w:val="B02045"/>
                <w:sz w:val="21"/>
              </w:rPr>
              <w:t>spring.flyway.out-of- order</w:t>
            </w:r>
          </w:p>
        </w:tc>
        <w:tc>
          <w:tcPr>
            <w:tcW w:w="2494" w:type="dxa"/>
          </w:tcPr>
          <w:p w14:paraId="011FC765" w14:textId="77777777" w:rsidR="00A720EB" w:rsidRDefault="0030286B">
            <w:pPr>
              <w:pStyle w:val="TableParagraph"/>
              <w:rPr>
                <w:sz w:val="21"/>
              </w:rPr>
            </w:pPr>
            <w:r>
              <w:rPr>
                <w:color w:val="B02045"/>
                <w:sz w:val="21"/>
              </w:rPr>
              <w:t>false</w:t>
            </w:r>
          </w:p>
        </w:tc>
        <w:tc>
          <w:tcPr>
            <w:tcW w:w="4988" w:type="dxa"/>
          </w:tcPr>
          <w:p w14:paraId="3B312CC8" w14:textId="77777777" w:rsidR="00A720EB" w:rsidRDefault="0030286B">
            <w:pPr>
              <w:pStyle w:val="TableParagraph"/>
              <w:spacing w:before="28" w:line="310" w:lineRule="atLeast"/>
              <w:rPr>
                <w:rFonts w:ascii="Cambria"/>
                <w:sz w:val="21"/>
              </w:rPr>
            </w:pPr>
            <w:r>
              <w:rPr>
                <w:rFonts w:ascii="Cambria"/>
                <w:color w:val="333333"/>
                <w:w w:val="110"/>
                <w:sz w:val="21"/>
              </w:rPr>
              <w:t>Whether to allow migrations to be run out of order.</w:t>
            </w:r>
          </w:p>
        </w:tc>
      </w:tr>
      <w:tr w:rsidR="00A720EB" w14:paraId="02F3AF57" w14:textId="77777777">
        <w:trPr>
          <w:trHeight w:val="425"/>
        </w:trPr>
        <w:tc>
          <w:tcPr>
            <w:tcW w:w="2494" w:type="dxa"/>
          </w:tcPr>
          <w:p w14:paraId="6F9B7F26" w14:textId="77777777" w:rsidR="00A720EB" w:rsidRDefault="0030286B">
            <w:pPr>
              <w:pStyle w:val="TableParagraph"/>
              <w:spacing w:before="37"/>
              <w:rPr>
                <w:sz w:val="21"/>
              </w:rPr>
            </w:pPr>
            <w:proofErr w:type="gramStart"/>
            <w:r>
              <w:rPr>
                <w:color w:val="B02045"/>
                <w:sz w:val="21"/>
              </w:rPr>
              <w:t>spring.flyway</w:t>
            </w:r>
            <w:proofErr w:type="gramEnd"/>
            <w:r>
              <w:rPr>
                <w:color w:val="B02045"/>
                <w:sz w:val="21"/>
              </w:rPr>
              <w:t>.password</w:t>
            </w:r>
          </w:p>
        </w:tc>
        <w:tc>
          <w:tcPr>
            <w:tcW w:w="2494" w:type="dxa"/>
          </w:tcPr>
          <w:p w14:paraId="3B69D515" w14:textId="77777777" w:rsidR="00A720EB" w:rsidRDefault="00A720EB">
            <w:pPr>
              <w:pStyle w:val="TableParagraph"/>
              <w:spacing w:before="0"/>
              <w:ind w:left="0"/>
              <w:rPr>
                <w:rFonts w:ascii="Times New Roman"/>
                <w:sz w:val="20"/>
              </w:rPr>
            </w:pPr>
          </w:p>
        </w:tc>
        <w:tc>
          <w:tcPr>
            <w:tcW w:w="4988" w:type="dxa"/>
          </w:tcPr>
          <w:p w14:paraId="66205F44" w14:textId="77777777" w:rsidR="00A720EB" w:rsidRDefault="0030286B">
            <w:pPr>
              <w:pStyle w:val="TableParagraph"/>
              <w:spacing w:before="92"/>
              <w:rPr>
                <w:rFonts w:ascii="Cambria"/>
                <w:sz w:val="21"/>
              </w:rPr>
            </w:pPr>
            <w:r>
              <w:rPr>
                <w:rFonts w:ascii="Cambria"/>
                <w:color w:val="333333"/>
                <w:w w:val="110"/>
                <w:sz w:val="21"/>
              </w:rPr>
              <w:t>Login password of the database to migrate.</w:t>
            </w:r>
          </w:p>
        </w:tc>
      </w:tr>
      <w:tr w:rsidR="00A720EB" w14:paraId="36CBADE5" w14:textId="77777777">
        <w:trPr>
          <w:trHeight w:val="627"/>
        </w:trPr>
        <w:tc>
          <w:tcPr>
            <w:tcW w:w="2494" w:type="dxa"/>
          </w:tcPr>
          <w:p w14:paraId="599A44D7" w14:textId="77777777" w:rsidR="00A720EB" w:rsidRDefault="0030286B">
            <w:pPr>
              <w:pStyle w:val="TableParagraph"/>
              <w:spacing w:before="46" w:line="230" w:lineRule="auto"/>
              <w:ind w:right="113"/>
              <w:rPr>
                <w:sz w:val="21"/>
              </w:rPr>
            </w:pPr>
            <w:proofErr w:type="gramStart"/>
            <w:r>
              <w:rPr>
                <w:color w:val="B02045"/>
                <w:sz w:val="21"/>
              </w:rPr>
              <w:lastRenderedPageBreak/>
              <w:t>spring.flyway</w:t>
            </w:r>
            <w:proofErr w:type="gramEnd"/>
            <w:r>
              <w:rPr>
                <w:color w:val="B02045"/>
                <w:sz w:val="21"/>
              </w:rPr>
              <w:t>.placehol der-prefix</w:t>
            </w:r>
          </w:p>
        </w:tc>
        <w:tc>
          <w:tcPr>
            <w:tcW w:w="2494" w:type="dxa"/>
          </w:tcPr>
          <w:p w14:paraId="0E4FDAB5" w14:textId="77777777" w:rsidR="00A720EB" w:rsidRDefault="0030286B">
            <w:pPr>
              <w:pStyle w:val="TableParagraph"/>
              <w:spacing w:before="37"/>
              <w:rPr>
                <w:sz w:val="21"/>
              </w:rPr>
            </w:pPr>
            <w:r>
              <w:rPr>
                <w:color w:val="B02045"/>
                <w:sz w:val="21"/>
              </w:rPr>
              <w:t>${</w:t>
            </w:r>
          </w:p>
        </w:tc>
        <w:tc>
          <w:tcPr>
            <w:tcW w:w="4988" w:type="dxa"/>
          </w:tcPr>
          <w:p w14:paraId="2885F9C4" w14:textId="77777777" w:rsidR="00A720EB" w:rsidRDefault="0030286B">
            <w:pPr>
              <w:pStyle w:val="TableParagraph"/>
              <w:spacing w:before="92"/>
              <w:rPr>
                <w:rFonts w:ascii="Cambria"/>
                <w:sz w:val="21"/>
              </w:rPr>
            </w:pPr>
            <w:r>
              <w:rPr>
                <w:rFonts w:ascii="Cambria"/>
                <w:color w:val="333333"/>
                <w:w w:val="115"/>
                <w:sz w:val="21"/>
              </w:rPr>
              <w:t>Prefix of placeholders in migration scripts.</w:t>
            </w:r>
          </w:p>
        </w:tc>
      </w:tr>
    </w:tbl>
    <w:p w14:paraId="3EDAEDED"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16F6331" w14:textId="77777777">
        <w:trPr>
          <w:trHeight w:val="415"/>
        </w:trPr>
        <w:tc>
          <w:tcPr>
            <w:tcW w:w="2494" w:type="dxa"/>
            <w:tcBorders>
              <w:bottom w:val="single" w:sz="12" w:space="0" w:color="DDDDDD"/>
            </w:tcBorders>
          </w:tcPr>
          <w:p w14:paraId="6FE67EBA"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78989968"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1422418"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4579C48" w14:textId="77777777">
        <w:trPr>
          <w:trHeight w:val="731"/>
        </w:trPr>
        <w:tc>
          <w:tcPr>
            <w:tcW w:w="2494" w:type="dxa"/>
            <w:tcBorders>
              <w:top w:val="single" w:sz="12" w:space="0" w:color="DDDDDD"/>
            </w:tcBorders>
          </w:tcPr>
          <w:p w14:paraId="193D2AAA" w14:textId="77777777" w:rsidR="00A720EB" w:rsidRDefault="0030286B">
            <w:pPr>
              <w:pStyle w:val="TableParagraph"/>
              <w:spacing w:before="36" w:line="230" w:lineRule="auto"/>
              <w:ind w:right="113"/>
              <w:rPr>
                <w:sz w:val="21"/>
              </w:rPr>
            </w:pPr>
            <w:proofErr w:type="gramStart"/>
            <w:r>
              <w:rPr>
                <w:color w:val="B02045"/>
                <w:sz w:val="21"/>
              </w:rPr>
              <w:t>spring.flyway</w:t>
            </w:r>
            <w:proofErr w:type="gramEnd"/>
            <w:r>
              <w:rPr>
                <w:color w:val="B02045"/>
                <w:sz w:val="21"/>
              </w:rPr>
              <w:t>.placehol der-replacement</w:t>
            </w:r>
          </w:p>
        </w:tc>
        <w:tc>
          <w:tcPr>
            <w:tcW w:w="2494" w:type="dxa"/>
            <w:tcBorders>
              <w:top w:val="single" w:sz="12" w:space="0" w:color="DDDDDD"/>
            </w:tcBorders>
          </w:tcPr>
          <w:p w14:paraId="5A9A89C2"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75A3B4AF" w14:textId="77777777" w:rsidR="00A720EB" w:rsidRDefault="0030286B">
            <w:pPr>
              <w:pStyle w:val="TableParagraph"/>
              <w:spacing w:before="18" w:line="310" w:lineRule="atLeast"/>
              <w:rPr>
                <w:rFonts w:ascii="Cambria"/>
                <w:sz w:val="21"/>
              </w:rPr>
            </w:pPr>
            <w:r>
              <w:rPr>
                <w:rFonts w:ascii="Cambria"/>
                <w:color w:val="333333"/>
                <w:w w:val="110"/>
                <w:sz w:val="21"/>
              </w:rPr>
              <w:t>Perform placeholder replacement in migration scripts.</w:t>
            </w:r>
          </w:p>
        </w:tc>
      </w:tr>
      <w:tr w:rsidR="00A720EB" w14:paraId="4F72ABFC" w14:textId="77777777">
        <w:trPr>
          <w:trHeight w:val="627"/>
        </w:trPr>
        <w:tc>
          <w:tcPr>
            <w:tcW w:w="2494" w:type="dxa"/>
          </w:tcPr>
          <w:p w14:paraId="50132FA0" w14:textId="77777777" w:rsidR="00A720EB" w:rsidRDefault="0030286B">
            <w:pPr>
              <w:pStyle w:val="TableParagraph"/>
              <w:spacing w:before="46" w:line="230" w:lineRule="auto"/>
              <w:ind w:right="113"/>
              <w:rPr>
                <w:sz w:val="21"/>
              </w:rPr>
            </w:pPr>
            <w:proofErr w:type="gramStart"/>
            <w:r>
              <w:rPr>
                <w:color w:val="B02045"/>
                <w:sz w:val="21"/>
              </w:rPr>
              <w:t>spring.flyway</w:t>
            </w:r>
            <w:proofErr w:type="gramEnd"/>
            <w:r>
              <w:rPr>
                <w:color w:val="B02045"/>
                <w:sz w:val="21"/>
              </w:rPr>
              <w:t>.placehol der-suffix</w:t>
            </w:r>
          </w:p>
        </w:tc>
        <w:tc>
          <w:tcPr>
            <w:tcW w:w="2494" w:type="dxa"/>
          </w:tcPr>
          <w:p w14:paraId="0B16F32E" w14:textId="77777777" w:rsidR="00A720EB" w:rsidRDefault="0030286B">
            <w:pPr>
              <w:pStyle w:val="TableParagraph"/>
              <w:spacing w:before="37"/>
              <w:rPr>
                <w:sz w:val="21"/>
              </w:rPr>
            </w:pPr>
            <w:r>
              <w:rPr>
                <w:color w:val="B02045"/>
                <w:sz w:val="21"/>
              </w:rPr>
              <w:t>}</w:t>
            </w:r>
          </w:p>
        </w:tc>
        <w:tc>
          <w:tcPr>
            <w:tcW w:w="4988" w:type="dxa"/>
          </w:tcPr>
          <w:p w14:paraId="0A7BEE53" w14:textId="77777777" w:rsidR="00A720EB" w:rsidRDefault="0030286B">
            <w:pPr>
              <w:pStyle w:val="TableParagraph"/>
              <w:spacing w:before="92"/>
              <w:rPr>
                <w:rFonts w:ascii="Cambria"/>
                <w:sz w:val="21"/>
              </w:rPr>
            </w:pPr>
            <w:r>
              <w:rPr>
                <w:rFonts w:ascii="Cambria"/>
                <w:color w:val="333333"/>
                <w:w w:val="115"/>
                <w:sz w:val="21"/>
              </w:rPr>
              <w:t>Suffix of placeholders in migration scripts.</w:t>
            </w:r>
          </w:p>
        </w:tc>
      </w:tr>
      <w:tr w:rsidR="00A720EB" w14:paraId="0D475F4A" w14:textId="77777777">
        <w:trPr>
          <w:trHeight w:val="741"/>
        </w:trPr>
        <w:tc>
          <w:tcPr>
            <w:tcW w:w="2494" w:type="dxa"/>
          </w:tcPr>
          <w:p w14:paraId="7D3CC779" w14:textId="77777777" w:rsidR="00A720EB" w:rsidRDefault="0030286B">
            <w:pPr>
              <w:pStyle w:val="TableParagraph"/>
              <w:spacing w:before="46" w:line="230" w:lineRule="auto"/>
              <w:ind w:right="94"/>
              <w:rPr>
                <w:sz w:val="21"/>
              </w:rPr>
            </w:pPr>
            <w:proofErr w:type="gramStart"/>
            <w:r>
              <w:rPr>
                <w:color w:val="B02045"/>
                <w:sz w:val="21"/>
              </w:rPr>
              <w:t>spring.flyway</w:t>
            </w:r>
            <w:proofErr w:type="gramEnd"/>
            <w:r>
              <w:rPr>
                <w:color w:val="B02045"/>
                <w:sz w:val="21"/>
              </w:rPr>
              <w:t>.placehol ders.*</w:t>
            </w:r>
          </w:p>
        </w:tc>
        <w:tc>
          <w:tcPr>
            <w:tcW w:w="2494" w:type="dxa"/>
          </w:tcPr>
          <w:p w14:paraId="1FBD6080" w14:textId="77777777" w:rsidR="00A720EB" w:rsidRDefault="00A720EB">
            <w:pPr>
              <w:pStyle w:val="TableParagraph"/>
              <w:spacing w:before="0"/>
              <w:ind w:left="0"/>
              <w:rPr>
                <w:rFonts w:ascii="Times New Roman"/>
                <w:sz w:val="20"/>
              </w:rPr>
            </w:pPr>
          </w:p>
        </w:tc>
        <w:tc>
          <w:tcPr>
            <w:tcW w:w="4988" w:type="dxa"/>
          </w:tcPr>
          <w:p w14:paraId="3F2BC593" w14:textId="77777777" w:rsidR="00A720EB" w:rsidRDefault="0030286B">
            <w:pPr>
              <w:pStyle w:val="TableParagraph"/>
              <w:spacing w:before="28" w:line="310" w:lineRule="atLeast"/>
              <w:rPr>
                <w:rFonts w:ascii="Cambria"/>
                <w:sz w:val="21"/>
              </w:rPr>
            </w:pPr>
            <w:r>
              <w:rPr>
                <w:rFonts w:ascii="Cambria"/>
                <w:color w:val="333333"/>
                <w:w w:val="110"/>
                <w:sz w:val="21"/>
              </w:rPr>
              <w:t>Placeholders and their replacements to apply to sql migration scripts.</w:t>
            </w:r>
          </w:p>
        </w:tc>
      </w:tr>
      <w:tr w:rsidR="00A720EB" w14:paraId="606AAD08" w14:textId="77777777">
        <w:trPr>
          <w:trHeight w:val="886"/>
        </w:trPr>
        <w:tc>
          <w:tcPr>
            <w:tcW w:w="2494" w:type="dxa"/>
          </w:tcPr>
          <w:p w14:paraId="061F46EB" w14:textId="77777777" w:rsidR="00A720EB" w:rsidRDefault="0030286B">
            <w:pPr>
              <w:pStyle w:val="TableParagraph"/>
              <w:spacing w:before="46" w:line="230" w:lineRule="auto"/>
              <w:ind w:right="113"/>
              <w:rPr>
                <w:sz w:val="21"/>
              </w:rPr>
            </w:pPr>
            <w:proofErr w:type="gramStart"/>
            <w:r>
              <w:rPr>
                <w:color w:val="B02045"/>
                <w:sz w:val="21"/>
              </w:rPr>
              <w:t>spring.flyway</w:t>
            </w:r>
            <w:proofErr w:type="gramEnd"/>
            <w:r>
              <w:rPr>
                <w:color w:val="B02045"/>
                <w:sz w:val="21"/>
              </w:rPr>
              <w:t>.repeatab le-sql-migration- prefix</w:t>
            </w:r>
          </w:p>
        </w:tc>
        <w:tc>
          <w:tcPr>
            <w:tcW w:w="2494" w:type="dxa"/>
          </w:tcPr>
          <w:p w14:paraId="78F05F36" w14:textId="77777777" w:rsidR="00A720EB" w:rsidRDefault="0030286B">
            <w:pPr>
              <w:pStyle w:val="TableParagraph"/>
              <w:spacing w:before="37"/>
              <w:rPr>
                <w:sz w:val="21"/>
              </w:rPr>
            </w:pPr>
            <w:r>
              <w:rPr>
                <w:color w:val="B02045"/>
                <w:sz w:val="21"/>
              </w:rPr>
              <w:t>R</w:t>
            </w:r>
          </w:p>
        </w:tc>
        <w:tc>
          <w:tcPr>
            <w:tcW w:w="4988" w:type="dxa"/>
          </w:tcPr>
          <w:p w14:paraId="3881A383" w14:textId="77777777" w:rsidR="00A720EB" w:rsidRDefault="0030286B">
            <w:pPr>
              <w:pStyle w:val="TableParagraph"/>
              <w:spacing w:before="92"/>
              <w:rPr>
                <w:rFonts w:ascii="Cambria"/>
                <w:sz w:val="21"/>
              </w:rPr>
            </w:pPr>
            <w:r>
              <w:rPr>
                <w:rFonts w:ascii="Cambria"/>
                <w:color w:val="333333"/>
                <w:w w:val="115"/>
                <w:sz w:val="21"/>
              </w:rPr>
              <w:t>File name prefix for repeatable SQL migrations.</w:t>
            </w:r>
          </w:p>
        </w:tc>
      </w:tr>
      <w:tr w:rsidR="00A720EB" w14:paraId="3CC089CE" w14:textId="77777777">
        <w:trPr>
          <w:trHeight w:val="741"/>
        </w:trPr>
        <w:tc>
          <w:tcPr>
            <w:tcW w:w="2494" w:type="dxa"/>
          </w:tcPr>
          <w:p w14:paraId="777D00F1" w14:textId="77777777" w:rsidR="00A720EB" w:rsidRDefault="0030286B">
            <w:pPr>
              <w:pStyle w:val="TableParagraph"/>
              <w:rPr>
                <w:sz w:val="21"/>
              </w:rPr>
            </w:pPr>
            <w:proofErr w:type="gramStart"/>
            <w:r>
              <w:rPr>
                <w:color w:val="B02045"/>
                <w:sz w:val="21"/>
              </w:rPr>
              <w:t>spring.flyway</w:t>
            </w:r>
            <w:proofErr w:type="gramEnd"/>
            <w:r>
              <w:rPr>
                <w:color w:val="B02045"/>
                <w:sz w:val="21"/>
              </w:rPr>
              <w:t>.schemas</w:t>
            </w:r>
          </w:p>
        </w:tc>
        <w:tc>
          <w:tcPr>
            <w:tcW w:w="2494" w:type="dxa"/>
          </w:tcPr>
          <w:p w14:paraId="119A131E" w14:textId="77777777" w:rsidR="00A720EB" w:rsidRDefault="00A720EB">
            <w:pPr>
              <w:pStyle w:val="TableParagraph"/>
              <w:spacing w:before="0"/>
              <w:ind w:left="0"/>
              <w:rPr>
                <w:rFonts w:ascii="Times New Roman"/>
                <w:sz w:val="20"/>
              </w:rPr>
            </w:pPr>
          </w:p>
        </w:tc>
        <w:tc>
          <w:tcPr>
            <w:tcW w:w="4988" w:type="dxa"/>
          </w:tcPr>
          <w:p w14:paraId="5EDC1939" w14:textId="77777777" w:rsidR="00A720EB" w:rsidRDefault="0030286B">
            <w:pPr>
              <w:pStyle w:val="TableParagraph"/>
              <w:spacing w:before="28" w:line="310" w:lineRule="atLeast"/>
              <w:rPr>
                <w:rFonts w:ascii="Cambria"/>
                <w:sz w:val="21"/>
              </w:rPr>
            </w:pPr>
            <w:r>
              <w:rPr>
                <w:rFonts w:ascii="Cambria"/>
                <w:color w:val="333333"/>
                <w:w w:val="110"/>
                <w:sz w:val="21"/>
              </w:rPr>
              <w:t>Scheme names managed by Flyway (case- sensitive).</w:t>
            </w:r>
          </w:p>
        </w:tc>
      </w:tr>
      <w:tr w:rsidR="00A720EB" w14:paraId="60356D11" w14:textId="77777777">
        <w:trPr>
          <w:trHeight w:val="741"/>
        </w:trPr>
        <w:tc>
          <w:tcPr>
            <w:tcW w:w="2494" w:type="dxa"/>
          </w:tcPr>
          <w:p w14:paraId="41738578" w14:textId="77777777" w:rsidR="00A720EB" w:rsidRDefault="0030286B">
            <w:pPr>
              <w:pStyle w:val="TableParagraph"/>
              <w:spacing w:before="46" w:line="230" w:lineRule="auto"/>
              <w:ind w:right="428"/>
              <w:rPr>
                <w:sz w:val="21"/>
              </w:rPr>
            </w:pPr>
            <w:proofErr w:type="gramStart"/>
            <w:r>
              <w:rPr>
                <w:color w:val="B02045"/>
                <w:sz w:val="21"/>
              </w:rPr>
              <w:t>spring.flyway</w:t>
            </w:r>
            <w:proofErr w:type="gramEnd"/>
            <w:r>
              <w:rPr>
                <w:color w:val="B02045"/>
                <w:sz w:val="21"/>
              </w:rPr>
              <w:t>.skip- default-callbacks</w:t>
            </w:r>
          </w:p>
        </w:tc>
        <w:tc>
          <w:tcPr>
            <w:tcW w:w="2494" w:type="dxa"/>
          </w:tcPr>
          <w:p w14:paraId="07D41A13" w14:textId="77777777" w:rsidR="00A720EB" w:rsidRDefault="0030286B">
            <w:pPr>
              <w:pStyle w:val="TableParagraph"/>
              <w:rPr>
                <w:sz w:val="21"/>
              </w:rPr>
            </w:pPr>
            <w:r>
              <w:rPr>
                <w:color w:val="B02045"/>
                <w:sz w:val="21"/>
              </w:rPr>
              <w:t>false</w:t>
            </w:r>
          </w:p>
        </w:tc>
        <w:tc>
          <w:tcPr>
            <w:tcW w:w="4988" w:type="dxa"/>
          </w:tcPr>
          <w:p w14:paraId="6EF8F755" w14:textId="77777777" w:rsidR="00A720EB" w:rsidRDefault="0030286B">
            <w:pPr>
              <w:pStyle w:val="TableParagraph"/>
              <w:spacing w:before="28" w:line="310" w:lineRule="atLeast"/>
              <w:rPr>
                <w:rFonts w:ascii="Cambria"/>
                <w:sz w:val="21"/>
              </w:rPr>
            </w:pPr>
            <w:r>
              <w:rPr>
                <w:rFonts w:ascii="Cambria"/>
                <w:color w:val="333333"/>
                <w:w w:val="110"/>
                <w:sz w:val="21"/>
              </w:rPr>
              <w:t>Whether to skip default callbacks. If true, only custom callbacks are used.</w:t>
            </w:r>
          </w:p>
        </w:tc>
      </w:tr>
      <w:tr w:rsidR="00A720EB" w14:paraId="6615DF57" w14:textId="77777777">
        <w:trPr>
          <w:trHeight w:val="741"/>
        </w:trPr>
        <w:tc>
          <w:tcPr>
            <w:tcW w:w="2494" w:type="dxa"/>
          </w:tcPr>
          <w:p w14:paraId="7CA6024F" w14:textId="77777777" w:rsidR="00A720EB" w:rsidRDefault="0030286B">
            <w:pPr>
              <w:pStyle w:val="TableParagraph"/>
              <w:spacing w:before="46" w:line="230" w:lineRule="auto"/>
              <w:ind w:right="428"/>
              <w:rPr>
                <w:sz w:val="21"/>
              </w:rPr>
            </w:pPr>
            <w:proofErr w:type="gramStart"/>
            <w:r>
              <w:rPr>
                <w:color w:val="B02045"/>
                <w:sz w:val="21"/>
              </w:rPr>
              <w:t>spring.flyway</w:t>
            </w:r>
            <w:proofErr w:type="gramEnd"/>
            <w:r>
              <w:rPr>
                <w:color w:val="B02045"/>
                <w:sz w:val="21"/>
              </w:rPr>
              <w:t>.skip- default-resolvers</w:t>
            </w:r>
          </w:p>
        </w:tc>
        <w:tc>
          <w:tcPr>
            <w:tcW w:w="2494" w:type="dxa"/>
          </w:tcPr>
          <w:p w14:paraId="07B38870" w14:textId="77777777" w:rsidR="00A720EB" w:rsidRDefault="0030286B">
            <w:pPr>
              <w:pStyle w:val="TableParagraph"/>
              <w:rPr>
                <w:sz w:val="21"/>
              </w:rPr>
            </w:pPr>
            <w:r>
              <w:rPr>
                <w:color w:val="B02045"/>
                <w:sz w:val="21"/>
              </w:rPr>
              <w:t>false</w:t>
            </w:r>
          </w:p>
        </w:tc>
        <w:tc>
          <w:tcPr>
            <w:tcW w:w="4988" w:type="dxa"/>
          </w:tcPr>
          <w:p w14:paraId="0D85EE5B" w14:textId="77777777" w:rsidR="00A720EB" w:rsidRDefault="0030286B">
            <w:pPr>
              <w:pStyle w:val="TableParagraph"/>
              <w:spacing w:before="28" w:line="310" w:lineRule="atLeast"/>
              <w:rPr>
                <w:rFonts w:ascii="Cambria"/>
                <w:sz w:val="21"/>
              </w:rPr>
            </w:pPr>
            <w:r>
              <w:rPr>
                <w:rFonts w:ascii="Cambria"/>
                <w:color w:val="333333"/>
                <w:w w:val="110"/>
                <w:sz w:val="21"/>
              </w:rPr>
              <w:t>Whether to skip default resolvers. If true, only custom resolvers are used.</w:t>
            </w:r>
          </w:p>
        </w:tc>
      </w:tr>
      <w:tr w:rsidR="00A720EB" w14:paraId="6ABE933C" w14:textId="77777777">
        <w:trPr>
          <w:trHeight w:val="627"/>
        </w:trPr>
        <w:tc>
          <w:tcPr>
            <w:tcW w:w="2494" w:type="dxa"/>
          </w:tcPr>
          <w:p w14:paraId="7025F4FA" w14:textId="77777777" w:rsidR="00A720EB" w:rsidRDefault="0030286B">
            <w:pPr>
              <w:pStyle w:val="TableParagraph"/>
              <w:spacing w:before="46" w:line="230" w:lineRule="auto"/>
              <w:ind w:right="533"/>
              <w:rPr>
                <w:sz w:val="21"/>
              </w:rPr>
            </w:pPr>
            <w:r>
              <w:rPr>
                <w:color w:val="B02045"/>
                <w:sz w:val="21"/>
              </w:rPr>
              <w:t>spring.flyway.sql- migration-prefix</w:t>
            </w:r>
          </w:p>
        </w:tc>
        <w:tc>
          <w:tcPr>
            <w:tcW w:w="2494" w:type="dxa"/>
          </w:tcPr>
          <w:p w14:paraId="7B341BFE" w14:textId="77777777" w:rsidR="00A720EB" w:rsidRDefault="0030286B">
            <w:pPr>
              <w:pStyle w:val="TableParagraph"/>
              <w:rPr>
                <w:sz w:val="21"/>
              </w:rPr>
            </w:pPr>
            <w:r>
              <w:rPr>
                <w:color w:val="B02045"/>
                <w:sz w:val="21"/>
              </w:rPr>
              <w:t>V</w:t>
            </w:r>
          </w:p>
        </w:tc>
        <w:tc>
          <w:tcPr>
            <w:tcW w:w="4988" w:type="dxa"/>
          </w:tcPr>
          <w:p w14:paraId="1922E52C" w14:textId="77777777" w:rsidR="00A720EB" w:rsidRDefault="0030286B">
            <w:pPr>
              <w:pStyle w:val="TableParagraph"/>
              <w:spacing w:before="92"/>
              <w:rPr>
                <w:rFonts w:ascii="Cambria"/>
                <w:sz w:val="21"/>
              </w:rPr>
            </w:pPr>
            <w:r>
              <w:rPr>
                <w:rFonts w:ascii="Cambria"/>
                <w:color w:val="333333"/>
                <w:w w:val="115"/>
                <w:sz w:val="21"/>
              </w:rPr>
              <w:t>File name prefix for SQL migrations.</w:t>
            </w:r>
          </w:p>
        </w:tc>
      </w:tr>
      <w:tr w:rsidR="00A720EB" w14:paraId="22AB2536" w14:textId="77777777">
        <w:trPr>
          <w:trHeight w:val="627"/>
        </w:trPr>
        <w:tc>
          <w:tcPr>
            <w:tcW w:w="2494" w:type="dxa"/>
          </w:tcPr>
          <w:p w14:paraId="2C23653A" w14:textId="77777777" w:rsidR="00A720EB" w:rsidRDefault="0030286B">
            <w:pPr>
              <w:pStyle w:val="TableParagraph"/>
              <w:spacing w:before="46" w:line="230" w:lineRule="auto"/>
              <w:ind w:right="428"/>
              <w:rPr>
                <w:sz w:val="21"/>
              </w:rPr>
            </w:pPr>
            <w:r>
              <w:rPr>
                <w:color w:val="B02045"/>
                <w:sz w:val="21"/>
              </w:rPr>
              <w:t>spring.flyway.sql- migration-separator</w:t>
            </w:r>
          </w:p>
        </w:tc>
        <w:tc>
          <w:tcPr>
            <w:tcW w:w="2494" w:type="dxa"/>
          </w:tcPr>
          <w:p w14:paraId="64EF2248" w14:textId="77777777" w:rsidR="00A720EB" w:rsidRDefault="0030286B">
            <w:pPr>
              <w:pStyle w:val="TableParagraph"/>
              <w:spacing w:before="37"/>
              <w:rPr>
                <w:sz w:val="21"/>
              </w:rPr>
            </w:pPr>
            <w:r>
              <w:rPr>
                <w:color w:val="B02045"/>
                <w:sz w:val="21"/>
                <w:u w:val="single" w:color="AF1F44"/>
              </w:rPr>
              <w:t xml:space="preserve">  </w:t>
            </w:r>
            <w:r>
              <w:rPr>
                <w:color w:val="B02045"/>
                <w:spacing w:val="-10"/>
                <w:sz w:val="21"/>
                <w:u w:val="single" w:color="AF1F44"/>
              </w:rPr>
              <w:t xml:space="preserve"> </w:t>
            </w:r>
          </w:p>
        </w:tc>
        <w:tc>
          <w:tcPr>
            <w:tcW w:w="4988" w:type="dxa"/>
          </w:tcPr>
          <w:p w14:paraId="4503178C" w14:textId="77777777" w:rsidR="00A720EB" w:rsidRDefault="0030286B">
            <w:pPr>
              <w:pStyle w:val="TableParagraph"/>
              <w:spacing w:before="92"/>
              <w:rPr>
                <w:rFonts w:ascii="Cambria"/>
                <w:sz w:val="21"/>
              </w:rPr>
            </w:pPr>
            <w:r>
              <w:rPr>
                <w:rFonts w:ascii="Cambria"/>
                <w:color w:val="333333"/>
                <w:w w:val="110"/>
                <w:sz w:val="21"/>
              </w:rPr>
              <w:t>File name separator for SQL migrations.</w:t>
            </w:r>
          </w:p>
        </w:tc>
      </w:tr>
      <w:tr w:rsidR="00A720EB" w14:paraId="46317D2D" w14:textId="77777777">
        <w:trPr>
          <w:trHeight w:val="627"/>
        </w:trPr>
        <w:tc>
          <w:tcPr>
            <w:tcW w:w="2494" w:type="dxa"/>
          </w:tcPr>
          <w:p w14:paraId="1ABF49CF" w14:textId="77777777" w:rsidR="00A720EB" w:rsidRDefault="0030286B">
            <w:pPr>
              <w:pStyle w:val="TableParagraph"/>
              <w:spacing w:before="46" w:line="230" w:lineRule="auto"/>
              <w:ind w:right="533"/>
              <w:rPr>
                <w:sz w:val="21"/>
              </w:rPr>
            </w:pPr>
            <w:r>
              <w:rPr>
                <w:color w:val="B02045"/>
                <w:sz w:val="21"/>
              </w:rPr>
              <w:t>spring.flyway.sql- migration-suffixes</w:t>
            </w:r>
          </w:p>
        </w:tc>
        <w:tc>
          <w:tcPr>
            <w:tcW w:w="2494" w:type="dxa"/>
          </w:tcPr>
          <w:p w14:paraId="377F3EBA" w14:textId="77777777" w:rsidR="00A720EB" w:rsidRDefault="0030286B">
            <w:pPr>
              <w:pStyle w:val="TableParagraph"/>
              <w:rPr>
                <w:sz w:val="21"/>
              </w:rPr>
            </w:pPr>
            <w:r>
              <w:rPr>
                <w:color w:val="B02045"/>
                <w:sz w:val="21"/>
              </w:rPr>
              <w:t>[.sql]</w:t>
            </w:r>
          </w:p>
        </w:tc>
        <w:tc>
          <w:tcPr>
            <w:tcW w:w="4988" w:type="dxa"/>
          </w:tcPr>
          <w:p w14:paraId="279625B6" w14:textId="77777777" w:rsidR="00A720EB" w:rsidRDefault="0030286B">
            <w:pPr>
              <w:pStyle w:val="TableParagraph"/>
              <w:spacing w:before="92"/>
              <w:rPr>
                <w:rFonts w:ascii="Cambria"/>
                <w:sz w:val="21"/>
              </w:rPr>
            </w:pPr>
            <w:r>
              <w:rPr>
                <w:rFonts w:ascii="Cambria"/>
                <w:color w:val="333333"/>
                <w:w w:val="115"/>
                <w:sz w:val="21"/>
              </w:rPr>
              <w:t>File name suffix for SQL migrations.</w:t>
            </w:r>
          </w:p>
        </w:tc>
      </w:tr>
      <w:tr w:rsidR="00A720EB" w14:paraId="1B63002D" w14:textId="77777777">
        <w:trPr>
          <w:trHeight w:val="1056"/>
        </w:trPr>
        <w:tc>
          <w:tcPr>
            <w:tcW w:w="2494" w:type="dxa"/>
          </w:tcPr>
          <w:p w14:paraId="739BFAD1" w14:textId="77777777" w:rsidR="00A720EB" w:rsidRDefault="0030286B">
            <w:pPr>
              <w:pStyle w:val="TableParagraph"/>
              <w:spacing w:before="37"/>
              <w:rPr>
                <w:sz w:val="21"/>
              </w:rPr>
            </w:pPr>
            <w:proofErr w:type="gramStart"/>
            <w:r>
              <w:rPr>
                <w:color w:val="B02045"/>
                <w:sz w:val="21"/>
              </w:rPr>
              <w:t>spring.flyway</w:t>
            </w:r>
            <w:proofErr w:type="gramEnd"/>
            <w:r>
              <w:rPr>
                <w:color w:val="B02045"/>
                <w:sz w:val="21"/>
              </w:rPr>
              <w:t>.stream</w:t>
            </w:r>
          </w:p>
        </w:tc>
        <w:tc>
          <w:tcPr>
            <w:tcW w:w="2494" w:type="dxa"/>
          </w:tcPr>
          <w:p w14:paraId="41F20B1A" w14:textId="77777777" w:rsidR="00A720EB" w:rsidRDefault="00A720EB">
            <w:pPr>
              <w:pStyle w:val="TableParagraph"/>
              <w:spacing w:before="0"/>
              <w:ind w:left="0"/>
              <w:rPr>
                <w:rFonts w:ascii="Times New Roman"/>
                <w:sz w:val="20"/>
              </w:rPr>
            </w:pPr>
          </w:p>
        </w:tc>
        <w:tc>
          <w:tcPr>
            <w:tcW w:w="4988" w:type="dxa"/>
          </w:tcPr>
          <w:p w14:paraId="7DA0C2ED" w14:textId="77777777" w:rsidR="00A720EB" w:rsidRDefault="0030286B">
            <w:pPr>
              <w:pStyle w:val="TableParagraph"/>
              <w:spacing w:before="28" w:line="310" w:lineRule="atLeast"/>
              <w:rPr>
                <w:rFonts w:ascii="Cambria"/>
                <w:sz w:val="21"/>
              </w:rPr>
            </w:pPr>
            <w:r>
              <w:rPr>
                <w:rFonts w:ascii="Cambria"/>
                <w:color w:val="333333"/>
                <w:w w:val="110"/>
                <w:sz w:val="21"/>
              </w:rPr>
              <w:t>Whether to stream SQL migrations when executing them. Requires Flyway Pro or Flyway Enterprise.</w:t>
            </w:r>
          </w:p>
        </w:tc>
      </w:tr>
      <w:tr w:rsidR="00A720EB" w14:paraId="1E4BEEDD" w14:textId="77777777">
        <w:trPr>
          <w:trHeight w:val="741"/>
        </w:trPr>
        <w:tc>
          <w:tcPr>
            <w:tcW w:w="2494" w:type="dxa"/>
          </w:tcPr>
          <w:p w14:paraId="400A7E69" w14:textId="77777777" w:rsidR="00A720EB" w:rsidRDefault="0030286B">
            <w:pPr>
              <w:pStyle w:val="TableParagraph"/>
              <w:spacing w:before="37"/>
              <w:rPr>
                <w:sz w:val="21"/>
              </w:rPr>
            </w:pPr>
            <w:proofErr w:type="gramStart"/>
            <w:r>
              <w:rPr>
                <w:color w:val="B02045"/>
                <w:sz w:val="21"/>
              </w:rPr>
              <w:t>spring.flyway</w:t>
            </w:r>
            <w:proofErr w:type="gramEnd"/>
            <w:r>
              <w:rPr>
                <w:color w:val="B02045"/>
                <w:sz w:val="21"/>
              </w:rPr>
              <w:t>.table</w:t>
            </w:r>
          </w:p>
        </w:tc>
        <w:tc>
          <w:tcPr>
            <w:tcW w:w="2494" w:type="dxa"/>
          </w:tcPr>
          <w:p w14:paraId="6DA06798" w14:textId="77777777" w:rsidR="00A720EB" w:rsidRDefault="0030286B">
            <w:pPr>
              <w:pStyle w:val="TableParagraph"/>
              <w:spacing w:before="37"/>
              <w:rPr>
                <w:sz w:val="21"/>
              </w:rPr>
            </w:pPr>
            <w:r>
              <w:rPr>
                <w:color w:val="B02045"/>
                <w:sz w:val="21"/>
              </w:rPr>
              <w:t>flyway_schema_history</w:t>
            </w:r>
          </w:p>
        </w:tc>
        <w:tc>
          <w:tcPr>
            <w:tcW w:w="4988" w:type="dxa"/>
          </w:tcPr>
          <w:p w14:paraId="3DB3302C" w14:textId="77777777" w:rsidR="00A720EB" w:rsidRDefault="0030286B">
            <w:pPr>
              <w:pStyle w:val="TableParagraph"/>
              <w:spacing w:before="28" w:line="310" w:lineRule="atLeast"/>
              <w:ind w:right="372"/>
              <w:rPr>
                <w:rFonts w:ascii="Cambria"/>
                <w:sz w:val="21"/>
              </w:rPr>
            </w:pPr>
            <w:r>
              <w:rPr>
                <w:rFonts w:ascii="Cambria"/>
                <w:color w:val="333333"/>
                <w:w w:val="110"/>
                <w:sz w:val="21"/>
              </w:rPr>
              <w:t>Name of the schema history table that will be used by Flyway.</w:t>
            </w:r>
          </w:p>
        </w:tc>
      </w:tr>
      <w:tr w:rsidR="00A720EB" w14:paraId="5155F32A" w14:textId="77777777">
        <w:trPr>
          <w:trHeight w:val="1687"/>
        </w:trPr>
        <w:tc>
          <w:tcPr>
            <w:tcW w:w="2494" w:type="dxa"/>
          </w:tcPr>
          <w:p w14:paraId="621756D2" w14:textId="77777777" w:rsidR="00A720EB" w:rsidRDefault="0030286B">
            <w:pPr>
              <w:pStyle w:val="TableParagraph"/>
              <w:spacing w:before="46" w:line="230" w:lineRule="auto"/>
              <w:ind w:right="94"/>
              <w:rPr>
                <w:sz w:val="21"/>
              </w:rPr>
            </w:pPr>
            <w:proofErr w:type="gramStart"/>
            <w:r>
              <w:rPr>
                <w:color w:val="B02045"/>
                <w:sz w:val="21"/>
              </w:rPr>
              <w:t>spring.flyway</w:t>
            </w:r>
            <w:proofErr w:type="gramEnd"/>
            <w:r>
              <w:rPr>
                <w:color w:val="B02045"/>
                <w:sz w:val="21"/>
              </w:rPr>
              <w:t>.tablespa ce</w:t>
            </w:r>
          </w:p>
        </w:tc>
        <w:tc>
          <w:tcPr>
            <w:tcW w:w="2494" w:type="dxa"/>
          </w:tcPr>
          <w:p w14:paraId="346A9B85" w14:textId="77777777" w:rsidR="00A720EB" w:rsidRDefault="00A720EB">
            <w:pPr>
              <w:pStyle w:val="TableParagraph"/>
              <w:spacing w:before="0"/>
              <w:ind w:left="0"/>
              <w:rPr>
                <w:rFonts w:ascii="Times New Roman"/>
                <w:sz w:val="20"/>
              </w:rPr>
            </w:pPr>
          </w:p>
        </w:tc>
        <w:tc>
          <w:tcPr>
            <w:tcW w:w="4988" w:type="dxa"/>
          </w:tcPr>
          <w:p w14:paraId="78DD0000" w14:textId="77777777" w:rsidR="00A720EB" w:rsidRDefault="0030286B">
            <w:pPr>
              <w:pStyle w:val="TableParagraph"/>
              <w:spacing w:before="92" w:line="307" w:lineRule="auto"/>
              <w:ind w:right="162"/>
              <w:rPr>
                <w:rFonts w:ascii="Cambria"/>
                <w:sz w:val="21"/>
              </w:rPr>
            </w:pPr>
            <w:r>
              <w:rPr>
                <w:rFonts w:ascii="Cambria"/>
                <w:color w:val="333333"/>
                <w:w w:val="110"/>
                <w:sz w:val="21"/>
              </w:rPr>
              <w:t>Tablespace in which the schema history table is created. Ignored when using a database that does not support tablespaces. Defaults to the default tablespace of the connection used by Flyway.</w:t>
            </w:r>
          </w:p>
        </w:tc>
      </w:tr>
      <w:tr w:rsidR="00A720EB" w14:paraId="24195327" w14:textId="77777777">
        <w:trPr>
          <w:trHeight w:val="741"/>
        </w:trPr>
        <w:tc>
          <w:tcPr>
            <w:tcW w:w="2494" w:type="dxa"/>
          </w:tcPr>
          <w:p w14:paraId="695E7323" w14:textId="77777777" w:rsidR="00A720EB" w:rsidRDefault="0030286B">
            <w:pPr>
              <w:pStyle w:val="TableParagraph"/>
              <w:spacing w:before="37"/>
              <w:rPr>
                <w:sz w:val="21"/>
              </w:rPr>
            </w:pPr>
            <w:proofErr w:type="gramStart"/>
            <w:r>
              <w:rPr>
                <w:color w:val="B02045"/>
                <w:sz w:val="21"/>
              </w:rPr>
              <w:t>spring.flyway</w:t>
            </w:r>
            <w:proofErr w:type="gramEnd"/>
            <w:r>
              <w:rPr>
                <w:color w:val="B02045"/>
                <w:sz w:val="21"/>
              </w:rPr>
              <w:t>.target</w:t>
            </w:r>
          </w:p>
        </w:tc>
        <w:tc>
          <w:tcPr>
            <w:tcW w:w="2494" w:type="dxa"/>
          </w:tcPr>
          <w:p w14:paraId="67740098" w14:textId="77777777" w:rsidR="00A720EB" w:rsidRDefault="00A720EB">
            <w:pPr>
              <w:pStyle w:val="TableParagraph"/>
              <w:spacing w:before="0"/>
              <w:ind w:left="0"/>
              <w:rPr>
                <w:rFonts w:ascii="Times New Roman"/>
                <w:sz w:val="20"/>
              </w:rPr>
            </w:pPr>
          </w:p>
        </w:tc>
        <w:tc>
          <w:tcPr>
            <w:tcW w:w="4988" w:type="dxa"/>
          </w:tcPr>
          <w:p w14:paraId="6847C339" w14:textId="77777777" w:rsidR="00A720EB" w:rsidRDefault="0030286B">
            <w:pPr>
              <w:pStyle w:val="TableParagraph"/>
              <w:spacing w:before="28" w:line="310" w:lineRule="atLeast"/>
              <w:rPr>
                <w:rFonts w:ascii="Cambria"/>
                <w:sz w:val="21"/>
              </w:rPr>
            </w:pPr>
            <w:r>
              <w:rPr>
                <w:rFonts w:ascii="Cambria"/>
                <w:color w:val="333333"/>
                <w:w w:val="110"/>
                <w:sz w:val="21"/>
              </w:rPr>
              <w:t>Target version up to which migrations should be considered.</w:t>
            </w:r>
          </w:p>
        </w:tc>
      </w:tr>
      <w:tr w:rsidR="00A720EB" w14:paraId="3F4C413B" w14:textId="77777777">
        <w:trPr>
          <w:trHeight w:val="741"/>
        </w:trPr>
        <w:tc>
          <w:tcPr>
            <w:tcW w:w="2494" w:type="dxa"/>
          </w:tcPr>
          <w:p w14:paraId="7A97B2CA" w14:textId="77777777" w:rsidR="00A720EB" w:rsidRDefault="0030286B">
            <w:pPr>
              <w:pStyle w:val="TableParagraph"/>
              <w:rPr>
                <w:sz w:val="21"/>
              </w:rPr>
            </w:pPr>
            <w:r>
              <w:rPr>
                <w:color w:val="B02045"/>
                <w:sz w:val="21"/>
              </w:rPr>
              <w:t>spring.flyway.url</w:t>
            </w:r>
          </w:p>
        </w:tc>
        <w:tc>
          <w:tcPr>
            <w:tcW w:w="2494" w:type="dxa"/>
          </w:tcPr>
          <w:p w14:paraId="28B2F55B" w14:textId="77777777" w:rsidR="00A720EB" w:rsidRDefault="00A720EB">
            <w:pPr>
              <w:pStyle w:val="TableParagraph"/>
              <w:spacing w:before="0"/>
              <w:ind w:left="0"/>
              <w:rPr>
                <w:rFonts w:ascii="Times New Roman"/>
                <w:sz w:val="20"/>
              </w:rPr>
            </w:pPr>
          </w:p>
        </w:tc>
        <w:tc>
          <w:tcPr>
            <w:tcW w:w="4988" w:type="dxa"/>
          </w:tcPr>
          <w:p w14:paraId="747B7534" w14:textId="77777777" w:rsidR="00A720EB" w:rsidRDefault="0030286B">
            <w:pPr>
              <w:pStyle w:val="TableParagraph"/>
              <w:spacing w:before="28" w:line="310" w:lineRule="atLeast"/>
              <w:ind w:right="372"/>
              <w:rPr>
                <w:rFonts w:ascii="Cambria"/>
                <w:sz w:val="21"/>
              </w:rPr>
            </w:pPr>
            <w:r>
              <w:rPr>
                <w:rFonts w:ascii="Cambria"/>
                <w:color w:val="333333"/>
                <w:w w:val="110"/>
                <w:sz w:val="21"/>
              </w:rPr>
              <w:t>JDBC url of the database to migrate. If not set, the primary configured data source is used.</w:t>
            </w:r>
          </w:p>
        </w:tc>
      </w:tr>
      <w:tr w:rsidR="00A720EB" w14:paraId="14C079F0" w14:textId="77777777">
        <w:trPr>
          <w:trHeight w:val="425"/>
        </w:trPr>
        <w:tc>
          <w:tcPr>
            <w:tcW w:w="2494" w:type="dxa"/>
          </w:tcPr>
          <w:p w14:paraId="6B6F394A" w14:textId="77777777" w:rsidR="00A720EB" w:rsidRDefault="0030286B">
            <w:pPr>
              <w:pStyle w:val="TableParagraph"/>
              <w:rPr>
                <w:sz w:val="21"/>
              </w:rPr>
            </w:pPr>
            <w:proofErr w:type="gramStart"/>
            <w:r>
              <w:rPr>
                <w:color w:val="B02045"/>
                <w:sz w:val="21"/>
              </w:rPr>
              <w:t>spring.flyway</w:t>
            </w:r>
            <w:proofErr w:type="gramEnd"/>
            <w:r>
              <w:rPr>
                <w:color w:val="B02045"/>
                <w:sz w:val="21"/>
              </w:rPr>
              <w:t>.user</w:t>
            </w:r>
          </w:p>
        </w:tc>
        <w:tc>
          <w:tcPr>
            <w:tcW w:w="2494" w:type="dxa"/>
          </w:tcPr>
          <w:p w14:paraId="24F5C951" w14:textId="77777777" w:rsidR="00A720EB" w:rsidRDefault="00A720EB">
            <w:pPr>
              <w:pStyle w:val="TableParagraph"/>
              <w:spacing w:before="0"/>
              <w:ind w:left="0"/>
              <w:rPr>
                <w:rFonts w:ascii="Times New Roman"/>
                <w:sz w:val="20"/>
              </w:rPr>
            </w:pPr>
          </w:p>
        </w:tc>
        <w:tc>
          <w:tcPr>
            <w:tcW w:w="4988" w:type="dxa"/>
          </w:tcPr>
          <w:p w14:paraId="0438DE9A" w14:textId="77777777" w:rsidR="00A720EB" w:rsidRDefault="0030286B">
            <w:pPr>
              <w:pStyle w:val="TableParagraph"/>
              <w:spacing w:before="92"/>
              <w:rPr>
                <w:rFonts w:ascii="Cambria"/>
                <w:sz w:val="21"/>
              </w:rPr>
            </w:pPr>
            <w:r>
              <w:rPr>
                <w:rFonts w:ascii="Cambria"/>
                <w:color w:val="333333"/>
                <w:w w:val="110"/>
                <w:sz w:val="21"/>
              </w:rPr>
              <w:t>Login user of the database to migrate.</w:t>
            </w:r>
          </w:p>
        </w:tc>
      </w:tr>
      <w:tr w:rsidR="00A720EB" w14:paraId="69FA3783" w14:textId="77777777">
        <w:trPr>
          <w:trHeight w:val="1056"/>
        </w:trPr>
        <w:tc>
          <w:tcPr>
            <w:tcW w:w="2494" w:type="dxa"/>
          </w:tcPr>
          <w:p w14:paraId="3712A44F" w14:textId="77777777" w:rsidR="00A720EB" w:rsidRDefault="0030286B">
            <w:pPr>
              <w:pStyle w:val="TableParagraph"/>
              <w:spacing w:line="264" w:lineRule="exact"/>
              <w:rPr>
                <w:sz w:val="21"/>
              </w:rPr>
            </w:pPr>
            <w:proofErr w:type="gramStart"/>
            <w:r>
              <w:rPr>
                <w:color w:val="B02045"/>
                <w:sz w:val="21"/>
              </w:rPr>
              <w:t>spring.flyway</w:t>
            </w:r>
            <w:proofErr w:type="gramEnd"/>
            <w:r>
              <w:rPr>
                <w:color w:val="B02045"/>
                <w:sz w:val="21"/>
              </w:rPr>
              <w:t>.validate</w:t>
            </w:r>
          </w:p>
          <w:p w14:paraId="61364669" w14:textId="77777777" w:rsidR="00A720EB" w:rsidRDefault="0030286B">
            <w:pPr>
              <w:pStyle w:val="TableParagraph"/>
              <w:spacing w:before="0" w:line="264" w:lineRule="exact"/>
              <w:rPr>
                <w:sz w:val="21"/>
              </w:rPr>
            </w:pPr>
            <w:r>
              <w:rPr>
                <w:color w:val="B02045"/>
                <w:sz w:val="21"/>
              </w:rPr>
              <w:t>-migration-naming</w:t>
            </w:r>
          </w:p>
        </w:tc>
        <w:tc>
          <w:tcPr>
            <w:tcW w:w="2494" w:type="dxa"/>
          </w:tcPr>
          <w:p w14:paraId="7A381091" w14:textId="77777777" w:rsidR="00A720EB" w:rsidRDefault="0030286B">
            <w:pPr>
              <w:pStyle w:val="TableParagraph"/>
              <w:rPr>
                <w:sz w:val="21"/>
              </w:rPr>
            </w:pPr>
            <w:r>
              <w:rPr>
                <w:color w:val="B02045"/>
                <w:sz w:val="21"/>
              </w:rPr>
              <w:t>false</w:t>
            </w:r>
          </w:p>
        </w:tc>
        <w:tc>
          <w:tcPr>
            <w:tcW w:w="4988" w:type="dxa"/>
          </w:tcPr>
          <w:p w14:paraId="53E0967E" w14:textId="77777777" w:rsidR="00A720EB" w:rsidRDefault="0030286B">
            <w:pPr>
              <w:pStyle w:val="TableParagraph"/>
              <w:spacing w:before="28" w:line="310" w:lineRule="atLeast"/>
              <w:ind w:right="373"/>
              <w:jc w:val="both"/>
              <w:rPr>
                <w:rFonts w:ascii="Cambria"/>
                <w:sz w:val="21"/>
              </w:rPr>
            </w:pPr>
            <w:r>
              <w:rPr>
                <w:rFonts w:ascii="Cambria"/>
                <w:color w:val="333333"/>
                <w:w w:val="110"/>
                <w:sz w:val="21"/>
              </w:rPr>
              <w:t>Whether to validate migrations and callbacks whose scripts do not obey the correct naming convention.</w:t>
            </w:r>
          </w:p>
        </w:tc>
      </w:tr>
      <w:tr w:rsidR="00A720EB" w14:paraId="56D945F9" w14:textId="77777777">
        <w:trPr>
          <w:trHeight w:val="741"/>
        </w:trPr>
        <w:tc>
          <w:tcPr>
            <w:tcW w:w="2494" w:type="dxa"/>
          </w:tcPr>
          <w:p w14:paraId="3F309154" w14:textId="77777777" w:rsidR="00A720EB" w:rsidRDefault="0030286B">
            <w:pPr>
              <w:pStyle w:val="TableParagraph"/>
              <w:spacing w:before="37" w:line="264" w:lineRule="exact"/>
              <w:rPr>
                <w:sz w:val="21"/>
              </w:rPr>
            </w:pPr>
            <w:proofErr w:type="gramStart"/>
            <w:r>
              <w:rPr>
                <w:color w:val="B02045"/>
                <w:sz w:val="21"/>
              </w:rPr>
              <w:lastRenderedPageBreak/>
              <w:t>spring.flyway</w:t>
            </w:r>
            <w:proofErr w:type="gramEnd"/>
            <w:r>
              <w:rPr>
                <w:color w:val="B02045"/>
                <w:sz w:val="21"/>
              </w:rPr>
              <w:t>.validate</w:t>
            </w:r>
          </w:p>
          <w:p w14:paraId="45441D34" w14:textId="77777777" w:rsidR="00A720EB" w:rsidRDefault="0030286B">
            <w:pPr>
              <w:pStyle w:val="TableParagraph"/>
              <w:spacing w:before="0" w:line="264" w:lineRule="exact"/>
              <w:rPr>
                <w:sz w:val="21"/>
              </w:rPr>
            </w:pPr>
            <w:r>
              <w:rPr>
                <w:color w:val="B02045"/>
                <w:sz w:val="21"/>
              </w:rPr>
              <w:t>-on-migrate</w:t>
            </w:r>
          </w:p>
        </w:tc>
        <w:tc>
          <w:tcPr>
            <w:tcW w:w="2494" w:type="dxa"/>
          </w:tcPr>
          <w:p w14:paraId="61213DFD" w14:textId="77777777" w:rsidR="00A720EB" w:rsidRDefault="0030286B">
            <w:pPr>
              <w:pStyle w:val="TableParagraph"/>
              <w:spacing w:before="37"/>
              <w:rPr>
                <w:sz w:val="21"/>
              </w:rPr>
            </w:pPr>
            <w:r>
              <w:rPr>
                <w:color w:val="B02045"/>
                <w:sz w:val="21"/>
              </w:rPr>
              <w:t>true</w:t>
            </w:r>
          </w:p>
        </w:tc>
        <w:tc>
          <w:tcPr>
            <w:tcW w:w="4988" w:type="dxa"/>
          </w:tcPr>
          <w:p w14:paraId="5353F48A" w14:textId="77777777" w:rsidR="00A720EB" w:rsidRDefault="0030286B">
            <w:pPr>
              <w:pStyle w:val="TableParagraph"/>
              <w:spacing w:before="28" w:line="310" w:lineRule="atLeast"/>
              <w:rPr>
                <w:rFonts w:ascii="Cambria"/>
                <w:sz w:val="21"/>
              </w:rPr>
            </w:pPr>
            <w:r>
              <w:rPr>
                <w:rFonts w:ascii="Cambria"/>
                <w:color w:val="333333"/>
                <w:w w:val="110"/>
                <w:sz w:val="21"/>
              </w:rPr>
              <w:t>Whether to automatically call validate when performing a migration.</w:t>
            </w:r>
          </w:p>
        </w:tc>
      </w:tr>
    </w:tbl>
    <w:p w14:paraId="685E3440"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F8F428F" w14:textId="77777777">
        <w:trPr>
          <w:trHeight w:val="415"/>
        </w:trPr>
        <w:tc>
          <w:tcPr>
            <w:tcW w:w="2494" w:type="dxa"/>
            <w:tcBorders>
              <w:bottom w:val="single" w:sz="12" w:space="0" w:color="DDDDDD"/>
            </w:tcBorders>
          </w:tcPr>
          <w:p w14:paraId="01077071"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57155D4"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7F6510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DBD1978" w14:textId="77777777">
        <w:trPr>
          <w:trHeight w:val="876"/>
        </w:trPr>
        <w:tc>
          <w:tcPr>
            <w:tcW w:w="2494" w:type="dxa"/>
            <w:tcBorders>
              <w:top w:val="single" w:sz="12" w:space="0" w:color="DDDDDD"/>
            </w:tcBorders>
          </w:tcPr>
          <w:p w14:paraId="35F95558" w14:textId="77777777" w:rsidR="00A720EB" w:rsidRDefault="0030286B">
            <w:pPr>
              <w:pStyle w:val="TableParagraph"/>
              <w:spacing w:before="36" w:line="230" w:lineRule="auto"/>
              <w:ind w:right="113"/>
              <w:rPr>
                <w:sz w:val="21"/>
              </w:rPr>
            </w:pPr>
            <w:proofErr w:type="gramStart"/>
            <w:r>
              <w:rPr>
                <w:color w:val="B02045"/>
                <w:sz w:val="21"/>
              </w:rPr>
              <w:t>spring.liquibase</w:t>
            </w:r>
            <w:proofErr w:type="gramEnd"/>
            <w:r>
              <w:rPr>
                <w:color w:val="B02045"/>
                <w:sz w:val="21"/>
              </w:rPr>
              <w:t>.chang e-log</w:t>
            </w:r>
          </w:p>
        </w:tc>
        <w:tc>
          <w:tcPr>
            <w:tcW w:w="2494" w:type="dxa"/>
            <w:tcBorders>
              <w:top w:val="single" w:sz="12" w:space="0" w:color="DDDDDD"/>
            </w:tcBorders>
          </w:tcPr>
          <w:p w14:paraId="394BF24D" w14:textId="77777777" w:rsidR="00A720EB" w:rsidRDefault="0030286B">
            <w:pPr>
              <w:pStyle w:val="TableParagraph"/>
              <w:spacing w:before="36" w:line="230" w:lineRule="auto"/>
              <w:ind w:right="113"/>
              <w:rPr>
                <w:sz w:val="21"/>
              </w:rPr>
            </w:pPr>
            <w:r>
              <w:rPr>
                <w:color w:val="B02045"/>
                <w:sz w:val="21"/>
              </w:rPr>
              <w:t xml:space="preserve">classpath:/db/changelo g/db.changelog- </w:t>
            </w:r>
            <w:proofErr w:type="gramStart"/>
            <w:r>
              <w:rPr>
                <w:color w:val="B02045"/>
                <w:sz w:val="21"/>
              </w:rPr>
              <w:t>master.yaml</w:t>
            </w:r>
            <w:proofErr w:type="gramEnd"/>
          </w:p>
        </w:tc>
        <w:tc>
          <w:tcPr>
            <w:tcW w:w="4988" w:type="dxa"/>
            <w:tcBorders>
              <w:top w:val="single" w:sz="12" w:space="0" w:color="DDDDDD"/>
            </w:tcBorders>
          </w:tcPr>
          <w:p w14:paraId="319B4BF1" w14:textId="77777777" w:rsidR="00A720EB" w:rsidRDefault="0030286B">
            <w:pPr>
              <w:pStyle w:val="TableParagraph"/>
              <w:spacing w:before="82"/>
              <w:rPr>
                <w:rFonts w:ascii="Cambria"/>
                <w:sz w:val="21"/>
              </w:rPr>
            </w:pPr>
            <w:r>
              <w:rPr>
                <w:rFonts w:ascii="Cambria"/>
                <w:color w:val="333333"/>
                <w:w w:val="110"/>
                <w:sz w:val="21"/>
              </w:rPr>
              <w:t>Change log configuration path.</w:t>
            </w:r>
          </w:p>
        </w:tc>
      </w:tr>
      <w:tr w:rsidR="00A720EB" w14:paraId="5B3FDDB2" w14:textId="77777777">
        <w:trPr>
          <w:trHeight w:val="1056"/>
        </w:trPr>
        <w:tc>
          <w:tcPr>
            <w:tcW w:w="2494" w:type="dxa"/>
          </w:tcPr>
          <w:p w14:paraId="4A86DDEB" w14:textId="77777777" w:rsidR="00A720EB" w:rsidRDefault="0030286B">
            <w:pPr>
              <w:pStyle w:val="TableParagraph"/>
              <w:spacing w:line="264" w:lineRule="exact"/>
              <w:rPr>
                <w:sz w:val="21"/>
              </w:rPr>
            </w:pPr>
            <w:proofErr w:type="gramStart"/>
            <w:r>
              <w:rPr>
                <w:color w:val="B02045"/>
                <w:sz w:val="21"/>
              </w:rPr>
              <w:t>spring.liquibase</w:t>
            </w:r>
            <w:proofErr w:type="gramEnd"/>
            <w:r>
              <w:rPr>
                <w:color w:val="B02045"/>
                <w:sz w:val="21"/>
              </w:rPr>
              <w:t>.clear</w:t>
            </w:r>
          </w:p>
          <w:p w14:paraId="32FC6B98" w14:textId="77777777" w:rsidR="00A720EB" w:rsidRDefault="0030286B">
            <w:pPr>
              <w:pStyle w:val="TableParagraph"/>
              <w:spacing w:before="0" w:line="264" w:lineRule="exact"/>
              <w:rPr>
                <w:sz w:val="21"/>
              </w:rPr>
            </w:pPr>
            <w:r>
              <w:rPr>
                <w:color w:val="B02045"/>
                <w:sz w:val="21"/>
              </w:rPr>
              <w:t>-checksums</w:t>
            </w:r>
          </w:p>
        </w:tc>
        <w:tc>
          <w:tcPr>
            <w:tcW w:w="2494" w:type="dxa"/>
          </w:tcPr>
          <w:p w14:paraId="18B87D4A" w14:textId="77777777" w:rsidR="00A720EB" w:rsidRDefault="0030286B">
            <w:pPr>
              <w:pStyle w:val="TableParagraph"/>
              <w:rPr>
                <w:sz w:val="21"/>
              </w:rPr>
            </w:pPr>
            <w:r>
              <w:rPr>
                <w:color w:val="B02045"/>
                <w:sz w:val="21"/>
              </w:rPr>
              <w:t>false</w:t>
            </w:r>
          </w:p>
        </w:tc>
        <w:tc>
          <w:tcPr>
            <w:tcW w:w="4988" w:type="dxa"/>
          </w:tcPr>
          <w:p w14:paraId="78AB35E7" w14:textId="77777777" w:rsidR="00A720EB" w:rsidRDefault="0030286B">
            <w:pPr>
              <w:pStyle w:val="TableParagraph"/>
              <w:spacing w:before="28" w:line="310" w:lineRule="atLeast"/>
              <w:rPr>
                <w:rFonts w:ascii="Cambria"/>
                <w:sz w:val="21"/>
              </w:rPr>
            </w:pPr>
            <w:r>
              <w:rPr>
                <w:rFonts w:ascii="Cambria"/>
                <w:color w:val="333333"/>
                <w:w w:val="110"/>
                <w:sz w:val="21"/>
              </w:rPr>
              <w:t>Whether to clear all checksums in the current changelog, so they will be recalculated upon the next update.</w:t>
            </w:r>
          </w:p>
        </w:tc>
      </w:tr>
      <w:tr w:rsidR="00A720EB" w14:paraId="2FAEF3FF" w14:textId="77777777">
        <w:trPr>
          <w:trHeight w:val="627"/>
        </w:trPr>
        <w:tc>
          <w:tcPr>
            <w:tcW w:w="2494" w:type="dxa"/>
          </w:tcPr>
          <w:p w14:paraId="3C28DC64" w14:textId="77777777" w:rsidR="00A720EB" w:rsidRDefault="0030286B">
            <w:pPr>
              <w:pStyle w:val="TableParagraph"/>
              <w:spacing w:before="46" w:line="230" w:lineRule="auto"/>
              <w:ind w:right="94"/>
              <w:rPr>
                <w:sz w:val="21"/>
              </w:rPr>
            </w:pPr>
            <w:proofErr w:type="gramStart"/>
            <w:r>
              <w:rPr>
                <w:color w:val="B02045"/>
                <w:sz w:val="21"/>
              </w:rPr>
              <w:t>spring.liquibase</w:t>
            </w:r>
            <w:proofErr w:type="gramEnd"/>
            <w:r>
              <w:rPr>
                <w:color w:val="B02045"/>
                <w:sz w:val="21"/>
              </w:rPr>
              <w:t>.conte xts</w:t>
            </w:r>
          </w:p>
        </w:tc>
        <w:tc>
          <w:tcPr>
            <w:tcW w:w="2494" w:type="dxa"/>
          </w:tcPr>
          <w:p w14:paraId="069BC34B" w14:textId="77777777" w:rsidR="00A720EB" w:rsidRDefault="00A720EB">
            <w:pPr>
              <w:pStyle w:val="TableParagraph"/>
              <w:spacing w:before="0"/>
              <w:ind w:left="0"/>
              <w:rPr>
                <w:rFonts w:ascii="Times New Roman"/>
                <w:sz w:val="20"/>
              </w:rPr>
            </w:pPr>
          </w:p>
        </w:tc>
        <w:tc>
          <w:tcPr>
            <w:tcW w:w="4988" w:type="dxa"/>
          </w:tcPr>
          <w:p w14:paraId="209FDB5B" w14:textId="77777777" w:rsidR="00A720EB" w:rsidRDefault="0030286B">
            <w:pPr>
              <w:pStyle w:val="TableParagraph"/>
              <w:spacing w:before="92"/>
              <w:rPr>
                <w:rFonts w:ascii="Cambria"/>
                <w:sz w:val="21"/>
              </w:rPr>
            </w:pPr>
            <w:r>
              <w:rPr>
                <w:rFonts w:ascii="Cambria"/>
                <w:color w:val="333333"/>
                <w:w w:val="110"/>
                <w:sz w:val="21"/>
              </w:rPr>
              <w:t>Comma-separated list of runtime contexts to use.</w:t>
            </w:r>
          </w:p>
        </w:tc>
      </w:tr>
      <w:tr w:rsidR="00A720EB" w14:paraId="395A30D6" w14:textId="77777777">
        <w:trPr>
          <w:trHeight w:val="886"/>
        </w:trPr>
        <w:tc>
          <w:tcPr>
            <w:tcW w:w="2494" w:type="dxa"/>
          </w:tcPr>
          <w:p w14:paraId="65D3517B" w14:textId="77777777" w:rsidR="00A720EB" w:rsidRDefault="0030286B">
            <w:pPr>
              <w:pStyle w:val="TableParagraph"/>
              <w:spacing w:before="46" w:line="230" w:lineRule="auto"/>
              <w:ind w:right="113"/>
              <w:rPr>
                <w:sz w:val="21"/>
              </w:rPr>
            </w:pPr>
            <w:proofErr w:type="gramStart"/>
            <w:r>
              <w:rPr>
                <w:color w:val="B02045"/>
                <w:sz w:val="21"/>
              </w:rPr>
              <w:t>spring.liquibase</w:t>
            </w:r>
            <w:proofErr w:type="gramEnd"/>
            <w:r>
              <w:rPr>
                <w:color w:val="B02045"/>
                <w:sz w:val="21"/>
              </w:rPr>
              <w:t>.datab ase-change-log-lock- table</w:t>
            </w:r>
          </w:p>
        </w:tc>
        <w:tc>
          <w:tcPr>
            <w:tcW w:w="2494" w:type="dxa"/>
          </w:tcPr>
          <w:p w14:paraId="76E9BF56" w14:textId="77777777" w:rsidR="00A720EB" w:rsidRDefault="0030286B">
            <w:pPr>
              <w:pStyle w:val="TableParagraph"/>
              <w:spacing w:before="37"/>
              <w:rPr>
                <w:sz w:val="21"/>
              </w:rPr>
            </w:pPr>
            <w:r>
              <w:rPr>
                <w:color w:val="B02045"/>
                <w:sz w:val="21"/>
              </w:rPr>
              <w:t>DATABASECHANGELOGLOCK</w:t>
            </w:r>
          </w:p>
        </w:tc>
        <w:tc>
          <w:tcPr>
            <w:tcW w:w="4988" w:type="dxa"/>
          </w:tcPr>
          <w:p w14:paraId="005E366A" w14:textId="77777777" w:rsidR="00A720EB" w:rsidRDefault="0030286B">
            <w:pPr>
              <w:pStyle w:val="TableParagraph"/>
              <w:spacing w:before="92" w:line="307" w:lineRule="auto"/>
              <w:rPr>
                <w:rFonts w:ascii="Cambria"/>
                <w:sz w:val="21"/>
              </w:rPr>
            </w:pPr>
            <w:r>
              <w:rPr>
                <w:rFonts w:ascii="Cambria"/>
                <w:color w:val="333333"/>
                <w:w w:val="110"/>
                <w:sz w:val="21"/>
              </w:rPr>
              <w:t>Name of table to use for tracking concurrent Liquibase usage.</w:t>
            </w:r>
          </w:p>
        </w:tc>
      </w:tr>
      <w:tr w:rsidR="00A720EB" w14:paraId="79CF38F0" w14:textId="77777777">
        <w:trPr>
          <w:trHeight w:val="627"/>
        </w:trPr>
        <w:tc>
          <w:tcPr>
            <w:tcW w:w="2494" w:type="dxa"/>
          </w:tcPr>
          <w:p w14:paraId="541061A7" w14:textId="77777777" w:rsidR="00A720EB" w:rsidRDefault="0030286B">
            <w:pPr>
              <w:pStyle w:val="TableParagraph"/>
              <w:spacing w:before="46" w:line="230" w:lineRule="auto"/>
              <w:ind w:right="113"/>
              <w:rPr>
                <w:sz w:val="21"/>
              </w:rPr>
            </w:pPr>
            <w:proofErr w:type="gramStart"/>
            <w:r>
              <w:rPr>
                <w:color w:val="B02045"/>
                <w:sz w:val="21"/>
              </w:rPr>
              <w:t>spring.liquibase</w:t>
            </w:r>
            <w:proofErr w:type="gramEnd"/>
            <w:r>
              <w:rPr>
                <w:color w:val="B02045"/>
                <w:sz w:val="21"/>
              </w:rPr>
              <w:t>.datab ase-change-log-table</w:t>
            </w:r>
          </w:p>
        </w:tc>
        <w:tc>
          <w:tcPr>
            <w:tcW w:w="2494" w:type="dxa"/>
          </w:tcPr>
          <w:p w14:paraId="137F18B7" w14:textId="77777777" w:rsidR="00A720EB" w:rsidRDefault="0030286B">
            <w:pPr>
              <w:pStyle w:val="TableParagraph"/>
              <w:rPr>
                <w:sz w:val="21"/>
              </w:rPr>
            </w:pPr>
            <w:r>
              <w:rPr>
                <w:color w:val="B02045"/>
                <w:sz w:val="21"/>
              </w:rPr>
              <w:t>DATABASECHANGELOG</w:t>
            </w:r>
          </w:p>
        </w:tc>
        <w:tc>
          <w:tcPr>
            <w:tcW w:w="4988" w:type="dxa"/>
          </w:tcPr>
          <w:p w14:paraId="0DE3DE2E" w14:textId="77777777" w:rsidR="00A720EB" w:rsidRDefault="0030286B">
            <w:pPr>
              <w:pStyle w:val="TableParagraph"/>
              <w:spacing w:before="92"/>
              <w:rPr>
                <w:rFonts w:ascii="Cambria"/>
                <w:sz w:val="21"/>
              </w:rPr>
            </w:pPr>
            <w:r>
              <w:rPr>
                <w:rFonts w:ascii="Cambria"/>
                <w:color w:val="333333"/>
                <w:w w:val="110"/>
                <w:sz w:val="21"/>
              </w:rPr>
              <w:t>Name of table to use for tracking change history.</w:t>
            </w:r>
          </w:p>
        </w:tc>
      </w:tr>
      <w:tr w:rsidR="00A720EB" w14:paraId="0290800F" w14:textId="77777777">
        <w:trPr>
          <w:trHeight w:val="627"/>
        </w:trPr>
        <w:tc>
          <w:tcPr>
            <w:tcW w:w="2494" w:type="dxa"/>
          </w:tcPr>
          <w:p w14:paraId="1DC8522A" w14:textId="77777777" w:rsidR="00A720EB" w:rsidRDefault="0030286B">
            <w:pPr>
              <w:pStyle w:val="TableParagraph"/>
              <w:spacing w:before="46" w:line="230" w:lineRule="auto"/>
              <w:ind w:right="113"/>
              <w:rPr>
                <w:sz w:val="21"/>
              </w:rPr>
            </w:pPr>
            <w:proofErr w:type="gramStart"/>
            <w:r>
              <w:rPr>
                <w:color w:val="B02045"/>
                <w:sz w:val="21"/>
              </w:rPr>
              <w:t>spring.liquibase</w:t>
            </w:r>
            <w:proofErr w:type="gramEnd"/>
            <w:r>
              <w:rPr>
                <w:color w:val="B02045"/>
                <w:sz w:val="21"/>
              </w:rPr>
              <w:t>.defau lt-schema</w:t>
            </w:r>
          </w:p>
        </w:tc>
        <w:tc>
          <w:tcPr>
            <w:tcW w:w="2494" w:type="dxa"/>
          </w:tcPr>
          <w:p w14:paraId="2904DC37" w14:textId="77777777" w:rsidR="00A720EB" w:rsidRDefault="00A720EB">
            <w:pPr>
              <w:pStyle w:val="TableParagraph"/>
              <w:spacing w:before="0"/>
              <w:ind w:left="0"/>
              <w:rPr>
                <w:rFonts w:ascii="Times New Roman"/>
                <w:sz w:val="20"/>
              </w:rPr>
            </w:pPr>
          </w:p>
        </w:tc>
        <w:tc>
          <w:tcPr>
            <w:tcW w:w="4988" w:type="dxa"/>
          </w:tcPr>
          <w:p w14:paraId="3A810458" w14:textId="77777777" w:rsidR="00A720EB" w:rsidRDefault="0030286B">
            <w:pPr>
              <w:pStyle w:val="TableParagraph"/>
              <w:spacing w:before="92"/>
              <w:rPr>
                <w:rFonts w:ascii="Cambria"/>
                <w:sz w:val="21"/>
              </w:rPr>
            </w:pPr>
            <w:r>
              <w:rPr>
                <w:rFonts w:ascii="Cambria"/>
                <w:color w:val="333333"/>
                <w:w w:val="110"/>
                <w:sz w:val="21"/>
              </w:rPr>
              <w:t>Default database schema.</w:t>
            </w:r>
          </w:p>
        </w:tc>
      </w:tr>
      <w:tr w:rsidR="00A720EB" w14:paraId="2E950310" w14:textId="77777777">
        <w:trPr>
          <w:trHeight w:val="627"/>
        </w:trPr>
        <w:tc>
          <w:tcPr>
            <w:tcW w:w="2494" w:type="dxa"/>
          </w:tcPr>
          <w:p w14:paraId="7C8D7BFD" w14:textId="77777777" w:rsidR="00A720EB" w:rsidRDefault="0030286B">
            <w:pPr>
              <w:pStyle w:val="TableParagraph"/>
              <w:spacing w:before="46" w:line="230" w:lineRule="auto"/>
              <w:ind w:right="94"/>
              <w:rPr>
                <w:sz w:val="21"/>
              </w:rPr>
            </w:pPr>
            <w:proofErr w:type="gramStart"/>
            <w:r>
              <w:rPr>
                <w:color w:val="B02045"/>
                <w:sz w:val="21"/>
              </w:rPr>
              <w:t>spring.liquibase</w:t>
            </w:r>
            <w:proofErr w:type="gramEnd"/>
            <w:r>
              <w:rPr>
                <w:color w:val="B02045"/>
                <w:sz w:val="21"/>
              </w:rPr>
              <w:t>.drop- first</w:t>
            </w:r>
          </w:p>
        </w:tc>
        <w:tc>
          <w:tcPr>
            <w:tcW w:w="2494" w:type="dxa"/>
          </w:tcPr>
          <w:p w14:paraId="5ADA901F" w14:textId="77777777" w:rsidR="00A720EB" w:rsidRDefault="0030286B">
            <w:pPr>
              <w:pStyle w:val="TableParagraph"/>
              <w:spacing w:before="37"/>
              <w:rPr>
                <w:sz w:val="21"/>
              </w:rPr>
            </w:pPr>
            <w:r>
              <w:rPr>
                <w:color w:val="B02045"/>
                <w:sz w:val="21"/>
              </w:rPr>
              <w:t>false</w:t>
            </w:r>
          </w:p>
        </w:tc>
        <w:tc>
          <w:tcPr>
            <w:tcW w:w="4988" w:type="dxa"/>
          </w:tcPr>
          <w:p w14:paraId="0DD7E5BC" w14:textId="77777777" w:rsidR="00A720EB" w:rsidRDefault="0030286B">
            <w:pPr>
              <w:pStyle w:val="TableParagraph"/>
              <w:spacing w:before="92"/>
              <w:rPr>
                <w:rFonts w:ascii="Cambria"/>
                <w:sz w:val="21"/>
              </w:rPr>
            </w:pPr>
            <w:r>
              <w:rPr>
                <w:rFonts w:ascii="Cambria"/>
                <w:color w:val="333333"/>
                <w:w w:val="110"/>
                <w:sz w:val="21"/>
              </w:rPr>
              <w:t>Whether to first drop the database schema.</w:t>
            </w:r>
          </w:p>
        </w:tc>
      </w:tr>
      <w:tr w:rsidR="00A720EB" w14:paraId="708CB5D1" w14:textId="77777777">
        <w:trPr>
          <w:trHeight w:val="627"/>
        </w:trPr>
        <w:tc>
          <w:tcPr>
            <w:tcW w:w="2494" w:type="dxa"/>
          </w:tcPr>
          <w:p w14:paraId="25A34545" w14:textId="77777777" w:rsidR="00A720EB" w:rsidRDefault="0030286B">
            <w:pPr>
              <w:pStyle w:val="TableParagraph"/>
              <w:spacing w:before="46" w:line="230" w:lineRule="auto"/>
              <w:ind w:right="94"/>
              <w:rPr>
                <w:sz w:val="21"/>
              </w:rPr>
            </w:pPr>
            <w:proofErr w:type="gramStart"/>
            <w:r>
              <w:rPr>
                <w:color w:val="B02045"/>
                <w:sz w:val="21"/>
              </w:rPr>
              <w:t>spring.liquibase</w:t>
            </w:r>
            <w:proofErr w:type="gramEnd"/>
            <w:r>
              <w:rPr>
                <w:color w:val="B02045"/>
                <w:sz w:val="21"/>
              </w:rPr>
              <w:t>.enabl ed</w:t>
            </w:r>
          </w:p>
        </w:tc>
        <w:tc>
          <w:tcPr>
            <w:tcW w:w="2494" w:type="dxa"/>
          </w:tcPr>
          <w:p w14:paraId="03A53459" w14:textId="77777777" w:rsidR="00A720EB" w:rsidRDefault="0030286B">
            <w:pPr>
              <w:pStyle w:val="TableParagraph"/>
              <w:spacing w:before="37"/>
              <w:rPr>
                <w:sz w:val="21"/>
              </w:rPr>
            </w:pPr>
            <w:r>
              <w:rPr>
                <w:color w:val="B02045"/>
                <w:sz w:val="21"/>
              </w:rPr>
              <w:t>true</w:t>
            </w:r>
          </w:p>
        </w:tc>
        <w:tc>
          <w:tcPr>
            <w:tcW w:w="4988" w:type="dxa"/>
          </w:tcPr>
          <w:p w14:paraId="73D5EA5C" w14:textId="77777777" w:rsidR="00A720EB" w:rsidRDefault="0030286B">
            <w:pPr>
              <w:pStyle w:val="TableParagraph"/>
              <w:spacing w:before="92"/>
              <w:rPr>
                <w:rFonts w:ascii="Cambria"/>
                <w:sz w:val="21"/>
              </w:rPr>
            </w:pPr>
            <w:r>
              <w:rPr>
                <w:rFonts w:ascii="Cambria"/>
                <w:color w:val="333333"/>
                <w:w w:val="110"/>
                <w:sz w:val="21"/>
              </w:rPr>
              <w:t>Whether to enable Liquibase support.</w:t>
            </w:r>
          </w:p>
        </w:tc>
      </w:tr>
      <w:tr w:rsidR="00A720EB" w14:paraId="52A585D6" w14:textId="77777777">
        <w:trPr>
          <w:trHeight w:val="627"/>
        </w:trPr>
        <w:tc>
          <w:tcPr>
            <w:tcW w:w="2494" w:type="dxa"/>
          </w:tcPr>
          <w:p w14:paraId="6128106E" w14:textId="77777777" w:rsidR="00A720EB" w:rsidRDefault="0030286B">
            <w:pPr>
              <w:pStyle w:val="TableParagraph"/>
              <w:spacing w:before="46" w:line="230" w:lineRule="auto"/>
              <w:ind w:right="94"/>
              <w:rPr>
                <w:sz w:val="21"/>
              </w:rPr>
            </w:pPr>
            <w:proofErr w:type="gramStart"/>
            <w:r>
              <w:rPr>
                <w:color w:val="B02045"/>
                <w:sz w:val="21"/>
              </w:rPr>
              <w:t>spring.liquibase</w:t>
            </w:r>
            <w:proofErr w:type="gramEnd"/>
            <w:r>
              <w:rPr>
                <w:color w:val="B02045"/>
                <w:sz w:val="21"/>
              </w:rPr>
              <w:t>.label s</w:t>
            </w:r>
          </w:p>
        </w:tc>
        <w:tc>
          <w:tcPr>
            <w:tcW w:w="2494" w:type="dxa"/>
          </w:tcPr>
          <w:p w14:paraId="590B2F64" w14:textId="77777777" w:rsidR="00A720EB" w:rsidRDefault="00A720EB">
            <w:pPr>
              <w:pStyle w:val="TableParagraph"/>
              <w:spacing w:before="0"/>
              <w:ind w:left="0"/>
              <w:rPr>
                <w:rFonts w:ascii="Times New Roman"/>
                <w:sz w:val="20"/>
              </w:rPr>
            </w:pPr>
          </w:p>
        </w:tc>
        <w:tc>
          <w:tcPr>
            <w:tcW w:w="4988" w:type="dxa"/>
          </w:tcPr>
          <w:p w14:paraId="1D25EA98" w14:textId="77777777" w:rsidR="00A720EB" w:rsidRDefault="0030286B">
            <w:pPr>
              <w:pStyle w:val="TableParagraph"/>
              <w:spacing w:before="92"/>
              <w:rPr>
                <w:rFonts w:ascii="Cambria"/>
                <w:sz w:val="21"/>
              </w:rPr>
            </w:pPr>
            <w:r>
              <w:rPr>
                <w:rFonts w:ascii="Cambria"/>
                <w:color w:val="333333"/>
                <w:w w:val="110"/>
                <w:sz w:val="21"/>
              </w:rPr>
              <w:t>Comma-separated list of runtime labels to use.</w:t>
            </w:r>
          </w:p>
        </w:tc>
      </w:tr>
      <w:tr w:rsidR="00A720EB" w14:paraId="76815D2F" w14:textId="77777777">
        <w:trPr>
          <w:trHeight w:val="627"/>
        </w:trPr>
        <w:tc>
          <w:tcPr>
            <w:tcW w:w="2494" w:type="dxa"/>
          </w:tcPr>
          <w:p w14:paraId="330C3A8F" w14:textId="77777777" w:rsidR="00A720EB" w:rsidRDefault="0030286B">
            <w:pPr>
              <w:pStyle w:val="TableParagraph"/>
              <w:spacing w:before="46" w:line="230" w:lineRule="auto"/>
              <w:ind w:right="113"/>
              <w:rPr>
                <w:sz w:val="21"/>
              </w:rPr>
            </w:pPr>
            <w:proofErr w:type="gramStart"/>
            <w:r>
              <w:rPr>
                <w:color w:val="B02045"/>
                <w:sz w:val="21"/>
              </w:rPr>
              <w:t>spring.liquibase</w:t>
            </w:r>
            <w:proofErr w:type="gramEnd"/>
            <w:r>
              <w:rPr>
                <w:color w:val="B02045"/>
                <w:sz w:val="21"/>
              </w:rPr>
              <w:t>.liqui base-schema</w:t>
            </w:r>
          </w:p>
        </w:tc>
        <w:tc>
          <w:tcPr>
            <w:tcW w:w="2494" w:type="dxa"/>
          </w:tcPr>
          <w:p w14:paraId="772F554A" w14:textId="77777777" w:rsidR="00A720EB" w:rsidRDefault="00A720EB">
            <w:pPr>
              <w:pStyle w:val="TableParagraph"/>
              <w:spacing w:before="0"/>
              <w:ind w:left="0"/>
              <w:rPr>
                <w:rFonts w:ascii="Times New Roman"/>
                <w:sz w:val="20"/>
              </w:rPr>
            </w:pPr>
          </w:p>
        </w:tc>
        <w:tc>
          <w:tcPr>
            <w:tcW w:w="4988" w:type="dxa"/>
          </w:tcPr>
          <w:p w14:paraId="6DE7F3D0" w14:textId="77777777" w:rsidR="00A720EB" w:rsidRDefault="0030286B">
            <w:pPr>
              <w:pStyle w:val="TableParagraph"/>
              <w:spacing w:before="92"/>
              <w:rPr>
                <w:rFonts w:ascii="Cambria"/>
                <w:sz w:val="21"/>
              </w:rPr>
            </w:pPr>
            <w:r>
              <w:rPr>
                <w:rFonts w:ascii="Cambria"/>
                <w:color w:val="333333"/>
                <w:w w:val="110"/>
                <w:sz w:val="21"/>
              </w:rPr>
              <w:t>Schema to use for Liquibase objects.</w:t>
            </w:r>
          </w:p>
        </w:tc>
      </w:tr>
      <w:tr w:rsidR="00A720EB" w14:paraId="0C504C8A" w14:textId="77777777">
        <w:trPr>
          <w:trHeight w:val="627"/>
        </w:trPr>
        <w:tc>
          <w:tcPr>
            <w:tcW w:w="2494" w:type="dxa"/>
          </w:tcPr>
          <w:p w14:paraId="5BE0C032" w14:textId="77777777" w:rsidR="00A720EB" w:rsidRDefault="0030286B">
            <w:pPr>
              <w:pStyle w:val="TableParagraph"/>
              <w:spacing w:before="46" w:line="230" w:lineRule="auto"/>
              <w:ind w:right="113"/>
              <w:rPr>
                <w:sz w:val="21"/>
              </w:rPr>
            </w:pPr>
            <w:proofErr w:type="gramStart"/>
            <w:r>
              <w:rPr>
                <w:color w:val="B02045"/>
                <w:sz w:val="21"/>
              </w:rPr>
              <w:t>spring.liquibase</w:t>
            </w:r>
            <w:proofErr w:type="gramEnd"/>
            <w:r>
              <w:rPr>
                <w:color w:val="B02045"/>
                <w:sz w:val="21"/>
              </w:rPr>
              <w:t>.liqui base-tablespace</w:t>
            </w:r>
          </w:p>
        </w:tc>
        <w:tc>
          <w:tcPr>
            <w:tcW w:w="2494" w:type="dxa"/>
          </w:tcPr>
          <w:p w14:paraId="583A1C33" w14:textId="77777777" w:rsidR="00A720EB" w:rsidRDefault="00A720EB">
            <w:pPr>
              <w:pStyle w:val="TableParagraph"/>
              <w:spacing w:before="0"/>
              <w:ind w:left="0"/>
              <w:rPr>
                <w:rFonts w:ascii="Times New Roman"/>
                <w:sz w:val="20"/>
              </w:rPr>
            </w:pPr>
          </w:p>
        </w:tc>
        <w:tc>
          <w:tcPr>
            <w:tcW w:w="4988" w:type="dxa"/>
          </w:tcPr>
          <w:p w14:paraId="4858A8CB" w14:textId="77777777" w:rsidR="00A720EB" w:rsidRDefault="0030286B">
            <w:pPr>
              <w:pStyle w:val="TableParagraph"/>
              <w:spacing w:before="92"/>
              <w:rPr>
                <w:rFonts w:ascii="Cambria"/>
                <w:sz w:val="21"/>
              </w:rPr>
            </w:pPr>
            <w:r>
              <w:rPr>
                <w:rFonts w:ascii="Cambria"/>
                <w:color w:val="333333"/>
                <w:w w:val="110"/>
                <w:sz w:val="21"/>
              </w:rPr>
              <w:t>Tablespace to use for Liquibase objects.</w:t>
            </w:r>
          </w:p>
        </w:tc>
      </w:tr>
      <w:tr w:rsidR="00A720EB" w14:paraId="2E1218DD" w14:textId="77777777">
        <w:trPr>
          <w:trHeight w:val="627"/>
        </w:trPr>
        <w:tc>
          <w:tcPr>
            <w:tcW w:w="2494" w:type="dxa"/>
          </w:tcPr>
          <w:p w14:paraId="7F9506F9" w14:textId="77777777" w:rsidR="00A720EB" w:rsidRDefault="0030286B">
            <w:pPr>
              <w:pStyle w:val="TableParagraph"/>
              <w:spacing w:before="46" w:line="230" w:lineRule="auto"/>
              <w:ind w:right="94"/>
              <w:rPr>
                <w:sz w:val="21"/>
              </w:rPr>
            </w:pPr>
            <w:proofErr w:type="gramStart"/>
            <w:r>
              <w:rPr>
                <w:color w:val="B02045"/>
                <w:sz w:val="21"/>
              </w:rPr>
              <w:t>spring.liquibase</w:t>
            </w:r>
            <w:proofErr w:type="gramEnd"/>
            <w:r>
              <w:rPr>
                <w:color w:val="B02045"/>
                <w:sz w:val="21"/>
              </w:rPr>
              <w:t>.param eters.*</w:t>
            </w:r>
          </w:p>
        </w:tc>
        <w:tc>
          <w:tcPr>
            <w:tcW w:w="2494" w:type="dxa"/>
          </w:tcPr>
          <w:p w14:paraId="13396B2E" w14:textId="77777777" w:rsidR="00A720EB" w:rsidRDefault="00A720EB">
            <w:pPr>
              <w:pStyle w:val="TableParagraph"/>
              <w:spacing w:before="0"/>
              <w:ind w:left="0"/>
              <w:rPr>
                <w:rFonts w:ascii="Times New Roman"/>
                <w:sz w:val="20"/>
              </w:rPr>
            </w:pPr>
          </w:p>
        </w:tc>
        <w:tc>
          <w:tcPr>
            <w:tcW w:w="4988" w:type="dxa"/>
          </w:tcPr>
          <w:p w14:paraId="1CD18CC5" w14:textId="77777777" w:rsidR="00A720EB" w:rsidRDefault="0030286B">
            <w:pPr>
              <w:pStyle w:val="TableParagraph"/>
              <w:spacing w:before="92"/>
              <w:rPr>
                <w:rFonts w:ascii="Cambria"/>
                <w:sz w:val="21"/>
              </w:rPr>
            </w:pPr>
            <w:r>
              <w:rPr>
                <w:rFonts w:ascii="Cambria"/>
                <w:color w:val="333333"/>
                <w:w w:val="110"/>
                <w:sz w:val="21"/>
              </w:rPr>
              <w:t>Change log parameters.</w:t>
            </w:r>
          </w:p>
        </w:tc>
      </w:tr>
      <w:tr w:rsidR="00A720EB" w14:paraId="0479D180" w14:textId="77777777">
        <w:trPr>
          <w:trHeight w:val="627"/>
        </w:trPr>
        <w:tc>
          <w:tcPr>
            <w:tcW w:w="2494" w:type="dxa"/>
          </w:tcPr>
          <w:p w14:paraId="0750B213" w14:textId="77777777" w:rsidR="00A720EB" w:rsidRDefault="0030286B">
            <w:pPr>
              <w:pStyle w:val="TableParagraph"/>
              <w:spacing w:before="46" w:line="230" w:lineRule="auto"/>
              <w:ind w:right="94"/>
              <w:rPr>
                <w:sz w:val="21"/>
              </w:rPr>
            </w:pPr>
            <w:proofErr w:type="gramStart"/>
            <w:r>
              <w:rPr>
                <w:color w:val="B02045"/>
                <w:sz w:val="21"/>
              </w:rPr>
              <w:t>spring.liquibase</w:t>
            </w:r>
            <w:proofErr w:type="gramEnd"/>
            <w:r>
              <w:rPr>
                <w:color w:val="B02045"/>
                <w:sz w:val="21"/>
              </w:rPr>
              <w:t>.passw ord</w:t>
            </w:r>
          </w:p>
        </w:tc>
        <w:tc>
          <w:tcPr>
            <w:tcW w:w="2494" w:type="dxa"/>
          </w:tcPr>
          <w:p w14:paraId="3DCC49EF" w14:textId="77777777" w:rsidR="00A720EB" w:rsidRDefault="00A720EB">
            <w:pPr>
              <w:pStyle w:val="TableParagraph"/>
              <w:spacing w:before="0"/>
              <w:ind w:left="0"/>
              <w:rPr>
                <w:rFonts w:ascii="Times New Roman"/>
                <w:sz w:val="20"/>
              </w:rPr>
            </w:pPr>
          </w:p>
        </w:tc>
        <w:tc>
          <w:tcPr>
            <w:tcW w:w="4988" w:type="dxa"/>
          </w:tcPr>
          <w:p w14:paraId="613D3728" w14:textId="77777777" w:rsidR="00A720EB" w:rsidRDefault="0030286B">
            <w:pPr>
              <w:pStyle w:val="TableParagraph"/>
              <w:spacing w:before="92"/>
              <w:rPr>
                <w:rFonts w:ascii="Cambria"/>
                <w:sz w:val="21"/>
              </w:rPr>
            </w:pPr>
            <w:r>
              <w:rPr>
                <w:rFonts w:ascii="Cambria"/>
                <w:color w:val="333333"/>
                <w:w w:val="110"/>
                <w:sz w:val="21"/>
              </w:rPr>
              <w:t>Login password of the database to migrate.</w:t>
            </w:r>
          </w:p>
        </w:tc>
      </w:tr>
      <w:tr w:rsidR="00A720EB" w14:paraId="29801009" w14:textId="77777777">
        <w:trPr>
          <w:trHeight w:val="741"/>
        </w:trPr>
        <w:tc>
          <w:tcPr>
            <w:tcW w:w="2494" w:type="dxa"/>
          </w:tcPr>
          <w:p w14:paraId="5066D86B" w14:textId="77777777" w:rsidR="00A720EB" w:rsidRDefault="0030286B">
            <w:pPr>
              <w:pStyle w:val="TableParagraph"/>
              <w:spacing w:before="46" w:line="230" w:lineRule="auto"/>
              <w:ind w:right="113"/>
              <w:rPr>
                <w:sz w:val="21"/>
              </w:rPr>
            </w:pPr>
            <w:proofErr w:type="gramStart"/>
            <w:r>
              <w:rPr>
                <w:color w:val="B02045"/>
                <w:sz w:val="21"/>
              </w:rPr>
              <w:t>spring.liquibase</w:t>
            </w:r>
            <w:proofErr w:type="gramEnd"/>
            <w:r>
              <w:rPr>
                <w:color w:val="B02045"/>
                <w:sz w:val="21"/>
              </w:rPr>
              <w:t>.rollb ack-file</w:t>
            </w:r>
          </w:p>
        </w:tc>
        <w:tc>
          <w:tcPr>
            <w:tcW w:w="2494" w:type="dxa"/>
          </w:tcPr>
          <w:p w14:paraId="14894E33" w14:textId="77777777" w:rsidR="00A720EB" w:rsidRDefault="00A720EB">
            <w:pPr>
              <w:pStyle w:val="TableParagraph"/>
              <w:spacing w:before="0"/>
              <w:ind w:left="0"/>
              <w:rPr>
                <w:rFonts w:ascii="Times New Roman"/>
                <w:sz w:val="20"/>
              </w:rPr>
            </w:pPr>
          </w:p>
        </w:tc>
        <w:tc>
          <w:tcPr>
            <w:tcW w:w="4988" w:type="dxa"/>
          </w:tcPr>
          <w:p w14:paraId="7289BF62" w14:textId="77777777" w:rsidR="00A720EB" w:rsidRDefault="0030286B">
            <w:pPr>
              <w:pStyle w:val="TableParagraph"/>
              <w:spacing w:before="28" w:line="310" w:lineRule="atLeast"/>
              <w:rPr>
                <w:rFonts w:ascii="Cambria"/>
                <w:sz w:val="21"/>
              </w:rPr>
            </w:pPr>
            <w:r>
              <w:rPr>
                <w:rFonts w:ascii="Cambria"/>
                <w:color w:val="333333"/>
                <w:w w:val="110"/>
                <w:sz w:val="21"/>
              </w:rPr>
              <w:t>File to which rollback SQL is written when an update is performed.</w:t>
            </w:r>
          </w:p>
        </w:tc>
      </w:tr>
      <w:tr w:rsidR="00A720EB" w14:paraId="2B8E0AA2" w14:textId="77777777">
        <w:trPr>
          <w:trHeight w:val="1372"/>
        </w:trPr>
        <w:tc>
          <w:tcPr>
            <w:tcW w:w="2494" w:type="dxa"/>
          </w:tcPr>
          <w:p w14:paraId="30F3DF72" w14:textId="77777777" w:rsidR="00A720EB" w:rsidRDefault="0030286B">
            <w:pPr>
              <w:pStyle w:val="TableParagraph"/>
              <w:rPr>
                <w:sz w:val="21"/>
              </w:rPr>
            </w:pPr>
            <w:r>
              <w:rPr>
                <w:color w:val="B02045"/>
                <w:sz w:val="21"/>
              </w:rPr>
              <w:t>spring.liquibase.tag</w:t>
            </w:r>
          </w:p>
        </w:tc>
        <w:tc>
          <w:tcPr>
            <w:tcW w:w="2494" w:type="dxa"/>
          </w:tcPr>
          <w:p w14:paraId="16CFD868" w14:textId="77777777" w:rsidR="00A720EB" w:rsidRDefault="00A720EB">
            <w:pPr>
              <w:pStyle w:val="TableParagraph"/>
              <w:spacing w:before="0"/>
              <w:ind w:left="0"/>
              <w:rPr>
                <w:rFonts w:ascii="Times New Roman"/>
                <w:sz w:val="20"/>
              </w:rPr>
            </w:pPr>
          </w:p>
        </w:tc>
        <w:tc>
          <w:tcPr>
            <w:tcW w:w="4988" w:type="dxa"/>
          </w:tcPr>
          <w:p w14:paraId="3EADC5E7" w14:textId="77777777" w:rsidR="00A720EB" w:rsidRDefault="0030286B">
            <w:pPr>
              <w:pStyle w:val="TableParagraph"/>
              <w:spacing w:before="28" w:line="310" w:lineRule="atLeast"/>
              <w:ind w:right="181"/>
              <w:rPr>
                <w:rFonts w:ascii="Cambria"/>
                <w:sz w:val="21"/>
              </w:rPr>
            </w:pPr>
            <w:r>
              <w:rPr>
                <w:rFonts w:ascii="Cambria"/>
                <w:color w:val="333333"/>
                <w:w w:val="110"/>
                <w:sz w:val="21"/>
              </w:rPr>
              <w:t>Tag name to use when applying database changes. Can also be used with "rollbackFile" to generate a rollback script for all existing changes associated with that tag.</w:t>
            </w:r>
          </w:p>
        </w:tc>
      </w:tr>
      <w:tr w:rsidR="00A720EB" w14:paraId="23C4A250" w14:textId="77777777">
        <w:trPr>
          <w:trHeight w:val="741"/>
        </w:trPr>
        <w:tc>
          <w:tcPr>
            <w:tcW w:w="2494" w:type="dxa"/>
          </w:tcPr>
          <w:p w14:paraId="033AA8EB" w14:textId="77777777" w:rsidR="00A720EB" w:rsidRDefault="0030286B">
            <w:pPr>
              <w:pStyle w:val="TableParagraph"/>
              <w:spacing w:before="46" w:line="230" w:lineRule="auto"/>
              <w:ind w:right="113"/>
              <w:rPr>
                <w:sz w:val="21"/>
              </w:rPr>
            </w:pPr>
            <w:proofErr w:type="gramStart"/>
            <w:r>
              <w:rPr>
                <w:color w:val="B02045"/>
                <w:sz w:val="21"/>
              </w:rPr>
              <w:t>spring.liquibase</w:t>
            </w:r>
            <w:proofErr w:type="gramEnd"/>
            <w:r>
              <w:rPr>
                <w:color w:val="B02045"/>
                <w:sz w:val="21"/>
              </w:rPr>
              <w:t>.test- rollback-on-update</w:t>
            </w:r>
          </w:p>
        </w:tc>
        <w:tc>
          <w:tcPr>
            <w:tcW w:w="2494" w:type="dxa"/>
          </w:tcPr>
          <w:p w14:paraId="7C6EFE75" w14:textId="77777777" w:rsidR="00A720EB" w:rsidRDefault="0030286B">
            <w:pPr>
              <w:pStyle w:val="TableParagraph"/>
              <w:spacing w:before="37"/>
              <w:rPr>
                <w:sz w:val="21"/>
              </w:rPr>
            </w:pPr>
            <w:r>
              <w:rPr>
                <w:color w:val="B02045"/>
                <w:sz w:val="21"/>
              </w:rPr>
              <w:t>false</w:t>
            </w:r>
          </w:p>
        </w:tc>
        <w:tc>
          <w:tcPr>
            <w:tcW w:w="4988" w:type="dxa"/>
          </w:tcPr>
          <w:p w14:paraId="4924CC76"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rollback should be tested before update is performed.</w:t>
            </w:r>
          </w:p>
        </w:tc>
      </w:tr>
      <w:tr w:rsidR="00A720EB" w14:paraId="0728ADAA" w14:textId="77777777">
        <w:trPr>
          <w:trHeight w:val="741"/>
        </w:trPr>
        <w:tc>
          <w:tcPr>
            <w:tcW w:w="2494" w:type="dxa"/>
          </w:tcPr>
          <w:p w14:paraId="49938990" w14:textId="77777777" w:rsidR="00A720EB" w:rsidRDefault="0030286B">
            <w:pPr>
              <w:pStyle w:val="TableParagraph"/>
              <w:rPr>
                <w:sz w:val="21"/>
              </w:rPr>
            </w:pPr>
            <w:r>
              <w:rPr>
                <w:color w:val="B02045"/>
                <w:sz w:val="21"/>
              </w:rPr>
              <w:t>spring.liquibase.url</w:t>
            </w:r>
          </w:p>
        </w:tc>
        <w:tc>
          <w:tcPr>
            <w:tcW w:w="2494" w:type="dxa"/>
          </w:tcPr>
          <w:p w14:paraId="3C11437D" w14:textId="77777777" w:rsidR="00A720EB" w:rsidRDefault="00A720EB">
            <w:pPr>
              <w:pStyle w:val="TableParagraph"/>
              <w:spacing w:before="0"/>
              <w:ind w:left="0"/>
              <w:rPr>
                <w:rFonts w:ascii="Times New Roman"/>
                <w:sz w:val="20"/>
              </w:rPr>
            </w:pPr>
          </w:p>
        </w:tc>
        <w:tc>
          <w:tcPr>
            <w:tcW w:w="4988" w:type="dxa"/>
          </w:tcPr>
          <w:p w14:paraId="7D56D4A5" w14:textId="77777777" w:rsidR="00A720EB" w:rsidRDefault="0030286B">
            <w:pPr>
              <w:pStyle w:val="TableParagraph"/>
              <w:spacing w:before="28" w:line="310" w:lineRule="atLeast"/>
              <w:ind w:right="218"/>
              <w:rPr>
                <w:rFonts w:ascii="Cambria"/>
                <w:sz w:val="21"/>
              </w:rPr>
            </w:pPr>
            <w:r>
              <w:rPr>
                <w:rFonts w:ascii="Cambria"/>
                <w:color w:val="333333"/>
                <w:w w:val="110"/>
                <w:sz w:val="21"/>
              </w:rPr>
              <w:t>JDBC URL of the database to migrate. If not set, the primary configured data source is used.</w:t>
            </w:r>
          </w:p>
        </w:tc>
      </w:tr>
      <w:tr w:rsidR="00A720EB" w14:paraId="7D4BA8ED" w14:textId="77777777">
        <w:trPr>
          <w:trHeight w:val="425"/>
        </w:trPr>
        <w:tc>
          <w:tcPr>
            <w:tcW w:w="2494" w:type="dxa"/>
          </w:tcPr>
          <w:p w14:paraId="3E9AFFA4" w14:textId="77777777" w:rsidR="00A720EB" w:rsidRDefault="0030286B">
            <w:pPr>
              <w:pStyle w:val="TableParagraph"/>
              <w:spacing w:before="37"/>
              <w:rPr>
                <w:sz w:val="21"/>
              </w:rPr>
            </w:pPr>
            <w:proofErr w:type="gramStart"/>
            <w:r>
              <w:rPr>
                <w:color w:val="B02045"/>
                <w:sz w:val="21"/>
              </w:rPr>
              <w:t>spring.liquibase</w:t>
            </w:r>
            <w:proofErr w:type="gramEnd"/>
            <w:r>
              <w:rPr>
                <w:color w:val="B02045"/>
                <w:sz w:val="21"/>
              </w:rPr>
              <w:t>.user</w:t>
            </w:r>
          </w:p>
        </w:tc>
        <w:tc>
          <w:tcPr>
            <w:tcW w:w="2494" w:type="dxa"/>
          </w:tcPr>
          <w:p w14:paraId="5B4E08D9" w14:textId="77777777" w:rsidR="00A720EB" w:rsidRDefault="00A720EB">
            <w:pPr>
              <w:pStyle w:val="TableParagraph"/>
              <w:spacing w:before="0"/>
              <w:ind w:left="0"/>
              <w:rPr>
                <w:rFonts w:ascii="Times New Roman"/>
                <w:sz w:val="20"/>
              </w:rPr>
            </w:pPr>
          </w:p>
        </w:tc>
        <w:tc>
          <w:tcPr>
            <w:tcW w:w="4988" w:type="dxa"/>
          </w:tcPr>
          <w:p w14:paraId="5BB6579A" w14:textId="77777777" w:rsidR="00A720EB" w:rsidRDefault="0030286B">
            <w:pPr>
              <w:pStyle w:val="TableParagraph"/>
              <w:spacing w:before="92"/>
              <w:rPr>
                <w:rFonts w:ascii="Cambria"/>
                <w:sz w:val="21"/>
              </w:rPr>
            </w:pPr>
            <w:r>
              <w:rPr>
                <w:rFonts w:ascii="Cambria"/>
                <w:color w:val="333333"/>
                <w:w w:val="110"/>
                <w:sz w:val="21"/>
              </w:rPr>
              <w:t>Login user of the database to migrate.</w:t>
            </w:r>
          </w:p>
        </w:tc>
      </w:tr>
    </w:tbl>
    <w:p w14:paraId="5A9C8136" w14:textId="77777777" w:rsidR="00A720EB" w:rsidRDefault="00A720EB">
      <w:pPr>
        <w:pStyle w:val="a3"/>
        <w:spacing w:before="12"/>
        <w:rPr>
          <w:rFonts w:ascii="Palatino Linotype"/>
          <w:b/>
          <w:sz w:val="16"/>
        </w:rPr>
      </w:pPr>
    </w:p>
    <w:p w14:paraId="4115CADC" w14:textId="77777777" w:rsidR="00A720EB" w:rsidRDefault="0030286B">
      <w:pPr>
        <w:pStyle w:val="3"/>
        <w:numPr>
          <w:ilvl w:val="2"/>
          <w:numId w:val="9"/>
        </w:numPr>
        <w:tabs>
          <w:tab w:val="left" w:pos="1053"/>
        </w:tabs>
        <w:spacing w:before="105"/>
      </w:pPr>
      <w:bookmarkStart w:id="1037" w:name="10.A.8._Integration_properties"/>
      <w:bookmarkStart w:id="1038" w:name="_Toc54424036"/>
      <w:bookmarkEnd w:id="1037"/>
      <w:r>
        <w:rPr>
          <w:color w:val="333333"/>
          <w:w w:val="115"/>
        </w:rPr>
        <w:t>Integration</w:t>
      </w:r>
      <w:r>
        <w:rPr>
          <w:color w:val="333333"/>
          <w:spacing w:val="-9"/>
          <w:w w:val="115"/>
        </w:rPr>
        <w:t xml:space="preserve"> </w:t>
      </w:r>
      <w:r>
        <w:rPr>
          <w:color w:val="333333"/>
          <w:w w:val="115"/>
        </w:rPr>
        <w:t>properties</w:t>
      </w:r>
      <w:bookmarkEnd w:id="1038"/>
    </w:p>
    <w:p w14:paraId="7C143661" w14:textId="77777777" w:rsidR="00A720EB" w:rsidRDefault="00A720EB">
      <w:p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5C9E1B5" w14:textId="77777777">
        <w:trPr>
          <w:trHeight w:val="415"/>
        </w:trPr>
        <w:tc>
          <w:tcPr>
            <w:tcW w:w="2494" w:type="dxa"/>
            <w:tcBorders>
              <w:bottom w:val="single" w:sz="12" w:space="0" w:color="DDDDDD"/>
            </w:tcBorders>
          </w:tcPr>
          <w:p w14:paraId="2E772CF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D05A23B"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C2D6D60"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B750487" w14:textId="77777777">
        <w:trPr>
          <w:trHeight w:val="731"/>
        </w:trPr>
        <w:tc>
          <w:tcPr>
            <w:tcW w:w="2494" w:type="dxa"/>
            <w:tcBorders>
              <w:top w:val="single" w:sz="12" w:space="0" w:color="DDDDDD"/>
            </w:tcBorders>
          </w:tcPr>
          <w:p w14:paraId="2CE48A76" w14:textId="77777777" w:rsidR="00A720EB" w:rsidRDefault="0030286B">
            <w:pPr>
              <w:pStyle w:val="TableParagraph"/>
              <w:spacing w:before="27" w:line="264" w:lineRule="exact"/>
              <w:rPr>
                <w:sz w:val="21"/>
              </w:rPr>
            </w:pPr>
            <w:proofErr w:type="gramStart"/>
            <w:r>
              <w:rPr>
                <w:color w:val="B02045"/>
                <w:sz w:val="21"/>
              </w:rPr>
              <w:t>spring.activemq</w:t>
            </w:r>
            <w:proofErr w:type="gramEnd"/>
            <w:r>
              <w:rPr>
                <w:color w:val="B02045"/>
                <w:sz w:val="21"/>
              </w:rPr>
              <w:t>.broker</w:t>
            </w:r>
          </w:p>
          <w:p w14:paraId="56A0A310" w14:textId="77777777" w:rsidR="00A720EB" w:rsidRDefault="0030286B">
            <w:pPr>
              <w:pStyle w:val="TableParagraph"/>
              <w:spacing w:before="0" w:line="264" w:lineRule="exact"/>
              <w:rPr>
                <w:sz w:val="21"/>
              </w:rPr>
            </w:pPr>
            <w:r>
              <w:rPr>
                <w:color w:val="B02045"/>
                <w:sz w:val="21"/>
              </w:rPr>
              <w:t>-url</w:t>
            </w:r>
          </w:p>
        </w:tc>
        <w:tc>
          <w:tcPr>
            <w:tcW w:w="2494" w:type="dxa"/>
            <w:tcBorders>
              <w:top w:val="single" w:sz="12" w:space="0" w:color="DDDDDD"/>
            </w:tcBorders>
          </w:tcPr>
          <w:p w14:paraId="6B9C809D"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6DFF0523" w14:textId="77777777" w:rsidR="00A720EB" w:rsidRDefault="0030286B">
            <w:pPr>
              <w:pStyle w:val="TableParagraph"/>
              <w:spacing w:before="18" w:line="310" w:lineRule="atLeast"/>
              <w:rPr>
                <w:rFonts w:ascii="Cambria"/>
                <w:sz w:val="21"/>
              </w:rPr>
            </w:pPr>
            <w:r>
              <w:rPr>
                <w:rFonts w:ascii="Cambria"/>
                <w:color w:val="333333"/>
                <w:w w:val="110"/>
                <w:sz w:val="21"/>
              </w:rPr>
              <w:t>URL of the ActiveMQ broker. Auto-generated by default.</w:t>
            </w:r>
          </w:p>
        </w:tc>
      </w:tr>
      <w:tr w:rsidR="00A720EB" w14:paraId="7140CB8F" w14:textId="77777777">
        <w:trPr>
          <w:trHeight w:val="741"/>
        </w:trPr>
        <w:tc>
          <w:tcPr>
            <w:tcW w:w="2494" w:type="dxa"/>
          </w:tcPr>
          <w:p w14:paraId="033B8FC8" w14:textId="77777777" w:rsidR="00A720EB" w:rsidRDefault="0030286B">
            <w:pPr>
              <w:pStyle w:val="TableParagraph"/>
              <w:spacing w:before="46" w:line="230" w:lineRule="auto"/>
              <w:ind w:right="94"/>
              <w:rPr>
                <w:sz w:val="21"/>
              </w:rPr>
            </w:pPr>
            <w:proofErr w:type="gramStart"/>
            <w:r>
              <w:rPr>
                <w:color w:val="B02045"/>
                <w:sz w:val="21"/>
              </w:rPr>
              <w:t>spring.activemq</w:t>
            </w:r>
            <w:proofErr w:type="gramEnd"/>
            <w:r>
              <w:rPr>
                <w:color w:val="B02045"/>
                <w:sz w:val="21"/>
              </w:rPr>
              <w:t>.close- timeout</w:t>
            </w:r>
          </w:p>
        </w:tc>
        <w:tc>
          <w:tcPr>
            <w:tcW w:w="2494" w:type="dxa"/>
          </w:tcPr>
          <w:p w14:paraId="1F078BF4" w14:textId="77777777" w:rsidR="00A720EB" w:rsidRDefault="0030286B">
            <w:pPr>
              <w:pStyle w:val="TableParagraph"/>
              <w:spacing w:before="37"/>
              <w:rPr>
                <w:sz w:val="21"/>
              </w:rPr>
            </w:pPr>
            <w:r>
              <w:rPr>
                <w:color w:val="B02045"/>
                <w:sz w:val="21"/>
              </w:rPr>
              <w:t>15s</w:t>
            </w:r>
          </w:p>
        </w:tc>
        <w:tc>
          <w:tcPr>
            <w:tcW w:w="4988" w:type="dxa"/>
          </w:tcPr>
          <w:p w14:paraId="7F90CE21" w14:textId="77777777" w:rsidR="00A720EB" w:rsidRDefault="0030286B">
            <w:pPr>
              <w:pStyle w:val="TableParagraph"/>
              <w:spacing w:before="28" w:line="310" w:lineRule="atLeast"/>
              <w:ind w:right="640"/>
              <w:rPr>
                <w:rFonts w:ascii="Cambria"/>
                <w:sz w:val="21"/>
              </w:rPr>
            </w:pPr>
            <w:r>
              <w:rPr>
                <w:rFonts w:ascii="Cambria"/>
                <w:color w:val="333333"/>
                <w:w w:val="110"/>
                <w:sz w:val="21"/>
              </w:rPr>
              <w:t>Time to wait before considering a close complete.</w:t>
            </w:r>
          </w:p>
        </w:tc>
      </w:tr>
      <w:tr w:rsidR="00A720EB" w14:paraId="75EFBB32" w14:textId="77777777">
        <w:trPr>
          <w:trHeight w:val="1056"/>
        </w:trPr>
        <w:tc>
          <w:tcPr>
            <w:tcW w:w="2494" w:type="dxa"/>
          </w:tcPr>
          <w:p w14:paraId="5DCE2BA7" w14:textId="77777777" w:rsidR="00A720EB" w:rsidRDefault="0030286B">
            <w:pPr>
              <w:pStyle w:val="TableParagraph"/>
              <w:spacing w:before="46" w:line="230" w:lineRule="auto"/>
              <w:ind w:right="409"/>
              <w:rPr>
                <w:sz w:val="21"/>
              </w:rPr>
            </w:pPr>
            <w:r>
              <w:rPr>
                <w:color w:val="B02045"/>
                <w:sz w:val="21"/>
              </w:rPr>
              <w:t>spring.activemq.in- memory</w:t>
            </w:r>
          </w:p>
        </w:tc>
        <w:tc>
          <w:tcPr>
            <w:tcW w:w="2494" w:type="dxa"/>
          </w:tcPr>
          <w:p w14:paraId="496D8580" w14:textId="77777777" w:rsidR="00A720EB" w:rsidRDefault="0030286B">
            <w:pPr>
              <w:pStyle w:val="TableParagraph"/>
              <w:spacing w:before="37"/>
              <w:rPr>
                <w:sz w:val="21"/>
              </w:rPr>
            </w:pPr>
            <w:r>
              <w:rPr>
                <w:color w:val="B02045"/>
                <w:sz w:val="21"/>
              </w:rPr>
              <w:t>true</w:t>
            </w:r>
          </w:p>
        </w:tc>
        <w:tc>
          <w:tcPr>
            <w:tcW w:w="4988" w:type="dxa"/>
          </w:tcPr>
          <w:p w14:paraId="09A7658E" w14:textId="77777777" w:rsidR="00A720EB" w:rsidRDefault="0030286B">
            <w:pPr>
              <w:pStyle w:val="TableParagraph"/>
              <w:spacing w:before="28" w:line="310" w:lineRule="atLeast"/>
              <w:rPr>
                <w:rFonts w:ascii="Cambria"/>
                <w:sz w:val="21"/>
              </w:rPr>
            </w:pPr>
            <w:r>
              <w:rPr>
                <w:rFonts w:ascii="Cambria"/>
                <w:color w:val="333333"/>
                <w:w w:val="110"/>
                <w:sz w:val="21"/>
              </w:rPr>
              <w:t>Whether the default broker URL should be in memory. Ignored if an explicit broker has been specified.</w:t>
            </w:r>
          </w:p>
        </w:tc>
      </w:tr>
      <w:tr w:rsidR="00A720EB" w14:paraId="1C24284D" w14:textId="77777777">
        <w:trPr>
          <w:trHeight w:val="1372"/>
        </w:trPr>
        <w:tc>
          <w:tcPr>
            <w:tcW w:w="2494" w:type="dxa"/>
          </w:tcPr>
          <w:p w14:paraId="08ED595D" w14:textId="77777777" w:rsidR="00A720EB" w:rsidRDefault="0030286B">
            <w:pPr>
              <w:pStyle w:val="TableParagraph"/>
              <w:spacing w:before="46" w:line="230" w:lineRule="auto"/>
              <w:ind w:right="323"/>
              <w:rPr>
                <w:sz w:val="21"/>
              </w:rPr>
            </w:pPr>
            <w:r>
              <w:rPr>
                <w:color w:val="B02045"/>
                <w:sz w:val="21"/>
              </w:rPr>
              <w:t>spring.activemq.non- blocking-redelivery</w:t>
            </w:r>
          </w:p>
        </w:tc>
        <w:tc>
          <w:tcPr>
            <w:tcW w:w="2494" w:type="dxa"/>
          </w:tcPr>
          <w:p w14:paraId="148A035A" w14:textId="77777777" w:rsidR="00A720EB" w:rsidRDefault="0030286B">
            <w:pPr>
              <w:pStyle w:val="TableParagraph"/>
              <w:rPr>
                <w:sz w:val="21"/>
              </w:rPr>
            </w:pPr>
            <w:r>
              <w:rPr>
                <w:color w:val="B02045"/>
                <w:sz w:val="21"/>
              </w:rPr>
              <w:t>false</w:t>
            </w:r>
          </w:p>
        </w:tc>
        <w:tc>
          <w:tcPr>
            <w:tcW w:w="4988" w:type="dxa"/>
          </w:tcPr>
          <w:p w14:paraId="0DAF60E0"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to stop message delivery before re- delivering messages from a rolled back transaction. This implies that message order is not preserved when this is enabled.</w:t>
            </w:r>
          </w:p>
        </w:tc>
      </w:tr>
      <w:tr w:rsidR="00A720EB" w14:paraId="4DD0CDA6" w14:textId="77777777">
        <w:trPr>
          <w:trHeight w:val="627"/>
        </w:trPr>
        <w:tc>
          <w:tcPr>
            <w:tcW w:w="2494" w:type="dxa"/>
          </w:tcPr>
          <w:p w14:paraId="322ACAEB" w14:textId="77777777" w:rsidR="00A720EB" w:rsidRDefault="0030286B">
            <w:pPr>
              <w:pStyle w:val="TableParagraph"/>
              <w:spacing w:before="46" w:line="230" w:lineRule="auto"/>
              <w:ind w:right="113"/>
              <w:rPr>
                <w:sz w:val="21"/>
              </w:rPr>
            </w:pPr>
            <w:proofErr w:type="gramStart"/>
            <w:r>
              <w:rPr>
                <w:color w:val="B02045"/>
                <w:sz w:val="21"/>
              </w:rPr>
              <w:t>spring.activemq</w:t>
            </w:r>
            <w:proofErr w:type="gramEnd"/>
            <w:r>
              <w:rPr>
                <w:color w:val="B02045"/>
                <w:sz w:val="21"/>
              </w:rPr>
              <w:t>.packag es.trust-all</w:t>
            </w:r>
          </w:p>
        </w:tc>
        <w:tc>
          <w:tcPr>
            <w:tcW w:w="2494" w:type="dxa"/>
          </w:tcPr>
          <w:p w14:paraId="2EB77503" w14:textId="77777777" w:rsidR="00A720EB" w:rsidRDefault="00A720EB">
            <w:pPr>
              <w:pStyle w:val="TableParagraph"/>
              <w:spacing w:before="0"/>
              <w:ind w:left="0"/>
              <w:rPr>
                <w:rFonts w:ascii="Times New Roman"/>
                <w:sz w:val="20"/>
              </w:rPr>
            </w:pPr>
          </w:p>
        </w:tc>
        <w:tc>
          <w:tcPr>
            <w:tcW w:w="4988" w:type="dxa"/>
          </w:tcPr>
          <w:p w14:paraId="4F10AD2F" w14:textId="77777777" w:rsidR="00A720EB" w:rsidRDefault="0030286B">
            <w:pPr>
              <w:pStyle w:val="TableParagraph"/>
              <w:spacing w:before="92"/>
              <w:rPr>
                <w:rFonts w:ascii="Cambria"/>
                <w:sz w:val="21"/>
              </w:rPr>
            </w:pPr>
            <w:r>
              <w:rPr>
                <w:rFonts w:ascii="Cambria"/>
                <w:color w:val="333333"/>
                <w:w w:val="110"/>
                <w:sz w:val="21"/>
              </w:rPr>
              <w:t>Whether to trust all packages.</w:t>
            </w:r>
          </w:p>
        </w:tc>
      </w:tr>
      <w:tr w:rsidR="00A720EB" w14:paraId="36592C3A" w14:textId="77777777">
        <w:trPr>
          <w:trHeight w:val="741"/>
        </w:trPr>
        <w:tc>
          <w:tcPr>
            <w:tcW w:w="2494" w:type="dxa"/>
          </w:tcPr>
          <w:p w14:paraId="5E6E3085" w14:textId="77777777" w:rsidR="00A720EB" w:rsidRDefault="0030286B">
            <w:pPr>
              <w:pStyle w:val="TableParagraph"/>
              <w:spacing w:before="46" w:line="230" w:lineRule="auto"/>
              <w:ind w:right="94"/>
              <w:rPr>
                <w:sz w:val="21"/>
              </w:rPr>
            </w:pPr>
            <w:proofErr w:type="gramStart"/>
            <w:r>
              <w:rPr>
                <w:color w:val="B02045"/>
                <w:sz w:val="21"/>
              </w:rPr>
              <w:t>spring.activemq</w:t>
            </w:r>
            <w:proofErr w:type="gramEnd"/>
            <w:r>
              <w:rPr>
                <w:color w:val="B02045"/>
                <w:sz w:val="21"/>
              </w:rPr>
              <w:t>.packag es.trusted</w:t>
            </w:r>
          </w:p>
        </w:tc>
        <w:tc>
          <w:tcPr>
            <w:tcW w:w="2494" w:type="dxa"/>
          </w:tcPr>
          <w:p w14:paraId="444848A4" w14:textId="77777777" w:rsidR="00A720EB" w:rsidRDefault="00A720EB">
            <w:pPr>
              <w:pStyle w:val="TableParagraph"/>
              <w:spacing w:before="0"/>
              <w:ind w:left="0"/>
              <w:rPr>
                <w:rFonts w:ascii="Times New Roman"/>
                <w:sz w:val="20"/>
              </w:rPr>
            </w:pPr>
          </w:p>
        </w:tc>
        <w:tc>
          <w:tcPr>
            <w:tcW w:w="4988" w:type="dxa"/>
          </w:tcPr>
          <w:p w14:paraId="24178BC1" w14:textId="77777777" w:rsidR="00A720EB" w:rsidRDefault="0030286B">
            <w:pPr>
              <w:pStyle w:val="TableParagraph"/>
              <w:spacing w:before="28" w:line="310" w:lineRule="atLeast"/>
              <w:ind w:right="372"/>
              <w:rPr>
                <w:rFonts w:ascii="Cambria"/>
                <w:sz w:val="21"/>
              </w:rPr>
            </w:pPr>
            <w:r>
              <w:rPr>
                <w:rFonts w:ascii="Cambria"/>
                <w:color w:val="333333"/>
                <w:w w:val="110"/>
                <w:sz w:val="21"/>
              </w:rPr>
              <w:t>Comma-separated list of specific packages to trust (when not trusting all packages).</w:t>
            </w:r>
          </w:p>
        </w:tc>
      </w:tr>
      <w:tr w:rsidR="00A720EB" w14:paraId="571E2648" w14:textId="77777777">
        <w:trPr>
          <w:trHeight w:val="627"/>
        </w:trPr>
        <w:tc>
          <w:tcPr>
            <w:tcW w:w="2494" w:type="dxa"/>
          </w:tcPr>
          <w:p w14:paraId="160280FE" w14:textId="77777777" w:rsidR="00A720EB" w:rsidRDefault="0030286B">
            <w:pPr>
              <w:pStyle w:val="TableParagraph"/>
              <w:spacing w:before="46" w:line="230" w:lineRule="auto"/>
              <w:ind w:right="94"/>
              <w:rPr>
                <w:sz w:val="21"/>
              </w:rPr>
            </w:pPr>
            <w:proofErr w:type="gramStart"/>
            <w:r>
              <w:rPr>
                <w:color w:val="B02045"/>
                <w:sz w:val="21"/>
              </w:rPr>
              <w:t>spring.activemq</w:t>
            </w:r>
            <w:proofErr w:type="gramEnd"/>
            <w:r>
              <w:rPr>
                <w:color w:val="B02045"/>
                <w:sz w:val="21"/>
              </w:rPr>
              <w:t>.passwo rd</w:t>
            </w:r>
          </w:p>
        </w:tc>
        <w:tc>
          <w:tcPr>
            <w:tcW w:w="2494" w:type="dxa"/>
          </w:tcPr>
          <w:p w14:paraId="791B5488" w14:textId="77777777" w:rsidR="00A720EB" w:rsidRDefault="00A720EB">
            <w:pPr>
              <w:pStyle w:val="TableParagraph"/>
              <w:spacing w:before="0"/>
              <w:ind w:left="0"/>
              <w:rPr>
                <w:rFonts w:ascii="Times New Roman"/>
                <w:sz w:val="20"/>
              </w:rPr>
            </w:pPr>
          </w:p>
        </w:tc>
        <w:tc>
          <w:tcPr>
            <w:tcW w:w="4988" w:type="dxa"/>
          </w:tcPr>
          <w:p w14:paraId="2886D174" w14:textId="77777777" w:rsidR="00A720EB" w:rsidRDefault="0030286B">
            <w:pPr>
              <w:pStyle w:val="TableParagraph"/>
              <w:spacing w:before="92"/>
              <w:rPr>
                <w:rFonts w:ascii="Cambria"/>
                <w:sz w:val="21"/>
              </w:rPr>
            </w:pPr>
            <w:r>
              <w:rPr>
                <w:rFonts w:ascii="Cambria"/>
                <w:color w:val="333333"/>
                <w:w w:val="110"/>
                <w:sz w:val="21"/>
              </w:rPr>
              <w:t>Login password of the broker.</w:t>
            </w:r>
          </w:p>
        </w:tc>
      </w:tr>
      <w:tr w:rsidR="00A720EB" w14:paraId="18B27756" w14:textId="77777777">
        <w:trPr>
          <w:trHeight w:val="1056"/>
        </w:trPr>
        <w:tc>
          <w:tcPr>
            <w:tcW w:w="2494" w:type="dxa"/>
          </w:tcPr>
          <w:p w14:paraId="3AAF7B83" w14:textId="77777777" w:rsidR="00A720EB" w:rsidRDefault="0030286B">
            <w:pPr>
              <w:pStyle w:val="TableParagraph"/>
              <w:spacing w:before="46" w:line="230" w:lineRule="auto"/>
              <w:ind w:right="113"/>
              <w:rPr>
                <w:sz w:val="21"/>
              </w:rPr>
            </w:pPr>
            <w:proofErr w:type="gramStart"/>
            <w:r>
              <w:rPr>
                <w:color w:val="B02045"/>
                <w:sz w:val="21"/>
              </w:rPr>
              <w:t>spring.activemq</w:t>
            </w:r>
            <w:proofErr w:type="gramEnd"/>
            <w:r>
              <w:rPr>
                <w:color w:val="B02045"/>
                <w:sz w:val="21"/>
              </w:rPr>
              <w:t>.pool.b lock-if-full</w:t>
            </w:r>
          </w:p>
        </w:tc>
        <w:tc>
          <w:tcPr>
            <w:tcW w:w="2494" w:type="dxa"/>
          </w:tcPr>
          <w:p w14:paraId="792224E2" w14:textId="77777777" w:rsidR="00A720EB" w:rsidRDefault="0030286B">
            <w:pPr>
              <w:pStyle w:val="TableParagraph"/>
              <w:spacing w:before="37"/>
              <w:rPr>
                <w:sz w:val="21"/>
              </w:rPr>
            </w:pPr>
            <w:r>
              <w:rPr>
                <w:color w:val="B02045"/>
                <w:sz w:val="21"/>
              </w:rPr>
              <w:t>true</w:t>
            </w:r>
          </w:p>
        </w:tc>
        <w:tc>
          <w:tcPr>
            <w:tcW w:w="4988" w:type="dxa"/>
          </w:tcPr>
          <w:p w14:paraId="2DEDD934"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block when a connection is requested and the pool is full. Set it to false to throw a "JMSException" instead.</w:t>
            </w:r>
          </w:p>
        </w:tc>
      </w:tr>
      <w:tr w:rsidR="00A720EB" w14:paraId="61C9018E" w14:textId="77777777">
        <w:trPr>
          <w:trHeight w:val="741"/>
        </w:trPr>
        <w:tc>
          <w:tcPr>
            <w:tcW w:w="2494" w:type="dxa"/>
          </w:tcPr>
          <w:p w14:paraId="1198D0BF" w14:textId="77777777" w:rsidR="00A720EB" w:rsidRDefault="0030286B">
            <w:pPr>
              <w:pStyle w:val="TableParagraph"/>
              <w:spacing w:before="46" w:line="230" w:lineRule="auto"/>
              <w:ind w:right="113"/>
              <w:rPr>
                <w:sz w:val="21"/>
              </w:rPr>
            </w:pPr>
            <w:proofErr w:type="gramStart"/>
            <w:r>
              <w:rPr>
                <w:color w:val="B02045"/>
                <w:sz w:val="21"/>
              </w:rPr>
              <w:t>spring.activemq</w:t>
            </w:r>
            <w:proofErr w:type="gramEnd"/>
            <w:r>
              <w:rPr>
                <w:color w:val="B02045"/>
                <w:sz w:val="21"/>
              </w:rPr>
              <w:t>.pool.b lock-if-full-timeout</w:t>
            </w:r>
          </w:p>
        </w:tc>
        <w:tc>
          <w:tcPr>
            <w:tcW w:w="2494" w:type="dxa"/>
          </w:tcPr>
          <w:p w14:paraId="2E8CF333" w14:textId="77777777" w:rsidR="00A720EB" w:rsidRDefault="0030286B">
            <w:pPr>
              <w:pStyle w:val="TableParagraph"/>
              <w:spacing w:before="37"/>
              <w:rPr>
                <w:sz w:val="21"/>
              </w:rPr>
            </w:pPr>
            <w:r>
              <w:rPr>
                <w:color w:val="B02045"/>
                <w:sz w:val="21"/>
              </w:rPr>
              <w:t>-1ms</w:t>
            </w:r>
          </w:p>
        </w:tc>
        <w:tc>
          <w:tcPr>
            <w:tcW w:w="4988" w:type="dxa"/>
          </w:tcPr>
          <w:p w14:paraId="705AADC3" w14:textId="77777777" w:rsidR="00A720EB" w:rsidRDefault="0030286B">
            <w:pPr>
              <w:pStyle w:val="TableParagraph"/>
              <w:spacing w:before="28" w:line="310" w:lineRule="atLeast"/>
              <w:rPr>
                <w:rFonts w:ascii="Cambria"/>
                <w:sz w:val="21"/>
              </w:rPr>
            </w:pPr>
            <w:r>
              <w:rPr>
                <w:rFonts w:ascii="Cambria"/>
                <w:color w:val="333333"/>
                <w:w w:val="110"/>
                <w:sz w:val="21"/>
              </w:rPr>
              <w:t>Blocking period before throwing an exception if the pool is still full.</w:t>
            </w:r>
          </w:p>
        </w:tc>
      </w:tr>
      <w:tr w:rsidR="00A720EB" w14:paraId="7BB77184" w14:textId="77777777">
        <w:trPr>
          <w:trHeight w:val="741"/>
        </w:trPr>
        <w:tc>
          <w:tcPr>
            <w:tcW w:w="2494" w:type="dxa"/>
          </w:tcPr>
          <w:p w14:paraId="774D9E31" w14:textId="77777777" w:rsidR="00A720EB" w:rsidRDefault="0030286B">
            <w:pPr>
              <w:pStyle w:val="TableParagraph"/>
              <w:spacing w:before="46" w:line="230" w:lineRule="auto"/>
              <w:ind w:right="94"/>
              <w:rPr>
                <w:sz w:val="21"/>
              </w:rPr>
            </w:pPr>
            <w:proofErr w:type="gramStart"/>
            <w:r>
              <w:rPr>
                <w:color w:val="B02045"/>
                <w:sz w:val="21"/>
              </w:rPr>
              <w:t>spring.activemq</w:t>
            </w:r>
            <w:proofErr w:type="gramEnd"/>
            <w:r>
              <w:rPr>
                <w:color w:val="B02045"/>
                <w:sz w:val="21"/>
              </w:rPr>
              <w:t>.pool.e nabled</w:t>
            </w:r>
          </w:p>
        </w:tc>
        <w:tc>
          <w:tcPr>
            <w:tcW w:w="2494" w:type="dxa"/>
          </w:tcPr>
          <w:p w14:paraId="77BAB66F" w14:textId="77777777" w:rsidR="00A720EB" w:rsidRDefault="0030286B">
            <w:pPr>
              <w:pStyle w:val="TableParagraph"/>
              <w:spacing w:before="37"/>
              <w:rPr>
                <w:sz w:val="21"/>
              </w:rPr>
            </w:pPr>
            <w:r>
              <w:rPr>
                <w:color w:val="B02045"/>
                <w:sz w:val="21"/>
              </w:rPr>
              <w:t>false</w:t>
            </w:r>
          </w:p>
        </w:tc>
        <w:tc>
          <w:tcPr>
            <w:tcW w:w="4988" w:type="dxa"/>
          </w:tcPr>
          <w:p w14:paraId="50F5AB3F" w14:textId="77777777" w:rsidR="00A720EB" w:rsidRDefault="0030286B">
            <w:pPr>
              <w:pStyle w:val="TableParagraph"/>
              <w:spacing w:before="28" w:line="310" w:lineRule="atLeast"/>
              <w:rPr>
                <w:rFonts w:ascii="Cambria"/>
                <w:sz w:val="21"/>
              </w:rPr>
            </w:pPr>
            <w:r>
              <w:rPr>
                <w:rFonts w:ascii="Cambria"/>
                <w:color w:val="333333"/>
                <w:w w:val="110"/>
                <w:sz w:val="21"/>
              </w:rPr>
              <w:t>Whether a JmsPoolConnectionFactory should be created, instead of a regular ConnectionFactory.</w:t>
            </w:r>
          </w:p>
        </w:tc>
      </w:tr>
      <w:tr w:rsidR="00A720EB" w14:paraId="7EBFC7B4" w14:textId="77777777">
        <w:trPr>
          <w:trHeight w:val="627"/>
        </w:trPr>
        <w:tc>
          <w:tcPr>
            <w:tcW w:w="2494" w:type="dxa"/>
          </w:tcPr>
          <w:p w14:paraId="478AC8CB" w14:textId="77777777" w:rsidR="00A720EB" w:rsidRDefault="0030286B">
            <w:pPr>
              <w:pStyle w:val="TableParagraph"/>
              <w:spacing w:before="46" w:line="230" w:lineRule="auto"/>
              <w:ind w:right="113"/>
              <w:rPr>
                <w:sz w:val="21"/>
              </w:rPr>
            </w:pPr>
            <w:proofErr w:type="gramStart"/>
            <w:r>
              <w:rPr>
                <w:color w:val="B02045"/>
                <w:sz w:val="21"/>
              </w:rPr>
              <w:t>spring.activemq</w:t>
            </w:r>
            <w:proofErr w:type="gramEnd"/>
            <w:r>
              <w:rPr>
                <w:color w:val="B02045"/>
                <w:sz w:val="21"/>
              </w:rPr>
              <w:t>.pool.i dle-timeout</w:t>
            </w:r>
          </w:p>
        </w:tc>
        <w:tc>
          <w:tcPr>
            <w:tcW w:w="2494" w:type="dxa"/>
          </w:tcPr>
          <w:p w14:paraId="3245E6B1" w14:textId="77777777" w:rsidR="00A720EB" w:rsidRDefault="0030286B">
            <w:pPr>
              <w:pStyle w:val="TableParagraph"/>
              <w:spacing w:before="37"/>
              <w:rPr>
                <w:sz w:val="21"/>
              </w:rPr>
            </w:pPr>
            <w:r>
              <w:rPr>
                <w:color w:val="B02045"/>
                <w:sz w:val="21"/>
              </w:rPr>
              <w:t>30s</w:t>
            </w:r>
          </w:p>
        </w:tc>
        <w:tc>
          <w:tcPr>
            <w:tcW w:w="4988" w:type="dxa"/>
          </w:tcPr>
          <w:p w14:paraId="3EAFF110" w14:textId="77777777" w:rsidR="00A720EB" w:rsidRDefault="0030286B">
            <w:pPr>
              <w:pStyle w:val="TableParagraph"/>
              <w:spacing w:before="92"/>
              <w:rPr>
                <w:rFonts w:ascii="Cambria"/>
                <w:sz w:val="21"/>
              </w:rPr>
            </w:pPr>
            <w:r>
              <w:rPr>
                <w:rFonts w:ascii="Cambria"/>
                <w:color w:val="333333"/>
                <w:w w:val="110"/>
                <w:sz w:val="21"/>
              </w:rPr>
              <w:t>Connection idle timeout.</w:t>
            </w:r>
          </w:p>
        </w:tc>
      </w:tr>
      <w:tr w:rsidR="00A720EB" w14:paraId="212A0DD6" w14:textId="77777777">
        <w:trPr>
          <w:trHeight w:val="627"/>
        </w:trPr>
        <w:tc>
          <w:tcPr>
            <w:tcW w:w="2494" w:type="dxa"/>
          </w:tcPr>
          <w:p w14:paraId="1E5D3CE1" w14:textId="77777777" w:rsidR="00A720EB" w:rsidRDefault="0030286B">
            <w:pPr>
              <w:pStyle w:val="TableParagraph"/>
              <w:spacing w:before="46" w:line="230" w:lineRule="auto"/>
              <w:ind w:right="113"/>
              <w:rPr>
                <w:sz w:val="21"/>
              </w:rPr>
            </w:pPr>
            <w:proofErr w:type="gramStart"/>
            <w:r>
              <w:rPr>
                <w:color w:val="B02045"/>
                <w:sz w:val="21"/>
              </w:rPr>
              <w:t>spring.activemq</w:t>
            </w:r>
            <w:proofErr w:type="gramEnd"/>
            <w:r>
              <w:rPr>
                <w:color w:val="B02045"/>
                <w:sz w:val="21"/>
              </w:rPr>
              <w:t>.pool.m ax-connections</w:t>
            </w:r>
          </w:p>
        </w:tc>
        <w:tc>
          <w:tcPr>
            <w:tcW w:w="2494" w:type="dxa"/>
          </w:tcPr>
          <w:p w14:paraId="79F53A35" w14:textId="77777777" w:rsidR="00A720EB" w:rsidRDefault="0030286B">
            <w:pPr>
              <w:pStyle w:val="TableParagraph"/>
              <w:rPr>
                <w:sz w:val="21"/>
              </w:rPr>
            </w:pPr>
            <w:r>
              <w:rPr>
                <w:color w:val="B02045"/>
                <w:sz w:val="21"/>
              </w:rPr>
              <w:t>1.0</w:t>
            </w:r>
          </w:p>
        </w:tc>
        <w:tc>
          <w:tcPr>
            <w:tcW w:w="4988" w:type="dxa"/>
          </w:tcPr>
          <w:p w14:paraId="4FC7057B" w14:textId="77777777" w:rsidR="00A720EB" w:rsidRDefault="0030286B">
            <w:pPr>
              <w:pStyle w:val="TableParagraph"/>
              <w:spacing w:before="92"/>
              <w:rPr>
                <w:rFonts w:ascii="Cambria"/>
                <w:sz w:val="21"/>
              </w:rPr>
            </w:pPr>
            <w:r>
              <w:rPr>
                <w:rFonts w:ascii="Cambria"/>
                <w:color w:val="333333"/>
                <w:w w:val="115"/>
                <w:sz w:val="21"/>
              </w:rPr>
              <w:t>Maximum number of pooled connections.</w:t>
            </w:r>
          </w:p>
        </w:tc>
      </w:tr>
      <w:tr w:rsidR="00A720EB" w14:paraId="1DB4D189" w14:textId="77777777">
        <w:trPr>
          <w:trHeight w:val="886"/>
        </w:trPr>
        <w:tc>
          <w:tcPr>
            <w:tcW w:w="2494" w:type="dxa"/>
          </w:tcPr>
          <w:p w14:paraId="65618F86" w14:textId="77777777" w:rsidR="00A720EB" w:rsidRDefault="0030286B">
            <w:pPr>
              <w:pStyle w:val="TableParagraph"/>
              <w:spacing w:before="46" w:line="230" w:lineRule="auto"/>
              <w:ind w:right="113"/>
              <w:rPr>
                <w:sz w:val="21"/>
              </w:rPr>
            </w:pPr>
            <w:proofErr w:type="gramStart"/>
            <w:r>
              <w:rPr>
                <w:color w:val="B02045"/>
                <w:sz w:val="21"/>
              </w:rPr>
              <w:t>spring.activemq</w:t>
            </w:r>
            <w:proofErr w:type="gramEnd"/>
            <w:r>
              <w:rPr>
                <w:color w:val="B02045"/>
                <w:sz w:val="21"/>
              </w:rPr>
              <w:t>.pool.m ax-sessions-per- connection</w:t>
            </w:r>
          </w:p>
        </w:tc>
        <w:tc>
          <w:tcPr>
            <w:tcW w:w="2494" w:type="dxa"/>
          </w:tcPr>
          <w:p w14:paraId="6ACBFE24" w14:textId="77777777" w:rsidR="00A720EB" w:rsidRDefault="0030286B">
            <w:pPr>
              <w:pStyle w:val="TableParagraph"/>
              <w:spacing w:before="37"/>
              <w:rPr>
                <w:sz w:val="21"/>
              </w:rPr>
            </w:pPr>
            <w:r>
              <w:rPr>
                <w:color w:val="B02045"/>
                <w:sz w:val="21"/>
              </w:rPr>
              <w:t>500.0</w:t>
            </w:r>
          </w:p>
        </w:tc>
        <w:tc>
          <w:tcPr>
            <w:tcW w:w="4988" w:type="dxa"/>
          </w:tcPr>
          <w:p w14:paraId="2EE18B96" w14:textId="77777777" w:rsidR="00A720EB" w:rsidRDefault="0030286B">
            <w:pPr>
              <w:pStyle w:val="TableParagraph"/>
              <w:spacing w:before="92" w:line="307" w:lineRule="auto"/>
              <w:rPr>
                <w:rFonts w:ascii="Cambria"/>
                <w:sz w:val="21"/>
              </w:rPr>
            </w:pPr>
            <w:r>
              <w:rPr>
                <w:rFonts w:ascii="Cambria"/>
                <w:color w:val="333333"/>
                <w:w w:val="110"/>
                <w:sz w:val="21"/>
              </w:rPr>
              <w:t>Maximum number of pooled sessions per connection in the pool.</w:t>
            </w:r>
          </w:p>
        </w:tc>
      </w:tr>
      <w:tr w:rsidR="00A720EB" w14:paraId="1007D93D" w14:textId="77777777">
        <w:trPr>
          <w:trHeight w:val="1056"/>
        </w:trPr>
        <w:tc>
          <w:tcPr>
            <w:tcW w:w="2494" w:type="dxa"/>
          </w:tcPr>
          <w:p w14:paraId="3CD738A8" w14:textId="77777777" w:rsidR="00A720EB" w:rsidRDefault="0030286B">
            <w:pPr>
              <w:pStyle w:val="TableParagraph"/>
              <w:spacing w:before="46" w:line="230" w:lineRule="auto"/>
              <w:ind w:right="113"/>
              <w:rPr>
                <w:sz w:val="21"/>
              </w:rPr>
            </w:pPr>
            <w:proofErr w:type="gramStart"/>
            <w:r>
              <w:rPr>
                <w:color w:val="B02045"/>
                <w:sz w:val="21"/>
              </w:rPr>
              <w:t>spring.activemq</w:t>
            </w:r>
            <w:proofErr w:type="gramEnd"/>
            <w:r>
              <w:rPr>
                <w:color w:val="B02045"/>
                <w:sz w:val="21"/>
              </w:rPr>
              <w:t>.pool.t ime-between- expiration-check</w:t>
            </w:r>
          </w:p>
        </w:tc>
        <w:tc>
          <w:tcPr>
            <w:tcW w:w="2494" w:type="dxa"/>
          </w:tcPr>
          <w:p w14:paraId="27A54E3D" w14:textId="77777777" w:rsidR="00A720EB" w:rsidRDefault="0030286B">
            <w:pPr>
              <w:pStyle w:val="TableParagraph"/>
              <w:spacing w:before="37"/>
              <w:rPr>
                <w:sz w:val="21"/>
              </w:rPr>
            </w:pPr>
            <w:r>
              <w:rPr>
                <w:color w:val="B02045"/>
                <w:sz w:val="21"/>
              </w:rPr>
              <w:t>-1ms</w:t>
            </w:r>
          </w:p>
        </w:tc>
        <w:tc>
          <w:tcPr>
            <w:tcW w:w="4988" w:type="dxa"/>
          </w:tcPr>
          <w:p w14:paraId="0BB73F66" w14:textId="77777777" w:rsidR="00A720EB" w:rsidRDefault="0030286B">
            <w:pPr>
              <w:pStyle w:val="TableParagraph"/>
              <w:spacing w:before="28" w:line="310" w:lineRule="atLeast"/>
              <w:ind w:right="218"/>
              <w:rPr>
                <w:rFonts w:ascii="Cambria"/>
                <w:sz w:val="21"/>
              </w:rPr>
            </w:pPr>
            <w:r>
              <w:rPr>
                <w:rFonts w:ascii="Cambria"/>
                <w:color w:val="333333"/>
                <w:w w:val="110"/>
                <w:sz w:val="21"/>
              </w:rPr>
              <w:t>Time to sleep between runs of the idle connection eviction thread. When negative, no idle connection eviction thread runs.</w:t>
            </w:r>
          </w:p>
        </w:tc>
      </w:tr>
      <w:tr w:rsidR="00A720EB" w14:paraId="29EAD9BC" w14:textId="77777777">
        <w:trPr>
          <w:trHeight w:val="1372"/>
        </w:trPr>
        <w:tc>
          <w:tcPr>
            <w:tcW w:w="2494" w:type="dxa"/>
          </w:tcPr>
          <w:p w14:paraId="1825C0F2" w14:textId="77777777" w:rsidR="00A720EB" w:rsidRDefault="0030286B">
            <w:pPr>
              <w:pStyle w:val="TableParagraph"/>
              <w:spacing w:before="46" w:line="230" w:lineRule="auto"/>
              <w:ind w:right="113"/>
              <w:rPr>
                <w:sz w:val="21"/>
              </w:rPr>
            </w:pPr>
            <w:proofErr w:type="gramStart"/>
            <w:r>
              <w:rPr>
                <w:color w:val="B02045"/>
                <w:sz w:val="21"/>
              </w:rPr>
              <w:t>spring.activemq</w:t>
            </w:r>
            <w:proofErr w:type="gramEnd"/>
            <w:r>
              <w:rPr>
                <w:color w:val="B02045"/>
                <w:sz w:val="21"/>
              </w:rPr>
              <w:t>.pool.u se-anonymous-producers</w:t>
            </w:r>
          </w:p>
        </w:tc>
        <w:tc>
          <w:tcPr>
            <w:tcW w:w="2494" w:type="dxa"/>
          </w:tcPr>
          <w:p w14:paraId="7B67B7D6" w14:textId="77777777" w:rsidR="00A720EB" w:rsidRDefault="0030286B">
            <w:pPr>
              <w:pStyle w:val="TableParagraph"/>
              <w:rPr>
                <w:sz w:val="21"/>
              </w:rPr>
            </w:pPr>
            <w:r>
              <w:rPr>
                <w:color w:val="B02045"/>
                <w:sz w:val="21"/>
              </w:rPr>
              <w:t>true</w:t>
            </w:r>
          </w:p>
        </w:tc>
        <w:tc>
          <w:tcPr>
            <w:tcW w:w="4988" w:type="dxa"/>
          </w:tcPr>
          <w:p w14:paraId="55048839" w14:textId="77777777" w:rsidR="00A720EB" w:rsidRDefault="0030286B">
            <w:pPr>
              <w:pStyle w:val="TableParagraph"/>
              <w:spacing w:before="28" w:line="310" w:lineRule="atLeast"/>
              <w:rPr>
                <w:rFonts w:ascii="Cambria"/>
                <w:sz w:val="21"/>
              </w:rPr>
            </w:pPr>
            <w:r>
              <w:rPr>
                <w:rFonts w:ascii="Cambria"/>
                <w:color w:val="333333"/>
                <w:w w:val="110"/>
                <w:sz w:val="21"/>
              </w:rPr>
              <w:t>Whether to use only one anonymous "MessageProducer" instance. Set it to false to create one "MessageProducer" every time one is required.</w:t>
            </w:r>
          </w:p>
        </w:tc>
      </w:tr>
      <w:tr w:rsidR="00A720EB" w14:paraId="5765B1F0" w14:textId="77777777">
        <w:trPr>
          <w:trHeight w:val="741"/>
        </w:trPr>
        <w:tc>
          <w:tcPr>
            <w:tcW w:w="2494" w:type="dxa"/>
          </w:tcPr>
          <w:p w14:paraId="31AFD1C5" w14:textId="77777777" w:rsidR="00A720EB" w:rsidRDefault="0030286B">
            <w:pPr>
              <w:pStyle w:val="TableParagraph"/>
              <w:spacing w:before="46" w:line="230" w:lineRule="auto"/>
              <w:ind w:right="199"/>
              <w:rPr>
                <w:sz w:val="21"/>
              </w:rPr>
            </w:pPr>
            <w:proofErr w:type="gramStart"/>
            <w:r>
              <w:rPr>
                <w:color w:val="B02045"/>
                <w:sz w:val="21"/>
              </w:rPr>
              <w:t>spring.activemq</w:t>
            </w:r>
            <w:proofErr w:type="gramEnd"/>
            <w:r>
              <w:rPr>
                <w:color w:val="B02045"/>
                <w:sz w:val="21"/>
              </w:rPr>
              <w:t>.send- timeout</w:t>
            </w:r>
          </w:p>
        </w:tc>
        <w:tc>
          <w:tcPr>
            <w:tcW w:w="2494" w:type="dxa"/>
          </w:tcPr>
          <w:p w14:paraId="410F4F8D" w14:textId="77777777" w:rsidR="00A720EB" w:rsidRDefault="0030286B">
            <w:pPr>
              <w:pStyle w:val="TableParagraph"/>
              <w:rPr>
                <w:sz w:val="21"/>
              </w:rPr>
            </w:pPr>
            <w:r>
              <w:rPr>
                <w:color w:val="B02045"/>
                <w:sz w:val="21"/>
              </w:rPr>
              <w:t>0ms</w:t>
            </w:r>
          </w:p>
        </w:tc>
        <w:tc>
          <w:tcPr>
            <w:tcW w:w="4988" w:type="dxa"/>
          </w:tcPr>
          <w:p w14:paraId="036BBE07" w14:textId="77777777" w:rsidR="00A720EB" w:rsidRDefault="0030286B">
            <w:pPr>
              <w:pStyle w:val="TableParagraph"/>
              <w:spacing w:before="28" w:line="310" w:lineRule="atLeast"/>
              <w:ind w:right="218"/>
              <w:rPr>
                <w:rFonts w:ascii="Cambria"/>
                <w:sz w:val="21"/>
              </w:rPr>
            </w:pPr>
            <w:r>
              <w:rPr>
                <w:rFonts w:ascii="Cambria"/>
                <w:color w:val="333333"/>
                <w:w w:val="110"/>
                <w:sz w:val="21"/>
              </w:rPr>
              <w:t>Time to wait on message sends for a response. Set it to 0 to wait forever.</w:t>
            </w:r>
          </w:p>
        </w:tc>
      </w:tr>
      <w:tr w:rsidR="00A720EB" w14:paraId="37D864D6" w14:textId="77777777">
        <w:trPr>
          <w:trHeight w:val="425"/>
        </w:trPr>
        <w:tc>
          <w:tcPr>
            <w:tcW w:w="2494" w:type="dxa"/>
          </w:tcPr>
          <w:p w14:paraId="73682225" w14:textId="77777777" w:rsidR="00A720EB" w:rsidRDefault="0030286B">
            <w:pPr>
              <w:pStyle w:val="TableParagraph"/>
              <w:spacing w:before="37"/>
              <w:rPr>
                <w:sz w:val="21"/>
              </w:rPr>
            </w:pPr>
            <w:proofErr w:type="gramStart"/>
            <w:r>
              <w:rPr>
                <w:color w:val="B02045"/>
                <w:sz w:val="21"/>
              </w:rPr>
              <w:t>spring.activemq</w:t>
            </w:r>
            <w:proofErr w:type="gramEnd"/>
            <w:r>
              <w:rPr>
                <w:color w:val="B02045"/>
                <w:sz w:val="21"/>
              </w:rPr>
              <w:t>.user</w:t>
            </w:r>
          </w:p>
        </w:tc>
        <w:tc>
          <w:tcPr>
            <w:tcW w:w="2494" w:type="dxa"/>
          </w:tcPr>
          <w:p w14:paraId="7CF2DD19" w14:textId="77777777" w:rsidR="00A720EB" w:rsidRDefault="00A720EB">
            <w:pPr>
              <w:pStyle w:val="TableParagraph"/>
              <w:spacing w:before="0"/>
              <w:ind w:left="0"/>
              <w:rPr>
                <w:rFonts w:ascii="Times New Roman"/>
                <w:sz w:val="20"/>
              </w:rPr>
            </w:pPr>
          </w:p>
        </w:tc>
        <w:tc>
          <w:tcPr>
            <w:tcW w:w="4988" w:type="dxa"/>
          </w:tcPr>
          <w:p w14:paraId="0C190B6F" w14:textId="77777777" w:rsidR="00A720EB" w:rsidRDefault="0030286B">
            <w:pPr>
              <w:pStyle w:val="TableParagraph"/>
              <w:spacing w:before="92"/>
              <w:rPr>
                <w:rFonts w:ascii="Cambria"/>
                <w:sz w:val="21"/>
              </w:rPr>
            </w:pPr>
            <w:r>
              <w:rPr>
                <w:rFonts w:ascii="Cambria"/>
                <w:color w:val="333333"/>
                <w:w w:val="110"/>
                <w:sz w:val="21"/>
              </w:rPr>
              <w:t>Login user of the broker.</w:t>
            </w:r>
          </w:p>
        </w:tc>
      </w:tr>
    </w:tbl>
    <w:p w14:paraId="03A13279"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4BAF0C5" w14:textId="77777777">
        <w:trPr>
          <w:trHeight w:val="415"/>
        </w:trPr>
        <w:tc>
          <w:tcPr>
            <w:tcW w:w="2494" w:type="dxa"/>
            <w:tcBorders>
              <w:bottom w:val="single" w:sz="12" w:space="0" w:color="DDDDDD"/>
            </w:tcBorders>
          </w:tcPr>
          <w:p w14:paraId="5A19FF6E"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26916FF"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4A40E08"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2656283" w14:textId="77777777">
        <w:trPr>
          <w:trHeight w:val="731"/>
        </w:trPr>
        <w:tc>
          <w:tcPr>
            <w:tcW w:w="2494" w:type="dxa"/>
            <w:tcBorders>
              <w:top w:val="single" w:sz="12" w:space="0" w:color="DDDDDD"/>
            </w:tcBorders>
          </w:tcPr>
          <w:p w14:paraId="32B38152" w14:textId="77777777" w:rsidR="00A720EB" w:rsidRDefault="0030286B">
            <w:pPr>
              <w:pStyle w:val="TableParagraph"/>
              <w:spacing w:before="36" w:line="230" w:lineRule="auto"/>
              <w:ind w:right="113"/>
              <w:rPr>
                <w:sz w:val="21"/>
              </w:rPr>
            </w:pPr>
            <w:proofErr w:type="gramStart"/>
            <w:r>
              <w:rPr>
                <w:color w:val="B02045"/>
                <w:sz w:val="21"/>
              </w:rPr>
              <w:t>spring.artemis</w:t>
            </w:r>
            <w:proofErr w:type="gramEnd"/>
            <w:r>
              <w:rPr>
                <w:color w:val="B02045"/>
                <w:sz w:val="21"/>
              </w:rPr>
              <w:t>.embedde d.cluster-password</w:t>
            </w:r>
          </w:p>
        </w:tc>
        <w:tc>
          <w:tcPr>
            <w:tcW w:w="2494" w:type="dxa"/>
            <w:tcBorders>
              <w:top w:val="single" w:sz="12" w:space="0" w:color="DDDDDD"/>
            </w:tcBorders>
          </w:tcPr>
          <w:p w14:paraId="2B74F2C5"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40922A16" w14:textId="77777777" w:rsidR="00A720EB" w:rsidRDefault="0030286B">
            <w:pPr>
              <w:pStyle w:val="TableParagraph"/>
              <w:spacing w:before="18" w:line="310" w:lineRule="atLeast"/>
              <w:ind w:right="640"/>
              <w:rPr>
                <w:rFonts w:ascii="Cambria"/>
                <w:sz w:val="21"/>
              </w:rPr>
            </w:pPr>
            <w:r>
              <w:rPr>
                <w:rFonts w:ascii="Cambria"/>
                <w:color w:val="333333"/>
                <w:w w:val="110"/>
                <w:sz w:val="21"/>
              </w:rPr>
              <w:t>Cluster password. Randomly generated on startup by default.</w:t>
            </w:r>
          </w:p>
        </w:tc>
      </w:tr>
      <w:tr w:rsidR="00A720EB" w14:paraId="28690B65" w14:textId="77777777">
        <w:trPr>
          <w:trHeight w:val="741"/>
        </w:trPr>
        <w:tc>
          <w:tcPr>
            <w:tcW w:w="2494" w:type="dxa"/>
          </w:tcPr>
          <w:p w14:paraId="4681113C" w14:textId="77777777" w:rsidR="00A720EB" w:rsidRDefault="0030286B">
            <w:pPr>
              <w:pStyle w:val="TableParagraph"/>
              <w:spacing w:before="46" w:line="230" w:lineRule="auto"/>
              <w:ind w:right="113"/>
              <w:rPr>
                <w:sz w:val="21"/>
              </w:rPr>
            </w:pPr>
            <w:proofErr w:type="gramStart"/>
            <w:r>
              <w:rPr>
                <w:color w:val="B02045"/>
                <w:sz w:val="21"/>
              </w:rPr>
              <w:t>spring.artemis</w:t>
            </w:r>
            <w:proofErr w:type="gramEnd"/>
            <w:r>
              <w:rPr>
                <w:color w:val="B02045"/>
                <w:sz w:val="21"/>
              </w:rPr>
              <w:t>.embedde d.data-directory</w:t>
            </w:r>
          </w:p>
        </w:tc>
        <w:tc>
          <w:tcPr>
            <w:tcW w:w="2494" w:type="dxa"/>
          </w:tcPr>
          <w:p w14:paraId="607EF5E0" w14:textId="77777777" w:rsidR="00A720EB" w:rsidRDefault="00A720EB">
            <w:pPr>
              <w:pStyle w:val="TableParagraph"/>
              <w:spacing w:before="0"/>
              <w:ind w:left="0"/>
              <w:rPr>
                <w:rFonts w:ascii="Times New Roman"/>
                <w:sz w:val="20"/>
              </w:rPr>
            </w:pPr>
          </w:p>
        </w:tc>
        <w:tc>
          <w:tcPr>
            <w:tcW w:w="4988" w:type="dxa"/>
          </w:tcPr>
          <w:p w14:paraId="01AB6C5E" w14:textId="77777777" w:rsidR="00A720EB" w:rsidRDefault="0030286B">
            <w:pPr>
              <w:pStyle w:val="TableParagraph"/>
              <w:spacing w:before="28" w:line="310" w:lineRule="atLeast"/>
              <w:ind w:right="372"/>
              <w:rPr>
                <w:rFonts w:ascii="Cambria"/>
                <w:sz w:val="21"/>
              </w:rPr>
            </w:pPr>
            <w:r>
              <w:rPr>
                <w:rFonts w:ascii="Cambria"/>
                <w:color w:val="333333"/>
                <w:w w:val="110"/>
                <w:sz w:val="21"/>
              </w:rPr>
              <w:t>Journal file directory. Not necessary if persistence is turned off.</w:t>
            </w:r>
          </w:p>
        </w:tc>
      </w:tr>
      <w:tr w:rsidR="00A720EB" w14:paraId="20270A2C" w14:textId="77777777">
        <w:trPr>
          <w:trHeight w:val="741"/>
        </w:trPr>
        <w:tc>
          <w:tcPr>
            <w:tcW w:w="2494" w:type="dxa"/>
          </w:tcPr>
          <w:p w14:paraId="60E6F2D7" w14:textId="77777777" w:rsidR="00A720EB" w:rsidRDefault="0030286B">
            <w:pPr>
              <w:pStyle w:val="TableParagraph"/>
              <w:spacing w:before="46" w:line="230" w:lineRule="auto"/>
              <w:ind w:right="94"/>
              <w:rPr>
                <w:sz w:val="21"/>
              </w:rPr>
            </w:pPr>
            <w:proofErr w:type="gramStart"/>
            <w:r>
              <w:rPr>
                <w:color w:val="B02045"/>
                <w:sz w:val="21"/>
              </w:rPr>
              <w:t>spring.artemis</w:t>
            </w:r>
            <w:proofErr w:type="gramEnd"/>
            <w:r>
              <w:rPr>
                <w:color w:val="B02045"/>
                <w:sz w:val="21"/>
              </w:rPr>
              <w:t>.embedde d.enabled</w:t>
            </w:r>
          </w:p>
        </w:tc>
        <w:tc>
          <w:tcPr>
            <w:tcW w:w="2494" w:type="dxa"/>
          </w:tcPr>
          <w:p w14:paraId="16FF0816" w14:textId="77777777" w:rsidR="00A720EB" w:rsidRDefault="0030286B">
            <w:pPr>
              <w:pStyle w:val="TableParagraph"/>
              <w:spacing w:before="37"/>
              <w:rPr>
                <w:sz w:val="21"/>
              </w:rPr>
            </w:pPr>
            <w:r>
              <w:rPr>
                <w:color w:val="B02045"/>
                <w:sz w:val="21"/>
              </w:rPr>
              <w:t>true</w:t>
            </w:r>
          </w:p>
        </w:tc>
        <w:tc>
          <w:tcPr>
            <w:tcW w:w="4988" w:type="dxa"/>
          </w:tcPr>
          <w:p w14:paraId="50E5EFA2"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enable embedded mode if the Artemis server APIs are available.</w:t>
            </w:r>
          </w:p>
        </w:tc>
      </w:tr>
      <w:tr w:rsidR="00A720EB" w14:paraId="3749DBE7" w14:textId="77777777">
        <w:trPr>
          <w:trHeight w:val="627"/>
        </w:trPr>
        <w:tc>
          <w:tcPr>
            <w:tcW w:w="2494" w:type="dxa"/>
          </w:tcPr>
          <w:p w14:paraId="14BDF82E" w14:textId="77777777" w:rsidR="00A720EB" w:rsidRDefault="0030286B">
            <w:pPr>
              <w:pStyle w:val="TableParagraph"/>
              <w:spacing w:before="46" w:line="230" w:lineRule="auto"/>
              <w:ind w:right="94"/>
              <w:rPr>
                <w:sz w:val="21"/>
              </w:rPr>
            </w:pPr>
            <w:proofErr w:type="gramStart"/>
            <w:r>
              <w:rPr>
                <w:color w:val="B02045"/>
                <w:sz w:val="21"/>
              </w:rPr>
              <w:t>spring.artemis</w:t>
            </w:r>
            <w:proofErr w:type="gramEnd"/>
            <w:r>
              <w:rPr>
                <w:color w:val="B02045"/>
                <w:sz w:val="21"/>
              </w:rPr>
              <w:t>.embedde d.persistent</w:t>
            </w:r>
          </w:p>
        </w:tc>
        <w:tc>
          <w:tcPr>
            <w:tcW w:w="2494" w:type="dxa"/>
          </w:tcPr>
          <w:p w14:paraId="56E6A70B" w14:textId="77777777" w:rsidR="00A720EB" w:rsidRDefault="0030286B">
            <w:pPr>
              <w:pStyle w:val="TableParagraph"/>
              <w:spacing w:before="37"/>
              <w:rPr>
                <w:sz w:val="21"/>
              </w:rPr>
            </w:pPr>
            <w:r>
              <w:rPr>
                <w:color w:val="B02045"/>
                <w:sz w:val="21"/>
              </w:rPr>
              <w:t>false</w:t>
            </w:r>
          </w:p>
        </w:tc>
        <w:tc>
          <w:tcPr>
            <w:tcW w:w="4988" w:type="dxa"/>
          </w:tcPr>
          <w:p w14:paraId="69A342E3" w14:textId="77777777" w:rsidR="00A720EB" w:rsidRDefault="0030286B">
            <w:pPr>
              <w:pStyle w:val="TableParagraph"/>
              <w:spacing w:before="92"/>
              <w:rPr>
                <w:rFonts w:ascii="Cambria"/>
                <w:sz w:val="21"/>
              </w:rPr>
            </w:pPr>
            <w:r>
              <w:rPr>
                <w:rFonts w:ascii="Cambria"/>
                <w:color w:val="333333"/>
                <w:w w:val="110"/>
                <w:sz w:val="21"/>
              </w:rPr>
              <w:t>Whether to enable persistent store.</w:t>
            </w:r>
          </w:p>
        </w:tc>
      </w:tr>
      <w:tr w:rsidR="00A720EB" w14:paraId="388DAA17" w14:textId="77777777">
        <w:trPr>
          <w:trHeight w:val="741"/>
        </w:trPr>
        <w:tc>
          <w:tcPr>
            <w:tcW w:w="2494" w:type="dxa"/>
          </w:tcPr>
          <w:p w14:paraId="2785F3CD" w14:textId="77777777" w:rsidR="00A720EB" w:rsidRDefault="0030286B">
            <w:pPr>
              <w:pStyle w:val="TableParagraph"/>
              <w:spacing w:before="46" w:line="230" w:lineRule="auto"/>
              <w:ind w:right="94"/>
              <w:rPr>
                <w:sz w:val="21"/>
              </w:rPr>
            </w:pPr>
            <w:proofErr w:type="gramStart"/>
            <w:r>
              <w:rPr>
                <w:color w:val="B02045"/>
                <w:sz w:val="21"/>
              </w:rPr>
              <w:t>spring.artemis</w:t>
            </w:r>
            <w:proofErr w:type="gramEnd"/>
            <w:r>
              <w:rPr>
                <w:color w:val="B02045"/>
                <w:sz w:val="21"/>
              </w:rPr>
              <w:t>.embedde d.queues</w:t>
            </w:r>
          </w:p>
        </w:tc>
        <w:tc>
          <w:tcPr>
            <w:tcW w:w="2494" w:type="dxa"/>
          </w:tcPr>
          <w:p w14:paraId="58E6D2DE" w14:textId="77777777" w:rsidR="00A720EB" w:rsidRDefault="0030286B">
            <w:pPr>
              <w:pStyle w:val="TableParagraph"/>
              <w:spacing w:before="37"/>
              <w:rPr>
                <w:sz w:val="21"/>
              </w:rPr>
            </w:pPr>
            <w:r>
              <w:rPr>
                <w:color w:val="B02045"/>
                <w:sz w:val="21"/>
              </w:rPr>
              <w:t>[]</w:t>
            </w:r>
          </w:p>
        </w:tc>
        <w:tc>
          <w:tcPr>
            <w:tcW w:w="4988" w:type="dxa"/>
          </w:tcPr>
          <w:p w14:paraId="2A346EDC"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queues to create on startup.</w:t>
            </w:r>
          </w:p>
        </w:tc>
      </w:tr>
      <w:tr w:rsidR="00A720EB" w14:paraId="3886B3C7" w14:textId="77777777">
        <w:trPr>
          <w:trHeight w:val="741"/>
        </w:trPr>
        <w:tc>
          <w:tcPr>
            <w:tcW w:w="2494" w:type="dxa"/>
          </w:tcPr>
          <w:p w14:paraId="2DC308BA" w14:textId="77777777" w:rsidR="00A720EB" w:rsidRDefault="0030286B">
            <w:pPr>
              <w:pStyle w:val="TableParagraph"/>
              <w:spacing w:before="46" w:line="230" w:lineRule="auto"/>
              <w:ind w:right="113"/>
              <w:rPr>
                <w:sz w:val="21"/>
              </w:rPr>
            </w:pPr>
            <w:proofErr w:type="gramStart"/>
            <w:r>
              <w:rPr>
                <w:color w:val="B02045"/>
                <w:sz w:val="21"/>
              </w:rPr>
              <w:t>spring.artemis</w:t>
            </w:r>
            <w:proofErr w:type="gramEnd"/>
            <w:r>
              <w:rPr>
                <w:color w:val="B02045"/>
                <w:sz w:val="21"/>
              </w:rPr>
              <w:t>.embedde d.server-id</w:t>
            </w:r>
          </w:p>
        </w:tc>
        <w:tc>
          <w:tcPr>
            <w:tcW w:w="2494" w:type="dxa"/>
          </w:tcPr>
          <w:p w14:paraId="2E328F47" w14:textId="77777777" w:rsidR="00A720EB" w:rsidRDefault="0030286B">
            <w:pPr>
              <w:pStyle w:val="TableParagraph"/>
              <w:spacing w:before="37"/>
              <w:rPr>
                <w:sz w:val="21"/>
              </w:rPr>
            </w:pPr>
            <w:r>
              <w:rPr>
                <w:color w:val="B02045"/>
                <w:sz w:val="21"/>
              </w:rPr>
              <w:t>0.0</w:t>
            </w:r>
          </w:p>
        </w:tc>
        <w:tc>
          <w:tcPr>
            <w:tcW w:w="4988" w:type="dxa"/>
          </w:tcPr>
          <w:p w14:paraId="64AF6A1C" w14:textId="77777777" w:rsidR="00A720EB" w:rsidRDefault="0030286B">
            <w:pPr>
              <w:pStyle w:val="TableParagraph"/>
              <w:spacing w:before="28" w:line="310" w:lineRule="atLeast"/>
              <w:rPr>
                <w:rFonts w:ascii="Cambria"/>
                <w:sz w:val="21"/>
              </w:rPr>
            </w:pPr>
            <w:r>
              <w:rPr>
                <w:rFonts w:ascii="Cambria"/>
                <w:color w:val="333333"/>
                <w:w w:val="110"/>
                <w:sz w:val="21"/>
              </w:rPr>
              <w:t>Server ID. By default, an auto-incremented counter is used.</w:t>
            </w:r>
          </w:p>
        </w:tc>
      </w:tr>
      <w:tr w:rsidR="00A720EB" w14:paraId="7FD9761E" w14:textId="77777777">
        <w:trPr>
          <w:trHeight w:val="741"/>
        </w:trPr>
        <w:tc>
          <w:tcPr>
            <w:tcW w:w="2494" w:type="dxa"/>
          </w:tcPr>
          <w:p w14:paraId="22AB9995" w14:textId="77777777" w:rsidR="00A720EB" w:rsidRDefault="0030286B">
            <w:pPr>
              <w:pStyle w:val="TableParagraph"/>
              <w:spacing w:before="46" w:line="230" w:lineRule="auto"/>
              <w:ind w:right="94"/>
              <w:rPr>
                <w:sz w:val="21"/>
              </w:rPr>
            </w:pPr>
            <w:proofErr w:type="gramStart"/>
            <w:r>
              <w:rPr>
                <w:color w:val="B02045"/>
                <w:sz w:val="21"/>
              </w:rPr>
              <w:t>spring.artemis</w:t>
            </w:r>
            <w:proofErr w:type="gramEnd"/>
            <w:r>
              <w:rPr>
                <w:color w:val="B02045"/>
                <w:sz w:val="21"/>
              </w:rPr>
              <w:t>.embedde d.topics</w:t>
            </w:r>
          </w:p>
        </w:tc>
        <w:tc>
          <w:tcPr>
            <w:tcW w:w="2494" w:type="dxa"/>
          </w:tcPr>
          <w:p w14:paraId="2C2FBD20" w14:textId="77777777" w:rsidR="00A720EB" w:rsidRDefault="0030286B">
            <w:pPr>
              <w:pStyle w:val="TableParagraph"/>
              <w:spacing w:before="37"/>
              <w:rPr>
                <w:sz w:val="21"/>
              </w:rPr>
            </w:pPr>
            <w:r>
              <w:rPr>
                <w:color w:val="B02045"/>
                <w:sz w:val="21"/>
              </w:rPr>
              <w:t>[]</w:t>
            </w:r>
          </w:p>
        </w:tc>
        <w:tc>
          <w:tcPr>
            <w:tcW w:w="4988" w:type="dxa"/>
          </w:tcPr>
          <w:p w14:paraId="3E773FDA"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topics to create on startup.</w:t>
            </w:r>
          </w:p>
        </w:tc>
      </w:tr>
      <w:tr w:rsidR="00A720EB" w14:paraId="11F8DA34" w14:textId="77777777">
        <w:trPr>
          <w:trHeight w:val="425"/>
        </w:trPr>
        <w:tc>
          <w:tcPr>
            <w:tcW w:w="2494" w:type="dxa"/>
          </w:tcPr>
          <w:p w14:paraId="54955AA1" w14:textId="77777777" w:rsidR="00A720EB" w:rsidRDefault="0030286B">
            <w:pPr>
              <w:pStyle w:val="TableParagraph"/>
              <w:spacing w:before="37"/>
              <w:rPr>
                <w:sz w:val="21"/>
              </w:rPr>
            </w:pPr>
            <w:proofErr w:type="gramStart"/>
            <w:r>
              <w:rPr>
                <w:color w:val="B02045"/>
                <w:sz w:val="21"/>
              </w:rPr>
              <w:t>spring.artemis</w:t>
            </w:r>
            <w:proofErr w:type="gramEnd"/>
            <w:r>
              <w:rPr>
                <w:color w:val="B02045"/>
                <w:sz w:val="21"/>
              </w:rPr>
              <w:t>.host</w:t>
            </w:r>
          </w:p>
        </w:tc>
        <w:tc>
          <w:tcPr>
            <w:tcW w:w="2494" w:type="dxa"/>
          </w:tcPr>
          <w:p w14:paraId="00C2A48A" w14:textId="77777777" w:rsidR="00A720EB" w:rsidRDefault="0030286B">
            <w:pPr>
              <w:pStyle w:val="TableParagraph"/>
              <w:spacing w:before="37"/>
              <w:rPr>
                <w:sz w:val="21"/>
              </w:rPr>
            </w:pPr>
            <w:r>
              <w:rPr>
                <w:color w:val="B02045"/>
                <w:sz w:val="21"/>
              </w:rPr>
              <w:t>localhost</w:t>
            </w:r>
          </w:p>
        </w:tc>
        <w:tc>
          <w:tcPr>
            <w:tcW w:w="4988" w:type="dxa"/>
          </w:tcPr>
          <w:p w14:paraId="462EF1A3" w14:textId="77777777" w:rsidR="00A720EB" w:rsidRDefault="0030286B">
            <w:pPr>
              <w:pStyle w:val="TableParagraph"/>
              <w:spacing w:before="92"/>
              <w:rPr>
                <w:rFonts w:ascii="Cambria"/>
                <w:sz w:val="21"/>
              </w:rPr>
            </w:pPr>
            <w:r>
              <w:rPr>
                <w:rFonts w:ascii="Cambria"/>
                <w:color w:val="333333"/>
                <w:w w:val="110"/>
                <w:sz w:val="21"/>
              </w:rPr>
              <w:t>Artemis broker host.</w:t>
            </w:r>
          </w:p>
        </w:tc>
      </w:tr>
      <w:tr w:rsidR="00A720EB" w14:paraId="5AABFB7B" w14:textId="77777777">
        <w:trPr>
          <w:trHeight w:val="741"/>
        </w:trPr>
        <w:tc>
          <w:tcPr>
            <w:tcW w:w="2494" w:type="dxa"/>
          </w:tcPr>
          <w:p w14:paraId="12D7AF9F" w14:textId="77777777" w:rsidR="00A720EB" w:rsidRDefault="0030286B">
            <w:pPr>
              <w:pStyle w:val="TableParagraph"/>
              <w:rPr>
                <w:sz w:val="21"/>
              </w:rPr>
            </w:pPr>
            <w:proofErr w:type="gramStart"/>
            <w:r>
              <w:rPr>
                <w:color w:val="B02045"/>
                <w:sz w:val="21"/>
              </w:rPr>
              <w:t>spring.artemis</w:t>
            </w:r>
            <w:proofErr w:type="gramEnd"/>
            <w:r>
              <w:rPr>
                <w:color w:val="B02045"/>
                <w:sz w:val="21"/>
              </w:rPr>
              <w:t>.mode</w:t>
            </w:r>
          </w:p>
        </w:tc>
        <w:tc>
          <w:tcPr>
            <w:tcW w:w="2494" w:type="dxa"/>
          </w:tcPr>
          <w:p w14:paraId="7779191C" w14:textId="77777777" w:rsidR="00A720EB" w:rsidRDefault="00A720EB">
            <w:pPr>
              <w:pStyle w:val="TableParagraph"/>
              <w:spacing w:before="0"/>
              <w:ind w:left="0"/>
              <w:rPr>
                <w:rFonts w:ascii="Times New Roman"/>
                <w:sz w:val="20"/>
              </w:rPr>
            </w:pPr>
          </w:p>
        </w:tc>
        <w:tc>
          <w:tcPr>
            <w:tcW w:w="4988" w:type="dxa"/>
          </w:tcPr>
          <w:p w14:paraId="7BC549C5" w14:textId="77777777" w:rsidR="00A720EB" w:rsidRDefault="0030286B">
            <w:pPr>
              <w:pStyle w:val="TableParagraph"/>
              <w:spacing w:before="28" w:line="310" w:lineRule="atLeast"/>
              <w:rPr>
                <w:rFonts w:ascii="Cambria"/>
                <w:sz w:val="21"/>
              </w:rPr>
            </w:pPr>
            <w:r>
              <w:rPr>
                <w:rFonts w:ascii="Cambria"/>
                <w:color w:val="333333"/>
                <w:w w:val="110"/>
                <w:sz w:val="21"/>
              </w:rPr>
              <w:t>Artemis deployment mode, auto-detected by default.</w:t>
            </w:r>
          </w:p>
        </w:tc>
      </w:tr>
      <w:tr w:rsidR="00A720EB" w14:paraId="4D5F0D75" w14:textId="77777777">
        <w:trPr>
          <w:trHeight w:val="627"/>
        </w:trPr>
        <w:tc>
          <w:tcPr>
            <w:tcW w:w="2494" w:type="dxa"/>
          </w:tcPr>
          <w:p w14:paraId="12DB93B3" w14:textId="77777777" w:rsidR="00A720EB" w:rsidRDefault="0030286B">
            <w:pPr>
              <w:pStyle w:val="TableParagraph"/>
              <w:spacing w:before="46" w:line="230" w:lineRule="auto"/>
              <w:ind w:right="94"/>
              <w:rPr>
                <w:sz w:val="21"/>
              </w:rPr>
            </w:pPr>
            <w:proofErr w:type="gramStart"/>
            <w:r>
              <w:rPr>
                <w:color w:val="B02045"/>
                <w:sz w:val="21"/>
              </w:rPr>
              <w:t>spring.artemis</w:t>
            </w:r>
            <w:proofErr w:type="gramEnd"/>
            <w:r>
              <w:rPr>
                <w:color w:val="B02045"/>
                <w:sz w:val="21"/>
              </w:rPr>
              <w:t>.passwor d</w:t>
            </w:r>
          </w:p>
        </w:tc>
        <w:tc>
          <w:tcPr>
            <w:tcW w:w="2494" w:type="dxa"/>
          </w:tcPr>
          <w:p w14:paraId="0CBDF0BA" w14:textId="77777777" w:rsidR="00A720EB" w:rsidRDefault="00A720EB">
            <w:pPr>
              <w:pStyle w:val="TableParagraph"/>
              <w:spacing w:before="0"/>
              <w:ind w:left="0"/>
              <w:rPr>
                <w:rFonts w:ascii="Times New Roman"/>
                <w:sz w:val="20"/>
              </w:rPr>
            </w:pPr>
          </w:p>
        </w:tc>
        <w:tc>
          <w:tcPr>
            <w:tcW w:w="4988" w:type="dxa"/>
          </w:tcPr>
          <w:p w14:paraId="6DC8D9F9" w14:textId="77777777" w:rsidR="00A720EB" w:rsidRDefault="0030286B">
            <w:pPr>
              <w:pStyle w:val="TableParagraph"/>
              <w:spacing w:before="92"/>
              <w:rPr>
                <w:rFonts w:ascii="Cambria"/>
                <w:sz w:val="21"/>
              </w:rPr>
            </w:pPr>
            <w:r>
              <w:rPr>
                <w:rFonts w:ascii="Cambria"/>
                <w:color w:val="333333"/>
                <w:w w:val="110"/>
                <w:sz w:val="21"/>
              </w:rPr>
              <w:t>Login password of the broker.</w:t>
            </w:r>
          </w:p>
        </w:tc>
      </w:tr>
      <w:tr w:rsidR="00A720EB" w14:paraId="17D9507D" w14:textId="77777777">
        <w:trPr>
          <w:trHeight w:val="1056"/>
        </w:trPr>
        <w:tc>
          <w:tcPr>
            <w:tcW w:w="2494" w:type="dxa"/>
          </w:tcPr>
          <w:p w14:paraId="52941FD6" w14:textId="77777777" w:rsidR="00A720EB" w:rsidRDefault="0030286B">
            <w:pPr>
              <w:pStyle w:val="TableParagraph"/>
              <w:spacing w:before="46" w:line="230" w:lineRule="auto"/>
              <w:ind w:right="113"/>
              <w:rPr>
                <w:sz w:val="21"/>
              </w:rPr>
            </w:pPr>
            <w:r>
              <w:rPr>
                <w:color w:val="B02045"/>
                <w:sz w:val="21"/>
              </w:rPr>
              <w:t>spring.artemis.pool.bl ock-if-full</w:t>
            </w:r>
          </w:p>
        </w:tc>
        <w:tc>
          <w:tcPr>
            <w:tcW w:w="2494" w:type="dxa"/>
          </w:tcPr>
          <w:p w14:paraId="179648E2" w14:textId="77777777" w:rsidR="00A720EB" w:rsidRDefault="0030286B">
            <w:pPr>
              <w:pStyle w:val="TableParagraph"/>
              <w:spacing w:before="37"/>
              <w:rPr>
                <w:sz w:val="21"/>
              </w:rPr>
            </w:pPr>
            <w:r>
              <w:rPr>
                <w:color w:val="B02045"/>
                <w:sz w:val="21"/>
              </w:rPr>
              <w:t>true</w:t>
            </w:r>
          </w:p>
        </w:tc>
        <w:tc>
          <w:tcPr>
            <w:tcW w:w="4988" w:type="dxa"/>
          </w:tcPr>
          <w:p w14:paraId="7B76CE67"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block when a connection is requested and the pool is full. Set it to false to throw a "JMSException" instead.</w:t>
            </w:r>
          </w:p>
        </w:tc>
      </w:tr>
      <w:tr w:rsidR="00A720EB" w14:paraId="30331B16" w14:textId="77777777">
        <w:trPr>
          <w:trHeight w:val="741"/>
        </w:trPr>
        <w:tc>
          <w:tcPr>
            <w:tcW w:w="2494" w:type="dxa"/>
          </w:tcPr>
          <w:p w14:paraId="06F183AF" w14:textId="77777777" w:rsidR="00A720EB" w:rsidRDefault="0030286B">
            <w:pPr>
              <w:pStyle w:val="TableParagraph"/>
              <w:spacing w:before="46" w:line="230" w:lineRule="auto"/>
              <w:ind w:right="113"/>
              <w:rPr>
                <w:sz w:val="21"/>
              </w:rPr>
            </w:pPr>
            <w:r>
              <w:rPr>
                <w:color w:val="B02045"/>
                <w:sz w:val="21"/>
              </w:rPr>
              <w:t>spring.artemis.pool.bl ock-if-full-timeout</w:t>
            </w:r>
          </w:p>
        </w:tc>
        <w:tc>
          <w:tcPr>
            <w:tcW w:w="2494" w:type="dxa"/>
          </w:tcPr>
          <w:p w14:paraId="7A5593DB" w14:textId="77777777" w:rsidR="00A720EB" w:rsidRDefault="0030286B">
            <w:pPr>
              <w:pStyle w:val="TableParagraph"/>
              <w:spacing w:before="37"/>
              <w:rPr>
                <w:sz w:val="21"/>
              </w:rPr>
            </w:pPr>
            <w:r>
              <w:rPr>
                <w:color w:val="B02045"/>
                <w:sz w:val="21"/>
              </w:rPr>
              <w:t>-1ms</w:t>
            </w:r>
          </w:p>
        </w:tc>
        <w:tc>
          <w:tcPr>
            <w:tcW w:w="4988" w:type="dxa"/>
          </w:tcPr>
          <w:p w14:paraId="40163D1B" w14:textId="77777777" w:rsidR="00A720EB" w:rsidRDefault="0030286B">
            <w:pPr>
              <w:pStyle w:val="TableParagraph"/>
              <w:spacing w:before="28" w:line="310" w:lineRule="atLeast"/>
              <w:rPr>
                <w:rFonts w:ascii="Cambria"/>
                <w:sz w:val="21"/>
              </w:rPr>
            </w:pPr>
            <w:r>
              <w:rPr>
                <w:rFonts w:ascii="Cambria"/>
                <w:color w:val="333333"/>
                <w:w w:val="110"/>
                <w:sz w:val="21"/>
              </w:rPr>
              <w:t>Blocking period before throwing an exception if the pool is still full.</w:t>
            </w:r>
          </w:p>
        </w:tc>
      </w:tr>
      <w:tr w:rsidR="00A720EB" w14:paraId="08F3B57A" w14:textId="77777777">
        <w:trPr>
          <w:trHeight w:val="741"/>
        </w:trPr>
        <w:tc>
          <w:tcPr>
            <w:tcW w:w="2494" w:type="dxa"/>
          </w:tcPr>
          <w:p w14:paraId="33A2F282" w14:textId="77777777" w:rsidR="00A720EB" w:rsidRDefault="0030286B">
            <w:pPr>
              <w:pStyle w:val="TableParagraph"/>
              <w:spacing w:before="46" w:line="230" w:lineRule="auto"/>
              <w:ind w:right="94"/>
              <w:rPr>
                <w:sz w:val="21"/>
              </w:rPr>
            </w:pPr>
            <w:proofErr w:type="gramStart"/>
            <w:r>
              <w:rPr>
                <w:color w:val="B02045"/>
                <w:sz w:val="21"/>
              </w:rPr>
              <w:t>spring.artemis</w:t>
            </w:r>
            <w:proofErr w:type="gramEnd"/>
            <w:r>
              <w:rPr>
                <w:color w:val="B02045"/>
                <w:sz w:val="21"/>
              </w:rPr>
              <w:t>.pool.en abled</w:t>
            </w:r>
          </w:p>
        </w:tc>
        <w:tc>
          <w:tcPr>
            <w:tcW w:w="2494" w:type="dxa"/>
          </w:tcPr>
          <w:p w14:paraId="0D3E4510" w14:textId="77777777" w:rsidR="00A720EB" w:rsidRDefault="0030286B">
            <w:pPr>
              <w:pStyle w:val="TableParagraph"/>
              <w:spacing w:before="37"/>
              <w:rPr>
                <w:sz w:val="21"/>
              </w:rPr>
            </w:pPr>
            <w:r>
              <w:rPr>
                <w:color w:val="B02045"/>
                <w:sz w:val="21"/>
              </w:rPr>
              <w:t>false</w:t>
            </w:r>
          </w:p>
        </w:tc>
        <w:tc>
          <w:tcPr>
            <w:tcW w:w="4988" w:type="dxa"/>
          </w:tcPr>
          <w:p w14:paraId="28EC3681" w14:textId="77777777" w:rsidR="00A720EB" w:rsidRDefault="0030286B">
            <w:pPr>
              <w:pStyle w:val="TableParagraph"/>
              <w:spacing w:before="28" w:line="310" w:lineRule="atLeast"/>
              <w:rPr>
                <w:rFonts w:ascii="Cambria"/>
                <w:sz w:val="21"/>
              </w:rPr>
            </w:pPr>
            <w:r>
              <w:rPr>
                <w:rFonts w:ascii="Cambria"/>
                <w:color w:val="333333"/>
                <w:w w:val="110"/>
                <w:sz w:val="21"/>
              </w:rPr>
              <w:t>Whether a JmsPoolConnectionFactory should be created, instead of a regular ConnectionFactory.</w:t>
            </w:r>
          </w:p>
        </w:tc>
      </w:tr>
      <w:tr w:rsidR="00A720EB" w14:paraId="50760D43" w14:textId="77777777">
        <w:trPr>
          <w:trHeight w:val="627"/>
        </w:trPr>
        <w:tc>
          <w:tcPr>
            <w:tcW w:w="2494" w:type="dxa"/>
          </w:tcPr>
          <w:p w14:paraId="0885CF28" w14:textId="77777777" w:rsidR="00A720EB" w:rsidRDefault="0030286B">
            <w:pPr>
              <w:pStyle w:val="TableParagraph"/>
              <w:spacing w:before="46" w:line="230" w:lineRule="auto"/>
              <w:ind w:right="113"/>
              <w:rPr>
                <w:sz w:val="21"/>
              </w:rPr>
            </w:pPr>
            <w:r>
              <w:rPr>
                <w:color w:val="B02045"/>
                <w:sz w:val="21"/>
              </w:rPr>
              <w:t>spring.artemis.pool.id le-timeout</w:t>
            </w:r>
          </w:p>
        </w:tc>
        <w:tc>
          <w:tcPr>
            <w:tcW w:w="2494" w:type="dxa"/>
          </w:tcPr>
          <w:p w14:paraId="1068F019" w14:textId="77777777" w:rsidR="00A720EB" w:rsidRDefault="0030286B">
            <w:pPr>
              <w:pStyle w:val="TableParagraph"/>
              <w:spacing w:before="37"/>
              <w:rPr>
                <w:sz w:val="21"/>
              </w:rPr>
            </w:pPr>
            <w:r>
              <w:rPr>
                <w:color w:val="B02045"/>
                <w:sz w:val="21"/>
              </w:rPr>
              <w:t>30s</w:t>
            </w:r>
          </w:p>
        </w:tc>
        <w:tc>
          <w:tcPr>
            <w:tcW w:w="4988" w:type="dxa"/>
          </w:tcPr>
          <w:p w14:paraId="24CFBC43" w14:textId="77777777" w:rsidR="00A720EB" w:rsidRDefault="0030286B">
            <w:pPr>
              <w:pStyle w:val="TableParagraph"/>
              <w:spacing w:before="92"/>
              <w:rPr>
                <w:rFonts w:ascii="Cambria"/>
                <w:sz w:val="21"/>
              </w:rPr>
            </w:pPr>
            <w:r>
              <w:rPr>
                <w:rFonts w:ascii="Cambria"/>
                <w:color w:val="333333"/>
                <w:w w:val="110"/>
                <w:sz w:val="21"/>
              </w:rPr>
              <w:t>Connection idle timeout.</w:t>
            </w:r>
          </w:p>
        </w:tc>
      </w:tr>
      <w:tr w:rsidR="00A720EB" w14:paraId="3A2C1C4D" w14:textId="77777777">
        <w:trPr>
          <w:trHeight w:val="627"/>
        </w:trPr>
        <w:tc>
          <w:tcPr>
            <w:tcW w:w="2494" w:type="dxa"/>
          </w:tcPr>
          <w:p w14:paraId="5BE7A2A6" w14:textId="77777777" w:rsidR="00A720EB" w:rsidRDefault="0030286B">
            <w:pPr>
              <w:pStyle w:val="TableParagraph"/>
              <w:spacing w:before="46" w:line="230" w:lineRule="auto"/>
              <w:ind w:right="113"/>
              <w:rPr>
                <w:sz w:val="21"/>
              </w:rPr>
            </w:pPr>
            <w:r>
              <w:rPr>
                <w:color w:val="B02045"/>
                <w:sz w:val="21"/>
              </w:rPr>
              <w:t>spring.artemis.pool.ma x-connections</w:t>
            </w:r>
          </w:p>
        </w:tc>
        <w:tc>
          <w:tcPr>
            <w:tcW w:w="2494" w:type="dxa"/>
          </w:tcPr>
          <w:p w14:paraId="605795F1" w14:textId="77777777" w:rsidR="00A720EB" w:rsidRDefault="0030286B">
            <w:pPr>
              <w:pStyle w:val="TableParagraph"/>
              <w:spacing w:before="37"/>
              <w:rPr>
                <w:sz w:val="21"/>
              </w:rPr>
            </w:pPr>
            <w:r>
              <w:rPr>
                <w:color w:val="B02045"/>
                <w:sz w:val="21"/>
              </w:rPr>
              <w:t>1.0</w:t>
            </w:r>
          </w:p>
        </w:tc>
        <w:tc>
          <w:tcPr>
            <w:tcW w:w="4988" w:type="dxa"/>
          </w:tcPr>
          <w:p w14:paraId="1B201E03" w14:textId="77777777" w:rsidR="00A720EB" w:rsidRDefault="0030286B">
            <w:pPr>
              <w:pStyle w:val="TableParagraph"/>
              <w:spacing w:before="92"/>
              <w:rPr>
                <w:rFonts w:ascii="Cambria"/>
                <w:sz w:val="21"/>
              </w:rPr>
            </w:pPr>
            <w:r>
              <w:rPr>
                <w:rFonts w:ascii="Cambria"/>
                <w:color w:val="333333"/>
                <w:w w:val="115"/>
                <w:sz w:val="21"/>
              </w:rPr>
              <w:t>Maximum number of pooled connections.</w:t>
            </w:r>
          </w:p>
        </w:tc>
      </w:tr>
      <w:tr w:rsidR="00A720EB" w14:paraId="39E99391" w14:textId="77777777">
        <w:trPr>
          <w:trHeight w:val="886"/>
        </w:trPr>
        <w:tc>
          <w:tcPr>
            <w:tcW w:w="2494" w:type="dxa"/>
          </w:tcPr>
          <w:p w14:paraId="49468D30" w14:textId="77777777" w:rsidR="00A720EB" w:rsidRDefault="0030286B">
            <w:pPr>
              <w:pStyle w:val="TableParagraph"/>
              <w:spacing w:before="46" w:line="230" w:lineRule="auto"/>
              <w:ind w:right="113"/>
              <w:rPr>
                <w:sz w:val="21"/>
              </w:rPr>
            </w:pPr>
            <w:r>
              <w:rPr>
                <w:color w:val="B02045"/>
                <w:sz w:val="21"/>
              </w:rPr>
              <w:t>spring.artemis.pool.ma x-sessions-per- connection</w:t>
            </w:r>
          </w:p>
        </w:tc>
        <w:tc>
          <w:tcPr>
            <w:tcW w:w="2494" w:type="dxa"/>
          </w:tcPr>
          <w:p w14:paraId="32A354C3" w14:textId="77777777" w:rsidR="00A720EB" w:rsidRDefault="0030286B">
            <w:pPr>
              <w:pStyle w:val="TableParagraph"/>
              <w:spacing w:before="37"/>
              <w:rPr>
                <w:sz w:val="21"/>
              </w:rPr>
            </w:pPr>
            <w:r>
              <w:rPr>
                <w:color w:val="B02045"/>
                <w:sz w:val="21"/>
              </w:rPr>
              <w:t>500.0</w:t>
            </w:r>
          </w:p>
        </w:tc>
        <w:tc>
          <w:tcPr>
            <w:tcW w:w="4988" w:type="dxa"/>
          </w:tcPr>
          <w:p w14:paraId="3EF78D03" w14:textId="77777777" w:rsidR="00A720EB" w:rsidRDefault="0030286B">
            <w:pPr>
              <w:pStyle w:val="TableParagraph"/>
              <w:spacing w:before="92" w:line="307" w:lineRule="auto"/>
              <w:rPr>
                <w:rFonts w:ascii="Cambria"/>
                <w:sz w:val="21"/>
              </w:rPr>
            </w:pPr>
            <w:r>
              <w:rPr>
                <w:rFonts w:ascii="Cambria"/>
                <w:color w:val="333333"/>
                <w:w w:val="110"/>
                <w:sz w:val="21"/>
              </w:rPr>
              <w:t>Maximum number of pooled sessions per connection in the pool.</w:t>
            </w:r>
          </w:p>
        </w:tc>
      </w:tr>
      <w:tr w:rsidR="00A720EB" w14:paraId="17F6852A" w14:textId="77777777">
        <w:trPr>
          <w:trHeight w:val="1056"/>
        </w:trPr>
        <w:tc>
          <w:tcPr>
            <w:tcW w:w="2494" w:type="dxa"/>
          </w:tcPr>
          <w:p w14:paraId="50CEF598" w14:textId="77777777" w:rsidR="00A720EB" w:rsidRDefault="0030286B">
            <w:pPr>
              <w:pStyle w:val="TableParagraph"/>
              <w:spacing w:before="46" w:line="230" w:lineRule="auto"/>
              <w:ind w:right="113"/>
              <w:jc w:val="both"/>
              <w:rPr>
                <w:sz w:val="21"/>
              </w:rPr>
            </w:pPr>
            <w:proofErr w:type="gramStart"/>
            <w:r>
              <w:rPr>
                <w:color w:val="B02045"/>
                <w:sz w:val="21"/>
              </w:rPr>
              <w:t>spring.artemis</w:t>
            </w:r>
            <w:proofErr w:type="gramEnd"/>
            <w:r>
              <w:rPr>
                <w:color w:val="B02045"/>
                <w:sz w:val="21"/>
              </w:rPr>
              <w:t>.pool.ti me-between-expiration- check</w:t>
            </w:r>
          </w:p>
        </w:tc>
        <w:tc>
          <w:tcPr>
            <w:tcW w:w="2494" w:type="dxa"/>
          </w:tcPr>
          <w:p w14:paraId="2EB0B2D8" w14:textId="77777777" w:rsidR="00A720EB" w:rsidRDefault="0030286B">
            <w:pPr>
              <w:pStyle w:val="TableParagraph"/>
              <w:rPr>
                <w:sz w:val="21"/>
              </w:rPr>
            </w:pPr>
            <w:r>
              <w:rPr>
                <w:color w:val="B02045"/>
                <w:sz w:val="21"/>
              </w:rPr>
              <w:t>-1ms</w:t>
            </w:r>
          </w:p>
        </w:tc>
        <w:tc>
          <w:tcPr>
            <w:tcW w:w="4988" w:type="dxa"/>
          </w:tcPr>
          <w:p w14:paraId="4BC9CE27" w14:textId="77777777" w:rsidR="00A720EB" w:rsidRDefault="0030286B">
            <w:pPr>
              <w:pStyle w:val="TableParagraph"/>
              <w:spacing w:before="28" w:line="310" w:lineRule="atLeast"/>
              <w:ind w:right="218"/>
              <w:rPr>
                <w:rFonts w:ascii="Cambria"/>
                <w:sz w:val="21"/>
              </w:rPr>
            </w:pPr>
            <w:r>
              <w:rPr>
                <w:rFonts w:ascii="Cambria"/>
                <w:color w:val="333333"/>
                <w:w w:val="110"/>
                <w:sz w:val="21"/>
              </w:rPr>
              <w:t>Time to sleep between runs of the idle connection eviction thread. When negative, no idle connection eviction thread runs.</w:t>
            </w:r>
          </w:p>
        </w:tc>
      </w:tr>
      <w:tr w:rsidR="00A720EB" w14:paraId="16B22E50" w14:textId="77777777">
        <w:trPr>
          <w:trHeight w:val="1372"/>
        </w:trPr>
        <w:tc>
          <w:tcPr>
            <w:tcW w:w="2494" w:type="dxa"/>
          </w:tcPr>
          <w:p w14:paraId="675F4B50" w14:textId="77777777" w:rsidR="00A720EB" w:rsidRDefault="0030286B">
            <w:pPr>
              <w:pStyle w:val="TableParagraph"/>
              <w:spacing w:before="46" w:line="230" w:lineRule="auto"/>
              <w:ind w:right="113"/>
              <w:rPr>
                <w:sz w:val="21"/>
              </w:rPr>
            </w:pPr>
            <w:r>
              <w:rPr>
                <w:color w:val="B02045"/>
                <w:sz w:val="21"/>
              </w:rPr>
              <w:t>spring.artemis.pool.us e-anonymous-producers</w:t>
            </w:r>
          </w:p>
        </w:tc>
        <w:tc>
          <w:tcPr>
            <w:tcW w:w="2494" w:type="dxa"/>
          </w:tcPr>
          <w:p w14:paraId="4DD91899" w14:textId="77777777" w:rsidR="00A720EB" w:rsidRDefault="0030286B">
            <w:pPr>
              <w:pStyle w:val="TableParagraph"/>
              <w:rPr>
                <w:sz w:val="21"/>
              </w:rPr>
            </w:pPr>
            <w:r>
              <w:rPr>
                <w:color w:val="B02045"/>
                <w:sz w:val="21"/>
              </w:rPr>
              <w:t>true</w:t>
            </w:r>
          </w:p>
        </w:tc>
        <w:tc>
          <w:tcPr>
            <w:tcW w:w="4988" w:type="dxa"/>
          </w:tcPr>
          <w:p w14:paraId="1C918BF0" w14:textId="77777777" w:rsidR="00A720EB" w:rsidRDefault="0030286B">
            <w:pPr>
              <w:pStyle w:val="TableParagraph"/>
              <w:spacing w:before="28" w:line="310" w:lineRule="atLeast"/>
              <w:rPr>
                <w:rFonts w:ascii="Cambria"/>
                <w:sz w:val="21"/>
              </w:rPr>
            </w:pPr>
            <w:r>
              <w:rPr>
                <w:rFonts w:ascii="Cambria"/>
                <w:color w:val="333333"/>
                <w:w w:val="110"/>
                <w:sz w:val="21"/>
              </w:rPr>
              <w:t>Whether to use only one anonymous "MessageProducer" instance. Set it to false to create one "MessageProducer" every time one is required.</w:t>
            </w:r>
          </w:p>
        </w:tc>
      </w:tr>
      <w:tr w:rsidR="00A720EB" w14:paraId="6BBFE15D" w14:textId="77777777">
        <w:trPr>
          <w:trHeight w:val="425"/>
        </w:trPr>
        <w:tc>
          <w:tcPr>
            <w:tcW w:w="2494" w:type="dxa"/>
          </w:tcPr>
          <w:p w14:paraId="4CA76869" w14:textId="77777777" w:rsidR="00A720EB" w:rsidRDefault="0030286B">
            <w:pPr>
              <w:pStyle w:val="TableParagraph"/>
              <w:rPr>
                <w:sz w:val="21"/>
              </w:rPr>
            </w:pPr>
            <w:proofErr w:type="gramStart"/>
            <w:r>
              <w:rPr>
                <w:color w:val="B02045"/>
                <w:sz w:val="21"/>
              </w:rPr>
              <w:t>spring.artemis</w:t>
            </w:r>
            <w:proofErr w:type="gramEnd"/>
            <w:r>
              <w:rPr>
                <w:color w:val="B02045"/>
                <w:sz w:val="21"/>
              </w:rPr>
              <w:t>.port</w:t>
            </w:r>
          </w:p>
        </w:tc>
        <w:tc>
          <w:tcPr>
            <w:tcW w:w="2494" w:type="dxa"/>
          </w:tcPr>
          <w:p w14:paraId="4D5D6A92" w14:textId="77777777" w:rsidR="00A720EB" w:rsidRDefault="0030286B">
            <w:pPr>
              <w:pStyle w:val="TableParagraph"/>
              <w:rPr>
                <w:sz w:val="21"/>
              </w:rPr>
            </w:pPr>
            <w:r>
              <w:rPr>
                <w:color w:val="B02045"/>
                <w:sz w:val="21"/>
              </w:rPr>
              <w:t>61616.0</w:t>
            </w:r>
          </w:p>
        </w:tc>
        <w:tc>
          <w:tcPr>
            <w:tcW w:w="4988" w:type="dxa"/>
          </w:tcPr>
          <w:p w14:paraId="13CE487F" w14:textId="77777777" w:rsidR="00A720EB" w:rsidRDefault="0030286B">
            <w:pPr>
              <w:pStyle w:val="TableParagraph"/>
              <w:spacing w:before="92"/>
              <w:rPr>
                <w:rFonts w:ascii="Cambria"/>
                <w:sz w:val="21"/>
              </w:rPr>
            </w:pPr>
            <w:r>
              <w:rPr>
                <w:rFonts w:ascii="Cambria"/>
                <w:color w:val="333333"/>
                <w:w w:val="110"/>
                <w:sz w:val="21"/>
              </w:rPr>
              <w:t>Artemis broker port.</w:t>
            </w:r>
          </w:p>
        </w:tc>
      </w:tr>
    </w:tbl>
    <w:p w14:paraId="3B359396"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1EE3223D" w14:textId="77777777">
        <w:trPr>
          <w:trHeight w:val="415"/>
        </w:trPr>
        <w:tc>
          <w:tcPr>
            <w:tcW w:w="2494" w:type="dxa"/>
            <w:tcBorders>
              <w:bottom w:val="single" w:sz="12" w:space="0" w:color="DDDDDD"/>
            </w:tcBorders>
          </w:tcPr>
          <w:p w14:paraId="116BC36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E34EF9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FD80FCD"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29FE1B9" w14:textId="77777777">
        <w:trPr>
          <w:trHeight w:val="415"/>
        </w:trPr>
        <w:tc>
          <w:tcPr>
            <w:tcW w:w="2494" w:type="dxa"/>
            <w:tcBorders>
              <w:top w:val="single" w:sz="12" w:space="0" w:color="DDDDDD"/>
            </w:tcBorders>
          </w:tcPr>
          <w:p w14:paraId="0AA52DE5" w14:textId="77777777" w:rsidR="00A720EB" w:rsidRDefault="0030286B">
            <w:pPr>
              <w:pStyle w:val="TableParagraph"/>
              <w:spacing w:before="27"/>
              <w:rPr>
                <w:sz w:val="21"/>
              </w:rPr>
            </w:pPr>
            <w:proofErr w:type="gramStart"/>
            <w:r>
              <w:rPr>
                <w:color w:val="B02045"/>
                <w:sz w:val="21"/>
              </w:rPr>
              <w:t>spring.artemis</w:t>
            </w:r>
            <w:proofErr w:type="gramEnd"/>
            <w:r>
              <w:rPr>
                <w:color w:val="B02045"/>
                <w:sz w:val="21"/>
              </w:rPr>
              <w:t>.user</w:t>
            </w:r>
          </w:p>
        </w:tc>
        <w:tc>
          <w:tcPr>
            <w:tcW w:w="2494" w:type="dxa"/>
            <w:tcBorders>
              <w:top w:val="single" w:sz="12" w:space="0" w:color="DDDDDD"/>
            </w:tcBorders>
          </w:tcPr>
          <w:p w14:paraId="7DDE5259"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550A2E52" w14:textId="77777777" w:rsidR="00A720EB" w:rsidRDefault="0030286B">
            <w:pPr>
              <w:pStyle w:val="TableParagraph"/>
              <w:spacing w:before="82"/>
              <w:rPr>
                <w:rFonts w:ascii="Cambria"/>
                <w:sz w:val="21"/>
              </w:rPr>
            </w:pPr>
            <w:r>
              <w:rPr>
                <w:rFonts w:ascii="Cambria"/>
                <w:color w:val="333333"/>
                <w:w w:val="110"/>
                <w:sz w:val="21"/>
              </w:rPr>
              <w:t>Login user of the broker.</w:t>
            </w:r>
          </w:p>
        </w:tc>
      </w:tr>
      <w:tr w:rsidR="00A720EB" w14:paraId="0152165E" w14:textId="77777777">
        <w:trPr>
          <w:trHeight w:val="627"/>
        </w:trPr>
        <w:tc>
          <w:tcPr>
            <w:tcW w:w="2494" w:type="dxa"/>
          </w:tcPr>
          <w:p w14:paraId="4AA33931" w14:textId="77777777" w:rsidR="00A720EB" w:rsidRDefault="0030286B">
            <w:pPr>
              <w:pStyle w:val="TableParagraph"/>
              <w:spacing w:before="46" w:line="230" w:lineRule="auto"/>
              <w:ind w:right="113"/>
              <w:rPr>
                <w:sz w:val="21"/>
              </w:rPr>
            </w:pPr>
            <w:proofErr w:type="gramStart"/>
            <w:r>
              <w:rPr>
                <w:color w:val="B02045"/>
                <w:sz w:val="21"/>
              </w:rPr>
              <w:t>spring.batch</w:t>
            </w:r>
            <w:proofErr w:type="gramEnd"/>
            <w:r>
              <w:rPr>
                <w:color w:val="B02045"/>
                <w:sz w:val="21"/>
              </w:rPr>
              <w:t>.initializ e-schema</w:t>
            </w:r>
          </w:p>
        </w:tc>
        <w:tc>
          <w:tcPr>
            <w:tcW w:w="2494" w:type="dxa"/>
          </w:tcPr>
          <w:p w14:paraId="72D5F57A" w14:textId="77777777" w:rsidR="00A720EB" w:rsidRDefault="0030286B">
            <w:pPr>
              <w:pStyle w:val="TableParagraph"/>
              <w:rPr>
                <w:sz w:val="21"/>
              </w:rPr>
            </w:pPr>
            <w:r>
              <w:rPr>
                <w:color w:val="B02045"/>
                <w:sz w:val="21"/>
              </w:rPr>
              <w:t>embedded</w:t>
            </w:r>
          </w:p>
        </w:tc>
        <w:tc>
          <w:tcPr>
            <w:tcW w:w="4988" w:type="dxa"/>
          </w:tcPr>
          <w:p w14:paraId="153730A6" w14:textId="77777777" w:rsidR="00A720EB" w:rsidRDefault="0030286B">
            <w:pPr>
              <w:pStyle w:val="TableParagraph"/>
              <w:spacing w:before="92"/>
              <w:rPr>
                <w:rFonts w:ascii="Cambria"/>
                <w:sz w:val="21"/>
              </w:rPr>
            </w:pPr>
            <w:r>
              <w:rPr>
                <w:rFonts w:ascii="Cambria"/>
                <w:color w:val="333333"/>
                <w:w w:val="110"/>
                <w:sz w:val="21"/>
              </w:rPr>
              <w:t>Database schema initialization mode.</w:t>
            </w:r>
          </w:p>
        </w:tc>
      </w:tr>
      <w:tr w:rsidR="00A720EB" w14:paraId="3E574CC7" w14:textId="77777777">
        <w:trPr>
          <w:trHeight w:val="741"/>
        </w:trPr>
        <w:tc>
          <w:tcPr>
            <w:tcW w:w="2494" w:type="dxa"/>
          </w:tcPr>
          <w:p w14:paraId="4530C141" w14:textId="77777777" w:rsidR="00A720EB" w:rsidRDefault="0030286B">
            <w:pPr>
              <w:pStyle w:val="TableParagraph"/>
              <w:spacing w:before="46" w:line="230" w:lineRule="auto"/>
              <w:ind w:right="94"/>
              <w:rPr>
                <w:sz w:val="21"/>
              </w:rPr>
            </w:pPr>
            <w:proofErr w:type="gramStart"/>
            <w:r>
              <w:rPr>
                <w:color w:val="B02045"/>
                <w:sz w:val="21"/>
              </w:rPr>
              <w:t>spring.batch.job.enabl</w:t>
            </w:r>
            <w:proofErr w:type="gramEnd"/>
            <w:r>
              <w:rPr>
                <w:color w:val="B02045"/>
                <w:sz w:val="21"/>
              </w:rPr>
              <w:t xml:space="preserve"> ed</w:t>
            </w:r>
          </w:p>
        </w:tc>
        <w:tc>
          <w:tcPr>
            <w:tcW w:w="2494" w:type="dxa"/>
          </w:tcPr>
          <w:p w14:paraId="7A72C1CA" w14:textId="77777777" w:rsidR="00A720EB" w:rsidRDefault="0030286B">
            <w:pPr>
              <w:pStyle w:val="TableParagraph"/>
              <w:rPr>
                <w:sz w:val="21"/>
              </w:rPr>
            </w:pPr>
            <w:r>
              <w:rPr>
                <w:color w:val="B02045"/>
                <w:sz w:val="21"/>
              </w:rPr>
              <w:t>true</w:t>
            </w:r>
          </w:p>
        </w:tc>
        <w:tc>
          <w:tcPr>
            <w:tcW w:w="4988" w:type="dxa"/>
          </w:tcPr>
          <w:p w14:paraId="1F814C42" w14:textId="77777777" w:rsidR="00A720EB" w:rsidRDefault="0030286B">
            <w:pPr>
              <w:pStyle w:val="TableParagraph"/>
              <w:spacing w:before="28" w:line="310" w:lineRule="atLeast"/>
              <w:rPr>
                <w:rFonts w:ascii="Cambria"/>
                <w:sz w:val="21"/>
              </w:rPr>
            </w:pPr>
            <w:r>
              <w:rPr>
                <w:rFonts w:ascii="Cambria"/>
                <w:color w:val="333333"/>
                <w:w w:val="110"/>
                <w:sz w:val="21"/>
              </w:rPr>
              <w:t>Execute all Spring Batch jobs in the context on startup.</w:t>
            </w:r>
          </w:p>
        </w:tc>
      </w:tr>
      <w:tr w:rsidR="00A720EB" w14:paraId="6415571F" w14:textId="77777777">
        <w:trPr>
          <w:trHeight w:val="1056"/>
        </w:trPr>
        <w:tc>
          <w:tcPr>
            <w:tcW w:w="2494" w:type="dxa"/>
          </w:tcPr>
          <w:p w14:paraId="36294F1A" w14:textId="77777777" w:rsidR="00A720EB" w:rsidRDefault="0030286B">
            <w:pPr>
              <w:pStyle w:val="TableParagraph"/>
              <w:rPr>
                <w:sz w:val="21"/>
              </w:rPr>
            </w:pPr>
            <w:proofErr w:type="gramStart"/>
            <w:r>
              <w:rPr>
                <w:color w:val="B02045"/>
                <w:sz w:val="21"/>
              </w:rPr>
              <w:t>spring.batch.job.names</w:t>
            </w:r>
            <w:proofErr w:type="gramEnd"/>
          </w:p>
        </w:tc>
        <w:tc>
          <w:tcPr>
            <w:tcW w:w="2494" w:type="dxa"/>
          </w:tcPr>
          <w:p w14:paraId="69CC65FE" w14:textId="77777777" w:rsidR="00A720EB" w:rsidRDefault="00A720EB">
            <w:pPr>
              <w:pStyle w:val="TableParagraph"/>
              <w:spacing w:before="0"/>
              <w:ind w:left="0"/>
              <w:rPr>
                <w:rFonts w:ascii="Times New Roman"/>
                <w:sz w:val="20"/>
              </w:rPr>
            </w:pPr>
          </w:p>
        </w:tc>
        <w:tc>
          <w:tcPr>
            <w:tcW w:w="4988" w:type="dxa"/>
          </w:tcPr>
          <w:p w14:paraId="6171C166" w14:textId="77777777" w:rsidR="00A720EB" w:rsidRDefault="0030286B">
            <w:pPr>
              <w:pStyle w:val="TableParagraph"/>
              <w:spacing w:before="28" w:line="310" w:lineRule="atLeast"/>
              <w:ind w:right="34"/>
              <w:jc w:val="both"/>
              <w:rPr>
                <w:rFonts w:ascii="Cambria"/>
                <w:sz w:val="21"/>
              </w:rPr>
            </w:pPr>
            <w:r>
              <w:rPr>
                <w:rFonts w:ascii="Cambria"/>
                <w:color w:val="333333"/>
                <w:w w:val="110"/>
                <w:sz w:val="21"/>
              </w:rPr>
              <w:t>Comma-separated list of job names to execute on startup (for instance, `job</w:t>
            </w:r>
            <w:proofErr w:type="gramStart"/>
            <w:r>
              <w:rPr>
                <w:rFonts w:ascii="Cambria"/>
                <w:color w:val="333333"/>
                <w:w w:val="110"/>
                <w:sz w:val="21"/>
              </w:rPr>
              <w:t>1,job</w:t>
            </w:r>
            <w:proofErr w:type="gramEnd"/>
            <w:r>
              <w:rPr>
                <w:rFonts w:ascii="Cambria"/>
                <w:color w:val="333333"/>
                <w:w w:val="110"/>
                <w:sz w:val="21"/>
              </w:rPr>
              <w:t>2`). By default, all Jobs found in the context are executed.</w:t>
            </w:r>
          </w:p>
        </w:tc>
      </w:tr>
      <w:tr w:rsidR="00A720EB" w14:paraId="5047680B" w14:textId="77777777">
        <w:trPr>
          <w:trHeight w:val="886"/>
        </w:trPr>
        <w:tc>
          <w:tcPr>
            <w:tcW w:w="2494" w:type="dxa"/>
          </w:tcPr>
          <w:p w14:paraId="21BC1DC6" w14:textId="77777777" w:rsidR="00A720EB" w:rsidRDefault="0030286B">
            <w:pPr>
              <w:pStyle w:val="TableParagraph"/>
              <w:spacing w:before="37"/>
              <w:rPr>
                <w:sz w:val="21"/>
              </w:rPr>
            </w:pPr>
            <w:proofErr w:type="gramStart"/>
            <w:r>
              <w:rPr>
                <w:color w:val="B02045"/>
                <w:sz w:val="21"/>
              </w:rPr>
              <w:t>spring.batch</w:t>
            </w:r>
            <w:proofErr w:type="gramEnd"/>
            <w:r>
              <w:rPr>
                <w:color w:val="B02045"/>
                <w:sz w:val="21"/>
              </w:rPr>
              <w:t>.schema</w:t>
            </w:r>
          </w:p>
        </w:tc>
        <w:tc>
          <w:tcPr>
            <w:tcW w:w="2494" w:type="dxa"/>
          </w:tcPr>
          <w:p w14:paraId="48CF02C8" w14:textId="77777777" w:rsidR="00A720EB" w:rsidRDefault="0030286B">
            <w:pPr>
              <w:pStyle w:val="TableParagraph"/>
              <w:spacing w:before="46" w:line="230" w:lineRule="auto"/>
              <w:ind w:right="113"/>
              <w:jc w:val="both"/>
              <w:rPr>
                <w:sz w:val="21"/>
              </w:rPr>
            </w:pPr>
            <w:r>
              <w:rPr>
                <w:color w:val="B02045"/>
                <w:sz w:val="21"/>
              </w:rPr>
              <w:t xml:space="preserve">classpath:org/springfr amework/batch/core/sch </w:t>
            </w:r>
            <w:hyperlink r:id="rId681">
              <w:r>
                <w:rPr>
                  <w:color w:val="B02045"/>
                  <w:sz w:val="21"/>
                </w:rPr>
                <w:t>ema-@@platform@@.sql</w:t>
              </w:r>
            </w:hyperlink>
          </w:p>
        </w:tc>
        <w:tc>
          <w:tcPr>
            <w:tcW w:w="4988" w:type="dxa"/>
          </w:tcPr>
          <w:p w14:paraId="48AA81EE" w14:textId="77777777" w:rsidR="00A720EB" w:rsidRDefault="0030286B">
            <w:pPr>
              <w:pStyle w:val="TableParagraph"/>
              <w:spacing w:before="92" w:line="307" w:lineRule="auto"/>
              <w:ind w:right="372"/>
              <w:rPr>
                <w:rFonts w:ascii="Cambria"/>
                <w:sz w:val="21"/>
              </w:rPr>
            </w:pPr>
            <w:r>
              <w:rPr>
                <w:rFonts w:ascii="Cambria"/>
                <w:color w:val="333333"/>
                <w:w w:val="110"/>
                <w:sz w:val="21"/>
              </w:rPr>
              <w:t>Path to the SQL file to use to initialize the database schema.</w:t>
            </w:r>
          </w:p>
        </w:tc>
      </w:tr>
      <w:tr w:rsidR="00A720EB" w14:paraId="3F6C70EC" w14:textId="77777777">
        <w:trPr>
          <w:trHeight w:val="627"/>
        </w:trPr>
        <w:tc>
          <w:tcPr>
            <w:tcW w:w="2494" w:type="dxa"/>
          </w:tcPr>
          <w:p w14:paraId="5E6F4D01" w14:textId="77777777" w:rsidR="00A720EB" w:rsidRDefault="0030286B">
            <w:pPr>
              <w:pStyle w:val="TableParagraph"/>
              <w:spacing w:before="46" w:line="230" w:lineRule="auto"/>
              <w:ind w:right="409"/>
              <w:rPr>
                <w:sz w:val="21"/>
              </w:rPr>
            </w:pPr>
            <w:proofErr w:type="gramStart"/>
            <w:r>
              <w:rPr>
                <w:color w:val="B02045"/>
                <w:sz w:val="21"/>
              </w:rPr>
              <w:t>spring.batch</w:t>
            </w:r>
            <w:proofErr w:type="gramEnd"/>
            <w:r>
              <w:rPr>
                <w:color w:val="B02045"/>
                <w:sz w:val="21"/>
              </w:rPr>
              <w:t>.table- prefix</w:t>
            </w:r>
          </w:p>
        </w:tc>
        <w:tc>
          <w:tcPr>
            <w:tcW w:w="2494" w:type="dxa"/>
          </w:tcPr>
          <w:p w14:paraId="6EEA057D" w14:textId="77777777" w:rsidR="00A720EB" w:rsidRDefault="00A720EB">
            <w:pPr>
              <w:pStyle w:val="TableParagraph"/>
              <w:spacing w:before="0"/>
              <w:ind w:left="0"/>
              <w:rPr>
                <w:rFonts w:ascii="Times New Roman"/>
                <w:sz w:val="20"/>
              </w:rPr>
            </w:pPr>
          </w:p>
        </w:tc>
        <w:tc>
          <w:tcPr>
            <w:tcW w:w="4988" w:type="dxa"/>
          </w:tcPr>
          <w:p w14:paraId="22E17C5B" w14:textId="77777777" w:rsidR="00A720EB" w:rsidRDefault="0030286B">
            <w:pPr>
              <w:pStyle w:val="TableParagraph"/>
              <w:spacing w:before="92"/>
              <w:rPr>
                <w:rFonts w:ascii="Cambria"/>
                <w:sz w:val="21"/>
              </w:rPr>
            </w:pPr>
            <w:r>
              <w:rPr>
                <w:rFonts w:ascii="Cambria"/>
                <w:color w:val="333333"/>
                <w:w w:val="110"/>
                <w:sz w:val="21"/>
              </w:rPr>
              <w:t>Table prefix for all the batch meta-data tables.</w:t>
            </w:r>
          </w:p>
        </w:tc>
      </w:tr>
      <w:tr w:rsidR="00A720EB" w14:paraId="69B76664" w14:textId="77777777">
        <w:trPr>
          <w:trHeight w:val="741"/>
        </w:trPr>
        <w:tc>
          <w:tcPr>
            <w:tcW w:w="2494" w:type="dxa"/>
          </w:tcPr>
          <w:p w14:paraId="3E34DA9C" w14:textId="77777777" w:rsidR="00A720EB" w:rsidRDefault="0030286B">
            <w:pPr>
              <w:pStyle w:val="TableParagraph"/>
              <w:spacing w:before="46" w:line="230" w:lineRule="auto"/>
              <w:ind w:right="94"/>
              <w:rPr>
                <w:sz w:val="21"/>
              </w:rPr>
            </w:pPr>
            <w:proofErr w:type="gramStart"/>
            <w:r>
              <w:rPr>
                <w:color w:val="B02045"/>
                <w:sz w:val="21"/>
              </w:rPr>
              <w:t>spring.hazelcast</w:t>
            </w:r>
            <w:proofErr w:type="gramEnd"/>
            <w:r>
              <w:rPr>
                <w:color w:val="B02045"/>
                <w:sz w:val="21"/>
              </w:rPr>
              <w:t>.confi g</w:t>
            </w:r>
          </w:p>
        </w:tc>
        <w:tc>
          <w:tcPr>
            <w:tcW w:w="2494" w:type="dxa"/>
          </w:tcPr>
          <w:p w14:paraId="0CB37A73" w14:textId="77777777" w:rsidR="00A720EB" w:rsidRDefault="00A720EB">
            <w:pPr>
              <w:pStyle w:val="TableParagraph"/>
              <w:spacing w:before="0"/>
              <w:ind w:left="0"/>
              <w:rPr>
                <w:rFonts w:ascii="Times New Roman"/>
                <w:sz w:val="20"/>
              </w:rPr>
            </w:pPr>
          </w:p>
        </w:tc>
        <w:tc>
          <w:tcPr>
            <w:tcW w:w="4988" w:type="dxa"/>
          </w:tcPr>
          <w:p w14:paraId="5C6D5735" w14:textId="77777777" w:rsidR="00A720EB" w:rsidRDefault="0030286B">
            <w:pPr>
              <w:pStyle w:val="TableParagraph"/>
              <w:spacing w:before="28" w:line="310" w:lineRule="atLeast"/>
              <w:rPr>
                <w:rFonts w:ascii="Cambria"/>
                <w:sz w:val="21"/>
              </w:rPr>
            </w:pPr>
            <w:r>
              <w:rPr>
                <w:rFonts w:ascii="Cambria"/>
                <w:color w:val="333333"/>
                <w:w w:val="110"/>
                <w:sz w:val="21"/>
              </w:rPr>
              <w:t>The location of the configuration file to use to initialize Hazelcast.</w:t>
            </w:r>
          </w:p>
        </w:tc>
      </w:tr>
      <w:tr w:rsidR="00A720EB" w14:paraId="62A5ADC4" w14:textId="77777777">
        <w:trPr>
          <w:trHeight w:val="627"/>
        </w:trPr>
        <w:tc>
          <w:tcPr>
            <w:tcW w:w="2494" w:type="dxa"/>
          </w:tcPr>
          <w:p w14:paraId="3BDFF7E0" w14:textId="77777777" w:rsidR="00A720EB" w:rsidRDefault="0030286B">
            <w:pPr>
              <w:pStyle w:val="TableParagraph"/>
              <w:spacing w:before="46" w:line="230" w:lineRule="auto"/>
              <w:ind w:right="113"/>
              <w:rPr>
                <w:sz w:val="21"/>
              </w:rPr>
            </w:pPr>
            <w:r>
              <w:rPr>
                <w:color w:val="B02045"/>
                <w:sz w:val="21"/>
              </w:rPr>
              <w:t xml:space="preserve">spring.integration.jdb </w:t>
            </w:r>
            <w:proofErr w:type="gramStart"/>
            <w:r>
              <w:rPr>
                <w:color w:val="B02045"/>
                <w:sz w:val="21"/>
              </w:rPr>
              <w:t>c.initialize</w:t>
            </w:r>
            <w:proofErr w:type="gramEnd"/>
            <w:r>
              <w:rPr>
                <w:color w:val="B02045"/>
                <w:sz w:val="21"/>
              </w:rPr>
              <w:t>-schema</w:t>
            </w:r>
          </w:p>
        </w:tc>
        <w:tc>
          <w:tcPr>
            <w:tcW w:w="2494" w:type="dxa"/>
          </w:tcPr>
          <w:p w14:paraId="1A351548" w14:textId="77777777" w:rsidR="00A720EB" w:rsidRDefault="0030286B">
            <w:pPr>
              <w:pStyle w:val="TableParagraph"/>
              <w:rPr>
                <w:sz w:val="21"/>
              </w:rPr>
            </w:pPr>
            <w:r>
              <w:rPr>
                <w:color w:val="B02045"/>
                <w:sz w:val="21"/>
              </w:rPr>
              <w:t>embedded</w:t>
            </w:r>
          </w:p>
        </w:tc>
        <w:tc>
          <w:tcPr>
            <w:tcW w:w="4988" w:type="dxa"/>
          </w:tcPr>
          <w:p w14:paraId="017E3AE2" w14:textId="77777777" w:rsidR="00A720EB" w:rsidRDefault="0030286B">
            <w:pPr>
              <w:pStyle w:val="TableParagraph"/>
              <w:spacing w:before="92"/>
              <w:rPr>
                <w:rFonts w:ascii="Cambria"/>
                <w:sz w:val="21"/>
              </w:rPr>
            </w:pPr>
            <w:r>
              <w:rPr>
                <w:rFonts w:ascii="Cambria"/>
                <w:color w:val="333333"/>
                <w:w w:val="110"/>
                <w:sz w:val="21"/>
              </w:rPr>
              <w:t>Database schema initialization mode.</w:t>
            </w:r>
          </w:p>
        </w:tc>
      </w:tr>
      <w:tr w:rsidR="00A720EB" w14:paraId="586719FB" w14:textId="77777777">
        <w:trPr>
          <w:trHeight w:val="1145"/>
        </w:trPr>
        <w:tc>
          <w:tcPr>
            <w:tcW w:w="2494" w:type="dxa"/>
          </w:tcPr>
          <w:p w14:paraId="090824DB" w14:textId="77777777" w:rsidR="00A720EB" w:rsidRDefault="0030286B">
            <w:pPr>
              <w:pStyle w:val="TableParagraph"/>
              <w:spacing w:before="46" w:line="230" w:lineRule="auto"/>
              <w:ind w:right="94"/>
              <w:rPr>
                <w:sz w:val="21"/>
              </w:rPr>
            </w:pPr>
            <w:r>
              <w:rPr>
                <w:color w:val="B02045"/>
                <w:sz w:val="21"/>
              </w:rPr>
              <w:t xml:space="preserve">spring.integration.jdb </w:t>
            </w:r>
            <w:proofErr w:type="gramStart"/>
            <w:r>
              <w:rPr>
                <w:color w:val="B02045"/>
                <w:sz w:val="21"/>
              </w:rPr>
              <w:t>c.schema</w:t>
            </w:r>
            <w:proofErr w:type="gramEnd"/>
          </w:p>
        </w:tc>
        <w:tc>
          <w:tcPr>
            <w:tcW w:w="2494" w:type="dxa"/>
          </w:tcPr>
          <w:p w14:paraId="187A8CAD" w14:textId="77777777" w:rsidR="00A720EB" w:rsidRDefault="0030286B">
            <w:pPr>
              <w:pStyle w:val="TableParagraph"/>
              <w:spacing w:before="46" w:line="230" w:lineRule="auto"/>
              <w:ind w:right="113"/>
              <w:rPr>
                <w:sz w:val="21"/>
              </w:rPr>
            </w:pPr>
            <w:r>
              <w:rPr>
                <w:color w:val="B02045"/>
                <w:sz w:val="21"/>
              </w:rPr>
              <w:t>classpath:org/springfr amework/integration/jd bc/schema- @@platform@@.sql</w:t>
            </w:r>
          </w:p>
        </w:tc>
        <w:tc>
          <w:tcPr>
            <w:tcW w:w="4988" w:type="dxa"/>
          </w:tcPr>
          <w:p w14:paraId="30737548" w14:textId="77777777" w:rsidR="00A720EB" w:rsidRDefault="0030286B">
            <w:pPr>
              <w:pStyle w:val="TableParagraph"/>
              <w:spacing w:before="92" w:line="307" w:lineRule="auto"/>
              <w:ind w:right="372"/>
              <w:rPr>
                <w:rFonts w:ascii="Cambria"/>
                <w:sz w:val="21"/>
              </w:rPr>
            </w:pPr>
            <w:r>
              <w:rPr>
                <w:rFonts w:ascii="Cambria"/>
                <w:color w:val="333333"/>
                <w:w w:val="110"/>
                <w:sz w:val="21"/>
              </w:rPr>
              <w:t>Path to the SQL file to use to initialize the database schema.</w:t>
            </w:r>
          </w:p>
        </w:tc>
      </w:tr>
      <w:tr w:rsidR="00A720EB" w14:paraId="057070A5" w14:textId="77777777">
        <w:trPr>
          <w:trHeight w:val="627"/>
        </w:trPr>
        <w:tc>
          <w:tcPr>
            <w:tcW w:w="2494" w:type="dxa"/>
          </w:tcPr>
          <w:p w14:paraId="065C8F53" w14:textId="77777777" w:rsidR="00A720EB" w:rsidRDefault="0030286B">
            <w:pPr>
              <w:pStyle w:val="TableParagraph"/>
              <w:spacing w:before="46" w:line="230" w:lineRule="auto"/>
              <w:ind w:right="94"/>
              <w:rPr>
                <w:sz w:val="21"/>
              </w:rPr>
            </w:pPr>
            <w:r>
              <w:rPr>
                <w:color w:val="B02045"/>
                <w:sz w:val="21"/>
              </w:rPr>
              <w:t xml:space="preserve">spring.integration.rso </w:t>
            </w:r>
            <w:proofErr w:type="gramStart"/>
            <w:r>
              <w:rPr>
                <w:color w:val="B02045"/>
                <w:sz w:val="21"/>
              </w:rPr>
              <w:t>cket.client</w:t>
            </w:r>
            <w:proofErr w:type="gramEnd"/>
            <w:r>
              <w:rPr>
                <w:color w:val="B02045"/>
                <w:sz w:val="21"/>
              </w:rPr>
              <w:t>.host</w:t>
            </w:r>
          </w:p>
        </w:tc>
        <w:tc>
          <w:tcPr>
            <w:tcW w:w="2494" w:type="dxa"/>
          </w:tcPr>
          <w:p w14:paraId="27F30E2A" w14:textId="77777777" w:rsidR="00A720EB" w:rsidRDefault="00A720EB">
            <w:pPr>
              <w:pStyle w:val="TableParagraph"/>
              <w:spacing w:before="0"/>
              <w:ind w:left="0"/>
              <w:rPr>
                <w:rFonts w:ascii="Times New Roman"/>
                <w:sz w:val="20"/>
              </w:rPr>
            </w:pPr>
          </w:p>
        </w:tc>
        <w:tc>
          <w:tcPr>
            <w:tcW w:w="4988" w:type="dxa"/>
          </w:tcPr>
          <w:p w14:paraId="32731EC6" w14:textId="77777777" w:rsidR="00A720EB" w:rsidRDefault="0030286B">
            <w:pPr>
              <w:pStyle w:val="TableParagraph"/>
              <w:spacing w:before="92"/>
              <w:rPr>
                <w:rFonts w:ascii="Cambria"/>
                <w:sz w:val="21"/>
              </w:rPr>
            </w:pPr>
            <w:r>
              <w:rPr>
                <w:rFonts w:ascii="Cambria"/>
                <w:color w:val="333333"/>
                <w:w w:val="110"/>
                <w:sz w:val="21"/>
              </w:rPr>
              <w:t>TCP RSocket server host to connect to.</w:t>
            </w:r>
          </w:p>
        </w:tc>
      </w:tr>
      <w:tr w:rsidR="00A720EB" w14:paraId="4E6F3C84" w14:textId="77777777">
        <w:trPr>
          <w:trHeight w:val="627"/>
        </w:trPr>
        <w:tc>
          <w:tcPr>
            <w:tcW w:w="2494" w:type="dxa"/>
          </w:tcPr>
          <w:p w14:paraId="459E0DD5" w14:textId="77777777" w:rsidR="00A720EB" w:rsidRDefault="0030286B">
            <w:pPr>
              <w:pStyle w:val="TableParagraph"/>
              <w:spacing w:before="46" w:line="230" w:lineRule="auto"/>
              <w:ind w:right="94"/>
              <w:rPr>
                <w:sz w:val="21"/>
              </w:rPr>
            </w:pPr>
            <w:r>
              <w:rPr>
                <w:color w:val="B02045"/>
                <w:sz w:val="21"/>
              </w:rPr>
              <w:t xml:space="preserve">spring.integration.rso </w:t>
            </w:r>
            <w:proofErr w:type="gramStart"/>
            <w:r>
              <w:rPr>
                <w:color w:val="B02045"/>
                <w:sz w:val="21"/>
              </w:rPr>
              <w:t>cket.client</w:t>
            </w:r>
            <w:proofErr w:type="gramEnd"/>
            <w:r>
              <w:rPr>
                <w:color w:val="B02045"/>
                <w:sz w:val="21"/>
              </w:rPr>
              <w:t>.port</w:t>
            </w:r>
          </w:p>
        </w:tc>
        <w:tc>
          <w:tcPr>
            <w:tcW w:w="2494" w:type="dxa"/>
          </w:tcPr>
          <w:p w14:paraId="5B857E71" w14:textId="77777777" w:rsidR="00A720EB" w:rsidRDefault="00A720EB">
            <w:pPr>
              <w:pStyle w:val="TableParagraph"/>
              <w:spacing w:before="0"/>
              <w:ind w:left="0"/>
              <w:rPr>
                <w:rFonts w:ascii="Times New Roman"/>
                <w:sz w:val="20"/>
              </w:rPr>
            </w:pPr>
          </w:p>
        </w:tc>
        <w:tc>
          <w:tcPr>
            <w:tcW w:w="4988" w:type="dxa"/>
          </w:tcPr>
          <w:p w14:paraId="2B509BA1" w14:textId="77777777" w:rsidR="00A720EB" w:rsidRDefault="0030286B">
            <w:pPr>
              <w:pStyle w:val="TableParagraph"/>
              <w:spacing w:before="92"/>
              <w:rPr>
                <w:rFonts w:ascii="Cambria"/>
                <w:sz w:val="21"/>
              </w:rPr>
            </w:pPr>
            <w:r>
              <w:rPr>
                <w:rFonts w:ascii="Cambria"/>
                <w:color w:val="333333"/>
                <w:w w:val="110"/>
                <w:sz w:val="21"/>
              </w:rPr>
              <w:t>TCP RSocket server port to connect to.</w:t>
            </w:r>
          </w:p>
        </w:tc>
      </w:tr>
      <w:tr w:rsidR="00A720EB" w14:paraId="36C01C2E" w14:textId="77777777">
        <w:trPr>
          <w:trHeight w:val="627"/>
        </w:trPr>
        <w:tc>
          <w:tcPr>
            <w:tcW w:w="2494" w:type="dxa"/>
          </w:tcPr>
          <w:p w14:paraId="1C71634E" w14:textId="77777777" w:rsidR="00A720EB" w:rsidRDefault="0030286B">
            <w:pPr>
              <w:pStyle w:val="TableParagraph"/>
              <w:spacing w:before="46" w:line="230" w:lineRule="auto"/>
              <w:ind w:right="94"/>
              <w:rPr>
                <w:sz w:val="21"/>
              </w:rPr>
            </w:pPr>
            <w:r>
              <w:rPr>
                <w:color w:val="B02045"/>
                <w:sz w:val="21"/>
              </w:rPr>
              <w:t>spring.integration.rso cket.client.uri</w:t>
            </w:r>
          </w:p>
        </w:tc>
        <w:tc>
          <w:tcPr>
            <w:tcW w:w="2494" w:type="dxa"/>
          </w:tcPr>
          <w:p w14:paraId="44FB6886" w14:textId="77777777" w:rsidR="00A720EB" w:rsidRDefault="00A720EB">
            <w:pPr>
              <w:pStyle w:val="TableParagraph"/>
              <w:spacing w:before="0"/>
              <w:ind w:left="0"/>
              <w:rPr>
                <w:rFonts w:ascii="Times New Roman"/>
                <w:sz w:val="20"/>
              </w:rPr>
            </w:pPr>
          </w:p>
        </w:tc>
        <w:tc>
          <w:tcPr>
            <w:tcW w:w="4988" w:type="dxa"/>
          </w:tcPr>
          <w:p w14:paraId="7BE5B790" w14:textId="77777777" w:rsidR="00A720EB" w:rsidRDefault="0030286B">
            <w:pPr>
              <w:pStyle w:val="TableParagraph"/>
              <w:spacing w:before="92"/>
              <w:rPr>
                <w:rFonts w:ascii="Cambria"/>
                <w:sz w:val="21"/>
              </w:rPr>
            </w:pPr>
            <w:r>
              <w:rPr>
                <w:rFonts w:ascii="Cambria"/>
                <w:color w:val="333333"/>
                <w:w w:val="110"/>
                <w:sz w:val="21"/>
              </w:rPr>
              <w:t>WebSocket RSocket server uri to connect to.</w:t>
            </w:r>
          </w:p>
        </w:tc>
      </w:tr>
      <w:tr w:rsidR="00A720EB" w14:paraId="0C0D59D5" w14:textId="77777777">
        <w:trPr>
          <w:trHeight w:val="886"/>
        </w:trPr>
        <w:tc>
          <w:tcPr>
            <w:tcW w:w="2494" w:type="dxa"/>
          </w:tcPr>
          <w:p w14:paraId="0305D6C6" w14:textId="77777777" w:rsidR="00A720EB" w:rsidRDefault="0030286B">
            <w:pPr>
              <w:pStyle w:val="TableParagraph"/>
              <w:spacing w:before="46" w:line="230" w:lineRule="auto"/>
              <w:ind w:right="113"/>
              <w:rPr>
                <w:sz w:val="21"/>
              </w:rPr>
            </w:pPr>
            <w:r>
              <w:rPr>
                <w:color w:val="B02045"/>
                <w:sz w:val="21"/>
              </w:rPr>
              <w:t xml:space="preserve">spring.integration.rso </w:t>
            </w:r>
            <w:proofErr w:type="gramStart"/>
            <w:r>
              <w:rPr>
                <w:color w:val="B02045"/>
                <w:sz w:val="21"/>
              </w:rPr>
              <w:t>cket.server</w:t>
            </w:r>
            <w:proofErr w:type="gramEnd"/>
            <w:r>
              <w:rPr>
                <w:color w:val="B02045"/>
                <w:sz w:val="21"/>
              </w:rPr>
              <w:t>.message- mapping-enabled</w:t>
            </w:r>
          </w:p>
        </w:tc>
        <w:tc>
          <w:tcPr>
            <w:tcW w:w="2494" w:type="dxa"/>
          </w:tcPr>
          <w:p w14:paraId="120D170A" w14:textId="77777777" w:rsidR="00A720EB" w:rsidRDefault="0030286B">
            <w:pPr>
              <w:pStyle w:val="TableParagraph"/>
              <w:spacing w:before="37"/>
              <w:rPr>
                <w:sz w:val="21"/>
              </w:rPr>
            </w:pPr>
            <w:r>
              <w:rPr>
                <w:color w:val="B02045"/>
                <w:sz w:val="21"/>
              </w:rPr>
              <w:t>false</w:t>
            </w:r>
          </w:p>
        </w:tc>
        <w:tc>
          <w:tcPr>
            <w:tcW w:w="4988" w:type="dxa"/>
          </w:tcPr>
          <w:p w14:paraId="1B399B73" w14:textId="77777777" w:rsidR="00A720EB" w:rsidRDefault="0030286B">
            <w:pPr>
              <w:pStyle w:val="TableParagraph"/>
              <w:spacing w:before="92" w:line="307" w:lineRule="auto"/>
              <w:ind w:right="640"/>
              <w:rPr>
                <w:rFonts w:ascii="Cambria"/>
                <w:sz w:val="21"/>
              </w:rPr>
            </w:pPr>
            <w:r>
              <w:rPr>
                <w:rFonts w:ascii="Cambria"/>
                <w:color w:val="333333"/>
                <w:w w:val="110"/>
                <w:sz w:val="21"/>
              </w:rPr>
              <w:t>Whether to handle message mapping for RSocket via Spring Integration.</w:t>
            </w:r>
          </w:p>
        </w:tc>
      </w:tr>
      <w:tr w:rsidR="00A720EB" w14:paraId="5308C06D" w14:textId="77777777">
        <w:trPr>
          <w:trHeight w:val="627"/>
        </w:trPr>
        <w:tc>
          <w:tcPr>
            <w:tcW w:w="2494" w:type="dxa"/>
          </w:tcPr>
          <w:p w14:paraId="773BE5B1" w14:textId="77777777" w:rsidR="00A720EB" w:rsidRDefault="0030286B">
            <w:pPr>
              <w:pStyle w:val="TableParagraph"/>
              <w:spacing w:before="46" w:line="230" w:lineRule="auto"/>
              <w:ind w:right="94"/>
              <w:rPr>
                <w:sz w:val="21"/>
              </w:rPr>
            </w:pPr>
            <w:proofErr w:type="gramStart"/>
            <w:r>
              <w:rPr>
                <w:color w:val="B02045"/>
                <w:sz w:val="21"/>
              </w:rPr>
              <w:t>spring.jms.cache</w:t>
            </w:r>
            <w:proofErr w:type="gramEnd"/>
            <w:r>
              <w:rPr>
                <w:color w:val="B02045"/>
                <w:sz w:val="21"/>
              </w:rPr>
              <w:t>.consu mers</w:t>
            </w:r>
          </w:p>
        </w:tc>
        <w:tc>
          <w:tcPr>
            <w:tcW w:w="2494" w:type="dxa"/>
          </w:tcPr>
          <w:p w14:paraId="4FE7A2AC" w14:textId="77777777" w:rsidR="00A720EB" w:rsidRDefault="0030286B">
            <w:pPr>
              <w:pStyle w:val="TableParagraph"/>
              <w:rPr>
                <w:sz w:val="21"/>
              </w:rPr>
            </w:pPr>
            <w:r>
              <w:rPr>
                <w:color w:val="B02045"/>
                <w:sz w:val="21"/>
              </w:rPr>
              <w:t>false</w:t>
            </w:r>
          </w:p>
        </w:tc>
        <w:tc>
          <w:tcPr>
            <w:tcW w:w="4988" w:type="dxa"/>
          </w:tcPr>
          <w:p w14:paraId="04588591" w14:textId="77777777" w:rsidR="00A720EB" w:rsidRDefault="0030286B">
            <w:pPr>
              <w:pStyle w:val="TableParagraph"/>
              <w:spacing w:before="92"/>
              <w:rPr>
                <w:rFonts w:ascii="Cambria"/>
                <w:sz w:val="21"/>
              </w:rPr>
            </w:pPr>
            <w:r>
              <w:rPr>
                <w:rFonts w:ascii="Cambria"/>
                <w:color w:val="333333"/>
                <w:w w:val="110"/>
                <w:sz w:val="21"/>
              </w:rPr>
              <w:t>Whether to cache message consumers.</w:t>
            </w:r>
          </w:p>
        </w:tc>
      </w:tr>
      <w:tr w:rsidR="00A720EB" w14:paraId="006F5BD1" w14:textId="77777777">
        <w:trPr>
          <w:trHeight w:val="627"/>
        </w:trPr>
        <w:tc>
          <w:tcPr>
            <w:tcW w:w="2494" w:type="dxa"/>
          </w:tcPr>
          <w:p w14:paraId="11CAEAA5" w14:textId="77777777" w:rsidR="00A720EB" w:rsidRDefault="0030286B">
            <w:pPr>
              <w:pStyle w:val="TableParagraph"/>
              <w:spacing w:before="46" w:line="230" w:lineRule="auto"/>
              <w:ind w:right="94"/>
              <w:rPr>
                <w:sz w:val="21"/>
              </w:rPr>
            </w:pPr>
            <w:proofErr w:type="gramStart"/>
            <w:r>
              <w:rPr>
                <w:color w:val="B02045"/>
                <w:sz w:val="21"/>
              </w:rPr>
              <w:t>spring.jms.cache</w:t>
            </w:r>
            <w:proofErr w:type="gramEnd"/>
            <w:r>
              <w:rPr>
                <w:color w:val="B02045"/>
                <w:sz w:val="21"/>
              </w:rPr>
              <w:t>.enabl ed</w:t>
            </w:r>
          </w:p>
        </w:tc>
        <w:tc>
          <w:tcPr>
            <w:tcW w:w="2494" w:type="dxa"/>
          </w:tcPr>
          <w:p w14:paraId="309875A3" w14:textId="77777777" w:rsidR="00A720EB" w:rsidRDefault="0030286B">
            <w:pPr>
              <w:pStyle w:val="TableParagraph"/>
              <w:spacing w:before="37"/>
              <w:rPr>
                <w:sz w:val="21"/>
              </w:rPr>
            </w:pPr>
            <w:r>
              <w:rPr>
                <w:color w:val="B02045"/>
                <w:sz w:val="21"/>
              </w:rPr>
              <w:t>true</w:t>
            </w:r>
          </w:p>
        </w:tc>
        <w:tc>
          <w:tcPr>
            <w:tcW w:w="4988" w:type="dxa"/>
          </w:tcPr>
          <w:p w14:paraId="63E5C2CF" w14:textId="77777777" w:rsidR="00A720EB" w:rsidRDefault="0030286B">
            <w:pPr>
              <w:pStyle w:val="TableParagraph"/>
              <w:spacing w:before="92"/>
              <w:rPr>
                <w:rFonts w:ascii="Cambria"/>
                <w:sz w:val="21"/>
              </w:rPr>
            </w:pPr>
            <w:r>
              <w:rPr>
                <w:rFonts w:ascii="Cambria"/>
                <w:color w:val="333333"/>
                <w:w w:val="110"/>
                <w:sz w:val="21"/>
              </w:rPr>
              <w:t>Whether to cache sessions.</w:t>
            </w:r>
          </w:p>
        </w:tc>
      </w:tr>
      <w:tr w:rsidR="00A720EB" w14:paraId="5545F2E0" w14:textId="77777777">
        <w:trPr>
          <w:trHeight w:val="627"/>
        </w:trPr>
        <w:tc>
          <w:tcPr>
            <w:tcW w:w="2494" w:type="dxa"/>
          </w:tcPr>
          <w:p w14:paraId="4B220185" w14:textId="77777777" w:rsidR="00A720EB" w:rsidRDefault="0030286B">
            <w:pPr>
              <w:pStyle w:val="TableParagraph"/>
              <w:spacing w:before="46" w:line="230" w:lineRule="auto"/>
              <w:ind w:right="94"/>
              <w:rPr>
                <w:sz w:val="21"/>
              </w:rPr>
            </w:pPr>
            <w:proofErr w:type="gramStart"/>
            <w:r>
              <w:rPr>
                <w:color w:val="B02045"/>
                <w:sz w:val="21"/>
              </w:rPr>
              <w:t>spring.jms.cache</w:t>
            </w:r>
            <w:proofErr w:type="gramEnd"/>
            <w:r>
              <w:rPr>
                <w:color w:val="B02045"/>
                <w:sz w:val="21"/>
              </w:rPr>
              <w:t>.produ cers</w:t>
            </w:r>
          </w:p>
        </w:tc>
        <w:tc>
          <w:tcPr>
            <w:tcW w:w="2494" w:type="dxa"/>
          </w:tcPr>
          <w:p w14:paraId="72A125AE" w14:textId="77777777" w:rsidR="00A720EB" w:rsidRDefault="0030286B">
            <w:pPr>
              <w:pStyle w:val="TableParagraph"/>
              <w:spacing w:before="37"/>
              <w:rPr>
                <w:sz w:val="21"/>
              </w:rPr>
            </w:pPr>
            <w:r>
              <w:rPr>
                <w:color w:val="B02045"/>
                <w:sz w:val="21"/>
              </w:rPr>
              <w:t>true</w:t>
            </w:r>
          </w:p>
        </w:tc>
        <w:tc>
          <w:tcPr>
            <w:tcW w:w="4988" w:type="dxa"/>
          </w:tcPr>
          <w:p w14:paraId="2B2F6BC3" w14:textId="77777777" w:rsidR="00A720EB" w:rsidRDefault="0030286B">
            <w:pPr>
              <w:pStyle w:val="TableParagraph"/>
              <w:spacing w:before="92"/>
              <w:rPr>
                <w:rFonts w:ascii="Cambria"/>
                <w:sz w:val="21"/>
              </w:rPr>
            </w:pPr>
            <w:r>
              <w:rPr>
                <w:rFonts w:ascii="Cambria"/>
                <w:color w:val="333333"/>
                <w:w w:val="110"/>
                <w:sz w:val="21"/>
              </w:rPr>
              <w:t>Whether to cache message producers.</w:t>
            </w:r>
          </w:p>
        </w:tc>
      </w:tr>
      <w:tr w:rsidR="00A720EB" w14:paraId="297BF587" w14:textId="77777777">
        <w:trPr>
          <w:trHeight w:val="627"/>
        </w:trPr>
        <w:tc>
          <w:tcPr>
            <w:tcW w:w="2494" w:type="dxa"/>
          </w:tcPr>
          <w:p w14:paraId="77836FCF" w14:textId="77777777" w:rsidR="00A720EB" w:rsidRDefault="0030286B">
            <w:pPr>
              <w:pStyle w:val="TableParagraph"/>
              <w:spacing w:before="46" w:line="230" w:lineRule="auto"/>
              <w:ind w:right="113"/>
              <w:rPr>
                <w:sz w:val="21"/>
              </w:rPr>
            </w:pPr>
            <w:proofErr w:type="gramStart"/>
            <w:r>
              <w:rPr>
                <w:color w:val="B02045"/>
                <w:sz w:val="21"/>
              </w:rPr>
              <w:t>spring.jms.cache</w:t>
            </w:r>
            <w:proofErr w:type="gramEnd"/>
            <w:r>
              <w:rPr>
                <w:color w:val="B02045"/>
                <w:sz w:val="21"/>
              </w:rPr>
              <w:t>.sessi on-cache-size</w:t>
            </w:r>
          </w:p>
        </w:tc>
        <w:tc>
          <w:tcPr>
            <w:tcW w:w="2494" w:type="dxa"/>
          </w:tcPr>
          <w:p w14:paraId="086562BF" w14:textId="77777777" w:rsidR="00A720EB" w:rsidRDefault="0030286B">
            <w:pPr>
              <w:pStyle w:val="TableParagraph"/>
              <w:spacing w:before="37"/>
              <w:rPr>
                <w:sz w:val="21"/>
              </w:rPr>
            </w:pPr>
            <w:r>
              <w:rPr>
                <w:color w:val="B02045"/>
                <w:sz w:val="21"/>
              </w:rPr>
              <w:t>1.0</w:t>
            </w:r>
          </w:p>
        </w:tc>
        <w:tc>
          <w:tcPr>
            <w:tcW w:w="4988" w:type="dxa"/>
          </w:tcPr>
          <w:p w14:paraId="3489E752" w14:textId="77777777" w:rsidR="00A720EB" w:rsidRDefault="0030286B">
            <w:pPr>
              <w:pStyle w:val="TableParagraph"/>
              <w:spacing w:before="92"/>
              <w:rPr>
                <w:rFonts w:ascii="Cambria"/>
                <w:sz w:val="21"/>
              </w:rPr>
            </w:pPr>
            <w:r>
              <w:rPr>
                <w:rFonts w:ascii="Cambria"/>
                <w:color w:val="333333"/>
                <w:w w:val="110"/>
                <w:sz w:val="21"/>
              </w:rPr>
              <w:t>Size of the session cache (per JMS Session type).</w:t>
            </w:r>
          </w:p>
        </w:tc>
      </w:tr>
      <w:tr w:rsidR="00A720EB" w14:paraId="78A53286" w14:textId="77777777">
        <w:trPr>
          <w:trHeight w:val="1056"/>
        </w:trPr>
        <w:tc>
          <w:tcPr>
            <w:tcW w:w="2494" w:type="dxa"/>
          </w:tcPr>
          <w:p w14:paraId="1387137D" w14:textId="77777777" w:rsidR="00A720EB" w:rsidRDefault="0030286B">
            <w:pPr>
              <w:pStyle w:val="TableParagraph"/>
              <w:spacing w:before="37"/>
              <w:rPr>
                <w:sz w:val="21"/>
              </w:rPr>
            </w:pPr>
            <w:proofErr w:type="gramStart"/>
            <w:r>
              <w:rPr>
                <w:color w:val="B02045"/>
                <w:sz w:val="21"/>
              </w:rPr>
              <w:t>spring.jms.jndi</w:t>
            </w:r>
            <w:proofErr w:type="gramEnd"/>
            <w:r>
              <w:rPr>
                <w:color w:val="B02045"/>
                <w:sz w:val="21"/>
              </w:rPr>
              <w:t>-name</w:t>
            </w:r>
          </w:p>
        </w:tc>
        <w:tc>
          <w:tcPr>
            <w:tcW w:w="2494" w:type="dxa"/>
          </w:tcPr>
          <w:p w14:paraId="400354EA" w14:textId="77777777" w:rsidR="00A720EB" w:rsidRDefault="00A720EB">
            <w:pPr>
              <w:pStyle w:val="TableParagraph"/>
              <w:spacing w:before="0"/>
              <w:ind w:left="0"/>
              <w:rPr>
                <w:rFonts w:ascii="Times New Roman"/>
                <w:sz w:val="20"/>
              </w:rPr>
            </w:pPr>
          </w:p>
        </w:tc>
        <w:tc>
          <w:tcPr>
            <w:tcW w:w="4988" w:type="dxa"/>
          </w:tcPr>
          <w:p w14:paraId="5ADD58D1" w14:textId="77777777" w:rsidR="00A720EB" w:rsidRDefault="0030286B">
            <w:pPr>
              <w:pStyle w:val="TableParagraph"/>
              <w:spacing w:before="28" w:line="310" w:lineRule="atLeast"/>
              <w:rPr>
                <w:rFonts w:ascii="Cambria"/>
                <w:sz w:val="21"/>
              </w:rPr>
            </w:pPr>
            <w:r>
              <w:rPr>
                <w:rFonts w:ascii="Cambria"/>
                <w:color w:val="333333"/>
                <w:w w:val="110"/>
                <w:sz w:val="21"/>
              </w:rPr>
              <w:t>Connection factory JNDI name. When set, takes precedence to others connection factory auto- configurations.</w:t>
            </w:r>
          </w:p>
        </w:tc>
      </w:tr>
      <w:tr w:rsidR="00A720EB" w14:paraId="5319632B" w14:textId="77777777">
        <w:trPr>
          <w:trHeight w:val="1056"/>
        </w:trPr>
        <w:tc>
          <w:tcPr>
            <w:tcW w:w="2494" w:type="dxa"/>
          </w:tcPr>
          <w:p w14:paraId="74902E65" w14:textId="77777777" w:rsidR="00A720EB" w:rsidRDefault="0030286B">
            <w:pPr>
              <w:pStyle w:val="TableParagraph"/>
              <w:spacing w:before="46" w:line="230" w:lineRule="auto"/>
              <w:ind w:right="113"/>
              <w:rPr>
                <w:sz w:val="21"/>
              </w:rPr>
            </w:pPr>
            <w:r>
              <w:rPr>
                <w:color w:val="B02045"/>
                <w:sz w:val="21"/>
              </w:rPr>
              <w:lastRenderedPageBreak/>
              <w:t>spring.jms.listener.ac knowledge-mode</w:t>
            </w:r>
          </w:p>
        </w:tc>
        <w:tc>
          <w:tcPr>
            <w:tcW w:w="2494" w:type="dxa"/>
          </w:tcPr>
          <w:p w14:paraId="5A50D24C" w14:textId="77777777" w:rsidR="00A720EB" w:rsidRDefault="00A720EB">
            <w:pPr>
              <w:pStyle w:val="TableParagraph"/>
              <w:spacing w:before="0"/>
              <w:ind w:left="0"/>
              <w:rPr>
                <w:rFonts w:ascii="Times New Roman"/>
                <w:sz w:val="20"/>
              </w:rPr>
            </w:pPr>
          </w:p>
        </w:tc>
        <w:tc>
          <w:tcPr>
            <w:tcW w:w="4988" w:type="dxa"/>
          </w:tcPr>
          <w:p w14:paraId="69A0A651" w14:textId="77777777" w:rsidR="00A720EB" w:rsidRDefault="0030286B">
            <w:pPr>
              <w:pStyle w:val="TableParagraph"/>
              <w:spacing w:before="28" w:line="310" w:lineRule="atLeast"/>
              <w:rPr>
                <w:rFonts w:ascii="Cambria"/>
                <w:sz w:val="21"/>
              </w:rPr>
            </w:pPr>
            <w:r>
              <w:rPr>
                <w:rFonts w:ascii="Cambria"/>
                <w:color w:val="333333"/>
                <w:w w:val="110"/>
                <w:sz w:val="21"/>
              </w:rPr>
              <w:t>Acknowledge mode of the container. By default, the listener is transacted with automatic acknowledgment.</w:t>
            </w:r>
          </w:p>
        </w:tc>
      </w:tr>
    </w:tbl>
    <w:p w14:paraId="0FFE3820"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2B1F21E" w14:textId="77777777">
        <w:trPr>
          <w:trHeight w:val="415"/>
        </w:trPr>
        <w:tc>
          <w:tcPr>
            <w:tcW w:w="2494" w:type="dxa"/>
            <w:tcBorders>
              <w:bottom w:val="single" w:sz="12" w:space="0" w:color="DDDDDD"/>
            </w:tcBorders>
          </w:tcPr>
          <w:p w14:paraId="26BBCC63"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D9CC49D"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22F7BEC"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B6AB8D5" w14:textId="77777777">
        <w:trPr>
          <w:trHeight w:val="617"/>
        </w:trPr>
        <w:tc>
          <w:tcPr>
            <w:tcW w:w="2494" w:type="dxa"/>
            <w:tcBorders>
              <w:top w:val="single" w:sz="12" w:space="0" w:color="DDDDDD"/>
            </w:tcBorders>
          </w:tcPr>
          <w:p w14:paraId="7FA21328" w14:textId="77777777" w:rsidR="00A720EB" w:rsidRDefault="0030286B">
            <w:pPr>
              <w:pStyle w:val="TableParagraph"/>
              <w:spacing w:before="36" w:line="230" w:lineRule="auto"/>
              <w:ind w:right="113"/>
              <w:rPr>
                <w:sz w:val="21"/>
              </w:rPr>
            </w:pPr>
            <w:r>
              <w:rPr>
                <w:color w:val="B02045"/>
                <w:sz w:val="21"/>
              </w:rPr>
              <w:t>spring.jms.listener.au to-startup</w:t>
            </w:r>
          </w:p>
        </w:tc>
        <w:tc>
          <w:tcPr>
            <w:tcW w:w="2494" w:type="dxa"/>
            <w:tcBorders>
              <w:top w:val="single" w:sz="12" w:space="0" w:color="DDDDDD"/>
            </w:tcBorders>
          </w:tcPr>
          <w:p w14:paraId="07C5D076"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4ADAEAB3" w14:textId="77777777" w:rsidR="00A720EB" w:rsidRDefault="0030286B">
            <w:pPr>
              <w:pStyle w:val="TableParagraph"/>
              <w:spacing w:before="82"/>
              <w:rPr>
                <w:rFonts w:ascii="Cambria"/>
                <w:sz w:val="21"/>
              </w:rPr>
            </w:pPr>
            <w:r>
              <w:rPr>
                <w:rFonts w:ascii="Cambria"/>
                <w:color w:val="333333"/>
                <w:w w:val="110"/>
                <w:sz w:val="21"/>
              </w:rPr>
              <w:t>Start the container automatically on startup.</w:t>
            </w:r>
          </w:p>
        </w:tc>
      </w:tr>
      <w:tr w:rsidR="00A720EB" w14:paraId="2B184805" w14:textId="77777777">
        <w:trPr>
          <w:trHeight w:val="627"/>
        </w:trPr>
        <w:tc>
          <w:tcPr>
            <w:tcW w:w="2494" w:type="dxa"/>
          </w:tcPr>
          <w:p w14:paraId="58419B1E" w14:textId="77777777" w:rsidR="00A720EB" w:rsidRDefault="0030286B">
            <w:pPr>
              <w:pStyle w:val="TableParagraph"/>
              <w:spacing w:before="46" w:line="230" w:lineRule="auto"/>
              <w:ind w:right="94"/>
              <w:rPr>
                <w:sz w:val="21"/>
              </w:rPr>
            </w:pPr>
            <w:r>
              <w:rPr>
                <w:color w:val="B02045"/>
                <w:sz w:val="21"/>
              </w:rPr>
              <w:t>spring.jms.listener.co ncurrency</w:t>
            </w:r>
          </w:p>
        </w:tc>
        <w:tc>
          <w:tcPr>
            <w:tcW w:w="2494" w:type="dxa"/>
          </w:tcPr>
          <w:p w14:paraId="67E8C2A2" w14:textId="77777777" w:rsidR="00A720EB" w:rsidRDefault="00A720EB">
            <w:pPr>
              <w:pStyle w:val="TableParagraph"/>
              <w:spacing w:before="0"/>
              <w:ind w:left="0"/>
              <w:rPr>
                <w:rFonts w:ascii="Times New Roman"/>
                <w:sz w:val="20"/>
              </w:rPr>
            </w:pPr>
          </w:p>
        </w:tc>
        <w:tc>
          <w:tcPr>
            <w:tcW w:w="4988" w:type="dxa"/>
          </w:tcPr>
          <w:p w14:paraId="677FC0E7" w14:textId="77777777" w:rsidR="00A720EB" w:rsidRDefault="0030286B">
            <w:pPr>
              <w:pStyle w:val="TableParagraph"/>
              <w:spacing w:before="92"/>
              <w:rPr>
                <w:rFonts w:ascii="Cambria"/>
                <w:sz w:val="21"/>
              </w:rPr>
            </w:pPr>
            <w:r>
              <w:rPr>
                <w:rFonts w:ascii="Cambria"/>
                <w:color w:val="333333"/>
                <w:w w:val="115"/>
                <w:sz w:val="21"/>
              </w:rPr>
              <w:t>Minimum number of concurrent consumers.</w:t>
            </w:r>
          </w:p>
        </w:tc>
      </w:tr>
      <w:tr w:rsidR="00A720EB" w14:paraId="351F7127" w14:textId="77777777">
        <w:trPr>
          <w:trHeight w:val="627"/>
        </w:trPr>
        <w:tc>
          <w:tcPr>
            <w:tcW w:w="2494" w:type="dxa"/>
          </w:tcPr>
          <w:p w14:paraId="5D8FA315" w14:textId="77777777" w:rsidR="00A720EB" w:rsidRDefault="0030286B">
            <w:pPr>
              <w:pStyle w:val="TableParagraph"/>
              <w:spacing w:before="46" w:line="230" w:lineRule="auto"/>
              <w:ind w:right="113"/>
              <w:rPr>
                <w:sz w:val="21"/>
              </w:rPr>
            </w:pPr>
            <w:r>
              <w:rPr>
                <w:color w:val="B02045"/>
                <w:sz w:val="21"/>
              </w:rPr>
              <w:t>spring.jms.listener.ma x-concurrency</w:t>
            </w:r>
          </w:p>
        </w:tc>
        <w:tc>
          <w:tcPr>
            <w:tcW w:w="2494" w:type="dxa"/>
          </w:tcPr>
          <w:p w14:paraId="6A705077" w14:textId="77777777" w:rsidR="00A720EB" w:rsidRDefault="00A720EB">
            <w:pPr>
              <w:pStyle w:val="TableParagraph"/>
              <w:spacing w:before="0"/>
              <w:ind w:left="0"/>
              <w:rPr>
                <w:rFonts w:ascii="Times New Roman"/>
                <w:sz w:val="20"/>
              </w:rPr>
            </w:pPr>
          </w:p>
        </w:tc>
        <w:tc>
          <w:tcPr>
            <w:tcW w:w="4988" w:type="dxa"/>
          </w:tcPr>
          <w:p w14:paraId="71CBDE63" w14:textId="77777777" w:rsidR="00A720EB" w:rsidRDefault="0030286B">
            <w:pPr>
              <w:pStyle w:val="TableParagraph"/>
              <w:spacing w:before="92"/>
              <w:rPr>
                <w:rFonts w:ascii="Cambria"/>
                <w:sz w:val="21"/>
              </w:rPr>
            </w:pPr>
            <w:r>
              <w:rPr>
                <w:rFonts w:ascii="Cambria"/>
                <w:color w:val="333333"/>
                <w:w w:val="115"/>
                <w:sz w:val="21"/>
              </w:rPr>
              <w:t>Maximum number of concurrent consumers.</w:t>
            </w:r>
          </w:p>
        </w:tc>
      </w:tr>
      <w:tr w:rsidR="00A720EB" w14:paraId="7E824FA2" w14:textId="77777777">
        <w:trPr>
          <w:trHeight w:val="1688"/>
        </w:trPr>
        <w:tc>
          <w:tcPr>
            <w:tcW w:w="2494" w:type="dxa"/>
          </w:tcPr>
          <w:p w14:paraId="1244C24F" w14:textId="77777777" w:rsidR="00A720EB" w:rsidRDefault="0030286B">
            <w:pPr>
              <w:pStyle w:val="TableParagraph"/>
              <w:spacing w:before="46" w:line="230" w:lineRule="auto"/>
              <w:ind w:right="113"/>
              <w:rPr>
                <w:sz w:val="21"/>
              </w:rPr>
            </w:pPr>
            <w:r>
              <w:rPr>
                <w:color w:val="B02045"/>
                <w:sz w:val="21"/>
              </w:rPr>
              <w:t>spring.jms.listener.re ceive-timeout</w:t>
            </w:r>
          </w:p>
        </w:tc>
        <w:tc>
          <w:tcPr>
            <w:tcW w:w="2494" w:type="dxa"/>
          </w:tcPr>
          <w:p w14:paraId="72DEFBB5" w14:textId="77777777" w:rsidR="00A720EB" w:rsidRDefault="0030286B">
            <w:pPr>
              <w:pStyle w:val="TableParagraph"/>
              <w:rPr>
                <w:sz w:val="21"/>
              </w:rPr>
            </w:pPr>
            <w:r>
              <w:rPr>
                <w:color w:val="B02045"/>
                <w:sz w:val="21"/>
              </w:rPr>
              <w:t>1s</w:t>
            </w:r>
          </w:p>
        </w:tc>
        <w:tc>
          <w:tcPr>
            <w:tcW w:w="4988" w:type="dxa"/>
          </w:tcPr>
          <w:p w14:paraId="6F6B32A1" w14:textId="77777777" w:rsidR="00A720EB" w:rsidRDefault="0030286B">
            <w:pPr>
              <w:pStyle w:val="TableParagraph"/>
              <w:spacing w:before="92" w:line="307" w:lineRule="auto"/>
              <w:ind w:right="117"/>
              <w:rPr>
                <w:rFonts w:ascii="Cambria"/>
                <w:sz w:val="21"/>
              </w:rPr>
            </w:pPr>
            <w:r>
              <w:rPr>
                <w:rFonts w:ascii="Cambria"/>
                <w:color w:val="333333"/>
                <w:w w:val="110"/>
                <w:sz w:val="21"/>
              </w:rPr>
              <w:t>Timeout to use for receive calls. Use -1 for a no- wait receive or 0 for no timeout at all. The latter is only feasible if not running within a transaction manager and is generally discouraged since it prevents clean shutdown.</w:t>
            </w:r>
          </w:p>
        </w:tc>
      </w:tr>
      <w:tr w:rsidR="00A720EB" w14:paraId="426AC0A6" w14:textId="77777777">
        <w:trPr>
          <w:trHeight w:val="627"/>
        </w:trPr>
        <w:tc>
          <w:tcPr>
            <w:tcW w:w="2494" w:type="dxa"/>
          </w:tcPr>
          <w:p w14:paraId="6835F183" w14:textId="77777777" w:rsidR="00A720EB" w:rsidRDefault="0030286B">
            <w:pPr>
              <w:pStyle w:val="TableParagraph"/>
              <w:spacing w:before="46" w:line="230" w:lineRule="auto"/>
              <w:ind w:right="409"/>
              <w:rPr>
                <w:sz w:val="21"/>
              </w:rPr>
            </w:pPr>
            <w:r>
              <w:rPr>
                <w:color w:val="B02045"/>
                <w:sz w:val="21"/>
              </w:rPr>
              <w:t>spring.jms.pub-sub- domain</w:t>
            </w:r>
          </w:p>
        </w:tc>
        <w:tc>
          <w:tcPr>
            <w:tcW w:w="2494" w:type="dxa"/>
          </w:tcPr>
          <w:p w14:paraId="787F0B93" w14:textId="77777777" w:rsidR="00A720EB" w:rsidRDefault="0030286B">
            <w:pPr>
              <w:pStyle w:val="TableParagraph"/>
              <w:spacing w:before="37"/>
              <w:rPr>
                <w:sz w:val="21"/>
              </w:rPr>
            </w:pPr>
            <w:r>
              <w:rPr>
                <w:color w:val="B02045"/>
                <w:sz w:val="21"/>
              </w:rPr>
              <w:t>false</w:t>
            </w:r>
          </w:p>
        </w:tc>
        <w:tc>
          <w:tcPr>
            <w:tcW w:w="4988" w:type="dxa"/>
          </w:tcPr>
          <w:p w14:paraId="3CEBF034" w14:textId="77777777" w:rsidR="00A720EB" w:rsidRDefault="0030286B">
            <w:pPr>
              <w:pStyle w:val="TableParagraph"/>
              <w:spacing w:before="92"/>
              <w:rPr>
                <w:rFonts w:ascii="Cambria"/>
                <w:sz w:val="21"/>
              </w:rPr>
            </w:pPr>
            <w:r>
              <w:rPr>
                <w:rFonts w:ascii="Cambria"/>
                <w:color w:val="333333"/>
                <w:w w:val="110"/>
                <w:sz w:val="21"/>
              </w:rPr>
              <w:t>Whether the default destination type is topic.</w:t>
            </w:r>
          </w:p>
        </w:tc>
      </w:tr>
      <w:tr w:rsidR="00A720EB" w14:paraId="61A1C179" w14:textId="77777777">
        <w:trPr>
          <w:trHeight w:val="1056"/>
        </w:trPr>
        <w:tc>
          <w:tcPr>
            <w:tcW w:w="2494" w:type="dxa"/>
          </w:tcPr>
          <w:p w14:paraId="146D7E45" w14:textId="77777777" w:rsidR="00A720EB" w:rsidRDefault="0030286B">
            <w:pPr>
              <w:pStyle w:val="TableParagraph"/>
              <w:spacing w:before="46" w:line="230" w:lineRule="auto"/>
              <w:ind w:right="113"/>
              <w:rPr>
                <w:sz w:val="21"/>
              </w:rPr>
            </w:pPr>
            <w:r>
              <w:rPr>
                <w:color w:val="B02045"/>
                <w:sz w:val="21"/>
              </w:rPr>
              <w:t>spring.jms.template.de fault-destination</w:t>
            </w:r>
          </w:p>
        </w:tc>
        <w:tc>
          <w:tcPr>
            <w:tcW w:w="2494" w:type="dxa"/>
          </w:tcPr>
          <w:p w14:paraId="4791C800" w14:textId="77777777" w:rsidR="00A720EB" w:rsidRDefault="00A720EB">
            <w:pPr>
              <w:pStyle w:val="TableParagraph"/>
              <w:spacing w:before="0"/>
              <w:ind w:left="0"/>
              <w:rPr>
                <w:rFonts w:ascii="Times New Roman"/>
                <w:sz w:val="20"/>
              </w:rPr>
            </w:pPr>
          </w:p>
        </w:tc>
        <w:tc>
          <w:tcPr>
            <w:tcW w:w="4988" w:type="dxa"/>
          </w:tcPr>
          <w:p w14:paraId="3EB284E9" w14:textId="77777777" w:rsidR="00A720EB" w:rsidRDefault="0030286B">
            <w:pPr>
              <w:pStyle w:val="TableParagraph"/>
              <w:spacing w:before="28" w:line="310" w:lineRule="atLeast"/>
              <w:rPr>
                <w:rFonts w:ascii="Cambria"/>
                <w:sz w:val="21"/>
              </w:rPr>
            </w:pPr>
            <w:r>
              <w:rPr>
                <w:rFonts w:ascii="Cambria"/>
                <w:color w:val="333333"/>
                <w:w w:val="110"/>
                <w:sz w:val="21"/>
              </w:rPr>
              <w:t>Default destination to use on send and receive operations that do not have a destination parameter.</w:t>
            </w:r>
          </w:p>
        </w:tc>
      </w:tr>
      <w:tr w:rsidR="00A720EB" w14:paraId="6F7AC436" w14:textId="77777777">
        <w:trPr>
          <w:trHeight w:val="627"/>
        </w:trPr>
        <w:tc>
          <w:tcPr>
            <w:tcW w:w="2494" w:type="dxa"/>
          </w:tcPr>
          <w:p w14:paraId="15882F34" w14:textId="77777777" w:rsidR="00A720EB" w:rsidRDefault="0030286B">
            <w:pPr>
              <w:pStyle w:val="TableParagraph"/>
              <w:spacing w:before="46" w:line="230" w:lineRule="auto"/>
              <w:ind w:right="113"/>
              <w:rPr>
                <w:sz w:val="21"/>
              </w:rPr>
            </w:pPr>
            <w:r>
              <w:rPr>
                <w:color w:val="B02045"/>
                <w:sz w:val="21"/>
              </w:rPr>
              <w:t>spring.jms.template.de livery-delay</w:t>
            </w:r>
          </w:p>
        </w:tc>
        <w:tc>
          <w:tcPr>
            <w:tcW w:w="2494" w:type="dxa"/>
          </w:tcPr>
          <w:p w14:paraId="2487951D" w14:textId="77777777" w:rsidR="00A720EB" w:rsidRDefault="00A720EB">
            <w:pPr>
              <w:pStyle w:val="TableParagraph"/>
              <w:spacing w:before="0"/>
              <w:ind w:left="0"/>
              <w:rPr>
                <w:rFonts w:ascii="Times New Roman"/>
                <w:sz w:val="20"/>
              </w:rPr>
            </w:pPr>
          </w:p>
        </w:tc>
        <w:tc>
          <w:tcPr>
            <w:tcW w:w="4988" w:type="dxa"/>
          </w:tcPr>
          <w:p w14:paraId="00704E5C" w14:textId="77777777" w:rsidR="00A720EB" w:rsidRDefault="0030286B">
            <w:pPr>
              <w:pStyle w:val="TableParagraph"/>
              <w:spacing w:before="92"/>
              <w:rPr>
                <w:rFonts w:ascii="Cambria"/>
                <w:sz w:val="21"/>
              </w:rPr>
            </w:pPr>
            <w:r>
              <w:rPr>
                <w:rFonts w:ascii="Cambria"/>
                <w:color w:val="333333"/>
                <w:w w:val="110"/>
                <w:sz w:val="21"/>
              </w:rPr>
              <w:t>Delivery delay to use for send calls.</w:t>
            </w:r>
          </w:p>
        </w:tc>
      </w:tr>
      <w:tr w:rsidR="00A720EB" w14:paraId="316BD576" w14:textId="77777777">
        <w:trPr>
          <w:trHeight w:val="741"/>
        </w:trPr>
        <w:tc>
          <w:tcPr>
            <w:tcW w:w="2494" w:type="dxa"/>
          </w:tcPr>
          <w:p w14:paraId="53C62C93" w14:textId="77777777" w:rsidR="00A720EB" w:rsidRDefault="0030286B">
            <w:pPr>
              <w:pStyle w:val="TableParagraph"/>
              <w:spacing w:before="46" w:line="230" w:lineRule="auto"/>
              <w:ind w:right="113"/>
              <w:rPr>
                <w:sz w:val="21"/>
              </w:rPr>
            </w:pPr>
            <w:r>
              <w:rPr>
                <w:color w:val="B02045"/>
                <w:sz w:val="21"/>
              </w:rPr>
              <w:t>spring.jms.template.de livery-mode</w:t>
            </w:r>
          </w:p>
        </w:tc>
        <w:tc>
          <w:tcPr>
            <w:tcW w:w="2494" w:type="dxa"/>
          </w:tcPr>
          <w:p w14:paraId="74A8EA6D" w14:textId="77777777" w:rsidR="00A720EB" w:rsidRDefault="00A720EB">
            <w:pPr>
              <w:pStyle w:val="TableParagraph"/>
              <w:spacing w:before="0"/>
              <w:ind w:left="0"/>
              <w:rPr>
                <w:rFonts w:ascii="Times New Roman"/>
                <w:sz w:val="20"/>
              </w:rPr>
            </w:pPr>
          </w:p>
        </w:tc>
        <w:tc>
          <w:tcPr>
            <w:tcW w:w="4988" w:type="dxa"/>
          </w:tcPr>
          <w:p w14:paraId="0F364E70" w14:textId="77777777" w:rsidR="00A720EB" w:rsidRDefault="0030286B">
            <w:pPr>
              <w:pStyle w:val="TableParagraph"/>
              <w:spacing w:before="28" w:line="310" w:lineRule="atLeast"/>
              <w:rPr>
                <w:rFonts w:ascii="Cambria"/>
                <w:sz w:val="21"/>
              </w:rPr>
            </w:pPr>
            <w:r>
              <w:rPr>
                <w:rFonts w:ascii="Cambria"/>
                <w:color w:val="333333"/>
                <w:w w:val="110"/>
                <w:sz w:val="21"/>
              </w:rPr>
              <w:t>Delivery mode. Enables QoS (Quality of Service) when set.</w:t>
            </w:r>
          </w:p>
        </w:tc>
      </w:tr>
      <w:tr w:rsidR="00A720EB" w14:paraId="48CECD39" w14:textId="77777777">
        <w:trPr>
          <w:trHeight w:val="741"/>
        </w:trPr>
        <w:tc>
          <w:tcPr>
            <w:tcW w:w="2494" w:type="dxa"/>
          </w:tcPr>
          <w:p w14:paraId="10E8E13E" w14:textId="77777777" w:rsidR="00A720EB" w:rsidRDefault="0030286B">
            <w:pPr>
              <w:pStyle w:val="TableParagraph"/>
              <w:spacing w:before="46" w:line="230" w:lineRule="auto"/>
              <w:ind w:right="94"/>
              <w:rPr>
                <w:sz w:val="21"/>
              </w:rPr>
            </w:pPr>
            <w:r>
              <w:rPr>
                <w:color w:val="B02045"/>
                <w:sz w:val="21"/>
              </w:rPr>
              <w:t>spring.jms.template.pr iority</w:t>
            </w:r>
          </w:p>
        </w:tc>
        <w:tc>
          <w:tcPr>
            <w:tcW w:w="2494" w:type="dxa"/>
          </w:tcPr>
          <w:p w14:paraId="5115C50A" w14:textId="77777777" w:rsidR="00A720EB" w:rsidRDefault="00A720EB">
            <w:pPr>
              <w:pStyle w:val="TableParagraph"/>
              <w:spacing w:before="0"/>
              <w:ind w:left="0"/>
              <w:rPr>
                <w:rFonts w:ascii="Times New Roman"/>
                <w:sz w:val="20"/>
              </w:rPr>
            </w:pPr>
          </w:p>
        </w:tc>
        <w:tc>
          <w:tcPr>
            <w:tcW w:w="4988" w:type="dxa"/>
          </w:tcPr>
          <w:p w14:paraId="4B34EF58" w14:textId="77777777" w:rsidR="00A720EB" w:rsidRDefault="0030286B">
            <w:pPr>
              <w:pStyle w:val="TableParagraph"/>
              <w:spacing w:before="28" w:line="310" w:lineRule="atLeast"/>
              <w:ind w:right="372"/>
              <w:rPr>
                <w:rFonts w:ascii="Cambria"/>
                <w:sz w:val="21"/>
              </w:rPr>
            </w:pPr>
            <w:r>
              <w:rPr>
                <w:rFonts w:ascii="Cambria"/>
                <w:color w:val="333333"/>
                <w:w w:val="110"/>
                <w:sz w:val="21"/>
              </w:rPr>
              <w:t>Priority of a message when sending. Enables QoS (Quality of Service) when set.</w:t>
            </w:r>
          </w:p>
        </w:tc>
      </w:tr>
      <w:tr w:rsidR="00A720EB" w14:paraId="52BEDFF1" w14:textId="77777777">
        <w:trPr>
          <w:trHeight w:val="2003"/>
        </w:trPr>
        <w:tc>
          <w:tcPr>
            <w:tcW w:w="2494" w:type="dxa"/>
          </w:tcPr>
          <w:p w14:paraId="40A3DDC5" w14:textId="77777777" w:rsidR="00A720EB" w:rsidRDefault="0030286B">
            <w:pPr>
              <w:pStyle w:val="TableParagraph"/>
              <w:spacing w:before="46" w:line="230" w:lineRule="auto"/>
              <w:ind w:right="113"/>
              <w:rPr>
                <w:sz w:val="21"/>
              </w:rPr>
            </w:pPr>
            <w:proofErr w:type="gramStart"/>
            <w:r>
              <w:rPr>
                <w:color w:val="B02045"/>
                <w:sz w:val="21"/>
              </w:rPr>
              <w:t>spring.jms.template</w:t>
            </w:r>
            <w:proofErr w:type="gramEnd"/>
            <w:r>
              <w:rPr>
                <w:color w:val="B02045"/>
                <w:sz w:val="21"/>
              </w:rPr>
              <w:t>.qo s-enabled</w:t>
            </w:r>
          </w:p>
        </w:tc>
        <w:tc>
          <w:tcPr>
            <w:tcW w:w="2494" w:type="dxa"/>
          </w:tcPr>
          <w:p w14:paraId="697FB524" w14:textId="77777777" w:rsidR="00A720EB" w:rsidRDefault="00A720EB">
            <w:pPr>
              <w:pStyle w:val="TableParagraph"/>
              <w:spacing w:before="0"/>
              <w:ind w:left="0"/>
              <w:rPr>
                <w:rFonts w:ascii="Times New Roman"/>
                <w:sz w:val="20"/>
              </w:rPr>
            </w:pPr>
          </w:p>
        </w:tc>
        <w:tc>
          <w:tcPr>
            <w:tcW w:w="4988" w:type="dxa"/>
          </w:tcPr>
          <w:p w14:paraId="63551977" w14:textId="77777777" w:rsidR="00A720EB" w:rsidRDefault="0030286B">
            <w:pPr>
              <w:pStyle w:val="TableParagraph"/>
              <w:spacing w:before="92" w:line="307" w:lineRule="auto"/>
              <w:ind w:right="51"/>
              <w:rPr>
                <w:rFonts w:ascii="Cambria"/>
                <w:sz w:val="21"/>
              </w:rPr>
            </w:pPr>
            <w:r>
              <w:rPr>
                <w:rFonts w:ascii="Cambria"/>
                <w:color w:val="333333"/>
                <w:w w:val="110"/>
                <w:sz w:val="21"/>
              </w:rPr>
              <w:t xml:space="preserve">Whether to enable explicit QoS (Quality of Service) when sending a message. </w:t>
            </w:r>
            <w:proofErr w:type="gramStart"/>
            <w:r>
              <w:rPr>
                <w:rFonts w:ascii="Cambria"/>
                <w:color w:val="333333"/>
                <w:w w:val="110"/>
                <w:sz w:val="21"/>
              </w:rPr>
              <w:t>When  enabled</w:t>
            </w:r>
            <w:proofErr w:type="gramEnd"/>
            <w:r>
              <w:rPr>
                <w:rFonts w:ascii="Cambria"/>
                <w:color w:val="333333"/>
                <w:w w:val="110"/>
                <w:sz w:val="21"/>
              </w:rPr>
              <w:t>, the delivery mode, priority and time-to- live properties will be used when sending a message. QoS is automatically enabled when at least one of those settings is</w:t>
            </w:r>
            <w:r>
              <w:rPr>
                <w:rFonts w:ascii="Cambria"/>
                <w:color w:val="333333"/>
                <w:spacing w:val="13"/>
                <w:w w:val="110"/>
                <w:sz w:val="21"/>
              </w:rPr>
              <w:t xml:space="preserve"> </w:t>
            </w:r>
            <w:r>
              <w:rPr>
                <w:rFonts w:ascii="Cambria"/>
                <w:color w:val="333333"/>
                <w:w w:val="110"/>
                <w:sz w:val="21"/>
              </w:rPr>
              <w:t>customized.</w:t>
            </w:r>
          </w:p>
        </w:tc>
      </w:tr>
      <w:tr w:rsidR="00A720EB" w14:paraId="4BF17488" w14:textId="77777777">
        <w:trPr>
          <w:trHeight w:val="627"/>
        </w:trPr>
        <w:tc>
          <w:tcPr>
            <w:tcW w:w="2494" w:type="dxa"/>
          </w:tcPr>
          <w:p w14:paraId="7FA20819" w14:textId="77777777" w:rsidR="00A720EB" w:rsidRDefault="0030286B">
            <w:pPr>
              <w:pStyle w:val="TableParagraph"/>
              <w:spacing w:before="46" w:line="230" w:lineRule="auto"/>
              <w:ind w:right="113"/>
              <w:rPr>
                <w:sz w:val="21"/>
              </w:rPr>
            </w:pPr>
            <w:r>
              <w:rPr>
                <w:color w:val="B02045"/>
                <w:sz w:val="21"/>
              </w:rPr>
              <w:t>spring.jms.template.re ceive-timeout</w:t>
            </w:r>
          </w:p>
        </w:tc>
        <w:tc>
          <w:tcPr>
            <w:tcW w:w="2494" w:type="dxa"/>
          </w:tcPr>
          <w:p w14:paraId="061DA856" w14:textId="77777777" w:rsidR="00A720EB" w:rsidRDefault="00A720EB">
            <w:pPr>
              <w:pStyle w:val="TableParagraph"/>
              <w:spacing w:before="0"/>
              <w:ind w:left="0"/>
              <w:rPr>
                <w:rFonts w:ascii="Times New Roman"/>
                <w:sz w:val="20"/>
              </w:rPr>
            </w:pPr>
          </w:p>
        </w:tc>
        <w:tc>
          <w:tcPr>
            <w:tcW w:w="4988" w:type="dxa"/>
          </w:tcPr>
          <w:p w14:paraId="3ACFAB75" w14:textId="77777777" w:rsidR="00A720EB" w:rsidRDefault="0030286B">
            <w:pPr>
              <w:pStyle w:val="TableParagraph"/>
              <w:spacing w:before="92"/>
              <w:rPr>
                <w:rFonts w:ascii="Cambria"/>
                <w:sz w:val="21"/>
              </w:rPr>
            </w:pPr>
            <w:r>
              <w:rPr>
                <w:rFonts w:ascii="Cambria"/>
                <w:color w:val="333333"/>
                <w:w w:val="110"/>
                <w:sz w:val="21"/>
              </w:rPr>
              <w:t>Timeout to use for receive calls.</w:t>
            </w:r>
          </w:p>
        </w:tc>
      </w:tr>
      <w:tr w:rsidR="00A720EB" w14:paraId="75197371" w14:textId="77777777">
        <w:trPr>
          <w:trHeight w:val="741"/>
        </w:trPr>
        <w:tc>
          <w:tcPr>
            <w:tcW w:w="2494" w:type="dxa"/>
          </w:tcPr>
          <w:p w14:paraId="091054C2" w14:textId="77777777" w:rsidR="00A720EB" w:rsidRDefault="0030286B">
            <w:pPr>
              <w:pStyle w:val="TableParagraph"/>
              <w:spacing w:before="46" w:line="230" w:lineRule="auto"/>
              <w:ind w:right="113"/>
              <w:rPr>
                <w:sz w:val="21"/>
              </w:rPr>
            </w:pPr>
            <w:proofErr w:type="gramStart"/>
            <w:r>
              <w:rPr>
                <w:color w:val="B02045"/>
                <w:sz w:val="21"/>
              </w:rPr>
              <w:t>spring.jms.template</w:t>
            </w:r>
            <w:proofErr w:type="gramEnd"/>
            <w:r>
              <w:rPr>
                <w:color w:val="B02045"/>
                <w:sz w:val="21"/>
              </w:rPr>
              <w:t>.ti me-to-live</w:t>
            </w:r>
          </w:p>
        </w:tc>
        <w:tc>
          <w:tcPr>
            <w:tcW w:w="2494" w:type="dxa"/>
          </w:tcPr>
          <w:p w14:paraId="529057AA" w14:textId="77777777" w:rsidR="00A720EB" w:rsidRDefault="00A720EB">
            <w:pPr>
              <w:pStyle w:val="TableParagraph"/>
              <w:spacing w:before="0"/>
              <w:ind w:left="0"/>
              <w:rPr>
                <w:rFonts w:ascii="Times New Roman"/>
                <w:sz w:val="20"/>
              </w:rPr>
            </w:pPr>
          </w:p>
        </w:tc>
        <w:tc>
          <w:tcPr>
            <w:tcW w:w="4988" w:type="dxa"/>
          </w:tcPr>
          <w:p w14:paraId="067FEFA6" w14:textId="77777777" w:rsidR="00A720EB" w:rsidRDefault="0030286B">
            <w:pPr>
              <w:pStyle w:val="TableParagraph"/>
              <w:spacing w:before="28" w:line="310" w:lineRule="atLeast"/>
              <w:rPr>
                <w:rFonts w:ascii="Cambria"/>
                <w:sz w:val="21"/>
              </w:rPr>
            </w:pPr>
            <w:r>
              <w:rPr>
                <w:rFonts w:ascii="Cambria"/>
                <w:color w:val="333333"/>
                <w:w w:val="110"/>
                <w:sz w:val="21"/>
              </w:rPr>
              <w:t>Time-to-live of a message when sending. Enables QoS (Quality of Service) when set.</w:t>
            </w:r>
          </w:p>
        </w:tc>
      </w:tr>
      <w:tr w:rsidR="00A720EB" w14:paraId="3DE3272D" w14:textId="77777777">
        <w:trPr>
          <w:trHeight w:val="741"/>
        </w:trPr>
        <w:tc>
          <w:tcPr>
            <w:tcW w:w="2494" w:type="dxa"/>
          </w:tcPr>
          <w:p w14:paraId="6C6EA278" w14:textId="77777777" w:rsidR="00A720EB" w:rsidRDefault="0030286B">
            <w:pPr>
              <w:pStyle w:val="TableParagraph"/>
              <w:spacing w:before="46" w:line="230" w:lineRule="auto"/>
              <w:ind w:right="113"/>
              <w:rPr>
                <w:sz w:val="21"/>
              </w:rPr>
            </w:pPr>
            <w:r>
              <w:rPr>
                <w:color w:val="B02045"/>
                <w:sz w:val="21"/>
              </w:rPr>
              <w:t>spring.kafka.admin.cli ent-id</w:t>
            </w:r>
          </w:p>
        </w:tc>
        <w:tc>
          <w:tcPr>
            <w:tcW w:w="2494" w:type="dxa"/>
          </w:tcPr>
          <w:p w14:paraId="6B5BCF80" w14:textId="77777777" w:rsidR="00A720EB" w:rsidRDefault="00A720EB">
            <w:pPr>
              <w:pStyle w:val="TableParagraph"/>
              <w:spacing w:before="0"/>
              <w:ind w:left="0"/>
              <w:rPr>
                <w:rFonts w:ascii="Times New Roman"/>
                <w:sz w:val="20"/>
              </w:rPr>
            </w:pPr>
          </w:p>
        </w:tc>
        <w:tc>
          <w:tcPr>
            <w:tcW w:w="4988" w:type="dxa"/>
          </w:tcPr>
          <w:p w14:paraId="3C344FB8" w14:textId="77777777" w:rsidR="00A720EB" w:rsidRDefault="0030286B">
            <w:pPr>
              <w:pStyle w:val="TableParagraph"/>
              <w:spacing w:before="28" w:line="310" w:lineRule="atLeast"/>
              <w:rPr>
                <w:rFonts w:ascii="Cambria"/>
                <w:sz w:val="21"/>
              </w:rPr>
            </w:pPr>
            <w:r>
              <w:rPr>
                <w:rFonts w:ascii="Cambria"/>
                <w:color w:val="333333"/>
                <w:w w:val="110"/>
                <w:sz w:val="21"/>
              </w:rPr>
              <w:t>ID to pass to the server when making requests. Used for server-side logging.</w:t>
            </w:r>
          </w:p>
        </w:tc>
      </w:tr>
      <w:tr w:rsidR="00A720EB" w14:paraId="54B4B678" w14:textId="77777777">
        <w:trPr>
          <w:trHeight w:val="741"/>
        </w:trPr>
        <w:tc>
          <w:tcPr>
            <w:tcW w:w="2494" w:type="dxa"/>
          </w:tcPr>
          <w:p w14:paraId="4E62C150" w14:textId="77777777" w:rsidR="00A720EB" w:rsidRDefault="0030286B">
            <w:pPr>
              <w:pStyle w:val="TableParagraph"/>
              <w:spacing w:before="46" w:line="230" w:lineRule="auto"/>
              <w:ind w:right="113"/>
              <w:rPr>
                <w:sz w:val="21"/>
              </w:rPr>
            </w:pPr>
            <w:r>
              <w:rPr>
                <w:color w:val="B02045"/>
                <w:sz w:val="21"/>
              </w:rPr>
              <w:t>spring.kafka.admin.fai l-fast</w:t>
            </w:r>
          </w:p>
        </w:tc>
        <w:tc>
          <w:tcPr>
            <w:tcW w:w="2494" w:type="dxa"/>
          </w:tcPr>
          <w:p w14:paraId="3D9EFD58" w14:textId="77777777" w:rsidR="00A720EB" w:rsidRDefault="0030286B">
            <w:pPr>
              <w:pStyle w:val="TableParagraph"/>
              <w:spacing w:before="37"/>
              <w:rPr>
                <w:sz w:val="21"/>
              </w:rPr>
            </w:pPr>
            <w:r>
              <w:rPr>
                <w:color w:val="B02045"/>
                <w:sz w:val="21"/>
              </w:rPr>
              <w:t>false</w:t>
            </w:r>
          </w:p>
        </w:tc>
        <w:tc>
          <w:tcPr>
            <w:tcW w:w="4988" w:type="dxa"/>
          </w:tcPr>
          <w:p w14:paraId="1769E64C" w14:textId="77777777" w:rsidR="00A720EB" w:rsidRDefault="0030286B">
            <w:pPr>
              <w:pStyle w:val="TableParagraph"/>
              <w:spacing w:before="28" w:line="310" w:lineRule="atLeast"/>
              <w:rPr>
                <w:rFonts w:ascii="Cambria"/>
                <w:sz w:val="21"/>
              </w:rPr>
            </w:pPr>
            <w:r>
              <w:rPr>
                <w:rFonts w:ascii="Cambria"/>
                <w:color w:val="333333"/>
                <w:w w:val="115"/>
                <w:sz w:val="21"/>
              </w:rPr>
              <w:t>Whether</w:t>
            </w:r>
            <w:r>
              <w:rPr>
                <w:rFonts w:ascii="Cambria"/>
                <w:color w:val="333333"/>
                <w:spacing w:val="-15"/>
                <w:w w:val="115"/>
                <w:sz w:val="21"/>
              </w:rPr>
              <w:t xml:space="preserve"> </w:t>
            </w:r>
            <w:r>
              <w:rPr>
                <w:rFonts w:ascii="Cambria"/>
                <w:color w:val="333333"/>
                <w:w w:val="115"/>
                <w:sz w:val="21"/>
              </w:rPr>
              <w:t>to</w:t>
            </w:r>
            <w:r>
              <w:rPr>
                <w:rFonts w:ascii="Cambria"/>
                <w:color w:val="333333"/>
                <w:spacing w:val="-14"/>
                <w:w w:val="115"/>
                <w:sz w:val="21"/>
              </w:rPr>
              <w:t xml:space="preserve"> </w:t>
            </w:r>
            <w:r>
              <w:rPr>
                <w:rFonts w:ascii="Cambria"/>
                <w:color w:val="333333"/>
                <w:w w:val="115"/>
                <w:sz w:val="21"/>
              </w:rPr>
              <w:t>fail</w:t>
            </w:r>
            <w:r>
              <w:rPr>
                <w:rFonts w:ascii="Cambria"/>
                <w:color w:val="333333"/>
                <w:spacing w:val="-14"/>
                <w:w w:val="115"/>
                <w:sz w:val="21"/>
              </w:rPr>
              <w:t xml:space="preserve"> </w:t>
            </w:r>
            <w:r>
              <w:rPr>
                <w:rFonts w:ascii="Cambria"/>
                <w:color w:val="333333"/>
                <w:w w:val="115"/>
                <w:sz w:val="21"/>
              </w:rPr>
              <w:t>fast</w:t>
            </w:r>
            <w:r>
              <w:rPr>
                <w:rFonts w:ascii="Cambria"/>
                <w:color w:val="333333"/>
                <w:spacing w:val="-14"/>
                <w:w w:val="115"/>
                <w:sz w:val="21"/>
              </w:rPr>
              <w:t xml:space="preserve"> </w:t>
            </w:r>
            <w:r>
              <w:rPr>
                <w:rFonts w:ascii="Cambria"/>
                <w:color w:val="333333"/>
                <w:w w:val="115"/>
                <w:sz w:val="21"/>
              </w:rPr>
              <w:t>if</w:t>
            </w:r>
            <w:r>
              <w:rPr>
                <w:rFonts w:ascii="Cambria"/>
                <w:color w:val="333333"/>
                <w:spacing w:val="-14"/>
                <w:w w:val="115"/>
                <w:sz w:val="21"/>
              </w:rPr>
              <w:t xml:space="preserve"> </w:t>
            </w:r>
            <w:r>
              <w:rPr>
                <w:rFonts w:ascii="Cambria"/>
                <w:color w:val="333333"/>
                <w:w w:val="115"/>
                <w:sz w:val="21"/>
              </w:rPr>
              <w:t>the</w:t>
            </w:r>
            <w:r>
              <w:rPr>
                <w:rFonts w:ascii="Cambria"/>
                <w:color w:val="333333"/>
                <w:spacing w:val="-14"/>
                <w:w w:val="115"/>
                <w:sz w:val="21"/>
              </w:rPr>
              <w:t xml:space="preserve"> </w:t>
            </w:r>
            <w:r>
              <w:rPr>
                <w:rFonts w:ascii="Cambria"/>
                <w:color w:val="333333"/>
                <w:w w:val="115"/>
                <w:sz w:val="21"/>
              </w:rPr>
              <w:t>broker</w:t>
            </w:r>
            <w:r>
              <w:rPr>
                <w:rFonts w:ascii="Cambria"/>
                <w:color w:val="333333"/>
                <w:spacing w:val="-14"/>
                <w:w w:val="115"/>
                <w:sz w:val="21"/>
              </w:rPr>
              <w:t xml:space="preserve"> </w:t>
            </w:r>
            <w:r>
              <w:rPr>
                <w:rFonts w:ascii="Cambria"/>
                <w:color w:val="333333"/>
                <w:w w:val="115"/>
                <w:sz w:val="21"/>
              </w:rPr>
              <w:t>is</w:t>
            </w:r>
            <w:r>
              <w:rPr>
                <w:rFonts w:ascii="Cambria"/>
                <w:color w:val="333333"/>
                <w:spacing w:val="-14"/>
                <w:w w:val="115"/>
                <w:sz w:val="21"/>
              </w:rPr>
              <w:t xml:space="preserve"> </w:t>
            </w:r>
            <w:r>
              <w:rPr>
                <w:rFonts w:ascii="Cambria"/>
                <w:color w:val="333333"/>
                <w:w w:val="115"/>
                <w:sz w:val="21"/>
              </w:rPr>
              <w:t>not</w:t>
            </w:r>
            <w:r>
              <w:rPr>
                <w:rFonts w:ascii="Cambria"/>
                <w:color w:val="333333"/>
                <w:spacing w:val="-14"/>
                <w:w w:val="115"/>
                <w:sz w:val="21"/>
              </w:rPr>
              <w:t xml:space="preserve"> </w:t>
            </w:r>
            <w:r>
              <w:rPr>
                <w:rFonts w:ascii="Cambria"/>
                <w:color w:val="333333"/>
                <w:w w:val="115"/>
                <w:sz w:val="21"/>
              </w:rPr>
              <w:t>available on startup.</w:t>
            </w:r>
          </w:p>
        </w:tc>
      </w:tr>
      <w:tr w:rsidR="00A720EB" w14:paraId="35BE1D44" w14:textId="77777777">
        <w:trPr>
          <w:trHeight w:val="741"/>
        </w:trPr>
        <w:tc>
          <w:tcPr>
            <w:tcW w:w="2494" w:type="dxa"/>
          </w:tcPr>
          <w:p w14:paraId="33C8F0A9" w14:textId="77777777" w:rsidR="00A720EB" w:rsidRDefault="0030286B">
            <w:pPr>
              <w:pStyle w:val="TableParagraph"/>
              <w:spacing w:before="46" w:line="230" w:lineRule="auto"/>
              <w:ind w:right="94"/>
              <w:rPr>
                <w:sz w:val="21"/>
              </w:rPr>
            </w:pPr>
            <w:r>
              <w:rPr>
                <w:color w:val="B02045"/>
                <w:sz w:val="21"/>
              </w:rPr>
              <w:t xml:space="preserve">spring.kafka.admin.pro </w:t>
            </w:r>
            <w:proofErr w:type="gramStart"/>
            <w:r>
              <w:rPr>
                <w:color w:val="B02045"/>
                <w:sz w:val="21"/>
              </w:rPr>
              <w:t>perties.*</w:t>
            </w:r>
            <w:proofErr w:type="gramEnd"/>
          </w:p>
        </w:tc>
        <w:tc>
          <w:tcPr>
            <w:tcW w:w="2494" w:type="dxa"/>
          </w:tcPr>
          <w:p w14:paraId="3EC55FC8" w14:textId="77777777" w:rsidR="00A720EB" w:rsidRDefault="00A720EB">
            <w:pPr>
              <w:pStyle w:val="TableParagraph"/>
              <w:spacing w:before="0"/>
              <w:ind w:left="0"/>
              <w:rPr>
                <w:rFonts w:ascii="Times New Roman"/>
                <w:sz w:val="20"/>
              </w:rPr>
            </w:pPr>
          </w:p>
        </w:tc>
        <w:tc>
          <w:tcPr>
            <w:tcW w:w="4988" w:type="dxa"/>
          </w:tcPr>
          <w:p w14:paraId="34F85413" w14:textId="77777777" w:rsidR="00A720EB" w:rsidRDefault="0030286B">
            <w:pPr>
              <w:pStyle w:val="TableParagraph"/>
              <w:spacing w:before="28" w:line="310" w:lineRule="atLeast"/>
              <w:rPr>
                <w:rFonts w:ascii="Cambria"/>
                <w:sz w:val="21"/>
              </w:rPr>
            </w:pPr>
            <w:r>
              <w:rPr>
                <w:rFonts w:ascii="Cambria"/>
                <w:color w:val="333333"/>
                <w:w w:val="110"/>
                <w:sz w:val="21"/>
              </w:rPr>
              <w:t>Additional admin-specific properties used to configure the client.</w:t>
            </w:r>
          </w:p>
        </w:tc>
      </w:tr>
      <w:tr w:rsidR="00A720EB" w14:paraId="41C7685B" w14:textId="77777777">
        <w:trPr>
          <w:trHeight w:val="741"/>
        </w:trPr>
        <w:tc>
          <w:tcPr>
            <w:tcW w:w="2494" w:type="dxa"/>
          </w:tcPr>
          <w:p w14:paraId="597594AA" w14:textId="77777777" w:rsidR="00A720EB" w:rsidRDefault="0030286B">
            <w:pPr>
              <w:pStyle w:val="TableParagraph"/>
              <w:spacing w:before="46" w:line="230" w:lineRule="auto"/>
              <w:ind w:right="94"/>
              <w:rPr>
                <w:sz w:val="21"/>
              </w:rPr>
            </w:pPr>
            <w:r>
              <w:rPr>
                <w:color w:val="B02045"/>
                <w:sz w:val="21"/>
              </w:rPr>
              <w:t xml:space="preserve">spring.kafka.admin.sec </w:t>
            </w:r>
            <w:proofErr w:type="gramStart"/>
            <w:r>
              <w:rPr>
                <w:color w:val="B02045"/>
                <w:sz w:val="21"/>
              </w:rPr>
              <w:t>urity.protocol</w:t>
            </w:r>
            <w:proofErr w:type="gramEnd"/>
          </w:p>
        </w:tc>
        <w:tc>
          <w:tcPr>
            <w:tcW w:w="2494" w:type="dxa"/>
          </w:tcPr>
          <w:p w14:paraId="0ED52B3B" w14:textId="77777777" w:rsidR="00A720EB" w:rsidRDefault="00A720EB">
            <w:pPr>
              <w:pStyle w:val="TableParagraph"/>
              <w:spacing w:before="0"/>
              <w:ind w:left="0"/>
              <w:rPr>
                <w:rFonts w:ascii="Times New Roman"/>
                <w:sz w:val="20"/>
              </w:rPr>
            </w:pPr>
          </w:p>
        </w:tc>
        <w:tc>
          <w:tcPr>
            <w:tcW w:w="4988" w:type="dxa"/>
          </w:tcPr>
          <w:p w14:paraId="22E8385F" w14:textId="77777777" w:rsidR="00A720EB" w:rsidRDefault="0030286B">
            <w:pPr>
              <w:pStyle w:val="TableParagraph"/>
              <w:spacing w:before="28" w:line="310" w:lineRule="atLeast"/>
              <w:rPr>
                <w:rFonts w:ascii="Cambria"/>
                <w:sz w:val="21"/>
              </w:rPr>
            </w:pPr>
            <w:r>
              <w:rPr>
                <w:rFonts w:ascii="Cambria"/>
                <w:color w:val="333333"/>
                <w:w w:val="110"/>
                <w:sz w:val="21"/>
              </w:rPr>
              <w:t>Security protocol used to communicate with brokers.</w:t>
            </w:r>
          </w:p>
        </w:tc>
      </w:tr>
      <w:tr w:rsidR="00A720EB" w14:paraId="733E4DCF" w14:textId="77777777">
        <w:trPr>
          <w:trHeight w:val="627"/>
        </w:trPr>
        <w:tc>
          <w:tcPr>
            <w:tcW w:w="2494" w:type="dxa"/>
          </w:tcPr>
          <w:p w14:paraId="19FB4EB7" w14:textId="77777777" w:rsidR="00A720EB" w:rsidRDefault="0030286B">
            <w:pPr>
              <w:pStyle w:val="TableParagraph"/>
              <w:spacing w:before="37" w:line="264" w:lineRule="exact"/>
              <w:rPr>
                <w:sz w:val="21"/>
              </w:rPr>
            </w:pPr>
            <w:r>
              <w:rPr>
                <w:color w:val="B02045"/>
                <w:sz w:val="21"/>
              </w:rPr>
              <w:t>spring.kafka.admin.ssl</w:t>
            </w:r>
          </w:p>
          <w:p w14:paraId="59078C49" w14:textId="77777777" w:rsidR="00A720EB" w:rsidRDefault="0030286B">
            <w:pPr>
              <w:pStyle w:val="TableParagraph"/>
              <w:spacing w:before="0" w:line="264" w:lineRule="exact"/>
              <w:rPr>
                <w:sz w:val="21"/>
              </w:rPr>
            </w:pPr>
            <w:r>
              <w:rPr>
                <w:color w:val="B02045"/>
                <w:sz w:val="21"/>
              </w:rPr>
              <w:t>.key-password</w:t>
            </w:r>
          </w:p>
        </w:tc>
        <w:tc>
          <w:tcPr>
            <w:tcW w:w="2494" w:type="dxa"/>
          </w:tcPr>
          <w:p w14:paraId="119DA324" w14:textId="77777777" w:rsidR="00A720EB" w:rsidRDefault="00A720EB">
            <w:pPr>
              <w:pStyle w:val="TableParagraph"/>
              <w:spacing w:before="0"/>
              <w:ind w:left="0"/>
              <w:rPr>
                <w:rFonts w:ascii="Times New Roman"/>
                <w:sz w:val="20"/>
              </w:rPr>
            </w:pPr>
          </w:p>
        </w:tc>
        <w:tc>
          <w:tcPr>
            <w:tcW w:w="4988" w:type="dxa"/>
          </w:tcPr>
          <w:p w14:paraId="67884EA7" w14:textId="77777777" w:rsidR="00A720EB" w:rsidRDefault="0030286B">
            <w:pPr>
              <w:pStyle w:val="TableParagraph"/>
              <w:spacing w:before="92"/>
              <w:rPr>
                <w:rFonts w:ascii="Cambria"/>
                <w:sz w:val="21"/>
              </w:rPr>
            </w:pPr>
            <w:r>
              <w:rPr>
                <w:rFonts w:ascii="Cambria"/>
                <w:color w:val="333333"/>
                <w:w w:val="110"/>
                <w:sz w:val="21"/>
              </w:rPr>
              <w:t>Password of the private key in the key store file.</w:t>
            </w:r>
          </w:p>
        </w:tc>
      </w:tr>
    </w:tbl>
    <w:p w14:paraId="383BE2AE"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3DF7B76" w14:textId="77777777">
        <w:trPr>
          <w:trHeight w:val="415"/>
        </w:trPr>
        <w:tc>
          <w:tcPr>
            <w:tcW w:w="2494" w:type="dxa"/>
            <w:tcBorders>
              <w:bottom w:val="single" w:sz="12" w:space="0" w:color="DDDDDD"/>
            </w:tcBorders>
          </w:tcPr>
          <w:p w14:paraId="6C73F703"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7D82B12"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AF92A7A"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BA19563" w14:textId="77777777">
        <w:trPr>
          <w:trHeight w:val="617"/>
        </w:trPr>
        <w:tc>
          <w:tcPr>
            <w:tcW w:w="2494" w:type="dxa"/>
            <w:tcBorders>
              <w:top w:val="single" w:sz="12" w:space="0" w:color="DDDDDD"/>
            </w:tcBorders>
          </w:tcPr>
          <w:p w14:paraId="6F90427E" w14:textId="77777777" w:rsidR="00A720EB" w:rsidRDefault="0030286B">
            <w:pPr>
              <w:pStyle w:val="TableParagraph"/>
              <w:spacing w:before="27" w:line="264" w:lineRule="exact"/>
              <w:rPr>
                <w:sz w:val="21"/>
              </w:rPr>
            </w:pPr>
            <w:r>
              <w:rPr>
                <w:color w:val="B02045"/>
                <w:sz w:val="21"/>
              </w:rPr>
              <w:t>spring.kafka.admin.ssl</w:t>
            </w:r>
          </w:p>
          <w:p w14:paraId="0C53D9CE" w14:textId="77777777" w:rsidR="00A720EB" w:rsidRDefault="0030286B">
            <w:pPr>
              <w:pStyle w:val="TableParagraph"/>
              <w:spacing w:before="0" w:line="264" w:lineRule="exact"/>
              <w:rPr>
                <w:sz w:val="21"/>
              </w:rPr>
            </w:pPr>
            <w:r>
              <w:rPr>
                <w:color w:val="B02045"/>
                <w:sz w:val="21"/>
              </w:rPr>
              <w:t>.key-store-location</w:t>
            </w:r>
          </w:p>
        </w:tc>
        <w:tc>
          <w:tcPr>
            <w:tcW w:w="2494" w:type="dxa"/>
            <w:tcBorders>
              <w:top w:val="single" w:sz="12" w:space="0" w:color="DDDDDD"/>
            </w:tcBorders>
          </w:tcPr>
          <w:p w14:paraId="07D77B65"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70A59713" w14:textId="77777777" w:rsidR="00A720EB" w:rsidRDefault="0030286B">
            <w:pPr>
              <w:pStyle w:val="TableParagraph"/>
              <w:spacing w:before="82"/>
              <w:rPr>
                <w:rFonts w:ascii="Cambria"/>
                <w:sz w:val="21"/>
              </w:rPr>
            </w:pPr>
            <w:r>
              <w:rPr>
                <w:rFonts w:ascii="Cambria"/>
                <w:color w:val="333333"/>
                <w:w w:val="110"/>
                <w:sz w:val="21"/>
              </w:rPr>
              <w:t>Location of the key store file.</w:t>
            </w:r>
          </w:p>
        </w:tc>
      </w:tr>
      <w:tr w:rsidR="00A720EB" w14:paraId="0A8735BC" w14:textId="77777777">
        <w:trPr>
          <w:trHeight w:val="627"/>
        </w:trPr>
        <w:tc>
          <w:tcPr>
            <w:tcW w:w="2494" w:type="dxa"/>
          </w:tcPr>
          <w:p w14:paraId="20ECB695" w14:textId="77777777" w:rsidR="00A720EB" w:rsidRDefault="0030286B">
            <w:pPr>
              <w:pStyle w:val="TableParagraph"/>
              <w:spacing w:before="37" w:line="264" w:lineRule="exact"/>
              <w:rPr>
                <w:sz w:val="21"/>
              </w:rPr>
            </w:pPr>
            <w:r>
              <w:rPr>
                <w:color w:val="B02045"/>
                <w:sz w:val="21"/>
              </w:rPr>
              <w:t>spring.kafka.admin.ssl</w:t>
            </w:r>
          </w:p>
          <w:p w14:paraId="34252DC6" w14:textId="77777777" w:rsidR="00A720EB" w:rsidRDefault="0030286B">
            <w:pPr>
              <w:pStyle w:val="TableParagraph"/>
              <w:spacing w:before="0" w:line="264" w:lineRule="exact"/>
              <w:rPr>
                <w:sz w:val="21"/>
              </w:rPr>
            </w:pPr>
            <w:r>
              <w:rPr>
                <w:color w:val="B02045"/>
                <w:sz w:val="21"/>
              </w:rPr>
              <w:t>.key-store-password</w:t>
            </w:r>
          </w:p>
        </w:tc>
        <w:tc>
          <w:tcPr>
            <w:tcW w:w="2494" w:type="dxa"/>
          </w:tcPr>
          <w:p w14:paraId="1159CEE3" w14:textId="77777777" w:rsidR="00A720EB" w:rsidRDefault="00A720EB">
            <w:pPr>
              <w:pStyle w:val="TableParagraph"/>
              <w:spacing w:before="0"/>
              <w:ind w:left="0"/>
              <w:rPr>
                <w:rFonts w:ascii="Times New Roman"/>
                <w:sz w:val="20"/>
              </w:rPr>
            </w:pPr>
          </w:p>
        </w:tc>
        <w:tc>
          <w:tcPr>
            <w:tcW w:w="4988" w:type="dxa"/>
          </w:tcPr>
          <w:p w14:paraId="3D6298A8" w14:textId="77777777" w:rsidR="00A720EB" w:rsidRDefault="0030286B">
            <w:pPr>
              <w:pStyle w:val="TableParagraph"/>
              <w:spacing w:before="92"/>
              <w:rPr>
                <w:rFonts w:ascii="Cambria"/>
                <w:sz w:val="21"/>
              </w:rPr>
            </w:pPr>
            <w:r>
              <w:rPr>
                <w:rFonts w:ascii="Cambria"/>
                <w:color w:val="333333"/>
                <w:w w:val="110"/>
                <w:sz w:val="21"/>
              </w:rPr>
              <w:t>Store password for the key store file.</w:t>
            </w:r>
          </w:p>
        </w:tc>
      </w:tr>
      <w:tr w:rsidR="00A720EB" w14:paraId="4ABAF20A" w14:textId="77777777">
        <w:trPr>
          <w:trHeight w:val="627"/>
        </w:trPr>
        <w:tc>
          <w:tcPr>
            <w:tcW w:w="2494" w:type="dxa"/>
          </w:tcPr>
          <w:p w14:paraId="00251277" w14:textId="77777777" w:rsidR="00A720EB" w:rsidRDefault="0030286B">
            <w:pPr>
              <w:pStyle w:val="TableParagraph"/>
              <w:spacing w:line="264" w:lineRule="exact"/>
              <w:rPr>
                <w:sz w:val="21"/>
              </w:rPr>
            </w:pPr>
            <w:r>
              <w:rPr>
                <w:color w:val="B02045"/>
                <w:sz w:val="21"/>
              </w:rPr>
              <w:t>spring.kafka.admin.ssl</w:t>
            </w:r>
          </w:p>
          <w:p w14:paraId="2942164E" w14:textId="77777777" w:rsidR="00A720EB" w:rsidRDefault="0030286B">
            <w:pPr>
              <w:pStyle w:val="TableParagraph"/>
              <w:spacing w:before="0" w:line="264" w:lineRule="exact"/>
              <w:rPr>
                <w:sz w:val="21"/>
              </w:rPr>
            </w:pPr>
            <w:r>
              <w:rPr>
                <w:color w:val="B02045"/>
                <w:sz w:val="21"/>
              </w:rPr>
              <w:t>.key-store-type</w:t>
            </w:r>
          </w:p>
        </w:tc>
        <w:tc>
          <w:tcPr>
            <w:tcW w:w="2494" w:type="dxa"/>
          </w:tcPr>
          <w:p w14:paraId="675E7538" w14:textId="77777777" w:rsidR="00A720EB" w:rsidRDefault="00A720EB">
            <w:pPr>
              <w:pStyle w:val="TableParagraph"/>
              <w:spacing w:before="0"/>
              <w:ind w:left="0"/>
              <w:rPr>
                <w:rFonts w:ascii="Times New Roman"/>
                <w:sz w:val="20"/>
              </w:rPr>
            </w:pPr>
          </w:p>
        </w:tc>
        <w:tc>
          <w:tcPr>
            <w:tcW w:w="4988" w:type="dxa"/>
          </w:tcPr>
          <w:p w14:paraId="2DC3C720" w14:textId="77777777" w:rsidR="00A720EB" w:rsidRDefault="0030286B">
            <w:pPr>
              <w:pStyle w:val="TableParagraph"/>
              <w:spacing w:before="92"/>
              <w:rPr>
                <w:rFonts w:ascii="Cambria"/>
                <w:sz w:val="21"/>
              </w:rPr>
            </w:pPr>
            <w:r>
              <w:rPr>
                <w:rFonts w:ascii="Cambria"/>
                <w:color w:val="333333"/>
                <w:w w:val="110"/>
                <w:sz w:val="21"/>
              </w:rPr>
              <w:t>Type of the key store.</w:t>
            </w:r>
          </w:p>
        </w:tc>
      </w:tr>
      <w:tr w:rsidR="00A720EB" w14:paraId="6F01406B" w14:textId="77777777">
        <w:trPr>
          <w:trHeight w:val="627"/>
        </w:trPr>
        <w:tc>
          <w:tcPr>
            <w:tcW w:w="2494" w:type="dxa"/>
          </w:tcPr>
          <w:p w14:paraId="00E43431" w14:textId="77777777" w:rsidR="00A720EB" w:rsidRDefault="0030286B">
            <w:pPr>
              <w:pStyle w:val="TableParagraph"/>
              <w:spacing w:line="264" w:lineRule="exact"/>
              <w:rPr>
                <w:sz w:val="21"/>
              </w:rPr>
            </w:pPr>
            <w:r>
              <w:rPr>
                <w:color w:val="B02045"/>
                <w:sz w:val="21"/>
              </w:rPr>
              <w:t>spring.kafka.admin.ssl</w:t>
            </w:r>
          </w:p>
          <w:p w14:paraId="4DB2E503" w14:textId="77777777" w:rsidR="00A720EB" w:rsidRDefault="0030286B">
            <w:pPr>
              <w:pStyle w:val="TableParagraph"/>
              <w:spacing w:before="0" w:line="264" w:lineRule="exact"/>
              <w:rPr>
                <w:sz w:val="21"/>
              </w:rPr>
            </w:pPr>
            <w:proofErr w:type="gramStart"/>
            <w:r>
              <w:rPr>
                <w:color w:val="B02045"/>
                <w:sz w:val="21"/>
              </w:rPr>
              <w:t>.protocol</w:t>
            </w:r>
            <w:proofErr w:type="gramEnd"/>
          </w:p>
        </w:tc>
        <w:tc>
          <w:tcPr>
            <w:tcW w:w="2494" w:type="dxa"/>
          </w:tcPr>
          <w:p w14:paraId="63087A2F" w14:textId="77777777" w:rsidR="00A720EB" w:rsidRDefault="00A720EB">
            <w:pPr>
              <w:pStyle w:val="TableParagraph"/>
              <w:spacing w:before="0"/>
              <w:ind w:left="0"/>
              <w:rPr>
                <w:rFonts w:ascii="Times New Roman"/>
                <w:sz w:val="20"/>
              </w:rPr>
            </w:pPr>
          </w:p>
        </w:tc>
        <w:tc>
          <w:tcPr>
            <w:tcW w:w="4988" w:type="dxa"/>
          </w:tcPr>
          <w:p w14:paraId="57443710" w14:textId="77777777" w:rsidR="00A720EB" w:rsidRDefault="0030286B">
            <w:pPr>
              <w:pStyle w:val="TableParagraph"/>
              <w:spacing w:before="92"/>
              <w:rPr>
                <w:rFonts w:ascii="Cambria"/>
                <w:sz w:val="21"/>
              </w:rPr>
            </w:pPr>
            <w:r>
              <w:rPr>
                <w:rFonts w:ascii="Cambria"/>
                <w:color w:val="333333"/>
                <w:w w:val="110"/>
                <w:sz w:val="21"/>
              </w:rPr>
              <w:t>SSL protocol to use.</w:t>
            </w:r>
          </w:p>
        </w:tc>
      </w:tr>
      <w:tr w:rsidR="00A720EB" w14:paraId="1722559D" w14:textId="77777777">
        <w:trPr>
          <w:trHeight w:val="627"/>
        </w:trPr>
        <w:tc>
          <w:tcPr>
            <w:tcW w:w="2494" w:type="dxa"/>
          </w:tcPr>
          <w:p w14:paraId="1E114062" w14:textId="77777777" w:rsidR="00A720EB" w:rsidRDefault="0030286B">
            <w:pPr>
              <w:pStyle w:val="TableParagraph"/>
              <w:spacing w:before="37" w:line="264" w:lineRule="exact"/>
              <w:rPr>
                <w:sz w:val="21"/>
              </w:rPr>
            </w:pPr>
            <w:r>
              <w:rPr>
                <w:color w:val="B02045"/>
                <w:sz w:val="21"/>
              </w:rPr>
              <w:t>spring.kafka.admin.ssl</w:t>
            </w:r>
          </w:p>
          <w:p w14:paraId="16DFBEA7" w14:textId="77777777" w:rsidR="00A720EB" w:rsidRDefault="0030286B">
            <w:pPr>
              <w:pStyle w:val="TableParagraph"/>
              <w:spacing w:before="0" w:line="264" w:lineRule="exact"/>
              <w:rPr>
                <w:sz w:val="21"/>
              </w:rPr>
            </w:pPr>
            <w:proofErr w:type="gramStart"/>
            <w:r>
              <w:rPr>
                <w:color w:val="B02045"/>
                <w:sz w:val="21"/>
              </w:rPr>
              <w:t>.trust</w:t>
            </w:r>
            <w:proofErr w:type="gramEnd"/>
            <w:r>
              <w:rPr>
                <w:color w:val="B02045"/>
                <w:sz w:val="21"/>
              </w:rPr>
              <w:t>-store-location</w:t>
            </w:r>
          </w:p>
        </w:tc>
        <w:tc>
          <w:tcPr>
            <w:tcW w:w="2494" w:type="dxa"/>
          </w:tcPr>
          <w:p w14:paraId="20A1D859" w14:textId="77777777" w:rsidR="00A720EB" w:rsidRDefault="00A720EB">
            <w:pPr>
              <w:pStyle w:val="TableParagraph"/>
              <w:spacing w:before="0"/>
              <w:ind w:left="0"/>
              <w:rPr>
                <w:rFonts w:ascii="Times New Roman"/>
                <w:sz w:val="20"/>
              </w:rPr>
            </w:pPr>
          </w:p>
        </w:tc>
        <w:tc>
          <w:tcPr>
            <w:tcW w:w="4988" w:type="dxa"/>
          </w:tcPr>
          <w:p w14:paraId="7BF59356" w14:textId="77777777" w:rsidR="00A720EB" w:rsidRDefault="0030286B">
            <w:pPr>
              <w:pStyle w:val="TableParagraph"/>
              <w:spacing w:before="92"/>
              <w:rPr>
                <w:rFonts w:ascii="Cambria"/>
                <w:sz w:val="21"/>
              </w:rPr>
            </w:pPr>
            <w:r>
              <w:rPr>
                <w:rFonts w:ascii="Cambria"/>
                <w:color w:val="333333"/>
                <w:w w:val="110"/>
                <w:sz w:val="21"/>
              </w:rPr>
              <w:t>Location of the trust store file.</w:t>
            </w:r>
          </w:p>
        </w:tc>
      </w:tr>
      <w:tr w:rsidR="00A720EB" w14:paraId="25C7899B" w14:textId="77777777">
        <w:trPr>
          <w:trHeight w:val="627"/>
        </w:trPr>
        <w:tc>
          <w:tcPr>
            <w:tcW w:w="2494" w:type="dxa"/>
          </w:tcPr>
          <w:p w14:paraId="1B3B15D2" w14:textId="77777777" w:rsidR="00A720EB" w:rsidRDefault="0030286B">
            <w:pPr>
              <w:pStyle w:val="TableParagraph"/>
              <w:spacing w:before="37" w:line="264" w:lineRule="exact"/>
              <w:rPr>
                <w:sz w:val="21"/>
              </w:rPr>
            </w:pPr>
            <w:r>
              <w:rPr>
                <w:color w:val="B02045"/>
                <w:sz w:val="21"/>
              </w:rPr>
              <w:t>spring.kafka.admin.ssl</w:t>
            </w:r>
          </w:p>
          <w:p w14:paraId="44C0CC17" w14:textId="77777777" w:rsidR="00A720EB" w:rsidRDefault="0030286B">
            <w:pPr>
              <w:pStyle w:val="TableParagraph"/>
              <w:spacing w:before="0" w:line="264" w:lineRule="exact"/>
              <w:rPr>
                <w:sz w:val="21"/>
              </w:rPr>
            </w:pPr>
            <w:proofErr w:type="gramStart"/>
            <w:r>
              <w:rPr>
                <w:color w:val="B02045"/>
                <w:sz w:val="21"/>
              </w:rPr>
              <w:t>.trust</w:t>
            </w:r>
            <w:proofErr w:type="gramEnd"/>
            <w:r>
              <w:rPr>
                <w:color w:val="B02045"/>
                <w:sz w:val="21"/>
              </w:rPr>
              <w:t>-store-password</w:t>
            </w:r>
          </w:p>
        </w:tc>
        <w:tc>
          <w:tcPr>
            <w:tcW w:w="2494" w:type="dxa"/>
          </w:tcPr>
          <w:p w14:paraId="33626E0A" w14:textId="77777777" w:rsidR="00A720EB" w:rsidRDefault="00A720EB">
            <w:pPr>
              <w:pStyle w:val="TableParagraph"/>
              <w:spacing w:before="0"/>
              <w:ind w:left="0"/>
              <w:rPr>
                <w:rFonts w:ascii="Times New Roman"/>
                <w:sz w:val="20"/>
              </w:rPr>
            </w:pPr>
          </w:p>
        </w:tc>
        <w:tc>
          <w:tcPr>
            <w:tcW w:w="4988" w:type="dxa"/>
          </w:tcPr>
          <w:p w14:paraId="62244DBF" w14:textId="77777777" w:rsidR="00A720EB" w:rsidRDefault="0030286B">
            <w:pPr>
              <w:pStyle w:val="TableParagraph"/>
              <w:spacing w:before="92"/>
              <w:rPr>
                <w:rFonts w:ascii="Cambria"/>
                <w:sz w:val="21"/>
              </w:rPr>
            </w:pPr>
            <w:r>
              <w:rPr>
                <w:rFonts w:ascii="Cambria"/>
                <w:color w:val="333333"/>
                <w:w w:val="110"/>
                <w:sz w:val="21"/>
              </w:rPr>
              <w:t>Store password for the trust store file.</w:t>
            </w:r>
          </w:p>
        </w:tc>
      </w:tr>
      <w:tr w:rsidR="00A720EB" w14:paraId="573A2145" w14:textId="77777777">
        <w:trPr>
          <w:trHeight w:val="627"/>
        </w:trPr>
        <w:tc>
          <w:tcPr>
            <w:tcW w:w="2494" w:type="dxa"/>
          </w:tcPr>
          <w:p w14:paraId="72F6C464" w14:textId="77777777" w:rsidR="00A720EB" w:rsidRDefault="0030286B">
            <w:pPr>
              <w:pStyle w:val="TableParagraph"/>
              <w:spacing w:line="264" w:lineRule="exact"/>
              <w:rPr>
                <w:sz w:val="21"/>
              </w:rPr>
            </w:pPr>
            <w:r>
              <w:rPr>
                <w:color w:val="B02045"/>
                <w:sz w:val="21"/>
              </w:rPr>
              <w:t>spring.kafka.admin.ssl</w:t>
            </w:r>
          </w:p>
          <w:p w14:paraId="7FD91C4C" w14:textId="77777777" w:rsidR="00A720EB" w:rsidRDefault="0030286B">
            <w:pPr>
              <w:pStyle w:val="TableParagraph"/>
              <w:spacing w:before="0" w:line="264" w:lineRule="exact"/>
              <w:rPr>
                <w:sz w:val="21"/>
              </w:rPr>
            </w:pPr>
            <w:proofErr w:type="gramStart"/>
            <w:r>
              <w:rPr>
                <w:color w:val="B02045"/>
                <w:sz w:val="21"/>
              </w:rPr>
              <w:t>.trust</w:t>
            </w:r>
            <w:proofErr w:type="gramEnd"/>
            <w:r>
              <w:rPr>
                <w:color w:val="B02045"/>
                <w:sz w:val="21"/>
              </w:rPr>
              <w:t>-store-type</w:t>
            </w:r>
          </w:p>
        </w:tc>
        <w:tc>
          <w:tcPr>
            <w:tcW w:w="2494" w:type="dxa"/>
          </w:tcPr>
          <w:p w14:paraId="471F8612" w14:textId="77777777" w:rsidR="00A720EB" w:rsidRDefault="00A720EB">
            <w:pPr>
              <w:pStyle w:val="TableParagraph"/>
              <w:spacing w:before="0"/>
              <w:ind w:left="0"/>
              <w:rPr>
                <w:rFonts w:ascii="Times New Roman"/>
                <w:sz w:val="20"/>
              </w:rPr>
            </w:pPr>
          </w:p>
        </w:tc>
        <w:tc>
          <w:tcPr>
            <w:tcW w:w="4988" w:type="dxa"/>
          </w:tcPr>
          <w:p w14:paraId="1F674120" w14:textId="77777777" w:rsidR="00A720EB" w:rsidRDefault="0030286B">
            <w:pPr>
              <w:pStyle w:val="TableParagraph"/>
              <w:spacing w:before="92"/>
              <w:rPr>
                <w:rFonts w:ascii="Cambria"/>
                <w:sz w:val="21"/>
              </w:rPr>
            </w:pPr>
            <w:r>
              <w:rPr>
                <w:rFonts w:ascii="Cambria"/>
                <w:color w:val="333333"/>
                <w:w w:val="110"/>
                <w:sz w:val="21"/>
              </w:rPr>
              <w:t>Type of the trust store.</w:t>
            </w:r>
          </w:p>
        </w:tc>
      </w:tr>
      <w:tr w:rsidR="00A720EB" w14:paraId="5E96CD45" w14:textId="77777777">
        <w:trPr>
          <w:trHeight w:val="1372"/>
        </w:trPr>
        <w:tc>
          <w:tcPr>
            <w:tcW w:w="2494" w:type="dxa"/>
          </w:tcPr>
          <w:p w14:paraId="6C1B3A31" w14:textId="77777777" w:rsidR="00A720EB" w:rsidRDefault="0030286B">
            <w:pPr>
              <w:pStyle w:val="TableParagraph"/>
              <w:spacing w:line="264" w:lineRule="exact"/>
              <w:rPr>
                <w:sz w:val="21"/>
              </w:rPr>
            </w:pPr>
            <w:proofErr w:type="gramStart"/>
            <w:r>
              <w:rPr>
                <w:color w:val="B02045"/>
                <w:sz w:val="21"/>
              </w:rPr>
              <w:t>spring.kafka</w:t>
            </w:r>
            <w:proofErr w:type="gramEnd"/>
            <w:r>
              <w:rPr>
                <w:color w:val="B02045"/>
                <w:sz w:val="21"/>
              </w:rPr>
              <w:t>.bootstrap</w:t>
            </w:r>
          </w:p>
          <w:p w14:paraId="6B9459BE" w14:textId="77777777" w:rsidR="00A720EB" w:rsidRDefault="0030286B">
            <w:pPr>
              <w:pStyle w:val="TableParagraph"/>
              <w:spacing w:before="0" w:line="264" w:lineRule="exact"/>
              <w:rPr>
                <w:sz w:val="21"/>
              </w:rPr>
            </w:pPr>
            <w:r>
              <w:rPr>
                <w:color w:val="B02045"/>
                <w:sz w:val="21"/>
              </w:rPr>
              <w:t>-servers</w:t>
            </w:r>
          </w:p>
        </w:tc>
        <w:tc>
          <w:tcPr>
            <w:tcW w:w="2494" w:type="dxa"/>
          </w:tcPr>
          <w:p w14:paraId="3543B640" w14:textId="77777777" w:rsidR="00A720EB" w:rsidRDefault="00A720EB">
            <w:pPr>
              <w:pStyle w:val="TableParagraph"/>
              <w:spacing w:before="0"/>
              <w:ind w:left="0"/>
              <w:rPr>
                <w:rFonts w:ascii="Times New Roman"/>
                <w:sz w:val="20"/>
              </w:rPr>
            </w:pPr>
          </w:p>
        </w:tc>
        <w:tc>
          <w:tcPr>
            <w:tcW w:w="4988" w:type="dxa"/>
          </w:tcPr>
          <w:p w14:paraId="01B38235" w14:textId="77777777" w:rsidR="00A720EB" w:rsidRDefault="0030286B">
            <w:pPr>
              <w:pStyle w:val="TableParagraph"/>
              <w:spacing w:before="28" w:line="310" w:lineRule="atLeast"/>
              <w:ind w:right="218"/>
              <w:rPr>
                <w:rFonts w:ascii="Cambria"/>
                <w:sz w:val="21"/>
              </w:rPr>
            </w:pPr>
            <w:r>
              <w:rPr>
                <w:rFonts w:ascii="Cambria"/>
                <w:color w:val="333333"/>
                <w:w w:val="110"/>
                <w:sz w:val="21"/>
              </w:rPr>
              <w:t xml:space="preserve">Comma-delimited list of </w:t>
            </w:r>
            <w:proofErr w:type="gramStart"/>
            <w:r>
              <w:rPr>
                <w:rFonts w:ascii="Cambria"/>
                <w:color w:val="333333"/>
                <w:w w:val="110"/>
                <w:sz w:val="21"/>
              </w:rPr>
              <w:t>host:port</w:t>
            </w:r>
            <w:proofErr w:type="gramEnd"/>
            <w:r>
              <w:rPr>
                <w:rFonts w:ascii="Cambria"/>
                <w:color w:val="333333"/>
                <w:w w:val="110"/>
                <w:sz w:val="21"/>
              </w:rPr>
              <w:t xml:space="preserve"> pairs to use for establishing the initial connections to the Kafka cluster. Applies to all components unless overridden.</w:t>
            </w:r>
          </w:p>
        </w:tc>
      </w:tr>
      <w:tr w:rsidR="00A720EB" w14:paraId="000A59FA" w14:textId="77777777">
        <w:trPr>
          <w:trHeight w:val="741"/>
        </w:trPr>
        <w:tc>
          <w:tcPr>
            <w:tcW w:w="2494" w:type="dxa"/>
          </w:tcPr>
          <w:p w14:paraId="5A4DBBBD" w14:textId="77777777" w:rsidR="00A720EB" w:rsidRDefault="0030286B">
            <w:pPr>
              <w:pStyle w:val="TableParagraph"/>
              <w:spacing w:before="37"/>
              <w:rPr>
                <w:sz w:val="21"/>
              </w:rPr>
            </w:pPr>
            <w:proofErr w:type="gramStart"/>
            <w:r>
              <w:rPr>
                <w:color w:val="B02045"/>
                <w:sz w:val="21"/>
              </w:rPr>
              <w:t>spring.kafka</w:t>
            </w:r>
            <w:proofErr w:type="gramEnd"/>
            <w:r>
              <w:rPr>
                <w:color w:val="B02045"/>
                <w:sz w:val="21"/>
              </w:rPr>
              <w:t>.client-id</w:t>
            </w:r>
          </w:p>
        </w:tc>
        <w:tc>
          <w:tcPr>
            <w:tcW w:w="2494" w:type="dxa"/>
          </w:tcPr>
          <w:p w14:paraId="7328332C" w14:textId="77777777" w:rsidR="00A720EB" w:rsidRDefault="00A720EB">
            <w:pPr>
              <w:pStyle w:val="TableParagraph"/>
              <w:spacing w:before="0"/>
              <w:ind w:left="0"/>
              <w:rPr>
                <w:rFonts w:ascii="Times New Roman"/>
                <w:sz w:val="20"/>
              </w:rPr>
            </w:pPr>
          </w:p>
        </w:tc>
        <w:tc>
          <w:tcPr>
            <w:tcW w:w="4988" w:type="dxa"/>
          </w:tcPr>
          <w:p w14:paraId="6840264E" w14:textId="77777777" w:rsidR="00A720EB" w:rsidRDefault="0030286B">
            <w:pPr>
              <w:pStyle w:val="TableParagraph"/>
              <w:spacing w:before="28" w:line="310" w:lineRule="atLeast"/>
              <w:rPr>
                <w:rFonts w:ascii="Cambria"/>
                <w:sz w:val="21"/>
              </w:rPr>
            </w:pPr>
            <w:r>
              <w:rPr>
                <w:rFonts w:ascii="Cambria"/>
                <w:color w:val="333333"/>
                <w:w w:val="110"/>
                <w:sz w:val="21"/>
              </w:rPr>
              <w:t>ID to pass to the server when making requests. Used for server-side logging.</w:t>
            </w:r>
          </w:p>
        </w:tc>
      </w:tr>
      <w:tr w:rsidR="00A720EB" w14:paraId="477FBFC2" w14:textId="77777777">
        <w:trPr>
          <w:trHeight w:val="1056"/>
        </w:trPr>
        <w:tc>
          <w:tcPr>
            <w:tcW w:w="2494" w:type="dxa"/>
          </w:tcPr>
          <w:p w14:paraId="282A84EB"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auto-commit-interval</w:t>
            </w:r>
          </w:p>
        </w:tc>
        <w:tc>
          <w:tcPr>
            <w:tcW w:w="2494" w:type="dxa"/>
          </w:tcPr>
          <w:p w14:paraId="0239EE96" w14:textId="77777777" w:rsidR="00A720EB" w:rsidRDefault="00A720EB">
            <w:pPr>
              <w:pStyle w:val="TableParagraph"/>
              <w:spacing w:before="0"/>
              <w:ind w:left="0"/>
              <w:rPr>
                <w:rFonts w:ascii="Times New Roman"/>
                <w:sz w:val="20"/>
              </w:rPr>
            </w:pPr>
          </w:p>
        </w:tc>
        <w:tc>
          <w:tcPr>
            <w:tcW w:w="4988" w:type="dxa"/>
          </w:tcPr>
          <w:p w14:paraId="0382AEFD" w14:textId="77777777" w:rsidR="00A720EB" w:rsidRDefault="0030286B">
            <w:pPr>
              <w:pStyle w:val="TableParagraph"/>
              <w:spacing w:before="28" w:line="310" w:lineRule="atLeast"/>
              <w:ind w:right="114"/>
              <w:jc w:val="both"/>
              <w:rPr>
                <w:rFonts w:ascii="Cambria"/>
                <w:sz w:val="21"/>
              </w:rPr>
            </w:pPr>
            <w:r>
              <w:rPr>
                <w:rFonts w:ascii="Cambria"/>
                <w:color w:val="333333"/>
                <w:w w:val="110"/>
                <w:sz w:val="21"/>
              </w:rPr>
              <w:t>Frequency with which the consumer offsets are auto-committed to Kafka if '</w:t>
            </w:r>
            <w:proofErr w:type="gramStart"/>
            <w:r>
              <w:rPr>
                <w:rFonts w:ascii="Cambria"/>
                <w:color w:val="333333"/>
                <w:w w:val="110"/>
                <w:sz w:val="21"/>
              </w:rPr>
              <w:t>enable.auto</w:t>
            </w:r>
            <w:proofErr w:type="gramEnd"/>
            <w:r>
              <w:rPr>
                <w:rFonts w:ascii="Cambria"/>
                <w:color w:val="333333"/>
                <w:w w:val="110"/>
                <w:sz w:val="21"/>
              </w:rPr>
              <w:t>.commit' is set to true.</w:t>
            </w:r>
          </w:p>
        </w:tc>
      </w:tr>
      <w:tr w:rsidR="00A720EB" w14:paraId="05C0895D" w14:textId="77777777">
        <w:trPr>
          <w:trHeight w:val="1056"/>
        </w:trPr>
        <w:tc>
          <w:tcPr>
            <w:tcW w:w="2494" w:type="dxa"/>
          </w:tcPr>
          <w:p w14:paraId="0AEC4784"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auto-offset-reset</w:t>
            </w:r>
          </w:p>
        </w:tc>
        <w:tc>
          <w:tcPr>
            <w:tcW w:w="2494" w:type="dxa"/>
          </w:tcPr>
          <w:p w14:paraId="2580598A" w14:textId="77777777" w:rsidR="00A720EB" w:rsidRDefault="00A720EB">
            <w:pPr>
              <w:pStyle w:val="TableParagraph"/>
              <w:spacing w:before="0"/>
              <w:ind w:left="0"/>
              <w:rPr>
                <w:rFonts w:ascii="Times New Roman"/>
                <w:sz w:val="20"/>
              </w:rPr>
            </w:pPr>
          </w:p>
        </w:tc>
        <w:tc>
          <w:tcPr>
            <w:tcW w:w="4988" w:type="dxa"/>
          </w:tcPr>
          <w:p w14:paraId="47F7BAA8" w14:textId="77777777" w:rsidR="00A720EB" w:rsidRDefault="0030286B">
            <w:pPr>
              <w:pStyle w:val="TableParagraph"/>
              <w:spacing w:before="28" w:line="310" w:lineRule="atLeast"/>
              <w:ind w:right="162"/>
              <w:rPr>
                <w:rFonts w:ascii="Cambria"/>
                <w:sz w:val="21"/>
              </w:rPr>
            </w:pPr>
            <w:r>
              <w:rPr>
                <w:rFonts w:ascii="Cambria"/>
                <w:color w:val="333333"/>
                <w:w w:val="110"/>
                <w:sz w:val="21"/>
              </w:rPr>
              <w:t>What to do when there is no initial offset in Kafka or if the current offset no longer exists on the server.</w:t>
            </w:r>
          </w:p>
        </w:tc>
      </w:tr>
      <w:tr w:rsidR="00A720EB" w14:paraId="6764B05F" w14:textId="77777777">
        <w:trPr>
          <w:trHeight w:val="1372"/>
        </w:trPr>
        <w:tc>
          <w:tcPr>
            <w:tcW w:w="2494" w:type="dxa"/>
          </w:tcPr>
          <w:p w14:paraId="46626F74"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bootstrap-servers</w:t>
            </w:r>
          </w:p>
        </w:tc>
        <w:tc>
          <w:tcPr>
            <w:tcW w:w="2494" w:type="dxa"/>
          </w:tcPr>
          <w:p w14:paraId="495A9799" w14:textId="77777777" w:rsidR="00A720EB" w:rsidRDefault="00A720EB">
            <w:pPr>
              <w:pStyle w:val="TableParagraph"/>
              <w:spacing w:before="0"/>
              <w:ind w:left="0"/>
              <w:rPr>
                <w:rFonts w:ascii="Times New Roman"/>
                <w:sz w:val="20"/>
              </w:rPr>
            </w:pPr>
          </w:p>
        </w:tc>
        <w:tc>
          <w:tcPr>
            <w:tcW w:w="4988" w:type="dxa"/>
          </w:tcPr>
          <w:p w14:paraId="337695FC" w14:textId="77777777" w:rsidR="00A720EB" w:rsidRDefault="0030286B">
            <w:pPr>
              <w:pStyle w:val="TableParagraph"/>
              <w:spacing w:before="28" w:line="310" w:lineRule="atLeast"/>
              <w:ind w:right="162"/>
              <w:rPr>
                <w:rFonts w:ascii="Cambria"/>
                <w:sz w:val="21"/>
              </w:rPr>
            </w:pPr>
            <w:r>
              <w:rPr>
                <w:rFonts w:ascii="Cambria"/>
                <w:color w:val="333333"/>
                <w:w w:val="110"/>
                <w:sz w:val="21"/>
              </w:rPr>
              <w:t xml:space="preserve">Comma-delimited list of </w:t>
            </w:r>
            <w:proofErr w:type="gramStart"/>
            <w:r>
              <w:rPr>
                <w:rFonts w:ascii="Cambria"/>
                <w:color w:val="333333"/>
                <w:w w:val="110"/>
                <w:sz w:val="21"/>
              </w:rPr>
              <w:t>host:port</w:t>
            </w:r>
            <w:proofErr w:type="gramEnd"/>
            <w:r>
              <w:rPr>
                <w:rFonts w:ascii="Cambria"/>
                <w:color w:val="333333"/>
                <w:w w:val="110"/>
                <w:sz w:val="21"/>
              </w:rPr>
              <w:t xml:space="preserve"> pairs to use for establishing the initial connections to the Kafka cluster. Overrides the global property, for consumers.</w:t>
            </w:r>
          </w:p>
        </w:tc>
      </w:tr>
      <w:tr w:rsidR="00A720EB" w14:paraId="00904086" w14:textId="77777777">
        <w:trPr>
          <w:trHeight w:val="741"/>
        </w:trPr>
        <w:tc>
          <w:tcPr>
            <w:tcW w:w="2494" w:type="dxa"/>
          </w:tcPr>
          <w:p w14:paraId="1CCF25D3"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client-id</w:t>
            </w:r>
          </w:p>
        </w:tc>
        <w:tc>
          <w:tcPr>
            <w:tcW w:w="2494" w:type="dxa"/>
          </w:tcPr>
          <w:p w14:paraId="51EAC60D" w14:textId="77777777" w:rsidR="00A720EB" w:rsidRDefault="00A720EB">
            <w:pPr>
              <w:pStyle w:val="TableParagraph"/>
              <w:spacing w:before="0"/>
              <w:ind w:left="0"/>
              <w:rPr>
                <w:rFonts w:ascii="Times New Roman"/>
                <w:sz w:val="20"/>
              </w:rPr>
            </w:pPr>
          </w:p>
        </w:tc>
        <w:tc>
          <w:tcPr>
            <w:tcW w:w="4988" w:type="dxa"/>
          </w:tcPr>
          <w:p w14:paraId="36BCB59E" w14:textId="77777777" w:rsidR="00A720EB" w:rsidRDefault="0030286B">
            <w:pPr>
              <w:pStyle w:val="TableParagraph"/>
              <w:spacing w:before="28" w:line="310" w:lineRule="atLeast"/>
              <w:rPr>
                <w:rFonts w:ascii="Cambria"/>
                <w:sz w:val="21"/>
              </w:rPr>
            </w:pPr>
            <w:r>
              <w:rPr>
                <w:rFonts w:ascii="Cambria"/>
                <w:color w:val="333333"/>
                <w:w w:val="110"/>
                <w:sz w:val="21"/>
              </w:rPr>
              <w:t>ID to pass to the server when making requests. Used for server-side logging.</w:t>
            </w:r>
          </w:p>
        </w:tc>
      </w:tr>
      <w:tr w:rsidR="00A720EB" w14:paraId="5850F8B4" w14:textId="77777777">
        <w:trPr>
          <w:trHeight w:val="741"/>
        </w:trPr>
        <w:tc>
          <w:tcPr>
            <w:tcW w:w="2494" w:type="dxa"/>
          </w:tcPr>
          <w:p w14:paraId="39080B27"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enable-auto-commit</w:t>
            </w:r>
          </w:p>
        </w:tc>
        <w:tc>
          <w:tcPr>
            <w:tcW w:w="2494" w:type="dxa"/>
          </w:tcPr>
          <w:p w14:paraId="04A0B309" w14:textId="77777777" w:rsidR="00A720EB" w:rsidRDefault="00A720EB">
            <w:pPr>
              <w:pStyle w:val="TableParagraph"/>
              <w:spacing w:before="0"/>
              <w:ind w:left="0"/>
              <w:rPr>
                <w:rFonts w:ascii="Times New Roman"/>
                <w:sz w:val="20"/>
              </w:rPr>
            </w:pPr>
          </w:p>
        </w:tc>
        <w:tc>
          <w:tcPr>
            <w:tcW w:w="4988" w:type="dxa"/>
          </w:tcPr>
          <w:p w14:paraId="2401135F" w14:textId="77777777" w:rsidR="00A720EB" w:rsidRDefault="0030286B">
            <w:pPr>
              <w:pStyle w:val="TableParagraph"/>
              <w:spacing w:before="28" w:line="310" w:lineRule="atLeast"/>
              <w:rPr>
                <w:rFonts w:ascii="Cambria"/>
                <w:sz w:val="21"/>
              </w:rPr>
            </w:pPr>
            <w:r>
              <w:rPr>
                <w:rFonts w:ascii="Cambria"/>
                <w:color w:val="333333"/>
                <w:w w:val="110"/>
                <w:sz w:val="21"/>
              </w:rPr>
              <w:t>Whether the consumer's offset is periodically committed in the background.</w:t>
            </w:r>
          </w:p>
        </w:tc>
      </w:tr>
      <w:tr w:rsidR="00A720EB" w14:paraId="7DAE324B" w14:textId="77777777">
        <w:trPr>
          <w:trHeight w:val="1372"/>
        </w:trPr>
        <w:tc>
          <w:tcPr>
            <w:tcW w:w="2494" w:type="dxa"/>
          </w:tcPr>
          <w:p w14:paraId="3561FF63"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fetch-max-wait</w:t>
            </w:r>
          </w:p>
        </w:tc>
        <w:tc>
          <w:tcPr>
            <w:tcW w:w="2494" w:type="dxa"/>
          </w:tcPr>
          <w:p w14:paraId="0B8F4552" w14:textId="77777777" w:rsidR="00A720EB" w:rsidRDefault="00A720EB">
            <w:pPr>
              <w:pStyle w:val="TableParagraph"/>
              <w:spacing w:before="0"/>
              <w:ind w:left="0"/>
              <w:rPr>
                <w:rFonts w:ascii="Times New Roman"/>
                <w:sz w:val="20"/>
              </w:rPr>
            </w:pPr>
          </w:p>
        </w:tc>
        <w:tc>
          <w:tcPr>
            <w:tcW w:w="4988" w:type="dxa"/>
          </w:tcPr>
          <w:p w14:paraId="126311CA" w14:textId="77777777" w:rsidR="00A720EB" w:rsidRDefault="0030286B">
            <w:pPr>
              <w:pStyle w:val="TableParagraph"/>
              <w:spacing w:before="28" w:line="310" w:lineRule="atLeast"/>
              <w:ind w:right="44"/>
              <w:rPr>
                <w:rFonts w:ascii="Cambria"/>
                <w:sz w:val="21"/>
              </w:rPr>
            </w:pPr>
            <w:r>
              <w:rPr>
                <w:rFonts w:ascii="Cambria"/>
                <w:color w:val="333333"/>
                <w:w w:val="110"/>
                <w:sz w:val="21"/>
              </w:rPr>
              <w:t>Maximum amount of time the server blocks before answering the fetch request if there isn't sufficient data to immediately satisfy the requirement given by "fetch-min-size".</w:t>
            </w:r>
          </w:p>
        </w:tc>
      </w:tr>
      <w:tr w:rsidR="00A720EB" w14:paraId="6288628F" w14:textId="77777777">
        <w:trPr>
          <w:trHeight w:val="741"/>
        </w:trPr>
        <w:tc>
          <w:tcPr>
            <w:tcW w:w="2494" w:type="dxa"/>
          </w:tcPr>
          <w:p w14:paraId="1ECC6521"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fetch-min-size</w:t>
            </w:r>
          </w:p>
        </w:tc>
        <w:tc>
          <w:tcPr>
            <w:tcW w:w="2494" w:type="dxa"/>
          </w:tcPr>
          <w:p w14:paraId="22505C76" w14:textId="77777777" w:rsidR="00A720EB" w:rsidRDefault="00A720EB">
            <w:pPr>
              <w:pStyle w:val="TableParagraph"/>
              <w:spacing w:before="0"/>
              <w:ind w:left="0"/>
              <w:rPr>
                <w:rFonts w:ascii="Times New Roman"/>
                <w:sz w:val="20"/>
              </w:rPr>
            </w:pPr>
          </w:p>
        </w:tc>
        <w:tc>
          <w:tcPr>
            <w:tcW w:w="4988" w:type="dxa"/>
          </w:tcPr>
          <w:p w14:paraId="7FF7DA8D" w14:textId="77777777" w:rsidR="00A720EB" w:rsidRDefault="0030286B">
            <w:pPr>
              <w:pStyle w:val="TableParagraph"/>
              <w:spacing w:before="28" w:line="310" w:lineRule="atLeast"/>
              <w:ind w:right="544"/>
              <w:rPr>
                <w:rFonts w:ascii="Cambria"/>
                <w:sz w:val="21"/>
              </w:rPr>
            </w:pPr>
            <w:r>
              <w:rPr>
                <w:rFonts w:ascii="Cambria"/>
                <w:color w:val="333333"/>
                <w:w w:val="115"/>
                <w:sz w:val="21"/>
              </w:rPr>
              <w:t>Minimum</w:t>
            </w:r>
            <w:r>
              <w:rPr>
                <w:rFonts w:ascii="Cambria"/>
                <w:color w:val="333333"/>
                <w:spacing w:val="-19"/>
                <w:w w:val="115"/>
                <w:sz w:val="21"/>
              </w:rPr>
              <w:t xml:space="preserve"> </w:t>
            </w:r>
            <w:r>
              <w:rPr>
                <w:rFonts w:ascii="Cambria"/>
                <w:color w:val="333333"/>
                <w:w w:val="115"/>
                <w:sz w:val="21"/>
              </w:rPr>
              <w:t>amount</w:t>
            </w:r>
            <w:r>
              <w:rPr>
                <w:rFonts w:ascii="Cambria"/>
                <w:color w:val="333333"/>
                <w:spacing w:val="-18"/>
                <w:w w:val="115"/>
                <w:sz w:val="21"/>
              </w:rPr>
              <w:t xml:space="preserve"> </w:t>
            </w:r>
            <w:r>
              <w:rPr>
                <w:rFonts w:ascii="Cambria"/>
                <w:color w:val="333333"/>
                <w:w w:val="115"/>
                <w:sz w:val="21"/>
              </w:rPr>
              <w:t>of</w:t>
            </w:r>
            <w:r>
              <w:rPr>
                <w:rFonts w:ascii="Cambria"/>
                <w:color w:val="333333"/>
                <w:spacing w:val="-17"/>
                <w:w w:val="115"/>
                <w:sz w:val="21"/>
              </w:rPr>
              <w:t xml:space="preserve"> </w:t>
            </w:r>
            <w:r>
              <w:rPr>
                <w:rFonts w:ascii="Cambria"/>
                <w:color w:val="333333"/>
                <w:w w:val="115"/>
                <w:sz w:val="21"/>
              </w:rPr>
              <w:t>data</w:t>
            </w:r>
            <w:r>
              <w:rPr>
                <w:rFonts w:ascii="Cambria"/>
                <w:color w:val="333333"/>
                <w:spacing w:val="-19"/>
                <w:w w:val="115"/>
                <w:sz w:val="21"/>
              </w:rPr>
              <w:t xml:space="preserve"> </w:t>
            </w:r>
            <w:r>
              <w:rPr>
                <w:rFonts w:ascii="Cambria"/>
                <w:color w:val="333333"/>
                <w:w w:val="115"/>
                <w:sz w:val="21"/>
              </w:rPr>
              <w:t>the</w:t>
            </w:r>
            <w:r>
              <w:rPr>
                <w:rFonts w:ascii="Cambria"/>
                <w:color w:val="333333"/>
                <w:spacing w:val="-17"/>
                <w:w w:val="115"/>
                <w:sz w:val="21"/>
              </w:rPr>
              <w:t xml:space="preserve"> </w:t>
            </w:r>
            <w:r>
              <w:rPr>
                <w:rFonts w:ascii="Cambria"/>
                <w:color w:val="333333"/>
                <w:w w:val="115"/>
                <w:sz w:val="21"/>
              </w:rPr>
              <w:t>server</w:t>
            </w:r>
            <w:r>
              <w:rPr>
                <w:rFonts w:ascii="Cambria"/>
                <w:color w:val="333333"/>
                <w:spacing w:val="-18"/>
                <w:w w:val="115"/>
                <w:sz w:val="21"/>
              </w:rPr>
              <w:t xml:space="preserve"> </w:t>
            </w:r>
            <w:r>
              <w:rPr>
                <w:rFonts w:ascii="Cambria"/>
                <w:color w:val="333333"/>
                <w:w w:val="115"/>
                <w:sz w:val="21"/>
              </w:rPr>
              <w:t>should return for a fetch</w:t>
            </w:r>
            <w:r>
              <w:rPr>
                <w:rFonts w:ascii="Cambria"/>
                <w:color w:val="333333"/>
                <w:spacing w:val="-6"/>
                <w:w w:val="115"/>
                <w:sz w:val="21"/>
              </w:rPr>
              <w:t xml:space="preserve"> </w:t>
            </w:r>
            <w:r>
              <w:rPr>
                <w:rFonts w:ascii="Cambria"/>
                <w:color w:val="333333"/>
                <w:w w:val="115"/>
                <w:sz w:val="21"/>
              </w:rPr>
              <w:t>request.</w:t>
            </w:r>
          </w:p>
        </w:tc>
      </w:tr>
      <w:tr w:rsidR="00A720EB" w14:paraId="0587866E" w14:textId="77777777">
        <w:trPr>
          <w:trHeight w:val="741"/>
        </w:trPr>
        <w:tc>
          <w:tcPr>
            <w:tcW w:w="2494" w:type="dxa"/>
          </w:tcPr>
          <w:p w14:paraId="2539F439" w14:textId="77777777" w:rsidR="00A720EB" w:rsidRDefault="0030286B">
            <w:pPr>
              <w:pStyle w:val="TableParagraph"/>
              <w:spacing w:before="46" w:line="230" w:lineRule="auto"/>
              <w:ind w:right="113"/>
              <w:rPr>
                <w:sz w:val="21"/>
              </w:rPr>
            </w:pPr>
            <w:proofErr w:type="gramStart"/>
            <w:r>
              <w:rPr>
                <w:color w:val="B02045"/>
                <w:sz w:val="21"/>
              </w:rPr>
              <w:lastRenderedPageBreak/>
              <w:t>spring.kafka</w:t>
            </w:r>
            <w:proofErr w:type="gramEnd"/>
            <w:r>
              <w:rPr>
                <w:color w:val="B02045"/>
                <w:sz w:val="21"/>
              </w:rPr>
              <w:t>.consumer. group-id</w:t>
            </w:r>
          </w:p>
        </w:tc>
        <w:tc>
          <w:tcPr>
            <w:tcW w:w="2494" w:type="dxa"/>
          </w:tcPr>
          <w:p w14:paraId="3B5AF43E" w14:textId="77777777" w:rsidR="00A720EB" w:rsidRDefault="00A720EB">
            <w:pPr>
              <w:pStyle w:val="TableParagraph"/>
              <w:spacing w:before="0"/>
              <w:ind w:left="0"/>
              <w:rPr>
                <w:rFonts w:ascii="Times New Roman"/>
                <w:sz w:val="20"/>
              </w:rPr>
            </w:pPr>
          </w:p>
        </w:tc>
        <w:tc>
          <w:tcPr>
            <w:tcW w:w="4988" w:type="dxa"/>
          </w:tcPr>
          <w:p w14:paraId="2B58B795" w14:textId="77777777" w:rsidR="00A720EB" w:rsidRDefault="0030286B">
            <w:pPr>
              <w:pStyle w:val="TableParagraph"/>
              <w:spacing w:before="28" w:line="310" w:lineRule="atLeast"/>
              <w:rPr>
                <w:rFonts w:ascii="Cambria"/>
                <w:sz w:val="21"/>
              </w:rPr>
            </w:pPr>
            <w:r>
              <w:rPr>
                <w:rFonts w:ascii="Cambria"/>
                <w:color w:val="333333"/>
                <w:w w:val="110"/>
                <w:sz w:val="21"/>
              </w:rPr>
              <w:t>Unique string that identifies the consumer group to which this consumer belongs.</w:t>
            </w:r>
          </w:p>
        </w:tc>
      </w:tr>
    </w:tbl>
    <w:p w14:paraId="3B3CDF63"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C7306BC" w14:textId="77777777">
        <w:trPr>
          <w:trHeight w:val="415"/>
        </w:trPr>
        <w:tc>
          <w:tcPr>
            <w:tcW w:w="2494" w:type="dxa"/>
            <w:tcBorders>
              <w:bottom w:val="single" w:sz="12" w:space="0" w:color="DDDDDD"/>
            </w:tcBorders>
          </w:tcPr>
          <w:p w14:paraId="2952A000"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1D0DAF8"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46D3410"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F87DE9C" w14:textId="77777777">
        <w:trPr>
          <w:trHeight w:val="731"/>
        </w:trPr>
        <w:tc>
          <w:tcPr>
            <w:tcW w:w="2494" w:type="dxa"/>
            <w:tcBorders>
              <w:top w:val="single" w:sz="12" w:space="0" w:color="DDDDDD"/>
            </w:tcBorders>
          </w:tcPr>
          <w:p w14:paraId="33D60143" w14:textId="77777777" w:rsidR="00A720EB" w:rsidRDefault="0030286B">
            <w:pPr>
              <w:pStyle w:val="TableParagraph"/>
              <w:spacing w:before="36" w:line="230" w:lineRule="auto"/>
              <w:ind w:right="113"/>
              <w:rPr>
                <w:sz w:val="21"/>
              </w:rPr>
            </w:pPr>
            <w:proofErr w:type="gramStart"/>
            <w:r>
              <w:rPr>
                <w:color w:val="B02045"/>
                <w:sz w:val="21"/>
              </w:rPr>
              <w:t>spring.kafka</w:t>
            </w:r>
            <w:proofErr w:type="gramEnd"/>
            <w:r>
              <w:rPr>
                <w:color w:val="B02045"/>
                <w:sz w:val="21"/>
              </w:rPr>
              <w:t>.consumer. heartbeat-interval</w:t>
            </w:r>
          </w:p>
        </w:tc>
        <w:tc>
          <w:tcPr>
            <w:tcW w:w="2494" w:type="dxa"/>
            <w:tcBorders>
              <w:top w:val="single" w:sz="12" w:space="0" w:color="DDDDDD"/>
            </w:tcBorders>
          </w:tcPr>
          <w:p w14:paraId="33FB2C33"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45DB7798" w14:textId="77777777" w:rsidR="00A720EB" w:rsidRDefault="0030286B">
            <w:pPr>
              <w:pStyle w:val="TableParagraph"/>
              <w:spacing w:before="18" w:line="310" w:lineRule="atLeast"/>
              <w:ind w:right="640"/>
              <w:rPr>
                <w:rFonts w:ascii="Cambria"/>
                <w:sz w:val="21"/>
              </w:rPr>
            </w:pPr>
            <w:r>
              <w:rPr>
                <w:rFonts w:ascii="Cambria"/>
                <w:color w:val="333333"/>
                <w:w w:val="110"/>
                <w:sz w:val="21"/>
              </w:rPr>
              <w:t>Expected time between heartbeats to the consumer coordinator.</w:t>
            </w:r>
          </w:p>
        </w:tc>
      </w:tr>
      <w:tr w:rsidR="00A720EB" w14:paraId="4A859AA4" w14:textId="77777777">
        <w:trPr>
          <w:trHeight w:val="741"/>
        </w:trPr>
        <w:tc>
          <w:tcPr>
            <w:tcW w:w="2494" w:type="dxa"/>
          </w:tcPr>
          <w:p w14:paraId="6A73B8B9"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isolation-level</w:t>
            </w:r>
          </w:p>
        </w:tc>
        <w:tc>
          <w:tcPr>
            <w:tcW w:w="2494" w:type="dxa"/>
          </w:tcPr>
          <w:p w14:paraId="748277EE" w14:textId="77777777" w:rsidR="00A720EB" w:rsidRDefault="00A720EB">
            <w:pPr>
              <w:pStyle w:val="TableParagraph"/>
              <w:spacing w:before="0"/>
              <w:ind w:left="0"/>
              <w:rPr>
                <w:rFonts w:ascii="Times New Roman"/>
                <w:sz w:val="20"/>
              </w:rPr>
            </w:pPr>
          </w:p>
        </w:tc>
        <w:tc>
          <w:tcPr>
            <w:tcW w:w="4988" w:type="dxa"/>
          </w:tcPr>
          <w:p w14:paraId="4C3FE6C9" w14:textId="77777777" w:rsidR="00A720EB" w:rsidRDefault="0030286B">
            <w:pPr>
              <w:pStyle w:val="TableParagraph"/>
              <w:spacing w:before="28" w:line="310" w:lineRule="atLeast"/>
              <w:rPr>
                <w:rFonts w:ascii="Cambria"/>
                <w:sz w:val="21"/>
              </w:rPr>
            </w:pPr>
            <w:r>
              <w:rPr>
                <w:rFonts w:ascii="Cambria"/>
                <w:color w:val="333333"/>
                <w:w w:val="110"/>
                <w:sz w:val="21"/>
              </w:rPr>
              <w:t>Isolation level for reading messages that have been written transactionally.</w:t>
            </w:r>
          </w:p>
        </w:tc>
      </w:tr>
      <w:tr w:rsidR="00A720EB" w14:paraId="6FF81CB9" w14:textId="77777777">
        <w:trPr>
          <w:trHeight w:val="627"/>
        </w:trPr>
        <w:tc>
          <w:tcPr>
            <w:tcW w:w="2494" w:type="dxa"/>
          </w:tcPr>
          <w:p w14:paraId="028A5575"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key-deserializer</w:t>
            </w:r>
          </w:p>
        </w:tc>
        <w:tc>
          <w:tcPr>
            <w:tcW w:w="2494" w:type="dxa"/>
          </w:tcPr>
          <w:p w14:paraId="0FFD0EBF" w14:textId="77777777" w:rsidR="00A720EB" w:rsidRDefault="00A720EB">
            <w:pPr>
              <w:pStyle w:val="TableParagraph"/>
              <w:spacing w:before="0"/>
              <w:ind w:left="0"/>
              <w:rPr>
                <w:rFonts w:ascii="Times New Roman"/>
                <w:sz w:val="20"/>
              </w:rPr>
            </w:pPr>
          </w:p>
        </w:tc>
        <w:tc>
          <w:tcPr>
            <w:tcW w:w="4988" w:type="dxa"/>
          </w:tcPr>
          <w:p w14:paraId="7A2B736D" w14:textId="77777777" w:rsidR="00A720EB" w:rsidRDefault="0030286B">
            <w:pPr>
              <w:pStyle w:val="TableParagraph"/>
              <w:spacing w:before="92"/>
              <w:rPr>
                <w:rFonts w:ascii="Cambria"/>
                <w:sz w:val="21"/>
              </w:rPr>
            </w:pPr>
            <w:r>
              <w:rPr>
                <w:rFonts w:ascii="Cambria"/>
                <w:color w:val="333333"/>
                <w:w w:val="110"/>
                <w:sz w:val="21"/>
              </w:rPr>
              <w:t>Deserializer class for keys.</w:t>
            </w:r>
          </w:p>
        </w:tc>
      </w:tr>
      <w:tr w:rsidR="00A720EB" w14:paraId="03D88024" w14:textId="77777777">
        <w:trPr>
          <w:trHeight w:val="741"/>
        </w:trPr>
        <w:tc>
          <w:tcPr>
            <w:tcW w:w="2494" w:type="dxa"/>
          </w:tcPr>
          <w:p w14:paraId="1C72D66D"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max-poll-records</w:t>
            </w:r>
          </w:p>
        </w:tc>
        <w:tc>
          <w:tcPr>
            <w:tcW w:w="2494" w:type="dxa"/>
          </w:tcPr>
          <w:p w14:paraId="7C98D8C1" w14:textId="77777777" w:rsidR="00A720EB" w:rsidRDefault="00A720EB">
            <w:pPr>
              <w:pStyle w:val="TableParagraph"/>
              <w:spacing w:before="0"/>
              <w:ind w:left="0"/>
              <w:rPr>
                <w:rFonts w:ascii="Times New Roman"/>
                <w:sz w:val="20"/>
              </w:rPr>
            </w:pPr>
          </w:p>
        </w:tc>
        <w:tc>
          <w:tcPr>
            <w:tcW w:w="4988" w:type="dxa"/>
          </w:tcPr>
          <w:p w14:paraId="0EC0570E" w14:textId="77777777" w:rsidR="00A720EB" w:rsidRDefault="0030286B">
            <w:pPr>
              <w:pStyle w:val="TableParagraph"/>
              <w:spacing w:before="28" w:line="310" w:lineRule="atLeast"/>
              <w:ind w:right="372"/>
              <w:rPr>
                <w:rFonts w:ascii="Cambria"/>
                <w:sz w:val="21"/>
              </w:rPr>
            </w:pPr>
            <w:r>
              <w:rPr>
                <w:rFonts w:ascii="Cambria"/>
                <w:color w:val="333333"/>
                <w:w w:val="110"/>
                <w:sz w:val="21"/>
              </w:rPr>
              <w:t xml:space="preserve">Maximum number of records returned in a single call to </w:t>
            </w:r>
            <w:proofErr w:type="gramStart"/>
            <w:r>
              <w:rPr>
                <w:rFonts w:ascii="Cambria"/>
                <w:color w:val="333333"/>
                <w:w w:val="110"/>
                <w:sz w:val="21"/>
              </w:rPr>
              <w:t>poll(</w:t>
            </w:r>
            <w:proofErr w:type="gramEnd"/>
            <w:r>
              <w:rPr>
                <w:rFonts w:ascii="Cambria"/>
                <w:color w:val="333333"/>
                <w:w w:val="110"/>
                <w:sz w:val="21"/>
              </w:rPr>
              <w:t>).</w:t>
            </w:r>
          </w:p>
        </w:tc>
      </w:tr>
      <w:tr w:rsidR="00A720EB" w14:paraId="0DBFBC4B" w14:textId="77777777">
        <w:trPr>
          <w:trHeight w:val="741"/>
        </w:trPr>
        <w:tc>
          <w:tcPr>
            <w:tcW w:w="2494" w:type="dxa"/>
          </w:tcPr>
          <w:p w14:paraId="23B8A691"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 xml:space="preserve">.consumer. </w:t>
            </w:r>
            <w:proofErr w:type="gramStart"/>
            <w:r>
              <w:rPr>
                <w:color w:val="B02045"/>
                <w:sz w:val="21"/>
              </w:rPr>
              <w:t>properties.*</w:t>
            </w:r>
            <w:proofErr w:type="gramEnd"/>
          </w:p>
        </w:tc>
        <w:tc>
          <w:tcPr>
            <w:tcW w:w="2494" w:type="dxa"/>
          </w:tcPr>
          <w:p w14:paraId="7DDAD912" w14:textId="77777777" w:rsidR="00A720EB" w:rsidRDefault="00A720EB">
            <w:pPr>
              <w:pStyle w:val="TableParagraph"/>
              <w:spacing w:before="0"/>
              <w:ind w:left="0"/>
              <w:rPr>
                <w:rFonts w:ascii="Times New Roman"/>
                <w:sz w:val="20"/>
              </w:rPr>
            </w:pPr>
          </w:p>
        </w:tc>
        <w:tc>
          <w:tcPr>
            <w:tcW w:w="4988" w:type="dxa"/>
          </w:tcPr>
          <w:p w14:paraId="4FC683EB" w14:textId="77777777" w:rsidR="00A720EB" w:rsidRDefault="0030286B">
            <w:pPr>
              <w:pStyle w:val="TableParagraph"/>
              <w:spacing w:before="28" w:line="310" w:lineRule="atLeast"/>
              <w:rPr>
                <w:rFonts w:ascii="Cambria"/>
                <w:sz w:val="21"/>
              </w:rPr>
            </w:pPr>
            <w:r>
              <w:rPr>
                <w:rFonts w:ascii="Cambria"/>
                <w:color w:val="333333"/>
                <w:w w:val="110"/>
                <w:sz w:val="21"/>
              </w:rPr>
              <w:t>Additional consumer-specific properties used to configure the client.</w:t>
            </w:r>
          </w:p>
        </w:tc>
      </w:tr>
      <w:tr w:rsidR="00A720EB" w14:paraId="189BD3AD" w14:textId="77777777">
        <w:trPr>
          <w:trHeight w:val="741"/>
        </w:trPr>
        <w:tc>
          <w:tcPr>
            <w:tcW w:w="2494" w:type="dxa"/>
          </w:tcPr>
          <w:p w14:paraId="0FA74EA2"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 xml:space="preserve">.consumer. </w:t>
            </w:r>
            <w:proofErr w:type="gramStart"/>
            <w:r>
              <w:rPr>
                <w:color w:val="B02045"/>
                <w:sz w:val="21"/>
              </w:rPr>
              <w:t>security.protocol</w:t>
            </w:r>
            <w:proofErr w:type="gramEnd"/>
          </w:p>
        </w:tc>
        <w:tc>
          <w:tcPr>
            <w:tcW w:w="2494" w:type="dxa"/>
          </w:tcPr>
          <w:p w14:paraId="208057F9" w14:textId="77777777" w:rsidR="00A720EB" w:rsidRDefault="00A720EB">
            <w:pPr>
              <w:pStyle w:val="TableParagraph"/>
              <w:spacing w:before="0"/>
              <w:ind w:left="0"/>
              <w:rPr>
                <w:rFonts w:ascii="Times New Roman"/>
                <w:sz w:val="20"/>
              </w:rPr>
            </w:pPr>
          </w:p>
        </w:tc>
        <w:tc>
          <w:tcPr>
            <w:tcW w:w="4988" w:type="dxa"/>
          </w:tcPr>
          <w:p w14:paraId="76BBAAFE" w14:textId="77777777" w:rsidR="00A720EB" w:rsidRDefault="0030286B">
            <w:pPr>
              <w:pStyle w:val="TableParagraph"/>
              <w:spacing w:before="28" w:line="310" w:lineRule="atLeast"/>
              <w:rPr>
                <w:rFonts w:ascii="Cambria"/>
                <w:sz w:val="21"/>
              </w:rPr>
            </w:pPr>
            <w:r>
              <w:rPr>
                <w:rFonts w:ascii="Cambria"/>
                <w:color w:val="333333"/>
                <w:w w:val="110"/>
                <w:sz w:val="21"/>
              </w:rPr>
              <w:t>Security protocol used to communicate with brokers.</w:t>
            </w:r>
          </w:p>
        </w:tc>
      </w:tr>
      <w:tr w:rsidR="00A720EB" w14:paraId="52D40068" w14:textId="77777777">
        <w:trPr>
          <w:trHeight w:val="627"/>
        </w:trPr>
        <w:tc>
          <w:tcPr>
            <w:tcW w:w="2494" w:type="dxa"/>
          </w:tcPr>
          <w:p w14:paraId="2D146200"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ssl.key-password</w:t>
            </w:r>
          </w:p>
        </w:tc>
        <w:tc>
          <w:tcPr>
            <w:tcW w:w="2494" w:type="dxa"/>
          </w:tcPr>
          <w:p w14:paraId="02005ECA" w14:textId="77777777" w:rsidR="00A720EB" w:rsidRDefault="00A720EB">
            <w:pPr>
              <w:pStyle w:val="TableParagraph"/>
              <w:spacing w:before="0"/>
              <w:ind w:left="0"/>
              <w:rPr>
                <w:rFonts w:ascii="Times New Roman"/>
                <w:sz w:val="20"/>
              </w:rPr>
            </w:pPr>
          </w:p>
        </w:tc>
        <w:tc>
          <w:tcPr>
            <w:tcW w:w="4988" w:type="dxa"/>
          </w:tcPr>
          <w:p w14:paraId="6341151E" w14:textId="77777777" w:rsidR="00A720EB" w:rsidRDefault="0030286B">
            <w:pPr>
              <w:pStyle w:val="TableParagraph"/>
              <w:spacing w:before="92"/>
              <w:rPr>
                <w:rFonts w:ascii="Cambria"/>
                <w:sz w:val="21"/>
              </w:rPr>
            </w:pPr>
            <w:r>
              <w:rPr>
                <w:rFonts w:ascii="Cambria"/>
                <w:color w:val="333333"/>
                <w:w w:val="110"/>
                <w:sz w:val="21"/>
              </w:rPr>
              <w:t>Password of the private key in the key store file.</w:t>
            </w:r>
          </w:p>
        </w:tc>
      </w:tr>
      <w:tr w:rsidR="00A720EB" w14:paraId="196D4B17" w14:textId="77777777">
        <w:trPr>
          <w:trHeight w:val="627"/>
        </w:trPr>
        <w:tc>
          <w:tcPr>
            <w:tcW w:w="2494" w:type="dxa"/>
          </w:tcPr>
          <w:p w14:paraId="2A2084D4"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ssl.key-store-location</w:t>
            </w:r>
          </w:p>
        </w:tc>
        <w:tc>
          <w:tcPr>
            <w:tcW w:w="2494" w:type="dxa"/>
          </w:tcPr>
          <w:p w14:paraId="3C9473D6" w14:textId="77777777" w:rsidR="00A720EB" w:rsidRDefault="00A720EB">
            <w:pPr>
              <w:pStyle w:val="TableParagraph"/>
              <w:spacing w:before="0"/>
              <w:ind w:left="0"/>
              <w:rPr>
                <w:rFonts w:ascii="Times New Roman"/>
                <w:sz w:val="20"/>
              </w:rPr>
            </w:pPr>
          </w:p>
        </w:tc>
        <w:tc>
          <w:tcPr>
            <w:tcW w:w="4988" w:type="dxa"/>
          </w:tcPr>
          <w:p w14:paraId="262CA2C6" w14:textId="77777777" w:rsidR="00A720EB" w:rsidRDefault="0030286B">
            <w:pPr>
              <w:pStyle w:val="TableParagraph"/>
              <w:spacing w:before="92"/>
              <w:rPr>
                <w:rFonts w:ascii="Cambria"/>
                <w:sz w:val="21"/>
              </w:rPr>
            </w:pPr>
            <w:r>
              <w:rPr>
                <w:rFonts w:ascii="Cambria"/>
                <w:color w:val="333333"/>
                <w:w w:val="110"/>
                <w:sz w:val="21"/>
              </w:rPr>
              <w:t>Location of the key store file.</w:t>
            </w:r>
          </w:p>
        </w:tc>
      </w:tr>
      <w:tr w:rsidR="00A720EB" w14:paraId="11DF8FB1" w14:textId="77777777">
        <w:trPr>
          <w:trHeight w:val="627"/>
        </w:trPr>
        <w:tc>
          <w:tcPr>
            <w:tcW w:w="2494" w:type="dxa"/>
          </w:tcPr>
          <w:p w14:paraId="10E67DEF"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ssl.key-store-password</w:t>
            </w:r>
          </w:p>
        </w:tc>
        <w:tc>
          <w:tcPr>
            <w:tcW w:w="2494" w:type="dxa"/>
          </w:tcPr>
          <w:p w14:paraId="757A05B9" w14:textId="77777777" w:rsidR="00A720EB" w:rsidRDefault="00A720EB">
            <w:pPr>
              <w:pStyle w:val="TableParagraph"/>
              <w:spacing w:before="0"/>
              <w:ind w:left="0"/>
              <w:rPr>
                <w:rFonts w:ascii="Times New Roman"/>
                <w:sz w:val="20"/>
              </w:rPr>
            </w:pPr>
          </w:p>
        </w:tc>
        <w:tc>
          <w:tcPr>
            <w:tcW w:w="4988" w:type="dxa"/>
          </w:tcPr>
          <w:p w14:paraId="653A8A7B" w14:textId="77777777" w:rsidR="00A720EB" w:rsidRDefault="0030286B">
            <w:pPr>
              <w:pStyle w:val="TableParagraph"/>
              <w:spacing w:before="92"/>
              <w:rPr>
                <w:rFonts w:ascii="Cambria"/>
                <w:sz w:val="21"/>
              </w:rPr>
            </w:pPr>
            <w:r>
              <w:rPr>
                <w:rFonts w:ascii="Cambria"/>
                <w:color w:val="333333"/>
                <w:w w:val="110"/>
                <w:sz w:val="21"/>
              </w:rPr>
              <w:t>Store password for the key store file.</w:t>
            </w:r>
          </w:p>
        </w:tc>
      </w:tr>
      <w:tr w:rsidR="00A720EB" w14:paraId="16F7771F" w14:textId="77777777">
        <w:trPr>
          <w:trHeight w:val="627"/>
        </w:trPr>
        <w:tc>
          <w:tcPr>
            <w:tcW w:w="2494" w:type="dxa"/>
          </w:tcPr>
          <w:p w14:paraId="48982835"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ssl.key-store-type</w:t>
            </w:r>
          </w:p>
        </w:tc>
        <w:tc>
          <w:tcPr>
            <w:tcW w:w="2494" w:type="dxa"/>
          </w:tcPr>
          <w:p w14:paraId="104B47DB" w14:textId="77777777" w:rsidR="00A720EB" w:rsidRDefault="00A720EB">
            <w:pPr>
              <w:pStyle w:val="TableParagraph"/>
              <w:spacing w:before="0"/>
              <w:ind w:left="0"/>
              <w:rPr>
                <w:rFonts w:ascii="Times New Roman"/>
                <w:sz w:val="20"/>
              </w:rPr>
            </w:pPr>
          </w:p>
        </w:tc>
        <w:tc>
          <w:tcPr>
            <w:tcW w:w="4988" w:type="dxa"/>
          </w:tcPr>
          <w:p w14:paraId="331064CA" w14:textId="77777777" w:rsidR="00A720EB" w:rsidRDefault="0030286B">
            <w:pPr>
              <w:pStyle w:val="TableParagraph"/>
              <w:spacing w:before="92"/>
              <w:rPr>
                <w:rFonts w:ascii="Cambria"/>
                <w:sz w:val="21"/>
              </w:rPr>
            </w:pPr>
            <w:r>
              <w:rPr>
                <w:rFonts w:ascii="Cambria"/>
                <w:color w:val="333333"/>
                <w:w w:val="110"/>
                <w:sz w:val="21"/>
              </w:rPr>
              <w:t>Type of the key store.</w:t>
            </w:r>
          </w:p>
        </w:tc>
      </w:tr>
      <w:tr w:rsidR="00A720EB" w14:paraId="24010E6C" w14:textId="77777777">
        <w:trPr>
          <w:trHeight w:val="627"/>
        </w:trPr>
        <w:tc>
          <w:tcPr>
            <w:tcW w:w="2494" w:type="dxa"/>
          </w:tcPr>
          <w:p w14:paraId="2EA19CA8"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 xml:space="preserve">.consumer. </w:t>
            </w:r>
            <w:proofErr w:type="gramStart"/>
            <w:r>
              <w:rPr>
                <w:color w:val="B02045"/>
                <w:sz w:val="21"/>
              </w:rPr>
              <w:t>ssl.protocol</w:t>
            </w:r>
            <w:proofErr w:type="gramEnd"/>
          </w:p>
        </w:tc>
        <w:tc>
          <w:tcPr>
            <w:tcW w:w="2494" w:type="dxa"/>
          </w:tcPr>
          <w:p w14:paraId="09039BF2" w14:textId="77777777" w:rsidR="00A720EB" w:rsidRDefault="00A720EB">
            <w:pPr>
              <w:pStyle w:val="TableParagraph"/>
              <w:spacing w:before="0"/>
              <w:ind w:left="0"/>
              <w:rPr>
                <w:rFonts w:ascii="Times New Roman"/>
                <w:sz w:val="20"/>
              </w:rPr>
            </w:pPr>
          </w:p>
        </w:tc>
        <w:tc>
          <w:tcPr>
            <w:tcW w:w="4988" w:type="dxa"/>
          </w:tcPr>
          <w:p w14:paraId="6A824E41" w14:textId="77777777" w:rsidR="00A720EB" w:rsidRDefault="0030286B">
            <w:pPr>
              <w:pStyle w:val="TableParagraph"/>
              <w:spacing w:before="92"/>
              <w:rPr>
                <w:rFonts w:ascii="Cambria"/>
                <w:sz w:val="21"/>
              </w:rPr>
            </w:pPr>
            <w:r>
              <w:rPr>
                <w:rFonts w:ascii="Cambria"/>
                <w:color w:val="333333"/>
                <w:w w:val="110"/>
                <w:sz w:val="21"/>
              </w:rPr>
              <w:t>SSL protocol to use.</w:t>
            </w:r>
          </w:p>
        </w:tc>
      </w:tr>
      <w:tr w:rsidR="00A720EB" w14:paraId="119200C3" w14:textId="77777777">
        <w:trPr>
          <w:trHeight w:val="886"/>
        </w:trPr>
        <w:tc>
          <w:tcPr>
            <w:tcW w:w="2494" w:type="dxa"/>
          </w:tcPr>
          <w:p w14:paraId="579313E8"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 xml:space="preserve">.consumer. </w:t>
            </w:r>
            <w:proofErr w:type="gramStart"/>
            <w:r>
              <w:rPr>
                <w:color w:val="B02045"/>
                <w:sz w:val="21"/>
              </w:rPr>
              <w:t>ssl.trust</w:t>
            </w:r>
            <w:proofErr w:type="gramEnd"/>
            <w:r>
              <w:rPr>
                <w:color w:val="B02045"/>
                <w:sz w:val="21"/>
              </w:rPr>
              <w:t>-store- location</w:t>
            </w:r>
          </w:p>
        </w:tc>
        <w:tc>
          <w:tcPr>
            <w:tcW w:w="2494" w:type="dxa"/>
          </w:tcPr>
          <w:p w14:paraId="406FA0D8" w14:textId="77777777" w:rsidR="00A720EB" w:rsidRDefault="00A720EB">
            <w:pPr>
              <w:pStyle w:val="TableParagraph"/>
              <w:spacing w:before="0"/>
              <w:ind w:left="0"/>
              <w:rPr>
                <w:rFonts w:ascii="Times New Roman"/>
                <w:sz w:val="20"/>
              </w:rPr>
            </w:pPr>
          </w:p>
        </w:tc>
        <w:tc>
          <w:tcPr>
            <w:tcW w:w="4988" w:type="dxa"/>
          </w:tcPr>
          <w:p w14:paraId="157A5816" w14:textId="77777777" w:rsidR="00A720EB" w:rsidRDefault="0030286B">
            <w:pPr>
              <w:pStyle w:val="TableParagraph"/>
              <w:spacing w:before="92"/>
              <w:rPr>
                <w:rFonts w:ascii="Cambria"/>
                <w:sz w:val="21"/>
              </w:rPr>
            </w:pPr>
            <w:r>
              <w:rPr>
                <w:rFonts w:ascii="Cambria"/>
                <w:color w:val="333333"/>
                <w:w w:val="110"/>
                <w:sz w:val="21"/>
              </w:rPr>
              <w:t>Location of the trust store file.</w:t>
            </w:r>
          </w:p>
        </w:tc>
      </w:tr>
      <w:tr w:rsidR="00A720EB" w14:paraId="53F8F16C" w14:textId="77777777">
        <w:trPr>
          <w:trHeight w:val="886"/>
        </w:trPr>
        <w:tc>
          <w:tcPr>
            <w:tcW w:w="2494" w:type="dxa"/>
          </w:tcPr>
          <w:p w14:paraId="2933F83B"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 xml:space="preserve">.consumer. </w:t>
            </w:r>
            <w:proofErr w:type="gramStart"/>
            <w:r>
              <w:rPr>
                <w:color w:val="B02045"/>
                <w:sz w:val="21"/>
              </w:rPr>
              <w:t>ssl.trust</w:t>
            </w:r>
            <w:proofErr w:type="gramEnd"/>
            <w:r>
              <w:rPr>
                <w:color w:val="B02045"/>
                <w:sz w:val="21"/>
              </w:rPr>
              <w:t>-store- password</w:t>
            </w:r>
          </w:p>
        </w:tc>
        <w:tc>
          <w:tcPr>
            <w:tcW w:w="2494" w:type="dxa"/>
          </w:tcPr>
          <w:p w14:paraId="49C6BC89" w14:textId="77777777" w:rsidR="00A720EB" w:rsidRDefault="00A720EB">
            <w:pPr>
              <w:pStyle w:val="TableParagraph"/>
              <w:spacing w:before="0"/>
              <w:ind w:left="0"/>
              <w:rPr>
                <w:rFonts w:ascii="Times New Roman"/>
                <w:sz w:val="20"/>
              </w:rPr>
            </w:pPr>
          </w:p>
        </w:tc>
        <w:tc>
          <w:tcPr>
            <w:tcW w:w="4988" w:type="dxa"/>
          </w:tcPr>
          <w:p w14:paraId="683BAA16" w14:textId="77777777" w:rsidR="00A720EB" w:rsidRDefault="0030286B">
            <w:pPr>
              <w:pStyle w:val="TableParagraph"/>
              <w:spacing w:before="92"/>
              <w:rPr>
                <w:rFonts w:ascii="Cambria"/>
                <w:sz w:val="21"/>
              </w:rPr>
            </w:pPr>
            <w:r>
              <w:rPr>
                <w:rFonts w:ascii="Cambria"/>
                <w:color w:val="333333"/>
                <w:w w:val="110"/>
                <w:sz w:val="21"/>
              </w:rPr>
              <w:t>Store password for the trust store file.</w:t>
            </w:r>
          </w:p>
        </w:tc>
      </w:tr>
      <w:tr w:rsidR="00A720EB" w14:paraId="015BF5D4" w14:textId="77777777">
        <w:trPr>
          <w:trHeight w:val="627"/>
        </w:trPr>
        <w:tc>
          <w:tcPr>
            <w:tcW w:w="2494" w:type="dxa"/>
          </w:tcPr>
          <w:p w14:paraId="10529780"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 xml:space="preserve">.consumer. </w:t>
            </w:r>
            <w:proofErr w:type="gramStart"/>
            <w:r>
              <w:rPr>
                <w:color w:val="B02045"/>
                <w:sz w:val="21"/>
              </w:rPr>
              <w:t>ssl.trust</w:t>
            </w:r>
            <w:proofErr w:type="gramEnd"/>
            <w:r>
              <w:rPr>
                <w:color w:val="B02045"/>
                <w:sz w:val="21"/>
              </w:rPr>
              <w:t>-store-type</w:t>
            </w:r>
          </w:p>
        </w:tc>
        <w:tc>
          <w:tcPr>
            <w:tcW w:w="2494" w:type="dxa"/>
          </w:tcPr>
          <w:p w14:paraId="4B8AC61E" w14:textId="77777777" w:rsidR="00A720EB" w:rsidRDefault="00A720EB">
            <w:pPr>
              <w:pStyle w:val="TableParagraph"/>
              <w:spacing w:before="0"/>
              <w:ind w:left="0"/>
              <w:rPr>
                <w:rFonts w:ascii="Times New Roman"/>
                <w:sz w:val="20"/>
              </w:rPr>
            </w:pPr>
          </w:p>
        </w:tc>
        <w:tc>
          <w:tcPr>
            <w:tcW w:w="4988" w:type="dxa"/>
          </w:tcPr>
          <w:p w14:paraId="25DF44B7" w14:textId="77777777" w:rsidR="00A720EB" w:rsidRDefault="0030286B">
            <w:pPr>
              <w:pStyle w:val="TableParagraph"/>
              <w:spacing w:before="92"/>
              <w:rPr>
                <w:rFonts w:ascii="Cambria"/>
                <w:sz w:val="21"/>
              </w:rPr>
            </w:pPr>
            <w:r>
              <w:rPr>
                <w:rFonts w:ascii="Cambria"/>
                <w:color w:val="333333"/>
                <w:w w:val="110"/>
                <w:sz w:val="21"/>
              </w:rPr>
              <w:t>Type of the trust store.</w:t>
            </w:r>
          </w:p>
        </w:tc>
      </w:tr>
      <w:tr w:rsidR="00A720EB" w14:paraId="5567FBB7" w14:textId="77777777">
        <w:trPr>
          <w:trHeight w:val="627"/>
        </w:trPr>
        <w:tc>
          <w:tcPr>
            <w:tcW w:w="2494" w:type="dxa"/>
          </w:tcPr>
          <w:p w14:paraId="3FF27539"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.consumer. value-deserializer</w:t>
            </w:r>
          </w:p>
        </w:tc>
        <w:tc>
          <w:tcPr>
            <w:tcW w:w="2494" w:type="dxa"/>
          </w:tcPr>
          <w:p w14:paraId="5387CFD1" w14:textId="77777777" w:rsidR="00A720EB" w:rsidRDefault="00A720EB">
            <w:pPr>
              <w:pStyle w:val="TableParagraph"/>
              <w:spacing w:before="0"/>
              <w:ind w:left="0"/>
              <w:rPr>
                <w:rFonts w:ascii="Times New Roman"/>
                <w:sz w:val="20"/>
              </w:rPr>
            </w:pPr>
          </w:p>
        </w:tc>
        <w:tc>
          <w:tcPr>
            <w:tcW w:w="4988" w:type="dxa"/>
          </w:tcPr>
          <w:p w14:paraId="1C3C6E81" w14:textId="77777777" w:rsidR="00A720EB" w:rsidRDefault="0030286B">
            <w:pPr>
              <w:pStyle w:val="TableParagraph"/>
              <w:spacing w:before="92"/>
              <w:rPr>
                <w:rFonts w:ascii="Cambria"/>
                <w:sz w:val="21"/>
              </w:rPr>
            </w:pPr>
            <w:r>
              <w:rPr>
                <w:rFonts w:ascii="Cambria"/>
                <w:color w:val="333333"/>
                <w:w w:val="110"/>
                <w:sz w:val="21"/>
              </w:rPr>
              <w:t>Deserializer class for values.</w:t>
            </w:r>
          </w:p>
        </w:tc>
      </w:tr>
      <w:tr w:rsidR="00A720EB" w14:paraId="67F282CF" w14:textId="77777777">
        <w:trPr>
          <w:trHeight w:val="627"/>
        </w:trPr>
        <w:tc>
          <w:tcPr>
            <w:tcW w:w="2494" w:type="dxa"/>
          </w:tcPr>
          <w:p w14:paraId="113085CF"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.jaas.cont rol-flag</w:t>
            </w:r>
          </w:p>
        </w:tc>
        <w:tc>
          <w:tcPr>
            <w:tcW w:w="2494" w:type="dxa"/>
          </w:tcPr>
          <w:p w14:paraId="0D8A0003" w14:textId="77777777" w:rsidR="00A720EB" w:rsidRDefault="0030286B">
            <w:pPr>
              <w:pStyle w:val="TableParagraph"/>
              <w:spacing w:before="37"/>
              <w:rPr>
                <w:sz w:val="21"/>
              </w:rPr>
            </w:pPr>
            <w:r>
              <w:rPr>
                <w:color w:val="B02045"/>
                <w:sz w:val="21"/>
              </w:rPr>
              <w:t>required</w:t>
            </w:r>
          </w:p>
        </w:tc>
        <w:tc>
          <w:tcPr>
            <w:tcW w:w="4988" w:type="dxa"/>
          </w:tcPr>
          <w:p w14:paraId="022F3435" w14:textId="77777777" w:rsidR="00A720EB" w:rsidRDefault="0030286B">
            <w:pPr>
              <w:pStyle w:val="TableParagraph"/>
              <w:spacing w:before="92"/>
              <w:rPr>
                <w:rFonts w:ascii="Cambria"/>
                <w:sz w:val="21"/>
              </w:rPr>
            </w:pPr>
            <w:r>
              <w:rPr>
                <w:rFonts w:ascii="Cambria"/>
                <w:color w:val="333333"/>
                <w:w w:val="115"/>
                <w:sz w:val="21"/>
              </w:rPr>
              <w:t>Control flag for login configuration.</w:t>
            </w:r>
          </w:p>
        </w:tc>
      </w:tr>
      <w:tr w:rsidR="00A720EB" w14:paraId="4207B2A6" w14:textId="77777777">
        <w:trPr>
          <w:trHeight w:val="627"/>
        </w:trPr>
        <w:tc>
          <w:tcPr>
            <w:tcW w:w="2494" w:type="dxa"/>
          </w:tcPr>
          <w:p w14:paraId="5D9129D3"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.jaas.enab led</w:t>
            </w:r>
          </w:p>
        </w:tc>
        <w:tc>
          <w:tcPr>
            <w:tcW w:w="2494" w:type="dxa"/>
          </w:tcPr>
          <w:p w14:paraId="24FE6057" w14:textId="77777777" w:rsidR="00A720EB" w:rsidRDefault="0030286B">
            <w:pPr>
              <w:pStyle w:val="TableParagraph"/>
              <w:spacing w:before="37"/>
              <w:rPr>
                <w:sz w:val="21"/>
              </w:rPr>
            </w:pPr>
            <w:r>
              <w:rPr>
                <w:color w:val="B02045"/>
                <w:sz w:val="21"/>
              </w:rPr>
              <w:t>false</w:t>
            </w:r>
          </w:p>
        </w:tc>
        <w:tc>
          <w:tcPr>
            <w:tcW w:w="4988" w:type="dxa"/>
          </w:tcPr>
          <w:p w14:paraId="4DC2B788" w14:textId="77777777" w:rsidR="00A720EB" w:rsidRDefault="0030286B">
            <w:pPr>
              <w:pStyle w:val="TableParagraph"/>
              <w:spacing w:before="92"/>
              <w:rPr>
                <w:rFonts w:ascii="Cambria"/>
                <w:sz w:val="21"/>
              </w:rPr>
            </w:pPr>
            <w:r>
              <w:rPr>
                <w:rFonts w:ascii="Cambria"/>
                <w:color w:val="333333"/>
                <w:w w:val="110"/>
                <w:sz w:val="21"/>
              </w:rPr>
              <w:t>Whether to enable JAAS configuration.</w:t>
            </w:r>
          </w:p>
        </w:tc>
      </w:tr>
      <w:tr w:rsidR="00A720EB" w14:paraId="342B0F6C" w14:textId="77777777">
        <w:trPr>
          <w:trHeight w:val="627"/>
        </w:trPr>
        <w:tc>
          <w:tcPr>
            <w:tcW w:w="2494" w:type="dxa"/>
          </w:tcPr>
          <w:p w14:paraId="3C5D66C4"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.jaas.logi n-module</w:t>
            </w:r>
          </w:p>
        </w:tc>
        <w:tc>
          <w:tcPr>
            <w:tcW w:w="2494" w:type="dxa"/>
          </w:tcPr>
          <w:p w14:paraId="663C4C96" w14:textId="77777777" w:rsidR="00A720EB" w:rsidRDefault="0030286B">
            <w:pPr>
              <w:pStyle w:val="TableParagraph"/>
              <w:spacing w:before="46" w:line="230" w:lineRule="auto"/>
              <w:ind w:right="94"/>
              <w:rPr>
                <w:sz w:val="21"/>
              </w:rPr>
            </w:pPr>
            <w:proofErr w:type="gramStart"/>
            <w:r>
              <w:rPr>
                <w:color w:val="B02045"/>
                <w:sz w:val="21"/>
              </w:rPr>
              <w:t>com.sun.security.auth.</w:t>
            </w:r>
            <w:proofErr w:type="gramEnd"/>
            <w:r>
              <w:rPr>
                <w:color w:val="B02045"/>
                <w:sz w:val="21"/>
              </w:rPr>
              <w:t xml:space="preserve"> module.Krb5LoginModule</w:t>
            </w:r>
          </w:p>
        </w:tc>
        <w:tc>
          <w:tcPr>
            <w:tcW w:w="4988" w:type="dxa"/>
          </w:tcPr>
          <w:p w14:paraId="3252F919" w14:textId="77777777" w:rsidR="00A720EB" w:rsidRDefault="0030286B">
            <w:pPr>
              <w:pStyle w:val="TableParagraph"/>
              <w:spacing w:before="92"/>
              <w:rPr>
                <w:rFonts w:ascii="Cambria"/>
                <w:sz w:val="21"/>
              </w:rPr>
            </w:pPr>
            <w:r>
              <w:rPr>
                <w:rFonts w:ascii="Cambria"/>
                <w:color w:val="333333"/>
                <w:w w:val="115"/>
                <w:sz w:val="21"/>
              </w:rPr>
              <w:t>Login module.</w:t>
            </w:r>
          </w:p>
        </w:tc>
      </w:tr>
      <w:tr w:rsidR="00A720EB" w14:paraId="6228539E" w14:textId="77777777">
        <w:trPr>
          <w:trHeight w:val="627"/>
        </w:trPr>
        <w:tc>
          <w:tcPr>
            <w:tcW w:w="2494" w:type="dxa"/>
          </w:tcPr>
          <w:p w14:paraId="72FB65D1"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.jaas.opti ons.*</w:t>
            </w:r>
          </w:p>
        </w:tc>
        <w:tc>
          <w:tcPr>
            <w:tcW w:w="2494" w:type="dxa"/>
          </w:tcPr>
          <w:p w14:paraId="317DFCFC" w14:textId="77777777" w:rsidR="00A720EB" w:rsidRDefault="00A720EB">
            <w:pPr>
              <w:pStyle w:val="TableParagraph"/>
              <w:spacing w:before="0"/>
              <w:ind w:left="0"/>
              <w:rPr>
                <w:rFonts w:ascii="Times New Roman"/>
                <w:sz w:val="20"/>
              </w:rPr>
            </w:pPr>
          </w:p>
        </w:tc>
        <w:tc>
          <w:tcPr>
            <w:tcW w:w="4988" w:type="dxa"/>
          </w:tcPr>
          <w:p w14:paraId="495F2557" w14:textId="77777777" w:rsidR="00A720EB" w:rsidRDefault="0030286B">
            <w:pPr>
              <w:pStyle w:val="TableParagraph"/>
              <w:spacing w:before="92"/>
              <w:rPr>
                <w:rFonts w:ascii="Cambria"/>
                <w:sz w:val="21"/>
              </w:rPr>
            </w:pPr>
            <w:r>
              <w:rPr>
                <w:rFonts w:ascii="Cambria"/>
                <w:color w:val="333333"/>
                <w:w w:val="110"/>
                <w:sz w:val="21"/>
              </w:rPr>
              <w:t>Additional JAAS options.</w:t>
            </w:r>
          </w:p>
        </w:tc>
      </w:tr>
      <w:tr w:rsidR="00A720EB" w14:paraId="2B91DCB6" w14:textId="77777777">
        <w:trPr>
          <w:trHeight w:val="741"/>
        </w:trPr>
        <w:tc>
          <w:tcPr>
            <w:tcW w:w="2494" w:type="dxa"/>
          </w:tcPr>
          <w:p w14:paraId="401CCC82" w14:textId="77777777" w:rsidR="00A720EB" w:rsidRDefault="0030286B">
            <w:pPr>
              <w:pStyle w:val="TableParagraph"/>
              <w:spacing w:before="46" w:line="230" w:lineRule="auto"/>
              <w:ind w:right="113"/>
              <w:rPr>
                <w:sz w:val="21"/>
              </w:rPr>
            </w:pPr>
            <w:proofErr w:type="gramStart"/>
            <w:r>
              <w:rPr>
                <w:color w:val="B02045"/>
                <w:sz w:val="21"/>
              </w:rPr>
              <w:lastRenderedPageBreak/>
              <w:t>spring.kafka</w:t>
            </w:r>
            <w:proofErr w:type="gramEnd"/>
            <w:r>
              <w:rPr>
                <w:color w:val="B02045"/>
                <w:sz w:val="21"/>
              </w:rPr>
              <w:t>.listener. ack-count</w:t>
            </w:r>
          </w:p>
        </w:tc>
        <w:tc>
          <w:tcPr>
            <w:tcW w:w="2494" w:type="dxa"/>
          </w:tcPr>
          <w:p w14:paraId="2BDE7796" w14:textId="77777777" w:rsidR="00A720EB" w:rsidRDefault="00A720EB">
            <w:pPr>
              <w:pStyle w:val="TableParagraph"/>
              <w:spacing w:before="0"/>
              <w:ind w:left="0"/>
              <w:rPr>
                <w:rFonts w:ascii="Times New Roman"/>
                <w:sz w:val="20"/>
              </w:rPr>
            </w:pPr>
          </w:p>
        </w:tc>
        <w:tc>
          <w:tcPr>
            <w:tcW w:w="4988" w:type="dxa"/>
          </w:tcPr>
          <w:p w14:paraId="109E7F99" w14:textId="77777777" w:rsidR="00A720EB" w:rsidRDefault="0030286B">
            <w:pPr>
              <w:pStyle w:val="TableParagraph"/>
              <w:spacing w:before="28" w:line="310" w:lineRule="atLeast"/>
              <w:ind w:right="218"/>
              <w:rPr>
                <w:rFonts w:ascii="Cambria"/>
                <w:sz w:val="21"/>
              </w:rPr>
            </w:pPr>
            <w:r>
              <w:rPr>
                <w:rFonts w:ascii="Cambria"/>
                <w:color w:val="333333"/>
                <w:w w:val="110"/>
                <w:sz w:val="21"/>
              </w:rPr>
              <w:t>Number of records between offset commits when ackMode is "COUNT" or "COUNT_TIME".</w:t>
            </w:r>
          </w:p>
        </w:tc>
      </w:tr>
      <w:tr w:rsidR="00A720EB" w14:paraId="4E4C306B" w14:textId="77777777">
        <w:trPr>
          <w:trHeight w:val="741"/>
        </w:trPr>
        <w:tc>
          <w:tcPr>
            <w:tcW w:w="2494" w:type="dxa"/>
          </w:tcPr>
          <w:p w14:paraId="15CCFA93"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.listener. ack-mode</w:t>
            </w:r>
          </w:p>
        </w:tc>
        <w:tc>
          <w:tcPr>
            <w:tcW w:w="2494" w:type="dxa"/>
          </w:tcPr>
          <w:p w14:paraId="73B5A5AD" w14:textId="77777777" w:rsidR="00A720EB" w:rsidRDefault="00A720EB">
            <w:pPr>
              <w:pStyle w:val="TableParagraph"/>
              <w:spacing w:before="0"/>
              <w:ind w:left="0"/>
              <w:rPr>
                <w:rFonts w:ascii="Times New Roman"/>
                <w:sz w:val="20"/>
              </w:rPr>
            </w:pPr>
          </w:p>
        </w:tc>
        <w:tc>
          <w:tcPr>
            <w:tcW w:w="4988" w:type="dxa"/>
          </w:tcPr>
          <w:p w14:paraId="1AA1DA9B" w14:textId="77777777" w:rsidR="00A720EB" w:rsidRDefault="0030286B">
            <w:pPr>
              <w:pStyle w:val="TableParagraph"/>
              <w:spacing w:before="28" w:line="310" w:lineRule="atLeast"/>
              <w:rPr>
                <w:rFonts w:ascii="Cambria"/>
                <w:sz w:val="21"/>
              </w:rPr>
            </w:pPr>
            <w:r>
              <w:rPr>
                <w:rFonts w:ascii="Cambria"/>
                <w:color w:val="333333"/>
                <w:w w:val="110"/>
                <w:sz w:val="21"/>
              </w:rPr>
              <w:t>Listener AckMode. See the spring-kafka documentation.</w:t>
            </w:r>
          </w:p>
        </w:tc>
      </w:tr>
    </w:tbl>
    <w:p w14:paraId="5BEA56FB"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D790351" w14:textId="77777777">
        <w:trPr>
          <w:trHeight w:val="415"/>
        </w:trPr>
        <w:tc>
          <w:tcPr>
            <w:tcW w:w="2494" w:type="dxa"/>
            <w:tcBorders>
              <w:bottom w:val="single" w:sz="12" w:space="0" w:color="DDDDDD"/>
            </w:tcBorders>
          </w:tcPr>
          <w:p w14:paraId="4817BA6B"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51576F8A"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25EE4B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A278370" w14:textId="77777777">
        <w:trPr>
          <w:trHeight w:val="731"/>
        </w:trPr>
        <w:tc>
          <w:tcPr>
            <w:tcW w:w="2494" w:type="dxa"/>
            <w:tcBorders>
              <w:top w:val="single" w:sz="12" w:space="0" w:color="DDDDDD"/>
            </w:tcBorders>
          </w:tcPr>
          <w:p w14:paraId="1681152B" w14:textId="77777777" w:rsidR="00A720EB" w:rsidRDefault="0030286B">
            <w:pPr>
              <w:pStyle w:val="TableParagraph"/>
              <w:spacing w:before="36" w:line="230" w:lineRule="auto"/>
              <w:ind w:right="113"/>
              <w:rPr>
                <w:sz w:val="21"/>
              </w:rPr>
            </w:pPr>
            <w:proofErr w:type="gramStart"/>
            <w:r>
              <w:rPr>
                <w:color w:val="B02045"/>
                <w:sz w:val="21"/>
              </w:rPr>
              <w:t>spring.kafka</w:t>
            </w:r>
            <w:proofErr w:type="gramEnd"/>
            <w:r>
              <w:rPr>
                <w:color w:val="B02045"/>
                <w:sz w:val="21"/>
              </w:rPr>
              <w:t>.listener. ack-time</w:t>
            </w:r>
          </w:p>
        </w:tc>
        <w:tc>
          <w:tcPr>
            <w:tcW w:w="2494" w:type="dxa"/>
            <w:tcBorders>
              <w:top w:val="single" w:sz="12" w:space="0" w:color="DDDDDD"/>
            </w:tcBorders>
          </w:tcPr>
          <w:p w14:paraId="7115C4D2"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6B2CA0F3" w14:textId="77777777" w:rsidR="00A720EB" w:rsidRDefault="0030286B">
            <w:pPr>
              <w:pStyle w:val="TableParagraph"/>
              <w:spacing w:before="18" w:line="310" w:lineRule="atLeast"/>
              <w:rPr>
                <w:rFonts w:ascii="Cambria"/>
                <w:sz w:val="21"/>
              </w:rPr>
            </w:pPr>
            <w:r>
              <w:rPr>
                <w:rFonts w:ascii="Cambria"/>
                <w:color w:val="333333"/>
                <w:w w:val="110"/>
                <w:sz w:val="21"/>
              </w:rPr>
              <w:t>Time between offset commits when ackMode is "TIME" or "COUNT_TIME".</w:t>
            </w:r>
          </w:p>
        </w:tc>
      </w:tr>
      <w:tr w:rsidR="00A720EB" w14:paraId="1C7115A3" w14:textId="77777777">
        <w:trPr>
          <w:trHeight w:val="741"/>
        </w:trPr>
        <w:tc>
          <w:tcPr>
            <w:tcW w:w="2494" w:type="dxa"/>
          </w:tcPr>
          <w:p w14:paraId="48EA2E96"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.listener. client-id</w:t>
            </w:r>
          </w:p>
        </w:tc>
        <w:tc>
          <w:tcPr>
            <w:tcW w:w="2494" w:type="dxa"/>
          </w:tcPr>
          <w:p w14:paraId="5B0A1498" w14:textId="77777777" w:rsidR="00A720EB" w:rsidRDefault="00A720EB">
            <w:pPr>
              <w:pStyle w:val="TableParagraph"/>
              <w:spacing w:before="0"/>
              <w:ind w:left="0"/>
              <w:rPr>
                <w:rFonts w:ascii="Times New Roman"/>
                <w:sz w:val="20"/>
              </w:rPr>
            </w:pPr>
          </w:p>
        </w:tc>
        <w:tc>
          <w:tcPr>
            <w:tcW w:w="4988" w:type="dxa"/>
          </w:tcPr>
          <w:p w14:paraId="2CC4FED6" w14:textId="77777777" w:rsidR="00A720EB" w:rsidRDefault="0030286B">
            <w:pPr>
              <w:pStyle w:val="TableParagraph"/>
              <w:spacing w:before="28" w:line="310" w:lineRule="atLeast"/>
              <w:ind w:right="640"/>
              <w:rPr>
                <w:rFonts w:ascii="Cambria"/>
                <w:sz w:val="21"/>
              </w:rPr>
            </w:pPr>
            <w:r>
              <w:rPr>
                <w:rFonts w:ascii="Cambria"/>
                <w:color w:val="333333"/>
                <w:w w:val="110"/>
                <w:sz w:val="21"/>
              </w:rPr>
              <w:t>Prefix for the listener's consumer client.id property.</w:t>
            </w:r>
          </w:p>
        </w:tc>
      </w:tr>
      <w:tr w:rsidR="00A720EB" w14:paraId="3076EFC8" w14:textId="77777777">
        <w:trPr>
          <w:trHeight w:val="741"/>
        </w:trPr>
        <w:tc>
          <w:tcPr>
            <w:tcW w:w="2494" w:type="dxa"/>
          </w:tcPr>
          <w:p w14:paraId="3957C30A"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.listener. concurrency</w:t>
            </w:r>
          </w:p>
        </w:tc>
        <w:tc>
          <w:tcPr>
            <w:tcW w:w="2494" w:type="dxa"/>
          </w:tcPr>
          <w:p w14:paraId="76E232A4" w14:textId="77777777" w:rsidR="00A720EB" w:rsidRDefault="00A720EB">
            <w:pPr>
              <w:pStyle w:val="TableParagraph"/>
              <w:spacing w:before="0"/>
              <w:ind w:left="0"/>
              <w:rPr>
                <w:rFonts w:ascii="Times New Roman"/>
                <w:sz w:val="20"/>
              </w:rPr>
            </w:pPr>
          </w:p>
        </w:tc>
        <w:tc>
          <w:tcPr>
            <w:tcW w:w="4988" w:type="dxa"/>
          </w:tcPr>
          <w:p w14:paraId="5EBDBFE0" w14:textId="77777777" w:rsidR="00A720EB" w:rsidRDefault="0030286B">
            <w:pPr>
              <w:pStyle w:val="TableParagraph"/>
              <w:spacing w:before="28" w:line="310" w:lineRule="atLeast"/>
              <w:rPr>
                <w:rFonts w:ascii="Cambria"/>
                <w:sz w:val="21"/>
              </w:rPr>
            </w:pPr>
            <w:r>
              <w:rPr>
                <w:rFonts w:ascii="Cambria"/>
                <w:color w:val="333333"/>
                <w:w w:val="110"/>
                <w:sz w:val="21"/>
              </w:rPr>
              <w:t>Number of threads to run in the listener containers.</w:t>
            </w:r>
          </w:p>
        </w:tc>
      </w:tr>
      <w:tr w:rsidR="00A720EB" w14:paraId="2223AFEA" w14:textId="77777777">
        <w:trPr>
          <w:trHeight w:val="741"/>
        </w:trPr>
        <w:tc>
          <w:tcPr>
            <w:tcW w:w="2494" w:type="dxa"/>
          </w:tcPr>
          <w:p w14:paraId="5DD9ABB6"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.listener. idle-event-interval</w:t>
            </w:r>
          </w:p>
        </w:tc>
        <w:tc>
          <w:tcPr>
            <w:tcW w:w="2494" w:type="dxa"/>
          </w:tcPr>
          <w:p w14:paraId="029D6014" w14:textId="77777777" w:rsidR="00A720EB" w:rsidRDefault="00A720EB">
            <w:pPr>
              <w:pStyle w:val="TableParagraph"/>
              <w:spacing w:before="0"/>
              <w:ind w:left="0"/>
              <w:rPr>
                <w:rFonts w:ascii="Times New Roman"/>
                <w:sz w:val="20"/>
              </w:rPr>
            </w:pPr>
          </w:p>
        </w:tc>
        <w:tc>
          <w:tcPr>
            <w:tcW w:w="4988" w:type="dxa"/>
          </w:tcPr>
          <w:p w14:paraId="6A7B9583" w14:textId="77777777" w:rsidR="00A720EB" w:rsidRDefault="0030286B">
            <w:pPr>
              <w:pStyle w:val="TableParagraph"/>
              <w:spacing w:before="28" w:line="310" w:lineRule="atLeast"/>
              <w:rPr>
                <w:rFonts w:ascii="Cambria"/>
                <w:sz w:val="21"/>
              </w:rPr>
            </w:pPr>
            <w:r>
              <w:rPr>
                <w:rFonts w:ascii="Cambria"/>
                <w:color w:val="333333"/>
                <w:w w:val="110"/>
                <w:sz w:val="21"/>
              </w:rPr>
              <w:t>Time between publishing idle consumer events (no data received).</w:t>
            </w:r>
          </w:p>
        </w:tc>
      </w:tr>
      <w:tr w:rsidR="00A720EB" w14:paraId="17F630B2" w14:textId="77777777">
        <w:trPr>
          <w:trHeight w:val="741"/>
        </w:trPr>
        <w:tc>
          <w:tcPr>
            <w:tcW w:w="2494" w:type="dxa"/>
          </w:tcPr>
          <w:p w14:paraId="4E206F03"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.listener. log-container-config</w:t>
            </w:r>
          </w:p>
        </w:tc>
        <w:tc>
          <w:tcPr>
            <w:tcW w:w="2494" w:type="dxa"/>
          </w:tcPr>
          <w:p w14:paraId="4D4F991C" w14:textId="77777777" w:rsidR="00A720EB" w:rsidRDefault="00A720EB">
            <w:pPr>
              <w:pStyle w:val="TableParagraph"/>
              <w:spacing w:before="0"/>
              <w:ind w:left="0"/>
              <w:rPr>
                <w:rFonts w:ascii="Times New Roman"/>
                <w:sz w:val="20"/>
              </w:rPr>
            </w:pPr>
          </w:p>
        </w:tc>
        <w:tc>
          <w:tcPr>
            <w:tcW w:w="4988" w:type="dxa"/>
          </w:tcPr>
          <w:p w14:paraId="01B1AAE8"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log the container configuration during initialization (INFO level).</w:t>
            </w:r>
          </w:p>
        </w:tc>
      </w:tr>
      <w:tr w:rsidR="00A720EB" w14:paraId="2741B4DE" w14:textId="77777777">
        <w:trPr>
          <w:trHeight w:val="1056"/>
        </w:trPr>
        <w:tc>
          <w:tcPr>
            <w:tcW w:w="2494" w:type="dxa"/>
          </w:tcPr>
          <w:p w14:paraId="5AB6C8CC"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.listener. missing-topics-fatal</w:t>
            </w:r>
          </w:p>
        </w:tc>
        <w:tc>
          <w:tcPr>
            <w:tcW w:w="2494" w:type="dxa"/>
          </w:tcPr>
          <w:p w14:paraId="31422A6E" w14:textId="77777777" w:rsidR="00A720EB" w:rsidRDefault="0030286B">
            <w:pPr>
              <w:pStyle w:val="TableParagraph"/>
              <w:spacing w:before="37"/>
              <w:rPr>
                <w:sz w:val="21"/>
              </w:rPr>
            </w:pPr>
            <w:r>
              <w:rPr>
                <w:color w:val="B02045"/>
                <w:sz w:val="21"/>
              </w:rPr>
              <w:t>false</w:t>
            </w:r>
          </w:p>
        </w:tc>
        <w:tc>
          <w:tcPr>
            <w:tcW w:w="4988" w:type="dxa"/>
          </w:tcPr>
          <w:p w14:paraId="52627C27" w14:textId="77777777" w:rsidR="00A720EB" w:rsidRDefault="0030286B">
            <w:pPr>
              <w:pStyle w:val="TableParagraph"/>
              <w:spacing w:before="28" w:line="310" w:lineRule="atLeast"/>
              <w:rPr>
                <w:rFonts w:ascii="Cambria"/>
                <w:sz w:val="21"/>
              </w:rPr>
            </w:pPr>
            <w:r>
              <w:rPr>
                <w:rFonts w:ascii="Cambria"/>
                <w:color w:val="333333"/>
                <w:w w:val="110"/>
                <w:sz w:val="21"/>
              </w:rPr>
              <w:t>Whether the container should fail to start if at least one of the configured topics are not present on the broker.</w:t>
            </w:r>
          </w:p>
        </w:tc>
      </w:tr>
      <w:tr w:rsidR="00A720EB" w14:paraId="690C9976" w14:textId="77777777">
        <w:trPr>
          <w:trHeight w:val="1056"/>
        </w:trPr>
        <w:tc>
          <w:tcPr>
            <w:tcW w:w="2494" w:type="dxa"/>
          </w:tcPr>
          <w:p w14:paraId="1EC4742E"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.listener. monitor-interval</w:t>
            </w:r>
          </w:p>
        </w:tc>
        <w:tc>
          <w:tcPr>
            <w:tcW w:w="2494" w:type="dxa"/>
          </w:tcPr>
          <w:p w14:paraId="71A9BFC8" w14:textId="77777777" w:rsidR="00A720EB" w:rsidRDefault="00A720EB">
            <w:pPr>
              <w:pStyle w:val="TableParagraph"/>
              <w:spacing w:before="0"/>
              <w:ind w:left="0"/>
              <w:rPr>
                <w:rFonts w:ascii="Times New Roman"/>
                <w:sz w:val="20"/>
              </w:rPr>
            </w:pPr>
          </w:p>
        </w:tc>
        <w:tc>
          <w:tcPr>
            <w:tcW w:w="4988" w:type="dxa"/>
          </w:tcPr>
          <w:p w14:paraId="182F48E8" w14:textId="77777777" w:rsidR="00A720EB" w:rsidRDefault="0030286B">
            <w:pPr>
              <w:pStyle w:val="TableParagraph"/>
              <w:spacing w:before="28" w:line="310" w:lineRule="atLeast"/>
              <w:rPr>
                <w:rFonts w:ascii="Cambria"/>
                <w:sz w:val="21"/>
              </w:rPr>
            </w:pPr>
            <w:r>
              <w:rPr>
                <w:rFonts w:ascii="Cambria"/>
                <w:color w:val="333333"/>
                <w:w w:val="110"/>
                <w:sz w:val="21"/>
              </w:rPr>
              <w:t>Time between checks for non-responsive consumers. If a duration suffix is not specified, seconds will be used.</w:t>
            </w:r>
          </w:p>
        </w:tc>
      </w:tr>
      <w:tr w:rsidR="00A720EB" w14:paraId="54631F16" w14:textId="77777777">
        <w:trPr>
          <w:trHeight w:val="741"/>
        </w:trPr>
        <w:tc>
          <w:tcPr>
            <w:tcW w:w="2494" w:type="dxa"/>
          </w:tcPr>
          <w:p w14:paraId="23683204"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.listener. no-poll-threshold</w:t>
            </w:r>
          </w:p>
        </w:tc>
        <w:tc>
          <w:tcPr>
            <w:tcW w:w="2494" w:type="dxa"/>
          </w:tcPr>
          <w:p w14:paraId="6F537760" w14:textId="77777777" w:rsidR="00A720EB" w:rsidRDefault="00A720EB">
            <w:pPr>
              <w:pStyle w:val="TableParagraph"/>
              <w:spacing w:before="0"/>
              <w:ind w:left="0"/>
              <w:rPr>
                <w:rFonts w:ascii="Times New Roman"/>
                <w:sz w:val="20"/>
              </w:rPr>
            </w:pPr>
          </w:p>
        </w:tc>
        <w:tc>
          <w:tcPr>
            <w:tcW w:w="4988" w:type="dxa"/>
          </w:tcPr>
          <w:p w14:paraId="7017995B" w14:textId="77777777" w:rsidR="00A720EB" w:rsidRDefault="0030286B">
            <w:pPr>
              <w:pStyle w:val="TableParagraph"/>
              <w:spacing w:before="28" w:line="310" w:lineRule="atLeast"/>
              <w:ind w:right="44"/>
              <w:rPr>
                <w:rFonts w:ascii="Cambria"/>
                <w:sz w:val="21"/>
              </w:rPr>
            </w:pPr>
            <w:r>
              <w:rPr>
                <w:rFonts w:ascii="Cambria"/>
                <w:color w:val="333333"/>
                <w:w w:val="110"/>
                <w:sz w:val="21"/>
              </w:rPr>
              <w:t>Multiplier applied to "pollTimeout" to determine if a consumer is non-responsive.</w:t>
            </w:r>
          </w:p>
        </w:tc>
      </w:tr>
      <w:tr w:rsidR="00A720EB" w14:paraId="330F965C" w14:textId="77777777">
        <w:trPr>
          <w:trHeight w:val="627"/>
        </w:trPr>
        <w:tc>
          <w:tcPr>
            <w:tcW w:w="2494" w:type="dxa"/>
          </w:tcPr>
          <w:p w14:paraId="79AC5F89"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.listener. poll-timeout</w:t>
            </w:r>
          </w:p>
        </w:tc>
        <w:tc>
          <w:tcPr>
            <w:tcW w:w="2494" w:type="dxa"/>
          </w:tcPr>
          <w:p w14:paraId="64DA1516" w14:textId="77777777" w:rsidR="00A720EB" w:rsidRDefault="00A720EB">
            <w:pPr>
              <w:pStyle w:val="TableParagraph"/>
              <w:spacing w:before="0"/>
              <w:ind w:left="0"/>
              <w:rPr>
                <w:rFonts w:ascii="Times New Roman"/>
                <w:sz w:val="20"/>
              </w:rPr>
            </w:pPr>
          </w:p>
        </w:tc>
        <w:tc>
          <w:tcPr>
            <w:tcW w:w="4988" w:type="dxa"/>
          </w:tcPr>
          <w:p w14:paraId="1D67D2D2" w14:textId="77777777" w:rsidR="00A720EB" w:rsidRDefault="0030286B">
            <w:pPr>
              <w:pStyle w:val="TableParagraph"/>
              <w:spacing w:before="92"/>
              <w:rPr>
                <w:rFonts w:ascii="Cambria"/>
                <w:sz w:val="21"/>
              </w:rPr>
            </w:pPr>
            <w:r>
              <w:rPr>
                <w:rFonts w:ascii="Cambria"/>
                <w:color w:val="333333"/>
                <w:w w:val="110"/>
                <w:sz w:val="21"/>
              </w:rPr>
              <w:t>Timeout to use when polling the consumer.</w:t>
            </w:r>
          </w:p>
        </w:tc>
      </w:tr>
      <w:tr w:rsidR="00A720EB" w14:paraId="4623453A" w14:textId="77777777">
        <w:trPr>
          <w:trHeight w:val="627"/>
        </w:trPr>
        <w:tc>
          <w:tcPr>
            <w:tcW w:w="2494" w:type="dxa"/>
          </w:tcPr>
          <w:p w14:paraId="7808199D"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.listener. type</w:t>
            </w:r>
          </w:p>
        </w:tc>
        <w:tc>
          <w:tcPr>
            <w:tcW w:w="2494" w:type="dxa"/>
          </w:tcPr>
          <w:p w14:paraId="69CBA633" w14:textId="77777777" w:rsidR="00A720EB" w:rsidRDefault="0030286B">
            <w:pPr>
              <w:pStyle w:val="TableParagraph"/>
              <w:rPr>
                <w:sz w:val="21"/>
              </w:rPr>
            </w:pPr>
            <w:r>
              <w:rPr>
                <w:color w:val="B02045"/>
                <w:sz w:val="21"/>
              </w:rPr>
              <w:t>single</w:t>
            </w:r>
          </w:p>
        </w:tc>
        <w:tc>
          <w:tcPr>
            <w:tcW w:w="4988" w:type="dxa"/>
          </w:tcPr>
          <w:p w14:paraId="44B3F0A2" w14:textId="77777777" w:rsidR="00A720EB" w:rsidRDefault="0030286B">
            <w:pPr>
              <w:pStyle w:val="TableParagraph"/>
              <w:spacing w:before="92"/>
              <w:rPr>
                <w:rFonts w:ascii="Cambria"/>
                <w:sz w:val="21"/>
              </w:rPr>
            </w:pPr>
            <w:r>
              <w:rPr>
                <w:rFonts w:ascii="Cambria"/>
                <w:color w:val="333333"/>
                <w:w w:val="110"/>
                <w:sz w:val="21"/>
              </w:rPr>
              <w:t>Listener type.</w:t>
            </w:r>
          </w:p>
        </w:tc>
      </w:tr>
      <w:tr w:rsidR="00A720EB" w14:paraId="291FAEBF" w14:textId="77777777">
        <w:trPr>
          <w:trHeight w:val="1056"/>
        </w:trPr>
        <w:tc>
          <w:tcPr>
            <w:tcW w:w="2494" w:type="dxa"/>
          </w:tcPr>
          <w:p w14:paraId="52239BC2"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.producer. acks</w:t>
            </w:r>
          </w:p>
        </w:tc>
        <w:tc>
          <w:tcPr>
            <w:tcW w:w="2494" w:type="dxa"/>
          </w:tcPr>
          <w:p w14:paraId="3B1B4B93" w14:textId="77777777" w:rsidR="00A720EB" w:rsidRDefault="00A720EB">
            <w:pPr>
              <w:pStyle w:val="TableParagraph"/>
              <w:spacing w:before="0"/>
              <w:ind w:left="0"/>
              <w:rPr>
                <w:rFonts w:ascii="Times New Roman"/>
                <w:sz w:val="20"/>
              </w:rPr>
            </w:pPr>
          </w:p>
        </w:tc>
        <w:tc>
          <w:tcPr>
            <w:tcW w:w="4988" w:type="dxa"/>
          </w:tcPr>
          <w:p w14:paraId="212F2809" w14:textId="77777777" w:rsidR="00A720EB" w:rsidRDefault="0030286B">
            <w:pPr>
              <w:pStyle w:val="TableParagraph"/>
              <w:spacing w:before="28" w:line="310" w:lineRule="atLeast"/>
              <w:ind w:right="602"/>
              <w:jc w:val="both"/>
              <w:rPr>
                <w:rFonts w:ascii="Cambria"/>
                <w:sz w:val="21"/>
              </w:rPr>
            </w:pPr>
            <w:r>
              <w:rPr>
                <w:rFonts w:ascii="Cambria"/>
                <w:color w:val="333333"/>
                <w:w w:val="110"/>
                <w:sz w:val="21"/>
              </w:rPr>
              <w:t>Number of acknowledgments the producer requires the leader to have received before considering a request complete.</w:t>
            </w:r>
          </w:p>
        </w:tc>
      </w:tr>
      <w:tr w:rsidR="00A720EB" w14:paraId="435984AC" w14:textId="77777777">
        <w:trPr>
          <w:trHeight w:val="1372"/>
        </w:trPr>
        <w:tc>
          <w:tcPr>
            <w:tcW w:w="2494" w:type="dxa"/>
          </w:tcPr>
          <w:p w14:paraId="3F7FA82F"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batch-size</w:t>
            </w:r>
          </w:p>
        </w:tc>
        <w:tc>
          <w:tcPr>
            <w:tcW w:w="2494" w:type="dxa"/>
          </w:tcPr>
          <w:p w14:paraId="1F63E1E7" w14:textId="77777777" w:rsidR="00A720EB" w:rsidRDefault="00A720EB">
            <w:pPr>
              <w:pStyle w:val="TableParagraph"/>
              <w:spacing w:before="0"/>
              <w:ind w:left="0"/>
              <w:rPr>
                <w:rFonts w:ascii="Times New Roman"/>
                <w:sz w:val="20"/>
              </w:rPr>
            </w:pPr>
          </w:p>
        </w:tc>
        <w:tc>
          <w:tcPr>
            <w:tcW w:w="4988" w:type="dxa"/>
          </w:tcPr>
          <w:p w14:paraId="55DE11B1" w14:textId="77777777" w:rsidR="00A720EB" w:rsidRDefault="0030286B">
            <w:pPr>
              <w:pStyle w:val="TableParagraph"/>
              <w:spacing w:before="28" w:line="310" w:lineRule="atLeast"/>
              <w:ind w:right="218"/>
              <w:rPr>
                <w:rFonts w:ascii="Cambria"/>
                <w:sz w:val="21"/>
              </w:rPr>
            </w:pPr>
            <w:r>
              <w:rPr>
                <w:rFonts w:ascii="Cambria"/>
                <w:color w:val="333333"/>
                <w:w w:val="110"/>
                <w:sz w:val="21"/>
              </w:rPr>
              <w:t>Default batch size. A small batch size will make batching less common and may reduce throughput (a batch size of zero disables batching entirely).</w:t>
            </w:r>
          </w:p>
        </w:tc>
      </w:tr>
      <w:tr w:rsidR="00A720EB" w14:paraId="4DBAF464" w14:textId="77777777">
        <w:trPr>
          <w:trHeight w:val="1372"/>
        </w:trPr>
        <w:tc>
          <w:tcPr>
            <w:tcW w:w="2494" w:type="dxa"/>
          </w:tcPr>
          <w:p w14:paraId="5C439E5D"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bootstrap-servers</w:t>
            </w:r>
          </w:p>
        </w:tc>
        <w:tc>
          <w:tcPr>
            <w:tcW w:w="2494" w:type="dxa"/>
          </w:tcPr>
          <w:p w14:paraId="291F347F" w14:textId="77777777" w:rsidR="00A720EB" w:rsidRDefault="00A720EB">
            <w:pPr>
              <w:pStyle w:val="TableParagraph"/>
              <w:spacing w:before="0"/>
              <w:ind w:left="0"/>
              <w:rPr>
                <w:rFonts w:ascii="Times New Roman"/>
                <w:sz w:val="20"/>
              </w:rPr>
            </w:pPr>
          </w:p>
        </w:tc>
        <w:tc>
          <w:tcPr>
            <w:tcW w:w="4988" w:type="dxa"/>
          </w:tcPr>
          <w:p w14:paraId="2D2DB664" w14:textId="77777777" w:rsidR="00A720EB" w:rsidRDefault="0030286B">
            <w:pPr>
              <w:pStyle w:val="TableParagraph"/>
              <w:spacing w:before="28" w:line="310" w:lineRule="atLeast"/>
              <w:ind w:right="162"/>
              <w:rPr>
                <w:rFonts w:ascii="Cambria"/>
                <w:sz w:val="21"/>
              </w:rPr>
            </w:pPr>
            <w:r>
              <w:rPr>
                <w:rFonts w:ascii="Cambria"/>
                <w:color w:val="333333"/>
                <w:w w:val="110"/>
                <w:sz w:val="21"/>
              </w:rPr>
              <w:t xml:space="preserve">Comma-delimited list of </w:t>
            </w:r>
            <w:proofErr w:type="gramStart"/>
            <w:r>
              <w:rPr>
                <w:rFonts w:ascii="Cambria"/>
                <w:color w:val="333333"/>
                <w:w w:val="110"/>
                <w:sz w:val="21"/>
              </w:rPr>
              <w:t>host:port</w:t>
            </w:r>
            <w:proofErr w:type="gramEnd"/>
            <w:r>
              <w:rPr>
                <w:rFonts w:ascii="Cambria"/>
                <w:color w:val="333333"/>
                <w:w w:val="110"/>
                <w:sz w:val="21"/>
              </w:rPr>
              <w:t xml:space="preserve"> pairs to use for establishing the initial connections to the Kafka cluster. Overrides the global property, for producers.</w:t>
            </w:r>
          </w:p>
        </w:tc>
      </w:tr>
      <w:tr w:rsidR="00A720EB" w14:paraId="04F578EA" w14:textId="77777777">
        <w:trPr>
          <w:trHeight w:val="741"/>
        </w:trPr>
        <w:tc>
          <w:tcPr>
            <w:tcW w:w="2494" w:type="dxa"/>
          </w:tcPr>
          <w:p w14:paraId="183E86E8"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buffer-memory</w:t>
            </w:r>
          </w:p>
        </w:tc>
        <w:tc>
          <w:tcPr>
            <w:tcW w:w="2494" w:type="dxa"/>
          </w:tcPr>
          <w:p w14:paraId="31CA3F4F" w14:textId="77777777" w:rsidR="00A720EB" w:rsidRDefault="00A720EB">
            <w:pPr>
              <w:pStyle w:val="TableParagraph"/>
              <w:spacing w:before="0"/>
              <w:ind w:left="0"/>
              <w:rPr>
                <w:rFonts w:ascii="Times New Roman"/>
                <w:sz w:val="20"/>
              </w:rPr>
            </w:pPr>
          </w:p>
        </w:tc>
        <w:tc>
          <w:tcPr>
            <w:tcW w:w="4988" w:type="dxa"/>
          </w:tcPr>
          <w:p w14:paraId="36EB890D" w14:textId="77777777" w:rsidR="00A720EB" w:rsidRDefault="0030286B">
            <w:pPr>
              <w:pStyle w:val="TableParagraph"/>
              <w:spacing w:before="28" w:line="310" w:lineRule="atLeast"/>
              <w:ind w:right="218"/>
              <w:rPr>
                <w:rFonts w:ascii="Cambria"/>
                <w:sz w:val="21"/>
              </w:rPr>
            </w:pPr>
            <w:r>
              <w:rPr>
                <w:rFonts w:ascii="Cambria"/>
                <w:color w:val="333333"/>
                <w:w w:val="110"/>
                <w:sz w:val="21"/>
              </w:rPr>
              <w:t>Total memory size the producer can use to buffer records waiting to be sent to the server.</w:t>
            </w:r>
          </w:p>
        </w:tc>
      </w:tr>
      <w:tr w:rsidR="00A720EB" w14:paraId="6FAC4CDC" w14:textId="77777777">
        <w:trPr>
          <w:trHeight w:val="741"/>
        </w:trPr>
        <w:tc>
          <w:tcPr>
            <w:tcW w:w="2494" w:type="dxa"/>
          </w:tcPr>
          <w:p w14:paraId="582C5D88"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client-id</w:t>
            </w:r>
          </w:p>
        </w:tc>
        <w:tc>
          <w:tcPr>
            <w:tcW w:w="2494" w:type="dxa"/>
          </w:tcPr>
          <w:p w14:paraId="390D10E9" w14:textId="77777777" w:rsidR="00A720EB" w:rsidRDefault="00A720EB">
            <w:pPr>
              <w:pStyle w:val="TableParagraph"/>
              <w:spacing w:before="0"/>
              <w:ind w:left="0"/>
              <w:rPr>
                <w:rFonts w:ascii="Times New Roman"/>
                <w:sz w:val="20"/>
              </w:rPr>
            </w:pPr>
          </w:p>
        </w:tc>
        <w:tc>
          <w:tcPr>
            <w:tcW w:w="4988" w:type="dxa"/>
          </w:tcPr>
          <w:p w14:paraId="454E80B4" w14:textId="77777777" w:rsidR="00A720EB" w:rsidRDefault="0030286B">
            <w:pPr>
              <w:pStyle w:val="TableParagraph"/>
              <w:spacing w:before="28" w:line="310" w:lineRule="atLeast"/>
              <w:rPr>
                <w:rFonts w:ascii="Cambria"/>
                <w:sz w:val="21"/>
              </w:rPr>
            </w:pPr>
            <w:r>
              <w:rPr>
                <w:rFonts w:ascii="Cambria"/>
                <w:color w:val="333333"/>
                <w:w w:val="110"/>
                <w:sz w:val="21"/>
              </w:rPr>
              <w:t>ID to pass to the server when making requests. Used for server-side logging.</w:t>
            </w:r>
          </w:p>
        </w:tc>
      </w:tr>
      <w:tr w:rsidR="00A720EB" w14:paraId="693FE664" w14:textId="77777777">
        <w:trPr>
          <w:trHeight w:val="741"/>
        </w:trPr>
        <w:tc>
          <w:tcPr>
            <w:tcW w:w="2494" w:type="dxa"/>
          </w:tcPr>
          <w:p w14:paraId="400D7B19"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compression-type</w:t>
            </w:r>
          </w:p>
        </w:tc>
        <w:tc>
          <w:tcPr>
            <w:tcW w:w="2494" w:type="dxa"/>
          </w:tcPr>
          <w:p w14:paraId="60384C91" w14:textId="77777777" w:rsidR="00A720EB" w:rsidRDefault="00A720EB">
            <w:pPr>
              <w:pStyle w:val="TableParagraph"/>
              <w:spacing w:before="0"/>
              <w:ind w:left="0"/>
              <w:rPr>
                <w:rFonts w:ascii="Times New Roman"/>
                <w:sz w:val="20"/>
              </w:rPr>
            </w:pPr>
          </w:p>
        </w:tc>
        <w:tc>
          <w:tcPr>
            <w:tcW w:w="4988" w:type="dxa"/>
          </w:tcPr>
          <w:p w14:paraId="6ADE3263" w14:textId="77777777" w:rsidR="00A720EB" w:rsidRDefault="0030286B">
            <w:pPr>
              <w:pStyle w:val="TableParagraph"/>
              <w:spacing w:before="28" w:line="310" w:lineRule="atLeast"/>
              <w:rPr>
                <w:rFonts w:ascii="Cambria"/>
                <w:sz w:val="21"/>
              </w:rPr>
            </w:pPr>
            <w:r>
              <w:rPr>
                <w:rFonts w:ascii="Cambria"/>
                <w:color w:val="333333"/>
                <w:w w:val="110"/>
                <w:sz w:val="21"/>
              </w:rPr>
              <w:t>Compression type for all data generated by the producer.</w:t>
            </w:r>
          </w:p>
        </w:tc>
      </w:tr>
      <w:tr w:rsidR="00A720EB" w14:paraId="0BB0A814" w14:textId="77777777">
        <w:trPr>
          <w:trHeight w:val="627"/>
        </w:trPr>
        <w:tc>
          <w:tcPr>
            <w:tcW w:w="2494" w:type="dxa"/>
          </w:tcPr>
          <w:p w14:paraId="53766FDB"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key-serializer</w:t>
            </w:r>
          </w:p>
        </w:tc>
        <w:tc>
          <w:tcPr>
            <w:tcW w:w="2494" w:type="dxa"/>
          </w:tcPr>
          <w:p w14:paraId="01AE031F" w14:textId="77777777" w:rsidR="00A720EB" w:rsidRDefault="00A720EB">
            <w:pPr>
              <w:pStyle w:val="TableParagraph"/>
              <w:spacing w:before="0"/>
              <w:ind w:left="0"/>
              <w:rPr>
                <w:rFonts w:ascii="Times New Roman"/>
                <w:sz w:val="20"/>
              </w:rPr>
            </w:pPr>
          </w:p>
        </w:tc>
        <w:tc>
          <w:tcPr>
            <w:tcW w:w="4988" w:type="dxa"/>
          </w:tcPr>
          <w:p w14:paraId="0BBA7895" w14:textId="77777777" w:rsidR="00A720EB" w:rsidRDefault="0030286B">
            <w:pPr>
              <w:pStyle w:val="TableParagraph"/>
              <w:spacing w:before="92"/>
              <w:rPr>
                <w:rFonts w:ascii="Cambria"/>
                <w:sz w:val="21"/>
              </w:rPr>
            </w:pPr>
            <w:r>
              <w:rPr>
                <w:rFonts w:ascii="Cambria"/>
                <w:color w:val="333333"/>
                <w:w w:val="110"/>
                <w:sz w:val="21"/>
              </w:rPr>
              <w:t>Serializer class for keys.</w:t>
            </w:r>
          </w:p>
        </w:tc>
      </w:tr>
    </w:tbl>
    <w:p w14:paraId="132CB75D"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06A0C86" w14:textId="77777777">
        <w:trPr>
          <w:trHeight w:val="415"/>
        </w:trPr>
        <w:tc>
          <w:tcPr>
            <w:tcW w:w="2494" w:type="dxa"/>
            <w:tcBorders>
              <w:bottom w:val="single" w:sz="12" w:space="0" w:color="DDDDDD"/>
            </w:tcBorders>
          </w:tcPr>
          <w:p w14:paraId="3583268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36A07C0"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5B80A26"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CCD1C50" w14:textId="77777777">
        <w:trPr>
          <w:trHeight w:val="731"/>
        </w:trPr>
        <w:tc>
          <w:tcPr>
            <w:tcW w:w="2494" w:type="dxa"/>
            <w:tcBorders>
              <w:top w:val="single" w:sz="12" w:space="0" w:color="DDDDDD"/>
            </w:tcBorders>
          </w:tcPr>
          <w:p w14:paraId="0F6F5DC7" w14:textId="77777777" w:rsidR="00A720EB" w:rsidRDefault="0030286B">
            <w:pPr>
              <w:pStyle w:val="TableParagraph"/>
              <w:spacing w:before="36" w:line="230" w:lineRule="auto"/>
              <w:ind w:right="94"/>
              <w:rPr>
                <w:sz w:val="21"/>
              </w:rPr>
            </w:pPr>
            <w:proofErr w:type="gramStart"/>
            <w:r>
              <w:rPr>
                <w:color w:val="B02045"/>
                <w:sz w:val="21"/>
              </w:rPr>
              <w:t>spring.kafka</w:t>
            </w:r>
            <w:proofErr w:type="gramEnd"/>
            <w:r>
              <w:rPr>
                <w:color w:val="B02045"/>
                <w:sz w:val="21"/>
              </w:rPr>
              <w:t xml:space="preserve">.producer. </w:t>
            </w:r>
            <w:proofErr w:type="gramStart"/>
            <w:r>
              <w:rPr>
                <w:color w:val="B02045"/>
                <w:sz w:val="21"/>
              </w:rPr>
              <w:t>properties.*</w:t>
            </w:r>
            <w:proofErr w:type="gramEnd"/>
          </w:p>
        </w:tc>
        <w:tc>
          <w:tcPr>
            <w:tcW w:w="2494" w:type="dxa"/>
            <w:tcBorders>
              <w:top w:val="single" w:sz="12" w:space="0" w:color="DDDDDD"/>
            </w:tcBorders>
          </w:tcPr>
          <w:p w14:paraId="3E6D60C0"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05258E34" w14:textId="77777777" w:rsidR="00A720EB" w:rsidRDefault="0030286B">
            <w:pPr>
              <w:pStyle w:val="TableParagraph"/>
              <w:spacing w:before="18" w:line="310" w:lineRule="atLeast"/>
              <w:rPr>
                <w:rFonts w:ascii="Cambria"/>
                <w:sz w:val="21"/>
              </w:rPr>
            </w:pPr>
            <w:r>
              <w:rPr>
                <w:rFonts w:ascii="Cambria"/>
                <w:color w:val="333333"/>
                <w:w w:val="110"/>
                <w:sz w:val="21"/>
              </w:rPr>
              <w:t>Additional producer-specific properties used to configure the client.</w:t>
            </w:r>
          </w:p>
        </w:tc>
      </w:tr>
      <w:tr w:rsidR="00A720EB" w14:paraId="604CEEB4" w14:textId="77777777">
        <w:trPr>
          <w:trHeight w:val="741"/>
        </w:trPr>
        <w:tc>
          <w:tcPr>
            <w:tcW w:w="2494" w:type="dxa"/>
          </w:tcPr>
          <w:p w14:paraId="33C3DE1D"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.producer. retries</w:t>
            </w:r>
          </w:p>
        </w:tc>
        <w:tc>
          <w:tcPr>
            <w:tcW w:w="2494" w:type="dxa"/>
          </w:tcPr>
          <w:p w14:paraId="7C2CC916" w14:textId="77777777" w:rsidR="00A720EB" w:rsidRDefault="00A720EB">
            <w:pPr>
              <w:pStyle w:val="TableParagraph"/>
              <w:spacing w:before="0"/>
              <w:ind w:left="0"/>
              <w:rPr>
                <w:rFonts w:ascii="Times New Roman"/>
                <w:sz w:val="20"/>
              </w:rPr>
            </w:pPr>
          </w:p>
        </w:tc>
        <w:tc>
          <w:tcPr>
            <w:tcW w:w="4988" w:type="dxa"/>
          </w:tcPr>
          <w:p w14:paraId="5D2B46EE" w14:textId="77777777" w:rsidR="00A720EB" w:rsidRDefault="0030286B">
            <w:pPr>
              <w:pStyle w:val="TableParagraph"/>
              <w:spacing w:before="28" w:line="310" w:lineRule="atLeast"/>
              <w:ind w:right="372"/>
              <w:rPr>
                <w:rFonts w:ascii="Cambria"/>
                <w:sz w:val="21"/>
              </w:rPr>
            </w:pPr>
            <w:r>
              <w:rPr>
                <w:rFonts w:ascii="Cambria"/>
                <w:color w:val="333333"/>
                <w:w w:val="110"/>
                <w:sz w:val="21"/>
              </w:rPr>
              <w:t>When greater than zero, enables retrying of failed sends.</w:t>
            </w:r>
          </w:p>
        </w:tc>
      </w:tr>
      <w:tr w:rsidR="00A720EB" w14:paraId="1E9ACFDB" w14:textId="77777777">
        <w:trPr>
          <w:trHeight w:val="741"/>
        </w:trPr>
        <w:tc>
          <w:tcPr>
            <w:tcW w:w="2494" w:type="dxa"/>
          </w:tcPr>
          <w:p w14:paraId="026E4BDB"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 xml:space="preserve">.producer. </w:t>
            </w:r>
            <w:proofErr w:type="gramStart"/>
            <w:r>
              <w:rPr>
                <w:color w:val="B02045"/>
                <w:sz w:val="21"/>
              </w:rPr>
              <w:t>security.protocol</w:t>
            </w:r>
            <w:proofErr w:type="gramEnd"/>
          </w:p>
        </w:tc>
        <w:tc>
          <w:tcPr>
            <w:tcW w:w="2494" w:type="dxa"/>
          </w:tcPr>
          <w:p w14:paraId="5C60C994" w14:textId="77777777" w:rsidR="00A720EB" w:rsidRDefault="00A720EB">
            <w:pPr>
              <w:pStyle w:val="TableParagraph"/>
              <w:spacing w:before="0"/>
              <w:ind w:left="0"/>
              <w:rPr>
                <w:rFonts w:ascii="Times New Roman"/>
                <w:sz w:val="20"/>
              </w:rPr>
            </w:pPr>
          </w:p>
        </w:tc>
        <w:tc>
          <w:tcPr>
            <w:tcW w:w="4988" w:type="dxa"/>
          </w:tcPr>
          <w:p w14:paraId="08221561" w14:textId="77777777" w:rsidR="00A720EB" w:rsidRDefault="0030286B">
            <w:pPr>
              <w:pStyle w:val="TableParagraph"/>
              <w:spacing w:before="28" w:line="310" w:lineRule="atLeast"/>
              <w:rPr>
                <w:rFonts w:ascii="Cambria"/>
                <w:sz w:val="21"/>
              </w:rPr>
            </w:pPr>
            <w:r>
              <w:rPr>
                <w:rFonts w:ascii="Cambria"/>
                <w:color w:val="333333"/>
                <w:w w:val="110"/>
                <w:sz w:val="21"/>
              </w:rPr>
              <w:t>Security protocol used to communicate with brokers.</w:t>
            </w:r>
          </w:p>
        </w:tc>
      </w:tr>
      <w:tr w:rsidR="00A720EB" w14:paraId="5C1C4ED6" w14:textId="77777777">
        <w:trPr>
          <w:trHeight w:val="627"/>
        </w:trPr>
        <w:tc>
          <w:tcPr>
            <w:tcW w:w="2494" w:type="dxa"/>
          </w:tcPr>
          <w:p w14:paraId="3424BF14"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ssl.key-password</w:t>
            </w:r>
          </w:p>
        </w:tc>
        <w:tc>
          <w:tcPr>
            <w:tcW w:w="2494" w:type="dxa"/>
          </w:tcPr>
          <w:p w14:paraId="00C336CA" w14:textId="77777777" w:rsidR="00A720EB" w:rsidRDefault="00A720EB">
            <w:pPr>
              <w:pStyle w:val="TableParagraph"/>
              <w:spacing w:before="0"/>
              <w:ind w:left="0"/>
              <w:rPr>
                <w:rFonts w:ascii="Times New Roman"/>
                <w:sz w:val="20"/>
              </w:rPr>
            </w:pPr>
          </w:p>
        </w:tc>
        <w:tc>
          <w:tcPr>
            <w:tcW w:w="4988" w:type="dxa"/>
          </w:tcPr>
          <w:p w14:paraId="5C1992A9" w14:textId="77777777" w:rsidR="00A720EB" w:rsidRDefault="0030286B">
            <w:pPr>
              <w:pStyle w:val="TableParagraph"/>
              <w:spacing w:before="92"/>
              <w:rPr>
                <w:rFonts w:ascii="Cambria"/>
                <w:sz w:val="21"/>
              </w:rPr>
            </w:pPr>
            <w:r>
              <w:rPr>
                <w:rFonts w:ascii="Cambria"/>
                <w:color w:val="333333"/>
                <w:w w:val="110"/>
                <w:sz w:val="21"/>
              </w:rPr>
              <w:t>Password of the private key in the key store file.</w:t>
            </w:r>
          </w:p>
        </w:tc>
      </w:tr>
      <w:tr w:rsidR="00A720EB" w14:paraId="739B7AF0" w14:textId="77777777">
        <w:trPr>
          <w:trHeight w:val="627"/>
        </w:trPr>
        <w:tc>
          <w:tcPr>
            <w:tcW w:w="2494" w:type="dxa"/>
          </w:tcPr>
          <w:p w14:paraId="45094D32"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ssl.key-store-location</w:t>
            </w:r>
          </w:p>
        </w:tc>
        <w:tc>
          <w:tcPr>
            <w:tcW w:w="2494" w:type="dxa"/>
          </w:tcPr>
          <w:p w14:paraId="10E34EC2" w14:textId="77777777" w:rsidR="00A720EB" w:rsidRDefault="00A720EB">
            <w:pPr>
              <w:pStyle w:val="TableParagraph"/>
              <w:spacing w:before="0"/>
              <w:ind w:left="0"/>
              <w:rPr>
                <w:rFonts w:ascii="Times New Roman"/>
                <w:sz w:val="20"/>
              </w:rPr>
            </w:pPr>
          </w:p>
        </w:tc>
        <w:tc>
          <w:tcPr>
            <w:tcW w:w="4988" w:type="dxa"/>
          </w:tcPr>
          <w:p w14:paraId="7B5128E9" w14:textId="77777777" w:rsidR="00A720EB" w:rsidRDefault="0030286B">
            <w:pPr>
              <w:pStyle w:val="TableParagraph"/>
              <w:spacing w:before="92"/>
              <w:rPr>
                <w:rFonts w:ascii="Cambria"/>
                <w:sz w:val="21"/>
              </w:rPr>
            </w:pPr>
            <w:r>
              <w:rPr>
                <w:rFonts w:ascii="Cambria"/>
                <w:color w:val="333333"/>
                <w:w w:val="110"/>
                <w:sz w:val="21"/>
              </w:rPr>
              <w:t>Location of the key store file.</w:t>
            </w:r>
          </w:p>
        </w:tc>
      </w:tr>
      <w:tr w:rsidR="00A720EB" w14:paraId="6A7FF6CD" w14:textId="77777777">
        <w:trPr>
          <w:trHeight w:val="627"/>
        </w:trPr>
        <w:tc>
          <w:tcPr>
            <w:tcW w:w="2494" w:type="dxa"/>
          </w:tcPr>
          <w:p w14:paraId="2EC8329D"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ssl.key-store-password</w:t>
            </w:r>
          </w:p>
        </w:tc>
        <w:tc>
          <w:tcPr>
            <w:tcW w:w="2494" w:type="dxa"/>
          </w:tcPr>
          <w:p w14:paraId="514A7A64" w14:textId="77777777" w:rsidR="00A720EB" w:rsidRDefault="00A720EB">
            <w:pPr>
              <w:pStyle w:val="TableParagraph"/>
              <w:spacing w:before="0"/>
              <w:ind w:left="0"/>
              <w:rPr>
                <w:rFonts w:ascii="Times New Roman"/>
                <w:sz w:val="20"/>
              </w:rPr>
            </w:pPr>
          </w:p>
        </w:tc>
        <w:tc>
          <w:tcPr>
            <w:tcW w:w="4988" w:type="dxa"/>
          </w:tcPr>
          <w:p w14:paraId="31462180" w14:textId="77777777" w:rsidR="00A720EB" w:rsidRDefault="0030286B">
            <w:pPr>
              <w:pStyle w:val="TableParagraph"/>
              <w:spacing w:before="92"/>
              <w:rPr>
                <w:rFonts w:ascii="Cambria"/>
                <w:sz w:val="21"/>
              </w:rPr>
            </w:pPr>
            <w:r>
              <w:rPr>
                <w:rFonts w:ascii="Cambria"/>
                <w:color w:val="333333"/>
                <w:w w:val="110"/>
                <w:sz w:val="21"/>
              </w:rPr>
              <w:t>Store password for the key store file.</w:t>
            </w:r>
          </w:p>
        </w:tc>
      </w:tr>
      <w:tr w:rsidR="00A720EB" w14:paraId="0D7B7625" w14:textId="77777777">
        <w:trPr>
          <w:trHeight w:val="627"/>
        </w:trPr>
        <w:tc>
          <w:tcPr>
            <w:tcW w:w="2494" w:type="dxa"/>
          </w:tcPr>
          <w:p w14:paraId="4A2C055E"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ssl.key-store-type</w:t>
            </w:r>
          </w:p>
        </w:tc>
        <w:tc>
          <w:tcPr>
            <w:tcW w:w="2494" w:type="dxa"/>
          </w:tcPr>
          <w:p w14:paraId="15D6BA66" w14:textId="77777777" w:rsidR="00A720EB" w:rsidRDefault="00A720EB">
            <w:pPr>
              <w:pStyle w:val="TableParagraph"/>
              <w:spacing w:before="0"/>
              <w:ind w:left="0"/>
              <w:rPr>
                <w:rFonts w:ascii="Times New Roman"/>
                <w:sz w:val="20"/>
              </w:rPr>
            </w:pPr>
          </w:p>
        </w:tc>
        <w:tc>
          <w:tcPr>
            <w:tcW w:w="4988" w:type="dxa"/>
          </w:tcPr>
          <w:p w14:paraId="69B986F6" w14:textId="77777777" w:rsidR="00A720EB" w:rsidRDefault="0030286B">
            <w:pPr>
              <w:pStyle w:val="TableParagraph"/>
              <w:spacing w:before="92"/>
              <w:rPr>
                <w:rFonts w:ascii="Cambria"/>
                <w:sz w:val="21"/>
              </w:rPr>
            </w:pPr>
            <w:r>
              <w:rPr>
                <w:rFonts w:ascii="Cambria"/>
                <w:color w:val="333333"/>
                <w:w w:val="110"/>
                <w:sz w:val="21"/>
              </w:rPr>
              <w:t>Type of the key store.</w:t>
            </w:r>
          </w:p>
        </w:tc>
      </w:tr>
      <w:tr w:rsidR="00A720EB" w14:paraId="5AE86382" w14:textId="77777777">
        <w:trPr>
          <w:trHeight w:val="627"/>
        </w:trPr>
        <w:tc>
          <w:tcPr>
            <w:tcW w:w="2494" w:type="dxa"/>
          </w:tcPr>
          <w:p w14:paraId="547016B2"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 xml:space="preserve">.producer. </w:t>
            </w:r>
            <w:proofErr w:type="gramStart"/>
            <w:r>
              <w:rPr>
                <w:color w:val="B02045"/>
                <w:sz w:val="21"/>
              </w:rPr>
              <w:t>ssl.protocol</w:t>
            </w:r>
            <w:proofErr w:type="gramEnd"/>
          </w:p>
        </w:tc>
        <w:tc>
          <w:tcPr>
            <w:tcW w:w="2494" w:type="dxa"/>
          </w:tcPr>
          <w:p w14:paraId="6B239FC6" w14:textId="77777777" w:rsidR="00A720EB" w:rsidRDefault="00A720EB">
            <w:pPr>
              <w:pStyle w:val="TableParagraph"/>
              <w:spacing w:before="0"/>
              <w:ind w:left="0"/>
              <w:rPr>
                <w:rFonts w:ascii="Times New Roman"/>
                <w:sz w:val="20"/>
              </w:rPr>
            </w:pPr>
          </w:p>
        </w:tc>
        <w:tc>
          <w:tcPr>
            <w:tcW w:w="4988" w:type="dxa"/>
          </w:tcPr>
          <w:p w14:paraId="50B56B76" w14:textId="77777777" w:rsidR="00A720EB" w:rsidRDefault="0030286B">
            <w:pPr>
              <w:pStyle w:val="TableParagraph"/>
              <w:spacing w:before="92"/>
              <w:rPr>
                <w:rFonts w:ascii="Cambria"/>
                <w:sz w:val="21"/>
              </w:rPr>
            </w:pPr>
            <w:r>
              <w:rPr>
                <w:rFonts w:ascii="Cambria"/>
                <w:color w:val="333333"/>
                <w:w w:val="110"/>
                <w:sz w:val="21"/>
              </w:rPr>
              <w:t>SSL protocol to use.</w:t>
            </w:r>
          </w:p>
        </w:tc>
      </w:tr>
      <w:tr w:rsidR="00A720EB" w14:paraId="2FBBAFCE" w14:textId="77777777">
        <w:trPr>
          <w:trHeight w:val="886"/>
        </w:trPr>
        <w:tc>
          <w:tcPr>
            <w:tcW w:w="2494" w:type="dxa"/>
          </w:tcPr>
          <w:p w14:paraId="203E63AC"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 xml:space="preserve">.producer. </w:t>
            </w:r>
            <w:proofErr w:type="gramStart"/>
            <w:r>
              <w:rPr>
                <w:color w:val="B02045"/>
                <w:sz w:val="21"/>
              </w:rPr>
              <w:t>ssl.trust</w:t>
            </w:r>
            <w:proofErr w:type="gramEnd"/>
            <w:r>
              <w:rPr>
                <w:color w:val="B02045"/>
                <w:sz w:val="21"/>
              </w:rPr>
              <w:t>-store- location</w:t>
            </w:r>
          </w:p>
        </w:tc>
        <w:tc>
          <w:tcPr>
            <w:tcW w:w="2494" w:type="dxa"/>
          </w:tcPr>
          <w:p w14:paraId="1482711D" w14:textId="77777777" w:rsidR="00A720EB" w:rsidRDefault="00A720EB">
            <w:pPr>
              <w:pStyle w:val="TableParagraph"/>
              <w:spacing w:before="0"/>
              <w:ind w:left="0"/>
              <w:rPr>
                <w:rFonts w:ascii="Times New Roman"/>
                <w:sz w:val="20"/>
              </w:rPr>
            </w:pPr>
          </w:p>
        </w:tc>
        <w:tc>
          <w:tcPr>
            <w:tcW w:w="4988" w:type="dxa"/>
          </w:tcPr>
          <w:p w14:paraId="6B3A1EC7" w14:textId="77777777" w:rsidR="00A720EB" w:rsidRDefault="0030286B">
            <w:pPr>
              <w:pStyle w:val="TableParagraph"/>
              <w:spacing w:before="92"/>
              <w:rPr>
                <w:rFonts w:ascii="Cambria"/>
                <w:sz w:val="21"/>
              </w:rPr>
            </w:pPr>
            <w:r>
              <w:rPr>
                <w:rFonts w:ascii="Cambria"/>
                <w:color w:val="333333"/>
                <w:w w:val="110"/>
                <w:sz w:val="21"/>
              </w:rPr>
              <w:t>Location of the trust store file.</w:t>
            </w:r>
          </w:p>
        </w:tc>
      </w:tr>
      <w:tr w:rsidR="00A720EB" w14:paraId="599BC0C8" w14:textId="77777777">
        <w:trPr>
          <w:trHeight w:val="886"/>
        </w:trPr>
        <w:tc>
          <w:tcPr>
            <w:tcW w:w="2494" w:type="dxa"/>
          </w:tcPr>
          <w:p w14:paraId="4E5440E2"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 xml:space="preserve">.producer. </w:t>
            </w:r>
            <w:proofErr w:type="gramStart"/>
            <w:r>
              <w:rPr>
                <w:color w:val="B02045"/>
                <w:sz w:val="21"/>
              </w:rPr>
              <w:t>ssl.trust</w:t>
            </w:r>
            <w:proofErr w:type="gramEnd"/>
            <w:r>
              <w:rPr>
                <w:color w:val="B02045"/>
                <w:sz w:val="21"/>
              </w:rPr>
              <w:t>-store- password</w:t>
            </w:r>
          </w:p>
        </w:tc>
        <w:tc>
          <w:tcPr>
            <w:tcW w:w="2494" w:type="dxa"/>
          </w:tcPr>
          <w:p w14:paraId="114A1025" w14:textId="77777777" w:rsidR="00A720EB" w:rsidRDefault="00A720EB">
            <w:pPr>
              <w:pStyle w:val="TableParagraph"/>
              <w:spacing w:before="0"/>
              <w:ind w:left="0"/>
              <w:rPr>
                <w:rFonts w:ascii="Times New Roman"/>
                <w:sz w:val="20"/>
              </w:rPr>
            </w:pPr>
          </w:p>
        </w:tc>
        <w:tc>
          <w:tcPr>
            <w:tcW w:w="4988" w:type="dxa"/>
          </w:tcPr>
          <w:p w14:paraId="615A2073" w14:textId="77777777" w:rsidR="00A720EB" w:rsidRDefault="0030286B">
            <w:pPr>
              <w:pStyle w:val="TableParagraph"/>
              <w:spacing w:before="92"/>
              <w:rPr>
                <w:rFonts w:ascii="Cambria"/>
                <w:sz w:val="21"/>
              </w:rPr>
            </w:pPr>
            <w:r>
              <w:rPr>
                <w:rFonts w:ascii="Cambria"/>
                <w:color w:val="333333"/>
                <w:w w:val="110"/>
                <w:sz w:val="21"/>
              </w:rPr>
              <w:t>Store password for the trust store file.</w:t>
            </w:r>
          </w:p>
        </w:tc>
      </w:tr>
      <w:tr w:rsidR="00A720EB" w14:paraId="1CE380BF" w14:textId="77777777">
        <w:trPr>
          <w:trHeight w:val="627"/>
        </w:trPr>
        <w:tc>
          <w:tcPr>
            <w:tcW w:w="2494" w:type="dxa"/>
          </w:tcPr>
          <w:p w14:paraId="473F8CCD"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 xml:space="preserve">.producer. </w:t>
            </w:r>
            <w:proofErr w:type="gramStart"/>
            <w:r>
              <w:rPr>
                <w:color w:val="B02045"/>
                <w:sz w:val="21"/>
              </w:rPr>
              <w:t>ssl.trust</w:t>
            </w:r>
            <w:proofErr w:type="gramEnd"/>
            <w:r>
              <w:rPr>
                <w:color w:val="B02045"/>
                <w:sz w:val="21"/>
              </w:rPr>
              <w:t>-store-type</w:t>
            </w:r>
          </w:p>
        </w:tc>
        <w:tc>
          <w:tcPr>
            <w:tcW w:w="2494" w:type="dxa"/>
          </w:tcPr>
          <w:p w14:paraId="6C096DA3" w14:textId="77777777" w:rsidR="00A720EB" w:rsidRDefault="00A720EB">
            <w:pPr>
              <w:pStyle w:val="TableParagraph"/>
              <w:spacing w:before="0"/>
              <w:ind w:left="0"/>
              <w:rPr>
                <w:rFonts w:ascii="Times New Roman"/>
                <w:sz w:val="20"/>
              </w:rPr>
            </w:pPr>
          </w:p>
        </w:tc>
        <w:tc>
          <w:tcPr>
            <w:tcW w:w="4988" w:type="dxa"/>
          </w:tcPr>
          <w:p w14:paraId="40BFE5E6" w14:textId="77777777" w:rsidR="00A720EB" w:rsidRDefault="0030286B">
            <w:pPr>
              <w:pStyle w:val="TableParagraph"/>
              <w:spacing w:before="92"/>
              <w:rPr>
                <w:rFonts w:ascii="Cambria"/>
                <w:sz w:val="21"/>
              </w:rPr>
            </w:pPr>
            <w:r>
              <w:rPr>
                <w:rFonts w:ascii="Cambria"/>
                <w:color w:val="333333"/>
                <w:w w:val="110"/>
                <w:sz w:val="21"/>
              </w:rPr>
              <w:t>Type of the trust store.</w:t>
            </w:r>
          </w:p>
        </w:tc>
      </w:tr>
      <w:tr w:rsidR="00A720EB" w14:paraId="24D5E40A" w14:textId="77777777">
        <w:trPr>
          <w:trHeight w:val="741"/>
        </w:trPr>
        <w:tc>
          <w:tcPr>
            <w:tcW w:w="2494" w:type="dxa"/>
          </w:tcPr>
          <w:p w14:paraId="5ECEF135"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transaction-id-prefix</w:t>
            </w:r>
          </w:p>
        </w:tc>
        <w:tc>
          <w:tcPr>
            <w:tcW w:w="2494" w:type="dxa"/>
          </w:tcPr>
          <w:p w14:paraId="44086595" w14:textId="77777777" w:rsidR="00A720EB" w:rsidRDefault="00A720EB">
            <w:pPr>
              <w:pStyle w:val="TableParagraph"/>
              <w:spacing w:before="0"/>
              <w:ind w:left="0"/>
              <w:rPr>
                <w:rFonts w:ascii="Times New Roman"/>
                <w:sz w:val="20"/>
              </w:rPr>
            </w:pPr>
          </w:p>
        </w:tc>
        <w:tc>
          <w:tcPr>
            <w:tcW w:w="4988" w:type="dxa"/>
          </w:tcPr>
          <w:p w14:paraId="112DCB1D" w14:textId="77777777" w:rsidR="00A720EB" w:rsidRDefault="0030286B">
            <w:pPr>
              <w:pStyle w:val="TableParagraph"/>
              <w:spacing w:before="28" w:line="310" w:lineRule="atLeast"/>
              <w:ind w:right="218"/>
              <w:rPr>
                <w:rFonts w:ascii="Cambria"/>
                <w:sz w:val="21"/>
              </w:rPr>
            </w:pPr>
            <w:r>
              <w:rPr>
                <w:rFonts w:ascii="Cambria"/>
                <w:color w:val="333333"/>
                <w:w w:val="110"/>
                <w:sz w:val="21"/>
              </w:rPr>
              <w:t>When non empty, enables transaction support for producer.</w:t>
            </w:r>
          </w:p>
        </w:tc>
      </w:tr>
      <w:tr w:rsidR="00A720EB" w14:paraId="07463E8C" w14:textId="77777777">
        <w:trPr>
          <w:trHeight w:val="627"/>
        </w:trPr>
        <w:tc>
          <w:tcPr>
            <w:tcW w:w="2494" w:type="dxa"/>
          </w:tcPr>
          <w:p w14:paraId="3C9A1891"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.producer. value-serializer</w:t>
            </w:r>
          </w:p>
        </w:tc>
        <w:tc>
          <w:tcPr>
            <w:tcW w:w="2494" w:type="dxa"/>
          </w:tcPr>
          <w:p w14:paraId="7EAD50B5" w14:textId="77777777" w:rsidR="00A720EB" w:rsidRDefault="00A720EB">
            <w:pPr>
              <w:pStyle w:val="TableParagraph"/>
              <w:spacing w:before="0"/>
              <w:ind w:left="0"/>
              <w:rPr>
                <w:rFonts w:ascii="Times New Roman"/>
                <w:sz w:val="20"/>
              </w:rPr>
            </w:pPr>
          </w:p>
        </w:tc>
        <w:tc>
          <w:tcPr>
            <w:tcW w:w="4988" w:type="dxa"/>
          </w:tcPr>
          <w:p w14:paraId="59FE2E62" w14:textId="77777777" w:rsidR="00A720EB" w:rsidRDefault="0030286B">
            <w:pPr>
              <w:pStyle w:val="TableParagraph"/>
              <w:spacing w:before="92"/>
              <w:rPr>
                <w:rFonts w:ascii="Cambria"/>
                <w:sz w:val="21"/>
              </w:rPr>
            </w:pPr>
            <w:r>
              <w:rPr>
                <w:rFonts w:ascii="Cambria"/>
                <w:color w:val="333333"/>
                <w:w w:val="110"/>
                <w:sz w:val="21"/>
              </w:rPr>
              <w:t>Serializer class for values.</w:t>
            </w:r>
          </w:p>
        </w:tc>
      </w:tr>
      <w:tr w:rsidR="00A720EB" w14:paraId="434A7886" w14:textId="77777777">
        <w:trPr>
          <w:trHeight w:val="741"/>
        </w:trPr>
        <w:tc>
          <w:tcPr>
            <w:tcW w:w="2494" w:type="dxa"/>
          </w:tcPr>
          <w:p w14:paraId="2CDA2547"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.propertie s.*</w:t>
            </w:r>
          </w:p>
        </w:tc>
        <w:tc>
          <w:tcPr>
            <w:tcW w:w="2494" w:type="dxa"/>
          </w:tcPr>
          <w:p w14:paraId="47D4D2E9" w14:textId="77777777" w:rsidR="00A720EB" w:rsidRDefault="00A720EB">
            <w:pPr>
              <w:pStyle w:val="TableParagraph"/>
              <w:spacing w:before="0"/>
              <w:ind w:left="0"/>
              <w:rPr>
                <w:rFonts w:ascii="Times New Roman"/>
                <w:sz w:val="20"/>
              </w:rPr>
            </w:pPr>
          </w:p>
        </w:tc>
        <w:tc>
          <w:tcPr>
            <w:tcW w:w="4988" w:type="dxa"/>
          </w:tcPr>
          <w:p w14:paraId="4AABFE60" w14:textId="77777777" w:rsidR="00A720EB" w:rsidRDefault="0030286B">
            <w:pPr>
              <w:pStyle w:val="TableParagraph"/>
              <w:spacing w:before="28" w:line="310" w:lineRule="atLeast"/>
              <w:rPr>
                <w:rFonts w:ascii="Cambria"/>
                <w:sz w:val="21"/>
              </w:rPr>
            </w:pPr>
            <w:r>
              <w:rPr>
                <w:rFonts w:ascii="Cambria"/>
                <w:color w:val="333333"/>
                <w:w w:val="110"/>
                <w:sz w:val="21"/>
              </w:rPr>
              <w:t>Additional properties, common to producers and consumers, used to configure the client.</w:t>
            </w:r>
          </w:p>
        </w:tc>
      </w:tr>
      <w:tr w:rsidR="00A720EB" w14:paraId="5FAE3CEA" w14:textId="77777777">
        <w:trPr>
          <w:trHeight w:val="741"/>
        </w:trPr>
        <w:tc>
          <w:tcPr>
            <w:tcW w:w="2494" w:type="dxa"/>
          </w:tcPr>
          <w:p w14:paraId="1AFE89BE"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.security. protocol</w:t>
            </w:r>
          </w:p>
        </w:tc>
        <w:tc>
          <w:tcPr>
            <w:tcW w:w="2494" w:type="dxa"/>
          </w:tcPr>
          <w:p w14:paraId="31F7086E" w14:textId="77777777" w:rsidR="00A720EB" w:rsidRDefault="00A720EB">
            <w:pPr>
              <w:pStyle w:val="TableParagraph"/>
              <w:spacing w:before="0"/>
              <w:ind w:left="0"/>
              <w:rPr>
                <w:rFonts w:ascii="Times New Roman"/>
                <w:sz w:val="20"/>
              </w:rPr>
            </w:pPr>
          </w:p>
        </w:tc>
        <w:tc>
          <w:tcPr>
            <w:tcW w:w="4988" w:type="dxa"/>
          </w:tcPr>
          <w:p w14:paraId="6D0B2598" w14:textId="77777777" w:rsidR="00A720EB" w:rsidRDefault="0030286B">
            <w:pPr>
              <w:pStyle w:val="TableParagraph"/>
              <w:spacing w:before="28" w:line="310" w:lineRule="atLeast"/>
              <w:rPr>
                <w:rFonts w:ascii="Cambria"/>
                <w:sz w:val="21"/>
              </w:rPr>
            </w:pPr>
            <w:r>
              <w:rPr>
                <w:rFonts w:ascii="Cambria"/>
                <w:color w:val="333333"/>
                <w:w w:val="110"/>
                <w:sz w:val="21"/>
              </w:rPr>
              <w:t>Security protocol used to communicate with brokers.</w:t>
            </w:r>
          </w:p>
        </w:tc>
      </w:tr>
      <w:tr w:rsidR="00A720EB" w14:paraId="4AC29D36" w14:textId="77777777">
        <w:trPr>
          <w:trHeight w:val="627"/>
        </w:trPr>
        <w:tc>
          <w:tcPr>
            <w:tcW w:w="2494" w:type="dxa"/>
          </w:tcPr>
          <w:p w14:paraId="3A63D139" w14:textId="77777777" w:rsidR="00A720EB" w:rsidRDefault="0030286B">
            <w:pPr>
              <w:pStyle w:val="TableParagraph"/>
              <w:spacing w:before="46" w:line="230" w:lineRule="auto"/>
              <w:ind w:right="199"/>
              <w:rPr>
                <w:sz w:val="21"/>
              </w:rPr>
            </w:pPr>
            <w:r>
              <w:rPr>
                <w:color w:val="B02045"/>
                <w:sz w:val="21"/>
              </w:rPr>
              <w:t>spring.kafka.ssl.key- password</w:t>
            </w:r>
          </w:p>
        </w:tc>
        <w:tc>
          <w:tcPr>
            <w:tcW w:w="2494" w:type="dxa"/>
          </w:tcPr>
          <w:p w14:paraId="225E46FC" w14:textId="77777777" w:rsidR="00A720EB" w:rsidRDefault="00A720EB">
            <w:pPr>
              <w:pStyle w:val="TableParagraph"/>
              <w:spacing w:before="0"/>
              <w:ind w:left="0"/>
              <w:rPr>
                <w:rFonts w:ascii="Times New Roman"/>
                <w:sz w:val="20"/>
              </w:rPr>
            </w:pPr>
          </w:p>
        </w:tc>
        <w:tc>
          <w:tcPr>
            <w:tcW w:w="4988" w:type="dxa"/>
          </w:tcPr>
          <w:p w14:paraId="15D5EBC5" w14:textId="77777777" w:rsidR="00A720EB" w:rsidRDefault="0030286B">
            <w:pPr>
              <w:pStyle w:val="TableParagraph"/>
              <w:spacing w:before="92"/>
              <w:rPr>
                <w:rFonts w:ascii="Cambria"/>
                <w:sz w:val="21"/>
              </w:rPr>
            </w:pPr>
            <w:r>
              <w:rPr>
                <w:rFonts w:ascii="Cambria"/>
                <w:color w:val="333333"/>
                <w:w w:val="110"/>
                <w:sz w:val="21"/>
              </w:rPr>
              <w:t>Password of the private key in the key store file.</w:t>
            </w:r>
          </w:p>
        </w:tc>
      </w:tr>
      <w:tr w:rsidR="00A720EB" w14:paraId="4C98E923" w14:textId="77777777">
        <w:trPr>
          <w:trHeight w:val="627"/>
        </w:trPr>
        <w:tc>
          <w:tcPr>
            <w:tcW w:w="2494" w:type="dxa"/>
          </w:tcPr>
          <w:p w14:paraId="271606BF" w14:textId="77777777" w:rsidR="00A720EB" w:rsidRDefault="0030286B">
            <w:pPr>
              <w:pStyle w:val="TableParagraph"/>
              <w:spacing w:before="46" w:line="230" w:lineRule="auto"/>
              <w:ind w:right="218"/>
              <w:rPr>
                <w:sz w:val="21"/>
              </w:rPr>
            </w:pPr>
            <w:r>
              <w:rPr>
                <w:color w:val="B02045"/>
                <w:sz w:val="21"/>
              </w:rPr>
              <w:t>spring.kafka.ssl.key- store-location</w:t>
            </w:r>
          </w:p>
        </w:tc>
        <w:tc>
          <w:tcPr>
            <w:tcW w:w="2494" w:type="dxa"/>
          </w:tcPr>
          <w:p w14:paraId="130D96F8" w14:textId="77777777" w:rsidR="00A720EB" w:rsidRDefault="00A720EB">
            <w:pPr>
              <w:pStyle w:val="TableParagraph"/>
              <w:spacing w:before="0"/>
              <w:ind w:left="0"/>
              <w:rPr>
                <w:rFonts w:ascii="Times New Roman"/>
                <w:sz w:val="20"/>
              </w:rPr>
            </w:pPr>
          </w:p>
        </w:tc>
        <w:tc>
          <w:tcPr>
            <w:tcW w:w="4988" w:type="dxa"/>
          </w:tcPr>
          <w:p w14:paraId="0B6569CF" w14:textId="77777777" w:rsidR="00A720EB" w:rsidRDefault="0030286B">
            <w:pPr>
              <w:pStyle w:val="TableParagraph"/>
              <w:spacing w:before="92"/>
              <w:rPr>
                <w:rFonts w:ascii="Cambria"/>
                <w:sz w:val="21"/>
              </w:rPr>
            </w:pPr>
            <w:r>
              <w:rPr>
                <w:rFonts w:ascii="Cambria"/>
                <w:color w:val="333333"/>
                <w:w w:val="110"/>
                <w:sz w:val="21"/>
              </w:rPr>
              <w:t>Location of the key store file.</w:t>
            </w:r>
          </w:p>
        </w:tc>
      </w:tr>
      <w:tr w:rsidR="00A720EB" w14:paraId="64929B65" w14:textId="77777777">
        <w:trPr>
          <w:trHeight w:val="627"/>
        </w:trPr>
        <w:tc>
          <w:tcPr>
            <w:tcW w:w="2494" w:type="dxa"/>
          </w:tcPr>
          <w:p w14:paraId="2134D3BC" w14:textId="77777777" w:rsidR="00A720EB" w:rsidRDefault="0030286B">
            <w:pPr>
              <w:pStyle w:val="TableParagraph"/>
              <w:spacing w:before="46" w:line="230" w:lineRule="auto"/>
              <w:ind w:right="218"/>
              <w:rPr>
                <w:sz w:val="21"/>
              </w:rPr>
            </w:pPr>
            <w:r>
              <w:rPr>
                <w:color w:val="B02045"/>
                <w:sz w:val="21"/>
              </w:rPr>
              <w:t>spring.kafka.ssl.key- store-password</w:t>
            </w:r>
          </w:p>
        </w:tc>
        <w:tc>
          <w:tcPr>
            <w:tcW w:w="2494" w:type="dxa"/>
          </w:tcPr>
          <w:p w14:paraId="02AB9BFB" w14:textId="77777777" w:rsidR="00A720EB" w:rsidRDefault="00A720EB">
            <w:pPr>
              <w:pStyle w:val="TableParagraph"/>
              <w:spacing w:before="0"/>
              <w:ind w:left="0"/>
              <w:rPr>
                <w:rFonts w:ascii="Times New Roman"/>
                <w:sz w:val="20"/>
              </w:rPr>
            </w:pPr>
          </w:p>
        </w:tc>
        <w:tc>
          <w:tcPr>
            <w:tcW w:w="4988" w:type="dxa"/>
          </w:tcPr>
          <w:p w14:paraId="0C8BA701" w14:textId="77777777" w:rsidR="00A720EB" w:rsidRDefault="0030286B">
            <w:pPr>
              <w:pStyle w:val="TableParagraph"/>
              <w:spacing w:before="92"/>
              <w:rPr>
                <w:rFonts w:ascii="Cambria"/>
                <w:sz w:val="21"/>
              </w:rPr>
            </w:pPr>
            <w:r>
              <w:rPr>
                <w:rFonts w:ascii="Cambria"/>
                <w:color w:val="333333"/>
                <w:w w:val="110"/>
                <w:sz w:val="21"/>
              </w:rPr>
              <w:t>Store password for the key store file.</w:t>
            </w:r>
          </w:p>
        </w:tc>
      </w:tr>
      <w:tr w:rsidR="00A720EB" w14:paraId="23A2B9CF" w14:textId="77777777">
        <w:trPr>
          <w:trHeight w:val="627"/>
        </w:trPr>
        <w:tc>
          <w:tcPr>
            <w:tcW w:w="2494" w:type="dxa"/>
          </w:tcPr>
          <w:p w14:paraId="67604DD7" w14:textId="77777777" w:rsidR="00A720EB" w:rsidRDefault="0030286B">
            <w:pPr>
              <w:pStyle w:val="TableParagraph"/>
              <w:spacing w:before="46" w:line="230" w:lineRule="auto"/>
              <w:ind w:right="218"/>
              <w:rPr>
                <w:sz w:val="21"/>
              </w:rPr>
            </w:pPr>
            <w:r>
              <w:rPr>
                <w:color w:val="B02045"/>
                <w:sz w:val="21"/>
              </w:rPr>
              <w:t>spring.kafka.ssl.key- store-type</w:t>
            </w:r>
          </w:p>
        </w:tc>
        <w:tc>
          <w:tcPr>
            <w:tcW w:w="2494" w:type="dxa"/>
          </w:tcPr>
          <w:p w14:paraId="7497320E" w14:textId="77777777" w:rsidR="00A720EB" w:rsidRDefault="00A720EB">
            <w:pPr>
              <w:pStyle w:val="TableParagraph"/>
              <w:spacing w:before="0"/>
              <w:ind w:left="0"/>
              <w:rPr>
                <w:rFonts w:ascii="Times New Roman"/>
                <w:sz w:val="20"/>
              </w:rPr>
            </w:pPr>
          </w:p>
        </w:tc>
        <w:tc>
          <w:tcPr>
            <w:tcW w:w="4988" w:type="dxa"/>
          </w:tcPr>
          <w:p w14:paraId="67683413" w14:textId="77777777" w:rsidR="00A720EB" w:rsidRDefault="0030286B">
            <w:pPr>
              <w:pStyle w:val="TableParagraph"/>
              <w:spacing w:before="92"/>
              <w:rPr>
                <w:rFonts w:ascii="Cambria"/>
                <w:sz w:val="21"/>
              </w:rPr>
            </w:pPr>
            <w:r>
              <w:rPr>
                <w:rFonts w:ascii="Cambria"/>
                <w:color w:val="333333"/>
                <w:w w:val="110"/>
                <w:sz w:val="21"/>
              </w:rPr>
              <w:t>Type of the key store.</w:t>
            </w:r>
          </w:p>
        </w:tc>
      </w:tr>
      <w:tr w:rsidR="00A720EB" w14:paraId="47818A81" w14:textId="77777777">
        <w:trPr>
          <w:trHeight w:val="627"/>
        </w:trPr>
        <w:tc>
          <w:tcPr>
            <w:tcW w:w="2494" w:type="dxa"/>
          </w:tcPr>
          <w:p w14:paraId="34BF0C2C" w14:textId="77777777" w:rsidR="00A720EB" w:rsidRDefault="0030286B">
            <w:pPr>
              <w:pStyle w:val="TableParagraph"/>
              <w:spacing w:before="46" w:line="230" w:lineRule="auto"/>
              <w:ind w:right="94"/>
              <w:rPr>
                <w:sz w:val="21"/>
              </w:rPr>
            </w:pPr>
            <w:proofErr w:type="gramStart"/>
            <w:r>
              <w:rPr>
                <w:color w:val="B02045"/>
                <w:sz w:val="21"/>
              </w:rPr>
              <w:t>spring.kafka.ssl.proto</w:t>
            </w:r>
            <w:proofErr w:type="gramEnd"/>
            <w:r>
              <w:rPr>
                <w:color w:val="B02045"/>
                <w:sz w:val="21"/>
              </w:rPr>
              <w:t xml:space="preserve"> col</w:t>
            </w:r>
          </w:p>
        </w:tc>
        <w:tc>
          <w:tcPr>
            <w:tcW w:w="2494" w:type="dxa"/>
          </w:tcPr>
          <w:p w14:paraId="2042C2E3" w14:textId="77777777" w:rsidR="00A720EB" w:rsidRDefault="00A720EB">
            <w:pPr>
              <w:pStyle w:val="TableParagraph"/>
              <w:spacing w:before="0"/>
              <w:ind w:left="0"/>
              <w:rPr>
                <w:rFonts w:ascii="Times New Roman"/>
                <w:sz w:val="20"/>
              </w:rPr>
            </w:pPr>
          </w:p>
        </w:tc>
        <w:tc>
          <w:tcPr>
            <w:tcW w:w="4988" w:type="dxa"/>
          </w:tcPr>
          <w:p w14:paraId="3C3B3C35" w14:textId="77777777" w:rsidR="00A720EB" w:rsidRDefault="0030286B">
            <w:pPr>
              <w:pStyle w:val="TableParagraph"/>
              <w:spacing w:before="92"/>
              <w:rPr>
                <w:rFonts w:ascii="Cambria"/>
                <w:sz w:val="21"/>
              </w:rPr>
            </w:pPr>
            <w:r>
              <w:rPr>
                <w:rFonts w:ascii="Cambria"/>
                <w:color w:val="333333"/>
                <w:w w:val="110"/>
                <w:sz w:val="21"/>
              </w:rPr>
              <w:t>SSL protocol to use.</w:t>
            </w:r>
          </w:p>
        </w:tc>
      </w:tr>
      <w:tr w:rsidR="00A720EB" w14:paraId="027E8E05" w14:textId="77777777">
        <w:trPr>
          <w:trHeight w:val="627"/>
        </w:trPr>
        <w:tc>
          <w:tcPr>
            <w:tcW w:w="2494" w:type="dxa"/>
          </w:tcPr>
          <w:p w14:paraId="4FAB5B1E" w14:textId="77777777" w:rsidR="00A720EB" w:rsidRDefault="0030286B">
            <w:pPr>
              <w:pStyle w:val="TableParagraph"/>
              <w:spacing w:before="37" w:line="264" w:lineRule="exact"/>
              <w:rPr>
                <w:sz w:val="21"/>
              </w:rPr>
            </w:pPr>
            <w:proofErr w:type="gramStart"/>
            <w:r>
              <w:rPr>
                <w:color w:val="B02045"/>
                <w:sz w:val="21"/>
              </w:rPr>
              <w:lastRenderedPageBreak/>
              <w:t>spring.kafka.ssl.trust</w:t>
            </w:r>
            <w:proofErr w:type="gramEnd"/>
          </w:p>
          <w:p w14:paraId="7BD36915" w14:textId="77777777" w:rsidR="00A720EB" w:rsidRDefault="0030286B">
            <w:pPr>
              <w:pStyle w:val="TableParagraph"/>
              <w:spacing w:before="0" w:line="264" w:lineRule="exact"/>
              <w:rPr>
                <w:sz w:val="21"/>
              </w:rPr>
            </w:pPr>
            <w:r>
              <w:rPr>
                <w:color w:val="B02045"/>
                <w:sz w:val="21"/>
              </w:rPr>
              <w:t>-store-location</w:t>
            </w:r>
          </w:p>
        </w:tc>
        <w:tc>
          <w:tcPr>
            <w:tcW w:w="2494" w:type="dxa"/>
          </w:tcPr>
          <w:p w14:paraId="78734D00" w14:textId="77777777" w:rsidR="00A720EB" w:rsidRDefault="00A720EB">
            <w:pPr>
              <w:pStyle w:val="TableParagraph"/>
              <w:spacing w:before="0"/>
              <w:ind w:left="0"/>
              <w:rPr>
                <w:rFonts w:ascii="Times New Roman"/>
                <w:sz w:val="20"/>
              </w:rPr>
            </w:pPr>
          </w:p>
        </w:tc>
        <w:tc>
          <w:tcPr>
            <w:tcW w:w="4988" w:type="dxa"/>
          </w:tcPr>
          <w:p w14:paraId="7A5DFB4C" w14:textId="77777777" w:rsidR="00A720EB" w:rsidRDefault="0030286B">
            <w:pPr>
              <w:pStyle w:val="TableParagraph"/>
              <w:spacing w:before="92"/>
              <w:rPr>
                <w:rFonts w:ascii="Cambria"/>
                <w:sz w:val="21"/>
              </w:rPr>
            </w:pPr>
            <w:r>
              <w:rPr>
                <w:rFonts w:ascii="Cambria"/>
                <w:color w:val="333333"/>
                <w:w w:val="110"/>
                <w:sz w:val="21"/>
              </w:rPr>
              <w:t>Location of the trust store file.</w:t>
            </w:r>
          </w:p>
        </w:tc>
      </w:tr>
    </w:tbl>
    <w:p w14:paraId="4C1B0F96"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53BB95B" w14:textId="77777777">
        <w:trPr>
          <w:trHeight w:val="415"/>
        </w:trPr>
        <w:tc>
          <w:tcPr>
            <w:tcW w:w="2494" w:type="dxa"/>
            <w:tcBorders>
              <w:bottom w:val="single" w:sz="12" w:space="0" w:color="DDDDDD"/>
            </w:tcBorders>
          </w:tcPr>
          <w:p w14:paraId="4531C90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1FB0D9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744CB65"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E3DBD7F" w14:textId="77777777">
        <w:trPr>
          <w:trHeight w:val="617"/>
        </w:trPr>
        <w:tc>
          <w:tcPr>
            <w:tcW w:w="2494" w:type="dxa"/>
            <w:tcBorders>
              <w:top w:val="single" w:sz="12" w:space="0" w:color="DDDDDD"/>
            </w:tcBorders>
          </w:tcPr>
          <w:p w14:paraId="3F42C5D4" w14:textId="77777777" w:rsidR="00A720EB" w:rsidRDefault="0030286B">
            <w:pPr>
              <w:pStyle w:val="TableParagraph"/>
              <w:spacing w:before="27" w:line="264" w:lineRule="exact"/>
              <w:rPr>
                <w:sz w:val="21"/>
              </w:rPr>
            </w:pPr>
            <w:proofErr w:type="gramStart"/>
            <w:r>
              <w:rPr>
                <w:color w:val="B02045"/>
                <w:sz w:val="21"/>
              </w:rPr>
              <w:t>spring.kafka.ssl.trust</w:t>
            </w:r>
            <w:proofErr w:type="gramEnd"/>
          </w:p>
          <w:p w14:paraId="7FAC33D3" w14:textId="77777777" w:rsidR="00A720EB" w:rsidRDefault="0030286B">
            <w:pPr>
              <w:pStyle w:val="TableParagraph"/>
              <w:spacing w:before="0" w:line="264" w:lineRule="exact"/>
              <w:rPr>
                <w:sz w:val="21"/>
              </w:rPr>
            </w:pPr>
            <w:r>
              <w:rPr>
                <w:color w:val="B02045"/>
                <w:sz w:val="21"/>
              </w:rPr>
              <w:t>-store-password</w:t>
            </w:r>
          </w:p>
        </w:tc>
        <w:tc>
          <w:tcPr>
            <w:tcW w:w="2494" w:type="dxa"/>
            <w:tcBorders>
              <w:top w:val="single" w:sz="12" w:space="0" w:color="DDDDDD"/>
            </w:tcBorders>
          </w:tcPr>
          <w:p w14:paraId="0C4D0F61"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0353BB1B" w14:textId="77777777" w:rsidR="00A720EB" w:rsidRDefault="0030286B">
            <w:pPr>
              <w:pStyle w:val="TableParagraph"/>
              <w:spacing w:before="82"/>
              <w:rPr>
                <w:rFonts w:ascii="Cambria"/>
                <w:sz w:val="21"/>
              </w:rPr>
            </w:pPr>
            <w:r>
              <w:rPr>
                <w:rFonts w:ascii="Cambria"/>
                <w:color w:val="333333"/>
                <w:w w:val="110"/>
                <w:sz w:val="21"/>
              </w:rPr>
              <w:t>Store password for the trust store file.</w:t>
            </w:r>
          </w:p>
        </w:tc>
      </w:tr>
      <w:tr w:rsidR="00A720EB" w14:paraId="24AD26EC" w14:textId="77777777">
        <w:trPr>
          <w:trHeight w:val="627"/>
        </w:trPr>
        <w:tc>
          <w:tcPr>
            <w:tcW w:w="2494" w:type="dxa"/>
          </w:tcPr>
          <w:p w14:paraId="619B7DF0" w14:textId="77777777" w:rsidR="00A720EB" w:rsidRDefault="0030286B">
            <w:pPr>
              <w:pStyle w:val="TableParagraph"/>
              <w:spacing w:before="37" w:line="264" w:lineRule="exact"/>
              <w:rPr>
                <w:sz w:val="21"/>
              </w:rPr>
            </w:pPr>
            <w:proofErr w:type="gramStart"/>
            <w:r>
              <w:rPr>
                <w:color w:val="B02045"/>
                <w:sz w:val="21"/>
              </w:rPr>
              <w:t>spring.kafka.ssl.trust</w:t>
            </w:r>
            <w:proofErr w:type="gramEnd"/>
          </w:p>
          <w:p w14:paraId="253B5800" w14:textId="77777777" w:rsidR="00A720EB" w:rsidRDefault="0030286B">
            <w:pPr>
              <w:pStyle w:val="TableParagraph"/>
              <w:spacing w:before="0" w:line="264" w:lineRule="exact"/>
              <w:rPr>
                <w:sz w:val="21"/>
              </w:rPr>
            </w:pPr>
            <w:r>
              <w:rPr>
                <w:color w:val="B02045"/>
                <w:sz w:val="21"/>
              </w:rPr>
              <w:t>-store-type</w:t>
            </w:r>
          </w:p>
        </w:tc>
        <w:tc>
          <w:tcPr>
            <w:tcW w:w="2494" w:type="dxa"/>
          </w:tcPr>
          <w:p w14:paraId="70ABBC7B" w14:textId="77777777" w:rsidR="00A720EB" w:rsidRDefault="00A720EB">
            <w:pPr>
              <w:pStyle w:val="TableParagraph"/>
              <w:spacing w:before="0"/>
              <w:ind w:left="0"/>
              <w:rPr>
                <w:rFonts w:ascii="Times New Roman"/>
                <w:sz w:val="20"/>
              </w:rPr>
            </w:pPr>
          </w:p>
        </w:tc>
        <w:tc>
          <w:tcPr>
            <w:tcW w:w="4988" w:type="dxa"/>
          </w:tcPr>
          <w:p w14:paraId="076ABBA4" w14:textId="77777777" w:rsidR="00A720EB" w:rsidRDefault="0030286B">
            <w:pPr>
              <w:pStyle w:val="TableParagraph"/>
              <w:spacing w:before="92"/>
              <w:rPr>
                <w:rFonts w:ascii="Cambria"/>
                <w:sz w:val="21"/>
              </w:rPr>
            </w:pPr>
            <w:r>
              <w:rPr>
                <w:rFonts w:ascii="Cambria"/>
                <w:color w:val="333333"/>
                <w:w w:val="110"/>
                <w:sz w:val="21"/>
              </w:rPr>
              <w:t>Type of the trust store.</w:t>
            </w:r>
          </w:p>
        </w:tc>
      </w:tr>
      <w:tr w:rsidR="00A720EB" w14:paraId="20532198" w14:textId="77777777">
        <w:trPr>
          <w:trHeight w:val="741"/>
        </w:trPr>
        <w:tc>
          <w:tcPr>
            <w:tcW w:w="2494" w:type="dxa"/>
          </w:tcPr>
          <w:p w14:paraId="21BAE2E2"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.streams.a pplication-id</w:t>
            </w:r>
          </w:p>
        </w:tc>
        <w:tc>
          <w:tcPr>
            <w:tcW w:w="2494" w:type="dxa"/>
          </w:tcPr>
          <w:p w14:paraId="199EC5F4" w14:textId="77777777" w:rsidR="00A720EB" w:rsidRDefault="00A720EB">
            <w:pPr>
              <w:pStyle w:val="TableParagraph"/>
              <w:spacing w:before="0"/>
              <w:ind w:left="0"/>
              <w:rPr>
                <w:rFonts w:ascii="Times New Roman"/>
                <w:sz w:val="20"/>
              </w:rPr>
            </w:pPr>
          </w:p>
        </w:tc>
        <w:tc>
          <w:tcPr>
            <w:tcW w:w="4988" w:type="dxa"/>
          </w:tcPr>
          <w:p w14:paraId="7B1CF0E9" w14:textId="77777777" w:rsidR="00A720EB" w:rsidRDefault="0030286B">
            <w:pPr>
              <w:pStyle w:val="TableParagraph"/>
              <w:spacing w:before="28" w:line="310" w:lineRule="atLeast"/>
              <w:rPr>
                <w:rFonts w:ascii="Cambria"/>
                <w:sz w:val="21"/>
              </w:rPr>
            </w:pPr>
            <w:r>
              <w:rPr>
                <w:rFonts w:ascii="Cambria"/>
                <w:color w:val="333333"/>
                <w:w w:val="110"/>
                <w:sz w:val="21"/>
              </w:rPr>
              <w:t>Kafka streams application.id property; default spring.application.name.</w:t>
            </w:r>
          </w:p>
        </w:tc>
      </w:tr>
      <w:tr w:rsidR="00A720EB" w14:paraId="6B729045" w14:textId="77777777">
        <w:trPr>
          <w:trHeight w:val="741"/>
        </w:trPr>
        <w:tc>
          <w:tcPr>
            <w:tcW w:w="2494" w:type="dxa"/>
          </w:tcPr>
          <w:p w14:paraId="303C7CF1"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.streams.a uto-startup</w:t>
            </w:r>
          </w:p>
        </w:tc>
        <w:tc>
          <w:tcPr>
            <w:tcW w:w="2494" w:type="dxa"/>
          </w:tcPr>
          <w:p w14:paraId="1B91F049" w14:textId="77777777" w:rsidR="00A720EB" w:rsidRDefault="0030286B">
            <w:pPr>
              <w:pStyle w:val="TableParagraph"/>
              <w:rPr>
                <w:sz w:val="21"/>
              </w:rPr>
            </w:pPr>
            <w:r>
              <w:rPr>
                <w:color w:val="B02045"/>
                <w:sz w:val="21"/>
              </w:rPr>
              <w:t>true</w:t>
            </w:r>
          </w:p>
        </w:tc>
        <w:tc>
          <w:tcPr>
            <w:tcW w:w="4988" w:type="dxa"/>
          </w:tcPr>
          <w:p w14:paraId="48BBE5FA" w14:textId="77777777" w:rsidR="00A720EB" w:rsidRDefault="0030286B">
            <w:pPr>
              <w:pStyle w:val="TableParagraph"/>
              <w:spacing w:before="28" w:line="310" w:lineRule="atLeast"/>
              <w:rPr>
                <w:rFonts w:ascii="Cambria"/>
                <w:sz w:val="21"/>
              </w:rPr>
            </w:pPr>
            <w:r>
              <w:rPr>
                <w:rFonts w:ascii="Cambria"/>
                <w:color w:val="333333"/>
                <w:w w:val="110"/>
                <w:sz w:val="21"/>
              </w:rPr>
              <w:t>Whether or not to auto-start the streams factory bean.</w:t>
            </w:r>
          </w:p>
        </w:tc>
      </w:tr>
      <w:tr w:rsidR="00A720EB" w14:paraId="47659F84" w14:textId="77777777">
        <w:trPr>
          <w:trHeight w:val="1372"/>
        </w:trPr>
        <w:tc>
          <w:tcPr>
            <w:tcW w:w="2494" w:type="dxa"/>
          </w:tcPr>
          <w:p w14:paraId="251588DA"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.streams.b ootstrap-servers</w:t>
            </w:r>
          </w:p>
        </w:tc>
        <w:tc>
          <w:tcPr>
            <w:tcW w:w="2494" w:type="dxa"/>
          </w:tcPr>
          <w:p w14:paraId="462FC852" w14:textId="77777777" w:rsidR="00A720EB" w:rsidRDefault="00A720EB">
            <w:pPr>
              <w:pStyle w:val="TableParagraph"/>
              <w:spacing w:before="0"/>
              <w:ind w:left="0"/>
              <w:rPr>
                <w:rFonts w:ascii="Times New Roman"/>
                <w:sz w:val="20"/>
              </w:rPr>
            </w:pPr>
          </w:p>
        </w:tc>
        <w:tc>
          <w:tcPr>
            <w:tcW w:w="4988" w:type="dxa"/>
          </w:tcPr>
          <w:p w14:paraId="3224C350" w14:textId="77777777" w:rsidR="00A720EB" w:rsidRDefault="0030286B">
            <w:pPr>
              <w:pStyle w:val="TableParagraph"/>
              <w:spacing w:before="28" w:line="310" w:lineRule="atLeast"/>
              <w:ind w:right="162"/>
              <w:rPr>
                <w:rFonts w:ascii="Cambria"/>
                <w:sz w:val="21"/>
              </w:rPr>
            </w:pPr>
            <w:r>
              <w:rPr>
                <w:rFonts w:ascii="Cambria"/>
                <w:color w:val="333333"/>
                <w:w w:val="110"/>
                <w:sz w:val="21"/>
              </w:rPr>
              <w:t xml:space="preserve">Comma-delimited list of </w:t>
            </w:r>
            <w:proofErr w:type="gramStart"/>
            <w:r>
              <w:rPr>
                <w:rFonts w:ascii="Cambria"/>
                <w:color w:val="333333"/>
                <w:w w:val="110"/>
                <w:sz w:val="21"/>
              </w:rPr>
              <w:t>host:port</w:t>
            </w:r>
            <w:proofErr w:type="gramEnd"/>
            <w:r>
              <w:rPr>
                <w:rFonts w:ascii="Cambria"/>
                <w:color w:val="333333"/>
                <w:w w:val="110"/>
                <w:sz w:val="21"/>
              </w:rPr>
              <w:t xml:space="preserve"> pairs to use for establishing the initial connections to the Kafka cluster. Overrides the global property, for streams.</w:t>
            </w:r>
          </w:p>
        </w:tc>
      </w:tr>
      <w:tr w:rsidR="00A720EB" w14:paraId="330DB271" w14:textId="77777777">
        <w:trPr>
          <w:trHeight w:val="886"/>
        </w:trPr>
        <w:tc>
          <w:tcPr>
            <w:tcW w:w="2494" w:type="dxa"/>
          </w:tcPr>
          <w:p w14:paraId="20A5616C"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.streams.c ache-max-size- buffering</w:t>
            </w:r>
          </w:p>
        </w:tc>
        <w:tc>
          <w:tcPr>
            <w:tcW w:w="2494" w:type="dxa"/>
          </w:tcPr>
          <w:p w14:paraId="0397373E" w14:textId="77777777" w:rsidR="00A720EB" w:rsidRDefault="00A720EB">
            <w:pPr>
              <w:pStyle w:val="TableParagraph"/>
              <w:spacing w:before="0"/>
              <w:ind w:left="0"/>
              <w:rPr>
                <w:rFonts w:ascii="Times New Roman"/>
                <w:sz w:val="20"/>
              </w:rPr>
            </w:pPr>
          </w:p>
        </w:tc>
        <w:tc>
          <w:tcPr>
            <w:tcW w:w="4988" w:type="dxa"/>
          </w:tcPr>
          <w:p w14:paraId="5B2EF22E" w14:textId="77777777" w:rsidR="00A720EB" w:rsidRDefault="0030286B">
            <w:pPr>
              <w:pStyle w:val="TableParagraph"/>
              <w:spacing w:before="92" w:line="307" w:lineRule="auto"/>
              <w:rPr>
                <w:rFonts w:ascii="Cambria"/>
                <w:sz w:val="21"/>
              </w:rPr>
            </w:pPr>
            <w:r>
              <w:rPr>
                <w:rFonts w:ascii="Cambria"/>
                <w:color w:val="333333"/>
                <w:w w:val="110"/>
                <w:sz w:val="21"/>
              </w:rPr>
              <w:t>Maximum memory size to be used for buffering across all threads.</w:t>
            </w:r>
          </w:p>
        </w:tc>
      </w:tr>
      <w:tr w:rsidR="00A720EB" w14:paraId="485AB185" w14:textId="77777777">
        <w:trPr>
          <w:trHeight w:val="741"/>
        </w:trPr>
        <w:tc>
          <w:tcPr>
            <w:tcW w:w="2494" w:type="dxa"/>
          </w:tcPr>
          <w:p w14:paraId="2F8369D3"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.streams.c lient-id</w:t>
            </w:r>
          </w:p>
        </w:tc>
        <w:tc>
          <w:tcPr>
            <w:tcW w:w="2494" w:type="dxa"/>
          </w:tcPr>
          <w:p w14:paraId="5F7F9626" w14:textId="77777777" w:rsidR="00A720EB" w:rsidRDefault="00A720EB">
            <w:pPr>
              <w:pStyle w:val="TableParagraph"/>
              <w:spacing w:before="0"/>
              <w:ind w:left="0"/>
              <w:rPr>
                <w:rFonts w:ascii="Times New Roman"/>
                <w:sz w:val="20"/>
              </w:rPr>
            </w:pPr>
          </w:p>
        </w:tc>
        <w:tc>
          <w:tcPr>
            <w:tcW w:w="4988" w:type="dxa"/>
          </w:tcPr>
          <w:p w14:paraId="3CB0091F" w14:textId="77777777" w:rsidR="00A720EB" w:rsidRDefault="0030286B">
            <w:pPr>
              <w:pStyle w:val="TableParagraph"/>
              <w:spacing w:before="28" w:line="310" w:lineRule="atLeast"/>
              <w:rPr>
                <w:rFonts w:ascii="Cambria"/>
                <w:sz w:val="21"/>
              </w:rPr>
            </w:pPr>
            <w:r>
              <w:rPr>
                <w:rFonts w:ascii="Cambria"/>
                <w:color w:val="333333"/>
                <w:w w:val="110"/>
                <w:sz w:val="21"/>
              </w:rPr>
              <w:t>ID to pass to the server when making requests. Used for server-side logging.</w:t>
            </w:r>
          </w:p>
        </w:tc>
      </w:tr>
      <w:tr w:rsidR="00A720EB" w14:paraId="4BC43A6A" w14:textId="77777777">
        <w:trPr>
          <w:trHeight w:val="741"/>
        </w:trPr>
        <w:tc>
          <w:tcPr>
            <w:tcW w:w="2494" w:type="dxa"/>
          </w:tcPr>
          <w:p w14:paraId="5A590B30"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.streams.p roperties.*</w:t>
            </w:r>
          </w:p>
        </w:tc>
        <w:tc>
          <w:tcPr>
            <w:tcW w:w="2494" w:type="dxa"/>
          </w:tcPr>
          <w:p w14:paraId="250F2268" w14:textId="77777777" w:rsidR="00A720EB" w:rsidRDefault="00A720EB">
            <w:pPr>
              <w:pStyle w:val="TableParagraph"/>
              <w:spacing w:before="0"/>
              <w:ind w:left="0"/>
              <w:rPr>
                <w:rFonts w:ascii="Times New Roman"/>
                <w:sz w:val="20"/>
              </w:rPr>
            </w:pPr>
          </w:p>
        </w:tc>
        <w:tc>
          <w:tcPr>
            <w:tcW w:w="4988" w:type="dxa"/>
          </w:tcPr>
          <w:p w14:paraId="50A7ADD2" w14:textId="77777777" w:rsidR="00A720EB" w:rsidRDefault="0030286B">
            <w:pPr>
              <w:pStyle w:val="TableParagraph"/>
              <w:spacing w:before="28" w:line="310" w:lineRule="atLeast"/>
              <w:ind w:right="372"/>
              <w:rPr>
                <w:rFonts w:ascii="Cambria"/>
                <w:sz w:val="21"/>
              </w:rPr>
            </w:pPr>
            <w:r>
              <w:rPr>
                <w:rFonts w:ascii="Cambria"/>
                <w:color w:val="333333"/>
                <w:w w:val="110"/>
                <w:sz w:val="21"/>
              </w:rPr>
              <w:t>Additional Kafka properties used to configure the streams.</w:t>
            </w:r>
          </w:p>
        </w:tc>
      </w:tr>
      <w:tr w:rsidR="00A720EB" w14:paraId="3DA16AEA" w14:textId="77777777">
        <w:trPr>
          <w:trHeight w:val="1056"/>
        </w:trPr>
        <w:tc>
          <w:tcPr>
            <w:tcW w:w="2494" w:type="dxa"/>
          </w:tcPr>
          <w:p w14:paraId="4201C847"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.streams.r eplication-factor</w:t>
            </w:r>
          </w:p>
        </w:tc>
        <w:tc>
          <w:tcPr>
            <w:tcW w:w="2494" w:type="dxa"/>
          </w:tcPr>
          <w:p w14:paraId="596D287A" w14:textId="77777777" w:rsidR="00A720EB" w:rsidRDefault="00A720EB">
            <w:pPr>
              <w:pStyle w:val="TableParagraph"/>
              <w:spacing w:before="0"/>
              <w:ind w:left="0"/>
              <w:rPr>
                <w:rFonts w:ascii="Times New Roman"/>
                <w:sz w:val="20"/>
              </w:rPr>
            </w:pPr>
          </w:p>
        </w:tc>
        <w:tc>
          <w:tcPr>
            <w:tcW w:w="4988" w:type="dxa"/>
          </w:tcPr>
          <w:p w14:paraId="4BB6C49C" w14:textId="77777777" w:rsidR="00A720EB" w:rsidRDefault="0030286B">
            <w:pPr>
              <w:pStyle w:val="TableParagraph"/>
              <w:spacing w:before="28" w:line="310" w:lineRule="atLeast"/>
              <w:rPr>
                <w:rFonts w:ascii="Cambria"/>
                <w:sz w:val="21"/>
              </w:rPr>
            </w:pPr>
            <w:r>
              <w:rPr>
                <w:rFonts w:ascii="Cambria"/>
                <w:color w:val="333333"/>
                <w:w w:val="110"/>
                <w:sz w:val="21"/>
              </w:rPr>
              <w:t>The replication factor for change log topics and repartition topics created by the stream processing application.</w:t>
            </w:r>
          </w:p>
        </w:tc>
      </w:tr>
      <w:tr w:rsidR="00A720EB" w14:paraId="0050BACF" w14:textId="77777777">
        <w:trPr>
          <w:trHeight w:val="741"/>
        </w:trPr>
        <w:tc>
          <w:tcPr>
            <w:tcW w:w="2494" w:type="dxa"/>
          </w:tcPr>
          <w:p w14:paraId="748F6F77"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.streams.s ecurity.protocol</w:t>
            </w:r>
          </w:p>
        </w:tc>
        <w:tc>
          <w:tcPr>
            <w:tcW w:w="2494" w:type="dxa"/>
          </w:tcPr>
          <w:p w14:paraId="3DB42DFA" w14:textId="77777777" w:rsidR="00A720EB" w:rsidRDefault="00A720EB">
            <w:pPr>
              <w:pStyle w:val="TableParagraph"/>
              <w:spacing w:before="0"/>
              <w:ind w:left="0"/>
              <w:rPr>
                <w:rFonts w:ascii="Times New Roman"/>
                <w:sz w:val="20"/>
              </w:rPr>
            </w:pPr>
          </w:p>
        </w:tc>
        <w:tc>
          <w:tcPr>
            <w:tcW w:w="4988" w:type="dxa"/>
          </w:tcPr>
          <w:p w14:paraId="4454B280" w14:textId="77777777" w:rsidR="00A720EB" w:rsidRDefault="0030286B">
            <w:pPr>
              <w:pStyle w:val="TableParagraph"/>
              <w:spacing w:before="28" w:line="310" w:lineRule="atLeast"/>
              <w:rPr>
                <w:rFonts w:ascii="Cambria"/>
                <w:sz w:val="21"/>
              </w:rPr>
            </w:pPr>
            <w:r>
              <w:rPr>
                <w:rFonts w:ascii="Cambria"/>
                <w:color w:val="333333"/>
                <w:w w:val="110"/>
                <w:sz w:val="21"/>
              </w:rPr>
              <w:t>Security protocol used to communicate with brokers.</w:t>
            </w:r>
          </w:p>
        </w:tc>
      </w:tr>
      <w:tr w:rsidR="00A720EB" w14:paraId="677DE097" w14:textId="77777777">
        <w:trPr>
          <w:trHeight w:val="627"/>
        </w:trPr>
        <w:tc>
          <w:tcPr>
            <w:tcW w:w="2494" w:type="dxa"/>
          </w:tcPr>
          <w:p w14:paraId="341B56AA"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.streams.s sl.key-password</w:t>
            </w:r>
          </w:p>
        </w:tc>
        <w:tc>
          <w:tcPr>
            <w:tcW w:w="2494" w:type="dxa"/>
          </w:tcPr>
          <w:p w14:paraId="17D88BD5" w14:textId="77777777" w:rsidR="00A720EB" w:rsidRDefault="00A720EB">
            <w:pPr>
              <w:pStyle w:val="TableParagraph"/>
              <w:spacing w:before="0"/>
              <w:ind w:left="0"/>
              <w:rPr>
                <w:rFonts w:ascii="Times New Roman"/>
                <w:sz w:val="20"/>
              </w:rPr>
            </w:pPr>
          </w:p>
        </w:tc>
        <w:tc>
          <w:tcPr>
            <w:tcW w:w="4988" w:type="dxa"/>
          </w:tcPr>
          <w:p w14:paraId="69792499" w14:textId="77777777" w:rsidR="00A720EB" w:rsidRDefault="0030286B">
            <w:pPr>
              <w:pStyle w:val="TableParagraph"/>
              <w:spacing w:before="92"/>
              <w:rPr>
                <w:rFonts w:ascii="Cambria"/>
                <w:sz w:val="21"/>
              </w:rPr>
            </w:pPr>
            <w:r>
              <w:rPr>
                <w:rFonts w:ascii="Cambria"/>
                <w:color w:val="333333"/>
                <w:w w:val="110"/>
                <w:sz w:val="21"/>
              </w:rPr>
              <w:t>Password of the private key in the key store file.</w:t>
            </w:r>
          </w:p>
        </w:tc>
      </w:tr>
      <w:tr w:rsidR="00A720EB" w14:paraId="4E36F254" w14:textId="77777777">
        <w:trPr>
          <w:trHeight w:val="627"/>
        </w:trPr>
        <w:tc>
          <w:tcPr>
            <w:tcW w:w="2494" w:type="dxa"/>
          </w:tcPr>
          <w:p w14:paraId="631DE6FB"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.streams.s sl.key-store-location</w:t>
            </w:r>
          </w:p>
        </w:tc>
        <w:tc>
          <w:tcPr>
            <w:tcW w:w="2494" w:type="dxa"/>
          </w:tcPr>
          <w:p w14:paraId="0D331B21" w14:textId="77777777" w:rsidR="00A720EB" w:rsidRDefault="00A720EB">
            <w:pPr>
              <w:pStyle w:val="TableParagraph"/>
              <w:spacing w:before="0"/>
              <w:ind w:left="0"/>
              <w:rPr>
                <w:rFonts w:ascii="Times New Roman"/>
                <w:sz w:val="20"/>
              </w:rPr>
            </w:pPr>
          </w:p>
        </w:tc>
        <w:tc>
          <w:tcPr>
            <w:tcW w:w="4988" w:type="dxa"/>
          </w:tcPr>
          <w:p w14:paraId="7CA482B2" w14:textId="77777777" w:rsidR="00A720EB" w:rsidRDefault="0030286B">
            <w:pPr>
              <w:pStyle w:val="TableParagraph"/>
              <w:spacing w:before="92"/>
              <w:rPr>
                <w:rFonts w:ascii="Cambria"/>
                <w:sz w:val="21"/>
              </w:rPr>
            </w:pPr>
            <w:r>
              <w:rPr>
                <w:rFonts w:ascii="Cambria"/>
                <w:color w:val="333333"/>
                <w:w w:val="110"/>
                <w:sz w:val="21"/>
              </w:rPr>
              <w:t>Location of the key store file.</w:t>
            </w:r>
          </w:p>
        </w:tc>
      </w:tr>
      <w:tr w:rsidR="00A720EB" w14:paraId="22EAD366" w14:textId="77777777">
        <w:trPr>
          <w:trHeight w:val="627"/>
        </w:trPr>
        <w:tc>
          <w:tcPr>
            <w:tcW w:w="2494" w:type="dxa"/>
          </w:tcPr>
          <w:p w14:paraId="2CFB7089"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.streams.s sl.key-store-password</w:t>
            </w:r>
          </w:p>
        </w:tc>
        <w:tc>
          <w:tcPr>
            <w:tcW w:w="2494" w:type="dxa"/>
          </w:tcPr>
          <w:p w14:paraId="45190073" w14:textId="77777777" w:rsidR="00A720EB" w:rsidRDefault="00A720EB">
            <w:pPr>
              <w:pStyle w:val="TableParagraph"/>
              <w:spacing w:before="0"/>
              <w:ind w:left="0"/>
              <w:rPr>
                <w:rFonts w:ascii="Times New Roman"/>
                <w:sz w:val="20"/>
              </w:rPr>
            </w:pPr>
          </w:p>
        </w:tc>
        <w:tc>
          <w:tcPr>
            <w:tcW w:w="4988" w:type="dxa"/>
          </w:tcPr>
          <w:p w14:paraId="6B331CF5" w14:textId="77777777" w:rsidR="00A720EB" w:rsidRDefault="0030286B">
            <w:pPr>
              <w:pStyle w:val="TableParagraph"/>
              <w:spacing w:before="92"/>
              <w:rPr>
                <w:rFonts w:ascii="Cambria"/>
                <w:sz w:val="21"/>
              </w:rPr>
            </w:pPr>
            <w:r>
              <w:rPr>
                <w:rFonts w:ascii="Cambria"/>
                <w:color w:val="333333"/>
                <w:w w:val="110"/>
                <w:sz w:val="21"/>
              </w:rPr>
              <w:t>Store password for the key store file.</w:t>
            </w:r>
          </w:p>
        </w:tc>
      </w:tr>
      <w:tr w:rsidR="00A720EB" w14:paraId="26109D1C" w14:textId="77777777">
        <w:trPr>
          <w:trHeight w:val="627"/>
        </w:trPr>
        <w:tc>
          <w:tcPr>
            <w:tcW w:w="2494" w:type="dxa"/>
          </w:tcPr>
          <w:p w14:paraId="25BCB537"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.streams.s sl.key-store-type</w:t>
            </w:r>
          </w:p>
        </w:tc>
        <w:tc>
          <w:tcPr>
            <w:tcW w:w="2494" w:type="dxa"/>
          </w:tcPr>
          <w:p w14:paraId="5380CB8E" w14:textId="77777777" w:rsidR="00A720EB" w:rsidRDefault="00A720EB">
            <w:pPr>
              <w:pStyle w:val="TableParagraph"/>
              <w:spacing w:before="0"/>
              <w:ind w:left="0"/>
              <w:rPr>
                <w:rFonts w:ascii="Times New Roman"/>
                <w:sz w:val="20"/>
              </w:rPr>
            </w:pPr>
          </w:p>
        </w:tc>
        <w:tc>
          <w:tcPr>
            <w:tcW w:w="4988" w:type="dxa"/>
          </w:tcPr>
          <w:p w14:paraId="0F0DF8DB" w14:textId="77777777" w:rsidR="00A720EB" w:rsidRDefault="0030286B">
            <w:pPr>
              <w:pStyle w:val="TableParagraph"/>
              <w:spacing w:before="92"/>
              <w:rPr>
                <w:rFonts w:ascii="Cambria"/>
                <w:sz w:val="21"/>
              </w:rPr>
            </w:pPr>
            <w:r>
              <w:rPr>
                <w:rFonts w:ascii="Cambria"/>
                <w:color w:val="333333"/>
                <w:w w:val="110"/>
                <w:sz w:val="21"/>
              </w:rPr>
              <w:t>Type of the key store.</w:t>
            </w:r>
          </w:p>
        </w:tc>
      </w:tr>
      <w:tr w:rsidR="00A720EB" w14:paraId="6753F96A" w14:textId="77777777">
        <w:trPr>
          <w:trHeight w:val="627"/>
        </w:trPr>
        <w:tc>
          <w:tcPr>
            <w:tcW w:w="2494" w:type="dxa"/>
          </w:tcPr>
          <w:p w14:paraId="666813CF" w14:textId="77777777" w:rsidR="00A720EB" w:rsidRDefault="0030286B">
            <w:pPr>
              <w:pStyle w:val="TableParagraph"/>
              <w:spacing w:before="46" w:line="230" w:lineRule="auto"/>
              <w:ind w:right="94"/>
              <w:rPr>
                <w:sz w:val="21"/>
              </w:rPr>
            </w:pPr>
            <w:proofErr w:type="gramStart"/>
            <w:r>
              <w:rPr>
                <w:color w:val="B02045"/>
                <w:sz w:val="21"/>
              </w:rPr>
              <w:t>spring.kafka</w:t>
            </w:r>
            <w:proofErr w:type="gramEnd"/>
            <w:r>
              <w:rPr>
                <w:color w:val="B02045"/>
                <w:sz w:val="21"/>
              </w:rPr>
              <w:t>.streams.s sl.protocol</w:t>
            </w:r>
          </w:p>
        </w:tc>
        <w:tc>
          <w:tcPr>
            <w:tcW w:w="2494" w:type="dxa"/>
          </w:tcPr>
          <w:p w14:paraId="41CCE7D5" w14:textId="77777777" w:rsidR="00A720EB" w:rsidRDefault="00A720EB">
            <w:pPr>
              <w:pStyle w:val="TableParagraph"/>
              <w:spacing w:before="0"/>
              <w:ind w:left="0"/>
              <w:rPr>
                <w:rFonts w:ascii="Times New Roman"/>
                <w:sz w:val="20"/>
              </w:rPr>
            </w:pPr>
          </w:p>
        </w:tc>
        <w:tc>
          <w:tcPr>
            <w:tcW w:w="4988" w:type="dxa"/>
          </w:tcPr>
          <w:p w14:paraId="6CE6A4FA" w14:textId="77777777" w:rsidR="00A720EB" w:rsidRDefault="0030286B">
            <w:pPr>
              <w:pStyle w:val="TableParagraph"/>
              <w:spacing w:before="92"/>
              <w:rPr>
                <w:rFonts w:ascii="Cambria"/>
                <w:sz w:val="21"/>
              </w:rPr>
            </w:pPr>
            <w:r>
              <w:rPr>
                <w:rFonts w:ascii="Cambria"/>
                <w:color w:val="333333"/>
                <w:w w:val="110"/>
                <w:sz w:val="21"/>
              </w:rPr>
              <w:t>SSL protocol to use.</w:t>
            </w:r>
          </w:p>
        </w:tc>
      </w:tr>
      <w:tr w:rsidR="00A720EB" w14:paraId="2A7B04E2" w14:textId="77777777">
        <w:trPr>
          <w:trHeight w:val="886"/>
        </w:trPr>
        <w:tc>
          <w:tcPr>
            <w:tcW w:w="2494" w:type="dxa"/>
          </w:tcPr>
          <w:p w14:paraId="1B94353F"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.streams.s sl.trust-store- location</w:t>
            </w:r>
          </w:p>
        </w:tc>
        <w:tc>
          <w:tcPr>
            <w:tcW w:w="2494" w:type="dxa"/>
          </w:tcPr>
          <w:p w14:paraId="1FCB6E48" w14:textId="77777777" w:rsidR="00A720EB" w:rsidRDefault="00A720EB">
            <w:pPr>
              <w:pStyle w:val="TableParagraph"/>
              <w:spacing w:before="0"/>
              <w:ind w:left="0"/>
              <w:rPr>
                <w:rFonts w:ascii="Times New Roman"/>
                <w:sz w:val="20"/>
              </w:rPr>
            </w:pPr>
          </w:p>
        </w:tc>
        <w:tc>
          <w:tcPr>
            <w:tcW w:w="4988" w:type="dxa"/>
          </w:tcPr>
          <w:p w14:paraId="5A528311" w14:textId="77777777" w:rsidR="00A720EB" w:rsidRDefault="0030286B">
            <w:pPr>
              <w:pStyle w:val="TableParagraph"/>
              <w:spacing w:before="92"/>
              <w:rPr>
                <w:rFonts w:ascii="Cambria"/>
                <w:sz w:val="21"/>
              </w:rPr>
            </w:pPr>
            <w:r>
              <w:rPr>
                <w:rFonts w:ascii="Cambria"/>
                <w:color w:val="333333"/>
                <w:w w:val="110"/>
                <w:sz w:val="21"/>
              </w:rPr>
              <w:t>Location of the trust store file.</w:t>
            </w:r>
          </w:p>
        </w:tc>
      </w:tr>
      <w:tr w:rsidR="00A720EB" w14:paraId="0501D0B6" w14:textId="77777777">
        <w:trPr>
          <w:trHeight w:val="886"/>
        </w:trPr>
        <w:tc>
          <w:tcPr>
            <w:tcW w:w="2494" w:type="dxa"/>
          </w:tcPr>
          <w:p w14:paraId="4C77268C"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.streams.s sl.trust-store- password</w:t>
            </w:r>
          </w:p>
        </w:tc>
        <w:tc>
          <w:tcPr>
            <w:tcW w:w="2494" w:type="dxa"/>
          </w:tcPr>
          <w:p w14:paraId="120E978A" w14:textId="77777777" w:rsidR="00A720EB" w:rsidRDefault="00A720EB">
            <w:pPr>
              <w:pStyle w:val="TableParagraph"/>
              <w:spacing w:before="0"/>
              <w:ind w:left="0"/>
              <w:rPr>
                <w:rFonts w:ascii="Times New Roman"/>
                <w:sz w:val="20"/>
              </w:rPr>
            </w:pPr>
          </w:p>
        </w:tc>
        <w:tc>
          <w:tcPr>
            <w:tcW w:w="4988" w:type="dxa"/>
          </w:tcPr>
          <w:p w14:paraId="54D831F8" w14:textId="77777777" w:rsidR="00A720EB" w:rsidRDefault="0030286B">
            <w:pPr>
              <w:pStyle w:val="TableParagraph"/>
              <w:spacing w:before="92"/>
              <w:rPr>
                <w:rFonts w:ascii="Cambria"/>
                <w:sz w:val="21"/>
              </w:rPr>
            </w:pPr>
            <w:r>
              <w:rPr>
                <w:rFonts w:ascii="Cambria"/>
                <w:color w:val="333333"/>
                <w:w w:val="110"/>
                <w:sz w:val="21"/>
              </w:rPr>
              <w:t>Store password for the trust store file.</w:t>
            </w:r>
          </w:p>
        </w:tc>
      </w:tr>
      <w:tr w:rsidR="00A720EB" w14:paraId="5B5D84B6" w14:textId="77777777">
        <w:trPr>
          <w:trHeight w:val="627"/>
        </w:trPr>
        <w:tc>
          <w:tcPr>
            <w:tcW w:w="2494" w:type="dxa"/>
          </w:tcPr>
          <w:p w14:paraId="31B092E3" w14:textId="77777777" w:rsidR="00A720EB" w:rsidRDefault="0030286B">
            <w:pPr>
              <w:pStyle w:val="TableParagraph"/>
              <w:spacing w:before="46" w:line="230" w:lineRule="auto"/>
              <w:ind w:right="113"/>
              <w:rPr>
                <w:sz w:val="21"/>
              </w:rPr>
            </w:pPr>
            <w:proofErr w:type="gramStart"/>
            <w:r>
              <w:rPr>
                <w:color w:val="B02045"/>
                <w:sz w:val="21"/>
              </w:rPr>
              <w:t>spring.kafka</w:t>
            </w:r>
            <w:proofErr w:type="gramEnd"/>
            <w:r>
              <w:rPr>
                <w:color w:val="B02045"/>
                <w:sz w:val="21"/>
              </w:rPr>
              <w:t>.streams.s sl.trust-store-type</w:t>
            </w:r>
          </w:p>
        </w:tc>
        <w:tc>
          <w:tcPr>
            <w:tcW w:w="2494" w:type="dxa"/>
          </w:tcPr>
          <w:p w14:paraId="5DFFCDDA" w14:textId="77777777" w:rsidR="00A720EB" w:rsidRDefault="00A720EB">
            <w:pPr>
              <w:pStyle w:val="TableParagraph"/>
              <w:spacing w:before="0"/>
              <w:ind w:left="0"/>
              <w:rPr>
                <w:rFonts w:ascii="Times New Roman"/>
                <w:sz w:val="20"/>
              </w:rPr>
            </w:pPr>
          </w:p>
        </w:tc>
        <w:tc>
          <w:tcPr>
            <w:tcW w:w="4988" w:type="dxa"/>
          </w:tcPr>
          <w:p w14:paraId="398917A9" w14:textId="77777777" w:rsidR="00A720EB" w:rsidRDefault="0030286B">
            <w:pPr>
              <w:pStyle w:val="TableParagraph"/>
              <w:spacing w:before="92"/>
              <w:rPr>
                <w:rFonts w:ascii="Cambria"/>
                <w:sz w:val="21"/>
              </w:rPr>
            </w:pPr>
            <w:r>
              <w:rPr>
                <w:rFonts w:ascii="Cambria"/>
                <w:color w:val="333333"/>
                <w:w w:val="110"/>
                <w:sz w:val="21"/>
              </w:rPr>
              <w:t>Type of the trust store.</w:t>
            </w:r>
          </w:p>
        </w:tc>
      </w:tr>
      <w:tr w:rsidR="00A720EB" w14:paraId="67792156" w14:textId="77777777">
        <w:trPr>
          <w:trHeight w:val="627"/>
        </w:trPr>
        <w:tc>
          <w:tcPr>
            <w:tcW w:w="2494" w:type="dxa"/>
          </w:tcPr>
          <w:p w14:paraId="2DB91D8C" w14:textId="77777777" w:rsidR="00A720EB" w:rsidRDefault="0030286B">
            <w:pPr>
              <w:pStyle w:val="TableParagraph"/>
              <w:spacing w:before="46" w:line="230" w:lineRule="auto"/>
              <w:ind w:right="113"/>
              <w:rPr>
                <w:sz w:val="21"/>
              </w:rPr>
            </w:pPr>
            <w:proofErr w:type="gramStart"/>
            <w:r>
              <w:rPr>
                <w:color w:val="B02045"/>
                <w:sz w:val="21"/>
              </w:rPr>
              <w:lastRenderedPageBreak/>
              <w:t>spring.kafka</w:t>
            </w:r>
            <w:proofErr w:type="gramEnd"/>
            <w:r>
              <w:rPr>
                <w:color w:val="B02045"/>
                <w:sz w:val="21"/>
              </w:rPr>
              <w:t>.streams.s tate-dir</w:t>
            </w:r>
          </w:p>
        </w:tc>
        <w:tc>
          <w:tcPr>
            <w:tcW w:w="2494" w:type="dxa"/>
          </w:tcPr>
          <w:p w14:paraId="31AF5F20" w14:textId="77777777" w:rsidR="00A720EB" w:rsidRDefault="00A720EB">
            <w:pPr>
              <w:pStyle w:val="TableParagraph"/>
              <w:spacing w:before="0"/>
              <w:ind w:left="0"/>
              <w:rPr>
                <w:rFonts w:ascii="Times New Roman"/>
                <w:sz w:val="20"/>
              </w:rPr>
            </w:pPr>
          </w:p>
        </w:tc>
        <w:tc>
          <w:tcPr>
            <w:tcW w:w="4988" w:type="dxa"/>
          </w:tcPr>
          <w:p w14:paraId="2FE10B3E" w14:textId="77777777" w:rsidR="00A720EB" w:rsidRDefault="0030286B">
            <w:pPr>
              <w:pStyle w:val="TableParagraph"/>
              <w:spacing w:before="92"/>
              <w:rPr>
                <w:rFonts w:ascii="Cambria"/>
                <w:sz w:val="21"/>
              </w:rPr>
            </w:pPr>
            <w:r>
              <w:rPr>
                <w:rFonts w:ascii="Cambria"/>
                <w:color w:val="333333"/>
                <w:w w:val="110"/>
                <w:sz w:val="21"/>
              </w:rPr>
              <w:t>Directory location for the state store.</w:t>
            </w:r>
          </w:p>
        </w:tc>
      </w:tr>
    </w:tbl>
    <w:p w14:paraId="2D00DBF3"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1E6EFA1" w14:textId="77777777">
        <w:trPr>
          <w:trHeight w:val="415"/>
        </w:trPr>
        <w:tc>
          <w:tcPr>
            <w:tcW w:w="2494" w:type="dxa"/>
            <w:tcBorders>
              <w:bottom w:val="single" w:sz="12" w:space="0" w:color="DDDDDD"/>
            </w:tcBorders>
          </w:tcPr>
          <w:p w14:paraId="1502CED9"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7C61EF2"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69DE1A8"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C209075" w14:textId="77777777">
        <w:trPr>
          <w:trHeight w:val="617"/>
        </w:trPr>
        <w:tc>
          <w:tcPr>
            <w:tcW w:w="2494" w:type="dxa"/>
            <w:tcBorders>
              <w:top w:val="single" w:sz="12" w:space="0" w:color="DDDDDD"/>
            </w:tcBorders>
          </w:tcPr>
          <w:p w14:paraId="3383C83C" w14:textId="77777777" w:rsidR="00A720EB" w:rsidRDefault="0030286B">
            <w:pPr>
              <w:pStyle w:val="TableParagraph"/>
              <w:spacing w:before="36" w:line="230" w:lineRule="auto"/>
              <w:ind w:right="113"/>
              <w:rPr>
                <w:sz w:val="21"/>
              </w:rPr>
            </w:pPr>
            <w:proofErr w:type="gramStart"/>
            <w:r>
              <w:rPr>
                <w:color w:val="B02045"/>
                <w:sz w:val="21"/>
              </w:rPr>
              <w:t>spring.kafka</w:t>
            </w:r>
            <w:proofErr w:type="gramEnd"/>
            <w:r>
              <w:rPr>
                <w:color w:val="B02045"/>
                <w:sz w:val="21"/>
              </w:rPr>
              <w:t>.template. default-topic</w:t>
            </w:r>
          </w:p>
        </w:tc>
        <w:tc>
          <w:tcPr>
            <w:tcW w:w="2494" w:type="dxa"/>
            <w:tcBorders>
              <w:top w:val="single" w:sz="12" w:space="0" w:color="DDDDDD"/>
            </w:tcBorders>
          </w:tcPr>
          <w:p w14:paraId="61A569FB"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21DFA744" w14:textId="77777777" w:rsidR="00A720EB" w:rsidRDefault="0030286B">
            <w:pPr>
              <w:pStyle w:val="TableParagraph"/>
              <w:spacing w:before="82"/>
              <w:rPr>
                <w:rFonts w:ascii="Cambria"/>
                <w:sz w:val="21"/>
              </w:rPr>
            </w:pPr>
            <w:r>
              <w:rPr>
                <w:rFonts w:ascii="Cambria"/>
                <w:color w:val="333333"/>
                <w:w w:val="110"/>
                <w:sz w:val="21"/>
              </w:rPr>
              <w:t>Default topic to which messages are sent.</w:t>
            </w:r>
          </w:p>
        </w:tc>
      </w:tr>
      <w:tr w:rsidR="00A720EB" w14:paraId="6DF30286" w14:textId="77777777">
        <w:trPr>
          <w:trHeight w:val="1056"/>
        </w:trPr>
        <w:tc>
          <w:tcPr>
            <w:tcW w:w="2494" w:type="dxa"/>
          </w:tcPr>
          <w:p w14:paraId="28528730"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.addres ses</w:t>
            </w:r>
          </w:p>
        </w:tc>
        <w:tc>
          <w:tcPr>
            <w:tcW w:w="2494" w:type="dxa"/>
          </w:tcPr>
          <w:p w14:paraId="0118F623" w14:textId="77777777" w:rsidR="00A720EB" w:rsidRDefault="00A720EB">
            <w:pPr>
              <w:pStyle w:val="TableParagraph"/>
              <w:spacing w:before="0"/>
              <w:ind w:left="0"/>
              <w:rPr>
                <w:rFonts w:ascii="Times New Roman"/>
                <w:sz w:val="20"/>
              </w:rPr>
            </w:pPr>
          </w:p>
        </w:tc>
        <w:tc>
          <w:tcPr>
            <w:tcW w:w="4988" w:type="dxa"/>
          </w:tcPr>
          <w:p w14:paraId="35A74AF2" w14:textId="77777777" w:rsidR="00A720EB" w:rsidRDefault="0030286B">
            <w:pPr>
              <w:pStyle w:val="TableParagraph"/>
              <w:spacing w:before="28" w:line="310" w:lineRule="atLeast"/>
              <w:ind w:right="117"/>
              <w:rPr>
                <w:rFonts w:ascii="Cambria"/>
                <w:sz w:val="21"/>
              </w:rPr>
            </w:pPr>
            <w:r>
              <w:rPr>
                <w:rFonts w:ascii="Cambria"/>
                <w:color w:val="333333"/>
                <w:w w:val="110"/>
                <w:sz w:val="21"/>
              </w:rPr>
              <w:t>Comma-separated list of addresses to which the client should connect. When set, the host and port are ignored.</w:t>
            </w:r>
          </w:p>
        </w:tc>
      </w:tr>
      <w:tr w:rsidR="00A720EB" w14:paraId="0718D1F2" w14:textId="77777777">
        <w:trPr>
          <w:trHeight w:val="1056"/>
        </w:trPr>
        <w:tc>
          <w:tcPr>
            <w:tcW w:w="2494" w:type="dxa"/>
          </w:tcPr>
          <w:p w14:paraId="1EB4C777"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 xml:space="preserve">.cache. </w:t>
            </w:r>
            <w:proofErr w:type="gramStart"/>
            <w:r>
              <w:rPr>
                <w:color w:val="B02045"/>
                <w:sz w:val="21"/>
              </w:rPr>
              <w:t>channel.checkout</w:t>
            </w:r>
            <w:proofErr w:type="gramEnd"/>
            <w:r>
              <w:rPr>
                <w:color w:val="B02045"/>
                <w:sz w:val="21"/>
              </w:rPr>
              <w:t>- timeout</w:t>
            </w:r>
          </w:p>
        </w:tc>
        <w:tc>
          <w:tcPr>
            <w:tcW w:w="2494" w:type="dxa"/>
          </w:tcPr>
          <w:p w14:paraId="1854F294" w14:textId="77777777" w:rsidR="00A720EB" w:rsidRDefault="00A720EB">
            <w:pPr>
              <w:pStyle w:val="TableParagraph"/>
              <w:spacing w:before="0"/>
              <w:ind w:left="0"/>
              <w:rPr>
                <w:rFonts w:ascii="Times New Roman"/>
                <w:sz w:val="20"/>
              </w:rPr>
            </w:pPr>
          </w:p>
        </w:tc>
        <w:tc>
          <w:tcPr>
            <w:tcW w:w="4988" w:type="dxa"/>
          </w:tcPr>
          <w:p w14:paraId="0DEAE326" w14:textId="77777777" w:rsidR="00A720EB" w:rsidRDefault="0030286B">
            <w:pPr>
              <w:pStyle w:val="TableParagraph"/>
              <w:spacing w:before="28" w:line="310" w:lineRule="atLeast"/>
              <w:rPr>
                <w:rFonts w:ascii="Cambria"/>
                <w:sz w:val="21"/>
              </w:rPr>
            </w:pPr>
            <w:r>
              <w:rPr>
                <w:rFonts w:ascii="Cambria"/>
                <w:color w:val="333333"/>
                <w:w w:val="110"/>
                <w:sz w:val="21"/>
              </w:rPr>
              <w:t>Duration to wait to obtain a channel if the cache size has been reached. If 0, always create a new channel.</w:t>
            </w:r>
          </w:p>
        </w:tc>
      </w:tr>
      <w:tr w:rsidR="00A720EB" w14:paraId="468D048F" w14:textId="77777777">
        <w:trPr>
          <w:trHeight w:val="1056"/>
        </w:trPr>
        <w:tc>
          <w:tcPr>
            <w:tcW w:w="2494" w:type="dxa"/>
          </w:tcPr>
          <w:p w14:paraId="5E3AD9AC"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 xml:space="preserve">.cache. </w:t>
            </w:r>
            <w:proofErr w:type="gramStart"/>
            <w:r>
              <w:rPr>
                <w:color w:val="B02045"/>
                <w:sz w:val="21"/>
              </w:rPr>
              <w:t>channel.size</w:t>
            </w:r>
            <w:proofErr w:type="gramEnd"/>
          </w:p>
        </w:tc>
        <w:tc>
          <w:tcPr>
            <w:tcW w:w="2494" w:type="dxa"/>
          </w:tcPr>
          <w:p w14:paraId="12BD947F" w14:textId="77777777" w:rsidR="00A720EB" w:rsidRDefault="00A720EB">
            <w:pPr>
              <w:pStyle w:val="TableParagraph"/>
              <w:spacing w:before="0"/>
              <w:ind w:left="0"/>
              <w:rPr>
                <w:rFonts w:ascii="Times New Roman"/>
                <w:sz w:val="20"/>
              </w:rPr>
            </w:pPr>
          </w:p>
        </w:tc>
        <w:tc>
          <w:tcPr>
            <w:tcW w:w="4988" w:type="dxa"/>
          </w:tcPr>
          <w:p w14:paraId="0DF68D07" w14:textId="77777777" w:rsidR="00A720EB" w:rsidRDefault="0030286B">
            <w:pPr>
              <w:pStyle w:val="TableParagraph"/>
              <w:spacing w:before="28" w:line="310" w:lineRule="atLeast"/>
              <w:ind w:right="372"/>
              <w:rPr>
                <w:rFonts w:ascii="Cambria"/>
                <w:sz w:val="21"/>
              </w:rPr>
            </w:pPr>
            <w:r>
              <w:rPr>
                <w:rFonts w:ascii="Cambria"/>
                <w:color w:val="333333"/>
                <w:w w:val="110"/>
                <w:sz w:val="21"/>
              </w:rPr>
              <w:t>Number of channels to retain in the cache. When "check-timeout" &gt; 0, max channels per connection.</w:t>
            </w:r>
          </w:p>
        </w:tc>
      </w:tr>
      <w:tr w:rsidR="00A720EB" w14:paraId="097E2D9C" w14:textId="77777777">
        <w:trPr>
          <w:trHeight w:val="627"/>
        </w:trPr>
        <w:tc>
          <w:tcPr>
            <w:tcW w:w="2494" w:type="dxa"/>
          </w:tcPr>
          <w:p w14:paraId="2AF4B293"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 xml:space="preserve">.cache. </w:t>
            </w:r>
            <w:proofErr w:type="gramStart"/>
            <w:r>
              <w:rPr>
                <w:color w:val="B02045"/>
                <w:sz w:val="21"/>
              </w:rPr>
              <w:t>connection.mode</w:t>
            </w:r>
            <w:proofErr w:type="gramEnd"/>
          </w:p>
        </w:tc>
        <w:tc>
          <w:tcPr>
            <w:tcW w:w="2494" w:type="dxa"/>
          </w:tcPr>
          <w:p w14:paraId="087375F7" w14:textId="77777777" w:rsidR="00A720EB" w:rsidRDefault="0030286B">
            <w:pPr>
              <w:pStyle w:val="TableParagraph"/>
              <w:rPr>
                <w:sz w:val="21"/>
              </w:rPr>
            </w:pPr>
            <w:r>
              <w:rPr>
                <w:color w:val="B02045"/>
                <w:sz w:val="21"/>
              </w:rPr>
              <w:t>channel</w:t>
            </w:r>
          </w:p>
        </w:tc>
        <w:tc>
          <w:tcPr>
            <w:tcW w:w="4988" w:type="dxa"/>
          </w:tcPr>
          <w:p w14:paraId="50813FEC" w14:textId="77777777" w:rsidR="00A720EB" w:rsidRDefault="0030286B">
            <w:pPr>
              <w:pStyle w:val="TableParagraph"/>
              <w:spacing w:before="92"/>
              <w:rPr>
                <w:rFonts w:ascii="Cambria"/>
                <w:sz w:val="21"/>
              </w:rPr>
            </w:pPr>
            <w:r>
              <w:rPr>
                <w:rFonts w:ascii="Cambria"/>
                <w:color w:val="333333"/>
                <w:w w:val="110"/>
                <w:sz w:val="21"/>
              </w:rPr>
              <w:t>Connection factory cache mode.</w:t>
            </w:r>
          </w:p>
        </w:tc>
      </w:tr>
      <w:tr w:rsidR="00A720EB" w14:paraId="146ED570" w14:textId="77777777">
        <w:trPr>
          <w:trHeight w:val="741"/>
        </w:trPr>
        <w:tc>
          <w:tcPr>
            <w:tcW w:w="2494" w:type="dxa"/>
          </w:tcPr>
          <w:p w14:paraId="48A86A3A"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 xml:space="preserve">.cache. </w:t>
            </w:r>
            <w:proofErr w:type="gramStart"/>
            <w:r>
              <w:rPr>
                <w:color w:val="B02045"/>
                <w:sz w:val="21"/>
              </w:rPr>
              <w:t>connection.size</w:t>
            </w:r>
            <w:proofErr w:type="gramEnd"/>
          </w:p>
        </w:tc>
        <w:tc>
          <w:tcPr>
            <w:tcW w:w="2494" w:type="dxa"/>
          </w:tcPr>
          <w:p w14:paraId="00000186" w14:textId="77777777" w:rsidR="00A720EB" w:rsidRDefault="00A720EB">
            <w:pPr>
              <w:pStyle w:val="TableParagraph"/>
              <w:spacing w:before="0"/>
              <w:ind w:left="0"/>
              <w:rPr>
                <w:rFonts w:ascii="Times New Roman"/>
                <w:sz w:val="20"/>
              </w:rPr>
            </w:pPr>
          </w:p>
        </w:tc>
        <w:tc>
          <w:tcPr>
            <w:tcW w:w="4988" w:type="dxa"/>
          </w:tcPr>
          <w:p w14:paraId="1B472BFA" w14:textId="77777777" w:rsidR="00A720EB" w:rsidRDefault="0030286B">
            <w:pPr>
              <w:pStyle w:val="TableParagraph"/>
              <w:spacing w:before="28" w:line="310" w:lineRule="atLeast"/>
              <w:rPr>
                <w:rFonts w:ascii="Cambria"/>
                <w:sz w:val="21"/>
              </w:rPr>
            </w:pPr>
            <w:r>
              <w:rPr>
                <w:rFonts w:ascii="Cambria"/>
                <w:color w:val="333333"/>
                <w:w w:val="110"/>
                <w:sz w:val="21"/>
              </w:rPr>
              <w:t>Number of connections to cache. Only applies when mode is CONNECTION.</w:t>
            </w:r>
          </w:p>
        </w:tc>
      </w:tr>
      <w:tr w:rsidR="00A720EB" w14:paraId="61E908B3" w14:textId="77777777">
        <w:trPr>
          <w:trHeight w:val="741"/>
        </w:trPr>
        <w:tc>
          <w:tcPr>
            <w:tcW w:w="2494" w:type="dxa"/>
          </w:tcPr>
          <w:p w14:paraId="7AFEF31D"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.connec tion-timeout</w:t>
            </w:r>
          </w:p>
        </w:tc>
        <w:tc>
          <w:tcPr>
            <w:tcW w:w="2494" w:type="dxa"/>
          </w:tcPr>
          <w:p w14:paraId="21C1A00A" w14:textId="77777777" w:rsidR="00A720EB" w:rsidRDefault="00A720EB">
            <w:pPr>
              <w:pStyle w:val="TableParagraph"/>
              <w:spacing w:before="0"/>
              <w:ind w:left="0"/>
              <w:rPr>
                <w:rFonts w:ascii="Times New Roman"/>
                <w:sz w:val="20"/>
              </w:rPr>
            </w:pPr>
          </w:p>
        </w:tc>
        <w:tc>
          <w:tcPr>
            <w:tcW w:w="4988" w:type="dxa"/>
          </w:tcPr>
          <w:p w14:paraId="1C2566E4" w14:textId="77777777" w:rsidR="00A720EB" w:rsidRDefault="0030286B">
            <w:pPr>
              <w:pStyle w:val="TableParagraph"/>
              <w:spacing w:before="28" w:line="310" w:lineRule="atLeast"/>
              <w:ind w:right="372"/>
              <w:rPr>
                <w:rFonts w:ascii="Cambria"/>
                <w:sz w:val="21"/>
              </w:rPr>
            </w:pPr>
            <w:r>
              <w:rPr>
                <w:rFonts w:ascii="Cambria"/>
                <w:color w:val="333333"/>
                <w:w w:val="110"/>
                <w:sz w:val="21"/>
              </w:rPr>
              <w:t>Connection timeout. Set it to zero to wait forever.</w:t>
            </w:r>
          </w:p>
        </w:tc>
      </w:tr>
      <w:tr w:rsidR="00A720EB" w14:paraId="176F753B" w14:textId="77777777">
        <w:trPr>
          <w:trHeight w:val="627"/>
        </w:trPr>
        <w:tc>
          <w:tcPr>
            <w:tcW w:w="2494" w:type="dxa"/>
          </w:tcPr>
          <w:p w14:paraId="43FFACFE"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.dynami c</w:t>
            </w:r>
          </w:p>
        </w:tc>
        <w:tc>
          <w:tcPr>
            <w:tcW w:w="2494" w:type="dxa"/>
          </w:tcPr>
          <w:p w14:paraId="429C70AD" w14:textId="77777777" w:rsidR="00A720EB" w:rsidRDefault="0030286B">
            <w:pPr>
              <w:pStyle w:val="TableParagraph"/>
              <w:spacing w:before="37"/>
              <w:rPr>
                <w:sz w:val="21"/>
              </w:rPr>
            </w:pPr>
            <w:r>
              <w:rPr>
                <w:color w:val="B02045"/>
                <w:sz w:val="21"/>
              </w:rPr>
              <w:t>true</w:t>
            </w:r>
          </w:p>
        </w:tc>
        <w:tc>
          <w:tcPr>
            <w:tcW w:w="4988" w:type="dxa"/>
          </w:tcPr>
          <w:p w14:paraId="069B85FA" w14:textId="77777777" w:rsidR="00A720EB" w:rsidRDefault="0030286B">
            <w:pPr>
              <w:pStyle w:val="TableParagraph"/>
              <w:spacing w:before="92"/>
              <w:rPr>
                <w:rFonts w:ascii="Cambria"/>
                <w:sz w:val="21"/>
              </w:rPr>
            </w:pPr>
            <w:r>
              <w:rPr>
                <w:rFonts w:ascii="Cambria"/>
                <w:color w:val="333333"/>
                <w:w w:val="110"/>
                <w:sz w:val="21"/>
              </w:rPr>
              <w:t>Whether to create an AmqpAdmin bean.</w:t>
            </w:r>
          </w:p>
        </w:tc>
      </w:tr>
      <w:tr w:rsidR="00A720EB" w14:paraId="338F66DB" w14:textId="77777777">
        <w:trPr>
          <w:trHeight w:val="425"/>
        </w:trPr>
        <w:tc>
          <w:tcPr>
            <w:tcW w:w="2494" w:type="dxa"/>
          </w:tcPr>
          <w:p w14:paraId="29F10EC2" w14:textId="77777777" w:rsidR="00A720EB" w:rsidRDefault="0030286B">
            <w:pPr>
              <w:pStyle w:val="TableParagraph"/>
              <w:rPr>
                <w:sz w:val="21"/>
              </w:rPr>
            </w:pPr>
            <w:proofErr w:type="gramStart"/>
            <w:r>
              <w:rPr>
                <w:color w:val="B02045"/>
                <w:sz w:val="21"/>
              </w:rPr>
              <w:t>spring.rabbitmq</w:t>
            </w:r>
            <w:proofErr w:type="gramEnd"/>
            <w:r>
              <w:rPr>
                <w:color w:val="B02045"/>
                <w:sz w:val="21"/>
              </w:rPr>
              <w:t>.host</w:t>
            </w:r>
          </w:p>
        </w:tc>
        <w:tc>
          <w:tcPr>
            <w:tcW w:w="2494" w:type="dxa"/>
          </w:tcPr>
          <w:p w14:paraId="1FCFF667" w14:textId="77777777" w:rsidR="00A720EB" w:rsidRDefault="0030286B">
            <w:pPr>
              <w:pStyle w:val="TableParagraph"/>
              <w:rPr>
                <w:sz w:val="21"/>
              </w:rPr>
            </w:pPr>
            <w:r>
              <w:rPr>
                <w:color w:val="B02045"/>
                <w:sz w:val="21"/>
              </w:rPr>
              <w:t>localhost</w:t>
            </w:r>
          </w:p>
        </w:tc>
        <w:tc>
          <w:tcPr>
            <w:tcW w:w="4988" w:type="dxa"/>
          </w:tcPr>
          <w:p w14:paraId="082CA3AA" w14:textId="77777777" w:rsidR="00A720EB" w:rsidRDefault="0030286B">
            <w:pPr>
              <w:pStyle w:val="TableParagraph"/>
              <w:spacing w:before="92"/>
              <w:rPr>
                <w:rFonts w:ascii="Cambria"/>
                <w:sz w:val="21"/>
              </w:rPr>
            </w:pPr>
            <w:r>
              <w:rPr>
                <w:rFonts w:ascii="Cambria"/>
                <w:color w:val="333333"/>
                <w:w w:val="110"/>
                <w:sz w:val="21"/>
              </w:rPr>
              <w:t>RabbitMQ host. Ignored if an address is set.</w:t>
            </w:r>
          </w:p>
        </w:tc>
      </w:tr>
      <w:tr w:rsidR="00A720EB" w14:paraId="1736B99A" w14:textId="77777777">
        <w:trPr>
          <w:trHeight w:val="886"/>
        </w:trPr>
        <w:tc>
          <w:tcPr>
            <w:tcW w:w="2494" w:type="dxa"/>
          </w:tcPr>
          <w:p w14:paraId="1F69BEF2" w14:textId="77777777" w:rsidR="00A720EB" w:rsidRDefault="0030286B">
            <w:pPr>
              <w:pStyle w:val="TableParagraph"/>
              <w:spacing w:before="46" w:line="230" w:lineRule="auto"/>
              <w:ind w:right="113"/>
              <w:jc w:val="both"/>
              <w:rPr>
                <w:sz w:val="21"/>
              </w:rPr>
            </w:pPr>
            <w:proofErr w:type="gramStart"/>
            <w:r>
              <w:rPr>
                <w:color w:val="B02045"/>
                <w:sz w:val="21"/>
              </w:rPr>
              <w:t>spring.rabbitmq</w:t>
            </w:r>
            <w:proofErr w:type="gramEnd"/>
            <w:r>
              <w:rPr>
                <w:color w:val="B02045"/>
                <w:sz w:val="21"/>
              </w:rPr>
              <w:t>.listen er.direct.acknowledge- mode</w:t>
            </w:r>
          </w:p>
        </w:tc>
        <w:tc>
          <w:tcPr>
            <w:tcW w:w="2494" w:type="dxa"/>
          </w:tcPr>
          <w:p w14:paraId="36CF0628" w14:textId="77777777" w:rsidR="00A720EB" w:rsidRDefault="00A720EB">
            <w:pPr>
              <w:pStyle w:val="TableParagraph"/>
              <w:spacing w:before="0"/>
              <w:ind w:left="0"/>
              <w:rPr>
                <w:rFonts w:ascii="Times New Roman"/>
                <w:sz w:val="20"/>
              </w:rPr>
            </w:pPr>
          </w:p>
        </w:tc>
        <w:tc>
          <w:tcPr>
            <w:tcW w:w="4988" w:type="dxa"/>
          </w:tcPr>
          <w:p w14:paraId="3F2C07DF" w14:textId="77777777" w:rsidR="00A720EB" w:rsidRDefault="0030286B">
            <w:pPr>
              <w:pStyle w:val="TableParagraph"/>
              <w:spacing w:before="92"/>
              <w:rPr>
                <w:rFonts w:ascii="Cambria"/>
                <w:sz w:val="21"/>
              </w:rPr>
            </w:pPr>
            <w:r>
              <w:rPr>
                <w:rFonts w:ascii="Cambria"/>
                <w:color w:val="333333"/>
                <w:w w:val="110"/>
                <w:sz w:val="21"/>
              </w:rPr>
              <w:t>Acknowledge mode of container.</w:t>
            </w:r>
          </w:p>
        </w:tc>
      </w:tr>
      <w:tr w:rsidR="00A720EB" w14:paraId="495AD928" w14:textId="77777777">
        <w:trPr>
          <w:trHeight w:val="741"/>
        </w:trPr>
        <w:tc>
          <w:tcPr>
            <w:tcW w:w="2494" w:type="dxa"/>
          </w:tcPr>
          <w:p w14:paraId="297AF647"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er.direct.auto-startup</w:t>
            </w:r>
          </w:p>
        </w:tc>
        <w:tc>
          <w:tcPr>
            <w:tcW w:w="2494" w:type="dxa"/>
          </w:tcPr>
          <w:p w14:paraId="6D46D782" w14:textId="77777777" w:rsidR="00A720EB" w:rsidRDefault="0030286B">
            <w:pPr>
              <w:pStyle w:val="TableParagraph"/>
              <w:rPr>
                <w:sz w:val="21"/>
              </w:rPr>
            </w:pPr>
            <w:r>
              <w:rPr>
                <w:color w:val="B02045"/>
                <w:sz w:val="21"/>
              </w:rPr>
              <w:t>true</w:t>
            </w:r>
          </w:p>
        </w:tc>
        <w:tc>
          <w:tcPr>
            <w:tcW w:w="4988" w:type="dxa"/>
          </w:tcPr>
          <w:p w14:paraId="51C68EA3" w14:textId="77777777" w:rsidR="00A720EB" w:rsidRDefault="0030286B">
            <w:pPr>
              <w:pStyle w:val="TableParagraph"/>
              <w:spacing w:before="28" w:line="310" w:lineRule="atLeast"/>
              <w:rPr>
                <w:rFonts w:ascii="Cambria"/>
                <w:sz w:val="21"/>
              </w:rPr>
            </w:pPr>
            <w:r>
              <w:rPr>
                <w:rFonts w:ascii="Cambria"/>
                <w:color w:val="333333"/>
                <w:w w:val="110"/>
                <w:sz w:val="21"/>
              </w:rPr>
              <w:t>Whether to start the container automatically on startup.</w:t>
            </w:r>
          </w:p>
        </w:tc>
      </w:tr>
      <w:tr w:rsidR="00A720EB" w14:paraId="3287A9F1" w14:textId="77777777">
        <w:trPr>
          <w:trHeight w:val="886"/>
        </w:trPr>
        <w:tc>
          <w:tcPr>
            <w:tcW w:w="2494" w:type="dxa"/>
          </w:tcPr>
          <w:p w14:paraId="3D49BA7C"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er.direct.consumers- per-queue</w:t>
            </w:r>
          </w:p>
        </w:tc>
        <w:tc>
          <w:tcPr>
            <w:tcW w:w="2494" w:type="dxa"/>
          </w:tcPr>
          <w:p w14:paraId="5083F08D" w14:textId="77777777" w:rsidR="00A720EB" w:rsidRDefault="00A720EB">
            <w:pPr>
              <w:pStyle w:val="TableParagraph"/>
              <w:spacing w:before="0"/>
              <w:ind w:left="0"/>
              <w:rPr>
                <w:rFonts w:ascii="Times New Roman"/>
                <w:sz w:val="20"/>
              </w:rPr>
            </w:pPr>
          </w:p>
        </w:tc>
        <w:tc>
          <w:tcPr>
            <w:tcW w:w="4988" w:type="dxa"/>
          </w:tcPr>
          <w:p w14:paraId="70B03254" w14:textId="77777777" w:rsidR="00A720EB" w:rsidRDefault="0030286B">
            <w:pPr>
              <w:pStyle w:val="TableParagraph"/>
              <w:spacing w:before="92"/>
              <w:rPr>
                <w:rFonts w:ascii="Cambria"/>
                <w:sz w:val="21"/>
              </w:rPr>
            </w:pPr>
            <w:r>
              <w:rPr>
                <w:rFonts w:ascii="Cambria"/>
                <w:color w:val="333333"/>
                <w:w w:val="110"/>
                <w:sz w:val="21"/>
              </w:rPr>
              <w:t>Number of consumers per queue.</w:t>
            </w:r>
          </w:p>
        </w:tc>
      </w:tr>
      <w:tr w:rsidR="00A720EB" w14:paraId="56FF3CF2" w14:textId="77777777">
        <w:trPr>
          <w:trHeight w:val="886"/>
        </w:trPr>
        <w:tc>
          <w:tcPr>
            <w:tcW w:w="2494" w:type="dxa"/>
          </w:tcPr>
          <w:p w14:paraId="198F4BE9"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er.direct.default- requeue-rejected</w:t>
            </w:r>
          </w:p>
        </w:tc>
        <w:tc>
          <w:tcPr>
            <w:tcW w:w="2494" w:type="dxa"/>
          </w:tcPr>
          <w:p w14:paraId="295FD674" w14:textId="77777777" w:rsidR="00A720EB" w:rsidRDefault="00A720EB">
            <w:pPr>
              <w:pStyle w:val="TableParagraph"/>
              <w:spacing w:before="0"/>
              <w:ind w:left="0"/>
              <w:rPr>
                <w:rFonts w:ascii="Times New Roman"/>
                <w:sz w:val="20"/>
              </w:rPr>
            </w:pPr>
          </w:p>
        </w:tc>
        <w:tc>
          <w:tcPr>
            <w:tcW w:w="4988" w:type="dxa"/>
          </w:tcPr>
          <w:p w14:paraId="5CB2EB71" w14:textId="77777777" w:rsidR="00A720EB" w:rsidRDefault="0030286B">
            <w:pPr>
              <w:pStyle w:val="TableParagraph"/>
              <w:spacing w:before="92" w:line="307" w:lineRule="auto"/>
              <w:rPr>
                <w:rFonts w:ascii="Cambria"/>
                <w:sz w:val="21"/>
              </w:rPr>
            </w:pPr>
            <w:r>
              <w:rPr>
                <w:rFonts w:ascii="Cambria"/>
                <w:color w:val="333333"/>
                <w:w w:val="110"/>
                <w:sz w:val="21"/>
              </w:rPr>
              <w:t>Whether rejected deliveries are re-queued by default.</w:t>
            </w:r>
          </w:p>
        </w:tc>
      </w:tr>
      <w:tr w:rsidR="00A720EB" w14:paraId="64BD0286" w14:textId="77777777">
        <w:trPr>
          <w:trHeight w:val="886"/>
        </w:trPr>
        <w:tc>
          <w:tcPr>
            <w:tcW w:w="2494" w:type="dxa"/>
          </w:tcPr>
          <w:p w14:paraId="18D1E32A"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er.direct.idle-event- interval</w:t>
            </w:r>
          </w:p>
        </w:tc>
        <w:tc>
          <w:tcPr>
            <w:tcW w:w="2494" w:type="dxa"/>
          </w:tcPr>
          <w:p w14:paraId="47046E2A" w14:textId="77777777" w:rsidR="00A720EB" w:rsidRDefault="00A720EB">
            <w:pPr>
              <w:pStyle w:val="TableParagraph"/>
              <w:spacing w:before="0"/>
              <w:ind w:left="0"/>
              <w:rPr>
                <w:rFonts w:ascii="Times New Roman"/>
                <w:sz w:val="20"/>
              </w:rPr>
            </w:pPr>
          </w:p>
        </w:tc>
        <w:tc>
          <w:tcPr>
            <w:tcW w:w="4988" w:type="dxa"/>
          </w:tcPr>
          <w:p w14:paraId="10032C09" w14:textId="77777777" w:rsidR="00A720EB" w:rsidRDefault="0030286B">
            <w:pPr>
              <w:pStyle w:val="TableParagraph"/>
              <w:spacing w:before="92" w:line="307" w:lineRule="auto"/>
              <w:rPr>
                <w:rFonts w:ascii="Cambria"/>
                <w:sz w:val="21"/>
              </w:rPr>
            </w:pPr>
            <w:r>
              <w:rPr>
                <w:rFonts w:ascii="Cambria"/>
                <w:color w:val="333333"/>
                <w:w w:val="110"/>
                <w:sz w:val="21"/>
              </w:rPr>
              <w:t xml:space="preserve">How often idle container events should be </w:t>
            </w:r>
            <w:proofErr w:type="gramStart"/>
            <w:r>
              <w:rPr>
                <w:rFonts w:ascii="Cambria"/>
                <w:color w:val="333333"/>
                <w:w w:val="110"/>
                <w:sz w:val="21"/>
              </w:rPr>
              <w:t>published.</w:t>
            </w:r>
            <w:proofErr w:type="gramEnd"/>
          </w:p>
        </w:tc>
      </w:tr>
      <w:tr w:rsidR="00A720EB" w14:paraId="26677815" w14:textId="77777777">
        <w:trPr>
          <w:trHeight w:val="886"/>
        </w:trPr>
        <w:tc>
          <w:tcPr>
            <w:tcW w:w="2494" w:type="dxa"/>
          </w:tcPr>
          <w:p w14:paraId="4216C3CB"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er.direct.missing- queues-fatal</w:t>
            </w:r>
          </w:p>
        </w:tc>
        <w:tc>
          <w:tcPr>
            <w:tcW w:w="2494" w:type="dxa"/>
          </w:tcPr>
          <w:p w14:paraId="7E6218E9" w14:textId="77777777" w:rsidR="00A720EB" w:rsidRDefault="0030286B">
            <w:pPr>
              <w:pStyle w:val="TableParagraph"/>
              <w:rPr>
                <w:sz w:val="21"/>
              </w:rPr>
            </w:pPr>
            <w:r>
              <w:rPr>
                <w:color w:val="B02045"/>
                <w:sz w:val="21"/>
              </w:rPr>
              <w:t>false</w:t>
            </w:r>
          </w:p>
        </w:tc>
        <w:tc>
          <w:tcPr>
            <w:tcW w:w="4988" w:type="dxa"/>
          </w:tcPr>
          <w:p w14:paraId="14629E81" w14:textId="77777777" w:rsidR="00A720EB" w:rsidRDefault="0030286B">
            <w:pPr>
              <w:pStyle w:val="TableParagraph"/>
              <w:spacing w:before="92" w:line="307" w:lineRule="auto"/>
              <w:rPr>
                <w:rFonts w:ascii="Cambria"/>
                <w:sz w:val="21"/>
              </w:rPr>
            </w:pPr>
            <w:r>
              <w:rPr>
                <w:rFonts w:ascii="Cambria"/>
                <w:color w:val="333333"/>
                <w:w w:val="110"/>
                <w:sz w:val="21"/>
              </w:rPr>
              <w:t>Whether to fail if the queues declared by the container are not available on the broker.</w:t>
            </w:r>
          </w:p>
        </w:tc>
      </w:tr>
      <w:tr w:rsidR="00A720EB" w14:paraId="1437C2B3" w14:textId="77777777">
        <w:trPr>
          <w:trHeight w:val="1056"/>
        </w:trPr>
        <w:tc>
          <w:tcPr>
            <w:tcW w:w="2494" w:type="dxa"/>
          </w:tcPr>
          <w:p w14:paraId="6A768076"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.listen er.direct.prefetch</w:t>
            </w:r>
          </w:p>
        </w:tc>
        <w:tc>
          <w:tcPr>
            <w:tcW w:w="2494" w:type="dxa"/>
          </w:tcPr>
          <w:p w14:paraId="5F2B2FF8" w14:textId="77777777" w:rsidR="00A720EB" w:rsidRDefault="00A720EB">
            <w:pPr>
              <w:pStyle w:val="TableParagraph"/>
              <w:spacing w:before="0"/>
              <w:ind w:left="0"/>
              <w:rPr>
                <w:rFonts w:ascii="Times New Roman"/>
                <w:sz w:val="20"/>
              </w:rPr>
            </w:pPr>
          </w:p>
        </w:tc>
        <w:tc>
          <w:tcPr>
            <w:tcW w:w="4988" w:type="dxa"/>
          </w:tcPr>
          <w:p w14:paraId="16DC15A9" w14:textId="77777777" w:rsidR="00A720EB" w:rsidRDefault="0030286B">
            <w:pPr>
              <w:pStyle w:val="TableParagraph"/>
              <w:spacing w:before="28" w:line="310" w:lineRule="atLeast"/>
              <w:ind w:right="372"/>
              <w:rPr>
                <w:rFonts w:ascii="Cambria"/>
                <w:sz w:val="21"/>
              </w:rPr>
            </w:pPr>
            <w:r>
              <w:rPr>
                <w:rFonts w:ascii="Cambria"/>
                <w:color w:val="333333"/>
                <w:w w:val="110"/>
                <w:sz w:val="21"/>
              </w:rPr>
              <w:t>Maximum number of unacknowledged messages that can be outstanding at each consumer.</w:t>
            </w:r>
          </w:p>
        </w:tc>
      </w:tr>
      <w:tr w:rsidR="00A720EB" w14:paraId="1E9C42DC" w14:textId="77777777">
        <w:trPr>
          <w:trHeight w:val="886"/>
        </w:trPr>
        <w:tc>
          <w:tcPr>
            <w:tcW w:w="2494" w:type="dxa"/>
          </w:tcPr>
          <w:p w14:paraId="3A34F963" w14:textId="77777777" w:rsidR="00A720EB" w:rsidRDefault="0030286B">
            <w:pPr>
              <w:pStyle w:val="TableParagraph"/>
              <w:spacing w:before="46" w:line="230" w:lineRule="auto"/>
              <w:ind w:right="113"/>
              <w:jc w:val="both"/>
              <w:rPr>
                <w:sz w:val="21"/>
              </w:rPr>
            </w:pPr>
            <w:proofErr w:type="gramStart"/>
            <w:r>
              <w:rPr>
                <w:color w:val="B02045"/>
                <w:sz w:val="21"/>
              </w:rPr>
              <w:t>spring.rabbitmq</w:t>
            </w:r>
            <w:proofErr w:type="gramEnd"/>
            <w:r>
              <w:rPr>
                <w:color w:val="B02045"/>
                <w:sz w:val="21"/>
              </w:rPr>
              <w:t>.listen er.direct.retry.enab</w:t>
            </w:r>
            <w:r>
              <w:rPr>
                <w:color w:val="B02045"/>
                <w:sz w:val="21"/>
              </w:rPr>
              <w:lastRenderedPageBreak/>
              <w:t>le d</w:t>
            </w:r>
          </w:p>
        </w:tc>
        <w:tc>
          <w:tcPr>
            <w:tcW w:w="2494" w:type="dxa"/>
          </w:tcPr>
          <w:p w14:paraId="1D5012D3" w14:textId="77777777" w:rsidR="00A720EB" w:rsidRDefault="0030286B">
            <w:pPr>
              <w:pStyle w:val="TableParagraph"/>
              <w:spacing w:before="37"/>
              <w:rPr>
                <w:sz w:val="21"/>
              </w:rPr>
            </w:pPr>
            <w:r>
              <w:rPr>
                <w:color w:val="B02045"/>
                <w:sz w:val="21"/>
              </w:rPr>
              <w:lastRenderedPageBreak/>
              <w:t>false</w:t>
            </w:r>
          </w:p>
        </w:tc>
        <w:tc>
          <w:tcPr>
            <w:tcW w:w="4988" w:type="dxa"/>
          </w:tcPr>
          <w:p w14:paraId="23EEE38C" w14:textId="77777777" w:rsidR="00A720EB" w:rsidRDefault="0030286B">
            <w:pPr>
              <w:pStyle w:val="TableParagraph"/>
              <w:spacing w:before="92"/>
              <w:rPr>
                <w:rFonts w:ascii="Cambria"/>
                <w:sz w:val="21"/>
              </w:rPr>
            </w:pPr>
            <w:r>
              <w:rPr>
                <w:rFonts w:ascii="Cambria"/>
                <w:color w:val="333333"/>
                <w:w w:val="110"/>
                <w:sz w:val="21"/>
              </w:rPr>
              <w:t>Whether publishing retries are enabled.</w:t>
            </w:r>
          </w:p>
        </w:tc>
      </w:tr>
    </w:tbl>
    <w:p w14:paraId="6BBDB2F5"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17310A6" w14:textId="77777777">
        <w:trPr>
          <w:trHeight w:val="415"/>
        </w:trPr>
        <w:tc>
          <w:tcPr>
            <w:tcW w:w="2494" w:type="dxa"/>
            <w:tcBorders>
              <w:bottom w:val="single" w:sz="12" w:space="0" w:color="DDDDDD"/>
            </w:tcBorders>
          </w:tcPr>
          <w:p w14:paraId="67875451"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DBA963F"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A22BB2B"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3171322" w14:textId="77777777">
        <w:trPr>
          <w:trHeight w:val="876"/>
        </w:trPr>
        <w:tc>
          <w:tcPr>
            <w:tcW w:w="2494" w:type="dxa"/>
            <w:tcBorders>
              <w:top w:val="single" w:sz="12" w:space="0" w:color="DDDDDD"/>
            </w:tcBorders>
          </w:tcPr>
          <w:p w14:paraId="66529AB3" w14:textId="77777777" w:rsidR="00A720EB" w:rsidRDefault="0030286B">
            <w:pPr>
              <w:pStyle w:val="TableParagraph"/>
              <w:spacing w:before="36" w:line="230" w:lineRule="auto"/>
              <w:ind w:right="113"/>
              <w:jc w:val="both"/>
              <w:rPr>
                <w:sz w:val="21"/>
              </w:rPr>
            </w:pPr>
            <w:proofErr w:type="gramStart"/>
            <w:r>
              <w:rPr>
                <w:color w:val="B02045"/>
                <w:sz w:val="21"/>
              </w:rPr>
              <w:t>spring.rabbitmq</w:t>
            </w:r>
            <w:proofErr w:type="gramEnd"/>
            <w:r>
              <w:rPr>
                <w:color w:val="B02045"/>
                <w:sz w:val="21"/>
              </w:rPr>
              <w:t>.listen er.direct.retry.initia l-interval</w:t>
            </w:r>
          </w:p>
        </w:tc>
        <w:tc>
          <w:tcPr>
            <w:tcW w:w="2494" w:type="dxa"/>
            <w:tcBorders>
              <w:top w:val="single" w:sz="12" w:space="0" w:color="DDDDDD"/>
            </w:tcBorders>
          </w:tcPr>
          <w:p w14:paraId="0A05C289" w14:textId="77777777" w:rsidR="00A720EB" w:rsidRDefault="0030286B">
            <w:pPr>
              <w:pStyle w:val="TableParagraph"/>
              <w:spacing w:before="27"/>
              <w:rPr>
                <w:sz w:val="21"/>
              </w:rPr>
            </w:pPr>
            <w:r>
              <w:rPr>
                <w:color w:val="B02045"/>
                <w:sz w:val="21"/>
              </w:rPr>
              <w:t>1000ms</w:t>
            </w:r>
          </w:p>
        </w:tc>
        <w:tc>
          <w:tcPr>
            <w:tcW w:w="4988" w:type="dxa"/>
            <w:tcBorders>
              <w:top w:val="single" w:sz="12" w:space="0" w:color="DDDDDD"/>
            </w:tcBorders>
          </w:tcPr>
          <w:p w14:paraId="1A04BEC4" w14:textId="77777777" w:rsidR="00A720EB" w:rsidRDefault="0030286B">
            <w:pPr>
              <w:pStyle w:val="TableParagraph"/>
              <w:spacing w:before="82" w:line="307" w:lineRule="auto"/>
              <w:ind w:right="218"/>
              <w:rPr>
                <w:rFonts w:ascii="Cambria"/>
                <w:sz w:val="21"/>
              </w:rPr>
            </w:pPr>
            <w:r>
              <w:rPr>
                <w:rFonts w:ascii="Cambria"/>
                <w:color w:val="333333"/>
                <w:w w:val="110"/>
                <w:sz w:val="21"/>
              </w:rPr>
              <w:t>Duration between the first and second attempt to deliver a message.</w:t>
            </w:r>
          </w:p>
        </w:tc>
      </w:tr>
      <w:tr w:rsidR="00A720EB" w14:paraId="035F359A" w14:textId="77777777">
        <w:trPr>
          <w:trHeight w:val="886"/>
        </w:trPr>
        <w:tc>
          <w:tcPr>
            <w:tcW w:w="2494" w:type="dxa"/>
          </w:tcPr>
          <w:p w14:paraId="6745E673"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er.direct.retry.max- attempts</w:t>
            </w:r>
          </w:p>
        </w:tc>
        <w:tc>
          <w:tcPr>
            <w:tcW w:w="2494" w:type="dxa"/>
          </w:tcPr>
          <w:p w14:paraId="7FA6C794" w14:textId="77777777" w:rsidR="00A720EB" w:rsidRDefault="0030286B">
            <w:pPr>
              <w:pStyle w:val="TableParagraph"/>
              <w:rPr>
                <w:sz w:val="21"/>
              </w:rPr>
            </w:pPr>
            <w:r>
              <w:rPr>
                <w:color w:val="B02045"/>
                <w:sz w:val="21"/>
              </w:rPr>
              <w:t>3.0</w:t>
            </w:r>
          </w:p>
        </w:tc>
        <w:tc>
          <w:tcPr>
            <w:tcW w:w="4988" w:type="dxa"/>
          </w:tcPr>
          <w:p w14:paraId="3C4377FF" w14:textId="77777777" w:rsidR="00A720EB" w:rsidRDefault="0030286B">
            <w:pPr>
              <w:pStyle w:val="TableParagraph"/>
              <w:spacing w:before="92" w:line="307" w:lineRule="auto"/>
              <w:ind w:right="640"/>
              <w:rPr>
                <w:rFonts w:ascii="Cambria"/>
                <w:sz w:val="21"/>
              </w:rPr>
            </w:pPr>
            <w:r>
              <w:rPr>
                <w:rFonts w:ascii="Cambria"/>
                <w:color w:val="333333"/>
                <w:w w:val="110"/>
                <w:sz w:val="21"/>
              </w:rPr>
              <w:t>Maximum number of attempts to deliver a message.</w:t>
            </w:r>
          </w:p>
        </w:tc>
      </w:tr>
      <w:tr w:rsidR="00A720EB" w14:paraId="454C3B6C" w14:textId="77777777">
        <w:trPr>
          <w:trHeight w:val="886"/>
        </w:trPr>
        <w:tc>
          <w:tcPr>
            <w:tcW w:w="2494" w:type="dxa"/>
          </w:tcPr>
          <w:p w14:paraId="7697FEC1"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er.direct.retry.max- interval</w:t>
            </w:r>
          </w:p>
        </w:tc>
        <w:tc>
          <w:tcPr>
            <w:tcW w:w="2494" w:type="dxa"/>
          </w:tcPr>
          <w:p w14:paraId="40151997" w14:textId="77777777" w:rsidR="00A720EB" w:rsidRDefault="0030286B">
            <w:pPr>
              <w:pStyle w:val="TableParagraph"/>
              <w:rPr>
                <w:sz w:val="21"/>
              </w:rPr>
            </w:pPr>
            <w:r>
              <w:rPr>
                <w:color w:val="B02045"/>
                <w:sz w:val="21"/>
              </w:rPr>
              <w:t>10000ms</w:t>
            </w:r>
          </w:p>
        </w:tc>
        <w:tc>
          <w:tcPr>
            <w:tcW w:w="4988" w:type="dxa"/>
          </w:tcPr>
          <w:p w14:paraId="048389DB" w14:textId="77777777" w:rsidR="00A720EB" w:rsidRDefault="0030286B">
            <w:pPr>
              <w:pStyle w:val="TableParagraph"/>
              <w:spacing w:before="92"/>
              <w:rPr>
                <w:rFonts w:ascii="Cambria"/>
                <w:sz w:val="21"/>
              </w:rPr>
            </w:pPr>
            <w:r>
              <w:rPr>
                <w:rFonts w:ascii="Cambria"/>
                <w:color w:val="333333"/>
                <w:w w:val="110"/>
                <w:sz w:val="21"/>
              </w:rPr>
              <w:t>Maximum duration between attempts.</w:t>
            </w:r>
          </w:p>
        </w:tc>
      </w:tr>
      <w:tr w:rsidR="00A720EB" w14:paraId="7682522A" w14:textId="77777777">
        <w:trPr>
          <w:trHeight w:val="886"/>
        </w:trPr>
        <w:tc>
          <w:tcPr>
            <w:tcW w:w="2494" w:type="dxa"/>
          </w:tcPr>
          <w:p w14:paraId="1890862A" w14:textId="77777777" w:rsidR="00A720EB" w:rsidRDefault="0030286B">
            <w:pPr>
              <w:pStyle w:val="TableParagraph"/>
              <w:spacing w:before="46" w:line="230" w:lineRule="auto"/>
              <w:ind w:right="113"/>
              <w:jc w:val="both"/>
              <w:rPr>
                <w:sz w:val="21"/>
              </w:rPr>
            </w:pPr>
            <w:proofErr w:type="gramStart"/>
            <w:r>
              <w:rPr>
                <w:color w:val="B02045"/>
                <w:sz w:val="21"/>
              </w:rPr>
              <w:t>spring.rabbitmq</w:t>
            </w:r>
            <w:proofErr w:type="gramEnd"/>
            <w:r>
              <w:rPr>
                <w:color w:val="B02045"/>
                <w:sz w:val="21"/>
              </w:rPr>
              <w:t>.listen er.direct.retry.multip lier</w:t>
            </w:r>
          </w:p>
        </w:tc>
        <w:tc>
          <w:tcPr>
            <w:tcW w:w="2494" w:type="dxa"/>
          </w:tcPr>
          <w:p w14:paraId="7B77AA42" w14:textId="77777777" w:rsidR="00A720EB" w:rsidRDefault="0030286B">
            <w:pPr>
              <w:pStyle w:val="TableParagraph"/>
              <w:spacing w:before="37"/>
              <w:rPr>
                <w:sz w:val="21"/>
              </w:rPr>
            </w:pPr>
            <w:r>
              <w:rPr>
                <w:color w:val="B02045"/>
                <w:sz w:val="21"/>
              </w:rPr>
              <w:t>1.0</w:t>
            </w:r>
          </w:p>
        </w:tc>
        <w:tc>
          <w:tcPr>
            <w:tcW w:w="4988" w:type="dxa"/>
          </w:tcPr>
          <w:p w14:paraId="38CB9E3D" w14:textId="77777777" w:rsidR="00A720EB" w:rsidRDefault="0030286B">
            <w:pPr>
              <w:pStyle w:val="TableParagraph"/>
              <w:spacing w:before="92"/>
              <w:rPr>
                <w:rFonts w:ascii="Cambria"/>
                <w:sz w:val="21"/>
              </w:rPr>
            </w:pPr>
            <w:r>
              <w:rPr>
                <w:rFonts w:ascii="Cambria"/>
                <w:color w:val="333333"/>
                <w:w w:val="110"/>
                <w:sz w:val="21"/>
              </w:rPr>
              <w:t>Multiplier to apply to the previous retry interval.</w:t>
            </w:r>
          </w:p>
        </w:tc>
      </w:tr>
      <w:tr w:rsidR="00A720EB" w14:paraId="2D7BC458" w14:textId="77777777">
        <w:trPr>
          <w:trHeight w:val="886"/>
        </w:trPr>
        <w:tc>
          <w:tcPr>
            <w:tcW w:w="2494" w:type="dxa"/>
          </w:tcPr>
          <w:p w14:paraId="00970475" w14:textId="77777777" w:rsidR="00A720EB" w:rsidRDefault="0030286B">
            <w:pPr>
              <w:pStyle w:val="TableParagraph"/>
              <w:spacing w:before="46" w:line="230" w:lineRule="auto"/>
              <w:ind w:right="113"/>
              <w:jc w:val="both"/>
              <w:rPr>
                <w:sz w:val="21"/>
              </w:rPr>
            </w:pPr>
            <w:proofErr w:type="gramStart"/>
            <w:r>
              <w:rPr>
                <w:color w:val="B02045"/>
                <w:sz w:val="21"/>
              </w:rPr>
              <w:t>spring.rabbitmq</w:t>
            </w:r>
            <w:proofErr w:type="gramEnd"/>
            <w:r>
              <w:rPr>
                <w:color w:val="B02045"/>
                <w:sz w:val="21"/>
              </w:rPr>
              <w:t>.listen er.direct.retry.statel ess</w:t>
            </w:r>
          </w:p>
        </w:tc>
        <w:tc>
          <w:tcPr>
            <w:tcW w:w="2494" w:type="dxa"/>
          </w:tcPr>
          <w:p w14:paraId="3C929EE6" w14:textId="77777777" w:rsidR="00A720EB" w:rsidRDefault="0030286B">
            <w:pPr>
              <w:pStyle w:val="TableParagraph"/>
              <w:rPr>
                <w:sz w:val="21"/>
              </w:rPr>
            </w:pPr>
            <w:r>
              <w:rPr>
                <w:color w:val="B02045"/>
                <w:sz w:val="21"/>
              </w:rPr>
              <w:t>true</w:t>
            </w:r>
          </w:p>
        </w:tc>
        <w:tc>
          <w:tcPr>
            <w:tcW w:w="4988" w:type="dxa"/>
          </w:tcPr>
          <w:p w14:paraId="5FE69F57" w14:textId="77777777" w:rsidR="00A720EB" w:rsidRDefault="0030286B">
            <w:pPr>
              <w:pStyle w:val="TableParagraph"/>
              <w:spacing w:before="92"/>
              <w:rPr>
                <w:rFonts w:ascii="Cambria"/>
                <w:sz w:val="21"/>
              </w:rPr>
            </w:pPr>
            <w:r>
              <w:rPr>
                <w:rFonts w:ascii="Cambria"/>
                <w:color w:val="333333"/>
                <w:w w:val="110"/>
                <w:sz w:val="21"/>
              </w:rPr>
              <w:t>Whether retries are stateless or stateful.</w:t>
            </w:r>
          </w:p>
        </w:tc>
      </w:tr>
      <w:tr w:rsidR="00A720EB" w14:paraId="0E2ECA63" w14:textId="77777777">
        <w:trPr>
          <w:trHeight w:val="886"/>
        </w:trPr>
        <w:tc>
          <w:tcPr>
            <w:tcW w:w="2494" w:type="dxa"/>
          </w:tcPr>
          <w:p w14:paraId="0028217D" w14:textId="77777777" w:rsidR="00A720EB" w:rsidRDefault="0030286B">
            <w:pPr>
              <w:pStyle w:val="TableParagraph"/>
              <w:spacing w:before="46" w:line="230" w:lineRule="auto"/>
              <w:ind w:right="113"/>
              <w:jc w:val="both"/>
              <w:rPr>
                <w:sz w:val="21"/>
              </w:rPr>
            </w:pPr>
            <w:proofErr w:type="gramStart"/>
            <w:r>
              <w:rPr>
                <w:color w:val="B02045"/>
                <w:sz w:val="21"/>
              </w:rPr>
              <w:t>spring.rabbitmq</w:t>
            </w:r>
            <w:proofErr w:type="gramEnd"/>
            <w:r>
              <w:rPr>
                <w:color w:val="B02045"/>
                <w:sz w:val="21"/>
              </w:rPr>
              <w:t>.listen er.simple.acknowledge- mode</w:t>
            </w:r>
          </w:p>
        </w:tc>
        <w:tc>
          <w:tcPr>
            <w:tcW w:w="2494" w:type="dxa"/>
          </w:tcPr>
          <w:p w14:paraId="1E9970C2" w14:textId="77777777" w:rsidR="00A720EB" w:rsidRDefault="00A720EB">
            <w:pPr>
              <w:pStyle w:val="TableParagraph"/>
              <w:spacing w:before="0"/>
              <w:ind w:left="0"/>
              <w:rPr>
                <w:rFonts w:ascii="Times New Roman"/>
                <w:sz w:val="20"/>
              </w:rPr>
            </w:pPr>
          </w:p>
        </w:tc>
        <w:tc>
          <w:tcPr>
            <w:tcW w:w="4988" w:type="dxa"/>
          </w:tcPr>
          <w:p w14:paraId="7F878CBA" w14:textId="77777777" w:rsidR="00A720EB" w:rsidRDefault="0030286B">
            <w:pPr>
              <w:pStyle w:val="TableParagraph"/>
              <w:spacing w:before="92"/>
              <w:rPr>
                <w:rFonts w:ascii="Cambria"/>
                <w:sz w:val="21"/>
              </w:rPr>
            </w:pPr>
            <w:r>
              <w:rPr>
                <w:rFonts w:ascii="Cambria"/>
                <w:color w:val="333333"/>
                <w:w w:val="110"/>
                <w:sz w:val="21"/>
              </w:rPr>
              <w:t>Acknowledge mode of container.</w:t>
            </w:r>
          </w:p>
        </w:tc>
      </w:tr>
      <w:tr w:rsidR="00A720EB" w14:paraId="00E4F2C9" w14:textId="77777777">
        <w:trPr>
          <w:trHeight w:val="741"/>
        </w:trPr>
        <w:tc>
          <w:tcPr>
            <w:tcW w:w="2494" w:type="dxa"/>
          </w:tcPr>
          <w:p w14:paraId="3416F389"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er.simple.auto-startup</w:t>
            </w:r>
          </w:p>
        </w:tc>
        <w:tc>
          <w:tcPr>
            <w:tcW w:w="2494" w:type="dxa"/>
          </w:tcPr>
          <w:p w14:paraId="6F8991C1" w14:textId="77777777" w:rsidR="00A720EB" w:rsidRDefault="0030286B">
            <w:pPr>
              <w:pStyle w:val="TableParagraph"/>
              <w:spacing w:before="37"/>
              <w:rPr>
                <w:sz w:val="21"/>
              </w:rPr>
            </w:pPr>
            <w:r>
              <w:rPr>
                <w:color w:val="B02045"/>
                <w:sz w:val="21"/>
              </w:rPr>
              <w:t>true</w:t>
            </w:r>
          </w:p>
        </w:tc>
        <w:tc>
          <w:tcPr>
            <w:tcW w:w="4988" w:type="dxa"/>
          </w:tcPr>
          <w:p w14:paraId="0BA981CB" w14:textId="77777777" w:rsidR="00A720EB" w:rsidRDefault="0030286B">
            <w:pPr>
              <w:pStyle w:val="TableParagraph"/>
              <w:spacing w:before="28" w:line="310" w:lineRule="atLeast"/>
              <w:rPr>
                <w:rFonts w:ascii="Cambria"/>
                <w:sz w:val="21"/>
              </w:rPr>
            </w:pPr>
            <w:r>
              <w:rPr>
                <w:rFonts w:ascii="Cambria"/>
                <w:color w:val="333333"/>
                <w:w w:val="110"/>
                <w:sz w:val="21"/>
              </w:rPr>
              <w:t>Whether to start the container automatically on startup.</w:t>
            </w:r>
          </w:p>
        </w:tc>
      </w:tr>
      <w:tr w:rsidR="00A720EB" w14:paraId="36EEF3F4" w14:textId="77777777">
        <w:trPr>
          <w:trHeight w:val="741"/>
        </w:trPr>
        <w:tc>
          <w:tcPr>
            <w:tcW w:w="2494" w:type="dxa"/>
          </w:tcPr>
          <w:p w14:paraId="6A42B8AC"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er.simple.batch-size</w:t>
            </w:r>
          </w:p>
        </w:tc>
        <w:tc>
          <w:tcPr>
            <w:tcW w:w="2494" w:type="dxa"/>
          </w:tcPr>
          <w:p w14:paraId="1CB38C68" w14:textId="77777777" w:rsidR="00A720EB" w:rsidRDefault="00A720EB">
            <w:pPr>
              <w:pStyle w:val="TableParagraph"/>
              <w:spacing w:before="0"/>
              <w:ind w:left="0"/>
              <w:rPr>
                <w:rFonts w:ascii="Times New Roman"/>
                <w:sz w:val="20"/>
              </w:rPr>
            </w:pPr>
          </w:p>
        </w:tc>
        <w:tc>
          <w:tcPr>
            <w:tcW w:w="4988" w:type="dxa"/>
          </w:tcPr>
          <w:p w14:paraId="2F1E42A1" w14:textId="77777777" w:rsidR="00A720EB" w:rsidRDefault="0030286B">
            <w:pPr>
              <w:pStyle w:val="TableParagraph"/>
              <w:spacing w:before="28" w:line="310" w:lineRule="atLeast"/>
              <w:rPr>
                <w:rFonts w:ascii="Cambria"/>
                <w:sz w:val="21"/>
              </w:rPr>
            </w:pPr>
            <w:r>
              <w:rPr>
                <w:rFonts w:ascii="Cambria"/>
                <w:color w:val="333333"/>
                <w:w w:val="110"/>
                <w:sz w:val="21"/>
              </w:rPr>
              <w:t>Batch size, expressed as the number of physical messages, to be used by the container.</w:t>
            </w:r>
          </w:p>
        </w:tc>
      </w:tr>
      <w:tr w:rsidR="00A720EB" w14:paraId="11135E6F" w14:textId="77777777">
        <w:trPr>
          <w:trHeight w:val="627"/>
        </w:trPr>
        <w:tc>
          <w:tcPr>
            <w:tcW w:w="2494" w:type="dxa"/>
          </w:tcPr>
          <w:p w14:paraId="0811ACD6"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.listen er.simple.concurrency</w:t>
            </w:r>
          </w:p>
        </w:tc>
        <w:tc>
          <w:tcPr>
            <w:tcW w:w="2494" w:type="dxa"/>
          </w:tcPr>
          <w:p w14:paraId="29205560" w14:textId="77777777" w:rsidR="00A720EB" w:rsidRDefault="00A720EB">
            <w:pPr>
              <w:pStyle w:val="TableParagraph"/>
              <w:spacing w:before="0"/>
              <w:ind w:left="0"/>
              <w:rPr>
                <w:rFonts w:ascii="Times New Roman"/>
                <w:sz w:val="20"/>
              </w:rPr>
            </w:pPr>
          </w:p>
        </w:tc>
        <w:tc>
          <w:tcPr>
            <w:tcW w:w="4988" w:type="dxa"/>
          </w:tcPr>
          <w:p w14:paraId="5878103A" w14:textId="77777777" w:rsidR="00A720EB" w:rsidRDefault="0030286B">
            <w:pPr>
              <w:pStyle w:val="TableParagraph"/>
              <w:spacing w:before="92"/>
              <w:rPr>
                <w:rFonts w:ascii="Cambria"/>
                <w:sz w:val="21"/>
              </w:rPr>
            </w:pPr>
            <w:r>
              <w:rPr>
                <w:rFonts w:ascii="Cambria"/>
                <w:color w:val="333333"/>
                <w:w w:val="115"/>
                <w:sz w:val="21"/>
              </w:rPr>
              <w:t>Minimum number of listener invoker threads.</w:t>
            </w:r>
          </w:p>
        </w:tc>
      </w:tr>
      <w:tr w:rsidR="00A720EB" w14:paraId="3BDCD044" w14:textId="77777777">
        <w:trPr>
          <w:trHeight w:val="886"/>
        </w:trPr>
        <w:tc>
          <w:tcPr>
            <w:tcW w:w="2494" w:type="dxa"/>
          </w:tcPr>
          <w:p w14:paraId="2F1A883D"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er.simple.default- requeue-rejected</w:t>
            </w:r>
          </w:p>
        </w:tc>
        <w:tc>
          <w:tcPr>
            <w:tcW w:w="2494" w:type="dxa"/>
          </w:tcPr>
          <w:p w14:paraId="27E963AE" w14:textId="77777777" w:rsidR="00A720EB" w:rsidRDefault="00A720EB">
            <w:pPr>
              <w:pStyle w:val="TableParagraph"/>
              <w:spacing w:before="0"/>
              <w:ind w:left="0"/>
              <w:rPr>
                <w:rFonts w:ascii="Times New Roman"/>
                <w:sz w:val="20"/>
              </w:rPr>
            </w:pPr>
          </w:p>
        </w:tc>
        <w:tc>
          <w:tcPr>
            <w:tcW w:w="4988" w:type="dxa"/>
          </w:tcPr>
          <w:p w14:paraId="3FA1C3AE" w14:textId="77777777" w:rsidR="00A720EB" w:rsidRDefault="0030286B">
            <w:pPr>
              <w:pStyle w:val="TableParagraph"/>
              <w:spacing w:before="92" w:line="307" w:lineRule="auto"/>
              <w:rPr>
                <w:rFonts w:ascii="Cambria"/>
                <w:sz w:val="21"/>
              </w:rPr>
            </w:pPr>
            <w:r>
              <w:rPr>
                <w:rFonts w:ascii="Cambria"/>
                <w:color w:val="333333"/>
                <w:w w:val="110"/>
                <w:sz w:val="21"/>
              </w:rPr>
              <w:t>Whether rejected deliveries are re-queued by default.</w:t>
            </w:r>
          </w:p>
        </w:tc>
      </w:tr>
      <w:tr w:rsidR="00A720EB" w14:paraId="4AFAB975" w14:textId="77777777">
        <w:trPr>
          <w:trHeight w:val="886"/>
        </w:trPr>
        <w:tc>
          <w:tcPr>
            <w:tcW w:w="2494" w:type="dxa"/>
          </w:tcPr>
          <w:p w14:paraId="212E8351"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er.simple.idle-event- interval</w:t>
            </w:r>
          </w:p>
        </w:tc>
        <w:tc>
          <w:tcPr>
            <w:tcW w:w="2494" w:type="dxa"/>
          </w:tcPr>
          <w:p w14:paraId="10708043" w14:textId="77777777" w:rsidR="00A720EB" w:rsidRDefault="00A720EB">
            <w:pPr>
              <w:pStyle w:val="TableParagraph"/>
              <w:spacing w:before="0"/>
              <w:ind w:left="0"/>
              <w:rPr>
                <w:rFonts w:ascii="Times New Roman"/>
                <w:sz w:val="20"/>
              </w:rPr>
            </w:pPr>
          </w:p>
        </w:tc>
        <w:tc>
          <w:tcPr>
            <w:tcW w:w="4988" w:type="dxa"/>
          </w:tcPr>
          <w:p w14:paraId="46F548E8" w14:textId="77777777" w:rsidR="00A720EB" w:rsidRDefault="0030286B">
            <w:pPr>
              <w:pStyle w:val="TableParagraph"/>
              <w:spacing w:before="92" w:line="307" w:lineRule="auto"/>
              <w:rPr>
                <w:rFonts w:ascii="Cambria"/>
                <w:sz w:val="21"/>
              </w:rPr>
            </w:pPr>
            <w:r>
              <w:rPr>
                <w:rFonts w:ascii="Cambria"/>
                <w:color w:val="333333"/>
                <w:w w:val="110"/>
                <w:sz w:val="21"/>
              </w:rPr>
              <w:t xml:space="preserve">How often idle container events should be </w:t>
            </w:r>
            <w:proofErr w:type="gramStart"/>
            <w:r>
              <w:rPr>
                <w:rFonts w:ascii="Cambria"/>
                <w:color w:val="333333"/>
                <w:w w:val="110"/>
                <w:sz w:val="21"/>
              </w:rPr>
              <w:t>published.</w:t>
            </w:r>
            <w:proofErr w:type="gramEnd"/>
          </w:p>
        </w:tc>
      </w:tr>
      <w:tr w:rsidR="00A720EB" w14:paraId="17F859B9" w14:textId="77777777">
        <w:trPr>
          <w:trHeight w:val="886"/>
        </w:trPr>
        <w:tc>
          <w:tcPr>
            <w:tcW w:w="2494" w:type="dxa"/>
          </w:tcPr>
          <w:p w14:paraId="0FA99ACB"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er.simple.max- concurrency</w:t>
            </w:r>
          </w:p>
        </w:tc>
        <w:tc>
          <w:tcPr>
            <w:tcW w:w="2494" w:type="dxa"/>
          </w:tcPr>
          <w:p w14:paraId="78A416B0" w14:textId="77777777" w:rsidR="00A720EB" w:rsidRDefault="00A720EB">
            <w:pPr>
              <w:pStyle w:val="TableParagraph"/>
              <w:spacing w:before="0"/>
              <w:ind w:left="0"/>
              <w:rPr>
                <w:rFonts w:ascii="Times New Roman"/>
                <w:sz w:val="20"/>
              </w:rPr>
            </w:pPr>
          </w:p>
        </w:tc>
        <w:tc>
          <w:tcPr>
            <w:tcW w:w="4988" w:type="dxa"/>
          </w:tcPr>
          <w:p w14:paraId="4A075FF0" w14:textId="77777777" w:rsidR="00A720EB" w:rsidRDefault="0030286B">
            <w:pPr>
              <w:pStyle w:val="TableParagraph"/>
              <w:spacing w:before="92"/>
              <w:rPr>
                <w:rFonts w:ascii="Cambria"/>
                <w:sz w:val="21"/>
              </w:rPr>
            </w:pPr>
            <w:r>
              <w:rPr>
                <w:rFonts w:ascii="Cambria"/>
                <w:color w:val="333333"/>
                <w:w w:val="115"/>
                <w:sz w:val="21"/>
              </w:rPr>
              <w:t>Maximum number of listener invoker threads.</w:t>
            </w:r>
          </w:p>
        </w:tc>
      </w:tr>
      <w:tr w:rsidR="00A720EB" w14:paraId="3FFFA975" w14:textId="77777777">
        <w:trPr>
          <w:trHeight w:val="1372"/>
        </w:trPr>
        <w:tc>
          <w:tcPr>
            <w:tcW w:w="2494" w:type="dxa"/>
          </w:tcPr>
          <w:p w14:paraId="2D96D863"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er.simple.missing- queues-fatal</w:t>
            </w:r>
          </w:p>
        </w:tc>
        <w:tc>
          <w:tcPr>
            <w:tcW w:w="2494" w:type="dxa"/>
          </w:tcPr>
          <w:p w14:paraId="0EF82110" w14:textId="77777777" w:rsidR="00A720EB" w:rsidRDefault="0030286B">
            <w:pPr>
              <w:pStyle w:val="TableParagraph"/>
              <w:rPr>
                <w:sz w:val="21"/>
              </w:rPr>
            </w:pPr>
            <w:r>
              <w:rPr>
                <w:color w:val="B02045"/>
                <w:sz w:val="21"/>
              </w:rPr>
              <w:t>true</w:t>
            </w:r>
          </w:p>
        </w:tc>
        <w:tc>
          <w:tcPr>
            <w:tcW w:w="4988" w:type="dxa"/>
          </w:tcPr>
          <w:p w14:paraId="60192725" w14:textId="77777777" w:rsidR="00A720EB" w:rsidRDefault="0030286B">
            <w:pPr>
              <w:pStyle w:val="TableParagraph"/>
              <w:spacing w:before="28" w:line="310" w:lineRule="atLeast"/>
              <w:rPr>
                <w:rFonts w:ascii="Cambria"/>
                <w:sz w:val="21"/>
              </w:rPr>
            </w:pPr>
            <w:r>
              <w:rPr>
                <w:rFonts w:ascii="Cambria"/>
                <w:color w:val="333333"/>
                <w:w w:val="110"/>
                <w:sz w:val="21"/>
              </w:rPr>
              <w:t>Whether to fail if the queues declared by the container are not available on the broker and/or whether to stop the container if one or more queues are deleted at runtime.</w:t>
            </w:r>
          </w:p>
        </w:tc>
      </w:tr>
      <w:tr w:rsidR="00A720EB" w14:paraId="5320BD76" w14:textId="77777777">
        <w:trPr>
          <w:trHeight w:val="1056"/>
        </w:trPr>
        <w:tc>
          <w:tcPr>
            <w:tcW w:w="2494" w:type="dxa"/>
          </w:tcPr>
          <w:p w14:paraId="4E14C060"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.listen er.simple.prefetch</w:t>
            </w:r>
          </w:p>
        </w:tc>
        <w:tc>
          <w:tcPr>
            <w:tcW w:w="2494" w:type="dxa"/>
          </w:tcPr>
          <w:p w14:paraId="0D24F8AC" w14:textId="77777777" w:rsidR="00A720EB" w:rsidRDefault="00A720EB">
            <w:pPr>
              <w:pStyle w:val="TableParagraph"/>
              <w:spacing w:before="0"/>
              <w:ind w:left="0"/>
              <w:rPr>
                <w:rFonts w:ascii="Times New Roman"/>
                <w:sz w:val="20"/>
              </w:rPr>
            </w:pPr>
          </w:p>
        </w:tc>
        <w:tc>
          <w:tcPr>
            <w:tcW w:w="4988" w:type="dxa"/>
          </w:tcPr>
          <w:p w14:paraId="5E649122" w14:textId="77777777" w:rsidR="00A720EB" w:rsidRDefault="0030286B">
            <w:pPr>
              <w:pStyle w:val="TableParagraph"/>
              <w:spacing w:before="28" w:line="310" w:lineRule="atLeast"/>
              <w:ind w:right="372"/>
              <w:rPr>
                <w:rFonts w:ascii="Cambria"/>
                <w:sz w:val="21"/>
              </w:rPr>
            </w:pPr>
            <w:r>
              <w:rPr>
                <w:rFonts w:ascii="Cambria"/>
                <w:color w:val="333333"/>
                <w:w w:val="110"/>
                <w:sz w:val="21"/>
              </w:rPr>
              <w:t>Maximum number of unacknowledged messages that can be outstanding at each consumer.</w:t>
            </w:r>
          </w:p>
        </w:tc>
      </w:tr>
      <w:tr w:rsidR="00A720EB" w14:paraId="2A76DDC7" w14:textId="77777777">
        <w:trPr>
          <w:trHeight w:val="886"/>
        </w:trPr>
        <w:tc>
          <w:tcPr>
            <w:tcW w:w="2494" w:type="dxa"/>
          </w:tcPr>
          <w:p w14:paraId="2A11383A" w14:textId="77777777" w:rsidR="00A720EB" w:rsidRDefault="0030286B">
            <w:pPr>
              <w:pStyle w:val="TableParagraph"/>
              <w:spacing w:before="46" w:line="230" w:lineRule="auto"/>
              <w:ind w:right="113"/>
              <w:jc w:val="both"/>
              <w:rPr>
                <w:sz w:val="21"/>
              </w:rPr>
            </w:pPr>
            <w:proofErr w:type="gramStart"/>
            <w:r>
              <w:rPr>
                <w:color w:val="B02045"/>
                <w:sz w:val="21"/>
              </w:rPr>
              <w:lastRenderedPageBreak/>
              <w:t>spring.rabbitmq</w:t>
            </w:r>
            <w:proofErr w:type="gramEnd"/>
            <w:r>
              <w:rPr>
                <w:color w:val="B02045"/>
                <w:sz w:val="21"/>
              </w:rPr>
              <w:t>.listen er.simple.retry.enable d</w:t>
            </w:r>
          </w:p>
        </w:tc>
        <w:tc>
          <w:tcPr>
            <w:tcW w:w="2494" w:type="dxa"/>
          </w:tcPr>
          <w:p w14:paraId="71A6D32C" w14:textId="77777777" w:rsidR="00A720EB" w:rsidRDefault="0030286B">
            <w:pPr>
              <w:pStyle w:val="TableParagraph"/>
              <w:spacing w:before="37"/>
              <w:rPr>
                <w:sz w:val="21"/>
              </w:rPr>
            </w:pPr>
            <w:r>
              <w:rPr>
                <w:color w:val="B02045"/>
                <w:sz w:val="21"/>
              </w:rPr>
              <w:t>false</w:t>
            </w:r>
          </w:p>
        </w:tc>
        <w:tc>
          <w:tcPr>
            <w:tcW w:w="4988" w:type="dxa"/>
          </w:tcPr>
          <w:p w14:paraId="2800317A" w14:textId="77777777" w:rsidR="00A720EB" w:rsidRDefault="0030286B">
            <w:pPr>
              <w:pStyle w:val="TableParagraph"/>
              <w:spacing w:before="92"/>
              <w:rPr>
                <w:rFonts w:ascii="Cambria"/>
                <w:sz w:val="21"/>
              </w:rPr>
            </w:pPr>
            <w:r>
              <w:rPr>
                <w:rFonts w:ascii="Cambria"/>
                <w:color w:val="333333"/>
                <w:w w:val="110"/>
                <w:sz w:val="21"/>
              </w:rPr>
              <w:t>Whether publishing retries are enabled.</w:t>
            </w:r>
          </w:p>
        </w:tc>
      </w:tr>
      <w:tr w:rsidR="00A720EB" w14:paraId="7583E08F" w14:textId="77777777">
        <w:trPr>
          <w:trHeight w:val="886"/>
        </w:trPr>
        <w:tc>
          <w:tcPr>
            <w:tcW w:w="2494" w:type="dxa"/>
          </w:tcPr>
          <w:p w14:paraId="2D26E792" w14:textId="77777777" w:rsidR="00A720EB" w:rsidRDefault="0030286B">
            <w:pPr>
              <w:pStyle w:val="TableParagraph"/>
              <w:spacing w:before="46" w:line="230" w:lineRule="auto"/>
              <w:ind w:right="113"/>
              <w:jc w:val="both"/>
              <w:rPr>
                <w:sz w:val="21"/>
              </w:rPr>
            </w:pPr>
            <w:proofErr w:type="gramStart"/>
            <w:r>
              <w:rPr>
                <w:color w:val="B02045"/>
                <w:sz w:val="21"/>
              </w:rPr>
              <w:t>spring.rabbitmq</w:t>
            </w:r>
            <w:proofErr w:type="gramEnd"/>
            <w:r>
              <w:rPr>
                <w:color w:val="B02045"/>
                <w:sz w:val="21"/>
              </w:rPr>
              <w:t>.listen er.simple.retry.initia l-interval</w:t>
            </w:r>
          </w:p>
        </w:tc>
        <w:tc>
          <w:tcPr>
            <w:tcW w:w="2494" w:type="dxa"/>
          </w:tcPr>
          <w:p w14:paraId="488EA26E" w14:textId="77777777" w:rsidR="00A720EB" w:rsidRDefault="0030286B">
            <w:pPr>
              <w:pStyle w:val="TableParagraph"/>
              <w:spacing w:before="37"/>
              <w:rPr>
                <w:sz w:val="21"/>
              </w:rPr>
            </w:pPr>
            <w:r>
              <w:rPr>
                <w:color w:val="B02045"/>
                <w:sz w:val="21"/>
              </w:rPr>
              <w:t>1000ms</w:t>
            </w:r>
          </w:p>
        </w:tc>
        <w:tc>
          <w:tcPr>
            <w:tcW w:w="4988" w:type="dxa"/>
          </w:tcPr>
          <w:p w14:paraId="22FA405C" w14:textId="77777777" w:rsidR="00A720EB" w:rsidRDefault="0030286B">
            <w:pPr>
              <w:pStyle w:val="TableParagraph"/>
              <w:spacing w:before="92" w:line="307" w:lineRule="auto"/>
              <w:ind w:right="218"/>
              <w:rPr>
                <w:rFonts w:ascii="Cambria"/>
                <w:sz w:val="21"/>
              </w:rPr>
            </w:pPr>
            <w:r>
              <w:rPr>
                <w:rFonts w:ascii="Cambria"/>
                <w:color w:val="333333"/>
                <w:w w:val="110"/>
                <w:sz w:val="21"/>
              </w:rPr>
              <w:t>Duration between the first and second attempt to deliver a message.</w:t>
            </w:r>
          </w:p>
        </w:tc>
      </w:tr>
    </w:tbl>
    <w:p w14:paraId="5F4AD7AA"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61BC5CE" w14:textId="77777777">
        <w:trPr>
          <w:trHeight w:val="415"/>
        </w:trPr>
        <w:tc>
          <w:tcPr>
            <w:tcW w:w="2494" w:type="dxa"/>
            <w:tcBorders>
              <w:bottom w:val="single" w:sz="12" w:space="0" w:color="DDDDDD"/>
            </w:tcBorders>
          </w:tcPr>
          <w:p w14:paraId="55408F90"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8D07C5A"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13F57E5"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ACBC421" w14:textId="77777777">
        <w:trPr>
          <w:trHeight w:val="876"/>
        </w:trPr>
        <w:tc>
          <w:tcPr>
            <w:tcW w:w="2494" w:type="dxa"/>
            <w:tcBorders>
              <w:top w:val="single" w:sz="12" w:space="0" w:color="DDDDDD"/>
            </w:tcBorders>
          </w:tcPr>
          <w:p w14:paraId="028052F8" w14:textId="77777777" w:rsidR="00A720EB" w:rsidRDefault="0030286B">
            <w:pPr>
              <w:pStyle w:val="TableParagraph"/>
              <w:spacing w:before="36" w:line="230" w:lineRule="auto"/>
              <w:ind w:right="113"/>
              <w:rPr>
                <w:sz w:val="21"/>
              </w:rPr>
            </w:pPr>
            <w:proofErr w:type="gramStart"/>
            <w:r>
              <w:rPr>
                <w:color w:val="B02045"/>
                <w:sz w:val="21"/>
              </w:rPr>
              <w:t>spring.rabbitmq</w:t>
            </w:r>
            <w:proofErr w:type="gramEnd"/>
            <w:r>
              <w:rPr>
                <w:color w:val="B02045"/>
                <w:sz w:val="21"/>
              </w:rPr>
              <w:t>.listen er.simple.retry.max- attempts</w:t>
            </w:r>
          </w:p>
        </w:tc>
        <w:tc>
          <w:tcPr>
            <w:tcW w:w="2494" w:type="dxa"/>
            <w:tcBorders>
              <w:top w:val="single" w:sz="12" w:space="0" w:color="DDDDDD"/>
            </w:tcBorders>
          </w:tcPr>
          <w:p w14:paraId="0FFBB37D" w14:textId="77777777" w:rsidR="00A720EB" w:rsidRDefault="0030286B">
            <w:pPr>
              <w:pStyle w:val="TableParagraph"/>
              <w:spacing w:before="27"/>
              <w:rPr>
                <w:sz w:val="21"/>
              </w:rPr>
            </w:pPr>
            <w:r>
              <w:rPr>
                <w:color w:val="B02045"/>
                <w:sz w:val="21"/>
              </w:rPr>
              <w:t>3.0</w:t>
            </w:r>
          </w:p>
        </w:tc>
        <w:tc>
          <w:tcPr>
            <w:tcW w:w="4988" w:type="dxa"/>
            <w:tcBorders>
              <w:top w:val="single" w:sz="12" w:space="0" w:color="DDDDDD"/>
            </w:tcBorders>
          </w:tcPr>
          <w:p w14:paraId="46216926" w14:textId="77777777" w:rsidR="00A720EB" w:rsidRDefault="0030286B">
            <w:pPr>
              <w:pStyle w:val="TableParagraph"/>
              <w:spacing w:before="82" w:line="307" w:lineRule="auto"/>
              <w:ind w:right="640"/>
              <w:rPr>
                <w:rFonts w:ascii="Cambria"/>
                <w:sz w:val="21"/>
              </w:rPr>
            </w:pPr>
            <w:r>
              <w:rPr>
                <w:rFonts w:ascii="Cambria"/>
                <w:color w:val="333333"/>
                <w:w w:val="110"/>
                <w:sz w:val="21"/>
              </w:rPr>
              <w:t>Maximum number of attempts to deliver a message.</w:t>
            </w:r>
          </w:p>
        </w:tc>
      </w:tr>
      <w:tr w:rsidR="00A720EB" w14:paraId="7F2CA457" w14:textId="77777777">
        <w:trPr>
          <w:trHeight w:val="886"/>
        </w:trPr>
        <w:tc>
          <w:tcPr>
            <w:tcW w:w="2494" w:type="dxa"/>
          </w:tcPr>
          <w:p w14:paraId="462FD9FD"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.listen er.simple.retry.max- interval</w:t>
            </w:r>
          </w:p>
        </w:tc>
        <w:tc>
          <w:tcPr>
            <w:tcW w:w="2494" w:type="dxa"/>
          </w:tcPr>
          <w:p w14:paraId="34CA9AFF" w14:textId="77777777" w:rsidR="00A720EB" w:rsidRDefault="0030286B">
            <w:pPr>
              <w:pStyle w:val="TableParagraph"/>
              <w:rPr>
                <w:sz w:val="21"/>
              </w:rPr>
            </w:pPr>
            <w:r>
              <w:rPr>
                <w:color w:val="B02045"/>
                <w:sz w:val="21"/>
              </w:rPr>
              <w:t>10000ms</w:t>
            </w:r>
          </w:p>
        </w:tc>
        <w:tc>
          <w:tcPr>
            <w:tcW w:w="4988" w:type="dxa"/>
          </w:tcPr>
          <w:p w14:paraId="5BA90B8A" w14:textId="77777777" w:rsidR="00A720EB" w:rsidRDefault="0030286B">
            <w:pPr>
              <w:pStyle w:val="TableParagraph"/>
              <w:spacing w:before="92"/>
              <w:rPr>
                <w:rFonts w:ascii="Cambria"/>
                <w:sz w:val="21"/>
              </w:rPr>
            </w:pPr>
            <w:r>
              <w:rPr>
                <w:rFonts w:ascii="Cambria"/>
                <w:color w:val="333333"/>
                <w:w w:val="110"/>
                <w:sz w:val="21"/>
              </w:rPr>
              <w:t>Maximum duration between attempts.</w:t>
            </w:r>
          </w:p>
        </w:tc>
      </w:tr>
      <w:tr w:rsidR="00A720EB" w14:paraId="14762B5C" w14:textId="77777777">
        <w:trPr>
          <w:trHeight w:val="886"/>
        </w:trPr>
        <w:tc>
          <w:tcPr>
            <w:tcW w:w="2494" w:type="dxa"/>
          </w:tcPr>
          <w:p w14:paraId="6EA99D6E" w14:textId="77777777" w:rsidR="00A720EB" w:rsidRDefault="0030286B">
            <w:pPr>
              <w:pStyle w:val="TableParagraph"/>
              <w:spacing w:before="46" w:line="230" w:lineRule="auto"/>
              <w:ind w:right="113"/>
              <w:jc w:val="both"/>
              <w:rPr>
                <w:sz w:val="21"/>
              </w:rPr>
            </w:pPr>
            <w:proofErr w:type="gramStart"/>
            <w:r>
              <w:rPr>
                <w:color w:val="B02045"/>
                <w:sz w:val="21"/>
              </w:rPr>
              <w:t>spring.rabbitmq</w:t>
            </w:r>
            <w:proofErr w:type="gramEnd"/>
            <w:r>
              <w:rPr>
                <w:color w:val="B02045"/>
                <w:sz w:val="21"/>
              </w:rPr>
              <w:t>.listen er.simple.retry.multip lier</w:t>
            </w:r>
          </w:p>
        </w:tc>
        <w:tc>
          <w:tcPr>
            <w:tcW w:w="2494" w:type="dxa"/>
          </w:tcPr>
          <w:p w14:paraId="7C0980AA" w14:textId="77777777" w:rsidR="00A720EB" w:rsidRDefault="0030286B">
            <w:pPr>
              <w:pStyle w:val="TableParagraph"/>
              <w:rPr>
                <w:sz w:val="21"/>
              </w:rPr>
            </w:pPr>
            <w:r>
              <w:rPr>
                <w:color w:val="B02045"/>
                <w:sz w:val="21"/>
              </w:rPr>
              <w:t>1.0</w:t>
            </w:r>
          </w:p>
        </w:tc>
        <w:tc>
          <w:tcPr>
            <w:tcW w:w="4988" w:type="dxa"/>
          </w:tcPr>
          <w:p w14:paraId="1399F5C4" w14:textId="77777777" w:rsidR="00A720EB" w:rsidRDefault="0030286B">
            <w:pPr>
              <w:pStyle w:val="TableParagraph"/>
              <w:spacing w:before="92"/>
              <w:rPr>
                <w:rFonts w:ascii="Cambria"/>
                <w:sz w:val="21"/>
              </w:rPr>
            </w:pPr>
            <w:r>
              <w:rPr>
                <w:rFonts w:ascii="Cambria"/>
                <w:color w:val="333333"/>
                <w:w w:val="110"/>
                <w:sz w:val="21"/>
              </w:rPr>
              <w:t>Multiplier to apply to the previous retry interval.</w:t>
            </w:r>
          </w:p>
        </w:tc>
      </w:tr>
      <w:tr w:rsidR="00A720EB" w14:paraId="21EF3A5B" w14:textId="77777777">
        <w:trPr>
          <w:trHeight w:val="886"/>
        </w:trPr>
        <w:tc>
          <w:tcPr>
            <w:tcW w:w="2494" w:type="dxa"/>
          </w:tcPr>
          <w:p w14:paraId="146A2305" w14:textId="77777777" w:rsidR="00A720EB" w:rsidRDefault="0030286B">
            <w:pPr>
              <w:pStyle w:val="TableParagraph"/>
              <w:spacing w:before="46" w:line="230" w:lineRule="auto"/>
              <w:ind w:right="113"/>
              <w:jc w:val="both"/>
              <w:rPr>
                <w:sz w:val="21"/>
              </w:rPr>
            </w:pPr>
            <w:proofErr w:type="gramStart"/>
            <w:r>
              <w:rPr>
                <w:color w:val="B02045"/>
                <w:sz w:val="21"/>
              </w:rPr>
              <w:t>spring.rabbitmq</w:t>
            </w:r>
            <w:proofErr w:type="gramEnd"/>
            <w:r>
              <w:rPr>
                <w:color w:val="B02045"/>
                <w:sz w:val="21"/>
              </w:rPr>
              <w:t>.listen er.simple.retry.statel ess</w:t>
            </w:r>
          </w:p>
        </w:tc>
        <w:tc>
          <w:tcPr>
            <w:tcW w:w="2494" w:type="dxa"/>
          </w:tcPr>
          <w:p w14:paraId="46CE2BF1" w14:textId="77777777" w:rsidR="00A720EB" w:rsidRDefault="0030286B">
            <w:pPr>
              <w:pStyle w:val="TableParagraph"/>
              <w:spacing w:before="37"/>
              <w:rPr>
                <w:sz w:val="21"/>
              </w:rPr>
            </w:pPr>
            <w:r>
              <w:rPr>
                <w:color w:val="B02045"/>
                <w:sz w:val="21"/>
              </w:rPr>
              <w:t>true</w:t>
            </w:r>
          </w:p>
        </w:tc>
        <w:tc>
          <w:tcPr>
            <w:tcW w:w="4988" w:type="dxa"/>
          </w:tcPr>
          <w:p w14:paraId="6E788E12" w14:textId="77777777" w:rsidR="00A720EB" w:rsidRDefault="0030286B">
            <w:pPr>
              <w:pStyle w:val="TableParagraph"/>
              <w:spacing w:before="92"/>
              <w:rPr>
                <w:rFonts w:ascii="Cambria"/>
                <w:sz w:val="21"/>
              </w:rPr>
            </w:pPr>
            <w:r>
              <w:rPr>
                <w:rFonts w:ascii="Cambria"/>
                <w:color w:val="333333"/>
                <w:w w:val="110"/>
                <w:sz w:val="21"/>
              </w:rPr>
              <w:t>Whether retries are stateless or stateful.</w:t>
            </w:r>
          </w:p>
        </w:tc>
      </w:tr>
      <w:tr w:rsidR="00A720EB" w14:paraId="6C63ACE9" w14:textId="77777777">
        <w:trPr>
          <w:trHeight w:val="627"/>
        </w:trPr>
        <w:tc>
          <w:tcPr>
            <w:tcW w:w="2494" w:type="dxa"/>
          </w:tcPr>
          <w:p w14:paraId="719E8B99"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.listen er.type</w:t>
            </w:r>
          </w:p>
        </w:tc>
        <w:tc>
          <w:tcPr>
            <w:tcW w:w="2494" w:type="dxa"/>
          </w:tcPr>
          <w:p w14:paraId="6A5E64EA" w14:textId="77777777" w:rsidR="00A720EB" w:rsidRDefault="0030286B">
            <w:pPr>
              <w:pStyle w:val="TableParagraph"/>
              <w:rPr>
                <w:sz w:val="21"/>
              </w:rPr>
            </w:pPr>
            <w:r>
              <w:rPr>
                <w:color w:val="B02045"/>
                <w:sz w:val="21"/>
              </w:rPr>
              <w:t>simple</w:t>
            </w:r>
          </w:p>
        </w:tc>
        <w:tc>
          <w:tcPr>
            <w:tcW w:w="4988" w:type="dxa"/>
          </w:tcPr>
          <w:p w14:paraId="42525A6C" w14:textId="77777777" w:rsidR="00A720EB" w:rsidRDefault="0030286B">
            <w:pPr>
              <w:pStyle w:val="TableParagraph"/>
              <w:spacing w:before="92"/>
              <w:rPr>
                <w:rFonts w:ascii="Cambria"/>
                <w:sz w:val="21"/>
              </w:rPr>
            </w:pPr>
            <w:r>
              <w:rPr>
                <w:rFonts w:ascii="Cambria"/>
                <w:color w:val="333333"/>
                <w:w w:val="110"/>
                <w:sz w:val="21"/>
              </w:rPr>
              <w:t>Listener container type.</w:t>
            </w:r>
          </w:p>
        </w:tc>
      </w:tr>
      <w:tr w:rsidR="00A720EB" w14:paraId="7B6C175B" w14:textId="77777777">
        <w:trPr>
          <w:trHeight w:val="627"/>
        </w:trPr>
        <w:tc>
          <w:tcPr>
            <w:tcW w:w="2494" w:type="dxa"/>
          </w:tcPr>
          <w:p w14:paraId="46ED5204"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.passwo rd</w:t>
            </w:r>
          </w:p>
        </w:tc>
        <w:tc>
          <w:tcPr>
            <w:tcW w:w="2494" w:type="dxa"/>
          </w:tcPr>
          <w:p w14:paraId="19704889" w14:textId="77777777" w:rsidR="00A720EB" w:rsidRDefault="0030286B">
            <w:pPr>
              <w:pStyle w:val="TableParagraph"/>
              <w:rPr>
                <w:sz w:val="21"/>
              </w:rPr>
            </w:pPr>
            <w:r>
              <w:rPr>
                <w:color w:val="B02045"/>
                <w:sz w:val="21"/>
              </w:rPr>
              <w:t>guest</w:t>
            </w:r>
          </w:p>
        </w:tc>
        <w:tc>
          <w:tcPr>
            <w:tcW w:w="4988" w:type="dxa"/>
          </w:tcPr>
          <w:p w14:paraId="039B6486" w14:textId="77777777" w:rsidR="00A720EB" w:rsidRDefault="0030286B">
            <w:pPr>
              <w:pStyle w:val="TableParagraph"/>
              <w:spacing w:before="92"/>
              <w:rPr>
                <w:rFonts w:ascii="Cambria"/>
                <w:sz w:val="21"/>
              </w:rPr>
            </w:pPr>
            <w:r>
              <w:rPr>
                <w:rFonts w:ascii="Cambria"/>
                <w:color w:val="333333"/>
                <w:w w:val="110"/>
                <w:sz w:val="21"/>
              </w:rPr>
              <w:t>Login to authenticate against the broker.</w:t>
            </w:r>
          </w:p>
        </w:tc>
      </w:tr>
      <w:tr w:rsidR="00A720EB" w14:paraId="70453F63" w14:textId="77777777">
        <w:trPr>
          <w:trHeight w:val="741"/>
        </w:trPr>
        <w:tc>
          <w:tcPr>
            <w:tcW w:w="2494" w:type="dxa"/>
          </w:tcPr>
          <w:p w14:paraId="7CC9047A" w14:textId="77777777" w:rsidR="00A720EB" w:rsidRDefault="0030286B">
            <w:pPr>
              <w:pStyle w:val="TableParagraph"/>
              <w:spacing w:before="37"/>
              <w:rPr>
                <w:sz w:val="21"/>
              </w:rPr>
            </w:pPr>
            <w:proofErr w:type="gramStart"/>
            <w:r>
              <w:rPr>
                <w:color w:val="B02045"/>
                <w:sz w:val="21"/>
              </w:rPr>
              <w:t>spring.rabbitmq</w:t>
            </w:r>
            <w:proofErr w:type="gramEnd"/>
            <w:r>
              <w:rPr>
                <w:color w:val="B02045"/>
                <w:sz w:val="21"/>
              </w:rPr>
              <w:t>.port</w:t>
            </w:r>
          </w:p>
        </w:tc>
        <w:tc>
          <w:tcPr>
            <w:tcW w:w="2494" w:type="dxa"/>
          </w:tcPr>
          <w:p w14:paraId="46BDB76D" w14:textId="77777777" w:rsidR="00A720EB" w:rsidRDefault="00A720EB">
            <w:pPr>
              <w:pStyle w:val="TableParagraph"/>
              <w:spacing w:before="0"/>
              <w:ind w:left="0"/>
              <w:rPr>
                <w:rFonts w:ascii="Times New Roman"/>
                <w:sz w:val="20"/>
              </w:rPr>
            </w:pPr>
          </w:p>
        </w:tc>
        <w:tc>
          <w:tcPr>
            <w:tcW w:w="4988" w:type="dxa"/>
          </w:tcPr>
          <w:p w14:paraId="7732BB38" w14:textId="77777777" w:rsidR="00A720EB" w:rsidRDefault="0030286B">
            <w:pPr>
              <w:pStyle w:val="TableParagraph"/>
              <w:spacing w:before="28" w:line="310" w:lineRule="atLeast"/>
              <w:rPr>
                <w:rFonts w:ascii="Cambria"/>
                <w:sz w:val="21"/>
              </w:rPr>
            </w:pPr>
            <w:r>
              <w:rPr>
                <w:rFonts w:ascii="Cambria"/>
                <w:color w:val="333333"/>
                <w:w w:val="110"/>
                <w:sz w:val="21"/>
              </w:rPr>
              <w:t>RabbitMQ port. Ignored if an address is set. Default to 5672, or 5671 if SSL is enabled.</w:t>
            </w:r>
          </w:p>
        </w:tc>
      </w:tr>
      <w:tr w:rsidR="00A720EB" w14:paraId="02E79409" w14:textId="77777777">
        <w:trPr>
          <w:trHeight w:val="627"/>
        </w:trPr>
        <w:tc>
          <w:tcPr>
            <w:tcW w:w="2494" w:type="dxa"/>
          </w:tcPr>
          <w:p w14:paraId="2B9DB679"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.publis her-confirm-type</w:t>
            </w:r>
          </w:p>
        </w:tc>
        <w:tc>
          <w:tcPr>
            <w:tcW w:w="2494" w:type="dxa"/>
          </w:tcPr>
          <w:p w14:paraId="5C6DFD06" w14:textId="77777777" w:rsidR="00A720EB" w:rsidRDefault="00A720EB">
            <w:pPr>
              <w:pStyle w:val="TableParagraph"/>
              <w:spacing w:before="0"/>
              <w:ind w:left="0"/>
              <w:rPr>
                <w:rFonts w:ascii="Times New Roman"/>
                <w:sz w:val="20"/>
              </w:rPr>
            </w:pPr>
          </w:p>
        </w:tc>
        <w:tc>
          <w:tcPr>
            <w:tcW w:w="4988" w:type="dxa"/>
          </w:tcPr>
          <w:p w14:paraId="0290AA72" w14:textId="77777777" w:rsidR="00A720EB" w:rsidRDefault="0030286B">
            <w:pPr>
              <w:pStyle w:val="TableParagraph"/>
              <w:spacing w:before="92"/>
              <w:rPr>
                <w:rFonts w:ascii="Cambria"/>
                <w:sz w:val="21"/>
              </w:rPr>
            </w:pPr>
            <w:r>
              <w:rPr>
                <w:rFonts w:ascii="Cambria"/>
                <w:color w:val="333333"/>
                <w:w w:val="110"/>
                <w:sz w:val="21"/>
              </w:rPr>
              <w:t>Type of publisher confirms to use.</w:t>
            </w:r>
          </w:p>
        </w:tc>
      </w:tr>
      <w:tr w:rsidR="00A720EB" w14:paraId="36F1D5A5" w14:textId="77777777">
        <w:trPr>
          <w:trHeight w:val="627"/>
        </w:trPr>
        <w:tc>
          <w:tcPr>
            <w:tcW w:w="2494" w:type="dxa"/>
          </w:tcPr>
          <w:p w14:paraId="0926CEBA"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.publis her-returns</w:t>
            </w:r>
          </w:p>
        </w:tc>
        <w:tc>
          <w:tcPr>
            <w:tcW w:w="2494" w:type="dxa"/>
          </w:tcPr>
          <w:p w14:paraId="30D57B8D" w14:textId="77777777" w:rsidR="00A720EB" w:rsidRDefault="0030286B">
            <w:pPr>
              <w:pStyle w:val="TableParagraph"/>
              <w:spacing w:before="37"/>
              <w:rPr>
                <w:sz w:val="21"/>
              </w:rPr>
            </w:pPr>
            <w:r>
              <w:rPr>
                <w:color w:val="B02045"/>
                <w:sz w:val="21"/>
              </w:rPr>
              <w:t>false</w:t>
            </w:r>
          </w:p>
        </w:tc>
        <w:tc>
          <w:tcPr>
            <w:tcW w:w="4988" w:type="dxa"/>
          </w:tcPr>
          <w:p w14:paraId="08F1951B" w14:textId="77777777" w:rsidR="00A720EB" w:rsidRDefault="0030286B">
            <w:pPr>
              <w:pStyle w:val="TableParagraph"/>
              <w:spacing w:before="92"/>
              <w:rPr>
                <w:rFonts w:ascii="Cambria"/>
                <w:sz w:val="21"/>
              </w:rPr>
            </w:pPr>
            <w:r>
              <w:rPr>
                <w:rFonts w:ascii="Cambria"/>
                <w:color w:val="333333"/>
                <w:w w:val="110"/>
                <w:sz w:val="21"/>
              </w:rPr>
              <w:t>Whether to enable publisher returns.</w:t>
            </w:r>
          </w:p>
        </w:tc>
      </w:tr>
      <w:tr w:rsidR="00A720EB" w14:paraId="257532C5" w14:textId="77777777">
        <w:trPr>
          <w:trHeight w:val="741"/>
        </w:trPr>
        <w:tc>
          <w:tcPr>
            <w:tcW w:w="2494" w:type="dxa"/>
          </w:tcPr>
          <w:p w14:paraId="769DF48D"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.reques ted-channel-max</w:t>
            </w:r>
          </w:p>
        </w:tc>
        <w:tc>
          <w:tcPr>
            <w:tcW w:w="2494" w:type="dxa"/>
          </w:tcPr>
          <w:p w14:paraId="24BBCEB8" w14:textId="77777777" w:rsidR="00A720EB" w:rsidRDefault="0030286B">
            <w:pPr>
              <w:pStyle w:val="TableParagraph"/>
              <w:rPr>
                <w:sz w:val="21"/>
              </w:rPr>
            </w:pPr>
            <w:r>
              <w:rPr>
                <w:color w:val="B02045"/>
                <w:sz w:val="21"/>
              </w:rPr>
              <w:t>2047.0</w:t>
            </w:r>
          </w:p>
        </w:tc>
        <w:tc>
          <w:tcPr>
            <w:tcW w:w="4988" w:type="dxa"/>
          </w:tcPr>
          <w:p w14:paraId="53F6284F" w14:textId="77777777" w:rsidR="00A720EB" w:rsidRDefault="0030286B">
            <w:pPr>
              <w:pStyle w:val="TableParagraph"/>
              <w:spacing w:before="28" w:line="310" w:lineRule="atLeast"/>
              <w:ind w:right="218"/>
              <w:rPr>
                <w:rFonts w:ascii="Cambria"/>
                <w:sz w:val="21"/>
              </w:rPr>
            </w:pPr>
            <w:r>
              <w:rPr>
                <w:rFonts w:ascii="Cambria"/>
                <w:color w:val="333333"/>
                <w:w w:val="110"/>
                <w:sz w:val="21"/>
              </w:rPr>
              <w:t>Number of channels per connection requested by the client. Use 0 for unlimited.</w:t>
            </w:r>
          </w:p>
        </w:tc>
      </w:tr>
      <w:tr w:rsidR="00A720EB" w14:paraId="26A63607" w14:textId="77777777">
        <w:trPr>
          <w:trHeight w:val="1056"/>
        </w:trPr>
        <w:tc>
          <w:tcPr>
            <w:tcW w:w="2494" w:type="dxa"/>
          </w:tcPr>
          <w:p w14:paraId="1C2981C4"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.reques ted-heartbeat</w:t>
            </w:r>
          </w:p>
        </w:tc>
        <w:tc>
          <w:tcPr>
            <w:tcW w:w="2494" w:type="dxa"/>
          </w:tcPr>
          <w:p w14:paraId="7F63F9A4" w14:textId="77777777" w:rsidR="00A720EB" w:rsidRDefault="00A720EB">
            <w:pPr>
              <w:pStyle w:val="TableParagraph"/>
              <w:spacing w:before="0"/>
              <w:ind w:left="0"/>
              <w:rPr>
                <w:rFonts w:ascii="Times New Roman"/>
                <w:sz w:val="20"/>
              </w:rPr>
            </w:pPr>
          </w:p>
        </w:tc>
        <w:tc>
          <w:tcPr>
            <w:tcW w:w="4988" w:type="dxa"/>
          </w:tcPr>
          <w:p w14:paraId="396D06AF" w14:textId="77777777" w:rsidR="00A720EB" w:rsidRDefault="0030286B">
            <w:pPr>
              <w:pStyle w:val="TableParagraph"/>
              <w:spacing w:before="28" w:line="310" w:lineRule="atLeast"/>
              <w:rPr>
                <w:rFonts w:ascii="Cambria"/>
                <w:sz w:val="21"/>
              </w:rPr>
            </w:pPr>
            <w:r>
              <w:rPr>
                <w:rFonts w:ascii="Cambria"/>
                <w:color w:val="333333"/>
                <w:w w:val="110"/>
                <w:sz w:val="21"/>
              </w:rPr>
              <w:t>Requested heartbeat timeout; zero for none. If a duration suffix is not specified, seconds will be used.</w:t>
            </w:r>
          </w:p>
        </w:tc>
      </w:tr>
      <w:tr w:rsidR="00A720EB" w14:paraId="75217C26" w14:textId="77777777">
        <w:trPr>
          <w:trHeight w:val="741"/>
        </w:trPr>
        <w:tc>
          <w:tcPr>
            <w:tcW w:w="2494" w:type="dxa"/>
          </w:tcPr>
          <w:p w14:paraId="517364D6" w14:textId="77777777" w:rsidR="00A720EB" w:rsidRDefault="0030286B">
            <w:pPr>
              <w:pStyle w:val="TableParagraph"/>
              <w:spacing w:before="46" w:line="230" w:lineRule="auto"/>
              <w:ind w:right="94"/>
              <w:rPr>
                <w:sz w:val="21"/>
              </w:rPr>
            </w:pPr>
            <w:r>
              <w:rPr>
                <w:color w:val="B02045"/>
                <w:sz w:val="21"/>
              </w:rPr>
              <w:t>spring.rabbitmq.ssl.al gorithm</w:t>
            </w:r>
          </w:p>
        </w:tc>
        <w:tc>
          <w:tcPr>
            <w:tcW w:w="2494" w:type="dxa"/>
          </w:tcPr>
          <w:p w14:paraId="52F04BB8" w14:textId="77777777" w:rsidR="00A720EB" w:rsidRDefault="00A720EB">
            <w:pPr>
              <w:pStyle w:val="TableParagraph"/>
              <w:spacing w:before="0"/>
              <w:ind w:left="0"/>
              <w:rPr>
                <w:rFonts w:ascii="Times New Roman"/>
                <w:sz w:val="20"/>
              </w:rPr>
            </w:pPr>
          </w:p>
        </w:tc>
        <w:tc>
          <w:tcPr>
            <w:tcW w:w="4988" w:type="dxa"/>
          </w:tcPr>
          <w:p w14:paraId="6795B3D9" w14:textId="77777777" w:rsidR="00A720EB" w:rsidRDefault="0030286B">
            <w:pPr>
              <w:pStyle w:val="TableParagraph"/>
              <w:spacing w:before="28" w:line="310" w:lineRule="atLeast"/>
              <w:ind w:right="218"/>
              <w:rPr>
                <w:rFonts w:ascii="Cambria"/>
                <w:sz w:val="21"/>
              </w:rPr>
            </w:pPr>
            <w:r>
              <w:rPr>
                <w:rFonts w:ascii="Cambria"/>
                <w:color w:val="333333"/>
                <w:w w:val="110"/>
                <w:sz w:val="21"/>
              </w:rPr>
              <w:t>SSL algorithm to use. By default, configured by the Rabbit client library.</w:t>
            </w:r>
          </w:p>
        </w:tc>
      </w:tr>
      <w:tr w:rsidR="00A720EB" w14:paraId="7D09BA99" w14:textId="77777777">
        <w:trPr>
          <w:trHeight w:val="1056"/>
        </w:trPr>
        <w:tc>
          <w:tcPr>
            <w:tcW w:w="2494" w:type="dxa"/>
          </w:tcPr>
          <w:p w14:paraId="20A4A25C" w14:textId="77777777" w:rsidR="00A720EB" w:rsidRDefault="0030286B">
            <w:pPr>
              <w:pStyle w:val="TableParagraph"/>
              <w:spacing w:before="46" w:line="230" w:lineRule="auto"/>
              <w:ind w:right="94"/>
              <w:rPr>
                <w:sz w:val="21"/>
              </w:rPr>
            </w:pPr>
            <w:proofErr w:type="gramStart"/>
            <w:r>
              <w:rPr>
                <w:color w:val="B02045"/>
                <w:sz w:val="21"/>
              </w:rPr>
              <w:t>spring.rabbitmq.ssl.en</w:t>
            </w:r>
            <w:proofErr w:type="gramEnd"/>
            <w:r>
              <w:rPr>
                <w:color w:val="B02045"/>
                <w:sz w:val="21"/>
              </w:rPr>
              <w:t xml:space="preserve"> abled</w:t>
            </w:r>
          </w:p>
        </w:tc>
        <w:tc>
          <w:tcPr>
            <w:tcW w:w="2494" w:type="dxa"/>
          </w:tcPr>
          <w:p w14:paraId="66F57444" w14:textId="77777777" w:rsidR="00A720EB" w:rsidRDefault="00A720EB">
            <w:pPr>
              <w:pStyle w:val="TableParagraph"/>
              <w:spacing w:before="0"/>
              <w:ind w:left="0"/>
              <w:rPr>
                <w:rFonts w:ascii="Times New Roman"/>
                <w:sz w:val="20"/>
              </w:rPr>
            </w:pPr>
          </w:p>
        </w:tc>
        <w:tc>
          <w:tcPr>
            <w:tcW w:w="4988" w:type="dxa"/>
          </w:tcPr>
          <w:p w14:paraId="717A5487" w14:textId="77777777" w:rsidR="00A720EB" w:rsidRDefault="0030286B">
            <w:pPr>
              <w:pStyle w:val="TableParagraph"/>
              <w:spacing w:before="28" w:line="310" w:lineRule="atLeast"/>
              <w:rPr>
                <w:rFonts w:ascii="Cambria"/>
                <w:sz w:val="21"/>
              </w:rPr>
            </w:pPr>
            <w:r>
              <w:rPr>
                <w:rFonts w:ascii="Cambria"/>
                <w:color w:val="333333"/>
                <w:w w:val="110"/>
                <w:sz w:val="21"/>
              </w:rPr>
              <w:t>Whether to enable SSL support. Determined automatically if an address is provided with the protocol (amqp:// vs. amqps://).</w:t>
            </w:r>
          </w:p>
        </w:tc>
      </w:tr>
      <w:tr w:rsidR="00A720EB" w14:paraId="673D3B37" w14:textId="77777777">
        <w:trPr>
          <w:trHeight w:val="741"/>
        </w:trPr>
        <w:tc>
          <w:tcPr>
            <w:tcW w:w="2494" w:type="dxa"/>
          </w:tcPr>
          <w:p w14:paraId="79486DA6" w14:textId="77777777" w:rsidR="00A720EB" w:rsidRDefault="0030286B">
            <w:pPr>
              <w:pStyle w:val="TableParagraph"/>
              <w:spacing w:before="46" w:line="230" w:lineRule="auto"/>
              <w:ind w:right="113"/>
              <w:rPr>
                <w:sz w:val="21"/>
              </w:rPr>
            </w:pPr>
            <w:r>
              <w:rPr>
                <w:color w:val="B02045"/>
                <w:sz w:val="21"/>
              </w:rPr>
              <w:t>spring.rabbitmq.ssl.ke y-store</w:t>
            </w:r>
          </w:p>
        </w:tc>
        <w:tc>
          <w:tcPr>
            <w:tcW w:w="2494" w:type="dxa"/>
          </w:tcPr>
          <w:p w14:paraId="6AA37310" w14:textId="77777777" w:rsidR="00A720EB" w:rsidRDefault="00A720EB">
            <w:pPr>
              <w:pStyle w:val="TableParagraph"/>
              <w:spacing w:before="0"/>
              <w:ind w:left="0"/>
              <w:rPr>
                <w:rFonts w:ascii="Times New Roman"/>
                <w:sz w:val="20"/>
              </w:rPr>
            </w:pPr>
          </w:p>
        </w:tc>
        <w:tc>
          <w:tcPr>
            <w:tcW w:w="4988" w:type="dxa"/>
          </w:tcPr>
          <w:p w14:paraId="1B820D19" w14:textId="77777777" w:rsidR="00A720EB" w:rsidRDefault="0030286B">
            <w:pPr>
              <w:pStyle w:val="TableParagraph"/>
              <w:spacing w:before="28" w:line="310" w:lineRule="atLeast"/>
              <w:ind w:right="640"/>
              <w:rPr>
                <w:rFonts w:ascii="Cambria"/>
                <w:sz w:val="21"/>
              </w:rPr>
            </w:pPr>
            <w:r>
              <w:rPr>
                <w:rFonts w:ascii="Cambria"/>
                <w:color w:val="333333"/>
                <w:w w:val="110"/>
                <w:sz w:val="21"/>
              </w:rPr>
              <w:t>Path to the key store that holds the SSL certificate.</w:t>
            </w:r>
          </w:p>
        </w:tc>
      </w:tr>
      <w:tr w:rsidR="00A720EB" w14:paraId="107B3B91" w14:textId="77777777">
        <w:trPr>
          <w:trHeight w:val="627"/>
        </w:trPr>
        <w:tc>
          <w:tcPr>
            <w:tcW w:w="2494" w:type="dxa"/>
          </w:tcPr>
          <w:p w14:paraId="3315A398" w14:textId="77777777" w:rsidR="00A720EB" w:rsidRDefault="0030286B">
            <w:pPr>
              <w:pStyle w:val="TableParagraph"/>
              <w:spacing w:before="46" w:line="230" w:lineRule="auto"/>
              <w:ind w:right="113"/>
              <w:rPr>
                <w:sz w:val="21"/>
              </w:rPr>
            </w:pPr>
            <w:r>
              <w:rPr>
                <w:color w:val="B02045"/>
                <w:sz w:val="21"/>
              </w:rPr>
              <w:t>spring.rabbitmq.ssl.ke y-store-password</w:t>
            </w:r>
          </w:p>
        </w:tc>
        <w:tc>
          <w:tcPr>
            <w:tcW w:w="2494" w:type="dxa"/>
          </w:tcPr>
          <w:p w14:paraId="6031C64C" w14:textId="77777777" w:rsidR="00A720EB" w:rsidRDefault="00A720EB">
            <w:pPr>
              <w:pStyle w:val="TableParagraph"/>
              <w:spacing w:before="0"/>
              <w:ind w:left="0"/>
              <w:rPr>
                <w:rFonts w:ascii="Times New Roman"/>
                <w:sz w:val="20"/>
              </w:rPr>
            </w:pPr>
          </w:p>
        </w:tc>
        <w:tc>
          <w:tcPr>
            <w:tcW w:w="4988" w:type="dxa"/>
          </w:tcPr>
          <w:p w14:paraId="709147C5" w14:textId="77777777" w:rsidR="00A720EB" w:rsidRDefault="0030286B">
            <w:pPr>
              <w:pStyle w:val="TableParagraph"/>
              <w:spacing w:before="92"/>
              <w:rPr>
                <w:rFonts w:ascii="Cambria"/>
                <w:sz w:val="21"/>
              </w:rPr>
            </w:pPr>
            <w:r>
              <w:rPr>
                <w:rFonts w:ascii="Cambria"/>
                <w:color w:val="333333"/>
                <w:w w:val="110"/>
                <w:sz w:val="21"/>
              </w:rPr>
              <w:t>Password used to access the key store.</w:t>
            </w:r>
          </w:p>
        </w:tc>
      </w:tr>
      <w:tr w:rsidR="00A720EB" w14:paraId="51D26D1A" w14:textId="77777777">
        <w:trPr>
          <w:trHeight w:val="627"/>
        </w:trPr>
        <w:tc>
          <w:tcPr>
            <w:tcW w:w="2494" w:type="dxa"/>
          </w:tcPr>
          <w:p w14:paraId="62A8EBD6" w14:textId="77777777" w:rsidR="00A720EB" w:rsidRDefault="0030286B">
            <w:pPr>
              <w:pStyle w:val="TableParagraph"/>
              <w:spacing w:before="46" w:line="230" w:lineRule="auto"/>
              <w:ind w:right="113"/>
              <w:rPr>
                <w:sz w:val="21"/>
              </w:rPr>
            </w:pPr>
            <w:r>
              <w:rPr>
                <w:color w:val="B02045"/>
                <w:sz w:val="21"/>
              </w:rPr>
              <w:t>spring.rabbitmq.ssl.ke y-store-type</w:t>
            </w:r>
          </w:p>
        </w:tc>
        <w:tc>
          <w:tcPr>
            <w:tcW w:w="2494" w:type="dxa"/>
          </w:tcPr>
          <w:p w14:paraId="056C597F" w14:textId="77777777" w:rsidR="00A720EB" w:rsidRDefault="0030286B">
            <w:pPr>
              <w:pStyle w:val="TableParagraph"/>
              <w:rPr>
                <w:sz w:val="21"/>
              </w:rPr>
            </w:pPr>
            <w:r>
              <w:rPr>
                <w:color w:val="B02045"/>
                <w:sz w:val="21"/>
              </w:rPr>
              <w:t>PKCS12</w:t>
            </w:r>
          </w:p>
        </w:tc>
        <w:tc>
          <w:tcPr>
            <w:tcW w:w="4988" w:type="dxa"/>
          </w:tcPr>
          <w:p w14:paraId="28B20E11" w14:textId="77777777" w:rsidR="00A720EB" w:rsidRDefault="0030286B">
            <w:pPr>
              <w:pStyle w:val="TableParagraph"/>
              <w:spacing w:before="92"/>
              <w:rPr>
                <w:rFonts w:ascii="Cambria"/>
                <w:sz w:val="21"/>
              </w:rPr>
            </w:pPr>
            <w:r>
              <w:rPr>
                <w:rFonts w:ascii="Cambria"/>
                <w:color w:val="333333"/>
                <w:w w:val="110"/>
                <w:sz w:val="21"/>
              </w:rPr>
              <w:t>Key store type.</w:t>
            </w:r>
          </w:p>
        </w:tc>
      </w:tr>
      <w:tr w:rsidR="00A720EB" w14:paraId="5889BF88" w14:textId="77777777">
        <w:trPr>
          <w:trHeight w:val="627"/>
        </w:trPr>
        <w:tc>
          <w:tcPr>
            <w:tcW w:w="2494" w:type="dxa"/>
          </w:tcPr>
          <w:p w14:paraId="10B070DD" w14:textId="77777777" w:rsidR="00A720EB" w:rsidRDefault="0030286B">
            <w:pPr>
              <w:pStyle w:val="TableParagraph"/>
              <w:spacing w:before="46" w:line="230" w:lineRule="auto"/>
              <w:ind w:right="113"/>
              <w:rPr>
                <w:sz w:val="21"/>
              </w:rPr>
            </w:pPr>
            <w:r>
              <w:rPr>
                <w:color w:val="B02045"/>
                <w:sz w:val="21"/>
              </w:rPr>
              <w:t>spring.rabbitmq.ssl.tr ust-store</w:t>
            </w:r>
          </w:p>
        </w:tc>
        <w:tc>
          <w:tcPr>
            <w:tcW w:w="2494" w:type="dxa"/>
          </w:tcPr>
          <w:p w14:paraId="5BE68FC5" w14:textId="77777777" w:rsidR="00A720EB" w:rsidRDefault="00A720EB">
            <w:pPr>
              <w:pStyle w:val="TableParagraph"/>
              <w:spacing w:before="0"/>
              <w:ind w:left="0"/>
              <w:rPr>
                <w:rFonts w:ascii="Times New Roman"/>
                <w:sz w:val="20"/>
              </w:rPr>
            </w:pPr>
          </w:p>
        </w:tc>
        <w:tc>
          <w:tcPr>
            <w:tcW w:w="4988" w:type="dxa"/>
          </w:tcPr>
          <w:p w14:paraId="37266F54" w14:textId="77777777" w:rsidR="00A720EB" w:rsidRDefault="0030286B">
            <w:pPr>
              <w:pStyle w:val="TableParagraph"/>
              <w:spacing w:before="92"/>
              <w:rPr>
                <w:rFonts w:ascii="Cambria"/>
                <w:sz w:val="21"/>
              </w:rPr>
            </w:pPr>
            <w:r>
              <w:rPr>
                <w:rFonts w:ascii="Cambria"/>
                <w:color w:val="333333"/>
                <w:w w:val="110"/>
                <w:sz w:val="21"/>
              </w:rPr>
              <w:t>Trust store that holds SSL certificates.</w:t>
            </w:r>
          </w:p>
        </w:tc>
      </w:tr>
      <w:tr w:rsidR="00A720EB" w14:paraId="253B812D" w14:textId="77777777">
        <w:trPr>
          <w:trHeight w:val="627"/>
        </w:trPr>
        <w:tc>
          <w:tcPr>
            <w:tcW w:w="2494" w:type="dxa"/>
          </w:tcPr>
          <w:p w14:paraId="3785B254" w14:textId="77777777" w:rsidR="00A720EB" w:rsidRDefault="0030286B">
            <w:pPr>
              <w:pStyle w:val="TableParagraph"/>
              <w:spacing w:before="46" w:line="230" w:lineRule="auto"/>
              <w:ind w:right="113"/>
              <w:rPr>
                <w:sz w:val="21"/>
              </w:rPr>
            </w:pPr>
            <w:r>
              <w:rPr>
                <w:color w:val="B02045"/>
                <w:sz w:val="21"/>
              </w:rPr>
              <w:t>spring.rabbitmq.ssl.tr ust-store-password</w:t>
            </w:r>
          </w:p>
        </w:tc>
        <w:tc>
          <w:tcPr>
            <w:tcW w:w="2494" w:type="dxa"/>
          </w:tcPr>
          <w:p w14:paraId="1F1705E7" w14:textId="77777777" w:rsidR="00A720EB" w:rsidRDefault="00A720EB">
            <w:pPr>
              <w:pStyle w:val="TableParagraph"/>
              <w:spacing w:before="0"/>
              <w:ind w:left="0"/>
              <w:rPr>
                <w:rFonts w:ascii="Times New Roman"/>
                <w:sz w:val="20"/>
              </w:rPr>
            </w:pPr>
          </w:p>
        </w:tc>
        <w:tc>
          <w:tcPr>
            <w:tcW w:w="4988" w:type="dxa"/>
          </w:tcPr>
          <w:p w14:paraId="514A2A09" w14:textId="77777777" w:rsidR="00A720EB" w:rsidRDefault="0030286B">
            <w:pPr>
              <w:pStyle w:val="TableParagraph"/>
              <w:spacing w:before="92"/>
              <w:rPr>
                <w:rFonts w:ascii="Cambria"/>
                <w:sz w:val="21"/>
              </w:rPr>
            </w:pPr>
            <w:r>
              <w:rPr>
                <w:rFonts w:ascii="Cambria"/>
                <w:color w:val="333333"/>
                <w:w w:val="110"/>
                <w:sz w:val="21"/>
              </w:rPr>
              <w:t>Password used to access the trust store.</w:t>
            </w:r>
          </w:p>
        </w:tc>
      </w:tr>
      <w:tr w:rsidR="00A720EB" w14:paraId="6EAA60B4" w14:textId="77777777">
        <w:trPr>
          <w:trHeight w:val="627"/>
        </w:trPr>
        <w:tc>
          <w:tcPr>
            <w:tcW w:w="2494" w:type="dxa"/>
          </w:tcPr>
          <w:p w14:paraId="76D75005" w14:textId="77777777" w:rsidR="00A720EB" w:rsidRDefault="0030286B">
            <w:pPr>
              <w:pStyle w:val="TableParagraph"/>
              <w:spacing w:before="46" w:line="230" w:lineRule="auto"/>
              <w:ind w:right="113"/>
              <w:rPr>
                <w:sz w:val="21"/>
              </w:rPr>
            </w:pPr>
            <w:r>
              <w:rPr>
                <w:color w:val="B02045"/>
                <w:sz w:val="21"/>
              </w:rPr>
              <w:lastRenderedPageBreak/>
              <w:t>spring.rabbitmq.ssl.tr ust-store-type</w:t>
            </w:r>
          </w:p>
        </w:tc>
        <w:tc>
          <w:tcPr>
            <w:tcW w:w="2494" w:type="dxa"/>
          </w:tcPr>
          <w:p w14:paraId="3D25C441" w14:textId="77777777" w:rsidR="00A720EB" w:rsidRDefault="0030286B">
            <w:pPr>
              <w:pStyle w:val="TableParagraph"/>
              <w:rPr>
                <w:sz w:val="21"/>
              </w:rPr>
            </w:pPr>
            <w:r>
              <w:rPr>
                <w:color w:val="B02045"/>
                <w:sz w:val="21"/>
              </w:rPr>
              <w:t>JKS</w:t>
            </w:r>
          </w:p>
        </w:tc>
        <w:tc>
          <w:tcPr>
            <w:tcW w:w="4988" w:type="dxa"/>
          </w:tcPr>
          <w:p w14:paraId="6CE6D5F1" w14:textId="77777777" w:rsidR="00A720EB" w:rsidRDefault="0030286B">
            <w:pPr>
              <w:pStyle w:val="TableParagraph"/>
              <w:spacing w:before="92"/>
              <w:rPr>
                <w:rFonts w:ascii="Cambria"/>
                <w:sz w:val="21"/>
              </w:rPr>
            </w:pPr>
            <w:r>
              <w:rPr>
                <w:rFonts w:ascii="Cambria"/>
                <w:color w:val="333333"/>
                <w:w w:val="110"/>
                <w:sz w:val="21"/>
              </w:rPr>
              <w:t>Trust store type.</w:t>
            </w:r>
          </w:p>
        </w:tc>
      </w:tr>
    </w:tbl>
    <w:p w14:paraId="194CD7CC"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6D63B23" w14:textId="77777777">
        <w:trPr>
          <w:trHeight w:val="415"/>
        </w:trPr>
        <w:tc>
          <w:tcPr>
            <w:tcW w:w="2494" w:type="dxa"/>
            <w:tcBorders>
              <w:bottom w:val="single" w:sz="12" w:space="0" w:color="DDDDDD"/>
            </w:tcBorders>
          </w:tcPr>
          <w:p w14:paraId="33FF711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9A18FB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613209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F2FBE9C" w14:textId="77777777">
        <w:trPr>
          <w:trHeight w:val="876"/>
        </w:trPr>
        <w:tc>
          <w:tcPr>
            <w:tcW w:w="2494" w:type="dxa"/>
            <w:tcBorders>
              <w:top w:val="single" w:sz="12" w:space="0" w:color="DDDDDD"/>
            </w:tcBorders>
          </w:tcPr>
          <w:p w14:paraId="73A79856" w14:textId="77777777" w:rsidR="00A720EB" w:rsidRDefault="0030286B">
            <w:pPr>
              <w:pStyle w:val="TableParagraph"/>
              <w:spacing w:before="36" w:line="230" w:lineRule="auto"/>
              <w:ind w:right="113"/>
              <w:rPr>
                <w:sz w:val="21"/>
              </w:rPr>
            </w:pPr>
            <w:r>
              <w:rPr>
                <w:color w:val="B02045"/>
                <w:sz w:val="21"/>
              </w:rPr>
              <w:t>spring.rabbitmq.ssl.va lidate-server- certificate</w:t>
            </w:r>
          </w:p>
        </w:tc>
        <w:tc>
          <w:tcPr>
            <w:tcW w:w="2494" w:type="dxa"/>
            <w:tcBorders>
              <w:top w:val="single" w:sz="12" w:space="0" w:color="DDDDDD"/>
            </w:tcBorders>
          </w:tcPr>
          <w:p w14:paraId="7F8C0749"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3A007906" w14:textId="77777777" w:rsidR="00A720EB" w:rsidRDefault="0030286B">
            <w:pPr>
              <w:pStyle w:val="TableParagraph"/>
              <w:spacing w:before="82" w:line="307" w:lineRule="auto"/>
              <w:rPr>
                <w:rFonts w:ascii="Cambria"/>
                <w:sz w:val="21"/>
              </w:rPr>
            </w:pPr>
            <w:r>
              <w:rPr>
                <w:rFonts w:ascii="Cambria"/>
                <w:color w:val="333333"/>
                <w:w w:val="110"/>
                <w:sz w:val="21"/>
              </w:rPr>
              <w:t xml:space="preserve">Whether to enable </w:t>
            </w:r>
            <w:proofErr w:type="gramStart"/>
            <w:r>
              <w:rPr>
                <w:rFonts w:ascii="Cambria"/>
                <w:color w:val="333333"/>
                <w:w w:val="110"/>
                <w:sz w:val="21"/>
              </w:rPr>
              <w:t>server side</w:t>
            </w:r>
            <w:proofErr w:type="gramEnd"/>
            <w:r>
              <w:rPr>
                <w:rFonts w:ascii="Cambria"/>
                <w:color w:val="333333"/>
                <w:w w:val="110"/>
                <w:sz w:val="21"/>
              </w:rPr>
              <w:t xml:space="preserve"> certificate validation.</w:t>
            </w:r>
          </w:p>
        </w:tc>
      </w:tr>
      <w:tr w:rsidR="00A720EB" w14:paraId="53A7CA03" w14:textId="77777777">
        <w:trPr>
          <w:trHeight w:val="627"/>
        </w:trPr>
        <w:tc>
          <w:tcPr>
            <w:tcW w:w="2494" w:type="dxa"/>
          </w:tcPr>
          <w:p w14:paraId="25B041F0" w14:textId="77777777" w:rsidR="00A720EB" w:rsidRDefault="0030286B">
            <w:pPr>
              <w:pStyle w:val="TableParagraph"/>
              <w:spacing w:before="46" w:line="230" w:lineRule="auto"/>
              <w:ind w:right="113"/>
              <w:rPr>
                <w:sz w:val="21"/>
              </w:rPr>
            </w:pPr>
            <w:r>
              <w:rPr>
                <w:color w:val="B02045"/>
                <w:sz w:val="21"/>
              </w:rPr>
              <w:t>spring.rabbitmq.ssl.ve rify-hostname</w:t>
            </w:r>
          </w:p>
        </w:tc>
        <w:tc>
          <w:tcPr>
            <w:tcW w:w="2494" w:type="dxa"/>
          </w:tcPr>
          <w:p w14:paraId="75DE50CD" w14:textId="77777777" w:rsidR="00A720EB" w:rsidRDefault="0030286B">
            <w:pPr>
              <w:pStyle w:val="TableParagraph"/>
              <w:rPr>
                <w:sz w:val="21"/>
              </w:rPr>
            </w:pPr>
            <w:r>
              <w:rPr>
                <w:color w:val="B02045"/>
                <w:sz w:val="21"/>
              </w:rPr>
              <w:t>true</w:t>
            </w:r>
          </w:p>
        </w:tc>
        <w:tc>
          <w:tcPr>
            <w:tcW w:w="4988" w:type="dxa"/>
          </w:tcPr>
          <w:p w14:paraId="6CCEC6A6" w14:textId="77777777" w:rsidR="00A720EB" w:rsidRDefault="0030286B">
            <w:pPr>
              <w:pStyle w:val="TableParagraph"/>
              <w:spacing w:before="92"/>
              <w:rPr>
                <w:rFonts w:ascii="Cambria"/>
                <w:sz w:val="21"/>
              </w:rPr>
            </w:pPr>
            <w:r>
              <w:rPr>
                <w:rFonts w:ascii="Cambria"/>
                <w:color w:val="333333"/>
                <w:w w:val="110"/>
                <w:sz w:val="21"/>
              </w:rPr>
              <w:t>Whether to enable hostname verification.</w:t>
            </w:r>
          </w:p>
        </w:tc>
      </w:tr>
      <w:tr w:rsidR="00A720EB" w14:paraId="27440AE5" w14:textId="77777777">
        <w:trPr>
          <w:trHeight w:val="886"/>
        </w:trPr>
        <w:tc>
          <w:tcPr>
            <w:tcW w:w="2494" w:type="dxa"/>
          </w:tcPr>
          <w:p w14:paraId="66FDAABB"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.templa te.default-receive- queue</w:t>
            </w:r>
          </w:p>
        </w:tc>
        <w:tc>
          <w:tcPr>
            <w:tcW w:w="2494" w:type="dxa"/>
          </w:tcPr>
          <w:p w14:paraId="2C8BB960" w14:textId="77777777" w:rsidR="00A720EB" w:rsidRDefault="00A720EB">
            <w:pPr>
              <w:pStyle w:val="TableParagraph"/>
              <w:spacing w:before="0"/>
              <w:ind w:left="0"/>
              <w:rPr>
                <w:rFonts w:ascii="Times New Roman"/>
                <w:sz w:val="20"/>
              </w:rPr>
            </w:pPr>
          </w:p>
        </w:tc>
        <w:tc>
          <w:tcPr>
            <w:tcW w:w="4988" w:type="dxa"/>
          </w:tcPr>
          <w:p w14:paraId="075371DE" w14:textId="77777777" w:rsidR="00A720EB" w:rsidRDefault="0030286B">
            <w:pPr>
              <w:pStyle w:val="TableParagraph"/>
              <w:spacing w:before="92" w:line="307" w:lineRule="auto"/>
              <w:rPr>
                <w:rFonts w:ascii="Cambria"/>
                <w:sz w:val="21"/>
              </w:rPr>
            </w:pPr>
            <w:r>
              <w:rPr>
                <w:rFonts w:ascii="Cambria"/>
                <w:color w:val="333333"/>
                <w:w w:val="110"/>
                <w:sz w:val="21"/>
              </w:rPr>
              <w:t>Name of the default queue to receive messages from when none is specified explicitly.</w:t>
            </w:r>
          </w:p>
        </w:tc>
      </w:tr>
      <w:tr w:rsidR="00A720EB" w14:paraId="3F52E4FB" w14:textId="77777777">
        <w:trPr>
          <w:trHeight w:val="741"/>
        </w:trPr>
        <w:tc>
          <w:tcPr>
            <w:tcW w:w="2494" w:type="dxa"/>
          </w:tcPr>
          <w:p w14:paraId="7862C456"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.templa te.exchange</w:t>
            </w:r>
          </w:p>
        </w:tc>
        <w:tc>
          <w:tcPr>
            <w:tcW w:w="2494" w:type="dxa"/>
          </w:tcPr>
          <w:p w14:paraId="00130C96" w14:textId="77777777" w:rsidR="00A720EB" w:rsidRDefault="00A720EB">
            <w:pPr>
              <w:pStyle w:val="TableParagraph"/>
              <w:spacing w:before="0"/>
              <w:ind w:left="0"/>
              <w:rPr>
                <w:rFonts w:ascii="Times New Roman"/>
                <w:sz w:val="20"/>
              </w:rPr>
            </w:pPr>
          </w:p>
        </w:tc>
        <w:tc>
          <w:tcPr>
            <w:tcW w:w="4988" w:type="dxa"/>
          </w:tcPr>
          <w:p w14:paraId="75D674FC" w14:textId="77777777" w:rsidR="00A720EB" w:rsidRDefault="0030286B">
            <w:pPr>
              <w:pStyle w:val="TableParagraph"/>
              <w:spacing w:before="28" w:line="310" w:lineRule="atLeast"/>
              <w:rPr>
                <w:rFonts w:ascii="Cambria"/>
                <w:sz w:val="21"/>
              </w:rPr>
            </w:pPr>
            <w:r>
              <w:rPr>
                <w:rFonts w:ascii="Cambria"/>
                <w:color w:val="333333"/>
                <w:w w:val="110"/>
                <w:sz w:val="21"/>
              </w:rPr>
              <w:t>Name of the default exchange to use for send operations.</w:t>
            </w:r>
          </w:p>
        </w:tc>
      </w:tr>
      <w:tr w:rsidR="00A720EB" w14:paraId="6FDC472D" w14:textId="77777777">
        <w:trPr>
          <w:trHeight w:val="627"/>
        </w:trPr>
        <w:tc>
          <w:tcPr>
            <w:tcW w:w="2494" w:type="dxa"/>
          </w:tcPr>
          <w:p w14:paraId="6A2734FE"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.templa te.mandatory</w:t>
            </w:r>
          </w:p>
        </w:tc>
        <w:tc>
          <w:tcPr>
            <w:tcW w:w="2494" w:type="dxa"/>
          </w:tcPr>
          <w:p w14:paraId="7D28DCDF" w14:textId="77777777" w:rsidR="00A720EB" w:rsidRDefault="00A720EB">
            <w:pPr>
              <w:pStyle w:val="TableParagraph"/>
              <w:spacing w:before="0"/>
              <w:ind w:left="0"/>
              <w:rPr>
                <w:rFonts w:ascii="Times New Roman"/>
                <w:sz w:val="20"/>
              </w:rPr>
            </w:pPr>
          </w:p>
        </w:tc>
        <w:tc>
          <w:tcPr>
            <w:tcW w:w="4988" w:type="dxa"/>
          </w:tcPr>
          <w:p w14:paraId="23AE46BB" w14:textId="77777777" w:rsidR="00A720EB" w:rsidRDefault="0030286B">
            <w:pPr>
              <w:pStyle w:val="TableParagraph"/>
              <w:spacing w:before="92"/>
              <w:rPr>
                <w:rFonts w:ascii="Cambria"/>
                <w:sz w:val="21"/>
              </w:rPr>
            </w:pPr>
            <w:r>
              <w:rPr>
                <w:rFonts w:ascii="Cambria"/>
                <w:color w:val="333333"/>
                <w:w w:val="110"/>
                <w:sz w:val="21"/>
              </w:rPr>
              <w:t>Whether to enable mandatory messages.</w:t>
            </w:r>
          </w:p>
        </w:tc>
      </w:tr>
      <w:tr w:rsidR="00A720EB" w14:paraId="57802287" w14:textId="77777777">
        <w:trPr>
          <w:trHeight w:val="627"/>
        </w:trPr>
        <w:tc>
          <w:tcPr>
            <w:tcW w:w="2494" w:type="dxa"/>
          </w:tcPr>
          <w:p w14:paraId="70A381FB"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.templa te.receive-timeout</w:t>
            </w:r>
          </w:p>
        </w:tc>
        <w:tc>
          <w:tcPr>
            <w:tcW w:w="2494" w:type="dxa"/>
          </w:tcPr>
          <w:p w14:paraId="4BBE651B" w14:textId="77777777" w:rsidR="00A720EB" w:rsidRDefault="00A720EB">
            <w:pPr>
              <w:pStyle w:val="TableParagraph"/>
              <w:spacing w:before="0"/>
              <w:ind w:left="0"/>
              <w:rPr>
                <w:rFonts w:ascii="Times New Roman"/>
                <w:sz w:val="20"/>
              </w:rPr>
            </w:pPr>
          </w:p>
        </w:tc>
        <w:tc>
          <w:tcPr>
            <w:tcW w:w="4988" w:type="dxa"/>
          </w:tcPr>
          <w:p w14:paraId="62399E70" w14:textId="77777777" w:rsidR="00A720EB" w:rsidRDefault="0030286B">
            <w:pPr>
              <w:pStyle w:val="TableParagraph"/>
              <w:spacing w:before="92"/>
              <w:rPr>
                <w:rFonts w:ascii="Cambria"/>
                <w:sz w:val="21"/>
              </w:rPr>
            </w:pPr>
            <w:r>
              <w:rPr>
                <w:rFonts w:ascii="Cambria"/>
                <w:color w:val="333333"/>
                <w:w w:val="115"/>
                <w:sz w:val="21"/>
              </w:rPr>
              <w:t>Timeout for `</w:t>
            </w:r>
            <w:proofErr w:type="gramStart"/>
            <w:r>
              <w:rPr>
                <w:rFonts w:ascii="Cambria"/>
                <w:color w:val="333333"/>
                <w:w w:val="115"/>
                <w:sz w:val="21"/>
              </w:rPr>
              <w:t>receive(</w:t>
            </w:r>
            <w:proofErr w:type="gramEnd"/>
            <w:r>
              <w:rPr>
                <w:rFonts w:ascii="Cambria"/>
                <w:color w:val="333333"/>
                <w:w w:val="115"/>
                <w:sz w:val="21"/>
              </w:rPr>
              <w:t>)` operations.</w:t>
            </w:r>
          </w:p>
        </w:tc>
      </w:tr>
      <w:tr w:rsidR="00A720EB" w14:paraId="0BAD82F5" w14:textId="77777777">
        <w:trPr>
          <w:trHeight w:val="627"/>
        </w:trPr>
        <w:tc>
          <w:tcPr>
            <w:tcW w:w="2494" w:type="dxa"/>
          </w:tcPr>
          <w:p w14:paraId="69B967D6"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.templa te.reply-timeout</w:t>
            </w:r>
          </w:p>
        </w:tc>
        <w:tc>
          <w:tcPr>
            <w:tcW w:w="2494" w:type="dxa"/>
          </w:tcPr>
          <w:p w14:paraId="08D171EF" w14:textId="77777777" w:rsidR="00A720EB" w:rsidRDefault="00A720EB">
            <w:pPr>
              <w:pStyle w:val="TableParagraph"/>
              <w:spacing w:before="0"/>
              <w:ind w:left="0"/>
              <w:rPr>
                <w:rFonts w:ascii="Times New Roman"/>
                <w:sz w:val="20"/>
              </w:rPr>
            </w:pPr>
          </w:p>
        </w:tc>
        <w:tc>
          <w:tcPr>
            <w:tcW w:w="4988" w:type="dxa"/>
          </w:tcPr>
          <w:p w14:paraId="660C9498" w14:textId="77777777" w:rsidR="00A720EB" w:rsidRDefault="0030286B">
            <w:pPr>
              <w:pStyle w:val="TableParagraph"/>
              <w:spacing w:before="92"/>
              <w:rPr>
                <w:rFonts w:ascii="Cambria"/>
                <w:sz w:val="21"/>
              </w:rPr>
            </w:pPr>
            <w:r>
              <w:rPr>
                <w:rFonts w:ascii="Cambria"/>
                <w:color w:val="333333"/>
                <w:w w:val="115"/>
                <w:sz w:val="21"/>
              </w:rPr>
              <w:t>Timeout for `</w:t>
            </w:r>
            <w:proofErr w:type="gramStart"/>
            <w:r>
              <w:rPr>
                <w:rFonts w:ascii="Cambria"/>
                <w:color w:val="333333"/>
                <w:w w:val="115"/>
                <w:sz w:val="21"/>
              </w:rPr>
              <w:t>sendAndReceive(</w:t>
            </w:r>
            <w:proofErr w:type="gramEnd"/>
            <w:r>
              <w:rPr>
                <w:rFonts w:ascii="Cambria"/>
                <w:color w:val="333333"/>
                <w:w w:val="115"/>
                <w:sz w:val="21"/>
              </w:rPr>
              <w:t>)` operations.</w:t>
            </w:r>
          </w:p>
        </w:tc>
      </w:tr>
      <w:tr w:rsidR="00A720EB" w14:paraId="529C852C" w14:textId="77777777">
        <w:trPr>
          <w:trHeight w:val="627"/>
        </w:trPr>
        <w:tc>
          <w:tcPr>
            <w:tcW w:w="2494" w:type="dxa"/>
          </w:tcPr>
          <w:p w14:paraId="1A85AE86"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.templa te.retry.enabled</w:t>
            </w:r>
          </w:p>
        </w:tc>
        <w:tc>
          <w:tcPr>
            <w:tcW w:w="2494" w:type="dxa"/>
          </w:tcPr>
          <w:p w14:paraId="15850307" w14:textId="77777777" w:rsidR="00A720EB" w:rsidRDefault="0030286B">
            <w:pPr>
              <w:pStyle w:val="TableParagraph"/>
              <w:rPr>
                <w:sz w:val="21"/>
              </w:rPr>
            </w:pPr>
            <w:r>
              <w:rPr>
                <w:color w:val="B02045"/>
                <w:sz w:val="21"/>
              </w:rPr>
              <w:t>false</w:t>
            </w:r>
          </w:p>
        </w:tc>
        <w:tc>
          <w:tcPr>
            <w:tcW w:w="4988" w:type="dxa"/>
          </w:tcPr>
          <w:p w14:paraId="2AD1EDCC" w14:textId="77777777" w:rsidR="00A720EB" w:rsidRDefault="0030286B">
            <w:pPr>
              <w:pStyle w:val="TableParagraph"/>
              <w:spacing w:before="92"/>
              <w:rPr>
                <w:rFonts w:ascii="Cambria"/>
                <w:sz w:val="21"/>
              </w:rPr>
            </w:pPr>
            <w:r>
              <w:rPr>
                <w:rFonts w:ascii="Cambria"/>
                <w:color w:val="333333"/>
                <w:w w:val="110"/>
                <w:sz w:val="21"/>
              </w:rPr>
              <w:t>Whether publishing retries are enabled.</w:t>
            </w:r>
          </w:p>
        </w:tc>
      </w:tr>
      <w:tr w:rsidR="00A720EB" w14:paraId="7F5D2443" w14:textId="77777777">
        <w:trPr>
          <w:trHeight w:val="886"/>
        </w:trPr>
        <w:tc>
          <w:tcPr>
            <w:tcW w:w="2494" w:type="dxa"/>
          </w:tcPr>
          <w:p w14:paraId="59ADCF8F"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.templa te.retry.initial- interval</w:t>
            </w:r>
          </w:p>
        </w:tc>
        <w:tc>
          <w:tcPr>
            <w:tcW w:w="2494" w:type="dxa"/>
          </w:tcPr>
          <w:p w14:paraId="7C009456" w14:textId="77777777" w:rsidR="00A720EB" w:rsidRDefault="0030286B">
            <w:pPr>
              <w:pStyle w:val="TableParagraph"/>
              <w:rPr>
                <w:sz w:val="21"/>
              </w:rPr>
            </w:pPr>
            <w:r>
              <w:rPr>
                <w:color w:val="B02045"/>
                <w:sz w:val="21"/>
              </w:rPr>
              <w:t>1000ms</w:t>
            </w:r>
          </w:p>
        </w:tc>
        <w:tc>
          <w:tcPr>
            <w:tcW w:w="4988" w:type="dxa"/>
          </w:tcPr>
          <w:p w14:paraId="3D479CF4" w14:textId="77777777" w:rsidR="00A720EB" w:rsidRDefault="0030286B">
            <w:pPr>
              <w:pStyle w:val="TableParagraph"/>
              <w:spacing w:before="92" w:line="307" w:lineRule="auto"/>
              <w:ind w:right="218"/>
              <w:rPr>
                <w:rFonts w:ascii="Cambria"/>
                <w:sz w:val="21"/>
              </w:rPr>
            </w:pPr>
            <w:r>
              <w:rPr>
                <w:rFonts w:ascii="Cambria"/>
                <w:color w:val="333333"/>
                <w:w w:val="110"/>
                <w:sz w:val="21"/>
              </w:rPr>
              <w:t>Duration between the first and second attempt to deliver a message.</w:t>
            </w:r>
          </w:p>
        </w:tc>
      </w:tr>
      <w:tr w:rsidR="00A720EB" w14:paraId="4466C5F1" w14:textId="77777777">
        <w:trPr>
          <w:trHeight w:val="741"/>
        </w:trPr>
        <w:tc>
          <w:tcPr>
            <w:tcW w:w="2494" w:type="dxa"/>
          </w:tcPr>
          <w:p w14:paraId="33452690"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.templa te.retry.max-attempts</w:t>
            </w:r>
          </w:p>
        </w:tc>
        <w:tc>
          <w:tcPr>
            <w:tcW w:w="2494" w:type="dxa"/>
          </w:tcPr>
          <w:p w14:paraId="7EE51E7A" w14:textId="77777777" w:rsidR="00A720EB" w:rsidRDefault="0030286B">
            <w:pPr>
              <w:pStyle w:val="TableParagraph"/>
              <w:spacing w:before="37"/>
              <w:rPr>
                <w:sz w:val="21"/>
              </w:rPr>
            </w:pPr>
            <w:r>
              <w:rPr>
                <w:color w:val="B02045"/>
                <w:sz w:val="21"/>
              </w:rPr>
              <w:t>3.0</w:t>
            </w:r>
          </w:p>
        </w:tc>
        <w:tc>
          <w:tcPr>
            <w:tcW w:w="4988" w:type="dxa"/>
          </w:tcPr>
          <w:p w14:paraId="36CF290E" w14:textId="77777777" w:rsidR="00A720EB" w:rsidRDefault="0030286B">
            <w:pPr>
              <w:pStyle w:val="TableParagraph"/>
              <w:spacing w:before="28" w:line="310" w:lineRule="atLeast"/>
              <w:ind w:right="640"/>
              <w:rPr>
                <w:rFonts w:ascii="Cambria"/>
                <w:sz w:val="21"/>
              </w:rPr>
            </w:pPr>
            <w:r>
              <w:rPr>
                <w:rFonts w:ascii="Cambria"/>
                <w:color w:val="333333"/>
                <w:w w:val="110"/>
                <w:sz w:val="21"/>
              </w:rPr>
              <w:t>Maximum number of attempts to deliver a message.</w:t>
            </w:r>
          </w:p>
        </w:tc>
      </w:tr>
      <w:tr w:rsidR="00A720EB" w14:paraId="4E8109A0" w14:textId="77777777">
        <w:trPr>
          <w:trHeight w:val="627"/>
        </w:trPr>
        <w:tc>
          <w:tcPr>
            <w:tcW w:w="2494" w:type="dxa"/>
          </w:tcPr>
          <w:p w14:paraId="35C48FCF"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.templa te.retry.max-interval</w:t>
            </w:r>
          </w:p>
        </w:tc>
        <w:tc>
          <w:tcPr>
            <w:tcW w:w="2494" w:type="dxa"/>
          </w:tcPr>
          <w:p w14:paraId="50CDC932" w14:textId="77777777" w:rsidR="00A720EB" w:rsidRDefault="0030286B">
            <w:pPr>
              <w:pStyle w:val="TableParagraph"/>
              <w:spacing w:before="37"/>
              <w:rPr>
                <w:sz w:val="21"/>
              </w:rPr>
            </w:pPr>
            <w:r>
              <w:rPr>
                <w:color w:val="B02045"/>
                <w:sz w:val="21"/>
              </w:rPr>
              <w:t>10000ms</w:t>
            </w:r>
          </w:p>
        </w:tc>
        <w:tc>
          <w:tcPr>
            <w:tcW w:w="4988" w:type="dxa"/>
          </w:tcPr>
          <w:p w14:paraId="01AC6A92" w14:textId="77777777" w:rsidR="00A720EB" w:rsidRDefault="0030286B">
            <w:pPr>
              <w:pStyle w:val="TableParagraph"/>
              <w:spacing w:before="92"/>
              <w:rPr>
                <w:rFonts w:ascii="Cambria"/>
                <w:sz w:val="21"/>
              </w:rPr>
            </w:pPr>
            <w:r>
              <w:rPr>
                <w:rFonts w:ascii="Cambria"/>
                <w:color w:val="333333"/>
                <w:w w:val="110"/>
                <w:sz w:val="21"/>
              </w:rPr>
              <w:t>Maximum duration between attempts.</w:t>
            </w:r>
          </w:p>
        </w:tc>
      </w:tr>
      <w:tr w:rsidR="00A720EB" w14:paraId="64A7156E" w14:textId="77777777">
        <w:trPr>
          <w:trHeight w:val="627"/>
        </w:trPr>
        <w:tc>
          <w:tcPr>
            <w:tcW w:w="2494" w:type="dxa"/>
          </w:tcPr>
          <w:p w14:paraId="475B2DDF"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.templa te.retry.multiplier</w:t>
            </w:r>
          </w:p>
        </w:tc>
        <w:tc>
          <w:tcPr>
            <w:tcW w:w="2494" w:type="dxa"/>
          </w:tcPr>
          <w:p w14:paraId="0FFBA054" w14:textId="77777777" w:rsidR="00A720EB" w:rsidRDefault="0030286B">
            <w:pPr>
              <w:pStyle w:val="TableParagraph"/>
              <w:rPr>
                <w:sz w:val="21"/>
              </w:rPr>
            </w:pPr>
            <w:r>
              <w:rPr>
                <w:color w:val="B02045"/>
                <w:sz w:val="21"/>
              </w:rPr>
              <w:t>1.0</w:t>
            </w:r>
          </w:p>
        </w:tc>
        <w:tc>
          <w:tcPr>
            <w:tcW w:w="4988" w:type="dxa"/>
          </w:tcPr>
          <w:p w14:paraId="43426199" w14:textId="77777777" w:rsidR="00A720EB" w:rsidRDefault="0030286B">
            <w:pPr>
              <w:pStyle w:val="TableParagraph"/>
              <w:spacing w:before="92"/>
              <w:rPr>
                <w:rFonts w:ascii="Cambria"/>
                <w:sz w:val="21"/>
              </w:rPr>
            </w:pPr>
            <w:r>
              <w:rPr>
                <w:rFonts w:ascii="Cambria"/>
                <w:color w:val="333333"/>
                <w:w w:val="110"/>
                <w:sz w:val="21"/>
              </w:rPr>
              <w:t>Multiplier to apply to the previous retry interval.</w:t>
            </w:r>
          </w:p>
        </w:tc>
      </w:tr>
      <w:tr w:rsidR="00A720EB" w14:paraId="439557A2" w14:textId="77777777">
        <w:trPr>
          <w:trHeight w:val="741"/>
        </w:trPr>
        <w:tc>
          <w:tcPr>
            <w:tcW w:w="2494" w:type="dxa"/>
          </w:tcPr>
          <w:p w14:paraId="78EDF78C"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.templa te.routing-key</w:t>
            </w:r>
          </w:p>
        </w:tc>
        <w:tc>
          <w:tcPr>
            <w:tcW w:w="2494" w:type="dxa"/>
          </w:tcPr>
          <w:p w14:paraId="5C3EA6DA" w14:textId="77777777" w:rsidR="00A720EB" w:rsidRDefault="00A720EB">
            <w:pPr>
              <w:pStyle w:val="TableParagraph"/>
              <w:spacing w:before="0"/>
              <w:ind w:left="0"/>
              <w:rPr>
                <w:rFonts w:ascii="Times New Roman"/>
                <w:sz w:val="20"/>
              </w:rPr>
            </w:pPr>
          </w:p>
        </w:tc>
        <w:tc>
          <w:tcPr>
            <w:tcW w:w="4988" w:type="dxa"/>
          </w:tcPr>
          <w:p w14:paraId="6A93CFBC" w14:textId="77777777" w:rsidR="00A720EB" w:rsidRDefault="0030286B">
            <w:pPr>
              <w:pStyle w:val="TableParagraph"/>
              <w:spacing w:before="28" w:line="310" w:lineRule="atLeast"/>
              <w:rPr>
                <w:rFonts w:ascii="Cambria"/>
                <w:sz w:val="21"/>
              </w:rPr>
            </w:pPr>
            <w:r>
              <w:rPr>
                <w:rFonts w:ascii="Cambria"/>
                <w:color w:val="333333"/>
                <w:w w:val="110"/>
                <w:sz w:val="21"/>
              </w:rPr>
              <w:t>Value of a default routing key to use for send operations.</w:t>
            </w:r>
          </w:p>
        </w:tc>
      </w:tr>
      <w:tr w:rsidR="00A720EB" w14:paraId="5EBB7074" w14:textId="77777777">
        <w:trPr>
          <w:trHeight w:val="627"/>
        </w:trPr>
        <w:tc>
          <w:tcPr>
            <w:tcW w:w="2494" w:type="dxa"/>
          </w:tcPr>
          <w:p w14:paraId="534FB0C0" w14:textId="77777777" w:rsidR="00A720EB" w:rsidRDefault="0030286B">
            <w:pPr>
              <w:pStyle w:val="TableParagraph"/>
              <w:spacing w:before="46" w:line="230" w:lineRule="auto"/>
              <w:ind w:right="94"/>
              <w:rPr>
                <w:sz w:val="21"/>
              </w:rPr>
            </w:pPr>
            <w:proofErr w:type="gramStart"/>
            <w:r>
              <w:rPr>
                <w:color w:val="B02045"/>
                <w:sz w:val="21"/>
              </w:rPr>
              <w:t>spring.rabbitmq</w:t>
            </w:r>
            <w:proofErr w:type="gramEnd"/>
            <w:r>
              <w:rPr>
                <w:color w:val="B02045"/>
                <w:sz w:val="21"/>
              </w:rPr>
              <w:t>.userna me</w:t>
            </w:r>
          </w:p>
        </w:tc>
        <w:tc>
          <w:tcPr>
            <w:tcW w:w="2494" w:type="dxa"/>
          </w:tcPr>
          <w:p w14:paraId="333C99DB" w14:textId="77777777" w:rsidR="00A720EB" w:rsidRDefault="0030286B">
            <w:pPr>
              <w:pStyle w:val="TableParagraph"/>
              <w:spacing w:before="37"/>
              <w:rPr>
                <w:sz w:val="21"/>
              </w:rPr>
            </w:pPr>
            <w:r>
              <w:rPr>
                <w:color w:val="B02045"/>
                <w:sz w:val="21"/>
              </w:rPr>
              <w:t>guest</w:t>
            </w:r>
          </w:p>
        </w:tc>
        <w:tc>
          <w:tcPr>
            <w:tcW w:w="4988" w:type="dxa"/>
          </w:tcPr>
          <w:p w14:paraId="36E733CF" w14:textId="77777777" w:rsidR="00A720EB" w:rsidRDefault="0030286B">
            <w:pPr>
              <w:pStyle w:val="TableParagraph"/>
              <w:spacing w:before="92"/>
              <w:rPr>
                <w:rFonts w:ascii="Cambria"/>
                <w:sz w:val="21"/>
              </w:rPr>
            </w:pPr>
            <w:r>
              <w:rPr>
                <w:rFonts w:ascii="Cambria"/>
                <w:color w:val="333333"/>
                <w:w w:val="110"/>
                <w:sz w:val="21"/>
              </w:rPr>
              <w:t>Login user to authenticate to the broker.</w:t>
            </w:r>
          </w:p>
        </w:tc>
      </w:tr>
      <w:tr w:rsidR="00A720EB" w14:paraId="2CF59327" w14:textId="77777777">
        <w:trPr>
          <w:trHeight w:val="741"/>
        </w:trPr>
        <w:tc>
          <w:tcPr>
            <w:tcW w:w="2494" w:type="dxa"/>
          </w:tcPr>
          <w:p w14:paraId="57D5ED54" w14:textId="77777777" w:rsidR="00A720EB" w:rsidRDefault="0030286B">
            <w:pPr>
              <w:pStyle w:val="TableParagraph"/>
              <w:spacing w:before="46" w:line="230" w:lineRule="auto"/>
              <w:ind w:right="113"/>
              <w:rPr>
                <w:sz w:val="21"/>
              </w:rPr>
            </w:pPr>
            <w:proofErr w:type="gramStart"/>
            <w:r>
              <w:rPr>
                <w:color w:val="B02045"/>
                <w:sz w:val="21"/>
              </w:rPr>
              <w:t>spring.rabbitmq</w:t>
            </w:r>
            <w:proofErr w:type="gramEnd"/>
            <w:r>
              <w:rPr>
                <w:color w:val="B02045"/>
                <w:sz w:val="21"/>
              </w:rPr>
              <w:t>.virtua l-host</w:t>
            </w:r>
          </w:p>
        </w:tc>
        <w:tc>
          <w:tcPr>
            <w:tcW w:w="2494" w:type="dxa"/>
          </w:tcPr>
          <w:p w14:paraId="44FE8B87" w14:textId="77777777" w:rsidR="00A720EB" w:rsidRDefault="00A720EB">
            <w:pPr>
              <w:pStyle w:val="TableParagraph"/>
              <w:spacing w:before="0"/>
              <w:ind w:left="0"/>
              <w:rPr>
                <w:rFonts w:ascii="Times New Roman"/>
                <w:sz w:val="20"/>
              </w:rPr>
            </w:pPr>
          </w:p>
        </w:tc>
        <w:tc>
          <w:tcPr>
            <w:tcW w:w="4988" w:type="dxa"/>
          </w:tcPr>
          <w:p w14:paraId="743B95FA" w14:textId="77777777" w:rsidR="00A720EB" w:rsidRDefault="0030286B">
            <w:pPr>
              <w:pStyle w:val="TableParagraph"/>
              <w:spacing w:before="28" w:line="310" w:lineRule="atLeast"/>
              <w:ind w:right="372"/>
              <w:rPr>
                <w:rFonts w:ascii="Cambria"/>
                <w:sz w:val="21"/>
              </w:rPr>
            </w:pPr>
            <w:r>
              <w:rPr>
                <w:rFonts w:ascii="Cambria"/>
                <w:color w:val="333333"/>
                <w:w w:val="110"/>
                <w:sz w:val="21"/>
              </w:rPr>
              <w:t>Virtual host to use when connecting to the broker.</w:t>
            </w:r>
          </w:p>
        </w:tc>
      </w:tr>
      <w:tr w:rsidR="00A720EB" w14:paraId="1081C718" w14:textId="77777777">
        <w:trPr>
          <w:trHeight w:val="627"/>
        </w:trPr>
        <w:tc>
          <w:tcPr>
            <w:tcW w:w="2494" w:type="dxa"/>
          </w:tcPr>
          <w:p w14:paraId="641B1868" w14:textId="77777777" w:rsidR="00A720EB" w:rsidRDefault="0030286B">
            <w:pPr>
              <w:pStyle w:val="TableParagraph"/>
              <w:spacing w:before="46" w:line="230" w:lineRule="auto"/>
              <w:ind w:right="94"/>
              <w:rPr>
                <w:sz w:val="21"/>
              </w:rPr>
            </w:pPr>
            <w:r>
              <w:rPr>
                <w:color w:val="B02045"/>
                <w:sz w:val="21"/>
              </w:rPr>
              <w:t>spring.webservices.pat h</w:t>
            </w:r>
          </w:p>
        </w:tc>
        <w:tc>
          <w:tcPr>
            <w:tcW w:w="2494" w:type="dxa"/>
          </w:tcPr>
          <w:p w14:paraId="7E84346E" w14:textId="77777777" w:rsidR="00A720EB" w:rsidRDefault="0030286B">
            <w:pPr>
              <w:pStyle w:val="TableParagraph"/>
              <w:rPr>
                <w:sz w:val="21"/>
              </w:rPr>
            </w:pPr>
            <w:r>
              <w:rPr>
                <w:color w:val="B02045"/>
                <w:sz w:val="21"/>
              </w:rPr>
              <w:t>/services</w:t>
            </w:r>
          </w:p>
        </w:tc>
        <w:tc>
          <w:tcPr>
            <w:tcW w:w="4988" w:type="dxa"/>
          </w:tcPr>
          <w:p w14:paraId="30DC5A52" w14:textId="77777777" w:rsidR="00A720EB" w:rsidRDefault="0030286B">
            <w:pPr>
              <w:pStyle w:val="TableParagraph"/>
              <w:spacing w:before="92"/>
              <w:rPr>
                <w:rFonts w:ascii="Cambria"/>
                <w:sz w:val="21"/>
              </w:rPr>
            </w:pPr>
            <w:r>
              <w:rPr>
                <w:rFonts w:ascii="Cambria"/>
                <w:color w:val="333333"/>
                <w:w w:val="110"/>
                <w:sz w:val="21"/>
              </w:rPr>
              <w:t>Path that serves as the base URI for the services.</w:t>
            </w:r>
          </w:p>
        </w:tc>
      </w:tr>
      <w:tr w:rsidR="00A720EB" w14:paraId="6E04488D" w14:textId="77777777">
        <w:trPr>
          <w:trHeight w:val="741"/>
        </w:trPr>
        <w:tc>
          <w:tcPr>
            <w:tcW w:w="2494" w:type="dxa"/>
          </w:tcPr>
          <w:p w14:paraId="5DBFAC3F" w14:textId="77777777" w:rsidR="00A720EB" w:rsidRDefault="0030286B">
            <w:pPr>
              <w:pStyle w:val="TableParagraph"/>
              <w:spacing w:before="46" w:line="230" w:lineRule="auto"/>
              <w:ind w:right="94"/>
              <w:rPr>
                <w:sz w:val="21"/>
              </w:rPr>
            </w:pPr>
            <w:r>
              <w:rPr>
                <w:color w:val="B02045"/>
                <w:sz w:val="21"/>
              </w:rPr>
              <w:t>spring.webservices.ser vlet.init.*</w:t>
            </w:r>
          </w:p>
        </w:tc>
        <w:tc>
          <w:tcPr>
            <w:tcW w:w="2494" w:type="dxa"/>
          </w:tcPr>
          <w:p w14:paraId="1D3FE67F" w14:textId="77777777" w:rsidR="00A720EB" w:rsidRDefault="00A720EB">
            <w:pPr>
              <w:pStyle w:val="TableParagraph"/>
              <w:spacing w:before="0"/>
              <w:ind w:left="0"/>
              <w:rPr>
                <w:rFonts w:ascii="Times New Roman"/>
                <w:sz w:val="20"/>
              </w:rPr>
            </w:pPr>
          </w:p>
        </w:tc>
        <w:tc>
          <w:tcPr>
            <w:tcW w:w="4988" w:type="dxa"/>
          </w:tcPr>
          <w:p w14:paraId="377A6869" w14:textId="77777777" w:rsidR="00A720EB" w:rsidRDefault="0030286B">
            <w:pPr>
              <w:pStyle w:val="TableParagraph"/>
              <w:spacing w:before="28" w:line="310" w:lineRule="atLeast"/>
              <w:rPr>
                <w:rFonts w:ascii="Cambria"/>
                <w:sz w:val="21"/>
              </w:rPr>
            </w:pPr>
            <w:r>
              <w:rPr>
                <w:rFonts w:ascii="Cambria"/>
                <w:color w:val="333333"/>
                <w:w w:val="110"/>
                <w:sz w:val="21"/>
              </w:rPr>
              <w:t>Servlet init parameters to pass to Spring Web Services.</w:t>
            </w:r>
          </w:p>
        </w:tc>
      </w:tr>
      <w:tr w:rsidR="00A720EB" w14:paraId="2984D1E7" w14:textId="77777777">
        <w:trPr>
          <w:trHeight w:val="741"/>
        </w:trPr>
        <w:tc>
          <w:tcPr>
            <w:tcW w:w="2494" w:type="dxa"/>
          </w:tcPr>
          <w:p w14:paraId="35604335" w14:textId="77777777" w:rsidR="00A720EB" w:rsidRDefault="0030286B">
            <w:pPr>
              <w:pStyle w:val="TableParagraph"/>
              <w:spacing w:before="46" w:line="230" w:lineRule="auto"/>
              <w:ind w:right="113"/>
              <w:rPr>
                <w:sz w:val="21"/>
              </w:rPr>
            </w:pPr>
            <w:r>
              <w:rPr>
                <w:color w:val="B02045"/>
                <w:sz w:val="21"/>
              </w:rPr>
              <w:t xml:space="preserve">spring.webservices.ser </w:t>
            </w:r>
            <w:proofErr w:type="gramStart"/>
            <w:r>
              <w:rPr>
                <w:color w:val="B02045"/>
                <w:sz w:val="21"/>
              </w:rPr>
              <w:t>vlet.load</w:t>
            </w:r>
            <w:proofErr w:type="gramEnd"/>
            <w:r>
              <w:rPr>
                <w:color w:val="B02045"/>
                <w:sz w:val="21"/>
              </w:rPr>
              <w:t>-on-startup</w:t>
            </w:r>
          </w:p>
        </w:tc>
        <w:tc>
          <w:tcPr>
            <w:tcW w:w="2494" w:type="dxa"/>
          </w:tcPr>
          <w:p w14:paraId="48FF1701" w14:textId="77777777" w:rsidR="00A720EB" w:rsidRDefault="0030286B">
            <w:pPr>
              <w:pStyle w:val="TableParagraph"/>
              <w:rPr>
                <w:sz w:val="21"/>
              </w:rPr>
            </w:pPr>
            <w:r>
              <w:rPr>
                <w:color w:val="B02045"/>
                <w:sz w:val="21"/>
              </w:rPr>
              <w:t>-1.0</w:t>
            </w:r>
          </w:p>
        </w:tc>
        <w:tc>
          <w:tcPr>
            <w:tcW w:w="4988" w:type="dxa"/>
          </w:tcPr>
          <w:p w14:paraId="7D225787" w14:textId="77777777" w:rsidR="00A720EB" w:rsidRDefault="0030286B">
            <w:pPr>
              <w:pStyle w:val="TableParagraph"/>
              <w:spacing w:before="28" w:line="310" w:lineRule="atLeast"/>
              <w:ind w:right="640"/>
              <w:rPr>
                <w:rFonts w:ascii="Cambria"/>
                <w:sz w:val="21"/>
              </w:rPr>
            </w:pPr>
            <w:r>
              <w:rPr>
                <w:rFonts w:ascii="Cambria"/>
                <w:color w:val="333333"/>
                <w:w w:val="110"/>
                <w:sz w:val="21"/>
              </w:rPr>
              <w:t>Load on startup priority of the Spring Web Services servlet.</w:t>
            </w:r>
          </w:p>
        </w:tc>
      </w:tr>
      <w:tr w:rsidR="00A720EB" w14:paraId="4A3615EF" w14:textId="77777777">
        <w:trPr>
          <w:trHeight w:val="741"/>
        </w:trPr>
        <w:tc>
          <w:tcPr>
            <w:tcW w:w="2494" w:type="dxa"/>
          </w:tcPr>
          <w:p w14:paraId="67754822" w14:textId="77777777" w:rsidR="00A720EB" w:rsidRDefault="0030286B">
            <w:pPr>
              <w:pStyle w:val="TableParagraph"/>
              <w:spacing w:before="46" w:line="230" w:lineRule="auto"/>
              <w:ind w:right="113"/>
              <w:rPr>
                <w:sz w:val="21"/>
              </w:rPr>
            </w:pPr>
            <w:r>
              <w:rPr>
                <w:color w:val="B02045"/>
                <w:sz w:val="21"/>
              </w:rPr>
              <w:t>spring.webservices.wsd l-locations</w:t>
            </w:r>
          </w:p>
        </w:tc>
        <w:tc>
          <w:tcPr>
            <w:tcW w:w="2494" w:type="dxa"/>
          </w:tcPr>
          <w:p w14:paraId="195D298E" w14:textId="77777777" w:rsidR="00A720EB" w:rsidRDefault="00A720EB">
            <w:pPr>
              <w:pStyle w:val="TableParagraph"/>
              <w:spacing w:before="0"/>
              <w:ind w:left="0"/>
              <w:rPr>
                <w:rFonts w:ascii="Times New Roman"/>
                <w:sz w:val="20"/>
              </w:rPr>
            </w:pPr>
          </w:p>
        </w:tc>
        <w:tc>
          <w:tcPr>
            <w:tcW w:w="4988" w:type="dxa"/>
          </w:tcPr>
          <w:p w14:paraId="260FE0F6"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locations of WSDLs and accompanying XSDs to be exposed as beans.</w:t>
            </w:r>
          </w:p>
        </w:tc>
      </w:tr>
    </w:tbl>
    <w:p w14:paraId="17F44021" w14:textId="77777777" w:rsidR="00A720EB" w:rsidRDefault="00A720EB">
      <w:pPr>
        <w:spacing w:line="310" w:lineRule="atLeast"/>
        <w:rPr>
          <w:sz w:val="21"/>
        </w:rPr>
        <w:sectPr w:rsidR="00A720EB">
          <w:pgSz w:w="11910" w:h="16840"/>
          <w:pgMar w:top="700" w:right="840" w:bottom="380" w:left="840" w:header="0" w:footer="198" w:gutter="0"/>
          <w:cols w:space="720"/>
        </w:sectPr>
      </w:pPr>
    </w:p>
    <w:p w14:paraId="104CDE59" w14:textId="77777777" w:rsidR="00A720EB" w:rsidRDefault="0030286B">
      <w:pPr>
        <w:pStyle w:val="3"/>
        <w:numPr>
          <w:ilvl w:val="2"/>
          <w:numId w:val="9"/>
        </w:numPr>
        <w:tabs>
          <w:tab w:val="left" w:pos="1053"/>
        </w:tabs>
        <w:spacing w:before="87"/>
      </w:pPr>
      <w:bookmarkStart w:id="1039" w:name="10.A.9._Web_properties"/>
      <w:bookmarkStart w:id="1040" w:name="_Toc54424037"/>
      <w:bookmarkEnd w:id="1039"/>
      <w:r>
        <w:rPr>
          <w:color w:val="333333"/>
          <w:spacing w:val="-6"/>
          <w:w w:val="110"/>
        </w:rPr>
        <w:lastRenderedPageBreak/>
        <w:t xml:space="preserve">Web </w:t>
      </w:r>
      <w:r>
        <w:rPr>
          <w:color w:val="333333"/>
          <w:w w:val="110"/>
        </w:rPr>
        <w:t>properties</w:t>
      </w:r>
      <w:bookmarkEnd w:id="1040"/>
    </w:p>
    <w:p w14:paraId="6FFAC430" w14:textId="77777777" w:rsidR="00A720EB" w:rsidRDefault="00A720EB">
      <w:pPr>
        <w:pStyle w:val="a3"/>
        <w:spacing w:before="6"/>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198BDED9" w14:textId="77777777">
        <w:trPr>
          <w:trHeight w:val="415"/>
        </w:trPr>
        <w:tc>
          <w:tcPr>
            <w:tcW w:w="2494" w:type="dxa"/>
            <w:tcBorders>
              <w:bottom w:val="single" w:sz="12" w:space="0" w:color="DDDDDD"/>
            </w:tcBorders>
          </w:tcPr>
          <w:p w14:paraId="024546B3"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36B5EBD0"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C245989"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5AC0ED35" w14:textId="77777777">
        <w:trPr>
          <w:trHeight w:val="876"/>
        </w:trPr>
        <w:tc>
          <w:tcPr>
            <w:tcW w:w="2494" w:type="dxa"/>
            <w:tcBorders>
              <w:top w:val="single" w:sz="12" w:space="0" w:color="DDDDDD"/>
            </w:tcBorders>
          </w:tcPr>
          <w:p w14:paraId="25F0EAE6" w14:textId="77777777" w:rsidR="00A720EB" w:rsidRDefault="0030286B">
            <w:pPr>
              <w:pStyle w:val="TableParagraph"/>
              <w:spacing w:before="39" w:line="230" w:lineRule="auto"/>
              <w:ind w:right="323"/>
              <w:rPr>
                <w:sz w:val="21"/>
              </w:rPr>
            </w:pPr>
            <w:r>
              <w:rPr>
                <w:color w:val="B02045"/>
                <w:sz w:val="21"/>
              </w:rPr>
              <w:t>spring.hateoas.use- hal-as-default-json- media-type</w:t>
            </w:r>
          </w:p>
        </w:tc>
        <w:tc>
          <w:tcPr>
            <w:tcW w:w="2494" w:type="dxa"/>
            <w:tcBorders>
              <w:top w:val="single" w:sz="12" w:space="0" w:color="DDDDDD"/>
            </w:tcBorders>
          </w:tcPr>
          <w:p w14:paraId="267038A5" w14:textId="77777777" w:rsidR="00A720EB" w:rsidRDefault="0030286B">
            <w:pPr>
              <w:pStyle w:val="TableParagraph"/>
              <w:spacing w:before="30"/>
              <w:rPr>
                <w:sz w:val="21"/>
              </w:rPr>
            </w:pPr>
            <w:r>
              <w:rPr>
                <w:color w:val="B02045"/>
                <w:sz w:val="21"/>
              </w:rPr>
              <w:t>true</w:t>
            </w:r>
          </w:p>
        </w:tc>
        <w:tc>
          <w:tcPr>
            <w:tcW w:w="4988" w:type="dxa"/>
            <w:tcBorders>
              <w:top w:val="single" w:sz="12" w:space="0" w:color="DDDDDD"/>
            </w:tcBorders>
          </w:tcPr>
          <w:p w14:paraId="3A39E989" w14:textId="77777777" w:rsidR="00A720EB" w:rsidRDefault="0030286B">
            <w:pPr>
              <w:pStyle w:val="TableParagraph"/>
              <w:spacing w:before="84" w:line="307" w:lineRule="auto"/>
              <w:rPr>
                <w:rFonts w:ascii="Cambria"/>
                <w:sz w:val="21"/>
              </w:rPr>
            </w:pPr>
            <w:r>
              <w:rPr>
                <w:rFonts w:ascii="Cambria"/>
                <w:color w:val="333333"/>
                <w:w w:val="110"/>
                <w:sz w:val="21"/>
              </w:rPr>
              <w:t>Whether application/hal+json responses should be sent to requests that accept application/json.</w:t>
            </w:r>
          </w:p>
        </w:tc>
      </w:tr>
      <w:tr w:rsidR="00A720EB" w14:paraId="5C1645F7" w14:textId="77777777">
        <w:trPr>
          <w:trHeight w:val="1056"/>
        </w:trPr>
        <w:tc>
          <w:tcPr>
            <w:tcW w:w="2494" w:type="dxa"/>
          </w:tcPr>
          <w:p w14:paraId="3658EC30" w14:textId="77777777" w:rsidR="00A720EB" w:rsidRDefault="0030286B">
            <w:pPr>
              <w:pStyle w:val="TableParagraph"/>
              <w:spacing w:before="49" w:line="230" w:lineRule="auto"/>
              <w:ind w:right="113"/>
              <w:rPr>
                <w:sz w:val="21"/>
              </w:rPr>
            </w:pPr>
            <w:proofErr w:type="gramStart"/>
            <w:r>
              <w:rPr>
                <w:color w:val="B02045"/>
                <w:sz w:val="21"/>
              </w:rPr>
              <w:t>spring.jersey</w:t>
            </w:r>
            <w:proofErr w:type="gramEnd"/>
            <w:r>
              <w:rPr>
                <w:color w:val="B02045"/>
                <w:sz w:val="21"/>
              </w:rPr>
              <w:t>.applicat ion-path</w:t>
            </w:r>
          </w:p>
        </w:tc>
        <w:tc>
          <w:tcPr>
            <w:tcW w:w="2494" w:type="dxa"/>
          </w:tcPr>
          <w:p w14:paraId="0C69B06D" w14:textId="77777777" w:rsidR="00A720EB" w:rsidRDefault="00A720EB">
            <w:pPr>
              <w:pStyle w:val="TableParagraph"/>
              <w:spacing w:before="0"/>
              <w:ind w:left="0"/>
              <w:rPr>
                <w:rFonts w:ascii="Times New Roman"/>
                <w:sz w:val="20"/>
              </w:rPr>
            </w:pPr>
          </w:p>
        </w:tc>
        <w:tc>
          <w:tcPr>
            <w:tcW w:w="4988" w:type="dxa"/>
          </w:tcPr>
          <w:p w14:paraId="4DA207E9" w14:textId="77777777" w:rsidR="00A720EB" w:rsidRDefault="0030286B">
            <w:pPr>
              <w:pStyle w:val="TableParagraph"/>
              <w:spacing w:before="31" w:line="310" w:lineRule="atLeast"/>
              <w:rPr>
                <w:rFonts w:ascii="Cambria"/>
                <w:sz w:val="21"/>
              </w:rPr>
            </w:pPr>
            <w:r>
              <w:rPr>
                <w:rFonts w:ascii="Cambria"/>
                <w:color w:val="333333"/>
                <w:w w:val="110"/>
                <w:sz w:val="21"/>
              </w:rPr>
              <w:t>Path that serves as the base URI for the application. If specified, overrides the value of "@ApplicationPath".</w:t>
            </w:r>
          </w:p>
        </w:tc>
      </w:tr>
      <w:tr w:rsidR="00A720EB" w14:paraId="4C3B3F12" w14:textId="77777777">
        <w:trPr>
          <w:trHeight w:val="627"/>
        </w:trPr>
        <w:tc>
          <w:tcPr>
            <w:tcW w:w="2494" w:type="dxa"/>
          </w:tcPr>
          <w:p w14:paraId="5D870A24" w14:textId="77777777" w:rsidR="00A720EB" w:rsidRDefault="0030286B">
            <w:pPr>
              <w:pStyle w:val="TableParagraph"/>
              <w:spacing w:before="49" w:line="230" w:lineRule="auto"/>
              <w:ind w:right="94"/>
              <w:rPr>
                <w:sz w:val="21"/>
              </w:rPr>
            </w:pPr>
            <w:proofErr w:type="gramStart"/>
            <w:r>
              <w:rPr>
                <w:color w:val="B02045"/>
                <w:sz w:val="21"/>
              </w:rPr>
              <w:t>spring.jersey</w:t>
            </w:r>
            <w:proofErr w:type="gramEnd"/>
            <w:r>
              <w:rPr>
                <w:color w:val="B02045"/>
                <w:sz w:val="21"/>
              </w:rPr>
              <w:t>.filter.o rder</w:t>
            </w:r>
          </w:p>
        </w:tc>
        <w:tc>
          <w:tcPr>
            <w:tcW w:w="2494" w:type="dxa"/>
          </w:tcPr>
          <w:p w14:paraId="209CF91F" w14:textId="77777777" w:rsidR="00A720EB" w:rsidRDefault="0030286B">
            <w:pPr>
              <w:pStyle w:val="TableParagraph"/>
              <w:spacing w:before="40"/>
              <w:rPr>
                <w:sz w:val="21"/>
              </w:rPr>
            </w:pPr>
            <w:r>
              <w:rPr>
                <w:color w:val="B02045"/>
                <w:sz w:val="21"/>
              </w:rPr>
              <w:t>0.0</w:t>
            </w:r>
          </w:p>
        </w:tc>
        <w:tc>
          <w:tcPr>
            <w:tcW w:w="4988" w:type="dxa"/>
          </w:tcPr>
          <w:p w14:paraId="410DDF45" w14:textId="77777777" w:rsidR="00A720EB" w:rsidRDefault="0030286B">
            <w:pPr>
              <w:pStyle w:val="TableParagraph"/>
              <w:spacing w:before="94"/>
              <w:rPr>
                <w:rFonts w:ascii="Cambria"/>
                <w:sz w:val="21"/>
              </w:rPr>
            </w:pPr>
            <w:r>
              <w:rPr>
                <w:rFonts w:ascii="Cambria"/>
                <w:color w:val="333333"/>
                <w:w w:val="115"/>
                <w:sz w:val="21"/>
              </w:rPr>
              <w:t>Jersey filter chain order.</w:t>
            </w:r>
          </w:p>
        </w:tc>
      </w:tr>
      <w:tr w:rsidR="00A720EB" w14:paraId="3B296116" w14:textId="77777777">
        <w:trPr>
          <w:trHeight w:val="741"/>
        </w:trPr>
        <w:tc>
          <w:tcPr>
            <w:tcW w:w="2494" w:type="dxa"/>
          </w:tcPr>
          <w:p w14:paraId="17EF69B0" w14:textId="77777777" w:rsidR="00A720EB" w:rsidRDefault="0030286B">
            <w:pPr>
              <w:pStyle w:val="TableParagraph"/>
              <w:spacing w:before="40"/>
              <w:rPr>
                <w:sz w:val="21"/>
              </w:rPr>
            </w:pPr>
            <w:r>
              <w:rPr>
                <w:color w:val="B02045"/>
                <w:sz w:val="21"/>
              </w:rPr>
              <w:t>spring.jersey.init.*</w:t>
            </w:r>
          </w:p>
        </w:tc>
        <w:tc>
          <w:tcPr>
            <w:tcW w:w="2494" w:type="dxa"/>
          </w:tcPr>
          <w:p w14:paraId="56B637BD" w14:textId="77777777" w:rsidR="00A720EB" w:rsidRDefault="00A720EB">
            <w:pPr>
              <w:pStyle w:val="TableParagraph"/>
              <w:spacing w:before="0"/>
              <w:ind w:left="0"/>
              <w:rPr>
                <w:rFonts w:ascii="Times New Roman"/>
                <w:sz w:val="20"/>
              </w:rPr>
            </w:pPr>
          </w:p>
        </w:tc>
        <w:tc>
          <w:tcPr>
            <w:tcW w:w="4988" w:type="dxa"/>
          </w:tcPr>
          <w:p w14:paraId="27852D58" w14:textId="77777777" w:rsidR="00A720EB" w:rsidRDefault="0030286B">
            <w:pPr>
              <w:pStyle w:val="TableParagraph"/>
              <w:spacing w:before="31" w:line="310" w:lineRule="atLeast"/>
              <w:rPr>
                <w:rFonts w:ascii="Cambria"/>
                <w:sz w:val="21"/>
              </w:rPr>
            </w:pPr>
            <w:r>
              <w:rPr>
                <w:rFonts w:ascii="Cambria"/>
                <w:color w:val="333333"/>
                <w:w w:val="110"/>
                <w:sz w:val="21"/>
              </w:rPr>
              <w:t>Init parameters to pass to Jersey through the servlet or filter.</w:t>
            </w:r>
          </w:p>
        </w:tc>
      </w:tr>
      <w:tr w:rsidR="00A720EB" w14:paraId="24CBE936" w14:textId="77777777">
        <w:trPr>
          <w:trHeight w:val="627"/>
        </w:trPr>
        <w:tc>
          <w:tcPr>
            <w:tcW w:w="2494" w:type="dxa"/>
          </w:tcPr>
          <w:p w14:paraId="3D7E53D9" w14:textId="77777777" w:rsidR="00A720EB" w:rsidRDefault="0030286B">
            <w:pPr>
              <w:pStyle w:val="TableParagraph"/>
              <w:spacing w:before="49" w:line="230" w:lineRule="auto"/>
              <w:ind w:right="113"/>
              <w:rPr>
                <w:sz w:val="21"/>
              </w:rPr>
            </w:pPr>
            <w:proofErr w:type="gramStart"/>
            <w:r>
              <w:rPr>
                <w:color w:val="B02045"/>
                <w:sz w:val="21"/>
              </w:rPr>
              <w:t>spring.jersey</w:t>
            </w:r>
            <w:proofErr w:type="gramEnd"/>
            <w:r>
              <w:rPr>
                <w:color w:val="B02045"/>
                <w:sz w:val="21"/>
              </w:rPr>
              <w:t>.servlet. load-on-startup</w:t>
            </w:r>
          </w:p>
        </w:tc>
        <w:tc>
          <w:tcPr>
            <w:tcW w:w="2494" w:type="dxa"/>
          </w:tcPr>
          <w:p w14:paraId="326370EB" w14:textId="77777777" w:rsidR="00A720EB" w:rsidRDefault="0030286B">
            <w:pPr>
              <w:pStyle w:val="TableParagraph"/>
              <w:spacing w:before="40"/>
              <w:rPr>
                <w:sz w:val="21"/>
              </w:rPr>
            </w:pPr>
            <w:r>
              <w:rPr>
                <w:color w:val="B02045"/>
                <w:sz w:val="21"/>
              </w:rPr>
              <w:t>-1.0</w:t>
            </w:r>
          </w:p>
        </w:tc>
        <w:tc>
          <w:tcPr>
            <w:tcW w:w="4988" w:type="dxa"/>
          </w:tcPr>
          <w:p w14:paraId="2BEFACFB" w14:textId="77777777" w:rsidR="00A720EB" w:rsidRDefault="0030286B">
            <w:pPr>
              <w:pStyle w:val="TableParagraph"/>
              <w:spacing w:before="94"/>
              <w:rPr>
                <w:rFonts w:ascii="Cambria"/>
                <w:sz w:val="21"/>
              </w:rPr>
            </w:pPr>
            <w:r>
              <w:rPr>
                <w:rFonts w:ascii="Cambria"/>
                <w:color w:val="333333"/>
                <w:w w:val="110"/>
                <w:sz w:val="21"/>
              </w:rPr>
              <w:t>Load on startup priority of the Jersey servlet.</w:t>
            </w:r>
          </w:p>
        </w:tc>
      </w:tr>
      <w:tr w:rsidR="00A720EB" w14:paraId="490EEB42" w14:textId="77777777">
        <w:trPr>
          <w:trHeight w:val="425"/>
        </w:trPr>
        <w:tc>
          <w:tcPr>
            <w:tcW w:w="2494" w:type="dxa"/>
          </w:tcPr>
          <w:p w14:paraId="3DBE6FCB" w14:textId="77777777" w:rsidR="00A720EB" w:rsidRDefault="0030286B">
            <w:pPr>
              <w:pStyle w:val="TableParagraph"/>
              <w:spacing w:before="40"/>
              <w:rPr>
                <w:sz w:val="21"/>
              </w:rPr>
            </w:pPr>
            <w:proofErr w:type="gramStart"/>
            <w:r>
              <w:rPr>
                <w:color w:val="B02045"/>
                <w:sz w:val="21"/>
              </w:rPr>
              <w:t>spring.jersey</w:t>
            </w:r>
            <w:proofErr w:type="gramEnd"/>
            <w:r>
              <w:rPr>
                <w:color w:val="B02045"/>
                <w:sz w:val="21"/>
              </w:rPr>
              <w:t>.type</w:t>
            </w:r>
          </w:p>
        </w:tc>
        <w:tc>
          <w:tcPr>
            <w:tcW w:w="2494" w:type="dxa"/>
          </w:tcPr>
          <w:p w14:paraId="4DD39AE8" w14:textId="77777777" w:rsidR="00A720EB" w:rsidRDefault="0030286B">
            <w:pPr>
              <w:pStyle w:val="TableParagraph"/>
              <w:spacing w:before="40"/>
              <w:rPr>
                <w:sz w:val="21"/>
              </w:rPr>
            </w:pPr>
            <w:r>
              <w:rPr>
                <w:color w:val="B02045"/>
                <w:sz w:val="21"/>
              </w:rPr>
              <w:t>servlet</w:t>
            </w:r>
          </w:p>
        </w:tc>
        <w:tc>
          <w:tcPr>
            <w:tcW w:w="4988" w:type="dxa"/>
          </w:tcPr>
          <w:p w14:paraId="49EAA028" w14:textId="77777777" w:rsidR="00A720EB" w:rsidRDefault="0030286B">
            <w:pPr>
              <w:pStyle w:val="TableParagraph"/>
              <w:spacing w:before="94"/>
              <w:rPr>
                <w:rFonts w:ascii="Cambria"/>
                <w:sz w:val="21"/>
              </w:rPr>
            </w:pPr>
            <w:r>
              <w:rPr>
                <w:rFonts w:ascii="Cambria"/>
                <w:color w:val="333333"/>
                <w:w w:val="110"/>
                <w:sz w:val="21"/>
              </w:rPr>
              <w:t>Jersey integration type.</w:t>
            </w:r>
          </w:p>
        </w:tc>
      </w:tr>
      <w:tr w:rsidR="00A720EB" w14:paraId="66E813AE" w14:textId="77777777">
        <w:trPr>
          <w:trHeight w:val="1372"/>
        </w:trPr>
        <w:tc>
          <w:tcPr>
            <w:tcW w:w="2494" w:type="dxa"/>
          </w:tcPr>
          <w:p w14:paraId="5C641CD0" w14:textId="77777777" w:rsidR="00A720EB" w:rsidRDefault="0030286B">
            <w:pPr>
              <w:pStyle w:val="TableParagraph"/>
              <w:spacing w:before="49" w:line="230" w:lineRule="auto"/>
              <w:ind w:right="113"/>
              <w:rPr>
                <w:sz w:val="21"/>
              </w:rPr>
            </w:pPr>
            <w:proofErr w:type="gramStart"/>
            <w:r>
              <w:rPr>
                <w:color w:val="B02045"/>
                <w:sz w:val="21"/>
              </w:rPr>
              <w:t>spring.mvc.async</w:t>
            </w:r>
            <w:proofErr w:type="gramEnd"/>
            <w:r>
              <w:rPr>
                <w:color w:val="B02045"/>
                <w:sz w:val="21"/>
              </w:rPr>
              <w:t>.reque st-timeout</w:t>
            </w:r>
          </w:p>
        </w:tc>
        <w:tc>
          <w:tcPr>
            <w:tcW w:w="2494" w:type="dxa"/>
          </w:tcPr>
          <w:p w14:paraId="07B24F9A" w14:textId="77777777" w:rsidR="00A720EB" w:rsidRDefault="00A720EB">
            <w:pPr>
              <w:pStyle w:val="TableParagraph"/>
              <w:spacing w:before="0"/>
              <w:ind w:left="0"/>
              <w:rPr>
                <w:rFonts w:ascii="Times New Roman"/>
                <w:sz w:val="20"/>
              </w:rPr>
            </w:pPr>
          </w:p>
        </w:tc>
        <w:tc>
          <w:tcPr>
            <w:tcW w:w="4988" w:type="dxa"/>
          </w:tcPr>
          <w:p w14:paraId="5EA479F8" w14:textId="77777777" w:rsidR="00A720EB" w:rsidRDefault="0030286B">
            <w:pPr>
              <w:pStyle w:val="TableParagraph"/>
              <w:spacing w:before="31" w:line="310" w:lineRule="atLeast"/>
              <w:ind w:right="372"/>
              <w:rPr>
                <w:rFonts w:ascii="Cambria"/>
                <w:sz w:val="21"/>
              </w:rPr>
            </w:pPr>
            <w:r>
              <w:rPr>
                <w:rFonts w:ascii="Cambria"/>
                <w:color w:val="333333"/>
                <w:w w:val="110"/>
                <w:sz w:val="21"/>
              </w:rPr>
              <w:t>Amount of time before asynchronous request handling times out. If this value is not set, the default timeout of the underlying implementation is used.</w:t>
            </w:r>
          </w:p>
        </w:tc>
      </w:tr>
      <w:tr w:rsidR="00A720EB" w14:paraId="3490C94B" w14:textId="77777777">
        <w:trPr>
          <w:trHeight w:val="1056"/>
        </w:trPr>
        <w:tc>
          <w:tcPr>
            <w:tcW w:w="2494" w:type="dxa"/>
          </w:tcPr>
          <w:p w14:paraId="7047EC53" w14:textId="77777777" w:rsidR="00A720EB" w:rsidRDefault="0030286B">
            <w:pPr>
              <w:pStyle w:val="TableParagraph"/>
              <w:spacing w:before="49" w:line="230" w:lineRule="auto"/>
              <w:ind w:right="113"/>
              <w:rPr>
                <w:sz w:val="21"/>
              </w:rPr>
            </w:pPr>
            <w:proofErr w:type="gramStart"/>
            <w:r>
              <w:rPr>
                <w:color w:val="B02045"/>
                <w:sz w:val="21"/>
              </w:rPr>
              <w:t>spring.mvc.contentnego</w:t>
            </w:r>
            <w:proofErr w:type="gramEnd"/>
            <w:r>
              <w:rPr>
                <w:color w:val="B02045"/>
                <w:sz w:val="21"/>
              </w:rPr>
              <w:t xml:space="preserve"> tiation.favor- parameter</w:t>
            </w:r>
          </w:p>
        </w:tc>
        <w:tc>
          <w:tcPr>
            <w:tcW w:w="2494" w:type="dxa"/>
          </w:tcPr>
          <w:p w14:paraId="12421E7F" w14:textId="77777777" w:rsidR="00A720EB" w:rsidRDefault="0030286B">
            <w:pPr>
              <w:pStyle w:val="TableParagraph"/>
              <w:spacing w:before="40"/>
              <w:rPr>
                <w:sz w:val="21"/>
              </w:rPr>
            </w:pPr>
            <w:r>
              <w:rPr>
                <w:color w:val="B02045"/>
                <w:sz w:val="21"/>
              </w:rPr>
              <w:t>false</w:t>
            </w:r>
          </w:p>
        </w:tc>
        <w:tc>
          <w:tcPr>
            <w:tcW w:w="4988" w:type="dxa"/>
          </w:tcPr>
          <w:p w14:paraId="0D98A8CF" w14:textId="77777777" w:rsidR="00A720EB" w:rsidRDefault="0030286B">
            <w:pPr>
              <w:pStyle w:val="TableParagraph"/>
              <w:spacing w:before="31" w:line="310" w:lineRule="atLeast"/>
              <w:rPr>
                <w:rFonts w:ascii="Cambria"/>
                <w:sz w:val="21"/>
              </w:rPr>
            </w:pPr>
            <w:r>
              <w:rPr>
                <w:rFonts w:ascii="Cambria"/>
                <w:color w:val="333333"/>
                <w:w w:val="110"/>
                <w:sz w:val="21"/>
              </w:rPr>
              <w:t>Whether a request parameter ("format" by default) should be used to determine the requested media type.</w:t>
            </w:r>
          </w:p>
        </w:tc>
      </w:tr>
      <w:tr w:rsidR="00A720EB" w14:paraId="6667F65E" w14:textId="77777777">
        <w:trPr>
          <w:trHeight w:val="741"/>
        </w:trPr>
        <w:tc>
          <w:tcPr>
            <w:tcW w:w="2494" w:type="dxa"/>
          </w:tcPr>
          <w:p w14:paraId="31870FA6" w14:textId="77777777" w:rsidR="00A720EB" w:rsidRDefault="0030286B">
            <w:pPr>
              <w:pStyle w:val="TableParagraph"/>
              <w:spacing w:before="49" w:line="230" w:lineRule="auto"/>
              <w:ind w:right="113"/>
              <w:rPr>
                <w:sz w:val="21"/>
              </w:rPr>
            </w:pPr>
            <w:proofErr w:type="gramStart"/>
            <w:r>
              <w:rPr>
                <w:color w:val="B02045"/>
                <w:sz w:val="21"/>
              </w:rPr>
              <w:t>spring.mvc.contentnego</w:t>
            </w:r>
            <w:proofErr w:type="gramEnd"/>
            <w:r>
              <w:rPr>
                <w:color w:val="B02045"/>
                <w:sz w:val="21"/>
              </w:rPr>
              <w:t xml:space="preserve"> tiation.media-types.*</w:t>
            </w:r>
          </w:p>
        </w:tc>
        <w:tc>
          <w:tcPr>
            <w:tcW w:w="2494" w:type="dxa"/>
          </w:tcPr>
          <w:p w14:paraId="25701F22" w14:textId="77777777" w:rsidR="00A720EB" w:rsidRDefault="00A720EB">
            <w:pPr>
              <w:pStyle w:val="TableParagraph"/>
              <w:spacing w:before="0"/>
              <w:ind w:left="0"/>
              <w:rPr>
                <w:rFonts w:ascii="Times New Roman"/>
                <w:sz w:val="20"/>
              </w:rPr>
            </w:pPr>
          </w:p>
        </w:tc>
        <w:tc>
          <w:tcPr>
            <w:tcW w:w="4988" w:type="dxa"/>
          </w:tcPr>
          <w:p w14:paraId="59672E4C" w14:textId="77777777" w:rsidR="00A720EB" w:rsidRDefault="0030286B">
            <w:pPr>
              <w:pStyle w:val="TableParagraph"/>
              <w:spacing w:before="31" w:line="310" w:lineRule="atLeast"/>
              <w:rPr>
                <w:rFonts w:ascii="Cambria"/>
                <w:sz w:val="21"/>
              </w:rPr>
            </w:pPr>
            <w:r>
              <w:rPr>
                <w:rFonts w:ascii="Cambria"/>
                <w:color w:val="333333"/>
                <w:w w:val="110"/>
                <w:sz w:val="21"/>
              </w:rPr>
              <w:t>Map file extensions to media types for content negotiation. For instance, yml to text/yaml.</w:t>
            </w:r>
          </w:p>
        </w:tc>
      </w:tr>
      <w:tr w:rsidR="00A720EB" w14:paraId="008623FB" w14:textId="77777777">
        <w:trPr>
          <w:trHeight w:val="741"/>
        </w:trPr>
        <w:tc>
          <w:tcPr>
            <w:tcW w:w="2494" w:type="dxa"/>
          </w:tcPr>
          <w:p w14:paraId="3D636F68" w14:textId="77777777" w:rsidR="00A720EB" w:rsidRDefault="0030286B">
            <w:pPr>
              <w:pStyle w:val="TableParagraph"/>
              <w:spacing w:before="49" w:line="230" w:lineRule="auto"/>
              <w:ind w:right="113"/>
              <w:rPr>
                <w:sz w:val="21"/>
              </w:rPr>
            </w:pPr>
            <w:proofErr w:type="gramStart"/>
            <w:r>
              <w:rPr>
                <w:color w:val="B02045"/>
                <w:sz w:val="21"/>
              </w:rPr>
              <w:t>spring.mvc.contentnego</w:t>
            </w:r>
            <w:proofErr w:type="gramEnd"/>
            <w:r>
              <w:rPr>
                <w:color w:val="B02045"/>
                <w:sz w:val="21"/>
              </w:rPr>
              <w:t xml:space="preserve"> tiation.parameter-name</w:t>
            </w:r>
          </w:p>
        </w:tc>
        <w:tc>
          <w:tcPr>
            <w:tcW w:w="2494" w:type="dxa"/>
          </w:tcPr>
          <w:p w14:paraId="2AB5BAE7" w14:textId="77777777" w:rsidR="00A720EB" w:rsidRDefault="00A720EB">
            <w:pPr>
              <w:pStyle w:val="TableParagraph"/>
              <w:spacing w:before="0"/>
              <w:ind w:left="0"/>
              <w:rPr>
                <w:rFonts w:ascii="Times New Roman"/>
                <w:sz w:val="20"/>
              </w:rPr>
            </w:pPr>
          </w:p>
        </w:tc>
        <w:tc>
          <w:tcPr>
            <w:tcW w:w="4988" w:type="dxa"/>
          </w:tcPr>
          <w:p w14:paraId="18D00CC2" w14:textId="77777777" w:rsidR="00A720EB" w:rsidRDefault="0030286B">
            <w:pPr>
              <w:pStyle w:val="TableParagraph"/>
              <w:spacing w:before="31" w:line="310" w:lineRule="atLeast"/>
              <w:rPr>
                <w:rFonts w:ascii="Cambria"/>
                <w:sz w:val="21"/>
              </w:rPr>
            </w:pPr>
            <w:r>
              <w:rPr>
                <w:rFonts w:ascii="Cambria"/>
                <w:color w:val="333333"/>
                <w:w w:val="110"/>
                <w:sz w:val="21"/>
              </w:rPr>
              <w:t>Query parameter name to use when "favor- parameter" is enabled.</w:t>
            </w:r>
          </w:p>
        </w:tc>
      </w:tr>
      <w:tr w:rsidR="00A720EB" w14:paraId="52AF2603" w14:textId="77777777">
        <w:trPr>
          <w:trHeight w:val="1056"/>
        </w:trPr>
        <w:tc>
          <w:tcPr>
            <w:tcW w:w="2494" w:type="dxa"/>
          </w:tcPr>
          <w:p w14:paraId="351EFBD2" w14:textId="77777777" w:rsidR="00A720EB" w:rsidRDefault="0030286B">
            <w:pPr>
              <w:pStyle w:val="TableParagraph"/>
              <w:spacing w:before="49" w:line="230" w:lineRule="auto"/>
              <w:ind w:right="113"/>
              <w:rPr>
                <w:sz w:val="21"/>
              </w:rPr>
            </w:pPr>
            <w:proofErr w:type="gramStart"/>
            <w:r>
              <w:rPr>
                <w:color w:val="B02045"/>
                <w:sz w:val="21"/>
              </w:rPr>
              <w:t>spring.mvc.converters</w:t>
            </w:r>
            <w:proofErr w:type="gramEnd"/>
            <w:r>
              <w:rPr>
                <w:color w:val="B02045"/>
                <w:sz w:val="21"/>
              </w:rPr>
              <w:t>. preferred-json-mapper</w:t>
            </w:r>
          </w:p>
        </w:tc>
        <w:tc>
          <w:tcPr>
            <w:tcW w:w="2494" w:type="dxa"/>
          </w:tcPr>
          <w:p w14:paraId="00AF8481" w14:textId="77777777" w:rsidR="00A720EB" w:rsidRDefault="00A720EB">
            <w:pPr>
              <w:pStyle w:val="TableParagraph"/>
              <w:spacing w:before="0"/>
              <w:ind w:left="0"/>
              <w:rPr>
                <w:rFonts w:ascii="Times New Roman"/>
                <w:sz w:val="20"/>
              </w:rPr>
            </w:pPr>
          </w:p>
        </w:tc>
        <w:tc>
          <w:tcPr>
            <w:tcW w:w="4988" w:type="dxa"/>
          </w:tcPr>
          <w:p w14:paraId="687B0657" w14:textId="77777777" w:rsidR="00A720EB" w:rsidRDefault="0030286B">
            <w:pPr>
              <w:pStyle w:val="TableParagraph"/>
              <w:spacing w:before="31" w:line="310" w:lineRule="atLeast"/>
              <w:ind w:right="60"/>
              <w:rPr>
                <w:rFonts w:ascii="Cambria"/>
                <w:sz w:val="21"/>
              </w:rPr>
            </w:pPr>
            <w:r>
              <w:rPr>
                <w:rFonts w:ascii="Cambria"/>
                <w:color w:val="333333"/>
                <w:w w:val="110"/>
                <w:sz w:val="21"/>
              </w:rPr>
              <w:t>Preferred JSON mapper to use for HTTP message conversion. By default, auto-detected according to the environment.</w:t>
            </w:r>
          </w:p>
        </w:tc>
      </w:tr>
      <w:tr w:rsidR="00A720EB" w14:paraId="7E3F70D4" w14:textId="77777777">
        <w:trPr>
          <w:trHeight w:val="741"/>
        </w:trPr>
        <w:tc>
          <w:tcPr>
            <w:tcW w:w="2494" w:type="dxa"/>
          </w:tcPr>
          <w:p w14:paraId="24522C17" w14:textId="77777777" w:rsidR="00A720EB" w:rsidRDefault="0030286B">
            <w:pPr>
              <w:pStyle w:val="TableParagraph"/>
              <w:spacing w:before="49" w:line="230" w:lineRule="auto"/>
              <w:ind w:right="323"/>
              <w:rPr>
                <w:sz w:val="21"/>
              </w:rPr>
            </w:pPr>
            <w:proofErr w:type="gramStart"/>
            <w:r>
              <w:rPr>
                <w:color w:val="B02045"/>
                <w:sz w:val="21"/>
              </w:rPr>
              <w:t>spring.mvc.dispatch</w:t>
            </w:r>
            <w:proofErr w:type="gramEnd"/>
            <w:r>
              <w:rPr>
                <w:color w:val="B02045"/>
                <w:sz w:val="21"/>
              </w:rPr>
              <w:t>- options-request</w:t>
            </w:r>
          </w:p>
        </w:tc>
        <w:tc>
          <w:tcPr>
            <w:tcW w:w="2494" w:type="dxa"/>
          </w:tcPr>
          <w:p w14:paraId="7F723083" w14:textId="77777777" w:rsidR="00A720EB" w:rsidRDefault="0030286B">
            <w:pPr>
              <w:pStyle w:val="TableParagraph"/>
              <w:spacing w:before="40"/>
              <w:rPr>
                <w:sz w:val="21"/>
              </w:rPr>
            </w:pPr>
            <w:r>
              <w:rPr>
                <w:color w:val="B02045"/>
                <w:sz w:val="21"/>
              </w:rPr>
              <w:t>true</w:t>
            </w:r>
          </w:p>
        </w:tc>
        <w:tc>
          <w:tcPr>
            <w:tcW w:w="4988" w:type="dxa"/>
          </w:tcPr>
          <w:p w14:paraId="5ABC20B4" w14:textId="77777777" w:rsidR="00A720EB" w:rsidRDefault="0030286B">
            <w:pPr>
              <w:pStyle w:val="TableParagraph"/>
              <w:spacing w:before="31" w:line="310" w:lineRule="atLeast"/>
              <w:rPr>
                <w:rFonts w:ascii="Cambria"/>
                <w:sz w:val="21"/>
              </w:rPr>
            </w:pPr>
            <w:r>
              <w:rPr>
                <w:rFonts w:ascii="Cambria"/>
                <w:color w:val="333333"/>
                <w:w w:val="110"/>
                <w:sz w:val="21"/>
              </w:rPr>
              <w:t>Whether to dispatch OPTIONS requests to the FrameworkServlet doService method.</w:t>
            </w:r>
          </w:p>
        </w:tc>
      </w:tr>
      <w:tr w:rsidR="00A720EB" w14:paraId="4ED006D7" w14:textId="77777777">
        <w:trPr>
          <w:trHeight w:val="741"/>
        </w:trPr>
        <w:tc>
          <w:tcPr>
            <w:tcW w:w="2494" w:type="dxa"/>
          </w:tcPr>
          <w:p w14:paraId="62D8743E" w14:textId="77777777" w:rsidR="00A720EB" w:rsidRDefault="0030286B">
            <w:pPr>
              <w:pStyle w:val="TableParagraph"/>
              <w:spacing w:before="49" w:line="230" w:lineRule="auto"/>
              <w:ind w:right="323"/>
              <w:rPr>
                <w:sz w:val="21"/>
              </w:rPr>
            </w:pPr>
            <w:proofErr w:type="gramStart"/>
            <w:r>
              <w:rPr>
                <w:color w:val="B02045"/>
                <w:sz w:val="21"/>
              </w:rPr>
              <w:t>spring.mvc.dispatch</w:t>
            </w:r>
            <w:proofErr w:type="gramEnd"/>
            <w:r>
              <w:rPr>
                <w:color w:val="B02045"/>
                <w:sz w:val="21"/>
              </w:rPr>
              <w:t>- trace-request</w:t>
            </w:r>
          </w:p>
        </w:tc>
        <w:tc>
          <w:tcPr>
            <w:tcW w:w="2494" w:type="dxa"/>
          </w:tcPr>
          <w:p w14:paraId="24F058D9" w14:textId="77777777" w:rsidR="00A720EB" w:rsidRDefault="0030286B">
            <w:pPr>
              <w:pStyle w:val="TableParagraph"/>
              <w:spacing w:before="40"/>
              <w:rPr>
                <w:sz w:val="21"/>
              </w:rPr>
            </w:pPr>
            <w:r>
              <w:rPr>
                <w:color w:val="B02045"/>
                <w:sz w:val="21"/>
              </w:rPr>
              <w:t>false</w:t>
            </w:r>
          </w:p>
        </w:tc>
        <w:tc>
          <w:tcPr>
            <w:tcW w:w="4988" w:type="dxa"/>
          </w:tcPr>
          <w:p w14:paraId="338D4D02" w14:textId="77777777" w:rsidR="00A720EB" w:rsidRDefault="0030286B">
            <w:pPr>
              <w:pStyle w:val="TableParagraph"/>
              <w:spacing w:before="31" w:line="310" w:lineRule="atLeast"/>
              <w:ind w:right="627"/>
              <w:rPr>
                <w:rFonts w:ascii="Cambria"/>
                <w:sz w:val="21"/>
              </w:rPr>
            </w:pPr>
            <w:r>
              <w:rPr>
                <w:rFonts w:ascii="Cambria"/>
                <w:color w:val="333333"/>
                <w:w w:val="110"/>
                <w:sz w:val="21"/>
              </w:rPr>
              <w:t>Whether to dispatch TRACE requests to the FrameworkServlet doService method.</w:t>
            </w:r>
          </w:p>
        </w:tc>
      </w:tr>
      <w:tr w:rsidR="00A720EB" w14:paraId="7C3BCB4E" w14:textId="77777777">
        <w:trPr>
          <w:trHeight w:val="425"/>
        </w:trPr>
        <w:tc>
          <w:tcPr>
            <w:tcW w:w="2494" w:type="dxa"/>
          </w:tcPr>
          <w:p w14:paraId="1DA33A07" w14:textId="77777777" w:rsidR="00A720EB" w:rsidRDefault="0030286B">
            <w:pPr>
              <w:pStyle w:val="TableParagraph"/>
              <w:spacing w:before="40"/>
              <w:rPr>
                <w:sz w:val="21"/>
              </w:rPr>
            </w:pPr>
            <w:proofErr w:type="gramStart"/>
            <w:r>
              <w:rPr>
                <w:color w:val="B02045"/>
                <w:sz w:val="21"/>
              </w:rPr>
              <w:t>spring.mvc.format</w:t>
            </w:r>
            <w:proofErr w:type="gramEnd"/>
            <w:r>
              <w:rPr>
                <w:color w:val="B02045"/>
                <w:sz w:val="21"/>
              </w:rPr>
              <w:t>.date</w:t>
            </w:r>
          </w:p>
        </w:tc>
        <w:tc>
          <w:tcPr>
            <w:tcW w:w="2494" w:type="dxa"/>
          </w:tcPr>
          <w:p w14:paraId="19F5E2CE" w14:textId="77777777" w:rsidR="00A720EB" w:rsidRDefault="00A720EB">
            <w:pPr>
              <w:pStyle w:val="TableParagraph"/>
              <w:spacing w:before="0"/>
              <w:ind w:left="0"/>
              <w:rPr>
                <w:rFonts w:ascii="Times New Roman"/>
                <w:sz w:val="20"/>
              </w:rPr>
            </w:pPr>
          </w:p>
        </w:tc>
        <w:tc>
          <w:tcPr>
            <w:tcW w:w="4988" w:type="dxa"/>
          </w:tcPr>
          <w:p w14:paraId="090ABE86" w14:textId="77777777" w:rsidR="00A720EB" w:rsidRDefault="0030286B">
            <w:pPr>
              <w:pStyle w:val="TableParagraph"/>
              <w:spacing w:before="94"/>
              <w:rPr>
                <w:rFonts w:ascii="Cambria"/>
                <w:sz w:val="21"/>
              </w:rPr>
            </w:pPr>
            <w:r>
              <w:rPr>
                <w:rFonts w:ascii="Cambria"/>
                <w:color w:val="333333"/>
                <w:w w:val="110"/>
                <w:sz w:val="21"/>
              </w:rPr>
              <w:t>Date format to use, for example `dd/MM/yyyy`.</w:t>
            </w:r>
          </w:p>
        </w:tc>
      </w:tr>
      <w:tr w:rsidR="00A720EB" w14:paraId="54214197" w14:textId="77777777">
        <w:trPr>
          <w:trHeight w:val="741"/>
        </w:trPr>
        <w:tc>
          <w:tcPr>
            <w:tcW w:w="2494" w:type="dxa"/>
          </w:tcPr>
          <w:p w14:paraId="1CF36B1F" w14:textId="77777777" w:rsidR="00A720EB" w:rsidRDefault="0030286B">
            <w:pPr>
              <w:pStyle w:val="TableParagraph"/>
              <w:spacing w:before="40" w:line="264" w:lineRule="exact"/>
              <w:rPr>
                <w:sz w:val="21"/>
              </w:rPr>
            </w:pPr>
            <w:proofErr w:type="gramStart"/>
            <w:r>
              <w:rPr>
                <w:color w:val="B02045"/>
                <w:sz w:val="21"/>
              </w:rPr>
              <w:t>spring.mvc.format</w:t>
            </w:r>
            <w:proofErr w:type="gramEnd"/>
            <w:r>
              <w:rPr>
                <w:color w:val="B02045"/>
                <w:sz w:val="21"/>
              </w:rPr>
              <w:t>.date</w:t>
            </w:r>
          </w:p>
          <w:p w14:paraId="41613A6F" w14:textId="77777777" w:rsidR="00A720EB" w:rsidRDefault="0030286B">
            <w:pPr>
              <w:pStyle w:val="TableParagraph"/>
              <w:spacing w:before="0" w:line="264" w:lineRule="exact"/>
              <w:rPr>
                <w:sz w:val="21"/>
              </w:rPr>
            </w:pPr>
            <w:r>
              <w:rPr>
                <w:color w:val="B02045"/>
                <w:sz w:val="21"/>
              </w:rPr>
              <w:t>-time</w:t>
            </w:r>
          </w:p>
        </w:tc>
        <w:tc>
          <w:tcPr>
            <w:tcW w:w="2494" w:type="dxa"/>
          </w:tcPr>
          <w:p w14:paraId="4A0B9AAD" w14:textId="77777777" w:rsidR="00A720EB" w:rsidRDefault="00A720EB">
            <w:pPr>
              <w:pStyle w:val="TableParagraph"/>
              <w:spacing w:before="0"/>
              <w:ind w:left="0"/>
              <w:rPr>
                <w:rFonts w:ascii="Times New Roman"/>
                <w:sz w:val="20"/>
              </w:rPr>
            </w:pPr>
          </w:p>
        </w:tc>
        <w:tc>
          <w:tcPr>
            <w:tcW w:w="4988" w:type="dxa"/>
          </w:tcPr>
          <w:p w14:paraId="3A39BD55" w14:textId="77777777" w:rsidR="00A720EB" w:rsidRDefault="0030286B">
            <w:pPr>
              <w:pStyle w:val="TableParagraph"/>
              <w:spacing w:before="31" w:line="310" w:lineRule="atLeast"/>
              <w:rPr>
                <w:rFonts w:ascii="Cambria"/>
                <w:sz w:val="21"/>
              </w:rPr>
            </w:pPr>
            <w:r>
              <w:rPr>
                <w:rFonts w:ascii="Cambria"/>
                <w:color w:val="333333"/>
                <w:w w:val="115"/>
                <w:sz w:val="21"/>
              </w:rPr>
              <w:t>Date-time</w:t>
            </w:r>
            <w:r>
              <w:rPr>
                <w:rFonts w:ascii="Cambria"/>
                <w:color w:val="333333"/>
                <w:spacing w:val="-19"/>
                <w:w w:val="115"/>
                <w:sz w:val="21"/>
              </w:rPr>
              <w:t xml:space="preserve"> </w:t>
            </w:r>
            <w:r>
              <w:rPr>
                <w:rFonts w:ascii="Cambria"/>
                <w:color w:val="333333"/>
                <w:w w:val="115"/>
                <w:sz w:val="21"/>
              </w:rPr>
              <w:t>format</w:t>
            </w:r>
            <w:r>
              <w:rPr>
                <w:rFonts w:ascii="Cambria"/>
                <w:color w:val="333333"/>
                <w:spacing w:val="-19"/>
                <w:w w:val="115"/>
                <w:sz w:val="21"/>
              </w:rPr>
              <w:t xml:space="preserve"> </w:t>
            </w:r>
            <w:r>
              <w:rPr>
                <w:rFonts w:ascii="Cambria"/>
                <w:color w:val="333333"/>
                <w:w w:val="115"/>
                <w:sz w:val="21"/>
              </w:rPr>
              <w:t>to</w:t>
            </w:r>
            <w:r>
              <w:rPr>
                <w:rFonts w:ascii="Cambria"/>
                <w:color w:val="333333"/>
                <w:spacing w:val="-19"/>
                <w:w w:val="115"/>
                <w:sz w:val="21"/>
              </w:rPr>
              <w:t xml:space="preserve"> </w:t>
            </w:r>
            <w:r>
              <w:rPr>
                <w:rFonts w:ascii="Cambria"/>
                <w:color w:val="333333"/>
                <w:w w:val="115"/>
                <w:sz w:val="21"/>
              </w:rPr>
              <w:t>use,</w:t>
            </w:r>
            <w:r>
              <w:rPr>
                <w:rFonts w:ascii="Cambria"/>
                <w:color w:val="333333"/>
                <w:spacing w:val="-19"/>
                <w:w w:val="115"/>
                <w:sz w:val="21"/>
              </w:rPr>
              <w:t xml:space="preserve"> </w:t>
            </w:r>
            <w:r>
              <w:rPr>
                <w:rFonts w:ascii="Cambria"/>
                <w:color w:val="333333"/>
                <w:w w:val="115"/>
                <w:sz w:val="21"/>
              </w:rPr>
              <w:t>for</w:t>
            </w:r>
            <w:r>
              <w:rPr>
                <w:rFonts w:ascii="Cambria"/>
                <w:color w:val="333333"/>
                <w:spacing w:val="-19"/>
                <w:w w:val="115"/>
                <w:sz w:val="21"/>
              </w:rPr>
              <w:t xml:space="preserve"> </w:t>
            </w:r>
            <w:r>
              <w:rPr>
                <w:rFonts w:ascii="Cambria"/>
                <w:color w:val="333333"/>
                <w:w w:val="115"/>
                <w:sz w:val="21"/>
              </w:rPr>
              <w:t>example</w:t>
            </w:r>
            <w:r>
              <w:rPr>
                <w:rFonts w:ascii="Cambria"/>
                <w:color w:val="333333"/>
                <w:spacing w:val="-19"/>
                <w:w w:val="115"/>
                <w:sz w:val="21"/>
              </w:rPr>
              <w:t xml:space="preserve"> </w:t>
            </w:r>
            <w:r>
              <w:rPr>
                <w:rFonts w:ascii="Cambria"/>
                <w:color w:val="333333"/>
                <w:w w:val="115"/>
                <w:sz w:val="21"/>
              </w:rPr>
              <w:t>`yyyy-MM- dd HH:</w:t>
            </w:r>
            <w:proofErr w:type="gramStart"/>
            <w:r>
              <w:rPr>
                <w:rFonts w:ascii="Cambria"/>
                <w:color w:val="333333"/>
                <w:w w:val="115"/>
                <w:sz w:val="21"/>
              </w:rPr>
              <w:t>mm:ss</w:t>
            </w:r>
            <w:proofErr w:type="gramEnd"/>
            <w:r>
              <w:rPr>
                <w:rFonts w:ascii="Cambria"/>
                <w:color w:val="333333"/>
                <w:w w:val="115"/>
                <w:sz w:val="21"/>
              </w:rPr>
              <w:t>`.</w:t>
            </w:r>
          </w:p>
        </w:tc>
      </w:tr>
      <w:tr w:rsidR="00A720EB" w14:paraId="68D16424" w14:textId="77777777">
        <w:trPr>
          <w:trHeight w:val="425"/>
        </w:trPr>
        <w:tc>
          <w:tcPr>
            <w:tcW w:w="2494" w:type="dxa"/>
          </w:tcPr>
          <w:p w14:paraId="1ADE2449" w14:textId="77777777" w:rsidR="00A720EB" w:rsidRDefault="0030286B">
            <w:pPr>
              <w:pStyle w:val="TableParagraph"/>
              <w:spacing w:before="40"/>
              <w:rPr>
                <w:sz w:val="21"/>
              </w:rPr>
            </w:pPr>
            <w:proofErr w:type="gramStart"/>
            <w:r>
              <w:rPr>
                <w:color w:val="B02045"/>
                <w:sz w:val="21"/>
              </w:rPr>
              <w:t>spring.mvc.format</w:t>
            </w:r>
            <w:proofErr w:type="gramEnd"/>
            <w:r>
              <w:rPr>
                <w:color w:val="B02045"/>
                <w:sz w:val="21"/>
              </w:rPr>
              <w:t>.time</w:t>
            </w:r>
          </w:p>
        </w:tc>
        <w:tc>
          <w:tcPr>
            <w:tcW w:w="2494" w:type="dxa"/>
          </w:tcPr>
          <w:p w14:paraId="5722C39C" w14:textId="77777777" w:rsidR="00A720EB" w:rsidRDefault="00A720EB">
            <w:pPr>
              <w:pStyle w:val="TableParagraph"/>
              <w:spacing w:before="0"/>
              <w:ind w:left="0"/>
              <w:rPr>
                <w:rFonts w:ascii="Times New Roman"/>
                <w:sz w:val="20"/>
              </w:rPr>
            </w:pPr>
          </w:p>
        </w:tc>
        <w:tc>
          <w:tcPr>
            <w:tcW w:w="4988" w:type="dxa"/>
          </w:tcPr>
          <w:p w14:paraId="6BB70F43" w14:textId="77777777" w:rsidR="00A720EB" w:rsidRDefault="0030286B">
            <w:pPr>
              <w:pStyle w:val="TableParagraph"/>
              <w:spacing w:before="94"/>
              <w:rPr>
                <w:rFonts w:ascii="Cambria"/>
                <w:sz w:val="21"/>
              </w:rPr>
            </w:pPr>
            <w:r>
              <w:rPr>
                <w:rFonts w:ascii="Cambria"/>
                <w:color w:val="333333"/>
                <w:w w:val="115"/>
                <w:sz w:val="21"/>
              </w:rPr>
              <w:t>Time format to use, for example `HH:</w:t>
            </w:r>
            <w:proofErr w:type="gramStart"/>
            <w:r>
              <w:rPr>
                <w:rFonts w:ascii="Cambria"/>
                <w:color w:val="333333"/>
                <w:w w:val="115"/>
                <w:sz w:val="21"/>
              </w:rPr>
              <w:t>mm:ss</w:t>
            </w:r>
            <w:proofErr w:type="gramEnd"/>
            <w:r>
              <w:rPr>
                <w:rFonts w:ascii="Cambria"/>
                <w:color w:val="333333"/>
                <w:w w:val="115"/>
                <w:sz w:val="21"/>
              </w:rPr>
              <w:t>`.</w:t>
            </w:r>
          </w:p>
        </w:tc>
      </w:tr>
      <w:tr w:rsidR="00A720EB" w14:paraId="7F8EA967" w14:textId="77777777">
        <w:trPr>
          <w:trHeight w:val="627"/>
        </w:trPr>
        <w:tc>
          <w:tcPr>
            <w:tcW w:w="2494" w:type="dxa"/>
          </w:tcPr>
          <w:p w14:paraId="43FB9B02" w14:textId="77777777" w:rsidR="00A720EB" w:rsidRDefault="0030286B">
            <w:pPr>
              <w:pStyle w:val="TableParagraph"/>
              <w:spacing w:before="40" w:line="264" w:lineRule="exact"/>
              <w:rPr>
                <w:sz w:val="21"/>
              </w:rPr>
            </w:pPr>
            <w:proofErr w:type="gramStart"/>
            <w:r>
              <w:rPr>
                <w:color w:val="B02045"/>
                <w:sz w:val="21"/>
              </w:rPr>
              <w:t>spring.mvc.formcontent</w:t>
            </w:r>
            <w:proofErr w:type="gramEnd"/>
          </w:p>
          <w:p w14:paraId="26768514" w14:textId="77777777" w:rsidR="00A720EB" w:rsidRDefault="0030286B">
            <w:pPr>
              <w:pStyle w:val="TableParagraph"/>
              <w:spacing w:before="0" w:line="264" w:lineRule="exact"/>
              <w:rPr>
                <w:sz w:val="21"/>
              </w:rPr>
            </w:pPr>
            <w:proofErr w:type="gramStart"/>
            <w:r>
              <w:rPr>
                <w:color w:val="B02045"/>
                <w:sz w:val="21"/>
              </w:rPr>
              <w:t>.filter</w:t>
            </w:r>
            <w:proofErr w:type="gramEnd"/>
            <w:r>
              <w:rPr>
                <w:color w:val="B02045"/>
                <w:sz w:val="21"/>
              </w:rPr>
              <w:t>.enabled</w:t>
            </w:r>
          </w:p>
        </w:tc>
        <w:tc>
          <w:tcPr>
            <w:tcW w:w="2494" w:type="dxa"/>
          </w:tcPr>
          <w:p w14:paraId="2BDC1294" w14:textId="77777777" w:rsidR="00A720EB" w:rsidRDefault="0030286B">
            <w:pPr>
              <w:pStyle w:val="TableParagraph"/>
              <w:spacing w:before="40"/>
              <w:rPr>
                <w:sz w:val="21"/>
              </w:rPr>
            </w:pPr>
            <w:r>
              <w:rPr>
                <w:color w:val="B02045"/>
                <w:sz w:val="21"/>
              </w:rPr>
              <w:t>true</w:t>
            </w:r>
          </w:p>
        </w:tc>
        <w:tc>
          <w:tcPr>
            <w:tcW w:w="4988" w:type="dxa"/>
          </w:tcPr>
          <w:p w14:paraId="34C18817" w14:textId="77777777" w:rsidR="00A720EB" w:rsidRDefault="0030286B">
            <w:pPr>
              <w:pStyle w:val="TableParagraph"/>
              <w:spacing w:before="94"/>
              <w:rPr>
                <w:rFonts w:ascii="Cambria"/>
                <w:sz w:val="21"/>
              </w:rPr>
            </w:pPr>
            <w:r>
              <w:rPr>
                <w:rFonts w:ascii="Cambria"/>
                <w:color w:val="333333"/>
                <w:w w:val="110"/>
                <w:sz w:val="21"/>
              </w:rPr>
              <w:t>Whether to enable Spring's FormContentFilter.</w:t>
            </w:r>
          </w:p>
        </w:tc>
      </w:tr>
      <w:tr w:rsidR="00A720EB" w14:paraId="1FA9382B" w14:textId="77777777">
        <w:trPr>
          <w:trHeight w:val="741"/>
        </w:trPr>
        <w:tc>
          <w:tcPr>
            <w:tcW w:w="2494" w:type="dxa"/>
          </w:tcPr>
          <w:p w14:paraId="1F05C676" w14:textId="77777777" w:rsidR="00A720EB" w:rsidRDefault="0030286B">
            <w:pPr>
              <w:pStyle w:val="TableParagraph"/>
              <w:spacing w:before="49" w:line="230" w:lineRule="auto"/>
              <w:ind w:right="94"/>
              <w:rPr>
                <w:sz w:val="21"/>
              </w:rPr>
            </w:pPr>
            <w:proofErr w:type="gramStart"/>
            <w:r>
              <w:rPr>
                <w:color w:val="B02045"/>
                <w:sz w:val="21"/>
              </w:rPr>
              <w:lastRenderedPageBreak/>
              <w:t>spring.mvc.hiddenmetho</w:t>
            </w:r>
            <w:proofErr w:type="gramEnd"/>
            <w:r>
              <w:rPr>
                <w:color w:val="B02045"/>
                <w:sz w:val="21"/>
              </w:rPr>
              <w:t xml:space="preserve"> d.filter.enabled</w:t>
            </w:r>
          </w:p>
        </w:tc>
        <w:tc>
          <w:tcPr>
            <w:tcW w:w="2494" w:type="dxa"/>
          </w:tcPr>
          <w:p w14:paraId="3B9B6207" w14:textId="77777777" w:rsidR="00A720EB" w:rsidRDefault="0030286B">
            <w:pPr>
              <w:pStyle w:val="TableParagraph"/>
              <w:spacing w:before="40"/>
              <w:rPr>
                <w:sz w:val="21"/>
              </w:rPr>
            </w:pPr>
            <w:r>
              <w:rPr>
                <w:color w:val="B02045"/>
                <w:sz w:val="21"/>
              </w:rPr>
              <w:t>false</w:t>
            </w:r>
          </w:p>
        </w:tc>
        <w:tc>
          <w:tcPr>
            <w:tcW w:w="4988" w:type="dxa"/>
          </w:tcPr>
          <w:p w14:paraId="530C731E" w14:textId="77777777" w:rsidR="00A720EB" w:rsidRDefault="0030286B">
            <w:pPr>
              <w:pStyle w:val="TableParagraph"/>
              <w:spacing w:before="31" w:line="310" w:lineRule="atLeast"/>
              <w:rPr>
                <w:rFonts w:ascii="Cambria"/>
                <w:sz w:val="21"/>
              </w:rPr>
            </w:pPr>
            <w:r>
              <w:rPr>
                <w:rFonts w:ascii="Cambria"/>
                <w:color w:val="333333"/>
                <w:w w:val="110"/>
                <w:sz w:val="21"/>
              </w:rPr>
              <w:t>Whether to enable Spring's HiddenHttpMethodFilter.</w:t>
            </w:r>
          </w:p>
        </w:tc>
      </w:tr>
    </w:tbl>
    <w:p w14:paraId="39DC7D2C" w14:textId="77777777" w:rsidR="00A720EB" w:rsidRDefault="00A720EB">
      <w:pPr>
        <w:spacing w:line="310" w:lineRule="atLeast"/>
        <w:rPr>
          <w:sz w:val="21"/>
        </w:rPr>
        <w:sectPr w:rsidR="00A720EB">
          <w:pgSz w:w="11910" w:h="16840"/>
          <w:pgMar w:top="62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1EC567B" w14:textId="77777777">
        <w:trPr>
          <w:trHeight w:val="415"/>
        </w:trPr>
        <w:tc>
          <w:tcPr>
            <w:tcW w:w="2494" w:type="dxa"/>
            <w:tcBorders>
              <w:bottom w:val="single" w:sz="12" w:space="0" w:color="DDDDDD"/>
            </w:tcBorders>
          </w:tcPr>
          <w:p w14:paraId="5ABAD9A0"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D3BA46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41E854C"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85085F2" w14:textId="77777777">
        <w:trPr>
          <w:trHeight w:val="876"/>
        </w:trPr>
        <w:tc>
          <w:tcPr>
            <w:tcW w:w="2494" w:type="dxa"/>
            <w:tcBorders>
              <w:top w:val="single" w:sz="12" w:space="0" w:color="DDDDDD"/>
            </w:tcBorders>
          </w:tcPr>
          <w:p w14:paraId="02BE640F" w14:textId="77777777" w:rsidR="00A720EB" w:rsidRDefault="0030286B">
            <w:pPr>
              <w:pStyle w:val="TableParagraph"/>
              <w:spacing w:before="36" w:line="230" w:lineRule="auto"/>
              <w:ind w:right="533"/>
              <w:rPr>
                <w:sz w:val="21"/>
              </w:rPr>
            </w:pPr>
            <w:proofErr w:type="gramStart"/>
            <w:r>
              <w:rPr>
                <w:color w:val="B02045"/>
                <w:sz w:val="21"/>
              </w:rPr>
              <w:t>spring.mvc.ignore</w:t>
            </w:r>
            <w:proofErr w:type="gramEnd"/>
            <w:r>
              <w:rPr>
                <w:color w:val="B02045"/>
                <w:sz w:val="21"/>
              </w:rPr>
              <w:t>- default-model-on- redirect</w:t>
            </w:r>
          </w:p>
        </w:tc>
        <w:tc>
          <w:tcPr>
            <w:tcW w:w="2494" w:type="dxa"/>
            <w:tcBorders>
              <w:top w:val="single" w:sz="12" w:space="0" w:color="DDDDDD"/>
            </w:tcBorders>
          </w:tcPr>
          <w:p w14:paraId="5D114FD7"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7C30D461" w14:textId="77777777" w:rsidR="00A720EB" w:rsidRDefault="0030286B">
            <w:pPr>
              <w:pStyle w:val="TableParagraph"/>
              <w:spacing w:before="82" w:line="307" w:lineRule="auto"/>
              <w:ind w:right="372"/>
              <w:rPr>
                <w:rFonts w:ascii="Cambria"/>
                <w:sz w:val="21"/>
              </w:rPr>
            </w:pPr>
            <w:r>
              <w:rPr>
                <w:rFonts w:ascii="Cambria"/>
                <w:color w:val="333333"/>
                <w:w w:val="110"/>
                <w:sz w:val="21"/>
              </w:rPr>
              <w:t>Whether the content of the "default" model should be ignored during redirect scenarios.</w:t>
            </w:r>
          </w:p>
        </w:tc>
      </w:tr>
      <w:tr w:rsidR="00A720EB" w14:paraId="1C5ED84C" w14:textId="77777777">
        <w:trPr>
          <w:trHeight w:val="741"/>
        </w:trPr>
        <w:tc>
          <w:tcPr>
            <w:tcW w:w="2494" w:type="dxa"/>
          </w:tcPr>
          <w:p w14:paraId="442F86BB" w14:textId="77777777" w:rsidR="00A720EB" w:rsidRDefault="0030286B">
            <w:pPr>
              <w:pStyle w:val="TableParagraph"/>
              <w:rPr>
                <w:sz w:val="21"/>
              </w:rPr>
            </w:pPr>
            <w:proofErr w:type="gramStart"/>
            <w:r>
              <w:rPr>
                <w:color w:val="B02045"/>
                <w:sz w:val="21"/>
              </w:rPr>
              <w:t>spring.mvc.locale</w:t>
            </w:r>
            <w:proofErr w:type="gramEnd"/>
          </w:p>
        </w:tc>
        <w:tc>
          <w:tcPr>
            <w:tcW w:w="2494" w:type="dxa"/>
          </w:tcPr>
          <w:p w14:paraId="6E508A79" w14:textId="77777777" w:rsidR="00A720EB" w:rsidRDefault="00A720EB">
            <w:pPr>
              <w:pStyle w:val="TableParagraph"/>
              <w:spacing w:before="0"/>
              <w:ind w:left="0"/>
              <w:rPr>
                <w:rFonts w:ascii="Times New Roman"/>
                <w:sz w:val="20"/>
              </w:rPr>
            </w:pPr>
          </w:p>
        </w:tc>
        <w:tc>
          <w:tcPr>
            <w:tcW w:w="4988" w:type="dxa"/>
          </w:tcPr>
          <w:p w14:paraId="22DD3C4B" w14:textId="77777777" w:rsidR="00A720EB" w:rsidRDefault="0030286B">
            <w:pPr>
              <w:pStyle w:val="TableParagraph"/>
              <w:spacing w:before="28" w:line="310" w:lineRule="atLeast"/>
              <w:ind w:right="372"/>
              <w:rPr>
                <w:rFonts w:ascii="Cambria"/>
                <w:sz w:val="21"/>
              </w:rPr>
            </w:pPr>
            <w:r>
              <w:rPr>
                <w:rFonts w:ascii="Cambria"/>
                <w:color w:val="333333"/>
                <w:w w:val="110"/>
                <w:sz w:val="21"/>
              </w:rPr>
              <w:t>Locale to use. By default, this locale is overridden by the "Accept-Language" header.</w:t>
            </w:r>
          </w:p>
        </w:tc>
      </w:tr>
      <w:tr w:rsidR="00A720EB" w14:paraId="3A734878" w14:textId="77777777">
        <w:trPr>
          <w:trHeight w:val="627"/>
        </w:trPr>
        <w:tc>
          <w:tcPr>
            <w:tcW w:w="2494" w:type="dxa"/>
          </w:tcPr>
          <w:p w14:paraId="7D9CA749" w14:textId="77777777" w:rsidR="00A720EB" w:rsidRDefault="0030286B">
            <w:pPr>
              <w:pStyle w:val="TableParagraph"/>
              <w:spacing w:before="46" w:line="230" w:lineRule="auto"/>
              <w:ind w:right="514"/>
              <w:rPr>
                <w:sz w:val="21"/>
              </w:rPr>
            </w:pPr>
            <w:proofErr w:type="gramStart"/>
            <w:r>
              <w:rPr>
                <w:color w:val="B02045"/>
                <w:sz w:val="21"/>
              </w:rPr>
              <w:t>spring.mvc.locale</w:t>
            </w:r>
            <w:proofErr w:type="gramEnd"/>
            <w:r>
              <w:rPr>
                <w:color w:val="B02045"/>
                <w:sz w:val="21"/>
              </w:rPr>
              <w:t>- resolver</w:t>
            </w:r>
          </w:p>
        </w:tc>
        <w:tc>
          <w:tcPr>
            <w:tcW w:w="2494" w:type="dxa"/>
          </w:tcPr>
          <w:p w14:paraId="7DCA86E3" w14:textId="77777777" w:rsidR="00A720EB" w:rsidRDefault="0030286B">
            <w:pPr>
              <w:pStyle w:val="TableParagraph"/>
              <w:rPr>
                <w:sz w:val="21"/>
              </w:rPr>
            </w:pPr>
            <w:r>
              <w:rPr>
                <w:color w:val="B02045"/>
                <w:sz w:val="21"/>
              </w:rPr>
              <w:t>accept-header</w:t>
            </w:r>
          </w:p>
        </w:tc>
        <w:tc>
          <w:tcPr>
            <w:tcW w:w="4988" w:type="dxa"/>
          </w:tcPr>
          <w:p w14:paraId="5DA5BDE8" w14:textId="77777777" w:rsidR="00A720EB" w:rsidRDefault="0030286B">
            <w:pPr>
              <w:pStyle w:val="TableParagraph"/>
              <w:spacing w:before="92"/>
              <w:rPr>
                <w:rFonts w:ascii="Cambria"/>
                <w:sz w:val="21"/>
              </w:rPr>
            </w:pPr>
            <w:r>
              <w:rPr>
                <w:rFonts w:ascii="Cambria"/>
                <w:color w:val="333333"/>
                <w:w w:val="110"/>
                <w:sz w:val="21"/>
              </w:rPr>
              <w:t>Define how the locale should be resolved.</w:t>
            </w:r>
          </w:p>
        </w:tc>
      </w:tr>
      <w:tr w:rsidR="00A720EB" w14:paraId="0CC0DC86" w14:textId="77777777">
        <w:trPr>
          <w:trHeight w:val="1056"/>
        </w:trPr>
        <w:tc>
          <w:tcPr>
            <w:tcW w:w="2494" w:type="dxa"/>
          </w:tcPr>
          <w:p w14:paraId="73AFFF9A" w14:textId="77777777" w:rsidR="00A720EB" w:rsidRDefault="0030286B">
            <w:pPr>
              <w:pStyle w:val="TableParagraph"/>
              <w:spacing w:before="46" w:line="230" w:lineRule="auto"/>
              <w:ind w:right="848"/>
              <w:rPr>
                <w:sz w:val="21"/>
              </w:rPr>
            </w:pPr>
            <w:r>
              <w:rPr>
                <w:color w:val="B02045"/>
                <w:sz w:val="21"/>
              </w:rPr>
              <w:t>spring.mvc.log- request-details</w:t>
            </w:r>
          </w:p>
        </w:tc>
        <w:tc>
          <w:tcPr>
            <w:tcW w:w="2494" w:type="dxa"/>
          </w:tcPr>
          <w:p w14:paraId="41EDB93F" w14:textId="77777777" w:rsidR="00A720EB" w:rsidRDefault="0030286B">
            <w:pPr>
              <w:pStyle w:val="TableParagraph"/>
              <w:rPr>
                <w:sz w:val="21"/>
              </w:rPr>
            </w:pPr>
            <w:r>
              <w:rPr>
                <w:color w:val="B02045"/>
                <w:sz w:val="21"/>
              </w:rPr>
              <w:t>false</w:t>
            </w:r>
          </w:p>
        </w:tc>
        <w:tc>
          <w:tcPr>
            <w:tcW w:w="4988" w:type="dxa"/>
          </w:tcPr>
          <w:p w14:paraId="57E87AEE"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logging of (potentially sensitive) request details at DEBUG and TRACE level is allowed.</w:t>
            </w:r>
          </w:p>
        </w:tc>
      </w:tr>
      <w:tr w:rsidR="00A720EB" w14:paraId="6E42122F" w14:textId="77777777">
        <w:trPr>
          <w:trHeight w:val="1056"/>
        </w:trPr>
        <w:tc>
          <w:tcPr>
            <w:tcW w:w="2494" w:type="dxa"/>
          </w:tcPr>
          <w:p w14:paraId="5DD8AEE9" w14:textId="77777777" w:rsidR="00A720EB" w:rsidRDefault="0030286B">
            <w:pPr>
              <w:pStyle w:val="TableParagraph"/>
              <w:spacing w:before="46" w:line="230" w:lineRule="auto"/>
              <w:ind w:right="533"/>
              <w:rPr>
                <w:sz w:val="21"/>
              </w:rPr>
            </w:pPr>
            <w:r>
              <w:rPr>
                <w:color w:val="B02045"/>
                <w:sz w:val="21"/>
              </w:rPr>
              <w:t>spring.mvc.log- resolved-exception</w:t>
            </w:r>
          </w:p>
        </w:tc>
        <w:tc>
          <w:tcPr>
            <w:tcW w:w="2494" w:type="dxa"/>
          </w:tcPr>
          <w:p w14:paraId="5CBAFD41" w14:textId="77777777" w:rsidR="00A720EB" w:rsidRDefault="0030286B">
            <w:pPr>
              <w:pStyle w:val="TableParagraph"/>
              <w:spacing w:before="37"/>
              <w:rPr>
                <w:sz w:val="21"/>
              </w:rPr>
            </w:pPr>
            <w:r>
              <w:rPr>
                <w:color w:val="B02045"/>
                <w:sz w:val="21"/>
              </w:rPr>
              <w:t>false</w:t>
            </w:r>
          </w:p>
        </w:tc>
        <w:tc>
          <w:tcPr>
            <w:tcW w:w="4988" w:type="dxa"/>
          </w:tcPr>
          <w:p w14:paraId="0C9293F0"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to enable warn logging of exceptions resolved by a "HandlerExceptionResolver", except for "DefaultHandlerExceptionResolver".</w:t>
            </w:r>
          </w:p>
        </w:tc>
      </w:tr>
      <w:tr w:rsidR="00A720EB" w14:paraId="504F4DD5" w14:textId="77777777">
        <w:trPr>
          <w:trHeight w:val="741"/>
        </w:trPr>
        <w:tc>
          <w:tcPr>
            <w:tcW w:w="2494" w:type="dxa"/>
          </w:tcPr>
          <w:p w14:paraId="77C09785" w14:textId="77777777" w:rsidR="00A720EB" w:rsidRDefault="0030286B">
            <w:pPr>
              <w:pStyle w:val="TableParagraph"/>
              <w:spacing w:before="46" w:line="230" w:lineRule="auto"/>
              <w:ind w:right="218"/>
              <w:rPr>
                <w:sz w:val="21"/>
              </w:rPr>
            </w:pPr>
            <w:proofErr w:type="gramStart"/>
            <w:r>
              <w:rPr>
                <w:color w:val="B02045"/>
                <w:sz w:val="21"/>
              </w:rPr>
              <w:t>spring.mvc.message</w:t>
            </w:r>
            <w:proofErr w:type="gramEnd"/>
            <w:r>
              <w:rPr>
                <w:color w:val="B02045"/>
                <w:sz w:val="21"/>
              </w:rPr>
              <w:t>- codes-resolver-format</w:t>
            </w:r>
          </w:p>
        </w:tc>
        <w:tc>
          <w:tcPr>
            <w:tcW w:w="2494" w:type="dxa"/>
          </w:tcPr>
          <w:p w14:paraId="3281D2A9" w14:textId="77777777" w:rsidR="00A720EB" w:rsidRDefault="00A720EB">
            <w:pPr>
              <w:pStyle w:val="TableParagraph"/>
              <w:spacing w:before="0"/>
              <w:ind w:left="0"/>
              <w:rPr>
                <w:rFonts w:ascii="Times New Roman"/>
                <w:sz w:val="20"/>
              </w:rPr>
            </w:pPr>
          </w:p>
        </w:tc>
        <w:tc>
          <w:tcPr>
            <w:tcW w:w="4988" w:type="dxa"/>
          </w:tcPr>
          <w:p w14:paraId="397B7549" w14:textId="77777777" w:rsidR="00A720EB" w:rsidRDefault="0030286B">
            <w:pPr>
              <w:pStyle w:val="TableParagraph"/>
              <w:spacing w:before="28" w:line="310" w:lineRule="atLeast"/>
              <w:ind w:right="640"/>
              <w:rPr>
                <w:rFonts w:ascii="Cambria"/>
                <w:sz w:val="21"/>
              </w:rPr>
            </w:pPr>
            <w:r>
              <w:rPr>
                <w:rFonts w:ascii="Cambria"/>
                <w:color w:val="333333"/>
                <w:w w:val="110"/>
                <w:sz w:val="21"/>
              </w:rPr>
              <w:t>Formatting strategy for message codes. For instance, `PREFIX_ERROR_CODE`.</w:t>
            </w:r>
          </w:p>
        </w:tc>
      </w:tr>
      <w:tr w:rsidR="00A720EB" w14:paraId="2C9E9BFC" w14:textId="77777777">
        <w:trPr>
          <w:trHeight w:val="1056"/>
        </w:trPr>
        <w:tc>
          <w:tcPr>
            <w:tcW w:w="2494" w:type="dxa"/>
          </w:tcPr>
          <w:p w14:paraId="0D69B5D4" w14:textId="77777777" w:rsidR="00A720EB" w:rsidRDefault="0030286B">
            <w:pPr>
              <w:pStyle w:val="TableParagraph"/>
              <w:spacing w:before="46" w:line="230" w:lineRule="auto"/>
              <w:ind w:right="113"/>
              <w:rPr>
                <w:sz w:val="21"/>
              </w:rPr>
            </w:pPr>
            <w:proofErr w:type="gramStart"/>
            <w:r>
              <w:rPr>
                <w:color w:val="B02045"/>
                <w:sz w:val="21"/>
              </w:rPr>
              <w:t>spring.mvc.publish</w:t>
            </w:r>
            <w:proofErr w:type="gramEnd"/>
            <w:r>
              <w:rPr>
                <w:color w:val="B02045"/>
                <w:sz w:val="21"/>
              </w:rPr>
              <w:t>- request-handled-events</w:t>
            </w:r>
          </w:p>
        </w:tc>
        <w:tc>
          <w:tcPr>
            <w:tcW w:w="2494" w:type="dxa"/>
          </w:tcPr>
          <w:p w14:paraId="2B714A80" w14:textId="77777777" w:rsidR="00A720EB" w:rsidRDefault="0030286B">
            <w:pPr>
              <w:pStyle w:val="TableParagraph"/>
              <w:rPr>
                <w:sz w:val="21"/>
              </w:rPr>
            </w:pPr>
            <w:r>
              <w:rPr>
                <w:color w:val="B02045"/>
                <w:sz w:val="21"/>
              </w:rPr>
              <w:t>true</w:t>
            </w:r>
          </w:p>
        </w:tc>
        <w:tc>
          <w:tcPr>
            <w:tcW w:w="4988" w:type="dxa"/>
          </w:tcPr>
          <w:p w14:paraId="3443EB17" w14:textId="77777777" w:rsidR="00A720EB" w:rsidRDefault="0030286B">
            <w:pPr>
              <w:pStyle w:val="TableParagraph"/>
              <w:spacing w:before="28" w:line="310" w:lineRule="atLeast"/>
              <w:rPr>
                <w:rFonts w:ascii="Cambria"/>
                <w:sz w:val="21"/>
              </w:rPr>
            </w:pPr>
            <w:r>
              <w:rPr>
                <w:rFonts w:ascii="Cambria"/>
                <w:color w:val="333333"/>
                <w:w w:val="110"/>
                <w:sz w:val="21"/>
              </w:rPr>
              <w:t>Whether to publish a ServletRequestHandledEvent at the end of each request.</w:t>
            </w:r>
          </w:p>
        </w:tc>
      </w:tr>
      <w:tr w:rsidR="00A720EB" w14:paraId="5274689C" w14:textId="77777777">
        <w:trPr>
          <w:trHeight w:val="741"/>
        </w:trPr>
        <w:tc>
          <w:tcPr>
            <w:tcW w:w="2494" w:type="dxa"/>
          </w:tcPr>
          <w:p w14:paraId="5BD2E916" w14:textId="77777777" w:rsidR="00A720EB" w:rsidRDefault="0030286B">
            <w:pPr>
              <w:pStyle w:val="TableParagraph"/>
              <w:spacing w:before="46" w:line="230" w:lineRule="auto"/>
              <w:ind w:right="113"/>
              <w:rPr>
                <w:sz w:val="21"/>
              </w:rPr>
            </w:pPr>
            <w:r>
              <w:rPr>
                <w:color w:val="B02045"/>
                <w:sz w:val="21"/>
              </w:rPr>
              <w:t>spring.mvc.servlet.loa d-on-startup</w:t>
            </w:r>
          </w:p>
        </w:tc>
        <w:tc>
          <w:tcPr>
            <w:tcW w:w="2494" w:type="dxa"/>
          </w:tcPr>
          <w:p w14:paraId="4544E954" w14:textId="77777777" w:rsidR="00A720EB" w:rsidRDefault="0030286B">
            <w:pPr>
              <w:pStyle w:val="TableParagraph"/>
              <w:rPr>
                <w:sz w:val="21"/>
              </w:rPr>
            </w:pPr>
            <w:r>
              <w:rPr>
                <w:color w:val="B02045"/>
                <w:sz w:val="21"/>
              </w:rPr>
              <w:t>-1.0</w:t>
            </w:r>
          </w:p>
        </w:tc>
        <w:tc>
          <w:tcPr>
            <w:tcW w:w="4988" w:type="dxa"/>
          </w:tcPr>
          <w:p w14:paraId="7FB80A69" w14:textId="77777777" w:rsidR="00A720EB" w:rsidRDefault="0030286B">
            <w:pPr>
              <w:pStyle w:val="TableParagraph"/>
              <w:spacing w:before="28" w:line="310" w:lineRule="atLeast"/>
              <w:ind w:right="372"/>
              <w:rPr>
                <w:rFonts w:ascii="Cambria"/>
                <w:sz w:val="21"/>
              </w:rPr>
            </w:pPr>
            <w:r>
              <w:rPr>
                <w:rFonts w:ascii="Cambria"/>
                <w:color w:val="333333"/>
                <w:w w:val="110"/>
                <w:sz w:val="21"/>
              </w:rPr>
              <w:t>Load on startup priority of the dispatcher servlet.</w:t>
            </w:r>
          </w:p>
        </w:tc>
      </w:tr>
      <w:tr w:rsidR="00A720EB" w14:paraId="1EFE65EA" w14:textId="77777777">
        <w:trPr>
          <w:trHeight w:val="627"/>
        </w:trPr>
        <w:tc>
          <w:tcPr>
            <w:tcW w:w="2494" w:type="dxa"/>
          </w:tcPr>
          <w:p w14:paraId="56DE1C49" w14:textId="77777777" w:rsidR="00A720EB" w:rsidRDefault="0030286B">
            <w:pPr>
              <w:pStyle w:val="TableParagraph"/>
              <w:spacing w:before="46" w:line="230" w:lineRule="auto"/>
              <w:ind w:right="94"/>
              <w:rPr>
                <w:sz w:val="21"/>
              </w:rPr>
            </w:pPr>
            <w:r>
              <w:rPr>
                <w:color w:val="B02045"/>
                <w:sz w:val="21"/>
              </w:rPr>
              <w:t>spring.mvc.servlet.pat h</w:t>
            </w:r>
          </w:p>
        </w:tc>
        <w:tc>
          <w:tcPr>
            <w:tcW w:w="2494" w:type="dxa"/>
          </w:tcPr>
          <w:p w14:paraId="21F000C7" w14:textId="77777777" w:rsidR="00A720EB" w:rsidRDefault="0030286B">
            <w:pPr>
              <w:pStyle w:val="TableParagraph"/>
              <w:rPr>
                <w:sz w:val="21"/>
              </w:rPr>
            </w:pPr>
            <w:r>
              <w:rPr>
                <w:color w:val="B02045"/>
                <w:sz w:val="21"/>
              </w:rPr>
              <w:t>/</w:t>
            </w:r>
          </w:p>
        </w:tc>
        <w:tc>
          <w:tcPr>
            <w:tcW w:w="4988" w:type="dxa"/>
          </w:tcPr>
          <w:p w14:paraId="0F5A871F" w14:textId="77777777" w:rsidR="00A720EB" w:rsidRDefault="0030286B">
            <w:pPr>
              <w:pStyle w:val="TableParagraph"/>
              <w:spacing w:before="92"/>
              <w:rPr>
                <w:rFonts w:ascii="Cambria"/>
                <w:sz w:val="21"/>
              </w:rPr>
            </w:pPr>
            <w:r>
              <w:rPr>
                <w:rFonts w:ascii="Cambria"/>
                <w:color w:val="333333"/>
                <w:w w:val="110"/>
                <w:sz w:val="21"/>
              </w:rPr>
              <w:t>Path of the dispatcher servlet.</w:t>
            </w:r>
          </w:p>
        </w:tc>
      </w:tr>
      <w:tr w:rsidR="00A720EB" w14:paraId="167D2CB4" w14:textId="77777777">
        <w:trPr>
          <w:trHeight w:val="627"/>
        </w:trPr>
        <w:tc>
          <w:tcPr>
            <w:tcW w:w="2494" w:type="dxa"/>
          </w:tcPr>
          <w:p w14:paraId="20987795" w14:textId="77777777" w:rsidR="00A720EB" w:rsidRDefault="0030286B">
            <w:pPr>
              <w:pStyle w:val="TableParagraph"/>
              <w:spacing w:before="46" w:line="230" w:lineRule="auto"/>
              <w:ind w:right="533"/>
              <w:rPr>
                <w:sz w:val="21"/>
              </w:rPr>
            </w:pPr>
            <w:proofErr w:type="gramStart"/>
            <w:r>
              <w:rPr>
                <w:color w:val="B02045"/>
                <w:sz w:val="21"/>
              </w:rPr>
              <w:t>spring.mvc.static</w:t>
            </w:r>
            <w:proofErr w:type="gramEnd"/>
            <w:r>
              <w:rPr>
                <w:color w:val="B02045"/>
                <w:sz w:val="21"/>
              </w:rPr>
              <w:t>- path-pattern</w:t>
            </w:r>
          </w:p>
        </w:tc>
        <w:tc>
          <w:tcPr>
            <w:tcW w:w="2494" w:type="dxa"/>
          </w:tcPr>
          <w:p w14:paraId="1430641A" w14:textId="77777777" w:rsidR="00A720EB" w:rsidRDefault="0030286B">
            <w:pPr>
              <w:pStyle w:val="TableParagraph"/>
              <w:spacing w:before="37"/>
              <w:rPr>
                <w:sz w:val="21"/>
              </w:rPr>
            </w:pPr>
            <w:r>
              <w:rPr>
                <w:color w:val="B02045"/>
                <w:sz w:val="21"/>
              </w:rPr>
              <w:t>/**</w:t>
            </w:r>
          </w:p>
        </w:tc>
        <w:tc>
          <w:tcPr>
            <w:tcW w:w="4988" w:type="dxa"/>
          </w:tcPr>
          <w:p w14:paraId="1F7CEC2D" w14:textId="77777777" w:rsidR="00A720EB" w:rsidRDefault="0030286B">
            <w:pPr>
              <w:pStyle w:val="TableParagraph"/>
              <w:spacing w:before="92"/>
              <w:rPr>
                <w:rFonts w:ascii="Cambria"/>
                <w:sz w:val="21"/>
              </w:rPr>
            </w:pPr>
            <w:r>
              <w:rPr>
                <w:rFonts w:ascii="Cambria"/>
                <w:color w:val="333333"/>
                <w:w w:val="110"/>
                <w:sz w:val="21"/>
              </w:rPr>
              <w:t>Path pattern used for static resources.</w:t>
            </w:r>
          </w:p>
        </w:tc>
      </w:tr>
      <w:tr w:rsidR="00A720EB" w14:paraId="6269FE6C" w14:textId="77777777">
        <w:trPr>
          <w:trHeight w:val="1056"/>
        </w:trPr>
        <w:tc>
          <w:tcPr>
            <w:tcW w:w="2494" w:type="dxa"/>
          </w:tcPr>
          <w:p w14:paraId="5B28AB43" w14:textId="77777777" w:rsidR="00A720EB" w:rsidRDefault="0030286B">
            <w:pPr>
              <w:pStyle w:val="TableParagraph"/>
              <w:spacing w:before="46" w:line="230" w:lineRule="auto"/>
              <w:ind w:right="638"/>
              <w:rPr>
                <w:sz w:val="21"/>
              </w:rPr>
            </w:pPr>
            <w:proofErr w:type="gramStart"/>
            <w:r>
              <w:rPr>
                <w:color w:val="B02045"/>
                <w:sz w:val="21"/>
              </w:rPr>
              <w:t>spring.mvc.throw</w:t>
            </w:r>
            <w:proofErr w:type="gramEnd"/>
            <w:r>
              <w:rPr>
                <w:color w:val="B02045"/>
                <w:sz w:val="21"/>
              </w:rPr>
              <w:t>- exception-if-no- handler-found</w:t>
            </w:r>
          </w:p>
        </w:tc>
        <w:tc>
          <w:tcPr>
            <w:tcW w:w="2494" w:type="dxa"/>
          </w:tcPr>
          <w:p w14:paraId="423F1A2F" w14:textId="77777777" w:rsidR="00A720EB" w:rsidRDefault="0030286B">
            <w:pPr>
              <w:pStyle w:val="TableParagraph"/>
              <w:spacing w:before="37"/>
              <w:rPr>
                <w:sz w:val="21"/>
              </w:rPr>
            </w:pPr>
            <w:r>
              <w:rPr>
                <w:color w:val="B02045"/>
                <w:sz w:val="21"/>
              </w:rPr>
              <w:t>false</w:t>
            </w:r>
          </w:p>
        </w:tc>
        <w:tc>
          <w:tcPr>
            <w:tcW w:w="4988" w:type="dxa"/>
          </w:tcPr>
          <w:p w14:paraId="09DC45AF" w14:textId="77777777" w:rsidR="00A720EB" w:rsidRDefault="0030286B">
            <w:pPr>
              <w:pStyle w:val="TableParagraph"/>
              <w:spacing w:before="28" w:line="310" w:lineRule="atLeast"/>
              <w:ind w:right="164"/>
              <w:jc w:val="both"/>
              <w:rPr>
                <w:rFonts w:ascii="Cambria"/>
                <w:sz w:val="21"/>
              </w:rPr>
            </w:pPr>
            <w:r>
              <w:rPr>
                <w:rFonts w:ascii="Cambria"/>
                <w:color w:val="333333"/>
                <w:w w:val="110"/>
                <w:sz w:val="21"/>
              </w:rPr>
              <w:t>Whether a "NoHandlerFoundException" should be thrown if no Handler was found to process a request.</w:t>
            </w:r>
          </w:p>
        </w:tc>
      </w:tr>
      <w:tr w:rsidR="00A720EB" w14:paraId="3F582728" w14:textId="77777777">
        <w:trPr>
          <w:trHeight w:val="425"/>
        </w:trPr>
        <w:tc>
          <w:tcPr>
            <w:tcW w:w="2494" w:type="dxa"/>
          </w:tcPr>
          <w:p w14:paraId="175269C0" w14:textId="77777777" w:rsidR="00A720EB" w:rsidRDefault="0030286B">
            <w:pPr>
              <w:pStyle w:val="TableParagraph"/>
              <w:spacing w:before="37"/>
              <w:rPr>
                <w:sz w:val="21"/>
              </w:rPr>
            </w:pPr>
            <w:proofErr w:type="gramStart"/>
            <w:r>
              <w:rPr>
                <w:color w:val="B02045"/>
                <w:sz w:val="21"/>
              </w:rPr>
              <w:t>spring.mvc.view</w:t>
            </w:r>
            <w:proofErr w:type="gramEnd"/>
            <w:r>
              <w:rPr>
                <w:color w:val="B02045"/>
                <w:sz w:val="21"/>
              </w:rPr>
              <w:t>.prefix</w:t>
            </w:r>
          </w:p>
        </w:tc>
        <w:tc>
          <w:tcPr>
            <w:tcW w:w="2494" w:type="dxa"/>
          </w:tcPr>
          <w:p w14:paraId="4FAFAF89" w14:textId="77777777" w:rsidR="00A720EB" w:rsidRDefault="00A720EB">
            <w:pPr>
              <w:pStyle w:val="TableParagraph"/>
              <w:spacing w:before="0"/>
              <w:ind w:left="0"/>
              <w:rPr>
                <w:rFonts w:ascii="Times New Roman"/>
                <w:sz w:val="20"/>
              </w:rPr>
            </w:pPr>
          </w:p>
        </w:tc>
        <w:tc>
          <w:tcPr>
            <w:tcW w:w="4988" w:type="dxa"/>
          </w:tcPr>
          <w:p w14:paraId="21EDEADF" w14:textId="77777777" w:rsidR="00A720EB" w:rsidRDefault="0030286B">
            <w:pPr>
              <w:pStyle w:val="TableParagraph"/>
              <w:spacing w:before="92"/>
              <w:rPr>
                <w:rFonts w:ascii="Cambria"/>
                <w:sz w:val="21"/>
              </w:rPr>
            </w:pPr>
            <w:r>
              <w:rPr>
                <w:rFonts w:ascii="Cambria"/>
                <w:color w:val="333333"/>
                <w:w w:val="115"/>
                <w:sz w:val="21"/>
              </w:rPr>
              <w:t>Spring MVC view prefix.</w:t>
            </w:r>
          </w:p>
        </w:tc>
      </w:tr>
      <w:tr w:rsidR="00A720EB" w14:paraId="2063FF97" w14:textId="77777777">
        <w:trPr>
          <w:trHeight w:val="425"/>
        </w:trPr>
        <w:tc>
          <w:tcPr>
            <w:tcW w:w="2494" w:type="dxa"/>
          </w:tcPr>
          <w:p w14:paraId="33E30193" w14:textId="77777777" w:rsidR="00A720EB" w:rsidRDefault="0030286B">
            <w:pPr>
              <w:pStyle w:val="TableParagraph"/>
              <w:spacing w:before="37"/>
              <w:rPr>
                <w:sz w:val="21"/>
              </w:rPr>
            </w:pPr>
            <w:proofErr w:type="gramStart"/>
            <w:r>
              <w:rPr>
                <w:color w:val="B02045"/>
                <w:sz w:val="21"/>
              </w:rPr>
              <w:t>spring.mvc.view</w:t>
            </w:r>
            <w:proofErr w:type="gramEnd"/>
            <w:r>
              <w:rPr>
                <w:color w:val="B02045"/>
                <w:sz w:val="21"/>
              </w:rPr>
              <w:t>.suffix</w:t>
            </w:r>
          </w:p>
        </w:tc>
        <w:tc>
          <w:tcPr>
            <w:tcW w:w="2494" w:type="dxa"/>
          </w:tcPr>
          <w:p w14:paraId="26C0284A" w14:textId="77777777" w:rsidR="00A720EB" w:rsidRDefault="00A720EB">
            <w:pPr>
              <w:pStyle w:val="TableParagraph"/>
              <w:spacing w:before="0"/>
              <w:ind w:left="0"/>
              <w:rPr>
                <w:rFonts w:ascii="Times New Roman"/>
                <w:sz w:val="20"/>
              </w:rPr>
            </w:pPr>
          </w:p>
        </w:tc>
        <w:tc>
          <w:tcPr>
            <w:tcW w:w="4988" w:type="dxa"/>
          </w:tcPr>
          <w:p w14:paraId="34D66817" w14:textId="77777777" w:rsidR="00A720EB" w:rsidRDefault="0030286B">
            <w:pPr>
              <w:pStyle w:val="TableParagraph"/>
              <w:spacing w:before="92"/>
              <w:rPr>
                <w:rFonts w:ascii="Cambria"/>
                <w:sz w:val="21"/>
              </w:rPr>
            </w:pPr>
            <w:r>
              <w:rPr>
                <w:rFonts w:ascii="Cambria"/>
                <w:color w:val="333333"/>
                <w:w w:val="115"/>
                <w:sz w:val="21"/>
              </w:rPr>
              <w:t>Spring MVC view suffix.</w:t>
            </w:r>
          </w:p>
        </w:tc>
      </w:tr>
      <w:tr w:rsidR="00A720EB" w14:paraId="06A18F0C" w14:textId="77777777">
        <w:trPr>
          <w:trHeight w:val="627"/>
        </w:trPr>
        <w:tc>
          <w:tcPr>
            <w:tcW w:w="2494" w:type="dxa"/>
          </w:tcPr>
          <w:p w14:paraId="37511767" w14:textId="77777777" w:rsidR="00A720EB" w:rsidRDefault="0030286B">
            <w:pPr>
              <w:pStyle w:val="TableParagraph"/>
              <w:spacing w:before="46" w:line="230" w:lineRule="auto"/>
              <w:ind w:right="199"/>
              <w:rPr>
                <w:sz w:val="21"/>
              </w:rPr>
            </w:pPr>
            <w:r>
              <w:rPr>
                <w:color w:val="B02045"/>
                <w:sz w:val="21"/>
              </w:rPr>
              <w:t>spring.resources.add- mappings</w:t>
            </w:r>
          </w:p>
        </w:tc>
        <w:tc>
          <w:tcPr>
            <w:tcW w:w="2494" w:type="dxa"/>
          </w:tcPr>
          <w:p w14:paraId="3CFB9233" w14:textId="77777777" w:rsidR="00A720EB" w:rsidRDefault="0030286B">
            <w:pPr>
              <w:pStyle w:val="TableParagraph"/>
              <w:spacing w:before="37"/>
              <w:rPr>
                <w:sz w:val="21"/>
              </w:rPr>
            </w:pPr>
            <w:r>
              <w:rPr>
                <w:color w:val="B02045"/>
                <w:sz w:val="21"/>
              </w:rPr>
              <w:t>true</w:t>
            </w:r>
          </w:p>
        </w:tc>
        <w:tc>
          <w:tcPr>
            <w:tcW w:w="4988" w:type="dxa"/>
          </w:tcPr>
          <w:p w14:paraId="1A2488D2" w14:textId="77777777" w:rsidR="00A720EB" w:rsidRDefault="0030286B">
            <w:pPr>
              <w:pStyle w:val="TableParagraph"/>
              <w:spacing w:before="92"/>
              <w:rPr>
                <w:rFonts w:ascii="Cambria"/>
                <w:sz w:val="21"/>
              </w:rPr>
            </w:pPr>
            <w:r>
              <w:rPr>
                <w:rFonts w:ascii="Cambria"/>
                <w:color w:val="333333"/>
                <w:w w:val="110"/>
                <w:sz w:val="21"/>
              </w:rPr>
              <w:t>Whether to enable default resource handling.</w:t>
            </w:r>
          </w:p>
        </w:tc>
      </w:tr>
      <w:tr w:rsidR="00A720EB" w14:paraId="68100E22" w14:textId="77777777">
        <w:trPr>
          <w:trHeight w:val="1056"/>
        </w:trPr>
        <w:tc>
          <w:tcPr>
            <w:tcW w:w="2494" w:type="dxa"/>
          </w:tcPr>
          <w:p w14:paraId="7EF98005"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resources.cache</w:t>
            </w:r>
            <w:proofErr w:type="gramEnd"/>
          </w:p>
          <w:p w14:paraId="44B136A7" w14:textId="77777777" w:rsidR="00A720EB" w:rsidRDefault="0030286B">
            <w:pPr>
              <w:pStyle w:val="TableParagraph"/>
              <w:spacing w:before="4" w:line="230" w:lineRule="auto"/>
              <w:ind w:right="304"/>
              <w:rPr>
                <w:sz w:val="21"/>
              </w:rPr>
            </w:pPr>
            <w:proofErr w:type="gramStart"/>
            <w:r>
              <w:rPr>
                <w:color w:val="B02045"/>
                <w:sz w:val="21"/>
              </w:rPr>
              <w:t>.cachecontrol</w:t>
            </w:r>
            <w:proofErr w:type="gramEnd"/>
            <w:r>
              <w:rPr>
                <w:color w:val="B02045"/>
                <w:sz w:val="21"/>
              </w:rPr>
              <w:t>.cache- private</w:t>
            </w:r>
          </w:p>
        </w:tc>
        <w:tc>
          <w:tcPr>
            <w:tcW w:w="2494" w:type="dxa"/>
          </w:tcPr>
          <w:p w14:paraId="5D8A81CD" w14:textId="77777777" w:rsidR="00A720EB" w:rsidRDefault="00A720EB">
            <w:pPr>
              <w:pStyle w:val="TableParagraph"/>
              <w:spacing w:before="0"/>
              <w:ind w:left="0"/>
              <w:rPr>
                <w:rFonts w:ascii="Times New Roman"/>
                <w:sz w:val="20"/>
              </w:rPr>
            </w:pPr>
          </w:p>
        </w:tc>
        <w:tc>
          <w:tcPr>
            <w:tcW w:w="4988" w:type="dxa"/>
          </w:tcPr>
          <w:p w14:paraId="25A28D36" w14:textId="77777777" w:rsidR="00A720EB" w:rsidRDefault="0030286B">
            <w:pPr>
              <w:pStyle w:val="TableParagraph"/>
              <w:spacing w:before="28" w:line="310" w:lineRule="atLeast"/>
              <w:ind w:right="218"/>
              <w:rPr>
                <w:rFonts w:ascii="Cambria"/>
                <w:sz w:val="21"/>
              </w:rPr>
            </w:pPr>
            <w:r>
              <w:rPr>
                <w:rFonts w:ascii="Cambria"/>
                <w:color w:val="333333"/>
                <w:w w:val="110"/>
                <w:sz w:val="21"/>
              </w:rPr>
              <w:t>Indicate that the response message is intended for a single user and must not be stored by a shared cache.</w:t>
            </w:r>
          </w:p>
        </w:tc>
      </w:tr>
      <w:tr w:rsidR="00A720EB" w14:paraId="3D0864B0" w14:textId="77777777">
        <w:trPr>
          <w:trHeight w:val="886"/>
        </w:trPr>
        <w:tc>
          <w:tcPr>
            <w:tcW w:w="2494" w:type="dxa"/>
          </w:tcPr>
          <w:p w14:paraId="4AFB0D10"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resources.cache</w:t>
            </w:r>
            <w:proofErr w:type="gramEnd"/>
          </w:p>
          <w:p w14:paraId="1C30E912" w14:textId="77777777" w:rsidR="00A720EB" w:rsidRDefault="0030286B">
            <w:pPr>
              <w:pStyle w:val="TableParagraph"/>
              <w:spacing w:before="3" w:line="230" w:lineRule="auto"/>
              <w:ind w:right="304"/>
              <w:rPr>
                <w:sz w:val="21"/>
              </w:rPr>
            </w:pPr>
            <w:proofErr w:type="gramStart"/>
            <w:r>
              <w:rPr>
                <w:color w:val="B02045"/>
                <w:sz w:val="21"/>
              </w:rPr>
              <w:t>.cachecontrol</w:t>
            </w:r>
            <w:proofErr w:type="gramEnd"/>
            <w:r>
              <w:rPr>
                <w:color w:val="B02045"/>
                <w:sz w:val="21"/>
              </w:rPr>
              <w:t>.cache- public</w:t>
            </w:r>
          </w:p>
        </w:tc>
        <w:tc>
          <w:tcPr>
            <w:tcW w:w="2494" w:type="dxa"/>
          </w:tcPr>
          <w:p w14:paraId="1B6A0B3E" w14:textId="77777777" w:rsidR="00A720EB" w:rsidRDefault="00A720EB">
            <w:pPr>
              <w:pStyle w:val="TableParagraph"/>
              <w:spacing w:before="0"/>
              <w:ind w:left="0"/>
              <w:rPr>
                <w:rFonts w:ascii="Times New Roman"/>
                <w:sz w:val="20"/>
              </w:rPr>
            </w:pPr>
          </w:p>
        </w:tc>
        <w:tc>
          <w:tcPr>
            <w:tcW w:w="4988" w:type="dxa"/>
          </w:tcPr>
          <w:p w14:paraId="4E3E09BD" w14:textId="77777777" w:rsidR="00A720EB" w:rsidRDefault="0030286B">
            <w:pPr>
              <w:pStyle w:val="TableParagraph"/>
              <w:spacing w:before="92"/>
              <w:rPr>
                <w:rFonts w:ascii="Cambria"/>
                <w:sz w:val="21"/>
              </w:rPr>
            </w:pPr>
            <w:r>
              <w:rPr>
                <w:rFonts w:ascii="Cambria"/>
                <w:color w:val="333333"/>
                <w:w w:val="110"/>
                <w:sz w:val="21"/>
              </w:rPr>
              <w:t>Indicate that any cache may store the response.</w:t>
            </w:r>
          </w:p>
        </w:tc>
      </w:tr>
      <w:tr w:rsidR="00A720EB" w14:paraId="5A386E94" w14:textId="77777777">
        <w:trPr>
          <w:trHeight w:val="741"/>
        </w:trPr>
        <w:tc>
          <w:tcPr>
            <w:tcW w:w="2494" w:type="dxa"/>
          </w:tcPr>
          <w:p w14:paraId="060B834A"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resources.cache</w:t>
            </w:r>
            <w:proofErr w:type="gramEnd"/>
          </w:p>
          <w:p w14:paraId="02B86F13" w14:textId="77777777" w:rsidR="00A720EB" w:rsidRDefault="0030286B">
            <w:pPr>
              <w:pStyle w:val="TableParagraph"/>
              <w:spacing w:before="0" w:line="264" w:lineRule="exact"/>
              <w:rPr>
                <w:sz w:val="21"/>
              </w:rPr>
            </w:pPr>
            <w:proofErr w:type="gramStart"/>
            <w:r>
              <w:rPr>
                <w:color w:val="B02045"/>
                <w:sz w:val="21"/>
              </w:rPr>
              <w:t>.cachecontrol.max</w:t>
            </w:r>
            <w:proofErr w:type="gramEnd"/>
            <w:r>
              <w:rPr>
                <w:color w:val="B02045"/>
                <w:sz w:val="21"/>
              </w:rPr>
              <w:t>-age</w:t>
            </w:r>
          </w:p>
        </w:tc>
        <w:tc>
          <w:tcPr>
            <w:tcW w:w="2494" w:type="dxa"/>
          </w:tcPr>
          <w:p w14:paraId="7889E06D" w14:textId="77777777" w:rsidR="00A720EB" w:rsidRDefault="00A720EB">
            <w:pPr>
              <w:pStyle w:val="TableParagraph"/>
              <w:spacing w:before="0"/>
              <w:ind w:left="0"/>
              <w:rPr>
                <w:rFonts w:ascii="Times New Roman"/>
                <w:sz w:val="20"/>
              </w:rPr>
            </w:pPr>
          </w:p>
        </w:tc>
        <w:tc>
          <w:tcPr>
            <w:tcW w:w="4988" w:type="dxa"/>
          </w:tcPr>
          <w:p w14:paraId="5C739C1A" w14:textId="77777777" w:rsidR="00A720EB" w:rsidRDefault="0030286B">
            <w:pPr>
              <w:pStyle w:val="TableParagraph"/>
              <w:spacing w:before="28" w:line="310" w:lineRule="atLeast"/>
              <w:ind w:right="218"/>
              <w:rPr>
                <w:rFonts w:ascii="Cambria"/>
                <w:sz w:val="21"/>
              </w:rPr>
            </w:pPr>
            <w:r>
              <w:rPr>
                <w:rFonts w:ascii="Cambria"/>
                <w:color w:val="333333"/>
                <w:w w:val="110"/>
                <w:sz w:val="21"/>
              </w:rPr>
              <w:t>Maximum time the response should be cached, in seconds if no duration suffix is not specified.</w:t>
            </w:r>
          </w:p>
        </w:tc>
      </w:tr>
      <w:tr w:rsidR="00A720EB" w14:paraId="38926379" w14:textId="77777777">
        <w:trPr>
          <w:trHeight w:val="1056"/>
        </w:trPr>
        <w:tc>
          <w:tcPr>
            <w:tcW w:w="2494" w:type="dxa"/>
          </w:tcPr>
          <w:p w14:paraId="41F71B80" w14:textId="77777777" w:rsidR="00A720EB" w:rsidRDefault="0030286B">
            <w:pPr>
              <w:pStyle w:val="TableParagraph"/>
              <w:spacing w:line="264" w:lineRule="exact"/>
              <w:rPr>
                <w:sz w:val="21"/>
              </w:rPr>
            </w:pPr>
            <w:r>
              <w:rPr>
                <w:color w:val="B02045"/>
                <w:sz w:val="21"/>
              </w:rPr>
              <w:lastRenderedPageBreak/>
              <w:t>spring.</w:t>
            </w:r>
            <w:proofErr w:type="gramStart"/>
            <w:r>
              <w:rPr>
                <w:color w:val="B02045"/>
                <w:sz w:val="21"/>
              </w:rPr>
              <w:t>resources.cache</w:t>
            </w:r>
            <w:proofErr w:type="gramEnd"/>
          </w:p>
          <w:p w14:paraId="3FE6E161" w14:textId="77777777" w:rsidR="00A720EB" w:rsidRDefault="0030286B">
            <w:pPr>
              <w:pStyle w:val="TableParagraph"/>
              <w:spacing w:before="3" w:line="230" w:lineRule="auto"/>
              <w:ind w:right="409"/>
              <w:rPr>
                <w:sz w:val="21"/>
              </w:rPr>
            </w:pPr>
            <w:proofErr w:type="gramStart"/>
            <w:r>
              <w:rPr>
                <w:color w:val="B02045"/>
                <w:sz w:val="21"/>
              </w:rPr>
              <w:t>.cachecontrol</w:t>
            </w:r>
            <w:proofErr w:type="gramEnd"/>
            <w:r>
              <w:rPr>
                <w:color w:val="B02045"/>
                <w:sz w:val="21"/>
              </w:rPr>
              <w:t>.must- revalidate</w:t>
            </w:r>
          </w:p>
        </w:tc>
        <w:tc>
          <w:tcPr>
            <w:tcW w:w="2494" w:type="dxa"/>
          </w:tcPr>
          <w:p w14:paraId="176124F3" w14:textId="77777777" w:rsidR="00A720EB" w:rsidRDefault="00A720EB">
            <w:pPr>
              <w:pStyle w:val="TableParagraph"/>
              <w:spacing w:before="0"/>
              <w:ind w:left="0"/>
              <w:rPr>
                <w:rFonts w:ascii="Times New Roman"/>
                <w:sz w:val="20"/>
              </w:rPr>
            </w:pPr>
          </w:p>
        </w:tc>
        <w:tc>
          <w:tcPr>
            <w:tcW w:w="4988" w:type="dxa"/>
          </w:tcPr>
          <w:p w14:paraId="04D34889" w14:textId="77777777" w:rsidR="00A720EB" w:rsidRDefault="0030286B">
            <w:pPr>
              <w:pStyle w:val="TableParagraph"/>
              <w:spacing w:before="28" w:line="310" w:lineRule="atLeast"/>
              <w:ind w:right="73"/>
              <w:rPr>
                <w:rFonts w:ascii="Cambria"/>
                <w:sz w:val="21"/>
              </w:rPr>
            </w:pPr>
            <w:r>
              <w:rPr>
                <w:rFonts w:ascii="Cambria"/>
                <w:color w:val="333333"/>
                <w:w w:val="110"/>
                <w:sz w:val="21"/>
              </w:rPr>
              <w:t>Indicate that once it has become stale, a cache must not use the response without re-validating it with the server.</w:t>
            </w:r>
          </w:p>
        </w:tc>
      </w:tr>
    </w:tbl>
    <w:p w14:paraId="62FED92B"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AC8E30D" w14:textId="77777777">
        <w:trPr>
          <w:trHeight w:val="415"/>
        </w:trPr>
        <w:tc>
          <w:tcPr>
            <w:tcW w:w="2494" w:type="dxa"/>
            <w:tcBorders>
              <w:bottom w:val="single" w:sz="12" w:space="0" w:color="DDDDDD"/>
            </w:tcBorders>
          </w:tcPr>
          <w:p w14:paraId="65DE3A0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9645471"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908343D"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0E4D7C4" w14:textId="77777777">
        <w:trPr>
          <w:trHeight w:val="731"/>
        </w:trPr>
        <w:tc>
          <w:tcPr>
            <w:tcW w:w="2494" w:type="dxa"/>
            <w:tcBorders>
              <w:top w:val="single" w:sz="12" w:space="0" w:color="DDDDDD"/>
            </w:tcBorders>
          </w:tcPr>
          <w:p w14:paraId="57BB29DC" w14:textId="77777777" w:rsidR="00A720EB" w:rsidRDefault="0030286B">
            <w:pPr>
              <w:pStyle w:val="TableParagraph"/>
              <w:spacing w:before="27" w:line="264" w:lineRule="exact"/>
              <w:rPr>
                <w:sz w:val="21"/>
              </w:rPr>
            </w:pPr>
            <w:r>
              <w:rPr>
                <w:color w:val="B02045"/>
                <w:sz w:val="21"/>
              </w:rPr>
              <w:t>spring.</w:t>
            </w:r>
            <w:proofErr w:type="gramStart"/>
            <w:r>
              <w:rPr>
                <w:color w:val="B02045"/>
                <w:sz w:val="21"/>
              </w:rPr>
              <w:t>resources.cache</w:t>
            </w:r>
            <w:proofErr w:type="gramEnd"/>
          </w:p>
          <w:p w14:paraId="4241C958" w14:textId="77777777" w:rsidR="00A720EB" w:rsidRDefault="0030286B">
            <w:pPr>
              <w:pStyle w:val="TableParagraph"/>
              <w:spacing w:before="0" w:line="264" w:lineRule="exact"/>
              <w:rPr>
                <w:sz w:val="21"/>
              </w:rPr>
            </w:pPr>
            <w:proofErr w:type="gramStart"/>
            <w:r>
              <w:rPr>
                <w:color w:val="B02045"/>
                <w:sz w:val="21"/>
              </w:rPr>
              <w:t>.cachecontrol.no</w:t>
            </w:r>
            <w:proofErr w:type="gramEnd"/>
            <w:r>
              <w:rPr>
                <w:color w:val="B02045"/>
                <w:sz w:val="21"/>
              </w:rPr>
              <w:t>-cache</w:t>
            </w:r>
          </w:p>
        </w:tc>
        <w:tc>
          <w:tcPr>
            <w:tcW w:w="2494" w:type="dxa"/>
            <w:tcBorders>
              <w:top w:val="single" w:sz="12" w:space="0" w:color="DDDDDD"/>
            </w:tcBorders>
          </w:tcPr>
          <w:p w14:paraId="70D60870"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5E0E97DD" w14:textId="77777777" w:rsidR="00A720EB" w:rsidRDefault="0030286B">
            <w:pPr>
              <w:pStyle w:val="TableParagraph"/>
              <w:spacing w:before="18" w:line="310" w:lineRule="atLeast"/>
              <w:rPr>
                <w:rFonts w:ascii="Cambria"/>
                <w:sz w:val="21"/>
              </w:rPr>
            </w:pPr>
            <w:r>
              <w:rPr>
                <w:rFonts w:ascii="Cambria"/>
                <w:color w:val="333333"/>
                <w:w w:val="110"/>
                <w:sz w:val="21"/>
              </w:rPr>
              <w:t>Indicate that the cached response can be reused only if re-validated with the server.</w:t>
            </w:r>
          </w:p>
        </w:tc>
      </w:tr>
      <w:tr w:rsidR="00A720EB" w14:paraId="14C31DD5" w14:textId="77777777">
        <w:trPr>
          <w:trHeight w:val="627"/>
        </w:trPr>
        <w:tc>
          <w:tcPr>
            <w:tcW w:w="2494" w:type="dxa"/>
          </w:tcPr>
          <w:p w14:paraId="16367C48"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resources.cache</w:t>
            </w:r>
            <w:proofErr w:type="gramEnd"/>
          </w:p>
          <w:p w14:paraId="434A9638" w14:textId="77777777" w:rsidR="00A720EB" w:rsidRDefault="0030286B">
            <w:pPr>
              <w:pStyle w:val="TableParagraph"/>
              <w:spacing w:before="0" w:line="264" w:lineRule="exact"/>
              <w:rPr>
                <w:sz w:val="21"/>
              </w:rPr>
            </w:pPr>
            <w:proofErr w:type="gramStart"/>
            <w:r>
              <w:rPr>
                <w:color w:val="B02045"/>
                <w:sz w:val="21"/>
              </w:rPr>
              <w:t>.cachecontrol.no</w:t>
            </w:r>
            <w:proofErr w:type="gramEnd"/>
            <w:r>
              <w:rPr>
                <w:color w:val="B02045"/>
                <w:sz w:val="21"/>
              </w:rPr>
              <w:t>-store</w:t>
            </w:r>
          </w:p>
        </w:tc>
        <w:tc>
          <w:tcPr>
            <w:tcW w:w="2494" w:type="dxa"/>
          </w:tcPr>
          <w:p w14:paraId="1F71C7CD" w14:textId="77777777" w:rsidR="00A720EB" w:rsidRDefault="00A720EB">
            <w:pPr>
              <w:pStyle w:val="TableParagraph"/>
              <w:spacing w:before="0"/>
              <w:ind w:left="0"/>
              <w:rPr>
                <w:rFonts w:ascii="Times New Roman"/>
                <w:sz w:val="20"/>
              </w:rPr>
            </w:pPr>
          </w:p>
        </w:tc>
        <w:tc>
          <w:tcPr>
            <w:tcW w:w="4988" w:type="dxa"/>
          </w:tcPr>
          <w:p w14:paraId="6B0AB4B3" w14:textId="77777777" w:rsidR="00A720EB" w:rsidRDefault="0030286B">
            <w:pPr>
              <w:pStyle w:val="TableParagraph"/>
              <w:spacing w:before="92"/>
              <w:rPr>
                <w:rFonts w:ascii="Cambria"/>
                <w:sz w:val="21"/>
              </w:rPr>
            </w:pPr>
            <w:r>
              <w:rPr>
                <w:rFonts w:ascii="Cambria"/>
                <w:color w:val="333333"/>
                <w:w w:val="110"/>
                <w:sz w:val="21"/>
              </w:rPr>
              <w:t>Indicate to not cache the response in any case.</w:t>
            </w:r>
          </w:p>
        </w:tc>
      </w:tr>
      <w:tr w:rsidR="00A720EB" w14:paraId="1854D158" w14:textId="77777777">
        <w:trPr>
          <w:trHeight w:val="886"/>
        </w:trPr>
        <w:tc>
          <w:tcPr>
            <w:tcW w:w="2494" w:type="dxa"/>
          </w:tcPr>
          <w:p w14:paraId="1C5C2FF3"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resources.cache</w:t>
            </w:r>
            <w:proofErr w:type="gramEnd"/>
          </w:p>
          <w:p w14:paraId="17A84044" w14:textId="77777777" w:rsidR="00A720EB" w:rsidRDefault="0030286B">
            <w:pPr>
              <w:pStyle w:val="TableParagraph"/>
              <w:spacing w:before="4" w:line="230" w:lineRule="auto"/>
              <w:ind w:right="619"/>
              <w:rPr>
                <w:sz w:val="21"/>
              </w:rPr>
            </w:pPr>
            <w:proofErr w:type="gramStart"/>
            <w:r>
              <w:rPr>
                <w:color w:val="B02045"/>
                <w:sz w:val="21"/>
              </w:rPr>
              <w:t>.cachecontrol.no</w:t>
            </w:r>
            <w:proofErr w:type="gramEnd"/>
            <w:r>
              <w:rPr>
                <w:color w:val="B02045"/>
                <w:sz w:val="21"/>
              </w:rPr>
              <w:t>- transform</w:t>
            </w:r>
          </w:p>
        </w:tc>
        <w:tc>
          <w:tcPr>
            <w:tcW w:w="2494" w:type="dxa"/>
          </w:tcPr>
          <w:p w14:paraId="2CB63304" w14:textId="77777777" w:rsidR="00A720EB" w:rsidRDefault="00A720EB">
            <w:pPr>
              <w:pStyle w:val="TableParagraph"/>
              <w:spacing w:before="0"/>
              <w:ind w:left="0"/>
              <w:rPr>
                <w:rFonts w:ascii="Times New Roman"/>
                <w:sz w:val="20"/>
              </w:rPr>
            </w:pPr>
          </w:p>
        </w:tc>
        <w:tc>
          <w:tcPr>
            <w:tcW w:w="4988" w:type="dxa"/>
          </w:tcPr>
          <w:p w14:paraId="64CFF0C6" w14:textId="77777777" w:rsidR="00A720EB" w:rsidRDefault="0030286B">
            <w:pPr>
              <w:pStyle w:val="TableParagraph"/>
              <w:spacing w:before="92" w:line="307" w:lineRule="auto"/>
              <w:rPr>
                <w:rFonts w:ascii="Cambria"/>
                <w:sz w:val="21"/>
              </w:rPr>
            </w:pPr>
            <w:r>
              <w:rPr>
                <w:rFonts w:ascii="Cambria"/>
                <w:color w:val="333333"/>
                <w:w w:val="110"/>
                <w:sz w:val="21"/>
              </w:rPr>
              <w:t>Indicate intermediaries (caches and others) that they should not transform the response content.</w:t>
            </w:r>
          </w:p>
        </w:tc>
      </w:tr>
      <w:tr w:rsidR="00A720EB" w14:paraId="3D2B15F4" w14:textId="77777777">
        <w:trPr>
          <w:trHeight w:val="1056"/>
        </w:trPr>
        <w:tc>
          <w:tcPr>
            <w:tcW w:w="2494" w:type="dxa"/>
          </w:tcPr>
          <w:p w14:paraId="08EFE8A6"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resources.cache</w:t>
            </w:r>
            <w:proofErr w:type="gramEnd"/>
          </w:p>
          <w:p w14:paraId="76BCED50" w14:textId="77777777" w:rsidR="00A720EB" w:rsidRDefault="0030286B">
            <w:pPr>
              <w:pStyle w:val="TableParagraph"/>
              <w:spacing w:before="3" w:line="230" w:lineRule="auto"/>
              <w:ind w:right="304"/>
              <w:rPr>
                <w:sz w:val="21"/>
              </w:rPr>
            </w:pPr>
            <w:proofErr w:type="gramStart"/>
            <w:r>
              <w:rPr>
                <w:color w:val="B02045"/>
                <w:sz w:val="21"/>
              </w:rPr>
              <w:t>.cachecontrol</w:t>
            </w:r>
            <w:proofErr w:type="gramEnd"/>
            <w:r>
              <w:rPr>
                <w:color w:val="B02045"/>
                <w:sz w:val="21"/>
              </w:rPr>
              <w:t>.proxy- revalidate</w:t>
            </w:r>
          </w:p>
        </w:tc>
        <w:tc>
          <w:tcPr>
            <w:tcW w:w="2494" w:type="dxa"/>
          </w:tcPr>
          <w:p w14:paraId="48E8FB11" w14:textId="77777777" w:rsidR="00A720EB" w:rsidRDefault="00A720EB">
            <w:pPr>
              <w:pStyle w:val="TableParagraph"/>
              <w:spacing w:before="0"/>
              <w:ind w:left="0"/>
              <w:rPr>
                <w:rFonts w:ascii="Times New Roman"/>
                <w:sz w:val="20"/>
              </w:rPr>
            </w:pPr>
          </w:p>
        </w:tc>
        <w:tc>
          <w:tcPr>
            <w:tcW w:w="4988" w:type="dxa"/>
          </w:tcPr>
          <w:p w14:paraId="2CF48F52" w14:textId="77777777" w:rsidR="00A720EB" w:rsidRDefault="0030286B">
            <w:pPr>
              <w:pStyle w:val="TableParagraph"/>
              <w:spacing w:before="28" w:line="310" w:lineRule="atLeast"/>
              <w:ind w:right="115"/>
              <w:rPr>
                <w:rFonts w:ascii="Cambria"/>
                <w:sz w:val="21"/>
              </w:rPr>
            </w:pPr>
            <w:r>
              <w:rPr>
                <w:rFonts w:ascii="Cambria"/>
                <w:color w:val="333333"/>
                <w:w w:val="110"/>
                <w:sz w:val="21"/>
              </w:rPr>
              <w:t>Same meaning as the "must-revalidate" directive, except that it does not apply to private caches.</w:t>
            </w:r>
          </w:p>
        </w:tc>
      </w:tr>
      <w:tr w:rsidR="00A720EB" w14:paraId="59B3C9E5" w14:textId="77777777">
        <w:trPr>
          <w:trHeight w:val="1056"/>
        </w:trPr>
        <w:tc>
          <w:tcPr>
            <w:tcW w:w="2494" w:type="dxa"/>
          </w:tcPr>
          <w:p w14:paraId="38F61153"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resources.cache</w:t>
            </w:r>
            <w:proofErr w:type="gramEnd"/>
          </w:p>
          <w:p w14:paraId="53037544" w14:textId="77777777" w:rsidR="00A720EB" w:rsidRDefault="0030286B">
            <w:pPr>
              <w:pStyle w:val="TableParagraph"/>
              <w:spacing w:before="4" w:line="230" w:lineRule="auto"/>
              <w:ind w:right="304"/>
              <w:rPr>
                <w:sz w:val="21"/>
              </w:rPr>
            </w:pPr>
            <w:proofErr w:type="gramStart"/>
            <w:r>
              <w:rPr>
                <w:color w:val="B02045"/>
                <w:sz w:val="21"/>
              </w:rPr>
              <w:t>.cachecontrol</w:t>
            </w:r>
            <w:proofErr w:type="gramEnd"/>
            <w:r>
              <w:rPr>
                <w:color w:val="B02045"/>
                <w:sz w:val="21"/>
              </w:rPr>
              <w:t>.s-max- age</w:t>
            </w:r>
          </w:p>
        </w:tc>
        <w:tc>
          <w:tcPr>
            <w:tcW w:w="2494" w:type="dxa"/>
          </w:tcPr>
          <w:p w14:paraId="46B6A2EB" w14:textId="77777777" w:rsidR="00A720EB" w:rsidRDefault="00A720EB">
            <w:pPr>
              <w:pStyle w:val="TableParagraph"/>
              <w:spacing w:before="0"/>
              <w:ind w:left="0"/>
              <w:rPr>
                <w:rFonts w:ascii="Times New Roman"/>
                <w:sz w:val="20"/>
              </w:rPr>
            </w:pPr>
          </w:p>
        </w:tc>
        <w:tc>
          <w:tcPr>
            <w:tcW w:w="4988" w:type="dxa"/>
          </w:tcPr>
          <w:p w14:paraId="6794FCD1" w14:textId="77777777" w:rsidR="00A720EB" w:rsidRDefault="0030286B">
            <w:pPr>
              <w:pStyle w:val="TableParagraph"/>
              <w:spacing w:before="28" w:line="310" w:lineRule="atLeast"/>
              <w:ind w:right="218"/>
              <w:rPr>
                <w:rFonts w:ascii="Cambria"/>
                <w:sz w:val="21"/>
              </w:rPr>
            </w:pPr>
            <w:r>
              <w:rPr>
                <w:rFonts w:ascii="Cambria"/>
                <w:color w:val="333333"/>
                <w:w w:val="110"/>
                <w:sz w:val="21"/>
              </w:rPr>
              <w:t>Maximum time the response should be cached by shared caches, in seconds if no duration suffix is not specified.</w:t>
            </w:r>
          </w:p>
        </w:tc>
      </w:tr>
      <w:tr w:rsidR="00A720EB" w14:paraId="7F9444D0" w14:textId="77777777">
        <w:trPr>
          <w:trHeight w:val="1056"/>
        </w:trPr>
        <w:tc>
          <w:tcPr>
            <w:tcW w:w="2494" w:type="dxa"/>
          </w:tcPr>
          <w:p w14:paraId="61554C94"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resources.cache</w:t>
            </w:r>
            <w:proofErr w:type="gramEnd"/>
          </w:p>
          <w:p w14:paraId="2067A34F" w14:textId="77777777" w:rsidR="00A720EB" w:rsidRDefault="0030286B">
            <w:pPr>
              <w:pStyle w:val="TableParagraph"/>
              <w:spacing w:before="3" w:line="230" w:lineRule="auto"/>
              <w:ind w:right="323"/>
              <w:rPr>
                <w:sz w:val="21"/>
              </w:rPr>
            </w:pPr>
            <w:proofErr w:type="gramStart"/>
            <w:r>
              <w:rPr>
                <w:color w:val="B02045"/>
                <w:sz w:val="21"/>
              </w:rPr>
              <w:t>.cachecontrol</w:t>
            </w:r>
            <w:proofErr w:type="gramEnd"/>
            <w:r>
              <w:rPr>
                <w:color w:val="B02045"/>
                <w:sz w:val="21"/>
              </w:rPr>
              <w:t>.stale- if-error</w:t>
            </w:r>
          </w:p>
        </w:tc>
        <w:tc>
          <w:tcPr>
            <w:tcW w:w="2494" w:type="dxa"/>
          </w:tcPr>
          <w:p w14:paraId="42F0C37F" w14:textId="77777777" w:rsidR="00A720EB" w:rsidRDefault="00A720EB">
            <w:pPr>
              <w:pStyle w:val="TableParagraph"/>
              <w:spacing w:before="0"/>
              <w:ind w:left="0"/>
              <w:rPr>
                <w:rFonts w:ascii="Times New Roman"/>
                <w:sz w:val="20"/>
              </w:rPr>
            </w:pPr>
          </w:p>
        </w:tc>
        <w:tc>
          <w:tcPr>
            <w:tcW w:w="4988" w:type="dxa"/>
          </w:tcPr>
          <w:p w14:paraId="2988C903" w14:textId="77777777" w:rsidR="00A720EB" w:rsidRDefault="0030286B">
            <w:pPr>
              <w:pStyle w:val="TableParagraph"/>
              <w:spacing w:before="28" w:line="310" w:lineRule="atLeast"/>
              <w:ind w:right="162"/>
              <w:rPr>
                <w:rFonts w:ascii="Cambria"/>
                <w:sz w:val="21"/>
              </w:rPr>
            </w:pPr>
            <w:r>
              <w:rPr>
                <w:rFonts w:ascii="Cambria"/>
                <w:color w:val="333333"/>
                <w:w w:val="110"/>
                <w:sz w:val="21"/>
              </w:rPr>
              <w:t>Maximum time the response may be used when errors are encountered, in seconds if no duration suffix is not</w:t>
            </w:r>
            <w:r>
              <w:rPr>
                <w:rFonts w:ascii="Cambria"/>
                <w:color w:val="333333"/>
                <w:spacing w:val="15"/>
                <w:w w:val="110"/>
                <w:sz w:val="21"/>
              </w:rPr>
              <w:t xml:space="preserve"> </w:t>
            </w:r>
            <w:r>
              <w:rPr>
                <w:rFonts w:ascii="Cambria"/>
                <w:color w:val="333333"/>
                <w:w w:val="110"/>
                <w:sz w:val="21"/>
              </w:rPr>
              <w:t>specified.</w:t>
            </w:r>
          </w:p>
        </w:tc>
      </w:tr>
      <w:tr w:rsidR="00A720EB" w14:paraId="774593CE" w14:textId="77777777">
        <w:trPr>
          <w:trHeight w:val="1056"/>
        </w:trPr>
        <w:tc>
          <w:tcPr>
            <w:tcW w:w="2494" w:type="dxa"/>
          </w:tcPr>
          <w:p w14:paraId="7620DFC3"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resources.cache</w:t>
            </w:r>
            <w:proofErr w:type="gramEnd"/>
          </w:p>
          <w:p w14:paraId="663533F3" w14:textId="77777777" w:rsidR="00A720EB" w:rsidRDefault="0030286B">
            <w:pPr>
              <w:pStyle w:val="TableParagraph"/>
              <w:spacing w:before="3" w:line="230" w:lineRule="auto"/>
              <w:ind w:right="323"/>
              <w:rPr>
                <w:sz w:val="21"/>
              </w:rPr>
            </w:pPr>
            <w:proofErr w:type="gramStart"/>
            <w:r>
              <w:rPr>
                <w:color w:val="B02045"/>
                <w:sz w:val="21"/>
              </w:rPr>
              <w:t>.cachecontrol</w:t>
            </w:r>
            <w:proofErr w:type="gramEnd"/>
            <w:r>
              <w:rPr>
                <w:color w:val="B02045"/>
                <w:sz w:val="21"/>
              </w:rPr>
              <w:t>.stale- while-revalidate</w:t>
            </w:r>
          </w:p>
        </w:tc>
        <w:tc>
          <w:tcPr>
            <w:tcW w:w="2494" w:type="dxa"/>
          </w:tcPr>
          <w:p w14:paraId="2216D1B6" w14:textId="77777777" w:rsidR="00A720EB" w:rsidRDefault="00A720EB">
            <w:pPr>
              <w:pStyle w:val="TableParagraph"/>
              <w:spacing w:before="0"/>
              <w:ind w:left="0"/>
              <w:rPr>
                <w:rFonts w:ascii="Times New Roman"/>
                <w:sz w:val="20"/>
              </w:rPr>
            </w:pPr>
          </w:p>
        </w:tc>
        <w:tc>
          <w:tcPr>
            <w:tcW w:w="4988" w:type="dxa"/>
          </w:tcPr>
          <w:p w14:paraId="60780430" w14:textId="77777777" w:rsidR="00A720EB" w:rsidRDefault="0030286B">
            <w:pPr>
              <w:pStyle w:val="TableParagraph"/>
              <w:spacing w:before="28" w:line="310" w:lineRule="atLeast"/>
              <w:ind w:right="88"/>
              <w:jc w:val="both"/>
              <w:rPr>
                <w:rFonts w:ascii="Cambria"/>
                <w:sz w:val="21"/>
              </w:rPr>
            </w:pPr>
            <w:r>
              <w:rPr>
                <w:rFonts w:ascii="Cambria"/>
                <w:color w:val="333333"/>
                <w:w w:val="110"/>
                <w:sz w:val="21"/>
              </w:rPr>
              <w:t>Maximum time the response can be served after it becomes stale, in seconds if no duration suffix is not specified.</w:t>
            </w:r>
          </w:p>
        </w:tc>
      </w:tr>
      <w:tr w:rsidR="00A720EB" w14:paraId="58E08A19" w14:textId="77777777">
        <w:trPr>
          <w:trHeight w:val="1687"/>
        </w:trPr>
        <w:tc>
          <w:tcPr>
            <w:tcW w:w="2494" w:type="dxa"/>
          </w:tcPr>
          <w:p w14:paraId="43443508"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resources.cache</w:t>
            </w:r>
            <w:proofErr w:type="gramEnd"/>
          </w:p>
          <w:p w14:paraId="2AB33CAA" w14:textId="77777777" w:rsidR="00A720EB" w:rsidRDefault="0030286B">
            <w:pPr>
              <w:pStyle w:val="TableParagraph"/>
              <w:spacing w:before="0" w:line="264" w:lineRule="exact"/>
              <w:rPr>
                <w:sz w:val="21"/>
              </w:rPr>
            </w:pPr>
            <w:proofErr w:type="gramStart"/>
            <w:r>
              <w:rPr>
                <w:color w:val="B02045"/>
                <w:sz w:val="21"/>
              </w:rPr>
              <w:t>.period</w:t>
            </w:r>
            <w:proofErr w:type="gramEnd"/>
          </w:p>
        </w:tc>
        <w:tc>
          <w:tcPr>
            <w:tcW w:w="2494" w:type="dxa"/>
          </w:tcPr>
          <w:p w14:paraId="392B078C" w14:textId="77777777" w:rsidR="00A720EB" w:rsidRDefault="00A720EB">
            <w:pPr>
              <w:pStyle w:val="TableParagraph"/>
              <w:spacing w:before="0"/>
              <w:ind w:left="0"/>
              <w:rPr>
                <w:rFonts w:ascii="Times New Roman"/>
                <w:sz w:val="20"/>
              </w:rPr>
            </w:pPr>
          </w:p>
        </w:tc>
        <w:tc>
          <w:tcPr>
            <w:tcW w:w="4988" w:type="dxa"/>
          </w:tcPr>
          <w:p w14:paraId="42CD4BC5" w14:textId="77777777" w:rsidR="00A720EB" w:rsidRDefault="0030286B">
            <w:pPr>
              <w:pStyle w:val="TableParagraph"/>
              <w:spacing w:before="92" w:line="307" w:lineRule="auto"/>
              <w:ind w:right="60"/>
              <w:rPr>
                <w:rFonts w:ascii="Cambria"/>
                <w:sz w:val="21"/>
              </w:rPr>
            </w:pPr>
            <w:r>
              <w:rPr>
                <w:rFonts w:ascii="Cambria"/>
                <w:color w:val="333333"/>
                <w:w w:val="110"/>
                <w:sz w:val="21"/>
              </w:rPr>
              <w:t>Cache period for the resources served by the resource handler. If a duration suffix is not specified, seconds will be used. Can be overridden by the 'spring.</w:t>
            </w:r>
            <w:proofErr w:type="gramStart"/>
            <w:r>
              <w:rPr>
                <w:rFonts w:ascii="Cambria"/>
                <w:color w:val="333333"/>
                <w:w w:val="110"/>
                <w:sz w:val="21"/>
              </w:rPr>
              <w:t>resources.cache</w:t>
            </w:r>
            <w:proofErr w:type="gramEnd"/>
            <w:r>
              <w:rPr>
                <w:rFonts w:ascii="Cambria"/>
                <w:color w:val="333333"/>
                <w:w w:val="110"/>
                <w:sz w:val="21"/>
              </w:rPr>
              <w:t>.cachecontrol' properties.</w:t>
            </w:r>
          </w:p>
        </w:tc>
      </w:tr>
      <w:tr w:rsidR="00A720EB" w14:paraId="08150784" w14:textId="77777777">
        <w:trPr>
          <w:trHeight w:val="741"/>
        </w:trPr>
        <w:tc>
          <w:tcPr>
            <w:tcW w:w="2494" w:type="dxa"/>
          </w:tcPr>
          <w:p w14:paraId="391ED080"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resources.chain</w:t>
            </w:r>
            <w:proofErr w:type="gramEnd"/>
          </w:p>
          <w:p w14:paraId="6E319C28" w14:textId="77777777" w:rsidR="00A720EB" w:rsidRDefault="0030286B">
            <w:pPr>
              <w:pStyle w:val="TableParagraph"/>
              <w:spacing w:before="0" w:line="264" w:lineRule="exact"/>
              <w:rPr>
                <w:sz w:val="21"/>
              </w:rPr>
            </w:pPr>
            <w:proofErr w:type="gramStart"/>
            <w:r>
              <w:rPr>
                <w:color w:val="B02045"/>
                <w:sz w:val="21"/>
              </w:rPr>
              <w:t>.cache</w:t>
            </w:r>
            <w:proofErr w:type="gramEnd"/>
          </w:p>
        </w:tc>
        <w:tc>
          <w:tcPr>
            <w:tcW w:w="2494" w:type="dxa"/>
          </w:tcPr>
          <w:p w14:paraId="0040ACB0" w14:textId="77777777" w:rsidR="00A720EB" w:rsidRDefault="0030286B">
            <w:pPr>
              <w:pStyle w:val="TableParagraph"/>
              <w:spacing w:before="37"/>
              <w:rPr>
                <w:sz w:val="21"/>
              </w:rPr>
            </w:pPr>
            <w:r>
              <w:rPr>
                <w:color w:val="B02045"/>
                <w:sz w:val="21"/>
              </w:rPr>
              <w:t>true</w:t>
            </w:r>
          </w:p>
        </w:tc>
        <w:tc>
          <w:tcPr>
            <w:tcW w:w="4988" w:type="dxa"/>
          </w:tcPr>
          <w:p w14:paraId="4C2D7CAE"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enable caching in the Resource chain.</w:t>
            </w:r>
          </w:p>
        </w:tc>
      </w:tr>
      <w:tr w:rsidR="00A720EB" w14:paraId="613C09D4" w14:textId="77777777">
        <w:trPr>
          <w:trHeight w:val="1372"/>
        </w:trPr>
        <w:tc>
          <w:tcPr>
            <w:tcW w:w="2494" w:type="dxa"/>
          </w:tcPr>
          <w:p w14:paraId="29CE0ED3"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resources.chain</w:t>
            </w:r>
            <w:proofErr w:type="gramEnd"/>
          </w:p>
          <w:p w14:paraId="611B6D26" w14:textId="77777777" w:rsidR="00A720EB" w:rsidRDefault="0030286B">
            <w:pPr>
              <w:pStyle w:val="TableParagraph"/>
              <w:spacing w:before="0" w:line="264" w:lineRule="exact"/>
              <w:rPr>
                <w:sz w:val="21"/>
              </w:rPr>
            </w:pPr>
            <w:proofErr w:type="gramStart"/>
            <w:r>
              <w:rPr>
                <w:color w:val="B02045"/>
                <w:sz w:val="21"/>
              </w:rPr>
              <w:t>.compressed</w:t>
            </w:r>
            <w:proofErr w:type="gramEnd"/>
          </w:p>
        </w:tc>
        <w:tc>
          <w:tcPr>
            <w:tcW w:w="2494" w:type="dxa"/>
          </w:tcPr>
          <w:p w14:paraId="743722FE" w14:textId="77777777" w:rsidR="00A720EB" w:rsidRDefault="0030286B">
            <w:pPr>
              <w:pStyle w:val="TableParagraph"/>
              <w:spacing w:before="37"/>
              <w:rPr>
                <w:sz w:val="21"/>
              </w:rPr>
            </w:pPr>
            <w:r>
              <w:rPr>
                <w:color w:val="B02045"/>
                <w:sz w:val="21"/>
              </w:rPr>
              <w:t>false</w:t>
            </w:r>
          </w:p>
        </w:tc>
        <w:tc>
          <w:tcPr>
            <w:tcW w:w="4988" w:type="dxa"/>
          </w:tcPr>
          <w:p w14:paraId="02466276" w14:textId="77777777" w:rsidR="00A720EB" w:rsidRDefault="0030286B">
            <w:pPr>
              <w:pStyle w:val="TableParagraph"/>
              <w:spacing w:before="28" w:line="310" w:lineRule="atLeast"/>
              <w:ind w:right="44"/>
              <w:rPr>
                <w:rFonts w:ascii="Cambria"/>
                <w:sz w:val="21"/>
              </w:rPr>
            </w:pPr>
            <w:r>
              <w:rPr>
                <w:rFonts w:ascii="Cambria"/>
                <w:color w:val="333333"/>
                <w:w w:val="110"/>
                <w:sz w:val="21"/>
              </w:rPr>
              <w:t>Whether to enable resolution of already compressed resources (gzip, brotli). Checks for a resource name with the '.gz' or '.br' file extensions.</w:t>
            </w:r>
          </w:p>
        </w:tc>
      </w:tr>
      <w:tr w:rsidR="00A720EB" w14:paraId="27734BC1" w14:textId="77777777">
        <w:trPr>
          <w:trHeight w:val="1056"/>
        </w:trPr>
        <w:tc>
          <w:tcPr>
            <w:tcW w:w="2494" w:type="dxa"/>
          </w:tcPr>
          <w:p w14:paraId="5751F65D"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resources.chain</w:t>
            </w:r>
            <w:proofErr w:type="gramEnd"/>
          </w:p>
          <w:p w14:paraId="7E653149" w14:textId="77777777" w:rsidR="00A720EB" w:rsidRDefault="0030286B">
            <w:pPr>
              <w:pStyle w:val="TableParagraph"/>
              <w:spacing w:before="0" w:line="264" w:lineRule="exact"/>
              <w:rPr>
                <w:sz w:val="21"/>
              </w:rPr>
            </w:pPr>
            <w:proofErr w:type="gramStart"/>
            <w:r>
              <w:rPr>
                <w:color w:val="B02045"/>
                <w:sz w:val="21"/>
              </w:rPr>
              <w:t>.enabled</w:t>
            </w:r>
            <w:proofErr w:type="gramEnd"/>
          </w:p>
        </w:tc>
        <w:tc>
          <w:tcPr>
            <w:tcW w:w="2494" w:type="dxa"/>
          </w:tcPr>
          <w:p w14:paraId="0B20C61E" w14:textId="77777777" w:rsidR="00A720EB" w:rsidRDefault="00A720EB">
            <w:pPr>
              <w:pStyle w:val="TableParagraph"/>
              <w:spacing w:before="0"/>
              <w:ind w:left="0"/>
              <w:rPr>
                <w:rFonts w:ascii="Times New Roman"/>
                <w:sz w:val="20"/>
              </w:rPr>
            </w:pPr>
          </w:p>
        </w:tc>
        <w:tc>
          <w:tcPr>
            <w:tcW w:w="4988" w:type="dxa"/>
          </w:tcPr>
          <w:p w14:paraId="035D2579"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enable the Spring Resource Handling chain. By default, disabled unless at least one strategy has been enabled.</w:t>
            </w:r>
          </w:p>
        </w:tc>
      </w:tr>
      <w:tr w:rsidR="00A720EB" w14:paraId="2D9C3C20" w14:textId="77777777">
        <w:trPr>
          <w:trHeight w:val="886"/>
        </w:trPr>
        <w:tc>
          <w:tcPr>
            <w:tcW w:w="2494" w:type="dxa"/>
          </w:tcPr>
          <w:p w14:paraId="0D2DF8D1"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resources.chain</w:t>
            </w:r>
            <w:proofErr w:type="gramEnd"/>
          </w:p>
          <w:p w14:paraId="37AF2B44" w14:textId="77777777" w:rsidR="00A720EB" w:rsidRDefault="0030286B">
            <w:pPr>
              <w:pStyle w:val="TableParagraph"/>
              <w:spacing w:before="3" w:line="230" w:lineRule="auto"/>
              <w:ind w:right="514"/>
              <w:rPr>
                <w:sz w:val="21"/>
              </w:rPr>
            </w:pPr>
            <w:r>
              <w:rPr>
                <w:color w:val="B02045"/>
                <w:sz w:val="21"/>
              </w:rPr>
              <w:t>.html-application- cache</w:t>
            </w:r>
          </w:p>
        </w:tc>
        <w:tc>
          <w:tcPr>
            <w:tcW w:w="2494" w:type="dxa"/>
          </w:tcPr>
          <w:p w14:paraId="561B922A" w14:textId="77777777" w:rsidR="00A720EB" w:rsidRDefault="0030286B">
            <w:pPr>
              <w:pStyle w:val="TableParagraph"/>
              <w:rPr>
                <w:sz w:val="21"/>
              </w:rPr>
            </w:pPr>
            <w:r>
              <w:rPr>
                <w:color w:val="B02045"/>
                <w:sz w:val="21"/>
              </w:rPr>
              <w:t>false</w:t>
            </w:r>
          </w:p>
        </w:tc>
        <w:tc>
          <w:tcPr>
            <w:tcW w:w="4988" w:type="dxa"/>
          </w:tcPr>
          <w:p w14:paraId="7AC33384" w14:textId="77777777" w:rsidR="00A720EB" w:rsidRDefault="0030286B">
            <w:pPr>
              <w:pStyle w:val="TableParagraph"/>
              <w:spacing w:before="92" w:line="307" w:lineRule="auto"/>
              <w:rPr>
                <w:rFonts w:ascii="Cambria"/>
                <w:sz w:val="21"/>
              </w:rPr>
            </w:pPr>
            <w:r>
              <w:rPr>
                <w:rFonts w:ascii="Cambria"/>
                <w:color w:val="333333"/>
                <w:w w:val="110"/>
                <w:sz w:val="21"/>
              </w:rPr>
              <w:t>Whether to enable HTML5 application cache manifest rewriting.</w:t>
            </w:r>
          </w:p>
        </w:tc>
      </w:tr>
      <w:tr w:rsidR="00A720EB" w14:paraId="078FF20B" w14:textId="77777777">
        <w:trPr>
          <w:trHeight w:val="886"/>
        </w:trPr>
        <w:tc>
          <w:tcPr>
            <w:tcW w:w="2494" w:type="dxa"/>
          </w:tcPr>
          <w:p w14:paraId="5DBB6420" w14:textId="77777777" w:rsidR="00A720EB" w:rsidRDefault="0030286B">
            <w:pPr>
              <w:pStyle w:val="TableParagraph"/>
              <w:spacing w:line="264" w:lineRule="exact"/>
              <w:rPr>
                <w:sz w:val="21"/>
              </w:rPr>
            </w:pPr>
            <w:r>
              <w:rPr>
                <w:color w:val="B02045"/>
                <w:sz w:val="21"/>
              </w:rPr>
              <w:lastRenderedPageBreak/>
              <w:t>spring.</w:t>
            </w:r>
            <w:proofErr w:type="gramStart"/>
            <w:r>
              <w:rPr>
                <w:color w:val="B02045"/>
                <w:sz w:val="21"/>
              </w:rPr>
              <w:t>resources.chain</w:t>
            </w:r>
            <w:proofErr w:type="gramEnd"/>
          </w:p>
          <w:p w14:paraId="78FD0AEB" w14:textId="77777777" w:rsidR="00A720EB" w:rsidRDefault="0030286B">
            <w:pPr>
              <w:pStyle w:val="TableParagraph"/>
              <w:spacing w:before="3" w:line="230" w:lineRule="auto"/>
              <w:ind w:right="94"/>
              <w:rPr>
                <w:sz w:val="21"/>
              </w:rPr>
            </w:pPr>
            <w:proofErr w:type="gramStart"/>
            <w:r>
              <w:rPr>
                <w:color w:val="B02045"/>
                <w:sz w:val="21"/>
              </w:rPr>
              <w:t>.strategy</w:t>
            </w:r>
            <w:proofErr w:type="gramEnd"/>
            <w:r>
              <w:rPr>
                <w:color w:val="B02045"/>
                <w:sz w:val="21"/>
              </w:rPr>
              <w:t>.content.enab led</w:t>
            </w:r>
          </w:p>
        </w:tc>
        <w:tc>
          <w:tcPr>
            <w:tcW w:w="2494" w:type="dxa"/>
          </w:tcPr>
          <w:p w14:paraId="1E98DDC6" w14:textId="77777777" w:rsidR="00A720EB" w:rsidRDefault="0030286B">
            <w:pPr>
              <w:pStyle w:val="TableParagraph"/>
              <w:rPr>
                <w:sz w:val="21"/>
              </w:rPr>
            </w:pPr>
            <w:r>
              <w:rPr>
                <w:color w:val="B02045"/>
                <w:sz w:val="21"/>
              </w:rPr>
              <w:t>false</w:t>
            </w:r>
          </w:p>
        </w:tc>
        <w:tc>
          <w:tcPr>
            <w:tcW w:w="4988" w:type="dxa"/>
          </w:tcPr>
          <w:p w14:paraId="6980A6E8" w14:textId="77777777" w:rsidR="00A720EB" w:rsidRDefault="0030286B">
            <w:pPr>
              <w:pStyle w:val="TableParagraph"/>
              <w:spacing w:before="92"/>
              <w:rPr>
                <w:rFonts w:ascii="Cambria"/>
                <w:sz w:val="21"/>
              </w:rPr>
            </w:pPr>
            <w:r>
              <w:rPr>
                <w:rFonts w:ascii="Cambria"/>
                <w:color w:val="333333"/>
                <w:w w:val="110"/>
                <w:sz w:val="21"/>
              </w:rPr>
              <w:t>Whether to enable the content Version Strategy.</w:t>
            </w:r>
          </w:p>
        </w:tc>
      </w:tr>
      <w:tr w:rsidR="00A720EB" w14:paraId="42A0F751" w14:textId="77777777">
        <w:trPr>
          <w:trHeight w:val="886"/>
        </w:trPr>
        <w:tc>
          <w:tcPr>
            <w:tcW w:w="2494" w:type="dxa"/>
          </w:tcPr>
          <w:p w14:paraId="384548B8" w14:textId="77777777" w:rsidR="00A720EB" w:rsidRDefault="0030286B">
            <w:pPr>
              <w:pStyle w:val="TableParagraph"/>
              <w:spacing w:before="37" w:line="264" w:lineRule="exact"/>
              <w:rPr>
                <w:sz w:val="21"/>
              </w:rPr>
            </w:pPr>
            <w:r>
              <w:rPr>
                <w:color w:val="B02045"/>
                <w:sz w:val="21"/>
              </w:rPr>
              <w:t>spring.</w:t>
            </w:r>
            <w:proofErr w:type="gramStart"/>
            <w:r>
              <w:rPr>
                <w:color w:val="B02045"/>
                <w:sz w:val="21"/>
              </w:rPr>
              <w:t>resources.chain</w:t>
            </w:r>
            <w:proofErr w:type="gramEnd"/>
          </w:p>
          <w:p w14:paraId="55038193" w14:textId="77777777" w:rsidR="00A720EB" w:rsidRDefault="0030286B">
            <w:pPr>
              <w:pStyle w:val="TableParagraph"/>
              <w:spacing w:before="4" w:line="230" w:lineRule="auto"/>
              <w:ind w:right="94"/>
              <w:rPr>
                <w:sz w:val="21"/>
              </w:rPr>
            </w:pPr>
            <w:proofErr w:type="gramStart"/>
            <w:r>
              <w:rPr>
                <w:color w:val="B02045"/>
                <w:sz w:val="21"/>
              </w:rPr>
              <w:t>.strategy</w:t>
            </w:r>
            <w:proofErr w:type="gramEnd"/>
            <w:r>
              <w:rPr>
                <w:color w:val="B02045"/>
                <w:sz w:val="21"/>
              </w:rPr>
              <w:t>.content.path s</w:t>
            </w:r>
          </w:p>
        </w:tc>
        <w:tc>
          <w:tcPr>
            <w:tcW w:w="2494" w:type="dxa"/>
          </w:tcPr>
          <w:p w14:paraId="028ED03A" w14:textId="77777777" w:rsidR="00A720EB" w:rsidRDefault="0030286B">
            <w:pPr>
              <w:pStyle w:val="TableParagraph"/>
              <w:spacing w:before="37"/>
              <w:rPr>
                <w:sz w:val="21"/>
              </w:rPr>
            </w:pPr>
            <w:r>
              <w:rPr>
                <w:color w:val="B02045"/>
                <w:sz w:val="21"/>
              </w:rPr>
              <w:t>[/**]</w:t>
            </w:r>
          </w:p>
        </w:tc>
        <w:tc>
          <w:tcPr>
            <w:tcW w:w="4988" w:type="dxa"/>
          </w:tcPr>
          <w:p w14:paraId="3BD70328" w14:textId="77777777" w:rsidR="00A720EB" w:rsidRDefault="0030286B">
            <w:pPr>
              <w:pStyle w:val="TableParagraph"/>
              <w:spacing w:before="92" w:line="307" w:lineRule="auto"/>
              <w:rPr>
                <w:rFonts w:ascii="Cambria"/>
                <w:sz w:val="21"/>
              </w:rPr>
            </w:pPr>
            <w:r>
              <w:rPr>
                <w:rFonts w:ascii="Cambria"/>
                <w:color w:val="333333"/>
                <w:w w:val="110"/>
                <w:sz w:val="21"/>
              </w:rPr>
              <w:t>Comma-separated list of patterns to apply to the content Version Strategy.</w:t>
            </w:r>
          </w:p>
        </w:tc>
      </w:tr>
    </w:tbl>
    <w:p w14:paraId="343CAA7B"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AEF4E51" w14:textId="77777777">
        <w:trPr>
          <w:trHeight w:val="415"/>
        </w:trPr>
        <w:tc>
          <w:tcPr>
            <w:tcW w:w="2494" w:type="dxa"/>
            <w:tcBorders>
              <w:bottom w:val="single" w:sz="12" w:space="0" w:color="DDDDDD"/>
            </w:tcBorders>
          </w:tcPr>
          <w:p w14:paraId="1664F22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9AB5262"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C844F9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30ADDFA" w14:textId="77777777">
        <w:trPr>
          <w:trHeight w:val="876"/>
        </w:trPr>
        <w:tc>
          <w:tcPr>
            <w:tcW w:w="2494" w:type="dxa"/>
            <w:tcBorders>
              <w:top w:val="single" w:sz="12" w:space="0" w:color="DDDDDD"/>
            </w:tcBorders>
          </w:tcPr>
          <w:p w14:paraId="499C653F" w14:textId="77777777" w:rsidR="00A720EB" w:rsidRDefault="0030286B">
            <w:pPr>
              <w:pStyle w:val="TableParagraph"/>
              <w:spacing w:before="27" w:line="264" w:lineRule="exact"/>
              <w:rPr>
                <w:sz w:val="21"/>
              </w:rPr>
            </w:pPr>
            <w:r>
              <w:rPr>
                <w:color w:val="B02045"/>
                <w:sz w:val="21"/>
              </w:rPr>
              <w:t>spring.</w:t>
            </w:r>
            <w:proofErr w:type="gramStart"/>
            <w:r>
              <w:rPr>
                <w:color w:val="B02045"/>
                <w:sz w:val="21"/>
              </w:rPr>
              <w:t>resources.chain</w:t>
            </w:r>
            <w:proofErr w:type="gramEnd"/>
          </w:p>
          <w:p w14:paraId="0FE50A6A" w14:textId="77777777" w:rsidR="00A720EB" w:rsidRDefault="0030286B">
            <w:pPr>
              <w:pStyle w:val="TableParagraph"/>
              <w:spacing w:before="4" w:line="230" w:lineRule="auto"/>
              <w:ind w:right="94"/>
              <w:rPr>
                <w:sz w:val="21"/>
              </w:rPr>
            </w:pPr>
            <w:proofErr w:type="gramStart"/>
            <w:r>
              <w:rPr>
                <w:color w:val="B02045"/>
                <w:sz w:val="21"/>
              </w:rPr>
              <w:t>.strategy</w:t>
            </w:r>
            <w:proofErr w:type="gramEnd"/>
            <w:r>
              <w:rPr>
                <w:color w:val="B02045"/>
                <w:sz w:val="21"/>
              </w:rPr>
              <w:t>.fixed.enable d</w:t>
            </w:r>
          </w:p>
        </w:tc>
        <w:tc>
          <w:tcPr>
            <w:tcW w:w="2494" w:type="dxa"/>
            <w:tcBorders>
              <w:top w:val="single" w:sz="12" w:space="0" w:color="DDDDDD"/>
            </w:tcBorders>
          </w:tcPr>
          <w:p w14:paraId="60CD46E5" w14:textId="77777777" w:rsidR="00A720EB" w:rsidRDefault="0030286B">
            <w:pPr>
              <w:pStyle w:val="TableParagraph"/>
              <w:spacing w:before="27"/>
              <w:rPr>
                <w:sz w:val="21"/>
              </w:rPr>
            </w:pPr>
            <w:r>
              <w:rPr>
                <w:color w:val="B02045"/>
                <w:sz w:val="21"/>
              </w:rPr>
              <w:t>false</w:t>
            </w:r>
          </w:p>
        </w:tc>
        <w:tc>
          <w:tcPr>
            <w:tcW w:w="4988" w:type="dxa"/>
            <w:tcBorders>
              <w:top w:val="single" w:sz="12" w:space="0" w:color="DDDDDD"/>
            </w:tcBorders>
          </w:tcPr>
          <w:p w14:paraId="3E25967C" w14:textId="77777777" w:rsidR="00A720EB" w:rsidRDefault="0030286B">
            <w:pPr>
              <w:pStyle w:val="TableParagraph"/>
              <w:spacing w:before="82"/>
              <w:rPr>
                <w:rFonts w:ascii="Cambria"/>
                <w:sz w:val="21"/>
              </w:rPr>
            </w:pPr>
            <w:r>
              <w:rPr>
                <w:rFonts w:ascii="Cambria"/>
                <w:color w:val="333333"/>
                <w:w w:val="110"/>
                <w:sz w:val="21"/>
              </w:rPr>
              <w:t>Whether to enable the fixed Version Strategy.</w:t>
            </w:r>
          </w:p>
        </w:tc>
      </w:tr>
      <w:tr w:rsidR="00A720EB" w14:paraId="523ED4A5" w14:textId="77777777">
        <w:trPr>
          <w:trHeight w:val="741"/>
        </w:trPr>
        <w:tc>
          <w:tcPr>
            <w:tcW w:w="2494" w:type="dxa"/>
          </w:tcPr>
          <w:p w14:paraId="12F28BE0"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resources.chain</w:t>
            </w:r>
            <w:proofErr w:type="gramEnd"/>
          </w:p>
          <w:p w14:paraId="7DECD1DC" w14:textId="77777777" w:rsidR="00A720EB" w:rsidRDefault="0030286B">
            <w:pPr>
              <w:pStyle w:val="TableParagraph"/>
              <w:spacing w:before="0" w:line="264" w:lineRule="exact"/>
              <w:rPr>
                <w:sz w:val="21"/>
              </w:rPr>
            </w:pPr>
            <w:proofErr w:type="gramStart"/>
            <w:r>
              <w:rPr>
                <w:color w:val="B02045"/>
                <w:sz w:val="21"/>
              </w:rPr>
              <w:t>.strategy</w:t>
            </w:r>
            <w:proofErr w:type="gramEnd"/>
            <w:r>
              <w:rPr>
                <w:color w:val="B02045"/>
                <w:sz w:val="21"/>
              </w:rPr>
              <w:t>.fixed.paths</w:t>
            </w:r>
          </w:p>
        </w:tc>
        <w:tc>
          <w:tcPr>
            <w:tcW w:w="2494" w:type="dxa"/>
          </w:tcPr>
          <w:p w14:paraId="013BDBB0" w14:textId="77777777" w:rsidR="00A720EB" w:rsidRDefault="0030286B">
            <w:pPr>
              <w:pStyle w:val="TableParagraph"/>
              <w:rPr>
                <w:sz w:val="21"/>
              </w:rPr>
            </w:pPr>
            <w:r>
              <w:rPr>
                <w:color w:val="B02045"/>
                <w:sz w:val="21"/>
              </w:rPr>
              <w:t>[/**]</w:t>
            </w:r>
          </w:p>
        </w:tc>
        <w:tc>
          <w:tcPr>
            <w:tcW w:w="4988" w:type="dxa"/>
          </w:tcPr>
          <w:p w14:paraId="70679EAA"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patterns to apply to the fixed Version Strategy.</w:t>
            </w:r>
          </w:p>
        </w:tc>
      </w:tr>
      <w:tr w:rsidR="00A720EB" w14:paraId="25AE0BB4" w14:textId="77777777">
        <w:trPr>
          <w:trHeight w:val="886"/>
        </w:trPr>
        <w:tc>
          <w:tcPr>
            <w:tcW w:w="2494" w:type="dxa"/>
          </w:tcPr>
          <w:p w14:paraId="4F70B11B" w14:textId="77777777" w:rsidR="00A720EB" w:rsidRDefault="0030286B">
            <w:pPr>
              <w:pStyle w:val="TableParagraph"/>
              <w:spacing w:line="264" w:lineRule="exact"/>
              <w:rPr>
                <w:sz w:val="21"/>
              </w:rPr>
            </w:pPr>
            <w:r>
              <w:rPr>
                <w:color w:val="B02045"/>
                <w:sz w:val="21"/>
              </w:rPr>
              <w:t>spring.</w:t>
            </w:r>
            <w:proofErr w:type="gramStart"/>
            <w:r>
              <w:rPr>
                <w:color w:val="B02045"/>
                <w:sz w:val="21"/>
              </w:rPr>
              <w:t>resources.chain</w:t>
            </w:r>
            <w:proofErr w:type="gramEnd"/>
          </w:p>
          <w:p w14:paraId="3147399E" w14:textId="77777777" w:rsidR="00A720EB" w:rsidRDefault="0030286B">
            <w:pPr>
              <w:pStyle w:val="TableParagraph"/>
              <w:spacing w:before="3" w:line="230" w:lineRule="auto"/>
              <w:ind w:right="94"/>
              <w:rPr>
                <w:sz w:val="21"/>
              </w:rPr>
            </w:pPr>
            <w:proofErr w:type="gramStart"/>
            <w:r>
              <w:rPr>
                <w:color w:val="B02045"/>
                <w:sz w:val="21"/>
              </w:rPr>
              <w:t>.strategy</w:t>
            </w:r>
            <w:proofErr w:type="gramEnd"/>
            <w:r>
              <w:rPr>
                <w:color w:val="B02045"/>
                <w:sz w:val="21"/>
              </w:rPr>
              <w:t>.fixed.versio n</w:t>
            </w:r>
          </w:p>
        </w:tc>
        <w:tc>
          <w:tcPr>
            <w:tcW w:w="2494" w:type="dxa"/>
          </w:tcPr>
          <w:p w14:paraId="147A2FF4" w14:textId="77777777" w:rsidR="00A720EB" w:rsidRDefault="00A720EB">
            <w:pPr>
              <w:pStyle w:val="TableParagraph"/>
              <w:spacing w:before="0"/>
              <w:ind w:left="0"/>
              <w:rPr>
                <w:rFonts w:ascii="Times New Roman"/>
                <w:sz w:val="20"/>
              </w:rPr>
            </w:pPr>
          </w:p>
        </w:tc>
        <w:tc>
          <w:tcPr>
            <w:tcW w:w="4988" w:type="dxa"/>
          </w:tcPr>
          <w:p w14:paraId="2E8E570B" w14:textId="77777777" w:rsidR="00A720EB" w:rsidRDefault="0030286B">
            <w:pPr>
              <w:pStyle w:val="TableParagraph"/>
              <w:spacing w:before="92" w:line="307" w:lineRule="auto"/>
              <w:rPr>
                <w:rFonts w:ascii="Cambria"/>
                <w:sz w:val="21"/>
              </w:rPr>
            </w:pPr>
            <w:r>
              <w:rPr>
                <w:rFonts w:ascii="Cambria"/>
                <w:color w:val="333333"/>
                <w:w w:val="110"/>
                <w:sz w:val="21"/>
              </w:rPr>
              <w:t>Version string to use for the fixed Version Strategy.</w:t>
            </w:r>
          </w:p>
        </w:tc>
      </w:tr>
      <w:tr w:rsidR="00A720EB" w14:paraId="0E032A06" w14:textId="77777777">
        <w:trPr>
          <w:trHeight w:val="1404"/>
        </w:trPr>
        <w:tc>
          <w:tcPr>
            <w:tcW w:w="2494" w:type="dxa"/>
          </w:tcPr>
          <w:p w14:paraId="2103AF8A" w14:textId="77777777" w:rsidR="00A720EB" w:rsidRDefault="0030286B">
            <w:pPr>
              <w:pStyle w:val="TableParagraph"/>
              <w:spacing w:before="46" w:line="230" w:lineRule="auto"/>
              <w:ind w:right="113"/>
              <w:rPr>
                <w:sz w:val="21"/>
              </w:rPr>
            </w:pPr>
            <w:r>
              <w:rPr>
                <w:color w:val="B02045"/>
                <w:sz w:val="21"/>
              </w:rPr>
              <w:t>spring.</w:t>
            </w:r>
            <w:proofErr w:type="gramStart"/>
            <w:r>
              <w:rPr>
                <w:color w:val="B02045"/>
                <w:sz w:val="21"/>
              </w:rPr>
              <w:t>resources.stati</w:t>
            </w:r>
            <w:proofErr w:type="gramEnd"/>
            <w:r>
              <w:rPr>
                <w:color w:val="B02045"/>
                <w:sz w:val="21"/>
              </w:rPr>
              <w:t xml:space="preserve"> c-locations</w:t>
            </w:r>
          </w:p>
        </w:tc>
        <w:tc>
          <w:tcPr>
            <w:tcW w:w="2494" w:type="dxa"/>
          </w:tcPr>
          <w:p w14:paraId="25720EFC" w14:textId="77777777" w:rsidR="00A720EB" w:rsidRDefault="0030286B">
            <w:pPr>
              <w:pStyle w:val="TableParagraph"/>
              <w:spacing w:before="46" w:line="230" w:lineRule="auto"/>
              <w:ind w:right="94"/>
              <w:rPr>
                <w:sz w:val="21"/>
              </w:rPr>
            </w:pPr>
            <w:r>
              <w:rPr>
                <w:color w:val="B02045"/>
                <w:sz w:val="21"/>
              </w:rPr>
              <w:t>[classpath:/META- INF/resources/, classpath:/resources/, classpath:/static/, classpath:/public/]</w:t>
            </w:r>
          </w:p>
        </w:tc>
        <w:tc>
          <w:tcPr>
            <w:tcW w:w="4988" w:type="dxa"/>
          </w:tcPr>
          <w:p w14:paraId="23B5A8D3" w14:textId="77777777" w:rsidR="00A720EB" w:rsidRDefault="0030286B">
            <w:pPr>
              <w:pStyle w:val="TableParagraph"/>
              <w:spacing w:before="92" w:line="307" w:lineRule="auto"/>
              <w:ind w:right="430"/>
              <w:rPr>
                <w:rFonts w:ascii="Cambria"/>
                <w:sz w:val="21"/>
              </w:rPr>
            </w:pPr>
            <w:r>
              <w:rPr>
                <w:rFonts w:ascii="Cambria"/>
                <w:color w:val="333333"/>
                <w:w w:val="105"/>
                <w:sz w:val="21"/>
              </w:rPr>
              <w:t xml:space="preserve">Locations of static resources. Defaults to </w:t>
            </w:r>
            <w:proofErr w:type="gramStart"/>
            <w:r>
              <w:rPr>
                <w:rFonts w:ascii="Cambria"/>
                <w:color w:val="333333"/>
                <w:sz w:val="21"/>
              </w:rPr>
              <w:t>classpath:[</w:t>
            </w:r>
            <w:proofErr w:type="gramEnd"/>
            <w:r>
              <w:rPr>
                <w:rFonts w:ascii="Cambria"/>
                <w:color w:val="333333"/>
                <w:sz w:val="21"/>
              </w:rPr>
              <w:t>/META-INF/resources/, /resources/,</w:t>
            </w:r>
          </w:p>
          <w:p w14:paraId="0B1A60E0" w14:textId="77777777" w:rsidR="00A720EB" w:rsidRDefault="0030286B">
            <w:pPr>
              <w:pStyle w:val="TableParagraph"/>
              <w:spacing w:before="1"/>
              <w:rPr>
                <w:rFonts w:ascii="Cambria"/>
                <w:sz w:val="21"/>
              </w:rPr>
            </w:pPr>
            <w:r>
              <w:rPr>
                <w:rFonts w:ascii="Cambria"/>
                <w:color w:val="333333"/>
                <w:sz w:val="21"/>
              </w:rPr>
              <w:t>/static/, /public/].</w:t>
            </w:r>
          </w:p>
        </w:tc>
      </w:tr>
      <w:tr w:rsidR="00A720EB" w14:paraId="16532723" w14:textId="77777777">
        <w:trPr>
          <w:trHeight w:val="627"/>
        </w:trPr>
        <w:tc>
          <w:tcPr>
            <w:tcW w:w="2494" w:type="dxa"/>
          </w:tcPr>
          <w:p w14:paraId="2A6FE7F2" w14:textId="77777777" w:rsidR="00A720EB" w:rsidRDefault="0030286B">
            <w:pPr>
              <w:pStyle w:val="TableParagraph"/>
              <w:spacing w:before="46" w:line="230" w:lineRule="auto"/>
              <w:ind w:right="94"/>
              <w:rPr>
                <w:sz w:val="21"/>
              </w:rPr>
            </w:pPr>
            <w:proofErr w:type="gramStart"/>
            <w:r>
              <w:rPr>
                <w:color w:val="B02045"/>
                <w:sz w:val="21"/>
              </w:rPr>
              <w:t>spring.servlet</w:t>
            </w:r>
            <w:proofErr w:type="gramEnd"/>
            <w:r>
              <w:rPr>
                <w:color w:val="B02045"/>
                <w:sz w:val="21"/>
              </w:rPr>
              <w:t>.multipa rt.enabled</w:t>
            </w:r>
          </w:p>
        </w:tc>
        <w:tc>
          <w:tcPr>
            <w:tcW w:w="2494" w:type="dxa"/>
          </w:tcPr>
          <w:p w14:paraId="2221F87F" w14:textId="77777777" w:rsidR="00A720EB" w:rsidRDefault="0030286B">
            <w:pPr>
              <w:pStyle w:val="TableParagraph"/>
              <w:spacing w:before="37"/>
              <w:rPr>
                <w:sz w:val="21"/>
              </w:rPr>
            </w:pPr>
            <w:r>
              <w:rPr>
                <w:color w:val="B02045"/>
                <w:sz w:val="21"/>
              </w:rPr>
              <w:t>true</w:t>
            </w:r>
          </w:p>
        </w:tc>
        <w:tc>
          <w:tcPr>
            <w:tcW w:w="4988" w:type="dxa"/>
          </w:tcPr>
          <w:p w14:paraId="0C46E1DA" w14:textId="77777777" w:rsidR="00A720EB" w:rsidRDefault="0030286B">
            <w:pPr>
              <w:pStyle w:val="TableParagraph"/>
              <w:spacing w:before="92"/>
              <w:rPr>
                <w:rFonts w:ascii="Cambria"/>
                <w:sz w:val="21"/>
              </w:rPr>
            </w:pPr>
            <w:r>
              <w:rPr>
                <w:rFonts w:ascii="Cambria"/>
                <w:color w:val="333333"/>
                <w:w w:val="110"/>
                <w:sz w:val="21"/>
              </w:rPr>
              <w:t>Whether to enable support of multipart uploads.</w:t>
            </w:r>
          </w:p>
        </w:tc>
      </w:tr>
      <w:tr w:rsidR="00A720EB" w14:paraId="2BF0D194" w14:textId="77777777">
        <w:trPr>
          <w:trHeight w:val="627"/>
        </w:trPr>
        <w:tc>
          <w:tcPr>
            <w:tcW w:w="2494" w:type="dxa"/>
          </w:tcPr>
          <w:p w14:paraId="0F11335F" w14:textId="77777777" w:rsidR="00A720EB" w:rsidRDefault="0030286B">
            <w:pPr>
              <w:pStyle w:val="TableParagraph"/>
              <w:spacing w:before="46" w:line="230" w:lineRule="auto"/>
              <w:ind w:right="113"/>
              <w:rPr>
                <w:sz w:val="21"/>
              </w:rPr>
            </w:pPr>
            <w:proofErr w:type="gramStart"/>
            <w:r>
              <w:rPr>
                <w:color w:val="B02045"/>
                <w:sz w:val="21"/>
              </w:rPr>
              <w:t>spring.servlet</w:t>
            </w:r>
            <w:proofErr w:type="gramEnd"/>
            <w:r>
              <w:rPr>
                <w:color w:val="B02045"/>
                <w:sz w:val="21"/>
              </w:rPr>
              <w:t>.multipa rt.file-size-threshold</w:t>
            </w:r>
          </w:p>
        </w:tc>
        <w:tc>
          <w:tcPr>
            <w:tcW w:w="2494" w:type="dxa"/>
          </w:tcPr>
          <w:p w14:paraId="21EC8C32" w14:textId="77777777" w:rsidR="00A720EB" w:rsidRDefault="0030286B">
            <w:pPr>
              <w:pStyle w:val="TableParagraph"/>
              <w:rPr>
                <w:sz w:val="21"/>
              </w:rPr>
            </w:pPr>
            <w:r>
              <w:rPr>
                <w:color w:val="B02045"/>
                <w:sz w:val="21"/>
              </w:rPr>
              <w:t>0B</w:t>
            </w:r>
          </w:p>
        </w:tc>
        <w:tc>
          <w:tcPr>
            <w:tcW w:w="4988" w:type="dxa"/>
          </w:tcPr>
          <w:p w14:paraId="0ACB14FD" w14:textId="77777777" w:rsidR="00A720EB" w:rsidRDefault="0030286B">
            <w:pPr>
              <w:pStyle w:val="TableParagraph"/>
              <w:spacing w:before="92"/>
              <w:rPr>
                <w:rFonts w:ascii="Cambria"/>
                <w:sz w:val="21"/>
              </w:rPr>
            </w:pPr>
            <w:r>
              <w:rPr>
                <w:rFonts w:ascii="Cambria"/>
                <w:color w:val="333333"/>
                <w:w w:val="110"/>
                <w:sz w:val="21"/>
              </w:rPr>
              <w:t>Threshold after which files are written to disk.</w:t>
            </w:r>
          </w:p>
        </w:tc>
      </w:tr>
      <w:tr w:rsidR="00A720EB" w14:paraId="19F9A2AB" w14:textId="77777777">
        <w:trPr>
          <w:trHeight w:val="627"/>
        </w:trPr>
        <w:tc>
          <w:tcPr>
            <w:tcW w:w="2494" w:type="dxa"/>
          </w:tcPr>
          <w:p w14:paraId="50A4DFEC" w14:textId="77777777" w:rsidR="00A720EB" w:rsidRDefault="0030286B">
            <w:pPr>
              <w:pStyle w:val="TableParagraph"/>
              <w:spacing w:before="46" w:line="230" w:lineRule="auto"/>
              <w:ind w:right="94"/>
              <w:rPr>
                <w:sz w:val="21"/>
              </w:rPr>
            </w:pPr>
            <w:proofErr w:type="gramStart"/>
            <w:r>
              <w:rPr>
                <w:color w:val="B02045"/>
                <w:sz w:val="21"/>
              </w:rPr>
              <w:t>spring.servlet</w:t>
            </w:r>
            <w:proofErr w:type="gramEnd"/>
            <w:r>
              <w:rPr>
                <w:color w:val="B02045"/>
                <w:sz w:val="21"/>
              </w:rPr>
              <w:t>.multipa rt.location</w:t>
            </w:r>
          </w:p>
        </w:tc>
        <w:tc>
          <w:tcPr>
            <w:tcW w:w="2494" w:type="dxa"/>
          </w:tcPr>
          <w:p w14:paraId="602F53AC" w14:textId="77777777" w:rsidR="00A720EB" w:rsidRDefault="00A720EB">
            <w:pPr>
              <w:pStyle w:val="TableParagraph"/>
              <w:spacing w:before="0"/>
              <w:ind w:left="0"/>
              <w:rPr>
                <w:rFonts w:ascii="Times New Roman"/>
                <w:sz w:val="20"/>
              </w:rPr>
            </w:pPr>
          </w:p>
        </w:tc>
        <w:tc>
          <w:tcPr>
            <w:tcW w:w="4988" w:type="dxa"/>
          </w:tcPr>
          <w:p w14:paraId="12A9DFC1" w14:textId="77777777" w:rsidR="00A720EB" w:rsidRDefault="0030286B">
            <w:pPr>
              <w:pStyle w:val="TableParagraph"/>
              <w:spacing w:before="92"/>
              <w:rPr>
                <w:rFonts w:ascii="Cambria"/>
                <w:sz w:val="21"/>
              </w:rPr>
            </w:pPr>
            <w:r>
              <w:rPr>
                <w:rFonts w:ascii="Cambria"/>
                <w:color w:val="333333"/>
                <w:w w:val="110"/>
                <w:sz w:val="21"/>
              </w:rPr>
              <w:t>Intermediate location of uploaded files.</w:t>
            </w:r>
          </w:p>
        </w:tc>
      </w:tr>
      <w:tr w:rsidR="00A720EB" w14:paraId="128DA459" w14:textId="77777777">
        <w:trPr>
          <w:trHeight w:val="627"/>
        </w:trPr>
        <w:tc>
          <w:tcPr>
            <w:tcW w:w="2494" w:type="dxa"/>
          </w:tcPr>
          <w:p w14:paraId="18E22C67" w14:textId="77777777" w:rsidR="00A720EB" w:rsidRDefault="0030286B">
            <w:pPr>
              <w:pStyle w:val="TableParagraph"/>
              <w:spacing w:before="46" w:line="230" w:lineRule="auto"/>
              <w:ind w:right="113"/>
              <w:rPr>
                <w:sz w:val="21"/>
              </w:rPr>
            </w:pPr>
            <w:proofErr w:type="gramStart"/>
            <w:r>
              <w:rPr>
                <w:color w:val="B02045"/>
                <w:sz w:val="21"/>
              </w:rPr>
              <w:t>spring.servlet</w:t>
            </w:r>
            <w:proofErr w:type="gramEnd"/>
            <w:r>
              <w:rPr>
                <w:color w:val="B02045"/>
                <w:sz w:val="21"/>
              </w:rPr>
              <w:t>.multipa rt.max-file-size</w:t>
            </w:r>
          </w:p>
        </w:tc>
        <w:tc>
          <w:tcPr>
            <w:tcW w:w="2494" w:type="dxa"/>
          </w:tcPr>
          <w:p w14:paraId="37CE1A53" w14:textId="77777777" w:rsidR="00A720EB" w:rsidRDefault="0030286B">
            <w:pPr>
              <w:pStyle w:val="TableParagraph"/>
              <w:rPr>
                <w:sz w:val="21"/>
              </w:rPr>
            </w:pPr>
            <w:r>
              <w:rPr>
                <w:color w:val="B02045"/>
                <w:sz w:val="21"/>
              </w:rPr>
              <w:t>1MB</w:t>
            </w:r>
          </w:p>
        </w:tc>
        <w:tc>
          <w:tcPr>
            <w:tcW w:w="4988" w:type="dxa"/>
          </w:tcPr>
          <w:p w14:paraId="78D4B0C0" w14:textId="77777777" w:rsidR="00A720EB" w:rsidRDefault="0030286B">
            <w:pPr>
              <w:pStyle w:val="TableParagraph"/>
              <w:spacing w:before="92"/>
              <w:rPr>
                <w:rFonts w:ascii="Cambria"/>
                <w:sz w:val="21"/>
              </w:rPr>
            </w:pPr>
            <w:r>
              <w:rPr>
                <w:rFonts w:ascii="Cambria"/>
                <w:color w:val="333333"/>
                <w:w w:val="115"/>
                <w:sz w:val="21"/>
              </w:rPr>
              <w:t>Max file size.</w:t>
            </w:r>
          </w:p>
        </w:tc>
      </w:tr>
      <w:tr w:rsidR="00A720EB" w14:paraId="4D155330" w14:textId="77777777">
        <w:trPr>
          <w:trHeight w:val="627"/>
        </w:trPr>
        <w:tc>
          <w:tcPr>
            <w:tcW w:w="2494" w:type="dxa"/>
          </w:tcPr>
          <w:p w14:paraId="5EE6A1B4" w14:textId="77777777" w:rsidR="00A720EB" w:rsidRDefault="0030286B">
            <w:pPr>
              <w:pStyle w:val="TableParagraph"/>
              <w:spacing w:before="46" w:line="230" w:lineRule="auto"/>
              <w:ind w:right="113"/>
              <w:rPr>
                <w:sz w:val="21"/>
              </w:rPr>
            </w:pPr>
            <w:proofErr w:type="gramStart"/>
            <w:r>
              <w:rPr>
                <w:color w:val="B02045"/>
                <w:sz w:val="21"/>
              </w:rPr>
              <w:t>spring.servlet</w:t>
            </w:r>
            <w:proofErr w:type="gramEnd"/>
            <w:r>
              <w:rPr>
                <w:color w:val="B02045"/>
                <w:sz w:val="21"/>
              </w:rPr>
              <w:t>.multipa rt.max-request-size</w:t>
            </w:r>
          </w:p>
        </w:tc>
        <w:tc>
          <w:tcPr>
            <w:tcW w:w="2494" w:type="dxa"/>
          </w:tcPr>
          <w:p w14:paraId="50D65925" w14:textId="77777777" w:rsidR="00A720EB" w:rsidRDefault="0030286B">
            <w:pPr>
              <w:pStyle w:val="TableParagraph"/>
              <w:spacing w:before="37"/>
              <w:rPr>
                <w:sz w:val="21"/>
              </w:rPr>
            </w:pPr>
            <w:r>
              <w:rPr>
                <w:color w:val="B02045"/>
                <w:sz w:val="21"/>
              </w:rPr>
              <w:t>10MB</w:t>
            </w:r>
          </w:p>
        </w:tc>
        <w:tc>
          <w:tcPr>
            <w:tcW w:w="4988" w:type="dxa"/>
          </w:tcPr>
          <w:p w14:paraId="4A26C9B7" w14:textId="77777777" w:rsidR="00A720EB" w:rsidRDefault="0030286B">
            <w:pPr>
              <w:pStyle w:val="TableParagraph"/>
              <w:spacing w:before="92"/>
              <w:rPr>
                <w:rFonts w:ascii="Cambria"/>
                <w:sz w:val="21"/>
              </w:rPr>
            </w:pPr>
            <w:r>
              <w:rPr>
                <w:rFonts w:ascii="Cambria"/>
                <w:color w:val="333333"/>
                <w:w w:val="115"/>
                <w:sz w:val="21"/>
              </w:rPr>
              <w:t>Max request size.</w:t>
            </w:r>
          </w:p>
        </w:tc>
      </w:tr>
      <w:tr w:rsidR="00A720EB" w14:paraId="1B3D2064" w14:textId="77777777">
        <w:trPr>
          <w:trHeight w:val="741"/>
        </w:trPr>
        <w:tc>
          <w:tcPr>
            <w:tcW w:w="2494" w:type="dxa"/>
          </w:tcPr>
          <w:p w14:paraId="46252CE2" w14:textId="77777777" w:rsidR="00A720EB" w:rsidRDefault="0030286B">
            <w:pPr>
              <w:pStyle w:val="TableParagraph"/>
              <w:spacing w:before="46" w:line="230" w:lineRule="auto"/>
              <w:ind w:right="113"/>
              <w:rPr>
                <w:sz w:val="21"/>
              </w:rPr>
            </w:pPr>
            <w:proofErr w:type="gramStart"/>
            <w:r>
              <w:rPr>
                <w:color w:val="B02045"/>
                <w:sz w:val="21"/>
              </w:rPr>
              <w:t>spring.servlet</w:t>
            </w:r>
            <w:proofErr w:type="gramEnd"/>
            <w:r>
              <w:rPr>
                <w:color w:val="B02045"/>
                <w:sz w:val="21"/>
              </w:rPr>
              <w:t>.multipa rt.resolve-lazily</w:t>
            </w:r>
          </w:p>
        </w:tc>
        <w:tc>
          <w:tcPr>
            <w:tcW w:w="2494" w:type="dxa"/>
          </w:tcPr>
          <w:p w14:paraId="1B37A8C7" w14:textId="77777777" w:rsidR="00A720EB" w:rsidRDefault="0030286B">
            <w:pPr>
              <w:pStyle w:val="TableParagraph"/>
              <w:rPr>
                <w:sz w:val="21"/>
              </w:rPr>
            </w:pPr>
            <w:r>
              <w:rPr>
                <w:color w:val="B02045"/>
                <w:sz w:val="21"/>
              </w:rPr>
              <w:t>false</w:t>
            </w:r>
          </w:p>
        </w:tc>
        <w:tc>
          <w:tcPr>
            <w:tcW w:w="4988" w:type="dxa"/>
          </w:tcPr>
          <w:p w14:paraId="4152A97E"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to resolve the multipart request lazily at the time of file or parameter access.</w:t>
            </w:r>
          </w:p>
        </w:tc>
      </w:tr>
      <w:tr w:rsidR="00A720EB" w14:paraId="7B9893D7" w14:textId="77777777">
        <w:trPr>
          <w:trHeight w:val="627"/>
        </w:trPr>
        <w:tc>
          <w:tcPr>
            <w:tcW w:w="2494" w:type="dxa"/>
          </w:tcPr>
          <w:p w14:paraId="13105919" w14:textId="77777777" w:rsidR="00A720EB" w:rsidRDefault="0030286B">
            <w:pPr>
              <w:pStyle w:val="TableParagraph"/>
              <w:spacing w:before="46" w:line="230" w:lineRule="auto"/>
              <w:ind w:right="304"/>
              <w:rPr>
                <w:sz w:val="21"/>
              </w:rPr>
            </w:pPr>
            <w:proofErr w:type="gramStart"/>
            <w:r>
              <w:rPr>
                <w:color w:val="B02045"/>
                <w:sz w:val="21"/>
              </w:rPr>
              <w:t>spring.webflux</w:t>
            </w:r>
            <w:proofErr w:type="gramEnd"/>
            <w:r>
              <w:rPr>
                <w:color w:val="B02045"/>
                <w:sz w:val="21"/>
              </w:rPr>
              <w:t>.base- path</w:t>
            </w:r>
          </w:p>
        </w:tc>
        <w:tc>
          <w:tcPr>
            <w:tcW w:w="2494" w:type="dxa"/>
          </w:tcPr>
          <w:p w14:paraId="7536D378" w14:textId="77777777" w:rsidR="00A720EB" w:rsidRDefault="00A720EB">
            <w:pPr>
              <w:pStyle w:val="TableParagraph"/>
              <w:spacing w:before="0"/>
              <w:ind w:left="0"/>
              <w:rPr>
                <w:rFonts w:ascii="Times New Roman"/>
                <w:sz w:val="20"/>
              </w:rPr>
            </w:pPr>
          </w:p>
        </w:tc>
        <w:tc>
          <w:tcPr>
            <w:tcW w:w="4988" w:type="dxa"/>
          </w:tcPr>
          <w:p w14:paraId="535B960F" w14:textId="77777777" w:rsidR="00A720EB" w:rsidRDefault="0030286B">
            <w:pPr>
              <w:pStyle w:val="TableParagraph"/>
              <w:spacing w:before="92"/>
              <w:rPr>
                <w:rFonts w:ascii="Cambria"/>
                <w:sz w:val="21"/>
              </w:rPr>
            </w:pPr>
            <w:r>
              <w:rPr>
                <w:rFonts w:ascii="Cambria"/>
                <w:color w:val="333333"/>
                <w:w w:val="110"/>
                <w:sz w:val="21"/>
              </w:rPr>
              <w:t>Base path for all web handlers.</w:t>
            </w:r>
          </w:p>
        </w:tc>
      </w:tr>
      <w:tr w:rsidR="00A720EB" w14:paraId="3A1FE524" w14:textId="77777777">
        <w:trPr>
          <w:trHeight w:val="627"/>
        </w:trPr>
        <w:tc>
          <w:tcPr>
            <w:tcW w:w="2494" w:type="dxa"/>
          </w:tcPr>
          <w:p w14:paraId="276C8981" w14:textId="77777777" w:rsidR="00A720EB" w:rsidRDefault="0030286B">
            <w:pPr>
              <w:pStyle w:val="TableParagraph"/>
              <w:spacing w:before="46" w:line="230" w:lineRule="auto"/>
              <w:ind w:right="94"/>
              <w:rPr>
                <w:sz w:val="21"/>
              </w:rPr>
            </w:pPr>
            <w:proofErr w:type="gramStart"/>
            <w:r>
              <w:rPr>
                <w:color w:val="B02045"/>
                <w:sz w:val="21"/>
              </w:rPr>
              <w:t>spring.webflux</w:t>
            </w:r>
            <w:proofErr w:type="gramEnd"/>
            <w:r>
              <w:rPr>
                <w:color w:val="B02045"/>
                <w:sz w:val="21"/>
              </w:rPr>
              <w:t>.format. date</w:t>
            </w:r>
          </w:p>
        </w:tc>
        <w:tc>
          <w:tcPr>
            <w:tcW w:w="2494" w:type="dxa"/>
          </w:tcPr>
          <w:p w14:paraId="09E3F102" w14:textId="77777777" w:rsidR="00A720EB" w:rsidRDefault="00A720EB">
            <w:pPr>
              <w:pStyle w:val="TableParagraph"/>
              <w:spacing w:before="0"/>
              <w:ind w:left="0"/>
              <w:rPr>
                <w:rFonts w:ascii="Times New Roman"/>
                <w:sz w:val="20"/>
              </w:rPr>
            </w:pPr>
          </w:p>
        </w:tc>
        <w:tc>
          <w:tcPr>
            <w:tcW w:w="4988" w:type="dxa"/>
          </w:tcPr>
          <w:p w14:paraId="08A196B9" w14:textId="77777777" w:rsidR="00A720EB" w:rsidRDefault="0030286B">
            <w:pPr>
              <w:pStyle w:val="TableParagraph"/>
              <w:spacing w:before="92"/>
              <w:rPr>
                <w:rFonts w:ascii="Cambria"/>
                <w:sz w:val="21"/>
              </w:rPr>
            </w:pPr>
            <w:r>
              <w:rPr>
                <w:rFonts w:ascii="Cambria"/>
                <w:color w:val="333333"/>
                <w:w w:val="110"/>
                <w:sz w:val="21"/>
              </w:rPr>
              <w:t>Date format to use, for example `dd/MM/yyyy`.</w:t>
            </w:r>
          </w:p>
        </w:tc>
      </w:tr>
      <w:tr w:rsidR="00A720EB" w14:paraId="16B3EF23" w14:textId="77777777">
        <w:trPr>
          <w:trHeight w:val="741"/>
        </w:trPr>
        <w:tc>
          <w:tcPr>
            <w:tcW w:w="2494" w:type="dxa"/>
          </w:tcPr>
          <w:p w14:paraId="74A656D0" w14:textId="77777777" w:rsidR="00A720EB" w:rsidRDefault="0030286B">
            <w:pPr>
              <w:pStyle w:val="TableParagraph"/>
              <w:spacing w:before="46" w:line="230" w:lineRule="auto"/>
              <w:ind w:right="113"/>
              <w:rPr>
                <w:sz w:val="21"/>
              </w:rPr>
            </w:pPr>
            <w:proofErr w:type="gramStart"/>
            <w:r>
              <w:rPr>
                <w:color w:val="B02045"/>
                <w:sz w:val="21"/>
              </w:rPr>
              <w:t>spring.webflux</w:t>
            </w:r>
            <w:proofErr w:type="gramEnd"/>
            <w:r>
              <w:rPr>
                <w:color w:val="B02045"/>
                <w:sz w:val="21"/>
              </w:rPr>
              <w:t>.format. date-time</w:t>
            </w:r>
          </w:p>
        </w:tc>
        <w:tc>
          <w:tcPr>
            <w:tcW w:w="2494" w:type="dxa"/>
          </w:tcPr>
          <w:p w14:paraId="2C5D675E" w14:textId="77777777" w:rsidR="00A720EB" w:rsidRDefault="00A720EB">
            <w:pPr>
              <w:pStyle w:val="TableParagraph"/>
              <w:spacing w:before="0"/>
              <w:ind w:left="0"/>
              <w:rPr>
                <w:rFonts w:ascii="Times New Roman"/>
                <w:sz w:val="20"/>
              </w:rPr>
            </w:pPr>
          </w:p>
        </w:tc>
        <w:tc>
          <w:tcPr>
            <w:tcW w:w="4988" w:type="dxa"/>
          </w:tcPr>
          <w:p w14:paraId="16535A17" w14:textId="77777777" w:rsidR="00A720EB" w:rsidRDefault="0030286B">
            <w:pPr>
              <w:pStyle w:val="TableParagraph"/>
              <w:spacing w:before="28" w:line="310" w:lineRule="atLeast"/>
              <w:rPr>
                <w:rFonts w:ascii="Cambria"/>
                <w:sz w:val="21"/>
              </w:rPr>
            </w:pPr>
            <w:r>
              <w:rPr>
                <w:rFonts w:ascii="Cambria"/>
                <w:color w:val="333333"/>
                <w:w w:val="115"/>
                <w:sz w:val="21"/>
              </w:rPr>
              <w:t>Date-time</w:t>
            </w:r>
            <w:r>
              <w:rPr>
                <w:rFonts w:ascii="Cambria"/>
                <w:color w:val="333333"/>
                <w:spacing w:val="-19"/>
                <w:w w:val="115"/>
                <w:sz w:val="21"/>
              </w:rPr>
              <w:t xml:space="preserve"> </w:t>
            </w:r>
            <w:r>
              <w:rPr>
                <w:rFonts w:ascii="Cambria"/>
                <w:color w:val="333333"/>
                <w:w w:val="115"/>
                <w:sz w:val="21"/>
              </w:rPr>
              <w:t>format</w:t>
            </w:r>
            <w:r>
              <w:rPr>
                <w:rFonts w:ascii="Cambria"/>
                <w:color w:val="333333"/>
                <w:spacing w:val="-19"/>
                <w:w w:val="115"/>
                <w:sz w:val="21"/>
              </w:rPr>
              <w:t xml:space="preserve"> </w:t>
            </w:r>
            <w:r>
              <w:rPr>
                <w:rFonts w:ascii="Cambria"/>
                <w:color w:val="333333"/>
                <w:w w:val="115"/>
                <w:sz w:val="21"/>
              </w:rPr>
              <w:t>to</w:t>
            </w:r>
            <w:r>
              <w:rPr>
                <w:rFonts w:ascii="Cambria"/>
                <w:color w:val="333333"/>
                <w:spacing w:val="-19"/>
                <w:w w:val="115"/>
                <w:sz w:val="21"/>
              </w:rPr>
              <w:t xml:space="preserve"> </w:t>
            </w:r>
            <w:r>
              <w:rPr>
                <w:rFonts w:ascii="Cambria"/>
                <w:color w:val="333333"/>
                <w:w w:val="115"/>
                <w:sz w:val="21"/>
              </w:rPr>
              <w:t>use,</w:t>
            </w:r>
            <w:r>
              <w:rPr>
                <w:rFonts w:ascii="Cambria"/>
                <w:color w:val="333333"/>
                <w:spacing w:val="-19"/>
                <w:w w:val="115"/>
                <w:sz w:val="21"/>
              </w:rPr>
              <w:t xml:space="preserve"> </w:t>
            </w:r>
            <w:r>
              <w:rPr>
                <w:rFonts w:ascii="Cambria"/>
                <w:color w:val="333333"/>
                <w:w w:val="115"/>
                <w:sz w:val="21"/>
              </w:rPr>
              <w:t>for</w:t>
            </w:r>
            <w:r>
              <w:rPr>
                <w:rFonts w:ascii="Cambria"/>
                <w:color w:val="333333"/>
                <w:spacing w:val="-19"/>
                <w:w w:val="115"/>
                <w:sz w:val="21"/>
              </w:rPr>
              <w:t xml:space="preserve"> </w:t>
            </w:r>
            <w:r>
              <w:rPr>
                <w:rFonts w:ascii="Cambria"/>
                <w:color w:val="333333"/>
                <w:w w:val="115"/>
                <w:sz w:val="21"/>
              </w:rPr>
              <w:t>example</w:t>
            </w:r>
            <w:r>
              <w:rPr>
                <w:rFonts w:ascii="Cambria"/>
                <w:color w:val="333333"/>
                <w:spacing w:val="-19"/>
                <w:w w:val="115"/>
                <w:sz w:val="21"/>
              </w:rPr>
              <w:t xml:space="preserve"> </w:t>
            </w:r>
            <w:r>
              <w:rPr>
                <w:rFonts w:ascii="Cambria"/>
                <w:color w:val="333333"/>
                <w:w w:val="115"/>
                <w:sz w:val="21"/>
              </w:rPr>
              <w:t>`yyyy-MM- dd HH:</w:t>
            </w:r>
            <w:proofErr w:type="gramStart"/>
            <w:r>
              <w:rPr>
                <w:rFonts w:ascii="Cambria"/>
                <w:color w:val="333333"/>
                <w:w w:val="115"/>
                <w:sz w:val="21"/>
              </w:rPr>
              <w:t>mm:ss</w:t>
            </w:r>
            <w:proofErr w:type="gramEnd"/>
            <w:r>
              <w:rPr>
                <w:rFonts w:ascii="Cambria"/>
                <w:color w:val="333333"/>
                <w:w w:val="115"/>
                <w:sz w:val="21"/>
              </w:rPr>
              <w:t>`.</w:t>
            </w:r>
          </w:p>
        </w:tc>
      </w:tr>
      <w:tr w:rsidR="00A720EB" w14:paraId="6F83DA59" w14:textId="77777777">
        <w:trPr>
          <w:trHeight w:val="627"/>
        </w:trPr>
        <w:tc>
          <w:tcPr>
            <w:tcW w:w="2494" w:type="dxa"/>
          </w:tcPr>
          <w:p w14:paraId="0FE9CFD5" w14:textId="77777777" w:rsidR="00A720EB" w:rsidRDefault="0030286B">
            <w:pPr>
              <w:pStyle w:val="TableParagraph"/>
              <w:spacing w:before="46" w:line="230" w:lineRule="auto"/>
              <w:ind w:right="94"/>
              <w:rPr>
                <w:sz w:val="21"/>
              </w:rPr>
            </w:pPr>
            <w:proofErr w:type="gramStart"/>
            <w:r>
              <w:rPr>
                <w:color w:val="B02045"/>
                <w:sz w:val="21"/>
              </w:rPr>
              <w:t>spring.webflux</w:t>
            </w:r>
            <w:proofErr w:type="gramEnd"/>
            <w:r>
              <w:rPr>
                <w:color w:val="B02045"/>
                <w:sz w:val="21"/>
              </w:rPr>
              <w:t>.format. time</w:t>
            </w:r>
          </w:p>
        </w:tc>
        <w:tc>
          <w:tcPr>
            <w:tcW w:w="2494" w:type="dxa"/>
          </w:tcPr>
          <w:p w14:paraId="17D6E81C" w14:textId="77777777" w:rsidR="00A720EB" w:rsidRDefault="00A720EB">
            <w:pPr>
              <w:pStyle w:val="TableParagraph"/>
              <w:spacing w:before="0"/>
              <w:ind w:left="0"/>
              <w:rPr>
                <w:rFonts w:ascii="Times New Roman"/>
                <w:sz w:val="20"/>
              </w:rPr>
            </w:pPr>
          </w:p>
        </w:tc>
        <w:tc>
          <w:tcPr>
            <w:tcW w:w="4988" w:type="dxa"/>
          </w:tcPr>
          <w:p w14:paraId="2A9349D3" w14:textId="77777777" w:rsidR="00A720EB" w:rsidRDefault="0030286B">
            <w:pPr>
              <w:pStyle w:val="TableParagraph"/>
              <w:spacing w:before="92"/>
              <w:rPr>
                <w:rFonts w:ascii="Cambria"/>
                <w:sz w:val="21"/>
              </w:rPr>
            </w:pPr>
            <w:r>
              <w:rPr>
                <w:rFonts w:ascii="Cambria"/>
                <w:color w:val="333333"/>
                <w:w w:val="115"/>
                <w:sz w:val="21"/>
              </w:rPr>
              <w:t>Time format to use, for example `HH:</w:t>
            </w:r>
            <w:proofErr w:type="gramStart"/>
            <w:r>
              <w:rPr>
                <w:rFonts w:ascii="Cambria"/>
                <w:color w:val="333333"/>
                <w:w w:val="115"/>
                <w:sz w:val="21"/>
              </w:rPr>
              <w:t>mm:ss</w:t>
            </w:r>
            <w:proofErr w:type="gramEnd"/>
            <w:r>
              <w:rPr>
                <w:rFonts w:ascii="Cambria"/>
                <w:color w:val="333333"/>
                <w:w w:val="115"/>
                <w:sz w:val="21"/>
              </w:rPr>
              <w:t>`.</w:t>
            </w:r>
          </w:p>
        </w:tc>
      </w:tr>
      <w:tr w:rsidR="00A720EB" w14:paraId="4E6FCE65" w14:textId="77777777">
        <w:trPr>
          <w:trHeight w:val="741"/>
        </w:trPr>
        <w:tc>
          <w:tcPr>
            <w:tcW w:w="2494" w:type="dxa"/>
          </w:tcPr>
          <w:p w14:paraId="305C791A" w14:textId="77777777" w:rsidR="00A720EB" w:rsidRDefault="0030286B">
            <w:pPr>
              <w:pStyle w:val="TableParagraph"/>
              <w:spacing w:before="46" w:line="230" w:lineRule="auto"/>
              <w:ind w:right="94"/>
              <w:rPr>
                <w:sz w:val="21"/>
              </w:rPr>
            </w:pPr>
            <w:proofErr w:type="gramStart"/>
            <w:r>
              <w:rPr>
                <w:color w:val="B02045"/>
                <w:sz w:val="21"/>
              </w:rPr>
              <w:t>spring.webflux</w:t>
            </w:r>
            <w:proofErr w:type="gramEnd"/>
            <w:r>
              <w:rPr>
                <w:color w:val="B02045"/>
                <w:sz w:val="21"/>
              </w:rPr>
              <w:t>.hiddenm ethod.filter.enabled</w:t>
            </w:r>
          </w:p>
        </w:tc>
        <w:tc>
          <w:tcPr>
            <w:tcW w:w="2494" w:type="dxa"/>
          </w:tcPr>
          <w:p w14:paraId="669E9C28" w14:textId="77777777" w:rsidR="00A720EB" w:rsidRDefault="0030286B">
            <w:pPr>
              <w:pStyle w:val="TableParagraph"/>
              <w:rPr>
                <w:sz w:val="21"/>
              </w:rPr>
            </w:pPr>
            <w:r>
              <w:rPr>
                <w:color w:val="B02045"/>
                <w:sz w:val="21"/>
              </w:rPr>
              <w:t>false</w:t>
            </w:r>
          </w:p>
        </w:tc>
        <w:tc>
          <w:tcPr>
            <w:tcW w:w="4988" w:type="dxa"/>
          </w:tcPr>
          <w:p w14:paraId="6DD98FD5" w14:textId="77777777" w:rsidR="00A720EB" w:rsidRDefault="0030286B">
            <w:pPr>
              <w:pStyle w:val="TableParagraph"/>
              <w:spacing w:before="28" w:line="310" w:lineRule="atLeast"/>
              <w:rPr>
                <w:rFonts w:ascii="Cambria"/>
                <w:sz w:val="21"/>
              </w:rPr>
            </w:pPr>
            <w:r>
              <w:rPr>
                <w:rFonts w:ascii="Cambria"/>
                <w:color w:val="333333"/>
                <w:w w:val="110"/>
                <w:sz w:val="21"/>
              </w:rPr>
              <w:t>Whether to enable Spring's HiddenHttpMethodFilter.</w:t>
            </w:r>
          </w:p>
        </w:tc>
      </w:tr>
      <w:tr w:rsidR="00A720EB" w14:paraId="2CED91EB" w14:textId="77777777">
        <w:trPr>
          <w:trHeight w:val="627"/>
        </w:trPr>
        <w:tc>
          <w:tcPr>
            <w:tcW w:w="2494" w:type="dxa"/>
          </w:tcPr>
          <w:p w14:paraId="324DE7D0" w14:textId="77777777" w:rsidR="00A720EB" w:rsidRDefault="0030286B">
            <w:pPr>
              <w:pStyle w:val="TableParagraph"/>
              <w:spacing w:before="46" w:line="230" w:lineRule="auto"/>
              <w:ind w:right="113"/>
              <w:rPr>
                <w:sz w:val="21"/>
              </w:rPr>
            </w:pPr>
            <w:proofErr w:type="gramStart"/>
            <w:r>
              <w:rPr>
                <w:color w:val="B02045"/>
                <w:sz w:val="21"/>
              </w:rPr>
              <w:t>spring.webflux</w:t>
            </w:r>
            <w:proofErr w:type="gramEnd"/>
            <w:r>
              <w:rPr>
                <w:color w:val="B02045"/>
                <w:sz w:val="21"/>
              </w:rPr>
              <w:t>.static- path-pattern</w:t>
            </w:r>
          </w:p>
        </w:tc>
        <w:tc>
          <w:tcPr>
            <w:tcW w:w="2494" w:type="dxa"/>
          </w:tcPr>
          <w:p w14:paraId="71C2D859" w14:textId="77777777" w:rsidR="00A720EB" w:rsidRDefault="0030286B">
            <w:pPr>
              <w:pStyle w:val="TableParagraph"/>
              <w:rPr>
                <w:sz w:val="21"/>
              </w:rPr>
            </w:pPr>
            <w:r>
              <w:rPr>
                <w:color w:val="B02045"/>
                <w:sz w:val="21"/>
              </w:rPr>
              <w:t>/**</w:t>
            </w:r>
          </w:p>
        </w:tc>
        <w:tc>
          <w:tcPr>
            <w:tcW w:w="4988" w:type="dxa"/>
          </w:tcPr>
          <w:p w14:paraId="5AF2BA9A" w14:textId="77777777" w:rsidR="00A720EB" w:rsidRDefault="0030286B">
            <w:pPr>
              <w:pStyle w:val="TableParagraph"/>
              <w:spacing w:before="92"/>
              <w:rPr>
                <w:rFonts w:ascii="Cambria"/>
                <w:sz w:val="21"/>
              </w:rPr>
            </w:pPr>
            <w:r>
              <w:rPr>
                <w:rFonts w:ascii="Cambria"/>
                <w:color w:val="333333"/>
                <w:w w:val="110"/>
                <w:sz w:val="21"/>
              </w:rPr>
              <w:t>Path pattern used for static resources.</w:t>
            </w:r>
          </w:p>
        </w:tc>
      </w:tr>
    </w:tbl>
    <w:p w14:paraId="3103B465" w14:textId="77777777" w:rsidR="00A720EB" w:rsidRDefault="00A720EB">
      <w:pPr>
        <w:pStyle w:val="a3"/>
        <w:spacing w:before="12"/>
        <w:rPr>
          <w:rFonts w:ascii="Palatino Linotype"/>
          <w:b/>
          <w:sz w:val="16"/>
        </w:rPr>
      </w:pPr>
    </w:p>
    <w:p w14:paraId="762C603A" w14:textId="77777777" w:rsidR="00A720EB" w:rsidRDefault="0030286B">
      <w:pPr>
        <w:pStyle w:val="3"/>
        <w:numPr>
          <w:ilvl w:val="2"/>
          <w:numId w:val="9"/>
        </w:numPr>
        <w:tabs>
          <w:tab w:val="left" w:pos="1199"/>
        </w:tabs>
        <w:spacing w:before="105"/>
        <w:ind w:left="1198" w:hanging="1075"/>
      </w:pPr>
      <w:bookmarkStart w:id="1041" w:name="10.A.10._Templating_properties"/>
      <w:bookmarkStart w:id="1042" w:name="_Toc54424038"/>
      <w:bookmarkEnd w:id="1041"/>
      <w:r>
        <w:rPr>
          <w:color w:val="333333"/>
          <w:w w:val="110"/>
        </w:rPr>
        <w:t>Templating</w:t>
      </w:r>
      <w:r>
        <w:rPr>
          <w:color w:val="333333"/>
          <w:spacing w:val="-6"/>
          <w:w w:val="110"/>
        </w:rPr>
        <w:t xml:space="preserve"> </w:t>
      </w:r>
      <w:r>
        <w:rPr>
          <w:color w:val="333333"/>
          <w:w w:val="110"/>
        </w:rPr>
        <w:t>properties</w:t>
      </w:r>
      <w:bookmarkEnd w:id="1042"/>
    </w:p>
    <w:p w14:paraId="1F749399"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4C4C7B0" w14:textId="77777777">
        <w:trPr>
          <w:trHeight w:val="415"/>
        </w:trPr>
        <w:tc>
          <w:tcPr>
            <w:tcW w:w="2494" w:type="dxa"/>
            <w:tcBorders>
              <w:bottom w:val="single" w:sz="12" w:space="0" w:color="DDDDDD"/>
            </w:tcBorders>
          </w:tcPr>
          <w:p w14:paraId="564F183E"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3361DD30"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C6F4C09"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15A81EC5" w14:textId="77777777">
        <w:trPr>
          <w:trHeight w:val="1046"/>
        </w:trPr>
        <w:tc>
          <w:tcPr>
            <w:tcW w:w="2494" w:type="dxa"/>
            <w:tcBorders>
              <w:top w:val="single" w:sz="12" w:space="0" w:color="DDDDDD"/>
            </w:tcBorders>
          </w:tcPr>
          <w:p w14:paraId="6C2DA3A5" w14:textId="77777777" w:rsidR="00A720EB" w:rsidRDefault="0030286B">
            <w:pPr>
              <w:pStyle w:val="TableParagraph"/>
              <w:spacing w:before="39" w:line="230" w:lineRule="auto"/>
              <w:ind w:right="113"/>
              <w:rPr>
                <w:sz w:val="21"/>
              </w:rPr>
            </w:pPr>
            <w:proofErr w:type="gramStart"/>
            <w:r>
              <w:rPr>
                <w:color w:val="B02045"/>
                <w:sz w:val="21"/>
              </w:rPr>
              <w:lastRenderedPageBreak/>
              <w:t>spring.freemarker</w:t>
            </w:r>
            <w:proofErr w:type="gramEnd"/>
            <w:r>
              <w:rPr>
                <w:color w:val="B02045"/>
                <w:sz w:val="21"/>
              </w:rPr>
              <w:t>.allo w-request-override</w:t>
            </w:r>
          </w:p>
        </w:tc>
        <w:tc>
          <w:tcPr>
            <w:tcW w:w="2494" w:type="dxa"/>
            <w:tcBorders>
              <w:top w:val="single" w:sz="12" w:space="0" w:color="DDDDDD"/>
            </w:tcBorders>
          </w:tcPr>
          <w:p w14:paraId="2DEBE2AF" w14:textId="77777777" w:rsidR="00A720EB" w:rsidRDefault="0030286B">
            <w:pPr>
              <w:pStyle w:val="TableParagraph"/>
              <w:spacing w:before="30"/>
              <w:rPr>
                <w:sz w:val="21"/>
              </w:rPr>
            </w:pPr>
            <w:r>
              <w:rPr>
                <w:color w:val="B02045"/>
                <w:sz w:val="21"/>
              </w:rPr>
              <w:t>false</w:t>
            </w:r>
          </w:p>
        </w:tc>
        <w:tc>
          <w:tcPr>
            <w:tcW w:w="4988" w:type="dxa"/>
            <w:tcBorders>
              <w:top w:val="single" w:sz="12" w:space="0" w:color="DDDDDD"/>
            </w:tcBorders>
          </w:tcPr>
          <w:p w14:paraId="4D642339" w14:textId="77777777" w:rsidR="00A720EB" w:rsidRDefault="0030286B">
            <w:pPr>
              <w:pStyle w:val="TableParagraph"/>
              <w:spacing w:before="21" w:line="310" w:lineRule="atLeast"/>
              <w:rPr>
                <w:rFonts w:ascii="Cambria"/>
                <w:sz w:val="21"/>
              </w:rPr>
            </w:pPr>
            <w:r>
              <w:rPr>
                <w:rFonts w:ascii="Cambria"/>
                <w:color w:val="333333"/>
                <w:w w:val="110"/>
                <w:sz w:val="21"/>
              </w:rPr>
              <w:t>Whether HttpServletRequest attributes are allowed to override (hide) controller generated model attributes of the same name.</w:t>
            </w:r>
          </w:p>
        </w:tc>
      </w:tr>
    </w:tbl>
    <w:p w14:paraId="6DB135F8"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C8D8297" w14:textId="77777777">
        <w:trPr>
          <w:trHeight w:val="415"/>
        </w:trPr>
        <w:tc>
          <w:tcPr>
            <w:tcW w:w="2494" w:type="dxa"/>
            <w:tcBorders>
              <w:bottom w:val="single" w:sz="12" w:space="0" w:color="DDDDDD"/>
            </w:tcBorders>
          </w:tcPr>
          <w:p w14:paraId="4270531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A309E0D"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62C4CDC"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B81205A" w14:textId="77777777">
        <w:trPr>
          <w:trHeight w:val="1046"/>
        </w:trPr>
        <w:tc>
          <w:tcPr>
            <w:tcW w:w="2494" w:type="dxa"/>
            <w:tcBorders>
              <w:top w:val="single" w:sz="12" w:space="0" w:color="DDDDDD"/>
            </w:tcBorders>
          </w:tcPr>
          <w:p w14:paraId="6BD7BF8F" w14:textId="77777777" w:rsidR="00A720EB" w:rsidRDefault="0030286B">
            <w:pPr>
              <w:pStyle w:val="TableParagraph"/>
              <w:spacing w:before="36" w:line="230" w:lineRule="auto"/>
              <w:ind w:right="113"/>
              <w:rPr>
                <w:sz w:val="21"/>
              </w:rPr>
            </w:pPr>
            <w:proofErr w:type="gramStart"/>
            <w:r>
              <w:rPr>
                <w:color w:val="B02045"/>
                <w:sz w:val="21"/>
              </w:rPr>
              <w:t>spring.freemarker</w:t>
            </w:r>
            <w:proofErr w:type="gramEnd"/>
            <w:r>
              <w:rPr>
                <w:color w:val="B02045"/>
                <w:sz w:val="21"/>
              </w:rPr>
              <w:t>.allo w-session-override</w:t>
            </w:r>
          </w:p>
        </w:tc>
        <w:tc>
          <w:tcPr>
            <w:tcW w:w="2494" w:type="dxa"/>
            <w:tcBorders>
              <w:top w:val="single" w:sz="12" w:space="0" w:color="DDDDDD"/>
            </w:tcBorders>
          </w:tcPr>
          <w:p w14:paraId="4EDCAF95" w14:textId="77777777" w:rsidR="00A720EB" w:rsidRDefault="0030286B">
            <w:pPr>
              <w:pStyle w:val="TableParagraph"/>
              <w:spacing w:before="27"/>
              <w:rPr>
                <w:sz w:val="21"/>
              </w:rPr>
            </w:pPr>
            <w:r>
              <w:rPr>
                <w:color w:val="B02045"/>
                <w:sz w:val="21"/>
              </w:rPr>
              <w:t>false</w:t>
            </w:r>
          </w:p>
        </w:tc>
        <w:tc>
          <w:tcPr>
            <w:tcW w:w="4988" w:type="dxa"/>
            <w:tcBorders>
              <w:top w:val="single" w:sz="12" w:space="0" w:color="DDDDDD"/>
            </w:tcBorders>
          </w:tcPr>
          <w:p w14:paraId="0348D0DB" w14:textId="77777777" w:rsidR="00A720EB" w:rsidRDefault="0030286B">
            <w:pPr>
              <w:pStyle w:val="TableParagraph"/>
              <w:spacing w:before="18" w:line="310" w:lineRule="atLeast"/>
              <w:rPr>
                <w:rFonts w:ascii="Cambria"/>
                <w:sz w:val="21"/>
              </w:rPr>
            </w:pPr>
            <w:r>
              <w:rPr>
                <w:rFonts w:ascii="Cambria"/>
                <w:color w:val="333333"/>
                <w:w w:val="110"/>
                <w:sz w:val="21"/>
              </w:rPr>
              <w:t>Whether HttpSession attributes are allowed to override (hide) controller generated model attributes of the same name.</w:t>
            </w:r>
          </w:p>
        </w:tc>
      </w:tr>
      <w:tr w:rsidR="00A720EB" w14:paraId="291D1F33" w14:textId="77777777">
        <w:trPr>
          <w:trHeight w:val="627"/>
        </w:trPr>
        <w:tc>
          <w:tcPr>
            <w:tcW w:w="2494" w:type="dxa"/>
          </w:tcPr>
          <w:p w14:paraId="43C2D86A" w14:textId="77777777" w:rsidR="00A720EB" w:rsidRDefault="0030286B">
            <w:pPr>
              <w:pStyle w:val="TableParagraph"/>
              <w:spacing w:before="46" w:line="230" w:lineRule="auto"/>
              <w:ind w:right="94"/>
              <w:rPr>
                <w:sz w:val="21"/>
              </w:rPr>
            </w:pPr>
            <w:proofErr w:type="gramStart"/>
            <w:r>
              <w:rPr>
                <w:color w:val="B02045"/>
                <w:sz w:val="21"/>
              </w:rPr>
              <w:t>spring.freemarker</w:t>
            </w:r>
            <w:proofErr w:type="gramEnd"/>
            <w:r>
              <w:rPr>
                <w:color w:val="B02045"/>
                <w:sz w:val="21"/>
              </w:rPr>
              <w:t>.cach e</w:t>
            </w:r>
          </w:p>
        </w:tc>
        <w:tc>
          <w:tcPr>
            <w:tcW w:w="2494" w:type="dxa"/>
          </w:tcPr>
          <w:p w14:paraId="24F5426F" w14:textId="77777777" w:rsidR="00A720EB" w:rsidRDefault="0030286B">
            <w:pPr>
              <w:pStyle w:val="TableParagraph"/>
              <w:rPr>
                <w:sz w:val="21"/>
              </w:rPr>
            </w:pPr>
            <w:r>
              <w:rPr>
                <w:color w:val="B02045"/>
                <w:sz w:val="21"/>
              </w:rPr>
              <w:t>false</w:t>
            </w:r>
          </w:p>
        </w:tc>
        <w:tc>
          <w:tcPr>
            <w:tcW w:w="4988" w:type="dxa"/>
          </w:tcPr>
          <w:p w14:paraId="700273B0" w14:textId="77777777" w:rsidR="00A720EB" w:rsidRDefault="0030286B">
            <w:pPr>
              <w:pStyle w:val="TableParagraph"/>
              <w:spacing w:before="92"/>
              <w:rPr>
                <w:rFonts w:ascii="Cambria"/>
                <w:sz w:val="21"/>
              </w:rPr>
            </w:pPr>
            <w:r>
              <w:rPr>
                <w:rFonts w:ascii="Cambria"/>
                <w:color w:val="333333"/>
                <w:w w:val="110"/>
                <w:sz w:val="21"/>
              </w:rPr>
              <w:t>Whether to enable template caching.</w:t>
            </w:r>
          </w:p>
        </w:tc>
      </w:tr>
      <w:tr w:rsidR="00A720EB" w14:paraId="0713E22E" w14:textId="77777777">
        <w:trPr>
          <w:trHeight w:val="627"/>
        </w:trPr>
        <w:tc>
          <w:tcPr>
            <w:tcW w:w="2494" w:type="dxa"/>
          </w:tcPr>
          <w:p w14:paraId="5D42AF88" w14:textId="77777777" w:rsidR="00A720EB" w:rsidRDefault="0030286B">
            <w:pPr>
              <w:pStyle w:val="TableParagraph"/>
              <w:spacing w:before="46" w:line="230" w:lineRule="auto"/>
              <w:ind w:right="94"/>
              <w:rPr>
                <w:sz w:val="21"/>
              </w:rPr>
            </w:pPr>
            <w:proofErr w:type="gramStart"/>
            <w:r>
              <w:rPr>
                <w:color w:val="B02045"/>
                <w:sz w:val="21"/>
              </w:rPr>
              <w:t>spring.freemarker</w:t>
            </w:r>
            <w:proofErr w:type="gramEnd"/>
            <w:r>
              <w:rPr>
                <w:color w:val="B02045"/>
                <w:sz w:val="21"/>
              </w:rPr>
              <w:t>.char set</w:t>
            </w:r>
          </w:p>
        </w:tc>
        <w:tc>
          <w:tcPr>
            <w:tcW w:w="2494" w:type="dxa"/>
          </w:tcPr>
          <w:p w14:paraId="6254E399" w14:textId="77777777" w:rsidR="00A720EB" w:rsidRDefault="0030286B">
            <w:pPr>
              <w:pStyle w:val="TableParagraph"/>
              <w:rPr>
                <w:sz w:val="21"/>
              </w:rPr>
            </w:pPr>
            <w:r>
              <w:rPr>
                <w:color w:val="B02045"/>
                <w:sz w:val="21"/>
              </w:rPr>
              <w:t>UTF-8</w:t>
            </w:r>
          </w:p>
        </w:tc>
        <w:tc>
          <w:tcPr>
            <w:tcW w:w="4988" w:type="dxa"/>
          </w:tcPr>
          <w:p w14:paraId="6DAC53B3" w14:textId="77777777" w:rsidR="00A720EB" w:rsidRDefault="0030286B">
            <w:pPr>
              <w:pStyle w:val="TableParagraph"/>
              <w:spacing w:before="92"/>
              <w:rPr>
                <w:rFonts w:ascii="Cambria"/>
                <w:sz w:val="21"/>
              </w:rPr>
            </w:pPr>
            <w:r>
              <w:rPr>
                <w:rFonts w:ascii="Cambria"/>
                <w:color w:val="333333"/>
                <w:w w:val="110"/>
                <w:sz w:val="21"/>
              </w:rPr>
              <w:t>Template encoding.</w:t>
            </w:r>
          </w:p>
        </w:tc>
      </w:tr>
      <w:tr w:rsidR="00A720EB" w14:paraId="151BE8D4" w14:textId="77777777">
        <w:trPr>
          <w:trHeight w:val="741"/>
        </w:trPr>
        <w:tc>
          <w:tcPr>
            <w:tcW w:w="2494" w:type="dxa"/>
          </w:tcPr>
          <w:p w14:paraId="20D8C4C5" w14:textId="77777777" w:rsidR="00A720EB" w:rsidRDefault="0030286B">
            <w:pPr>
              <w:pStyle w:val="TableParagraph"/>
              <w:spacing w:before="46" w:line="230" w:lineRule="auto"/>
              <w:ind w:right="113"/>
              <w:rPr>
                <w:sz w:val="21"/>
              </w:rPr>
            </w:pPr>
            <w:proofErr w:type="gramStart"/>
            <w:r>
              <w:rPr>
                <w:color w:val="B02045"/>
                <w:sz w:val="21"/>
              </w:rPr>
              <w:t>spring.freemarker</w:t>
            </w:r>
            <w:proofErr w:type="gramEnd"/>
            <w:r>
              <w:rPr>
                <w:color w:val="B02045"/>
                <w:sz w:val="21"/>
              </w:rPr>
              <w:t>.chec k-template-location</w:t>
            </w:r>
          </w:p>
        </w:tc>
        <w:tc>
          <w:tcPr>
            <w:tcW w:w="2494" w:type="dxa"/>
          </w:tcPr>
          <w:p w14:paraId="37018D0A" w14:textId="77777777" w:rsidR="00A720EB" w:rsidRDefault="0030286B">
            <w:pPr>
              <w:pStyle w:val="TableParagraph"/>
              <w:spacing w:before="37"/>
              <w:rPr>
                <w:sz w:val="21"/>
              </w:rPr>
            </w:pPr>
            <w:r>
              <w:rPr>
                <w:color w:val="B02045"/>
                <w:sz w:val="21"/>
              </w:rPr>
              <w:t>true</w:t>
            </w:r>
          </w:p>
        </w:tc>
        <w:tc>
          <w:tcPr>
            <w:tcW w:w="4988" w:type="dxa"/>
          </w:tcPr>
          <w:p w14:paraId="518C7972" w14:textId="77777777" w:rsidR="00A720EB" w:rsidRDefault="0030286B">
            <w:pPr>
              <w:pStyle w:val="TableParagraph"/>
              <w:spacing w:before="28" w:line="310" w:lineRule="atLeast"/>
              <w:rPr>
                <w:rFonts w:ascii="Cambria"/>
                <w:sz w:val="21"/>
              </w:rPr>
            </w:pPr>
            <w:r>
              <w:rPr>
                <w:rFonts w:ascii="Cambria"/>
                <w:color w:val="333333"/>
                <w:w w:val="110"/>
                <w:sz w:val="21"/>
              </w:rPr>
              <w:t>Whether to check that the templates location exists.</w:t>
            </w:r>
          </w:p>
        </w:tc>
      </w:tr>
      <w:tr w:rsidR="00A720EB" w14:paraId="69E32045" w14:textId="77777777">
        <w:trPr>
          <w:trHeight w:val="627"/>
        </w:trPr>
        <w:tc>
          <w:tcPr>
            <w:tcW w:w="2494" w:type="dxa"/>
          </w:tcPr>
          <w:p w14:paraId="6ABFBB65" w14:textId="77777777" w:rsidR="00A720EB" w:rsidRDefault="0030286B">
            <w:pPr>
              <w:pStyle w:val="TableParagraph"/>
              <w:spacing w:before="46" w:line="230" w:lineRule="auto"/>
              <w:ind w:right="113"/>
              <w:rPr>
                <w:sz w:val="21"/>
              </w:rPr>
            </w:pPr>
            <w:proofErr w:type="gramStart"/>
            <w:r>
              <w:rPr>
                <w:color w:val="B02045"/>
                <w:sz w:val="21"/>
              </w:rPr>
              <w:t>spring.freemarker</w:t>
            </w:r>
            <w:proofErr w:type="gramEnd"/>
            <w:r>
              <w:rPr>
                <w:color w:val="B02045"/>
                <w:sz w:val="21"/>
              </w:rPr>
              <w:t>.cont ent-type</w:t>
            </w:r>
          </w:p>
        </w:tc>
        <w:tc>
          <w:tcPr>
            <w:tcW w:w="2494" w:type="dxa"/>
          </w:tcPr>
          <w:p w14:paraId="5884FC3D" w14:textId="77777777" w:rsidR="00A720EB" w:rsidRDefault="0030286B">
            <w:pPr>
              <w:pStyle w:val="TableParagraph"/>
              <w:spacing w:before="37"/>
              <w:rPr>
                <w:sz w:val="21"/>
              </w:rPr>
            </w:pPr>
            <w:r>
              <w:rPr>
                <w:color w:val="B02045"/>
                <w:sz w:val="21"/>
              </w:rPr>
              <w:t>text/html</w:t>
            </w:r>
          </w:p>
        </w:tc>
        <w:tc>
          <w:tcPr>
            <w:tcW w:w="4988" w:type="dxa"/>
          </w:tcPr>
          <w:p w14:paraId="00CD953E" w14:textId="77777777" w:rsidR="00A720EB" w:rsidRDefault="0030286B">
            <w:pPr>
              <w:pStyle w:val="TableParagraph"/>
              <w:spacing w:before="92"/>
              <w:rPr>
                <w:rFonts w:ascii="Cambria"/>
                <w:sz w:val="21"/>
              </w:rPr>
            </w:pPr>
            <w:r>
              <w:rPr>
                <w:rFonts w:ascii="Cambria"/>
                <w:color w:val="333333"/>
                <w:w w:val="110"/>
                <w:sz w:val="21"/>
              </w:rPr>
              <w:t>Content-Type value.</w:t>
            </w:r>
          </w:p>
        </w:tc>
      </w:tr>
      <w:tr w:rsidR="00A720EB" w14:paraId="2CFD343E" w14:textId="77777777">
        <w:trPr>
          <w:trHeight w:val="741"/>
        </w:trPr>
        <w:tc>
          <w:tcPr>
            <w:tcW w:w="2494" w:type="dxa"/>
          </w:tcPr>
          <w:p w14:paraId="4959F279" w14:textId="77777777" w:rsidR="00A720EB" w:rsidRDefault="0030286B">
            <w:pPr>
              <w:pStyle w:val="TableParagraph"/>
              <w:spacing w:before="46" w:line="230" w:lineRule="auto"/>
              <w:ind w:right="94"/>
              <w:rPr>
                <w:sz w:val="21"/>
              </w:rPr>
            </w:pPr>
            <w:proofErr w:type="gramStart"/>
            <w:r>
              <w:rPr>
                <w:color w:val="B02045"/>
                <w:sz w:val="21"/>
              </w:rPr>
              <w:t>spring.freemarker</w:t>
            </w:r>
            <w:proofErr w:type="gramEnd"/>
            <w:r>
              <w:rPr>
                <w:color w:val="B02045"/>
                <w:sz w:val="21"/>
              </w:rPr>
              <w:t>.enab led</w:t>
            </w:r>
          </w:p>
        </w:tc>
        <w:tc>
          <w:tcPr>
            <w:tcW w:w="2494" w:type="dxa"/>
          </w:tcPr>
          <w:p w14:paraId="1AB7F77B" w14:textId="77777777" w:rsidR="00A720EB" w:rsidRDefault="0030286B">
            <w:pPr>
              <w:pStyle w:val="TableParagraph"/>
              <w:spacing w:before="37"/>
              <w:rPr>
                <w:sz w:val="21"/>
              </w:rPr>
            </w:pPr>
            <w:r>
              <w:rPr>
                <w:color w:val="B02045"/>
                <w:sz w:val="21"/>
              </w:rPr>
              <w:t>true</w:t>
            </w:r>
          </w:p>
        </w:tc>
        <w:tc>
          <w:tcPr>
            <w:tcW w:w="4988" w:type="dxa"/>
          </w:tcPr>
          <w:p w14:paraId="1E9DF643" w14:textId="77777777" w:rsidR="00A720EB" w:rsidRDefault="0030286B">
            <w:pPr>
              <w:pStyle w:val="TableParagraph"/>
              <w:spacing w:before="28" w:line="310" w:lineRule="atLeast"/>
              <w:rPr>
                <w:rFonts w:ascii="Cambria"/>
                <w:sz w:val="21"/>
              </w:rPr>
            </w:pPr>
            <w:r>
              <w:rPr>
                <w:rFonts w:ascii="Cambria"/>
                <w:color w:val="333333"/>
                <w:w w:val="110"/>
                <w:sz w:val="21"/>
              </w:rPr>
              <w:t>Whether to enable MVC view resolution for this technology.</w:t>
            </w:r>
          </w:p>
        </w:tc>
      </w:tr>
      <w:tr w:rsidR="00A720EB" w14:paraId="1C9B5D9F" w14:textId="77777777">
        <w:trPr>
          <w:trHeight w:val="741"/>
        </w:trPr>
        <w:tc>
          <w:tcPr>
            <w:tcW w:w="2494" w:type="dxa"/>
          </w:tcPr>
          <w:p w14:paraId="08CA0871" w14:textId="77777777" w:rsidR="00A720EB" w:rsidRDefault="0030286B">
            <w:pPr>
              <w:pStyle w:val="TableParagraph"/>
              <w:spacing w:before="46" w:line="230" w:lineRule="auto"/>
              <w:ind w:right="113"/>
              <w:rPr>
                <w:sz w:val="21"/>
              </w:rPr>
            </w:pPr>
            <w:proofErr w:type="gramStart"/>
            <w:r>
              <w:rPr>
                <w:color w:val="B02045"/>
                <w:sz w:val="21"/>
              </w:rPr>
              <w:t>spring.freemarker</w:t>
            </w:r>
            <w:proofErr w:type="gramEnd"/>
            <w:r>
              <w:rPr>
                <w:color w:val="B02045"/>
                <w:sz w:val="21"/>
              </w:rPr>
              <w:t>.expo se-request-attributes</w:t>
            </w:r>
          </w:p>
        </w:tc>
        <w:tc>
          <w:tcPr>
            <w:tcW w:w="2494" w:type="dxa"/>
          </w:tcPr>
          <w:p w14:paraId="49B28954" w14:textId="77777777" w:rsidR="00A720EB" w:rsidRDefault="0030286B">
            <w:pPr>
              <w:pStyle w:val="TableParagraph"/>
              <w:spacing w:before="37"/>
              <w:rPr>
                <w:sz w:val="21"/>
              </w:rPr>
            </w:pPr>
            <w:r>
              <w:rPr>
                <w:color w:val="B02045"/>
                <w:sz w:val="21"/>
              </w:rPr>
              <w:t>false</w:t>
            </w:r>
          </w:p>
        </w:tc>
        <w:tc>
          <w:tcPr>
            <w:tcW w:w="4988" w:type="dxa"/>
          </w:tcPr>
          <w:p w14:paraId="614B30C8" w14:textId="77777777" w:rsidR="00A720EB" w:rsidRDefault="0030286B">
            <w:pPr>
              <w:pStyle w:val="TableParagraph"/>
              <w:spacing w:before="28" w:line="310" w:lineRule="atLeast"/>
              <w:ind w:right="102"/>
              <w:rPr>
                <w:rFonts w:ascii="Cambria"/>
                <w:sz w:val="21"/>
              </w:rPr>
            </w:pPr>
            <w:r>
              <w:rPr>
                <w:rFonts w:ascii="Cambria"/>
                <w:color w:val="333333"/>
                <w:w w:val="110"/>
                <w:sz w:val="21"/>
              </w:rPr>
              <w:t>Whether all request attributes should be added to the model prior to merging with the template.</w:t>
            </w:r>
          </w:p>
        </w:tc>
      </w:tr>
      <w:tr w:rsidR="00A720EB" w14:paraId="49A73D1C" w14:textId="77777777">
        <w:trPr>
          <w:trHeight w:val="1056"/>
        </w:trPr>
        <w:tc>
          <w:tcPr>
            <w:tcW w:w="2494" w:type="dxa"/>
          </w:tcPr>
          <w:p w14:paraId="0F6364FF" w14:textId="77777777" w:rsidR="00A720EB" w:rsidRDefault="0030286B">
            <w:pPr>
              <w:pStyle w:val="TableParagraph"/>
              <w:spacing w:before="46" w:line="230" w:lineRule="auto"/>
              <w:ind w:right="113"/>
              <w:rPr>
                <w:sz w:val="21"/>
              </w:rPr>
            </w:pPr>
            <w:proofErr w:type="gramStart"/>
            <w:r>
              <w:rPr>
                <w:color w:val="B02045"/>
                <w:sz w:val="21"/>
              </w:rPr>
              <w:t>spring.freemarker</w:t>
            </w:r>
            <w:proofErr w:type="gramEnd"/>
            <w:r>
              <w:rPr>
                <w:color w:val="B02045"/>
                <w:sz w:val="21"/>
              </w:rPr>
              <w:t>.expo se-session-attributes</w:t>
            </w:r>
          </w:p>
        </w:tc>
        <w:tc>
          <w:tcPr>
            <w:tcW w:w="2494" w:type="dxa"/>
          </w:tcPr>
          <w:p w14:paraId="73264202" w14:textId="77777777" w:rsidR="00A720EB" w:rsidRDefault="0030286B">
            <w:pPr>
              <w:pStyle w:val="TableParagraph"/>
              <w:spacing w:before="37"/>
              <w:rPr>
                <w:sz w:val="21"/>
              </w:rPr>
            </w:pPr>
            <w:r>
              <w:rPr>
                <w:color w:val="B02045"/>
                <w:sz w:val="21"/>
              </w:rPr>
              <w:t>false</w:t>
            </w:r>
          </w:p>
        </w:tc>
        <w:tc>
          <w:tcPr>
            <w:tcW w:w="4988" w:type="dxa"/>
          </w:tcPr>
          <w:p w14:paraId="1DBF297C" w14:textId="77777777" w:rsidR="00A720EB" w:rsidRDefault="0030286B">
            <w:pPr>
              <w:pStyle w:val="TableParagraph"/>
              <w:spacing w:before="28" w:line="310" w:lineRule="atLeast"/>
              <w:ind w:right="408"/>
              <w:jc w:val="both"/>
              <w:rPr>
                <w:rFonts w:ascii="Cambria"/>
                <w:sz w:val="21"/>
              </w:rPr>
            </w:pPr>
            <w:r>
              <w:rPr>
                <w:rFonts w:ascii="Cambria"/>
                <w:color w:val="333333"/>
                <w:w w:val="110"/>
                <w:sz w:val="21"/>
              </w:rPr>
              <w:t>Whether all HttpSession attributes should be added to the model prior to merging with the template.</w:t>
            </w:r>
          </w:p>
        </w:tc>
      </w:tr>
      <w:tr w:rsidR="00A720EB" w14:paraId="6B905FD8" w14:textId="77777777">
        <w:trPr>
          <w:trHeight w:val="1056"/>
        </w:trPr>
        <w:tc>
          <w:tcPr>
            <w:tcW w:w="2494" w:type="dxa"/>
          </w:tcPr>
          <w:p w14:paraId="2FE02474" w14:textId="77777777" w:rsidR="00A720EB" w:rsidRDefault="0030286B">
            <w:pPr>
              <w:pStyle w:val="TableParagraph"/>
              <w:spacing w:before="46" w:line="230" w:lineRule="auto"/>
              <w:ind w:right="113"/>
              <w:rPr>
                <w:sz w:val="21"/>
              </w:rPr>
            </w:pPr>
            <w:proofErr w:type="gramStart"/>
            <w:r>
              <w:rPr>
                <w:color w:val="B02045"/>
                <w:sz w:val="21"/>
              </w:rPr>
              <w:t>spring.freemarker</w:t>
            </w:r>
            <w:proofErr w:type="gramEnd"/>
            <w:r>
              <w:rPr>
                <w:color w:val="B02045"/>
                <w:sz w:val="21"/>
              </w:rPr>
              <w:t>.expo se-spring-macro- helpers</w:t>
            </w:r>
          </w:p>
        </w:tc>
        <w:tc>
          <w:tcPr>
            <w:tcW w:w="2494" w:type="dxa"/>
          </w:tcPr>
          <w:p w14:paraId="44E34258" w14:textId="77777777" w:rsidR="00A720EB" w:rsidRDefault="0030286B">
            <w:pPr>
              <w:pStyle w:val="TableParagraph"/>
              <w:rPr>
                <w:sz w:val="21"/>
              </w:rPr>
            </w:pPr>
            <w:r>
              <w:rPr>
                <w:color w:val="B02045"/>
                <w:sz w:val="21"/>
              </w:rPr>
              <w:t>true</w:t>
            </w:r>
          </w:p>
        </w:tc>
        <w:tc>
          <w:tcPr>
            <w:tcW w:w="4988" w:type="dxa"/>
          </w:tcPr>
          <w:p w14:paraId="5D74F964" w14:textId="77777777" w:rsidR="00A720EB" w:rsidRDefault="0030286B">
            <w:pPr>
              <w:pStyle w:val="TableParagraph"/>
              <w:spacing w:before="28" w:line="310" w:lineRule="atLeast"/>
              <w:rPr>
                <w:rFonts w:ascii="Cambria"/>
                <w:sz w:val="21"/>
              </w:rPr>
            </w:pPr>
            <w:r>
              <w:rPr>
                <w:rFonts w:ascii="Cambria"/>
                <w:color w:val="333333"/>
                <w:w w:val="110"/>
                <w:sz w:val="21"/>
              </w:rPr>
              <w:t>Whether to expose a RequestContext for use by Spring's macro library, under the name "springMacroRequestContext".</w:t>
            </w:r>
          </w:p>
        </w:tc>
      </w:tr>
      <w:tr w:rsidR="00A720EB" w14:paraId="0434FF6E" w14:textId="77777777">
        <w:trPr>
          <w:trHeight w:val="1056"/>
        </w:trPr>
        <w:tc>
          <w:tcPr>
            <w:tcW w:w="2494" w:type="dxa"/>
          </w:tcPr>
          <w:p w14:paraId="1CB9DE9A" w14:textId="77777777" w:rsidR="00A720EB" w:rsidRDefault="0030286B">
            <w:pPr>
              <w:pStyle w:val="TableParagraph"/>
              <w:spacing w:before="46" w:line="230" w:lineRule="auto"/>
              <w:ind w:right="113"/>
              <w:rPr>
                <w:sz w:val="21"/>
              </w:rPr>
            </w:pPr>
            <w:proofErr w:type="gramStart"/>
            <w:r>
              <w:rPr>
                <w:color w:val="B02045"/>
                <w:sz w:val="21"/>
              </w:rPr>
              <w:t>spring.freemarker</w:t>
            </w:r>
            <w:proofErr w:type="gramEnd"/>
            <w:r>
              <w:rPr>
                <w:color w:val="B02045"/>
                <w:sz w:val="21"/>
              </w:rPr>
              <w:t>.pref er-file-system-access</w:t>
            </w:r>
          </w:p>
        </w:tc>
        <w:tc>
          <w:tcPr>
            <w:tcW w:w="2494" w:type="dxa"/>
          </w:tcPr>
          <w:p w14:paraId="219D7A9C" w14:textId="77777777" w:rsidR="00A720EB" w:rsidRDefault="0030286B">
            <w:pPr>
              <w:pStyle w:val="TableParagraph"/>
              <w:rPr>
                <w:sz w:val="21"/>
              </w:rPr>
            </w:pPr>
            <w:r>
              <w:rPr>
                <w:color w:val="B02045"/>
                <w:sz w:val="21"/>
              </w:rPr>
              <w:t>true</w:t>
            </w:r>
          </w:p>
        </w:tc>
        <w:tc>
          <w:tcPr>
            <w:tcW w:w="4988" w:type="dxa"/>
          </w:tcPr>
          <w:p w14:paraId="31758325" w14:textId="77777777" w:rsidR="00A720EB" w:rsidRDefault="0030286B">
            <w:pPr>
              <w:pStyle w:val="TableParagraph"/>
              <w:spacing w:before="28" w:line="310" w:lineRule="atLeast"/>
              <w:ind w:right="129"/>
              <w:rPr>
                <w:rFonts w:ascii="Cambria"/>
                <w:sz w:val="21"/>
              </w:rPr>
            </w:pPr>
            <w:r>
              <w:rPr>
                <w:rFonts w:ascii="Cambria"/>
                <w:color w:val="333333"/>
                <w:w w:val="110"/>
                <w:sz w:val="21"/>
              </w:rPr>
              <w:t>Whether to prefer file system access for template loading. File system access enables hot detection of template</w:t>
            </w:r>
            <w:r>
              <w:rPr>
                <w:rFonts w:ascii="Cambria"/>
                <w:color w:val="333333"/>
                <w:spacing w:val="9"/>
                <w:w w:val="110"/>
                <w:sz w:val="21"/>
              </w:rPr>
              <w:t xml:space="preserve"> </w:t>
            </w:r>
            <w:r>
              <w:rPr>
                <w:rFonts w:ascii="Cambria"/>
                <w:color w:val="333333"/>
                <w:w w:val="110"/>
                <w:sz w:val="21"/>
              </w:rPr>
              <w:t>changes.</w:t>
            </w:r>
          </w:p>
        </w:tc>
      </w:tr>
      <w:tr w:rsidR="00A720EB" w14:paraId="647AA15C" w14:textId="77777777">
        <w:trPr>
          <w:trHeight w:val="741"/>
        </w:trPr>
        <w:tc>
          <w:tcPr>
            <w:tcW w:w="2494" w:type="dxa"/>
          </w:tcPr>
          <w:p w14:paraId="0037E267" w14:textId="77777777" w:rsidR="00A720EB" w:rsidRDefault="0030286B">
            <w:pPr>
              <w:pStyle w:val="TableParagraph"/>
              <w:spacing w:before="46" w:line="230" w:lineRule="auto"/>
              <w:ind w:right="94"/>
              <w:rPr>
                <w:sz w:val="21"/>
              </w:rPr>
            </w:pPr>
            <w:proofErr w:type="gramStart"/>
            <w:r>
              <w:rPr>
                <w:color w:val="B02045"/>
                <w:sz w:val="21"/>
              </w:rPr>
              <w:t>spring.freemarker</w:t>
            </w:r>
            <w:proofErr w:type="gramEnd"/>
            <w:r>
              <w:rPr>
                <w:color w:val="B02045"/>
                <w:sz w:val="21"/>
              </w:rPr>
              <w:t>.pref ix</w:t>
            </w:r>
          </w:p>
        </w:tc>
        <w:tc>
          <w:tcPr>
            <w:tcW w:w="2494" w:type="dxa"/>
          </w:tcPr>
          <w:p w14:paraId="7AF528CF" w14:textId="77777777" w:rsidR="00A720EB" w:rsidRDefault="00A720EB">
            <w:pPr>
              <w:pStyle w:val="TableParagraph"/>
              <w:spacing w:before="0"/>
              <w:ind w:left="0"/>
              <w:rPr>
                <w:rFonts w:ascii="Times New Roman"/>
                <w:sz w:val="20"/>
              </w:rPr>
            </w:pPr>
          </w:p>
        </w:tc>
        <w:tc>
          <w:tcPr>
            <w:tcW w:w="4988" w:type="dxa"/>
          </w:tcPr>
          <w:p w14:paraId="2A2B9187" w14:textId="77777777" w:rsidR="00A720EB" w:rsidRDefault="0030286B">
            <w:pPr>
              <w:pStyle w:val="TableParagraph"/>
              <w:spacing w:before="28" w:line="310" w:lineRule="atLeast"/>
              <w:rPr>
                <w:rFonts w:ascii="Cambria"/>
                <w:sz w:val="21"/>
              </w:rPr>
            </w:pPr>
            <w:r>
              <w:rPr>
                <w:rFonts w:ascii="Cambria"/>
                <w:color w:val="333333"/>
                <w:w w:val="110"/>
                <w:sz w:val="21"/>
              </w:rPr>
              <w:t>Prefix that gets prepended to view names when building a URL.</w:t>
            </w:r>
          </w:p>
        </w:tc>
      </w:tr>
      <w:tr w:rsidR="00A720EB" w14:paraId="2D216836" w14:textId="77777777">
        <w:trPr>
          <w:trHeight w:val="741"/>
        </w:trPr>
        <w:tc>
          <w:tcPr>
            <w:tcW w:w="2494" w:type="dxa"/>
          </w:tcPr>
          <w:p w14:paraId="4F8D44E6" w14:textId="77777777" w:rsidR="00A720EB" w:rsidRDefault="0030286B">
            <w:pPr>
              <w:pStyle w:val="TableParagraph"/>
              <w:spacing w:before="46" w:line="230" w:lineRule="auto"/>
              <w:ind w:right="113"/>
              <w:rPr>
                <w:sz w:val="21"/>
              </w:rPr>
            </w:pPr>
            <w:proofErr w:type="gramStart"/>
            <w:r>
              <w:rPr>
                <w:color w:val="B02045"/>
                <w:sz w:val="21"/>
              </w:rPr>
              <w:t>spring.freemarker</w:t>
            </w:r>
            <w:proofErr w:type="gramEnd"/>
            <w:r>
              <w:rPr>
                <w:color w:val="B02045"/>
                <w:sz w:val="21"/>
              </w:rPr>
              <w:t>.requ est-context-attribute</w:t>
            </w:r>
          </w:p>
        </w:tc>
        <w:tc>
          <w:tcPr>
            <w:tcW w:w="2494" w:type="dxa"/>
          </w:tcPr>
          <w:p w14:paraId="79991CC5" w14:textId="77777777" w:rsidR="00A720EB" w:rsidRDefault="00A720EB">
            <w:pPr>
              <w:pStyle w:val="TableParagraph"/>
              <w:spacing w:before="0"/>
              <w:ind w:left="0"/>
              <w:rPr>
                <w:rFonts w:ascii="Times New Roman"/>
                <w:sz w:val="20"/>
              </w:rPr>
            </w:pPr>
          </w:p>
        </w:tc>
        <w:tc>
          <w:tcPr>
            <w:tcW w:w="4988" w:type="dxa"/>
          </w:tcPr>
          <w:p w14:paraId="01F19D05" w14:textId="77777777" w:rsidR="00A720EB" w:rsidRDefault="0030286B">
            <w:pPr>
              <w:pStyle w:val="TableParagraph"/>
              <w:spacing w:before="28" w:line="310" w:lineRule="atLeast"/>
              <w:rPr>
                <w:rFonts w:ascii="Cambria"/>
                <w:sz w:val="21"/>
              </w:rPr>
            </w:pPr>
            <w:r>
              <w:rPr>
                <w:rFonts w:ascii="Cambria"/>
                <w:color w:val="333333"/>
                <w:w w:val="110"/>
                <w:sz w:val="21"/>
              </w:rPr>
              <w:t>Name of the RequestContext attribute for all views.</w:t>
            </w:r>
          </w:p>
        </w:tc>
      </w:tr>
      <w:tr w:rsidR="00A720EB" w14:paraId="769C7A78" w14:textId="77777777">
        <w:trPr>
          <w:trHeight w:val="741"/>
        </w:trPr>
        <w:tc>
          <w:tcPr>
            <w:tcW w:w="2494" w:type="dxa"/>
          </w:tcPr>
          <w:p w14:paraId="75A7BD94" w14:textId="77777777" w:rsidR="00A720EB" w:rsidRDefault="0030286B">
            <w:pPr>
              <w:pStyle w:val="TableParagraph"/>
              <w:spacing w:before="46" w:line="230" w:lineRule="auto"/>
              <w:ind w:right="94"/>
              <w:rPr>
                <w:sz w:val="21"/>
              </w:rPr>
            </w:pPr>
            <w:proofErr w:type="gramStart"/>
            <w:r>
              <w:rPr>
                <w:color w:val="B02045"/>
                <w:sz w:val="21"/>
              </w:rPr>
              <w:t>spring.freemarker</w:t>
            </w:r>
            <w:proofErr w:type="gramEnd"/>
            <w:r>
              <w:rPr>
                <w:color w:val="B02045"/>
                <w:sz w:val="21"/>
              </w:rPr>
              <w:t>.sett ings.*</w:t>
            </w:r>
          </w:p>
        </w:tc>
        <w:tc>
          <w:tcPr>
            <w:tcW w:w="2494" w:type="dxa"/>
          </w:tcPr>
          <w:p w14:paraId="3F20BF11" w14:textId="77777777" w:rsidR="00A720EB" w:rsidRDefault="00A720EB">
            <w:pPr>
              <w:pStyle w:val="TableParagraph"/>
              <w:spacing w:before="0"/>
              <w:ind w:left="0"/>
              <w:rPr>
                <w:rFonts w:ascii="Times New Roman"/>
                <w:sz w:val="20"/>
              </w:rPr>
            </w:pPr>
          </w:p>
        </w:tc>
        <w:tc>
          <w:tcPr>
            <w:tcW w:w="4988" w:type="dxa"/>
          </w:tcPr>
          <w:p w14:paraId="664EC305" w14:textId="77777777" w:rsidR="00A720EB" w:rsidRDefault="0030286B">
            <w:pPr>
              <w:pStyle w:val="TableParagraph"/>
              <w:spacing w:before="28" w:line="310" w:lineRule="atLeast"/>
              <w:ind w:right="73"/>
              <w:rPr>
                <w:rFonts w:ascii="Cambria"/>
                <w:sz w:val="21"/>
              </w:rPr>
            </w:pPr>
            <w:r>
              <w:rPr>
                <w:rFonts w:ascii="Cambria"/>
                <w:color w:val="333333"/>
                <w:w w:val="110"/>
                <w:sz w:val="21"/>
              </w:rPr>
              <w:t>Well-known FreeMarker keys which are passed to FreeMarker's Configuration.</w:t>
            </w:r>
          </w:p>
        </w:tc>
      </w:tr>
      <w:tr w:rsidR="00A720EB" w14:paraId="62F75EF4" w14:textId="77777777">
        <w:trPr>
          <w:trHeight w:val="741"/>
        </w:trPr>
        <w:tc>
          <w:tcPr>
            <w:tcW w:w="2494" w:type="dxa"/>
          </w:tcPr>
          <w:p w14:paraId="6C133DC2" w14:textId="77777777" w:rsidR="00A720EB" w:rsidRDefault="0030286B">
            <w:pPr>
              <w:pStyle w:val="TableParagraph"/>
              <w:spacing w:before="46" w:line="230" w:lineRule="auto"/>
              <w:ind w:right="94"/>
              <w:rPr>
                <w:sz w:val="21"/>
              </w:rPr>
            </w:pPr>
            <w:proofErr w:type="gramStart"/>
            <w:r>
              <w:rPr>
                <w:color w:val="B02045"/>
                <w:sz w:val="21"/>
              </w:rPr>
              <w:t>spring.freemarker</w:t>
            </w:r>
            <w:proofErr w:type="gramEnd"/>
            <w:r>
              <w:rPr>
                <w:color w:val="B02045"/>
                <w:sz w:val="21"/>
              </w:rPr>
              <w:t>.suff ix</w:t>
            </w:r>
          </w:p>
        </w:tc>
        <w:tc>
          <w:tcPr>
            <w:tcW w:w="2494" w:type="dxa"/>
          </w:tcPr>
          <w:p w14:paraId="39353888" w14:textId="77777777" w:rsidR="00A720EB" w:rsidRDefault="0030286B">
            <w:pPr>
              <w:pStyle w:val="TableParagraph"/>
              <w:spacing w:before="37"/>
              <w:rPr>
                <w:sz w:val="21"/>
              </w:rPr>
            </w:pPr>
            <w:proofErr w:type="gramStart"/>
            <w:r>
              <w:rPr>
                <w:color w:val="B02045"/>
                <w:sz w:val="21"/>
              </w:rPr>
              <w:t>.ftlh</w:t>
            </w:r>
            <w:proofErr w:type="gramEnd"/>
          </w:p>
        </w:tc>
        <w:tc>
          <w:tcPr>
            <w:tcW w:w="4988" w:type="dxa"/>
          </w:tcPr>
          <w:p w14:paraId="49C69964" w14:textId="77777777" w:rsidR="00A720EB" w:rsidRDefault="0030286B">
            <w:pPr>
              <w:pStyle w:val="TableParagraph"/>
              <w:spacing w:before="28" w:line="310" w:lineRule="atLeast"/>
              <w:rPr>
                <w:rFonts w:ascii="Cambria"/>
                <w:sz w:val="21"/>
              </w:rPr>
            </w:pPr>
            <w:r>
              <w:rPr>
                <w:rFonts w:ascii="Cambria"/>
                <w:color w:val="333333"/>
                <w:w w:val="110"/>
                <w:sz w:val="21"/>
              </w:rPr>
              <w:t>Suffix that gets appended to view names when building a URL.</w:t>
            </w:r>
          </w:p>
        </w:tc>
      </w:tr>
      <w:tr w:rsidR="00A720EB" w14:paraId="583B2610" w14:textId="77777777">
        <w:trPr>
          <w:trHeight w:val="627"/>
        </w:trPr>
        <w:tc>
          <w:tcPr>
            <w:tcW w:w="2494" w:type="dxa"/>
          </w:tcPr>
          <w:p w14:paraId="4702975F" w14:textId="77777777" w:rsidR="00A720EB" w:rsidRDefault="0030286B">
            <w:pPr>
              <w:pStyle w:val="TableParagraph"/>
              <w:spacing w:before="46" w:line="230" w:lineRule="auto"/>
              <w:ind w:right="113"/>
              <w:rPr>
                <w:sz w:val="21"/>
              </w:rPr>
            </w:pPr>
            <w:proofErr w:type="gramStart"/>
            <w:r>
              <w:rPr>
                <w:color w:val="B02045"/>
                <w:sz w:val="21"/>
              </w:rPr>
              <w:t>spring.freemarker</w:t>
            </w:r>
            <w:proofErr w:type="gramEnd"/>
            <w:r>
              <w:rPr>
                <w:color w:val="B02045"/>
                <w:sz w:val="21"/>
              </w:rPr>
              <w:t>.temp late-loader-path</w:t>
            </w:r>
          </w:p>
        </w:tc>
        <w:tc>
          <w:tcPr>
            <w:tcW w:w="2494" w:type="dxa"/>
          </w:tcPr>
          <w:p w14:paraId="49760475" w14:textId="77777777" w:rsidR="00A720EB" w:rsidRDefault="0030286B">
            <w:pPr>
              <w:pStyle w:val="TableParagraph"/>
              <w:spacing w:before="37" w:line="264" w:lineRule="exact"/>
              <w:rPr>
                <w:sz w:val="21"/>
              </w:rPr>
            </w:pPr>
            <w:r>
              <w:rPr>
                <w:color w:val="B02045"/>
                <w:sz w:val="21"/>
              </w:rPr>
              <w:t>[classpath:/templates/</w:t>
            </w:r>
          </w:p>
          <w:p w14:paraId="4F95DA63" w14:textId="77777777" w:rsidR="00A720EB" w:rsidRDefault="0030286B">
            <w:pPr>
              <w:pStyle w:val="TableParagraph"/>
              <w:spacing w:before="0" w:line="264" w:lineRule="exact"/>
              <w:rPr>
                <w:sz w:val="21"/>
              </w:rPr>
            </w:pPr>
            <w:r>
              <w:rPr>
                <w:color w:val="B02045"/>
                <w:sz w:val="21"/>
              </w:rPr>
              <w:t>]</w:t>
            </w:r>
          </w:p>
        </w:tc>
        <w:tc>
          <w:tcPr>
            <w:tcW w:w="4988" w:type="dxa"/>
          </w:tcPr>
          <w:p w14:paraId="42E7F8A8" w14:textId="77777777" w:rsidR="00A720EB" w:rsidRDefault="0030286B">
            <w:pPr>
              <w:pStyle w:val="TableParagraph"/>
              <w:spacing w:before="92"/>
              <w:rPr>
                <w:rFonts w:ascii="Cambria"/>
                <w:sz w:val="21"/>
              </w:rPr>
            </w:pPr>
            <w:r>
              <w:rPr>
                <w:rFonts w:ascii="Cambria"/>
                <w:color w:val="333333"/>
                <w:w w:val="110"/>
                <w:sz w:val="21"/>
              </w:rPr>
              <w:t>Comma-separated list of template paths.</w:t>
            </w:r>
          </w:p>
        </w:tc>
      </w:tr>
      <w:tr w:rsidR="00A720EB" w14:paraId="25F7AE3C" w14:textId="77777777">
        <w:trPr>
          <w:trHeight w:val="627"/>
        </w:trPr>
        <w:tc>
          <w:tcPr>
            <w:tcW w:w="2494" w:type="dxa"/>
          </w:tcPr>
          <w:p w14:paraId="70301644" w14:textId="77777777" w:rsidR="00A720EB" w:rsidRDefault="0030286B">
            <w:pPr>
              <w:pStyle w:val="TableParagraph"/>
              <w:spacing w:before="37" w:line="264" w:lineRule="exact"/>
              <w:rPr>
                <w:sz w:val="21"/>
              </w:rPr>
            </w:pPr>
            <w:proofErr w:type="gramStart"/>
            <w:r>
              <w:rPr>
                <w:color w:val="B02045"/>
                <w:sz w:val="21"/>
              </w:rPr>
              <w:t>spring.freemarker</w:t>
            </w:r>
            <w:proofErr w:type="gramEnd"/>
            <w:r>
              <w:rPr>
                <w:color w:val="B02045"/>
                <w:sz w:val="21"/>
              </w:rPr>
              <w:t>.view</w:t>
            </w:r>
          </w:p>
          <w:p w14:paraId="7FD32277" w14:textId="77777777" w:rsidR="00A720EB" w:rsidRDefault="0030286B">
            <w:pPr>
              <w:pStyle w:val="TableParagraph"/>
              <w:spacing w:before="0" w:line="264" w:lineRule="exact"/>
              <w:rPr>
                <w:sz w:val="21"/>
              </w:rPr>
            </w:pPr>
            <w:r>
              <w:rPr>
                <w:color w:val="B02045"/>
                <w:sz w:val="21"/>
              </w:rPr>
              <w:t>-names</w:t>
            </w:r>
          </w:p>
        </w:tc>
        <w:tc>
          <w:tcPr>
            <w:tcW w:w="2494" w:type="dxa"/>
          </w:tcPr>
          <w:p w14:paraId="61DE217F" w14:textId="77777777" w:rsidR="00A720EB" w:rsidRDefault="00A720EB">
            <w:pPr>
              <w:pStyle w:val="TableParagraph"/>
              <w:spacing w:before="0"/>
              <w:ind w:left="0"/>
              <w:rPr>
                <w:rFonts w:ascii="Times New Roman"/>
                <w:sz w:val="20"/>
              </w:rPr>
            </w:pPr>
          </w:p>
        </w:tc>
        <w:tc>
          <w:tcPr>
            <w:tcW w:w="4988" w:type="dxa"/>
          </w:tcPr>
          <w:p w14:paraId="21B7DF21" w14:textId="77777777" w:rsidR="00A720EB" w:rsidRDefault="0030286B">
            <w:pPr>
              <w:pStyle w:val="TableParagraph"/>
              <w:spacing w:before="92"/>
              <w:rPr>
                <w:rFonts w:ascii="Cambria"/>
                <w:sz w:val="21"/>
              </w:rPr>
            </w:pPr>
            <w:r>
              <w:rPr>
                <w:rFonts w:ascii="Cambria"/>
                <w:color w:val="333333"/>
                <w:w w:val="110"/>
                <w:sz w:val="21"/>
              </w:rPr>
              <w:t>View names that can be resolved.</w:t>
            </w:r>
          </w:p>
        </w:tc>
      </w:tr>
      <w:tr w:rsidR="00A720EB" w14:paraId="61FE6EF7" w14:textId="77777777">
        <w:trPr>
          <w:trHeight w:val="1056"/>
        </w:trPr>
        <w:tc>
          <w:tcPr>
            <w:tcW w:w="2494" w:type="dxa"/>
          </w:tcPr>
          <w:p w14:paraId="29E404F2"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2B9E86E4" w14:textId="77777777" w:rsidR="00A720EB" w:rsidRDefault="0030286B">
            <w:pPr>
              <w:pStyle w:val="TableParagraph"/>
              <w:spacing w:before="4" w:line="230" w:lineRule="auto"/>
              <w:ind w:right="829"/>
              <w:rPr>
                <w:sz w:val="21"/>
              </w:rPr>
            </w:pPr>
            <w:proofErr w:type="gramStart"/>
            <w:r>
              <w:rPr>
                <w:color w:val="B02045"/>
                <w:sz w:val="21"/>
              </w:rPr>
              <w:t>.allow</w:t>
            </w:r>
            <w:proofErr w:type="gramEnd"/>
            <w:r>
              <w:rPr>
                <w:color w:val="B02045"/>
                <w:sz w:val="21"/>
              </w:rPr>
              <w:t>-request- override</w:t>
            </w:r>
          </w:p>
        </w:tc>
        <w:tc>
          <w:tcPr>
            <w:tcW w:w="2494" w:type="dxa"/>
          </w:tcPr>
          <w:p w14:paraId="7BA99D89" w14:textId="77777777" w:rsidR="00A720EB" w:rsidRDefault="0030286B">
            <w:pPr>
              <w:pStyle w:val="TableParagraph"/>
              <w:spacing w:before="37"/>
              <w:rPr>
                <w:sz w:val="21"/>
              </w:rPr>
            </w:pPr>
            <w:r>
              <w:rPr>
                <w:color w:val="B02045"/>
                <w:sz w:val="21"/>
              </w:rPr>
              <w:t>false</w:t>
            </w:r>
          </w:p>
        </w:tc>
        <w:tc>
          <w:tcPr>
            <w:tcW w:w="4988" w:type="dxa"/>
          </w:tcPr>
          <w:p w14:paraId="350D8044" w14:textId="77777777" w:rsidR="00A720EB" w:rsidRDefault="0030286B">
            <w:pPr>
              <w:pStyle w:val="TableParagraph"/>
              <w:spacing w:before="28" w:line="310" w:lineRule="atLeast"/>
              <w:rPr>
                <w:rFonts w:ascii="Cambria"/>
                <w:sz w:val="21"/>
              </w:rPr>
            </w:pPr>
            <w:r>
              <w:rPr>
                <w:rFonts w:ascii="Cambria"/>
                <w:color w:val="333333"/>
                <w:w w:val="110"/>
                <w:sz w:val="21"/>
              </w:rPr>
              <w:t>Whether HttpServletRequest attributes are allowed to override (hide) controller generated model attributes of the same name.</w:t>
            </w:r>
          </w:p>
        </w:tc>
      </w:tr>
    </w:tbl>
    <w:p w14:paraId="78F3F7C2"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4808802" w14:textId="77777777">
        <w:trPr>
          <w:trHeight w:val="415"/>
        </w:trPr>
        <w:tc>
          <w:tcPr>
            <w:tcW w:w="2494" w:type="dxa"/>
            <w:tcBorders>
              <w:bottom w:val="single" w:sz="12" w:space="0" w:color="DDDDDD"/>
            </w:tcBorders>
          </w:tcPr>
          <w:p w14:paraId="4274BB3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3403DC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28E9F43"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C53C983" w14:textId="77777777">
        <w:trPr>
          <w:trHeight w:val="1046"/>
        </w:trPr>
        <w:tc>
          <w:tcPr>
            <w:tcW w:w="2494" w:type="dxa"/>
            <w:tcBorders>
              <w:top w:val="single" w:sz="12" w:space="0" w:color="DDDDDD"/>
            </w:tcBorders>
          </w:tcPr>
          <w:p w14:paraId="61EE972E" w14:textId="77777777" w:rsidR="00A720EB" w:rsidRDefault="0030286B">
            <w:pPr>
              <w:pStyle w:val="TableParagraph"/>
              <w:spacing w:before="27" w:line="264" w:lineRule="exact"/>
              <w:rPr>
                <w:sz w:val="21"/>
              </w:rPr>
            </w:pPr>
            <w:proofErr w:type="gramStart"/>
            <w:r>
              <w:rPr>
                <w:color w:val="B02045"/>
                <w:sz w:val="21"/>
              </w:rPr>
              <w:t>spring.groovy</w:t>
            </w:r>
            <w:proofErr w:type="gramEnd"/>
            <w:r>
              <w:rPr>
                <w:color w:val="B02045"/>
                <w:sz w:val="21"/>
              </w:rPr>
              <w:t>.template</w:t>
            </w:r>
          </w:p>
          <w:p w14:paraId="192AB37A" w14:textId="77777777" w:rsidR="00A720EB" w:rsidRDefault="0030286B">
            <w:pPr>
              <w:pStyle w:val="TableParagraph"/>
              <w:spacing w:before="4" w:line="230" w:lineRule="auto"/>
              <w:ind w:right="829"/>
              <w:rPr>
                <w:sz w:val="21"/>
              </w:rPr>
            </w:pPr>
            <w:proofErr w:type="gramStart"/>
            <w:r>
              <w:rPr>
                <w:color w:val="B02045"/>
                <w:sz w:val="21"/>
              </w:rPr>
              <w:t>.allow</w:t>
            </w:r>
            <w:proofErr w:type="gramEnd"/>
            <w:r>
              <w:rPr>
                <w:color w:val="B02045"/>
                <w:sz w:val="21"/>
              </w:rPr>
              <w:t>-session- override</w:t>
            </w:r>
          </w:p>
        </w:tc>
        <w:tc>
          <w:tcPr>
            <w:tcW w:w="2494" w:type="dxa"/>
            <w:tcBorders>
              <w:top w:val="single" w:sz="12" w:space="0" w:color="DDDDDD"/>
            </w:tcBorders>
          </w:tcPr>
          <w:p w14:paraId="16341B27" w14:textId="77777777" w:rsidR="00A720EB" w:rsidRDefault="0030286B">
            <w:pPr>
              <w:pStyle w:val="TableParagraph"/>
              <w:spacing w:before="27"/>
              <w:rPr>
                <w:sz w:val="21"/>
              </w:rPr>
            </w:pPr>
            <w:r>
              <w:rPr>
                <w:color w:val="B02045"/>
                <w:sz w:val="21"/>
              </w:rPr>
              <w:t>false</w:t>
            </w:r>
          </w:p>
        </w:tc>
        <w:tc>
          <w:tcPr>
            <w:tcW w:w="4988" w:type="dxa"/>
            <w:tcBorders>
              <w:top w:val="single" w:sz="12" w:space="0" w:color="DDDDDD"/>
            </w:tcBorders>
          </w:tcPr>
          <w:p w14:paraId="680253C0" w14:textId="77777777" w:rsidR="00A720EB" w:rsidRDefault="0030286B">
            <w:pPr>
              <w:pStyle w:val="TableParagraph"/>
              <w:spacing w:before="18" w:line="310" w:lineRule="atLeast"/>
              <w:rPr>
                <w:rFonts w:ascii="Cambria"/>
                <w:sz w:val="21"/>
              </w:rPr>
            </w:pPr>
            <w:r>
              <w:rPr>
                <w:rFonts w:ascii="Cambria"/>
                <w:color w:val="333333"/>
                <w:w w:val="110"/>
                <w:sz w:val="21"/>
              </w:rPr>
              <w:t>Whether HttpSession attributes are allowed to override (hide) controller generated model attributes of the same name.</w:t>
            </w:r>
          </w:p>
        </w:tc>
      </w:tr>
      <w:tr w:rsidR="00A720EB" w14:paraId="15FAC406" w14:textId="77777777">
        <w:trPr>
          <w:trHeight w:val="627"/>
        </w:trPr>
        <w:tc>
          <w:tcPr>
            <w:tcW w:w="2494" w:type="dxa"/>
          </w:tcPr>
          <w:p w14:paraId="75667B7B" w14:textId="77777777" w:rsidR="00A720EB" w:rsidRDefault="0030286B">
            <w:pPr>
              <w:pStyle w:val="TableParagraph"/>
              <w:spacing w:line="264" w:lineRule="exact"/>
              <w:rPr>
                <w:sz w:val="21"/>
              </w:rPr>
            </w:pPr>
            <w:proofErr w:type="gramStart"/>
            <w:r>
              <w:rPr>
                <w:color w:val="B02045"/>
                <w:sz w:val="21"/>
              </w:rPr>
              <w:t>spring.groovy</w:t>
            </w:r>
            <w:proofErr w:type="gramEnd"/>
            <w:r>
              <w:rPr>
                <w:color w:val="B02045"/>
                <w:sz w:val="21"/>
              </w:rPr>
              <w:t>.template</w:t>
            </w:r>
          </w:p>
          <w:p w14:paraId="779C162A" w14:textId="77777777" w:rsidR="00A720EB" w:rsidRDefault="0030286B">
            <w:pPr>
              <w:pStyle w:val="TableParagraph"/>
              <w:spacing w:before="0" w:line="264" w:lineRule="exact"/>
              <w:rPr>
                <w:sz w:val="21"/>
              </w:rPr>
            </w:pPr>
            <w:proofErr w:type="gramStart"/>
            <w:r>
              <w:rPr>
                <w:color w:val="B02045"/>
                <w:sz w:val="21"/>
              </w:rPr>
              <w:t>.cache</w:t>
            </w:r>
            <w:proofErr w:type="gramEnd"/>
          </w:p>
        </w:tc>
        <w:tc>
          <w:tcPr>
            <w:tcW w:w="2494" w:type="dxa"/>
          </w:tcPr>
          <w:p w14:paraId="3A0B4C75" w14:textId="77777777" w:rsidR="00A720EB" w:rsidRDefault="0030286B">
            <w:pPr>
              <w:pStyle w:val="TableParagraph"/>
              <w:rPr>
                <w:sz w:val="21"/>
              </w:rPr>
            </w:pPr>
            <w:r>
              <w:rPr>
                <w:color w:val="B02045"/>
                <w:sz w:val="21"/>
              </w:rPr>
              <w:t>false</w:t>
            </w:r>
          </w:p>
        </w:tc>
        <w:tc>
          <w:tcPr>
            <w:tcW w:w="4988" w:type="dxa"/>
          </w:tcPr>
          <w:p w14:paraId="5E810070" w14:textId="77777777" w:rsidR="00A720EB" w:rsidRDefault="0030286B">
            <w:pPr>
              <w:pStyle w:val="TableParagraph"/>
              <w:spacing w:before="92"/>
              <w:rPr>
                <w:rFonts w:ascii="Cambria"/>
                <w:sz w:val="21"/>
              </w:rPr>
            </w:pPr>
            <w:r>
              <w:rPr>
                <w:rFonts w:ascii="Cambria"/>
                <w:color w:val="333333"/>
                <w:w w:val="110"/>
                <w:sz w:val="21"/>
              </w:rPr>
              <w:t>Whether to enable template caching.</w:t>
            </w:r>
          </w:p>
        </w:tc>
      </w:tr>
      <w:tr w:rsidR="00A720EB" w14:paraId="6F106329" w14:textId="77777777">
        <w:trPr>
          <w:trHeight w:val="627"/>
        </w:trPr>
        <w:tc>
          <w:tcPr>
            <w:tcW w:w="2494" w:type="dxa"/>
          </w:tcPr>
          <w:p w14:paraId="503ECCE8" w14:textId="77777777" w:rsidR="00A720EB" w:rsidRDefault="0030286B">
            <w:pPr>
              <w:pStyle w:val="TableParagraph"/>
              <w:spacing w:line="264" w:lineRule="exact"/>
              <w:rPr>
                <w:sz w:val="21"/>
              </w:rPr>
            </w:pPr>
            <w:proofErr w:type="gramStart"/>
            <w:r>
              <w:rPr>
                <w:color w:val="B02045"/>
                <w:sz w:val="21"/>
              </w:rPr>
              <w:t>spring.groovy</w:t>
            </w:r>
            <w:proofErr w:type="gramEnd"/>
            <w:r>
              <w:rPr>
                <w:color w:val="B02045"/>
                <w:sz w:val="21"/>
              </w:rPr>
              <w:t>.template</w:t>
            </w:r>
          </w:p>
          <w:p w14:paraId="1447B900" w14:textId="77777777" w:rsidR="00A720EB" w:rsidRDefault="0030286B">
            <w:pPr>
              <w:pStyle w:val="TableParagraph"/>
              <w:spacing w:before="0" w:line="264" w:lineRule="exact"/>
              <w:rPr>
                <w:sz w:val="21"/>
              </w:rPr>
            </w:pPr>
            <w:proofErr w:type="gramStart"/>
            <w:r>
              <w:rPr>
                <w:color w:val="B02045"/>
                <w:sz w:val="21"/>
              </w:rPr>
              <w:t>.charset</w:t>
            </w:r>
            <w:proofErr w:type="gramEnd"/>
          </w:p>
        </w:tc>
        <w:tc>
          <w:tcPr>
            <w:tcW w:w="2494" w:type="dxa"/>
          </w:tcPr>
          <w:p w14:paraId="1E90EAE0" w14:textId="77777777" w:rsidR="00A720EB" w:rsidRDefault="0030286B">
            <w:pPr>
              <w:pStyle w:val="TableParagraph"/>
              <w:rPr>
                <w:sz w:val="21"/>
              </w:rPr>
            </w:pPr>
            <w:r>
              <w:rPr>
                <w:color w:val="B02045"/>
                <w:sz w:val="21"/>
              </w:rPr>
              <w:t>UTF-8</w:t>
            </w:r>
          </w:p>
        </w:tc>
        <w:tc>
          <w:tcPr>
            <w:tcW w:w="4988" w:type="dxa"/>
          </w:tcPr>
          <w:p w14:paraId="388F5DDB" w14:textId="77777777" w:rsidR="00A720EB" w:rsidRDefault="0030286B">
            <w:pPr>
              <w:pStyle w:val="TableParagraph"/>
              <w:spacing w:before="92"/>
              <w:rPr>
                <w:rFonts w:ascii="Cambria"/>
                <w:sz w:val="21"/>
              </w:rPr>
            </w:pPr>
            <w:r>
              <w:rPr>
                <w:rFonts w:ascii="Cambria"/>
                <w:color w:val="333333"/>
                <w:w w:val="110"/>
                <w:sz w:val="21"/>
              </w:rPr>
              <w:t>Template encoding.</w:t>
            </w:r>
          </w:p>
        </w:tc>
      </w:tr>
      <w:tr w:rsidR="00A720EB" w14:paraId="3C8C42B2" w14:textId="77777777">
        <w:trPr>
          <w:trHeight w:val="886"/>
        </w:trPr>
        <w:tc>
          <w:tcPr>
            <w:tcW w:w="2494" w:type="dxa"/>
          </w:tcPr>
          <w:p w14:paraId="62B91C78"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72861C1B" w14:textId="77777777" w:rsidR="00A720EB" w:rsidRDefault="0030286B">
            <w:pPr>
              <w:pStyle w:val="TableParagraph"/>
              <w:spacing w:before="4" w:line="230" w:lineRule="auto"/>
              <w:ind w:right="724"/>
              <w:rPr>
                <w:sz w:val="21"/>
              </w:rPr>
            </w:pPr>
            <w:proofErr w:type="gramStart"/>
            <w:r>
              <w:rPr>
                <w:color w:val="B02045"/>
                <w:sz w:val="21"/>
              </w:rPr>
              <w:t>.check</w:t>
            </w:r>
            <w:proofErr w:type="gramEnd"/>
            <w:r>
              <w:rPr>
                <w:color w:val="B02045"/>
                <w:sz w:val="21"/>
              </w:rPr>
              <w:t>-template- location</w:t>
            </w:r>
          </w:p>
        </w:tc>
        <w:tc>
          <w:tcPr>
            <w:tcW w:w="2494" w:type="dxa"/>
          </w:tcPr>
          <w:p w14:paraId="1DF122F5" w14:textId="77777777" w:rsidR="00A720EB" w:rsidRDefault="0030286B">
            <w:pPr>
              <w:pStyle w:val="TableParagraph"/>
              <w:spacing w:before="37"/>
              <w:rPr>
                <w:sz w:val="21"/>
              </w:rPr>
            </w:pPr>
            <w:r>
              <w:rPr>
                <w:color w:val="B02045"/>
                <w:sz w:val="21"/>
              </w:rPr>
              <w:t>true</w:t>
            </w:r>
          </w:p>
        </w:tc>
        <w:tc>
          <w:tcPr>
            <w:tcW w:w="4988" w:type="dxa"/>
          </w:tcPr>
          <w:p w14:paraId="46D6E141" w14:textId="77777777" w:rsidR="00A720EB" w:rsidRDefault="0030286B">
            <w:pPr>
              <w:pStyle w:val="TableParagraph"/>
              <w:spacing w:before="92" w:line="307" w:lineRule="auto"/>
              <w:rPr>
                <w:rFonts w:ascii="Cambria"/>
                <w:sz w:val="21"/>
              </w:rPr>
            </w:pPr>
            <w:r>
              <w:rPr>
                <w:rFonts w:ascii="Cambria"/>
                <w:color w:val="333333"/>
                <w:w w:val="110"/>
                <w:sz w:val="21"/>
              </w:rPr>
              <w:t>Whether to check that the templates location exists.</w:t>
            </w:r>
          </w:p>
        </w:tc>
      </w:tr>
      <w:tr w:rsidR="00A720EB" w14:paraId="5AFBB4CC" w14:textId="77777777">
        <w:trPr>
          <w:trHeight w:val="10488"/>
        </w:trPr>
        <w:tc>
          <w:tcPr>
            <w:tcW w:w="2494" w:type="dxa"/>
          </w:tcPr>
          <w:p w14:paraId="6BE77676"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29B877DE" w14:textId="77777777" w:rsidR="00A720EB" w:rsidRDefault="0030286B">
            <w:pPr>
              <w:pStyle w:val="TableParagraph"/>
              <w:spacing w:before="0" w:line="280" w:lineRule="auto"/>
              <w:ind w:right="304"/>
              <w:rPr>
                <w:sz w:val="21"/>
              </w:rPr>
            </w:pPr>
            <w:proofErr w:type="gramStart"/>
            <w:r>
              <w:rPr>
                <w:color w:val="B02045"/>
                <w:sz w:val="21"/>
              </w:rPr>
              <w:t>.configuration</w:t>
            </w:r>
            <w:proofErr w:type="gramEnd"/>
            <w:r>
              <w:rPr>
                <w:color w:val="B02045"/>
                <w:sz w:val="21"/>
              </w:rPr>
              <w:t>.auto- escape</w:t>
            </w:r>
          </w:p>
          <w:p w14:paraId="24DB41D0"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0A788AF4" w14:textId="77777777" w:rsidR="00A720EB" w:rsidRDefault="0030286B">
            <w:pPr>
              <w:pStyle w:val="TableParagraph"/>
              <w:spacing w:before="0" w:line="280" w:lineRule="auto"/>
              <w:ind w:right="304"/>
              <w:rPr>
                <w:sz w:val="21"/>
              </w:rPr>
            </w:pPr>
            <w:proofErr w:type="gramStart"/>
            <w:r>
              <w:rPr>
                <w:color w:val="B02045"/>
                <w:sz w:val="21"/>
              </w:rPr>
              <w:t>.configuration</w:t>
            </w:r>
            <w:proofErr w:type="gramEnd"/>
            <w:r>
              <w:rPr>
                <w:color w:val="B02045"/>
                <w:sz w:val="21"/>
              </w:rPr>
              <w:t>.auto- indent</w:t>
            </w:r>
          </w:p>
          <w:p w14:paraId="4D776391"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7833A2F7" w14:textId="77777777" w:rsidR="00A720EB" w:rsidRDefault="0030286B">
            <w:pPr>
              <w:pStyle w:val="TableParagraph"/>
              <w:spacing w:before="0" w:line="280" w:lineRule="auto"/>
              <w:ind w:right="323"/>
              <w:rPr>
                <w:sz w:val="21"/>
              </w:rPr>
            </w:pPr>
            <w:proofErr w:type="gramStart"/>
            <w:r>
              <w:rPr>
                <w:color w:val="B02045"/>
                <w:sz w:val="21"/>
              </w:rPr>
              <w:t>.configuration</w:t>
            </w:r>
            <w:proofErr w:type="gramEnd"/>
            <w:r>
              <w:rPr>
                <w:color w:val="B02045"/>
                <w:sz w:val="21"/>
              </w:rPr>
              <w:t>.auto- indent-string</w:t>
            </w:r>
          </w:p>
          <w:p w14:paraId="6FFFD025"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43E1035E" w14:textId="77777777" w:rsidR="00A720EB" w:rsidRDefault="0030286B">
            <w:pPr>
              <w:pStyle w:val="TableParagraph"/>
              <w:spacing w:before="0" w:line="280" w:lineRule="auto"/>
              <w:ind w:right="323"/>
              <w:rPr>
                <w:sz w:val="21"/>
              </w:rPr>
            </w:pPr>
            <w:proofErr w:type="gramStart"/>
            <w:r>
              <w:rPr>
                <w:color w:val="B02045"/>
                <w:sz w:val="21"/>
              </w:rPr>
              <w:t>.configuration</w:t>
            </w:r>
            <w:proofErr w:type="gramEnd"/>
            <w:r>
              <w:rPr>
                <w:color w:val="B02045"/>
                <w:sz w:val="21"/>
              </w:rPr>
              <w:t>.auto- new-line</w:t>
            </w:r>
          </w:p>
          <w:p w14:paraId="2A4B0497"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1AFBEDB9" w14:textId="77777777" w:rsidR="00A720EB" w:rsidRDefault="0030286B">
            <w:pPr>
              <w:pStyle w:val="TableParagraph"/>
              <w:spacing w:before="0" w:line="280" w:lineRule="auto"/>
              <w:ind w:right="323"/>
              <w:rPr>
                <w:sz w:val="21"/>
              </w:rPr>
            </w:pPr>
            <w:proofErr w:type="gramStart"/>
            <w:r>
              <w:rPr>
                <w:color w:val="B02045"/>
                <w:sz w:val="21"/>
              </w:rPr>
              <w:t>.configuration</w:t>
            </w:r>
            <w:proofErr w:type="gramEnd"/>
            <w:r>
              <w:rPr>
                <w:color w:val="B02045"/>
                <w:sz w:val="21"/>
              </w:rPr>
              <w:t>.base- template-class</w:t>
            </w:r>
          </w:p>
          <w:p w14:paraId="4DDB9604"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7C17000D" w14:textId="77777777" w:rsidR="00A720EB" w:rsidRDefault="0030286B">
            <w:pPr>
              <w:pStyle w:val="TableParagraph"/>
              <w:spacing w:before="0" w:line="280" w:lineRule="auto"/>
              <w:ind w:right="199"/>
              <w:rPr>
                <w:sz w:val="21"/>
              </w:rPr>
            </w:pPr>
            <w:proofErr w:type="gramStart"/>
            <w:r>
              <w:rPr>
                <w:color w:val="B02045"/>
                <w:sz w:val="21"/>
              </w:rPr>
              <w:t>.configuration</w:t>
            </w:r>
            <w:proofErr w:type="gramEnd"/>
            <w:r>
              <w:rPr>
                <w:color w:val="B02045"/>
                <w:sz w:val="21"/>
              </w:rPr>
              <w:t>.cache- templates</w:t>
            </w:r>
          </w:p>
          <w:p w14:paraId="1969E272"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0E20DC4D" w14:textId="77777777" w:rsidR="00A720EB" w:rsidRDefault="0030286B">
            <w:pPr>
              <w:pStyle w:val="TableParagraph"/>
              <w:spacing w:before="0" w:line="280" w:lineRule="auto"/>
              <w:ind w:right="113"/>
              <w:rPr>
                <w:sz w:val="21"/>
              </w:rPr>
            </w:pPr>
            <w:proofErr w:type="gramStart"/>
            <w:r>
              <w:rPr>
                <w:color w:val="B02045"/>
                <w:sz w:val="21"/>
              </w:rPr>
              <w:t>.configuration</w:t>
            </w:r>
            <w:proofErr w:type="gramEnd"/>
            <w:r>
              <w:rPr>
                <w:color w:val="B02045"/>
                <w:sz w:val="21"/>
              </w:rPr>
              <w:t>.declara tion-encoding</w:t>
            </w:r>
          </w:p>
          <w:p w14:paraId="1DB021E2"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09109F84" w14:textId="77777777" w:rsidR="00A720EB" w:rsidRDefault="0030286B">
            <w:pPr>
              <w:pStyle w:val="TableParagraph"/>
              <w:spacing w:before="0" w:line="280" w:lineRule="auto"/>
              <w:ind w:right="113"/>
              <w:rPr>
                <w:sz w:val="21"/>
              </w:rPr>
            </w:pPr>
            <w:proofErr w:type="gramStart"/>
            <w:r>
              <w:rPr>
                <w:color w:val="B02045"/>
                <w:sz w:val="21"/>
              </w:rPr>
              <w:t>.configuration</w:t>
            </w:r>
            <w:proofErr w:type="gramEnd"/>
            <w:r>
              <w:rPr>
                <w:color w:val="B02045"/>
                <w:sz w:val="21"/>
              </w:rPr>
              <w:t>.expand- empty-elements spring.groovy.template</w:t>
            </w:r>
          </w:p>
          <w:p w14:paraId="5DC43835" w14:textId="77777777" w:rsidR="00A720EB" w:rsidRDefault="0030286B">
            <w:pPr>
              <w:pStyle w:val="TableParagraph"/>
              <w:spacing w:before="0"/>
              <w:rPr>
                <w:sz w:val="21"/>
              </w:rPr>
            </w:pPr>
            <w:proofErr w:type="gramStart"/>
            <w:r>
              <w:rPr>
                <w:color w:val="B02045"/>
                <w:sz w:val="21"/>
              </w:rPr>
              <w:t>.configuration</w:t>
            </w:r>
            <w:proofErr w:type="gramEnd"/>
            <w:r>
              <w:rPr>
                <w:color w:val="B02045"/>
                <w:sz w:val="21"/>
              </w:rPr>
              <w:t>.locale</w:t>
            </w:r>
          </w:p>
          <w:p w14:paraId="4BAD3E5E" w14:textId="77777777" w:rsidR="00A720EB" w:rsidRDefault="0030286B">
            <w:pPr>
              <w:pStyle w:val="TableParagraph"/>
              <w:spacing w:before="20" w:line="264" w:lineRule="exact"/>
              <w:rPr>
                <w:sz w:val="21"/>
              </w:rPr>
            </w:pPr>
            <w:proofErr w:type="gramStart"/>
            <w:r>
              <w:rPr>
                <w:color w:val="B02045"/>
                <w:sz w:val="21"/>
              </w:rPr>
              <w:t>spring.groovy</w:t>
            </w:r>
            <w:proofErr w:type="gramEnd"/>
            <w:r>
              <w:rPr>
                <w:color w:val="B02045"/>
                <w:sz w:val="21"/>
              </w:rPr>
              <w:t>.template</w:t>
            </w:r>
          </w:p>
          <w:p w14:paraId="503E7251" w14:textId="77777777" w:rsidR="00A720EB" w:rsidRDefault="0030286B">
            <w:pPr>
              <w:pStyle w:val="TableParagraph"/>
              <w:spacing w:before="0" w:line="280" w:lineRule="auto"/>
              <w:ind w:right="428"/>
              <w:rPr>
                <w:sz w:val="21"/>
              </w:rPr>
            </w:pPr>
            <w:proofErr w:type="gramStart"/>
            <w:r>
              <w:rPr>
                <w:color w:val="B02045"/>
                <w:sz w:val="21"/>
              </w:rPr>
              <w:lastRenderedPageBreak/>
              <w:t>.configuration.new</w:t>
            </w:r>
            <w:proofErr w:type="gramEnd"/>
            <w:r>
              <w:rPr>
                <w:color w:val="B02045"/>
                <w:sz w:val="21"/>
              </w:rPr>
              <w:t>- line-string</w:t>
            </w:r>
          </w:p>
          <w:p w14:paraId="06B462EC"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5143B4E0" w14:textId="77777777" w:rsidR="00A720EB" w:rsidRDefault="0030286B">
            <w:pPr>
              <w:pStyle w:val="TableParagraph"/>
              <w:spacing w:before="0" w:line="280" w:lineRule="auto"/>
              <w:ind w:right="113"/>
              <w:rPr>
                <w:sz w:val="21"/>
              </w:rPr>
            </w:pPr>
            <w:proofErr w:type="gramStart"/>
            <w:r>
              <w:rPr>
                <w:color w:val="B02045"/>
                <w:sz w:val="21"/>
              </w:rPr>
              <w:t>.configuration</w:t>
            </w:r>
            <w:proofErr w:type="gramEnd"/>
            <w:r>
              <w:rPr>
                <w:color w:val="B02045"/>
                <w:sz w:val="21"/>
              </w:rPr>
              <w:t>.resourc e-loader-path</w:t>
            </w:r>
          </w:p>
          <w:p w14:paraId="2D7ED79C" w14:textId="77777777" w:rsidR="00A720EB" w:rsidRDefault="0030286B">
            <w:pPr>
              <w:pStyle w:val="TableParagraph"/>
              <w:spacing w:before="0" w:line="264" w:lineRule="exact"/>
              <w:rPr>
                <w:sz w:val="21"/>
              </w:rPr>
            </w:pPr>
            <w:proofErr w:type="gramStart"/>
            <w:r>
              <w:rPr>
                <w:color w:val="B02045"/>
                <w:sz w:val="21"/>
              </w:rPr>
              <w:t>spring.groovy</w:t>
            </w:r>
            <w:proofErr w:type="gramEnd"/>
            <w:r>
              <w:rPr>
                <w:color w:val="B02045"/>
                <w:sz w:val="21"/>
              </w:rPr>
              <w:t>.template</w:t>
            </w:r>
          </w:p>
          <w:p w14:paraId="7622342A" w14:textId="77777777" w:rsidR="00A720EB" w:rsidRDefault="0030286B">
            <w:pPr>
              <w:pStyle w:val="TableParagraph"/>
              <w:spacing w:before="0" w:line="280" w:lineRule="auto"/>
              <w:ind w:right="428"/>
              <w:rPr>
                <w:sz w:val="21"/>
              </w:rPr>
            </w:pPr>
            <w:proofErr w:type="gramStart"/>
            <w:r>
              <w:rPr>
                <w:color w:val="B02045"/>
                <w:sz w:val="21"/>
              </w:rPr>
              <w:t>.configuration.use</w:t>
            </w:r>
            <w:proofErr w:type="gramEnd"/>
            <w:r>
              <w:rPr>
                <w:color w:val="B02045"/>
                <w:sz w:val="21"/>
              </w:rPr>
              <w:t>- double-quotes</w:t>
            </w:r>
          </w:p>
        </w:tc>
        <w:tc>
          <w:tcPr>
            <w:tcW w:w="2494" w:type="dxa"/>
          </w:tcPr>
          <w:p w14:paraId="19382DD0" w14:textId="77777777" w:rsidR="00A720EB" w:rsidRDefault="00A720EB">
            <w:pPr>
              <w:pStyle w:val="TableParagraph"/>
              <w:spacing w:before="0"/>
              <w:ind w:left="0"/>
              <w:rPr>
                <w:rFonts w:ascii="Times New Roman"/>
                <w:sz w:val="20"/>
              </w:rPr>
            </w:pPr>
          </w:p>
        </w:tc>
        <w:tc>
          <w:tcPr>
            <w:tcW w:w="4988" w:type="dxa"/>
          </w:tcPr>
          <w:p w14:paraId="1B425676" w14:textId="77777777" w:rsidR="00A720EB" w:rsidRDefault="0030286B">
            <w:pPr>
              <w:pStyle w:val="TableParagraph"/>
              <w:spacing w:before="92"/>
              <w:rPr>
                <w:rFonts w:ascii="Cambria"/>
                <w:sz w:val="21"/>
              </w:rPr>
            </w:pPr>
            <w:r>
              <w:rPr>
                <w:rFonts w:ascii="Cambria"/>
                <w:color w:val="333333"/>
                <w:w w:val="110"/>
                <w:sz w:val="21"/>
              </w:rPr>
              <w:t>See GroovyMarkupConfigurer</w:t>
            </w:r>
          </w:p>
        </w:tc>
      </w:tr>
      <w:tr w:rsidR="00A720EB" w14:paraId="6AF03FE0" w14:textId="77777777">
        <w:trPr>
          <w:trHeight w:val="627"/>
        </w:trPr>
        <w:tc>
          <w:tcPr>
            <w:tcW w:w="2494" w:type="dxa"/>
          </w:tcPr>
          <w:p w14:paraId="0553DE57"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7D85561D" w14:textId="77777777" w:rsidR="00A720EB" w:rsidRDefault="0030286B">
            <w:pPr>
              <w:pStyle w:val="TableParagraph"/>
              <w:spacing w:before="0" w:line="264" w:lineRule="exact"/>
              <w:rPr>
                <w:sz w:val="21"/>
              </w:rPr>
            </w:pPr>
            <w:proofErr w:type="gramStart"/>
            <w:r>
              <w:rPr>
                <w:color w:val="B02045"/>
                <w:sz w:val="21"/>
              </w:rPr>
              <w:t>.content</w:t>
            </w:r>
            <w:proofErr w:type="gramEnd"/>
            <w:r>
              <w:rPr>
                <w:color w:val="B02045"/>
                <w:sz w:val="21"/>
              </w:rPr>
              <w:t>-type</w:t>
            </w:r>
          </w:p>
        </w:tc>
        <w:tc>
          <w:tcPr>
            <w:tcW w:w="2494" w:type="dxa"/>
          </w:tcPr>
          <w:p w14:paraId="7F45A4AC" w14:textId="77777777" w:rsidR="00A720EB" w:rsidRDefault="0030286B">
            <w:pPr>
              <w:pStyle w:val="TableParagraph"/>
              <w:spacing w:before="37"/>
              <w:rPr>
                <w:sz w:val="21"/>
              </w:rPr>
            </w:pPr>
            <w:r>
              <w:rPr>
                <w:color w:val="B02045"/>
                <w:sz w:val="21"/>
              </w:rPr>
              <w:t>text/html</w:t>
            </w:r>
          </w:p>
        </w:tc>
        <w:tc>
          <w:tcPr>
            <w:tcW w:w="4988" w:type="dxa"/>
          </w:tcPr>
          <w:p w14:paraId="2DCB4A5B" w14:textId="77777777" w:rsidR="00A720EB" w:rsidRDefault="0030286B">
            <w:pPr>
              <w:pStyle w:val="TableParagraph"/>
              <w:spacing w:before="92"/>
              <w:rPr>
                <w:rFonts w:ascii="Cambria"/>
                <w:sz w:val="21"/>
              </w:rPr>
            </w:pPr>
            <w:r>
              <w:rPr>
                <w:rFonts w:ascii="Cambria"/>
                <w:color w:val="333333"/>
                <w:w w:val="110"/>
                <w:sz w:val="21"/>
              </w:rPr>
              <w:t>Content-Type value.</w:t>
            </w:r>
          </w:p>
        </w:tc>
      </w:tr>
    </w:tbl>
    <w:p w14:paraId="1DCF64C5"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48884AB" w14:textId="77777777">
        <w:trPr>
          <w:trHeight w:val="415"/>
        </w:trPr>
        <w:tc>
          <w:tcPr>
            <w:tcW w:w="2494" w:type="dxa"/>
            <w:tcBorders>
              <w:bottom w:val="single" w:sz="12" w:space="0" w:color="DDDDDD"/>
            </w:tcBorders>
          </w:tcPr>
          <w:p w14:paraId="38599EBA"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12B122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C6407B5"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D616C90" w14:textId="77777777">
        <w:trPr>
          <w:trHeight w:val="731"/>
        </w:trPr>
        <w:tc>
          <w:tcPr>
            <w:tcW w:w="2494" w:type="dxa"/>
            <w:tcBorders>
              <w:top w:val="single" w:sz="12" w:space="0" w:color="DDDDDD"/>
            </w:tcBorders>
          </w:tcPr>
          <w:p w14:paraId="74566CC2" w14:textId="77777777" w:rsidR="00A720EB" w:rsidRDefault="0030286B">
            <w:pPr>
              <w:pStyle w:val="TableParagraph"/>
              <w:spacing w:before="27" w:line="264" w:lineRule="exact"/>
              <w:rPr>
                <w:sz w:val="21"/>
              </w:rPr>
            </w:pPr>
            <w:proofErr w:type="gramStart"/>
            <w:r>
              <w:rPr>
                <w:color w:val="B02045"/>
                <w:sz w:val="21"/>
              </w:rPr>
              <w:t>spring.groovy</w:t>
            </w:r>
            <w:proofErr w:type="gramEnd"/>
            <w:r>
              <w:rPr>
                <w:color w:val="B02045"/>
                <w:sz w:val="21"/>
              </w:rPr>
              <w:t>.template</w:t>
            </w:r>
          </w:p>
          <w:p w14:paraId="32974A1C" w14:textId="77777777" w:rsidR="00A720EB" w:rsidRDefault="0030286B">
            <w:pPr>
              <w:pStyle w:val="TableParagraph"/>
              <w:spacing w:before="0" w:line="264" w:lineRule="exact"/>
              <w:rPr>
                <w:sz w:val="21"/>
              </w:rPr>
            </w:pPr>
            <w:proofErr w:type="gramStart"/>
            <w:r>
              <w:rPr>
                <w:color w:val="B02045"/>
                <w:sz w:val="21"/>
              </w:rPr>
              <w:t>.enabled</w:t>
            </w:r>
            <w:proofErr w:type="gramEnd"/>
          </w:p>
        </w:tc>
        <w:tc>
          <w:tcPr>
            <w:tcW w:w="2494" w:type="dxa"/>
            <w:tcBorders>
              <w:top w:val="single" w:sz="12" w:space="0" w:color="DDDDDD"/>
            </w:tcBorders>
          </w:tcPr>
          <w:p w14:paraId="7102E2EB"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16C84DE8" w14:textId="77777777" w:rsidR="00A720EB" w:rsidRDefault="0030286B">
            <w:pPr>
              <w:pStyle w:val="TableParagraph"/>
              <w:spacing w:before="18" w:line="310" w:lineRule="atLeast"/>
              <w:rPr>
                <w:rFonts w:ascii="Cambria"/>
                <w:sz w:val="21"/>
              </w:rPr>
            </w:pPr>
            <w:r>
              <w:rPr>
                <w:rFonts w:ascii="Cambria"/>
                <w:color w:val="333333"/>
                <w:w w:val="110"/>
                <w:sz w:val="21"/>
              </w:rPr>
              <w:t>Whether to enable MVC view resolution for this technology.</w:t>
            </w:r>
          </w:p>
        </w:tc>
      </w:tr>
      <w:tr w:rsidR="00A720EB" w14:paraId="2EDD2DD9" w14:textId="77777777">
        <w:trPr>
          <w:trHeight w:val="886"/>
        </w:trPr>
        <w:tc>
          <w:tcPr>
            <w:tcW w:w="2494" w:type="dxa"/>
          </w:tcPr>
          <w:p w14:paraId="3D8E9B64"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22EC2552" w14:textId="77777777" w:rsidR="00A720EB" w:rsidRDefault="0030286B">
            <w:pPr>
              <w:pStyle w:val="TableParagraph"/>
              <w:spacing w:before="4" w:line="230" w:lineRule="auto"/>
              <w:ind w:right="724"/>
              <w:rPr>
                <w:sz w:val="21"/>
              </w:rPr>
            </w:pPr>
            <w:proofErr w:type="gramStart"/>
            <w:r>
              <w:rPr>
                <w:color w:val="B02045"/>
                <w:sz w:val="21"/>
              </w:rPr>
              <w:t>.expose</w:t>
            </w:r>
            <w:proofErr w:type="gramEnd"/>
            <w:r>
              <w:rPr>
                <w:color w:val="B02045"/>
                <w:sz w:val="21"/>
              </w:rPr>
              <w:t>-request- attributes</w:t>
            </w:r>
          </w:p>
        </w:tc>
        <w:tc>
          <w:tcPr>
            <w:tcW w:w="2494" w:type="dxa"/>
          </w:tcPr>
          <w:p w14:paraId="58607408" w14:textId="77777777" w:rsidR="00A720EB" w:rsidRDefault="0030286B">
            <w:pPr>
              <w:pStyle w:val="TableParagraph"/>
              <w:spacing w:before="37"/>
              <w:rPr>
                <w:sz w:val="21"/>
              </w:rPr>
            </w:pPr>
            <w:r>
              <w:rPr>
                <w:color w:val="B02045"/>
                <w:sz w:val="21"/>
              </w:rPr>
              <w:t>false</w:t>
            </w:r>
          </w:p>
        </w:tc>
        <w:tc>
          <w:tcPr>
            <w:tcW w:w="4988" w:type="dxa"/>
          </w:tcPr>
          <w:p w14:paraId="07504E6C" w14:textId="77777777" w:rsidR="00A720EB" w:rsidRDefault="0030286B">
            <w:pPr>
              <w:pStyle w:val="TableParagraph"/>
              <w:spacing w:before="92" w:line="307" w:lineRule="auto"/>
              <w:ind w:right="102"/>
              <w:rPr>
                <w:rFonts w:ascii="Cambria"/>
                <w:sz w:val="21"/>
              </w:rPr>
            </w:pPr>
            <w:r>
              <w:rPr>
                <w:rFonts w:ascii="Cambria"/>
                <w:color w:val="333333"/>
                <w:w w:val="110"/>
                <w:sz w:val="21"/>
              </w:rPr>
              <w:t>Whether all request attributes should be added to the model prior to merging with the template.</w:t>
            </w:r>
          </w:p>
        </w:tc>
      </w:tr>
      <w:tr w:rsidR="00A720EB" w14:paraId="75973836" w14:textId="77777777">
        <w:trPr>
          <w:trHeight w:val="1056"/>
        </w:trPr>
        <w:tc>
          <w:tcPr>
            <w:tcW w:w="2494" w:type="dxa"/>
          </w:tcPr>
          <w:p w14:paraId="7634A28A" w14:textId="77777777" w:rsidR="00A720EB" w:rsidRDefault="0030286B">
            <w:pPr>
              <w:pStyle w:val="TableParagraph"/>
              <w:spacing w:line="264" w:lineRule="exact"/>
              <w:rPr>
                <w:sz w:val="21"/>
              </w:rPr>
            </w:pPr>
            <w:proofErr w:type="gramStart"/>
            <w:r>
              <w:rPr>
                <w:color w:val="B02045"/>
                <w:sz w:val="21"/>
              </w:rPr>
              <w:t>spring.groovy</w:t>
            </w:r>
            <w:proofErr w:type="gramEnd"/>
            <w:r>
              <w:rPr>
                <w:color w:val="B02045"/>
                <w:sz w:val="21"/>
              </w:rPr>
              <w:t>.template</w:t>
            </w:r>
          </w:p>
          <w:p w14:paraId="5C4C77A0" w14:textId="77777777" w:rsidR="00A720EB" w:rsidRDefault="0030286B">
            <w:pPr>
              <w:pStyle w:val="TableParagraph"/>
              <w:spacing w:before="3" w:line="230" w:lineRule="auto"/>
              <w:ind w:right="724"/>
              <w:rPr>
                <w:sz w:val="21"/>
              </w:rPr>
            </w:pPr>
            <w:proofErr w:type="gramStart"/>
            <w:r>
              <w:rPr>
                <w:color w:val="B02045"/>
                <w:sz w:val="21"/>
              </w:rPr>
              <w:t>.expose</w:t>
            </w:r>
            <w:proofErr w:type="gramEnd"/>
            <w:r>
              <w:rPr>
                <w:color w:val="B02045"/>
                <w:sz w:val="21"/>
              </w:rPr>
              <w:t>-session- attributes</w:t>
            </w:r>
          </w:p>
        </w:tc>
        <w:tc>
          <w:tcPr>
            <w:tcW w:w="2494" w:type="dxa"/>
          </w:tcPr>
          <w:p w14:paraId="7C9619C0" w14:textId="77777777" w:rsidR="00A720EB" w:rsidRDefault="0030286B">
            <w:pPr>
              <w:pStyle w:val="TableParagraph"/>
              <w:rPr>
                <w:sz w:val="21"/>
              </w:rPr>
            </w:pPr>
            <w:r>
              <w:rPr>
                <w:color w:val="B02045"/>
                <w:sz w:val="21"/>
              </w:rPr>
              <w:t>false</w:t>
            </w:r>
          </w:p>
        </w:tc>
        <w:tc>
          <w:tcPr>
            <w:tcW w:w="4988" w:type="dxa"/>
          </w:tcPr>
          <w:p w14:paraId="2566D8C8" w14:textId="77777777" w:rsidR="00A720EB" w:rsidRDefault="0030286B">
            <w:pPr>
              <w:pStyle w:val="TableParagraph"/>
              <w:spacing w:before="28" w:line="310" w:lineRule="atLeast"/>
              <w:ind w:right="408"/>
              <w:jc w:val="both"/>
              <w:rPr>
                <w:rFonts w:ascii="Cambria"/>
                <w:sz w:val="21"/>
              </w:rPr>
            </w:pPr>
            <w:r>
              <w:rPr>
                <w:rFonts w:ascii="Cambria"/>
                <w:color w:val="333333"/>
                <w:w w:val="110"/>
                <w:sz w:val="21"/>
              </w:rPr>
              <w:t>Whether all HttpSession attributes should be added to the model prior to merging with the template.</w:t>
            </w:r>
          </w:p>
        </w:tc>
      </w:tr>
      <w:tr w:rsidR="00A720EB" w14:paraId="3B940BD0" w14:textId="77777777">
        <w:trPr>
          <w:trHeight w:val="1056"/>
        </w:trPr>
        <w:tc>
          <w:tcPr>
            <w:tcW w:w="2494" w:type="dxa"/>
          </w:tcPr>
          <w:p w14:paraId="45545B5D" w14:textId="77777777" w:rsidR="00A720EB" w:rsidRDefault="0030286B">
            <w:pPr>
              <w:pStyle w:val="TableParagraph"/>
              <w:spacing w:line="264" w:lineRule="exact"/>
              <w:rPr>
                <w:sz w:val="21"/>
              </w:rPr>
            </w:pPr>
            <w:proofErr w:type="gramStart"/>
            <w:r>
              <w:rPr>
                <w:color w:val="B02045"/>
                <w:sz w:val="21"/>
              </w:rPr>
              <w:t>spring.groovy</w:t>
            </w:r>
            <w:proofErr w:type="gramEnd"/>
            <w:r>
              <w:rPr>
                <w:color w:val="B02045"/>
                <w:sz w:val="21"/>
              </w:rPr>
              <w:t>.template</w:t>
            </w:r>
          </w:p>
          <w:p w14:paraId="5041E06B" w14:textId="77777777" w:rsidR="00A720EB" w:rsidRDefault="0030286B">
            <w:pPr>
              <w:pStyle w:val="TableParagraph"/>
              <w:spacing w:before="3" w:line="230" w:lineRule="auto"/>
              <w:ind w:right="199"/>
              <w:rPr>
                <w:sz w:val="21"/>
              </w:rPr>
            </w:pPr>
            <w:proofErr w:type="gramStart"/>
            <w:r>
              <w:rPr>
                <w:color w:val="B02045"/>
                <w:sz w:val="21"/>
              </w:rPr>
              <w:t>.expose</w:t>
            </w:r>
            <w:proofErr w:type="gramEnd"/>
            <w:r>
              <w:rPr>
                <w:color w:val="B02045"/>
                <w:sz w:val="21"/>
              </w:rPr>
              <w:t>-spring-macro- helpers</w:t>
            </w:r>
          </w:p>
        </w:tc>
        <w:tc>
          <w:tcPr>
            <w:tcW w:w="2494" w:type="dxa"/>
          </w:tcPr>
          <w:p w14:paraId="0A4B365A" w14:textId="77777777" w:rsidR="00A720EB" w:rsidRDefault="0030286B">
            <w:pPr>
              <w:pStyle w:val="TableParagraph"/>
              <w:rPr>
                <w:sz w:val="21"/>
              </w:rPr>
            </w:pPr>
            <w:r>
              <w:rPr>
                <w:color w:val="B02045"/>
                <w:sz w:val="21"/>
              </w:rPr>
              <w:t>true</w:t>
            </w:r>
          </w:p>
        </w:tc>
        <w:tc>
          <w:tcPr>
            <w:tcW w:w="4988" w:type="dxa"/>
          </w:tcPr>
          <w:p w14:paraId="0270C722" w14:textId="77777777" w:rsidR="00A720EB" w:rsidRDefault="0030286B">
            <w:pPr>
              <w:pStyle w:val="TableParagraph"/>
              <w:spacing w:before="28" w:line="310" w:lineRule="atLeast"/>
              <w:rPr>
                <w:rFonts w:ascii="Cambria"/>
                <w:sz w:val="21"/>
              </w:rPr>
            </w:pPr>
            <w:r>
              <w:rPr>
                <w:rFonts w:ascii="Cambria"/>
                <w:color w:val="333333"/>
                <w:w w:val="110"/>
                <w:sz w:val="21"/>
              </w:rPr>
              <w:t>Whether to expose a RequestContext for use by Spring's macro library, under the name "springMacroRequestContext".</w:t>
            </w:r>
          </w:p>
        </w:tc>
      </w:tr>
      <w:tr w:rsidR="00A720EB" w14:paraId="001C8A47" w14:textId="77777777">
        <w:trPr>
          <w:trHeight w:val="741"/>
        </w:trPr>
        <w:tc>
          <w:tcPr>
            <w:tcW w:w="2494" w:type="dxa"/>
          </w:tcPr>
          <w:p w14:paraId="399607B4"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4BB24667" w14:textId="77777777" w:rsidR="00A720EB" w:rsidRDefault="0030286B">
            <w:pPr>
              <w:pStyle w:val="TableParagraph"/>
              <w:spacing w:before="0" w:line="264" w:lineRule="exact"/>
              <w:rPr>
                <w:sz w:val="21"/>
              </w:rPr>
            </w:pPr>
            <w:proofErr w:type="gramStart"/>
            <w:r>
              <w:rPr>
                <w:color w:val="B02045"/>
                <w:sz w:val="21"/>
              </w:rPr>
              <w:t>.prefix</w:t>
            </w:r>
            <w:proofErr w:type="gramEnd"/>
          </w:p>
        </w:tc>
        <w:tc>
          <w:tcPr>
            <w:tcW w:w="2494" w:type="dxa"/>
          </w:tcPr>
          <w:p w14:paraId="1143B83C" w14:textId="77777777" w:rsidR="00A720EB" w:rsidRDefault="00A720EB">
            <w:pPr>
              <w:pStyle w:val="TableParagraph"/>
              <w:spacing w:before="0"/>
              <w:ind w:left="0"/>
              <w:rPr>
                <w:rFonts w:ascii="Times New Roman"/>
                <w:sz w:val="20"/>
              </w:rPr>
            </w:pPr>
          </w:p>
        </w:tc>
        <w:tc>
          <w:tcPr>
            <w:tcW w:w="4988" w:type="dxa"/>
          </w:tcPr>
          <w:p w14:paraId="6DFF8EF7" w14:textId="77777777" w:rsidR="00A720EB" w:rsidRDefault="0030286B">
            <w:pPr>
              <w:pStyle w:val="TableParagraph"/>
              <w:spacing w:before="28" w:line="310" w:lineRule="atLeast"/>
              <w:rPr>
                <w:rFonts w:ascii="Cambria"/>
                <w:sz w:val="21"/>
              </w:rPr>
            </w:pPr>
            <w:r>
              <w:rPr>
                <w:rFonts w:ascii="Cambria"/>
                <w:color w:val="333333"/>
                <w:w w:val="110"/>
                <w:sz w:val="21"/>
              </w:rPr>
              <w:t>Prefix that gets prepended to view names when building a URL.</w:t>
            </w:r>
          </w:p>
        </w:tc>
      </w:tr>
      <w:tr w:rsidR="00A720EB" w14:paraId="6EE87590" w14:textId="77777777">
        <w:trPr>
          <w:trHeight w:val="886"/>
        </w:trPr>
        <w:tc>
          <w:tcPr>
            <w:tcW w:w="2494" w:type="dxa"/>
          </w:tcPr>
          <w:p w14:paraId="61F172AC"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06C92920" w14:textId="77777777" w:rsidR="00A720EB" w:rsidRDefault="0030286B">
            <w:pPr>
              <w:pStyle w:val="TableParagraph"/>
              <w:spacing w:before="4" w:line="230" w:lineRule="auto"/>
              <w:ind w:right="619"/>
              <w:rPr>
                <w:sz w:val="21"/>
              </w:rPr>
            </w:pPr>
            <w:proofErr w:type="gramStart"/>
            <w:r>
              <w:rPr>
                <w:color w:val="B02045"/>
                <w:sz w:val="21"/>
              </w:rPr>
              <w:t>.request</w:t>
            </w:r>
            <w:proofErr w:type="gramEnd"/>
            <w:r>
              <w:rPr>
                <w:color w:val="B02045"/>
                <w:sz w:val="21"/>
              </w:rPr>
              <w:t>-context- attribute</w:t>
            </w:r>
          </w:p>
        </w:tc>
        <w:tc>
          <w:tcPr>
            <w:tcW w:w="2494" w:type="dxa"/>
          </w:tcPr>
          <w:p w14:paraId="6E3B5D0E" w14:textId="77777777" w:rsidR="00A720EB" w:rsidRDefault="00A720EB">
            <w:pPr>
              <w:pStyle w:val="TableParagraph"/>
              <w:spacing w:before="0"/>
              <w:ind w:left="0"/>
              <w:rPr>
                <w:rFonts w:ascii="Times New Roman"/>
                <w:sz w:val="20"/>
              </w:rPr>
            </w:pPr>
          </w:p>
        </w:tc>
        <w:tc>
          <w:tcPr>
            <w:tcW w:w="4988" w:type="dxa"/>
          </w:tcPr>
          <w:p w14:paraId="766DD745" w14:textId="77777777" w:rsidR="00A720EB" w:rsidRDefault="0030286B">
            <w:pPr>
              <w:pStyle w:val="TableParagraph"/>
              <w:spacing w:before="92" w:line="307" w:lineRule="auto"/>
              <w:rPr>
                <w:rFonts w:ascii="Cambria"/>
                <w:sz w:val="21"/>
              </w:rPr>
            </w:pPr>
            <w:r>
              <w:rPr>
                <w:rFonts w:ascii="Cambria"/>
                <w:color w:val="333333"/>
                <w:w w:val="110"/>
                <w:sz w:val="21"/>
              </w:rPr>
              <w:t>Name of the RequestContext attribute for all views.</w:t>
            </w:r>
          </w:p>
        </w:tc>
      </w:tr>
      <w:tr w:rsidR="00A720EB" w14:paraId="69DF1256" w14:textId="77777777">
        <w:trPr>
          <w:trHeight w:val="627"/>
        </w:trPr>
        <w:tc>
          <w:tcPr>
            <w:tcW w:w="2494" w:type="dxa"/>
          </w:tcPr>
          <w:p w14:paraId="66F30D1F" w14:textId="77777777" w:rsidR="00A720EB" w:rsidRDefault="0030286B">
            <w:pPr>
              <w:pStyle w:val="TableParagraph"/>
              <w:spacing w:line="264" w:lineRule="exact"/>
              <w:rPr>
                <w:sz w:val="21"/>
              </w:rPr>
            </w:pPr>
            <w:proofErr w:type="gramStart"/>
            <w:r>
              <w:rPr>
                <w:color w:val="B02045"/>
                <w:sz w:val="21"/>
              </w:rPr>
              <w:t>spring.groovy</w:t>
            </w:r>
            <w:proofErr w:type="gramEnd"/>
            <w:r>
              <w:rPr>
                <w:color w:val="B02045"/>
                <w:sz w:val="21"/>
              </w:rPr>
              <w:t>.template</w:t>
            </w:r>
          </w:p>
          <w:p w14:paraId="154B4930" w14:textId="77777777" w:rsidR="00A720EB" w:rsidRDefault="0030286B">
            <w:pPr>
              <w:pStyle w:val="TableParagraph"/>
              <w:spacing w:before="0" w:line="264" w:lineRule="exact"/>
              <w:rPr>
                <w:sz w:val="21"/>
              </w:rPr>
            </w:pPr>
            <w:r>
              <w:rPr>
                <w:color w:val="B02045"/>
                <w:sz w:val="21"/>
              </w:rPr>
              <w:t>.resource-loader-path</w:t>
            </w:r>
          </w:p>
        </w:tc>
        <w:tc>
          <w:tcPr>
            <w:tcW w:w="2494" w:type="dxa"/>
          </w:tcPr>
          <w:p w14:paraId="044371A3" w14:textId="77777777" w:rsidR="00A720EB" w:rsidRDefault="0030286B">
            <w:pPr>
              <w:pStyle w:val="TableParagraph"/>
              <w:rPr>
                <w:sz w:val="21"/>
              </w:rPr>
            </w:pPr>
            <w:r>
              <w:rPr>
                <w:color w:val="B02045"/>
                <w:sz w:val="21"/>
              </w:rPr>
              <w:t>classpath:/templates/</w:t>
            </w:r>
          </w:p>
        </w:tc>
        <w:tc>
          <w:tcPr>
            <w:tcW w:w="4988" w:type="dxa"/>
          </w:tcPr>
          <w:p w14:paraId="2A6B1A5C" w14:textId="77777777" w:rsidR="00A720EB" w:rsidRDefault="0030286B">
            <w:pPr>
              <w:pStyle w:val="TableParagraph"/>
              <w:spacing w:before="92"/>
              <w:rPr>
                <w:rFonts w:ascii="Cambria"/>
                <w:sz w:val="21"/>
              </w:rPr>
            </w:pPr>
            <w:r>
              <w:rPr>
                <w:rFonts w:ascii="Cambria"/>
                <w:color w:val="333333"/>
                <w:w w:val="110"/>
                <w:sz w:val="21"/>
              </w:rPr>
              <w:t>Template path.</w:t>
            </w:r>
          </w:p>
        </w:tc>
      </w:tr>
      <w:tr w:rsidR="00A720EB" w14:paraId="2375A6AF" w14:textId="77777777">
        <w:trPr>
          <w:trHeight w:val="741"/>
        </w:trPr>
        <w:tc>
          <w:tcPr>
            <w:tcW w:w="2494" w:type="dxa"/>
          </w:tcPr>
          <w:p w14:paraId="2DCF620F"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07F193BF" w14:textId="77777777" w:rsidR="00A720EB" w:rsidRDefault="0030286B">
            <w:pPr>
              <w:pStyle w:val="TableParagraph"/>
              <w:spacing w:before="0" w:line="264" w:lineRule="exact"/>
              <w:rPr>
                <w:sz w:val="21"/>
              </w:rPr>
            </w:pPr>
            <w:proofErr w:type="gramStart"/>
            <w:r>
              <w:rPr>
                <w:color w:val="B02045"/>
                <w:sz w:val="21"/>
              </w:rPr>
              <w:t>.suffix</w:t>
            </w:r>
            <w:proofErr w:type="gramEnd"/>
          </w:p>
        </w:tc>
        <w:tc>
          <w:tcPr>
            <w:tcW w:w="2494" w:type="dxa"/>
          </w:tcPr>
          <w:p w14:paraId="59BDC600" w14:textId="77777777" w:rsidR="00A720EB" w:rsidRDefault="0030286B">
            <w:pPr>
              <w:pStyle w:val="TableParagraph"/>
              <w:spacing w:before="37"/>
              <w:rPr>
                <w:sz w:val="21"/>
              </w:rPr>
            </w:pPr>
            <w:proofErr w:type="gramStart"/>
            <w:r>
              <w:rPr>
                <w:color w:val="B02045"/>
                <w:sz w:val="21"/>
              </w:rPr>
              <w:t>.tpl</w:t>
            </w:r>
            <w:proofErr w:type="gramEnd"/>
          </w:p>
        </w:tc>
        <w:tc>
          <w:tcPr>
            <w:tcW w:w="4988" w:type="dxa"/>
          </w:tcPr>
          <w:p w14:paraId="6061D001" w14:textId="77777777" w:rsidR="00A720EB" w:rsidRDefault="0030286B">
            <w:pPr>
              <w:pStyle w:val="TableParagraph"/>
              <w:spacing w:before="28" w:line="310" w:lineRule="atLeast"/>
              <w:rPr>
                <w:rFonts w:ascii="Cambria"/>
                <w:sz w:val="21"/>
              </w:rPr>
            </w:pPr>
            <w:r>
              <w:rPr>
                <w:rFonts w:ascii="Cambria"/>
                <w:color w:val="333333"/>
                <w:w w:val="110"/>
                <w:sz w:val="21"/>
              </w:rPr>
              <w:t>Suffix that gets appended to view names when building a URL.</w:t>
            </w:r>
          </w:p>
        </w:tc>
      </w:tr>
      <w:tr w:rsidR="00A720EB" w14:paraId="048D76F9" w14:textId="77777777">
        <w:trPr>
          <w:trHeight w:val="627"/>
        </w:trPr>
        <w:tc>
          <w:tcPr>
            <w:tcW w:w="2494" w:type="dxa"/>
          </w:tcPr>
          <w:p w14:paraId="738845C3" w14:textId="77777777" w:rsidR="00A720EB" w:rsidRDefault="0030286B">
            <w:pPr>
              <w:pStyle w:val="TableParagraph"/>
              <w:spacing w:before="37" w:line="264" w:lineRule="exact"/>
              <w:rPr>
                <w:sz w:val="21"/>
              </w:rPr>
            </w:pPr>
            <w:proofErr w:type="gramStart"/>
            <w:r>
              <w:rPr>
                <w:color w:val="B02045"/>
                <w:sz w:val="21"/>
              </w:rPr>
              <w:t>spring.groovy</w:t>
            </w:r>
            <w:proofErr w:type="gramEnd"/>
            <w:r>
              <w:rPr>
                <w:color w:val="B02045"/>
                <w:sz w:val="21"/>
              </w:rPr>
              <w:t>.template</w:t>
            </w:r>
          </w:p>
          <w:p w14:paraId="4DE940E6" w14:textId="77777777" w:rsidR="00A720EB" w:rsidRDefault="0030286B">
            <w:pPr>
              <w:pStyle w:val="TableParagraph"/>
              <w:spacing w:before="0" w:line="264" w:lineRule="exact"/>
              <w:rPr>
                <w:sz w:val="21"/>
              </w:rPr>
            </w:pPr>
            <w:proofErr w:type="gramStart"/>
            <w:r>
              <w:rPr>
                <w:color w:val="B02045"/>
                <w:sz w:val="21"/>
              </w:rPr>
              <w:t>.view</w:t>
            </w:r>
            <w:proofErr w:type="gramEnd"/>
            <w:r>
              <w:rPr>
                <w:color w:val="B02045"/>
                <w:sz w:val="21"/>
              </w:rPr>
              <w:t>-names</w:t>
            </w:r>
          </w:p>
        </w:tc>
        <w:tc>
          <w:tcPr>
            <w:tcW w:w="2494" w:type="dxa"/>
          </w:tcPr>
          <w:p w14:paraId="086BA986" w14:textId="77777777" w:rsidR="00A720EB" w:rsidRDefault="00A720EB">
            <w:pPr>
              <w:pStyle w:val="TableParagraph"/>
              <w:spacing w:before="0"/>
              <w:ind w:left="0"/>
              <w:rPr>
                <w:rFonts w:ascii="Times New Roman"/>
                <w:sz w:val="20"/>
              </w:rPr>
            </w:pPr>
          </w:p>
        </w:tc>
        <w:tc>
          <w:tcPr>
            <w:tcW w:w="4988" w:type="dxa"/>
          </w:tcPr>
          <w:p w14:paraId="255337B9" w14:textId="77777777" w:rsidR="00A720EB" w:rsidRDefault="0030286B">
            <w:pPr>
              <w:pStyle w:val="TableParagraph"/>
              <w:spacing w:before="92"/>
              <w:rPr>
                <w:rFonts w:ascii="Cambria"/>
                <w:sz w:val="21"/>
              </w:rPr>
            </w:pPr>
            <w:r>
              <w:rPr>
                <w:rFonts w:ascii="Cambria"/>
                <w:color w:val="333333"/>
                <w:w w:val="110"/>
                <w:sz w:val="21"/>
              </w:rPr>
              <w:t>View names that can be resolved.</w:t>
            </w:r>
          </w:p>
        </w:tc>
      </w:tr>
      <w:tr w:rsidR="00A720EB" w14:paraId="3A08FCD8" w14:textId="77777777">
        <w:trPr>
          <w:trHeight w:val="1056"/>
        </w:trPr>
        <w:tc>
          <w:tcPr>
            <w:tcW w:w="2494" w:type="dxa"/>
          </w:tcPr>
          <w:p w14:paraId="4219DBDD" w14:textId="77777777" w:rsidR="00A720EB" w:rsidRDefault="0030286B">
            <w:pPr>
              <w:pStyle w:val="TableParagraph"/>
              <w:spacing w:before="46" w:line="230" w:lineRule="auto"/>
              <w:ind w:right="113"/>
              <w:rPr>
                <w:sz w:val="21"/>
              </w:rPr>
            </w:pPr>
            <w:proofErr w:type="gramStart"/>
            <w:r>
              <w:rPr>
                <w:color w:val="B02045"/>
                <w:sz w:val="21"/>
              </w:rPr>
              <w:t>spring.mustache</w:t>
            </w:r>
            <w:proofErr w:type="gramEnd"/>
            <w:r>
              <w:rPr>
                <w:color w:val="B02045"/>
                <w:sz w:val="21"/>
              </w:rPr>
              <w:t>.allow- request-override</w:t>
            </w:r>
          </w:p>
        </w:tc>
        <w:tc>
          <w:tcPr>
            <w:tcW w:w="2494" w:type="dxa"/>
          </w:tcPr>
          <w:p w14:paraId="751489F8" w14:textId="77777777" w:rsidR="00A720EB" w:rsidRDefault="0030286B">
            <w:pPr>
              <w:pStyle w:val="TableParagraph"/>
              <w:rPr>
                <w:sz w:val="21"/>
              </w:rPr>
            </w:pPr>
            <w:r>
              <w:rPr>
                <w:color w:val="B02045"/>
                <w:sz w:val="21"/>
              </w:rPr>
              <w:t>false</w:t>
            </w:r>
          </w:p>
        </w:tc>
        <w:tc>
          <w:tcPr>
            <w:tcW w:w="4988" w:type="dxa"/>
          </w:tcPr>
          <w:p w14:paraId="2FFDE362" w14:textId="77777777" w:rsidR="00A720EB" w:rsidRDefault="0030286B">
            <w:pPr>
              <w:pStyle w:val="TableParagraph"/>
              <w:spacing w:before="28" w:line="310" w:lineRule="atLeast"/>
              <w:rPr>
                <w:rFonts w:ascii="Cambria"/>
                <w:sz w:val="21"/>
              </w:rPr>
            </w:pPr>
            <w:r>
              <w:rPr>
                <w:rFonts w:ascii="Cambria"/>
                <w:color w:val="333333"/>
                <w:w w:val="110"/>
                <w:sz w:val="21"/>
              </w:rPr>
              <w:t>Whether HttpServletRequest attributes are allowed to override (hide) controller generated model attributes of the same name.</w:t>
            </w:r>
          </w:p>
        </w:tc>
      </w:tr>
      <w:tr w:rsidR="00A720EB" w14:paraId="4152C03D" w14:textId="77777777">
        <w:trPr>
          <w:trHeight w:val="1056"/>
        </w:trPr>
        <w:tc>
          <w:tcPr>
            <w:tcW w:w="2494" w:type="dxa"/>
          </w:tcPr>
          <w:p w14:paraId="05D8C6EF" w14:textId="77777777" w:rsidR="00A720EB" w:rsidRDefault="0030286B">
            <w:pPr>
              <w:pStyle w:val="TableParagraph"/>
              <w:spacing w:before="46" w:line="230" w:lineRule="auto"/>
              <w:ind w:right="113"/>
              <w:rPr>
                <w:sz w:val="21"/>
              </w:rPr>
            </w:pPr>
            <w:proofErr w:type="gramStart"/>
            <w:r>
              <w:rPr>
                <w:color w:val="B02045"/>
                <w:sz w:val="21"/>
              </w:rPr>
              <w:t>spring.mustache</w:t>
            </w:r>
            <w:proofErr w:type="gramEnd"/>
            <w:r>
              <w:rPr>
                <w:color w:val="B02045"/>
                <w:sz w:val="21"/>
              </w:rPr>
              <w:t>.allow- session-override</w:t>
            </w:r>
          </w:p>
        </w:tc>
        <w:tc>
          <w:tcPr>
            <w:tcW w:w="2494" w:type="dxa"/>
          </w:tcPr>
          <w:p w14:paraId="685477D8" w14:textId="77777777" w:rsidR="00A720EB" w:rsidRDefault="0030286B">
            <w:pPr>
              <w:pStyle w:val="TableParagraph"/>
              <w:rPr>
                <w:sz w:val="21"/>
              </w:rPr>
            </w:pPr>
            <w:r>
              <w:rPr>
                <w:color w:val="B02045"/>
                <w:sz w:val="21"/>
              </w:rPr>
              <w:t>false</w:t>
            </w:r>
          </w:p>
        </w:tc>
        <w:tc>
          <w:tcPr>
            <w:tcW w:w="4988" w:type="dxa"/>
          </w:tcPr>
          <w:p w14:paraId="0B867C14" w14:textId="77777777" w:rsidR="00A720EB" w:rsidRDefault="0030286B">
            <w:pPr>
              <w:pStyle w:val="TableParagraph"/>
              <w:spacing w:before="28" w:line="310" w:lineRule="atLeast"/>
              <w:rPr>
                <w:rFonts w:ascii="Cambria"/>
                <w:sz w:val="21"/>
              </w:rPr>
            </w:pPr>
            <w:r>
              <w:rPr>
                <w:rFonts w:ascii="Cambria"/>
                <w:color w:val="333333"/>
                <w:w w:val="110"/>
                <w:sz w:val="21"/>
              </w:rPr>
              <w:t>Whether HttpSession attributes are allowed to override (hide) controller generated model attributes of the same name.</w:t>
            </w:r>
          </w:p>
        </w:tc>
      </w:tr>
      <w:tr w:rsidR="00A720EB" w14:paraId="4AF14D32" w14:textId="77777777">
        <w:trPr>
          <w:trHeight w:val="425"/>
        </w:trPr>
        <w:tc>
          <w:tcPr>
            <w:tcW w:w="2494" w:type="dxa"/>
          </w:tcPr>
          <w:p w14:paraId="1EA5CE1C" w14:textId="77777777" w:rsidR="00A720EB" w:rsidRDefault="0030286B">
            <w:pPr>
              <w:pStyle w:val="TableParagraph"/>
              <w:rPr>
                <w:sz w:val="21"/>
              </w:rPr>
            </w:pPr>
            <w:proofErr w:type="gramStart"/>
            <w:r>
              <w:rPr>
                <w:color w:val="B02045"/>
                <w:sz w:val="21"/>
              </w:rPr>
              <w:t>spring.mustache</w:t>
            </w:r>
            <w:proofErr w:type="gramEnd"/>
            <w:r>
              <w:rPr>
                <w:color w:val="B02045"/>
                <w:sz w:val="21"/>
              </w:rPr>
              <w:t>.cache</w:t>
            </w:r>
          </w:p>
        </w:tc>
        <w:tc>
          <w:tcPr>
            <w:tcW w:w="2494" w:type="dxa"/>
          </w:tcPr>
          <w:p w14:paraId="59E0DBDE" w14:textId="77777777" w:rsidR="00A720EB" w:rsidRDefault="0030286B">
            <w:pPr>
              <w:pStyle w:val="TableParagraph"/>
              <w:rPr>
                <w:sz w:val="21"/>
              </w:rPr>
            </w:pPr>
            <w:r>
              <w:rPr>
                <w:color w:val="B02045"/>
                <w:sz w:val="21"/>
              </w:rPr>
              <w:t>false</w:t>
            </w:r>
          </w:p>
        </w:tc>
        <w:tc>
          <w:tcPr>
            <w:tcW w:w="4988" w:type="dxa"/>
          </w:tcPr>
          <w:p w14:paraId="225FA95E" w14:textId="77777777" w:rsidR="00A720EB" w:rsidRDefault="0030286B">
            <w:pPr>
              <w:pStyle w:val="TableParagraph"/>
              <w:spacing w:before="92"/>
              <w:rPr>
                <w:rFonts w:ascii="Cambria"/>
                <w:sz w:val="21"/>
              </w:rPr>
            </w:pPr>
            <w:r>
              <w:rPr>
                <w:rFonts w:ascii="Cambria"/>
                <w:color w:val="333333"/>
                <w:w w:val="110"/>
                <w:sz w:val="21"/>
              </w:rPr>
              <w:t>Whether to enable template caching.</w:t>
            </w:r>
          </w:p>
        </w:tc>
      </w:tr>
      <w:tr w:rsidR="00A720EB" w14:paraId="0D54FDE0" w14:textId="77777777">
        <w:trPr>
          <w:trHeight w:val="627"/>
        </w:trPr>
        <w:tc>
          <w:tcPr>
            <w:tcW w:w="2494" w:type="dxa"/>
          </w:tcPr>
          <w:p w14:paraId="262B4D09" w14:textId="77777777" w:rsidR="00A720EB" w:rsidRDefault="0030286B">
            <w:pPr>
              <w:pStyle w:val="TableParagraph"/>
              <w:spacing w:before="46" w:line="230" w:lineRule="auto"/>
              <w:ind w:right="94"/>
              <w:rPr>
                <w:sz w:val="21"/>
              </w:rPr>
            </w:pPr>
            <w:proofErr w:type="gramStart"/>
            <w:r>
              <w:rPr>
                <w:color w:val="B02045"/>
                <w:sz w:val="21"/>
              </w:rPr>
              <w:t>spring.mustache</w:t>
            </w:r>
            <w:proofErr w:type="gramEnd"/>
            <w:r>
              <w:rPr>
                <w:color w:val="B02045"/>
                <w:sz w:val="21"/>
              </w:rPr>
              <w:t>.charse t</w:t>
            </w:r>
          </w:p>
        </w:tc>
        <w:tc>
          <w:tcPr>
            <w:tcW w:w="2494" w:type="dxa"/>
          </w:tcPr>
          <w:p w14:paraId="66370BE3" w14:textId="77777777" w:rsidR="00A720EB" w:rsidRDefault="0030286B">
            <w:pPr>
              <w:pStyle w:val="TableParagraph"/>
              <w:rPr>
                <w:sz w:val="21"/>
              </w:rPr>
            </w:pPr>
            <w:r>
              <w:rPr>
                <w:color w:val="B02045"/>
                <w:sz w:val="21"/>
              </w:rPr>
              <w:t>UTF-8</w:t>
            </w:r>
          </w:p>
        </w:tc>
        <w:tc>
          <w:tcPr>
            <w:tcW w:w="4988" w:type="dxa"/>
          </w:tcPr>
          <w:p w14:paraId="68CFF774" w14:textId="77777777" w:rsidR="00A720EB" w:rsidRDefault="0030286B">
            <w:pPr>
              <w:pStyle w:val="TableParagraph"/>
              <w:spacing w:before="92"/>
              <w:rPr>
                <w:rFonts w:ascii="Cambria"/>
                <w:sz w:val="21"/>
              </w:rPr>
            </w:pPr>
            <w:r>
              <w:rPr>
                <w:rFonts w:ascii="Cambria"/>
                <w:color w:val="333333"/>
                <w:w w:val="110"/>
                <w:sz w:val="21"/>
              </w:rPr>
              <w:t>Template encoding.</w:t>
            </w:r>
          </w:p>
        </w:tc>
      </w:tr>
      <w:tr w:rsidR="00A720EB" w14:paraId="78BE548F" w14:textId="77777777">
        <w:trPr>
          <w:trHeight w:val="741"/>
        </w:trPr>
        <w:tc>
          <w:tcPr>
            <w:tcW w:w="2494" w:type="dxa"/>
          </w:tcPr>
          <w:p w14:paraId="109C40F6" w14:textId="77777777" w:rsidR="00A720EB" w:rsidRDefault="0030286B">
            <w:pPr>
              <w:pStyle w:val="TableParagraph"/>
              <w:spacing w:before="46" w:line="230" w:lineRule="auto"/>
              <w:ind w:right="113"/>
              <w:rPr>
                <w:sz w:val="21"/>
              </w:rPr>
            </w:pPr>
            <w:proofErr w:type="gramStart"/>
            <w:r>
              <w:rPr>
                <w:color w:val="B02045"/>
                <w:sz w:val="21"/>
              </w:rPr>
              <w:t>spring.mustache</w:t>
            </w:r>
            <w:proofErr w:type="gramEnd"/>
            <w:r>
              <w:rPr>
                <w:color w:val="B02045"/>
                <w:sz w:val="21"/>
              </w:rPr>
              <w:t>.check- template-location</w:t>
            </w:r>
          </w:p>
        </w:tc>
        <w:tc>
          <w:tcPr>
            <w:tcW w:w="2494" w:type="dxa"/>
          </w:tcPr>
          <w:p w14:paraId="5574D4E3" w14:textId="77777777" w:rsidR="00A720EB" w:rsidRDefault="0030286B">
            <w:pPr>
              <w:pStyle w:val="TableParagraph"/>
              <w:rPr>
                <w:sz w:val="21"/>
              </w:rPr>
            </w:pPr>
            <w:r>
              <w:rPr>
                <w:color w:val="B02045"/>
                <w:sz w:val="21"/>
              </w:rPr>
              <w:t>true</w:t>
            </w:r>
          </w:p>
        </w:tc>
        <w:tc>
          <w:tcPr>
            <w:tcW w:w="4988" w:type="dxa"/>
          </w:tcPr>
          <w:p w14:paraId="7E17F927" w14:textId="77777777" w:rsidR="00A720EB" w:rsidRDefault="0030286B">
            <w:pPr>
              <w:pStyle w:val="TableParagraph"/>
              <w:spacing w:before="28" w:line="310" w:lineRule="atLeast"/>
              <w:rPr>
                <w:rFonts w:ascii="Cambria"/>
                <w:sz w:val="21"/>
              </w:rPr>
            </w:pPr>
            <w:r>
              <w:rPr>
                <w:rFonts w:ascii="Cambria"/>
                <w:color w:val="333333"/>
                <w:w w:val="110"/>
                <w:sz w:val="21"/>
              </w:rPr>
              <w:t>Whether to check that the templates location exists.</w:t>
            </w:r>
          </w:p>
        </w:tc>
      </w:tr>
      <w:tr w:rsidR="00A720EB" w14:paraId="76162FC5" w14:textId="77777777">
        <w:trPr>
          <w:trHeight w:val="627"/>
        </w:trPr>
        <w:tc>
          <w:tcPr>
            <w:tcW w:w="2494" w:type="dxa"/>
          </w:tcPr>
          <w:p w14:paraId="38BEFAD8" w14:textId="77777777" w:rsidR="00A720EB" w:rsidRDefault="0030286B">
            <w:pPr>
              <w:pStyle w:val="TableParagraph"/>
              <w:spacing w:before="46" w:line="230" w:lineRule="auto"/>
              <w:ind w:right="113"/>
              <w:rPr>
                <w:sz w:val="21"/>
              </w:rPr>
            </w:pPr>
            <w:proofErr w:type="gramStart"/>
            <w:r>
              <w:rPr>
                <w:color w:val="B02045"/>
                <w:sz w:val="21"/>
              </w:rPr>
              <w:t>spring.mustache</w:t>
            </w:r>
            <w:proofErr w:type="gramEnd"/>
            <w:r>
              <w:rPr>
                <w:color w:val="B02045"/>
                <w:sz w:val="21"/>
              </w:rPr>
              <w:t>.conten t-type</w:t>
            </w:r>
          </w:p>
        </w:tc>
        <w:tc>
          <w:tcPr>
            <w:tcW w:w="2494" w:type="dxa"/>
          </w:tcPr>
          <w:p w14:paraId="11AA04EB" w14:textId="77777777" w:rsidR="00A720EB" w:rsidRDefault="0030286B">
            <w:pPr>
              <w:pStyle w:val="TableParagraph"/>
              <w:spacing w:before="37"/>
              <w:rPr>
                <w:sz w:val="21"/>
              </w:rPr>
            </w:pPr>
            <w:r>
              <w:rPr>
                <w:color w:val="B02045"/>
                <w:sz w:val="21"/>
              </w:rPr>
              <w:t>text/html</w:t>
            </w:r>
          </w:p>
        </w:tc>
        <w:tc>
          <w:tcPr>
            <w:tcW w:w="4988" w:type="dxa"/>
          </w:tcPr>
          <w:p w14:paraId="428B53AF" w14:textId="77777777" w:rsidR="00A720EB" w:rsidRDefault="0030286B">
            <w:pPr>
              <w:pStyle w:val="TableParagraph"/>
              <w:spacing w:before="92"/>
              <w:rPr>
                <w:rFonts w:ascii="Cambria"/>
                <w:sz w:val="21"/>
              </w:rPr>
            </w:pPr>
            <w:r>
              <w:rPr>
                <w:rFonts w:ascii="Cambria"/>
                <w:color w:val="333333"/>
                <w:w w:val="110"/>
                <w:sz w:val="21"/>
              </w:rPr>
              <w:t>Content-Type value.</w:t>
            </w:r>
          </w:p>
        </w:tc>
      </w:tr>
      <w:tr w:rsidR="00A720EB" w14:paraId="3F032EFD" w14:textId="77777777">
        <w:trPr>
          <w:trHeight w:val="741"/>
        </w:trPr>
        <w:tc>
          <w:tcPr>
            <w:tcW w:w="2494" w:type="dxa"/>
          </w:tcPr>
          <w:p w14:paraId="4C33988B" w14:textId="77777777" w:rsidR="00A720EB" w:rsidRDefault="0030286B">
            <w:pPr>
              <w:pStyle w:val="TableParagraph"/>
              <w:spacing w:before="46" w:line="230" w:lineRule="auto"/>
              <w:ind w:right="94"/>
              <w:rPr>
                <w:sz w:val="21"/>
              </w:rPr>
            </w:pPr>
            <w:proofErr w:type="gramStart"/>
            <w:r>
              <w:rPr>
                <w:color w:val="B02045"/>
                <w:sz w:val="21"/>
              </w:rPr>
              <w:t>spring.mustache</w:t>
            </w:r>
            <w:proofErr w:type="gramEnd"/>
            <w:r>
              <w:rPr>
                <w:color w:val="B02045"/>
                <w:sz w:val="21"/>
              </w:rPr>
              <w:t>.enable d</w:t>
            </w:r>
          </w:p>
        </w:tc>
        <w:tc>
          <w:tcPr>
            <w:tcW w:w="2494" w:type="dxa"/>
          </w:tcPr>
          <w:p w14:paraId="726FEFA0" w14:textId="77777777" w:rsidR="00A720EB" w:rsidRDefault="0030286B">
            <w:pPr>
              <w:pStyle w:val="TableParagraph"/>
              <w:spacing w:before="37"/>
              <w:rPr>
                <w:sz w:val="21"/>
              </w:rPr>
            </w:pPr>
            <w:r>
              <w:rPr>
                <w:color w:val="B02045"/>
                <w:sz w:val="21"/>
              </w:rPr>
              <w:t>true</w:t>
            </w:r>
          </w:p>
        </w:tc>
        <w:tc>
          <w:tcPr>
            <w:tcW w:w="4988" w:type="dxa"/>
          </w:tcPr>
          <w:p w14:paraId="4B48B2E1" w14:textId="77777777" w:rsidR="00A720EB" w:rsidRDefault="0030286B">
            <w:pPr>
              <w:pStyle w:val="TableParagraph"/>
              <w:spacing w:before="28" w:line="310" w:lineRule="atLeast"/>
              <w:rPr>
                <w:rFonts w:ascii="Cambria"/>
                <w:sz w:val="21"/>
              </w:rPr>
            </w:pPr>
            <w:r>
              <w:rPr>
                <w:rFonts w:ascii="Cambria"/>
                <w:color w:val="333333"/>
                <w:w w:val="110"/>
                <w:sz w:val="21"/>
              </w:rPr>
              <w:t>Whether to enable MVC view resolution for this technology.</w:t>
            </w:r>
          </w:p>
        </w:tc>
      </w:tr>
      <w:tr w:rsidR="00A720EB" w14:paraId="10DD4EA2" w14:textId="77777777">
        <w:trPr>
          <w:trHeight w:val="741"/>
        </w:trPr>
        <w:tc>
          <w:tcPr>
            <w:tcW w:w="2494" w:type="dxa"/>
          </w:tcPr>
          <w:p w14:paraId="782E8429" w14:textId="77777777" w:rsidR="00A720EB" w:rsidRDefault="0030286B">
            <w:pPr>
              <w:pStyle w:val="TableParagraph"/>
              <w:spacing w:before="37" w:line="264" w:lineRule="exact"/>
              <w:rPr>
                <w:sz w:val="21"/>
              </w:rPr>
            </w:pPr>
            <w:proofErr w:type="gramStart"/>
            <w:r>
              <w:rPr>
                <w:color w:val="B02045"/>
                <w:sz w:val="21"/>
              </w:rPr>
              <w:lastRenderedPageBreak/>
              <w:t>spring.mustache</w:t>
            </w:r>
            <w:proofErr w:type="gramEnd"/>
            <w:r>
              <w:rPr>
                <w:color w:val="B02045"/>
                <w:sz w:val="21"/>
              </w:rPr>
              <w:t>.expose</w:t>
            </w:r>
          </w:p>
          <w:p w14:paraId="2B911A72" w14:textId="77777777" w:rsidR="00A720EB" w:rsidRDefault="0030286B">
            <w:pPr>
              <w:pStyle w:val="TableParagraph"/>
              <w:spacing w:before="0" w:line="264" w:lineRule="exact"/>
              <w:rPr>
                <w:sz w:val="21"/>
              </w:rPr>
            </w:pPr>
            <w:r>
              <w:rPr>
                <w:color w:val="B02045"/>
                <w:sz w:val="21"/>
              </w:rPr>
              <w:t>-request-attributes</w:t>
            </w:r>
          </w:p>
        </w:tc>
        <w:tc>
          <w:tcPr>
            <w:tcW w:w="2494" w:type="dxa"/>
          </w:tcPr>
          <w:p w14:paraId="78B0637F" w14:textId="77777777" w:rsidR="00A720EB" w:rsidRDefault="0030286B">
            <w:pPr>
              <w:pStyle w:val="TableParagraph"/>
              <w:spacing w:before="37"/>
              <w:rPr>
                <w:sz w:val="21"/>
              </w:rPr>
            </w:pPr>
            <w:r>
              <w:rPr>
                <w:color w:val="B02045"/>
                <w:sz w:val="21"/>
              </w:rPr>
              <w:t>false</w:t>
            </w:r>
          </w:p>
        </w:tc>
        <w:tc>
          <w:tcPr>
            <w:tcW w:w="4988" w:type="dxa"/>
          </w:tcPr>
          <w:p w14:paraId="21E60868" w14:textId="77777777" w:rsidR="00A720EB" w:rsidRDefault="0030286B">
            <w:pPr>
              <w:pStyle w:val="TableParagraph"/>
              <w:spacing w:before="28" w:line="310" w:lineRule="atLeast"/>
              <w:ind w:right="102"/>
              <w:rPr>
                <w:rFonts w:ascii="Cambria"/>
                <w:sz w:val="21"/>
              </w:rPr>
            </w:pPr>
            <w:r>
              <w:rPr>
                <w:rFonts w:ascii="Cambria"/>
                <w:color w:val="333333"/>
                <w:w w:val="110"/>
                <w:sz w:val="21"/>
              </w:rPr>
              <w:t>Whether all request attributes should be added to the model prior to merging with the template.</w:t>
            </w:r>
          </w:p>
        </w:tc>
      </w:tr>
      <w:tr w:rsidR="00A720EB" w14:paraId="03C17A6F" w14:textId="77777777">
        <w:trPr>
          <w:trHeight w:val="1056"/>
        </w:trPr>
        <w:tc>
          <w:tcPr>
            <w:tcW w:w="2494" w:type="dxa"/>
          </w:tcPr>
          <w:p w14:paraId="151E4FF5" w14:textId="77777777" w:rsidR="00A720EB" w:rsidRDefault="0030286B">
            <w:pPr>
              <w:pStyle w:val="TableParagraph"/>
              <w:spacing w:line="264" w:lineRule="exact"/>
              <w:rPr>
                <w:sz w:val="21"/>
              </w:rPr>
            </w:pPr>
            <w:proofErr w:type="gramStart"/>
            <w:r>
              <w:rPr>
                <w:color w:val="B02045"/>
                <w:sz w:val="21"/>
              </w:rPr>
              <w:t>spring.mustache</w:t>
            </w:r>
            <w:proofErr w:type="gramEnd"/>
            <w:r>
              <w:rPr>
                <w:color w:val="B02045"/>
                <w:sz w:val="21"/>
              </w:rPr>
              <w:t>.expose</w:t>
            </w:r>
          </w:p>
          <w:p w14:paraId="46EE18D6" w14:textId="77777777" w:rsidR="00A720EB" w:rsidRDefault="0030286B">
            <w:pPr>
              <w:pStyle w:val="TableParagraph"/>
              <w:spacing w:before="0" w:line="264" w:lineRule="exact"/>
              <w:rPr>
                <w:sz w:val="21"/>
              </w:rPr>
            </w:pPr>
            <w:r>
              <w:rPr>
                <w:color w:val="B02045"/>
                <w:sz w:val="21"/>
              </w:rPr>
              <w:t>-session-attributes</w:t>
            </w:r>
          </w:p>
        </w:tc>
        <w:tc>
          <w:tcPr>
            <w:tcW w:w="2494" w:type="dxa"/>
          </w:tcPr>
          <w:p w14:paraId="373B9160" w14:textId="77777777" w:rsidR="00A720EB" w:rsidRDefault="0030286B">
            <w:pPr>
              <w:pStyle w:val="TableParagraph"/>
              <w:rPr>
                <w:sz w:val="21"/>
              </w:rPr>
            </w:pPr>
            <w:r>
              <w:rPr>
                <w:color w:val="B02045"/>
                <w:sz w:val="21"/>
              </w:rPr>
              <w:t>false</w:t>
            </w:r>
          </w:p>
        </w:tc>
        <w:tc>
          <w:tcPr>
            <w:tcW w:w="4988" w:type="dxa"/>
          </w:tcPr>
          <w:p w14:paraId="0344DC3B" w14:textId="77777777" w:rsidR="00A720EB" w:rsidRDefault="0030286B">
            <w:pPr>
              <w:pStyle w:val="TableParagraph"/>
              <w:spacing w:before="28" w:line="310" w:lineRule="atLeast"/>
              <w:ind w:right="408"/>
              <w:jc w:val="both"/>
              <w:rPr>
                <w:rFonts w:ascii="Cambria"/>
                <w:sz w:val="21"/>
              </w:rPr>
            </w:pPr>
            <w:r>
              <w:rPr>
                <w:rFonts w:ascii="Cambria"/>
                <w:color w:val="333333"/>
                <w:w w:val="110"/>
                <w:sz w:val="21"/>
              </w:rPr>
              <w:t>Whether all HttpSession attributes should be added to the model prior to merging with the template.</w:t>
            </w:r>
          </w:p>
        </w:tc>
      </w:tr>
    </w:tbl>
    <w:p w14:paraId="3082B43E" w14:textId="77777777" w:rsidR="00A720EB" w:rsidRDefault="00A720EB">
      <w:pPr>
        <w:spacing w:line="310" w:lineRule="atLeast"/>
        <w:jc w:val="both"/>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2D1E0C6" w14:textId="77777777">
        <w:trPr>
          <w:trHeight w:val="415"/>
        </w:trPr>
        <w:tc>
          <w:tcPr>
            <w:tcW w:w="2494" w:type="dxa"/>
            <w:tcBorders>
              <w:bottom w:val="single" w:sz="12" w:space="0" w:color="DDDDDD"/>
            </w:tcBorders>
          </w:tcPr>
          <w:p w14:paraId="214976A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A5A6C02"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9EE3772"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2BC374A" w14:textId="77777777">
        <w:trPr>
          <w:trHeight w:val="1046"/>
        </w:trPr>
        <w:tc>
          <w:tcPr>
            <w:tcW w:w="2494" w:type="dxa"/>
            <w:tcBorders>
              <w:top w:val="single" w:sz="12" w:space="0" w:color="DDDDDD"/>
            </w:tcBorders>
          </w:tcPr>
          <w:p w14:paraId="28A8F1A6" w14:textId="77777777" w:rsidR="00A720EB" w:rsidRDefault="0030286B">
            <w:pPr>
              <w:pStyle w:val="TableParagraph"/>
              <w:spacing w:before="27" w:line="264" w:lineRule="exact"/>
              <w:rPr>
                <w:sz w:val="21"/>
              </w:rPr>
            </w:pPr>
            <w:proofErr w:type="gramStart"/>
            <w:r>
              <w:rPr>
                <w:color w:val="B02045"/>
                <w:sz w:val="21"/>
              </w:rPr>
              <w:t>spring.mustache</w:t>
            </w:r>
            <w:proofErr w:type="gramEnd"/>
            <w:r>
              <w:rPr>
                <w:color w:val="B02045"/>
                <w:sz w:val="21"/>
              </w:rPr>
              <w:t>.expose</w:t>
            </w:r>
          </w:p>
          <w:p w14:paraId="744B23B3" w14:textId="77777777" w:rsidR="00A720EB" w:rsidRDefault="0030286B">
            <w:pPr>
              <w:pStyle w:val="TableParagraph"/>
              <w:spacing w:before="0" w:line="264" w:lineRule="exact"/>
              <w:rPr>
                <w:sz w:val="21"/>
              </w:rPr>
            </w:pPr>
            <w:r>
              <w:rPr>
                <w:color w:val="B02045"/>
                <w:sz w:val="21"/>
              </w:rPr>
              <w:t>-spring-macro-helpers</w:t>
            </w:r>
          </w:p>
        </w:tc>
        <w:tc>
          <w:tcPr>
            <w:tcW w:w="2494" w:type="dxa"/>
            <w:tcBorders>
              <w:top w:val="single" w:sz="12" w:space="0" w:color="DDDDDD"/>
            </w:tcBorders>
          </w:tcPr>
          <w:p w14:paraId="01A5854A"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45F713B7" w14:textId="77777777" w:rsidR="00A720EB" w:rsidRDefault="0030286B">
            <w:pPr>
              <w:pStyle w:val="TableParagraph"/>
              <w:spacing w:before="18" w:line="310" w:lineRule="atLeast"/>
              <w:rPr>
                <w:rFonts w:ascii="Cambria"/>
                <w:sz w:val="21"/>
              </w:rPr>
            </w:pPr>
            <w:r>
              <w:rPr>
                <w:rFonts w:ascii="Cambria"/>
                <w:color w:val="333333"/>
                <w:w w:val="110"/>
                <w:sz w:val="21"/>
              </w:rPr>
              <w:t>Whether to expose a RequestContext for use by Spring's macro library, under the name "springMacroRequestContext".</w:t>
            </w:r>
          </w:p>
        </w:tc>
      </w:tr>
      <w:tr w:rsidR="00A720EB" w14:paraId="2F9FFF9D" w14:textId="77777777">
        <w:trPr>
          <w:trHeight w:val="425"/>
        </w:trPr>
        <w:tc>
          <w:tcPr>
            <w:tcW w:w="2494" w:type="dxa"/>
          </w:tcPr>
          <w:p w14:paraId="79A1CEB9" w14:textId="77777777" w:rsidR="00A720EB" w:rsidRDefault="0030286B">
            <w:pPr>
              <w:pStyle w:val="TableParagraph"/>
              <w:rPr>
                <w:sz w:val="21"/>
              </w:rPr>
            </w:pPr>
            <w:proofErr w:type="gramStart"/>
            <w:r>
              <w:rPr>
                <w:color w:val="B02045"/>
                <w:sz w:val="21"/>
              </w:rPr>
              <w:t>spring.mustache</w:t>
            </w:r>
            <w:proofErr w:type="gramEnd"/>
            <w:r>
              <w:rPr>
                <w:color w:val="B02045"/>
                <w:sz w:val="21"/>
              </w:rPr>
              <w:t>.prefix</w:t>
            </w:r>
          </w:p>
        </w:tc>
        <w:tc>
          <w:tcPr>
            <w:tcW w:w="2494" w:type="dxa"/>
          </w:tcPr>
          <w:p w14:paraId="4F847BED" w14:textId="77777777" w:rsidR="00A720EB" w:rsidRDefault="0030286B">
            <w:pPr>
              <w:pStyle w:val="TableParagraph"/>
              <w:rPr>
                <w:sz w:val="21"/>
              </w:rPr>
            </w:pPr>
            <w:r>
              <w:rPr>
                <w:color w:val="B02045"/>
                <w:sz w:val="21"/>
              </w:rPr>
              <w:t>classpath:/templates/</w:t>
            </w:r>
          </w:p>
        </w:tc>
        <w:tc>
          <w:tcPr>
            <w:tcW w:w="4988" w:type="dxa"/>
          </w:tcPr>
          <w:p w14:paraId="28932285" w14:textId="77777777" w:rsidR="00A720EB" w:rsidRDefault="0030286B">
            <w:pPr>
              <w:pStyle w:val="TableParagraph"/>
              <w:spacing w:before="92"/>
              <w:rPr>
                <w:rFonts w:ascii="Cambria"/>
                <w:sz w:val="21"/>
              </w:rPr>
            </w:pPr>
            <w:r>
              <w:rPr>
                <w:rFonts w:ascii="Cambria"/>
                <w:color w:val="333333"/>
                <w:w w:val="110"/>
                <w:sz w:val="21"/>
              </w:rPr>
              <w:t>Prefix to apply to template names.</w:t>
            </w:r>
          </w:p>
        </w:tc>
      </w:tr>
      <w:tr w:rsidR="00A720EB" w14:paraId="192A7440" w14:textId="77777777">
        <w:trPr>
          <w:trHeight w:val="741"/>
        </w:trPr>
        <w:tc>
          <w:tcPr>
            <w:tcW w:w="2494" w:type="dxa"/>
          </w:tcPr>
          <w:p w14:paraId="281E05D3" w14:textId="77777777" w:rsidR="00A720EB" w:rsidRDefault="0030286B">
            <w:pPr>
              <w:pStyle w:val="TableParagraph"/>
              <w:spacing w:before="46" w:line="230" w:lineRule="auto"/>
              <w:ind w:right="113"/>
              <w:rPr>
                <w:sz w:val="21"/>
              </w:rPr>
            </w:pPr>
            <w:proofErr w:type="gramStart"/>
            <w:r>
              <w:rPr>
                <w:color w:val="B02045"/>
                <w:sz w:val="21"/>
              </w:rPr>
              <w:t>spring.mustache</w:t>
            </w:r>
            <w:proofErr w:type="gramEnd"/>
            <w:r>
              <w:rPr>
                <w:color w:val="B02045"/>
                <w:sz w:val="21"/>
              </w:rPr>
              <w:t>.reques t-context-attribute</w:t>
            </w:r>
          </w:p>
        </w:tc>
        <w:tc>
          <w:tcPr>
            <w:tcW w:w="2494" w:type="dxa"/>
          </w:tcPr>
          <w:p w14:paraId="22D236B0" w14:textId="77777777" w:rsidR="00A720EB" w:rsidRDefault="00A720EB">
            <w:pPr>
              <w:pStyle w:val="TableParagraph"/>
              <w:spacing w:before="0"/>
              <w:ind w:left="0"/>
              <w:rPr>
                <w:rFonts w:ascii="Times New Roman"/>
                <w:sz w:val="20"/>
              </w:rPr>
            </w:pPr>
          </w:p>
        </w:tc>
        <w:tc>
          <w:tcPr>
            <w:tcW w:w="4988" w:type="dxa"/>
          </w:tcPr>
          <w:p w14:paraId="7588B8E7" w14:textId="77777777" w:rsidR="00A720EB" w:rsidRDefault="0030286B">
            <w:pPr>
              <w:pStyle w:val="TableParagraph"/>
              <w:spacing w:before="28" w:line="310" w:lineRule="atLeast"/>
              <w:rPr>
                <w:rFonts w:ascii="Cambria"/>
                <w:sz w:val="21"/>
              </w:rPr>
            </w:pPr>
            <w:r>
              <w:rPr>
                <w:rFonts w:ascii="Cambria"/>
                <w:color w:val="333333"/>
                <w:w w:val="110"/>
                <w:sz w:val="21"/>
              </w:rPr>
              <w:t>Name of the RequestContext attribute for all views.</w:t>
            </w:r>
          </w:p>
        </w:tc>
      </w:tr>
      <w:tr w:rsidR="00A720EB" w14:paraId="5DC8CF30" w14:textId="77777777">
        <w:trPr>
          <w:trHeight w:val="425"/>
        </w:trPr>
        <w:tc>
          <w:tcPr>
            <w:tcW w:w="2494" w:type="dxa"/>
          </w:tcPr>
          <w:p w14:paraId="0CBA7852" w14:textId="77777777" w:rsidR="00A720EB" w:rsidRDefault="0030286B">
            <w:pPr>
              <w:pStyle w:val="TableParagraph"/>
              <w:spacing w:before="37"/>
              <w:rPr>
                <w:sz w:val="21"/>
              </w:rPr>
            </w:pPr>
            <w:proofErr w:type="gramStart"/>
            <w:r>
              <w:rPr>
                <w:color w:val="B02045"/>
                <w:sz w:val="21"/>
              </w:rPr>
              <w:t>spring.mustache</w:t>
            </w:r>
            <w:proofErr w:type="gramEnd"/>
            <w:r>
              <w:rPr>
                <w:color w:val="B02045"/>
                <w:sz w:val="21"/>
              </w:rPr>
              <w:t>.suffix</w:t>
            </w:r>
          </w:p>
        </w:tc>
        <w:tc>
          <w:tcPr>
            <w:tcW w:w="2494" w:type="dxa"/>
          </w:tcPr>
          <w:p w14:paraId="68A696B0" w14:textId="77777777" w:rsidR="00A720EB" w:rsidRDefault="0030286B">
            <w:pPr>
              <w:pStyle w:val="TableParagraph"/>
              <w:spacing w:before="37"/>
              <w:rPr>
                <w:sz w:val="21"/>
              </w:rPr>
            </w:pPr>
            <w:proofErr w:type="gramStart"/>
            <w:r>
              <w:rPr>
                <w:color w:val="B02045"/>
                <w:sz w:val="21"/>
              </w:rPr>
              <w:t>.mustache</w:t>
            </w:r>
            <w:proofErr w:type="gramEnd"/>
          </w:p>
        </w:tc>
        <w:tc>
          <w:tcPr>
            <w:tcW w:w="4988" w:type="dxa"/>
          </w:tcPr>
          <w:p w14:paraId="59EFC0EB" w14:textId="77777777" w:rsidR="00A720EB" w:rsidRDefault="0030286B">
            <w:pPr>
              <w:pStyle w:val="TableParagraph"/>
              <w:spacing w:before="92"/>
              <w:rPr>
                <w:rFonts w:ascii="Cambria"/>
                <w:sz w:val="21"/>
              </w:rPr>
            </w:pPr>
            <w:r>
              <w:rPr>
                <w:rFonts w:ascii="Cambria"/>
                <w:color w:val="333333"/>
                <w:w w:val="110"/>
                <w:sz w:val="21"/>
              </w:rPr>
              <w:t>Suffix to apply to template names.</w:t>
            </w:r>
          </w:p>
        </w:tc>
      </w:tr>
      <w:tr w:rsidR="00A720EB" w14:paraId="1C42DE91" w14:textId="77777777">
        <w:trPr>
          <w:trHeight w:val="627"/>
        </w:trPr>
        <w:tc>
          <w:tcPr>
            <w:tcW w:w="2494" w:type="dxa"/>
          </w:tcPr>
          <w:p w14:paraId="7BC139C7" w14:textId="77777777" w:rsidR="00A720EB" w:rsidRDefault="0030286B">
            <w:pPr>
              <w:pStyle w:val="TableParagraph"/>
              <w:spacing w:before="46" w:line="230" w:lineRule="auto"/>
              <w:ind w:right="199"/>
              <w:rPr>
                <w:sz w:val="21"/>
              </w:rPr>
            </w:pPr>
            <w:proofErr w:type="gramStart"/>
            <w:r>
              <w:rPr>
                <w:color w:val="B02045"/>
                <w:sz w:val="21"/>
              </w:rPr>
              <w:t>spring.mustache</w:t>
            </w:r>
            <w:proofErr w:type="gramEnd"/>
            <w:r>
              <w:rPr>
                <w:color w:val="B02045"/>
                <w:sz w:val="21"/>
              </w:rPr>
              <w:t>.view- names</w:t>
            </w:r>
          </w:p>
        </w:tc>
        <w:tc>
          <w:tcPr>
            <w:tcW w:w="2494" w:type="dxa"/>
          </w:tcPr>
          <w:p w14:paraId="3ED2833A" w14:textId="77777777" w:rsidR="00A720EB" w:rsidRDefault="00A720EB">
            <w:pPr>
              <w:pStyle w:val="TableParagraph"/>
              <w:spacing w:before="0"/>
              <w:ind w:left="0"/>
              <w:rPr>
                <w:rFonts w:ascii="Times New Roman"/>
                <w:sz w:val="20"/>
              </w:rPr>
            </w:pPr>
          </w:p>
        </w:tc>
        <w:tc>
          <w:tcPr>
            <w:tcW w:w="4988" w:type="dxa"/>
          </w:tcPr>
          <w:p w14:paraId="2D010C55" w14:textId="77777777" w:rsidR="00A720EB" w:rsidRDefault="0030286B">
            <w:pPr>
              <w:pStyle w:val="TableParagraph"/>
              <w:spacing w:before="92"/>
              <w:rPr>
                <w:rFonts w:ascii="Cambria"/>
                <w:sz w:val="21"/>
              </w:rPr>
            </w:pPr>
            <w:r>
              <w:rPr>
                <w:rFonts w:ascii="Cambria"/>
                <w:color w:val="333333"/>
                <w:w w:val="110"/>
                <w:sz w:val="21"/>
              </w:rPr>
              <w:t>View names that can be resolved.</w:t>
            </w:r>
          </w:p>
        </w:tc>
      </w:tr>
      <w:tr w:rsidR="00A720EB" w14:paraId="1EA230A9" w14:textId="77777777">
        <w:trPr>
          <w:trHeight w:val="425"/>
        </w:trPr>
        <w:tc>
          <w:tcPr>
            <w:tcW w:w="2494" w:type="dxa"/>
          </w:tcPr>
          <w:p w14:paraId="4C61114E" w14:textId="77777777" w:rsidR="00A720EB" w:rsidRDefault="0030286B">
            <w:pPr>
              <w:pStyle w:val="TableParagraph"/>
              <w:rPr>
                <w:sz w:val="21"/>
              </w:rPr>
            </w:pPr>
            <w:proofErr w:type="gramStart"/>
            <w:r>
              <w:rPr>
                <w:color w:val="B02045"/>
                <w:sz w:val="21"/>
              </w:rPr>
              <w:t>spring.thymeleaf</w:t>
            </w:r>
            <w:proofErr w:type="gramEnd"/>
            <w:r>
              <w:rPr>
                <w:color w:val="B02045"/>
                <w:sz w:val="21"/>
              </w:rPr>
              <w:t>.cache</w:t>
            </w:r>
          </w:p>
        </w:tc>
        <w:tc>
          <w:tcPr>
            <w:tcW w:w="2494" w:type="dxa"/>
          </w:tcPr>
          <w:p w14:paraId="42E1B2C1" w14:textId="77777777" w:rsidR="00A720EB" w:rsidRDefault="0030286B">
            <w:pPr>
              <w:pStyle w:val="TableParagraph"/>
              <w:rPr>
                <w:sz w:val="21"/>
              </w:rPr>
            </w:pPr>
            <w:r>
              <w:rPr>
                <w:color w:val="B02045"/>
                <w:sz w:val="21"/>
              </w:rPr>
              <w:t>true</w:t>
            </w:r>
          </w:p>
        </w:tc>
        <w:tc>
          <w:tcPr>
            <w:tcW w:w="4988" w:type="dxa"/>
          </w:tcPr>
          <w:p w14:paraId="679372A6" w14:textId="77777777" w:rsidR="00A720EB" w:rsidRDefault="0030286B">
            <w:pPr>
              <w:pStyle w:val="TableParagraph"/>
              <w:spacing w:before="92"/>
              <w:rPr>
                <w:rFonts w:ascii="Cambria"/>
                <w:sz w:val="21"/>
              </w:rPr>
            </w:pPr>
            <w:r>
              <w:rPr>
                <w:rFonts w:ascii="Cambria"/>
                <w:color w:val="333333"/>
                <w:w w:val="110"/>
                <w:sz w:val="21"/>
              </w:rPr>
              <w:t>Whether to enable template caching.</w:t>
            </w:r>
          </w:p>
        </w:tc>
      </w:tr>
      <w:tr w:rsidR="00A720EB" w14:paraId="7CDE3CA1" w14:textId="77777777">
        <w:trPr>
          <w:trHeight w:val="741"/>
        </w:trPr>
        <w:tc>
          <w:tcPr>
            <w:tcW w:w="2494" w:type="dxa"/>
          </w:tcPr>
          <w:p w14:paraId="4F317B84" w14:textId="77777777" w:rsidR="00A720EB" w:rsidRDefault="0030286B">
            <w:pPr>
              <w:pStyle w:val="TableParagraph"/>
              <w:spacing w:before="37" w:line="264" w:lineRule="exact"/>
              <w:rPr>
                <w:sz w:val="21"/>
              </w:rPr>
            </w:pPr>
            <w:proofErr w:type="gramStart"/>
            <w:r>
              <w:rPr>
                <w:color w:val="B02045"/>
                <w:sz w:val="21"/>
              </w:rPr>
              <w:t>spring.thymeleaf</w:t>
            </w:r>
            <w:proofErr w:type="gramEnd"/>
            <w:r>
              <w:rPr>
                <w:color w:val="B02045"/>
                <w:sz w:val="21"/>
              </w:rPr>
              <w:t>.check</w:t>
            </w:r>
          </w:p>
          <w:p w14:paraId="385C52AB" w14:textId="77777777" w:rsidR="00A720EB" w:rsidRDefault="0030286B">
            <w:pPr>
              <w:pStyle w:val="TableParagraph"/>
              <w:spacing w:before="0" w:line="264" w:lineRule="exact"/>
              <w:rPr>
                <w:sz w:val="21"/>
              </w:rPr>
            </w:pPr>
            <w:r>
              <w:rPr>
                <w:color w:val="B02045"/>
                <w:sz w:val="21"/>
              </w:rPr>
              <w:t>-template</w:t>
            </w:r>
          </w:p>
        </w:tc>
        <w:tc>
          <w:tcPr>
            <w:tcW w:w="2494" w:type="dxa"/>
          </w:tcPr>
          <w:p w14:paraId="48DC2A2F" w14:textId="77777777" w:rsidR="00A720EB" w:rsidRDefault="0030286B">
            <w:pPr>
              <w:pStyle w:val="TableParagraph"/>
              <w:spacing w:before="37"/>
              <w:rPr>
                <w:sz w:val="21"/>
              </w:rPr>
            </w:pPr>
            <w:r>
              <w:rPr>
                <w:color w:val="B02045"/>
                <w:sz w:val="21"/>
              </w:rPr>
              <w:t>true</w:t>
            </w:r>
          </w:p>
        </w:tc>
        <w:tc>
          <w:tcPr>
            <w:tcW w:w="4988" w:type="dxa"/>
          </w:tcPr>
          <w:p w14:paraId="414B3287" w14:textId="77777777" w:rsidR="00A720EB" w:rsidRDefault="0030286B">
            <w:pPr>
              <w:pStyle w:val="TableParagraph"/>
              <w:spacing w:before="28" w:line="310" w:lineRule="atLeast"/>
              <w:rPr>
                <w:rFonts w:ascii="Cambria"/>
                <w:sz w:val="21"/>
              </w:rPr>
            </w:pPr>
            <w:r>
              <w:rPr>
                <w:rFonts w:ascii="Cambria"/>
                <w:color w:val="333333"/>
                <w:w w:val="110"/>
                <w:sz w:val="21"/>
              </w:rPr>
              <w:t>Whether to check that the template exists before rendering it.</w:t>
            </w:r>
          </w:p>
        </w:tc>
      </w:tr>
      <w:tr w:rsidR="00A720EB" w14:paraId="3F30B714" w14:textId="77777777">
        <w:trPr>
          <w:trHeight w:val="741"/>
        </w:trPr>
        <w:tc>
          <w:tcPr>
            <w:tcW w:w="2494" w:type="dxa"/>
          </w:tcPr>
          <w:p w14:paraId="74C8F9A6" w14:textId="77777777" w:rsidR="00A720EB" w:rsidRDefault="0030286B">
            <w:pPr>
              <w:pStyle w:val="TableParagraph"/>
              <w:spacing w:before="37" w:line="264" w:lineRule="exact"/>
              <w:rPr>
                <w:sz w:val="21"/>
              </w:rPr>
            </w:pPr>
            <w:proofErr w:type="gramStart"/>
            <w:r>
              <w:rPr>
                <w:color w:val="B02045"/>
                <w:sz w:val="21"/>
              </w:rPr>
              <w:t>spring.thymeleaf</w:t>
            </w:r>
            <w:proofErr w:type="gramEnd"/>
            <w:r>
              <w:rPr>
                <w:color w:val="B02045"/>
                <w:sz w:val="21"/>
              </w:rPr>
              <w:t>.check</w:t>
            </w:r>
          </w:p>
          <w:p w14:paraId="5D1E5D99" w14:textId="77777777" w:rsidR="00A720EB" w:rsidRDefault="0030286B">
            <w:pPr>
              <w:pStyle w:val="TableParagraph"/>
              <w:spacing w:before="0" w:line="264" w:lineRule="exact"/>
              <w:rPr>
                <w:sz w:val="21"/>
              </w:rPr>
            </w:pPr>
            <w:r>
              <w:rPr>
                <w:color w:val="B02045"/>
                <w:sz w:val="21"/>
              </w:rPr>
              <w:t>-template-location</w:t>
            </w:r>
          </w:p>
        </w:tc>
        <w:tc>
          <w:tcPr>
            <w:tcW w:w="2494" w:type="dxa"/>
          </w:tcPr>
          <w:p w14:paraId="70F9A001" w14:textId="77777777" w:rsidR="00A720EB" w:rsidRDefault="0030286B">
            <w:pPr>
              <w:pStyle w:val="TableParagraph"/>
              <w:spacing w:before="37"/>
              <w:rPr>
                <w:sz w:val="21"/>
              </w:rPr>
            </w:pPr>
            <w:r>
              <w:rPr>
                <w:color w:val="B02045"/>
                <w:sz w:val="21"/>
              </w:rPr>
              <w:t>true</w:t>
            </w:r>
          </w:p>
        </w:tc>
        <w:tc>
          <w:tcPr>
            <w:tcW w:w="4988" w:type="dxa"/>
          </w:tcPr>
          <w:p w14:paraId="337C3602" w14:textId="77777777" w:rsidR="00A720EB" w:rsidRDefault="0030286B">
            <w:pPr>
              <w:pStyle w:val="TableParagraph"/>
              <w:spacing w:before="28" w:line="310" w:lineRule="atLeast"/>
              <w:rPr>
                <w:rFonts w:ascii="Cambria"/>
                <w:sz w:val="21"/>
              </w:rPr>
            </w:pPr>
            <w:r>
              <w:rPr>
                <w:rFonts w:ascii="Cambria"/>
                <w:color w:val="333333"/>
                <w:w w:val="110"/>
                <w:sz w:val="21"/>
              </w:rPr>
              <w:t>Whether to check that the templates location exists.</w:t>
            </w:r>
          </w:p>
        </w:tc>
      </w:tr>
      <w:tr w:rsidR="00A720EB" w14:paraId="1FC3B1A9" w14:textId="77777777">
        <w:trPr>
          <w:trHeight w:val="741"/>
        </w:trPr>
        <w:tc>
          <w:tcPr>
            <w:tcW w:w="2494" w:type="dxa"/>
          </w:tcPr>
          <w:p w14:paraId="4AEC57A0" w14:textId="77777777" w:rsidR="00A720EB" w:rsidRDefault="0030286B">
            <w:pPr>
              <w:pStyle w:val="TableParagraph"/>
              <w:spacing w:before="46" w:line="230" w:lineRule="auto"/>
              <w:ind w:right="113"/>
              <w:rPr>
                <w:sz w:val="21"/>
              </w:rPr>
            </w:pPr>
            <w:proofErr w:type="gramStart"/>
            <w:r>
              <w:rPr>
                <w:color w:val="B02045"/>
                <w:sz w:val="21"/>
              </w:rPr>
              <w:t>spring.thymeleaf</w:t>
            </w:r>
            <w:proofErr w:type="gramEnd"/>
            <w:r>
              <w:rPr>
                <w:color w:val="B02045"/>
                <w:sz w:val="21"/>
              </w:rPr>
              <w:t>.enabl e-spring-el-compiler</w:t>
            </w:r>
          </w:p>
        </w:tc>
        <w:tc>
          <w:tcPr>
            <w:tcW w:w="2494" w:type="dxa"/>
          </w:tcPr>
          <w:p w14:paraId="67EA7B66" w14:textId="77777777" w:rsidR="00A720EB" w:rsidRDefault="0030286B">
            <w:pPr>
              <w:pStyle w:val="TableParagraph"/>
              <w:rPr>
                <w:sz w:val="21"/>
              </w:rPr>
            </w:pPr>
            <w:r>
              <w:rPr>
                <w:color w:val="B02045"/>
                <w:sz w:val="21"/>
              </w:rPr>
              <w:t>false</w:t>
            </w:r>
          </w:p>
        </w:tc>
        <w:tc>
          <w:tcPr>
            <w:tcW w:w="4988" w:type="dxa"/>
          </w:tcPr>
          <w:p w14:paraId="298CF5F0" w14:textId="77777777" w:rsidR="00A720EB" w:rsidRDefault="0030286B">
            <w:pPr>
              <w:pStyle w:val="TableParagraph"/>
              <w:spacing w:before="28" w:line="310" w:lineRule="atLeast"/>
              <w:rPr>
                <w:rFonts w:ascii="Cambria"/>
                <w:sz w:val="21"/>
              </w:rPr>
            </w:pPr>
            <w:r>
              <w:rPr>
                <w:rFonts w:ascii="Cambria"/>
                <w:color w:val="333333"/>
                <w:w w:val="110"/>
                <w:sz w:val="21"/>
              </w:rPr>
              <w:t>Enable the SpringEL compiler in SpringEL expressions.</w:t>
            </w:r>
          </w:p>
        </w:tc>
      </w:tr>
      <w:tr w:rsidR="00A720EB" w14:paraId="15A82802" w14:textId="77777777">
        <w:trPr>
          <w:trHeight w:val="741"/>
        </w:trPr>
        <w:tc>
          <w:tcPr>
            <w:tcW w:w="2494" w:type="dxa"/>
          </w:tcPr>
          <w:p w14:paraId="31836016" w14:textId="77777777" w:rsidR="00A720EB" w:rsidRDefault="0030286B">
            <w:pPr>
              <w:pStyle w:val="TableParagraph"/>
              <w:spacing w:before="46" w:line="230" w:lineRule="auto"/>
              <w:ind w:right="94"/>
              <w:rPr>
                <w:sz w:val="21"/>
              </w:rPr>
            </w:pPr>
            <w:proofErr w:type="gramStart"/>
            <w:r>
              <w:rPr>
                <w:color w:val="B02045"/>
                <w:sz w:val="21"/>
              </w:rPr>
              <w:t>spring.thymeleaf</w:t>
            </w:r>
            <w:proofErr w:type="gramEnd"/>
            <w:r>
              <w:rPr>
                <w:color w:val="B02045"/>
                <w:sz w:val="21"/>
              </w:rPr>
              <w:t>.enabl ed</w:t>
            </w:r>
          </w:p>
        </w:tc>
        <w:tc>
          <w:tcPr>
            <w:tcW w:w="2494" w:type="dxa"/>
          </w:tcPr>
          <w:p w14:paraId="1809EE9B" w14:textId="77777777" w:rsidR="00A720EB" w:rsidRDefault="0030286B">
            <w:pPr>
              <w:pStyle w:val="TableParagraph"/>
              <w:rPr>
                <w:sz w:val="21"/>
              </w:rPr>
            </w:pPr>
            <w:r>
              <w:rPr>
                <w:color w:val="B02045"/>
                <w:sz w:val="21"/>
              </w:rPr>
              <w:t>true</w:t>
            </w:r>
          </w:p>
        </w:tc>
        <w:tc>
          <w:tcPr>
            <w:tcW w:w="4988" w:type="dxa"/>
          </w:tcPr>
          <w:p w14:paraId="50137624"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to enable Thymeleaf view resolution for Web frameworks.</w:t>
            </w:r>
          </w:p>
        </w:tc>
      </w:tr>
      <w:tr w:rsidR="00A720EB" w14:paraId="6215DA09" w14:textId="77777777">
        <w:trPr>
          <w:trHeight w:val="627"/>
        </w:trPr>
        <w:tc>
          <w:tcPr>
            <w:tcW w:w="2494" w:type="dxa"/>
          </w:tcPr>
          <w:p w14:paraId="6F13A1E6" w14:textId="77777777" w:rsidR="00A720EB" w:rsidRDefault="0030286B">
            <w:pPr>
              <w:pStyle w:val="TableParagraph"/>
              <w:spacing w:before="46" w:line="230" w:lineRule="auto"/>
              <w:ind w:right="94"/>
              <w:rPr>
                <w:sz w:val="21"/>
              </w:rPr>
            </w:pPr>
            <w:proofErr w:type="gramStart"/>
            <w:r>
              <w:rPr>
                <w:color w:val="B02045"/>
                <w:sz w:val="21"/>
              </w:rPr>
              <w:t>spring.thymeleaf</w:t>
            </w:r>
            <w:proofErr w:type="gramEnd"/>
            <w:r>
              <w:rPr>
                <w:color w:val="B02045"/>
                <w:sz w:val="21"/>
              </w:rPr>
              <w:t>.encod ing</w:t>
            </w:r>
          </w:p>
        </w:tc>
        <w:tc>
          <w:tcPr>
            <w:tcW w:w="2494" w:type="dxa"/>
          </w:tcPr>
          <w:p w14:paraId="5F36F834" w14:textId="77777777" w:rsidR="00A720EB" w:rsidRDefault="0030286B">
            <w:pPr>
              <w:pStyle w:val="TableParagraph"/>
              <w:rPr>
                <w:sz w:val="21"/>
              </w:rPr>
            </w:pPr>
            <w:r>
              <w:rPr>
                <w:color w:val="B02045"/>
                <w:sz w:val="21"/>
              </w:rPr>
              <w:t>UTF-8</w:t>
            </w:r>
          </w:p>
        </w:tc>
        <w:tc>
          <w:tcPr>
            <w:tcW w:w="4988" w:type="dxa"/>
          </w:tcPr>
          <w:p w14:paraId="5ADCC246" w14:textId="77777777" w:rsidR="00A720EB" w:rsidRDefault="0030286B">
            <w:pPr>
              <w:pStyle w:val="TableParagraph"/>
              <w:spacing w:before="92"/>
              <w:rPr>
                <w:rFonts w:ascii="Cambria"/>
                <w:sz w:val="21"/>
              </w:rPr>
            </w:pPr>
            <w:r>
              <w:rPr>
                <w:rFonts w:ascii="Cambria"/>
                <w:color w:val="333333"/>
                <w:w w:val="110"/>
                <w:sz w:val="21"/>
              </w:rPr>
              <w:t>Template files encoding.</w:t>
            </w:r>
          </w:p>
        </w:tc>
      </w:tr>
      <w:tr w:rsidR="00A720EB" w14:paraId="45FF18F2" w14:textId="77777777">
        <w:trPr>
          <w:trHeight w:val="1056"/>
        </w:trPr>
        <w:tc>
          <w:tcPr>
            <w:tcW w:w="2494" w:type="dxa"/>
          </w:tcPr>
          <w:p w14:paraId="7B5A669B" w14:textId="77777777" w:rsidR="00A720EB" w:rsidRDefault="0030286B">
            <w:pPr>
              <w:pStyle w:val="TableParagraph"/>
              <w:spacing w:before="46" w:line="230" w:lineRule="auto"/>
              <w:ind w:right="113"/>
              <w:rPr>
                <w:sz w:val="21"/>
              </w:rPr>
            </w:pPr>
            <w:proofErr w:type="gramStart"/>
            <w:r>
              <w:rPr>
                <w:color w:val="B02045"/>
                <w:sz w:val="21"/>
              </w:rPr>
              <w:t>spring.thymeleaf</w:t>
            </w:r>
            <w:proofErr w:type="gramEnd"/>
            <w:r>
              <w:rPr>
                <w:color w:val="B02045"/>
                <w:sz w:val="21"/>
              </w:rPr>
              <w:t>.exclu ded-view-names</w:t>
            </w:r>
          </w:p>
        </w:tc>
        <w:tc>
          <w:tcPr>
            <w:tcW w:w="2494" w:type="dxa"/>
          </w:tcPr>
          <w:p w14:paraId="561F3242" w14:textId="77777777" w:rsidR="00A720EB" w:rsidRDefault="00A720EB">
            <w:pPr>
              <w:pStyle w:val="TableParagraph"/>
              <w:spacing w:before="0"/>
              <w:ind w:left="0"/>
              <w:rPr>
                <w:rFonts w:ascii="Times New Roman"/>
                <w:sz w:val="20"/>
              </w:rPr>
            </w:pPr>
          </w:p>
        </w:tc>
        <w:tc>
          <w:tcPr>
            <w:tcW w:w="4988" w:type="dxa"/>
          </w:tcPr>
          <w:p w14:paraId="05D7E1D3" w14:textId="77777777" w:rsidR="00A720EB" w:rsidRDefault="0030286B">
            <w:pPr>
              <w:pStyle w:val="TableParagraph"/>
              <w:spacing w:before="28" w:line="310" w:lineRule="atLeast"/>
              <w:ind w:right="218"/>
              <w:rPr>
                <w:rFonts w:ascii="Cambria"/>
                <w:sz w:val="21"/>
              </w:rPr>
            </w:pPr>
            <w:r>
              <w:rPr>
                <w:rFonts w:ascii="Cambria"/>
                <w:color w:val="333333"/>
                <w:w w:val="110"/>
                <w:sz w:val="21"/>
              </w:rPr>
              <w:t>Comma-separated list of view names (patterns allowed) that should be excluded from resolution.</w:t>
            </w:r>
          </w:p>
        </w:tc>
      </w:tr>
      <w:tr w:rsidR="00A720EB" w14:paraId="5594250D" w14:textId="77777777">
        <w:trPr>
          <w:trHeight w:val="741"/>
        </w:trPr>
        <w:tc>
          <w:tcPr>
            <w:tcW w:w="2494" w:type="dxa"/>
          </w:tcPr>
          <w:p w14:paraId="666CC5B7" w14:textId="77777777" w:rsidR="00A720EB" w:rsidRDefault="0030286B">
            <w:pPr>
              <w:pStyle w:val="TableParagraph"/>
              <w:spacing w:before="37"/>
              <w:rPr>
                <w:sz w:val="21"/>
              </w:rPr>
            </w:pPr>
            <w:proofErr w:type="gramStart"/>
            <w:r>
              <w:rPr>
                <w:color w:val="B02045"/>
                <w:sz w:val="21"/>
              </w:rPr>
              <w:t>spring.thymeleaf</w:t>
            </w:r>
            <w:proofErr w:type="gramEnd"/>
            <w:r>
              <w:rPr>
                <w:color w:val="B02045"/>
                <w:sz w:val="21"/>
              </w:rPr>
              <w:t>.mode</w:t>
            </w:r>
          </w:p>
        </w:tc>
        <w:tc>
          <w:tcPr>
            <w:tcW w:w="2494" w:type="dxa"/>
          </w:tcPr>
          <w:p w14:paraId="75E9FA75" w14:textId="77777777" w:rsidR="00A720EB" w:rsidRDefault="0030286B">
            <w:pPr>
              <w:pStyle w:val="TableParagraph"/>
              <w:spacing w:before="37"/>
              <w:rPr>
                <w:sz w:val="21"/>
              </w:rPr>
            </w:pPr>
            <w:r>
              <w:rPr>
                <w:color w:val="B02045"/>
                <w:sz w:val="21"/>
              </w:rPr>
              <w:t>HTML</w:t>
            </w:r>
          </w:p>
        </w:tc>
        <w:tc>
          <w:tcPr>
            <w:tcW w:w="4988" w:type="dxa"/>
          </w:tcPr>
          <w:p w14:paraId="2C3A59CF" w14:textId="77777777" w:rsidR="00A720EB" w:rsidRDefault="0030286B">
            <w:pPr>
              <w:pStyle w:val="TableParagraph"/>
              <w:spacing w:before="28" w:line="310" w:lineRule="atLeast"/>
              <w:rPr>
                <w:rFonts w:ascii="Cambria"/>
                <w:sz w:val="21"/>
              </w:rPr>
            </w:pPr>
            <w:r>
              <w:rPr>
                <w:rFonts w:ascii="Cambria"/>
                <w:color w:val="333333"/>
                <w:w w:val="110"/>
                <w:sz w:val="21"/>
              </w:rPr>
              <w:t>Template mode to be applied to templates. See also Thymeleaf's TemplateMode enum.</w:t>
            </w:r>
          </w:p>
        </w:tc>
      </w:tr>
      <w:tr w:rsidR="00A720EB" w14:paraId="67DA8F10" w14:textId="77777777">
        <w:trPr>
          <w:trHeight w:val="741"/>
        </w:trPr>
        <w:tc>
          <w:tcPr>
            <w:tcW w:w="2494" w:type="dxa"/>
          </w:tcPr>
          <w:p w14:paraId="2F5E4F2C" w14:textId="77777777" w:rsidR="00A720EB" w:rsidRDefault="0030286B">
            <w:pPr>
              <w:pStyle w:val="TableParagraph"/>
              <w:spacing w:before="46" w:line="230" w:lineRule="auto"/>
              <w:ind w:right="94"/>
              <w:rPr>
                <w:sz w:val="21"/>
              </w:rPr>
            </w:pPr>
            <w:proofErr w:type="gramStart"/>
            <w:r>
              <w:rPr>
                <w:color w:val="B02045"/>
                <w:sz w:val="21"/>
              </w:rPr>
              <w:t>spring.thymeleaf</w:t>
            </w:r>
            <w:proofErr w:type="gramEnd"/>
            <w:r>
              <w:rPr>
                <w:color w:val="B02045"/>
                <w:sz w:val="21"/>
              </w:rPr>
              <w:t>.prefi x</w:t>
            </w:r>
          </w:p>
        </w:tc>
        <w:tc>
          <w:tcPr>
            <w:tcW w:w="2494" w:type="dxa"/>
          </w:tcPr>
          <w:p w14:paraId="50101098" w14:textId="77777777" w:rsidR="00A720EB" w:rsidRDefault="0030286B">
            <w:pPr>
              <w:pStyle w:val="TableParagraph"/>
              <w:spacing w:before="37"/>
              <w:rPr>
                <w:sz w:val="21"/>
              </w:rPr>
            </w:pPr>
            <w:r>
              <w:rPr>
                <w:color w:val="B02045"/>
                <w:sz w:val="21"/>
              </w:rPr>
              <w:t>classpath:/templates/</w:t>
            </w:r>
          </w:p>
        </w:tc>
        <w:tc>
          <w:tcPr>
            <w:tcW w:w="4988" w:type="dxa"/>
          </w:tcPr>
          <w:p w14:paraId="1359673F" w14:textId="77777777" w:rsidR="00A720EB" w:rsidRDefault="0030286B">
            <w:pPr>
              <w:pStyle w:val="TableParagraph"/>
              <w:spacing w:before="28" w:line="310" w:lineRule="atLeast"/>
              <w:rPr>
                <w:rFonts w:ascii="Cambria"/>
                <w:sz w:val="21"/>
              </w:rPr>
            </w:pPr>
            <w:r>
              <w:rPr>
                <w:rFonts w:ascii="Cambria"/>
                <w:color w:val="333333"/>
                <w:w w:val="110"/>
                <w:sz w:val="21"/>
              </w:rPr>
              <w:t>Prefix that gets prepended to view names when building a URL.</w:t>
            </w:r>
          </w:p>
        </w:tc>
      </w:tr>
      <w:tr w:rsidR="00A720EB" w14:paraId="110E6727" w14:textId="77777777">
        <w:trPr>
          <w:trHeight w:val="1372"/>
        </w:trPr>
        <w:tc>
          <w:tcPr>
            <w:tcW w:w="2494" w:type="dxa"/>
          </w:tcPr>
          <w:p w14:paraId="46AF34F9" w14:textId="77777777" w:rsidR="00A720EB" w:rsidRDefault="0030286B">
            <w:pPr>
              <w:pStyle w:val="TableParagraph"/>
              <w:spacing w:before="46" w:line="230" w:lineRule="auto"/>
              <w:ind w:right="113"/>
              <w:jc w:val="both"/>
              <w:rPr>
                <w:sz w:val="21"/>
              </w:rPr>
            </w:pPr>
            <w:proofErr w:type="gramStart"/>
            <w:r>
              <w:rPr>
                <w:color w:val="B02045"/>
                <w:sz w:val="21"/>
              </w:rPr>
              <w:t>spring.thymeleaf</w:t>
            </w:r>
            <w:proofErr w:type="gramEnd"/>
            <w:r>
              <w:rPr>
                <w:color w:val="B02045"/>
                <w:sz w:val="21"/>
              </w:rPr>
              <w:t>.react ive.chunked-mode-view- names</w:t>
            </w:r>
          </w:p>
        </w:tc>
        <w:tc>
          <w:tcPr>
            <w:tcW w:w="2494" w:type="dxa"/>
          </w:tcPr>
          <w:p w14:paraId="4A901E55" w14:textId="77777777" w:rsidR="00A720EB" w:rsidRDefault="00A720EB">
            <w:pPr>
              <w:pStyle w:val="TableParagraph"/>
              <w:spacing w:before="0"/>
              <w:ind w:left="0"/>
              <w:rPr>
                <w:rFonts w:ascii="Times New Roman"/>
                <w:sz w:val="20"/>
              </w:rPr>
            </w:pPr>
          </w:p>
        </w:tc>
        <w:tc>
          <w:tcPr>
            <w:tcW w:w="4988" w:type="dxa"/>
          </w:tcPr>
          <w:p w14:paraId="15E86F9C" w14:textId="77777777" w:rsidR="00A720EB" w:rsidRDefault="0030286B">
            <w:pPr>
              <w:pStyle w:val="TableParagraph"/>
              <w:spacing w:before="28" w:line="310" w:lineRule="atLeast"/>
              <w:ind w:right="218"/>
              <w:rPr>
                <w:rFonts w:ascii="Cambria"/>
                <w:sz w:val="21"/>
              </w:rPr>
            </w:pPr>
            <w:r>
              <w:rPr>
                <w:rFonts w:ascii="Cambria"/>
                <w:color w:val="333333"/>
                <w:w w:val="110"/>
                <w:sz w:val="21"/>
              </w:rPr>
              <w:t>Comma-separated list of view names (patterns allowed) that should be the only ones executed in CHUNKED mode when a max chunk size is set.</w:t>
            </w:r>
          </w:p>
        </w:tc>
      </w:tr>
      <w:tr w:rsidR="00A720EB" w14:paraId="6059AE97" w14:textId="77777777">
        <w:trPr>
          <w:trHeight w:val="1056"/>
        </w:trPr>
        <w:tc>
          <w:tcPr>
            <w:tcW w:w="2494" w:type="dxa"/>
          </w:tcPr>
          <w:p w14:paraId="7097EE79" w14:textId="77777777" w:rsidR="00A720EB" w:rsidRDefault="0030286B">
            <w:pPr>
              <w:pStyle w:val="TableParagraph"/>
              <w:spacing w:before="46" w:line="230" w:lineRule="auto"/>
              <w:ind w:right="113"/>
              <w:rPr>
                <w:sz w:val="21"/>
              </w:rPr>
            </w:pPr>
            <w:proofErr w:type="gramStart"/>
            <w:r>
              <w:rPr>
                <w:color w:val="B02045"/>
                <w:sz w:val="21"/>
              </w:rPr>
              <w:t>spring.thymeleaf</w:t>
            </w:r>
            <w:proofErr w:type="gramEnd"/>
            <w:r>
              <w:rPr>
                <w:color w:val="B02045"/>
                <w:sz w:val="21"/>
              </w:rPr>
              <w:t>.react ive.full-mode-view- names</w:t>
            </w:r>
          </w:p>
        </w:tc>
        <w:tc>
          <w:tcPr>
            <w:tcW w:w="2494" w:type="dxa"/>
          </w:tcPr>
          <w:p w14:paraId="0FA497B7" w14:textId="77777777" w:rsidR="00A720EB" w:rsidRDefault="00A720EB">
            <w:pPr>
              <w:pStyle w:val="TableParagraph"/>
              <w:spacing w:before="0"/>
              <w:ind w:left="0"/>
              <w:rPr>
                <w:rFonts w:ascii="Times New Roman"/>
                <w:sz w:val="20"/>
              </w:rPr>
            </w:pPr>
          </w:p>
        </w:tc>
        <w:tc>
          <w:tcPr>
            <w:tcW w:w="4988" w:type="dxa"/>
          </w:tcPr>
          <w:p w14:paraId="385CEF6B"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view names (patterns allowed) that should be executed in FULL mode even if a max chunk size is set.</w:t>
            </w:r>
          </w:p>
        </w:tc>
      </w:tr>
      <w:tr w:rsidR="00A720EB" w14:paraId="0DC3B60D" w14:textId="77777777">
        <w:trPr>
          <w:trHeight w:val="1056"/>
        </w:trPr>
        <w:tc>
          <w:tcPr>
            <w:tcW w:w="2494" w:type="dxa"/>
          </w:tcPr>
          <w:p w14:paraId="6B8BC513" w14:textId="77777777" w:rsidR="00A720EB" w:rsidRDefault="0030286B">
            <w:pPr>
              <w:pStyle w:val="TableParagraph"/>
              <w:spacing w:before="46" w:line="230" w:lineRule="auto"/>
              <w:ind w:right="113"/>
              <w:rPr>
                <w:sz w:val="21"/>
              </w:rPr>
            </w:pPr>
            <w:proofErr w:type="gramStart"/>
            <w:r>
              <w:rPr>
                <w:color w:val="B02045"/>
                <w:sz w:val="21"/>
              </w:rPr>
              <w:t>spring.thymeleaf</w:t>
            </w:r>
            <w:proofErr w:type="gramEnd"/>
            <w:r>
              <w:rPr>
                <w:color w:val="B02045"/>
                <w:sz w:val="21"/>
              </w:rPr>
              <w:t>.react ive.max-chunk-size</w:t>
            </w:r>
          </w:p>
        </w:tc>
        <w:tc>
          <w:tcPr>
            <w:tcW w:w="2494" w:type="dxa"/>
          </w:tcPr>
          <w:p w14:paraId="6C144B28" w14:textId="77777777" w:rsidR="00A720EB" w:rsidRDefault="0030286B">
            <w:pPr>
              <w:pStyle w:val="TableParagraph"/>
              <w:rPr>
                <w:sz w:val="21"/>
              </w:rPr>
            </w:pPr>
            <w:r>
              <w:rPr>
                <w:color w:val="B02045"/>
                <w:sz w:val="21"/>
              </w:rPr>
              <w:t>0B</w:t>
            </w:r>
          </w:p>
        </w:tc>
        <w:tc>
          <w:tcPr>
            <w:tcW w:w="4988" w:type="dxa"/>
          </w:tcPr>
          <w:p w14:paraId="6194350A" w14:textId="77777777" w:rsidR="00A720EB" w:rsidRDefault="0030286B">
            <w:pPr>
              <w:pStyle w:val="TableParagraph"/>
              <w:spacing w:before="28" w:line="310" w:lineRule="atLeast"/>
              <w:ind w:right="218"/>
              <w:rPr>
                <w:rFonts w:ascii="Cambria"/>
                <w:sz w:val="21"/>
              </w:rPr>
            </w:pPr>
            <w:r>
              <w:rPr>
                <w:rFonts w:ascii="Cambria"/>
                <w:color w:val="333333"/>
                <w:w w:val="110"/>
                <w:sz w:val="21"/>
              </w:rPr>
              <w:t>Maximum size of data buffers used for writing to the response. Templates will execute in CHUNKED mode by default if this is set.</w:t>
            </w:r>
          </w:p>
        </w:tc>
      </w:tr>
      <w:tr w:rsidR="00A720EB" w14:paraId="7B01B245" w14:textId="77777777">
        <w:trPr>
          <w:trHeight w:val="627"/>
        </w:trPr>
        <w:tc>
          <w:tcPr>
            <w:tcW w:w="2494" w:type="dxa"/>
          </w:tcPr>
          <w:p w14:paraId="282BB60A" w14:textId="77777777" w:rsidR="00A720EB" w:rsidRDefault="0030286B">
            <w:pPr>
              <w:pStyle w:val="TableParagraph"/>
              <w:spacing w:before="46" w:line="230" w:lineRule="auto"/>
              <w:ind w:right="113"/>
              <w:rPr>
                <w:sz w:val="21"/>
              </w:rPr>
            </w:pPr>
            <w:proofErr w:type="gramStart"/>
            <w:r>
              <w:rPr>
                <w:color w:val="B02045"/>
                <w:sz w:val="21"/>
              </w:rPr>
              <w:t>spring.thymeleaf</w:t>
            </w:r>
            <w:proofErr w:type="gramEnd"/>
            <w:r>
              <w:rPr>
                <w:color w:val="B02045"/>
                <w:sz w:val="21"/>
              </w:rPr>
              <w:t>.react ive.media-types</w:t>
            </w:r>
          </w:p>
        </w:tc>
        <w:tc>
          <w:tcPr>
            <w:tcW w:w="2494" w:type="dxa"/>
          </w:tcPr>
          <w:p w14:paraId="2FF362A5" w14:textId="77777777" w:rsidR="00A720EB" w:rsidRDefault="00A720EB">
            <w:pPr>
              <w:pStyle w:val="TableParagraph"/>
              <w:spacing w:before="0"/>
              <w:ind w:left="0"/>
              <w:rPr>
                <w:rFonts w:ascii="Times New Roman"/>
                <w:sz w:val="20"/>
              </w:rPr>
            </w:pPr>
          </w:p>
        </w:tc>
        <w:tc>
          <w:tcPr>
            <w:tcW w:w="4988" w:type="dxa"/>
          </w:tcPr>
          <w:p w14:paraId="271C1295" w14:textId="77777777" w:rsidR="00A720EB" w:rsidRDefault="0030286B">
            <w:pPr>
              <w:pStyle w:val="TableParagraph"/>
              <w:spacing w:before="92"/>
              <w:rPr>
                <w:rFonts w:ascii="Cambria"/>
                <w:sz w:val="21"/>
              </w:rPr>
            </w:pPr>
            <w:r>
              <w:rPr>
                <w:rFonts w:ascii="Cambria"/>
                <w:color w:val="333333"/>
                <w:w w:val="110"/>
                <w:sz w:val="21"/>
              </w:rPr>
              <w:t>Media types supported by the view technology.</w:t>
            </w:r>
          </w:p>
        </w:tc>
      </w:tr>
    </w:tbl>
    <w:p w14:paraId="0B210099"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BDA291E" w14:textId="77777777">
        <w:trPr>
          <w:trHeight w:val="415"/>
        </w:trPr>
        <w:tc>
          <w:tcPr>
            <w:tcW w:w="2494" w:type="dxa"/>
            <w:tcBorders>
              <w:bottom w:val="single" w:sz="12" w:space="0" w:color="DDDDDD"/>
            </w:tcBorders>
          </w:tcPr>
          <w:p w14:paraId="0C20A70E"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5BB583C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D8D2BE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4DB70E8F" w14:textId="77777777">
        <w:trPr>
          <w:trHeight w:val="1046"/>
        </w:trPr>
        <w:tc>
          <w:tcPr>
            <w:tcW w:w="2494" w:type="dxa"/>
            <w:tcBorders>
              <w:top w:val="single" w:sz="12" w:space="0" w:color="DDDDDD"/>
            </w:tcBorders>
          </w:tcPr>
          <w:p w14:paraId="4B682277" w14:textId="77777777" w:rsidR="00A720EB" w:rsidRDefault="0030286B">
            <w:pPr>
              <w:pStyle w:val="TableParagraph"/>
              <w:spacing w:before="36" w:line="230" w:lineRule="auto"/>
              <w:ind w:right="113"/>
              <w:rPr>
                <w:sz w:val="21"/>
              </w:rPr>
            </w:pPr>
            <w:proofErr w:type="gramStart"/>
            <w:r>
              <w:rPr>
                <w:color w:val="B02045"/>
                <w:sz w:val="21"/>
              </w:rPr>
              <w:t>spring.thymeleaf</w:t>
            </w:r>
            <w:proofErr w:type="gramEnd"/>
            <w:r>
              <w:rPr>
                <w:color w:val="B02045"/>
                <w:sz w:val="21"/>
              </w:rPr>
              <w:t>.rende r-hidden-markers- before-checkboxes</w:t>
            </w:r>
          </w:p>
        </w:tc>
        <w:tc>
          <w:tcPr>
            <w:tcW w:w="2494" w:type="dxa"/>
            <w:tcBorders>
              <w:top w:val="single" w:sz="12" w:space="0" w:color="DDDDDD"/>
            </w:tcBorders>
          </w:tcPr>
          <w:p w14:paraId="74FEFC67" w14:textId="77777777" w:rsidR="00A720EB" w:rsidRDefault="0030286B">
            <w:pPr>
              <w:pStyle w:val="TableParagraph"/>
              <w:spacing w:before="27"/>
              <w:rPr>
                <w:sz w:val="21"/>
              </w:rPr>
            </w:pPr>
            <w:r>
              <w:rPr>
                <w:color w:val="B02045"/>
                <w:sz w:val="21"/>
              </w:rPr>
              <w:t>false</w:t>
            </w:r>
          </w:p>
        </w:tc>
        <w:tc>
          <w:tcPr>
            <w:tcW w:w="4988" w:type="dxa"/>
            <w:tcBorders>
              <w:top w:val="single" w:sz="12" w:space="0" w:color="DDDDDD"/>
            </w:tcBorders>
          </w:tcPr>
          <w:p w14:paraId="7525FF10" w14:textId="77777777" w:rsidR="00A720EB" w:rsidRDefault="0030286B">
            <w:pPr>
              <w:pStyle w:val="TableParagraph"/>
              <w:spacing w:before="18" w:line="310" w:lineRule="atLeast"/>
              <w:ind w:right="218"/>
              <w:rPr>
                <w:rFonts w:ascii="Cambria"/>
                <w:sz w:val="21"/>
              </w:rPr>
            </w:pPr>
            <w:r>
              <w:rPr>
                <w:rFonts w:ascii="Cambria"/>
                <w:color w:val="333333"/>
                <w:w w:val="110"/>
                <w:sz w:val="21"/>
              </w:rPr>
              <w:t>Whether hidden form inputs acting as markers for checkboxes should be rendered before the checkbox element itself.</w:t>
            </w:r>
          </w:p>
        </w:tc>
      </w:tr>
      <w:tr w:rsidR="00A720EB" w14:paraId="27ADEF7A" w14:textId="77777777">
        <w:trPr>
          <w:trHeight w:val="627"/>
        </w:trPr>
        <w:tc>
          <w:tcPr>
            <w:tcW w:w="2494" w:type="dxa"/>
          </w:tcPr>
          <w:p w14:paraId="02B666A2" w14:textId="77777777" w:rsidR="00A720EB" w:rsidRDefault="0030286B">
            <w:pPr>
              <w:pStyle w:val="TableParagraph"/>
              <w:spacing w:before="46" w:line="230" w:lineRule="auto"/>
              <w:ind w:right="113"/>
              <w:rPr>
                <w:sz w:val="21"/>
              </w:rPr>
            </w:pPr>
            <w:proofErr w:type="gramStart"/>
            <w:r>
              <w:rPr>
                <w:color w:val="B02045"/>
                <w:sz w:val="21"/>
              </w:rPr>
              <w:t>spring.thymeleaf</w:t>
            </w:r>
            <w:proofErr w:type="gramEnd"/>
            <w:r>
              <w:rPr>
                <w:color w:val="B02045"/>
                <w:sz w:val="21"/>
              </w:rPr>
              <w:t>.servl et.content-type</w:t>
            </w:r>
          </w:p>
        </w:tc>
        <w:tc>
          <w:tcPr>
            <w:tcW w:w="2494" w:type="dxa"/>
          </w:tcPr>
          <w:p w14:paraId="2A8C10CC" w14:textId="77777777" w:rsidR="00A720EB" w:rsidRDefault="0030286B">
            <w:pPr>
              <w:pStyle w:val="TableParagraph"/>
              <w:rPr>
                <w:sz w:val="21"/>
              </w:rPr>
            </w:pPr>
            <w:r>
              <w:rPr>
                <w:color w:val="B02045"/>
                <w:sz w:val="21"/>
              </w:rPr>
              <w:t>text/html</w:t>
            </w:r>
          </w:p>
        </w:tc>
        <w:tc>
          <w:tcPr>
            <w:tcW w:w="4988" w:type="dxa"/>
          </w:tcPr>
          <w:p w14:paraId="5A6D2193" w14:textId="77777777" w:rsidR="00A720EB" w:rsidRDefault="0030286B">
            <w:pPr>
              <w:pStyle w:val="TableParagraph"/>
              <w:spacing w:before="92"/>
              <w:rPr>
                <w:rFonts w:ascii="Cambria"/>
                <w:sz w:val="21"/>
              </w:rPr>
            </w:pPr>
            <w:r>
              <w:rPr>
                <w:rFonts w:ascii="Cambria"/>
                <w:color w:val="333333"/>
                <w:w w:val="110"/>
                <w:sz w:val="21"/>
              </w:rPr>
              <w:t>Content-Type value written to HTTP responses.</w:t>
            </w:r>
          </w:p>
        </w:tc>
      </w:tr>
      <w:tr w:rsidR="00A720EB" w14:paraId="24F33056" w14:textId="77777777">
        <w:trPr>
          <w:trHeight w:val="1145"/>
        </w:trPr>
        <w:tc>
          <w:tcPr>
            <w:tcW w:w="2494" w:type="dxa"/>
          </w:tcPr>
          <w:p w14:paraId="56C8E473" w14:textId="77777777" w:rsidR="00A720EB" w:rsidRDefault="0030286B">
            <w:pPr>
              <w:pStyle w:val="TableParagraph"/>
              <w:spacing w:before="46" w:line="230" w:lineRule="auto"/>
              <w:ind w:right="113"/>
              <w:rPr>
                <w:sz w:val="21"/>
              </w:rPr>
            </w:pPr>
            <w:proofErr w:type="gramStart"/>
            <w:r>
              <w:rPr>
                <w:color w:val="B02045"/>
                <w:sz w:val="21"/>
              </w:rPr>
              <w:t>spring.thymeleaf</w:t>
            </w:r>
            <w:proofErr w:type="gramEnd"/>
            <w:r>
              <w:rPr>
                <w:color w:val="B02045"/>
                <w:sz w:val="21"/>
              </w:rPr>
              <w:t>.servl et.produce-partial- output-while- processing</w:t>
            </w:r>
          </w:p>
        </w:tc>
        <w:tc>
          <w:tcPr>
            <w:tcW w:w="2494" w:type="dxa"/>
          </w:tcPr>
          <w:p w14:paraId="73F0F467" w14:textId="77777777" w:rsidR="00A720EB" w:rsidRDefault="0030286B">
            <w:pPr>
              <w:pStyle w:val="TableParagraph"/>
              <w:rPr>
                <w:sz w:val="21"/>
              </w:rPr>
            </w:pPr>
            <w:r>
              <w:rPr>
                <w:color w:val="B02045"/>
                <w:sz w:val="21"/>
              </w:rPr>
              <w:t>true</w:t>
            </w:r>
          </w:p>
        </w:tc>
        <w:tc>
          <w:tcPr>
            <w:tcW w:w="4988" w:type="dxa"/>
          </w:tcPr>
          <w:p w14:paraId="7DDD1172" w14:textId="77777777" w:rsidR="00A720EB" w:rsidRDefault="0030286B">
            <w:pPr>
              <w:pStyle w:val="TableParagraph"/>
              <w:spacing w:before="92" w:line="307" w:lineRule="auto"/>
              <w:ind w:right="73"/>
              <w:rPr>
                <w:rFonts w:ascii="Cambria"/>
                <w:sz w:val="21"/>
              </w:rPr>
            </w:pPr>
            <w:r>
              <w:rPr>
                <w:rFonts w:ascii="Cambria"/>
                <w:color w:val="333333"/>
                <w:w w:val="110"/>
                <w:sz w:val="21"/>
              </w:rPr>
              <w:t>Whether Thymeleaf should start writing partial output as soon as possible or buffer until template processing is finished.</w:t>
            </w:r>
          </w:p>
        </w:tc>
      </w:tr>
      <w:tr w:rsidR="00A720EB" w14:paraId="4F7A4DDB" w14:textId="77777777">
        <w:trPr>
          <w:trHeight w:val="741"/>
        </w:trPr>
        <w:tc>
          <w:tcPr>
            <w:tcW w:w="2494" w:type="dxa"/>
          </w:tcPr>
          <w:p w14:paraId="209218B4" w14:textId="77777777" w:rsidR="00A720EB" w:rsidRDefault="0030286B">
            <w:pPr>
              <w:pStyle w:val="TableParagraph"/>
              <w:spacing w:before="46" w:line="230" w:lineRule="auto"/>
              <w:ind w:right="94"/>
              <w:rPr>
                <w:sz w:val="21"/>
              </w:rPr>
            </w:pPr>
            <w:proofErr w:type="gramStart"/>
            <w:r>
              <w:rPr>
                <w:color w:val="B02045"/>
                <w:sz w:val="21"/>
              </w:rPr>
              <w:t>spring.thymeleaf</w:t>
            </w:r>
            <w:proofErr w:type="gramEnd"/>
            <w:r>
              <w:rPr>
                <w:color w:val="B02045"/>
                <w:sz w:val="21"/>
              </w:rPr>
              <w:t>.suffi x</w:t>
            </w:r>
          </w:p>
        </w:tc>
        <w:tc>
          <w:tcPr>
            <w:tcW w:w="2494" w:type="dxa"/>
          </w:tcPr>
          <w:p w14:paraId="1FCA737B" w14:textId="77777777" w:rsidR="00A720EB" w:rsidRDefault="0030286B">
            <w:pPr>
              <w:pStyle w:val="TableParagraph"/>
              <w:spacing w:before="37"/>
              <w:rPr>
                <w:sz w:val="21"/>
              </w:rPr>
            </w:pPr>
            <w:r>
              <w:rPr>
                <w:color w:val="B02045"/>
                <w:sz w:val="21"/>
              </w:rPr>
              <w:t>.html</w:t>
            </w:r>
          </w:p>
        </w:tc>
        <w:tc>
          <w:tcPr>
            <w:tcW w:w="4988" w:type="dxa"/>
          </w:tcPr>
          <w:p w14:paraId="34BCF11A" w14:textId="77777777" w:rsidR="00A720EB" w:rsidRDefault="0030286B">
            <w:pPr>
              <w:pStyle w:val="TableParagraph"/>
              <w:spacing w:before="28" w:line="310" w:lineRule="atLeast"/>
              <w:rPr>
                <w:rFonts w:ascii="Cambria"/>
                <w:sz w:val="21"/>
              </w:rPr>
            </w:pPr>
            <w:r>
              <w:rPr>
                <w:rFonts w:ascii="Cambria"/>
                <w:color w:val="333333"/>
                <w:w w:val="110"/>
                <w:sz w:val="21"/>
              </w:rPr>
              <w:t>Suffix that gets appended to view names when building a URL.</w:t>
            </w:r>
          </w:p>
        </w:tc>
      </w:tr>
      <w:tr w:rsidR="00A720EB" w14:paraId="48AFA00B" w14:textId="77777777">
        <w:trPr>
          <w:trHeight w:val="1687"/>
        </w:trPr>
        <w:tc>
          <w:tcPr>
            <w:tcW w:w="2494" w:type="dxa"/>
          </w:tcPr>
          <w:p w14:paraId="2209BB7A" w14:textId="77777777" w:rsidR="00A720EB" w:rsidRDefault="0030286B">
            <w:pPr>
              <w:pStyle w:val="TableParagraph"/>
              <w:spacing w:before="46" w:line="230" w:lineRule="auto"/>
              <w:ind w:right="113"/>
              <w:rPr>
                <w:sz w:val="21"/>
              </w:rPr>
            </w:pPr>
            <w:proofErr w:type="gramStart"/>
            <w:r>
              <w:rPr>
                <w:color w:val="B02045"/>
                <w:sz w:val="21"/>
              </w:rPr>
              <w:t>spring.thymeleaf</w:t>
            </w:r>
            <w:proofErr w:type="gramEnd"/>
            <w:r>
              <w:rPr>
                <w:color w:val="B02045"/>
                <w:sz w:val="21"/>
              </w:rPr>
              <w:t>.templ ate-resolver-order</w:t>
            </w:r>
          </w:p>
        </w:tc>
        <w:tc>
          <w:tcPr>
            <w:tcW w:w="2494" w:type="dxa"/>
          </w:tcPr>
          <w:p w14:paraId="6A6A06E4" w14:textId="77777777" w:rsidR="00A720EB" w:rsidRDefault="00A720EB">
            <w:pPr>
              <w:pStyle w:val="TableParagraph"/>
              <w:spacing w:before="0"/>
              <w:ind w:left="0"/>
              <w:rPr>
                <w:rFonts w:ascii="Times New Roman"/>
                <w:sz w:val="20"/>
              </w:rPr>
            </w:pPr>
          </w:p>
        </w:tc>
        <w:tc>
          <w:tcPr>
            <w:tcW w:w="4988" w:type="dxa"/>
          </w:tcPr>
          <w:p w14:paraId="0097554A" w14:textId="77777777" w:rsidR="00A720EB" w:rsidRDefault="0030286B">
            <w:pPr>
              <w:pStyle w:val="TableParagraph"/>
              <w:spacing w:before="92" w:line="307" w:lineRule="auto"/>
              <w:ind w:right="124"/>
              <w:rPr>
                <w:rFonts w:ascii="Cambria"/>
                <w:sz w:val="21"/>
              </w:rPr>
            </w:pPr>
            <w:r>
              <w:rPr>
                <w:rFonts w:ascii="Cambria"/>
                <w:color w:val="333333"/>
                <w:w w:val="110"/>
                <w:sz w:val="21"/>
              </w:rPr>
              <w:t xml:space="preserve">Order of the template resolver in the chain. </w:t>
            </w:r>
            <w:r>
              <w:rPr>
                <w:rFonts w:ascii="Cambria"/>
                <w:color w:val="333333"/>
                <w:spacing w:val="-3"/>
                <w:w w:val="110"/>
                <w:sz w:val="21"/>
              </w:rPr>
              <w:t xml:space="preserve">By </w:t>
            </w:r>
            <w:r>
              <w:rPr>
                <w:rFonts w:ascii="Cambria"/>
                <w:color w:val="333333"/>
                <w:w w:val="110"/>
                <w:sz w:val="21"/>
              </w:rPr>
              <w:t>default, the template resolver is first in the chain. Order start at 1 and should only be set if you have defined additional "TemplateResolver" beans.</w:t>
            </w:r>
          </w:p>
        </w:tc>
      </w:tr>
      <w:tr w:rsidR="00A720EB" w14:paraId="5E67795C" w14:textId="77777777">
        <w:trPr>
          <w:trHeight w:val="741"/>
        </w:trPr>
        <w:tc>
          <w:tcPr>
            <w:tcW w:w="2494" w:type="dxa"/>
          </w:tcPr>
          <w:p w14:paraId="149BADA0" w14:textId="77777777" w:rsidR="00A720EB" w:rsidRDefault="0030286B">
            <w:pPr>
              <w:pStyle w:val="TableParagraph"/>
              <w:spacing w:before="46" w:line="230" w:lineRule="auto"/>
              <w:ind w:right="94"/>
              <w:rPr>
                <w:sz w:val="21"/>
              </w:rPr>
            </w:pPr>
            <w:proofErr w:type="gramStart"/>
            <w:r>
              <w:rPr>
                <w:color w:val="B02045"/>
                <w:sz w:val="21"/>
              </w:rPr>
              <w:t>spring.thymeleaf</w:t>
            </w:r>
            <w:proofErr w:type="gramEnd"/>
            <w:r>
              <w:rPr>
                <w:color w:val="B02045"/>
                <w:sz w:val="21"/>
              </w:rPr>
              <w:t>.view- names</w:t>
            </w:r>
          </w:p>
        </w:tc>
        <w:tc>
          <w:tcPr>
            <w:tcW w:w="2494" w:type="dxa"/>
          </w:tcPr>
          <w:p w14:paraId="33609A15" w14:textId="77777777" w:rsidR="00A720EB" w:rsidRDefault="00A720EB">
            <w:pPr>
              <w:pStyle w:val="TableParagraph"/>
              <w:spacing w:before="0"/>
              <w:ind w:left="0"/>
              <w:rPr>
                <w:rFonts w:ascii="Times New Roman"/>
                <w:sz w:val="20"/>
              </w:rPr>
            </w:pPr>
          </w:p>
        </w:tc>
        <w:tc>
          <w:tcPr>
            <w:tcW w:w="4988" w:type="dxa"/>
          </w:tcPr>
          <w:p w14:paraId="1C03F1FF"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view names (patterns allowed) that can be resolved.</w:t>
            </w:r>
          </w:p>
        </w:tc>
      </w:tr>
    </w:tbl>
    <w:p w14:paraId="42A7A154" w14:textId="77777777" w:rsidR="00A720EB" w:rsidRDefault="00A720EB">
      <w:pPr>
        <w:pStyle w:val="a3"/>
        <w:spacing w:before="12"/>
        <w:rPr>
          <w:rFonts w:ascii="Palatino Linotype"/>
          <w:b/>
          <w:sz w:val="16"/>
        </w:rPr>
      </w:pPr>
    </w:p>
    <w:p w14:paraId="33E4E45D" w14:textId="77777777" w:rsidR="00A720EB" w:rsidRDefault="0030286B">
      <w:pPr>
        <w:pStyle w:val="3"/>
        <w:numPr>
          <w:ilvl w:val="2"/>
          <w:numId w:val="9"/>
        </w:numPr>
        <w:tabs>
          <w:tab w:val="left" w:pos="1199"/>
        </w:tabs>
        <w:spacing w:before="105"/>
        <w:ind w:left="1198" w:hanging="1075"/>
      </w:pPr>
      <w:bookmarkStart w:id="1043" w:name="10.A.11._Server_properties"/>
      <w:bookmarkStart w:id="1044" w:name="_Toc54424039"/>
      <w:bookmarkEnd w:id="1043"/>
      <w:r>
        <w:rPr>
          <w:color w:val="333333"/>
          <w:w w:val="115"/>
        </w:rPr>
        <w:t>Server</w:t>
      </w:r>
      <w:r>
        <w:rPr>
          <w:color w:val="333333"/>
          <w:spacing w:val="-9"/>
          <w:w w:val="115"/>
        </w:rPr>
        <w:t xml:space="preserve"> </w:t>
      </w:r>
      <w:r>
        <w:rPr>
          <w:color w:val="333333"/>
          <w:w w:val="115"/>
        </w:rPr>
        <w:t>properties</w:t>
      </w:r>
      <w:bookmarkEnd w:id="1044"/>
    </w:p>
    <w:p w14:paraId="6F199D3F"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3CB935E" w14:textId="77777777">
        <w:trPr>
          <w:trHeight w:val="415"/>
        </w:trPr>
        <w:tc>
          <w:tcPr>
            <w:tcW w:w="2494" w:type="dxa"/>
            <w:tcBorders>
              <w:bottom w:val="single" w:sz="12" w:space="0" w:color="DDDDDD"/>
            </w:tcBorders>
          </w:tcPr>
          <w:p w14:paraId="44B27572"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0D505E20"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F379E95"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7496FCFE" w14:textId="77777777">
        <w:trPr>
          <w:trHeight w:val="731"/>
        </w:trPr>
        <w:tc>
          <w:tcPr>
            <w:tcW w:w="2494" w:type="dxa"/>
            <w:tcBorders>
              <w:top w:val="single" w:sz="12" w:space="0" w:color="DDDDDD"/>
            </w:tcBorders>
          </w:tcPr>
          <w:p w14:paraId="63E163CC" w14:textId="77777777" w:rsidR="00A720EB" w:rsidRDefault="0030286B">
            <w:pPr>
              <w:pStyle w:val="TableParagraph"/>
              <w:spacing w:before="30"/>
              <w:rPr>
                <w:sz w:val="21"/>
              </w:rPr>
            </w:pPr>
            <w:proofErr w:type="gramStart"/>
            <w:r>
              <w:rPr>
                <w:color w:val="B02045"/>
                <w:sz w:val="21"/>
              </w:rPr>
              <w:t>server.address</w:t>
            </w:r>
            <w:proofErr w:type="gramEnd"/>
          </w:p>
        </w:tc>
        <w:tc>
          <w:tcPr>
            <w:tcW w:w="2494" w:type="dxa"/>
            <w:tcBorders>
              <w:top w:val="single" w:sz="12" w:space="0" w:color="DDDDDD"/>
            </w:tcBorders>
          </w:tcPr>
          <w:p w14:paraId="58BE839E"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1FCC1D91" w14:textId="77777777" w:rsidR="00A720EB" w:rsidRDefault="0030286B">
            <w:pPr>
              <w:pStyle w:val="TableParagraph"/>
              <w:spacing w:before="21" w:line="310" w:lineRule="atLeast"/>
              <w:ind w:right="372"/>
              <w:rPr>
                <w:rFonts w:ascii="Cambria"/>
                <w:sz w:val="21"/>
              </w:rPr>
            </w:pPr>
            <w:r>
              <w:rPr>
                <w:rFonts w:ascii="Cambria"/>
                <w:color w:val="333333"/>
                <w:w w:val="110"/>
                <w:sz w:val="21"/>
              </w:rPr>
              <w:t>Network address to which the server should bind.</w:t>
            </w:r>
          </w:p>
        </w:tc>
      </w:tr>
      <w:tr w:rsidR="00A720EB" w14:paraId="32666552" w14:textId="77777777">
        <w:trPr>
          <w:trHeight w:val="627"/>
        </w:trPr>
        <w:tc>
          <w:tcPr>
            <w:tcW w:w="2494" w:type="dxa"/>
          </w:tcPr>
          <w:p w14:paraId="5F749AC0" w14:textId="77777777" w:rsidR="00A720EB" w:rsidRDefault="0030286B">
            <w:pPr>
              <w:pStyle w:val="TableParagraph"/>
              <w:spacing w:before="49" w:line="230" w:lineRule="auto"/>
              <w:ind w:right="94"/>
              <w:rPr>
                <w:sz w:val="21"/>
              </w:rPr>
            </w:pPr>
            <w:r>
              <w:rPr>
                <w:color w:val="B02045"/>
                <w:sz w:val="21"/>
              </w:rPr>
              <w:t>server.compression.ena bled</w:t>
            </w:r>
          </w:p>
        </w:tc>
        <w:tc>
          <w:tcPr>
            <w:tcW w:w="2494" w:type="dxa"/>
          </w:tcPr>
          <w:p w14:paraId="1761A8F8" w14:textId="77777777" w:rsidR="00A720EB" w:rsidRDefault="0030286B">
            <w:pPr>
              <w:pStyle w:val="TableParagraph"/>
              <w:spacing w:before="40"/>
              <w:rPr>
                <w:sz w:val="21"/>
              </w:rPr>
            </w:pPr>
            <w:r>
              <w:rPr>
                <w:color w:val="B02045"/>
                <w:sz w:val="21"/>
              </w:rPr>
              <w:t>false</w:t>
            </w:r>
          </w:p>
        </w:tc>
        <w:tc>
          <w:tcPr>
            <w:tcW w:w="4988" w:type="dxa"/>
          </w:tcPr>
          <w:p w14:paraId="189BF72E" w14:textId="77777777" w:rsidR="00A720EB" w:rsidRDefault="0030286B">
            <w:pPr>
              <w:pStyle w:val="TableParagraph"/>
              <w:spacing w:before="94"/>
              <w:rPr>
                <w:rFonts w:ascii="Cambria"/>
                <w:sz w:val="21"/>
              </w:rPr>
            </w:pPr>
            <w:r>
              <w:rPr>
                <w:rFonts w:ascii="Cambria"/>
                <w:color w:val="333333"/>
                <w:w w:val="110"/>
                <w:sz w:val="21"/>
              </w:rPr>
              <w:t>Whether response compression is enabled.</w:t>
            </w:r>
          </w:p>
        </w:tc>
      </w:tr>
      <w:tr w:rsidR="00A720EB" w14:paraId="3362202F" w14:textId="77777777">
        <w:trPr>
          <w:trHeight w:val="741"/>
        </w:trPr>
        <w:tc>
          <w:tcPr>
            <w:tcW w:w="2494" w:type="dxa"/>
          </w:tcPr>
          <w:p w14:paraId="1D49CAD1" w14:textId="77777777" w:rsidR="00A720EB" w:rsidRDefault="0030286B">
            <w:pPr>
              <w:pStyle w:val="TableParagraph"/>
              <w:spacing w:before="49" w:line="230" w:lineRule="auto"/>
              <w:ind w:right="113"/>
              <w:rPr>
                <w:sz w:val="21"/>
              </w:rPr>
            </w:pPr>
            <w:r>
              <w:rPr>
                <w:color w:val="B02045"/>
                <w:sz w:val="21"/>
              </w:rPr>
              <w:t>server.compression.exc luded-user-agents</w:t>
            </w:r>
          </w:p>
        </w:tc>
        <w:tc>
          <w:tcPr>
            <w:tcW w:w="2494" w:type="dxa"/>
          </w:tcPr>
          <w:p w14:paraId="32F6671A" w14:textId="77777777" w:rsidR="00A720EB" w:rsidRDefault="00A720EB">
            <w:pPr>
              <w:pStyle w:val="TableParagraph"/>
              <w:spacing w:before="0"/>
              <w:ind w:left="0"/>
              <w:rPr>
                <w:rFonts w:ascii="Times New Roman"/>
                <w:sz w:val="20"/>
              </w:rPr>
            </w:pPr>
          </w:p>
        </w:tc>
        <w:tc>
          <w:tcPr>
            <w:tcW w:w="4988" w:type="dxa"/>
          </w:tcPr>
          <w:p w14:paraId="31DE2C9C" w14:textId="77777777" w:rsidR="00A720EB" w:rsidRDefault="0030286B">
            <w:pPr>
              <w:pStyle w:val="TableParagraph"/>
              <w:spacing w:before="31" w:line="310" w:lineRule="atLeast"/>
              <w:rPr>
                <w:rFonts w:ascii="Cambria"/>
                <w:sz w:val="21"/>
              </w:rPr>
            </w:pPr>
            <w:r>
              <w:rPr>
                <w:rFonts w:ascii="Cambria"/>
                <w:color w:val="333333"/>
                <w:w w:val="110"/>
                <w:sz w:val="21"/>
              </w:rPr>
              <w:t>Comma-separated list of user agents for which responses should not be compressed.</w:t>
            </w:r>
          </w:p>
        </w:tc>
      </w:tr>
      <w:tr w:rsidR="00A720EB" w14:paraId="1850BE2A" w14:textId="77777777">
        <w:trPr>
          <w:trHeight w:val="1663"/>
        </w:trPr>
        <w:tc>
          <w:tcPr>
            <w:tcW w:w="2494" w:type="dxa"/>
          </w:tcPr>
          <w:p w14:paraId="567977CD" w14:textId="77777777" w:rsidR="00A720EB" w:rsidRDefault="0030286B">
            <w:pPr>
              <w:pStyle w:val="TableParagraph"/>
              <w:spacing w:before="49" w:line="230" w:lineRule="auto"/>
              <w:ind w:right="113"/>
              <w:rPr>
                <w:sz w:val="21"/>
              </w:rPr>
            </w:pPr>
            <w:r>
              <w:rPr>
                <w:color w:val="B02045"/>
                <w:sz w:val="21"/>
              </w:rPr>
              <w:t>server.compression.mim e-types</w:t>
            </w:r>
          </w:p>
        </w:tc>
        <w:tc>
          <w:tcPr>
            <w:tcW w:w="2494" w:type="dxa"/>
          </w:tcPr>
          <w:p w14:paraId="0CF5CD51" w14:textId="77777777" w:rsidR="00A720EB" w:rsidRDefault="0030286B">
            <w:pPr>
              <w:pStyle w:val="TableParagraph"/>
              <w:spacing w:before="49" w:line="230" w:lineRule="auto"/>
              <w:ind w:right="94"/>
              <w:rPr>
                <w:sz w:val="21"/>
              </w:rPr>
            </w:pPr>
            <w:r>
              <w:rPr>
                <w:color w:val="B02045"/>
                <w:sz w:val="21"/>
              </w:rPr>
              <w:t>[text/html, text/xml, text/plain, text/css, text/javascript, application/javascript</w:t>
            </w:r>
          </w:p>
          <w:p w14:paraId="4CD247BC" w14:textId="77777777" w:rsidR="00A720EB" w:rsidRDefault="0030286B">
            <w:pPr>
              <w:pStyle w:val="TableParagraph"/>
              <w:spacing w:before="2" w:line="230" w:lineRule="auto"/>
              <w:ind w:right="409"/>
              <w:rPr>
                <w:sz w:val="21"/>
              </w:rPr>
            </w:pPr>
            <w:r>
              <w:rPr>
                <w:color w:val="B02045"/>
                <w:sz w:val="21"/>
              </w:rPr>
              <w:t>, application/json, application/xml]</w:t>
            </w:r>
          </w:p>
        </w:tc>
        <w:tc>
          <w:tcPr>
            <w:tcW w:w="4988" w:type="dxa"/>
          </w:tcPr>
          <w:p w14:paraId="3A16D0B0" w14:textId="77777777" w:rsidR="00A720EB" w:rsidRDefault="0030286B">
            <w:pPr>
              <w:pStyle w:val="TableParagraph"/>
              <w:spacing w:before="94" w:line="307" w:lineRule="auto"/>
              <w:rPr>
                <w:rFonts w:ascii="Cambria"/>
                <w:sz w:val="21"/>
              </w:rPr>
            </w:pPr>
            <w:r>
              <w:rPr>
                <w:rFonts w:ascii="Cambria"/>
                <w:color w:val="333333"/>
                <w:w w:val="110"/>
                <w:sz w:val="21"/>
              </w:rPr>
              <w:t>Comma-separated list of MIME types that should be compressed.</w:t>
            </w:r>
          </w:p>
        </w:tc>
      </w:tr>
      <w:tr w:rsidR="00A720EB" w14:paraId="67393784" w14:textId="77777777">
        <w:trPr>
          <w:trHeight w:val="741"/>
        </w:trPr>
        <w:tc>
          <w:tcPr>
            <w:tcW w:w="2494" w:type="dxa"/>
          </w:tcPr>
          <w:p w14:paraId="6C9C1D02" w14:textId="77777777" w:rsidR="00A720EB" w:rsidRDefault="0030286B">
            <w:pPr>
              <w:pStyle w:val="TableParagraph"/>
              <w:spacing w:before="40" w:line="264" w:lineRule="exact"/>
              <w:rPr>
                <w:sz w:val="21"/>
              </w:rPr>
            </w:pPr>
            <w:r>
              <w:rPr>
                <w:color w:val="B02045"/>
                <w:sz w:val="21"/>
              </w:rPr>
              <w:t>server.compression.min</w:t>
            </w:r>
          </w:p>
          <w:p w14:paraId="3C11C811" w14:textId="77777777" w:rsidR="00A720EB" w:rsidRDefault="0030286B">
            <w:pPr>
              <w:pStyle w:val="TableParagraph"/>
              <w:spacing w:before="0" w:line="264" w:lineRule="exact"/>
              <w:rPr>
                <w:sz w:val="21"/>
              </w:rPr>
            </w:pPr>
            <w:r>
              <w:rPr>
                <w:color w:val="B02045"/>
                <w:sz w:val="21"/>
              </w:rPr>
              <w:t>-response-size</w:t>
            </w:r>
          </w:p>
        </w:tc>
        <w:tc>
          <w:tcPr>
            <w:tcW w:w="2494" w:type="dxa"/>
          </w:tcPr>
          <w:p w14:paraId="11351536" w14:textId="77777777" w:rsidR="00A720EB" w:rsidRDefault="0030286B">
            <w:pPr>
              <w:pStyle w:val="TableParagraph"/>
              <w:spacing w:before="40"/>
              <w:rPr>
                <w:sz w:val="21"/>
              </w:rPr>
            </w:pPr>
            <w:r>
              <w:rPr>
                <w:color w:val="B02045"/>
                <w:sz w:val="21"/>
              </w:rPr>
              <w:t>2KB</w:t>
            </w:r>
          </w:p>
        </w:tc>
        <w:tc>
          <w:tcPr>
            <w:tcW w:w="4988" w:type="dxa"/>
          </w:tcPr>
          <w:p w14:paraId="3C7B74B6" w14:textId="77777777" w:rsidR="00A720EB" w:rsidRDefault="0030286B">
            <w:pPr>
              <w:pStyle w:val="TableParagraph"/>
              <w:spacing w:before="31" w:line="310" w:lineRule="atLeast"/>
              <w:ind w:right="372"/>
              <w:rPr>
                <w:rFonts w:ascii="Cambria"/>
                <w:sz w:val="21"/>
              </w:rPr>
            </w:pPr>
            <w:r>
              <w:rPr>
                <w:rFonts w:ascii="Cambria"/>
                <w:color w:val="333333"/>
                <w:w w:val="110"/>
                <w:sz w:val="21"/>
              </w:rPr>
              <w:t>Minimum "Content-Length" value that is required for compression to be performed.</w:t>
            </w:r>
          </w:p>
        </w:tc>
      </w:tr>
      <w:tr w:rsidR="00A720EB" w14:paraId="1540B578" w14:textId="77777777">
        <w:trPr>
          <w:trHeight w:val="627"/>
        </w:trPr>
        <w:tc>
          <w:tcPr>
            <w:tcW w:w="2494" w:type="dxa"/>
          </w:tcPr>
          <w:p w14:paraId="1913B526" w14:textId="77777777" w:rsidR="00A720EB" w:rsidRDefault="0030286B">
            <w:pPr>
              <w:pStyle w:val="TableParagraph"/>
              <w:spacing w:before="49" w:line="230" w:lineRule="auto"/>
              <w:ind w:right="218"/>
              <w:rPr>
                <w:sz w:val="21"/>
              </w:rPr>
            </w:pPr>
            <w:proofErr w:type="gramStart"/>
            <w:r>
              <w:rPr>
                <w:color w:val="B02045"/>
                <w:sz w:val="21"/>
              </w:rPr>
              <w:t>server.error</w:t>
            </w:r>
            <w:proofErr w:type="gramEnd"/>
            <w:r>
              <w:rPr>
                <w:color w:val="B02045"/>
                <w:sz w:val="21"/>
              </w:rPr>
              <w:t>.include- binding-errors</w:t>
            </w:r>
          </w:p>
        </w:tc>
        <w:tc>
          <w:tcPr>
            <w:tcW w:w="2494" w:type="dxa"/>
          </w:tcPr>
          <w:p w14:paraId="24191F64" w14:textId="77777777" w:rsidR="00A720EB" w:rsidRDefault="0030286B">
            <w:pPr>
              <w:pStyle w:val="TableParagraph"/>
              <w:spacing w:before="40"/>
              <w:rPr>
                <w:sz w:val="21"/>
              </w:rPr>
            </w:pPr>
            <w:r>
              <w:rPr>
                <w:color w:val="B02045"/>
                <w:sz w:val="21"/>
              </w:rPr>
              <w:t>never</w:t>
            </w:r>
          </w:p>
        </w:tc>
        <w:tc>
          <w:tcPr>
            <w:tcW w:w="4988" w:type="dxa"/>
          </w:tcPr>
          <w:p w14:paraId="72D5F5B9" w14:textId="77777777" w:rsidR="00A720EB" w:rsidRDefault="0030286B">
            <w:pPr>
              <w:pStyle w:val="TableParagraph"/>
              <w:spacing w:before="94"/>
              <w:rPr>
                <w:rFonts w:ascii="Cambria"/>
                <w:sz w:val="21"/>
              </w:rPr>
            </w:pPr>
            <w:r>
              <w:rPr>
                <w:rFonts w:ascii="Cambria"/>
                <w:color w:val="333333"/>
                <w:w w:val="110"/>
                <w:sz w:val="21"/>
              </w:rPr>
              <w:t>When to include "errors" attribute.</w:t>
            </w:r>
          </w:p>
        </w:tc>
      </w:tr>
      <w:tr w:rsidR="00A720EB" w14:paraId="2CA18746" w14:textId="77777777">
        <w:trPr>
          <w:trHeight w:val="627"/>
        </w:trPr>
        <w:tc>
          <w:tcPr>
            <w:tcW w:w="2494" w:type="dxa"/>
          </w:tcPr>
          <w:p w14:paraId="6E7E686D" w14:textId="77777777" w:rsidR="00A720EB" w:rsidRDefault="0030286B">
            <w:pPr>
              <w:pStyle w:val="TableParagraph"/>
              <w:spacing w:before="49" w:line="230" w:lineRule="auto"/>
              <w:ind w:right="199"/>
              <w:rPr>
                <w:sz w:val="21"/>
              </w:rPr>
            </w:pPr>
            <w:proofErr w:type="gramStart"/>
            <w:r>
              <w:rPr>
                <w:color w:val="B02045"/>
                <w:sz w:val="21"/>
              </w:rPr>
              <w:t>server.error</w:t>
            </w:r>
            <w:proofErr w:type="gramEnd"/>
            <w:r>
              <w:rPr>
                <w:color w:val="B02045"/>
                <w:sz w:val="21"/>
              </w:rPr>
              <w:t>.include- exception</w:t>
            </w:r>
          </w:p>
        </w:tc>
        <w:tc>
          <w:tcPr>
            <w:tcW w:w="2494" w:type="dxa"/>
          </w:tcPr>
          <w:p w14:paraId="02790168" w14:textId="77777777" w:rsidR="00A720EB" w:rsidRDefault="0030286B">
            <w:pPr>
              <w:pStyle w:val="TableParagraph"/>
              <w:spacing w:before="40"/>
              <w:rPr>
                <w:sz w:val="21"/>
              </w:rPr>
            </w:pPr>
            <w:r>
              <w:rPr>
                <w:color w:val="B02045"/>
                <w:sz w:val="21"/>
              </w:rPr>
              <w:t>false</w:t>
            </w:r>
          </w:p>
        </w:tc>
        <w:tc>
          <w:tcPr>
            <w:tcW w:w="4988" w:type="dxa"/>
          </w:tcPr>
          <w:p w14:paraId="7737A428" w14:textId="77777777" w:rsidR="00A720EB" w:rsidRDefault="0030286B">
            <w:pPr>
              <w:pStyle w:val="TableParagraph"/>
              <w:spacing w:before="94"/>
              <w:rPr>
                <w:rFonts w:ascii="Cambria"/>
                <w:sz w:val="21"/>
              </w:rPr>
            </w:pPr>
            <w:r>
              <w:rPr>
                <w:rFonts w:ascii="Cambria"/>
                <w:color w:val="333333"/>
                <w:w w:val="110"/>
                <w:sz w:val="21"/>
              </w:rPr>
              <w:t>Include the "exception" attribute.</w:t>
            </w:r>
          </w:p>
        </w:tc>
      </w:tr>
      <w:tr w:rsidR="00A720EB" w14:paraId="69768540" w14:textId="77777777">
        <w:trPr>
          <w:trHeight w:val="627"/>
        </w:trPr>
        <w:tc>
          <w:tcPr>
            <w:tcW w:w="2494" w:type="dxa"/>
          </w:tcPr>
          <w:p w14:paraId="4BCF52D5" w14:textId="77777777" w:rsidR="00A720EB" w:rsidRDefault="0030286B">
            <w:pPr>
              <w:pStyle w:val="TableParagraph"/>
              <w:spacing w:before="49" w:line="230" w:lineRule="auto"/>
              <w:ind w:right="199"/>
              <w:rPr>
                <w:sz w:val="21"/>
              </w:rPr>
            </w:pPr>
            <w:proofErr w:type="gramStart"/>
            <w:r>
              <w:rPr>
                <w:color w:val="B02045"/>
                <w:sz w:val="21"/>
              </w:rPr>
              <w:t>server.error</w:t>
            </w:r>
            <w:proofErr w:type="gramEnd"/>
            <w:r>
              <w:rPr>
                <w:color w:val="B02045"/>
                <w:sz w:val="21"/>
              </w:rPr>
              <w:t>.include- message</w:t>
            </w:r>
          </w:p>
        </w:tc>
        <w:tc>
          <w:tcPr>
            <w:tcW w:w="2494" w:type="dxa"/>
          </w:tcPr>
          <w:p w14:paraId="6BA99D61" w14:textId="77777777" w:rsidR="00A720EB" w:rsidRDefault="0030286B">
            <w:pPr>
              <w:pStyle w:val="TableParagraph"/>
              <w:spacing w:before="40"/>
              <w:rPr>
                <w:sz w:val="21"/>
              </w:rPr>
            </w:pPr>
            <w:r>
              <w:rPr>
                <w:color w:val="B02045"/>
                <w:sz w:val="21"/>
              </w:rPr>
              <w:t>never</w:t>
            </w:r>
          </w:p>
        </w:tc>
        <w:tc>
          <w:tcPr>
            <w:tcW w:w="4988" w:type="dxa"/>
          </w:tcPr>
          <w:p w14:paraId="65077092" w14:textId="77777777" w:rsidR="00A720EB" w:rsidRDefault="0030286B">
            <w:pPr>
              <w:pStyle w:val="TableParagraph"/>
              <w:spacing w:before="94"/>
              <w:rPr>
                <w:rFonts w:ascii="Cambria"/>
                <w:sz w:val="21"/>
              </w:rPr>
            </w:pPr>
            <w:r>
              <w:rPr>
                <w:rFonts w:ascii="Cambria"/>
                <w:color w:val="333333"/>
                <w:w w:val="110"/>
                <w:sz w:val="21"/>
              </w:rPr>
              <w:t>When to include "message" attribute.</w:t>
            </w:r>
          </w:p>
        </w:tc>
      </w:tr>
      <w:tr w:rsidR="00A720EB" w14:paraId="60CA5047" w14:textId="77777777">
        <w:trPr>
          <w:trHeight w:val="627"/>
        </w:trPr>
        <w:tc>
          <w:tcPr>
            <w:tcW w:w="2494" w:type="dxa"/>
          </w:tcPr>
          <w:p w14:paraId="02E2DDE4" w14:textId="77777777" w:rsidR="00A720EB" w:rsidRDefault="0030286B">
            <w:pPr>
              <w:pStyle w:val="TableParagraph"/>
              <w:spacing w:before="49" w:line="230" w:lineRule="auto"/>
              <w:ind w:right="199"/>
              <w:rPr>
                <w:sz w:val="21"/>
              </w:rPr>
            </w:pPr>
            <w:proofErr w:type="gramStart"/>
            <w:r>
              <w:rPr>
                <w:color w:val="B02045"/>
                <w:sz w:val="21"/>
              </w:rPr>
              <w:lastRenderedPageBreak/>
              <w:t>server.error</w:t>
            </w:r>
            <w:proofErr w:type="gramEnd"/>
            <w:r>
              <w:rPr>
                <w:color w:val="B02045"/>
                <w:sz w:val="21"/>
              </w:rPr>
              <w:t>.include- stacktrace</w:t>
            </w:r>
          </w:p>
        </w:tc>
        <w:tc>
          <w:tcPr>
            <w:tcW w:w="2494" w:type="dxa"/>
          </w:tcPr>
          <w:p w14:paraId="54672E0C" w14:textId="77777777" w:rsidR="00A720EB" w:rsidRDefault="0030286B">
            <w:pPr>
              <w:pStyle w:val="TableParagraph"/>
              <w:spacing w:before="40"/>
              <w:rPr>
                <w:sz w:val="21"/>
              </w:rPr>
            </w:pPr>
            <w:r>
              <w:rPr>
                <w:color w:val="B02045"/>
                <w:sz w:val="21"/>
              </w:rPr>
              <w:t>never</w:t>
            </w:r>
          </w:p>
        </w:tc>
        <w:tc>
          <w:tcPr>
            <w:tcW w:w="4988" w:type="dxa"/>
          </w:tcPr>
          <w:p w14:paraId="155E6160" w14:textId="77777777" w:rsidR="00A720EB" w:rsidRDefault="0030286B">
            <w:pPr>
              <w:pStyle w:val="TableParagraph"/>
              <w:spacing w:before="94"/>
              <w:rPr>
                <w:rFonts w:ascii="Cambria"/>
                <w:sz w:val="21"/>
              </w:rPr>
            </w:pPr>
            <w:r>
              <w:rPr>
                <w:rFonts w:ascii="Cambria"/>
                <w:color w:val="333333"/>
                <w:w w:val="110"/>
                <w:sz w:val="21"/>
              </w:rPr>
              <w:t>When to include the "trace" attribute.</w:t>
            </w:r>
          </w:p>
        </w:tc>
      </w:tr>
    </w:tbl>
    <w:p w14:paraId="4C769AAB"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6AF6007" w14:textId="77777777">
        <w:trPr>
          <w:trHeight w:val="415"/>
        </w:trPr>
        <w:tc>
          <w:tcPr>
            <w:tcW w:w="2494" w:type="dxa"/>
            <w:tcBorders>
              <w:bottom w:val="single" w:sz="12" w:space="0" w:color="DDDDDD"/>
            </w:tcBorders>
          </w:tcPr>
          <w:p w14:paraId="7D187B04"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F34540C"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5891320"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D3D64EE" w14:textId="77777777">
        <w:trPr>
          <w:trHeight w:val="415"/>
        </w:trPr>
        <w:tc>
          <w:tcPr>
            <w:tcW w:w="2494" w:type="dxa"/>
            <w:tcBorders>
              <w:top w:val="single" w:sz="12" w:space="0" w:color="DDDDDD"/>
            </w:tcBorders>
          </w:tcPr>
          <w:p w14:paraId="4103EF98" w14:textId="77777777" w:rsidR="00A720EB" w:rsidRDefault="0030286B">
            <w:pPr>
              <w:pStyle w:val="TableParagraph"/>
              <w:spacing w:before="27"/>
              <w:rPr>
                <w:sz w:val="21"/>
              </w:rPr>
            </w:pPr>
            <w:proofErr w:type="gramStart"/>
            <w:r>
              <w:rPr>
                <w:color w:val="B02045"/>
                <w:sz w:val="21"/>
              </w:rPr>
              <w:t>server.error</w:t>
            </w:r>
            <w:proofErr w:type="gramEnd"/>
            <w:r>
              <w:rPr>
                <w:color w:val="B02045"/>
                <w:sz w:val="21"/>
              </w:rPr>
              <w:t>.path</w:t>
            </w:r>
          </w:p>
        </w:tc>
        <w:tc>
          <w:tcPr>
            <w:tcW w:w="2494" w:type="dxa"/>
            <w:tcBorders>
              <w:top w:val="single" w:sz="12" w:space="0" w:color="DDDDDD"/>
            </w:tcBorders>
          </w:tcPr>
          <w:p w14:paraId="4F0B6838" w14:textId="77777777" w:rsidR="00A720EB" w:rsidRDefault="0030286B">
            <w:pPr>
              <w:pStyle w:val="TableParagraph"/>
              <w:spacing w:before="27"/>
              <w:rPr>
                <w:sz w:val="21"/>
              </w:rPr>
            </w:pPr>
            <w:r>
              <w:rPr>
                <w:color w:val="B02045"/>
                <w:sz w:val="21"/>
              </w:rPr>
              <w:t>/error</w:t>
            </w:r>
          </w:p>
        </w:tc>
        <w:tc>
          <w:tcPr>
            <w:tcW w:w="4988" w:type="dxa"/>
            <w:tcBorders>
              <w:top w:val="single" w:sz="12" w:space="0" w:color="DDDDDD"/>
            </w:tcBorders>
          </w:tcPr>
          <w:p w14:paraId="03AA098F" w14:textId="77777777" w:rsidR="00A720EB" w:rsidRDefault="0030286B">
            <w:pPr>
              <w:pStyle w:val="TableParagraph"/>
              <w:spacing w:before="82"/>
              <w:rPr>
                <w:rFonts w:ascii="Cambria"/>
                <w:sz w:val="21"/>
              </w:rPr>
            </w:pPr>
            <w:r>
              <w:rPr>
                <w:rFonts w:ascii="Cambria"/>
                <w:color w:val="333333"/>
                <w:w w:val="110"/>
                <w:sz w:val="21"/>
              </w:rPr>
              <w:t>Path of the error controller.</w:t>
            </w:r>
          </w:p>
        </w:tc>
      </w:tr>
      <w:tr w:rsidR="00A720EB" w14:paraId="7B39F54E" w14:textId="77777777">
        <w:trPr>
          <w:trHeight w:val="741"/>
        </w:trPr>
        <w:tc>
          <w:tcPr>
            <w:tcW w:w="2494" w:type="dxa"/>
          </w:tcPr>
          <w:p w14:paraId="2755B7DC" w14:textId="77777777" w:rsidR="00A720EB" w:rsidRDefault="0030286B">
            <w:pPr>
              <w:pStyle w:val="TableParagraph"/>
              <w:spacing w:before="46" w:line="230" w:lineRule="auto"/>
              <w:ind w:right="94"/>
              <w:rPr>
                <w:sz w:val="21"/>
              </w:rPr>
            </w:pPr>
            <w:proofErr w:type="gramStart"/>
            <w:r>
              <w:rPr>
                <w:color w:val="B02045"/>
                <w:sz w:val="21"/>
              </w:rPr>
              <w:t>server.error</w:t>
            </w:r>
            <w:proofErr w:type="gramEnd"/>
            <w:r>
              <w:rPr>
                <w:color w:val="B02045"/>
                <w:sz w:val="21"/>
              </w:rPr>
              <w:t>.whitelabe l.enabled</w:t>
            </w:r>
          </w:p>
        </w:tc>
        <w:tc>
          <w:tcPr>
            <w:tcW w:w="2494" w:type="dxa"/>
          </w:tcPr>
          <w:p w14:paraId="1E7B2BA5" w14:textId="77777777" w:rsidR="00A720EB" w:rsidRDefault="0030286B">
            <w:pPr>
              <w:pStyle w:val="TableParagraph"/>
              <w:rPr>
                <w:sz w:val="21"/>
              </w:rPr>
            </w:pPr>
            <w:r>
              <w:rPr>
                <w:color w:val="B02045"/>
                <w:sz w:val="21"/>
              </w:rPr>
              <w:t>true</w:t>
            </w:r>
          </w:p>
        </w:tc>
        <w:tc>
          <w:tcPr>
            <w:tcW w:w="4988" w:type="dxa"/>
          </w:tcPr>
          <w:p w14:paraId="76461FAC" w14:textId="77777777" w:rsidR="00A720EB" w:rsidRDefault="0030286B">
            <w:pPr>
              <w:pStyle w:val="TableParagraph"/>
              <w:spacing w:before="28" w:line="310" w:lineRule="atLeast"/>
              <w:rPr>
                <w:rFonts w:ascii="Cambria"/>
                <w:sz w:val="21"/>
              </w:rPr>
            </w:pPr>
            <w:r>
              <w:rPr>
                <w:rFonts w:ascii="Cambria"/>
                <w:color w:val="333333"/>
                <w:w w:val="110"/>
                <w:sz w:val="21"/>
              </w:rPr>
              <w:t>Whether to enable the default error page displayed in browsers in case of a server error.</w:t>
            </w:r>
          </w:p>
        </w:tc>
      </w:tr>
      <w:tr w:rsidR="00A720EB" w14:paraId="094CCD10" w14:textId="77777777">
        <w:trPr>
          <w:trHeight w:val="627"/>
        </w:trPr>
        <w:tc>
          <w:tcPr>
            <w:tcW w:w="2494" w:type="dxa"/>
          </w:tcPr>
          <w:p w14:paraId="798499DC" w14:textId="77777777" w:rsidR="00A720EB" w:rsidRDefault="0030286B">
            <w:pPr>
              <w:pStyle w:val="TableParagraph"/>
              <w:spacing w:before="46" w:line="230" w:lineRule="auto"/>
              <w:ind w:right="743"/>
              <w:rPr>
                <w:sz w:val="21"/>
              </w:rPr>
            </w:pPr>
            <w:r>
              <w:rPr>
                <w:color w:val="B02045"/>
                <w:sz w:val="21"/>
              </w:rPr>
              <w:t>server.forward- headers-strategy</w:t>
            </w:r>
          </w:p>
        </w:tc>
        <w:tc>
          <w:tcPr>
            <w:tcW w:w="2494" w:type="dxa"/>
          </w:tcPr>
          <w:p w14:paraId="6F0F75BE" w14:textId="77777777" w:rsidR="00A720EB" w:rsidRDefault="00A720EB">
            <w:pPr>
              <w:pStyle w:val="TableParagraph"/>
              <w:spacing w:before="0"/>
              <w:ind w:left="0"/>
              <w:rPr>
                <w:rFonts w:ascii="Times New Roman"/>
                <w:sz w:val="20"/>
              </w:rPr>
            </w:pPr>
          </w:p>
        </w:tc>
        <w:tc>
          <w:tcPr>
            <w:tcW w:w="4988" w:type="dxa"/>
          </w:tcPr>
          <w:p w14:paraId="3F24FEB9" w14:textId="77777777" w:rsidR="00A720EB" w:rsidRDefault="0030286B">
            <w:pPr>
              <w:pStyle w:val="TableParagraph"/>
              <w:spacing w:before="92"/>
              <w:rPr>
                <w:rFonts w:ascii="Cambria"/>
                <w:sz w:val="21"/>
              </w:rPr>
            </w:pPr>
            <w:r>
              <w:rPr>
                <w:rFonts w:ascii="Cambria"/>
                <w:color w:val="333333"/>
                <w:w w:val="110"/>
                <w:sz w:val="21"/>
              </w:rPr>
              <w:t>Strategy for handling X-Forwarded-* headers.</w:t>
            </w:r>
          </w:p>
        </w:tc>
      </w:tr>
      <w:tr w:rsidR="00A720EB" w14:paraId="465EBA75" w14:textId="77777777">
        <w:trPr>
          <w:trHeight w:val="741"/>
        </w:trPr>
        <w:tc>
          <w:tcPr>
            <w:tcW w:w="2494" w:type="dxa"/>
          </w:tcPr>
          <w:p w14:paraId="626387B9" w14:textId="77777777" w:rsidR="00A720EB" w:rsidRDefault="0030286B">
            <w:pPr>
              <w:pStyle w:val="TableParagraph"/>
              <w:rPr>
                <w:sz w:val="21"/>
              </w:rPr>
            </w:pPr>
            <w:proofErr w:type="gramStart"/>
            <w:r>
              <w:rPr>
                <w:color w:val="B02045"/>
                <w:sz w:val="21"/>
              </w:rPr>
              <w:t>server.http2.enabled</w:t>
            </w:r>
            <w:proofErr w:type="gramEnd"/>
          </w:p>
        </w:tc>
        <w:tc>
          <w:tcPr>
            <w:tcW w:w="2494" w:type="dxa"/>
          </w:tcPr>
          <w:p w14:paraId="1F5AA4CB" w14:textId="77777777" w:rsidR="00A720EB" w:rsidRDefault="0030286B">
            <w:pPr>
              <w:pStyle w:val="TableParagraph"/>
              <w:rPr>
                <w:sz w:val="21"/>
              </w:rPr>
            </w:pPr>
            <w:r>
              <w:rPr>
                <w:color w:val="B02045"/>
                <w:sz w:val="21"/>
              </w:rPr>
              <w:t>false</w:t>
            </w:r>
          </w:p>
        </w:tc>
        <w:tc>
          <w:tcPr>
            <w:tcW w:w="4988" w:type="dxa"/>
          </w:tcPr>
          <w:p w14:paraId="7370B864"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enable HTTP/2 support, if the current environment supports it.</w:t>
            </w:r>
          </w:p>
        </w:tc>
      </w:tr>
      <w:tr w:rsidR="00A720EB" w14:paraId="3F4B5AB6" w14:textId="77777777">
        <w:trPr>
          <w:trHeight w:val="627"/>
        </w:trPr>
        <w:tc>
          <w:tcPr>
            <w:tcW w:w="2494" w:type="dxa"/>
          </w:tcPr>
          <w:p w14:paraId="3B23E429" w14:textId="77777777" w:rsidR="00A720EB" w:rsidRDefault="0030286B">
            <w:pPr>
              <w:pStyle w:val="TableParagraph"/>
              <w:spacing w:line="264" w:lineRule="exact"/>
              <w:rPr>
                <w:sz w:val="21"/>
              </w:rPr>
            </w:pPr>
            <w:proofErr w:type="gramStart"/>
            <w:r>
              <w:rPr>
                <w:color w:val="B02045"/>
                <w:sz w:val="21"/>
              </w:rPr>
              <w:t>server.jetty</w:t>
            </w:r>
            <w:proofErr w:type="gramEnd"/>
            <w:r>
              <w:rPr>
                <w:color w:val="B02045"/>
                <w:sz w:val="21"/>
              </w:rPr>
              <w:t>.accesslog</w:t>
            </w:r>
          </w:p>
          <w:p w14:paraId="6AF4C193" w14:textId="77777777" w:rsidR="00A720EB" w:rsidRDefault="0030286B">
            <w:pPr>
              <w:pStyle w:val="TableParagraph"/>
              <w:spacing w:before="0" w:line="264" w:lineRule="exact"/>
              <w:rPr>
                <w:sz w:val="21"/>
              </w:rPr>
            </w:pPr>
            <w:proofErr w:type="gramStart"/>
            <w:r>
              <w:rPr>
                <w:color w:val="B02045"/>
                <w:sz w:val="21"/>
              </w:rPr>
              <w:t>.append</w:t>
            </w:r>
            <w:proofErr w:type="gramEnd"/>
          </w:p>
        </w:tc>
        <w:tc>
          <w:tcPr>
            <w:tcW w:w="2494" w:type="dxa"/>
          </w:tcPr>
          <w:p w14:paraId="4AB30596" w14:textId="77777777" w:rsidR="00A720EB" w:rsidRDefault="0030286B">
            <w:pPr>
              <w:pStyle w:val="TableParagraph"/>
              <w:rPr>
                <w:sz w:val="21"/>
              </w:rPr>
            </w:pPr>
            <w:r>
              <w:rPr>
                <w:color w:val="B02045"/>
                <w:sz w:val="21"/>
              </w:rPr>
              <w:t>false</w:t>
            </w:r>
          </w:p>
        </w:tc>
        <w:tc>
          <w:tcPr>
            <w:tcW w:w="4988" w:type="dxa"/>
          </w:tcPr>
          <w:p w14:paraId="50EA1598" w14:textId="77777777" w:rsidR="00A720EB" w:rsidRDefault="0030286B">
            <w:pPr>
              <w:pStyle w:val="TableParagraph"/>
              <w:spacing w:before="92"/>
              <w:rPr>
                <w:rFonts w:ascii="Cambria"/>
                <w:sz w:val="21"/>
              </w:rPr>
            </w:pPr>
            <w:r>
              <w:rPr>
                <w:rFonts w:ascii="Cambria"/>
                <w:color w:val="333333"/>
                <w:w w:val="110"/>
                <w:sz w:val="21"/>
              </w:rPr>
              <w:t>Append to log.</w:t>
            </w:r>
          </w:p>
        </w:tc>
      </w:tr>
      <w:tr w:rsidR="00A720EB" w14:paraId="7B291D1B" w14:textId="77777777">
        <w:trPr>
          <w:trHeight w:val="1372"/>
        </w:trPr>
        <w:tc>
          <w:tcPr>
            <w:tcW w:w="2494" w:type="dxa"/>
          </w:tcPr>
          <w:p w14:paraId="48E3C093" w14:textId="77777777" w:rsidR="00A720EB" w:rsidRDefault="0030286B">
            <w:pPr>
              <w:pStyle w:val="TableParagraph"/>
              <w:spacing w:before="37" w:line="264" w:lineRule="exact"/>
              <w:rPr>
                <w:sz w:val="21"/>
              </w:rPr>
            </w:pPr>
            <w:proofErr w:type="gramStart"/>
            <w:r>
              <w:rPr>
                <w:color w:val="B02045"/>
                <w:sz w:val="21"/>
              </w:rPr>
              <w:t>server.jetty</w:t>
            </w:r>
            <w:proofErr w:type="gramEnd"/>
            <w:r>
              <w:rPr>
                <w:color w:val="B02045"/>
                <w:sz w:val="21"/>
              </w:rPr>
              <w:t>.accesslog</w:t>
            </w:r>
          </w:p>
          <w:p w14:paraId="645F93AD" w14:textId="77777777" w:rsidR="00A720EB" w:rsidRDefault="0030286B">
            <w:pPr>
              <w:pStyle w:val="TableParagraph"/>
              <w:spacing w:before="0" w:line="264" w:lineRule="exact"/>
              <w:rPr>
                <w:sz w:val="21"/>
              </w:rPr>
            </w:pPr>
            <w:proofErr w:type="gramStart"/>
            <w:r>
              <w:rPr>
                <w:color w:val="B02045"/>
                <w:sz w:val="21"/>
              </w:rPr>
              <w:t>.custom</w:t>
            </w:r>
            <w:proofErr w:type="gramEnd"/>
            <w:r>
              <w:rPr>
                <w:color w:val="B02045"/>
                <w:sz w:val="21"/>
              </w:rPr>
              <w:t>-format</w:t>
            </w:r>
          </w:p>
        </w:tc>
        <w:tc>
          <w:tcPr>
            <w:tcW w:w="2494" w:type="dxa"/>
          </w:tcPr>
          <w:p w14:paraId="41B1509A" w14:textId="77777777" w:rsidR="00A720EB" w:rsidRDefault="00A720EB">
            <w:pPr>
              <w:pStyle w:val="TableParagraph"/>
              <w:spacing w:before="0"/>
              <w:ind w:left="0"/>
              <w:rPr>
                <w:rFonts w:ascii="Times New Roman"/>
                <w:sz w:val="20"/>
              </w:rPr>
            </w:pPr>
          </w:p>
        </w:tc>
        <w:tc>
          <w:tcPr>
            <w:tcW w:w="4988" w:type="dxa"/>
          </w:tcPr>
          <w:p w14:paraId="4A6E0E58" w14:textId="77777777" w:rsidR="00A720EB" w:rsidRDefault="0030286B">
            <w:pPr>
              <w:pStyle w:val="TableParagraph"/>
              <w:spacing w:before="28" w:line="310" w:lineRule="atLeast"/>
              <w:ind w:right="372"/>
              <w:rPr>
                <w:rFonts w:ascii="Cambria"/>
                <w:sz w:val="21"/>
              </w:rPr>
            </w:pPr>
            <w:r>
              <w:rPr>
                <w:rFonts w:ascii="Cambria"/>
                <w:color w:val="333333"/>
                <w:w w:val="110"/>
                <w:sz w:val="21"/>
              </w:rPr>
              <w:t xml:space="preserve">Custom log format, see </w:t>
            </w:r>
            <w:proofErr w:type="gramStart"/>
            <w:r>
              <w:rPr>
                <w:rFonts w:ascii="Cambria"/>
                <w:color w:val="333333"/>
                <w:w w:val="110"/>
                <w:sz w:val="21"/>
              </w:rPr>
              <w:t>org.eclipse</w:t>
            </w:r>
            <w:proofErr w:type="gramEnd"/>
            <w:r>
              <w:rPr>
                <w:rFonts w:ascii="Cambria"/>
                <w:color w:val="333333"/>
                <w:w w:val="110"/>
                <w:sz w:val="21"/>
              </w:rPr>
              <w:t>.jetty.server.CustomRequestLog. If defined, overrides the "format" configuration key.</w:t>
            </w:r>
          </w:p>
        </w:tc>
      </w:tr>
      <w:tr w:rsidR="00A720EB" w14:paraId="09FA0D4F" w14:textId="77777777">
        <w:trPr>
          <w:trHeight w:val="627"/>
        </w:trPr>
        <w:tc>
          <w:tcPr>
            <w:tcW w:w="2494" w:type="dxa"/>
          </w:tcPr>
          <w:p w14:paraId="734E9E86" w14:textId="77777777" w:rsidR="00A720EB" w:rsidRDefault="0030286B">
            <w:pPr>
              <w:pStyle w:val="TableParagraph"/>
              <w:spacing w:before="37" w:line="264" w:lineRule="exact"/>
              <w:rPr>
                <w:sz w:val="21"/>
              </w:rPr>
            </w:pPr>
            <w:proofErr w:type="gramStart"/>
            <w:r>
              <w:rPr>
                <w:color w:val="B02045"/>
                <w:sz w:val="21"/>
              </w:rPr>
              <w:t>server.jetty</w:t>
            </w:r>
            <w:proofErr w:type="gramEnd"/>
            <w:r>
              <w:rPr>
                <w:color w:val="B02045"/>
                <w:sz w:val="21"/>
              </w:rPr>
              <w:t>.accesslog</w:t>
            </w:r>
          </w:p>
          <w:p w14:paraId="2A24757D" w14:textId="77777777" w:rsidR="00A720EB" w:rsidRDefault="0030286B">
            <w:pPr>
              <w:pStyle w:val="TableParagraph"/>
              <w:spacing w:before="0" w:line="264" w:lineRule="exact"/>
              <w:rPr>
                <w:sz w:val="21"/>
              </w:rPr>
            </w:pPr>
            <w:proofErr w:type="gramStart"/>
            <w:r>
              <w:rPr>
                <w:color w:val="B02045"/>
                <w:sz w:val="21"/>
              </w:rPr>
              <w:t>.enabled</w:t>
            </w:r>
            <w:proofErr w:type="gramEnd"/>
          </w:p>
        </w:tc>
        <w:tc>
          <w:tcPr>
            <w:tcW w:w="2494" w:type="dxa"/>
          </w:tcPr>
          <w:p w14:paraId="53BC0B29" w14:textId="77777777" w:rsidR="00A720EB" w:rsidRDefault="0030286B">
            <w:pPr>
              <w:pStyle w:val="TableParagraph"/>
              <w:spacing w:before="37"/>
              <w:rPr>
                <w:sz w:val="21"/>
              </w:rPr>
            </w:pPr>
            <w:r>
              <w:rPr>
                <w:color w:val="B02045"/>
                <w:sz w:val="21"/>
              </w:rPr>
              <w:t>false</w:t>
            </w:r>
          </w:p>
        </w:tc>
        <w:tc>
          <w:tcPr>
            <w:tcW w:w="4988" w:type="dxa"/>
          </w:tcPr>
          <w:p w14:paraId="7004FA0F" w14:textId="77777777" w:rsidR="00A720EB" w:rsidRDefault="0030286B">
            <w:pPr>
              <w:pStyle w:val="TableParagraph"/>
              <w:spacing w:before="92"/>
              <w:rPr>
                <w:rFonts w:ascii="Cambria"/>
                <w:sz w:val="21"/>
              </w:rPr>
            </w:pPr>
            <w:r>
              <w:rPr>
                <w:rFonts w:ascii="Cambria"/>
                <w:color w:val="333333"/>
                <w:w w:val="110"/>
                <w:sz w:val="21"/>
              </w:rPr>
              <w:t>Enable access log.</w:t>
            </w:r>
          </w:p>
        </w:tc>
      </w:tr>
      <w:tr w:rsidR="00A720EB" w14:paraId="44CC9F8E" w14:textId="77777777">
        <w:trPr>
          <w:trHeight w:val="627"/>
        </w:trPr>
        <w:tc>
          <w:tcPr>
            <w:tcW w:w="2494" w:type="dxa"/>
          </w:tcPr>
          <w:p w14:paraId="58DD4CEA" w14:textId="77777777" w:rsidR="00A720EB" w:rsidRDefault="0030286B">
            <w:pPr>
              <w:pStyle w:val="TableParagraph"/>
              <w:spacing w:before="37" w:line="264" w:lineRule="exact"/>
              <w:rPr>
                <w:sz w:val="21"/>
              </w:rPr>
            </w:pPr>
            <w:proofErr w:type="gramStart"/>
            <w:r>
              <w:rPr>
                <w:color w:val="B02045"/>
                <w:sz w:val="21"/>
              </w:rPr>
              <w:t>server.jetty</w:t>
            </w:r>
            <w:proofErr w:type="gramEnd"/>
            <w:r>
              <w:rPr>
                <w:color w:val="B02045"/>
                <w:sz w:val="21"/>
              </w:rPr>
              <w:t>.accesslog</w:t>
            </w:r>
          </w:p>
          <w:p w14:paraId="3CDC9635" w14:textId="77777777" w:rsidR="00A720EB" w:rsidRDefault="0030286B">
            <w:pPr>
              <w:pStyle w:val="TableParagraph"/>
              <w:spacing w:before="0" w:line="264" w:lineRule="exact"/>
              <w:rPr>
                <w:sz w:val="21"/>
              </w:rPr>
            </w:pPr>
            <w:proofErr w:type="gramStart"/>
            <w:r>
              <w:rPr>
                <w:color w:val="B02045"/>
                <w:sz w:val="21"/>
              </w:rPr>
              <w:t>.file</w:t>
            </w:r>
            <w:proofErr w:type="gramEnd"/>
            <w:r>
              <w:rPr>
                <w:color w:val="B02045"/>
                <w:sz w:val="21"/>
              </w:rPr>
              <w:t>-date-format</w:t>
            </w:r>
          </w:p>
        </w:tc>
        <w:tc>
          <w:tcPr>
            <w:tcW w:w="2494" w:type="dxa"/>
          </w:tcPr>
          <w:p w14:paraId="757B49FD" w14:textId="77777777" w:rsidR="00A720EB" w:rsidRDefault="00A720EB">
            <w:pPr>
              <w:pStyle w:val="TableParagraph"/>
              <w:spacing w:before="0"/>
              <w:ind w:left="0"/>
              <w:rPr>
                <w:rFonts w:ascii="Times New Roman"/>
                <w:sz w:val="20"/>
              </w:rPr>
            </w:pPr>
          </w:p>
        </w:tc>
        <w:tc>
          <w:tcPr>
            <w:tcW w:w="4988" w:type="dxa"/>
          </w:tcPr>
          <w:p w14:paraId="15D26DD7" w14:textId="77777777" w:rsidR="00A720EB" w:rsidRDefault="0030286B">
            <w:pPr>
              <w:pStyle w:val="TableParagraph"/>
              <w:spacing w:before="92"/>
              <w:rPr>
                <w:rFonts w:ascii="Cambria"/>
                <w:sz w:val="21"/>
              </w:rPr>
            </w:pPr>
            <w:r>
              <w:rPr>
                <w:rFonts w:ascii="Cambria"/>
                <w:color w:val="333333"/>
                <w:w w:val="110"/>
                <w:sz w:val="21"/>
              </w:rPr>
              <w:t>Date format to place in log file name.</w:t>
            </w:r>
          </w:p>
        </w:tc>
      </w:tr>
      <w:tr w:rsidR="00A720EB" w14:paraId="706A9F27" w14:textId="77777777">
        <w:trPr>
          <w:trHeight w:val="741"/>
        </w:trPr>
        <w:tc>
          <w:tcPr>
            <w:tcW w:w="2494" w:type="dxa"/>
          </w:tcPr>
          <w:p w14:paraId="7911EB3E" w14:textId="77777777" w:rsidR="00A720EB" w:rsidRDefault="0030286B">
            <w:pPr>
              <w:pStyle w:val="TableParagraph"/>
              <w:spacing w:before="37" w:line="264" w:lineRule="exact"/>
              <w:rPr>
                <w:sz w:val="21"/>
              </w:rPr>
            </w:pPr>
            <w:proofErr w:type="gramStart"/>
            <w:r>
              <w:rPr>
                <w:color w:val="B02045"/>
                <w:sz w:val="21"/>
              </w:rPr>
              <w:t>server.jetty</w:t>
            </w:r>
            <w:proofErr w:type="gramEnd"/>
            <w:r>
              <w:rPr>
                <w:color w:val="B02045"/>
                <w:sz w:val="21"/>
              </w:rPr>
              <w:t>.accesslog</w:t>
            </w:r>
          </w:p>
          <w:p w14:paraId="3F7A8F80" w14:textId="77777777" w:rsidR="00A720EB" w:rsidRDefault="0030286B">
            <w:pPr>
              <w:pStyle w:val="TableParagraph"/>
              <w:spacing w:before="0" w:line="264" w:lineRule="exact"/>
              <w:rPr>
                <w:sz w:val="21"/>
              </w:rPr>
            </w:pPr>
            <w:proofErr w:type="gramStart"/>
            <w:r>
              <w:rPr>
                <w:color w:val="B02045"/>
                <w:sz w:val="21"/>
              </w:rPr>
              <w:t>.filename</w:t>
            </w:r>
            <w:proofErr w:type="gramEnd"/>
          </w:p>
        </w:tc>
        <w:tc>
          <w:tcPr>
            <w:tcW w:w="2494" w:type="dxa"/>
          </w:tcPr>
          <w:p w14:paraId="5BE00394" w14:textId="77777777" w:rsidR="00A720EB" w:rsidRDefault="00A720EB">
            <w:pPr>
              <w:pStyle w:val="TableParagraph"/>
              <w:spacing w:before="0"/>
              <w:ind w:left="0"/>
              <w:rPr>
                <w:rFonts w:ascii="Times New Roman"/>
                <w:sz w:val="20"/>
              </w:rPr>
            </w:pPr>
          </w:p>
        </w:tc>
        <w:tc>
          <w:tcPr>
            <w:tcW w:w="4988" w:type="dxa"/>
          </w:tcPr>
          <w:p w14:paraId="3BF63C0D" w14:textId="77777777" w:rsidR="00A720EB" w:rsidRDefault="0030286B">
            <w:pPr>
              <w:pStyle w:val="TableParagraph"/>
              <w:spacing w:before="28" w:line="310" w:lineRule="atLeast"/>
              <w:rPr>
                <w:rFonts w:ascii="Cambria"/>
                <w:sz w:val="21"/>
              </w:rPr>
            </w:pPr>
            <w:r>
              <w:rPr>
                <w:rFonts w:ascii="Cambria"/>
                <w:color w:val="333333"/>
                <w:w w:val="110"/>
                <w:sz w:val="21"/>
              </w:rPr>
              <w:t>Log filename. If not specified, logs redirect to "System.err".</w:t>
            </w:r>
          </w:p>
        </w:tc>
      </w:tr>
      <w:tr w:rsidR="00A720EB" w14:paraId="63B49290" w14:textId="77777777">
        <w:trPr>
          <w:trHeight w:val="627"/>
        </w:trPr>
        <w:tc>
          <w:tcPr>
            <w:tcW w:w="2494" w:type="dxa"/>
          </w:tcPr>
          <w:p w14:paraId="4568929B" w14:textId="77777777" w:rsidR="00A720EB" w:rsidRDefault="0030286B">
            <w:pPr>
              <w:pStyle w:val="TableParagraph"/>
              <w:spacing w:before="37" w:line="264" w:lineRule="exact"/>
              <w:rPr>
                <w:sz w:val="21"/>
              </w:rPr>
            </w:pPr>
            <w:proofErr w:type="gramStart"/>
            <w:r>
              <w:rPr>
                <w:color w:val="B02045"/>
                <w:sz w:val="21"/>
              </w:rPr>
              <w:t>server.jetty</w:t>
            </w:r>
            <w:proofErr w:type="gramEnd"/>
            <w:r>
              <w:rPr>
                <w:color w:val="B02045"/>
                <w:sz w:val="21"/>
              </w:rPr>
              <w:t>.accesslog</w:t>
            </w:r>
          </w:p>
          <w:p w14:paraId="57CD0C77" w14:textId="77777777" w:rsidR="00A720EB" w:rsidRDefault="0030286B">
            <w:pPr>
              <w:pStyle w:val="TableParagraph"/>
              <w:spacing w:before="0" w:line="264" w:lineRule="exact"/>
              <w:rPr>
                <w:sz w:val="21"/>
              </w:rPr>
            </w:pPr>
            <w:proofErr w:type="gramStart"/>
            <w:r>
              <w:rPr>
                <w:color w:val="B02045"/>
                <w:sz w:val="21"/>
              </w:rPr>
              <w:t>.format</w:t>
            </w:r>
            <w:proofErr w:type="gramEnd"/>
          </w:p>
        </w:tc>
        <w:tc>
          <w:tcPr>
            <w:tcW w:w="2494" w:type="dxa"/>
          </w:tcPr>
          <w:p w14:paraId="706407FF" w14:textId="77777777" w:rsidR="00A720EB" w:rsidRDefault="0030286B">
            <w:pPr>
              <w:pStyle w:val="TableParagraph"/>
              <w:spacing w:before="37"/>
              <w:rPr>
                <w:sz w:val="21"/>
              </w:rPr>
            </w:pPr>
            <w:r>
              <w:rPr>
                <w:color w:val="B02045"/>
                <w:sz w:val="21"/>
              </w:rPr>
              <w:t>ncsa</w:t>
            </w:r>
          </w:p>
        </w:tc>
        <w:tc>
          <w:tcPr>
            <w:tcW w:w="4988" w:type="dxa"/>
          </w:tcPr>
          <w:p w14:paraId="4893A883" w14:textId="77777777" w:rsidR="00A720EB" w:rsidRDefault="0030286B">
            <w:pPr>
              <w:pStyle w:val="TableParagraph"/>
              <w:spacing w:before="92"/>
              <w:rPr>
                <w:rFonts w:ascii="Cambria"/>
                <w:sz w:val="21"/>
              </w:rPr>
            </w:pPr>
            <w:r>
              <w:rPr>
                <w:rFonts w:ascii="Cambria"/>
                <w:color w:val="333333"/>
                <w:w w:val="110"/>
                <w:sz w:val="21"/>
              </w:rPr>
              <w:t>Log format.</w:t>
            </w:r>
          </w:p>
        </w:tc>
      </w:tr>
      <w:tr w:rsidR="00A720EB" w14:paraId="1F7334F2" w14:textId="77777777">
        <w:trPr>
          <w:trHeight w:val="627"/>
        </w:trPr>
        <w:tc>
          <w:tcPr>
            <w:tcW w:w="2494" w:type="dxa"/>
          </w:tcPr>
          <w:p w14:paraId="21678A83" w14:textId="77777777" w:rsidR="00A720EB" w:rsidRDefault="0030286B">
            <w:pPr>
              <w:pStyle w:val="TableParagraph"/>
              <w:spacing w:line="264" w:lineRule="exact"/>
              <w:rPr>
                <w:sz w:val="21"/>
              </w:rPr>
            </w:pPr>
            <w:proofErr w:type="gramStart"/>
            <w:r>
              <w:rPr>
                <w:color w:val="B02045"/>
                <w:sz w:val="21"/>
              </w:rPr>
              <w:t>server.jetty</w:t>
            </w:r>
            <w:proofErr w:type="gramEnd"/>
            <w:r>
              <w:rPr>
                <w:color w:val="B02045"/>
                <w:sz w:val="21"/>
              </w:rPr>
              <w:t>.accesslog</w:t>
            </w:r>
          </w:p>
          <w:p w14:paraId="1C398228" w14:textId="77777777" w:rsidR="00A720EB" w:rsidRDefault="0030286B">
            <w:pPr>
              <w:pStyle w:val="TableParagraph"/>
              <w:spacing w:before="0" w:line="264" w:lineRule="exact"/>
              <w:rPr>
                <w:sz w:val="21"/>
              </w:rPr>
            </w:pPr>
            <w:proofErr w:type="gramStart"/>
            <w:r>
              <w:rPr>
                <w:color w:val="B02045"/>
                <w:sz w:val="21"/>
              </w:rPr>
              <w:t>.ignore</w:t>
            </w:r>
            <w:proofErr w:type="gramEnd"/>
            <w:r>
              <w:rPr>
                <w:color w:val="B02045"/>
                <w:sz w:val="21"/>
              </w:rPr>
              <w:t>-paths</w:t>
            </w:r>
          </w:p>
        </w:tc>
        <w:tc>
          <w:tcPr>
            <w:tcW w:w="2494" w:type="dxa"/>
          </w:tcPr>
          <w:p w14:paraId="654305B5" w14:textId="77777777" w:rsidR="00A720EB" w:rsidRDefault="00A720EB">
            <w:pPr>
              <w:pStyle w:val="TableParagraph"/>
              <w:spacing w:before="0"/>
              <w:ind w:left="0"/>
              <w:rPr>
                <w:rFonts w:ascii="Times New Roman"/>
                <w:sz w:val="20"/>
              </w:rPr>
            </w:pPr>
          </w:p>
        </w:tc>
        <w:tc>
          <w:tcPr>
            <w:tcW w:w="4988" w:type="dxa"/>
          </w:tcPr>
          <w:p w14:paraId="573ECE0A" w14:textId="77777777" w:rsidR="00A720EB" w:rsidRDefault="0030286B">
            <w:pPr>
              <w:pStyle w:val="TableParagraph"/>
              <w:spacing w:before="92"/>
              <w:rPr>
                <w:rFonts w:ascii="Cambria"/>
                <w:sz w:val="21"/>
              </w:rPr>
            </w:pPr>
            <w:r>
              <w:rPr>
                <w:rFonts w:ascii="Cambria"/>
                <w:color w:val="333333"/>
                <w:w w:val="110"/>
                <w:sz w:val="21"/>
              </w:rPr>
              <w:t>Request paths that should not be logged.</w:t>
            </w:r>
          </w:p>
        </w:tc>
      </w:tr>
      <w:tr w:rsidR="00A720EB" w14:paraId="3442D832" w14:textId="77777777">
        <w:trPr>
          <w:trHeight w:val="741"/>
        </w:trPr>
        <w:tc>
          <w:tcPr>
            <w:tcW w:w="2494" w:type="dxa"/>
          </w:tcPr>
          <w:p w14:paraId="21C2DD31" w14:textId="77777777" w:rsidR="00A720EB" w:rsidRDefault="0030286B">
            <w:pPr>
              <w:pStyle w:val="TableParagraph"/>
              <w:spacing w:before="37" w:line="264" w:lineRule="exact"/>
              <w:rPr>
                <w:sz w:val="21"/>
              </w:rPr>
            </w:pPr>
            <w:proofErr w:type="gramStart"/>
            <w:r>
              <w:rPr>
                <w:color w:val="B02045"/>
                <w:sz w:val="21"/>
              </w:rPr>
              <w:t>server.jetty</w:t>
            </w:r>
            <w:proofErr w:type="gramEnd"/>
            <w:r>
              <w:rPr>
                <w:color w:val="B02045"/>
                <w:sz w:val="21"/>
              </w:rPr>
              <w:t>.accesslog</w:t>
            </w:r>
          </w:p>
          <w:p w14:paraId="4BAC59E5" w14:textId="77777777" w:rsidR="00A720EB" w:rsidRDefault="0030286B">
            <w:pPr>
              <w:pStyle w:val="TableParagraph"/>
              <w:spacing w:before="0" w:line="264" w:lineRule="exact"/>
              <w:rPr>
                <w:sz w:val="21"/>
              </w:rPr>
            </w:pPr>
            <w:proofErr w:type="gramStart"/>
            <w:r>
              <w:rPr>
                <w:color w:val="B02045"/>
                <w:sz w:val="21"/>
              </w:rPr>
              <w:t>.retention</w:t>
            </w:r>
            <w:proofErr w:type="gramEnd"/>
            <w:r>
              <w:rPr>
                <w:color w:val="B02045"/>
                <w:sz w:val="21"/>
              </w:rPr>
              <w:t>-period</w:t>
            </w:r>
          </w:p>
        </w:tc>
        <w:tc>
          <w:tcPr>
            <w:tcW w:w="2494" w:type="dxa"/>
          </w:tcPr>
          <w:p w14:paraId="2E018FC4" w14:textId="77777777" w:rsidR="00A720EB" w:rsidRDefault="0030286B">
            <w:pPr>
              <w:pStyle w:val="TableParagraph"/>
              <w:spacing w:before="37"/>
              <w:rPr>
                <w:sz w:val="21"/>
              </w:rPr>
            </w:pPr>
            <w:r>
              <w:rPr>
                <w:color w:val="B02045"/>
                <w:sz w:val="21"/>
              </w:rPr>
              <w:t>31.0</w:t>
            </w:r>
          </w:p>
        </w:tc>
        <w:tc>
          <w:tcPr>
            <w:tcW w:w="4988" w:type="dxa"/>
          </w:tcPr>
          <w:p w14:paraId="0CF5296C" w14:textId="77777777" w:rsidR="00A720EB" w:rsidRDefault="0030286B">
            <w:pPr>
              <w:pStyle w:val="TableParagraph"/>
              <w:spacing w:before="28" w:line="310" w:lineRule="atLeast"/>
              <w:rPr>
                <w:rFonts w:ascii="Cambria"/>
                <w:sz w:val="21"/>
              </w:rPr>
            </w:pPr>
            <w:r>
              <w:rPr>
                <w:rFonts w:ascii="Cambria"/>
                <w:color w:val="333333"/>
                <w:w w:val="110"/>
                <w:sz w:val="21"/>
              </w:rPr>
              <w:t>Number of days before rotated log files are deleted.</w:t>
            </w:r>
          </w:p>
        </w:tc>
      </w:tr>
      <w:tr w:rsidR="00A720EB" w14:paraId="3D2CA977" w14:textId="77777777">
        <w:trPr>
          <w:trHeight w:val="741"/>
        </w:trPr>
        <w:tc>
          <w:tcPr>
            <w:tcW w:w="2494" w:type="dxa"/>
          </w:tcPr>
          <w:p w14:paraId="036CC657" w14:textId="77777777" w:rsidR="00A720EB" w:rsidRDefault="0030286B">
            <w:pPr>
              <w:pStyle w:val="TableParagraph"/>
              <w:spacing w:before="46" w:line="230" w:lineRule="auto"/>
              <w:ind w:right="113"/>
              <w:rPr>
                <w:sz w:val="21"/>
              </w:rPr>
            </w:pPr>
            <w:proofErr w:type="gramStart"/>
            <w:r>
              <w:rPr>
                <w:color w:val="B02045"/>
                <w:sz w:val="21"/>
              </w:rPr>
              <w:t>server.jetty</w:t>
            </w:r>
            <w:proofErr w:type="gramEnd"/>
            <w:r>
              <w:rPr>
                <w:color w:val="B02045"/>
                <w:sz w:val="21"/>
              </w:rPr>
              <w:t>.connectio n-idle-timeout</w:t>
            </w:r>
          </w:p>
        </w:tc>
        <w:tc>
          <w:tcPr>
            <w:tcW w:w="2494" w:type="dxa"/>
          </w:tcPr>
          <w:p w14:paraId="7F01B8B7" w14:textId="77777777" w:rsidR="00A720EB" w:rsidRDefault="00A720EB">
            <w:pPr>
              <w:pStyle w:val="TableParagraph"/>
              <w:spacing w:before="0"/>
              <w:ind w:left="0"/>
              <w:rPr>
                <w:rFonts w:ascii="Times New Roman"/>
                <w:sz w:val="20"/>
              </w:rPr>
            </w:pPr>
          </w:p>
        </w:tc>
        <w:tc>
          <w:tcPr>
            <w:tcW w:w="4988" w:type="dxa"/>
          </w:tcPr>
          <w:p w14:paraId="00183EC5" w14:textId="77777777" w:rsidR="00A720EB" w:rsidRDefault="0030286B">
            <w:pPr>
              <w:pStyle w:val="TableParagraph"/>
              <w:spacing w:before="28" w:line="310" w:lineRule="atLeast"/>
              <w:rPr>
                <w:rFonts w:ascii="Cambria"/>
                <w:sz w:val="21"/>
              </w:rPr>
            </w:pPr>
            <w:r>
              <w:rPr>
                <w:rFonts w:ascii="Cambria"/>
                <w:color w:val="333333"/>
                <w:w w:val="110"/>
                <w:sz w:val="21"/>
              </w:rPr>
              <w:t>Time that the connection can be idle before it is closed.</w:t>
            </w:r>
          </w:p>
        </w:tc>
      </w:tr>
      <w:tr w:rsidR="00A720EB" w14:paraId="72B99160" w14:textId="77777777">
        <w:trPr>
          <w:trHeight w:val="741"/>
        </w:trPr>
        <w:tc>
          <w:tcPr>
            <w:tcW w:w="2494" w:type="dxa"/>
          </w:tcPr>
          <w:p w14:paraId="756DFFEA" w14:textId="77777777" w:rsidR="00A720EB" w:rsidRDefault="0030286B">
            <w:pPr>
              <w:pStyle w:val="TableParagraph"/>
              <w:spacing w:before="46" w:line="230" w:lineRule="auto"/>
              <w:ind w:right="113"/>
              <w:rPr>
                <w:sz w:val="21"/>
              </w:rPr>
            </w:pPr>
            <w:r>
              <w:rPr>
                <w:color w:val="B02045"/>
                <w:sz w:val="21"/>
              </w:rPr>
              <w:t>server.jetty.max-http- form-post-size</w:t>
            </w:r>
          </w:p>
        </w:tc>
        <w:tc>
          <w:tcPr>
            <w:tcW w:w="2494" w:type="dxa"/>
          </w:tcPr>
          <w:p w14:paraId="17FF98A4" w14:textId="77777777" w:rsidR="00A720EB" w:rsidRDefault="0030286B">
            <w:pPr>
              <w:pStyle w:val="TableParagraph"/>
              <w:spacing w:before="37"/>
              <w:rPr>
                <w:sz w:val="21"/>
              </w:rPr>
            </w:pPr>
            <w:r>
              <w:rPr>
                <w:color w:val="B02045"/>
                <w:sz w:val="21"/>
              </w:rPr>
              <w:t>200000B</w:t>
            </w:r>
          </w:p>
        </w:tc>
        <w:tc>
          <w:tcPr>
            <w:tcW w:w="4988" w:type="dxa"/>
          </w:tcPr>
          <w:p w14:paraId="438F7CF5" w14:textId="77777777" w:rsidR="00A720EB" w:rsidRDefault="0030286B">
            <w:pPr>
              <w:pStyle w:val="TableParagraph"/>
              <w:spacing w:before="28" w:line="310" w:lineRule="atLeast"/>
              <w:rPr>
                <w:rFonts w:ascii="Cambria"/>
                <w:sz w:val="21"/>
              </w:rPr>
            </w:pPr>
            <w:r>
              <w:rPr>
                <w:rFonts w:ascii="Cambria"/>
                <w:color w:val="333333"/>
                <w:w w:val="110"/>
                <w:sz w:val="21"/>
              </w:rPr>
              <w:t>Maximum size of the form content in any HTTP post request.</w:t>
            </w:r>
          </w:p>
        </w:tc>
      </w:tr>
      <w:tr w:rsidR="00A720EB" w14:paraId="371DF57A" w14:textId="77777777">
        <w:trPr>
          <w:trHeight w:val="1056"/>
        </w:trPr>
        <w:tc>
          <w:tcPr>
            <w:tcW w:w="2494" w:type="dxa"/>
          </w:tcPr>
          <w:p w14:paraId="540B0FED" w14:textId="77777777" w:rsidR="00A720EB" w:rsidRDefault="0030286B">
            <w:pPr>
              <w:pStyle w:val="TableParagraph"/>
              <w:spacing w:before="46" w:line="230" w:lineRule="auto"/>
              <w:ind w:right="94"/>
              <w:rPr>
                <w:sz w:val="21"/>
              </w:rPr>
            </w:pPr>
            <w:proofErr w:type="gramStart"/>
            <w:r>
              <w:rPr>
                <w:color w:val="B02045"/>
                <w:sz w:val="21"/>
              </w:rPr>
              <w:t>server.jetty</w:t>
            </w:r>
            <w:proofErr w:type="gramEnd"/>
            <w:r>
              <w:rPr>
                <w:color w:val="B02045"/>
                <w:sz w:val="21"/>
              </w:rPr>
              <w:t>.threads.a cceptors</w:t>
            </w:r>
          </w:p>
        </w:tc>
        <w:tc>
          <w:tcPr>
            <w:tcW w:w="2494" w:type="dxa"/>
          </w:tcPr>
          <w:p w14:paraId="476EE145" w14:textId="77777777" w:rsidR="00A720EB" w:rsidRDefault="0030286B">
            <w:pPr>
              <w:pStyle w:val="TableParagraph"/>
              <w:spacing w:before="37"/>
              <w:rPr>
                <w:sz w:val="21"/>
              </w:rPr>
            </w:pPr>
            <w:r>
              <w:rPr>
                <w:color w:val="B02045"/>
                <w:sz w:val="21"/>
              </w:rPr>
              <w:t>-1.0</w:t>
            </w:r>
          </w:p>
        </w:tc>
        <w:tc>
          <w:tcPr>
            <w:tcW w:w="4988" w:type="dxa"/>
          </w:tcPr>
          <w:p w14:paraId="03C4FCAC" w14:textId="77777777" w:rsidR="00A720EB" w:rsidRDefault="0030286B">
            <w:pPr>
              <w:pStyle w:val="TableParagraph"/>
              <w:spacing w:before="28" w:line="310" w:lineRule="atLeast"/>
              <w:ind w:right="117"/>
              <w:rPr>
                <w:rFonts w:ascii="Cambria"/>
                <w:sz w:val="21"/>
              </w:rPr>
            </w:pPr>
            <w:r>
              <w:rPr>
                <w:rFonts w:ascii="Cambria"/>
                <w:color w:val="333333"/>
                <w:w w:val="110"/>
                <w:sz w:val="21"/>
              </w:rPr>
              <w:t>Number of acceptor threads to use. When the value is -1, the default, the number of acceptors is derived from the operating environment.</w:t>
            </w:r>
          </w:p>
        </w:tc>
      </w:tr>
      <w:tr w:rsidR="00A720EB" w14:paraId="4BC4115B" w14:textId="77777777">
        <w:trPr>
          <w:trHeight w:val="627"/>
        </w:trPr>
        <w:tc>
          <w:tcPr>
            <w:tcW w:w="2494" w:type="dxa"/>
          </w:tcPr>
          <w:p w14:paraId="135F1C7E" w14:textId="77777777" w:rsidR="00A720EB" w:rsidRDefault="0030286B">
            <w:pPr>
              <w:pStyle w:val="TableParagraph"/>
              <w:spacing w:before="46" w:line="230" w:lineRule="auto"/>
              <w:ind w:right="113"/>
              <w:rPr>
                <w:sz w:val="21"/>
              </w:rPr>
            </w:pPr>
            <w:proofErr w:type="gramStart"/>
            <w:r>
              <w:rPr>
                <w:color w:val="B02045"/>
                <w:sz w:val="21"/>
              </w:rPr>
              <w:t>server.jetty</w:t>
            </w:r>
            <w:proofErr w:type="gramEnd"/>
            <w:r>
              <w:rPr>
                <w:color w:val="B02045"/>
                <w:sz w:val="21"/>
              </w:rPr>
              <w:t>.threads.i dle-timeout</w:t>
            </w:r>
          </w:p>
        </w:tc>
        <w:tc>
          <w:tcPr>
            <w:tcW w:w="2494" w:type="dxa"/>
          </w:tcPr>
          <w:p w14:paraId="42D4D914" w14:textId="77777777" w:rsidR="00A720EB" w:rsidRDefault="0030286B">
            <w:pPr>
              <w:pStyle w:val="TableParagraph"/>
              <w:rPr>
                <w:sz w:val="21"/>
              </w:rPr>
            </w:pPr>
            <w:r>
              <w:rPr>
                <w:color w:val="B02045"/>
                <w:sz w:val="21"/>
              </w:rPr>
              <w:t>60000ms</w:t>
            </w:r>
          </w:p>
        </w:tc>
        <w:tc>
          <w:tcPr>
            <w:tcW w:w="4988" w:type="dxa"/>
          </w:tcPr>
          <w:p w14:paraId="7A989CCB" w14:textId="77777777" w:rsidR="00A720EB" w:rsidRDefault="0030286B">
            <w:pPr>
              <w:pStyle w:val="TableParagraph"/>
              <w:spacing w:before="92"/>
              <w:rPr>
                <w:rFonts w:ascii="Cambria"/>
                <w:sz w:val="21"/>
              </w:rPr>
            </w:pPr>
            <w:r>
              <w:rPr>
                <w:rFonts w:ascii="Cambria"/>
                <w:color w:val="333333"/>
                <w:w w:val="115"/>
                <w:sz w:val="21"/>
              </w:rPr>
              <w:t>Maximum thread idle time.</w:t>
            </w:r>
          </w:p>
        </w:tc>
      </w:tr>
      <w:tr w:rsidR="00A720EB" w14:paraId="5CF0E8D0" w14:textId="77777777">
        <w:trPr>
          <w:trHeight w:val="627"/>
        </w:trPr>
        <w:tc>
          <w:tcPr>
            <w:tcW w:w="2494" w:type="dxa"/>
          </w:tcPr>
          <w:p w14:paraId="3BDAA268" w14:textId="77777777" w:rsidR="00A720EB" w:rsidRDefault="0030286B">
            <w:pPr>
              <w:pStyle w:val="TableParagraph"/>
              <w:spacing w:before="46" w:line="230" w:lineRule="auto"/>
              <w:ind w:right="94"/>
              <w:rPr>
                <w:sz w:val="21"/>
              </w:rPr>
            </w:pPr>
            <w:proofErr w:type="gramStart"/>
            <w:r>
              <w:rPr>
                <w:color w:val="B02045"/>
                <w:sz w:val="21"/>
              </w:rPr>
              <w:t>server.jetty</w:t>
            </w:r>
            <w:proofErr w:type="gramEnd"/>
            <w:r>
              <w:rPr>
                <w:color w:val="B02045"/>
                <w:sz w:val="21"/>
              </w:rPr>
              <w:t>.threads.m ax</w:t>
            </w:r>
          </w:p>
        </w:tc>
        <w:tc>
          <w:tcPr>
            <w:tcW w:w="2494" w:type="dxa"/>
          </w:tcPr>
          <w:p w14:paraId="4D953B29" w14:textId="77777777" w:rsidR="00A720EB" w:rsidRDefault="0030286B">
            <w:pPr>
              <w:pStyle w:val="TableParagraph"/>
              <w:rPr>
                <w:sz w:val="21"/>
              </w:rPr>
            </w:pPr>
            <w:r>
              <w:rPr>
                <w:color w:val="B02045"/>
                <w:sz w:val="21"/>
              </w:rPr>
              <w:t>200.0</w:t>
            </w:r>
          </w:p>
        </w:tc>
        <w:tc>
          <w:tcPr>
            <w:tcW w:w="4988" w:type="dxa"/>
          </w:tcPr>
          <w:p w14:paraId="710B6364" w14:textId="77777777" w:rsidR="00A720EB" w:rsidRDefault="0030286B">
            <w:pPr>
              <w:pStyle w:val="TableParagraph"/>
              <w:spacing w:before="92"/>
              <w:rPr>
                <w:rFonts w:ascii="Cambria"/>
                <w:sz w:val="21"/>
              </w:rPr>
            </w:pPr>
            <w:r>
              <w:rPr>
                <w:rFonts w:ascii="Cambria"/>
                <w:color w:val="333333"/>
                <w:w w:val="115"/>
                <w:sz w:val="21"/>
              </w:rPr>
              <w:t>Maximum number of threads.</w:t>
            </w:r>
          </w:p>
        </w:tc>
      </w:tr>
      <w:tr w:rsidR="00A720EB" w14:paraId="342E8B0A" w14:textId="77777777">
        <w:trPr>
          <w:trHeight w:val="1056"/>
        </w:trPr>
        <w:tc>
          <w:tcPr>
            <w:tcW w:w="2494" w:type="dxa"/>
          </w:tcPr>
          <w:p w14:paraId="21206C93" w14:textId="77777777" w:rsidR="00A720EB" w:rsidRDefault="0030286B">
            <w:pPr>
              <w:pStyle w:val="TableParagraph"/>
              <w:spacing w:before="46" w:line="230" w:lineRule="auto"/>
              <w:ind w:right="113"/>
              <w:rPr>
                <w:sz w:val="21"/>
              </w:rPr>
            </w:pPr>
            <w:proofErr w:type="gramStart"/>
            <w:r>
              <w:rPr>
                <w:color w:val="B02045"/>
                <w:sz w:val="21"/>
              </w:rPr>
              <w:t>server.jetty</w:t>
            </w:r>
            <w:proofErr w:type="gramEnd"/>
            <w:r>
              <w:rPr>
                <w:color w:val="B02045"/>
                <w:sz w:val="21"/>
              </w:rPr>
              <w:t>.threads.m ax-queue-capacity</w:t>
            </w:r>
          </w:p>
        </w:tc>
        <w:tc>
          <w:tcPr>
            <w:tcW w:w="2494" w:type="dxa"/>
          </w:tcPr>
          <w:p w14:paraId="73F2044A" w14:textId="77777777" w:rsidR="00A720EB" w:rsidRDefault="00A720EB">
            <w:pPr>
              <w:pStyle w:val="TableParagraph"/>
              <w:spacing w:before="0"/>
              <w:ind w:left="0"/>
              <w:rPr>
                <w:rFonts w:ascii="Times New Roman"/>
                <w:sz w:val="20"/>
              </w:rPr>
            </w:pPr>
          </w:p>
        </w:tc>
        <w:tc>
          <w:tcPr>
            <w:tcW w:w="4988" w:type="dxa"/>
          </w:tcPr>
          <w:p w14:paraId="269B7043" w14:textId="77777777" w:rsidR="00A720EB" w:rsidRDefault="0030286B">
            <w:pPr>
              <w:pStyle w:val="TableParagraph"/>
              <w:spacing w:before="28" w:line="310" w:lineRule="atLeast"/>
              <w:rPr>
                <w:rFonts w:ascii="Cambria"/>
                <w:sz w:val="21"/>
              </w:rPr>
            </w:pPr>
            <w:r>
              <w:rPr>
                <w:rFonts w:ascii="Cambria"/>
                <w:color w:val="333333"/>
                <w:w w:val="110"/>
                <w:sz w:val="21"/>
              </w:rPr>
              <w:t>Maximum capacity of the thread pool's backing queue. A default is computed based on the threading configuration.</w:t>
            </w:r>
          </w:p>
        </w:tc>
      </w:tr>
      <w:tr w:rsidR="00A720EB" w14:paraId="3C16071B" w14:textId="77777777">
        <w:trPr>
          <w:trHeight w:val="627"/>
        </w:trPr>
        <w:tc>
          <w:tcPr>
            <w:tcW w:w="2494" w:type="dxa"/>
          </w:tcPr>
          <w:p w14:paraId="7898CA28" w14:textId="77777777" w:rsidR="00A720EB" w:rsidRDefault="0030286B">
            <w:pPr>
              <w:pStyle w:val="TableParagraph"/>
              <w:spacing w:before="46" w:line="230" w:lineRule="auto"/>
              <w:ind w:right="94"/>
              <w:rPr>
                <w:sz w:val="21"/>
              </w:rPr>
            </w:pPr>
            <w:proofErr w:type="gramStart"/>
            <w:r>
              <w:rPr>
                <w:color w:val="B02045"/>
                <w:sz w:val="21"/>
              </w:rPr>
              <w:lastRenderedPageBreak/>
              <w:t>server.jetty</w:t>
            </w:r>
            <w:proofErr w:type="gramEnd"/>
            <w:r>
              <w:rPr>
                <w:color w:val="B02045"/>
                <w:sz w:val="21"/>
              </w:rPr>
              <w:t>.threads.m in</w:t>
            </w:r>
          </w:p>
        </w:tc>
        <w:tc>
          <w:tcPr>
            <w:tcW w:w="2494" w:type="dxa"/>
          </w:tcPr>
          <w:p w14:paraId="18906455" w14:textId="77777777" w:rsidR="00A720EB" w:rsidRDefault="0030286B">
            <w:pPr>
              <w:pStyle w:val="TableParagraph"/>
              <w:rPr>
                <w:sz w:val="21"/>
              </w:rPr>
            </w:pPr>
            <w:r>
              <w:rPr>
                <w:color w:val="B02045"/>
                <w:sz w:val="21"/>
              </w:rPr>
              <w:t>8.0</w:t>
            </w:r>
          </w:p>
        </w:tc>
        <w:tc>
          <w:tcPr>
            <w:tcW w:w="4988" w:type="dxa"/>
          </w:tcPr>
          <w:p w14:paraId="7665D7D5" w14:textId="77777777" w:rsidR="00A720EB" w:rsidRDefault="0030286B">
            <w:pPr>
              <w:pStyle w:val="TableParagraph"/>
              <w:spacing w:before="92"/>
              <w:rPr>
                <w:rFonts w:ascii="Cambria"/>
                <w:sz w:val="21"/>
              </w:rPr>
            </w:pPr>
            <w:r>
              <w:rPr>
                <w:rFonts w:ascii="Cambria"/>
                <w:color w:val="333333"/>
                <w:w w:val="115"/>
                <w:sz w:val="21"/>
              </w:rPr>
              <w:t>Minimum number of threads.</w:t>
            </w:r>
          </w:p>
        </w:tc>
      </w:tr>
    </w:tbl>
    <w:p w14:paraId="341B730C"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0E8FC09" w14:textId="77777777">
        <w:trPr>
          <w:trHeight w:val="415"/>
        </w:trPr>
        <w:tc>
          <w:tcPr>
            <w:tcW w:w="2494" w:type="dxa"/>
            <w:tcBorders>
              <w:bottom w:val="single" w:sz="12" w:space="0" w:color="DDDDDD"/>
            </w:tcBorders>
          </w:tcPr>
          <w:p w14:paraId="1C195DD7"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431C9B7"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5142554"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B647489" w14:textId="77777777">
        <w:trPr>
          <w:trHeight w:val="1046"/>
        </w:trPr>
        <w:tc>
          <w:tcPr>
            <w:tcW w:w="2494" w:type="dxa"/>
            <w:tcBorders>
              <w:top w:val="single" w:sz="12" w:space="0" w:color="DDDDDD"/>
            </w:tcBorders>
          </w:tcPr>
          <w:p w14:paraId="051983B2" w14:textId="77777777" w:rsidR="00A720EB" w:rsidRDefault="0030286B">
            <w:pPr>
              <w:pStyle w:val="TableParagraph"/>
              <w:spacing w:before="36" w:line="230" w:lineRule="auto"/>
              <w:ind w:right="94"/>
              <w:rPr>
                <w:sz w:val="21"/>
              </w:rPr>
            </w:pPr>
            <w:proofErr w:type="gramStart"/>
            <w:r>
              <w:rPr>
                <w:color w:val="B02045"/>
                <w:sz w:val="21"/>
              </w:rPr>
              <w:t>server.jetty</w:t>
            </w:r>
            <w:proofErr w:type="gramEnd"/>
            <w:r>
              <w:rPr>
                <w:color w:val="B02045"/>
                <w:sz w:val="21"/>
              </w:rPr>
              <w:t>.threads.s electors</w:t>
            </w:r>
          </w:p>
        </w:tc>
        <w:tc>
          <w:tcPr>
            <w:tcW w:w="2494" w:type="dxa"/>
            <w:tcBorders>
              <w:top w:val="single" w:sz="12" w:space="0" w:color="DDDDDD"/>
            </w:tcBorders>
          </w:tcPr>
          <w:p w14:paraId="3EDDED67" w14:textId="77777777" w:rsidR="00A720EB" w:rsidRDefault="0030286B">
            <w:pPr>
              <w:pStyle w:val="TableParagraph"/>
              <w:spacing w:before="27"/>
              <w:rPr>
                <w:sz w:val="21"/>
              </w:rPr>
            </w:pPr>
            <w:r>
              <w:rPr>
                <w:color w:val="B02045"/>
                <w:sz w:val="21"/>
              </w:rPr>
              <w:t>-1.0</w:t>
            </w:r>
          </w:p>
        </w:tc>
        <w:tc>
          <w:tcPr>
            <w:tcW w:w="4988" w:type="dxa"/>
            <w:tcBorders>
              <w:top w:val="single" w:sz="12" w:space="0" w:color="DDDDDD"/>
            </w:tcBorders>
          </w:tcPr>
          <w:p w14:paraId="62E94E0F" w14:textId="77777777" w:rsidR="00A720EB" w:rsidRDefault="0030286B">
            <w:pPr>
              <w:pStyle w:val="TableParagraph"/>
              <w:spacing w:before="18" w:line="310" w:lineRule="atLeast"/>
              <w:ind w:right="44"/>
              <w:rPr>
                <w:rFonts w:ascii="Cambria"/>
                <w:sz w:val="21"/>
              </w:rPr>
            </w:pPr>
            <w:r>
              <w:rPr>
                <w:rFonts w:ascii="Cambria"/>
                <w:color w:val="333333"/>
                <w:w w:val="110"/>
                <w:sz w:val="21"/>
              </w:rPr>
              <w:t>Number of selector threads to use. When the value is -1, the default, the number of selectors is derived from the operating environment.</w:t>
            </w:r>
          </w:p>
        </w:tc>
      </w:tr>
      <w:tr w:rsidR="00A720EB" w14:paraId="4454D3F1" w14:textId="77777777">
        <w:trPr>
          <w:trHeight w:val="627"/>
        </w:trPr>
        <w:tc>
          <w:tcPr>
            <w:tcW w:w="2494" w:type="dxa"/>
          </w:tcPr>
          <w:p w14:paraId="47D77280" w14:textId="77777777" w:rsidR="00A720EB" w:rsidRDefault="0030286B">
            <w:pPr>
              <w:pStyle w:val="TableParagraph"/>
              <w:spacing w:before="46" w:line="230" w:lineRule="auto"/>
              <w:ind w:right="743"/>
              <w:rPr>
                <w:sz w:val="21"/>
              </w:rPr>
            </w:pPr>
            <w:r>
              <w:rPr>
                <w:color w:val="B02045"/>
                <w:sz w:val="21"/>
              </w:rPr>
              <w:t>server.max-http- header-size</w:t>
            </w:r>
          </w:p>
        </w:tc>
        <w:tc>
          <w:tcPr>
            <w:tcW w:w="2494" w:type="dxa"/>
          </w:tcPr>
          <w:p w14:paraId="2F508453" w14:textId="77777777" w:rsidR="00A720EB" w:rsidRDefault="0030286B">
            <w:pPr>
              <w:pStyle w:val="TableParagraph"/>
              <w:rPr>
                <w:sz w:val="21"/>
              </w:rPr>
            </w:pPr>
            <w:r>
              <w:rPr>
                <w:color w:val="B02045"/>
                <w:sz w:val="21"/>
              </w:rPr>
              <w:t>8KB</w:t>
            </w:r>
          </w:p>
        </w:tc>
        <w:tc>
          <w:tcPr>
            <w:tcW w:w="4988" w:type="dxa"/>
          </w:tcPr>
          <w:p w14:paraId="3EF1263D" w14:textId="77777777" w:rsidR="00A720EB" w:rsidRDefault="0030286B">
            <w:pPr>
              <w:pStyle w:val="TableParagraph"/>
              <w:spacing w:before="92"/>
              <w:rPr>
                <w:rFonts w:ascii="Cambria"/>
                <w:sz w:val="21"/>
              </w:rPr>
            </w:pPr>
            <w:r>
              <w:rPr>
                <w:rFonts w:ascii="Cambria"/>
                <w:color w:val="333333"/>
                <w:w w:val="110"/>
                <w:sz w:val="21"/>
              </w:rPr>
              <w:t>Maximum size of the HTTP message header.</w:t>
            </w:r>
          </w:p>
        </w:tc>
      </w:tr>
      <w:tr w:rsidR="00A720EB" w14:paraId="463C07F6" w14:textId="77777777">
        <w:trPr>
          <w:trHeight w:val="627"/>
        </w:trPr>
        <w:tc>
          <w:tcPr>
            <w:tcW w:w="2494" w:type="dxa"/>
          </w:tcPr>
          <w:p w14:paraId="05539FF8" w14:textId="77777777" w:rsidR="00A720EB" w:rsidRDefault="0030286B">
            <w:pPr>
              <w:pStyle w:val="TableParagraph"/>
              <w:spacing w:before="46" w:line="230" w:lineRule="auto"/>
              <w:ind w:right="113"/>
              <w:rPr>
                <w:sz w:val="21"/>
              </w:rPr>
            </w:pPr>
            <w:proofErr w:type="gramStart"/>
            <w:r>
              <w:rPr>
                <w:color w:val="B02045"/>
                <w:sz w:val="21"/>
              </w:rPr>
              <w:t>server.netty</w:t>
            </w:r>
            <w:proofErr w:type="gramEnd"/>
            <w:r>
              <w:rPr>
                <w:color w:val="B02045"/>
                <w:sz w:val="21"/>
              </w:rPr>
              <w:t>.connectio n-timeout</w:t>
            </w:r>
          </w:p>
        </w:tc>
        <w:tc>
          <w:tcPr>
            <w:tcW w:w="2494" w:type="dxa"/>
          </w:tcPr>
          <w:p w14:paraId="742C9148" w14:textId="77777777" w:rsidR="00A720EB" w:rsidRDefault="00A720EB">
            <w:pPr>
              <w:pStyle w:val="TableParagraph"/>
              <w:spacing w:before="0"/>
              <w:ind w:left="0"/>
              <w:rPr>
                <w:rFonts w:ascii="Times New Roman"/>
                <w:sz w:val="20"/>
              </w:rPr>
            </w:pPr>
          </w:p>
        </w:tc>
        <w:tc>
          <w:tcPr>
            <w:tcW w:w="4988" w:type="dxa"/>
          </w:tcPr>
          <w:p w14:paraId="6CCE6D17" w14:textId="77777777" w:rsidR="00A720EB" w:rsidRDefault="0030286B">
            <w:pPr>
              <w:pStyle w:val="TableParagraph"/>
              <w:spacing w:before="92"/>
              <w:rPr>
                <w:rFonts w:ascii="Cambria"/>
                <w:sz w:val="21"/>
              </w:rPr>
            </w:pPr>
            <w:r>
              <w:rPr>
                <w:rFonts w:ascii="Cambria"/>
                <w:color w:val="333333"/>
                <w:w w:val="110"/>
                <w:sz w:val="21"/>
              </w:rPr>
              <w:t>Connection timeout of the Netty channel.</w:t>
            </w:r>
          </w:p>
        </w:tc>
      </w:tr>
      <w:tr w:rsidR="00A720EB" w14:paraId="068435F0" w14:textId="77777777">
        <w:trPr>
          <w:trHeight w:val="425"/>
        </w:trPr>
        <w:tc>
          <w:tcPr>
            <w:tcW w:w="2494" w:type="dxa"/>
          </w:tcPr>
          <w:p w14:paraId="080A44E8" w14:textId="77777777" w:rsidR="00A720EB" w:rsidRDefault="0030286B">
            <w:pPr>
              <w:pStyle w:val="TableParagraph"/>
              <w:spacing w:before="37"/>
              <w:rPr>
                <w:sz w:val="21"/>
              </w:rPr>
            </w:pPr>
            <w:proofErr w:type="gramStart"/>
            <w:r>
              <w:rPr>
                <w:color w:val="B02045"/>
                <w:sz w:val="21"/>
              </w:rPr>
              <w:t>server.port</w:t>
            </w:r>
            <w:proofErr w:type="gramEnd"/>
          </w:p>
        </w:tc>
        <w:tc>
          <w:tcPr>
            <w:tcW w:w="2494" w:type="dxa"/>
          </w:tcPr>
          <w:p w14:paraId="0D023846" w14:textId="77777777" w:rsidR="00A720EB" w:rsidRDefault="0030286B">
            <w:pPr>
              <w:pStyle w:val="TableParagraph"/>
              <w:spacing w:before="37"/>
              <w:rPr>
                <w:sz w:val="21"/>
              </w:rPr>
            </w:pPr>
            <w:r>
              <w:rPr>
                <w:color w:val="B02045"/>
                <w:sz w:val="21"/>
              </w:rPr>
              <w:t>8080.0</w:t>
            </w:r>
          </w:p>
        </w:tc>
        <w:tc>
          <w:tcPr>
            <w:tcW w:w="4988" w:type="dxa"/>
          </w:tcPr>
          <w:p w14:paraId="29358D8D" w14:textId="77777777" w:rsidR="00A720EB" w:rsidRDefault="0030286B">
            <w:pPr>
              <w:pStyle w:val="TableParagraph"/>
              <w:spacing w:before="92"/>
              <w:rPr>
                <w:rFonts w:ascii="Cambria"/>
                <w:sz w:val="21"/>
              </w:rPr>
            </w:pPr>
            <w:r>
              <w:rPr>
                <w:rFonts w:ascii="Cambria"/>
                <w:color w:val="333333"/>
                <w:w w:val="110"/>
                <w:sz w:val="21"/>
              </w:rPr>
              <w:t>Server HTTP port.</w:t>
            </w:r>
          </w:p>
        </w:tc>
      </w:tr>
      <w:tr w:rsidR="00A720EB" w14:paraId="52EA480F" w14:textId="77777777">
        <w:trPr>
          <w:trHeight w:val="741"/>
        </w:trPr>
        <w:tc>
          <w:tcPr>
            <w:tcW w:w="2494" w:type="dxa"/>
          </w:tcPr>
          <w:p w14:paraId="1915F841" w14:textId="77777777" w:rsidR="00A720EB" w:rsidRDefault="0030286B">
            <w:pPr>
              <w:pStyle w:val="TableParagraph"/>
              <w:rPr>
                <w:sz w:val="21"/>
              </w:rPr>
            </w:pPr>
            <w:proofErr w:type="gramStart"/>
            <w:r>
              <w:rPr>
                <w:color w:val="B02045"/>
                <w:sz w:val="21"/>
              </w:rPr>
              <w:t>server.server</w:t>
            </w:r>
            <w:proofErr w:type="gramEnd"/>
            <w:r>
              <w:rPr>
                <w:color w:val="B02045"/>
                <w:sz w:val="21"/>
              </w:rPr>
              <w:t>-header</w:t>
            </w:r>
          </w:p>
        </w:tc>
        <w:tc>
          <w:tcPr>
            <w:tcW w:w="2494" w:type="dxa"/>
          </w:tcPr>
          <w:p w14:paraId="7AE194B3" w14:textId="77777777" w:rsidR="00A720EB" w:rsidRDefault="00A720EB">
            <w:pPr>
              <w:pStyle w:val="TableParagraph"/>
              <w:spacing w:before="0"/>
              <w:ind w:left="0"/>
              <w:rPr>
                <w:rFonts w:ascii="Times New Roman"/>
                <w:sz w:val="20"/>
              </w:rPr>
            </w:pPr>
          </w:p>
        </w:tc>
        <w:tc>
          <w:tcPr>
            <w:tcW w:w="4988" w:type="dxa"/>
          </w:tcPr>
          <w:p w14:paraId="3B1294FC" w14:textId="77777777" w:rsidR="00A720EB" w:rsidRDefault="0030286B">
            <w:pPr>
              <w:pStyle w:val="TableParagraph"/>
              <w:spacing w:before="28" w:line="310" w:lineRule="atLeast"/>
              <w:rPr>
                <w:rFonts w:ascii="Cambria"/>
                <w:sz w:val="21"/>
              </w:rPr>
            </w:pPr>
            <w:r>
              <w:rPr>
                <w:rFonts w:ascii="Cambria"/>
                <w:color w:val="333333"/>
                <w:w w:val="110"/>
                <w:sz w:val="21"/>
              </w:rPr>
              <w:t>Value to use for the Server response header (if empty, no header is sent).</w:t>
            </w:r>
          </w:p>
        </w:tc>
      </w:tr>
      <w:tr w:rsidR="00A720EB" w14:paraId="04605658" w14:textId="77777777">
        <w:trPr>
          <w:trHeight w:val="627"/>
        </w:trPr>
        <w:tc>
          <w:tcPr>
            <w:tcW w:w="2494" w:type="dxa"/>
          </w:tcPr>
          <w:p w14:paraId="00DB505A" w14:textId="77777777" w:rsidR="00A720EB" w:rsidRDefault="0030286B">
            <w:pPr>
              <w:pStyle w:val="TableParagraph"/>
              <w:spacing w:before="46" w:line="230" w:lineRule="auto"/>
              <w:ind w:right="113"/>
              <w:rPr>
                <w:sz w:val="21"/>
              </w:rPr>
            </w:pPr>
            <w:proofErr w:type="gramStart"/>
            <w:r>
              <w:rPr>
                <w:color w:val="B02045"/>
                <w:sz w:val="21"/>
              </w:rPr>
              <w:t>server.servlet</w:t>
            </w:r>
            <w:proofErr w:type="gramEnd"/>
            <w:r>
              <w:rPr>
                <w:color w:val="B02045"/>
                <w:sz w:val="21"/>
              </w:rPr>
              <w:t>.applica tion-display-name</w:t>
            </w:r>
          </w:p>
        </w:tc>
        <w:tc>
          <w:tcPr>
            <w:tcW w:w="2494" w:type="dxa"/>
          </w:tcPr>
          <w:p w14:paraId="78A64B8F" w14:textId="77777777" w:rsidR="00A720EB" w:rsidRDefault="0030286B">
            <w:pPr>
              <w:pStyle w:val="TableParagraph"/>
              <w:rPr>
                <w:sz w:val="21"/>
              </w:rPr>
            </w:pPr>
            <w:r>
              <w:rPr>
                <w:color w:val="B02045"/>
                <w:sz w:val="21"/>
              </w:rPr>
              <w:t>application</w:t>
            </w:r>
          </w:p>
        </w:tc>
        <w:tc>
          <w:tcPr>
            <w:tcW w:w="4988" w:type="dxa"/>
          </w:tcPr>
          <w:p w14:paraId="1EAD9601" w14:textId="77777777" w:rsidR="00A720EB" w:rsidRDefault="0030286B">
            <w:pPr>
              <w:pStyle w:val="TableParagraph"/>
              <w:spacing w:before="92"/>
              <w:rPr>
                <w:rFonts w:ascii="Cambria"/>
                <w:sz w:val="21"/>
              </w:rPr>
            </w:pPr>
            <w:r>
              <w:rPr>
                <w:rFonts w:ascii="Cambria"/>
                <w:color w:val="333333"/>
                <w:w w:val="110"/>
                <w:sz w:val="21"/>
              </w:rPr>
              <w:t>Display name of the application.</w:t>
            </w:r>
          </w:p>
        </w:tc>
      </w:tr>
      <w:tr w:rsidR="00A720EB" w14:paraId="3C7A5ACF" w14:textId="77777777">
        <w:trPr>
          <w:trHeight w:val="627"/>
        </w:trPr>
        <w:tc>
          <w:tcPr>
            <w:tcW w:w="2494" w:type="dxa"/>
          </w:tcPr>
          <w:p w14:paraId="7EDD275C" w14:textId="77777777" w:rsidR="00A720EB" w:rsidRDefault="0030286B">
            <w:pPr>
              <w:pStyle w:val="TableParagraph"/>
              <w:spacing w:line="264" w:lineRule="exact"/>
              <w:rPr>
                <w:sz w:val="21"/>
              </w:rPr>
            </w:pPr>
            <w:proofErr w:type="gramStart"/>
            <w:r>
              <w:rPr>
                <w:color w:val="B02045"/>
                <w:sz w:val="21"/>
              </w:rPr>
              <w:t>server.servlet</w:t>
            </w:r>
            <w:proofErr w:type="gramEnd"/>
            <w:r>
              <w:rPr>
                <w:color w:val="B02045"/>
                <w:sz w:val="21"/>
              </w:rPr>
              <w:t>.context</w:t>
            </w:r>
          </w:p>
          <w:p w14:paraId="053BF9E0" w14:textId="77777777" w:rsidR="00A720EB" w:rsidRDefault="0030286B">
            <w:pPr>
              <w:pStyle w:val="TableParagraph"/>
              <w:spacing w:before="0" w:line="264" w:lineRule="exact"/>
              <w:rPr>
                <w:sz w:val="21"/>
              </w:rPr>
            </w:pPr>
            <w:r>
              <w:rPr>
                <w:color w:val="B02045"/>
                <w:sz w:val="21"/>
              </w:rPr>
              <w:t>-</w:t>
            </w:r>
            <w:proofErr w:type="gramStart"/>
            <w:r>
              <w:rPr>
                <w:color w:val="B02045"/>
                <w:sz w:val="21"/>
              </w:rPr>
              <w:t>parameters.*</w:t>
            </w:r>
            <w:proofErr w:type="gramEnd"/>
          </w:p>
        </w:tc>
        <w:tc>
          <w:tcPr>
            <w:tcW w:w="2494" w:type="dxa"/>
          </w:tcPr>
          <w:p w14:paraId="68EDA6D1" w14:textId="77777777" w:rsidR="00A720EB" w:rsidRDefault="00A720EB">
            <w:pPr>
              <w:pStyle w:val="TableParagraph"/>
              <w:spacing w:before="0"/>
              <w:ind w:left="0"/>
              <w:rPr>
                <w:rFonts w:ascii="Times New Roman"/>
                <w:sz w:val="20"/>
              </w:rPr>
            </w:pPr>
          </w:p>
        </w:tc>
        <w:tc>
          <w:tcPr>
            <w:tcW w:w="4988" w:type="dxa"/>
          </w:tcPr>
          <w:p w14:paraId="002592B8" w14:textId="77777777" w:rsidR="00A720EB" w:rsidRDefault="0030286B">
            <w:pPr>
              <w:pStyle w:val="TableParagraph"/>
              <w:spacing w:before="92"/>
              <w:rPr>
                <w:rFonts w:ascii="Cambria"/>
                <w:sz w:val="21"/>
              </w:rPr>
            </w:pPr>
            <w:r>
              <w:rPr>
                <w:rFonts w:ascii="Cambria"/>
                <w:color w:val="333333"/>
                <w:w w:val="110"/>
                <w:sz w:val="21"/>
              </w:rPr>
              <w:t>Servlet context init parameters.</w:t>
            </w:r>
          </w:p>
        </w:tc>
      </w:tr>
      <w:tr w:rsidR="00A720EB" w14:paraId="287946D4" w14:textId="77777777">
        <w:trPr>
          <w:trHeight w:val="627"/>
        </w:trPr>
        <w:tc>
          <w:tcPr>
            <w:tcW w:w="2494" w:type="dxa"/>
          </w:tcPr>
          <w:p w14:paraId="3CFA995B" w14:textId="77777777" w:rsidR="00A720EB" w:rsidRDefault="0030286B">
            <w:pPr>
              <w:pStyle w:val="TableParagraph"/>
              <w:spacing w:before="37" w:line="264" w:lineRule="exact"/>
              <w:rPr>
                <w:sz w:val="21"/>
              </w:rPr>
            </w:pPr>
            <w:proofErr w:type="gramStart"/>
            <w:r>
              <w:rPr>
                <w:color w:val="B02045"/>
                <w:sz w:val="21"/>
              </w:rPr>
              <w:t>server.servlet</w:t>
            </w:r>
            <w:proofErr w:type="gramEnd"/>
            <w:r>
              <w:rPr>
                <w:color w:val="B02045"/>
                <w:sz w:val="21"/>
              </w:rPr>
              <w:t>.context</w:t>
            </w:r>
          </w:p>
          <w:p w14:paraId="74DA1E55" w14:textId="77777777" w:rsidR="00A720EB" w:rsidRDefault="0030286B">
            <w:pPr>
              <w:pStyle w:val="TableParagraph"/>
              <w:spacing w:before="0" w:line="264" w:lineRule="exact"/>
              <w:rPr>
                <w:sz w:val="21"/>
              </w:rPr>
            </w:pPr>
            <w:r>
              <w:rPr>
                <w:color w:val="B02045"/>
                <w:sz w:val="21"/>
              </w:rPr>
              <w:t>-path</w:t>
            </w:r>
          </w:p>
        </w:tc>
        <w:tc>
          <w:tcPr>
            <w:tcW w:w="2494" w:type="dxa"/>
          </w:tcPr>
          <w:p w14:paraId="6ECAA0C2" w14:textId="77777777" w:rsidR="00A720EB" w:rsidRDefault="00A720EB">
            <w:pPr>
              <w:pStyle w:val="TableParagraph"/>
              <w:spacing w:before="0"/>
              <w:ind w:left="0"/>
              <w:rPr>
                <w:rFonts w:ascii="Times New Roman"/>
                <w:sz w:val="20"/>
              </w:rPr>
            </w:pPr>
          </w:p>
        </w:tc>
        <w:tc>
          <w:tcPr>
            <w:tcW w:w="4988" w:type="dxa"/>
          </w:tcPr>
          <w:p w14:paraId="6E86124F" w14:textId="77777777" w:rsidR="00A720EB" w:rsidRDefault="0030286B">
            <w:pPr>
              <w:pStyle w:val="TableParagraph"/>
              <w:spacing w:before="92"/>
              <w:rPr>
                <w:rFonts w:ascii="Cambria"/>
                <w:sz w:val="21"/>
              </w:rPr>
            </w:pPr>
            <w:r>
              <w:rPr>
                <w:rFonts w:ascii="Cambria"/>
                <w:color w:val="333333"/>
                <w:w w:val="110"/>
                <w:sz w:val="21"/>
              </w:rPr>
              <w:t>Context path of the application.</w:t>
            </w:r>
          </w:p>
        </w:tc>
      </w:tr>
      <w:tr w:rsidR="00A720EB" w14:paraId="3A70E815" w14:textId="77777777">
        <w:trPr>
          <w:trHeight w:val="627"/>
        </w:trPr>
        <w:tc>
          <w:tcPr>
            <w:tcW w:w="2494" w:type="dxa"/>
          </w:tcPr>
          <w:p w14:paraId="4F9EFCAB" w14:textId="77777777" w:rsidR="00A720EB" w:rsidRDefault="0030286B">
            <w:pPr>
              <w:pStyle w:val="TableParagraph"/>
              <w:spacing w:before="46" w:line="230" w:lineRule="auto"/>
              <w:ind w:right="94"/>
              <w:rPr>
                <w:sz w:val="21"/>
              </w:rPr>
            </w:pPr>
            <w:proofErr w:type="gramStart"/>
            <w:r>
              <w:rPr>
                <w:color w:val="B02045"/>
                <w:sz w:val="21"/>
              </w:rPr>
              <w:t>server.servlet</w:t>
            </w:r>
            <w:proofErr w:type="gramEnd"/>
            <w:r>
              <w:rPr>
                <w:color w:val="B02045"/>
                <w:sz w:val="21"/>
              </w:rPr>
              <w:t>.encodin g.charset</w:t>
            </w:r>
          </w:p>
        </w:tc>
        <w:tc>
          <w:tcPr>
            <w:tcW w:w="2494" w:type="dxa"/>
          </w:tcPr>
          <w:p w14:paraId="21501B2B" w14:textId="77777777" w:rsidR="00A720EB" w:rsidRDefault="00A720EB">
            <w:pPr>
              <w:pStyle w:val="TableParagraph"/>
              <w:spacing w:before="0"/>
              <w:ind w:left="0"/>
              <w:rPr>
                <w:rFonts w:ascii="Times New Roman"/>
                <w:sz w:val="20"/>
              </w:rPr>
            </w:pPr>
          </w:p>
        </w:tc>
        <w:tc>
          <w:tcPr>
            <w:tcW w:w="4988" w:type="dxa"/>
          </w:tcPr>
          <w:p w14:paraId="192EFB71" w14:textId="77777777" w:rsidR="00A720EB" w:rsidRDefault="00A720EB">
            <w:pPr>
              <w:pStyle w:val="TableParagraph"/>
              <w:spacing w:before="0"/>
              <w:ind w:left="0"/>
              <w:rPr>
                <w:rFonts w:ascii="Times New Roman"/>
                <w:sz w:val="20"/>
              </w:rPr>
            </w:pPr>
          </w:p>
        </w:tc>
      </w:tr>
      <w:tr w:rsidR="00A720EB" w14:paraId="2239E8FC" w14:textId="77777777">
        <w:trPr>
          <w:trHeight w:val="627"/>
        </w:trPr>
        <w:tc>
          <w:tcPr>
            <w:tcW w:w="2494" w:type="dxa"/>
          </w:tcPr>
          <w:p w14:paraId="188432CA" w14:textId="77777777" w:rsidR="00A720EB" w:rsidRDefault="0030286B">
            <w:pPr>
              <w:pStyle w:val="TableParagraph"/>
              <w:spacing w:before="46" w:line="230" w:lineRule="auto"/>
              <w:ind w:right="94"/>
              <w:rPr>
                <w:sz w:val="21"/>
              </w:rPr>
            </w:pPr>
            <w:proofErr w:type="gramStart"/>
            <w:r>
              <w:rPr>
                <w:color w:val="B02045"/>
                <w:sz w:val="21"/>
              </w:rPr>
              <w:t>server.servlet</w:t>
            </w:r>
            <w:proofErr w:type="gramEnd"/>
            <w:r>
              <w:rPr>
                <w:color w:val="B02045"/>
                <w:sz w:val="21"/>
              </w:rPr>
              <w:t>.encodin g.enabled</w:t>
            </w:r>
          </w:p>
        </w:tc>
        <w:tc>
          <w:tcPr>
            <w:tcW w:w="2494" w:type="dxa"/>
          </w:tcPr>
          <w:p w14:paraId="229D3BF6" w14:textId="77777777" w:rsidR="00A720EB" w:rsidRDefault="0030286B">
            <w:pPr>
              <w:pStyle w:val="TableParagraph"/>
              <w:rPr>
                <w:sz w:val="21"/>
              </w:rPr>
            </w:pPr>
            <w:r>
              <w:rPr>
                <w:color w:val="B02045"/>
                <w:sz w:val="21"/>
              </w:rPr>
              <w:t>true</w:t>
            </w:r>
          </w:p>
        </w:tc>
        <w:tc>
          <w:tcPr>
            <w:tcW w:w="4988" w:type="dxa"/>
          </w:tcPr>
          <w:p w14:paraId="05121846" w14:textId="77777777" w:rsidR="00A720EB" w:rsidRDefault="0030286B">
            <w:pPr>
              <w:pStyle w:val="TableParagraph"/>
              <w:spacing w:before="92"/>
              <w:rPr>
                <w:rFonts w:ascii="Cambria"/>
                <w:sz w:val="21"/>
              </w:rPr>
            </w:pPr>
            <w:r>
              <w:rPr>
                <w:rFonts w:ascii="Cambria"/>
                <w:color w:val="333333"/>
                <w:w w:val="110"/>
                <w:sz w:val="21"/>
              </w:rPr>
              <w:t>Whether to enable http encoding support.</w:t>
            </w:r>
          </w:p>
        </w:tc>
      </w:tr>
      <w:tr w:rsidR="00A720EB" w14:paraId="35F1A379" w14:textId="77777777">
        <w:trPr>
          <w:trHeight w:val="627"/>
        </w:trPr>
        <w:tc>
          <w:tcPr>
            <w:tcW w:w="2494" w:type="dxa"/>
          </w:tcPr>
          <w:p w14:paraId="22ABBDD3" w14:textId="77777777" w:rsidR="00A720EB" w:rsidRDefault="0030286B">
            <w:pPr>
              <w:pStyle w:val="TableParagraph"/>
              <w:spacing w:before="46" w:line="230" w:lineRule="auto"/>
              <w:ind w:right="94"/>
              <w:rPr>
                <w:sz w:val="21"/>
              </w:rPr>
            </w:pPr>
            <w:proofErr w:type="gramStart"/>
            <w:r>
              <w:rPr>
                <w:color w:val="B02045"/>
                <w:sz w:val="21"/>
              </w:rPr>
              <w:t>server.servlet</w:t>
            </w:r>
            <w:proofErr w:type="gramEnd"/>
            <w:r>
              <w:rPr>
                <w:color w:val="B02045"/>
                <w:sz w:val="21"/>
              </w:rPr>
              <w:t>.encodin g.force</w:t>
            </w:r>
          </w:p>
        </w:tc>
        <w:tc>
          <w:tcPr>
            <w:tcW w:w="2494" w:type="dxa"/>
          </w:tcPr>
          <w:p w14:paraId="319E1CEC" w14:textId="77777777" w:rsidR="00A720EB" w:rsidRDefault="00A720EB">
            <w:pPr>
              <w:pStyle w:val="TableParagraph"/>
              <w:spacing w:before="0"/>
              <w:ind w:left="0"/>
              <w:rPr>
                <w:rFonts w:ascii="Times New Roman"/>
                <w:sz w:val="20"/>
              </w:rPr>
            </w:pPr>
          </w:p>
        </w:tc>
        <w:tc>
          <w:tcPr>
            <w:tcW w:w="4988" w:type="dxa"/>
          </w:tcPr>
          <w:p w14:paraId="19C85856" w14:textId="77777777" w:rsidR="00A720EB" w:rsidRDefault="00A720EB">
            <w:pPr>
              <w:pStyle w:val="TableParagraph"/>
              <w:spacing w:before="0"/>
              <w:ind w:left="0"/>
              <w:rPr>
                <w:rFonts w:ascii="Times New Roman"/>
                <w:sz w:val="20"/>
              </w:rPr>
            </w:pPr>
          </w:p>
        </w:tc>
      </w:tr>
      <w:tr w:rsidR="00A720EB" w14:paraId="79FEE433" w14:textId="77777777">
        <w:trPr>
          <w:trHeight w:val="627"/>
        </w:trPr>
        <w:tc>
          <w:tcPr>
            <w:tcW w:w="2494" w:type="dxa"/>
          </w:tcPr>
          <w:p w14:paraId="121936B2" w14:textId="77777777" w:rsidR="00A720EB" w:rsidRDefault="0030286B">
            <w:pPr>
              <w:pStyle w:val="TableParagraph"/>
              <w:spacing w:before="46" w:line="230" w:lineRule="auto"/>
              <w:ind w:right="113"/>
              <w:rPr>
                <w:sz w:val="21"/>
              </w:rPr>
            </w:pPr>
            <w:proofErr w:type="gramStart"/>
            <w:r>
              <w:rPr>
                <w:color w:val="B02045"/>
                <w:sz w:val="21"/>
              </w:rPr>
              <w:t>server.servlet</w:t>
            </w:r>
            <w:proofErr w:type="gramEnd"/>
            <w:r>
              <w:rPr>
                <w:color w:val="B02045"/>
                <w:sz w:val="21"/>
              </w:rPr>
              <w:t>.encodin g.force-request</w:t>
            </w:r>
          </w:p>
        </w:tc>
        <w:tc>
          <w:tcPr>
            <w:tcW w:w="2494" w:type="dxa"/>
          </w:tcPr>
          <w:p w14:paraId="6C54070E" w14:textId="77777777" w:rsidR="00A720EB" w:rsidRDefault="00A720EB">
            <w:pPr>
              <w:pStyle w:val="TableParagraph"/>
              <w:spacing w:before="0"/>
              <w:ind w:left="0"/>
              <w:rPr>
                <w:rFonts w:ascii="Times New Roman"/>
                <w:sz w:val="20"/>
              </w:rPr>
            </w:pPr>
          </w:p>
        </w:tc>
        <w:tc>
          <w:tcPr>
            <w:tcW w:w="4988" w:type="dxa"/>
          </w:tcPr>
          <w:p w14:paraId="6E9F8D5C" w14:textId="77777777" w:rsidR="00A720EB" w:rsidRDefault="00A720EB">
            <w:pPr>
              <w:pStyle w:val="TableParagraph"/>
              <w:spacing w:before="0"/>
              <w:ind w:left="0"/>
              <w:rPr>
                <w:rFonts w:ascii="Times New Roman"/>
                <w:sz w:val="20"/>
              </w:rPr>
            </w:pPr>
          </w:p>
        </w:tc>
      </w:tr>
      <w:tr w:rsidR="00A720EB" w14:paraId="6610FD9A" w14:textId="77777777">
        <w:trPr>
          <w:trHeight w:val="627"/>
        </w:trPr>
        <w:tc>
          <w:tcPr>
            <w:tcW w:w="2494" w:type="dxa"/>
          </w:tcPr>
          <w:p w14:paraId="42857A61" w14:textId="77777777" w:rsidR="00A720EB" w:rsidRDefault="0030286B">
            <w:pPr>
              <w:pStyle w:val="TableParagraph"/>
              <w:spacing w:before="46" w:line="230" w:lineRule="auto"/>
              <w:ind w:right="113"/>
              <w:rPr>
                <w:sz w:val="21"/>
              </w:rPr>
            </w:pPr>
            <w:proofErr w:type="gramStart"/>
            <w:r>
              <w:rPr>
                <w:color w:val="B02045"/>
                <w:sz w:val="21"/>
              </w:rPr>
              <w:t>server.servlet</w:t>
            </w:r>
            <w:proofErr w:type="gramEnd"/>
            <w:r>
              <w:rPr>
                <w:color w:val="B02045"/>
                <w:sz w:val="21"/>
              </w:rPr>
              <w:t>.encodin g.force-response</w:t>
            </w:r>
          </w:p>
        </w:tc>
        <w:tc>
          <w:tcPr>
            <w:tcW w:w="2494" w:type="dxa"/>
          </w:tcPr>
          <w:p w14:paraId="15B4ACD7" w14:textId="77777777" w:rsidR="00A720EB" w:rsidRDefault="00A720EB">
            <w:pPr>
              <w:pStyle w:val="TableParagraph"/>
              <w:spacing w:before="0"/>
              <w:ind w:left="0"/>
              <w:rPr>
                <w:rFonts w:ascii="Times New Roman"/>
                <w:sz w:val="20"/>
              </w:rPr>
            </w:pPr>
          </w:p>
        </w:tc>
        <w:tc>
          <w:tcPr>
            <w:tcW w:w="4988" w:type="dxa"/>
          </w:tcPr>
          <w:p w14:paraId="4F57602A" w14:textId="77777777" w:rsidR="00A720EB" w:rsidRDefault="00A720EB">
            <w:pPr>
              <w:pStyle w:val="TableParagraph"/>
              <w:spacing w:before="0"/>
              <w:ind w:left="0"/>
              <w:rPr>
                <w:rFonts w:ascii="Times New Roman"/>
                <w:sz w:val="20"/>
              </w:rPr>
            </w:pPr>
          </w:p>
        </w:tc>
      </w:tr>
      <w:tr w:rsidR="00A720EB" w14:paraId="3E126635" w14:textId="77777777">
        <w:trPr>
          <w:trHeight w:val="627"/>
        </w:trPr>
        <w:tc>
          <w:tcPr>
            <w:tcW w:w="2494" w:type="dxa"/>
          </w:tcPr>
          <w:p w14:paraId="34DDEEB0" w14:textId="77777777" w:rsidR="00A720EB" w:rsidRDefault="0030286B">
            <w:pPr>
              <w:pStyle w:val="TableParagraph"/>
              <w:spacing w:before="46" w:line="230" w:lineRule="auto"/>
              <w:ind w:right="94"/>
              <w:rPr>
                <w:sz w:val="21"/>
              </w:rPr>
            </w:pPr>
            <w:proofErr w:type="gramStart"/>
            <w:r>
              <w:rPr>
                <w:color w:val="B02045"/>
                <w:sz w:val="21"/>
              </w:rPr>
              <w:t>server.servlet</w:t>
            </w:r>
            <w:proofErr w:type="gramEnd"/>
            <w:r>
              <w:rPr>
                <w:color w:val="B02045"/>
                <w:sz w:val="21"/>
              </w:rPr>
              <w:t>.encodin g.mapping.*</w:t>
            </w:r>
          </w:p>
        </w:tc>
        <w:tc>
          <w:tcPr>
            <w:tcW w:w="2494" w:type="dxa"/>
          </w:tcPr>
          <w:p w14:paraId="411AA570" w14:textId="77777777" w:rsidR="00A720EB" w:rsidRDefault="00A720EB">
            <w:pPr>
              <w:pStyle w:val="TableParagraph"/>
              <w:spacing w:before="0"/>
              <w:ind w:left="0"/>
              <w:rPr>
                <w:rFonts w:ascii="Times New Roman"/>
                <w:sz w:val="20"/>
              </w:rPr>
            </w:pPr>
          </w:p>
        </w:tc>
        <w:tc>
          <w:tcPr>
            <w:tcW w:w="4988" w:type="dxa"/>
          </w:tcPr>
          <w:p w14:paraId="364988D0" w14:textId="77777777" w:rsidR="00A720EB" w:rsidRDefault="00A720EB">
            <w:pPr>
              <w:pStyle w:val="TableParagraph"/>
              <w:spacing w:before="0"/>
              <w:ind w:left="0"/>
              <w:rPr>
                <w:rFonts w:ascii="Times New Roman"/>
                <w:sz w:val="20"/>
              </w:rPr>
            </w:pPr>
          </w:p>
        </w:tc>
      </w:tr>
      <w:tr w:rsidR="00A720EB" w14:paraId="43734D5D" w14:textId="77777777">
        <w:trPr>
          <w:trHeight w:val="1056"/>
        </w:trPr>
        <w:tc>
          <w:tcPr>
            <w:tcW w:w="2494" w:type="dxa"/>
          </w:tcPr>
          <w:p w14:paraId="62E7E681" w14:textId="77777777" w:rsidR="00A720EB" w:rsidRDefault="0030286B">
            <w:pPr>
              <w:pStyle w:val="TableParagraph"/>
              <w:spacing w:before="46" w:line="230" w:lineRule="auto"/>
              <w:ind w:right="113"/>
              <w:rPr>
                <w:sz w:val="21"/>
              </w:rPr>
            </w:pPr>
            <w:r>
              <w:rPr>
                <w:color w:val="B02045"/>
                <w:sz w:val="21"/>
              </w:rPr>
              <w:t>server.servlet.jsp.cla ss-name</w:t>
            </w:r>
          </w:p>
        </w:tc>
        <w:tc>
          <w:tcPr>
            <w:tcW w:w="2494" w:type="dxa"/>
          </w:tcPr>
          <w:p w14:paraId="7582C83D" w14:textId="77777777" w:rsidR="00A720EB" w:rsidRDefault="0030286B">
            <w:pPr>
              <w:pStyle w:val="TableParagraph"/>
              <w:spacing w:before="46" w:line="230" w:lineRule="auto"/>
              <w:ind w:right="94"/>
              <w:rPr>
                <w:sz w:val="21"/>
              </w:rPr>
            </w:pPr>
            <w:proofErr w:type="gramStart"/>
            <w:r>
              <w:rPr>
                <w:color w:val="B02045"/>
                <w:sz w:val="21"/>
              </w:rPr>
              <w:t>org.apache</w:t>
            </w:r>
            <w:proofErr w:type="gramEnd"/>
            <w:r>
              <w:rPr>
                <w:color w:val="B02045"/>
                <w:sz w:val="21"/>
              </w:rPr>
              <w:t>.jasper.serv let.JspServlet</w:t>
            </w:r>
          </w:p>
        </w:tc>
        <w:tc>
          <w:tcPr>
            <w:tcW w:w="4988" w:type="dxa"/>
          </w:tcPr>
          <w:p w14:paraId="3548C326" w14:textId="77777777" w:rsidR="00A720EB" w:rsidRDefault="0030286B">
            <w:pPr>
              <w:pStyle w:val="TableParagraph"/>
              <w:spacing w:before="28" w:line="310" w:lineRule="atLeast"/>
              <w:ind w:right="717"/>
              <w:jc w:val="both"/>
              <w:rPr>
                <w:rFonts w:ascii="Cambria"/>
                <w:sz w:val="21"/>
              </w:rPr>
            </w:pPr>
            <w:r>
              <w:rPr>
                <w:rFonts w:ascii="Cambria"/>
                <w:color w:val="333333"/>
                <w:w w:val="110"/>
                <w:sz w:val="21"/>
              </w:rPr>
              <w:t>Class name of the servlet to use for JSPs. If registered is true and this class * is on the classpath then it will be registered.</w:t>
            </w:r>
          </w:p>
        </w:tc>
      </w:tr>
      <w:tr w:rsidR="00A720EB" w14:paraId="62E94D9C" w14:textId="77777777">
        <w:trPr>
          <w:trHeight w:val="627"/>
        </w:trPr>
        <w:tc>
          <w:tcPr>
            <w:tcW w:w="2494" w:type="dxa"/>
          </w:tcPr>
          <w:p w14:paraId="396BCA58" w14:textId="77777777" w:rsidR="00A720EB" w:rsidRDefault="0030286B">
            <w:pPr>
              <w:pStyle w:val="TableParagraph"/>
              <w:spacing w:before="46" w:line="230" w:lineRule="auto"/>
              <w:ind w:right="113"/>
              <w:rPr>
                <w:sz w:val="21"/>
              </w:rPr>
            </w:pPr>
            <w:r>
              <w:rPr>
                <w:color w:val="B02045"/>
                <w:sz w:val="21"/>
              </w:rPr>
              <w:t>server.servlet.jsp.ini t-</w:t>
            </w:r>
            <w:proofErr w:type="gramStart"/>
            <w:r>
              <w:rPr>
                <w:color w:val="B02045"/>
                <w:sz w:val="21"/>
              </w:rPr>
              <w:t>parameters.*</w:t>
            </w:r>
            <w:proofErr w:type="gramEnd"/>
          </w:p>
        </w:tc>
        <w:tc>
          <w:tcPr>
            <w:tcW w:w="2494" w:type="dxa"/>
          </w:tcPr>
          <w:p w14:paraId="773E5879" w14:textId="77777777" w:rsidR="00A720EB" w:rsidRDefault="00A720EB">
            <w:pPr>
              <w:pStyle w:val="TableParagraph"/>
              <w:spacing w:before="0"/>
              <w:ind w:left="0"/>
              <w:rPr>
                <w:rFonts w:ascii="Times New Roman"/>
                <w:sz w:val="20"/>
              </w:rPr>
            </w:pPr>
          </w:p>
        </w:tc>
        <w:tc>
          <w:tcPr>
            <w:tcW w:w="4988" w:type="dxa"/>
          </w:tcPr>
          <w:p w14:paraId="2DD5173D" w14:textId="77777777" w:rsidR="00A720EB" w:rsidRDefault="0030286B">
            <w:pPr>
              <w:pStyle w:val="TableParagraph"/>
              <w:spacing w:before="92"/>
              <w:rPr>
                <w:rFonts w:ascii="Cambria"/>
                <w:sz w:val="21"/>
              </w:rPr>
            </w:pPr>
            <w:r>
              <w:rPr>
                <w:rFonts w:ascii="Cambria"/>
                <w:color w:val="333333"/>
                <w:w w:val="110"/>
                <w:sz w:val="21"/>
              </w:rPr>
              <w:t>Init parameters used to configure the JSP servlet.</w:t>
            </w:r>
          </w:p>
        </w:tc>
      </w:tr>
      <w:tr w:rsidR="00A720EB" w14:paraId="7425179C" w14:textId="77777777">
        <w:trPr>
          <w:trHeight w:val="627"/>
        </w:trPr>
        <w:tc>
          <w:tcPr>
            <w:tcW w:w="2494" w:type="dxa"/>
          </w:tcPr>
          <w:p w14:paraId="2B533A55" w14:textId="77777777" w:rsidR="00A720EB" w:rsidRDefault="0030286B">
            <w:pPr>
              <w:pStyle w:val="TableParagraph"/>
              <w:spacing w:before="46" w:line="230" w:lineRule="auto"/>
              <w:ind w:right="94"/>
              <w:rPr>
                <w:sz w:val="21"/>
              </w:rPr>
            </w:pPr>
            <w:r>
              <w:rPr>
                <w:color w:val="B02045"/>
                <w:sz w:val="21"/>
              </w:rPr>
              <w:t>server.servlet.jsp.reg istered</w:t>
            </w:r>
          </w:p>
        </w:tc>
        <w:tc>
          <w:tcPr>
            <w:tcW w:w="2494" w:type="dxa"/>
          </w:tcPr>
          <w:p w14:paraId="32F18E7F" w14:textId="77777777" w:rsidR="00A720EB" w:rsidRDefault="0030286B">
            <w:pPr>
              <w:pStyle w:val="TableParagraph"/>
              <w:spacing w:before="37"/>
              <w:rPr>
                <w:sz w:val="21"/>
              </w:rPr>
            </w:pPr>
            <w:r>
              <w:rPr>
                <w:color w:val="B02045"/>
                <w:sz w:val="21"/>
              </w:rPr>
              <w:t>true</w:t>
            </w:r>
          </w:p>
        </w:tc>
        <w:tc>
          <w:tcPr>
            <w:tcW w:w="4988" w:type="dxa"/>
          </w:tcPr>
          <w:p w14:paraId="77F459C7" w14:textId="77777777" w:rsidR="00A720EB" w:rsidRDefault="0030286B">
            <w:pPr>
              <w:pStyle w:val="TableParagraph"/>
              <w:spacing w:before="92"/>
              <w:rPr>
                <w:rFonts w:ascii="Cambria"/>
                <w:sz w:val="21"/>
              </w:rPr>
            </w:pPr>
            <w:r>
              <w:rPr>
                <w:rFonts w:ascii="Cambria"/>
                <w:color w:val="333333"/>
                <w:w w:val="110"/>
                <w:sz w:val="21"/>
              </w:rPr>
              <w:t>Whether the JSP servlet is registered.</w:t>
            </w:r>
          </w:p>
        </w:tc>
      </w:tr>
      <w:tr w:rsidR="00A720EB" w14:paraId="714E063F" w14:textId="77777777">
        <w:trPr>
          <w:trHeight w:val="741"/>
        </w:trPr>
        <w:tc>
          <w:tcPr>
            <w:tcW w:w="2494" w:type="dxa"/>
          </w:tcPr>
          <w:p w14:paraId="4E07A04D" w14:textId="77777777" w:rsidR="00A720EB" w:rsidRDefault="0030286B">
            <w:pPr>
              <w:pStyle w:val="TableParagraph"/>
              <w:spacing w:before="46" w:line="230" w:lineRule="auto"/>
              <w:ind w:right="113"/>
              <w:rPr>
                <w:sz w:val="21"/>
              </w:rPr>
            </w:pPr>
            <w:proofErr w:type="gramStart"/>
            <w:r>
              <w:rPr>
                <w:color w:val="B02045"/>
                <w:sz w:val="21"/>
              </w:rPr>
              <w:t>server.servlet</w:t>
            </w:r>
            <w:proofErr w:type="gramEnd"/>
            <w:r>
              <w:rPr>
                <w:color w:val="B02045"/>
                <w:sz w:val="21"/>
              </w:rPr>
              <w:t>.registe r-default-servlet</w:t>
            </w:r>
          </w:p>
        </w:tc>
        <w:tc>
          <w:tcPr>
            <w:tcW w:w="2494" w:type="dxa"/>
          </w:tcPr>
          <w:p w14:paraId="159D81B7" w14:textId="77777777" w:rsidR="00A720EB" w:rsidRDefault="0030286B">
            <w:pPr>
              <w:pStyle w:val="TableParagraph"/>
              <w:spacing w:before="37"/>
              <w:rPr>
                <w:sz w:val="21"/>
              </w:rPr>
            </w:pPr>
            <w:r>
              <w:rPr>
                <w:color w:val="B02045"/>
                <w:sz w:val="21"/>
              </w:rPr>
              <w:t>true</w:t>
            </w:r>
          </w:p>
        </w:tc>
        <w:tc>
          <w:tcPr>
            <w:tcW w:w="4988" w:type="dxa"/>
          </w:tcPr>
          <w:p w14:paraId="568617DB" w14:textId="77777777" w:rsidR="00A720EB" w:rsidRDefault="0030286B">
            <w:pPr>
              <w:pStyle w:val="TableParagraph"/>
              <w:spacing w:before="28" w:line="310" w:lineRule="atLeast"/>
              <w:rPr>
                <w:rFonts w:ascii="Cambria"/>
                <w:sz w:val="21"/>
              </w:rPr>
            </w:pPr>
            <w:r>
              <w:rPr>
                <w:rFonts w:ascii="Cambria"/>
                <w:color w:val="333333"/>
                <w:w w:val="110"/>
                <w:sz w:val="21"/>
              </w:rPr>
              <w:t>Whether to register the default Servlet with the container.</w:t>
            </w:r>
          </w:p>
        </w:tc>
      </w:tr>
      <w:tr w:rsidR="00A720EB" w14:paraId="3DD2439F" w14:textId="77777777">
        <w:trPr>
          <w:trHeight w:val="627"/>
        </w:trPr>
        <w:tc>
          <w:tcPr>
            <w:tcW w:w="2494" w:type="dxa"/>
          </w:tcPr>
          <w:p w14:paraId="595288FC" w14:textId="77777777" w:rsidR="00A720EB" w:rsidRDefault="0030286B">
            <w:pPr>
              <w:pStyle w:val="TableParagraph"/>
              <w:spacing w:line="264" w:lineRule="exact"/>
              <w:rPr>
                <w:sz w:val="21"/>
              </w:rPr>
            </w:pPr>
            <w:proofErr w:type="gramStart"/>
            <w:r>
              <w:rPr>
                <w:color w:val="B02045"/>
                <w:sz w:val="21"/>
              </w:rPr>
              <w:t>server.servlet</w:t>
            </w:r>
            <w:proofErr w:type="gramEnd"/>
            <w:r>
              <w:rPr>
                <w:color w:val="B02045"/>
                <w:sz w:val="21"/>
              </w:rPr>
              <w:t>.session</w:t>
            </w:r>
          </w:p>
          <w:p w14:paraId="4E5E0D2E" w14:textId="77777777" w:rsidR="00A720EB" w:rsidRDefault="0030286B">
            <w:pPr>
              <w:pStyle w:val="TableParagraph"/>
              <w:spacing w:before="0" w:line="264" w:lineRule="exact"/>
              <w:rPr>
                <w:sz w:val="21"/>
              </w:rPr>
            </w:pPr>
            <w:proofErr w:type="gramStart"/>
            <w:r>
              <w:rPr>
                <w:color w:val="B02045"/>
                <w:sz w:val="21"/>
              </w:rPr>
              <w:t>.cookie</w:t>
            </w:r>
            <w:proofErr w:type="gramEnd"/>
            <w:r>
              <w:rPr>
                <w:color w:val="B02045"/>
                <w:sz w:val="21"/>
              </w:rPr>
              <w:t>.comment</w:t>
            </w:r>
          </w:p>
        </w:tc>
        <w:tc>
          <w:tcPr>
            <w:tcW w:w="2494" w:type="dxa"/>
          </w:tcPr>
          <w:p w14:paraId="092C6B31" w14:textId="77777777" w:rsidR="00A720EB" w:rsidRDefault="00A720EB">
            <w:pPr>
              <w:pStyle w:val="TableParagraph"/>
              <w:spacing w:before="0"/>
              <w:ind w:left="0"/>
              <w:rPr>
                <w:rFonts w:ascii="Times New Roman"/>
                <w:sz w:val="20"/>
              </w:rPr>
            </w:pPr>
          </w:p>
        </w:tc>
        <w:tc>
          <w:tcPr>
            <w:tcW w:w="4988" w:type="dxa"/>
          </w:tcPr>
          <w:p w14:paraId="0818E33D" w14:textId="77777777" w:rsidR="00A720EB" w:rsidRDefault="0030286B">
            <w:pPr>
              <w:pStyle w:val="TableParagraph"/>
              <w:spacing w:before="92"/>
              <w:rPr>
                <w:rFonts w:ascii="Cambria"/>
                <w:sz w:val="21"/>
              </w:rPr>
            </w:pPr>
            <w:r>
              <w:rPr>
                <w:rFonts w:ascii="Cambria"/>
                <w:color w:val="333333"/>
                <w:w w:val="110"/>
                <w:sz w:val="21"/>
              </w:rPr>
              <w:t>Comment for the session cookie.</w:t>
            </w:r>
          </w:p>
        </w:tc>
      </w:tr>
      <w:tr w:rsidR="00A720EB" w14:paraId="4DE00AA9" w14:textId="77777777">
        <w:trPr>
          <w:trHeight w:val="627"/>
        </w:trPr>
        <w:tc>
          <w:tcPr>
            <w:tcW w:w="2494" w:type="dxa"/>
          </w:tcPr>
          <w:p w14:paraId="467907E6" w14:textId="77777777" w:rsidR="00A720EB" w:rsidRDefault="0030286B">
            <w:pPr>
              <w:pStyle w:val="TableParagraph"/>
              <w:spacing w:before="37" w:line="264" w:lineRule="exact"/>
              <w:rPr>
                <w:sz w:val="21"/>
              </w:rPr>
            </w:pPr>
            <w:proofErr w:type="gramStart"/>
            <w:r>
              <w:rPr>
                <w:color w:val="B02045"/>
                <w:sz w:val="21"/>
              </w:rPr>
              <w:t>server.servlet</w:t>
            </w:r>
            <w:proofErr w:type="gramEnd"/>
            <w:r>
              <w:rPr>
                <w:color w:val="B02045"/>
                <w:sz w:val="21"/>
              </w:rPr>
              <w:t>.session</w:t>
            </w:r>
          </w:p>
          <w:p w14:paraId="2C30D3EE" w14:textId="77777777" w:rsidR="00A720EB" w:rsidRDefault="0030286B">
            <w:pPr>
              <w:pStyle w:val="TableParagraph"/>
              <w:spacing w:before="0" w:line="264" w:lineRule="exact"/>
              <w:rPr>
                <w:sz w:val="21"/>
              </w:rPr>
            </w:pPr>
            <w:proofErr w:type="gramStart"/>
            <w:r>
              <w:rPr>
                <w:color w:val="B02045"/>
                <w:sz w:val="21"/>
              </w:rPr>
              <w:t>.cookie</w:t>
            </w:r>
            <w:proofErr w:type="gramEnd"/>
            <w:r>
              <w:rPr>
                <w:color w:val="B02045"/>
                <w:sz w:val="21"/>
              </w:rPr>
              <w:t>.domain</w:t>
            </w:r>
          </w:p>
        </w:tc>
        <w:tc>
          <w:tcPr>
            <w:tcW w:w="2494" w:type="dxa"/>
          </w:tcPr>
          <w:p w14:paraId="683F0EFA" w14:textId="77777777" w:rsidR="00A720EB" w:rsidRDefault="00A720EB">
            <w:pPr>
              <w:pStyle w:val="TableParagraph"/>
              <w:spacing w:before="0"/>
              <w:ind w:left="0"/>
              <w:rPr>
                <w:rFonts w:ascii="Times New Roman"/>
                <w:sz w:val="20"/>
              </w:rPr>
            </w:pPr>
          </w:p>
        </w:tc>
        <w:tc>
          <w:tcPr>
            <w:tcW w:w="4988" w:type="dxa"/>
          </w:tcPr>
          <w:p w14:paraId="562E6B87" w14:textId="77777777" w:rsidR="00A720EB" w:rsidRDefault="0030286B">
            <w:pPr>
              <w:pStyle w:val="TableParagraph"/>
              <w:spacing w:before="92"/>
              <w:rPr>
                <w:rFonts w:ascii="Cambria"/>
                <w:sz w:val="21"/>
              </w:rPr>
            </w:pPr>
            <w:r>
              <w:rPr>
                <w:rFonts w:ascii="Cambria"/>
                <w:color w:val="333333"/>
                <w:w w:val="110"/>
                <w:sz w:val="21"/>
              </w:rPr>
              <w:t>Domain for the session cookie.</w:t>
            </w:r>
          </w:p>
        </w:tc>
      </w:tr>
      <w:tr w:rsidR="00A720EB" w14:paraId="0BD628CB" w14:textId="77777777">
        <w:trPr>
          <w:trHeight w:val="741"/>
        </w:trPr>
        <w:tc>
          <w:tcPr>
            <w:tcW w:w="2494" w:type="dxa"/>
          </w:tcPr>
          <w:p w14:paraId="2705CF76" w14:textId="77777777" w:rsidR="00A720EB" w:rsidRDefault="0030286B">
            <w:pPr>
              <w:pStyle w:val="TableParagraph"/>
              <w:spacing w:before="37" w:line="264" w:lineRule="exact"/>
              <w:rPr>
                <w:sz w:val="21"/>
              </w:rPr>
            </w:pPr>
            <w:proofErr w:type="gramStart"/>
            <w:r>
              <w:rPr>
                <w:color w:val="B02045"/>
                <w:sz w:val="21"/>
              </w:rPr>
              <w:lastRenderedPageBreak/>
              <w:t>server.servlet</w:t>
            </w:r>
            <w:proofErr w:type="gramEnd"/>
            <w:r>
              <w:rPr>
                <w:color w:val="B02045"/>
                <w:sz w:val="21"/>
              </w:rPr>
              <w:t>.session</w:t>
            </w:r>
          </w:p>
          <w:p w14:paraId="24F4A215" w14:textId="77777777" w:rsidR="00A720EB" w:rsidRDefault="0030286B">
            <w:pPr>
              <w:pStyle w:val="TableParagraph"/>
              <w:spacing w:before="0" w:line="264" w:lineRule="exact"/>
              <w:rPr>
                <w:sz w:val="21"/>
              </w:rPr>
            </w:pPr>
            <w:proofErr w:type="gramStart"/>
            <w:r>
              <w:rPr>
                <w:color w:val="B02045"/>
                <w:sz w:val="21"/>
              </w:rPr>
              <w:t>.cookie</w:t>
            </w:r>
            <w:proofErr w:type="gramEnd"/>
            <w:r>
              <w:rPr>
                <w:color w:val="B02045"/>
                <w:sz w:val="21"/>
              </w:rPr>
              <w:t>.http-only</w:t>
            </w:r>
          </w:p>
        </w:tc>
        <w:tc>
          <w:tcPr>
            <w:tcW w:w="2494" w:type="dxa"/>
          </w:tcPr>
          <w:p w14:paraId="57FACCA7" w14:textId="77777777" w:rsidR="00A720EB" w:rsidRDefault="00A720EB">
            <w:pPr>
              <w:pStyle w:val="TableParagraph"/>
              <w:spacing w:before="0"/>
              <w:ind w:left="0"/>
              <w:rPr>
                <w:rFonts w:ascii="Times New Roman"/>
                <w:sz w:val="20"/>
              </w:rPr>
            </w:pPr>
          </w:p>
        </w:tc>
        <w:tc>
          <w:tcPr>
            <w:tcW w:w="4988" w:type="dxa"/>
          </w:tcPr>
          <w:p w14:paraId="4B8A1861" w14:textId="77777777" w:rsidR="00A720EB" w:rsidRDefault="0030286B">
            <w:pPr>
              <w:pStyle w:val="TableParagraph"/>
              <w:spacing w:before="28" w:line="310" w:lineRule="atLeast"/>
              <w:rPr>
                <w:rFonts w:ascii="Cambria"/>
                <w:sz w:val="21"/>
              </w:rPr>
            </w:pPr>
            <w:r>
              <w:rPr>
                <w:rFonts w:ascii="Cambria"/>
                <w:color w:val="333333"/>
                <w:w w:val="110"/>
                <w:sz w:val="21"/>
              </w:rPr>
              <w:t>Whether to use "HttpOnly" cookies for session cookies.</w:t>
            </w:r>
          </w:p>
        </w:tc>
      </w:tr>
    </w:tbl>
    <w:p w14:paraId="31E7A846"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B278A8C" w14:textId="77777777">
        <w:trPr>
          <w:trHeight w:val="415"/>
        </w:trPr>
        <w:tc>
          <w:tcPr>
            <w:tcW w:w="2494" w:type="dxa"/>
            <w:tcBorders>
              <w:bottom w:val="single" w:sz="12" w:space="0" w:color="DDDDDD"/>
            </w:tcBorders>
          </w:tcPr>
          <w:p w14:paraId="1F2F459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738CB818"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87F6A8D"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02A5F58" w14:textId="77777777">
        <w:trPr>
          <w:trHeight w:val="1046"/>
        </w:trPr>
        <w:tc>
          <w:tcPr>
            <w:tcW w:w="2494" w:type="dxa"/>
            <w:tcBorders>
              <w:top w:val="single" w:sz="12" w:space="0" w:color="DDDDDD"/>
            </w:tcBorders>
          </w:tcPr>
          <w:p w14:paraId="46FB0948" w14:textId="77777777" w:rsidR="00A720EB" w:rsidRDefault="0030286B">
            <w:pPr>
              <w:pStyle w:val="TableParagraph"/>
              <w:spacing w:before="27" w:line="264" w:lineRule="exact"/>
              <w:rPr>
                <w:sz w:val="21"/>
              </w:rPr>
            </w:pPr>
            <w:proofErr w:type="gramStart"/>
            <w:r>
              <w:rPr>
                <w:color w:val="B02045"/>
                <w:sz w:val="21"/>
              </w:rPr>
              <w:t>server.servlet</w:t>
            </w:r>
            <w:proofErr w:type="gramEnd"/>
            <w:r>
              <w:rPr>
                <w:color w:val="B02045"/>
                <w:sz w:val="21"/>
              </w:rPr>
              <w:t>.session</w:t>
            </w:r>
          </w:p>
          <w:p w14:paraId="279FE2A1" w14:textId="77777777" w:rsidR="00A720EB" w:rsidRDefault="0030286B">
            <w:pPr>
              <w:pStyle w:val="TableParagraph"/>
              <w:spacing w:before="0" w:line="264" w:lineRule="exact"/>
              <w:rPr>
                <w:sz w:val="21"/>
              </w:rPr>
            </w:pPr>
            <w:proofErr w:type="gramStart"/>
            <w:r>
              <w:rPr>
                <w:color w:val="B02045"/>
                <w:sz w:val="21"/>
              </w:rPr>
              <w:t>.cookie.max</w:t>
            </w:r>
            <w:proofErr w:type="gramEnd"/>
            <w:r>
              <w:rPr>
                <w:color w:val="B02045"/>
                <w:sz w:val="21"/>
              </w:rPr>
              <w:t>-age</w:t>
            </w:r>
          </w:p>
        </w:tc>
        <w:tc>
          <w:tcPr>
            <w:tcW w:w="2494" w:type="dxa"/>
            <w:tcBorders>
              <w:top w:val="single" w:sz="12" w:space="0" w:color="DDDDDD"/>
            </w:tcBorders>
          </w:tcPr>
          <w:p w14:paraId="3BC5FB4D"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35469762" w14:textId="77777777" w:rsidR="00A720EB" w:rsidRDefault="0030286B">
            <w:pPr>
              <w:pStyle w:val="TableParagraph"/>
              <w:spacing w:before="18" w:line="310" w:lineRule="atLeast"/>
              <w:ind w:right="218"/>
              <w:rPr>
                <w:rFonts w:ascii="Cambria"/>
                <w:sz w:val="21"/>
              </w:rPr>
            </w:pPr>
            <w:r>
              <w:rPr>
                <w:rFonts w:ascii="Cambria"/>
                <w:color w:val="333333"/>
                <w:w w:val="110"/>
                <w:sz w:val="21"/>
              </w:rPr>
              <w:t>Maximum age of the session cookie. If a duration suffix is not specified, seconds will be used.</w:t>
            </w:r>
          </w:p>
        </w:tc>
      </w:tr>
      <w:tr w:rsidR="00A720EB" w14:paraId="179AC863" w14:textId="77777777">
        <w:trPr>
          <w:trHeight w:val="627"/>
        </w:trPr>
        <w:tc>
          <w:tcPr>
            <w:tcW w:w="2494" w:type="dxa"/>
          </w:tcPr>
          <w:p w14:paraId="24989D85" w14:textId="77777777" w:rsidR="00A720EB" w:rsidRDefault="0030286B">
            <w:pPr>
              <w:pStyle w:val="TableParagraph"/>
              <w:spacing w:line="264" w:lineRule="exact"/>
              <w:rPr>
                <w:sz w:val="21"/>
              </w:rPr>
            </w:pPr>
            <w:proofErr w:type="gramStart"/>
            <w:r>
              <w:rPr>
                <w:color w:val="B02045"/>
                <w:sz w:val="21"/>
              </w:rPr>
              <w:t>server.servlet</w:t>
            </w:r>
            <w:proofErr w:type="gramEnd"/>
            <w:r>
              <w:rPr>
                <w:color w:val="B02045"/>
                <w:sz w:val="21"/>
              </w:rPr>
              <w:t>.session</w:t>
            </w:r>
          </w:p>
          <w:p w14:paraId="0DDFB62F" w14:textId="77777777" w:rsidR="00A720EB" w:rsidRDefault="0030286B">
            <w:pPr>
              <w:pStyle w:val="TableParagraph"/>
              <w:spacing w:before="0" w:line="264" w:lineRule="exact"/>
              <w:rPr>
                <w:sz w:val="21"/>
              </w:rPr>
            </w:pPr>
            <w:proofErr w:type="gramStart"/>
            <w:r>
              <w:rPr>
                <w:color w:val="B02045"/>
                <w:sz w:val="21"/>
              </w:rPr>
              <w:t>.cookie.name</w:t>
            </w:r>
            <w:proofErr w:type="gramEnd"/>
          </w:p>
        </w:tc>
        <w:tc>
          <w:tcPr>
            <w:tcW w:w="2494" w:type="dxa"/>
          </w:tcPr>
          <w:p w14:paraId="5A5CEBC2" w14:textId="77777777" w:rsidR="00A720EB" w:rsidRDefault="00A720EB">
            <w:pPr>
              <w:pStyle w:val="TableParagraph"/>
              <w:spacing w:before="0"/>
              <w:ind w:left="0"/>
              <w:rPr>
                <w:rFonts w:ascii="Times New Roman"/>
                <w:sz w:val="20"/>
              </w:rPr>
            </w:pPr>
          </w:p>
        </w:tc>
        <w:tc>
          <w:tcPr>
            <w:tcW w:w="4988" w:type="dxa"/>
          </w:tcPr>
          <w:p w14:paraId="39CD64A4" w14:textId="77777777" w:rsidR="00A720EB" w:rsidRDefault="0030286B">
            <w:pPr>
              <w:pStyle w:val="TableParagraph"/>
              <w:spacing w:before="92"/>
              <w:rPr>
                <w:rFonts w:ascii="Cambria"/>
                <w:sz w:val="21"/>
              </w:rPr>
            </w:pPr>
            <w:r>
              <w:rPr>
                <w:rFonts w:ascii="Cambria"/>
                <w:color w:val="333333"/>
                <w:w w:val="110"/>
                <w:sz w:val="21"/>
              </w:rPr>
              <w:t>Session cookie name.</w:t>
            </w:r>
          </w:p>
        </w:tc>
      </w:tr>
      <w:tr w:rsidR="00A720EB" w14:paraId="4C8BE75D" w14:textId="77777777">
        <w:trPr>
          <w:trHeight w:val="627"/>
        </w:trPr>
        <w:tc>
          <w:tcPr>
            <w:tcW w:w="2494" w:type="dxa"/>
          </w:tcPr>
          <w:p w14:paraId="28064B84" w14:textId="77777777" w:rsidR="00A720EB" w:rsidRDefault="0030286B">
            <w:pPr>
              <w:pStyle w:val="TableParagraph"/>
              <w:spacing w:line="264" w:lineRule="exact"/>
              <w:rPr>
                <w:sz w:val="21"/>
              </w:rPr>
            </w:pPr>
            <w:proofErr w:type="gramStart"/>
            <w:r>
              <w:rPr>
                <w:color w:val="B02045"/>
                <w:sz w:val="21"/>
              </w:rPr>
              <w:t>server.servlet</w:t>
            </w:r>
            <w:proofErr w:type="gramEnd"/>
            <w:r>
              <w:rPr>
                <w:color w:val="B02045"/>
                <w:sz w:val="21"/>
              </w:rPr>
              <w:t>.session</w:t>
            </w:r>
          </w:p>
          <w:p w14:paraId="148BE0B8" w14:textId="77777777" w:rsidR="00A720EB" w:rsidRDefault="0030286B">
            <w:pPr>
              <w:pStyle w:val="TableParagraph"/>
              <w:spacing w:before="0" w:line="264" w:lineRule="exact"/>
              <w:rPr>
                <w:sz w:val="21"/>
              </w:rPr>
            </w:pPr>
            <w:proofErr w:type="gramStart"/>
            <w:r>
              <w:rPr>
                <w:color w:val="B02045"/>
                <w:sz w:val="21"/>
              </w:rPr>
              <w:t>.cookie</w:t>
            </w:r>
            <w:proofErr w:type="gramEnd"/>
            <w:r>
              <w:rPr>
                <w:color w:val="B02045"/>
                <w:sz w:val="21"/>
              </w:rPr>
              <w:t>.path</w:t>
            </w:r>
          </w:p>
        </w:tc>
        <w:tc>
          <w:tcPr>
            <w:tcW w:w="2494" w:type="dxa"/>
          </w:tcPr>
          <w:p w14:paraId="5538BD8C" w14:textId="77777777" w:rsidR="00A720EB" w:rsidRDefault="00A720EB">
            <w:pPr>
              <w:pStyle w:val="TableParagraph"/>
              <w:spacing w:before="0"/>
              <w:ind w:left="0"/>
              <w:rPr>
                <w:rFonts w:ascii="Times New Roman"/>
                <w:sz w:val="20"/>
              </w:rPr>
            </w:pPr>
          </w:p>
        </w:tc>
        <w:tc>
          <w:tcPr>
            <w:tcW w:w="4988" w:type="dxa"/>
          </w:tcPr>
          <w:p w14:paraId="7CCC815E" w14:textId="77777777" w:rsidR="00A720EB" w:rsidRDefault="0030286B">
            <w:pPr>
              <w:pStyle w:val="TableParagraph"/>
              <w:spacing w:before="92"/>
              <w:rPr>
                <w:rFonts w:ascii="Cambria"/>
                <w:sz w:val="21"/>
              </w:rPr>
            </w:pPr>
            <w:r>
              <w:rPr>
                <w:rFonts w:ascii="Cambria"/>
                <w:color w:val="333333"/>
                <w:w w:val="110"/>
                <w:sz w:val="21"/>
              </w:rPr>
              <w:t>Path of the session cookie.</w:t>
            </w:r>
          </w:p>
        </w:tc>
      </w:tr>
      <w:tr w:rsidR="00A720EB" w14:paraId="09855DAB" w14:textId="77777777">
        <w:trPr>
          <w:trHeight w:val="741"/>
        </w:trPr>
        <w:tc>
          <w:tcPr>
            <w:tcW w:w="2494" w:type="dxa"/>
          </w:tcPr>
          <w:p w14:paraId="2E37AA23" w14:textId="77777777" w:rsidR="00A720EB" w:rsidRDefault="0030286B">
            <w:pPr>
              <w:pStyle w:val="TableParagraph"/>
              <w:spacing w:before="37" w:line="264" w:lineRule="exact"/>
              <w:rPr>
                <w:sz w:val="21"/>
              </w:rPr>
            </w:pPr>
            <w:proofErr w:type="gramStart"/>
            <w:r>
              <w:rPr>
                <w:color w:val="B02045"/>
                <w:sz w:val="21"/>
              </w:rPr>
              <w:t>server.servlet</w:t>
            </w:r>
            <w:proofErr w:type="gramEnd"/>
            <w:r>
              <w:rPr>
                <w:color w:val="B02045"/>
                <w:sz w:val="21"/>
              </w:rPr>
              <w:t>.session</w:t>
            </w:r>
          </w:p>
          <w:p w14:paraId="2886C1E7" w14:textId="77777777" w:rsidR="00A720EB" w:rsidRDefault="0030286B">
            <w:pPr>
              <w:pStyle w:val="TableParagraph"/>
              <w:spacing w:before="0" w:line="264" w:lineRule="exact"/>
              <w:rPr>
                <w:sz w:val="21"/>
              </w:rPr>
            </w:pPr>
            <w:proofErr w:type="gramStart"/>
            <w:r>
              <w:rPr>
                <w:color w:val="B02045"/>
                <w:sz w:val="21"/>
              </w:rPr>
              <w:t>.cookie</w:t>
            </w:r>
            <w:proofErr w:type="gramEnd"/>
            <w:r>
              <w:rPr>
                <w:color w:val="B02045"/>
                <w:sz w:val="21"/>
              </w:rPr>
              <w:t>.secure</w:t>
            </w:r>
          </w:p>
        </w:tc>
        <w:tc>
          <w:tcPr>
            <w:tcW w:w="2494" w:type="dxa"/>
          </w:tcPr>
          <w:p w14:paraId="54C995CE" w14:textId="77777777" w:rsidR="00A720EB" w:rsidRDefault="00A720EB">
            <w:pPr>
              <w:pStyle w:val="TableParagraph"/>
              <w:spacing w:before="0"/>
              <w:ind w:left="0"/>
              <w:rPr>
                <w:rFonts w:ascii="Times New Roman"/>
                <w:sz w:val="20"/>
              </w:rPr>
            </w:pPr>
          </w:p>
        </w:tc>
        <w:tc>
          <w:tcPr>
            <w:tcW w:w="4988" w:type="dxa"/>
          </w:tcPr>
          <w:p w14:paraId="5484E656" w14:textId="77777777" w:rsidR="00A720EB" w:rsidRDefault="0030286B">
            <w:pPr>
              <w:pStyle w:val="TableParagraph"/>
              <w:spacing w:before="28" w:line="310" w:lineRule="atLeast"/>
              <w:rPr>
                <w:rFonts w:ascii="Cambria"/>
                <w:sz w:val="21"/>
              </w:rPr>
            </w:pPr>
            <w:r>
              <w:rPr>
                <w:rFonts w:ascii="Cambria"/>
                <w:color w:val="333333"/>
                <w:w w:val="110"/>
                <w:sz w:val="21"/>
              </w:rPr>
              <w:t>Whether to always mark the session cookie as secure.</w:t>
            </w:r>
          </w:p>
        </w:tc>
      </w:tr>
      <w:tr w:rsidR="00A720EB" w14:paraId="113CB43F" w14:textId="77777777">
        <w:trPr>
          <w:trHeight w:val="741"/>
        </w:trPr>
        <w:tc>
          <w:tcPr>
            <w:tcW w:w="2494" w:type="dxa"/>
          </w:tcPr>
          <w:p w14:paraId="5C67163A" w14:textId="77777777" w:rsidR="00A720EB" w:rsidRDefault="0030286B">
            <w:pPr>
              <w:pStyle w:val="TableParagraph"/>
              <w:spacing w:before="37" w:line="264" w:lineRule="exact"/>
              <w:rPr>
                <w:sz w:val="21"/>
              </w:rPr>
            </w:pPr>
            <w:proofErr w:type="gramStart"/>
            <w:r>
              <w:rPr>
                <w:color w:val="B02045"/>
                <w:sz w:val="21"/>
              </w:rPr>
              <w:t>server.servlet</w:t>
            </w:r>
            <w:proofErr w:type="gramEnd"/>
            <w:r>
              <w:rPr>
                <w:color w:val="B02045"/>
                <w:sz w:val="21"/>
              </w:rPr>
              <w:t>.session</w:t>
            </w:r>
          </w:p>
          <w:p w14:paraId="79CC963E" w14:textId="77777777" w:rsidR="00A720EB" w:rsidRDefault="0030286B">
            <w:pPr>
              <w:pStyle w:val="TableParagraph"/>
              <w:spacing w:before="0" w:line="264" w:lineRule="exact"/>
              <w:rPr>
                <w:sz w:val="21"/>
              </w:rPr>
            </w:pPr>
            <w:proofErr w:type="gramStart"/>
            <w:r>
              <w:rPr>
                <w:color w:val="B02045"/>
                <w:sz w:val="21"/>
              </w:rPr>
              <w:t>.persistent</w:t>
            </w:r>
            <w:proofErr w:type="gramEnd"/>
          </w:p>
        </w:tc>
        <w:tc>
          <w:tcPr>
            <w:tcW w:w="2494" w:type="dxa"/>
          </w:tcPr>
          <w:p w14:paraId="38ACCD4C" w14:textId="77777777" w:rsidR="00A720EB" w:rsidRDefault="0030286B">
            <w:pPr>
              <w:pStyle w:val="TableParagraph"/>
              <w:spacing w:before="37"/>
              <w:rPr>
                <w:sz w:val="21"/>
              </w:rPr>
            </w:pPr>
            <w:r>
              <w:rPr>
                <w:color w:val="B02045"/>
                <w:sz w:val="21"/>
              </w:rPr>
              <w:t>false</w:t>
            </w:r>
          </w:p>
        </w:tc>
        <w:tc>
          <w:tcPr>
            <w:tcW w:w="4988" w:type="dxa"/>
          </w:tcPr>
          <w:p w14:paraId="584CB15A"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persist session data between restarts.</w:t>
            </w:r>
          </w:p>
        </w:tc>
      </w:tr>
      <w:tr w:rsidR="00A720EB" w14:paraId="5BCA3EF9" w14:textId="77777777">
        <w:trPr>
          <w:trHeight w:val="627"/>
        </w:trPr>
        <w:tc>
          <w:tcPr>
            <w:tcW w:w="2494" w:type="dxa"/>
          </w:tcPr>
          <w:p w14:paraId="60DB939A" w14:textId="77777777" w:rsidR="00A720EB" w:rsidRDefault="0030286B">
            <w:pPr>
              <w:pStyle w:val="TableParagraph"/>
              <w:spacing w:before="37" w:line="264" w:lineRule="exact"/>
              <w:rPr>
                <w:sz w:val="21"/>
              </w:rPr>
            </w:pPr>
            <w:proofErr w:type="gramStart"/>
            <w:r>
              <w:rPr>
                <w:color w:val="B02045"/>
                <w:sz w:val="21"/>
              </w:rPr>
              <w:t>server.servlet</w:t>
            </w:r>
            <w:proofErr w:type="gramEnd"/>
            <w:r>
              <w:rPr>
                <w:color w:val="B02045"/>
                <w:sz w:val="21"/>
              </w:rPr>
              <w:t>.session</w:t>
            </w:r>
          </w:p>
          <w:p w14:paraId="62BA560E" w14:textId="77777777" w:rsidR="00A720EB" w:rsidRDefault="0030286B">
            <w:pPr>
              <w:pStyle w:val="TableParagraph"/>
              <w:spacing w:before="0" w:line="264" w:lineRule="exact"/>
              <w:rPr>
                <w:sz w:val="21"/>
              </w:rPr>
            </w:pPr>
            <w:proofErr w:type="gramStart"/>
            <w:r>
              <w:rPr>
                <w:color w:val="B02045"/>
                <w:sz w:val="21"/>
              </w:rPr>
              <w:t>.store</w:t>
            </w:r>
            <w:proofErr w:type="gramEnd"/>
            <w:r>
              <w:rPr>
                <w:color w:val="B02045"/>
                <w:sz w:val="21"/>
              </w:rPr>
              <w:t>-dir</w:t>
            </w:r>
          </w:p>
        </w:tc>
        <w:tc>
          <w:tcPr>
            <w:tcW w:w="2494" w:type="dxa"/>
          </w:tcPr>
          <w:p w14:paraId="2184527F" w14:textId="77777777" w:rsidR="00A720EB" w:rsidRDefault="00A720EB">
            <w:pPr>
              <w:pStyle w:val="TableParagraph"/>
              <w:spacing w:before="0"/>
              <w:ind w:left="0"/>
              <w:rPr>
                <w:rFonts w:ascii="Times New Roman"/>
                <w:sz w:val="20"/>
              </w:rPr>
            </w:pPr>
          </w:p>
        </w:tc>
        <w:tc>
          <w:tcPr>
            <w:tcW w:w="4988" w:type="dxa"/>
          </w:tcPr>
          <w:p w14:paraId="6C5D8BD4" w14:textId="77777777" w:rsidR="00A720EB" w:rsidRDefault="0030286B">
            <w:pPr>
              <w:pStyle w:val="TableParagraph"/>
              <w:spacing w:before="92"/>
              <w:rPr>
                <w:rFonts w:ascii="Cambria"/>
                <w:sz w:val="21"/>
              </w:rPr>
            </w:pPr>
            <w:r>
              <w:rPr>
                <w:rFonts w:ascii="Cambria"/>
                <w:color w:val="333333"/>
                <w:w w:val="110"/>
                <w:sz w:val="21"/>
              </w:rPr>
              <w:t>Directory used to store session data.</w:t>
            </w:r>
          </w:p>
        </w:tc>
      </w:tr>
      <w:tr w:rsidR="00A720EB" w14:paraId="3270C8C5" w14:textId="77777777">
        <w:trPr>
          <w:trHeight w:val="741"/>
        </w:trPr>
        <w:tc>
          <w:tcPr>
            <w:tcW w:w="2494" w:type="dxa"/>
          </w:tcPr>
          <w:p w14:paraId="78DEB324" w14:textId="77777777" w:rsidR="00A720EB" w:rsidRDefault="0030286B">
            <w:pPr>
              <w:pStyle w:val="TableParagraph"/>
              <w:spacing w:before="37" w:line="264" w:lineRule="exact"/>
              <w:rPr>
                <w:sz w:val="21"/>
              </w:rPr>
            </w:pPr>
            <w:proofErr w:type="gramStart"/>
            <w:r>
              <w:rPr>
                <w:color w:val="B02045"/>
                <w:sz w:val="21"/>
              </w:rPr>
              <w:t>server.servlet</w:t>
            </w:r>
            <w:proofErr w:type="gramEnd"/>
            <w:r>
              <w:rPr>
                <w:color w:val="B02045"/>
                <w:sz w:val="21"/>
              </w:rPr>
              <w:t>.session</w:t>
            </w:r>
          </w:p>
          <w:p w14:paraId="128B605F" w14:textId="77777777" w:rsidR="00A720EB" w:rsidRDefault="0030286B">
            <w:pPr>
              <w:pStyle w:val="TableParagraph"/>
              <w:spacing w:before="0" w:line="264" w:lineRule="exact"/>
              <w:rPr>
                <w:sz w:val="21"/>
              </w:rPr>
            </w:pPr>
            <w:proofErr w:type="gramStart"/>
            <w:r>
              <w:rPr>
                <w:color w:val="B02045"/>
                <w:sz w:val="21"/>
              </w:rPr>
              <w:t>.timeout</w:t>
            </w:r>
            <w:proofErr w:type="gramEnd"/>
          </w:p>
        </w:tc>
        <w:tc>
          <w:tcPr>
            <w:tcW w:w="2494" w:type="dxa"/>
          </w:tcPr>
          <w:p w14:paraId="07FCCC65" w14:textId="77777777" w:rsidR="00A720EB" w:rsidRDefault="0030286B">
            <w:pPr>
              <w:pStyle w:val="TableParagraph"/>
              <w:spacing w:before="37"/>
              <w:rPr>
                <w:sz w:val="21"/>
              </w:rPr>
            </w:pPr>
            <w:r>
              <w:rPr>
                <w:color w:val="B02045"/>
                <w:sz w:val="21"/>
              </w:rPr>
              <w:t>30m</w:t>
            </w:r>
          </w:p>
        </w:tc>
        <w:tc>
          <w:tcPr>
            <w:tcW w:w="4988" w:type="dxa"/>
          </w:tcPr>
          <w:p w14:paraId="0839F4CB" w14:textId="77777777" w:rsidR="00A720EB" w:rsidRDefault="0030286B">
            <w:pPr>
              <w:pStyle w:val="TableParagraph"/>
              <w:spacing w:before="28" w:line="310" w:lineRule="atLeast"/>
              <w:ind w:right="640"/>
              <w:rPr>
                <w:rFonts w:ascii="Cambria"/>
                <w:sz w:val="21"/>
              </w:rPr>
            </w:pPr>
            <w:r>
              <w:rPr>
                <w:rFonts w:ascii="Cambria"/>
                <w:color w:val="333333"/>
                <w:w w:val="110"/>
                <w:sz w:val="21"/>
              </w:rPr>
              <w:t>Session timeout. If a duration suffix is not specified, seconds will be used.</w:t>
            </w:r>
          </w:p>
        </w:tc>
      </w:tr>
      <w:tr w:rsidR="00A720EB" w14:paraId="766BE3EC" w14:textId="77777777">
        <w:trPr>
          <w:trHeight w:val="627"/>
        </w:trPr>
        <w:tc>
          <w:tcPr>
            <w:tcW w:w="2494" w:type="dxa"/>
          </w:tcPr>
          <w:p w14:paraId="2BD2E9CF" w14:textId="77777777" w:rsidR="00A720EB" w:rsidRDefault="0030286B">
            <w:pPr>
              <w:pStyle w:val="TableParagraph"/>
              <w:spacing w:before="37" w:line="264" w:lineRule="exact"/>
              <w:rPr>
                <w:sz w:val="21"/>
              </w:rPr>
            </w:pPr>
            <w:proofErr w:type="gramStart"/>
            <w:r>
              <w:rPr>
                <w:color w:val="B02045"/>
                <w:sz w:val="21"/>
              </w:rPr>
              <w:t>server.servlet</w:t>
            </w:r>
            <w:proofErr w:type="gramEnd"/>
            <w:r>
              <w:rPr>
                <w:color w:val="B02045"/>
                <w:sz w:val="21"/>
              </w:rPr>
              <w:t>.session</w:t>
            </w:r>
          </w:p>
          <w:p w14:paraId="55608589" w14:textId="77777777" w:rsidR="00A720EB" w:rsidRDefault="0030286B">
            <w:pPr>
              <w:pStyle w:val="TableParagraph"/>
              <w:spacing w:before="0" w:line="264" w:lineRule="exact"/>
              <w:rPr>
                <w:sz w:val="21"/>
              </w:rPr>
            </w:pPr>
            <w:proofErr w:type="gramStart"/>
            <w:r>
              <w:rPr>
                <w:color w:val="B02045"/>
                <w:sz w:val="21"/>
              </w:rPr>
              <w:t>.tracking</w:t>
            </w:r>
            <w:proofErr w:type="gramEnd"/>
            <w:r>
              <w:rPr>
                <w:color w:val="B02045"/>
                <w:sz w:val="21"/>
              </w:rPr>
              <w:t>-modes</w:t>
            </w:r>
          </w:p>
        </w:tc>
        <w:tc>
          <w:tcPr>
            <w:tcW w:w="2494" w:type="dxa"/>
          </w:tcPr>
          <w:p w14:paraId="72EFC2B7" w14:textId="77777777" w:rsidR="00A720EB" w:rsidRDefault="00A720EB">
            <w:pPr>
              <w:pStyle w:val="TableParagraph"/>
              <w:spacing w:before="0"/>
              <w:ind w:left="0"/>
              <w:rPr>
                <w:rFonts w:ascii="Times New Roman"/>
                <w:sz w:val="20"/>
              </w:rPr>
            </w:pPr>
          </w:p>
        </w:tc>
        <w:tc>
          <w:tcPr>
            <w:tcW w:w="4988" w:type="dxa"/>
          </w:tcPr>
          <w:p w14:paraId="730DE089" w14:textId="77777777" w:rsidR="00A720EB" w:rsidRDefault="0030286B">
            <w:pPr>
              <w:pStyle w:val="TableParagraph"/>
              <w:spacing w:before="92"/>
              <w:rPr>
                <w:rFonts w:ascii="Cambria"/>
                <w:sz w:val="21"/>
              </w:rPr>
            </w:pPr>
            <w:r>
              <w:rPr>
                <w:rFonts w:ascii="Cambria"/>
                <w:color w:val="333333"/>
                <w:w w:val="110"/>
                <w:sz w:val="21"/>
              </w:rPr>
              <w:t>Session tracking modes.</w:t>
            </w:r>
          </w:p>
        </w:tc>
      </w:tr>
      <w:tr w:rsidR="00A720EB" w14:paraId="18072C27" w14:textId="77777777">
        <w:trPr>
          <w:trHeight w:val="425"/>
        </w:trPr>
        <w:tc>
          <w:tcPr>
            <w:tcW w:w="2494" w:type="dxa"/>
          </w:tcPr>
          <w:p w14:paraId="2413D430" w14:textId="77777777" w:rsidR="00A720EB" w:rsidRDefault="0030286B">
            <w:pPr>
              <w:pStyle w:val="TableParagraph"/>
              <w:spacing w:before="37"/>
              <w:rPr>
                <w:sz w:val="21"/>
              </w:rPr>
            </w:pPr>
            <w:proofErr w:type="gramStart"/>
            <w:r>
              <w:rPr>
                <w:color w:val="B02045"/>
                <w:sz w:val="21"/>
              </w:rPr>
              <w:t>server.shutdown</w:t>
            </w:r>
            <w:proofErr w:type="gramEnd"/>
          </w:p>
        </w:tc>
        <w:tc>
          <w:tcPr>
            <w:tcW w:w="2494" w:type="dxa"/>
          </w:tcPr>
          <w:p w14:paraId="27C00E3B" w14:textId="77777777" w:rsidR="00A720EB" w:rsidRDefault="00A720EB">
            <w:pPr>
              <w:pStyle w:val="TableParagraph"/>
              <w:spacing w:before="0"/>
              <w:ind w:left="0"/>
              <w:rPr>
                <w:rFonts w:ascii="Times New Roman"/>
                <w:sz w:val="20"/>
              </w:rPr>
            </w:pPr>
          </w:p>
        </w:tc>
        <w:tc>
          <w:tcPr>
            <w:tcW w:w="4988" w:type="dxa"/>
          </w:tcPr>
          <w:p w14:paraId="0DEEAA47" w14:textId="77777777" w:rsidR="00A720EB" w:rsidRDefault="0030286B">
            <w:pPr>
              <w:pStyle w:val="TableParagraph"/>
              <w:spacing w:before="92"/>
              <w:rPr>
                <w:rFonts w:ascii="Cambria"/>
                <w:sz w:val="21"/>
              </w:rPr>
            </w:pPr>
            <w:r>
              <w:rPr>
                <w:rFonts w:ascii="Cambria"/>
                <w:color w:val="333333"/>
                <w:w w:val="110"/>
                <w:sz w:val="21"/>
              </w:rPr>
              <w:t>Type of shutdown that the server will support.</w:t>
            </w:r>
          </w:p>
        </w:tc>
      </w:tr>
      <w:tr w:rsidR="00A720EB" w14:paraId="62BEB404" w14:textId="77777777">
        <w:trPr>
          <w:trHeight w:val="425"/>
        </w:trPr>
        <w:tc>
          <w:tcPr>
            <w:tcW w:w="2494" w:type="dxa"/>
          </w:tcPr>
          <w:p w14:paraId="66359D25" w14:textId="77777777" w:rsidR="00A720EB" w:rsidRDefault="0030286B">
            <w:pPr>
              <w:pStyle w:val="TableParagraph"/>
              <w:spacing w:before="37"/>
              <w:rPr>
                <w:sz w:val="21"/>
              </w:rPr>
            </w:pPr>
            <w:proofErr w:type="gramStart"/>
            <w:r>
              <w:rPr>
                <w:color w:val="B02045"/>
                <w:sz w:val="21"/>
              </w:rPr>
              <w:t>server.ssl.ciphers</w:t>
            </w:r>
            <w:proofErr w:type="gramEnd"/>
          </w:p>
        </w:tc>
        <w:tc>
          <w:tcPr>
            <w:tcW w:w="2494" w:type="dxa"/>
          </w:tcPr>
          <w:p w14:paraId="31DA917F" w14:textId="77777777" w:rsidR="00A720EB" w:rsidRDefault="00A720EB">
            <w:pPr>
              <w:pStyle w:val="TableParagraph"/>
              <w:spacing w:before="0"/>
              <w:ind w:left="0"/>
              <w:rPr>
                <w:rFonts w:ascii="Times New Roman"/>
                <w:sz w:val="20"/>
              </w:rPr>
            </w:pPr>
          </w:p>
        </w:tc>
        <w:tc>
          <w:tcPr>
            <w:tcW w:w="4988" w:type="dxa"/>
          </w:tcPr>
          <w:p w14:paraId="290C950C" w14:textId="77777777" w:rsidR="00A720EB" w:rsidRDefault="0030286B">
            <w:pPr>
              <w:pStyle w:val="TableParagraph"/>
              <w:spacing w:before="92"/>
              <w:rPr>
                <w:rFonts w:ascii="Cambria"/>
                <w:sz w:val="21"/>
              </w:rPr>
            </w:pPr>
            <w:r>
              <w:rPr>
                <w:rFonts w:ascii="Cambria"/>
                <w:color w:val="333333"/>
                <w:w w:val="110"/>
                <w:sz w:val="21"/>
              </w:rPr>
              <w:t>Supported SSL ciphers.</w:t>
            </w:r>
          </w:p>
        </w:tc>
      </w:tr>
      <w:tr w:rsidR="00A720EB" w14:paraId="274315E0" w14:textId="77777777">
        <w:trPr>
          <w:trHeight w:val="741"/>
        </w:trPr>
        <w:tc>
          <w:tcPr>
            <w:tcW w:w="2494" w:type="dxa"/>
          </w:tcPr>
          <w:p w14:paraId="490CE24E" w14:textId="77777777" w:rsidR="00A720EB" w:rsidRDefault="0030286B">
            <w:pPr>
              <w:pStyle w:val="TableParagraph"/>
              <w:spacing w:before="37"/>
              <w:rPr>
                <w:sz w:val="21"/>
              </w:rPr>
            </w:pPr>
            <w:proofErr w:type="gramStart"/>
            <w:r>
              <w:rPr>
                <w:color w:val="B02045"/>
                <w:sz w:val="21"/>
              </w:rPr>
              <w:t>server.ssl.client</w:t>
            </w:r>
            <w:proofErr w:type="gramEnd"/>
            <w:r>
              <w:rPr>
                <w:color w:val="B02045"/>
                <w:sz w:val="21"/>
              </w:rPr>
              <w:t>-auth</w:t>
            </w:r>
          </w:p>
        </w:tc>
        <w:tc>
          <w:tcPr>
            <w:tcW w:w="2494" w:type="dxa"/>
          </w:tcPr>
          <w:p w14:paraId="0E52B6E9" w14:textId="77777777" w:rsidR="00A720EB" w:rsidRDefault="00A720EB">
            <w:pPr>
              <w:pStyle w:val="TableParagraph"/>
              <w:spacing w:before="0"/>
              <w:ind w:left="0"/>
              <w:rPr>
                <w:rFonts w:ascii="Times New Roman"/>
                <w:sz w:val="20"/>
              </w:rPr>
            </w:pPr>
          </w:p>
        </w:tc>
        <w:tc>
          <w:tcPr>
            <w:tcW w:w="4988" w:type="dxa"/>
          </w:tcPr>
          <w:p w14:paraId="163FC3B1" w14:textId="77777777" w:rsidR="00A720EB" w:rsidRDefault="0030286B">
            <w:pPr>
              <w:pStyle w:val="TableParagraph"/>
              <w:spacing w:before="28" w:line="310" w:lineRule="atLeast"/>
              <w:ind w:right="372"/>
              <w:rPr>
                <w:rFonts w:ascii="Cambria"/>
                <w:sz w:val="21"/>
              </w:rPr>
            </w:pPr>
            <w:r>
              <w:rPr>
                <w:rFonts w:ascii="Cambria"/>
                <w:color w:val="333333"/>
                <w:w w:val="110"/>
                <w:sz w:val="21"/>
              </w:rPr>
              <w:t>Client authentication mode. Requires a trust store.</w:t>
            </w:r>
          </w:p>
        </w:tc>
      </w:tr>
      <w:tr w:rsidR="00A720EB" w14:paraId="10EE4742" w14:textId="77777777">
        <w:trPr>
          <w:trHeight w:val="425"/>
        </w:trPr>
        <w:tc>
          <w:tcPr>
            <w:tcW w:w="2494" w:type="dxa"/>
          </w:tcPr>
          <w:p w14:paraId="53AAEB2B" w14:textId="77777777" w:rsidR="00A720EB" w:rsidRDefault="0030286B">
            <w:pPr>
              <w:pStyle w:val="TableParagraph"/>
              <w:spacing w:before="37"/>
              <w:rPr>
                <w:sz w:val="21"/>
              </w:rPr>
            </w:pPr>
            <w:proofErr w:type="gramStart"/>
            <w:r>
              <w:rPr>
                <w:color w:val="B02045"/>
                <w:sz w:val="21"/>
              </w:rPr>
              <w:t>server.ssl.enabled</w:t>
            </w:r>
            <w:proofErr w:type="gramEnd"/>
          </w:p>
        </w:tc>
        <w:tc>
          <w:tcPr>
            <w:tcW w:w="2494" w:type="dxa"/>
          </w:tcPr>
          <w:p w14:paraId="5F0CC4AF" w14:textId="77777777" w:rsidR="00A720EB" w:rsidRDefault="0030286B">
            <w:pPr>
              <w:pStyle w:val="TableParagraph"/>
              <w:spacing w:before="37"/>
              <w:rPr>
                <w:sz w:val="21"/>
              </w:rPr>
            </w:pPr>
            <w:r>
              <w:rPr>
                <w:color w:val="B02045"/>
                <w:sz w:val="21"/>
              </w:rPr>
              <w:t>true</w:t>
            </w:r>
          </w:p>
        </w:tc>
        <w:tc>
          <w:tcPr>
            <w:tcW w:w="4988" w:type="dxa"/>
          </w:tcPr>
          <w:p w14:paraId="07E25547" w14:textId="77777777" w:rsidR="00A720EB" w:rsidRDefault="0030286B">
            <w:pPr>
              <w:pStyle w:val="TableParagraph"/>
              <w:spacing w:before="92"/>
              <w:rPr>
                <w:rFonts w:ascii="Cambria"/>
                <w:sz w:val="21"/>
              </w:rPr>
            </w:pPr>
            <w:r>
              <w:rPr>
                <w:rFonts w:ascii="Cambria"/>
                <w:color w:val="333333"/>
                <w:w w:val="110"/>
                <w:sz w:val="21"/>
              </w:rPr>
              <w:t>Whether to enable SSL support.</w:t>
            </w:r>
          </w:p>
        </w:tc>
      </w:tr>
      <w:tr w:rsidR="00A720EB" w14:paraId="1C3C43D5" w14:textId="77777777">
        <w:trPr>
          <w:trHeight w:val="627"/>
        </w:trPr>
        <w:tc>
          <w:tcPr>
            <w:tcW w:w="2494" w:type="dxa"/>
          </w:tcPr>
          <w:p w14:paraId="203066E0" w14:textId="77777777" w:rsidR="00A720EB" w:rsidRDefault="0030286B">
            <w:pPr>
              <w:pStyle w:val="TableParagraph"/>
              <w:spacing w:before="46" w:line="230" w:lineRule="auto"/>
              <w:ind w:right="409"/>
              <w:rPr>
                <w:sz w:val="21"/>
              </w:rPr>
            </w:pPr>
            <w:proofErr w:type="gramStart"/>
            <w:r>
              <w:rPr>
                <w:color w:val="B02045"/>
                <w:sz w:val="21"/>
              </w:rPr>
              <w:t>server.ssl.enabled</w:t>
            </w:r>
            <w:proofErr w:type="gramEnd"/>
            <w:r>
              <w:rPr>
                <w:color w:val="B02045"/>
                <w:sz w:val="21"/>
              </w:rPr>
              <w:t>- protocols</w:t>
            </w:r>
          </w:p>
        </w:tc>
        <w:tc>
          <w:tcPr>
            <w:tcW w:w="2494" w:type="dxa"/>
          </w:tcPr>
          <w:p w14:paraId="7BE7662E" w14:textId="77777777" w:rsidR="00A720EB" w:rsidRDefault="00A720EB">
            <w:pPr>
              <w:pStyle w:val="TableParagraph"/>
              <w:spacing w:before="0"/>
              <w:ind w:left="0"/>
              <w:rPr>
                <w:rFonts w:ascii="Times New Roman"/>
                <w:sz w:val="20"/>
              </w:rPr>
            </w:pPr>
          </w:p>
        </w:tc>
        <w:tc>
          <w:tcPr>
            <w:tcW w:w="4988" w:type="dxa"/>
          </w:tcPr>
          <w:p w14:paraId="7747E57F" w14:textId="77777777" w:rsidR="00A720EB" w:rsidRDefault="0030286B">
            <w:pPr>
              <w:pStyle w:val="TableParagraph"/>
              <w:spacing w:before="92"/>
              <w:rPr>
                <w:rFonts w:ascii="Cambria"/>
                <w:sz w:val="21"/>
              </w:rPr>
            </w:pPr>
            <w:r>
              <w:rPr>
                <w:rFonts w:ascii="Cambria"/>
                <w:color w:val="333333"/>
                <w:w w:val="110"/>
                <w:sz w:val="21"/>
              </w:rPr>
              <w:t>Enabled SSL protocols.</w:t>
            </w:r>
          </w:p>
        </w:tc>
      </w:tr>
      <w:tr w:rsidR="00A720EB" w14:paraId="0A333797" w14:textId="77777777">
        <w:trPr>
          <w:trHeight w:val="425"/>
        </w:trPr>
        <w:tc>
          <w:tcPr>
            <w:tcW w:w="2494" w:type="dxa"/>
          </w:tcPr>
          <w:p w14:paraId="4F02FE3F" w14:textId="77777777" w:rsidR="00A720EB" w:rsidRDefault="0030286B">
            <w:pPr>
              <w:pStyle w:val="TableParagraph"/>
              <w:rPr>
                <w:sz w:val="21"/>
              </w:rPr>
            </w:pPr>
            <w:r>
              <w:rPr>
                <w:color w:val="B02045"/>
                <w:sz w:val="21"/>
              </w:rPr>
              <w:t>server.ssl.key-alias</w:t>
            </w:r>
          </w:p>
        </w:tc>
        <w:tc>
          <w:tcPr>
            <w:tcW w:w="2494" w:type="dxa"/>
          </w:tcPr>
          <w:p w14:paraId="40E095BF" w14:textId="77777777" w:rsidR="00A720EB" w:rsidRDefault="00A720EB">
            <w:pPr>
              <w:pStyle w:val="TableParagraph"/>
              <w:spacing w:before="0"/>
              <w:ind w:left="0"/>
              <w:rPr>
                <w:rFonts w:ascii="Times New Roman"/>
                <w:sz w:val="20"/>
              </w:rPr>
            </w:pPr>
          </w:p>
        </w:tc>
        <w:tc>
          <w:tcPr>
            <w:tcW w:w="4988" w:type="dxa"/>
          </w:tcPr>
          <w:p w14:paraId="02DD9895" w14:textId="77777777" w:rsidR="00A720EB" w:rsidRDefault="0030286B">
            <w:pPr>
              <w:pStyle w:val="TableParagraph"/>
              <w:spacing w:before="92"/>
              <w:rPr>
                <w:rFonts w:ascii="Cambria"/>
                <w:sz w:val="21"/>
              </w:rPr>
            </w:pPr>
            <w:r>
              <w:rPr>
                <w:rFonts w:ascii="Cambria"/>
                <w:color w:val="333333"/>
                <w:w w:val="110"/>
                <w:sz w:val="21"/>
              </w:rPr>
              <w:t>Alias that identifies the key in the key store.</w:t>
            </w:r>
          </w:p>
        </w:tc>
      </w:tr>
      <w:tr w:rsidR="00A720EB" w14:paraId="470FB001" w14:textId="77777777">
        <w:trPr>
          <w:trHeight w:val="627"/>
        </w:trPr>
        <w:tc>
          <w:tcPr>
            <w:tcW w:w="2494" w:type="dxa"/>
          </w:tcPr>
          <w:p w14:paraId="69E85CD2" w14:textId="77777777" w:rsidR="00A720EB" w:rsidRDefault="0030286B">
            <w:pPr>
              <w:pStyle w:val="TableParagraph"/>
              <w:spacing w:before="46" w:line="230" w:lineRule="auto"/>
              <w:ind w:right="829"/>
              <w:rPr>
                <w:sz w:val="21"/>
              </w:rPr>
            </w:pPr>
            <w:r>
              <w:rPr>
                <w:color w:val="B02045"/>
                <w:sz w:val="21"/>
              </w:rPr>
              <w:t>server.ssl.key- password</w:t>
            </w:r>
          </w:p>
        </w:tc>
        <w:tc>
          <w:tcPr>
            <w:tcW w:w="2494" w:type="dxa"/>
          </w:tcPr>
          <w:p w14:paraId="123DC145" w14:textId="77777777" w:rsidR="00A720EB" w:rsidRDefault="00A720EB">
            <w:pPr>
              <w:pStyle w:val="TableParagraph"/>
              <w:spacing w:before="0"/>
              <w:ind w:left="0"/>
              <w:rPr>
                <w:rFonts w:ascii="Times New Roman"/>
                <w:sz w:val="20"/>
              </w:rPr>
            </w:pPr>
          </w:p>
        </w:tc>
        <w:tc>
          <w:tcPr>
            <w:tcW w:w="4988" w:type="dxa"/>
          </w:tcPr>
          <w:p w14:paraId="662C2837" w14:textId="77777777" w:rsidR="00A720EB" w:rsidRDefault="0030286B">
            <w:pPr>
              <w:pStyle w:val="TableParagraph"/>
              <w:spacing w:before="92"/>
              <w:rPr>
                <w:rFonts w:ascii="Cambria"/>
                <w:sz w:val="21"/>
              </w:rPr>
            </w:pPr>
            <w:r>
              <w:rPr>
                <w:rFonts w:ascii="Cambria"/>
                <w:color w:val="333333"/>
                <w:w w:val="110"/>
                <w:sz w:val="21"/>
              </w:rPr>
              <w:t>Password used to access the key in the key store.</w:t>
            </w:r>
          </w:p>
        </w:tc>
      </w:tr>
      <w:tr w:rsidR="00A720EB" w14:paraId="1858FED9" w14:textId="77777777">
        <w:trPr>
          <w:trHeight w:val="741"/>
        </w:trPr>
        <w:tc>
          <w:tcPr>
            <w:tcW w:w="2494" w:type="dxa"/>
          </w:tcPr>
          <w:p w14:paraId="3FDFF107" w14:textId="77777777" w:rsidR="00A720EB" w:rsidRDefault="0030286B">
            <w:pPr>
              <w:pStyle w:val="TableParagraph"/>
              <w:spacing w:before="37"/>
              <w:rPr>
                <w:sz w:val="21"/>
              </w:rPr>
            </w:pPr>
            <w:r>
              <w:rPr>
                <w:color w:val="B02045"/>
                <w:sz w:val="21"/>
              </w:rPr>
              <w:t>server.ssl.key-store</w:t>
            </w:r>
          </w:p>
        </w:tc>
        <w:tc>
          <w:tcPr>
            <w:tcW w:w="2494" w:type="dxa"/>
          </w:tcPr>
          <w:p w14:paraId="0D2E6B25" w14:textId="77777777" w:rsidR="00A720EB" w:rsidRDefault="00A720EB">
            <w:pPr>
              <w:pStyle w:val="TableParagraph"/>
              <w:spacing w:before="0"/>
              <w:ind w:left="0"/>
              <w:rPr>
                <w:rFonts w:ascii="Times New Roman"/>
                <w:sz w:val="20"/>
              </w:rPr>
            </w:pPr>
          </w:p>
        </w:tc>
        <w:tc>
          <w:tcPr>
            <w:tcW w:w="4988" w:type="dxa"/>
          </w:tcPr>
          <w:p w14:paraId="48D11680" w14:textId="77777777" w:rsidR="00A720EB" w:rsidRDefault="0030286B">
            <w:pPr>
              <w:pStyle w:val="TableParagraph"/>
              <w:spacing w:before="28" w:line="310" w:lineRule="atLeast"/>
              <w:ind w:right="640"/>
              <w:rPr>
                <w:rFonts w:ascii="Cambria"/>
                <w:sz w:val="21"/>
              </w:rPr>
            </w:pPr>
            <w:r>
              <w:rPr>
                <w:rFonts w:ascii="Cambria"/>
                <w:color w:val="333333"/>
                <w:w w:val="110"/>
                <w:sz w:val="21"/>
              </w:rPr>
              <w:t>Path to the key store that holds the SSL certificate (typically a jks file).</w:t>
            </w:r>
          </w:p>
        </w:tc>
      </w:tr>
      <w:tr w:rsidR="00A720EB" w14:paraId="5A1B5BD3" w14:textId="77777777">
        <w:trPr>
          <w:trHeight w:val="627"/>
        </w:trPr>
        <w:tc>
          <w:tcPr>
            <w:tcW w:w="2494" w:type="dxa"/>
          </w:tcPr>
          <w:p w14:paraId="29359636" w14:textId="77777777" w:rsidR="00A720EB" w:rsidRDefault="0030286B">
            <w:pPr>
              <w:pStyle w:val="TableParagraph"/>
              <w:spacing w:before="46" w:line="230" w:lineRule="auto"/>
              <w:ind w:right="199"/>
              <w:rPr>
                <w:sz w:val="21"/>
              </w:rPr>
            </w:pPr>
            <w:r>
              <w:rPr>
                <w:color w:val="B02045"/>
                <w:sz w:val="21"/>
              </w:rPr>
              <w:t>server.ssl.key-store- password</w:t>
            </w:r>
          </w:p>
        </w:tc>
        <w:tc>
          <w:tcPr>
            <w:tcW w:w="2494" w:type="dxa"/>
          </w:tcPr>
          <w:p w14:paraId="07D0651F" w14:textId="77777777" w:rsidR="00A720EB" w:rsidRDefault="00A720EB">
            <w:pPr>
              <w:pStyle w:val="TableParagraph"/>
              <w:spacing w:before="0"/>
              <w:ind w:left="0"/>
              <w:rPr>
                <w:rFonts w:ascii="Times New Roman"/>
                <w:sz w:val="20"/>
              </w:rPr>
            </w:pPr>
          </w:p>
        </w:tc>
        <w:tc>
          <w:tcPr>
            <w:tcW w:w="4988" w:type="dxa"/>
          </w:tcPr>
          <w:p w14:paraId="60C3FF05" w14:textId="77777777" w:rsidR="00A720EB" w:rsidRDefault="0030286B">
            <w:pPr>
              <w:pStyle w:val="TableParagraph"/>
              <w:spacing w:before="92"/>
              <w:rPr>
                <w:rFonts w:ascii="Cambria"/>
                <w:sz w:val="21"/>
              </w:rPr>
            </w:pPr>
            <w:r>
              <w:rPr>
                <w:rFonts w:ascii="Cambria"/>
                <w:color w:val="333333"/>
                <w:w w:val="110"/>
                <w:sz w:val="21"/>
              </w:rPr>
              <w:t>Password used to access the key store.</w:t>
            </w:r>
          </w:p>
        </w:tc>
      </w:tr>
      <w:tr w:rsidR="00A720EB" w14:paraId="1456655C" w14:textId="77777777">
        <w:trPr>
          <w:trHeight w:val="627"/>
        </w:trPr>
        <w:tc>
          <w:tcPr>
            <w:tcW w:w="2494" w:type="dxa"/>
          </w:tcPr>
          <w:p w14:paraId="669E94E7" w14:textId="77777777" w:rsidR="00A720EB" w:rsidRDefault="0030286B">
            <w:pPr>
              <w:pStyle w:val="TableParagraph"/>
              <w:spacing w:before="46" w:line="230" w:lineRule="auto"/>
              <w:ind w:right="199"/>
              <w:rPr>
                <w:sz w:val="21"/>
              </w:rPr>
            </w:pPr>
            <w:r>
              <w:rPr>
                <w:color w:val="B02045"/>
                <w:sz w:val="21"/>
              </w:rPr>
              <w:t>server.ssl.key-store- provider</w:t>
            </w:r>
          </w:p>
        </w:tc>
        <w:tc>
          <w:tcPr>
            <w:tcW w:w="2494" w:type="dxa"/>
          </w:tcPr>
          <w:p w14:paraId="6CC3474B" w14:textId="77777777" w:rsidR="00A720EB" w:rsidRDefault="00A720EB">
            <w:pPr>
              <w:pStyle w:val="TableParagraph"/>
              <w:spacing w:before="0"/>
              <w:ind w:left="0"/>
              <w:rPr>
                <w:rFonts w:ascii="Times New Roman"/>
                <w:sz w:val="20"/>
              </w:rPr>
            </w:pPr>
          </w:p>
        </w:tc>
        <w:tc>
          <w:tcPr>
            <w:tcW w:w="4988" w:type="dxa"/>
          </w:tcPr>
          <w:p w14:paraId="1A92FF3C" w14:textId="77777777" w:rsidR="00A720EB" w:rsidRDefault="0030286B">
            <w:pPr>
              <w:pStyle w:val="TableParagraph"/>
              <w:spacing w:before="92"/>
              <w:rPr>
                <w:rFonts w:ascii="Cambria"/>
                <w:sz w:val="21"/>
              </w:rPr>
            </w:pPr>
            <w:r>
              <w:rPr>
                <w:rFonts w:ascii="Cambria"/>
                <w:color w:val="333333"/>
                <w:w w:val="110"/>
                <w:sz w:val="21"/>
              </w:rPr>
              <w:t>Provider for the key store.</w:t>
            </w:r>
          </w:p>
        </w:tc>
      </w:tr>
      <w:tr w:rsidR="00A720EB" w14:paraId="19B715FB" w14:textId="77777777">
        <w:trPr>
          <w:trHeight w:val="627"/>
        </w:trPr>
        <w:tc>
          <w:tcPr>
            <w:tcW w:w="2494" w:type="dxa"/>
          </w:tcPr>
          <w:p w14:paraId="517B359D" w14:textId="77777777" w:rsidR="00A720EB" w:rsidRDefault="0030286B">
            <w:pPr>
              <w:pStyle w:val="TableParagraph"/>
              <w:spacing w:before="46" w:line="230" w:lineRule="auto"/>
              <w:ind w:right="199"/>
              <w:rPr>
                <w:sz w:val="21"/>
              </w:rPr>
            </w:pPr>
            <w:r>
              <w:rPr>
                <w:color w:val="B02045"/>
                <w:sz w:val="21"/>
              </w:rPr>
              <w:t>server.ssl.key-store- type</w:t>
            </w:r>
          </w:p>
        </w:tc>
        <w:tc>
          <w:tcPr>
            <w:tcW w:w="2494" w:type="dxa"/>
          </w:tcPr>
          <w:p w14:paraId="7EC4B4E7" w14:textId="77777777" w:rsidR="00A720EB" w:rsidRDefault="00A720EB">
            <w:pPr>
              <w:pStyle w:val="TableParagraph"/>
              <w:spacing w:before="0"/>
              <w:ind w:left="0"/>
              <w:rPr>
                <w:rFonts w:ascii="Times New Roman"/>
                <w:sz w:val="20"/>
              </w:rPr>
            </w:pPr>
          </w:p>
        </w:tc>
        <w:tc>
          <w:tcPr>
            <w:tcW w:w="4988" w:type="dxa"/>
          </w:tcPr>
          <w:p w14:paraId="5B5CFF32" w14:textId="77777777" w:rsidR="00A720EB" w:rsidRDefault="0030286B">
            <w:pPr>
              <w:pStyle w:val="TableParagraph"/>
              <w:spacing w:before="92"/>
              <w:rPr>
                <w:rFonts w:ascii="Cambria"/>
                <w:sz w:val="21"/>
              </w:rPr>
            </w:pPr>
            <w:r>
              <w:rPr>
                <w:rFonts w:ascii="Cambria"/>
                <w:color w:val="333333"/>
                <w:w w:val="110"/>
                <w:sz w:val="21"/>
              </w:rPr>
              <w:t>Type of the key store.</w:t>
            </w:r>
          </w:p>
        </w:tc>
      </w:tr>
      <w:tr w:rsidR="00A720EB" w14:paraId="08837E5B" w14:textId="77777777">
        <w:trPr>
          <w:trHeight w:val="425"/>
        </w:trPr>
        <w:tc>
          <w:tcPr>
            <w:tcW w:w="2494" w:type="dxa"/>
          </w:tcPr>
          <w:p w14:paraId="1FD2F87B" w14:textId="77777777" w:rsidR="00A720EB" w:rsidRDefault="0030286B">
            <w:pPr>
              <w:pStyle w:val="TableParagraph"/>
              <w:rPr>
                <w:sz w:val="21"/>
              </w:rPr>
            </w:pPr>
            <w:proofErr w:type="gramStart"/>
            <w:r>
              <w:rPr>
                <w:color w:val="B02045"/>
                <w:sz w:val="21"/>
              </w:rPr>
              <w:t>server.ssl.protocol</w:t>
            </w:r>
            <w:proofErr w:type="gramEnd"/>
          </w:p>
        </w:tc>
        <w:tc>
          <w:tcPr>
            <w:tcW w:w="2494" w:type="dxa"/>
          </w:tcPr>
          <w:p w14:paraId="7B93464B" w14:textId="77777777" w:rsidR="00A720EB" w:rsidRDefault="0030286B">
            <w:pPr>
              <w:pStyle w:val="TableParagraph"/>
              <w:rPr>
                <w:sz w:val="21"/>
              </w:rPr>
            </w:pPr>
            <w:r>
              <w:rPr>
                <w:color w:val="B02045"/>
                <w:sz w:val="21"/>
              </w:rPr>
              <w:t>TLS</w:t>
            </w:r>
          </w:p>
        </w:tc>
        <w:tc>
          <w:tcPr>
            <w:tcW w:w="4988" w:type="dxa"/>
          </w:tcPr>
          <w:p w14:paraId="5BFCB39D" w14:textId="77777777" w:rsidR="00A720EB" w:rsidRDefault="0030286B">
            <w:pPr>
              <w:pStyle w:val="TableParagraph"/>
              <w:spacing w:before="92"/>
              <w:rPr>
                <w:rFonts w:ascii="Cambria"/>
                <w:sz w:val="21"/>
              </w:rPr>
            </w:pPr>
            <w:r>
              <w:rPr>
                <w:rFonts w:ascii="Cambria"/>
                <w:color w:val="333333"/>
                <w:w w:val="110"/>
                <w:sz w:val="21"/>
              </w:rPr>
              <w:t>SSL protocol to use.</w:t>
            </w:r>
          </w:p>
        </w:tc>
      </w:tr>
      <w:tr w:rsidR="00A720EB" w14:paraId="22E39F46" w14:textId="77777777">
        <w:trPr>
          <w:trHeight w:val="425"/>
        </w:trPr>
        <w:tc>
          <w:tcPr>
            <w:tcW w:w="2494" w:type="dxa"/>
          </w:tcPr>
          <w:p w14:paraId="37932740" w14:textId="77777777" w:rsidR="00A720EB" w:rsidRDefault="0030286B">
            <w:pPr>
              <w:pStyle w:val="TableParagraph"/>
              <w:rPr>
                <w:sz w:val="21"/>
              </w:rPr>
            </w:pPr>
            <w:proofErr w:type="gramStart"/>
            <w:r>
              <w:rPr>
                <w:color w:val="B02045"/>
                <w:sz w:val="21"/>
              </w:rPr>
              <w:t>server.ssl.trust</w:t>
            </w:r>
            <w:proofErr w:type="gramEnd"/>
            <w:r>
              <w:rPr>
                <w:color w:val="B02045"/>
                <w:sz w:val="21"/>
              </w:rPr>
              <w:t>-store</w:t>
            </w:r>
          </w:p>
        </w:tc>
        <w:tc>
          <w:tcPr>
            <w:tcW w:w="2494" w:type="dxa"/>
          </w:tcPr>
          <w:p w14:paraId="235592F3" w14:textId="77777777" w:rsidR="00A720EB" w:rsidRDefault="00A720EB">
            <w:pPr>
              <w:pStyle w:val="TableParagraph"/>
              <w:spacing w:before="0"/>
              <w:ind w:left="0"/>
              <w:rPr>
                <w:rFonts w:ascii="Times New Roman"/>
                <w:sz w:val="20"/>
              </w:rPr>
            </w:pPr>
          </w:p>
        </w:tc>
        <w:tc>
          <w:tcPr>
            <w:tcW w:w="4988" w:type="dxa"/>
          </w:tcPr>
          <w:p w14:paraId="24F33FCF" w14:textId="77777777" w:rsidR="00A720EB" w:rsidRDefault="0030286B">
            <w:pPr>
              <w:pStyle w:val="TableParagraph"/>
              <w:spacing w:before="92"/>
              <w:rPr>
                <w:rFonts w:ascii="Cambria"/>
                <w:sz w:val="21"/>
              </w:rPr>
            </w:pPr>
            <w:r>
              <w:rPr>
                <w:rFonts w:ascii="Cambria"/>
                <w:color w:val="333333"/>
                <w:w w:val="110"/>
                <w:sz w:val="21"/>
              </w:rPr>
              <w:t>Trust store that holds SSL certificates.</w:t>
            </w:r>
          </w:p>
        </w:tc>
      </w:tr>
      <w:tr w:rsidR="00A720EB" w14:paraId="721163A5" w14:textId="77777777">
        <w:trPr>
          <w:trHeight w:val="627"/>
        </w:trPr>
        <w:tc>
          <w:tcPr>
            <w:tcW w:w="2494" w:type="dxa"/>
          </w:tcPr>
          <w:p w14:paraId="11620751" w14:textId="77777777" w:rsidR="00A720EB" w:rsidRDefault="0030286B">
            <w:pPr>
              <w:pStyle w:val="TableParagraph"/>
              <w:spacing w:before="46" w:line="230" w:lineRule="auto"/>
              <w:ind w:right="638"/>
              <w:rPr>
                <w:sz w:val="21"/>
              </w:rPr>
            </w:pPr>
            <w:proofErr w:type="gramStart"/>
            <w:r>
              <w:rPr>
                <w:color w:val="B02045"/>
                <w:sz w:val="21"/>
              </w:rPr>
              <w:t>server.ssl.trust</w:t>
            </w:r>
            <w:proofErr w:type="gramEnd"/>
            <w:r>
              <w:rPr>
                <w:color w:val="B02045"/>
                <w:sz w:val="21"/>
              </w:rPr>
              <w:t>- store-password</w:t>
            </w:r>
          </w:p>
        </w:tc>
        <w:tc>
          <w:tcPr>
            <w:tcW w:w="2494" w:type="dxa"/>
          </w:tcPr>
          <w:p w14:paraId="78BF5B74" w14:textId="77777777" w:rsidR="00A720EB" w:rsidRDefault="00A720EB">
            <w:pPr>
              <w:pStyle w:val="TableParagraph"/>
              <w:spacing w:before="0"/>
              <w:ind w:left="0"/>
              <w:rPr>
                <w:rFonts w:ascii="Times New Roman"/>
                <w:sz w:val="20"/>
              </w:rPr>
            </w:pPr>
          </w:p>
        </w:tc>
        <w:tc>
          <w:tcPr>
            <w:tcW w:w="4988" w:type="dxa"/>
          </w:tcPr>
          <w:p w14:paraId="602477B6" w14:textId="77777777" w:rsidR="00A720EB" w:rsidRDefault="0030286B">
            <w:pPr>
              <w:pStyle w:val="TableParagraph"/>
              <w:spacing w:before="92"/>
              <w:rPr>
                <w:rFonts w:ascii="Cambria"/>
                <w:sz w:val="21"/>
              </w:rPr>
            </w:pPr>
            <w:r>
              <w:rPr>
                <w:rFonts w:ascii="Cambria"/>
                <w:color w:val="333333"/>
                <w:w w:val="110"/>
                <w:sz w:val="21"/>
              </w:rPr>
              <w:t>Password used to access the trust store.</w:t>
            </w:r>
          </w:p>
        </w:tc>
      </w:tr>
      <w:tr w:rsidR="00A720EB" w14:paraId="6AA68E4D" w14:textId="77777777">
        <w:trPr>
          <w:trHeight w:val="627"/>
        </w:trPr>
        <w:tc>
          <w:tcPr>
            <w:tcW w:w="2494" w:type="dxa"/>
          </w:tcPr>
          <w:p w14:paraId="2028ABAD" w14:textId="77777777" w:rsidR="00A720EB" w:rsidRDefault="0030286B">
            <w:pPr>
              <w:pStyle w:val="TableParagraph"/>
              <w:spacing w:before="46" w:line="230" w:lineRule="auto"/>
              <w:ind w:right="638"/>
              <w:rPr>
                <w:sz w:val="21"/>
              </w:rPr>
            </w:pPr>
            <w:proofErr w:type="gramStart"/>
            <w:r>
              <w:rPr>
                <w:color w:val="B02045"/>
                <w:sz w:val="21"/>
              </w:rPr>
              <w:lastRenderedPageBreak/>
              <w:t>server.ssl.trust</w:t>
            </w:r>
            <w:proofErr w:type="gramEnd"/>
            <w:r>
              <w:rPr>
                <w:color w:val="B02045"/>
                <w:sz w:val="21"/>
              </w:rPr>
              <w:t>- store-provider</w:t>
            </w:r>
          </w:p>
        </w:tc>
        <w:tc>
          <w:tcPr>
            <w:tcW w:w="2494" w:type="dxa"/>
          </w:tcPr>
          <w:p w14:paraId="534ED3B4" w14:textId="77777777" w:rsidR="00A720EB" w:rsidRDefault="00A720EB">
            <w:pPr>
              <w:pStyle w:val="TableParagraph"/>
              <w:spacing w:before="0"/>
              <w:ind w:left="0"/>
              <w:rPr>
                <w:rFonts w:ascii="Times New Roman"/>
                <w:sz w:val="20"/>
              </w:rPr>
            </w:pPr>
          </w:p>
        </w:tc>
        <w:tc>
          <w:tcPr>
            <w:tcW w:w="4988" w:type="dxa"/>
          </w:tcPr>
          <w:p w14:paraId="121C81A7" w14:textId="77777777" w:rsidR="00A720EB" w:rsidRDefault="0030286B">
            <w:pPr>
              <w:pStyle w:val="TableParagraph"/>
              <w:spacing w:before="92"/>
              <w:rPr>
                <w:rFonts w:ascii="Cambria"/>
                <w:sz w:val="21"/>
              </w:rPr>
            </w:pPr>
            <w:r>
              <w:rPr>
                <w:rFonts w:ascii="Cambria"/>
                <w:color w:val="333333"/>
                <w:w w:val="110"/>
                <w:sz w:val="21"/>
              </w:rPr>
              <w:t>Provider for the trust store.</w:t>
            </w:r>
          </w:p>
        </w:tc>
      </w:tr>
    </w:tbl>
    <w:p w14:paraId="12AE0760"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198374D" w14:textId="77777777">
        <w:trPr>
          <w:trHeight w:val="415"/>
        </w:trPr>
        <w:tc>
          <w:tcPr>
            <w:tcW w:w="2494" w:type="dxa"/>
            <w:tcBorders>
              <w:bottom w:val="single" w:sz="12" w:space="0" w:color="DDDDDD"/>
            </w:tcBorders>
          </w:tcPr>
          <w:p w14:paraId="395DBAD4"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5BD51F6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A22515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B3AD9A5" w14:textId="77777777">
        <w:trPr>
          <w:trHeight w:val="617"/>
        </w:trPr>
        <w:tc>
          <w:tcPr>
            <w:tcW w:w="2494" w:type="dxa"/>
            <w:tcBorders>
              <w:top w:val="single" w:sz="12" w:space="0" w:color="DDDDDD"/>
            </w:tcBorders>
          </w:tcPr>
          <w:p w14:paraId="378E48A2" w14:textId="77777777" w:rsidR="00A720EB" w:rsidRDefault="0030286B">
            <w:pPr>
              <w:pStyle w:val="TableParagraph"/>
              <w:spacing w:before="36" w:line="230" w:lineRule="auto"/>
              <w:ind w:right="638"/>
              <w:rPr>
                <w:sz w:val="21"/>
              </w:rPr>
            </w:pPr>
            <w:proofErr w:type="gramStart"/>
            <w:r>
              <w:rPr>
                <w:color w:val="B02045"/>
                <w:sz w:val="21"/>
              </w:rPr>
              <w:t>server.ssl.trust</w:t>
            </w:r>
            <w:proofErr w:type="gramEnd"/>
            <w:r>
              <w:rPr>
                <w:color w:val="B02045"/>
                <w:sz w:val="21"/>
              </w:rPr>
              <w:t>- store-type</w:t>
            </w:r>
          </w:p>
        </w:tc>
        <w:tc>
          <w:tcPr>
            <w:tcW w:w="2494" w:type="dxa"/>
            <w:tcBorders>
              <w:top w:val="single" w:sz="12" w:space="0" w:color="DDDDDD"/>
            </w:tcBorders>
          </w:tcPr>
          <w:p w14:paraId="68854983"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5C621E8C" w14:textId="77777777" w:rsidR="00A720EB" w:rsidRDefault="0030286B">
            <w:pPr>
              <w:pStyle w:val="TableParagraph"/>
              <w:spacing w:before="82"/>
              <w:rPr>
                <w:rFonts w:ascii="Cambria"/>
                <w:sz w:val="21"/>
              </w:rPr>
            </w:pPr>
            <w:r>
              <w:rPr>
                <w:rFonts w:ascii="Cambria"/>
                <w:color w:val="333333"/>
                <w:w w:val="110"/>
                <w:sz w:val="21"/>
              </w:rPr>
              <w:t>Type of the trust store.</w:t>
            </w:r>
          </w:p>
        </w:tc>
      </w:tr>
      <w:tr w:rsidR="00A720EB" w14:paraId="45C0333B" w14:textId="77777777">
        <w:trPr>
          <w:trHeight w:val="1056"/>
        </w:trPr>
        <w:tc>
          <w:tcPr>
            <w:tcW w:w="2494" w:type="dxa"/>
          </w:tcPr>
          <w:p w14:paraId="5BBC6149" w14:textId="77777777" w:rsidR="00A720EB" w:rsidRDefault="0030286B">
            <w:pPr>
              <w:pStyle w:val="TableParagraph"/>
              <w:spacing w:before="46" w:line="230" w:lineRule="auto"/>
              <w:ind w:right="199"/>
              <w:rPr>
                <w:sz w:val="21"/>
              </w:rPr>
            </w:pPr>
            <w:proofErr w:type="gramStart"/>
            <w:r>
              <w:rPr>
                <w:color w:val="B02045"/>
                <w:sz w:val="21"/>
              </w:rPr>
              <w:t>server.tomcat</w:t>
            </w:r>
            <w:proofErr w:type="gramEnd"/>
            <w:r>
              <w:rPr>
                <w:color w:val="B02045"/>
                <w:sz w:val="21"/>
              </w:rPr>
              <w:t>.accept- count</w:t>
            </w:r>
          </w:p>
        </w:tc>
        <w:tc>
          <w:tcPr>
            <w:tcW w:w="2494" w:type="dxa"/>
          </w:tcPr>
          <w:p w14:paraId="64ED1F42" w14:textId="77777777" w:rsidR="00A720EB" w:rsidRDefault="0030286B">
            <w:pPr>
              <w:pStyle w:val="TableParagraph"/>
              <w:spacing w:before="37"/>
              <w:rPr>
                <w:sz w:val="21"/>
              </w:rPr>
            </w:pPr>
            <w:r>
              <w:rPr>
                <w:color w:val="B02045"/>
                <w:sz w:val="21"/>
              </w:rPr>
              <w:t>100.0</w:t>
            </w:r>
          </w:p>
        </w:tc>
        <w:tc>
          <w:tcPr>
            <w:tcW w:w="4988" w:type="dxa"/>
          </w:tcPr>
          <w:p w14:paraId="77D51CD6" w14:textId="77777777" w:rsidR="00A720EB" w:rsidRDefault="0030286B">
            <w:pPr>
              <w:pStyle w:val="TableParagraph"/>
              <w:spacing w:before="28" w:line="310" w:lineRule="atLeast"/>
              <w:ind w:right="308"/>
              <w:rPr>
                <w:rFonts w:ascii="Cambria"/>
                <w:sz w:val="21"/>
              </w:rPr>
            </w:pPr>
            <w:r>
              <w:rPr>
                <w:rFonts w:ascii="Cambria"/>
                <w:color w:val="333333"/>
                <w:w w:val="110"/>
                <w:sz w:val="21"/>
              </w:rPr>
              <w:t>Maximum queue length for incoming connection requests when all possible request processing threads are in use.</w:t>
            </w:r>
          </w:p>
        </w:tc>
      </w:tr>
      <w:tr w:rsidR="00A720EB" w14:paraId="1EA0B13F" w14:textId="77777777">
        <w:trPr>
          <w:trHeight w:val="741"/>
        </w:trPr>
        <w:tc>
          <w:tcPr>
            <w:tcW w:w="2494" w:type="dxa"/>
          </w:tcPr>
          <w:p w14:paraId="797A3114"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g.buffered</w:t>
            </w:r>
          </w:p>
        </w:tc>
        <w:tc>
          <w:tcPr>
            <w:tcW w:w="2494" w:type="dxa"/>
          </w:tcPr>
          <w:p w14:paraId="5FB9B384" w14:textId="77777777" w:rsidR="00A720EB" w:rsidRDefault="0030286B">
            <w:pPr>
              <w:pStyle w:val="TableParagraph"/>
              <w:rPr>
                <w:sz w:val="21"/>
              </w:rPr>
            </w:pPr>
            <w:r>
              <w:rPr>
                <w:color w:val="B02045"/>
                <w:sz w:val="21"/>
              </w:rPr>
              <w:t>true</w:t>
            </w:r>
          </w:p>
        </w:tc>
        <w:tc>
          <w:tcPr>
            <w:tcW w:w="4988" w:type="dxa"/>
          </w:tcPr>
          <w:p w14:paraId="7228B47A" w14:textId="77777777" w:rsidR="00A720EB" w:rsidRDefault="0030286B">
            <w:pPr>
              <w:pStyle w:val="TableParagraph"/>
              <w:spacing w:before="28" w:line="310" w:lineRule="atLeast"/>
              <w:rPr>
                <w:rFonts w:ascii="Cambria"/>
                <w:sz w:val="21"/>
              </w:rPr>
            </w:pPr>
            <w:r>
              <w:rPr>
                <w:rFonts w:ascii="Cambria"/>
                <w:color w:val="333333"/>
                <w:w w:val="110"/>
                <w:sz w:val="21"/>
              </w:rPr>
              <w:t>Whether to buffer output such that it is flushed only periodically.</w:t>
            </w:r>
          </w:p>
        </w:tc>
      </w:tr>
      <w:tr w:rsidR="00A720EB" w14:paraId="52D8B2D3" w14:textId="77777777">
        <w:trPr>
          <w:trHeight w:val="1056"/>
        </w:trPr>
        <w:tc>
          <w:tcPr>
            <w:tcW w:w="2494" w:type="dxa"/>
          </w:tcPr>
          <w:p w14:paraId="15BC7A5B"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.accesslo g.check-exists</w:t>
            </w:r>
          </w:p>
        </w:tc>
        <w:tc>
          <w:tcPr>
            <w:tcW w:w="2494" w:type="dxa"/>
          </w:tcPr>
          <w:p w14:paraId="7AAEBEEF" w14:textId="77777777" w:rsidR="00A720EB" w:rsidRDefault="0030286B">
            <w:pPr>
              <w:pStyle w:val="TableParagraph"/>
              <w:rPr>
                <w:sz w:val="21"/>
              </w:rPr>
            </w:pPr>
            <w:r>
              <w:rPr>
                <w:color w:val="B02045"/>
                <w:sz w:val="21"/>
              </w:rPr>
              <w:t>false</w:t>
            </w:r>
          </w:p>
        </w:tc>
        <w:tc>
          <w:tcPr>
            <w:tcW w:w="4988" w:type="dxa"/>
          </w:tcPr>
          <w:p w14:paraId="1CDFDAC7"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to check for log file existence so it can be recreated it if an external process has renamed it.</w:t>
            </w:r>
          </w:p>
        </w:tc>
      </w:tr>
      <w:tr w:rsidR="00A720EB" w14:paraId="12DB132E" w14:textId="77777777">
        <w:trPr>
          <w:trHeight w:val="1372"/>
        </w:trPr>
        <w:tc>
          <w:tcPr>
            <w:tcW w:w="2494" w:type="dxa"/>
          </w:tcPr>
          <w:p w14:paraId="5E511AC6"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.accesslo g.condition-if</w:t>
            </w:r>
          </w:p>
        </w:tc>
        <w:tc>
          <w:tcPr>
            <w:tcW w:w="2494" w:type="dxa"/>
          </w:tcPr>
          <w:p w14:paraId="687CFAC4" w14:textId="77777777" w:rsidR="00A720EB" w:rsidRDefault="00A720EB">
            <w:pPr>
              <w:pStyle w:val="TableParagraph"/>
              <w:spacing w:before="0"/>
              <w:ind w:left="0"/>
              <w:rPr>
                <w:rFonts w:ascii="Times New Roman"/>
                <w:sz w:val="20"/>
              </w:rPr>
            </w:pPr>
          </w:p>
        </w:tc>
        <w:tc>
          <w:tcPr>
            <w:tcW w:w="4988" w:type="dxa"/>
          </w:tcPr>
          <w:p w14:paraId="1DAD0D11" w14:textId="77777777" w:rsidR="00A720EB" w:rsidRDefault="0030286B">
            <w:pPr>
              <w:pStyle w:val="TableParagraph"/>
              <w:spacing w:before="28" w:line="310" w:lineRule="atLeast"/>
              <w:ind w:right="191"/>
              <w:rPr>
                <w:rFonts w:ascii="Cambria"/>
                <w:sz w:val="21"/>
              </w:rPr>
            </w:pPr>
            <w:r>
              <w:rPr>
                <w:rFonts w:ascii="Cambria"/>
                <w:color w:val="333333"/>
                <w:w w:val="110"/>
                <w:sz w:val="21"/>
              </w:rPr>
              <w:t>Whether logging of the request will only be enabled if "ServletRequest.getAttribute(conditionIf)" does not yield null.</w:t>
            </w:r>
          </w:p>
        </w:tc>
      </w:tr>
      <w:tr w:rsidR="00A720EB" w14:paraId="59F13088" w14:textId="77777777">
        <w:trPr>
          <w:trHeight w:val="1372"/>
        </w:trPr>
        <w:tc>
          <w:tcPr>
            <w:tcW w:w="2494" w:type="dxa"/>
          </w:tcPr>
          <w:p w14:paraId="797B828E"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.accesslo g.condition-unless</w:t>
            </w:r>
          </w:p>
        </w:tc>
        <w:tc>
          <w:tcPr>
            <w:tcW w:w="2494" w:type="dxa"/>
          </w:tcPr>
          <w:p w14:paraId="124C804B" w14:textId="77777777" w:rsidR="00A720EB" w:rsidRDefault="00A720EB">
            <w:pPr>
              <w:pStyle w:val="TableParagraph"/>
              <w:spacing w:before="0"/>
              <w:ind w:left="0"/>
              <w:rPr>
                <w:rFonts w:ascii="Times New Roman"/>
                <w:sz w:val="20"/>
              </w:rPr>
            </w:pPr>
          </w:p>
        </w:tc>
        <w:tc>
          <w:tcPr>
            <w:tcW w:w="4988" w:type="dxa"/>
          </w:tcPr>
          <w:p w14:paraId="1BE276B8" w14:textId="77777777" w:rsidR="00A720EB" w:rsidRDefault="0030286B">
            <w:pPr>
              <w:pStyle w:val="TableParagraph"/>
              <w:spacing w:before="28" w:line="310" w:lineRule="atLeast"/>
              <w:rPr>
                <w:rFonts w:ascii="Cambria"/>
                <w:sz w:val="21"/>
              </w:rPr>
            </w:pPr>
            <w:r>
              <w:rPr>
                <w:rFonts w:ascii="Cambria"/>
                <w:color w:val="333333"/>
                <w:w w:val="110"/>
                <w:sz w:val="21"/>
              </w:rPr>
              <w:t>Whether logging of the request will only be enabled if "ServletRequest.getAttribute(conditionUnless)" yield null.</w:t>
            </w:r>
          </w:p>
        </w:tc>
      </w:tr>
      <w:tr w:rsidR="00A720EB" w14:paraId="2F7914CA" w14:textId="77777777">
        <w:trPr>
          <w:trHeight w:val="741"/>
        </w:trPr>
        <w:tc>
          <w:tcPr>
            <w:tcW w:w="2494" w:type="dxa"/>
          </w:tcPr>
          <w:p w14:paraId="14DFBA62"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g.directory</w:t>
            </w:r>
          </w:p>
        </w:tc>
        <w:tc>
          <w:tcPr>
            <w:tcW w:w="2494" w:type="dxa"/>
          </w:tcPr>
          <w:p w14:paraId="65FE076F" w14:textId="77777777" w:rsidR="00A720EB" w:rsidRDefault="0030286B">
            <w:pPr>
              <w:pStyle w:val="TableParagraph"/>
              <w:rPr>
                <w:sz w:val="21"/>
              </w:rPr>
            </w:pPr>
            <w:r>
              <w:rPr>
                <w:color w:val="B02045"/>
                <w:sz w:val="21"/>
              </w:rPr>
              <w:t>logs</w:t>
            </w:r>
          </w:p>
        </w:tc>
        <w:tc>
          <w:tcPr>
            <w:tcW w:w="4988" w:type="dxa"/>
          </w:tcPr>
          <w:p w14:paraId="5D701240" w14:textId="77777777" w:rsidR="00A720EB" w:rsidRDefault="0030286B">
            <w:pPr>
              <w:pStyle w:val="TableParagraph"/>
              <w:spacing w:before="28" w:line="310" w:lineRule="atLeast"/>
              <w:rPr>
                <w:rFonts w:ascii="Cambria"/>
                <w:sz w:val="21"/>
              </w:rPr>
            </w:pPr>
            <w:r>
              <w:rPr>
                <w:rFonts w:ascii="Cambria"/>
                <w:color w:val="333333"/>
                <w:w w:val="110"/>
                <w:sz w:val="21"/>
              </w:rPr>
              <w:t>Directory in which log files are created. Can be absolute or relative to the Tomcat base dir.</w:t>
            </w:r>
          </w:p>
        </w:tc>
      </w:tr>
      <w:tr w:rsidR="00A720EB" w14:paraId="07001D1F" w14:textId="77777777">
        <w:trPr>
          <w:trHeight w:val="627"/>
        </w:trPr>
        <w:tc>
          <w:tcPr>
            <w:tcW w:w="2494" w:type="dxa"/>
          </w:tcPr>
          <w:p w14:paraId="531F66AB"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g.enabled</w:t>
            </w:r>
          </w:p>
        </w:tc>
        <w:tc>
          <w:tcPr>
            <w:tcW w:w="2494" w:type="dxa"/>
          </w:tcPr>
          <w:p w14:paraId="76B28D6D" w14:textId="77777777" w:rsidR="00A720EB" w:rsidRDefault="0030286B">
            <w:pPr>
              <w:pStyle w:val="TableParagraph"/>
              <w:rPr>
                <w:sz w:val="21"/>
              </w:rPr>
            </w:pPr>
            <w:r>
              <w:rPr>
                <w:color w:val="B02045"/>
                <w:sz w:val="21"/>
              </w:rPr>
              <w:t>false</w:t>
            </w:r>
          </w:p>
        </w:tc>
        <w:tc>
          <w:tcPr>
            <w:tcW w:w="4988" w:type="dxa"/>
          </w:tcPr>
          <w:p w14:paraId="3AE89099" w14:textId="77777777" w:rsidR="00A720EB" w:rsidRDefault="0030286B">
            <w:pPr>
              <w:pStyle w:val="TableParagraph"/>
              <w:spacing w:before="92"/>
              <w:rPr>
                <w:rFonts w:ascii="Cambria"/>
                <w:sz w:val="21"/>
              </w:rPr>
            </w:pPr>
            <w:r>
              <w:rPr>
                <w:rFonts w:ascii="Cambria"/>
                <w:color w:val="333333"/>
                <w:w w:val="110"/>
                <w:sz w:val="21"/>
              </w:rPr>
              <w:t>Enable access log.</w:t>
            </w:r>
          </w:p>
        </w:tc>
      </w:tr>
      <w:tr w:rsidR="00A720EB" w14:paraId="1C13D1EA" w14:textId="77777777">
        <w:trPr>
          <w:trHeight w:val="741"/>
        </w:trPr>
        <w:tc>
          <w:tcPr>
            <w:tcW w:w="2494" w:type="dxa"/>
          </w:tcPr>
          <w:p w14:paraId="2A69D214"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g.encoding</w:t>
            </w:r>
          </w:p>
        </w:tc>
        <w:tc>
          <w:tcPr>
            <w:tcW w:w="2494" w:type="dxa"/>
          </w:tcPr>
          <w:p w14:paraId="38AD1C5D" w14:textId="77777777" w:rsidR="00A720EB" w:rsidRDefault="00A720EB">
            <w:pPr>
              <w:pStyle w:val="TableParagraph"/>
              <w:spacing w:before="0"/>
              <w:ind w:left="0"/>
              <w:rPr>
                <w:rFonts w:ascii="Times New Roman"/>
                <w:sz w:val="20"/>
              </w:rPr>
            </w:pPr>
          </w:p>
        </w:tc>
        <w:tc>
          <w:tcPr>
            <w:tcW w:w="4988" w:type="dxa"/>
          </w:tcPr>
          <w:p w14:paraId="6425E01E" w14:textId="77777777" w:rsidR="00A720EB" w:rsidRDefault="0030286B">
            <w:pPr>
              <w:pStyle w:val="TableParagraph"/>
              <w:spacing w:before="28" w:line="310" w:lineRule="atLeast"/>
              <w:rPr>
                <w:rFonts w:ascii="Cambria"/>
                <w:sz w:val="21"/>
              </w:rPr>
            </w:pPr>
            <w:r>
              <w:rPr>
                <w:rFonts w:ascii="Cambria"/>
                <w:color w:val="333333"/>
                <w:w w:val="110"/>
                <w:sz w:val="21"/>
              </w:rPr>
              <w:t>Character set used by the log file. Default to the system default character set.</w:t>
            </w:r>
          </w:p>
        </w:tc>
      </w:tr>
      <w:tr w:rsidR="00A720EB" w14:paraId="5CFCD7FB" w14:textId="77777777">
        <w:trPr>
          <w:trHeight w:val="627"/>
        </w:trPr>
        <w:tc>
          <w:tcPr>
            <w:tcW w:w="2494" w:type="dxa"/>
          </w:tcPr>
          <w:p w14:paraId="3F68D0E1"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.accesslo g.file-date-format</w:t>
            </w:r>
          </w:p>
        </w:tc>
        <w:tc>
          <w:tcPr>
            <w:tcW w:w="2494" w:type="dxa"/>
          </w:tcPr>
          <w:p w14:paraId="33221D88" w14:textId="77777777" w:rsidR="00A720EB" w:rsidRDefault="0030286B">
            <w:pPr>
              <w:pStyle w:val="TableParagraph"/>
              <w:spacing w:before="37"/>
              <w:rPr>
                <w:sz w:val="21"/>
              </w:rPr>
            </w:pPr>
            <w:proofErr w:type="gramStart"/>
            <w:r>
              <w:rPr>
                <w:color w:val="B02045"/>
                <w:sz w:val="21"/>
              </w:rPr>
              <w:t>.yyyy</w:t>
            </w:r>
            <w:proofErr w:type="gramEnd"/>
            <w:r>
              <w:rPr>
                <w:color w:val="B02045"/>
                <w:sz w:val="21"/>
              </w:rPr>
              <w:t>-MM-dd</w:t>
            </w:r>
          </w:p>
        </w:tc>
        <w:tc>
          <w:tcPr>
            <w:tcW w:w="4988" w:type="dxa"/>
          </w:tcPr>
          <w:p w14:paraId="3ED3C36C" w14:textId="77777777" w:rsidR="00A720EB" w:rsidRDefault="0030286B">
            <w:pPr>
              <w:pStyle w:val="TableParagraph"/>
              <w:spacing w:before="92"/>
              <w:rPr>
                <w:rFonts w:ascii="Cambria"/>
                <w:sz w:val="21"/>
              </w:rPr>
            </w:pPr>
            <w:r>
              <w:rPr>
                <w:rFonts w:ascii="Cambria"/>
                <w:color w:val="333333"/>
                <w:w w:val="110"/>
                <w:sz w:val="21"/>
              </w:rPr>
              <w:t>Date format to place in the log file name.</w:t>
            </w:r>
          </w:p>
        </w:tc>
      </w:tr>
      <w:tr w:rsidR="00A720EB" w14:paraId="50F6E73A" w14:textId="77777777">
        <w:trPr>
          <w:trHeight w:val="741"/>
        </w:trPr>
        <w:tc>
          <w:tcPr>
            <w:tcW w:w="2494" w:type="dxa"/>
          </w:tcPr>
          <w:p w14:paraId="6AF6988A"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.accesslo g.ipv6-canonical</w:t>
            </w:r>
          </w:p>
        </w:tc>
        <w:tc>
          <w:tcPr>
            <w:tcW w:w="2494" w:type="dxa"/>
          </w:tcPr>
          <w:p w14:paraId="1146D69A" w14:textId="77777777" w:rsidR="00A720EB" w:rsidRDefault="0030286B">
            <w:pPr>
              <w:pStyle w:val="TableParagraph"/>
              <w:rPr>
                <w:sz w:val="21"/>
              </w:rPr>
            </w:pPr>
            <w:r>
              <w:rPr>
                <w:color w:val="B02045"/>
                <w:sz w:val="21"/>
              </w:rPr>
              <w:t>false</w:t>
            </w:r>
          </w:p>
        </w:tc>
        <w:tc>
          <w:tcPr>
            <w:tcW w:w="4988" w:type="dxa"/>
          </w:tcPr>
          <w:p w14:paraId="65A39E25" w14:textId="77777777" w:rsidR="00A720EB" w:rsidRDefault="0030286B">
            <w:pPr>
              <w:pStyle w:val="TableParagraph"/>
              <w:spacing w:before="28" w:line="310" w:lineRule="atLeast"/>
              <w:rPr>
                <w:rFonts w:ascii="Cambria"/>
                <w:sz w:val="21"/>
              </w:rPr>
            </w:pPr>
            <w:r>
              <w:rPr>
                <w:rFonts w:ascii="Cambria"/>
                <w:color w:val="333333"/>
                <w:w w:val="110"/>
                <w:sz w:val="21"/>
              </w:rPr>
              <w:t>Whether to use IPv6 canonical representation format as defined by RFC 5952.</w:t>
            </w:r>
          </w:p>
        </w:tc>
      </w:tr>
      <w:tr w:rsidR="00A720EB" w14:paraId="7AF4091C" w14:textId="77777777">
        <w:trPr>
          <w:trHeight w:val="1056"/>
        </w:trPr>
        <w:tc>
          <w:tcPr>
            <w:tcW w:w="2494" w:type="dxa"/>
          </w:tcPr>
          <w:p w14:paraId="2B118A97"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g.locale</w:t>
            </w:r>
          </w:p>
        </w:tc>
        <w:tc>
          <w:tcPr>
            <w:tcW w:w="2494" w:type="dxa"/>
          </w:tcPr>
          <w:p w14:paraId="5AFE999F" w14:textId="77777777" w:rsidR="00A720EB" w:rsidRDefault="00A720EB">
            <w:pPr>
              <w:pStyle w:val="TableParagraph"/>
              <w:spacing w:before="0"/>
              <w:ind w:left="0"/>
              <w:rPr>
                <w:rFonts w:ascii="Times New Roman"/>
                <w:sz w:val="20"/>
              </w:rPr>
            </w:pPr>
          </w:p>
        </w:tc>
        <w:tc>
          <w:tcPr>
            <w:tcW w:w="4988" w:type="dxa"/>
          </w:tcPr>
          <w:p w14:paraId="74584FA3" w14:textId="77777777" w:rsidR="00A720EB" w:rsidRDefault="0030286B">
            <w:pPr>
              <w:pStyle w:val="TableParagraph"/>
              <w:spacing w:before="28" w:line="310" w:lineRule="atLeast"/>
              <w:rPr>
                <w:rFonts w:ascii="Cambria"/>
                <w:sz w:val="21"/>
              </w:rPr>
            </w:pPr>
            <w:r>
              <w:rPr>
                <w:rFonts w:ascii="Cambria"/>
                <w:color w:val="333333"/>
                <w:w w:val="110"/>
                <w:sz w:val="21"/>
              </w:rPr>
              <w:t>Locale used to format timestamps in log entries and in log file name suffix. Default to the default locale of the Java process.</w:t>
            </w:r>
          </w:p>
        </w:tc>
      </w:tr>
      <w:tr w:rsidR="00A720EB" w14:paraId="6671790E" w14:textId="77777777">
        <w:trPr>
          <w:trHeight w:val="741"/>
        </w:trPr>
        <w:tc>
          <w:tcPr>
            <w:tcW w:w="2494" w:type="dxa"/>
          </w:tcPr>
          <w:p w14:paraId="7F0E82C2"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.accesslo g.max-days</w:t>
            </w:r>
          </w:p>
        </w:tc>
        <w:tc>
          <w:tcPr>
            <w:tcW w:w="2494" w:type="dxa"/>
          </w:tcPr>
          <w:p w14:paraId="6ABB5BF6" w14:textId="77777777" w:rsidR="00A720EB" w:rsidRDefault="0030286B">
            <w:pPr>
              <w:pStyle w:val="TableParagraph"/>
              <w:spacing w:before="37"/>
              <w:rPr>
                <w:sz w:val="21"/>
              </w:rPr>
            </w:pPr>
            <w:r>
              <w:rPr>
                <w:color w:val="B02045"/>
                <w:sz w:val="21"/>
              </w:rPr>
              <w:t>-1.0</w:t>
            </w:r>
          </w:p>
        </w:tc>
        <w:tc>
          <w:tcPr>
            <w:tcW w:w="4988" w:type="dxa"/>
          </w:tcPr>
          <w:p w14:paraId="30C3E694" w14:textId="77777777" w:rsidR="00A720EB" w:rsidRDefault="0030286B">
            <w:pPr>
              <w:pStyle w:val="TableParagraph"/>
              <w:spacing w:before="28" w:line="310" w:lineRule="atLeast"/>
              <w:rPr>
                <w:rFonts w:ascii="Cambria"/>
                <w:sz w:val="21"/>
              </w:rPr>
            </w:pPr>
            <w:r>
              <w:rPr>
                <w:rFonts w:ascii="Cambria"/>
                <w:color w:val="333333"/>
                <w:w w:val="110"/>
                <w:sz w:val="21"/>
              </w:rPr>
              <w:t>Number of days to retain the access log files before they are removed.</w:t>
            </w:r>
          </w:p>
        </w:tc>
      </w:tr>
      <w:tr w:rsidR="00A720EB" w14:paraId="21C047A8" w14:textId="77777777">
        <w:trPr>
          <w:trHeight w:val="627"/>
        </w:trPr>
        <w:tc>
          <w:tcPr>
            <w:tcW w:w="2494" w:type="dxa"/>
          </w:tcPr>
          <w:p w14:paraId="2A3DFE41"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g.pattern</w:t>
            </w:r>
          </w:p>
        </w:tc>
        <w:tc>
          <w:tcPr>
            <w:tcW w:w="2494" w:type="dxa"/>
          </w:tcPr>
          <w:p w14:paraId="274FDA3B" w14:textId="77777777" w:rsidR="00A720EB" w:rsidRDefault="0030286B">
            <w:pPr>
              <w:pStyle w:val="TableParagraph"/>
              <w:spacing w:before="37"/>
              <w:rPr>
                <w:sz w:val="21"/>
              </w:rPr>
            </w:pPr>
            <w:r>
              <w:rPr>
                <w:color w:val="B02045"/>
                <w:sz w:val="21"/>
              </w:rPr>
              <w:t>common</w:t>
            </w:r>
          </w:p>
        </w:tc>
        <w:tc>
          <w:tcPr>
            <w:tcW w:w="4988" w:type="dxa"/>
          </w:tcPr>
          <w:p w14:paraId="3D73E260" w14:textId="77777777" w:rsidR="00A720EB" w:rsidRDefault="0030286B">
            <w:pPr>
              <w:pStyle w:val="TableParagraph"/>
              <w:spacing w:before="92"/>
              <w:rPr>
                <w:rFonts w:ascii="Cambria"/>
                <w:sz w:val="21"/>
              </w:rPr>
            </w:pPr>
            <w:r>
              <w:rPr>
                <w:rFonts w:ascii="Cambria"/>
                <w:color w:val="333333"/>
                <w:w w:val="110"/>
                <w:sz w:val="21"/>
              </w:rPr>
              <w:t>Format pattern for access logs.</w:t>
            </w:r>
          </w:p>
        </w:tc>
      </w:tr>
      <w:tr w:rsidR="00A720EB" w14:paraId="3755A1EF" w14:textId="77777777">
        <w:trPr>
          <w:trHeight w:val="627"/>
        </w:trPr>
        <w:tc>
          <w:tcPr>
            <w:tcW w:w="2494" w:type="dxa"/>
          </w:tcPr>
          <w:p w14:paraId="6889B625"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g.prefix</w:t>
            </w:r>
          </w:p>
        </w:tc>
        <w:tc>
          <w:tcPr>
            <w:tcW w:w="2494" w:type="dxa"/>
          </w:tcPr>
          <w:p w14:paraId="061D998A" w14:textId="77777777" w:rsidR="00A720EB" w:rsidRDefault="0030286B">
            <w:pPr>
              <w:pStyle w:val="TableParagraph"/>
              <w:spacing w:before="37"/>
              <w:rPr>
                <w:sz w:val="21"/>
              </w:rPr>
            </w:pPr>
            <w:r>
              <w:rPr>
                <w:color w:val="B02045"/>
                <w:sz w:val="21"/>
              </w:rPr>
              <w:t>access_log</w:t>
            </w:r>
          </w:p>
        </w:tc>
        <w:tc>
          <w:tcPr>
            <w:tcW w:w="4988" w:type="dxa"/>
          </w:tcPr>
          <w:p w14:paraId="3897EC6B" w14:textId="77777777" w:rsidR="00A720EB" w:rsidRDefault="0030286B">
            <w:pPr>
              <w:pStyle w:val="TableParagraph"/>
              <w:spacing w:before="92"/>
              <w:rPr>
                <w:rFonts w:ascii="Cambria"/>
                <w:sz w:val="21"/>
              </w:rPr>
            </w:pPr>
            <w:r>
              <w:rPr>
                <w:rFonts w:ascii="Cambria"/>
                <w:color w:val="333333"/>
                <w:w w:val="115"/>
                <w:sz w:val="21"/>
              </w:rPr>
              <w:t>Log file name prefix.</w:t>
            </w:r>
          </w:p>
        </w:tc>
      </w:tr>
      <w:tr w:rsidR="00A720EB" w14:paraId="1EDA483A" w14:textId="77777777">
        <w:trPr>
          <w:trHeight w:val="741"/>
        </w:trPr>
        <w:tc>
          <w:tcPr>
            <w:tcW w:w="2494" w:type="dxa"/>
          </w:tcPr>
          <w:p w14:paraId="6B32183A"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.accesslo g.rename-on-rotate</w:t>
            </w:r>
          </w:p>
        </w:tc>
        <w:tc>
          <w:tcPr>
            <w:tcW w:w="2494" w:type="dxa"/>
          </w:tcPr>
          <w:p w14:paraId="7BD85111" w14:textId="77777777" w:rsidR="00A720EB" w:rsidRDefault="0030286B">
            <w:pPr>
              <w:pStyle w:val="TableParagraph"/>
              <w:rPr>
                <w:sz w:val="21"/>
              </w:rPr>
            </w:pPr>
            <w:r>
              <w:rPr>
                <w:color w:val="B02045"/>
                <w:sz w:val="21"/>
              </w:rPr>
              <w:t>false</w:t>
            </w:r>
          </w:p>
        </w:tc>
        <w:tc>
          <w:tcPr>
            <w:tcW w:w="4988" w:type="dxa"/>
          </w:tcPr>
          <w:p w14:paraId="34AAFDE0" w14:textId="77777777" w:rsidR="00A720EB" w:rsidRDefault="0030286B">
            <w:pPr>
              <w:pStyle w:val="TableParagraph"/>
              <w:spacing w:before="28" w:line="310" w:lineRule="atLeast"/>
              <w:rPr>
                <w:rFonts w:ascii="Cambria"/>
                <w:sz w:val="21"/>
              </w:rPr>
            </w:pPr>
            <w:r>
              <w:rPr>
                <w:rFonts w:ascii="Cambria"/>
                <w:color w:val="333333"/>
                <w:w w:val="110"/>
                <w:sz w:val="21"/>
              </w:rPr>
              <w:t>Whether to defer inclusion of the date stamp in the file name until rotate time.</w:t>
            </w:r>
          </w:p>
        </w:tc>
      </w:tr>
    </w:tbl>
    <w:p w14:paraId="3711A858"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7CC7EF8" w14:textId="77777777">
        <w:trPr>
          <w:trHeight w:val="415"/>
        </w:trPr>
        <w:tc>
          <w:tcPr>
            <w:tcW w:w="2494" w:type="dxa"/>
            <w:tcBorders>
              <w:bottom w:val="single" w:sz="12" w:space="0" w:color="DDDDDD"/>
            </w:tcBorders>
          </w:tcPr>
          <w:p w14:paraId="3B74188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FDEB83B"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E4E958F"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49826D7" w14:textId="77777777">
        <w:trPr>
          <w:trHeight w:val="1046"/>
        </w:trPr>
        <w:tc>
          <w:tcPr>
            <w:tcW w:w="2494" w:type="dxa"/>
            <w:tcBorders>
              <w:top w:val="single" w:sz="12" w:space="0" w:color="DDDDDD"/>
            </w:tcBorders>
          </w:tcPr>
          <w:p w14:paraId="3B2FB8C6" w14:textId="77777777" w:rsidR="00A720EB" w:rsidRDefault="0030286B">
            <w:pPr>
              <w:pStyle w:val="TableParagraph"/>
              <w:spacing w:before="36" w:line="230" w:lineRule="auto"/>
              <w:ind w:right="113"/>
              <w:rPr>
                <w:sz w:val="21"/>
              </w:rPr>
            </w:pPr>
            <w:proofErr w:type="gramStart"/>
            <w:r>
              <w:rPr>
                <w:color w:val="B02045"/>
                <w:sz w:val="21"/>
              </w:rPr>
              <w:t>server.tomcat</w:t>
            </w:r>
            <w:proofErr w:type="gramEnd"/>
            <w:r>
              <w:rPr>
                <w:color w:val="B02045"/>
                <w:sz w:val="21"/>
              </w:rPr>
              <w:t>.accesslo g.request-attributes- enabled</w:t>
            </w:r>
          </w:p>
        </w:tc>
        <w:tc>
          <w:tcPr>
            <w:tcW w:w="2494" w:type="dxa"/>
            <w:tcBorders>
              <w:top w:val="single" w:sz="12" w:space="0" w:color="DDDDDD"/>
            </w:tcBorders>
          </w:tcPr>
          <w:p w14:paraId="30D0651D" w14:textId="77777777" w:rsidR="00A720EB" w:rsidRDefault="0030286B">
            <w:pPr>
              <w:pStyle w:val="TableParagraph"/>
              <w:spacing w:before="27"/>
              <w:rPr>
                <w:sz w:val="21"/>
              </w:rPr>
            </w:pPr>
            <w:r>
              <w:rPr>
                <w:color w:val="B02045"/>
                <w:sz w:val="21"/>
              </w:rPr>
              <w:t>false</w:t>
            </w:r>
          </w:p>
        </w:tc>
        <w:tc>
          <w:tcPr>
            <w:tcW w:w="4988" w:type="dxa"/>
            <w:tcBorders>
              <w:top w:val="single" w:sz="12" w:space="0" w:color="DDDDDD"/>
            </w:tcBorders>
          </w:tcPr>
          <w:p w14:paraId="45C3D390" w14:textId="77777777" w:rsidR="00A720EB" w:rsidRDefault="0030286B">
            <w:pPr>
              <w:pStyle w:val="TableParagraph"/>
              <w:spacing w:before="18" w:line="310" w:lineRule="atLeast"/>
              <w:ind w:right="372"/>
              <w:rPr>
                <w:rFonts w:ascii="Cambria"/>
                <w:sz w:val="21"/>
              </w:rPr>
            </w:pPr>
            <w:r>
              <w:rPr>
                <w:rFonts w:ascii="Cambria"/>
                <w:color w:val="333333"/>
                <w:w w:val="110"/>
                <w:sz w:val="21"/>
              </w:rPr>
              <w:t>Set request attributes for the IP address, Hostname, protocol, and port used for the request.</w:t>
            </w:r>
          </w:p>
        </w:tc>
      </w:tr>
      <w:tr w:rsidR="00A720EB" w14:paraId="0DA6CFA0" w14:textId="77777777">
        <w:trPr>
          <w:trHeight w:val="627"/>
        </w:trPr>
        <w:tc>
          <w:tcPr>
            <w:tcW w:w="2494" w:type="dxa"/>
          </w:tcPr>
          <w:p w14:paraId="5C16AC51"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g.rotate</w:t>
            </w:r>
          </w:p>
        </w:tc>
        <w:tc>
          <w:tcPr>
            <w:tcW w:w="2494" w:type="dxa"/>
          </w:tcPr>
          <w:p w14:paraId="6CDD91B0" w14:textId="77777777" w:rsidR="00A720EB" w:rsidRDefault="0030286B">
            <w:pPr>
              <w:pStyle w:val="TableParagraph"/>
              <w:rPr>
                <w:sz w:val="21"/>
              </w:rPr>
            </w:pPr>
            <w:r>
              <w:rPr>
                <w:color w:val="B02045"/>
                <w:sz w:val="21"/>
              </w:rPr>
              <w:t>true</w:t>
            </w:r>
          </w:p>
        </w:tc>
        <w:tc>
          <w:tcPr>
            <w:tcW w:w="4988" w:type="dxa"/>
          </w:tcPr>
          <w:p w14:paraId="0B2B0D38" w14:textId="77777777" w:rsidR="00A720EB" w:rsidRDefault="0030286B">
            <w:pPr>
              <w:pStyle w:val="TableParagraph"/>
              <w:spacing w:before="92"/>
              <w:rPr>
                <w:rFonts w:ascii="Cambria"/>
                <w:sz w:val="21"/>
              </w:rPr>
            </w:pPr>
            <w:r>
              <w:rPr>
                <w:rFonts w:ascii="Cambria"/>
                <w:color w:val="333333"/>
                <w:w w:val="110"/>
                <w:sz w:val="21"/>
              </w:rPr>
              <w:t>Whether to enable access log rotation.</w:t>
            </w:r>
          </w:p>
        </w:tc>
      </w:tr>
      <w:tr w:rsidR="00A720EB" w14:paraId="2CBBD23E" w14:textId="77777777">
        <w:trPr>
          <w:trHeight w:val="627"/>
        </w:trPr>
        <w:tc>
          <w:tcPr>
            <w:tcW w:w="2494" w:type="dxa"/>
          </w:tcPr>
          <w:p w14:paraId="5377DC07"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.accesslo g.suffix</w:t>
            </w:r>
          </w:p>
        </w:tc>
        <w:tc>
          <w:tcPr>
            <w:tcW w:w="2494" w:type="dxa"/>
          </w:tcPr>
          <w:p w14:paraId="3840ED82" w14:textId="77777777" w:rsidR="00A720EB" w:rsidRDefault="0030286B">
            <w:pPr>
              <w:pStyle w:val="TableParagraph"/>
              <w:rPr>
                <w:sz w:val="21"/>
              </w:rPr>
            </w:pPr>
            <w:r>
              <w:rPr>
                <w:color w:val="B02045"/>
                <w:sz w:val="21"/>
              </w:rPr>
              <w:t>.log</w:t>
            </w:r>
          </w:p>
        </w:tc>
        <w:tc>
          <w:tcPr>
            <w:tcW w:w="4988" w:type="dxa"/>
          </w:tcPr>
          <w:p w14:paraId="2DE45C75" w14:textId="77777777" w:rsidR="00A720EB" w:rsidRDefault="0030286B">
            <w:pPr>
              <w:pStyle w:val="TableParagraph"/>
              <w:spacing w:before="92"/>
              <w:rPr>
                <w:rFonts w:ascii="Cambria"/>
                <w:sz w:val="21"/>
              </w:rPr>
            </w:pPr>
            <w:r>
              <w:rPr>
                <w:rFonts w:ascii="Cambria"/>
                <w:color w:val="333333"/>
                <w:w w:val="115"/>
                <w:sz w:val="21"/>
              </w:rPr>
              <w:t>Log file name suffix.</w:t>
            </w:r>
          </w:p>
        </w:tc>
      </w:tr>
      <w:tr w:rsidR="00A720EB" w14:paraId="4558EBBB" w14:textId="77777777">
        <w:trPr>
          <w:trHeight w:val="1687"/>
        </w:trPr>
        <w:tc>
          <w:tcPr>
            <w:tcW w:w="2494" w:type="dxa"/>
          </w:tcPr>
          <w:p w14:paraId="3C7D50EB"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.addition al-tld-skip-patterns</w:t>
            </w:r>
          </w:p>
        </w:tc>
        <w:tc>
          <w:tcPr>
            <w:tcW w:w="2494" w:type="dxa"/>
          </w:tcPr>
          <w:p w14:paraId="2E960A49" w14:textId="77777777" w:rsidR="00A720EB" w:rsidRDefault="00A720EB">
            <w:pPr>
              <w:pStyle w:val="TableParagraph"/>
              <w:spacing w:before="0"/>
              <w:ind w:left="0"/>
              <w:rPr>
                <w:rFonts w:ascii="Times New Roman"/>
                <w:sz w:val="20"/>
              </w:rPr>
            </w:pPr>
          </w:p>
        </w:tc>
        <w:tc>
          <w:tcPr>
            <w:tcW w:w="4988" w:type="dxa"/>
          </w:tcPr>
          <w:p w14:paraId="4D154DDD" w14:textId="77777777" w:rsidR="00A720EB" w:rsidRDefault="0030286B">
            <w:pPr>
              <w:pStyle w:val="TableParagraph"/>
              <w:spacing w:before="92" w:line="307" w:lineRule="auto"/>
              <w:ind w:right="106"/>
              <w:rPr>
                <w:rFonts w:ascii="Cambria"/>
                <w:sz w:val="21"/>
              </w:rPr>
            </w:pPr>
            <w:r>
              <w:rPr>
                <w:rFonts w:ascii="Cambria"/>
                <w:color w:val="333333"/>
                <w:w w:val="110"/>
                <w:sz w:val="21"/>
              </w:rPr>
              <w:t xml:space="preserve">Comma-separated list of additional patterns that match jars to ignore for TLD scanning. The special '?' and '*' characters can be used in the pattern to match one and only one </w:t>
            </w:r>
            <w:proofErr w:type="gramStart"/>
            <w:r>
              <w:rPr>
                <w:rFonts w:ascii="Cambria"/>
                <w:color w:val="333333"/>
                <w:w w:val="110"/>
                <w:sz w:val="21"/>
              </w:rPr>
              <w:t>character  and</w:t>
            </w:r>
            <w:proofErr w:type="gramEnd"/>
            <w:r>
              <w:rPr>
                <w:rFonts w:ascii="Cambria"/>
                <w:color w:val="333333"/>
                <w:w w:val="110"/>
                <w:sz w:val="21"/>
              </w:rPr>
              <w:t xml:space="preserve"> zero or more characters</w:t>
            </w:r>
            <w:r>
              <w:rPr>
                <w:rFonts w:ascii="Cambria"/>
                <w:color w:val="333333"/>
                <w:spacing w:val="25"/>
                <w:w w:val="110"/>
                <w:sz w:val="21"/>
              </w:rPr>
              <w:t xml:space="preserve"> </w:t>
            </w:r>
            <w:r>
              <w:rPr>
                <w:rFonts w:ascii="Cambria"/>
                <w:color w:val="333333"/>
                <w:spacing w:val="-3"/>
                <w:w w:val="110"/>
                <w:sz w:val="21"/>
              </w:rPr>
              <w:t>respectively.</w:t>
            </w:r>
          </w:p>
        </w:tc>
      </w:tr>
      <w:tr w:rsidR="00A720EB" w14:paraId="5DBB5733" w14:textId="77777777">
        <w:trPr>
          <w:trHeight w:val="1056"/>
        </w:trPr>
        <w:tc>
          <w:tcPr>
            <w:tcW w:w="2494" w:type="dxa"/>
          </w:tcPr>
          <w:p w14:paraId="7F58339B"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.backgrou nd-processor-delay</w:t>
            </w:r>
          </w:p>
        </w:tc>
        <w:tc>
          <w:tcPr>
            <w:tcW w:w="2494" w:type="dxa"/>
          </w:tcPr>
          <w:p w14:paraId="75C0B6DE" w14:textId="77777777" w:rsidR="00A720EB" w:rsidRDefault="0030286B">
            <w:pPr>
              <w:pStyle w:val="TableParagraph"/>
              <w:rPr>
                <w:sz w:val="21"/>
              </w:rPr>
            </w:pPr>
            <w:r>
              <w:rPr>
                <w:color w:val="B02045"/>
                <w:sz w:val="21"/>
              </w:rPr>
              <w:t>10s</w:t>
            </w:r>
          </w:p>
        </w:tc>
        <w:tc>
          <w:tcPr>
            <w:tcW w:w="4988" w:type="dxa"/>
          </w:tcPr>
          <w:p w14:paraId="7D3462B3" w14:textId="77777777" w:rsidR="00A720EB" w:rsidRDefault="0030286B">
            <w:pPr>
              <w:pStyle w:val="TableParagraph"/>
              <w:spacing w:before="28" w:line="310" w:lineRule="atLeast"/>
              <w:ind w:right="44"/>
              <w:rPr>
                <w:rFonts w:ascii="Cambria"/>
                <w:sz w:val="21"/>
              </w:rPr>
            </w:pPr>
            <w:r>
              <w:rPr>
                <w:rFonts w:ascii="Cambria"/>
                <w:color w:val="333333"/>
                <w:w w:val="110"/>
                <w:sz w:val="21"/>
              </w:rPr>
              <w:t>Delay between the invocation of backgroundProcess methods. If a duration suffix is not specified, seconds will be used.</w:t>
            </w:r>
          </w:p>
        </w:tc>
      </w:tr>
      <w:tr w:rsidR="00A720EB" w14:paraId="42C03295" w14:textId="77777777">
        <w:trPr>
          <w:trHeight w:val="741"/>
        </w:trPr>
        <w:tc>
          <w:tcPr>
            <w:tcW w:w="2494" w:type="dxa"/>
          </w:tcPr>
          <w:p w14:paraId="770D2833" w14:textId="77777777" w:rsidR="00A720EB" w:rsidRDefault="0030286B">
            <w:pPr>
              <w:pStyle w:val="TableParagraph"/>
              <w:rPr>
                <w:sz w:val="21"/>
              </w:rPr>
            </w:pPr>
            <w:proofErr w:type="gramStart"/>
            <w:r>
              <w:rPr>
                <w:color w:val="B02045"/>
                <w:sz w:val="21"/>
              </w:rPr>
              <w:t>server.tomcat</w:t>
            </w:r>
            <w:proofErr w:type="gramEnd"/>
            <w:r>
              <w:rPr>
                <w:color w:val="B02045"/>
                <w:sz w:val="21"/>
              </w:rPr>
              <w:t>.basedir</w:t>
            </w:r>
          </w:p>
        </w:tc>
        <w:tc>
          <w:tcPr>
            <w:tcW w:w="2494" w:type="dxa"/>
          </w:tcPr>
          <w:p w14:paraId="4ECC2337" w14:textId="77777777" w:rsidR="00A720EB" w:rsidRDefault="00A720EB">
            <w:pPr>
              <w:pStyle w:val="TableParagraph"/>
              <w:spacing w:before="0"/>
              <w:ind w:left="0"/>
              <w:rPr>
                <w:rFonts w:ascii="Times New Roman"/>
                <w:sz w:val="20"/>
              </w:rPr>
            </w:pPr>
          </w:p>
        </w:tc>
        <w:tc>
          <w:tcPr>
            <w:tcW w:w="4988" w:type="dxa"/>
          </w:tcPr>
          <w:p w14:paraId="086FC409" w14:textId="77777777" w:rsidR="00A720EB" w:rsidRDefault="0030286B">
            <w:pPr>
              <w:pStyle w:val="TableParagraph"/>
              <w:spacing w:before="28" w:line="310" w:lineRule="atLeast"/>
              <w:rPr>
                <w:rFonts w:ascii="Cambria"/>
                <w:sz w:val="21"/>
              </w:rPr>
            </w:pPr>
            <w:r>
              <w:rPr>
                <w:rFonts w:ascii="Cambria"/>
                <w:color w:val="333333"/>
                <w:w w:val="110"/>
                <w:sz w:val="21"/>
              </w:rPr>
              <w:t>Tomcat base directory. If not specified, a temporary directory is used.</w:t>
            </w:r>
          </w:p>
        </w:tc>
      </w:tr>
      <w:tr w:rsidR="00A720EB" w14:paraId="73F702E3" w14:textId="77777777">
        <w:trPr>
          <w:trHeight w:val="1056"/>
        </w:trPr>
        <w:tc>
          <w:tcPr>
            <w:tcW w:w="2494" w:type="dxa"/>
          </w:tcPr>
          <w:p w14:paraId="62616980"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.connecti on-timeout</w:t>
            </w:r>
          </w:p>
        </w:tc>
        <w:tc>
          <w:tcPr>
            <w:tcW w:w="2494" w:type="dxa"/>
          </w:tcPr>
          <w:p w14:paraId="4E193881" w14:textId="77777777" w:rsidR="00A720EB" w:rsidRDefault="00A720EB">
            <w:pPr>
              <w:pStyle w:val="TableParagraph"/>
              <w:spacing w:before="0"/>
              <w:ind w:left="0"/>
              <w:rPr>
                <w:rFonts w:ascii="Times New Roman"/>
                <w:sz w:val="20"/>
              </w:rPr>
            </w:pPr>
          </w:p>
        </w:tc>
        <w:tc>
          <w:tcPr>
            <w:tcW w:w="4988" w:type="dxa"/>
          </w:tcPr>
          <w:p w14:paraId="38998102" w14:textId="77777777" w:rsidR="00A720EB" w:rsidRDefault="0030286B">
            <w:pPr>
              <w:pStyle w:val="TableParagraph"/>
              <w:spacing w:before="28" w:line="310" w:lineRule="atLeast"/>
              <w:ind w:right="218"/>
              <w:rPr>
                <w:rFonts w:ascii="Cambria"/>
                <w:sz w:val="21"/>
              </w:rPr>
            </w:pPr>
            <w:r>
              <w:rPr>
                <w:rFonts w:ascii="Cambria"/>
                <w:color w:val="333333"/>
                <w:w w:val="110"/>
                <w:sz w:val="21"/>
              </w:rPr>
              <w:t>Amount of time the connector will wait, after accepting a connection, for the request URI line to be presented.</w:t>
            </w:r>
          </w:p>
        </w:tc>
      </w:tr>
      <w:tr w:rsidR="00A720EB" w14:paraId="34AC66A6" w14:textId="77777777">
        <w:trPr>
          <w:trHeight w:val="1688"/>
        </w:trPr>
        <w:tc>
          <w:tcPr>
            <w:tcW w:w="2494" w:type="dxa"/>
          </w:tcPr>
          <w:p w14:paraId="6636C482" w14:textId="77777777" w:rsidR="00A720EB" w:rsidRDefault="0030286B">
            <w:pPr>
              <w:pStyle w:val="TableParagraph"/>
              <w:spacing w:before="46" w:line="230" w:lineRule="auto"/>
              <w:ind w:right="514"/>
              <w:rPr>
                <w:sz w:val="21"/>
              </w:rPr>
            </w:pPr>
            <w:r>
              <w:rPr>
                <w:color w:val="B02045"/>
                <w:sz w:val="21"/>
              </w:rPr>
              <w:t>server.tomcat.max- connections</w:t>
            </w:r>
          </w:p>
        </w:tc>
        <w:tc>
          <w:tcPr>
            <w:tcW w:w="2494" w:type="dxa"/>
          </w:tcPr>
          <w:p w14:paraId="5E1DADC7" w14:textId="77777777" w:rsidR="00A720EB" w:rsidRDefault="0030286B">
            <w:pPr>
              <w:pStyle w:val="TableParagraph"/>
              <w:spacing w:before="37"/>
              <w:rPr>
                <w:sz w:val="21"/>
              </w:rPr>
            </w:pPr>
            <w:r>
              <w:rPr>
                <w:color w:val="B02045"/>
                <w:sz w:val="21"/>
              </w:rPr>
              <w:t>8192.0</w:t>
            </w:r>
          </w:p>
        </w:tc>
        <w:tc>
          <w:tcPr>
            <w:tcW w:w="4988" w:type="dxa"/>
          </w:tcPr>
          <w:p w14:paraId="33A0A37B" w14:textId="77777777" w:rsidR="00A720EB" w:rsidRDefault="0030286B">
            <w:pPr>
              <w:pStyle w:val="TableParagraph"/>
              <w:spacing w:before="92" w:line="307" w:lineRule="auto"/>
              <w:ind w:right="60"/>
              <w:rPr>
                <w:rFonts w:ascii="Cambria"/>
                <w:sz w:val="21"/>
              </w:rPr>
            </w:pPr>
            <w:r>
              <w:rPr>
                <w:rFonts w:ascii="Cambria"/>
                <w:color w:val="333333"/>
                <w:w w:val="110"/>
                <w:sz w:val="21"/>
              </w:rPr>
              <w:t xml:space="preserve">Maximum number of </w:t>
            </w:r>
            <w:proofErr w:type="gramStart"/>
            <w:r>
              <w:rPr>
                <w:rFonts w:ascii="Cambria"/>
                <w:color w:val="333333"/>
                <w:w w:val="110"/>
                <w:sz w:val="21"/>
              </w:rPr>
              <w:t>connections  that</w:t>
            </w:r>
            <w:proofErr w:type="gramEnd"/>
            <w:r>
              <w:rPr>
                <w:rFonts w:ascii="Cambria"/>
                <w:color w:val="333333"/>
                <w:w w:val="110"/>
                <w:sz w:val="21"/>
              </w:rPr>
              <w:t xml:space="preserve">  the server accepts and processes at any given time. Once the limit has been reached, the operating system may still accept connections based on the "acceptCount"</w:t>
            </w:r>
            <w:r>
              <w:rPr>
                <w:rFonts w:ascii="Cambria"/>
                <w:color w:val="333333"/>
                <w:spacing w:val="3"/>
                <w:w w:val="110"/>
                <w:sz w:val="21"/>
              </w:rPr>
              <w:t xml:space="preserve"> </w:t>
            </w:r>
            <w:r>
              <w:rPr>
                <w:rFonts w:ascii="Cambria"/>
                <w:color w:val="333333"/>
                <w:spacing w:val="-3"/>
                <w:w w:val="110"/>
                <w:sz w:val="21"/>
              </w:rPr>
              <w:t>property.</w:t>
            </w:r>
          </w:p>
        </w:tc>
      </w:tr>
      <w:tr w:rsidR="00A720EB" w14:paraId="33A00697" w14:textId="77777777">
        <w:trPr>
          <w:trHeight w:val="741"/>
        </w:trPr>
        <w:tc>
          <w:tcPr>
            <w:tcW w:w="2494" w:type="dxa"/>
          </w:tcPr>
          <w:p w14:paraId="54EAB449" w14:textId="77777777" w:rsidR="00A720EB" w:rsidRDefault="0030286B">
            <w:pPr>
              <w:pStyle w:val="TableParagraph"/>
              <w:spacing w:before="46" w:line="230" w:lineRule="auto"/>
              <w:ind w:right="428"/>
              <w:rPr>
                <w:sz w:val="21"/>
              </w:rPr>
            </w:pPr>
            <w:r>
              <w:rPr>
                <w:color w:val="B02045"/>
                <w:sz w:val="21"/>
              </w:rPr>
              <w:t>server.tomcat.max- http-form-post-size</w:t>
            </w:r>
          </w:p>
        </w:tc>
        <w:tc>
          <w:tcPr>
            <w:tcW w:w="2494" w:type="dxa"/>
          </w:tcPr>
          <w:p w14:paraId="4B134762" w14:textId="77777777" w:rsidR="00A720EB" w:rsidRDefault="0030286B">
            <w:pPr>
              <w:pStyle w:val="TableParagraph"/>
              <w:spacing w:before="37"/>
              <w:rPr>
                <w:sz w:val="21"/>
              </w:rPr>
            </w:pPr>
            <w:r>
              <w:rPr>
                <w:color w:val="B02045"/>
                <w:sz w:val="21"/>
              </w:rPr>
              <w:t>2MB</w:t>
            </w:r>
          </w:p>
        </w:tc>
        <w:tc>
          <w:tcPr>
            <w:tcW w:w="4988" w:type="dxa"/>
          </w:tcPr>
          <w:p w14:paraId="3DA665E6" w14:textId="77777777" w:rsidR="00A720EB" w:rsidRDefault="0030286B">
            <w:pPr>
              <w:pStyle w:val="TableParagraph"/>
              <w:spacing w:before="28" w:line="310" w:lineRule="atLeast"/>
              <w:rPr>
                <w:rFonts w:ascii="Cambria"/>
                <w:sz w:val="21"/>
              </w:rPr>
            </w:pPr>
            <w:r>
              <w:rPr>
                <w:rFonts w:ascii="Cambria"/>
                <w:color w:val="333333"/>
                <w:w w:val="110"/>
                <w:sz w:val="21"/>
              </w:rPr>
              <w:t>Maximum size of the form content in any HTTP post request.</w:t>
            </w:r>
          </w:p>
        </w:tc>
      </w:tr>
      <w:tr w:rsidR="00A720EB" w14:paraId="113C02D2" w14:textId="77777777">
        <w:trPr>
          <w:trHeight w:val="627"/>
        </w:trPr>
        <w:tc>
          <w:tcPr>
            <w:tcW w:w="2494" w:type="dxa"/>
          </w:tcPr>
          <w:p w14:paraId="1D29A720" w14:textId="77777777" w:rsidR="00A720EB" w:rsidRDefault="0030286B">
            <w:pPr>
              <w:pStyle w:val="TableParagraph"/>
              <w:spacing w:before="46" w:line="230" w:lineRule="auto"/>
              <w:ind w:right="533"/>
              <w:rPr>
                <w:sz w:val="21"/>
              </w:rPr>
            </w:pPr>
            <w:r>
              <w:rPr>
                <w:color w:val="B02045"/>
                <w:sz w:val="21"/>
              </w:rPr>
              <w:t>server.tomcat.max- swallow-size</w:t>
            </w:r>
          </w:p>
        </w:tc>
        <w:tc>
          <w:tcPr>
            <w:tcW w:w="2494" w:type="dxa"/>
          </w:tcPr>
          <w:p w14:paraId="61FD290D" w14:textId="77777777" w:rsidR="00A720EB" w:rsidRDefault="0030286B">
            <w:pPr>
              <w:pStyle w:val="TableParagraph"/>
              <w:rPr>
                <w:sz w:val="21"/>
              </w:rPr>
            </w:pPr>
            <w:r>
              <w:rPr>
                <w:color w:val="B02045"/>
                <w:sz w:val="21"/>
              </w:rPr>
              <w:t>2MB</w:t>
            </w:r>
          </w:p>
        </w:tc>
        <w:tc>
          <w:tcPr>
            <w:tcW w:w="4988" w:type="dxa"/>
          </w:tcPr>
          <w:p w14:paraId="481CBAED" w14:textId="77777777" w:rsidR="00A720EB" w:rsidRDefault="0030286B">
            <w:pPr>
              <w:pStyle w:val="TableParagraph"/>
              <w:spacing w:before="92"/>
              <w:rPr>
                <w:rFonts w:ascii="Cambria"/>
                <w:sz w:val="21"/>
              </w:rPr>
            </w:pPr>
            <w:r>
              <w:rPr>
                <w:rFonts w:ascii="Cambria"/>
                <w:color w:val="333333"/>
                <w:w w:val="110"/>
                <w:sz w:val="21"/>
              </w:rPr>
              <w:t xml:space="preserve">Maximum amount of request body to </w:t>
            </w:r>
            <w:r>
              <w:rPr>
                <w:rFonts w:ascii="Cambria"/>
                <w:color w:val="333333"/>
                <w:spacing w:val="-3"/>
                <w:w w:val="110"/>
                <w:sz w:val="21"/>
              </w:rPr>
              <w:t>swallow.</w:t>
            </w:r>
          </w:p>
        </w:tc>
      </w:tr>
      <w:tr w:rsidR="00A720EB" w14:paraId="4C20C29F" w14:textId="77777777">
        <w:trPr>
          <w:trHeight w:val="741"/>
        </w:trPr>
        <w:tc>
          <w:tcPr>
            <w:tcW w:w="2494" w:type="dxa"/>
          </w:tcPr>
          <w:p w14:paraId="4644FB45"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.mbeanreg istry.enabled</w:t>
            </w:r>
          </w:p>
        </w:tc>
        <w:tc>
          <w:tcPr>
            <w:tcW w:w="2494" w:type="dxa"/>
          </w:tcPr>
          <w:p w14:paraId="5F685CC2" w14:textId="77777777" w:rsidR="00A720EB" w:rsidRDefault="0030286B">
            <w:pPr>
              <w:pStyle w:val="TableParagraph"/>
              <w:spacing w:before="37"/>
              <w:rPr>
                <w:sz w:val="21"/>
              </w:rPr>
            </w:pPr>
            <w:r>
              <w:rPr>
                <w:color w:val="B02045"/>
                <w:sz w:val="21"/>
              </w:rPr>
              <w:t>false</w:t>
            </w:r>
          </w:p>
        </w:tc>
        <w:tc>
          <w:tcPr>
            <w:tcW w:w="4988" w:type="dxa"/>
          </w:tcPr>
          <w:p w14:paraId="41BB5E63" w14:textId="77777777" w:rsidR="00A720EB" w:rsidRDefault="0030286B">
            <w:pPr>
              <w:pStyle w:val="TableParagraph"/>
              <w:spacing w:before="28" w:line="310" w:lineRule="atLeast"/>
              <w:rPr>
                <w:rFonts w:ascii="Cambria"/>
                <w:sz w:val="21"/>
              </w:rPr>
            </w:pPr>
            <w:r>
              <w:rPr>
                <w:rFonts w:ascii="Cambria"/>
                <w:color w:val="333333"/>
                <w:w w:val="110"/>
                <w:sz w:val="21"/>
              </w:rPr>
              <w:t>Whether Tomcat's MBean Registry should be enabled.</w:t>
            </w:r>
          </w:p>
        </w:tc>
      </w:tr>
      <w:tr w:rsidR="00A720EB" w14:paraId="4D115F6A" w14:textId="77777777">
        <w:trPr>
          <w:trHeight w:val="2003"/>
        </w:trPr>
        <w:tc>
          <w:tcPr>
            <w:tcW w:w="2494" w:type="dxa"/>
          </w:tcPr>
          <w:p w14:paraId="1FD7329E"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.processo r-cache</w:t>
            </w:r>
          </w:p>
        </w:tc>
        <w:tc>
          <w:tcPr>
            <w:tcW w:w="2494" w:type="dxa"/>
          </w:tcPr>
          <w:p w14:paraId="1DBD9D9C" w14:textId="77777777" w:rsidR="00A720EB" w:rsidRDefault="0030286B">
            <w:pPr>
              <w:pStyle w:val="TableParagraph"/>
              <w:spacing w:before="37"/>
              <w:rPr>
                <w:sz w:val="21"/>
              </w:rPr>
            </w:pPr>
            <w:r>
              <w:rPr>
                <w:color w:val="B02045"/>
                <w:sz w:val="21"/>
              </w:rPr>
              <w:t>200.0</w:t>
            </w:r>
          </w:p>
        </w:tc>
        <w:tc>
          <w:tcPr>
            <w:tcW w:w="4988" w:type="dxa"/>
          </w:tcPr>
          <w:p w14:paraId="0E5424B8" w14:textId="77777777" w:rsidR="00A720EB" w:rsidRDefault="0030286B">
            <w:pPr>
              <w:pStyle w:val="TableParagraph"/>
              <w:spacing w:before="92" w:line="307" w:lineRule="auto"/>
              <w:ind w:right="102"/>
              <w:rPr>
                <w:rFonts w:ascii="Cambria"/>
                <w:sz w:val="21"/>
              </w:rPr>
            </w:pPr>
            <w:r>
              <w:rPr>
                <w:rFonts w:ascii="Cambria"/>
                <w:color w:val="333333"/>
                <w:w w:val="110"/>
                <w:sz w:val="21"/>
              </w:rPr>
              <w:t xml:space="preserve">Maximum number of idle processors that will be retained in the cache and reused with a subsequent request. When set to -1 the </w:t>
            </w:r>
            <w:proofErr w:type="gramStart"/>
            <w:r>
              <w:rPr>
                <w:rFonts w:ascii="Cambria"/>
                <w:color w:val="333333"/>
                <w:w w:val="110"/>
                <w:sz w:val="21"/>
              </w:rPr>
              <w:t>cache  will</w:t>
            </w:r>
            <w:proofErr w:type="gramEnd"/>
            <w:r>
              <w:rPr>
                <w:rFonts w:ascii="Cambria"/>
                <w:color w:val="333333"/>
                <w:w w:val="110"/>
                <w:sz w:val="21"/>
              </w:rPr>
              <w:t xml:space="preserve"> be unlimited with a theoretical maximum size equal to the maximum number of connections.</w:t>
            </w:r>
          </w:p>
        </w:tc>
      </w:tr>
      <w:tr w:rsidR="00A720EB" w14:paraId="65A6908E" w14:textId="77777777">
        <w:trPr>
          <w:trHeight w:val="741"/>
        </w:trPr>
        <w:tc>
          <w:tcPr>
            <w:tcW w:w="2494" w:type="dxa"/>
          </w:tcPr>
          <w:p w14:paraId="2E8644AB" w14:textId="77777777" w:rsidR="00A720EB" w:rsidRDefault="0030286B">
            <w:pPr>
              <w:pStyle w:val="TableParagraph"/>
              <w:spacing w:line="264" w:lineRule="exact"/>
              <w:rPr>
                <w:sz w:val="21"/>
              </w:rPr>
            </w:pPr>
            <w:proofErr w:type="gramStart"/>
            <w:r>
              <w:rPr>
                <w:color w:val="B02045"/>
                <w:sz w:val="21"/>
              </w:rPr>
              <w:t>server.tomcat</w:t>
            </w:r>
            <w:proofErr w:type="gramEnd"/>
            <w:r>
              <w:rPr>
                <w:color w:val="B02045"/>
                <w:sz w:val="21"/>
              </w:rPr>
              <w:t>.redirect</w:t>
            </w:r>
          </w:p>
          <w:p w14:paraId="700521D2" w14:textId="77777777" w:rsidR="00A720EB" w:rsidRDefault="0030286B">
            <w:pPr>
              <w:pStyle w:val="TableParagraph"/>
              <w:spacing w:before="0" w:line="264" w:lineRule="exact"/>
              <w:rPr>
                <w:sz w:val="21"/>
              </w:rPr>
            </w:pPr>
            <w:r>
              <w:rPr>
                <w:color w:val="B02045"/>
                <w:sz w:val="21"/>
              </w:rPr>
              <w:t>-context-root</w:t>
            </w:r>
          </w:p>
        </w:tc>
        <w:tc>
          <w:tcPr>
            <w:tcW w:w="2494" w:type="dxa"/>
          </w:tcPr>
          <w:p w14:paraId="0FEF5CFE" w14:textId="77777777" w:rsidR="00A720EB" w:rsidRDefault="0030286B">
            <w:pPr>
              <w:pStyle w:val="TableParagraph"/>
              <w:rPr>
                <w:sz w:val="21"/>
              </w:rPr>
            </w:pPr>
            <w:r>
              <w:rPr>
                <w:color w:val="B02045"/>
                <w:sz w:val="21"/>
              </w:rPr>
              <w:t>true</w:t>
            </w:r>
          </w:p>
        </w:tc>
        <w:tc>
          <w:tcPr>
            <w:tcW w:w="4988" w:type="dxa"/>
          </w:tcPr>
          <w:p w14:paraId="6CCF3EBC" w14:textId="77777777" w:rsidR="00A720EB" w:rsidRDefault="0030286B">
            <w:pPr>
              <w:pStyle w:val="TableParagraph"/>
              <w:spacing w:before="28" w:line="310" w:lineRule="atLeast"/>
              <w:rPr>
                <w:rFonts w:ascii="Cambria"/>
                <w:sz w:val="21"/>
              </w:rPr>
            </w:pPr>
            <w:r>
              <w:rPr>
                <w:rFonts w:ascii="Cambria"/>
                <w:color w:val="333333"/>
                <w:w w:val="110"/>
                <w:sz w:val="21"/>
              </w:rPr>
              <w:t xml:space="preserve">Whether requests to the context root should be redirected by appending a </w:t>
            </w:r>
            <w:r>
              <w:rPr>
                <w:rFonts w:ascii="Cambria"/>
                <w:color w:val="333333"/>
                <w:sz w:val="21"/>
              </w:rPr>
              <w:t xml:space="preserve">/ </w:t>
            </w:r>
            <w:r>
              <w:rPr>
                <w:rFonts w:ascii="Cambria"/>
                <w:color w:val="333333"/>
                <w:w w:val="110"/>
                <w:sz w:val="21"/>
              </w:rPr>
              <w:t>to the path.</w:t>
            </w:r>
          </w:p>
        </w:tc>
      </w:tr>
      <w:tr w:rsidR="00A720EB" w14:paraId="0B390F74" w14:textId="77777777">
        <w:trPr>
          <w:trHeight w:val="1056"/>
        </w:trPr>
        <w:tc>
          <w:tcPr>
            <w:tcW w:w="2494" w:type="dxa"/>
          </w:tcPr>
          <w:p w14:paraId="420484E8"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.relaxed- path-chars</w:t>
            </w:r>
          </w:p>
        </w:tc>
        <w:tc>
          <w:tcPr>
            <w:tcW w:w="2494" w:type="dxa"/>
          </w:tcPr>
          <w:p w14:paraId="426B92A5" w14:textId="77777777" w:rsidR="00A720EB" w:rsidRDefault="00A720EB">
            <w:pPr>
              <w:pStyle w:val="TableParagraph"/>
              <w:spacing w:before="0"/>
              <w:ind w:left="0"/>
              <w:rPr>
                <w:rFonts w:ascii="Times New Roman"/>
                <w:sz w:val="20"/>
              </w:rPr>
            </w:pPr>
          </w:p>
        </w:tc>
        <w:tc>
          <w:tcPr>
            <w:tcW w:w="4988" w:type="dxa"/>
          </w:tcPr>
          <w:p w14:paraId="33E5A008" w14:textId="77777777" w:rsidR="00A720EB" w:rsidRDefault="0030286B">
            <w:pPr>
              <w:pStyle w:val="TableParagraph"/>
              <w:spacing w:before="28" w:line="310" w:lineRule="atLeast"/>
              <w:ind w:right="214"/>
              <w:jc w:val="both"/>
              <w:rPr>
                <w:rFonts w:ascii="Cambria"/>
                <w:sz w:val="21"/>
              </w:rPr>
            </w:pPr>
            <w:r>
              <w:rPr>
                <w:rFonts w:ascii="Cambria"/>
                <w:color w:val="333333"/>
                <w:w w:val="115"/>
                <w:sz w:val="21"/>
              </w:rPr>
              <w:t>Comma-separated</w:t>
            </w:r>
            <w:r>
              <w:rPr>
                <w:rFonts w:ascii="Cambria"/>
                <w:color w:val="333333"/>
                <w:spacing w:val="-34"/>
                <w:w w:val="115"/>
                <w:sz w:val="21"/>
              </w:rPr>
              <w:t xml:space="preserve"> </w:t>
            </w:r>
            <w:r>
              <w:rPr>
                <w:rFonts w:ascii="Cambria"/>
                <w:color w:val="333333"/>
                <w:w w:val="115"/>
                <w:sz w:val="21"/>
              </w:rPr>
              <w:t>list</w:t>
            </w:r>
            <w:r>
              <w:rPr>
                <w:rFonts w:ascii="Cambria"/>
                <w:color w:val="333333"/>
                <w:spacing w:val="-34"/>
                <w:w w:val="115"/>
                <w:sz w:val="21"/>
              </w:rPr>
              <w:t xml:space="preserve"> </w:t>
            </w:r>
            <w:r>
              <w:rPr>
                <w:rFonts w:ascii="Cambria"/>
                <w:color w:val="333333"/>
                <w:w w:val="115"/>
                <w:sz w:val="21"/>
              </w:rPr>
              <w:t>of</w:t>
            </w:r>
            <w:r>
              <w:rPr>
                <w:rFonts w:ascii="Cambria"/>
                <w:color w:val="333333"/>
                <w:spacing w:val="-33"/>
                <w:w w:val="115"/>
                <w:sz w:val="21"/>
              </w:rPr>
              <w:t xml:space="preserve"> </w:t>
            </w:r>
            <w:r>
              <w:rPr>
                <w:rFonts w:ascii="Cambria"/>
                <w:color w:val="333333"/>
                <w:w w:val="115"/>
                <w:sz w:val="21"/>
              </w:rPr>
              <w:t>additional</w:t>
            </w:r>
            <w:r>
              <w:rPr>
                <w:rFonts w:ascii="Cambria"/>
                <w:color w:val="333333"/>
                <w:spacing w:val="-34"/>
                <w:w w:val="115"/>
                <w:sz w:val="21"/>
              </w:rPr>
              <w:t xml:space="preserve"> </w:t>
            </w:r>
            <w:r>
              <w:rPr>
                <w:rFonts w:ascii="Cambria"/>
                <w:color w:val="333333"/>
                <w:w w:val="115"/>
                <w:sz w:val="21"/>
              </w:rPr>
              <w:t>unencoded characters</w:t>
            </w:r>
            <w:r>
              <w:rPr>
                <w:rFonts w:ascii="Cambria"/>
                <w:color w:val="333333"/>
                <w:spacing w:val="-23"/>
                <w:w w:val="115"/>
                <w:sz w:val="21"/>
              </w:rPr>
              <w:t xml:space="preserve"> </w:t>
            </w:r>
            <w:r>
              <w:rPr>
                <w:rFonts w:ascii="Cambria"/>
                <w:color w:val="333333"/>
                <w:w w:val="115"/>
                <w:sz w:val="21"/>
              </w:rPr>
              <w:t>that</w:t>
            </w:r>
            <w:r>
              <w:rPr>
                <w:rFonts w:ascii="Cambria"/>
                <w:color w:val="333333"/>
                <w:spacing w:val="-22"/>
                <w:w w:val="115"/>
                <w:sz w:val="21"/>
              </w:rPr>
              <w:t xml:space="preserve"> </w:t>
            </w:r>
            <w:r>
              <w:rPr>
                <w:rFonts w:ascii="Cambria"/>
                <w:color w:val="333333"/>
                <w:w w:val="115"/>
                <w:sz w:val="21"/>
              </w:rPr>
              <w:t>should</w:t>
            </w:r>
            <w:r>
              <w:rPr>
                <w:rFonts w:ascii="Cambria"/>
                <w:color w:val="333333"/>
                <w:spacing w:val="-22"/>
                <w:w w:val="115"/>
                <w:sz w:val="21"/>
              </w:rPr>
              <w:t xml:space="preserve"> </w:t>
            </w:r>
            <w:r>
              <w:rPr>
                <w:rFonts w:ascii="Cambria"/>
                <w:color w:val="333333"/>
                <w:w w:val="115"/>
                <w:sz w:val="21"/>
              </w:rPr>
              <w:t>be</w:t>
            </w:r>
            <w:r>
              <w:rPr>
                <w:rFonts w:ascii="Cambria"/>
                <w:color w:val="333333"/>
                <w:spacing w:val="-23"/>
                <w:w w:val="115"/>
                <w:sz w:val="21"/>
              </w:rPr>
              <w:t xml:space="preserve"> </w:t>
            </w:r>
            <w:r>
              <w:rPr>
                <w:rFonts w:ascii="Cambria"/>
                <w:color w:val="333333"/>
                <w:w w:val="115"/>
                <w:sz w:val="21"/>
              </w:rPr>
              <w:t>allowed</w:t>
            </w:r>
            <w:r>
              <w:rPr>
                <w:rFonts w:ascii="Cambria"/>
                <w:color w:val="333333"/>
                <w:spacing w:val="-23"/>
                <w:w w:val="115"/>
                <w:sz w:val="21"/>
              </w:rPr>
              <w:t xml:space="preserve"> </w:t>
            </w:r>
            <w:r>
              <w:rPr>
                <w:rFonts w:ascii="Cambria"/>
                <w:color w:val="333333"/>
                <w:w w:val="115"/>
                <w:sz w:val="21"/>
              </w:rPr>
              <w:t>in</w:t>
            </w:r>
            <w:r>
              <w:rPr>
                <w:rFonts w:ascii="Cambria"/>
                <w:color w:val="333333"/>
                <w:spacing w:val="-22"/>
                <w:w w:val="115"/>
                <w:sz w:val="21"/>
              </w:rPr>
              <w:t xml:space="preserve"> </w:t>
            </w:r>
            <w:r>
              <w:rPr>
                <w:rFonts w:ascii="Cambria"/>
                <w:color w:val="333333"/>
                <w:w w:val="115"/>
                <w:sz w:val="21"/>
              </w:rPr>
              <w:t>URI</w:t>
            </w:r>
            <w:r>
              <w:rPr>
                <w:rFonts w:ascii="Cambria"/>
                <w:color w:val="333333"/>
                <w:spacing w:val="-23"/>
                <w:w w:val="115"/>
                <w:sz w:val="21"/>
              </w:rPr>
              <w:t xml:space="preserve"> </w:t>
            </w:r>
            <w:r>
              <w:rPr>
                <w:rFonts w:ascii="Cambria"/>
                <w:color w:val="333333"/>
                <w:w w:val="115"/>
                <w:sz w:val="21"/>
              </w:rPr>
              <w:t>paths. Only</w:t>
            </w:r>
            <w:r>
              <w:rPr>
                <w:rFonts w:ascii="Cambria"/>
                <w:color w:val="333333"/>
                <w:spacing w:val="-4"/>
                <w:w w:val="115"/>
                <w:sz w:val="21"/>
              </w:rPr>
              <w:t xml:space="preserve"> </w:t>
            </w:r>
            <w:r>
              <w:rPr>
                <w:rFonts w:ascii="Cambria"/>
                <w:color w:val="333333"/>
                <w:w w:val="115"/>
                <w:sz w:val="21"/>
              </w:rPr>
              <w:t>"&lt;</w:t>
            </w:r>
            <w:r>
              <w:rPr>
                <w:rFonts w:ascii="Cambria"/>
                <w:color w:val="333333"/>
                <w:spacing w:val="-3"/>
                <w:w w:val="115"/>
                <w:sz w:val="21"/>
              </w:rPr>
              <w:t xml:space="preserve"> </w:t>
            </w:r>
            <w:r>
              <w:rPr>
                <w:rFonts w:ascii="Cambria"/>
                <w:color w:val="333333"/>
                <w:w w:val="115"/>
                <w:sz w:val="21"/>
              </w:rPr>
              <w:t>&gt;</w:t>
            </w:r>
            <w:r>
              <w:rPr>
                <w:rFonts w:ascii="Cambria"/>
                <w:color w:val="333333"/>
                <w:spacing w:val="-4"/>
                <w:w w:val="115"/>
                <w:sz w:val="21"/>
              </w:rPr>
              <w:t xml:space="preserve"> </w:t>
            </w:r>
            <w:r>
              <w:rPr>
                <w:rFonts w:ascii="Cambria"/>
                <w:color w:val="333333"/>
                <w:w w:val="115"/>
                <w:sz w:val="21"/>
              </w:rPr>
              <w:t>[</w:t>
            </w:r>
            <w:r>
              <w:rPr>
                <w:rFonts w:ascii="Cambria"/>
                <w:color w:val="333333"/>
                <w:spacing w:val="-4"/>
                <w:w w:val="115"/>
                <w:sz w:val="21"/>
              </w:rPr>
              <w:t xml:space="preserve"> </w:t>
            </w:r>
            <w:proofErr w:type="gramStart"/>
            <w:r>
              <w:rPr>
                <w:rFonts w:ascii="Cambria"/>
                <w:color w:val="333333"/>
                <w:w w:val="95"/>
                <w:sz w:val="21"/>
              </w:rPr>
              <w:t>\</w:t>
            </w:r>
            <w:r>
              <w:rPr>
                <w:rFonts w:ascii="Cambria"/>
                <w:color w:val="333333"/>
                <w:spacing w:val="6"/>
                <w:w w:val="95"/>
                <w:sz w:val="21"/>
              </w:rPr>
              <w:t xml:space="preserve"> </w:t>
            </w:r>
            <w:r>
              <w:rPr>
                <w:rFonts w:ascii="Cambria"/>
                <w:color w:val="333333"/>
                <w:w w:val="115"/>
                <w:sz w:val="21"/>
              </w:rPr>
              <w:t>]</w:t>
            </w:r>
            <w:proofErr w:type="gramEnd"/>
            <w:r>
              <w:rPr>
                <w:rFonts w:ascii="Cambria"/>
                <w:color w:val="333333"/>
                <w:spacing w:val="-5"/>
                <w:w w:val="115"/>
                <w:sz w:val="21"/>
              </w:rPr>
              <w:t xml:space="preserve"> </w:t>
            </w:r>
            <w:r>
              <w:rPr>
                <w:rFonts w:ascii="Cambria"/>
                <w:color w:val="333333"/>
                <w:w w:val="115"/>
                <w:sz w:val="21"/>
              </w:rPr>
              <w:t>^</w:t>
            </w:r>
            <w:r>
              <w:rPr>
                <w:rFonts w:ascii="Cambria"/>
                <w:color w:val="333333"/>
                <w:spacing w:val="-3"/>
                <w:w w:val="115"/>
                <w:sz w:val="21"/>
              </w:rPr>
              <w:t xml:space="preserve"> </w:t>
            </w:r>
            <w:r>
              <w:rPr>
                <w:rFonts w:ascii="Cambria"/>
                <w:color w:val="333333"/>
                <w:w w:val="175"/>
                <w:sz w:val="21"/>
              </w:rPr>
              <w:t>`</w:t>
            </w:r>
            <w:r>
              <w:rPr>
                <w:rFonts w:ascii="Cambria"/>
                <w:color w:val="333333"/>
                <w:spacing w:val="-31"/>
                <w:w w:val="175"/>
                <w:sz w:val="21"/>
              </w:rPr>
              <w:t xml:space="preserve"> </w:t>
            </w:r>
            <w:r>
              <w:rPr>
                <w:rFonts w:ascii="Cambria"/>
                <w:color w:val="333333"/>
                <w:w w:val="115"/>
                <w:sz w:val="21"/>
              </w:rPr>
              <w:t>{</w:t>
            </w:r>
            <w:r>
              <w:rPr>
                <w:rFonts w:ascii="Cambria"/>
                <w:color w:val="333333"/>
                <w:spacing w:val="-4"/>
                <w:w w:val="115"/>
                <w:sz w:val="21"/>
              </w:rPr>
              <w:t xml:space="preserve"> </w:t>
            </w:r>
            <w:r>
              <w:rPr>
                <w:rFonts w:ascii="Cambria"/>
                <w:color w:val="333333"/>
                <w:w w:val="175"/>
                <w:sz w:val="21"/>
              </w:rPr>
              <w:t>|</w:t>
            </w:r>
            <w:r>
              <w:rPr>
                <w:rFonts w:ascii="Cambria"/>
                <w:color w:val="333333"/>
                <w:spacing w:val="-31"/>
                <w:w w:val="175"/>
                <w:sz w:val="21"/>
              </w:rPr>
              <w:t xml:space="preserve"> </w:t>
            </w:r>
            <w:r>
              <w:rPr>
                <w:rFonts w:ascii="Cambria"/>
                <w:color w:val="333333"/>
                <w:w w:val="115"/>
                <w:sz w:val="21"/>
              </w:rPr>
              <w:t>}"</w:t>
            </w:r>
            <w:r>
              <w:rPr>
                <w:rFonts w:ascii="Cambria"/>
                <w:color w:val="333333"/>
                <w:spacing w:val="-3"/>
                <w:w w:val="115"/>
                <w:sz w:val="21"/>
              </w:rPr>
              <w:t xml:space="preserve"> </w:t>
            </w:r>
            <w:r>
              <w:rPr>
                <w:rFonts w:ascii="Cambria"/>
                <w:color w:val="333333"/>
                <w:w w:val="115"/>
                <w:sz w:val="21"/>
              </w:rPr>
              <w:t>are</w:t>
            </w:r>
            <w:r>
              <w:rPr>
                <w:rFonts w:ascii="Cambria"/>
                <w:color w:val="333333"/>
                <w:spacing w:val="-5"/>
                <w:w w:val="115"/>
                <w:sz w:val="21"/>
              </w:rPr>
              <w:t xml:space="preserve"> </w:t>
            </w:r>
            <w:r>
              <w:rPr>
                <w:rFonts w:ascii="Cambria"/>
                <w:color w:val="333333"/>
                <w:w w:val="115"/>
                <w:sz w:val="21"/>
              </w:rPr>
              <w:t>allowed.</w:t>
            </w:r>
          </w:p>
        </w:tc>
      </w:tr>
    </w:tbl>
    <w:p w14:paraId="27127FA0" w14:textId="77777777" w:rsidR="00A720EB" w:rsidRDefault="00A720EB">
      <w:pPr>
        <w:spacing w:line="310" w:lineRule="atLeast"/>
        <w:jc w:val="both"/>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12C8756A" w14:textId="77777777">
        <w:trPr>
          <w:trHeight w:val="415"/>
        </w:trPr>
        <w:tc>
          <w:tcPr>
            <w:tcW w:w="2494" w:type="dxa"/>
            <w:tcBorders>
              <w:bottom w:val="single" w:sz="12" w:space="0" w:color="DDDDDD"/>
            </w:tcBorders>
          </w:tcPr>
          <w:p w14:paraId="0BB6F69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51ED40E"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AB9BE5C"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595A480D" w14:textId="77777777">
        <w:trPr>
          <w:trHeight w:val="1046"/>
        </w:trPr>
        <w:tc>
          <w:tcPr>
            <w:tcW w:w="2494" w:type="dxa"/>
            <w:tcBorders>
              <w:top w:val="single" w:sz="12" w:space="0" w:color="DDDDDD"/>
            </w:tcBorders>
          </w:tcPr>
          <w:p w14:paraId="2F4D1A82" w14:textId="77777777" w:rsidR="00A720EB" w:rsidRDefault="0030286B">
            <w:pPr>
              <w:pStyle w:val="TableParagraph"/>
              <w:spacing w:before="36" w:line="230" w:lineRule="auto"/>
              <w:ind w:right="113"/>
              <w:rPr>
                <w:sz w:val="21"/>
              </w:rPr>
            </w:pPr>
            <w:proofErr w:type="gramStart"/>
            <w:r>
              <w:rPr>
                <w:color w:val="B02045"/>
                <w:sz w:val="21"/>
              </w:rPr>
              <w:t>server.tomcat</w:t>
            </w:r>
            <w:proofErr w:type="gramEnd"/>
            <w:r>
              <w:rPr>
                <w:color w:val="B02045"/>
                <w:sz w:val="21"/>
              </w:rPr>
              <w:t>.relaxed- query-chars</w:t>
            </w:r>
          </w:p>
        </w:tc>
        <w:tc>
          <w:tcPr>
            <w:tcW w:w="2494" w:type="dxa"/>
            <w:tcBorders>
              <w:top w:val="single" w:sz="12" w:space="0" w:color="DDDDDD"/>
            </w:tcBorders>
          </w:tcPr>
          <w:p w14:paraId="3BFEAD24"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34451598" w14:textId="77777777" w:rsidR="00A720EB" w:rsidRDefault="0030286B">
            <w:pPr>
              <w:pStyle w:val="TableParagraph"/>
              <w:spacing w:before="18" w:line="310" w:lineRule="atLeast"/>
              <w:ind w:right="224"/>
              <w:jc w:val="both"/>
              <w:rPr>
                <w:rFonts w:ascii="Cambria"/>
                <w:sz w:val="21"/>
              </w:rPr>
            </w:pPr>
            <w:r>
              <w:rPr>
                <w:rFonts w:ascii="Cambria"/>
                <w:color w:val="333333"/>
                <w:w w:val="115"/>
                <w:sz w:val="21"/>
              </w:rPr>
              <w:t>Comma-separated</w:t>
            </w:r>
            <w:r>
              <w:rPr>
                <w:rFonts w:ascii="Cambria"/>
                <w:color w:val="333333"/>
                <w:spacing w:val="-36"/>
                <w:w w:val="115"/>
                <w:sz w:val="21"/>
              </w:rPr>
              <w:t xml:space="preserve"> </w:t>
            </w:r>
            <w:r>
              <w:rPr>
                <w:rFonts w:ascii="Cambria"/>
                <w:color w:val="333333"/>
                <w:w w:val="115"/>
                <w:sz w:val="21"/>
              </w:rPr>
              <w:t>list</w:t>
            </w:r>
            <w:r>
              <w:rPr>
                <w:rFonts w:ascii="Cambria"/>
                <w:color w:val="333333"/>
                <w:spacing w:val="-34"/>
                <w:w w:val="115"/>
                <w:sz w:val="21"/>
              </w:rPr>
              <w:t xml:space="preserve"> </w:t>
            </w:r>
            <w:r>
              <w:rPr>
                <w:rFonts w:ascii="Cambria"/>
                <w:color w:val="333333"/>
                <w:w w:val="115"/>
                <w:sz w:val="21"/>
              </w:rPr>
              <w:t>of</w:t>
            </w:r>
            <w:r>
              <w:rPr>
                <w:rFonts w:ascii="Cambria"/>
                <w:color w:val="333333"/>
                <w:spacing w:val="-35"/>
                <w:w w:val="115"/>
                <w:sz w:val="21"/>
              </w:rPr>
              <w:t xml:space="preserve"> </w:t>
            </w:r>
            <w:r>
              <w:rPr>
                <w:rFonts w:ascii="Cambria"/>
                <w:color w:val="333333"/>
                <w:w w:val="115"/>
                <w:sz w:val="21"/>
              </w:rPr>
              <w:t>additional</w:t>
            </w:r>
            <w:r>
              <w:rPr>
                <w:rFonts w:ascii="Cambria"/>
                <w:color w:val="333333"/>
                <w:spacing w:val="-35"/>
                <w:w w:val="115"/>
                <w:sz w:val="21"/>
              </w:rPr>
              <w:t xml:space="preserve"> </w:t>
            </w:r>
            <w:r>
              <w:rPr>
                <w:rFonts w:ascii="Cambria"/>
                <w:color w:val="333333"/>
                <w:w w:val="115"/>
                <w:sz w:val="21"/>
              </w:rPr>
              <w:t>unencoded characters</w:t>
            </w:r>
            <w:r>
              <w:rPr>
                <w:rFonts w:ascii="Cambria"/>
                <w:color w:val="333333"/>
                <w:spacing w:val="-22"/>
                <w:w w:val="115"/>
                <w:sz w:val="21"/>
              </w:rPr>
              <w:t xml:space="preserve"> </w:t>
            </w:r>
            <w:r>
              <w:rPr>
                <w:rFonts w:ascii="Cambria"/>
                <w:color w:val="333333"/>
                <w:w w:val="115"/>
                <w:sz w:val="21"/>
              </w:rPr>
              <w:t>that</w:t>
            </w:r>
            <w:r>
              <w:rPr>
                <w:rFonts w:ascii="Cambria"/>
                <w:color w:val="333333"/>
                <w:spacing w:val="-22"/>
                <w:w w:val="115"/>
                <w:sz w:val="21"/>
              </w:rPr>
              <w:t xml:space="preserve"> </w:t>
            </w:r>
            <w:r>
              <w:rPr>
                <w:rFonts w:ascii="Cambria"/>
                <w:color w:val="333333"/>
                <w:w w:val="115"/>
                <w:sz w:val="21"/>
              </w:rPr>
              <w:t>should</w:t>
            </w:r>
            <w:r>
              <w:rPr>
                <w:rFonts w:ascii="Cambria"/>
                <w:color w:val="333333"/>
                <w:spacing w:val="-21"/>
                <w:w w:val="115"/>
                <w:sz w:val="21"/>
              </w:rPr>
              <w:t xml:space="preserve"> </w:t>
            </w:r>
            <w:r>
              <w:rPr>
                <w:rFonts w:ascii="Cambria"/>
                <w:color w:val="333333"/>
                <w:w w:val="115"/>
                <w:sz w:val="21"/>
              </w:rPr>
              <w:t>be</w:t>
            </w:r>
            <w:r>
              <w:rPr>
                <w:rFonts w:ascii="Cambria"/>
                <w:color w:val="333333"/>
                <w:spacing w:val="-22"/>
                <w:w w:val="115"/>
                <w:sz w:val="21"/>
              </w:rPr>
              <w:t xml:space="preserve"> </w:t>
            </w:r>
            <w:r>
              <w:rPr>
                <w:rFonts w:ascii="Cambria"/>
                <w:color w:val="333333"/>
                <w:w w:val="115"/>
                <w:sz w:val="21"/>
              </w:rPr>
              <w:t>allowed</w:t>
            </w:r>
            <w:r>
              <w:rPr>
                <w:rFonts w:ascii="Cambria"/>
                <w:color w:val="333333"/>
                <w:spacing w:val="-21"/>
                <w:w w:val="115"/>
                <w:sz w:val="21"/>
              </w:rPr>
              <w:t xml:space="preserve"> </w:t>
            </w:r>
            <w:r>
              <w:rPr>
                <w:rFonts w:ascii="Cambria"/>
                <w:color w:val="333333"/>
                <w:w w:val="115"/>
                <w:sz w:val="21"/>
              </w:rPr>
              <w:t>in</w:t>
            </w:r>
            <w:r>
              <w:rPr>
                <w:rFonts w:ascii="Cambria"/>
                <w:color w:val="333333"/>
                <w:spacing w:val="-22"/>
                <w:w w:val="115"/>
                <w:sz w:val="21"/>
              </w:rPr>
              <w:t xml:space="preserve"> </w:t>
            </w:r>
            <w:r>
              <w:rPr>
                <w:rFonts w:ascii="Cambria"/>
                <w:color w:val="333333"/>
                <w:w w:val="115"/>
                <w:sz w:val="21"/>
              </w:rPr>
              <w:t>URI</w:t>
            </w:r>
            <w:r>
              <w:rPr>
                <w:rFonts w:ascii="Cambria"/>
                <w:color w:val="333333"/>
                <w:spacing w:val="-22"/>
                <w:w w:val="115"/>
                <w:sz w:val="21"/>
              </w:rPr>
              <w:t xml:space="preserve"> </w:t>
            </w:r>
            <w:r>
              <w:rPr>
                <w:rFonts w:ascii="Cambria"/>
                <w:color w:val="333333"/>
                <w:w w:val="115"/>
                <w:sz w:val="21"/>
              </w:rPr>
              <w:t>query strings.</w:t>
            </w:r>
            <w:r>
              <w:rPr>
                <w:rFonts w:ascii="Cambria"/>
                <w:color w:val="333333"/>
                <w:spacing w:val="-8"/>
                <w:w w:val="115"/>
                <w:sz w:val="21"/>
              </w:rPr>
              <w:t xml:space="preserve"> </w:t>
            </w:r>
            <w:r>
              <w:rPr>
                <w:rFonts w:ascii="Cambria"/>
                <w:color w:val="333333"/>
                <w:w w:val="115"/>
                <w:sz w:val="21"/>
              </w:rPr>
              <w:t>Only</w:t>
            </w:r>
            <w:r>
              <w:rPr>
                <w:rFonts w:ascii="Cambria"/>
                <w:color w:val="333333"/>
                <w:spacing w:val="-8"/>
                <w:w w:val="115"/>
                <w:sz w:val="21"/>
              </w:rPr>
              <w:t xml:space="preserve"> </w:t>
            </w:r>
            <w:r>
              <w:rPr>
                <w:rFonts w:ascii="Cambria"/>
                <w:color w:val="333333"/>
                <w:w w:val="115"/>
                <w:sz w:val="21"/>
              </w:rPr>
              <w:t>"&lt;</w:t>
            </w:r>
            <w:r>
              <w:rPr>
                <w:rFonts w:ascii="Cambria"/>
                <w:color w:val="333333"/>
                <w:spacing w:val="-8"/>
                <w:w w:val="115"/>
                <w:sz w:val="21"/>
              </w:rPr>
              <w:t xml:space="preserve"> </w:t>
            </w:r>
            <w:r>
              <w:rPr>
                <w:rFonts w:ascii="Cambria"/>
                <w:color w:val="333333"/>
                <w:w w:val="115"/>
                <w:sz w:val="21"/>
              </w:rPr>
              <w:t>&gt;</w:t>
            </w:r>
            <w:r>
              <w:rPr>
                <w:rFonts w:ascii="Cambria"/>
                <w:color w:val="333333"/>
                <w:spacing w:val="-8"/>
                <w:w w:val="115"/>
                <w:sz w:val="21"/>
              </w:rPr>
              <w:t xml:space="preserve"> </w:t>
            </w:r>
            <w:r>
              <w:rPr>
                <w:rFonts w:ascii="Cambria"/>
                <w:color w:val="333333"/>
                <w:w w:val="115"/>
                <w:sz w:val="21"/>
              </w:rPr>
              <w:t>[</w:t>
            </w:r>
            <w:r>
              <w:rPr>
                <w:rFonts w:ascii="Cambria"/>
                <w:color w:val="333333"/>
                <w:spacing w:val="-9"/>
                <w:w w:val="115"/>
                <w:sz w:val="21"/>
              </w:rPr>
              <w:t xml:space="preserve"> </w:t>
            </w:r>
            <w:proofErr w:type="gramStart"/>
            <w:r>
              <w:rPr>
                <w:rFonts w:ascii="Cambria"/>
                <w:color w:val="333333"/>
                <w:w w:val="95"/>
                <w:sz w:val="21"/>
              </w:rPr>
              <w:t>\</w:t>
            </w:r>
            <w:r>
              <w:rPr>
                <w:rFonts w:ascii="Cambria"/>
                <w:color w:val="333333"/>
                <w:spacing w:val="2"/>
                <w:w w:val="95"/>
                <w:sz w:val="21"/>
              </w:rPr>
              <w:t xml:space="preserve"> </w:t>
            </w:r>
            <w:r>
              <w:rPr>
                <w:rFonts w:ascii="Cambria"/>
                <w:color w:val="333333"/>
                <w:w w:val="115"/>
                <w:sz w:val="21"/>
              </w:rPr>
              <w:t>]</w:t>
            </w:r>
            <w:proofErr w:type="gramEnd"/>
            <w:r>
              <w:rPr>
                <w:rFonts w:ascii="Cambria"/>
                <w:color w:val="333333"/>
                <w:spacing w:val="-9"/>
                <w:w w:val="115"/>
                <w:sz w:val="21"/>
              </w:rPr>
              <w:t xml:space="preserve"> </w:t>
            </w:r>
            <w:r>
              <w:rPr>
                <w:rFonts w:ascii="Cambria"/>
                <w:color w:val="333333"/>
                <w:w w:val="115"/>
                <w:sz w:val="21"/>
              </w:rPr>
              <w:t>^</w:t>
            </w:r>
            <w:r>
              <w:rPr>
                <w:rFonts w:ascii="Cambria"/>
                <w:color w:val="333333"/>
                <w:spacing w:val="-8"/>
                <w:w w:val="115"/>
                <w:sz w:val="21"/>
              </w:rPr>
              <w:t xml:space="preserve"> </w:t>
            </w:r>
            <w:r>
              <w:rPr>
                <w:rFonts w:ascii="Cambria"/>
                <w:color w:val="333333"/>
                <w:w w:val="175"/>
                <w:sz w:val="21"/>
              </w:rPr>
              <w:t>`</w:t>
            </w:r>
            <w:r>
              <w:rPr>
                <w:rFonts w:ascii="Cambria"/>
                <w:color w:val="333333"/>
                <w:spacing w:val="-36"/>
                <w:w w:val="175"/>
                <w:sz w:val="21"/>
              </w:rPr>
              <w:t xml:space="preserve"> </w:t>
            </w:r>
            <w:r>
              <w:rPr>
                <w:rFonts w:ascii="Cambria"/>
                <w:color w:val="333333"/>
                <w:w w:val="115"/>
                <w:sz w:val="21"/>
              </w:rPr>
              <w:t>{</w:t>
            </w:r>
            <w:r>
              <w:rPr>
                <w:rFonts w:ascii="Cambria"/>
                <w:color w:val="333333"/>
                <w:spacing w:val="-8"/>
                <w:w w:val="115"/>
                <w:sz w:val="21"/>
              </w:rPr>
              <w:t xml:space="preserve"> </w:t>
            </w:r>
            <w:r>
              <w:rPr>
                <w:rFonts w:ascii="Cambria"/>
                <w:color w:val="333333"/>
                <w:w w:val="175"/>
                <w:sz w:val="21"/>
              </w:rPr>
              <w:t>|</w:t>
            </w:r>
            <w:r>
              <w:rPr>
                <w:rFonts w:ascii="Cambria"/>
                <w:color w:val="333333"/>
                <w:spacing w:val="-35"/>
                <w:w w:val="175"/>
                <w:sz w:val="21"/>
              </w:rPr>
              <w:t xml:space="preserve"> </w:t>
            </w:r>
            <w:r>
              <w:rPr>
                <w:rFonts w:ascii="Cambria"/>
                <w:color w:val="333333"/>
                <w:w w:val="115"/>
                <w:sz w:val="21"/>
              </w:rPr>
              <w:t>}"</w:t>
            </w:r>
            <w:r>
              <w:rPr>
                <w:rFonts w:ascii="Cambria"/>
                <w:color w:val="333333"/>
                <w:spacing w:val="-8"/>
                <w:w w:val="115"/>
                <w:sz w:val="21"/>
              </w:rPr>
              <w:t xml:space="preserve"> </w:t>
            </w:r>
            <w:r>
              <w:rPr>
                <w:rFonts w:ascii="Cambria"/>
                <w:color w:val="333333"/>
                <w:w w:val="115"/>
                <w:sz w:val="21"/>
              </w:rPr>
              <w:t>are</w:t>
            </w:r>
            <w:r>
              <w:rPr>
                <w:rFonts w:ascii="Cambria"/>
                <w:color w:val="333333"/>
                <w:spacing w:val="-9"/>
                <w:w w:val="115"/>
                <w:sz w:val="21"/>
              </w:rPr>
              <w:t xml:space="preserve"> </w:t>
            </w:r>
            <w:r>
              <w:rPr>
                <w:rFonts w:ascii="Cambria"/>
                <w:color w:val="333333"/>
                <w:w w:val="115"/>
                <w:sz w:val="21"/>
              </w:rPr>
              <w:t>allowed.</w:t>
            </w:r>
          </w:p>
        </w:tc>
      </w:tr>
      <w:tr w:rsidR="00A720EB" w14:paraId="21DB734D" w14:textId="77777777">
        <w:trPr>
          <w:trHeight w:val="741"/>
        </w:trPr>
        <w:tc>
          <w:tcPr>
            <w:tcW w:w="2494" w:type="dxa"/>
          </w:tcPr>
          <w:p w14:paraId="778B00C6" w14:textId="77777777" w:rsidR="00A720EB" w:rsidRDefault="0030286B">
            <w:pPr>
              <w:pStyle w:val="TableParagraph"/>
              <w:spacing w:line="264" w:lineRule="exact"/>
              <w:rPr>
                <w:sz w:val="21"/>
              </w:rPr>
            </w:pPr>
            <w:proofErr w:type="gramStart"/>
            <w:r>
              <w:rPr>
                <w:color w:val="B02045"/>
                <w:sz w:val="21"/>
              </w:rPr>
              <w:t>server.tomcat</w:t>
            </w:r>
            <w:proofErr w:type="gramEnd"/>
            <w:r>
              <w:rPr>
                <w:color w:val="B02045"/>
                <w:sz w:val="21"/>
              </w:rPr>
              <w:t>.remoteip</w:t>
            </w:r>
          </w:p>
          <w:p w14:paraId="2AA994E8" w14:textId="77777777" w:rsidR="00A720EB" w:rsidRDefault="0030286B">
            <w:pPr>
              <w:pStyle w:val="TableParagraph"/>
              <w:spacing w:before="0" w:line="264" w:lineRule="exact"/>
              <w:rPr>
                <w:sz w:val="21"/>
              </w:rPr>
            </w:pPr>
            <w:proofErr w:type="gramStart"/>
            <w:r>
              <w:rPr>
                <w:color w:val="B02045"/>
                <w:sz w:val="21"/>
              </w:rPr>
              <w:t>.host</w:t>
            </w:r>
            <w:proofErr w:type="gramEnd"/>
            <w:r>
              <w:rPr>
                <w:color w:val="B02045"/>
                <w:sz w:val="21"/>
              </w:rPr>
              <w:t>-header</w:t>
            </w:r>
          </w:p>
        </w:tc>
        <w:tc>
          <w:tcPr>
            <w:tcW w:w="2494" w:type="dxa"/>
          </w:tcPr>
          <w:p w14:paraId="46C24E30" w14:textId="77777777" w:rsidR="00A720EB" w:rsidRDefault="0030286B">
            <w:pPr>
              <w:pStyle w:val="TableParagraph"/>
              <w:rPr>
                <w:sz w:val="21"/>
              </w:rPr>
            </w:pPr>
            <w:r>
              <w:rPr>
                <w:color w:val="B02045"/>
                <w:sz w:val="21"/>
              </w:rPr>
              <w:t>X-Forwarded-Host</w:t>
            </w:r>
          </w:p>
        </w:tc>
        <w:tc>
          <w:tcPr>
            <w:tcW w:w="4988" w:type="dxa"/>
          </w:tcPr>
          <w:p w14:paraId="273E7356" w14:textId="77777777" w:rsidR="00A720EB" w:rsidRDefault="0030286B">
            <w:pPr>
              <w:pStyle w:val="TableParagraph"/>
              <w:spacing w:before="28" w:line="310" w:lineRule="atLeast"/>
              <w:ind w:right="372"/>
              <w:rPr>
                <w:rFonts w:ascii="Cambria"/>
                <w:sz w:val="21"/>
              </w:rPr>
            </w:pPr>
            <w:r>
              <w:rPr>
                <w:rFonts w:ascii="Cambria"/>
                <w:color w:val="333333"/>
                <w:w w:val="110"/>
                <w:sz w:val="21"/>
              </w:rPr>
              <w:t>Name of the HTTP header from which the remote host is extracted.</w:t>
            </w:r>
          </w:p>
        </w:tc>
      </w:tr>
      <w:tr w:rsidR="00A720EB" w14:paraId="5FB7BB71" w14:textId="77777777">
        <w:trPr>
          <w:trHeight w:val="3734"/>
        </w:trPr>
        <w:tc>
          <w:tcPr>
            <w:tcW w:w="2494" w:type="dxa"/>
          </w:tcPr>
          <w:p w14:paraId="7AE30844" w14:textId="77777777" w:rsidR="00A720EB" w:rsidRDefault="0030286B">
            <w:pPr>
              <w:pStyle w:val="TableParagraph"/>
              <w:spacing w:line="264" w:lineRule="exact"/>
              <w:rPr>
                <w:sz w:val="21"/>
              </w:rPr>
            </w:pPr>
            <w:proofErr w:type="gramStart"/>
            <w:r>
              <w:rPr>
                <w:color w:val="B02045"/>
                <w:sz w:val="21"/>
              </w:rPr>
              <w:t>server.tomcat</w:t>
            </w:r>
            <w:proofErr w:type="gramEnd"/>
            <w:r>
              <w:rPr>
                <w:color w:val="B02045"/>
                <w:sz w:val="21"/>
              </w:rPr>
              <w:t>.remoteip</w:t>
            </w:r>
          </w:p>
          <w:p w14:paraId="72C11ADA" w14:textId="77777777" w:rsidR="00A720EB" w:rsidRDefault="0030286B">
            <w:pPr>
              <w:pStyle w:val="TableParagraph"/>
              <w:spacing w:before="0" w:line="264" w:lineRule="exact"/>
              <w:rPr>
                <w:sz w:val="21"/>
              </w:rPr>
            </w:pPr>
            <w:proofErr w:type="gramStart"/>
            <w:r>
              <w:rPr>
                <w:color w:val="B02045"/>
                <w:sz w:val="21"/>
              </w:rPr>
              <w:t>.internal</w:t>
            </w:r>
            <w:proofErr w:type="gramEnd"/>
            <w:r>
              <w:rPr>
                <w:color w:val="B02045"/>
                <w:sz w:val="21"/>
              </w:rPr>
              <w:t>-proxies</w:t>
            </w:r>
          </w:p>
        </w:tc>
        <w:tc>
          <w:tcPr>
            <w:tcW w:w="2494" w:type="dxa"/>
          </w:tcPr>
          <w:p w14:paraId="75300AAA" w14:textId="77777777" w:rsidR="00A720EB" w:rsidRDefault="0030286B">
            <w:pPr>
              <w:pStyle w:val="TableParagraph"/>
              <w:spacing w:line="264" w:lineRule="exact"/>
              <w:rPr>
                <w:sz w:val="21"/>
              </w:rPr>
            </w:pPr>
            <w:r>
              <w:rPr>
                <w:color w:val="B02045"/>
                <w:sz w:val="21"/>
              </w:rPr>
              <w:t>10</w:t>
            </w:r>
            <w:proofErr w:type="gramStart"/>
            <w:r>
              <w:rPr>
                <w:color w:val="B02045"/>
                <w:sz w:val="21"/>
              </w:rPr>
              <w:t>\\.\\d{</w:t>
            </w:r>
            <w:proofErr w:type="gramEnd"/>
            <w:r>
              <w:rPr>
                <w:color w:val="B02045"/>
                <w:sz w:val="21"/>
              </w:rPr>
              <w:t>1,3}\\.\\d{1,</w:t>
            </w:r>
          </w:p>
          <w:p w14:paraId="4F160422" w14:textId="77777777" w:rsidR="00A720EB" w:rsidRDefault="0030286B">
            <w:pPr>
              <w:pStyle w:val="TableParagraph"/>
              <w:spacing w:before="0" w:line="259" w:lineRule="exact"/>
              <w:rPr>
                <w:sz w:val="21"/>
              </w:rPr>
            </w:pPr>
            <w:r>
              <w:rPr>
                <w:color w:val="B02045"/>
                <w:sz w:val="21"/>
              </w:rPr>
              <w:t>3}</w:t>
            </w:r>
            <w:proofErr w:type="gramStart"/>
            <w:r>
              <w:rPr>
                <w:color w:val="B02045"/>
                <w:sz w:val="21"/>
              </w:rPr>
              <w:t>\\.\\d{</w:t>
            </w:r>
            <w:proofErr w:type="gramEnd"/>
            <w:r>
              <w:rPr>
                <w:color w:val="B02045"/>
                <w:sz w:val="21"/>
              </w:rPr>
              <w:t>1,3}|192\\.16</w:t>
            </w:r>
          </w:p>
          <w:p w14:paraId="1AA9673E" w14:textId="77777777" w:rsidR="00A720EB" w:rsidRDefault="0030286B">
            <w:pPr>
              <w:pStyle w:val="TableParagraph"/>
              <w:spacing w:before="0" w:line="259" w:lineRule="exact"/>
              <w:rPr>
                <w:sz w:val="21"/>
              </w:rPr>
            </w:pPr>
            <w:r>
              <w:rPr>
                <w:color w:val="B02045"/>
                <w:sz w:val="21"/>
              </w:rPr>
              <w:t>8</w:t>
            </w:r>
            <w:proofErr w:type="gramStart"/>
            <w:r>
              <w:rPr>
                <w:color w:val="B02045"/>
                <w:sz w:val="21"/>
              </w:rPr>
              <w:t>\\.\\d{</w:t>
            </w:r>
            <w:proofErr w:type="gramEnd"/>
            <w:r>
              <w:rPr>
                <w:color w:val="B02045"/>
                <w:sz w:val="21"/>
              </w:rPr>
              <w:t>1,3}\\.\\d{1,3</w:t>
            </w:r>
          </w:p>
          <w:p w14:paraId="6FEA75A9" w14:textId="77777777" w:rsidR="00A720EB" w:rsidRDefault="0030286B">
            <w:pPr>
              <w:pStyle w:val="TableParagraph"/>
              <w:spacing w:before="0" w:line="259" w:lineRule="exact"/>
              <w:rPr>
                <w:sz w:val="21"/>
              </w:rPr>
            </w:pPr>
            <w:proofErr w:type="gramStart"/>
            <w:r>
              <w:rPr>
                <w:color w:val="B02045"/>
                <w:sz w:val="21"/>
              </w:rPr>
              <w:t>}|</w:t>
            </w:r>
            <w:proofErr w:type="gramEnd"/>
            <w:r>
              <w:rPr>
                <w:color w:val="B02045"/>
                <w:sz w:val="21"/>
              </w:rPr>
              <w:t>169\\.254\\.\\d{1,3}</w:t>
            </w:r>
          </w:p>
          <w:p w14:paraId="10B0C0D2" w14:textId="77777777" w:rsidR="00A720EB" w:rsidRDefault="0030286B">
            <w:pPr>
              <w:pStyle w:val="TableParagraph"/>
              <w:spacing w:before="3" w:line="230" w:lineRule="auto"/>
              <w:ind w:right="94"/>
              <w:rPr>
                <w:sz w:val="21"/>
              </w:rPr>
            </w:pPr>
            <w:proofErr w:type="gramStart"/>
            <w:r>
              <w:rPr>
                <w:color w:val="B02045"/>
                <w:sz w:val="21"/>
              </w:rPr>
              <w:t>\\.\\d{</w:t>
            </w:r>
            <w:proofErr w:type="gramEnd"/>
            <w:r>
              <w:rPr>
                <w:color w:val="B02045"/>
                <w:sz w:val="21"/>
              </w:rPr>
              <w:t>1,3}|127\\.\\d{ 1,3}\\.\\d{1,3}\\.\\d{</w:t>
            </w:r>
          </w:p>
          <w:p w14:paraId="67E1E578" w14:textId="77777777" w:rsidR="00A720EB" w:rsidRDefault="0030286B">
            <w:pPr>
              <w:pStyle w:val="TableParagraph"/>
              <w:spacing w:before="0" w:line="257" w:lineRule="exact"/>
              <w:rPr>
                <w:sz w:val="21"/>
              </w:rPr>
            </w:pPr>
            <w:r>
              <w:rPr>
                <w:color w:val="B02045"/>
                <w:sz w:val="21"/>
              </w:rPr>
              <w:t>1,</w:t>
            </w:r>
            <w:proofErr w:type="gramStart"/>
            <w:r>
              <w:rPr>
                <w:color w:val="B02045"/>
                <w:sz w:val="21"/>
              </w:rPr>
              <w:t>3}|</w:t>
            </w:r>
            <w:proofErr w:type="gramEnd"/>
            <w:r>
              <w:rPr>
                <w:color w:val="B02045"/>
                <w:sz w:val="21"/>
              </w:rPr>
              <w:t>172\\.1[6-</w:t>
            </w:r>
          </w:p>
          <w:p w14:paraId="602D1ABD" w14:textId="77777777" w:rsidR="00A720EB" w:rsidRDefault="0030286B">
            <w:pPr>
              <w:pStyle w:val="TableParagraph"/>
              <w:spacing w:before="0" w:line="259" w:lineRule="exact"/>
              <w:rPr>
                <w:sz w:val="21"/>
              </w:rPr>
            </w:pPr>
            <w:r>
              <w:rPr>
                <w:color w:val="B02045"/>
                <w:sz w:val="21"/>
              </w:rPr>
              <w:t>9]{</w:t>
            </w:r>
            <w:proofErr w:type="gramStart"/>
            <w:r>
              <w:rPr>
                <w:color w:val="B02045"/>
                <w:sz w:val="21"/>
              </w:rPr>
              <w:t>1}\\.\\d</w:t>
            </w:r>
            <w:proofErr w:type="gramEnd"/>
            <w:r>
              <w:rPr>
                <w:color w:val="B02045"/>
                <w:sz w:val="21"/>
              </w:rPr>
              <w:t>{1,3}\\.\\d</w:t>
            </w:r>
          </w:p>
          <w:p w14:paraId="3D679EF3" w14:textId="77777777" w:rsidR="00A720EB" w:rsidRDefault="0030286B">
            <w:pPr>
              <w:pStyle w:val="TableParagraph"/>
              <w:spacing w:before="0" w:line="259" w:lineRule="exact"/>
              <w:rPr>
                <w:sz w:val="21"/>
              </w:rPr>
            </w:pPr>
            <w:r>
              <w:rPr>
                <w:color w:val="B02045"/>
                <w:sz w:val="21"/>
              </w:rPr>
              <w:t>{1,</w:t>
            </w:r>
            <w:proofErr w:type="gramStart"/>
            <w:r>
              <w:rPr>
                <w:color w:val="B02045"/>
                <w:sz w:val="21"/>
              </w:rPr>
              <w:t>3}|</w:t>
            </w:r>
            <w:proofErr w:type="gramEnd"/>
            <w:r>
              <w:rPr>
                <w:color w:val="B02045"/>
                <w:sz w:val="21"/>
              </w:rPr>
              <w:t>172\\.2[0-</w:t>
            </w:r>
          </w:p>
          <w:p w14:paraId="4B49A565" w14:textId="77777777" w:rsidR="00A720EB" w:rsidRDefault="0030286B">
            <w:pPr>
              <w:pStyle w:val="TableParagraph"/>
              <w:spacing w:before="0" w:line="259" w:lineRule="exact"/>
              <w:rPr>
                <w:sz w:val="21"/>
              </w:rPr>
            </w:pPr>
            <w:r>
              <w:rPr>
                <w:color w:val="B02045"/>
                <w:sz w:val="21"/>
              </w:rPr>
              <w:t>9]{</w:t>
            </w:r>
            <w:proofErr w:type="gramStart"/>
            <w:r>
              <w:rPr>
                <w:color w:val="B02045"/>
                <w:sz w:val="21"/>
              </w:rPr>
              <w:t>1}\\.\\d</w:t>
            </w:r>
            <w:proofErr w:type="gramEnd"/>
            <w:r>
              <w:rPr>
                <w:color w:val="B02045"/>
                <w:sz w:val="21"/>
              </w:rPr>
              <w:t>{1,3}\\.\\d</w:t>
            </w:r>
          </w:p>
          <w:p w14:paraId="635AFAB7" w14:textId="77777777" w:rsidR="00A720EB" w:rsidRDefault="0030286B">
            <w:pPr>
              <w:pStyle w:val="TableParagraph"/>
              <w:spacing w:before="0" w:line="259" w:lineRule="exact"/>
              <w:rPr>
                <w:sz w:val="21"/>
              </w:rPr>
            </w:pPr>
            <w:r>
              <w:rPr>
                <w:color w:val="B02045"/>
                <w:sz w:val="21"/>
              </w:rPr>
              <w:t>{1,</w:t>
            </w:r>
            <w:proofErr w:type="gramStart"/>
            <w:r>
              <w:rPr>
                <w:color w:val="B02045"/>
                <w:sz w:val="21"/>
              </w:rPr>
              <w:t>3}|</w:t>
            </w:r>
            <w:proofErr w:type="gramEnd"/>
            <w:r>
              <w:rPr>
                <w:color w:val="B02045"/>
                <w:sz w:val="21"/>
              </w:rPr>
              <w:t>172\\.3[0-</w:t>
            </w:r>
          </w:p>
          <w:p w14:paraId="34513551" w14:textId="77777777" w:rsidR="00A720EB" w:rsidRDefault="0030286B">
            <w:pPr>
              <w:pStyle w:val="TableParagraph"/>
              <w:spacing w:before="0" w:line="259" w:lineRule="exact"/>
              <w:rPr>
                <w:sz w:val="21"/>
              </w:rPr>
            </w:pPr>
            <w:r>
              <w:rPr>
                <w:color w:val="B02045"/>
                <w:sz w:val="21"/>
              </w:rPr>
              <w:t>1]{</w:t>
            </w:r>
            <w:proofErr w:type="gramStart"/>
            <w:r>
              <w:rPr>
                <w:color w:val="B02045"/>
                <w:sz w:val="21"/>
              </w:rPr>
              <w:t>1}\\.\\d</w:t>
            </w:r>
            <w:proofErr w:type="gramEnd"/>
            <w:r>
              <w:rPr>
                <w:color w:val="B02045"/>
                <w:sz w:val="21"/>
              </w:rPr>
              <w:t>{1,3}\\.\\d</w:t>
            </w:r>
          </w:p>
          <w:p w14:paraId="2A77416A" w14:textId="77777777" w:rsidR="00A720EB" w:rsidRDefault="0030286B">
            <w:pPr>
              <w:pStyle w:val="TableParagraph"/>
              <w:spacing w:before="0" w:line="259" w:lineRule="exact"/>
              <w:rPr>
                <w:sz w:val="21"/>
              </w:rPr>
            </w:pPr>
            <w:r>
              <w:rPr>
                <w:color w:val="B02045"/>
                <w:sz w:val="21"/>
              </w:rPr>
              <w:t>{1,</w:t>
            </w:r>
            <w:proofErr w:type="gramStart"/>
            <w:r>
              <w:rPr>
                <w:color w:val="B02045"/>
                <w:sz w:val="21"/>
              </w:rPr>
              <w:t>3}|</w:t>
            </w:r>
            <w:proofErr w:type="gramEnd"/>
            <w:r>
              <w:rPr>
                <w:color w:val="B02045"/>
                <w:sz w:val="21"/>
              </w:rPr>
              <w:t>0:0:0:0:0:0:0:1|</w:t>
            </w:r>
          </w:p>
          <w:p w14:paraId="3C1542F2" w14:textId="77777777" w:rsidR="00A720EB" w:rsidRDefault="0030286B">
            <w:pPr>
              <w:pStyle w:val="TableParagraph"/>
              <w:spacing w:before="0" w:line="264" w:lineRule="exact"/>
              <w:rPr>
                <w:sz w:val="21"/>
              </w:rPr>
            </w:pPr>
            <w:proofErr w:type="gramStart"/>
            <w:r>
              <w:rPr>
                <w:color w:val="B02045"/>
                <w:sz w:val="21"/>
              </w:rPr>
              <w:t>::</w:t>
            </w:r>
            <w:proofErr w:type="gramEnd"/>
            <w:r>
              <w:rPr>
                <w:color w:val="B02045"/>
                <w:sz w:val="21"/>
              </w:rPr>
              <w:t>1</w:t>
            </w:r>
          </w:p>
        </w:tc>
        <w:tc>
          <w:tcPr>
            <w:tcW w:w="4988" w:type="dxa"/>
          </w:tcPr>
          <w:p w14:paraId="16B603AD" w14:textId="77777777" w:rsidR="00A720EB" w:rsidRDefault="0030286B">
            <w:pPr>
              <w:pStyle w:val="TableParagraph"/>
              <w:spacing w:before="92" w:line="307" w:lineRule="auto"/>
              <w:ind w:right="372"/>
              <w:rPr>
                <w:rFonts w:ascii="Cambria"/>
                <w:sz w:val="21"/>
              </w:rPr>
            </w:pPr>
            <w:r>
              <w:rPr>
                <w:rFonts w:ascii="Cambria"/>
                <w:color w:val="333333"/>
                <w:w w:val="110"/>
                <w:sz w:val="21"/>
              </w:rPr>
              <w:t>Regular expression that matches proxies that are to be trusted.</w:t>
            </w:r>
          </w:p>
        </w:tc>
      </w:tr>
      <w:tr w:rsidR="00A720EB" w14:paraId="207400DA" w14:textId="77777777">
        <w:trPr>
          <w:trHeight w:val="741"/>
        </w:trPr>
        <w:tc>
          <w:tcPr>
            <w:tcW w:w="2494" w:type="dxa"/>
          </w:tcPr>
          <w:p w14:paraId="269ED5B7" w14:textId="77777777" w:rsidR="00A720EB" w:rsidRDefault="0030286B">
            <w:pPr>
              <w:pStyle w:val="TableParagraph"/>
              <w:spacing w:before="37" w:line="264" w:lineRule="exact"/>
              <w:rPr>
                <w:sz w:val="21"/>
              </w:rPr>
            </w:pPr>
            <w:proofErr w:type="gramStart"/>
            <w:r>
              <w:rPr>
                <w:color w:val="B02045"/>
                <w:sz w:val="21"/>
              </w:rPr>
              <w:t>server.tomcat</w:t>
            </w:r>
            <w:proofErr w:type="gramEnd"/>
            <w:r>
              <w:rPr>
                <w:color w:val="B02045"/>
                <w:sz w:val="21"/>
              </w:rPr>
              <w:t>.remoteip</w:t>
            </w:r>
          </w:p>
          <w:p w14:paraId="36798407" w14:textId="77777777" w:rsidR="00A720EB" w:rsidRDefault="0030286B">
            <w:pPr>
              <w:pStyle w:val="TableParagraph"/>
              <w:spacing w:before="0" w:line="264" w:lineRule="exact"/>
              <w:rPr>
                <w:sz w:val="21"/>
              </w:rPr>
            </w:pPr>
            <w:proofErr w:type="gramStart"/>
            <w:r>
              <w:rPr>
                <w:color w:val="B02045"/>
                <w:sz w:val="21"/>
              </w:rPr>
              <w:t>.port</w:t>
            </w:r>
            <w:proofErr w:type="gramEnd"/>
            <w:r>
              <w:rPr>
                <w:color w:val="B02045"/>
                <w:sz w:val="21"/>
              </w:rPr>
              <w:t>-header</w:t>
            </w:r>
          </w:p>
        </w:tc>
        <w:tc>
          <w:tcPr>
            <w:tcW w:w="2494" w:type="dxa"/>
          </w:tcPr>
          <w:p w14:paraId="6ECAE35F" w14:textId="77777777" w:rsidR="00A720EB" w:rsidRDefault="0030286B">
            <w:pPr>
              <w:pStyle w:val="TableParagraph"/>
              <w:spacing w:before="37"/>
              <w:rPr>
                <w:sz w:val="21"/>
              </w:rPr>
            </w:pPr>
            <w:r>
              <w:rPr>
                <w:color w:val="B02045"/>
                <w:sz w:val="21"/>
              </w:rPr>
              <w:t>X-Forwarded-Port</w:t>
            </w:r>
          </w:p>
        </w:tc>
        <w:tc>
          <w:tcPr>
            <w:tcW w:w="4988" w:type="dxa"/>
          </w:tcPr>
          <w:p w14:paraId="7881A3C0" w14:textId="77777777" w:rsidR="00A720EB" w:rsidRDefault="0030286B">
            <w:pPr>
              <w:pStyle w:val="TableParagraph"/>
              <w:spacing w:before="28" w:line="310" w:lineRule="atLeast"/>
              <w:rPr>
                <w:rFonts w:ascii="Cambria"/>
                <w:sz w:val="21"/>
              </w:rPr>
            </w:pPr>
            <w:r>
              <w:rPr>
                <w:rFonts w:ascii="Cambria"/>
                <w:color w:val="333333"/>
                <w:w w:val="110"/>
                <w:sz w:val="21"/>
              </w:rPr>
              <w:t>Name of the HTTP header used to override the original port value.</w:t>
            </w:r>
          </w:p>
        </w:tc>
      </w:tr>
      <w:tr w:rsidR="00A720EB" w14:paraId="33BEC166" w14:textId="77777777">
        <w:trPr>
          <w:trHeight w:val="741"/>
        </w:trPr>
        <w:tc>
          <w:tcPr>
            <w:tcW w:w="2494" w:type="dxa"/>
          </w:tcPr>
          <w:p w14:paraId="1D5167AA" w14:textId="77777777" w:rsidR="00A720EB" w:rsidRDefault="0030286B">
            <w:pPr>
              <w:pStyle w:val="TableParagraph"/>
              <w:spacing w:before="37" w:line="264" w:lineRule="exact"/>
              <w:rPr>
                <w:sz w:val="21"/>
              </w:rPr>
            </w:pPr>
            <w:proofErr w:type="gramStart"/>
            <w:r>
              <w:rPr>
                <w:color w:val="B02045"/>
                <w:sz w:val="21"/>
              </w:rPr>
              <w:t>server.tomcat</w:t>
            </w:r>
            <w:proofErr w:type="gramEnd"/>
            <w:r>
              <w:rPr>
                <w:color w:val="B02045"/>
                <w:sz w:val="21"/>
              </w:rPr>
              <w:t>.remoteip</w:t>
            </w:r>
          </w:p>
          <w:p w14:paraId="5702AEA3" w14:textId="77777777" w:rsidR="00A720EB" w:rsidRDefault="0030286B">
            <w:pPr>
              <w:pStyle w:val="TableParagraph"/>
              <w:spacing w:before="0" w:line="264" w:lineRule="exact"/>
              <w:rPr>
                <w:sz w:val="21"/>
              </w:rPr>
            </w:pPr>
            <w:proofErr w:type="gramStart"/>
            <w:r>
              <w:rPr>
                <w:color w:val="B02045"/>
                <w:sz w:val="21"/>
              </w:rPr>
              <w:t>.protocol</w:t>
            </w:r>
            <w:proofErr w:type="gramEnd"/>
            <w:r>
              <w:rPr>
                <w:color w:val="B02045"/>
                <w:sz w:val="21"/>
              </w:rPr>
              <w:t>-header</w:t>
            </w:r>
          </w:p>
        </w:tc>
        <w:tc>
          <w:tcPr>
            <w:tcW w:w="2494" w:type="dxa"/>
          </w:tcPr>
          <w:p w14:paraId="1CF280CE" w14:textId="77777777" w:rsidR="00A720EB" w:rsidRDefault="00A720EB">
            <w:pPr>
              <w:pStyle w:val="TableParagraph"/>
              <w:spacing w:before="0"/>
              <w:ind w:left="0"/>
              <w:rPr>
                <w:rFonts w:ascii="Times New Roman"/>
                <w:sz w:val="20"/>
              </w:rPr>
            </w:pPr>
          </w:p>
        </w:tc>
        <w:tc>
          <w:tcPr>
            <w:tcW w:w="4988" w:type="dxa"/>
          </w:tcPr>
          <w:p w14:paraId="1E440D4B" w14:textId="77777777" w:rsidR="00A720EB" w:rsidRDefault="0030286B">
            <w:pPr>
              <w:pStyle w:val="TableParagraph"/>
              <w:spacing w:before="28" w:line="310" w:lineRule="atLeast"/>
              <w:rPr>
                <w:rFonts w:ascii="Cambria"/>
                <w:sz w:val="21"/>
              </w:rPr>
            </w:pPr>
            <w:r>
              <w:rPr>
                <w:rFonts w:ascii="Cambria"/>
                <w:color w:val="333333"/>
                <w:w w:val="110"/>
                <w:sz w:val="21"/>
              </w:rPr>
              <w:t>Header that holds the incoming protocol, usually named "X-Forwarded-Proto".</w:t>
            </w:r>
          </w:p>
        </w:tc>
      </w:tr>
      <w:tr w:rsidR="00A720EB" w14:paraId="7C7B87C8" w14:textId="77777777">
        <w:trPr>
          <w:trHeight w:val="886"/>
        </w:trPr>
        <w:tc>
          <w:tcPr>
            <w:tcW w:w="2494" w:type="dxa"/>
          </w:tcPr>
          <w:p w14:paraId="380E4703" w14:textId="77777777" w:rsidR="00A720EB" w:rsidRDefault="0030286B">
            <w:pPr>
              <w:pStyle w:val="TableParagraph"/>
              <w:spacing w:line="264" w:lineRule="exact"/>
              <w:rPr>
                <w:sz w:val="21"/>
              </w:rPr>
            </w:pPr>
            <w:proofErr w:type="gramStart"/>
            <w:r>
              <w:rPr>
                <w:color w:val="B02045"/>
                <w:sz w:val="21"/>
              </w:rPr>
              <w:t>server.tomcat</w:t>
            </w:r>
            <w:proofErr w:type="gramEnd"/>
            <w:r>
              <w:rPr>
                <w:color w:val="B02045"/>
                <w:sz w:val="21"/>
              </w:rPr>
              <w:t>.remoteip</w:t>
            </w:r>
          </w:p>
          <w:p w14:paraId="16C71995" w14:textId="77777777" w:rsidR="00A720EB" w:rsidRDefault="0030286B">
            <w:pPr>
              <w:pStyle w:val="TableParagraph"/>
              <w:spacing w:before="3" w:line="230" w:lineRule="auto"/>
              <w:ind w:right="638"/>
              <w:rPr>
                <w:sz w:val="21"/>
              </w:rPr>
            </w:pPr>
            <w:proofErr w:type="gramStart"/>
            <w:r>
              <w:rPr>
                <w:color w:val="B02045"/>
                <w:sz w:val="21"/>
              </w:rPr>
              <w:t>.protocol</w:t>
            </w:r>
            <w:proofErr w:type="gramEnd"/>
            <w:r>
              <w:rPr>
                <w:color w:val="B02045"/>
                <w:sz w:val="21"/>
              </w:rPr>
              <w:t>-header- https-value</w:t>
            </w:r>
          </w:p>
        </w:tc>
        <w:tc>
          <w:tcPr>
            <w:tcW w:w="2494" w:type="dxa"/>
          </w:tcPr>
          <w:p w14:paraId="6F2D1449" w14:textId="77777777" w:rsidR="00A720EB" w:rsidRDefault="0030286B">
            <w:pPr>
              <w:pStyle w:val="TableParagraph"/>
              <w:rPr>
                <w:sz w:val="21"/>
              </w:rPr>
            </w:pPr>
            <w:r>
              <w:rPr>
                <w:color w:val="B02045"/>
                <w:sz w:val="21"/>
              </w:rPr>
              <w:t>https</w:t>
            </w:r>
          </w:p>
        </w:tc>
        <w:tc>
          <w:tcPr>
            <w:tcW w:w="4988" w:type="dxa"/>
          </w:tcPr>
          <w:p w14:paraId="2F702656" w14:textId="77777777" w:rsidR="00A720EB" w:rsidRDefault="0030286B">
            <w:pPr>
              <w:pStyle w:val="TableParagraph"/>
              <w:spacing w:before="92" w:line="307" w:lineRule="auto"/>
              <w:rPr>
                <w:rFonts w:ascii="Cambria"/>
                <w:sz w:val="21"/>
              </w:rPr>
            </w:pPr>
            <w:r>
              <w:rPr>
                <w:rFonts w:ascii="Cambria"/>
                <w:color w:val="333333"/>
                <w:w w:val="110"/>
                <w:sz w:val="21"/>
              </w:rPr>
              <w:t>Value of the protocol header indicating whether the incoming request uses SSL.</w:t>
            </w:r>
          </w:p>
        </w:tc>
      </w:tr>
      <w:tr w:rsidR="00A720EB" w14:paraId="482A5AF9" w14:textId="77777777">
        <w:trPr>
          <w:trHeight w:val="1056"/>
        </w:trPr>
        <w:tc>
          <w:tcPr>
            <w:tcW w:w="2494" w:type="dxa"/>
          </w:tcPr>
          <w:p w14:paraId="2A14FBFE" w14:textId="77777777" w:rsidR="00A720EB" w:rsidRDefault="0030286B">
            <w:pPr>
              <w:pStyle w:val="TableParagraph"/>
              <w:spacing w:line="264" w:lineRule="exact"/>
              <w:rPr>
                <w:sz w:val="21"/>
              </w:rPr>
            </w:pPr>
            <w:proofErr w:type="gramStart"/>
            <w:r>
              <w:rPr>
                <w:color w:val="B02045"/>
                <w:sz w:val="21"/>
              </w:rPr>
              <w:t>server.tomcat</w:t>
            </w:r>
            <w:proofErr w:type="gramEnd"/>
            <w:r>
              <w:rPr>
                <w:color w:val="B02045"/>
                <w:sz w:val="21"/>
              </w:rPr>
              <w:t>.remoteip</w:t>
            </w:r>
          </w:p>
          <w:p w14:paraId="02140E54" w14:textId="77777777" w:rsidR="00A720EB" w:rsidRDefault="0030286B">
            <w:pPr>
              <w:pStyle w:val="TableParagraph"/>
              <w:spacing w:before="0" w:line="264" w:lineRule="exact"/>
              <w:rPr>
                <w:sz w:val="21"/>
              </w:rPr>
            </w:pPr>
            <w:proofErr w:type="gramStart"/>
            <w:r>
              <w:rPr>
                <w:color w:val="B02045"/>
                <w:sz w:val="21"/>
              </w:rPr>
              <w:t>.remote</w:t>
            </w:r>
            <w:proofErr w:type="gramEnd"/>
            <w:r>
              <w:rPr>
                <w:color w:val="B02045"/>
                <w:sz w:val="21"/>
              </w:rPr>
              <w:t>-ip-header</w:t>
            </w:r>
          </w:p>
        </w:tc>
        <w:tc>
          <w:tcPr>
            <w:tcW w:w="2494" w:type="dxa"/>
          </w:tcPr>
          <w:p w14:paraId="567651D4" w14:textId="77777777" w:rsidR="00A720EB" w:rsidRDefault="00A720EB">
            <w:pPr>
              <w:pStyle w:val="TableParagraph"/>
              <w:spacing w:before="0"/>
              <w:ind w:left="0"/>
              <w:rPr>
                <w:rFonts w:ascii="Times New Roman"/>
                <w:sz w:val="20"/>
              </w:rPr>
            </w:pPr>
          </w:p>
        </w:tc>
        <w:tc>
          <w:tcPr>
            <w:tcW w:w="4988" w:type="dxa"/>
          </w:tcPr>
          <w:p w14:paraId="142E1D65" w14:textId="77777777" w:rsidR="00A720EB" w:rsidRDefault="0030286B">
            <w:pPr>
              <w:pStyle w:val="TableParagraph"/>
              <w:spacing w:before="28" w:line="310" w:lineRule="atLeast"/>
              <w:ind w:right="745"/>
              <w:rPr>
                <w:rFonts w:ascii="Cambria"/>
                <w:sz w:val="21"/>
              </w:rPr>
            </w:pPr>
            <w:r>
              <w:rPr>
                <w:rFonts w:ascii="Cambria"/>
                <w:color w:val="333333"/>
                <w:w w:val="115"/>
                <w:sz w:val="21"/>
              </w:rPr>
              <w:t>Name</w:t>
            </w:r>
            <w:r>
              <w:rPr>
                <w:rFonts w:ascii="Cambria"/>
                <w:color w:val="333333"/>
                <w:spacing w:val="-18"/>
                <w:w w:val="115"/>
                <w:sz w:val="21"/>
              </w:rPr>
              <w:t xml:space="preserve"> </w:t>
            </w:r>
            <w:r>
              <w:rPr>
                <w:rFonts w:ascii="Cambria"/>
                <w:color w:val="333333"/>
                <w:w w:val="115"/>
                <w:sz w:val="21"/>
              </w:rPr>
              <w:t>of</w:t>
            </w:r>
            <w:r>
              <w:rPr>
                <w:rFonts w:ascii="Cambria"/>
                <w:color w:val="333333"/>
                <w:spacing w:val="-17"/>
                <w:w w:val="115"/>
                <w:sz w:val="21"/>
              </w:rPr>
              <w:t xml:space="preserve"> </w:t>
            </w:r>
            <w:r>
              <w:rPr>
                <w:rFonts w:ascii="Cambria"/>
                <w:color w:val="333333"/>
                <w:w w:val="115"/>
                <w:sz w:val="21"/>
              </w:rPr>
              <w:t>the</w:t>
            </w:r>
            <w:r>
              <w:rPr>
                <w:rFonts w:ascii="Cambria"/>
                <w:color w:val="333333"/>
                <w:spacing w:val="-17"/>
                <w:w w:val="115"/>
                <w:sz w:val="21"/>
              </w:rPr>
              <w:t xml:space="preserve"> </w:t>
            </w:r>
            <w:r>
              <w:rPr>
                <w:rFonts w:ascii="Cambria"/>
                <w:color w:val="333333"/>
                <w:w w:val="115"/>
                <w:sz w:val="21"/>
              </w:rPr>
              <w:t>HTTP</w:t>
            </w:r>
            <w:r>
              <w:rPr>
                <w:rFonts w:ascii="Cambria"/>
                <w:color w:val="333333"/>
                <w:spacing w:val="-18"/>
                <w:w w:val="115"/>
                <w:sz w:val="21"/>
              </w:rPr>
              <w:t xml:space="preserve"> </w:t>
            </w:r>
            <w:r>
              <w:rPr>
                <w:rFonts w:ascii="Cambria"/>
                <w:color w:val="333333"/>
                <w:w w:val="115"/>
                <w:sz w:val="21"/>
              </w:rPr>
              <w:t>header</w:t>
            </w:r>
            <w:r>
              <w:rPr>
                <w:rFonts w:ascii="Cambria"/>
                <w:color w:val="333333"/>
                <w:spacing w:val="-18"/>
                <w:w w:val="115"/>
                <w:sz w:val="21"/>
              </w:rPr>
              <w:t xml:space="preserve"> </w:t>
            </w:r>
            <w:r>
              <w:rPr>
                <w:rFonts w:ascii="Cambria"/>
                <w:color w:val="333333"/>
                <w:w w:val="115"/>
                <w:sz w:val="21"/>
              </w:rPr>
              <w:t>from</w:t>
            </w:r>
            <w:r>
              <w:rPr>
                <w:rFonts w:ascii="Cambria"/>
                <w:color w:val="333333"/>
                <w:spacing w:val="-17"/>
                <w:w w:val="115"/>
                <w:sz w:val="21"/>
              </w:rPr>
              <w:t xml:space="preserve"> </w:t>
            </w:r>
            <w:r>
              <w:rPr>
                <w:rFonts w:ascii="Cambria"/>
                <w:color w:val="333333"/>
                <w:w w:val="115"/>
                <w:sz w:val="21"/>
              </w:rPr>
              <w:t>which</w:t>
            </w:r>
            <w:r>
              <w:rPr>
                <w:rFonts w:ascii="Cambria"/>
                <w:color w:val="333333"/>
                <w:spacing w:val="-18"/>
                <w:w w:val="115"/>
                <w:sz w:val="21"/>
              </w:rPr>
              <w:t xml:space="preserve"> </w:t>
            </w:r>
            <w:r>
              <w:rPr>
                <w:rFonts w:ascii="Cambria"/>
                <w:color w:val="333333"/>
                <w:w w:val="115"/>
                <w:sz w:val="21"/>
              </w:rPr>
              <w:t xml:space="preserve">the remote IP is extracted. </w:t>
            </w:r>
            <w:r>
              <w:rPr>
                <w:rFonts w:ascii="Cambria"/>
                <w:color w:val="333333"/>
                <w:spacing w:val="-4"/>
                <w:w w:val="115"/>
                <w:sz w:val="21"/>
              </w:rPr>
              <w:t xml:space="preserve">For </w:t>
            </w:r>
            <w:r>
              <w:rPr>
                <w:rFonts w:ascii="Cambria"/>
                <w:color w:val="333333"/>
                <w:w w:val="115"/>
                <w:sz w:val="21"/>
              </w:rPr>
              <w:t xml:space="preserve">instance, `X- </w:t>
            </w:r>
            <w:r>
              <w:rPr>
                <w:rFonts w:ascii="Cambria"/>
                <w:color w:val="333333"/>
                <w:spacing w:val="-3"/>
                <w:w w:val="115"/>
                <w:sz w:val="21"/>
              </w:rPr>
              <w:t>FORWARDED-FOR`.</w:t>
            </w:r>
          </w:p>
        </w:tc>
      </w:tr>
      <w:tr w:rsidR="00A720EB" w14:paraId="0E550EB6" w14:textId="77777777">
        <w:trPr>
          <w:trHeight w:val="741"/>
        </w:trPr>
        <w:tc>
          <w:tcPr>
            <w:tcW w:w="2494" w:type="dxa"/>
          </w:tcPr>
          <w:p w14:paraId="1BF0CD8A" w14:textId="77777777" w:rsidR="00A720EB" w:rsidRDefault="0030286B">
            <w:pPr>
              <w:pStyle w:val="TableParagraph"/>
              <w:spacing w:line="264" w:lineRule="exact"/>
              <w:rPr>
                <w:sz w:val="21"/>
              </w:rPr>
            </w:pPr>
            <w:proofErr w:type="gramStart"/>
            <w:r>
              <w:rPr>
                <w:color w:val="B02045"/>
                <w:sz w:val="21"/>
              </w:rPr>
              <w:t>server.tomcat</w:t>
            </w:r>
            <w:proofErr w:type="gramEnd"/>
            <w:r>
              <w:rPr>
                <w:color w:val="B02045"/>
                <w:sz w:val="21"/>
              </w:rPr>
              <w:t>.resource</w:t>
            </w:r>
          </w:p>
          <w:p w14:paraId="0009DAC3" w14:textId="77777777" w:rsidR="00A720EB" w:rsidRDefault="0030286B">
            <w:pPr>
              <w:pStyle w:val="TableParagraph"/>
              <w:spacing w:before="0" w:line="264" w:lineRule="exact"/>
              <w:rPr>
                <w:sz w:val="21"/>
              </w:rPr>
            </w:pPr>
            <w:proofErr w:type="gramStart"/>
            <w:r>
              <w:rPr>
                <w:color w:val="B02045"/>
                <w:sz w:val="21"/>
              </w:rPr>
              <w:t>.allow</w:t>
            </w:r>
            <w:proofErr w:type="gramEnd"/>
            <w:r>
              <w:rPr>
                <w:color w:val="B02045"/>
                <w:sz w:val="21"/>
              </w:rPr>
              <w:t>-caching</w:t>
            </w:r>
          </w:p>
        </w:tc>
        <w:tc>
          <w:tcPr>
            <w:tcW w:w="2494" w:type="dxa"/>
          </w:tcPr>
          <w:p w14:paraId="151A2417" w14:textId="77777777" w:rsidR="00A720EB" w:rsidRDefault="0030286B">
            <w:pPr>
              <w:pStyle w:val="TableParagraph"/>
              <w:rPr>
                <w:sz w:val="21"/>
              </w:rPr>
            </w:pPr>
            <w:r>
              <w:rPr>
                <w:color w:val="B02045"/>
                <w:sz w:val="21"/>
              </w:rPr>
              <w:t>true</w:t>
            </w:r>
          </w:p>
        </w:tc>
        <w:tc>
          <w:tcPr>
            <w:tcW w:w="4988" w:type="dxa"/>
          </w:tcPr>
          <w:p w14:paraId="26E73125" w14:textId="77777777" w:rsidR="00A720EB" w:rsidRDefault="0030286B">
            <w:pPr>
              <w:pStyle w:val="TableParagraph"/>
              <w:spacing w:before="28" w:line="310" w:lineRule="atLeast"/>
              <w:rPr>
                <w:rFonts w:ascii="Cambria"/>
                <w:sz w:val="21"/>
              </w:rPr>
            </w:pPr>
            <w:r>
              <w:rPr>
                <w:rFonts w:ascii="Cambria"/>
                <w:color w:val="333333"/>
                <w:w w:val="110"/>
                <w:sz w:val="21"/>
              </w:rPr>
              <w:t>Whether static resource caching is permitted for this web application.</w:t>
            </w:r>
          </w:p>
        </w:tc>
      </w:tr>
      <w:tr w:rsidR="00A720EB" w14:paraId="511201E0" w14:textId="77777777">
        <w:trPr>
          <w:trHeight w:val="627"/>
        </w:trPr>
        <w:tc>
          <w:tcPr>
            <w:tcW w:w="2494" w:type="dxa"/>
          </w:tcPr>
          <w:p w14:paraId="70221B34" w14:textId="77777777" w:rsidR="00A720EB" w:rsidRDefault="0030286B">
            <w:pPr>
              <w:pStyle w:val="TableParagraph"/>
              <w:spacing w:before="37" w:line="264" w:lineRule="exact"/>
              <w:rPr>
                <w:sz w:val="21"/>
              </w:rPr>
            </w:pPr>
            <w:proofErr w:type="gramStart"/>
            <w:r>
              <w:rPr>
                <w:color w:val="B02045"/>
                <w:sz w:val="21"/>
              </w:rPr>
              <w:t>server.tomcat</w:t>
            </w:r>
            <w:proofErr w:type="gramEnd"/>
            <w:r>
              <w:rPr>
                <w:color w:val="B02045"/>
                <w:sz w:val="21"/>
              </w:rPr>
              <w:t>.resource</w:t>
            </w:r>
          </w:p>
          <w:p w14:paraId="677A97D8" w14:textId="77777777" w:rsidR="00A720EB" w:rsidRDefault="0030286B">
            <w:pPr>
              <w:pStyle w:val="TableParagraph"/>
              <w:spacing w:before="0" w:line="264" w:lineRule="exact"/>
              <w:rPr>
                <w:sz w:val="21"/>
              </w:rPr>
            </w:pPr>
            <w:proofErr w:type="gramStart"/>
            <w:r>
              <w:rPr>
                <w:color w:val="B02045"/>
                <w:sz w:val="21"/>
              </w:rPr>
              <w:t>.cache</w:t>
            </w:r>
            <w:proofErr w:type="gramEnd"/>
            <w:r>
              <w:rPr>
                <w:color w:val="B02045"/>
                <w:sz w:val="21"/>
              </w:rPr>
              <w:t>-ttl</w:t>
            </w:r>
          </w:p>
        </w:tc>
        <w:tc>
          <w:tcPr>
            <w:tcW w:w="2494" w:type="dxa"/>
          </w:tcPr>
          <w:p w14:paraId="65202058" w14:textId="77777777" w:rsidR="00A720EB" w:rsidRDefault="00A720EB">
            <w:pPr>
              <w:pStyle w:val="TableParagraph"/>
              <w:spacing w:before="0"/>
              <w:ind w:left="0"/>
              <w:rPr>
                <w:rFonts w:ascii="Times New Roman"/>
                <w:sz w:val="20"/>
              </w:rPr>
            </w:pPr>
          </w:p>
        </w:tc>
        <w:tc>
          <w:tcPr>
            <w:tcW w:w="4988" w:type="dxa"/>
          </w:tcPr>
          <w:p w14:paraId="1C85B8DF" w14:textId="77777777" w:rsidR="00A720EB" w:rsidRDefault="0030286B">
            <w:pPr>
              <w:pStyle w:val="TableParagraph"/>
              <w:spacing w:before="92"/>
              <w:rPr>
                <w:rFonts w:ascii="Cambria"/>
                <w:sz w:val="21"/>
              </w:rPr>
            </w:pPr>
            <w:r>
              <w:rPr>
                <w:rFonts w:ascii="Cambria"/>
                <w:color w:val="333333"/>
                <w:w w:val="110"/>
                <w:sz w:val="21"/>
              </w:rPr>
              <w:t>Time-to-live of the static resource cache.</w:t>
            </w:r>
          </w:p>
        </w:tc>
      </w:tr>
      <w:tr w:rsidR="00A720EB" w14:paraId="3FCAB5D6" w14:textId="77777777">
        <w:trPr>
          <w:trHeight w:val="627"/>
        </w:trPr>
        <w:tc>
          <w:tcPr>
            <w:tcW w:w="2494" w:type="dxa"/>
          </w:tcPr>
          <w:p w14:paraId="3ADED76D" w14:textId="77777777" w:rsidR="00A720EB" w:rsidRDefault="0030286B">
            <w:pPr>
              <w:pStyle w:val="TableParagraph"/>
              <w:spacing w:before="46" w:line="230" w:lineRule="auto"/>
              <w:ind w:right="94"/>
              <w:rPr>
                <w:sz w:val="21"/>
              </w:rPr>
            </w:pPr>
            <w:proofErr w:type="gramStart"/>
            <w:r>
              <w:rPr>
                <w:color w:val="B02045"/>
                <w:sz w:val="21"/>
              </w:rPr>
              <w:t>server.tomcat</w:t>
            </w:r>
            <w:proofErr w:type="gramEnd"/>
            <w:r>
              <w:rPr>
                <w:color w:val="B02045"/>
                <w:sz w:val="21"/>
              </w:rPr>
              <w:t>.threads. max</w:t>
            </w:r>
          </w:p>
        </w:tc>
        <w:tc>
          <w:tcPr>
            <w:tcW w:w="2494" w:type="dxa"/>
          </w:tcPr>
          <w:p w14:paraId="11FB3D67" w14:textId="77777777" w:rsidR="00A720EB" w:rsidRDefault="0030286B">
            <w:pPr>
              <w:pStyle w:val="TableParagraph"/>
              <w:spacing w:before="37"/>
              <w:rPr>
                <w:sz w:val="21"/>
              </w:rPr>
            </w:pPr>
            <w:r>
              <w:rPr>
                <w:color w:val="B02045"/>
                <w:sz w:val="21"/>
              </w:rPr>
              <w:t>200.0</w:t>
            </w:r>
          </w:p>
        </w:tc>
        <w:tc>
          <w:tcPr>
            <w:tcW w:w="4988" w:type="dxa"/>
          </w:tcPr>
          <w:p w14:paraId="6E6F52DC" w14:textId="77777777" w:rsidR="00A720EB" w:rsidRDefault="0030286B">
            <w:pPr>
              <w:pStyle w:val="TableParagraph"/>
              <w:spacing w:before="92"/>
              <w:rPr>
                <w:rFonts w:ascii="Cambria"/>
                <w:sz w:val="21"/>
              </w:rPr>
            </w:pPr>
            <w:r>
              <w:rPr>
                <w:rFonts w:ascii="Cambria"/>
                <w:color w:val="333333"/>
                <w:w w:val="115"/>
                <w:sz w:val="21"/>
              </w:rPr>
              <w:t>Maximum amount of worker threads.</w:t>
            </w:r>
          </w:p>
        </w:tc>
      </w:tr>
      <w:tr w:rsidR="00A720EB" w14:paraId="613A0295" w14:textId="77777777">
        <w:trPr>
          <w:trHeight w:val="627"/>
        </w:trPr>
        <w:tc>
          <w:tcPr>
            <w:tcW w:w="2494" w:type="dxa"/>
          </w:tcPr>
          <w:p w14:paraId="5EAEAC94" w14:textId="77777777" w:rsidR="00A720EB" w:rsidRDefault="0030286B">
            <w:pPr>
              <w:pStyle w:val="TableParagraph"/>
              <w:spacing w:before="46" w:line="230" w:lineRule="auto"/>
              <w:ind w:right="113"/>
              <w:rPr>
                <w:sz w:val="21"/>
              </w:rPr>
            </w:pPr>
            <w:proofErr w:type="gramStart"/>
            <w:r>
              <w:rPr>
                <w:color w:val="B02045"/>
                <w:sz w:val="21"/>
              </w:rPr>
              <w:t>server.tomcat</w:t>
            </w:r>
            <w:proofErr w:type="gramEnd"/>
            <w:r>
              <w:rPr>
                <w:color w:val="B02045"/>
                <w:sz w:val="21"/>
              </w:rPr>
              <w:t>.threads. min-spare</w:t>
            </w:r>
          </w:p>
        </w:tc>
        <w:tc>
          <w:tcPr>
            <w:tcW w:w="2494" w:type="dxa"/>
          </w:tcPr>
          <w:p w14:paraId="6E1FA1CC" w14:textId="77777777" w:rsidR="00A720EB" w:rsidRDefault="0030286B">
            <w:pPr>
              <w:pStyle w:val="TableParagraph"/>
              <w:spacing w:before="37"/>
              <w:rPr>
                <w:sz w:val="21"/>
              </w:rPr>
            </w:pPr>
            <w:r>
              <w:rPr>
                <w:color w:val="B02045"/>
                <w:sz w:val="21"/>
              </w:rPr>
              <w:t>10.0</w:t>
            </w:r>
          </w:p>
        </w:tc>
        <w:tc>
          <w:tcPr>
            <w:tcW w:w="4988" w:type="dxa"/>
          </w:tcPr>
          <w:p w14:paraId="4E8F0EDD" w14:textId="77777777" w:rsidR="00A720EB" w:rsidRDefault="0030286B">
            <w:pPr>
              <w:pStyle w:val="TableParagraph"/>
              <w:spacing w:before="92"/>
              <w:rPr>
                <w:rFonts w:ascii="Cambria"/>
                <w:sz w:val="21"/>
              </w:rPr>
            </w:pPr>
            <w:r>
              <w:rPr>
                <w:rFonts w:ascii="Cambria"/>
                <w:color w:val="333333"/>
                <w:w w:val="115"/>
                <w:sz w:val="21"/>
              </w:rPr>
              <w:t>Minimum amount of worker threads.</w:t>
            </w:r>
          </w:p>
        </w:tc>
      </w:tr>
      <w:tr w:rsidR="00A720EB" w14:paraId="33A72800" w14:textId="77777777">
        <w:trPr>
          <w:trHeight w:val="627"/>
        </w:trPr>
        <w:tc>
          <w:tcPr>
            <w:tcW w:w="2494" w:type="dxa"/>
          </w:tcPr>
          <w:p w14:paraId="09820737" w14:textId="77777777" w:rsidR="00A720EB" w:rsidRDefault="0030286B">
            <w:pPr>
              <w:pStyle w:val="TableParagraph"/>
              <w:spacing w:before="46" w:line="230" w:lineRule="auto"/>
              <w:ind w:right="514"/>
              <w:rPr>
                <w:sz w:val="21"/>
              </w:rPr>
            </w:pPr>
            <w:r>
              <w:rPr>
                <w:color w:val="B02045"/>
                <w:sz w:val="21"/>
              </w:rPr>
              <w:lastRenderedPageBreak/>
              <w:t>server.tomcat.uri- encoding</w:t>
            </w:r>
          </w:p>
        </w:tc>
        <w:tc>
          <w:tcPr>
            <w:tcW w:w="2494" w:type="dxa"/>
          </w:tcPr>
          <w:p w14:paraId="5C5B90D6" w14:textId="77777777" w:rsidR="00A720EB" w:rsidRDefault="0030286B">
            <w:pPr>
              <w:pStyle w:val="TableParagraph"/>
              <w:spacing w:before="37"/>
              <w:rPr>
                <w:sz w:val="21"/>
              </w:rPr>
            </w:pPr>
            <w:r>
              <w:rPr>
                <w:color w:val="B02045"/>
                <w:sz w:val="21"/>
              </w:rPr>
              <w:t>UTF-8</w:t>
            </w:r>
          </w:p>
        </w:tc>
        <w:tc>
          <w:tcPr>
            <w:tcW w:w="4988" w:type="dxa"/>
          </w:tcPr>
          <w:p w14:paraId="3FD04300" w14:textId="77777777" w:rsidR="00A720EB" w:rsidRDefault="0030286B">
            <w:pPr>
              <w:pStyle w:val="TableParagraph"/>
              <w:spacing w:before="92"/>
              <w:rPr>
                <w:rFonts w:ascii="Cambria"/>
                <w:sz w:val="21"/>
              </w:rPr>
            </w:pPr>
            <w:r>
              <w:rPr>
                <w:rFonts w:ascii="Cambria"/>
                <w:color w:val="333333"/>
                <w:w w:val="110"/>
                <w:sz w:val="21"/>
              </w:rPr>
              <w:t>Character encoding to use to decode the URI.</w:t>
            </w:r>
          </w:p>
        </w:tc>
      </w:tr>
      <w:tr w:rsidR="00A720EB" w14:paraId="30B669AF" w14:textId="77777777">
        <w:trPr>
          <w:trHeight w:val="1056"/>
        </w:trPr>
        <w:tc>
          <w:tcPr>
            <w:tcW w:w="2494" w:type="dxa"/>
          </w:tcPr>
          <w:p w14:paraId="2EB6490A" w14:textId="77777777" w:rsidR="00A720EB" w:rsidRDefault="0030286B">
            <w:pPr>
              <w:pStyle w:val="TableParagraph"/>
              <w:spacing w:before="46" w:line="230" w:lineRule="auto"/>
              <w:ind w:right="533"/>
              <w:rPr>
                <w:sz w:val="21"/>
              </w:rPr>
            </w:pPr>
            <w:r>
              <w:rPr>
                <w:color w:val="B02045"/>
                <w:sz w:val="21"/>
              </w:rPr>
              <w:t>server.tomcat.use- relative-redirects</w:t>
            </w:r>
          </w:p>
        </w:tc>
        <w:tc>
          <w:tcPr>
            <w:tcW w:w="2494" w:type="dxa"/>
          </w:tcPr>
          <w:p w14:paraId="221CD196" w14:textId="77777777" w:rsidR="00A720EB" w:rsidRDefault="0030286B">
            <w:pPr>
              <w:pStyle w:val="TableParagraph"/>
              <w:spacing w:before="37"/>
              <w:rPr>
                <w:sz w:val="21"/>
              </w:rPr>
            </w:pPr>
            <w:r>
              <w:rPr>
                <w:color w:val="B02045"/>
                <w:sz w:val="21"/>
              </w:rPr>
              <w:t>false</w:t>
            </w:r>
          </w:p>
        </w:tc>
        <w:tc>
          <w:tcPr>
            <w:tcW w:w="4988" w:type="dxa"/>
          </w:tcPr>
          <w:p w14:paraId="46A12FDF" w14:textId="77777777" w:rsidR="00A720EB" w:rsidRDefault="0030286B">
            <w:pPr>
              <w:pStyle w:val="TableParagraph"/>
              <w:spacing w:before="28" w:line="310" w:lineRule="atLeast"/>
              <w:rPr>
                <w:rFonts w:ascii="Cambria"/>
                <w:sz w:val="21"/>
              </w:rPr>
            </w:pPr>
            <w:r>
              <w:rPr>
                <w:rFonts w:ascii="Cambria"/>
                <w:color w:val="333333"/>
                <w:w w:val="110"/>
                <w:sz w:val="21"/>
              </w:rPr>
              <w:t>Whether HTTP 1.1 and later location headers generated by a call to sendRedirect will use relative or absolute redirects.</w:t>
            </w:r>
          </w:p>
        </w:tc>
      </w:tr>
      <w:tr w:rsidR="00A720EB" w14:paraId="4452F77F" w14:textId="77777777">
        <w:trPr>
          <w:trHeight w:val="627"/>
        </w:trPr>
        <w:tc>
          <w:tcPr>
            <w:tcW w:w="2494" w:type="dxa"/>
          </w:tcPr>
          <w:p w14:paraId="61013916" w14:textId="77777777" w:rsidR="00A720EB" w:rsidRDefault="0030286B">
            <w:pPr>
              <w:pStyle w:val="TableParagraph"/>
              <w:spacing w:before="46" w:line="230" w:lineRule="auto"/>
              <w:ind w:right="94"/>
              <w:rPr>
                <w:sz w:val="21"/>
              </w:rPr>
            </w:pPr>
            <w:proofErr w:type="gramStart"/>
            <w:r>
              <w:rPr>
                <w:color w:val="B02045"/>
                <w:sz w:val="21"/>
              </w:rPr>
              <w:t>server.undertow</w:t>
            </w:r>
            <w:proofErr w:type="gramEnd"/>
            <w:r>
              <w:rPr>
                <w:color w:val="B02045"/>
                <w:sz w:val="21"/>
              </w:rPr>
              <w:t>.access log.dir</w:t>
            </w:r>
          </w:p>
        </w:tc>
        <w:tc>
          <w:tcPr>
            <w:tcW w:w="2494" w:type="dxa"/>
          </w:tcPr>
          <w:p w14:paraId="06F7EB05" w14:textId="77777777" w:rsidR="00A720EB" w:rsidRDefault="00A720EB">
            <w:pPr>
              <w:pStyle w:val="TableParagraph"/>
              <w:spacing w:before="0"/>
              <w:ind w:left="0"/>
              <w:rPr>
                <w:rFonts w:ascii="Times New Roman"/>
                <w:sz w:val="20"/>
              </w:rPr>
            </w:pPr>
          </w:p>
        </w:tc>
        <w:tc>
          <w:tcPr>
            <w:tcW w:w="4988" w:type="dxa"/>
          </w:tcPr>
          <w:p w14:paraId="6FFFD31D" w14:textId="77777777" w:rsidR="00A720EB" w:rsidRDefault="0030286B">
            <w:pPr>
              <w:pStyle w:val="TableParagraph"/>
              <w:spacing w:before="92"/>
              <w:rPr>
                <w:rFonts w:ascii="Cambria"/>
                <w:sz w:val="21"/>
              </w:rPr>
            </w:pPr>
            <w:r>
              <w:rPr>
                <w:rFonts w:ascii="Cambria"/>
                <w:color w:val="333333"/>
                <w:w w:val="110"/>
                <w:sz w:val="21"/>
              </w:rPr>
              <w:t>Undertow access log directory.</w:t>
            </w:r>
          </w:p>
        </w:tc>
      </w:tr>
      <w:tr w:rsidR="00A720EB" w14:paraId="054BE89E" w14:textId="77777777">
        <w:trPr>
          <w:trHeight w:val="627"/>
        </w:trPr>
        <w:tc>
          <w:tcPr>
            <w:tcW w:w="2494" w:type="dxa"/>
          </w:tcPr>
          <w:p w14:paraId="3DED95A2" w14:textId="77777777" w:rsidR="00A720EB" w:rsidRDefault="0030286B">
            <w:pPr>
              <w:pStyle w:val="TableParagraph"/>
              <w:spacing w:before="46" w:line="230" w:lineRule="auto"/>
              <w:ind w:right="94"/>
              <w:rPr>
                <w:sz w:val="21"/>
              </w:rPr>
            </w:pPr>
            <w:proofErr w:type="gramStart"/>
            <w:r>
              <w:rPr>
                <w:color w:val="B02045"/>
                <w:sz w:val="21"/>
              </w:rPr>
              <w:t>server.undertow</w:t>
            </w:r>
            <w:proofErr w:type="gramEnd"/>
            <w:r>
              <w:rPr>
                <w:color w:val="B02045"/>
                <w:sz w:val="21"/>
              </w:rPr>
              <w:t>.access log.enabled</w:t>
            </w:r>
          </w:p>
        </w:tc>
        <w:tc>
          <w:tcPr>
            <w:tcW w:w="2494" w:type="dxa"/>
          </w:tcPr>
          <w:p w14:paraId="5E92412A" w14:textId="77777777" w:rsidR="00A720EB" w:rsidRDefault="0030286B">
            <w:pPr>
              <w:pStyle w:val="TableParagraph"/>
              <w:spacing w:before="37"/>
              <w:rPr>
                <w:sz w:val="21"/>
              </w:rPr>
            </w:pPr>
            <w:r>
              <w:rPr>
                <w:color w:val="B02045"/>
                <w:sz w:val="21"/>
              </w:rPr>
              <w:t>false</w:t>
            </w:r>
          </w:p>
        </w:tc>
        <w:tc>
          <w:tcPr>
            <w:tcW w:w="4988" w:type="dxa"/>
          </w:tcPr>
          <w:p w14:paraId="2BDAD5E1" w14:textId="77777777" w:rsidR="00A720EB" w:rsidRDefault="0030286B">
            <w:pPr>
              <w:pStyle w:val="TableParagraph"/>
              <w:spacing w:before="92"/>
              <w:rPr>
                <w:rFonts w:ascii="Cambria"/>
                <w:sz w:val="21"/>
              </w:rPr>
            </w:pPr>
            <w:r>
              <w:rPr>
                <w:rFonts w:ascii="Cambria"/>
                <w:color w:val="333333"/>
                <w:w w:val="110"/>
                <w:sz w:val="21"/>
              </w:rPr>
              <w:t>Whether to enable the access log.</w:t>
            </w:r>
          </w:p>
        </w:tc>
      </w:tr>
    </w:tbl>
    <w:p w14:paraId="4C279AA3"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247759D" w14:textId="77777777">
        <w:trPr>
          <w:trHeight w:val="415"/>
        </w:trPr>
        <w:tc>
          <w:tcPr>
            <w:tcW w:w="2494" w:type="dxa"/>
            <w:tcBorders>
              <w:bottom w:val="single" w:sz="12" w:space="0" w:color="DDDDDD"/>
            </w:tcBorders>
          </w:tcPr>
          <w:p w14:paraId="2664439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F82ED8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0CDF0174"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7A81A74" w14:textId="77777777">
        <w:trPr>
          <w:trHeight w:val="617"/>
        </w:trPr>
        <w:tc>
          <w:tcPr>
            <w:tcW w:w="2494" w:type="dxa"/>
            <w:tcBorders>
              <w:top w:val="single" w:sz="12" w:space="0" w:color="DDDDDD"/>
            </w:tcBorders>
          </w:tcPr>
          <w:p w14:paraId="6A77E3E5" w14:textId="77777777" w:rsidR="00A720EB" w:rsidRDefault="0030286B">
            <w:pPr>
              <w:pStyle w:val="TableParagraph"/>
              <w:spacing w:before="36" w:line="230" w:lineRule="auto"/>
              <w:ind w:right="94"/>
              <w:rPr>
                <w:sz w:val="21"/>
              </w:rPr>
            </w:pPr>
            <w:proofErr w:type="gramStart"/>
            <w:r>
              <w:rPr>
                <w:color w:val="B02045"/>
                <w:sz w:val="21"/>
              </w:rPr>
              <w:t>server.undertow</w:t>
            </w:r>
            <w:proofErr w:type="gramEnd"/>
            <w:r>
              <w:rPr>
                <w:color w:val="B02045"/>
                <w:sz w:val="21"/>
              </w:rPr>
              <w:t>.access log.pattern</w:t>
            </w:r>
          </w:p>
        </w:tc>
        <w:tc>
          <w:tcPr>
            <w:tcW w:w="2494" w:type="dxa"/>
            <w:tcBorders>
              <w:top w:val="single" w:sz="12" w:space="0" w:color="DDDDDD"/>
            </w:tcBorders>
          </w:tcPr>
          <w:p w14:paraId="146EBC8F" w14:textId="77777777" w:rsidR="00A720EB" w:rsidRDefault="0030286B">
            <w:pPr>
              <w:pStyle w:val="TableParagraph"/>
              <w:spacing w:before="27"/>
              <w:rPr>
                <w:sz w:val="21"/>
              </w:rPr>
            </w:pPr>
            <w:r>
              <w:rPr>
                <w:color w:val="B02045"/>
                <w:sz w:val="21"/>
              </w:rPr>
              <w:t>common</w:t>
            </w:r>
          </w:p>
        </w:tc>
        <w:tc>
          <w:tcPr>
            <w:tcW w:w="4988" w:type="dxa"/>
            <w:tcBorders>
              <w:top w:val="single" w:sz="12" w:space="0" w:color="DDDDDD"/>
            </w:tcBorders>
          </w:tcPr>
          <w:p w14:paraId="774470CB" w14:textId="77777777" w:rsidR="00A720EB" w:rsidRDefault="0030286B">
            <w:pPr>
              <w:pStyle w:val="TableParagraph"/>
              <w:spacing w:before="82"/>
              <w:rPr>
                <w:rFonts w:ascii="Cambria"/>
                <w:sz w:val="21"/>
              </w:rPr>
            </w:pPr>
            <w:r>
              <w:rPr>
                <w:rFonts w:ascii="Cambria"/>
                <w:color w:val="333333"/>
                <w:w w:val="110"/>
                <w:sz w:val="21"/>
              </w:rPr>
              <w:t>Format pattern for access logs.</w:t>
            </w:r>
          </w:p>
        </w:tc>
      </w:tr>
      <w:tr w:rsidR="00A720EB" w14:paraId="526D61E8" w14:textId="77777777">
        <w:trPr>
          <w:trHeight w:val="627"/>
        </w:trPr>
        <w:tc>
          <w:tcPr>
            <w:tcW w:w="2494" w:type="dxa"/>
          </w:tcPr>
          <w:p w14:paraId="270B8D9D" w14:textId="77777777" w:rsidR="00A720EB" w:rsidRDefault="0030286B">
            <w:pPr>
              <w:pStyle w:val="TableParagraph"/>
              <w:spacing w:before="46" w:line="230" w:lineRule="auto"/>
              <w:ind w:right="94"/>
              <w:rPr>
                <w:sz w:val="21"/>
              </w:rPr>
            </w:pPr>
            <w:proofErr w:type="gramStart"/>
            <w:r>
              <w:rPr>
                <w:color w:val="B02045"/>
                <w:sz w:val="21"/>
              </w:rPr>
              <w:t>server.undertow</w:t>
            </w:r>
            <w:proofErr w:type="gramEnd"/>
            <w:r>
              <w:rPr>
                <w:color w:val="B02045"/>
                <w:sz w:val="21"/>
              </w:rPr>
              <w:t>.access log.prefix</w:t>
            </w:r>
          </w:p>
        </w:tc>
        <w:tc>
          <w:tcPr>
            <w:tcW w:w="2494" w:type="dxa"/>
          </w:tcPr>
          <w:p w14:paraId="01447FBA" w14:textId="77777777" w:rsidR="00A720EB" w:rsidRDefault="0030286B">
            <w:pPr>
              <w:pStyle w:val="TableParagraph"/>
              <w:spacing w:before="37"/>
              <w:rPr>
                <w:sz w:val="21"/>
              </w:rPr>
            </w:pPr>
            <w:r>
              <w:rPr>
                <w:color w:val="B02045"/>
                <w:sz w:val="21"/>
              </w:rPr>
              <w:t>access_log.</w:t>
            </w:r>
          </w:p>
        </w:tc>
        <w:tc>
          <w:tcPr>
            <w:tcW w:w="4988" w:type="dxa"/>
          </w:tcPr>
          <w:p w14:paraId="3BE4C52F" w14:textId="77777777" w:rsidR="00A720EB" w:rsidRDefault="0030286B">
            <w:pPr>
              <w:pStyle w:val="TableParagraph"/>
              <w:spacing w:before="92"/>
              <w:rPr>
                <w:rFonts w:ascii="Cambria"/>
                <w:sz w:val="21"/>
              </w:rPr>
            </w:pPr>
            <w:r>
              <w:rPr>
                <w:rFonts w:ascii="Cambria"/>
                <w:color w:val="333333"/>
                <w:w w:val="115"/>
                <w:sz w:val="21"/>
              </w:rPr>
              <w:t>Log file name prefix.</w:t>
            </w:r>
          </w:p>
        </w:tc>
      </w:tr>
      <w:tr w:rsidR="00A720EB" w14:paraId="273E083D" w14:textId="77777777">
        <w:trPr>
          <w:trHeight w:val="627"/>
        </w:trPr>
        <w:tc>
          <w:tcPr>
            <w:tcW w:w="2494" w:type="dxa"/>
          </w:tcPr>
          <w:p w14:paraId="4951F1AC" w14:textId="77777777" w:rsidR="00A720EB" w:rsidRDefault="0030286B">
            <w:pPr>
              <w:pStyle w:val="TableParagraph"/>
              <w:spacing w:before="46" w:line="230" w:lineRule="auto"/>
              <w:ind w:right="94"/>
              <w:rPr>
                <w:sz w:val="21"/>
              </w:rPr>
            </w:pPr>
            <w:proofErr w:type="gramStart"/>
            <w:r>
              <w:rPr>
                <w:color w:val="B02045"/>
                <w:sz w:val="21"/>
              </w:rPr>
              <w:t>server.undertow</w:t>
            </w:r>
            <w:proofErr w:type="gramEnd"/>
            <w:r>
              <w:rPr>
                <w:color w:val="B02045"/>
                <w:sz w:val="21"/>
              </w:rPr>
              <w:t>.access log.rotate</w:t>
            </w:r>
          </w:p>
        </w:tc>
        <w:tc>
          <w:tcPr>
            <w:tcW w:w="2494" w:type="dxa"/>
          </w:tcPr>
          <w:p w14:paraId="67B13F01" w14:textId="77777777" w:rsidR="00A720EB" w:rsidRDefault="0030286B">
            <w:pPr>
              <w:pStyle w:val="TableParagraph"/>
              <w:rPr>
                <w:sz w:val="21"/>
              </w:rPr>
            </w:pPr>
            <w:r>
              <w:rPr>
                <w:color w:val="B02045"/>
                <w:sz w:val="21"/>
              </w:rPr>
              <w:t>true</w:t>
            </w:r>
          </w:p>
        </w:tc>
        <w:tc>
          <w:tcPr>
            <w:tcW w:w="4988" w:type="dxa"/>
          </w:tcPr>
          <w:p w14:paraId="15CAFC4E" w14:textId="77777777" w:rsidR="00A720EB" w:rsidRDefault="0030286B">
            <w:pPr>
              <w:pStyle w:val="TableParagraph"/>
              <w:spacing w:before="92"/>
              <w:rPr>
                <w:rFonts w:ascii="Cambria"/>
                <w:sz w:val="21"/>
              </w:rPr>
            </w:pPr>
            <w:r>
              <w:rPr>
                <w:rFonts w:ascii="Cambria"/>
                <w:color w:val="333333"/>
                <w:w w:val="110"/>
                <w:sz w:val="21"/>
              </w:rPr>
              <w:t>Whether to enable access log rotation.</w:t>
            </w:r>
          </w:p>
        </w:tc>
      </w:tr>
      <w:tr w:rsidR="00A720EB" w14:paraId="683409CD" w14:textId="77777777">
        <w:trPr>
          <w:trHeight w:val="627"/>
        </w:trPr>
        <w:tc>
          <w:tcPr>
            <w:tcW w:w="2494" w:type="dxa"/>
          </w:tcPr>
          <w:p w14:paraId="11CEE614" w14:textId="77777777" w:rsidR="00A720EB" w:rsidRDefault="0030286B">
            <w:pPr>
              <w:pStyle w:val="TableParagraph"/>
              <w:spacing w:before="46" w:line="230" w:lineRule="auto"/>
              <w:ind w:right="94"/>
              <w:rPr>
                <w:sz w:val="21"/>
              </w:rPr>
            </w:pPr>
            <w:proofErr w:type="gramStart"/>
            <w:r>
              <w:rPr>
                <w:color w:val="B02045"/>
                <w:sz w:val="21"/>
              </w:rPr>
              <w:t>server.undertow</w:t>
            </w:r>
            <w:proofErr w:type="gramEnd"/>
            <w:r>
              <w:rPr>
                <w:color w:val="B02045"/>
                <w:sz w:val="21"/>
              </w:rPr>
              <w:t>.access log.suffix</w:t>
            </w:r>
          </w:p>
        </w:tc>
        <w:tc>
          <w:tcPr>
            <w:tcW w:w="2494" w:type="dxa"/>
          </w:tcPr>
          <w:p w14:paraId="495D3F8B" w14:textId="77777777" w:rsidR="00A720EB" w:rsidRDefault="0030286B">
            <w:pPr>
              <w:pStyle w:val="TableParagraph"/>
              <w:rPr>
                <w:sz w:val="21"/>
              </w:rPr>
            </w:pPr>
            <w:r>
              <w:rPr>
                <w:color w:val="B02045"/>
                <w:sz w:val="21"/>
              </w:rPr>
              <w:t>log</w:t>
            </w:r>
          </w:p>
        </w:tc>
        <w:tc>
          <w:tcPr>
            <w:tcW w:w="4988" w:type="dxa"/>
          </w:tcPr>
          <w:p w14:paraId="195B8CC4" w14:textId="77777777" w:rsidR="00A720EB" w:rsidRDefault="0030286B">
            <w:pPr>
              <w:pStyle w:val="TableParagraph"/>
              <w:spacing w:before="92"/>
              <w:rPr>
                <w:rFonts w:ascii="Cambria"/>
                <w:sz w:val="21"/>
              </w:rPr>
            </w:pPr>
            <w:r>
              <w:rPr>
                <w:rFonts w:ascii="Cambria"/>
                <w:color w:val="333333"/>
                <w:w w:val="115"/>
                <w:sz w:val="21"/>
              </w:rPr>
              <w:t>Log file name suffix.</w:t>
            </w:r>
          </w:p>
        </w:tc>
      </w:tr>
      <w:tr w:rsidR="00A720EB" w14:paraId="73F2B853" w14:textId="77777777">
        <w:trPr>
          <w:trHeight w:val="2003"/>
        </w:trPr>
        <w:tc>
          <w:tcPr>
            <w:tcW w:w="2494" w:type="dxa"/>
          </w:tcPr>
          <w:p w14:paraId="2F68EC11" w14:textId="77777777" w:rsidR="00A720EB" w:rsidRDefault="0030286B">
            <w:pPr>
              <w:pStyle w:val="TableParagraph"/>
              <w:spacing w:before="46" w:line="230" w:lineRule="auto"/>
              <w:ind w:right="113"/>
              <w:rPr>
                <w:sz w:val="21"/>
              </w:rPr>
            </w:pPr>
            <w:proofErr w:type="gramStart"/>
            <w:r>
              <w:rPr>
                <w:color w:val="B02045"/>
                <w:sz w:val="21"/>
              </w:rPr>
              <w:t>server.undertow</w:t>
            </w:r>
            <w:proofErr w:type="gramEnd"/>
            <w:r>
              <w:rPr>
                <w:color w:val="B02045"/>
                <w:sz w:val="21"/>
              </w:rPr>
              <w:t>.allow- encoded-slash</w:t>
            </w:r>
          </w:p>
        </w:tc>
        <w:tc>
          <w:tcPr>
            <w:tcW w:w="2494" w:type="dxa"/>
          </w:tcPr>
          <w:p w14:paraId="673525E9" w14:textId="77777777" w:rsidR="00A720EB" w:rsidRDefault="0030286B">
            <w:pPr>
              <w:pStyle w:val="TableParagraph"/>
              <w:spacing w:before="37"/>
              <w:rPr>
                <w:sz w:val="21"/>
              </w:rPr>
            </w:pPr>
            <w:r>
              <w:rPr>
                <w:color w:val="B02045"/>
                <w:sz w:val="21"/>
              </w:rPr>
              <w:t>false</w:t>
            </w:r>
          </w:p>
        </w:tc>
        <w:tc>
          <w:tcPr>
            <w:tcW w:w="4988" w:type="dxa"/>
          </w:tcPr>
          <w:p w14:paraId="7CFC3E66" w14:textId="77777777" w:rsidR="00A720EB" w:rsidRDefault="0030286B">
            <w:pPr>
              <w:pStyle w:val="TableParagraph"/>
              <w:spacing w:before="92" w:line="307" w:lineRule="auto"/>
              <w:ind w:right="44"/>
              <w:rPr>
                <w:rFonts w:ascii="Cambria"/>
                <w:sz w:val="21"/>
              </w:rPr>
            </w:pPr>
            <w:r>
              <w:rPr>
                <w:rFonts w:ascii="Cambria"/>
                <w:color w:val="333333"/>
                <w:w w:val="110"/>
                <w:sz w:val="21"/>
              </w:rPr>
              <w:t>Whether the server should decode percent encoded slash characters. Enabling encoded slashes can have security implications due to different servers interpreting the slash differently. Only enable this if you have a legacy application that requires it.</w:t>
            </w:r>
          </w:p>
        </w:tc>
      </w:tr>
      <w:tr w:rsidR="00A720EB" w14:paraId="25E77B4F" w14:textId="77777777">
        <w:trPr>
          <w:trHeight w:val="1056"/>
        </w:trPr>
        <w:tc>
          <w:tcPr>
            <w:tcW w:w="2494" w:type="dxa"/>
          </w:tcPr>
          <w:p w14:paraId="4196504C" w14:textId="77777777" w:rsidR="00A720EB" w:rsidRDefault="0030286B">
            <w:pPr>
              <w:pStyle w:val="TableParagraph"/>
              <w:spacing w:before="37" w:line="264" w:lineRule="exact"/>
              <w:rPr>
                <w:sz w:val="21"/>
              </w:rPr>
            </w:pPr>
            <w:proofErr w:type="gramStart"/>
            <w:r>
              <w:rPr>
                <w:color w:val="B02045"/>
                <w:sz w:val="21"/>
              </w:rPr>
              <w:t>server.undertow</w:t>
            </w:r>
            <w:proofErr w:type="gramEnd"/>
            <w:r>
              <w:rPr>
                <w:color w:val="B02045"/>
                <w:sz w:val="21"/>
              </w:rPr>
              <w:t>.always</w:t>
            </w:r>
          </w:p>
          <w:p w14:paraId="3E934F19" w14:textId="77777777" w:rsidR="00A720EB" w:rsidRDefault="0030286B">
            <w:pPr>
              <w:pStyle w:val="TableParagraph"/>
              <w:spacing w:before="0" w:line="264" w:lineRule="exact"/>
              <w:rPr>
                <w:sz w:val="21"/>
              </w:rPr>
            </w:pPr>
            <w:r>
              <w:rPr>
                <w:color w:val="B02045"/>
                <w:sz w:val="21"/>
              </w:rPr>
              <w:t>-set-keep-alive</w:t>
            </w:r>
          </w:p>
        </w:tc>
        <w:tc>
          <w:tcPr>
            <w:tcW w:w="2494" w:type="dxa"/>
          </w:tcPr>
          <w:p w14:paraId="344E439B" w14:textId="77777777" w:rsidR="00A720EB" w:rsidRDefault="0030286B">
            <w:pPr>
              <w:pStyle w:val="TableParagraph"/>
              <w:spacing w:before="37"/>
              <w:rPr>
                <w:sz w:val="21"/>
              </w:rPr>
            </w:pPr>
            <w:r>
              <w:rPr>
                <w:color w:val="B02045"/>
                <w:sz w:val="21"/>
              </w:rPr>
              <w:t>true</w:t>
            </w:r>
          </w:p>
        </w:tc>
        <w:tc>
          <w:tcPr>
            <w:tcW w:w="4988" w:type="dxa"/>
          </w:tcPr>
          <w:p w14:paraId="39845CC3" w14:textId="77777777" w:rsidR="00A720EB" w:rsidRDefault="0030286B">
            <w:pPr>
              <w:pStyle w:val="TableParagraph"/>
              <w:spacing w:before="28" w:line="310" w:lineRule="atLeast"/>
              <w:ind w:right="487"/>
              <w:jc w:val="both"/>
              <w:rPr>
                <w:rFonts w:ascii="Cambria"/>
                <w:sz w:val="21"/>
              </w:rPr>
            </w:pPr>
            <w:r>
              <w:rPr>
                <w:rFonts w:ascii="Cambria"/>
                <w:color w:val="333333"/>
                <w:w w:val="110"/>
                <w:sz w:val="21"/>
              </w:rPr>
              <w:t>Whether the 'Connection: keep-alive' header should be added to all responses, even if not required by the HTTP specification.</w:t>
            </w:r>
          </w:p>
        </w:tc>
      </w:tr>
      <w:tr w:rsidR="00A720EB" w14:paraId="03FE4174" w14:textId="77777777">
        <w:trPr>
          <w:trHeight w:val="1056"/>
        </w:trPr>
        <w:tc>
          <w:tcPr>
            <w:tcW w:w="2494" w:type="dxa"/>
          </w:tcPr>
          <w:p w14:paraId="3C7250B4" w14:textId="77777777" w:rsidR="00A720EB" w:rsidRDefault="0030286B">
            <w:pPr>
              <w:pStyle w:val="TableParagraph"/>
              <w:spacing w:before="37" w:line="264" w:lineRule="exact"/>
              <w:rPr>
                <w:sz w:val="21"/>
              </w:rPr>
            </w:pPr>
            <w:proofErr w:type="gramStart"/>
            <w:r>
              <w:rPr>
                <w:color w:val="B02045"/>
                <w:sz w:val="21"/>
              </w:rPr>
              <w:t>server.undertow</w:t>
            </w:r>
            <w:proofErr w:type="gramEnd"/>
            <w:r>
              <w:rPr>
                <w:color w:val="B02045"/>
                <w:sz w:val="21"/>
              </w:rPr>
              <w:t>.buffer</w:t>
            </w:r>
          </w:p>
          <w:p w14:paraId="088EDC6A" w14:textId="77777777" w:rsidR="00A720EB" w:rsidRDefault="0030286B">
            <w:pPr>
              <w:pStyle w:val="TableParagraph"/>
              <w:spacing w:before="0" w:line="264" w:lineRule="exact"/>
              <w:rPr>
                <w:sz w:val="21"/>
              </w:rPr>
            </w:pPr>
            <w:r>
              <w:rPr>
                <w:color w:val="B02045"/>
                <w:sz w:val="21"/>
              </w:rPr>
              <w:t>-size</w:t>
            </w:r>
          </w:p>
        </w:tc>
        <w:tc>
          <w:tcPr>
            <w:tcW w:w="2494" w:type="dxa"/>
          </w:tcPr>
          <w:p w14:paraId="6BAA8BDF" w14:textId="77777777" w:rsidR="00A720EB" w:rsidRDefault="00A720EB">
            <w:pPr>
              <w:pStyle w:val="TableParagraph"/>
              <w:spacing w:before="0"/>
              <w:ind w:left="0"/>
              <w:rPr>
                <w:rFonts w:ascii="Times New Roman"/>
                <w:sz w:val="20"/>
              </w:rPr>
            </w:pPr>
          </w:p>
        </w:tc>
        <w:tc>
          <w:tcPr>
            <w:tcW w:w="4988" w:type="dxa"/>
          </w:tcPr>
          <w:p w14:paraId="08C4E127" w14:textId="77777777" w:rsidR="00A720EB" w:rsidRDefault="0030286B">
            <w:pPr>
              <w:pStyle w:val="TableParagraph"/>
              <w:spacing w:before="28" w:line="310" w:lineRule="atLeast"/>
              <w:ind w:right="218"/>
              <w:rPr>
                <w:rFonts w:ascii="Cambria"/>
                <w:sz w:val="21"/>
              </w:rPr>
            </w:pPr>
            <w:r>
              <w:rPr>
                <w:rFonts w:ascii="Cambria"/>
                <w:color w:val="333333"/>
                <w:w w:val="110"/>
                <w:sz w:val="21"/>
              </w:rPr>
              <w:t>Size of each buffer. The default is derived from the maximum amount of memory that is available to the JVM.</w:t>
            </w:r>
          </w:p>
        </w:tc>
      </w:tr>
      <w:tr w:rsidR="00A720EB" w14:paraId="6BEB4AD0" w14:textId="77777777">
        <w:trPr>
          <w:trHeight w:val="1056"/>
        </w:trPr>
        <w:tc>
          <w:tcPr>
            <w:tcW w:w="2494" w:type="dxa"/>
          </w:tcPr>
          <w:p w14:paraId="4C21C007" w14:textId="77777777" w:rsidR="00A720EB" w:rsidRDefault="0030286B">
            <w:pPr>
              <w:pStyle w:val="TableParagraph"/>
              <w:spacing w:before="37" w:line="264" w:lineRule="exact"/>
              <w:rPr>
                <w:sz w:val="21"/>
              </w:rPr>
            </w:pPr>
            <w:proofErr w:type="gramStart"/>
            <w:r>
              <w:rPr>
                <w:color w:val="B02045"/>
                <w:sz w:val="21"/>
              </w:rPr>
              <w:t>server.undertow</w:t>
            </w:r>
            <w:proofErr w:type="gramEnd"/>
            <w:r>
              <w:rPr>
                <w:color w:val="B02045"/>
                <w:sz w:val="21"/>
              </w:rPr>
              <w:t>.decode</w:t>
            </w:r>
          </w:p>
          <w:p w14:paraId="45D0B1EC" w14:textId="77777777" w:rsidR="00A720EB" w:rsidRDefault="0030286B">
            <w:pPr>
              <w:pStyle w:val="TableParagraph"/>
              <w:spacing w:before="0" w:line="264" w:lineRule="exact"/>
              <w:rPr>
                <w:sz w:val="21"/>
              </w:rPr>
            </w:pPr>
            <w:r>
              <w:rPr>
                <w:color w:val="B02045"/>
                <w:sz w:val="21"/>
              </w:rPr>
              <w:t>-url</w:t>
            </w:r>
          </w:p>
        </w:tc>
        <w:tc>
          <w:tcPr>
            <w:tcW w:w="2494" w:type="dxa"/>
          </w:tcPr>
          <w:p w14:paraId="72467B5B" w14:textId="77777777" w:rsidR="00A720EB" w:rsidRDefault="0030286B">
            <w:pPr>
              <w:pStyle w:val="TableParagraph"/>
              <w:spacing w:before="37"/>
              <w:rPr>
                <w:sz w:val="21"/>
              </w:rPr>
            </w:pPr>
            <w:r>
              <w:rPr>
                <w:color w:val="B02045"/>
                <w:sz w:val="21"/>
              </w:rPr>
              <w:t>true</w:t>
            </w:r>
          </w:p>
        </w:tc>
        <w:tc>
          <w:tcPr>
            <w:tcW w:w="4988" w:type="dxa"/>
          </w:tcPr>
          <w:p w14:paraId="14F73CFC" w14:textId="77777777" w:rsidR="00A720EB" w:rsidRDefault="0030286B">
            <w:pPr>
              <w:pStyle w:val="TableParagraph"/>
              <w:spacing w:before="28" w:line="310" w:lineRule="atLeast"/>
              <w:rPr>
                <w:rFonts w:ascii="Cambria"/>
                <w:sz w:val="21"/>
              </w:rPr>
            </w:pPr>
            <w:r>
              <w:rPr>
                <w:rFonts w:ascii="Cambria"/>
                <w:color w:val="333333"/>
                <w:w w:val="110"/>
                <w:sz w:val="21"/>
              </w:rPr>
              <w:t>Whether the URL should be decoded. When disabled, percent-encoded characters in the URL will be left as-is.</w:t>
            </w:r>
          </w:p>
        </w:tc>
      </w:tr>
      <w:tr w:rsidR="00A720EB" w14:paraId="0F99383D" w14:textId="77777777">
        <w:trPr>
          <w:trHeight w:val="1056"/>
        </w:trPr>
        <w:tc>
          <w:tcPr>
            <w:tcW w:w="2494" w:type="dxa"/>
          </w:tcPr>
          <w:p w14:paraId="3CA20167" w14:textId="77777777" w:rsidR="00A720EB" w:rsidRDefault="0030286B">
            <w:pPr>
              <w:pStyle w:val="TableParagraph"/>
              <w:spacing w:before="37" w:line="264" w:lineRule="exact"/>
              <w:rPr>
                <w:sz w:val="21"/>
              </w:rPr>
            </w:pPr>
            <w:proofErr w:type="gramStart"/>
            <w:r>
              <w:rPr>
                <w:color w:val="B02045"/>
                <w:sz w:val="21"/>
              </w:rPr>
              <w:t>server.undertow</w:t>
            </w:r>
            <w:proofErr w:type="gramEnd"/>
            <w:r>
              <w:rPr>
                <w:color w:val="B02045"/>
                <w:sz w:val="21"/>
              </w:rPr>
              <w:t>.direct</w:t>
            </w:r>
          </w:p>
          <w:p w14:paraId="2E1C9F5D" w14:textId="77777777" w:rsidR="00A720EB" w:rsidRDefault="0030286B">
            <w:pPr>
              <w:pStyle w:val="TableParagraph"/>
              <w:spacing w:before="0" w:line="264" w:lineRule="exact"/>
              <w:rPr>
                <w:sz w:val="21"/>
              </w:rPr>
            </w:pPr>
            <w:r>
              <w:rPr>
                <w:color w:val="B02045"/>
                <w:sz w:val="21"/>
              </w:rPr>
              <w:t>-buffers</w:t>
            </w:r>
          </w:p>
        </w:tc>
        <w:tc>
          <w:tcPr>
            <w:tcW w:w="2494" w:type="dxa"/>
          </w:tcPr>
          <w:p w14:paraId="1B1A8F8D" w14:textId="77777777" w:rsidR="00A720EB" w:rsidRDefault="00A720EB">
            <w:pPr>
              <w:pStyle w:val="TableParagraph"/>
              <w:spacing w:before="0"/>
              <w:ind w:left="0"/>
              <w:rPr>
                <w:rFonts w:ascii="Times New Roman"/>
                <w:sz w:val="20"/>
              </w:rPr>
            </w:pPr>
          </w:p>
        </w:tc>
        <w:tc>
          <w:tcPr>
            <w:tcW w:w="4988" w:type="dxa"/>
          </w:tcPr>
          <w:p w14:paraId="6501C2C0" w14:textId="77777777" w:rsidR="00A720EB" w:rsidRDefault="0030286B">
            <w:pPr>
              <w:pStyle w:val="TableParagraph"/>
              <w:spacing w:before="28" w:line="310" w:lineRule="atLeast"/>
              <w:ind w:right="117"/>
              <w:rPr>
                <w:rFonts w:ascii="Cambria"/>
                <w:sz w:val="21"/>
              </w:rPr>
            </w:pPr>
            <w:r>
              <w:rPr>
                <w:rFonts w:ascii="Cambria"/>
                <w:color w:val="333333"/>
                <w:w w:val="110"/>
                <w:sz w:val="21"/>
              </w:rPr>
              <w:t>Whether to allocate buffers outside the Java heap. The default is derived from the maximum amount of memory that is available to the JVM.</w:t>
            </w:r>
          </w:p>
        </w:tc>
      </w:tr>
      <w:tr w:rsidR="00A720EB" w14:paraId="32F609E5" w14:textId="77777777">
        <w:trPr>
          <w:trHeight w:val="741"/>
        </w:trPr>
        <w:tc>
          <w:tcPr>
            <w:tcW w:w="2494" w:type="dxa"/>
          </w:tcPr>
          <w:p w14:paraId="040F32A3" w14:textId="77777777" w:rsidR="00A720EB" w:rsidRDefault="0030286B">
            <w:pPr>
              <w:pStyle w:val="TableParagraph"/>
              <w:spacing w:before="46" w:line="230" w:lineRule="auto"/>
              <w:ind w:right="113"/>
              <w:rPr>
                <w:sz w:val="21"/>
              </w:rPr>
            </w:pPr>
            <w:proofErr w:type="gramStart"/>
            <w:r>
              <w:rPr>
                <w:color w:val="B02045"/>
                <w:sz w:val="21"/>
              </w:rPr>
              <w:t>server.undertow</w:t>
            </w:r>
            <w:proofErr w:type="gramEnd"/>
            <w:r>
              <w:rPr>
                <w:color w:val="B02045"/>
                <w:sz w:val="21"/>
              </w:rPr>
              <w:t>.eager- filter-init</w:t>
            </w:r>
          </w:p>
        </w:tc>
        <w:tc>
          <w:tcPr>
            <w:tcW w:w="2494" w:type="dxa"/>
          </w:tcPr>
          <w:p w14:paraId="56164CB6" w14:textId="77777777" w:rsidR="00A720EB" w:rsidRDefault="0030286B">
            <w:pPr>
              <w:pStyle w:val="TableParagraph"/>
              <w:spacing w:before="37"/>
              <w:rPr>
                <w:sz w:val="21"/>
              </w:rPr>
            </w:pPr>
            <w:r>
              <w:rPr>
                <w:color w:val="B02045"/>
                <w:sz w:val="21"/>
              </w:rPr>
              <w:t>true</w:t>
            </w:r>
          </w:p>
        </w:tc>
        <w:tc>
          <w:tcPr>
            <w:tcW w:w="4988" w:type="dxa"/>
          </w:tcPr>
          <w:p w14:paraId="3089D67B" w14:textId="77777777" w:rsidR="00A720EB" w:rsidRDefault="0030286B">
            <w:pPr>
              <w:pStyle w:val="TableParagraph"/>
              <w:spacing w:before="28" w:line="310" w:lineRule="atLeast"/>
              <w:rPr>
                <w:rFonts w:ascii="Cambria"/>
                <w:sz w:val="21"/>
              </w:rPr>
            </w:pPr>
            <w:r>
              <w:rPr>
                <w:rFonts w:ascii="Cambria"/>
                <w:color w:val="333333"/>
                <w:w w:val="110"/>
                <w:sz w:val="21"/>
              </w:rPr>
              <w:t>Whether servlet filters should be initialized on startup.</w:t>
            </w:r>
          </w:p>
        </w:tc>
      </w:tr>
      <w:tr w:rsidR="00A720EB" w14:paraId="05D567B4" w14:textId="77777777">
        <w:trPr>
          <w:trHeight w:val="1056"/>
        </w:trPr>
        <w:tc>
          <w:tcPr>
            <w:tcW w:w="2494" w:type="dxa"/>
          </w:tcPr>
          <w:p w14:paraId="23E66E89" w14:textId="77777777" w:rsidR="00A720EB" w:rsidRDefault="0030286B">
            <w:pPr>
              <w:pStyle w:val="TableParagraph"/>
              <w:spacing w:before="46" w:line="230" w:lineRule="auto"/>
              <w:ind w:right="304"/>
              <w:rPr>
                <w:sz w:val="21"/>
              </w:rPr>
            </w:pPr>
            <w:r>
              <w:rPr>
                <w:color w:val="B02045"/>
                <w:sz w:val="21"/>
              </w:rPr>
              <w:t>server.undertow.max- cookies</w:t>
            </w:r>
          </w:p>
        </w:tc>
        <w:tc>
          <w:tcPr>
            <w:tcW w:w="2494" w:type="dxa"/>
          </w:tcPr>
          <w:p w14:paraId="5A2B372A" w14:textId="77777777" w:rsidR="00A720EB" w:rsidRDefault="0030286B">
            <w:pPr>
              <w:pStyle w:val="TableParagraph"/>
              <w:spacing w:before="37"/>
              <w:rPr>
                <w:sz w:val="21"/>
              </w:rPr>
            </w:pPr>
            <w:r>
              <w:rPr>
                <w:color w:val="B02045"/>
                <w:sz w:val="21"/>
              </w:rPr>
              <w:t>200.0</w:t>
            </w:r>
          </w:p>
        </w:tc>
        <w:tc>
          <w:tcPr>
            <w:tcW w:w="4988" w:type="dxa"/>
          </w:tcPr>
          <w:p w14:paraId="46F02557" w14:textId="77777777" w:rsidR="00A720EB" w:rsidRDefault="0030286B">
            <w:pPr>
              <w:pStyle w:val="TableParagraph"/>
              <w:spacing w:before="28" w:line="310" w:lineRule="atLeast"/>
              <w:ind w:right="200"/>
              <w:jc w:val="both"/>
              <w:rPr>
                <w:rFonts w:ascii="Cambria"/>
                <w:sz w:val="21"/>
              </w:rPr>
            </w:pPr>
            <w:r>
              <w:rPr>
                <w:rFonts w:ascii="Cambria"/>
                <w:color w:val="333333"/>
                <w:w w:val="110"/>
                <w:sz w:val="21"/>
              </w:rPr>
              <w:t xml:space="preserve">Maximum number of cookies that are allowed. This limit exists to prevent hash </w:t>
            </w:r>
            <w:proofErr w:type="gramStart"/>
            <w:r>
              <w:rPr>
                <w:rFonts w:ascii="Cambria"/>
                <w:color w:val="333333"/>
                <w:w w:val="110"/>
                <w:sz w:val="21"/>
              </w:rPr>
              <w:t>collision based</w:t>
            </w:r>
            <w:proofErr w:type="gramEnd"/>
            <w:r>
              <w:rPr>
                <w:rFonts w:ascii="Cambria"/>
                <w:color w:val="333333"/>
                <w:w w:val="110"/>
                <w:sz w:val="21"/>
              </w:rPr>
              <w:t xml:space="preserve"> DOS attacks.</w:t>
            </w:r>
          </w:p>
        </w:tc>
      </w:tr>
      <w:tr w:rsidR="00A720EB" w14:paraId="57305399" w14:textId="77777777">
        <w:trPr>
          <w:trHeight w:val="1056"/>
        </w:trPr>
        <w:tc>
          <w:tcPr>
            <w:tcW w:w="2494" w:type="dxa"/>
          </w:tcPr>
          <w:p w14:paraId="66F829D9" w14:textId="77777777" w:rsidR="00A720EB" w:rsidRDefault="0030286B">
            <w:pPr>
              <w:pStyle w:val="TableParagraph"/>
              <w:spacing w:before="46" w:line="230" w:lineRule="auto"/>
              <w:ind w:right="304"/>
              <w:rPr>
                <w:sz w:val="21"/>
              </w:rPr>
            </w:pPr>
            <w:r>
              <w:rPr>
                <w:color w:val="B02045"/>
                <w:sz w:val="21"/>
              </w:rPr>
              <w:t>server.undertow.max- headers</w:t>
            </w:r>
          </w:p>
        </w:tc>
        <w:tc>
          <w:tcPr>
            <w:tcW w:w="2494" w:type="dxa"/>
          </w:tcPr>
          <w:p w14:paraId="596A5248" w14:textId="77777777" w:rsidR="00A720EB" w:rsidRDefault="00A720EB">
            <w:pPr>
              <w:pStyle w:val="TableParagraph"/>
              <w:spacing w:before="0"/>
              <w:ind w:left="0"/>
              <w:rPr>
                <w:rFonts w:ascii="Times New Roman"/>
                <w:sz w:val="20"/>
              </w:rPr>
            </w:pPr>
          </w:p>
        </w:tc>
        <w:tc>
          <w:tcPr>
            <w:tcW w:w="4988" w:type="dxa"/>
          </w:tcPr>
          <w:p w14:paraId="5EE375F0" w14:textId="77777777" w:rsidR="00A720EB" w:rsidRDefault="0030286B">
            <w:pPr>
              <w:pStyle w:val="TableParagraph"/>
              <w:spacing w:before="28" w:line="310" w:lineRule="atLeast"/>
              <w:ind w:right="185"/>
              <w:jc w:val="both"/>
              <w:rPr>
                <w:rFonts w:ascii="Cambria"/>
                <w:sz w:val="21"/>
              </w:rPr>
            </w:pPr>
            <w:r>
              <w:rPr>
                <w:rFonts w:ascii="Cambria"/>
                <w:color w:val="333333"/>
                <w:w w:val="110"/>
                <w:sz w:val="21"/>
              </w:rPr>
              <w:t xml:space="preserve">Maximum number of headers that are allowed. This limit exists to prevent hash </w:t>
            </w:r>
            <w:proofErr w:type="gramStart"/>
            <w:r>
              <w:rPr>
                <w:rFonts w:ascii="Cambria"/>
                <w:color w:val="333333"/>
                <w:w w:val="110"/>
                <w:sz w:val="21"/>
              </w:rPr>
              <w:t>collision based</w:t>
            </w:r>
            <w:proofErr w:type="gramEnd"/>
            <w:r>
              <w:rPr>
                <w:rFonts w:ascii="Cambria"/>
                <w:color w:val="333333"/>
                <w:w w:val="110"/>
                <w:sz w:val="21"/>
              </w:rPr>
              <w:t xml:space="preserve"> DOS attacks.</w:t>
            </w:r>
          </w:p>
        </w:tc>
      </w:tr>
      <w:tr w:rsidR="00A720EB" w14:paraId="375F81E7" w14:textId="77777777">
        <w:trPr>
          <w:trHeight w:val="741"/>
        </w:trPr>
        <w:tc>
          <w:tcPr>
            <w:tcW w:w="2494" w:type="dxa"/>
          </w:tcPr>
          <w:p w14:paraId="7404057F" w14:textId="77777777" w:rsidR="00A720EB" w:rsidRDefault="0030286B">
            <w:pPr>
              <w:pStyle w:val="TableParagraph"/>
              <w:spacing w:before="46" w:line="230" w:lineRule="auto"/>
              <w:ind w:right="323"/>
              <w:rPr>
                <w:sz w:val="21"/>
              </w:rPr>
            </w:pPr>
            <w:r>
              <w:rPr>
                <w:color w:val="B02045"/>
                <w:sz w:val="21"/>
              </w:rPr>
              <w:t>server.undertow.max- http-post-size</w:t>
            </w:r>
          </w:p>
        </w:tc>
        <w:tc>
          <w:tcPr>
            <w:tcW w:w="2494" w:type="dxa"/>
          </w:tcPr>
          <w:p w14:paraId="5953CF13" w14:textId="77777777" w:rsidR="00A720EB" w:rsidRDefault="0030286B">
            <w:pPr>
              <w:pStyle w:val="TableParagraph"/>
              <w:spacing w:before="37"/>
              <w:rPr>
                <w:sz w:val="21"/>
              </w:rPr>
            </w:pPr>
            <w:r>
              <w:rPr>
                <w:color w:val="B02045"/>
                <w:sz w:val="21"/>
              </w:rPr>
              <w:t>-1B</w:t>
            </w:r>
          </w:p>
        </w:tc>
        <w:tc>
          <w:tcPr>
            <w:tcW w:w="4988" w:type="dxa"/>
          </w:tcPr>
          <w:p w14:paraId="7F3BE224" w14:textId="77777777" w:rsidR="00A720EB" w:rsidRDefault="0030286B">
            <w:pPr>
              <w:pStyle w:val="TableParagraph"/>
              <w:spacing w:before="28" w:line="310" w:lineRule="atLeast"/>
              <w:ind w:right="218"/>
              <w:rPr>
                <w:rFonts w:ascii="Cambria"/>
                <w:sz w:val="21"/>
              </w:rPr>
            </w:pPr>
            <w:r>
              <w:rPr>
                <w:rFonts w:ascii="Cambria"/>
                <w:color w:val="333333"/>
                <w:w w:val="110"/>
                <w:sz w:val="21"/>
              </w:rPr>
              <w:t>Maximum size of the HTTP post content. When the value is -1, the default, the size is unlimited.</w:t>
            </w:r>
          </w:p>
        </w:tc>
      </w:tr>
      <w:tr w:rsidR="00A720EB" w14:paraId="7D1742CC" w14:textId="77777777">
        <w:trPr>
          <w:trHeight w:val="1056"/>
        </w:trPr>
        <w:tc>
          <w:tcPr>
            <w:tcW w:w="2494" w:type="dxa"/>
          </w:tcPr>
          <w:p w14:paraId="66075A73" w14:textId="77777777" w:rsidR="00A720EB" w:rsidRDefault="0030286B">
            <w:pPr>
              <w:pStyle w:val="TableParagraph"/>
              <w:spacing w:before="46" w:line="230" w:lineRule="auto"/>
              <w:ind w:right="304"/>
              <w:rPr>
                <w:sz w:val="21"/>
              </w:rPr>
            </w:pPr>
            <w:r>
              <w:rPr>
                <w:color w:val="B02045"/>
                <w:sz w:val="21"/>
              </w:rPr>
              <w:t>server.undertow.max- parameters</w:t>
            </w:r>
          </w:p>
        </w:tc>
        <w:tc>
          <w:tcPr>
            <w:tcW w:w="2494" w:type="dxa"/>
          </w:tcPr>
          <w:p w14:paraId="4325DE52" w14:textId="77777777" w:rsidR="00A720EB" w:rsidRDefault="00A720EB">
            <w:pPr>
              <w:pStyle w:val="TableParagraph"/>
              <w:spacing w:before="0"/>
              <w:ind w:left="0"/>
              <w:rPr>
                <w:rFonts w:ascii="Times New Roman"/>
                <w:sz w:val="20"/>
              </w:rPr>
            </w:pPr>
          </w:p>
        </w:tc>
        <w:tc>
          <w:tcPr>
            <w:tcW w:w="4988" w:type="dxa"/>
          </w:tcPr>
          <w:p w14:paraId="1ECEC2E3" w14:textId="77777777" w:rsidR="00A720EB" w:rsidRDefault="0030286B">
            <w:pPr>
              <w:pStyle w:val="TableParagraph"/>
              <w:spacing w:before="28" w:line="310" w:lineRule="atLeast"/>
              <w:ind w:right="218"/>
              <w:rPr>
                <w:rFonts w:ascii="Cambria"/>
                <w:sz w:val="21"/>
              </w:rPr>
            </w:pPr>
            <w:r>
              <w:rPr>
                <w:rFonts w:ascii="Cambria"/>
                <w:color w:val="333333"/>
                <w:w w:val="110"/>
                <w:sz w:val="21"/>
              </w:rPr>
              <w:t xml:space="preserve">Maximum number of query or path parameters that are allowed. This limit exists to prevent hash </w:t>
            </w:r>
            <w:proofErr w:type="gramStart"/>
            <w:r>
              <w:rPr>
                <w:rFonts w:ascii="Cambria"/>
                <w:color w:val="333333"/>
                <w:w w:val="110"/>
                <w:sz w:val="21"/>
              </w:rPr>
              <w:t>collision based</w:t>
            </w:r>
            <w:proofErr w:type="gramEnd"/>
            <w:r>
              <w:rPr>
                <w:rFonts w:ascii="Cambria"/>
                <w:color w:val="333333"/>
                <w:w w:val="110"/>
                <w:sz w:val="21"/>
              </w:rPr>
              <w:t xml:space="preserve"> DOS attacks.</w:t>
            </w:r>
          </w:p>
        </w:tc>
      </w:tr>
      <w:tr w:rsidR="00A720EB" w14:paraId="259FCADF" w14:textId="77777777">
        <w:trPr>
          <w:trHeight w:val="1056"/>
        </w:trPr>
        <w:tc>
          <w:tcPr>
            <w:tcW w:w="2494" w:type="dxa"/>
          </w:tcPr>
          <w:p w14:paraId="006A7F21" w14:textId="77777777" w:rsidR="00A720EB" w:rsidRDefault="0030286B">
            <w:pPr>
              <w:pStyle w:val="TableParagraph"/>
              <w:spacing w:before="46" w:line="230" w:lineRule="auto"/>
              <w:ind w:right="428"/>
              <w:rPr>
                <w:sz w:val="21"/>
              </w:rPr>
            </w:pPr>
            <w:r>
              <w:rPr>
                <w:color w:val="B02045"/>
                <w:sz w:val="21"/>
              </w:rPr>
              <w:t>server.undertow.no- request-timeout</w:t>
            </w:r>
          </w:p>
        </w:tc>
        <w:tc>
          <w:tcPr>
            <w:tcW w:w="2494" w:type="dxa"/>
          </w:tcPr>
          <w:p w14:paraId="109BC193" w14:textId="77777777" w:rsidR="00A720EB" w:rsidRDefault="00A720EB">
            <w:pPr>
              <w:pStyle w:val="TableParagraph"/>
              <w:spacing w:before="0"/>
              <w:ind w:left="0"/>
              <w:rPr>
                <w:rFonts w:ascii="Times New Roman"/>
                <w:sz w:val="20"/>
              </w:rPr>
            </w:pPr>
          </w:p>
        </w:tc>
        <w:tc>
          <w:tcPr>
            <w:tcW w:w="4988" w:type="dxa"/>
          </w:tcPr>
          <w:p w14:paraId="425DDACD" w14:textId="77777777" w:rsidR="00A720EB" w:rsidRDefault="0030286B">
            <w:pPr>
              <w:pStyle w:val="TableParagraph"/>
              <w:spacing w:before="28" w:line="310" w:lineRule="atLeast"/>
              <w:rPr>
                <w:rFonts w:ascii="Cambria"/>
                <w:sz w:val="21"/>
              </w:rPr>
            </w:pPr>
            <w:r>
              <w:rPr>
                <w:rFonts w:ascii="Cambria"/>
                <w:color w:val="333333"/>
                <w:w w:val="110"/>
                <w:sz w:val="21"/>
              </w:rPr>
              <w:t>Amount of time a connection can sit idle without processing a request, before it is closed by the server.</w:t>
            </w:r>
          </w:p>
        </w:tc>
      </w:tr>
    </w:tbl>
    <w:p w14:paraId="7E368774"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55A26F4" w14:textId="77777777">
        <w:trPr>
          <w:trHeight w:val="415"/>
        </w:trPr>
        <w:tc>
          <w:tcPr>
            <w:tcW w:w="2494" w:type="dxa"/>
            <w:tcBorders>
              <w:bottom w:val="single" w:sz="12" w:space="0" w:color="DDDDDD"/>
            </w:tcBorders>
          </w:tcPr>
          <w:p w14:paraId="0CF7610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9532FEE"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76268C5"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E044663" w14:textId="77777777">
        <w:trPr>
          <w:trHeight w:val="617"/>
        </w:trPr>
        <w:tc>
          <w:tcPr>
            <w:tcW w:w="2494" w:type="dxa"/>
            <w:tcBorders>
              <w:top w:val="single" w:sz="12" w:space="0" w:color="DDDDDD"/>
            </w:tcBorders>
          </w:tcPr>
          <w:p w14:paraId="1E95533B" w14:textId="77777777" w:rsidR="00A720EB" w:rsidRDefault="0030286B">
            <w:pPr>
              <w:pStyle w:val="TableParagraph"/>
              <w:spacing w:before="36" w:line="230" w:lineRule="auto"/>
              <w:ind w:right="94"/>
              <w:rPr>
                <w:sz w:val="21"/>
              </w:rPr>
            </w:pPr>
            <w:proofErr w:type="gramStart"/>
            <w:r>
              <w:rPr>
                <w:color w:val="B02045"/>
                <w:sz w:val="21"/>
              </w:rPr>
              <w:t>server.undertow</w:t>
            </w:r>
            <w:proofErr w:type="gramEnd"/>
            <w:r>
              <w:rPr>
                <w:color w:val="B02045"/>
                <w:sz w:val="21"/>
              </w:rPr>
              <w:t>.option s.server.*</w:t>
            </w:r>
          </w:p>
        </w:tc>
        <w:tc>
          <w:tcPr>
            <w:tcW w:w="2494" w:type="dxa"/>
            <w:tcBorders>
              <w:top w:val="single" w:sz="12" w:space="0" w:color="DDDDDD"/>
            </w:tcBorders>
          </w:tcPr>
          <w:p w14:paraId="61A6CA2F"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56A75F6A" w14:textId="77777777" w:rsidR="00A720EB" w:rsidRDefault="00A720EB">
            <w:pPr>
              <w:pStyle w:val="TableParagraph"/>
              <w:spacing w:before="0"/>
              <w:ind w:left="0"/>
              <w:rPr>
                <w:rFonts w:ascii="Times New Roman"/>
                <w:sz w:val="20"/>
              </w:rPr>
            </w:pPr>
          </w:p>
        </w:tc>
      </w:tr>
      <w:tr w:rsidR="00A720EB" w14:paraId="05F7EA0C" w14:textId="77777777">
        <w:trPr>
          <w:trHeight w:val="627"/>
        </w:trPr>
        <w:tc>
          <w:tcPr>
            <w:tcW w:w="2494" w:type="dxa"/>
          </w:tcPr>
          <w:p w14:paraId="350D3ED9" w14:textId="77777777" w:rsidR="00A720EB" w:rsidRDefault="0030286B">
            <w:pPr>
              <w:pStyle w:val="TableParagraph"/>
              <w:spacing w:before="46" w:line="230" w:lineRule="auto"/>
              <w:ind w:right="94"/>
              <w:rPr>
                <w:sz w:val="21"/>
              </w:rPr>
            </w:pPr>
            <w:proofErr w:type="gramStart"/>
            <w:r>
              <w:rPr>
                <w:color w:val="B02045"/>
                <w:sz w:val="21"/>
              </w:rPr>
              <w:t>server.undertow</w:t>
            </w:r>
            <w:proofErr w:type="gramEnd"/>
            <w:r>
              <w:rPr>
                <w:color w:val="B02045"/>
                <w:sz w:val="21"/>
              </w:rPr>
              <w:t>.option s.socket.*</w:t>
            </w:r>
          </w:p>
        </w:tc>
        <w:tc>
          <w:tcPr>
            <w:tcW w:w="2494" w:type="dxa"/>
          </w:tcPr>
          <w:p w14:paraId="5830E079" w14:textId="77777777" w:rsidR="00A720EB" w:rsidRDefault="00A720EB">
            <w:pPr>
              <w:pStyle w:val="TableParagraph"/>
              <w:spacing w:before="0"/>
              <w:ind w:left="0"/>
              <w:rPr>
                <w:rFonts w:ascii="Times New Roman"/>
                <w:sz w:val="20"/>
              </w:rPr>
            </w:pPr>
          </w:p>
        </w:tc>
        <w:tc>
          <w:tcPr>
            <w:tcW w:w="4988" w:type="dxa"/>
          </w:tcPr>
          <w:p w14:paraId="66207365" w14:textId="77777777" w:rsidR="00A720EB" w:rsidRDefault="00A720EB">
            <w:pPr>
              <w:pStyle w:val="TableParagraph"/>
              <w:spacing w:before="0"/>
              <w:ind w:left="0"/>
              <w:rPr>
                <w:rFonts w:ascii="Times New Roman"/>
                <w:sz w:val="20"/>
              </w:rPr>
            </w:pPr>
          </w:p>
        </w:tc>
      </w:tr>
      <w:tr w:rsidR="00A720EB" w14:paraId="73371464" w14:textId="77777777">
        <w:trPr>
          <w:trHeight w:val="1056"/>
        </w:trPr>
        <w:tc>
          <w:tcPr>
            <w:tcW w:w="2494" w:type="dxa"/>
          </w:tcPr>
          <w:p w14:paraId="12DA879C" w14:textId="77777777" w:rsidR="00A720EB" w:rsidRDefault="0030286B">
            <w:pPr>
              <w:pStyle w:val="TableParagraph"/>
              <w:spacing w:before="46" w:line="230" w:lineRule="auto"/>
              <w:ind w:right="94"/>
              <w:rPr>
                <w:sz w:val="21"/>
              </w:rPr>
            </w:pPr>
            <w:proofErr w:type="gramStart"/>
            <w:r>
              <w:rPr>
                <w:color w:val="B02045"/>
                <w:sz w:val="21"/>
              </w:rPr>
              <w:t>server.undertow</w:t>
            </w:r>
            <w:proofErr w:type="gramEnd"/>
            <w:r>
              <w:rPr>
                <w:color w:val="B02045"/>
                <w:sz w:val="21"/>
              </w:rPr>
              <w:t>.thread s.io</w:t>
            </w:r>
          </w:p>
        </w:tc>
        <w:tc>
          <w:tcPr>
            <w:tcW w:w="2494" w:type="dxa"/>
          </w:tcPr>
          <w:p w14:paraId="64911674" w14:textId="77777777" w:rsidR="00A720EB" w:rsidRDefault="00A720EB">
            <w:pPr>
              <w:pStyle w:val="TableParagraph"/>
              <w:spacing w:before="0"/>
              <w:ind w:left="0"/>
              <w:rPr>
                <w:rFonts w:ascii="Times New Roman"/>
                <w:sz w:val="20"/>
              </w:rPr>
            </w:pPr>
          </w:p>
        </w:tc>
        <w:tc>
          <w:tcPr>
            <w:tcW w:w="4988" w:type="dxa"/>
          </w:tcPr>
          <w:p w14:paraId="2D17557B" w14:textId="77777777" w:rsidR="00A720EB" w:rsidRDefault="0030286B">
            <w:pPr>
              <w:pStyle w:val="TableParagraph"/>
              <w:spacing w:before="28" w:line="310" w:lineRule="atLeast"/>
              <w:rPr>
                <w:rFonts w:ascii="Cambria"/>
                <w:sz w:val="21"/>
              </w:rPr>
            </w:pPr>
            <w:r>
              <w:rPr>
                <w:rFonts w:ascii="Cambria"/>
                <w:color w:val="333333"/>
                <w:w w:val="110"/>
                <w:sz w:val="21"/>
              </w:rPr>
              <w:t>Number of I/O threads to create for the worker. The default is derived from the number of available processors.</w:t>
            </w:r>
          </w:p>
        </w:tc>
      </w:tr>
      <w:tr w:rsidR="00A720EB" w14:paraId="18A4E10B" w14:textId="77777777">
        <w:trPr>
          <w:trHeight w:val="741"/>
        </w:trPr>
        <w:tc>
          <w:tcPr>
            <w:tcW w:w="2494" w:type="dxa"/>
          </w:tcPr>
          <w:p w14:paraId="23162FD3" w14:textId="77777777" w:rsidR="00A720EB" w:rsidRDefault="0030286B">
            <w:pPr>
              <w:pStyle w:val="TableParagraph"/>
              <w:spacing w:before="46" w:line="230" w:lineRule="auto"/>
              <w:ind w:right="94"/>
              <w:rPr>
                <w:sz w:val="21"/>
              </w:rPr>
            </w:pPr>
            <w:proofErr w:type="gramStart"/>
            <w:r>
              <w:rPr>
                <w:color w:val="B02045"/>
                <w:sz w:val="21"/>
              </w:rPr>
              <w:t>server.undertow</w:t>
            </w:r>
            <w:proofErr w:type="gramEnd"/>
            <w:r>
              <w:rPr>
                <w:color w:val="B02045"/>
                <w:sz w:val="21"/>
              </w:rPr>
              <w:t>.thread s.worker</w:t>
            </w:r>
          </w:p>
        </w:tc>
        <w:tc>
          <w:tcPr>
            <w:tcW w:w="2494" w:type="dxa"/>
          </w:tcPr>
          <w:p w14:paraId="25356FEB" w14:textId="77777777" w:rsidR="00A720EB" w:rsidRDefault="00A720EB">
            <w:pPr>
              <w:pStyle w:val="TableParagraph"/>
              <w:spacing w:before="0"/>
              <w:ind w:left="0"/>
              <w:rPr>
                <w:rFonts w:ascii="Times New Roman"/>
                <w:sz w:val="20"/>
              </w:rPr>
            </w:pPr>
          </w:p>
        </w:tc>
        <w:tc>
          <w:tcPr>
            <w:tcW w:w="4988" w:type="dxa"/>
          </w:tcPr>
          <w:p w14:paraId="0E13620A" w14:textId="77777777" w:rsidR="00A720EB" w:rsidRDefault="0030286B">
            <w:pPr>
              <w:pStyle w:val="TableParagraph"/>
              <w:spacing w:before="28" w:line="310" w:lineRule="atLeast"/>
              <w:ind w:right="372"/>
              <w:rPr>
                <w:rFonts w:ascii="Cambria"/>
                <w:sz w:val="21"/>
              </w:rPr>
            </w:pPr>
            <w:r>
              <w:rPr>
                <w:rFonts w:ascii="Cambria"/>
                <w:color w:val="333333"/>
                <w:w w:val="110"/>
                <w:sz w:val="21"/>
              </w:rPr>
              <w:t>Number of worker threads. The default is 8 times the number of I/O threads.</w:t>
            </w:r>
          </w:p>
        </w:tc>
      </w:tr>
      <w:tr w:rsidR="00A720EB" w14:paraId="4205CEB6" w14:textId="77777777">
        <w:trPr>
          <w:trHeight w:val="627"/>
        </w:trPr>
        <w:tc>
          <w:tcPr>
            <w:tcW w:w="2494" w:type="dxa"/>
          </w:tcPr>
          <w:p w14:paraId="085A1A72" w14:textId="77777777" w:rsidR="00A720EB" w:rsidRDefault="0030286B">
            <w:pPr>
              <w:pStyle w:val="TableParagraph"/>
              <w:spacing w:before="46" w:line="230" w:lineRule="auto"/>
              <w:ind w:right="304"/>
              <w:rPr>
                <w:sz w:val="21"/>
              </w:rPr>
            </w:pPr>
            <w:r>
              <w:rPr>
                <w:color w:val="B02045"/>
                <w:sz w:val="21"/>
              </w:rPr>
              <w:t>server.undertow.url- charset</w:t>
            </w:r>
          </w:p>
        </w:tc>
        <w:tc>
          <w:tcPr>
            <w:tcW w:w="2494" w:type="dxa"/>
          </w:tcPr>
          <w:p w14:paraId="03B54AC7" w14:textId="77777777" w:rsidR="00A720EB" w:rsidRDefault="0030286B">
            <w:pPr>
              <w:pStyle w:val="TableParagraph"/>
              <w:spacing w:before="37"/>
              <w:rPr>
                <w:sz w:val="21"/>
              </w:rPr>
            </w:pPr>
            <w:r>
              <w:rPr>
                <w:color w:val="B02045"/>
                <w:sz w:val="21"/>
              </w:rPr>
              <w:t>UTF-8</w:t>
            </w:r>
          </w:p>
        </w:tc>
        <w:tc>
          <w:tcPr>
            <w:tcW w:w="4988" w:type="dxa"/>
          </w:tcPr>
          <w:p w14:paraId="5D027315" w14:textId="77777777" w:rsidR="00A720EB" w:rsidRDefault="0030286B">
            <w:pPr>
              <w:pStyle w:val="TableParagraph"/>
              <w:spacing w:before="92"/>
              <w:rPr>
                <w:rFonts w:ascii="Cambria"/>
                <w:sz w:val="21"/>
              </w:rPr>
            </w:pPr>
            <w:r>
              <w:rPr>
                <w:rFonts w:ascii="Cambria"/>
                <w:color w:val="333333"/>
                <w:w w:val="110"/>
                <w:sz w:val="21"/>
              </w:rPr>
              <w:t>Charset used to decode URLs.</w:t>
            </w:r>
          </w:p>
        </w:tc>
      </w:tr>
    </w:tbl>
    <w:p w14:paraId="73D7ED09" w14:textId="77777777" w:rsidR="00A720EB" w:rsidRDefault="00A720EB">
      <w:pPr>
        <w:pStyle w:val="a3"/>
        <w:spacing w:before="12"/>
        <w:rPr>
          <w:rFonts w:ascii="Palatino Linotype"/>
          <w:b/>
          <w:sz w:val="16"/>
        </w:rPr>
      </w:pPr>
    </w:p>
    <w:p w14:paraId="3DAD7911" w14:textId="77777777" w:rsidR="00A720EB" w:rsidRDefault="0030286B">
      <w:pPr>
        <w:pStyle w:val="3"/>
        <w:numPr>
          <w:ilvl w:val="2"/>
          <w:numId w:val="9"/>
        </w:numPr>
        <w:tabs>
          <w:tab w:val="left" w:pos="1199"/>
        </w:tabs>
        <w:spacing w:before="105"/>
        <w:ind w:left="1198" w:hanging="1075"/>
      </w:pPr>
      <w:bookmarkStart w:id="1045" w:name="10.A.12._Security_properties"/>
      <w:bookmarkStart w:id="1046" w:name="_Toc54424040"/>
      <w:bookmarkEnd w:id="1045"/>
      <w:r>
        <w:rPr>
          <w:color w:val="333333"/>
          <w:w w:val="115"/>
        </w:rPr>
        <w:t>Security</w:t>
      </w:r>
      <w:r>
        <w:rPr>
          <w:color w:val="333333"/>
          <w:spacing w:val="-10"/>
          <w:w w:val="115"/>
        </w:rPr>
        <w:t xml:space="preserve"> </w:t>
      </w:r>
      <w:r>
        <w:rPr>
          <w:color w:val="333333"/>
          <w:w w:val="115"/>
        </w:rPr>
        <w:t>properties</w:t>
      </w:r>
      <w:bookmarkEnd w:id="1046"/>
    </w:p>
    <w:p w14:paraId="430A5253"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8088208" w14:textId="77777777">
        <w:trPr>
          <w:trHeight w:val="415"/>
        </w:trPr>
        <w:tc>
          <w:tcPr>
            <w:tcW w:w="2494" w:type="dxa"/>
            <w:tcBorders>
              <w:bottom w:val="single" w:sz="12" w:space="0" w:color="DDDDDD"/>
            </w:tcBorders>
          </w:tcPr>
          <w:p w14:paraId="7E050920"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223BFBB3"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233CB3B"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330B844D" w14:textId="77777777">
        <w:trPr>
          <w:trHeight w:val="1046"/>
        </w:trPr>
        <w:tc>
          <w:tcPr>
            <w:tcW w:w="2494" w:type="dxa"/>
            <w:tcBorders>
              <w:top w:val="single" w:sz="12" w:space="0" w:color="DDDDDD"/>
            </w:tcBorders>
          </w:tcPr>
          <w:p w14:paraId="09714074" w14:textId="77777777" w:rsidR="00A720EB" w:rsidRDefault="0030286B">
            <w:pPr>
              <w:pStyle w:val="TableParagraph"/>
              <w:spacing w:before="39" w:line="230" w:lineRule="auto"/>
              <w:ind w:right="113"/>
              <w:rPr>
                <w:sz w:val="21"/>
              </w:rPr>
            </w:pPr>
            <w:proofErr w:type="gramStart"/>
            <w:r>
              <w:rPr>
                <w:color w:val="B02045"/>
                <w:sz w:val="21"/>
              </w:rPr>
              <w:t>spring.ldap</w:t>
            </w:r>
            <w:proofErr w:type="gramEnd"/>
            <w:r>
              <w:rPr>
                <w:color w:val="B02045"/>
                <w:sz w:val="21"/>
              </w:rPr>
              <w:t>.anonymous- read-only</w:t>
            </w:r>
          </w:p>
        </w:tc>
        <w:tc>
          <w:tcPr>
            <w:tcW w:w="2494" w:type="dxa"/>
            <w:tcBorders>
              <w:top w:val="single" w:sz="12" w:space="0" w:color="DDDDDD"/>
            </w:tcBorders>
          </w:tcPr>
          <w:p w14:paraId="58C269EC"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35665D06" w14:textId="77777777" w:rsidR="00A720EB" w:rsidRDefault="0030286B">
            <w:pPr>
              <w:pStyle w:val="TableParagraph"/>
              <w:spacing w:before="21" w:line="310" w:lineRule="atLeast"/>
              <w:rPr>
                <w:rFonts w:ascii="Cambria"/>
                <w:sz w:val="21"/>
              </w:rPr>
            </w:pPr>
            <w:r>
              <w:rPr>
                <w:rFonts w:ascii="Cambria"/>
                <w:color w:val="333333"/>
                <w:w w:val="110"/>
                <w:sz w:val="21"/>
              </w:rPr>
              <w:t>Whether read-only operations should use an anonymous environment. Disabled by default unless a username is set.</w:t>
            </w:r>
          </w:p>
        </w:tc>
      </w:tr>
      <w:tr w:rsidR="00A720EB" w14:paraId="6A6B2E88" w14:textId="77777777">
        <w:trPr>
          <w:trHeight w:val="741"/>
        </w:trPr>
        <w:tc>
          <w:tcPr>
            <w:tcW w:w="2494" w:type="dxa"/>
          </w:tcPr>
          <w:p w14:paraId="5BDF3EA2" w14:textId="77777777" w:rsidR="00A720EB" w:rsidRDefault="0030286B">
            <w:pPr>
              <w:pStyle w:val="TableParagraph"/>
              <w:spacing w:before="40"/>
              <w:rPr>
                <w:sz w:val="21"/>
              </w:rPr>
            </w:pPr>
            <w:proofErr w:type="gramStart"/>
            <w:r>
              <w:rPr>
                <w:color w:val="B02045"/>
                <w:sz w:val="21"/>
              </w:rPr>
              <w:t>spring.ldap</w:t>
            </w:r>
            <w:proofErr w:type="gramEnd"/>
            <w:r>
              <w:rPr>
                <w:color w:val="B02045"/>
                <w:sz w:val="21"/>
              </w:rPr>
              <w:t>.base</w:t>
            </w:r>
          </w:p>
        </w:tc>
        <w:tc>
          <w:tcPr>
            <w:tcW w:w="2494" w:type="dxa"/>
          </w:tcPr>
          <w:p w14:paraId="1E72C3B1" w14:textId="77777777" w:rsidR="00A720EB" w:rsidRDefault="00A720EB">
            <w:pPr>
              <w:pStyle w:val="TableParagraph"/>
              <w:spacing w:before="0"/>
              <w:ind w:left="0"/>
              <w:rPr>
                <w:rFonts w:ascii="Times New Roman"/>
                <w:sz w:val="20"/>
              </w:rPr>
            </w:pPr>
          </w:p>
        </w:tc>
        <w:tc>
          <w:tcPr>
            <w:tcW w:w="4988" w:type="dxa"/>
          </w:tcPr>
          <w:p w14:paraId="33CA13ED" w14:textId="77777777" w:rsidR="00A720EB" w:rsidRDefault="0030286B">
            <w:pPr>
              <w:pStyle w:val="TableParagraph"/>
              <w:spacing w:before="31" w:line="310" w:lineRule="atLeast"/>
              <w:ind w:right="455"/>
              <w:rPr>
                <w:rFonts w:ascii="Cambria"/>
                <w:sz w:val="21"/>
              </w:rPr>
            </w:pPr>
            <w:r>
              <w:rPr>
                <w:rFonts w:ascii="Cambria"/>
                <w:color w:val="333333"/>
                <w:w w:val="115"/>
                <w:sz w:val="21"/>
              </w:rPr>
              <w:t>Base</w:t>
            </w:r>
            <w:r>
              <w:rPr>
                <w:rFonts w:ascii="Cambria"/>
                <w:color w:val="333333"/>
                <w:spacing w:val="-21"/>
                <w:w w:val="115"/>
                <w:sz w:val="21"/>
              </w:rPr>
              <w:t xml:space="preserve"> </w:t>
            </w:r>
            <w:r>
              <w:rPr>
                <w:rFonts w:ascii="Cambria"/>
                <w:color w:val="333333"/>
                <w:w w:val="115"/>
                <w:sz w:val="21"/>
              </w:rPr>
              <w:t>suffix</w:t>
            </w:r>
            <w:r>
              <w:rPr>
                <w:rFonts w:ascii="Cambria"/>
                <w:color w:val="333333"/>
                <w:spacing w:val="-19"/>
                <w:w w:val="115"/>
                <w:sz w:val="21"/>
              </w:rPr>
              <w:t xml:space="preserve"> </w:t>
            </w:r>
            <w:r>
              <w:rPr>
                <w:rFonts w:ascii="Cambria"/>
                <w:color w:val="333333"/>
                <w:w w:val="115"/>
                <w:sz w:val="21"/>
              </w:rPr>
              <w:t>from</w:t>
            </w:r>
            <w:r>
              <w:rPr>
                <w:rFonts w:ascii="Cambria"/>
                <w:color w:val="333333"/>
                <w:spacing w:val="-20"/>
                <w:w w:val="115"/>
                <w:sz w:val="21"/>
              </w:rPr>
              <w:t xml:space="preserve"> </w:t>
            </w:r>
            <w:r>
              <w:rPr>
                <w:rFonts w:ascii="Cambria"/>
                <w:color w:val="333333"/>
                <w:w w:val="115"/>
                <w:sz w:val="21"/>
              </w:rPr>
              <w:t>which</w:t>
            </w:r>
            <w:r>
              <w:rPr>
                <w:rFonts w:ascii="Cambria"/>
                <w:color w:val="333333"/>
                <w:spacing w:val="-20"/>
                <w:w w:val="115"/>
                <w:sz w:val="21"/>
              </w:rPr>
              <w:t xml:space="preserve"> </w:t>
            </w:r>
            <w:r>
              <w:rPr>
                <w:rFonts w:ascii="Cambria"/>
                <w:color w:val="333333"/>
                <w:w w:val="115"/>
                <w:sz w:val="21"/>
              </w:rPr>
              <w:t>all</w:t>
            </w:r>
            <w:r>
              <w:rPr>
                <w:rFonts w:ascii="Cambria"/>
                <w:color w:val="333333"/>
                <w:spacing w:val="-21"/>
                <w:w w:val="115"/>
                <w:sz w:val="21"/>
              </w:rPr>
              <w:t xml:space="preserve"> </w:t>
            </w:r>
            <w:r>
              <w:rPr>
                <w:rFonts w:ascii="Cambria"/>
                <w:color w:val="333333"/>
                <w:w w:val="115"/>
                <w:sz w:val="21"/>
              </w:rPr>
              <w:t>operations</w:t>
            </w:r>
            <w:r>
              <w:rPr>
                <w:rFonts w:ascii="Cambria"/>
                <w:color w:val="333333"/>
                <w:spacing w:val="-20"/>
                <w:w w:val="115"/>
                <w:sz w:val="21"/>
              </w:rPr>
              <w:t xml:space="preserve"> </w:t>
            </w:r>
            <w:r>
              <w:rPr>
                <w:rFonts w:ascii="Cambria"/>
                <w:color w:val="333333"/>
                <w:w w:val="115"/>
                <w:sz w:val="21"/>
              </w:rPr>
              <w:t>should originate.</w:t>
            </w:r>
          </w:p>
        </w:tc>
      </w:tr>
      <w:tr w:rsidR="00A720EB" w14:paraId="02C89B4F" w14:textId="77777777">
        <w:trPr>
          <w:trHeight w:val="627"/>
        </w:trPr>
        <w:tc>
          <w:tcPr>
            <w:tcW w:w="2494" w:type="dxa"/>
          </w:tcPr>
          <w:p w14:paraId="2CE50387" w14:textId="77777777" w:rsidR="00A720EB" w:rsidRDefault="0030286B">
            <w:pPr>
              <w:pStyle w:val="TableParagraph"/>
              <w:spacing w:before="49" w:line="230" w:lineRule="auto"/>
              <w:ind w:right="619"/>
              <w:rPr>
                <w:sz w:val="21"/>
              </w:rPr>
            </w:pPr>
            <w:proofErr w:type="gramStart"/>
            <w:r>
              <w:rPr>
                <w:color w:val="B02045"/>
                <w:sz w:val="21"/>
              </w:rPr>
              <w:t>spring.ldap</w:t>
            </w:r>
            <w:proofErr w:type="gramEnd"/>
            <w:r>
              <w:rPr>
                <w:color w:val="B02045"/>
                <w:sz w:val="21"/>
              </w:rPr>
              <w:t>.base- environment.*</w:t>
            </w:r>
          </w:p>
        </w:tc>
        <w:tc>
          <w:tcPr>
            <w:tcW w:w="2494" w:type="dxa"/>
          </w:tcPr>
          <w:p w14:paraId="68C53000" w14:textId="77777777" w:rsidR="00A720EB" w:rsidRDefault="00A720EB">
            <w:pPr>
              <w:pStyle w:val="TableParagraph"/>
              <w:spacing w:before="0"/>
              <w:ind w:left="0"/>
              <w:rPr>
                <w:rFonts w:ascii="Times New Roman"/>
                <w:sz w:val="20"/>
              </w:rPr>
            </w:pPr>
          </w:p>
        </w:tc>
        <w:tc>
          <w:tcPr>
            <w:tcW w:w="4988" w:type="dxa"/>
          </w:tcPr>
          <w:p w14:paraId="6FCF67A8" w14:textId="77777777" w:rsidR="00A720EB" w:rsidRDefault="0030286B">
            <w:pPr>
              <w:pStyle w:val="TableParagraph"/>
              <w:spacing w:before="94"/>
              <w:rPr>
                <w:rFonts w:ascii="Cambria"/>
                <w:sz w:val="21"/>
              </w:rPr>
            </w:pPr>
            <w:r>
              <w:rPr>
                <w:rFonts w:ascii="Cambria"/>
                <w:color w:val="333333"/>
                <w:w w:val="110"/>
                <w:sz w:val="21"/>
              </w:rPr>
              <w:t>LDAP specification settings.</w:t>
            </w:r>
          </w:p>
        </w:tc>
      </w:tr>
      <w:tr w:rsidR="00A720EB" w14:paraId="740DB21B" w14:textId="77777777">
        <w:trPr>
          <w:trHeight w:val="627"/>
        </w:trPr>
        <w:tc>
          <w:tcPr>
            <w:tcW w:w="2494" w:type="dxa"/>
          </w:tcPr>
          <w:p w14:paraId="64FAE22A" w14:textId="77777777" w:rsidR="00A720EB" w:rsidRDefault="0030286B">
            <w:pPr>
              <w:pStyle w:val="TableParagraph"/>
              <w:spacing w:before="49" w:line="230" w:lineRule="auto"/>
              <w:ind w:right="113"/>
              <w:rPr>
                <w:sz w:val="21"/>
              </w:rPr>
            </w:pPr>
            <w:proofErr w:type="gramStart"/>
            <w:r>
              <w:rPr>
                <w:color w:val="B02045"/>
                <w:sz w:val="21"/>
              </w:rPr>
              <w:t>spring.ldap</w:t>
            </w:r>
            <w:proofErr w:type="gramEnd"/>
            <w:r>
              <w:rPr>
                <w:color w:val="B02045"/>
                <w:sz w:val="21"/>
              </w:rPr>
              <w:t>.embedded.b ase-dn</w:t>
            </w:r>
          </w:p>
        </w:tc>
        <w:tc>
          <w:tcPr>
            <w:tcW w:w="2494" w:type="dxa"/>
          </w:tcPr>
          <w:p w14:paraId="07C35582" w14:textId="77777777" w:rsidR="00A720EB" w:rsidRDefault="00A720EB">
            <w:pPr>
              <w:pStyle w:val="TableParagraph"/>
              <w:spacing w:before="0"/>
              <w:ind w:left="0"/>
              <w:rPr>
                <w:rFonts w:ascii="Times New Roman"/>
                <w:sz w:val="20"/>
              </w:rPr>
            </w:pPr>
          </w:p>
        </w:tc>
        <w:tc>
          <w:tcPr>
            <w:tcW w:w="4988" w:type="dxa"/>
          </w:tcPr>
          <w:p w14:paraId="6BB40416" w14:textId="77777777" w:rsidR="00A720EB" w:rsidRDefault="0030286B">
            <w:pPr>
              <w:pStyle w:val="TableParagraph"/>
              <w:spacing w:before="94"/>
              <w:rPr>
                <w:rFonts w:ascii="Cambria"/>
                <w:sz w:val="21"/>
              </w:rPr>
            </w:pPr>
            <w:r>
              <w:rPr>
                <w:rFonts w:ascii="Cambria"/>
                <w:color w:val="333333"/>
                <w:w w:val="110"/>
                <w:sz w:val="21"/>
              </w:rPr>
              <w:t>List of base DNs.</w:t>
            </w:r>
          </w:p>
        </w:tc>
      </w:tr>
      <w:tr w:rsidR="00A720EB" w14:paraId="4A96E664" w14:textId="77777777">
        <w:trPr>
          <w:trHeight w:val="627"/>
        </w:trPr>
        <w:tc>
          <w:tcPr>
            <w:tcW w:w="2494" w:type="dxa"/>
          </w:tcPr>
          <w:p w14:paraId="4C76A839" w14:textId="77777777" w:rsidR="00A720EB" w:rsidRDefault="0030286B">
            <w:pPr>
              <w:pStyle w:val="TableParagraph"/>
              <w:spacing w:before="49" w:line="230" w:lineRule="auto"/>
              <w:ind w:right="94"/>
              <w:rPr>
                <w:sz w:val="21"/>
              </w:rPr>
            </w:pPr>
            <w:proofErr w:type="gramStart"/>
            <w:r>
              <w:rPr>
                <w:color w:val="B02045"/>
                <w:sz w:val="21"/>
              </w:rPr>
              <w:t>spring.ldap</w:t>
            </w:r>
            <w:proofErr w:type="gramEnd"/>
            <w:r>
              <w:rPr>
                <w:color w:val="B02045"/>
                <w:sz w:val="21"/>
              </w:rPr>
              <w:t>.embedded.c redential.password</w:t>
            </w:r>
          </w:p>
        </w:tc>
        <w:tc>
          <w:tcPr>
            <w:tcW w:w="2494" w:type="dxa"/>
          </w:tcPr>
          <w:p w14:paraId="7F207AA1" w14:textId="77777777" w:rsidR="00A720EB" w:rsidRDefault="00A720EB">
            <w:pPr>
              <w:pStyle w:val="TableParagraph"/>
              <w:spacing w:before="0"/>
              <w:ind w:left="0"/>
              <w:rPr>
                <w:rFonts w:ascii="Times New Roman"/>
                <w:sz w:val="20"/>
              </w:rPr>
            </w:pPr>
          </w:p>
        </w:tc>
        <w:tc>
          <w:tcPr>
            <w:tcW w:w="4988" w:type="dxa"/>
          </w:tcPr>
          <w:p w14:paraId="1C0D7038" w14:textId="77777777" w:rsidR="00A720EB" w:rsidRDefault="0030286B">
            <w:pPr>
              <w:pStyle w:val="TableParagraph"/>
              <w:spacing w:before="94"/>
              <w:rPr>
                <w:rFonts w:ascii="Cambria"/>
                <w:sz w:val="21"/>
              </w:rPr>
            </w:pPr>
            <w:r>
              <w:rPr>
                <w:rFonts w:ascii="Cambria"/>
                <w:color w:val="333333"/>
                <w:w w:val="110"/>
                <w:sz w:val="21"/>
              </w:rPr>
              <w:t>Embedded LDAP password.</w:t>
            </w:r>
          </w:p>
        </w:tc>
      </w:tr>
      <w:tr w:rsidR="00A720EB" w14:paraId="536A2DB1" w14:textId="77777777">
        <w:trPr>
          <w:trHeight w:val="627"/>
        </w:trPr>
        <w:tc>
          <w:tcPr>
            <w:tcW w:w="2494" w:type="dxa"/>
          </w:tcPr>
          <w:p w14:paraId="1A116033" w14:textId="77777777" w:rsidR="00A720EB" w:rsidRDefault="0030286B">
            <w:pPr>
              <w:pStyle w:val="TableParagraph"/>
              <w:spacing w:before="49" w:line="230" w:lineRule="auto"/>
              <w:ind w:right="94"/>
              <w:rPr>
                <w:sz w:val="21"/>
              </w:rPr>
            </w:pPr>
            <w:proofErr w:type="gramStart"/>
            <w:r>
              <w:rPr>
                <w:color w:val="B02045"/>
                <w:sz w:val="21"/>
              </w:rPr>
              <w:t>spring.ldap</w:t>
            </w:r>
            <w:proofErr w:type="gramEnd"/>
            <w:r>
              <w:rPr>
                <w:color w:val="B02045"/>
                <w:sz w:val="21"/>
              </w:rPr>
              <w:t>.embedded.c redential.username</w:t>
            </w:r>
          </w:p>
        </w:tc>
        <w:tc>
          <w:tcPr>
            <w:tcW w:w="2494" w:type="dxa"/>
          </w:tcPr>
          <w:p w14:paraId="27A43E26" w14:textId="77777777" w:rsidR="00A720EB" w:rsidRDefault="00A720EB">
            <w:pPr>
              <w:pStyle w:val="TableParagraph"/>
              <w:spacing w:before="0"/>
              <w:ind w:left="0"/>
              <w:rPr>
                <w:rFonts w:ascii="Times New Roman"/>
                <w:sz w:val="20"/>
              </w:rPr>
            </w:pPr>
          </w:p>
        </w:tc>
        <w:tc>
          <w:tcPr>
            <w:tcW w:w="4988" w:type="dxa"/>
          </w:tcPr>
          <w:p w14:paraId="62F1056E" w14:textId="77777777" w:rsidR="00A720EB" w:rsidRDefault="0030286B">
            <w:pPr>
              <w:pStyle w:val="TableParagraph"/>
              <w:spacing w:before="94"/>
              <w:rPr>
                <w:rFonts w:ascii="Cambria"/>
                <w:sz w:val="21"/>
              </w:rPr>
            </w:pPr>
            <w:r>
              <w:rPr>
                <w:rFonts w:ascii="Cambria"/>
                <w:color w:val="333333"/>
                <w:w w:val="110"/>
                <w:sz w:val="21"/>
              </w:rPr>
              <w:t>Embedded LDAP username.</w:t>
            </w:r>
          </w:p>
        </w:tc>
      </w:tr>
      <w:tr w:rsidR="00A720EB" w14:paraId="4987DD02" w14:textId="77777777">
        <w:trPr>
          <w:trHeight w:val="627"/>
        </w:trPr>
        <w:tc>
          <w:tcPr>
            <w:tcW w:w="2494" w:type="dxa"/>
          </w:tcPr>
          <w:p w14:paraId="2B67CC40" w14:textId="77777777" w:rsidR="00A720EB" w:rsidRDefault="0030286B">
            <w:pPr>
              <w:pStyle w:val="TableParagraph"/>
              <w:spacing w:before="49" w:line="230" w:lineRule="auto"/>
              <w:ind w:right="94"/>
              <w:rPr>
                <w:sz w:val="21"/>
              </w:rPr>
            </w:pPr>
            <w:proofErr w:type="gramStart"/>
            <w:r>
              <w:rPr>
                <w:color w:val="B02045"/>
                <w:sz w:val="21"/>
              </w:rPr>
              <w:t>spring.ldap</w:t>
            </w:r>
            <w:proofErr w:type="gramEnd"/>
            <w:r>
              <w:rPr>
                <w:color w:val="B02045"/>
                <w:sz w:val="21"/>
              </w:rPr>
              <w:t>.embedded.l dif</w:t>
            </w:r>
          </w:p>
        </w:tc>
        <w:tc>
          <w:tcPr>
            <w:tcW w:w="2494" w:type="dxa"/>
          </w:tcPr>
          <w:p w14:paraId="48136AC6" w14:textId="77777777" w:rsidR="00A720EB" w:rsidRDefault="0030286B">
            <w:pPr>
              <w:pStyle w:val="TableParagraph"/>
              <w:spacing w:before="40"/>
              <w:rPr>
                <w:sz w:val="21"/>
              </w:rPr>
            </w:pPr>
            <w:proofErr w:type="gramStart"/>
            <w:r>
              <w:rPr>
                <w:color w:val="B02045"/>
                <w:sz w:val="21"/>
              </w:rPr>
              <w:t>classpath:schema</w:t>
            </w:r>
            <w:proofErr w:type="gramEnd"/>
            <w:r>
              <w:rPr>
                <w:color w:val="B02045"/>
                <w:sz w:val="21"/>
              </w:rPr>
              <w:t>.ldif</w:t>
            </w:r>
          </w:p>
        </w:tc>
        <w:tc>
          <w:tcPr>
            <w:tcW w:w="4988" w:type="dxa"/>
          </w:tcPr>
          <w:p w14:paraId="2BF3F843" w14:textId="77777777" w:rsidR="00A720EB" w:rsidRDefault="0030286B">
            <w:pPr>
              <w:pStyle w:val="TableParagraph"/>
              <w:spacing w:before="94"/>
              <w:rPr>
                <w:rFonts w:ascii="Cambria"/>
                <w:sz w:val="21"/>
              </w:rPr>
            </w:pPr>
            <w:r>
              <w:rPr>
                <w:rFonts w:ascii="Cambria"/>
                <w:color w:val="333333"/>
                <w:w w:val="110"/>
                <w:sz w:val="21"/>
              </w:rPr>
              <w:t>Schema (LDIF) script resource reference.</w:t>
            </w:r>
          </w:p>
        </w:tc>
      </w:tr>
      <w:tr w:rsidR="00A720EB" w14:paraId="063498A0" w14:textId="77777777">
        <w:trPr>
          <w:trHeight w:val="627"/>
        </w:trPr>
        <w:tc>
          <w:tcPr>
            <w:tcW w:w="2494" w:type="dxa"/>
          </w:tcPr>
          <w:p w14:paraId="7C36782E" w14:textId="77777777" w:rsidR="00A720EB" w:rsidRDefault="0030286B">
            <w:pPr>
              <w:pStyle w:val="TableParagraph"/>
              <w:spacing w:before="49" w:line="230" w:lineRule="auto"/>
              <w:ind w:right="94"/>
              <w:rPr>
                <w:sz w:val="21"/>
              </w:rPr>
            </w:pPr>
            <w:proofErr w:type="gramStart"/>
            <w:r>
              <w:rPr>
                <w:color w:val="B02045"/>
                <w:sz w:val="21"/>
              </w:rPr>
              <w:t>spring.ldap</w:t>
            </w:r>
            <w:proofErr w:type="gramEnd"/>
            <w:r>
              <w:rPr>
                <w:color w:val="B02045"/>
                <w:sz w:val="21"/>
              </w:rPr>
              <w:t>.embedded.p ort</w:t>
            </w:r>
          </w:p>
        </w:tc>
        <w:tc>
          <w:tcPr>
            <w:tcW w:w="2494" w:type="dxa"/>
          </w:tcPr>
          <w:p w14:paraId="50AD7079" w14:textId="77777777" w:rsidR="00A720EB" w:rsidRDefault="0030286B">
            <w:pPr>
              <w:pStyle w:val="TableParagraph"/>
              <w:spacing w:before="40"/>
              <w:rPr>
                <w:sz w:val="21"/>
              </w:rPr>
            </w:pPr>
            <w:r>
              <w:rPr>
                <w:color w:val="B02045"/>
                <w:sz w:val="21"/>
              </w:rPr>
              <w:t>0.0</w:t>
            </w:r>
          </w:p>
        </w:tc>
        <w:tc>
          <w:tcPr>
            <w:tcW w:w="4988" w:type="dxa"/>
          </w:tcPr>
          <w:p w14:paraId="28C0C439" w14:textId="77777777" w:rsidR="00A720EB" w:rsidRDefault="0030286B">
            <w:pPr>
              <w:pStyle w:val="TableParagraph"/>
              <w:spacing w:before="94"/>
              <w:rPr>
                <w:rFonts w:ascii="Cambria"/>
                <w:sz w:val="21"/>
              </w:rPr>
            </w:pPr>
            <w:r>
              <w:rPr>
                <w:rFonts w:ascii="Cambria"/>
                <w:color w:val="333333"/>
                <w:w w:val="110"/>
                <w:sz w:val="21"/>
              </w:rPr>
              <w:t>Embedded LDAP port.</w:t>
            </w:r>
          </w:p>
        </w:tc>
      </w:tr>
      <w:tr w:rsidR="00A720EB" w14:paraId="58C6045D" w14:textId="77777777">
        <w:trPr>
          <w:trHeight w:val="627"/>
        </w:trPr>
        <w:tc>
          <w:tcPr>
            <w:tcW w:w="2494" w:type="dxa"/>
          </w:tcPr>
          <w:p w14:paraId="2ACFE467" w14:textId="77777777" w:rsidR="00A720EB" w:rsidRDefault="0030286B">
            <w:pPr>
              <w:pStyle w:val="TableParagraph"/>
              <w:spacing w:before="49" w:line="230" w:lineRule="auto"/>
              <w:ind w:right="94"/>
              <w:rPr>
                <w:sz w:val="21"/>
              </w:rPr>
            </w:pPr>
            <w:proofErr w:type="gramStart"/>
            <w:r>
              <w:rPr>
                <w:color w:val="B02045"/>
                <w:sz w:val="21"/>
              </w:rPr>
              <w:t>spring.ldap</w:t>
            </w:r>
            <w:proofErr w:type="gramEnd"/>
            <w:r>
              <w:rPr>
                <w:color w:val="B02045"/>
                <w:sz w:val="21"/>
              </w:rPr>
              <w:t>.embedded.v alidation.enabled</w:t>
            </w:r>
          </w:p>
        </w:tc>
        <w:tc>
          <w:tcPr>
            <w:tcW w:w="2494" w:type="dxa"/>
          </w:tcPr>
          <w:p w14:paraId="047A18B1" w14:textId="77777777" w:rsidR="00A720EB" w:rsidRDefault="0030286B">
            <w:pPr>
              <w:pStyle w:val="TableParagraph"/>
              <w:spacing w:before="40"/>
              <w:rPr>
                <w:sz w:val="21"/>
              </w:rPr>
            </w:pPr>
            <w:r>
              <w:rPr>
                <w:color w:val="B02045"/>
                <w:sz w:val="21"/>
              </w:rPr>
              <w:t>true</w:t>
            </w:r>
          </w:p>
        </w:tc>
        <w:tc>
          <w:tcPr>
            <w:tcW w:w="4988" w:type="dxa"/>
          </w:tcPr>
          <w:p w14:paraId="5B11E689" w14:textId="77777777" w:rsidR="00A720EB" w:rsidRDefault="0030286B">
            <w:pPr>
              <w:pStyle w:val="TableParagraph"/>
              <w:spacing w:before="94"/>
              <w:rPr>
                <w:rFonts w:ascii="Cambria"/>
                <w:sz w:val="21"/>
              </w:rPr>
            </w:pPr>
            <w:r>
              <w:rPr>
                <w:rFonts w:ascii="Cambria"/>
                <w:color w:val="333333"/>
                <w:w w:val="110"/>
                <w:sz w:val="21"/>
              </w:rPr>
              <w:t>Whether to enable LDAP schema validation.</w:t>
            </w:r>
          </w:p>
        </w:tc>
      </w:tr>
      <w:tr w:rsidR="00A720EB" w14:paraId="4ADDBA45" w14:textId="77777777">
        <w:trPr>
          <w:trHeight w:val="627"/>
        </w:trPr>
        <w:tc>
          <w:tcPr>
            <w:tcW w:w="2494" w:type="dxa"/>
          </w:tcPr>
          <w:p w14:paraId="3FA24185" w14:textId="77777777" w:rsidR="00A720EB" w:rsidRDefault="0030286B">
            <w:pPr>
              <w:pStyle w:val="TableParagraph"/>
              <w:spacing w:before="49" w:line="230" w:lineRule="auto"/>
              <w:ind w:right="94"/>
              <w:rPr>
                <w:sz w:val="21"/>
              </w:rPr>
            </w:pPr>
            <w:proofErr w:type="gramStart"/>
            <w:r>
              <w:rPr>
                <w:color w:val="B02045"/>
                <w:sz w:val="21"/>
              </w:rPr>
              <w:t>spring.ldap</w:t>
            </w:r>
            <w:proofErr w:type="gramEnd"/>
            <w:r>
              <w:rPr>
                <w:color w:val="B02045"/>
                <w:sz w:val="21"/>
              </w:rPr>
              <w:t>.embedded.v alidation.schema</w:t>
            </w:r>
          </w:p>
        </w:tc>
        <w:tc>
          <w:tcPr>
            <w:tcW w:w="2494" w:type="dxa"/>
          </w:tcPr>
          <w:p w14:paraId="4EB86E12" w14:textId="77777777" w:rsidR="00A720EB" w:rsidRDefault="00A720EB">
            <w:pPr>
              <w:pStyle w:val="TableParagraph"/>
              <w:spacing w:before="0"/>
              <w:ind w:left="0"/>
              <w:rPr>
                <w:rFonts w:ascii="Times New Roman"/>
                <w:sz w:val="20"/>
              </w:rPr>
            </w:pPr>
          </w:p>
        </w:tc>
        <w:tc>
          <w:tcPr>
            <w:tcW w:w="4988" w:type="dxa"/>
          </w:tcPr>
          <w:p w14:paraId="146391D1" w14:textId="77777777" w:rsidR="00A720EB" w:rsidRDefault="0030286B">
            <w:pPr>
              <w:pStyle w:val="TableParagraph"/>
              <w:spacing w:before="94"/>
              <w:rPr>
                <w:rFonts w:ascii="Cambria"/>
                <w:sz w:val="21"/>
              </w:rPr>
            </w:pPr>
            <w:r>
              <w:rPr>
                <w:rFonts w:ascii="Cambria"/>
                <w:color w:val="333333"/>
                <w:w w:val="110"/>
                <w:sz w:val="21"/>
              </w:rPr>
              <w:t>Path to the custom schema.</w:t>
            </w:r>
          </w:p>
        </w:tc>
      </w:tr>
      <w:tr w:rsidR="00A720EB" w14:paraId="5272BB88" w14:textId="77777777">
        <w:trPr>
          <w:trHeight w:val="425"/>
        </w:trPr>
        <w:tc>
          <w:tcPr>
            <w:tcW w:w="2494" w:type="dxa"/>
          </w:tcPr>
          <w:p w14:paraId="373FBD83" w14:textId="77777777" w:rsidR="00A720EB" w:rsidRDefault="0030286B">
            <w:pPr>
              <w:pStyle w:val="TableParagraph"/>
              <w:spacing w:before="40"/>
              <w:rPr>
                <w:sz w:val="21"/>
              </w:rPr>
            </w:pPr>
            <w:proofErr w:type="gramStart"/>
            <w:r>
              <w:rPr>
                <w:color w:val="B02045"/>
                <w:sz w:val="21"/>
              </w:rPr>
              <w:t>spring.ldap</w:t>
            </w:r>
            <w:proofErr w:type="gramEnd"/>
            <w:r>
              <w:rPr>
                <w:color w:val="B02045"/>
                <w:sz w:val="21"/>
              </w:rPr>
              <w:t>.password</w:t>
            </w:r>
          </w:p>
        </w:tc>
        <w:tc>
          <w:tcPr>
            <w:tcW w:w="2494" w:type="dxa"/>
          </w:tcPr>
          <w:p w14:paraId="23561944" w14:textId="77777777" w:rsidR="00A720EB" w:rsidRDefault="00A720EB">
            <w:pPr>
              <w:pStyle w:val="TableParagraph"/>
              <w:spacing w:before="0"/>
              <w:ind w:left="0"/>
              <w:rPr>
                <w:rFonts w:ascii="Times New Roman"/>
                <w:sz w:val="20"/>
              </w:rPr>
            </w:pPr>
          </w:p>
        </w:tc>
        <w:tc>
          <w:tcPr>
            <w:tcW w:w="4988" w:type="dxa"/>
          </w:tcPr>
          <w:p w14:paraId="391414E7" w14:textId="77777777" w:rsidR="00A720EB" w:rsidRDefault="0030286B">
            <w:pPr>
              <w:pStyle w:val="TableParagraph"/>
              <w:spacing w:before="94"/>
              <w:rPr>
                <w:rFonts w:ascii="Cambria"/>
                <w:sz w:val="21"/>
              </w:rPr>
            </w:pPr>
            <w:r>
              <w:rPr>
                <w:rFonts w:ascii="Cambria"/>
                <w:color w:val="333333"/>
                <w:w w:val="110"/>
                <w:sz w:val="21"/>
              </w:rPr>
              <w:t>Login password of the server.</w:t>
            </w:r>
          </w:p>
        </w:tc>
      </w:tr>
      <w:tr w:rsidR="00A720EB" w14:paraId="0EE81FFA" w14:textId="77777777">
        <w:trPr>
          <w:trHeight w:val="425"/>
        </w:trPr>
        <w:tc>
          <w:tcPr>
            <w:tcW w:w="2494" w:type="dxa"/>
          </w:tcPr>
          <w:p w14:paraId="1691338A" w14:textId="77777777" w:rsidR="00A720EB" w:rsidRDefault="0030286B">
            <w:pPr>
              <w:pStyle w:val="TableParagraph"/>
              <w:spacing w:before="40"/>
              <w:rPr>
                <w:sz w:val="21"/>
              </w:rPr>
            </w:pPr>
            <w:proofErr w:type="gramStart"/>
            <w:r>
              <w:rPr>
                <w:color w:val="B02045"/>
                <w:sz w:val="21"/>
              </w:rPr>
              <w:t>spring.ldap</w:t>
            </w:r>
            <w:proofErr w:type="gramEnd"/>
            <w:r>
              <w:rPr>
                <w:color w:val="B02045"/>
                <w:sz w:val="21"/>
              </w:rPr>
              <w:t>.urls</w:t>
            </w:r>
          </w:p>
        </w:tc>
        <w:tc>
          <w:tcPr>
            <w:tcW w:w="2494" w:type="dxa"/>
          </w:tcPr>
          <w:p w14:paraId="5B72F485" w14:textId="77777777" w:rsidR="00A720EB" w:rsidRDefault="00A720EB">
            <w:pPr>
              <w:pStyle w:val="TableParagraph"/>
              <w:spacing w:before="0"/>
              <w:ind w:left="0"/>
              <w:rPr>
                <w:rFonts w:ascii="Times New Roman"/>
                <w:sz w:val="20"/>
              </w:rPr>
            </w:pPr>
          </w:p>
        </w:tc>
        <w:tc>
          <w:tcPr>
            <w:tcW w:w="4988" w:type="dxa"/>
          </w:tcPr>
          <w:p w14:paraId="641B85C7" w14:textId="77777777" w:rsidR="00A720EB" w:rsidRDefault="0030286B">
            <w:pPr>
              <w:pStyle w:val="TableParagraph"/>
              <w:spacing w:before="94"/>
              <w:rPr>
                <w:rFonts w:ascii="Cambria"/>
                <w:sz w:val="21"/>
              </w:rPr>
            </w:pPr>
            <w:r>
              <w:rPr>
                <w:rFonts w:ascii="Cambria"/>
                <w:color w:val="333333"/>
                <w:w w:val="110"/>
                <w:sz w:val="21"/>
              </w:rPr>
              <w:t>LDAP URLs of the server.</w:t>
            </w:r>
          </w:p>
        </w:tc>
      </w:tr>
      <w:tr w:rsidR="00A720EB" w14:paraId="11FF97C8" w14:textId="77777777">
        <w:trPr>
          <w:trHeight w:val="425"/>
        </w:trPr>
        <w:tc>
          <w:tcPr>
            <w:tcW w:w="2494" w:type="dxa"/>
          </w:tcPr>
          <w:p w14:paraId="7A1F76E2" w14:textId="77777777" w:rsidR="00A720EB" w:rsidRDefault="0030286B">
            <w:pPr>
              <w:pStyle w:val="TableParagraph"/>
              <w:spacing w:before="40"/>
              <w:rPr>
                <w:sz w:val="21"/>
              </w:rPr>
            </w:pPr>
            <w:proofErr w:type="gramStart"/>
            <w:r>
              <w:rPr>
                <w:color w:val="B02045"/>
                <w:sz w:val="21"/>
              </w:rPr>
              <w:t>spring.ldap</w:t>
            </w:r>
            <w:proofErr w:type="gramEnd"/>
            <w:r>
              <w:rPr>
                <w:color w:val="B02045"/>
                <w:sz w:val="21"/>
              </w:rPr>
              <w:t>.username</w:t>
            </w:r>
          </w:p>
        </w:tc>
        <w:tc>
          <w:tcPr>
            <w:tcW w:w="2494" w:type="dxa"/>
          </w:tcPr>
          <w:p w14:paraId="2420BDBB" w14:textId="77777777" w:rsidR="00A720EB" w:rsidRDefault="00A720EB">
            <w:pPr>
              <w:pStyle w:val="TableParagraph"/>
              <w:spacing w:before="0"/>
              <w:ind w:left="0"/>
              <w:rPr>
                <w:rFonts w:ascii="Times New Roman"/>
                <w:sz w:val="20"/>
              </w:rPr>
            </w:pPr>
          </w:p>
        </w:tc>
        <w:tc>
          <w:tcPr>
            <w:tcW w:w="4988" w:type="dxa"/>
          </w:tcPr>
          <w:p w14:paraId="171B6BB4" w14:textId="77777777" w:rsidR="00A720EB" w:rsidRDefault="0030286B">
            <w:pPr>
              <w:pStyle w:val="TableParagraph"/>
              <w:spacing w:before="94"/>
              <w:rPr>
                <w:rFonts w:ascii="Cambria"/>
                <w:sz w:val="21"/>
              </w:rPr>
            </w:pPr>
            <w:r>
              <w:rPr>
                <w:rFonts w:ascii="Cambria"/>
                <w:color w:val="333333"/>
                <w:w w:val="110"/>
                <w:sz w:val="21"/>
              </w:rPr>
              <w:t>Login username of the server.</w:t>
            </w:r>
          </w:p>
        </w:tc>
      </w:tr>
      <w:tr w:rsidR="00A720EB" w14:paraId="180F07A8" w14:textId="77777777">
        <w:trPr>
          <w:trHeight w:val="627"/>
        </w:trPr>
        <w:tc>
          <w:tcPr>
            <w:tcW w:w="2494" w:type="dxa"/>
          </w:tcPr>
          <w:p w14:paraId="156EA0C3" w14:textId="77777777" w:rsidR="00A720EB" w:rsidRDefault="0030286B">
            <w:pPr>
              <w:pStyle w:val="TableParagraph"/>
              <w:spacing w:before="40" w:line="264" w:lineRule="exact"/>
              <w:rPr>
                <w:sz w:val="21"/>
              </w:rPr>
            </w:pPr>
            <w:proofErr w:type="gramStart"/>
            <w:r>
              <w:rPr>
                <w:color w:val="B02045"/>
                <w:sz w:val="21"/>
              </w:rPr>
              <w:t>spring.security</w:t>
            </w:r>
            <w:proofErr w:type="gramEnd"/>
            <w:r>
              <w:rPr>
                <w:color w:val="B02045"/>
                <w:sz w:val="21"/>
              </w:rPr>
              <w:t>.filter</w:t>
            </w:r>
          </w:p>
          <w:p w14:paraId="501A08CB" w14:textId="77777777" w:rsidR="00A720EB" w:rsidRDefault="0030286B">
            <w:pPr>
              <w:pStyle w:val="TableParagraph"/>
              <w:spacing w:before="0" w:line="264" w:lineRule="exact"/>
              <w:rPr>
                <w:sz w:val="21"/>
              </w:rPr>
            </w:pPr>
            <w:proofErr w:type="gramStart"/>
            <w:r>
              <w:rPr>
                <w:color w:val="B02045"/>
                <w:sz w:val="21"/>
              </w:rPr>
              <w:t>.dispatcher</w:t>
            </w:r>
            <w:proofErr w:type="gramEnd"/>
            <w:r>
              <w:rPr>
                <w:color w:val="B02045"/>
                <w:sz w:val="21"/>
              </w:rPr>
              <w:t>-types</w:t>
            </w:r>
          </w:p>
        </w:tc>
        <w:tc>
          <w:tcPr>
            <w:tcW w:w="2494" w:type="dxa"/>
          </w:tcPr>
          <w:p w14:paraId="11D0372E" w14:textId="77777777" w:rsidR="00A720EB" w:rsidRDefault="0030286B">
            <w:pPr>
              <w:pStyle w:val="TableParagraph"/>
              <w:spacing w:before="49" w:line="230" w:lineRule="auto"/>
              <w:ind w:right="934"/>
              <w:rPr>
                <w:sz w:val="21"/>
              </w:rPr>
            </w:pPr>
            <w:r>
              <w:rPr>
                <w:color w:val="B02045"/>
                <w:sz w:val="21"/>
              </w:rPr>
              <w:t>[async, error, request]</w:t>
            </w:r>
          </w:p>
        </w:tc>
        <w:tc>
          <w:tcPr>
            <w:tcW w:w="4988" w:type="dxa"/>
          </w:tcPr>
          <w:p w14:paraId="7BE1949B" w14:textId="77777777" w:rsidR="00A720EB" w:rsidRDefault="0030286B">
            <w:pPr>
              <w:pStyle w:val="TableParagraph"/>
              <w:spacing w:before="94"/>
              <w:rPr>
                <w:rFonts w:ascii="Cambria"/>
                <w:sz w:val="21"/>
              </w:rPr>
            </w:pPr>
            <w:r>
              <w:rPr>
                <w:rFonts w:ascii="Cambria"/>
                <w:color w:val="333333"/>
                <w:w w:val="110"/>
                <w:sz w:val="21"/>
              </w:rPr>
              <w:t>Security filter chain dispatcher types.</w:t>
            </w:r>
          </w:p>
        </w:tc>
      </w:tr>
      <w:tr w:rsidR="00A720EB" w14:paraId="6D8C8262" w14:textId="77777777">
        <w:trPr>
          <w:trHeight w:val="627"/>
        </w:trPr>
        <w:tc>
          <w:tcPr>
            <w:tcW w:w="2494" w:type="dxa"/>
          </w:tcPr>
          <w:p w14:paraId="13A56990" w14:textId="77777777" w:rsidR="00A720EB" w:rsidRDefault="0030286B">
            <w:pPr>
              <w:pStyle w:val="TableParagraph"/>
              <w:spacing w:before="40" w:line="264" w:lineRule="exact"/>
              <w:rPr>
                <w:sz w:val="21"/>
              </w:rPr>
            </w:pPr>
            <w:proofErr w:type="gramStart"/>
            <w:r>
              <w:rPr>
                <w:color w:val="B02045"/>
                <w:sz w:val="21"/>
              </w:rPr>
              <w:lastRenderedPageBreak/>
              <w:t>spring.security</w:t>
            </w:r>
            <w:proofErr w:type="gramEnd"/>
            <w:r>
              <w:rPr>
                <w:color w:val="B02045"/>
                <w:sz w:val="21"/>
              </w:rPr>
              <w:t>.filter</w:t>
            </w:r>
          </w:p>
          <w:p w14:paraId="4BCF6F43" w14:textId="77777777" w:rsidR="00A720EB" w:rsidRDefault="0030286B">
            <w:pPr>
              <w:pStyle w:val="TableParagraph"/>
              <w:spacing w:before="0" w:line="264" w:lineRule="exact"/>
              <w:rPr>
                <w:sz w:val="21"/>
              </w:rPr>
            </w:pPr>
            <w:proofErr w:type="gramStart"/>
            <w:r>
              <w:rPr>
                <w:color w:val="B02045"/>
                <w:sz w:val="21"/>
              </w:rPr>
              <w:t>.order</w:t>
            </w:r>
            <w:proofErr w:type="gramEnd"/>
          </w:p>
        </w:tc>
        <w:tc>
          <w:tcPr>
            <w:tcW w:w="2494" w:type="dxa"/>
          </w:tcPr>
          <w:p w14:paraId="6FEC2EC9" w14:textId="77777777" w:rsidR="00A720EB" w:rsidRDefault="0030286B">
            <w:pPr>
              <w:pStyle w:val="TableParagraph"/>
              <w:spacing w:before="40"/>
              <w:rPr>
                <w:sz w:val="21"/>
              </w:rPr>
            </w:pPr>
            <w:r>
              <w:rPr>
                <w:color w:val="B02045"/>
                <w:sz w:val="21"/>
              </w:rPr>
              <w:t>-100.0</w:t>
            </w:r>
          </w:p>
        </w:tc>
        <w:tc>
          <w:tcPr>
            <w:tcW w:w="4988" w:type="dxa"/>
          </w:tcPr>
          <w:p w14:paraId="52CBBFDE" w14:textId="77777777" w:rsidR="00A720EB" w:rsidRDefault="0030286B">
            <w:pPr>
              <w:pStyle w:val="TableParagraph"/>
              <w:spacing w:before="94"/>
              <w:rPr>
                <w:rFonts w:ascii="Cambria"/>
                <w:sz w:val="21"/>
              </w:rPr>
            </w:pPr>
            <w:r>
              <w:rPr>
                <w:rFonts w:ascii="Cambria"/>
                <w:color w:val="333333"/>
                <w:w w:val="115"/>
                <w:sz w:val="21"/>
              </w:rPr>
              <w:t>Security filter chain order.</w:t>
            </w:r>
          </w:p>
        </w:tc>
      </w:tr>
    </w:tbl>
    <w:p w14:paraId="4272E888"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2E16516" w14:textId="77777777">
        <w:trPr>
          <w:trHeight w:val="415"/>
        </w:trPr>
        <w:tc>
          <w:tcPr>
            <w:tcW w:w="2494" w:type="dxa"/>
            <w:tcBorders>
              <w:bottom w:val="single" w:sz="12" w:space="0" w:color="DDDDDD"/>
            </w:tcBorders>
          </w:tcPr>
          <w:p w14:paraId="4D4F77DB"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7CB5ED3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A5A3CF5"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6F4086D" w14:textId="77777777">
        <w:trPr>
          <w:trHeight w:val="617"/>
        </w:trPr>
        <w:tc>
          <w:tcPr>
            <w:tcW w:w="2494" w:type="dxa"/>
            <w:tcBorders>
              <w:top w:val="single" w:sz="12" w:space="0" w:color="DDDDDD"/>
            </w:tcBorders>
          </w:tcPr>
          <w:p w14:paraId="3BEFCDEA" w14:textId="77777777" w:rsidR="00A720EB" w:rsidRDefault="0030286B">
            <w:pPr>
              <w:pStyle w:val="TableParagraph"/>
              <w:spacing w:before="27" w:line="264" w:lineRule="exact"/>
              <w:rPr>
                <w:sz w:val="21"/>
              </w:rPr>
            </w:pPr>
            <w:proofErr w:type="gramStart"/>
            <w:r>
              <w:rPr>
                <w:color w:val="B02045"/>
                <w:sz w:val="21"/>
              </w:rPr>
              <w:t>spring.security</w:t>
            </w:r>
            <w:proofErr w:type="gramEnd"/>
            <w:r>
              <w:rPr>
                <w:color w:val="B02045"/>
                <w:sz w:val="21"/>
              </w:rPr>
              <w:t>.oauth2</w:t>
            </w:r>
          </w:p>
          <w:p w14:paraId="79BB6A70" w14:textId="77777777" w:rsidR="00A720EB" w:rsidRDefault="0030286B">
            <w:pPr>
              <w:pStyle w:val="TableParagraph"/>
              <w:spacing w:before="0" w:line="264" w:lineRule="exact"/>
              <w:rPr>
                <w:sz w:val="21"/>
              </w:rPr>
            </w:pPr>
            <w:proofErr w:type="gramStart"/>
            <w:r>
              <w:rPr>
                <w:color w:val="B02045"/>
                <w:sz w:val="21"/>
              </w:rPr>
              <w:t>.client</w:t>
            </w:r>
            <w:proofErr w:type="gramEnd"/>
            <w:r>
              <w:rPr>
                <w:color w:val="B02045"/>
                <w:sz w:val="21"/>
              </w:rPr>
              <w:t>.provider.*</w:t>
            </w:r>
          </w:p>
        </w:tc>
        <w:tc>
          <w:tcPr>
            <w:tcW w:w="2494" w:type="dxa"/>
            <w:tcBorders>
              <w:top w:val="single" w:sz="12" w:space="0" w:color="DDDDDD"/>
            </w:tcBorders>
          </w:tcPr>
          <w:p w14:paraId="25EF4220"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66C88DC7" w14:textId="77777777" w:rsidR="00A720EB" w:rsidRDefault="0030286B">
            <w:pPr>
              <w:pStyle w:val="TableParagraph"/>
              <w:spacing w:before="82"/>
              <w:rPr>
                <w:rFonts w:ascii="Cambria"/>
                <w:sz w:val="21"/>
              </w:rPr>
            </w:pPr>
            <w:r>
              <w:rPr>
                <w:rFonts w:ascii="Cambria"/>
                <w:color w:val="333333"/>
                <w:w w:val="110"/>
                <w:sz w:val="21"/>
              </w:rPr>
              <w:t>OAuth provider details.</w:t>
            </w:r>
          </w:p>
        </w:tc>
      </w:tr>
      <w:tr w:rsidR="00A720EB" w14:paraId="6CAD2690" w14:textId="77777777">
        <w:trPr>
          <w:trHeight w:val="627"/>
        </w:trPr>
        <w:tc>
          <w:tcPr>
            <w:tcW w:w="2494" w:type="dxa"/>
          </w:tcPr>
          <w:p w14:paraId="4AF3FE1C" w14:textId="77777777" w:rsidR="00A720EB" w:rsidRDefault="0030286B">
            <w:pPr>
              <w:pStyle w:val="TableParagraph"/>
              <w:spacing w:before="37" w:line="264" w:lineRule="exact"/>
              <w:rPr>
                <w:sz w:val="21"/>
              </w:rPr>
            </w:pPr>
            <w:proofErr w:type="gramStart"/>
            <w:r>
              <w:rPr>
                <w:color w:val="B02045"/>
                <w:sz w:val="21"/>
              </w:rPr>
              <w:t>spring.security</w:t>
            </w:r>
            <w:proofErr w:type="gramEnd"/>
            <w:r>
              <w:rPr>
                <w:color w:val="B02045"/>
                <w:sz w:val="21"/>
              </w:rPr>
              <w:t>.oauth2</w:t>
            </w:r>
          </w:p>
          <w:p w14:paraId="0D686113" w14:textId="77777777" w:rsidR="00A720EB" w:rsidRDefault="0030286B">
            <w:pPr>
              <w:pStyle w:val="TableParagraph"/>
              <w:spacing w:before="0" w:line="264" w:lineRule="exact"/>
              <w:rPr>
                <w:sz w:val="21"/>
              </w:rPr>
            </w:pPr>
            <w:proofErr w:type="gramStart"/>
            <w:r>
              <w:rPr>
                <w:color w:val="B02045"/>
                <w:sz w:val="21"/>
              </w:rPr>
              <w:t>.client</w:t>
            </w:r>
            <w:proofErr w:type="gramEnd"/>
            <w:r>
              <w:rPr>
                <w:color w:val="B02045"/>
                <w:sz w:val="21"/>
              </w:rPr>
              <w:t>.registration.*</w:t>
            </w:r>
          </w:p>
        </w:tc>
        <w:tc>
          <w:tcPr>
            <w:tcW w:w="2494" w:type="dxa"/>
          </w:tcPr>
          <w:p w14:paraId="7860D4C4" w14:textId="77777777" w:rsidR="00A720EB" w:rsidRDefault="00A720EB">
            <w:pPr>
              <w:pStyle w:val="TableParagraph"/>
              <w:spacing w:before="0"/>
              <w:ind w:left="0"/>
              <w:rPr>
                <w:rFonts w:ascii="Times New Roman"/>
                <w:sz w:val="20"/>
              </w:rPr>
            </w:pPr>
          </w:p>
        </w:tc>
        <w:tc>
          <w:tcPr>
            <w:tcW w:w="4988" w:type="dxa"/>
          </w:tcPr>
          <w:p w14:paraId="35CF4C41" w14:textId="77777777" w:rsidR="00A720EB" w:rsidRDefault="0030286B">
            <w:pPr>
              <w:pStyle w:val="TableParagraph"/>
              <w:spacing w:before="92"/>
              <w:rPr>
                <w:rFonts w:ascii="Cambria"/>
                <w:sz w:val="21"/>
              </w:rPr>
            </w:pPr>
            <w:r>
              <w:rPr>
                <w:rFonts w:ascii="Cambria"/>
                <w:color w:val="333333"/>
                <w:w w:val="110"/>
                <w:sz w:val="21"/>
              </w:rPr>
              <w:t>OAuth client registrations.</w:t>
            </w:r>
          </w:p>
        </w:tc>
      </w:tr>
      <w:tr w:rsidR="00A720EB" w14:paraId="7A3973E4" w14:textId="77777777">
        <w:trPr>
          <w:trHeight w:val="1372"/>
        </w:trPr>
        <w:tc>
          <w:tcPr>
            <w:tcW w:w="2494" w:type="dxa"/>
          </w:tcPr>
          <w:p w14:paraId="49AD510E" w14:textId="77777777" w:rsidR="00A720EB" w:rsidRDefault="0030286B">
            <w:pPr>
              <w:pStyle w:val="TableParagraph"/>
              <w:spacing w:line="264" w:lineRule="exact"/>
              <w:rPr>
                <w:sz w:val="21"/>
              </w:rPr>
            </w:pPr>
            <w:proofErr w:type="gramStart"/>
            <w:r>
              <w:rPr>
                <w:color w:val="B02045"/>
                <w:sz w:val="21"/>
              </w:rPr>
              <w:t>spring.security</w:t>
            </w:r>
            <w:proofErr w:type="gramEnd"/>
            <w:r>
              <w:rPr>
                <w:color w:val="B02045"/>
                <w:sz w:val="21"/>
              </w:rPr>
              <w:t>.oauth2</w:t>
            </w:r>
          </w:p>
          <w:p w14:paraId="190B71E9" w14:textId="77777777" w:rsidR="00A720EB" w:rsidRDefault="0030286B">
            <w:pPr>
              <w:pStyle w:val="TableParagraph"/>
              <w:spacing w:before="3" w:line="230" w:lineRule="auto"/>
              <w:ind w:right="113"/>
              <w:rPr>
                <w:sz w:val="21"/>
              </w:rPr>
            </w:pPr>
            <w:proofErr w:type="gramStart"/>
            <w:r>
              <w:rPr>
                <w:color w:val="B02045"/>
                <w:sz w:val="21"/>
              </w:rPr>
              <w:t>.resourceserver.jwt.is</w:t>
            </w:r>
            <w:proofErr w:type="gramEnd"/>
            <w:r>
              <w:rPr>
                <w:color w:val="B02045"/>
                <w:sz w:val="21"/>
              </w:rPr>
              <w:t xml:space="preserve"> suer-uri</w:t>
            </w:r>
          </w:p>
        </w:tc>
        <w:tc>
          <w:tcPr>
            <w:tcW w:w="2494" w:type="dxa"/>
          </w:tcPr>
          <w:p w14:paraId="671DB9BB" w14:textId="77777777" w:rsidR="00A720EB" w:rsidRDefault="00A720EB">
            <w:pPr>
              <w:pStyle w:val="TableParagraph"/>
              <w:spacing w:before="0"/>
              <w:ind w:left="0"/>
              <w:rPr>
                <w:rFonts w:ascii="Times New Roman"/>
                <w:sz w:val="20"/>
              </w:rPr>
            </w:pPr>
          </w:p>
        </w:tc>
        <w:tc>
          <w:tcPr>
            <w:tcW w:w="4988" w:type="dxa"/>
          </w:tcPr>
          <w:p w14:paraId="7A6B1CB6" w14:textId="77777777" w:rsidR="00A720EB" w:rsidRDefault="0030286B">
            <w:pPr>
              <w:pStyle w:val="TableParagraph"/>
              <w:spacing w:before="28" w:line="310" w:lineRule="atLeast"/>
              <w:ind w:right="73"/>
              <w:rPr>
                <w:rFonts w:ascii="Cambria"/>
                <w:sz w:val="21"/>
              </w:rPr>
            </w:pPr>
            <w:r>
              <w:rPr>
                <w:rFonts w:ascii="Cambria"/>
                <w:color w:val="333333"/>
                <w:w w:val="110"/>
                <w:sz w:val="21"/>
              </w:rPr>
              <w:t xml:space="preserve">URI that can either be an OpenID Connect discovery endpoint or an </w:t>
            </w:r>
            <w:r>
              <w:rPr>
                <w:rFonts w:ascii="Cambria"/>
                <w:color w:val="333333"/>
                <w:spacing w:val="-3"/>
                <w:w w:val="110"/>
                <w:sz w:val="21"/>
              </w:rPr>
              <w:t xml:space="preserve">OAuth </w:t>
            </w:r>
            <w:r>
              <w:rPr>
                <w:rFonts w:ascii="Cambria"/>
                <w:color w:val="333333"/>
                <w:w w:val="110"/>
                <w:sz w:val="21"/>
              </w:rPr>
              <w:t xml:space="preserve">2.0 Authorization Server Metadata endpoint defined </w:t>
            </w:r>
            <w:r>
              <w:rPr>
                <w:rFonts w:ascii="Cambria"/>
                <w:color w:val="333333"/>
                <w:spacing w:val="-3"/>
                <w:w w:val="110"/>
                <w:sz w:val="21"/>
              </w:rPr>
              <w:t xml:space="preserve">by </w:t>
            </w:r>
            <w:r>
              <w:rPr>
                <w:rFonts w:ascii="Cambria"/>
                <w:color w:val="333333"/>
                <w:w w:val="110"/>
                <w:sz w:val="21"/>
              </w:rPr>
              <w:t>RFC</w:t>
            </w:r>
            <w:r>
              <w:rPr>
                <w:rFonts w:ascii="Cambria"/>
                <w:color w:val="333333"/>
                <w:spacing w:val="6"/>
                <w:w w:val="110"/>
                <w:sz w:val="21"/>
              </w:rPr>
              <w:t xml:space="preserve"> </w:t>
            </w:r>
            <w:r>
              <w:rPr>
                <w:rFonts w:ascii="Cambria"/>
                <w:color w:val="333333"/>
                <w:w w:val="110"/>
                <w:sz w:val="21"/>
              </w:rPr>
              <w:t>8414.</w:t>
            </w:r>
          </w:p>
        </w:tc>
      </w:tr>
      <w:tr w:rsidR="00A720EB" w14:paraId="2DEAD03C" w14:textId="77777777">
        <w:trPr>
          <w:trHeight w:val="886"/>
        </w:trPr>
        <w:tc>
          <w:tcPr>
            <w:tcW w:w="2494" w:type="dxa"/>
          </w:tcPr>
          <w:p w14:paraId="091FE2C0" w14:textId="77777777" w:rsidR="00A720EB" w:rsidRDefault="0030286B">
            <w:pPr>
              <w:pStyle w:val="TableParagraph"/>
              <w:spacing w:line="264" w:lineRule="exact"/>
              <w:rPr>
                <w:sz w:val="21"/>
              </w:rPr>
            </w:pPr>
            <w:proofErr w:type="gramStart"/>
            <w:r>
              <w:rPr>
                <w:color w:val="B02045"/>
                <w:sz w:val="21"/>
              </w:rPr>
              <w:t>spring.security</w:t>
            </w:r>
            <w:proofErr w:type="gramEnd"/>
            <w:r>
              <w:rPr>
                <w:color w:val="B02045"/>
                <w:sz w:val="21"/>
              </w:rPr>
              <w:t>.oauth2</w:t>
            </w:r>
          </w:p>
          <w:p w14:paraId="274A890A" w14:textId="77777777" w:rsidR="00A720EB" w:rsidRDefault="0030286B">
            <w:pPr>
              <w:pStyle w:val="TableParagraph"/>
              <w:spacing w:before="3" w:line="230" w:lineRule="auto"/>
              <w:ind w:right="113"/>
              <w:rPr>
                <w:sz w:val="21"/>
              </w:rPr>
            </w:pPr>
            <w:proofErr w:type="gramStart"/>
            <w:r>
              <w:rPr>
                <w:color w:val="B02045"/>
                <w:sz w:val="21"/>
              </w:rPr>
              <w:t>.resourceserver.jwt</w:t>
            </w:r>
            <w:proofErr w:type="gramEnd"/>
            <w:r>
              <w:rPr>
                <w:color w:val="B02045"/>
                <w:sz w:val="21"/>
              </w:rPr>
              <w:t>.jw k-set-uri</w:t>
            </w:r>
          </w:p>
        </w:tc>
        <w:tc>
          <w:tcPr>
            <w:tcW w:w="2494" w:type="dxa"/>
          </w:tcPr>
          <w:p w14:paraId="7177FB54" w14:textId="77777777" w:rsidR="00A720EB" w:rsidRDefault="00A720EB">
            <w:pPr>
              <w:pStyle w:val="TableParagraph"/>
              <w:spacing w:before="0"/>
              <w:ind w:left="0"/>
              <w:rPr>
                <w:rFonts w:ascii="Times New Roman"/>
                <w:sz w:val="20"/>
              </w:rPr>
            </w:pPr>
          </w:p>
        </w:tc>
        <w:tc>
          <w:tcPr>
            <w:tcW w:w="4988" w:type="dxa"/>
          </w:tcPr>
          <w:p w14:paraId="22F1B649" w14:textId="77777777" w:rsidR="00A720EB" w:rsidRDefault="0030286B">
            <w:pPr>
              <w:pStyle w:val="TableParagraph"/>
              <w:spacing w:before="92" w:line="307" w:lineRule="auto"/>
              <w:ind w:right="372"/>
              <w:rPr>
                <w:rFonts w:ascii="Cambria"/>
                <w:sz w:val="21"/>
              </w:rPr>
            </w:pPr>
            <w:r>
              <w:rPr>
                <w:rFonts w:ascii="Cambria"/>
                <w:color w:val="333333"/>
                <w:w w:val="110"/>
                <w:sz w:val="21"/>
              </w:rPr>
              <w:t>JSON Web Key URI to use to verify the JWT token.</w:t>
            </w:r>
          </w:p>
        </w:tc>
      </w:tr>
      <w:tr w:rsidR="00A720EB" w14:paraId="1C607A61" w14:textId="77777777">
        <w:trPr>
          <w:trHeight w:val="886"/>
        </w:trPr>
        <w:tc>
          <w:tcPr>
            <w:tcW w:w="2494" w:type="dxa"/>
          </w:tcPr>
          <w:p w14:paraId="24434CBD" w14:textId="77777777" w:rsidR="00A720EB" w:rsidRDefault="0030286B">
            <w:pPr>
              <w:pStyle w:val="TableParagraph"/>
              <w:spacing w:line="264" w:lineRule="exact"/>
              <w:rPr>
                <w:sz w:val="21"/>
              </w:rPr>
            </w:pPr>
            <w:proofErr w:type="gramStart"/>
            <w:r>
              <w:rPr>
                <w:color w:val="B02045"/>
                <w:sz w:val="21"/>
              </w:rPr>
              <w:t>spring.security</w:t>
            </w:r>
            <w:proofErr w:type="gramEnd"/>
            <w:r>
              <w:rPr>
                <w:color w:val="B02045"/>
                <w:sz w:val="21"/>
              </w:rPr>
              <w:t>.oauth2</w:t>
            </w:r>
          </w:p>
          <w:p w14:paraId="44E3B851" w14:textId="77777777" w:rsidR="00A720EB" w:rsidRDefault="0030286B">
            <w:pPr>
              <w:pStyle w:val="TableParagraph"/>
              <w:spacing w:before="3" w:line="230" w:lineRule="auto"/>
              <w:ind w:right="113"/>
              <w:rPr>
                <w:sz w:val="21"/>
              </w:rPr>
            </w:pPr>
            <w:proofErr w:type="gramStart"/>
            <w:r>
              <w:rPr>
                <w:color w:val="B02045"/>
                <w:sz w:val="21"/>
              </w:rPr>
              <w:t>.resourceserver.jwt</w:t>
            </w:r>
            <w:proofErr w:type="gramEnd"/>
            <w:r>
              <w:rPr>
                <w:color w:val="B02045"/>
                <w:sz w:val="21"/>
              </w:rPr>
              <w:t>.jw s-algorithm</w:t>
            </w:r>
          </w:p>
        </w:tc>
        <w:tc>
          <w:tcPr>
            <w:tcW w:w="2494" w:type="dxa"/>
          </w:tcPr>
          <w:p w14:paraId="6F22C41B" w14:textId="77777777" w:rsidR="00A720EB" w:rsidRDefault="0030286B">
            <w:pPr>
              <w:pStyle w:val="TableParagraph"/>
              <w:rPr>
                <w:sz w:val="21"/>
              </w:rPr>
            </w:pPr>
            <w:r>
              <w:rPr>
                <w:color w:val="B02045"/>
                <w:sz w:val="21"/>
              </w:rPr>
              <w:t>RS256</w:t>
            </w:r>
          </w:p>
        </w:tc>
        <w:tc>
          <w:tcPr>
            <w:tcW w:w="4988" w:type="dxa"/>
          </w:tcPr>
          <w:p w14:paraId="23CA20FE" w14:textId="77777777" w:rsidR="00A720EB" w:rsidRDefault="0030286B">
            <w:pPr>
              <w:pStyle w:val="TableParagraph"/>
              <w:spacing w:before="92" w:line="307" w:lineRule="auto"/>
              <w:ind w:right="372"/>
              <w:rPr>
                <w:rFonts w:ascii="Cambria"/>
                <w:sz w:val="21"/>
              </w:rPr>
            </w:pPr>
            <w:r>
              <w:rPr>
                <w:rFonts w:ascii="Cambria"/>
                <w:color w:val="333333"/>
                <w:w w:val="110"/>
                <w:sz w:val="21"/>
              </w:rPr>
              <w:t>JSON Web Algorithm used for verifying the digital signatures.</w:t>
            </w:r>
          </w:p>
        </w:tc>
      </w:tr>
      <w:tr w:rsidR="00A720EB" w14:paraId="60FC3B80" w14:textId="77777777">
        <w:trPr>
          <w:trHeight w:val="886"/>
        </w:trPr>
        <w:tc>
          <w:tcPr>
            <w:tcW w:w="2494" w:type="dxa"/>
          </w:tcPr>
          <w:p w14:paraId="3C43A75E" w14:textId="77777777" w:rsidR="00A720EB" w:rsidRDefault="0030286B">
            <w:pPr>
              <w:pStyle w:val="TableParagraph"/>
              <w:spacing w:before="37" w:line="264" w:lineRule="exact"/>
              <w:rPr>
                <w:sz w:val="21"/>
              </w:rPr>
            </w:pPr>
            <w:proofErr w:type="gramStart"/>
            <w:r>
              <w:rPr>
                <w:color w:val="B02045"/>
                <w:sz w:val="21"/>
              </w:rPr>
              <w:t>spring.security</w:t>
            </w:r>
            <w:proofErr w:type="gramEnd"/>
            <w:r>
              <w:rPr>
                <w:color w:val="B02045"/>
                <w:sz w:val="21"/>
              </w:rPr>
              <w:t>.oauth2</w:t>
            </w:r>
          </w:p>
          <w:p w14:paraId="0A78899C" w14:textId="77777777" w:rsidR="00A720EB" w:rsidRDefault="0030286B">
            <w:pPr>
              <w:pStyle w:val="TableParagraph"/>
              <w:spacing w:before="4" w:line="230" w:lineRule="auto"/>
              <w:ind w:right="113"/>
              <w:rPr>
                <w:sz w:val="21"/>
              </w:rPr>
            </w:pPr>
            <w:proofErr w:type="gramStart"/>
            <w:r>
              <w:rPr>
                <w:color w:val="B02045"/>
                <w:sz w:val="21"/>
              </w:rPr>
              <w:t>.resourceserver.jwt</w:t>
            </w:r>
            <w:proofErr w:type="gramEnd"/>
            <w:r>
              <w:rPr>
                <w:color w:val="B02045"/>
                <w:sz w:val="21"/>
              </w:rPr>
              <w:t>.pu blic-key-location</w:t>
            </w:r>
          </w:p>
        </w:tc>
        <w:tc>
          <w:tcPr>
            <w:tcW w:w="2494" w:type="dxa"/>
          </w:tcPr>
          <w:p w14:paraId="4D43CB96" w14:textId="77777777" w:rsidR="00A720EB" w:rsidRDefault="00A720EB">
            <w:pPr>
              <w:pStyle w:val="TableParagraph"/>
              <w:spacing w:before="0"/>
              <w:ind w:left="0"/>
              <w:rPr>
                <w:rFonts w:ascii="Times New Roman"/>
                <w:sz w:val="20"/>
              </w:rPr>
            </w:pPr>
          </w:p>
        </w:tc>
        <w:tc>
          <w:tcPr>
            <w:tcW w:w="4988" w:type="dxa"/>
          </w:tcPr>
          <w:p w14:paraId="3CE60FE3" w14:textId="77777777" w:rsidR="00A720EB" w:rsidRDefault="0030286B">
            <w:pPr>
              <w:pStyle w:val="TableParagraph"/>
              <w:spacing w:before="92" w:line="307" w:lineRule="auto"/>
              <w:ind w:right="372"/>
              <w:rPr>
                <w:rFonts w:ascii="Cambria"/>
                <w:sz w:val="21"/>
              </w:rPr>
            </w:pPr>
            <w:r>
              <w:rPr>
                <w:rFonts w:ascii="Cambria"/>
                <w:color w:val="333333"/>
                <w:w w:val="110"/>
                <w:sz w:val="21"/>
              </w:rPr>
              <w:t>Location of the file containing the public key used to verify a JWT.</w:t>
            </w:r>
          </w:p>
        </w:tc>
      </w:tr>
      <w:tr w:rsidR="00A720EB" w14:paraId="376E7471" w14:textId="77777777">
        <w:trPr>
          <w:trHeight w:val="886"/>
        </w:trPr>
        <w:tc>
          <w:tcPr>
            <w:tcW w:w="2494" w:type="dxa"/>
          </w:tcPr>
          <w:p w14:paraId="478374A4" w14:textId="77777777" w:rsidR="00A720EB" w:rsidRDefault="0030286B">
            <w:pPr>
              <w:pStyle w:val="TableParagraph"/>
              <w:spacing w:line="264" w:lineRule="exact"/>
              <w:rPr>
                <w:sz w:val="21"/>
              </w:rPr>
            </w:pPr>
            <w:proofErr w:type="gramStart"/>
            <w:r>
              <w:rPr>
                <w:color w:val="B02045"/>
                <w:sz w:val="21"/>
              </w:rPr>
              <w:t>spring.security</w:t>
            </w:r>
            <w:proofErr w:type="gramEnd"/>
            <w:r>
              <w:rPr>
                <w:color w:val="B02045"/>
                <w:sz w:val="21"/>
              </w:rPr>
              <w:t>.oauth2</w:t>
            </w:r>
          </w:p>
          <w:p w14:paraId="191E9AF0" w14:textId="77777777" w:rsidR="00A720EB" w:rsidRDefault="0030286B">
            <w:pPr>
              <w:pStyle w:val="TableParagraph"/>
              <w:spacing w:before="3" w:line="230" w:lineRule="auto"/>
              <w:ind w:right="113"/>
              <w:rPr>
                <w:sz w:val="21"/>
              </w:rPr>
            </w:pPr>
            <w:proofErr w:type="gramStart"/>
            <w:r>
              <w:rPr>
                <w:color w:val="B02045"/>
                <w:sz w:val="21"/>
              </w:rPr>
              <w:t>.resourceserver</w:t>
            </w:r>
            <w:proofErr w:type="gramEnd"/>
            <w:r>
              <w:rPr>
                <w:color w:val="B02045"/>
                <w:sz w:val="21"/>
              </w:rPr>
              <w:t>.opaque token.client-id</w:t>
            </w:r>
          </w:p>
        </w:tc>
        <w:tc>
          <w:tcPr>
            <w:tcW w:w="2494" w:type="dxa"/>
          </w:tcPr>
          <w:p w14:paraId="462A971E" w14:textId="77777777" w:rsidR="00A720EB" w:rsidRDefault="00A720EB">
            <w:pPr>
              <w:pStyle w:val="TableParagraph"/>
              <w:spacing w:before="0"/>
              <w:ind w:left="0"/>
              <w:rPr>
                <w:rFonts w:ascii="Times New Roman"/>
                <w:sz w:val="20"/>
              </w:rPr>
            </w:pPr>
          </w:p>
        </w:tc>
        <w:tc>
          <w:tcPr>
            <w:tcW w:w="4988" w:type="dxa"/>
          </w:tcPr>
          <w:p w14:paraId="6AF440FF" w14:textId="77777777" w:rsidR="00A720EB" w:rsidRDefault="0030286B">
            <w:pPr>
              <w:pStyle w:val="TableParagraph"/>
              <w:spacing w:before="92" w:line="307" w:lineRule="auto"/>
              <w:rPr>
                <w:rFonts w:ascii="Cambria"/>
                <w:sz w:val="21"/>
              </w:rPr>
            </w:pPr>
            <w:r>
              <w:rPr>
                <w:rFonts w:ascii="Cambria"/>
                <w:color w:val="333333"/>
                <w:w w:val="110"/>
                <w:sz w:val="21"/>
              </w:rPr>
              <w:t>Client id used to authenticate with the token introspection endpoint.</w:t>
            </w:r>
          </w:p>
        </w:tc>
      </w:tr>
      <w:tr w:rsidR="00A720EB" w14:paraId="24E33848" w14:textId="77777777">
        <w:trPr>
          <w:trHeight w:val="886"/>
        </w:trPr>
        <w:tc>
          <w:tcPr>
            <w:tcW w:w="2494" w:type="dxa"/>
          </w:tcPr>
          <w:p w14:paraId="2375EBFE" w14:textId="77777777" w:rsidR="00A720EB" w:rsidRDefault="0030286B">
            <w:pPr>
              <w:pStyle w:val="TableParagraph"/>
              <w:spacing w:line="264" w:lineRule="exact"/>
              <w:rPr>
                <w:sz w:val="21"/>
              </w:rPr>
            </w:pPr>
            <w:proofErr w:type="gramStart"/>
            <w:r>
              <w:rPr>
                <w:color w:val="B02045"/>
                <w:sz w:val="21"/>
              </w:rPr>
              <w:t>spring.security</w:t>
            </w:r>
            <w:proofErr w:type="gramEnd"/>
            <w:r>
              <w:rPr>
                <w:color w:val="B02045"/>
                <w:sz w:val="21"/>
              </w:rPr>
              <w:t>.oauth2</w:t>
            </w:r>
          </w:p>
          <w:p w14:paraId="7DEB3A0C" w14:textId="77777777" w:rsidR="00A720EB" w:rsidRDefault="0030286B">
            <w:pPr>
              <w:pStyle w:val="TableParagraph"/>
              <w:spacing w:before="3" w:line="230" w:lineRule="auto"/>
              <w:ind w:right="113"/>
              <w:rPr>
                <w:sz w:val="21"/>
              </w:rPr>
            </w:pPr>
            <w:proofErr w:type="gramStart"/>
            <w:r>
              <w:rPr>
                <w:color w:val="B02045"/>
                <w:sz w:val="21"/>
              </w:rPr>
              <w:t>.resourceserver</w:t>
            </w:r>
            <w:proofErr w:type="gramEnd"/>
            <w:r>
              <w:rPr>
                <w:color w:val="B02045"/>
                <w:sz w:val="21"/>
              </w:rPr>
              <w:t>.opaque token.client-secret</w:t>
            </w:r>
          </w:p>
        </w:tc>
        <w:tc>
          <w:tcPr>
            <w:tcW w:w="2494" w:type="dxa"/>
          </w:tcPr>
          <w:p w14:paraId="441EE934" w14:textId="77777777" w:rsidR="00A720EB" w:rsidRDefault="00A720EB">
            <w:pPr>
              <w:pStyle w:val="TableParagraph"/>
              <w:spacing w:before="0"/>
              <w:ind w:left="0"/>
              <w:rPr>
                <w:rFonts w:ascii="Times New Roman"/>
                <w:sz w:val="20"/>
              </w:rPr>
            </w:pPr>
          </w:p>
        </w:tc>
        <w:tc>
          <w:tcPr>
            <w:tcW w:w="4988" w:type="dxa"/>
          </w:tcPr>
          <w:p w14:paraId="70E539B1" w14:textId="77777777" w:rsidR="00A720EB" w:rsidRDefault="0030286B">
            <w:pPr>
              <w:pStyle w:val="TableParagraph"/>
              <w:spacing w:before="92" w:line="307" w:lineRule="auto"/>
              <w:rPr>
                <w:rFonts w:ascii="Cambria"/>
                <w:sz w:val="21"/>
              </w:rPr>
            </w:pPr>
            <w:r>
              <w:rPr>
                <w:rFonts w:ascii="Cambria"/>
                <w:color w:val="333333"/>
                <w:w w:val="110"/>
                <w:sz w:val="21"/>
              </w:rPr>
              <w:t>Client secret used to authenticate with the token introspection endpoint.</w:t>
            </w:r>
          </w:p>
        </w:tc>
      </w:tr>
      <w:tr w:rsidR="00A720EB" w14:paraId="6CF06A52" w14:textId="77777777">
        <w:trPr>
          <w:trHeight w:val="1145"/>
        </w:trPr>
        <w:tc>
          <w:tcPr>
            <w:tcW w:w="2494" w:type="dxa"/>
          </w:tcPr>
          <w:p w14:paraId="3BF2FB19" w14:textId="77777777" w:rsidR="00A720EB" w:rsidRDefault="0030286B">
            <w:pPr>
              <w:pStyle w:val="TableParagraph"/>
              <w:spacing w:before="37" w:line="264" w:lineRule="exact"/>
              <w:rPr>
                <w:sz w:val="21"/>
              </w:rPr>
            </w:pPr>
            <w:proofErr w:type="gramStart"/>
            <w:r>
              <w:rPr>
                <w:color w:val="B02045"/>
                <w:sz w:val="21"/>
              </w:rPr>
              <w:t>spring.security</w:t>
            </w:r>
            <w:proofErr w:type="gramEnd"/>
            <w:r>
              <w:rPr>
                <w:color w:val="B02045"/>
                <w:sz w:val="21"/>
              </w:rPr>
              <w:t>.oauth2</w:t>
            </w:r>
          </w:p>
          <w:p w14:paraId="7397B8DC" w14:textId="77777777" w:rsidR="00A720EB" w:rsidRDefault="0030286B">
            <w:pPr>
              <w:pStyle w:val="TableParagraph"/>
              <w:spacing w:before="4" w:line="230" w:lineRule="auto"/>
              <w:ind w:right="113"/>
              <w:rPr>
                <w:sz w:val="21"/>
              </w:rPr>
            </w:pPr>
            <w:proofErr w:type="gramStart"/>
            <w:r>
              <w:rPr>
                <w:color w:val="B02045"/>
                <w:sz w:val="21"/>
              </w:rPr>
              <w:t>.resourceserver</w:t>
            </w:r>
            <w:proofErr w:type="gramEnd"/>
            <w:r>
              <w:rPr>
                <w:color w:val="B02045"/>
                <w:sz w:val="21"/>
              </w:rPr>
              <w:t>.opaque token.introspection- uri</w:t>
            </w:r>
          </w:p>
        </w:tc>
        <w:tc>
          <w:tcPr>
            <w:tcW w:w="2494" w:type="dxa"/>
          </w:tcPr>
          <w:p w14:paraId="1E9BB467" w14:textId="77777777" w:rsidR="00A720EB" w:rsidRDefault="00A720EB">
            <w:pPr>
              <w:pStyle w:val="TableParagraph"/>
              <w:spacing w:before="0"/>
              <w:ind w:left="0"/>
              <w:rPr>
                <w:rFonts w:ascii="Times New Roman"/>
                <w:sz w:val="20"/>
              </w:rPr>
            </w:pPr>
          </w:p>
        </w:tc>
        <w:tc>
          <w:tcPr>
            <w:tcW w:w="4988" w:type="dxa"/>
          </w:tcPr>
          <w:p w14:paraId="56649D39" w14:textId="77777777" w:rsidR="00A720EB" w:rsidRDefault="0030286B">
            <w:pPr>
              <w:pStyle w:val="TableParagraph"/>
              <w:spacing w:before="92" w:line="307" w:lineRule="auto"/>
              <w:ind w:right="640"/>
              <w:rPr>
                <w:rFonts w:ascii="Cambria"/>
                <w:sz w:val="21"/>
              </w:rPr>
            </w:pPr>
            <w:r>
              <w:rPr>
                <w:rFonts w:ascii="Cambria"/>
                <w:color w:val="333333"/>
                <w:w w:val="110"/>
                <w:sz w:val="21"/>
              </w:rPr>
              <w:t>OAuth 2.0 endpoint through which token introspection is accomplished.</w:t>
            </w:r>
          </w:p>
        </w:tc>
      </w:tr>
      <w:tr w:rsidR="00A720EB" w14:paraId="35734F05" w14:textId="77777777">
        <w:trPr>
          <w:trHeight w:val="886"/>
        </w:trPr>
        <w:tc>
          <w:tcPr>
            <w:tcW w:w="2494" w:type="dxa"/>
          </w:tcPr>
          <w:p w14:paraId="5E2BCB17" w14:textId="77777777" w:rsidR="00A720EB" w:rsidRDefault="0030286B">
            <w:pPr>
              <w:pStyle w:val="TableParagraph"/>
              <w:spacing w:before="46" w:line="230" w:lineRule="auto"/>
              <w:ind w:right="113"/>
              <w:jc w:val="both"/>
              <w:rPr>
                <w:sz w:val="21"/>
              </w:rPr>
            </w:pPr>
            <w:proofErr w:type="gramStart"/>
            <w:r>
              <w:rPr>
                <w:color w:val="B02045"/>
                <w:sz w:val="21"/>
              </w:rPr>
              <w:t>spring.security</w:t>
            </w:r>
            <w:proofErr w:type="gramEnd"/>
            <w:r>
              <w:rPr>
                <w:color w:val="B02045"/>
                <w:sz w:val="21"/>
              </w:rPr>
              <w:t xml:space="preserve">.saml2. </w:t>
            </w:r>
            <w:proofErr w:type="gramStart"/>
            <w:r>
              <w:rPr>
                <w:color w:val="B02045"/>
                <w:sz w:val="21"/>
              </w:rPr>
              <w:t>relyingparty.registrat</w:t>
            </w:r>
            <w:proofErr w:type="gramEnd"/>
            <w:r>
              <w:rPr>
                <w:color w:val="B02045"/>
                <w:sz w:val="21"/>
              </w:rPr>
              <w:t xml:space="preserve"> ion.*</w:t>
            </w:r>
          </w:p>
        </w:tc>
        <w:tc>
          <w:tcPr>
            <w:tcW w:w="2494" w:type="dxa"/>
          </w:tcPr>
          <w:p w14:paraId="511B2292" w14:textId="77777777" w:rsidR="00A720EB" w:rsidRDefault="00A720EB">
            <w:pPr>
              <w:pStyle w:val="TableParagraph"/>
              <w:spacing w:before="0"/>
              <w:ind w:left="0"/>
              <w:rPr>
                <w:rFonts w:ascii="Times New Roman"/>
                <w:sz w:val="20"/>
              </w:rPr>
            </w:pPr>
          </w:p>
        </w:tc>
        <w:tc>
          <w:tcPr>
            <w:tcW w:w="4988" w:type="dxa"/>
          </w:tcPr>
          <w:p w14:paraId="190A267D" w14:textId="77777777" w:rsidR="00A720EB" w:rsidRDefault="0030286B">
            <w:pPr>
              <w:pStyle w:val="TableParagraph"/>
              <w:spacing w:before="92"/>
              <w:rPr>
                <w:rFonts w:ascii="Cambria"/>
                <w:sz w:val="21"/>
              </w:rPr>
            </w:pPr>
            <w:r>
              <w:rPr>
                <w:rFonts w:ascii="Cambria"/>
                <w:color w:val="333333"/>
                <w:w w:val="110"/>
                <w:sz w:val="21"/>
              </w:rPr>
              <w:t>SAML2 relying party registrations.</w:t>
            </w:r>
          </w:p>
        </w:tc>
      </w:tr>
      <w:tr w:rsidR="00A720EB" w14:paraId="3AD3F078" w14:textId="77777777">
        <w:trPr>
          <w:trHeight w:val="627"/>
        </w:trPr>
        <w:tc>
          <w:tcPr>
            <w:tcW w:w="2494" w:type="dxa"/>
          </w:tcPr>
          <w:p w14:paraId="23AB42D8" w14:textId="77777777" w:rsidR="00A720EB" w:rsidRDefault="0030286B">
            <w:pPr>
              <w:pStyle w:val="TableParagraph"/>
              <w:spacing w:before="46" w:line="230" w:lineRule="auto"/>
              <w:ind w:right="94"/>
              <w:rPr>
                <w:sz w:val="21"/>
              </w:rPr>
            </w:pPr>
            <w:proofErr w:type="gramStart"/>
            <w:r>
              <w:rPr>
                <w:color w:val="B02045"/>
                <w:sz w:val="21"/>
              </w:rPr>
              <w:t>spring.security</w:t>
            </w:r>
            <w:proofErr w:type="gramEnd"/>
            <w:r>
              <w:rPr>
                <w:color w:val="B02045"/>
                <w:sz w:val="21"/>
              </w:rPr>
              <w:t>.user.n ame</w:t>
            </w:r>
          </w:p>
        </w:tc>
        <w:tc>
          <w:tcPr>
            <w:tcW w:w="2494" w:type="dxa"/>
          </w:tcPr>
          <w:p w14:paraId="7C300BA4" w14:textId="77777777" w:rsidR="00A720EB" w:rsidRDefault="0030286B">
            <w:pPr>
              <w:pStyle w:val="TableParagraph"/>
              <w:spacing w:before="37"/>
              <w:rPr>
                <w:sz w:val="21"/>
              </w:rPr>
            </w:pPr>
            <w:r>
              <w:rPr>
                <w:color w:val="B02045"/>
                <w:sz w:val="21"/>
              </w:rPr>
              <w:t>user</w:t>
            </w:r>
          </w:p>
        </w:tc>
        <w:tc>
          <w:tcPr>
            <w:tcW w:w="4988" w:type="dxa"/>
          </w:tcPr>
          <w:p w14:paraId="5A3B951A" w14:textId="77777777" w:rsidR="00A720EB" w:rsidRDefault="0030286B">
            <w:pPr>
              <w:pStyle w:val="TableParagraph"/>
              <w:spacing w:before="92"/>
              <w:rPr>
                <w:rFonts w:ascii="Cambria"/>
                <w:sz w:val="21"/>
              </w:rPr>
            </w:pPr>
            <w:r>
              <w:rPr>
                <w:rFonts w:ascii="Cambria"/>
                <w:color w:val="333333"/>
                <w:w w:val="115"/>
                <w:sz w:val="21"/>
              </w:rPr>
              <w:t>Default user name.</w:t>
            </w:r>
          </w:p>
        </w:tc>
      </w:tr>
      <w:tr w:rsidR="00A720EB" w14:paraId="03E460E0" w14:textId="77777777">
        <w:trPr>
          <w:trHeight w:val="627"/>
        </w:trPr>
        <w:tc>
          <w:tcPr>
            <w:tcW w:w="2494" w:type="dxa"/>
          </w:tcPr>
          <w:p w14:paraId="6FBD0641" w14:textId="77777777" w:rsidR="00A720EB" w:rsidRDefault="0030286B">
            <w:pPr>
              <w:pStyle w:val="TableParagraph"/>
              <w:spacing w:before="46" w:line="230" w:lineRule="auto"/>
              <w:ind w:right="94"/>
              <w:rPr>
                <w:sz w:val="21"/>
              </w:rPr>
            </w:pPr>
            <w:proofErr w:type="gramStart"/>
            <w:r>
              <w:rPr>
                <w:color w:val="B02045"/>
                <w:sz w:val="21"/>
              </w:rPr>
              <w:t>spring.security</w:t>
            </w:r>
            <w:proofErr w:type="gramEnd"/>
            <w:r>
              <w:rPr>
                <w:color w:val="B02045"/>
                <w:sz w:val="21"/>
              </w:rPr>
              <w:t>.user.p assword</w:t>
            </w:r>
          </w:p>
        </w:tc>
        <w:tc>
          <w:tcPr>
            <w:tcW w:w="2494" w:type="dxa"/>
          </w:tcPr>
          <w:p w14:paraId="41A5E393" w14:textId="77777777" w:rsidR="00A720EB" w:rsidRDefault="00A720EB">
            <w:pPr>
              <w:pStyle w:val="TableParagraph"/>
              <w:spacing w:before="0"/>
              <w:ind w:left="0"/>
              <w:rPr>
                <w:rFonts w:ascii="Times New Roman"/>
                <w:sz w:val="20"/>
              </w:rPr>
            </w:pPr>
          </w:p>
        </w:tc>
        <w:tc>
          <w:tcPr>
            <w:tcW w:w="4988" w:type="dxa"/>
          </w:tcPr>
          <w:p w14:paraId="141850E7" w14:textId="77777777" w:rsidR="00A720EB" w:rsidRDefault="0030286B">
            <w:pPr>
              <w:pStyle w:val="TableParagraph"/>
              <w:spacing w:before="92"/>
              <w:rPr>
                <w:rFonts w:ascii="Cambria"/>
                <w:sz w:val="21"/>
              </w:rPr>
            </w:pPr>
            <w:r>
              <w:rPr>
                <w:rFonts w:ascii="Cambria"/>
                <w:color w:val="333333"/>
                <w:w w:val="110"/>
                <w:sz w:val="21"/>
              </w:rPr>
              <w:t>Password for the default user name.</w:t>
            </w:r>
          </w:p>
        </w:tc>
      </w:tr>
      <w:tr w:rsidR="00A720EB" w14:paraId="59B75150" w14:textId="77777777">
        <w:trPr>
          <w:trHeight w:val="627"/>
        </w:trPr>
        <w:tc>
          <w:tcPr>
            <w:tcW w:w="2494" w:type="dxa"/>
          </w:tcPr>
          <w:p w14:paraId="6B651244" w14:textId="77777777" w:rsidR="00A720EB" w:rsidRDefault="0030286B">
            <w:pPr>
              <w:pStyle w:val="TableParagraph"/>
              <w:spacing w:before="46" w:line="230" w:lineRule="auto"/>
              <w:ind w:right="94"/>
              <w:rPr>
                <w:sz w:val="21"/>
              </w:rPr>
            </w:pPr>
            <w:proofErr w:type="gramStart"/>
            <w:r>
              <w:rPr>
                <w:color w:val="B02045"/>
                <w:sz w:val="21"/>
              </w:rPr>
              <w:t>spring.security</w:t>
            </w:r>
            <w:proofErr w:type="gramEnd"/>
            <w:r>
              <w:rPr>
                <w:color w:val="B02045"/>
                <w:sz w:val="21"/>
              </w:rPr>
              <w:t>.user.r oles</w:t>
            </w:r>
          </w:p>
        </w:tc>
        <w:tc>
          <w:tcPr>
            <w:tcW w:w="2494" w:type="dxa"/>
          </w:tcPr>
          <w:p w14:paraId="1F7AB0F1" w14:textId="77777777" w:rsidR="00A720EB" w:rsidRDefault="00A720EB">
            <w:pPr>
              <w:pStyle w:val="TableParagraph"/>
              <w:spacing w:before="0"/>
              <w:ind w:left="0"/>
              <w:rPr>
                <w:rFonts w:ascii="Times New Roman"/>
                <w:sz w:val="20"/>
              </w:rPr>
            </w:pPr>
          </w:p>
        </w:tc>
        <w:tc>
          <w:tcPr>
            <w:tcW w:w="4988" w:type="dxa"/>
          </w:tcPr>
          <w:p w14:paraId="40E2D94E" w14:textId="77777777" w:rsidR="00A720EB" w:rsidRDefault="0030286B">
            <w:pPr>
              <w:pStyle w:val="TableParagraph"/>
              <w:spacing w:before="92"/>
              <w:rPr>
                <w:rFonts w:ascii="Cambria"/>
                <w:sz w:val="21"/>
              </w:rPr>
            </w:pPr>
            <w:r>
              <w:rPr>
                <w:rFonts w:ascii="Cambria"/>
                <w:color w:val="333333"/>
                <w:w w:val="110"/>
                <w:sz w:val="21"/>
              </w:rPr>
              <w:t>Granted roles for the default user name.</w:t>
            </w:r>
          </w:p>
        </w:tc>
      </w:tr>
      <w:tr w:rsidR="00A720EB" w14:paraId="10387A2D" w14:textId="77777777">
        <w:trPr>
          <w:trHeight w:val="741"/>
        </w:trPr>
        <w:tc>
          <w:tcPr>
            <w:tcW w:w="2494" w:type="dxa"/>
          </w:tcPr>
          <w:p w14:paraId="68B74AF1" w14:textId="77777777" w:rsidR="00A720EB" w:rsidRDefault="0030286B">
            <w:pPr>
              <w:pStyle w:val="TableParagraph"/>
              <w:spacing w:before="46" w:line="230" w:lineRule="auto"/>
              <w:ind w:right="113"/>
              <w:rPr>
                <w:sz w:val="21"/>
              </w:rPr>
            </w:pPr>
            <w:proofErr w:type="gramStart"/>
            <w:r>
              <w:rPr>
                <w:color w:val="B02045"/>
                <w:sz w:val="21"/>
              </w:rPr>
              <w:t>spring.session</w:t>
            </w:r>
            <w:proofErr w:type="gramEnd"/>
            <w:r>
              <w:rPr>
                <w:color w:val="B02045"/>
                <w:sz w:val="21"/>
              </w:rPr>
              <w:t>.hazelca st.flush-mode</w:t>
            </w:r>
          </w:p>
        </w:tc>
        <w:tc>
          <w:tcPr>
            <w:tcW w:w="2494" w:type="dxa"/>
          </w:tcPr>
          <w:p w14:paraId="5AC2FA6F" w14:textId="77777777" w:rsidR="00A720EB" w:rsidRDefault="0030286B">
            <w:pPr>
              <w:pStyle w:val="TableParagraph"/>
              <w:spacing w:before="37"/>
              <w:rPr>
                <w:sz w:val="21"/>
              </w:rPr>
            </w:pPr>
            <w:r>
              <w:rPr>
                <w:color w:val="B02045"/>
                <w:sz w:val="21"/>
              </w:rPr>
              <w:t>on-save</w:t>
            </w:r>
          </w:p>
        </w:tc>
        <w:tc>
          <w:tcPr>
            <w:tcW w:w="4988" w:type="dxa"/>
          </w:tcPr>
          <w:p w14:paraId="050E49F9" w14:textId="77777777" w:rsidR="00A720EB" w:rsidRDefault="0030286B">
            <w:pPr>
              <w:pStyle w:val="TableParagraph"/>
              <w:spacing w:before="28" w:line="310" w:lineRule="atLeast"/>
              <w:rPr>
                <w:rFonts w:ascii="Cambria"/>
                <w:sz w:val="21"/>
              </w:rPr>
            </w:pPr>
            <w:r>
              <w:rPr>
                <w:rFonts w:ascii="Cambria"/>
                <w:color w:val="333333"/>
                <w:w w:val="110"/>
                <w:sz w:val="21"/>
              </w:rPr>
              <w:t>Sessions flush mode. Determines when session changes are written to the session store.</w:t>
            </w:r>
          </w:p>
        </w:tc>
      </w:tr>
      <w:tr w:rsidR="00A720EB" w14:paraId="012E8722" w14:textId="77777777">
        <w:trPr>
          <w:trHeight w:val="627"/>
        </w:trPr>
        <w:tc>
          <w:tcPr>
            <w:tcW w:w="2494" w:type="dxa"/>
          </w:tcPr>
          <w:p w14:paraId="61B3C3F9" w14:textId="77777777" w:rsidR="00A720EB" w:rsidRDefault="0030286B">
            <w:pPr>
              <w:pStyle w:val="TableParagraph"/>
              <w:spacing w:before="46" w:line="230" w:lineRule="auto"/>
              <w:ind w:right="113"/>
              <w:rPr>
                <w:sz w:val="21"/>
              </w:rPr>
            </w:pPr>
            <w:proofErr w:type="gramStart"/>
            <w:r>
              <w:rPr>
                <w:color w:val="B02045"/>
                <w:sz w:val="21"/>
              </w:rPr>
              <w:t>spring.session</w:t>
            </w:r>
            <w:proofErr w:type="gramEnd"/>
            <w:r>
              <w:rPr>
                <w:color w:val="B02045"/>
                <w:sz w:val="21"/>
              </w:rPr>
              <w:t>.hazelca st.map-name</w:t>
            </w:r>
          </w:p>
        </w:tc>
        <w:tc>
          <w:tcPr>
            <w:tcW w:w="2494" w:type="dxa"/>
          </w:tcPr>
          <w:p w14:paraId="48720711" w14:textId="77777777" w:rsidR="00A720EB" w:rsidRDefault="0030286B">
            <w:pPr>
              <w:pStyle w:val="TableParagraph"/>
              <w:spacing w:before="46" w:line="230" w:lineRule="auto"/>
              <w:ind w:right="94"/>
              <w:rPr>
                <w:sz w:val="21"/>
              </w:rPr>
            </w:pPr>
            <w:proofErr w:type="gramStart"/>
            <w:r>
              <w:rPr>
                <w:color w:val="B02045"/>
                <w:sz w:val="21"/>
              </w:rPr>
              <w:t>spring:session</w:t>
            </w:r>
            <w:proofErr w:type="gramEnd"/>
            <w:r>
              <w:rPr>
                <w:color w:val="B02045"/>
                <w:sz w:val="21"/>
              </w:rPr>
              <w:t>:session s</w:t>
            </w:r>
          </w:p>
        </w:tc>
        <w:tc>
          <w:tcPr>
            <w:tcW w:w="4988" w:type="dxa"/>
          </w:tcPr>
          <w:p w14:paraId="5985E852" w14:textId="77777777" w:rsidR="00A720EB" w:rsidRDefault="0030286B">
            <w:pPr>
              <w:pStyle w:val="TableParagraph"/>
              <w:spacing w:before="92"/>
              <w:rPr>
                <w:rFonts w:ascii="Cambria"/>
                <w:sz w:val="21"/>
              </w:rPr>
            </w:pPr>
            <w:r>
              <w:rPr>
                <w:rFonts w:ascii="Cambria"/>
                <w:color w:val="333333"/>
                <w:w w:val="110"/>
                <w:sz w:val="21"/>
              </w:rPr>
              <w:t>Name of the map used to store sessions.</w:t>
            </w:r>
          </w:p>
        </w:tc>
      </w:tr>
      <w:tr w:rsidR="00A720EB" w14:paraId="237760A6" w14:textId="77777777">
        <w:trPr>
          <w:trHeight w:val="1056"/>
        </w:trPr>
        <w:tc>
          <w:tcPr>
            <w:tcW w:w="2494" w:type="dxa"/>
          </w:tcPr>
          <w:p w14:paraId="7102C1B2" w14:textId="77777777" w:rsidR="00A720EB" w:rsidRDefault="0030286B">
            <w:pPr>
              <w:pStyle w:val="TableParagraph"/>
              <w:spacing w:before="46" w:line="230" w:lineRule="auto"/>
              <w:ind w:right="113"/>
              <w:rPr>
                <w:sz w:val="21"/>
              </w:rPr>
            </w:pPr>
            <w:proofErr w:type="gramStart"/>
            <w:r>
              <w:rPr>
                <w:color w:val="B02045"/>
                <w:sz w:val="21"/>
              </w:rPr>
              <w:lastRenderedPageBreak/>
              <w:t>spring.session</w:t>
            </w:r>
            <w:proofErr w:type="gramEnd"/>
            <w:r>
              <w:rPr>
                <w:color w:val="B02045"/>
                <w:sz w:val="21"/>
              </w:rPr>
              <w:t>.hazelca st.save-mode</w:t>
            </w:r>
          </w:p>
        </w:tc>
        <w:tc>
          <w:tcPr>
            <w:tcW w:w="2494" w:type="dxa"/>
          </w:tcPr>
          <w:p w14:paraId="11CDB929" w14:textId="77777777" w:rsidR="00A720EB" w:rsidRDefault="0030286B">
            <w:pPr>
              <w:pStyle w:val="TableParagraph"/>
              <w:spacing w:before="37"/>
              <w:rPr>
                <w:sz w:val="21"/>
              </w:rPr>
            </w:pPr>
            <w:r>
              <w:rPr>
                <w:color w:val="B02045"/>
                <w:sz w:val="21"/>
              </w:rPr>
              <w:t>on-set-attribute</w:t>
            </w:r>
          </w:p>
        </w:tc>
        <w:tc>
          <w:tcPr>
            <w:tcW w:w="4988" w:type="dxa"/>
          </w:tcPr>
          <w:p w14:paraId="1C4523B4" w14:textId="77777777" w:rsidR="00A720EB" w:rsidRDefault="0030286B">
            <w:pPr>
              <w:pStyle w:val="TableParagraph"/>
              <w:spacing w:before="28" w:line="310" w:lineRule="atLeast"/>
              <w:ind w:right="441"/>
              <w:jc w:val="both"/>
              <w:rPr>
                <w:rFonts w:ascii="Cambria"/>
                <w:sz w:val="21"/>
              </w:rPr>
            </w:pPr>
            <w:r>
              <w:rPr>
                <w:rFonts w:ascii="Cambria"/>
                <w:color w:val="333333"/>
                <w:w w:val="110"/>
                <w:sz w:val="21"/>
              </w:rPr>
              <w:t>Sessions save mode. Determines how session changes are tracked and saved to the session store.</w:t>
            </w:r>
          </w:p>
        </w:tc>
      </w:tr>
      <w:tr w:rsidR="00A720EB" w14:paraId="3BB6FC13" w14:textId="77777777">
        <w:trPr>
          <w:trHeight w:val="627"/>
        </w:trPr>
        <w:tc>
          <w:tcPr>
            <w:tcW w:w="2494" w:type="dxa"/>
          </w:tcPr>
          <w:p w14:paraId="35C372E2" w14:textId="77777777" w:rsidR="00A720EB" w:rsidRDefault="0030286B">
            <w:pPr>
              <w:pStyle w:val="TableParagraph"/>
              <w:spacing w:before="46" w:line="230" w:lineRule="auto"/>
              <w:ind w:right="113"/>
              <w:rPr>
                <w:sz w:val="21"/>
              </w:rPr>
            </w:pPr>
            <w:r>
              <w:rPr>
                <w:color w:val="B02045"/>
                <w:sz w:val="21"/>
              </w:rPr>
              <w:t>spring.session.jdbc.cl eanup-cron</w:t>
            </w:r>
          </w:p>
        </w:tc>
        <w:tc>
          <w:tcPr>
            <w:tcW w:w="2494" w:type="dxa"/>
          </w:tcPr>
          <w:p w14:paraId="261B12E2" w14:textId="77777777" w:rsidR="00A720EB" w:rsidRDefault="0030286B">
            <w:pPr>
              <w:pStyle w:val="TableParagraph"/>
              <w:spacing w:before="37"/>
              <w:rPr>
                <w:sz w:val="21"/>
              </w:rPr>
            </w:pPr>
            <w:r>
              <w:rPr>
                <w:color w:val="B02045"/>
                <w:sz w:val="21"/>
              </w:rPr>
              <w:t>0 * * * * *</w:t>
            </w:r>
          </w:p>
        </w:tc>
        <w:tc>
          <w:tcPr>
            <w:tcW w:w="4988" w:type="dxa"/>
          </w:tcPr>
          <w:p w14:paraId="77B02637" w14:textId="77777777" w:rsidR="00A720EB" w:rsidRDefault="0030286B">
            <w:pPr>
              <w:pStyle w:val="TableParagraph"/>
              <w:spacing w:before="92"/>
              <w:rPr>
                <w:rFonts w:ascii="Cambria"/>
                <w:sz w:val="21"/>
              </w:rPr>
            </w:pPr>
            <w:r>
              <w:rPr>
                <w:rFonts w:ascii="Cambria"/>
                <w:color w:val="333333"/>
                <w:w w:val="110"/>
                <w:sz w:val="21"/>
              </w:rPr>
              <w:t>Cron expression for expired session cleanup job.</w:t>
            </w:r>
          </w:p>
        </w:tc>
      </w:tr>
    </w:tbl>
    <w:p w14:paraId="75F1348C"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8616390" w14:textId="77777777">
        <w:trPr>
          <w:trHeight w:val="415"/>
        </w:trPr>
        <w:tc>
          <w:tcPr>
            <w:tcW w:w="2494" w:type="dxa"/>
            <w:tcBorders>
              <w:bottom w:val="single" w:sz="12" w:space="0" w:color="DDDDDD"/>
            </w:tcBorders>
          </w:tcPr>
          <w:p w14:paraId="4179E249"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7BEAD512"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AFD0979"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F1EF4AA" w14:textId="77777777">
        <w:trPr>
          <w:trHeight w:val="731"/>
        </w:trPr>
        <w:tc>
          <w:tcPr>
            <w:tcW w:w="2494" w:type="dxa"/>
            <w:tcBorders>
              <w:top w:val="single" w:sz="12" w:space="0" w:color="DDDDDD"/>
            </w:tcBorders>
          </w:tcPr>
          <w:p w14:paraId="2B3567DA" w14:textId="77777777" w:rsidR="00A720EB" w:rsidRDefault="0030286B">
            <w:pPr>
              <w:pStyle w:val="TableParagraph"/>
              <w:spacing w:before="36" w:line="230" w:lineRule="auto"/>
              <w:ind w:right="113"/>
              <w:rPr>
                <w:sz w:val="21"/>
              </w:rPr>
            </w:pPr>
            <w:r>
              <w:rPr>
                <w:color w:val="B02045"/>
                <w:sz w:val="21"/>
              </w:rPr>
              <w:t>spring.session.jdbc.fl ush-mode</w:t>
            </w:r>
          </w:p>
        </w:tc>
        <w:tc>
          <w:tcPr>
            <w:tcW w:w="2494" w:type="dxa"/>
            <w:tcBorders>
              <w:top w:val="single" w:sz="12" w:space="0" w:color="DDDDDD"/>
            </w:tcBorders>
          </w:tcPr>
          <w:p w14:paraId="3ADDD62F" w14:textId="77777777" w:rsidR="00A720EB" w:rsidRDefault="0030286B">
            <w:pPr>
              <w:pStyle w:val="TableParagraph"/>
              <w:spacing w:before="27"/>
              <w:rPr>
                <w:sz w:val="21"/>
              </w:rPr>
            </w:pPr>
            <w:r>
              <w:rPr>
                <w:color w:val="B02045"/>
                <w:sz w:val="21"/>
              </w:rPr>
              <w:t>on-save</w:t>
            </w:r>
          </w:p>
        </w:tc>
        <w:tc>
          <w:tcPr>
            <w:tcW w:w="4988" w:type="dxa"/>
            <w:tcBorders>
              <w:top w:val="single" w:sz="12" w:space="0" w:color="DDDDDD"/>
            </w:tcBorders>
          </w:tcPr>
          <w:p w14:paraId="6B6EA78E" w14:textId="77777777" w:rsidR="00A720EB" w:rsidRDefault="0030286B">
            <w:pPr>
              <w:pStyle w:val="TableParagraph"/>
              <w:spacing w:before="18" w:line="310" w:lineRule="atLeast"/>
              <w:rPr>
                <w:rFonts w:ascii="Cambria"/>
                <w:sz w:val="21"/>
              </w:rPr>
            </w:pPr>
            <w:r>
              <w:rPr>
                <w:rFonts w:ascii="Cambria"/>
                <w:color w:val="333333"/>
                <w:w w:val="110"/>
                <w:sz w:val="21"/>
              </w:rPr>
              <w:t>Sessions flush mode. Determines when session changes are written to the session store.</w:t>
            </w:r>
          </w:p>
        </w:tc>
      </w:tr>
      <w:tr w:rsidR="00A720EB" w14:paraId="403CD3D6" w14:textId="77777777">
        <w:trPr>
          <w:trHeight w:val="627"/>
        </w:trPr>
        <w:tc>
          <w:tcPr>
            <w:tcW w:w="2494" w:type="dxa"/>
          </w:tcPr>
          <w:p w14:paraId="319CDDD3" w14:textId="77777777" w:rsidR="00A720EB" w:rsidRDefault="0030286B">
            <w:pPr>
              <w:pStyle w:val="TableParagraph"/>
              <w:spacing w:before="46" w:line="230" w:lineRule="auto"/>
              <w:ind w:right="113"/>
              <w:rPr>
                <w:sz w:val="21"/>
              </w:rPr>
            </w:pPr>
            <w:r>
              <w:rPr>
                <w:color w:val="B02045"/>
                <w:sz w:val="21"/>
              </w:rPr>
              <w:t>spring.session.jdbc.in itialize-schema</w:t>
            </w:r>
          </w:p>
        </w:tc>
        <w:tc>
          <w:tcPr>
            <w:tcW w:w="2494" w:type="dxa"/>
          </w:tcPr>
          <w:p w14:paraId="69F6A6BD" w14:textId="77777777" w:rsidR="00A720EB" w:rsidRDefault="0030286B">
            <w:pPr>
              <w:pStyle w:val="TableParagraph"/>
              <w:spacing w:before="37"/>
              <w:rPr>
                <w:sz w:val="21"/>
              </w:rPr>
            </w:pPr>
            <w:r>
              <w:rPr>
                <w:color w:val="B02045"/>
                <w:sz w:val="21"/>
              </w:rPr>
              <w:t>embedded</w:t>
            </w:r>
          </w:p>
        </w:tc>
        <w:tc>
          <w:tcPr>
            <w:tcW w:w="4988" w:type="dxa"/>
          </w:tcPr>
          <w:p w14:paraId="36679E9E" w14:textId="77777777" w:rsidR="00A720EB" w:rsidRDefault="0030286B">
            <w:pPr>
              <w:pStyle w:val="TableParagraph"/>
              <w:spacing w:before="92"/>
              <w:rPr>
                <w:rFonts w:ascii="Cambria"/>
                <w:sz w:val="21"/>
              </w:rPr>
            </w:pPr>
            <w:r>
              <w:rPr>
                <w:rFonts w:ascii="Cambria"/>
                <w:color w:val="333333"/>
                <w:w w:val="110"/>
                <w:sz w:val="21"/>
              </w:rPr>
              <w:t>Database schema initialization mode.</w:t>
            </w:r>
          </w:p>
        </w:tc>
      </w:tr>
      <w:tr w:rsidR="00A720EB" w14:paraId="4CAE163A" w14:textId="77777777">
        <w:trPr>
          <w:trHeight w:val="1056"/>
        </w:trPr>
        <w:tc>
          <w:tcPr>
            <w:tcW w:w="2494" w:type="dxa"/>
          </w:tcPr>
          <w:p w14:paraId="78979AAC" w14:textId="77777777" w:rsidR="00A720EB" w:rsidRDefault="0030286B">
            <w:pPr>
              <w:pStyle w:val="TableParagraph"/>
              <w:spacing w:before="46" w:line="230" w:lineRule="auto"/>
              <w:ind w:right="113"/>
              <w:rPr>
                <w:sz w:val="21"/>
              </w:rPr>
            </w:pPr>
            <w:r>
              <w:rPr>
                <w:color w:val="B02045"/>
                <w:sz w:val="21"/>
              </w:rPr>
              <w:t>spring.session.jdbc.sa ve-mode</w:t>
            </w:r>
          </w:p>
        </w:tc>
        <w:tc>
          <w:tcPr>
            <w:tcW w:w="2494" w:type="dxa"/>
          </w:tcPr>
          <w:p w14:paraId="6B15A1D5" w14:textId="77777777" w:rsidR="00A720EB" w:rsidRDefault="0030286B">
            <w:pPr>
              <w:pStyle w:val="TableParagraph"/>
              <w:spacing w:before="37"/>
              <w:rPr>
                <w:sz w:val="21"/>
              </w:rPr>
            </w:pPr>
            <w:r>
              <w:rPr>
                <w:color w:val="B02045"/>
                <w:sz w:val="21"/>
              </w:rPr>
              <w:t>on-set-attribute</w:t>
            </w:r>
          </w:p>
        </w:tc>
        <w:tc>
          <w:tcPr>
            <w:tcW w:w="4988" w:type="dxa"/>
          </w:tcPr>
          <w:p w14:paraId="37EE5134" w14:textId="77777777" w:rsidR="00A720EB" w:rsidRDefault="0030286B">
            <w:pPr>
              <w:pStyle w:val="TableParagraph"/>
              <w:spacing w:before="28" w:line="310" w:lineRule="atLeast"/>
              <w:ind w:right="441"/>
              <w:jc w:val="both"/>
              <w:rPr>
                <w:rFonts w:ascii="Cambria"/>
                <w:sz w:val="21"/>
              </w:rPr>
            </w:pPr>
            <w:r>
              <w:rPr>
                <w:rFonts w:ascii="Cambria"/>
                <w:color w:val="333333"/>
                <w:w w:val="110"/>
                <w:sz w:val="21"/>
              </w:rPr>
              <w:t>Sessions save mode. Determines how session changes are tracked and saved to the session store.</w:t>
            </w:r>
          </w:p>
        </w:tc>
      </w:tr>
      <w:tr w:rsidR="00A720EB" w14:paraId="6E257F81" w14:textId="77777777">
        <w:trPr>
          <w:trHeight w:val="886"/>
        </w:trPr>
        <w:tc>
          <w:tcPr>
            <w:tcW w:w="2494" w:type="dxa"/>
          </w:tcPr>
          <w:p w14:paraId="4D977CD8" w14:textId="77777777" w:rsidR="00A720EB" w:rsidRDefault="0030286B">
            <w:pPr>
              <w:pStyle w:val="TableParagraph"/>
              <w:spacing w:before="46" w:line="230" w:lineRule="auto"/>
              <w:ind w:right="94"/>
              <w:rPr>
                <w:sz w:val="21"/>
              </w:rPr>
            </w:pPr>
            <w:r>
              <w:rPr>
                <w:color w:val="B02045"/>
                <w:sz w:val="21"/>
              </w:rPr>
              <w:t>spring.session.jdbc.sc hema</w:t>
            </w:r>
          </w:p>
        </w:tc>
        <w:tc>
          <w:tcPr>
            <w:tcW w:w="2494" w:type="dxa"/>
          </w:tcPr>
          <w:p w14:paraId="479D5923" w14:textId="77777777" w:rsidR="00A720EB" w:rsidRDefault="0030286B">
            <w:pPr>
              <w:pStyle w:val="TableParagraph"/>
              <w:spacing w:before="46" w:line="230" w:lineRule="auto"/>
              <w:ind w:right="113"/>
              <w:jc w:val="both"/>
              <w:rPr>
                <w:sz w:val="21"/>
              </w:rPr>
            </w:pPr>
            <w:r>
              <w:rPr>
                <w:color w:val="B02045"/>
                <w:sz w:val="21"/>
              </w:rPr>
              <w:t xml:space="preserve">classpath:org/springfr amework/session/jdbc/s </w:t>
            </w:r>
            <w:hyperlink r:id="rId682">
              <w:r>
                <w:rPr>
                  <w:color w:val="B02045"/>
                  <w:sz w:val="21"/>
                </w:rPr>
                <w:t>chema-@@platform@@.sql</w:t>
              </w:r>
            </w:hyperlink>
          </w:p>
        </w:tc>
        <w:tc>
          <w:tcPr>
            <w:tcW w:w="4988" w:type="dxa"/>
          </w:tcPr>
          <w:p w14:paraId="7A71786A" w14:textId="77777777" w:rsidR="00A720EB" w:rsidRDefault="0030286B">
            <w:pPr>
              <w:pStyle w:val="TableParagraph"/>
              <w:spacing w:before="92" w:line="307" w:lineRule="auto"/>
              <w:ind w:right="372"/>
              <w:rPr>
                <w:rFonts w:ascii="Cambria"/>
                <w:sz w:val="21"/>
              </w:rPr>
            </w:pPr>
            <w:r>
              <w:rPr>
                <w:rFonts w:ascii="Cambria"/>
                <w:color w:val="333333"/>
                <w:w w:val="110"/>
                <w:sz w:val="21"/>
              </w:rPr>
              <w:t>Path to the SQL file to use to initialize the database schema.</w:t>
            </w:r>
          </w:p>
        </w:tc>
      </w:tr>
      <w:tr w:rsidR="00A720EB" w14:paraId="7CD548FD" w14:textId="77777777">
        <w:trPr>
          <w:trHeight w:val="741"/>
        </w:trPr>
        <w:tc>
          <w:tcPr>
            <w:tcW w:w="2494" w:type="dxa"/>
          </w:tcPr>
          <w:p w14:paraId="2F996197" w14:textId="77777777" w:rsidR="00A720EB" w:rsidRDefault="0030286B">
            <w:pPr>
              <w:pStyle w:val="TableParagraph"/>
              <w:spacing w:before="46" w:line="230" w:lineRule="auto"/>
              <w:ind w:right="113"/>
              <w:rPr>
                <w:sz w:val="21"/>
              </w:rPr>
            </w:pPr>
            <w:r>
              <w:rPr>
                <w:color w:val="B02045"/>
                <w:sz w:val="21"/>
              </w:rPr>
              <w:t>spring.session.jdbc.ta ble-name</w:t>
            </w:r>
          </w:p>
        </w:tc>
        <w:tc>
          <w:tcPr>
            <w:tcW w:w="2494" w:type="dxa"/>
          </w:tcPr>
          <w:p w14:paraId="2A419CB9" w14:textId="77777777" w:rsidR="00A720EB" w:rsidRDefault="0030286B">
            <w:pPr>
              <w:pStyle w:val="TableParagraph"/>
              <w:spacing w:before="37"/>
              <w:rPr>
                <w:sz w:val="21"/>
              </w:rPr>
            </w:pPr>
            <w:r>
              <w:rPr>
                <w:color w:val="B02045"/>
                <w:sz w:val="21"/>
              </w:rPr>
              <w:t>SPRING_SESSION</w:t>
            </w:r>
          </w:p>
        </w:tc>
        <w:tc>
          <w:tcPr>
            <w:tcW w:w="4988" w:type="dxa"/>
          </w:tcPr>
          <w:p w14:paraId="322627E5" w14:textId="77777777" w:rsidR="00A720EB" w:rsidRDefault="0030286B">
            <w:pPr>
              <w:pStyle w:val="TableParagraph"/>
              <w:spacing w:before="28" w:line="310" w:lineRule="atLeast"/>
              <w:ind w:right="640"/>
              <w:rPr>
                <w:rFonts w:ascii="Cambria"/>
                <w:sz w:val="21"/>
              </w:rPr>
            </w:pPr>
            <w:r>
              <w:rPr>
                <w:rFonts w:ascii="Cambria"/>
                <w:color w:val="333333"/>
                <w:w w:val="110"/>
                <w:sz w:val="21"/>
              </w:rPr>
              <w:t>Name of the database table used to store sessions.</w:t>
            </w:r>
          </w:p>
        </w:tc>
      </w:tr>
      <w:tr w:rsidR="00A720EB" w14:paraId="65F900C3" w14:textId="77777777">
        <w:trPr>
          <w:trHeight w:val="627"/>
        </w:trPr>
        <w:tc>
          <w:tcPr>
            <w:tcW w:w="2494" w:type="dxa"/>
          </w:tcPr>
          <w:p w14:paraId="1D5E1915" w14:textId="77777777" w:rsidR="00A720EB" w:rsidRDefault="0030286B">
            <w:pPr>
              <w:pStyle w:val="TableParagraph"/>
              <w:spacing w:before="37" w:line="264" w:lineRule="exact"/>
              <w:rPr>
                <w:sz w:val="21"/>
              </w:rPr>
            </w:pPr>
            <w:proofErr w:type="gramStart"/>
            <w:r>
              <w:rPr>
                <w:color w:val="B02045"/>
                <w:sz w:val="21"/>
              </w:rPr>
              <w:t>spring.session</w:t>
            </w:r>
            <w:proofErr w:type="gramEnd"/>
            <w:r>
              <w:rPr>
                <w:color w:val="B02045"/>
                <w:sz w:val="21"/>
              </w:rPr>
              <w:t>.mongodb</w:t>
            </w:r>
          </w:p>
          <w:p w14:paraId="3DF5082E" w14:textId="77777777" w:rsidR="00A720EB" w:rsidRDefault="0030286B">
            <w:pPr>
              <w:pStyle w:val="TableParagraph"/>
              <w:spacing w:before="0" w:line="264" w:lineRule="exact"/>
              <w:rPr>
                <w:sz w:val="21"/>
              </w:rPr>
            </w:pPr>
            <w:proofErr w:type="gramStart"/>
            <w:r>
              <w:rPr>
                <w:color w:val="B02045"/>
                <w:sz w:val="21"/>
              </w:rPr>
              <w:t>.collection</w:t>
            </w:r>
            <w:proofErr w:type="gramEnd"/>
            <w:r>
              <w:rPr>
                <w:color w:val="B02045"/>
                <w:sz w:val="21"/>
              </w:rPr>
              <w:t>-name</w:t>
            </w:r>
          </w:p>
        </w:tc>
        <w:tc>
          <w:tcPr>
            <w:tcW w:w="2494" w:type="dxa"/>
          </w:tcPr>
          <w:p w14:paraId="7C47A679" w14:textId="77777777" w:rsidR="00A720EB" w:rsidRDefault="0030286B">
            <w:pPr>
              <w:pStyle w:val="TableParagraph"/>
              <w:spacing w:before="37"/>
              <w:rPr>
                <w:sz w:val="21"/>
              </w:rPr>
            </w:pPr>
            <w:r>
              <w:rPr>
                <w:color w:val="B02045"/>
                <w:sz w:val="21"/>
              </w:rPr>
              <w:t>sessions</w:t>
            </w:r>
          </w:p>
        </w:tc>
        <w:tc>
          <w:tcPr>
            <w:tcW w:w="4988" w:type="dxa"/>
          </w:tcPr>
          <w:p w14:paraId="63CA6106" w14:textId="77777777" w:rsidR="00A720EB" w:rsidRDefault="0030286B">
            <w:pPr>
              <w:pStyle w:val="TableParagraph"/>
              <w:spacing w:before="92"/>
              <w:rPr>
                <w:rFonts w:ascii="Cambria"/>
                <w:sz w:val="21"/>
              </w:rPr>
            </w:pPr>
            <w:r>
              <w:rPr>
                <w:rFonts w:ascii="Cambria"/>
                <w:color w:val="333333"/>
                <w:w w:val="110"/>
                <w:sz w:val="21"/>
              </w:rPr>
              <w:t>Collection name used to store sessions.</w:t>
            </w:r>
          </w:p>
        </w:tc>
      </w:tr>
      <w:tr w:rsidR="00A720EB" w14:paraId="74F1F33A" w14:textId="77777777">
        <w:trPr>
          <w:trHeight w:val="627"/>
        </w:trPr>
        <w:tc>
          <w:tcPr>
            <w:tcW w:w="2494" w:type="dxa"/>
          </w:tcPr>
          <w:p w14:paraId="1C9F3406" w14:textId="77777777" w:rsidR="00A720EB" w:rsidRDefault="0030286B">
            <w:pPr>
              <w:pStyle w:val="TableParagraph"/>
              <w:spacing w:before="46" w:line="230" w:lineRule="auto"/>
              <w:ind w:right="113"/>
              <w:rPr>
                <w:sz w:val="21"/>
              </w:rPr>
            </w:pPr>
            <w:proofErr w:type="gramStart"/>
            <w:r>
              <w:rPr>
                <w:color w:val="B02045"/>
                <w:sz w:val="21"/>
              </w:rPr>
              <w:t>spring.session</w:t>
            </w:r>
            <w:proofErr w:type="gramEnd"/>
            <w:r>
              <w:rPr>
                <w:color w:val="B02045"/>
                <w:sz w:val="21"/>
              </w:rPr>
              <w:t>.redis.c leanup-cron</w:t>
            </w:r>
          </w:p>
        </w:tc>
        <w:tc>
          <w:tcPr>
            <w:tcW w:w="2494" w:type="dxa"/>
          </w:tcPr>
          <w:p w14:paraId="229B9556" w14:textId="77777777" w:rsidR="00A720EB" w:rsidRDefault="0030286B">
            <w:pPr>
              <w:pStyle w:val="TableParagraph"/>
              <w:spacing w:before="37"/>
              <w:rPr>
                <w:sz w:val="21"/>
              </w:rPr>
            </w:pPr>
            <w:r>
              <w:rPr>
                <w:color w:val="B02045"/>
                <w:sz w:val="21"/>
              </w:rPr>
              <w:t>0 * * * * *</w:t>
            </w:r>
          </w:p>
        </w:tc>
        <w:tc>
          <w:tcPr>
            <w:tcW w:w="4988" w:type="dxa"/>
          </w:tcPr>
          <w:p w14:paraId="45BCBED6" w14:textId="77777777" w:rsidR="00A720EB" w:rsidRDefault="0030286B">
            <w:pPr>
              <w:pStyle w:val="TableParagraph"/>
              <w:spacing w:before="92"/>
              <w:rPr>
                <w:rFonts w:ascii="Cambria"/>
                <w:sz w:val="21"/>
              </w:rPr>
            </w:pPr>
            <w:r>
              <w:rPr>
                <w:rFonts w:ascii="Cambria"/>
                <w:color w:val="333333"/>
                <w:w w:val="110"/>
                <w:sz w:val="21"/>
              </w:rPr>
              <w:t>Cron expression for expired session cleanup job.</w:t>
            </w:r>
          </w:p>
        </w:tc>
      </w:tr>
      <w:tr w:rsidR="00A720EB" w14:paraId="790009EC" w14:textId="77777777">
        <w:trPr>
          <w:trHeight w:val="741"/>
        </w:trPr>
        <w:tc>
          <w:tcPr>
            <w:tcW w:w="2494" w:type="dxa"/>
          </w:tcPr>
          <w:p w14:paraId="010CEFF6" w14:textId="77777777" w:rsidR="00A720EB" w:rsidRDefault="0030286B">
            <w:pPr>
              <w:pStyle w:val="TableParagraph"/>
              <w:spacing w:before="46" w:line="230" w:lineRule="auto"/>
              <w:ind w:right="113"/>
              <w:rPr>
                <w:sz w:val="21"/>
              </w:rPr>
            </w:pPr>
            <w:proofErr w:type="gramStart"/>
            <w:r>
              <w:rPr>
                <w:color w:val="B02045"/>
                <w:sz w:val="21"/>
              </w:rPr>
              <w:t>spring.session</w:t>
            </w:r>
            <w:proofErr w:type="gramEnd"/>
            <w:r>
              <w:rPr>
                <w:color w:val="B02045"/>
                <w:sz w:val="21"/>
              </w:rPr>
              <w:t>.redis.c onfigure-action</w:t>
            </w:r>
          </w:p>
        </w:tc>
        <w:tc>
          <w:tcPr>
            <w:tcW w:w="2494" w:type="dxa"/>
          </w:tcPr>
          <w:p w14:paraId="685E5574" w14:textId="77777777" w:rsidR="00A720EB" w:rsidRDefault="0030286B">
            <w:pPr>
              <w:pStyle w:val="TableParagraph"/>
              <w:rPr>
                <w:sz w:val="21"/>
              </w:rPr>
            </w:pPr>
            <w:r>
              <w:rPr>
                <w:color w:val="B02045"/>
                <w:sz w:val="21"/>
              </w:rPr>
              <w:t>notify-keyspace-events</w:t>
            </w:r>
          </w:p>
        </w:tc>
        <w:tc>
          <w:tcPr>
            <w:tcW w:w="4988" w:type="dxa"/>
          </w:tcPr>
          <w:p w14:paraId="06013FFA" w14:textId="77777777" w:rsidR="00A720EB" w:rsidRDefault="0030286B">
            <w:pPr>
              <w:pStyle w:val="TableParagraph"/>
              <w:spacing w:before="28" w:line="310" w:lineRule="atLeast"/>
              <w:rPr>
                <w:rFonts w:ascii="Cambria"/>
                <w:sz w:val="21"/>
              </w:rPr>
            </w:pPr>
            <w:r>
              <w:rPr>
                <w:rFonts w:ascii="Cambria"/>
                <w:color w:val="333333"/>
                <w:w w:val="110"/>
                <w:sz w:val="21"/>
              </w:rPr>
              <w:t>The configure action to apply when no user defined ConfigureRedisAction bean is present.</w:t>
            </w:r>
          </w:p>
        </w:tc>
      </w:tr>
      <w:tr w:rsidR="00A720EB" w14:paraId="22394C08" w14:textId="77777777">
        <w:trPr>
          <w:trHeight w:val="741"/>
        </w:trPr>
        <w:tc>
          <w:tcPr>
            <w:tcW w:w="2494" w:type="dxa"/>
          </w:tcPr>
          <w:p w14:paraId="1189941B" w14:textId="77777777" w:rsidR="00A720EB" w:rsidRDefault="0030286B">
            <w:pPr>
              <w:pStyle w:val="TableParagraph"/>
              <w:spacing w:before="46" w:line="230" w:lineRule="auto"/>
              <w:ind w:right="113"/>
              <w:rPr>
                <w:sz w:val="21"/>
              </w:rPr>
            </w:pPr>
            <w:proofErr w:type="gramStart"/>
            <w:r>
              <w:rPr>
                <w:color w:val="B02045"/>
                <w:sz w:val="21"/>
              </w:rPr>
              <w:t>spring.session</w:t>
            </w:r>
            <w:proofErr w:type="gramEnd"/>
            <w:r>
              <w:rPr>
                <w:color w:val="B02045"/>
                <w:sz w:val="21"/>
              </w:rPr>
              <w:t>.redis.f lush-mode</w:t>
            </w:r>
          </w:p>
        </w:tc>
        <w:tc>
          <w:tcPr>
            <w:tcW w:w="2494" w:type="dxa"/>
          </w:tcPr>
          <w:p w14:paraId="66037C8A" w14:textId="77777777" w:rsidR="00A720EB" w:rsidRDefault="0030286B">
            <w:pPr>
              <w:pStyle w:val="TableParagraph"/>
              <w:rPr>
                <w:sz w:val="21"/>
              </w:rPr>
            </w:pPr>
            <w:r>
              <w:rPr>
                <w:color w:val="B02045"/>
                <w:sz w:val="21"/>
              </w:rPr>
              <w:t>on-save</w:t>
            </w:r>
          </w:p>
        </w:tc>
        <w:tc>
          <w:tcPr>
            <w:tcW w:w="4988" w:type="dxa"/>
          </w:tcPr>
          <w:p w14:paraId="2ECDA4D5" w14:textId="77777777" w:rsidR="00A720EB" w:rsidRDefault="0030286B">
            <w:pPr>
              <w:pStyle w:val="TableParagraph"/>
              <w:spacing w:before="28" w:line="310" w:lineRule="atLeast"/>
              <w:rPr>
                <w:rFonts w:ascii="Cambria"/>
                <w:sz w:val="21"/>
              </w:rPr>
            </w:pPr>
            <w:r>
              <w:rPr>
                <w:rFonts w:ascii="Cambria"/>
                <w:color w:val="333333"/>
                <w:w w:val="110"/>
                <w:sz w:val="21"/>
              </w:rPr>
              <w:t>Sessions flush mode. Determines when session changes are written to the session store.</w:t>
            </w:r>
          </w:p>
        </w:tc>
      </w:tr>
      <w:tr w:rsidR="00A720EB" w14:paraId="18779C7A" w14:textId="77777777">
        <w:trPr>
          <w:trHeight w:val="627"/>
        </w:trPr>
        <w:tc>
          <w:tcPr>
            <w:tcW w:w="2494" w:type="dxa"/>
          </w:tcPr>
          <w:p w14:paraId="0B26A1C8" w14:textId="77777777" w:rsidR="00A720EB" w:rsidRDefault="0030286B">
            <w:pPr>
              <w:pStyle w:val="TableParagraph"/>
              <w:spacing w:before="46" w:line="230" w:lineRule="auto"/>
              <w:ind w:right="94"/>
              <w:rPr>
                <w:sz w:val="21"/>
              </w:rPr>
            </w:pPr>
            <w:proofErr w:type="gramStart"/>
            <w:r>
              <w:rPr>
                <w:color w:val="B02045"/>
                <w:sz w:val="21"/>
              </w:rPr>
              <w:t>spring.session</w:t>
            </w:r>
            <w:proofErr w:type="gramEnd"/>
            <w:r>
              <w:rPr>
                <w:color w:val="B02045"/>
                <w:sz w:val="21"/>
              </w:rPr>
              <w:t>.redis.n amespace</w:t>
            </w:r>
          </w:p>
        </w:tc>
        <w:tc>
          <w:tcPr>
            <w:tcW w:w="2494" w:type="dxa"/>
          </w:tcPr>
          <w:p w14:paraId="64192516" w14:textId="77777777" w:rsidR="00A720EB" w:rsidRDefault="0030286B">
            <w:pPr>
              <w:pStyle w:val="TableParagraph"/>
              <w:rPr>
                <w:sz w:val="21"/>
              </w:rPr>
            </w:pPr>
            <w:proofErr w:type="gramStart"/>
            <w:r>
              <w:rPr>
                <w:color w:val="B02045"/>
                <w:sz w:val="21"/>
              </w:rPr>
              <w:t>spring:session</w:t>
            </w:r>
            <w:proofErr w:type="gramEnd"/>
          </w:p>
        </w:tc>
        <w:tc>
          <w:tcPr>
            <w:tcW w:w="4988" w:type="dxa"/>
          </w:tcPr>
          <w:p w14:paraId="33B09602" w14:textId="77777777" w:rsidR="00A720EB" w:rsidRDefault="0030286B">
            <w:pPr>
              <w:pStyle w:val="TableParagraph"/>
              <w:spacing w:before="92"/>
              <w:rPr>
                <w:rFonts w:ascii="Cambria"/>
                <w:sz w:val="21"/>
              </w:rPr>
            </w:pPr>
            <w:r>
              <w:rPr>
                <w:rFonts w:ascii="Cambria"/>
                <w:color w:val="333333"/>
                <w:w w:val="110"/>
                <w:sz w:val="21"/>
              </w:rPr>
              <w:t>Namespace for keys used to store sessions.</w:t>
            </w:r>
          </w:p>
        </w:tc>
      </w:tr>
      <w:tr w:rsidR="00A720EB" w14:paraId="63FD2439" w14:textId="77777777">
        <w:trPr>
          <w:trHeight w:val="1056"/>
        </w:trPr>
        <w:tc>
          <w:tcPr>
            <w:tcW w:w="2494" w:type="dxa"/>
          </w:tcPr>
          <w:p w14:paraId="3FBAAE51" w14:textId="77777777" w:rsidR="00A720EB" w:rsidRDefault="0030286B">
            <w:pPr>
              <w:pStyle w:val="TableParagraph"/>
              <w:spacing w:before="46" w:line="230" w:lineRule="auto"/>
              <w:ind w:right="113"/>
              <w:rPr>
                <w:sz w:val="21"/>
              </w:rPr>
            </w:pPr>
            <w:proofErr w:type="gramStart"/>
            <w:r>
              <w:rPr>
                <w:color w:val="B02045"/>
                <w:sz w:val="21"/>
              </w:rPr>
              <w:t>spring.session</w:t>
            </w:r>
            <w:proofErr w:type="gramEnd"/>
            <w:r>
              <w:rPr>
                <w:color w:val="B02045"/>
                <w:sz w:val="21"/>
              </w:rPr>
              <w:t>.redis.s ave-mode</w:t>
            </w:r>
          </w:p>
        </w:tc>
        <w:tc>
          <w:tcPr>
            <w:tcW w:w="2494" w:type="dxa"/>
          </w:tcPr>
          <w:p w14:paraId="77BE2387" w14:textId="77777777" w:rsidR="00A720EB" w:rsidRDefault="0030286B">
            <w:pPr>
              <w:pStyle w:val="TableParagraph"/>
              <w:spacing w:before="37"/>
              <w:rPr>
                <w:sz w:val="21"/>
              </w:rPr>
            </w:pPr>
            <w:r>
              <w:rPr>
                <w:color w:val="B02045"/>
                <w:sz w:val="21"/>
              </w:rPr>
              <w:t>on-set-attribute</w:t>
            </w:r>
          </w:p>
        </w:tc>
        <w:tc>
          <w:tcPr>
            <w:tcW w:w="4988" w:type="dxa"/>
          </w:tcPr>
          <w:p w14:paraId="5465E488" w14:textId="77777777" w:rsidR="00A720EB" w:rsidRDefault="0030286B">
            <w:pPr>
              <w:pStyle w:val="TableParagraph"/>
              <w:spacing w:before="28" w:line="310" w:lineRule="atLeast"/>
              <w:ind w:right="441"/>
              <w:jc w:val="both"/>
              <w:rPr>
                <w:rFonts w:ascii="Cambria"/>
                <w:sz w:val="21"/>
              </w:rPr>
            </w:pPr>
            <w:r>
              <w:rPr>
                <w:rFonts w:ascii="Cambria"/>
                <w:color w:val="333333"/>
                <w:w w:val="110"/>
                <w:sz w:val="21"/>
              </w:rPr>
              <w:t>Sessions save mode. Determines how session changes are tracked and saved to the session store.</w:t>
            </w:r>
          </w:p>
        </w:tc>
      </w:tr>
      <w:tr w:rsidR="00A720EB" w14:paraId="53385058" w14:textId="77777777">
        <w:trPr>
          <w:trHeight w:val="886"/>
        </w:trPr>
        <w:tc>
          <w:tcPr>
            <w:tcW w:w="2494" w:type="dxa"/>
          </w:tcPr>
          <w:p w14:paraId="0163915A" w14:textId="77777777" w:rsidR="00A720EB" w:rsidRDefault="0030286B">
            <w:pPr>
              <w:pStyle w:val="TableParagraph"/>
              <w:spacing w:before="37" w:line="264" w:lineRule="exact"/>
              <w:rPr>
                <w:sz w:val="21"/>
              </w:rPr>
            </w:pPr>
            <w:proofErr w:type="gramStart"/>
            <w:r>
              <w:rPr>
                <w:color w:val="B02045"/>
                <w:sz w:val="21"/>
              </w:rPr>
              <w:t>spring.session</w:t>
            </w:r>
            <w:proofErr w:type="gramEnd"/>
            <w:r>
              <w:rPr>
                <w:color w:val="B02045"/>
                <w:sz w:val="21"/>
              </w:rPr>
              <w:t>.servlet</w:t>
            </w:r>
          </w:p>
          <w:p w14:paraId="63CBD9B9" w14:textId="77777777" w:rsidR="00A720EB" w:rsidRDefault="0030286B">
            <w:pPr>
              <w:pStyle w:val="TableParagraph"/>
              <w:spacing w:before="4" w:line="230" w:lineRule="auto"/>
              <w:ind w:right="409"/>
              <w:rPr>
                <w:sz w:val="21"/>
              </w:rPr>
            </w:pPr>
            <w:proofErr w:type="gramStart"/>
            <w:r>
              <w:rPr>
                <w:color w:val="B02045"/>
                <w:sz w:val="21"/>
              </w:rPr>
              <w:t>.filter</w:t>
            </w:r>
            <w:proofErr w:type="gramEnd"/>
            <w:r>
              <w:rPr>
                <w:color w:val="B02045"/>
                <w:sz w:val="21"/>
              </w:rPr>
              <w:t>-dispatcher- types</w:t>
            </w:r>
          </w:p>
        </w:tc>
        <w:tc>
          <w:tcPr>
            <w:tcW w:w="2494" w:type="dxa"/>
          </w:tcPr>
          <w:p w14:paraId="1E6C789C" w14:textId="77777777" w:rsidR="00A720EB" w:rsidRDefault="0030286B">
            <w:pPr>
              <w:pStyle w:val="TableParagraph"/>
              <w:spacing w:before="46" w:line="230" w:lineRule="auto"/>
              <w:ind w:right="934"/>
              <w:rPr>
                <w:sz w:val="21"/>
              </w:rPr>
            </w:pPr>
            <w:r>
              <w:rPr>
                <w:color w:val="B02045"/>
                <w:sz w:val="21"/>
              </w:rPr>
              <w:t>[async, error, request]</w:t>
            </w:r>
          </w:p>
        </w:tc>
        <w:tc>
          <w:tcPr>
            <w:tcW w:w="4988" w:type="dxa"/>
          </w:tcPr>
          <w:p w14:paraId="425BB4EA" w14:textId="77777777" w:rsidR="00A720EB" w:rsidRDefault="0030286B">
            <w:pPr>
              <w:pStyle w:val="TableParagraph"/>
              <w:spacing w:before="92"/>
              <w:rPr>
                <w:rFonts w:ascii="Cambria"/>
                <w:sz w:val="21"/>
              </w:rPr>
            </w:pPr>
            <w:r>
              <w:rPr>
                <w:rFonts w:ascii="Cambria"/>
                <w:color w:val="333333"/>
                <w:w w:val="110"/>
                <w:sz w:val="21"/>
              </w:rPr>
              <w:t>Session repository filter dispatcher types.</w:t>
            </w:r>
          </w:p>
        </w:tc>
      </w:tr>
      <w:tr w:rsidR="00A720EB" w14:paraId="1ADF8A08" w14:textId="77777777">
        <w:trPr>
          <w:trHeight w:val="627"/>
        </w:trPr>
        <w:tc>
          <w:tcPr>
            <w:tcW w:w="2494" w:type="dxa"/>
          </w:tcPr>
          <w:p w14:paraId="326F29EB" w14:textId="77777777" w:rsidR="00A720EB" w:rsidRDefault="0030286B">
            <w:pPr>
              <w:pStyle w:val="TableParagraph"/>
              <w:spacing w:line="264" w:lineRule="exact"/>
              <w:rPr>
                <w:sz w:val="21"/>
              </w:rPr>
            </w:pPr>
            <w:proofErr w:type="gramStart"/>
            <w:r>
              <w:rPr>
                <w:color w:val="B02045"/>
                <w:sz w:val="21"/>
              </w:rPr>
              <w:t>spring.session</w:t>
            </w:r>
            <w:proofErr w:type="gramEnd"/>
            <w:r>
              <w:rPr>
                <w:color w:val="B02045"/>
                <w:sz w:val="21"/>
              </w:rPr>
              <w:t>.servlet</w:t>
            </w:r>
          </w:p>
          <w:p w14:paraId="6DA7F010" w14:textId="77777777" w:rsidR="00A720EB" w:rsidRDefault="0030286B">
            <w:pPr>
              <w:pStyle w:val="TableParagraph"/>
              <w:spacing w:before="0" w:line="264" w:lineRule="exact"/>
              <w:rPr>
                <w:sz w:val="21"/>
              </w:rPr>
            </w:pPr>
            <w:proofErr w:type="gramStart"/>
            <w:r>
              <w:rPr>
                <w:color w:val="B02045"/>
                <w:sz w:val="21"/>
              </w:rPr>
              <w:t>.filter</w:t>
            </w:r>
            <w:proofErr w:type="gramEnd"/>
            <w:r>
              <w:rPr>
                <w:color w:val="B02045"/>
                <w:sz w:val="21"/>
              </w:rPr>
              <w:t>-order</w:t>
            </w:r>
          </w:p>
        </w:tc>
        <w:tc>
          <w:tcPr>
            <w:tcW w:w="2494" w:type="dxa"/>
          </w:tcPr>
          <w:p w14:paraId="5EB191E4" w14:textId="77777777" w:rsidR="00A720EB" w:rsidRDefault="00A720EB">
            <w:pPr>
              <w:pStyle w:val="TableParagraph"/>
              <w:spacing w:before="0"/>
              <w:ind w:left="0"/>
              <w:rPr>
                <w:rFonts w:ascii="Times New Roman"/>
                <w:sz w:val="20"/>
              </w:rPr>
            </w:pPr>
          </w:p>
        </w:tc>
        <w:tc>
          <w:tcPr>
            <w:tcW w:w="4988" w:type="dxa"/>
          </w:tcPr>
          <w:p w14:paraId="5D36D03D" w14:textId="77777777" w:rsidR="00A720EB" w:rsidRDefault="0030286B">
            <w:pPr>
              <w:pStyle w:val="TableParagraph"/>
              <w:spacing w:before="92"/>
              <w:rPr>
                <w:rFonts w:ascii="Cambria"/>
                <w:sz w:val="21"/>
              </w:rPr>
            </w:pPr>
            <w:r>
              <w:rPr>
                <w:rFonts w:ascii="Cambria"/>
                <w:color w:val="333333"/>
                <w:w w:val="110"/>
                <w:sz w:val="21"/>
              </w:rPr>
              <w:t>Session repository filter order.</w:t>
            </w:r>
          </w:p>
        </w:tc>
      </w:tr>
      <w:tr w:rsidR="00A720EB" w14:paraId="63ACA624" w14:textId="77777777">
        <w:trPr>
          <w:trHeight w:val="627"/>
        </w:trPr>
        <w:tc>
          <w:tcPr>
            <w:tcW w:w="2494" w:type="dxa"/>
          </w:tcPr>
          <w:p w14:paraId="0CBF0E88" w14:textId="77777777" w:rsidR="00A720EB" w:rsidRDefault="0030286B">
            <w:pPr>
              <w:pStyle w:val="TableParagraph"/>
              <w:spacing w:before="46" w:line="230" w:lineRule="auto"/>
              <w:ind w:right="199"/>
              <w:rPr>
                <w:sz w:val="21"/>
              </w:rPr>
            </w:pPr>
            <w:proofErr w:type="gramStart"/>
            <w:r>
              <w:rPr>
                <w:color w:val="B02045"/>
                <w:sz w:val="21"/>
              </w:rPr>
              <w:t>spring.session</w:t>
            </w:r>
            <w:proofErr w:type="gramEnd"/>
            <w:r>
              <w:rPr>
                <w:color w:val="B02045"/>
                <w:sz w:val="21"/>
              </w:rPr>
              <w:t>.store- type</w:t>
            </w:r>
          </w:p>
        </w:tc>
        <w:tc>
          <w:tcPr>
            <w:tcW w:w="2494" w:type="dxa"/>
          </w:tcPr>
          <w:p w14:paraId="189D1EAC" w14:textId="77777777" w:rsidR="00A720EB" w:rsidRDefault="00A720EB">
            <w:pPr>
              <w:pStyle w:val="TableParagraph"/>
              <w:spacing w:before="0"/>
              <w:ind w:left="0"/>
              <w:rPr>
                <w:rFonts w:ascii="Times New Roman"/>
                <w:sz w:val="20"/>
              </w:rPr>
            </w:pPr>
          </w:p>
        </w:tc>
        <w:tc>
          <w:tcPr>
            <w:tcW w:w="4988" w:type="dxa"/>
          </w:tcPr>
          <w:p w14:paraId="5EAE66DA" w14:textId="77777777" w:rsidR="00A720EB" w:rsidRDefault="0030286B">
            <w:pPr>
              <w:pStyle w:val="TableParagraph"/>
              <w:spacing w:before="92"/>
              <w:rPr>
                <w:rFonts w:ascii="Cambria"/>
                <w:sz w:val="21"/>
              </w:rPr>
            </w:pPr>
            <w:r>
              <w:rPr>
                <w:rFonts w:ascii="Cambria"/>
                <w:color w:val="333333"/>
                <w:w w:val="110"/>
                <w:sz w:val="21"/>
              </w:rPr>
              <w:t>Session store type.</w:t>
            </w:r>
          </w:p>
        </w:tc>
      </w:tr>
      <w:tr w:rsidR="00A720EB" w14:paraId="47377F24" w14:textId="77777777">
        <w:trPr>
          <w:trHeight w:val="741"/>
        </w:trPr>
        <w:tc>
          <w:tcPr>
            <w:tcW w:w="2494" w:type="dxa"/>
          </w:tcPr>
          <w:p w14:paraId="716E90F6" w14:textId="77777777" w:rsidR="00A720EB" w:rsidRDefault="0030286B">
            <w:pPr>
              <w:pStyle w:val="TableParagraph"/>
              <w:rPr>
                <w:sz w:val="21"/>
              </w:rPr>
            </w:pPr>
            <w:proofErr w:type="gramStart"/>
            <w:r>
              <w:rPr>
                <w:color w:val="B02045"/>
                <w:sz w:val="21"/>
              </w:rPr>
              <w:t>spring.session</w:t>
            </w:r>
            <w:proofErr w:type="gramEnd"/>
            <w:r>
              <w:rPr>
                <w:color w:val="B02045"/>
                <w:sz w:val="21"/>
              </w:rPr>
              <w:t>.timeout</w:t>
            </w:r>
          </w:p>
        </w:tc>
        <w:tc>
          <w:tcPr>
            <w:tcW w:w="2494" w:type="dxa"/>
          </w:tcPr>
          <w:p w14:paraId="39BC1E0F" w14:textId="77777777" w:rsidR="00A720EB" w:rsidRDefault="00A720EB">
            <w:pPr>
              <w:pStyle w:val="TableParagraph"/>
              <w:spacing w:before="0"/>
              <w:ind w:left="0"/>
              <w:rPr>
                <w:rFonts w:ascii="Times New Roman"/>
                <w:sz w:val="20"/>
              </w:rPr>
            </w:pPr>
          </w:p>
        </w:tc>
        <w:tc>
          <w:tcPr>
            <w:tcW w:w="4988" w:type="dxa"/>
          </w:tcPr>
          <w:p w14:paraId="00DA067C" w14:textId="77777777" w:rsidR="00A720EB" w:rsidRDefault="0030286B">
            <w:pPr>
              <w:pStyle w:val="TableParagraph"/>
              <w:spacing w:before="28" w:line="310" w:lineRule="atLeast"/>
              <w:ind w:right="640"/>
              <w:rPr>
                <w:rFonts w:ascii="Cambria"/>
                <w:sz w:val="21"/>
              </w:rPr>
            </w:pPr>
            <w:r>
              <w:rPr>
                <w:rFonts w:ascii="Cambria"/>
                <w:color w:val="333333"/>
                <w:w w:val="110"/>
                <w:sz w:val="21"/>
              </w:rPr>
              <w:t>Session timeout. If a duration suffix is not specified, seconds will be used.</w:t>
            </w:r>
          </w:p>
        </w:tc>
      </w:tr>
    </w:tbl>
    <w:p w14:paraId="3715557B" w14:textId="77777777" w:rsidR="00A720EB" w:rsidRDefault="00A720EB">
      <w:pPr>
        <w:pStyle w:val="a3"/>
        <w:spacing w:before="12"/>
        <w:rPr>
          <w:rFonts w:ascii="Palatino Linotype"/>
          <w:b/>
          <w:sz w:val="16"/>
        </w:rPr>
      </w:pPr>
    </w:p>
    <w:p w14:paraId="487D26FA" w14:textId="77777777" w:rsidR="00A720EB" w:rsidRDefault="0030286B">
      <w:pPr>
        <w:pStyle w:val="3"/>
        <w:numPr>
          <w:ilvl w:val="2"/>
          <w:numId w:val="9"/>
        </w:numPr>
        <w:tabs>
          <w:tab w:val="left" w:pos="1199"/>
        </w:tabs>
        <w:spacing w:before="105"/>
        <w:ind w:left="1198" w:hanging="1075"/>
      </w:pPr>
      <w:bookmarkStart w:id="1047" w:name="10.A.13._RSocket_properties"/>
      <w:bookmarkStart w:id="1048" w:name="_Toc54424041"/>
      <w:bookmarkEnd w:id="1047"/>
      <w:r>
        <w:rPr>
          <w:color w:val="333333"/>
          <w:w w:val="110"/>
        </w:rPr>
        <w:t>RSocket</w:t>
      </w:r>
      <w:r>
        <w:rPr>
          <w:color w:val="333333"/>
          <w:spacing w:val="-6"/>
          <w:w w:val="110"/>
        </w:rPr>
        <w:t xml:space="preserve"> </w:t>
      </w:r>
      <w:r>
        <w:rPr>
          <w:color w:val="333333"/>
          <w:w w:val="110"/>
        </w:rPr>
        <w:t>properties</w:t>
      </w:r>
      <w:bookmarkEnd w:id="1048"/>
    </w:p>
    <w:p w14:paraId="044D0FC1"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538EB3F" w14:textId="77777777">
        <w:trPr>
          <w:trHeight w:val="415"/>
        </w:trPr>
        <w:tc>
          <w:tcPr>
            <w:tcW w:w="2494" w:type="dxa"/>
            <w:tcBorders>
              <w:bottom w:val="single" w:sz="12" w:space="0" w:color="DDDDDD"/>
            </w:tcBorders>
          </w:tcPr>
          <w:p w14:paraId="1B6204CE"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1A5F1453"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C9B848D"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63F9C2AE" w14:textId="77777777">
        <w:trPr>
          <w:trHeight w:val="731"/>
        </w:trPr>
        <w:tc>
          <w:tcPr>
            <w:tcW w:w="2494" w:type="dxa"/>
            <w:tcBorders>
              <w:top w:val="single" w:sz="12" w:space="0" w:color="DDDDDD"/>
            </w:tcBorders>
          </w:tcPr>
          <w:p w14:paraId="73A57114" w14:textId="77777777" w:rsidR="00A720EB" w:rsidRDefault="0030286B">
            <w:pPr>
              <w:pStyle w:val="TableParagraph"/>
              <w:spacing w:before="39" w:line="230" w:lineRule="auto"/>
              <w:ind w:right="94"/>
              <w:rPr>
                <w:sz w:val="21"/>
              </w:rPr>
            </w:pPr>
            <w:proofErr w:type="gramStart"/>
            <w:r>
              <w:rPr>
                <w:color w:val="B02045"/>
                <w:sz w:val="21"/>
              </w:rPr>
              <w:t>spring.rsocket</w:t>
            </w:r>
            <w:proofErr w:type="gramEnd"/>
            <w:r>
              <w:rPr>
                <w:color w:val="B02045"/>
                <w:sz w:val="21"/>
              </w:rPr>
              <w:t>.server. address</w:t>
            </w:r>
          </w:p>
        </w:tc>
        <w:tc>
          <w:tcPr>
            <w:tcW w:w="2494" w:type="dxa"/>
            <w:tcBorders>
              <w:top w:val="single" w:sz="12" w:space="0" w:color="DDDDDD"/>
            </w:tcBorders>
          </w:tcPr>
          <w:p w14:paraId="2CEFF804"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0D0A6CBA" w14:textId="77777777" w:rsidR="00A720EB" w:rsidRDefault="0030286B">
            <w:pPr>
              <w:pStyle w:val="TableParagraph"/>
              <w:spacing w:before="21" w:line="310" w:lineRule="atLeast"/>
              <w:ind w:right="372"/>
              <w:rPr>
                <w:rFonts w:ascii="Cambria"/>
                <w:sz w:val="21"/>
              </w:rPr>
            </w:pPr>
            <w:r>
              <w:rPr>
                <w:rFonts w:ascii="Cambria"/>
                <w:color w:val="333333"/>
                <w:w w:val="110"/>
                <w:sz w:val="21"/>
              </w:rPr>
              <w:t>Network address to which the server should bind.</w:t>
            </w:r>
          </w:p>
        </w:tc>
      </w:tr>
      <w:tr w:rsidR="00A720EB" w14:paraId="03695B9D" w14:textId="77777777">
        <w:trPr>
          <w:trHeight w:val="741"/>
        </w:trPr>
        <w:tc>
          <w:tcPr>
            <w:tcW w:w="2494" w:type="dxa"/>
          </w:tcPr>
          <w:p w14:paraId="7FAE865E" w14:textId="77777777" w:rsidR="00A720EB" w:rsidRDefault="0030286B">
            <w:pPr>
              <w:pStyle w:val="TableParagraph"/>
              <w:spacing w:before="49" w:line="230" w:lineRule="auto"/>
              <w:ind w:right="113"/>
              <w:rPr>
                <w:sz w:val="21"/>
              </w:rPr>
            </w:pPr>
            <w:proofErr w:type="gramStart"/>
            <w:r>
              <w:rPr>
                <w:color w:val="B02045"/>
                <w:sz w:val="21"/>
              </w:rPr>
              <w:lastRenderedPageBreak/>
              <w:t>spring.rsocket</w:t>
            </w:r>
            <w:proofErr w:type="gramEnd"/>
            <w:r>
              <w:rPr>
                <w:color w:val="B02045"/>
                <w:sz w:val="21"/>
              </w:rPr>
              <w:t>.server. mapping-path</w:t>
            </w:r>
          </w:p>
        </w:tc>
        <w:tc>
          <w:tcPr>
            <w:tcW w:w="2494" w:type="dxa"/>
          </w:tcPr>
          <w:p w14:paraId="6565B956" w14:textId="77777777" w:rsidR="00A720EB" w:rsidRDefault="00A720EB">
            <w:pPr>
              <w:pStyle w:val="TableParagraph"/>
              <w:spacing w:before="0"/>
              <w:ind w:left="0"/>
              <w:rPr>
                <w:rFonts w:ascii="Times New Roman"/>
                <w:sz w:val="20"/>
              </w:rPr>
            </w:pPr>
          </w:p>
        </w:tc>
        <w:tc>
          <w:tcPr>
            <w:tcW w:w="4988" w:type="dxa"/>
          </w:tcPr>
          <w:p w14:paraId="0A83F562" w14:textId="77777777" w:rsidR="00A720EB" w:rsidRDefault="0030286B">
            <w:pPr>
              <w:pStyle w:val="TableParagraph"/>
              <w:spacing w:before="31" w:line="310" w:lineRule="atLeast"/>
              <w:ind w:right="372"/>
              <w:rPr>
                <w:rFonts w:ascii="Cambria"/>
                <w:sz w:val="21"/>
              </w:rPr>
            </w:pPr>
            <w:r>
              <w:rPr>
                <w:rFonts w:ascii="Cambria"/>
                <w:color w:val="333333"/>
                <w:w w:val="110"/>
                <w:sz w:val="21"/>
              </w:rPr>
              <w:t>Path under which RSocket handles requests (only works with websocket transport).</w:t>
            </w:r>
          </w:p>
        </w:tc>
      </w:tr>
    </w:tbl>
    <w:p w14:paraId="7BEC538C" w14:textId="77777777" w:rsidR="00A720EB" w:rsidRDefault="00A720EB">
      <w:pPr>
        <w:spacing w:line="310" w:lineRule="atLeast"/>
        <w:rPr>
          <w:sz w:val="21"/>
        </w:rPr>
        <w:sectPr w:rsidR="00A720EB">
          <w:pgSz w:w="11910" w:h="16840"/>
          <w:pgMar w:top="700" w:right="840" w:bottom="52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FE0C319" w14:textId="77777777">
        <w:trPr>
          <w:trHeight w:val="415"/>
        </w:trPr>
        <w:tc>
          <w:tcPr>
            <w:tcW w:w="2494" w:type="dxa"/>
            <w:tcBorders>
              <w:bottom w:val="single" w:sz="12" w:space="0" w:color="DDDDDD"/>
            </w:tcBorders>
          </w:tcPr>
          <w:p w14:paraId="344E26E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5386914"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023FE54"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7D6D0B8" w14:textId="77777777">
        <w:trPr>
          <w:trHeight w:val="617"/>
        </w:trPr>
        <w:tc>
          <w:tcPr>
            <w:tcW w:w="2494" w:type="dxa"/>
            <w:tcBorders>
              <w:top w:val="single" w:sz="12" w:space="0" w:color="DDDDDD"/>
            </w:tcBorders>
          </w:tcPr>
          <w:p w14:paraId="3CA93CBF" w14:textId="77777777" w:rsidR="00A720EB" w:rsidRDefault="0030286B">
            <w:pPr>
              <w:pStyle w:val="TableParagraph"/>
              <w:spacing w:before="36" w:line="230" w:lineRule="auto"/>
              <w:ind w:right="94"/>
              <w:rPr>
                <w:sz w:val="21"/>
              </w:rPr>
            </w:pPr>
            <w:proofErr w:type="gramStart"/>
            <w:r>
              <w:rPr>
                <w:color w:val="B02045"/>
                <w:sz w:val="21"/>
              </w:rPr>
              <w:t>spring.rsocket</w:t>
            </w:r>
            <w:proofErr w:type="gramEnd"/>
            <w:r>
              <w:rPr>
                <w:color w:val="B02045"/>
                <w:sz w:val="21"/>
              </w:rPr>
              <w:t>.server. port</w:t>
            </w:r>
          </w:p>
        </w:tc>
        <w:tc>
          <w:tcPr>
            <w:tcW w:w="2494" w:type="dxa"/>
            <w:tcBorders>
              <w:top w:val="single" w:sz="12" w:space="0" w:color="DDDDDD"/>
            </w:tcBorders>
          </w:tcPr>
          <w:p w14:paraId="438C3ABC"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75B625D8" w14:textId="77777777" w:rsidR="00A720EB" w:rsidRDefault="0030286B">
            <w:pPr>
              <w:pStyle w:val="TableParagraph"/>
              <w:spacing w:before="82"/>
              <w:rPr>
                <w:rFonts w:ascii="Cambria"/>
                <w:sz w:val="21"/>
              </w:rPr>
            </w:pPr>
            <w:r>
              <w:rPr>
                <w:rFonts w:ascii="Cambria"/>
                <w:color w:val="333333"/>
                <w:w w:val="110"/>
                <w:sz w:val="21"/>
              </w:rPr>
              <w:t>Server port.</w:t>
            </w:r>
          </w:p>
        </w:tc>
      </w:tr>
      <w:tr w:rsidR="00A720EB" w14:paraId="1FDA257E" w14:textId="77777777">
        <w:trPr>
          <w:trHeight w:val="627"/>
        </w:trPr>
        <w:tc>
          <w:tcPr>
            <w:tcW w:w="2494" w:type="dxa"/>
          </w:tcPr>
          <w:p w14:paraId="3712096C" w14:textId="77777777" w:rsidR="00A720EB" w:rsidRDefault="0030286B">
            <w:pPr>
              <w:pStyle w:val="TableParagraph"/>
              <w:spacing w:before="46" w:line="230" w:lineRule="auto"/>
              <w:ind w:right="94"/>
              <w:rPr>
                <w:sz w:val="21"/>
              </w:rPr>
            </w:pPr>
            <w:proofErr w:type="gramStart"/>
            <w:r>
              <w:rPr>
                <w:color w:val="B02045"/>
                <w:sz w:val="21"/>
              </w:rPr>
              <w:t>spring.rsocket</w:t>
            </w:r>
            <w:proofErr w:type="gramEnd"/>
            <w:r>
              <w:rPr>
                <w:color w:val="B02045"/>
                <w:sz w:val="21"/>
              </w:rPr>
              <w:t>.server. transport</w:t>
            </w:r>
          </w:p>
        </w:tc>
        <w:tc>
          <w:tcPr>
            <w:tcW w:w="2494" w:type="dxa"/>
          </w:tcPr>
          <w:p w14:paraId="4A004143" w14:textId="77777777" w:rsidR="00A720EB" w:rsidRDefault="0030286B">
            <w:pPr>
              <w:pStyle w:val="TableParagraph"/>
              <w:spacing w:before="37"/>
              <w:rPr>
                <w:sz w:val="21"/>
              </w:rPr>
            </w:pPr>
            <w:r>
              <w:rPr>
                <w:color w:val="B02045"/>
                <w:sz w:val="21"/>
              </w:rPr>
              <w:t>tcp</w:t>
            </w:r>
          </w:p>
        </w:tc>
        <w:tc>
          <w:tcPr>
            <w:tcW w:w="4988" w:type="dxa"/>
          </w:tcPr>
          <w:p w14:paraId="06D476B1" w14:textId="77777777" w:rsidR="00A720EB" w:rsidRDefault="0030286B">
            <w:pPr>
              <w:pStyle w:val="TableParagraph"/>
              <w:spacing w:before="92"/>
              <w:rPr>
                <w:rFonts w:ascii="Cambria"/>
                <w:sz w:val="21"/>
              </w:rPr>
            </w:pPr>
            <w:r>
              <w:rPr>
                <w:rFonts w:ascii="Cambria"/>
                <w:color w:val="333333"/>
                <w:w w:val="110"/>
                <w:sz w:val="21"/>
              </w:rPr>
              <w:t>RSocket transport protocol.</w:t>
            </w:r>
          </w:p>
        </w:tc>
      </w:tr>
    </w:tbl>
    <w:p w14:paraId="0EDD074D" w14:textId="77777777" w:rsidR="00A720EB" w:rsidRDefault="00A720EB">
      <w:pPr>
        <w:pStyle w:val="a3"/>
        <w:spacing w:before="12"/>
        <w:rPr>
          <w:rFonts w:ascii="Palatino Linotype"/>
          <w:b/>
          <w:sz w:val="16"/>
        </w:rPr>
      </w:pPr>
    </w:p>
    <w:p w14:paraId="506DD51C" w14:textId="77777777" w:rsidR="00A720EB" w:rsidRDefault="0030286B">
      <w:pPr>
        <w:pStyle w:val="3"/>
        <w:numPr>
          <w:ilvl w:val="2"/>
          <w:numId w:val="9"/>
        </w:numPr>
        <w:tabs>
          <w:tab w:val="left" w:pos="1199"/>
        </w:tabs>
        <w:spacing w:before="105"/>
        <w:ind w:left="1198" w:hanging="1075"/>
      </w:pPr>
      <w:bookmarkStart w:id="1049" w:name="10.A.14._Actuator_properties"/>
      <w:bookmarkStart w:id="1050" w:name="_Toc54424042"/>
      <w:bookmarkEnd w:id="1049"/>
      <w:r>
        <w:rPr>
          <w:color w:val="333333"/>
          <w:w w:val="115"/>
        </w:rPr>
        <w:t>Actuator</w:t>
      </w:r>
      <w:r>
        <w:rPr>
          <w:color w:val="333333"/>
          <w:spacing w:val="-10"/>
          <w:w w:val="115"/>
        </w:rPr>
        <w:t xml:space="preserve"> </w:t>
      </w:r>
      <w:r>
        <w:rPr>
          <w:color w:val="333333"/>
          <w:w w:val="115"/>
        </w:rPr>
        <w:t>properties</w:t>
      </w:r>
      <w:bookmarkEnd w:id="1050"/>
    </w:p>
    <w:p w14:paraId="20957F98"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EDF26A9" w14:textId="77777777">
        <w:trPr>
          <w:trHeight w:val="415"/>
        </w:trPr>
        <w:tc>
          <w:tcPr>
            <w:tcW w:w="2494" w:type="dxa"/>
            <w:tcBorders>
              <w:bottom w:val="single" w:sz="12" w:space="0" w:color="DDDDDD"/>
            </w:tcBorders>
          </w:tcPr>
          <w:p w14:paraId="224CBDB1"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7515F01C"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5A966F1"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291D6D0B" w14:textId="77777777">
        <w:trPr>
          <w:trHeight w:val="617"/>
        </w:trPr>
        <w:tc>
          <w:tcPr>
            <w:tcW w:w="2494" w:type="dxa"/>
            <w:tcBorders>
              <w:top w:val="single" w:sz="12" w:space="0" w:color="DDDDDD"/>
            </w:tcBorders>
          </w:tcPr>
          <w:p w14:paraId="41DAE594" w14:textId="77777777" w:rsidR="00A720EB" w:rsidRDefault="0030286B">
            <w:pPr>
              <w:pStyle w:val="TableParagraph"/>
              <w:spacing w:before="30" w:line="264" w:lineRule="exact"/>
              <w:rPr>
                <w:sz w:val="21"/>
              </w:rPr>
            </w:pPr>
            <w:proofErr w:type="gramStart"/>
            <w:r>
              <w:rPr>
                <w:color w:val="B02045"/>
                <w:sz w:val="21"/>
              </w:rPr>
              <w:t>management.auditevents</w:t>
            </w:r>
            <w:proofErr w:type="gramEnd"/>
          </w:p>
          <w:p w14:paraId="05A643D9" w14:textId="77777777" w:rsidR="00A720EB" w:rsidRDefault="0030286B">
            <w:pPr>
              <w:pStyle w:val="TableParagraph"/>
              <w:spacing w:before="0" w:line="264" w:lineRule="exact"/>
              <w:rPr>
                <w:sz w:val="21"/>
              </w:rPr>
            </w:pPr>
            <w:proofErr w:type="gramStart"/>
            <w:r>
              <w:rPr>
                <w:color w:val="B02045"/>
                <w:sz w:val="21"/>
              </w:rPr>
              <w:t>.enabled</w:t>
            </w:r>
            <w:proofErr w:type="gramEnd"/>
          </w:p>
        </w:tc>
        <w:tc>
          <w:tcPr>
            <w:tcW w:w="2494" w:type="dxa"/>
            <w:tcBorders>
              <w:top w:val="single" w:sz="12" w:space="0" w:color="DDDDDD"/>
            </w:tcBorders>
          </w:tcPr>
          <w:p w14:paraId="56859095" w14:textId="77777777" w:rsidR="00A720EB" w:rsidRDefault="0030286B">
            <w:pPr>
              <w:pStyle w:val="TableParagraph"/>
              <w:spacing w:before="30"/>
              <w:rPr>
                <w:sz w:val="21"/>
              </w:rPr>
            </w:pPr>
            <w:r>
              <w:rPr>
                <w:color w:val="B02045"/>
                <w:sz w:val="21"/>
              </w:rPr>
              <w:t>true</w:t>
            </w:r>
          </w:p>
        </w:tc>
        <w:tc>
          <w:tcPr>
            <w:tcW w:w="4988" w:type="dxa"/>
            <w:tcBorders>
              <w:top w:val="single" w:sz="12" w:space="0" w:color="DDDDDD"/>
            </w:tcBorders>
          </w:tcPr>
          <w:p w14:paraId="5D08792C" w14:textId="77777777" w:rsidR="00A720EB" w:rsidRDefault="0030286B">
            <w:pPr>
              <w:pStyle w:val="TableParagraph"/>
              <w:spacing w:before="84"/>
              <w:rPr>
                <w:rFonts w:ascii="Cambria"/>
                <w:sz w:val="21"/>
              </w:rPr>
            </w:pPr>
            <w:r>
              <w:rPr>
                <w:rFonts w:ascii="Cambria"/>
                <w:color w:val="333333"/>
                <w:w w:val="110"/>
                <w:sz w:val="21"/>
              </w:rPr>
              <w:t>Whether to enable storage of audit events.</w:t>
            </w:r>
          </w:p>
        </w:tc>
      </w:tr>
      <w:tr w:rsidR="00A720EB" w14:paraId="37B9F996" w14:textId="77777777">
        <w:trPr>
          <w:trHeight w:val="741"/>
        </w:trPr>
        <w:tc>
          <w:tcPr>
            <w:tcW w:w="2494" w:type="dxa"/>
          </w:tcPr>
          <w:p w14:paraId="68ED1397" w14:textId="77777777" w:rsidR="00A720EB" w:rsidRDefault="0030286B">
            <w:pPr>
              <w:pStyle w:val="TableParagraph"/>
              <w:spacing w:before="49" w:line="230" w:lineRule="auto"/>
              <w:ind w:right="94"/>
              <w:rPr>
                <w:sz w:val="21"/>
              </w:rPr>
            </w:pPr>
            <w:proofErr w:type="gramStart"/>
            <w:r>
              <w:rPr>
                <w:color w:val="B02045"/>
                <w:sz w:val="21"/>
              </w:rPr>
              <w:t>management.cloudfoundr</w:t>
            </w:r>
            <w:proofErr w:type="gramEnd"/>
            <w:r>
              <w:rPr>
                <w:color w:val="B02045"/>
                <w:sz w:val="21"/>
              </w:rPr>
              <w:t xml:space="preserve"> y.enabled</w:t>
            </w:r>
          </w:p>
        </w:tc>
        <w:tc>
          <w:tcPr>
            <w:tcW w:w="2494" w:type="dxa"/>
          </w:tcPr>
          <w:p w14:paraId="6A156477" w14:textId="77777777" w:rsidR="00A720EB" w:rsidRDefault="0030286B">
            <w:pPr>
              <w:pStyle w:val="TableParagraph"/>
              <w:spacing w:before="40"/>
              <w:rPr>
                <w:sz w:val="21"/>
              </w:rPr>
            </w:pPr>
            <w:r>
              <w:rPr>
                <w:color w:val="B02045"/>
                <w:sz w:val="21"/>
              </w:rPr>
              <w:t>true</w:t>
            </w:r>
          </w:p>
        </w:tc>
        <w:tc>
          <w:tcPr>
            <w:tcW w:w="4988" w:type="dxa"/>
          </w:tcPr>
          <w:p w14:paraId="51BC168D" w14:textId="77777777" w:rsidR="00A720EB" w:rsidRDefault="0030286B">
            <w:pPr>
              <w:pStyle w:val="TableParagraph"/>
              <w:spacing w:before="31" w:line="310" w:lineRule="atLeast"/>
              <w:rPr>
                <w:rFonts w:ascii="Cambria"/>
                <w:sz w:val="21"/>
              </w:rPr>
            </w:pPr>
            <w:r>
              <w:rPr>
                <w:rFonts w:ascii="Cambria"/>
                <w:color w:val="333333"/>
                <w:w w:val="110"/>
                <w:sz w:val="21"/>
              </w:rPr>
              <w:t>Whether to enable extended Cloud Foundry actuator endpoints.</w:t>
            </w:r>
          </w:p>
        </w:tc>
      </w:tr>
      <w:tr w:rsidR="00A720EB" w14:paraId="4AC3F858" w14:textId="77777777">
        <w:trPr>
          <w:trHeight w:val="741"/>
        </w:trPr>
        <w:tc>
          <w:tcPr>
            <w:tcW w:w="2494" w:type="dxa"/>
          </w:tcPr>
          <w:p w14:paraId="74A8CB93" w14:textId="77777777" w:rsidR="00A720EB" w:rsidRDefault="0030286B">
            <w:pPr>
              <w:pStyle w:val="TableParagraph"/>
              <w:spacing w:before="49" w:line="230" w:lineRule="auto"/>
              <w:ind w:right="113"/>
              <w:rPr>
                <w:sz w:val="21"/>
              </w:rPr>
            </w:pPr>
            <w:proofErr w:type="gramStart"/>
            <w:r>
              <w:rPr>
                <w:color w:val="B02045"/>
                <w:sz w:val="21"/>
              </w:rPr>
              <w:t>management.cloudfoundr</w:t>
            </w:r>
            <w:proofErr w:type="gramEnd"/>
            <w:r>
              <w:rPr>
                <w:color w:val="B02045"/>
                <w:sz w:val="21"/>
              </w:rPr>
              <w:t xml:space="preserve"> y.skip-ssl-validation</w:t>
            </w:r>
          </w:p>
        </w:tc>
        <w:tc>
          <w:tcPr>
            <w:tcW w:w="2494" w:type="dxa"/>
          </w:tcPr>
          <w:p w14:paraId="0A96CFAD" w14:textId="77777777" w:rsidR="00A720EB" w:rsidRDefault="0030286B">
            <w:pPr>
              <w:pStyle w:val="TableParagraph"/>
              <w:spacing w:before="40"/>
              <w:rPr>
                <w:sz w:val="21"/>
              </w:rPr>
            </w:pPr>
            <w:r>
              <w:rPr>
                <w:color w:val="B02045"/>
                <w:sz w:val="21"/>
              </w:rPr>
              <w:t>false</w:t>
            </w:r>
          </w:p>
        </w:tc>
        <w:tc>
          <w:tcPr>
            <w:tcW w:w="4988" w:type="dxa"/>
          </w:tcPr>
          <w:p w14:paraId="56A9CA55" w14:textId="77777777" w:rsidR="00A720EB" w:rsidRDefault="0030286B">
            <w:pPr>
              <w:pStyle w:val="TableParagraph"/>
              <w:spacing w:before="31" w:line="310" w:lineRule="atLeast"/>
              <w:rPr>
                <w:rFonts w:ascii="Cambria"/>
                <w:sz w:val="21"/>
              </w:rPr>
            </w:pPr>
            <w:r>
              <w:rPr>
                <w:rFonts w:ascii="Cambria"/>
                <w:color w:val="333333"/>
                <w:w w:val="110"/>
                <w:sz w:val="21"/>
              </w:rPr>
              <w:t>Whether to skip SSL verification for Cloud Foundry actuator endpoint security calls.</w:t>
            </w:r>
          </w:p>
        </w:tc>
      </w:tr>
      <w:tr w:rsidR="00A720EB" w14:paraId="15403013" w14:textId="77777777">
        <w:trPr>
          <w:trHeight w:val="886"/>
        </w:trPr>
        <w:tc>
          <w:tcPr>
            <w:tcW w:w="2494" w:type="dxa"/>
          </w:tcPr>
          <w:p w14:paraId="5B1B1D29" w14:textId="77777777" w:rsidR="00A720EB" w:rsidRDefault="0030286B">
            <w:pPr>
              <w:pStyle w:val="TableParagraph"/>
              <w:spacing w:before="49" w:line="230" w:lineRule="auto"/>
              <w:ind w:right="113"/>
              <w:rPr>
                <w:sz w:val="21"/>
              </w:rPr>
            </w:pPr>
            <w:r>
              <w:rPr>
                <w:color w:val="B02045"/>
                <w:sz w:val="21"/>
              </w:rPr>
              <w:t xml:space="preserve">management.endpoint.au </w:t>
            </w:r>
            <w:proofErr w:type="gramStart"/>
            <w:r>
              <w:rPr>
                <w:color w:val="B02045"/>
                <w:sz w:val="21"/>
              </w:rPr>
              <w:t>ditevents.cache</w:t>
            </w:r>
            <w:proofErr w:type="gramEnd"/>
            <w:r>
              <w:rPr>
                <w:color w:val="B02045"/>
                <w:sz w:val="21"/>
              </w:rPr>
              <w:t>.time- to-live</w:t>
            </w:r>
          </w:p>
        </w:tc>
        <w:tc>
          <w:tcPr>
            <w:tcW w:w="2494" w:type="dxa"/>
          </w:tcPr>
          <w:p w14:paraId="3A3A9BE4" w14:textId="77777777" w:rsidR="00A720EB" w:rsidRDefault="0030286B">
            <w:pPr>
              <w:pStyle w:val="TableParagraph"/>
              <w:spacing w:before="40"/>
              <w:rPr>
                <w:sz w:val="21"/>
              </w:rPr>
            </w:pPr>
            <w:r>
              <w:rPr>
                <w:color w:val="B02045"/>
                <w:sz w:val="21"/>
              </w:rPr>
              <w:t>0ms</w:t>
            </w:r>
          </w:p>
        </w:tc>
        <w:tc>
          <w:tcPr>
            <w:tcW w:w="4988" w:type="dxa"/>
          </w:tcPr>
          <w:p w14:paraId="757B462D" w14:textId="77777777" w:rsidR="00A720EB" w:rsidRDefault="0030286B">
            <w:pPr>
              <w:pStyle w:val="TableParagraph"/>
              <w:spacing w:before="94"/>
              <w:rPr>
                <w:rFonts w:ascii="Cambria"/>
                <w:sz w:val="21"/>
              </w:rPr>
            </w:pPr>
            <w:r>
              <w:rPr>
                <w:rFonts w:ascii="Cambria"/>
                <w:color w:val="333333"/>
                <w:w w:val="115"/>
                <w:sz w:val="21"/>
              </w:rPr>
              <w:t>Maximum time that a response can be cached.</w:t>
            </w:r>
          </w:p>
        </w:tc>
      </w:tr>
      <w:tr w:rsidR="00A720EB" w14:paraId="19E59390" w14:textId="77777777">
        <w:trPr>
          <w:trHeight w:val="627"/>
        </w:trPr>
        <w:tc>
          <w:tcPr>
            <w:tcW w:w="2494" w:type="dxa"/>
          </w:tcPr>
          <w:p w14:paraId="5A8108F7" w14:textId="77777777" w:rsidR="00A720EB" w:rsidRDefault="0030286B">
            <w:pPr>
              <w:pStyle w:val="TableParagraph"/>
              <w:spacing w:before="49" w:line="230" w:lineRule="auto"/>
              <w:ind w:right="94"/>
              <w:rPr>
                <w:sz w:val="21"/>
              </w:rPr>
            </w:pPr>
            <w:r>
              <w:rPr>
                <w:color w:val="B02045"/>
                <w:sz w:val="21"/>
              </w:rPr>
              <w:t xml:space="preserve">management.endpoint.au </w:t>
            </w:r>
            <w:proofErr w:type="gramStart"/>
            <w:r>
              <w:rPr>
                <w:color w:val="B02045"/>
                <w:sz w:val="21"/>
              </w:rPr>
              <w:t>ditevents.enabled</w:t>
            </w:r>
            <w:proofErr w:type="gramEnd"/>
          </w:p>
        </w:tc>
        <w:tc>
          <w:tcPr>
            <w:tcW w:w="2494" w:type="dxa"/>
          </w:tcPr>
          <w:p w14:paraId="2341D12F" w14:textId="77777777" w:rsidR="00A720EB" w:rsidRDefault="0030286B">
            <w:pPr>
              <w:pStyle w:val="TableParagraph"/>
              <w:spacing w:before="40"/>
              <w:rPr>
                <w:sz w:val="21"/>
              </w:rPr>
            </w:pPr>
            <w:r>
              <w:rPr>
                <w:color w:val="B02045"/>
                <w:sz w:val="21"/>
              </w:rPr>
              <w:t>true</w:t>
            </w:r>
          </w:p>
        </w:tc>
        <w:tc>
          <w:tcPr>
            <w:tcW w:w="4988" w:type="dxa"/>
          </w:tcPr>
          <w:p w14:paraId="2F02CFAB" w14:textId="77777777" w:rsidR="00A720EB" w:rsidRDefault="0030286B">
            <w:pPr>
              <w:pStyle w:val="TableParagraph"/>
              <w:spacing w:before="94"/>
              <w:rPr>
                <w:rFonts w:ascii="Cambria"/>
                <w:sz w:val="21"/>
              </w:rPr>
            </w:pPr>
            <w:r>
              <w:rPr>
                <w:rFonts w:ascii="Cambria"/>
                <w:color w:val="333333"/>
                <w:w w:val="110"/>
                <w:sz w:val="21"/>
              </w:rPr>
              <w:t>Whether to enable the auditevents endpoint.</w:t>
            </w:r>
          </w:p>
        </w:tc>
      </w:tr>
      <w:tr w:rsidR="00A720EB" w14:paraId="10304B73" w14:textId="77777777">
        <w:trPr>
          <w:trHeight w:val="627"/>
        </w:trPr>
        <w:tc>
          <w:tcPr>
            <w:tcW w:w="2494" w:type="dxa"/>
          </w:tcPr>
          <w:p w14:paraId="175AB6E2" w14:textId="77777777" w:rsidR="00A720EB" w:rsidRDefault="0030286B">
            <w:pPr>
              <w:pStyle w:val="TableParagraph"/>
              <w:spacing w:before="49" w:line="230" w:lineRule="auto"/>
              <w:ind w:right="113"/>
              <w:rPr>
                <w:sz w:val="21"/>
              </w:rPr>
            </w:pPr>
            <w:r>
              <w:rPr>
                <w:color w:val="B02045"/>
                <w:sz w:val="21"/>
              </w:rPr>
              <w:t xml:space="preserve">management.endpoint.be </w:t>
            </w:r>
            <w:proofErr w:type="gramStart"/>
            <w:r>
              <w:rPr>
                <w:color w:val="B02045"/>
                <w:sz w:val="21"/>
              </w:rPr>
              <w:t>ans.cache</w:t>
            </w:r>
            <w:proofErr w:type="gramEnd"/>
            <w:r>
              <w:rPr>
                <w:color w:val="B02045"/>
                <w:sz w:val="21"/>
              </w:rPr>
              <w:t>.time-to-live</w:t>
            </w:r>
          </w:p>
        </w:tc>
        <w:tc>
          <w:tcPr>
            <w:tcW w:w="2494" w:type="dxa"/>
          </w:tcPr>
          <w:p w14:paraId="0E26BF17" w14:textId="77777777" w:rsidR="00A720EB" w:rsidRDefault="0030286B">
            <w:pPr>
              <w:pStyle w:val="TableParagraph"/>
              <w:spacing w:before="40"/>
              <w:rPr>
                <w:sz w:val="21"/>
              </w:rPr>
            </w:pPr>
            <w:r>
              <w:rPr>
                <w:color w:val="B02045"/>
                <w:sz w:val="21"/>
              </w:rPr>
              <w:t>0ms</w:t>
            </w:r>
          </w:p>
        </w:tc>
        <w:tc>
          <w:tcPr>
            <w:tcW w:w="4988" w:type="dxa"/>
          </w:tcPr>
          <w:p w14:paraId="7F7D97AA" w14:textId="77777777" w:rsidR="00A720EB" w:rsidRDefault="0030286B">
            <w:pPr>
              <w:pStyle w:val="TableParagraph"/>
              <w:spacing w:before="94"/>
              <w:rPr>
                <w:rFonts w:ascii="Cambria"/>
                <w:sz w:val="21"/>
              </w:rPr>
            </w:pPr>
            <w:r>
              <w:rPr>
                <w:rFonts w:ascii="Cambria"/>
                <w:color w:val="333333"/>
                <w:w w:val="115"/>
                <w:sz w:val="21"/>
              </w:rPr>
              <w:t>Maximum time that a response can be cached.</w:t>
            </w:r>
          </w:p>
        </w:tc>
      </w:tr>
      <w:tr w:rsidR="00A720EB" w14:paraId="29EDCDAC" w14:textId="77777777">
        <w:trPr>
          <w:trHeight w:val="627"/>
        </w:trPr>
        <w:tc>
          <w:tcPr>
            <w:tcW w:w="2494" w:type="dxa"/>
          </w:tcPr>
          <w:p w14:paraId="27CB2377" w14:textId="77777777" w:rsidR="00A720EB" w:rsidRDefault="0030286B">
            <w:pPr>
              <w:pStyle w:val="TableParagraph"/>
              <w:spacing w:before="49" w:line="230" w:lineRule="auto"/>
              <w:ind w:right="94"/>
              <w:rPr>
                <w:sz w:val="21"/>
              </w:rPr>
            </w:pPr>
            <w:r>
              <w:rPr>
                <w:color w:val="B02045"/>
                <w:sz w:val="21"/>
              </w:rPr>
              <w:t xml:space="preserve">management.endpoint.be </w:t>
            </w:r>
            <w:proofErr w:type="gramStart"/>
            <w:r>
              <w:rPr>
                <w:color w:val="B02045"/>
                <w:sz w:val="21"/>
              </w:rPr>
              <w:t>ans.enabled</w:t>
            </w:r>
            <w:proofErr w:type="gramEnd"/>
          </w:p>
        </w:tc>
        <w:tc>
          <w:tcPr>
            <w:tcW w:w="2494" w:type="dxa"/>
          </w:tcPr>
          <w:p w14:paraId="371C57E9" w14:textId="77777777" w:rsidR="00A720EB" w:rsidRDefault="0030286B">
            <w:pPr>
              <w:pStyle w:val="TableParagraph"/>
              <w:spacing w:before="40"/>
              <w:rPr>
                <w:sz w:val="21"/>
              </w:rPr>
            </w:pPr>
            <w:r>
              <w:rPr>
                <w:color w:val="B02045"/>
                <w:sz w:val="21"/>
              </w:rPr>
              <w:t>true</w:t>
            </w:r>
          </w:p>
        </w:tc>
        <w:tc>
          <w:tcPr>
            <w:tcW w:w="4988" w:type="dxa"/>
          </w:tcPr>
          <w:p w14:paraId="55654AA7" w14:textId="77777777" w:rsidR="00A720EB" w:rsidRDefault="0030286B">
            <w:pPr>
              <w:pStyle w:val="TableParagraph"/>
              <w:spacing w:before="94"/>
              <w:rPr>
                <w:rFonts w:ascii="Cambria"/>
                <w:sz w:val="21"/>
              </w:rPr>
            </w:pPr>
            <w:r>
              <w:rPr>
                <w:rFonts w:ascii="Cambria"/>
                <w:color w:val="333333"/>
                <w:w w:val="110"/>
                <w:sz w:val="21"/>
              </w:rPr>
              <w:t>Whether to enable the beans endpoint.</w:t>
            </w:r>
          </w:p>
        </w:tc>
      </w:tr>
      <w:tr w:rsidR="00A720EB" w14:paraId="218FC2D0" w14:textId="77777777">
        <w:trPr>
          <w:trHeight w:val="886"/>
        </w:trPr>
        <w:tc>
          <w:tcPr>
            <w:tcW w:w="2494" w:type="dxa"/>
          </w:tcPr>
          <w:p w14:paraId="22F813A2" w14:textId="77777777" w:rsidR="00A720EB" w:rsidRDefault="0030286B">
            <w:pPr>
              <w:pStyle w:val="TableParagraph"/>
              <w:spacing w:before="49" w:line="230" w:lineRule="auto"/>
              <w:ind w:right="113"/>
              <w:rPr>
                <w:sz w:val="21"/>
              </w:rPr>
            </w:pPr>
            <w:r>
              <w:rPr>
                <w:color w:val="B02045"/>
                <w:sz w:val="21"/>
              </w:rPr>
              <w:t xml:space="preserve">management.endpoint.ca </w:t>
            </w:r>
            <w:proofErr w:type="gramStart"/>
            <w:r>
              <w:rPr>
                <w:color w:val="B02045"/>
                <w:sz w:val="21"/>
              </w:rPr>
              <w:t>ches.cache</w:t>
            </w:r>
            <w:proofErr w:type="gramEnd"/>
            <w:r>
              <w:rPr>
                <w:color w:val="B02045"/>
                <w:sz w:val="21"/>
              </w:rPr>
              <w:t>.time-to- live</w:t>
            </w:r>
          </w:p>
        </w:tc>
        <w:tc>
          <w:tcPr>
            <w:tcW w:w="2494" w:type="dxa"/>
          </w:tcPr>
          <w:p w14:paraId="2215E0A8" w14:textId="77777777" w:rsidR="00A720EB" w:rsidRDefault="0030286B">
            <w:pPr>
              <w:pStyle w:val="TableParagraph"/>
              <w:spacing w:before="40"/>
              <w:rPr>
                <w:sz w:val="21"/>
              </w:rPr>
            </w:pPr>
            <w:r>
              <w:rPr>
                <w:color w:val="B02045"/>
                <w:sz w:val="21"/>
              </w:rPr>
              <w:t>0ms</w:t>
            </w:r>
          </w:p>
        </w:tc>
        <w:tc>
          <w:tcPr>
            <w:tcW w:w="4988" w:type="dxa"/>
          </w:tcPr>
          <w:p w14:paraId="3C58465A" w14:textId="77777777" w:rsidR="00A720EB" w:rsidRDefault="0030286B">
            <w:pPr>
              <w:pStyle w:val="TableParagraph"/>
              <w:spacing w:before="94"/>
              <w:rPr>
                <w:rFonts w:ascii="Cambria"/>
                <w:sz w:val="21"/>
              </w:rPr>
            </w:pPr>
            <w:r>
              <w:rPr>
                <w:rFonts w:ascii="Cambria"/>
                <w:color w:val="333333"/>
                <w:w w:val="115"/>
                <w:sz w:val="21"/>
              </w:rPr>
              <w:t>Maximum time that a response can be cached.</w:t>
            </w:r>
          </w:p>
        </w:tc>
      </w:tr>
      <w:tr w:rsidR="00A720EB" w14:paraId="73F3880E" w14:textId="77777777">
        <w:trPr>
          <w:trHeight w:val="627"/>
        </w:trPr>
        <w:tc>
          <w:tcPr>
            <w:tcW w:w="2494" w:type="dxa"/>
          </w:tcPr>
          <w:p w14:paraId="2331706B" w14:textId="77777777" w:rsidR="00A720EB" w:rsidRDefault="0030286B">
            <w:pPr>
              <w:pStyle w:val="TableParagraph"/>
              <w:spacing w:before="49" w:line="230" w:lineRule="auto"/>
              <w:ind w:right="94"/>
              <w:rPr>
                <w:sz w:val="21"/>
              </w:rPr>
            </w:pPr>
            <w:r>
              <w:rPr>
                <w:color w:val="B02045"/>
                <w:sz w:val="21"/>
              </w:rPr>
              <w:t xml:space="preserve">management.endpoint.ca </w:t>
            </w:r>
            <w:proofErr w:type="gramStart"/>
            <w:r>
              <w:rPr>
                <w:color w:val="B02045"/>
                <w:sz w:val="21"/>
              </w:rPr>
              <w:t>ches.enabled</w:t>
            </w:r>
            <w:proofErr w:type="gramEnd"/>
          </w:p>
        </w:tc>
        <w:tc>
          <w:tcPr>
            <w:tcW w:w="2494" w:type="dxa"/>
          </w:tcPr>
          <w:p w14:paraId="3AB27DF5" w14:textId="77777777" w:rsidR="00A720EB" w:rsidRDefault="0030286B">
            <w:pPr>
              <w:pStyle w:val="TableParagraph"/>
              <w:spacing w:before="40"/>
              <w:rPr>
                <w:sz w:val="21"/>
              </w:rPr>
            </w:pPr>
            <w:r>
              <w:rPr>
                <w:color w:val="B02045"/>
                <w:sz w:val="21"/>
              </w:rPr>
              <w:t>true</w:t>
            </w:r>
          </w:p>
        </w:tc>
        <w:tc>
          <w:tcPr>
            <w:tcW w:w="4988" w:type="dxa"/>
          </w:tcPr>
          <w:p w14:paraId="6C96E59C" w14:textId="77777777" w:rsidR="00A720EB" w:rsidRDefault="0030286B">
            <w:pPr>
              <w:pStyle w:val="TableParagraph"/>
              <w:spacing w:before="94"/>
              <w:rPr>
                <w:rFonts w:ascii="Cambria"/>
                <w:sz w:val="21"/>
              </w:rPr>
            </w:pPr>
            <w:r>
              <w:rPr>
                <w:rFonts w:ascii="Cambria"/>
                <w:color w:val="333333"/>
                <w:w w:val="110"/>
                <w:sz w:val="21"/>
              </w:rPr>
              <w:t>Whether to enable the caches endpoint.</w:t>
            </w:r>
          </w:p>
        </w:tc>
      </w:tr>
      <w:tr w:rsidR="00A720EB" w14:paraId="7FD7BB45" w14:textId="77777777">
        <w:trPr>
          <w:trHeight w:val="886"/>
        </w:trPr>
        <w:tc>
          <w:tcPr>
            <w:tcW w:w="2494" w:type="dxa"/>
          </w:tcPr>
          <w:p w14:paraId="60B780FD" w14:textId="77777777" w:rsidR="00A720EB" w:rsidRDefault="0030286B">
            <w:pPr>
              <w:pStyle w:val="TableParagraph"/>
              <w:spacing w:before="49" w:line="230" w:lineRule="auto"/>
              <w:ind w:right="113"/>
              <w:rPr>
                <w:sz w:val="21"/>
              </w:rPr>
            </w:pPr>
            <w:r>
              <w:rPr>
                <w:color w:val="B02045"/>
                <w:sz w:val="21"/>
              </w:rPr>
              <w:t xml:space="preserve">management.endpoint.co </w:t>
            </w:r>
            <w:proofErr w:type="gramStart"/>
            <w:r>
              <w:rPr>
                <w:color w:val="B02045"/>
                <w:sz w:val="21"/>
              </w:rPr>
              <w:t>nditions.cache</w:t>
            </w:r>
            <w:proofErr w:type="gramEnd"/>
            <w:r>
              <w:rPr>
                <w:color w:val="B02045"/>
                <w:sz w:val="21"/>
              </w:rPr>
              <w:t>.time- to-live</w:t>
            </w:r>
          </w:p>
        </w:tc>
        <w:tc>
          <w:tcPr>
            <w:tcW w:w="2494" w:type="dxa"/>
          </w:tcPr>
          <w:p w14:paraId="7ADC4625" w14:textId="77777777" w:rsidR="00A720EB" w:rsidRDefault="0030286B">
            <w:pPr>
              <w:pStyle w:val="TableParagraph"/>
              <w:spacing w:before="40"/>
              <w:rPr>
                <w:sz w:val="21"/>
              </w:rPr>
            </w:pPr>
            <w:r>
              <w:rPr>
                <w:color w:val="B02045"/>
                <w:sz w:val="21"/>
              </w:rPr>
              <w:t>0ms</w:t>
            </w:r>
          </w:p>
        </w:tc>
        <w:tc>
          <w:tcPr>
            <w:tcW w:w="4988" w:type="dxa"/>
          </w:tcPr>
          <w:p w14:paraId="6F7BEA48" w14:textId="77777777" w:rsidR="00A720EB" w:rsidRDefault="0030286B">
            <w:pPr>
              <w:pStyle w:val="TableParagraph"/>
              <w:spacing w:before="94"/>
              <w:rPr>
                <w:rFonts w:ascii="Cambria"/>
                <w:sz w:val="21"/>
              </w:rPr>
            </w:pPr>
            <w:r>
              <w:rPr>
                <w:rFonts w:ascii="Cambria"/>
                <w:color w:val="333333"/>
                <w:w w:val="115"/>
                <w:sz w:val="21"/>
              </w:rPr>
              <w:t>Maximum time that a response can be cached.</w:t>
            </w:r>
          </w:p>
        </w:tc>
      </w:tr>
      <w:tr w:rsidR="00A720EB" w14:paraId="368E13C5" w14:textId="77777777">
        <w:trPr>
          <w:trHeight w:val="627"/>
        </w:trPr>
        <w:tc>
          <w:tcPr>
            <w:tcW w:w="2494" w:type="dxa"/>
          </w:tcPr>
          <w:p w14:paraId="123854A8" w14:textId="77777777" w:rsidR="00A720EB" w:rsidRDefault="0030286B">
            <w:pPr>
              <w:pStyle w:val="TableParagraph"/>
              <w:spacing w:before="49" w:line="230" w:lineRule="auto"/>
              <w:ind w:right="94"/>
              <w:rPr>
                <w:sz w:val="21"/>
              </w:rPr>
            </w:pPr>
            <w:r>
              <w:rPr>
                <w:color w:val="B02045"/>
                <w:sz w:val="21"/>
              </w:rPr>
              <w:t xml:space="preserve">management.endpoint.co </w:t>
            </w:r>
            <w:proofErr w:type="gramStart"/>
            <w:r>
              <w:rPr>
                <w:color w:val="B02045"/>
                <w:sz w:val="21"/>
              </w:rPr>
              <w:t>nditions.enabled</w:t>
            </w:r>
            <w:proofErr w:type="gramEnd"/>
          </w:p>
        </w:tc>
        <w:tc>
          <w:tcPr>
            <w:tcW w:w="2494" w:type="dxa"/>
          </w:tcPr>
          <w:p w14:paraId="16147DFC" w14:textId="77777777" w:rsidR="00A720EB" w:rsidRDefault="0030286B">
            <w:pPr>
              <w:pStyle w:val="TableParagraph"/>
              <w:spacing w:before="40"/>
              <w:rPr>
                <w:sz w:val="21"/>
              </w:rPr>
            </w:pPr>
            <w:r>
              <w:rPr>
                <w:color w:val="B02045"/>
                <w:sz w:val="21"/>
              </w:rPr>
              <w:t>true</w:t>
            </w:r>
          </w:p>
        </w:tc>
        <w:tc>
          <w:tcPr>
            <w:tcW w:w="4988" w:type="dxa"/>
          </w:tcPr>
          <w:p w14:paraId="2B31F4EE" w14:textId="77777777" w:rsidR="00A720EB" w:rsidRDefault="0030286B">
            <w:pPr>
              <w:pStyle w:val="TableParagraph"/>
              <w:spacing w:before="94"/>
              <w:rPr>
                <w:rFonts w:ascii="Cambria"/>
                <w:sz w:val="21"/>
              </w:rPr>
            </w:pPr>
            <w:r>
              <w:rPr>
                <w:rFonts w:ascii="Cambria"/>
                <w:color w:val="333333"/>
                <w:w w:val="110"/>
                <w:sz w:val="21"/>
              </w:rPr>
              <w:t>Whether to enable the conditions endpoint.</w:t>
            </w:r>
          </w:p>
        </w:tc>
      </w:tr>
      <w:tr w:rsidR="00A720EB" w14:paraId="2C93AD75" w14:textId="77777777">
        <w:trPr>
          <w:trHeight w:val="886"/>
        </w:trPr>
        <w:tc>
          <w:tcPr>
            <w:tcW w:w="2494" w:type="dxa"/>
          </w:tcPr>
          <w:p w14:paraId="03994715" w14:textId="77777777" w:rsidR="00A720EB" w:rsidRDefault="0030286B">
            <w:pPr>
              <w:pStyle w:val="TableParagraph"/>
              <w:spacing w:before="49" w:line="230" w:lineRule="auto"/>
              <w:ind w:right="113"/>
              <w:rPr>
                <w:sz w:val="21"/>
              </w:rPr>
            </w:pPr>
            <w:r>
              <w:rPr>
                <w:color w:val="B02045"/>
                <w:sz w:val="21"/>
              </w:rPr>
              <w:t xml:space="preserve">management.endpoint.co </w:t>
            </w:r>
            <w:proofErr w:type="gramStart"/>
            <w:r>
              <w:rPr>
                <w:color w:val="B02045"/>
                <w:sz w:val="21"/>
              </w:rPr>
              <w:t>nfigprops.cache</w:t>
            </w:r>
            <w:proofErr w:type="gramEnd"/>
            <w:r>
              <w:rPr>
                <w:color w:val="B02045"/>
                <w:sz w:val="21"/>
              </w:rPr>
              <w:t>.time- to-live</w:t>
            </w:r>
          </w:p>
        </w:tc>
        <w:tc>
          <w:tcPr>
            <w:tcW w:w="2494" w:type="dxa"/>
          </w:tcPr>
          <w:p w14:paraId="2A48B44A" w14:textId="77777777" w:rsidR="00A720EB" w:rsidRDefault="0030286B">
            <w:pPr>
              <w:pStyle w:val="TableParagraph"/>
              <w:spacing w:before="40"/>
              <w:rPr>
                <w:sz w:val="21"/>
              </w:rPr>
            </w:pPr>
            <w:r>
              <w:rPr>
                <w:color w:val="B02045"/>
                <w:sz w:val="21"/>
              </w:rPr>
              <w:t>0ms</w:t>
            </w:r>
          </w:p>
        </w:tc>
        <w:tc>
          <w:tcPr>
            <w:tcW w:w="4988" w:type="dxa"/>
          </w:tcPr>
          <w:p w14:paraId="4239558C" w14:textId="77777777" w:rsidR="00A720EB" w:rsidRDefault="0030286B">
            <w:pPr>
              <w:pStyle w:val="TableParagraph"/>
              <w:spacing w:before="94"/>
              <w:rPr>
                <w:rFonts w:ascii="Cambria"/>
                <w:sz w:val="21"/>
              </w:rPr>
            </w:pPr>
            <w:r>
              <w:rPr>
                <w:rFonts w:ascii="Cambria"/>
                <w:color w:val="333333"/>
                <w:w w:val="115"/>
                <w:sz w:val="21"/>
              </w:rPr>
              <w:t>Maximum time that a response can be cached.</w:t>
            </w:r>
          </w:p>
        </w:tc>
      </w:tr>
      <w:tr w:rsidR="00A720EB" w14:paraId="71CA203E" w14:textId="77777777">
        <w:trPr>
          <w:trHeight w:val="627"/>
        </w:trPr>
        <w:tc>
          <w:tcPr>
            <w:tcW w:w="2494" w:type="dxa"/>
          </w:tcPr>
          <w:p w14:paraId="387233ED" w14:textId="77777777" w:rsidR="00A720EB" w:rsidRDefault="0030286B">
            <w:pPr>
              <w:pStyle w:val="TableParagraph"/>
              <w:spacing w:before="49" w:line="230" w:lineRule="auto"/>
              <w:ind w:right="94"/>
              <w:rPr>
                <w:sz w:val="21"/>
              </w:rPr>
            </w:pPr>
            <w:r>
              <w:rPr>
                <w:color w:val="B02045"/>
                <w:sz w:val="21"/>
              </w:rPr>
              <w:t xml:space="preserve">management.endpoint.co </w:t>
            </w:r>
            <w:proofErr w:type="gramStart"/>
            <w:r>
              <w:rPr>
                <w:color w:val="B02045"/>
                <w:sz w:val="21"/>
              </w:rPr>
              <w:t>nfigprops.enabled</w:t>
            </w:r>
            <w:proofErr w:type="gramEnd"/>
          </w:p>
        </w:tc>
        <w:tc>
          <w:tcPr>
            <w:tcW w:w="2494" w:type="dxa"/>
          </w:tcPr>
          <w:p w14:paraId="103EDD72" w14:textId="77777777" w:rsidR="00A720EB" w:rsidRDefault="0030286B">
            <w:pPr>
              <w:pStyle w:val="TableParagraph"/>
              <w:spacing w:before="40"/>
              <w:rPr>
                <w:sz w:val="21"/>
              </w:rPr>
            </w:pPr>
            <w:r>
              <w:rPr>
                <w:color w:val="B02045"/>
                <w:sz w:val="21"/>
              </w:rPr>
              <w:t>true</w:t>
            </w:r>
          </w:p>
        </w:tc>
        <w:tc>
          <w:tcPr>
            <w:tcW w:w="4988" w:type="dxa"/>
          </w:tcPr>
          <w:p w14:paraId="56C229CA" w14:textId="77777777" w:rsidR="00A720EB" w:rsidRDefault="0030286B">
            <w:pPr>
              <w:pStyle w:val="TableParagraph"/>
              <w:spacing w:before="94"/>
              <w:rPr>
                <w:rFonts w:ascii="Cambria"/>
                <w:sz w:val="21"/>
              </w:rPr>
            </w:pPr>
            <w:r>
              <w:rPr>
                <w:rFonts w:ascii="Cambria"/>
                <w:color w:val="333333"/>
                <w:w w:val="110"/>
                <w:sz w:val="21"/>
              </w:rPr>
              <w:t>Whether to enable the configprops endpoint.</w:t>
            </w:r>
          </w:p>
        </w:tc>
      </w:tr>
      <w:tr w:rsidR="00A720EB" w14:paraId="1BE5E2AD" w14:textId="77777777">
        <w:trPr>
          <w:trHeight w:val="1404"/>
        </w:trPr>
        <w:tc>
          <w:tcPr>
            <w:tcW w:w="2494" w:type="dxa"/>
          </w:tcPr>
          <w:p w14:paraId="7243E002" w14:textId="77777777" w:rsidR="00A720EB" w:rsidRDefault="0030286B">
            <w:pPr>
              <w:pStyle w:val="TableParagraph"/>
              <w:spacing w:before="49" w:line="230" w:lineRule="auto"/>
              <w:ind w:right="113"/>
              <w:rPr>
                <w:sz w:val="21"/>
              </w:rPr>
            </w:pPr>
            <w:r>
              <w:rPr>
                <w:color w:val="B02045"/>
                <w:sz w:val="21"/>
              </w:rPr>
              <w:t xml:space="preserve">management.endpoint.co </w:t>
            </w:r>
            <w:proofErr w:type="gramStart"/>
            <w:r>
              <w:rPr>
                <w:color w:val="B02045"/>
                <w:sz w:val="21"/>
              </w:rPr>
              <w:t>nfigprops.keys</w:t>
            </w:r>
            <w:proofErr w:type="gramEnd"/>
            <w:r>
              <w:rPr>
                <w:color w:val="B02045"/>
                <w:sz w:val="21"/>
              </w:rPr>
              <w:t>-to- sanitize</w:t>
            </w:r>
          </w:p>
        </w:tc>
        <w:tc>
          <w:tcPr>
            <w:tcW w:w="2494" w:type="dxa"/>
          </w:tcPr>
          <w:p w14:paraId="30F5A5BD" w14:textId="77777777" w:rsidR="00A720EB" w:rsidRDefault="0030286B">
            <w:pPr>
              <w:pStyle w:val="TableParagraph"/>
              <w:spacing w:before="49" w:line="230" w:lineRule="auto"/>
              <w:ind w:right="514"/>
              <w:rPr>
                <w:sz w:val="21"/>
              </w:rPr>
            </w:pPr>
            <w:r>
              <w:rPr>
                <w:color w:val="B02045"/>
                <w:sz w:val="21"/>
              </w:rPr>
              <w:t>[password, secret, key, token,</w:t>
            </w:r>
          </w:p>
          <w:p w14:paraId="5AE4049F" w14:textId="77777777" w:rsidR="00A720EB" w:rsidRDefault="0030286B">
            <w:pPr>
              <w:pStyle w:val="TableParagraph"/>
              <w:spacing w:before="1" w:line="230" w:lineRule="auto"/>
              <w:ind w:right="619"/>
              <w:rPr>
                <w:sz w:val="21"/>
              </w:rPr>
            </w:pPr>
            <w:proofErr w:type="gramStart"/>
            <w:r>
              <w:rPr>
                <w:color w:val="B02045"/>
                <w:sz w:val="21"/>
              </w:rPr>
              <w:t>.*</w:t>
            </w:r>
            <w:proofErr w:type="gramEnd"/>
            <w:r>
              <w:rPr>
                <w:color w:val="B02045"/>
                <w:sz w:val="21"/>
              </w:rPr>
              <w:t>credentials.*, vcap_services, sun.java.comman</w:t>
            </w:r>
            <w:r>
              <w:rPr>
                <w:color w:val="B02045"/>
                <w:sz w:val="21"/>
              </w:rPr>
              <w:lastRenderedPageBreak/>
              <w:t>d]</w:t>
            </w:r>
          </w:p>
        </w:tc>
        <w:tc>
          <w:tcPr>
            <w:tcW w:w="4988" w:type="dxa"/>
          </w:tcPr>
          <w:p w14:paraId="7892341B" w14:textId="77777777" w:rsidR="00A720EB" w:rsidRDefault="0030286B">
            <w:pPr>
              <w:pStyle w:val="TableParagraph"/>
              <w:spacing w:before="94" w:line="307" w:lineRule="auto"/>
              <w:ind w:right="372"/>
              <w:rPr>
                <w:rFonts w:ascii="Cambria"/>
                <w:sz w:val="21"/>
              </w:rPr>
            </w:pPr>
            <w:r>
              <w:rPr>
                <w:rFonts w:ascii="Cambria"/>
                <w:color w:val="333333"/>
                <w:w w:val="110"/>
                <w:sz w:val="21"/>
              </w:rPr>
              <w:lastRenderedPageBreak/>
              <w:t>Keys that should be sanitized. Keys can be simple strings that the property ends with or regular expressions.</w:t>
            </w:r>
          </w:p>
        </w:tc>
      </w:tr>
      <w:tr w:rsidR="00A720EB" w14:paraId="1BF506BF" w14:textId="77777777">
        <w:trPr>
          <w:trHeight w:val="627"/>
        </w:trPr>
        <w:tc>
          <w:tcPr>
            <w:tcW w:w="2494" w:type="dxa"/>
          </w:tcPr>
          <w:p w14:paraId="5D35CBDB" w14:textId="77777777" w:rsidR="00A720EB" w:rsidRDefault="0030286B">
            <w:pPr>
              <w:pStyle w:val="TableParagraph"/>
              <w:spacing w:before="49" w:line="230" w:lineRule="auto"/>
              <w:ind w:right="113"/>
              <w:rPr>
                <w:sz w:val="21"/>
              </w:rPr>
            </w:pPr>
            <w:proofErr w:type="gramStart"/>
            <w:r>
              <w:rPr>
                <w:color w:val="B02045"/>
                <w:sz w:val="21"/>
              </w:rPr>
              <w:t>management.endpoint</w:t>
            </w:r>
            <w:proofErr w:type="gramEnd"/>
            <w:r>
              <w:rPr>
                <w:color w:val="B02045"/>
                <w:sz w:val="21"/>
              </w:rPr>
              <w:t>.en v.cache.time-to-live</w:t>
            </w:r>
          </w:p>
        </w:tc>
        <w:tc>
          <w:tcPr>
            <w:tcW w:w="2494" w:type="dxa"/>
          </w:tcPr>
          <w:p w14:paraId="73DA758F" w14:textId="77777777" w:rsidR="00A720EB" w:rsidRDefault="0030286B">
            <w:pPr>
              <w:pStyle w:val="TableParagraph"/>
              <w:spacing w:before="40"/>
              <w:rPr>
                <w:sz w:val="21"/>
              </w:rPr>
            </w:pPr>
            <w:r>
              <w:rPr>
                <w:color w:val="B02045"/>
                <w:sz w:val="21"/>
              </w:rPr>
              <w:t>0ms</w:t>
            </w:r>
          </w:p>
        </w:tc>
        <w:tc>
          <w:tcPr>
            <w:tcW w:w="4988" w:type="dxa"/>
          </w:tcPr>
          <w:p w14:paraId="1EDCE976" w14:textId="77777777" w:rsidR="00A720EB" w:rsidRDefault="0030286B">
            <w:pPr>
              <w:pStyle w:val="TableParagraph"/>
              <w:spacing w:before="94"/>
              <w:rPr>
                <w:rFonts w:ascii="Cambria"/>
                <w:sz w:val="21"/>
              </w:rPr>
            </w:pPr>
            <w:r>
              <w:rPr>
                <w:rFonts w:ascii="Cambria"/>
                <w:color w:val="333333"/>
                <w:w w:val="115"/>
                <w:sz w:val="21"/>
              </w:rPr>
              <w:t>Maximum time that a response can be cached.</w:t>
            </w:r>
          </w:p>
        </w:tc>
      </w:tr>
    </w:tbl>
    <w:p w14:paraId="22108DAD"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3364A39" w14:textId="77777777">
        <w:trPr>
          <w:trHeight w:val="415"/>
        </w:trPr>
        <w:tc>
          <w:tcPr>
            <w:tcW w:w="2494" w:type="dxa"/>
            <w:tcBorders>
              <w:bottom w:val="single" w:sz="12" w:space="0" w:color="DDDDDD"/>
            </w:tcBorders>
          </w:tcPr>
          <w:p w14:paraId="7017F9D7"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2D89EB2"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2B4CFA9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D08C6D8" w14:textId="77777777">
        <w:trPr>
          <w:trHeight w:val="617"/>
        </w:trPr>
        <w:tc>
          <w:tcPr>
            <w:tcW w:w="2494" w:type="dxa"/>
            <w:tcBorders>
              <w:top w:val="single" w:sz="12" w:space="0" w:color="DDDDDD"/>
            </w:tcBorders>
          </w:tcPr>
          <w:p w14:paraId="14CA3E9B" w14:textId="77777777" w:rsidR="00A720EB" w:rsidRDefault="0030286B">
            <w:pPr>
              <w:pStyle w:val="TableParagraph"/>
              <w:spacing w:before="36" w:line="230" w:lineRule="auto"/>
              <w:ind w:right="94"/>
              <w:rPr>
                <w:sz w:val="21"/>
              </w:rPr>
            </w:pPr>
            <w:proofErr w:type="gramStart"/>
            <w:r>
              <w:rPr>
                <w:color w:val="B02045"/>
                <w:sz w:val="21"/>
              </w:rPr>
              <w:t>management.endpoint</w:t>
            </w:r>
            <w:proofErr w:type="gramEnd"/>
            <w:r>
              <w:rPr>
                <w:color w:val="B02045"/>
                <w:sz w:val="21"/>
              </w:rPr>
              <w:t>.en v.enabled</w:t>
            </w:r>
          </w:p>
        </w:tc>
        <w:tc>
          <w:tcPr>
            <w:tcW w:w="2494" w:type="dxa"/>
            <w:tcBorders>
              <w:top w:val="single" w:sz="12" w:space="0" w:color="DDDDDD"/>
            </w:tcBorders>
          </w:tcPr>
          <w:p w14:paraId="2DD0883E"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34077463" w14:textId="77777777" w:rsidR="00A720EB" w:rsidRDefault="0030286B">
            <w:pPr>
              <w:pStyle w:val="TableParagraph"/>
              <w:spacing w:before="82"/>
              <w:rPr>
                <w:rFonts w:ascii="Cambria"/>
                <w:sz w:val="21"/>
              </w:rPr>
            </w:pPr>
            <w:r>
              <w:rPr>
                <w:rFonts w:ascii="Cambria"/>
                <w:color w:val="333333"/>
                <w:w w:val="110"/>
                <w:sz w:val="21"/>
              </w:rPr>
              <w:t>Whether to enable the env endpoint.</w:t>
            </w:r>
          </w:p>
        </w:tc>
      </w:tr>
      <w:tr w:rsidR="00A720EB" w14:paraId="10FC1BE8" w14:textId="77777777">
        <w:trPr>
          <w:trHeight w:val="1404"/>
        </w:trPr>
        <w:tc>
          <w:tcPr>
            <w:tcW w:w="2494" w:type="dxa"/>
          </w:tcPr>
          <w:p w14:paraId="74C10DE1"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.en v.keys-to-sanitize</w:t>
            </w:r>
          </w:p>
        </w:tc>
        <w:tc>
          <w:tcPr>
            <w:tcW w:w="2494" w:type="dxa"/>
          </w:tcPr>
          <w:p w14:paraId="2D3E6088" w14:textId="77777777" w:rsidR="00A720EB" w:rsidRDefault="0030286B">
            <w:pPr>
              <w:pStyle w:val="TableParagraph"/>
              <w:spacing w:before="46" w:line="230" w:lineRule="auto"/>
              <w:ind w:right="514"/>
              <w:rPr>
                <w:sz w:val="21"/>
              </w:rPr>
            </w:pPr>
            <w:r>
              <w:rPr>
                <w:color w:val="B02045"/>
                <w:sz w:val="21"/>
              </w:rPr>
              <w:t>[password, secret, key, token,</w:t>
            </w:r>
          </w:p>
          <w:p w14:paraId="4D0A1B8B" w14:textId="77777777" w:rsidR="00A720EB" w:rsidRDefault="0030286B">
            <w:pPr>
              <w:pStyle w:val="TableParagraph"/>
              <w:spacing w:before="1" w:line="230" w:lineRule="auto"/>
              <w:ind w:right="619"/>
              <w:rPr>
                <w:sz w:val="21"/>
              </w:rPr>
            </w:pPr>
            <w:proofErr w:type="gramStart"/>
            <w:r>
              <w:rPr>
                <w:color w:val="B02045"/>
                <w:sz w:val="21"/>
              </w:rPr>
              <w:t>.*</w:t>
            </w:r>
            <w:proofErr w:type="gramEnd"/>
            <w:r>
              <w:rPr>
                <w:color w:val="B02045"/>
                <w:sz w:val="21"/>
              </w:rPr>
              <w:t>credentials.*, vcap_services, sun.java.command]</w:t>
            </w:r>
          </w:p>
        </w:tc>
        <w:tc>
          <w:tcPr>
            <w:tcW w:w="4988" w:type="dxa"/>
          </w:tcPr>
          <w:p w14:paraId="17CF910B" w14:textId="77777777" w:rsidR="00A720EB" w:rsidRDefault="0030286B">
            <w:pPr>
              <w:pStyle w:val="TableParagraph"/>
              <w:spacing w:before="92" w:line="307" w:lineRule="auto"/>
              <w:ind w:right="372"/>
              <w:rPr>
                <w:rFonts w:ascii="Cambria"/>
                <w:sz w:val="21"/>
              </w:rPr>
            </w:pPr>
            <w:r>
              <w:rPr>
                <w:rFonts w:ascii="Cambria"/>
                <w:color w:val="333333"/>
                <w:w w:val="110"/>
                <w:sz w:val="21"/>
              </w:rPr>
              <w:t>Keys that should be sanitized. Keys can be simple strings that the property ends with or regular expressions.</w:t>
            </w:r>
          </w:p>
        </w:tc>
      </w:tr>
      <w:tr w:rsidR="00A720EB" w14:paraId="3000E204" w14:textId="77777777">
        <w:trPr>
          <w:trHeight w:val="886"/>
        </w:trPr>
        <w:tc>
          <w:tcPr>
            <w:tcW w:w="2494" w:type="dxa"/>
          </w:tcPr>
          <w:p w14:paraId="32C73CA5" w14:textId="77777777" w:rsidR="00A720EB" w:rsidRDefault="0030286B">
            <w:pPr>
              <w:pStyle w:val="TableParagraph"/>
              <w:spacing w:before="46" w:line="230" w:lineRule="auto"/>
              <w:ind w:right="113"/>
              <w:rPr>
                <w:sz w:val="21"/>
              </w:rPr>
            </w:pPr>
            <w:r>
              <w:rPr>
                <w:color w:val="B02045"/>
                <w:sz w:val="21"/>
              </w:rPr>
              <w:t xml:space="preserve">management.endpoint.fl </w:t>
            </w:r>
            <w:proofErr w:type="gramStart"/>
            <w:r>
              <w:rPr>
                <w:color w:val="B02045"/>
                <w:sz w:val="21"/>
              </w:rPr>
              <w:t>yway.cache</w:t>
            </w:r>
            <w:proofErr w:type="gramEnd"/>
            <w:r>
              <w:rPr>
                <w:color w:val="B02045"/>
                <w:sz w:val="21"/>
              </w:rPr>
              <w:t>.time-to- live</w:t>
            </w:r>
          </w:p>
        </w:tc>
        <w:tc>
          <w:tcPr>
            <w:tcW w:w="2494" w:type="dxa"/>
          </w:tcPr>
          <w:p w14:paraId="206E439C" w14:textId="77777777" w:rsidR="00A720EB" w:rsidRDefault="0030286B">
            <w:pPr>
              <w:pStyle w:val="TableParagraph"/>
              <w:spacing w:before="37"/>
              <w:rPr>
                <w:sz w:val="21"/>
              </w:rPr>
            </w:pPr>
            <w:r>
              <w:rPr>
                <w:color w:val="B02045"/>
                <w:sz w:val="21"/>
              </w:rPr>
              <w:t>0ms</w:t>
            </w:r>
          </w:p>
        </w:tc>
        <w:tc>
          <w:tcPr>
            <w:tcW w:w="4988" w:type="dxa"/>
          </w:tcPr>
          <w:p w14:paraId="41247DF4"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60DAA8B3" w14:textId="77777777">
        <w:trPr>
          <w:trHeight w:val="627"/>
        </w:trPr>
        <w:tc>
          <w:tcPr>
            <w:tcW w:w="2494" w:type="dxa"/>
          </w:tcPr>
          <w:p w14:paraId="2CEB8E45" w14:textId="77777777" w:rsidR="00A720EB" w:rsidRDefault="0030286B">
            <w:pPr>
              <w:pStyle w:val="TableParagraph"/>
              <w:spacing w:before="46" w:line="230" w:lineRule="auto"/>
              <w:ind w:right="94"/>
              <w:rPr>
                <w:sz w:val="21"/>
              </w:rPr>
            </w:pPr>
            <w:r>
              <w:rPr>
                <w:color w:val="B02045"/>
                <w:sz w:val="21"/>
              </w:rPr>
              <w:t xml:space="preserve">management.endpoint.fl </w:t>
            </w:r>
            <w:proofErr w:type="gramStart"/>
            <w:r>
              <w:rPr>
                <w:color w:val="B02045"/>
                <w:sz w:val="21"/>
              </w:rPr>
              <w:t>yway.enabled</w:t>
            </w:r>
            <w:proofErr w:type="gramEnd"/>
          </w:p>
        </w:tc>
        <w:tc>
          <w:tcPr>
            <w:tcW w:w="2494" w:type="dxa"/>
          </w:tcPr>
          <w:p w14:paraId="63BDA63C" w14:textId="77777777" w:rsidR="00A720EB" w:rsidRDefault="0030286B">
            <w:pPr>
              <w:pStyle w:val="TableParagraph"/>
              <w:spacing w:before="37"/>
              <w:rPr>
                <w:sz w:val="21"/>
              </w:rPr>
            </w:pPr>
            <w:r>
              <w:rPr>
                <w:color w:val="B02045"/>
                <w:sz w:val="21"/>
              </w:rPr>
              <w:t>true</w:t>
            </w:r>
          </w:p>
        </w:tc>
        <w:tc>
          <w:tcPr>
            <w:tcW w:w="4988" w:type="dxa"/>
          </w:tcPr>
          <w:p w14:paraId="7D9F3C56" w14:textId="77777777" w:rsidR="00A720EB" w:rsidRDefault="0030286B">
            <w:pPr>
              <w:pStyle w:val="TableParagraph"/>
              <w:spacing w:before="92"/>
              <w:rPr>
                <w:rFonts w:ascii="Cambria"/>
                <w:sz w:val="21"/>
              </w:rPr>
            </w:pPr>
            <w:r>
              <w:rPr>
                <w:rFonts w:ascii="Cambria"/>
                <w:color w:val="333333"/>
                <w:w w:val="110"/>
                <w:sz w:val="21"/>
              </w:rPr>
              <w:t>Whether to enable the flyway endpoint.</w:t>
            </w:r>
          </w:p>
        </w:tc>
      </w:tr>
      <w:tr w:rsidR="00A720EB" w14:paraId="357501C3" w14:textId="77777777">
        <w:trPr>
          <w:trHeight w:val="886"/>
        </w:trPr>
        <w:tc>
          <w:tcPr>
            <w:tcW w:w="2494" w:type="dxa"/>
          </w:tcPr>
          <w:p w14:paraId="3F86C5CD"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.he alth.cache.time-to- live</w:t>
            </w:r>
          </w:p>
        </w:tc>
        <w:tc>
          <w:tcPr>
            <w:tcW w:w="2494" w:type="dxa"/>
          </w:tcPr>
          <w:p w14:paraId="305F1D18" w14:textId="77777777" w:rsidR="00A720EB" w:rsidRDefault="0030286B">
            <w:pPr>
              <w:pStyle w:val="TableParagraph"/>
              <w:rPr>
                <w:sz w:val="21"/>
              </w:rPr>
            </w:pPr>
            <w:r>
              <w:rPr>
                <w:color w:val="B02045"/>
                <w:sz w:val="21"/>
              </w:rPr>
              <w:t>0ms</w:t>
            </w:r>
          </w:p>
        </w:tc>
        <w:tc>
          <w:tcPr>
            <w:tcW w:w="4988" w:type="dxa"/>
          </w:tcPr>
          <w:p w14:paraId="4BEBF078"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62A42E3D" w14:textId="77777777">
        <w:trPr>
          <w:trHeight w:val="627"/>
        </w:trPr>
        <w:tc>
          <w:tcPr>
            <w:tcW w:w="2494" w:type="dxa"/>
          </w:tcPr>
          <w:p w14:paraId="64D16B55" w14:textId="77777777" w:rsidR="00A720EB" w:rsidRDefault="0030286B">
            <w:pPr>
              <w:pStyle w:val="TableParagraph"/>
              <w:spacing w:before="46" w:line="230" w:lineRule="auto"/>
              <w:ind w:right="94"/>
              <w:rPr>
                <w:sz w:val="21"/>
              </w:rPr>
            </w:pPr>
            <w:proofErr w:type="gramStart"/>
            <w:r>
              <w:rPr>
                <w:color w:val="B02045"/>
                <w:sz w:val="21"/>
              </w:rPr>
              <w:t>management.endpoint</w:t>
            </w:r>
            <w:proofErr w:type="gramEnd"/>
            <w:r>
              <w:rPr>
                <w:color w:val="B02045"/>
                <w:sz w:val="21"/>
              </w:rPr>
              <w:t>.he alth.enabled</w:t>
            </w:r>
          </w:p>
        </w:tc>
        <w:tc>
          <w:tcPr>
            <w:tcW w:w="2494" w:type="dxa"/>
          </w:tcPr>
          <w:p w14:paraId="510F7F62" w14:textId="77777777" w:rsidR="00A720EB" w:rsidRDefault="0030286B">
            <w:pPr>
              <w:pStyle w:val="TableParagraph"/>
              <w:spacing w:before="37"/>
              <w:rPr>
                <w:sz w:val="21"/>
              </w:rPr>
            </w:pPr>
            <w:r>
              <w:rPr>
                <w:color w:val="B02045"/>
                <w:sz w:val="21"/>
              </w:rPr>
              <w:t>true</w:t>
            </w:r>
          </w:p>
        </w:tc>
        <w:tc>
          <w:tcPr>
            <w:tcW w:w="4988" w:type="dxa"/>
          </w:tcPr>
          <w:p w14:paraId="5A96B4D5" w14:textId="77777777" w:rsidR="00A720EB" w:rsidRDefault="0030286B">
            <w:pPr>
              <w:pStyle w:val="TableParagraph"/>
              <w:spacing w:before="92"/>
              <w:rPr>
                <w:rFonts w:ascii="Cambria"/>
                <w:sz w:val="21"/>
              </w:rPr>
            </w:pPr>
            <w:r>
              <w:rPr>
                <w:rFonts w:ascii="Cambria"/>
                <w:color w:val="333333"/>
                <w:w w:val="110"/>
                <w:sz w:val="21"/>
              </w:rPr>
              <w:t>Whether to enable the health endpoint.</w:t>
            </w:r>
          </w:p>
        </w:tc>
      </w:tr>
      <w:tr w:rsidR="00A720EB" w14:paraId="7407DB23" w14:textId="77777777">
        <w:trPr>
          <w:trHeight w:val="627"/>
        </w:trPr>
        <w:tc>
          <w:tcPr>
            <w:tcW w:w="2494" w:type="dxa"/>
          </w:tcPr>
          <w:p w14:paraId="4F8EB25A" w14:textId="77777777" w:rsidR="00A720EB" w:rsidRDefault="0030286B">
            <w:pPr>
              <w:pStyle w:val="TableParagraph"/>
              <w:spacing w:before="46" w:line="230" w:lineRule="auto"/>
              <w:ind w:right="94"/>
              <w:rPr>
                <w:sz w:val="21"/>
              </w:rPr>
            </w:pPr>
            <w:proofErr w:type="gramStart"/>
            <w:r>
              <w:rPr>
                <w:color w:val="B02045"/>
                <w:sz w:val="21"/>
              </w:rPr>
              <w:t>management.endpoint</w:t>
            </w:r>
            <w:proofErr w:type="gramEnd"/>
            <w:r>
              <w:rPr>
                <w:color w:val="B02045"/>
                <w:sz w:val="21"/>
              </w:rPr>
              <w:t>.he alth.group.*</w:t>
            </w:r>
          </w:p>
        </w:tc>
        <w:tc>
          <w:tcPr>
            <w:tcW w:w="2494" w:type="dxa"/>
          </w:tcPr>
          <w:p w14:paraId="305CF885" w14:textId="77777777" w:rsidR="00A720EB" w:rsidRDefault="00A720EB">
            <w:pPr>
              <w:pStyle w:val="TableParagraph"/>
              <w:spacing w:before="0"/>
              <w:ind w:left="0"/>
              <w:rPr>
                <w:rFonts w:ascii="Times New Roman"/>
                <w:sz w:val="20"/>
              </w:rPr>
            </w:pPr>
          </w:p>
        </w:tc>
        <w:tc>
          <w:tcPr>
            <w:tcW w:w="4988" w:type="dxa"/>
          </w:tcPr>
          <w:p w14:paraId="79B6C747" w14:textId="77777777" w:rsidR="00A720EB" w:rsidRDefault="0030286B">
            <w:pPr>
              <w:pStyle w:val="TableParagraph"/>
              <w:spacing w:before="92"/>
              <w:rPr>
                <w:rFonts w:ascii="Cambria"/>
                <w:sz w:val="21"/>
              </w:rPr>
            </w:pPr>
            <w:r>
              <w:rPr>
                <w:rFonts w:ascii="Cambria"/>
                <w:color w:val="333333"/>
                <w:w w:val="110"/>
                <w:sz w:val="21"/>
              </w:rPr>
              <w:t>Health endpoint groups.</w:t>
            </w:r>
          </w:p>
        </w:tc>
      </w:tr>
      <w:tr w:rsidR="00A720EB" w14:paraId="6BB9FF56" w14:textId="77777777">
        <w:trPr>
          <w:trHeight w:val="741"/>
        </w:trPr>
        <w:tc>
          <w:tcPr>
            <w:tcW w:w="2494" w:type="dxa"/>
          </w:tcPr>
          <w:p w14:paraId="6C6EC0BA" w14:textId="77777777" w:rsidR="00A720EB" w:rsidRDefault="0030286B">
            <w:pPr>
              <w:pStyle w:val="TableParagraph"/>
              <w:spacing w:before="46" w:line="230" w:lineRule="auto"/>
              <w:ind w:right="94"/>
              <w:rPr>
                <w:sz w:val="21"/>
              </w:rPr>
            </w:pPr>
            <w:proofErr w:type="gramStart"/>
            <w:r>
              <w:rPr>
                <w:color w:val="B02045"/>
                <w:sz w:val="21"/>
              </w:rPr>
              <w:t>management.endpoint</w:t>
            </w:r>
            <w:proofErr w:type="gramEnd"/>
            <w:r>
              <w:rPr>
                <w:color w:val="B02045"/>
                <w:sz w:val="21"/>
              </w:rPr>
              <w:t>.he alth.probes.enabled</w:t>
            </w:r>
          </w:p>
        </w:tc>
        <w:tc>
          <w:tcPr>
            <w:tcW w:w="2494" w:type="dxa"/>
          </w:tcPr>
          <w:p w14:paraId="6FE498E0" w14:textId="77777777" w:rsidR="00A720EB" w:rsidRDefault="0030286B">
            <w:pPr>
              <w:pStyle w:val="TableParagraph"/>
              <w:spacing w:before="37"/>
              <w:rPr>
                <w:sz w:val="21"/>
              </w:rPr>
            </w:pPr>
            <w:r>
              <w:rPr>
                <w:color w:val="B02045"/>
                <w:sz w:val="21"/>
              </w:rPr>
              <w:t>false</w:t>
            </w:r>
          </w:p>
        </w:tc>
        <w:tc>
          <w:tcPr>
            <w:tcW w:w="4988" w:type="dxa"/>
          </w:tcPr>
          <w:p w14:paraId="2FC9CC93"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enable liveness and readiness probes.</w:t>
            </w:r>
          </w:p>
        </w:tc>
      </w:tr>
      <w:tr w:rsidR="00A720EB" w14:paraId="14F46295" w14:textId="77777777">
        <w:trPr>
          <w:trHeight w:val="1056"/>
        </w:trPr>
        <w:tc>
          <w:tcPr>
            <w:tcW w:w="2494" w:type="dxa"/>
          </w:tcPr>
          <w:p w14:paraId="59858193" w14:textId="77777777" w:rsidR="00A720EB" w:rsidRDefault="0030286B">
            <w:pPr>
              <w:pStyle w:val="TableParagraph"/>
              <w:spacing w:before="46" w:line="230" w:lineRule="auto"/>
              <w:ind w:right="94"/>
              <w:rPr>
                <w:sz w:val="21"/>
              </w:rPr>
            </w:pPr>
            <w:proofErr w:type="gramStart"/>
            <w:r>
              <w:rPr>
                <w:color w:val="B02045"/>
                <w:sz w:val="21"/>
              </w:rPr>
              <w:t>management.endpoint</w:t>
            </w:r>
            <w:proofErr w:type="gramEnd"/>
            <w:r>
              <w:rPr>
                <w:color w:val="B02045"/>
                <w:sz w:val="21"/>
              </w:rPr>
              <w:t>.he alth.roles</w:t>
            </w:r>
          </w:p>
        </w:tc>
        <w:tc>
          <w:tcPr>
            <w:tcW w:w="2494" w:type="dxa"/>
          </w:tcPr>
          <w:p w14:paraId="71C8BDA4" w14:textId="77777777" w:rsidR="00A720EB" w:rsidRDefault="00A720EB">
            <w:pPr>
              <w:pStyle w:val="TableParagraph"/>
              <w:spacing w:before="0"/>
              <w:ind w:left="0"/>
              <w:rPr>
                <w:rFonts w:ascii="Times New Roman"/>
                <w:sz w:val="20"/>
              </w:rPr>
            </w:pPr>
          </w:p>
        </w:tc>
        <w:tc>
          <w:tcPr>
            <w:tcW w:w="4988" w:type="dxa"/>
          </w:tcPr>
          <w:p w14:paraId="3D20233B" w14:textId="77777777" w:rsidR="00A720EB" w:rsidRDefault="0030286B">
            <w:pPr>
              <w:pStyle w:val="TableParagraph"/>
              <w:spacing w:before="28" w:line="310" w:lineRule="atLeast"/>
              <w:ind w:right="85"/>
              <w:jc w:val="both"/>
              <w:rPr>
                <w:rFonts w:ascii="Cambria"/>
                <w:sz w:val="21"/>
              </w:rPr>
            </w:pPr>
            <w:r>
              <w:rPr>
                <w:rFonts w:ascii="Cambria"/>
                <w:color w:val="333333"/>
                <w:w w:val="110"/>
                <w:sz w:val="21"/>
              </w:rPr>
              <w:t>Roles used to determine whether or not a user is authorized to be shown details. When empty, all authenticated users are authorized.</w:t>
            </w:r>
          </w:p>
        </w:tc>
      </w:tr>
      <w:tr w:rsidR="00A720EB" w14:paraId="55D489AC" w14:textId="77777777">
        <w:trPr>
          <w:trHeight w:val="741"/>
        </w:trPr>
        <w:tc>
          <w:tcPr>
            <w:tcW w:w="2494" w:type="dxa"/>
          </w:tcPr>
          <w:p w14:paraId="7E76A0ED"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.he alth.show-components</w:t>
            </w:r>
          </w:p>
        </w:tc>
        <w:tc>
          <w:tcPr>
            <w:tcW w:w="2494" w:type="dxa"/>
          </w:tcPr>
          <w:p w14:paraId="2808AA25" w14:textId="77777777" w:rsidR="00A720EB" w:rsidRDefault="00A720EB">
            <w:pPr>
              <w:pStyle w:val="TableParagraph"/>
              <w:spacing w:before="0"/>
              <w:ind w:left="0"/>
              <w:rPr>
                <w:rFonts w:ascii="Times New Roman"/>
                <w:sz w:val="20"/>
              </w:rPr>
            </w:pPr>
          </w:p>
        </w:tc>
        <w:tc>
          <w:tcPr>
            <w:tcW w:w="4988" w:type="dxa"/>
          </w:tcPr>
          <w:p w14:paraId="6F7425A1" w14:textId="77777777" w:rsidR="00A720EB" w:rsidRDefault="0030286B">
            <w:pPr>
              <w:pStyle w:val="TableParagraph"/>
              <w:spacing w:before="28" w:line="310" w:lineRule="atLeast"/>
              <w:ind w:right="237"/>
              <w:rPr>
                <w:rFonts w:ascii="Cambria"/>
                <w:sz w:val="21"/>
              </w:rPr>
            </w:pPr>
            <w:r>
              <w:rPr>
                <w:rFonts w:ascii="Cambria"/>
                <w:color w:val="333333"/>
                <w:w w:val="110"/>
                <w:sz w:val="21"/>
              </w:rPr>
              <w:t>When to show components. If not specified the 'show-details' setting will be used.</w:t>
            </w:r>
          </w:p>
        </w:tc>
      </w:tr>
      <w:tr w:rsidR="00A720EB" w14:paraId="1AE372B9" w14:textId="77777777">
        <w:trPr>
          <w:trHeight w:val="627"/>
        </w:trPr>
        <w:tc>
          <w:tcPr>
            <w:tcW w:w="2494" w:type="dxa"/>
          </w:tcPr>
          <w:p w14:paraId="55B272CF"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.he alth.show-details</w:t>
            </w:r>
          </w:p>
        </w:tc>
        <w:tc>
          <w:tcPr>
            <w:tcW w:w="2494" w:type="dxa"/>
          </w:tcPr>
          <w:p w14:paraId="39EB5B8C" w14:textId="77777777" w:rsidR="00A720EB" w:rsidRDefault="0030286B">
            <w:pPr>
              <w:pStyle w:val="TableParagraph"/>
              <w:spacing w:before="37"/>
              <w:rPr>
                <w:sz w:val="21"/>
              </w:rPr>
            </w:pPr>
            <w:r>
              <w:rPr>
                <w:color w:val="B02045"/>
                <w:sz w:val="21"/>
              </w:rPr>
              <w:t>never</w:t>
            </w:r>
          </w:p>
        </w:tc>
        <w:tc>
          <w:tcPr>
            <w:tcW w:w="4988" w:type="dxa"/>
          </w:tcPr>
          <w:p w14:paraId="1523D65D" w14:textId="77777777" w:rsidR="00A720EB" w:rsidRDefault="0030286B">
            <w:pPr>
              <w:pStyle w:val="TableParagraph"/>
              <w:spacing w:before="92"/>
              <w:rPr>
                <w:rFonts w:ascii="Cambria"/>
                <w:sz w:val="21"/>
              </w:rPr>
            </w:pPr>
            <w:r>
              <w:rPr>
                <w:rFonts w:ascii="Cambria"/>
                <w:color w:val="333333"/>
                <w:w w:val="110"/>
                <w:sz w:val="21"/>
              </w:rPr>
              <w:t>When to show full health details.</w:t>
            </w:r>
          </w:p>
        </w:tc>
      </w:tr>
      <w:tr w:rsidR="00A720EB" w14:paraId="2A5CB060" w14:textId="77777777">
        <w:trPr>
          <w:trHeight w:val="1056"/>
        </w:trPr>
        <w:tc>
          <w:tcPr>
            <w:tcW w:w="2494" w:type="dxa"/>
          </w:tcPr>
          <w:p w14:paraId="22B4DAE2"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.he alth.status.http- mapping.*</w:t>
            </w:r>
          </w:p>
        </w:tc>
        <w:tc>
          <w:tcPr>
            <w:tcW w:w="2494" w:type="dxa"/>
          </w:tcPr>
          <w:p w14:paraId="0F3DC202" w14:textId="77777777" w:rsidR="00A720EB" w:rsidRDefault="00A720EB">
            <w:pPr>
              <w:pStyle w:val="TableParagraph"/>
              <w:spacing w:before="0"/>
              <w:ind w:left="0"/>
              <w:rPr>
                <w:rFonts w:ascii="Times New Roman"/>
                <w:sz w:val="20"/>
              </w:rPr>
            </w:pPr>
          </w:p>
        </w:tc>
        <w:tc>
          <w:tcPr>
            <w:tcW w:w="4988" w:type="dxa"/>
          </w:tcPr>
          <w:p w14:paraId="4F487927" w14:textId="77777777" w:rsidR="00A720EB" w:rsidRDefault="0030286B">
            <w:pPr>
              <w:pStyle w:val="TableParagraph"/>
              <w:spacing w:before="28" w:line="310" w:lineRule="atLeast"/>
              <w:rPr>
                <w:rFonts w:ascii="Cambria"/>
                <w:sz w:val="21"/>
              </w:rPr>
            </w:pPr>
            <w:r>
              <w:rPr>
                <w:rFonts w:ascii="Cambria"/>
                <w:color w:val="333333"/>
                <w:w w:val="110"/>
                <w:sz w:val="21"/>
              </w:rPr>
              <w:t>Mapping of health statuses to HTTP status codes. By default, registered health statuses map to sensible defaults (for example, UP maps to 200).</w:t>
            </w:r>
          </w:p>
        </w:tc>
      </w:tr>
      <w:tr w:rsidR="00A720EB" w14:paraId="4AF39E88" w14:textId="77777777">
        <w:trPr>
          <w:trHeight w:val="741"/>
        </w:trPr>
        <w:tc>
          <w:tcPr>
            <w:tcW w:w="2494" w:type="dxa"/>
          </w:tcPr>
          <w:p w14:paraId="40E7193C" w14:textId="77777777" w:rsidR="00A720EB" w:rsidRDefault="0030286B">
            <w:pPr>
              <w:pStyle w:val="TableParagraph"/>
              <w:spacing w:before="46" w:line="230" w:lineRule="auto"/>
              <w:ind w:right="94"/>
              <w:rPr>
                <w:sz w:val="21"/>
              </w:rPr>
            </w:pPr>
            <w:proofErr w:type="gramStart"/>
            <w:r>
              <w:rPr>
                <w:color w:val="B02045"/>
                <w:sz w:val="21"/>
              </w:rPr>
              <w:t>management.endpoint</w:t>
            </w:r>
            <w:proofErr w:type="gramEnd"/>
            <w:r>
              <w:rPr>
                <w:color w:val="B02045"/>
                <w:sz w:val="21"/>
              </w:rPr>
              <w:t>.he alth.status.order</w:t>
            </w:r>
          </w:p>
        </w:tc>
        <w:tc>
          <w:tcPr>
            <w:tcW w:w="2494" w:type="dxa"/>
          </w:tcPr>
          <w:p w14:paraId="7CBFDBC6" w14:textId="77777777" w:rsidR="00A720EB" w:rsidRDefault="0030286B">
            <w:pPr>
              <w:pStyle w:val="TableParagraph"/>
              <w:spacing w:before="46" w:line="230" w:lineRule="auto"/>
              <w:ind w:right="94"/>
              <w:rPr>
                <w:sz w:val="21"/>
              </w:rPr>
            </w:pPr>
            <w:r>
              <w:rPr>
                <w:color w:val="B02045"/>
                <w:sz w:val="21"/>
              </w:rPr>
              <w:t>[DOWN, OUT_OF_SERVICE, UP, UNKNOWN]</w:t>
            </w:r>
          </w:p>
        </w:tc>
        <w:tc>
          <w:tcPr>
            <w:tcW w:w="4988" w:type="dxa"/>
          </w:tcPr>
          <w:p w14:paraId="675F37FC" w14:textId="77777777" w:rsidR="00A720EB" w:rsidRDefault="0030286B">
            <w:pPr>
              <w:pStyle w:val="TableParagraph"/>
              <w:spacing w:before="28" w:line="310" w:lineRule="atLeast"/>
              <w:rPr>
                <w:rFonts w:ascii="Cambria"/>
                <w:sz w:val="21"/>
              </w:rPr>
            </w:pPr>
            <w:r>
              <w:rPr>
                <w:rFonts w:ascii="Cambria"/>
                <w:color w:val="333333"/>
                <w:w w:val="110"/>
                <w:sz w:val="21"/>
              </w:rPr>
              <w:t>Comma-separated list of health statuses in order of severity.</w:t>
            </w:r>
          </w:p>
        </w:tc>
      </w:tr>
      <w:tr w:rsidR="00A720EB" w14:paraId="78EB68B9" w14:textId="77777777">
        <w:trPr>
          <w:trHeight w:val="886"/>
        </w:trPr>
        <w:tc>
          <w:tcPr>
            <w:tcW w:w="2494" w:type="dxa"/>
          </w:tcPr>
          <w:p w14:paraId="7F159507"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.he apdump.cache.time-to- live</w:t>
            </w:r>
          </w:p>
        </w:tc>
        <w:tc>
          <w:tcPr>
            <w:tcW w:w="2494" w:type="dxa"/>
          </w:tcPr>
          <w:p w14:paraId="7A0334A3" w14:textId="77777777" w:rsidR="00A720EB" w:rsidRDefault="0030286B">
            <w:pPr>
              <w:pStyle w:val="TableParagraph"/>
              <w:rPr>
                <w:sz w:val="21"/>
              </w:rPr>
            </w:pPr>
            <w:r>
              <w:rPr>
                <w:color w:val="B02045"/>
                <w:sz w:val="21"/>
              </w:rPr>
              <w:t>0ms</w:t>
            </w:r>
          </w:p>
        </w:tc>
        <w:tc>
          <w:tcPr>
            <w:tcW w:w="4988" w:type="dxa"/>
          </w:tcPr>
          <w:p w14:paraId="68073E3C"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0A948C0A" w14:textId="77777777">
        <w:trPr>
          <w:trHeight w:val="627"/>
        </w:trPr>
        <w:tc>
          <w:tcPr>
            <w:tcW w:w="2494" w:type="dxa"/>
          </w:tcPr>
          <w:p w14:paraId="7A1D74BE" w14:textId="77777777" w:rsidR="00A720EB" w:rsidRDefault="0030286B">
            <w:pPr>
              <w:pStyle w:val="TableParagraph"/>
              <w:spacing w:before="46" w:line="230" w:lineRule="auto"/>
              <w:ind w:right="94"/>
              <w:rPr>
                <w:sz w:val="21"/>
              </w:rPr>
            </w:pPr>
            <w:proofErr w:type="gramStart"/>
            <w:r>
              <w:rPr>
                <w:color w:val="B02045"/>
                <w:sz w:val="21"/>
              </w:rPr>
              <w:t>management.endpoint</w:t>
            </w:r>
            <w:proofErr w:type="gramEnd"/>
            <w:r>
              <w:rPr>
                <w:color w:val="B02045"/>
                <w:sz w:val="21"/>
              </w:rPr>
              <w:t>.he apdump.enabled</w:t>
            </w:r>
          </w:p>
        </w:tc>
        <w:tc>
          <w:tcPr>
            <w:tcW w:w="2494" w:type="dxa"/>
          </w:tcPr>
          <w:p w14:paraId="5714A0D2" w14:textId="77777777" w:rsidR="00A720EB" w:rsidRDefault="0030286B">
            <w:pPr>
              <w:pStyle w:val="TableParagraph"/>
              <w:rPr>
                <w:sz w:val="21"/>
              </w:rPr>
            </w:pPr>
            <w:r>
              <w:rPr>
                <w:color w:val="B02045"/>
                <w:sz w:val="21"/>
              </w:rPr>
              <w:t>true</w:t>
            </w:r>
          </w:p>
        </w:tc>
        <w:tc>
          <w:tcPr>
            <w:tcW w:w="4988" w:type="dxa"/>
          </w:tcPr>
          <w:p w14:paraId="4D6A859C" w14:textId="77777777" w:rsidR="00A720EB" w:rsidRDefault="0030286B">
            <w:pPr>
              <w:pStyle w:val="TableParagraph"/>
              <w:spacing w:before="92"/>
              <w:rPr>
                <w:rFonts w:ascii="Cambria"/>
                <w:sz w:val="21"/>
              </w:rPr>
            </w:pPr>
            <w:r>
              <w:rPr>
                <w:rFonts w:ascii="Cambria"/>
                <w:color w:val="333333"/>
                <w:w w:val="110"/>
                <w:sz w:val="21"/>
              </w:rPr>
              <w:t>Whether to enable the heapdump endpoint.</w:t>
            </w:r>
          </w:p>
        </w:tc>
      </w:tr>
      <w:tr w:rsidR="00A720EB" w14:paraId="3001CD4E" w14:textId="77777777">
        <w:trPr>
          <w:trHeight w:val="886"/>
        </w:trPr>
        <w:tc>
          <w:tcPr>
            <w:tcW w:w="2494" w:type="dxa"/>
          </w:tcPr>
          <w:p w14:paraId="7FCD115A" w14:textId="77777777" w:rsidR="00A720EB" w:rsidRDefault="0030286B">
            <w:pPr>
              <w:pStyle w:val="TableParagraph"/>
              <w:spacing w:before="46" w:line="230" w:lineRule="auto"/>
              <w:ind w:right="113"/>
              <w:jc w:val="both"/>
              <w:rPr>
                <w:sz w:val="21"/>
              </w:rPr>
            </w:pPr>
            <w:r>
              <w:rPr>
                <w:color w:val="B02045"/>
                <w:sz w:val="21"/>
              </w:rPr>
              <w:t xml:space="preserve">management.endpoint.ht </w:t>
            </w:r>
            <w:proofErr w:type="gramStart"/>
            <w:r>
              <w:rPr>
                <w:color w:val="B02045"/>
                <w:sz w:val="21"/>
              </w:rPr>
              <w:t>tptrace.cache</w:t>
            </w:r>
            <w:proofErr w:type="gramEnd"/>
            <w:r>
              <w:rPr>
                <w:color w:val="B02045"/>
                <w:sz w:val="21"/>
              </w:rPr>
              <w:t>.time-to- live</w:t>
            </w:r>
          </w:p>
        </w:tc>
        <w:tc>
          <w:tcPr>
            <w:tcW w:w="2494" w:type="dxa"/>
          </w:tcPr>
          <w:p w14:paraId="791FB2F6" w14:textId="77777777" w:rsidR="00A720EB" w:rsidRDefault="0030286B">
            <w:pPr>
              <w:pStyle w:val="TableParagraph"/>
              <w:rPr>
                <w:sz w:val="21"/>
              </w:rPr>
            </w:pPr>
            <w:r>
              <w:rPr>
                <w:color w:val="B02045"/>
                <w:sz w:val="21"/>
              </w:rPr>
              <w:t>0ms</w:t>
            </w:r>
          </w:p>
        </w:tc>
        <w:tc>
          <w:tcPr>
            <w:tcW w:w="4988" w:type="dxa"/>
          </w:tcPr>
          <w:p w14:paraId="50217E94"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79E329C3" w14:textId="77777777">
        <w:trPr>
          <w:trHeight w:val="627"/>
        </w:trPr>
        <w:tc>
          <w:tcPr>
            <w:tcW w:w="2494" w:type="dxa"/>
          </w:tcPr>
          <w:p w14:paraId="502E057F" w14:textId="77777777" w:rsidR="00A720EB" w:rsidRDefault="0030286B">
            <w:pPr>
              <w:pStyle w:val="TableParagraph"/>
              <w:spacing w:before="46" w:line="230" w:lineRule="auto"/>
              <w:ind w:right="94"/>
              <w:rPr>
                <w:sz w:val="21"/>
              </w:rPr>
            </w:pPr>
            <w:r>
              <w:rPr>
                <w:color w:val="B02045"/>
                <w:sz w:val="21"/>
              </w:rPr>
              <w:lastRenderedPageBreak/>
              <w:t xml:space="preserve">management.endpoint.ht </w:t>
            </w:r>
            <w:proofErr w:type="gramStart"/>
            <w:r>
              <w:rPr>
                <w:color w:val="B02045"/>
                <w:sz w:val="21"/>
              </w:rPr>
              <w:t>tptrace.enabled</w:t>
            </w:r>
            <w:proofErr w:type="gramEnd"/>
          </w:p>
        </w:tc>
        <w:tc>
          <w:tcPr>
            <w:tcW w:w="2494" w:type="dxa"/>
          </w:tcPr>
          <w:p w14:paraId="1095C303" w14:textId="77777777" w:rsidR="00A720EB" w:rsidRDefault="0030286B">
            <w:pPr>
              <w:pStyle w:val="TableParagraph"/>
              <w:spacing w:before="37"/>
              <w:rPr>
                <w:sz w:val="21"/>
              </w:rPr>
            </w:pPr>
            <w:r>
              <w:rPr>
                <w:color w:val="B02045"/>
                <w:sz w:val="21"/>
              </w:rPr>
              <w:t>true</w:t>
            </w:r>
          </w:p>
        </w:tc>
        <w:tc>
          <w:tcPr>
            <w:tcW w:w="4988" w:type="dxa"/>
          </w:tcPr>
          <w:p w14:paraId="5C6716D1" w14:textId="77777777" w:rsidR="00A720EB" w:rsidRDefault="0030286B">
            <w:pPr>
              <w:pStyle w:val="TableParagraph"/>
              <w:spacing w:before="92"/>
              <w:rPr>
                <w:rFonts w:ascii="Cambria"/>
                <w:sz w:val="21"/>
              </w:rPr>
            </w:pPr>
            <w:r>
              <w:rPr>
                <w:rFonts w:ascii="Cambria"/>
                <w:color w:val="333333"/>
                <w:w w:val="110"/>
                <w:sz w:val="21"/>
              </w:rPr>
              <w:t>Whether to enable the httptrace endpoint.</w:t>
            </w:r>
          </w:p>
        </w:tc>
      </w:tr>
      <w:tr w:rsidR="00A720EB" w14:paraId="5FA4177E" w14:textId="77777777">
        <w:trPr>
          <w:trHeight w:val="627"/>
        </w:trPr>
        <w:tc>
          <w:tcPr>
            <w:tcW w:w="2494" w:type="dxa"/>
          </w:tcPr>
          <w:p w14:paraId="1AC615E1" w14:textId="77777777" w:rsidR="00A720EB" w:rsidRDefault="0030286B">
            <w:pPr>
              <w:pStyle w:val="TableParagraph"/>
              <w:spacing w:before="46" w:line="230" w:lineRule="auto"/>
              <w:ind w:right="113"/>
              <w:rPr>
                <w:sz w:val="21"/>
              </w:rPr>
            </w:pPr>
            <w:r>
              <w:rPr>
                <w:color w:val="B02045"/>
                <w:sz w:val="21"/>
              </w:rPr>
              <w:t xml:space="preserve">management.endpoint.in </w:t>
            </w:r>
            <w:proofErr w:type="gramStart"/>
            <w:r>
              <w:rPr>
                <w:color w:val="B02045"/>
                <w:sz w:val="21"/>
              </w:rPr>
              <w:t>fo.cache</w:t>
            </w:r>
            <w:proofErr w:type="gramEnd"/>
            <w:r>
              <w:rPr>
                <w:color w:val="B02045"/>
                <w:sz w:val="21"/>
              </w:rPr>
              <w:t>.time-to-live</w:t>
            </w:r>
          </w:p>
        </w:tc>
        <w:tc>
          <w:tcPr>
            <w:tcW w:w="2494" w:type="dxa"/>
          </w:tcPr>
          <w:p w14:paraId="3C420BEA" w14:textId="77777777" w:rsidR="00A720EB" w:rsidRDefault="0030286B">
            <w:pPr>
              <w:pStyle w:val="TableParagraph"/>
              <w:spacing w:before="37"/>
              <w:rPr>
                <w:sz w:val="21"/>
              </w:rPr>
            </w:pPr>
            <w:r>
              <w:rPr>
                <w:color w:val="B02045"/>
                <w:sz w:val="21"/>
              </w:rPr>
              <w:t>0ms</w:t>
            </w:r>
          </w:p>
        </w:tc>
        <w:tc>
          <w:tcPr>
            <w:tcW w:w="4988" w:type="dxa"/>
          </w:tcPr>
          <w:p w14:paraId="4CCFEC2B"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bl>
    <w:p w14:paraId="35262FDD"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B617339" w14:textId="77777777">
        <w:trPr>
          <w:trHeight w:val="415"/>
        </w:trPr>
        <w:tc>
          <w:tcPr>
            <w:tcW w:w="2494" w:type="dxa"/>
            <w:tcBorders>
              <w:bottom w:val="single" w:sz="12" w:space="0" w:color="DDDDDD"/>
            </w:tcBorders>
          </w:tcPr>
          <w:p w14:paraId="15070B21"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A429C4C"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872E8FF"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5E3960EC" w14:textId="77777777">
        <w:trPr>
          <w:trHeight w:val="617"/>
        </w:trPr>
        <w:tc>
          <w:tcPr>
            <w:tcW w:w="2494" w:type="dxa"/>
            <w:tcBorders>
              <w:top w:val="single" w:sz="12" w:space="0" w:color="DDDDDD"/>
            </w:tcBorders>
          </w:tcPr>
          <w:p w14:paraId="148E43D3" w14:textId="77777777" w:rsidR="00A720EB" w:rsidRDefault="0030286B">
            <w:pPr>
              <w:pStyle w:val="TableParagraph"/>
              <w:spacing w:before="36" w:line="230" w:lineRule="auto"/>
              <w:ind w:right="94"/>
              <w:rPr>
                <w:sz w:val="21"/>
              </w:rPr>
            </w:pPr>
            <w:r>
              <w:rPr>
                <w:color w:val="B02045"/>
                <w:sz w:val="21"/>
              </w:rPr>
              <w:t xml:space="preserve">management.endpoint.in </w:t>
            </w:r>
            <w:proofErr w:type="gramStart"/>
            <w:r>
              <w:rPr>
                <w:color w:val="B02045"/>
                <w:sz w:val="21"/>
              </w:rPr>
              <w:t>fo.enabled</w:t>
            </w:r>
            <w:proofErr w:type="gramEnd"/>
          </w:p>
        </w:tc>
        <w:tc>
          <w:tcPr>
            <w:tcW w:w="2494" w:type="dxa"/>
            <w:tcBorders>
              <w:top w:val="single" w:sz="12" w:space="0" w:color="DDDDDD"/>
            </w:tcBorders>
          </w:tcPr>
          <w:p w14:paraId="30CCC1B5"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3A2FFE3E" w14:textId="77777777" w:rsidR="00A720EB" w:rsidRDefault="0030286B">
            <w:pPr>
              <w:pStyle w:val="TableParagraph"/>
              <w:spacing w:before="82"/>
              <w:rPr>
                <w:rFonts w:ascii="Cambria"/>
                <w:sz w:val="21"/>
              </w:rPr>
            </w:pPr>
            <w:r>
              <w:rPr>
                <w:rFonts w:ascii="Cambria"/>
                <w:color w:val="333333"/>
                <w:w w:val="110"/>
                <w:sz w:val="21"/>
              </w:rPr>
              <w:t>Whether to enable the info endpoint.</w:t>
            </w:r>
          </w:p>
        </w:tc>
      </w:tr>
      <w:tr w:rsidR="00A720EB" w14:paraId="15F58F22" w14:textId="77777777">
        <w:trPr>
          <w:trHeight w:val="886"/>
        </w:trPr>
        <w:tc>
          <w:tcPr>
            <w:tcW w:w="2494" w:type="dxa"/>
          </w:tcPr>
          <w:p w14:paraId="5A4813C0" w14:textId="77777777" w:rsidR="00A720EB" w:rsidRDefault="0030286B">
            <w:pPr>
              <w:pStyle w:val="TableParagraph"/>
              <w:spacing w:before="46" w:line="230" w:lineRule="auto"/>
              <w:ind w:right="113"/>
              <w:jc w:val="both"/>
              <w:rPr>
                <w:sz w:val="21"/>
              </w:rPr>
            </w:pPr>
            <w:r>
              <w:rPr>
                <w:color w:val="B02045"/>
                <w:sz w:val="21"/>
              </w:rPr>
              <w:t xml:space="preserve">management.endpoint.in </w:t>
            </w:r>
            <w:proofErr w:type="gramStart"/>
            <w:r>
              <w:rPr>
                <w:color w:val="B02045"/>
                <w:sz w:val="21"/>
              </w:rPr>
              <w:t>tegrationgraph.cache</w:t>
            </w:r>
            <w:proofErr w:type="gramEnd"/>
            <w:r>
              <w:rPr>
                <w:color w:val="B02045"/>
                <w:sz w:val="21"/>
              </w:rPr>
              <w:t>.t ime-to-live</w:t>
            </w:r>
          </w:p>
        </w:tc>
        <w:tc>
          <w:tcPr>
            <w:tcW w:w="2494" w:type="dxa"/>
          </w:tcPr>
          <w:p w14:paraId="1A2A9AAC" w14:textId="77777777" w:rsidR="00A720EB" w:rsidRDefault="0030286B">
            <w:pPr>
              <w:pStyle w:val="TableParagraph"/>
              <w:spacing w:before="37"/>
              <w:rPr>
                <w:sz w:val="21"/>
              </w:rPr>
            </w:pPr>
            <w:r>
              <w:rPr>
                <w:color w:val="B02045"/>
                <w:sz w:val="21"/>
              </w:rPr>
              <w:t>0ms</w:t>
            </w:r>
          </w:p>
        </w:tc>
        <w:tc>
          <w:tcPr>
            <w:tcW w:w="4988" w:type="dxa"/>
          </w:tcPr>
          <w:p w14:paraId="6F7C7DDE"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64CD5696" w14:textId="77777777">
        <w:trPr>
          <w:trHeight w:val="741"/>
        </w:trPr>
        <w:tc>
          <w:tcPr>
            <w:tcW w:w="2494" w:type="dxa"/>
          </w:tcPr>
          <w:p w14:paraId="0880CAF8" w14:textId="77777777" w:rsidR="00A720EB" w:rsidRDefault="0030286B">
            <w:pPr>
              <w:pStyle w:val="TableParagraph"/>
              <w:spacing w:before="46" w:line="230" w:lineRule="auto"/>
              <w:ind w:right="94"/>
              <w:rPr>
                <w:sz w:val="21"/>
              </w:rPr>
            </w:pPr>
            <w:r>
              <w:rPr>
                <w:color w:val="B02045"/>
                <w:sz w:val="21"/>
              </w:rPr>
              <w:t xml:space="preserve">management.endpoint.in </w:t>
            </w:r>
            <w:proofErr w:type="gramStart"/>
            <w:r>
              <w:rPr>
                <w:color w:val="B02045"/>
                <w:sz w:val="21"/>
              </w:rPr>
              <w:t>tegrationgraph.enabled</w:t>
            </w:r>
            <w:proofErr w:type="gramEnd"/>
          </w:p>
        </w:tc>
        <w:tc>
          <w:tcPr>
            <w:tcW w:w="2494" w:type="dxa"/>
          </w:tcPr>
          <w:p w14:paraId="4FF747BC" w14:textId="77777777" w:rsidR="00A720EB" w:rsidRDefault="0030286B">
            <w:pPr>
              <w:pStyle w:val="TableParagraph"/>
              <w:rPr>
                <w:sz w:val="21"/>
              </w:rPr>
            </w:pPr>
            <w:r>
              <w:rPr>
                <w:color w:val="B02045"/>
                <w:sz w:val="21"/>
              </w:rPr>
              <w:t>true</w:t>
            </w:r>
          </w:p>
        </w:tc>
        <w:tc>
          <w:tcPr>
            <w:tcW w:w="4988" w:type="dxa"/>
          </w:tcPr>
          <w:p w14:paraId="5C87E79D"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enable the integrationgraph endpoint.</w:t>
            </w:r>
          </w:p>
        </w:tc>
      </w:tr>
      <w:tr w:rsidR="00A720EB" w14:paraId="254EAE57" w14:textId="77777777">
        <w:trPr>
          <w:trHeight w:val="741"/>
        </w:trPr>
        <w:tc>
          <w:tcPr>
            <w:tcW w:w="2494" w:type="dxa"/>
          </w:tcPr>
          <w:p w14:paraId="347FAF8E" w14:textId="77777777" w:rsidR="00A720EB" w:rsidRDefault="0030286B">
            <w:pPr>
              <w:pStyle w:val="TableParagraph"/>
              <w:spacing w:before="46" w:line="230" w:lineRule="auto"/>
              <w:ind w:right="94"/>
              <w:rPr>
                <w:sz w:val="21"/>
              </w:rPr>
            </w:pPr>
            <w:r>
              <w:rPr>
                <w:color w:val="B02045"/>
                <w:sz w:val="21"/>
              </w:rPr>
              <w:t>management.endpoint.jo lokia.</w:t>
            </w:r>
            <w:proofErr w:type="gramStart"/>
            <w:r>
              <w:rPr>
                <w:color w:val="B02045"/>
                <w:sz w:val="21"/>
              </w:rPr>
              <w:t>config.*</w:t>
            </w:r>
            <w:proofErr w:type="gramEnd"/>
          </w:p>
        </w:tc>
        <w:tc>
          <w:tcPr>
            <w:tcW w:w="2494" w:type="dxa"/>
          </w:tcPr>
          <w:p w14:paraId="217EA61E" w14:textId="77777777" w:rsidR="00A720EB" w:rsidRDefault="00A720EB">
            <w:pPr>
              <w:pStyle w:val="TableParagraph"/>
              <w:spacing w:before="0"/>
              <w:ind w:left="0"/>
              <w:rPr>
                <w:rFonts w:ascii="Times New Roman"/>
                <w:sz w:val="20"/>
              </w:rPr>
            </w:pPr>
          </w:p>
        </w:tc>
        <w:tc>
          <w:tcPr>
            <w:tcW w:w="4988" w:type="dxa"/>
          </w:tcPr>
          <w:p w14:paraId="12B783F9" w14:textId="77777777" w:rsidR="00A720EB" w:rsidRDefault="0030286B">
            <w:pPr>
              <w:pStyle w:val="TableParagraph"/>
              <w:spacing w:before="28" w:line="310" w:lineRule="atLeast"/>
              <w:rPr>
                <w:rFonts w:ascii="Cambria"/>
                <w:sz w:val="21"/>
              </w:rPr>
            </w:pPr>
            <w:r>
              <w:rPr>
                <w:rFonts w:ascii="Cambria"/>
                <w:color w:val="333333"/>
                <w:w w:val="110"/>
                <w:sz w:val="21"/>
              </w:rPr>
              <w:t>Jolokia settings. Refer to the documentation of Jolokia for more details.</w:t>
            </w:r>
          </w:p>
        </w:tc>
      </w:tr>
      <w:tr w:rsidR="00A720EB" w14:paraId="27F0D977" w14:textId="77777777">
        <w:trPr>
          <w:trHeight w:val="627"/>
        </w:trPr>
        <w:tc>
          <w:tcPr>
            <w:tcW w:w="2494" w:type="dxa"/>
          </w:tcPr>
          <w:p w14:paraId="56831300" w14:textId="77777777" w:rsidR="00A720EB" w:rsidRDefault="0030286B">
            <w:pPr>
              <w:pStyle w:val="TableParagraph"/>
              <w:spacing w:before="46" w:line="230" w:lineRule="auto"/>
              <w:ind w:right="94"/>
              <w:rPr>
                <w:sz w:val="21"/>
              </w:rPr>
            </w:pPr>
            <w:r>
              <w:rPr>
                <w:color w:val="B02045"/>
                <w:sz w:val="21"/>
              </w:rPr>
              <w:t xml:space="preserve">management.endpoint.jo </w:t>
            </w:r>
            <w:proofErr w:type="gramStart"/>
            <w:r>
              <w:rPr>
                <w:color w:val="B02045"/>
                <w:sz w:val="21"/>
              </w:rPr>
              <w:t>lokia.enabled</w:t>
            </w:r>
            <w:proofErr w:type="gramEnd"/>
          </w:p>
        </w:tc>
        <w:tc>
          <w:tcPr>
            <w:tcW w:w="2494" w:type="dxa"/>
          </w:tcPr>
          <w:p w14:paraId="7D7CC734" w14:textId="77777777" w:rsidR="00A720EB" w:rsidRDefault="0030286B">
            <w:pPr>
              <w:pStyle w:val="TableParagraph"/>
              <w:rPr>
                <w:sz w:val="21"/>
              </w:rPr>
            </w:pPr>
            <w:r>
              <w:rPr>
                <w:color w:val="B02045"/>
                <w:sz w:val="21"/>
              </w:rPr>
              <w:t>true</w:t>
            </w:r>
          </w:p>
        </w:tc>
        <w:tc>
          <w:tcPr>
            <w:tcW w:w="4988" w:type="dxa"/>
          </w:tcPr>
          <w:p w14:paraId="36F31EC9" w14:textId="77777777" w:rsidR="00A720EB" w:rsidRDefault="0030286B">
            <w:pPr>
              <w:pStyle w:val="TableParagraph"/>
              <w:spacing w:before="92"/>
              <w:rPr>
                <w:rFonts w:ascii="Cambria"/>
                <w:sz w:val="21"/>
              </w:rPr>
            </w:pPr>
            <w:r>
              <w:rPr>
                <w:rFonts w:ascii="Cambria"/>
                <w:color w:val="333333"/>
                <w:w w:val="110"/>
                <w:sz w:val="21"/>
              </w:rPr>
              <w:t>Whether to enable the jolokia endpoint.</w:t>
            </w:r>
          </w:p>
        </w:tc>
      </w:tr>
      <w:tr w:rsidR="00A720EB" w14:paraId="31E831BE" w14:textId="77777777">
        <w:trPr>
          <w:trHeight w:val="886"/>
        </w:trPr>
        <w:tc>
          <w:tcPr>
            <w:tcW w:w="2494" w:type="dxa"/>
          </w:tcPr>
          <w:p w14:paraId="5DD378E7" w14:textId="77777777" w:rsidR="00A720EB" w:rsidRDefault="0030286B">
            <w:pPr>
              <w:pStyle w:val="TableParagraph"/>
              <w:spacing w:before="46" w:line="230" w:lineRule="auto"/>
              <w:ind w:right="113"/>
              <w:jc w:val="both"/>
              <w:rPr>
                <w:sz w:val="21"/>
              </w:rPr>
            </w:pPr>
            <w:r>
              <w:rPr>
                <w:color w:val="B02045"/>
                <w:sz w:val="21"/>
              </w:rPr>
              <w:t xml:space="preserve">management.endpoint.li </w:t>
            </w:r>
            <w:proofErr w:type="gramStart"/>
            <w:r>
              <w:rPr>
                <w:color w:val="B02045"/>
                <w:sz w:val="21"/>
              </w:rPr>
              <w:t>quibase.cache</w:t>
            </w:r>
            <w:proofErr w:type="gramEnd"/>
            <w:r>
              <w:rPr>
                <w:color w:val="B02045"/>
                <w:sz w:val="21"/>
              </w:rPr>
              <w:t>.time-to- live</w:t>
            </w:r>
          </w:p>
        </w:tc>
        <w:tc>
          <w:tcPr>
            <w:tcW w:w="2494" w:type="dxa"/>
          </w:tcPr>
          <w:p w14:paraId="14D22B7C" w14:textId="77777777" w:rsidR="00A720EB" w:rsidRDefault="0030286B">
            <w:pPr>
              <w:pStyle w:val="TableParagraph"/>
              <w:rPr>
                <w:sz w:val="21"/>
              </w:rPr>
            </w:pPr>
            <w:r>
              <w:rPr>
                <w:color w:val="B02045"/>
                <w:sz w:val="21"/>
              </w:rPr>
              <w:t>0ms</w:t>
            </w:r>
          </w:p>
        </w:tc>
        <w:tc>
          <w:tcPr>
            <w:tcW w:w="4988" w:type="dxa"/>
          </w:tcPr>
          <w:p w14:paraId="5DDAE74C"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0CEBEB58" w14:textId="77777777">
        <w:trPr>
          <w:trHeight w:val="627"/>
        </w:trPr>
        <w:tc>
          <w:tcPr>
            <w:tcW w:w="2494" w:type="dxa"/>
          </w:tcPr>
          <w:p w14:paraId="33C9056A" w14:textId="77777777" w:rsidR="00A720EB" w:rsidRDefault="0030286B">
            <w:pPr>
              <w:pStyle w:val="TableParagraph"/>
              <w:spacing w:before="46" w:line="230" w:lineRule="auto"/>
              <w:ind w:right="94"/>
              <w:rPr>
                <w:sz w:val="21"/>
              </w:rPr>
            </w:pPr>
            <w:r>
              <w:rPr>
                <w:color w:val="B02045"/>
                <w:sz w:val="21"/>
              </w:rPr>
              <w:t xml:space="preserve">management.endpoint.li </w:t>
            </w:r>
            <w:proofErr w:type="gramStart"/>
            <w:r>
              <w:rPr>
                <w:color w:val="B02045"/>
                <w:sz w:val="21"/>
              </w:rPr>
              <w:t>quibase.enabled</w:t>
            </w:r>
            <w:proofErr w:type="gramEnd"/>
          </w:p>
        </w:tc>
        <w:tc>
          <w:tcPr>
            <w:tcW w:w="2494" w:type="dxa"/>
          </w:tcPr>
          <w:p w14:paraId="41E1809C" w14:textId="77777777" w:rsidR="00A720EB" w:rsidRDefault="0030286B">
            <w:pPr>
              <w:pStyle w:val="TableParagraph"/>
              <w:spacing w:before="37"/>
              <w:rPr>
                <w:sz w:val="21"/>
              </w:rPr>
            </w:pPr>
            <w:r>
              <w:rPr>
                <w:color w:val="B02045"/>
                <w:sz w:val="21"/>
              </w:rPr>
              <w:t>true</w:t>
            </w:r>
          </w:p>
        </w:tc>
        <w:tc>
          <w:tcPr>
            <w:tcW w:w="4988" w:type="dxa"/>
          </w:tcPr>
          <w:p w14:paraId="030FB6FE" w14:textId="77777777" w:rsidR="00A720EB" w:rsidRDefault="0030286B">
            <w:pPr>
              <w:pStyle w:val="TableParagraph"/>
              <w:spacing w:before="92"/>
              <w:rPr>
                <w:rFonts w:ascii="Cambria"/>
                <w:sz w:val="21"/>
              </w:rPr>
            </w:pPr>
            <w:r>
              <w:rPr>
                <w:rFonts w:ascii="Cambria"/>
                <w:color w:val="333333"/>
                <w:w w:val="110"/>
                <w:sz w:val="21"/>
              </w:rPr>
              <w:t>Whether to enable the liquibase endpoint.</w:t>
            </w:r>
          </w:p>
        </w:tc>
      </w:tr>
      <w:tr w:rsidR="00A720EB" w14:paraId="2DCEA700" w14:textId="77777777">
        <w:trPr>
          <w:trHeight w:val="886"/>
        </w:trPr>
        <w:tc>
          <w:tcPr>
            <w:tcW w:w="2494" w:type="dxa"/>
          </w:tcPr>
          <w:p w14:paraId="51B043DF"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.lo gfile.cache.time-to- live</w:t>
            </w:r>
          </w:p>
        </w:tc>
        <w:tc>
          <w:tcPr>
            <w:tcW w:w="2494" w:type="dxa"/>
          </w:tcPr>
          <w:p w14:paraId="7228959F" w14:textId="77777777" w:rsidR="00A720EB" w:rsidRDefault="0030286B">
            <w:pPr>
              <w:pStyle w:val="TableParagraph"/>
              <w:rPr>
                <w:sz w:val="21"/>
              </w:rPr>
            </w:pPr>
            <w:r>
              <w:rPr>
                <w:color w:val="B02045"/>
                <w:sz w:val="21"/>
              </w:rPr>
              <w:t>0ms</w:t>
            </w:r>
          </w:p>
        </w:tc>
        <w:tc>
          <w:tcPr>
            <w:tcW w:w="4988" w:type="dxa"/>
          </w:tcPr>
          <w:p w14:paraId="1A00DA98"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550DD9EB" w14:textId="77777777">
        <w:trPr>
          <w:trHeight w:val="627"/>
        </w:trPr>
        <w:tc>
          <w:tcPr>
            <w:tcW w:w="2494" w:type="dxa"/>
          </w:tcPr>
          <w:p w14:paraId="6BE9842A" w14:textId="77777777" w:rsidR="00A720EB" w:rsidRDefault="0030286B">
            <w:pPr>
              <w:pStyle w:val="TableParagraph"/>
              <w:spacing w:before="46" w:line="230" w:lineRule="auto"/>
              <w:ind w:right="94"/>
              <w:rPr>
                <w:sz w:val="21"/>
              </w:rPr>
            </w:pPr>
            <w:proofErr w:type="gramStart"/>
            <w:r>
              <w:rPr>
                <w:color w:val="B02045"/>
                <w:sz w:val="21"/>
              </w:rPr>
              <w:t>management.endpoint</w:t>
            </w:r>
            <w:proofErr w:type="gramEnd"/>
            <w:r>
              <w:rPr>
                <w:color w:val="B02045"/>
                <w:sz w:val="21"/>
              </w:rPr>
              <w:t>.lo gfile.enabled</w:t>
            </w:r>
          </w:p>
        </w:tc>
        <w:tc>
          <w:tcPr>
            <w:tcW w:w="2494" w:type="dxa"/>
          </w:tcPr>
          <w:p w14:paraId="78801EF0" w14:textId="77777777" w:rsidR="00A720EB" w:rsidRDefault="0030286B">
            <w:pPr>
              <w:pStyle w:val="TableParagraph"/>
              <w:spacing w:before="37"/>
              <w:rPr>
                <w:sz w:val="21"/>
              </w:rPr>
            </w:pPr>
            <w:r>
              <w:rPr>
                <w:color w:val="B02045"/>
                <w:sz w:val="21"/>
              </w:rPr>
              <w:t>true</w:t>
            </w:r>
          </w:p>
        </w:tc>
        <w:tc>
          <w:tcPr>
            <w:tcW w:w="4988" w:type="dxa"/>
          </w:tcPr>
          <w:p w14:paraId="662FDBBD" w14:textId="77777777" w:rsidR="00A720EB" w:rsidRDefault="0030286B">
            <w:pPr>
              <w:pStyle w:val="TableParagraph"/>
              <w:spacing w:before="92"/>
              <w:rPr>
                <w:rFonts w:ascii="Cambria"/>
                <w:sz w:val="21"/>
              </w:rPr>
            </w:pPr>
            <w:r>
              <w:rPr>
                <w:rFonts w:ascii="Cambria"/>
                <w:color w:val="333333"/>
                <w:w w:val="110"/>
                <w:sz w:val="21"/>
              </w:rPr>
              <w:t>Whether to enable the logfile endpoint.</w:t>
            </w:r>
          </w:p>
        </w:tc>
      </w:tr>
      <w:tr w:rsidR="00A720EB" w14:paraId="4A107203" w14:textId="77777777">
        <w:trPr>
          <w:trHeight w:val="1056"/>
        </w:trPr>
        <w:tc>
          <w:tcPr>
            <w:tcW w:w="2494" w:type="dxa"/>
          </w:tcPr>
          <w:p w14:paraId="0F6DFAAB"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.lo gfile.external-file</w:t>
            </w:r>
          </w:p>
        </w:tc>
        <w:tc>
          <w:tcPr>
            <w:tcW w:w="2494" w:type="dxa"/>
          </w:tcPr>
          <w:p w14:paraId="093633FD" w14:textId="77777777" w:rsidR="00A720EB" w:rsidRDefault="00A720EB">
            <w:pPr>
              <w:pStyle w:val="TableParagraph"/>
              <w:spacing w:before="0"/>
              <w:ind w:left="0"/>
              <w:rPr>
                <w:rFonts w:ascii="Times New Roman"/>
                <w:sz w:val="20"/>
              </w:rPr>
            </w:pPr>
          </w:p>
        </w:tc>
        <w:tc>
          <w:tcPr>
            <w:tcW w:w="4988" w:type="dxa"/>
          </w:tcPr>
          <w:p w14:paraId="7F75176B" w14:textId="77777777" w:rsidR="00A720EB" w:rsidRDefault="0030286B">
            <w:pPr>
              <w:pStyle w:val="TableParagraph"/>
              <w:spacing w:before="28" w:line="310" w:lineRule="atLeast"/>
              <w:ind w:right="218"/>
              <w:rPr>
                <w:rFonts w:ascii="Cambria"/>
                <w:sz w:val="21"/>
              </w:rPr>
            </w:pPr>
            <w:r>
              <w:rPr>
                <w:rFonts w:ascii="Cambria"/>
                <w:color w:val="333333"/>
                <w:w w:val="110"/>
                <w:sz w:val="21"/>
              </w:rPr>
              <w:t>External Logfile to be accessed. Can be used if the logfile is written by output redirect and not by the logging system itself.</w:t>
            </w:r>
          </w:p>
        </w:tc>
      </w:tr>
      <w:tr w:rsidR="00A720EB" w14:paraId="5802720B" w14:textId="77777777">
        <w:trPr>
          <w:trHeight w:val="886"/>
        </w:trPr>
        <w:tc>
          <w:tcPr>
            <w:tcW w:w="2494" w:type="dxa"/>
          </w:tcPr>
          <w:p w14:paraId="73F2A697" w14:textId="77777777" w:rsidR="00A720EB" w:rsidRDefault="0030286B">
            <w:pPr>
              <w:pStyle w:val="TableParagraph"/>
              <w:spacing w:before="46" w:line="230" w:lineRule="auto"/>
              <w:ind w:right="113"/>
              <w:rPr>
                <w:sz w:val="21"/>
              </w:rPr>
            </w:pPr>
            <w:proofErr w:type="gramStart"/>
            <w:r>
              <w:rPr>
                <w:color w:val="B02045"/>
                <w:sz w:val="21"/>
              </w:rPr>
              <w:t>management.endpoint</w:t>
            </w:r>
            <w:proofErr w:type="gramEnd"/>
            <w:r>
              <w:rPr>
                <w:color w:val="B02045"/>
                <w:sz w:val="21"/>
              </w:rPr>
              <w:t>.lo ggers.cache.time-to- live</w:t>
            </w:r>
          </w:p>
        </w:tc>
        <w:tc>
          <w:tcPr>
            <w:tcW w:w="2494" w:type="dxa"/>
          </w:tcPr>
          <w:p w14:paraId="3EEDF654" w14:textId="77777777" w:rsidR="00A720EB" w:rsidRDefault="0030286B">
            <w:pPr>
              <w:pStyle w:val="TableParagraph"/>
              <w:rPr>
                <w:sz w:val="21"/>
              </w:rPr>
            </w:pPr>
            <w:r>
              <w:rPr>
                <w:color w:val="B02045"/>
                <w:sz w:val="21"/>
              </w:rPr>
              <w:t>0ms</w:t>
            </w:r>
          </w:p>
        </w:tc>
        <w:tc>
          <w:tcPr>
            <w:tcW w:w="4988" w:type="dxa"/>
          </w:tcPr>
          <w:p w14:paraId="4A0FB793"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6CF35FB1" w14:textId="77777777">
        <w:trPr>
          <w:trHeight w:val="627"/>
        </w:trPr>
        <w:tc>
          <w:tcPr>
            <w:tcW w:w="2494" w:type="dxa"/>
          </w:tcPr>
          <w:p w14:paraId="70DE028F" w14:textId="77777777" w:rsidR="00A720EB" w:rsidRDefault="0030286B">
            <w:pPr>
              <w:pStyle w:val="TableParagraph"/>
              <w:spacing w:before="46" w:line="230" w:lineRule="auto"/>
              <w:ind w:right="94"/>
              <w:rPr>
                <w:sz w:val="21"/>
              </w:rPr>
            </w:pPr>
            <w:proofErr w:type="gramStart"/>
            <w:r>
              <w:rPr>
                <w:color w:val="B02045"/>
                <w:sz w:val="21"/>
              </w:rPr>
              <w:t>management.endpoint</w:t>
            </w:r>
            <w:proofErr w:type="gramEnd"/>
            <w:r>
              <w:rPr>
                <w:color w:val="B02045"/>
                <w:sz w:val="21"/>
              </w:rPr>
              <w:t>.lo ggers.enabled</w:t>
            </w:r>
          </w:p>
        </w:tc>
        <w:tc>
          <w:tcPr>
            <w:tcW w:w="2494" w:type="dxa"/>
          </w:tcPr>
          <w:p w14:paraId="10151DBD" w14:textId="77777777" w:rsidR="00A720EB" w:rsidRDefault="0030286B">
            <w:pPr>
              <w:pStyle w:val="TableParagraph"/>
              <w:spacing w:before="37"/>
              <w:rPr>
                <w:sz w:val="21"/>
              </w:rPr>
            </w:pPr>
            <w:r>
              <w:rPr>
                <w:color w:val="B02045"/>
                <w:sz w:val="21"/>
              </w:rPr>
              <w:t>true</w:t>
            </w:r>
          </w:p>
        </w:tc>
        <w:tc>
          <w:tcPr>
            <w:tcW w:w="4988" w:type="dxa"/>
          </w:tcPr>
          <w:p w14:paraId="1522A3D2" w14:textId="77777777" w:rsidR="00A720EB" w:rsidRDefault="0030286B">
            <w:pPr>
              <w:pStyle w:val="TableParagraph"/>
              <w:spacing w:before="92"/>
              <w:rPr>
                <w:rFonts w:ascii="Cambria"/>
                <w:sz w:val="21"/>
              </w:rPr>
            </w:pPr>
            <w:r>
              <w:rPr>
                <w:rFonts w:ascii="Cambria"/>
                <w:color w:val="333333"/>
                <w:w w:val="110"/>
                <w:sz w:val="21"/>
              </w:rPr>
              <w:t xml:space="preserve">Whether to enable the </w:t>
            </w:r>
            <w:proofErr w:type="gramStart"/>
            <w:r>
              <w:rPr>
                <w:rFonts w:ascii="Cambria"/>
                <w:color w:val="333333"/>
                <w:w w:val="110"/>
                <w:sz w:val="21"/>
              </w:rPr>
              <w:t>loggers</w:t>
            </w:r>
            <w:proofErr w:type="gramEnd"/>
            <w:r>
              <w:rPr>
                <w:rFonts w:ascii="Cambria"/>
                <w:color w:val="333333"/>
                <w:w w:val="110"/>
                <w:sz w:val="21"/>
              </w:rPr>
              <w:t xml:space="preserve"> endpoint.</w:t>
            </w:r>
          </w:p>
        </w:tc>
      </w:tr>
      <w:tr w:rsidR="00A720EB" w14:paraId="78C8B879" w14:textId="77777777">
        <w:trPr>
          <w:trHeight w:val="886"/>
        </w:trPr>
        <w:tc>
          <w:tcPr>
            <w:tcW w:w="2494" w:type="dxa"/>
          </w:tcPr>
          <w:p w14:paraId="4FAAF02D" w14:textId="77777777" w:rsidR="00A720EB" w:rsidRDefault="0030286B">
            <w:pPr>
              <w:pStyle w:val="TableParagraph"/>
              <w:spacing w:before="46" w:line="230" w:lineRule="auto"/>
              <w:ind w:right="113"/>
              <w:rPr>
                <w:sz w:val="21"/>
              </w:rPr>
            </w:pPr>
            <w:r>
              <w:rPr>
                <w:color w:val="B02045"/>
                <w:sz w:val="21"/>
              </w:rPr>
              <w:t xml:space="preserve">management.endpoint.ma </w:t>
            </w:r>
            <w:proofErr w:type="gramStart"/>
            <w:r>
              <w:rPr>
                <w:color w:val="B02045"/>
                <w:sz w:val="21"/>
              </w:rPr>
              <w:t>ppings.cache</w:t>
            </w:r>
            <w:proofErr w:type="gramEnd"/>
            <w:r>
              <w:rPr>
                <w:color w:val="B02045"/>
                <w:sz w:val="21"/>
              </w:rPr>
              <w:t>.time-to- live</w:t>
            </w:r>
          </w:p>
        </w:tc>
        <w:tc>
          <w:tcPr>
            <w:tcW w:w="2494" w:type="dxa"/>
          </w:tcPr>
          <w:p w14:paraId="6BCCD752" w14:textId="77777777" w:rsidR="00A720EB" w:rsidRDefault="0030286B">
            <w:pPr>
              <w:pStyle w:val="TableParagraph"/>
              <w:rPr>
                <w:sz w:val="21"/>
              </w:rPr>
            </w:pPr>
            <w:r>
              <w:rPr>
                <w:color w:val="B02045"/>
                <w:sz w:val="21"/>
              </w:rPr>
              <w:t>0ms</w:t>
            </w:r>
          </w:p>
        </w:tc>
        <w:tc>
          <w:tcPr>
            <w:tcW w:w="4988" w:type="dxa"/>
          </w:tcPr>
          <w:p w14:paraId="2C6D50FD"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515607EA" w14:textId="77777777">
        <w:trPr>
          <w:trHeight w:val="627"/>
        </w:trPr>
        <w:tc>
          <w:tcPr>
            <w:tcW w:w="2494" w:type="dxa"/>
          </w:tcPr>
          <w:p w14:paraId="4759ED7F" w14:textId="77777777" w:rsidR="00A720EB" w:rsidRDefault="0030286B">
            <w:pPr>
              <w:pStyle w:val="TableParagraph"/>
              <w:spacing w:before="46" w:line="230" w:lineRule="auto"/>
              <w:ind w:right="94"/>
              <w:rPr>
                <w:sz w:val="21"/>
              </w:rPr>
            </w:pPr>
            <w:r>
              <w:rPr>
                <w:color w:val="B02045"/>
                <w:sz w:val="21"/>
              </w:rPr>
              <w:t xml:space="preserve">management.endpoint.ma </w:t>
            </w:r>
            <w:proofErr w:type="gramStart"/>
            <w:r>
              <w:rPr>
                <w:color w:val="B02045"/>
                <w:sz w:val="21"/>
              </w:rPr>
              <w:t>ppings.enabled</w:t>
            </w:r>
            <w:proofErr w:type="gramEnd"/>
          </w:p>
        </w:tc>
        <w:tc>
          <w:tcPr>
            <w:tcW w:w="2494" w:type="dxa"/>
          </w:tcPr>
          <w:p w14:paraId="5FF8FE92" w14:textId="77777777" w:rsidR="00A720EB" w:rsidRDefault="0030286B">
            <w:pPr>
              <w:pStyle w:val="TableParagraph"/>
              <w:rPr>
                <w:sz w:val="21"/>
              </w:rPr>
            </w:pPr>
            <w:r>
              <w:rPr>
                <w:color w:val="B02045"/>
                <w:sz w:val="21"/>
              </w:rPr>
              <w:t>true</w:t>
            </w:r>
          </w:p>
        </w:tc>
        <w:tc>
          <w:tcPr>
            <w:tcW w:w="4988" w:type="dxa"/>
          </w:tcPr>
          <w:p w14:paraId="6E4B1448" w14:textId="77777777" w:rsidR="00A720EB" w:rsidRDefault="0030286B">
            <w:pPr>
              <w:pStyle w:val="TableParagraph"/>
              <w:spacing w:before="92"/>
              <w:rPr>
                <w:rFonts w:ascii="Cambria"/>
                <w:sz w:val="21"/>
              </w:rPr>
            </w:pPr>
            <w:r>
              <w:rPr>
                <w:rFonts w:ascii="Cambria"/>
                <w:color w:val="333333"/>
                <w:w w:val="110"/>
                <w:sz w:val="21"/>
              </w:rPr>
              <w:t>Whether to enable the mappings endpoint.</w:t>
            </w:r>
          </w:p>
        </w:tc>
      </w:tr>
      <w:tr w:rsidR="00A720EB" w14:paraId="0A210248" w14:textId="77777777">
        <w:trPr>
          <w:trHeight w:val="886"/>
        </w:trPr>
        <w:tc>
          <w:tcPr>
            <w:tcW w:w="2494" w:type="dxa"/>
          </w:tcPr>
          <w:p w14:paraId="6C7A7C4A" w14:textId="77777777" w:rsidR="00A720EB" w:rsidRDefault="0030286B">
            <w:pPr>
              <w:pStyle w:val="TableParagraph"/>
              <w:spacing w:before="46" w:line="230" w:lineRule="auto"/>
              <w:ind w:right="113"/>
              <w:rPr>
                <w:sz w:val="21"/>
              </w:rPr>
            </w:pPr>
            <w:r>
              <w:rPr>
                <w:color w:val="B02045"/>
                <w:sz w:val="21"/>
              </w:rPr>
              <w:t xml:space="preserve">management.endpoint.me </w:t>
            </w:r>
            <w:proofErr w:type="gramStart"/>
            <w:r>
              <w:rPr>
                <w:color w:val="B02045"/>
                <w:sz w:val="21"/>
              </w:rPr>
              <w:t>trics.cache</w:t>
            </w:r>
            <w:proofErr w:type="gramEnd"/>
            <w:r>
              <w:rPr>
                <w:color w:val="B02045"/>
                <w:sz w:val="21"/>
              </w:rPr>
              <w:t>.time-to- live</w:t>
            </w:r>
          </w:p>
        </w:tc>
        <w:tc>
          <w:tcPr>
            <w:tcW w:w="2494" w:type="dxa"/>
          </w:tcPr>
          <w:p w14:paraId="31FF0C62" w14:textId="77777777" w:rsidR="00A720EB" w:rsidRDefault="0030286B">
            <w:pPr>
              <w:pStyle w:val="TableParagraph"/>
              <w:rPr>
                <w:sz w:val="21"/>
              </w:rPr>
            </w:pPr>
            <w:r>
              <w:rPr>
                <w:color w:val="B02045"/>
                <w:sz w:val="21"/>
              </w:rPr>
              <w:t>0ms</w:t>
            </w:r>
          </w:p>
        </w:tc>
        <w:tc>
          <w:tcPr>
            <w:tcW w:w="4988" w:type="dxa"/>
          </w:tcPr>
          <w:p w14:paraId="208ADBDA"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6F1DE697" w14:textId="77777777">
        <w:trPr>
          <w:trHeight w:val="627"/>
        </w:trPr>
        <w:tc>
          <w:tcPr>
            <w:tcW w:w="2494" w:type="dxa"/>
          </w:tcPr>
          <w:p w14:paraId="2F612D98" w14:textId="77777777" w:rsidR="00A720EB" w:rsidRDefault="0030286B">
            <w:pPr>
              <w:pStyle w:val="TableParagraph"/>
              <w:spacing w:before="46" w:line="230" w:lineRule="auto"/>
              <w:ind w:right="94"/>
              <w:rPr>
                <w:sz w:val="21"/>
              </w:rPr>
            </w:pPr>
            <w:r>
              <w:rPr>
                <w:color w:val="B02045"/>
                <w:sz w:val="21"/>
              </w:rPr>
              <w:t xml:space="preserve">management.endpoint.me </w:t>
            </w:r>
            <w:proofErr w:type="gramStart"/>
            <w:r>
              <w:rPr>
                <w:color w:val="B02045"/>
                <w:sz w:val="21"/>
              </w:rPr>
              <w:t>trics.enabled</w:t>
            </w:r>
            <w:proofErr w:type="gramEnd"/>
          </w:p>
        </w:tc>
        <w:tc>
          <w:tcPr>
            <w:tcW w:w="2494" w:type="dxa"/>
          </w:tcPr>
          <w:p w14:paraId="3E1EE4DA" w14:textId="77777777" w:rsidR="00A720EB" w:rsidRDefault="0030286B">
            <w:pPr>
              <w:pStyle w:val="TableParagraph"/>
              <w:spacing w:before="37"/>
              <w:rPr>
                <w:sz w:val="21"/>
              </w:rPr>
            </w:pPr>
            <w:r>
              <w:rPr>
                <w:color w:val="B02045"/>
                <w:sz w:val="21"/>
              </w:rPr>
              <w:t>true</w:t>
            </w:r>
          </w:p>
        </w:tc>
        <w:tc>
          <w:tcPr>
            <w:tcW w:w="4988" w:type="dxa"/>
          </w:tcPr>
          <w:p w14:paraId="423E67B8" w14:textId="77777777" w:rsidR="00A720EB" w:rsidRDefault="0030286B">
            <w:pPr>
              <w:pStyle w:val="TableParagraph"/>
              <w:spacing w:before="92"/>
              <w:rPr>
                <w:rFonts w:ascii="Cambria"/>
                <w:sz w:val="21"/>
              </w:rPr>
            </w:pPr>
            <w:r>
              <w:rPr>
                <w:rFonts w:ascii="Cambria"/>
                <w:color w:val="333333"/>
                <w:w w:val="110"/>
                <w:sz w:val="21"/>
              </w:rPr>
              <w:t>Whether to enable the metrics endpoint.</w:t>
            </w:r>
          </w:p>
        </w:tc>
      </w:tr>
      <w:tr w:rsidR="00A720EB" w14:paraId="2426A1E4" w14:textId="77777777">
        <w:trPr>
          <w:trHeight w:val="886"/>
        </w:trPr>
        <w:tc>
          <w:tcPr>
            <w:tcW w:w="2494" w:type="dxa"/>
          </w:tcPr>
          <w:p w14:paraId="69242C82" w14:textId="77777777" w:rsidR="00A720EB" w:rsidRDefault="0030286B">
            <w:pPr>
              <w:pStyle w:val="TableParagraph"/>
              <w:spacing w:before="46" w:line="230" w:lineRule="auto"/>
              <w:ind w:right="113"/>
              <w:rPr>
                <w:sz w:val="21"/>
              </w:rPr>
            </w:pPr>
            <w:r>
              <w:rPr>
                <w:color w:val="B02045"/>
                <w:sz w:val="21"/>
              </w:rPr>
              <w:t xml:space="preserve">management.endpoint.pr </w:t>
            </w:r>
            <w:proofErr w:type="gramStart"/>
            <w:r>
              <w:rPr>
                <w:color w:val="B02045"/>
                <w:sz w:val="21"/>
              </w:rPr>
              <w:t>ometheus.cache</w:t>
            </w:r>
            <w:proofErr w:type="gramEnd"/>
            <w:r>
              <w:rPr>
                <w:color w:val="B02045"/>
                <w:sz w:val="21"/>
              </w:rPr>
              <w:t>.time- to-live</w:t>
            </w:r>
          </w:p>
        </w:tc>
        <w:tc>
          <w:tcPr>
            <w:tcW w:w="2494" w:type="dxa"/>
          </w:tcPr>
          <w:p w14:paraId="2BCC6898" w14:textId="77777777" w:rsidR="00A720EB" w:rsidRDefault="0030286B">
            <w:pPr>
              <w:pStyle w:val="TableParagraph"/>
              <w:spacing w:before="37"/>
              <w:rPr>
                <w:sz w:val="21"/>
              </w:rPr>
            </w:pPr>
            <w:r>
              <w:rPr>
                <w:color w:val="B02045"/>
                <w:sz w:val="21"/>
              </w:rPr>
              <w:t>0ms</w:t>
            </w:r>
          </w:p>
        </w:tc>
        <w:tc>
          <w:tcPr>
            <w:tcW w:w="4988" w:type="dxa"/>
          </w:tcPr>
          <w:p w14:paraId="5BD5623D"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15F0535B" w14:textId="77777777">
        <w:trPr>
          <w:trHeight w:val="627"/>
        </w:trPr>
        <w:tc>
          <w:tcPr>
            <w:tcW w:w="2494" w:type="dxa"/>
          </w:tcPr>
          <w:p w14:paraId="791D7899" w14:textId="77777777" w:rsidR="00A720EB" w:rsidRDefault="0030286B">
            <w:pPr>
              <w:pStyle w:val="TableParagraph"/>
              <w:spacing w:before="46" w:line="230" w:lineRule="auto"/>
              <w:ind w:right="94"/>
              <w:rPr>
                <w:sz w:val="21"/>
              </w:rPr>
            </w:pPr>
            <w:r>
              <w:rPr>
                <w:color w:val="B02045"/>
                <w:sz w:val="21"/>
              </w:rPr>
              <w:t xml:space="preserve">management.endpoint.pr </w:t>
            </w:r>
            <w:proofErr w:type="gramStart"/>
            <w:r>
              <w:rPr>
                <w:color w:val="B02045"/>
                <w:sz w:val="21"/>
              </w:rPr>
              <w:t>ometheus.enabled</w:t>
            </w:r>
            <w:proofErr w:type="gramEnd"/>
          </w:p>
        </w:tc>
        <w:tc>
          <w:tcPr>
            <w:tcW w:w="2494" w:type="dxa"/>
          </w:tcPr>
          <w:p w14:paraId="7AA87E70" w14:textId="77777777" w:rsidR="00A720EB" w:rsidRDefault="0030286B">
            <w:pPr>
              <w:pStyle w:val="TableParagraph"/>
              <w:rPr>
                <w:sz w:val="21"/>
              </w:rPr>
            </w:pPr>
            <w:r>
              <w:rPr>
                <w:color w:val="B02045"/>
                <w:sz w:val="21"/>
              </w:rPr>
              <w:t>true</w:t>
            </w:r>
          </w:p>
        </w:tc>
        <w:tc>
          <w:tcPr>
            <w:tcW w:w="4988" w:type="dxa"/>
          </w:tcPr>
          <w:p w14:paraId="2D078E71" w14:textId="77777777" w:rsidR="00A720EB" w:rsidRDefault="0030286B">
            <w:pPr>
              <w:pStyle w:val="TableParagraph"/>
              <w:spacing w:before="92"/>
              <w:rPr>
                <w:rFonts w:ascii="Cambria"/>
                <w:sz w:val="21"/>
              </w:rPr>
            </w:pPr>
            <w:r>
              <w:rPr>
                <w:rFonts w:ascii="Cambria"/>
                <w:color w:val="333333"/>
                <w:w w:val="110"/>
                <w:sz w:val="21"/>
              </w:rPr>
              <w:t>Whether to enable the prometheus endpoint.</w:t>
            </w:r>
          </w:p>
        </w:tc>
      </w:tr>
    </w:tbl>
    <w:p w14:paraId="3FBA766B"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080CBE50" w14:textId="77777777">
        <w:trPr>
          <w:trHeight w:val="415"/>
        </w:trPr>
        <w:tc>
          <w:tcPr>
            <w:tcW w:w="2494" w:type="dxa"/>
            <w:tcBorders>
              <w:bottom w:val="single" w:sz="12" w:space="0" w:color="DDDDDD"/>
            </w:tcBorders>
          </w:tcPr>
          <w:p w14:paraId="6F5DAEBA"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7804F6D3"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17DF429"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82675EB" w14:textId="77777777">
        <w:trPr>
          <w:trHeight w:val="876"/>
        </w:trPr>
        <w:tc>
          <w:tcPr>
            <w:tcW w:w="2494" w:type="dxa"/>
            <w:tcBorders>
              <w:top w:val="single" w:sz="12" w:space="0" w:color="DDDDDD"/>
            </w:tcBorders>
          </w:tcPr>
          <w:p w14:paraId="6BEDA873" w14:textId="77777777" w:rsidR="00A720EB" w:rsidRDefault="0030286B">
            <w:pPr>
              <w:pStyle w:val="TableParagraph"/>
              <w:spacing w:before="36" w:line="230" w:lineRule="auto"/>
              <w:ind w:right="113"/>
              <w:jc w:val="both"/>
              <w:rPr>
                <w:sz w:val="21"/>
              </w:rPr>
            </w:pPr>
            <w:r>
              <w:rPr>
                <w:color w:val="B02045"/>
                <w:sz w:val="21"/>
              </w:rPr>
              <w:t>management.endpoint.sc heduledtasks.cache.tim e-to-live</w:t>
            </w:r>
          </w:p>
        </w:tc>
        <w:tc>
          <w:tcPr>
            <w:tcW w:w="2494" w:type="dxa"/>
            <w:tcBorders>
              <w:top w:val="single" w:sz="12" w:space="0" w:color="DDDDDD"/>
            </w:tcBorders>
          </w:tcPr>
          <w:p w14:paraId="1764361F" w14:textId="77777777" w:rsidR="00A720EB" w:rsidRDefault="0030286B">
            <w:pPr>
              <w:pStyle w:val="TableParagraph"/>
              <w:spacing w:before="27"/>
              <w:rPr>
                <w:sz w:val="21"/>
              </w:rPr>
            </w:pPr>
            <w:r>
              <w:rPr>
                <w:color w:val="B02045"/>
                <w:sz w:val="21"/>
              </w:rPr>
              <w:t>0ms</w:t>
            </w:r>
          </w:p>
        </w:tc>
        <w:tc>
          <w:tcPr>
            <w:tcW w:w="4988" w:type="dxa"/>
            <w:tcBorders>
              <w:top w:val="single" w:sz="12" w:space="0" w:color="DDDDDD"/>
            </w:tcBorders>
          </w:tcPr>
          <w:p w14:paraId="7A7CFDED" w14:textId="77777777" w:rsidR="00A720EB" w:rsidRDefault="0030286B">
            <w:pPr>
              <w:pStyle w:val="TableParagraph"/>
              <w:spacing w:before="82"/>
              <w:rPr>
                <w:rFonts w:ascii="Cambria"/>
                <w:sz w:val="21"/>
              </w:rPr>
            </w:pPr>
            <w:r>
              <w:rPr>
                <w:rFonts w:ascii="Cambria"/>
                <w:color w:val="333333"/>
                <w:w w:val="115"/>
                <w:sz w:val="21"/>
              </w:rPr>
              <w:t>Maximum time that a response can be cached.</w:t>
            </w:r>
          </w:p>
        </w:tc>
      </w:tr>
      <w:tr w:rsidR="00A720EB" w14:paraId="66A6E566" w14:textId="77777777">
        <w:trPr>
          <w:trHeight w:val="627"/>
        </w:trPr>
        <w:tc>
          <w:tcPr>
            <w:tcW w:w="2494" w:type="dxa"/>
          </w:tcPr>
          <w:p w14:paraId="668685EB" w14:textId="77777777" w:rsidR="00A720EB" w:rsidRDefault="0030286B">
            <w:pPr>
              <w:pStyle w:val="TableParagraph"/>
              <w:spacing w:before="46" w:line="230" w:lineRule="auto"/>
              <w:ind w:right="94"/>
              <w:rPr>
                <w:sz w:val="21"/>
              </w:rPr>
            </w:pPr>
            <w:r>
              <w:rPr>
                <w:color w:val="B02045"/>
                <w:sz w:val="21"/>
              </w:rPr>
              <w:t xml:space="preserve">management.endpoint.sc </w:t>
            </w:r>
            <w:proofErr w:type="gramStart"/>
            <w:r>
              <w:rPr>
                <w:color w:val="B02045"/>
                <w:sz w:val="21"/>
              </w:rPr>
              <w:t>heduledtasks.enabled</w:t>
            </w:r>
            <w:proofErr w:type="gramEnd"/>
          </w:p>
        </w:tc>
        <w:tc>
          <w:tcPr>
            <w:tcW w:w="2494" w:type="dxa"/>
          </w:tcPr>
          <w:p w14:paraId="51CC887F" w14:textId="77777777" w:rsidR="00A720EB" w:rsidRDefault="0030286B">
            <w:pPr>
              <w:pStyle w:val="TableParagraph"/>
              <w:rPr>
                <w:sz w:val="21"/>
              </w:rPr>
            </w:pPr>
            <w:r>
              <w:rPr>
                <w:color w:val="B02045"/>
                <w:sz w:val="21"/>
              </w:rPr>
              <w:t>true</w:t>
            </w:r>
          </w:p>
        </w:tc>
        <w:tc>
          <w:tcPr>
            <w:tcW w:w="4988" w:type="dxa"/>
          </w:tcPr>
          <w:p w14:paraId="2E9D6134" w14:textId="77777777" w:rsidR="00A720EB" w:rsidRDefault="0030286B">
            <w:pPr>
              <w:pStyle w:val="TableParagraph"/>
              <w:spacing w:before="92"/>
              <w:rPr>
                <w:rFonts w:ascii="Cambria"/>
                <w:sz w:val="21"/>
              </w:rPr>
            </w:pPr>
            <w:r>
              <w:rPr>
                <w:rFonts w:ascii="Cambria"/>
                <w:color w:val="333333"/>
                <w:w w:val="110"/>
                <w:sz w:val="21"/>
              </w:rPr>
              <w:t>Whether to enable the scheduledtasks endpoint.</w:t>
            </w:r>
          </w:p>
        </w:tc>
      </w:tr>
      <w:tr w:rsidR="00A720EB" w14:paraId="750E0E72" w14:textId="77777777">
        <w:trPr>
          <w:trHeight w:val="627"/>
        </w:trPr>
        <w:tc>
          <w:tcPr>
            <w:tcW w:w="2494" w:type="dxa"/>
          </w:tcPr>
          <w:p w14:paraId="2BBB6E45" w14:textId="77777777" w:rsidR="00A720EB" w:rsidRDefault="0030286B">
            <w:pPr>
              <w:pStyle w:val="TableParagraph"/>
              <w:spacing w:before="46" w:line="230" w:lineRule="auto"/>
              <w:ind w:right="94"/>
              <w:rPr>
                <w:sz w:val="21"/>
              </w:rPr>
            </w:pPr>
            <w:r>
              <w:rPr>
                <w:color w:val="B02045"/>
                <w:sz w:val="21"/>
              </w:rPr>
              <w:t xml:space="preserve">management.endpoint.se </w:t>
            </w:r>
            <w:proofErr w:type="gramStart"/>
            <w:r>
              <w:rPr>
                <w:color w:val="B02045"/>
                <w:sz w:val="21"/>
              </w:rPr>
              <w:t>ssions.enabled</w:t>
            </w:r>
            <w:proofErr w:type="gramEnd"/>
          </w:p>
        </w:tc>
        <w:tc>
          <w:tcPr>
            <w:tcW w:w="2494" w:type="dxa"/>
          </w:tcPr>
          <w:p w14:paraId="50821C57" w14:textId="77777777" w:rsidR="00A720EB" w:rsidRDefault="0030286B">
            <w:pPr>
              <w:pStyle w:val="TableParagraph"/>
              <w:rPr>
                <w:sz w:val="21"/>
              </w:rPr>
            </w:pPr>
            <w:r>
              <w:rPr>
                <w:color w:val="B02045"/>
                <w:sz w:val="21"/>
              </w:rPr>
              <w:t>true</w:t>
            </w:r>
          </w:p>
        </w:tc>
        <w:tc>
          <w:tcPr>
            <w:tcW w:w="4988" w:type="dxa"/>
          </w:tcPr>
          <w:p w14:paraId="2A861631" w14:textId="77777777" w:rsidR="00A720EB" w:rsidRDefault="0030286B">
            <w:pPr>
              <w:pStyle w:val="TableParagraph"/>
              <w:spacing w:before="92"/>
              <w:rPr>
                <w:rFonts w:ascii="Cambria"/>
                <w:sz w:val="21"/>
              </w:rPr>
            </w:pPr>
            <w:r>
              <w:rPr>
                <w:rFonts w:ascii="Cambria"/>
                <w:color w:val="333333"/>
                <w:w w:val="110"/>
                <w:sz w:val="21"/>
              </w:rPr>
              <w:t>Whether to enable the sessions endpoint.</w:t>
            </w:r>
          </w:p>
        </w:tc>
      </w:tr>
      <w:tr w:rsidR="00A720EB" w14:paraId="0285E905" w14:textId="77777777">
        <w:trPr>
          <w:trHeight w:val="627"/>
        </w:trPr>
        <w:tc>
          <w:tcPr>
            <w:tcW w:w="2494" w:type="dxa"/>
          </w:tcPr>
          <w:p w14:paraId="374D118B" w14:textId="77777777" w:rsidR="00A720EB" w:rsidRDefault="0030286B">
            <w:pPr>
              <w:pStyle w:val="TableParagraph"/>
              <w:spacing w:before="46" w:line="230" w:lineRule="auto"/>
              <w:ind w:right="94"/>
              <w:rPr>
                <w:sz w:val="21"/>
              </w:rPr>
            </w:pPr>
            <w:r>
              <w:rPr>
                <w:color w:val="B02045"/>
                <w:sz w:val="21"/>
              </w:rPr>
              <w:t xml:space="preserve">management.endpoint.sh </w:t>
            </w:r>
            <w:proofErr w:type="gramStart"/>
            <w:r>
              <w:rPr>
                <w:color w:val="B02045"/>
                <w:sz w:val="21"/>
              </w:rPr>
              <w:t>utdown.enabled</w:t>
            </w:r>
            <w:proofErr w:type="gramEnd"/>
          </w:p>
        </w:tc>
        <w:tc>
          <w:tcPr>
            <w:tcW w:w="2494" w:type="dxa"/>
          </w:tcPr>
          <w:p w14:paraId="22A6CB27" w14:textId="77777777" w:rsidR="00A720EB" w:rsidRDefault="0030286B">
            <w:pPr>
              <w:pStyle w:val="TableParagraph"/>
              <w:spacing w:before="37"/>
              <w:rPr>
                <w:sz w:val="21"/>
              </w:rPr>
            </w:pPr>
            <w:r>
              <w:rPr>
                <w:color w:val="B02045"/>
                <w:sz w:val="21"/>
              </w:rPr>
              <w:t>false</w:t>
            </w:r>
          </w:p>
        </w:tc>
        <w:tc>
          <w:tcPr>
            <w:tcW w:w="4988" w:type="dxa"/>
          </w:tcPr>
          <w:p w14:paraId="73CC5FD8" w14:textId="77777777" w:rsidR="00A720EB" w:rsidRDefault="0030286B">
            <w:pPr>
              <w:pStyle w:val="TableParagraph"/>
              <w:spacing w:before="92"/>
              <w:rPr>
                <w:rFonts w:ascii="Cambria"/>
                <w:sz w:val="21"/>
              </w:rPr>
            </w:pPr>
            <w:r>
              <w:rPr>
                <w:rFonts w:ascii="Cambria"/>
                <w:color w:val="333333"/>
                <w:w w:val="110"/>
                <w:sz w:val="21"/>
              </w:rPr>
              <w:t>Whether to enable the shutdown endpoint.</w:t>
            </w:r>
          </w:p>
        </w:tc>
      </w:tr>
      <w:tr w:rsidR="00A720EB" w14:paraId="493EFAC8" w14:textId="77777777">
        <w:trPr>
          <w:trHeight w:val="886"/>
        </w:trPr>
        <w:tc>
          <w:tcPr>
            <w:tcW w:w="2494" w:type="dxa"/>
          </w:tcPr>
          <w:p w14:paraId="6649088E" w14:textId="77777777" w:rsidR="00A720EB" w:rsidRDefault="0030286B">
            <w:pPr>
              <w:pStyle w:val="TableParagraph"/>
              <w:spacing w:before="46" w:line="230" w:lineRule="auto"/>
              <w:ind w:right="113"/>
              <w:rPr>
                <w:sz w:val="21"/>
              </w:rPr>
            </w:pPr>
            <w:r>
              <w:rPr>
                <w:color w:val="B02045"/>
                <w:sz w:val="21"/>
              </w:rPr>
              <w:t xml:space="preserve">management.endpoint.th </w:t>
            </w:r>
            <w:proofErr w:type="gramStart"/>
            <w:r>
              <w:rPr>
                <w:color w:val="B02045"/>
                <w:sz w:val="21"/>
              </w:rPr>
              <w:t>readdump.cache</w:t>
            </w:r>
            <w:proofErr w:type="gramEnd"/>
            <w:r>
              <w:rPr>
                <w:color w:val="B02045"/>
                <w:sz w:val="21"/>
              </w:rPr>
              <w:t>.time- to-live</w:t>
            </w:r>
          </w:p>
        </w:tc>
        <w:tc>
          <w:tcPr>
            <w:tcW w:w="2494" w:type="dxa"/>
          </w:tcPr>
          <w:p w14:paraId="1ADA2215" w14:textId="77777777" w:rsidR="00A720EB" w:rsidRDefault="0030286B">
            <w:pPr>
              <w:pStyle w:val="TableParagraph"/>
              <w:spacing w:before="37"/>
              <w:rPr>
                <w:sz w:val="21"/>
              </w:rPr>
            </w:pPr>
            <w:r>
              <w:rPr>
                <w:color w:val="B02045"/>
                <w:sz w:val="21"/>
              </w:rPr>
              <w:t>0ms</w:t>
            </w:r>
          </w:p>
        </w:tc>
        <w:tc>
          <w:tcPr>
            <w:tcW w:w="4988" w:type="dxa"/>
          </w:tcPr>
          <w:p w14:paraId="3D5A38BA" w14:textId="77777777" w:rsidR="00A720EB" w:rsidRDefault="0030286B">
            <w:pPr>
              <w:pStyle w:val="TableParagraph"/>
              <w:spacing w:before="92"/>
              <w:rPr>
                <w:rFonts w:ascii="Cambria"/>
                <w:sz w:val="21"/>
              </w:rPr>
            </w:pPr>
            <w:r>
              <w:rPr>
                <w:rFonts w:ascii="Cambria"/>
                <w:color w:val="333333"/>
                <w:w w:val="115"/>
                <w:sz w:val="21"/>
              </w:rPr>
              <w:t>Maximum time that a response can be cached.</w:t>
            </w:r>
          </w:p>
        </w:tc>
      </w:tr>
      <w:tr w:rsidR="00A720EB" w14:paraId="34B4B2FC" w14:textId="77777777">
        <w:trPr>
          <w:trHeight w:val="627"/>
        </w:trPr>
        <w:tc>
          <w:tcPr>
            <w:tcW w:w="2494" w:type="dxa"/>
          </w:tcPr>
          <w:p w14:paraId="1027A1E0" w14:textId="77777777" w:rsidR="00A720EB" w:rsidRDefault="0030286B">
            <w:pPr>
              <w:pStyle w:val="TableParagraph"/>
              <w:spacing w:before="46" w:line="230" w:lineRule="auto"/>
              <w:ind w:right="94"/>
              <w:rPr>
                <w:sz w:val="21"/>
              </w:rPr>
            </w:pPr>
            <w:r>
              <w:rPr>
                <w:color w:val="B02045"/>
                <w:sz w:val="21"/>
              </w:rPr>
              <w:t xml:space="preserve">management.endpoint.th </w:t>
            </w:r>
            <w:proofErr w:type="gramStart"/>
            <w:r>
              <w:rPr>
                <w:color w:val="B02045"/>
                <w:sz w:val="21"/>
              </w:rPr>
              <w:t>readdump.enabled</w:t>
            </w:r>
            <w:proofErr w:type="gramEnd"/>
          </w:p>
        </w:tc>
        <w:tc>
          <w:tcPr>
            <w:tcW w:w="2494" w:type="dxa"/>
          </w:tcPr>
          <w:p w14:paraId="5B79D255" w14:textId="77777777" w:rsidR="00A720EB" w:rsidRDefault="0030286B">
            <w:pPr>
              <w:pStyle w:val="TableParagraph"/>
              <w:rPr>
                <w:sz w:val="21"/>
              </w:rPr>
            </w:pPr>
            <w:r>
              <w:rPr>
                <w:color w:val="B02045"/>
                <w:sz w:val="21"/>
              </w:rPr>
              <w:t>true</w:t>
            </w:r>
          </w:p>
        </w:tc>
        <w:tc>
          <w:tcPr>
            <w:tcW w:w="4988" w:type="dxa"/>
          </w:tcPr>
          <w:p w14:paraId="6B86FD6A" w14:textId="77777777" w:rsidR="00A720EB" w:rsidRDefault="0030286B">
            <w:pPr>
              <w:pStyle w:val="TableParagraph"/>
              <w:spacing w:before="92"/>
              <w:rPr>
                <w:rFonts w:ascii="Cambria"/>
                <w:sz w:val="21"/>
              </w:rPr>
            </w:pPr>
            <w:r>
              <w:rPr>
                <w:rFonts w:ascii="Cambria"/>
                <w:color w:val="333333"/>
                <w:w w:val="110"/>
                <w:sz w:val="21"/>
              </w:rPr>
              <w:t>Whether to enable the threaddump endpoint.</w:t>
            </w:r>
          </w:p>
        </w:tc>
      </w:tr>
      <w:tr w:rsidR="00A720EB" w14:paraId="3F9B88B8" w14:textId="77777777">
        <w:trPr>
          <w:trHeight w:val="741"/>
        </w:trPr>
        <w:tc>
          <w:tcPr>
            <w:tcW w:w="2494" w:type="dxa"/>
          </w:tcPr>
          <w:p w14:paraId="1343418B"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.e nabled-by-default</w:t>
            </w:r>
          </w:p>
        </w:tc>
        <w:tc>
          <w:tcPr>
            <w:tcW w:w="2494" w:type="dxa"/>
          </w:tcPr>
          <w:p w14:paraId="16363CBA" w14:textId="77777777" w:rsidR="00A720EB" w:rsidRDefault="00A720EB">
            <w:pPr>
              <w:pStyle w:val="TableParagraph"/>
              <w:spacing w:before="0"/>
              <w:ind w:left="0"/>
              <w:rPr>
                <w:rFonts w:ascii="Times New Roman"/>
                <w:sz w:val="20"/>
              </w:rPr>
            </w:pPr>
          </w:p>
        </w:tc>
        <w:tc>
          <w:tcPr>
            <w:tcW w:w="4988" w:type="dxa"/>
          </w:tcPr>
          <w:p w14:paraId="39C46D22" w14:textId="77777777" w:rsidR="00A720EB" w:rsidRDefault="0030286B">
            <w:pPr>
              <w:pStyle w:val="TableParagraph"/>
              <w:spacing w:before="28" w:line="310" w:lineRule="atLeast"/>
              <w:rPr>
                <w:rFonts w:ascii="Cambria"/>
                <w:sz w:val="21"/>
              </w:rPr>
            </w:pPr>
            <w:r>
              <w:rPr>
                <w:rFonts w:ascii="Cambria"/>
                <w:color w:val="333333"/>
                <w:w w:val="110"/>
                <w:sz w:val="21"/>
              </w:rPr>
              <w:t>Whether to enable or disable all endpoints by default.</w:t>
            </w:r>
          </w:p>
        </w:tc>
      </w:tr>
      <w:tr w:rsidR="00A720EB" w14:paraId="5F35E586" w14:textId="77777777">
        <w:trPr>
          <w:trHeight w:val="741"/>
        </w:trPr>
        <w:tc>
          <w:tcPr>
            <w:tcW w:w="2494" w:type="dxa"/>
          </w:tcPr>
          <w:p w14:paraId="4CD8CCBD" w14:textId="77777777" w:rsidR="00A720EB" w:rsidRDefault="0030286B">
            <w:pPr>
              <w:pStyle w:val="TableParagraph"/>
              <w:spacing w:before="46" w:line="230" w:lineRule="auto"/>
              <w:ind w:right="94"/>
              <w:rPr>
                <w:sz w:val="21"/>
              </w:rPr>
            </w:pPr>
            <w:proofErr w:type="gramStart"/>
            <w:r>
              <w:rPr>
                <w:color w:val="B02045"/>
                <w:sz w:val="21"/>
              </w:rPr>
              <w:t>management.endpoints</w:t>
            </w:r>
            <w:proofErr w:type="gramEnd"/>
            <w:r>
              <w:rPr>
                <w:color w:val="B02045"/>
                <w:sz w:val="21"/>
              </w:rPr>
              <w:t>.j mx.domain</w:t>
            </w:r>
          </w:p>
        </w:tc>
        <w:tc>
          <w:tcPr>
            <w:tcW w:w="2494" w:type="dxa"/>
          </w:tcPr>
          <w:p w14:paraId="34335CF5" w14:textId="77777777" w:rsidR="00A720EB" w:rsidRDefault="0030286B">
            <w:pPr>
              <w:pStyle w:val="TableParagraph"/>
              <w:spacing w:before="46" w:line="230" w:lineRule="auto"/>
              <w:ind w:right="94"/>
              <w:rPr>
                <w:sz w:val="21"/>
              </w:rPr>
            </w:pPr>
            <w:r>
              <w:rPr>
                <w:color w:val="B02045"/>
                <w:sz w:val="21"/>
              </w:rPr>
              <w:t>org.springframework.bo ot</w:t>
            </w:r>
          </w:p>
        </w:tc>
        <w:tc>
          <w:tcPr>
            <w:tcW w:w="4988" w:type="dxa"/>
          </w:tcPr>
          <w:p w14:paraId="3181E4DE" w14:textId="77777777" w:rsidR="00A720EB" w:rsidRDefault="0030286B">
            <w:pPr>
              <w:pStyle w:val="TableParagraph"/>
              <w:spacing w:before="28" w:line="310" w:lineRule="atLeast"/>
              <w:ind w:right="804"/>
              <w:rPr>
                <w:rFonts w:ascii="Cambria"/>
                <w:sz w:val="21"/>
              </w:rPr>
            </w:pPr>
            <w:r>
              <w:rPr>
                <w:rFonts w:ascii="Cambria"/>
                <w:color w:val="333333"/>
                <w:w w:val="110"/>
                <w:sz w:val="21"/>
              </w:rPr>
              <w:t>Endpoints JMX domain name. Fallback to 'spring.jmx.default-domain' if set.</w:t>
            </w:r>
          </w:p>
        </w:tc>
      </w:tr>
      <w:tr w:rsidR="00A720EB" w14:paraId="5B5E06E9" w14:textId="77777777">
        <w:trPr>
          <w:trHeight w:val="741"/>
        </w:trPr>
        <w:tc>
          <w:tcPr>
            <w:tcW w:w="2494" w:type="dxa"/>
          </w:tcPr>
          <w:p w14:paraId="31B32D75" w14:textId="77777777" w:rsidR="00A720EB" w:rsidRDefault="0030286B">
            <w:pPr>
              <w:pStyle w:val="TableParagraph"/>
              <w:spacing w:before="46" w:line="230" w:lineRule="auto"/>
              <w:ind w:right="94"/>
              <w:rPr>
                <w:sz w:val="21"/>
              </w:rPr>
            </w:pPr>
            <w:proofErr w:type="gramStart"/>
            <w:r>
              <w:rPr>
                <w:color w:val="B02045"/>
                <w:sz w:val="21"/>
              </w:rPr>
              <w:t>management.endpoints</w:t>
            </w:r>
            <w:proofErr w:type="gramEnd"/>
            <w:r>
              <w:rPr>
                <w:color w:val="B02045"/>
                <w:sz w:val="21"/>
              </w:rPr>
              <w:t>.j mx.exposure.exclude</w:t>
            </w:r>
          </w:p>
        </w:tc>
        <w:tc>
          <w:tcPr>
            <w:tcW w:w="2494" w:type="dxa"/>
          </w:tcPr>
          <w:p w14:paraId="41E3AAEF" w14:textId="77777777" w:rsidR="00A720EB" w:rsidRDefault="00A720EB">
            <w:pPr>
              <w:pStyle w:val="TableParagraph"/>
              <w:spacing w:before="0"/>
              <w:ind w:left="0"/>
              <w:rPr>
                <w:rFonts w:ascii="Times New Roman"/>
                <w:sz w:val="20"/>
              </w:rPr>
            </w:pPr>
          </w:p>
        </w:tc>
        <w:tc>
          <w:tcPr>
            <w:tcW w:w="4988" w:type="dxa"/>
          </w:tcPr>
          <w:p w14:paraId="56216CF6" w14:textId="77777777" w:rsidR="00A720EB" w:rsidRDefault="0030286B">
            <w:pPr>
              <w:pStyle w:val="TableParagraph"/>
              <w:spacing w:before="28" w:line="310" w:lineRule="atLeast"/>
              <w:ind w:right="218"/>
              <w:rPr>
                <w:rFonts w:ascii="Cambria"/>
                <w:sz w:val="21"/>
              </w:rPr>
            </w:pPr>
            <w:r>
              <w:rPr>
                <w:rFonts w:ascii="Cambria"/>
                <w:color w:val="333333"/>
                <w:w w:val="110"/>
                <w:sz w:val="21"/>
              </w:rPr>
              <w:t>Endpoint IDs that should be excluded or '*' for all.</w:t>
            </w:r>
          </w:p>
        </w:tc>
      </w:tr>
      <w:tr w:rsidR="00A720EB" w14:paraId="4D3F7203" w14:textId="77777777">
        <w:trPr>
          <w:trHeight w:val="741"/>
        </w:trPr>
        <w:tc>
          <w:tcPr>
            <w:tcW w:w="2494" w:type="dxa"/>
          </w:tcPr>
          <w:p w14:paraId="413C07EA" w14:textId="77777777" w:rsidR="00A720EB" w:rsidRDefault="0030286B">
            <w:pPr>
              <w:pStyle w:val="TableParagraph"/>
              <w:spacing w:before="46" w:line="230" w:lineRule="auto"/>
              <w:ind w:right="94"/>
              <w:rPr>
                <w:sz w:val="21"/>
              </w:rPr>
            </w:pPr>
            <w:proofErr w:type="gramStart"/>
            <w:r>
              <w:rPr>
                <w:color w:val="B02045"/>
                <w:sz w:val="21"/>
              </w:rPr>
              <w:t>management.endpoints</w:t>
            </w:r>
            <w:proofErr w:type="gramEnd"/>
            <w:r>
              <w:rPr>
                <w:color w:val="B02045"/>
                <w:sz w:val="21"/>
              </w:rPr>
              <w:t>.j mx.exposure.include</w:t>
            </w:r>
          </w:p>
        </w:tc>
        <w:tc>
          <w:tcPr>
            <w:tcW w:w="2494" w:type="dxa"/>
          </w:tcPr>
          <w:p w14:paraId="37086BBB" w14:textId="77777777" w:rsidR="00A720EB" w:rsidRDefault="0030286B">
            <w:pPr>
              <w:pStyle w:val="TableParagraph"/>
              <w:spacing w:before="37"/>
              <w:rPr>
                <w:sz w:val="21"/>
              </w:rPr>
            </w:pPr>
            <w:r>
              <w:rPr>
                <w:color w:val="B02045"/>
                <w:sz w:val="21"/>
              </w:rPr>
              <w:t>*</w:t>
            </w:r>
          </w:p>
        </w:tc>
        <w:tc>
          <w:tcPr>
            <w:tcW w:w="4988" w:type="dxa"/>
          </w:tcPr>
          <w:p w14:paraId="5919C8F6" w14:textId="77777777" w:rsidR="00A720EB" w:rsidRDefault="0030286B">
            <w:pPr>
              <w:pStyle w:val="TableParagraph"/>
              <w:spacing w:before="28" w:line="310" w:lineRule="atLeast"/>
              <w:ind w:right="218"/>
              <w:rPr>
                <w:rFonts w:ascii="Cambria"/>
                <w:sz w:val="21"/>
              </w:rPr>
            </w:pPr>
            <w:r>
              <w:rPr>
                <w:rFonts w:ascii="Cambria"/>
                <w:color w:val="333333"/>
                <w:w w:val="110"/>
                <w:sz w:val="21"/>
              </w:rPr>
              <w:t>Endpoint IDs that should be included or '*' for all.</w:t>
            </w:r>
          </w:p>
        </w:tc>
      </w:tr>
      <w:tr w:rsidR="00A720EB" w14:paraId="293285A9" w14:textId="77777777">
        <w:trPr>
          <w:trHeight w:val="741"/>
        </w:trPr>
        <w:tc>
          <w:tcPr>
            <w:tcW w:w="2494" w:type="dxa"/>
          </w:tcPr>
          <w:p w14:paraId="1605C578"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.j mx.static-names</w:t>
            </w:r>
          </w:p>
        </w:tc>
        <w:tc>
          <w:tcPr>
            <w:tcW w:w="2494" w:type="dxa"/>
          </w:tcPr>
          <w:p w14:paraId="7675410A" w14:textId="77777777" w:rsidR="00A720EB" w:rsidRDefault="00A720EB">
            <w:pPr>
              <w:pStyle w:val="TableParagraph"/>
              <w:spacing w:before="0"/>
              <w:ind w:left="0"/>
              <w:rPr>
                <w:rFonts w:ascii="Times New Roman"/>
                <w:sz w:val="20"/>
              </w:rPr>
            </w:pPr>
          </w:p>
        </w:tc>
        <w:tc>
          <w:tcPr>
            <w:tcW w:w="4988" w:type="dxa"/>
          </w:tcPr>
          <w:p w14:paraId="0B4D2289" w14:textId="77777777" w:rsidR="00A720EB" w:rsidRDefault="0030286B">
            <w:pPr>
              <w:pStyle w:val="TableParagraph"/>
              <w:spacing w:before="28" w:line="310" w:lineRule="atLeast"/>
              <w:rPr>
                <w:rFonts w:ascii="Cambria"/>
                <w:sz w:val="21"/>
              </w:rPr>
            </w:pPr>
            <w:r>
              <w:rPr>
                <w:rFonts w:ascii="Cambria"/>
                <w:color w:val="333333"/>
                <w:w w:val="110"/>
                <w:sz w:val="21"/>
              </w:rPr>
              <w:t>Additional static properties to append to all ObjectNames of MBeans representing Endpoints.</w:t>
            </w:r>
          </w:p>
        </w:tc>
      </w:tr>
      <w:tr w:rsidR="00A720EB" w14:paraId="695D8361" w14:textId="77777777">
        <w:trPr>
          <w:trHeight w:val="741"/>
        </w:trPr>
        <w:tc>
          <w:tcPr>
            <w:tcW w:w="2494" w:type="dxa"/>
          </w:tcPr>
          <w:p w14:paraId="123E7E76"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.m igrate-legacy-ids</w:t>
            </w:r>
          </w:p>
        </w:tc>
        <w:tc>
          <w:tcPr>
            <w:tcW w:w="2494" w:type="dxa"/>
          </w:tcPr>
          <w:p w14:paraId="02863516" w14:textId="77777777" w:rsidR="00A720EB" w:rsidRDefault="0030286B">
            <w:pPr>
              <w:pStyle w:val="TableParagraph"/>
              <w:rPr>
                <w:sz w:val="21"/>
              </w:rPr>
            </w:pPr>
            <w:r>
              <w:rPr>
                <w:color w:val="B02045"/>
                <w:sz w:val="21"/>
              </w:rPr>
              <w:t>false</w:t>
            </w:r>
          </w:p>
        </w:tc>
        <w:tc>
          <w:tcPr>
            <w:tcW w:w="4988" w:type="dxa"/>
          </w:tcPr>
          <w:p w14:paraId="71AF33A7" w14:textId="77777777" w:rsidR="00A720EB" w:rsidRDefault="0030286B">
            <w:pPr>
              <w:pStyle w:val="TableParagraph"/>
              <w:spacing w:before="28" w:line="310" w:lineRule="atLeast"/>
              <w:ind w:right="372"/>
              <w:rPr>
                <w:rFonts w:ascii="Cambria"/>
                <w:sz w:val="21"/>
              </w:rPr>
            </w:pPr>
            <w:r>
              <w:rPr>
                <w:rFonts w:ascii="Cambria"/>
                <w:color w:val="333333"/>
                <w:w w:val="110"/>
                <w:sz w:val="21"/>
              </w:rPr>
              <w:t>Whether to transparently migrate legacy endpoint IDs.</w:t>
            </w:r>
          </w:p>
        </w:tc>
      </w:tr>
      <w:tr w:rsidR="00A720EB" w14:paraId="31B84159" w14:textId="77777777">
        <w:trPr>
          <w:trHeight w:val="1372"/>
        </w:trPr>
        <w:tc>
          <w:tcPr>
            <w:tcW w:w="2494" w:type="dxa"/>
          </w:tcPr>
          <w:p w14:paraId="43861ECB"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.w eb.base-path</w:t>
            </w:r>
          </w:p>
        </w:tc>
        <w:tc>
          <w:tcPr>
            <w:tcW w:w="2494" w:type="dxa"/>
          </w:tcPr>
          <w:p w14:paraId="0B582392" w14:textId="77777777" w:rsidR="00A720EB" w:rsidRDefault="0030286B">
            <w:pPr>
              <w:pStyle w:val="TableParagraph"/>
              <w:rPr>
                <w:sz w:val="21"/>
              </w:rPr>
            </w:pPr>
            <w:r>
              <w:rPr>
                <w:color w:val="B02045"/>
                <w:sz w:val="21"/>
              </w:rPr>
              <w:t>/actuator</w:t>
            </w:r>
          </w:p>
        </w:tc>
        <w:tc>
          <w:tcPr>
            <w:tcW w:w="4988" w:type="dxa"/>
          </w:tcPr>
          <w:p w14:paraId="4F595900" w14:textId="77777777" w:rsidR="00A720EB" w:rsidRDefault="0030286B">
            <w:pPr>
              <w:pStyle w:val="TableParagraph"/>
              <w:spacing w:before="28" w:line="310" w:lineRule="atLeast"/>
              <w:ind w:right="677"/>
              <w:rPr>
                <w:rFonts w:ascii="Cambria"/>
                <w:sz w:val="21"/>
              </w:rPr>
            </w:pPr>
            <w:r>
              <w:rPr>
                <w:rFonts w:ascii="Cambria"/>
                <w:color w:val="333333"/>
                <w:w w:val="110"/>
                <w:sz w:val="21"/>
              </w:rPr>
              <w:t xml:space="preserve">Base path for Web endpoints. Relative to </w:t>
            </w:r>
            <w:proofErr w:type="gramStart"/>
            <w:r>
              <w:rPr>
                <w:rFonts w:ascii="Cambria"/>
                <w:color w:val="333333"/>
                <w:w w:val="110"/>
                <w:sz w:val="21"/>
              </w:rPr>
              <w:t>server.servlet</w:t>
            </w:r>
            <w:proofErr w:type="gramEnd"/>
            <w:r>
              <w:rPr>
                <w:rFonts w:ascii="Cambria"/>
                <w:color w:val="333333"/>
                <w:w w:val="110"/>
                <w:sz w:val="21"/>
              </w:rPr>
              <w:t>.context-path or management.server.servlet.context-path if management.server.port is configured.</w:t>
            </w:r>
          </w:p>
        </w:tc>
      </w:tr>
      <w:tr w:rsidR="00A720EB" w14:paraId="261AD95E" w14:textId="77777777">
        <w:trPr>
          <w:trHeight w:val="886"/>
        </w:trPr>
        <w:tc>
          <w:tcPr>
            <w:tcW w:w="2494" w:type="dxa"/>
          </w:tcPr>
          <w:p w14:paraId="04AFBFD6"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.w eb.cors.allow- credentials</w:t>
            </w:r>
          </w:p>
        </w:tc>
        <w:tc>
          <w:tcPr>
            <w:tcW w:w="2494" w:type="dxa"/>
          </w:tcPr>
          <w:p w14:paraId="655F39AD" w14:textId="77777777" w:rsidR="00A720EB" w:rsidRDefault="00A720EB">
            <w:pPr>
              <w:pStyle w:val="TableParagraph"/>
              <w:spacing w:before="0"/>
              <w:ind w:left="0"/>
              <w:rPr>
                <w:rFonts w:ascii="Times New Roman"/>
                <w:sz w:val="20"/>
              </w:rPr>
            </w:pPr>
          </w:p>
        </w:tc>
        <w:tc>
          <w:tcPr>
            <w:tcW w:w="4988" w:type="dxa"/>
          </w:tcPr>
          <w:p w14:paraId="11347FE3" w14:textId="77777777" w:rsidR="00A720EB" w:rsidRDefault="0030286B">
            <w:pPr>
              <w:pStyle w:val="TableParagraph"/>
              <w:spacing w:before="92" w:line="307" w:lineRule="auto"/>
              <w:ind w:right="218"/>
              <w:rPr>
                <w:rFonts w:ascii="Cambria"/>
                <w:sz w:val="21"/>
              </w:rPr>
            </w:pPr>
            <w:r>
              <w:rPr>
                <w:rFonts w:ascii="Cambria"/>
                <w:color w:val="333333"/>
                <w:w w:val="110"/>
                <w:sz w:val="21"/>
              </w:rPr>
              <w:t>Whether credentials are supported. When not set, credentials are not supported.</w:t>
            </w:r>
          </w:p>
        </w:tc>
      </w:tr>
      <w:tr w:rsidR="00A720EB" w14:paraId="6DC659B3" w14:textId="77777777">
        <w:trPr>
          <w:trHeight w:val="886"/>
        </w:trPr>
        <w:tc>
          <w:tcPr>
            <w:tcW w:w="2494" w:type="dxa"/>
          </w:tcPr>
          <w:p w14:paraId="6F11C3F0"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.w eb.cors.allowed- headers</w:t>
            </w:r>
          </w:p>
        </w:tc>
        <w:tc>
          <w:tcPr>
            <w:tcW w:w="2494" w:type="dxa"/>
          </w:tcPr>
          <w:p w14:paraId="1796B165" w14:textId="77777777" w:rsidR="00A720EB" w:rsidRDefault="00A720EB">
            <w:pPr>
              <w:pStyle w:val="TableParagraph"/>
              <w:spacing w:before="0"/>
              <w:ind w:left="0"/>
              <w:rPr>
                <w:rFonts w:ascii="Times New Roman"/>
                <w:sz w:val="20"/>
              </w:rPr>
            </w:pPr>
          </w:p>
        </w:tc>
        <w:tc>
          <w:tcPr>
            <w:tcW w:w="4988" w:type="dxa"/>
          </w:tcPr>
          <w:p w14:paraId="0B20360D" w14:textId="77777777" w:rsidR="00A720EB" w:rsidRDefault="0030286B">
            <w:pPr>
              <w:pStyle w:val="TableParagraph"/>
              <w:spacing w:before="92" w:line="307" w:lineRule="auto"/>
              <w:rPr>
                <w:rFonts w:ascii="Cambria"/>
                <w:sz w:val="21"/>
              </w:rPr>
            </w:pPr>
            <w:r>
              <w:rPr>
                <w:rFonts w:ascii="Cambria"/>
                <w:color w:val="333333"/>
                <w:w w:val="110"/>
                <w:sz w:val="21"/>
              </w:rPr>
              <w:t>Comma-separated list of headers to allow in a request. '*' allows all headers.</w:t>
            </w:r>
          </w:p>
        </w:tc>
      </w:tr>
      <w:tr w:rsidR="00A720EB" w14:paraId="491D3DFF" w14:textId="77777777">
        <w:trPr>
          <w:trHeight w:val="1056"/>
        </w:trPr>
        <w:tc>
          <w:tcPr>
            <w:tcW w:w="2494" w:type="dxa"/>
          </w:tcPr>
          <w:p w14:paraId="6D6C2515"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.w eb.cors.allowed- methods</w:t>
            </w:r>
          </w:p>
        </w:tc>
        <w:tc>
          <w:tcPr>
            <w:tcW w:w="2494" w:type="dxa"/>
          </w:tcPr>
          <w:p w14:paraId="68D7769C" w14:textId="77777777" w:rsidR="00A720EB" w:rsidRDefault="00A720EB">
            <w:pPr>
              <w:pStyle w:val="TableParagraph"/>
              <w:spacing w:before="0"/>
              <w:ind w:left="0"/>
              <w:rPr>
                <w:rFonts w:ascii="Times New Roman"/>
                <w:sz w:val="20"/>
              </w:rPr>
            </w:pPr>
          </w:p>
        </w:tc>
        <w:tc>
          <w:tcPr>
            <w:tcW w:w="4988" w:type="dxa"/>
          </w:tcPr>
          <w:p w14:paraId="2CEE32BD" w14:textId="77777777" w:rsidR="00A720EB" w:rsidRDefault="0030286B">
            <w:pPr>
              <w:pStyle w:val="TableParagraph"/>
              <w:spacing w:before="28" w:line="310" w:lineRule="atLeast"/>
              <w:ind w:right="440"/>
              <w:jc w:val="both"/>
              <w:rPr>
                <w:rFonts w:ascii="Cambria"/>
                <w:sz w:val="21"/>
              </w:rPr>
            </w:pPr>
            <w:r>
              <w:rPr>
                <w:rFonts w:ascii="Cambria"/>
                <w:color w:val="333333"/>
                <w:w w:val="110"/>
                <w:sz w:val="21"/>
              </w:rPr>
              <w:t>Comma-separated list of methods to allow. '*' allows all methods. When not set, defaults to GET.</w:t>
            </w:r>
          </w:p>
        </w:tc>
      </w:tr>
      <w:tr w:rsidR="00A720EB" w14:paraId="37A26A8A" w14:textId="77777777">
        <w:trPr>
          <w:trHeight w:val="1056"/>
        </w:trPr>
        <w:tc>
          <w:tcPr>
            <w:tcW w:w="2494" w:type="dxa"/>
          </w:tcPr>
          <w:p w14:paraId="01E04877"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.w eb.cors.allowed- origins</w:t>
            </w:r>
          </w:p>
        </w:tc>
        <w:tc>
          <w:tcPr>
            <w:tcW w:w="2494" w:type="dxa"/>
          </w:tcPr>
          <w:p w14:paraId="1448B521" w14:textId="77777777" w:rsidR="00A720EB" w:rsidRDefault="00A720EB">
            <w:pPr>
              <w:pStyle w:val="TableParagraph"/>
              <w:spacing w:before="0"/>
              <w:ind w:left="0"/>
              <w:rPr>
                <w:rFonts w:ascii="Times New Roman"/>
                <w:sz w:val="20"/>
              </w:rPr>
            </w:pPr>
          </w:p>
        </w:tc>
        <w:tc>
          <w:tcPr>
            <w:tcW w:w="4988" w:type="dxa"/>
          </w:tcPr>
          <w:p w14:paraId="445979CC" w14:textId="77777777" w:rsidR="00A720EB" w:rsidRDefault="0030286B">
            <w:pPr>
              <w:pStyle w:val="TableParagraph"/>
              <w:spacing w:before="28" w:line="310" w:lineRule="atLeast"/>
              <w:ind w:right="44"/>
              <w:rPr>
                <w:rFonts w:ascii="Cambria"/>
                <w:sz w:val="21"/>
              </w:rPr>
            </w:pPr>
            <w:r>
              <w:rPr>
                <w:rFonts w:ascii="Cambria"/>
                <w:color w:val="333333"/>
                <w:w w:val="110"/>
                <w:sz w:val="21"/>
              </w:rPr>
              <w:t>Comma-separated list of origins to allow. '*' allows all origins. When not set, CORS support is disabled.</w:t>
            </w:r>
          </w:p>
        </w:tc>
      </w:tr>
    </w:tbl>
    <w:p w14:paraId="6CDE0B65"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77407E2" w14:textId="77777777">
        <w:trPr>
          <w:trHeight w:val="415"/>
        </w:trPr>
        <w:tc>
          <w:tcPr>
            <w:tcW w:w="2494" w:type="dxa"/>
            <w:tcBorders>
              <w:bottom w:val="single" w:sz="12" w:space="0" w:color="DDDDDD"/>
            </w:tcBorders>
          </w:tcPr>
          <w:p w14:paraId="1D6804A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A881260"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135C931"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6A3F056" w14:textId="77777777">
        <w:trPr>
          <w:trHeight w:val="876"/>
        </w:trPr>
        <w:tc>
          <w:tcPr>
            <w:tcW w:w="2494" w:type="dxa"/>
            <w:tcBorders>
              <w:top w:val="single" w:sz="12" w:space="0" w:color="DDDDDD"/>
            </w:tcBorders>
          </w:tcPr>
          <w:p w14:paraId="195F53F4" w14:textId="77777777" w:rsidR="00A720EB" w:rsidRDefault="0030286B">
            <w:pPr>
              <w:pStyle w:val="TableParagraph"/>
              <w:spacing w:before="36" w:line="230" w:lineRule="auto"/>
              <w:ind w:right="113"/>
              <w:rPr>
                <w:sz w:val="21"/>
              </w:rPr>
            </w:pPr>
            <w:proofErr w:type="gramStart"/>
            <w:r>
              <w:rPr>
                <w:color w:val="B02045"/>
                <w:sz w:val="21"/>
              </w:rPr>
              <w:t>management.endpoints</w:t>
            </w:r>
            <w:proofErr w:type="gramEnd"/>
            <w:r>
              <w:rPr>
                <w:color w:val="B02045"/>
                <w:sz w:val="21"/>
              </w:rPr>
              <w:t>.w eb.cors.exposed- headers</w:t>
            </w:r>
          </w:p>
        </w:tc>
        <w:tc>
          <w:tcPr>
            <w:tcW w:w="2494" w:type="dxa"/>
            <w:tcBorders>
              <w:top w:val="single" w:sz="12" w:space="0" w:color="DDDDDD"/>
            </w:tcBorders>
          </w:tcPr>
          <w:p w14:paraId="79246BDD"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054AEE48" w14:textId="77777777" w:rsidR="00A720EB" w:rsidRDefault="0030286B">
            <w:pPr>
              <w:pStyle w:val="TableParagraph"/>
              <w:spacing w:before="82" w:line="307" w:lineRule="auto"/>
              <w:rPr>
                <w:rFonts w:ascii="Cambria"/>
                <w:sz w:val="21"/>
              </w:rPr>
            </w:pPr>
            <w:r>
              <w:rPr>
                <w:rFonts w:ascii="Cambria"/>
                <w:color w:val="333333"/>
                <w:w w:val="110"/>
                <w:sz w:val="21"/>
              </w:rPr>
              <w:t>Comma-separated list of headers to include in a response.</w:t>
            </w:r>
          </w:p>
        </w:tc>
      </w:tr>
      <w:tr w:rsidR="00A720EB" w14:paraId="74D23F96" w14:textId="77777777">
        <w:trPr>
          <w:trHeight w:val="1056"/>
        </w:trPr>
        <w:tc>
          <w:tcPr>
            <w:tcW w:w="2494" w:type="dxa"/>
          </w:tcPr>
          <w:p w14:paraId="7A47E536"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.w eb.cors.max-age</w:t>
            </w:r>
          </w:p>
        </w:tc>
        <w:tc>
          <w:tcPr>
            <w:tcW w:w="2494" w:type="dxa"/>
          </w:tcPr>
          <w:p w14:paraId="33313DE2" w14:textId="77777777" w:rsidR="00A720EB" w:rsidRDefault="0030286B">
            <w:pPr>
              <w:pStyle w:val="TableParagraph"/>
              <w:rPr>
                <w:sz w:val="21"/>
              </w:rPr>
            </w:pPr>
            <w:r>
              <w:rPr>
                <w:color w:val="B02045"/>
                <w:sz w:val="21"/>
              </w:rPr>
              <w:t>1800s</w:t>
            </w:r>
          </w:p>
        </w:tc>
        <w:tc>
          <w:tcPr>
            <w:tcW w:w="4988" w:type="dxa"/>
          </w:tcPr>
          <w:p w14:paraId="031FC4EC" w14:textId="77777777" w:rsidR="00A720EB" w:rsidRDefault="0030286B">
            <w:pPr>
              <w:pStyle w:val="TableParagraph"/>
              <w:spacing w:before="28" w:line="310" w:lineRule="atLeast"/>
              <w:ind w:right="117"/>
              <w:rPr>
                <w:rFonts w:ascii="Cambria"/>
                <w:sz w:val="21"/>
              </w:rPr>
            </w:pPr>
            <w:r>
              <w:rPr>
                <w:rFonts w:ascii="Cambria"/>
                <w:color w:val="333333"/>
                <w:w w:val="110"/>
                <w:sz w:val="21"/>
              </w:rPr>
              <w:t>How long the response from a pre-flight request can be cached by clients. If a duration suffix is not specified, seconds will be used.</w:t>
            </w:r>
          </w:p>
        </w:tc>
      </w:tr>
      <w:tr w:rsidR="00A720EB" w14:paraId="38E96D8B" w14:textId="77777777">
        <w:trPr>
          <w:trHeight w:val="741"/>
        </w:trPr>
        <w:tc>
          <w:tcPr>
            <w:tcW w:w="2494" w:type="dxa"/>
          </w:tcPr>
          <w:p w14:paraId="40DE63FE" w14:textId="77777777" w:rsidR="00A720EB" w:rsidRDefault="0030286B">
            <w:pPr>
              <w:pStyle w:val="TableParagraph"/>
              <w:spacing w:before="46" w:line="230" w:lineRule="auto"/>
              <w:ind w:right="94"/>
              <w:rPr>
                <w:sz w:val="21"/>
              </w:rPr>
            </w:pPr>
            <w:proofErr w:type="gramStart"/>
            <w:r>
              <w:rPr>
                <w:color w:val="B02045"/>
                <w:sz w:val="21"/>
              </w:rPr>
              <w:t>management.endpoints</w:t>
            </w:r>
            <w:proofErr w:type="gramEnd"/>
            <w:r>
              <w:rPr>
                <w:color w:val="B02045"/>
                <w:sz w:val="21"/>
              </w:rPr>
              <w:t>.w eb.exposure.exclude</w:t>
            </w:r>
          </w:p>
        </w:tc>
        <w:tc>
          <w:tcPr>
            <w:tcW w:w="2494" w:type="dxa"/>
          </w:tcPr>
          <w:p w14:paraId="2EAED37A" w14:textId="77777777" w:rsidR="00A720EB" w:rsidRDefault="00A720EB">
            <w:pPr>
              <w:pStyle w:val="TableParagraph"/>
              <w:spacing w:before="0"/>
              <w:ind w:left="0"/>
              <w:rPr>
                <w:rFonts w:ascii="Times New Roman"/>
                <w:sz w:val="20"/>
              </w:rPr>
            </w:pPr>
          </w:p>
        </w:tc>
        <w:tc>
          <w:tcPr>
            <w:tcW w:w="4988" w:type="dxa"/>
          </w:tcPr>
          <w:p w14:paraId="03F3BEC0" w14:textId="77777777" w:rsidR="00A720EB" w:rsidRDefault="0030286B">
            <w:pPr>
              <w:pStyle w:val="TableParagraph"/>
              <w:spacing w:before="28" w:line="310" w:lineRule="atLeast"/>
              <w:ind w:right="218"/>
              <w:rPr>
                <w:rFonts w:ascii="Cambria"/>
                <w:sz w:val="21"/>
              </w:rPr>
            </w:pPr>
            <w:r>
              <w:rPr>
                <w:rFonts w:ascii="Cambria"/>
                <w:color w:val="333333"/>
                <w:w w:val="110"/>
                <w:sz w:val="21"/>
              </w:rPr>
              <w:t>Endpoint IDs that should be excluded or '*' for all.</w:t>
            </w:r>
          </w:p>
        </w:tc>
      </w:tr>
      <w:tr w:rsidR="00A720EB" w14:paraId="6121D7D6" w14:textId="77777777">
        <w:trPr>
          <w:trHeight w:val="741"/>
        </w:trPr>
        <w:tc>
          <w:tcPr>
            <w:tcW w:w="2494" w:type="dxa"/>
          </w:tcPr>
          <w:p w14:paraId="6E1C4443" w14:textId="77777777" w:rsidR="00A720EB" w:rsidRDefault="0030286B">
            <w:pPr>
              <w:pStyle w:val="TableParagraph"/>
              <w:spacing w:before="46" w:line="230" w:lineRule="auto"/>
              <w:ind w:right="94"/>
              <w:rPr>
                <w:sz w:val="21"/>
              </w:rPr>
            </w:pPr>
            <w:proofErr w:type="gramStart"/>
            <w:r>
              <w:rPr>
                <w:color w:val="B02045"/>
                <w:sz w:val="21"/>
              </w:rPr>
              <w:t>management.endpoints</w:t>
            </w:r>
            <w:proofErr w:type="gramEnd"/>
            <w:r>
              <w:rPr>
                <w:color w:val="B02045"/>
                <w:sz w:val="21"/>
              </w:rPr>
              <w:t>.w eb.exposure.include</w:t>
            </w:r>
          </w:p>
        </w:tc>
        <w:tc>
          <w:tcPr>
            <w:tcW w:w="2494" w:type="dxa"/>
          </w:tcPr>
          <w:p w14:paraId="4D73A537" w14:textId="77777777" w:rsidR="00A720EB" w:rsidRDefault="0030286B">
            <w:pPr>
              <w:pStyle w:val="TableParagraph"/>
              <w:rPr>
                <w:sz w:val="21"/>
              </w:rPr>
            </w:pPr>
            <w:r>
              <w:rPr>
                <w:color w:val="B02045"/>
                <w:sz w:val="21"/>
              </w:rPr>
              <w:t>[health, info]</w:t>
            </w:r>
          </w:p>
        </w:tc>
        <w:tc>
          <w:tcPr>
            <w:tcW w:w="4988" w:type="dxa"/>
          </w:tcPr>
          <w:p w14:paraId="689617F4" w14:textId="77777777" w:rsidR="00A720EB" w:rsidRDefault="0030286B">
            <w:pPr>
              <w:pStyle w:val="TableParagraph"/>
              <w:spacing w:before="28" w:line="310" w:lineRule="atLeast"/>
              <w:ind w:right="218"/>
              <w:rPr>
                <w:rFonts w:ascii="Cambria"/>
                <w:sz w:val="21"/>
              </w:rPr>
            </w:pPr>
            <w:r>
              <w:rPr>
                <w:rFonts w:ascii="Cambria"/>
                <w:color w:val="333333"/>
                <w:w w:val="110"/>
                <w:sz w:val="21"/>
              </w:rPr>
              <w:t>Endpoint IDs that should be included or '*' for all.</w:t>
            </w:r>
          </w:p>
        </w:tc>
      </w:tr>
      <w:tr w:rsidR="00A720EB" w14:paraId="50292285" w14:textId="77777777">
        <w:trPr>
          <w:trHeight w:val="741"/>
        </w:trPr>
        <w:tc>
          <w:tcPr>
            <w:tcW w:w="2494" w:type="dxa"/>
          </w:tcPr>
          <w:p w14:paraId="6A6211AB" w14:textId="77777777" w:rsidR="00A720EB" w:rsidRDefault="0030286B">
            <w:pPr>
              <w:pStyle w:val="TableParagraph"/>
              <w:spacing w:before="46" w:line="230" w:lineRule="auto"/>
              <w:ind w:right="113"/>
              <w:rPr>
                <w:sz w:val="21"/>
              </w:rPr>
            </w:pPr>
            <w:proofErr w:type="gramStart"/>
            <w:r>
              <w:rPr>
                <w:color w:val="B02045"/>
                <w:sz w:val="21"/>
              </w:rPr>
              <w:t>management.endpoints</w:t>
            </w:r>
            <w:proofErr w:type="gramEnd"/>
            <w:r>
              <w:rPr>
                <w:color w:val="B02045"/>
                <w:sz w:val="21"/>
              </w:rPr>
              <w:t>.w eb.path-mapping.*</w:t>
            </w:r>
          </w:p>
        </w:tc>
        <w:tc>
          <w:tcPr>
            <w:tcW w:w="2494" w:type="dxa"/>
          </w:tcPr>
          <w:p w14:paraId="4F4CC0A9" w14:textId="77777777" w:rsidR="00A720EB" w:rsidRDefault="00A720EB">
            <w:pPr>
              <w:pStyle w:val="TableParagraph"/>
              <w:spacing w:before="0"/>
              <w:ind w:left="0"/>
              <w:rPr>
                <w:rFonts w:ascii="Times New Roman"/>
                <w:sz w:val="20"/>
              </w:rPr>
            </w:pPr>
          </w:p>
        </w:tc>
        <w:tc>
          <w:tcPr>
            <w:tcW w:w="4988" w:type="dxa"/>
          </w:tcPr>
          <w:p w14:paraId="4E87F0AE" w14:textId="77777777" w:rsidR="00A720EB" w:rsidRDefault="0030286B">
            <w:pPr>
              <w:pStyle w:val="TableParagraph"/>
              <w:spacing w:before="28" w:line="310" w:lineRule="atLeast"/>
              <w:ind w:right="372"/>
              <w:rPr>
                <w:rFonts w:ascii="Cambria"/>
                <w:sz w:val="21"/>
              </w:rPr>
            </w:pPr>
            <w:r>
              <w:rPr>
                <w:rFonts w:ascii="Cambria"/>
                <w:color w:val="333333"/>
                <w:w w:val="110"/>
                <w:sz w:val="21"/>
              </w:rPr>
              <w:t>Mapping between endpoint IDs and the path that should expose them.</w:t>
            </w:r>
          </w:p>
        </w:tc>
      </w:tr>
      <w:tr w:rsidR="00A720EB" w14:paraId="6092AB3F" w14:textId="77777777">
        <w:trPr>
          <w:trHeight w:val="627"/>
        </w:trPr>
        <w:tc>
          <w:tcPr>
            <w:tcW w:w="2494" w:type="dxa"/>
          </w:tcPr>
          <w:p w14:paraId="551E23F4"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.cass andra.enabled</w:t>
            </w:r>
          </w:p>
        </w:tc>
        <w:tc>
          <w:tcPr>
            <w:tcW w:w="2494" w:type="dxa"/>
          </w:tcPr>
          <w:p w14:paraId="0056271A" w14:textId="77777777" w:rsidR="00A720EB" w:rsidRDefault="0030286B">
            <w:pPr>
              <w:pStyle w:val="TableParagraph"/>
              <w:rPr>
                <w:sz w:val="21"/>
              </w:rPr>
            </w:pPr>
            <w:r>
              <w:rPr>
                <w:color w:val="B02045"/>
                <w:sz w:val="21"/>
              </w:rPr>
              <w:t>true</w:t>
            </w:r>
          </w:p>
        </w:tc>
        <w:tc>
          <w:tcPr>
            <w:tcW w:w="4988" w:type="dxa"/>
          </w:tcPr>
          <w:p w14:paraId="0426D3A9" w14:textId="77777777" w:rsidR="00A720EB" w:rsidRDefault="0030286B">
            <w:pPr>
              <w:pStyle w:val="TableParagraph"/>
              <w:spacing w:before="92"/>
              <w:rPr>
                <w:rFonts w:ascii="Cambria"/>
                <w:sz w:val="21"/>
              </w:rPr>
            </w:pPr>
            <w:r>
              <w:rPr>
                <w:rFonts w:ascii="Cambria"/>
                <w:color w:val="333333"/>
                <w:w w:val="110"/>
                <w:sz w:val="21"/>
              </w:rPr>
              <w:t>Whether to enable Cassandra health check.</w:t>
            </w:r>
          </w:p>
        </w:tc>
      </w:tr>
      <w:tr w:rsidR="00A720EB" w14:paraId="184B0F03" w14:textId="77777777">
        <w:trPr>
          <w:trHeight w:val="627"/>
        </w:trPr>
        <w:tc>
          <w:tcPr>
            <w:tcW w:w="2494" w:type="dxa"/>
          </w:tcPr>
          <w:p w14:paraId="75C08894"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.couc hbase.enabled</w:t>
            </w:r>
          </w:p>
        </w:tc>
        <w:tc>
          <w:tcPr>
            <w:tcW w:w="2494" w:type="dxa"/>
          </w:tcPr>
          <w:p w14:paraId="76449704" w14:textId="77777777" w:rsidR="00A720EB" w:rsidRDefault="0030286B">
            <w:pPr>
              <w:pStyle w:val="TableParagraph"/>
              <w:spacing w:before="37"/>
              <w:rPr>
                <w:sz w:val="21"/>
              </w:rPr>
            </w:pPr>
            <w:r>
              <w:rPr>
                <w:color w:val="B02045"/>
                <w:sz w:val="21"/>
              </w:rPr>
              <w:t>true</w:t>
            </w:r>
          </w:p>
        </w:tc>
        <w:tc>
          <w:tcPr>
            <w:tcW w:w="4988" w:type="dxa"/>
          </w:tcPr>
          <w:p w14:paraId="40625B08" w14:textId="77777777" w:rsidR="00A720EB" w:rsidRDefault="0030286B">
            <w:pPr>
              <w:pStyle w:val="TableParagraph"/>
              <w:spacing w:before="92"/>
              <w:rPr>
                <w:rFonts w:ascii="Cambria"/>
                <w:sz w:val="21"/>
              </w:rPr>
            </w:pPr>
            <w:r>
              <w:rPr>
                <w:rFonts w:ascii="Cambria"/>
                <w:color w:val="333333"/>
                <w:w w:val="110"/>
                <w:sz w:val="21"/>
              </w:rPr>
              <w:t>Whether to enable Couchbase health check.</w:t>
            </w:r>
          </w:p>
        </w:tc>
      </w:tr>
      <w:tr w:rsidR="00A720EB" w14:paraId="0660C9E8" w14:textId="77777777">
        <w:trPr>
          <w:trHeight w:val="627"/>
        </w:trPr>
        <w:tc>
          <w:tcPr>
            <w:tcW w:w="2494" w:type="dxa"/>
          </w:tcPr>
          <w:p w14:paraId="128B960C"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.db.e nabled</w:t>
            </w:r>
          </w:p>
        </w:tc>
        <w:tc>
          <w:tcPr>
            <w:tcW w:w="2494" w:type="dxa"/>
          </w:tcPr>
          <w:p w14:paraId="1008076E" w14:textId="77777777" w:rsidR="00A720EB" w:rsidRDefault="0030286B">
            <w:pPr>
              <w:pStyle w:val="TableParagraph"/>
              <w:spacing w:before="37"/>
              <w:rPr>
                <w:sz w:val="21"/>
              </w:rPr>
            </w:pPr>
            <w:r>
              <w:rPr>
                <w:color w:val="B02045"/>
                <w:sz w:val="21"/>
              </w:rPr>
              <w:t>true</w:t>
            </w:r>
          </w:p>
        </w:tc>
        <w:tc>
          <w:tcPr>
            <w:tcW w:w="4988" w:type="dxa"/>
          </w:tcPr>
          <w:p w14:paraId="1F11BBDD" w14:textId="77777777" w:rsidR="00A720EB" w:rsidRDefault="0030286B">
            <w:pPr>
              <w:pStyle w:val="TableParagraph"/>
              <w:spacing w:before="92"/>
              <w:rPr>
                <w:rFonts w:ascii="Cambria"/>
                <w:sz w:val="21"/>
              </w:rPr>
            </w:pPr>
            <w:r>
              <w:rPr>
                <w:rFonts w:ascii="Cambria"/>
                <w:color w:val="333333"/>
                <w:w w:val="110"/>
                <w:sz w:val="21"/>
              </w:rPr>
              <w:t>Whether to enable database health check.</w:t>
            </w:r>
          </w:p>
        </w:tc>
      </w:tr>
      <w:tr w:rsidR="00A720EB" w14:paraId="2D66C611" w14:textId="77777777">
        <w:trPr>
          <w:trHeight w:val="627"/>
        </w:trPr>
        <w:tc>
          <w:tcPr>
            <w:tcW w:w="2494" w:type="dxa"/>
          </w:tcPr>
          <w:p w14:paraId="4A2E7ABC"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.defa ults.enabled</w:t>
            </w:r>
          </w:p>
        </w:tc>
        <w:tc>
          <w:tcPr>
            <w:tcW w:w="2494" w:type="dxa"/>
          </w:tcPr>
          <w:p w14:paraId="742753A3" w14:textId="77777777" w:rsidR="00A720EB" w:rsidRDefault="0030286B">
            <w:pPr>
              <w:pStyle w:val="TableParagraph"/>
              <w:rPr>
                <w:sz w:val="21"/>
              </w:rPr>
            </w:pPr>
            <w:r>
              <w:rPr>
                <w:color w:val="B02045"/>
                <w:sz w:val="21"/>
              </w:rPr>
              <w:t>true</w:t>
            </w:r>
          </w:p>
        </w:tc>
        <w:tc>
          <w:tcPr>
            <w:tcW w:w="4988" w:type="dxa"/>
          </w:tcPr>
          <w:p w14:paraId="23C09026" w14:textId="77777777" w:rsidR="00A720EB" w:rsidRDefault="0030286B">
            <w:pPr>
              <w:pStyle w:val="TableParagraph"/>
              <w:spacing w:before="92"/>
              <w:rPr>
                <w:rFonts w:ascii="Cambria"/>
                <w:sz w:val="21"/>
              </w:rPr>
            </w:pPr>
            <w:r>
              <w:rPr>
                <w:rFonts w:ascii="Cambria"/>
                <w:color w:val="333333"/>
                <w:w w:val="110"/>
                <w:sz w:val="21"/>
              </w:rPr>
              <w:t>Whether to enable default health indicators.</w:t>
            </w:r>
          </w:p>
        </w:tc>
      </w:tr>
      <w:tr w:rsidR="00A720EB" w14:paraId="5DDAB922" w14:textId="77777777">
        <w:trPr>
          <w:trHeight w:val="627"/>
        </w:trPr>
        <w:tc>
          <w:tcPr>
            <w:tcW w:w="2494" w:type="dxa"/>
          </w:tcPr>
          <w:p w14:paraId="5AC93FDC"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.disk space.enabled</w:t>
            </w:r>
          </w:p>
        </w:tc>
        <w:tc>
          <w:tcPr>
            <w:tcW w:w="2494" w:type="dxa"/>
          </w:tcPr>
          <w:p w14:paraId="75A3B1E9" w14:textId="77777777" w:rsidR="00A720EB" w:rsidRDefault="0030286B">
            <w:pPr>
              <w:pStyle w:val="TableParagraph"/>
              <w:spacing w:before="37"/>
              <w:rPr>
                <w:sz w:val="21"/>
              </w:rPr>
            </w:pPr>
            <w:r>
              <w:rPr>
                <w:color w:val="B02045"/>
                <w:sz w:val="21"/>
              </w:rPr>
              <w:t>true</w:t>
            </w:r>
          </w:p>
        </w:tc>
        <w:tc>
          <w:tcPr>
            <w:tcW w:w="4988" w:type="dxa"/>
          </w:tcPr>
          <w:p w14:paraId="23ED336E" w14:textId="77777777" w:rsidR="00A720EB" w:rsidRDefault="0030286B">
            <w:pPr>
              <w:pStyle w:val="TableParagraph"/>
              <w:spacing w:before="92"/>
              <w:rPr>
                <w:rFonts w:ascii="Cambria"/>
                <w:sz w:val="21"/>
              </w:rPr>
            </w:pPr>
            <w:r>
              <w:rPr>
                <w:rFonts w:ascii="Cambria"/>
                <w:color w:val="333333"/>
                <w:w w:val="110"/>
                <w:sz w:val="21"/>
              </w:rPr>
              <w:t>Whether to enable disk space health check.</w:t>
            </w:r>
          </w:p>
        </w:tc>
      </w:tr>
      <w:tr w:rsidR="00A720EB" w14:paraId="33E8996C" w14:textId="77777777">
        <w:trPr>
          <w:trHeight w:val="627"/>
        </w:trPr>
        <w:tc>
          <w:tcPr>
            <w:tcW w:w="2494" w:type="dxa"/>
          </w:tcPr>
          <w:p w14:paraId="2AFD33B5"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.disk space.path</w:t>
            </w:r>
          </w:p>
        </w:tc>
        <w:tc>
          <w:tcPr>
            <w:tcW w:w="2494" w:type="dxa"/>
          </w:tcPr>
          <w:p w14:paraId="4EB55EE0" w14:textId="77777777" w:rsidR="00A720EB" w:rsidRDefault="00A720EB">
            <w:pPr>
              <w:pStyle w:val="TableParagraph"/>
              <w:spacing w:before="0"/>
              <w:ind w:left="0"/>
              <w:rPr>
                <w:rFonts w:ascii="Times New Roman"/>
                <w:sz w:val="20"/>
              </w:rPr>
            </w:pPr>
          </w:p>
        </w:tc>
        <w:tc>
          <w:tcPr>
            <w:tcW w:w="4988" w:type="dxa"/>
          </w:tcPr>
          <w:p w14:paraId="1F059317" w14:textId="77777777" w:rsidR="00A720EB" w:rsidRDefault="0030286B">
            <w:pPr>
              <w:pStyle w:val="TableParagraph"/>
              <w:spacing w:before="92"/>
              <w:rPr>
                <w:rFonts w:ascii="Cambria"/>
                <w:sz w:val="21"/>
              </w:rPr>
            </w:pPr>
            <w:r>
              <w:rPr>
                <w:rFonts w:ascii="Cambria"/>
                <w:color w:val="333333"/>
                <w:w w:val="110"/>
                <w:sz w:val="21"/>
              </w:rPr>
              <w:t>Path used to compute the available disk space.</w:t>
            </w:r>
          </w:p>
        </w:tc>
      </w:tr>
      <w:tr w:rsidR="00A720EB" w14:paraId="68893174" w14:textId="77777777">
        <w:trPr>
          <w:trHeight w:val="627"/>
        </w:trPr>
        <w:tc>
          <w:tcPr>
            <w:tcW w:w="2494" w:type="dxa"/>
          </w:tcPr>
          <w:p w14:paraId="7D528352"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.disk space.threshold</w:t>
            </w:r>
          </w:p>
        </w:tc>
        <w:tc>
          <w:tcPr>
            <w:tcW w:w="2494" w:type="dxa"/>
          </w:tcPr>
          <w:p w14:paraId="6184DEBE" w14:textId="77777777" w:rsidR="00A720EB" w:rsidRDefault="0030286B">
            <w:pPr>
              <w:pStyle w:val="TableParagraph"/>
              <w:spacing w:before="37"/>
              <w:rPr>
                <w:sz w:val="21"/>
              </w:rPr>
            </w:pPr>
            <w:r>
              <w:rPr>
                <w:color w:val="B02045"/>
                <w:sz w:val="21"/>
              </w:rPr>
              <w:t>10MB</w:t>
            </w:r>
          </w:p>
        </w:tc>
        <w:tc>
          <w:tcPr>
            <w:tcW w:w="4988" w:type="dxa"/>
          </w:tcPr>
          <w:p w14:paraId="416205E6" w14:textId="77777777" w:rsidR="00A720EB" w:rsidRDefault="0030286B">
            <w:pPr>
              <w:pStyle w:val="TableParagraph"/>
              <w:spacing w:before="92"/>
              <w:rPr>
                <w:rFonts w:ascii="Cambria"/>
                <w:sz w:val="21"/>
              </w:rPr>
            </w:pPr>
            <w:r>
              <w:rPr>
                <w:rFonts w:ascii="Cambria"/>
                <w:color w:val="333333"/>
                <w:w w:val="110"/>
                <w:sz w:val="21"/>
              </w:rPr>
              <w:t>Minimum disk space that should be available.</w:t>
            </w:r>
          </w:p>
        </w:tc>
      </w:tr>
      <w:tr w:rsidR="00A720EB" w14:paraId="508EDF10" w14:textId="77777777">
        <w:trPr>
          <w:trHeight w:val="627"/>
        </w:trPr>
        <w:tc>
          <w:tcPr>
            <w:tcW w:w="2494" w:type="dxa"/>
          </w:tcPr>
          <w:p w14:paraId="723B145E"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.elas ticsearch.enabled</w:t>
            </w:r>
          </w:p>
        </w:tc>
        <w:tc>
          <w:tcPr>
            <w:tcW w:w="2494" w:type="dxa"/>
          </w:tcPr>
          <w:p w14:paraId="5F894332" w14:textId="77777777" w:rsidR="00A720EB" w:rsidRDefault="0030286B">
            <w:pPr>
              <w:pStyle w:val="TableParagraph"/>
              <w:rPr>
                <w:sz w:val="21"/>
              </w:rPr>
            </w:pPr>
            <w:r>
              <w:rPr>
                <w:color w:val="B02045"/>
                <w:sz w:val="21"/>
              </w:rPr>
              <w:t>true</w:t>
            </w:r>
          </w:p>
        </w:tc>
        <w:tc>
          <w:tcPr>
            <w:tcW w:w="4988" w:type="dxa"/>
          </w:tcPr>
          <w:p w14:paraId="2FE3C87B" w14:textId="77777777" w:rsidR="00A720EB" w:rsidRDefault="0030286B">
            <w:pPr>
              <w:pStyle w:val="TableParagraph"/>
              <w:spacing w:before="92"/>
              <w:rPr>
                <w:rFonts w:ascii="Cambria"/>
                <w:sz w:val="21"/>
              </w:rPr>
            </w:pPr>
            <w:r>
              <w:rPr>
                <w:rFonts w:ascii="Cambria"/>
                <w:color w:val="333333"/>
                <w:w w:val="110"/>
                <w:sz w:val="21"/>
              </w:rPr>
              <w:t>Whether to enable Elasticsearch health check.</w:t>
            </w:r>
          </w:p>
        </w:tc>
      </w:tr>
      <w:tr w:rsidR="00A720EB" w14:paraId="4328911F" w14:textId="77777777">
        <w:trPr>
          <w:trHeight w:val="627"/>
        </w:trPr>
        <w:tc>
          <w:tcPr>
            <w:tcW w:w="2494" w:type="dxa"/>
          </w:tcPr>
          <w:p w14:paraId="1410547D"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.infl uxdb.enabled</w:t>
            </w:r>
          </w:p>
        </w:tc>
        <w:tc>
          <w:tcPr>
            <w:tcW w:w="2494" w:type="dxa"/>
          </w:tcPr>
          <w:p w14:paraId="5185F38F" w14:textId="77777777" w:rsidR="00A720EB" w:rsidRDefault="0030286B">
            <w:pPr>
              <w:pStyle w:val="TableParagraph"/>
              <w:spacing w:before="37"/>
              <w:rPr>
                <w:sz w:val="21"/>
              </w:rPr>
            </w:pPr>
            <w:r>
              <w:rPr>
                <w:color w:val="B02045"/>
                <w:sz w:val="21"/>
              </w:rPr>
              <w:t>true</w:t>
            </w:r>
          </w:p>
        </w:tc>
        <w:tc>
          <w:tcPr>
            <w:tcW w:w="4988" w:type="dxa"/>
          </w:tcPr>
          <w:p w14:paraId="1ADD9EFA" w14:textId="77777777" w:rsidR="00A720EB" w:rsidRDefault="0030286B">
            <w:pPr>
              <w:pStyle w:val="TableParagraph"/>
              <w:spacing w:before="92"/>
              <w:rPr>
                <w:rFonts w:ascii="Cambria"/>
                <w:sz w:val="21"/>
              </w:rPr>
            </w:pPr>
            <w:r>
              <w:rPr>
                <w:rFonts w:ascii="Cambria"/>
                <w:color w:val="333333"/>
                <w:w w:val="110"/>
                <w:sz w:val="21"/>
              </w:rPr>
              <w:t>Whether to enable InfluxDB health check.</w:t>
            </w:r>
          </w:p>
        </w:tc>
      </w:tr>
      <w:tr w:rsidR="00A720EB" w14:paraId="5EE9F1CD" w14:textId="77777777">
        <w:trPr>
          <w:trHeight w:val="627"/>
        </w:trPr>
        <w:tc>
          <w:tcPr>
            <w:tcW w:w="2494" w:type="dxa"/>
          </w:tcPr>
          <w:p w14:paraId="065423DD" w14:textId="77777777" w:rsidR="00A720EB" w:rsidRDefault="0030286B">
            <w:pPr>
              <w:pStyle w:val="TableParagraph"/>
              <w:spacing w:before="46" w:line="230" w:lineRule="auto"/>
              <w:ind w:right="94"/>
              <w:rPr>
                <w:sz w:val="21"/>
              </w:rPr>
            </w:pPr>
            <w:r>
              <w:rPr>
                <w:color w:val="B02045"/>
                <w:sz w:val="21"/>
              </w:rPr>
              <w:t>management.health.jms. enabled</w:t>
            </w:r>
          </w:p>
        </w:tc>
        <w:tc>
          <w:tcPr>
            <w:tcW w:w="2494" w:type="dxa"/>
          </w:tcPr>
          <w:p w14:paraId="64F08157" w14:textId="77777777" w:rsidR="00A720EB" w:rsidRDefault="0030286B">
            <w:pPr>
              <w:pStyle w:val="TableParagraph"/>
              <w:rPr>
                <w:sz w:val="21"/>
              </w:rPr>
            </w:pPr>
            <w:r>
              <w:rPr>
                <w:color w:val="B02045"/>
                <w:sz w:val="21"/>
              </w:rPr>
              <w:t>true</w:t>
            </w:r>
          </w:p>
        </w:tc>
        <w:tc>
          <w:tcPr>
            <w:tcW w:w="4988" w:type="dxa"/>
          </w:tcPr>
          <w:p w14:paraId="799EDF50" w14:textId="77777777" w:rsidR="00A720EB" w:rsidRDefault="0030286B">
            <w:pPr>
              <w:pStyle w:val="TableParagraph"/>
              <w:spacing w:before="92"/>
              <w:rPr>
                <w:rFonts w:ascii="Cambria"/>
                <w:sz w:val="21"/>
              </w:rPr>
            </w:pPr>
            <w:r>
              <w:rPr>
                <w:rFonts w:ascii="Cambria"/>
                <w:color w:val="333333"/>
                <w:w w:val="110"/>
                <w:sz w:val="21"/>
              </w:rPr>
              <w:t>Whether to enable JMS health check.</w:t>
            </w:r>
          </w:p>
        </w:tc>
      </w:tr>
      <w:tr w:rsidR="00A720EB" w14:paraId="7E916D37" w14:textId="77777777">
        <w:trPr>
          <w:trHeight w:val="627"/>
        </w:trPr>
        <w:tc>
          <w:tcPr>
            <w:tcW w:w="2494" w:type="dxa"/>
          </w:tcPr>
          <w:p w14:paraId="4FEE3B7C" w14:textId="77777777" w:rsidR="00A720EB" w:rsidRDefault="0030286B">
            <w:pPr>
              <w:pStyle w:val="TableParagraph"/>
              <w:spacing w:line="264" w:lineRule="exact"/>
              <w:rPr>
                <w:sz w:val="21"/>
              </w:rPr>
            </w:pPr>
            <w:proofErr w:type="gramStart"/>
            <w:r>
              <w:rPr>
                <w:color w:val="B02045"/>
                <w:sz w:val="21"/>
              </w:rPr>
              <w:t>management.health</w:t>
            </w:r>
            <w:proofErr w:type="gramEnd"/>
            <w:r>
              <w:rPr>
                <w:color w:val="B02045"/>
                <w:sz w:val="21"/>
              </w:rPr>
              <w:t>.ldap</w:t>
            </w:r>
          </w:p>
          <w:p w14:paraId="016CE11D" w14:textId="77777777" w:rsidR="00A720EB" w:rsidRDefault="0030286B">
            <w:pPr>
              <w:pStyle w:val="TableParagraph"/>
              <w:spacing w:before="0" w:line="264" w:lineRule="exact"/>
              <w:rPr>
                <w:sz w:val="21"/>
              </w:rPr>
            </w:pPr>
            <w:proofErr w:type="gramStart"/>
            <w:r>
              <w:rPr>
                <w:color w:val="B02045"/>
                <w:sz w:val="21"/>
              </w:rPr>
              <w:t>.enabled</w:t>
            </w:r>
            <w:proofErr w:type="gramEnd"/>
          </w:p>
        </w:tc>
        <w:tc>
          <w:tcPr>
            <w:tcW w:w="2494" w:type="dxa"/>
          </w:tcPr>
          <w:p w14:paraId="4904B993" w14:textId="77777777" w:rsidR="00A720EB" w:rsidRDefault="0030286B">
            <w:pPr>
              <w:pStyle w:val="TableParagraph"/>
              <w:rPr>
                <w:sz w:val="21"/>
              </w:rPr>
            </w:pPr>
            <w:r>
              <w:rPr>
                <w:color w:val="B02045"/>
                <w:sz w:val="21"/>
              </w:rPr>
              <w:t>true</w:t>
            </w:r>
          </w:p>
        </w:tc>
        <w:tc>
          <w:tcPr>
            <w:tcW w:w="4988" w:type="dxa"/>
          </w:tcPr>
          <w:p w14:paraId="55502467" w14:textId="77777777" w:rsidR="00A720EB" w:rsidRDefault="0030286B">
            <w:pPr>
              <w:pStyle w:val="TableParagraph"/>
              <w:spacing w:before="92"/>
              <w:rPr>
                <w:rFonts w:ascii="Cambria"/>
                <w:sz w:val="21"/>
              </w:rPr>
            </w:pPr>
            <w:r>
              <w:rPr>
                <w:rFonts w:ascii="Cambria"/>
                <w:color w:val="333333"/>
                <w:w w:val="110"/>
                <w:sz w:val="21"/>
              </w:rPr>
              <w:t>Whether to enable LDAP health check.</w:t>
            </w:r>
          </w:p>
        </w:tc>
      </w:tr>
      <w:tr w:rsidR="00A720EB" w14:paraId="5CE09B11" w14:textId="77777777">
        <w:trPr>
          <w:trHeight w:val="627"/>
        </w:trPr>
        <w:tc>
          <w:tcPr>
            <w:tcW w:w="2494" w:type="dxa"/>
          </w:tcPr>
          <w:p w14:paraId="2C17C31B"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.live nessstate.enabled</w:t>
            </w:r>
          </w:p>
        </w:tc>
        <w:tc>
          <w:tcPr>
            <w:tcW w:w="2494" w:type="dxa"/>
          </w:tcPr>
          <w:p w14:paraId="26A49A7B" w14:textId="77777777" w:rsidR="00A720EB" w:rsidRDefault="0030286B">
            <w:pPr>
              <w:pStyle w:val="TableParagraph"/>
              <w:rPr>
                <w:sz w:val="21"/>
              </w:rPr>
            </w:pPr>
            <w:r>
              <w:rPr>
                <w:color w:val="B02045"/>
                <w:sz w:val="21"/>
              </w:rPr>
              <w:t>false</w:t>
            </w:r>
          </w:p>
        </w:tc>
        <w:tc>
          <w:tcPr>
            <w:tcW w:w="4988" w:type="dxa"/>
          </w:tcPr>
          <w:p w14:paraId="13C738F4" w14:textId="77777777" w:rsidR="00A720EB" w:rsidRDefault="0030286B">
            <w:pPr>
              <w:pStyle w:val="TableParagraph"/>
              <w:spacing w:before="92"/>
              <w:rPr>
                <w:rFonts w:ascii="Cambria"/>
                <w:sz w:val="21"/>
              </w:rPr>
            </w:pPr>
            <w:r>
              <w:rPr>
                <w:rFonts w:ascii="Cambria"/>
                <w:color w:val="333333"/>
                <w:w w:val="110"/>
                <w:sz w:val="21"/>
              </w:rPr>
              <w:t>Whether to enable liveness state health check.</w:t>
            </w:r>
          </w:p>
        </w:tc>
      </w:tr>
      <w:tr w:rsidR="00A720EB" w14:paraId="10BEDC17" w14:textId="77777777">
        <w:trPr>
          <w:trHeight w:val="627"/>
        </w:trPr>
        <w:tc>
          <w:tcPr>
            <w:tcW w:w="2494" w:type="dxa"/>
          </w:tcPr>
          <w:p w14:paraId="2FA9BE62" w14:textId="77777777" w:rsidR="00A720EB" w:rsidRDefault="0030286B">
            <w:pPr>
              <w:pStyle w:val="TableParagraph"/>
              <w:spacing w:line="264" w:lineRule="exact"/>
              <w:rPr>
                <w:sz w:val="21"/>
              </w:rPr>
            </w:pPr>
            <w:proofErr w:type="gramStart"/>
            <w:r>
              <w:rPr>
                <w:color w:val="B02045"/>
                <w:sz w:val="21"/>
              </w:rPr>
              <w:t>management.health</w:t>
            </w:r>
            <w:proofErr w:type="gramEnd"/>
            <w:r>
              <w:rPr>
                <w:color w:val="B02045"/>
                <w:sz w:val="21"/>
              </w:rPr>
              <w:t>.mail</w:t>
            </w:r>
          </w:p>
          <w:p w14:paraId="1DF97BF6" w14:textId="77777777" w:rsidR="00A720EB" w:rsidRDefault="0030286B">
            <w:pPr>
              <w:pStyle w:val="TableParagraph"/>
              <w:spacing w:before="0" w:line="264" w:lineRule="exact"/>
              <w:rPr>
                <w:sz w:val="21"/>
              </w:rPr>
            </w:pPr>
            <w:proofErr w:type="gramStart"/>
            <w:r>
              <w:rPr>
                <w:color w:val="B02045"/>
                <w:sz w:val="21"/>
              </w:rPr>
              <w:t>.enabled</w:t>
            </w:r>
            <w:proofErr w:type="gramEnd"/>
          </w:p>
        </w:tc>
        <w:tc>
          <w:tcPr>
            <w:tcW w:w="2494" w:type="dxa"/>
          </w:tcPr>
          <w:p w14:paraId="0715555A" w14:textId="77777777" w:rsidR="00A720EB" w:rsidRDefault="0030286B">
            <w:pPr>
              <w:pStyle w:val="TableParagraph"/>
              <w:rPr>
                <w:sz w:val="21"/>
              </w:rPr>
            </w:pPr>
            <w:r>
              <w:rPr>
                <w:color w:val="B02045"/>
                <w:sz w:val="21"/>
              </w:rPr>
              <w:t>true</w:t>
            </w:r>
          </w:p>
        </w:tc>
        <w:tc>
          <w:tcPr>
            <w:tcW w:w="4988" w:type="dxa"/>
          </w:tcPr>
          <w:p w14:paraId="58780E06" w14:textId="77777777" w:rsidR="00A720EB" w:rsidRDefault="0030286B">
            <w:pPr>
              <w:pStyle w:val="TableParagraph"/>
              <w:spacing w:before="92"/>
              <w:rPr>
                <w:rFonts w:ascii="Cambria"/>
                <w:sz w:val="21"/>
              </w:rPr>
            </w:pPr>
            <w:r>
              <w:rPr>
                <w:rFonts w:ascii="Cambria"/>
                <w:color w:val="333333"/>
                <w:w w:val="110"/>
                <w:sz w:val="21"/>
              </w:rPr>
              <w:t>Whether to enable Mail health check.</w:t>
            </w:r>
          </w:p>
        </w:tc>
      </w:tr>
      <w:tr w:rsidR="00A720EB" w14:paraId="684130AB" w14:textId="77777777">
        <w:trPr>
          <w:trHeight w:val="627"/>
        </w:trPr>
        <w:tc>
          <w:tcPr>
            <w:tcW w:w="2494" w:type="dxa"/>
          </w:tcPr>
          <w:p w14:paraId="050E2504"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.mong o.enabled</w:t>
            </w:r>
          </w:p>
        </w:tc>
        <w:tc>
          <w:tcPr>
            <w:tcW w:w="2494" w:type="dxa"/>
          </w:tcPr>
          <w:p w14:paraId="0AAEC8F2" w14:textId="77777777" w:rsidR="00A720EB" w:rsidRDefault="0030286B">
            <w:pPr>
              <w:pStyle w:val="TableParagraph"/>
              <w:rPr>
                <w:sz w:val="21"/>
              </w:rPr>
            </w:pPr>
            <w:r>
              <w:rPr>
                <w:color w:val="B02045"/>
                <w:sz w:val="21"/>
              </w:rPr>
              <w:t>true</w:t>
            </w:r>
          </w:p>
        </w:tc>
        <w:tc>
          <w:tcPr>
            <w:tcW w:w="4988" w:type="dxa"/>
          </w:tcPr>
          <w:p w14:paraId="6E5FB21F" w14:textId="77777777" w:rsidR="00A720EB" w:rsidRDefault="0030286B">
            <w:pPr>
              <w:pStyle w:val="TableParagraph"/>
              <w:spacing w:before="92"/>
              <w:rPr>
                <w:rFonts w:ascii="Cambria"/>
                <w:sz w:val="21"/>
              </w:rPr>
            </w:pPr>
            <w:r>
              <w:rPr>
                <w:rFonts w:ascii="Cambria"/>
                <w:color w:val="333333"/>
                <w:w w:val="110"/>
                <w:sz w:val="21"/>
              </w:rPr>
              <w:t>Whether to enable MongoDB health check.</w:t>
            </w:r>
          </w:p>
        </w:tc>
      </w:tr>
      <w:tr w:rsidR="00A720EB" w14:paraId="32C54B45" w14:textId="77777777">
        <w:trPr>
          <w:trHeight w:val="627"/>
        </w:trPr>
        <w:tc>
          <w:tcPr>
            <w:tcW w:w="2494" w:type="dxa"/>
          </w:tcPr>
          <w:p w14:paraId="27F4EF0F"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.neo4 j.enabled</w:t>
            </w:r>
          </w:p>
        </w:tc>
        <w:tc>
          <w:tcPr>
            <w:tcW w:w="2494" w:type="dxa"/>
          </w:tcPr>
          <w:p w14:paraId="7A83CB3E" w14:textId="77777777" w:rsidR="00A720EB" w:rsidRDefault="0030286B">
            <w:pPr>
              <w:pStyle w:val="TableParagraph"/>
              <w:rPr>
                <w:sz w:val="21"/>
              </w:rPr>
            </w:pPr>
            <w:r>
              <w:rPr>
                <w:color w:val="B02045"/>
                <w:sz w:val="21"/>
              </w:rPr>
              <w:t>true</w:t>
            </w:r>
          </w:p>
        </w:tc>
        <w:tc>
          <w:tcPr>
            <w:tcW w:w="4988" w:type="dxa"/>
          </w:tcPr>
          <w:p w14:paraId="2D18FD97" w14:textId="77777777" w:rsidR="00A720EB" w:rsidRDefault="0030286B">
            <w:pPr>
              <w:pStyle w:val="TableParagraph"/>
              <w:spacing w:before="92"/>
              <w:rPr>
                <w:rFonts w:ascii="Cambria"/>
                <w:sz w:val="21"/>
              </w:rPr>
            </w:pPr>
            <w:r>
              <w:rPr>
                <w:rFonts w:ascii="Cambria"/>
                <w:color w:val="333333"/>
                <w:w w:val="110"/>
                <w:sz w:val="21"/>
              </w:rPr>
              <w:t>Whether to enable Neo4j health check.</w:t>
            </w:r>
          </w:p>
        </w:tc>
      </w:tr>
      <w:tr w:rsidR="00A720EB" w14:paraId="1612C54C" w14:textId="77777777">
        <w:trPr>
          <w:trHeight w:val="627"/>
        </w:trPr>
        <w:tc>
          <w:tcPr>
            <w:tcW w:w="2494" w:type="dxa"/>
          </w:tcPr>
          <w:p w14:paraId="55E55F7F" w14:textId="77777777" w:rsidR="00A720EB" w:rsidRDefault="0030286B">
            <w:pPr>
              <w:pStyle w:val="TableParagraph"/>
              <w:spacing w:line="264" w:lineRule="exact"/>
              <w:rPr>
                <w:sz w:val="21"/>
              </w:rPr>
            </w:pPr>
            <w:proofErr w:type="gramStart"/>
            <w:r>
              <w:rPr>
                <w:color w:val="B02045"/>
                <w:sz w:val="21"/>
              </w:rPr>
              <w:t>management.health</w:t>
            </w:r>
            <w:proofErr w:type="gramEnd"/>
            <w:r>
              <w:rPr>
                <w:color w:val="B02045"/>
                <w:sz w:val="21"/>
              </w:rPr>
              <w:t>.ping</w:t>
            </w:r>
          </w:p>
          <w:p w14:paraId="5B8D6546" w14:textId="77777777" w:rsidR="00A720EB" w:rsidRDefault="0030286B">
            <w:pPr>
              <w:pStyle w:val="TableParagraph"/>
              <w:spacing w:before="0" w:line="264" w:lineRule="exact"/>
              <w:rPr>
                <w:sz w:val="21"/>
              </w:rPr>
            </w:pPr>
            <w:proofErr w:type="gramStart"/>
            <w:r>
              <w:rPr>
                <w:color w:val="B02045"/>
                <w:sz w:val="21"/>
              </w:rPr>
              <w:t>.enabled</w:t>
            </w:r>
            <w:proofErr w:type="gramEnd"/>
          </w:p>
        </w:tc>
        <w:tc>
          <w:tcPr>
            <w:tcW w:w="2494" w:type="dxa"/>
          </w:tcPr>
          <w:p w14:paraId="5A731BF9" w14:textId="77777777" w:rsidR="00A720EB" w:rsidRDefault="0030286B">
            <w:pPr>
              <w:pStyle w:val="TableParagraph"/>
              <w:rPr>
                <w:sz w:val="21"/>
              </w:rPr>
            </w:pPr>
            <w:r>
              <w:rPr>
                <w:color w:val="B02045"/>
                <w:sz w:val="21"/>
              </w:rPr>
              <w:t>true</w:t>
            </w:r>
          </w:p>
        </w:tc>
        <w:tc>
          <w:tcPr>
            <w:tcW w:w="4988" w:type="dxa"/>
          </w:tcPr>
          <w:p w14:paraId="0D050EBB" w14:textId="77777777" w:rsidR="00A720EB" w:rsidRDefault="0030286B">
            <w:pPr>
              <w:pStyle w:val="TableParagraph"/>
              <w:spacing w:before="92"/>
              <w:rPr>
                <w:rFonts w:ascii="Cambria"/>
                <w:sz w:val="21"/>
              </w:rPr>
            </w:pPr>
            <w:r>
              <w:rPr>
                <w:rFonts w:ascii="Cambria"/>
                <w:color w:val="333333"/>
                <w:w w:val="110"/>
                <w:sz w:val="21"/>
              </w:rPr>
              <w:t>Whether to enable ping health check.</w:t>
            </w:r>
          </w:p>
        </w:tc>
      </w:tr>
    </w:tbl>
    <w:p w14:paraId="6927B246"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1187CCD8" w14:textId="77777777">
        <w:trPr>
          <w:trHeight w:val="415"/>
        </w:trPr>
        <w:tc>
          <w:tcPr>
            <w:tcW w:w="2494" w:type="dxa"/>
            <w:tcBorders>
              <w:bottom w:val="single" w:sz="12" w:space="0" w:color="DDDDDD"/>
            </w:tcBorders>
          </w:tcPr>
          <w:p w14:paraId="32EF1414"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8E20548"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1F14F9B"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0CE1EC5" w14:textId="77777777">
        <w:trPr>
          <w:trHeight w:val="617"/>
        </w:trPr>
        <w:tc>
          <w:tcPr>
            <w:tcW w:w="2494" w:type="dxa"/>
            <w:tcBorders>
              <w:top w:val="single" w:sz="12" w:space="0" w:color="DDDDDD"/>
            </w:tcBorders>
          </w:tcPr>
          <w:p w14:paraId="21CA44A6" w14:textId="77777777" w:rsidR="00A720EB" w:rsidRDefault="0030286B">
            <w:pPr>
              <w:pStyle w:val="TableParagraph"/>
              <w:spacing w:before="36" w:line="230" w:lineRule="auto"/>
              <w:ind w:right="94"/>
              <w:rPr>
                <w:sz w:val="21"/>
              </w:rPr>
            </w:pPr>
            <w:proofErr w:type="gramStart"/>
            <w:r>
              <w:rPr>
                <w:color w:val="B02045"/>
                <w:sz w:val="21"/>
              </w:rPr>
              <w:t>management.health</w:t>
            </w:r>
            <w:proofErr w:type="gramEnd"/>
            <w:r>
              <w:rPr>
                <w:color w:val="B02045"/>
                <w:sz w:val="21"/>
              </w:rPr>
              <w:t>.rabb it.enabled</w:t>
            </w:r>
          </w:p>
        </w:tc>
        <w:tc>
          <w:tcPr>
            <w:tcW w:w="2494" w:type="dxa"/>
            <w:tcBorders>
              <w:top w:val="single" w:sz="12" w:space="0" w:color="DDDDDD"/>
            </w:tcBorders>
          </w:tcPr>
          <w:p w14:paraId="67B86766"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28639EC1" w14:textId="77777777" w:rsidR="00A720EB" w:rsidRDefault="0030286B">
            <w:pPr>
              <w:pStyle w:val="TableParagraph"/>
              <w:spacing w:before="82"/>
              <w:rPr>
                <w:rFonts w:ascii="Cambria"/>
                <w:sz w:val="21"/>
              </w:rPr>
            </w:pPr>
            <w:r>
              <w:rPr>
                <w:rFonts w:ascii="Cambria"/>
                <w:color w:val="333333"/>
                <w:w w:val="110"/>
                <w:sz w:val="21"/>
              </w:rPr>
              <w:t>Whether to enable RabbitMQ health check.</w:t>
            </w:r>
          </w:p>
        </w:tc>
      </w:tr>
      <w:tr w:rsidR="00A720EB" w14:paraId="16414BF6" w14:textId="77777777">
        <w:trPr>
          <w:trHeight w:val="627"/>
        </w:trPr>
        <w:tc>
          <w:tcPr>
            <w:tcW w:w="2494" w:type="dxa"/>
          </w:tcPr>
          <w:p w14:paraId="4E7F1813"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.read inessstate.enabled</w:t>
            </w:r>
          </w:p>
        </w:tc>
        <w:tc>
          <w:tcPr>
            <w:tcW w:w="2494" w:type="dxa"/>
          </w:tcPr>
          <w:p w14:paraId="7CCB66B1" w14:textId="77777777" w:rsidR="00A720EB" w:rsidRDefault="0030286B">
            <w:pPr>
              <w:pStyle w:val="TableParagraph"/>
              <w:spacing w:before="37"/>
              <w:rPr>
                <w:sz w:val="21"/>
              </w:rPr>
            </w:pPr>
            <w:r>
              <w:rPr>
                <w:color w:val="B02045"/>
                <w:sz w:val="21"/>
              </w:rPr>
              <w:t>false</w:t>
            </w:r>
          </w:p>
        </w:tc>
        <w:tc>
          <w:tcPr>
            <w:tcW w:w="4988" w:type="dxa"/>
          </w:tcPr>
          <w:p w14:paraId="222F93AE" w14:textId="77777777" w:rsidR="00A720EB" w:rsidRDefault="0030286B">
            <w:pPr>
              <w:pStyle w:val="TableParagraph"/>
              <w:spacing w:before="92"/>
              <w:rPr>
                <w:rFonts w:ascii="Cambria"/>
                <w:sz w:val="21"/>
              </w:rPr>
            </w:pPr>
            <w:r>
              <w:rPr>
                <w:rFonts w:ascii="Cambria"/>
                <w:color w:val="333333"/>
                <w:w w:val="110"/>
                <w:sz w:val="21"/>
              </w:rPr>
              <w:t>Whether to enable readiness state health check.</w:t>
            </w:r>
          </w:p>
        </w:tc>
      </w:tr>
      <w:tr w:rsidR="00A720EB" w14:paraId="08C04C77" w14:textId="77777777">
        <w:trPr>
          <w:trHeight w:val="627"/>
        </w:trPr>
        <w:tc>
          <w:tcPr>
            <w:tcW w:w="2494" w:type="dxa"/>
          </w:tcPr>
          <w:p w14:paraId="620BD65C" w14:textId="77777777" w:rsidR="00A720EB" w:rsidRDefault="0030286B">
            <w:pPr>
              <w:pStyle w:val="TableParagraph"/>
              <w:spacing w:before="46" w:line="230" w:lineRule="auto"/>
              <w:ind w:right="94"/>
              <w:rPr>
                <w:sz w:val="21"/>
              </w:rPr>
            </w:pPr>
            <w:proofErr w:type="gramStart"/>
            <w:r>
              <w:rPr>
                <w:color w:val="B02045"/>
                <w:sz w:val="21"/>
              </w:rPr>
              <w:t>management.health</w:t>
            </w:r>
            <w:proofErr w:type="gramEnd"/>
            <w:r>
              <w:rPr>
                <w:color w:val="B02045"/>
                <w:sz w:val="21"/>
              </w:rPr>
              <w:t>.redi s.enabled</w:t>
            </w:r>
          </w:p>
        </w:tc>
        <w:tc>
          <w:tcPr>
            <w:tcW w:w="2494" w:type="dxa"/>
          </w:tcPr>
          <w:p w14:paraId="7B2B77E3" w14:textId="77777777" w:rsidR="00A720EB" w:rsidRDefault="0030286B">
            <w:pPr>
              <w:pStyle w:val="TableParagraph"/>
              <w:rPr>
                <w:sz w:val="21"/>
              </w:rPr>
            </w:pPr>
            <w:r>
              <w:rPr>
                <w:color w:val="B02045"/>
                <w:sz w:val="21"/>
              </w:rPr>
              <w:t>true</w:t>
            </w:r>
          </w:p>
        </w:tc>
        <w:tc>
          <w:tcPr>
            <w:tcW w:w="4988" w:type="dxa"/>
          </w:tcPr>
          <w:p w14:paraId="4DA331F4" w14:textId="77777777" w:rsidR="00A720EB" w:rsidRDefault="0030286B">
            <w:pPr>
              <w:pStyle w:val="TableParagraph"/>
              <w:spacing w:before="92"/>
              <w:rPr>
                <w:rFonts w:ascii="Cambria"/>
                <w:sz w:val="21"/>
              </w:rPr>
            </w:pPr>
            <w:r>
              <w:rPr>
                <w:rFonts w:ascii="Cambria"/>
                <w:color w:val="333333"/>
                <w:w w:val="110"/>
                <w:sz w:val="21"/>
              </w:rPr>
              <w:t>Whether to enable Redis health check.</w:t>
            </w:r>
          </w:p>
        </w:tc>
      </w:tr>
      <w:tr w:rsidR="00A720EB" w14:paraId="4080D3AE" w14:textId="77777777">
        <w:trPr>
          <w:trHeight w:val="627"/>
        </w:trPr>
        <w:tc>
          <w:tcPr>
            <w:tcW w:w="2494" w:type="dxa"/>
          </w:tcPr>
          <w:p w14:paraId="54421725" w14:textId="77777777" w:rsidR="00A720EB" w:rsidRDefault="0030286B">
            <w:pPr>
              <w:pStyle w:val="TableParagraph"/>
              <w:spacing w:line="264" w:lineRule="exact"/>
              <w:rPr>
                <w:sz w:val="21"/>
              </w:rPr>
            </w:pPr>
            <w:proofErr w:type="gramStart"/>
            <w:r>
              <w:rPr>
                <w:color w:val="B02045"/>
                <w:sz w:val="21"/>
              </w:rPr>
              <w:t>management.health</w:t>
            </w:r>
            <w:proofErr w:type="gramEnd"/>
            <w:r>
              <w:rPr>
                <w:color w:val="B02045"/>
                <w:sz w:val="21"/>
              </w:rPr>
              <w:t>.solr</w:t>
            </w:r>
          </w:p>
          <w:p w14:paraId="067EBCD6" w14:textId="77777777" w:rsidR="00A720EB" w:rsidRDefault="0030286B">
            <w:pPr>
              <w:pStyle w:val="TableParagraph"/>
              <w:spacing w:before="0" w:line="264" w:lineRule="exact"/>
              <w:rPr>
                <w:sz w:val="21"/>
              </w:rPr>
            </w:pPr>
            <w:proofErr w:type="gramStart"/>
            <w:r>
              <w:rPr>
                <w:color w:val="B02045"/>
                <w:sz w:val="21"/>
              </w:rPr>
              <w:t>.enabled</w:t>
            </w:r>
            <w:proofErr w:type="gramEnd"/>
          </w:p>
        </w:tc>
        <w:tc>
          <w:tcPr>
            <w:tcW w:w="2494" w:type="dxa"/>
          </w:tcPr>
          <w:p w14:paraId="471F21C7" w14:textId="77777777" w:rsidR="00A720EB" w:rsidRDefault="0030286B">
            <w:pPr>
              <w:pStyle w:val="TableParagraph"/>
              <w:rPr>
                <w:sz w:val="21"/>
              </w:rPr>
            </w:pPr>
            <w:r>
              <w:rPr>
                <w:color w:val="B02045"/>
                <w:sz w:val="21"/>
              </w:rPr>
              <w:t>true</w:t>
            </w:r>
          </w:p>
        </w:tc>
        <w:tc>
          <w:tcPr>
            <w:tcW w:w="4988" w:type="dxa"/>
          </w:tcPr>
          <w:p w14:paraId="105FA670" w14:textId="77777777" w:rsidR="00A720EB" w:rsidRDefault="0030286B">
            <w:pPr>
              <w:pStyle w:val="TableParagraph"/>
              <w:spacing w:before="92"/>
              <w:rPr>
                <w:rFonts w:ascii="Cambria"/>
                <w:sz w:val="21"/>
              </w:rPr>
            </w:pPr>
            <w:r>
              <w:rPr>
                <w:rFonts w:ascii="Cambria"/>
                <w:color w:val="333333"/>
                <w:w w:val="110"/>
                <w:sz w:val="21"/>
              </w:rPr>
              <w:t>Whether to enable Solr health check.</w:t>
            </w:r>
          </w:p>
        </w:tc>
      </w:tr>
      <w:tr w:rsidR="00A720EB" w14:paraId="2EDB18ED" w14:textId="77777777">
        <w:trPr>
          <w:trHeight w:val="627"/>
        </w:trPr>
        <w:tc>
          <w:tcPr>
            <w:tcW w:w="2494" w:type="dxa"/>
          </w:tcPr>
          <w:p w14:paraId="29458E82" w14:textId="77777777" w:rsidR="00A720EB" w:rsidRDefault="0030286B">
            <w:pPr>
              <w:pStyle w:val="TableParagraph"/>
              <w:spacing w:before="46" w:line="230" w:lineRule="auto"/>
              <w:ind w:right="94"/>
              <w:rPr>
                <w:sz w:val="21"/>
              </w:rPr>
            </w:pPr>
            <w:proofErr w:type="gramStart"/>
            <w:r>
              <w:rPr>
                <w:color w:val="B02045"/>
                <w:sz w:val="21"/>
              </w:rPr>
              <w:t>management.info.build</w:t>
            </w:r>
            <w:proofErr w:type="gramEnd"/>
            <w:r>
              <w:rPr>
                <w:color w:val="B02045"/>
                <w:sz w:val="21"/>
              </w:rPr>
              <w:t>. enabled</w:t>
            </w:r>
          </w:p>
        </w:tc>
        <w:tc>
          <w:tcPr>
            <w:tcW w:w="2494" w:type="dxa"/>
          </w:tcPr>
          <w:p w14:paraId="6C78D1F6" w14:textId="77777777" w:rsidR="00A720EB" w:rsidRDefault="0030286B">
            <w:pPr>
              <w:pStyle w:val="TableParagraph"/>
              <w:spacing w:before="37"/>
              <w:rPr>
                <w:sz w:val="21"/>
              </w:rPr>
            </w:pPr>
            <w:r>
              <w:rPr>
                <w:color w:val="B02045"/>
                <w:sz w:val="21"/>
              </w:rPr>
              <w:t>true</w:t>
            </w:r>
          </w:p>
        </w:tc>
        <w:tc>
          <w:tcPr>
            <w:tcW w:w="4988" w:type="dxa"/>
          </w:tcPr>
          <w:p w14:paraId="721BC82B" w14:textId="77777777" w:rsidR="00A720EB" w:rsidRDefault="0030286B">
            <w:pPr>
              <w:pStyle w:val="TableParagraph"/>
              <w:spacing w:before="92"/>
              <w:rPr>
                <w:rFonts w:ascii="Cambria"/>
                <w:sz w:val="21"/>
              </w:rPr>
            </w:pPr>
            <w:r>
              <w:rPr>
                <w:rFonts w:ascii="Cambria"/>
                <w:color w:val="333333"/>
                <w:w w:val="110"/>
                <w:sz w:val="21"/>
              </w:rPr>
              <w:t>Whether to enable build info.</w:t>
            </w:r>
          </w:p>
        </w:tc>
      </w:tr>
      <w:tr w:rsidR="00A720EB" w14:paraId="283A80BC" w14:textId="77777777">
        <w:trPr>
          <w:trHeight w:val="627"/>
        </w:trPr>
        <w:tc>
          <w:tcPr>
            <w:tcW w:w="2494" w:type="dxa"/>
          </w:tcPr>
          <w:p w14:paraId="265806F4" w14:textId="77777777" w:rsidR="00A720EB" w:rsidRDefault="0030286B">
            <w:pPr>
              <w:pStyle w:val="TableParagraph"/>
              <w:spacing w:before="46" w:line="230" w:lineRule="auto"/>
              <w:ind w:right="94"/>
              <w:rPr>
                <w:sz w:val="21"/>
              </w:rPr>
            </w:pPr>
            <w:proofErr w:type="gramStart"/>
            <w:r>
              <w:rPr>
                <w:color w:val="B02045"/>
                <w:sz w:val="21"/>
              </w:rPr>
              <w:t>management.info.defaul</w:t>
            </w:r>
            <w:proofErr w:type="gramEnd"/>
            <w:r>
              <w:rPr>
                <w:color w:val="B02045"/>
                <w:sz w:val="21"/>
              </w:rPr>
              <w:t xml:space="preserve"> ts.enabled</w:t>
            </w:r>
          </w:p>
        </w:tc>
        <w:tc>
          <w:tcPr>
            <w:tcW w:w="2494" w:type="dxa"/>
          </w:tcPr>
          <w:p w14:paraId="1A0F83BA" w14:textId="77777777" w:rsidR="00A720EB" w:rsidRDefault="0030286B">
            <w:pPr>
              <w:pStyle w:val="TableParagraph"/>
              <w:spacing w:before="37"/>
              <w:rPr>
                <w:sz w:val="21"/>
              </w:rPr>
            </w:pPr>
            <w:r>
              <w:rPr>
                <w:color w:val="B02045"/>
                <w:sz w:val="21"/>
              </w:rPr>
              <w:t>true</w:t>
            </w:r>
          </w:p>
        </w:tc>
        <w:tc>
          <w:tcPr>
            <w:tcW w:w="4988" w:type="dxa"/>
          </w:tcPr>
          <w:p w14:paraId="603D3C2D" w14:textId="77777777" w:rsidR="00A720EB" w:rsidRDefault="0030286B">
            <w:pPr>
              <w:pStyle w:val="TableParagraph"/>
              <w:spacing w:before="92"/>
              <w:rPr>
                <w:rFonts w:ascii="Cambria"/>
                <w:sz w:val="21"/>
              </w:rPr>
            </w:pPr>
            <w:r>
              <w:rPr>
                <w:rFonts w:ascii="Cambria"/>
                <w:color w:val="333333"/>
                <w:w w:val="110"/>
                <w:sz w:val="21"/>
              </w:rPr>
              <w:t>Whether to enable default info contributors.</w:t>
            </w:r>
          </w:p>
        </w:tc>
      </w:tr>
      <w:tr w:rsidR="00A720EB" w14:paraId="71AFF178" w14:textId="77777777">
        <w:trPr>
          <w:trHeight w:val="627"/>
        </w:trPr>
        <w:tc>
          <w:tcPr>
            <w:tcW w:w="2494" w:type="dxa"/>
          </w:tcPr>
          <w:p w14:paraId="676985D6" w14:textId="77777777" w:rsidR="00A720EB" w:rsidRDefault="0030286B">
            <w:pPr>
              <w:pStyle w:val="TableParagraph"/>
              <w:spacing w:before="46" w:line="230" w:lineRule="auto"/>
              <w:ind w:right="94"/>
              <w:rPr>
                <w:sz w:val="21"/>
              </w:rPr>
            </w:pPr>
            <w:proofErr w:type="gramStart"/>
            <w:r>
              <w:rPr>
                <w:color w:val="B02045"/>
                <w:sz w:val="21"/>
              </w:rPr>
              <w:t>management.info.env.en</w:t>
            </w:r>
            <w:proofErr w:type="gramEnd"/>
            <w:r>
              <w:rPr>
                <w:color w:val="B02045"/>
                <w:sz w:val="21"/>
              </w:rPr>
              <w:t xml:space="preserve"> abled</w:t>
            </w:r>
          </w:p>
        </w:tc>
        <w:tc>
          <w:tcPr>
            <w:tcW w:w="2494" w:type="dxa"/>
          </w:tcPr>
          <w:p w14:paraId="56403EE7" w14:textId="77777777" w:rsidR="00A720EB" w:rsidRDefault="0030286B">
            <w:pPr>
              <w:pStyle w:val="TableParagraph"/>
              <w:rPr>
                <w:sz w:val="21"/>
              </w:rPr>
            </w:pPr>
            <w:r>
              <w:rPr>
                <w:color w:val="B02045"/>
                <w:sz w:val="21"/>
              </w:rPr>
              <w:t>true</w:t>
            </w:r>
          </w:p>
        </w:tc>
        <w:tc>
          <w:tcPr>
            <w:tcW w:w="4988" w:type="dxa"/>
          </w:tcPr>
          <w:p w14:paraId="79BA0DCA" w14:textId="77777777" w:rsidR="00A720EB" w:rsidRDefault="0030286B">
            <w:pPr>
              <w:pStyle w:val="TableParagraph"/>
              <w:spacing w:before="92"/>
              <w:rPr>
                <w:rFonts w:ascii="Cambria"/>
                <w:sz w:val="21"/>
              </w:rPr>
            </w:pPr>
            <w:r>
              <w:rPr>
                <w:rFonts w:ascii="Cambria"/>
                <w:color w:val="333333"/>
                <w:w w:val="110"/>
                <w:sz w:val="21"/>
              </w:rPr>
              <w:t>Whether to enable environment info.</w:t>
            </w:r>
          </w:p>
        </w:tc>
      </w:tr>
      <w:tr w:rsidR="00A720EB" w14:paraId="5484B179" w14:textId="77777777">
        <w:trPr>
          <w:trHeight w:val="627"/>
        </w:trPr>
        <w:tc>
          <w:tcPr>
            <w:tcW w:w="2494" w:type="dxa"/>
          </w:tcPr>
          <w:p w14:paraId="05CF88CD" w14:textId="77777777" w:rsidR="00A720EB" w:rsidRDefault="0030286B">
            <w:pPr>
              <w:pStyle w:val="TableParagraph"/>
              <w:spacing w:before="46" w:line="230" w:lineRule="auto"/>
              <w:ind w:right="94"/>
              <w:rPr>
                <w:sz w:val="21"/>
              </w:rPr>
            </w:pPr>
            <w:proofErr w:type="gramStart"/>
            <w:r>
              <w:rPr>
                <w:color w:val="B02045"/>
                <w:sz w:val="21"/>
              </w:rPr>
              <w:t>management.info.git.en</w:t>
            </w:r>
            <w:proofErr w:type="gramEnd"/>
            <w:r>
              <w:rPr>
                <w:color w:val="B02045"/>
                <w:sz w:val="21"/>
              </w:rPr>
              <w:t xml:space="preserve"> abled</w:t>
            </w:r>
          </w:p>
        </w:tc>
        <w:tc>
          <w:tcPr>
            <w:tcW w:w="2494" w:type="dxa"/>
          </w:tcPr>
          <w:p w14:paraId="05BFCBDC" w14:textId="77777777" w:rsidR="00A720EB" w:rsidRDefault="0030286B">
            <w:pPr>
              <w:pStyle w:val="TableParagraph"/>
              <w:rPr>
                <w:sz w:val="21"/>
              </w:rPr>
            </w:pPr>
            <w:r>
              <w:rPr>
                <w:color w:val="B02045"/>
                <w:sz w:val="21"/>
              </w:rPr>
              <w:t>true</w:t>
            </w:r>
          </w:p>
        </w:tc>
        <w:tc>
          <w:tcPr>
            <w:tcW w:w="4988" w:type="dxa"/>
          </w:tcPr>
          <w:p w14:paraId="29FC70EB" w14:textId="77777777" w:rsidR="00A720EB" w:rsidRDefault="0030286B">
            <w:pPr>
              <w:pStyle w:val="TableParagraph"/>
              <w:spacing w:before="92"/>
              <w:rPr>
                <w:rFonts w:ascii="Cambria"/>
                <w:sz w:val="21"/>
              </w:rPr>
            </w:pPr>
            <w:r>
              <w:rPr>
                <w:rFonts w:ascii="Cambria"/>
                <w:color w:val="333333"/>
                <w:w w:val="110"/>
                <w:sz w:val="21"/>
              </w:rPr>
              <w:t>Whether to enable git info.</w:t>
            </w:r>
          </w:p>
        </w:tc>
      </w:tr>
      <w:tr w:rsidR="00A720EB" w14:paraId="6C4225D5" w14:textId="77777777">
        <w:trPr>
          <w:trHeight w:val="627"/>
        </w:trPr>
        <w:tc>
          <w:tcPr>
            <w:tcW w:w="2494" w:type="dxa"/>
          </w:tcPr>
          <w:p w14:paraId="01996174" w14:textId="77777777" w:rsidR="00A720EB" w:rsidRDefault="0030286B">
            <w:pPr>
              <w:pStyle w:val="TableParagraph"/>
              <w:spacing w:before="46" w:line="230" w:lineRule="auto"/>
              <w:ind w:right="94"/>
              <w:rPr>
                <w:sz w:val="21"/>
              </w:rPr>
            </w:pPr>
            <w:r>
              <w:rPr>
                <w:color w:val="B02045"/>
                <w:sz w:val="21"/>
              </w:rPr>
              <w:t>management.info.git.mo de</w:t>
            </w:r>
          </w:p>
        </w:tc>
        <w:tc>
          <w:tcPr>
            <w:tcW w:w="2494" w:type="dxa"/>
          </w:tcPr>
          <w:p w14:paraId="743C413B" w14:textId="77777777" w:rsidR="00A720EB" w:rsidRDefault="0030286B">
            <w:pPr>
              <w:pStyle w:val="TableParagraph"/>
              <w:spacing w:before="37"/>
              <w:rPr>
                <w:sz w:val="21"/>
              </w:rPr>
            </w:pPr>
            <w:r>
              <w:rPr>
                <w:color w:val="B02045"/>
                <w:sz w:val="21"/>
              </w:rPr>
              <w:t>simple</w:t>
            </w:r>
          </w:p>
        </w:tc>
        <w:tc>
          <w:tcPr>
            <w:tcW w:w="4988" w:type="dxa"/>
          </w:tcPr>
          <w:p w14:paraId="469F6713" w14:textId="77777777" w:rsidR="00A720EB" w:rsidRDefault="0030286B">
            <w:pPr>
              <w:pStyle w:val="TableParagraph"/>
              <w:spacing w:before="92"/>
              <w:rPr>
                <w:rFonts w:ascii="Cambria"/>
                <w:sz w:val="21"/>
              </w:rPr>
            </w:pPr>
            <w:r>
              <w:rPr>
                <w:rFonts w:ascii="Cambria"/>
                <w:color w:val="333333"/>
                <w:w w:val="110"/>
                <w:sz w:val="21"/>
              </w:rPr>
              <w:t>Mode to use to expose git information.</w:t>
            </w:r>
          </w:p>
        </w:tc>
      </w:tr>
      <w:tr w:rsidR="00A720EB" w14:paraId="2B6DB873" w14:textId="77777777">
        <w:trPr>
          <w:trHeight w:val="1688"/>
        </w:trPr>
        <w:tc>
          <w:tcPr>
            <w:tcW w:w="2494" w:type="dxa"/>
          </w:tcPr>
          <w:p w14:paraId="40B245BA" w14:textId="77777777" w:rsidR="00A720EB" w:rsidRDefault="0030286B">
            <w:pPr>
              <w:pStyle w:val="TableParagraph"/>
              <w:spacing w:before="46" w:line="230" w:lineRule="auto"/>
              <w:ind w:right="113"/>
              <w:rPr>
                <w:sz w:val="21"/>
              </w:rPr>
            </w:pPr>
            <w:r>
              <w:rPr>
                <w:color w:val="B02045"/>
                <w:sz w:val="21"/>
              </w:rPr>
              <w:t xml:space="preserve">management.metrics.dis </w:t>
            </w:r>
            <w:proofErr w:type="gramStart"/>
            <w:r>
              <w:rPr>
                <w:color w:val="B02045"/>
                <w:sz w:val="21"/>
              </w:rPr>
              <w:t>tribution.maximum</w:t>
            </w:r>
            <w:proofErr w:type="gramEnd"/>
            <w:r>
              <w:rPr>
                <w:color w:val="B02045"/>
                <w:sz w:val="21"/>
              </w:rPr>
              <w:t>- expected-value.*</w:t>
            </w:r>
          </w:p>
        </w:tc>
        <w:tc>
          <w:tcPr>
            <w:tcW w:w="2494" w:type="dxa"/>
          </w:tcPr>
          <w:p w14:paraId="1229D966" w14:textId="77777777" w:rsidR="00A720EB" w:rsidRDefault="00A720EB">
            <w:pPr>
              <w:pStyle w:val="TableParagraph"/>
              <w:spacing w:before="0"/>
              <w:ind w:left="0"/>
              <w:rPr>
                <w:rFonts w:ascii="Times New Roman"/>
                <w:sz w:val="20"/>
              </w:rPr>
            </w:pPr>
          </w:p>
        </w:tc>
        <w:tc>
          <w:tcPr>
            <w:tcW w:w="4988" w:type="dxa"/>
          </w:tcPr>
          <w:p w14:paraId="6A85D5F3" w14:textId="77777777" w:rsidR="00A720EB" w:rsidRDefault="0030286B">
            <w:pPr>
              <w:pStyle w:val="TableParagraph"/>
              <w:spacing w:before="92" w:line="307" w:lineRule="auto"/>
              <w:rPr>
                <w:rFonts w:ascii="Cambria"/>
                <w:sz w:val="21"/>
              </w:rPr>
            </w:pPr>
            <w:r>
              <w:rPr>
                <w:rFonts w:ascii="Cambria"/>
                <w:color w:val="333333"/>
                <w:w w:val="110"/>
                <w:sz w:val="21"/>
              </w:rPr>
              <w:t>Maximum value that meter IDs starting with the specified name are expected to observe. The longest match wins. Values can be specified as a long or as a Duration value (for timer meters, defaulting to ms if no unit specified).</w:t>
            </w:r>
          </w:p>
        </w:tc>
      </w:tr>
      <w:tr w:rsidR="00A720EB" w14:paraId="63203B64" w14:textId="77777777">
        <w:trPr>
          <w:trHeight w:val="1687"/>
        </w:trPr>
        <w:tc>
          <w:tcPr>
            <w:tcW w:w="2494" w:type="dxa"/>
          </w:tcPr>
          <w:p w14:paraId="2B49E035" w14:textId="77777777" w:rsidR="00A720EB" w:rsidRDefault="0030286B">
            <w:pPr>
              <w:pStyle w:val="TableParagraph"/>
              <w:spacing w:before="46" w:line="230" w:lineRule="auto"/>
              <w:ind w:right="113"/>
              <w:rPr>
                <w:sz w:val="21"/>
              </w:rPr>
            </w:pPr>
            <w:r>
              <w:rPr>
                <w:color w:val="B02045"/>
                <w:sz w:val="21"/>
              </w:rPr>
              <w:t xml:space="preserve">management.metrics.dis </w:t>
            </w:r>
            <w:proofErr w:type="gramStart"/>
            <w:r>
              <w:rPr>
                <w:color w:val="B02045"/>
                <w:sz w:val="21"/>
              </w:rPr>
              <w:t>tribution.minimum</w:t>
            </w:r>
            <w:proofErr w:type="gramEnd"/>
            <w:r>
              <w:rPr>
                <w:color w:val="B02045"/>
                <w:sz w:val="21"/>
              </w:rPr>
              <w:t>- expected-value.*</w:t>
            </w:r>
          </w:p>
        </w:tc>
        <w:tc>
          <w:tcPr>
            <w:tcW w:w="2494" w:type="dxa"/>
          </w:tcPr>
          <w:p w14:paraId="4C2B0F38" w14:textId="77777777" w:rsidR="00A720EB" w:rsidRDefault="00A720EB">
            <w:pPr>
              <w:pStyle w:val="TableParagraph"/>
              <w:spacing w:before="0"/>
              <w:ind w:left="0"/>
              <w:rPr>
                <w:rFonts w:ascii="Times New Roman"/>
                <w:sz w:val="20"/>
              </w:rPr>
            </w:pPr>
          </w:p>
        </w:tc>
        <w:tc>
          <w:tcPr>
            <w:tcW w:w="4988" w:type="dxa"/>
          </w:tcPr>
          <w:p w14:paraId="2AF3B980" w14:textId="77777777" w:rsidR="00A720EB" w:rsidRDefault="0030286B">
            <w:pPr>
              <w:pStyle w:val="TableParagraph"/>
              <w:spacing w:before="92" w:line="307" w:lineRule="auto"/>
              <w:rPr>
                <w:rFonts w:ascii="Cambria"/>
                <w:sz w:val="21"/>
              </w:rPr>
            </w:pPr>
            <w:r>
              <w:rPr>
                <w:rFonts w:ascii="Cambria"/>
                <w:color w:val="333333"/>
                <w:w w:val="110"/>
                <w:sz w:val="21"/>
              </w:rPr>
              <w:t>Minimum value that meter IDs starting with the specified name are expected to observe. The longest match wins. Values can be specified as a long or as a Duration value (for timer meters, defaulting to ms if no unit specified).</w:t>
            </w:r>
          </w:p>
        </w:tc>
      </w:tr>
      <w:tr w:rsidR="00A720EB" w14:paraId="585E8421" w14:textId="77777777">
        <w:trPr>
          <w:trHeight w:val="2319"/>
        </w:trPr>
        <w:tc>
          <w:tcPr>
            <w:tcW w:w="2494" w:type="dxa"/>
          </w:tcPr>
          <w:p w14:paraId="669347A3" w14:textId="77777777" w:rsidR="00A720EB" w:rsidRDefault="0030286B">
            <w:pPr>
              <w:pStyle w:val="TableParagraph"/>
              <w:spacing w:before="46" w:line="230" w:lineRule="auto"/>
              <w:ind w:right="113"/>
              <w:jc w:val="both"/>
              <w:rPr>
                <w:sz w:val="21"/>
              </w:rPr>
            </w:pPr>
            <w:r>
              <w:rPr>
                <w:color w:val="B02045"/>
                <w:sz w:val="21"/>
              </w:rPr>
              <w:t xml:space="preserve">management.metrics.dis </w:t>
            </w:r>
            <w:proofErr w:type="gramStart"/>
            <w:r>
              <w:rPr>
                <w:color w:val="B02045"/>
                <w:sz w:val="21"/>
              </w:rPr>
              <w:t>tribution.percentiles</w:t>
            </w:r>
            <w:proofErr w:type="gramEnd"/>
            <w:r>
              <w:rPr>
                <w:color w:val="B02045"/>
                <w:sz w:val="21"/>
              </w:rPr>
              <w:t>- histogram.*</w:t>
            </w:r>
          </w:p>
        </w:tc>
        <w:tc>
          <w:tcPr>
            <w:tcW w:w="2494" w:type="dxa"/>
          </w:tcPr>
          <w:p w14:paraId="3B303007" w14:textId="77777777" w:rsidR="00A720EB" w:rsidRDefault="00A720EB">
            <w:pPr>
              <w:pStyle w:val="TableParagraph"/>
              <w:spacing w:before="0"/>
              <w:ind w:left="0"/>
              <w:rPr>
                <w:rFonts w:ascii="Times New Roman"/>
                <w:sz w:val="20"/>
              </w:rPr>
            </w:pPr>
          </w:p>
        </w:tc>
        <w:tc>
          <w:tcPr>
            <w:tcW w:w="4988" w:type="dxa"/>
          </w:tcPr>
          <w:p w14:paraId="42AF4107" w14:textId="77777777" w:rsidR="00A720EB" w:rsidRDefault="0030286B">
            <w:pPr>
              <w:pStyle w:val="TableParagraph"/>
              <w:spacing w:before="92" w:line="307" w:lineRule="auto"/>
              <w:rPr>
                <w:rFonts w:ascii="Cambria"/>
                <w:sz w:val="21"/>
              </w:rPr>
            </w:pPr>
            <w:r>
              <w:rPr>
                <w:rFonts w:ascii="Cambria"/>
                <w:color w:val="333333"/>
                <w:w w:val="110"/>
                <w:sz w:val="21"/>
              </w:rPr>
              <w:t xml:space="preserve">Whether meter IDs starting with the specified name should publish percentile histograms. For monitoring systems that support aggregable percentile calculation based on a histogram, this can be set to true. For other systems, this has no effect. The longest match wins, the key </w:t>
            </w:r>
            <w:r>
              <w:rPr>
                <w:rFonts w:ascii="Cambria"/>
                <w:color w:val="333333"/>
                <w:w w:val="125"/>
                <w:sz w:val="21"/>
              </w:rPr>
              <w:t xml:space="preserve">`all` </w:t>
            </w:r>
            <w:r>
              <w:rPr>
                <w:rFonts w:ascii="Cambria"/>
                <w:color w:val="333333"/>
                <w:w w:val="110"/>
                <w:sz w:val="21"/>
              </w:rPr>
              <w:t>can also be used to configure all meters.</w:t>
            </w:r>
          </w:p>
        </w:tc>
      </w:tr>
      <w:tr w:rsidR="00A720EB" w14:paraId="17F22BCC" w14:textId="77777777">
        <w:trPr>
          <w:trHeight w:val="1688"/>
        </w:trPr>
        <w:tc>
          <w:tcPr>
            <w:tcW w:w="2494" w:type="dxa"/>
          </w:tcPr>
          <w:p w14:paraId="3CFFD6FB" w14:textId="77777777" w:rsidR="00A720EB" w:rsidRDefault="0030286B">
            <w:pPr>
              <w:pStyle w:val="TableParagraph"/>
              <w:spacing w:before="46" w:line="230" w:lineRule="auto"/>
              <w:ind w:right="94"/>
              <w:rPr>
                <w:sz w:val="21"/>
              </w:rPr>
            </w:pPr>
            <w:r>
              <w:rPr>
                <w:color w:val="B02045"/>
                <w:sz w:val="21"/>
              </w:rPr>
              <w:t xml:space="preserve">management.metrics.dis </w:t>
            </w:r>
            <w:proofErr w:type="gramStart"/>
            <w:r>
              <w:rPr>
                <w:color w:val="B02045"/>
                <w:sz w:val="21"/>
              </w:rPr>
              <w:t>tribution.percentiles</w:t>
            </w:r>
            <w:proofErr w:type="gramEnd"/>
            <w:r>
              <w:rPr>
                <w:color w:val="B02045"/>
                <w:sz w:val="21"/>
              </w:rPr>
              <w:t>.</w:t>
            </w:r>
          </w:p>
          <w:p w14:paraId="3DE731BA" w14:textId="77777777" w:rsidR="00A720EB" w:rsidRDefault="0030286B">
            <w:pPr>
              <w:pStyle w:val="TableParagraph"/>
              <w:spacing w:before="0" w:line="262" w:lineRule="exact"/>
              <w:rPr>
                <w:sz w:val="21"/>
              </w:rPr>
            </w:pPr>
            <w:r>
              <w:rPr>
                <w:color w:val="B02045"/>
                <w:sz w:val="21"/>
              </w:rPr>
              <w:t>*</w:t>
            </w:r>
          </w:p>
        </w:tc>
        <w:tc>
          <w:tcPr>
            <w:tcW w:w="2494" w:type="dxa"/>
          </w:tcPr>
          <w:p w14:paraId="696B7E8A" w14:textId="77777777" w:rsidR="00A720EB" w:rsidRDefault="00A720EB">
            <w:pPr>
              <w:pStyle w:val="TableParagraph"/>
              <w:spacing w:before="0"/>
              <w:ind w:left="0"/>
              <w:rPr>
                <w:rFonts w:ascii="Times New Roman"/>
                <w:sz w:val="20"/>
              </w:rPr>
            </w:pPr>
          </w:p>
        </w:tc>
        <w:tc>
          <w:tcPr>
            <w:tcW w:w="4988" w:type="dxa"/>
          </w:tcPr>
          <w:p w14:paraId="5BE26965" w14:textId="77777777" w:rsidR="00A720EB" w:rsidRDefault="0030286B">
            <w:pPr>
              <w:pStyle w:val="TableParagraph"/>
              <w:spacing w:before="92" w:line="307" w:lineRule="auto"/>
              <w:ind w:right="111"/>
              <w:rPr>
                <w:rFonts w:ascii="Cambria"/>
                <w:sz w:val="21"/>
              </w:rPr>
            </w:pPr>
            <w:r>
              <w:rPr>
                <w:rFonts w:ascii="Cambria"/>
                <w:color w:val="333333"/>
                <w:w w:val="110"/>
                <w:sz w:val="21"/>
              </w:rPr>
              <w:t xml:space="preserve">Specific computed non-aggregable percentiles to ship to the backend for meter IDs starting-with the specified name. The longest match wins, the key </w:t>
            </w:r>
            <w:r>
              <w:rPr>
                <w:rFonts w:ascii="Cambria"/>
                <w:color w:val="333333"/>
                <w:w w:val="120"/>
                <w:sz w:val="21"/>
              </w:rPr>
              <w:t xml:space="preserve">`all` </w:t>
            </w:r>
            <w:r>
              <w:rPr>
                <w:rFonts w:ascii="Cambria"/>
                <w:color w:val="333333"/>
                <w:w w:val="110"/>
                <w:sz w:val="21"/>
              </w:rPr>
              <w:t>can also be used to configure all   meters.</w:t>
            </w:r>
          </w:p>
        </w:tc>
      </w:tr>
    </w:tbl>
    <w:p w14:paraId="4086FE5C"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6A4EAE17" w14:textId="77777777">
        <w:trPr>
          <w:trHeight w:val="415"/>
        </w:trPr>
        <w:tc>
          <w:tcPr>
            <w:tcW w:w="2494" w:type="dxa"/>
            <w:tcBorders>
              <w:bottom w:val="single" w:sz="12" w:space="0" w:color="DDDDDD"/>
            </w:tcBorders>
          </w:tcPr>
          <w:p w14:paraId="15D8F3AE"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F090F09"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992A848"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2B9E137" w14:textId="77777777">
        <w:trPr>
          <w:trHeight w:val="2309"/>
        </w:trPr>
        <w:tc>
          <w:tcPr>
            <w:tcW w:w="2494" w:type="dxa"/>
            <w:tcBorders>
              <w:top w:val="single" w:sz="12" w:space="0" w:color="DDDDDD"/>
            </w:tcBorders>
          </w:tcPr>
          <w:p w14:paraId="6779A3AF" w14:textId="77777777" w:rsidR="00A720EB" w:rsidRDefault="0030286B">
            <w:pPr>
              <w:pStyle w:val="TableParagraph"/>
              <w:spacing w:before="36" w:line="230" w:lineRule="auto"/>
              <w:ind w:right="94"/>
              <w:rPr>
                <w:sz w:val="21"/>
              </w:rPr>
            </w:pPr>
            <w:r>
              <w:rPr>
                <w:color w:val="B02045"/>
                <w:sz w:val="21"/>
              </w:rPr>
              <w:t xml:space="preserve">management.metrics.dis </w:t>
            </w:r>
            <w:proofErr w:type="gramStart"/>
            <w:r>
              <w:rPr>
                <w:color w:val="B02045"/>
                <w:sz w:val="21"/>
              </w:rPr>
              <w:t>tribution.slo.*</w:t>
            </w:r>
            <w:proofErr w:type="gramEnd"/>
          </w:p>
        </w:tc>
        <w:tc>
          <w:tcPr>
            <w:tcW w:w="2494" w:type="dxa"/>
            <w:tcBorders>
              <w:top w:val="single" w:sz="12" w:space="0" w:color="DDDDDD"/>
            </w:tcBorders>
          </w:tcPr>
          <w:p w14:paraId="40897007"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739B9541" w14:textId="77777777" w:rsidR="00A720EB" w:rsidRDefault="0030286B">
            <w:pPr>
              <w:pStyle w:val="TableParagraph"/>
              <w:spacing w:before="82" w:line="307" w:lineRule="auto"/>
              <w:ind w:right="44"/>
              <w:rPr>
                <w:rFonts w:ascii="Cambria"/>
                <w:sz w:val="21"/>
              </w:rPr>
            </w:pPr>
            <w:r>
              <w:rPr>
                <w:rFonts w:ascii="Cambria"/>
                <w:color w:val="333333"/>
                <w:w w:val="110"/>
                <w:sz w:val="21"/>
              </w:rPr>
              <w:t>Specific service-level objective boundaries for meter IDs starting with the specified name. The longest match wins. Counters will be published for each specified boundary. Values can be specified as a long or as a Duration value (for timer meters, defaulting to ms if no unit specified).</w:t>
            </w:r>
          </w:p>
        </w:tc>
      </w:tr>
      <w:tr w:rsidR="00A720EB" w14:paraId="04C08A6B" w14:textId="77777777">
        <w:trPr>
          <w:trHeight w:val="1372"/>
        </w:trPr>
        <w:tc>
          <w:tcPr>
            <w:tcW w:w="2494" w:type="dxa"/>
          </w:tcPr>
          <w:p w14:paraId="2001C589" w14:textId="77777777" w:rsidR="00A720EB" w:rsidRDefault="0030286B">
            <w:pPr>
              <w:pStyle w:val="TableParagraph"/>
              <w:spacing w:before="46" w:line="230" w:lineRule="auto"/>
              <w:ind w:right="94"/>
              <w:rPr>
                <w:sz w:val="21"/>
              </w:rPr>
            </w:pPr>
            <w:r>
              <w:rPr>
                <w:color w:val="B02045"/>
                <w:sz w:val="21"/>
              </w:rPr>
              <w:t xml:space="preserve">management.metrics.ena </w:t>
            </w:r>
            <w:proofErr w:type="gramStart"/>
            <w:r>
              <w:rPr>
                <w:color w:val="B02045"/>
                <w:sz w:val="21"/>
              </w:rPr>
              <w:t>ble.*</w:t>
            </w:r>
            <w:proofErr w:type="gramEnd"/>
          </w:p>
        </w:tc>
        <w:tc>
          <w:tcPr>
            <w:tcW w:w="2494" w:type="dxa"/>
          </w:tcPr>
          <w:p w14:paraId="7F03E857" w14:textId="77777777" w:rsidR="00A720EB" w:rsidRDefault="00A720EB">
            <w:pPr>
              <w:pStyle w:val="TableParagraph"/>
              <w:spacing w:before="0"/>
              <w:ind w:left="0"/>
              <w:rPr>
                <w:rFonts w:ascii="Times New Roman"/>
                <w:sz w:val="20"/>
              </w:rPr>
            </w:pPr>
          </w:p>
        </w:tc>
        <w:tc>
          <w:tcPr>
            <w:tcW w:w="4988" w:type="dxa"/>
          </w:tcPr>
          <w:p w14:paraId="53F54E0F" w14:textId="77777777" w:rsidR="00A720EB" w:rsidRDefault="0030286B">
            <w:pPr>
              <w:pStyle w:val="TableParagraph"/>
              <w:spacing w:before="28" w:line="310" w:lineRule="atLeast"/>
              <w:ind w:right="50"/>
              <w:rPr>
                <w:rFonts w:ascii="Cambria"/>
                <w:sz w:val="21"/>
              </w:rPr>
            </w:pPr>
            <w:r>
              <w:rPr>
                <w:rFonts w:ascii="Cambria"/>
                <w:color w:val="333333"/>
                <w:w w:val="115"/>
                <w:sz w:val="21"/>
              </w:rPr>
              <w:t xml:space="preserve">Whether meter IDs starting with the specified name should be enabled. The longest match wins, the key </w:t>
            </w:r>
            <w:r>
              <w:rPr>
                <w:rFonts w:ascii="Cambria"/>
                <w:color w:val="333333"/>
                <w:w w:val="125"/>
                <w:sz w:val="21"/>
              </w:rPr>
              <w:t xml:space="preserve">`all` </w:t>
            </w:r>
            <w:r>
              <w:rPr>
                <w:rFonts w:ascii="Cambria"/>
                <w:color w:val="333333"/>
                <w:w w:val="115"/>
                <w:sz w:val="21"/>
              </w:rPr>
              <w:t>can also be used to configure all meters.</w:t>
            </w:r>
          </w:p>
        </w:tc>
      </w:tr>
      <w:tr w:rsidR="00A720EB" w14:paraId="4BE67BB0" w14:textId="77777777">
        <w:trPr>
          <w:trHeight w:val="886"/>
        </w:trPr>
        <w:tc>
          <w:tcPr>
            <w:tcW w:w="2494" w:type="dxa"/>
          </w:tcPr>
          <w:p w14:paraId="698ACCBD" w14:textId="77777777" w:rsidR="00A720EB" w:rsidRDefault="0030286B">
            <w:pPr>
              <w:pStyle w:val="TableParagraph"/>
              <w:spacing w:before="46" w:line="230" w:lineRule="auto"/>
              <w:ind w:right="113"/>
              <w:rPr>
                <w:sz w:val="21"/>
              </w:rPr>
            </w:pPr>
            <w:r>
              <w:rPr>
                <w:color w:val="B02045"/>
                <w:sz w:val="21"/>
              </w:rPr>
              <w:t>management.metrics.exp ort.appoptics.api- token</w:t>
            </w:r>
          </w:p>
        </w:tc>
        <w:tc>
          <w:tcPr>
            <w:tcW w:w="2494" w:type="dxa"/>
          </w:tcPr>
          <w:p w14:paraId="0CDD4C66" w14:textId="77777777" w:rsidR="00A720EB" w:rsidRDefault="00A720EB">
            <w:pPr>
              <w:pStyle w:val="TableParagraph"/>
              <w:spacing w:before="0"/>
              <w:ind w:left="0"/>
              <w:rPr>
                <w:rFonts w:ascii="Times New Roman"/>
                <w:sz w:val="20"/>
              </w:rPr>
            </w:pPr>
          </w:p>
        </w:tc>
        <w:tc>
          <w:tcPr>
            <w:tcW w:w="4988" w:type="dxa"/>
          </w:tcPr>
          <w:p w14:paraId="20C8A173" w14:textId="77777777" w:rsidR="00A720EB" w:rsidRDefault="0030286B">
            <w:pPr>
              <w:pStyle w:val="TableParagraph"/>
              <w:spacing w:before="92"/>
              <w:rPr>
                <w:rFonts w:ascii="Cambria"/>
                <w:sz w:val="21"/>
              </w:rPr>
            </w:pPr>
            <w:r>
              <w:rPr>
                <w:rFonts w:ascii="Cambria"/>
                <w:color w:val="333333"/>
                <w:w w:val="110"/>
                <w:sz w:val="21"/>
              </w:rPr>
              <w:t>AppOptics API token.</w:t>
            </w:r>
          </w:p>
        </w:tc>
      </w:tr>
      <w:tr w:rsidR="00A720EB" w14:paraId="630E24C7" w14:textId="77777777">
        <w:trPr>
          <w:trHeight w:val="1056"/>
        </w:trPr>
        <w:tc>
          <w:tcPr>
            <w:tcW w:w="2494" w:type="dxa"/>
          </w:tcPr>
          <w:p w14:paraId="6423F0A4"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ort.appoptics</w:t>
            </w:r>
            <w:proofErr w:type="gramEnd"/>
            <w:r>
              <w:rPr>
                <w:color w:val="B02045"/>
                <w:sz w:val="21"/>
              </w:rPr>
              <w:t>.batch- size</w:t>
            </w:r>
          </w:p>
        </w:tc>
        <w:tc>
          <w:tcPr>
            <w:tcW w:w="2494" w:type="dxa"/>
          </w:tcPr>
          <w:p w14:paraId="51D3BE63" w14:textId="77777777" w:rsidR="00A720EB" w:rsidRDefault="0030286B">
            <w:pPr>
              <w:pStyle w:val="TableParagraph"/>
              <w:rPr>
                <w:sz w:val="21"/>
              </w:rPr>
            </w:pPr>
            <w:r>
              <w:rPr>
                <w:color w:val="B02045"/>
                <w:sz w:val="21"/>
              </w:rPr>
              <w:t>500.0</w:t>
            </w:r>
          </w:p>
        </w:tc>
        <w:tc>
          <w:tcPr>
            <w:tcW w:w="4988" w:type="dxa"/>
          </w:tcPr>
          <w:p w14:paraId="433BAAA4"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31A59BA8" w14:textId="77777777">
        <w:trPr>
          <w:trHeight w:val="886"/>
        </w:trPr>
        <w:tc>
          <w:tcPr>
            <w:tcW w:w="2494" w:type="dxa"/>
          </w:tcPr>
          <w:p w14:paraId="30A5BFE9"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ort.appoptics</w:t>
            </w:r>
            <w:proofErr w:type="gramEnd"/>
            <w:r>
              <w:rPr>
                <w:color w:val="B02045"/>
                <w:sz w:val="21"/>
              </w:rPr>
              <w:t>.connect- timeout</w:t>
            </w:r>
          </w:p>
        </w:tc>
        <w:tc>
          <w:tcPr>
            <w:tcW w:w="2494" w:type="dxa"/>
          </w:tcPr>
          <w:p w14:paraId="61C00A69" w14:textId="77777777" w:rsidR="00A720EB" w:rsidRDefault="0030286B">
            <w:pPr>
              <w:pStyle w:val="TableParagraph"/>
              <w:spacing w:before="37"/>
              <w:rPr>
                <w:sz w:val="21"/>
              </w:rPr>
            </w:pPr>
            <w:r>
              <w:rPr>
                <w:color w:val="B02045"/>
                <w:sz w:val="21"/>
              </w:rPr>
              <w:t>5s</w:t>
            </w:r>
          </w:p>
        </w:tc>
        <w:tc>
          <w:tcPr>
            <w:tcW w:w="4988" w:type="dxa"/>
          </w:tcPr>
          <w:p w14:paraId="1F5C43E6"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1FA46794" w14:textId="77777777">
        <w:trPr>
          <w:trHeight w:val="741"/>
        </w:trPr>
        <w:tc>
          <w:tcPr>
            <w:tcW w:w="2494" w:type="dxa"/>
          </w:tcPr>
          <w:p w14:paraId="39515259"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ort.appoptics</w:t>
            </w:r>
            <w:proofErr w:type="gramEnd"/>
            <w:r>
              <w:rPr>
                <w:color w:val="B02045"/>
                <w:sz w:val="21"/>
              </w:rPr>
              <w:t>.enabled</w:t>
            </w:r>
          </w:p>
        </w:tc>
        <w:tc>
          <w:tcPr>
            <w:tcW w:w="2494" w:type="dxa"/>
          </w:tcPr>
          <w:p w14:paraId="7FD103C2" w14:textId="77777777" w:rsidR="00A720EB" w:rsidRDefault="0030286B">
            <w:pPr>
              <w:pStyle w:val="TableParagraph"/>
              <w:rPr>
                <w:sz w:val="21"/>
              </w:rPr>
            </w:pPr>
            <w:r>
              <w:rPr>
                <w:color w:val="B02045"/>
                <w:sz w:val="21"/>
              </w:rPr>
              <w:t>true</w:t>
            </w:r>
          </w:p>
        </w:tc>
        <w:tc>
          <w:tcPr>
            <w:tcW w:w="4988" w:type="dxa"/>
          </w:tcPr>
          <w:p w14:paraId="108A2B1B"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12FD0485" w14:textId="77777777">
        <w:trPr>
          <w:trHeight w:val="1056"/>
        </w:trPr>
        <w:tc>
          <w:tcPr>
            <w:tcW w:w="2494" w:type="dxa"/>
          </w:tcPr>
          <w:p w14:paraId="01265829"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ort.appoptics</w:t>
            </w:r>
            <w:proofErr w:type="gramEnd"/>
            <w:r>
              <w:rPr>
                <w:color w:val="B02045"/>
                <w:sz w:val="21"/>
              </w:rPr>
              <w:t>.floor- times</w:t>
            </w:r>
          </w:p>
        </w:tc>
        <w:tc>
          <w:tcPr>
            <w:tcW w:w="2494" w:type="dxa"/>
          </w:tcPr>
          <w:p w14:paraId="3710C3A2" w14:textId="77777777" w:rsidR="00A720EB" w:rsidRDefault="0030286B">
            <w:pPr>
              <w:pStyle w:val="TableParagraph"/>
              <w:rPr>
                <w:sz w:val="21"/>
              </w:rPr>
            </w:pPr>
            <w:r>
              <w:rPr>
                <w:color w:val="B02045"/>
                <w:sz w:val="21"/>
              </w:rPr>
              <w:t>false</w:t>
            </w:r>
          </w:p>
        </w:tc>
        <w:tc>
          <w:tcPr>
            <w:tcW w:w="4988" w:type="dxa"/>
          </w:tcPr>
          <w:p w14:paraId="192DF42C" w14:textId="77777777" w:rsidR="00A720EB" w:rsidRDefault="0030286B">
            <w:pPr>
              <w:pStyle w:val="TableParagraph"/>
              <w:spacing w:before="28" w:line="310" w:lineRule="atLeast"/>
              <w:rPr>
                <w:rFonts w:ascii="Cambria"/>
                <w:sz w:val="21"/>
              </w:rPr>
            </w:pPr>
            <w:r>
              <w:rPr>
                <w:rFonts w:ascii="Cambria"/>
                <w:color w:val="333333"/>
                <w:w w:val="110"/>
                <w:sz w:val="21"/>
              </w:rPr>
              <w:t>Whether to ship a floored time, useful when sending measurements from multiple hosts to align them on a given time boundary.</w:t>
            </w:r>
          </w:p>
        </w:tc>
      </w:tr>
      <w:tr w:rsidR="00A720EB" w14:paraId="6578AECB" w14:textId="77777777">
        <w:trPr>
          <w:trHeight w:val="741"/>
        </w:trPr>
        <w:tc>
          <w:tcPr>
            <w:tcW w:w="2494" w:type="dxa"/>
          </w:tcPr>
          <w:p w14:paraId="0FA30F34"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ort.appoptics</w:t>
            </w:r>
            <w:proofErr w:type="gramEnd"/>
            <w:r>
              <w:rPr>
                <w:color w:val="B02045"/>
                <w:sz w:val="21"/>
              </w:rPr>
              <w:t>.host-tag</w:t>
            </w:r>
          </w:p>
        </w:tc>
        <w:tc>
          <w:tcPr>
            <w:tcW w:w="2494" w:type="dxa"/>
          </w:tcPr>
          <w:p w14:paraId="7D8AE9CC" w14:textId="77777777" w:rsidR="00A720EB" w:rsidRDefault="0030286B">
            <w:pPr>
              <w:pStyle w:val="TableParagraph"/>
              <w:rPr>
                <w:sz w:val="21"/>
              </w:rPr>
            </w:pPr>
            <w:r>
              <w:rPr>
                <w:color w:val="B02045"/>
                <w:sz w:val="21"/>
              </w:rPr>
              <w:t>instance</w:t>
            </w:r>
          </w:p>
        </w:tc>
        <w:tc>
          <w:tcPr>
            <w:tcW w:w="4988" w:type="dxa"/>
          </w:tcPr>
          <w:p w14:paraId="553821E2" w14:textId="77777777" w:rsidR="00A720EB" w:rsidRDefault="0030286B">
            <w:pPr>
              <w:pStyle w:val="TableParagraph"/>
              <w:spacing w:before="28" w:line="310" w:lineRule="atLeast"/>
              <w:rPr>
                <w:rFonts w:ascii="Cambria"/>
                <w:sz w:val="21"/>
              </w:rPr>
            </w:pPr>
            <w:r>
              <w:rPr>
                <w:rFonts w:ascii="Cambria"/>
                <w:color w:val="333333"/>
                <w:w w:val="110"/>
                <w:sz w:val="21"/>
              </w:rPr>
              <w:t>Tag that will be mapped to "@host" when shipping metrics to AppOptics.</w:t>
            </w:r>
          </w:p>
        </w:tc>
      </w:tr>
      <w:tr w:rsidR="00A720EB" w14:paraId="17C80233" w14:textId="77777777">
        <w:trPr>
          <w:trHeight w:val="886"/>
        </w:trPr>
        <w:tc>
          <w:tcPr>
            <w:tcW w:w="2494" w:type="dxa"/>
          </w:tcPr>
          <w:p w14:paraId="61D69DD3"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ort.appoptics</w:t>
            </w:r>
            <w:proofErr w:type="gramEnd"/>
            <w:r>
              <w:rPr>
                <w:color w:val="B02045"/>
                <w:sz w:val="21"/>
              </w:rPr>
              <w:t>.read- timeout</w:t>
            </w:r>
          </w:p>
        </w:tc>
        <w:tc>
          <w:tcPr>
            <w:tcW w:w="2494" w:type="dxa"/>
          </w:tcPr>
          <w:p w14:paraId="0171A011" w14:textId="77777777" w:rsidR="00A720EB" w:rsidRDefault="0030286B">
            <w:pPr>
              <w:pStyle w:val="TableParagraph"/>
              <w:rPr>
                <w:sz w:val="21"/>
              </w:rPr>
            </w:pPr>
            <w:r>
              <w:rPr>
                <w:color w:val="B02045"/>
                <w:sz w:val="21"/>
              </w:rPr>
              <w:t>10s</w:t>
            </w:r>
          </w:p>
        </w:tc>
        <w:tc>
          <w:tcPr>
            <w:tcW w:w="4988" w:type="dxa"/>
          </w:tcPr>
          <w:p w14:paraId="7F165BAD"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5FE19BBD" w14:textId="77777777">
        <w:trPr>
          <w:trHeight w:val="627"/>
        </w:trPr>
        <w:tc>
          <w:tcPr>
            <w:tcW w:w="2494" w:type="dxa"/>
          </w:tcPr>
          <w:p w14:paraId="6F091167"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ort.appoptics</w:t>
            </w:r>
            <w:proofErr w:type="gramEnd"/>
            <w:r>
              <w:rPr>
                <w:color w:val="B02045"/>
                <w:sz w:val="21"/>
              </w:rPr>
              <w:t>.step</w:t>
            </w:r>
          </w:p>
        </w:tc>
        <w:tc>
          <w:tcPr>
            <w:tcW w:w="2494" w:type="dxa"/>
          </w:tcPr>
          <w:p w14:paraId="49ED8312" w14:textId="77777777" w:rsidR="00A720EB" w:rsidRDefault="0030286B">
            <w:pPr>
              <w:pStyle w:val="TableParagraph"/>
              <w:spacing w:before="37"/>
              <w:rPr>
                <w:sz w:val="21"/>
              </w:rPr>
            </w:pPr>
            <w:r>
              <w:rPr>
                <w:color w:val="B02045"/>
                <w:sz w:val="21"/>
              </w:rPr>
              <w:t>1m</w:t>
            </w:r>
          </w:p>
        </w:tc>
        <w:tc>
          <w:tcPr>
            <w:tcW w:w="4988" w:type="dxa"/>
          </w:tcPr>
          <w:p w14:paraId="37CA1DAF"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240C14EB" w14:textId="77777777">
        <w:trPr>
          <w:trHeight w:val="627"/>
        </w:trPr>
        <w:tc>
          <w:tcPr>
            <w:tcW w:w="2494" w:type="dxa"/>
          </w:tcPr>
          <w:p w14:paraId="6D208157" w14:textId="77777777" w:rsidR="00A720EB" w:rsidRDefault="0030286B">
            <w:pPr>
              <w:pStyle w:val="TableParagraph"/>
              <w:spacing w:before="46" w:line="230" w:lineRule="auto"/>
              <w:ind w:right="94"/>
              <w:rPr>
                <w:sz w:val="21"/>
              </w:rPr>
            </w:pPr>
            <w:r>
              <w:rPr>
                <w:color w:val="B02045"/>
                <w:sz w:val="21"/>
              </w:rPr>
              <w:t>management.metrics.exp ort.appoptics.uri</w:t>
            </w:r>
          </w:p>
        </w:tc>
        <w:tc>
          <w:tcPr>
            <w:tcW w:w="2494" w:type="dxa"/>
          </w:tcPr>
          <w:p w14:paraId="130EE516" w14:textId="77777777" w:rsidR="00A720EB" w:rsidRDefault="0030286B">
            <w:pPr>
              <w:pStyle w:val="TableParagraph"/>
              <w:spacing w:before="46" w:line="230" w:lineRule="auto"/>
              <w:ind w:right="94"/>
              <w:rPr>
                <w:sz w:val="21"/>
              </w:rPr>
            </w:pPr>
            <w:r>
              <w:rPr>
                <w:color w:val="B02045"/>
                <w:sz w:val="21"/>
              </w:rPr>
              <w:t>https://api.appoptics. com/v1/measurements</w:t>
            </w:r>
          </w:p>
        </w:tc>
        <w:tc>
          <w:tcPr>
            <w:tcW w:w="4988" w:type="dxa"/>
          </w:tcPr>
          <w:p w14:paraId="3D7747D9" w14:textId="77777777" w:rsidR="00A720EB" w:rsidRDefault="0030286B">
            <w:pPr>
              <w:pStyle w:val="TableParagraph"/>
              <w:spacing w:before="92"/>
              <w:rPr>
                <w:rFonts w:ascii="Cambria"/>
                <w:sz w:val="21"/>
              </w:rPr>
            </w:pPr>
            <w:r>
              <w:rPr>
                <w:rFonts w:ascii="Cambria"/>
                <w:color w:val="333333"/>
                <w:w w:val="110"/>
                <w:sz w:val="21"/>
              </w:rPr>
              <w:t>URI to ship metrics to.</w:t>
            </w:r>
          </w:p>
        </w:tc>
      </w:tr>
      <w:tr w:rsidR="00A720EB" w14:paraId="727D7EE8" w14:textId="77777777">
        <w:trPr>
          <w:trHeight w:val="1056"/>
        </w:trPr>
        <w:tc>
          <w:tcPr>
            <w:tcW w:w="2494" w:type="dxa"/>
          </w:tcPr>
          <w:p w14:paraId="7E8B40FA"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ort.atlas</w:t>
            </w:r>
            <w:proofErr w:type="gramEnd"/>
            <w:r>
              <w:rPr>
                <w:color w:val="B02045"/>
                <w:sz w:val="21"/>
              </w:rPr>
              <w:t>.batch-size</w:t>
            </w:r>
          </w:p>
        </w:tc>
        <w:tc>
          <w:tcPr>
            <w:tcW w:w="2494" w:type="dxa"/>
          </w:tcPr>
          <w:p w14:paraId="3F48AD35" w14:textId="77777777" w:rsidR="00A720EB" w:rsidRDefault="0030286B">
            <w:pPr>
              <w:pStyle w:val="TableParagraph"/>
              <w:rPr>
                <w:sz w:val="21"/>
              </w:rPr>
            </w:pPr>
            <w:r>
              <w:rPr>
                <w:color w:val="B02045"/>
                <w:sz w:val="21"/>
              </w:rPr>
              <w:t>10000.0</w:t>
            </w:r>
          </w:p>
        </w:tc>
        <w:tc>
          <w:tcPr>
            <w:tcW w:w="4988" w:type="dxa"/>
          </w:tcPr>
          <w:p w14:paraId="6229A3CB"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3F67DD7D" w14:textId="77777777">
        <w:trPr>
          <w:trHeight w:val="886"/>
        </w:trPr>
        <w:tc>
          <w:tcPr>
            <w:tcW w:w="2494" w:type="dxa"/>
          </w:tcPr>
          <w:p w14:paraId="537A7427"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ort.atlas</w:t>
            </w:r>
            <w:proofErr w:type="gramEnd"/>
            <w:r>
              <w:rPr>
                <w:color w:val="B02045"/>
                <w:sz w:val="21"/>
              </w:rPr>
              <w:t>.config- refresh-frequency</w:t>
            </w:r>
          </w:p>
        </w:tc>
        <w:tc>
          <w:tcPr>
            <w:tcW w:w="2494" w:type="dxa"/>
          </w:tcPr>
          <w:p w14:paraId="1BC6EF56" w14:textId="77777777" w:rsidR="00A720EB" w:rsidRDefault="0030286B">
            <w:pPr>
              <w:pStyle w:val="TableParagraph"/>
              <w:rPr>
                <w:sz w:val="21"/>
              </w:rPr>
            </w:pPr>
            <w:r>
              <w:rPr>
                <w:color w:val="B02045"/>
                <w:sz w:val="21"/>
              </w:rPr>
              <w:t>10s</w:t>
            </w:r>
          </w:p>
        </w:tc>
        <w:tc>
          <w:tcPr>
            <w:tcW w:w="4988" w:type="dxa"/>
          </w:tcPr>
          <w:p w14:paraId="39D870B0" w14:textId="77777777" w:rsidR="00A720EB" w:rsidRDefault="0030286B">
            <w:pPr>
              <w:pStyle w:val="TableParagraph"/>
              <w:spacing w:before="92" w:line="307" w:lineRule="auto"/>
              <w:ind w:right="372"/>
              <w:rPr>
                <w:rFonts w:ascii="Cambria"/>
                <w:sz w:val="21"/>
              </w:rPr>
            </w:pPr>
            <w:r>
              <w:rPr>
                <w:rFonts w:ascii="Cambria"/>
                <w:color w:val="333333"/>
                <w:w w:val="110"/>
                <w:sz w:val="21"/>
              </w:rPr>
              <w:t>Frequency for refreshing config settings from the LWC service.</w:t>
            </w:r>
          </w:p>
        </w:tc>
      </w:tr>
      <w:tr w:rsidR="00A720EB" w14:paraId="388F42A6" w14:textId="77777777">
        <w:trPr>
          <w:trHeight w:val="886"/>
        </w:trPr>
        <w:tc>
          <w:tcPr>
            <w:tcW w:w="2494" w:type="dxa"/>
          </w:tcPr>
          <w:p w14:paraId="0EA8DE2D" w14:textId="77777777" w:rsidR="00A720EB" w:rsidRDefault="0030286B">
            <w:pPr>
              <w:pStyle w:val="TableParagraph"/>
              <w:spacing w:before="46" w:line="230" w:lineRule="auto"/>
              <w:ind w:right="113"/>
              <w:jc w:val="both"/>
              <w:rPr>
                <w:sz w:val="21"/>
              </w:rPr>
            </w:pPr>
            <w:r>
              <w:rPr>
                <w:color w:val="B02045"/>
                <w:sz w:val="21"/>
              </w:rPr>
              <w:lastRenderedPageBreak/>
              <w:t xml:space="preserve">management.metrics.exp </w:t>
            </w:r>
            <w:proofErr w:type="gramStart"/>
            <w:r>
              <w:rPr>
                <w:color w:val="B02045"/>
                <w:sz w:val="21"/>
              </w:rPr>
              <w:t>ort.atlas</w:t>
            </w:r>
            <w:proofErr w:type="gramEnd"/>
            <w:r>
              <w:rPr>
                <w:color w:val="B02045"/>
                <w:sz w:val="21"/>
              </w:rPr>
              <w:t>.config-time- to-live</w:t>
            </w:r>
          </w:p>
        </w:tc>
        <w:tc>
          <w:tcPr>
            <w:tcW w:w="2494" w:type="dxa"/>
          </w:tcPr>
          <w:p w14:paraId="7F602F0C" w14:textId="77777777" w:rsidR="00A720EB" w:rsidRDefault="0030286B">
            <w:pPr>
              <w:pStyle w:val="TableParagraph"/>
              <w:rPr>
                <w:sz w:val="21"/>
              </w:rPr>
            </w:pPr>
            <w:r>
              <w:rPr>
                <w:color w:val="B02045"/>
                <w:sz w:val="21"/>
              </w:rPr>
              <w:t>150s</w:t>
            </w:r>
          </w:p>
        </w:tc>
        <w:tc>
          <w:tcPr>
            <w:tcW w:w="4988" w:type="dxa"/>
          </w:tcPr>
          <w:p w14:paraId="27F9E33C" w14:textId="77777777" w:rsidR="00A720EB" w:rsidRDefault="0030286B">
            <w:pPr>
              <w:pStyle w:val="TableParagraph"/>
              <w:spacing w:before="92" w:line="307" w:lineRule="auto"/>
              <w:rPr>
                <w:rFonts w:ascii="Cambria"/>
                <w:sz w:val="21"/>
              </w:rPr>
            </w:pPr>
            <w:r>
              <w:rPr>
                <w:rFonts w:ascii="Cambria"/>
                <w:color w:val="333333"/>
                <w:w w:val="110"/>
                <w:sz w:val="21"/>
              </w:rPr>
              <w:t>Time to live for subscriptions from the LWC service.</w:t>
            </w:r>
          </w:p>
        </w:tc>
      </w:tr>
    </w:tbl>
    <w:p w14:paraId="6AFCA994"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BF0EEA2" w14:textId="77777777">
        <w:trPr>
          <w:trHeight w:val="415"/>
        </w:trPr>
        <w:tc>
          <w:tcPr>
            <w:tcW w:w="2494" w:type="dxa"/>
            <w:tcBorders>
              <w:bottom w:val="single" w:sz="12" w:space="0" w:color="DDDDDD"/>
            </w:tcBorders>
          </w:tcPr>
          <w:p w14:paraId="7A02735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B0FFC6A"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F535BA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63060FE" w14:textId="77777777">
        <w:trPr>
          <w:trHeight w:val="876"/>
        </w:trPr>
        <w:tc>
          <w:tcPr>
            <w:tcW w:w="2494" w:type="dxa"/>
            <w:tcBorders>
              <w:top w:val="single" w:sz="12" w:space="0" w:color="DDDDDD"/>
            </w:tcBorders>
          </w:tcPr>
          <w:p w14:paraId="64FFC78B" w14:textId="77777777" w:rsidR="00A720EB" w:rsidRDefault="0030286B">
            <w:pPr>
              <w:pStyle w:val="TableParagraph"/>
              <w:spacing w:before="36" w:line="230" w:lineRule="auto"/>
              <w:ind w:right="113"/>
              <w:rPr>
                <w:sz w:val="21"/>
              </w:rPr>
            </w:pPr>
            <w:r>
              <w:rPr>
                <w:color w:val="B02045"/>
                <w:sz w:val="21"/>
              </w:rPr>
              <w:t xml:space="preserve">management.metrics.exp </w:t>
            </w:r>
            <w:proofErr w:type="gramStart"/>
            <w:r>
              <w:rPr>
                <w:color w:val="B02045"/>
                <w:sz w:val="21"/>
              </w:rPr>
              <w:t>ort.atlas</w:t>
            </w:r>
            <w:proofErr w:type="gramEnd"/>
            <w:r>
              <w:rPr>
                <w:color w:val="B02045"/>
                <w:sz w:val="21"/>
              </w:rPr>
              <w:t>.config-uri</w:t>
            </w:r>
          </w:p>
        </w:tc>
        <w:tc>
          <w:tcPr>
            <w:tcW w:w="2494" w:type="dxa"/>
            <w:tcBorders>
              <w:top w:val="single" w:sz="12" w:space="0" w:color="DDDDDD"/>
            </w:tcBorders>
          </w:tcPr>
          <w:p w14:paraId="439701BA" w14:textId="77777777" w:rsidR="00A720EB" w:rsidRDefault="0030286B">
            <w:pPr>
              <w:pStyle w:val="TableParagraph"/>
              <w:spacing w:before="36" w:line="230" w:lineRule="auto"/>
              <w:ind w:right="94"/>
              <w:rPr>
                <w:sz w:val="21"/>
              </w:rPr>
            </w:pPr>
            <w:r>
              <w:rPr>
                <w:color w:val="B02045"/>
                <w:sz w:val="21"/>
              </w:rPr>
              <w:t>http://localhost:7101/ lwc/api/v1/expressions</w:t>
            </w:r>
          </w:p>
          <w:p w14:paraId="132A1B6F" w14:textId="77777777" w:rsidR="00A720EB" w:rsidRDefault="0030286B">
            <w:pPr>
              <w:pStyle w:val="TableParagraph"/>
              <w:spacing w:before="0" w:line="262" w:lineRule="exact"/>
              <w:rPr>
                <w:sz w:val="21"/>
              </w:rPr>
            </w:pPr>
            <w:r>
              <w:rPr>
                <w:color w:val="B02045"/>
                <w:sz w:val="21"/>
              </w:rPr>
              <w:t>/local-dev</w:t>
            </w:r>
          </w:p>
        </w:tc>
        <w:tc>
          <w:tcPr>
            <w:tcW w:w="4988" w:type="dxa"/>
            <w:tcBorders>
              <w:top w:val="single" w:sz="12" w:space="0" w:color="DDDDDD"/>
            </w:tcBorders>
          </w:tcPr>
          <w:p w14:paraId="516B2327" w14:textId="77777777" w:rsidR="00A720EB" w:rsidRDefault="0030286B">
            <w:pPr>
              <w:pStyle w:val="TableParagraph"/>
              <w:spacing w:before="82" w:line="307" w:lineRule="auto"/>
              <w:ind w:right="640"/>
              <w:rPr>
                <w:rFonts w:ascii="Cambria"/>
                <w:sz w:val="21"/>
              </w:rPr>
            </w:pPr>
            <w:r>
              <w:rPr>
                <w:rFonts w:ascii="Cambria"/>
                <w:color w:val="333333"/>
                <w:w w:val="110"/>
                <w:sz w:val="21"/>
              </w:rPr>
              <w:t>URI for the Atlas LWC endpoint to retrieve current subscriptions.</w:t>
            </w:r>
          </w:p>
        </w:tc>
      </w:tr>
      <w:tr w:rsidR="00A720EB" w14:paraId="441FD2D9" w14:textId="77777777">
        <w:trPr>
          <w:trHeight w:val="886"/>
        </w:trPr>
        <w:tc>
          <w:tcPr>
            <w:tcW w:w="2494" w:type="dxa"/>
          </w:tcPr>
          <w:p w14:paraId="5905B13C"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ort.atlas</w:t>
            </w:r>
            <w:proofErr w:type="gramEnd"/>
            <w:r>
              <w:rPr>
                <w:color w:val="B02045"/>
                <w:sz w:val="21"/>
              </w:rPr>
              <w:t>.connect- timeout</w:t>
            </w:r>
          </w:p>
        </w:tc>
        <w:tc>
          <w:tcPr>
            <w:tcW w:w="2494" w:type="dxa"/>
          </w:tcPr>
          <w:p w14:paraId="4A6D3725" w14:textId="77777777" w:rsidR="00A720EB" w:rsidRDefault="0030286B">
            <w:pPr>
              <w:pStyle w:val="TableParagraph"/>
              <w:rPr>
                <w:sz w:val="21"/>
              </w:rPr>
            </w:pPr>
            <w:r>
              <w:rPr>
                <w:color w:val="B02045"/>
                <w:sz w:val="21"/>
              </w:rPr>
              <w:t>1s</w:t>
            </w:r>
          </w:p>
        </w:tc>
        <w:tc>
          <w:tcPr>
            <w:tcW w:w="4988" w:type="dxa"/>
          </w:tcPr>
          <w:p w14:paraId="5AE952F1"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4BF47250" w14:textId="77777777">
        <w:trPr>
          <w:trHeight w:val="741"/>
        </w:trPr>
        <w:tc>
          <w:tcPr>
            <w:tcW w:w="2494" w:type="dxa"/>
          </w:tcPr>
          <w:p w14:paraId="13E8ACDF"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ort.atlas</w:t>
            </w:r>
            <w:proofErr w:type="gramEnd"/>
            <w:r>
              <w:rPr>
                <w:color w:val="B02045"/>
                <w:sz w:val="21"/>
              </w:rPr>
              <w:t>.enabled</w:t>
            </w:r>
          </w:p>
        </w:tc>
        <w:tc>
          <w:tcPr>
            <w:tcW w:w="2494" w:type="dxa"/>
          </w:tcPr>
          <w:p w14:paraId="603C98EA" w14:textId="77777777" w:rsidR="00A720EB" w:rsidRDefault="0030286B">
            <w:pPr>
              <w:pStyle w:val="TableParagraph"/>
              <w:rPr>
                <w:sz w:val="21"/>
              </w:rPr>
            </w:pPr>
            <w:r>
              <w:rPr>
                <w:color w:val="B02045"/>
                <w:sz w:val="21"/>
              </w:rPr>
              <w:t>true</w:t>
            </w:r>
          </w:p>
        </w:tc>
        <w:tc>
          <w:tcPr>
            <w:tcW w:w="4988" w:type="dxa"/>
          </w:tcPr>
          <w:p w14:paraId="0FC321CD"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1586AAF4" w14:textId="77777777">
        <w:trPr>
          <w:trHeight w:val="741"/>
        </w:trPr>
        <w:tc>
          <w:tcPr>
            <w:tcW w:w="2494" w:type="dxa"/>
          </w:tcPr>
          <w:p w14:paraId="7BD253C8"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ort.atlas</w:t>
            </w:r>
            <w:proofErr w:type="gramEnd"/>
            <w:r>
              <w:rPr>
                <w:color w:val="B02045"/>
                <w:sz w:val="21"/>
              </w:rPr>
              <w:t>.eval-uri</w:t>
            </w:r>
          </w:p>
        </w:tc>
        <w:tc>
          <w:tcPr>
            <w:tcW w:w="2494" w:type="dxa"/>
          </w:tcPr>
          <w:p w14:paraId="4EE50F00" w14:textId="77777777" w:rsidR="00A720EB" w:rsidRDefault="0030286B">
            <w:pPr>
              <w:pStyle w:val="TableParagraph"/>
              <w:spacing w:before="46" w:line="230" w:lineRule="auto"/>
              <w:ind w:right="94"/>
              <w:rPr>
                <w:sz w:val="21"/>
              </w:rPr>
            </w:pPr>
            <w:r>
              <w:rPr>
                <w:color w:val="B02045"/>
                <w:sz w:val="21"/>
              </w:rPr>
              <w:t>http://localhost:7101/ lwc/api/v1/evaluate</w:t>
            </w:r>
          </w:p>
        </w:tc>
        <w:tc>
          <w:tcPr>
            <w:tcW w:w="4988" w:type="dxa"/>
          </w:tcPr>
          <w:p w14:paraId="447D49D8" w14:textId="77777777" w:rsidR="00A720EB" w:rsidRDefault="0030286B">
            <w:pPr>
              <w:pStyle w:val="TableParagraph"/>
              <w:spacing w:before="28" w:line="310" w:lineRule="atLeast"/>
              <w:rPr>
                <w:rFonts w:ascii="Cambria"/>
                <w:sz w:val="21"/>
              </w:rPr>
            </w:pPr>
            <w:r>
              <w:rPr>
                <w:rFonts w:ascii="Cambria"/>
                <w:color w:val="333333"/>
                <w:w w:val="110"/>
                <w:sz w:val="21"/>
              </w:rPr>
              <w:t>URI for the Atlas LWC endpoint to evaluate the data for a subscription.</w:t>
            </w:r>
          </w:p>
        </w:tc>
      </w:tr>
      <w:tr w:rsidR="00A720EB" w14:paraId="4AF187DD" w14:textId="77777777">
        <w:trPr>
          <w:trHeight w:val="627"/>
        </w:trPr>
        <w:tc>
          <w:tcPr>
            <w:tcW w:w="2494" w:type="dxa"/>
          </w:tcPr>
          <w:p w14:paraId="6A59110E" w14:textId="77777777" w:rsidR="00A720EB" w:rsidRDefault="0030286B">
            <w:pPr>
              <w:pStyle w:val="TableParagraph"/>
              <w:spacing w:before="46" w:line="230" w:lineRule="auto"/>
              <w:ind w:right="113"/>
              <w:rPr>
                <w:sz w:val="21"/>
              </w:rPr>
            </w:pPr>
            <w:r>
              <w:rPr>
                <w:color w:val="B02045"/>
                <w:sz w:val="21"/>
              </w:rPr>
              <w:t>management.metrics.exp ort.atlas.lwc-enabled</w:t>
            </w:r>
          </w:p>
        </w:tc>
        <w:tc>
          <w:tcPr>
            <w:tcW w:w="2494" w:type="dxa"/>
          </w:tcPr>
          <w:p w14:paraId="75F02BB0" w14:textId="77777777" w:rsidR="00A720EB" w:rsidRDefault="0030286B">
            <w:pPr>
              <w:pStyle w:val="TableParagraph"/>
              <w:rPr>
                <w:sz w:val="21"/>
              </w:rPr>
            </w:pPr>
            <w:r>
              <w:rPr>
                <w:color w:val="B02045"/>
                <w:sz w:val="21"/>
              </w:rPr>
              <w:t>false</w:t>
            </w:r>
          </w:p>
        </w:tc>
        <w:tc>
          <w:tcPr>
            <w:tcW w:w="4988" w:type="dxa"/>
          </w:tcPr>
          <w:p w14:paraId="19C8E478" w14:textId="77777777" w:rsidR="00A720EB" w:rsidRDefault="0030286B">
            <w:pPr>
              <w:pStyle w:val="TableParagraph"/>
              <w:spacing w:before="92"/>
              <w:rPr>
                <w:rFonts w:ascii="Cambria"/>
                <w:sz w:val="21"/>
              </w:rPr>
            </w:pPr>
            <w:r>
              <w:rPr>
                <w:rFonts w:ascii="Cambria"/>
                <w:color w:val="333333"/>
                <w:w w:val="110"/>
                <w:sz w:val="21"/>
              </w:rPr>
              <w:t>Whether to enable streaming to Atlas LWC.</w:t>
            </w:r>
          </w:p>
        </w:tc>
      </w:tr>
      <w:tr w:rsidR="00A720EB" w14:paraId="3EB26602" w14:textId="77777777">
        <w:trPr>
          <w:trHeight w:val="1056"/>
        </w:trPr>
        <w:tc>
          <w:tcPr>
            <w:tcW w:w="2494" w:type="dxa"/>
          </w:tcPr>
          <w:p w14:paraId="2EF612EF"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ort.atlas</w:t>
            </w:r>
            <w:proofErr w:type="gramEnd"/>
            <w:r>
              <w:rPr>
                <w:color w:val="B02045"/>
                <w:sz w:val="21"/>
              </w:rPr>
              <w:t>.meter-time- to-live</w:t>
            </w:r>
          </w:p>
        </w:tc>
        <w:tc>
          <w:tcPr>
            <w:tcW w:w="2494" w:type="dxa"/>
          </w:tcPr>
          <w:p w14:paraId="31413903" w14:textId="77777777" w:rsidR="00A720EB" w:rsidRDefault="0030286B">
            <w:pPr>
              <w:pStyle w:val="TableParagraph"/>
              <w:spacing w:before="37"/>
              <w:rPr>
                <w:sz w:val="21"/>
              </w:rPr>
            </w:pPr>
            <w:r>
              <w:rPr>
                <w:color w:val="B02045"/>
                <w:sz w:val="21"/>
              </w:rPr>
              <w:t>15m</w:t>
            </w:r>
          </w:p>
        </w:tc>
        <w:tc>
          <w:tcPr>
            <w:tcW w:w="4988" w:type="dxa"/>
          </w:tcPr>
          <w:p w14:paraId="2E34E7EE" w14:textId="77777777" w:rsidR="00A720EB" w:rsidRDefault="0030286B">
            <w:pPr>
              <w:pStyle w:val="TableParagraph"/>
              <w:spacing w:before="28" w:line="310" w:lineRule="atLeast"/>
              <w:rPr>
                <w:rFonts w:ascii="Cambria"/>
                <w:sz w:val="21"/>
              </w:rPr>
            </w:pPr>
            <w:r>
              <w:rPr>
                <w:rFonts w:ascii="Cambria"/>
                <w:color w:val="333333"/>
                <w:w w:val="110"/>
                <w:sz w:val="21"/>
              </w:rPr>
              <w:t>Time to live for meters that do not have any activity. After this period the meter will be considered expired and will not get reported.</w:t>
            </w:r>
          </w:p>
        </w:tc>
      </w:tr>
      <w:tr w:rsidR="00A720EB" w14:paraId="2D00D5CF" w14:textId="77777777">
        <w:trPr>
          <w:trHeight w:val="741"/>
        </w:trPr>
        <w:tc>
          <w:tcPr>
            <w:tcW w:w="2494" w:type="dxa"/>
          </w:tcPr>
          <w:p w14:paraId="5D003EAE" w14:textId="77777777" w:rsidR="00A720EB" w:rsidRDefault="0030286B">
            <w:pPr>
              <w:pStyle w:val="TableParagraph"/>
              <w:spacing w:before="46" w:line="230" w:lineRule="auto"/>
              <w:ind w:right="113"/>
              <w:rPr>
                <w:sz w:val="21"/>
              </w:rPr>
            </w:pPr>
            <w:r>
              <w:rPr>
                <w:color w:val="B02045"/>
                <w:sz w:val="21"/>
              </w:rPr>
              <w:t>management.metrics.exp ort.atlas.num-threads</w:t>
            </w:r>
          </w:p>
        </w:tc>
        <w:tc>
          <w:tcPr>
            <w:tcW w:w="2494" w:type="dxa"/>
          </w:tcPr>
          <w:p w14:paraId="6D717EE3" w14:textId="77777777" w:rsidR="00A720EB" w:rsidRDefault="0030286B">
            <w:pPr>
              <w:pStyle w:val="TableParagraph"/>
              <w:rPr>
                <w:sz w:val="21"/>
              </w:rPr>
            </w:pPr>
            <w:r>
              <w:rPr>
                <w:color w:val="B02045"/>
                <w:sz w:val="21"/>
              </w:rPr>
              <w:t>4.0</w:t>
            </w:r>
          </w:p>
        </w:tc>
        <w:tc>
          <w:tcPr>
            <w:tcW w:w="4988" w:type="dxa"/>
          </w:tcPr>
          <w:p w14:paraId="361DB6F6" w14:textId="77777777" w:rsidR="00A720EB" w:rsidRDefault="0030286B">
            <w:pPr>
              <w:pStyle w:val="TableParagraph"/>
              <w:spacing w:before="28" w:line="310" w:lineRule="atLeast"/>
              <w:rPr>
                <w:rFonts w:ascii="Cambria"/>
                <w:sz w:val="21"/>
              </w:rPr>
            </w:pPr>
            <w:r>
              <w:rPr>
                <w:rFonts w:ascii="Cambria"/>
                <w:color w:val="333333"/>
                <w:w w:val="110"/>
                <w:sz w:val="21"/>
              </w:rPr>
              <w:t>Number of threads to use with the metrics publishing scheduler.</w:t>
            </w:r>
          </w:p>
        </w:tc>
      </w:tr>
      <w:tr w:rsidR="00A720EB" w14:paraId="21F16CEC" w14:textId="77777777">
        <w:trPr>
          <w:trHeight w:val="627"/>
        </w:trPr>
        <w:tc>
          <w:tcPr>
            <w:tcW w:w="2494" w:type="dxa"/>
          </w:tcPr>
          <w:p w14:paraId="141722E5"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ort.atlas</w:t>
            </w:r>
            <w:proofErr w:type="gramEnd"/>
            <w:r>
              <w:rPr>
                <w:color w:val="B02045"/>
                <w:sz w:val="21"/>
              </w:rPr>
              <w:t>.read-timeout</w:t>
            </w:r>
          </w:p>
        </w:tc>
        <w:tc>
          <w:tcPr>
            <w:tcW w:w="2494" w:type="dxa"/>
          </w:tcPr>
          <w:p w14:paraId="56A2639D" w14:textId="77777777" w:rsidR="00A720EB" w:rsidRDefault="0030286B">
            <w:pPr>
              <w:pStyle w:val="TableParagraph"/>
              <w:spacing w:before="37"/>
              <w:rPr>
                <w:sz w:val="21"/>
              </w:rPr>
            </w:pPr>
            <w:r>
              <w:rPr>
                <w:color w:val="B02045"/>
                <w:sz w:val="21"/>
              </w:rPr>
              <w:t>10s</w:t>
            </w:r>
          </w:p>
        </w:tc>
        <w:tc>
          <w:tcPr>
            <w:tcW w:w="4988" w:type="dxa"/>
          </w:tcPr>
          <w:p w14:paraId="2ED44F42"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3CC9C124" w14:textId="77777777">
        <w:trPr>
          <w:trHeight w:val="627"/>
        </w:trPr>
        <w:tc>
          <w:tcPr>
            <w:tcW w:w="2494" w:type="dxa"/>
          </w:tcPr>
          <w:p w14:paraId="45EC5A53"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ort.atlas</w:t>
            </w:r>
            <w:proofErr w:type="gramEnd"/>
            <w:r>
              <w:rPr>
                <w:color w:val="B02045"/>
                <w:sz w:val="21"/>
              </w:rPr>
              <w:t>.step</w:t>
            </w:r>
          </w:p>
        </w:tc>
        <w:tc>
          <w:tcPr>
            <w:tcW w:w="2494" w:type="dxa"/>
          </w:tcPr>
          <w:p w14:paraId="1751EBA9" w14:textId="77777777" w:rsidR="00A720EB" w:rsidRDefault="0030286B">
            <w:pPr>
              <w:pStyle w:val="TableParagraph"/>
              <w:rPr>
                <w:sz w:val="21"/>
              </w:rPr>
            </w:pPr>
            <w:r>
              <w:rPr>
                <w:color w:val="B02045"/>
                <w:sz w:val="21"/>
              </w:rPr>
              <w:t>1m</w:t>
            </w:r>
          </w:p>
        </w:tc>
        <w:tc>
          <w:tcPr>
            <w:tcW w:w="4988" w:type="dxa"/>
          </w:tcPr>
          <w:p w14:paraId="3CCA6D24"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12DD6262" w14:textId="77777777">
        <w:trPr>
          <w:trHeight w:val="627"/>
        </w:trPr>
        <w:tc>
          <w:tcPr>
            <w:tcW w:w="2494" w:type="dxa"/>
          </w:tcPr>
          <w:p w14:paraId="23034B5C" w14:textId="77777777" w:rsidR="00A720EB" w:rsidRDefault="0030286B">
            <w:pPr>
              <w:pStyle w:val="TableParagraph"/>
              <w:spacing w:before="46" w:line="230" w:lineRule="auto"/>
              <w:ind w:right="94"/>
              <w:rPr>
                <w:sz w:val="21"/>
              </w:rPr>
            </w:pPr>
            <w:r>
              <w:rPr>
                <w:color w:val="B02045"/>
                <w:sz w:val="21"/>
              </w:rPr>
              <w:t>management.metrics.exp ort.atlas.uri</w:t>
            </w:r>
          </w:p>
        </w:tc>
        <w:tc>
          <w:tcPr>
            <w:tcW w:w="2494" w:type="dxa"/>
          </w:tcPr>
          <w:p w14:paraId="506ED4A0" w14:textId="77777777" w:rsidR="00A720EB" w:rsidRDefault="0030286B">
            <w:pPr>
              <w:pStyle w:val="TableParagraph"/>
              <w:spacing w:before="46" w:line="230" w:lineRule="auto"/>
              <w:ind w:right="94"/>
              <w:rPr>
                <w:sz w:val="21"/>
              </w:rPr>
            </w:pPr>
            <w:r>
              <w:rPr>
                <w:color w:val="B02045"/>
                <w:sz w:val="21"/>
              </w:rPr>
              <w:t>http://localhost:7101/ api/v1/publish</w:t>
            </w:r>
          </w:p>
        </w:tc>
        <w:tc>
          <w:tcPr>
            <w:tcW w:w="4988" w:type="dxa"/>
          </w:tcPr>
          <w:p w14:paraId="46DFCD8D" w14:textId="77777777" w:rsidR="00A720EB" w:rsidRDefault="0030286B">
            <w:pPr>
              <w:pStyle w:val="TableParagraph"/>
              <w:spacing w:before="92"/>
              <w:rPr>
                <w:rFonts w:ascii="Cambria"/>
                <w:sz w:val="21"/>
              </w:rPr>
            </w:pPr>
            <w:r>
              <w:rPr>
                <w:rFonts w:ascii="Cambria"/>
                <w:color w:val="333333"/>
                <w:w w:val="110"/>
                <w:sz w:val="21"/>
              </w:rPr>
              <w:t>URI of the Atlas server.</w:t>
            </w:r>
          </w:p>
        </w:tc>
      </w:tr>
      <w:tr w:rsidR="00A720EB" w14:paraId="0E8BF4AE" w14:textId="77777777">
        <w:trPr>
          <w:trHeight w:val="627"/>
        </w:trPr>
        <w:tc>
          <w:tcPr>
            <w:tcW w:w="2494" w:type="dxa"/>
          </w:tcPr>
          <w:p w14:paraId="5213FA01" w14:textId="77777777" w:rsidR="00A720EB" w:rsidRDefault="0030286B">
            <w:pPr>
              <w:pStyle w:val="TableParagraph"/>
              <w:spacing w:before="46" w:line="230" w:lineRule="auto"/>
              <w:ind w:right="113"/>
              <w:rPr>
                <w:sz w:val="21"/>
              </w:rPr>
            </w:pPr>
            <w:r>
              <w:rPr>
                <w:color w:val="B02045"/>
                <w:sz w:val="21"/>
              </w:rPr>
              <w:t>management.metrics.exp ort.datadog.api-key</w:t>
            </w:r>
          </w:p>
        </w:tc>
        <w:tc>
          <w:tcPr>
            <w:tcW w:w="2494" w:type="dxa"/>
          </w:tcPr>
          <w:p w14:paraId="636ADF3D" w14:textId="77777777" w:rsidR="00A720EB" w:rsidRDefault="00A720EB">
            <w:pPr>
              <w:pStyle w:val="TableParagraph"/>
              <w:spacing w:before="0"/>
              <w:ind w:left="0"/>
              <w:rPr>
                <w:rFonts w:ascii="Times New Roman"/>
                <w:sz w:val="20"/>
              </w:rPr>
            </w:pPr>
          </w:p>
        </w:tc>
        <w:tc>
          <w:tcPr>
            <w:tcW w:w="4988" w:type="dxa"/>
          </w:tcPr>
          <w:p w14:paraId="16031010" w14:textId="77777777" w:rsidR="00A720EB" w:rsidRDefault="0030286B">
            <w:pPr>
              <w:pStyle w:val="TableParagraph"/>
              <w:spacing w:before="92"/>
              <w:rPr>
                <w:rFonts w:ascii="Cambria"/>
                <w:sz w:val="21"/>
              </w:rPr>
            </w:pPr>
            <w:r>
              <w:rPr>
                <w:rFonts w:ascii="Cambria"/>
                <w:color w:val="333333"/>
                <w:w w:val="110"/>
                <w:sz w:val="21"/>
              </w:rPr>
              <w:t>Datadog API key.</w:t>
            </w:r>
          </w:p>
        </w:tc>
      </w:tr>
      <w:tr w:rsidR="00A720EB" w14:paraId="792A6A32" w14:textId="77777777">
        <w:trPr>
          <w:trHeight w:val="1372"/>
        </w:trPr>
        <w:tc>
          <w:tcPr>
            <w:tcW w:w="2494" w:type="dxa"/>
          </w:tcPr>
          <w:p w14:paraId="2A3679E6"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ort.datadog</w:t>
            </w:r>
            <w:proofErr w:type="gramEnd"/>
            <w:r>
              <w:rPr>
                <w:color w:val="B02045"/>
                <w:sz w:val="21"/>
              </w:rPr>
              <w:t>.applicatio n-key</w:t>
            </w:r>
          </w:p>
        </w:tc>
        <w:tc>
          <w:tcPr>
            <w:tcW w:w="2494" w:type="dxa"/>
          </w:tcPr>
          <w:p w14:paraId="06EF395C" w14:textId="77777777" w:rsidR="00A720EB" w:rsidRDefault="00A720EB">
            <w:pPr>
              <w:pStyle w:val="TableParagraph"/>
              <w:spacing w:before="0"/>
              <w:ind w:left="0"/>
              <w:rPr>
                <w:rFonts w:ascii="Times New Roman"/>
                <w:sz w:val="20"/>
              </w:rPr>
            </w:pPr>
          </w:p>
        </w:tc>
        <w:tc>
          <w:tcPr>
            <w:tcW w:w="4988" w:type="dxa"/>
          </w:tcPr>
          <w:p w14:paraId="227838DE" w14:textId="77777777" w:rsidR="00A720EB" w:rsidRDefault="0030286B">
            <w:pPr>
              <w:pStyle w:val="TableParagraph"/>
              <w:spacing w:before="28" w:line="310" w:lineRule="atLeast"/>
              <w:ind w:right="77"/>
              <w:rPr>
                <w:rFonts w:ascii="Cambria"/>
                <w:sz w:val="21"/>
              </w:rPr>
            </w:pPr>
            <w:r>
              <w:rPr>
                <w:rFonts w:ascii="Cambria"/>
                <w:color w:val="333333"/>
                <w:w w:val="110"/>
                <w:sz w:val="21"/>
              </w:rPr>
              <w:t xml:space="preserve">Datadog application </w:t>
            </w:r>
            <w:r>
              <w:rPr>
                <w:rFonts w:ascii="Cambria"/>
                <w:color w:val="333333"/>
                <w:spacing w:val="-7"/>
                <w:w w:val="110"/>
                <w:sz w:val="21"/>
              </w:rPr>
              <w:t xml:space="preserve">key. </w:t>
            </w:r>
            <w:r>
              <w:rPr>
                <w:rFonts w:ascii="Cambria"/>
                <w:color w:val="333333"/>
                <w:w w:val="110"/>
                <w:sz w:val="21"/>
              </w:rPr>
              <w:t xml:space="preserve">Not strictly required, but improves the Datadog experience </w:t>
            </w:r>
            <w:r>
              <w:rPr>
                <w:rFonts w:ascii="Cambria"/>
                <w:color w:val="333333"/>
                <w:spacing w:val="-3"/>
                <w:w w:val="110"/>
                <w:sz w:val="21"/>
              </w:rPr>
              <w:t xml:space="preserve">by </w:t>
            </w:r>
            <w:r>
              <w:rPr>
                <w:rFonts w:ascii="Cambria"/>
                <w:color w:val="333333"/>
                <w:w w:val="110"/>
                <w:sz w:val="21"/>
              </w:rPr>
              <w:t>sending meter descriptions, types, and base units to Datadog.</w:t>
            </w:r>
          </w:p>
        </w:tc>
      </w:tr>
      <w:tr w:rsidR="00A720EB" w14:paraId="055110E4" w14:textId="77777777">
        <w:trPr>
          <w:trHeight w:val="1056"/>
        </w:trPr>
        <w:tc>
          <w:tcPr>
            <w:tcW w:w="2494" w:type="dxa"/>
          </w:tcPr>
          <w:p w14:paraId="6B39004A"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ort.datadog</w:t>
            </w:r>
            <w:proofErr w:type="gramEnd"/>
            <w:r>
              <w:rPr>
                <w:color w:val="B02045"/>
                <w:sz w:val="21"/>
              </w:rPr>
              <w:t>.batch-size</w:t>
            </w:r>
          </w:p>
        </w:tc>
        <w:tc>
          <w:tcPr>
            <w:tcW w:w="2494" w:type="dxa"/>
          </w:tcPr>
          <w:p w14:paraId="04CD081A" w14:textId="77777777" w:rsidR="00A720EB" w:rsidRDefault="0030286B">
            <w:pPr>
              <w:pStyle w:val="TableParagraph"/>
              <w:spacing w:before="37"/>
              <w:rPr>
                <w:sz w:val="21"/>
              </w:rPr>
            </w:pPr>
            <w:r>
              <w:rPr>
                <w:color w:val="B02045"/>
                <w:sz w:val="21"/>
              </w:rPr>
              <w:t>10000.0</w:t>
            </w:r>
          </w:p>
        </w:tc>
        <w:tc>
          <w:tcPr>
            <w:tcW w:w="4988" w:type="dxa"/>
          </w:tcPr>
          <w:p w14:paraId="48BC929B"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6D3A4D68" w14:textId="77777777">
        <w:trPr>
          <w:trHeight w:val="886"/>
        </w:trPr>
        <w:tc>
          <w:tcPr>
            <w:tcW w:w="2494" w:type="dxa"/>
          </w:tcPr>
          <w:p w14:paraId="1201A05F"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ort.datadog</w:t>
            </w:r>
            <w:proofErr w:type="gramEnd"/>
            <w:r>
              <w:rPr>
                <w:color w:val="B02045"/>
                <w:sz w:val="21"/>
              </w:rPr>
              <w:t>.connect- timeout</w:t>
            </w:r>
          </w:p>
        </w:tc>
        <w:tc>
          <w:tcPr>
            <w:tcW w:w="2494" w:type="dxa"/>
          </w:tcPr>
          <w:p w14:paraId="63721010" w14:textId="77777777" w:rsidR="00A720EB" w:rsidRDefault="0030286B">
            <w:pPr>
              <w:pStyle w:val="TableParagraph"/>
              <w:rPr>
                <w:sz w:val="21"/>
              </w:rPr>
            </w:pPr>
            <w:r>
              <w:rPr>
                <w:color w:val="B02045"/>
                <w:sz w:val="21"/>
              </w:rPr>
              <w:t>1s</w:t>
            </w:r>
          </w:p>
        </w:tc>
        <w:tc>
          <w:tcPr>
            <w:tcW w:w="4988" w:type="dxa"/>
          </w:tcPr>
          <w:p w14:paraId="29DF0E74"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62C331F1" w14:textId="77777777">
        <w:trPr>
          <w:trHeight w:val="1056"/>
        </w:trPr>
        <w:tc>
          <w:tcPr>
            <w:tcW w:w="2494" w:type="dxa"/>
          </w:tcPr>
          <w:p w14:paraId="70B883BE"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ort.datadog</w:t>
            </w:r>
            <w:proofErr w:type="gramEnd"/>
            <w:r>
              <w:rPr>
                <w:color w:val="B02045"/>
                <w:sz w:val="21"/>
              </w:rPr>
              <w:t>.descriptio ns</w:t>
            </w:r>
          </w:p>
        </w:tc>
        <w:tc>
          <w:tcPr>
            <w:tcW w:w="2494" w:type="dxa"/>
          </w:tcPr>
          <w:p w14:paraId="71A2FEB1" w14:textId="77777777" w:rsidR="00A720EB" w:rsidRDefault="0030286B">
            <w:pPr>
              <w:pStyle w:val="TableParagraph"/>
              <w:spacing w:before="37"/>
              <w:rPr>
                <w:sz w:val="21"/>
              </w:rPr>
            </w:pPr>
            <w:r>
              <w:rPr>
                <w:color w:val="B02045"/>
                <w:sz w:val="21"/>
              </w:rPr>
              <w:t>true</w:t>
            </w:r>
          </w:p>
        </w:tc>
        <w:tc>
          <w:tcPr>
            <w:tcW w:w="4988" w:type="dxa"/>
          </w:tcPr>
          <w:p w14:paraId="1511B115"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to publish descriptions metadata to Datadog. Turn this off to minimize the amount of metadata sent.</w:t>
            </w:r>
          </w:p>
        </w:tc>
      </w:tr>
      <w:tr w:rsidR="00A720EB" w14:paraId="362313FD" w14:textId="77777777">
        <w:trPr>
          <w:trHeight w:val="741"/>
        </w:trPr>
        <w:tc>
          <w:tcPr>
            <w:tcW w:w="2494" w:type="dxa"/>
          </w:tcPr>
          <w:p w14:paraId="755FD70B"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ort.datadog</w:t>
            </w:r>
            <w:proofErr w:type="gramEnd"/>
            <w:r>
              <w:rPr>
                <w:color w:val="B02045"/>
                <w:sz w:val="21"/>
              </w:rPr>
              <w:t>.enabled</w:t>
            </w:r>
          </w:p>
        </w:tc>
        <w:tc>
          <w:tcPr>
            <w:tcW w:w="2494" w:type="dxa"/>
          </w:tcPr>
          <w:p w14:paraId="78C9C1CB" w14:textId="77777777" w:rsidR="00A720EB" w:rsidRDefault="0030286B">
            <w:pPr>
              <w:pStyle w:val="TableParagraph"/>
              <w:rPr>
                <w:sz w:val="21"/>
              </w:rPr>
            </w:pPr>
            <w:r>
              <w:rPr>
                <w:color w:val="B02045"/>
                <w:sz w:val="21"/>
              </w:rPr>
              <w:t>true</w:t>
            </w:r>
          </w:p>
        </w:tc>
        <w:tc>
          <w:tcPr>
            <w:tcW w:w="4988" w:type="dxa"/>
          </w:tcPr>
          <w:p w14:paraId="6F1C923D"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12FE81AF" w14:textId="77777777">
        <w:trPr>
          <w:trHeight w:val="741"/>
        </w:trPr>
        <w:tc>
          <w:tcPr>
            <w:tcW w:w="2494" w:type="dxa"/>
          </w:tcPr>
          <w:p w14:paraId="7AC2A50D" w14:textId="77777777" w:rsidR="00A720EB" w:rsidRDefault="0030286B">
            <w:pPr>
              <w:pStyle w:val="TableParagraph"/>
              <w:spacing w:before="46" w:line="230" w:lineRule="auto"/>
              <w:ind w:right="113"/>
              <w:rPr>
                <w:sz w:val="21"/>
              </w:rPr>
            </w:pPr>
            <w:r>
              <w:rPr>
                <w:color w:val="B02045"/>
                <w:sz w:val="21"/>
              </w:rPr>
              <w:lastRenderedPageBreak/>
              <w:t xml:space="preserve">management.metrics.exp </w:t>
            </w:r>
            <w:proofErr w:type="gramStart"/>
            <w:r>
              <w:rPr>
                <w:color w:val="B02045"/>
                <w:sz w:val="21"/>
              </w:rPr>
              <w:t>ort.datadog</w:t>
            </w:r>
            <w:proofErr w:type="gramEnd"/>
            <w:r>
              <w:rPr>
                <w:color w:val="B02045"/>
                <w:sz w:val="21"/>
              </w:rPr>
              <w:t>.host-tag</w:t>
            </w:r>
          </w:p>
        </w:tc>
        <w:tc>
          <w:tcPr>
            <w:tcW w:w="2494" w:type="dxa"/>
          </w:tcPr>
          <w:p w14:paraId="1842E341" w14:textId="77777777" w:rsidR="00A720EB" w:rsidRDefault="0030286B">
            <w:pPr>
              <w:pStyle w:val="TableParagraph"/>
              <w:spacing w:before="37"/>
              <w:rPr>
                <w:sz w:val="21"/>
              </w:rPr>
            </w:pPr>
            <w:r>
              <w:rPr>
                <w:color w:val="B02045"/>
                <w:sz w:val="21"/>
              </w:rPr>
              <w:t>instance</w:t>
            </w:r>
          </w:p>
        </w:tc>
        <w:tc>
          <w:tcPr>
            <w:tcW w:w="4988" w:type="dxa"/>
          </w:tcPr>
          <w:p w14:paraId="5914EE15" w14:textId="77777777" w:rsidR="00A720EB" w:rsidRDefault="0030286B">
            <w:pPr>
              <w:pStyle w:val="TableParagraph"/>
              <w:spacing w:before="28" w:line="310" w:lineRule="atLeast"/>
              <w:rPr>
                <w:rFonts w:ascii="Cambria"/>
                <w:sz w:val="21"/>
              </w:rPr>
            </w:pPr>
            <w:r>
              <w:rPr>
                <w:rFonts w:ascii="Cambria"/>
                <w:color w:val="333333"/>
                <w:w w:val="110"/>
                <w:sz w:val="21"/>
              </w:rPr>
              <w:t>Tag that will be mapped to "host" when shipping metrics to Datadog.</w:t>
            </w:r>
          </w:p>
        </w:tc>
      </w:tr>
    </w:tbl>
    <w:p w14:paraId="48C1D92F"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9DF6ED9" w14:textId="77777777">
        <w:trPr>
          <w:trHeight w:val="415"/>
        </w:trPr>
        <w:tc>
          <w:tcPr>
            <w:tcW w:w="2494" w:type="dxa"/>
            <w:tcBorders>
              <w:bottom w:val="single" w:sz="12" w:space="0" w:color="DDDDDD"/>
            </w:tcBorders>
          </w:tcPr>
          <w:p w14:paraId="4FB5CC45"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C6A5800"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6BE9ED0"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3D3821C3" w14:textId="77777777">
        <w:trPr>
          <w:trHeight w:val="876"/>
        </w:trPr>
        <w:tc>
          <w:tcPr>
            <w:tcW w:w="2494" w:type="dxa"/>
            <w:tcBorders>
              <w:top w:val="single" w:sz="12" w:space="0" w:color="DDDDDD"/>
            </w:tcBorders>
          </w:tcPr>
          <w:p w14:paraId="4BAC5A24" w14:textId="77777777" w:rsidR="00A720EB" w:rsidRDefault="0030286B">
            <w:pPr>
              <w:pStyle w:val="TableParagraph"/>
              <w:spacing w:before="36" w:line="230" w:lineRule="auto"/>
              <w:ind w:right="113"/>
              <w:rPr>
                <w:sz w:val="21"/>
              </w:rPr>
            </w:pPr>
            <w:r>
              <w:rPr>
                <w:color w:val="B02045"/>
                <w:sz w:val="21"/>
              </w:rPr>
              <w:t xml:space="preserve">management.metrics.exp </w:t>
            </w:r>
            <w:proofErr w:type="gramStart"/>
            <w:r>
              <w:rPr>
                <w:color w:val="B02045"/>
                <w:sz w:val="21"/>
              </w:rPr>
              <w:t>ort.datadog</w:t>
            </w:r>
            <w:proofErr w:type="gramEnd"/>
            <w:r>
              <w:rPr>
                <w:color w:val="B02045"/>
                <w:sz w:val="21"/>
              </w:rPr>
              <w:t>.read- timeout</w:t>
            </w:r>
          </w:p>
        </w:tc>
        <w:tc>
          <w:tcPr>
            <w:tcW w:w="2494" w:type="dxa"/>
            <w:tcBorders>
              <w:top w:val="single" w:sz="12" w:space="0" w:color="DDDDDD"/>
            </w:tcBorders>
          </w:tcPr>
          <w:p w14:paraId="2E0AF2B8" w14:textId="77777777" w:rsidR="00A720EB" w:rsidRDefault="0030286B">
            <w:pPr>
              <w:pStyle w:val="TableParagraph"/>
              <w:spacing w:before="27"/>
              <w:rPr>
                <w:sz w:val="21"/>
              </w:rPr>
            </w:pPr>
            <w:r>
              <w:rPr>
                <w:color w:val="B02045"/>
                <w:sz w:val="21"/>
              </w:rPr>
              <w:t>10s</w:t>
            </w:r>
          </w:p>
        </w:tc>
        <w:tc>
          <w:tcPr>
            <w:tcW w:w="4988" w:type="dxa"/>
            <w:tcBorders>
              <w:top w:val="single" w:sz="12" w:space="0" w:color="DDDDDD"/>
            </w:tcBorders>
          </w:tcPr>
          <w:p w14:paraId="750E35F0" w14:textId="77777777" w:rsidR="00A720EB" w:rsidRDefault="0030286B">
            <w:pPr>
              <w:pStyle w:val="TableParagraph"/>
              <w:spacing w:before="82"/>
              <w:rPr>
                <w:rFonts w:ascii="Cambria"/>
                <w:sz w:val="21"/>
              </w:rPr>
            </w:pPr>
            <w:r>
              <w:rPr>
                <w:rFonts w:ascii="Cambria"/>
                <w:color w:val="333333"/>
                <w:w w:val="110"/>
                <w:sz w:val="21"/>
              </w:rPr>
              <w:t>Read timeout for requests to this backend.</w:t>
            </w:r>
          </w:p>
        </w:tc>
      </w:tr>
      <w:tr w:rsidR="00A720EB" w14:paraId="09F8D31C" w14:textId="77777777">
        <w:trPr>
          <w:trHeight w:val="627"/>
        </w:trPr>
        <w:tc>
          <w:tcPr>
            <w:tcW w:w="2494" w:type="dxa"/>
          </w:tcPr>
          <w:p w14:paraId="2D740D22"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ort.datadog</w:t>
            </w:r>
            <w:proofErr w:type="gramEnd"/>
            <w:r>
              <w:rPr>
                <w:color w:val="B02045"/>
                <w:sz w:val="21"/>
              </w:rPr>
              <w:t>.step</w:t>
            </w:r>
          </w:p>
        </w:tc>
        <w:tc>
          <w:tcPr>
            <w:tcW w:w="2494" w:type="dxa"/>
          </w:tcPr>
          <w:p w14:paraId="58289C47" w14:textId="77777777" w:rsidR="00A720EB" w:rsidRDefault="0030286B">
            <w:pPr>
              <w:pStyle w:val="TableParagraph"/>
              <w:rPr>
                <w:sz w:val="21"/>
              </w:rPr>
            </w:pPr>
            <w:r>
              <w:rPr>
                <w:color w:val="B02045"/>
                <w:sz w:val="21"/>
              </w:rPr>
              <w:t>1m</w:t>
            </w:r>
          </w:p>
        </w:tc>
        <w:tc>
          <w:tcPr>
            <w:tcW w:w="4988" w:type="dxa"/>
          </w:tcPr>
          <w:p w14:paraId="29004236"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2237314C" w14:textId="77777777">
        <w:trPr>
          <w:trHeight w:val="1372"/>
        </w:trPr>
        <w:tc>
          <w:tcPr>
            <w:tcW w:w="2494" w:type="dxa"/>
          </w:tcPr>
          <w:p w14:paraId="29C78335" w14:textId="77777777" w:rsidR="00A720EB" w:rsidRDefault="0030286B">
            <w:pPr>
              <w:pStyle w:val="TableParagraph"/>
              <w:spacing w:before="46" w:line="230" w:lineRule="auto"/>
              <w:ind w:right="94"/>
              <w:rPr>
                <w:sz w:val="21"/>
              </w:rPr>
            </w:pPr>
            <w:r>
              <w:rPr>
                <w:color w:val="B02045"/>
                <w:sz w:val="21"/>
              </w:rPr>
              <w:t>management.metrics.exp ort.datadog.uri</w:t>
            </w:r>
          </w:p>
        </w:tc>
        <w:tc>
          <w:tcPr>
            <w:tcW w:w="2494" w:type="dxa"/>
          </w:tcPr>
          <w:p w14:paraId="66015E45" w14:textId="77777777" w:rsidR="00A720EB" w:rsidRDefault="0030286B">
            <w:pPr>
              <w:pStyle w:val="TableParagraph"/>
              <w:spacing w:before="46" w:line="230" w:lineRule="auto"/>
              <w:ind w:right="94"/>
              <w:rPr>
                <w:sz w:val="21"/>
              </w:rPr>
            </w:pPr>
            <w:r>
              <w:rPr>
                <w:color w:val="B02045"/>
                <w:sz w:val="21"/>
              </w:rPr>
              <w:t>https://api.datadoghq. com</w:t>
            </w:r>
          </w:p>
        </w:tc>
        <w:tc>
          <w:tcPr>
            <w:tcW w:w="4988" w:type="dxa"/>
          </w:tcPr>
          <w:p w14:paraId="5D8A6AFC" w14:textId="77777777" w:rsidR="00A720EB" w:rsidRDefault="0030286B">
            <w:pPr>
              <w:pStyle w:val="TableParagraph"/>
              <w:spacing w:before="28" w:line="310" w:lineRule="atLeast"/>
              <w:ind w:right="372"/>
              <w:rPr>
                <w:rFonts w:ascii="Cambria"/>
                <w:sz w:val="21"/>
              </w:rPr>
            </w:pPr>
            <w:r>
              <w:rPr>
                <w:rFonts w:ascii="Cambria"/>
                <w:color w:val="333333"/>
                <w:w w:val="110"/>
                <w:sz w:val="21"/>
              </w:rPr>
              <w:t>URI to ship metrics to. If you need to publish metrics to an internal proxy en-route to Datadog, you can define the location of the proxy with this.</w:t>
            </w:r>
          </w:p>
        </w:tc>
      </w:tr>
      <w:tr w:rsidR="00A720EB" w14:paraId="52FED4B6" w14:textId="77777777">
        <w:trPr>
          <w:trHeight w:val="886"/>
        </w:trPr>
        <w:tc>
          <w:tcPr>
            <w:tcW w:w="2494" w:type="dxa"/>
          </w:tcPr>
          <w:p w14:paraId="3A6AEBBA" w14:textId="77777777" w:rsidR="00A720EB" w:rsidRDefault="0030286B">
            <w:pPr>
              <w:pStyle w:val="TableParagraph"/>
              <w:spacing w:before="46" w:line="230" w:lineRule="auto"/>
              <w:ind w:right="113"/>
              <w:rPr>
                <w:sz w:val="21"/>
              </w:rPr>
            </w:pPr>
            <w:r>
              <w:rPr>
                <w:color w:val="B02045"/>
                <w:sz w:val="21"/>
              </w:rPr>
              <w:t>management.metrics.exp ort.dynatrace.api- token</w:t>
            </w:r>
          </w:p>
        </w:tc>
        <w:tc>
          <w:tcPr>
            <w:tcW w:w="2494" w:type="dxa"/>
          </w:tcPr>
          <w:p w14:paraId="32E22479" w14:textId="77777777" w:rsidR="00A720EB" w:rsidRDefault="00A720EB">
            <w:pPr>
              <w:pStyle w:val="TableParagraph"/>
              <w:spacing w:before="0"/>
              <w:ind w:left="0"/>
              <w:rPr>
                <w:rFonts w:ascii="Times New Roman"/>
                <w:sz w:val="20"/>
              </w:rPr>
            </w:pPr>
          </w:p>
        </w:tc>
        <w:tc>
          <w:tcPr>
            <w:tcW w:w="4988" w:type="dxa"/>
          </w:tcPr>
          <w:p w14:paraId="289E10FF" w14:textId="77777777" w:rsidR="00A720EB" w:rsidRDefault="0030286B">
            <w:pPr>
              <w:pStyle w:val="TableParagraph"/>
              <w:spacing w:before="92"/>
              <w:rPr>
                <w:rFonts w:ascii="Cambria"/>
                <w:sz w:val="21"/>
              </w:rPr>
            </w:pPr>
            <w:r>
              <w:rPr>
                <w:rFonts w:ascii="Cambria"/>
                <w:color w:val="333333"/>
                <w:w w:val="110"/>
                <w:sz w:val="21"/>
              </w:rPr>
              <w:t>Dynatrace authentication token.</w:t>
            </w:r>
          </w:p>
        </w:tc>
      </w:tr>
      <w:tr w:rsidR="00A720EB" w14:paraId="1A56935F" w14:textId="77777777">
        <w:trPr>
          <w:trHeight w:val="1056"/>
        </w:trPr>
        <w:tc>
          <w:tcPr>
            <w:tcW w:w="2494" w:type="dxa"/>
          </w:tcPr>
          <w:p w14:paraId="15332E4D"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ort.dynatrace</w:t>
            </w:r>
            <w:proofErr w:type="gramEnd"/>
            <w:r>
              <w:rPr>
                <w:color w:val="B02045"/>
                <w:sz w:val="21"/>
              </w:rPr>
              <w:t>.batch- size</w:t>
            </w:r>
          </w:p>
        </w:tc>
        <w:tc>
          <w:tcPr>
            <w:tcW w:w="2494" w:type="dxa"/>
          </w:tcPr>
          <w:p w14:paraId="6783EDD4" w14:textId="77777777" w:rsidR="00A720EB" w:rsidRDefault="0030286B">
            <w:pPr>
              <w:pStyle w:val="TableParagraph"/>
              <w:spacing w:before="37"/>
              <w:rPr>
                <w:sz w:val="21"/>
              </w:rPr>
            </w:pPr>
            <w:r>
              <w:rPr>
                <w:color w:val="B02045"/>
                <w:sz w:val="21"/>
              </w:rPr>
              <w:t>10000.0</w:t>
            </w:r>
          </w:p>
        </w:tc>
        <w:tc>
          <w:tcPr>
            <w:tcW w:w="4988" w:type="dxa"/>
          </w:tcPr>
          <w:p w14:paraId="4B47BE26"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0D2DF2E5" w14:textId="77777777">
        <w:trPr>
          <w:trHeight w:val="886"/>
        </w:trPr>
        <w:tc>
          <w:tcPr>
            <w:tcW w:w="2494" w:type="dxa"/>
          </w:tcPr>
          <w:p w14:paraId="066055A5"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ort.dynatrace</w:t>
            </w:r>
            <w:proofErr w:type="gramEnd"/>
            <w:r>
              <w:rPr>
                <w:color w:val="B02045"/>
                <w:sz w:val="21"/>
              </w:rPr>
              <w:t>.connect- timeout</w:t>
            </w:r>
          </w:p>
        </w:tc>
        <w:tc>
          <w:tcPr>
            <w:tcW w:w="2494" w:type="dxa"/>
          </w:tcPr>
          <w:p w14:paraId="38C23BE9" w14:textId="77777777" w:rsidR="00A720EB" w:rsidRDefault="0030286B">
            <w:pPr>
              <w:pStyle w:val="TableParagraph"/>
              <w:rPr>
                <w:sz w:val="21"/>
              </w:rPr>
            </w:pPr>
            <w:r>
              <w:rPr>
                <w:color w:val="B02045"/>
                <w:sz w:val="21"/>
              </w:rPr>
              <w:t>1s</w:t>
            </w:r>
          </w:p>
        </w:tc>
        <w:tc>
          <w:tcPr>
            <w:tcW w:w="4988" w:type="dxa"/>
          </w:tcPr>
          <w:p w14:paraId="0E81307D"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57153A8B" w14:textId="77777777">
        <w:trPr>
          <w:trHeight w:val="886"/>
        </w:trPr>
        <w:tc>
          <w:tcPr>
            <w:tcW w:w="2494" w:type="dxa"/>
          </w:tcPr>
          <w:p w14:paraId="36CBF99C"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ort.dynatrace</w:t>
            </w:r>
            <w:proofErr w:type="gramEnd"/>
            <w:r>
              <w:rPr>
                <w:color w:val="B02045"/>
                <w:sz w:val="21"/>
              </w:rPr>
              <w:t>.device- id</w:t>
            </w:r>
          </w:p>
        </w:tc>
        <w:tc>
          <w:tcPr>
            <w:tcW w:w="2494" w:type="dxa"/>
          </w:tcPr>
          <w:p w14:paraId="4A3394E9" w14:textId="77777777" w:rsidR="00A720EB" w:rsidRDefault="00A720EB">
            <w:pPr>
              <w:pStyle w:val="TableParagraph"/>
              <w:spacing w:before="0"/>
              <w:ind w:left="0"/>
              <w:rPr>
                <w:rFonts w:ascii="Times New Roman"/>
                <w:sz w:val="20"/>
              </w:rPr>
            </w:pPr>
          </w:p>
        </w:tc>
        <w:tc>
          <w:tcPr>
            <w:tcW w:w="4988" w:type="dxa"/>
          </w:tcPr>
          <w:p w14:paraId="37E4942C" w14:textId="77777777" w:rsidR="00A720EB" w:rsidRDefault="0030286B">
            <w:pPr>
              <w:pStyle w:val="TableParagraph"/>
              <w:spacing w:before="92" w:line="307" w:lineRule="auto"/>
              <w:rPr>
                <w:rFonts w:ascii="Cambria"/>
                <w:sz w:val="21"/>
              </w:rPr>
            </w:pPr>
            <w:r>
              <w:rPr>
                <w:rFonts w:ascii="Cambria"/>
                <w:color w:val="333333"/>
                <w:w w:val="110"/>
                <w:sz w:val="21"/>
              </w:rPr>
              <w:t>ID of the custom device that is exporting metrics to Dynatrace.</w:t>
            </w:r>
          </w:p>
        </w:tc>
      </w:tr>
      <w:tr w:rsidR="00A720EB" w14:paraId="4EC22535" w14:textId="77777777">
        <w:trPr>
          <w:trHeight w:val="741"/>
        </w:trPr>
        <w:tc>
          <w:tcPr>
            <w:tcW w:w="2494" w:type="dxa"/>
          </w:tcPr>
          <w:p w14:paraId="6473C92D"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ort.dynatrace</w:t>
            </w:r>
            <w:proofErr w:type="gramEnd"/>
            <w:r>
              <w:rPr>
                <w:color w:val="B02045"/>
                <w:sz w:val="21"/>
              </w:rPr>
              <w:t>.enabled</w:t>
            </w:r>
          </w:p>
        </w:tc>
        <w:tc>
          <w:tcPr>
            <w:tcW w:w="2494" w:type="dxa"/>
          </w:tcPr>
          <w:p w14:paraId="48F9A5A7" w14:textId="77777777" w:rsidR="00A720EB" w:rsidRDefault="0030286B">
            <w:pPr>
              <w:pStyle w:val="TableParagraph"/>
              <w:spacing w:before="37"/>
              <w:rPr>
                <w:sz w:val="21"/>
              </w:rPr>
            </w:pPr>
            <w:r>
              <w:rPr>
                <w:color w:val="B02045"/>
                <w:sz w:val="21"/>
              </w:rPr>
              <w:t>true</w:t>
            </w:r>
          </w:p>
        </w:tc>
        <w:tc>
          <w:tcPr>
            <w:tcW w:w="4988" w:type="dxa"/>
          </w:tcPr>
          <w:p w14:paraId="2C54DD7F"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5A033363" w14:textId="77777777">
        <w:trPr>
          <w:trHeight w:val="741"/>
        </w:trPr>
        <w:tc>
          <w:tcPr>
            <w:tcW w:w="2494" w:type="dxa"/>
          </w:tcPr>
          <w:p w14:paraId="091A3474"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ort.dynatrace</w:t>
            </w:r>
            <w:proofErr w:type="gramEnd"/>
            <w:r>
              <w:rPr>
                <w:color w:val="B02045"/>
                <w:sz w:val="21"/>
              </w:rPr>
              <w:t>.group</w:t>
            </w:r>
          </w:p>
        </w:tc>
        <w:tc>
          <w:tcPr>
            <w:tcW w:w="2494" w:type="dxa"/>
          </w:tcPr>
          <w:p w14:paraId="4D5B0395" w14:textId="77777777" w:rsidR="00A720EB" w:rsidRDefault="00A720EB">
            <w:pPr>
              <w:pStyle w:val="TableParagraph"/>
              <w:spacing w:before="0"/>
              <w:ind w:left="0"/>
              <w:rPr>
                <w:rFonts w:ascii="Times New Roman"/>
                <w:sz w:val="20"/>
              </w:rPr>
            </w:pPr>
          </w:p>
        </w:tc>
        <w:tc>
          <w:tcPr>
            <w:tcW w:w="4988" w:type="dxa"/>
          </w:tcPr>
          <w:p w14:paraId="37A542DF" w14:textId="77777777" w:rsidR="00A720EB" w:rsidRDefault="0030286B">
            <w:pPr>
              <w:pStyle w:val="TableParagraph"/>
              <w:spacing w:before="28" w:line="310" w:lineRule="atLeast"/>
              <w:rPr>
                <w:rFonts w:ascii="Cambria"/>
                <w:sz w:val="21"/>
              </w:rPr>
            </w:pPr>
            <w:r>
              <w:rPr>
                <w:rFonts w:ascii="Cambria"/>
                <w:color w:val="333333"/>
                <w:w w:val="110"/>
                <w:sz w:val="21"/>
              </w:rPr>
              <w:t>Group for exported metrics. Used to specify custom device group name in the Dynatrace UI.</w:t>
            </w:r>
          </w:p>
        </w:tc>
      </w:tr>
      <w:tr w:rsidR="00A720EB" w14:paraId="2D639D38" w14:textId="77777777">
        <w:trPr>
          <w:trHeight w:val="886"/>
        </w:trPr>
        <w:tc>
          <w:tcPr>
            <w:tcW w:w="2494" w:type="dxa"/>
          </w:tcPr>
          <w:p w14:paraId="47D736A7"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ort.dynatrace</w:t>
            </w:r>
            <w:proofErr w:type="gramEnd"/>
            <w:r>
              <w:rPr>
                <w:color w:val="B02045"/>
                <w:sz w:val="21"/>
              </w:rPr>
              <w:t>.read- timeout</w:t>
            </w:r>
          </w:p>
        </w:tc>
        <w:tc>
          <w:tcPr>
            <w:tcW w:w="2494" w:type="dxa"/>
          </w:tcPr>
          <w:p w14:paraId="26588EC5" w14:textId="77777777" w:rsidR="00A720EB" w:rsidRDefault="0030286B">
            <w:pPr>
              <w:pStyle w:val="TableParagraph"/>
              <w:rPr>
                <w:sz w:val="21"/>
              </w:rPr>
            </w:pPr>
            <w:r>
              <w:rPr>
                <w:color w:val="B02045"/>
                <w:sz w:val="21"/>
              </w:rPr>
              <w:t>10s</w:t>
            </w:r>
          </w:p>
        </w:tc>
        <w:tc>
          <w:tcPr>
            <w:tcW w:w="4988" w:type="dxa"/>
          </w:tcPr>
          <w:p w14:paraId="2E69D6D6"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7761E474" w14:textId="77777777">
        <w:trPr>
          <w:trHeight w:val="627"/>
        </w:trPr>
        <w:tc>
          <w:tcPr>
            <w:tcW w:w="2494" w:type="dxa"/>
          </w:tcPr>
          <w:p w14:paraId="61934023"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ort.dynatrace</w:t>
            </w:r>
            <w:proofErr w:type="gramEnd"/>
            <w:r>
              <w:rPr>
                <w:color w:val="B02045"/>
                <w:sz w:val="21"/>
              </w:rPr>
              <w:t>.step</w:t>
            </w:r>
          </w:p>
        </w:tc>
        <w:tc>
          <w:tcPr>
            <w:tcW w:w="2494" w:type="dxa"/>
          </w:tcPr>
          <w:p w14:paraId="691073E7" w14:textId="77777777" w:rsidR="00A720EB" w:rsidRDefault="0030286B">
            <w:pPr>
              <w:pStyle w:val="TableParagraph"/>
              <w:rPr>
                <w:sz w:val="21"/>
              </w:rPr>
            </w:pPr>
            <w:r>
              <w:rPr>
                <w:color w:val="B02045"/>
                <w:sz w:val="21"/>
              </w:rPr>
              <w:t>1m</w:t>
            </w:r>
          </w:p>
        </w:tc>
        <w:tc>
          <w:tcPr>
            <w:tcW w:w="4988" w:type="dxa"/>
          </w:tcPr>
          <w:p w14:paraId="373B420E"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4B017BE2" w14:textId="77777777">
        <w:trPr>
          <w:trHeight w:val="1056"/>
        </w:trPr>
        <w:tc>
          <w:tcPr>
            <w:tcW w:w="2494" w:type="dxa"/>
          </w:tcPr>
          <w:p w14:paraId="01864063"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ort.dynatrace</w:t>
            </w:r>
            <w:proofErr w:type="gramEnd"/>
            <w:r>
              <w:rPr>
                <w:color w:val="B02045"/>
                <w:sz w:val="21"/>
              </w:rPr>
              <w:t>.technolo gy-type</w:t>
            </w:r>
          </w:p>
        </w:tc>
        <w:tc>
          <w:tcPr>
            <w:tcW w:w="2494" w:type="dxa"/>
          </w:tcPr>
          <w:p w14:paraId="1660CE64" w14:textId="77777777" w:rsidR="00A720EB" w:rsidRDefault="0030286B">
            <w:pPr>
              <w:pStyle w:val="TableParagraph"/>
              <w:spacing w:before="37"/>
              <w:rPr>
                <w:sz w:val="21"/>
              </w:rPr>
            </w:pPr>
            <w:r>
              <w:rPr>
                <w:color w:val="B02045"/>
                <w:sz w:val="21"/>
              </w:rPr>
              <w:t>java</w:t>
            </w:r>
          </w:p>
        </w:tc>
        <w:tc>
          <w:tcPr>
            <w:tcW w:w="4988" w:type="dxa"/>
          </w:tcPr>
          <w:p w14:paraId="1ADA7D31" w14:textId="77777777" w:rsidR="00A720EB" w:rsidRDefault="0030286B">
            <w:pPr>
              <w:pStyle w:val="TableParagraph"/>
              <w:spacing w:before="28" w:line="310" w:lineRule="atLeast"/>
              <w:ind w:right="218"/>
              <w:rPr>
                <w:rFonts w:ascii="Cambria"/>
                <w:sz w:val="21"/>
              </w:rPr>
            </w:pPr>
            <w:r>
              <w:rPr>
                <w:rFonts w:ascii="Cambria"/>
                <w:color w:val="333333"/>
                <w:w w:val="110"/>
                <w:sz w:val="21"/>
              </w:rPr>
              <w:t>Technology type for exported metrics. Used to group metrics under a logical technology name in the Dynatrace UI.</w:t>
            </w:r>
          </w:p>
        </w:tc>
      </w:tr>
      <w:tr w:rsidR="00A720EB" w14:paraId="304EFCAC" w14:textId="77777777">
        <w:trPr>
          <w:trHeight w:val="1056"/>
        </w:trPr>
        <w:tc>
          <w:tcPr>
            <w:tcW w:w="2494" w:type="dxa"/>
          </w:tcPr>
          <w:p w14:paraId="12FA5C57" w14:textId="77777777" w:rsidR="00A720EB" w:rsidRDefault="0030286B">
            <w:pPr>
              <w:pStyle w:val="TableParagraph"/>
              <w:spacing w:before="46" w:line="230" w:lineRule="auto"/>
              <w:ind w:right="94"/>
              <w:rPr>
                <w:sz w:val="21"/>
              </w:rPr>
            </w:pPr>
            <w:r>
              <w:rPr>
                <w:color w:val="B02045"/>
                <w:sz w:val="21"/>
              </w:rPr>
              <w:t>management.metrics.exp ort.dynatrace.uri</w:t>
            </w:r>
          </w:p>
        </w:tc>
        <w:tc>
          <w:tcPr>
            <w:tcW w:w="2494" w:type="dxa"/>
          </w:tcPr>
          <w:p w14:paraId="29B53F7D" w14:textId="77777777" w:rsidR="00A720EB" w:rsidRDefault="00A720EB">
            <w:pPr>
              <w:pStyle w:val="TableParagraph"/>
              <w:spacing w:before="0"/>
              <w:ind w:left="0"/>
              <w:rPr>
                <w:rFonts w:ascii="Times New Roman"/>
                <w:sz w:val="20"/>
              </w:rPr>
            </w:pPr>
          </w:p>
        </w:tc>
        <w:tc>
          <w:tcPr>
            <w:tcW w:w="4988" w:type="dxa"/>
          </w:tcPr>
          <w:p w14:paraId="295155A2" w14:textId="77777777" w:rsidR="00A720EB" w:rsidRDefault="0030286B">
            <w:pPr>
              <w:pStyle w:val="TableParagraph"/>
              <w:spacing w:before="28" w:line="310" w:lineRule="atLeast"/>
              <w:ind w:right="218"/>
              <w:rPr>
                <w:rFonts w:ascii="Cambria"/>
                <w:sz w:val="21"/>
              </w:rPr>
            </w:pPr>
            <w:r>
              <w:rPr>
                <w:rFonts w:ascii="Cambria"/>
                <w:color w:val="333333"/>
                <w:w w:val="110"/>
                <w:sz w:val="21"/>
              </w:rPr>
              <w:t>URI to ship metrics to. Should be used for SaaS, self managed instances or to en-route through an internal proxy.</w:t>
            </w:r>
          </w:p>
        </w:tc>
      </w:tr>
      <w:tr w:rsidR="00A720EB" w14:paraId="450A898E" w14:textId="77777777">
        <w:trPr>
          <w:trHeight w:val="886"/>
        </w:trPr>
        <w:tc>
          <w:tcPr>
            <w:tcW w:w="2494" w:type="dxa"/>
          </w:tcPr>
          <w:p w14:paraId="61401DA3"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ort.elastic</w:t>
            </w:r>
            <w:proofErr w:type="gramEnd"/>
            <w:r>
              <w:rPr>
                <w:color w:val="B02045"/>
                <w:sz w:val="21"/>
              </w:rPr>
              <w:t>.auto- create-index</w:t>
            </w:r>
          </w:p>
        </w:tc>
        <w:tc>
          <w:tcPr>
            <w:tcW w:w="2494" w:type="dxa"/>
          </w:tcPr>
          <w:p w14:paraId="73BDD72B" w14:textId="77777777" w:rsidR="00A720EB" w:rsidRDefault="0030286B">
            <w:pPr>
              <w:pStyle w:val="TableParagraph"/>
              <w:spacing w:before="37"/>
              <w:rPr>
                <w:sz w:val="21"/>
              </w:rPr>
            </w:pPr>
            <w:r>
              <w:rPr>
                <w:color w:val="B02045"/>
                <w:sz w:val="21"/>
              </w:rPr>
              <w:t>true</w:t>
            </w:r>
          </w:p>
        </w:tc>
        <w:tc>
          <w:tcPr>
            <w:tcW w:w="4988" w:type="dxa"/>
          </w:tcPr>
          <w:p w14:paraId="54F48E79" w14:textId="77777777" w:rsidR="00A720EB" w:rsidRDefault="0030286B">
            <w:pPr>
              <w:pStyle w:val="TableParagraph"/>
              <w:spacing w:before="92" w:line="307" w:lineRule="auto"/>
              <w:rPr>
                <w:rFonts w:ascii="Cambria"/>
                <w:sz w:val="21"/>
              </w:rPr>
            </w:pPr>
            <w:r>
              <w:rPr>
                <w:rFonts w:ascii="Cambria"/>
                <w:color w:val="333333"/>
                <w:w w:val="110"/>
                <w:sz w:val="21"/>
              </w:rPr>
              <w:t>Whether to create the index automatically if it does not exist.</w:t>
            </w:r>
          </w:p>
        </w:tc>
      </w:tr>
      <w:tr w:rsidR="00A720EB" w14:paraId="2501DFA8" w14:textId="77777777">
        <w:trPr>
          <w:trHeight w:val="1056"/>
        </w:trPr>
        <w:tc>
          <w:tcPr>
            <w:tcW w:w="2494" w:type="dxa"/>
          </w:tcPr>
          <w:p w14:paraId="404BDF02" w14:textId="77777777" w:rsidR="00A720EB" w:rsidRDefault="0030286B">
            <w:pPr>
              <w:pStyle w:val="TableParagraph"/>
              <w:spacing w:before="46" w:line="230" w:lineRule="auto"/>
              <w:ind w:right="113"/>
              <w:rPr>
                <w:sz w:val="21"/>
              </w:rPr>
            </w:pPr>
            <w:r>
              <w:rPr>
                <w:color w:val="B02045"/>
                <w:sz w:val="21"/>
              </w:rPr>
              <w:lastRenderedPageBreak/>
              <w:t xml:space="preserve">management.metrics.exp </w:t>
            </w:r>
            <w:proofErr w:type="gramStart"/>
            <w:r>
              <w:rPr>
                <w:color w:val="B02045"/>
                <w:sz w:val="21"/>
              </w:rPr>
              <w:t>ort.elastic</w:t>
            </w:r>
            <w:proofErr w:type="gramEnd"/>
            <w:r>
              <w:rPr>
                <w:color w:val="B02045"/>
                <w:sz w:val="21"/>
              </w:rPr>
              <w:t>.batch-size</w:t>
            </w:r>
          </w:p>
        </w:tc>
        <w:tc>
          <w:tcPr>
            <w:tcW w:w="2494" w:type="dxa"/>
          </w:tcPr>
          <w:p w14:paraId="39B72213" w14:textId="77777777" w:rsidR="00A720EB" w:rsidRDefault="0030286B">
            <w:pPr>
              <w:pStyle w:val="TableParagraph"/>
              <w:rPr>
                <w:sz w:val="21"/>
              </w:rPr>
            </w:pPr>
            <w:r>
              <w:rPr>
                <w:color w:val="B02045"/>
                <w:sz w:val="21"/>
              </w:rPr>
              <w:t>10000.0</w:t>
            </w:r>
          </w:p>
        </w:tc>
        <w:tc>
          <w:tcPr>
            <w:tcW w:w="4988" w:type="dxa"/>
          </w:tcPr>
          <w:p w14:paraId="41A2FE48"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30B5D81C" w14:textId="77777777">
        <w:trPr>
          <w:trHeight w:val="886"/>
        </w:trPr>
        <w:tc>
          <w:tcPr>
            <w:tcW w:w="2494" w:type="dxa"/>
          </w:tcPr>
          <w:p w14:paraId="53EDFF28"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ort.elastic</w:t>
            </w:r>
            <w:proofErr w:type="gramEnd"/>
            <w:r>
              <w:rPr>
                <w:color w:val="B02045"/>
                <w:sz w:val="21"/>
              </w:rPr>
              <w:t>.connect- timeout</w:t>
            </w:r>
          </w:p>
        </w:tc>
        <w:tc>
          <w:tcPr>
            <w:tcW w:w="2494" w:type="dxa"/>
          </w:tcPr>
          <w:p w14:paraId="6C62742D" w14:textId="77777777" w:rsidR="00A720EB" w:rsidRDefault="0030286B">
            <w:pPr>
              <w:pStyle w:val="TableParagraph"/>
              <w:spacing w:before="37"/>
              <w:rPr>
                <w:sz w:val="21"/>
              </w:rPr>
            </w:pPr>
            <w:r>
              <w:rPr>
                <w:color w:val="B02045"/>
                <w:sz w:val="21"/>
              </w:rPr>
              <w:t>1s</w:t>
            </w:r>
          </w:p>
        </w:tc>
        <w:tc>
          <w:tcPr>
            <w:tcW w:w="4988" w:type="dxa"/>
          </w:tcPr>
          <w:p w14:paraId="180FC99A"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bl>
    <w:p w14:paraId="4B3088BB"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3824A64" w14:textId="77777777">
        <w:trPr>
          <w:trHeight w:val="415"/>
        </w:trPr>
        <w:tc>
          <w:tcPr>
            <w:tcW w:w="2494" w:type="dxa"/>
            <w:tcBorders>
              <w:bottom w:val="single" w:sz="12" w:space="0" w:color="DDDDDD"/>
            </w:tcBorders>
          </w:tcPr>
          <w:p w14:paraId="1FFA509E"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0F37957"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782E46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5CB6E9DE" w14:textId="77777777">
        <w:trPr>
          <w:trHeight w:val="731"/>
        </w:trPr>
        <w:tc>
          <w:tcPr>
            <w:tcW w:w="2494" w:type="dxa"/>
            <w:tcBorders>
              <w:top w:val="single" w:sz="12" w:space="0" w:color="DDDDDD"/>
            </w:tcBorders>
          </w:tcPr>
          <w:p w14:paraId="686CD709" w14:textId="77777777" w:rsidR="00A720EB" w:rsidRDefault="0030286B">
            <w:pPr>
              <w:pStyle w:val="TableParagraph"/>
              <w:spacing w:before="36" w:line="230" w:lineRule="auto"/>
              <w:ind w:right="94"/>
              <w:rPr>
                <w:sz w:val="21"/>
              </w:rPr>
            </w:pPr>
            <w:r>
              <w:rPr>
                <w:color w:val="B02045"/>
                <w:sz w:val="21"/>
              </w:rPr>
              <w:t xml:space="preserve">management.metrics.exp </w:t>
            </w:r>
            <w:proofErr w:type="gramStart"/>
            <w:r>
              <w:rPr>
                <w:color w:val="B02045"/>
                <w:sz w:val="21"/>
              </w:rPr>
              <w:t>ort.elastic</w:t>
            </w:r>
            <w:proofErr w:type="gramEnd"/>
            <w:r>
              <w:rPr>
                <w:color w:val="B02045"/>
                <w:sz w:val="21"/>
              </w:rPr>
              <w:t>.enabled</w:t>
            </w:r>
          </w:p>
        </w:tc>
        <w:tc>
          <w:tcPr>
            <w:tcW w:w="2494" w:type="dxa"/>
            <w:tcBorders>
              <w:top w:val="single" w:sz="12" w:space="0" w:color="DDDDDD"/>
            </w:tcBorders>
          </w:tcPr>
          <w:p w14:paraId="32826616"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4F933075" w14:textId="77777777" w:rsidR="00A720EB" w:rsidRDefault="0030286B">
            <w:pPr>
              <w:pStyle w:val="TableParagraph"/>
              <w:spacing w:before="18" w:line="310" w:lineRule="atLeast"/>
              <w:rPr>
                <w:rFonts w:ascii="Cambria"/>
                <w:sz w:val="21"/>
              </w:rPr>
            </w:pPr>
            <w:r>
              <w:rPr>
                <w:rFonts w:ascii="Cambria"/>
                <w:color w:val="333333"/>
                <w:w w:val="110"/>
                <w:sz w:val="21"/>
              </w:rPr>
              <w:t>Whether exporting of metrics to this backend is enabled.</w:t>
            </w:r>
          </w:p>
        </w:tc>
      </w:tr>
      <w:tr w:rsidR="00A720EB" w14:paraId="38827A47" w14:textId="77777777">
        <w:trPr>
          <w:trHeight w:val="627"/>
        </w:trPr>
        <w:tc>
          <w:tcPr>
            <w:tcW w:w="2494" w:type="dxa"/>
          </w:tcPr>
          <w:p w14:paraId="7036E308"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ort.elastic</w:t>
            </w:r>
            <w:proofErr w:type="gramEnd"/>
            <w:r>
              <w:rPr>
                <w:color w:val="B02045"/>
                <w:sz w:val="21"/>
              </w:rPr>
              <w:t>.host</w:t>
            </w:r>
          </w:p>
        </w:tc>
        <w:tc>
          <w:tcPr>
            <w:tcW w:w="2494" w:type="dxa"/>
          </w:tcPr>
          <w:p w14:paraId="04B08DA4" w14:textId="77777777" w:rsidR="00A720EB" w:rsidRDefault="0030286B">
            <w:pPr>
              <w:pStyle w:val="TableParagraph"/>
              <w:spacing w:before="37"/>
              <w:rPr>
                <w:sz w:val="21"/>
              </w:rPr>
            </w:pPr>
            <w:r>
              <w:rPr>
                <w:color w:val="B02045"/>
                <w:sz w:val="21"/>
              </w:rPr>
              <w:t>http://localhost:9200</w:t>
            </w:r>
          </w:p>
        </w:tc>
        <w:tc>
          <w:tcPr>
            <w:tcW w:w="4988" w:type="dxa"/>
          </w:tcPr>
          <w:p w14:paraId="04367711" w14:textId="77777777" w:rsidR="00A720EB" w:rsidRDefault="0030286B">
            <w:pPr>
              <w:pStyle w:val="TableParagraph"/>
              <w:spacing w:before="92"/>
              <w:rPr>
                <w:rFonts w:ascii="Cambria"/>
                <w:sz w:val="21"/>
              </w:rPr>
            </w:pPr>
            <w:r>
              <w:rPr>
                <w:rFonts w:ascii="Cambria"/>
                <w:color w:val="333333"/>
                <w:w w:val="110"/>
                <w:sz w:val="21"/>
              </w:rPr>
              <w:t>Host to export metrics to.</w:t>
            </w:r>
          </w:p>
        </w:tc>
      </w:tr>
      <w:tr w:rsidR="00A720EB" w14:paraId="716F78B1" w14:textId="77777777">
        <w:trPr>
          <w:trHeight w:val="627"/>
        </w:trPr>
        <w:tc>
          <w:tcPr>
            <w:tcW w:w="2494" w:type="dxa"/>
          </w:tcPr>
          <w:p w14:paraId="0099CAFE"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ort.elastic</w:t>
            </w:r>
            <w:proofErr w:type="gramEnd"/>
            <w:r>
              <w:rPr>
                <w:color w:val="B02045"/>
                <w:sz w:val="21"/>
              </w:rPr>
              <w:t>.index</w:t>
            </w:r>
          </w:p>
        </w:tc>
        <w:tc>
          <w:tcPr>
            <w:tcW w:w="2494" w:type="dxa"/>
          </w:tcPr>
          <w:p w14:paraId="270D138B" w14:textId="77777777" w:rsidR="00A720EB" w:rsidRDefault="0030286B">
            <w:pPr>
              <w:pStyle w:val="TableParagraph"/>
              <w:spacing w:before="37"/>
              <w:rPr>
                <w:sz w:val="21"/>
              </w:rPr>
            </w:pPr>
            <w:r>
              <w:rPr>
                <w:color w:val="B02045"/>
                <w:sz w:val="21"/>
              </w:rPr>
              <w:t>metrics</w:t>
            </w:r>
          </w:p>
        </w:tc>
        <w:tc>
          <w:tcPr>
            <w:tcW w:w="4988" w:type="dxa"/>
          </w:tcPr>
          <w:p w14:paraId="3BB387DA" w14:textId="77777777" w:rsidR="00A720EB" w:rsidRDefault="0030286B">
            <w:pPr>
              <w:pStyle w:val="TableParagraph"/>
              <w:spacing w:before="92"/>
              <w:rPr>
                <w:rFonts w:ascii="Cambria"/>
                <w:sz w:val="21"/>
              </w:rPr>
            </w:pPr>
            <w:r>
              <w:rPr>
                <w:rFonts w:ascii="Cambria"/>
                <w:color w:val="333333"/>
                <w:w w:val="110"/>
                <w:sz w:val="21"/>
              </w:rPr>
              <w:t>Index to export metrics to.</w:t>
            </w:r>
          </w:p>
        </w:tc>
      </w:tr>
      <w:tr w:rsidR="00A720EB" w14:paraId="2AA04D81" w14:textId="77777777">
        <w:trPr>
          <w:trHeight w:val="886"/>
        </w:trPr>
        <w:tc>
          <w:tcPr>
            <w:tcW w:w="2494" w:type="dxa"/>
          </w:tcPr>
          <w:p w14:paraId="5C761330"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ort.elastic</w:t>
            </w:r>
            <w:proofErr w:type="gramEnd"/>
            <w:r>
              <w:rPr>
                <w:color w:val="B02045"/>
                <w:sz w:val="21"/>
              </w:rPr>
              <w:t>.index- date-format</w:t>
            </w:r>
          </w:p>
        </w:tc>
        <w:tc>
          <w:tcPr>
            <w:tcW w:w="2494" w:type="dxa"/>
          </w:tcPr>
          <w:p w14:paraId="38CB0010" w14:textId="77777777" w:rsidR="00A720EB" w:rsidRDefault="0030286B">
            <w:pPr>
              <w:pStyle w:val="TableParagraph"/>
              <w:rPr>
                <w:sz w:val="21"/>
              </w:rPr>
            </w:pPr>
            <w:r>
              <w:rPr>
                <w:color w:val="B02045"/>
                <w:sz w:val="21"/>
              </w:rPr>
              <w:t>yyyy-MM</w:t>
            </w:r>
          </w:p>
        </w:tc>
        <w:tc>
          <w:tcPr>
            <w:tcW w:w="4988" w:type="dxa"/>
          </w:tcPr>
          <w:p w14:paraId="5ECE47AB" w14:textId="77777777" w:rsidR="00A720EB" w:rsidRDefault="0030286B">
            <w:pPr>
              <w:pStyle w:val="TableParagraph"/>
              <w:spacing w:before="92" w:line="307" w:lineRule="auto"/>
              <w:rPr>
                <w:rFonts w:ascii="Cambria"/>
                <w:sz w:val="21"/>
              </w:rPr>
            </w:pPr>
            <w:r>
              <w:rPr>
                <w:rFonts w:ascii="Cambria"/>
                <w:color w:val="333333"/>
                <w:w w:val="110"/>
                <w:sz w:val="21"/>
              </w:rPr>
              <w:t>Index date format used for rolling indices. Appended to the index name.</w:t>
            </w:r>
          </w:p>
        </w:tc>
      </w:tr>
      <w:tr w:rsidR="00A720EB" w14:paraId="064B7DC1" w14:textId="77777777">
        <w:trPr>
          <w:trHeight w:val="886"/>
        </w:trPr>
        <w:tc>
          <w:tcPr>
            <w:tcW w:w="2494" w:type="dxa"/>
          </w:tcPr>
          <w:p w14:paraId="62CA144B"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ort.elastic</w:t>
            </w:r>
            <w:proofErr w:type="gramEnd"/>
            <w:r>
              <w:rPr>
                <w:color w:val="B02045"/>
                <w:sz w:val="21"/>
              </w:rPr>
              <w:t>.index- date-separator</w:t>
            </w:r>
          </w:p>
        </w:tc>
        <w:tc>
          <w:tcPr>
            <w:tcW w:w="2494" w:type="dxa"/>
          </w:tcPr>
          <w:p w14:paraId="7D79778E" w14:textId="77777777" w:rsidR="00A720EB" w:rsidRDefault="0030286B">
            <w:pPr>
              <w:pStyle w:val="TableParagraph"/>
              <w:spacing w:before="37"/>
              <w:rPr>
                <w:sz w:val="21"/>
              </w:rPr>
            </w:pPr>
            <w:r>
              <w:rPr>
                <w:color w:val="B02045"/>
                <w:sz w:val="21"/>
              </w:rPr>
              <w:t>-</w:t>
            </w:r>
          </w:p>
        </w:tc>
        <w:tc>
          <w:tcPr>
            <w:tcW w:w="4988" w:type="dxa"/>
          </w:tcPr>
          <w:p w14:paraId="37EC7B85" w14:textId="77777777" w:rsidR="00A720EB" w:rsidRDefault="0030286B">
            <w:pPr>
              <w:pStyle w:val="TableParagraph"/>
              <w:spacing w:before="92" w:line="307" w:lineRule="auto"/>
              <w:rPr>
                <w:rFonts w:ascii="Cambria"/>
                <w:sz w:val="21"/>
              </w:rPr>
            </w:pPr>
            <w:r>
              <w:rPr>
                <w:rFonts w:ascii="Cambria"/>
                <w:color w:val="333333"/>
                <w:w w:val="110"/>
                <w:sz w:val="21"/>
              </w:rPr>
              <w:t>Prefix to separate the index name from the date format used for rolling indices.</w:t>
            </w:r>
          </w:p>
        </w:tc>
      </w:tr>
      <w:tr w:rsidR="00A720EB" w14:paraId="212BB6D4" w14:textId="77777777">
        <w:trPr>
          <w:trHeight w:val="627"/>
        </w:trPr>
        <w:tc>
          <w:tcPr>
            <w:tcW w:w="2494" w:type="dxa"/>
          </w:tcPr>
          <w:p w14:paraId="1923FFD3"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ort.elastic</w:t>
            </w:r>
            <w:proofErr w:type="gramEnd"/>
            <w:r>
              <w:rPr>
                <w:color w:val="B02045"/>
                <w:sz w:val="21"/>
              </w:rPr>
              <w:t>.password</w:t>
            </w:r>
          </w:p>
        </w:tc>
        <w:tc>
          <w:tcPr>
            <w:tcW w:w="2494" w:type="dxa"/>
          </w:tcPr>
          <w:p w14:paraId="151A09A9" w14:textId="77777777" w:rsidR="00A720EB" w:rsidRDefault="00A720EB">
            <w:pPr>
              <w:pStyle w:val="TableParagraph"/>
              <w:spacing w:before="0"/>
              <w:ind w:left="0"/>
              <w:rPr>
                <w:rFonts w:ascii="Times New Roman"/>
                <w:sz w:val="20"/>
              </w:rPr>
            </w:pPr>
          </w:p>
        </w:tc>
        <w:tc>
          <w:tcPr>
            <w:tcW w:w="4988" w:type="dxa"/>
          </w:tcPr>
          <w:p w14:paraId="22F1613A" w14:textId="77777777" w:rsidR="00A720EB" w:rsidRDefault="0030286B">
            <w:pPr>
              <w:pStyle w:val="TableParagraph"/>
              <w:spacing w:before="92"/>
              <w:rPr>
                <w:rFonts w:ascii="Cambria"/>
                <w:sz w:val="21"/>
              </w:rPr>
            </w:pPr>
            <w:r>
              <w:rPr>
                <w:rFonts w:ascii="Cambria"/>
                <w:color w:val="333333"/>
                <w:w w:val="110"/>
                <w:sz w:val="21"/>
              </w:rPr>
              <w:t>Login password of the Elastic server.</w:t>
            </w:r>
          </w:p>
        </w:tc>
      </w:tr>
      <w:tr w:rsidR="00A720EB" w14:paraId="34E172CA" w14:textId="77777777">
        <w:trPr>
          <w:trHeight w:val="741"/>
        </w:trPr>
        <w:tc>
          <w:tcPr>
            <w:tcW w:w="2494" w:type="dxa"/>
          </w:tcPr>
          <w:p w14:paraId="2511A4CE"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ort.elastic</w:t>
            </w:r>
            <w:proofErr w:type="gramEnd"/>
            <w:r>
              <w:rPr>
                <w:color w:val="B02045"/>
                <w:sz w:val="21"/>
              </w:rPr>
              <w:t>.pipeline</w:t>
            </w:r>
          </w:p>
        </w:tc>
        <w:tc>
          <w:tcPr>
            <w:tcW w:w="2494" w:type="dxa"/>
          </w:tcPr>
          <w:p w14:paraId="30EC38BF" w14:textId="77777777" w:rsidR="00A720EB" w:rsidRDefault="00A720EB">
            <w:pPr>
              <w:pStyle w:val="TableParagraph"/>
              <w:spacing w:before="0"/>
              <w:ind w:left="0"/>
              <w:rPr>
                <w:rFonts w:ascii="Times New Roman"/>
                <w:sz w:val="20"/>
              </w:rPr>
            </w:pPr>
          </w:p>
        </w:tc>
        <w:tc>
          <w:tcPr>
            <w:tcW w:w="4988" w:type="dxa"/>
          </w:tcPr>
          <w:p w14:paraId="7149BCEB" w14:textId="77777777" w:rsidR="00A720EB" w:rsidRDefault="0030286B">
            <w:pPr>
              <w:pStyle w:val="TableParagraph"/>
              <w:spacing w:before="28" w:line="310" w:lineRule="atLeast"/>
              <w:ind w:right="177"/>
              <w:rPr>
                <w:rFonts w:ascii="Cambria"/>
                <w:sz w:val="21"/>
              </w:rPr>
            </w:pPr>
            <w:r>
              <w:rPr>
                <w:rFonts w:ascii="Cambria"/>
                <w:color w:val="333333"/>
                <w:w w:val="110"/>
                <w:sz w:val="21"/>
              </w:rPr>
              <w:t>Ingest pipeline name. By default, events are not pre-processed.</w:t>
            </w:r>
          </w:p>
        </w:tc>
      </w:tr>
      <w:tr w:rsidR="00A720EB" w14:paraId="42D0BC42" w14:textId="77777777">
        <w:trPr>
          <w:trHeight w:val="886"/>
        </w:trPr>
        <w:tc>
          <w:tcPr>
            <w:tcW w:w="2494" w:type="dxa"/>
          </w:tcPr>
          <w:p w14:paraId="47FD8D1E"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ort.elastic</w:t>
            </w:r>
            <w:proofErr w:type="gramEnd"/>
            <w:r>
              <w:rPr>
                <w:color w:val="B02045"/>
                <w:sz w:val="21"/>
              </w:rPr>
              <w:t>.read- timeout</w:t>
            </w:r>
          </w:p>
        </w:tc>
        <w:tc>
          <w:tcPr>
            <w:tcW w:w="2494" w:type="dxa"/>
          </w:tcPr>
          <w:p w14:paraId="651B9AA7" w14:textId="77777777" w:rsidR="00A720EB" w:rsidRDefault="0030286B">
            <w:pPr>
              <w:pStyle w:val="TableParagraph"/>
              <w:rPr>
                <w:sz w:val="21"/>
              </w:rPr>
            </w:pPr>
            <w:r>
              <w:rPr>
                <w:color w:val="B02045"/>
                <w:sz w:val="21"/>
              </w:rPr>
              <w:t>10s</w:t>
            </w:r>
          </w:p>
        </w:tc>
        <w:tc>
          <w:tcPr>
            <w:tcW w:w="4988" w:type="dxa"/>
          </w:tcPr>
          <w:p w14:paraId="6F08E1F1"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7BC42614" w14:textId="77777777">
        <w:trPr>
          <w:trHeight w:val="627"/>
        </w:trPr>
        <w:tc>
          <w:tcPr>
            <w:tcW w:w="2494" w:type="dxa"/>
          </w:tcPr>
          <w:p w14:paraId="5CD3046B"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ort.elastic</w:t>
            </w:r>
            <w:proofErr w:type="gramEnd"/>
            <w:r>
              <w:rPr>
                <w:color w:val="B02045"/>
                <w:sz w:val="21"/>
              </w:rPr>
              <w:t>.step</w:t>
            </w:r>
          </w:p>
        </w:tc>
        <w:tc>
          <w:tcPr>
            <w:tcW w:w="2494" w:type="dxa"/>
          </w:tcPr>
          <w:p w14:paraId="265D71E9" w14:textId="77777777" w:rsidR="00A720EB" w:rsidRDefault="0030286B">
            <w:pPr>
              <w:pStyle w:val="TableParagraph"/>
              <w:spacing w:before="37"/>
              <w:rPr>
                <w:sz w:val="21"/>
              </w:rPr>
            </w:pPr>
            <w:r>
              <w:rPr>
                <w:color w:val="B02045"/>
                <w:sz w:val="21"/>
              </w:rPr>
              <w:t>1m</w:t>
            </w:r>
          </w:p>
        </w:tc>
        <w:tc>
          <w:tcPr>
            <w:tcW w:w="4988" w:type="dxa"/>
          </w:tcPr>
          <w:p w14:paraId="69E7C6D7"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4AA541FA" w14:textId="77777777">
        <w:trPr>
          <w:trHeight w:val="886"/>
        </w:trPr>
        <w:tc>
          <w:tcPr>
            <w:tcW w:w="2494" w:type="dxa"/>
          </w:tcPr>
          <w:p w14:paraId="2EF5D6C3"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ort.elastic</w:t>
            </w:r>
            <w:proofErr w:type="gramEnd"/>
            <w:r>
              <w:rPr>
                <w:color w:val="B02045"/>
                <w:sz w:val="21"/>
              </w:rPr>
              <w:t>.timestamp- field-name</w:t>
            </w:r>
          </w:p>
        </w:tc>
        <w:tc>
          <w:tcPr>
            <w:tcW w:w="2494" w:type="dxa"/>
          </w:tcPr>
          <w:p w14:paraId="283CB64E" w14:textId="77777777" w:rsidR="00A720EB" w:rsidRDefault="0030286B">
            <w:pPr>
              <w:pStyle w:val="TableParagraph"/>
              <w:rPr>
                <w:sz w:val="21"/>
              </w:rPr>
            </w:pPr>
            <w:r>
              <w:rPr>
                <w:color w:val="B02045"/>
                <w:sz w:val="21"/>
              </w:rPr>
              <w:t>@timestamp</w:t>
            </w:r>
          </w:p>
        </w:tc>
        <w:tc>
          <w:tcPr>
            <w:tcW w:w="4988" w:type="dxa"/>
          </w:tcPr>
          <w:p w14:paraId="3C2AA268" w14:textId="77777777" w:rsidR="00A720EB" w:rsidRDefault="0030286B">
            <w:pPr>
              <w:pStyle w:val="TableParagraph"/>
              <w:spacing w:before="92"/>
              <w:rPr>
                <w:rFonts w:ascii="Cambria"/>
                <w:sz w:val="21"/>
              </w:rPr>
            </w:pPr>
            <w:r>
              <w:rPr>
                <w:rFonts w:ascii="Cambria"/>
                <w:color w:val="333333"/>
                <w:w w:val="110"/>
                <w:sz w:val="21"/>
              </w:rPr>
              <w:t>Name of the timestamp field.</w:t>
            </w:r>
          </w:p>
        </w:tc>
      </w:tr>
      <w:tr w:rsidR="00A720EB" w14:paraId="592E92DE" w14:textId="77777777">
        <w:trPr>
          <w:trHeight w:val="627"/>
        </w:trPr>
        <w:tc>
          <w:tcPr>
            <w:tcW w:w="2494" w:type="dxa"/>
          </w:tcPr>
          <w:p w14:paraId="40E0F7A0"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ort.elastic</w:t>
            </w:r>
            <w:proofErr w:type="gramEnd"/>
            <w:r>
              <w:rPr>
                <w:color w:val="B02045"/>
                <w:sz w:val="21"/>
              </w:rPr>
              <w:t>.user-name</w:t>
            </w:r>
          </w:p>
        </w:tc>
        <w:tc>
          <w:tcPr>
            <w:tcW w:w="2494" w:type="dxa"/>
          </w:tcPr>
          <w:p w14:paraId="11888CDF" w14:textId="77777777" w:rsidR="00A720EB" w:rsidRDefault="00A720EB">
            <w:pPr>
              <w:pStyle w:val="TableParagraph"/>
              <w:spacing w:before="0"/>
              <w:ind w:left="0"/>
              <w:rPr>
                <w:rFonts w:ascii="Times New Roman"/>
                <w:sz w:val="20"/>
              </w:rPr>
            </w:pPr>
          </w:p>
        </w:tc>
        <w:tc>
          <w:tcPr>
            <w:tcW w:w="4988" w:type="dxa"/>
          </w:tcPr>
          <w:p w14:paraId="3E90EF06" w14:textId="77777777" w:rsidR="00A720EB" w:rsidRDefault="0030286B">
            <w:pPr>
              <w:pStyle w:val="TableParagraph"/>
              <w:spacing w:before="92"/>
              <w:rPr>
                <w:rFonts w:ascii="Cambria"/>
                <w:sz w:val="21"/>
              </w:rPr>
            </w:pPr>
            <w:r>
              <w:rPr>
                <w:rFonts w:ascii="Cambria"/>
                <w:color w:val="333333"/>
                <w:w w:val="110"/>
                <w:sz w:val="21"/>
              </w:rPr>
              <w:t>Login user of the Elastic server.</w:t>
            </w:r>
          </w:p>
        </w:tc>
      </w:tr>
      <w:tr w:rsidR="00A720EB" w14:paraId="3151A0B6" w14:textId="77777777">
        <w:trPr>
          <w:trHeight w:val="886"/>
        </w:trPr>
        <w:tc>
          <w:tcPr>
            <w:tcW w:w="2494" w:type="dxa"/>
          </w:tcPr>
          <w:p w14:paraId="6AC538BF"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ort.ganglia</w:t>
            </w:r>
            <w:proofErr w:type="gramEnd"/>
            <w:r>
              <w:rPr>
                <w:color w:val="B02045"/>
                <w:sz w:val="21"/>
              </w:rPr>
              <w:t>.addressing</w:t>
            </w:r>
          </w:p>
          <w:p w14:paraId="2B1ED905" w14:textId="77777777" w:rsidR="00A720EB" w:rsidRDefault="0030286B">
            <w:pPr>
              <w:pStyle w:val="TableParagraph"/>
              <w:spacing w:before="0" w:line="262" w:lineRule="exact"/>
              <w:rPr>
                <w:sz w:val="21"/>
              </w:rPr>
            </w:pPr>
            <w:r>
              <w:rPr>
                <w:color w:val="B02045"/>
                <w:sz w:val="21"/>
              </w:rPr>
              <w:t>-mode</w:t>
            </w:r>
          </w:p>
        </w:tc>
        <w:tc>
          <w:tcPr>
            <w:tcW w:w="2494" w:type="dxa"/>
          </w:tcPr>
          <w:p w14:paraId="5978625E" w14:textId="77777777" w:rsidR="00A720EB" w:rsidRDefault="0030286B">
            <w:pPr>
              <w:pStyle w:val="TableParagraph"/>
              <w:spacing w:before="37"/>
              <w:rPr>
                <w:sz w:val="21"/>
              </w:rPr>
            </w:pPr>
            <w:r>
              <w:rPr>
                <w:color w:val="B02045"/>
                <w:sz w:val="21"/>
              </w:rPr>
              <w:t>multicast</w:t>
            </w:r>
          </w:p>
        </w:tc>
        <w:tc>
          <w:tcPr>
            <w:tcW w:w="4988" w:type="dxa"/>
          </w:tcPr>
          <w:p w14:paraId="7A6289E9" w14:textId="77777777" w:rsidR="00A720EB" w:rsidRDefault="0030286B">
            <w:pPr>
              <w:pStyle w:val="TableParagraph"/>
              <w:spacing w:before="92" w:line="307" w:lineRule="auto"/>
              <w:ind w:right="372"/>
              <w:rPr>
                <w:rFonts w:ascii="Cambria"/>
                <w:sz w:val="21"/>
              </w:rPr>
            </w:pPr>
            <w:r>
              <w:rPr>
                <w:rFonts w:ascii="Cambria"/>
                <w:color w:val="333333"/>
                <w:w w:val="110"/>
                <w:sz w:val="21"/>
              </w:rPr>
              <w:t>UDP addressing mode, either unicast or multicast.</w:t>
            </w:r>
          </w:p>
        </w:tc>
      </w:tr>
      <w:tr w:rsidR="00A720EB" w14:paraId="49C78D86" w14:textId="77777777">
        <w:trPr>
          <w:trHeight w:val="886"/>
        </w:trPr>
        <w:tc>
          <w:tcPr>
            <w:tcW w:w="2494" w:type="dxa"/>
          </w:tcPr>
          <w:p w14:paraId="238F43B4"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ort.ganglia</w:t>
            </w:r>
            <w:proofErr w:type="gramEnd"/>
            <w:r>
              <w:rPr>
                <w:color w:val="B02045"/>
                <w:sz w:val="21"/>
              </w:rPr>
              <w:t>.duration- units</w:t>
            </w:r>
          </w:p>
        </w:tc>
        <w:tc>
          <w:tcPr>
            <w:tcW w:w="2494" w:type="dxa"/>
          </w:tcPr>
          <w:p w14:paraId="4A252536" w14:textId="77777777" w:rsidR="00A720EB" w:rsidRDefault="0030286B">
            <w:pPr>
              <w:pStyle w:val="TableParagraph"/>
              <w:rPr>
                <w:sz w:val="21"/>
              </w:rPr>
            </w:pPr>
            <w:r>
              <w:rPr>
                <w:color w:val="B02045"/>
                <w:sz w:val="21"/>
              </w:rPr>
              <w:t>milliseconds</w:t>
            </w:r>
          </w:p>
        </w:tc>
        <w:tc>
          <w:tcPr>
            <w:tcW w:w="4988" w:type="dxa"/>
          </w:tcPr>
          <w:p w14:paraId="0E1153C6" w14:textId="77777777" w:rsidR="00A720EB" w:rsidRDefault="0030286B">
            <w:pPr>
              <w:pStyle w:val="TableParagraph"/>
              <w:spacing w:before="92"/>
              <w:rPr>
                <w:rFonts w:ascii="Cambria"/>
                <w:sz w:val="21"/>
              </w:rPr>
            </w:pPr>
            <w:r>
              <w:rPr>
                <w:rFonts w:ascii="Cambria"/>
                <w:color w:val="333333"/>
                <w:w w:val="110"/>
                <w:sz w:val="21"/>
              </w:rPr>
              <w:t>Base time unit used to report durations.</w:t>
            </w:r>
          </w:p>
        </w:tc>
      </w:tr>
      <w:tr w:rsidR="00A720EB" w14:paraId="59FCCDA8" w14:textId="77777777">
        <w:trPr>
          <w:trHeight w:val="741"/>
        </w:trPr>
        <w:tc>
          <w:tcPr>
            <w:tcW w:w="2494" w:type="dxa"/>
          </w:tcPr>
          <w:p w14:paraId="078D292C"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ort.ganglia</w:t>
            </w:r>
            <w:proofErr w:type="gramEnd"/>
            <w:r>
              <w:rPr>
                <w:color w:val="B02045"/>
                <w:sz w:val="21"/>
              </w:rPr>
              <w:t>.enabled</w:t>
            </w:r>
          </w:p>
        </w:tc>
        <w:tc>
          <w:tcPr>
            <w:tcW w:w="2494" w:type="dxa"/>
          </w:tcPr>
          <w:p w14:paraId="4D712825" w14:textId="77777777" w:rsidR="00A720EB" w:rsidRDefault="0030286B">
            <w:pPr>
              <w:pStyle w:val="TableParagraph"/>
              <w:spacing w:before="37"/>
              <w:rPr>
                <w:sz w:val="21"/>
              </w:rPr>
            </w:pPr>
            <w:r>
              <w:rPr>
                <w:color w:val="B02045"/>
                <w:sz w:val="21"/>
              </w:rPr>
              <w:t>true</w:t>
            </w:r>
          </w:p>
        </w:tc>
        <w:tc>
          <w:tcPr>
            <w:tcW w:w="4988" w:type="dxa"/>
          </w:tcPr>
          <w:p w14:paraId="091DDEE6"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Ganglia is enabled.</w:t>
            </w:r>
          </w:p>
        </w:tc>
      </w:tr>
      <w:tr w:rsidR="00A720EB" w14:paraId="0A8F52A1" w14:textId="77777777">
        <w:trPr>
          <w:trHeight w:val="741"/>
        </w:trPr>
        <w:tc>
          <w:tcPr>
            <w:tcW w:w="2494" w:type="dxa"/>
          </w:tcPr>
          <w:p w14:paraId="526A9766"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ort.ganglia</w:t>
            </w:r>
            <w:proofErr w:type="gramEnd"/>
            <w:r>
              <w:rPr>
                <w:color w:val="B02045"/>
                <w:sz w:val="21"/>
              </w:rPr>
              <w:t>.host</w:t>
            </w:r>
          </w:p>
        </w:tc>
        <w:tc>
          <w:tcPr>
            <w:tcW w:w="2494" w:type="dxa"/>
          </w:tcPr>
          <w:p w14:paraId="5E3EF713" w14:textId="77777777" w:rsidR="00A720EB" w:rsidRDefault="0030286B">
            <w:pPr>
              <w:pStyle w:val="TableParagraph"/>
              <w:spacing w:before="37"/>
              <w:rPr>
                <w:sz w:val="21"/>
              </w:rPr>
            </w:pPr>
            <w:r>
              <w:rPr>
                <w:color w:val="B02045"/>
                <w:sz w:val="21"/>
              </w:rPr>
              <w:t>localhost</w:t>
            </w:r>
          </w:p>
        </w:tc>
        <w:tc>
          <w:tcPr>
            <w:tcW w:w="4988" w:type="dxa"/>
          </w:tcPr>
          <w:p w14:paraId="309977A2" w14:textId="77777777" w:rsidR="00A720EB" w:rsidRDefault="0030286B">
            <w:pPr>
              <w:pStyle w:val="TableParagraph"/>
              <w:spacing w:before="28" w:line="310" w:lineRule="atLeast"/>
              <w:rPr>
                <w:rFonts w:ascii="Cambria"/>
                <w:sz w:val="21"/>
              </w:rPr>
            </w:pPr>
            <w:r>
              <w:rPr>
                <w:rFonts w:ascii="Cambria"/>
                <w:color w:val="333333"/>
                <w:w w:val="110"/>
                <w:sz w:val="21"/>
              </w:rPr>
              <w:t>Host of the Ganglia server to receive exported metrics.</w:t>
            </w:r>
          </w:p>
        </w:tc>
      </w:tr>
      <w:tr w:rsidR="00A720EB" w14:paraId="31DC958E" w14:textId="77777777">
        <w:trPr>
          <w:trHeight w:val="741"/>
        </w:trPr>
        <w:tc>
          <w:tcPr>
            <w:tcW w:w="2494" w:type="dxa"/>
          </w:tcPr>
          <w:p w14:paraId="3761969F"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ort.ganglia</w:t>
            </w:r>
            <w:proofErr w:type="gramEnd"/>
            <w:r>
              <w:rPr>
                <w:color w:val="B02045"/>
                <w:sz w:val="21"/>
              </w:rPr>
              <w:t>.port</w:t>
            </w:r>
          </w:p>
        </w:tc>
        <w:tc>
          <w:tcPr>
            <w:tcW w:w="2494" w:type="dxa"/>
          </w:tcPr>
          <w:p w14:paraId="35DC2B14" w14:textId="77777777" w:rsidR="00A720EB" w:rsidRDefault="0030286B">
            <w:pPr>
              <w:pStyle w:val="TableParagraph"/>
              <w:spacing w:before="37"/>
              <w:rPr>
                <w:sz w:val="21"/>
              </w:rPr>
            </w:pPr>
            <w:r>
              <w:rPr>
                <w:color w:val="B02045"/>
                <w:sz w:val="21"/>
              </w:rPr>
              <w:t>8649.0</w:t>
            </w:r>
          </w:p>
        </w:tc>
        <w:tc>
          <w:tcPr>
            <w:tcW w:w="4988" w:type="dxa"/>
          </w:tcPr>
          <w:p w14:paraId="5A6D6585" w14:textId="77777777" w:rsidR="00A720EB" w:rsidRDefault="0030286B">
            <w:pPr>
              <w:pStyle w:val="TableParagraph"/>
              <w:spacing w:before="28" w:line="310" w:lineRule="atLeast"/>
              <w:rPr>
                <w:rFonts w:ascii="Cambria"/>
                <w:sz w:val="21"/>
              </w:rPr>
            </w:pPr>
            <w:r>
              <w:rPr>
                <w:rFonts w:ascii="Cambria"/>
                <w:color w:val="333333"/>
                <w:w w:val="110"/>
                <w:sz w:val="21"/>
              </w:rPr>
              <w:t>Port of the Ganglia server to receive exported metrics.</w:t>
            </w:r>
          </w:p>
        </w:tc>
      </w:tr>
      <w:tr w:rsidR="00A720EB" w14:paraId="53312934" w14:textId="77777777">
        <w:trPr>
          <w:trHeight w:val="627"/>
        </w:trPr>
        <w:tc>
          <w:tcPr>
            <w:tcW w:w="2494" w:type="dxa"/>
          </w:tcPr>
          <w:p w14:paraId="76623430"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ort.ganglia</w:t>
            </w:r>
            <w:proofErr w:type="gramEnd"/>
            <w:r>
              <w:rPr>
                <w:color w:val="B02045"/>
                <w:sz w:val="21"/>
              </w:rPr>
              <w:t>.step</w:t>
            </w:r>
          </w:p>
        </w:tc>
        <w:tc>
          <w:tcPr>
            <w:tcW w:w="2494" w:type="dxa"/>
          </w:tcPr>
          <w:p w14:paraId="3078F9D8" w14:textId="77777777" w:rsidR="00A720EB" w:rsidRDefault="0030286B">
            <w:pPr>
              <w:pStyle w:val="TableParagraph"/>
              <w:spacing w:before="37"/>
              <w:rPr>
                <w:sz w:val="21"/>
              </w:rPr>
            </w:pPr>
            <w:r>
              <w:rPr>
                <w:color w:val="B02045"/>
                <w:sz w:val="21"/>
              </w:rPr>
              <w:t>1m</w:t>
            </w:r>
          </w:p>
        </w:tc>
        <w:tc>
          <w:tcPr>
            <w:tcW w:w="4988" w:type="dxa"/>
          </w:tcPr>
          <w:p w14:paraId="2C15963B"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585CEBF5" w14:textId="77777777">
        <w:trPr>
          <w:trHeight w:val="1056"/>
        </w:trPr>
        <w:tc>
          <w:tcPr>
            <w:tcW w:w="2494" w:type="dxa"/>
          </w:tcPr>
          <w:p w14:paraId="20068C94" w14:textId="77777777" w:rsidR="00A720EB" w:rsidRDefault="0030286B">
            <w:pPr>
              <w:pStyle w:val="TableParagraph"/>
              <w:spacing w:before="46" w:line="230" w:lineRule="auto"/>
              <w:ind w:right="113"/>
              <w:rPr>
                <w:sz w:val="21"/>
              </w:rPr>
            </w:pPr>
            <w:r>
              <w:rPr>
                <w:color w:val="B02045"/>
                <w:sz w:val="21"/>
              </w:rPr>
              <w:lastRenderedPageBreak/>
              <w:t xml:space="preserve">management.metrics.exp </w:t>
            </w:r>
            <w:proofErr w:type="gramStart"/>
            <w:r>
              <w:rPr>
                <w:color w:val="B02045"/>
                <w:sz w:val="21"/>
              </w:rPr>
              <w:t>ort.ganglia</w:t>
            </w:r>
            <w:proofErr w:type="gramEnd"/>
            <w:r>
              <w:rPr>
                <w:color w:val="B02045"/>
                <w:sz w:val="21"/>
              </w:rPr>
              <w:t>.time-to- live</w:t>
            </w:r>
          </w:p>
        </w:tc>
        <w:tc>
          <w:tcPr>
            <w:tcW w:w="2494" w:type="dxa"/>
          </w:tcPr>
          <w:p w14:paraId="364BD7B1" w14:textId="77777777" w:rsidR="00A720EB" w:rsidRDefault="0030286B">
            <w:pPr>
              <w:pStyle w:val="TableParagraph"/>
              <w:spacing w:before="37"/>
              <w:rPr>
                <w:sz w:val="21"/>
              </w:rPr>
            </w:pPr>
            <w:r>
              <w:rPr>
                <w:color w:val="B02045"/>
                <w:sz w:val="21"/>
              </w:rPr>
              <w:t>1.0</w:t>
            </w:r>
          </w:p>
        </w:tc>
        <w:tc>
          <w:tcPr>
            <w:tcW w:w="4988" w:type="dxa"/>
          </w:tcPr>
          <w:p w14:paraId="169E778C" w14:textId="77777777" w:rsidR="00A720EB" w:rsidRDefault="0030286B">
            <w:pPr>
              <w:pStyle w:val="TableParagraph"/>
              <w:spacing w:before="28" w:line="310" w:lineRule="atLeast"/>
              <w:ind w:right="111"/>
              <w:rPr>
                <w:rFonts w:ascii="Cambria"/>
                <w:sz w:val="21"/>
              </w:rPr>
            </w:pPr>
            <w:r>
              <w:rPr>
                <w:rFonts w:ascii="Cambria"/>
                <w:color w:val="333333"/>
                <w:w w:val="110"/>
                <w:sz w:val="21"/>
              </w:rPr>
              <w:t>Time to live for metrics on Ganglia. Set the multi-cast Time-To-Live to be one greater than the number of hops (routers) between the hosts.</w:t>
            </w:r>
          </w:p>
        </w:tc>
      </w:tr>
    </w:tbl>
    <w:p w14:paraId="7FD4F562"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B2A477F" w14:textId="77777777">
        <w:trPr>
          <w:trHeight w:val="415"/>
        </w:trPr>
        <w:tc>
          <w:tcPr>
            <w:tcW w:w="2494" w:type="dxa"/>
            <w:tcBorders>
              <w:bottom w:val="single" w:sz="12" w:space="0" w:color="DDDDDD"/>
            </w:tcBorders>
          </w:tcPr>
          <w:p w14:paraId="27D6B993"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7399F160"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73CDD9D2"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2D44740" w14:textId="77777777">
        <w:trPr>
          <w:trHeight w:val="876"/>
        </w:trPr>
        <w:tc>
          <w:tcPr>
            <w:tcW w:w="2494" w:type="dxa"/>
            <w:tcBorders>
              <w:top w:val="single" w:sz="12" w:space="0" w:color="DDDDDD"/>
            </w:tcBorders>
          </w:tcPr>
          <w:p w14:paraId="6005B6DD" w14:textId="77777777" w:rsidR="00A720EB" w:rsidRDefault="0030286B">
            <w:pPr>
              <w:pStyle w:val="TableParagraph"/>
              <w:spacing w:before="36" w:line="230" w:lineRule="auto"/>
              <w:ind w:right="113"/>
              <w:jc w:val="both"/>
              <w:rPr>
                <w:sz w:val="21"/>
              </w:rPr>
            </w:pPr>
            <w:r>
              <w:rPr>
                <w:color w:val="B02045"/>
                <w:sz w:val="21"/>
              </w:rPr>
              <w:t xml:space="preserve">management.metrics.exp </w:t>
            </w:r>
            <w:proofErr w:type="gramStart"/>
            <w:r>
              <w:rPr>
                <w:color w:val="B02045"/>
                <w:sz w:val="21"/>
              </w:rPr>
              <w:t>ort.graphite</w:t>
            </w:r>
            <w:proofErr w:type="gramEnd"/>
            <w:r>
              <w:rPr>
                <w:color w:val="B02045"/>
                <w:sz w:val="21"/>
              </w:rPr>
              <w:t>.duration- units</w:t>
            </w:r>
          </w:p>
        </w:tc>
        <w:tc>
          <w:tcPr>
            <w:tcW w:w="2494" w:type="dxa"/>
            <w:tcBorders>
              <w:top w:val="single" w:sz="12" w:space="0" w:color="DDDDDD"/>
            </w:tcBorders>
          </w:tcPr>
          <w:p w14:paraId="5645336C" w14:textId="77777777" w:rsidR="00A720EB" w:rsidRDefault="0030286B">
            <w:pPr>
              <w:pStyle w:val="TableParagraph"/>
              <w:spacing w:before="27"/>
              <w:rPr>
                <w:sz w:val="21"/>
              </w:rPr>
            </w:pPr>
            <w:r>
              <w:rPr>
                <w:color w:val="B02045"/>
                <w:sz w:val="21"/>
              </w:rPr>
              <w:t>milliseconds</w:t>
            </w:r>
          </w:p>
        </w:tc>
        <w:tc>
          <w:tcPr>
            <w:tcW w:w="4988" w:type="dxa"/>
            <w:tcBorders>
              <w:top w:val="single" w:sz="12" w:space="0" w:color="DDDDDD"/>
            </w:tcBorders>
          </w:tcPr>
          <w:p w14:paraId="37D288BB" w14:textId="77777777" w:rsidR="00A720EB" w:rsidRDefault="0030286B">
            <w:pPr>
              <w:pStyle w:val="TableParagraph"/>
              <w:spacing w:before="82"/>
              <w:rPr>
                <w:rFonts w:ascii="Cambria"/>
                <w:sz w:val="21"/>
              </w:rPr>
            </w:pPr>
            <w:r>
              <w:rPr>
                <w:rFonts w:ascii="Cambria"/>
                <w:color w:val="333333"/>
                <w:w w:val="110"/>
                <w:sz w:val="21"/>
              </w:rPr>
              <w:t>Base time unit used to report durations.</w:t>
            </w:r>
          </w:p>
        </w:tc>
      </w:tr>
      <w:tr w:rsidR="00A720EB" w14:paraId="35DDADC4" w14:textId="77777777">
        <w:trPr>
          <w:trHeight w:val="741"/>
        </w:trPr>
        <w:tc>
          <w:tcPr>
            <w:tcW w:w="2494" w:type="dxa"/>
          </w:tcPr>
          <w:p w14:paraId="44BE2982"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ort.graphite</w:t>
            </w:r>
            <w:proofErr w:type="gramEnd"/>
            <w:r>
              <w:rPr>
                <w:color w:val="B02045"/>
                <w:sz w:val="21"/>
              </w:rPr>
              <w:t>.enabled</w:t>
            </w:r>
          </w:p>
        </w:tc>
        <w:tc>
          <w:tcPr>
            <w:tcW w:w="2494" w:type="dxa"/>
          </w:tcPr>
          <w:p w14:paraId="4E4B3019" w14:textId="77777777" w:rsidR="00A720EB" w:rsidRDefault="0030286B">
            <w:pPr>
              <w:pStyle w:val="TableParagraph"/>
              <w:rPr>
                <w:sz w:val="21"/>
              </w:rPr>
            </w:pPr>
            <w:r>
              <w:rPr>
                <w:color w:val="B02045"/>
                <w:sz w:val="21"/>
              </w:rPr>
              <w:t>true</w:t>
            </w:r>
          </w:p>
        </w:tc>
        <w:tc>
          <w:tcPr>
            <w:tcW w:w="4988" w:type="dxa"/>
          </w:tcPr>
          <w:p w14:paraId="3581210D"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Graphite is enabled.</w:t>
            </w:r>
          </w:p>
        </w:tc>
      </w:tr>
      <w:tr w:rsidR="00A720EB" w14:paraId="3566AF5D" w14:textId="77777777">
        <w:trPr>
          <w:trHeight w:val="1056"/>
        </w:trPr>
        <w:tc>
          <w:tcPr>
            <w:tcW w:w="2494" w:type="dxa"/>
          </w:tcPr>
          <w:p w14:paraId="145FFAF8"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ort.graphite</w:t>
            </w:r>
            <w:proofErr w:type="gramEnd"/>
            <w:r>
              <w:rPr>
                <w:color w:val="B02045"/>
                <w:sz w:val="21"/>
              </w:rPr>
              <w:t>.graphite- tags-enabled</w:t>
            </w:r>
          </w:p>
        </w:tc>
        <w:tc>
          <w:tcPr>
            <w:tcW w:w="2494" w:type="dxa"/>
          </w:tcPr>
          <w:p w14:paraId="412BA980" w14:textId="77777777" w:rsidR="00A720EB" w:rsidRDefault="00A720EB">
            <w:pPr>
              <w:pStyle w:val="TableParagraph"/>
              <w:spacing w:before="0"/>
              <w:ind w:left="0"/>
              <w:rPr>
                <w:rFonts w:ascii="Times New Roman"/>
                <w:sz w:val="20"/>
              </w:rPr>
            </w:pPr>
          </w:p>
        </w:tc>
        <w:tc>
          <w:tcPr>
            <w:tcW w:w="4988" w:type="dxa"/>
          </w:tcPr>
          <w:p w14:paraId="43127030"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Graphite tags should be used, as opposed to a hierarchical naming convention. Enabled by default unless "tagsAsPrefix" is set.</w:t>
            </w:r>
          </w:p>
        </w:tc>
      </w:tr>
      <w:tr w:rsidR="00A720EB" w14:paraId="250700FF" w14:textId="77777777">
        <w:trPr>
          <w:trHeight w:val="741"/>
        </w:trPr>
        <w:tc>
          <w:tcPr>
            <w:tcW w:w="2494" w:type="dxa"/>
          </w:tcPr>
          <w:p w14:paraId="3F625907"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ort.graphite</w:t>
            </w:r>
            <w:proofErr w:type="gramEnd"/>
            <w:r>
              <w:rPr>
                <w:color w:val="B02045"/>
                <w:sz w:val="21"/>
              </w:rPr>
              <w:t>.host</w:t>
            </w:r>
          </w:p>
        </w:tc>
        <w:tc>
          <w:tcPr>
            <w:tcW w:w="2494" w:type="dxa"/>
          </w:tcPr>
          <w:p w14:paraId="3AFE3E01" w14:textId="77777777" w:rsidR="00A720EB" w:rsidRDefault="0030286B">
            <w:pPr>
              <w:pStyle w:val="TableParagraph"/>
              <w:rPr>
                <w:sz w:val="21"/>
              </w:rPr>
            </w:pPr>
            <w:r>
              <w:rPr>
                <w:color w:val="B02045"/>
                <w:sz w:val="21"/>
              </w:rPr>
              <w:t>localhost</w:t>
            </w:r>
          </w:p>
        </w:tc>
        <w:tc>
          <w:tcPr>
            <w:tcW w:w="4988" w:type="dxa"/>
          </w:tcPr>
          <w:p w14:paraId="469D8BBF" w14:textId="77777777" w:rsidR="00A720EB" w:rsidRDefault="0030286B">
            <w:pPr>
              <w:pStyle w:val="TableParagraph"/>
              <w:spacing w:before="28" w:line="310" w:lineRule="atLeast"/>
              <w:rPr>
                <w:rFonts w:ascii="Cambria"/>
                <w:sz w:val="21"/>
              </w:rPr>
            </w:pPr>
            <w:r>
              <w:rPr>
                <w:rFonts w:ascii="Cambria"/>
                <w:color w:val="333333"/>
                <w:w w:val="110"/>
                <w:sz w:val="21"/>
              </w:rPr>
              <w:t>Host of the Graphite server to receive exported metrics.</w:t>
            </w:r>
          </w:p>
        </w:tc>
      </w:tr>
      <w:tr w:rsidR="00A720EB" w14:paraId="44A6BA39" w14:textId="77777777">
        <w:trPr>
          <w:trHeight w:val="741"/>
        </w:trPr>
        <w:tc>
          <w:tcPr>
            <w:tcW w:w="2494" w:type="dxa"/>
          </w:tcPr>
          <w:p w14:paraId="18BDEB9D"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ort.graphite</w:t>
            </w:r>
            <w:proofErr w:type="gramEnd"/>
            <w:r>
              <w:rPr>
                <w:color w:val="B02045"/>
                <w:sz w:val="21"/>
              </w:rPr>
              <w:t>.port</w:t>
            </w:r>
          </w:p>
        </w:tc>
        <w:tc>
          <w:tcPr>
            <w:tcW w:w="2494" w:type="dxa"/>
          </w:tcPr>
          <w:p w14:paraId="4904A99F" w14:textId="77777777" w:rsidR="00A720EB" w:rsidRDefault="0030286B">
            <w:pPr>
              <w:pStyle w:val="TableParagraph"/>
              <w:rPr>
                <w:sz w:val="21"/>
              </w:rPr>
            </w:pPr>
            <w:r>
              <w:rPr>
                <w:color w:val="B02045"/>
                <w:sz w:val="21"/>
              </w:rPr>
              <w:t>2004.0</w:t>
            </w:r>
          </w:p>
        </w:tc>
        <w:tc>
          <w:tcPr>
            <w:tcW w:w="4988" w:type="dxa"/>
          </w:tcPr>
          <w:p w14:paraId="52EC0C75" w14:textId="77777777" w:rsidR="00A720EB" w:rsidRDefault="0030286B">
            <w:pPr>
              <w:pStyle w:val="TableParagraph"/>
              <w:spacing w:before="28" w:line="310" w:lineRule="atLeast"/>
              <w:rPr>
                <w:rFonts w:ascii="Cambria"/>
                <w:sz w:val="21"/>
              </w:rPr>
            </w:pPr>
            <w:r>
              <w:rPr>
                <w:rFonts w:ascii="Cambria"/>
                <w:color w:val="333333"/>
                <w:w w:val="110"/>
                <w:sz w:val="21"/>
              </w:rPr>
              <w:t>Port of the Graphite server to receive exported metrics.</w:t>
            </w:r>
          </w:p>
        </w:tc>
      </w:tr>
      <w:tr w:rsidR="00A720EB" w14:paraId="0D7CD740" w14:textId="77777777">
        <w:trPr>
          <w:trHeight w:val="627"/>
        </w:trPr>
        <w:tc>
          <w:tcPr>
            <w:tcW w:w="2494" w:type="dxa"/>
          </w:tcPr>
          <w:p w14:paraId="4B42EEC1"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ort.graphite</w:t>
            </w:r>
            <w:proofErr w:type="gramEnd"/>
            <w:r>
              <w:rPr>
                <w:color w:val="B02045"/>
                <w:sz w:val="21"/>
              </w:rPr>
              <w:t>.protocol</w:t>
            </w:r>
          </w:p>
        </w:tc>
        <w:tc>
          <w:tcPr>
            <w:tcW w:w="2494" w:type="dxa"/>
          </w:tcPr>
          <w:p w14:paraId="61CE37FB" w14:textId="77777777" w:rsidR="00A720EB" w:rsidRDefault="0030286B">
            <w:pPr>
              <w:pStyle w:val="TableParagraph"/>
              <w:rPr>
                <w:sz w:val="21"/>
              </w:rPr>
            </w:pPr>
            <w:r>
              <w:rPr>
                <w:color w:val="B02045"/>
                <w:sz w:val="21"/>
              </w:rPr>
              <w:t>pickled</w:t>
            </w:r>
          </w:p>
        </w:tc>
        <w:tc>
          <w:tcPr>
            <w:tcW w:w="4988" w:type="dxa"/>
          </w:tcPr>
          <w:p w14:paraId="3F46782B" w14:textId="77777777" w:rsidR="00A720EB" w:rsidRDefault="0030286B">
            <w:pPr>
              <w:pStyle w:val="TableParagraph"/>
              <w:spacing w:before="92"/>
              <w:rPr>
                <w:rFonts w:ascii="Cambria"/>
                <w:sz w:val="21"/>
              </w:rPr>
            </w:pPr>
            <w:r>
              <w:rPr>
                <w:rFonts w:ascii="Cambria"/>
                <w:color w:val="333333"/>
                <w:w w:val="110"/>
                <w:sz w:val="21"/>
              </w:rPr>
              <w:t>Protocol to use while shipping data to Graphite.</w:t>
            </w:r>
          </w:p>
        </w:tc>
      </w:tr>
      <w:tr w:rsidR="00A720EB" w14:paraId="64255AF6" w14:textId="77777777">
        <w:trPr>
          <w:trHeight w:val="886"/>
        </w:trPr>
        <w:tc>
          <w:tcPr>
            <w:tcW w:w="2494" w:type="dxa"/>
          </w:tcPr>
          <w:p w14:paraId="095A6C9F"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ort.graphite</w:t>
            </w:r>
            <w:proofErr w:type="gramEnd"/>
            <w:r>
              <w:rPr>
                <w:color w:val="B02045"/>
                <w:sz w:val="21"/>
              </w:rPr>
              <w:t>.rate- units</w:t>
            </w:r>
          </w:p>
        </w:tc>
        <w:tc>
          <w:tcPr>
            <w:tcW w:w="2494" w:type="dxa"/>
          </w:tcPr>
          <w:p w14:paraId="6D05D657" w14:textId="77777777" w:rsidR="00A720EB" w:rsidRDefault="0030286B">
            <w:pPr>
              <w:pStyle w:val="TableParagraph"/>
              <w:spacing w:before="37"/>
              <w:rPr>
                <w:sz w:val="21"/>
              </w:rPr>
            </w:pPr>
            <w:r>
              <w:rPr>
                <w:color w:val="B02045"/>
                <w:sz w:val="21"/>
              </w:rPr>
              <w:t>seconds</w:t>
            </w:r>
          </w:p>
        </w:tc>
        <w:tc>
          <w:tcPr>
            <w:tcW w:w="4988" w:type="dxa"/>
          </w:tcPr>
          <w:p w14:paraId="13FCCBDB" w14:textId="77777777" w:rsidR="00A720EB" w:rsidRDefault="0030286B">
            <w:pPr>
              <w:pStyle w:val="TableParagraph"/>
              <w:spacing w:before="92"/>
              <w:rPr>
                <w:rFonts w:ascii="Cambria"/>
                <w:sz w:val="21"/>
              </w:rPr>
            </w:pPr>
            <w:r>
              <w:rPr>
                <w:rFonts w:ascii="Cambria"/>
                <w:color w:val="333333"/>
                <w:w w:val="110"/>
                <w:sz w:val="21"/>
              </w:rPr>
              <w:t>Base time unit used to report rates.</w:t>
            </w:r>
          </w:p>
        </w:tc>
      </w:tr>
      <w:tr w:rsidR="00A720EB" w14:paraId="2B01E7F6" w14:textId="77777777">
        <w:trPr>
          <w:trHeight w:val="627"/>
        </w:trPr>
        <w:tc>
          <w:tcPr>
            <w:tcW w:w="2494" w:type="dxa"/>
          </w:tcPr>
          <w:p w14:paraId="081F775F"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ort.graphite</w:t>
            </w:r>
            <w:proofErr w:type="gramEnd"/>
            <w:r>
              <w:rPr>
                <w:color w:val="B02045"/>
                <w:sz w:val="21"/>
              </w:rPr>
              <w:t>.step</w:t>
            </w:r>
          </w:p>
        </w:tc>
        <w:tc>
          <w:tcPr>
            <w:tcW w:w="2494" w:type="dxa"/>
          </w:tcPr>
          <w:p w14:paraId="3A332F7C" w14:textId="77777777" w:rsidR="00A720EB" w:rsidRDefault="0030286B">
            <w:pPr>
              <w:pStyle w:val="TableParagraph"/>
              <w:spacing w:before="37"/>
              <w:rPr>
                <w:sz w:val="21"/>
              </w:rPr>
            </w:pPr>
            <w:r>
              <w:rPr>
                <w:color w:val="B02045"/>
                <w:sz w:val="21"/>
              </w:rPr>
              <w:t>1m</w:t>
            </w:r>
          </w:p>
        </w:tc>
        <w:tc>
          <w:tcPr>
            <w:tcW w:w="4988" w:type="dxa"/>
          </w:tcPr>
          <w:p w14:paraId="58B175D2"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380DEB39" w14:textId="77777777">
        <w:trPr>
          <w:trHeight w:val="1056"/>
        </w:trPr>
        <w:tc>
          <w:tcPr>
            <w:tcW w:w="2494" w:type="dxa"/>
          </w:tcPr>
          <w:p w14:paraId="032C86B6"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ort.graphite</w:t>
            </w:r>
            <w:proofErr w:type="gramEnd"/>
            <w:r>
              <w:rPr>
                <w:color w:val="B02045"/>
                <w:sz w:val="21"/>
              </w:rPr>
              <w:t>.tags-as- prefix</w:t>
            </w:r>
          </w:p>
        </w:tc>
        <w:tc>
          <w:tcPr>
            <w:tcW w:w="2494" w:type="dxa"/>
          </w:tcPr>
          <w:p w14:paraId="5E38AC63" w14:textId="77777777" w:rsidR="00A720EB" w:rsidRDefault="0030286B">
            <w:pPr>
              <w:pStyle w:val="TableParagraph"/>
              <w:rPr>
                <w:sz w:val="21"/>
              </w:rPr>
            </w:pPr>
            <w:r>
              <w:rPr>
                <w:color w:val="B02045"/>
                <w:sz w:val="21"/>
              </w:rPr>
              <w:t>[]</w:t>
            </w:r>
          </w:p>
        </w:tc>
        <w:tc>
          <w:tcPr>
            <w:tcW w:w="4988" w:type="dxa"/>
          </w:tcPr>
          <w:p w14:paraId="3F3A3B9E" w14:textId="77777777" w:rsidR="00A720EB" w:rsidRDefault="0030286B">
            <w:pPr>
              <w:pStyle w:val="TableParagraph"/>
              <w:spacing w:before="28" w:line="310" w:lineRule="atLeast"/>
              <w:ind w:right="158"/>
              <w:rPr>
                <w:rFonts w:ascii="Cambria"/>
                <w:sz w:val="21"/>
              </w:rPr>
            </w:pPr>
            <w:r>
              <w:rPr>
                <w:rFonts w:ascii="Cambria"/>
                <w:color w:val="333333"/>
                <w:spacing w:val="-4"/>
                <w:w w:val="110"/>
                <w:sz w:val="21"/>
              </w:rPr>
              <w:t xml:space="preserve">For </w:t>
            </w:r>
            <w:r>
              <w:rPr>
                <w:rFonts w:ascii="Cambria"/>
                <w:color w:val="333333"/>
                <w:w w:val="110"/>
                <w:sz w:val="21"/>
              </w:rPr>
              <w:t>the hierarchical naming convention, turn the specified tag keys into part of the metric prefix. Ignored if "graphiteTagsEnabled" is</w:t>
            </w:r>
            <w:r>
              <w:rPr>
                <w:rFonts w:ascii="Cambria"/>
                <w:color w:val="333333"/>
                <w:spacing w:val="21"/>
                <w:w w:val="110"/>
                <w:sz w:val="21"/>
              </w:rPr>
              <w:t xml:space="preserve"> </w:t>
            </w:r>
            <w:r>
              <w:rPr>
                <w:rFonts w:ascii="Cambria"/>
                <w:color w:val="333333"/>
                <w:w w:val="110"/>
                <w:sz w:val="21"/>
              </w:rPr>
              <w:t>true.</w:t>
            </w:r>
          </w:p>
        </w:tc>
      </w:tr>
      <w:tr w:rsidR="00A720EB" w14:paraId="51913641" w14:textId="77777777">
        <w:trPr>
          <w:trHeight w:val="627"/>
        </w:trPr>
        <w:tc>
          <w:tcPr>
            <w:tcW w:w="2494" w:type="dxa"/>
          </w:tcPr>
          <w:p w14:paraId="0905C6D9" w14:textId="77777777" w:rsidR="00A720EB" w:rsidRDefault="0030286B">
            <w:pPr>
              <w:pStyle w:val="TableParagraph"/>
              <w:spacing w:before="46" w:line="230" w:lineRule="auto"/>
              <w:ind w:right="113"/>
              <w:rPr>
                <w:sz w:val="21"/>
              </w:rPr>
            </w:pPr>
            <w:r>
              <w:rPr>
                <w:color w:val="B02045"/>
                <w:sz w:val="21"/>
              </w:rPr>
              <w:t>management.metrics.exp ort.humio.api-token</w:t>
            </w:r>
          </w:p>
        </w:tc>
        <w:tc>
          <w:tcPr>
            <w:tcW w:w="2494" w:type="dxa"/>
          </w:tcPr>
          <w:p w14:paraId="3DAA1DD7" w14:textId="77777777" w:rsidR="00A720EB" w:rsidRDefault="00A720EB">
            <w:pPr>
              <w:pStyle w:val="TableParagraph"/>
              <w:spacing w:before="0"/>
              <w:ind w:left="0"/>
              <w:rPr>
                <w:rFonts w:ascii="Times New Roman"/>
                <w:sz w:val="20"/>
              </w:rPr>
            </w:pPr>
          </w:p>
        </w:tc>
        <w:tc>
          <w:tcPr>
            <w:tcW w:w="4988" w:type="dxa"/>
          </w:tcPr>
          <w:p w14:paraId="4247A4FC" w14:textId="77777777" w:rsidR="00A720EB" w:rsidRDefault="0030286B">
            <w:pPr>
              <w:pStyle w:val="TableParagraph"/>
              <w:spacing w:before="92"/>
              <w:rPr>
                <w:rFonts w:ascii="Cambria"/>
                <w:sz w:val="21"/>
              </w:rPr>
            </w:pPr>
            <w:r>
              <w:rPr>
                <w:rFonts w:ascii="Cambria"/>
                <w:color w:val="333333"/>
                <w:w w:val="110"/>
                <w:sz w:val="21"/>
              </w:rPr>
              <w:t>Humio API token.</w:t>
            </w:r>
          </w:p>
        </w:tc>
      </w:tr>
      <w:tr w:rsidR="00A720EB" w14:paraId="77732481" w14:textId="77777777">
        <w:trPr>
          <w:trHeight w:val="1056"/>
        </w:trPr>
        <w:tc>
          <w:tcPr>
            <w:tcW w:w="2494" w:type="dxa"/>
          </w:tcPr>
          <w:p w14:paraId="4ADB4C3B"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ort.humio</w:t>
            </w:r>
            <w:proofErr w:type="gramEnd"/>
            <w:r>
              <w:rPr>
                <w:color w:val="B02045"/>
                <w:sz w:val="21"/>
              </w:rPr>
              <w:t>.batch-size</w:t>
            </w:r>
          </w:p>
        </w:tc>
        <w:tc>
          <w:tcPr>
            <w:tcW w:w="2494" w:type="dxa"/>
          </w:tcPr>
          <w:p w14:paraId="5A084D7F" w14:textId="77777777" w:rsidR="00A720EB" w:rsidRDefault="0030286B">
            <w:pPr>
              <w:pStyle w:val="TableParagraph"/>
              <w:spacing w:before="37"/>
              <w:rPr>
                <w:sz w:val="21"/>
              </w:rPr>
            </w:pPr>
            <w:r>
              <w:rPr>
                <w:color w:val="B02045"/>
                <w:sz w:val="21"/>
              </w:rPr>
              <w:t>10000.0</w:t>
            </w:r>
          </w:p>
        </w:tc>
        <w:tc>
          <w:tcPr>
            <w:tcW w:w="4988" w:type="dxa"/>
          </w:tcPr>
          <w:p w14:paraId="0B91E7B8"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024E1E71" w14:textId="77777777">
        <w:trPr>
          <w:trHeight w:val="886"/>
        </w:trPr>
        <w:tc>
          <w:tcPr>
            <w:tcW w:w="2494" w:type="dxa"/>
          </w:tcPr>
          <w:p w14:paraId="174C5E94"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ort.humio</w:t>
            </w:r>
            <w:proofErr w:type="gramEnd"/>
            <w:r>
              <w:rPr>
                <w:color w:val="B02045"/>
                <w:sz w:val="21"/>
              </w:rPr>
              <w:t>.connect- timeout</w:t>
            </w:r>
          </w:p>
        </w:tc>
        <w:tc>
          <w:tcPr>
            <w:tcW w:w="2494" w:type="dxa"/>
          </w:tcPr>
          <w:p w14:paraId="67D51507" w14:textId="77777777" w:rsidR="00A720EB" w:rsidRDefault="0030286B">
            <w:pPr>
              <w:pStyle w:val="TableParagraph"/>
              <w:spacing w:before="37"/>
              <w:rPr>
                <w:sz w:val="21"/>
              </w:rPr>
            </w:pPr>
            <w:r>
              <w:rPr>
                <w:color w:val="B02045"/>
                <w:sz w:val="21"/>
              </w:rPr>
              <w:t>5s</w:t>
            </w:r>
          </w:p>
        </w:tc>
        <w:tc>
          <w:tcPr>
            <w:tcW w:w="4988" w:type="dxa"/>
          </w:tcPr>
          <w:p w14:paraId="74948F65"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0E61A636" w14:textId="77777777">
        <w:trPr>
          <w:trHeight w:val="741"/>
        </w:trPr>
        <w:tc>
          <w:tcPr>
            <w:tcW w:w="2494" w:type="dxa"/>
          </w:tcPr>
          <w:p w14:paraId="09F27533"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ort.humio</w:t>
            </w:r>
            <w:proofErr w:type="gramEnd"/>
            <w:r>
              <w:rPr>
                <w:color w:val="B02045"/>
                <w:sz w:val="21"/>
              </w:rPr>
              <w:t>.enabled</w:t>
            </w:r>
          </w:p>
        </w:tc>
        <w:tc>
          <w:tcPr>
            <w:tcW w:w="2494" w:type="dxa"/>
          </w:tcPr>
          <w:p w14:paraId="3586D616" w14:textId="77777777" w:rsidR="00A720EB" w:rsidRDefault="0030286B">
            <w:pPr>
              <w:pStyle w:val="TableParagraph"/>
              <w:rPr>
                <w:sz w:val="21"/>
              </w:rPr>
            </w:pPr>
            <w:r>
              <w:rPr>
                <w:color w:val="B02045"/>
                <w:sz w:val="21"/>
              </w:rPr>
              <w:t>true</w:t>
            </w:r>
          </w:p>
        </w:tc>
        <w:tc>
          <w:tcPr>
            <w:tcW w:w="4988" w:type="dxa"/>
          </w:tcPr>
          <w:p w14:paraId="10CFC913"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46C3E678" w14:textId="77777777">
        <w:trPr>
          <w:trHeight w:val="627"/>
        </w:trPr>
        <w:tc>
          <w:tcPr>
            <w:tcW w:w="2494" w:type="dxa"/>
          </w:tcPr>
          <w:p w14:paraId="533223F5"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ort.humio</w:t>
            </w:r>
            <w:proofErr w:type="gramEnd"/>
            <w:r>
              <w:rPr>
                <w:color w:val="B02045"/>
                <w:sz w:val="21"/>
              </w:rPr>
              <w:t>.read-timeout</w:t>
            </w:r>
          </w:p>
        </w:tc>
        <w:tc>
          <w:tcPr>
            <w:tcW w:w="2494" w:type="dxa"/>
          </w:tcPr>
          <w:p w14:paraId="459A4CA3" w14:textId="77777777" w:rsidR="00A720EB" w:rsidRDefault="0030286B">
            <w:pPr>
              <w:pStyle w:val="TableParagraph"/>
              <w:spacing w:before="37"/>
              <w:rPr>
                <w:sz w:val="21"/>
              </w:rPr>
            </w:pPr>
            <w:r>
              <w:rPr>
                <w:color w:val="B02045"/>
                <w:sz w:val="21"/>
              </w:rPr>
              <w:t>10s</w:t>
            </w:r>
          </w:p>
        </w:tc>
        <w:tc>
          <w:tcPr>
            <w:tcW w:w="4988" w:type="dxa"/>
          </w:tcPr>
          <w:p w14:paraId="4B7AF2DD"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0AAB963A" w14:textId="77777777">
        <w:trPr>
          <w:trHeight w:val="627"/>
        </w:trPr>
        <w:tc>
          <w:tcPr>
            <w:tcW w:w="2494" w:type="dxa"/>
          </w:tcPr>
          <w:p w14:paraId="646D6FCB"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ort.humio</w:t>
            </w:r>
            <w:proofErr w:type="gramEnd"/>
            <w:r>
              <w:rPr>
                <w:color w:val="B02045"/>
                <w:sz w:val="21"/>
              </w:rPr>
              <w:t>.step</w:t>
            </w:r>
          </w:p>
        </w:tc>
        <w:tc>
          <w:tcPr>
            <w:tcW w:w="2494" w:type="dxa"/>
          </w:tcPr>
          <w:p w14:paraId="5566B5A8" w14:textId="77777777" w:rsidR="00A720EB" w:rsidRDefault="0030286B">
            <w:pPr>
              <w:pStyle w:val="TableParagraph"/>
              <w:spacing w:before="37"/>
              <w:rPr>
                <w:sz w:val="21"/>
              </w:rPr>
            </w:pPr>
            <w:r>
              <w:rPr>
                <w:color w:val="B02045"/>
                <w:sz w:val="21"/>
              </w:rPr>
              <w:t>1m</w:t>
            </w:r>
          </w:p>
        </w:tc>
        <w:tc>
          <w:tcPr>
            <w:tcW w:w="4988" w:type="dxa"/>
          </w:tcPr>
          <w:p w14:paraId="6053D1FC"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3835EAB2" w14:textId="77777777">
        <w:trPr>
          <w:trHeight w:val="1688"/>
        </w:trPr>
        <w:tc>
          <w:tcPr>
            <w:tcW w:w="2494" w:type="dxa"/>
          </w:tcPr>
          <w:p w14:paraId="73AEF533" w14:textId="77777777" w:rsidR="00A720EB" w:rsidRDefault="0030286B">
            <w:pPr>
              <w:pStyle w:val="TableParagraph"/>
              <w:spacing w:before="46" w:line="230" w:lineRule="auto"/>
              <w:ind w:right="94"/>
              <w:rPr>
                <w:sz w:val="21"/>
              </w:rPr>
            </w:pPr>
            <w:r>
              <w:rPr>
                <w:color w:val="B02045"/>
                <w:sz w:val="21"/>
              </w:rPr>
              <w:lastRenderedPageBreak/>
              <w:t xml:space="preserve">management.metrics.exp </w:t>
            </w:r>
            <w:proofErr w:type="gramStart"/>
            <w:r>
              <w:rPr>
                <w:color w:val="B02045"/>
                <w:sz w:val="21"/>
              </w:rPr>
              <w:t>ort.humio</w:t>
            </w:r>
            <w:proofErr w:type="gramEnd"/>
            <w:r>
              <w:rPr>
                <w:color w:val="B02045"/>
                <w:sz w:val="21"/>
              </w:rPr>
              <w:t>.tags.*</w:t>
            </w:r>
          </w:p>
        </w:tc>
        <w:tc>
          <w:tcPr>
            <w:tcW w:w="2494" w:type="dxa"/>
          </w:tcPr>
          <w:p w14:paraId="1A01A655" w14:textId="77777777" w:rsidR="00A720EB" w:rsidRDefault="00A720EB">
            <w:pPr>
              <w:pStyle w:val="TableParagraph"/>
              <w:spacing w:before="0"/>
              <w:ind w:left="0"/>
              <w:rPr>
                <w:rFonts w:ascii="Times New Roman"/>
                <w:sz w:val="20"/>
              </w:rPr>
            </w:pPr>
          </w:p>
        </w:tc>
        <w:tc>
          <w:tcPr>
            <w:tcW w:w="4988" w:type="dxa"/>
          </w:tcPr>
          <w:p w14:paraId="4C56C7A5" w14:textId="77777777" w:rsidR="00A720EB" w:rsidRDefault="0030286B">
            <w:pPr>
              <w:pStyle w:val="TableParagraph"/>
              <w:spacing w:before="92" w:line="307" w:lineRule="auto"/>
              <w:ind w:right="162"/>
              <w:rPr>
                <w:rFonts w:ascii="Cambria"/>
                <w:sz w:val="21"/>
              </w:rPr>
            </w:pPr>
            <w:r>
              <w:rPr>
                <w:rFonts w:ascii="Cambria"/>
                <w:color w:val="333333"/>
                <w:w w:val="110"/>
                <w:sz w:val="21"/>
              </w:rPr>
              <w:t>Humio tags describing the data source in which metrics will be stored. Humio tags are a distinct concept from Micrometer's tags. Micrometer's tags are used to divide metrics along dimensional boundaries.</w:t>
            </w:r>
          </w:p>
        </w:tc>
      </w:tr>
    </w:tbl>
    <w:p w14:paraId="07797BC5"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249A249" w14:textId="77777777">
        <w:trPr>
          <w:trHeight w:val="415"/>
        </w:trPr>
        <w:tc>
          <w:tcPr>
            <w:tcW w:w="2494" w:type="dxa"/>
            <w:tcBorders>
              <w:bottom w:val="single" w:sz="12" w:space="0" w:color="DDDDDD"/>
            </w:tcBorders>
          </w:tcPr>
          <w:p w14:paraId="5A8DE485"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1084A5C0"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BD76BA6"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2D1BBCC" w14:textId="77777777">
        <w:trPr>
          <w:trHeight w:val="1362"/>
        </w:trPr>
        <w:tc>
          <w:tcPr>
            <w:tcW w:w="2494" w:type="dxa"/>
            <w:tcBorders>
              <w:top w:val="single" w:sz="12" w:space="0" w:color="DDDDDD"/>
            </w:tcBorders>
          </w:tcPr>
          <w:p w14:paraId="7DE3A255" w14:textId="77777777" w:rsidR="00A720EB" w:rsidRDefault="0030286B">
            <w:pPr>
              <w:pStyle w:val="TableParagraph"/>
              <w:spacing w:before="36" w:line="230" w:lineRule="auto"/>
              <w:ind w:right="94"/>
              <w:rPr>
                <w:sz w:val="21"/>
              </w:rPr>
            </w:pPr>
            <w:r>
              <w:rPr>
                <w:color w:val="B02045"/>
                <w:sz w:val="21"/>
              </w:rPr>
              <w:t>management.metrics.exp ort.humio.uri</w:t>
            </w:r>
          </w:p>
        </w:tc>
        <w:tc>
          <w:tcPr>
            <w:tcW w:w="2494" w:type="dxa"/>
            <w:tcBorders>
              <w:top w:val="single" w:sz="12" w:space="0" w:color="DDDDDD"/>
            </w:tcBorders>
          </w:tcPr>
          <w:p w14:paraId="20D79296" w14:textId="77777777" w:rsidR="00A720EB" w:rsidRDefault="0030286B">
            <w:pPr>
              <w:pStyle w:val="TableParagraph"/>
              <w:spacing w:before="36" w:line="230" w:lineRule="auto"/>
              <w:ind w:right="94"/>
              <w:rPr>
                <w:sz w:val="21"/>
              </w:rPr>
            </w:pPr>
            <w:r>
              <w:rPr>
                <w:color w:val="B02045"/>
                <w:sz w:val="21"/>
              </w:rPr>
              <w:t>https://cloud.humio.co m</w:t>
            </w:r>
          </w:p>
        </w:tc>
        <w:tc>
          <w:tcPr>
            <w:tcW w:w="4988" w:type="dxa"/>
            <w:tcBorders>
              <w:top w:val="single" w:sz="12" w:space="0" w:color="DDDDDD"/>
            </w:tcBorders>
          </w:tcPr>
          <w:p w14:paraId="091F5A24" w14:textId="77777777" w:rsidR="00A720EB" w:rsidRDefault="0030286B">
            <w:pPr>
              <w:pStyle w:val="TableParagraph"/>
              <w:spacing w:before="18" w:line="310" w:lineRule="atLeast"/>
              <w:ind w:right="162"/>
              <w:rPr>
                <w:rFonts w:ascii="Cambria"/>
                <w:sz w:val="21"/>
              </w:rPr>
            </w:pPr>
            <w:r>
              <w:rPr>
                <w:rFonts w:ascii="Cambria"/>
                <w:color w:val="333333"/>
                <w:w w:val="110"/>
                <w:sz w:val="21"/>
              </w:rPr>
              <w:t>URI to ship metrics to. If you need to publish metrics to an internal proxy en-route to Humio, you can define the location of the proxy with this.</w:t>
            </w:r>
          </w:p>
        </w:tc>
      </w:tr>
      <w:tr w:rsidR="00A720EB" w14:paraId="351412F0" w14:textId="77777777">
        <w:trPr>
          <w:trHeight w:val="1056"/>
        </w:trPr>
        <w:tc>
          <w:tcPr>
            <w:tcW w:w="2494" w:type="dxa"/>
          </w:tcPr>
          <w:p w14:paraId="131E34BD"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.auto- create-db</w:t>
            </w:r>
          </w:p>
        </w:tc>
        <w:tc>
          <w:tcPr>
            <w:tcW w:w="2494" w:type="dxa"/>
          </w:tcPr>
          <w:p w14:paraId="08D9EFE9" w14:textId="77777777" w:rsidR="00A720EB" w:rsidRDefault="0030286B">
            <w:pPr>
              <w:pStyle w:val="TableParagraph"/>
              <w:spacing w:before="37"/>
              <w:rPr>
                <w:sz w:val="21"/>
              </w:rPr>
            </w:pPr>
            <w:r>
              <w:rPr>
                <w:color w:val="B02045"/>
                <w:sz w:val="21"/>
              </w:rPr>
              <w:t>true</w:t>
            </w:r>
          </w:p>
        </w:tc>
        <w:tc>
          <w:tcPr>
            <w:tcW w:w="4988" w:type="dxa"/>
          </w:tcPr>
          <w:p w14:paraId="2BD5686E" w14:textId="77777777" w:rsidR="00A720EB" w:rsidRDefault="0030286B">
            <w:pPr>
              <w:pStyle w:val="TableParagraph"/>
              <w:spacing w:before="28" w:line="310" w:lineRule="atLeast"/>
              <w:ind w:right="44"/>
              <w:rPr>
                <w:rFonts w:ascii="Cambria"/>
                <w:sz w:val="21"/>
              </w:rPr>
            </w:pPr>
            <w:r>
              <w:rPr>
                <w:rFonts w:ascii="Cambria"/>
                <w:color w:val="333333"/>
                <w:w w:val="110"/>
                <w:sz w:val="21"/>
              </w:rPr>
              <w:t>Whether to create the Influx database if it does not exist before attempting to publish metrics to it.</w:t>
            </w:r>
          </w:p>
        </w:tc>
      </w:tr>
      <w:tr w:rsidR="00A720EB" w14:paraId="24C4218F" w14:textId="77777777">
        <w:trPr>
          <w:trHeight w:val="1056"/>
        </w:trPr>
        <w:tc>
          <w:tcPr>
            <w:tcW w:w="2494" w:type="dxa"/>
          </w:tcPr>
          <w:p w14:paraId="5E2745E5"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.batch-size</w:t>
            </w:r>
          </w:p>
        </w:tc>
        <w:tc>
          <w:tcPr>
            <w:tcW w:w="2494" w:type="dxa"/>
          </w:tcPr>
          <w:p w14:paraId="23B151B0" w14:textId="77777777" w:rsidR="00A720EB" w:rsidRDefault="0030286B">
            <w:pPr>
              <w:pStyle w:val="TableParagraph"/>
              <w:rPr>
                <w:sz w:val="21"/>
              </w:rPr>
            </w:pPr>
            <w:r>
              <w:rPr>
                <w:color w:val="B02045"/>
                <w:sz w:val="21"/>
              </w:rPr>
              <w:t>10000.0</w:t>
            </w:r>
          </w:p>
        </w:tc>
        <w:tc>
          <w:tcPr>
            <w:tcW w:w="4988" w:type="dxa"/>
          </w:tcPr>
          <w:p w14:paraId="64978B33"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2B7D51AB" w14:textId="77777777">
        <w:trPr>
          <w:trHeight w:val="741"/>
        </w:trPr>
        <w:tc>
          <w:tcPr>
            <w:tcW w:w="2494" w:type="dxa"/>
          </w:tcPr>
          <w:p w14:paraId="1348325C"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ort.influx</w:t>
            </w:r>
            <w:proofErr w:type="gramEnd"/>
            <w:r>
              <w:rPr>
                <w:color w:val="B02045"/>
                <w:sz w:val="21"/>
              </w:rPr>
              <w:t>.compressed</w:t>
            </w:r>
          </w:p>
        </w:tc>
        <w:tc>
          <w:tcPr>
            <w:tcW w:w="2494" w:type="dxa"/>
          </w:tcPr>
          <w:p w14:paraId="53C0AADE" w14:textId="77777777" w:rsidR="00A720EB" w:rsidRDefault="0030286B">
            <w:pPr>
              <w:pStyle w:val="TableParagraph"/>
              <w:spacing w:before="37"/>
              <w:rPr>
                <w:sz w:val="21"/>
              </w:rPr>
            </w:pPr>
            <w:r>
              <w:rPr>
                <w:color w:val="B02045"/>
                <w:sz w:val="21"/>
              </w:rPr>
              <w:t>true</w:t>
            </w:r>
          </w:p>
        </w:tc>
        <w:tc>
          <w:tcPr>
            <w:tcW w:w="4988" w:type="dxa"/>
          </w:tcPr>
          <w:p w14:paraId="2167F060" w14:textId="77777777" w:rsidR="00A720EB" w:rsidRDefault="0030286B">
            <w:pPr>
              <w:pStyle w:val="TableParagraph"/>
              <w:spacing w:before="28" w:line="310" w:lineRule="atLeast"/>
              <w:rPr>
                <w:rFonts w:ascii="Cambria"/>
                <w:sz w:val="21"/>
              </w:rPr>
            </w:pPr>
            <w:r>
              <w:rPr>
                <w:rFonts w:ascii="Cambria"/>
                <w:color w:val="333333"/>
                <w:w w:val="110"/>
                <w:sz w:val="21"/>
              </w:rPr>
              <w:t>Whether to enable GZIP compression of metrics batches published to Influx.</w:t>
            </w:r>
          </w:p>
        </w:tc>
      </w:tr>
      <w:tr w:rsidR="00A720EB" w14:paraId="5A0813E5" w14:textId="77777777">
        <w:trPr>
          <w:trHeight w:val="886"/>
        </w:trPr>
        <w:tc>
          <w:tcPr>
            <w:tcW w:w="2494" w:type="dxa"/>
          </w:tcPr>
          <w:p w14:paraId="01B2C8D8"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.connect- timeout</w:t>
            </w:r>
          </w:p>
        </w:tc>
        <w:tc>
          <w:tcPr>
            <w:tcW w:w="2494" w:type="dxa"/>
          </w:tcPr>
          <w:p w14:paraId="42CFB107" w14:textId="77777777" w:rsidR="00A720EB" w:rsidRDefault="0030286B">
            <w:pPr>
              <w:pStyle w:val="TableParagraph"/>
              <w:rPr>
                <w:sz w:val="21"/>
              </w:rPr>
            </w:pPr>
            <w:r>
              <w:rPr>
                <w:color w:val="B02045"/>
                <w:sz w:val="21"/>
              </w:rPr>
              <w:t>1s</w:t>
            </w:r>
          </w:p>
        </w:tc>
        <w:tc>
          <w:tcPr>
            <w:tcW w:w="4988" w:type="dxa"/>
          </w:tcPr>
          <w:p w14:paraId="34C739FB"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2827DBC9" w14:textId="77777777">
        <w:trPr>
          <w:trHeight w:val="627"/>
        </w:trPr>
        <w:tc>
          <w:tcPr>
            <w:tcW w:w="2494" w:type="dxa"/>
          </w:tcPr>
          <w:p w14:paraId="02F01D80"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ort.influx</w:t>
            </w:r>
            <w:proofErr w:type="gramEnd"/>
            <w:r>
              <w:rPr>
                <w:color w:val="B02045"/>
                <w:sz w:val="21"/>
              </w:rPr>
              <w:t>.consistency</w:t>
            </w:r>
          </w:p>
        </w:tc>
        <w:tc>
          <w:tcPr>
            <w:tcW w:w="2494" w:type="dxa"/>
          </w:tcPr>
          <w:p w14:paraId="50A85ACA" w14:textId="77777777" w:rsidR="00A720EB" w:rsidRDefault="0030286B">
            <w:pPr>
              <w:pStyle w:val="TableParagraph"/>
              <w:spacing w:before="37"/>
              <w:rPr>
                <w:sz w:val="21"/>
              </w:rPr>
            </w:pPr>
            <w:r>
              <w:rPr>
                <w:color w:val="B02045"/>
                <w:sz w:val="21"/>
              </w:rPr>
              <w:t>one</w:t>
            </w:r>
          </w:p>
        </w:tc>
        <w:tc>
          <w:tcPr>
            <w:tcW w:w="4988" w:type="dxa"/>
          </w:tcPr>
          <w:p w14:paraId="65AFE66D" w14:textId="77777777" w:rsidR="00A720EB" w:rsidRDefault="0030286B">
            <w:pPr>
              <w:pStyle w:val="TableParagraph"/>
              <w:spacing w:before="92"/>
              <w:rPr>
                <w:rFonts w:ascii="Cambria"/>
                <w:sz w:val="21"/>
              </w:rPr>
            </w:pPr>
            <w:r>
              <w:rPr>
                <w:rFonts w:ascii="Cambria"/>
                <w:color w:val="333333"/>
                <w:w w:val="110"/>
                <w:sz w:val="21"/>
              </w:rPr>
              <w:t>Write consistency for each point.</w:t>
            </w:r>
          </w:p>
        </w:tc>
      </w:tr>
      <w:tr w:rsidR="00A720EB" w14:paraId="4872BF94" w14:textId="77777777">
        <w:trPr>
          <w:trHeight w:val="741"/>
        </w:trPr>
        <w:tc>
          <w:tcPr>
            <w:tcW w:w="2494" w:type="dxa"/>
          </w:tcPr>
          <w:p w14:paraId="1C276EFC"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ort.influx</w:t>
            </w:r>
            <w:proofErr w:type="gramEnd"/>
            <w:r>
              <w:rPr>
                <w:color w:val="B02045"/>
                <w:sz w:val="21"/>
              </w:rPr>
              <w:t>.db</w:t>
            </w:r>
          </w:p>
        </w:tc>
        <w:tc>
          <w:tcPr>
            <w:tcW w:w="2494" w:type="dxa"/>
          </w:tcPr>
          <w:p w14:paraId="2FD97F88" w14:textId="77777777" w:rsidR="00A720EB" w:rsidRDefault="0030286B">
            <w:pPr>
              <w:pStyle w:val="TableParagraph"/>
              <w:rPr>
                <w:sz w:val="21"/>
              </w:rPr>
            </w:pPr>
            <w:r>
              <w:rPr>
                <w:color w:val="B02045"/>
                <w:sz w:val="21"/>
              </w:rPr>
              <w:t>mydb</w:t>
            </w:r>
          </w:p>
        </w:tc>
        <w:tc>
          <w:tcPr>
            <w:tcW w:w="4988" w:type="dxa"/>
          </w:tcPr>
          <w:p w14:paraId="45FE50E8" w14:textId="77777777" w:rsidR="00A720EB" w:rsidRDefault="0030286B">
            <w:pPr>
              <w:pStyle w:val="TableParagraph"/>
              <w:spacing w:before="28" w:line="310" w:lineRule="atLeast"/>
              <w:rPr>
                <w:rFonts w:ascii="Cambria"/>
                <w:sz w:val="21"/>
              </w:rPr>
            </w:pPr>
            <w:r>
              <w:rPr>
                <w:rFonts w:ascii="Cambria"/>
                <w:color w:val="333333"/>
                <w:w w:val="110"/>
                <w:sz w:val="21"/>
              </w:rPr>
              <w:t>Tag that will be mapped to "host" when shipping metrics to Influx.</w:t>
            </w:r>
          </w:p>
        </w:tc>
      </w:tr>
      <w:tr w:rsidR="00A720EB" w14:paraId="2DCCB3BA" w14:textId="77777777">
        <w:trPr>
          <w:trHeight w:val="741"/>
        </w:trPr>
        <w:tc>
          <w:tcPr>
            <w:tcW w:w="2494" w:type="dxa"/>
          </w:tcPr>
          <w:p w14:paraId="752C6ECC"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ort.influx</w:t>
            </w:r>
            <w:proofErr w:type="gramEnd"/>
            <w:r>
              <w:rPr>
                <w:color w:val="B02045"/>
                <w:sz w:val="21"/>
              </w:rPr>
              <w:t>.enabled</w:t>
            </w:r>
          </w:p>
        </w:tc>
        <w:tc>
          <w:tcPr>
            <w:tcW w:w="2494" w:type="dxa"/>
          </w:tcPr>
          <w:p w14:paraId="44A386BD" w14:textId="77777777" w:rsidR="00A720EB" w:rsidRDefault="0030286B">
            <w:pPr>
              <w:pStyle w:val="TableParagraph"/>
              <w:rPr>
                <w:sz w:val="21"/>
              </w:rPr>
            </w:pPr>
            <w:r>
              <w:rPr>
                <w:color w:val="B02045"/>
                <w:sz w:val="21"/>
              </w:rPr>
              <w:t>true</w:t>
            </w:r>
          </w:p>
        </w:tc>
        <w:tc>
          <w:tcPr>
            <w:tcW w:w="4988" w:type="dxa"/>
          </w:tcPr>
          <w:p w14:paraId="5074D999"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48351AA1" w14:textId="77777777">
        <w:trPr>
          <w:trHeight w:val="627"/>
        </w:trPr>
        <w:tc>
          <w:tcPr>
            <w:tcW w:w="2494" w:type="dxa"/>
          </w:tcPr>
          <w:p w14:paraId="2117A4B0"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ort.influx</w:t>
            </w:r>
            <w:proofErr w:type="gramEnd"/>
            <w:r>
              <w:rPr>
                <w:color w:val="B02045"/>
                <w:sz w:val="21"/>
              </w:rPr>
              <w:t>.password</w:t>
            </w:r>
          </w:p>
        </w:tc>
        <w:tc>
          <w:tcPr>
            <w:tcW w:w="2494" w:type="dxa"/>
          </w:tcPr>
          <w:p w14:paraId="2315BDAB" w14:textId="77777777" w:rsidR="00A720EB" w:rsidRDefault="00A720EB">
            <w:pPr>
              <w:pStyle w:val="TableParagraph"/>
              <w:spacing w:before="0"/>
              <w:ind w:left="0"/>
              <w:rPr>
                <w:rFonts w:ascii="Times New Roman"/>
                <w:sz w:val="20"/>
              </w:rPr>
            </w:pPr>
          </w:p>
        </w:tc>
        <w:tc>
          <w:tcPr>
            <w:tcW w:w="4988" w:type="dxa"/>
          </w:tcPr>
          <w:p w14:paraId="141A18C6" w14:textId="77777777" w:rsidR="00A720EB" w:rsidRDefault="0030286B">
            <w:pPr>
              <w:pStyle w:val="TableParagraph"/>
              <w:spacing w:before="92"/>
              <w:rPr>
                <w:rFonts w:ascii="Cambria"/>
                <w:sz w:val="21"/>
              </w:rPr>
            </w:pPr>
            <w:r>
              <w:rPr>
                <w:rFonts w:ascii="Cambria"/>
                <w:color w:val="333333"/>
                <w:w w:val="110"/>
                <w:sz w:val="21"/>
              </w:rPr>
              <w:t>Login password of the Influx server.</w:t>
            </w:r>
          </w:p>
        </w:tc>
      </w:tr>
      <w:tr w:rsidR="00A720EB" w14:paraId="6E1B6F78" w14:textId="77777777">
        <w:trPr>
          <w:trHeight w:val="886"/>
        </w:trPr>
        <w:tc>
          <w:tcPr>
            <w:tcW w:w="2494" w:type="dxa"/>
          </w:tcPr>
          <w:p w14:paraId="384B5CE5"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.read- timeout</w:t>
            </w:r>
          </w:p>
        </w:tc>
        <w:tc>
          <w:tcPr>
            <w:tcW w:w="2494" w:type="dxa"/>
          </w:tcPr>
          <w:p w14:paraId="3E377ED4" w14:textId="77777777" w:rsidR="00A720EB" w:rsidRDefault="0030286B">
            <w:pPr>
              <w:pStyle w:val="TableParagraph"/>
              <w:rPr>
                <w:sz w:val="21"/>
              </w:rPr>
            </w:pPr>
            <w:r>
              <w:rPr>
                <w:color w:val="B02045"/>
                <w:sz w:val="21"/>
              </w:rPr>
              <w:t>10s</w:t>
            </w:r>
          </w:p>
        </w:tc>
        <w:tc>
          <w:tcPr>
            <w:tcW w:w="4988" w:type="dxa"/>
          </w:tcPr>
          <w:p w14:paraId="72096959"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6ACFE06E" w14:textId="77777777">
        <w:trPr>
          <w:trHeight w:val="1372"/>
        </w:trPr>
        <w:tc>
          <w:tcPr>
            <w:tcW w:w="2494" w:type="dxa"/>
          </w:tcPr>
          <w:p w14:paraId="2D903D6A"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.retention- duration</w:t>
            </w:r>
          </w:p>
        </w:tc>
        <w:tc>
          <w:tcPr>
            <w:tcW w:w="2494" w:type="dxa"/>
          </w:tcPr>
          <w:p w14:paraId="1190D7DD" w14:textId="77777777" w:rsidR="00A720EB" w:rsidRDefault="00A720EB">
            <w:pPr>
              <w:pStyle w:val="TableParagraph"/>
              <w:spacing w:before="0"/>
              <w:ind w:left="0"/>
              <w:rPr>
                <w:rFonts w:ascii="Times New Roman"/>
                <w:sz w:val="20"/>
              </w:rPr>
            </w:pPr>
          </w:p>
        </w:tc>
        <w:tc>
          <w:tcPr>
            <w:tcW w:w="4988" w:type="dxa"/>
          </w:tcPr>
          <w:p w14:paraId="7CB5F047" w14:textId="77777777" w:rsidR="00A720EB" w:rsidRDefault="0030286B">
            <w:pPr>
              <w:pStyle w:val="TableParagraph"/>
              <w:spacing w:before="28" w:line="310" w:lineRule="atLeast"/>
              <w:ind w:right="73"/>
              <w:rPr>
                <w:rFonts w:ascii="Cambria"/>
                <w:sz w:val="21"/>
              </w:rPr>
            </w:pPr>
            <w:r>
              <w:rPr>
                <w:rFonts w:ascii="Cambria"/>
                <w:color w:val="333333"/>
                <w:w w:val="110"/>
                <w:sz w:val="21"/>
              </w:rPr>
              <w:t xml:space="preserve">Time period for which Influx should retain data in the current database. </w:t>
            </w:r>
            <w:r>
              <w:rPr>
                <w:rFonts w:ascii="Cambria"/>
                <w:color w:val="333333"/>
                <w:spacing w:val="-4"/>
                <w:w w:val="110"/>
                <w:sz w:val="21"/>
              </w:rPr>
              <w:t xml:space="preserve">For </w:t>
            </w:r>
            <w:proofErr w:type="gramStart"/>
            <w:r>
              <w:rPr>
                <w:rFonts w:ascii="Cambria"/>
                <w:color w:val="333333"/>
                <w:w w:val="110"/>
                <w:sz w:val="21"/>
              </w:rPr>
              <w:t>instance</w:t>
            </w:r>
            <w:proofErr w:type="gramEnd"/>
            <w:r>
              <w:rPr>
                <w:rFonts w:ascii="Cambria"/>
                <w:color w:val="333333"/>
                <w:w w:val="110"/>
                <w:sz w:val="21"/>
              </w:rPr>
              <w:t xml:space="preserve"> 7d, check the influx documentation for more details on the duration</w:t>
            </w:r>
            <w:r>
              <w:rPr>
                <w:rFonts w:ascii="Cambria"/>
                <w:color w:val="333333"/>
                <w:spacing w:val="2"/>
                <w:w w:val="110"/>
                <w:sz w:val="21"/>
              </w:rPr>
              <w:t xml:space="preserve"> </w:t>
            </w:r>
            <w:r>
              <w:rPr>
                <w:rFonts w:ascii="Cambria"/>
                <w:color w:val="333333"/>
                <w:w w:val="110"/>
                <w:sz w:val="21"/>
              </w:rPr>
              <w:t>format.</w:t>
            </w:r>
          </w:p>
        </w:tc>
      </w:tr>
      <w:tr w:rsidR="00A720EB" w14:paraId="178A5C3B" w14:textId="77777777">
        <w:trPr>
          <w:trHeight w:val="886"/>
        </w:trPr>
        <w:tc>
          <w:tcPr>
            <w:tcW w:w="2494" w:type="dxa"/>
          </w:tcPr>
          <w:p w14:paraId="43E1D9EA"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.retention- policy</w:t>
            </w:r>
          </w:p>
        </w:tc>
        <w:tc>
          <w:tcPr>
            <w:tcW w:w="2494" w:type="dxa"/>
          </w:tcPr>
          <w:p w14:paraId="4A71CCE2" w14:textId="77777777" w:rsidR="00A720EB" w:rsidRDefault="00A720EB">
            <w:pPr>
              <w:pStyle w:val="TableParagraph"/>
              <w:spacing w:before="0"/>
              <w:ind w:left="0"/>
              <w:rPr>
                <w:rFonts w:ascii="Times New Roman"/>
                <w:sz w:val="20"/>
              </w:rPr>
            </w:pPr>
          </w:p>
        </w:tc>
        <w:tc>
          <w:tcPr>
            <w:tcW w:w="4988" w:type="dxa"/>
          </w:tcPr>
          <w:p w14:paraId="0ACDE301" w14:textId="77777777" w:rsidR="00A720EB" w:rsidRDefault="0030286B">
            <w:pPr>
              <w:pStyle w:val="TableParagraph"/>
              <w:spacing w:before="92" w:line="307" w:lineRule="auto"/>
              <w:rPr>
                <w:rFonts w:ascii="Cambria"/>
                <w:sz w:val="21"/>
              </w:rPr>
            </w:pPr>
            <w:r>
              <w:rPr>
                <w:rFonts w:ascii="Cambria"/>
                <w:color w:val="333333"/>
                <w:w w:val="110"/>
                <w:sz w:val="21"/>
              </w:rPr>
              <w:t>Retention policy to use (Influx writes to the DEFAULT retention policy if one is not specified).</w:t>
            </w:r>
          </w:p>
        </w:tc>
      </w:tr>
      <w:tr w:rsidR="00A720EB" w14:paraId="1CA6AF51" w14:textId="77777777">
        <w:trPr>
          <w:trHeight w:val="886"/>
        </w:trPr>
        <w:tc>
          <w:tcPr>
            <w:tcW w:w="2494" w:type="dxa"/>
          </w:tcPr>
          <w:p w14:paraId="3201061F"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.retention- replication-factor</w:t>
            </w:r>
          </w:p>
        </w:tc>
        <w:tc>
          <w:tcPr>
            <w:tcW w:w="2494" w:type="dxa"/>
          </w:tcPr>
          <w:p w14:paraId="6C54A010" w14:textId="77777777" w:rsidR="00A720EB" w:rsidRDefault="00A720EB">
            <w:pPr>
              <w:pStyle w:val="TableParagraph"/>
              <w:spacing w:before="0"/>
              <w:ind w:left="0"/>
              <w:rPr>
                <w:rFonts w:ascii="Times New Roman"/>
                <w:sz w:val="20"/>
              </w:rPr>
            </w:pPr>
          </w:p>
        </w:tc>
        <w:tc>
          <w:tcPr>
            <w:tcW w:w="4988" w:type="dxa"/>
          </w:tcPr>
          <w:p w14:paraId="058D66A0" w14:textId="77777777" w:rsidR="00A720EB" w:rsidRDefault="0030286B">
            <w:pPr>
              <w:pStyle w:val="TableParagraph"/>
              <w:spacing w:before="92" w:line="307" w:lineRule="auto"/>
              <w:rPr>
                <w:rFonts w:ascii="Cambria"/>
                <w:sz w:val="21"/>
              </w:rPr>
            </w:pPr>
            <w:r>
              <w:rPr>
                <w:rFonts w:ascii="Cambria"/>
                <w:color w:val="333333"/>
                <w:w w:val="110"/>
                <w:sz w:val="21"/>
              </w:rPr>
              <w:t xml:space="preserve">How many copies of the data are stored in the </w:t>
            </w:r>
            <w:proofErr w:type="gramStart"/>
            <w:r>
              <w:rPr>
                <w:rFonts w:ascii="Cambria"/>
                <w:color w:val="333333"/>
                <w:w w:val="110"/>
                <w:sz w:val="21"/>
              </w:rPr>
              <w:t>cluster.</w:t>
            </w:r>
            <w:proofErr w:type="gramEnd"/>
            <w:r>
              <w:rPr>
                <w:rFonts w:ascii="Cambria"/>
                <w:color w:val="333333"/>
                <w:w w:val="110"/>
                <w:sz w:val="21"/>
              </w:rPr>
              <w:t xml:space="preserve"> Must be 1 for a single node instance.</w:t>
            </w:r>
          </w:p>
        </w:tc>
      </w:tr>
      <w:tr w:rsidR="00A720EB" w14:paraId="0B2474EA" w14:textId="77777777">
        <w:trPr>
          <w:trHeight w:val="1056"/>
        </w:trPr>
        <w:tc>
          <w:tcPr>
            <w:tcW w:w="2494" w:type="dxa"/>
          </w:tcPr>
          <w:p w14:paraId="41A069D4"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.retention- shard-duration</w:t>
            </w:r>
          </w:p>
        </w:tc>
        <w:tc>
          <w:tcPr>
            <w:tcW w:w="2494" w:type="dxa"/>
          </w:tcPr>
          <w:p w14:paraId="4208B4B8" w14:textId="77777777" w:rsidR="00A720EB" w:rsidRDefault="00A720EB">
            <w:pPr>
              <w:pStyle w:val="TableParagraph"/>
              <w:spacing w:before="0"/>
              <w:ind w:left="0"/>
              <w:rPr>
                <w:rFonts w:ascii="Times New Roman"/>
                <w:sz w:val="20"/>
              </w:rPr>
            </w:pPr>
          </w:p>
        </w:tc>
        <w:tc>
          <w:tcPr>
            <w:tcW w:w="4988" w:type="dxa"/>
          </w:tcPr>
          <w:p w14:paraId="6309D45A" w14:textId="77777777" w:rsidR="00A720EB" w:rsidRDefault="0030286B">
            <w:pPr>
              <w:pStyle w:val="TableParagraph"/>
              <w:spacing w:before="28" w:line="310" w:lineRule="atLeast"/>
              <w:rPr>
                <w:rFonts w:ascii="Cambria"/>
                <w:sz w:val="21"/>
              </w:rPr>
            </w:pPr>
            <w:r>
              <w:rPr>
                <w:rFonts w:ascii="Cambria"/>
                <w:color w:val="333333"/>
                <w:w w:val="110"/>
                <w:sz w:val="21"/>
              </w:rPr>
              <w:t xml:space="preserve">Time range covered by a shard group. For </w:t>
            </w:r>
            <w:proofErr w:type="gramStart"/>
            <w:r>
              <w:rPr>
                <w:rFonts w:ascii="Cambria"/>
                <w:color w:val="333333"/>
                <w:w w:val="110"/>
                <w:sz w:val="21"/>
              </w:rPr>
              <w:t>instance</w:t>
            </w:r>
            <w:proofErr w:type="gramEnd"/>
            <w:r>
              <w:rPr>
                <w:rFonts w:ascii="Cambria"/>
                <w:color w:val="333333"/>
                <w:w w:val="110"/>
                <w:sz w:val="21"/>
              </w:rPr>
              <w:t xml:space="preserve"> 2w, check the influx documentation for more details on the duration format.</w:t>
            </w:r>
          </w:p>
        </w:tc>
      </w:tr>
      <w:tr w:rsidR="00A720EB" w14:paraId="6437796E" w14:textId="77777777">
        <w:trPr>
          <w:trHeight w:val="627"/>
        </w:trPr>
        <w:tc>
          <w:tcPr>
            <w:tcW w:w="2494" w:type="dxa"/>
          </w:tcPr>
          <w:p w14:paraId="10A5DDEC" w14:textId="77777777" w:rsidR="00A720EB" w:rsidRDefault="0030286B">
            <w:pPr>
              <w:pStyle w:val="TableParagraph"/>
              <w:spacing w:before="46" w:line="230" w:lineRule="auto"/>
              <w:ind w:right="94"/>
              <w:rPr>
                <w:sz w:val="21"/>
              </w:rPr>
            </w:pPr>
            <w:r>
              <w:rPr>
                <w:color w:val="B02045"/>
                <w:sz w:val="21"/>
              </w:rPr>
              <w:lastRenderedPageBreak/>
              <w:t xml:space="preserve">management.metrics.exp </w:t>
            </w:r>
            <w:proofErr w:type="gramStart"/>
            <w:r>
              <w:rPr>
                <w:color w:val="B02045"/>
                <w:sz w:val="21"/>
              </w:rPr>
              <w:t>ort.influx</w:t>
            </w:r>
            <w:proofErr w:type="gramEnd"/>
            <w:r>
              <w:rPr>
                <w:color w:val="B02045"/>
                <w:sz w:val="21"/>
              </w:rPr>
              <w:t>.step</w:t>
            </w:r>
          </w:p>
        </w:tc>
        <w:tc>
          <w:tcPr>
            <w:tcW w:w="2494" w:type="dxa"/>
          </w:tcPr>
          <w:p w14:paraId="463F60F4" w14:textId="77777777" w:rsidR="00A720EB" w:rsidRDefault="0030286B">
            <w:pPr>
              <w:pStyle w:val="TableParagraph"/>
              <w:rPr>
                <w:sz w:val="21"/>
              </w:rPr>
            </w:pPr>
            <w:r>
              <w:rPr>
                <w:color w:val="B02045"/>
                <w:sz w:val="21"/>
              </w:rPr>
              <w:t>1m</w:t>
            </w:r>
          </w:p>
        </w:tc>
        <w:tc>
          <w:tcPr>
            <w:tcW w:w="4988" w:type="dxa"/>
          </w:tcPr>
          <w:p w14:paraId="08774FA7"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2CA8456C" w14:textId="77777777">
        <w:trPr>
          <w:trHeight w:val="627"/>
        </w:trPr>
        <w:tc>
          <w:tcPr>
            <w:tcW w:w="2494" w:type="dxa"/>
          </w:tcPr>
          <w:p w14:paraId="3F3A60E7" w14:textId="77777777" w:rsidR="00A720EB" w:rsidRDefault="0030286B">
            <w:pPr>
              <w:pStyle w:val="TableParagraph"/>
              <w:spacing w:before="46" w:line="230" w:lineRule="auto"/>
              <w:ind w:right="94"/>
              <w:rPr>
                <w:sz w:val="21"/>
              </w:rPr>
            </w:pPr>
            <w:r>
              <w:rPr>
                <w:color w:val="B02045"/>
                <w:sz w:val="21"/>
              </w:rPr>
              <w:t>management.metrics.exp ort.influx.uri</w:t>
            </w:r>
          </w:p>
        </w:tc>
        <w:tc>
          <w:tcPr>
            <w:tcW w:w="2494" w:type="dxa"/>
          </w:tcPr>
          <w:p w14:paraId="3DA465FE" w14:textId="77777777" w:rsidR="00A720EB" w:rsidRDefault="0030286B">
            <w:pPr>
              <w:pStyle w:val="TableParagraph"/>
              <w:rPr>
                <w:sz w:val="21"/>
              </w:rPr>
            </w:pPr>
            <w:r>
              <w:rPr>
                <w:color w:val="B02045"/>
                <w:sz w:val="21"/>
              </w:rPr>
              <w:t>http://localhost:8086</w:t>
            </w:r>
          </w:p>
        </w:tc>
        <w:tc>
          <w:tcPr>
            <w:tcW w:w="4988" w:type="dxa"/>
          </w:tcPr>
          <w:p w14:paraId="66E9A693" w14:textId="77777777" w:rsidR="00A720EB" w:rsidRDefault="0030286B">
            <w:pPr>
              <w:pStyle w:val="TableParagraph"/>
              <w:spacing w:before="92"/>
              <w:rPr>
                <w:rFonts w:ascii="Cambria"/>
                <w:sz w:val="21"/>
              </w:rPr>
            </w:pPr>
            <w:r>
              <w:rPr>
                <w:rFonts w:ascii="Cambria"/>
                <w:color w:val="333333"/>
                <w:w w:val="110"/>
                <w:sz w:val="21"/>
              </w:rPr>
              <w:t>URI of the Influx server.</w:t>
            </w:r>
          </w:p>
        </w:tc>
      </w:tr>
    </w:tbl>
    <w:p w14:paraId="4E7C08EA"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82295B6" w14:textId="77777777">
        <w:trPr>
          <w:trHeight w:val="415"/>
        </w:trPr>
        <w:tc>
          <w:tcPr>
            <w:tcW w:w="2494" w:type="dxa"/>
            <w:tcBorders>
              <w:bottom w:val="single" w:sz="12" w:space="0" w:color="DDDDDD"/>
            </w:tcBorders>
          </w:tcPr>
          <w:p w14:paraId="076EDA3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2B553D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15DD78A"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298A2AD" w14:textId="77777777">
        <w:trPr>
          <w:trHeight w:val="617"/>
        </w:trPr>
        <w:tc>
          <w:tcPr>
            <w:tcW w:w="2494" w:type="dxa"/>
            <w:tcBorders>
              <w:top w:val="single" w:sz="12" w:space="0" w:color="DDDDDD"/>
            </w:tcBorders>
          </w:tcPr>
          <w:p w14:paraId="71D63304" w14:textId="77777777" w:rsidR="00A720EB" w:rsidRDefault="0030286B">
            <w:pPr>
              <w:pStyle w:val="TableParagraph"/>
              <w:spacing w:before="36" w:line="230" w:lineRule="auto"/>
              <w:ind w:right="113"/>
              <w:rPr>
                <w:sz w:val="21"/>
              </w:rPr>
            </w:pPr>
            <w:r>
              <w:rPr>
                <w:color w:val="B02045"/>
                <w:sz w:val="21"/>
              </w:rPr>
              <w:t xml:space="preserve">management.metrics.exp </w:t>
            </w:r>
            <w:proofErr w:type="gramStart"/>
            <w:r>
              <w:rPr>
                <w:color w:val="B02045"/>
                <w:sz w:val="21"/>
              </w:rPr>
              <w:t>ort.influx</w:t>
            </w:r>
            <w:proofErr w:type="gramEnd"/>
            <w:r>
              <w:rPr>
                <w:color w:val="B02045"/>
                <w:sz w:val="21"/>
              </w:rPr>
              <w:t>.user-name</w:t>
            </w:r>
          </w:p>
        </w:tc>
        <w:tc>
          <w:tcPr>
            <w:tcW w:w="2494" w:type="dxa"/>
            <w:tcBorders>
              <w:top w:val="single" w:sz="12" w:space="0" w:color="DDDDDD"/>
            </w:tcBorders>
          </w:tcPr>
          <w:p w14:paraId="417020BB"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05A47E94" w14:textId="77777777" w:rsidR="00A720EB" w:rsidRDefault="0030286B">
            <w:pPr>
              <w:pStyle w:val="TableParagraph"/>
              <w:spacing w:before="82"/>
              <w:rPr>
                <w:rFonts w:ascii="Cambria"/>
                <w:sz w:val="21"/>
              </w:rPr>
            </w:pPr>
            <w:r>
              <w:rPr>
                <w:rFonts w:ascii="Cambria"/>
                <w:color w:val="333333"/>
                <w:w w:val="115"/>
                <w:sz w:val="21"/>
              </w:rPr>
              <w:t>Login user of the Influx server.</w:t>
            </w:r>
          </w:p>
        </w:tc>
      </w:tr>
      <w:tr w:rsidR="00A720EB" w14:paraId="7CAB78CE" w14:textId="77777777">
        <w:trPr>
          <w:trHeight w:val="627"/>
        </w:trPr>
        <w:tc>
          <w:tcPr>
            <w:tcW w:w="2494" w:type="dxa"/>
          </w:tcPr>
          <w:p w14:paraId="04A56F17"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ort.jmx.domain</w:t>
            </w:r>
            <w:proofErr w:type="gramEnd"/>
          </w:p>
        </w:tc>
        <w:tc>
          <w:tcPr>
            <w:tcW w:w="2494" w:type="dxa"/>
          </w:tcPr>
          <w:p w14:paraId="59A36739" w14:textId="77777777" w:rsidR="00A720EB" w:rsidRDefault="0030286B">
            <w:pPr>
              <w:pStyle w:val="TableParagraph"/>
              <w:spacing w:before="37"/>
              <w:rPr>
                <w:sz w:val="21"/>
              </w:rPr>
            </w:pPr>
            <w:r>
              <w:rPr>
                <w:color w:val="B02045"/>
                <w:sz w:val="21"/>
              </w:rPr>
              <w:t>metrics</w:t>
            </w:r>
          </w:p>
        </w:tc>
        <w:tc>
          <w:tcPr>
            <w:tcW w:w="4988" w:type="dxa"/>
          </w:tcPr>
          <w:p w14:paraId="6CBBD371" w14:textId="77777777" w:rsidR="00A720EB" w:rsidRDefault="0030286B">
            <w:pPr>
              <w:pStyle w:val="TableParagraph"/>
              <w:spacing w:before="92"/>
              <w:rPr>
                <w:rFonts w:ascii="Cambria"/>
                <w:sz w:val="21"/>
              </w:rPr>
            </w:pPr>
            <w:r>
              <w:rPr>
                <w:rFonts w:ascii="Cambria"/>
                <w:color w:val="333333"/>
                <w:w w:val="115"/>
                <w:sz w:val="21"/>
              </w:rPr>
              <w:t>Metrics JMX domain name.</w:t>
            </w:r>
          </w:p>
        </w:tc>
      </w:tr>
      <w:tr w:rsidR="00A720EB" w14:paraId="3A728B32" w14:textId="77777777">
        <w:trPr>
          <w:trHeight w:val="627"/>
        </w:trPr>
        <w:tc>
          <w:tcPr>
            <w:tcW w:w="2494" w:type="dxa"/>
          </w:tcPr>
          <w:p w14:paraId="59466042"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ort.jmx.enabled</w:t>
            </w:r>
            <w:proofErr w:type="gramEnd"/>
          </w:p>
        </w:tc>
        <w:tc>
          <w:tcPr>
            <w:tcW w:w="2494" w:type="dxa"/>
          </w:tcPr>
          <w:p w14:paraId="7BE7B3B1" w14:textId="77777777" w:rsidR="00A720EB" w:rsidRDefault="0030286B">
            <w:pPr>
              <w:pStyle w:val="TableParagraph"/>
              <w:rPr>
                <w:sz w:val="21"/>
              </w:rPr>
            </w:pPr>
            <w:r>
              <w:rPr>
                <w:color w:val="B02045"/>
                <w:sz w:val="21"/>
              </w:rPr>
              <w:t>true</w:t>
            </w:r>
          </w:p>
        </w:tc>
        <w:tc>
          <w:tcPr>
            <w:tcW w:w="4988" w:type="dxa"/>
          </w:tcPr>
          <w:p w14:paraId="02E586D7" w14:textId="77777777" w:rsidR="00A720EB" w:rsidRDefault="0030286B">
            <w:pPr>
              <w:pStyle w:val="TableParagraph"/>
              <w:spacing w:before="92"/>
              <w:rPr>
                <w:rFonts w:ascii="Cambria"/>
                <w:sz w:val="21"/>
              </w:rPr>
            </w:pPr>
            <w:r>
              <w:rPr>
                <w:rFonts w:ascii="Cambria"/>
                <w:color w:val="333333"/>
                <w:w w:val="110"/>
                <w:sz w:val="21"/>
              </w:rPr>
              <w:t>Whether exporting of metrics to JMX is enabled.</w:t>
            </w:r>
          </w:p>
        </w:tc>
      </w:tr>
      <w:tr w:rsidR="00A720EB" w14:paraId="2E9E19EE" w14:textId="77777777">
        <w:trPr>
          <w:trHeight w:val="627"/>
        </w:trPr>
        <w:tc>
          <w:tcPr>
            <w:tcW w:w="2494" w:type="dxa"/>
          </w:tcPr>
          <w:p w14:paraId="5752D3A2"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ort.jmx.step</w:t>
            </w:r>
            <w:proofErr w:type="gramEnd"/>
          </w:p>
        </w:tc>
        <w:tc>
          <w:tcPr>
            <w:tcW w:w="2494" w:type="dxa"/>
          </w:tcPr>
          <w:p w14:paraId="1F8DCFDC" w14:textId="77777777" w:rsidR="00A720EB" w:rsidRDefault="0030286B">
            <w:pPr>
              <w:pStyle w:val="TableParagraph"/>
              <w:rPr>
                <w:sz w:val="21"/>
              </w:rPr>
            </w:pPr>
            <w:r>
              <w:rPr>
                <w:color w:val="B02045"/>
                <w:sz w:val="21"/>
              </w:rPr>
              <w:t>1m</w:t>
            </w:r>
          </w:p>
        </w:tc>
        <w:tc>
          <w:tcPr>
            <w:tcW w:w="4988" w:type="dxa"/>
          </w:tcPr>
          <w:p w14:paraId="1E6BF4E1"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25B6405F" w14:textId="77777777">
        <w:trPr>
          <w:trHeight w:val="1056"/>
        </w:trPr>
        <w:tc>
          <w:tcPr>
            <w:tcW w:w="2494" w:type="dxa"/>
          </w:tcPr>
          <w:p w14:paraId="0255902A"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ort.kairos</w:t>
            </w:r>
            <w:proofErr w:type="gramEnd"/>
            <w:r>
              <w:rPr>
                <w:color w:val="B02045"/>
                <w:sz w:val="21"/>
              </w:rPr>
              <w:t>.batch-size</w:t>
            </w:r>
          </w:p>
        </w:tc>
        <w:tc>
          <w:tcPr>
            <w:tcW w:w="2494" w:type="dxa"/>
          </w:tcPr>
          <w:p w14:paraId="2788406D" w14:textId="77777777" w:rsidR="00A720EB" w:rsidRDefault="0030286B">
            <w:pPr>
              <w:pStyle w:val="TableParagraph"/>
              <w:spacing w:before="37"/>
              <w:rPr>
                <w:sz w:val="21"/>
              </w:rPr>
            </w:pPr>
            <w:r>
              <w:rPr>
                <w:color w:val="B02045"/>
                <w:sz w:val="21"/>
              </w:rPr>
              <w:t>10000.0</w:t>
            </w:r>
          </w:p>
        </w:tc>
        <w:tc>
          <w:tcPr>
            <w:tcW w:w="4988" w:type="dxa"/>
          </w:tcPr>
          <w:p w14:paraId="311C4CAC"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1E2E6163" w14:textId="77777777">
        <w:trPr>
          <w:trHeight w:val="886"/>
        </w:trPr>
        <w:tc>
          <w:tcPr>
            <w:tcW w:w="2494" w:type="dxa"/>
          </w:tcPr>
          <w:p w14:paraId="5BD046D7"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ort.kairos</w:t>
            </w:r>
            <w:proofErr w:type="gramEnd"/>
            <w:r>
              <w:rPr>
                <w:color w:val="B02045"/>
                <w:sz w:val="21"/>
              </w:rPr>
              <w:t>.connect- timeout</w:t>
            </w:r>
          </w:p>
        </w:tc>
        <w:tc>
          <w:tcPr>
            <w:tcW w:w="2494" w:type="dxa"/>
          </w:tcPr>
          <w:p w14:paraId="603A8723" w14:textId="77777777" w:rsidR="00A720EB" w:rsidRDefault="0030286B">
            <w:pPr>
              <w:pStyle w:val="TableParagraph"/>
              <w:rPr>
                <w:sz w:val="21"/>
              </w:rPr>
            </w:pPr>
            <w:r>
              <w:rPr>
                <w:color w:val="B02045"/>
                <w:sz w:val="21"/>
              </w:rPr>
              <w:t>1s</w:t>
            </w:r>
          </w:p>
        </w:tc>
        <w:tc>
          <w:tcPr>
            <w:tcW w:w="4988" w:type="dxa"/>
          </w:tcPr>
          <w:p w14:paraId="405F2C2C"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12031594" w14:textId="77777777">
        <w:trPr>
          <w:trHeight w:val="741"/>
        </w:trPr>
        <w:tc>
          <w:tcPr>
            <w:tcW w:w="2494" w:type="dxa"/>
          </w:tcPr>
          <w:p w14:paraId="745ADECA"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ort.kairos</w:t>
            </w:r>
            <w:proofErr w:type="gramEnd"/>
            <w:r>
              <w:rPr>
                <w:color w:val="B02045"/>
                <w:sz w:val="21"/>
              </w:rPr>
              <w:t>.enabled</w:t>
            </w:r>
          </w:p>
        </w:tc>
        <w:tc>
          <w:tcPr>
            <w:tcW w:w="2494" w:type="dxa"/>
          </w:tcPr>
          <w:p w14:paraId="5D21E4B1" w14:textId="77777777" w:rsidR="00A720EB" w:rsidRDefault="0030286B">
            <w:pPr>
              <w:pStyle w:val="TableParagraph"/>
              <w:rPr>
                <w:sz w:val="21"/>
              </w:rPr>
            </w:pPr>
            <w:r>
              <w:rPr>
                <w:color w:val="B02045"/>
                <w:sz w:val="21"/>
              </w:rPr>
              <w:t>true</w:t>
            </w:r>
          </w:p>
        </w:tc>
        <w:tc>
          <w:tcPr>
            <w:tcW w:w="4988" w:type="dxa"/>
          </w:tcPr>
          <w:p w14:paraId="784F3722"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5404BEFF" w14:textId="77777777">
        <w:trPr>
          <w:trHeight w:val="627"/>
        </w:trPr>
        <w:tc>
          <w:tcPr>
            <w:tcW w:w="2494" w:type="dxa"/>
          </w:tcPr>
          <w:p w14:paraId="1B5F9CEB"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ort.kairos</w:t>
            </w:r>
            <w:proofErr w:type="gramEnd"/>
            <w:r>
              <w:rPr>
                <w:color w:val="B02045"/>
                <w:sz w:val="21"/>
              </w:rPr>
              <w:t>.password</w:t>
            </w:r>
          </w:p>
        </w:tc>
        <w:tc>
          <w:tcPr>
            <w:tcW w:w="2494" w:type="dxa"/>
          </w:tcPr>
          <w:p w14:paraId="3E13A828" w14:textId="77777777" w:rsidR="00A720EB" w:rsidRDefault="00A720EB">
            <w:pPr>
              <w:pStyle w:val="TableParagraph"/>
              <w:spacing w:before="0"/>
              <w:ind w:left="0"/>
              <w:rPr>
                <w:rFonts w:ascii="Times New Roman"/>
                <w:sz w:val="20"/>
              </w:rPr>
            </w:pPr>
          </w:p>
        </w:tc>
        <w:tc>
          <w:tcPr>
            <w:tcW w:w="4988" w:type="dxa"/>
          </w:tcPr>
          <w:p w14:paraId="1326D6A2" w14:textId="77777777" w:rsidR="00A720EB" w:rsidRDefault="0030286B">
            <w:pPr>
              <w:pStyle w:val="TableParagraph"/>
              <w:spacing w:before="92"/>
              <w:rPr>
                <w:rFonts w:ascii="Cambria"/>
                <w:sz w:val="21"/>
              </w:rPr>
            </w:pPr>
            <w:r>
              <w:rPr>
                <w:rFonts w:ascii="Cambria"/>
                <w:color w:val="333333"/>
                <w:w w:val="110"/>
                <w:sz w:val="21"/>
              </w:rPr>
              <w:t>Login password of the KairosDB server.</w:t>
            </w:r>
          </w:p>
        </w:tc>
      </w:tr>
      <w:tr w:rsidR="00A720EB" w14:paraId="00C3771F" w14:textId="77777777">
        <w:trPr>
          <w:trHeight w:val="886"/>
        </w:trPr>
        <w:tc>
          <w:tcPr>
            <w:tcW w:w="2494" w:type="dxa"/>
          </w:tcPr>
          <w:p w14:paraId="552014AD"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ort.kairos</w:t>
            </w:r>
            <w:proofErr w:type="gramEnd"/>
            <w:r>
              <w:rPr>
                <w:color w:val="B02045"/>
                <w:sz w:val="21"/>
              </w:rPr>
              <w:t>.read- timeout</w:t>
            </w:r>
          </w:p>
        </w:tc>
        <w:tc>
          <w:tcPr>
            <w:tcW w:w="2494" w:type="dxa"/>
          </w:tcPr>
          <w:p w14:paraId="4AC61B18" w14:textId="77777777" w:rsidR="00A720EB" w:rsidRDefault="0030286B">
            <w:pPr>
              <w:pStyle w:val="TableParagraph"/>
              <w:rPr>
                <w:sz w:val="21"/>
              </w:rPr>
            </w:pPr>
            <w:r>
              <w:rPr>
                <w:color w:val="B02045"/>
                <w:sz w:val="21"/>
              </w:rPr>
              <w:t>10s</w:t>
            </w:r>
          </w:p>
        </w:tc>
        <w:tc>
          <w:tcPr>
            <w:tcW w:w="4988" w:type="dxa"/>
          </w:tcPr>
          <w:p w14:paraId="2D0A574A"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7BC14178" w14:textId="77777777">
        <w:trPr>
          <w:trHeight w:val="627"/>
        </w:trPr>
        <w:tc>
          <w:tcPr>
            <w:tcW w:w="2494" w:type="dxa"/>
          </w:tcPr>
          <w:p w14:paraId="65BD8D71"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ort.kairos</w:t>
            </w:r>
            <w:proofErr w:type="gramEnd"/>
            <w:r>
              <w:rPr>
                <w:color w:val="B02045"/>
                <w:sz w:val="21"/>
              </w:rPr>
              <w:t>.step</w:t>
            </w:r>
          </w:p>
        </w:tc>
        <w:tc>
          <w:tcPr>
            <w:tcW w:w="2494" w:type="dxa"/>
          </w:tcPr>
          <w:p w14:paraId="33E81633" w14:textId="77777777" w:rsidR="00A720EB" w:rsidRDefault="0030286B">
            <w:pPr>
              <w:pStyle w:val="TableParagraph"/>
              <w:rPr>
                <w:sz w:val="21"/>
              </w:rPr>
            </w:pPr>
            <w:r>
              <w:rPr>
                <w:color w:val="B02045"/>
                <w:sz w:val="21"/>
              </w:rPr>
              <w:t>1m</w:t>
            </w:r>
          </w:p>
        </w:tc>
        <w:tc>
          <w:tcPr>
            <w:tcW w:w="4988" w:type="dxa"/>
          </w:tcPr>
          <w:p w14:paraId="69A861EA"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7A8DDE0D" w14:textId="77777777">
        <w:trPr>
          <w:trHeight w:val="627"/>
        </w:trPr>
        <w:tc>
          <w:tcPr>
            <w:tcW w:w="2494" w:type="dxa"/>
          </w:tcPr>
          <w:p w14:paraId="3FF99546" w14:textId="77777777" w:rsidR="00A720EB" w:rsidRDefault="0030286B">
            <w:pPr>
              <w:pStyle w:val="TableParagraph"/>
              <w:spacing w:before="46" w:line="230" w:lineRule="auto"/>
              <w:ind w:right="94"/>
              <w:rPr>
                <w:sz w:val="21"/>
              </w:rPr>
            </w:pPr>
            <w:r>
              <w:rPr>
                <w:color w:val="B02045"/>
                <w:sz w:val="21"/>
              </w:rPr>
              <w:t>management.metrics.exp ort.kairos.uri</w:t>
            </w:r>
          </w:p>
        </w:tc>
        <w:tc>
          <w:tcPr>
            <w:tcW w:w="2494" w:type="dxa"/>
          </w:tcPr>
          <w:p w14:paraId="64E081DC" w14:textId="77777777" w:rsidR="00A720EB" w:rsidRDefault="0030286B">
            <w:pPr>
              <w:pStyle w:val="TableParagraph"/>
              <w:spacing w:before="46" w:line="230" w:lineRule="auto"/>
              <w:ind w:right="94"/>
              <w:rPr>
                <w:sz w:val="21"/>
              </w:rPr>
            </w:pPr>
            <w:r>
              <w:rPr>
                <w:color w:val="B02045"/>
                <w:sz w:val="21"/>
              </w:rPr>
              <w:t>http://localhost:8080/ api/v1/datapoints</w:t>
            </w:r>
          </w:p>
        </w:tc>
        <w:tc>
          <w:tcPr>
            <w:tcW w:w="4988" w:type="dxa"/>
          </w:tcPr>
          <w:p w14:paraId="13E2B030" w14:textId="77777777" w:rsidR="00A720EB" w:rsidRDefault="0030286B">
            <w:pPr>
              <w:pStyle w:val="TableParagraph"/>
              <w:spacing w:before="92"/>
              <w:rPr>
                <w:rFonts w:ascii="Cambria"/>
                <w:sz w:val="21"/>
              </w:rPr>
            </w:pPr>
            <w:r>
              <w:rPr>
                <w:rFonts w:ascii="Cambria"/>
                <w:color w:val="333333"/>
                <w:w w:val="110"/>
                <w:sz w:val="21"/>
              </w:rPr>
              <w:t>URI of the KairosDB server.</w:t>
            </w:r>
          </w:p>
        </w:tc>
      </w:tr>
      <w:tr w:rsidR="00A720EB" w14:paraId="69AFEAC1" w14:textId="77777777">
        <w:trPr>
          <w:trHeight w:val="627"/>
        </w:trPr>
        <w:tc>
          <w:tcPr>
            <w:tcW w:w="2494" w:type="dxa"/>
          </w:tcPr>
          <w:p w14:paraId="2F8C96E7"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ort.kairos</w:t>
            </w:r>
            <w:proofErr w:type="gramEnd"/>
            <w:r>
              <w:rPr>
                <w:color w:val="B02045"/>
                <w:sz w:val="21"/>
              </w:rPr>
              <w:t>.user-name</w:t>
            </w:r>
          </w:p>
        </w:tc>
        <w:tc>
          <w:tcPr>
            <w:tcW w:w="2494" w:type="dxa"/>
          </w:tcPr>
          <w:p w14:paraId="3F85F143" w14:textId="77777777" w:rsidR="00A720EB" w:rsidRDefault="00A720EB">
            <w:pPr>
              <w:pStyle w:val="TableParagraph"/>
              <w:spacing w:before="0"/>
              <w:ind w:left="0"/>
              <w:rPr>
                <w:rFonts w:ascii="Times New Roman"/>
                <w:sz w:val="20"/>
              </w:rPr>
            </w:pPr>
          </w:p>
        </w:tc>
        <w:tc>
          <w:tcPr>
            <w:tcW w:w="4988" w:type="dxa"/>
          </w:tcPr>
          <w:p w14:paraId="10856CE9" w14:textId="77777777" w:rsidR="00A720EB" w:rsidRDefault="0030286B">
            <w:pPr>
              <w:pStyle w:val="TableParagraph"/>
              <w:spacing w:before="92"/>
              <w:rPr>
                <w:rFonts w:ascii="Cambria"/>
                <w:sz w:val="21"/>
              </w:rPr>
            </w:pPr>
            <w:r>
              <w:rPr>
                <w:rFonts w:ascii="Cambria"/>
                <w:color w:val="333333"/>
                <w:w w:val="110"/>
                <w:sz w:val="21"/>
              </w:rPr>
              <w:t>Login user of the KairosDB server.</w:t>
            </w:r>
          </w:p>
        </w:tc>
      </w:tr>
      <w:tr w:rsidR="00A720EB" w14:paraId="24829EED" w14:textId="77777777">
        <w:trPr>
          <w:trHeight w:val="886"/>
        </w:trPr>
        <w:tc>
          <w:tcPr>
            <w:tcW w:w="2494" w:type="dxa"/>
          </w:tcPr>
          <w:p w14:paraId="1CCDCC3A"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ort.newrelic</w:t>
            </w:r>
            <w:proofErr w:type="gramEnd"/>
            <w:r>
              <w:rPr>
                <w:color w:val="B02045"/>
                <w:sz w:val="21"/>
              </w:rPr>
              <w:t>.account- id</w:t>
            </w:r>
          </w:p>
        </w:tc>
        <w:tc>
          <w:tcPr>
            <w:tcW w:w="2494" w:type="dxa"/>
          </w:tcPr>
          <w:p w14:paraId="1E2085F1" w14:textId="77777777" w:rsidR="00A720EB" w:rsidRDefault="00A720EB">
            <w:pPr>
              <w:pStyle w:val="TableParagraph"/>
              <w:spacing w:before="0"/>
              <w:ind w:left="0"/>
              <w:rPr>
                <w:rFonts w:ascii="Times New Roman"/>
                <w:sz w:val="20"/>
              </w:rPr>
            </w:pPr>
          </w:p>
        </w:tc>
        <w:tc>
          <w:tcPr>
            <w:tcW w:w="4988" w:type="dxa"/>
          </w:tcPr>
          <w:p w14:paraId="60BF4338" w14:textId="77777777" w:rsidR="00A720EB" w:rsidRDefault="0030286B">
            <w:pPr>
              <w:pStyle w:val="TableParagraph"/>
              <w:spacing w:before="92"/>
              <w:rPr>
                <w:rFonts w:ascii="Cambria"/>
                <w:sz w:val="21"/>
              </w:rPr>
            </w:pPr>
            <w:r>
              <w:rPr>
                <w:rFonts w:ascii="Cambria"/>
                <w:color w:val="333333"/>
                <w:w w:val="110"/>
                <w:sz w:val="21"/>
              </w:rPr>
              <w:t>New Relic account ID.</w:t>
            </w:r>
          </w:p>
        </w:tc>
      </w:tr>
      <w:tr w:rsidR="00A720EB" w14:paraId="7C036109" w14:textId="77777777">
        <w:trPr>
          <w:trHeight w:val="627"/>
        </w:trPr>
        <w:tc>
          <w:tcPr>
            <w:tcW w:w="2494" w:type="dxa"/>
          </w:tcPr>
          <w:p w14:paraId="4217ACEF" w14:textId="77777777" w:rsidR="00A720EB" w:rsidRDefault="0030286B">
            <w:pPr>
              <w:pStyle w:val="TableParagraph"/>
              <w:spacing w:before="46" w:line="230" w:lineRule="auto"/>
              <w:ind w:right="113"/>
              <w:rPr>
                <w:sz w:val="21"/>
              </w:rPr>
            </w:pPr>
            <w:r>
              <w:rPr>
                <w:color w:val="B02045"/>
                <w:sz w:val="21"/>
              </w:rPr>
              <w:t>management.metrics.exp ort.newrelic.api-key</w:t>
            </w:r>
          </w:p>
        </w:tc>
        <w:tc>
          <w:tcPr>
            <w:tcW w:w="2494" w:type="dxa"/>
          </w:tcPr>
          <w:p w14:paraId="21522791" w14:textId="77777777" w:rsidR="00A720EB" w:rsidRDefault="00A720EB">
            <w:pPr>
              <w:pStyle w:val="TableParagraph"/>
              <w:spacing w:before="0"/>
              <w:ind w:left="0"/>
              <w:rPr>
                <w:rFonts w:ascii="Times New Roman"/>
                <w:sz w:val="20"/>
              </w:rPr>
            </w:pPr>
          </w:p>
        </w:tc>
        <w:tc>
          <w:tcPr>
            <w:tcW w:w="4988" w:type="dxa"/>
          </w:tcPr>
          <w:p w14:paraId="67C497E0" w14:textId="77777777" w:rsidR="00A720EB" w:rsidRDefault="0030286B">
            <w:pPr>
              <w:pStyle w:val="TableParagraph"/>
              <w:spacing w:before="92"/>
              <w:rPr>
                <w:rFonts w:ascii="Cambria"/>
                <w:sz w:val="21"/>
              </w:rPr>
            </w:pPr>
            <w:r>
              <w:rPr>
                <w:rFonts w:ascii="Cambria"/>
                <w:color w:val="333333"/>
                <w:w w:val="110"/>
                <w:sz w:val="21"/>
              </w:rPr>
              <w:t>New Relic API key.</w:t>
            </w:r>
          </w:p>
        </w:tc>
      </w:tr>
      <w:tr w:rsidR="00A720EB" w14:paraId="7F8DF0B2" w14:textId="77777777">
        <w:trPr>
          <w:trHeight w:val="1056"/>
        </w:trPr>
        <w:tc>
          <w:tcPr>
            <w:tcW w:w="2494" w:type="dxa"/>
          </w:tcPr>
          <w:p w14:paraId="28AE8F5B"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ort.newrelic</w:t>
            </w:r>
            <w:proofErr w:type="gramEnd"/>
            <w:r>
              <w:rPr>
                <w:color w:val="B02045"/>
                <w:sz w:val="21"/>
              </w:rPr>
              <w:t>.batch- size</w:t>
            </w:r>
          </w:p>
        </w:tc>
        <w:tc>
          <w:tcPr>
            <w:tcW w:w="2494" w:type="dxa"/>
          </w:tcPr>
          <w:p w14:paraId="4BBE5DEA" w14:textId="77777777" w:rsidR="00A720EB" w:rsidRDefault="0030286B">
            <w:pPr>
              <w:pStyle w:val="TableParagraph"/>
              <w:spacing w:before="37"/>
              <w:rPr>
                <w:sz w:val="21"/>
              </w:rPr>
            </w:pPr>
            <w:r>
              <w:rPr>
                <w:color w:val="B02045"/>
                <w:sz w:val="21"/>
              </w:rPr>
              <w:t>10000.0</w:t>
            </w:r>
          </w:p>
        </w:tc>
        <w:tc>
          <w:tcPr>
            <w:tcW w:w="4988" w:type="dxa"/>
          </w:tcPr>
          <w:p w14:paraId="6125BB43"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5360B0A3" w14:textId="77777777">
        <w:trPr>
          <w:trHeight w:val="886"/>
        </w:trPr>
        <w:tc>
          <w:tcPr>
            <w:tcW w:w="2494" w:type="dxa"/>
          </w:tcPr>
          <w:p w14:paraId="0357EA6F"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ort.newrelic</w:t>
            </w:r>
            <w:proofErr w:type="gramEnd"/>
            <w:r>
              <w:rPr>
                <w:color w:val="B02045"/>
                <w:sz w:val="21"/>
              </w:rPr>
              <w:t>.client- provider-type</w:t>
            </w:r>
          </w:p>
        </w:tc>
        <w:tc>
          <w:tcPr>
            <w:tcW w:w="2494" w:type="dxa"/>
          </w:tcPr>
          <w:p w14:paraId="5EC94AE9" w14:textId="77777777" w:rsidR="00A720EB" w:rsidRDefault="00A720EB">
            <w:pPr>
              <w:pStyle w:val="TableParagraph"/>
              <w:spacing w:before="0"/>
              <w:ind w:left="0"/>
              <w:rPr>
                <w:rFonts w:ascii="Times New Roman"/>
                <w:sz w:val="20"/>
              </w:rPr>
            </w:pPr>
          </w:p>
        </w:tc>
        <w:tc>
          <w:tcPr>
            <w:tcW w:w="4988" w:type="dxa"/>
          </w:tcPr>
          <w:p w14:paraId="6B4BBB63" w14:textId="77777777" w:rsidR="00A720EB" w:rsidRDefault="0030286B">
            <w:pPr>
              <w:pStyle w:val="TableParagraph"/>
              <w:spacing w:before="92"/>
              <w:rPr>
                <w:rFonts w:ascii="Cambria"/>
                <w:sz w:val="21"/>
              </w:rPr>
            </w:pPr>
            <w:r>
              <w:rPr>
                <w:rFonts w:ascii="Cambria"/>
                <w:color w:val="333333"/>
                <w:w w:val="110"/>
                <w:sz w:val="21"/>
              </w:rPr>
              <w:t>Client provider type to use.</w:t>
            </w:r>
          </w:p>
        </w:tc>
      </w:tr>
      <w:tr w:rsidR="00A720EB" w14:paraId="4FAF60E7" w14:textId="77777777">
        <w:trPr>
          <w:trHeight w:val="886"/>
        </w:trPr>
        <w:tc>
          <w:tcPr>
            <w:tcW w:w="2494" w:type="dxa"/>
          </w:tcPr>
          <w:p w14:paraId="3F6537CE"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ort.newrelic</w:t>
            </w:r>
            <w:proofErr w:type="gramEnd"/>
            <w:r>
              <w:rPr>
                <w:color w:val="B02045"/>
                <w:sz w:val="21"/>
              </w:rPr>
              <w:t>.connect- timeout</w:t>
            </w:r>
          </w:p>
        </w:tc>
        <w:tc>
          <w:tcPr>
            <w:tcW w:w="2494" w:type="dxa"/>
          </w:tcPr>
          <w:p w14:paraId="291AA477" w14:textId="77777777" w:rsidR="00A720EB" w:rsidRDefault="0030286B">
            <w:pPr>
              <w:pStyle w:val="TableParagraph"/>
              <w:spacing w:before="37"/>
              <w:rPr>
                <w:sz w:val="21"/>
              </w:rPr>
            </w:pPr>
            <w:r>
              <w:rPr>
                <w:color w:val="B02045"/>
                <w:sz w:val="21"/>
              </w:rPr>
              <w:t>1s</w:t>
            </w:r>
          </w:p>
        </w:tc>
        <w:tc>
          <w:tcPr>
            <w:tcW w:w="4988" w:type="dxa"/>
          </w:tcPr>
          <w:p w14:paraId="7E243FC5"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03706532" w14:textId="77777777">
        <w:trPr>
          <w:trHeight w:val="741"/>
        </w:trPr>
        <w:tc>
          <w:tcPr>
            <w:tcW w:w="2494" w:type="dxa"/>
          </w:tcPr>
          <w:p w14:paraId="16254CF8" w14:textId="77777777" w:rsidR="00A720EB" w:rsidRDefault="0030286B">
            <w:pPr>
              <w:pStyle w:val="TableParagraph"/>
              <w:spacing w:before="46" w:line="230" w:lineRule="auto"/>
              <w:ind w:right="94"/>
              <w:rPr>
                <w:sz w:val="21"/>
              </w:rPr>
            </w:pPr>
            <w:r>
              <w:rPr>
                <w:color w:val="B02045"/>
                <w:sz w:val="21"/>
              </w:rPr>
              <w:lastRenderedPageBreak/>
              <w:t xml:space="preserve">management.metrics.exp </w:t>
            </w:r>
            <w:proofErr w:type="gramStart"/>
            <w:r>
              <w:rPr>
                <w:color w:val="B02045"/>
                <w:sz w:val="21"/>
              </w:rPr>
              <w:t>ort.newrelic</w:t>
            </w:r>
            <w:proofErr w:type="gramEnd"/>
            <w:r>
              <w:rPr>
                <w:color w:val="B02045"/>
                <w:sz w:val="21"/>
              </w:rPr>
              <w:t>.enabled</w:t>
            </w:r>
          </w:p>
        </w:tc>
        <w:tc>
          <w:tcPr>
            <w:tcW w:w="2494" w:type="dxa"/>
          </w:tcPr>
          <w:p w14:paraId="300691C6" w14:textId="77777777" w:rsidR="00A720EB" w:rsidRDefault="0030286B">
            <w:pPr>
              <w:pStyle w:val="TableParagraph"/>
              <w:rPr>
                <w:sz w:val="21"/>
              </w:rPr>
            </w:pPr>
            <w:r>
              <w:rPr>
                <w:color w:val="B02045"/>
                <w:sz w:val="21"/>
              </w:rPr>
              <w:t>true</w:t>
            </w:r>
          </w:p>
        </w:tc>
        <w:tc>
          <w:tcPr>
            <w:tcW w:w="4988" w:type="dxa"/>
          </w:tcPr>
          <w:p w14:paraId="07131DF1"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bl>
    <w:p w14:paraId="09E6DCF3" w14:textId="77777777" w:rsidR="00A720EB" w:rsidRDefault="00A720EB">
      <w:pPr>
        <w:spacing w:line="310" w:lineRule="atLeast"/>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9C6426B" w14:textId="77777777">
        <w:trPr>
          <w:trHeight w:val="415"/>
        </w:trPr>
        <w:tc>
          <w:tcPr>
            <w:tcW w:w="2494" w:type="dxa"/>
            <w:tcBorders>
              <w:bottom w:val="single" w:sz="12" w:space="0" w:color="DDDDDD"/>
            </w:tcBorders>
          </w:tcPr>
          <w:p w14:paraId="78B70913"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0E423F4"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B43F977"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2B4FB7D7" w14:textId="77777777">
        <w:trPr>
          <w:trHeight w:val="1046"/>
        </w:trPr>
        <w:tc>
          <w:tcPr>
            <w:tcW w:w="2494" w:type="dxa"/>
            <w:tcBorders>
              <w:top w:val="single" w:sz="12" w:space="0" w:color="DDDDDD"/>
            </w:tcBorders>
          </w:tcPr>
          <w:p w14:paraId="35EEC3D6" w14:textId="77777777" w:rsidR="00A720EB" w:rsidRDefault="0030286B">
            <w:pPr>
              <w:pStyle w:val="TableParagraph"/>
              <w:spacing w:before="36" w:line="230" w:lineRule="auto"/>
              <w:ind w:right="113"/>
              <w:rPr>
                <w:sz w:val="21"/>
              </w:rPr>
            </w:pPr>
            <w:r>
              <w:rPr>
                <w:color w:val="B02045"/>
                <w:sz w:val="21"/>
              </w:rPr>
              <w:t xml:space="preserve">management.metrics.exp </w:t>
            </w:r>
            <w:proofErr w:type="gramStart"/>
            <w:r>
              <w:rPr>
                <w:color w:val="B02045"/>
                <w:sz w:val="21"/>
              </w:rPr>
              <w:t>ort.newrelic</w:t>
            </w:r>
            <w:proofErr w:type="gramEnd"/>
            <w:r>
              <w:rPr>
                <w:color w:val="B02045"/>
                <w:sz w:val="21"/>
              </w:rPr>
              <w:t>.event- type</w:t>
            </w:r>
          </w:p>
        </w:tc>
        <w:tc>
          <w:tcPr>
            <w:tcW w:w="2494" w:type="dxa"/>
            <w:tcBorders>
              <w:top w:val="single" w:sz="12" w:space="0" w:color="DDDDDD"/>
            </w:tcBorders>
          </w:tcPr>
          <w:p w14:paraId="23DBAEBA" w14:textId="77777777" w:rsidR="00A720EB" w:rsidRDefault="0030286B">
            <w:pPr>
              <w:pStyle w:val="TableParagraph"/>
              <w:spacing w:before="27"/>
              <w:rPr>
                <w:sz w:val="21"/>
              </w:rPr>
            </w:pPr>
            <w:r>
              <w:rPr>
                <w:color w:val="B02045"/>
                <w:sz w:val="21"/>
              </w:rPr>
              <w:t>SpringBootSample</w:t>
            </w:r>
          </w:p>
        </w:tc>
        <w:tc>
          <w:tcPr>
            <w:tcW w:w="4988" w:type="dxa"/>
            <w:tcBorders>
              <w:top w:val="single" w:sz="12" w:space="0" w:color="DDDDDD"/>
            </w:tcBorders>
          </w:tcPr>
          <w:p w14:paraId="3DCAE213" w14:textId="77777777" w:rsidR="00A720EB" w:rsidRDefault="0030286B">
            <w:pPr>
              <w:pStyle w:val="TableParagraph"/>
              <w:spacing w:before="18" w:line="310" w:lineRule="atLeast"/>
              <w:ind w:right="271"/>
              <w:rPr>
                <w:rFonts w:ascii="Cambria"/>
                <w:sz w:val="21"/>
              </w:rPr>
            </w:pPr>
            <w:r>
              <w:rPr>
                <w:rFonts w:ascii="Cambria"/>
                <w:color w:val="333333"/>
                <w:w w:val="110"/>
                <w:sz w:val="21"/>
              </w:rPr>
              <w:t>The event type that should be published. This property will be ignored if 'meter-name-event- type-enabled' is set to 'true'.</w:t>
            </w:r>
          </w:p>
        </w:tc>
      </w:tr>
      <w:tr w:rsidR="00A720EB" w14:paraId="25502FDE" w14:textId="77777777">
        <w:trPr>
          <w:trHeight w:val="2003"/>
        </w:trPr>
        <w:tc>
          <w:tcPr>
            <w:tcW w:w="2494" w:type="dxa"/>
          </w:tcPr>
          <w:p w14:paraId="2C4C6AC7"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ort.newrelic</w:t>
            </w:r>
            <w:proofErr w:type="gramEnd"/>
            <w:r>
              <w:rPr>
                <w:color w:val="B02045"/>
                <w:sz w:val="21"/>
              </w:rPr>
              <w:t>.meter- name-event-type- enabled</w:t>
            </w:r>
          </w:p>
        </w:tc>
        <w:tc>
          <w:tcPr>
            <w:tcW w:w="2494" w:type="dxa"/>
          </w:tcPr>
          <w:p w14:paraId="0AA92C90" w14:textId="77777777" w:rsidR="00A720EB" w:rsidRDefault="0030286B">
            <w:pPr>
              <w:pStyle w:val="TableParagraph"/>
              <w:rPr>
                <w:sz w:val="21"/>
              </w:rPr>
            </w:pPr>
            <w:r>
              <w:rPr>
                <w:color w:val="B02045"/>
                <w:sz w:val="21"/>
              </w:rPr>
              <w:t>false</w:t>
            </w:r>
          </w:p>
        </w:tc>
        <w:tc>
          <w:tcPr>
            <w:tcW w:w="4988" w:type="dxa"/>
          </w:tcPr>
          <w:p w14:paraId="171F42BE" w14:textId="77777777" w:rsidR="00A720EB" w:rsidRDefault="0030286B">
            <w:pPr>
              <w:pStyle w:val="TableParagraph"/>
              <w:spacing w:before="92" w:line="307" w:lineRule="auto"/>
              <w:ind w:right="44"/>
              <w:rPr>
                <w:rFonts w:ascii="Cambria"/>
                <w:sz w:val="21"/>
              </w:rPr>
            </w:pPr>
            <w:r>
              <w:rPr>
                <w:rFonts w:ascii="Cambria"/>
                <w:color w:val="333333"/>
                <w:w w:val="110"/>
                <w:sz w:val="21"/>
              </w:rPr>
              <w:t>Whether to send the meter name as the event type instead of using the 'event-type' configuration property value. Can be set to 'true' if New Relic guidelines are not being followed or event types consistent with previous Spring Boot releases are required.</w:t>
            </w:r>
          </w:p>
        </w:tc>
      </w:tr>
      <w:tr w:rsidR="00A720EB" w14:paraId="22CA6653" w14:textId="77777777">
        <w:trPr>
          <w:trHeight w:val="886"/>
        </w:trPr>
        <w:tc>
          <w:tcPr>
            <w:tcW w:w="2494" w:type="dxa"/>
          </w:tcPr>
          <w:p w14:paraId="10491E02"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ort.newrelic</w:t>
            </w:r>
            <w:proofErr w:type="gramEnd"/>
            <w:r>
              <w:rPr>
                <w:color w:val="B02045"/>
                <w:sz w:val="21"/>
              </w:rPr>
              <w:t>.read- timeout</w:t>
            </w:r>
          </w:p>
        </w:tc>
        <w:tc>
          <w:tcPr>
            <w:tcW w:w="2494" w:type="dxa"/>
          </w:tcPr>
          <w:p w14:paraId="6010FBB5" w14:textId="77777777" w:rsidR="00A720EB" w:rsidRDefault="0030286B">
            <w:pPr>
              <w:pStyle w:val="TableParagraph"/>
              <w:rPr>
                <w:sz w:val="21"/>
              </w:rPr>
            </w:pPr>
            <w:r>
              <w:rPr>
                <w:color w:val="B02045"/>
                <w:sz w:val="21"/>
              </w:rPr>
              <w:t>10s</w:t>
            </w:r>
          </w:p>
        </w:tc>
        <w:tc>
          <w:tcPr>
            <w:tcW w:w="4988" w:type="dxa"/>
          </w:tcPr>
          <w:p w14:paraId="06952573"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4DCB2FA7" w14:textId="77777777">
        <w:trPr>
          <w:trHeight w:val="627"/>
        </w:trPr>
        <w:tc>
          <w:tcPr>
            <w:tcW w:w="2494" w:type="dxa"/>
          </w:tcPr>
          <w:p w14:paraId="49C444CF"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ort.newrelic</w:t>
            </w:r>
            <w:proofErr w:type="gramEnd"/>
            <w:r>
              <w:rPr>
                <w:color w:val="B02045"/>
                <w:sz w:val="21"/>
              </w:rPr>
              <w:t>.step</w:t>
            </w:r>
          </w:p>
        </w:tc>
        <w:tc>
          <w:tcPr>
            <w:tcW w:w="2494" w:type="dxa"/>
          </w:tcPr>
          <w:p w14:paraId="09909E0E" w14:textId="77777777" w:rsidR="00A720EB" w:rsidRDefault="0030286B">
            <w:pPr>
              <w:pStyle w:val="TableParagraph"/>
              <w:rPr>
                <w:sz w:val="21"/>
              </w:rPr>
            </w:pPr>
            <w:r>
              <w:rPr>
                <w:color w:val="B02045"/>
                <w:sz w:val="21"/>
              </w:rPr>
              <w:t>1m</w:t>
            </w:r>
          </w:p>
        </w:tc>
        <w:tc>
          <w:tcPr>
            <w:tcW w:w="4988" w:type="dxa"/>
          </w:tcPr>
          <w:p w14:paraId="0C0C454C"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1B85DAEE" w14:textId="77777777">
        <w:trPr>
          <w:trHeight w:val="627"/>
        </w:trPr>
        <w:tc>
          <w:tcPr>
            <w:tcW w:w="2494" w:type="dxa"/>
          </w:tcPr>
          <w:p w14:paraId="06EFF89B" w14:textId="77777777" w:rsidR="00A720EB" w:rsidRDefault="0030286B">
            <w:pPr>
              <w:pStyle w:val="TableParagraph"/>
              <w:spacing w:before="46" w:line="230" w:lineRule="auto"/>
              <w:ind w:right="94"/>
              <w:rPr>
                <w:sz w:val="21"/>
              </w:rPr>
            </w:pPr>
            <w:r>
              <w:rPr>
                <w:color w:val="B02045"/>
                <w:sz w:val="21"/>
              </w:rPr>
              <w:t>management.metrics.exp ort.newrelic.uri</w:t>
            </w:r>
          </w:p>
        </w:tc>
        <w:tc>
          <w:tcPr>
            <w:tcW w:w="2494" w:type="dxa"/>
          </w:tcPr>
          <w:p w14:paraId="3F210B1B" w14:textId="77777777" w:rsidR="00A720EB" w:rsidRDefault="0030286B">
            <w:pPr>
              <w:pStyle w:val="TableParagraph"/>
              <w:spacing w:before="46" w:line="230" w:lineRule="auto"/>
              <w:ind w:right="94"/>
              <w:rPr>
                <w:sz w:val="21"/>
              </w:rPr>
            </w:pPr>
            <w:r>
              <w:rPr>
                <w:color w:val="B02045"/>
                <w:sz w:val="21"/>
              </w:rPr>
              <w:t>https://insights- collector.newrelic.com</w:t>
            </w:r>
          </w:p>
        </w:tc>
        <w:tc>
          <w:tcPr>
            <w:tcW w:w="4988" w:type="dxa"/>
          </w:tcPr>
          <w:p w14:paraId="71B3D882" w14:textId="77777777" w:rsidR="00A720EB" w:rsidRDefault="0030286B">
            <w:pPr>
              <w:pStyle w:val="TableParagraph"/>
              <w:spacing w:before="92"/>
              <w:rPr>
                <w:rFonts w:ascii="Cambria"/>
                <w:sz w:val="21"/>
              </w:rPr>
            </w:pPr>
            <w:r>
              <w:rPr>
                <w:rFonts w:ascii="Cambria"/>
                <w:color w:val="333333"/>
                <w:w w:val="110"/>
                <w:sz w:val="21"/>
              </w:rPr>
              <w:t>URI to ship metrics to.</w:t>
            </w:r>
          </w:p>
        </w:tc>
      </w:tr>
      <w:tr w:rsidR="00A720EB" w14:paraId="7AF3F394" w14:textId="77777777">
        <w:trPr>
          <w:trHeight w:val="1372"/>
        </w:trPr>
        <w:tc>
          <w:tcPr>
            <w:tcW w:w="2494" w:type="dxa"/>
          </w:tcPr>
          <w:p w14:paraId="792C9EEB"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ort.prometheus</w:t>
            </w:r>
            <w:proofErr w:type="gramEnd"/>
            <w:r>
              <w:rPr>
                <w:color w:val="B02045"/>
                <w:sz w:val="21"/>
              </w:rPr>
              <w:t>.descrip tions</w:t>
            </w:r>
          </w:p>
        </w:tc>
        <w:tc>
          <w:tcPr>
            <w:tcW w:w="2494" w:type="dxa"/>
          </w:tcPr>
          <w:p w14:paraId="3FD9A1FF" w14:textId="77777777" w:rsidR="00A720EB" w:rsidRDefault="0030286B">
            <w:pPr>
              <w:pStyle w:val="TableParagraph"/>
              <w:spacing w:before="37"/>
              <w:rPr>
                <w:sz w:val="21"/>
              </w:rPr>
            </w:pPr>
            <w:r>
              <w:rPr>
                <w:color w:val="B02045"/>
                <w:sz w:val="21"/>
              </w:rPr>
              <w:t>true</w:t>
            </w:r>
          </w:p>
        </w:tc>
        <w:tc>
          <w:tcPr>
            <w:tcW w:w="4988" w:type="dxa"/>
          </w:tcPr>
          <w:p w14:paraId="1B287A99" w14:textId="77777777" w:rsidR="00A720EB" w:rsidRDefault="0030286B">
            <w:pPr>
              <w:pStyle w:val="TableParagraph"/>
              <w:spacing w:before="28" w:line="310" w:lineRule="atLeast"/>
              <w:ind w:right="218"/>
              <w:rPr>
                <w:rFonts w:ascii="Cambria"/>
                <w:sz w:val="21"/>
              </w:rPr>
            </w:pPr>
            <w:r>
              <w:rPr>
                <w:rFonts w:ascii="Cambria"/>
                <w:color w:val="333333"/>
                <w:w w:val="110"/>
                <w:sz w:val="21"/>
              </w:rPr>
              <w:t>Whether to enable publishing descriptions as part of the scrape payload to Prometheus. Turn this off to minimize the amount of data sent on each scrape.</w:t>
            </w:r>
          </w:p>
        </w:tc>
      </w:tr>
      <w:tr w:rsidR="00A720EB" w14:paraId="1657F44B" w14:textId="77777777">
        <w:trPr>
          <w:trHeight w:val="741"/>
        </w:trPr>
        <w:tc>
          <w:tcPr>
            <w:tcW w:w="2494" w:type="dxa"/>
          </w:tcPr>
          <w:p w14:paraId="7BD47736"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ort.prometheus</w:t>
            </w:r>
            <w:proofErr w:type="gramEnd"/>
            <w:r>
              <w:rPr>
                <w:color w:val="B02045"/>
                <w:sz w:val="21"/>
              </w:rPr>
              <w:t>.enabled</w:t>
            </w:r>
          </w:p>
        </w:tc>
        <w:tc>
          <w:tcPr>
            <w:tcW w:w="2494" w:type="dxa"/>
          </w:tcPr>
          <w:p w14:paraId="20EE5BF7" w14:textId="77777777" w:rsidR="00A720EB" w:rsidRDefault="0030286B">
            <w:pPr>
              <w:pStyle w:val="TableParagraph"/>
              <w:spacing w:before="37"/>
              <w:rPr>
                <w:sz w:val="21"/>
              </w:rPr>
            </w:pPr>
            <w:r>
              <w:rPr>
                <w:color w:val="B02045"/>
                <w:sz w:val="21"/>
              </w:rPr>
              <w:t>true</w:t>
            </w:r>
          </w:p>
        </w:tc>
        <w:tc>
          <w:tcPr>
            <w:tcW w:w="4988" w:type="dxa"/>
          </w:tcPr>
          <w:p w14:paraId="734AC441"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Prometheus is enabled.</w:t>
            </w:r>
          </w:p>
        </w:tc>
      </w:tr>
      <w:tr w:rsidR="00A720EB" w14:paraId="55C79481" w14:textId="77777777">
        <w:trPr>
          <w:trHeight w:val="886"/>
        </w:trPr>
        <w:tc>
          <w:tcPr>
            <w:tcW w:w="2494" w:type="dxa"/>
          </w:tcPr>
          <w:p w14:paraId="47438C54"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ort.prometheus</w:t>
            </w:r>
            <w:proofErr w:type="gramEnd"/>
            <w:r>
              <w:rPr>
                <w:color w:val="B02045"/>
                <w:sz w:val="21"/>
              </w:rPr>
              <w:t>.histogr am-flavor</w:t>
            </w:r>
          </w:p>
        </w:tc>
        <w:tc>
          <w:tcPr>
            <w:tcW w:w="2494" w:type="dxa"/>
          </w:tcPr>
          <w:p w14:paraId="056B5D5E" w14:textId="77777777" w:rsidR="00A720EB" w:rsidRDefault="0030286B">
            <w:pPr>
              <w:pStyle w:val="TableParagraph"/>
              <w:spacing w:before="37"/>
              <w:rPr>
                <w:sz w:val="21"/>
              </w:rPr>
            </w:pPr>
            <w:r>
              <w:rPr>
                <w:color w:val="B02045"/>
                <w:sz w:val="21"/>
              </w:rPr>
              <w:t>prometheus</w:t>
            </w:r>
          </w:p>
        </w:tc>
        <w:tc>
          <w:tcPr>
            <w:tcW w:w="4988" w:type="dxa"/>
          </w:tcPr>
          <w:p w14:paraId="02E99361" w14:textId="77777777" w:rsidR="00A720EB" w:rsidRDefault="0030286B">
            <w:pPr>
              <w:pStyle w:val="TableParagraph"/>
              <w:spacing w:before="92" w:line="307" w:lineRule="auto"/>
              <w:ind w:right="640"/>
              <w:rPr>
                <w:rFonts w:ascii="Cambria"/>
                <w:sz w:val="21"/>
              </w:rPr>
            </w:pPr>
            <w:r>
              <w:rPr>
                <w:rFonts w:ascii="Cambria"/>
                <w:color w:val="333333"/>
                <w:w w:val="110"/>
                <w:sz w:val="21"/>
              </w:rPr>
              <w:t>Histogram type for backing DistributionSummary and Timer.</w:t>
            </w:r>
          </w:p>
        </w:tc>
      </w:tr>
      <w:tr w:rsidR="00A720EB" w14:paraId="7275CCA0" w14:textId="77777777">
        <w:trPr>
          <w:trHeight w:val="886"/>
        </w:trPr>
        <w:tc>
          <w:tcPr>
            <w:tcW w:w="2494" w:type="dxa"/>
          </w:tcPr>
          <w:p w14:paraId="6498EF68"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ort.prometheus</w:t>
            </w:r>
            <w:proofErr w:type="gramEnd"/>
            <w:r>
              <w:rPr>
                <w:color w:val="B02045"/>
                <w:sz w:val="21"/>
              </w:rPr>
              <w:t>.pushgat eway.base-url</w:t>
            </w:r>
          </w:p>
        </w:tc>
        <w:tc>
          <w:tcPr>
            <w:tcW w:w="2494" w:type="dxa"/>
          </w:tcPr>
          <w:p w14:paraId="5A2551C1" w14:textId="77777777" w:rsidR="00A720EB" w:rsidRDefault="0030286B">
            <w:pPr>
              <w:pStyle w:val="TableParagraph"/>
              <w:rPr>
                <w:sz w:val="21"/>
              </w:rPr>
            </w:pPr>
            <w:r>
              <w:rPr>
                <w:color w:val="B02045"/>
                <w:sz w:val="21"/>
              </w:rPr>
              <w:t>http://localhost:9091</w:t>
            </w:r>
          </w:p>
        </w:tc>
        <w:tc>
          <w:tcPr>
            <w:tcW w:w="4988" w:type="dxa"/>
          </w:tcPr>
          <w:p w14:paraId="64BE454F" w14:textId="77777777" w:rsidR="00A720EB" w:rsidRDefault="0030286B">
            <w:pPr>
              <w:pStyle w:val="TableParagraph"/>
              <w:spacing w:before="92"/>
              <w:rPr>
                <w:rFonts w:ascii="Cambria"/>
                <w:sz w:val="21"/>
              </w:rPr>
            </w:pPr>
            <w:r>
              <w:rPr>
                <w:rFonts w:ascii="Cambria"/>
                <w:color w:val="333333"/>
                <w:w w:val="110"/>
                <w:sz w:val="21"/>
              </w:rPr>
              <w:t>Base URL for the Pushgateway.</w:t>
            </w:r>
          </w:p>
        </w:tc>
      </w:tr>
      <w:tr w:rsidR="00A720EB" w14:paraId="0B1F2CE8" w14:textId="77777777">
        <w:trPr>
          <w:trHeight w:val="886"/>
        </w:trPr>
        <w:tc>
          <w:tcPr>
            <w:tcW w:w="2494" w:type="dxa"/>
          </w:tcPr>
          <w:p w14:paraId="2C3809AA"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ort.prometheus</w:t>
            </w:r>
            <w:proofErr w:type="gramEnd"/>
            <w:r>
              <w:rPr>
                <w:color w:val="B02045"/>
                <w:sz w:val="21"/>
              </w:rPr>
              <w:t>.pushgat eway.enabled</w:t>
            </w:r>
          </w:p>
        </w:tc>
        <w:tc>
          <w:tcPr>
            <w:tcW w:w="2494" w:type="dxa"/>
          </w:tcPr>
          <w:p w14:paraId="7CD79C31" w14:textId="77777777" w:rsidR="00A720EB" w:rsidRDefault="0030286B">
            <w:pPr>
              <w:pStyle w:val="TableParagraph"/>
              <w:spacing w:before="37"/>
              <w:rPr>
                <w:sz w:val="21"/>
              </w:rPr>
            </w:pPr>
            <w:r>
              <w:rPr>
                <w:color w:val="B02045"/>
                <w:sz w:val="21"/>
              </w:rPr>
              <w:t>false</w:t>
            </w:r>
          </w:p>
        </w:tc>
        <w:tc>
          <w:tcPr>
            <w:tcW w:w="4988" w:type="dxa"/>
          </w:tcPr>
          <w:p w14:paraId="768FF10B" w14:textId="77777777" w:rsidR="00A720EB" w:rsidRDefault="0030286B">
            <w:pPr>
              <w:pStyle w:val="TableParagraph"/>
              <w:spacing w:before="92" w:line="307" w:lineRule="auto"/>
              <w:ind w:right="1302"/>
              <w:rPr>
                <w:rFonts w:ascii="Cambria"/>
                <w:sz w:val="21"/>
              </w:rPr>
            </w:pPr>
            <w:r>
              <w:rPr>
                <w:rFonts w:ascii="Cambria"/>
                <w:color w:val="333333"/>
                <w:w w:val="115"/>
                <w:sz w:val="21"/>
              </w:rPr>
              <w:t>Enable</w:t>
            </w:r>
            <w:r>
              <w:rPr>
                <w:rFonts w:ascii="Cambria"/>
                <w:color w:val="333333"/>
                <w:spacing w:val="-24"/>
                <w:w w:val="115"/>
                <w:sz w:val="21"/>
              </w:rPr>
              <w:t xml:space="preserve"> </w:t>
            </w:r>
            <w:r>
              <w:rPr>
                <w:rFonts w:ascii="Cambria"/>
                <w:color w:val="333333"/>
                <w:w w:val="115"/>
                <w:sz w:val="21"/>
              </w:rPr>
              <w:t>publishing</w:t>
            </w:r>
            <w:r>
              <w:rPr>
                <w:rFonts w:ascii="Cambria"/>
                <w:color w:val="333333"/>
                <w:spacing w:val="-23"/>
                <w:w w:val="115"/>
                <w:sz w:val="21"/>
              </w:rPr>
              <w:t xml:space="preserve"> </w:t>
            </w:r>
            <w:r>
              <w:rPr>
                <w:rFonts w:ascii="Cambria"/>
                <w:color w:val="333333"/>
                <w:w w:val="115"/>
                <w:sz w:val="21"/>
              </w:rPr>
              <w:t>via</w:t>
            </w:r>
            <w:r>
              <w:rPr>
                <w:rFonts w:ascii="Cambria"/>
                <w:color w:val="333333"/>
                <w:spacing w:val="-24"/>
                <w:w w:val="115"/>
                <w:sz w:val="21"/>
              </w:rPr>
              <w:t xml:space="preserve"> </w:t>
            </w:r>
            <w:r>
              <w:rPr>
                <w:rFonts w:ascii="Cambria"/>
                <w:color w:val="333333"/>
                <w:w w:val="115"/>
                <w:sz w:val="21"/>
              </w:rPr>
              <w:t>a</w:t>
            </w:r>
            <w:r>
              <w:rPr>
                <w:rFonts w:ascii="Cambria"/>
                <w:color w:val="333333"/>
                <w:spacing w:val="-23"/>
                <w:w w:val="115"/>
                <w:sz w:val="21"/>
              </w:rPr>
              <w:t xml:space="preserve"> </w:t>
            </w:r>
            <w:r>
              <w:rPr>
                <w:rFonts w:ascii="Cambria"/>
                <w:color w:val="333333"/>
                <w:w w:val="115"/>
                <w:sz w:val="21"/>
              </w:rPr>
              <w:t xml:space="preserve">Prometheus </w:t>
            </w:r>
            <w:r>
              <w:rPr>
                <w:rFonts w:ascii="Cambria"/>
                <w:color w:val="333333"/>
                <w:spacing w:val="-3"/>
                <w:w w:val="115"/>
                <w:sz w:val="21"/>
              </w:rPr>
              <w:t>Pushgateway.</w:t>
            </w:r>
          </w:p>
        </w:tc>
      </w:tr>
      <w:tr w:rsidR="00A720EB" w14:paraId="60CC458A" w14:textId="77777777">
        <w:trPr>
          <w:trHeight w:val="886"/>
        </w:trPr>
        <w:tc>
          <w:tcPr>
            <w:tcW w:w="2494" w:type="dxa"/>
          </w:tcPr>
          <w:p w14:paraId="460A8823"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ort.prometheus</w:t>
            </w:r>
            <w:proofErr w:type="gramEnd"/>
            <w:r>
              <w:rPr>
                <w:color w:val="B02045"/>
                <w:sz w:val="21"/>
              </w:rPr>
              <w:t>.pushgat eway.grouping-key.*</w:t>
            </w:r>
          </w:p>
        </w:tc>
        <w:tc>
          <w:tcPr>
            <w:tcW w:w="2494" w:type="dxa"/>
          </w:tcPr>
          <w:p w14:paraId="1D1587F9" w14:textId="77777777" w:rsidR="00A720EB" w:rsidRDefault="00A720EB">
            <w:pPr>
              <w:pStyle w:val="TableParagraph"/>
              <w:spacing w:before="0"/>
              <w:ind w:left="0"/>
              <w:rPr>
                <w:rFonts w:ascii="Times New Roman"/>
                <w:sz w:val="20"/>
              </w:rPr>
            </w:pPr>
          </w:p>
        </w:tc>
        <w:tc>
          <w:tcPr>
            <w:tcW w:w="4988" w:type="dxa"/>
          </w:tcPr>
          <w:p w14:paraId="5E0E2C74" w14:textId="77777777" w:rsidR="00A720EB" w:rsidRDefault="0030286B">
            <w:pPr>
              <w:pStyle w:val="TableParagraph"/>
              <w:spacing w:before="92"/>
              <w:rPr>
                <w:rFonts w:ascii="Cambria"/>
                <w:sz w:val="21"/>
              </w:rPr>
            </w:pPr>
            <w:r>
              <w:rPr>
                <w:rFonts w:ascii="Cambria"/>
                <w:color w:val="333333"/>
                <w:w w:val="110"/>
                <w:sz w:val="21"/>
              </w:rPr>
              <w:t>Grouping key for the pushed metrics.</w:t>
            </w:r>
          </w:p>
        </w:tc>
      </w:tr>
      <w:tr w:rsidR="00A720EB" w14:paraId="062C4568" w14:textId="77777777">
        <w:trPr>
          <w:trHeight w:val="886"/>
        </w:trPr>
        <w:tc>
          <w:tcPr>
            <w:tcW w:w="2494" w:type="dxa"/>
          </w:tcPr>
          <w:p w14:paraId="1794B273"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ort.prometheus</w:t>
            </w:r>
            <w:proofErr w:type="gramEnd"/>
            <w:r>
              <w:rPr>
                <w:color w:val="B02045"/>
                <w:sz w:val="21"/>
              </w:rPr>
              <w:t>.pushgat eway.job</w:t>
            </w:r>
          </w:p>
        </w:tc>
        <w:tc>
          <w:tcPr>
            <w:tcW w:w="2494" w:type="dxa"/>
          </w:tcPr>
          <w:p w14:paraId="3E8EAE29" w14:textId="77777777" w:rsidR="00A720EB" w:rsidRDefault="00A720EB">
            <w:pPr>
              <w:pStyle w:val="TableParagraph"/>
              <w:spacing w:before="0"/>
              <w:ind w:left="0"/>
              <w:rPr>
                <w:rFonts w:ascii="Times New Roman"/>
                <w:sz w:val="20"/>
              </w:rPr>
            </w:pPr>
          </w:p>
        </w:tc>
        <w:tc>
          <w:tcPr>
            <w:tcW w:w="4988" w:type="dxa"/>
          </w:tcPr>
          <w:p w14:paraId="02BC2035" w14:textId="77777777" w:rsidR="00A720EB" w:rsidRDefault="0030286B">
            <w:pPr>
              <w:pStyle w:val="TableParagraph"/>
              <w:spacing w:before="92"/>
              <w:rPr>
                <w:rFonts w:ascii="Cambria"/>
                <w:sz w:val="21"/>
              </w:rPr>
            </w:pPr>
            <w:r>
              <w:rPr>
                <w:rFonts w:ascii="Cambria"/>
                <w:color w:val="333333"/>
                <w:w w:val="110"/>
                <w:sz w:val="21"/>
              </w:rPr>
              <w:t>Job identifier for this application instance.</w:t>
            </w:r>
          </w:p>
        </w:tc>
      </w:tr>
      <w:tr w:rsidR="00A720EB" w14:paraId="635135CD" w14:textId="77777777">
        <w:trPr>
          <w:trHeight w:val="886"/>
        </w:trPr>
        <w:tc>
          <w:tcPr>
            <w:tcW w:w="2494" w:type="dxa"/>
          </w:tcPr>
          <w:p w14:paraId="6B6F6A71"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ort.prometheus</w:t>
            </w:r>
            <w:proofErr w:type="gramEnd"/>
            <w:r>
              <w:rPr>
                <w:color w:val="B02045"/>
                <w:sz w:val="21"/>
              </w:rPr>
              <w:t>.pushgat eway.push-rate</w:t>
            </w:r>
          </w:p>
        </w:tc>
        <w:tc>
          <w:tcPr>
            <w:tcW w:w="2494" w:type="dxa"/>
          </w:tcPr>
          <w:p w14:paraId="2C5362B6" w14:textId="77777777" w:rsidR="00A720EB" w:rsidRDefault="0030286B">
            <w:pPr>
              <w:pStyle w:val="TableParagraph"/>
              <w:rPr>
                <w:sz w:val="21"/>
              </w:rPr>
            </w:pPr>
            <w:r>
              <w:rPr>
                <w:color w:val="B02045"/>
                <w:sz w:val="21"/>
              </w:rPr>
              <w:t>1m</w:t>
            </w:r>
          </w:p>
        </w:tc>
        <w:tc>
          <w:tcPr>
            <w:tcW w:w="4988" w:type="dxa"/>
          </w:tcPr>
          <w:p w14:paraId="15FE9971" w14:textId="77777777" w:rsidR="00A720EB" w:rsidRDefault="0030286B">
            <w:pPr>
              <w:pStyle w:val="TableParagraph"/>
              <w:spacing w:before="92"/>
              <w:rPr>
                <w:rFonts w:ascii="Cambria"/>
                <w:sz w:val="21"/>
              </w:rPr>
            </w:pPr>
            <w:r>
              <w:rPr>
                <w:rFonts w:ascii="Cambria"/>
                <w:color w:val="333333"/>
                <w:w w:val="110"/>
                <w:sz w:val="21"/>
              </w:rPr>
              <w:t>Frequency with which to push metrics.</w:t>
            </w:r>
          </w:p>
        </w:tc>
      </w:tr>
      <w:tr w:rsidR="00A720EB" w14:paraId="26E69B81" w14:textId="77777777">
        <w:trPr>
          <w:trHeight w:val="1145"/>
        </w:trPr>
        <w:tc>
          <w:tcPr>
            <w:tcW w:w="2494" w:type="dxa"/>
          </w:tcPr>
          <w:p w14:paraId="3D89EAB1" w14:textId="77777777" w:rsidR="00A720EB" w:rsidRDefault="0030286B">
            <w:pPr>
              <w:pStyle w:val="TableParagraph"/>
              <w:spacing w:before="46" w:line="230" w:lineRule="auto"/>
              <w:ind w:right="113"/>
              <w:rPr>
                <w:sz w:val="21"/>
              </w:rPr>
            </w:pPr>
            <w:r>
              <w:rPr>
                <w:color w:val="B02045"/>
                <w:sz w:val="21"/>
              </w:rPr>
              <w:lastRenderedPageBreak/>
              <w:t xml:space="preserve">management.metrics.exp </w:t>
            </w:r>
            <w:proofErr w:type="gramStart"/>
            <w:r>
              <w:rPr>
                <w:color w:val="B02045"/>
                <w:sz w:val="21"/>
              </w:rPr>
              <w:t>ort.prometheus</w:t>
            </w:r>
            <w:proofErr w:type="gramEnd"/>
            <w:r>
              <w:rPr>
                <w:color w:val="B02045"/>
                <w:sz w:val="21"/>
              </w:rPr>
              <w:t>.pushgat eway.shutdown- operation</w:t>
            </w:r>
          </w:p>
        </w:tc>
        <w:tc>
          <w:tcPr>
            <w:tcW w:w="2494" w:type="dxa"/>
          </w:tcPr>
          <w:p w14:paraId="6EFD4D62" w14:textId="77777777" w:rsidR="00A720EB" w:rsidRDefault="0030286B">
            <w:pPr>
              <w:pStyle w:val="TableParagraph"/>
              <w:spacing w:before="37"/>
              <w:rPr>
                <w:sz w:val="21"/>
              </w:rPr>
            </w:pPr>
            <w:r>
              <w:rPr>
                <w:color w:val="B02045"/>
                <w:sz w:val="21"/>
              </w:rPr>
              <w:t>none</w:t>
            </w:r>
          </w:p>
        </w:tc>
        <w:tc>
          <w:tcPr>
            <w:tcW w:w="4988" w:type="dxa"/>
          </w:tcPr>
          <w:p w14:paraId="068E9494" w14:textId="77777777" w:rsidR="00A720EB" w:rsidRDefault="0030286B">
            <w:pPr>
              <w:pStyle w:val="TableParagraph"/>
              <w:spacing w:before="92" w:line="307" w:lineRule="auto"/>
              <w:ind w:right="372"/>
              <w:rPr>
                <w:rFonts w:ascii="Cambria"/>
                <w:sz w:val="21"/>
              </w:rPr>
            </w:pPr>
            <w:r>
              <w:rPr>
                <w:rFonts w:ascii="Cambria"/>
                <w:color w:val="333333"/>
                <w:w w:val="110"/>
                <w:sz w:val="21"/>
              </w:rPr>
              <w:t>Operation that should be performed on shutdown.</w:t>
            </w:r>
          </w:p>
        </w:tc>
      </w:tr>
      <w:tr w:rsidR="00A720EB" w14:paraId="6832AA37" w14:textId="77777777">
        <w:trPr>
          <w:trHeight w:val="627"/>
        </w:trPr>
        <w:tc>
          <w:tcPr>
            <w:tcW w:w="2494" w:type="dxa"/>
          </w:tcPr>
          <w:p w14:paraId="77E85E01"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ort.prometheus</w:t>
            </w:r>
            <w:proofErr w:type="gramEnd"/>
            <w:r>
              <w:rPr>
                <w:color w:val="B02045"/>
                <w:sz w:val="21"/>
              </w:rPr>
              <w:t>.step</w:t>
            </w:r>
          </w:p>
        </w:tc>
        <w:tc>
          <w:tcPr>
            <w:tcW w:w="2494" w:type="dxa"/>
          </w:tcPr>
          <w:p w14:paraId="286B4AC5" w14:textId="77777777" w:rsidR="00A720EB" w:rsidRDefault="0030286B">
            <w:pPr>
              <w:pStyle w:val="TableParagraph"/>
              <w:rPr>
                <w:sz w:val="21"/>
              </w:rPr>
            </w:pPr>
            <w:r>
              <w:rPr>
                <w:color w:val="B02045"/>
                <w:sz w:val="21"/>
              </w:rPr>
              <w:t>1m</w:t>
            </w:r>
          </w:p>
        </w:tc>
        <w:tc>
          <w:tcPr>
            <w:tcW w:w="4988" w:type="dxa"/>
          </w:tcPr>
          <w:p w14:paraId="37202B87"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bl>
    <w:p w14:paraId="7AB8E774"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A7ABE4D" w14:textId="77777777">
        <w:trPr>
          <w:trHeight w:val="415"/>
        </w:trPr>
        <w:tc>
          <w:tcPr>
            <w:tcW w:w="2494" w:type="dxa"/>
            <w:tcBorders>
              <w:bottom w:val="single" w:sz="12" w:space="0" w:color="DDDDDD"/>
            </w:tcBorders>
          </w:tcPr>
          <w:p w14:paraId="2294476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2D84E4DC"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E4C919B"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E2250B4" w14:textId="77777777">
        <w:trPr>
          <w:trHeight w:val="876"/>
        </w:trPr>
        <w:tc>
          <w:tcPr>
            <w:tcW w:w="2494" w:type="dxa"/>
            <w:tcBorders>
              <w:top w:val="single" w:sz="12" w:space="0" w:color="DDDDDD"/>
            </w:tcBorders>
          </w:tcPr>
          <w:p w14:paraId="11E36565" w14:textId="77777777" w:rsidR="00A720EB" w:rsidRDefault="0030286B">
            <w:pPr>
              <w:pStyle w:val="TableParagraph"/>
              <w:spacing w:before="36" w:line="230" w:lineRule="auto"/>
              <w:ind w:right="113"/>
              <w:rPr>
                <w:sz w:val="21"/>
              </w:rPr>
            </w:pPr>
            <w:r>
              <w:rPr>
                <w:color w:val="B02045"/>
                <w:sz w:val="21"/>
              </w:rPr>
              <w:t xml:space="preserve">management.metrics.exp </w:t>
            </w:r>
            <w:proofErr w:type="gramStart"/>
            <w:r>
              <w:rPr>
                <w:color w:val="B02045"/>
                <w:sz w:val="21"/>
              </w:rPr>
              <w:t>ort.signalfx</w:t>
            </w:r>
            <w:proofErr w:type="gramEnd"/>
            <w:r>
              <w:rPr>
                <w:color w:val="B02045"/>
                <w:sz w:val="21"/>
              </w:rPr>
              <w:t>.access- token</w:t>
            </w:r>
          </w:p>
        </w:tc>
        <w:tc>
          <w:tcPr>
            <w:tcW w:w="2494" w:type="dxa"/>
            <w:tcBorders>
              <w:top w:val="single" w:sz="12" w:space="0" w:color="DDDDDD"/>
            </w:tcBorders>
          </w:tcPr>
          <w:p w14:paraId="5BB589DD"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5E76C9A3" w14:textId="77777777" w:rsidR="00A720EB" w:rsidRDefault="0030286B">
            <w:pPr>
              <w:pStyle w:val="TableParagraph"/>
              <w:spacing w:before="82"/>
              <w:rPr>
                <w:rFonts w:ascii="Cambria"/>
                <w:sz w:val="21"/>
              </w:rPr>
            </w:pPr>
            <w:r>
              <w:rPr>
                <w:rFonts w:ascii="Cambria"/>
                <w:color w:val="333333"/>
                <w:w w:val="110"/>
                <w:sz w:val="21"/>
              </w:rPr>
              <w:t>SignalFX access token.</w:t>
            </w:r>
          </w:p>
        </w:tc>
      </w:tr>
      <w:tr w:rsidR="00A720EB" w14:paraId="6AA23127" w14:textId="77777777">
        <w:trPr>
          <w:trHeight w:val="1056"/>
        </w:trPr>
        <w:tc>
          <w:tcPr>
            <w:tcW w:w="2494" w:type="dxa"/>
          </w:tcPr>
          <w:p w14:paraId="557EBEBD"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ort.signalfx</w:t>
            </w:r>
            <w:proofErr w:type="gramEnd"/>
            <w:r>
              <w:rPr>
                <w:color w:val="B02045"/>
                <w:sz w:val="21"/>
              </w:rPr>
              <w:t>.batch- size</w:t>
            </w:r>
          </w:p>
        </w:tc>
        <w:tc>
          <w:tcPr>
            <w:tcW w:w="2494" w:type="dxa"/>
          </w:tcPr>
          <w:p w14:paraId="7A683F15" w14:textId="77777777" w:rsidR="00A720EB" w:rsidRDefault="0030286B">
            <w:pPr>
              <w:pStyle w:val="TableParagraph"/>
              <w:rPr>
                <w:sz w:val="21"/>
              </w:rPr>
            </w:pPr>
            <w:r>
              <w:rPr>
                <w:color w:val="B02045"/>
                <w:sz w:val="21"/>
              </w:rPr>
              <w:t>10000.0</w:t>
            </w:r>
          </w:p>
        </w:tc>
        <w:tc>
          <w:tcPr>
            <w:tcW w:w="4988" w:type="dxa"/>
          </w:tcPr>
          <w:p w14:paraId="0C491473"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586A9F4D" w14:textId="77777777">
        <w:trPr>
          <w:trHeight w:val="886"/>
        </w:trPr>
        <w:tc>
          <w:tcPr>
            <w:tcW w:w="2494" w:type="dxa"/>
          </w:tcPr>
          <w:p w14:paraId="6B4499E7"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ort.signalfx</w:t>
            </w:r>
            <w:proofErr w:type="gramEnd"/>
            <w:r>
              <w:rPr>
                <w:color w:val="B02045"/>
                <w:sz w:val="21"/>
              </w:rPr>
              <w:t>.connect- timeout</w:t>
            </w:r>
          </w:p>
        </w:tc>
        <w:tc>
          <w:tcPr>
            <w:tcW w:w="2494" w:type="dxa"/>
          </w:tcPr>
          <w:p w14:paraId="41D132F8" w14:textId="77777777" w:rsidR="00A720EB" w:rsidRDefault="0030286B">
            <w:pPr>
              <w:pStyle w:val="TableParagraph"/>
              <w:spacing w:before="37"/>
              <w:rPr>
                <w:sz w:val="21"/>
              </w:rPr>
            </w:pPr>
            <w:r>
              <w:rPr>
                <w:color w:val="B02045"/>
                <w:sz w:val="21"/>
              </w:rPr>
              <w:t>1s</w:t>
            </w:r>
          </w:p>
        </w:tc>
        <w:tc>
          <w:tcPr>
            <w:tcW w:w="4988" w:type="dxa"/>
          </w:tcPr>
          <w:p w14:paraId="119D3E45"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2821F8DF" w14:textId="77777777">
        <w:trPr>
          <w:trHeight w:val="741"/>
        </w:trPr>
        <w:tc>
          <w:tcPr>
            <w:tcW w:w="2494" w:type="dxa"/>
          </w:tcPr>
          <w:p w14:paraId="0D6E3CB2"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ort.signalfx</w:t>
            </w:r>
            <w:proofErr w:type="gramEnd"/>
            <w:r>
              <w:rPr>
                <w:color w:val="B02045"/>
                <w:sz w:val="21"/>
              </w:rPr>
              <w:t>.enabled</w:t>
            </w:r>
          </w:p>
        </w:tc>
        <w:tc>
          <w:tcPr>
            <w:tcW w:w="2494" w:type="dxa"/>
          </w:tcPr>
          <w:p w14:paraId="591B2578" w14:textId="77777777" w:rsidR="00A720EB" w:rsidRDefault="0030286B">
            <w:pPr>
              <w:pStyle w:val="TableParagraph"/>
              <w:spacing w:before="37"/>
              <w:rPr>
                <w:sz w:val="21"/>
              </w:rPr>
            </w:pPr>
            <w:r>
              <w:rPr>
                <w:color w:val="B02045"/>
                <w:sz w:val="21"/>
              </w:rPr>
              <w:t>true</w:t>
            </w:r>
          </w:p>
        </w:tc>
        <w:tc>
          <w:tcPr>
            <w:tcW w:w="4988" w:type="dxa"/>
          </w:tcPr>
          <w:p w14:paraId="01795E44"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670BD84B" w14:textId="77777777">
        <w:trPr>
          <w:trHeight w:val="886"/>
        </w:trPr>
        <w:tc>
          <w:tcPr>
            <w:tcW w:w="2494" w:type="dxa"/>
          </w:tcPr>
          <w:p w14:paraId="3A555642"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ort.signalfx</w:t>
            </w:r>
            <w:proofErr w:type="gramEnd"/>
            <w:r>
              <w:rPr>
                <w:color w:val="B02045"/>
                <w:sz w:val="21"/>
              </w:rPr>
              <w:t>.read- timeout</w:t>
            </w:r>
          </w:p>
        </w:tc>
        <w:tc>
          <w:tcPr>
            <w:tcW w:w="2494" w:type="dxa"/>
          </w:tcPr>
          <w:p w14:paraId="76DAFFBF" w14:textId="77777777" w:rsidR="00A720EB" w:rsidRDefault="0030286B">
            <w:pPr>
              <w:pStyle w:val="TableParagraph"/>
              <w:spacing w:before="37"/>
              <w:rPr>
                <w:sz w:val="21"/>
              </w:rPr>
            </w:pPr>
            <w:r>
              <w:rPr>
                <w:color w:val="B02045"/>
                <w:sz w:val="21"/>
              </w:rPr>
              <w:t>10s</w:t>
            </w:r>
          </w:p>
        </w:tc>
        <w:tc>
          <w:tcPr>
            <w:tcW w:w="4988" w:type="dxa"/>
          </w:tcPr>
          <w:p w14:paraId="4A923BC5"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r w:rsidR="00A720EB" w14:paraId="2CF2B650" w14:textId="77777777">
        <w:trPr>
          <w:trHeight w:val="1056"/>
        </w:trPr>
        <w:tc>
          <w:tcPr>
            <w:tcW w:w="2494" w:type="dxa"/>
          </w:tcPr>
          <w:p w14:paraId="4C75AC62"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ort.signalfx</w:t>
            </w:r>
            <w:proofErr w:type="gramEnd"/>
            <w:r>
              <w:rPr>
                <w:color w:val="B02045"/>
                <w:sz w:val="21"/>
              </w:rPr>
              <w:t>.source</w:t>
            </w:r>
          </w:p>
        </w:tc>
        <w:tc>
          <w:tcPr>
            <w:tcW w:w="2494" w:type="dxa"/>
          </w:tcPr>
          <w:p w14:paraId="5962FE19" w14:textId="77777777" w:rsidR="00A720EB" w:rsidRDefault="00A720EB">
            <w:pPr>
              <w:pStyle w:val="TableParagraph"/>
              <w:spacing w:before="0"/>
              <w:ind w:left="0"/>
              <w:rPr>
                <w:rFonts w:ascii="Times New Roman"/>
                <w:sz w:val="20"/>
              </w:rPr>
            </w:pPr>
          </w:p>
        </w:tc>
        <w:tc>
          <w:tcPr>
            <w:tcW w:w="4988" w:type="dxa"/>
          </w:tcPr>
          <w:p w14:paraId="45BADE66" w14:textId="77777777" w:rsidR="00A720EB" w:rsidRDefault="0030286B">
            <w:pPr>
              <w:pStyle w:val="TableParagraph"/>
              <w:spacing w:before="28" w:line="310" w:lineRule="atLeast"/>
              <w:rPr>
                <w:rFonts w:ascii="Cambria"/>
                <w:sz w:val="21"/>
              </w:rPr>
            </w:pPr>
            <w:r>
              <w:rPr>
                <w:rFonts w:ascii="Cambria"/>
                <w:color w:val="333333"/>
                <w:w w:val="110"/>
                <w:sz w:val="21"/>
              </w:rPr>
              <w:t>Uniquely identifies the app instance that is publishing metrics to SignalFx. Defaults to the local host name.</w:t>
            </w:r>
          </w:p>
        </w:tc>
      </w:tr>
      <w:tr w:rsidR="00A720EB" w14:paraId="1CB0B104" w14:textId="77777777">
        <w:trPr>
          <w:trHeight w:val="627"/>
        </w:trPr>
        <w:tc>
          <w:tcPr>
            <w:tcW w:w="2494" w:type="dxa"/>
          </w:tcPr>
          <w:p w14:paraId="7648EAEF"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ort.signalfx</w:t>
            </w:r>
            <w:proofErr w:type="gramEnd"/>
            <w:r>
              <w:rPr>
                <w:color w:val="B02045"/>
                <w:sz w:val="21"/>
              </w:rPr>
              <w:t>.step</w:t>
            </w:r>
          </w:p>
        </w:tc>
        <w:tc>
          <w:tcPr>
            <w:tcW w:w="2494" w:type="dxa"/>
          </w:tcPr>
          <w:p w14:paraId="6669C4CA" w14:textId="77777777" w:rsidR="00A720EB" w:rsidRDefault="0030286B">
            <w:pPr>
              <w:pStyle w:val="TableParagraph"/>
              <w:rPr>
                <w:sz w:val="21"/>
              </w:rPr>
            </w:pPr>
            <w:r>
              <w:rPr>
                <w:color w:val="B02045"/>
                <w:sz w:val="21"/>
              </w:rPr>
              <w:t>10s</w:t>
            </w:r>
          </w:p>
        </w:tc>
        <w:tc>
          <w:tcPr>
            <w:tcW w:w="4988" w:type="dxa"/>
          </w:tcPr>
          <w:p w14:paraId="02AF5DDE"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0BB1F5ED" w14:textId="77777777">
        <w:trPr>
          <w:trHeight w:val="627"/>
        </w:trPr>
        <w:tc>
          <w:tcPr>
            <w:tcW w:w="2494" w:type="dxa"/>
          </w:tcPr>
          <w:p w14:paraId="4183B61B" w14:textId="77777777" w:rsidR="00A720EB" w:rsidRDefault="0030286B">
            <w:pPr>
              <w:pStyle w:val="TableParagraph"/>
              <w:spacing w:before="46" w:line="230" w:lineRule="auto"/>
              <w:ind w:right="94"/>
              <w:rPr>
                <w:sz w:val="21"/>
              </w:rPr>
            </w:pPr>
            <w:r>
              <w:rPr>
                <w:color w:val="B02045"/>
                <w:sz w:val="21"/>
              </w:rPr>
              <w:t>management.metrics.exp ort.signalfx.uri</w:t>
            </w:r>
          </w:p>
        </w:tc>
        <w:tc>
          <w:tcPr>
            <w:tcW w:w="2494" w:type="dxa"/>
          </w:tcPr>
          <w:p w14:paraId="74EDF782" w14:textId="77777777" w:rsidR="00A720EB" w:rsidRDefault="0030286B">
            <w:pPr>
              <w:pStyle w:val="TableParagraph"/>
              <w:spacing w:before="46" w:line="230" w:lineRule="auto"/>
              <w:ind w:right="94"/>
              <w:rPr>
                <w:sz w:val="21"/>
              </w:rPr>
            </w:pPr>
            <w:r>
              <w:rPr>
                <w:color w:val="B02045"/>
                <w:sz w:val="21"/>
              </w:rPr>
              <w:t>https://ingest.signalf x.com</w:t>
            </w:r>
          </w:p>
        </w:tc>
        <w:tc>
          <w:tcPr>
            <w:tcW w:w="4988" w:type="dxa"/>
          </w:tcPr>
          <w:p w14:paraId="683D1DED" w14:textId="77777777" w:rsidR="00A720EB" w:rsidRDefault="0030286B">
            <w:pPr>
              <w:pStyle w:val="TableParagraph"/>
              <w:spacing w:before="92"/>
              <w:rPr>
                <w:rFonts w:ascii="Cambria"/>
                <w:sz w:val="21"/>
              </w:rPr>
            </w:pPr>
            <w:r>
              <w:rPr>
                <w:rFonts w:ascii="Cambria"/>
                <w:color w:val="333333"/>
                <w:w w:val="110"/>
                <w:sz w:val="21"/>
              </w:rPr>
              <w:t>URI to ship metrics to.</w:t>
            </w:r>
          </w:p>
        </w:tc>
      </w:tr>
      <w:tr w:rsidR="00A720EB" w14:paraId="4424AA70" w14:textId="77777777">
        <w:trPr>
          <w:trHeight w:val="1056"/>
        </w:trPr>
        <w:tc>
          <w:tcPr>
            <w:tcW w:w="2494" w:type="dxa"/>
          </w:tcPr>
          <w:p w14:paraId="45343CFF"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ort.simple</w:t>
            </w:r>
            <w:proofErr w:type="gramEnd"/>
            <w:r>
              <w:rPr>
                <w:color w:val="B02045"/>
                <w:sz w:val="21"/>
              </w:rPr>
              <w:t>.enabled</w:t>
            </w:r>
          </w:p>
        </w:tc>
        <w:tc>
          <w:tcPr>
            <w:tcW w:w="2494" w:type="dxa"/>
          </w:tcPr>
          <w:p w14:paraId="0014C973" w14:textId="77777777" w:rsidR="00A720EB" w:rsidRDefault="0030286B">
            <w:pPr>
              <w:pStyle w:val="TableParagraph"/>
              <w:rPr>
                <w:sz w:val="21"/>
              </w:rPr>
            </w:pPr>
            <w:r>
              <w:rPr>
                <w:color w:val="B02045"/>
                <w:sz w:val="21"/>
              </w:rPr>
              <w:t>true</w:t>
            </w:r>
          </w:p>
        </w:tc>
        <w:tc>
          <w:tcPr>
            <w:tcW w:w="4988" w:type="dxa"/>
          </w:tcPr>
          <w:p w14:paraId="3880E6D7" w14:textId="77777777" w:rsidR="00A720EB" w:rsidRDefault="0030286B">
            <w:pPr>
              <w:pStyle w:val="TableParagraph"/>
              <w:spacing w:before="28" w:line="310" w:lineRule="atLeast"/>
              <w:rPr>
                <w:rFonts w:ascii="Cambria"/>
                <w:sz w:val="21"/>
              </w:rPr>
            </w:pPr>
            <w:r>
              <w:rPr>
                <w:rFonts w:ascii="Cambria"/>
                <w:color w:val="333333"/>
                <w:w w:val="110"/>
                <w:sz w:val="21"/>
              </w:rPr>
              <w:t>Whether, in the absence of any other exporter, exporting of metrics to an in-memory backend is enabled.</w:t>
            </w:r>
          </w:p>
        </w:tc>
      </w:tr>
      <w:tr w:rsidR="00A720EB" w14:paraId="1E0C0DD5" w14:textId="77777777">
        <w:trPr>
          <w:trHeight w:val="627"/>
        </w:trPr>
        <w:tc>
          <w:tcPr>
            <w:tcW w:w="2494" w:type="dxa"/>
          </w:tcPr>
          <w:p w14:paraId="4DAB541E"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ort.simple</w:t>
            </w:r>
            <w:proofErr w:type="gramEnd"/>
            <w:r>
              <w:rPr>
                <w:color w:val="B02045"/>
                <w:sz w:val="21"/>
              </w:rPr>
              <w:t>.mode</w:t>
            </w:r>
          </w:p>
        </w:tc>
        <w:tc>
          <w:tcPr>
            <w:tcW w:w="2494" w:type="dxa"/>
          </w:tcPr>
          <w:p w14:paraId="40C6DD0A" w14:textId="77777777" w:rsidR="00A720EB" w:rsidRDefault="0030286B">
            <w:pPr>
              <w:pStyle w:val="TableParagraph"/>
              <w:rPr>
                <w:sz w:val="21"/>
              </w:rPr>
            </w:pPr>
            <w:r>
              <w:rPr>
                <w:color w:val="B02045"/>
                <w:sz w:val="21"/>
              </w:rPr>
              <w:t>cumulative</w:t>
            </w:r>
          </w:p>
        </w:tc>
        <w:tc>
          <w:tcPr>
            <w:tcW w:w="4988" w:type="dxa"/>
          </w:tcPr>
          <w:p w14:paraId="281A8FD1" w14:textId="77777777" w:rsidR="00A720EB" w:rsidRDefault="0030286B">
            <w:pPr>
              <w:pStyle w:val="TableParagraph"/>
              <w:spacing w:before="92"/>
              <w:rPr>
                <w:rFonts w:ascii="Cambria"/>
                <w:sz w:val="21"/>
              </w:rPr>
            </w:pPr>
            <w:r>
              <w:rPr>
                <w:rFonts w:ascii="Cambria"/>
                <w:color w:val="333333"/>
                <w:w w:val="110"/>
                <w:sz w:val="21"/>
              </w:rPr>
              <w:t>Counting mode.</w:t>
            </w:r>
          </w:p>
        </w:tc>
      </w:tr>
      <w:tr w:rsidR="00A720EB" w14:paraId="491C2752" w14:textId="77777777">
        <w:trPr>
          <w:trHeight w:val="627"/>
        </w:trPr>
        <w:tc>
          <w:tcPr>
            <w:tcW w:w="2494" w:type="dxa"/>
          </w:tcPr>
          <w:p w14:paraId="4F7B741A"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ort.simple</w:t>
            </w:r>
            <w:proofErr w:type="gramEnd"/>
            <w:r>
              <w:rPr>
                <w:color w:val="B02045"/>
                <w:sz w:val="21"/>
              </w:rPr>
              <w:t>.step</w:t>
            </w:r>
          </w:p>
        </w:tc>
        <w:tc>
          <w:tcPr>
            <w:tcW w:w="2494" w:type="dxa"/>
          </w:tcPr>
          <w:p w14:paraId="4E21ED79" w14:textId="77777777" w:rsidR="00A720EB" w:rsidRDefault="0030286B">
            <w:pPr>
              <w:pStyle w:val="TableParagraph"/>
              <w:spacing w:before="37"/>
              <w:rPr>
                <w:sz w:val="21"/>
              </w:rPr>
            </w:pPr>
            <w:r>
              <w:rPr>
                <w:color w:val="B02045"/>
                <w:sz w:val="21"/>
              </w:rPr>
              <w:t>1m</w:t>
            </w:r>
          </w:p>
        </w:tc>
        <w:tc>
          <w:tcPr>
            <w:tcW w:w="4988" w:type="dxa"/>
          </w:tcPr>
          <w:p w14:paraId="06A0279B"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79C09F87" w14:textId="77777777">
        <w:trPr>
          <w:trHeight w:val="1056"/>
        </w:trPr>
        <w:tc>
          <w:tcPr>
            <w:tcW w:w="2494" w:type="dxa"/>
          </w:tcPr>
          <w:p w14:paraId="581D4F9A"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ort.stackdriver</w:t>
            </w:r>
            <w:proofErr w:type="gramEnd"/>
            <w:r>
              <w:rPr>
                <w:color w:val="B02045"/>
                <w:sz w:val="21"/>
              </w:rPr>
              <w:t>.batch- size</w:t>
            </w:r>
          </w:p>
        </w:tc>
        <w:tc>
          <w:tcPr>
            <w:tcW w:w="2494" w:type="dxa"/>
          </w:tcPr>
          <w:p w14:paraId="7783A67A" w14:textId="77777777" w:rsidR="00A720EB" w:rsidRDefault="0030286B">
            <w:pPr>
              <w:pStyle w:val="TableParagraph"/>
              <w:rPr>
                <w:sz w:val="21"/>
              </w:rPr>
            </w:pPr>
            <w:r>
              <w:rPr>
                <w:color w:val="B02045"/>
                <w:sz w:val="21"/>
              </w:rPr>
              <w:t>10000.0</w:t>
            </w:r>
          </w:p>
        </w:tc>
        <w:tc>
          <w:tcPr>
            <w:tcW w:w="4988" w:type="dxa"/>
          </w:tcPr>
          <w:p w14:paraId="109686DE"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72B87A00" w14:textId="77777777">
        <w:trPr>
          <w:trHeight w:val="886"/>
        </w:trPr>
        <w:tc>
          <w:tcPr>
            <w:tcW w:w="2494" w:type="dxa"/>
          </w:tcPr>
          <w:p w14:paraId="6DB4F6AD"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ort.stackdriver</w:t>
            </w:r>
            <w:proofErr w:type="gramEnd"/>
            <w:r>
              <w:rPr>
                <w:color w:val="B02045"/>
                <w:sz w:val="21"/>
              </w:rPr>
              <w:t>.connec t-timeout</w:t>
            </w:r>
          </w:p>
        </w:tc>
        <w:tc>
          <w:tcPr>
            <w:tcW w:w="2494" w:type="dxa"/>
          </w:tcPr>
          <w:p w14:paraId="526835C5" w14:textId="77777777" w:rsidR="00A720EB" w:rsidRDefault="0030286B">
            <w:pPr>
              <w:pStyle w:val="TableParagraph"/>
              <w:spacing w:before="37"/>
              <w:rPr>
                <w:sz w:val="21"/>
              </w:rPr>
            </w:pPr>
            <w:r>
              <w:rPr>
                <w:color w:val="B02045"/>
                <w:sz w:val="21"/>
              </w:rPr>
              <w:t>1s</w:t>
            </w:r>
          </w:p>
        </w:tc>
        <w:tc>
          <w:tcPr>
            <w:tcW w:w="4988" w:type="dxa"/>
          </w:tcPr>
          <w:p w14:paraId="02E3A834" w14:textId="77777777" w:rsidR="00A720EB" w:rsidRDefault="0030286B">
            <w:pPr>
              <w:pStyle w:val="TableParagraph"/>
              <w:spacing w:before="92"/>
              <w:rPr>
                <w:rFonts w:ascii="Cambria"/>
                <w:sz w:val="21"/>
              </w:rPr>
            </w:pPr>
            <w:r>
              <w:rPr>
                <w:rFonts w:ascii="Cambria"/>
                <w:color w:val="333333"/>
                <w:w w:val="110"/>
                <w:sz w:val="21"/>
              </w:rPr>
              <w:t>Connection timeout for requests to this backend.</w:t>
            </w:r>
          </w:p>
        </w:tc>
      </w:tr>
      <w:tr w:rsidR="00A720EB" w14:paraId="4A8FFFFD" w14:textId="77777777">
        <w:trPr>
          <w:trHeight w:val="886"/>
        </w:trPr>
        <w:tc>
          <w:tcPr>
            <w:tcW w:w="2494" w:type="dxa"/>
          </w:tcPr>
          <w:p w14:paraId="2A2D4B2A"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ort.stackdriver</w:t>
            </w:r>
            <w:proofErr w:type="gramEnd"/>
            <w:r>
              <w:rPr>
                <w:color w:val="B02045"/>
                <w:sz w:val="21"/>
              </w:rPr>
              <w:t>.enable d</w:t>
            </w:r>
          </w:p>
        </w:tc>
        <w:tc>
          <w:tcPr>
            <w:tcW w:w="2494" w:type="dxa"/>
          </w:tcPr>
          <w:p w14:paraId="26A949B9" w14:textId="77777777" w:rsidR="00A720EB" w:rsidRDefault="0030286B">
            <w:pPr>
              <w:pStyle w:val="TableParagraph"/>
              <w:rPr>
                <w:sz w:val="21"/>
              </w:rPr>
            </w:pPr>
            <w:r>
              <w:rPr>
                <w:color w:val="B02045"/>
                <w:sz w:val="21"/>
              </w:rPr>
              <w:t>true</w:t>
            </w:r>
          </w:p>
        </w:tc>
        <w:tc>
          <w:tcPr>
            <w:tcW w:w="4988" w:type="dxa"/>
          </w:tcPr>
          <w:p w14:paraId="477E1247" w14:textId="77777777" w:rsidR="00A720EB" w:rsidRDefault="0030286B">
            <w:pPr>
              <w:pStyle w:val="TableParagraph"/>
              <w:spacing w:before="92" w:line="307" w:lineRule="auto"/>
              <w:rPr>
                <w:rFonts w:ascii="Cambria"/>
                <w:sz w:val="21"/>
              </w:rPr>
            </w:pPr>
            <w:r>
              <w:rPr>
                <w:rFonts w:ascii="Cambria"/>
                <w:color w:val="333333"/>
                <w:w w:val="110"/>
                <w:sz w:val="21"/>
              </w:rPr>
              <w:t>Whether exporting of metrics to this backend is enabled.</w:t>
            </w:r>
          </w:p>
        </w:tc>
      </w:tr>
      <w:tr w:rsidR="00A720EB" w14:paraId="4426E851" w14:textId="77777777">
        <w:trPr>
          <w:trHeight w:val="886"/>
        </w:trPr>
        <w:tc>
          <w:tcPr>
            <w:tcW w:w="2494" w:type="dxa"/>
          </w:tcPr>
          <w:p w14:paraId="115C70B8"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ort.stackdriver</w:t>
            </w:r>
            <w:proofErr w:type="gramEnd"/>
            <w:r>
              <w:rPr>
                <w:color w:val="B02045"/>
                <w:sz w:val="21"/>
              </w:rPr>
              <w:t>.projec t-id</w:t>
            </w:r>
          </w:p>
        </w:tc>
        <w:tc>
          <w:tcPr>
            <w:tcW w:w="2494" w:type="dxa"/>
          </w:tcPr>
          <w:p w14:paraId="225CF439" w14:textId="77777777" w:rsidR="00A720EB" w:rsidRDefault="00A720EB">
            <w:pPr>
              <w:pStyle w:val="TableParagraph"/>
              <w:spacing w:before="0"/>
              <w:ind w:left="0"/>
              <w:rPr>
                <w:rFonts w:ascii="Times New Roman"/>
                <w:sz w:val="20"/>
              </w:rPr>
            </w:pPr>
          </w:p>
        </w:tc>
        <w:tc>
          <w:tcPr>
            <w:tcW w:w="4988" w:type="dxa"/>
          </w:tcPr>
          <w:p w14:paraId="6311FD15" w14:textId="77777777" w:rsidR="00A720EB" w:rsidRDefault="0030286B">
            <w:pPr>
              <w:pStyle w:val="TableParagraph"/>
              <w:spacing w:before="92"/>
              <w:rPr>
                <w:rFonts w:ascii="Cambria"/>
                <w:sz w:val="21"/>
              </w:rPr>
            </w:pPr>
            <w:r>
              <w:rPr>
                <w:rFonts w:ascii="Cambria"/>
                <w:color w:val="333333"/>
                <w:w w:val="110"/>
                <w:sz w:val="21"/>
              </w:rPr>
              <w:t>Identifier of the Google Cloud project to monitor.</w:t>
            </w:r>
          </w:p>
        </w:tc>
      </w:tr>
      <w:tr w:rsidR="00A720EB" w14:paraId="695EB214" w14:textId="77777777">
        <w:trPr>
          <w:trHeight w:val="886"/>
        </w:trPr>
        <w:tc>
          <w:tcPr>
            <w:tcW w:w="2494" w:type="dxa"/>
          </w:tcPr>
          <w:p w14:paraId="23AB5587"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ort.stackdriver</w:t>
            </w:r>
            <w:proofErr w:type="gramEnd"/>
            <w:r>
              <w:rPr>
                <w:color w:val="B02045"/>
                <w:sz w:val="21"/>
              </w:rPr>
              <w:t>.read</w:t>
            </w:r>
            <w:r>
              <w:rPr>
                <w:color w:val="B02045"/>
                <w:sz w:val="21"/>
              </w:rPr>
              <w:lastRenderedPageBreak/>
              <w:t>- timeout</w:t>
            </w:r>
          </w:p>
        </w:tc>
        <w:tc>
          <w:tcPr>
            <w:tcW w:w="2494" w:type="dxa"/>
          </w:tcPr>
          <w:p w14:paraId="7EFCD74F" w14:textId="77777777" w:rsidR="00A720EB" w:rsidRDefault="0030286B">
            <w:pPr>
              <w:pStyle w:val="TableParagraph"/>
              <w:rPr>
                <w:sz w:val="21"/>
              </w:rPr>
            </w:pPr>
            <w:r>
              <w:rPr>
                <w:color w:val="B02045"/>
                <w:sz w:val="21"/>
              </w:rPr>
              <w:lastRenderedPageBreak/>
              <w:t>10s</w:t>
            </w:r>
          </w:p>
        </w:tc>
        <w:tc>
          <w:tcPr>
            <w:tcW w:w="4988" w:type="dxa"/>
          </w:tcPr>
          <w:p w14:paraId="44DCE58A" w14:textId="77777777" w:rsidR="00A720EB" w:rsidRDefault="0030286B">
            <w:pPr>
              <w:pStyle w:val="TableParagraph"/>
              <w:spacing w:before="92"/>
              <w:rPr>
                <w:rFonts w:ascii="Cambria"/>
                <w:sz w:val="21"/>
              </w:rPr>
            </w:pPr>
            <w:r>
              <w:rPr>
                <w:rFonts w:ascii="Cambria"/>
                <w:color w:val="333333"/>
                <w:w w:val="110"/>
                <w:sz w:val="21"/>
              </w:rPr>
              <w:t>Read timeout for requests to this backend.</w:t>
            </w:r>
          </w:p>
        </w:tc>
      </w:tr>
    </w:tbl>
    <w:p w14:paraId="70E28606"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55A86E05" w14:textId="77777777">
        <w:trPr>
          <w:trHeight w:val="415"/>
        </w:trPr>
        <w:tc>
          <w:tcPr>
            <w:tcW w:w="2494" w:type="dxa"/>
            <w:tcBorders>
              <w:bottom w:val="single" w:sz="12" w:space="0" w:color="DDDDDD"/>
            </w:tcBorders>
          </w:tcPr>
          <w:p w14:paraId="3D3C8F70"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57578DE2"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4EAFAE8"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15BCC2AD" w14:textId="77777777">
        <w:trPr>
          <w:trHeight w:val="876"/>
        </w:trPr>
        <w:tc>
          <w:tcPr>
            <w:tcW w:w="2494" w:type="dxa"/>
            <w:tcBorders>
              <w:top w:val="single" w:sz="12" w:space="0" w:color="DDDDDD"/>
            </w:tcBorders>
          </w:tcPr>
          <w:p w14:paraId="3991AA8E" w14:textId="77777777" w:rsidR="00A720EB" w:rsidRDefault="0030286B">
            <w:pPr>
              <w:pStyle w:val="TableParagraph"/>
              <w:spacing w:before="36" w:line="230" w:lineRule="auto"/>
              <w:ind w:right="113"/>
              <w:jc w:val="both"/>
              <w:rPr>
                <w:sz w:val="21"/>
              </w:rPr>
            </w:pPr>
            <w:r>
              <w:rPr>
                <w:color w:val="B02045"/>
                <w:sz w:val="21"/>
              </w:rPr>
              <w:t xml:space="preserve">management.metrics.exp </w:t>
            </w:r>
            <w:proofErr w:type="gramStart"/>
            <w:r>
              <w:rPr>
                <w:color w:val="B02045"/>
                <w:sz w:val="21"/>
              </w:rPr>
              <w:t>ort.stackdriver</w:t>
            </w:r>
            <w:proofErr w:type="gramEnd"/>
            <w:r>
              <w:rPr>
                <w:color w:val="B02045"/>
                <w:sz w:val="21"/>
              </w:rPr>
              <w:t>.resour ce-type</w:t>
            </w:r>
          </w:p>
        </w:tc>
        <w:tc>
          <w:tcPr>
            <w:tcW w:w="2494" w:type="dxa"/>
            <w:tcBorders>
              <w:top w:val="single" w:sz="12" w:space="0" w:color="DDDDDD"/>
            </w:tcBorders>
          </w:tcPr>
          <w:p w14:paraId="2448E347" w14:textId="77777777" w:rsidR="00A720EB" w:rsidRDefault="0030286B">
            <w:pPr>
              <w:pStyle w:val="TableParagraph"/>
              <w:spacing w:before="27"/>
              <w:rPr>
                <w:sz w:val="21"/>
              </w:rPr>
            </w:pPr>
            <w:r>
              <w:rPr>
                <w:color w:val="B02045"/>
                <w:sz w:val="21"/>
              </w:rPr>
              <w:t>global</w:t>
            </w:r>
          </w:p>
        </w:tc>
        <w:tc>
          <w:tcPr>
            <w:tcW w:w="4988" w:type="dxa"/>
            <w:tcBorders>
              <w:top w:val="single" w:sz="12" w:space="0" w:color="DDDDDD"/>
            </w:tcBorders>
          </w:tcPr>
          <w:p w14:paraId="1B43DE88" w14:textId="77777777" w:rsidR="00A720EB" w:rsidRDefault="0030286B">
            <w:pPr>
              <w:pStyle w:val="TableParagraph"/>
              <w:spacing w:before="82"/>
              <w:rPr>
                <w:rFonts w:ascii="Cambria"/>
                <w:sz w:val="21"/>
              </w:rPr>
            </w:pPr>
            <w:r>
              <w:rPr>
                <w:rFonts w:ascii="Cambria"/>
                <w:color w:val="333333"/>
                <w:w w:val="110"/>
                <w:sz w:val="21"/>
              </w:rPr>
              <w:t>Monitored resource type.</w:t>
            </w:r>
          </w:p>
        </w:tc>
      </w:tr>
      <w:tr w:rsidR="00A720EB" w14:paraId="7D314D94" w14:textId="77777777">
        <w:trPr>
          <w:trHeight w:val="627"/>
        </w:trPr>
        <w:tc>
          <w:tcPr>
            <w:tcW w:w="2494" w:type="dxa"/>
          </w:tcPr>
          <w:p w14:paraId="05853454"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ort.stackdriver</w:t>
            </w:r>
            <w:proofErr w:type="gramEnd"/>
            <w:r>
              <w:rPr>
                <w:color w:val="B02045"/>
                <w:sz w:val="21"/>
              </w:rPr>
              <w:t>.step</w:t>
            </w:r>
          </w:p>
        </w:tc>
        <w:tc>
          <w:tcPr>
            <w:tcW w:w="2494" w:type="dxa"/>
          </w:tcPr>
          <w:p w14:paraId="623526F2" w14:textId="77777777" w:rsidR="00A720EB" w:rsidRDefault="0030286B">
            <w:pPr>
              <w:pStyle w:val="TableParagraph"/>
              <w:rPr>
                <w:sz w:val="21"/>
              </w:rPr>
            </w:pPr>
            <w:r>
              <w:rPr>
                <w:color w:val="B02045"/>
                <w:sz w:val="21"/>
              </w:rPr>
              <w:t>1m</w:t>
            </w:r>
          </w:p>
        </w:tc>
        <w:tc>
          <w:tcPr>
            <w:tcW w:w="4988" w:type="dxa"/>
          </w:tcPr>
          <w:p w14:paraId="2C24071A"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70472B4F" w14:textId="77777777">
        <w:trPr>
          <w:trHeight w:val="741"/>
        </w:trPr>
        <w:tc>
          <w:tcPr>
            <w:tcW w:w="2494" w:type="dxa"/>
          </w:tcPr>
          <w:p w14:paraId="677A1E80"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ort.statsd</w:t>
            </w:r>
            <w:proofErr w:type="gramEnd"/>
            <w:r>
              <w:rPr>
                <w:color w:val="B02045"/>
                <w:sz w:val="21"/>
              </w:rPr>
              <w:t>.enabled</w:t>
            </w:r>
          </w:p>
        </w:tc>
        <w:tc>
          <w:tcPr>
            <w:tcW w:w="2494" w:type="dxa"/>
          </w:tcPr>
          <w:p w14:paraId="52F0F887" w14:textId="77777777" w:rsidR="00A720EB" w:rsidRDefault="0030286B">
            <w:pPr>
              <w:pStyle w:val="TableParagraph"/>
              <w:rPr>
                <w:sz w:val="21"/>
              </w:rPr>
            </w:pPr>
            <w:r>
              <w:rPr>
                <w:color w:val="B02045"/>
                <w:sz w:val="21"/>
              </w:rPr>
              <w:t>true</w:t>
            </w:r>
          </w:p>
        </w:tc>
        <w:tc>
          <w:tcPr>
            <w:tcW w:w="4988" w:type="dxa"/>
          </w:tcPr>
          <w:p w14:paraId="017B3FB1" w14:textId="77777777" w:rsidR="00A720EB" w:rsidRDefault="0030286B">
            <w:pPr>
              <w:pStyle w:val="TableParagraph"/>
              <w:spacing w:before="28" w:line="310" w:lineRule="atLeast"/>
              <w:ind w:right="640"/>
              <w:rPr>
                <w:rFonts w:ascii="Cambria"/>
                <w:sz w:val="21"/>
              </w:rPr>
            </w:pPr>
            <w:r>
              <w:rPr>
                <w:rFonts w:ascii="Cambria"/>
                <w:color w:val="333333"/>
                <w:w w:val="110"/>
                <w:sz w:val="21"/>
              </w:rPr>
              <w:t>Whether exporting of metrics to StatsD is enabled.</w:t>
            </w:r>
          </w:p>
        </w:tc>
      </w:tr>
      <w:tr w:rsidR="00A720EB" w14:paraId="6798A6C7" w14:textId="77777777">
        <w:trPr>
          <w:trHeight w:val="627"/>
        </w:trPr>
        <w:tc>
          <w:tcPr>
            <w:tcW w:w="2494" w:type="dxa"/>
          </w:tcPr>
          <w:p w14:paraId="755576E0"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ort.statsd</w:t>
            </w:r>
            <w:proofErr w:type="gramEnd"/>
            <w:r>
              <w:rPr>
                <w:color w:val="B02045"/>
                <w:sz w:val="21"/>
              </w:rPr>
              <w:t>.flavor</w:t>
            </w:r>
          </w:p>
        </w:tc>
        <w:tc>
          <w:tcPr>
            <w:tcW w:w="2494" w:type="dxa"/>
          </w:tcPr>
          <w:p w14:paraId="6ABE5A72" w14:textId="77777777" w:rsidR="00A720EB" w:rsidRDefault="0030286B">
            <w:pPr>
              <w:pStyle w:val="TableParagraph"/>
              <w:rPr>
                <w:sz w:val="21"/>
              </w:rPr>
            </w:pPr>
            <w:r>
              <w:rPr>
                <w:color w:val="B02045"/>
                <w:sz w:val="21"/>
              </w:rPr>
              <w:t>datadog</w:t>
            </w:r>
          </w:p>
        </w:tc>
        <w:tc>
          <w:tcPr>
            <w:tcW w:w="4988" w:type="dxa"/>
          </w:tcPr>
          <w:p w14:paraId="23A0B6FC" w14:textId="77777777" w:rsidR="00A720EB" w:rsidRDefault="0030286B">
            <w:pPr>
              <w:pStyle w:val="TableParagraph"/>
              <w:spacing w:before="92"/>
              <w:rPr>
                <w:rFonts w:ascii="Cambria"/>
                <w:sz w:val="21"/>
              </w:rPr>
            </w:pPr>
            <w:r>
              <w:rPr>
                <w:rFonts w:ascii="Cambria"/>
                <w:color w:val="333333"/>
                <w:w w:val="110"/>
                <w:sz w:val="21"/>
              </w:rPr>
              <w:t>StatsD line protocol to use.</w:t>
            </w:r>
          </w:p>
        </w:tc>
      </w:tr>
      <w:tr w:rsidR="00A720EB" w14:paraId="6E82C50C" w14:textId="77777777">
        <w:trPr>
          <w:trHeight w:val="741"/>
        </w:trPr>
        <w:tc>
          <w:tcPr>
            <w:tcW w:w="2494" w:type="dxa"/>
          </w:tcPr>
          <w:p w14:paraId="66431A33"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ort.statsd</w:t>
            </w:r>
            <w:proofErr w:type="gramEnd"/>
            <w:r>
              <w:rPr>
                <w:color w:val="B02045"/>
                <w:sz w:val="21"/>
              </w:rPr>
              <w:t>.host</w:t>
            </w:r>
          </w:p>
        </w:tc>
        <w:tc>
          <w:tcPr>
            <w:tcW w:w="2494" w:type="dxa"/>
          </w:tcPr>
          <w:p w14:paraId="375104AC" w14:textId="77777777" w:rsidR="00A720EB" w:rsidRDefault="0030286B">
            <w:pPr>
              <w:pStyle w:val="TableParagraph"/>
              <w:spacing w:before="37"/>
              <w:rPr>
                <w:sz w:val="21"/>
              </w:rPr>
            </w:pPr>
            <w:r>
              <w:rPr>
                <w:color w:val="B02045"/>
                <w:sz w:val="21"/>
              </w:rPr>
              <w:t>localhost</w:t>
            </w:r>
          </w:p>
        </w:tc>
        <w:tc>
          <w:tcPr>
            <w:tcW w:w="4988" w:type="dxa"/>
          </w:tcPr>
          <w:p w14:paraId="3A2D14C6" w14:textId="77777777" w:rsidR="00A720EB" w:rsidRDefault="0030286B">
            <w:pPr>
              <w:pStyle w:val="TableParagraph"/>
              <w:spacing w:before="28" w:line="310" w:lineRule="atLeast"/>
              <w:rPr>
                <w:rFonts w:ascii="Cambria"/>
                <w:sz w:val="21"/>
              </w:rPr>
            </w:pPr>
            <w:r>
              <w:rPr>
                <w:rFonts w:ascii="Cambria"/>
                <w:color w:val="333333"/>
                <w:w w:val="110"/>
                <w:sz w:val="21"/>
              </w:rPr>
              <w:t>Host of the StatsD server to receive exported metrics.</w:t>
            </w:r>
          </w:p>
        </w:tc>
      </w:tr>
      <w:tr w:rsidR="00A720EB" w14:paraId="581AB52C" w14:textId="77777777">
        <w:trPr>
          <w:trHeight w:val="886"/>
        </w:trPr>
        <w:tc>
          <w:tcPr>
            <w:tcW w:w="2494" w:type="dxa"/>
          </w:tcPr>
          <w:p w14:paraId="29CE4463" w14:textId="77777777" w:rsidR="00A720EB" w:rsidRDefault="0030286B">
            <w:pPr>
              <w:pStyle w:val="TableParagraph"/>
              <w:spacing w:before="46" w:line="230" w:lineRule="auto"/>
              <w:ind w:right="113"/>
              <w:jc w:val="both"/>
              <w:rPr>
                <w:sz w:val="21"/>
              </w:rPr>
            </w:pPr>
            <w:r>
              <w:rPr>
                <w:color w:val="B02045"/>
                <w:sz w:val="21"/>
              </w:rPr>
              <w:t>management.metrics.exp ort.statsd.max-packet- length</w:t>
            </w:r>
          </w:p>
        </w:tc>
        <w:tc>
          <w:tcPr>
            <w:tcW w:w="2494" w:type="dxa"/>
          </w:tcPr>
          <w:p w14:paraId="69225A83" w14:textId="77777777" w:rsidR="00A720EB" w:rsidRDefault="0030286B">
            <w:pPr>
              <w:pStyle w:val="TableParagraph"/>
              <w:rPr>
                <w:sz w:val="21"/>
              </w:rPr>
            </w:pPr>
            <w:r>
              <w:rPr>
                <w:color w:val="B02045"/>
                <w:sz w:val="21"/>
              </w:rPr>
              <w:t>1400.0</w:t>
            </w:r>
          </w:p>
        </w:tc>
        <w:tc>
          <w:tcPr>
            <w:tcW w:w="4988" w:type="dxa"/>
          </w:tcPr>
          <w:p w14:paraId="65F7378B" w14:textId="77777777" w:rsidR="00A720EB" w:rsidRDefault="0030286B">
            <w:pPr>
              <w:pStyle w:val="TableParagraph"/>
              <w:spacing w:before="92" w:line="307" w:lineRule="auto"/>
              <w:rPr>
                <w:rFonts w:ascii="Cambria"/>
                <w:sz w:val="21"/>
              </w:rPr>
            </w:pPr>
            <w:r>
              <w:rPr>
                <w:rFonts w:ascii="Cambria"/>
                <w:color w:val="333333"/>
                <w:w w:val="110"/>
                <w:sz w:val="21"/>
              </w:rPr>
              <w:t>Total length of a single payload should be kept within your network's MTU.</w:t>
            </w:r>
          </w:p>
        </w:tc>
      </w:tr>
      <w:tr w:rsidR="00A720EB" w14:paraId="453F1436" w14:textId="77777777">
        <w:trPr>
          <w:trHeight w:val="1372"/>
        </w:trPr>
        <w:tc>
          <w:tcPr>
            <w:tcW w:w="2494" w:type="dxa"/>
          </w:tcPr>
          <w:p w14:paraId="13A5457C"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ort.statsd</w:t>
            </w:r>
            <w:proofErr w:type="gramEnd"/>
            <w:r>
              <w:rPr>
                <w:color w:val="B02045"/>
                <w:sz w:val="21"/>
              </w:rPr>
              <w:t>.polling- frequency</w:t>
            </w:r>
          </w:p>
        </w:tc>
        <w:tc>
          <w:tcPr>
            <w:tcW w:w="2494" w:type="dxa"/>
          </w:tcPr>
          <w:p w14:paraId="46675A1F" w14:textId="77777777" w:rsidR="00A720EB" w:rsidRDefault="0030286B">
            <w:pPr>
              <w:pStyle w:val="TableParagraph"/>
              <w:spacing w:before="37"/>
              <w:rPr>
                <w:sz w:val="21"/>
              </w:rPr>
            </w:pPr>
            <w:r>
              <w:rPr>
                <w:color w:val="B02045"/>
                <w:sz w:val="21"/>
              </w:rPr>
              <w:t>10s</w:t>
            </w:r>
          </w:p>
        </w:tc>
        <w:tc>
          <w:tcPr>
            <w:tcW w:w="4988" w:type="dxa"/>
          </w:tcPr>
          <w:p w14:paraId="05F93A52" w14:textId="77777777" w:rsidR="00A720EB" w:rsidRDefault="0030286B">
            <w:pPr>
              <w:pStyle w:val="TableParagraph"/>
              <w:spacing w:before="28" w:line="310" w:lineRule="atLeast"/>
              <w:ind w:right="161"/>
              <w:rPr>
                <w:rFonts w:ascii="Cambria"/>
                <w:sz w:val="21"/>
              </w:rPr>
            </w:pPr>
            <w:r>
              <w:rPr>
                <w:rFonts w:ascii="Cambria"/>
                <w:color w:val="333333"/>
                <w:w w:val="110"/>
                <w:sz w:val="21"/>
              </w:rPr>
              <w:t xml:space="preserve">How often gauges will be polled. When a gauge is polled, its value is recalculated and if </w:t>
            </w:r>
            <w:proofErr w:type="gramStart"/>
            <w:r>
              <w:rPr>
                <w:rFonts w:ascii="Cambria"/>
                <w:color w:val="333333"/>
                <w:w w:val="110"/>
                <w:sz w:val="21"/>
              </w:rPr>
              <w:t>the  value</w:t>
            </w:r>
            <w:proofErr w:type="gramEnd"/>
            <w:r>
              <w:rPr>
                <w:rFonts w:ascii="Cambria"/>
                <w:color w:val="333333"/>
                <w:w w:val="110"/>
                <w:sz w:val="21"/>
              </w:rPr>
              <w:t xml:space="preserve"> has changed (or publishUnchangedMeters is true), it is sent to the StatsD</w:t>
            </w:r>
            <w:r>
              <w:rPr>
                <w:rFonts w:ascii="Cambria"/>
                <w:color w:val="333333"/>
                <w:spacing w:val="12"/>
                <w:w w:val="110"/>
                <w:sz w:val="21"/>
              </w:rPr>
              <w:t xml:space="preserve"> </w:t>
            </w:r>
            <w:r>
              <w:rPr>
                <w:rFonts w:ascii="Cambria"/>
                <w:color w:val="333333"/>
                <w:w w:val="110"/>
                <w:sz w:val="21"/>
              </w:rPr>
              <w:t>server.</w:t>
            </w:r>
          </w:p>
        </w:tc>
      </w:tr>
      <w:tr w:rsidR="00A720EB" w14:paraId="27EBA792" w14:textId="77777777">
        <w:trPr>
          <w:trHeight w:val="741"/>
        </w:trPr>
        <w:tc>
          <w:tcPr>
            <w:tcW w:w="2494" w:type="dxa"/>
          </w:tcPr>
          <w:p w14:paraId="1FF72CD7"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ort.statsd</w:t>
            </w:r>
            <w:proofErr w:type="gramEnd"/>
            <w:r>
              <w:rPr>
                <w:color w:val="B02045"/>
                <w:sz w:val="21"/>
              </w:rPr>
              <w:t>.port</w:t>
            </w:r>
          </w:p>
        </w:tc>
        <w:tc>
          <w:tcPr>
            <w:tcW w:w="2494" w:type="dxa"/>
          </w:tcPr>
          <w:p w14:paraId="68800A0C" w14:textId="77777777" w:rsidR="00A720EB" w:rsidRDefault="0030286B">
            <w:pPr>
              <w:pStyle w:val="TableParagraph"/>
              <w:spacing w:before="37"/>
              <w:rPr>
                <w:sz w:val="21"/>
              </w:rPr>
            </w:pPr>
            <w:r>
              <w:rPr>
                <w:color w:val="B02045"/>
                <w:sz w:val="21"/>
              </w:rPr>
              <w:t>8125.0</w:t>
            </w:r>
          </w:p>
        </w:tc>
        <w:tc>
          <w:tcPr>
            <w:tcW w:w="4988" w:type="dxa"/>
          </w:tcPr>
          <w:p w14:paraId="130E5550" w14:textId="77777777" w:rsidR="00A720EB" w:rsidRDefault="0030286B">
            <w:pPr>
              <w:pStyle w:val="TableParagraph"/>
              <w:spacing w:before="28" w:line="310" w:lineRule="atLeast"/>
              <w:rPr>
                <w:rFonts w:ascii="Cambria"/>
                <w:sz w:val="21"/>
              </w:rPr>
            </w:pPr>
            <w:r>
              <w:rPr>
                <w:rFonts w:ascii="Cambria"/>
                <w:color w:val="333333"/>
                <w:w w:val="110"/>
                <w:sz w:val="21"/>
              </w:rPr>
              <w:t>Port of the StatsD server to receive exported metrics.</w:t>
            </w:r>
          </w:p>
        </w:tc>
      </w:tr>
      <w:tr w:rsidR="00A720EB" w14:paraId="022BFCDA" w14:textId="77777777">
        <w:trPr>
          <w:trHeight w:val="886"/>
        </w:trPr>
        <w:tc>
          <w:tcPr>
            <w:tcW w:w="2494" w:type="dxa"/>
          </w:tcPr>
          <w:p w14:paraId="168846C9"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ort.statsd</w:t>
            </w:r>
            <w:proofErr w:type="gramEnd"/>
            <w:r>
              <w:rPr>
                <w:color w:val="B02045"/>
                <w:sz w:val="21"/>
              </w:rPr>
              <w:t>.publish- unchanged-meters</w:t>
            </w:r>
          </w:p>
        </w:tc>
        <w:tc>
          <w:tcPr>
            <w:tcW w:w="2494" w:type="dxa"/>
          </w:tcPr>
          <w:p w14:paraId="05105016" w14:textId="77777777" w:rsidR="00A720EB" w:rsidRDefault="0030286B">
            <w:pPr>
              <w:pStyle w:val="TableParagraph"/>
              <w:rPr>
                <w:sz w:val="21"/>
              </w:rPr>
            </w:pPr>
            <w:r>
              <w:rPr>
                <w:color w:val="B02045"/>
                <w:sz w:val="21"/>
              </w:rPr>
              <w:t>true</w:t>
            </w:r>
          </w:p>
        </w:tc>
        <w:tc>
          <w:tcPr>
            <w:tcW w:w="4988" w:type="dxa"/>
          </w:tcPr>
          <w:p w14:paraId="5DDCFEE8" w14:textId="77777777" w:rsidR="00A720EB" w:rsidRDefault="0030286B">
            <w:pPr>
              <w:pStyle w:val="TableParagraph"/>
              <w:spacing w:before="92" w:line="307" w:lineRule="auto"/>
              <w:rPr>
                <w:rFonts w:ascii="Cambria"/>
                <w:sz w:val="21"/>
              </w:rPr>
            </w:pPr>
            <w:r>
              <w:rPr>
                <w:rFonts w:ascii="Cambria"/>
                <w:color w:val="333333"/>
                <w:w w:val="110"/>
                <w:sz w:val="21"/>
              </w:rPr>
              <w:t>Whether to send unchanged meters to the StatsD server.</w:t>
            </w:r>
          </w:p>
        </w:tc>
      </w:tr>
      <w:tr w:rsidR="00A720EB" w14:paraId="191A1D13" w14:textId="77777777">
        <w:trPr>
          <w:trHeight w:val="886"/>
        </w:trPr>
        <w:tc>
          <w:tcPr>
            <w:tcW w:w="2494" w:type="dxa"/>
          </w:tcPr>
          <w:p w14:paraId="6C8FE041" w14:textId="77777777" w:rsidR="00A720EB" w:rsidRDefault="0030286B">
            <w:pPr>
              <w:pStyle w:val="TableParagraph"/>
              <w:spacing w:before="46" w:line="230" w:lineRule="auto"/>
              <w:ind w:right="113"/>
              <w:rPr>
                <w:sz w:val="21"/>
              </w:rPr>
            </w:pPr>
            <w:r>
              <w:rPr>
                <w:color w:val="B02045"/>
                <w:sz w:val="21"/>
              </w:rPr>
              <w:t>management.metrics.exp ort.wavefront.api- token</w:t>
            </w:r>
          </w:p>
        </w:tc>
        <w:tc>
          <w:tcPr>
            <w:tcW w:w="2494" w:type="dxa"/>
          </w:tcPr>
          <w:p w14:paraId="669B0C22" w14:textId="77777777" w:rsidR="00A720EB" w:rsidRDefault="00A720EB">
            <w:pPr>
              <w:pStyle w:val="TableParagraph"/>
              <w:spacing w:before="0"/>
              <w:ind w:left="0"/>
              <w:rPr>
                <w:rFonts w:ascii="Times New Roman"/>
                <w:sz w:val="20"/>
              </w:rPr>
            </w:pPr>
          </w:p>
        </w:tc>
        <w:tc>
          <w:tcPr>
            <w:tcW w:w="4988" w:type="dxa"/>
          </w:tcPr>
          <w:p w14:paraId="652D621F" w14:textId="77777777" w:rsidR="00A720EB" w:rsidRDefault="0030286B">
            <w:pPr>
              <w:pStyle w:val="TableParagraph"/>
              <w:spacing w:before="92" w:line="307" w:lineRule="auto"/>
              <w:rPr>
                <w:rFonts w:ascii="Cambria"/>
                <w:sz w:val="21"/>
              </w:rPr>
            </w:pPr>
            <w:r>
              <w:rPr>
                <w:rFonts w:ascii="Cambria"/>
                <w:color w:val="333333"/>
                <w:w w:val="110"/>
                <w:sz w:val="21"/>
              </w:rPr>
              <w:t>API token used when publishing metrics directly to the Wavefront API host.</w:t>
            </w:r>
          </w:p>
        </w:tc>
      </w:tr>
      <w:tr w:rsidR="00A720EB" w14:paraId="1E48D97C" w14:textId="77777777">
        <w:trPr>
          <w:trHeight w:val="1056"/>
        </w:trPr>
        <w:tc>
          <w:tcPr>
            <w:tcW w:w="2494" w:type="dxa"/>
          </w:tcPr>
          <w:p w14:paraId="19DA2544"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ort.wavefront</w:t>
            </w:r>
            <w:proofErr w:type="gramEnd"/>
            <w:r>
              <w:rPr>
                <w:color w:val="B02045"/>
                <w:sz w:val="21"/>
              </w:rPr>
              <w:t>.batch- size</w:t>
            </w:r>
          </w:p>
        </w:tc>
        <w:tc>
          <w:tcPr>
            <w:tcW w:w="2494" w:type="dxa"/>
          </w:tcPr>
          <w:p w14:paraId="60D4607E" w14:textId="77777777" w:rsidR="00A720EB" w:rsidRDefault="0030286B">
            <w:pPr>
              <w:pStyle w:val="TableParagraph"/>
              <w:spacing w:before="37"/>
              <w:rPr>
                <w:sz w:val="21"/>
              </w:rPr>
            </w:pPr>
            <w:r>
              <w:rPr>
                <w:color w:val="B02045"/>
                <w:sz w:val="21"/>
              </w:rPr>
              <w:t>10000.0</w:t>
            </w:r>
          </w:p>
        </w:tc>
        <w:tc>
          <w:tcPr>
            <w:tcW w:w="4988" w:type="dxa"/>
          </w:tcPr>
          <w:p w14:paraId="4E86A3DB" w14:textId="77777777" w:rsidR="00A720EB" w:rsidRDefault="0030286B">
            <w:pPr>
              <w:pStyle w:val="TableParagraph"/>
              <w:spacing w:before="28" w:line="310" w:lineRule="atLeast"/>
              <w:rPr>
                <w:rFonts w:ascii="Cambria"/>
                <w:sz w:val="21"/>
              </w:rPr>
            </w:pPr>
            <w:r>
              <w:rPr>
                <w:rFonts w:ascii="Cambria"/>
                <w:color w:val="333333"/>
                <w:w w:val="110"/>
                <w:sz w:val="21"/>
              </w:rPr>
              <w:t>Number of measurements per request to use for this backend. If more measurements are found, then multiple requests will be made.</w:t>
            </w:r>
          </w:p>
        </w:tc>
      </w:tr>
      <w:tr w:rsidR="00A720EB" w14:paraId="27EDD0CE" w14:textId="77777777">
        <w:trPr>
          <w:trHeight w:val="741"/>
        </w:trPr>
        <w:tc>
          <w:tcPr>
            <w:tcW w:w="2494" w:type="dxa"/>
          </w:tcPr>
          <w:p w14:paraId="6BCC241D"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ort.wavefront</w:t>
            </w:r>
            <w:proofErr w:type="gramEnd"/>
            <w:r>
              <w:rPr>
                <w:color w:val="B02045"/>
                <w:sz w:val="21"/>
              </w:rPr>
              <w:t>.enabled</w:t>
            </w:r>
          </w:p>
        </w:tc>
        <w:tc>
          <w:tcPr>
            <w:tcW w:w="2494" w:type="dxa"/>
          </w:tcPr>
          <w:p w14:paraId="119263F9" w14:textId="77777777" w:rsidR="00A720EB" w:rsidRDefault="0030286B">
            <w:pPr>
              <w:pStyle w:val="TableParagraph"/>
              <w:spacing w:before="37"/>
              <w:rPr>
                <w:sz w:val="21"/>
              </w:rPr>
            </w:pPr>
            <w:r>
              <w:rPr>
                <w:color w:val="B02045"/>
                <w:sz w:val="21"/>
              </w:rPr>
              <w:t>true</w:t>
            </w:r>
          </w:p>
        </w:tc>
        <w:tc>
          <w:tcPr>
            <w:tcW w:w="4988" w:type="dxa"/>
          </w:tcPr>
          <w:p w14:paraId="38120F9D" w14:textId="77777777" w:rsidR="00A720EB" w:rsidRDefault="0030286B">
            <w:pPr>
              <w:pStyle w:val="TableParagraph"/>
              <w:spacing w:before="28" w:line="310" w:lineRule="atLeast"/>
              <w:rPr>
                <w:rFonts w:ascii="Cambria"/>
                <w:sz w:val="21"/>
              </w:rPr>
            </w:pPr>
            <w:r>
              <w:rPr>
                <w:rFonts w:ascii="Cambria"/>
                <w:color w:val="333333"/>
                <w:w w:val="110"/>
                <w:sz w:val="21"/>
              </w:rPr>
              <w:t>Whether exporting of metrics to this backend is enabled.</w:t>
            </w:r>
          </w:p>
        </w:tc>
      </w:tr>
      <w:tr w:rsidR="00A720EB" w14:paraId="45FAEA72" w14:textId="77777777">
        <w:trPr>
          <w:trHeight w:val="1372"/>
        </w:trPr>
        <w:tc>
          <w:tcPr>
            <w:tcW w:w="2494" w:type="dxa"/>
          </w:tcPr>
          <w:p w14:paraId="69702F59" w14:textId="77777777" w:rsidR="00A720EB" w:rsidRDefault="0030286B">
            <w:pPr>
              <w:pStyle w:val="TableParagraph"/>
              <w:spacing w:before="46" w:line="230" w:lineRule="auto"/>
              <w:ind w:right="113"/>
              <w:rPr>
                <w:sz w:val="21"/>
              </w:rPr>
            </w:pPr>
            <w:r>
              <w:rPr>
                <w:color w:val="B02045"/>
                <w:sz w:val="21"/>
              </w:rPr>
              <w:t xml:space="preserve">management.metrics.exp </w:t>
            </w:r>
            <w:proofErr w:type="gramStart"/>
            <w:r>
              <w:rPr>
                <w:color w:val="B02045"/>
                <w:sz w:val="21"/>
              </w:rPr>
              <w:t>ort.wavefront</w:t>
            </w:r>
            <w:proofErr w:type="gramEnd"/>
            <w:r>
              <w:rPr>
                <w:color w:val="B02045"/>
                <w:sz w:val="21"/>
              </w:rPr>
              <w:t>.global- prefix</w:t>
            </w:r>
          </w:p>
        </w:tc>
        <w:tc>
          <w:tcPr>
            <w:tcW w:w="2494" w:type="dxa"/>
          </w:tcPr>
          <w:p w14:paraId="0FD5523C" w14:textId="77777777" w:rsidR="00A720EB" w:rsidRDefault="00A720EB">
            <w:pPr>
              <w:pStyle w:val="TableParagraph"/>
              <w:spacing w:before="0"/>
              <w:ind w:left="0"/>
              <w:rPr>
                <w:rFonts w:ascii="Times New Roman"/>
                <w:sz w:val="20"/>
              </w:rPr>
            </w:pPr>
          </w:p>
        </w:tc>
        <w:tc>
          <w:tcPr>
            <w:tcW w:w="4988" w:type="dxa"/>
          </w:tcPr>
          <w:p w14:paraId="05C086AA" w14:textId="77777777" w:rsidR="00A720EB" w:rsidRDefault="0030286B">
            <w:pPr>
              <w:pStyle w:val="TableParagraph"/>
              <w:spacing w:before="28" w:line="310" w:lineRule="atLeast"/>
              <w:ind w:right="117"/>
              <w:rPr>
                <w:rFonts w:ascii="Cambria"/>
                <w:sz w:val="21"/>
              </w:rPr>
            </w:pPr>
            <w:r>
              <w:rPr>
                <w:rFonts w:ascii="Cambria"/>
                <w:color w:val="333333"/>
                <w:w w:val="110"/>
                <w:sz w:val="21"/>
              </w:rPr>
              <w:t>Global prefix to separate metrics originating from this app's white box instrumentation from those originating from other Wavefront integrations when viewed in the Wavefront UI.</w:t>
            </w:r>
          </w:p>
        </w:tc>
      </w:tr>
      <w:tr w:rsidR="00A720EB" w14:paraId="17613697" w14:textId="77777777">
        <w:trPr>
          <w:trHeight w:val="886"/>
        </w:trPr>
        <w:tc>
          <w:tcPr>
            <w:tcW w:w="2494" w:type="dxa"/>
          </w:tcPr>
          <w:p w14:paraId="4600E437"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ort.wavefront</w:t>
            </w:r>
            <w:proofErr w:type="gramEnd"/>
            <w:r>
              <w:rPr>
                <w:color w:val="B02045"/>
                <w:sz w:val="21"/>
              </w:rPr>
              <w:t>.sender.f lush-interval</w:t>
            </w:r>
          </w:p>
        </w:tc>
        <w:tc>
          <w:tcPr>
            <w:tcW w:w="2494" w:type="dxa"/>
          </w:tcPr>
          <w:p w14:paraId="2B3FF2CA" w14:textId="77777777" w:rsidR="00A720EB" w:rsidRDefault="0030286B">
            <w:pPr>
              <w:pStyle w:val="TableParagraph"/>
              <w:rPr>
                <w:sz w:val="21"/>
              </w:rPr>
            </w:pPr>
            <w:r>
              <w:rPr>
                <w:color w:val="B02045"/>
                <w:sz w:val="21"/>
              </w:rPr>
              <w:t>1s</w:t>
            </w:r>
          </w:p>
        </w:tc>
        <w:tc>
          <w:tcPr>
            <w:tcW w:w="4988" w:type="dxa"/>
          </w:tcPr>
          <w:p w14:paraId="4F51FCEF" w14:textId="77777777" w:rsidR="00A720EB" w:rsidRDefault="00A720EB">
            <w:pPr>
              <w:pStyle w:val="TableParagraph"/>
              <w:spacing w:before="0"/>
              <w:ind w:left="0"/>
              <w:rPr>
                <w:rFonts w:ascii="Times New Roman"/>
                <w:sz w:val="20"/>
              </w:rPr>
            </w:pPr>
          </w:p>
        </w:tc>
      </w:tr>
      <w:tr w:rsidR="00A720EB" w14:paraId="674F7E1E" w14:textId="77777777">
        <w:trPr>
          <w:trHeight w:val="886"/>
        </w:trPr>
        <w:tc>
          <w:tcPr>
            <w:tcW w:w="2494" w:type="dxa"/>
          </w:tcPr>
          <w:p w14:paraId="07780990" w14:textId="77777777" w:rsidR="00A720EB" w:rsidRDefault="0030286B">
            <w:pPr>
              <w:pStyle w:val="TableParagraph"/>
              <w:spacing w:before="46" w:line="230" w:lineRule="auto"/>
              <w:ind w:right="113"/>
              <w:jc w:val="both"/>
              <w:rPr>
                <w:sz w:val="21"/>
              </w:rPr>
            </w:pPr>
            <w:r>
              <w:rPr>
                <w:color w:val="B02045"/>
                <w:sz w:val="21"/>
              </w:rPr>
              <w:lastRenderedPageBreak/>
              <w:t xml:space="preserve">management.metrics.exp </w:t>
            </w:r>
            <w:proofErr w:type="gramStart"/>
            <w:r>
              <w:rPr>
                <w:color w:val="B02045"/>
                <w:sz w:val="21"/>
              </w:rPr>
              <w:t>ort.wavefront</w:t>
            </w:r>
            <w:proofErr w:type="gramEnd"/>
            <w:r>
              <w:rPr>
                <w:color w:val="B02045"/>
                <w:sz w:val="21"/>
              </w:rPr>
              <w:t>.sender.m ax-queue-size</w:t>
            </w:r>
          </w:p>
        </w:tc>
        <w:tc>
          <w:tcPr>
            <w:tcW w:w="2494" w:type="dxa"/>
          </w:tcPr>
          <w:p w14:paraId="23139076" w14:textId="77777777" w:rsidR="00A720EB" w:rsidRDefault="0030286B">
            <w:pPr>
              <w:pStyle w:val="TableParagraph"/>
              <w:rPr>
                <w:sz w:val="21"/>
              </w:rPr>
            </w:pPr>
            <w:r>
              <w:rPr>
                <w:color w:val="B02045"/>
                <w:sz w:val="21"/>
              </w:rPr>
              <w:t>50000.0</w:t>
            </w:r>
          </w:p>
        </w:tc>
        <w:tc>
          <w:tcPr>
            <w:tcW w:w="4988" w:type="dxa"/>
          </w:tcPr>
          <w:p w14:paraId="4099CCB8" w14:textId="77777777" w:rsidR="00A720EB" w:rsidRDefault="00A720EB">
            <w:pPr>
              <w:pStyle w:val="TableParagraph"/>
              <w:spacing w:before="0"/>
              <w:ind w:left="0"/>
              <w:rPr>
                <w:rFonts w:ascii="Times New Roman"/>
                <w:sz w:val="20"/>
              </w:rPr>
            </w:pPr>
          </w:p>
        </w:tc>
      </w:tr>
      <w:tr w:rsidR="00A720EB" w14:paraId="270AAF8B" w14:textId="77777777">
        <w:trPr>
          <w:trHeight w:val="886"/>
        </w:trPr>
        <w:tc>
          <w:tcPr>
            <w:tcW w:w="2494" w:type="dxa"/>
          </w:tcPr>
          <w:p w14:paraId="6FA6257A" w14:textId="77777777" w:rsidR="00A720EB" w:rsidRDefault="0030286B">
            <w:pPr>
              <w:pStyle w:val="TableParagraph"/>
              <w:spacing w:before="46" w:line="230" w:lineRule="auto"/>
              <w:ind w:right="113"/>
              <w:jc w:val="both"/>
              <w:rPr>
                <w:sz w:val="21"/>
              </w:rPr>
            </w:pPr>
            <w:r>
              <w:rPr>
                <w:color w:val="B02045"/>
                <w:sz w:val="21"/>
              </w:rPr>
              <w:t xml:space="preserve">management.metrics.exp </w:t>
            </w:r>
            <w:proofErr w:type="gramStart"/>
            <w:r>
              <w:rPr>
                <w:color w:val="B02045"/>
                <w:sz w:val="21"/>
              </w:rPr>
              <w:t>ort.wavefront</w:t>
            </w:r>
            <w:proofErr w:type="gramEnd"/>
            <w:r>
              <w:rPr>
                <w:color w:val="B02045"/>
                <w:sz w:val="21"/>
              </w:rPr>
              <w:t>.sender.m essage-size</w:t>
            </w:r>
          </w:p>
        </w:tc>
        <w:tc>
          <w:tcPr>
            <w:tcW w:w="2494" w:type="dxa"/>
          </w:tcPr>
          <w:p w14:paraId="53F8BEB1" w14:textId="77777777" w:rsidR="00A720EB" w:rsidRDefault="00A720EB">
            <w:pPr>
              <w:pStyle w:val="TableParagraph"/>
              <w:spacing w:before="0"/>
              <w:ind w:left="0"/>
              <w:rPr>
                <w:rFonts w:ascii="Times New Roman"/>
                <w:sz w:val="20"/>
              </w:rPr>
            </w:pPr>
          </w:p>
        </w:tc>
        <w:tc>
          <w:tcPr>
            <w:tcW w:w="4988" w:type="dxa"/>
          </w:tcPr>
          <w:p w14:paraId="08B8726F" w14:textId="77777777" w:rsidR="00A720EB" w:rsidRDefault="00A720EB">
            <w:pPr>
              <w:pStyle w:val="TableParagraph"/>
              <w:spacing w:before="0"/>
              <w:ind w:left="0"/>
              <w:rPr>
                <w:rFonts w:ascii="Times New Roman"/>
                <w:sz w:val="20"/>
              </w:rPr>
            </w:pPr>
          </w:p>
        </w:tc>
      </w:tr>
    </w:tbl>
    <w:p w14:paraId="5FFD2935" w14:textId="77777777" w:rsidR="00A720EB" w:rsidRDefault="00A720EB">
      <w:pPr>
        <w:rPr>
          <w:rFonts w:ascii="Times New Roman"/>
          <w:sz w:val="20"/>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2D15B17" w14:textId="77777777">
        <w:trPr>
          <w:trHeight w:val="415"/>
        </w:trPr>
        <w:tc>
          <w:tcPr>
            <w:tcW w:w="2494" w:type="dxa"/>
            <w:tcBorders>
              <w:bottom w:val="single" w:sz="12" w:space="0" w:color="DDDDDD"/>
            </w:tcBorders>
          </w:tcPr>
          <w:p w14:paraId="0E22BB8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6582269A"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D0FD0FD"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77E60C2" w14:textId="77777777">
        <w:trPr>
          <w:trHeight w:val="1046"/>
        </w:trPr>
        <w:tc>
          <w:tcPr>
            <w:tcW w:w="2494" w:type="dxa"/>
            <w:tcBorders>
              <w:top w:val="single" w:sz="12" w:space="0" w:color="DDDDDD"/>
            </w:tcBorders>
          </w:tcPr>
          <w:p w14:paraId="64A071BF" w14:textId="77777777" w:rsidR="00A720EB" w:rsidRDefault="0030286B">
            <w:pPr>
              <w:pStyle w:val="TableParagraph"/>
              <w:spacing w:before="36" w:line="230" w:lineRule="auto"/>
              <w:ind w:right="94"/>
              <w:rPr>
                <w:sz w:val="21"/>
              </w:rPr>
            </w:pPr>
            <w:r>
              <w:rPr>
                <w:color w:val="B02045"/>
                <w:sz w:val="21"/>
              </w:rPr>
              <w:t xml:space="preserve">management.metrics.exp </w:t>
            </w:r>
            <w:proofErr w:type="gramStart"/>
            <w:r>
              <w:rPr>
                <w:color w:val="B02045"/>
                <w:sz w:val="21"/>
              </w:rPr>
              <w:t>ort.wavefront</w:t>
            </w:r>
            <w:proofErr w:type="gramEnd"/>
            <w:r>
              <w:rPr>
                <w:color w:val="B02045"/>
                <w:sz w:val="21"/>
              </w:rPr>
              <w:t>.source</w:t>
            </w:r>
          </w:p>
        </w:tc>
        <w:tc>
          <w:tcPr>
            <w:tcW w:w="2494" w:type="dxa"/>
            <w:tcBorders>
              <w:top w:val="single" w:sz="12" w:space="0" w:color="DDDDDD"/>
            </w:tcBorders>
          </w:tcPr>
          <w:p w14:paraId="7A3897E8"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68289238" w14:textId="77777777" w:rsidR="00A720EB" w:rsidRDefault="0030286B">
            <w:pPr>
              <w:pStyle w:val="TableParagraph"/>
              <w:spacing w:before="18" w:line="310" w:lineRule="atLeast"/>
              <w:ind w:right="107"/>
              <w:jc w:val="both"/>
              <w:rPr>
                <w:rFonts w:ascii="Cambria"/>
                <w:sz w:val="21"/>
              </w:rPr>
            </w:pPr>
            <w:r>
              <w:rPr>
                <w:rFonts w:ascii="Cambria"/>
                <w:color w:val="333333"/>
                <w:w w:val="110"/>
                <w:sz w:val="21"/>
              </w:rPr>
              <w:t>Unique identifier for the app instance that is the source of metrics being published to Wavefront. Defaults to the local host name.</w:t>
            </w:r>
          </w:p>
        </w:tc>
      </w:tr>
      <w:tr w:rsidR="00A720EB" w14:paraId="5D78EB07" w14:textId="77777777">
        <w:trPr>
          <w:trHeight w:val="627"/>
        </w:trPr>
        <w:tc>
          <w:tcPr>
            <w:tcW w:w="2494" w:type="dxa"/>
          </w:tcPr>
          <w:p w14:paraId="4652DA54" w14:textId="77777777" w:rsidR="00A720EB" w:rsidRDefault="0030286B">
            <w:pPr>
              <w:pStyle w:val="TableParagraph"/>
              <w:spacing w:before="46" w:line="230" w:lineRule="auto"/>
              <w:ind w:right="94"/>
              <w:rPr>
                <w:sz w:val="21"/>
              </w:rPr>
            </w:pPr>
            <w:r>
              <w:rPr>
                <w:color w:val="B02045"/>
                <w:sz w:val="21"/>
              </w:rPr>
              <w:t xml:space="preserve">management.metrics.exp </w:t>
            </w:r>
            <w:proofErr w:type="gramStart"/>
            <w:r>
              <w:rPr>
                <w:color w:val="B02045"/>
                <w:sz w:val="21"/>
              </w:rPr>
              <w:t>ort.wavefront</w:t>
            </w:r>
            <w:proofErr w:type="gramEnd"/>
            <w:r>
              <w:rPr>
                <w:color w:val="B02045"/>
                <w:sz w:val="21"/>
              </w:rPr>
              <w:t>.step</w:t>
            </w:r>
          </w:p>
        </w:tc>
        <w:tc>
          <w:tcPr>
            <w:tcW w:w="2494" w:type="dxa"/>
          </w:tcPr>
          <w:p w14:paraId="738E9910" w14:textId="77777777" w:rsidR="00A720EB" w:rsidRDefault="0030286B">
            <w:pPr>
              <w:pStyle w:val="TableParagraph"/>
              <w:rPr>
                <w:sz w:val="21"/>
              </w:rPr>
            </w:pPr>
            <w:r>
              <w:rPr>
                <w:color w:val="B02045"/>
                <w:sz w:val="21"/>
              </w:rPr>
              <w:t>1m</w:t>
            </w:r>
          </w:p>
        </w:tc>
        <w:tc>
          <w:tcPr>
            <w:tcW w:w="4988" w:type="dxa"/>
          </w:tcPr>
          <w:p w14:paraId="4092DEC4" w14:textId="77777777" w:rsidR="00A720EB" w:rsidRDefault="0030286B">
            <w:pPr>
              <w:pStyle w:val="TableParagraph"/>
              <w:spacing w:before="92"/>
              <w:rPr>
                <w:rFonts w:ascii="Cambria"/>
                <w:sz w:val="21"/>
              </w:rPr>
            </w:pPr>
            <w:r>
              <w:rPr>
                <w:rFonts w:ascii="Cambria"/>
                <w:color w:val="333333"/>
                <w:w w:val="110"/>
                <w:sz w:val="21"/>
              </w:rPr>
              <w:t>Step size (i.e. reporting frequency) to use.</w:t>
            </w:r>
          </w:p>
        </w:tc>
      </w:tr>
      <w:tr w:rsidR="00A720EB" w14:paraId="252685B8" w14:textId="77777777">
        <w:trPr>
          <w:trHeight w:val="627"/>
        </w:trPr>
        <w:tc>
          <w:tcPr>
            <w:tcW w:w="2494" w:type="dxa"/>
          </w:tcPr>
          <w:p w14:paraId="02DD65FB" w14:textId="77777777" w:rsidR="00A720EB" w:rsidRDefault="0030286B">
            <w:pPr>
              <w:pStyle w:val="TableParagraph"/>
              <w:spacing w:before="46" w:line="230" w:lineRule="auto"/>
              <w:ind w:right="94"/>
              <w:rPr>
                <w:sz w:val="21"/>
              </w:rPr>
            </w:pPr>
            <w:r>
              <w:rPr>
                <w:color w:val="B02045"/>
                <w:sz w:val="21"/>
              </w:rPr>
              <w:t>management.metrics.exp ort.wavefront.uri</w:t>
            </w:r>
          </w:p>
        </w:tc>
        <w:tc>
          <w:tcPr>
            <w:tcW w:w="2494" w:type="dxa"/>
          </w:tcPr>
          <w:p w14:paraId="029DFA05" w14:textId="77777777" w:rsidR="00A720EB" w:rsidRDefault="0030286B">
            <w:pPr>
              <w:pStyle w:val="TableParagraph"/>
              <w:spacing w:before="46" w:line="230" w:lineRule="auto"/>
              <w:ind w:right="94"/>
              <w:rPr>
                <w:sz w:val="21"/>
              </w:rPr>
            </w:pPr>
            <w:r>
              <w:rPr>
                <w:color w:val="B02045"/>
                <w:sz w:val="21"/>
              </w:rPr>
              <w:t>https://longboard.wave front.com</w:t>
            </w:r>
          </w:p>
        </w:tc>
        <w:tc>
          <w:tcPr>
            <w:tcW w:w="4988" w:type="dxa"/>
          </w:tcPr>
          <w:p w14:paraId="018D4F44" w14:textId="77777777" w:rsidR="00A720EB" w:rsidRDefault="0030286B">
            <w:pPr>
              <w:pStyle w:val="TableParagraph"/>
              <w:spacing w:before="92"/>
              <w:rPr>
                <w:rFonts w:ascii="Cambria"/>
                <w:sz w:val="21"/>
              </w:rPr>
            </w:pPr>
            <w:r>
              <w:rPr>
                <w:rFonts w:ascii="Cambria"/>
                <w:color w:val="333333"/>
                <w:w w:val="110"/>
                <w:sz w:val="21"/>
              </w:rPr>
              <w:t>URI to ship metrics to.</w:t>
            </w:r>
          </w:p>
        </w:tc>
      </w:tr>
      <w:tr w:rsidR="00A720EB" w14:paraId="35B80FA7" w14:textId="77777777">
        <w:trPr>
          <w:trHeight w:val="627"/>
        </w:trPr>
        <w:tc>
          <w:tcPr>
            <w:tcW w:w="2494" w:type="dxa"/>
          </w:tcPr>
          <w:p w14:paraId="51E4A186" w14:textId="77777777" w:rsidR="00A720EB" w:rsidRDefault="0030286B">
            <w:pPr>
              <w:pStyle w:val="TableParagraph"/>
              <w:spacing w:before="46" w:line="230" w:lineRule="auto"/>
              <w:ind w:right="94"/>
              <w:rPr>
                <w:sz w:val="21"/>
              </w:rPr>
            </w:pPr>
            <w:r>
              <w:rPr>
                <w:color w:val="B02045"/>
                <w:sz w:val="21"/>
              </w:rPr>
              <w:t>management.metrics.tag s.*</w:t>
            </w:r>
          </w:p>
        </w:tc>
        <w:tc>
          <w:tcPr>
            <w:tcW w:w="2494" w:type="dxa"/>
          </w:tcPr>
          <w:p w14:paraId="4B157A5B" w14:textId="77777777" w:rsidR="00A720EB" w:rsidRDefault="00A720EB">
            <w:pPr>
              <w:pStyle w:val="TableParagraph"/>
              <w:spacing w:before="0"/>
              <w:ind w:left="0"/>
              <w:rPr>
                <w:rFonts w:ascii="Times New Roman"/>
                <w:sz w:val="20"/>
              </w:rPr>
            </w:pPr>
          </w:p>
        </w:tc>
        <w:tc>
          <w:tcPr>
            <w:tcW w:w="4988" w:type="dxa"/>
          </w:tcPr>
          <w:p w14:paraId="1203C563" w14:textId="77777777" w:rsidR="00A720EB" w:rsidRDefault="0030286B">
            <w:pPr>
              <w:pStyle w:val="TableParagraph"/>
              <w:spacing w:before="92"/>
              <w:rPr>
                <w:rFonts w:ascii="Cambria"/>
                <w:sz w:val="21"/>
              </w:rPr>
            </w:pPr>
            <w:r>
              <w:rPr>
                <w:rFonts w:ascii="Cambria"/>
                <w:color w:val="333333"/>
                <w:w w:val="110"/>
                <w:sz w:val="21"/>
              </w:rPr>
              <w:t>Common tags that are applied to every meter.</w:t>
            </w:r>
          </w:p>
        </w:tc>
      </w:tr>
      <w:tr w:rsidR="00A720EB" w14:paraId="2AC632FC" w14:textId="77777777">
        <w:trPr>
          <w:trHeight w:val="1372"/>
        </w:trPr>
        <w:tc>
          <w:tcPr>
            <w:tcW w:w="2494" w:type="dxa"/>
          </w:tcPr>
          <w:p w14:paraId="713D4558" w14:textId="77777777" w:rsidR="00A720EB" w:rsidRDefault="0030286B">
            <w:pPr>
              <w:pStyle w:val="TableParagraph"/>
              <w:spacing w:before="37" w:line="264" w:lineRule="exact"/>
              <w:rPr>
                <w:sz w:val="21"/>
              </w:rPr>
            </w:pPr>
            <w:r>
              <w:rPr>
                <w:color w:val="B02045"/>
                <w:sz w:val="21"/>
              </w:rPr>
              <w:t>management.metrics.use</w:t>
            </w:r>
          </w:p>
          <w:p w14:paraId="569A2C57" w14:textId="77777777" w:rsidR="00A720EB" w:rsidRDefault="0030286B">
            <w:pPr>
              <w:pStyle w:val="TableParagraph"/>
              <w:spacing w:before="0" w:line="264" w:lineRule="exact"/>
              <w:rPr>
                <w:sz w:val="21"/>
              </w:rPr>
            </w:pPr>
            <w:r>
              <w:rPr>
                <w:color w:val="B02045"/>
                <w:sz w:val="21"/>
              </w:rPr>
              <w:t>-global-registry</w:t>
            </w:r>
          </w:p>
        </w:tc>
        <w:tc>
          <w:tcPr>
            <w:tcW w:w="2494" w:type="dxa"/>
          </w:tcPr>
          <w:p w14:paraId="73A3EAAE" w14:textId="77777777" w:rsidR="00A720EB" w:rsidRDefault="0030286B">
            <w:pPr>
              <w:pStyle w:val="TableParagraph"/>
              <w:spacing w:before="37"/>
              <w:rPr>
                <w:sz w:val="21"/>
              </w:rPr>
            </w:pPr>
            <w:r>
              <w:rPr>
                <w:color w:val="B02045"/>
                <w:sz w:val="21"/>
              </w:rPr>
              <w:t>true</w:t>
            </w:r>
          </w:p>
        </w:tc>
        <w:tc>
          <w:tcPr>
            <w:tcW w:w="4988" w:type="dxa"/>
          </w:tcPr>
          <w:p w14:paraId="726F16AF" w14:textId="77777777" w:rsidR="00A720EB" w:rsidRDefault="0030286B">
            <w:pPr>
              <w:pStyle w:val="TableParagraph"/>
              <w:spacing w:before="28" w:line="310" w:lineRule="atLeast"/>
              <w:rPr>
                <w:rFonts w:ascii="Cambria"/>
                <w:sz w:val="21"/>
              </w:rPr>
            </w:pPr>
            <w:r>
              <w:rPr>
                <w:rFonts w:ascii="Cambria"/>
                <w:color w:val="333333"/>
                <w:w w:val="110"/>
                <w:sz w:val="21"/>
              </w:rPr>
              <w:t>Whether auto-configured MeterRegistry implementations should be bound to the global static registry on Metrics. For testing, set this to 'false' to maximize test independence.</w:t>
            </w:r>
          </w:p>
        </w:tc>
      </w:tr>
      <w:tr w:rsidR="00A720EB" w14:paraId="6525D997" w14:textId="77777777">
        <w:trPr>
          <w:trHeight w:val="1372"/>
        </w:trPr>
        <w:tc>
          <w:tcPr>
            <w:tcW w:w="2494" w:type="dxa"/>
          </w:tcPr>
          <w:p w14:paraId="109EA752" w14:textId="77777777" w:rsidR="00A720EB" w:rsidRDefault="0030286B">
            <w:pPr>
              <w:pStyle w:val="TableParagraph"/>
              <w:spacing w:before="37" w:line="264" w:lineRule="exact"/>
              <w:rPr>
                <w:sz w:val="21"/>
              </w:rPr>
            </w:pPr>
            <w:r>
              <w:rPr>
                <w:color w:val="B02045"/>
                <w:sz w:val="21"/>
              </w:rPr>
              <w:t>management.metrics.web</w:t>
            </w:r>
          </w:p>
          <w:p w14:paraId="3185A9FD" w14:textId="77777777" w:rsidR="00A720EB" w:rsidRDefault="0030286B">
            <w:pPr>
              <w:pStyle w:val="TableParagraph"/>
              <w:spacing w:before="0" w:line="264" w:lineRule="exact"/>
              <w:rPr>
                <w:sz w:val="21"/>
              </w:rPr>
            </w:pPr>
            <w:proofErr w:type="gramStart"/>
            <w:r>
              <w:rPr>
                <w:color w:val="B02045"/>
                <w:sz w:val="21"/>
              </w:rPr>
              <w:t>.client.max</w:t>
            </w:r>
            <w:proofErr w:type="gramEnd"/>
            <w:r>
              <w:rPr>
                <w:color w:val="B02045"/>
                <w:sz w:val="21"/>
              </w:rPr>
              <w:t>-uri-tags</w:t>
            </w:r>
          </w:p>
        </w:tc>
        <w:tc>
          <w:tcPr>
            <w:tcW w:w="2494" w:type="dxa"/>
          </w:tcPr>
          <w:p w14:paraId="6FD72766" w14:textId="77777777" w:rsidR="00A720EB" w:rsidRDefault="0030286B">
            <w:pPr>
              <w:pStyle w:val="TableParagraph"/>
              <w:spacing w:before="37"/>
              <w:rPr>
                <w:sz w:val="21"/>
              </w:rPr>
            </w:pPr>
            <w:r>
              <w:rPr>
                <w:color w:val="B02045"/>
                <w:sz w:val="21"/>
              </w:rPr>
              <w:t>100.0</w:t>
            </w:r>
          </w:p>
        </w:tc>
        <w:tc>
          <w:tcPr>
            <w:tcW w:w="4988" w:type="dxa"/>
          </w:tcPr>
          <w:p w14:paraId="2C0F61C0" w14:textId="77777777" w:rsidR="00A720EB" w:rsidRDefault="0030286B">
            <w:pPr>
              <w:pStyle w:val="TableParagraph"/>
              <w:spacing w:before="28" w:line="310" w:lineRule="atLeast"/>
              <w:rPr>
                <w:rFonts w:ascii="Cambria"/>
                <w:sz w:val="21"/>
              </w:rPr>
            </w:pPr>
            <w:r>
              <w:rPr>
                <w:rFonts w:ascii="Cambria"/>
                <w:color w:val="333333"/>
                <w:w w:val="110"/>
                <w:sz w:val="21"/>
              </w:rPr>
              <w:t>Maximum number of unique URI tag values allowed. After the max number of tag values is reached, metrics with additional tag values are denied by filter.</w:t>
            </w:r>
          </w:p>
        </w:tc>
      </w:tr>
      <w:tr w:rsidR="00A720EB" w14:paraId="335611E5" w14:textId="77777777">
        <w:trPr>
          <w:trHeight w:val="886"/>
        </w:trPr>
        <w:tc>
          <w:tcPr>
            <w:tcW w:w="2494" w:type="dxa"/>
          </w:tcPr>
          <w:p w14:paraId="781963B2" w14:textId="77777777" w:rsidR="00A720EB" w:rsidRDefault="0030286B">
            <w:pPr>
              <w:pStyle w:val="TableParagraph"/>
              <w:spacing w:line="264" w:lineRule="exact"/>
              <w:rPr>
                <w:sz w:val="21"/>
              </w:rPr>
            </w:pPr>
            <w:r>
              <w:rPr>
                <w:color w:val="B02045"/>
                <w:sz w:val="21"/>
              </w:rPr>
              <w:t>management.metrics.web</w:t>
            </w:r>
          </w:p>
          <w:p w14:paraId="0112AECF" w14:textId="77777777" w:rsidR="00A720EB" w:rsidRDefault="0030286B">
            <w:pPr>
              <w:pStyle w:val="TableParagraph"/>
              <w:spacing w:before="3" w:line="230" w:lineRule="auto"/>
              <w:ind w:right="94"/>
              <w:rPr>
                <w:sz w:val="21"/>
              </w:rPr>
            </w:pPr>
            <w:proofErr w:type="gramStart"/>
            <w:r>
              <w:rPr>
                <w:color w:val="B02045"/>
                <w:sz w:val="21"/>
              </w:rPr>
              <w:t>.client</w:t>
            </w:r>
            <w:proofErr w:type="gramEnd"/>
            <w:r>
              <w:rPr>
                <w:color w:val="B02045"/>
                <w:sz w:val="21"/>
              </w:rPr>
              <w:t>.request.autoti me.enabled</w:t>
            </w:r>
          </w:p>
        </w:tc>
        <w:tc>
          <w:tcPr>
            <w:tcW w:w="2494" w:type="dxa"/>
          </w:tcPr>
          <w:p w14:paraId="44C8FA83" w14:textId="77777777" w:rsidR="00A720EB" w:rsidRDefault="0030286B">
            <w:pPr>
              <w:pStyle w:val="TableParagraph"/>
              <w:rPr>
                <w:sz w:val="21"/>
              </w:rPr>
            </w:pPr>
            <w:r>
              <w:rPr>
                <w:color w:val="B02045"/>
                <w:sz w:val="21"/>
              </w:rPr>
              <w:t>true</w:t>
            </w:r>
          </w:p>
        </w:tc>
        <w:tc>
          <w:tcPr>
            <w:tcW w:w="4988" w:type="dxa"/>
          </w:tcPr>
          <w:p w14:paraId="6D3F6016" w14:textId="77777777" w:rsidR="00A720EB" w:rsidRDefault="0030286B">
            <w:pPr>
              <w:pStyle w:val="TableParagraph"/>
              <w:spacing w:before="92" w:line="307" w:lineRule="auto"/>
              <w:rPr>
                <w:rFonts w:ascii="Cambria"/>
                <w:sz w:val="21"/>
              </w:rPr>
            </w:pPr>
            <w:r>
              <w:rPr>
                <w:rFonts w:ascii="Cambria"/>
                <w:color w:val="333333"/>
                <w:w w:val="110"/>
                <w:sz w:val="21"/>
              </w:rPr>
              <w:t>Whether to automatically time web client requests.</w:t>
            </w:r>
          </w:p>
        </w:tc>
      </w:tr>
      <w:tr w:rsidR="00A720EB" w14:paraId="245DDB23" w14:textId="77777777">
        <w:trPr>
          <w:trHeight w:val="886"/>
        </w:trPr>
        <w:tc>
          <w:tcPr>
            <w:tcW w:w="2494" w:type="dxa"/>
          </w:tcPr>
          <w:p w14:paraId="07F9593C" w14:textId="77777777" w:rsidR="00A720EB" w:rsidRDefault="0030286B">
            <w:pPr>
              <w:pStyle w:val="TableParagraph"/>
              <w:spacing w:line="264" w:lineRule="exact"/>
              <w:rPr>
                <w:sz w:val="21"/>
              </w:rPr>
            </w:pPr>
            <w:r>
              <w:rPr>
                <w:color w:val="B02045"/>
                <w:sz w:val="21"/>
              </w:rPr>
              <w:t>management.metrics.web</w:t>
            </w:r>
          </w:p>
          <w:p w14:paraId="03E0FA83" w14:textId="77777777" w:rsidR="00A720EB" w:rsidRDefault="0030286B">
            <w:pPr>
              <w:pStyle w:val="TableParagraph"/>
              <w:spacing w:before="3" w:line="230" w:lineRule="auto"/>
              <w:ind w:right="94"/>
              <w:rPr>
                <w:sz w:val="21"/>
              </w:rPr>
            </w:pPr>
            <w:proofErr w:type="gramStart"/>
            <w:r>
              <w:rPr>
                <w:color w:val="B02045"/>
                <w:sz w:val="21"/>
              </w:rPr>
              <w:t>.client</w:t>
            </w:r>
            <w:proofErr w:type="gramEnd"/>
            <w:r>
              <w:rPr>
                <w:color w:val="B02045"/>
                <w:sz w:val="21"/>
              </w:rPr>
              <w:t>.request.autoti me.percentiles</w:t>
            </w:r>
          </w:p>
        </w:tc>
        <w:tc>
          <w:tcPr>
            <w:tcW w:w="2494" w:type="dxa"/>
          </w:tcPr>
          <w:p w14:paraId="68F73167" w14:textId="77777777" w:rsidR="00A720EB" w:rsidRDefault="00A720EB">
            <w:pPr>
              <w:pStyle w:val="TableParagraph"/>
              <w:spacing w:before="0"/>
              <w:ind w:left="0"/>
              <w:rPr>
                <w:rFonts w:ascii="Times New Roman"/>
                <w:sz w:val="20"/>
              </w:rPr>
            </w:pPr>
          </w:p>
        </w:tc>
        <w:tc>
          <w:tcPr>
            <w:tcW w:w="4988" w:type="dxa"/>
          </w:tcPr>
          <w:p w14:paraId="6E2F3700" w14:textId="77777777" w:rsidR="00A720EB" w:rsidRDefault="0030286B">
            <w:pPr>
              <w:pStyle w:val="TableParagraph"/>
              <w:spacing w:before="92" w:line="307" w:lineRule="auto"/>
              <w:ind w:right="372"/>
              <w:rPr>
                <w:rFonts w:ascii="Cambria"/>
                <w:sz w:val="21"/>
              </w:rPr>
            </w:pPr>
            <w:r>
              <w:rPr>
                <w:rFonts w:ascii="Cambria"/>
                <w:color w:val="333333"/>
                <w:w w:val="110"/>
                <w:sz w:val="21"/>
              </w:rPr>
              <w:t>Computed non-aggregable percentiles to publish.</w:t>
            </w:r>
          </w:p>
        </w:tc>
      </w:tr>
      <w:tr w:rsidR="00A720EB" w14:paraId="79D8AF8E" w14:textId="77777777">
        <w:trPr>
          <w:trHeight w:val="1145"/>
        </w:trPr>
        <w:tc>
          <w:tcPr>
            <w:tcW w:w="2494" w:type="dxa"/>
          </w:tcPr>
          <w:p w14:paraId="3FAC82FD" w14:textId="77777777" w:rsidR="00A720EB" w:rsidRDefault="0030286B">
            <w:pPr>
              <w:pStyle w:val="TableParagraph"/>
              <w:spacing w:before="37" w:line="264" w:lineRule="exact"/>
              <w:rPr>
                <w:sz w:val="21"/>
              </w:rPr>
            </w:pPr>
            <w:r>
              <w:rPr>
                <w:color w:val="B02045"/>
                <w:sz w:val="21"/>
              </w:rPr>
              <w:t>management.metrics.web</w:t>
            </w:r>
          </w:p>
          <w:p w14:paraId="582A035E" w14:textId="77777777" w:rsidR="00A720EB" w:rsidRDefault="0030286B">
            <w:pPr>
              <w:pStyle w:val="TableParagraph"/>
              <w:spacing w:before="4" w:line="230" w:lineRule="auto"/>
              <w:ind w:right="113"/>
              <w:rPr>
                <w:sz w:val="21"/>
              </w:rPr>
            </w:pPr>
            <w:proofErr w:type="gramStart"/>
            <w:r>
              <w:rPr>
                <w:color w:val="B02045"/>
                <w:sz w:val="21"/>
              </w:rPr>
              <w:t>.client</w:t>
            </w:r>
            <w:proofErr w:type="gramEnd"/>
            <w:r>
              <w:rPr>
                <w:color w:val="B02045"/>
                <w:sz w:val="21"/>
              </w:rPr>
              <w:t>.request.autoti me.percentiles- histogram</w:t>
            </w:r>
          </w:p>
        </w:tc>
        <w:tc>
          <w:tcPr>
            <w:tcW w:w="2494" w:type="dxa"/>
          </w:tcPr>
          <w:p w14:paraId="5ED016B9" w14:textId="77777777" w:rsidR="00A720EB" w:rsidRDefault="0030286B">
            <w:pPr>
              <w:pStyle w:val="TableParagraph"/>
              <w:spacing w:before="37"/>
              <w:rPr>
                <w:sz w:val="21"/>
              </w:rPr>
            </w:pPr>
            <w:r>
              <w:rPr>
                <w:color w:val="B02045"/>
                <w:sz w:val="21"/>
              </w:rPr>
              <w:t>false</w:t>
            </w:r>
          </w:p>
        </w:tc>
        <w:tc>
          <w:tcPr>
            <w:tcW w:w="4988" w:type="dxa"/>
          </w:tcPr>
          <w:p w14:paraId="70048E6C" w14:textId="77777777" w:rsidR="00A720EB" w:rsidRDefault="0030286B">
            <w:pPr>
              <w:pStyle w:val="TableParagraph"/>
              <w:spacing w:before="92" w:line="307" w:lineRule="auto"/>
              <w:rPr>
                <w:rFonts w:ascii="Cambria"/>
                <w:sz w:val="21"/>
              </w:rPr>
            </w:pPr>
            <w:r>
              <w:rPr>
                <w:rFonts w:ascii="Cambria"/>
                <w:color w:val="333333"/>
                <w:w w:val="110"/>
                <w:sz w:val="21"/>
              </w:rPr>
              <w:t>Whether percentile histograms should be published.</w:t>
            </w:r>
          </w:p>
        </w:tc>
      </w:tr>
      <w:tr w:rsidR="00A720EB" w14:paraId="70F53D5B" w14:textId="77777777">
        <w:trPr>
          <w:trHeight w:val="886"/>
        </w:trPr>
        <w:tc>
          <w:tcPr>
            <w:tcW w:w="2494" w:type="dxa"/>
          </w:tcPr>
          <w:p w14:paraId="08D3D133" w14:textId="77777777" w:rsidR="00A720EB" w:rsidRDefault="0030286B">
            <w:pPr>
              <w:pStyle w:val="TableParagraph"/>
              <w:spacing w:before="37" w:line="264" w:lineRule="exact"/>
              <w:rPr>
                <w:sz w:val="21"/>
              </w:rPr>
            </w:pPr>
            <w:r>
              <w:rPr>
                <w:color w:val="B02045"/>
                <w:sz w:val="21"/>
              </w:rPr>
              <w:t>management.metrics.web</w:t>
            </w:r>
          </w:p>
          <w:p w14:paraId="410D59AF" w14:textId="77777777" w:rsidR="00A720EB" w:rsidRDefault="0030286B">
            <w:pPr>
              <w:pStyle w:val="TableParagraph"/>
              <w:spacing w:before="0" w:line="259" w:lineRule="exact"/>
              <w:rPr>
                <w:sz w:val="21"/>
              </w:rPr>
            </w:pPr>
            <w:proofErr w:type="gramStart"/>
            <w:r>
              <w:rPr>
                <w:color w:val="B02045"/>
                <w:sz w:val="21"/>
              </w:rPr>
              <w:t>.client</w:t>
            </w:r>
            <w:proofErr w:type="gramEnd"/>
            <w:r>
              <w:rPr>
                <w:color w:val="B02045"/>
                <w:sz w:val="21"/>
              </w:rPr>
              <w:t>.request.metric</w:t>
            </w:r>
          </w:p>
          <w:p w14:paraId="38366558" w14:textId="77777777" w:rsidR="00A720EB" w:rsidRDefault="0030286B">
            <w:pPr>
              <w:pStyle w:val="TableParagraph"/>
              <w:spacing w:before="0" w:line="264" w:lineRule="exact"/>
              <w:rPr>
                <w:sz w:val="21"/>
              </w:rPr>
            </w:pPr>
            <w:r>
              <w:rPr>
                <w:color w:val="B02045"/>
                <w:sz w:val="21"/>
              </w:rPr>
              <w:t>-name</w:t>
            </w:r>
          </w:p>
        </w:tc>
        <w:tc>
          <w:tcPr>
            <w:tcW w:w="2494" w:type="dxa"/>
          </w:tcPr>
          <w:p w14:paraId="19DAA17C" w14:textId="77777777" w:rsidR="00A720EB" w:rsidRDefault="0030286B">
            <w:pPr>
              <w:pStyle w:val="TableParagraph"/>
              <w:spacing w:before="37"/>
              <w:rPr>
                <w:sz w:val="21"/>
              </w:rPr>
            </w:pPr>
            <w:proofErr w:type="gramStart"/>
            <w:r>
              <w:rPr>
                <w:color w:val="B02045"/>
                <w:sz w:val="21"/>
              </w:rPr>
              <w:t>http.client</w:t>
            </w:r>
            <w:proofErr w:type="gramEnd"/>
            <w:r>
              <w:rPr>
                <w:color w:val="B02045"/>
                <w:sz w:val="21"/>
              </w:rPr>
              <w:t>.requests</w:t>
            </w:r>
          </w:p>
        </w:tc>
        <w:tc>
          <w:tcPr>
            <w:tcW w:w="4988" w:type="dxa"/>
          </w:tcPr>
          <w:p w14:paraId="7371D495" w14:textId="77777777" w:rsidR="00A720EB" w:rsidRDefault="0030286B">
            <w:pPr>
              <w:pStyle w:val="TableParagraph"/>
              <w:spacing w:before="92"/>
              <w:rPr>
                <w:rFonts w:ascii="Cambria"/>
                <w:sz w:val="21"/>
              </w:rPr>
            </w:pPr>
            <w:r>
              <w:rPr>
                <w:rFonts w:ascii="Cambria"/>
                <w:color w:val="333333"/>
                <w:w w:val="110"/>
                <w:sz w:val="21"/>
              </w:rPr>
              <w:t>Name of the metric for sent requests.</w:t>
            </w:r>
          </w:p>
        </w:tc>
      </w:tr>
      <w:tr w:rsidR="00A720EB" w14:paraId="764238F2" w14:textId="77777777">
        <w:trPr>
          <w:trHeight w:val="1372"/>
        </w:trPr>
        <w:tc>
          <w:tcPr>
            <w:tcW w:w="2494" w:type="dxa"/>
          </w:tcPr>
          <w:p w14:paraId="0B3FB530" w14:textId="77777777" w:rsidR="00A720EB" w:rsidRDefault="0030286B">
            <w:pPr>
              <w:pStyle w:val="TableParagraph"/>
              <w:spacing w:before="37" w:line="264" w:lineRule="exact"/>
              <w:rPr>
                <w:sz w:val="21"/>
              </w:rPr>
            </w:pPr>
            <w:r>
              <w:rPr>
                <w:color w:val="B02045"/>
                <w:sz w:val="21"/>
              </w:rPr>
              <w:t>management.metrics.web</w:t>
            </w:r>
          </w:p>
          <w:p w14:paraId="26169FEC" w14:textId="77777777" w:rsidR="00A720EB" w:rsidRDefault="0030286B">
            <w:pPr>
              <w:pStyle w:val="TableParagraph"/>
              <w:spacing w:before="0" w:line="264" w:lineRule="exact"/>
              <w:rPr>
                <w:sz w:val="21"/>
              </w:rPr>
            </w:pPr>
            <w:proofErr w:type="gramStart"/>
            <w:r>
              <w:rPr>
                <w:color w:val="B02045"/>
                <w:sz w:val="21"/>
              </w:rPr>
              <w:t>.server.max</w:t>
            </w:r>
            <w:proofErr w:type="gramEnd"/>
            <w:r>
              <w:rPr>
                <w:color w:val="B02045"/>
                <w:sz w:val="21"/>
              </w:rPr>
              <w:t>-uri-tags</w:t>
            </w:r>
          </w:p>
        </w:tc>
        <w:tc>
          <w:tcPr>
            <w:tcW w:w="2494" w:type="dxa"/>
          </w:tcPr>
          <w:p w14:paraId="4D01DE06" w14:textId="77777777" w:rsidR="00A720EB" w:rsidRDefault="0030286B">
            <w:pPr>
              <w:pStyle w:val="TableParagraph"/>
              <w:spacing w:before="37"/>
              <w:rPr>
                <w:sz w:val="21"/>
              </w:rPr>
            </w:pPr>
            <w:r>
              <w:rPr>
                <w:color w:val="B02045"/>
                <w:sz w:val="21"/>
              </w:rPr>
              <w:t>100.0</w:t>
            </w:r>
          </w:p>
        </w:tc>
        <w:tc>
          <w:tcPr>
            <w:tcW w:w="4988" w:type="dxa"/>
          </w:tcPr>
          <w:p w14:paraId="5BAF7C59" w14:textId="77777777" w:rsidR="00A720EB" w:rsidRDefault="0030286B">
            <w:pPr>
              <w:pStyle w:val="TableParagraph"/>
              <w:spacing w:before="28" w:line="310" w:lineRule="atLeast"/>
              <w:rPr>
                <w:rFonts w:ascii="Cambria"/>
                <w:sz w:val="21"/>
              </w:rPr>
            </w:pPr>
            <w:r>
              <w:rPr>
                <w:rFonts w:ascii="Cambria"/>
                <w:color w:val="333333"/>
                <w:w w:val="110"/>
                <w:sz w:val="21"/>
              </w:rPr>
              <w:t>Maximum number of unique URI tag values allowed. After the max number of tag values is reached, metrics with additional tag values are denied by filter.</w:t>
            </w:r>
          </w:p>
        </w:tc>
      </w:tr>
      <w:tr w:rsidR="00A720EB" w14:paraId="68E50D0A" w14:textId="77777777">
        <w:trPr>
          <w:trHeight w:val="886"/>
        </w:trPr>
        <w:tc>
          <w:tcPr>
            <w:tcW w:w="2494" w:type="dxa"/>
          </w:tcPr>
          <w:p w14:paraId="658F9B37" w14:textId="77777777" w:rsidR="00A720EB" w:rsidRDefault="0030286B">
            <w:pPr>
              <w:pStyle w:val="TableParagraph"/>
              <w:spacing w:before="37" w:line="264" w:lineRule="exact"/>
              <w:rPr>
                <w:sz w:val="21"/>
              </w:rPr>
            </w:pPr>
            <w:r>
              <w:rPr>
                <w:color w:val="B02045"/>
                <w:sz w:val="21"/>
              </w:rPr>
              <w:t>management.metrics.web</w:t>
            </w:r>
          </w:p>
          <w:p w14:paraId="51427E32" w14:textId="77777777" w:rsidR="00A720EB" w:rsidRDefault="0030286B">
            <w:pPr>
              <w:pStyle w:val="TableParagraph"/>
              <w:spacing w:before="4" w:line="230" w:lineRule="auto"/>
              <w:ind w:right="94"/>
              <w:rPr>
                <w:sz w:val="21"/>
              </w:rPr>
            </w:pPr>
            <w:proofErr w:type="gramStart"/>
            <w:r>
              <w:rPr>
                <w:color w:val="B02045"/>
                <w:sz w:val="21"/>
              </w:rPr>
              <w:t>.server</w:t>
            </w:r>
            <w:proofErr w:type="gramEnd"/>
            <w:r>
              <w:rPr>
                <w:color w:val="B02045"/>
                <w:sz w:val="21"/>
              </w:rPr>
              <w:t>.request.autoti me.enabled</w:t>
            </w:r>
          </w:p>
        </w:tc>
        <w:tc>
          <w:tcPr>
            <w:tcW w:w="2494" w:type="dxa"/>
          </w:tcPr>
          <w:p w14:paraId="7EF02F9C" w14:textId="77777777" w:rsidR="00A720EB" w:rsidRDefault="0030286B">
            <w:pPr>
              <w:pStyle w:val="TableParagraph"/>
              <w:spacing w:before="37"/>
              <w:rPr>
                <w:sz w:val="21"/>
              </w:rPr>
            </w:pPr>
            <w:r>
              <w:rPr>
                <w:color w:val="B02045"/>
                <w:sz w:val="21"/>
              </w:rPr>
              <w:t>true</w:t>
            </w:r>
          </w:p>
        </w:tc>
        <w:tc>
          <w:tcPr>
            <w:tcW w:w="4988" w:type="dxa"/>
          </w:tcPr>
          <w:p w14:paraId="5F5F5FA4" w14:textId="77777777" w:rsidR="00A720EB" w:rsidRDefault="0030286B">
            <w:pPr>
              <w:pStyle w:val="TableParagraph"/>
              <w:spacing w:before="92" w:line="307" w:lineRule="auto"/>
              <w:rPr>
                <w:rFonts w:ascii="Cambria"/>
                <w:sz w:val="21"/>
              </w:rPr>
            </w:pPr>
            <w:r>
              <w:rPr>
                <w:rFonts w:ascii="Cambria"/>
                <w:color w:val="333333"/>
                <w:w w:val="110"/>
                <w:sz w:val="21"/>
              </w:rPr>
              <w:t>Whether to automatically time web server requests.</w:t>
            </w:r>
          </w:p>
        </w:tc>
      </w:tr>
      <w:tr w:rsidR="00A720EB" w14:paraId="362EF253" w14:textId="77777777">
        <w:trPr>
          <w:trHeight w:val="886"/>
        </w:trPr>
        <w:tc>
          <w:tcPr>
            <w:tcW w:w="2494" w:type="dxa"/>
          </w:tcPr>
          <w:p w14:paraId="36321924" w14:textId="77777777" w:rsidR="00A720EB" w:rsidRDefault="0030286B">
            <w:pPr>
              <w:pStyle w:val="TableParagraph"/>
              <w:spacing w:line="264" w:lineRule="exact"/>
              <w:rPr>
                <w:sz w:val="21"/>
              </w:rPr>
            </w:pPr>
            <w:r>
              <w:rPr>
                <w:color w:val="B02045"/>
                <w:sz w:val="21"/>
              </w:rPr>
              <w:t>management.metrics.web</w:t>
            </w:r>
          </w:p>
          <w:p w14:paraId="3AFB521F" w14:textId="77777777" w:rsidR="00A720EB" w:rsidRDefault="0030286B">
            <w:pPr>
              <w:pStyle w:val="TableParagraph"/>
              <w:spacing w:before="3" w:line="230" w:lineRule="auto"/>
              <w:ind w:right="94"/>
              <w:rPr>
                <w:sz w:val="21"/>
              </w:rPr>
            </w:pPr>
            <w:proofErr w:type="gramStart"/>
            <w:r>
              <w:rPr>
                <w:color w:val="B02045"/>
                <w:sz w:val="21"/>
              </w:rPr>
              <w:t>.server</w:t>
            </w:r>
            <w:proofErr w:type="gramEnd"/>
            <w:r>
              <w:rPr>
                <w:color w:val="B02045"/>
                <w:sz w:val="21"/>
              </w:rPr>
              <w:t>.request.autoti me.percentiles</w:t>
            </w:r>
          </w:p>
        </w:tc>
        <w:tc>
          <w:tcPr>
            <w:tcW w:w="2494" w:type="dxa"/>
          </w:tcPr>
          <w:p w14:paraId="568A3325" w14:textId="77777777" w:rsidR="00A720EB" w:rsidRDefault="00A720EB">
            <w:pPr>
              <w:pStyle w:val="TableParagraph"/>
              <w:spacing w:before="0"/>
              <w:ind w:left="0"/>
              <w:rPr>
                <w:rFonts w:ascii="Times New Roman"/>
                <w:sz w:val="20"/>
              </w:rPr>
            </w:pPr>
          </w:p>
        </w:tc>
        <w:tc>
          <w:tcPr>
            <w:tcW w:w="4988" w:type="dxa"/>
          </w:tcPr>
          <w:p w14:paraId="0ED90203" w14:textId="77777777" w:rsidR="00A720EB" w:rsidRDefault="0030286B">
            <w:pPr>
              <w:pStyle w:val="TableParagraph"/>
              <w:spacing w:before="92" w:line="307" w:lineRule="auto"/>
              <w:ind w:right="372"/>
              <w:rPr>
                <w:rFonts w:ascii="Cambria"/>
                <w:sz w:val="21"/>
              </w:rPr>
            </w:pPr>
            <w:r>
              <w:rPr>
                <w:rFonts w:ascii="Cambria"/>
                <w:color w:val="333333"/>
                <w:w w:val="110"/>
                <w:sz w:val="21"/>
              </w:rPr>
              <w:t>Computed non-aggregable percentiles to publish.</w:t>
            </w:r>
          </w:p>
        </w:tc>
      </w:tr>
      <w:tr w:rsidR="00A720EB" w14:paraId="6DE92803" w14:textId="77777777">
        <w:trPr>
          <w:trHeight w:val="1145"/>
        </w:trPr>
        <w:tc>
          <w:tcPr>
            <w:tcW w:w="2494" w:type="dxa"/>
          </w:tcPr>
          <w:p w14:paraId="42132DB3" w14:textId="77777777" w:rsidR="00A720EB" w:rsidRDefault="0030286B">
            <w:pPr>
              <w:pStyle w:val="TableParagraph"/>
              <w:spacing w:before="37" w:line="264" w:lineRule="exact"/>
              <w:rPr>
                <w:sz w:val="21"/>
              </w:rPr>
            </w:pPr>
            <w:r>
              <w:rPr>
                <w:color w:val="B02045"/>
                <w:sz w:val="21"/>
              </w:rPr>
              <w:lastRenderedPageBreak/>
              <w:t>management.metrics.web</w:t>
            </w:r>
          </w:p>
          <w:p w14:paraId="74CCF3CE" w14:textId="77777777" w:rsidR="00A720EB" w:rsidRDefault="0030286B">
            <w:pPr>
              <w:pStyle w:val="TableParagraph"/>
              <w:spacing w:before="4" w:line="230" w:lineRule="auto"/>
              <w:ind w:right="113"/>
              <w:rPr>
                <w:sz w:val="21"/>
              </w:rPr>
            </w:pPr>
            <w:proofErr w:type="gramStart"/>
            <w:r>
              <w:rPr>
                <w:color w:val="B02045"/>
                <w:sz w:val="21"/>
              </w:rPr>
              <w:t>.server</w:t>
            </w:r>
            <w:proofErr w:type="gramEnd"/>
            <w:r>
              <w:rPr>
                <w:color w:val="B02045"/>
                <w:sz w:val="21"/>
              </w:rPr>
              <w:t>.request.autoti me.percentiles- histogram</w:t>
            </w:r>
          </w:p>
        </w:tc>
        <w:tc>
          <w:tcPr>
            <w:tcW w:w="2494" w:type="dxa"/>
          </w:tcPr>
          <w:p w14:paraId="75B2267C" w14:textId="77777777" w:rsidR="00A720EB" w:rsidRDefault="0030286B">
            <w:pPr>
              <w:pStyle w:val="TableParagraph"/>
              <w:spacing w:before="37"/>
              <w:rPr>
                <w:sz w:val="21"/>
              </w:rPr>
            </w:pPr>
            <w:r>
              <w:rPr>
                <w:color w:val="B02045"/>
                <w:sz w:val="21"/>
              </w:rPr>
              <w:t>false</w:t>
            </w:r>
          </w:p>
        </w:tc>
        <w:tc>
          <w:tcPr>
            <w:tcW w:w="4988" w:type="dxa"/>
          </w:tcPr>
          <w:p w14:paraId="4E7B5E9A" w14:textId="77777777" w:rsidR="00A720EB" w:rsidRDefault="0030286B">
            <w:pPr>
              <w:pStyle w:val="TableParagraph"/>
              <w:spacing w:before="92" w:line="307" w:lineRule="auto"/>
              <w:rPr>
                <w:rFonts w:ascii="Cambria"/>
                <w:sz w:val="21"/>
              </w:rPr>
            </w:pPr>
            <w:r>
              <w:rPr>
                <w:rFonts w:ascii="Cambria"/>
                <w:color w:val="333333"/>
                <w:w w:val="110"/>
                <w:sz w:val="21"/>
              </w:rPr>
              <w:t>Whether percentile histograms should be published.</w:t>
            </w:r>
          </w:p>
        </w:tc>
      </w:tr>
    </w:tbl>
    <w:p w14:paraId="24B0F4C6" w14:textId="77777777" w:rsidR="00A720EB" w:rsidRDefault="00A720EB">
      <w:pPr>
        <w:spacing w:line="307"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02372D4" w14:textId="77777777">
        <w:trPr>
          <w:trHeight w:val="415"/>
        </w:trPr>
        <w:tc>
          <w:tcPr>
            <w:tcW w:w="2494" w:type="dxa"/>
            <w:tcBorders>
              <w:bottom w:val="single" w:sz="12" w:space="0" w:color="DDDDDD"/>
            </w:tcBorders>
          </w:tcPr>
          <w:p w14:paraId="33AB292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48573D4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5D67A6C"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6D74E23" w14:textId="77777777">
        <w:trPr>
          <w:trHeight w:val="876"/>
        </w:trPr>
        <w:tc>
          <w:tcPr>
            <w:tcW w:w="2494" w:type="dxa"/>
            <w:tcBorders>
              <w:top w:val="single" w:sz="12" w:space="0" w:color="DDDDDD"/>
            </w:tcBorders>
          </w:tcPr>
          <w:p w14:paraId="0AF8F095" w14:textId="77777777" w:rsidR="00A720EB" w:rsidRDefault="0030286B">
            <w:pPr>
              <w:pStyle w:val="TableParagraph"/>
              <w:spacing w:before="27" w:line="264" w:lineRule="exact"/>
              <w:rPr>
                <w:sz w:val="21"/>
              </w:rPr>
            </w:pPr>
            <w:r>
              <w:rPr>
                <w:color w:val="B02045"/>
                <w:sz w:val="21"/>
              </w:rPr>
              <w:t>management.metrics.web</w:t>
            </w:r>
          </w:p>
          <w:p w14:paraId="0B323523" w14:textId="77777777" w:rsidR="00A720EB" w:rsidRDefault="0030286B">
            <w:pPr>
              <w:pStyle w:val="TableParagraph"/>
              <w:spacing w:before="0" w:line="259" w:lineRule="exact"/>
              <w:rPr>
                <w:sz w:val="21"/>
              </w:rPr>
            </w:pPr>
            <w:proofErr w:type="gramStart"/>
            <w:r>
              <w:rPr>
                <w:color w:val="B02045"/>
                <w:sz w:val="21"/>
              </w:rPr>
              <w:t>.server</w:t>
            </w:r>
            <w:proofErr w:type="gramEnd"/>
            <w:r>
              <w:rPr>
                <w:color w:val="B02045"/>
                <w:sz w:val="21"/>
              </w:rPr>
              <w:t>.request.ignore</w:t>
            </w:r>
          </w:p>
          <w:p w14:paraId="202D2B40" w14:textId="77777777" w:rsidR="00A720EB" w:rsidRDefault="0030286B">
            <w:pPr>
              <w:pStyle w:val="TableParagraph"/>
              <w:spacing w:before="0" w:line="264" w:lineRule="exact"/>
              <w:rPr>
                <w:sz w:val="21"/>
              </w:rPr>
            </w:pPr>
            <w:r>
              <w:rPr>
                <w:color w:val="B02045"/>
                <w:sz w:val="21"/>
              </w:rPr>
              <w:t>-trailing-slash</w:t>
            </w:r>
          </w:p>
        </w:tc>
        <w:tc>
          <w:tcPr>
            <w:tcW w:w="2494" w:type="dxa"/>
            <w:tcBorders>
              <w:top w:val="single" w:sz="12" w:space="0" w:color="DDDDDD"/>
            </w:tcBorders>
          </w:tcPr>
          <w:p w14:paraId="7FE0FE2D" w14:textId="77777777" w:rsidR="00A720EB" w:rsidRDefault="0030286B">
            <w:pPr>
              <w:pStyle w:val="TableParagraph"/>
              <w:spacing w:before="27"/>
              <w:rPr>
                <w:sz w:val="21"/>
              </w:rPr>
            </w:pPr>
            <w:r>
              <w:rPr>
                <w:color w:val="B02045"/>
                <w:sz w:val="21"/>
              </w:rPr>
              <w:t>true</w:t>
            </w:r>
          </w:p>
        </w:tc>
        <w:tc>
          <w:tcPr>
            <w:tcW w:w="4988" w:type="dxa"/>
            <w:tcBorders>
              <w:top w:val="single" w:sz="12" w:space="0" w:color="DDDDDD"/>
            </w:tcBorders>
          </w:tcPr>
          <w:p w14:paraId="758412EF" w14:textId="77777777" w:rsidR="00A720EB" w:rsidRDefault="0030286B">
            <w:pPr>
              <w:pStyle w:val="TableParagraph"/>
              <w:spacing w:before="82" w:line="307" w:lineRule="auto"/>
              <w:ind w:right="372"/>
              <w:rPr>
                <w:rFonts w:ascii="Cambria"/>
                <w:sz w:val="21"/>
              </w:rPr>
            </w:pPr>
            <w:r>
              <w:rPr>
                <w:rFonts w:ascii="Cambria"/>
                <w:color w:val="333333"/>
                <w:w w:val="110"/>
                <w:sz w:val="21"/>
              </w:rPr>
              <w:t>Whether the trailing slash should be ignored when recording metrics.</w:t>
            </w:r>
          </w:p>
        </w:tc>
      </w:tr>
      <w:tr w:rsidR="00A720EB" w14:paraId="2C8164AD" w14:textId="77777777">
        <w:trPr>
          <w:trHeight w:val="886"/>
        </w:trPr>
        <w:tc>
          <w:tcPr>
            <w:tcW w:w="2494" w:type="dxa"/>
          </w:tcPr>
          <w:p w14:paraId="6CDD8388" w14:textId="77777777" w:rsidR="00A720EB" w:rsidRDefault="0030286B">
            <w:pPr>
              <w:pStyle w:val="TableParagraph"/>
              <w:spacing w:line="264" w:lineRule="exact"/>
              <w:rPr>
                <w:sz w:val="21"/>
              </w:rPr>
            </w:pPr>
            <w:r>
              <w:rPr>
                <w:color w:val="B02045"/>
                <w:sz w:val="21"/>
              </w:rPr>
              <w:t>management.metrics.web</w:t>
            </w:r>
          </w:p>
          <w:p w14:paraId="090BEB0D" w14:textId="77777777" w:rsidR="00A720EB" w:rsidRDefault="0030286B">
            <w:pPr>
              <w:pStyle w:val="TableParagraph"/>
              <w:spacing w:before="0" w:line="259" w:lineRule="exact"/>
              <w:rPr>
                <w:sz w:val="21"/>
              </w:rPr>
            </w:pPr>
            <w:proofErr w:type="gramStart"/>
            <w:r>
              <w:rPr>
                <w:color w:val="B02045"/>
                <w:sz w:val="21"/>
              </w:rPr>
              <w:t>.server</w:t>
            </w:r>
            <w:proofErr w:type="gramEnd"/>
            <w:r>
              <w:rPr>
                <w:color w:val="B02045"/>
                <w:sz w:val="21"/>
              </w:rPr>
              <w:t>.request.metric</w:t>
            </w:r>
          </w:p>
          <w:p w14:paraId="294501E7" w14:textId="77777777" w:rsidR="00A720EB" w:rsidRDefault="0030286B">
            <w:pPr>
              <w:pStyle w:val="TableParagraph"/>
              <w:spacing w:before="0" w:line="264" w:lineRule="exact"/>
              <w:rPr>
                <w:sz w:val="21"/>
              </w:rPr>
            </w:pPr>
            <w:r>
              <w:rPr>
                <w:color w:val="B02045"/>
                <w:sz w:val="21"/>
              </w:rPr>
              <w:t>-name</w:t>
            </w:r>
          </w:p>
        </w:tc>
        <w:tc>
          <w:tcPr>
            <w:tcW w:w="2494" w:type="dxa"/>
          </w:tcPr>
          <w:p w14:paraId="5766CCE3" w14:textId="77777777" w:rsidR="00A720EB" w:rsidRDefault="0030286B">
            <w:pPr>
              <w:pStyle w:val="TableParagraph"/>
              <w:rPr>
                <w:sz w:val="21"/>
              </w:rPr>
            </w:pPr>
            <w:proofErr w:type="gramStart"/>
            <w:r>
              <w:rPr>
                <w:color w:val="B02045"/>
                <w:sz w:val="21"/>
              </w:rPr>
              <w:t>http.server</w:t>
            </w:r>
            <w:proofErr w:type="gramEnd"/>
            <w:r>
              <w:rPr>
                <w:color w:val="B02045"/>
                <w:sz w:val="21"/>
              </w:rPr>
              <w:t>.requests</w:t>
            </w:r>
          </w:p>
        </w:tc>
        <w:tc>
          <w:tcPr>
            <w:tcW w:w="4988" w:type="dxa"/>
          </w:tcPr>
          <w:p w14:paraId="1DCF15BB" w14:textId="77777777" w:rsidR="00A720EB" w:rsidRDefault="0030286B">
            <w:pPr>
              <w:pStyle w:val="TableParagraph"/>
              <w:spacing w:before="92"/>
              <w:rPr>
                <w:rFonts w:ascii="Cambria"/>
                <w:sz w:val="21"/>
              </w:rPr>
            </w:pPr>
            <w:r>
              <w:rPr>
                <w:rFonts w:ascii="Cambria"/>
                <w:color w:val="333333"/>
                <w:w w:val="110"/>
                <w:sz w:val="21"/>
              </w:rPr>
              <w:t>Name of the metric for received requests.</w:t>
            </w:r>
          </w:p>
        </w:tc>
      </w:tr>
      <w:tr w:rsidR="00A720EB" w14:paraId="67085EB6" w14:textId="77777777">
        <w:trPr>
          <w:trHeight w:val="886"/>
        </w:trPr>
        <w:tc>
          <w:tcPr>
            <w:tcW w:w="2494" w:type="dxa"/>
          </w:tcPr>
          <w:p w14:paraId="7B000E18" w14:textId="77777777" w:rsidR="00A720EB" w:rsidRDefault="0030286B">
            <w:pPr>
              <w:pStyle w:val="TableParagraph"/>
              <w:spacing w:before="46" w:line="230" w:lineRule="auto"/>
              <w:ind w:right="113"/>
              <w:rPr>
                <w:sz w:val="21"/>
              </w:rPr>
            </w:pPr>
            <w:r>
              <w:rPr>
                <w:color w:val="B02045"/>
                <w:sz w:val="21"/>
              </w:rPr>
              <w:t>management.server.add- application-context- header</w:t>
            </w:r>
          </w:p>
        </w:tc>
        <w:tc>
          <w:tcPr>
            <w:tcW w:w="2494" w:type="dxa"/>
          </w:tcPr>
          <w:p w14:paraId="4C29B956" w14:textId="77777777" w:rsidR="00A720EB" w:rsidRDefault="0030286B">
            <w:pPr>
              <w:pStyle w:val="TableParagraph"/>
              <w:rPr>
                <w:sz w:val="21"/>
              </w:rPr>
            </w:pPr>
            <w:r>
              <w:rPr>
                <w:color w:val="B02045"/>
                <w:sz w:val="21"/>
              </w:rPr>
              <w:t>false</w:t>
            </w:r>
          </w:p>
        </w:tc>
        <w:tc>
          <w:tcPr>
            <w:tcW w:w="4988" w:type="dxa"/>
          </w:tcPr>
          <w:p w14:paraId="77B7F394" w14:textId="77777777" w:rsidR="00A720EB" w:rsidRDefault="0030286B">
            <w:pPr>
              <w:pStyle w:val="TableParagraph"/>
              <w:spacing w:before="92" w:line="307" w:lineRule="auto"/>
              <w:rPr>
                <w:rFonts w:ascii="Cambria"/>
                <w:sz w:val="21"/>
              </w:rPr>
            </w:pPr>
            <w:r>
              <w:rPr>
                <w:rFonts w:ascii="Cambria"/>
                <w:color w:val="333333"/>
                <w:w w:val="110"/>
                <w:sz w:val="21"/>
              </w:rPr>
              <w:t>Add the "X-Application-Context" HTTP header in each response.</w:t>
            </w:r>
          </w:p>
        </w:tc>
      </w:tr>
      <w:tr w:rsidR="00A720EB" w14:paraId="564A58FB" w14:textId="77777777">
        <w:trPr>
          <w:trHeight w:val="1056"/>
        </w:trPr>
        <w:tc>
          <w:tcPr>
            <w:tcW w:w="2494" w:type="dxa"/>
          </w:tcPr>
          <w:p w14:paraId="47266653" w14:textId="77777777" w:rsidR="00A720EB" w:rsidRDefault="0030286B">
            <w:pPr>
              <w:pStyle w:val="TableParagraph"/>
              <w:spacing w:before="46" w:line="230" w:lineRule="auto"/>
              <w:ind w:right="94"/>
              <w:rPr>
                <w:sz w:val="21"/>
              </w:rPr>
            </w:pPr>
            <w:proofErr w:type="gramStart"/>
            <w:r>
              <w:rPr>
                <w:color w:val="B02045"/>
                <w:sz w:val="21"/>
              </w:rPr>
              <w:t>management.server</w:t>
            </w:r>
            <w:proofErr w:type="gramEnd"/>
            <w:r>
              <w:rPr>
                <w:color w:val="B02045"/>
                <w:sz w:val="21"/>
              </w:rPr>
              <w:t>.addr ess</w:t>
            </w:r>
          </w:p>
        </w:tc>
        <w:tc>
          <w:tcPr>
            <w:tcW w:w="2494" w:type="dxa"/>
          </w:tcPr>
          <w:p w14:paraId="273061CF" w14:textId="77777777" w:rsidR="00A720EB" w:rsidRDefault="00A720EB">
            <w:pPr>
              <w:pStyle w:val="TableParagraph"/>
              <w:spacing w:before="0"/>
              <w:ind w:left="0"/>
              <w:rPr>
                <w:rFonts w:ascii="Times New Roman"/>
                <w:sz w:val="20"/>
              </w:rPr>
            </w:pPr>
          </w:p>
        </w:tc>
        <w:tc>
          <w:tcPr>
            <w:tcW w:w="4988" w:type="dxa"/>
          </w:tcPr>
          <w:p w14:paraId="06250C02" w14:textId="77777777" w:rsidR="00A720EB" w:rsidRDefault="0030286B">
            <w:pPr>
              <w:pStyle w:val="TableParagraph"/>
              <w:spacing w:before="28" w:line="310" w:lineRule="atLeast"/>
              <w:rPr>
                <w:rFonts w:ascii="Cambria"/>
                <w:sz w:val="21"/>
              </w:rPr>
            </w:pPr>
            <w:r>
              <w:rPr>
                <w:rFonts w:ascii="Cambria"/>
                <w:color w:val="333333"/>
                <w:w w:val="110"/>
                <w:sz w:val="21"/>
              </w:rPr>
              <w:t xml:space="preserve">Network address to which the management endpoints should bind. Requires a custom </w:t>
            </w:r>
            <w:proofErr w:type="gramStart"/>
            <w:r>
              <w:rPr>
                <w:rFonts w:ascii="Cambria"/>
                <w:color w:val="333333"/>
                <w:w w:val="110"/>
                <w:sz w:val="21"/>
              </w:rPr>
              <w:t>management.server</w:t>
            </w:r>
            <w:proofErr w:type="gramEnd"/>
            <w:r>
              <w:rPr>
                <w:rFonts w:ascii="Cambria"/>
                <w:color w:val="333333"/>
                <w:w w:val="110"/>
                <w:sz w:val="21"/>
              </w:rPr>
              <w:t>.port.</w:t>
            </w:r>
          </w:p>
        </w:tc>
      </w:tr>
      <w:tr w:rsidR="00A720EB" w14:paraId="61A41406" w14:textId="77777777">
        <w:trPr>
          <w:trHeight w:val="1056"/>
        </w:trPr>
        <w:tc>
          <w:tcPr>
            <w:tcW w:w="2494" w:type="dxa"/>
          </w:tcPr>
          <w:p w14:paraId="7D446E1F" w14:textId="77777777" w:rsidR="00A720EB" w:rsidRDefault="0030286B">
            <w:pPr>
              <w:pStyle w:val="TableParagraph"/>
              <w:rPr>
                <w:sz w:val="21"/>
              </w:rPr>
            </w:pPr>
            <w:proofErr w:type="gramStart"/>
            <w:r>
              <w:rPr>
                <w:color w:val="B02045"/>
                <w:sz w:val="21"/>
              </w:rPr>
              <w:t>management.server</w:t>
            </w:r>
            <w:proofErr w:type="gramEnd"/>
            <w:r>
              <w:rPr>
                <w:color w:val="B02045"/>
                <w:sz w:val="21"/>
              </w:rPr>
              <w:t>.port</w:t>
            </w:r>
          </w:p>
        </w:tc>
        <w:tc>
          <w:tcPr>
            <w:tcW w:w="2494" w:type="dxa"/>
          </w:tcPr>
          <w:p w14:paraId="45418C67" w14:textId="77777777" w:rsidR="00A720EB" w:rsidRDefault="00A720EB">
            <w:pPr>
              <w:pStyle w:val="TableParagraph"/>
              <w:spacing w:before="0"/>
              <w:ind w:left="0"/>
              <w:rPr>
                <w:rFonts w:ascii="Times New Roman"/>
                <w:sz w:val="20"/>
              </w:rPr>
            </w:pPr>
          </w:p>
        </w:tc>
        <w:tc>
          <w:tcPr>
            <w:tcW w:w="4988" w:type="dxa"/>
          </w:tcPr>
          <w:p w14:paraId="7EB4300B" w14:textId="77777777" w:rsidR="00A720EB" w:rsidRDefault="0030286B">
            <w:pPr>
              <w:pStyle w:val="TableParagraph"/>
              <w:spacing w:before="28" w:line="310" w:lineRule="atLeast"/>
              <w:rPr>
                <w:rFonts w:ascii="Cambria"/>
                <w:sz w:val="21"/>
              </w:rPr>
            </w:pPr>
            <w:r>
              <w:rPr>
                <w:rFonts w:ascii="Cambria"/>
                <w:color w:val="333333"/>
                <w:w w:val="110"/>
                <w:sz w:val="21"/>
              </w:rPr>
              <w:t>Management endpoint HTTP port (uses the same port as the application by default). Configure a different port to use management-specific SSL.</w:t>
            </w:r>
          </w:p>
        </w:tc>
      </w:tr>
      <w:tr w:rsidR="00A720EB" w14:paraId="4A7EEDC8" w14:textId="77777777">
        <w:trPr>
          <w:trHeight w:val="1056"/>
        </w:trPr>
        <w:tc>
          <w:tcPr>
            <w:tcW w:w="2494" w:type="dxa"/>
          </w:tcPr>
          <w:p w14:paraId="6EA11819" w14:textId="77777777" w:rsidR="00A720EB" w:rsidRDefault="0030286B">
            <w:pPr>
              <w:pStyle w:val="TableParagraph"/>
              <w:spacing w:before="46" w:line="230" w:lineRule="auto"/>
              <w:ind w:right="113"/>
              <w:rPr>
                <w:sz w:val="21"/>
              </w:rPr>
            </w:pPr>
            <w:proofErr w:type="gramStart"/>
            <w:r>
              <w:rPr>
                <w:color w:val="B02045"/>
                <w:sz w:val="21"/>
              </w:rPr>
              <w:t>management.server</w:t>
            </w:r>
            <w:proofErr w:type="gramEnd"/>
            <w:r>
              <w:rPr>
                <w:color w:val="B02045"/>
                <w:sz w:val="21"/>
              </w:rPr>
              <w:t>.serv let.context-path</w:t>
            </w:r>
          </w:p>
        </w:tc>
        <w:tc>
          <w:tcPr>
            <w:tcW w:w="2494" w:type="dxa"/>
          </w:tcPr>
          <w:p w14:paraId="352662D4" w14:textId="77777777" w:rsidR="00A720EB" w:rsidRDefault="00A720EB">
            <w:pPr>
              <w:pStyle w:val="TableParagraph"/>
              <w:spacing w:before="0"/>
              <w:ind w:left="0"/>
              <w:rPr>
                <w:rFonts w:ascii="Times New Roman"/>
                <w:sz w:val="20"/>
              </w:rPr>
            </w:pPr>
          </w:p>
        </w:tc>
        <w:tc>
          <w:tcPr>
            <w:tcW w:w="4988" w:type="dxa"/>
          </w:tcPr>
          <w:p w14:paraId="1CAA40A6" w14:textId="77777777" w:rsidR="00A720EB" w:rsidRDefault="0030286B">
            <w:pPr>
              <w:pStyle w:val="TableParagraph"/>
              <w:spacing w:before="28" w:line="310" w:lineRule="atLeast"/>
              <w:ind w:right="372"/>
              <w:rPr>
                <w:rFonts w:ascii="Cambria"/>
                <w:sz w:val="21"/>
              </w:rPr>
            </w:pPr>
            <w:r>
              <w:rPr>
                <w:rFonts w:ascii="Cambria"/>
                <w:color w:val="333333"/>
                <w:w w:val="110"/>
                <w:sz w:val="21"/>
              </w:rPr>
              <w:t xml:space="preserve">Management endpoint context-path (for instance, `/management`). Requires a custom </w:t>
            </w:r>
            <w:proofErr w:type="gramStart"/>
            <w:r>
              <w:rPr>
                <w:rFonts w:ascii="Cambria"/>
                <w:color w:val="333333"/>
                <w:w w:val="110"/>
                <w:sz w:val="21"/>
              </w:rPr>
              <w:t>management.server</w:t>
            </w:r>
            <w:proofErr w:type="gramEnd"/>
            <w:r>
              <w:rPr>
                <w:rFonts w:ascii="Cambria"/>
                <w:color w:val="333333"/>
                <w:w w:val="110"/>
                <w:sz w:val="21"/>
              </w:rPr>
              <w:t>.port.</w:t>
            </w:r>
          </w:p>
        </w:tc>
      </w:tr>
      <w:tr w:rsidR="00A720EB" w14:paraId="1218B107" w14:textId="77777777">
        <w:trPr>
          <w:trHeight w:val="627"/>
        </w:trPr>
        <w:tc>
          <w:tcPr>
            <w:tcW w:w="2494" w:type="dxa"/>
          </w:tcPr>
          <w:p w14:paraId="0274E475" w14:textId="77777777" w:rsidR="00A720EB" w:rsidRDefault="0030286B">
            <w:pPr>
              <w:pStyle w:val="TableParagraph"/>
              <w:spacing w:before="46" w:line="230" w:lineRule="auto"/>
              <w:ind w:right="94"/>
              <w:rPr>
                <w:sz w:val="21"/>
              </w:rPr>
            </w:pPr>
            <w:r>
              <w:rPr>
                <w:color w:val="B02045"/>
                <w:sz w:val="21"/>
              </w:rPr>
              <w:t>management.server.ssl. ciphers</w:t>
            </w:r>
          </w:p>
        </w:tc>
        <w:tc>
          <w:tcPr>
            <w:tcW w:w="2494" w:type="dxa"/>
          </w:tcPr>
          <w:p w14:paraId="596D04F7" w14:textId="77777777" w:rsidR="00A720EB" w:rsidRDefault="00A720EB">
            <w:pPr>
              <w:pStyle w:val="TableParagraph"/>
              <w:spacing w:before="0"/>
              <w:ind w:left="0"/>
              <w:rPr>
                <w:rFonts w:ascii="Times New Roman"/>
                <w:sz w:val="20"/>
              </w:rPr>
            </w:pPr>
          </w:p>
        </w:tc>
        <w:tc>
          <w:tcPr>
            <w:tcW w:w="4988" w:type="dxa"/>
          </w:tcPr>
          <w:p w14:paraId="466454DE" w14:textId="77777777" w:rsidR="00A720EB" w:rsidRDefault="0030286B">
            <w:pPr>
              <w:pStyle w:val="TableParagraph"/>
              <w:spacing w:before="92"/>
              <w:rPr>
                <w:rFonts w:ascii="Cambria"/>
                <w:sz w:val="21"/>
              </w:rPr>
            </w:pPr>
            <w:r>
              <w:rPr>
                <w:rFonts w:ascii="Cambria"/>
                <w:color w:val="333333"/>
                <w:w w:val="110"/>
                <w:sz w:val="21"/>
              </w:rPr>
              <w:t>Supported SSL ciphers.</w:t>
            </w:r>
          </w:p>
        </w:tc>
      </w:tr>
      <w:tr w:rsidR="00A720EB" w14:paraId="1BD4777C" w14:textId="77777777">
        <w:trPr>
          <w:trHeight w:val="741"/>
        </w:trPr>
        <w:tc>
          <w:tcPr>
            <w:tcW w:w="2494" w:type="dxa"/>
          </w:tcPr>
          <w:p w14:paraId="584C0DFE" w14:textId="77777777" w:rsidR="00A720EB" w:rsidRDefault="0030286B">
            <w:pPr>
              <w:pStyle w:val="TableParagraph"/>
              <w:spacing w:before="46" w:line="230" w:lineRule="auto"/>
              <w:ind w:right="113"/>
              <w:rPr>
                <w:sz w:val="21"/>
              </w:rPr>
            </w:pPr>
            <w:r>
              <w:rPr>
                <w:color w:val="B02045"/>
                <w:sz w:val="21"/>
              </w:rPr>
              <w:t>management.server.ssl. client-auth</w:t>
            </w:r>
          </w:p>
        </w:tc>
        <w:tc>
          <w:tcPr>
            <w:tcW w:w="2494" w:type="dxa"/>
          </w:tcPr>
          <w:p w14:paraId="78C1A8CE" w14:textId="77777777" w:rsidR="00A720EB" w:rsidRDefault="00A720EB">
            <w:pPr>
              <w:pStyle w:val="TableParagraph"/>
              <w:spacing w:before="0"/>
              <w:ind w:left="0"/>
              <w:rPr>
                <w:rFonts w:ascii="Times New Roman"/>
                <w:sz w:val="20"/>
              </w:rPr>
            </w:pPr>
          </w:p>
        </w:tc>
        <w:tc>
          <w:tcPr>
            <w:tcW w:w="4988" w:type="dxa"/>
          </w:tcPr>
          <w:p w14:paraId="3875D761" w14:textId="77777777" w:rsidR="00A720EB" w:rsidRDefault="0030286B">
            <w:pPr>
              <w:pStyle w:val="TableParagraph"/>
              <w:spacing w:before="28" w:line="310" w:lineRule="atLeast"/>
              <w:ind w:right="372"/>
              <w:rPr>
                <w:rFonts w:ascii="Cambria"/>
                <w:sz w:val="21"/>
              </w:rPr>
            </w:pPr>
            <w:r>
              <w:rPr>
                <w:rFonts w:ascii="Cambria"/>
                <w:color w:val="333333"/>
                <w:w w:val="110"/>
                <w:sz w:val="21"/>
              </w:rPr>
              <w:t>Client authentication mode. Requires a trust store.</w:t>
            </w:r>
          </w:p>
        </w:tc>
      </w:tr>
      <w:tr w:rsidR="00A720EB" w14:paraId="3CBF408E" w14:textId="77777777">
        <w:trPr>
          <w:trHeight w:val="627"/>
        </w:trPr>
        <w:tc>
          <w:tcPr>
            <w:tcW w:w="2494" w:type="dxa"/>
          </w:tcPr>
          <w:p w14:paraId="40F8A252" w14:textId="77777777" w:rsidR="00A720EB" w:rsidRDefault="0030286B">
            <w:pPr>
              <w:pStyle w:val="TableParagraph"/>
              <w:spacing w:before="46" w:line="230" w:lineRule="auto"/>
              <w:ind w:right="94"/>
              <w:rPr>
                <w:sz w:val="21"/>
              </w:rPr>
            </w:pPr>
            <w:r>
              <w:rPr>
                <w:color w:val="B02045"/>
                <w:sz w:val="21"/>
              </w:rPr>
              <w:t>management.server.ssl. enabled</w:t>
            </w:r>
          </w:p>
        </w:tc>
        <w:tc>
          <w:tcPr>
            <w:tcW w:w="2494" w:type="dxa"/>
          </w:tcPr>
          <w:p w14:paraId="1D77E833" w14:textId="77777777" w:rsidR="00A720EB" w:rsidRDefault="0030286B">
            <w:pPr>
              <w:pStyle w:val="TableParagraph"/>
              <w:spacing w:before="37"/>
              <w:rPr>
                <w:sz w:val="21"/>
              </w:rPr>
            </w:pPr>
            <w:r>
              <w:rPr>
                <w:color w:val="B02045"/>
                <w:sz w:val="21"/>
              </w:rPr>
              <w:t>true</w:t>
            </w:r>
          </w:p>
        </w:tc>
        <w:tc>
          <w:tcPr>
            <w:tcW w:w="4988" w:type="dxa"/>
          </w:tcPr>
          <w:p w14:paraId="1C13C026" w14:textId="77777777" w:rsidR="00A720EB" w:rsidRDefault="0030286B">
            <w:pPr>
              <w:pStyle w:val="TableParagraph"/>
              <w:spacing w:before="92"/>
              <w:rPr>
                <w:rFonts w:ascii="Cambria"/>
                <w:sz w:val="21"/>
              </w:rPr>
            </w:pPr>
            <w:r>
              <w:rPr>
                <w:rFonts w:ascii="Cambria"/>
                <w:color w:val="333333"/>
                <w:w w:val="110"/>
                <w:sz w:val="21"/>
              </w:rPr>
              <w:t>Whether to enable SSL support.</w:t>
            </w:r>
          </w:p>
        </w:tc>
      </w:tr>
      <w:tr w:rsidR="00A720EB" w14:paraId="1A13F0CC" w14:textId="77777777">
        <w:trPr>
          <w:trHeight w:val="627"/>
        </w:trPr>
        <w:tc>
          <w:tcPr>
            <w:tcW w:w="2494" w:type="dxa"/>
          </w:tcPr>
          <w:p w14:paraId="101C5DC2" w14:textId="77777777" w:rsidR="00A720EB" w:rsidRDefault="0030286B">
            <w:pPr>
              <w:pStyle w:val="TableParagraph"/>
              <w:spacing w:before="46" w:line="230" w:lineRule="auto"/>
              <w:ind w:right="113"/>
              <w:rPr>
                <w:sz w:val="21"/>
              </w:rPr>
            </w:pPr>
            <w:r>
              <w:rPr>
                <w:color w:val="B02045"/>
                <w:sz w:val="21"/>
              </w:rPr>
              <w:t>management.server.ssl. enabled-protocols</w:t>
            </w:r>
          </w:p>
        </w:tc>
        <w:tc>
          <w:tcPr>
            <w:tcW w:w="2494" w:type="dxa"/>
          </w:tcPr>
          <w:p w14:paraId="2B458A9C" w14:textId="77777777" w:rsidR="00A720EB" w:rsidRDefault="00A720EB">
            <w:pPr>
              <w:pStyle w:val="TableParagraph"/>
              <w:spacing w:before="0"/>
              <w:ind w:left="0"/>
              <w:rPr>
                <w:rFonts w:ascii="Times New Roman"/>
                <w:sz w:val="20"/>
              </w:rPr>
            </w:pPr>
          </w:p>
        </w:tc>
        <w:tc>
          <w:tcPr>
            <w:tcW w:w="4988" w:type="dxa"/>
          </w:tcPr>
          <w:p w14:paraId="25E33FD1" w14:textId="77777777" w:rsidR="00A720EB" w:rsidRDefault="0030286B">
            <w:pPr>
              <w:pStyle w:val="TableParagraph"/>
              <w:spacing w:before="92"/>
              <w:rPr>
                <w:rFonts w:ascii="Cambria"/>
                <w:sz w:val="21"/>
              </w:rPr>
            </w:pPr>
            <w:r>
              <w:rPr>
                <w:rFonts w:ascii="Cambria"/>
                <w:color w:val="333333"/>
                <w:w w:val="110"/>
                <w:sz w:val="21"/>
              </w:rPr>
              <w:t>Enabled SSL protocols.</w:t>
            </w:r>
          </w:p>
        </w:tc>
      </w:tr>
      <w:tr w:rsidR="00A720EB" w14:paraId="3BD4B51E" w14:textId="77777777">
        <w:trPr>
          <w:trHeight w:val="627"/>
        </w:trPr>
        <w:tc>
          <w:tcPr>
            <w:tcW w:w="2494" w:type="dxa"/>
          </w:tcPr>
          <w:p w14:paraId="0A097A9C" w14:textId="77777777" w:rsidR="00A720EB" w:rsidRDefault="0030286B">
            <w:pPr>
              <w:pStyle w:val="TableParagraph"/>
              <w:spacing w:before="46" w:line="230" w:lineRule="auto"/>
              <w:ind w:right="113"/>
              <w:rPr>
                <w:sz w:val="21"/>
              </w:rPr>
            </w:pPr>
            <w:r>
              <w:rPr>
                <w:color w:val="B02045"/>
                <w:sz w:val="21"/>
              </w:rPr>
              <w:t>management.server.ssl. key-alias</w:t>
            </w:r>
          </w:p>
        </w:tc>
        <w:tc>
          <w:tcPr>
            <w:tcW w:w="2494" w:type="dxa"/>
          </w:tcPr>
          <w:p w14:paraId="28B16480" w14:textId="77777777" w:rsidR="00A720EB" w:rsidRDefault="00A720EB">
            <w:pPr>
              <w:pStyle w:val="TableParagraph"/>
              <w:spacing w:before="0"/>
              <w:ind w:left="0"/>
              <w:rPr>
                <w:rFonts w:ascii="Times New Roman"/>
                <w:sz w:val="20"/>
              </w:rPr>
            </w:pPr>
          </w:p>
        </w:tc>
        <w:tc>
          <w:tcPr>
            <w:tcW w:w="4988" w:type="dxa"/>
          </w:tcPr>
          <w:p w14:paraId="38695453" w14:textId="77777777" w:rsidR="00A720EB" w:rsidRDefault="0030286B">
            <w:pPr>
              <w:pStyle w:val="TableParagraph"/>
              <w:spacing w:before="92"/>
              <w:rPr>
                <w:rFonts w:ascii="Cambria"/>
                <w:sz w:val="21"/>
              </w:rPr>
            </w:pPr>
            <w:r>
              <w:rPr>
                <w:rFonts w:ascii="Cambria"/>
                <w:color w:val="333333"/>
                <w:w w:val="110"/>
                <w:sz w:val="21"/>
              </w:rPr>
              <w:t>Alias that identifies the key in the key store.</w:t>
            </w:r>
          </w:p>
        </w:tc>
      </w:tr>
      <w:tr w:rsidR="00A720EB" w14:paraId="0E1A5E90" w14:textId="77777777">
        <w:trPr>
          <w:trHeight w:val="627"/>
        </w:trPr>
        <w:tc>
          <w:tcPr>
            <w:tcW w:w="2494" w:type="dxa"/>
          </w:tcPr>
          <w:p w14:paraId="6A3505E1" w14:textId="77777777" w:rsidR="00A720EB" w:rsidRDefault="0030286B">
            <w:pPr>
              <w:pStyle w:val="TableParagraph"/>
              <w:spacing w:before="46" w:line="230" w:lineRule="auto"/>
              <w:ind w:right="113"/>
              <w:rPr>
                <w:sz w:val="21"/>
              </w:rPr>
            </w:pPr>
            <w:r>
              <w:rPr>
                <w:color w:val="B02045"/>
                <w:sz w:val="21"/>
              </w:rPr>
              <w:t>management.server.ssl. key-password</w:t>
            </w:r>
          </w:p>
        </w:tc>
        <w:tc>
          <w:tcPr>
            <w:tcW w:w="2494" w:type="dxa"/>
          </w:tcPr>
          <w:p w14:paraId="0F2F7B9B" w14:textId="77777777" w:rsidR="00A720EB" w:rsidRDefault="00A720EB">
            <w:pPr>
              <w:pStyle w:val="TableParagraph"/>
              <w:spacing w:before="0"/>
              <w:ind w:left="0"/>
              <w:rPr>
                <w:rFonts w:ascii="Times New Roman"/>
                <w:sz w:val="20"/>
              </w:rPr>
            </w:pPr>
          </w:p>
        </w:tc>
        <w:tc>
          <w:tcPr>
            <w:tcW w:w="4988" w:type="dxa"/>
          </w:tcPr>
          <w:p w14:paraId="2BA5AE3F" w14:textId="77777777" w:rsidR="00A720EB" w:rsidRDefault="0030286B">
            <w:pPr>
              <w:pStyle w:val="TableParagraph"/>
              <w:spacing w:before="92"/>
              <w:rPr>
                <w:rFonts w:ascii="Cambria"/>
                <w:sz w:val="21"/>
              </w:rPr>
            </w:pPr>
            <w:r>
              <w:rPr>
                <w:rFonts w:ascii="Cambria"/>
                <w:color w:val="333333"/>
                <w:w w:val="110"/>
                <w:sz w:val="21"/>
              </w:rPr>
              <w:t>Password used to access the key in the key store.</w:t>
            </w:r>
          </w:p>
        </w:tc>
      </w:tr>
      <w:tr w:rsidR="00A720EB" w14:paraId="63829C49" w14:textId="77777777">
        <w:trPr>
          <w:trHeight w:val="741"/>
        </w:trPr>
        <w:tc>
          <w:tcPr>
            <w:tcW w:w="2494" w:type="dxa"/>
          </w:tcPr>
          <w:p w14:paraId="24AA6C37" w14:textId="77777777" w:rsidR="00A720EB" w:rsidRDefault="0030286B">
            <w:pPr>
              <w:pStyle w:val="TableParagraph"/>
              <w:spacing w:before="46" w:line="230" w:lineRule="auto"/>
              <w:ind w:right="113"/>
              <w:rPr>
                <w:sz w:val="21"/>
              </w:rPr>
            </w:pPr>
            <w:r>
              <w:rPr>
                <w:color w:val="B02045"/>
                <w:sz w:val="21"/>
              </w:rPr>
              <w:t>management.server.ssl. key-store</w:t>
            </w:r>
          </w:p>
        </w:tc>
        <w:tc>
          <w:tcPr>
            <w:tcW w:w="2494" w:type="dxa"/>
          </w:tcPr>
          <w:p w14:paraId="390652C5" w14:textId="77777777" w:rsidR="00A720EB" w:rsidRDefault="00A720EB">
            <w:pPr>
              <w:pStyle w:val="TableParagraph"/>
              <w:spacing w:before="0"/>
              <w:ind w:left="0"/>
              <w:rPr>
                <w:rFonts w:ascii="Times New Roman"/>
                <w:sz w:val="20"/>
              </w:rPr>
            </w:pPr>
          </w:p>
        </w:tc>
        <w:tc>
          <w:tcPr>
            <w:tcW w:w="4988" w:type="dxa"/>
          </w:tcPr>
          <w:p w14:paraId="42A232C6" w14:textId="77777777" w:rsidR="00A720EB" w:rsidRDefault="0030286B">
            <w:pPr>
              <w:pStyle w:val="TableParagraph"/>
              <w:spacing w:before="28" w:line="310" w:lineRule="atLeast"/>
              <w:ind w:right="640"/>
              <w:rPr>
                <w:rFonts w:ascii="Cambria"/>
                <w:sz w:val="21"/>
              </w:rPr>
            </w:pPr>
            <w:r>
              <w:rPr>
                <w:rFonts w:ascii="Cambria"/>
                <w:color w:val="333333"/>
                <w:w w:val="110"/>
                <w:sz w:val="21"/>
              </w:rPr>
              <w:t>Path to the key store that holds the SSL certificate (typically a jks file).</w:t>
            </w:r>
          </w:p>
        </w:tc>
      </w:tr>
      <w:tr w:rsidR="00A720EB" w14:paraId="0A835598" w14:textId="77777777">
        <w:trPr>
          <w:trHeight w:val="627"/>
        </w:trPr>
        <w:tc>
          <w:tcPr>
            <w:tcW w:w="2494" w:type="dxa"/>
          </w:tcPr>
          <w:p w14:paraId="24B28BDD" w14:textId="77777777" w:rsidR="00A720EB" w:rsidRDefault="0030286B">
            <w:pPr>
              <w:pStyle w:val="TableParagraph"/>
              <w:spacing w:before="46" w:line="230" w:lineRule="auto"/>
              <w:ind w:right="113"/>
              <w:rPr>
                <w:sz w:val="21"/>
              </w:rPr>
            </w:pPr>
            <w:r>
              <w:rPr>
                <w:color w:val="B02045"/>
                <w:sz w:val="21"/>
              </w:rPr>
              <w:t>management.server.ssl. key-store-password</w:t>
            </w:r>
          </w:p>
        </w:tc>
        <w:tc>
          <w:tcPr>
            <w:tcW w:w="2494" w:type="dxa"/>
          </w:tcPr>
          <w:p w14:paraId="70AC73F9" w14:textId="77777777" w:rsidR="00A720EB" w:rsidRDefault="00A720EB">
            <w:pPr>
              <w:pStyle w:val="TableParagraph"/>
              <w:spacing w:before="0"/>
              <w:ind w:left="0"/>
              <w:rPr>
                <w:rFonts w:ascii="Times New Roman"/>
                <w:sz w:val="20"/>
              </w:rPr>
            </w:pPr>
          </w:p>
        </w:tc>
        <w:tc>
          <w:tcPr>
            <w:tcW w:w="4988" w:type="dxa"/>
          </w:tcPr>
          <w:p w14:paraId="22EA1DBB" w14:textId="77777777" w:rsidR="00A720EB" w:rsidRDefault="0030286B">
            <w:pPr>
              <w:pStyle w:val="TableParagraph"/>
              <w:spacing w:before="92"/>
              <w:rPr>
                <w:rFonts w:ascii="Cambria"/>
                <w:sz w:val="21"/>
              </w:rPr>
            </w:pPr>
            <w:r>
              <w:rPr>
                <w:rFonts w:ascii="Cambria"/>
                <w:color w:val="333333"/>
                <w:w w:val="110"/>
                <w:sz w:val="21"/>
              </w:rPr>
              <w:t>Password used to access the key store.</w:t>
            </w:r>
          </w:p>
        </w:tc>
      </w:tr>
      <w:tr w:rsidR="00A720EB" w14:paraId="7FB003C0" w14:textId="77777777">
        <w:trPr>
          <w:trHeight w:val="627"/>
        </w:trPr>
        <w:tc>
          <w:tcPr>
            <w:tcW w:w="2494" w:type="dxa"/>
          </w:tcPr>
          <w:p w14:paraId="6B7766B5" w14:textId="77777777" w:rsidR="00A720EB" w:rsidRDefault="0030286B">
            <w:pPr>
              <w:pStyle w:val="TableParagraph"/>
              <w:spacing w:before="46" w:line="230" w:lineRule="auto"/>
              <w:ind w:right="113"/>
              <w:rPr>
                <w:sz w:val="21"/>
              </w:rPr>
            </w:pPr>
            <w:r>
              <w:rPr>
                <w:color w:val="B02045"/>
                <w:sz w:val="21"/>
              </w:rPr>
              <w:t>management.server.ssl. key-store-provider</w:t>
            </w:r>
          </w:p>
        </w:tc>
        <w:tc>
          <w:tcPr>
            <w:tcW w:w="2494" w:type="dxa"/>
          </w:tcPr>
          <w:p w14:paraId="5EAC1A53" w14:textId="77777777" w:rsidR="00A720EB" w:rsidRDefault="00A720EB">
            <w:pPr>
              <w:pStyle w:val="TableParagraph"/>
              <w:spacing w:before="0"/>
              <w:ind w:left="0"/>
              <w:rPr>
                <w:rFonts w:ascii="Times New Roman"/>
                <w:sz w:val="20"/>
              </w:rPr>
            </w:pPr>
          </w:p>
        </w:tc>
        <w:tc>
          <w:tcPr>
            <w:tcW w:w="4988" w:type="dxa"/>
          </w:tcPr>
          <w:p w14:paraId="0B7AC3A3" w14:textId="77777777" w:rsidR="00A720EB" w:rsidRDefault="0030286B">
            <w:pPr>
              <w:pStyle w:val="TableParagraph"/>
              <w:spacing w:before="92"/>
              <w:rPr>
                <w:rFonts w:ascii="Cambria"/>
                <w:sz w:val="21"/>
              </w:rPr>
            </w:pPr>
            <w:r>
              <w:rPr>
                <w:rFonts w:ascii="Cambria"/>
                <w:color w:val="333333"/>
                <w:w w:val="110"/>
                <w:sz w:val="21"/>
              </w:rPr>
              <w:t>Provider for the key store.</w:t>
            </w:r>
          </w:p>
        </w:tc>
      </w:tr>
      <w:tr w:rsidR="00A720EB" w14:paraId="2BB39981" w14:textId="77777777">
        <w:trPr>
          <w:trHeight w:val="627"/>
        </w:trPr>
        <w:tc>
          <w:tcPr>
            <w:tcW w:w="2494" w:type="dxa"/>
          </w:tcPr>
          <w:p w14:paraId="1E8CDE27" w14:textId="77777777" w:rsidR="00A720EB" w:rsidRDefault="0030286B">
            <w:pPr>
              <w:pStyle w:val="TableParagraph"/>
              <w:spacing w:before="46" w:line="230" w:lineRule="auto"/>
              <w:ind w:right="113"/>
              <w:rPr>
                <w:sz w:val="21"/>
              </w:rPr>
            </w:pPr>
            <w:r>
              <w:rPr>
                <w:color w:val="B02045"/>
                <w:sz w:val="21"/>
              </w:rPr>
              <w:t>management.server.ssl. key-store-type</w:t>
            </w:r>
          </w:p>
        </w:tc>
        <w:tc>
          <w:tcPr>
            <w:tcW w:w="2494" w:type="dxa"/>
          </w:tcPr>
          <w:p w14:paraId="1D334C52" w14:textId="77777777" w:rsidR="00A720EB" w:rsidRDefault="00A720EB">
            <w:pPr>
              <w:pStyle w:val="TableParagraph"/>
              <w:spacing w:before="0"/>
              <w:ind w:left="0"/>
              <w:rPr>
                <w:rFonts w:ascii="Times New Roman"/>
                <w:sz w:val="20"/>
              </w:rPr>
            </w:pPr>
          </w:p>
        </w:tc>
        <w:tc>
          <w:tcPr>
            <w:tcW w:w="4988" w:type="dxa"/>
          </w:tcPr>
          <w:p w14:paraId="5403AA93" w14:textId="77777777" w:rsidR="00A720EB" w:rsidRDefault="0030286B">
            <w:pPr>
              <w:pStyle w:val="TableParagraph"/>
              <w:spacing w:before="92"/>
              <w:rPr>
                <w:rFonts w:ascii="Cambria"/>
                <w:sz w:val="21"/>
              </w:rPr>
            </w:pPr>
            <w:r>
              <w:rPr>
                <w:rFonts w:ascii="Cambria"/>
                <w:color w:val="333333"/>
                <w:w w:val="110"/>
                <w:sz w:val="21"/>
              </w:rPr>
              <w:t>Type of the key store.</w:t>
            </w:r>
          </w:p>
        </w:tc>
      </w:tr>
      <w:tr w:rsidR="00A720EB" w14:paraId="0DBD2859" w14:textId="77777777">
        <w:trPr>
          <w:trHeight w:val="627"/>
        </w:trPr>
        <w:tc>
          <w:tcPr>
            <w:tcW w:w="2494" w:type="dxa"/>
          </w:tcPr>
          <w:p w14:paraId="2414A402" w14:textId="77777777" w:rsidR="00A720EB" w:rsidRDefault="0030286B">
            <w:pPr>
              <w:pStyle w:val="TableParagraph"/>
              <w:spacing w:before="46" w:line="230" w:lineRule="auto"/>
              <w:ind w:right="94"/>
              <w:rPr>
                <w:sz w:val="21"/>
              </w:rPr>
            </w:pPr>
            <w:r>
              <w:rPr>
                <w:color w:val="B02045"/>
                <w:sz w:val="21"/>
              </w:rPr>
              <w:t>management.server.ssl. protocol</w:t>
            </w:r>
          </w:p>
        </w:tc>
        <w:tc>
          <w:tcPr>
            <w:tcW w:w="2494" w:type="dxa"/>
          </w:tcPr>
          <w:p w14:paraId="46E4B8C4" w14:textId="77777777" w:rsidR="00A720EB" w:rsidRDefault="0030286B">
            <w:pPr>
              <w:pStyle w:val="TableParagraph"/>
              <w:spacing w:before="37"/>
              <w:rPr>
                <w:sz w:val="21"/>
              </w:rPr>
            </w:pPr>
            <w:r>
              <w:rPr>
                <w:color w:val="B02045"/>
                <w:sz w:val="21"/>
              </w:rPr>
              <w:t>TLS</w:t>
            </w:r>
          </w:p>
        </w:tc>
        <w:tc>
          <w:tcPr>
            <w:tcW w:w="4988" w:type="dxa"/>
          </w:tcPr>
          <w:p w14:paraId="4F912173" w14:textId="77777777" w:rsidR="00A720EB" w:rsidRDefault="0030286B">
            <w:pPr>
              <w:pStyle w:val="TableParagraph"/>
              <w:spacing w:before="92"/>
              <w:rPr>
                <w:rFonts w:ascii="Cambria"/>
                <w:sz w:val="21"/>
              </w:rPr>
            </w:pPr>
            <w:r>
              <w:rPr>
                <w:rFonts w:ascii="Cambria"/>
                <w:color w:val="333333"/>
                <w:w w:val="110"/>
                <w:sz w:val="21"/>
              </w:rPr>
              <w:t>SSL protocol to use.</w:t>
            </w:r>
          </w:p>
        </w:tc>
      </w:tr>
      <w:tr w:rsidR="00A720EB" w14:paraId="5F220CB2" w14:textId="77777777">
        <w:trPr>
          <w:trHeight w:val="627"/>
        </w:trPr>
        <w:tc>
          <w:tcPr>
            <w:tcW w:w="2494" w:type="dxa"/>
          </w:tcPr>
          <w:p w14:paraId="2CC1A391" w14:textId="77777777" w:rsidR="00A720EB" w:rsidRDefault="0030286B">
            <w:pPr>
              <w:pStyle w:val="TableParagraph"/>
              <w:spacing w:before="46" w:line="230" w:lineRule="auto"/>
              <w:ind w:right="113"/>
              <w:rPr>
                <w:sz w:val="21"/>
              </w:rPr>
            </w:pPr>
            <w:r>
              <w:rPr>
                <w:color w:val="B02045"/>
                <w:sz w:val="21"/>
              </w:rPr>
              <w:t>management.server.ssl. trust-store</w:t>
            </w:r>
          </w:p>
        </w:tc>
        <w:tc>
          <w:tcPr>
            <w:tcW w:w="2494" w:type="dxa"/>
          </w:tcPr>
          <w:p w14:paraId="1BACC539" w14:textId="77777777" w:rsidR="00A720EB" w:rsidRDefault="00A720EB">
            <w:pPr>
              <w:pStyle w:val="TableParagraph"/>
              <w:spacing w:before="0"/>
              <w:ind w:left="0"/>
              <w:rPr>
                <w:rFonts w:ascii="Times New Roman"/>
                <w:sz w:val="20"/>
              </w:rPr>
            </w:pPr>
          </w:p>
        </w:tc>
        <w:tc>
          <w:tcPr>
            <w:tcW w:w="4988" w:type="dxa"/>
          </w:tcPr>
          <w:p w14:paraId="4E16E37D" w14:textId="77777777" w:rsidR="00A720EB" w:rsidRDefault="0030286B">
            <w:pPr>
              <w:pStyle w:val="TableParagraph"/>
              <w:spacing w:before="92"/>
              <w:rPr>
                <w:rFonts w:ascii="Cambria"/>
                <w:sz w:val="21"/>
              </w:rPr>
            </w:pPr>
            <w:r>
              <w:rPr>
                <w:rFonts w:ascii="Cambria"/>
                <w:color w:val="333333"/>
                <w:w w:val="110"/>
                <w:sz w:val="21"/>
              </w:rPr>
              <w:t>Trust store that holds SSL certificates.</w:t>
            </w:r>
          </w:p>
        </w:tc>
      </w:tr>
      <w:tr w:rsidR="00A720EB" w14:paraId="4DD31B29" w14:textId="77777777">
        <w:trPr>
          <w:trHeight w:val="627"/>
        </w:trPr>
        <w:tc>
          <w:tcPr>
            <w:tcW w:w="2494" w:type="dxa"/>
          </w:tcPr>
          <w:p w14:paraId="384E0426" w14:textId="77777777" w:rsidR="00A720EB" w:rsidRDefault="0030286B">
            <w:pPr>
              <w:pStyle w:val="TableParagraph"/>
              <w:spacing w:before="46" w:line="230" w:lineRule="auto"/>
              <w:ind w:right="113"/>
              <w:rPr>
                <w:sz w:val="21"/>
              </w:rPr>
            </w:pPr>
            <w:r>
              <w:rPr>
                <w:color w:val="B02045"/>
                <w:sz w:val="21"/>
              </w:rPr>
              <w:lastRenderedPageBreak/>
              <w:t>management.server.ssl. trust-store-password</w:t>
            </w:r>
          </w:p>
        </w:tc>
        <w:tc>
          <w:tcPr>
            <w:tcW w:w="2494" w:type="dxa"/>
          </w:tcPr>
          <w:p w14:paraId="2401E678" w14:textId="77777777" w:rsidR="00A720EB" w:rsidRDefault="00A720EB">
            <w:pPr>
              <w:pStyle w:val="TableParagraph"/>
              <w:spacing w:before="0"/>
              <w:ind w:left="0"/>
              <w:rPr>
                <w:rFonts w:ascii="Times New Roman"/>
                <w:sz w:val="20"/>
              </w:rPr>
            </w:pPr>
          </w:p>
        </w:tc>
        <w:tc>
          <w:tcPr>
            <w:tcW w:w="4988" w:type="dxa"/>
          </w:tcPr>
          <w:p w14:paraId="77F35A10" w14:textId="77777777" w:rsidR="00A720EB" w:rsidRDefault="0030286B">
            <w:pPr>
              <w:pStyle w:val="TableParagraph"/>
              <w:spacing w:before="92"/>
              <w:rPr>
                <w:rFonts w:ascii="Cambria"/>
                <w:sz w:val="21"/>
              </w:rPr>
            </w:pPr>
            <w:r>
              <w:rPr>
                <w:rFonts w:ascii="Cambria"/>
                <w:color w:val="333333"/>
                <w:w w:val="110"/>
                <w:sz w:val="21"/>
              </w:rPr>
              <w:t>Password used to access the trust store.</w:t>
            </w:r>
          </w:p>
        </w:tc>
      </w:tr>
    </w:tbl>
    <w:p w14:paraId="36C5DDC5"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2D8BF226" w14:textId="77777777">
        <w:trPr>
          <w:trHeight w:val="415"/>
        </w:trPr>
        <w:tc>
          <w:tcPr>
            <w:tcW w:w="2494" w:type="dxa"/>
            <w:tcBorders>
              <w:bottom w:val="single" w:sz="12" w:space="0" w:color="DDDDDD"/>
            </w:tcBorders>
          </w:tcPr>
          <w:p w14:paraId="5FD99B4B"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3A276616"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4842BAB"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6E0EC043" w14:textId="77777777">
        <w:trPr>
          <w:trHeight w:val="617"/>
        </w:trPr>
        <w:tc>
          <w:tcPr>
            <w:tcW w:w="2494" w:type="dxa"/>
            <w:tcBorders>
              <w:top w:val="single" w:sz="12" w:space="0" w:color="DDDDDD"/>
            </w:tcBorders>
          </w:tcPr>
          <w:p w14:paraId="6CD56A07" w14:textId="77777777" w:rsidR="00A720EB" w:rsidRDefault="0030286B">
            <w:pPr>
              <w:pStyle w:val="TableParagraph"/>
              <w:spacing w:before="36" w:line="230" w:lineRule="auto"/>
              <w:ind w:right="113"/>
              <w:rPr>
                <w:sz w:val="21"/>
              </w:rPr>
            </w:pPr>
            <w:r>
              <w:rPr>
                <w:color w:val="B02045"/>
                <w:sz w:val="21"/>
              </w:rPr>
              <w:t>management.server.ssl. trust-store-provider</w:t>
            </w:r>
          </w:p>
        </w:tc>
        <w:tc>
          <w:tcPr>
            <w:tcW w:w="2494" w:type="dxa"/>
            <w:tcBorders>
              <w:top w:val="single" w:sz="12" w:space="0" w:color="DDDDDD"/>
            </w:tcBorders>
          </w:tcPr>
          <w:p w14:paraId="525180A8" w14:textId="77777777" w:rsidR="00A720EB" w:rsidRDefault="00A720EB">
            <w:pPr>
              <w:pStyle w:val="TableParagraph"/>
              <w:spacing w:before="0"/>
              <w:ind w:left="0"/>
              <w:rPr>
                <w:rFonts w:ascii="Times New Roman"/>
                <w:sz w:val="20"/>
              </w:rPr>
            </w:pPr>
          </w:p>
        </w:tc>
        <w:tc>
          <w:tcPr>
            <w:tcW w:w="4988" w:type="dxa"/>
            <w:tcBorders>
              <w:top w:val="single" w:sz="12" w:space="0" w:color="DDDDDD"/>
            </w:tcBorders>
          </w:tcPr>
          <w:p w14:paraId="1BC19F73" w14:textId="77777777" w:rsidR="00A720EB" w:rsidRDefault="0030286B">
            <w:pPr>
              <w:pStyle w:val="TableParagraph"/>
              <w:spacing w:before="82"/>
              <w:rPr>
                <w:rFonts w:ascii="Cambria"/>
                <w:sz w:val="21"/>
              </w:rPr>
            </w:pPr>
            <w:r>
              <w:rPr>
                <w:rFonts w:ascii="Cambria"/>
                <w:color w:val="333333"/>
                <w:w w:val="110"/>
                <w:sz w:val="21"/>
              </w:rPr>
              <w:t>Provider for the trust store.</w:t>
            </w:r>
          </w:p>
        </w:tc>
      </w:tr>
      <w:tr w:rsidR="00A720EB" w14:paraId="2A6FB8A9" w14:textId="77777777">
        <w:trPr>
          <w:trHeight w:val="627"/>
        </w:trPr>
        <w:tc>
          <w:tcPr>
            <w:tcW w:w="2494" w:type="dxa"/>
          </w:tcPr>
          <w:p w14:paraId="46F2C11A" w14:textId="77777777" w:rsidR="00A720EB" w:rsidRDefault="0030286B">
            <w:pPr>
              <w:pStyle w:val="TableParagraph"/>
              <w:spacing w:before="46" w:line="230" w:lineRule="auto"/>
              <w:ind w:right="113"/>
              <w:rPr>
                <w:sz w:val="21"/>
              </w:rPr>
            </w:pPr>
            <w:r>
              <w:rPr>
                <w:color w:val="B02045"/>
                <w:sz w:val="21"/>
              </w:rPr>
              <w:t>management.server.ssl. trust-store-type</w:t>
            </w:r>
          </w:p>
        </w:tc>
        <w:tc>
          <w:tcPr>
            <w:tcW w:w="2494" w:type="dxa"/>
          </w:tcPr>
          <w:p w14:paraId="69E6D889" w14:textId="77777777" w:rsidR="00A720EB" w:rsidRDefault="00A720EB">
            <w:pPr>
              <w:pStyle w:val="TableParagraph"/>
              <w:spacing w:before="0"/>
              <w:ind w:left="0"/>
              <w:rPr>
                <w:rFonts w:ascii="Times New Roman"/>
                <w:sz w:val="20"/>
              </w:rPr>
            </w:pPr>
          </w:p>
        </w:tc>
        <w:tc>
          <w:tcPr>
            <w:tcW w:w="4988" w:type="dxa"/>
          </w:tcPr>
          <w:p w14:paraId="580DF4A8" w14:textId="77777777" w:rsidR="00A720EB" w:rsidRDefault="0030286B">
            <w:pPr>
              <w:pStyle w:val="TableParagraph"/>
              <w:spacing w:before="92"/>
              <w:rPr>
                <w:rFonts w:ascii="Cambria"/>
                <w:sz w:val="21"/>
              </w:rPr>
            </w:pPr>
            <w:r>
              <w:rPr>
                <w:rFonts w:ascii="Cambria"/>
                <w:color w:val="333333"/>
                <w:w w:val="110"/>
                <w:sz w:val="21"/>
              </w:rPr>
              <w:t>Type of the trust store.</w:t>
            </w:r>
          </w:p>
        </w:tc>
      </w:tr>
      <w:tr w:rsidR="00A720EB" w14:paraId="2A3953A7" w14:textId="77777777">
        <w:trPr>
          <w:trHeight w:val="741"/>
        </w:trPr>
        <w:tc>
          <w:tcPr>
            <w:tcW w:w="2494" w:type="dxa"/>
          </w:tcPr>
          <w:p w14:paraId="1B0BE6E4" w14:textId="77777777" w:rsidR="00A720EB" w:rsidRDefault="0030286B">
            <w:pPr>
              <w:pStyle w:val="TableParagraph"/>
              <w:spacing w:before="46" w:line="230" w:lineRule="auto"/>
              <w:ind w:right="94"/>
              <w:rPr>
                <w:sz w:val="21"/>
              </w:rPr>
            </w:pPr>
            <w:proofErr w:type="gramStart"/>
            <w:r>
              <w:rPr>
                <w:color w:val="B02045"/>
                <w:sz w:val="21"/>
              </w:rPr>
              <w:t>management.trace</w:t>
            </w:r>
            <w:proofErr w:type="gramEnd"/>
            <w:r>
              <w:rPr>
                <w:color w:val="B02045"/>
                <w:sz w:val="21"/>
              </w:rPr>
              <w:t>.http. enabled</w:t>
            </w:r>
          </w:p>
        </w:tc>
        <w:tc>
          <w:tcPr>
            <w:tcW w:w="2494" w:type="dxa"/>
          </w:tcPr>
          <w:p w14:paraId="32A574D9" w14:textId="77777777" w:rsidR="00A720EB" w:rsidRDefault="0030286B">
            <w:pPr>
              <w:pStyle w:val="TableParagraph"/>
              <w:rPr>
                <w:sz w:val="21"/>
              </w:rPr>
            </w:pPr>
            <w:r>
              <w:rPr>
                <w:color w:val="B02045"/>
                <w:sz w:val="21"/>
              </w:rPr>
              <w:t>true</w:t>
            </w:r>
          </w:p>
        </w:tc>
        <w:tc>
          <w:tcPr>
            <w:tcW w:w="4988" w:type="dxa"/>
          </w:tcPr>
          <w:p w14:paraId="10806F45" w14:textId="77777777" w:rsidR="00A720EB" w:rsidRDefault="0030286B">
            <w:pPr>
              <w:pStyle w:val="TableParagraph"/>
              <w:spacing w:before="28" w:line="310" w:lineRule="atLeast"/>
              <w:ind w:right="678"/>
              <w:rPr>
                <w:rFonts w:ascii="Cambria"/>
                <w:sz w:val="21"/>
              </w:rPr>
            </w:pPr>
            <w:r>
              <w:rPr>
                <w:rFonts w:ascii="Cambria"/>
                <w:color w:val="333333"/>
                <w:w w:val="110"/>
                <w:sz w:val="21"/>
              </w:rPr>
              <w:t>Whether to enable HTTP request-response tracing.</w:t>
            </w:r>
          </w:p>
        </w:tc>
      </w:tr>
      <w:tr w:rsidR="00A720EB" w14:paraId="41C06D6B" w14:textId="77777777">
        <w:trPr>
          <w:trHeight w:val="1372"/>
        </w:trPr>
        <w:tc>
          <w:tcPr>
            <w:tcW w:w="2494" w:type="dxa"/>
          </w:tcPr>
          <w:p w14:paraId="744B003C" w14:textId="77777777" w:rsidR="00A720EB" w:rsidRDefault="0030286B">
            <w:pPr>
              <w:pStyle w:val="TableParagraph"/>
              <w:spacing w:before="46" w:line="230" w:lineRule="auto"/>
              <w:ind w:right="94"/>
              <w:rPr>
                <w:sz w:val="21"/>
              </w:rPr>
            </w:pPr>
            <w:proofErr w:type="gramStart"/>
            <w:r>
              <w:rPr>
                <w:color w:val="B02045"/>
                <w:sz w:val="21"/>
              </w:rPr>
              <w:t>management.trace</w:t>
            </w:r>
            <w:proofErr w:type="gramEnd"/>
            <w:r>
              <w:rPr>
                <w:color w:val="B02045"/>
                <w:sz w:val="21"/>
              </w:rPr>
              <w:t>.http. include</w:t>
            </w:r>
          </w:p>
        </w:tc>
        <w:tc>
          <w:tcPr>
            <w:tcW w:w="2494" w:type="dxa"/>
          </w:tcPr>
          <w:p w14:paraId="7C550471" w14:textId="77777777" w:rsidR="00A720EB" w:rsidRDefault="0030286B">
            <w:pPr>
              <w:pStyle w:val="TableParagraph"/>
              <w:spacing w:before="46" w:line="230" w:lineRule="auto"/>
              <w:ind w:right="638"/>
              <w:jc w:val="both"/>
              <w:rPr>
                <w:sz w:val="21"/>
              </w:rPr>
            </w:pPr>
            <w:r>
              <w:rPr>
                <w:color w:val="B02045"/>
                <w:sz w:val="21"/>
              </w:rPr>
              <w:t>[request-headers, response-headers, cookies, errors]</w:t>
            </w:r>
          </w:p>
        </w:tc>
        <w:tc>
          <w:tcPr>
            <w:tcW w:w="4988" w:type="dxa"/>
          </w:tcPr>
          <w:p w14:paraId="64984C9F" w14:textId="77777777" w:rsidR="00A720EB" w:rsidRDefault="0030286B">
            <w:pPr>
              <w:pStyle w:val="TableParagraph"/>
              <w:spacing w:before="28" w:line="310" w:lineRule="atLeast"/>
              <w:ind w:right="240"/>
              <w:rPr>
                <w:rFonts w:ascii="Cambria"/>
                <w:sz w:val="21"/>
              </w:rPr>
            </w:pPr>
            <w:r>
              <w:rPr>
                <w:rFonts w:ascii="Cambria"/>
                <w:color w:val="333333"/>
                <w:w w:val="110"/>
                <w:sz w:val="21"/>
              </w:rPr>
              <w:t>Items to be included in the trace. Defaults to request headers (excluding Authorization but including Cookie), response headers (including Set-Cookie), and time taken.</w:t>
            </w:r>
          </w:p>
        </w:tc>
      </w:tr>
    </w:tbl>
    <w:p w14:paraId="0E326CCE" w14:textId="77777777" w:rsidR="00A720EB" w:rsidRDefault="00A720EB">
      <w:pPr>
        <w:pStyle w:val="a3"/>
        <w:spacing w:before="12"/>
        <w:rPr>
          <w:rFonts w:ascii="Palatino Linotype"/>
          <w:b/>
          <w:sz w:val="16"/>
        </w:rPr>
      </w:pPr>
    </w:p>
    <w:p w14:paraId="3F84C086" w14:textId="77777777" w:rsidR="00A720EB" w:rsidRDefault="0030286B">
      <w:pPr>
        <w:pStyle w:val="3"/>
        <w:numPr>
          <w:ilvl w:val="2"/>
          <w:numId w:val="9"/>
        </w:numPr>
        <w:tabs>
          <w:tab w:val="left" w:pos="1199"/>
        </w:tabs>
        <w:spacing w:before="105"/>
        <w:ind w:left="1198" w:hanging="1075"/>
      </w:pPr>
      <w:bookmarkStart w:id="1051" w:name="10.A.15._Devtools_properties"/>
      <w:bookmarkStart w:id="1052" w:name="_Toc54424043"/>
      <w:bookmarkEnd w:id="1051"/>
      <w:r>
        <w:rPr>
          <w:color w:val="333333"/>
          <w:w w:val="110"/>
        </w:rPr>
        <w:t>Devtools</w:t>
      </w:r>
      <w:r>
        <w:rPr>
          <w:color w:val="333333"/>
          <w:spacing w:val="-5"/>
          <w:w w:val="110"/>
        </w:rPr>
        <w:t xml:space="preserve"> </w:t>
      </w:r>
      <w:r>
        <w:rPr>
          <w:color w:val="333333"/>
          <w:w w:val="110"/>
        </w:rPr>
        <w:t>properties</w:t>
      </w:r>
      <w:bookmarkEnd w:id="1052"/>
    </w:p>
    <w:p w14:paraId="62DABC87"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33B19E48" w14:textId="77777777">
        <w:trPr>
          <w:trHeight w:val="415"/>
        </w:trPr>
        <w:tc>
          <w:tcPr>
            <w:tcW w:w="2494" w:type="dxa"/>
            <w:tcBorders>
              <w:bottom w:val="single" w:sz="12" w:space="0" w:color="DDDDDD"/>
            </w:tcBorders>
          </w:tcPr>
          <w:p w14:paraId="7C7F7DCD"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Borders>
              <w:bottom w:val="single" w:sz="12" w:space="0" w:color="DDDDDD"/>
            </w:tcBorders>
          </w:tcPr>
          <w:p w14:paraId="420A1DDB"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1928221E"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2FEB9A44" w14:textId="77777777">
        <w:trPr>
          <w:trHeight w:val="731"/>
        </w:trPr>
        <w:tc>
          <w:tcPr>
            <w:tcW w:w="2494" w:type="dxa"/>
            <w:tcBorders>
              <w:top w:val="single" w:sz="12" w:space="0" w:color="DDDDDD"/>
            </w:tcBorders>
          </w:tcPr>
          <w:p w14:paraId="401211A3" w14:textId="77777777" w:rsidR="00A720EB" w:rsidRDefault="0030286B">
            <w:pPr>
              <w:pStyle w:val="TableParagraph"/>
              <w:spacing w:before="39" w:line="230" w:lineRule="auto"/>
              <w:ind w:right="304"/>
              <w:rPr>
                <w:sz w:val="21"/>
              </w:rPr>
            </w:pPr>
            <w:r>
              <w:rPr>
                <w:color w:val="B02045"/>
                <w:sz w:val="21"/>
              </w:rPr>
              <w:t>spring.devtools.add- properties</w:t>
            </w:r>
          </w:p>
        </w:tc>
        <w:tc>
          <w:tcPr>
            <w:tcW w:w="2494" w:type="dxa"/>
            <w:tcBorders>
              <w:top w:val="single" w:sz="12" w:space="0" w:color="DDDDDD"/>
            </w:tcBorders>
          </w:tcPr>
          <w:p w14:paraId="103B801F" w14:textId="77777777" w:rsidR="00A720EB" w:rsidRDefault="0030286B">
            <w:pPr>
              <w:pStyle w:val="TableParagraph"/>
              <w:spacing w:before="30"/>
              <w:rPr>
                <w:sz w:val="21"/>
              </w:rPr>
            </w:pPr>
            <w:r>
              <w:rPr>
                <w:color w:val="B02045"/>
                <w:sz w:val="21"/>
              </w:rPr>
              <w:t>true</w:t>
            </w:r>
          </w:p>
        </w:tc>
        <w:tc>
          <w:tcPr>
            <w:tcW w:w="4988" w:type="dxa"/>
            <w:tcBorders>
              <w:top w:val="single" w:sz="12" w:space="0" w:color="DDDDDD"/>
            </w:tcBorders>
          </w:tcPr>
          <w:p w14:paraId="55AED9EF" w14:textId="77777777" w:rsidR="00A720EB" w:rsidRDefault="0030286B">
            <w:pPr>
              <w:pStyle w:val="TableParagraph"/>
              <w:spacing w:before="21" w:line="310" w:lineRule="atLeast"/>
              <w:rPr>
                <w:rFonts w:ascii="Cambria"/>
                <w:sz w:val="21"/>
              </w:rPr>
            </w:pPr>
            <w:r>
              <w:rPr>
                <w:rFonts w:ascii="Cambria"/>
                <w:color w:val="333333"/>
                <w:w w:val="110"/>
                <w:sz w:val="21"/>
              </w:rPr>
              <w:t>Whether to enable development property defaults.</w:t>
            </w:r>
          </w:p>
        </w:tc>
      </w:tr>
      <w:tr w:rsidR="00A720EB" w14:paraId="6B3F967A" w14:textId="77777777">
        <w:trPr>
          <w:trHeight w:val="741"/>
        </w:trPr>
        <w:tc>
          <w:tcPr>
            <w:tcW w:w="2494" w:type="dxa"/>
          </w:tcPr>
          <w:p w14:paraId="7C89E084" w14:textId="77777777" w:rsidR="00A720EB" w:rsidRDefault="0030286B">
            <w:pPr>
              <w:pStyle w:val="TableParagraph"/>
              <w:spacing w:before="49" w:line="230" w:lineRule="auto"/>
              <w:ind w:right="94"/>
              <w:rPr>
                <w:sz w:val="21"/>
              </w:rPr>
            </w:pPr>
            <w:proofErr w:type="gramStart"/>
            <w:r>
              <w:rPr>
                <w:color w:val="B02045"/>
                <w:sz w:val="21"/>
              </w:rPr>
              <w:t>spring.devtools</w:t>
            </w:r>
            <w:proofErr w:type="gramEnd"/>
            <w:r>
              <w:rPr>
                <w:color w:val="B02045"/>
                <w:sz w:val="21"/>
              </w:rPr>
              <w:t>.livere load.enabled</w:t>
            </w:r>
          </w:p>
        </w:tc>
        <w:tc>
          <w:tcPr>
            <w:tcW w:w="2494" w:type="dxa"/>
          </w:tcPr>
          <w:p w14:paraId="50772289" w14:textId="77777777" w:rsidR="00A720EB" w:rsidRDefault="0030286B">
            <w:pPr>
              <w:pStyle w:val="TableParagraph"/>
              <w:spacing w:before="40"/>
              <w:rPr>
                <w:sz w:val="21"/>
              </w:rPr>
            </w:pPr>
            <w:r>
              <w:rPr>
                <w:color w:val="B02045"/>
                <w:sz w:val="21"/>
              </w:rPr>
              <w:t>true</w:t>
            </w:r>
          </w:p>
        </w:tc>
        <w:tc>
          <w:tcPr>
            <w:tcW w:w="4988" w:type="dxa"/>
          </w:tcPr>
          <w:p w14:paraId="0574C1E8" w14:textId="77777777" w:rsidR="00A720EB" w:rsidRDefault="0030286B">
            <w:pPr>
              <w:pStyle w:val="TableParagraph"/>
              <w:spacing w:before="31" w:line="310" w:lineRule="atLeast"/>
              <w:rPr>
                <w:rFonts w:ascii="Cambria"/>
                <w:sz w:val="21"/>
              </w:rPr>
            </w:pPr>
            <w:r>
              <w:rPr>
                <w:rFonts w:ascii="Cambria"/>
                <w:color w:val="333333"/>
                <w:w w:val="110"/>
                <w:sz w:val="21"/>
              </w:rPr>
              <w:t>Whether to enable a livereload.com-compatible server.</w:t>
            </w:r>
          </w:p>
        </w:tc>
      </w:tr>
      <w:tr w:rsidR="00A720EB" w14:paraId="74109DF5" w14:textId="77777777">
        <w:trPr>
          <w:trHeight w:val="627"/>
        </w:trPr>
        <w:tc>
          <w:tcPr>
            <w:tcW w:w="2494" w:type="dxa"/>
          </w:tcPr>
          <w:p w14:paraId="017CC52E" w14:textId="77777777" w:rsidR="00A720EB" w:rsidRDefault="0030286B">
            <w:pPr>
              <w:pStyle w:val="TableParagraph"/>
              <w:spacing w:before="49" w:line="230" w:lineRule="auto"/>
              <w:ind w:right="94"/>
              <w:rPr>
                <w:sz w:val="21"/>
              </w:rPr>
            </w:pPr>
            <w:proofErr w:type="gramStart"/>
            <w:r>
              <w:rPr>
                <w:color w:val="B02045"/>
                <w:sz w:val="21"/>
              </w:rPr>
              <w:t>spring.devtools</w:t>
            </w:r>
            <w:proofErr w:type="gramEnd"/>
            <w:r>
              <w:rPr>
                <w:color w:val="B02045"/>
                <w:sz w:val="21"/>
              </w:rPr>
              <w:t>.livere load.port</w:t>
            </w:r>
          </w:p>
        </w:tc>
        <w:tc>
          <w:tcPr>
            <w:tcW w:w="2494" w:type="dxa"/>
          </w:tcPr>
          <w:p w14:paraId="2AA516C2" w14:textId="77777777" w:rsidR="00A720EB" w:rsidRDefault="0030286B">
            <w:pPr>
              <w:pStyle w:val="TableParagraph"/>
              <w:spacing w:before="40"/>
              <w:rPr>
                <w:sz w:val="21"/>
              </w:rPr>
            </w:pPr>
            <w:r>
              <w:rPr>
                <w:color w:val="B02045"/>
                <w:sz w:val="21"/>
              </w:rPr>
              <w:t>35729.0</w:t>
            </w:r>
          </w:p>
        </w:tc>
        <w:tc>
          <w:tcPr>
            <w:tcW w:w="4988" w:type="dxa"/>
          </w:tcPr>
          <w:p w14:paraId="1A66C7ED" w14:textId="77777777" w:rsidR="00A720EB" w:rsidRDefault="0030286B">
            <w:pPr>
              <w:pStyle w:val="TableParagraph"/>
              <w:spacing w:before="94"/>
              <w:rPr>
                <w:rFonts w:ascii="Cambria"/>
                <w:sz w:val="21"/>
              </w:rPr>
            </w:pPr>
            <w:r>
              <w:rPr>
                <w:rFonts w:ascii="Cambria"/>
                <w:color w:val="333333"/>
                <w:w w:val="110"/>
                <w:sz w:val="21"/>
              </w:rPr>
              <w:t>Server port.</w:t>
            </w:r>
          </w:p>
        </w:tc>
      </w:tr>
      <w:tr w:rsidR="00A720EB" w14:paraId="23197994" w14:textId="77777777">
        <w:trPr>
          <w:trHeight w:val="741"/>
        </w:trPr>
        <w:tc>
          <w:tcPr>
            <w:tcW w:w="2494" w:type="dxa"/>
          </w:tcPr>
          <w:p w14:paraId="3C88B3CE" w14:textId="77777777" w:rsidR="00A720EB" w:rsidRDefault="0030286B">
            <w:pPr>
              <w:pStyle w:val="TableParagraph"/>
              <w:spacing w:before="40" w:line="264" w:lineRule="exact"/>
              <w:rPr>
                <w:sz w:val="21"/>
              </w:rPr>
            </w:pPr>
            <w:proofErr w:type="gramStart"/>
            <w:r>
              <w:rPr>
                <w:color w:val="B02045"/>
                <w:sz w:val="21"/>
              </w:rPr>
              <w:t>spring.devtools</w:t>
            </w:r>
            <w:proofErr w:type="gramEnd"/>
            <w:r>
              <w:rPr>
                <w:color w:val="B02045"/>
                <w:sz w:val="21"/>
              </w:rPr>
              <w:t>.remote</w:t>
            </w:r>
          </w:p>
          <w:p w14:paraId="6366C85D" w14:textId="77777777" w:rsidR="00A720EB" w:rsidRDefault="0030286B">
            <w:pPr>
              <w:pStyle w:val="TableParagraph"/>
              <w:spacing w:before="0" w:line="264" w:lineRule="exact"/>
              <w:rPr>
                <w:sz w:val="21"/>
              </w:rPr>
            </w:pPr>
            <w:proofErr w:type="gramStart"/>
            <w:r>
              <w:rPr>
                <w:color w:val="B02045"/>
                <w:sz w:val="21"/>
              </w:rPr>
              <w:t>.context</w:t>
            </w:r>
            <w:proofErr w:type="gramEnd"/>
            <w:r>
              <w:rPr>
                <w:color w:val="B02045"/>
                <w:sz w:val="21"/>
              </w:rPr>
              <w:t>-path</w:t>
            </w:r>
          </w:p>
        </w:tc>
        <w:tc>
          <w:tcPr>
            <w:tcW w:w="2494" w:type="dxa"/>
          </w:tcPr>
          <w:p w14:paraId="79219284" w14:textId="77777777" w:rsidR="00A720EB" w:rsidRDefault="0030286B">
            <w:pPr>
              <w:pStyle w:val="TableParagraph"/>
              <w:spacing w:before="40"/>
              <w:rPr>
                <w:sz w:val="21"/>
              </w:rPr>
            </w:pPr>
            <w:proofErr w:type="gramStart"/>
            <w:r>
              <w:rPr>
                <w:color w:val="B02045"/>
                <w:sz w:val="21"/>
              </w:rPr>
              <w:t>/.~</w:t>
            </w:r>
            <w:proofErr w:type="gramEnd"/>
            <w:r>
              <w:rPr>
                <w:color w:val="B02045"/>
                <w:sz w:val="21"/>
              </w:rPr>
              <w:t>~spring-boot!~</w:t>
            </w:r>
          </w:p>
        </w:tc>
        <w:tc>
          <w:tcPr>
            <w:tcW w:w="4988" w:type="dxa"/>
          </w:tcPr>
          <w:p w14:paraId="17FEC007" w14:textId="77777777" w:rsidR="00A720EB" w:rsidRDefault="0030286B">
            <w:pPr>
              <w:pStyle w:val="TableParagraph"/>
              <w:spacing w:before="31" w:line="310" w:lineRule="atLeast"/>
              <w:rPr>
                <w:rFonts w:ascii="Cambria"/>
                <w:sz w:val="21"/>
              </w:rPr>
            </w:pPr>
            <w:r>
              <w:rPr>
                <w:rFonts w:ascii="Cambria"/>
                <w:color w:val="333333"/>
                <w:w w:val="110"/>
                <w:sz w:val="21"/>
              </w:rPr>
              <w:t>Context path used to handle the remote connection.</w:t>
            </w:r>
          </w:p>
        </w:tc>
      </w:tr>
      <w:tr w:rsidR="00A720EB" w14:paraId="0C06ABAF" w14:textId="77777777">
        <w:trPr>
          <w:trHeight w:val="741"/>
        </w:trPr>
        <w:tc>
          <w:tcPr>
            <w:tcW w:w="2494" w:type="dxa"/>
          </w:tcPr>
          <w:p w14:paraId="2359DC9D" w14:textId="77777777" w:rsidR="00A720EB" w:rsidRDefault="0030286B">
            <w:pPr>
              <w:pStyle w:val="TableParagraph"/>
              <w:spacing w:before="40" w:line="264" w:lineRule="exact"/>
              <w:rPr>
                <w:sz w:val="21"/>
              </w:rPr>
            </w:pPr>
            <w:proofErr w:type="gramStart"/>
            <w:r>
              <w:rPr>
                <w:color w:val="B02045"/>
                <w:sz w:val="21"/>
              </w:rPr>
              <w:t>spring.devtools</w:t>
            </w:r>
            <w:proofErr w:type="gramEnd"/>
            <w:r>
              <w:rPr>
                <w:color w:val="B02045"/>
                <w:sz w:val="21"/>
              </w:rPr>
              <w:t>.remote</w:t>
            </w:r>
          </w:p>
          <w:p w14:paraId="49712F34" w14:textId="77777777" w:rsidR="00A720EB" w:rsidRDefault="0030286B">
            <w:pPr>
              <w:pStyle w:val="TableParagraph"/>
              <w:spacing w:before="0" w:line="264" w:lineRule="exact"/>
              <w:rPr>
                <w:sz w:val="21"/>
              </w:rPr>
            </w:pPr>
            <w:proofErr w:type="gramStart"/>
            <w:r>
              <w:rPr>
                <w:color w:val="B02045"/>
                <w:sz w:val="21"/>
              </w:rPr>
              <w:t>.proxy</w:t>
            </w:r>
            <w:proofErr w:type="gramEnd"/>
            <w:r>
              <w:rPr>
                <w:color w:val="B02045"/>
                <w:sz w:val="21"/>
              </w:rPr>
              <w:t>.host</w:t>
            </w:r>
          </w:p>
        </w:tc>
        <w:tc>
          <w:tcPr>
            <w:tcW w:w="2494" w:type="dxa"/>
          </w:tcPr>
          <w:p w14:paraId="162CB243" w14:textId="77777777" w:rsidR="00A720EB" w:rsidRDefault="00A720EB">
            <w:pPr>
              <w:pStyle w:val="TableParagraph"/>
              <w:spacing w:before="0"/>
              <w:ind w:left="0"/>
              <w:rPr>
                <w:rFonts w:ascii="Times New Roman"/>
                <w:sz w:val="20"/>
              </w:rPr>
            </w:pPr>
          </w:p>
        </w:tc>
        <w:tc>
          <w:tcPr>
            <w:tcW w:w="4988" w:type="dxa"/>
          </w:tcPr>
          <w:p w14:paraId="4BBF7C0C" w14:textId="77777777" w:rsidR="00A720EB" w:rsidRDefault="0030286B">
            <w:pPr>
              <w:pStyle w:val="TableParagraph"/>
              <w:spacing w:before="31" w:line="310" w:lineRule="atLeast"/>
              <w:rPr>
                <w:rFonts w:ascii="Cambria"/>
                <w:sz w:val="21"/>
              </w:rPr>
            </w:pPr>
            <w:r>
              <w:rPr>
                <w:rFonts w:ascii="Cambria"/>
                <w:color w:val="333333"/>
                <w:w w:val="110"/>
                <w:sz w:val="21"/>
              </w:rPr>
              <w:t>The host of the proxy to use to connect to the remote application.</w:t>
            </w:r>
          </w:p>
        </w:tc>
      </w:tr>
      <w:tr w:rsidR="00A720EB" w14:paraId="3DE2794A" w14:textId="77777777">
        <w:trPr>
          <w:trHeight w:val="741"/>
        </w:trPr>
        <w:tc>
          <w:tcPr>
            <w:tcW w:w="2494" w:type="dxa"/>
          </w:tcPr>
          <w:p w14:paraId="76F50B73" w14:textId="77777777" w:rsidR="00A720EB" w:rsidRDefault="0030286B">
            <w:pPr>
              <w:pStyle w:val="TableParagraph"/>
              <w:spacing w:before="40" w:line="264" w:lineRule="exact"/>
              <w:rPr>
                <w:sz w:val="21"/>
              </w:rPr>
            </w:pPr>
            <w:proofErr w:type="gramStart"/>
            <w:r>
              <w:rPr>
                <w:color w:val="B02045"/>
                <w:sz w:val="21"/>
              </w:rPr>
              <w:t>spring.devtools</w:t>
            </w:r>
            <w:proofErr w:type="gramEnd"/>
            <w:r>
              <w:rPr>
                <w:color w:val="B02045"/>
                <w:sz w:val="21"/>
              </w:rPr>
              <w:t>.remote</w:t>
            </w:r>
          </w:p>
          <w:p w14:paraId="31C5216E" w14:textId="77777777" w:rsidR="00A720EB" w:rsidRDefault="0030286B">
            <w:pPr>
              <w:pStyle w:val="TableParagraph"/>
              <w:spacing w:before="0" w:line="264" w:lineRule="exact"/>
              <w:rPr>
                <w:sz w:val="21"/>
              </w:rPr>
            </w:pPr>
            <w:proofErr w:type="gramStart"/>
            <w:r>
              <w:rPr>
                <w:color w:val="B02045"/>
                <w:sz w:val="21"/>
              </w:rPr>
              <w:t>.proxy</w:t>
            </w:r>
            <w:proofErr w:type="gramEnd"/>
            <w:r>
              <w:rPr>
                <w:color w:val="B02045"/>
                <w:sz w:val="21"/>
              </w:rPr>
              <w:t>.port</w:t>
            </w:r>
          </w:p>
        </w:tc>
        <w:tc>
          <w:tcPr>
            <w:tcW w:w="2494" w:type="dxa"/>
          </w:tcPr>
          <w:p w14:paraId="72A04D1A" w14:textId="77777777" w:rsidR="00A720EB" w:rsidRDefault="00A720EB">
            <w:pPr>
              <w:pStyle w:val="TableParagraph"/>
              <w:spacing w:before="0"/>
              <w:ind w:left="0"/>
              <w:rPr>
                <w:rFonts w:ascii="Times New Roman"/>
                <w:sz w:val="20"/>
              </w:rPr>
            </w:pPr>
          </w:p>
        </w:tc>
        <w:tc>
          <w:tcPr>
            <w:tcW w:w="4988" w:type="dxa"/>
          </w:tcPr>
          <w:p w14:paraId="0ABADDFA" w14:textId="77777777" w:rsidR="00A720EB" w:rsidRDefault="0030286B">
            <w:pPr>
              <w:pStyle w:val="TableParagraph"/>
              <w:spacing w:before="31" w:line="310" w:lineRule="atLeast"/>
              <w:rPr>
                <w:rFonts w:ascii="Cambria"/>
                <w:sz w:val="21"/>
              </w:rPr>
            </w:pPr>
            <w:r>
              <w:rPr>
                <w:rFonts w:ascii="Cambria"/>
                <w:color w:val="333333"/>
                <w:w w:val="110"/>
                <w:sz w:val="21"/>
              </w:rPr>
              <w:t>The port of the proxy to use to connect to the remote application.</w:t>
            </w:r>
          </w:p>
        </w:tc>
      </w:tr>
      <w:tr w:rsidR="00A720EB" w14:paraId="3E496AE1" w14:textId="77777777">
        <w:trPr>
          <w:trHeight w:val="627"/>
        </w:trPr>
        <w:tc>
          <w:tcPr>
            <w:tcW w:w="2494" w:type="dxa"/>
          </w:tcPr>
          <w:p w14:paraId="3453F1F0" w14:textId="77777777" w:rsidR="00A720EB" w:rsidRDefault="0030286B">
            <w:pPr>
              <w:pStyle w:val="TableParagraph"/>
              <w:spacing w:before="40" w:line="264" w:lineRule="exact"/>
              <w:rPr>
                <w:sz w:val="21"/>
              </w:rPr>
            </w:pPr>
            <w:proofErr w:type="gramStart"/>
            <w:r>
              <w:rPr>
                <w:color w:val="B02045"/>
                <w:sz w:val="21"/>
              </w:rPr>
              <w:t>spring.devtools</w:t>
            </w:r>
            <w:proofErr w:type="gramEnd"/>
            <w:r>
              <w:rPr>
                <w:color w:val="B02045"/>
                <w:sz w:val="21"/>
              </w:rPr>
              <w:t>.remote</w:t>
            </w:r>
          </w:p>
          <w:p w14:paraId="137546CD" w14:textId="77777777" w:rsidR="00A720EB" w:rsidRDefault="0030286B">
            <w:pPr>
              <w:pStyle w:val="TableParagraph"/>
              <w:spacing w:before="0" w:line="264" w:lineRule="exact"/>
              <w:rPr>
                <w:sz w:val="21"/>
              </w:rPr>
            </w:pPr>
            <w:proofErr w:type="gramStart"/>
            <w:r>
              <w:rPr>
                <w:color w:val="B02045"/>
                <w:sz w:val="21"/>
              </w:rPr>
              <w:t>.restart</w:t>
            </w:r>
            <w:proofErr w:type="gramEnd"/>
            <w:r>
              <w:rPr>
                <w:color w:val="B02045"/>
                <w:sz w:val="21"/>
              </w:rPr>
              <w:t>.enabled</w:t>
            </w:r>
          </w:p>
        </w:tc>
        <w:tc>
          <w:tcPr>
            <w:tcW w:w="2494" w:type="dxa"/>
          </w:tcPr>
          <w:p w14:paraId="1529EC4F" w14:textId="77777777" w:rsidR="00A720EB" w:rsidRDefault="0030286B">
            <w:pPr>
              <w:pStyle w:val="TableParagraph"/>
              <w:spacing w:before="40"/>
              <w:rPr>
                <w:sz w:val="21"/>
              </w:rPr>
            </w:pPr>
            <w:r>
              <w:rPr>
                <w:color w:val="B02045"/>
                <w:sz w:val="21"/>
              </w:rPr>
              <w:t>true</w:t>
            </w:r>
          </w:p>
        </w:tc>
        <w:tc>
          <w:tcPr>
            <w:tcW w:w="4988" w:type="dxa"/>
          </w:tcPr>
          <w:p w14:paraId="045B5145" w14:textId="77777777" w:rsidR="00A720EB" w:rsidRDefault="0030286B">
            <w:pPr>
              <w:pStyle w:val="TableParagraph"/>
              <w:spacing w:before="94"/>
              <w:rPr>
                <w:rFonts w:ascii="Cambria"/>
                <w:sz w:val="21"/>
              </w:rPr>
            </w:pPr>
            <w:r>
              <w:rPr>
                <w:rFonts w:ascii="Cambria"/>
                <w:color w:val="333333"/>
                <w:w w:val="110"/>
                <w:sz w:val="21"/>
              </w:rPr>
              <w:t>Whether to enable remote restart.</w:t>
            </w:r>
          </w:p>
        </w:tc>
      </w:tr>
      <w:tr w:rsidR="00A720EB" w14:paraId="3B218980" w14:textId="77777777">
        <w:trPr>
          <w:trHeight w:val="741"/>
        </w:trPr>
        <w:tc>
          <w:tcPr>
            <w:tcW w:w="2494" w:type="dxa"/>
          </w:tcPr>
          <w:p w14:paraId="21961707" w14:textId="77777777" w:rsidR="00A720EB" w:rsidRDefault="0030286B">
            <w:pPr>
              <w:pStyle w:val="TableParagraph"/>
              <w:spacing w:before="40" w:line="264" w:lineRule="exact"/>
              <w:rPr>
                <w:sz w:val="21"/>
              </w:rPr>
            </w:pPr>
            <w:proofErr w:type="gramStart"/>
            <w:r>
              <w:rPr>
                <w:color w:val="B02045"/>
                <w:sz w:val="21"/>
              </w:rPr>
              <w:t>spring.devtools</w:t>
            </w:r>
            <w:proofErr w:type="gramEnd"/>
            <w:r>
              <w:rPr>
                <w:color w:val="B02045"/>
                <w:sz w:val="21"/>
              </w:rPr>
              <w:t>.remote</w:t>
            </w:r>
          </w:p>
          <w:p w14:paraId="15FE207E" w14:textId="77777777" w:rsidR="00A720EB" w:rsidRDefault="0030286B">
            <w:pPr>
              <w:pStyle w:val="TableParagraph"/>
              <w:spacing w:before="0" w:line="264" w:lineRule="exact"/>
              <w:rPr>
                <w:sz w:val="21"/>
              </w:rPr>
            </w:pPr>
            <w:proofErr w:type="gramStart"/>
            <w:r>
              <w:rPr>
                <w:color w:val="B02045"/>
                <w:sz w:val="21"/>
              </w:rPr>
              <w:t>.secret</w:t>
            </w:r>
            <w:proofErr w:type="gramEnd"/>
          </w:p>
        </w:tc>
        <w:tc>
          <w:tcPr>
            <w:tcW w:w="2494" w:type="dxa"/>
          </w:tcPr>
          <w:p w14:paraId="5131370C" w14:textId="77777777" w:rsidR="00A720EB" w:rsidRDefault="00A720EB">
            <w:pPr>
              <w:pStyle w:val="TableParagraph"/>
              <w:spacing w:before="0"/>
              <w:ind w:left="0"/>
              <w:rPr>
                <w:rFonts w:ascii="Times New Roman"/>
                <w:sz w:val="20"/>
              </w:rPr>
            </w:pPr>
          </w:p>
        </w:tc>
        <w:tc>
          <w:tcPr>
            <w:tcW w:w="4988" w:type="dxa"/>
          </w:tcPr>
          <w:p w14:paraId="6819A6D1" w14:textId="77777777" w:rsidR="00A720EB" w:rsidRDefault="0030286B">
            <w:pPr>
              <w:pStyle w:val="TableParagraph"/>
              <w:spacing w:before="31" w:line="310" w:lineRule="atLeast"/>
              <w:ind w:right="73"/>
              <w:rPr>
                <w:rFonts w:ascii="Cambria"/>
                <w:sz w:val="21"/>
              </w:rPr>
            </w:pPr>
            <w:r>
              <w:rPr>
                <w:rFonts w:ascii="Cambria"/>
                <w:color w:val="333333"/>
                <w:w w:val="110"/>
                <w:sz w:val="21"/>
              </w:rPr>
              <w:t>A shared secret required to establish a connection (required to enable remote support).</w:t>
            </w:r>
          </w:p>
        </w:tc>
      </w:tr>
      <w:tr w:rsidR="00A720EB" w14:paraId="1BE081D0" w14:textId="77777777">
        <w:trPr>
          <w:trHeight w:val="627"/>
        </w:trPr>
        <w:tc>
          <w:tcPr>
            <w:tcW w:w="2494" w:type="dxa"/>
          </w:tcPr>
          <w:p w14:paraId="10A4CAB8" w14:textId="77777777" w:rsidR="00A720EB" w:rsidRDefault="0030286B">
            <w:pPr>
              <w:pStyle w:val="TableParagraph"/>
              <w:spacing w:before="40" w:line="264" w:lineRule="exact"/>
              <w:rPr>
                <w:sz w:val="21"/>
              </w:rPr>
            </w:pPr>
            <w:proofErr w:type="gramStart"/>
            <w:r>
              <w:rPr>
                <w:color w:val="B02045"/>
                <w:sz w:val="21"/>
              </w:rPr>
              <w:t>spring.devtools</w:t>
            </w:r>
            <w:proofErr w:type="gramEnd"/>
            <w:r>
              <w:rPr>
                <w:color w:val="B02045"/>
                <w:sz w:val="21"/>
              </w:rPr>
              <w:t>.remote</w:t>
            </w:r>
          </w:p>
          <w:p w14:paraId="1D01B8CE" w14:textId="77777777" w:rsidR="00A720EB" w:rsidRDefault="0030286B">
            <w:pPr>
              <w:pStyle w:val="TableParagraph"/>
              <w:spacing w:before="0" w:line="264" w:lineRule="exact"/>
              <w:rPr>
                <w:sz w:val="21"/>
              </w:rPr>
            </w:pPr>
            <w:proofErr w:type="gramStart"/>
            <w:r>
              <w:rPr>
                <w:color w:val="B02045"/>
                <w:sz w:val="21"/>
              </w:rPr>
              <w:t>.secret</w:t>
            </w:r>
            <w:proofErr w:type="gramEnd"/>
            <w:r>
              <w:rPr>
                <w:color w:val="B02045"/>
                <w:sz w:val="21"/>
              </w:rPr>
              <w:t>-header-name</w:t>
            </w:r>
          </w:p>
        </w:tc>
        <w:tc>
          <w:tcPr>
            <w:tcW w:w="2494" w:type="dxa"/>
          </w:tcPr>
          <w:p w14:paraId="661B8702" w14:textId="77777777" w:rsidR="00A720EB" w:rsidRDefault="0030286B">
            <w:pPr>
              <w:pStyle w:val="TableParagraph"/>
              <w:spacing w:before="40"/>
              <w:rPr>
                <w:sz w:val="21"/>
              </w:rPr>
            </w:pPr>
            <w:r>
              <w:rPr>
                <w:color w:val="B02045"/>
                <w:sz w:val="21"/>
              </w:rPr>
              <w:t>X-AUTH-TOKEN</w:t>
            </w:r>
          </w:p>
        </w:tc>
        <w:tc>
          <w:tcPr>
            <w:tcW w:w="4988" w:type="dxa"/>
          </w:tcPr>
          <w:p w14:paraId="49173F34" w14:textId="77777777" w:rsidR="00A720EB" w:rsidRDefault="0030286B">
            <w:pPr>
              <w:pStyle w:val="TableParagraph"/>
              <w:spacing w:before="94"/>
              <w:rPr>
                <w:rFonts w:ascii="Cambria"/>
                <w:sz w:val="21"/>
              </w:rPr>
            </w:pPr>
            <w:r>
              <w:rPr>
                <w:rFonts w:ascii="Cambria"/>
                <w:color w:val="333333"/>
                <w:w w:val="110"/>
                <w:sz w:val="21"/>
              </w:rPr>
              <w:t>HTTP header used to transfer the shared secret.</w:t>
            </w:r>
          </w:p>
        </w:tc>
      </w:tr>
      <w:tr w:rsidR="00A720EB" w14:paraId="0A7CE538" w14:textId="77777777">
        <w:trPr>
          <w:trHeight w:val="741"/>
        </w:trPr>
        <w:tc>
          <w:tcPr>
            <w:tcW w:w="2494" w:type="dxa"/>
          </w:tcPr>
          <w:p w14:paraId="0EE0CCD3" w14:textId="77777777" w:rsidR="00A720EB" w:rsidRDefault="0030286B">
            <w:pPr>
              <w:pStyle w:val="TableParagraph"/>
              <w:spacing w:before="49" w:line="230" w:lineRule="auto"/>
              <w:ind w:right="113"/>
              <w:rPr>
                <w:sz w:val="21"/>
              </w:rPr>
            </w:pPr>
            <w:proofErr w:type="gramStart"/>
            <w:r>
              <w:rPr>
                <w:color w:val="B02045"/>
                <w:sz w:val="21"/>
              </w:rPr>
              <w:t>spring.devtools</w:t>
            </w:r>
            <w:proofErr w:type="gramEnd"/>
            <w:r>
              <w:rPr>
                <w:color w:val="B02045"/>
                <w:sz w:val="21"/>
              </w:rPr>
              <w:t>.restar t.additional-exclude</w:t>
            </w:r>
          </w:p>
        </w:tc>
        <w:tc>
          <w:tcPr>
            <w:tcW w:w="2494" w:type="dxa"/>
          </w:tcPr>
          <w:p w14:paraId="611E8055" w14:textId="77777777" w:rsidR="00A720EB" w:rsidRDefault="00A720EB">
            <w:pPr>
              <w:pStyle w:val="TableParagraph"/>
              <w:spacing w:before="0"/>
              <w:ind w:left="0"/>
              <w:rPr>
                <w:rFonts w:ascii="Times New Roman"/>
                <w:sz w:val="20"/>
              </w:rPr>
            </w:pPr>
          </w:p>
        </w:tc>
        <w:tc>
          <w:tcPr>
            <w:tcW w:w="4988" w:type="dxa"/>
          </w:tcPr>
          <w:p w14:paraId="6A2E3A3B" w14:textId="77777777" w:rsidR="00A720EB" w:rsidRDefault="0030286B">
            <w:pPr>
              <w:pStyle w:val="TableParagraph"/>
              <w:spacing w:before="31" w:line="310" w:lineRule="atLeast"/>
              <w:ind w:right="372"/>
              <w:rPr>
                <w:rFonts w:ascii="Cambria"/>
                <w:sz w:val="21"/>
              </w:rPr>
            </w:pPr>
            <w:r>
              <w:rPr>
                <w:rFonts w:ascii="Cambria"/>
                <w:color w:val="333333"/>
                <w:w w:val="110"/>
                <w:sz w:val="21"/>
              </w:rPr>
              <w:t>Additional patterns that should be excluded from triggering a full restart.</w:t>
            </w:r>
          </w:p>
        </w:tc>
      </w:tr>
      <w:tr w:rsidR="00A720EB" w14:paraId="3923BEBE" w14:textId="77777777">
        <w:trPr>
          <w:trHeight w:val="627"/>
        </w:trPr>
        <w:tc>
          <w:tcPr>
            <w:tcW w:w="2494" w:type="dxa"/>
          </w:tcPr>
          <w:p w14:paraId="74724B84" w14:textId="77777777" w:rsidR="00A720EB" w:rsidRDefault="0030286B">
            <w:pPr>
              <w:pStyle w:val="TableParagraph"/>
              <w:spacing w:before="49" w:line="230" w:lineRule="auto"/>
              <w:ind w:right="113"/>
              <w:rPr>
                <w:sz w:val="21"/>
              </w:rPr>
            </w:pPr>
            <w:proofErr w:type="gramStart"/>
            <w:r>
              <w:rPr>
                <w:color w:val="B02045"/>
                <w:sz w:val="21"/>
              </w:rPr>
              <w:t>spring.devtools</w:t>
            </w:r>
            <w:proofErr w:type="gramEnd"/>
            <w:r>
              <w:rPr>
                <w:color w:val="B02045"/>
                <w:sz w:val="21"/>
              </w:rPr>
              <w:t>.restar t.additional-paths</w:t>
            </w:r>
          </w:p>
        </w:tc>
        <w:tc>
          <w:tcPr>
            <w:tcW w:w="2494" w:type="dxa"/>
          </w:tcPr>
          <w:p w14:paraId="5FC7ED4E" w14:textId="77777777" w:rsidR="00A720EB" w:rsidRDefault="00A720EB">
            <w:pPr>
              <w:pStyle w:val="TableParagraph"/>
              <w:spacing w:before="0"/>
              <w:ind w:left="0"/>
              <w:rPr>
                <w:rFonts w:ascii="Times New Roman"/>
                <w:sz w:val="20"/>
              </w:rPr>
            </w:pPr>
          </w:p>
        </w:tc>
        <w:tc>
          <w:tcPr>
            <w:tcW w:w="4988" w:type="dxa"/>
          </w:tcPr>
          <w:p w14:paraId="13E7A7F9" w14:textId="77777777" w:rsidR="00A720EB" w:rsidRDefault="0030286B">
            <w:pPr>
              <w:pStyle w:val="TableParagraph"/>
              <w:spacing w:before="94"/>
              <w:rPr>
                <w:rFonts w:ascii="Cambria"/>
                <w:sz w:val="21"/>
              </w:rPr>
            </w:pPr>
            <w:r>
              <w:rPr>
                <w:rFonts w:ascii="Cambria"/>
                <w:color w:val="333333"/>
                <w:w w:val="110"/>
                <w:sz w:val="21"/>
              </w:rPr>
              <w:t>Additional paths to watch for changes.</w:t>
            </w:r>
          </w:p>
        </w:tc>
      </w:tr>
      <w:tr w:rsidR="00A720EB" w14:paraId="55C9CBAD" w14:textId="77777777">
        <w:trPr>
          <w:trHeight w:val="627"/>
        </w:trPr>
        <w:tc>
          <w:tcPr>
            <w:tcW w:w="2494" w:type="dxa"/>
          </w:tcPr>
          <w:p w14:paraId="2B595D36" w14:textId="77777777" w:rsidR="00A720EB" w:rsidRDefault="0030286B">
            <w:pPr>
              <w:pStyle w:val="TableParagraph"/>
              <w:spacing w:before="49" w:line="230" w:lineRule="auto"/>
              <w:ind w:right="94"/>
              <w:rPr>
                <w:sz w:val="21"/>
              </w:rPr>
            </w:pPr>
            <w:proofErr w:type="gramStart"/>
            <w:r>
              <w:rPr>
                <w:color w:val="B02045"/>
                <w:sz w:val="21"/>
              </w:rPr>
              <w:t>spring.devtools</w:t>
            </w:r>
            <w:proofErr w:type="gramEnd"/>
            <w:r>
              <w:rPr>
                <w:color w:val="B02045"/>
                <w:sz w:val="21"/>
              </w:rPr>
              <w:t>.restar t.enabled</w:t>
            </w:r>
          </w:p>
        </w:tc>
        <w:tc>
          <w:tcPr>
            <w:tcW w:w="2494" w:type="dxa"/>
          </w:tcPr>
          <w:p w14:paraId="1E59A075" w14:textId="77777777" w:rsidR="00A720EB" w:rsidRDefault="0030286B">
            <w:pPr>
              <w:pStyle w:val="TableParagraph"/>
              <w:spacing w:before="40"/>
              <w:rPr>
                <w:sz w:val="21"/>
              </w:rPr>
            </w:pPr>
            <w:r>
              <w:rPr>
                <w:color w:val="B02045"/>
                <w:sz w:val="21"/>
              </w:rPr>
              <w:t>true</w:t>
            </w:r>
          </w:p>
        </w:tc>
        <w:tc>
          <w:tcPr>
            <w:tcW w:w="4988" w:type="dxa"/>
          </w:tcPr>
          <w:p w14:paraId="6F6D790D" w14:textId="77777777" w:rsidR="00A720EB" w:rsidRDefault="0030286B">
            <w:pPr>
              <w:pStyle w:val="TableParagraph"/>
              <w:spacing w:before="94"/>
              <w:rPr>
                <w:rFonts w:ascii="Cambria"/>
                <w:sz w:val="21"/>
              </w:rPr>
            </w:pPr>
            <w:r>
              <w:rPr>
                <w:rFonts w:ascii="Cambria"/>
                <w:color w:val="333333"/>
                <w:w w:val="110"/>
                <w:sz w:val="21"/>
              </w:rPr>
              <w:t>Whether to enable automatic restart.</w:t>
            </w:r>
          </w:p>
        </w:tc>
      </w:tr>
    </w:tbl>
    <w:p w14:paraId="399791AD"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4E58DE6D" w14:textId="77777777">
        <w:trPr>
          <w:trHeight w:val="415"/>
        </w:trPr>
        <w:tc>
          <w:tcPr>
            <w:tcW w:w="2494" w:type="dxa"/>
            <w:tcBorders>
              <w:bottom w:val="single" w:sz="12" w:space="0" w:color="DDDDDD"/>
            </w:tcBorders>
          </w:tcPr>
          <w:p w14:paraId="06BC6DE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2494" w:type="dxa"/>
            <w:tcBorders>
              <w:bottom w:val="single" w:sz="12" w:space="0" w:color="DDDDDD"/>
            </w:tcBorders>
          </w:tcPr>
          <w:p w14:paraId="05D1A292"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5656787B"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0046D103" w14:textId="77777777">
        <w:trPr>
          <w:trHeight w:val="2430"/>
        </w:trPr>
        <w:tc>
          <w:tcPr>
            <w:tcW w:w="2494" w:type="dxa"/>
            <w:tcBorders>
              <w:top w:val="single" w:sz="12" w:space="0" w:color="DDDDDD"/>
            </w:tcBorders>
          </w:tcPr>
          <w:p w14:paraId="4259C9F9" w14:textId="77777777" w:rsidR="00A720EB" w:rsidRDefault="0030286B">
            <w:pPr>
              <w:pStyle w:val="TableParagraph"/>
              <w:spacing w:before="36" w:line="230" w:lineRule="auto"/>
              <w:ind w:right="94"/>
              <w:rPr>
                <w:sz w:val="21"/>
              </w:rPr>
            </w:pPr>
            <w:proofErr w:type="gramStart"/>
            <w:r>
              <w:rPr>
                <w:color w:val="B02045"/>
                <w:sz w:val="21"/>
              </w:rPr>
              <w:t>spring.devtools</w:t>
            </w:r>
            <w:proofErr w:type="gramEnd"/>
            <w:r>
              <w:rPr>
                <w:color w:val="B02045"/>
                <w:sz w:val="21"/>
              </w:rPr>
              <w:t>.restar t.exclude</w:t>
            </w:r>
          </w:p>
        </w:tc>
        <w:tc>
          <w:tcPr>
            <w:tcW w:w="2494" w:type="dxa"/>
            <w:tcBorders>
              <w:top w:val="single" w:sz="12" w:space="0" w:color="DDDDDD"/>
            </w:tcBorders>
          </w:tcPr>
          <w:p w14:paraId="09A62F26" w14:textId="77777777" w:rsidR="00A720EB" w:rsidRDefault="0030286B">
            <w:pPr>
              <w:pStyle w:val="TableParagraph"/>
              <w:spacing w:before="27" w:line="264" w:lineRule="exact"/>
              <w:rPr>
                <w:sz w:val="21"/>
              </w:rPr>
            </w:pPr>
            <w:r>
              <w:rPr>
                <w:color w:val="B02045"/>
                <w:sz w:val="21"/>
              </w:rPr>
              <w:t>META-</w:t>
            </w:r>
          </w:p>
          <w:p w14:paraId="476B888A" w14:textId="77777777" w:rsidR="00A720EB" w:rsidRDefault="0030286B">
            <w:pPr>
              <w:pStyle w:val="TableParagraph"/>
              <w:spacing w:before="4" w:line="230" w:lineRule="auto"/>
              <w:ind w:right="94"/>
              <w:rPr>
                <w:sz w:val="21"/>
              </w:rPr>
            </w:pPr>
            <w:r>
              <w:rPr>
                <w:color w:val="B02045"/>
                <w:sz w:val="21"/>
              </w:rPr>
              <w:t>INF/maven/*</w:t>
            </w:r>
            <w:proofErr w:type="gramStart"/>
            <w:r>
              <w:rPr>
                <w:color w:val="B02045"/>
                <w:sz w:val="21"/>
              </w:rPr>
              <w:t>*,META</w:t>
            </w:r>
            <w:proofErr w:type="gramEnd"/>
            <w:r>
              <w:rPr>
                <w:color w:val="B02045"/>
                <w:sz w:val="21"/>
              </w:rPr>
              <w:t>- INF/resources/**,resou rces/**,static/**,publ ic/**,templates/**,**/</w:t>
            </w:r>
          </w:p>
          <w:p w14:paraId="0361F7C5" w14:textId="77777777" w:rsidR="00A720EB" w:rsidRDefault="0030286B">
            <w:pPr>
              <w:pStyle w:val="TableParagraph"/>
              <w:spacing w:before="2" w:line="230" w:lineRule="auto"/>
              <w:ind w:right="113"/>
              <w:rPr>
                <w:sz w:val="21"/>
              </w:rPr>
            </w:pPr>
            <w:r>
              <w:rPr>
                <w:color w:val="B02045"/>
                <w:sz w:val="21"/>
              </w:rPr>
              <w:t>*</w:t>
            </w:r>
            <w:proofErr w:type="gramStart"/>
            <w:r>
              <w:rPr>
                <w:color w:val="B02045"/>
                <w:sz w:val="21"/>
              </w:rPr>
              <w:t>Test.class,*</w:t>
            </w:r>
            <w:proofErr w:type="gramEnd"/>
            <w:r>
              <w:rPr>
                <w:color w:val="B02045"/>
                <w:sz w:val="21"/>
              </w:rPr>
              <w:t xml:space="preserve">*/*Tests. </w:t>
            </w:r>
            <w:proofErr w:type="gramStart"/>
            <w:r>
              <w:rPr>
                <w:color w:val="B02045"/>
                <w:sz w:val="21"/>
              </w:rPr>
              <w:t>class,git</w:t>
            </w:r>
            <w:proofErr w:type="gramEnd"/>
            <w:r>
              <w:rPr>
                <w:color w:val="B02045"/>
                <w:sz w:val="21"/>
              </w:rPr>
              <w:t>.properties,M ETA-INF/build- info.properties</w:t>
            </w:r>
          </w:p>
        </w:tc>
        <w:tc>
          <w:tcPr>
            <w:tcW w:w="4988" w:type="dxa"/>
            <w:tcBorders>
              <w:top w:val="single" w:sz="12" w:space="0" w:color="DDDDDD"/>
            </w:tcBorders>
          </w:tcPr>
          <w:p w14:paraId="606AE7AD" w14:textId="77777777" w:rsidR="00A720EB" w:rsidRDefault="0030286B">
            <w:pPr>
              <w:pStyle w:val="TableParagraph"/>
              <w:spacing w:before="82" w:line="307" w:lineRule="auto"/>
              <w:ind w:right="44"/>
              <w:rPr>
                <w:rFonts w:ascii="Cambria"/>
                <w:sz w:val="21"/>
              </w:rPr>
            </w:pPr>
            <w:r>
              <w:rPr>
                <w:rFonts w:ascii="Cambria"/>
                <w:color w:val="333333"/>
                <w:w w:val="110"/>
                <w:sz w:val="21"/>
              </w:rPr>
              <w:t>Patterns that should be excluded from triggering a full restart.</w:t>
            </w:r>
          </w:p>
        </w:tc>
      </w:tr>
      <w:tr w:rsidR="00A720EB" w14:paraId="2E50BECC" w14:textId="77777777">
        <w:trPr>
          <w:trHeight w:val="886"/>
        </w:trPr>
        <w:tc>
          <w:tcPr>
            <w:tcW w:w="2494" w:type="dxa"/>
          </w:tcPr>
          <w:p w14:paraId="37CD088D" w14:textId="77777777" w:rsidR="00A720EB" w:rsidRDefault="0030286B">
            <w:pPr>
              <w:pStyle w:val="TableParagraph"/>
              <w:spacing w:before="46" w:line="230" w:lineRule="auto"/>
              <w:ind w:right="113"/>
              <w:rPr>
                <w:sz w:val="21"/>
              </w:rPr>
            </w:pPr>
            <w:proofErr w:type="gramStart"/>
            <w:r>
              <w:rPr>
                <w:color w:val="B02045"/>
                <w:sz w:val="21"/>
              </w:rPr>
              <w:t>spring.devtools</w:t>
            </w:r>
            <w:proofErr w:type="gramEnd"/>
            <w:r>
              <w:rPr>
                <w:color w:val="B02045"/>
                <w:sz w:val="21"/>
              </w:rPr>
              <w:t>.restar t.log-condition- evaluation-delta</w:t>
            </w:r>
          </w:p>
        </w:tc>
        <w:tc>
          <w:tcPr>
            <w:tcW w:w="2494" w:type="dxa"/>
          </w:tcPr>
          <w:p w14:paraId="4FCDE65C" w14:textId="77777777" w:rsidR="00A720EB" w:rsidRDefault="0030286B">
            <w:pPr>
              <w:pStyle w:val="TableParagraph"/>
              <w:spacing w:before="37"/>
              <w:rPr>
                <w:sz w:val="21"/>
              </w:rPr>
            </w:pPr>
            <w:r>
              <w:rPr>
                <w:color w:val="B02045"/>
                <w:sz w:val="21"/>
              </w:rPr>
              <w:t>true</w:t>
            </w:r>
          </w:p>
        </w:tc>
        <w:tc>
          <w:tcPr>
            <w:tcW w:w="4988" w:type="dxa"/>
          </w:tcPr>
          <w:p w14:paraId="290B372F" w14:textId="77777777" w:rsidR="00A720EB" w:rsidRDefault="0030286B">
            <w:pPr>
              <w:pStyle w:val="TableParagraph"/>
              <w:spacing w:before="92" w:line="307" w:lineRule="auto"/>
              <w:rPr>
                <w:rFonts w:ascii="Cambria"/>
                <w:sz w:val="21"/>
              </w:rPr>
            </w:pPr>
            <w:r>
              <w:rPr>
                <w:rFonts w:ascii="Cambria"/>
                <w:color w:val="333333"/>
                <w:w w:val="110"/>
                <w:sz w:val="21"/>
              </w:rPr>
              <w:t>Whether to log the condition evaluation delta upon restart.</w:t>
            </w:r>
          </w:p>
        </w:tc>
      </w:tr>
      <w:tr w:rsidR="00A720EB" w14:paraId="6AFE69A3" w14:textId="77777777">
        <w:trPr>
          <w:trHeight w:val="741"/>
        </w:trPr>
        <w:tc>
          <w:tcPr>
            <w:tcW w:w="2494" w:type="dxa"/>
          </w:tcPr>
          <w:p w14:paraId="6AB45ED7" w14:textId="77777777" w:rsidR="00A720EB" w:rsidRDefault="0030286B">
            <w:pPr>
              <w:pStyle w:val="TableParagraph"/>
              <w:spacing w:before="46" w:line="230" w:lineRule="auto"/>
              <w:ind w:right="113"/>
              <w:rPr>
                <w:sz w:val="21"/>
              </w:rPr>
            </w:pPr>
            <w:proofErr w:type="gramStart"/>
            <w:r>
              <w:rPr>
                <w:color w:val="B02045"/>
                <w:sz w:val="21"/>
              </w:rPr>
              <w:t>spring.devtools</w:t>
            </w:r>
            <w:proofErr w:type="gramEnd"/>
            <w:r>
              <w:rPr>
                <w:color w:val="B02045"/>
                <w:sz w:val="21"/>
              </w:rPr>
              <w:t>.restar t.poll-interval</w:t>
            </w:r>
          </w:p>
        </w:tc>
        <w:tc>
          <w:tcPr>
            <w:tcW w:w="2494" w:type="dxa"/>
          </w:tcPr>
          <w:p w14:paraId="24A749EE" w14:textId="77777777" w:rsidR="00A720EB" w:rsidRDefault="0030286B">
            <w:pPr>
              <w:pStyle w:val="TableParagraph"/>
              <w:rPr>
                <w:sz w:val="21"/>
              </w:rPr>
            </w:pPr>
            <w:r>
              <w:rPr>
                <w:color w:val="B02045"/>
                <w:sz w:val="21"/>
              </w:rPr>
              <w:t>1s</w:t>
            </w:r>
          </w:p>
        </w:tc>
        <w:tc>
          <w:tcPr>
            <w:tcW w:w="4988" w:type="dxa"/>
          </w:tcPr>
          <w:p w14:paraId="40CBF18C" w14:textId="77777777" w:rsidR="00A720EB" w:rsidRDefault="0030286B">
            <w:pPr>
              <w:pStyle w:val="TableParagraph"/>
              <w:spacing w:before="28" w:line="310" w:lineRule="atLeast"/>
              <w:rPr>
                <w:rFonts w:ascii="Cambria"/>
                <w:sz w:val="21"/>
              </w:rPr>
            </w:pPr>
            <w:r>
              <w:rPr>
                <w:rFonts w:ascii="Cambria"/>
                <w:color w:val="333333"/>
                <w:w w:val="110"/>
                <w:sz w:val="21"/>
              </w:rPr>
              <w:t>Amount of time to wait between polling for classpath changes.</w:t>
            </w:r>
          </w:p>
        </w:tc>
      </w:tr>
      <w:tr w:rsidR="00A720EB" w14:paraId="69CA43F2" w14:textId="77777777">
        <w:trPr>
          <w:trHeight w:val="741"/>
        </w:trPr>
        <w:tc>
          <w:tcPr>
            <w:tcW w:w="2494" w:type="dxa"/>
          </w:tcPr>
          <w:p w14:paraId="3D2793FE" w14:textId="77777777" w:rsidR="00A720EB" w:rsidRDefault="0030286B">
            <w:pPr>
              <w:pStyle w:val="TableParagraph"/>
              <w:spacing w:before="46" w:line="230" w:lineRule="auto"/>
              <w:ind w:right="113"/>
              <w:rPr>
                <w:sz w:val="21"/>
              </w:rPr>
            </w:pPr>
            <w:proofErr w:type="gramStart"/>
            <w:r>
              <w:rPr>
                <w:color w:val="B02045"/>
                <w:sz w:val="21"/>
              </w:rPr>
              <w:t>spring.devtools</w:t>
            </w:r>
            <w:proofErr w:type="gramEnd"/>
            <w:r>
              <w:rPr>
                <w:color w:val="B02045"/>
                <w:sz w:val="21"/>
              </w:rPr>
              <w:t>.restar t.quiet-period</w:t>
            </w:r>
          </w:p>
        </w:tc>
        <w:tc>
          <w:tcPr>
            <w:tcW w:w="2494" w:type="dxa"/>
          </w:tcPr>
          <w:p w14:paraId="326541D4" w14:textId="77777777" w:rsidR="00A720EB" w:rsidRDefault="0030286B">
            <w:pPr>
              <w:pStyle w:val="TableParagraph"/>
              <w:rPr>
                <w:sz w:val="21"/>
              </w:rPr>
            </w:pPr>
            <w:r>
              <w:rPr>
                <w:color w:val="B02045"/>
                <w:sz w:val="21"/>
              </w:rPr>
              <w:t>400ms</w:t>
            </w:r>
          </w:p>
        </w:tc>
        <w:tc>
          <w:tcPr>
            <w:tcW w:w="4988" w:type="dxa"/>
          </w:tcPr>
          <w:p w14:paraId="719B3196" w14:textId="77777777" w:rsidR="00A720EB" w:rsidRDefault="0030286B">
            <w:pPr>
              <w:pStyle w:val="TableParagraph"/>
              <w:spacing w:before="28" w:line="310" w:lineRule="atLeast"/>
              <w:rPr>
                <w:rFonts w:ascii="Cambria"/>
                <w:sz w:val="21"/>
              </w:rPr>
            </w:pPr>
            <w:r>
              <w:rPr>
                <w:rFonts w:ascii="Cambria"/>
                <w:color w:val="333333"/>
                <w:w w:val="110"/>
                <w:sz w:val="21"/>
              </w:rPr>
              <w:t>Amount of quiet time required without any classpath changes before a restart is triggered.</w:t>
            </w:r>
          </w:p>
        </w:tc>
      </w:tr>
      <w:tr w:rsidR="00A720EB" w14:paraId="1873B4C6" w14:textId="77777777">
        <w:trPr>
          <w:trHeight w:val="1687"/>
        </w:trPr>
        <w:tc>
          <w:tcPr>
            <w:tcW w:w="2494" w:type="dxa"/>
          </w:tcPr>
          <w:p w14:paraId="0F9D8FE1" w14:textId="77777777" w:rsidR="00A720EB" w:rsidRDefault="0030286B">
            <w:pPr>
              <w:pStyle w:val="TableParagraph"/>
              <w:spacing w:before="46" w:line="230" w:lineRule="auto"/>
              <w:ind w:right="113"/>
              <w:rPr>
                <w:sz w:val="21"/>
              </w:rPr>
            </w:pPr>
            <w:proofErr w:type="gramStart"/>
            <w:r>
              <w:rPr>
                <w:color w:val="B02045"/>
                <w:sz w:val="21"/>
              </w:rPr>
              <w:t>spring.devtools</w:t>
            </w:r>
            <w:proofErr w:type="gramEnd"/>
            <w:r>
              <w:rPr>
                <w:color w:val="B02045"/>
                <w:sz w:val="21"/>
              </w:rPr>
              <w:t>.restar t.trigger-file</w:t>
            </w:r>
          </w:p>
        </w:tc>
        <w:tc>
          <w:tcPr>
            <w:tcW w:w="2494" w:type="dxa"/>
          </w:tcPr>
          <w:p w14:paraId="2AA572F9" w14:textId="77777777" w:rsidR="00A720EB" w:rsidRDefault="00A720EB">
            <w:pPr>
              <w:pStyle w:val="TableParagraph"/>
              <w:spacing w:before="0"/>
              <w:ind w:left="0"/>
              <w:rPr>
                <w:rFonts w:ascii="Times New Roman"/>
                <w:sz w:val="20"/>
              </w:rPr>
            </w:pPr>
          </w:p>
        </w:tc>
        <w:tc>
          <w:tcPr>
            <w:tcW w:w="4988" w:type="dxa"/>
          </w:tcPr>
          <w:p w14:paraId="283871D5" w14:textId="77777777" w:rsidR="00A720EB" w:rsidRDefault="0030286B">
            <w:pPr>
              <w:pStyle w:val="TableParagraph"/>
              <w:spacing w:before="92" w:line="307" w:lineRule="auto"/>
              <w:ind w:right="153"/>
              <w:rPr>
                <w:rFonts w:ascii="Cambria"/>
                <w:sz w:val="21"/>
              </w:rPr>
            </w:pPr>
            <w:r>
              <w:rPr>
                <w:rFonts w:ascii="Cambria"/>
                <w:color w:val="333333"/>
                <w:w w:val="110"/>
                <w:sz w:val="21"/>
              </w:rPr>
              <w:t xml:space="preserve">Name of a specific file that, when changed, triggers the restart check. Must be a simple name (without any path) of a file that </w:t>
            </w:r>
            <w:proofErr w:type="gramStart"/>
            <w:r>
              <w:rPr>
                <w:rFonts w:ascii="Cambria"/>
                <w:color w:val="333333"/>
                <w:w w:val="110"/>
                <w:sz w:val="21"/>
              </w:rPr>
              <w:t>appears  on</w:t>
            </w:r>
            <w:proofErr w:type="gramEnd"/>
            <w:r>
              <w:rPr>
                <w:rFonts w:ascii="Cambria"/>
                <w:color w:val="333333"/>
                <w:w w:val="110"/>
                <w:sz w:val="21"/>
              </w:rPr>
              <w:t xml:space="preserve"> your classpath. If not specified, any classpath file change triggers the</w:t>
            </w:r>
            <w:r>
              <w:rPr>
                <w:rFonts w:ascii="Cambria"/>
                <w:color w:val="333333"/>
                <w:spacing w:val="14"/>
                <w:w w:val="110"/>
                <w:sz w:val="21"/>
              </w:rPr>
              <w:t xml:space="preserve"> </w:t>
            </w:r>
            <w:r>
              <w:rPr>
                <w:rFonts w:ascii="Cambria"/>
                <w:color w:val="333333"/>
                <w:w w:val="110"/>
                <w:sz w:val="21"/>
              </w:rPr>
              <w:t>restart.</w:t>
            </w:r>
          </w:p>
        </w:tc>
      </w:tr>
    </w:tbl>
    <w:p w14:paraId="29EAD2D8" w14:textId="77777777" w:rsidR="00A720EB" w:rsidRDefault="00A720EB">
      <w:pPr>
        <w:pStyle w:val="a3"/>
        <w:spacing w:before="12"/>
        <w:rPr>
          <w:rFonts w:ascii="Palatino Linotype"/>
          <w:b/>
          <w:sz w:val="16"/>
        </w:rPr>
      </w:pPr>
    </w:p>
    <w:p w14:paraId="30A763D0" w14:textId="77777777" w:rsidR="00A720EB" w:rsidRDefault="0030286B">
      <w:pPr>
        <w:pStyle w:val="3"/>
        <w:numPr>
          <w:ilvl w:val="2"/>
          <w:numId w:val="9"/>
        </w:numPr>
        <w:tabs>
          <w:tab w:val="left" w:pos="1199"/>
        </w:tabs>
        <w:spacing w:before="105"/>
        <w:ind w:left="1198" w:hanging="1075"/>
      </w:pPr>
      <w:bookmarkStart w:id="1053" w:name="10.A.16._Testing_properties"/>
      <w:bookmarkStart w:id="1054" w:name="_Toc54424044"/>
      <w:bookmarkEnd w:id="1053"/>
      <w:r>
        <w:rPr>
          <w:color w:val="333333"/>
          <w:w w:val="110"/>
        </w:rPr>
        <w:t>Testing</w:t>
      </w:r>
      <w:r>
        <w:rPr>
          <w:color w:val="333333"/>
          <w:spacing w:val="-6"/>
          <w:w w:val="110"/>
        </w:rPr>
        <w:t xml:space="preserve"> </w:t>
      </w:r>
      <w:r>
        <w:rPr>
          <w:color w:val="333333"/>
          <w:w w:val="110"/>
        </w:rPr>
        <w:t>properties</w:t>
      </w:r>
      <w:bookmarkEnd w:id="1054"/>
    </w:p>
    <w:p w14:paraId="20ACF702" w14:textId="77777777" w:rsidR="00A720EB" w:rsidRDefault="00A720EB">
      <w:pPr>
        <w:pStyle w:val="a3"/>
        <w:spacing w:before="6" w:after="1"/>
        <w:rPr>
          <w:rFonts w:ascii="Palatino Linotype"/>
          <w:b/>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2494"/>
        <w:gridCol w:w="2494"/>
        <w:gridCol w:w="4988"/>
      </w:tblGrid>
      <w:tr w:rsidR="00A720EB" w14:paraId="723F3D38" w14:textId="77777777">
        <w:trPr>
          <w:trHeight w:val="425"/>
        </w:trPr>
        <w:tc>
          <w:tcPr>
            <w:tcW w:w="2494" w:type="dxa"/>
          </w:tcPr>
          <w:p w14:paraId="268CD667"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2494" w:type="dxa"/>
          </w:tcPr>
          <w:p w14:paraId="0409FC9F"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Pr>
          <w:p w14:paraId="0E2D1304"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bl>
    <w:p w14:paraId="7F1C7318" w14:textId="77777777" w:rsidR="00A720EB" w:rsidRDefault="00A720EB">
      <w:pPr>
        <w:pStyle w:val="a3"/>
        <w:rPr>
          <w:rFonts w:ascii="Palatino Linotype"/>
          <w:b/>
          <w:sz w:val="25"/>
        </w:rPr>
      </w:pPr>
    </w:p>
    <w:p w14:paraId="01785356" w14:textId="77777777" w:rsidR="00A720EB" w:rsidRDefault="0030286B">
      <w:pPr>
        <w:pStyle w:val="2"/>
        <w:ind w:left="124" w:firstLine="0"/>
        <w:jc w:val="both"/>
      </w:pPr>
      <w:bookmarkStart w:id="1055" w:name="Appendix_B:_Configuration_Metadata"/>
      <w:bookmarkStart w:id="1056" w:name="_Toc54424045"/>
      <w:bookmarkEnd w:id="1055"/>
      <w:r>
        <w:rPr>
          <w:color w:val="333333"/>
          <w:w w:val="110"/>
        </w:rPr>
        <w:t>Appendix B: Configuration Metadata</w:t>
      </w:r>
      <w:bookmarkEnd w:id="1056"/>
    </w:p>
    <w:p w14:paraId="0021C836" w14:textId="77777777" w:rsidR="00A720EB" w:rsidRDefault="0030286B">
      <w:pPr>
        <w:pStyle w:val="a3"/>
        <w:spacing w:before="253" w:line="302" w:lineRule="auto"/>
        <w:ind w:left="124" w:right="134"/>
        <w:jc w:val="both"/>
      </w:pPr>
      <w:r>
        <w:rPr>
          <w:color w:val="333333"/>
          <w:w w:val="110"/>
        </w:rPr>
        <w:t xml:space="preserve">Spring Boot jars include metadata files that provide details of all </w:t>
      </w:r>
      <w:proofErr w:type="gramStart"/>
      <w:r>
        <w:rPr>
          <w:color w:val="333333"/>
          <w:w w:val="110"/>
        </w:rPr>
        <w:t>supported  configuration</w:t>
      </w:r>
      <w:proofErr w:type="gramEnd"/>
      <w:r>
        <w:rPr>
          <w:color w:val="333333"/>
          <w:spacing w:val="50"/>
          <w:w w:val="110"/>
        </w:rPr>
        <w:t xml:space="preserve"> </w:t>
      </w:r>
      <w:r>
        <w:rPr>
          <w:color w:val="333333"/>
          <w:w w:val="110"/>
        </w:rPr>
        <w:t>properties. The files are designed to let IDE developers offer contextual help and “code completion” as</w:t>
      </w:r>
      <w:r>
        <w:rPr>
          <w:color w:val="333333"/>
          <w:spacing w:val="-5"/>
          <w:w w:val="110"/>
        </w:rPr>
        <w:t xml:space="preserve"> </w:t>
      </w:r>
      <w:r>
        <w:rPr>
          <w:color w:val="333333"/>
          <w:w w:val="110"/>
        </w:rPr>
        <w:t>users</w:t>
      </w:r>
      <w:r>
        <w:rPr>
          <w:color w:val="333333"/>
          <w:spacing w:val="-4"/>
          <w:w w:val="110"/>
        </w:rPr>
        <w:t xml:space="preserve"> </w:t>
      </w:r>
      <w:r>
        <w:rPr>
          <w:color w:val="333333"/>
          <w:w w:val="110"/>
        </w:rPr>
        <w:t>are</w:t>
      </w:r>
      <w:r>
        <w:rPr>
          <w:color w:val="333333"/>
          <w:spacing w:val="-4"/>
          <w:w w:val="110"/>
        </w:rPr>
        <w:t xml:space="preserve"> </w:t>
      </w:r>
      <w:r>
        <w:rPr>
          <w:color w:val="333333"/>
          <w:w w:val="110"/>
        </w:rPr>
        <w:t>working</w:t>
      </w:r>
      <w:r>
        <w:rPr>
          <w:color w:val="333333"/>
          <w:spacing w:val="-4"/>
          <w:w w:val="110"/>
        </w:rPr>
        <w:t xml:space="preserve"> </w:t>
      </w:r>
      <w:r>
        <w:rPr>
          <w:color w:val="333333"/>
          <w:w w:val="110"/>
        </w:rPr>
        <w:t>with</w:t>
      </w:r>
      <w:r>
        <w:rPr>
          <w:color w:val="333333"/>
          <w:spacing w:val="2"/>
          <w:w w:val="110"/>
        </w:rPr>
        <w:t xml:space="preserve"> </w:t>
      </w:r>
      <w:proofErr w:type="gramStart"/>
      <w:r>
        <w:rPr>
          <w:rFonts w:ascii="MS Gothic" w:hAnsi="MS Gothic"/>
          <w:color w:val="B02045"/>
          <w:w w:val="110"/>
        </w:rPr>
        <w:t>application.properties</w:t>
      </w:r>
      <w:proofErr w:type="gramEnd"/>
      <w:r>
        <w:rPr>
          <w:rFonts w:ascii="MS Gothic" w:hAnsi="MS Gothic"/>
          <w:color w:val="B02045"/>
          <w:spacing w:val="-68"/>
          <w:w w:val="110"/>
        </w:rPr>
        <w:t xml:space="preserve"> </w:t>
      </w:r>
      <w:r>
        <w:rPr>
          <w:color w:val="333333"/>
          <w:w w:val="110"/>
        </w:rPr>
        <w:t>or</w:t>
      </w:r>
      <w:r>
        <w:rPr>
          <w:color w:val="333333"/>
          <w:spacing w:val="-3"/>
          <w:w w:val="110"/>
        </w:rPr>
        <w:t xml:space="preserve"> </w:t>
      </w:r>
      <w:r>
        <w:rPr>
          <w:rFonts w:ascii="MS Gothic" w:hAnsi="MS Gothic"/>
          <w:color w:val="B02045"/>
          <w:w w:val="110"/>
        </w:rPr>
        <w:t>application.yml</w:t>
      </w:r>
      <w:r>
        <w:rPr>
          <w:rFonts w:ascii="MS Gothic" w:hAnsi="MS Gothic"/>
          <w:color w:val="B02045"/>
          <w:spacing w:val="-68"/>
          <w:w w:val="110"/>
        </w:rPr>
        <w:t xml:space="preserve"> </w:t>
      </w:r>
      <w:r>
        <w:rPr>
          <w:color w:val="333333"/>
          <w:w w:val="110"/>
        </w:rPr>
        <w:t>files.</w:t>
      </w:r>
    </w:p>
    <w:p w14:paraId="2B0A7B6A" w14:textId="77777777" w:rsidR="00A720EB" w:rsidRDefault="0030286B">
      <w:pPr>
        <w:pStyle w:val="a3"/>
        <w:spacing w:before="227" w:line="295" w:lineRule="auto"/>
        <w:ind w:left="124" w:right="125"/>
        <w:jc w:val="both"/>
      </w:pPr>
      <w:r>
        <w:rPr>
          <w:color w:val="333333"/>
          <w:w w:val="110"/>
        </w:rPr>
        <w:t xml:space="preserve">The majority of the metadata file is generated automatically at compile time by processing all items annotated with </w:t>
      </w:r>
      <w:r>
        <w:rPr>
          <w:rFonts w:ascii="MS Gothic"/>
          <w:color w:val="B02045"/>
          <w:w w:val="110"/>
        </w:rPr>
        <w:t>@ConfigurationProperties</w:t>
      </w:r>
      <w:r>
        <w:rPr>
          <w:color w:val="333333"/>
          <w:w w:val="110"/>
        </w:rPr>
        <w:t xml:space="preserve">. However, it is possible to </w:t>
      </w:r>
      <w:hyperlink w:anchor="_bookmark685" w:history="1">
        <w:r>
          <w:rPr>
            <w:color w:val="418BCA"/>
            <w:w w:val="110"/>
          </w:rPr>
          <w:t>write part of the metadata</w:t>
        </w:r>
      </w:hyperlink>
      <w:r>
        <w:rPr>
          <w:color w:val="418BCA"/>
          <w:w w:val="110"/>
        </w:rPr>
        <w:t xml:space="preserve">  </w:t>
      </w:r>
      <w:hyperlink w:anchor="_bookmark685" w:history="1">
        <w:r>
          <w:rPr>
            <w:color w:val="418BCA"/>
            <w:w w:val="110"/>
          </w:rPr>
          <w:t xml:space="preserve">manually </w:t>
        </w:r>
      </w:hyperlink>
      <w:r>
        <w:rPr>
          <w:color w:val="333333"/>
          <w:w w:val="110"/>
        </w:rPr>
        <w:t>for corner cases or more advanced use cases.</w:t>
      </w:r>
    </w:p>
    <w:p w14:paraId="4C2D4E89" w14:textId="77777777" w:rsidR="00A720EB" w:rsidRDefault="00A720EB">
      <w:pPr>
        <w:pStyle w:val="a3"/>
        <w:spacing w:before="7"/>
        <w:rPr>
          <w:sz w:val="26"/>
        </w:rPr>
      </w:pPr>
    </w:p>
    <w:p w14:paraId="012AB49E" w14:textId="77777777" w:rsidR="00A720EB" w:rsidRDefault="0030286B">
      <w:pPr>
        <w:pStyle w:val="3"/>
        <w:numPr>
          <w:ilvl w:val="2"/>
          <w:numId w:val="8"/>
        </w:numPr>
        <w:tabs>
          <w:tab w:val="left" w:pos="1032"/>
        </w:tabs>
      </w:pPr>
      <w:bookmarkStart w:id="1057" w:name="10.B.1._Metadata_Format"/>
      <w:bookmarkStart w:id="1058" w:name="_Toc54424046"/>
      <w:bookmarkEnd w:id="1057"/>
      <w:r>
        <w:rPr>
          <w:color w:val="333333"/>
          <w:w w:val="115"/>
        </w:rPr>
        <w:t>Metadata</w:t>
      </w:r>
      <w:r>
        <w:rPr>
          <w:color w:val="333333"/>
          <w:spacing w:val="-9"/>
          <w:w w:val="115"/>
        </w:rPr>
        <w:t xml:space="preserve"> </w:t>
      </w:r>
      <w:r>
        <w:rPr>
          <w:color w:val="333333"/>
          <w:spacing w:val="-3"/>
          <w:w w:val="115"/>
        </w:rPr>
        <w:t>Format</w:t>
      </w:r>
      <w:bookmarkEnd w:id="1058"/>
    </w:p>
    <w:p w14:paraId="5E5FB284" w14:textId="77777777" w:rsidR="00A720EB" w:rsidRDefault="0030286B">
      <w:pPr>
        <w:pStyle w:val="a3"/>
        <w:spacing w:before="243" w:line="285" w:lineRule="auto"/>
        <w:ind w:left="124" w:right="122"/>
        <w:jc w:val="both"/>
      </w:pPr>
      <w:r>
        <w:rPr>
          <w:color w:val="333333"/>
          <w:w w:val="110"/>
        </w:rPr>
        <w:t xml:space="preserve">Configuration metadata files are located inside jars under </w:t>
      </w:r>
      <w:r>
        <w:rPr>
          <w:rFonts w:ascii="MS Gothic" w:hAnsi="MS Gothic"/>
          <w:color w:val="B02045"/>
          <w:w w:val="110"/>
        </w:rPr>
        <w:t xml:space="preserve">META-INF/spring-configuration- </w:t>
      </w:r>
      <w:proofErr w:type="gramStart"/>
      <w:r>
        <w:rPr>
          <w:rFonts w:ascii="MS Gothic" w:hAnsi="MS Gothic"/>
          <w:color w:val="B02045"/>
          <w:w w:val="110"/>
        </w:rPr>
        <w:t>metadata.json</w:t>
      </w:r>
      <w:proofErr w:type="gramEnd"/>
      <w:r>
        <w:rPr>
          <w:color w:val="333333"/>
          <w:w w:val="110"/>
        </w:rPr>
        <w:t>. They use a JSON format with items categorized under either “groups” or “properties” and additional values hints categorized under "hints", as shown in the following example:</w:t>
      </w:r>
    </w:p>
    <w:p w14:paraId="185056BC" w14:textId="77777777" w:rsidR="00A720EB" w:rsidRDefault="00E10349">
      <w:pPr>
        <w:pStyle w:val="a3"/>
        <w:spacing w:before="1"/>
        <w:rPr>
          <w:sz w:val="15"/>
        </w:rPr>
      </w:pPr>
      <w:r>
        <w:pict w14:anchorId="35B3476B">
          <v:group id="_x0000_s1175" style="position:absolute;margin-left:47.85pt;margin-top:10.8pt;width:499.55pt;height:78.9pt;z-index:-15024128;mso-wrap-distance-left:0;mso-wrap-distance-right:0;mso-position-horizontal-relative:page" coordorigin="957,216" coordsize="9991,1578">
            <v:shape id="_x0000_s1179" style="position:absolute;left:964;top:223;width:9976;height:1562" coordorigin="965,224" coordsize="9976,1562" path="m10861,224r-9816,l1014,230r-26,17l971,273r-6,31l965,1705r6,31l988,1762r26,17l1045,1785r9816,l10892,1779r25,-17l10935,1736r6,-31l10941,304r-6,-31l10917,247r-25,-17l10861,224xe" fillcolor="#f5f5f5" stroked="f">
              <v:path arrowok="t"/>
            </v:shape>
            <v:shape id="_x0000_s1178" style="position:absolute;left:964;top:223;width:9976;height:1562" coordorigin="965,224" coordsize="9976,1562" path="m1045,224r9816,l10892,230r25,17l10935,273r6,31l10941,1705r-6,31l10917,1762r-25,17l10861,1785r-9816,l1014,1779r-26,-17l971,1736r-6,-31l965,304r6,-31l988,247r26,-17l1045,224xe" filled="f" strokecolor="#ccc">
              <v:path arrowok="t"/>
            </v:shape>
            <v:line id="_x0000_s1177" style="position:absolute" from="1060,1785" to="10846,1785" strokecolor="#f5f5f5" strokeweight=".9pt">
              <v:stroke dashstyle="dash"/>
            </v:line>
            <v:shape id="_x0000_s1176" type="#_x0000_t202" style="position:absolute;left:984;top:239;width:9938;height:1530" filled="f" stroked="f">
              <v:textbox inset="0,0,0,0">
                <w:txbxContent>
                  <w:p w14:paraId="108EA0C5" w14:textId="77777777" w:rsidR="00711A16" w:rsidRDefault="00711A16">
                    <w:pPr>
                      <w:spacing w:before="221"/>
                      <w:ind w:left="200"/>
                      <w:rPr>
                        <w:rFonts w:ascii="MS Gothic"/>
                      </w:rPr>
                    </w:pPr>
                    <w:r>
                      <w:rPr>
                        <w:rFonts w:ascii="MS Gothic"/>
                        <w:color w:val="333333"/>
                      </w:rPr>
                      <w:t>{"groups": [</w:t>
                    </w:r>
                  </w:p>
                  <w:p w14:paraId="4ABA5D2A" w14:textId="77777777" w:rsidR="00711A16" w:rsidRDefault="00711A16">
                    <w:pPr>
                      <w:spacing w:before="13"/>
                      <w:ind w:left="640"/>
                      <w:rPr>
                        <w:rFonts w:ascii="MS Gothic"/>
                      </w:rPr>
                    </w:pPr>
                    <w:r>
                      <w:rPr>
                        <w:rFonts w:ascii="MS Gothic"/>
                        <w:color w:val="333333"/>
                      </w:rPr>
                      <w:t>{</w:t>
                    </w:r>
                  </w:p>
                  <w:p w14:paraId="6A94E58E" w14:textId="77777777" w:rsidR="00711A16" w:rsidRDefault="00711A16">
                    <w:pPr>
                      <w:spacing w:before="13"/>
                      <w:ind w:left="1080"/>
                      <w:rPr>
                        <w:rFonts w:ascii="MS Gothic"/>
                      </w:rPr>
                    </w:pPr>
                    <w:r>
                      <w:rPr>
                        <w:rFonts w:ascii="MS Gothic"/>
                        <w:color w:val="333333"/>
                      </w:rPr>
                      <w:t>"name": "server",</w:t>
                    </w:r>
                  </w:p>
                  <w:p w14:paraId="6D37557F" w14:textId="77777777" w:rsidR="00711A16" w:rsidRDefault="00711A16">
                    <w:pPr>
                      <w:spacing w:before="13"/>
                      <w:ind w:left="1080"/>
                      <w:rPr>
                        <w:rFonts w:ascii="MS Gothic"/>
                      </w:rPr>
                    </w:pPr>
                    <w:r>
                      <w:rPr>
                        <w:rFonts w:ascii="MS Gothic"/>
                        <w:color w:val="333333"/>
                      </w:rPr>
                      <w:t>"type": "</w:t>
                    </w:r>
                    <w:proofErr w:type="gramStart"/>
                    <w:r>
                      <w:rPr>
                        <w:rFonts w:ascii="MS Gothic"/>
                        <w:color w:val="333333"/>
                      </w:rPr>
                      <w:t>org.springframework.boot.autoconfigure.web.ServerProperties</w:t>
                    </w:r>
                    <w:proofErr w:type="gramEnd"/>
                    <w:r>
                      <w:rPr>
                        <w:rFonts w:ascii="MS Gothic"/>
                        <w:color w:val="333333"/>
                      </w:rPr>
                      <w:t>",</w:t>
                    </w:r>
                  </w:p>
                </w:txbxContent>
              </v:textbox>
            </v:shape>
            <w10:wrap type="topAndBottom" anchorx="page"/>
          </v:group>
        </w:pict>
      </w:r>
    </w:p>
    <w:p w14:paraId="5D1C3500" w14:textId="77777777" w:rsidR="00A720EB" w:rsidRDefault="00A720EB">
      <w:pPr>
        <w:rPr>
          <w:sz w:val="15"/>
        </w:rPr>
        <w:sectPr w:rsidR="00A720EB">
          <w:pgSz w:w="11910" w:h="16840"/>
          <w:pgMar w:top="700" w:right="840" w:bottom="380" w:left="840" w:header="0" w:footer="198" w:gutter="0"/>
          <w:cols w:space="720"/>
        </w:sectPr>
      </w:pPr>
    </w:p>
    <w:p w14:paraId="1E2A1E83" w14:textId="77777777" w:rsidR="00A720EB" w:rsidRDefault="00E10349">
      <w:pPr>
        <w:spacing w:before="91"/>
        <w:ind w:left="1224"/>
        <w:rPr>
          <w:rFonts w:ascii="MS Gothic"/>
        </w:rPr>
      </w:pPr>
      <w:r>
        <w:lastRenderedPageBreak/>
        <w:pict w14:anchorId="39C79A74">
          <v:group id="_x0000_s1171" style="position:absolute;left:0;text-align:left;margin-left:47.85pt;margin-top:35.55pt;width:499.55pt;height:758.55pt;z-index:-41100800;mso-position-horizontal-relative:page;mso-position-vertical-relative:page" coordorigin="957,711" coordsize="9991,15171">
            <v:shape id="_x0000_s1174" style="position:absolute;left:964;top:720;width:9976;height:15153" coordorigin="965,720" coordsize="9976,15153" path="m10861,720r-9816,l1014,726r-26,17l971,769r-6,31l965,15793r6,31l988,15850r26,17l1045,15873r9816,l10892,15867r25,-17l10935,15824r6,-31l10941,800r-6,-31l10917,743r-25,-17l10861,720xe" fillcolor="#f5f5f5" stroked="f">
              <v:path arrowok="t"/>
            </v:shape>
            <v:shape id="_x0000_s1173" style="position:absolute;left:964;top:720;width:9976;height:15153" coordorigin="965,720" coordsize="9976,15153" path="m1045,720r9816,l10892,726r25,17l10935,769r6,31l10941,15793r-6,31l10917,15850r-25,17l10861,15873r-9816,l1014,15867r-26,-17l971,15824r-6,-31l965,800r6,-31l988,743r26,-17l1045,720xe" filled="f" strokecolor="#ccc">
              <v:path arrowok="t"/>
            </v:shape>
            <v:shape id="_x0000_s1172" style="position:absolute;left:1059;top:720;width:9786;height:15153" coordorigin="1060,720" coordsize="9786,15153" o:spt="100" adj="0,,0" path="m1060,720r9786,m1060,15873r9786,e" filled="f" strokecolor="#f5f5f5" strokeweight=".9pt">
              <v:stroke dashstyle="dash" joinstyle="round"/>
              <v:formulas/>
              <v:path arrowok="t" o:connecttype="segments"/>
            </v:shape>
            <w10:wrap anchorx="page" anchory="page"/>
          </v:group>
        </w:pict>
      </w:r>
      <w:r w:rsidR="0030286B">
        <w:rPr>
          <w:rFonts w:ascii="MS Gothic"/>
          <w:color w:val="333333"/>
        </w:rPr>
        <w:t>"sourceType": "</w:t>
      </w:r>
      <w:proofErr w:type="gramStart"/>
      <w:r w:rsidR="0030286B">
        <w:rPr>
          <w:rFonts w:ascii="MS Gothic"/>
          <w:color w:val="333333"/>
        </w:rPr>
        <w:t>org.springframework.boot.autoconfigure.web.ServerProperties</w:t>
      </w:r>
      <w:proofErr w:type="gramEnd"/>
      <w:r w:rsidR="0030286B">
        <w:rPr>
          <w:rFonts w:ascii="MS Gothic"/>
          <w:color w:val="333333"/>
        </w:rPr>
        <w:t>"</w:t>
      </w:r>
    </w:p>
    <w:p w14:paraId="50E15571" w14:textId="77777777" w:rsidR="00A720EB" w:rsidRDefault="0030286B">
      <w:pPr>
        <w:spacing w:before="13"/>
        <w:ind w:left="784"/>
        <w:rPr>
          <w:rFonts w:ascii="MS Gothic"/>
        </w:rPr>
      </w:pPr>
      <w:r>
        <w:rPr>
          <w:rFonts w:ascii="MS Gothic"/>
          <w:color w:val="333333"/>
        </w:rPr>
        <w:t>},</w:t>
      </w:r>
    </w:p>
    <w:p w14:paraId="6F979F53" w14:textId="77777777" w:rsidR="00A720EB" w:rsidRDefault="0030286B">
      <w:pPr>
        <w:spacing w:before="13"/>
        <w:ind w:left="784"/>
        <w:rPr>
          <w:rFonts w:ascii="MS Gothic"/>
        </w:rPr>
      </w:pPr>
      <w:r>
        <w:rPr>
          <w:rFonts w:ascii="MS Gothic"/>
          <w:color w:val="333333"/>
        </w:rPr>
        <w:t>{</w:t>
      </w:r>
    </w:p>
    <w:p w14:paraId="26C813BD" w14:textId="77777777" w:rsidR="00A720EB" w:rsidRDefault="0030286B">
      <w:pPr>
        <w:spacing w:before="9" w:line="252" w:lineRule="auto"/>
        <w:ind w:left="1224" w:right="5576"/>
        <w:rPr>
          <w:rFonts w:ascii="MS Gothic"/>
        </w:rPr>
      </w:pPr>
      <w:r>
        <w:rPr>
          <w:rFonts w:ascii="MS Gothic"/>
          <w:color w:val="333333"/>
        </w:rPr>
        <w:t>"name": "</w:t>
      </w:r>
      <w:proofErr w:type="gramStart"/>
      <w:r>
        <w:rPr>
          <w:rFonts w:ascii="MS Gothic"/>
          <w:color w:val="333333"/>
        </w:rPr>
        <w:t>spring.jpa.hibernate</w:t>
      </w:r>
      <w:proofErr w:type="gramEnd"/>
      <w:r>
        <w:rPr>
          <w:rFonts w:ascii="MS Gothic"/>
          <w:color w:val="333333"/>
        </w:rPr>
        <w:t>", "type":</w:t>
      </w:r>
    </w:p>
    <w:p w14:paraId="64A9F261" w14:textId="77777777" w:rsidR="00A720EB" w:rsidRDefault="0030286B">
      <w:pPr>
        <w:spacing w:line="252" w:lineRule="auto"/>
        <w:ind w:left="1224" w:right="516" w:hanging="880"/>
        <w:rPr>
          <w:rFonts w:ascii="MS Gothic"/>
        </w:rPr>
      </w:pPr>
      <w:r>
        <w:rPr>
          <w:rFonts w:ascii="MS Gothic"/>
          <w:color w:val="333333"/>
        </w:rPr>
        <w:t>"</w:t>
      </w:r>
      <w:proofErr w:type="gramStart"/>
      <w:r>
        <w:rPr>
          <w:rFonts w:ascii="MS Gothic"/>
          <w:color w:val="333333"/>
        </w:rPr>
        <w:t>org.springframework.boot.autoconfigure.orm.jpa.JpaProperties</w:t>
      </w:r>
      <w:proofErr w:type="gramEnd"/>
      <w:r>
        <w:rPr>
          <w:rFonts w:ascii="MS Gothic"/>
          <w:color w:val="333333"/>
        </w:rPr>
        <w:t>$Hibernate", "sourceType": "org.springframework.boot.autoconfigure.orm.jpa.JpaProperties", "sourceMethod": "getHibernate()"</w:t>
      </w:r>
    </w:p>
    <w:p w14:paraId="66C46055" w14:textId="77777777" w:rsidR="00A720EB" w:rsidRDefault="0030286B">
      <w:pPr>
        <w:spacing w:line="280" w:lineRule="exact"/>
        <w:ind w:left="784"/>
        <w:rPr>
          <w:rFonts w:ascii="MS Gothic"/>
        </w:rPr>
      </w:pPr>
      <w:r>
        <w:rPr>
          <w:rFonts w:ascii="MS Gothic"/>
          <w:color w:val="333333"/>
        </w:rPr>
        <w:t>}</w:t>
      </w:r>
    </w:p>
    <w:p w14:paraId="16B088B4" w14:textId="77777777" w:rsidR="00A720EB" w:rsidRDefault="0030286B">
      <w:pPr>
        <w:spacing w:before="13"/>
        <w:ind w:left="784"/>
        <w:rPr>
          <w:rFonts w:ascii="MS Gothic"/>
        </w:rPr>
      </w:pPr>
      <w:r>
        <w:rPr>
          <w:rFonts w:ascii="MS Gothic"/>
          <w:color w:val="333333"/>
        </w:rPr>
        <w:t>...</w:t>
      </w:r>
    </w:p>
    <w:p w14:paraId="0D79237B" w14:textId="77777777" w:rsidR="00A720EB" w:rsidRDefault="0030286B">
      <w:pPr>
        <w:spacing w:before="13"/>
        <w:ind w:left="344"/>
        <w:rPr>
          <w:rFonts w:ascii="MS Gothic"/>
        </w:rPr>
      </w:pPr>
      <w:r>
        <w:rPr>
          <w:rFonts w:ascii="MS Gothic"/>
          <w:color w:val="333333"/>
        </w:rPr>
        <w:t>],"properties": [</w:t>
      </w:r>
    </w:p>
    <w:p w14:paraId="7B52E119" w14:textId="77777777" w:rsidR="00A720EB" w:rsidRDefault="0030286B">
      <w:pPr>
        <w:spacing w:before="12" w:line="278" w:lineRule="exact"/>
        <w:ind w:left="784"/>
        <w:rPr>
          <w:rFonts w:ascii="MS Gothic"/>
        </w:rPr>
      </w:pPr>
      <w:r>
        <w:rPr>
          <w:rFonts w:ascii="MS Gothic"/>
          <w:color w:val="333333"/>
        </w:rPr>
        <w:t>{</w:t>
      </w:r>
    </w:p>
    <w:p w14:paraId="35927DDC" w14:textId="77777777" w:rsidR="00A720EB" w:rsidRDefault="0030286B">
      <w:pPr>
        <w:spacing w:before="17" w:line="252" w:lineRule="auto"/>
        <w:ind w:left="1224" w:right="5906"/>
        <w:rPr>
          <w:rFonts w:ascii="MS Gothic"/>
        </w:rPr>
      </w:pPr>
      <w:r>
        <w:rPr>
          <w:rFonts w:ascii="MS Gothic"/>
          <w:color w:val="333333"/>
        </w:rPr>
        <w:t>"name": "</w:t>
      </w:r>
      <w:proofErr w:type="gramStart"/>
      <w:r>
        <w:rPr>
          <w:rFonts w:ascii="MS Gothic"/>
          <w:color w:val="333333"/>
        </w:rPr>
        <w:t>server.port</w:t>
      </w:r>
      <w:proofErr w:type="gramEnd"/>
      <w:r>
        <w:rPr>
          <w:rFonts w:ascii="MS Gothic"/>
          <w:color w:val="333333"/>
        </w:rPr>
        <w:t>", "type": "java.lang.Integer",</w:t>
      </w:r>
    </w:p>
    <w:p w14:paraId="4FF32B7A" w14:textId="77777777" w:rsidR="00A720EB" w:rsidRDefault="0030286B">
      <w:pPr>
        <w:spacing w:line="280" w:lineRule="exact"/>
        <w:ind w:left="1224"/>
        <w:rPr>
          <w:rFonts w:ascii="MS Gothic"/>
        </w:rPr>
      </w:pPr>
      <w:r>
        <w:rPr>
          <w:rFonts w:ascii="MS Gothic"/>
          <w:color w:val="333333"/>
        </w:rPr>
        <w:t>"sourceType": "</w:t>
      </w:r>
      <w:proofErr w:type="gramStart"/>
      <w:r>
        <w:rPr>
          <w:rFonts w:ascii="MS Gothic"/>
          <w:color w:val="333333"/>
        </w:rPr>
        <w:t>org.springframework.boot.autoconfigure.web.ServerProperties</w:t>
      </w:r>
      <w:proofErr w:type="gramEnd"/>
      <w:r>
        <w:rPr>
          <w:rFonts w:ascii="MS Gothic"/>
          <w:color w:val="333333"/>
        </w:rPr>
        <w:t>"</w:t>
      </w:r>
    </w:p>
    <w:p w14:paraId="3ED7B6E5" w14:textId="77777777" w:rsidR="00A720EB" w:rsidRDefault="0030286B">
      <w:pPr>
        <w:spacing w:before="13"/>
        <w:ind w:left="784"/>
        <w:rPr>
          <w:rFonts w:ascii="MS Gothic"/>
        </w:rPr>
      </w:pPr>
      <w:r>
        <w:rPr>
          <w:rFonts w:ascii="MS Gothic"/>
          <w:color w:val="333333"/>
        </w:rPr>
        <w:t>},</w:t>
      </w:r>
    </w:p>
    <w:p w14:paraId="74904548" w14:textId="77777777" w:rsidR="00A720EB" w:rsidRDefault="0030286B">
      <w:pPr>
        <w:spacing w:before="13"/>
        <w:ind w:left="784"/>
        <w:rPr>
          <w:rFonts w:ascii="MS Gothic"/>
        </w:rPr>
      </w:pPr>
      <w:r>
        <w:rPr>
          <w:rFonts w:ascii="MS Gothic"/>
          <w:color w:val="333333"/>
        </w:rPr>
        <w:t>{</w:t>
      </w:r>
    </w:p>
    <w:p w14:paraId="5DBED00B" w14:textId="77777777" w:rsidR="00A720EB" w:rsidRDefault="0030286B">
      <w:pPr>
        <w:spacing w:before="13" w:line="252" w:lineRule="auto"/>
        <w:ind w:left="1224" w:right="5576"/>
        <w:rPr>
          <w:rFonts w:ascii="MS Gothic"/>
        </w:rPr>
      </w:pPr>
      <w:r>
        <w:rPr>
          <w:rFonts w:ascii="MS Gothic"/>
          <w:color w:val="333333"/>
        </w:rPr>
        <w:t>"name": "</w:t>
      </w:r>
      <w:proofErr w:type="gramStart"/>
      <w:r>
        <w:rPr>
          <w:rFonts w:ascii="MS Gothic"/>
          <w:color w:val="333333"/>
        </w:rPr>
        <w:t>server.address</w:t>
      </w:r>
      <w:proofErr w:type="gramEnd"/>
      <w:r>
        <w:rPr>
          <w:rFonts w:ascii="MS Gothic"/>
          <w:color w:val="333333"/>
        </w:rPr>
        <w:t>", "type": "java.net.InetAddress",</w:t>
      </w:r>
    </w:p>
    <w:p w14:paraId="7C401D9E" w14:textId="77777777" w:rsidR="00A720EB" w:rsidRDefault="0030286B">
      <w:pPr>
        <w:spacing w:line="280" w:lineRule="exact"/>
        <w:ind w:left="1224"/>
        <w:rPr>
          <w:rFonts w:ascii="MS Gothic"/>
        </w:rPr>
      </w:pPr>
      <w:r>
        <w:rPr>
          <w:rFonts w:ascii="MS Gothic"/>
          <w:color w:val="333333"/>
        </w:rPr>
        <w:t>"sourceType": "</w:t>
      </w:r>
      <w:proofErr w:type="gramStart"/>
      <w:r>
        <w:rPr>
          <w:rFonts w:ascii="MS Gothic"/>
          <w:color w:val="333333"/>
        </w:rPr>
        <w:t>org.springframework.boot.autoconfigure.web.ServerProperties</w:t>
      </w:r>
      <w:proofErr w:type="gramEnd"/>
      <w:r>
        <w:rPr>
          <w:rFonts w:ascii="MS Gothic"/>
          <w:color w:val="333333"/>
        </w:rPr>
        <w:t>"</w:t>
      </w:r>
    </w:p>
    <w:p w14:paraId="42BD3E9E" w14:textId="77777777" w:rsidR="00A720EB" w:rsidRDefault="0030286B">
      <w:pPr>
        <w:spacing w:before="13"/>
        <w:ind w:left="784"/>
        <w:rPr>
          <w:rFonts w:ascii="MS Gothic"/>
        </w:rPr>
      </w:pPr>
      <w:r>
        <w:rPr>
          <w:rFonts w:ascii="MS Gothic"/>
          <w:color w:val="333333"/>
        </w:rPr>
        <w:t>},</w:t>
      </w:r>
    </w:p>
    <w:p w14:paraId="711815ED" w14:textId="77777777" w:rsidR="00A720EB" w:rsidRDefault="0030286B">
      <w:pPr>
        <w:spacing w:before="13"/>
        <w:ind w:left="784"/>
        <w:rPr>
          <w:rFonts w:ascii="MS Gothic"/>
        </w:rPr>
      </w:pPr>
      <w:r>
        <w:rPr>
          <w:rFonts w:ascii="MS Gothic"/>
          <w:color w:val="333333"/>
        </w:rPr>
        <w:t>{</w:t>
      </w:r>
    </w:p>
    <w:p w14:paraId="440E1FD5" w14:textId="77777777" w:rsidR="00A720EB" w:rsidRDefault="0030286B">
      <w:pPr>
        <w:spacing w:before="13" w:line="252" w:lineRule="auto"/>
        <w:ind w:left="1444" w:right="4366"/>
        <w:rPr>
          <w:rFonts w:ascii="MS Gothic"/>
        </w:rPr>
      </w:pPr>
      <w:r>
        <w:rPr>
          <w:rFonts w:ascii="MS Gothic"/>
          <w:color w:val="333333"/>
        </w:rPr>
        <w:t>"name": "spring.jpa.hibernate.ddl-auto", "type": "</w:t>
      </w:r>
      <w:proofErr w:type="gramStart"/>
      <w:r>
        <w:rPr>
          <w:rFonts w:ascii="MS Gothic"/>
          <w:color w:val="333333"/>
        </w:rPr>
        <w:t>java.lang</w:t>
      </w:r>
      <w:proofErr w:type="gramEnd"/>
      <w:r>
        <w:rPr>
          <w:rFonts w:ascii="MS Gothic"/>
          <w:color w:val="333333"/>
        </w:rPr>
        <w:t>.String",</w:t>
      </w:r>
    </w:p>
    <w:p w14:paraId="6CE7F63C" w14:textId="77777777" w:rsidR="00A720EB" w:rsidRDefault="0030286B">
      <w:pPr>
        <w:spacing w:line="276" w:lineRule="exact"/>
        <w:ind w:left="1444"/>
        <w:rPr>
          <w:rFonts w:ascii="MS Gothic"/>
        </w:rPr>
      </w:pPr>
      <w:r>
        <w:rPr>
          <w:rFonts w:ascii="MS Gothic"/>
          <w:color w:val="333333"/>
        </w:rPr>
        <w:t>"description": "DDL mode. This is actually a shortcut for the</w:t>
      </w:r>
    </w:p>
    <w:p w14:paraId="19DE3D0E" w14:textId="77777777" w:rsidR="00A720EB" w:rsidRDefault="0030286B">
      <w:pPr>
        <w:spacing w:before="16" w:line="252" w:lineRule="auto"/>
        <w:ind w:left="1444" w:right="5686" w:hanging="1100"/>
        <w:rPr>
          <w:rFonts w:ascii="MS Gothic"/>
        </w:rPr>
      </w:pPr>
      <w:r>
        <w:rPr>
          <w:rFonts w:ascii="MS Gothic"/>
          <w:color w:val="333333"/>
        </w:rPr>
        <w:t>\"</w:t>
      </w:r>
      <w:proofErr w:type="gramStart"/>
      <w:r>
        <w:rPr>
          <w:rFonts w:ascii="MS Gothic"/>
          <w:color w:val="333333"/>
        </w:rPr>
        <w:t>hibernate.hbm2ddl.auto</w:t>
      </w:r>
      <w:proofErr w:type="gramEnd"/>
      <w:r>
        <w:rPr>
          <w:rFonts w:ascii="MS Gothic"/>
          <w:color w:val="333333"/>
        </w:rPr>
        <w:t>\" property.", "sourceType":</w:t>
      </w:r>
    </w:p>
    <w:p w14:paraId="7DD9133B" w14:textId="77777777" w:rsidR="00A720EB" w:rsidRDefault="0030286B">
      <w:pPr>
        <w:spacing w:line="280" w:lineRule="exact"/>
        <w:ind w:left="344"/>
        <w:rPr>
          <w:rFonts w:ascii="MS Gothic"/>
        </w:rPr>
      </w:pPr>
      <w:r>
        <w:rPr>
          <w:rFonts w:ascii="MS Gothic"/>
          <w:color w:val="333333"/>
        </w:rPr>
        <w:t>"</w:t>
      </w:r>
      <w:proofErr w:type="gramStart"/>
      <w:r>
        <w:rPr>
          <w:rFonts w:ascii="MS Gothic"/>
          <w:color w:val="333333"/>
        </w:rPr>
        <w:t>org.springframework.boot.autoconfigure.orm.jpa.JpaProperties</w:t>
      </w:r>
      <w:proofErr w:type="gramEnd"/>
      <w:r>
        <w:rPr>
          <w:rFonts w:ascii="MS Gothic"/>
          <w:color w:val="333333"/>
        </w:rPr>
        <w:t>$Hibernate"</w:t>
      </w:r>
    </w:p>
    <w:p w14:paraId="0BC3B3C6" w14:textId="77777777" w:rsidR="00A720EB" w:rsidRDefault="0030286B">
      <w:pPr>
        <w:spacing w:before="13"/>
        <w:ind w:left="784"/>
        <w:rPr>
          <w:rFonts w:ascii="MS Gothic"/>
        </w:rPr>
      </w:pPr>
      <w:r>
        <w:rPr>
          <w:rFonts w:ascii="MS Gothic"/>
          <w:color w:val="333333"/>
        </w:rPr>
        <w:t>}</w:t>
      </w:r>
    </w:p>
    <w:p w14:paraId="6DD477C9" w14:textId="77777777" w:rsidR="00A720EB" w:rsidRDefault="0030286B">
      <w:pPr>
        <w:spacing w:before="13"/>
        <w:ind w:left="784"/>
        <w:rPr>
          <w:rFonts w:ascii="MS Gothic"/>
        </w:rPr>
      </w:pPr>
      <w:r>
        <w:rPr>
          <w:rFonts w:ascii="MS Gothic"/>
          <w:color w:val="333333"/>
        </w:rPr>
        <w:t>...</w:t>
      </w:r>
    </w:p>
    <w:p w14:paraId="0B045774" w14:textId="77777777" w:rsidR="00A720EB" w:rsidRDefault="0030286B">
      <w:pPr>
        <w:spacing w:before="13"/>
        <w:ind w:left="344"/>
        <w:rPr>
          <w:rFonts w:ascii="MS Gothic"/>
        </w:rPr>
      </w:pPr>
      <w:r>
        <w:rPr>
          <w:rFonts w:ascii="MS Gothic"/>
          <w:color w:val="333333"/>
        </w:rPr>
        <w:t>],"hints": [</w:t>
      </w:r>
    </w:p>
    <w:p w14:paraId="409BB350" w14:textId="77777777" w:rsidR="00A720EB" w:rsidRDefault="0030286B">
      <w:pPr>
        <w:spacing w:before="13" w:line="278" w:lineRule="exact"/>
        <w:ind w:left="784"/>
        <w:rPr>
          <w:rFonts w:ascii="MS Gothic"/>
        </w:rPr>
      </w:pPr>
      <w:r>
        <w:rPr>
          <w:rFonts w:ascii="MS Gothic"/>
          <w:color w:val="333333"/>
        </w:rPr>
        <w:t>{</w:t>
      </w:r>
    </w:p>
    <w:p w14:paraId="303AEA6A" w14:textId="77777777" w:rsidR="00A720EB" w:rsidRDefault="0030286B">
      <w:pPr>
        <w:spacing w:before="16" w:line="252" w:lineRule="auto"/>
        <w:ind w:left="1224" w:right="4586"/>
        <w:rPr>
          <w:rFonts w:ascii="MS Gothic"/>
        </w:rPr>
      </w:pPr>
      <w:r>
        <w:rPr>
          <w:rFonts w:ascii="MS Gothic"/>
          <w:color w:val="333333"/>
        </w:rPr>
        <w:t>"name": "spring.jpa.hibernate.ddl-auto", "values": [</w:t>
      </w:r>
    </w:p>
    <w:p w14:paraId="5F3FC2FE" w14:textId="77777777" w:rsidR="00A720EB" w:rsidRDefault="0030286B">
      <w:pPr>
        <w:spacing w:line="276" w:lineRule="exact"/>
        <w:ind w:left="1664"/>
        <w:rPr>
          <w:rFonts w:ascii="MS Gothic"/>
        </w:rPr>
      </w:pPr>
      <w:r>
        <w:rPr>
          <w:rFonts w:ascii="MS Gothic"/>
          <w:color w:val="333333"/>
        </w:rPr>
        <w:t>{</w:t>
      </w:r>
    </w:p>
    <w:p w14:paraId="2C2865FD" w14:textId="77777777" w:rsidR="00A720EB" w:rsidRDefault="0030286B">
      <w:pPr>
        <w:spacing w:before="17"/>
        <w:ind w:left="2104"/>
        <w:rPr>
          <w:rFonts w:ascii="MS Gothic"/>
        </w:rPr>
      </w:pPr>
      <w:r>
        <w:rPr>
          <w:rFonts w:ascii="MS Gothic"/>
          <w:color w:val="333333"/>
        </w:rPr>
        <w:t>"value": "none",</w:t>
      </w:r>
    </w:p>
    <w:p w14:paraId="24DD5AFA" w14:textId="77777777" w:rsidR="00A720EB" w:rsidRDefault="0030286B">
      <w:pPr>
        <w:spacing w:before="13"/>
        <w:ind w:left="2104"/>
        <w:rPr>
          <w:rFonts w:ascii="MS Gothic"/>
        </w:rPr>
      </w:pPr>
      <w:r>
        <w:rPr>
          <w:rFonts w:ascii="MS Gothic"/>
          <w:color w:val="333333"/>
        </w:rPr>
        <w:t>"description": "Disable DDL handling."</w:t>
      </w:r>
    </w:p>
    <w:p w14:paraId="5AF7E7E9" w14:textId="77777777" w:rsidR="00A720EB" w:rsidRDefault="0030286B">
      <w:pPr>
        <w:spacing w:before="13"/>
        <w:ind w:left="1664"/>
        <w:rPr>
          <w:rFonts w:ascii="MS Gothic"/>
        </w:rPr>
      </w:pPr>
      <w:r>
        <w:rPr>
          <w:rFonts w:ascii="MS Gothic"/>
          <w:color w:val="333333"/>
        </w:rPr>
        <w:t>},</w:t>
      </w:r>
    </w:p>
    <w:p w14:paraId="7388AD3C" w14:textId="77777777" w:rsidR="00A720EB" w:rsidRDefault="0030286B">
      <w:pPr>
        <w:spacing w:before="13"/>
        <w:ind w:left="1664"/>
        <w:rPr>
          <w:rFonts w:ascii="MS Gothic"/>
        </w:rPr>
      </w:pPr>
      <w:r>
        <w:rPr>
          <w:rFonts w:ascii="MS Gothic"/>
          <w:color w:val="333333"/>
        </w:rPr>
        <w:t>{</w:t>
      </w:r>
    </w:p>
    <w:p w14:paraId="5D6ABD99" w14:textId="77777777" w:rsidR="00A720EB" w:rsidRDefault="0030286B">
      <w:pPr>
        <w:spacing w:before="12"/>
        <w:ind w:left="2104"/>
        <w:rPr>
          <w:rFonts w:ascii="MS Gothic"/>
        </w:rPr>
      </w:pPr>
      <w:r>
        <w:rPr>
          <w:rFonts w:ascii="MS Gothic"/>
          <w:color w:val="333333"/>
        </w:rPr>
        <w:t>"value": "validate",</w:t>
      </w:r>
    </w:p>
    <w:p w14:paraId="62F87883" w14:textId="77777777" w:rsidR="00A720EB" w:rsidRDefault="0030286B">
      <w:pPr>
        <w:spacing w:before="13"/>
        <w:ind w:left="2104"/>
        <w:rPr>
          <w:rFonts w:ascii="MS Gothic"/>
        </w:rPr>
      </w:pPr>
      <w:r>
        <w:rPr>
          <w:rFonts w:ascii="MS Gothic"/>
          <w:color w:val="333333"/>
        </w:rPr>
        <w:t>"description": "Validate the schema, make no changes to the database."</w:t>
      </w:r>
    </w:p>
    <w:p w14:paraId="713422F0" w14:textId="77777777" w:rsidR="00A720EB" w:rsidRDefault="0030286B">
      <w:pPr>
        <w:spacing w:before="13"/>
        <w:ind w:left="1664"/>
        <w:rPr>
          <w:rFonts w:ascii="MS Gothic"/>
        </w:rPr>
      </w:pPr>
      <w:r>
        <w:rPr>
          <w:rFonts w:ascii="MS Gothic"/>
          <w:color w:val="333333"/>
        </w:rPr>
        <w:t>},</w:t>
      </w:r>
    </w:p>
    <w:p w14:paraId="782D39DC" w14:textId="77777777" w:rsidR="00A720EB" w:rsidRDefault="0030286B">
      <w:pPr>
        <w:spacing w:before="13"/>
        <w:ind w:left="1664"/>
        <w:rPr>
          <w:rFonts w:ascii="MS Gothic"/>
        </w:rPr>
      </w:pPr>
      <w:r>
        <w:rPr>
          <w:rFonts w:ascii="MS Gothic"/>
          <w:color w:val="333333"/>
        </w:rPr>
        <w:t>{</w:t>
      </w:r>
    </w:p>
    <w:p w14:paraId="7A11A3AE" w14:textId="77777777" w:rsidR="00A720EB" w:rsidRDefault="0030286B">
      <w:pPr>
        <w:spacing w:before="13"/>
        <w:ind w:left="2104"/>
        <w:rPr>
          <w:rFonts w:ascii="MS Gothic"/>
        </w:rPr>
      </w:pPr>
      <w:r>
        <w:rPr>
          <w:rFonts w:ascii="MS Gothic"/>
          <w:color w:val="333333"/>
        </w:rPr>
        <w:t>"value": "update",</w:t>
      </w:r>
    </w:p>
    <w:p w14:paraId="11C146AC" w14:textId="77777777" w:rsidR="00A720EB" w:rsidRDefault="0030286B">
      <w:pPr>
        <w:spacing w:before="13"/>
        <w:ind w:left="2104"/>
        <w:rPr>
          <w:rFonts w:ascii="MS Gothic"/>
        </w:rPr>
      </w:pPr>
      <w:r>
        <w:rPr>
          <w:rFonts w:ascii="MS Gothic"/>
          <w:color w:val="333333"/>
        </w:rPr>
        <w:t>"description": "Update the schema if necessary."</w:t>
      </w:r>
    </w:p>
    <w:p w14:paraId="3EC0DCB9" w14:textId="77777777" w:rsidR="00A720EB" w:rsidRDefault="0030286B">
      <w:pPr>
        <w:spacing w:before="13"/>
        <w:ind w:left="1664"/>
        <w:rPr>
          <w:rFonts w:ascii="MS Gothic"/>
        </w:rPr>
      </w:pPr>
      <w:r>
        <w:rPr>
          <w:rFonts w:ascii="MS Gothic"/>
          <w:color w:val="333333"/>
        </w:rPr>
        <w:t>},</w:t>
      </w:r>
    </w:p>
    <w:p w14:paraId="07E06D71" w14:textId="77777777" w:rsidR="00A720EB" w:rsidRDefault="0030286B">
      <w:pPr>
        <w:spacing w:before="13"/>
        <w:ind w:left="1664"/>
        <w:rPr>
          <w:rFonts w:ascii="MS Gothic"/>
        </w:rPr>
      </w:pPr>
      <w:r>
        <w:rPr>
          <w:rFonts w:ascii="MS Gothic"/>
          <w:color w:val="333333"/>
        </w:rPr>
        <w:t>{</w:t>
      </w:r>
    </w:p>
    <w:p w14:paraId="47D33F6C" w14:textId="77777777" w:rsidR="00A720EB" w:rsidRDefault="0030286B">
      <w:pPr>
        <w:spacing w:before="13"/>
        <w:ind w:left="2104"/>
        <w:rPr>
          <w:rFonts w:ascii="MS Gothic"/>
        </w:rPr>
      </w:pPr>
      <w:r>
        <w:rPr>
          <w:rFonts w:ascii="MS Gothic"/>
          <w:color w:val="333333"/>
        </w:rPr>
        <w:t>"value": "create",</w:t>
      </w:r>
    </w:p>
    <w:p w14:paraId="0E34F4FE" w14:textId="77777777" w:rsidR="00A720EB" w:rsidRDefault="0030286B">
      <w:pPr>
        <w:spacing w:before="13"/>
        <w:ind w:left="2104"/>
        <w:rPr>
          <w:rFonts w:ascii="MS Gothic"/>
        </w:rPr>
      </w:pPr>
      <w:r>
        <w:rPr>
          <w:rFonts w:ascii="MS Gothic"/>
          <w:color w:val="333333"/>
        </w:rPr>
        <w:t>"description": "Create the schema and destroy previous data."</w:t>
      </w:r>
    </w:p>
    <w:p w14:paraId="20A77730" w14:textId="77777777" w:rsidR="00A720EB" w:rsidRDefault="0030286B">
      <w:pPr>
        <w:spacing w:before="13"/>
        <w:ind w:left="1664"/>
        <w:rPr>
          <w:rFonts w:ascii="MS Gothic"/>
        </w:rPr>
      </w:pPr>
      <w:r>
        <w:rPr>
          <w:rFonts w:ascii="MS Gothic"/>
          <w:color w:val="333333"/>
        </w:rPr>
        <w:t>},</w:t>
      </w:r>
    </w:p>
    <w:p w14:paraId="539427C8" w14:textId="77777777" w:rsidR="00A720EB" w:rsidRDefault="0030286B">
      <w:pPr>
        <w:spacing w:before="13"/>
        <w:ind w:left="1664"/>
        <w:rPr>
          <w:rFonts w:ascii="MS Gothic"/>
        </w:rPr>
      </w:pPr>
      <w:r>
        <w:rPr>
          <w:rFonts w:ascii="MS Gothic"/>
          <w:color w:val="333333"/>
        </w:rPr>
        <w:t>{</w:t>
      </w:r>
    </w:p>
    <w:p w14:paraId="75C6F819" w14:textId="77777777" w:rsidR="00A720EB" w:rsidRDefault="00A720EB">
      <w:pPr>
        <w:rPr>
          <w:rFonts w:ascii="MS Gothic"/>
        </w:rPr>
        <w:sectPr w:rsidR="00A720EB">
          <w:pgSz w:w="11910" w:h="16840"/>
          <w:pgMar w:top="580" w:right="840" w:bottom="520" w:left="840" w:header="0" w:footer="198" w:gutter="0"/>
          <w:cols w:space="720"/>
        </w:sectPr>
      </w:pPr>
    </w:p>
    <w:p w14:paraId="6D28CC1E" w14:textId="77777777" w:rsidR="00A720EB" w:rsidRDefault="00E10349">
      <w:pPr>
        <w:pStyle w:val="a3"/>
        <w:ind w:left="116"/>
        <w:rPr>
          <w:rFonts w:ascii="MS Gothic"/>
          <w:sz w:val="20"/>
        </w:rPr>
      </w:pPr>
      <w:r>
        <w:rPr>
          <w:rFonts w:ascii="MS Gothic"/>
          <w:sz w:val="20"/>
        </w:rPr>
      </w:r>
      <w:r>
        <w:rPr>
          <w:rFonts w:ascii="MS Gothic"/>
          <w:sz w:val="20"/>
        </w:rPr>
        <w:pict w14:anchorId="12F500E0">
          <v:group id="_x0000_s1166" style="width:499.55pt;height:108.3pt;mso-position-horizontal-relative:char;mso-position-vertical-relative:line" coordsize="9991,2166">
            <v:shape id="_x0000_s1170" style="position:absolute;left:7;top:9;width:9976;height:2149" coordorigin="8,9" coordsize="9976,2149" path="m9904,9l88,9,56,15,31,32,14,58,8,89r,1989l14,2109r17,25l56,2152r32,6l9904,2158r31,-6l9960,2134r17,-25l9984,2078r,-1989l9977,58,9960,32,9935,15,9904,9xe" fillcolor="#f5f5f5" stroked="f">
              <v:path arrowok="t"/>
            </v:shape>
            <v:shape id="_x0000_s1169" style="position:absolute;left:7;top:9;width:9976;height:2149" coordorigin="8,9" coordsize="9976,2149" path="m88,9r9816,l9935,15r25,17l9977,58r7,31l9984,2078r-7,31l9960,2134r-25,18l9904,2158r-9816,l56,2152,31,2134,14,2109,8,2078,8,89,14,58,31,32,56,15,88,9xe" filled="f" strokecolor="#ccc">
              <v:path arrowok="t"/>
            </v:shape>
            <v:line id="_x0000_s1168" style="position:absolute" from="103,9" to="9889,9" strokecolor="#f5f5f5" strokeweight=".9pt">
              <v:stroke dashstyle="dash"/>
            </v:line>
            <v:shape id="_x0000_s1167" type="#_x0000_t202" style="position:absolute;left:26;top:25;width:9938;height:2118" filled="f" stroked="f">
              <v:textbox inset="0,0,0,0">
                <w:txbxContent>
                  <w:p w14:paraId="37B8B30C" w14:textId="77777777" w:rsidR="00711A16" w:rsidRDefault="00711A16">
                    <w:pPr>
                      <w:spacing w:line="235" w:lineRule="exact"/>
                      <w:ind w:left="1960"/>
                      <w:rPr>
                        <w:rFonts w:ascii="MS Gothic"/>
                      </w:rPr>
                    </w:pPr>
                    <w:r>
                      <w:rPr>
                        <w:rFonts w:ascii="MS Gothic"/>
                        <w:color w:val="333333"/>
                      </w:rPr>
                      <w:t>"value": "create-drop",</w:t>
                    </w:r>
                  </w:p>
                  <w:p w14:paraId="43B9B7FD" w14:textId="77777777" w:rsidR="00711A16" w:rsidRDefault="00711A16">
                    <w:pPr>
                      <w:spacing w:before="13"/>
                      <w:ind w:left="1960"/>
                      <w:rPr>
                        <w:rFonts w:ascii="MS Gothic"/>
                      </w:rPr>
                    </w:pPr>
                    <w:r>
                      <w:rPr>
                        <w:rFonts w:ascii="MS Gothic"/>
                        <w:color w:val="333333"/>
                      </w:rPr>
                      <w:t>"description": "Create and then destroy the schema at the end of the</w:t>
                    </w:r>
                  </w:p>
                  <w:p w14:paraId="46D43C93" w14:textId="77777777" w:rsidR="00711A16" w:rsidRDefault="00711A16">
                    <w:pPr>
                      <w:spacing w:before="13"/>
                      <w:ind w:left="200"/>
                      <w:rPr>
                        <w:rFonts w:ascii="MS Gothic"/>
                      </w:rPr>
                    </w:pPr>
                    <w:r>
                      <w:rPr>
                        <w:rFonts w:ascii="MS Gothic"/>
                        <w:color w:val="333333"/>
                      </w:rPr>
                      <w:t>session."</w:t>
                    </w:r>
                  </w:p>
                  <w:p w14:paraId="5724C12C" w14:textId="77777777" w:rsidR="00711A16" w:rsidRDefault="00711A16">
                    <w:pPr>
                      <w:spacing w:before="12"/>
                      <w:ind w:left="1520"/>
                      <w:rPr>
                        <w:rFonts w:ascii="MS Gothic"/>
                      </w:rPr>
                    </w:pPr>
                    <w:r>
                      <w:rPr>
                        <w:rFonts w:ascii="MS Gothic"/>
                        <w:color w:val="333333"/>
                      </w:rPr>
                      <w:t>}</w:t>
                    </w:r>
                  </w:p>
                  <w:p w14:paraId="381392CC" w14:textId="77777777" w:rsidR="00711A16" w:rsidRDefault="00711A16">
                    <w:pPr>
                      <w:spacing w:before="13"/>
                      <w:ind w:left="1080"/>
                      <w:rPr>
                        <w:rFonts w:ascii="MS Gothic"/>
                      </w:rPr>
                    </w:pPr>
                    <w:r>
                      <w:rPr>
                        <w:rFonts w:ascii="MS Gothic"/>
                        <w:color w:val="333333"/>
                      </w:rPr>
                      <w:t>]</w:t>
                    </w:r>
                  </w:p>
                  <w:p w14:paraId="61F35F78" w14:textId="77777777" w:rsidR="00711A16" w:rsidRDefault="00711A16">
                    <w:pPr>
                      <w:spacing w:before="13"/>
                      <w:ind w:left="640"/>
                      <w:rPr>
                        <w:rFonts w:ascii="MS Gothic"/>
                      </w:rPr>
                    </w:pPr>
                    <w:r>
                      <w:rPr>
                        <w:rFonts w:ascii="MS Gothic"/>
                        <w:color w:val="333333"/>
                      </w:rPr>
                      <w:t>}</w:t>
                    </w:r>
                  </w:p>
                  <w:p w14:paraId="50A263BF" w14:textId="77777777" w:rsidR="00711A16" w:rsidRDefault="00711A16">
                    <w:pPr>
                      <w:spacing w:before="13"/>
                      <w:ind w:left="200"/>
                      <w:rPr>
                        <w:rFonts w:ascii="MS Gothic"/>
                      </w:rPr>
                    </w:pPr>
                    <w:r>
                      <w:rPr>
                        <w:rFonts w:ascii="MS Gothic"/>
                        <w:color w:val="333333"/>
                      </w:rPr>
                      <w:t>]}</w:t>
                    </w:r>
                  </w:p>
                </w:txbxContent>
              </v:textbox>
            </v:shape>
            <w10:anchorlock/>
          </v:group>
        </w:pict>
      </w:r>
    </w:p>
    <w:p w14:paraId="512B909C" w14:textId="77777777" w:rsidR="00A720EB" w:rsidRDefault="00A720EB">
      <w:pPr>
        <w:pStyle w:val="a3"/>
        <w:spacing w:before="9"/>
        <w:rPr>
          <w:rFonts w:ascii="MS Gothic"/>
          <w:sz w:val="15"/>
        </w:rPr>
      </w:pPr>
    </w:p>
    <w:p w14:paraId="0F57984D" w14:textId="77777777" w:rsidR="00A720EB" w:rsidRDefault="0030286B">
      <w:pPr>
        <w:pStyle w:val="a3"/>
        <w:spacing w:before="125"/>
        <w:ind w:left="124"/>
      </w:pPr>
      <w:r>
        <w:rPr>
          <w:color w:val="333333"/>
          <w:w w:val="110"/>
        </w:rPr>
        <w:t>Each “property” is a configuration item that the user specifies with a given value. For example,</w:t>
      </w:r>
    </w:p>
    <w:p w14:paraId="2E7A7D78" w14:textId="77777777" w:rsidR="00A720EB" w:rsidRDefault="0030286B">
      <w:pPr>
        <w:pStyle w:val="a3"/>
        <w:spacing w:before="59"/>
        <w:ind w:left="124"/>
      </w:pPr>
      <w:proofErr w:type="gramStart"/>
      <w:r>
        <w:rPr>
          <w:rFonts w:ascii="MS Gothic"/>
          <w:color w:val="B02045"/>
          <w:w w:val="110"/>
        </w:rPr>
        <w:t>server.port</w:t>
      </w:r>
      <w:proofErr w:type="gramEnd"/>
      <w:r>
        <w:rPr>
          <w:rFonts w:ascii="MS Gothic"/>
          <w:color w:val="B02045"/>
          <w:spacing w:val="-76"/>
          <w:w w:val="110"/>
        </w:rPr>
        <w:t xml:space="preserve"> </w:t>
      </w:r>
      <w:r>
        <w:rPr>
          <w:color w:val="333333"/>
          <w:w w:val="110"/>
        </w:rPr>
        <w:t xml:space="preserve">and </w:t>
      </w:r>
      <w:r>
        <w:rPr>
          <w:rFonts w:ascii="MS Gothic"/>
          <w:color w:val="B02045"/>
          <w:w w:val="110"/>
        </w:rPr>
        <w:t>server.address</w:t>
      </w:r>
      <w:r>
        <w:rPr>
          <w:rFonts w:ascii="MS Gothic"/>
          <w:color w:val="B02045"/>
          <w:spacing w:val="-75"/>
          <w:w w:val="110"/>
        </w:rPr>
        <w:t xml:space="preserve"> </w:t>
      </w:r>
      <w:r>
        <w:rPr>
          <w:color w:val="333333"/>
          <w:w w:val="110"/>
        </w:rPr>
        <w:t xml:space="preserve">might be specified in </w:t>
      </w:r>
      <w:r>
        <w:rPr>
          <w:rFonts w:ascii="MS Gothic"/>
          <w:color w:val="B02045"/>
          <w:w w:val="110"/>
        </w:rPr>
        <w:t>application.properties</w:t>
      </w:r>
      <w:r>
        <w:rPr>
          <w:color w:val="333333"/>
          <w:w w:val="110"/>
        </w:rPr>
        <w:t>, as follows:</w:t>
      </w:r>
    </w:p>
    <w:p w14:paraId="2C2C209D" w14:textId="77777777" w:rsidR="00A720EB" w:rsidRDefault="00E10349">
      <w:pPr>
        <w:pStyle w:val="a3"/>
        <w:spacing w:before="10"/>
        <w:rPr>
          <w:sz w:val="17"/>
        </w:rPr>
      </w:pPr>
      <w:r>
        <w:pict w14:anchorId="5C2F4C0B">
          <v:group id="_x0000_s1162" style="position:absolute;margin-left:47.85pt;margin-top:12.5pt;width:499.55pt;height:52.25pt;z-index:-15022592;mso-wrap-distance-left:0;mso-wrap-distance-right:0;mso-position-horizontal-relative:page" coordorigin="957,250" coordsize="9991,1045">
            <v:shape id="_x0000_s1165" style="position:absolute;left:964;top:257;width:9976;height:1030" coordorigin="965,257" coordsize="9976,1030" path="m10861,257r-9816,l1014,264r-26,17l971,306r-6,31l965,1207r6,31l988,1263r26,18l1045,1287r9816,l10892,1281r25,-18l10935,1238r6,-31l10941,337r-6,-31l10917,281r-25,-17l10861,257xe" fillcolor="#f5f5f5" stroked="f">
              <v:path arrowok="t"/>
            </v:shape>
            <v:shape id="_x0000_s1164" style="position:absolute;left:964;top:257;width:9976;height:1030" coordorigin="965,257" coordsize="9976,1030" path="m1045,257r9816,l10892,264r25,17l10935,306r6,31l10941,1207r-6,31l10917,1263r-25,18l10861,1287r-9816,l1014,1281r-26,-18l971,1238r-6,-31l965,337r6,-31l988,281r26,-17l1045,257xe" filled="f" strokecolor="#ccc">
              <v:path arrowok="t"/>
            </v:shape>
            <v:shape id="_x0000_s1163" type="#_x0000_t202" style="position:absolute;left:984;top:272;width:9938;height:999" filled="f" stroked="f">
              <v:textbox inset="0,0,0,0">
                <w:txbxContent>
                  <w:p w14:paraId="31EF6484" w14:textId="77777777" w:rsidR="00711A16" w:rsidRDefault="00711A16">
                    <w:pPr>
                      <w:spacing w:before="221" w:line="252" w:lineRule="auto"/>
                      <w:ind w:left="200" w:right="7078"/>
                      <w:rPr>
                        <w:rFonts w:ascii="MS Gothic"/>
                      </w:rPr>
                    </w:pPr>
                    <w:proofErr w:type="gramStart"/>
                    <w:r>
                      <w:rPr>
                        <w:rFonts w:ascii="MS Gothic"/>
                        <w:color w:val="333333"/>
                      </w:rPr>
                      <w:t>server.port</w:t>
                    </w:r>
                    <w:proofErr w:type="gramEnd"/>
                    <w:r>
                      <w:rPr>
                        <w:rFonts w:ascii="MS Gothic"/>
                        <w:color w:val="333333"/>
                      </w:rPr>
                      <w:t>=9090 server.address=127.0.0.1</w:t>
                    </w:r>
                  </w:p>
                </w:txbxContent>
              </v:textbox>
            </v:shape>
            <w10:wrap type="topAndBottom" anchorx="page"/>
          </v:group>
        </w:pict>
      </w:r>
    </w:p>
    <w:p w14:paraId="33EBED78" w14:textId="77777777" w:rsidR="00A720EB" w:rsidRDefault="00A720EB">
      <w:pPr>
        <w:pStyle w:val="a3"/>
        <w:rPr>
          <w:sz w:val="10"/>
        </w:rPr>
      </w:pPr>
    </w:p>
    <w:p w14:paraId="7D01E48A" w14:textId="77777777" w:rsidR="00A720EB" w:rsidRDefault="0030286B">
      <w:pPr>
        <w:pStyle w:val="a3"/>
        <w:spacing w:before="125" w:line="290" w:lineRule="auto"/>
        <w:ind w:left="124" w:right="125"/>
        <w:jc w:val="both"/>
      </w:pPr>
      <w:r>
        <w:rPr>
          <w:color w:val="333333"/>
          <w:w w:val="110"/>
        </w:rPr>
        <w:t>The “groups” are higher level items that do not themselves specify a value but instead provide a contextual</w:t>
      </w:r>
      <w:r>
        <w:rPr>
          <w:color w:val="333333"/>
          <w:spacing w:val="-7"/>
          <w:w w:val="110"/>
        </w:rPr>
        <w:t xml:space="preserve"> </w:t>
      </w:r>
      <w:r>
        <w:rPr>
          <w:color w:val="333333"/>
          <w:w w:val="110"/>
        </w:rPr>
        <w:t>grouping</w:t>
      </w:r>
      <w:r>
        <w:rPr>
          <w:color w:val="333333"/>
          <w:spacing w:val="-7"/>
          <w:w w:val="110"/>
        </w:rPr>
        <w:t xml:space="preserve"> </w:t>
      </w:r>
      <w:r>
        <w:rPr>
          <w:color w:val="333333"/>
          <w:w w:val="110"/>
        </w:rPr>
        <w:t>for</w:t>
      </w:r>
      <w:r>
        <w:rPr>
          <w:color w:val="333333"/>
          <w:spacing w:val="-7"/>
          <w:w w:val="110"/>
        </w:rPr>
        <w:t xml:space="preserve"> </w:t>
      </w:r>
      <w:r>
        <w:rPr>
          <w:color w:val="333333"/>
          <w:w w:val="110"/>
        </w:rPr>
        <w:t>properties.</w:t>
      </w:r>
      <w:r>
        <w:rPr>
          <w:color w:val="333333"/>
          <w:spacing w:val="-7"/>
          <w:w w:val="110"/>
        </w:rPr>
        <w:t xml:space="preserve"> </w:t>
      </w:r>
      <w:r>
        <w:rPr>
          <w:color w:val="333333"/>
          <w:spacing w:val="-4"/>
          <w:w w:val="110"/>
        </w:rPr>
        <w:t>For</w:t>
      </w:r>
      <w:r>
        <w:rPr>
          <w:color w:val="333333"/>
          <w:spacing w:val="-7"/>
          <w:w w:val="110"/>
        </w:rPr>
        <w:t xml:space="preserve"> </w:t>
      </w:r>
      <w:r>
        <w:rPr>
          <w:color w:val="333333"/>
          <w:w w:val="110"/>
        </w:rPr>
        <w:t>example,</w:t>
      </w:r>
      <w:r>
        <w:rPr>
          <w:color w:val="333333"/>
          <w:spacing w:val="-6"/>
          <w:w w:val="110"/>
        </w:rPr>
        <w:t xml:space="preserve"> </w:t>
      </w:r>
      <w:r>
        <w:rPr>
          <w:color w:val="333333"/>
          <w:w w:val="110"/>
        </w:rPr>
        <w:t>the</w:t>
      </w:r>
      <w:r>
        <w:rPr>
          <w:color w:val="333333"/>
          <w:spacing w:val="-5"/>
          <w:w w:val="110"/>
        </w:rPr>
        <w:t xml:space="preserve"> </w:t>
      </w:r>
      <w:proofErr w:type="gramStart"/>
      <w:r>
        <w:rPr>
          <w:rFonts w:ascii="MS Gothic" w:hAnsi="MS Gothic"/>
          <w:color w:val="B02045"/>
          <w:w w:val="110"/>
        </w:rPr>
        <w:t>server.port</w:t>
      </w:r>
      <w:proofErr w:type="gramEnd"/>
      <w:r>
        <w:rPr>
          <w:rFonts w:ascii="MS Gothic" w:hAnsi="MS Gothic"/>
          <w:color w:val="B02045"/>
          <w:spacing w:val="-71"/>
          <w:w w:val="110"/>
        </w:rPr>
        <w:t xml:space="preserve"> </w:t>
      </w:r>
      <w:r>
        <w:rPr>
          <w:color w:val="333333"/>
          <w:w w:val="110"/>
        </w:rPr>
        <w:t>and</w:t>
      </w:r>
      <w:r>
        <w:rPr>
          <w:color w:val="333333"/>
          <w:spacing w:val="-6"/>
          <w:w w:val="110"/>
        </w:rPr>
        <w:t xml:space="preserve"> </w:t>
      </w:r>
      <w:r>
        <w:rPr>
          <w:rFonts w:ascii="MS Gothic" w:hAnsi="MS Gothic"/>
          <w:color w:val="B02045"/>
          <w:w w:val="110"/>
        </w:rPr>
        <w:t>server.address</w:t>
      </w:r>
      <w:r>
        <w:rPr>
          <w:rFonts w:ascii="MS Gothic" w:hAnsi="MS Gothic"/>
          <w:color w:val="B02045"/>
          <w:spacing w:val="-71"/>
          <w:w w:val="110"/>
        </w:rPr>
        <w:t xml:space="preserve"> </w:t>
      </w:r>
      <w:r>
        <w:rPr>
          <w:color w:val="333333"/>
          <w:w w:val="110"/>
        </w:rPr>
        <w:t>properties</w:t>
      </w:r>
      <w:r>
        <w:rPr>
          <w:color w:val="333333"/>
          <w:spacing w:val="-7"/>
          <w:w w:val="110"/>
        </w:rPr>
        <w:t xml:space="preserve"> </w:t>
      </w:r>
      <w:r>
        <w:rPr>
          <w:color w:val="333333"/>
          <w:w w:val="110"/>
        </w:rPr>
        <w:t xml:space="preserve">are part of the </w:t>
      </w:r>
      <w:r>
        <w:rPr>
          <w:rFonts w:ascii="MS Gothic" w:hAnsi="MS Gothic"/>
          <w:color w:val="B02045"/>
          <w:w w:val="110"/>
        </w:rPr>
        <w:t>server</w:t>
      </w:r>
      <w:r>
        <w:rPr>
          <w:rFonts w:ascii="MS Gothic" w:hAnsi="MS Gothic"/>
          <w:color w:val="B02045"/>
          <w:spacing w:val="-54"/>
          <w:w w:val="110"/>
        </w:rPr>
        <w:t xml:space="preserve"> </w:t>
      </w:r>
      <w:r>
        <w:rPr>
          <w:color w:val="333333"/>
          <w:w w:val="110"/>
        </w:rPr>
        <w:t>group.</w:t>
      </w:r>
    </w:p>
    <w:p w14:paraId="4CA97B11" w14:textId="77777777" w:rsidR="00A720EB" w:rsidRDefault="00A720EB">
      <w:pPr>
        <w:pStyle w:val="a3"/>
        <w:spacing w:before="1"/>
        <w:rPr>
          <w:sz w:val="27"/>
        </w:rPr>
      </w:pPr>
    </w:p>
    <w:p w14:paraId="1CE31B9C" w14:textId="77777777" w:rsidR="00A720EB" w:rsidRDefault="00E10349">
      <w:pPr>
        <w:pStyle w:val="a3"/>
        <w:spacing w:line="307" w:lineRule="auto"/>
        <w:ind w:left="1564" w:right="462"/>
      </w:pPr>
      <w:r>
        <w:pict w14:anchorId="1D852474">
          <v:line id="_x0000_s1161" style="position:absolute;left:0;text-align:left;z-index:16435200;mso-position-horizontal-relative:page" from="108.25pt,-6pt" to="108.25pt,33.55pt" strokecolor="#ededed" strokeweight=".5pt">
            <w10:wrap anchorx="page"/>
          </v:line>
        </w:pict>
      </w:r>
      <w:r w:rsidR="0030286B">
        <w:rPr>
          <w:noProof/>
        </w:rPr>
        <w:drawing>
          <wp:anchor distT="0" distB="0" distL="0" distR="0" simplePos="0" relativeHeight="16435712" behindDoc="0" locked="0" layoutInCell="1" allowOverlap="1" wp14:anchorId="17D4438B" wp14:editId="452FF753">
            <wp:simplePos x="0" y="0"/>
            <wp:positionH relativeFrom="page">
              <wp:posOffset>844422</wp:posOffset>
            </wp:positionH>
            <wp:positionV relativeFrom="paragraph">
              <wp:posOffset>25946</wp:posOffset>
            </wp:positionV>
            <wp:extent cx="298450" cy="298450"/>
            <wp:effectExtent l="0" t="0" r="0" b="0"/>
            <wp:wrapNone/>
            <wp:docPr id="7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It is not required that every “property” has a “group”. Some properties might exist in their own</w:t>
      </w:r>
      <w:r w:rsidR="0030286B">
        <w:rPr>
          <w:color w:val="333333"/>
          <w:spacing w:val="9"/>
          <w:w w:val="110"/>
        </w:rPr>
        <w:t xml:space="preserve"> </w:t>
      </w:r>
      <w:r w:rsidR="0030286B">
        <w:rPr>
          <w:color w:val="333333"/>
          <w:w w:val="110"/>
        </w:rPr>
        <w:t>right.</w:t>
      </w:r>
    </w:p>
    <w:p w14:paraId="4FA700BE" w14:textId="77777777" w:rsidR="00A720EB" w:rsidRDefault="00A720EB">
      <w:pPr>
        <w:pStyle w:val="a3"/>
        <w:spacing w:before="5"/>
        <w:rPr>
          <w:sz w:val="27"/>
        </w:rPr>
      </w:pPr>
    </w:p>
    <w:p w14:paraId="54D46764" w14:textId="77777777" w:rsidR="00A720EB" w:rsidRDefault="0030286B">
      <w:pPr>
        <w:pStyle w:val="a3"/>
        <w:spacing w:line="288" w:lineRule="auto"/>
        <w:ind w:left="124" w:right="123"/>
        <w:jc w:val="both"/>
      </w:pPr>
      <w:proofErr w:type="gramStart"/>
      <w:r>
        <w:rPr>
          <w:color w:val="333333"/>
          <w:spacing w:val="-4"/>
          <w:w w:val="110"/>
        </w:rPr>
        <w:t xml:space="preserve">Finally,  </w:t>
      </w:r>
      <w:r>
        <w:rPr>
          <w:color w:val="333333"/>
          <w:w w:val="110"/>
        </w:rPr>
        <w:t>“</w:t>
      </w:r>
      <w:proofErr w:type="gramEnd"/>
      <w:r>
        <w:rPr>
          <w:color w:val="333333"/>
          <w:w w:val="110"/>
        </w:rPr>
        <w:t xml:space="preserve">hints” are additional information used to assist the user in configuring a given </w:t>
      </w:r>
      <w:r>
        <w:rPr>
          <w:color w:val="333333"/>
          <w:spacing w:val="-3"/>
          <w:w w:val="110"/>
        </w:rPr>
        <w:t xml:space="preserve">property.    </w:t>
      </w:r>
      <w:r>
        <w:rPr>
          <w:color w:val="333333"/>
          <w:spacing w:val="-4"/>
          <w:w w:val="110"/>
        </w:rPr>
        <w:t xml:space="preserve">For </w:t>
      </w:r>
      <w:r>
        <w:rPr>
          <w:color w:val="333333"/>
          <w:w w:val="110"/>
        </w:rPr>
        <w:t xml:space="preserve">example, when a developer is configuring the </w:t>
      </w:r>
      <w:r>
        <w:rPr>
          <w:rFonts w:ascii="MS Gothic" w:hAnsi="MS Gothic"/>
          <w:color w:val="B02045"/>
          <w:w w:val="110"/>
        </w:rPr>
        <w:t xml:space="preserve">spring.jpa.hibernate.ddl-auto </w:t>
      </w:r>
      <w:r>
        <w:rPr>
          <w:color w:val="333333"/>
          <w:spacing w:val="-3"/>
          <w:w w:val="110"/>
        </w:rPr>
        <w:t xml:space="preserve">property, </w:t>
      </w:r>
      <w:r>
        <w:rPr>
          <w:color w:val="333333"/>
          <w:w w:val="110"/>
        </w:rPr>
        <w:t xml:space="preserve">a tool can use the hints to offer some auto-completion help for the </w:t>
      </w:r>
      <w:r>
        <w:rPr>
          <w:rFonts w:ascii="MS Gothic" w:hAnsi="MS Gothic"/>
          <w:color w:val="B02045"/>
          <w:w w:val="110"/>
        </w:rPr>
        <w:t>none</w:t>
      </w:r>
      <w:r>
        <w:rPr>
          <w:color w:val="333333"/>
          <w:w w:val="110"/>
        </w:rPr>
        <w:t xml:space="preserve">, </w:t>
      </w:r>
      <w:r>
        <w:rPr>
          <w:rFonts w:ascii="MS Gothic" w:hAnsi="MS Gothic"/>
          <w:color w:val="B02045"/>
          <w:w w:val="110"/>
        </w:rPr>
        <w:t>validate</w:t>
      </w:r>
      <w:r>
        <w:rPr>
          <w:color w:val="333333"/>
          <w:w w:val="110"/>
        </w:rPr>
        <w:t xml:space="preserve">, </w:t>
      </w:r>
      <w:r>
        <w:rPr>
          <w:rFonts w:ascii="MS Gothic" w:hAnsi="MS Gothic"/>
          <w:color w:val="B02045"/>
          <w:w w:val="110"/>
        </w:rPr>
        <w:t>update</w:t>
      </w:r>
      <w:r>
        <w:rPr>
          <w:color w:val="333333"/>
          <w:w w:val="110"/>
        </w:rPr>
        <w:t xml:space="preserve">, </w:t>
      </w:r>
      <w:r>
        <w:rPr>
          <w:rFonts w:ascii="MS Gothic" w:hAnsi="MS Gothic"/>
          <w:color w:val="B02045"/>
          <w:w w:val="110"/>
        </w:rPr>
        <w:t>create</w:t>
      </w:r>
      <w:r>
        <w:rPr>
          <w:color w:val="333333"/>
          <w:w w:val="110"/>
        </w:rPr>
        <w:t xml:space="preserve">, and </w:t>
      </w:r>
      <w:r>
        <w:rPr>
          <w:rFonts w:ascii="MS Gothic" w:hAnsi="MS Gothic"/>
          <w:color w:val="B02045"/>
          <w:w w:val="110"/>
        </w:rPr>
        <w:t>create-drop</w:t>
      </w:r>
      <w:r>
        <w:rPr>
          <w:rFonts w:ascii="MS Gothic" w:hAnsi="MS Gothic"/>
          <w:color w:val="B02045"/>
          <w:spacing w:val="-63"/>
          <w:w w:val="110"/>
        </w:rPr>
        <w:t xml:space="preserve"> </w:t>
      </w:r>
      <w:r>
        <w:rPr>
          <w:color w:val="333333"/>
          <w:w w:val="110"/>
        </w:rPr>
        <w:t>values.</w:t>
      </w:r>
    </w:p>
    <w:p w14:paraId="738F5685" w14:textId="77777777" w:rsidR="00A720EB" w:rsidRDefault="00A720EB">
      <w:pPr>
        <w:pStyle w:val="a3"/>
        <w:spacing w:before="5"/>
        <w:rPr>
          <w:sz w:val="25"/>
        </w:rPr>
      </w:pPr>
    </w:p>
    <w:p w14:paraId="5CF71B6F" w14:textId="77777777" w:rsidR="00A720EB" w:rsidRDefault="0030286B">
      <w:pPr>
        <w:pStyle w:val="4"/>
      </w:pPr>
      <w:bookmarkStart w:id="1059" w:name="Group_Attributes"/>
      <w:bookmarkEnd w:id="1059"/>
      <w:r>
        <w:rPr>
          <w:color w:val="333333"/>
          <w:w w:val="110"/>
        </w:rPr>
        <w:t>Group Attributes</w:t>
      </w:r>
    </w:p>
    <w:p w14:paraId="0EE4598E" w14:textId="77777777" w:rsidR="00A720EB" w:rsidRDefault="0030286B">
      <w:pPr>
        <w:pStyle w:val="a3"/>
        <w:spacing w:before="244" w:line="290" w:lineRule="auto"/>
        <w:ind w:left="124" w:right="126"/>
        <w:jc w:val="both"/>
      </w:pPr>
      <w:r>
        <w:rPr>
          <w:color w:val="333333"/>
          <w:w w:val="110"/>
        </w:rPr>
        <w:t xml:space="preserve">The JSON object contained in the </w:t>
      </w:r>
      <w:r>
        <w:rPr>
          <w:rFonts w:ascii="MS Gothic"/>
          <w:color w:val="B02045"/>
          <w:w w:val="110"/>
        </w:rPr>
        <w:t xml:space="preserve">groups </w:t>
      </w:r>
      <w:r>
        <w:rPr>
          <w:color w:val="333333"/>
          <w:w w:val="110"/>
        </w:rPr>
        <w:t xml:space="preserve">array can contain the attributes shown in the </w:t>
      </w:r>
      <w:proofErr w:type="gramStart"/>
      <w:r>
        <w:rPr>
          <w:color w:val="333333"/>
          <w:w w:val="110"/>
        </w:rPr>
        <w:t>following  table</w:t>
      </w:r>
      <w:proofErr w:type="gramEnd"/>
      <w:r>
        <w:rPr>
          <w:color w:val="333333"/>
          <w:w w:val="110"/>
        </w:rPr>
        <w:t>:</w:t>
      </w:r>
    </w:p>
    <w:p w14:paraId="694C4319" w14:textId="77777777" w:rsidR="00A720EB" w:rsidRDefault="00A720EB">
      <w:pPr>
        <w:pStyle w:val="a3"/>
        <w:spacing w:before="2"/>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5B2690EC" w14:textId="77777777">
        <w:trPr>
          <w:trHeight w:val="415"/>
        </w:trPr>
        <w:tc>
          <w:tcPr>
            <w:tcW w:w="1663" w:type="dxa"/>
            <w:tcBorders>
              <w:bottom w:val="single" w:sz="12" w:space="0" w:color="DDDDDD"/>
            </w:tcBorders>
          </w:tcPr>
          <w:p w14:paraId="2DB6FDDC"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1663" w:type="dxa"/>
            <w:tcBorders>
              <w:bottom w:val="single" w:sz="12" w:space="0" w:color="DDDDDD"/>
            </w:tcBorders>
          </w:tcPr>
          <w:p w14:paraId="6035AA5A" w14:textId="77777777" w:rsidR="00A720EB" w:rsidRDefault="0030286B">
            <w:pPr>
              <w:pStyle w:val="TableParagraph"/>
              <w:spacing w:before="74"/>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05D518D7" w14:textId="77777777" w:rsidR="00A720EB" w:rsidRDefault="0030286B">
            <w:pPr>
              <w:pStyle w:val="TableParagraph"/>
              <w:spacing w:before="74"/>
              <w:ind w:left="59"/>
              <w:rPr>
                <w:rFonts w:ascii="Palatino Linotype"/>
                <w:b/>
                <w:sz w:val="21"/>
              </w:rPr>
            </w:pPr>
            <w:r>
              <w:rPr>
                <w:rFonts w:ascii="Palatino Linotype"/>
                <w:b/>
                <w:color w:val="333333"/>
                <w:w w:val="110"/>
                <w:sz w:val="21"/>
              </w:rPr>
              <w:t>Purpose</w:t>
            </w:r>
          </w:p>
        </w:tc>
      </w:tr>
      <w:tr w:rsidR="00A720EB" w14:paraId="595F5376" w14:textId="77777777">
        <w:trPr>
          <w:trHeight w:val="415"/>
        </w:trPr>
        <w:tc>
          <w:tcPr>
            <w:tcW w:w="1663" w:type="dxa"/>
            <w:tcBorders>
              <w:top w:val="single" w:sz="12" w:space="0" w:color="DDDDDD"/>
            </w:tcBorders>
          </w:tcPr>
          <w:p w14:paraId="71929D00" w14:textId="77777777" w:rsidR="00A720EB" w:rsidRDefault="0030286B">
            <w:pPr>
              <w:pStyle w:val="TableParagraph"/>
              <w:spacing w:before="30"/>
              <w:rPr>
                <w:sz w:val="21"/>
              </w:rPr>
            </w:pPr>
            <w:r>
              <w:rPr>
                <w:color w:val="B02045"/>
                <w:sz w:val="21"/>
              </w:rPr>
              <w:t>name</w:t>
            </w:r>
          </w:p>
        </w:tc>
        <w:tc>
          <w:tcPr>
            <w:tcW w:w="1663" w:type="dxa"/>
            <w:tcBorders>
              <w:top w:val="single" w:sz="12" w:space="0" w:color="DDDDDD"/>
            </w:tcBorders>
          </w:tcPr>
          <w:p w14:paraId="209DFF17" w14:textId="77777777" w:rsidR="00A720EB" w:rsidRDefault="0030286B">
            <w:pPr>
              <w:pStyle w:val="TableParagraph"/>
              <w:spacing w:before="84"/>
              <w:ind w:left="59"/>
              <w:rPr>
                <w:rFonts w:ascii="Cambria"/>
                <w:sz w:val="21"/>
              </w:rPr>
            </w:pPr>
            <w:r>
              <w:rPr>
                <w:rFonts w:ascii="Cambria"/>
                <w:color w:val="333333"/>
                <w:w w:val="110"/>
                <w:sz w:val="21"/>
              </w:rPr>
              <w:t>String</w:t>
            </w:r>
          </w:p>
        </w:tc>
        <w:tc>
          <w:tcPr>
            <w:tcW w:w="6651" w:type="dxa"/>
            <w:tcBorders>
              <w:top w:val="single" w:sz="12" w:space="0" w:color="DDDDDD"/>
            </w:tcBorders>
          </w:tcPr>
          <w:p w14:paraId="684FD305" w14:textId="77777777" w:rsidR="00A720EB" w:rsidRDefault="0030286B">
            <w:pPr>
              <w:pStyle w:val="TableParagraph"/>
              <w:spacing w:before="84"/>
              <w:ind w:left="59"/>
              <w:rPr>
                <w:rFonts w:ascii="Cambria"/>
                <w:sz w:val="21"/>
              </w:rPr>
            </w:pPr>
            <w:r>
              <w:rPr>
                <w:rFonts w:ascii="Cambria"/>
                <w:color w:val="333333"/>
                <w:w w:val="110"/>
                <w:sz w:val="21"/>
              </w:rPr>
              <w:t>The full name of the group. This attribute is mandatory.</w:t>
            </w:r>
          </w:p>
        </w:tc>
      </w:tr>
      <w:tr w:rsidR="00A720EB" w14:paraId="12CED98D" w14:textId="77777777">
        <w:trPr>
          <w:trHeight w:val="2003"/>
        </w:trPr>
        <w:tc>
          <w:tcPr>
            <w:tcW w:w="1663" w:type="dxa"/>
          </w:tcPr>
          <w:p w14:paraId="3911BE3E" w14:textId="77777777" w:rsidR="00A720EB" w:rsidRDefault="0030286B">
            <w:pPr>
              <w:pStyle w:val="TableParagraph"/>
              <w:spacing w:before="40"/>
              <w:rPr>
                <w:sz w:val="21"/>
              </w:rPr>
            </w:pPr>
            <w:r>
              <w:rPr>
                <w:color w:val="B02045"/>
                <w:sz w:val="21"/>
              </w:rPr>
              <w:t>type</w:t>
            </w:r>
          </w:p>
        </w:tc>
        <w:tc>
          <w:tcPr>
            <w:tcW w:w="1663" w:type="dxa"/>
          </w:tcPr>
          <w:p w14:paraId="78BC2B55" w14:textId="77777777" w:rsidR="00A720EB" w:rsidRDefault="0030286B">
            <w:pPr>
              <w:pStyle w:val="TableParagraph"/>
              <w:spacing w:before="94"/>
              <w:ind w:left="59"/>
              <w:rPr>
                <w:rFonts w:ascii="Cambria"/>
                <w:sz w:val="21"/>
              </w:rPr>
            </w:pPr>
            <w:r>
              <w:rPr>
                <w:rFonts w:ascii="Cambria"/>
                <w:color w:val="333333"/>
                <w:w w:val="110"/>
                <w:sz w:val="21"/>
              </w:rPr>
              <w:t>String</w:t>
            </w:r>
          </w:p>
        </w:tc>
        <w:tc>
          <w:tcPr>
            <w:tcW w:w="6651" w:type="dxa"/>
          </w:tcPr>
          <w:p w14:paraId="65D761C6" w14:textId="77777777" w:rsidR="00A720EB" w:rsidRDefault="0030286B">
            <w:pPr>
              <w:pStyle w:val="TableParagraph"/>
              <w:spacing w:before="94" w:line="297" w:lineRule="auto"/>
              <w:ind w:left="59"/>
              <w:rPr>
                <w:rFonts w:ascii="Cambria"/>
                <w:sz w:val="21"/>
              </w:rPr>
            </w:pPr>
            <w:r>
              <w:rPr>
                <w:rFonts w:ascii="Cambria"/>
                <w:color w:val="333333"/>
                <w:w w:val="110"/>
                <w:sz w:val="21"/>
              </w:rPr>
              <w:t xml:space="preserve">The class name of the data type of the group. For example, if the group were based on a class annotated with </w:t>
            </w:r>
            <w:r>
              <w:rPr>
                <w:color w:val="B02045"/>
                <w:w w:val="110"/>
                <w:sz w:val="21"/>
              </w:rPr>
              <w:t>@ConfigurationProperties</w:t>
            </w:r>
            <w:r>
              <w:rPr>
                <w:rFonts w:ascii="Cambria"/>
                <w:color w:val="333333"/>
                <w:w w:val="110"/>
                <w:sz w:val="21"/>
              </w:rPr>
              <w:t xml:space="preserve">, the attribute would contain the fully qualified name of that class. If it were based on a </w:t>
            </w:r>
            <w:r>
              <w:rPr>
                <w:color w:val="B02045"/>
                <w:w w:val="110"/>
                <w:sz w:val="21"/>
              </w:rPr>
              <w:t xml:space="preserve">@Bean </w:t>
            </w:r>
            <w:r>
              <w:rPr>
                <w:rFonts w:ascii="Cambria"/>
                <w:color w:val="333333"/>
                <w:w w:val="110"/>
                <w:sz w:val="21"/>
              </w:rPr>
              <w:t>method, it would be the return type of that method. If the type is not known, the attribute may be omitted.</w:t>
            </w:r>
          </w:p>
        </w:tc>
      </w:tr>
      <w:tr w:rsidR="00A720EB" w14:paraId="3D9E54B4" w14:textId="77777777">
        <w:trPr>
          <w:trHeight w:val="1688"/>
        </w:trPr>
        <w:tc>
          <w:tcPr>
            <w:tcW w:w="1663" w:type="dxa"/>
          </w:tcPr>
          <w:p w14:paraId="247CA9ED" w14:textId="77777777" w:rsidR="00A720EB" w:rsidRDefault="0030286B">
            <w:pPr>
              <w:pStyle w:val="TableParagraph"/>
              <w:spacing w:before="40"/>
              <w:rPr>
                <w:sz w:val="21"/>
              </w:rPr>
            </w:pPr>
            <w:r>
              <w:rPr>
                <w:color w:val="B02045"/>
                <w:sz w:val="21"/>
              </w:rPr>
              <w:t>description</w:t>
            </w:r>
          </w:p>
        </w:tc>
        <w:tc>
          <w:tcPr>
            <w:tcW w:w="1663" w:type="dxa"/>
          </w:tcPr>
          <w:p w14:paraId="5D8FA94F" w14:textId="77777777" w:rsidR="00A720EB" w:rsidRDefault="0030286B">
            <w:pPr>
              <w:pStyle w:val="TableParagraph"/>
              <w:spacing w:before="94"/>
              <w:ind w:left="59"/>
              <w:rPr>
                <w:rFonts w:ascii="Cambria"/>
                <w:sz w:val="21"/>
              </w:rPr>
            </w:pPr>
            <w:r>
              <w:rPr>
                <w:rFonts w:ascii="Cambria"/>
                <w:color w:val="333333"/>
                <w:w w:val="110"/>
                <w:sz w:val="21"/>
              </w:rPr>
              <w:t>String</w:t>
            </w:r>
          </w:p>
        </w:tc>
        <w:tc>
          <w:tcPr>
            <w:tcW w:w="6651" w:type="dxa"/>
          </w:tcPr>
          <w:p w14:paraId="6B5F2F16" w14:textId="77777777" w:rsidR="00A720EB" w:rsidRDefault="0030286B">
            <w:pPr>
              <w:pStyle w:val="TableParagraph"/>
              <w:spacing w:before="41" w:line="316" w:lineRule="exact"/>
              <w:ind w:left="59" w:right="165"/>
              <w:rPr>
                <w:rFonts w:ascii="Cambria"/>
                <w:sz w:val="21"/>
              </w:rPr>
            </w:pPr>
            <w:r>
              <w:rPr>
                <w:rFonts w:ascii="Cambria"/>
                <w:color w:val="333333"/>
                <w:w w:val="110"/>
                <w:sz w:val="21"/>
              </w:rPr>
              <w:t>A short description of the group that can be displayed to users. If no description is available, it may be omitted. It is recommended that descriptions be short paragraphs, with the first line providing a concise summary. The last line in the description should end with a period (</w:t>
            </w:r>
            <w:r>
              <w:rPr>
                <w:color w:val="B02045"/>
                <w:w w:val="110"/>
                <w:sz w:val="21"/>
              </w:rPr>
              <w:t>.</w:t>
            </w:r>
            <w:r>
              <w:rPr>
                <w:rFonts w:ascii="Cambria"/>
                <w:color w:val="333333"/>
                <w:w w:val="110"/>
                <w:sz w:val="21"/>
              </w:rPr>
              <w:t>).</w:t>
            </w:r>
          </w:p>
        </w:tc>
      </w:tr>
    </w:tbl>
    <w:p w14:paraId="7E246503" w14:textId="77777777" w:rsidR="00A720EB" w:rsidRDefault="00A720EB">
      <w:pPr>
        <w:spacing w:line="316" w:lineRule="exact"/>
        <w:rPr>
          <w:sz w:val="21"/>
        </w:rPr>
        <w:sectPr w:rsidR="00A720EB">
          <w:pgSz w:w="11910" w:h="16840"/>
          <w:pgMar w:top="700" w:right="840" w:bottom="52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681FE28A" w14:textId="77777777">
        <w:trPr>
          <w:trHeight w:val="415"/>
        </w:trPr>
        <w:tc>
          <w:tcPr>
            <w:tcW w:w="1663" w:type="dxa"/>
            <w:tcBorders>
              <w:bottom w:val="single" w:sz="12" w:space="0" w:color="DDDDDD"/>
            </w:tcBorders>
          </w:tcPr>
          <w:p w14:paraId="55442C4F"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1663" w:type="dxa"/>
            <w:tcBorders>
              <w:bottom w:val="single" w:sz="12" w:space="0" w:color="DDDDDD"/>
            </w:tcBorders>
          </w:tcPr>
          <w:p w14:paraId="3364B53B" w14:textId="77777777" w:rsidR="00A720EB" w:rsidRDefault="0030286B">
            <w:pPr>
              <w:pStyle w:val="TableParagraph"/>
              <w:spacing w:before="71"/>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39896CCE" w14:textId="77777777" w:rsidR="00A720EB" w:rsidRDefault="0030286B">
            <w:pPr>
              <w:pStyle w:val="TableParagraph"/>
              <w:spacing w:before="71"/>
              <w:ind w:left="59"/>
              <w:rPr>
                <w:rFonts w:ascii="Palatino Linotype"/>
                <w:b/>
                <w:sz w:val="21"/>
              </w:rPr>
            </w:pPr>
            <w:r>
              <w:rPr>
                <w:rFonts w:ascii="Palatino Linotype"/>
                <w:b/>
                <w:color w:val="333333"/>
                <w:w w:val="110"/>
                <w:sz w:val="21"/>
              </w:rPr>
              <w:t>Purpose</w:t>
            </w:r>
          </w:p>
        </w:tc>
      </w:tr>
      <w:tr w:rsidR="00A720EB" w14:paraId="5DF113A3" w14:textId="77777777">
        <w:trPr>
          <w:trHeight w:val="1993"/>
        </w:trPr>
        <w:tc>
          <w:tcPr>
            <w:tcW w:w="1663" w:type="dxa"/>
            <w:tcBorders>
              <w:top w:val="single" w:sz="12" w:space="0" w:color="DDDDDD"/>
            </w:tcBorders>
          </w:tcPr>
          <w:p w14:paraId="2A42C1D1" w14:textId="77777777" w:rsidR="00A720EB" w:rsidRDefault="0030286B">
            <w:pPr>
              <w:pStyle w:val="TableParagraph"/>
              <w:spacing w:before="27"/>
              <w:rPr>
                <w:sz w:val="21"/>
              </w:rPr>
            </w:pPr>
            <w:r>
              <w:rPr>
                <w:color w:val="B02045"/>
                <w:sz w:val="21"/>
              </w:rPr>
              <w:t>sourceType</w:t>
            </w:r>
          </w:p>
        </w:tc>
        <w:tc>
          <w:tcPr>
            <w:tcW w:w="1663" w:type="dxa"/>
            <w:tcBorders>
              <w:top w:val="single" w:sz="12" w:space="0" w:color="DDDDDD"/>
            </w:tcBorders>
          </w:tcPr>
          <w:p w14:paraId="5E12482A" w14:textId="77777777" w:rsidR="00A720EB" w:rsidRDefault="0030286B">
            <w:pPr>
              <w:pStyle w:val="TableParagraph"/>
              <w:spacing w:before="82"/>
              <w:ind w:left="59"/>
              <w:rPr>
                <w:rFonts w:ascii="Cambria"/>
                <w:sz w:val="21"/>
              </w:rPr>
            </w:pPr>
            <w:r>
              <w:rPr>
                <w:rFonts w:ascii="Cambria"/>
                <w:color w:val="333333"/>
                <w:w w:val="110"/>
                <w:sz w:val="21"/>
              </w:rPr>
              <w:t>String</w:t>
            </w:r>
          </w:p>
        </w:tc>
        <w:tc>
          <w:tcPr>
            <w:tcW w:w="6651" w:type="dxa"/>
            <w:tcBorders>
              <w:top w:val="single" w:sz="12" w:space="0" w:color="DDDDDD"/>
            </w:tcBorders>
          </w:tcPr>
          <w:p w14:paraId="7E6759E8" w14:textId="77777777" w:rsidR="00A720EB" w:rsidRDefault="0030286B">
            <w:pPr>
              <w:pStyle w:val="TableParagraph"/>
              <w:spacing w:before="82" w:line="292" w:lineRule="auto"/>
              <w:ind w:left="59" w:right="70"/>
              <w:rPr>
                <w:rFonts w:ascii="Cambria"/>
                <w:sz w:val="21"/>
              </w:rPr>
            </w:pPr>
            <w:r>
              <w:rPr>
                <w:rFonts w:ascii="Cambria"/>
                <w:color w:val="333333"/>
                <w:w w:val="110"/>
                <w:sz w:val="21"/>
              </w:rPr>
              <w:t xml:space="preserve">The class name of the source that contributed this group. </w:t>
            </w:r>
            <w:r>
              <w:rPr>
                <w:rFonts w:ascii="Cambria"/>
                <w:color w:val="333333"/>
                <w:spacing w:val="-4"/>
                <w:w w:val="110"/>
                <w:sz w:val="21"/>
              </w:rPr>
              <w:t xml:space="preserve">For </w:t>
            </w:r>
            <w:r>
              <w:rPr>
                <w:rFonts w:ascii="Cambria"/>
                <w:color w:val="333333"/>
                <w:w w:val="110"/>
                <w:sz w:val="21"/>
              </w:rPr>
              <w:t xml:space="preserve">example, if the group were based on a </w:t>
            </w:r>
            <w:r>
              <w:rPr>
                <w:color w:val="B02045"/>
                <w:w w:val="110"/>
                <w:sz w:val="21"/>
              </w:rPr>
              <w:t xml:space="preserve">@Bean </w:t>
            </w:r>
            <w:r>
              <w:rPr>
                <w:rFonts w:ascii="Cambria"/>
                <w:color w:val="333333"/>
                <w:w w:val="110"/>
                <w:sz w:val="21"/>
              </w:rPr>
              <w:t xml:space="preserve">method annotated with </w:t>
            </w:r>
            <w:r>
              <w:rPr>
                <w:color w:val="B02045"/>
                <w:w w:val="110"/>
                <w:sz w:val="21"/>
              </w:rPr>
              <w:t>@ConfigurationProperties</w:t>
            </w:r>
            <w:r>
              <w:rPr>
                <w:rFonts w:ascii="Cambria"/>
                <w:color w:val="333333"/>
                <w:w w:val="110"/>
                <w:sz w:val="21"/>
              </w:rPr>
              <w:t xml:space="preserve">, this attribute would contain the fully qualified name of the </w:t>
            </w:r>
            <w:r>
              <w:rPr>
                <w:color w:val="B02045"/>
                <w:w w:val="110"/>
                <w:sz w:val="21"/>
              </w:rPr>
              <w:t>@Configuration</w:t>
            </w:r>
            <w:r>
              <w:rPr>
                <w:color w:val="B02045"/>
                <w:spacing w:val="-71"/>
                <w:w w:val="110"/>
                <w:sz w:val="21"/>
              </w:rPr>
              <w:t xml:space="preserve"> </w:t>
            </w:r>
            <w:r>
              <w:rPr>
                <w:rFonts w:ascii="Cambria"/>
                <w:color w:val="333333"/>
                <w:w w:val="110"/>
                <w:sz w:val="21"/>
              </w:rPr>
              <w:t>class that contains the method. If the source type is not known, the attribute may be omitted.</w:t>
            </w:r>
          </w:p>
        </w:tc>
      </w:tr>
      <w:tr w:rsidR="00A720EB" w14:paraId="5F35B26D" w14:textId="77777777">
        <w:trPr>
          <w:trHeight w:val="1372"/>
        </w:trPr>
        <w:tc>
          <w:tcPr>
            <w:tcW w:w="1663" w:type="dxa"/>
          </w:tcPr>
          <w:p w14:paraId="048B45E3" w14:textId="77777777" w:rsidR="00A720EB" w:rsidRDefault="0030286B">
            <w:pPr>
              <w:pStyle w:val="TableParagraph"/>
              <w:spacing w:before="37"/>
              <w:rPr>
                <w:sz w:val="21"/>
              </w:rPr>
            </w:pPr>
            <w:r>
              <w:rPr>
                <w:color w:val="B02045"/>
                <w:sz w:val="21"/>
              </w:rPr>
              <w:t>sourceMethod</w:t>
            </w:r>
          </w:p>
        </w:tc>
        <w:tc>
          <w:tcPr>
            <w:tcW w:w="1663" w:type="dxa"/>
          </w:tcPr>
          <w:p w14:paraId="6E04B7A1" w14:textId="77777777" w:rsidR="00A720EB" w:rsidRDefault="0030286B">
            <w:pPr>
              <w:pStyle w:val="TableParagraph"/>
              <w:spacing w:before="92"/>
              <w:ind w:left="59"/>
              <w:rPr>
                <w:rFonts w:ascii="Cambria"/>
                <w:sz w:val="21"/>
              </w:rPr>
            </w:pPr>
            <w:r>
              <w:rPr>
                <w:rFonts w:ascii="Cambria"/>
                <w:color w:val="333333"/>
                <w:w w:val="110"/>
                <w:sz w:val="21"/>
              </w:rPr>
              <w:t>String</w:t>
            </w:r>
          </w:p>
        </w:tc>
        <w:tc>
          <w:tcPr>
            <w:tcW w:w="6651" w:type="dxa"/>
          </w:tcPr>
          <w:p w14:paraId="46059519" w14:textId="77777777" w:rsidR="00A720EB" w:rsidRDefault="0030286B">
            <w:pPr>
              <w:pStyle w:val="TableParagraph"/>
              <w:spacing w:before="92" w:line="297" w:lineRule="auto"/>
              <w:ind w:left="59"/>
              <w:rPr>
                <w:rFonts w:ascii="Cambria"/>
                <w:sz w:val="21"/>
              </w:rPr>
            </w:pPr>
            <w:r>
              <w:rPr>
                <w:rFonts w:ascii="Cambria"/>
                <w:color w:val="333333"/>
                <w:w w:val="110"/>
                <w:sz w:val="21"/>
              </w:rPr>
              <w:t xml:space="preserve">The full name of the method (include parenthesis and argument types) that contributed this group (for example, the name of a </w:t>
            </w:r>
            <w:r>
              <w:rPr>
                <w:color w:val="B02045"/>
                <w:w w:val="105"/>
                <w:sz w:val="21"/>
              </w:rPr>
              <w:t>@ConfigurationProperties</w:t>
            </w:r>
            <w:r>
              <w:rPr>
                <w:color w:val="B02045"/>
                <w:spacing w:val="-59"/>
                <w:w w:val="105"/>
                <w:sz w:val="21"/>
              </w:rPr>
              <w:t xml:space="preserve"> </w:t>
            </w:r>
            <w:r>
              <w:rPr>
                <w:rFonts w:ascii="Cambria"/>
                <w:color w:val="333333"/>
                <w:w w:val="105"/>
                <w:sz w:val="21"/>
              </w:rPr>
              <w:t xml:space="preserve">annotated </w:t>
            </w:r>
            <w:r>
              <w:rPr>
                <w:color w:val="B02045"/>
                <w:w w:val="105"/>
                <w:sz w:val="21"/>
              </w:rPr>
              <w:t>@Bean</w:t>
            </w:r>
            <w:r>
              <w:rPr>
                <w:color w:val="B02045"/>
                <w:spacing w:val="-58"/>
                <w:w w:val="105"/>
                <w:sz w:val="21"/>
              </w:rPr>
              <w:t xml:space="preserve"> </w:t>
            </w:r>
            <w:r>
              <w:rPr>
                <w:rFonts w:ascii="Cambria"/>
                <w:color w:val="333333"/>
                <w:w w:val="105"/>
                <w:sz w:val="21"/>
              </w:rPr>
              <w:t xml:space="preserve">method). If the source </w:t>
            </w:r>
            <w:r>
              <w:rPr>
                <w:rFonts w:ascii="Cambria"/>
                <w:color w:val="333333"/>
                <w:w w:val="110"/>
                <w:sz w:val="21"/>
              </w:rPr>
              <w:t>method is not known, it may be omitted.</w:t>
            </w:r>
          </w:p>
        </w:tc>
      </w:tr>
    </w:tbl>
    <w:p w14:paraId="2A0AF157" w14:textId="77777777" w:rsidR="00A720EB" w:rsidRDefault="00A720EB">
      <w:pPr>
        <w:pStyle w:val="a3"/>
        <w:spacing w:before="5"/>
        <w:rPr>
          <w:sz w:val="19"/>
        </w:rPr>
      </w:pPr>
    </w:p>
    <w:p w14:paraId="00D9661C" w14:textId="77777777" w:rsidR="00A720EB" w:rsidRDefault="0030286B">
      <w:pPr>
        <w:pStyle w:val="4"/>
        <w:spacing w:before="104"/>
        <w:jc w:val="left"/>
      </w:pPr>
      <w:bookmarkStart w:id="1060" w:name="Property_Attributes"/>
      <w:bookmarkEnd w:id="1060"/>
      <w:r>
        <w:rPr>
          <w:color w:val="333333"/>
          <w:w w:val="115"/>
        </w:rPr>
        <w:t>Property Attributes</w:t>
      </w:r>
    </w:p>
    <w:p w14:paraId="2F2EE8EF" w14:textId="77777777" w:rsidR="00A720EB" w:rsidRDefault="0030286B">
      <w:pPr>
        <w:pStyle w:val="a3"/>
        <w:spacing w:before="244" w:line="290" w:lineRule="auto"/>
        <w:ind w:left="124"/>
      </w:pPr>
      <w:r>
        <w:rPr>
          <w:color w:val="333333"/>
          <w:w w:val="110"/>
        </w:rPr>
        <w:t xml:space="preserve">The JSON object contained in the </w:t>
      </w:r>
      <w:r>
        <w:rPr>
          <w:rFonts w:ascii="MS Gothic"/>
          <w:color w:val="B02045"/>
          <w:w w:val="110"/>
        </w:rPr>
        <w:t xml:space="preserve">properties </w:t>
      </w:r>
      <w:r>
        <w:rPr>
          <w:color w:val="333333"/>
          <w:w w:val="110"/>
        </w:rPr>
        <w:t>array can contain the attributes described in the following table:</w:t>
      </w:r>
    </w:p>
    <w:p w14:paraId="35AAEB79" w14:textId="77777777" w:rsidR="00A720EB" w:rsidRDefault="00A720EB">
      <w:pPr>
        <w:pStyle w:val="a3"/>
        <w:spacing w:before="2"/>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5994F03E" w14:textId="77777777">
        <w:trPr>
          <w:trHeight w:val="415"/>
        </w:trPr>
        <w:tc>
          <w:tcPr>
            <w:tcW w:w="1663" w:type="dxa"/>
            <w:tcBorders>
              <w:bottom w:val="single" w:sz="12" w:space="0" w:color="DDDDDD"/>
            </w:tcBorders>
          </w:tcPr>
          <w:p w14:paraId="79184D58"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1663" w:type="dxa"/>
            <w:tcBorders>
              <w:bottom w:val="single" w:sz="12" w:space="0" w:color="DDDDDD"/>
            </w:tcBorders>
          </w:tcPr>
          <w:p w14:paraId="345C1CF5" w14:textId="77777777" w:rsidR="00A720EB" w:rsidRDefault="0030286B">
            <w:pPr>
              <w:pStyle w:val="TableParagraph"/>
              <w:spacing w:before="74"/>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4CCFC3BC" w14:textId="77777777" w:rsidR="00A720EB" w:rsidRDefault="0030286B">
            <w:pPr>
              <w:pStyle w:val="TableParagraph"/>
              <w:spacing w:before="74"/>
              <w:ind w:left="59"/>
              <w:rPr>
                <w:rFonts w:ascii="Palatino Linotype"/>
                <w:b/>
                <w:sz w:val="21"/>
              </w:rPr>
            </w:pPr>
            <w:r>
              <w:rPr>
                <w:rFonts w:ascii="Palatino Linotype"/>
                <w:b/>
                <w:color w:val="333333"/>
                <w:w w:val="110"/>
                <w:sz w:val="21"/>
              </w:rPr>
              <w:t>Purpose</w:t>
            </w:r>
          </w:p>
        </w:tc>
      </w:tr>
      <w:tr w:rsidR="00A720EB" w14:paraId="3FEC745E" w14:textId="77777777">
        <w:trPr>
          <w:trHeight w:val="1046"/>
        </w:trPr>
        <w:tc>
          <w:tcPr>
            <w:tcW w:w="1663" w:type="dxa"/>
            <w:tcBorders>
              <w:top w:val="single" w:sz="12" w:space="0" w:color="DDDDDD"/>
            </w:tcBorders>
          </w:tcPr>
          <w:p w14:paraId="41D15869" w14:textId="77777777" w:rsidR="00A720EB" w:rsidRDefault="0030286B">
            <w:pPr>
              <w:pStyle w:val="TableParagraph"/>
              <w:spacing w:before="30"/>
              <w:rPr>
                <w:sz w:val="21"/>
              </w:rPr>
            </w:pPr>
            <w:r>
              <w:rPr>
                <w:color w:val="B02045"/>
                <w:sz w:val="21"/>
              </w:rPr>
              <w:t>name</w:t>
            </w:r>
          </w:p>
        </w:tc>
        <w:tc>
          <w:tcPr>
            <w:tcW w:w="1663" w:type="dxa"/>
            <w:tcBorders>
              <w:top w:val="single" w:sz="12" w:space="0" w:color="DDDDDD"/>
            </w:tcBorders>
          </w:tcPr>
          <w:p w14:paraId="17397E7A" w14:textId="77777777" w:rsidR="00A720EB" w:rsidRDefault="0030286B">
            <w:pPr>
              <w:pStyle w:val="TableParagraph"/>
              <w:spacing w:before="84"/>
              <w:ind w:left="59"/>
              <w:rPr>
                <w:rFonts w:ascii="Cambria"/>
                <w:sz w:val="21"/>
              </w:rPr>
            </w:pPr>
            <w:r>
              <w:rPr>
                <w:rFonts w:ascii="Cambria"/>
                <w:color w:val="333333"/>
                <w:w w:val="110"/>
                <w:sz w:val="21"/>
              </w:rPr>
              <w:t>String</w:t>
            </w:r>
          </w:p>
        </w:tc>
        <w:tc>
          <w:tcPr>
            <w:tcW w:w="6651" w:type="dxa"/>
            <w:tcBorders>
              <w:top w:val="single" w:sz="12" w:space="0" w:color="DDDDDD"/>
            </w:tcBorders>
          </w:tcPr>
          <w:p w14:paraId="13B5C8FE" w14:textId="77777777" w:rsidR="00A720EB" w:rsidRDefault="0030286B">
            <w:pPr>
              <w:pStyle w:val="TableParagraph"/>
              <w:spacing w:before="84" w:line="295" w:lineRule="auto"/>
              <w:ind w:left="59"/>
              <w:rPr>
                <w:rFonts w:ascii="Cambria"/>
                <w:sz w:val="21"/>
              </w:rPr>
            </w:pPr>
            <w:r>
              <w:rPr>
                <w:rFonts w:ascii="Cambria"/>
                <w:color w:val="333333"/>
                <w:w w:val="110"/>
                <w:sz w:val="21"/>
              </w:rPr>
              <w:t xml:space="preserve">The full name of the property. Names are in lower-case period- separated form (for example, </w:t>
            </w:r>
            <w:proofErr w:type="gramStart"/>
            <w:r>
              <w:rPr>
                <w:color w:val="B02045"/>
                <w:w w:val="110"/>
                <w:sz w:val="21"/>
              </w:rPr>
              <w:t>server.address</w:t>
            </w:r>
            <w:proofErr w:type="gramEnd"/>
            <w:r>
              <w:rPr>
                <w:rFonts w:ascii="Cambria"/>
                <w:color w:val="333333"/>
                <w:w w:val="110"/>
                <w:sz w:val="21"/>
              </w:rPr>
              <w:t>). This attribute is mandatory.</w:t>
            </w:r>
          </w:p>
        </w:tc>
      </w:tr>
      <w:tr w:rsidR="00A720EB" w14:paraId="41F345E2" w14:textId="77777777">
        <w:trPr>
          <w:trHeight w:val="2950"/>
        </w:trPr>
        <w:tc>
          <w:tcPr>
            <w:tcW w:w="1663" w:type="dxa"/>
          </w:tcPr>
          <w:p w14:paraId="6D39078C" w14:textId="77777777" w:rsidR="00A720EB" w:rsidRDefault="0030286B">
            <w:pPr>
              <w:pStyle w:val="TableParagraph"/>
              <w:spacing w:before="40"/>
              <w:rPr>
                <w:sz w:val="21"/>
              </w:rPr>
            </w:pPr>
            <w:r>
              <w:rPr>
                <w:color w:val="B02045"/>
                <w:sz w:val="21"/>
              </w:rPr>
              <w:t>type</w:t>
            </w:r>
          </w:p>
        </w:tc>
        <w:tc>
          <w:tcPr>
            <w:tcW w:w="1663" w:type="dxa"/>
          </w:tcPr>
          <w:p w14:paraId="3FE3780D" w14:textId="77777777" w:rsidR="00A720EB" w:rsidRDefault="0030286B">
            <w:pPr>
              <w:pStyle w:val="TableParagraph"/>
              <w:spacing w:before="94"/>
              <w:ind w:left="59"/>
              <w:rPr>
                <w:rFonts w:ascii="Cambria"/>
                <w:sz w:val="21"/>
              </w:rPr>
            </w:pPr>
            <w:r>
              <w:rPr>
                <w:rFonts w:ascii="Cambria"/>
                <w:color w:val="333333"/>
                <w:w w:val="110"/>
                <w:sz w:val="21"/>
              </w:rPr>
              <w:t>String</w:t>
            </w:r>
          </w:p>
        </w:tc>
        <w:tc>
          <w:tcPr>
            <w:tcW w:w="6651" w:type="dxa"/>
          </w:tcPr>
          <w:p w14:paraId="14815DAC" w14:textId="77777777" w:rsidR="00A720EB" w:rsidRDefault="0030286B">
            <w:pPr>
              <w:pStyle w:val="TableParagraph"/>
              <w:spacing w:before="94" w:line="290" w:lineRule="auto"/>
              <w:ind w:left="59" w:right="90"/>
              <w:rPr>
                <w:rFonts w:ascii="Cambria"/>
                <w:sz w:val="21"/>
              </w:rPr>
            </w:pPr>
            <w:r>
              <w:rPr>
                <w:rFonts w:ascii="Cambria"/>
                <w:color w:val="333333"/>
                <w:w w:val="110"/>
                <w:sz w:val="21"/>
              </w:rPr>
              <w:t xml:space="preserve">The full signature of the data type of the property (for example, </w:t>
            </w:r>
            <w:proofErr w:type="gramStart"/>
            <w:r>
              <w:rPr>
                <w:color w:val="B02045"/>
                <w:w w:val="110"/>
                <w:sz w:val="21"/>
              </w:rPr>
              <w:t>java.lang</w:t>
            </w:r>
            <w:proofErr w:type="gramEnd"/>
            <w:r>
              <w:rPr>
                <w:color w:val="B02045"/>
                <w:w w:val="110"/>
                <w:sz w:val="21"/>
              </w:rPr>
              <w:t>.String</w:t>
            </w:r>
            <w:r>
              <w:rPr>
                <w:rFonts w:ascii="Cambria"/>
                <w:color w:val="333333"/>
                <w:w w:val="110"/>
                <w:sz w:val="21"/>
              </w:rPr>
              <w:t xml:space="preserve">) but also a full generic type (such as </w:t>
            </w:r>
            <w:r>
              <w:rPr>
                <w:color w:val="B02045"/>
                <w:w w:val="105"/>
                <w:sz w:val="21"/>
              </w:rPr>
              <w:t>java.util.Map&lt;java.lang.String,acme.MyEnum&gt;</w:t>
            </w:r>
            <w:r>
              <w:rPr>
                <w:rFonts w:ascii="Cambria"/>
                <w:color w:val="333333"/>
                <w:w w:val="105"/>
                <w:sz w:val="21"/>
              </w:rPr>
              <w:t xml:space="preserve">). </w:t>
            </w:r>
            <w:r>
              <w:rPr>
                <w:rFonts w:ascii="Cambria"/>
                <w:color w:val="333333"/>
                <w:spacing w:val="-6"/>
                <w:w w:val="105"/>
                <w:sz w:val="21"/>
              </w:rPr>
              <w:t xml:space="preserve">You </w:t>
            </w:r>
            <w:r>
              <w:rPr>
                <w:rFonts w:ascii="Cambria"/>
                <w:color w:val="333333"/>
                <w:w w:val="105"/>
                <w:sz w:val="21"/>
              </w:rPr>
              <w:t xml:space="preserve">can use this </w:t>
            </w:r>
            <w:r>
              <w:rPr>
                <w:rFonts w:ascii="Cambria"/>
                <w:color w:val="333333"/>
                <w:w w:val="110"/>
                <w:sz w:val="21"/>
              </w:rPr>
              <w:t xml:space="preserve">attribute to guide the user as to the types of values that they can enter. </w:t>
            </w:r>
            <w:proofErr w:type="gramStart"/>
            <w:r>
              <w:rPr>
                <w:rFonts w:ascii="Cambria"/>
                <w:color w:val="333333"/>
                <w:spacing w:val="-4"/>
                <w:w w:val="110"/>
                <w:sz w:val="21"/>
              </w:rPr>
              <w:t xml:space="preserve">For  </w:t>
            </w:r>
            <w:r>
              <w:rPr>
                <w:rFonts w:ascii="Cambria"/>
                <w:color w:val="333333"/>
                <w:spacing w:val="-3"/>
                <w:w w:val="110"/>
                <w:sz w:val="21"/>
              </w:rPr>
              <w:t>consistency</w:t>
            </w:r>
            <w:proofErr w:type="gramEnd"/>
            <w:r>
              <w:rPr>
                <w:rFonts w:ascii="Cambria"/>
                <w:color w:val="333333"/>
                <w:spacing w:val="-3"/>
                <w:w w:val="110"/>
                <w:sz w:val="21"/>
              </w:rPr>
              <w:t xml:space="preserve">, </w:t>
            </w:r>
            <w:r>
              <w:rPr>
                <w:rFonts w:ascii="Cambria"/>
                <w:color w:val="333333"/>
                <w:w w:val="110"/>
                <w:sz w:val="21"/>
              </w:rPr>
              <w:t xml:space="preserve">the type of a primitive is specified </w:t>
            </w:r>
            <w:r>
              <w:rPr>
                <w:rFonts w:ascii="Cambria"/>
                <w:color w:val="333333"/>
                <w:spacing w:val="-3"/>
                <w:w w:val="110"/>
                <w:sz w:val="21"/>
              </w:rPr>
              <w:t xml:space="preserve">by  </w:t>
            </w:r>
            <w:r>
              <w:rPr>
                <w:rFonts w:ascii="Cambria"/>
                <w:color w:val="333333"/>
                <w:w w:val="110"/>
                <w:sz w:val="21"/>
              </w:rPr>
              <w:t xml:space="preserve">using its wrapper counterpart (for example, </w:t>
            </w:r>
            <w:r>
              <w:rPr>
                <w:color w:val="B02045"/>
                <w:w w:val="110"/>
                <w:sz w:val="21"/>
              </w:rPr>
              <w:t xml:space="preserve">boolean </w:t>
            </w:r>
            <w:r>
              <w:rPr>
                <w:rFonts w:ascii="Cambria"/>
                <w:color w:val="333333"/>
                <w:w w:val="110"/>
                <w:sz w:val="21"/>
              </w:rPr>
              <w:t xml:space="preserve">becomes </w:t>
            </w:r>
            <w:r>
              <w:rPr>
                <w:color w:val="B02045"/>
                <w:w w:val="110"/>
                <w:sz w:val="21"/>
              </w:rPr>
              <w:t>java.lang.Boolean</w:t>
            </w:r>
            <w:r>
              <w:rPr>
                <w:rFonts w:ascii="Cambria"/>
                <w:color w:val="333333"/>
                <w:w w:val="110"/>
                <w:sz w:val="21"/>
              </w:rPr>
              <w:t xml:space="preserve">). Note that this class may be a complex type that gets converted from a </w:t>
            </w:r>
            <w:r>
              <w:rPr>
                <w:color w:val="B02045"/>
                <w:w w:val="110"/>
                <w:sz w:val="21"/>
              </w:rPr>
              <w:t>String</w:t>
            </w:r>
            <w:r>
              <w:rPr>
                <w:color w:val="B02045"/>
                <w:spacing w:val="-51"/>
                <w:w w:val="110"/>
                <w:sz w:val="21"/>
              </w:rPr>
              <w:t xml:space="preserve"> </w:t>
            </w:r>
            <w:r>
              <w:rPr>
                <w:rFonts w:ascii="Cambria"/>
                <w:color w:val="333333"/>
                <w:w w:val="110"/>
                <w:sz w:val="21"/>
              </w:rPr>
              <w:t>as values are bound. If the type is not known, it may be</w:t>
            </w:r>
            <w:r>
              <w:rPr>
                <w:rFonts w:ascii="Cambria"/>
                <w:color w:val="333333"/>
                <w:spacing w:val="16"/>
                <w:w w:val="110"/>
                <w:sz w:val="21"/>
              </w:rPr>
              <w:t xml:space="preserve"> </w:t>
            </w:r>
            <w:r>
              <w:rPr>
                <w:rFonts w:ascii="Cambria"/>
                <w:color w:val="333333"/>
                <w:w w:val="110"/>
                <w:sz w:val="21"/>
              </w:rPr>
              <w:t>omitted.</w:t>
            </w:r>
          </w:p>
        </w:tc>
      </w:tr>
      <w:tr w:rsidR="00A720EB" w14:paraId="441FC2ED" w14:textId="77777777">
        <w:trPr>
          <w:trHeight w:val="1688"/>
        </w:trPr>
        <w:tc>
          <w:tcPr>
            <w:tcW w:w="1663" w:type="dxa"/>
          </w:tcPr>
          <w:p w14:paraId="2CCCC3FF" w14:textId="77777777" w:rsidR="00A720EB" w:rsidRDefault="0030286B">
            <w:pPr>
              <w:pStyle w:val="TableParagraph"/>
              <w:spacing w:before="40"/>
              <w:rPr>
                <w:sz w:val="21"/>
              </w:rPr>
            </w:pPr>
            <w:r>
              <w:rPr>
                <w:color w:val="B02045"/>
                <w:sz w:val="21"/>
              </w:rPr>
              <w:t>description</w:t>
            </w:r>
          </w:p>
        </w:tc>
        <w:tc>
          <w:tcPr>
            <w:tcW w:w="1663" w:type="dxa"/>
          </w:tcPr>
          <w:p w14:paraId="4687DFC2" w14:textId="77777777" w:rsidR="00A720EB" w:rsidRDefault="0030286B">
            <w:pPr>
              <w:pStyle w:val="TableParagraph"/>
              <w:spacing w:before="94"/>
              <w:ind w:left="59"/>
              <w:rPr>
                <w:rFonts w:ascii="Cambria"/>
                <w:sz w:val="21"/>
              </w:rPr>
            </w:pPr>
            <w:r>
              <w:rPr>
                <w:rFonts w:ascii="Cambria"/>
                <w:color w:val="333333"/>
                <w:w w:val="110"/>
                <w:sz w:val="21"/>
              </w:rPr>
              <w:t>String</w:t>
            </w:r>
          </w:p>
        </w:tc>
        <w:tc>
          <w:tcPr>
            <w:tcW w:w="6651" w:type="dxa"/>
          </w:tcPr>
          <w:p w14:paraId="659FF250" w14:textId="77777777" w:rsidR="00A720EB" w:rsidRDefault="0030286B">
            <w:pPr>
              <w:pStyle w:val="TableParagraph"/>
              <w:spacing w:before="41" w:line="316" w:lineRule="exact"/>
              <w:ind w:left="59" w:right="88"/>
              <w:rPr>
                <w:rFonts w:ascii="Cambria"/>
                <w:sz w:val="21"/>
              </w:rPr>
            </w:pPr>
            <w:r>
              <w:rPr>
                <w:rFonts w:ascii="Cambria"/>
                <w:color w:val="333333"/>
                <w:w w:val="110"/>
                <w:sz w:val="21"/>
              </w:rPr>
              <w:t xml:space="preserve">A short description of the property that can be displayed to users. If no description is available, it may be omitted. It is recommended that descriptions be short paragraphs, with the first line providing a concise </w:t>
            </w:r>
            <w:r>
              <w:rPr>
                <w:rFonts w:ascii="Cambria"/>
                <w:color w:val="333333"/>
                <w:spacing w:val="-4"/>
                <w:w w:val="110"/>
                <w:sz w:val="21"/>
              </w:rPr>
              <w:t xml:space="preserve">summary. </w:t>
            </w:r>
            <w:r>
              <w:rPr>
                <w:rFonts w:ascii="Cambria"/>
                <w:color w:val="333333"/>
                <w:w w:val="110"/>
                <w:sz w:val="21"/>
              </w:rPr>
              <w:t>The last line in the description should end with a period</w:t>
            </w:r>
            <w:r>
              <w:rPr>
                <w:rFonts w:ascii="Cambria"/>
                <w:color w:val="333333"/>
                <w:spacing w:val="14"/>
                <w:w w:val="110"/>
                <w:sz w:val="21"/>
              </w:rPr>
              <w:t xml:space="preserve"> </w:t>
            </w:r>
            <w:r>
              <w:rPr>
                <w:rFonts w:ascii="Cambria"/>
                <w:color w:val="333333"/>
                <w:w w:val="110"/>
                <w:sz w:val="21"/>
              </w:rPr>
              <w:t>(</w:t>
            </w:r>
            <w:r>
              <w:rPr>
                <w:color w:val="B02045"/>
                <w:w w:val="110"/>
                <w:sz w:val="21"/>
              </w:rPr>
              <w:t>.</w:t>
            </w:r>
            <w:r>
              <w:rPr>
                <w:rFonts w:ascii="Cambria"/>
                <w:color w:val="333333"/>
                <w:w w:val="110"/>
                <w:sz w:val="21"/>
              </w:rPr>
              <w:t>).</w:t>
            </w:r>
          </w:p>
        </w:tc>
      </w:tr>
      <w:tr w:rsidR="00A720EB" w14:paraId="7034733F" w14:textId="77777777">
        <w:trPr>
          <w:trHeight w:val="1688"/>
        </w:trPr>
        <w:tc>
          <w:tcPr>
            <w:tcW w:w="1663" w:type="dxa"/>
          </w:tcPr>
          <w:p w14:paraId="1185CC1A" w14:textId="77777777" w:rsidR="00A720EB" w:rsidRDefault="0030286B">
            <w:pPr>
              <w:pStyle w:val="TableParagraph"/>
              <w:spacing w:before="40"/>
              <w:rPr>
                <w:sz w:val="21"/>
              </w:rPr>
            </w:pPr>
            <w:r>
              <w:rPr>
                <w:color w:val="B02045"/>
                <w:sz w:val="21"/>
              </w:rPr>
              <w:t>sourceType</w:t>
            </w:r>
          </w:p>
        </w:tc>
        <w:tc>
          <w:tcPr>
            <w:tcW w:w="1663" w:type="dxa"/>
          </w:tcPr>
          <w:p w14:paraId="54F3B84B" w14:textId="77777777" w:rsidR="00A720EB" w:rsidRDefault="0030286B">
            <w:pPr>
              <w:pStyle w:val="TableParagraph"/>
              <w:spacing w:before="94"/>
              <w:ind w:left="59"/>
              <w:rPr>
                <w:rFonts w:ascii="Cambria"/>
                <w:sz w:val="21"/>
              </w:rPr>
            </w:pPr>
            <w:r>
              <w:rPr>
                <w:rFonts w:ascii="Cambria"/>
                <w:color w:val="333333"/>
                <w:w w:val="110"/>
                <w:sz w:val="21"/>
              </w:rPr>
              <w:t>String</w:t>
            </w:r>
          </w:p>
        </w:tc>
        <w:tc>
          <w:tcPr>
            <w:tcW w:w="6651" w:type="dxa"/>
          </w:tcPr>
          <w:p w14:paraId="24F1ED97" w14:textId="77777777" w:rsidR="00A720EB" w:rsidRDefault="0030286B">
            <w:pPr>
              <w:pStyle w:val="TableParagraph"/>
              <w:spacing w:before="94" w:line="300" w:lineRule="auto"/>
              <w:ind w:left="59" w:right="245"/>
              <w:rPr>
                <w:rFonts w:ascii="Cambria"/>
                <w:sz w:val="21"/>
              </w:rPr>
            </w:pPr>
            <w:r>
              <w:rPr>
                <w:rFonts w:ascii="Cambria"/>
                <w:color w:val="333333"/>
                <w:w w:val="110"/>
                <w:sz w:val="21"/>
              </w:rPr>
              <w:t xml:space="preserve">The class name of the source that contributed this </w:t>
            </w:r>
            <w:r>
              <w:rPr>
                <w:rFonts w:ascii="Cambria"/>
                <w:color w:val="333333"/>
                <w:spacing w:val="-3"/>
                <w:w w:val="110"/>
                <w:sz w:val="21"/>
              </w:rPr>
              <w:t xml:space="preserve">property. </w:t>
            </w:r>
            <w:r>
              <w:rPr>
                <w:rFonts w:ascii="Cambria"/>
                <w:color w:val="333333"/>
                <w:spacing w:val="-4"/>
                <w:w w:val="110"/>
                <w:sz w:val="21"/>
              </w:rPr>
              <w:t xml:space="preserve">For </w:t>
            </w:r>
            <w:r>
              <w:rPr>
                <w:rFonts w:ascii="Cambria"/>
                <w:color w:val="333333"/>
                <w:w w:val="110"/>
                <w:sz w:val="21"/>
              </w:rPr>
              <w:t xml:space="preserve">example, if the property were from a class annotated with </w:t>
            </w:r>
            <w:r>
              <w:rPr>
                <w:color w:val="B02045"/>
                <w:w w:val="110"/>
                <w:sz w:val="21"/>
              </w:rPr>
              <w:t>@ConfigurationProperties</w:t>
            </w:r>
            <w:r>
              <w:rPr>
                <w:rFonts w:ascii="Cambria"/>
                <w:color w:val="333333"/>
                <w:w w:val="110"/>
                <w:sz w:val="21"/>
              </w:rPr>
              <w:t>,</w:t>
            </w:r>
            <w:r>
              <w:rPr>
                <w:rFonts w:ascii="Cambria"/>
                <w:color w:val="333333"/>
                <w:spacing w:val="-29"/>
                <w:w w:val="110"/>
                <w:sz w:val="21"/>
              </w:rPr>
              <w:t xml:space="preserve"> </w:t>
            </w:r>
            <w:r>
              <w:rPr>
                <w:rFonts w:ascii="Cambria"/>
                <w:color w:val="333333"/>
                <w:w w:val="110"/>
                <w:sz w:val="21"/>
              </w:rPr>
              <w:t>this</w:t>
            </w:r>
            <w:r>
              <w:rPr>
                <w:rFonts w:ascii="Cambria"/>
                <w:color w:val="333333"/>
                <w:spacing w:val="-28"/>
                <w:w w:val="110"/>
                <w:sz w:val="21"/>
              </w:rPr>
              <w:t xml:space="preserve"> </w:t>
            </w:r>
            <w:r>
              <w:rPr>
                <w:rFonts w:ascii="Cambria"/>
                <w:color w:val="333333"/>
                <w:w w:val="110"/>
                <w:sz w:val="21"/>
              </w:rPr>
              <w:t>attribute</w:t>
            </w:r>
            <w:r>
              <w:rPr>
                <w:rFonts w:ascii="Cambria"/>
                <w:color w:val="333333"/>
                <w:spacing w:val="-28"/>
                <w:w w:val="110"/>
                <w:sz w:val="21"/>
              </w:rPr>
              <w:t xml:space="preserve"> </w:t>
            </w:r>
            <w:r>
              <w:rPr>
                <w:rFonts w:ascii="Cambria"/>
                <w:color w:val="333333"/>
                <w:w w:val="110"/>
                <w:sz w:val="21"/>
              </w:rPr>
              <w:t>would</w:t>
            </w:r>
            <w:r>
              <w:rPr>
                <w:rFonts w:ascii="Cambria"/>
                <w:color w:val="333333"/>
                <w:spacing w:val="-29"/>
                <w:w w:val="110"/>
                <w:sz w:val="21"/>
              </w:rPr>
              <w:t xml:space="preserve"> </w:t>
            </w:r>
            <w:r>
              <w:rPr>
                <w:rFonts w:ascii="Cambria"/>
                <w:color w:val="333333"/>
                <w:w w:val="110"/>
                <w:sz w:val="21"/>
              </w:rPr>
              <w:t>contain</w:t>
            </w:r>
            <w:r>
              <w:rPr>
                <w:rFonts w:ascii="Cambria"/>
                <w:color w:val="333333"/>
                <w:spacing w:val="-28"/>
                <w:w w:val="110"/>
                <w:sz w:val="21"/>
              </w:rPr>
              <w:t xml:space="preserve"> </w:t>
            </w:r>
            <w:r>
              <w:rPr>
                <w:rFonts w:ascii="Cambria"/>
                <w:color w:val="333333"/>
                <w:w w:val="110"/>
                <w:sz w:val="21"/>
              </w:rPr>
              <w:t>the</w:t>
            </w:r>
            <w:r>
              <w:rPr>
                <w:rFonts w:ascii="Cambria"/>
                <w:color w:val="333333"/>
                <w:spacing w:val="-28"/>
                <w:w w:val="110"/>
                <w:sz w:val="21"/>
              </w:rPr>
              <w:t xml:space="preserve"> </w:t>
            </w:r>
            <w:r>
              <w:rPr>
                <w:rFonts w:ascii="Cambria"/>
                <w:color w:val="333333"/>
                <w:w w:val="110"/>
                <w:sz w:val="21"/>
              </w:rPr>
              <w:t>fully qualified name of that class. If the source type is unknown, it may be</w:t>
            </w:r>
            <w:r>
              <w:rPr>
                <w:rFonts w:ascii="Cambria"/>
                <w:color w:val="333333"/>
                <w:spacing w:val="4"/>
                <w:w w:val="110"/>
                <w:sz w:val="21"/>
              </w:rPr>
              <w:t xml:space="preserve"> </w:t>
            </w:r>
            <w:r>
              <w:rPr>
                <w:rFonts w:ascii="Cambria"/>
                <w:color w:val="333333"/>
                <w:w w:val="110"/>
                <w:sz w:val="21"/>
              </w:rPr>
              <w:t>omitted.</w:t>
            </w:r>
          </w:p>
        </w:tc>
      </w:tr>
      <w:tr w:rsidR="00A720EB" w14:paraId="1A27A423" w14:textId="77777777">
        <w:trPr>
          <w:trHeight w:val="1056"/>
        </w:trPr>
        <w:tc>
          <w:tcPr>
            <w:tcW w:w="1663" w:type="dxa"/>
          </w:tcPr>
          <w:p w14:paraId="27363D56" w14:textId="77777777" w:rsidR="00A720EB" w:rsidRDefault="0030286B">
            <w:pPr>
              <w:pStyle w:val="TableParagraph"/>
              <w:spacing w:before="40"/>
              <w:rPr>
                <w:sz w:val="21"/>
              </w:rPr>
            </w:pPr>
            <w:r>
              <w:rPr>
                <w:color w:val="B02045"/>
                <w:sz w:val="21"/>
              </w:rPr>
              <w:t>defaultValue</w:t>
            </w:r>
          </w:p>
        </w:tc>
        <w:tc>
          <w:tcPr>
            <w:tcW w:w="1663" w:type="dxa"/>
          </w:tcPr>
          <w:p w14:paraId="66DBD30C" w14:textId="77777777" w:rsidR="00A720EB" w:rsidRDefault="0030286B">
            <w:pPr>
              <w:pStyle w:val="TableParagraph"/>
              <w:spacing w:before="94"/>
              <w:ind w:left="59"/>
              <w:rPr>
                <w:rFonts w:ascii="Cambria"/>
                <w:sz w:val="21"/>
              </w:rPr>
            </w:pPr>
            <w:r>
              <w:rPr>
                <w:rFonts w:ascii="Cambria"/>
                <w:color w:val="333333"/>
                <w:w w:val="110"/>
                <w:sz w:val="21"/>
              </w:rPr>
              <w:t>Object</w:t>
            </w:r>
          </w:p>
        </w:tc>
        <w:tc>
          <w:tcPr>
            <w:tcW w:w="6651" w:type="dxa"/>
          </w:tcPr>
          <w:p w14:paraId="1A3C6627" w14:textId="77777777" w:rsidR="00A720EB" w:rsidRDefault="0030286B">
            <w:pPr>
              <w:pStyle w:val="TableParagraph"/>
              <w:spacing w:before="31" w:line="310" w:lineRule="atLeast"/>
              <w:ind w:left="59" w:right="64"/>
              <w:jc w:val="both"/>
              <w:rPr>
                <w:rFonts w:ascii="Cambria"/>
                <w:sz w:val="21"/>
              </w:rPr>
            </w:pPr>
            <w:r>
              <w:rPr>
                <w:rFonts w:ascii="Cambria"/>
                <w:color w:val="333333"/>
                <w:w w:val="110"/>
                <w:sz w:val="21"/>
              </w:rPr>
              <w:t xml:space="preserve">The default value, which is used if the property is not specified. If the type of the property is an </w:t>
            </w:r>
            <w:r>
              <w:rPr>
                <w:rFonts w:ascii="Cambria"/>
                <w:color w:val="333333"/>
                <w:spacing w:val="-6"/>
                <w:w w:val="110"/>
                <w:sz w:val="21"/>
              </w:rPr>
              <w:t xml:space="preserve">array, </w:t>
            </w:r>
            <w:r>
              <w:rPr>
                <w:rFonts w:ascii="Cambria"/>
                <w:color w:val="333333"/>
                <w:w w:val="110"/>
                <w:sz w:val="21"/>
              </w:rPr>
              <w:t xml:space="preserve">it can be an </w:t>
            </w:r>
            <w:r>
              <w:rPr>
                <w:rFonts w:ascii="Cambria"/>
                <w:color w:val="333333"/>
                <w:spacing w:val="-3"/>
                <w:w w:val="110"/>
                <w:sz w:val="21"/>
              </w:rPr>
              <w:t xml:space="preserve">array </w:t>
            </w:r>
            <w:r>
              <w:rPr>
                <w:rFonts w:ascii="Cambria"/>
                <w:color w:val="333333"/>
                <w:w w:val="110"/>
                <w:sz w:val="21"/>
              </w:rPr>
              <w:t>of value(s). If the default value is unknown, it may be</w:t>
            </w:r>
            <w:r>
              <w:rPr>
                <w:rFonts w:ascii="Cambria"/>
                <w:color w:val="333333"/>
                <w:spacing w:val="39"/>
                <w:w w:val="110"/>
                <w:sz w:val="21"/>
              </w:rPr>
              <w:t xml:space="preserve"> </w:t>
            </w:r>
            <w:r>
              <w:rPr>
                <w:rFonts w:ascii="Cambria"/>
                <w:color w:val="333333"/>
                <w:w w:val="110"/>
                <w:sz w:val="21"/>
              </w:rPr>
              <w:t>omitted.</w:t>
            </w:r>
          </w:p>
        </w:tc>
      </w:tr>
    </w:tbl>
    <w:p w14:paraId="7DD08E81" w14:textId="77777777" w:rsidR="00A720EB" w:rsidRDefault="00A720EB">
      <w:pPr>
        <w:spacing w:line="310" w:lineRule="atLeast"/>
        <w:jc w:val="both"/>
        <w:rPr>
          <w:sz w:val="21"/>
        </w:rPr>
        <w:sectPr w:rsidR="00A720EB">
          <w:pgSz w:w="11910" w:h="16840"/>
          <w:pgMar w:top="700" w:right="840" w:bottom="52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02335F8E" w14:textId="77777777">
        <w:trPr>
          <w:trHeight w:val="415"/>
        </w:trPr>
        <w:tc>
          <w:tcPr>
            <w:tcW w:w="1663" w:type="dxa"/>
            <w:tcBorders>
              <w:bottom w:val="single" w:sz="12" w:space="0" w:color="DDDDDD"/>
            </w:tcBorders>
          </w:tcPr>
          <w:p w14:paraId="44F7E91E"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1663" w:type="dxa"/>
            <w:tcBorders>
              <w:bottom w:val="single" w:sz="12" w:space="0" w:color="DDDDDD"/>
            </w:tcBorders>
          </w:tcPr>
          <w:p w14:paraId="75B70048" w14:textId="77777777" w:rsidR="00A720EB" w:rsidRDefault="0030286B">
            <w:pPr>
              <w:pStyle w:val="TableParagraph"/>
              <w:spacing w:before="71"/>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0892C8F0" w14:textId="77777777" w:rsidR="00A720EB" w:rsidRDefault="0030286B">
            <w:pPr>
              <w:pStyle w:val="TableParagraph"/>
              <w:spacing w:before="71"/>
              <w:ind w:left="59"/>
              <w:rPr>
                <w:rFonts w:ascii="Palatino Linotype"/>
                <w:b/>
                <w:sz w:val="21"/>
              </w:rPr>
            </w:pPr>
            <w:r>
              <w:rPr>
                <w:rFonts w:ascii="Palatino Linotype"/>
                <w:b/>
                <w:color w:val="333333"/>
                <w:w w:val="110"/>
                <w:sz w:val="21"/>
              </w:rPr>
              <w:t>Purpose</w:t>
            </w:r>
          </w:p>
        </w:tc>
      </w:tr>
      <w:tr w:rsidR="00A720EB" w14:paraId="24400145" w14:textId="77777777">
        <w:trPr>
          <w:trHeight w:val="1362"/>
        </w:trPr>
        <w:tc>
          <w:tcPr>
            <w:tcW w:w="1663" w:type="dxa"/>
            <w:tcBorders>
              <w:top w:val="single" w:sz="12" w:space="0" w:color="DDDDDD"/>
            </w:tcBorders>
          </w:tcPr>
          <w:p w14:paraId="07E57F30" w14:textId="77777777" w:rsidR="00A720EB" w:rsidRDefault="0030286B">
            <w:pPr>
              <w:pStyle w:val="TableParagraph"/>
              <w:spacing w:before="27"/>
              <w:rPr>
                <w:sz w:val="21"/>
              </w:rPr>
            </w:pPr>
            <w:r>
              <w:rPr>
                <w:color w:val="B02045"/>
                <w:sz w:val="21"/>
              </w:rPr>
              <w:t>deprecation</w:t>
            </w:r>
          </w:p>
        </w:tc>
        <w:tc>
          <w:tcPr>
            <w:tcW w:w="1663" w:type="dxa"/>
            <w:tcBorders>
              <w:top w:val="single" w:sz="12" w:space="0" w:color="DDDDDD"/>
            </w:tcBorders>
          </w:tcPr>
          <w:p w14:paraId="0A4D1B8D" w14:textId="77777777" w:rsidR="00A720EB" w:rsidRDefault="0030286B">
            <w:pPr>
              <w:pStyle w:val="TableParagraph"/>
              <w:spacing w:before="82"/>
              <w:ind w:left="59"/>
              <w:rPr>
                <w:rFonts w:ascii="Cambria"/>
                <w:sz w:val="21"/>
              </w:rPr>
            </w:pPr>
            <w:r>
              <w:rPr>
                <w:rFonts w:ascii="Cambria"/>
                <w:color w:val="333333"/>
                <w:w w:val="110"/>
                <w:sz w:val="21"/>
              </w:rPr>
              <w:t>Deprecation</w:t>
            </w:r>
          </w:p>
        </w:tc>
        <w:tc>
          <w:tcPr>
            <w:tcW w:w="6651" w:type="dxa"/>
            <w:tcBorders>
              <w:top w:val="single" w:sz="12" w:space="0" w:color="DDDDDD"/>
            </w:tcBorders>
          </w:tcPr>
          <w:p w14:paraId="4B26A2CA" w14:textId="77777777" w:rsidR="00A720EB" w:rsidRDefault="0030286B">
            <w:pPr>
              <w:pStyle w:val="TableParagraph"/>
              <w:spacing w:before="82" w:line="297" w:lineRule="auto"/>
              <w:ind w:left="59" w:right="185"/>
              <w:rPr>
                <w:rFonts w:ascii="Cambria"/>
                <w:sz w:val="21"/>
              </w:rPr>
            </w:pPr>
            <w:r>
              <w:rPr>
                <w:rFonts w:ascii="Cambria"/>
                <w:color w:val="333333"/>
                <w:w w:val="110"/>
                <w:sz w:val="21"/>
              </w:rPr>
              <w:t xml:space="preserve">Specify whether the property is deprecated. If the field is not deprecated or if that information is not known, it may be omitted. The next table offers more detail about the </w:t>
            </w:r>
            <w:r>
              <w:rPr>
                <w:color w:val="B02045"/>
                <w:w w:val="110"/>
                <w:sz w:val="21"/>
              </w:rPr>
              <w:t xml:space="preserve">deprecation </w:t>
            </w:r>
            <w:r>
              <w:rPr>
                <w:rFonts w:ascii="Cambria"/>
                <w:color w:val="333333"/>
                <w:w w:val="110"/>
                <w:sz w:val="21"/>
              </w:rPr>
              <w:t>attribute.</w:t>
            </w:r>
          </w:p>
        </w:tc>
      </w:tr>
    </w:tbl>
    <w:p w14:paraId="467D7780" w14:textId="77777777" w:rsidR="00A720EB" w:rsidRDefault="00A720EB">
      <w:pPr>
        <w:pStyle w:val="a3"/>
        <w:spacing w:before="5"/>
        <w:rPr>
          <w:sz w:val="12"/>
        </w:rPr>
      </w:pPr>
    </w:p>
    <w:p w14:paraId="565E559F" w14:textId="77777777" w:rsidR="00A720EB" w:rsidRDefault="0030286B">
      <w:pPr>
        <w:pStyle w:val="a3"/>
        <w:spacing w:before="115" w:line="290" w:lineRule="auto"/>
        <w:ind w:left="124" w:right="122"/>
        <w:jc w:val="both"/>
      </w:pPr>
      <w:r>
        <w:rPr>
          <w:color w:val="333333"/>
          <w:w w:val="110"/>
        </w:rPr>
        <w:t xml:space="preserve">The JSON object contained in the </w:t>
      </w:r>
      <w:r>
        <w:rPr>
          <w:rFonts w:ascii="MS Gothic"/>
          <w:color w:val="B02045"/>
          <w:w w:val="110"/>
        </w:rPr>
        <w:t xml:space="preserve">deprecation </w:t>
      </w:r>
      <w:r>
        <w:rPr>
          <w:color w:val="333333"/>
          <w:w w:val="110"/>
        </w:rPr>
        <w:t xml:space="preserve">attribute of each </w:t>
      </w:r>
      <w:proofErr w:type="gramStart"/>
      <w:r>
        <w:rPr>
          <w:rFonts w:ascii="MS Gothic"/>
          <w:color w:val="B02045"/>
          <w:w w:val="110"/>
        </w:rPr>
        <w:t>properties</w:t>
      </w:r>
      <w:proofErr w:type="gramEnd"/>
      <w:r>
        <w:rPr>
          <w:rFonts w:ascii="MS Gothic"/>
          <w:color w:val="B02045"/>
          <w:w w:val="110"/>
        </w:rPr>
        <w:t xml:space="preserve"> </w:t>
      </w:r>
      <w:r>
        <w:rPr>
          <w:color w:val="333333"/>
          <w:w w:val="110"/>
        </w:rPr>
        <w:t>element can contain the following attributes:</w:t>
      </w:r>
    </w:p>
    <w:p w14:paraId="7C0792B8" w14:textId="77777777" w:rsidR="00A720EB" w:rsidRDefault="00A720EB">
      <w:pPr>
        <w:pStyle w:val="a3"/>
        <w:spacing w:before="3"/>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57F45F9C" w14:textId="77777777">
        <w:trPr>
          <w:trHeight w:val="415"/>
        </w:trPr>
        <w:tc>
          <w:tcPr>
            <w:tcW w:w="1663" w:type="dxa"/>
            <w:tcBorders>
              <w:bottom w:val="single" w:sz="12" w:space="0" w:color="DDDDDD"/>
            </w:tcBorders>
          </w:tcPr>
          <w:p w14:paraId="49949481"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1663" w:type="dxa"/>
            <w:tcBorders>
              <w:bottom w:val="single" w:sz="12" w:space="0" w:color="DDDDDD"/>
            </w:tcBorders>
          </w:tcPr>
          <w:p w14:paraId="6411F5D9" w14:textId="77777777" w:rsidR="00A720EB" w:rsidRDefault="0030286B">
            <w:pPr>
              <w:pStyle w:val="TableParagraph"/>
              <w:spacing w:before="74"/>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20116FA2" w14:textId="77777777" w:rsidR="00A720EB" w:rsidRDefault="0030286B">
            <w:pPr>
              <w:pStyle w:val="TableParagraph"/>
              <w:spacing w:before="74"/>
              <w:ind w:left="59"/>
              <w:rPr>
                <w:rFonts w:ascii="Palatino Linotype"/>
                <w:b/>
                <w:sz w:val="21"/>
              </w:rPr>
            </w:pPr>
            <w:r>
              <w:rPr>
                <w:rFonts w:ascii="Palatino Linotype"/>
                <w:b/>
                <w:color w:val="333333"/>
                <w:w w:val="110"/>
                <w:sz w:val="21"/>
              </w:rPr>
              <w:t>Purpose</w:t>
            </w:r>
          </w:p>
        </w:tc>
      </w:tr>
      <w:tr w:rsidR="00A720EB" w14:paraId="3FB18250" w14:textId="77777777">
        <w:trPr>
          <w:trHeight w:val="1677"/>
        </w:trPr>
        <w:tc>
          <w:tcPr>
            <w:tcW w:w="1663" w:type="dxa"/>
            <w:tcBorders>
              <w:top w:val="single" w:sz="12" w:space="0" w:color="DDDDDD"/>
            </w:tcBorders>
          </w:tcPr>
          <w:p w14:paraId="5504C1A2" w14:textId="77777777" w:rsidR="00A720EB" w:rsidRDefault="0030286B">
            <w:pPr>
              <w:pStyle w:val="TableParagraph"/>
              <w:spacing w:before="30"/>
              <w:rPr>
                <w:sz w:val="21"/>
              </w:rPr>
            </w:pPr>
            <w:r>
              <w:rPr>
                <w:color w:val="B02045"/>
                <w:sz w:val="21"/>
              </w:rPr>
              <w:t>level</w:t>
            </w:r>
          </w:p>
        </w:tc>
        <w:tc>
          <w:tcPr>
            <w:tcW w:w="1663" w:type="dxa"/>
            <w:tcBorders>
              <w:top w:val="single" w:sz="12" w:space="0" w:color="DDDDDD"/>
            </w:tcBorders>
          </w:tcPr>
          <w:p w14:paraId="32853526" w14:textId="77777777" w:rsidR="00A720EB" w:rsidRDefault="0030286B">
            <w:pPr>
              <w:pStyle w:val="TableParagraph"/>
              <w:spacing w:before="84"/>
              <w:ind w:left="59"/>
              <w:rPr>
                <w:rFonts w:ascii="Cambria"/>
                <w:sz w:val="21"/>
              </w:rPr>
            </w:pPr>
            <w:r>
              <w:rPr>
                <w:rFonts w:ascii="Cambria"/>
                <w:color w:val="333333"/>
                <w:w w:val="110"/>
                <w:sz w:val="21"/>
              </w:rPr>
              <w:t>String</w:t>
            </w:r>
          </w:p>
        </w:tc>
        <w:tc>
          <w:tcPr>
            <w:tcW w:w="6651" w:type="dxa"/>
            <w:tcBorders>
              <w:top w:val="single" w:sz="12" w:space="0" w:color="DDDDDD"/>
            </w:tcBorders>
          </w:tcPr>
          <w:p w14:paraId="3B54CFB7" w14:textId="77777777" w:rsidR="00A720EB" w:rsidRDefault="0030286B">
            <w:pPr>
              <w:pStyle w:val="TableParagraph"/>
              <w:spacing w:before="74" w:line="290" w:lineRule="auto"/>
              <w:ind w:left="59" w:right="165"/>
              <w:rPr>
                <w:rFonts w:ascii="Cambria"/>
                <w:sz w:val="21"/>
              </w:rPr>
            </w:pPr>
            <w:r>
              <w:rPr>
                <w:rFonts w:ascii="Cambria"/>
                <w:color w:val="333333"/>
                <w:w w:val="110"/>
                <w:sz w:val="21"/>
              </w:rPr>
              <w:t xml:space="preserve">The level of deprecation, which can be either </w:t>
            </w:r>
            <w:r>
              <w:rPr>
                <w:color w:val="B02045"/>
                <w:w w:val="110"/>
                <w:sz w:val="21"/>
              </w:rPr>
              <w:t xml:space="preserve">warning </w:t>
            </w:r>
            <w:r>
              <w:rPr>
                <w:rFonts w:ascii="Cambria"/>
                <w:color w:val="333333"/>
                <w:w w:val="110"/>
                <w:sz w:val="21"/>
              </w:rPr>
              <w:t xml:space="preserve">(the default) or </w:t>
            </w:r>
            <w:r>
              <w:rPr>
                <w:color w:val="B02045"/>
                <w:w w:val="110"/>
                <w:sz w:val="21"/>
              </w:rPr>
              <w:t>error</w:t>
            </w:r>
            <w:r>
              <w:rPr>
                <w:rFonts w:ascii="Cambria"/>
                <w:color w:val="333333"/>
                <w:w w:val="110"/>
                <w:sz w:val="21"/>
              </w:rPr>
              <w:t xml:space="preserve">. When a property has a </w:t>
            </w:r>
            <w:r>
              <w:rPr>
                <w:color w:val="B02045"/>
                <w:w w:val="110"/>
                <w:sz w:val="21"/>
              </w:rPr>
              <w:t xml:space="preserve">warning </w:t>
            </w:r>
            <w:r>
              <w:rPr>
                <w:rFonts w:ascii="Cambria"/>
                <w:color w:val="333333"/>
                <w:w w:val="110"/>
                <w:sz w:val="21"/>
              </w:rPr>
              <w:t xml:space="preserve">deprecation level, it should still be bound in the environment. </w:t>
            </w:r>
            <w:proofErr w:type="gramStart"/>
            <w:r>
              <w:rPr>
                <w:rFonts w:ascii="Cambria"/>
                <w:color w:val="333333"/>
                <w:w w:val="110"/>
                <w:sz w:val="21"/>
              </w:rPr>
              <w:t>However,  when</w:t>
            </w:r>
            <w:proofErr w:type="gramEnd"/>
            <w:r>
              <w:rPr>
                <w:rFonts w:ascii="Cambria"/>
                <w:color w:val="333333"/>
                <w:w w:val="110"/>
                <w:sz w:val="21"/>
              </w:rPr>
              <w:t xml:space="preserve"> it has an </w:t>
            </w:r>
            <w:r>
              <w:rPr>
                <w:color w:val="B02045"/>
                <w:w w:val="110"/>
                <w:sz w:val="21"/>
              </w:rPr>
              <w:t>error</w:t>
            </w:r>
            <w:r>
              <w:rPr>
                <w:color w:val="B02045"/>
                <w:spacing w:val="-43"/>
                <w:w w:val="110"/>
                <w:sz w:val="21"/>
              </w:rPr>
              <w:t xml:space="preserve"> </w:t>
            </w:r>
            <w:r>
              <w:rPr>
                <w:rFonts w:ascii="Cambria"/>
                <w:color w:val="333333"/>
                <w:w w:val="110"/>
                <w:sz w:val="21"/>
              </w:rPr>
              <w:t>deprecation level, the property is no longer managed and is not</w:t>
            </w:r>
            <w:r>
              <w:rPr>
                <w:rFonts w:ascii="Cambria"/>
                <w:color w:val="333333"/>
                <w:spacing w:val="12"/>
                <w:w w:val="110"/>
                <w:sz w:val="21"/>
              </w:rPr>
              <w:t xml:space="preserve"> </w:t>
            </w:r>
            <w:r>
              <w:rPr>
                <w:rFonts w:ascii="Cambria"/>
                <w:color w:val="333333"/>
                <w:w w:val="110"/>
                <w:sz w:val="21"/>
              </w:rPr>
              <w:t>bound.</w:t>
            </w:r>
          </w:p>
        </w:tc>
      </w:tr>
      <w:tr w:rsidR="00A720EB" w14:paraId="26AD4CED" w14:textId="77777777">
        <w:trPr>
          <w:trHeight w:val="1687"/>
        </w:trPr>
        <w:tc>
          <w:tcPr>
            <w:tcW w:w="1663" w:type="dxa"/>
          </w:tcPr>
          <w:p w14:paraId="17E100F2" w14:textId="77777777" w:rsidR="00A720EB" w:rsidRDefault="0030286B">
            <w:pPr>
              <w:pStyle w:val="TableParagraph"/>
              <w:spacing w:before="40"/>
              <w:rPr>
                <w:sz w:val="21"/>
              </w:rPr>
            </w:pPr>
            <w:r>
              <w:rPr>
                <w:color w:val="B02045"/>
                <w:sz w:val="21"/>
              </w:rPr>
              <w:t>reason</w:t>
            </w:r>
          </w:p>
        </w:tc>
        <w:tc>
          <w:tcPr>
            <w:tcW w:w="1663" w:type="dxa"/>
          </w:tcPr>
          <w:p w14:paraId="2DEDFB23" w14:textId="77777777" w:rsidR="00A720EB" w:rsidRDefault="0030286B">
            <w:pPr>
              <w:pStyle w:val="TableParagraph"/>
              <w:spacing w:before="94"/>
              <w:ind w:left="59"/>
              <w:rPr>
                <w:rFonts w:ascii="Cambria"/>
                <w:sz w:val="21"/>
              </w:rPr>
            </w:pPr>
            <w:r>
              <w:rPr>
                <w:rFonts w:ascii="Cambria"/>
                <w:color w:val="333333"/>
                <w:w w:val="110"/>
                <w:sz w:val="21"/>
              </w:rPr>
              <w:t>String</w:t>
            </w:r>
          </w:p>
        </w:tc>
        <w:tc>
          <w:tcPr>
            <w:tcW w:w="6651" w:type="dxa"/>
          </w:tcPr>
          <w:p w14:paraId="1DC84289" w14:textId="77777777" w:rsidR="00A720EB" w:rsidRDefault="0030286B">
            <w:pPr>
              <w:pStyle w:val="TableParagraph"/>
              <w:spacing w:before="41" w:line="316" w:lineRule="exact"/>
              <w:ind w:left="59" w:right="165"/>
              <w:rPr>
                <w:rFonts w:ascii="Cambria"/>
                <w:sz w:val="21"/>
              </w:rPr>
            </w:pPr>
            <w:r>
              <w:rPr>
                <w:rFonts w:ascii="Cambria"/>
                <w:color w:val="333333"/>
                <w:w w:val="110"/>
                <w:sz w:val="21"/>
              </w:rPr>
              <w:t>A short description of the reason why the property was deprecated. If no reason is available, it may be omitted. It is recommended that descriptions be short paragraphs, with the first line providing a concise summary. The last line in the description should end with a period (</w:t>
            </w:r>
            <w:r>
              <w:rPr>
                <w:color w:val="B02045"/>
                <w:w w:val="110"/>
                <w:sz w:val="21"/>
              </w:rPr>
              <w:t>.</w:t>
            </w:r>
            <w:r>
              <w:rPr>
                <w:rFonts w:ascii="Cambria"/>
                <w:color w:val="333333"/>
                <w:w w:val="110"/>
                <w:sz w:val="21"/>
              </w:rPr>
              <w:t>).</w:t>
            </w:r>
          </w:p>
        </w:tc>
      </w:tr>
      <w:tr w:rsidR="00A720EB" w14:paraId="4212F8BC" w14:textId="77777777">
        <w:trPr>
          <w:trHeight w:val="1056"/>
        </w:trPr>
        <w:tc>
          <w:tcPr>
            <w:tcW w:w="1663" w:type="dxa"/>
          </w:tcPr>
          <w:p w14:paraId="616CDAB1" w14:textId="77777777" w:rsidR="00A720EB" w:rsidRDefault="0030286B">
            <w:pPr>
              <w:pStyle w:val="TableParagraph"/>
              <w:spacing w:before="40"/>
              <w:rPr>
                <w:sz w:val="21"/>
              </w:rPr>
            </w:pPr>
            <w:r>
              <w:rPr>
                <w:color w:val="B02045"/>
                <w:sz w:val="21"/>
              </w:rPr>
              <w:t>replacement</w:t>
            </w:r>
          </w:p>
        </w:tc>
        <w:tc>
          <w:tcPr>
            <w:tcW w:w="1663" w:type="dxa"/>
          </w:tcPr>
          <w:p w14:paraId="280E93CA" w14:textId="77777777" w:rsidR="00A720EB" w:rsidRDefault="0030286B">
            <w:pPr>
              <w:pStyle w:val="TableParagraph"/>
              <w:spacing w:before="94"/>
              <w:ind w:left="59"/>
              <w:rPr>
                <w:rFonts w:ascii="Cambria"/>
                <w:sz w:val="21"/>
              </w:rPr>
            </w:pPr>
            <w:r>
              <w:rPr>
                <w:rFonts w:ascii="Cambria"/>
                <w:color w:val="333333"/>
                <w:w w:val="110"/>
                <w:sz w:val="21"/>
              </w:rPr>
              <w:t>String</w:t>
            </w:r>
          </w:p>
        </w:tc>
        <w:tc>
          <w:tcPr>
            <w:tcW w:w="6651" w:type="dxa"/>
          </w:tcPr>
          <w:p w14:paraId="52487DE7" w14:textId="77777777" w:rsidR="00A720EB" w:rsidRDefault="0030286B">
            <w:pPr>
              <w:pStyle w:val="TableParagraph"/>
              <w:spacing w:before="74" w:line="295" w:lineRule="auto"/>
              <w:ind w:left="59"/>
              <w:rPr>
                <w:rFonts w:ascii="Cambria"/>
                <w:sz w:val="21"/>
              </w:rPr>
            </w:pPr>
            <w:r>
              <w:rPr>
                <w:rFonts w:ascii="Cambria"/>
                <w:color w:val="333333"/>
                <w:w w:val="110"/>
                <w:sz w:val="21"/>
              </w:rPr>
              <w:t xml:space="preserve">The full name of the property that </w:t>
            </w:r>
            <w:r>
              <w:rPr>
                <w:rFonts w:ascii="Palatino Linotype"/>
                <w:i/>
                <w:color w:val="333333"/>
                <w:w w:val="110"/>
                <w:sz w:val="21"/>
              </w:rPr>
              <w:t xml:space="preserve">replaces </w:t>
            </w:r>
            <w:r>
              <w:rPr>
                <w:rFonts w:ascii="Cambria"/>
                <w:color w:val="333333"/>
                <w:w w:val="110"/>
                <w:sz w:val="21"/>
              </w:rPr>
              <w:t>this deprecated property. If there is no replacement for this property, it may be omitted.</w:t>
            </w:r>
          </w:p>
        </w:tc>
      </w:tr>
    </w:tbl>
    <w:p w14:paraId="6CDD1AC3" w14:textId="77777777" w:rsidR="00A720EB" w:rsidRDefault="00A720EB">
      <w:pPr>
        <w:pStyle w:val="a3"/>
        <w:spacing w:before="4"/>
        <w:rPr>
          <w:sz w:val="29"/>
        </w:rPr>
      </w:pPr>
    </w:p>
    <w:p w14:paraId="79589C34" w14:textId="77777777" w:rsidR="00A720EB" w:rsidRDefault="00E10349">
      <w:pPr>
        <w:pStyle w:val="a3"/>
        <w:spacing w:line="290" w:lineRule="auto"/>
        <w:ind w:left="1564" w:right="367"/>
        <w:jc w:val="both"/>
      </w:pPr>
      <w:r>
        <w:pict w14:anchorId="5C2FFE19">
          <v:line id="_x0000_s1160" style="position:absolute;left:0;text-align:left;z-index:16436224;mso-position-horizontal-relative:page" from="108.25pt,-5.45pt" to="108.25pt,65.65pt" strokecolor="#ededed" strokeweight=".5pt">
            <w10:wrap anchorx="page"/>
          </v:line>
        </w:pict>
      </w:r>
      <w:r w:rsidR="0030286B">
        <w:rPr>
          <w:noProof/>
        </w:rPr>
        <w:drawing>
          <wp:anchor distT="0" distB="0" distL="0" distR="0" simplePos="0" relativeHeight="16436736" behindDoc="0" locked="0" layoutInCell="1" allowOverlap="1" wp14:anchorId="3833E1D8" wp14:editId="396BF05D">
            <wp:simplePos x="0" y="0"/>
            <wp:positionH relativeFrom="page">
              <wp:posOffset>844422</wp:posOffset>
            </wp:positionH>
            <wp:positionV relativeFrom="paragraph">
              <wp:posOffset>232994</wp:posOffset>
            </wp:positionV>
            <wp:extent cx="298450" cy="298450"/>
            <wp:effectExtent l="0" t="0" r="0" b="0"/>
            <wp:wrapNone/>
            <wp:docPr id="7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Prior to Spring Boot 1.3, a single </w:t>
      </w:r>
      <w:r w:rsidR="0030286B">
        <w:rPr>
          <w:rFonts w:ascii="MS Gothic"/>
          <w:color w:val="B02045"/>
          <w:w w:val="110"/>
        </w:rPr>
        <w:t xml:space="preserve">deprecated </w:t>
      </w:r>
      <w:r w:rsidR="0030286B">
        <w:rPr>
          <w:color w:val="333333"/>
          <w:w w:val="110"/>
        </w:rPr>
        <w:t xml:space="preserve">boolean attribute can be used instead of the </w:t>
      </w:r>
      <w:r w:rsidR="0030286B">
        <w:rPr>
          <w:rFonts w:ascii="MS Gothic"/>
          <w:color w:val="B02045"/>
          <w:w w:val="110"/>
        </w:rPr>
        <w:t xml:space="preserve">deprecation </w:t>
      </w:r>
      <w:r w:rsidR="0030286B">
        <w:rPr>
          <w:color w:val="333333"/>
          <w:w w:val="110"/>
        </w:rPr>
        <w:t xml:space="preserve">element. This is still supported in a deprecated fashion and should no longer be used. If no reason and replacement are available, an empty </w:t>
      </w:r>
      <w:r w:rsidR="0030286B">
        <w:rPr>
          <w:rFonts w:ascii="MS Gothic"/>
          <w:color w:val="B02045"/>
          <w:w w:val="110"/>
        </w:rPr>
        <w:t>deprecation</w:t>
      </w:r>
      <w:r w:rsidR="0030286B">
        <w:rPr>
          <w:rFonts w:ascii="MS Gothic"/>
          <w:color w:val="B02045"/>
          <w:spacing w:val="-58"/>
          <w:w w:val="110"/>
        </w:rPr>
        <w:t xml:space="preserve"> </w:t>
      </w:r>
      <w:r w:rsidR="0030286B">
        <w:rPr>
          <w:color w:val="333333"/>
          <w:w w:val="110"/>
        </w:rPr>
        <w:t>object should be set.</w:t>
      </w:r>
    </w:p>
    <w:p w14:paraId="576D7059" w14:textId="77777777" w:rsidR="00A720EB" w:rsidRDefault="00A720EB">
      <w:pPr>
        <w:pStyle w:val="a3"/>
        <w:spacing w:before="2"/>
        <w:rPr>
          <w:sz w:val="27"/>
        </w:rPr>
      </w:pPr>
    </w:p>
    <w:p w14:paraId="1C7BF11B" w14:textId="77777777" w:rsidR="00A720EB" w:rsidRDefault="0030286B">
      <w:pPr>
        <w:pStyle w:val="a3"/>
        <w:spacing w:line="288" w:lineRule="auto"/>
        <w:ind w:left="124" w:right="126"/>
        <w:jc w:val="both"/>
      </w:pPr>
      <w:proofErr w:type="gramStart"/>
      <w:r>
        <w:rPr>
          <w:color w:val="333333"/>
          <w:w w:val="110"/>
        </w:rPr>
        <w:t>Deprecation  can</w:t>
      </w:r>
      <w:proofErr w:type="gramEnd"/>
      <w:r>
        <w:rPr>
          <w:color w:val="333333"/>
          <w:w w:val="110"/>
        </w:rPr>
        <w:t xml:space="preserve">  also  be  specified  declaratively  in  code  </w:t>
      </w:r>
      <w:r>
        <w:rPr>
          <w:color w:val="333333"/>
          <w:spacing w:val="-3"/>
          <w:w w:val="110"/>
        </w:rPr>
        <w:t xml:space="preserve">by </w:t>
      </w:r>
      <w:r>
        <w:rPr>
          <w:color w:val="333333"/>
          <w:w w:val="110"/>
        </w:rPr>
        <w:t xml:space="preserve">adding  the </w:t>
      </w:r>
      <w:r>
        <w:rPr>
          <w:rFonts w:ascii="MS Gothic"/>
          <w:color w:val="B02045"/>
          <w:w w:val="110"/>
        </w:rPr>
        <w:t xml:space="preserve">@DeprecatedConfigurationProperty </w:t>
      </w:r>
      <w:r>
        <w:rPr>
          <w:color w:val="333333"/>
          <w:w w:val="110"/>
        </w:rPr>
        <w:t xml:space="preserve">annotation to the getter exposing the deprecated </w:t>
      </w:r>
      <w:r>
        <w:rPr>
          <w:color w:val="333333"/>
          <w:spacing w:val="-3"/>
          <w:w w:val="110"/>
        </w:rPr>
        <w:t xml:space="preserve">property. </w:t>
      </w:r>
      <w:r>
        <w:rPr>
          <w:color w:val="333333"/>
          <w:spacing w:val="-4"/>
          <w:w w:val="110"/>
        </w:rPr>
        <w:t xml:space="preserve">For </w:t>
      </w:r>
      <w:r>
        <w:rPr>
          <w:color w:val="333333"/>
          <w:w w:val="110"/>
        </w:rPr>
        <w:t xml:space="preserve">instance, assume that the </w:t>
      </w:r>
      <w:proofErr w:type="gramStart"/>
      <w:r>
        <w:rPr>
          <w:rFonts w:ascii="MS Gothic"/>
          <w:color w:val="B02045"/>
          <w:w w:val="110"/>
        </w:rPr>
        <w:t>app.acme</w:t>
      </w:r>
      <w:proofErr w:type="gramEnd"/>
      <w:r>
        <w:rPr>
          <w:rFonts w:ascii="MS Gothic"/>
          <w:color w:val="B02045"/>
          <w:w w:val="110"/>
        </w:rPr>
        <w:t xml:space="preserve">.target </w:t>
      </w:r>
      <w:r>
        <w:rPr>
          <w:color w:val="333333"/>
          <w:w w:val="110"/>
        </w:rPr>
        <w:t xml:space="preserve">property was confusing and was renamed to </w:t>
      </w:r>
      <w:r>
        <w:rPr>
          <w:rFonts w:ascii="MS Gothic"/>
          <w:color w:val="B02045"/>
          <w:w w:val="110"/>
        </w:rPr>
        <w:t>app.acme.name</w:t>
      </w:r>
      <w:r>
        <w:rPr>
          <w:color w:val="333333"/>
          <w:w w:val="110"/>
        </w:rPr>
        <w:t>. The following example shows how to handle that situation:</w:t>
      </w:r>
    </w:p>
    <w:p w14:paraId="59DD6C6D" w14:textId="77777777" w:rsidR="00A720EB" w:rsidRDefault="00A720EB">
      <w:pPr>
        <w:spacing w:line="288" w:lineRule="auto"/>
        <w:jc w:val="both"/>
        <w:sectPr w:rsidR="00A720EB">
          <w:pgSz w:w="11910" w:h="16840"/>
          <w:pgMar w:top="700" w:right="840" w:bottom="520" w:left="840" w:header="0" w:footer="198" w:gutter="0"/>
          <w:cols w:space="720"/>
        </w:sectPr>
      </w:pPr>
    </w:p>
    <w:p w14:paraId="1E9586B7" w14:textId="77777777" w:rsidR="00A720EB" w:rsidRDefault="00E10349">
      <w:pPr>
        <w:pStyle w:val="a3"/>
        <w:ind w:left="116"/>
        <w:rPr>
          <w:sz w:val="20"/>
        </w:rPr>
      </w:pPr>
      <w:r>
        <w:rPr>
          <w:sz w:val="20"/>
        </w:rPr>
      </w:r>
      <w:r>
        <w:rPr>
          <w:sz w:val="20"/>
        </w:rPr>
        <w:pict w14:anchorId="427D2E1E">
          <v:group id="_x0000_s1156" style="width:499.55pt;height:317.55pt;mso-position-horizontal-relative:char;mso-position-vertical-relative:line" coordsize="9991,6351">
            <v:shape id="_x0000_s1159" style="position:absolute;left:7;top:7;width:9976;height:6336" coordorigin="8,8" coordsize="9976,6336" path="m9904,8l88,8,56,14,31,31,14,56,8,88r,6176l14,6295r17,25l56,6337r32,7l9904,6344r31,-7l9960,6320r17,-25l9984,6264r,-6176l9977,56,9960,31,9935,14,9904,8xe" fillcolor="#f5f5f5" stroked="f">
              <v:path arrowok="t"/>
            </v:shape>
            <v:shape id="_x0000_s1158" style="position:absolute;left:7;top:7;width:9976;height:6336" coordorigin="8,8" coordsize="9976,6336" path="m88,8r9816,l9935,14r25,17l9977,56r7,32l9984,6264r-7,31l9960,6320r-25,17l9904,6344r-9816,l56,6337,31,6320,14,6295,8,6264,8,88,14,56,31,31,56,14,88,8xe" filled="f" strokecolor="#ccc">
              <v:path arrowok="t"/>
            </v:shape>
            <v:shape id="_x0000_s1157" type="#_x0000_t202" style="position:absolute;left:26;top:22;width:9938;height:6306" filled="f" stroked="f">
              <v:textbox inset="0,0,0,0">
                <w:txbxContent>
                  <w:p w14:paraId="5CB23E8A" w14:textId="77777777" w:rsidR="00711A16" w:rsidRDefault="00711A16">
                    <w:pPr>
                      <w:spacing w:before="221" w:line="252" w:lineRule="auto"/>
                      <w:ind w:left="200" w:right="5758"/>
                      <w:rPr>
                        <w:rFonts w:ascii="MS Gothic"/>
                      </w:rPr>
                    </w:pPr>
                    <w:r>
                      <w:rPr>
                        <w:rFonts w:ascii="MS Gothic"/>
                        <w:color w:val="333333"/>
                      </w:rPr>
                      <w:t>@ConfigurationProperties("</w:t>
                    </w:r>
                    <w:proofErr w:type="gramStart"/>
                    <w:r>
                      <w:rPr>
                        <w:rFonts w:ascii="MS Gothic"/>
                        <w:color w:val="333333"/>
                      </w:rPr>
                      <w:t>app.acme</w:t>
                    </w:r>
                    <w:proofErr w:type="gramEnd"/>
                    <w:r>
                      <w:rPr>
                        <w:rFonts w:ascii="MS Gothic"/>
                        <w:color w:val="333333"/>
                      </w:rPr>
                      <w:t>") public class AcmeProperties {</w:t>
                    </w:r>
                  </w:p>
                  <w:p w14:paraId="3D160AC0" w14:textId="77777777" w:rsidR="00711A16" w:rsidRDefault="00711A16">
                    <w:pPr>
                      <w:spacing w:before="10"/>
                      <w:rPr>
                        <w:rFonts w:ascii="MS Gothic"/>
                      </w:rPr>
                    </w:pPr>
                  </w:p>
                  <w:p w14:paraId="11A740B1" w14:textId="77777777" w:rsidR="00711A16" w:rsidRDefault="00711A16">
                    <w:pPr>
                      <w:ind w:left="640"/>
                      <w:rPr>
                        <w:rFonts w:ascii="MS Gothic"/>
                      </w:rPr>
                    </w:pPr>
                    <w:r>
                      <w:rPr>
                        <w:rFonts w:ascii="MS Gothic"/>
                        <w:color w:val="333333"/>
                      </w:rPr>
                      <w:t>private String name;</w:t>
                    </w:r>
                  </w:p>
                  <w:p w14:paraId="58699114" w14:textId="77777777" w:rsidR="00711A16" w:rsidRDefault="00711A16">
                    <w:pPr>
                      <w:rPr>
                        <w:rFonts w:ascii="MS Gothic"/>
                        <w:sz w:val="24"/>
                      </w:rPr>
                    </w:pPr>
                  </w:p>
                  <w:p w14:paraId="64EF90BE" w14:textId="77777777" w:rsidR="00711A16" w:rsidRDefault="00711A16">
                    <w:pPr>
                      <w:spacing w:before="1"/>
                      <w:ind w:left="640"/>
                      <w:rPr>
                        <w:rFonts w:ascii="MS Gothic"/>
                      </w:rPr>
                    </w:pPr>
                    <w:r>
                      <w:rPr>
                        <w:rFonts w:ascii="MS Gothic"/>
                        <w:color w:val="333333"/>
                      </w:rPr>
                      <w:t xml:space="preserve">public String </w:t>
                    </w:r>
                    <w:proofErr w:type="gramStart"/>
                    <w:r>
                      <w:rPr>
                        <w:rFonts w:ascii="MS Gothic"/>
                        <w:color w:val="333333"/>
                      </w:rPr>
                      <w:t>getName(</w:t>
                    </w:r>
                    <w:proofErr w:type="gramEnd"/>
                    <w:r>
                      <w:rPr>
                        <w:rFonts w:ascii="MS Gothic"/>
                        <w:color w:val="333333"/>
                      </w:rPr>
                      <w:t>) { ... }</w:t>
                    </w:r>
                  </w:p>
                  <w:p w14:paraId="5590B91D" w14:textId="77777777" w:rsidR="00711A16" w:rsidRDefault="00711A16">
                    <w:pPr>
                      <w:rPr>
                        <w:rFonts w:ascii="MS Gothic"/>
                        <w:sz w:val="24"/>
                      </w:rPr>
                    </w:pPr>
                  </w:p>
                  <w:p w14:paraId="2C1A838C" w14:textId="77777777" w:rsidR="00711A16" w:rsidRDefault="00711A16">
                    <w:pPr>
                      <w:ind w:left="640"/>
                      <w:rPr>
                        <w:rFonts w:ascii="MS Gothic"/>
                      </w:rPr>
                    </w:pPr>
                    <w:r>
                      <w:rPr>
                        <w:rFonts w:ascii="MS Gothic"/>
                        <w:color w:val="333333"/>
                      </w:rPr>
                      <w:t xml:space="preserve">public void </w:t>
                    </w:r>
                    <w:proofErr w:type="gramStart"/>
                    <w:r>
                      <w:rPr>
                        <w:rFonts w:ascii="MS Gothic"/>
                        <w:color w:val="333333"/>
                      </w:rPr>
                      <w:t>setName(</w:t>
                    </w:r>
                    <w:proofErr w:type="gramEnd"/>
                    <w:r>
                      <w:rPr>
                        <w:rFonts w:ascii="MS Gothic"/>
                        <w:color w:val="333333"/>
                      </w:rPr>
                      <w:t>String name) { ... }</w:t>
                    </w:r>
                  </w:p>
                  <w:p w14:paraId="10356EEC" w14:textId="77777777" w:rsidR="00711A16" w:rsidRDefault="00711A16">
                    <w:pPr>
                      <w:rPr>
                        <w:rFonts w:ascii="MS Gothic"/>
                        <w:sz w:val="24"/>
                      </w:rPr>
                    </w:pPr>
                  </w:p>
                  <w:p w14:paraId="6CED1E23" w14:textId="77777777" w:rsidR="00711A16" w:rsidRDefault="00711A16">
                    <w:pPr>
                      <w:spacing w:line="252" w:lineRule="auto"/>
                      <w:ind w:left="640" w:right="2348"/>
                      <w:rPr>
                        <w:rFonts w:ascii="MS Gothic"/>
                      </w:rPr>
                    </w:pPr>
                    <w:r>
                      <w:rPr>
                        <w:rFonts w:ascii="MS Gothic"/>
                        <w:color w:val="333333"/>
                      </w:rPr>
                      <w:t>@</w:t>
                    </w:r>
                    <w:proofErr w:type="gramStart"/>
                    <w:r>
                      <w:rPr>
                        <w:rFonts w:ascii="MS Gothic"/>
                        <w:color w:val="333333"/>
                      </w:rPr>
                      <w:t>DeprecatedConfigurationProperty(</w:t>
                    </w:r>
                    <w:proofErr w:type="gramEnd"/>
                    <w:r>
                      <w:rPr>
                        <w:rFonts w:ascii="MS Gothic"/>
                        <w:color w:val="333333"/>
                      </w:rPr>
                      <w:t>replacement = "app.acme.name") @Deprecated</w:t>
                    </w:r>
                  </w:p>
                  <w:p w14:paraId="5FAA0CB7" w14:textId="77777777" w:rsidR="00711A16" w:rsidRDefault="00711A16">
                    <w:pPr>
                      <w:spacing w:line="252" w:lineRule="auto"/>
                      <w:ind w:left="1080" w:right="6308" w:hanging="440"/>
                      <w:rPr>
                        <w:rFonts w:ascii="MS Gothic"/>
                      </w:rPr>
                    </w:pPr>
                    <w:r>
                      <w:rPr>
                        <w:rFonts w:ascii="MS Gothic"/>
                        <w:color w:val="333333"/>
                      </w:rPr>
                      <w:t xml:space="preserve">public String </w:t>
                    </w:r>
                    <w:proofErr w:type="gramStart"/>
                    <w:r>
                      <w:rPr>
                        <w:rFonts w:ascii="MS Gothic"/>
                        <w:color w:val="333333"/>
                      </w:rPr>
                      <w:t>getTarget(</w:t>
                    </w:r>
                    <w:proofErr w:type="gramEnd"/>
                    <w:r>
                      <w:rPr>
                        <w:rFonts w:ascii="MS Gothic"/>
                        <w:color w:val="333333"/>
                      </w:rPr>
                      <w:t>) { return getName();</w:t>
                    </w:r>
                  </w:p>
                  <w:p w14:paraId="19B6A6D1" w14:textId="77777777" w:rsidR="00711A16" w:rsidRDefault="00711A16">
                    <w:pPr>
                      <w:spacing w:line="280" w:lineRule="exact"/>
                      <w:ind w:left="640"/>
                      <w:rPr>
                        <w:rFonts w:ascii="MS Gothic"/>
                      </w:rPr>
                    </w:pPr>
                    <w:r>
                      <w:rPr>
                        <w:rFonts w:ascii="MS Gothic"/>
                        <w:color w:val="333333"/>
                      </w:rPr>
                      <w:t>}</w:t>
                    </w:r>
                  </w:p>
                  <w:p w14:paraId="0F2A6DB4" w14:textId="77777777" w:rsidR="00711A16" w:rsidRDefault="00711A16">
                    <w:pPr>
                      <w:spacing w:before="11"/>
                      <w:rPr>
                        <w:rFonts w:ascii="MS Gothic"/>
                        <w:sz w:val="23"/>
                      </w:rPr>
                    </w:pPr>
                  </w:p>
                  <w:p w14:paraId="69BF5AB2" w14:textId="77777777" w:rsidR="00711A16" w:rsidRDefault="00711A16">
                    <w:pPr>
                      <w:ind w:left="640"/>
                      <w:rPr>
                        <w:rFonts w:ascii="MS Gothic"/>
                      </w:rPr>
                    </w:pPr>
                    <w:r>
                      <w:rPr>
                        <w:rFonts w:ascii="MS Gothic"/>
                        <w:color w:val="333333"/>
                      </w:rPr>
                      <w:t>@Deprecated</w:t>
                    </w:r>
                  </w:p>
                  <w:p w14:paraId="6D07435E" w14:textId="77777777" w:rsidR="00711A16" w:rsidRDefault="00711A16">
                    <w:pPr>
                      <w:spacing w:before="13" w:line="252" w:lineRule="auto"/>
                      <w:ind w:left="1080" w:right="5098" w:hanging="440"/>
                      <w:rPr>
                        <w:rFonts w:ascii="MS Gothic"/>
                      </w:rPr>
                    </w:pPr>
                    <w:r>
                      <w:rPr>
                        <w:rFonts w:ascii="MS Gothic"/>
                        <w:color w:val="333333"/>
                      </w:rPr>
                      <w:t xml:space="preserve">public void </w:t>
                    </w:r>
                    <w:proofErr w:type="gramStart"/>
                    <w:r>
                      <w:rPr>
                        <w:rFonts w:ascii="MS Gothic"/>
                        <w:color w:val="333333"/>
                      </w:rPr>
                      <w:t>setTarget(</w:t>
                    </w:r>
                    <w:proofErr w:type="gramEnd"/>
                    <w:r>
                      <w:rPr>
                        <w:rFonts w:ascii="MS Gothic"/>
                        <w:color w:val="333333"/>
                      </w:rPr>
                      <w:t>String target) { setName(target);</w:t>
                    </w:r>
                  </w:p>
                  <w:p w14:paraId="4AB04BC8" w14:textId="77777777" w:rsidR="00711A16" w:rsidRDefault="00711A16">
                    <w:pPr>
                      <w:spacing w:line="280" w:lineRule="exact"/>
                      <w:ind w:left="640"/>
                      <w:rPr>
                        <w:rFonts w:ascii="MS Gothic"/>
                      </w:rPr>
                    </w:pPr>
                    <w:r>
                      <w:rPr>
                        <w:rFonts w:ascii="MS Gothic"/>
                        <w:color w:val="333333"/>
                      </w:rPr>
                      <w:t>}</w:t>
                    </w:r>
                  </w:p>
                  <w:p w14:paraId="68582161" w14:textId="77777777" w:rsidR="00711A16" w:rsidRDefault="00711A16">
                    <w:pPr>
                      <w:spacing w:before="13"/>
                      <w:ind w:left="200"/>
                      <w:rPr>
                        <w:rFonts w:ascii="MS Gothic"/>
                      </w:rPr>
                    </w:pPr>
                    <w:r>
                      <w:rPr>
                        <w:rFonts w:ascii="MS Gothic"/>
                        <w:color w:val="333333"/>
                      </w:rPr>
                      <w:t>}</w:t>
                    </w:r>
                  </w:p>
                </w:txbxContent>
              </v:textbox>
            </v:shape>
            <w10:anchorlock/>
          </v:group>
        </w:pict>
      </w:r>
    </w:p>
    <w:p w14:paraId="695DCA48" w14:textId="77777777" w:rsidR="00A720EB" w:rsidRDefault="00A720EB">
      <w:pPr>
        <w:pStyle w:val="a3"/>
        <w:spacing w:before="4"/>
        <w:rPr>
          <w:sz w:val="16"/>
        </w:rPr>
      </w:pPr>
    </w:p>
    <w:p w14:paraId="4E262803" w14:textId="77777777" w:rsidR="00A720EB" w:rsidRDefault="00E10349">
      <w:pPr>
        <w:pStyle w:val="a3"/>
        <w:spacing w:before="116" w:line="290" w:lineRule="auto"/>
        <w:ind w:left="1564" w:right="462"/>
      </w:pPr>
      <w:r>
        <w:pict w14:anchorId="575F10D6">
          <v:line id="_x0000_s1155" style="position:absolute;left:0;text-align:left;z-index:16437760;mso-position-horizontal-relative:page" from="108.25pt,.35pt" to="108.25pt,39.9pt" strokecolor="#ededed" strokeweight=".5pt">
            <w10:wrap anchorx="page"/>
          </v:line>
        </w:pict>
      </w:r>
      <w:r w:rsidR="0030286B">
        <w:rPr>
          <w:noProof/>
        </w:rPr>
        <w:drawing>
          <wp:anchor distT="0" distB="0" distL="0" distR="0" simplePos="0" relativeHeight="16438272" behindDoc="0" locked="0" layoutInCell="1" allowOverlap="1" wp14:anchorId="7515B6B5" wp14:editId="5D0F3D35">
            <wp:simplePos x="0" y="0"/>
            <wp:positionH relativeFrom="page">
              <wp:posOffset>844422</wp:posOffset>
            </wp:positionH>
            <wp:positionV relativeFrom="paragraph">
              <wp:posOffset>106248</wp:posOffset>
            </wp:positionV>
            <wp:extent cx="298450" cy="298450"/>
            <wp:effectExtent l="0" t="0" r="0" b="0"/>
            <wp:wrapNone/>
            <wp:docPr id="8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There is no way to set a </w:t>
      </w:r>
      <w:r w:rsidR="0030286B">
        <w:rPr>
          <w:rFonts w:ascii="MS Gothic"/>
          <w:color w:val="B02045"/>
          <w:w w:val="110"/>
        </w:rPr>
        <w:t>level</w:t>
      </w:r>
      <w:r w:rsidR="0030286B">
        <w:rPr>
          <w:color w:val="333333"/>
          <w:w w:val="110"/>
        </w:rPr>
        <w:t xml:space="preserve">. </w:t>
      </w:r>
      <w:r w:rsidR="0030286B">
        <w:rPr>
          <w:rFonts w:ascii="MS Gothic"/>
          <w:color w:val="B02045"/>
          <w:w w:val="110"/>
        </w:rPr>
        <w:t xml:space="preserve">warning </w:t>
      </w:r>
      <w:r w:rsidR="0030286B">
        <w:rPr>
          <w:color w:val="333333"/>
          <w:w w:val="110"/>
        </w:rPr>
        <w:t>is always assumed, since code is still handling the property.</w:t>
      </w:r>
    </w:p>
    <w:p w14:paraId="28D9DE99" w14:textId="77777777" w:rsidR="00A720EB" w:rsidRDefault="00A720EB">
      <w:pPr>
        <w:pStyle w:val="a3"/>
        <w:rPr>
          <w:sz w:val="18"/>
        </w:rPr>
      </w:pPr>
    </w:p>
    <w:p w14:paraId="493D4F73" w14:textId="77777777" w:rsidR="00A720EB" w:rsidRDefault="0030286B">
      <w:pPr>
        <w:pStyle w:val="a3"/>
        <w:spacing w:before="116" w:line="288" w:lineRule="auto"/>
        <w:ind w:left="124" w:right="122"/>
        <w:jc w:val="both"/>
      </w:pPr>
      <w:r>
        <w:rPr>
          <w:color w:val="333333"/>
          <w:w w:val="110"/>
        </w:rPr>
        <w:t xml:space="preserve">The preceding code makes sure that the deprecated property still works (delegating to the </w:t>
      </w:r>
      <w:r>
        <w:rPr>
          <w:rFonts w:ascii="MS Gothic"/>
          <w:color w:val="B02045"/>
          <w:w w:val="110"/>
        </w:rPr>
        <w:t xml:space="preserve">name </w:t>
      </w:r>
      <w:r>
        <w:rPr>
          <w:color w:val="333333"/>
          <w:w w:val="110"/>
        </w:rPr>
        <w:t xml:space="preserve">property behind the scenes). Once the </w:t>
      </w:r>
      <w:r>
        <w:rPr>
          <w:rFonts w:ascii="MS Gothic"/>
          <w:color w:val="B02045"/>
          <w:w w:val="110"/>
        </w:rPr>
        <w:t>getTarget</w:t>
      </w:r>
      <w:r>
        <w:rPr>
          <w:rFonts w:ascii="MS Gothic"/>
          <w:color w:val="B02045"/>
          <w:spacing w:val="-63"/>
          <w:w w:val="110"/>
        </w:rPr>
        <w:t xml:space="preserve"> </w:t>
      </w:r>
      <w:r>
        <w:rPr>
          <w:color w:val="333333"/>
          <w:w w:val="110"/>
        </w:rPr>
        <w:t xml:space="preserve">and </w:t>
      </w:r>
      <w:r>
        <w:rPr>
          <w:rFonts w:ascii="MS Gothic"/>
          <w:color w:val="B02045"/>
          <w:w w:val="110"/>
        </w:rPr>
        <w:t>setTarget</w:t>
      </w:r>
      <w:r>
        <w:rPr>
          <w:rFonts w:ascii="MS Gothic"/>
          <w:color w:val="B02045"/>
          <w:spacing w:val="-63"/>
          <w:w w:val="110"/>
        </w:rPr>
        <w:t xml:space="preserve"> </w:t>
      </w:r>
      <w:r>
        <w:rPr>
          <w:color w:val="333333"/>
          <w:w w:val="110"/>
        </w:rPr>
        <w:t xml:space="preserve">methods can be removed from your public API, the automatic deprecation hint in the metadata goes away as well. If you want to keep a hint, adding manual metadata with an </w:t>
      </w:r>
      <w:r>
        <w:rPr>
          <w:rFonts w:ascii="MS Gothic"/>
          <w:color w:val="B02045"/>
          <w:w w:val="110"/>
        </w:rPr>
        <w:t xml:space="preserve">error </w:t>
      </w:r>
      <w:r>
        <w:rPr>
          <w:color w:val="333333"/>
          <w:w w:val="110"/>
        </w:rPr>
        <w:t xml:space="preserve">deprecation level ensures that users are still informed about that </w:t>
      </w:r>
      <w:r>
        <w:rPr>
          <w:color w:val="333333"/>
          <w:spacing w:val="-3"/>
          <w:w w:val="110"/>
        </w:rPr>
        <w:t xml:space="preserve">property. </w:t>
      </w:r>
      <w:r>
        <w:rPr>
          <w:color w:val="333333"/>
          <w:w w:val="110"/>
        </w:rPr>
        <w:t xml:space="preserve">Doing so is particularly useful when a </w:t>
      </w:r>
      <w:r>
        <w:rPr>
          <w:rFonts w:ascii="MS Gothic"/>
          <w:color w:val="B02045"/>
          <w:w w:val="110"/>
        </w:rPr>
        <w:t xml:space="preserve">replacement </w:t>
      </w:r>
      <w:r>
        <w:rPr>
          <w:color w:val="333333"/>
          <w:w w:val="110"/>
        </w:rPr>
        <w:t>is provided.</w:t>
      </w:r>
    </w:p>
    <w:p w14:paraId="501DCDA3" w14:textId="77777777" w:rsidR="00A720EB" w:rsidRDefault="00A720EB">
      <w:pPr>
        <w:pStyle w:val="a3"/>
        <w:spacing w:before="9"/>
        <w:rPr>
          <w:sz w:val="25"/>
        </w:rPr>
      </w:pPr>
    </w:p>
    <w:p w14:paraId="2266BE68" w14:textId="77777777" w:rsidR="00A720EB" w:rsidRDefault="0030286B">
      <w:pPr>
        <w:pStyle w:val="4"/>
      </w:pPr>
      <w:bookmarkStart w:id="1061" w:name="Hint_Attributes"/>
      <w:bookmarkEnd w:id="1061"/>
      <w:r>
        <w:rPr>
          <w:color w:val="333333"/>
          <w:w w:val="110"/>
        </w:rPr>
        <w:t>Hint Attributes</w:t>
      </w:r>
    </w:p>
    <w:p w14:paraId="5AA36D9A" w14:textId="77777777" w:rsidR="00A720EB" w:rsidRDefault="0030286B">
      <w:pPr>
        <w:pStyle w:val="a3"/>
        <w:spacing w:before="244" w:line="290" w:lineRule="auto"/>
        <w:ind w:left="124" w:right="126"/>
        <w:jc w:val="both"/>
      </w:pPr>
      <w:r>
        <w:rPr>
          <w:color w:val="333333"/>
          <w:w w:val="110"/>
        </w:rPr>
        <w:t xml:space="preserve">The JSON object contained in the </w:t>
      </w:r>
      <w:r>
        <w:rPr>
          <w:rFonts w:ascii="MS Gothic"/>
          <w:color w:val="B02045"/>
          <w:w w:val="110"/>
        </w:rPr>
        <w:t xml:space="preserve">hints </w:t>
      </w:r>
      <w:r>
        <w:rPr>
          <w:color w:val="333333"/>
          <w:spacing w:val="-3"/>
          <w:w w:val="110"/>
        </w:rPr>
        <w:t xml:space="preserve">array </w:t>
      </w:r>
      <w:r>
        <w:rPr>
          <w:color w:val="333333"/>
          <w:w w:val="110"/>
        </w:rPr>
        <w:t>can contain the attributes shown in the following</w:t>
      </w:r>
      <w:r>
        <w:rPr>
          <w:color w:val="333333"/>
          <w:spacing w:val="50"/>
          <w:w w:val="110"/>
        </w:rPr>
        <w:t xml:space="preserve"> </w:t>
      </w:r>
      <w:r>
        <w:rPr>
          <w:color w:val="333333"/>
          <w:w w:val="110"/>
        </w:rPr>
        <w:t>table:</w:t>
      </w:r>
    </w:p>
    <w:p w14:paraId="4AB09445" w14:textId="77777777" w:rsidR="00A720EB" w:rsidRDefault="00A720EB">
      <w:pPr>
        <w:pStyle w:val="a3"/>
        <w:spacing w:before="2"/>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5F678615" w14:textId="77777777">
        <w:trPr>
          <w:trHeight w:val="415"/>
        </w:trPr>
        <w:tc>
          <w:tcPr>
            <w:tcW w:w="1663" w:type="dxa"/>
            <w:tcBorders>
              <w:bottom w:val="single" w:sz="12" w:space="0" w:color="DDDDDD"/>
            </w:tcBorders>
          </w:tcPr>
          <w:p w14:paraId="73350769"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1663" w:type="dxa"/>
            <w:tcBorders>
              <w:bottom w:val="single" w:sz="12" w:space="0" w:color="DDDDDD"/>
            </w:tcBorders>
          </w:tcPr>
          <w:p w14:paraId="546A3A02" w14:textId="77777777" w:rsidR="00A720EB" w:rsidRDefault="0030286B">
            <w:pPr>
              <w:pStyle w:val="TableParagraph"/>
              <w:spacing w:before="74"/>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0A404A1A" w14:textId="77777777" w:rsidR="00A720EB" w:rsidRDefault="0030286B">
            <w:pPr>
              <w:pStyle w:val="TableParagraph"/>
              <w:spacing w:before="74"/>
              <w:ind w:left="59"/>
              <w:rPr>
                <w:rFonts w:ascii="Palatino Linotype"/>
                <w:b/>
                <w:sz w:val="21"/>
              </w:rPr>
            </w:pPr>
            <w:r>
              <w:rPr>
                <w:rFonts w:ascii="Palatino Linotype"/>
                <w:b/>
                <w:color w:val="333333"/>
                <w:w w:val="110"/>
                <w:sz w:val="21"/>
              </w:rPr>
              <w:t>Purpose</w:t>
            </w:r>
          </w:p>
        </w:tc>
      </w:tr>
      <w:tr w:rsidR="00A720EB" w14:paraId="7561F759" w14:textId="77777777">
        <w:trPr>
          <w:trHeight w:val="1993"/>
        </w:trPr>
        <w:tc>
          <w:tcPr>
            <w:tcW w:w="1663" w:type="dxa"/>
            <w:tcBorders>
              <w:top w:val="single" w:sz="12" w:space="0" w:color="DDDDDD"/>
            </w:tcBorders>
          </w:tcPr>
          <w:p w14:paraId="218FCE24" w14:textId="77777777" w:rsidR="00A720EB" w:rsidRDefault="0030286B">
            <w:pPr>
              <w:pStyle w:val="TableParagraph"/>
              <w:spacing w:before="30"/>
              <w:rPr>
                <w:sz w:val="21"/>
              </w:rPr>
            </w:pPr>
            <w:r>
              <w:rPr>
                <w:color w:val="B02045"/>
                <w:sz w:val="21"/>
              </w:rPr>
              <w:t>name</w:t>
            </w:r>
          </w:p>
        </w:tc>
        <w:tc>
          <w:tcPr>
            <w:tcW w:w="1663" w:type="dxa"/>
            <w:tcBorders>
              <w:top w:val="single" w:sz="12" w:space="0" w:color="DDDDDD"/>
            </w:tcBorders>
          </w:tcPr>
          <w:p w14:paraId="24E3EDE2" w14:textId="77777777" w:rsidR="00A720EB" w:rsidRDefault="0030286B">
            <w:pPr>
              <w:pStyle w:val="TableParagraph"/>
              <w:spacing w:before="84"/>
              <w:ind w:left="59"/>
              <w:rPr>
                <w:rFonts w:ascii="Cambria"/>
                <w:sz w:val="21"/>
              </w:rPr>
            </w:pPr>
            <w:r>
              <w:rPr>
                <w:rFonts w:ascii="Cambria"/>
                <w:color w:val="333333"/>
                <w:w w:val="110"/>
                <w:sz w:val="21"/>
              </w:rPr>
              <w:t>String</w:t>
            </w:r>
          </w:p>
        </w:tc>
        <w:tc>
          <w:tcPr>
            <w:tcW w:w="6651" w:type="dxa"/>
            <w:tcBorders>
              <w:top w:val="single" w:sz="12" w:space="0" w:color="DDDDDD"/>
            </w:tcBorders>
          </w:tcPr>
          <w:p w14:paraId="5729B06C" w14:textId="77777777" w:rsidR="00A720EB" w:rsidRDefault="0030286B">
            <w:pPr>
              <w:pStyle w:val="TableParagraph"/>
              <w:spacing w:before="84" w:line="285" w:lineRule="auto"/>
              <w:ind w:left="59" w:right="95"/>
              <w:rPr>
                <w:rFonts w:ascii="Cambria"/>
                <w:sz w:val="21"/>
              </w:rPr>
            </w:pPr>
            <w:r>
              <w:rPr>
                <w:rFonts w:ascii="Cambria"/>
                <w:color w:val="333333"/>
                <w:w w:val="110"/>
                <w:sz w:val="21"/>
              </w:rPr>
              <w:t xml:space="preserve">The full name of the property to which this hint refers. </w:t>
            </w:r>
            <w:proofErr w:type="gramStart"/>
            <w:r>
              <w:rPr>
                <w:rFonts w:ascii="Cambria"/>
                <w:color w:val="333333"/>
                <w:w w:val="110"/>
                <w:sz w:val="21"/>
              </w:rPr>
              <w:t>Names  are</w:t>
            </w:r>
            <w:proofErr w:type="gramEnd"/>
            <w:r>
              <w:rPr>
                <w:rFonts w:ascii="Cambria"/>
                <w:color w:val="333333"/>
                <w:w w:val="110"/>
                <w:sz w:val="21"/>
              </w:rPr>
              <w:t xml:space="preserve"> in lower-case period-separated form (such as </w:t>
            </w:r>
            <w:r>
              <w:rPr>
                <w:color w:val="B02045"/>
                <w:w w:val="110"/>
                <w:sz w:val="21"/>
              </w:rPr>
              <w:t>spring.mvc.servlet.path</w:t>
            </w:r>
            <w:r>
              <w:rPr>
                <w:rFonts w:ascii="Cambria"/>
                <w:color w:val="333333"/>
                <w:w w:val="110"/>
                <w:sz w:val="21"/>
              </w:rPr>
              <w:t>).</w:t>
            </w:r>
            <w:r>
              <w:rPr>
                <w:rFonts w:ascii="Cambria"/>
                <w:color w:val="333333"/>
                <w:spacing w:val="-23"/>
                <w:w w:val="110"/>
                <w:sz w:val="21"/>
              </w:rPr>
              <w:t xml:space="preserve"> </w:t>
            </w:r>
            <w:r>
              <w:rPr>
                <w:rFonts w:ascii="Cambria"/>
                <w:color w:val="333333"/>
                <w:w w:val="110"/>
                <w:sz w:val="21"/>
              </w:rPr>
              <w:t>If</w:t>
            </w:r>
            <w:r>
              <w:rPr>
                <w:rFonts w:ascii="Cambria"/>
                <w:color w:val="333333"/>
                <w:spacing w:val="-23"/>
                <w:w w:val="110"/>
                <w:sz w:val="21"/>
              </w:rPr>
              <w:t xml:space="preserve"> </w:t>
            </w:r>
            <w:r>
              <w:rPr>
                <w:rFonts w:ascii="Cambria"/>
                <w:color w:val="333333"/>
                <w:w w:val="110"/>
                <w:sz w:val="21"/>
              </w:rPr>
              <w:t>the</w:t>
            </w:r>
            <w:r>
              <w:rPr>
                <w:rFonts w:ascii="Cambria"/>
                <w:color w:val="333333"/>
                <w:spacing w:val="-23"/>
                <w:w w:val="110"/>
                <w:sz w:val="21"/>
              </w:rPr>
              <w:t xml:space="preserve"> </w:t>
            </w:r>
            <w:r>
              <w:rPr>
                <w:rFonts w:ascii="Cambria"/>
                <w:color w:val="333333"/>
                <w:w w:val="110"/>
                <w:sz w:val="21"/>
              </w:rPr>
              <w:t>property</w:t>
            </w:r>
            <w:r>
              <w:rPr>
                <w:rFonts w:ascii="Cambria"/>
                <w:color w:val="333333"/>
                <w:spacing w:val="-23"/>
                <w:w w:val="110"/>
                <w:sz w:val="21"/>
              </w:rPr>
              <w:t xml:space="preserve"> </w:t>
            </w:r>
            <w:r>
              <w:rPr>
                <w:rFonts w:ascii="Cambria"/>
                <w:color w:val="333333"/>
                <w:w w:val="110"/>
                <w:sz w:val="21"/>
              </w:rPr>
              <w:t>refers</w:t>
            </w:r>
            <w:r>
              <w:rPr>
                <w:rFonts w:ascii="Cambria"/>
                <w:color w:val="333333"/>
                <w:spacing w:val="-23"/>
                <w:w w:val="110"/>
                <w:sz w:val="21"/>
              </w:rPr>
              <w:t xml:space="preserve"> </w:t>
            </w:r>
            <w:r>
              <w:rPr>
                <w:rFonts w:ascii="Cambria"/>
                <w:color w:val="333333"/>
                <w:w w:val="110"/>
                <w:sz w:val="21"/>
              </w:rPr>
              <w:t>to</w:t>
            </w:r>
            <w:r>
              <w:rPr>
                <w:rFonts w:ascii="Cambria"/>
                <w:color w:val="333333"/>
                <w:spacing w:val="-23"/>
                <w:w w:val="110"/>
                <w:sz w:val="21"/>
              </w:rPr>
              <w:t xml:space="preserve"> </w:t>
            </w:r>
            <w:r>
              <w:rPr>
                <w:rFonts w:ascii="Cambria"/>
                <w:color w:val="333333"/>
                <w:w w:val="110"/>
                <w:sz w:val="21"/>
              </w:rPr>
              <w:t>a</w:t>
            </w:r>
            <w:r>
              <w:rPr>
                <w:rFonts w:ascii="Cambria"/>
                <w:color w:val="333333"/>
                <w:spacing w:val="-23"/>
                <w:w w:val="110"/>
                <w:sz w:val="21"/>
              </w:rPr>
              <w:t xml:space="preserve"> </w:t>
            </w:r>
            <w:r>
              <w:rPr>
                <w:rFonts w:ascii="Cambria"/>
                <w:color w:val="333333"/>
                <w:w w:val="110"/>
                <w:sz w:val="21"/>
              </w:rPr>
              <w:t>map</w:t>
            </w:r>
            <w:r>
              <w:rPr>
                <w:rFonts w:ascii="Cambria"/>
                <w:color w:val="333333"/>
                <w:spacing w:val="-23"/>
                <w:w w:val="110"/>
                <w:sz w:val="21"/>
              </w:rPr>
              <w:t xml:space="preserve"> </w:t>
            </w:r>
            <w:r>
              <w:rPr>
                <w:rFonts w:ascii="Cambria"/>
                <w:color w:val="333333"/>
                <w:w w:val="110"/>
                <w:sz w:val="21"/>
              </w:rPr>
              <w:t>(such</w:t>
            </w:r>
            <w:r>
              <w:rPr>
                <w:rFonts w:ascii="Cambria"/>
                <w:color w:val="333333"/>
                <w:spacing w:val="-23"/>
                <w:w w:val="110"/>
                <w:sz w:val="21"/>
              </w:rPr>
              <w:t xml:space="preserve"> </w:t>
            </w:r>
            <w:r>
              <w:rPr>
                <w:rFonts w:ascii="Cambria"/>
                <w:color w:val="333333"/>
                <w:w w:val="110"/>
                <w:sz w:val="21"/>
              </w:rPr>
              <w:t xml:space="preserve">as </w:t>
            </w:r>
            <w:proofErr w:type="gramStart"/>
            <w:r>
              <w:rPr>
                <w:color w:val="B02045"/>
                <w:w w:val="110"/>
                <w:sz w:val="21"/>
              </w:rPr>
              <w:t>system.contexts</w:t>
            </w:r>
            <w:proofErr w:type="gramEnd"/>
            <w:r>
              <w:rPr>
                <w:rFonts w:ascii="Cambria"/>
                <w:color w:val="333333"/>
                <w:w w:val="110"/>
                <w:sz w:val="21"/>
              </w:rPr>
              <w:t xml:space="preserve">), the hint either applies to the </w:t>
            </w:r>
            <w:r>
              <w:rPr>
                <w:rFonts w:ascii="Palatino Linotype"/>
                <w:i/>
                <w:color w:val="333333"/>
                <w:w w:val="110"/>
                <w:sz w:val="21"/>
              </w:rPr>
              <w:t xml:space="preserve">keys </w:t>
            </w:r>
            <w:r>
              <w:rPr>
                <w:rFonts w:ascii="Cambria"/>
                <w:color w:val="333333"/>
                <w:w w:val="110"/>
                <w:sz w:val="21"/>
              </w:rPr>
              <w:t xml:space="preserve">of the map </w:t>
            </w:r>
            <w:r>
              <w:rPr>
                <w:rFonts w:ascii="Cambria"/>
                <w:color w:val="333333"/>
                <w:w w:val="105"/>
                <w:sz w:val="21"/>
              </w:rPr>
              <w:t>(</w:t>
            </w:r>
            <w:r>
              <w:rPr>
                <w:color w:val="B02045"/>
                <w:w w:val="105"/>
                <w:sz w:val="21"/>
              </w:rPr>
              <w:t>system.contexts.keys</w:t>
            </w:r>
            <w:r>
              <w:rPr>
                <w:rFonts w:ascii="Cambria"/>
                <w:color w:val="333333"/>
                <w:w w:val="105"/>
                <w:sz w:val="21"/>
              </w:rPr>
              <w:t xml:space="preserve">) or the </w:t>
            </w:r>
            <w:r>
              <w:rPr>
                <w:rFonts w:ascii="Palatino Linotype"/>
                <w:i/>
                <w:color w:val="333333"/>
                <w:w w:val="105"/>
                <w:sz w:val="21"/>
              </w:rPr>
              <w:t xml:space="preserve">values </w:t>
            </w:r>
            <w:r>
              <w:rPr>
                <w:rFonts w:ascii="Cambria"/>
                <w:color w:val="333333"/>
                <w:w w:val="105"/>
                <w:sz w:val="21"/>
              </w:rPr>
              <w:t>(</w:t>
            </w:r>
            <w:r>
              <w:rPr>
                <w:color w:val="B02045"/>
                <w:w w:val="105"/>
                <w:sz w:val="21"/>
              </w:rPr>
              <w:t>system.contexts.values</w:t>
            </w:r>
            <w:r>
              <w:rPr>
                <w:rFonts w:ascii="Cambria"/>
                <w:color w:val="333333"/>
                <w:w w:val="105"/>
                <w:sz w:val="21"/>
              </w:rPr>
              <w:t xml:space="preserve">) of </w:t>
            </w:r>
            <w:r>
              <w:rPr>
                <w:rFonts w:ascii="Cambria"/>
                <w:color w:val="333333"/>
                <w:w w:val="110"/>
                <w:sz w:val="21"/>
              </w:rPr>
              <w:t>the map. This attribute is</w:t>
            </w:r>
            <w:r>
              <w:rPr>
                <w:rFonts w:ascii="Cambria"/>
                <w:color w:val="333333"/>
                <w:spacing w:val="15"/>
                <w:w w:val="110"/>
                <w:sz w:val="21"/>
              </w:rPr>
              <w:t xml:space="preserve"> </w:t>
            </w:r>
            <w:r>
              <w:rPr>
                <w:rFonts w:ascii="Cambria"/>
                <w:color w:val="333333"/>
                <w:spacing w:val="-3"/>
                <w:w w:val="110"/>
                <w:sz w:val="21"/>
              </w:rPr>
              <w:t>mandatory.</w:t>
            </w:r>
          </w:p>
        </w:tc>
      </w:tr>
      <w:tr w:rsidR="00A720EB" w14:paraId="2A3A5C9D" w14:textId="77777777">
        <w:trPr>
          <w:trHeight w:val="1056"/>
        </w:trPr>
        <w:tc>
          <w:tcPr>
            <w:tcW w:w="1663" w:type="dxa"/>
          </w:tcPr>
          <w:p w14:paraId="4A5B028C" w14:textId="77777777" w:rsidR="00A720EB" w:rsidRDefault="0030286B">
            <w:pPr>
              <w:pStyle w:val="TableParagraph"/>
              <w:spacing w:before="40"/>
              <w:rPr>
                <w:sz w:val="21"/>
              </w:rPr>
            </w:pPr>
            <w:r>
              <w:rPr>
                <w:color w:val="B02045"/>
                <w:sz w:val="21"/>
              </w:rPr>
              <w:t>values</w:t>
            </w:r>
          </w:p>
        </w:tc>
        <w:tc>
          <w:tcPr>
            <w:tcW w:w="1663" w:type="dxa"/>
          </w:tcPr>
          <w:p w14:paraId="207DA062" w14:textId="77777777" w:rsidR="00A720EB" w:rsidRDefault="0030286B">
            <w:pPr>
              <w:pStyle w:val="TableParagraph"/>
              <w:spacing w:before="94"/>
              <w:ind w:left="59"/>
              <w:rPr>
                <w:rFonts w:ascii="Cambria"/>
                <w:sz w:val="21"/>
              </w:rPr>
            </w:pPr>
            <w:proofErr w:type="gramStart"/>
            <w:r>
              <w:rPr>
                <w:rFonts w:ascii="Cambria"/>
                <w:color w:val="333333"/>
                <w:w w:val="110"/>
                <w:sz w:val="21"/>
              </w:rPr>
              <w:t>ValueHint[</w:t>
            </w:r>
            <w:proofErr w:type="gramEnd"/>
            <w:r>
              <w:rPr>
                <w:rFonts w:ascii="Cambria"/>
                <w:color w:val="333333"/>
                <w:w w:val="110"/>
                <w:sz w:val="21"/>
              </w:rPr>
              <w:t>]</w:t>
            </w:r>
          </w:p>
        </w:tc>
        <w:tc>
          <w:tcPr>
            <w:tcW w:w="6651" w:type="dxa"/>
          </w:tcPr>
          <w:p w14:paraId="0E7E9C2E" w14:textId="77777777" w:rsidR="00A720EB" w:rsidRDefault="0030286B">
            <w:pPr>
              <w:pStyle w:val="TableParagraph"/>
              <w:spacing w:before="84" w:line="300" w:lineRule="auto"/>
              <w:ind w:left="59"/>
              <w:rPr>
                <w:rFonts w:ascii="Cambria"/>
                <w:sz w:val="21"/>
              </w:rPr>
            </w:pPr>
            <w:r>
              <w:rPr>
                <w:rFonts w:ascii="Cambria"/>
                <w:color w:val="333333"/>
                <w:w w:val="110"/>
                <w:sz w:val="21"/>
              </w:rPr>
              <w:t xml:space="preserve">A list of valid values as defined </w:t>
            </w:r>
            <w:r>
              <w:rPr>
                <w:rFonts w:ascii="Cambria"/>
                <w:color w:val="333333"/>
                <w:spacing w:val="-3"/>
                <w:w w:val="110"/>
                <w:sz w:val="21"/>
              </w:rPr>
              <w:t xml:space="preserve">by </w:t>
            </w:r>
            <w:r>
              <w:rPr>
                <w:rFonts w:ascii="Cambria"/>
                <w:color w:val="333333"/>
                <w:w w:val="110"/>
                <w:sz w:val="21"/>
              </w:rPr>
              <w:t xml:space="preserve">the </w:t>
            </w:r>
            <w:r>
              <w:rPr>
                <w:color w:val="B02045"/>
                <w:w w:val="110"/>
                <w:sz w:val="21"/>
              </w:rPr>
              <w:t>ValueHint</w:t>
            </w:r>
            <w:r>
              <w:rPr>
                <w:color w:val="B02045"/>
                <w:spacing w:val="-99"/>
                <w:w w:val="110"/>
                <w:sz w:val="21"/>
              </w:rPr>
              <w:t xml:space="preserve"> </w:t>
            </w:r>
            <w:r>
              <w:rPr>
                <w:rFonts w:ascii="Cambria"/>
                <w:color w:val="333333"/>
                <w:w w:val="110"/>
                <w:sz w:val="21"/>
              </w:rPr>
              <w:t>object (described in the next table). Each entry defines the value and may have a description.</w:t>
            </w:r>
          </w:p>
        </w:tc>
      </w:tr>
    </w:tbl>
    <w:p w14:paraId="1BFFCCF4" w14:textId="77777777" w:rsidR="00A720EB" w:rsidRDefault="00A720EB">
      <w:pPr>
        <w:spacing w:line="300" w:lineRule="auto"/>
        <w:rPr>
          <w:sz w:val="21"/>
        </w:rPr>
        <w:sectPr w:rsidR="00A720EB">
          <w:pgSz w:w="11910" w:h="16840"/>
          <w:pgMar w:top="700" w:right="840" w:bottom="52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7A3988F0" w14:textId="77777777">
        <w:trPr>
          <w:trHeight w:val="415"/>
        </w:trPr>
        <w:tc>
          <w:tcPr>
            <w:tcW w:w="1663" w:type="dxa"/>
            <w:tcBorders>
              <w:bottom w:val="single" w:sz="12" w:space="0" w:color="DDDDDD"/>
            </w:tcBorders>
          </w:tcPr>
          <w:p w14:paraId="3F665EEB"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Name</w:t>
            </w:r>
          </w:p>
        </w:tc>
        <w:tc>
          <w:tcPr>
            <w:tcW w:w="1663" w:type="dxa"/>
            <w:tcBorders>
              <w:bottom w:val="single" w:sz="12" w:space="0" w:color="DDDDDD"/>
            </w:tcBorders>
          </w:tcPr>
          <w:p w14:paraId="555432A3" w14:textId="77777777" w:rsidR="00A720EB" w:rsidRDefault="0030286B">
            <w:pPr>
              <w:pStyle w:val="TableParagraph"/>
              <w:spacing w:before="71"/>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1A278C2E" w14:textId="77777777" w:rsidR="00A720EB" w:rsidRDefault="0030286B">
            <w:pPr>
              <w:pStyle w:val="TableParagraph"/>
              <w:spacing w:before="71"/>
              <w:ind w:left="59"/>
              <w:rPr>
                <w:rFonts w:ascii="Palatino Linotype"/>
                <w:b/>
                <w:sz w:val="21"/>
              </w:rPr>
            </w:pPr>
            <w:r>
              <w:rPr>
                <w:rFonts w:ascii="Palatino Linotype"/>
                <w:b/>
                <w:color w:val="333333"/>
                <w:w w:val="110"/>
                <w:sz w:val="21"/>
              </w:rPr>
              <w:t>Purpose</w:t>
            </w:r>
          </w:p>
        </w:tc>
      </w:tr>
      <w:tr w:rsidR="00A720EB" w14:paraId="38727ABB" w14:textId="77777777">
        <w:trPr>
          <w:trHeight w:val="1046"/>
        </w:trPr>
        <w:tc>
          <w:tcPr>
            <w:tcW w:w="1663" w:type="dxa"/>
            <w:tcBorders>
              <w:top w:val="single" w:sz="12" w:space="0" w:color="DDDDDD"/>
            </w:tcBorders>
          </w:tcPr>
          <w:p w14:paraId="0C47634A" w14:textId="77777777" w:rsidR="00A720EB" w:rsidRDefault="0030286B">
            <w:pPr>
              <w:pStyle w:val="TableParagraph"/>
              <w:spacing w:before="27"/>
              <w:rPr>
                <w:sz w:val="21"/>
              </w:rPr>
            </w:pPr>
            <w:r>
              <w:rPr>
                <w:color w:val="B02045"/>
                <w:sz w:val="21"/>
              </w:rPr>
              <w:t>providers</w:t>
            </w:r>
          </w:p>
        </w:tc>
        <w:tc>
          <w:tcPr>
            <w:tcW w:w="1663" w:type="dxa"/>
            <w:tcBorders>
              <w:top w:val="single" w:sz="12" w:space="0" w:color="DDDDDD"/>
            </w:tcBorders>
          </w:tcPr>
          <w:p w14:paraId="29B8CA5A" w14:textId="77777777" w:rsidR="00A720EB" w:rsidRDefault="0030286B">
            <w:pPr>
              <w:pStyle w:val="TableParagraph"/>
              <w:spacing w:before="82"/>
              <w:ind w:left="59"/>
              <w:rPr>
                <w:rFonts w:ascii="Cambria"/>
                <w:sz w:val="21"/>
              </w:rPr>
            </w:pPr>
            <w:proofErr w:type="gramStart"/>
            <w:r>
              <w:rPr>
                <w:rFonts w:ascii="Cambria"/>
                <w:color w:val="333333"/>
                <w:w w:val="110"/>
                <w:sz w:val="21"/>
              </w:rPr>
              <w:t>ValueProvider[</w:t>
            </w:r>
            <w:proofErr w:type="gramEnd"/>
          </w:p>
          <w:p w14:paraId="3137A893" w14:textId="77777777" w:rsidR="00A720EB" w:rsidRDefault="0030286B">
            <w:pPr>
              <w:pStyle w:val="TableParagraph"/>
              <w:spacing w:before="69"/>
              <w:ind w:left="59"/>
              <w:rPr>
                <w:rFonts w:ascii="Cambria"/>
                <w:sz w:val="21"/>
              </w:rPr>
            </w:pPr>
            <w:r>
              <w:rPr>
                <w:rFonts w:ascii="Cambria"/>
                <w:color w:val="333333"/>
                <w:w w:val="102"/>
                <w:sz w:val="21"/>
              </w:rPr>
              <w:t>]</w:t>
            </w:r>
          </w:p>
        </w:tc>
        <w:tc>
          <w:tcPr>
            <w:tcW w:w="6651" w:type="dxa"/>
            <w:tcBorders>
              <w:top w:val="single" w:sz="12" w:space="0" w:color="DDDDDD"/>
            </w:tcBorders>
          </w:tcPr>
          <w:p w14:paraId="3F4AECFD" w14:textId="77777777" w:rsidR="00A720EB" w:rsidRDefault="0030286B">
            <w:pPr>
              <w:pStyle w:val="TableParagraph"/>
              <w:spacing w:before="71" w:line="300" w:lineRule="auto"/>
              <w:ind w:left="59" w:right="165"/>
              <w:rPr>
                <w:rFonts w:ascii="Cambria"/>
                <w:sz w:val="21"/>
              </w:rPr>
            </w:pPr>
            <w:r>
              <w:rPr>
                <w:rFonts w:ascii="Cambria"/>
                <w:color w:val="333333"/>
                <w:w w:val="110"/>
                <w:sz w:val="21"/>
              </w:rPr>
              <w:t xml:space="preserve">A list of providers as defined by the </w:t>
            </w:r>
            <w:r>
              <w:rPr>
                <w:color w:val="B02045"/>
                <w:w w:val="110"/>
                <w:sz w:val="21"/>
              </w:rPr>
              <w:t xml:space="preserve">ValueProvider </w:t>
            </w:r>
            <w:r>
              <w:rPr>
                <w:rFonts w:ascii="Cambria"/>
                <w:color w:val="333333"/>
                <w:w w:val="110"/>
                <w:sz w:val="21"/>
              </w:rPr>
              <w:t>object (described later in this document). Each entry defines the name of the provider and its parameters, if any.</w:t>
            </w:r>
          </w:p>
        </w:tc>
      </w:tr>
    </w:tbl>
    <w:p w14:paraId="1ADB2317" w14:textId="77777777" w:rsidR="00A720EB" w:rsidRDefault="00A720EB">
      <w:pPr>
        <w:pStyle w:val="a3"/>
        <w:spacing w:before="5"/>
        <w:rPr>
          <w:sz w:val="12"/>
        </w:rPr>
      </w:pPr>
    </w:p>
    <w:p w14:paraId="63DDE3F3" w14:textId="77777777" w:rsidR="00A720EB" w:rsidRDefault="0030286B">
      <w:pPr>
        <w:pStyle w:val="a3"/>
        <w:spacing w:before="115" w:line="290" w:lineRule="auto"/>
        <w:ind w:left="124" w:right="124"/>
        <w:jc w:val="both"/>
      </w:pPr>
      <w:r>
        <w:rPr>
          <w:color w:val="333333"/>
          <w:w w:val="110"/>
        </w:rPr>
        <w:t xml:space="preserve">The JSON object contained in the </w:t>
      </w:r>
      <w:r>
        <w:rPr>
          <w:rFonts w:ascii="MS Gothic"/>
          <w:color w:val="B02045"/>
          <w:w w:val="110"/>
        </w:rPr>
        <w:t xml:space="preserve">values </w:t>
      </w:r>
      <w:r>
        <w:rPr>
          <w:color w:val="333333"/>
          <w:w w:val="110"/>
        </w:rPr>
        <w:t xml:space="preserve">attribute of each </w:t>
      </w:r>
      <w:r>
        <w:rPr>
          <w:rFonts w:ascii="MS Gothic"/>
          <w:color w:val="B02045"/>
          <w:w w:val="110"/>
        </w:rPr>
        <w:t xml:space="preserve">hint </w:t>
      </w:r>
      <w:r>
        <w:rPr>
          <w:color w:val="333333"/>
          <w:w w:val="110"/>
        </w:rPr>
        <w:t>element can contain the attributes described in the following</w:t>
      </w:r>
      <w:r>
        <w:rPr>
          <w:color w:val="333333"/>
          <w:spacing w:val="12"/>
          <w:w w:val="110"/>
        </w:rPr>
        <w:t xml:space="preserve"> </w:t>
      </w:r>
      <w:r>
        <w:rPr>
          <w:color w:val="333333"/>
          <w:w w:val="110"/>
        </w:rPr>
        <w:t>table:</w:t>
      </w:r>
    </w:p>
    <w:p w14:paraId="527EBCC4" w14:textId="77777777" w:rsidR="00A720EB" w:rsidRDefault="00A720EB">
      <w:pPr>
        <w:pStyle w:val="a3"/>
        <w:spacing w:before="3"/>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4BA6A64F" w14:textId="77777777">
        <w:trPr>
          <w:trHeight w:val="415"/>
        </w:trPr>
        <w:tc>
          <w:tcPr>
            <w:tcW w:w="1663" w:type="dxa"/>
            <w:tcBorders>
              <w:bottom w:val="single" w:sz="12" w:space="0" w:color="DDDDDD"/>
            </w:tcBorders>
          </w:tcPr>
          <w:p w14:paraId="631C7CB9"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1663" w:type="dxa"/>
            <w:tcBorders>
              <w:bottom w:val="single" w:sz="12" w:space="0" w:color="DDDDDD"/>
            </w:tcBorders>
          </w:tcPr>
          <w:p w14:paraId="56E9B706" w14:textId="77777777" w:rsidR="00A720EB" w:rsidRDefault="0030286B">
            <w:pPr>
              <w:pStyle w:val="TableParagraph"/>
              <w:spacing w:before="74"/>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5F1F37A5" w14:textId="77777777" w:rsidR="00A720EB" w:rsidRDefault="0030286B">
            <w:pPr>
              <w:pStyle w:val="TableParagraph"/>
              <w:spacing w:before="74"/>
              <w:ind w:left="59"/>
              <w:rPr>
                <w:rFonts w:ascii="Palatino Linotype"/>
                <w:b/>
                <w:sz w:val="21"/>
              </w:rPr>
            </w:pPr>
            <w:r>
              <w:rPr>
                <w:rFonts w:ascii="Palatino Linotype"/>
                <w:b/>
                <w:color w:val="333333"/>
                <w:w w:val="110"/>
                <w:sz w:val="21"/>
              </w:rPr>
              <w:t>Purpose</w:t>
            </w:r>
          </w:p>
        </w:tc>
      </w:tr>
      <w:tr w:rsidR="00A720EB" w14:paraId="58C714C8" w14:textId="77777777">
        <w:trPr>
          <w:trHeight w:val="1046"/>
        </w:trPr>
        <w:tc>
          <w:tcPr>
            <w:tcW w:w="1663" w:type="dxa"/>
            <w:tcBorders>
              <w:top w:val="single" w:sz="12" w:space="0" w:color="DDDDDD"/>
            </w:tcBorders>
          </w:tcPr>
          <w:p w14:paraId="5346F7B8" w14:textId="77777777" w:rsidR="00A720EB" w:rsidRDefault="0030286B">
            <w:pPr>
              <w:pStyle w:val="TableParagraph"/>
              <w:spacing w:before="30"/>
              <w:rPr>
                <w:sz w:val="21"/>
              </w:rPr>
            </w:pPr>
            <w:r>
              <w:rPr>
                <w:color w:val="B02045"/>
                <w:sz w:val="21"/>
              </w:rPr>
              <w:t>value</w:t>
            </w:r>
          </w:p>
        </w:tc>
        <w:tc>
          <w:tcPr>
            <w:tcW w:w="1663" w:type="dxa"/>
            <w:tcBorders>
              <w:top w:val="single" w:sz="12" w:space="0" w:color="DDDDDD"/>
            </w:tcBorders>
          </w:tcPr>
          <w:p w14:paraId="649A3192" w14:textId="77777777" w:rsidR="00A720EB" w:rsidRDefault="0030286B">
            <w:pPr>
              <w:pStyle w:val="TableParagraph"/>
              <w:spacing w:before="84"/>
              <w:ind w:left="59"/>
              <w:rPr>
                <w:rFonts w:ascii="Cambria"/>
                <w:sz w:val="21"/>
              </w:rPr>
            </w:pPr>
            <w:r>
              <w:rPr>
                <w:rFonts w:ascii="Cambria"/>
                <w:color w:val="333333"/>
                <w:w w:val="110"/>
                <w:sz w:val="21"/>
              </w:rPr>
              <w:t>Object</w:t>
            </w:r>
          </w:p>
        </w:tc>
        <w:tc>
          <w:tcPr>
            <w:tcW w:w="6651" w:type="dxa"/>
            <w:tcBorders>
              <w:top w:val="single" w:sz="12" w:space="0" w:color="DDDDDD"/>
            </w:tcBorders>
          </w:tcPr>
          <w:p w14:paraId="0A6CA52E" w14:textId="77777777" w:rsidR="00A720EB" w:rsidRDefault="0030286B">
            <w:pPr>
              <w:pStyle w:val="TableParagraph"/>
              <w:spacing w:before="84" w:line="307" w:lineRule="auto"/>
              <w:ind w:left="59" w:right="165"/>
              <w:rPr>
                <w:rFonts w:ascii="Cambria"/>
                <w:sz w:val="21"/>
              </w:rPr>
            </w:pPr>
            <w:r>
              <w:rPr>
                <w:rFonts w:ascii="Cambria"/>
                <w:color w:val="333333"/>
                <w:w w:val="110"/>
                <w:sz w:val="21"/>
              </w:rPr>
              <w:t>A valid value for the element to which the hint refers. If the type of the property is an array, it can also be an array of value(s).</w:t>
            </w:r>
          </w:p>
          <w:p w14:paraId="050981D9" w14:textId="77777777" w:rsidR="00A720EB" w:rsidRDefault="0030286B">
            <w:pPr>
              <w:pStyle w:val="TableParagraph"/>
              <w:spacing w:before="1"/>
              <w:ind w:left="59"/>
              <w:rPr>
                <w:rFonts w:ascii="Cambria"/>
                <w:sz w:val="21"/>
              </w:rPr>
            </w:pPr>
            <w:r>
              <w:rPr>
                <w:rFonts w:ascii="Cambria"/>
                <w:color w:val="333333"/>
                <w:w w:val="110"/>
                <w:sz w:val="21"/>
              </w:rPr>
              <w:t>This attribute is mandatory.</w:t>
            </w:r>
          </w:p>
        </w:tc>
      </w:tr>
      <w:tr w:rsidR="00A720EB" w14:paraId="3F6999B0" w14:textId="77777777">
        <w:trPr>
          <w:trHeight w:val="1687"/>
        </w:trPr>
        <w:tc>
          <w:tcPr>
            <w:tcW w:w="1663" w:type="dxa"/>
          </w:tcPr>
          <w:p w14:paraId="68752A46" w14:textId="77777777" w:rsidR="00A720EB" w:rsidRDefault="0030286B">
            <w:pPr>
              <w:pStyle w:val="TableParagraph"/>
              <w:spacing w:before="40"/>
              <w:rPr>
                <w:sz w:val="21"/>
              </w:rPr>
            </w:pPr>
            <w:r>
              <w:rPr>
                <w:color w:val="B02045"/>
                <w:sz w:val="21"/>
              </w:rPr>
              <w:t>description</w:t>
            </w:r>
          </w:p>
        </w:tc>
        <w:tc>
          <w:tcPr>
            <w:tcW w:w="1663" w:type="dxa"/>
          </w:tcPr>
          <w:p w14:paraId="71E3B5AA" w14:textId="77777777" w:rsidR="00A720EB" w:rsidRDefault="0030286B">
            <w:pPr>
              <w:pStyle w:val="TableParagraph"/>
              <w:spacing w:before="94"/>
              <w:ind w:left="59"/>
              <w:rPr>
                <w:rFonts w:ascii="Cambria"/>
                <w:sz w:val="21"/>
              </w:rPr>
            </w:pPr>
            <w:r>
              <w:rPr>
                <w:rFonts w:ascii="Cambria"/>
                <w:color w:val="333333"/>
                <w:w w:val="110"/>
                <w:sz w:val="21"/>
              </w:rPr>
              <w:t>String</w:t>
            </w:r>
          </w:p>
        </w:tc>
        <w:tc>
          <w:tcPr>
            <w:tcW w:w="6651" w:type="dxa"/>
          </w:tcPr>
          <w:p w14:paraId="47BD2CB9" w14:textId="77777777" w:rsidR="00A720EB" w:rsidRDefault="0030286B">
            <w:pPr>
              <w:pStyle w:val="TableParagraph"/>
              <w:spacing w:before="41" w:line="316" w:lineRule="exact"/>
              <w:ind w:left="59" w:right="165"/>
              <w:rPr>
                <w:rFonts w:ascii="Cambria"/>
                <w:sz w:val="21"/>
              </w:rPr>
            </w:pPr>
            <w:r>
              <w:rPr>
                <w:rFonts w:ascii="Cambria"/>
                <w:color w:val="333333"/>
                <w:w w:val="110"/>
                <w:sz w:val="21"/>
              </w:rPr>
              <w:t>A short description of the value that can be displayed to users. If no description is available, it may be omitted. It is recommended that descriptions be short paragraphs, with the first line providing a concise summary. The last line in the description should end with a period (</w:t>
            </w:r>
            <w:r>
              <w:rPr>
                <w:color w:val="B02045"/>
                <w:w w:val="110"/>
                <w:sz w:val="21"/>
              </w:rPr>
              <w:t>.</w:t>
            </w:r>
            <w:r>
              <w:rPr>
                <w:rFonts w:ascii="Cambria"/>
                <w:color w:val="333333"/>
                <w:w w:val="110"/>
                <w:sz w:val="21"/>
              </w:rPr>
              <w:t>).</w:t>
            </w:r>
          </w:p>
        </w:tc>
      </w:tr>
    </w:tbl>
    <w:p w14:paraId="5139BEAB" w14:textId="77777777" w:rsidR="00A720EB" w:rsidRDefault="00A720EB">
      <w:pPr>
        <w:pStyle w:val="a3"/>
        <w:spacing w:before="6"/>
        <w:rPr>
          <w:sz w:val="22"/>
        </w:rPr>
      </w:pPr>
    </w:p>
    <w:p w14:paraId="2F5475C5" w14:textId="77777777" w:rsidR="00A720EB" w:rsidRDefault="0030286B">
      <w:pPr>
        <w:pStyle w:val="a3"/>
        <w:spacing w:line="290" w:lineRule="auto"/>
        <w:ind w:left="124" w:right="124"/>
        <w:jc w:val="both"/>
      </w:pPr>
      <w:r>
        <w:rPr>
          <w:color w:val="333333"/>
          <w:w w:val="110"/>
        </w:rPr>
        <w:t>The</w:t>
      </w:r>
      <w:r>
        <w:rPr>
          <w:color w:val="333333"/>
          <w:spacing w:val="-1"/>
          <w:w w:val="110"/>
        </w:rPr>
        <w:t xml:space="preserve"> </w:t>
      </w:r>
      <w:r>
        <w:rPr>
          <w:color w:val="333333"/>
          <w:w w:val="110"/>
        </w:rPr>
        <w:t>JSON object contained in the</w:t>
      </w:r>
      <w:r>
        <w:rPr>
          <w:color w:val="333333"/>
          <w:spacing w:val="2"/>
          <w:w w:val="110"/>
        </w:rPr>
        <w:t xml:space="preserve"> </w:t>
      </w:r>
      <w:r>
        <w:rPr>
          <w:rFonts w:ascii="MS Gothic"/>
          <w:color w:val="B02045"/>
          <w:w w:val="110"/>
        </w:rPr>
        <w:t>providers</w:t>
      </w:r>
      <w:r>
        <w:rPr>
          <w:rFonts w:ascii="MS Gothic"/>
          <w:color w:val="B02045"/>
          <w:spacing w:val="-65"/>
          <w:w w:val="110"/>
        </w:rPr>
        <w:t xml:space="preserve"> </w:t>
      </w:r>
      <w:r>
        <w:rPr>
          <w:color w:val="333333"/>
          <w:w w:val="110"/>
        </w:rPr>
        <w:t>attribute of each</w:t>
      </w:r>
      <w:r>
        <w:rPr>
          <w:color w:val="333333"/>
          <w:spacing w:val="3"/>
          <w:w w:val="110"/>
        </w:rPr>
        <w:t xml:space="preserve"> </w:t>
      </w:r>
      <w:r>
        <w:rPr>
          <w:rFonts w:ascii="MS Gothic"/>
          <w:color w:val="B02045"/>
          <w:w w:val="110"/>
        </w:rPr>
        <w:t>hint</w:t>
      </w:r>
      <w:r>
        <w:rPr>
          <w:rFonts w:ascii="MS Gothic"/>
          <w:color w:val="B02045"/>
          <w:spacing w:val="-65"/>
          <w:w w:val="110"/>
        </w:rPr>
        <w:t xml:space="preserve"> </w:t>
      </w:r>
      <w:r>
        <w:rPr>
          <w:color w:val="333333"/>
          <w:w w:val="110"/>
        </w:rPr>
        <w:t>element can contain the attributes described in the following</w:t>
      </w:r>
      <w:r>
        <w:rPr>
          <w:color w:val="333333"/>
          <w:spacing w:val="12"/>
          <w:w w:val="110"/>
        </w:rPr>
        <w:t xml:space="preserve"> </w:t>
      </w:r>
      <w:r>
        <w:rPr>
          <w:color w:val="333333"/>
          <w:w w:val="110"/>
        </w:rPr>
        <w:t>table:</w:t>
      </w:r>
    </w:p>
    <w:p w14:paraId="5636E3A0" w14:textId="77777777" w:rsidR="00A720EB" w:rsidRDefault="00A720EB">
      <w:pPr>
        <w:pStyle w:val="a3"/>
        <w:spacing w:before="2"/>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663"/>
        <w:gridCol w:w="1663"/>
        <w:gridCol w:w="6651"/>
      </w:tblGrid>
      <w:tr w:rsidR="00A720EB" w14:paraId="356F8879" w14:textId="77777777">
        <w:trPr>
          <w:trHeight w:val="415"/>
        </w:trPr>
        <w:tc>
          <w:tcPr>
            <w:tcW w:w="1663" w:type="dxa"/>
            <w:tcBorders>
              <w:bottom w:val="single" w:sz="12" w:space="0" w:color="DDDDDD"/>
            </w:tcBorders>
          </w:tcPr>
          <w:p w14:paraId="12C761E5"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1663" w:type="dxa"/>
            <w:tcBorders>
              <w:bottom w:val="single" w:sz="12" w:space="0" w:color="DDDDDD"/>
            </w:tcBorders>
          </w:tcPr>
          <w:p w14:paraId="06034FD5" w14:textId="77777777" w:rsidR="00A720EB" w:rsidRDefault="0030286B">
            <w:pPr>
              <w:pStyle w:val="TableParagraph"/>
              <w:spacing w:before="74"/>
              <w:ind w:left="59"/>
              <w:rPr>
                <w:rFonts w:ascii="Palatino Linotype"/>
                <w:b/>
                <w:sz w:val="21"/>
              </w:rPr>
            </w:pPr>
            <w:r>
              <w:rPr>
                <w:rFonts w:ascii="Palatino Linotype"/>
                <w:b/>
                <w:color w:val="333333"/>
                <w:w w:val="105"/>
                <w:sz w:val="21"/>
              </w:rPr>
              <w:t>Type</w:t>
            </w:r>
          </w:p>
        </w:tc>
        <w:tc>
          <w:tcPr>
            <w:tcW w:w="6651" w:type="dxa"/>
            <w:tcBorders>
              <w:bottom w:val="single" w:sz="12" w:space="0" w:color="DDDDDD"/>
            </w:tcBorders>
          </w:tcPr>
          <w:p w14:paraId="481A565A" w14:textId="77777777" w:rsidR="00A720EB" w:rsidRDefault="0030286B">
            <w:pPr>
              <w:pStyle w:val="TableParagraph"/>
              <w:spacing w:before="74"/>
              <w:ind w:left="59"/>
              <w:rPr>
                <w:rFonts w:ascii="Palatino Linotype"/>
                <w:b/>
                <w:sz w:val="21"/>
              </w:rPr>
            </w:pPr>
            <w:r>
              <w:rPr>
                <w:rFonts w:ascii="Palatino Linotype"/>
                <w:b/>
                <w:color w:val="333333"/>
                <w:w w:val="110"/>
                <w:sz w:val="21"/>
              </w:rPr>
              <w:t>Purpose</w:t>
            </w:r>
          </w:p>
        </w:tc>
      </w:tr>
      <w:tr w:rsidR="00A720EB" w14:paraId="27A83F24" w14:textId="77777777">
        <w:trPr>
          <w:trHeight w:val="731"/>
        </w:trPr>
        <w:tc>
          <w:tcPr>
            <w:tcW w:w="1663" w:type="dxa"/>
            <w:tcBorders>
              <w:top w:val="single" w:sz="12" w:space="0" w:color="DDDDDD"/>
            </w:tcBorders>
          </w:tcPr>
          <w:p w14:paraId="12D35244" w14:textId="77777777" w:rsidR="00A720EB" w:rsidRDefault="0030286B">
            <w:pPr>
              <w:pStyle w:val="TableParagraph"/>
              <w:spacing w:before="30"/>
              <w:rPr>
                <w:sz w:val="21"/>
              </w:rPr>
            </w:pPr>
            <w:r>
              <w:rPr>
                <w:color w:val="B02045"/>
                <w:sz w:val="21"/>
              </w:rPr>
              <w:t>name</w:t>
            </w:r>
          </w:p>
        </w:tc>
        <w:tc>
          <w:tcPr>
            <w:tcW w:w="1663" w:type="dxa"/>
            <w:tcBorders>
              <w:top w:val="single" w:sz="12" w:space="0" w:color="DDDDDD"/>
            </w:tcBorders>
          </w:tcPr>
          <w:p w14:paraId="5007B90B" w14:textId="77777777" w:rsidR="00A720EB" w:rsidRDefault="0030286B">
            <w:pPr>
              <w:pStyle w:val="TableParagraph"/>
              <w:spacing w:before="84"/>
              <w:ind w:left="59"/>
              <w:rPr>
                <w:rFonts w:ascii="Cambria"/>
                <w:sz w:val="21"/>
              </w:rPr>
            </w:pPr>
            <w:r>
              <w:rPr>
                <w:rFonts w:ascii="Cambria"/>
                <w:color w:val="333333"/>
                <w:w w:val="110"/>
                <w:sz w:val="21"/>
              </w:rPr>
              <w:t>String</w:t>
            </w:r>
          </w:p>
        </w:tc>
        <w:tc>
          <w:tcPr>
            <w:tcW w:w="6651" w:type="dxa"/>
            <w:tcBorders>
              <w:top w:val="single" w:sz="12" w:space="0" w:color="DDDDDD"/>
            </w:tcBorders>
          </w:tcPr>
          <w:p w14:paraId="5352B9A1" w14:textId="77777777" w:rsidR="00A720EB" w:rsidRDefault="0030286B">
            <w:pPr>
              <w:pStyle w:val="TableParagraph"/>
              <w:spacing w:before="21" w:line="310" w:lineRule="atLeast"/>
              <w:ind w:left="59"/>
              <w:rPr>
                <w:rFonts w:ascii="Cambria"/>
                <w:sz w:val="21"/>
              </w:rPr>
            </w:pPr>
            <w:r>
              <w:rPr>
                <w:rFonts w:ascii="Cambria"/>
                <w:color w:val="333333"/>
                <w:w w:val="110"/>
                <w:sz w:val="21"/>
              </w:rPr>
              <w:t>The name of the provider to use to offer additional content assistance for the element to which the hint refers.</w:t>
            </w:r>
          </w:p>
        </w:tc>
      </w:tr>
      <w:tr w:rsidR="00A720EB" w14:paraId="16BF4136" w14:textId="77777777">
        <w:trPr>
          <w:trHeight w:val="741"/>
        </w:trPr>
        <w:tc>
          <w:tcPr>
            <w:tcW w:w="1663" w:type="dxa"/>
          </w:tcPr>
          <w:p w14:paraId="7C8AFFE5" w14:textId="77777777" w:rsidR="00A720EB" w:rsidRDefault="0030286B">
            <w:pPr>
              <w:pStyle w:val="TableParagraph"/>
              <w:spacing w:before="40"/>
              <w:rPr>
                <w:sz w:val="21"/>
              </w:rPr>
            </w:pPr>
            <w:r>
              <w:rPr>
                <w:color w:val="B02045"/>
                <w:sz w:val="21"/>
              </w:rPr>
              <w:t>parameters</w:t>
            </w:r>
          </w:p>
        </w:tc>
        <w:tc>
          <w:tcPr>
            <w:tcW w:w="1663" w:type="dxa"/>
          </w:tcPr>
          <w:p w14:paraId="7B8800C1" w14:textId="77777777" w:rsidR="00A720EB" w:rsidRDefault="0030286B">
            <w:pPr>
              <w:pStyle w:val="TableParagraph"/>
              <w:spacing w:before="94"/>
              <w:ind w:left="59"/>
              <w:rPr>
                <w:rFonts w:ascii="Cambria"/>
                <w:sz w:val="21"/>
              </w:rPr>
            </w:pPr>
            <w:r>
              <w:rPr>
                <w:rFonts w:ascii="Cambria"/>
                <w:color w:val="333333"/>
                <w:w w:val="110"/>
                <w:sz w:val="21"/>
              </w:rPr>
              <w:t>JSON object</w:t>
            </w:r>
          </w:p>
        </w:tc>
        <w:tc>
          <w:tcPr>
            <w:tcW w:w="6651" w:type="dxa"/>
          </w:tcPr>
          <w:p w14:paraId="2B91E307" w14:textId="77777777" w:rsidR="00A720EB" w:rsidRDefault="0030286B">
            <w:pPr>
              <w:pStyle w:val="TableParagraph"/>
              <w:spacing w:before="31" w:line="310" w:lineRule="atLeast"/>
              <w:ind w:left="59"/>
              <w:rPr>
                <w:rFonts w:ascii="Cambria"/>
                <w:sz w:val="21"/>
              </w:rPr>
            </w:pPr>
            <w:r>
              <w:rPr>
                <w:rFonts w:ascii="Cambria"/>
                <w:color w:val="333333"/>
                <w:w w:val="110"/>
                <w:sz w:val="21"/>
              </w:rPr>
              <w:t>Any additional parameter that the provider supports (check the documentation of the provider for more details).</w:t>
            </w:r>
          </w:p>
        </w:tc>
      </w:tr>
    </w:tbl>
    <w:p w14:paraId="42357AE6" w14:textId="77777777" w:rsidR="00A720EB" w:rsidRDefault="00A720EB">
      <w:pPr>
        <w:pStyle w:val="a3"/>
        <w:spacing w:before="6"/>
        <w:rPr>
          <w:sz w:val="28"/>
        </w:rPr>
      </w:pPr>
    </w:p>
    <w:p w14:paraId="18B8B1EF" w14:textId="77777777" w:rsidR="00A720EB" w:rsidRDefault="0030286B">
      <w:pPr>
        <w:pStyle w:val="4"/>
      </w:pPr>
      <w:bookmarkStart w:id="1062" w:name="Repeated_Metadata_Items"/>
      <w:bookmarkEnd w:id="1062"/>
      <w:r>
        <w:rPr>
          <w:color w:val="333333"/>
          <w:w w:val="110"/>
        </w:rPr>
        <w:t>Repeated Metadata Items</w:t>
      </w:r>
    </w:p>
    <w:p w14:paraId="008ED247" w14:textId="77777777" w:rsidR="00A720EB" w:rsidRDefault="00A720EB">
      <w:pPr>
        <w:pStyle w:val="a3"/>
        <w:spacing w:before="11"/>
        <w:rPr>
          <w:rFonts w:ascii="Palatino Linotype"/>
          <w:b/>
          <w:sz w:val="18"/>
        </w:rPr>
      </w:pPr>
    </w:p>
    <w:p w14:paraId="0225A6F8" w14:textId="77777777" w:rsidR="00A720EB" w:rsidRDefault="0030286B">
      <w:pPr>
        <w:pStyle w:val="a3"/>
        <w:spacing w:before="1" w:line="307" w:lineRule="auto"/>
        <w:ind w:left="124" w:right="123"/>
        <w:jc w:val="both"/>
      </w:pPr>
      <w:r>
        <w:rPr>
          <w:color w:val="333333"/>
          <w:w w:val="110"/>
        </w:rPr>
        <w:t xml:space="preserve">Objects with the same “property” and “group” name can appear multiple times within a </w:t>
      </w:r>
      <w:proofErr w:type="gramStart"/>
      <w:r>
        <w:rPr>
          <w:color w:val="333333"/>
          <w:w w:val="110"/>
        </w:rPr>
        <w:t>metadata  file</w:t>
      </w:r>
      <w:proofErr w:type="gramEnd"/>
      <w:r>
        <w:rPr>
          <w:color w:val="333333"/>
          <w:w w:val="110"/>
        </w:rPr>
        <w:t xml:space="preserve">. </w:t>
      </w:r>
      <w:r>
        <w:rPr>
          <w:color w:val="333333"/>
          <w:spacing w:val="-4"/>
          <w:w w:val="110"/>
        </w:rPr>
        <w:t xml:space="preserve">For </w:t>
      </w:r>
      <w:r>
        <w:rPr>
          <w:color w:val="333333"/>
          <w:w w:val="110"/>
        </w:rPr>
        <w:t xml:space="preserve">example, you could bind two separate classes to the same prefix, with each </w:t>
      </w:r>
      <w:proofErr w:type="gramStart"/>
      <w:r>
        <w:rPr>
          <w:color w:val="333333"/>
          <w:w w:val="110"/>
        </w:rPr>
        <w:t>having  potentially</w:t>
      </w:r>
      <w:proofErr w:type="gramEnd"/>
      <w:r>
        <w:rPr>
          <w:color w:val="333333"/>
          <w:w w:val="110"/>
        </w:rPr>
        <w:t xml:space="preserve"> overlapping property names. While the same names appearing in the metadata multiple times should not be common, consumers of metadata should take care to ensure that they support   it.</w:t>
      </w:r>
    </w:p>
    <w:p w14:paraId="79831BE8" w14:textId="77777777" w:rsidR="00A720EB" w:rsidRDefault="00A720EB">
      <w:pPr>
        <w:pStyle w:val="a3"/>
        <w:spacing w:before="10"/>
        <w:rPr>
          <w:sz w:val="25"/>
        </w:rPr>
      </w:pPr>
    </w:p>
    <w:p w14:paraId="35D2983D" w14:textId="77777777" w:rsidR="00A720EB" w:rsidRDefault="0030286B">
      <w:pPr>
        <w:pStyle w:val="3"/>
        <w:numPr>
          <w:ilvl w:val="2"/>
          <w:numId w:val="8"/>
        </w:numPr>
        <w:tabs>
          <w:tab w:val="left" w:pos="1032"/>
        </w:tabs>
      </w:pPr>
      <w:bookmarkStart w:id="1063" w:name="10.B.2._Providing_Manual_Hints"/>
      <w:bookmarkStart w:id="1064" w:name="_Toc54424047"/>
      <w:bookmarkEnd w:id="1063"/>
      <w:r>
        <w:rPr>
          <w:color w:val="333333"/>
          <w:w w:val="110"/>
        </w:rPr>
        <w:t>Providing Manual</w:t>
      </w:r>
      <w:r>
        <w:rPr>
          <w:color w:val="333333"/>
          <w:spacing w:val="-11"/>
          <w:w w:val="110"/>
        </w:rPr>
        <w:t xml:space="preserve"> </w:t>
      </w:r>
      <w:r>
        <w:rPr>
          <w:color w:val="333333"/>
          <w:w w:val="110"/>
        </w:rPr>
        <w:t>Hints</w:t>
      </w:r>
      <w:bookmarkEnd w:id="1064"/>
    </w:p>
    <w:p w14:paraId="6B273E8A" w14:textId="77777777" w:rsidR="00A720EB" w:rsidRDefault="0030286B">
      <w:pPr>
        <w:pStyle w:val="a3"/>
        <w:spacing w:before="254" w:line="307" w:lineRule="auto"/>
        <w:ind w:left="124" w:right="131"/>
        <w:jc w:val="both"/>
      </w:pPr>
      <w:r>
        <w:rPr>
          <w:color w:val="333333"/>
          <w:w w:val="110"/>
        </w:rPr>
        <w:t>To improve the user experience and further assist the user in configuring a given property, you can provide additional metadata that:</w:t>
      </w:r>
    </w:p>
    <w:p w14:paraId="5B9720ED" w14:textId="77777777" w:rsidR="00A720EB" w:rsidRDefault="0030286B">
      <w:pPr>
        <w:pStyle w:val="a6"/>
        <w:numPr>
          <w:ilvl w:val="3"/>
          <w:numId w:val="8"/>
        </w:numPr>
        <w:tabs>
          <w:tab w:val="left" w:pos="485"/>
        </w:tabs>
        <w:spacing w:before="241"/>
        <w:rPr>
          <w:sz w:val="21"/>
        </w:rPr>
      </w:pPr>
      <w:r>
        <w:rPr>
          <w:color w:val="333333"/>
          <w:w w:val="110"/>
          <w:sz w:val="21"/>
        </w:rPr>
        <w:t>Describes the list of potential values for a</w:t>
      </w:r>
      <w:r>
        <w:rPr>
          <w:color w:val="333333"/>
          <w:spacing w:val="26"/>
          <w:w w:val="110"/>
          <w:sz w:val="21"/>
        </w:rPr>
        <w:t xml:space="preserve"> </w:t>
      </w:r>
      <w:r>
        <w:rPr>
          <w:color w:val="333333"/>
          <w:spacing w:val="-3"/>
          <w:w w:val="110"/>
          <w:sz w:val="21"/>
        </w:rPr>
        <w:t>property.</w:t>
      </w:r>
    </w:p>
    <w:p w14:paraId="4FD71A69" w14:textId="77777777" w:rsidR="00A720EB" w:rsidRDefault="0030286B">
      <w:pPr>
        <w:pStyle w:val="a6"/>
        <w:numPr>
          <w:ilvl w:val="3"/>
          <w:numId w:val="8"/>
        </w:numPr>
        <w:tabs>
          <w:tab w:val="left" w:pos="485"/>
        </w:tabs>
        <w:spacing w:before="189" w:line="307" w:lineRule="auto"/>
        <w:ind w:right="131"/>
        <w:rPr>
          <w:sz w:val="21"/>
        </w:rPr>
      </w:pPr>
      <w:r>
        <w:rPr>
          <w:color w:val="333333"/>
          <w:w w:val="110"/>
          <w:sz w:val="21"/>
        </w:rPr>
        <w:t xml:space="preserve">Associates a provider, to attach a well defined semantic to a </w:t>
      </w:r>
      <w:r>
        <w:rPr>
          <w:color w:val="333333"/>
          <w:spacing w:val="-3"/>
          <w:w w:val="110"/>
          <w:sz w:val="21"/>
        </w:rPr>
        <w:t xml:space="preserve">property, </w:t>
      </w:r>
      <w:r>
        <w:rPr>
          <w:color w:val="333333"/>
          <w:w w:val="110"/>
          <w:sz w:val="21"/>
        </w:rPr>
        <w:t>so that a tool can discover the list of potential values based on the project’s</w:t>
      </w:r>
      <w:r>
        <w:rPr>
          <w:color w:val="333333"/>
          <w:spacing w:val="27"/>
          <w:w w:val="110"/>
          <w:sz w:val="21"/>
        </w:rPr>
        <w:t xml:space="preserve"> </w:t>
      </w:r>
      <w:r>
        <w:rPr>
          <w:color w:val="333333"/>
          <w:w w:val="110"/>
          <w:sz w:val="21"/>
        </w:rPr>
        <w:t>context.</w:t>
      </w:r>
    </w:p>
    <w:p w14:paraId="0A1D00B8" w14:textId="77777777" w:rsidR="00A720EB" w:rsidRDefault="00A720EB">
      <w:pPr>
        <w:spacing w:line="307" w:lineRule="auto"/>
        <w:rPr>
          <w:sz w:val="21"/>
        </w:rPr>
        <w:sectPr w:rsidR="00A720EB">
          <w:pgSz w:w="11910" w:h="16840"/>
          <w:pgMar w:top="700" w:right="840" w:bottom="520" w:left="840" w:header="0" w:footer="198" w:gutter="0"/>
          <w:cols w:space="720"/>
        </w:sectPr>
      </w:pPr>
    </w:p>
    <w:p w14:paraId="15B14CC4" w14:textId="77777777" w:rsidR="00A720EB" w:rsidRDefault="0030286B">
      <w:pPr>
        <w:pStyle w:val="4"/>
        <w:spacing w:before="86"/>
      </w:pPr>
      <w:bookmarkStart w:id="1065" w:name="Value_Hint"/>
      <w:bookmarkEnd w:id="1065"/>
      <w:r>
        <w:rPr>
          <w:color w:val="333333"/>
          <w:w w:val="105"/>
        </w:rPr>
        <w:lastRenderedPageBreak/>
        <w:t>Value Hint</w:t>
      </w:r>
    </w:p>
    <w:p w14:paraId="4DDABE57" w14:textId="77777777" w:rsidR="00A720EB" w:rsidRDefault="0030286B">
      <w:pPr>
        <w:pStyle w:val="a3"/>
        <w:spacing w:before="243" w:line="280" w:lineRule="auto"/>
        <w:ind w:left="124" w:right="122"/>
        <w:jc w:val="both"/>
      </w:pPr>
      <w:r>
        <w:rPr>
          <w:color w:val="333333"/>
          <w:w w:val="110"/>
        </w:rPr>
        <w:t xml:space="preserve">The </w:t>
      </w:r>
      <w:r>
        <w:rPr>
          <w:rFonts w:ascii="MS Gothic"/>
          <w:color w:val="B02045"/>
          <w:w w:val="110"/>
        </w:rPr>
        <w:t xml:space="preserve">name </w:t>
      </w:r>
      <w:r>
        <w:rPr>
          <w:color w:val="333333"/>
          <w:w w:val="110"/>
        </w:rPr>
        <w:t xml:space="preserve">attribute of each hint refers to the </w:t>
      </w:r>
      <w:r>
        <w:rPr>
          <w:rFonts w:ascii="MS Gothic"/>
          <w:color w:val="B02045"/>
          <w:w w:val="110"/>
        </w:rPr>
        <w:t xml:space="preserve">name </w:t>
      </w:r>
      <w:r>
        <w:rPr>
          <w:color w:val="333333"/>
          <w:w w:val="110"/>
        </w:rPr>
        <w:t xml:space="preserve">of a property. In the </w:t>
      </w:r>
      <w:hyperlink w:anchor="_bookmark674" w:history="1">
        <w:r>
          <w:rPr>
            <w:color w:val="418BCA"/>
            <w:w w:val="110"/>
          </w:rPr>
          <w:t>initial example shown earlier</w:t>
        </w:r>
      </w:hyperlink>
      <w:r>
        <w:rPr>
          <w:color w:val="333333"/>
          <w:w w:val="110"/>
        </w:rPr>
        <w:t xml:space="preserve">, we provide five values for the </w:t>
      </w:r>
      <w:r>
        <w:rPr>
          <w:rFonts w:ascii="MS Gothic"/>
          <w:color w:val="B02045"/>
          <w:w w:val="110"/>
        </w:rPr>
        <w:t xml:space="preserve">spring.jpa.hibernate.ddl-auto </w:t>
      </w:r>
      <w:r>
        <w:rPr>
          <w:color w:val="333333"/>
          <w:w w:val="110"/>
        </w:rPr>
        <w:t xml:space="preserve">property: </w:t>
      </w:r>
      <w:r>
        <w:rPr>
          <w:rFonts w:ascii="MS Gothic"/>
          <w:color w:val="B02045"/>
          <w:w w:val="110"/>
        </w:rPr>
        <w:t>none</w:t>
      </w:r>
      <w:r>
        <w:rPr>
          <w:color w:val="333333"/>
          <w:w w:val="110"/>
        </w:rPr>
        <w:t xml:space="preserve">, </w:t>
      </w:r>
      <w:r>
        <w:rPr>
          <w:rFonts w:ascii="MS Gothic"/>
          <w:color w:val="B02045"/>
          <w:w w:val="110"/>
        </w:rPr>
        <w:t>validate</w:t>
      </w:r>
      <w:r>
        <w:rPr>
          <w:color w:val="333333"/>
          <w:w w:val="110"/>
        </w:rPr>
        <w:t xml:space="preserve">, </w:t>
      </w:r>
      <w:r>
        <w:rPr>
          <w:rFonts w:ascii="MS Gothic"/>
          <w:color w:val="B02045"/>
          <w:w w:val="110"/>
        </w:rPr>
        <w:t>update</w:t>
      </w:r>
      <w:r>
        <w:rPr>
          <w:color w:val="333333"/>
          <w:w w:val="110"/>
        </w:rPr>
        <w:t xml:space="preserve">, </w:t>
      </w:r>
      <w:r>
        <w:rPr>
          <w:rFonts w:ascii="MS Gothic"/>
          <w:color w:val="B02045"/>
          <w:w w:val="110"/>
        </w:rPr>
        <w:t>create</w:t>
      </w:r>
      <w:r>
        <w:rPr>
          <w:color w:val="333333"/>
          <w:w w:val="110"/>
        </w:rPr>
        <w:t xml:space="preserve">, and </w:t>
      </w:r>
      <w:r>
        <w:rPr>
          <w:rFonts w:ascii="MS Gothic"/>
          <w:color w:val="B02045"/>
          <w:w w:val="110"/>
        </w:rPr>
        <w:t>create-drop</w:t>
      </w:r>
      <w:r>
        <w:rPr>
          <w:color w:val="333333"/>
          <w:w w:val="110"/>
        </w:rPr>
        <w:t>. Each value may have a description as well.</w:t>
      </w:r>
    </w:p>
    <w:p w14:paraId="5BC4DFDA" w14:textId="77777777" w:rsidR="00A720EB" w:rsidRDefault="0030286B">
      <w:pPr>
        <w:pStyle w:val="a3"/>
        <w:spacing w:before="243" w:line="285" w:lineRule="auto"/>
        <w:ind w:left="124" w:right="124"/>
        <w:jc w:val="both"/>
      </w:pPr>
      <w:r>
        <w:rPr>
          <w:color w:val="333333"/>
          <w:w w:val="110"/>
        </w:rPr>
        <w:t xml:space="preserve">If your property is of type </w:t>
      </w:r>
      <w:r>
        <w:rPr>
          <w:rFonts w:ascii="MS Gothic"/>
          <w:color w:val="B02045"/>
          <w:w w:val="110"/>
        </w:rPr>
        <w:t>Map</w:t>
      </w:r>
      <w:r>
        <w:rPr>
          <w:color w:val="333333"/>
          <w:w w:val="110"/>
        </w:rPr>
        <w:t xml:space="preserve">, you can provide hints for both the keys and the values (but not for   the map itself). The </w:t>
      </w:r>
      <w:proofErr w:type="gramStart"/>
      <w:r>
        <w:rPr>
          <w:color w:val="333333"/>
          <w:w w:val="110"/>
        </w:rPr>
        <w:t xml:space="preserve">special </w:t>
      </w:r>
      <w:r>
        <w:rPr>
          <w:rFonts w:ascii="MS Gothic"/>
          <w:color w:val="B02045"/>
          <w:w w:val="110"/>
        </w:rPr>
        <w:t>.keys</w:t>
      </w:r>
      <w:proofErr w:type="gramEnd"/>
      <w:r>
        <w:rPr>
          <w:rFonts w:ascii="MS Gothic"/>
          <w:color w:val="B02045"/>
          <w:w w:val="110"/>
        </w:rPr>
        <w:t xml:space="preserve"> </w:t>
      </w:r>
      <w:r>
        <w:rPr>
          <w:color w:val="333333"/>
          <w:w w:val="110"/>
        </w:rPr>
        <w:t xml:space="preserve">and </w:t>
      </w:r>
      <w:r>
        <w:rPr>
          <w:rFonts w:ascii="MS Gothic"/>
          <w:color w:val="B02045"/>
          <w:w w:val="110"/>
        </w:rPr>
        <w:t xml:space="preserve">.values </w:t>
      </w:r>
      <w:r>
        <w:rPr>
          <w:color w:val="333333"/>
          <w:w w:val="110"/>
        </w:rPr>
        <w:t xml:space="preserve">suffixes must refer to the keys and the values, </w:t>
      </w:r>
      <w:r>
        <w:rPr>
          <w:color w:val="333333"/>
          <w:spacing w:val="-3"/>
          <w:w w:val="110"/>
        </w:rPr>
        <w:t>respectively.</w:t>
      </w:r>
    </w:p>
    <w:p w14:paraId="2ACC9CA4" w14:textId="77777777" w:rsidR="00A720EB" w:rsidRDefault="00A720EB">
      <w:pPr>
        <w:pStyle w:val="a3"/>
        <w:spacing w:before="7"/>
      </w:pPr>
    </w:p>
    <w:p w14:paraId="06A20F61" w14:textId="77777777" w:rsidR="00A720EB" w:rsidRDefault="0030286B">
      <w:pPr>
        <w:pStyle w:val="a3"/>
        <w:spacing w:line="290" w:lineRule="auto"/>
        <w:ind w:left="124" w:right="126"/>
        <w:jc w:val="both"/>
      </w:pPr>
      <w:r>
        <w:rPr>
          <w:color w:val="333333"/>
          <w:w w:val="110"/>
        </w:rPr>
        <w:t xml:space="preserve">Assume a </w:t>
      </w:r>
      <w:proofErr w:type="gramStart"/>
      <w:r>
        <w:rPr>
          <w:rFonts w:ascii="MS Gothic"/>
          <w:color w:val="B02045"/>
          <w:w w:val="110"/>
        </w:rPr>
        <w:t>sample.contexts</w:t>
      </w:r>
      <w:proofErr w:type="gramEnd"/>
      <w:r>
        <w:rPr>
          <w:rFonts w:ascii="MS Gothic"/>
          <w:color w:val="B02045"/>
          <w:w w:val="110"/>
        </w:rPr>
        <w:t xml:space="preserve"> </w:t>
      </w:r>
      <w:r>
        <w:rPr>
          <w:color w:val="333333"/>
          <w:w w:val="110"/>
        </w:rPr>
        <w:t xml:space="preserve">maps magic </w:t>
      </w:r>
      <w:r>
        <w:rPr>
          <w:rFonts w:ascii="MS Gothic"/>
          <w:color w:val="B02045"/>
          <w:w w:val="110"/>
        </w:rPr>
        <w:t xml:space="preserve">String </w:t>
      </w:r>
      <w:r>
        <w:rPr>
          <w:color w:val="333333"/>
          <w:w w:val="110"/>
        </w:rPr>
        <w:t>values to an integer, as shown in the following example:</w:t>
      </w:r>
    </w:p>
    <w:p w14:paraId="1234C0E0" w14:textId="77777777" w:rsidR="00A720EB" w:rsidRDefault="00E10349">
      <w:pPr>
        <w:pStyle w:val="a3"/>
        <w:spacing w:before="7"/>
        <w:rPr>
          <w:sz w:val="14"/>
        </w:rPr>
      </w:pPr>
      <w:r>
        <w:pict w14:anchorId="2CABF30C">
          <v:group id="_x0000_s1151" style="position:absolute;margin-left:47.85pt;margin-top:10.55pt;width:499.55pt;height:111.2pt;z-index:-15018496;mso-wrap-distance-left:0;mso-wrap-distance-right:0;mso-position-horizontal-relative:page" coordorigin="957,211" coordsize="9991,2224">
            <v:shape id="_x0000_s1154" style="position:absolute;left:964;top:218;width:9976;height:2209" coordorigin="965,219" coordsize="9976,2209" path="m10861,219r-9816,l1014,225r-26,17l971,268r-6,31l965,2348r6,31l988,2404r26,17l1045,2428r9816,l10892,2421r25,-17l10935,2379r6,-31l10941,299r-6,-31l10917,242r-25,-17l10861,219xe" fillcolor="#f5f5f5" stroked="f">
              <v:path arrowok="t"/>
            </v:shape>
            <v:shape id="_x0000_s1153" style="position:absolute;left:964;top:218;width:9976;height:2209" coordorigin="965,219" coordsize="9976,2209" path="m1045,219r9816,l10892,225r25,17l10935,268r6,31l10941,2348r-6,31l10917,2404r-25,17l10861,2428r-9816,l1014,2421r-26,-17l971,2379r-6,-31l965,299r6,-31l988,242r26,-17l1045,219xe" filled="f" strokecolor="#ccc">
              <v:path arrowok="t"/>
            </v:shape>
            <v:shape id="_x0000_s1152" type="#_x0000_t202" style="position:absolute;left:984;top:234;width:9938;height:2178" filled="f" stroked="f">
              <v:textbox inset="0,0,0,0">
                <w:txbxContent>
                  <w:p w14:paraId="22F5BD69" w14:textId="77777777" w:rsidR="00711A16" w:rsidRDefault="00711A16">
                    <w:pPr>
                      <w:spacing w:before="221" w:line="252" w:lineRule="auto"/>
                      <w:ind w:left="200" w:right="5978"/>
                      <w:rPr>
                        <w:rFonts w:ascii="MS Gothic"/>
                      </w:rPr>
                    </w:pPr>
                    <w:r>
                      <w:rPr>
                        <w:rFonts w:ascii="MS Gothic"/>
                        <w:color w:val="333333"/>
                      </w:rPr>
                      <w:t>@ConfigurationProperties("sample") public class SampleProperties {</w:t>
                    </w:r>
                  </w:p>
                  <w:p w14:paraId="48703611" w14:textId="77777777" w:rsidR="00711A16" w:rsidRDefault="00711A16">
                    <w:pPr>
                      <w:spacing w:before="10"/>
                      <w:rPr>
                        <w:rFonts w:ascii="MS Gothic"/>
                      </w:rPr>
                    </w:pPr>
                  </w:p>
                  <w:p w14:paraId="13D70A9D" w14:textId="77777777" w:rsidR="00711A16" w:rsidRDefault="00711A16">
                    <w:pPr>
                      <w:ind w:left="640"/>
                      <w:rPr>
                        <w:rFonts w:ascii="MS Gothic"/>
                      </w:rPr>
                    </w:pPr>
                    <w:r>
                      <w:rPr>
                        <w:rFonts w:ascii="MS Gothic"/>
                        <w:color w:val="333333"/>
                      </w:rPr>
                      <w:t>private Map&lt;</w:t>
                    </w:r>
                    <w:proofErr w:type="gramStart"/>
                    <w:r>
                      <w:rPr>
                        <w:rFonts w:ascii="MS Gothic"/>
                        <w:color w:val="333333"/>
                      </w:rPr>
                      <w:t>String,Integer</w:t>
                    </w:r>
                    <w:proofErr w:type="gramEnd"/>
                    <w:r>
                      <w:rPr>
                        <w:rFonts w:ascii="MS Gothic"/>
                        <w:color w:val="333333"/>
                      </w:rPr>
                      <w:t>&gt; contexts;</w:t>
                    </w:r>
                  </w:p>
                  <w:p w14:paraId="3BBED3BF" w14:textId="77777777" w:rsidR="00711A16" w:rsidRDefault="00711A16">
                    <w:pPr>
                      <w:spacing w:before="13"/>
                      <w:ind w:left="640"/>
                      <w:rPr>
                        <w:rFonts w:ascii="MS Gothic"/>
                      </w:rPr>
                    </w:pPr>
                    <w:r>
                      <w:rPr>
                        <w:rFonts w:ascii="MS Gothic"/>
                        <w:color w:val="333333"/>
                      </w:rPr>
                      <w:t>// getters and setters</w:t>
                    </w:r>
                  </w:p>
                  <w:p w14:paraId="22CE0E65"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0CD8138A" w14:textId="77777777" w:rsidR="00A720EB" w:rsidRDefault="00A720EB">
      <w:pPr>
        <w:pStyle w:val="a3"/>
        <w:spacing w:before="11"/>
        <w:rPr>
          <w:sz w:val="9"/>
        </w:rPr>
      </w:pPr>
    </w:p>
    <w:p w14:paraId="58725785" w14:textId="77777777" w:rsidR="00A720EB" w:rsidRDefault="0030286B">
      <w:pPr>
        <w:pStyle w:val="a3"/>
        <w:spacing w:before="115" w:line="290" w:lineRule="auto"/>
        <w:ind w:left="124"/>
      </w:pPr>
      <w:r>
        <w:rPr>
          <w:color w:val="333333"/>
          <w:w w:val="110"/>
        </w:rPr>
        <w:t xml:space="preserve">The magic values are (in this example) are </w:t>
      </w:r>
      <w:r>
        <w:rPr>
          <w:rFonts w:ascii="MS Gothic"/>
          <w:color w:val="B02045"/>
          <w:w w:val="110"/>
        </w:rPr>
        <w:t xml:space="preserve">sample1 </w:t>
      </w:r>
      <w:r>
        <w:rPr>
          <w:color w:val="333333"/>
          <w:w w:val="110"/>
        </w:rPr>
        <w:t xml:space="preserve">and </w:t>
      </w:r>
      <w:r>
        <w:rPr>
          <w:rFonts w:ascii="MS Gothic"/>
          <w:color w:val="B02045"/>
          <w:w w:val="110"/>
        </w:rPr>
        <w:t>sample2</w:t>
      </w:r>
      <w:r>
        <w:rPr>
          <w:color w:val="333333"/>
          <w:w w:val="110"/>
        </w:rPr>
        <w:t xml:space="preserve">. In order to offer additional content assistance for the keys, you could add the following JSON to </w:t>
      </w:r>
      <w:hyperlink w:anchor="_bookmark685" w:history="1">
        <w:r>
          <w:rPr>
            <w:color w:val="418BCA"/>
            <w:w w:val="110"/>
          </w:rPr>
          <w:t>the manual metadata of the module</w:t>
        </w:r>
      </w:hyperlink>
      <w:r>
        <w:rPr>
          <w:color w:val="333333"/>
          <w:w w:val="110"/>
        </w:rPr>
        <w:t>:</w:t>
      </w:r>
    </w:p>
    <w:p w14:paraId="3594609C" w14:textId="77777777" w:rsidR="00A720EB" w:rsidRDefault="00E10349">
      <w:pPr>
        <w:pStyle w:val="a3"/>
        <w:spacing w:before="8"/>
        <w:rPr>
          <w:sz w:val="14"/>
        </w:rPr>
      </w:pPr>
      <w:r>
        <w:pict w14:anchorId="5B97D033">
          <v:group id="_x0000_s1147" style="position:absolute;margin-left:47.85pt;margin-top:10.6pt;width:499.55pt;height:214.4pt;z-index:-15017984;mso-wrap-distance-left:0;mso-wrap-distance-right:0;mso-position-horizontal-relative:page" coordorigin="957,212" coordsize="9991,4288">
            <v:shape id="_x0000_s1150" style="position:absolute;left:964;top:219;width:9976;height:4273" coordorigin="965,219" coordsize="9976,4273" path="m10861,219r-9816,l1014,226r-26,17l971,268r-6,31l965,4412r6,31l988,4468r26,17l1045,4492r9816,l10892,4485r25,-17l10935,4443r6,-31l10941,299r-6,-31l10917,243r-25,-17l10861,219xe" fillcolor="#f5f5f5" stroked="f">
              <v:path arrowok="t"/>
            </v:shape>
            <v:shape id="_x0000_s1149" style="position:absolute;left:964;top:219;width:9976;height:4273" coordorigin="965,219" coordsize="9976,4273" path="m1045,219r9816,l10892,226r25,17l10935,268r6,31l10941,4412r-6,31l10917,4468r-25,17l10861,4492r-9816,l1014,4485r-26,-17l971,4443r-6,-31l965,299r6,-31l988,243r26,-17l1045,219xe" filled="f" strokecolor="#ccc">
              <v:path arrowok="t"/>
            </v:shape>
            <v:shape id="_x0000_s1148" type="#_x0000_t202" style="position:absolute;left:984;top:234;width:9938;height:4242" filled="f" stroked="f">
              <v:textbox inset="0,0,0,0">
                <w:txbxContent>
                  <w:p w14:paraId="7F463A6E" w14:textId="77777777" w:rsidR="00711A16" w:rsidRDefault="00711A16">
                    <w:pPr>
                      <w:spacing w:before="221"/>
                      <w:ind w:left="200"/>
                      <w:rPr>
                        <w:rFonts w:ascii="MS Gothic"/>
                      </w:rPr>
                    </w:pPr>
                    <w:r>
                      <w:rPr>
                        <w:rFonts w:ascii="MS Gothic"/>
                        <w:color w:val="333333"/>
                      </w:rPr>
                      <w:t>{"hints": [</w:t>
                    </w:r>
                  </w:p>
                  <w:p w14:paraId="443C9C7A" w14:textId="77777777" w:rsidR="00711A16" w:rsidRDefault="00711A16">
                    <w:pPr>
                      <w:spacing w:before="13"/>
                      <w:ind w:left="640"/>
                      <w:rPr>
                        <w:rFonts w:ascii="MS Gothic"/>
                      </w:rPr>
                    </w:pPr>
                    <w:r>
                      <w:rPr>
                        <w:rFonts w:ascii="MS Gothic"/>
                        <w:color w:val="333333"/>
                      </w:rPr>
                      <w:t>{</w:t>
                    </w:r>
                  </w:p>
                  <w:p w14:paraId="644BBA60" w14:textId="77777777" w:rsidR="00711A16" w:rsidRDefault="00711A16">
                    <w:pPr>
                      <w:spacing w:before="13" w:line="252" w:lineRule="auto"/>
                      <w:ind w:left="1080" w:right="5428"/>
                      <w:rPr>
                        <w:rFonts w:ascii="MS Gothic"/>
                      </w:rPr>
                    </w:pPr>
                    <w:r>
                      <w:rPr>
                        <w:rFonts w:ascii="MS Gothic"/>
                        <w:color w:val="333333"/>
                      </w:rPr>
                      <w:t>"name": "</w:t>
                    </w:r>
                    <w:proofErr w:type="gramStart"/>
                    <w:r>
                      <w:rPr>
                        <w:rFonts w:ascii="MS Gothic"/>
                        <w:color w:val="333333"/>
                      </w:rPr>
                      <w:t>sample.contexts</w:t>
                    </w:r>
                    <w:proofErr w:type="gramEnd"/>
                    <w:r>
                      <w:rPr>
                        <w:rFonts w:ascii="MS Gothic"/>
                        <w:color w:val="333333"/>
                      </w:rPr>
                      <w:t>.keys", "values": [</w:t>
                    </w:r>
                  </w:p>
                  <w:p w14:paraId="4839EEB5" w14:textId="77777777" w:rsidR="00711A16" w:rsidRDefault="00711A16">
                    <w:pPr>
                      <w:spacing w:line="280" w:lineRule="exact"/>
                      <w:ind w:left="1520"/>
                      <w:rPr>
                        <w:rFonts w:ascii="MS Gothic"/>
                      </w:rPr>
                    </w:pPr>
                    <w:r>
                      <w:rPr>
                        <w:rFonts w:ascii="MS Gothic"/>
                        <w:color w:val="333333"/>
                      </w:rPr>
                      <w:t>{</w:t>
                    </w:r>
                  </w:p>
                  <w:p w14:paraId="71877CED" w14:textId="77777777" w:rsidR="00711A16" w:rsidRDefault="00711A16">
                    <w:pPr>
                      <w:spacing w:before="13"/>
                      <w:ind w:left="1960"/>
                      <w:rPr>
                        <w:rFonts w:ascii="MS Gothic"/>
                      </w:rPr>
                    </w:pPr>
                    <w:r>
                      <w:rPr>
                        <w:rFonts w:ascii="MS Gothic"/>
                        <w:color w:val="333333"/>
                      </w:rPr>
                      <w:t>"value": "sample1"</w:t>
                    </w:r>
                  </w:p>
                  <w:p w14:paraId="75D094DE" w14:textId="77777777" w:rsidR="00711A16" w:rsidRDefault="00711A16">
                    <w:pPr>
                      <w:spacing w:before="12"/>
                      <w:ind w:left="1520"/>
                      <w:rPr>
                        <w:rFonts w:ascii="MS Gothic"/>
                      </w:rPr>
                    </w:pPr>
                    <w:r>
                      <w:rPr>
                        <w:rFonts w:ascii="MS Gothic"/>
                        <w:color w:val="333333"/>
                      </w:rPr>
                      <w:t>},</w:t>
                    </w:r>
                  </w:p>
                  <w:p w14:paraId="5DEC03C1" w14:textId="77777777" w:rsidR="00711A16" w:rsidRDefault="00711A16">
                    <w:pPr>
                      <w:spacing w:before="13"/>
                      <w:ind w:left="1520"/>
                      <w:rPr>
                        <w:rFonts w:ascii="MS Gothic"/>
                      </w:rPr>
                    </w:pPr>
                    <w:r>
                      <w:rPr>
                        <w:rFonts w:ascii="MS Gothic"/>
                        <w:color w:val="333333"/>
                      </w:rPr>
                      <w:t>{</w:t>
                    </w:r>
                  </w:p>
                  <w:p w14:paraId="4258EDBD" w14:textId="77777777" w:rsidR="00711A16" w:rsidRDefault="00711A16">
                    <w:pPr>
                      <w:spacing w:before="13"/>
                      <w:ind w:left="1960"/>
                      <w:rPr>
                        <w:rFonts w:ascii="MS Gothic"/>
                      </w:rPr>
                    </w:pPr>
                    <w:r>
                      <w:rPr>
                        <w:rFonts w:ascii="MS Gothic"/>
                        <w:color w:val="333333"/>
                      </w:rPr>
                      <w:t>"value": "sample2"</w:t>
                    </w:r>
                  </w:p>
                  <w:p w14:paraId="68A53157" w14:textId="77777777" w:rsidR="00711A16" w:rsidRDefault="00711A16">
                    <w:pPr>
                      <w:spacing w:before="13"/>
                      <w:ind w:left="1520"/>
                      <w:rPr>
                        <w:rFonts w:ascii="MS Gothic"/>
                      </w:rPr>
                    </w:pPr>
                    <w:r>
                      <w:rPr>
                        <w:rFonts w:ascii="MS Gothic"/>
                        <w:color w:val="333333"/>
                      </w:rPr>
                      <w:t>}</w:t>
                    </w:r>
                  </w:p>
                  <w:p w14:paraId="2462D3F6" w14:textId="77777777" w:rsidR="00711A16" w:rsidRDefault="00711A16">
                    <w:pPr>
                      <w:spacing w:before="13"/>
                      <w:ind w:left="1080"/>
                      <w:rPr>
                        <w:rFonts w:ascii="MS Gothic"/>
                      </w:rPr>
                    </w:pPr>
                    <w:r>
                      <w:rPr>
                        <w:rFonts w:ascii="MS Gothic"/>
                        <w:color w:val="333333"/>
                      </w:rPr>
                      <w:t>]</w:t>
                    </w:r>
                  </w:p>
                  <w:p w14:paraId="7E6A59C8" w14:textId="77777777" w:rsidR="00711A16" w:rsidRDefault="00711A16">
                    <w:pPr>
                      <w:spacing w:before="13"/>
                      <w:ind w:left="640"/>
                      <w:rPr>
                        <w:rFonts w:ascii="MS Gothic"/>
                      </w:rPr>
                    </w:pPr>
                    <w:r>
                      <w:rPr>
                        <w:rFonts w:ascii="MS Gothic"/>
                        <w:color w:val="333333"/>
                      </w:rPr>
                      <w:t>}</w:t>
                    </w:r>
                  </w:p>
                  <w:p w14:paraId="5103508E"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184B0B9A" w14:textId="77777777" w:rsidR="00A720EB" w:rsidRDefault="00A720EB">
      <w:pPr>
        <w:pStyle w:val="a3"/>
        <w:spacing w:before="8"/>
        <w:rPr>
          <w:sz w:val="16"/>
        </w:rPr>
      </w:pPr>
    </w:p>
    <w:p w14:paraId="1208DF00" w14:textId="77777777" w:rsidR="00A720EB" w:rsidRDefault="00E10349">
      <w:pPr>
        <w:pStyle w:val="a3"/>
        <w:spacing w:before="116" w:line="290" w:lineRule="auto"/>
        <w:ind w:left="1564" w:right="462"/>
      </w:pPr>
      <w:r>
        <w:pict w14:anchorId="6A1B213F">
          <v:line id="_x0000_s1146" style="position:absolute;left:0;text-align:left;z-index:16439808;mso-position-horizontal-relative:page" from="108.25pt,.35pt" to="108.25pt,39.9pt" strokecolor="#ededed" strokeweight=".5pt">
            <w10:wrap anchorx="page"/>
          </v:line>
        </w:pict>
      </w:r>
      <w:r w:rsidR="0030286B">
        <w:rPr>
          <w:noProof/>
        </w:rPr>
        <w:drawing>
          <wp:anchor distT="0" distB="0" distL="0" distR="0" simplePos="0" relativeHeight="16440320" behindDoc="0" locked="0" layoutInCell="1" allowOverlap="1" wp14:anchorId="2DD75D3B" wp14:editId="3A207720">
            <wp:simplePos x="0" y="0"/>
            <wp:positionH relativeFrom="page">
              <wp:posOffset>888949</wp:posOffset>
            </wp:positionH>
            <wp:positionV relativeFrom="paragraph">
              <wp:posOffset>103073</wp:posOffset>
            </wp:positionV>
            <wp:extent cx="209550" cy="304800"/>
            <wp:effectExtent l="0" t="0" r="0" b="0"/>
            <wp:wrapNone/>
            <wp:docPr id="80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We recommend that you use an </w:t>
      </w:r>
      <w:r w:rsidR="0030286B">
        <w:rPr>
          <w:rFonts w:ascii="MS Gothic"/>
          <w:color w:val="B02045"/>
          <w:w w:val="110"/>
        </w:rPr>
        <w:t xml:space="preserve">Enum </w:t>
      </w:r>
      <w:r w:rsidR="0030286B">
        <w:rPr>
          <w:color w:val="333333"/>
          <w:w w:val="110"/>
        </w:rPr>
        <w:t>for those two values instead. If your IDE supports it, this is by far the most effective approach to auto-completion.</w:t>
      </w:r>
    </w:p>
    <w:p w14:paraId="795FC47C" w14:textId="77777777" w:rsidR="00A720EB" w:rsidRDefault="00A720EB">
      <w:pPr>
        <w:pStyle w:val="a3"/>
        <w:spacing w:before="1"/>
        <w:rPr>
          <w:sz w:val="25"/>
        </w:rPr>
      </w:pPr>
    </w:p>
    <w:p w14:paraId="6A01BFCE" w14:textId="77777777" w:rsidR="00A720EB" w:rsidRDefault="0030286B">
      <w:pPr>
        <w:pStyle w:val="4"/>
        <w:spacing w:before="105"/>
      </w:pPr>
      <w:bookmarkStart w:id="1066" w:name="Value_Providers"/>
      <w:bookmarkEnd w:id="1066"/>
      <w:r>
        <w:rPr>
          <w:color w:val="333333"/>
          <w:w w:val="110"/>
        </w:rPr>
        <w:t>Value Providers</w:t>
      </w:r>
    </w:p>
    <w:p w14:paraId="60283E4A" w14:textId="77777777" w:rsidR="00A720EB" w:rsidRDefault="00A720EB">
      <w:pPr>
        <w:pStyle w:val="a3"/>
        <w:spacing w:before="11"/>
        <w:rPr>
          <w:rFonts w:ascii="Palatino Linotype"/>
          <w:b/>
          <w:sz w:val="18"/>
        </w:rPr>
      </w:pPr>
    </w:p>
    <w:p w14:paraId="02EA91C6" w14:textId="77777777" w:rsidR="00A720EB" w:rsidRDefault="0030286B">
      <w:pPr>
        <w:pStyle w:val="a3"/>
        <w:spacing w:line="307" w:lineRule="auto"/>
        <w:ind w:left="124" w:right="130"/>
        <w:jc w:val="both"/>
      </w:pPr>
      <w:r>
        <w:rPr>
          <w:color w:val="333333"/>
          <w:w w:val="110"/>
        </w:rPr>
        <w:t xml:space="preserve">Providers are a powerful way to attach semantics to a </w:t>
      </w:r>
      <w:r>
        <w:rPr>
          <w:color w:val="333333"/>
          <w:spacing w:val="-3"/>
          <w:w w:val="110"/>
        </w:rPr>
        <w:t xml:space="preserve">property. </w:t>
      </w:r>
      <w:r>
        <w:rPr>
          <w:color w:val="333333"/>
          <w:w w:val="110"/>
        </w:rPr>
        <w:t xml:space="preserve">In </w:t>
      </w:r>
      <w:proofErr w:type="gramStart"/>
      <w:r>
        <w:rPr>
          <w:color w:val="333333"/>
          <w:w w:val="110"/>
        </w:rPr>
        <w:t>this  section</w:t>
      </w:r>
      <w:proofErr w:type="gramEnd"/>
      <w:r>
        <w:rPr>
          <w:color w:val="333333"/>
          <w:w w:val="110"/>
        </w:rPr>
        <w:t>,  we  define  the official providers that you can use for your own hints. However, your favorite IDE may implement some of these or none of them. Also, it could eventually provide its</w:t>
      </w:r>
      <w:r>
        <w:rPr>
          <w:color w:val="333333"/>
          <w:spacing w:val="50"/>
          <w:w w:val="110"/>
        </w:rPr>
        <w:t xml:space="preserve"> </w:t>
      </w:r>
      <w:r>
        <w:rPr>
          <w:color w:val="333333"/>
          <w:w w:val="110"/>
        </w:rPr>
        <w:t>own.</w:t>
      </w:r>
    </w:p>
    <w:p w14:paraId="7BE71A30" w14:textId="77777777" w:rsidR="00A720EB" w:rsidRDefault="00A720EB">
      <w:pPr>
        <w:spacing w:line="307" w:lineRule="auto"/>
        <w:jc w:val="both"/>
        <w:sectPr w:rsidR="00A720EB">
          <w:pgSz w:w="11910" w:h="16840"/>
          <w:pgMar w:top="620" w:right="840" w:bottom="520" w:left="840" w:header="0" w:footer="198" w:gutter="0"/>
          <w:cols w:space="720"/>
        </w:sectPr>
      </w:pPr>
    </w:p>
    <w:p w14:paraId="6BE4ABA8" w14:textId="77777777" w:rsidR="00A720EB" w:rsidRDefault="00E10349">
      <w:pPr>
        <w:pStyle w:val="a3"/>
        <w:spacing w:before="122" w:line="307" w:lineRule="auto"/>
        <w:ind w:left="1564" w:right="462"/>
      </w:pPr>
      <w:r>
        <w:lastRenderedPageBreak/>
        <w:pict w14:anchorId="0A86E689">
          <v:line id="_x0000_s1145" style="position:absolute;left:0;text-align:left;z-index:16440832;mso-position-horizontal-relative:page" from="108.25pt,.1pt" to="108.25pt,39.65pt" strokecolor="#ededed" strokeweight=".5pt">
            <w10:wrap anchorx="page"/>
          </v:line>
        </w:pict>
      </w:r>
      <w:r w:rsidR="0030286B">
        <w:rPr>
          <w:noProof/>
        </w:rPr>
        <w:drawing>
          <wp:anchor distT="0" distB="0" distL="0" distR="0" simplePos="0" relativeHeight="16441344" behindDoc="0" locked="0" layoutInCell="1" allowOverlap="1" wp14:anchorId="7446DC6D" wp14:editId="5D832673">
            <wp:simplePos x="0" y="0"/>
            <wp:positionH relativeFrom="page">
              <wp:posOffset>844422</wp:posOffset>
            </wp:positionH>
            <wp:positionV relativeFrom="paragraph">
              <wp:posOffset>103417</wp:posOffset>
            </wp:positionV>
            <wp:extent cx="298450" cy="298450"/>
            <wp:effectExtent l="0" t="0" r="0" b="0"/>
            <wp:wrapNone/>
            <wp:docPr id="8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As this is a new feature, IDE vendors must catch up with how it works. Adoption times naturally vary.</w:t>
      </w:r>
    </w:p>
    <w:p w14:paraId="3E9A457E" w14:textId="77777777" w:rsidR="00A720EB" w:rsidRDefault="00A720EB">
      <w:pPr>
        <w:pStyle w:val="a3"/>
        <w:spacing w:before="8"/>
        <w:rPr>
          <w:sz w:val="16"/>
        </w:rPr>
      </w:pPr>
    </w:p>
    <w:p w14:paraId="3F68B72F" w14:textId="77777777" w:rsidR="00A720EB" w:rsidRDefault="0030286B">
      <w:pPr>
        <w:pStyle w:val="a3"/>
        <w:spacing w:before="125"/>
        <w:ind w:left="124"/>
      </w:pPr>
      <w:r>
        <w:rPr>
          <w:color w:val="333333"/>
          <w:w w:val="110"/>
        </w:rPr>
        <w:t>The following table summarizes the list of supported providers:</w:t>
      </w:r>
    </w:p>
    <w:p w14:paraId="2F4859B2"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6650"/>
      </w:tblGrid>
      <w:tr w:rsidR="00A720EB" w14:paraId="41A5EA57" w14:textId="77777777">
        <w:trPr>
          <w:trHeight w:val="415"/>
        </w:trPr>
        <w:tc>
          <w:tcPr>
            <w:tcW w:w="3325" w:type="dxa"/>
            <w:tcBorders>
              <w:bottom w:val="single" w:sz="12" w:space="0" w:color="DDDDDD"/>
            </w:tcBorders>
          </w:tcPr>
          <w:p w14:paraId="05A5D06B" w14:textId="77777777" w:rsidR="00A720EB" w:rsidRDefault="0030286B">
            <w:pPr>
              <w:pStyle w:val="TableParagraph"/>
              <w:spacing w:before="74"/>
              <w:rPr>
                <w:rFonts w:ascii="Palatino Linotype"/>
                <w:b/>
                <w:sz w:val="21"/>
              </w:rPr>
            </w:pPr>
            <w:r>
              <w:rPr>
                <w:rFonts w:ascii="Palatino Linotype"/>
                <w:b/>
                <w:color w:val="333333"/>
                <w:w w:val="110"/>
                <w:sz w:val="21"/>
              </w:rPr>
              <w:t>Name</w:t>
            </w:r>
          </w:p>
        </w:tc>
        <w:tc>
          <w:tcPr>
            <w:tcW w:w="6650" w:type="dxa"/>
            <w:tcBorders>
              <w:bottom w:val="single" w:sz="12" w:space="0" w:color="DDDDDD"/>
            </w:tcBorders>
          </w:tcPr>
          <w:p w14:paraId="453948AD"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7CAA3946" w14:textId="77777777">
        <w:trPr>
          <w:trHeight w:val="415"/>
        </w:trPr>
        <w:tc>
          <w:tcPr>
            <w:tcW w:w="3325" w:type="dxa"/>
            <w:tcBorders>
              <w:top w:val="single" w:sz="12" w:space="0" w:color="DDDDDD"/>
            </w:tcBorders>
          </w:tcPr>
          <w:p w14:paraId="151BEF1D" w14:textId="77777777" w:rsidR="00A720EB" w:rsidRDefault="0030286B">
            <w:pPr>
              <w:pStyle w:val="TableParagraph"/>
              <w:spacing w:before="30"/>
              <w:rPr>
                <w:sz w:val="21"/>
              </w:rPr>
            </w:pPr>
            <w:r>
              <w:rPr>
                <w:color w:val="B02045"/>
                <w:sz w:val="21"/>
              </w:rPr>
              <w:t>any</w:t>
            </w:r>
          </w:p>
        </w:tc>
        <w:tc>
          <w:tcPr>
            <w:tcW w:w="6650" w:type="dxa"/>
            <w:tcBorders>
              <w:top w:val="single" w:sz="12" w:space="0" w:color="DDDDDD"/>
            </w:tcBorders>
          </w:tcPr>
          <w:p w14:paraId="6BB0E767" w14:textId="77777777" w:rsidR="00A720EB" w:rsidRDefault="0030286B">
            <w:pPr>
              <w:pStyle w:val="TableParagraph"/>
              <w:spacing w:before="84"/>
              <w:rPr>
                <w:rFonts w:ascii="Cambria"/>
                <w:sz w:val="21"/>
              </w:rPr>
            </w:pPr>
            <w:r>
              <w:rPr>
                <w:rFonts w:ascii="Cambria"/>
                <w:color w:val="333333"/>
                <w:w w:val="110"/>
                <w:sz w:val="21"/>
              </w:rPr>
              <w:t>Permits any additional value to be provided.</w:t>
            </w:r>
          </w:p>
        </w:tc>
      </w:tr>
      <w:tr w:rsidR="00A720EB" w14:paraId="22428221" w14:textId="77777777">
        <w:trPr>
          <w:trHeight w:val="1056"/>
        </w:trPr>
        <w:tc>
          <w:tcPr>
            <w:tcW w:w="3325" w:type="dxa"/>
          </w:tcPr>
          <w:p w14:paraId="29643123" w14:textId="77777777" w:rsidR="00A720EB" w:rsidRDefault="0030286B">
            <w:pPr>
              <w:pStyle w:val="TableParagraph"/>
              <w:spacing w:before="40"/>
              <w:rPr>
                <w:sz w:val="21"/>
              </w:rPr>
            </w:pPr>
            <w:r>
              <w:rPr>
                <w:color w:val="B02045"/>
                <w:sz w:val="21"/>
              </w:rPr>
              <w:t>class-reference</w:t>
            </w:r>
          </w:p>
        </w:tc>
        <w:tc>
          <w:tcPr>
            <w:tcW w:w="6650" w:type="dxa"/>
          </w:tcPr>
          <w:p w14:paraId="03BDC530" w14:textId="77777777" w:rsidR="00A720EB" w:rsidRDefault="0030286B">
            <w:pPr>
              <w:pStyle w:val="TableParagraph"/>
              <w:spacing w:before="94" w:line="295" w:lineRule="auto"/>
              <w:rPr>
                <w:rFonts w:ascii="Cambria"/>
                <w:sz w:val="21"/>
              </w:rPr>
            </w:pPr>
            <w:r>
              <w:rPr>
                <w:rFonts w:ascii="Cambria"/>
                <w:color w:val="333333"/>
                <w:w w:val="110"/>
                <w:sz w:val="21"/>
              </w:rPr>
              <w:t xml:space="preserve">Auto-completes the classes available in the project. Usually constrained by a base class that is specified by the </w:t>
            </w:r>
            <w:r>
              <w:rPr>
                <w:color w:val="B02045"/>
                <w:w w:val="110"/>
                <w:sz w:val="21"/>
              </w:rPr>
              <w:t xml:space="preserve">target </w:t>
            </w:r>
            <w:r>
              <w:rPr>
                <w:rFonts w:ascii="Cambria"/>
                <w:color w:val="333333"/>
                <w:w w:val="110"/>
                <w:sz w:val="21"/>
              </w:rPr>
              <w:t>parameter.</w:t>
            </w:r>
          </w:p>
        </w:tc>
      </w:tr>
      <w:tr w:rsidR="00A720EB" w14:paraId="2F0D6A39" w14:textId="77777777">
        <w:trPr>
          <w:trHeight w:val="741"/>
        </w:trPr>
        <w:tc>
          <w:tcPr>
            <w:tcW w:w="3325" w:type="dxa"/>
          </w:tcPr>
          <w:p w14:paraId="6C86EE99" w14:textId="77777777" w:rsidR="00A720EB" w:rsidRDefault="0030286B">
            <w:pPr>
              <w:pStyle w:val="TableParagraph"/>
              <w:spacing w:before="40"/>
              <w:rPr>
                <w:sz w:val="21"/>
              </w:rPr>
            </w:pPr>
            <w:r>
              <w:rPr>
                <w:color w:val="B02045"/>
                <w:sz w:val="21"/>
              </w:rPr>
              <w:t>handle-as</w:t>
            </w:r>
          </w:p>
        </w:tc>
        <w:tc>
          <w:tcPr>
            <w:tcW w:w="6650" w:type="dxa"/>
          </w:tcPr>
          <w:p w14:paraId="0F7C4FC8" w14:textId="77777777" w:rsidR="00A720EB" w:rsidRDefault="0030286B">
            <w:pPr>
              <w:pStyle w:val="TableParagraph"/>
              <w:spacing w:before="11" w:line="330" w:lineRule="atLeast"/>
              <w:rPr>
                <w:rFonts w:ascii="Cambria"/>
                <w:sz w:val="21"/>
              </w:rPr>
            </w:pPr>
            <w:r>
              <w:rPr>
                <w:rFonts w:ascii="Cambria"/>
                <w:color w:val="333333"/>
                <w:w w:val="110"/>
                <w:sz w:val="21"/>
              </w:rPr>
              <w:t xml:space="preserve">Handles the property as if it were defined </w:t>
            </w:r>
            <w:r>
              <w:rPr>
                <w:rFonts w:ascii="Cambria"/>
                <w:color w:val="333333"/>
                <w:spacing w:val="-3"/>
                <w:w w:val="110"/>
                <w:sz w:val="21"/>
              </w:rPr>
              <w:t xml:space="preserve">by </w:t>
            </w:r>
            <w:r>
              <w:rPr>
                <w:rFonts w:ascii="Cambria"/>
                <w:color w:val="333333"/>
                <w:w w:val="110"/>
                <w:sz w:val="21"/>
              </w:rPr>
              <w:t xml:space="preserve">the type defined </w:t>
            </w:r>
            <w:r>
              <w:rPr>
                <w:rFonts w:ascii="Cambria"/>
                <w:color w:val="333333"/>
                <w:spacing w:val="-3"/>
                <w:w w:val="110"/>
                <w:sz w:val="21"/>
              </w:rPr>
              <w:t xml:space="preserve">by </w:t>
            </w:r>
            <w:r>
              <w:rPr>
                <w:rFonts w:ascii="Cambria"/>
                <w:color w:val="333333"/>
                <w:w w:val="110"/>
                <w:sz w:val="21"/>
              </w:rPr>
              <w:t xml:space="preserve">the mandatory </w:t>
            </w:r>
            <w:r>
              <w:rPr>
                <w:color w:val="B02045"/>
                <w:w w:val="110"/>
                <w:sz w:val="21"/>
              </w:rPr>
              <w:t>target</w:t>
            </w:r>
            <w:r>
              <w:rPr>
                <w:color w:val="B02045"/>
                <w:spacing w:val="-56"/>
                <w:w w:val="110"/>
                <w:sz w:val="21"/>
              </w:rPr>
              <w:t xml:space="preserve"> </w:t>
            </w:r>
            <w:r>
              <w:rPr>
                <w:rFonts w:ascii="Cambria"/>
                <w:color w:val="333333"/>
                <w:w w:val="110"/>
                <w:sz w:val="21"/>
              </w:rPr>
              <w:t>parameter.</w:t>
            </w:r>
          </w:p>
        </w:tc>
      </w:tr>
      <w:tr w:rsidR="00A720EB" w14:paraId="1CE70547" w14:textId="77777777">
        <w:trPr>
          <w:trHeight w:val="1056"/>
        </w:trPr>
        <w:tc>
          <w:tcPr>
            <w:tcW w:w="3325" w:type="dxa"/>
          </w:tcPr>
          <w:p w14:paraId="30B0D9E2" w14:textId="77777777" w:rsidR="00A720EB" w:rsidRDefault="0030286B">
            <w:pPr>
              <w:pStyle w:val="TableParagraph"/>
              <w:spacing w:before="40"/>
              <w:rPr>
                <w:sz w:val="21"/>
              </w:rPr>
            </w:pPr>
            <w:r>
              <w:rPr>
                <w:color w:val="B02045"/>
                <w:sz w:val="21"/>
              </w:rPr>
              <w:t>logger-name</w:t>
            </w:r>
          </w:p>
        </w:tc>
        <w:tc>
          <w:tcPr>
            <w:tcW w:w="6650" w:type="dxa"/>
          </w:tcPr>
          <w:p w14:paraId="0BA39064" w14:textId="77777777" w:rsidR="00A720EB" w:rsidRDefault="0030286B">
            <w:pPr>
              <w:pStyle w:val="TableParagraph"/>
              <w:spacing w:before="31" w:line="310" w:lineRule="atLeast"/>
              <w:ind w:right="173"/>
              <w:jc w:val="both"/>
              <w:rPr>
                <w:rFonts w:ascii="Cambria"/>
                <w:sz w:val="21"/>
              </w:rPr>
            </w:pPr>
            <w:r>
              <w:rPr>
                <w:rFonts w:ascii="Cambria"/>
                <w:color w:val="333333"/>
                <w:w w:val="110"/>
                <w:sz w:val="21"/>
              </w:rPr>
              <w:t xml:space="preserve">Auto-completes valid logger names and </w:t>
            </w:r>
            <w:hyperlink w:anchor="_bookmark136" w:history="1">
              <w:r>
                <w:rPr>
                  <w:rFonts w:ascii="Cambria"/>
                  <w:color w:val="418BCA"/>
                  <w:w w:val="110"/>
                  <w:sz w:val="21"/>
                </w:rPr>
                <w:t>logger groups</w:t>
              </w:r>
            </w:hyperlink>
            <w:r>
              <w:rPr>
                <w:rFonts w:ascii="Cambria"/>
                <w:color w:val="333333"/>
                <w:w w:val="110"/>
                <w:sz w:val="21"/>
              </w:rPr>
              <w:t>. Typically, package and class names available in the current project can be auto-completed as well as defined groups.</w:t>
            </w:r>
          </w:p>
        </w:tc>
      </w:tr>
      <w:tr w:rsidR="00A720EB" w14:paraId="4E16096D" w14:textId="77777777">
        <w:trPr>
          <w:trHeight w:val="1056"/>
        </w:trPr>
        <w:tc>
          <w:tcPr>
            <w:tcW w:w="3325" w:type="dxa"/>
          </w:tcPr>
          <w:p w14:paraId="65C22A11" w14:textId="77777777" w:rsidR="00A720EB" w:rsidRDefault="0030286B">
            <w:pPr>
              <w:pStyle w:val="TableParagraph"/>
              <w:spacing w:before="40"/>
              <w:rPr>
                <w:sz w:val="21"/>
              </w:rPr>
            </w:pPr>
            <w:r>
              <w:rPr>
                <w:color w:val="B02045"/>
                <w:sz w:val="21"/>
              </w:rPr>
              <w:t>spring-bean-reference</w:t>
            </w:r>
          </w:p>
        </w:tc>
        <w:tc>
          <w:tcPr>
            <w:tcW w:w="6650" w:type="dxa"/>
          </w:tcPr>
          <w:p w14:paraId="64D4ADA2" w14:textId="77777777" w:rsidR="00A720EB" w:rsidRDefault="0030286B">
            <w:pPr>
              <w:pStyle w:val="TableParagraph"/>
              <w:spacing w:before="94" w:line="295" w:lineRule="auto"/>
              <w:rPr>
                <w:rFonts w:ascii="Cambria"/>
                <w:sz w:val="21"/>
              </w:rPr>
            </w:pPr>
            <w:r>
              <w:rPr>
                <w:rFonts w:ascii="Cambria"/>
                <w:color w:val="333333"/>
                <w:w w:val="110"/>
                <w:sz w:val="21"/>
              </w:rPr>
              <w:t xml:space="preserve">Auto-completes the available bean names in the current project. Usually constrained by a base class that is specified by the </w:t>
            </w:r>
            <w:r>
              <w:rPr>
                <w:color w:val="B02045"/>
                <w:w w:val="110"/>
                <w:sz w:val="21"/>
              </w:rPr>
              <w:t xml:space="preserve">target </w:t>
            </w:r>
            <w:r>
              <w:rPr>
                <w:rFonts w:ascii="Cambria"/>
                <w:color w:val="333333"/>
                <w:w w:val="110"/>
                <w:sz w:val="21"/>
              </w:rPr>
              <w:t>parameter.</w:t>
            </w:r>
          </w:p>
        </w:tc>
      </w:tr>
      <w:tr w:rsidR="00A720EB" w14:paraId="552A2EA3" w14:textId="77777777">
        <w:trPr>
          <w:trHeight w:val="425"/>
        </w:trPr>
        <w:tc>
          <w:tcPr>
            <w:tcW w:w="3325" w:type="dxa"/>
          </w:tcPr>
          <w:p w14:paraId="3E7471D1" w14:textId="77777777" w:rsidR="00A720EB" w:rsidRDefault="0030286B">
            <w:pPr>
              <w:pStyle w:val="TableParagraph"/>
              <w:spacing w:before="40"/>
              <w:rPr>
                <w:sz w:val="21"/>
              </w:rPr>
            </w:pPr>
            <w:r>
              <w:rPr>
                <w:color w:val="B02045"/>
                <w:sz w:val="21"/>
              </w:rPr>
              <w:t>spring-profile-name</w:t>
            </w:r>
          </w:p>
        </w:tc>
        <w:tc>
          <w:tcPr>
            <w:tcW w:w="6650" w:type="dxa"/>
          </w:tcPr>
          <w:p w14:paraId="143F22E4" w14:textId="77777777" w:rsidR="00A720EB" w:rsidRDefault="0030286B">
            <w:pPr>
              <w:pStyle w:val="TableParagraph"/>
              <w:spacing w:before="94"/>
              <w:rPr>
                <w:rFonts w:ascii="Cambria"/>
                <w:sz w:val="21"/>
              </w:rPr>
            </w:pPr>
            <w:r>
              <w:rPr>
                <w:rFonts w:ascii="Cambria"/>
                <w:color w:val="333333"/>
                <w:w w:val="110"/>
                <w:sz w:val="21"/>
              </w:rPr>
              <w:t>Auto-completes the available Spring profile names in the project.</w:t>
            </w:r>
          </w:p>
        </w:tc>
      </w:tr>
    </w:tbl>
    <w:p w14:paraId="4E4C0AB1" w14:textId="77777777" w:rsidR="00A720EB" w:rsidRDefault="00A720EB">
      <w:pPr>
        <w:pStyle w:val="a3"/>
        <w:spacing w:before="1"/>
        <w:rPr>
          <w:sz w:val="23"/>
        </w:rPr>
      </w:pPr>
    </w:p>
    <w:p w14:paraId="5642FC38" w14:textId="77777777" w:rsidR="00A720EB" w:rsidRDefault="00E10349">
      <w:pPr>
        <w:pStyle w:val="a3"/>
        <w:spacing w:line="330" w:lineRule="atLeast"/>
        <w:ind w:left="1564"/>
      </w:pPr>
      <w:r>
        <w:pict w14:anchorId="0B66F680">
          <v:line id="_x0000_s1144" style="position:absolute;left:0;text-align:left;z-index:-41092608;mso-position-horizontal-relative:page" from="108.25pt,-1.8pt" to="108.25pt,85.1pt" strokecolor="#ededed" strokeweight=".5pt">
            <w10:wrap anchorx="page"/>
          </v:line>
        </w:pict>
      </w:r>
      <w:r w:rsidR="0030286B">
        <w:rPr>
          <w:color w:val="333333"/>
          <w:w w:val="110"/>
        </w:rPr>
        <w:t xml:space="preserve">Only one provider can be active for a given </w:t>
      </w:r>
      <w:r w:rsidR="0030286B">
        <w:rPr>
          <w:color w:val="333333"/>
          <w:spacing w:val="-3"/>
          <w:w w:val="110"/>
        </w:rPr>
        <w:t xml:space="preserve">property, </w:t>
      </w:r>
      <w:r w:rsidR="0030286B">
        <w:rPr>
          <w:color w:val="333333"/>
          <w:w w:val="110"/>
        </w:rPr>
        <w:t xml:space="preserve">but you can specify </w:t>
      </w:r>
      <w:proofErr w:type="gramStart"/>
      <w:r w:rsidR="0030286B">
        <w:rPr>
          <w:color w:val="333333"/>
          <w:w w:val="110"/>
        </w:rPr>
        <w:t>several  providers</w:t>
      </w:r>
      <w:proofErr w:type="gramEnd"/>
      <w:r w:rsidR="0030286B">
        <w:rPr>
          <w:color w:val="333333"/>
          <w:spacing w:val="19"/>
          <w:w w:val="110"/>
        </w:rPr>
        <w:t xml:space="preserve"> </w:t>
      </w:r>
      <w:r w:rsidR="0030286B">
        <w:rPr>
          <w:color w:val="333333"/>
          <w:w w:val="110"/>
        </w:rPr>
        <w:t>if</w:t>
      </w:r>
      <w:r w:rsidR="0030286B">
        <w:rPr>
          <w:color w:val="333333"/>
          <w:spacing w:val="20"/>
          <w:w w:val="110"/>
        </w:rPr>
        <w:t xml:space="preserve"> </w:t>
      </w:r>
      <w:r w:rsidR="0030286B">
        <w:rPr>
          <w:color w:val="333333"/>
          <w:w w:val="110"/>
        </w:rPr>
        <w:t>they</w:t>
      </w:r>
      <w:r w:rsidR="0030286B">
        <w:rPr>
          <w:color w:val="333333"/>
          <w:spacing w:val="20"/>
          <w:w w:val="110"/>
        </w:rPr>
        <w:t xml:space="preserve"> </w:t>
      </w:r>
      <w:r w:rsidR="0030286B">
        <w:rPr>
          <w:color w:val="333333"/>
          <w:w w:val="110"/>
        </w:rPr>
        <w:t>can</w:t>
      </w:r>
      <w:r w:rsidR="0030286B">
        <w:rPr>
          <w:color w:val="333333"/>
          <w:spacing w:val="20"/>
          <w:w w:val="110"/>
        </w:rPr>
        <w:t xml:space="preserve"> </w:t>
      </w:r>
      <w:r w:rsidR="0030286B">
        <w:rPr>
          <w:color w:val="333333"/>
          <w:w w:val="110"/>
        </w:rPr>
        <w:t>all</w:t>
      </w:r>
      <w:r w:rsidR="0030286B">
        <w:rPr>
          <w:color w:val="333333"/>
          <w:spacing w:val="20"/>
          <w:w w:val="110"/>
        </w:rPr>
        <w:t xml:space="preserve"> </w:t>
      </w:r>
      <w:r w:rsidR="0030286B">
        <w:rPr>
          <w:color w:val="333333"/>
          <w:w w:val="110"/>
        </w:rPr>
        <w:t>manage</w:t>
      </w:r>
      <w:r w:rsidR="0030286B">
        <w:rPr>
          <w:color w:val="333333"/>
          <w:spacing w:val="20"/>
          <w:w w:val="110"/>
        </w:rPr>
        <w:t xml:space="preserve"> </w:t>
      </w:r>
      <w:r w:rsidR="0030286B">
        <w:rPr>
          <w:color w:val="333333"/>
          <w:w w:val="110"/>
        </w:rPr>
        <w:t>the</w:t>
      </w:r>
      <w:r w:rsidR="0030286B">
        <w:rPr>
          <w:color w:val="333333"/>
          <w:spacing w:val="19"/>
          <w:w w:val="110"/>
        </w:rPr>
        <w:t xml:space="preserve"> </w:t>
      </w:r>
      <w:r w:rsidR="0030286B">
        <w:rPr>
          <w:color w:val="333333"/>
          <w:w w:val="110"/>
        </w:rPr>
        <w:t>property</w:t>
      </w:r>
      <w:r w:rsidR="0030286B">
        <w:rPr>
          <w:color w:val="333333"/>
          <w:spacing w:val="27"/>
          <w:w w:val="110"/>
        </w:rPr>
        <w:t xml:space="preserve"> </w:t>
      </w:r>
      <w:r w:rsidR="0030286B">
        <w:rPr>
          <w:rFonts w:ascii="Palatino Linotype"/>
          <w:i/>
          <w:color w:val="333333"/>
          <w:w w:val="110"/>
        </w:rPr>
        <w:t>in</w:t>
      </w:r>
      <w:r w:rsidR="0030286B">
        <w:rPr>
          <w:rFonts w:ascii="Palatino Linotype"/>
          <w:i/>
          <w:color w:val="333333"/>
          <w:spacing w:val="13"/>
          <w:w w:val="110"/>
        </w:rPr>
        <w:t xml:space="preserve"> </w:t>
      </w:r>
      <w:r w:rsidR="0030286B">
        <w:rPr>
          <w:rFonts w:ascii="Palatino Linotype"/>
          <w:i/>
          <w:color w:val="333333"/>
          <w:w w:val="110"/>
        </w:rPr>
        <w:t>some</w:t>
      </w:r>
      <w:r w:rsidR="0030286B">
        <w:rPr>
          <w:rFonts w:ascii="Palatino Linotype"/>
          <w:i/>
          <w:color w:val="333333"/>
          <w:spacing w:val="14"/>
          <w:w w:val="110"/>
        </w:rPr>
        <w:t xml:space="preserve"> </w:t>
      </w:r>
      <w:r w:rsidR="0030286B">
        <w:rPr>
          <w:rFonts w:ascii="Palatino Linotype"/>
          <w:i/>
          <w:color w:val="333333"/>
          <w:w w:val="110"/>
        </w:rPr>
        <w:t>way</w:t>
      </w:r>
      <w:r w:rsidR="0030286B">
        <w:rPr>
          <w:color w:val="333333"/>
          <w:w w:val="110"/>
        </w:rPr>
        <w:t>.</w:t>
      </w:r>
      <w:r w:rsidR="0030286B">
        <w:rPr>
          <w:color w:val="333333"/>
          <w:spacing w:val="19"/>
          <w:w w:val="110"/>
        </w:rPr>
        <w:t xml:space="preserve"> </w:t>
      </w:r>
      <w:r w:rsidR="0030286B">
        <w:rPr>
          <w:color w:val="333333"/>
          <w:w w:val="110"/>
        </w:rPr>
        <w:t>Make</w:t>
      </w:r>
      <w:r w:rsidR="0030286B">
        <w:rPr>
          <w:color w:val="333333"/>
          <w:spacing w:val="20"/>
          <w:w w:val="110"/>
        </w:rPr>
        <w:t xml:space="preserve"> </w:t>
      </w:r>
      <w:r w:rsidR="0030286B">
        <w:rPr>
          <w:color w:val="333333"/>
          <w:w w:val="110"/>
        </w:rPr>
        <w:t>sure</w:t>
      </w:r>
      <w:r w:rsidR="0030286B">
        <w:rPr>
          <w:color w:val="333333"/>
          <w:spacing w:val="20"/>
          <w:w w:val="110"/>
        </w:rPr>
        <w:t xml:space="preserve"> </w:t>
      </w:r>
      <w:r w:rsidR="0030286B">
        <w:rPr>
          <w:color w:val="333333"/>
          <w:w w:val="110"/>
        </w:rPr>
        <w:t>to</w:t>
      </w:r>
      <w:r w:rsidR="0030286B">
        <w:rPr>
          <w:color w:val="333333"/>
          <w:spacing w:val="20"/>
          <w:w w:val="110"/>
        </w:rPr>
        <w:t xml:space="preserve"> </w:t>
      </w:r>
      <w:r w:rsidR="0030286B">
        <w:rPr>
          <w:color w:val="333333"/>
          <w:w w:val="110"/>
        </w:rPr>
        <w:t>place</w:t>
      </w:r>
      <w:r w:rsidR="0030286B">
        <w:rPr>
          <w:color w:val="333333"/>
          <w:spacing w:val="20"/>
          <w:w w:val="110"/>
        </w:rPr>
        <w:t xml:space="preserve"> </w:t>
      </w:r>
      <w:r w:rsidR="0030286B">
        <w:rPr>
          <w:color w:val="333333"/>
          <w:w w:val="110"/>
        </w:rPr>
        <w:t>the</w:t>
      </w:r>
    </w:p>
    <w:p w14:paraId="62D2DAF7" w14:textId="77777777" w:rsidR="00A720EB" w:rsidRDefault="0030286B">
      <w:pPr>
        <w:pStyle w:val="a3"/>
        <w:spacing w:line="392" w:lineRule="exact"/>
        <w:ind w:left="559"/>
      </w:pPr>
      <w:r>
        <w:rPr>
          <w:noProof/>
          <w:position w:val="-15"/>
        </w:rPr>
        <w:drawing>
          <wp:inline distT="0" distB="0" distL="0" distR="0" wp14:anchorId="080B557C" wp14:editId="35DB2660">
            <wp:extent cx="209550" cy="304800"/>
            <wp:effectExtent l="0" t="0" r="0" b="0"/>
            <wp:docPr id="80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4.png"/>
                    <pic:cNvPicPr/>
                  </pic:nvPicPr>
                  <pic:blipFill>
                    <a:blip r:embed="rId31" cstate="print"/>
                    <a:stretch>
                      <a:fillRect/>
                    </a:stretch>
                  </pic:blipFill>
                  <pic:spPr>
                    <a:xfrm>
                      <a:off x="0" y="0"/>
                      <a:ext cx="209550" cy="304800"/>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33333"/>
          <w:w w:val="110"/>
        </w:rPr>
        <w:t>most</w:t>
      </w:r>
      <w:r>
        <w:rPr>
          <w:color w:val="333333"/>
          <w:spacing w:val="15"/>
          <w:w w:val="110"/>
        </w:rPr>
        <w:t xml:space="preserve"> </w:t>
      </w:r>
      <w:r>
        <w:rPr>
          <w:color w:val="333333"/>
          <w:w w:val="110"/>
        </w:rPr>
        <w:t>powerful</w:t>
      </w:r>
      <w:r>
        <w:rPr>
          <w:color w:val="333333"/>
          <w:spacing w:val="15"/>
          <w:w w:val="110"/>
        </w:rPr>
        <w:t xml:space="preserve"> </w:t>
      </w:r>
      <w:r>
        <w:rPr>
          <w:color w:val="333333"/>
          <w:w w:val="110"/>
        </w:rPr>
        <w:t>provider</w:t>
      </w:r>
      <w:r>
        <w:rPr>
          <w:color w:val="333333"/>
          <w:spacing w:val="15"/>
          <w:w w:val="110"/>
        </w:rPr>
        <w:t xml:space="preserve"> </w:t>
      </w:r>
      <w:r>
        <w:rPr>
          <w:color w:val="333333"/>
          <w:w w:val="110"/>
        </w:rPr>
        <w:t>first,</w:t>
      </w:r>
      <w:r>
        <w:rPr>
          <w:color w:val="333333"/>
          <w:spacing w:val="17"/>
          <w:w w:val="110"/>
        </w:rPr>
        <w:t xml:space="preserve"> </w:t>
      </w:r>
      <w:r>
        <w:rPr>
          <w:color w:val="333333"/>
          <w:w w:val="110"/>
        </w:rPr>
        <w:t>as</w:t>
      </w:r>
      <w:r>
        <w:rPr>
          <w:color w:val="333333"/>
          <w:spacing w:val="15"/>
          <w:w w:val="110"/>
        </w:rPr>
        <w:t xml:space="preserve"> </w:t>
      </w:r>
      <w:r>
        <w:rPr>
          <w:color w:val="333333"/>
          <w:w w:val="110"/>
        </w:rPr>
        <w:t>the</w:t>
      </w:r>
      <w:r>
        <w:rPr>
          <w:color w:val="333333"/>
          <w:spacing w:val="16"/>
          <w:w w:val="110"/>
        </w:rPr>
        <w:t xml:space="preserve"> </w:t>
      </w:r>
      <w:r>
        <w:rPr>
          <w:color w:val="333333"/>
          <w:w w:val="110"/>
        </w:rPr>
        <w:t>IDE</w:t>
      </w:r>
      <w:r>
        <w:rPr>
          <w:color w:val="333333"/>
          <w:spacing w:val="17"/>
          <w:w w:val="110"/>
        </w:rPr>
        <w:t xml:space="preserve"> </w:t>
      </w:r>
      <w:r>
        <w:rPr>
          <w:color w:val="333333"/>
          <w:w w:val="110"/>
        </w:rPr>
        <w:t>must</w:t>
      </w:r>
      <w:r>
        <w:rPr>
          <w:color w:val="333333"/>
          <w:spacing w:val="15"/>
          <w:w w:val="110"/>
        </w:rPr>
        <w:t xml:space="preserve"> </w:t>
      </w:r>
      <w:r>
        <w:rPr>
          <w:color w:val="333333"/>
          <w:w w:val="110"/>
        </w:rPr>
        <w:t>use</w:t>
      </w:r>
      <w:r>
        <w:rPr>
          <w:color w:val="333333"/>
          <w:spacing w:val="15"/>
          <w:w w:val="110"/>
        </w:rPr>
        <w:t xml:space="preserve"> </w:t>
      </w:r>
      <w:r>
        <w:rPr>
          <w:color w:val="333333"/>
          <w:w w:val="110"/>
        </w:rPr>
        <w:t>the</w:t>
      </w:r>
      <w:r>
        <w:rPr>
          <w:color w:val="333333"/>
          <w:spacing w:val="16"/>
          <w:w w:val="110"/>
        </w:rPr>
        <w:t xml:space="preserve"> </w:t>
      </w:r>
      <w:r>
        <w:rPr>
          <w:color w:val="333333"/>
          <w:w w:val="110"/>
        </w:rPr>
        <w:t>first</w:t>
      </w:r>
      <w:r>
        <w:rPr>
          <w:color w:val="333333"/>
          <w:spacing w:val="17"/>
          <w:w w:val="110"/>
        </w:rPr>
        <w:t xml:space="preserve"> </w:t>
      </w:r>
      <w:r>
        <w:rPr>
          <w:color w:val="333333"/>
          <w:w w:val="110"/>
        </w:rPr>
        <w:t>one</w:t>
      </w:r>
      <w:r>
        <w:rPr>
          <w:color w:val="333333"/>
          <w:spacing w:val="16"/>
          <w:w w:val="110"/>
        </w:rPr>
        <w:t xml:space="preserve"> </w:t>
      </w:r>
      <w:r>
        <w:rPr>
          <w:color w:val="333333"/>
          <w:w w:val="110"/>
        </w:rPr>
        <w:t>in</w:t>
      </w:r>
      <w:r>
        <w:rPr>
          <w:color w:val="333333"/>
          <w:spacing w:val="15"/>
          <w:w w:val="110"/>
        </w:rPr>
        <w:t xml:space="preserve"> </w:t>
      </w:r>
      <w:r>
        <w:rPr>
          <w:color w:val="333333"/>
          <w:w w:val="110"/>
        </w:rPr>
        <w:t>the</w:t>
      </w:r>
      <w:r>
        <w:rPr>
          <w:color w:val="333333"/>
          <w:spacing w:val="17"/>
          <w:w w:val="110"/>
        </w:rPr>
        <w:t xml:space="preserve"> </w:t>
      </w:r>
      <w:r>
        <w:rPr>
          <w:color w:val="333333"/>
          <w:w w:val="110"/>
        </w:rPr>
        <w:t>JSON</w:t>
      </w:r>
      <w:r>
        <w:rPr>
          <w:color w:val="333333"/>
          <w:spacing w:val="15"/>
          <w:w w:val="110"/>
        </w:rPr>
        <w:t xml:space="preserve"> </w:t>
      </w:r>
      <w:r>
        <w:rPr>
          <w:color w:val="333333"/>
          <w:w w:val="110"/>
        </w:rPr>
        <w:t>section</w:t>
      </w:r>
    </w:p>
    <w:p w14:paraId="4E2721C7" w14:textId="77777777" w:rsidR="00A720EB" w:rsidRDefault="0030286B">
      <w:pPr>
        <w:pStyle w:val="a3"/>
        <w:spacing w:line="225" w:lineRule="exact"/>
        <w:ind w:left="1564"/>
      </w:pPr>
      <w:proofErr w:type="gramStart"/>
      <w:r>
        <w:rPr>
          <w:color w:val="333333"/>
          <w:w w:val="110"/>
        </w:rPr>
        <w:t>that  it</w:t>
      </w:r>
      <w:proofErr w:type="gramEnd"/>
      <w:r>
        <w:rPr>
          <w:color w:val="333333"/>
          <w:w w:val="110"/>
        </w:rPr>
        <w:t xml:space="preserve">  can  handle.  </w:t>
      </w:r>
      <w:proofErr w:type="gramStart"/>
      <w:r>
        <w:rPr>
          <w:color w:val="333333"/>
          <w:w w:val="110"/>
        </w:rPr>
        <w:t>If  no</w:t>
      </w:r>
      <w:proofErr w:type="gramEnd"/>
      <w:r>
        <w:rPr>
          <w:color w:val="333333"/>
          <w:w w:val="110"/>
        </w:rPr>
        <w:t xml:space="preserve">  provider  for  a  given  property  is  supported,  no</w:t>
      </w:r>
      <w:r>
        <w:rPr>
          <w:color w:val="333333"/>
          <w:spacing w:val="26"/>
          <w:w w:val="110"/>
        </w:rPr>
        <w:t xml:space="preserve"> </w:t>
      </w:r>
      <w:r>
        <w:rPr>
          <w:color w:val="333333"/>
          <w:w w:val="110"/>
        </w:rPr>
        <w:t>special</w:t>
      </w:r>
    </w:p>
    <w:p w14:paraId="4E47A649" w14:textId="77777777" w:rsidR="00A720EB" w:rsidRDefault="0030286B">
      <w:pPr>
        <w:pStyle w:val="a3"/>
        <w:spacing w:before="69"/>
        <w:ind w:left="1564"/>
      </w:pPr>
      <w:r>
        <w:rPr>
          <w:color w:val="333333"/>
          <w:w w:val="110"/>
        </w:rPr>
        <w:t>content assistance is provided, either.</w:t>
      </w:r>
    </w:p>
    <w:p w14:paraId="2DC313F0" w14:textId="77777777" w:rsidR="00A720EB" w:rsidRDefault="00A720EB">
      <w:pPr>
        <w:pStyle w:val="a3"/>
        <w:spacing w:before="4"/>
        <w:rPr>
          <w:sz w:val="38"/>
        </w:rPr>
      </w:pPr>
    </w:p>
    <w:p w14:paraId="2FE0BABA" w14:textId="77777777" w:rsidR="00A720EB" w:rsidRDefault="0030286B">
      <w:pPr>
        <w:ind w:left="124"/>
        <w:rPr>
          <w:rFonts w:ascii="Palatino Linotype"/>
          <w:b/>
          <w:sz w:val="18"/>
        </w:rPr>
      </w:pPr>
      <w:r>
        <w:rPr>
          <w:rFonts w:ascii="Palatino Linotype"/>
          <w:b/>
          <w:color w:val="333333"/>
          <w:w w:val="105"/>
          <w:sz w:val="18"/>
        </w:rPr>
        <w:t>Any</w:t>
      </w:r>
    </w:p>
    <w:p w14:paraId="5B68318F" w14:textId="77777777" w:rsidR="00A720EB" w:rsidRDefault="00A720EB">
      <w:pPr>
        <w:pStyle w:val="a3"/>
        <w:spacing w:before="4"/>
        <w:rPr>
          <w:rFonts w:ascii="Palatino Linotype"/>
          <w:b/>
          <w:sz w:val="17"/>
        </w:rPr>
      </w:pPr>
    </w:p>
    <w:p w14:paraId="4742196F" w14:textId="77777777" w:rsidR="00A720EB" w:rsidRDefault="0030286B">
      <w:pPr>
        <w:pStyle w:val="a3"/>
        <w:spacing w:line="285" w:lineRule="auto"/>
        <w:ind w:left="124" w:right="462"/>
      </w:pPr>
      <w:r>
        <w:rPr>
          <w:color w:val="333333"/>
          <w:w w:val="110"/>
        </w:rPr>
        <w:t xml:space="preserve">The special </w:t>
      </w:r>
      <w:r>
        <w:rPr>
          <w:rFonts w:ascii="Palatino Linotype"/>
          <w:b/>
          <w:color w:val="333333"/>
          <w:w w:val="110"/>
        </w:rPr>
        <w:t xml:space="preserve">any </w:t>
      </w:r>
      <w:r>
        <w:rPr>
          <w:color w:val="333333"/>
          <w:w w:val="110"/>
        </w:rPr>
        <w:t>provider value permits any additional values to be provided. Regular value validation based on the property type should be applied if this is</w:t>
      </w:r>
      <w:r>
        <w:rPr>
          <w:color w:val="333333"/>
          <w:spacing w:val="39"/>
          <w:w w:val="110"/>
        </w:rPr>
        <w:t xml:space="preserve"> </w:t>
      </w:r>
      <w:r>
        <w:rPr>
          <w:color w:val="333333"/>
          <w:w w:val="110"/>
        </w:rPr>
        <w:t>supported.</w:t>
      </w:r>
    </w:p>
    <w:p w14:paraId="4DD69309" w14:textId="77777777" w:rsidR="00A720EB" w:rsidRDefault="00A720EB">
      <w:pPr>
        <w:pStyle w:val="a3"/>
        <w:spacing w:before="4"/>
        <w:rPr>
          <w:sz w:val="22"/>
        </w:rPr>
      </w:pPr>
    </w:p>
    <w:p w14:paraId="3BD3A6B2" w14:textId="77777777" w:rsidR="00A720EB" w:rsidRDefault="0030286B">
      <w:pPr>
        <w:pStyle w:val="a3"/>
        <w:spacing w:line="307" w:lineRule="auto"/>
        <w:ind w:left="124" w:right="359"/>
      </w:pPr>
      <w:r>
        <w:rPr>
          <w:color w:val="333333"/>
          <w:w w:val="110"/>
        </w:rPr>
        <w:t>This provider is typically used if you have a list of values and any extra values should still be considered as valid.</w:t>
      </w:r>
    </w:p>
    <w:p w14:paraId="41AEE01E" w14:textId="77777777" w:rsidR="00A720EB" w:rsidRDefault="0030286B">
      <w:pPr>
        <w:pStyle w:val="a3"/>
        <w:spacing w:before="231"/>
        <w:ind w:left="124"/>
      </w:pPr>
      <w:r>
        <w:rPr>
          <w:color w:val="333333"/>
          <w:w w:val="110"/>
        </w:rPr>
        <w:t xml:space="preserve">The following example offers </w:t>
      </w:r>
      <w:r>
        <w:rPr>
          <w:rFonts w:ascii="MS Gothic"/>
          <w:color w:val="B02045"/>
          <w:w w:val="110"/>
        </w:rPr>
        <w:t>on</w:t>
      </w:r>
      <w:r>
        <w:rPr>
          <w:rFonts w:ascii="MS Gothic"/>
          <w:color w:val="B02045"/>
          <w:spacing w:val="-64"/>
          <w:w w:val="110"/>
        </w:rPr>
        <w:t xml:space="preserve"> </w:t>
      </w:r>
      <w:r>
        <w:rPr>
          <w:color w:val="333333"/>
          <w:w w:val="110"/>
        </w:rPr>
        <w:t xml:space="preserve">and </w:t>
      </w:r>
      <w:r>
        <w:rPr>
          <w:rFonts w:ascii="MS Gothic"/>
          <w:color w:val="B02045"/>
          <w:w w:val="110"/>
        </w:rPr>
        <w:t>off</w:t>
      </w:r>
      <w:r>
        <w:rPr>
          <w:rFonts w:ascii="MS Gothic"/>
          <w:color w:val="B02045"/>
          <w:spacing w:val="-64"/>
          <w:w w:val="110"/>
        </w:rPr>
        <w:t xml:space="preserve"> </w:t>
      </w:r>
      <w:r>
        <w:rPr>
          <w:color w:val="333333"/>
          <w:w w:val="110"/>
        </w:rPr>
        <w:t xml:space="preserve">as auto-completion values for </w:t>
      </w:r>
      <w:proofErr w:type="gramStart"/>
      <w:r>
        <w:rPr>
          <w:rFonts w:ascii="MS Gothic"/>
          <w:color w:val="B02045"/>
          <w:w w:val="110"/>
        </w:rPr>
        <w:t>system.state</w:t>
      </w:r>
      <w:proofErr w:type="gramEnd"/>
      <w:r>
        <w:rPr>
          <w:color w:val="333333"/>
          <w:w w:val="110"/>
        </w:rPr>
        <w:t>:</w:t>
      </w:r>
    </w:p>
    <w:p w14:paraId="6CD8B67D" w14:textId="77777777" w:rsidR="00A720EB" w:rsidRDefault="00A720EB">
      <w:pPr>
        <w:sectPr w:rsidR="00A720EB">
          <w:pgSz w:w="11910" w:h="16840"/>
          <w:pgMar w:top="700" w:right="840" w:bottom="520" w:left="840" w:header="0" w:footer="198" w:gutter="0"/>
          <w:cols w:space="720"/>
        </w:sectPr>
      </w:pPr>
    </w:p>
    <w:p w14:paraId="50DDC036" w14:textId="77777777" w:rsidR="00A720EB" w:rsidRDefault="00E10349">
      <w:pPr>
        <w:pStyle w:val="a3"/>
        <w:ind w:left="116"/>
        <w:rPr>
          <w:sz w:val="20"/>
        </w:rPr>
      </w:pPr>
      <w:r>
        <w:rPr>
          <w:sz w:val="20"/>
        </w:rPr>
      </w:r>
      <w:r>
        <w:rPr>
          <w:sz w:val="20"/>
        </w:rPr>
        <w:pict w14:anchorId="6DFCB5AD">
          <v:group id="_x0000_s1140" style="width:499.55pt;height:288.1pt;mso-position-horizontal-relative:char;mso-position-vertical-relative:line" coordsize="9991,5762">
            <v:shape id="_x0000_s1143" style="position:absolute;left:7;top:7;width:9976;height:5747" coordorigin="8,8" coordsize="9976,5747" path="m9904,8l88,8,56,14,31,31,14,56,8,88r,5586l14,5705r17,25l56,5748r32,6l9904,5754r31,-6l9960,5730r17,-25l9984,5674r,-5586l9977,56,9960,31,9935,14,9904,8xe" fillcolor="#f5f5f5" stroked="f">
              <v:path arrowok="t"/>
            </v:shape>
            <v:shape id="_x0000_s1142" style="position:absolute;left:7;top:7;width:9976;height:5747" coordorigin="8,8" coordsize="9976,5747" path="m88,8r9816,l9935,14r25,17l9977,56r7,32l9984,5674r-7,31l9960,5730r-25,18l9904,5754r-9816,l56,5748,31,5730,14,5705,8,5674,8,88,14,56,31,31,56,14,88,8xe" filled="f" strokecolor="#ccc">
              <v:path arrowok="t"/>
            </v:shape>
            <v:shape id="_x0000_s1141" type="#_x0000_t202" style="position:absolute;left:26;top:22;width:9938;height:5716" filled="f" stroked="f">
              <v:textbox inset="0,0,0,0">
                <w:txbxContent>
                  <w:p w14:paraId="46F5DE8B" w14:textId="77777777" w:rsidR="00711A16" w:rsidRDefault="00711A16">
                    <w:pPr>
                      <w:spacing w:before="221"/>
                      <w:ind w:left="200"/>
                      <w:rPr>
                        <w:rFonts w:ascii="MS Gothic"/>
                      </w:rPr>
                    </w:pPr>
                    <w:r>
                      <w:rPr>
                        <w:rFonts w:ascii="MS Gothic"/>
                        <w:color w:val="333333"/>
                      </w:rPr>
                      <w:t>{"hints": [</w:t>
                    </w:r>
                  </w:p>
                  <w:p w14:paraId="61675216" w14:textId="77777777" w:rsidR="00711A16" w:rsidRDefault="00711A16">
                    <w:pPr>
                      <w:spacing w:before="13"/>
                      <w:ind w:left="640"/>
                      <w:rPr>
                        <w:rFonts w:ascii="MS Gothic"/>
                      </w:rPr>
                    </w:pPr>
                    <w:r>
                      <w:rPr>
                        <w:rFonts w:ascii="MS Gothic"/>
                        <w:color w:val="333333"/>
                      </w:rPr>
                      <w:t>{</w:t>
                    </w:r>
                  </w:p>
                  <w:p w14:paraId="53C4FCCB" w14:textId="77777777" w:rsidR="00711A16" w:rsidRDefault="00711A16">
                    <w:pPr>
                      <w:spacing w:before="13" w:line="252" w:lineRule="auto"/>
                      <w:ind w:left="1080" w:right="6308"/>
                      <w:rPr>
                        <w:rFonts w:ascii="MS Gothic"/>
                      </w:rPr>
                    </w:pPr>
                    <w:r>
                      <w:rPr>
                        <w:rFonts w:ascii="MS Gothic"/>
                        <w:color w:val="333333"/>
                      </w:rPr>
                      <w:t>"name": "</w:t>
                    </w:r>
                    <w:proofErr w:type="gramStart"/>
                    <w:r>
                      <w:rPr>
                        <w:rFonts w:ascii="MS Gothic"/>
                        <w:color w:val="333333"/>
                      </w:rPr>
                      <w:t>system.state</w:t>
                    </w:r>
                    <w:proofErr w:type="gramEnd"/>
                    <w:r>
                      <w:rPr>
                        <w:rFonts w:ascii="MS Gothic"/>
                        <w:color w:val="333333"/>
                      </w:rPr>
                      <w:t>", "values": [</w:t>
                    </w:r>
                  </w:p>
                  <w:p w14:paraId="4722D9AD" w14:textId="77777777" w:rsidR="00711A16" w:rsidRDefault="00711A16">
                    <w:pPr>
                      <w:spacing w:line="280" w:lineRule="exact"/>
                      <w:ind w:left="1520"/>
                      <w:rPr>
                        <w:rFonts w:ascii="MS Gothic"/>
                      </w:rPr>
                    </w:pPr>
                    <w:r>
                      <w:rPr>
                        <w:rFonts w:ascii="MS Gothic"/>
                        <w:color w:val="333333"/>
                      </w:rPr>
                      <w:t>{</w:t>
                    </w:r>
                  </w:p>
                  <w:p w14:paraId="1F05AB33" w14:textId="77777777" w:rsidR="00711A16" w:rsidRDefault="00711A16">
                    <w:pPr>
                      <w:spacing w:before="13"/>
                      <w:ind w:left="1960"/>
                      <w:rPr>
                        <w:rFonts w:ascii="MS Gothic"/>
                      </w:rPr>
                    </w:pPr>
                    <w:r>
                      <w:rPr>
                        <w:rFonts w:ascii="MS Gothic"/>
                        <w:color w:val="333333"/>
                      </w:rPr>
                      <w:t>"value": "on"</w:t>
                    </w:r>
                  </w:p>
                  <w:p w14:paraId="378585D7" w14:textId="77777777" w:rsidR="00711A16" w:rsidRDefault="00711A16">
                    <w:pPr>
                      <w:spacing w:before="12"/>
                      <w:ind w:left="1520"/>
                      <w:rPr>
                        <w:rFonts w:ascii="MS Gothic"/>
                      </w:rPr>
                    </w:pPr>
                    <w:r>
                      <w:rPr>
                        <w:rFonts w:ascii="MS Gothic"/>
                        <w:color w:val="333333"/>
                      </w:rPr>
                      <w:t>},</w:t>
                    </w:r>
                  </w:p>
                  <w:p w14:paraId="186C596E" w14:textId="77777777" w:rsidR="00711A16" w:rsidRDefault="00711A16">
                    <w:pPr>
                      <w:spacing w:before="13"/>
                      <w:ind w:left="1520"/>
                      <w:rPr>
                        <w:rFonts w:ascii="MS Gothic"/>
                      </w:rPr>
                    </w:pPr>
                    <w:r>
                      <w:rPr>
                        <w:rFonts w:ascii="MS Gothic"/>
                        <w:color w:val="333333"/>
                      </w:rPr>
                      <w:t>{</w:t>
                    </w:r>
                  </w:p>
                  <w:p w14:paraId="0FAFA003" w14:textId="77777777" w:rsidR="00711A16" w:rsidRDefault="00711A16">
                    <w:pPr>
                      <w:spacing w:before="13"/>
                      <w:ind w:left="1960"/>
                      <w:rPr>
                        <w:rFonts w:ascii="MS Gothic"/>
                      </w:rPr>
                    </w:pPr>
                    <w:r>
                      <w:rPr>
                        <w:rFonts w:ascii="MS Gothic"/>
                        <w:color w:val="333333"/>
                      </w:rPr>
                      <w:t>"value": "off"</w:t>
                    </w:r>
                  </w:p>
                  <w:p w14:paraId="5F9A5EC4" w14:textId="77777777" w:rsidR="00711A16" w:rsidRDefault="00711A16">
                    <w:pPr>
                      <w:spacing w:before="13"/>
                      <w:ind w:left="1520"/>
                      <w:rPr>
                        <w:rFonts w:ascii="MS Gothic"/>
                      </w:rPr>
                    </w:pPr>
                    <w:r>
                      <w:rPr>
                        <w:rFonts w:ascii="MS Gothic"/>
                        <w:color w:val="333333"/>
                      </w:rPr>
                      <w:t>}</w:t>
                    </w:r>
                  </w:p>
                  <w:p w14:paraId="40327093" w14:textId="77777777" w:rsidR="00711A16" w:rsidRDefault="00711A16">
                    <w:pPr>
                      <w:spacing w:before="13"/>
                      <w:ind w:left="1080"/>
                      <w:rPr>
                        <w:rFonts w:ascii="MS Gothic"/>
                      </w:rPr>
                    </w:pPr>
                    <w:r>
                      <w:rPr>
                        <w:rFonts w:ascii="MS Gothic"/>
                        <w:color w:val="333333"/>
                      </w:rPr>
                      <w:t>],</w:t>
                    </w:r>
                  </w:p>
                  <w:p w14:paraId="6A159C67" w14:textId="77777777" w:rsidR="00711A16" w:rsidRDefault="00711A16">
                    <w:pPr>
                      <w:spacing w:before="13"/>
                      <w:ind w:left="1080"/>
                      <w:rPr>
                        <w:rFonts w:ascii="MS Gothic"/>
                      </w:rPr>
                    </w:pPr>
                    <w:r>
                      <w:rPr>
                        <w:rFonts w:ascii="MS Gothic"/>
                        <w:color w:val="333333"/>
                      </w:rPr>
                      <w:t>"providers": [</w:t>
                    </w:r>
                  </w:p>
                  <w:p w14:paraId="5A1E15ED" w14:textId="77777777" w:rsidR="00711A16" w:rsidRDefault="00711A16">
                    <w:pPr>
                      <w:spacing w:before="13"/>
                      <w:ind w:left="1520"/>
                      <w:rPr>
                        <w:rFonts w:ascii="MS Gothic"/>
                      </w:rPr>
                    </w:pPr>
                    <w:r>
                      <w:rPr>
                        <w:rFonts w:ascii="MS Gothic"/>
                        <w:color w:val="333333"/>
                      </w:rPr>
                      <w:t>{</w:t>
                    </w:r>
                  </w:p>
                  <w:p w14:paraId="4F3BFE43" w14:textId="77777777" w:rsidR="00711A16" w:rsidRDefault="00711A16">
                    <w:pPr>
                      <w:spacing w:before="13"/>
                      <w:ind w:left="1960"/>
                      <w:rPr>
                        <w:rFonts w:ascii="MS Gothic"/>
                      </w:rPr>
                    </w:pPr>
                    <w:r>
                      <w:rPr>
                        <w:rFonts w:ascii="MS Gothic"/>
                        <w:color w:val="333333"/>
                      </w:rPr>
                      <w:t>"name": "any"</w:t>
                    </w:r>
                  </w:p>
                  <w:p w14:paraId="4B963006" w14:textId="77777777" w:rsidR="00711A16" w:rsidRDefault="00711A16">
                    <w:pPr>
                      <w:spacing w:before="13"/>
                      <w:ind w:left="1520"/>
                      <w:rPr>
                        <w:rFonts w:ascii="MS Gothic"/>
                      </w:rPr>
                    </w:pPr>
                    <w:r>
                      <w:rPr>
                        <w:rFonts w:ascii="MS Gothic"/>
                        <w:color w:val="333333"/>
                      </w:rPr>
                      <w:t>}</w:t>
                    </w:r>
                  </w:p>
                  <w:p w14:paraId="5BBD2E4B" w14:textId="77777777" w:rsidR="00711A16" w:rsidRDefault="00711A16">
                    <w:pPr>
                      <w:spacing w:before="13"/>
                      <w:ind w:left="1080"/>
                      <w:rPr>
                        <w:rFonts w:ascii="MS Gothic"/>
                      </w:rPr>
                    </w:pPr>
                    <w:r>
                      <w:rPr>
                        <w:rFonts w:ascii="MS Gothic"/>
                        <w:color w:val="333333"/>
                      </w:rPr>
                      <w:t>]</w:t>
                    </w:r>
                  </w:p>
                  <w:p w14:paraId="03A5E477" w14:textId="77777777" w:rsidR="00711A16" w:rsidRDefault="00711A16">
                    <w:pPr>
                      <w:spacing w:before="13"/>
                      <w:ind w:left="640"/>
                      <w:rPr>
                        <w:rFonts w:ascii="MS Gothic"/>
                      </w:rPr>
                    </w:pPr>
                    <w:r>
                      <w:rPr>
                        <w:rFonts w:ascii="MS Gothic"/>
                        <w:color w:val="333333"/>
                      </w:rPr>
                      <w:t>}</w:t>
                    </w:r>
                  </w:p>
                  <w:p w14:paraId="0E3A6E51" w14:textId="77777777" w:rsidR="00711A16" w:rsidRDefault="00711A16">
                    <w:pPr>
                      <w:spacing w:before="13"/>
                      <w:ind w:left="200"/>
                      <w:rPr>
                        <w:rFonts w:ascii="MS Gothic"/>
                      </w:rPr>
                    </w:pPr>
                    <w:r>
                      <w:rPr>
                        <w:rFonts w:ascii="MS Gothic"/>
                        <w:color w:val="333333"/>
                      </w:rPr>
                      <w:t>]}</w:t>
                    </w:r>
                  </w:p>
                </w:txbxContent>
              </v:textbox>
            </v:shape>
            <w10:anchorlock/>
          </v:group>
        </w:pict>
      </w:r>
    </w:p>
    <w:p w14:paraId="6623B98C" w14:textId="77777777" w:rsidR="00A720EB" w:rsidRDefault="00A720EB">
      <w:pPr>
        <w:pStyle w:val="a3"/>
        <w:spacing w:before="2"/>
        <w:rPr>
          <w:sz w:val="9"/>
        </w:rPr>
      </w:pPr>
    </w:p>
    <w:p w14:paraId="03921936" w14:textId="77777777" w:rsidR="00A720EB" w:rsidRDefault="0030286B">
      <w:pPr>
        <w:pStyle w:val="a3"/>
        <w:spacing w:before="126"/>
        <w:ind w:left="124"/>
      </w:pPr>
      <w:r>
        <w:rPr>
          <w:color w:val="333333"/>
          <w:w w:val="110"/>
        </w:rPr>
        <w:t>Note that, in the preceding example, any other value is also allowed.</w:t>
      </w:r>
    </w:p>
    <w:p w14:paraId="16DDEEEE" w14:textId="77777777" w:rsidR="00A720EB" w:rsidRDefault="00A720EB">
      <w:pPr>
        <w:pStyle w:val="a3"/>
        <w:spacing w:before="5"/>
        <w:rPr>
          <w:sz w:val="31"/>
        </w:rPr>
      </w:pPr>
    </w:p>
    <w:p w14:paraId="5B23F0C8" w14:textId="77777777" w:rsidR="00A720EB" w:rsidRDefault="0030286B">
      <w:pPr>
        <w:ind w:left="124"/>
        <w:rPr>
          <w:rFonts w:ascii="Palatino Linotype"/>
          <w:b/>
          <w:sz w:val="18"/>
        </w:rPr>
      </w:pPr>
      <w:r>
        <w:rPr>
          <w:rFonts w:ascii="Palatino Linotype"/>
          <w:b/>
          <w:color w:val="333333"/>
          <w:w w:val="110"/>
          <w:sz w:val="18"/>
        </w:rPr>
        <w:t>Class Reference</w:t>
      </w:r>
    </w:p>
    <w:p w14:paraId="0CD91E13" w14:textId="77777777" w:rsidR="00A720EB" w:rsidRDefault="00A720EB">
      <w:pPr>
        <w:pStyle w:val="a3"/>
        <w:spacing w:before="4"/>
        <w:rPr>
          <w:rFonts w:ascii="Palatino Linotype"/>
          <w:b/>
          <w:sz w:val="17"/>
        </w:rPr>
      </w:pPr>
    </w:p>
    <w:p w14:paraId="00636439" w14:textId="77777777" w:rsidR="00A720EB" w:rsidRDefault="0030286B">
      <w:pPr>
        <w:pStyle w:val="a3"/>
        <w:spacing w:line="285" w:lineRule="auto"/>
        <w:ind w:left="124" w:right="462"/>
      </w:pPr>
      <w:r>
        <w:rPr>
          <w:color w:val="333333"/>
          <w:w w:val="110"/>
        </w:rPr>
        <w:t xml:space="preserve">The </w:t>
      </w:r>
      <w:r>
        <w:rPr>
          <w:rFonts w:ascii="Palatino Linotype"/>
          <w:b/>
          <w:color w:val="333333"/>
          <w:w w:val="110"/>
        </w:rPr>
        <w:t xml:space="preserve">class-reference </w:t>
      </w:r>
      <w:r>
        <w:rPr>
          <w:color w:val="333333"/>
          <w:w w:val="110"/>
        </w:rPr>
        <w:t xml:space="preserve">provider auto-completes classes available in the project.  </w:t>
      </w:r>
      <w:proofErr w:type="gramStart"/>
      <w:r>
        <w:rPr>
          <w:color w:val="333333"/>
          <w:w w:val="110"/>
        </w:rPr>
        <w:t>This  provider</w:t>
      </w:r>
      <w:proofErr w:type="gramEnd"/>
      <w:r>
        <w:rPr>
          <w:color w:val="333333"/>
          <w:w w:val="110"/>
        </w:rPr>
        <w:t xml:space="preserve"> supports the following</w:t>
      </w:r>
      <w:r>
        <w:rPr>
          <w:color w:val="333333"/>
          <w:spacing w:val="10"/>
          <w:w w:val="110"/>
        </w:rPr>
        <w:t xml:space="preserve"> </w:t>
      </w:r>
      <w:r>
        <w:rPr>
          <w:color w:val="333333"/>
          <w:w w:val="110"/>
        </w:rPr>
        <w:t>parameters:</w:t>
      </w:r>
    </w:p>
    <w:p w14:paraId="00087D5B" w14:textId="77777777" w:rsidR="00A720EB" w:rsidRDefault="00A720EB">
      <w:pPr>
        <w:pStyle w:val="a3"/>
        <w:spacing w:before="6"/>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247"/>
        <w:gridCol w:w="1247"/>
        <w:gridCol w:w="2494"/>
        <w:gridCol w:w="4988"/>
      </w:tblGrid>
      <w:tr w:rsidR="00A720EB" w14:paraId="11EDAC91" w14:textId="77777777">
        <w:trPr>
          <w:trHeight w:val="415"/>
        </w:trPr>
        <w:tc>
          <w:tcPr>
            <w:tcW w:w="1247" w:type="dxa"/>
            <w:tcBorders>
              <w:bottom w:val="single" w:sz="12" w:space="0" w:color="DDDDDD"/>
            </w:tcBorders>
          </w:tcPr>
          <w:p w14:paraId="60BDCAB3" w14:textId="77777777" w:rsidR="00A720EB" w:rsidRDefault="0030286B">
            <w:pPr>
              <w:pStyle w:val="TableParagraph"/>
              <w:spacing w:before="74"/>
              <w:rPr>
                <w:rFonts w:ascii="Palatino Linotype"/>
                <w:b/>
                <w:sz w:val="21"/>
              </w:rPr>
            </w:pPr>
            <w:r>
              <w:rPr>
                <w:rFonts w:ascii="Palatino Linotype"/>
                <w:b/>
                <w:color w:val="333333"/>
                <w:w w:val="115"/>
                <w:sz w:val="21"/>
              </w:rPr>
              <w:t>Parameter</w:t>
            </w:r>
          </w:p>
        </w:tc>
        <w:tc>
          <w:tcPr>
            <w:tcW w:w="1247" w:type="dxa"/>
            <w:tcBorders>
              <w:bottom w:val="single" w:sz="12" w:space="0" w:color="DDDDDD"/>
            </w:tcBorders>
          </w:tcPr>
          <w:p w14:paraId="6C16178B" w14:textId="77777777" w:rsidR="00A720EB" w:rsidRDefault="0030286B">
            <w:pPr>
              <w:pStyle w:val="TableParagraph"/>
              <w:spacing w:before="74"/>
              <w:rPr>
                <w:rFonts w:ascii="Palatino Linotype"/>
                <w:b/>
                <w:sz w:val="21"/>
              </w:rPr>
            </w:pPr>
            <w:r>
              <w:rPr>
                <w:rFonts w:ascii="Palatino Linotype"/>
                <w:b/>
                <w:color w:val="333333"/>
                <w:w w:val="105"/>
                <w:sz w:val="21"/>
              </w:rPr>
              <w:t>Type</w:t>
            </w:r>
          </w:p>
        </w:tc>
        <w:tc>
          <w:tcPr>
            <w:tcW w:w="2494" w:type="dxa"/>
            <w:tcBorders>
              <w:bottom w:val="single" w:sz="12" w:space="0" w:color="DDDDDD"/>
            </w:tcBorders>
          </w:tcPr>
          <w:p w14:paraId="269223DD"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F768C35"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7A750EC1" w14:textId="77777777">
        <w:trPr>
          <w:trHeight w:val="1993"/>
        </w:trPr>
        <w:tc>
          <w:tcPr>
            <w:tcW w:w="1247" w:type="dxa"/>
            <w:tcBorders>
              <w:top w:val="single" w:sz="12" w:space="0" w:color="DDDDDD"/>
            </w:tcBorders>
          </w:tcPr>
          <w:p w14:paraId="6601EBF3" w14:textId="77777777" w:rsidR="00A720EB" w:rsidRDefault="0030286B">
            <w:pPr>
              <w:pStyle w:val="TableParagraph"/>
              <w:spacing w:before="30"/>
              <w:rPr>
                <w:sz w:val="21"/>
              </w:rPr>
            </w:pPr>
            <w:r>
              <w:rPr>
                <w:color w:val="B02045"/>
                <w:sz w:val="21"/>
              </w:rPr>
              <w:t>target</w:t>
            </w:r>
          </w:p>
        </w:tc>
        <w:tc>
          <w:tcPr>
            <w:tcW w:w="1247" w:type="dxa"/>
            <w:tcBorders>
              <w:top w:val="single" w:sz="12" w:space="0" w:color="DDDDDD"/>
            </w:tcBorders>
          </w:tcPr>
          <w:p w14:paraId="72C5A8BC" w14:textId="77777777" w:rsidR="00A720EB" w:rsidRDefault="0030286B">
            <w:pPr>
              <w:pStyle w:val="TableParagraph"/>
              <w:spacing w:before="74"/>
              <w:rPr>
                <w:sz w:val="21"/>
              </w:rPr>
            </w:pPr>
            <w:r>
              <w:rPr>
                <w:color w:val="B02045"/>
                <w:sz w:val="21"/>
              </w:rPr>
              <w:t>String</w:t>
            </w:r>
          </w:p>
          <w:p w14:paraId="23E71DDF" w14:textId="77777777" w:rsidR="00A720EB" w:rsidRDefault="0030286B">
            <w:pPr>
              <w:pStyle w:val="TableParagraph"/>
              <w:spacing w:before="47"/>
              <w:rPr>
                <w:rFonts w:ascii="Cambria"/>
                <w:sz w:val="21"/>
              </w:rPr>
            </w:pPr>
            <w:r>
              <w:rPr>
                <w:rFonts w:ascii="Cambria"/>
                <w:color w:val="333333"/>
                <w:sz w:val="21"/>
              </w:rPr>
              <w:t>(</w:t>
            </w:r>
            <w:r>
              <w:rPr>
                <w:color w:val="B02045"/>
                <w:sz w:val="21"/>
              </w:rPr>
              <w:t>Class</w:t>
            </w:r>
            <w:r>
              <w:rPr>
                <w:rFonts w:ascii="Cambria"/>
                <w:color w:val="333333"/>
                <w:sz w:val="21"/>
              </w:rPr>
              <w:t>)</w:t>
            </w:r>
          </w:p>
        </w:tc>
        <w:tc>
          <w:tcPr>
            <w:tcW w:w="2494" w:type="dxa"/>
            <w:tcBorders>
              <w:top w:val="single" w:sz="12" w:space="0" w:color="DDDDDD"/>
            </w:tcBorders>
          </w:tcPr>
          <w:p w14:paraId="7471CB4D" w14:textId="77777777" w:rsidR="00A720EB" w:rsidRDefault="0030286B">
            <w:pPr>
              <w:pStyle w:val="TableParagraph"/>
              <w:spacing w:before="64"/>
              <w:rPr>
                <w:rFonts w:ascii="Palatino Linotype"/>
                <w:i/>
                <w:sz w:val="21"/>
              </w:rPr>
            </w:pPr>
            <w:r>
              <w:rPr>
                <w:rFonts w:ascii="Palatino Linotype"/>
                <w:i/>
                <w:color w:val="333333"/>
                <w:w w:val="115"/>
                <w:sz w:val="21"/>
              </w:rPr>
              <w:t>none</w:t>
            </w:r>
          </w:p>
        </w:tc>
        <w:tc>
          <w:tcPr>
            <w:tcW w:w="4988" w:type="dxa"/>
            <w:tcBorders>
              <w:top w:val="single" w:sz="12" w:space="0" w:color="DDDDDD"/>
            </w:tcBorders>
          </w:tcPr>
          <w:p w14:paraId="4C913A44" w14:textId="77777777" w:rsidR="00A720EB" w:rsidRDefault="0030286B">
            <w:pPr>
              <w:pStyle w:val="TableParagraph"/>
              <w:spacing w:before="21" w:line="310" w:lineRule="atLeast"/>
              <w:ind w:right="44"/>
              <w:rPr>
                <w:rFonts w:ascii="Cambria"/>
                <w:sz w:val="21"/>
              </w:rPr>
            </w:pPr>
            <w:r>
              <w:rPr>
                <w:rFonts w:ascii="Cambria"/>
                <w:color w:val="333333"/>
                <w:w w:val="110"/>
                <w:sz w:val="21"/>
              </w:rPr>
              <w:t>The fully qualified name of the class that should be assignable to the chosen value. Typically used to filter out-non candidate classes. Note that this information can be provided by the type itself by exposing a class with the appropriate upper bound.</w:t>
            </w:r>
          </w:p>
        </w:tc>
      </w:tr>
      <w:tr w:rsidR="00A720EB" w14:paraId="59966933" w14:textId="77777777">
        <w:trPr>
          <w:trHeight w:val="741"/>
        </w:trPr>
        <w:tc>
          <w:tcPr>
            <w:tcW w:w="1247" w:type="dxa"/>
          </w:tcPr>
          <w:p w14:paraId="77C3E9F6" w14:textId="77777777" w:rsidR="00A720EB" w:rsidRDefault="0030286B">
            <w:pPr>
              <w:pStyle w:val="TableParagraph"/>
              <w:spacing w:before="40"/>
              <w:rPr>
                <w:sz w:val="21"/>
              </w:rPr>
            </w:pPr>
            <w:r>
              <w:rPr>
                <w:color w:val="B02045"/>
                <w:sz w:val="21"/>
              </w:rPr>
              <w:t>concrete</w:t>
            </w:r>
          </w:p>
        </w:tc>
        <w:tc>
          <w:tcPr>
            <w:tcW w:w="1247" w:type="dxa"/>
          </w:tcPr>
          <w:p w14:paraId="31F37948" w14:textId="77777777" w:rsidR="00A720EB" w:rsidRDefault="0030286B">
            <w:pPr>
              <w:pStyle w:val="TableParagraph"/>
              <w:spacing w:before="40"/>
              <w:rPr>
                <w:sz w:val="21"/>
              </w:rPr>
            </w:pPr>
            <w:r>
              <w:rPr>
                <w:color w:val="B02045"/>
                <w:sz w:val="21"/>
              </w:rPr>
              <w:t>boolean</w:t>
            </w:r>
          </w:p>
        </w:tc>
        <w:tc>
          <w:tcPr>
            <w:tcW w:w="2494" w:type="dxa"/>
          </w:tcPr>
          <w:p w14:paraId="64807CD2" w14:textId="77777777" w:rsidR="00A720EB" w:rsidRDefault="0030286B">
            <w:pPr>
              <w:pStyle w:val="TableParagraph"/>
              <w:spacing w:before="94"/>
              <w:rPr>
                <w:rFonts w:ascii="Cambria"/>
                <w:sz w:val="21"/>
              </w:rPr>
            </w:pPr>
            <w:r>
              <w:rPr>
                <w:rFonts w:ascii="Cambria"/>
                <w:color w:val="333333"/>
                <w:w w:val="110"/>
                <w:sz w:val="21"/>
              </w:rPr>
              <w:t>true</w:t>
            </w:r>
          </w:p>
        </w:tc>
        <w:tc>
          <w:tcPr>
            <w:tcW w:w="4988" w:type="dxa"/>
          </w:tcPr>
          <w:p w14:paraId="304170F0" w14:textId="77777777" w:rsidR="00A720EB" w:rsidRDefault="0030286B">
            <w:pPr>
              <w:pStyle w:val="TableParagraph"/>
              <w:spacing w:before="31" w:line="310" w:lineRule="atLeast"/>
              <w:rPr>
                <w:rFonts w:ascii="Cambria"/>
                <w:sz w:val="21"/>
              </w:rPr>
            </w:pPr>
            <w:r>
              <w:rPr>
                <w:rFonts w:ascii="Cambria"/>
                <w:color w:val="333333"/>
                <w:w w:val="110"/>
                <w:sz w:val="21"/>
              </w:rPr>
              <w:t>Specify whether only concrete classes are to be considered as valid candidates.</w:t>
            </w:r>
          </w:p>
        </w:tc>
      </w:tr>
    </w:tbl>
    <w:p w14:paraId="7A4EA456" w14:textId="77777777" w:rsidR="00A720EB" w:rsidRDefault="00A720EB">
      <w:pPr>
        <w:pStyle w:val="a3"/>
        <w:spacing w:before="6"/>
        <w:rPr>
          <w:sz w:val="22"/>
        </w:rPr>
      </w:pPr>
    </w:p>
    <w:p w14:paraId="36037D24" w14:textId="77777777" w:rsidR="00A720EB" w:rsidRDefault="0030286B">
      <w:pPr>
        <w:pStyle w:val="a3"/>
        <w:ind w:left="124"/>
        <w:rPr>
          <w:rFonts w:ascii="MS Gothic"/>
        </w:rPr>
      </w:pPr>
      <w:r>
        <w:rPr>
          <w:color w:val="333333"/>
          <w:w w:val="110"/>
        </w:rPr>
        <w:t xml:space="preserve">The following metadata snippet corresponds to the standard </w:t>
      </w:r>
      <w:r>
        <w:rPr>
          <w:rFonts w:ascii="MS Gothic"/>
          <w:color w:val="B02045"/>
          <w:w w:val="110"/>
        </w:rPr>
        <w:t>server.servlet.jsp.class-name</w:t>
      </w:r>
    </w:p>
    <w:p w14:paraId="3EE49855" w14:textId="77777777" w:rsidR="00A720EB" w:rsidRDefault="0030286B">
      <w:pPr>
        <w:pStyle w:val="a3"/>
        <w:spacing w:before="47"/>
        <w:ind w:left="124"/>
      </w:pPr>
      <w:r>
        <w:rPr>
          <w:color w:val="333333"/>
          <w:w w:val="110"/>
        </w:rPr>
        <w:t xml:space="preserve">property that defines the </w:t>
      </w:r>
      <w:r>
        <w:rPr>
          <w:rFonts w:ascii="MS Gothic"/>
          <w:color w:val="B02045"/>
          <w:w w:val="110"/>
        </w:rPr>
        <w:t xml:space="preserve">JspServlet </w:t>
      </w:r>
      <w:r>
        <w:rPr>
          <w:color w:val="333333"/>
          <w:w w:val="110"/>
        </w:rPr>
        <w:t>class name to use:</w:t>
      </w:r>
    </w:p>
    <w:p w14:paraId="62B4CEF1" w14:textId="77777777" w:rsidR="00A720EB" w:rsidRDefault="00A720EB">
      <w:pPr>
        <w:sectPr w:rsidR="00A720EB">
          <w:pgSz w:w="11910" w:h="16840"/>
          <w:pgMar w:top="700" w:right="840" w:bottom="520" w:left="840" w:header="0" w:footer="198" w:gutter="0"/>
          <w:cols w:space="720"/>
        </w:sectPr>
      </w:pPr>
    </w:p>
    <w:p w14:paraId="4D73DA21" w14:textId="77777777" w:rsidR="00A720EB" w:rsidRDefault="00E10349">
      <w:pPr>
        <w:pStyle w:val="a3"/>
        <w:ind w:left="116"/>
        <w:rPr>
          <w:sz w:val="20"/>
        </w:rPr>
      </w:pPr>
      <w:r>
        <w:rPr>
          <w:sz w:val="20"/>
        </w:rPr>
      </w:r>
      <w:r>
        <w:rPr>
          <w:sz w:val="20"/>
        </w:rPr>
        <w:pict w14:anchorId="3352C9C0">
          <v:group id="_x0000_s1136" style="width:499.55pt;height:214.4pt;mso-position-horizontal-relative:char;mso-position-vertical-relative:line" coordsize="9991,4288">
            <v:shape id="_x0000_s1139" style="position:absolute;left:7;top:7;width:9976;height:4273" coordorigin="8,8" coordsize="9976,4273" path="m9904,8l88,8,56,14,31,31,14,56,8,88r,4112l14,4231r17,25l56,4274r32,6l9904,4280r31,-6l9960,4256r17,-25l9984,4200r,-4112l9977,56,9960,31,9935,14,9904,8xe" fillcolor="#f5f5f5" stroked="f">
              <v:path arrowok="t"/>
            </v:shape>
            <v:shape id="_x0000_s1138" style="position:absolute;left:7;top:7;width:9976;height:4273" coordorigin="8,8" coordsize="9976,4273" path="m88,8r9816,l9935,14r25,17l9977,56r7,32l9984,4200r-7,31l9960,4256r-25,18l9904,4280r-9816,l56,4274,31,4256,14,4231,8,4200,8,88,14,56,31,31,56,14,88,8xe" filled="f" strokecolor="#ccc">
              <v:path arrowok="t"/>
            </v:shape>
            <v:shape id="_x0000_s1137" type="#_x0000_t202" style="position:absolute;left:26;top:22;width:9938;height:4242" filled="f" stroked="f">
              <v:textbox inset="0,0,0,0">
                <w:txbxContent>
                  <w:p w14:paraId="06C72C4C" w14:textId="77777777" w:rsidR="00711A16" w:rsidRDefault="00711A16">
                    <w:pPr>
                      <w:spacing w:before="221"/>
                      <w:ind w:left="200"/>
                      <w:rPr>
                        <w:rFonts w:ascii="MS Gothic"/>
                      </w:rPr>
                    </w:pPr>
                    <w:r>
                      <w:rPr>
                        <w:rFonts w:ascii="MS Gothic"/>
                        <w:color w:val="333333"/>
                      </w:rPr>
                      <w:t>{"hints": [</w:t>
                    </w:r>
                  </w:p>
                  <w:p w14:paraId="21FB12CA" w14:textId="77777777" w:rsidR="00711A16" w:rsidRDefault="00711A16">
                    <w:pPr>
                      <w:spacing w:before="13"/>
                      <w:ind w:left="640"/>
                      <w:rPr>
                        <w:rFonts w:ascii="MS Gothic"/>
                      </w:rPr>
                    </w:pPr>
                    <w:r>
                      <w:rPr>
                        <w:rFonts w:ascii="MS Gothic"/>
                        <w:color w:val="333333"/>
                      </w:rPr>
                      <w:t>{</w:t>
                    </w:r>
                  </w:p>
                  <w:p w14:paraId="380C852F" w14:textId="77777777" w:rsidR="00711A16" w:rsidRDefault="00711A16">
                    <w:pPr>
                      <w:spacing w:before="13" w:line="252" w:lineRule="auto"/>
                      <w:ind w:left="1080" w:right="4438"/>
                      <w:rPr>
                        <w:rFonts w:ascii="MS Gothic"/>
                      </w:rPr>
                    </w:pPr>
                    <w:r>
                      <w:rPr>
                        <w:rFonts w:ascii="MS Gothic"/>
                        <w:color w:val="333333"/>
                      </w:rPr>
                      <w:t>"name": "server.servlet.jsp.class-name", "providers": [</w:t>
                    </w:r>
                  </w:p>
                  <w:p w14:paraId="535E1F95" w14:textId="77777777" w:rsidR="00711A16" w:rsidRDefault="00711A16">
                    <w:pPr>
                      <w:spacing w:line="280" w:lineRule="exact"/>
                      <w:ind w:left="1520"/>
                      <w:rPr>
                        <w:rFonts w:ascii="MS Gothic"/>
                      </w:rPr>
                    </w:pPr>
                    <w:r>
                      <w:rPr>
                        <w:rFonts w:ascii="MS Gothic"/>
                        <w:color w:val="333333"/>
                      </w:rPr>
                      <w:t>{</w:t>
                    </w:r>
                  </w:p>
                  <w:p w14:paraId="5CEE8A38" w14:textId="77777777" w:rsidR="00711A16" w:rsidRDefault="00711A16">
                    <w:pPr>
                      <w:spacing w:before="13" w:line="252" w:lineRule="auto"/>
                      <w:ind w:left="1960" w:right="5098"/>
                      <w:rPr>
                        <w:rFonts w:ascii="MS Gothic"/>
                      </w:rPr>
                    </w:pPr>
                    <w:r>
                      <w:rPr>
                        <w:rFonts w:ascii="MS Gothic"/>
                        <w:color w:val="333333"/>
                      </w:rPr>
                      <w:t>"name": "class-reference", "parameters": {</w:t>
                    </w:r>
                  </w:p>
                  <w:p w14:paraId="4639602F" w14:textId="77777777" w:rsidR="00711A16" w:rsidRDefault="00711A16">
                    <w:pPr>
                      <w:spacing w:line="280" w:lineRule="exact"/>
                      <w:ind w:left="2400"/>
                      <w:rPr>
                        <w:rFonts w:ascii="MS Gothic"/>
                      </w:rPr>
                    </w:pPr>
                    <w:r>
                      <w:rPr>
                        <w:rFonts w:ascii="MS Gothic"/>
                        <w:color w:val="333333"/>
                      </w:rPr>
                      <w:t>"target": "</w:t>
                    </w:r>
                    <w:proofErr w:type="gramStart"/>
                    <w:r>
                      <w:rPr>
                        <w:rFonts w:ascii="MS Gothic"/>
                        <w:color w:val="333333"/>
                      </w:rPr>
                      <w:t>javax.servlet</w:t>
                    </w:r>
                    <w:proofErr w:type="gramEnd"/>
                    <w:r>
                      <w:rPr>
                        <w:rFonts w:ascii="MS Gothic"/>
                        <w:color w:val="333333"/>
                      </w:rPr>
                      <w:t>.http.HttpServlet"</w:t>
                    </w:r>
                  </w:p>
                  <w:p w14:paraId="222BBCC0" w14:textId="77777777" w:rsidR="00711A16" w:rsidRDefault="00711A16">
                    <w:pPr>
                      <w:spacing w:before="12"/>
                      <w:ind w:left="1960"/>
                      <w:rPr>
                        <w:rFonts w:ascii="MS Gothic"/>
                      </w:rPr>
                    </w:pPr>
                    <w:r>
                      <w:rPr>
                        <w:rFonts w:ascii="MS Gothic"/>
                        <w:color w:val="333333"/>
                      </w:rPr>
                      <w:t>}</w:t>
                    </w:r>
                  </w:p>
                  <w:p w14:paraId="02F4C4C8" w14:textId="77777777" w:rsidR="00711A16" w:rsidRDefault="00711A16">
                    <w:pPr>
                      <w:spacing w:before="13"/>
                      <w:ind w:left="1520"/>
                      <w:rPr>
                        <w:rFonts w:ascii="MS Gothic"/>
                      </w:rPr>
                    </w:pPr>
                    <w:r>
                      <w:rPr>
                        <w:rFonts w:ascii="MS Gothic"/>
                        <w:color w:val="333333"/>
                      </w:rPr>
                      <w:t>}</w:t>
                    </w:r>
                  </w:p>
                  <w:p w14:paraId="032DD486" w14:textId="77777777" w:rsidR="00711A16" w:rsidRDefault="00711A16">
                    <w:pPr>
                      <w:spacing w:before="13"/>
                      <w:ind w:left="1080"/>
                      <w:rPr>
                        <w:rFonts w:ascii="MS Gothic"/>
                      </w:rPr>
                    </w:pPr>
                    <w:r>
                      <w:rPr>
                        <w:rFonts w:ascii="MS Gothic"/>
                        <w:color w:val="333333"/>
                      </w:rPr>
                      <w:t>]</w:t>
                    </w:r>
                  </w:p>
                  <w:p w14:paraId="103EBE13" w14:textId="77777777" w:rsidR="00711A16" w:rsidRDefault="00711A16">
                    <w:pPr>
                      <w:spacing w:before="13"/>
                      <w:ind w:left="640"/>
                      <w:rPr>
                        <w:rFonts w:ascii="MS Gothic"/>
                      </w:rPr>
                    </w:pPr>
                    <w:r>
                      <w:rPr>
                        <w:rFonts w:ascii="MS Gothic"/>
                        <w:color w:val="333333"/>
                      </w:rPr>
                      <w:t>}</w:t>
                    </w:r>
                  </w:p>
                  <w:p w14:paraId="520E9B84" w14:textId="77777777" w:rsidR="00711A16" w:rsidRDefault="00711A16">
                    <w:pPr>
                      <w:spacing w:before="13"/>
                      <w:ind w:left="200"/>
                      <w:rPr>
                        <w:rFonts w:ascii="MS Gothic"/>
                      </w:rPr>
                    </w:pPr>
                    <w:r>
                      <w:rPr>
                        <w:rFonts w:ascii="MS Gothic"/>
                        <w:color w:val="333333"/>
                      </w:rPr>
                      <w:t>]}</w:t>
                    </w:r>
                  </w:p>
                </w:txbxContent>
              </v:textbox>
            </v:shape>
            <w10:anchorlock/>
          </v:group>
        </w:pict>
      </w:r>
    </w:p>
    <w:p w14:paraId="7083F103" w14:textId="77777777" w:rsidR="00A720EB" w:rsidRDefault="00A720EB">
      <w:pPr>
        <w:pStyle w:val="a3"/>
        <w:spacing w:before="1"/>
        <w:rPr>
          <w:sz w:val="17"/>
        </w:rPr>
      </w:pPr>
    </w:p>
    <w:p w14:paraId="10C1F5CE" w14:textId="77777777" w:rsidR="00A720EB" w:rsidRDefault="0030286B">
      <w:pPr>
        <w:spacing w:before="103"/>
        <w:ind w:left="124"/>
        <w:jc w:val="both"/>
        <w:rPr>
          <w:rFonts w:ascii="Palatino Linotype"/>
          <w:b/>
          <w:sz w:val="18"/>
        </w:rPr>
      </w:pPr>
      <w:r>
        <w:rPr>
          <w:rFonts w:ascii="Palatino Linotype"/>
          <w:b/>
          <w:color w:val="333333"/>
          <w:w w:val="105"/>
          <w:sz w:val="18"/>
        </w:rPr>
        <w:t>Handle As</w:t>
      </w:r>
    </w:p>
    <w:p w14:paraId="7BFFA118" w14:textId="77777777" w:rsidR="00A720EB" w:rsidRDefault="00A720EB">
      <w:pPr>
        <w:pStyle w:val="a3"/>
        <w:spacing w:before="4"/>
        <w:rPr>
          <w:rFonts w:ascii="Palatino Linotype"/>
          <w:b/>
          <w:sz w:val="17"/>
        </w:rPr>
      </w:pPr>
    </w:p>
    <w:p w14:paraId="18D41DF1" w14:textId="77777777" w:rsidR="00A720EB" w:rsidRDefault="0030286B">
      <w:pPr>
        <w:pStyle w:val="a3"/>
        <w:spacing w:line="290" w:lineRule="auto"/>
        <w:ind w:left="124" w:right="126"/>
        <w:jc w:val="both"/>
      </w:pPr>
      <w:r>
        <w:rPr>
          <w:color w:val="333333"/>
          <w:w w:val="110"/>
        </w:rPr>
        <w:t xml:space="preserve">The </w:t>
      </w:r>
      <w:r>
        <w:rPr>
          <w:rFonts w:ascii="Palatino Linotype"/>
          <w:b/>
          <w:color w:val="333333"/>
          <w:w w:val="110"/>
        </w:rPr>
        <w:t xml:space="preserve">handle-as </w:t>
      </w:r>
      <w:r>
        <w:rPr>
          <w:color w:val="333333"/>
          <w:w w:val="110"/>
        </w:rPr>
        <w:t xml:space="preserve">provider lets you substitute the type of the property to a more high-level type. This typically happens when the property has a </w:t>
      </w:r>
      <w:proofErr w:type="gramStart"/>
      <w:r>
        <w:rPr>
          <w:rFonts w:ascii="MS Gothic"/>
          <w:color w:val="B02045"/>
          <w:w w:val="110"/>
        </w:rPr>
        <w:t>java.lang</w:t>
      </w:r>
      <w:proofErr w:type="gramEnd"/>
      <w:r>
        <w:rPr>
          <w:rFonts w:ascii="MS Gothic"/>
          <w:color w:val="B02045"/>
          <w:w w:val="110"/>
        </w:rPr>
        <w:t xml:space="preserve">.String </w:t>
      </w:r>
      <w:r>
        <w:rPr>
          <w:color w:val="333333"/>
          <w:w w:val="110"/>
        </w:rPr>
        <w:t>type, because you do not want your configuration classes to rely on classes that may not be on the classpath. This provider supports the following parameters:</w:t>
      </w:r>
    </w:p>
    <w:p w14:paraId="1C8D62B8" w14:textId="77777777" w:rsidR="00A720EB" w:rsidRDefault="00A720EB">
      <w:pPr>
        <w:pStyle w:val="a3"/>
        <w:spacing w:before="4"/>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247"/>
        <w:gridCol w:w="1247"/>
        <w:gridCol w:w="2494"/>
        <w:gridCol w:w="4988"/>
      </w:tblGrid>
      <w:tr w:rsidR="00A720EB" w14:paraId="4EB42C86" w14:textId="77777777">
        <w:trPr>
          <w:trHeight w:val="415"/>
        </w:trPr>
        <w:tc>
          <w:tcPr>
            <w:tcW w:w="1247" w:type="dxa"/>
            <w:tcBorders>
              <w:bottom w:val="single" w:sz="12" w:space="0" w:color="DDDDDD"/>
            </w:tcBorders>
          </w:tcPr>
          <w:p w14:paraId="77110136" w14:textId="77777777" w:rsidR="00A720EB" w:rsidRDefault="0030286B">
            <w:pPr>
              <w:pStyle w:val="TableParagraph"/>
              <w:spacing w:before="74"/>
              <w:rPr>
                <w:rFonts w:ascii="Palatino Linotype"/>
                <w:b/>
                <w:sz w:val="21"/>
              </w:rPr>
            </w:pPr>
            <w:r>
              <w:rPr>
                <w:rFonts w:ascii="Palatino Linotype"/>
                <w:b/>
                <w:color w:val="333333"/>
                <w:w w:val="115"/>
                <w:sz w:val="21"/>
              </w:rPr>
              <w:t>Parameter</w:t>
            </w:r>
          </w:p>
        </w:tc>
        <w:tc>
          <w:tcPr>
            <w:tcW w:w="1247" w:type="dxa"/>
            <w:tcBorders>
              <w:bottom w:val="single" w:sz="12" w:space="0" w:color="DDDDDD"/>
            </w:tcBorders>
          </w:tcPr>
          <w:p w14:paraId="626862AF" w14:textId="77777777" w:rsidR="00A720EB" w:rsidRDefault="0030286B">
            <w:pPr>
              <w:pStyle w:val="TableParagraph"/>
              <w:spacing w:before="74"/>
              <w:rPr>
                <w:rFonts w:ascii="Palatino Linotype"/>
                <w:b/>
                <w:sz w:val="21"/>
              </w:rPr>
            </w:pPr>
            <w:r>
              <w:rPr>
                <w:rFonts w:ascii="Palatino Linotype"/>
                <w:b/>
                <w:color w:val="333333"/>
                <w:w w:val="105"/>
                <w:sz w:val="21"/>
              </w:rPr>
              <w:t>Type</w:t>
            </w:r>
          </w:p>
        </w:tc>
        <w:tc>
          <w:tcPr>
            <w:tcW w:w="2494" w:type="dxa"/>
            <w:tcBorders>
              <w:bottom w:val="single" w:sz="12" w:space="0" w:color="DDDDDD"/>
            </w:tcBorders>
          </w:tcPr>
          <w:p w14:paraId="599ECD55"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3C381616"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492A640E" w14:textId="77777777">
        <w:trPr>
          <w:trHeight w:val="731"/>
        </w:trPr>
        <w:tc>
          <w:tcPr>
            <w:tcW w:w="1247" w:type="dxa"/>
            <w:tcBorders>
              <w:top w:val="single" w:sz="12" w:space="0" w:color="DDDDDD"/>
            </w:tcBorders>
          </w:tcPr>
          <w:p w14:paraId="711CE50C" w14:textId="77777777" w:rsidR="00A720EB" w:rsidRDefault="0030286B">
            <w:pPr>
              <w:pStyle w:val="TableParagraph"/>
              <w:spacing w:before="30"/>
              <w:rPr>
                <w:rFonts w:ascii="宋体"/>
                <w:sz w:val="21"/>
              </w:rPr>
            </w:pPr>
            <w:r>
              <w:rPr>
                <w:rFonts w:ascii="宋体"/>
                <w:color w:val="B02045"/>
                <w:sz w:val="21"/>
              </w:rPr>
              <w:t>target</w:t>
            </w:r>
          </w:p>
        </w:tc>
        <w:tc>
          <w:tcPr>
            <w:tcW w:w="1247" w:type="dxa"/>
            <w:tcBorders>
              <w:top w:val="single" w:sz="12" w:space="0" w:color="DDDDDD"/>
            </w:tcBorders>
          </w:tcPr>
          <w:p w14:paraId="7C8BEB6D" w14:textId="77777777" w:rsidR="00A720EB" w:rsidRDefault="0030286B">
            <w:pPr>
              <w:pStyle w:val="TableParagraph"/>
              <w:spacing w:before="74"/>
              <w:rPr>
                <w:sz w:val="21"/>
              </w:rPr>
            </w:pPr>
            <w:r>
              <w:rPr>
                <w:color w:val="B02045"/>
                <w:sz w:val="21"/>
              </w:rPr>
              <w:t>String</w:t>
            </w:r>
          </w:p>
          <w:p w14:paraId="1ED3AE5C" w14:textId="77777777" w:rsidR="00A720EB" w:rsidRDefault="0030286B">
            <w:pPr>
              <w:pStyle w:val="TableParagraph"/>
              <w:spacing w:before="47"/>
              <w:rPr>
                <w:rFonts w:ascii="Cambria"/>
                <w:sz w:val="21"/>
              </w:rPr>
            </w:pPr>
            <w:r>
              <w:rPr>
                <w:rFonts w:ascii="Cambria"/>
                <w:color w:val="333333"/>
                <w:sz w:val="21"/>
              </w:rPr>
              <w:t>(</w:t>
            </w:r>
            <w:r>
              <w:rPr>
                <w:color w:val="B02045"/>
                <w:sz w:val="21"/>
              </w:rPr>
              <w:t>Class</w:t>
            </w:r>
            <w:r>
              <w:rPr>
                <w:rFonts w:ascii="Cambria"/>
                <w:color w:val="333333"/>
                <w:sz w:val="21"/>
              </w:rPr>
              <w:t>)</w:t>
            </w:r>
          </w:p>
        </w:tc>
        <w:tc>
          <w:tcPr>
            <w:tcW w:w="2494" w:type="dxa"/>
            <w:tcBorders>
              <w:top w:val="single" w:sz="12" w:space="0" w:color="DDDDDD"/>
            </w:tcBorders>
          </w:tcPr>
          <w:p w14:paraId="39D4B958" w14:textId="77777777" w:rsidR="00A720EB" w:rsidRDefault="0030286B">
            <w:pPr>
              <w:pStyle w:val="TableParagraph"/>
              <w:spacing w:before="64"/>
              <w:rPr>
                <w:rFonts w:ascii="Palatino Linotype"/>
                <w:i/>
                <w:sz w:val="21"/>
              </w:rPr>
            </w:pPr>
            <w:r>
              <w:rPr>
                <w:rFonts w:ascii="Palatino Linotype"/>
                <w:i/>
                <w:color w:val="333333"/>
                <w:w w:val="115"/>
                <w:sz w:val="21"/>
              </w:rPr>
              <w:t>none</w:t>
            </w:r>
          </w:p>
        </w:tc>
        <w:tc>
          <w:tcPr>
            <w:tcW w:w="4988" w:type="dxa"/>
            <w:tcBorders>
              <w:top w:val="single" w:sz="12" w:space="0" w:color="DDDDDD"/>
            </w:tcBorders>
          </w:tcPr>
          <w:p w14:paraId="30D7281B" w14:textId="77777777" w:rsidR="00A720EB" w:rsidRDefault="0030286B">
            <w:pPr>
              <w:pStyle w:val="TableParagraph"/>
              <w:spacing w:before="21" w:line="310" w:lineRule="atLeast"/>
              <w:ind w:right="218"/>
              <w:rPr>
                <w:rFonts w:ascii="Cambria"/>
                <w:sz w:val="21"/>
              </w:rPr>
            </w:pPr>
            <w:r>
              <w:rPr>
                <w:rFonts w:ascii="Cambria"/>
                <w:color w:val="333333"/>
                <w:w w:val="110"/>
                <w:sz w:val="21"/>
              </w:rPr>
              <w:t>The fully qualified name of the type to consider for the property. This parameter is mandatory.</w:t>
            </w:r>
          </w:p>
        </w:tc>
      </w:tr>
    </w:tbl>
    <w:p w14:paraId="7A4D5B87" w14:textId="77777777" w:rsidR="00A720EB" w:rsidRDefault="00A720EB">
      <w:pPr>
        <w:pStyle w:val="a3"/>
        <w:spacing w:before="5"/>
        <w:rPr>
          <w:sz w:val="23"/>
        </w:rPr>
      </w:pPr>
    </w:p>
    <w:p w14:paraId="04BD4035" w14:textId="77777777" w:rsidR="00A720EB" w:rsidRDefault="0030286B">
      <w:pPr>
        <w:pStyle w:val="a3"/>
        <w:ind w:left="124"/>
        <w:jc w:val="both"/>
      </w:pPr>
      <w:r>
        <w:rPr>
          <w:color w:val="333333"/>
          <w:w w:val="110"/>
        </w:rPr>
        <w:t>The following types can be used:</w:t>
      </w:r>
    </w:p>
    <w:p w14:paraId="6B54F5F6" w14:textId="77777777" w:rsidR="00A720EB" w:rsidRDefault="00A720EB">
      <w:pPr>
        <w:pStyle w:val="a3"/>
        <w:spacing w:before="5"/>
        <w:rPr>
          <w:sz w:val="25"/>
        </w:rPr>
      </w:pPr>
    </w:p>
    <w:p w14:paraId="356CCDDD" w14:textId="77777777" w:rsidR="00A720EB" w:rsidRDefault="0030286B">
      <w:pPr>
        <w:pStyle w:val="a6"/>
        <w:numPr>
          <w:ilvl w:val="3"/>
          <w:numId w:val="8"/>
        </w:numPr>
        <w:tabs>
          <w:tab w:val="left" w:pos="485"/>
        </w:tabs>
        <w:spacing w:before="1" w:line="285" w:lineRule="auto"/>
        <w:ind w:right="127"/>
        <w:jc w:val="both"/>
        <w:rPr>
          <w:sz w:val="21"/>
        </w:rPr>
      </w:pPr>
      <w:r>
        <w:rPr>
          <w:color w:val="333333"/>
          <w:w w:val="110"/>
          <w:sz w:val="21"/>
        </w:rPr>
        <w:t xml:space="preserve">Any </w:t>
      </w:r>
      <w:proofErr w:type="gramStart"/>
      <w:r>
        <w:rPr>
          <w:rFonts w:ascii="MS Gothic" w:hAnsi="MS Gothic"/>
          <w:color w:val="B02045"/>
          <w:w w:val="110"/>
          <w:sz w:val="21"/>
        </w:rPr>
        <w:t>java.lang</w:t>
      </w:r>
      <w:proofErr w:type="gramEnd"/>
      <w:r>
        <w:rPr>
          <w:rFonts w:ascii="MS Gothic" w:hAnsi="MS Gothic"/>
          <w:color w:val="B02045"/>
          <w:w w:val="110"/>
          <w:sz w:val="21"/>
        </w:rPr>
        <w:t>.Enum</w:t>
      </w:r>
      <w:r>
        <w:rPr>
          <w:color w:val="333333"/>
          <w:w w:val="110"/>
          <w:sz w:val="21"/>
        </w:rPr>
        <w:t xml:space="preserve">: Lists the possible values for the </w:t>
      </w:r>
      <w:r>
        <w:rPr>
          <w:color w:val="333333"/>
          <w:spacing w:val="-3"/>
          <w:w w:val="110"/>
          <w:sz w:val="21"/>
        </w:rPr>
        <w:t xml:space="preserve">property. </w:t>
      </w:r>
      <w:r>
        <w:rPr>
          <w:color w:val="333333"/>
          <w:spacing w:val="-5"/>
          <w:w w:val="110"/>
          <w:sz w:val="21"/>
        </w:rPr>
        <w:t xml:space="preserve">(We </w:t>
      </w:r>
      <w:r>
        <w:rPr>
          <w:color w:val="333333"/>
          <w:w w:val="110"/>
          <w:sz w:val="21"/>
        </w:rPr>
        <w:t xml:space="preserve">recommend defining the property with the </w:t>
      </w:r>
      <w:r>
        <w:rPr>
          <w:rFonts w:ascii="MS Gothic" w:hAnsi="MS Gothic"/>
          <w:color w:val="B02045"/>
          <w:w w:val="110"/>
          <w:sz w:val="21"/>
        </w:rPr>
        <w:t xml:space="preserve">Enum </w:t>
      </w:r>
      <w:r>
        <w:rPr>
          <w:color w:val="333333"/>
          <w:w w:val="110"/>
          <w:sz w:val="21"/>
        </w:rPr>
        <w:t>type, as no further hint should be required for the IDE to auto-complete the</w:t>
      </w:r>
      <w:r>
        <w:rPr>
          <w:color w:val="333333"/>
          <w:spacing w:val="3"/>
          <w:w w:val="110"/>
          <w:sz w:val="21"/>
        </w:rPr>
        <w:t xml:space="preserve"> </w:t>
      </w:r>
      <w:r>
        <w:rPr>
          <w:color w:val="333333"/>
          <w:w w:val="110"/>
          <w:sz w:val="21"/>
        </w:rPr>
        <w:t>values)</w:t>
      </w:r>
    </w:p>
    <w:p w14:paraId="2A22558D" w14:textId="77777777" w:rsidR="00A720EB" w:rsidRDefault="0030286B">
      <w:pPr>
        <w:pStyle w:val="a6"/>
        <w:numPr>
          <w:ilvl w:val="3"/>
          <w:numId w:val="8"/>
        </w:numPr>
        <w:tabs>
          <w:tab w:val="left" w:pos="485"/>
        </w:tabs>
        <w:spacing w:before="133"/>
        <w:jc w:val="both"/>
        <w:rPr>
          <w:sz w:val="21"/>
        </w:rPr>
      </w:pPr>
      <w:proofErr w:type="gramStart"/>
      <w:r>
        <w:rPr>
          <w:rFonts w:ascii="MS Gothic" w:hAnsi="MS Gothic"/>
          <w:color w:val="B02045"/>
          <w:w w:val="110"/>
          <w:sz w:val="21"/>
        </w:rPr>
        <w:t>java.nio.charset</w:t>
      </w:r>
      <w:proofErr w:type="gramEnd"/>
      <w:r>
        <w:rPr>
          <w:rFonts w:ascii="MS Gothic" w:hAnsi="MS Gothic"/>
          <w:color w:val="B02045"/>
          <w:w w:val="110"/>
          <w:sz w:val="21"/>
        </w:rPr>
        <w:t>.Charset</w:t>
      </w:r>
      <w:r>
        <w:rPr>
          <w:color w:val="333333"/>
          <w:w w:val="110"/>
          <w:sz w:val="21"/>
        </w:rPr>
        <w:t>:</w:t>
      </w:r>
      <w:r>
        <w:rPr>
          <w:color w:val="333333"/>
          <w:spacing w:val="-24"/>
          <w:w w:val="110"/>
          <w:sz w:val="21"/>
        </w:rPr>
        <w:t xml:space="preserve"> </w:t>
      </w:r>
      <w:r>
        <w:rPr>
          <w:color w:val="333333"/>
          <w:w w:val="110"/>
          <w:sz w:val="21"/>
        </w:rPr>
        <w:t>Supports</w:t>
      </w:r>
      <w:r>
        <w:rPr>
          <w:color w:val="333333"/>
          <w:spacing w:val="-23"/>
          <w:w w:val="110"/>
          <w:sz w:val="21"/>
        </w:rPr>
        <w:t xml:space="preserve"> </w:t>
      </w:r>
      <w:r>
        <w:rPr>
          <w:color w:val="333333"/>
          <w:w w:val="110"/>
          <w:sz w:val="21"/>
        </w:rPr>
        <w:t>auto-completion</w:t>
      </w:r>
      <w:r>
        <w:rPr>
          <w:color w:val="333333"/>
          <w:spacing w:val="-24"/>
          <w:w w:val="110"/>
          <w:sz w:val="21"/>
        </w:rPr>
        <w:t xml:space="preserve"> </w:t>
      </w:r>
      <w:r>
        <w:rPr>
          <w:color w:val="333333"/>
          <w:w w:val="110"/>
          <w:sz w:val="21"/>
        </w:rPr>
        <w:t>of</w:t>
      </w:r>
      <w:r>
        <w:rPr>
          <w:color w:val="333333"/>
          <w:spacing w:val="-23"/>
          <w:w w:val="110"/>
          <w:sz w:val="21"/>
        </w:rPr>
        <w:t xml:space="preserve"> </w:t>
      </w:r>
      <w:r>
        <w:rPr>
          <w:color w:val="333333"/>
          <w:w w:val="110"/>
          <w:sz w:val="21"/>
        </w:rPr>
        <w:t>charset/encoding</w:t>
      </w:r>
      <w:r>
        <w:rPr>
          <w:color w:val="333333"/>
          <w:spacing w:val="-23"/>
          <w:w w:val="110"/>
          <w:sz w:val="21"/>
        </w:rPr>
        <w:t xml:space="preserve"> </w:t>
      </w:r>
      <w:r>
        <w:rPr>
          <w:color w:val="333333"/>
          <w:w w:val="110"/>
          <w:sz w:val="21"/>
        </w:rPr>
        <w:t>values</w:t>
      </w:r>
      <w:r>
        <w:rPr>
          <w:color w:val="333333"/>
          <w:spacing w:val="-23"/>
          <w:w w:val="110"/>
          <w:sz w:val="21"/>
        </w:rPr>
        <w:t xml:space="preserve"> </w:t>
      </w:r>
      <w:r>
        <w:rPr>
          <w:color w:val="333333"/>
          <w:w w:val="110"/>
          <w:sz w:val="21"/>
        </w:rPr>
        <w:t>(such</w:t>
      </w:r>
      <w:r>
        <w:rPr>
          <w:color w:val="333333"/>
          <w:spacing w:val="-23"/>
          <w:w w:val="110"/>
          <w:sz w:val="21"/>
        </w:rPr>
        <w:t xml:space="preserve"> </w:t>
      </w:r>
      <w:r>
        <w:rPr>
          <w:color w:val="333333"/>
          <w:w w:val="110"/>
          <w:sz w:val="21"/>
        </w:rPr>
        <w:t>as</w:t>
      </w:r>
      <w:r>
        <w:rPr>
          <w:color w:val="333333"/>
          <w:spacing w:val="-19"/>
          <w:w w:val="110"/>
          <w:sz w:val="21"/>
        </w:rPr>
        <w:t xml:space="preserve"> </w:t>
      </w:r>
      <w:r>
        <w:rPr>
          <w:rFonts w:ascii="MS Gothic" w:hAnsi="MS Gothic"/>
          <w:color w:val="B02045"/>
          <w:w w:val="110"/>
          <w:sz w:val="21"/>
        </w:rPr>
        <w:t>UTF-8</w:t>
      </w:r>
      <w:r>
        <w:rPr>
          <w:color w:val="333333"/>
          <w:w w:val="110"/>
          <w:sz w:val="21"/>
        </w:rPr>
        <w:t>)</w:t>
      </w:r>
    </w:p>
    <w:p w14:paraId="0238D9E5" w14:textId="77777777" w:rsidR="00A720EB" w:rsidRDefault="0030286B">
      <w:pPr>
        <w:pStyle w:val="a6"/>
        <w:numPr>
          <w:ilvl w:val="3"/>
          <w:numId w:val="8"/>
        </w:numPr>
        <w:tabs>
          <w:tab w:val="left" w:pos="485"/>
        </w:tabs>
        <w:spacing w:before="167"/>
        <w:jc w:val="both"/>
        <w:rPr>
          <w:sz w:val="21"/>
        </w:rPr>
      </w:pPr>
      <w:proofErr w:type="gramStart"/>
      <w:r>
        <w:rPr>
          <w:rFonts w:ascii="MS Gothic" w:hAnsi="MS Gothic"/>
          <w:color w:val="B02045"/>
          <w:w w:val="110"/>
          <w:sz w:val="21"/>
        </w:rPr>
        <w:t>java.util</w:t>
      </w:r>
      <w:proofErr w:type="gramEnd"/>
      <w:r>
        <w:rPr>
          <w:rFonts w:ascii="MS Gothic" w:hAnsi="MS Gothic"/>
          <w:color w:val="B02045"/>
          <w:w w:val="110"/>
          <w:sz w:val="21"/>
        </w:rPr>
        <w:t>.Locale</w:t>
      </w:r>
      <w:r>
        <w:rPr>
          <w:color w:val="333333"/>
          <w:w w:val="110"/>
          <w:sz w:val="21"/>
        </w:rPr>
        <w:t>: auto-completion of locales (such as</w:t>
      </w:r>
      <w:r>
        <w:rPr>
          <w:color w:val="333333"/>
          <w:spacing w:val="4"/>
          <w:w w:val="110"/>
          <w:sz w:val="21"/>
        </w:rPr>
        <w:t xml:space="preserve"> </w:t>
      </w:r>
      <w:r>
        <w:rPr>
          <w:rFonts w:ascii="MS Gothic" w:hAnsi="MS Gothic"/>
          <w:color w:val="B02045"/>
          <w:w w:val="110"/>
          <w:sz w:val="21"/>
        </w:rPr>
        <w:t>en_US</w:t>
      </w:r>
      <w:r>
        <w:rPr>
          <w:color w:val="333333"/>
          <w:w w:val="110"/>
          <w:sz w:val="21"/>
        </w:rPr>
        <w:t>)</w:t>
      </w:r>
    </w:p>
    <w:p w14:paraId="5A0BC73C" w14:textId="77777777" w:rsidR="00A720EB" w:rsidRDefault="0030286B">
      <w:pPr>
        <w:pStyle w:val="a6"/>
        <w:numPr>
          <w:ilvl w:val="3"/>
          <w:numId w:val="8"/>
        </w:numPr>
        <w:tabs>
          <w:tab w:val="left" w:pos="485"/>
        </w:tabs>
        <w:spacing w:before="166"/>
        <w:rPr>
          <w:sz w:val="21"/>
        </w:rPr>
      </w:pPr>
      <w:proofErr w:type="gramStart"/>
      <w:r>
        <w:rPr>
          <w:rFonts w:ascii="MS Gothic" w:hAnsi="MS Gothic"/>
          <w:color w:val="B02045"/>
          <w:w w:val="110"/>
          <w:sz w:val="21"/>
        </w:rPr>
        <w:t>org.springframework</w:t>
      </w:r>
      <w:proofErr w:type="gramEnd"/>
      <w:r>
        <w:rPr>
          <w:rFonts w:ascii="MS Gothic" w:hAnsi="MS Gothic"/>
          <w:color w:val="B02045"/>
          <w:w w:val="110"/>
          <w:sz w:val="21"/>
        </w:rPr>
        <w:t>.util.MimeType</w:t>
      </w:r>
      <w:r>
        <w:rPr>
          <w:color w:val="333333"/>
          <w:w w:val="110"/>
          <w:sz w:val="21"/>
        </w:rPr>
        <w:t>: Supports auto-completion of content type values (such</w:t>
      </w:r>
      <w:r>
        <w:rPr>
          <w:color w:val="333333"/>
          <w:spacing w:val="14"/>
          <w:w w:val="110"/>
          <w:sz w:val="21"/>
        </w:rPr>
        <w:t xml:space="preserve"> </w:t>
      </w:r>
      <w:r>
        <w:rPr>
          <w:color w:val="333333"/>
          <w:w w:val="110"/>
          <w:sz w:val="21"/>
        </w:rPr>
        <w:t>as</w:t>
      </w:r>
    </w:p>
    <w:p w14:paraId="10E7269D" w14:textId="77777777" w:rsidR="00A720EB" w:rsidRDefault="0030286B">
      <w:pPr>
        <w:pStyle w:val="a3"/>
        <w:spacing w:before="47"/>
        <w:ind w:left="484"/>
      </w:pPr>
      <w:r>
        <w:rPr>
          <w:rFonts w:ascii="MS Gothic"/>
          <w:color w:val="B02045"/>
        </w:rPr>
        <w:t>text/plain</w:t>
      </w:r>
      <w:r>
        <w:rPr>
          <w:color w:val="333333"/>
        </w:rPr>
        <w:t>)</w:t>
      </w:r>
    </w:p>
    <w:p w14:paraId="0EC1090A" w14:textId="77777777" w:rsidR="00A720EB" w:rsidRDefault="0030286B">
      <w:pPr>
        <w:pStyle w:val="a6"/>
        <w:numPr>
          <w:ilvl w:val="3"/>
          <w:numId w:val="8"/>
        </w:numPr>
        <w:tabs>
          <w:tab w:val="left" w:pos="485"/>
        </w:tabs>
        <w:spacing w:before="166" w:line="295" w:lineRule="auto"/>
        <w:ind w:right="125"/>
        <w:jc w:val="both"/>
        <w:rPr>
          <w:sz w:val="21"/>
        </w:rPr>
      </w:pPr>
      <w:proofErr w:type="gramStart"/>
      <w:r>
        <w:rPr>
          <w:rFonts w:ascii="MS Gothic" w:hAnsi="MS Gothic"/>
          <w:color w:val="B02045"/>
          <w:w w:val="110"/>
          <w:sz w:val="21"/>
        </w:rPr>
        <w:t>org.springframework.core.io.Resource</w:t>
      </w:r>
      <w:proofErr w:type="gramEnd"/>
      <w:r>
        <w:rPr>
          <w:color w:val="333333"/>
          <w:w w:val="110"/>
          <w:sz w:val="21"/>
        </w:rPr>
        <w:t xml:space="preserve">: Supports auto-completion of Spring’s Resource abstraction to refer to a file on the filesystem or on the classpath (such as </w:t>
      </w:r>
      <w:r>
        <w:rPr>
          <w:rFonts w:ascii="MS Gothic" w:hAnsi="MS Gothic"/>
          <w:color w:val="B02045"/>
          <w:w w:val="110"/>
          <w:sz w:val="21"/>
        </w:rPr>
        <w:t>classpath:/sample.properties</w:t>
      </w:r>
      <w:r>
        <w:rPr>
          <w:color w:val="333333"/>
          <w:w w:val="110"/>
          <w:sz w:val="21"/>
        </w:rPr>
        <w:t>)</w:t>
      </w:r>
    </w:p>
    <w:p w14:paraId="1E847A5C" w14:textId="77777777" w:rsidR="00A720EB" w:rsidRDefault="00A720EB">
      <w:pPr>
        <w:pStyle w:val="a3"/>
        <w:spacing w:before="10"/>
        <w:rPr>
          <w:sz w:val="24"/>
        </w:rPr>
      </w:pPr>
    </w:p>
    <w:p w14:paraId="5B56D7F6" w14:textId="77777777" w:rsidR="00A720EB" w:rsidRDefault="00E10349">
      <w:pPr>
        <w:pStyle w:val="a3"/>
        <w:spacing w:before="1" w:line="285" w:lineRule="auto"/>
        <w:ind w:left="1564"/>
      </w:pPr>
      <w:r>
        <w:pict w14:anchorId="0A1293BC">
          <v:line id="_x0000_s1135" style="position:absolute;left:0;text-align:left;z-index:16443392;mso-position-horizontal-relative:page" from="108.25pt,-4.9pt" to="108.25pt,34.65pt" strokecolor="#ededed" strokeweight=".5pt">
            <w10:wrap anchorx="page"/>
          </v:line>
        </w:pict>
      </w:r>
      <w:r w:rsidR="0030286B">
        <w:rPr>
          <w:noProof/>
        </w:rPr>
        <w:drawing>
          <wp:anchor distT="0" distB="0" distL="0" distR="0" simplePos="0" relativeHeight="16443904" behindDoc="0" locked="0" layoutInCell="1" allowOverlap="1" wp14:anchorId="05BA43A1" wp14:editId="55C13108">
            <wp:simplePos x="0" y="0"/>
            <wp:positionH relativeFrom="page">
              <wp:posOffset>888949</wp:posOffset>
            </wp:positionH>
            <wp:positionV relativeFrom="paragraph">
              <wp:posOffset>36689</wp:posOffset>
            </wp:positionV>
            <wp:extent cx="209550" cy="304800"/>
            <wp:effectExtent l="0" t="0" r="0" b="0"/>
            <wp:wrapNone/>
            <wp:docPr id="80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 xml:space="preserve">If multiple values can be provided, use a </w:t>
      </w:r>
      <w:r w:rsidR="0030286B">
        <w:rPr>
          <w:rFonts w:ascii="MS Gothic"/>
          <w:color w:val="B02045"/>
          <w:w w:val="110"/>
        </w:rPr>
        <w:t xml:space="preserve">Collection </w:t>
      </w:r>
      <w:r w:rsidR="0030286B">
        <w:rPr>
          <w:color w:val="333333"/>
          <w:w w:val="110"/>
        </w:rPr>
        <w:t xml:space="preserve">or </w:t>
      </w:r>
      <w:r w:rsidR="0030286B">
        <w:rPr>
          <w:rFonts w:ascii="Palatino Linotype"/>
          <w:i/>
          <w:color w:val="333333"/>
          <w:w w:val="110"/>
        </w:rPr>
        <w:t xml:space="preserve">Array </w:t>
      </w:r>
      <w:r w:rsidR="0030286B">
        <w:rPr>
          <w:color w:val="333333"/>
          <w:w w:val="110"/>
        </w:rPr>
        <w:t>type to teach the IDE about it.</w:t>
      </w:r>
    </w:p>
    <w:p w14:paraId="2DA7EF94" w14:textId="77777777" w:rsidR="00A720EB" w:rsidRDefault="00A720EB">
      <w:pPr>
        <w:pStyle w:val="a3"/>
        <w:spacing w:before="3"/>
        <w:rPr>
          <w:sz w:val="28"/>
        </w:rPr>
      </w:pPr>
    </w:p>
    <w:p w14:paraId="1E9EDA3B" w14:textId="77777777" w:rsidR="00A720EB" w:rsidRDefault="0030286B">
      <w:pPr>
        <w:pStyle w:val="a3"/>
        <w:spacing w:line="292" w:lineRule="auto"/>
        <w:ind w:left="124" w:right="123"/>
        <w:jc w:val="both"/>
      </w:pPr>
      <w:r>
        <w:rPr>
          <w:color w:val="333333"/>
          <w:w w:val="110"/>
        </w:rPr>
        <w:t>The</w:t>
      </w:r>
      <w:r>
        <w:rPr>
          <w:color w:val="333333"/>
          <w:spacing w:val="-13"/>
          <w:w w:val="110"/>
        </w:rPr>
        <w:t xml:space="preserve"> </w:t>
      </w:r>
      <w:r>
        <w:rPr>
          <w:color w:val="333333"/>
          <w:w w:val="110"/>
        </w:rPr>
        <w:t>following</w:t>
      </w:r>
      <w:r>
        <w:rPr>
          <w:color w:val="333333"/>
          <w:spacing w:val="-13"/>
          <w:w w:val="110"/>
        </w:rPr>
        <w:t xml:space="preserve"> </w:t>
      </w:r>
      <w:r>
        <w:rPr>
          <w:color w:val="333333"/>
          <w:w w:val="110"/>
        </w:rPr>
        <w:t>metadata</w:t>
      </w:r>
      <w:r>
        <w:rPr>
          <w:color w:val="333333"/>
          <w:spacing w:val="-12"/>
          <w:w w:val="110"/>
        </w:rPr>
        <w:t xml:space="preserve"> </w:t>
      </w:r>
      <w:r>
        <w:rPr>
          <w:color w:val="333333"/>
          <w:w w:val="110"/>
        </w:rPr>
        <w:t>snippet</w:t>
      </w:r>
      <w:r>
        <w:rPr>
          <w:color w:val="333333"/>
          <w:spacing w:val="-13"/>
          <w:w w:val="110"/>
        </w:rPr>
        <w:t xml:space="preserve"> </w:t>
      </w:r>
      <w:r>
        <w:rPr>
          <w:color w:val="333333"/>
          <w:w w:val="110"/>
        </w:rPr>
        <w:t>corresponds</w:t>
      </w:r>
      <w:r>
        <w:rPr>
          <w:color w:val="333333"/>
          <w:spacing w:val="-12"/>
          <w:w w:val="110"/>
        </w:rPr>
        <w:t xml:space="preserve"> </w:t>
      </w:r>
      <w:r>
        <w:rPr>
          <w:color w:val="333333"/>
          <w:w w:val="110"/>
        </w:rPr>
        <w:t>to</w:t>
      </w:r>
      <w:r>
        <w:rPr>
          <w:color w:val="333333"/>
          <w:spacing w:val="-13"/>
          <w:w w:val="110"/>
        </w:rPr>
        <w:t xml:space="preserve"> </w:t>
      </w:r>
      <w:r>
        <w:rPr>
          <w:color w:val="333333"/>
          <w:w w:val="110"/>
        </w:rPr>
        <w:t>the</w:t>
      </w:r>
      <w:r>
        <w:rPr>
          <w:color w:val="333333"/>
          <w:spacing w:val="-12"/>
          <w:w w:val="110"/>
        </w:rPr>
        <w:t xml:space="preserve"> </w:t>
      </w:r>
      <w:r>
        <w:rPr>
          <w:color w:val="333333"/>
          <w:w w:val="110"/>
        </w:rPr>
        <w:t>standard</w:t>
      </w:r>
      <w:r>
        <w:rPr>
          <w:color w:val="333333"/>
          <w:spacing w:val="-11"/>
          <w:w w:val="110"/>
        </w:rPr>
        <w:t xml:space="preserve"> </w:t>
      </w:r>
      <w:proofErr w:type="gramStart"/>
      <w:r>
        <w:rPr>
          <w:rFonts w:ascii="MS Gothic"/>
          <w:color w:val="B02045"/>
          <w:w w:val="110"/>
        </w:rPr>
        <w:t>spring.liquibase</w:t>
      </w:r>
      <w:proofErr w:type="gramEnd"/>
      <w:r>
        <w:rPr>
          <w:rFonts w:ascii="MS Gothic"/>
          <w:color w:val="B02045"/>
          <w:w w:val="110"/>
        </w:rPr>
        <w:t>.change-log</w:t>
      </w:r>
      <w:r>
        <w:rPr>
          <w:rFonts w:ascii="MS Gothic"/>
          <w:color w:val="B02045"/>
          <w:spacing w:val="-78"/>
          <w:w w:val="110"/>
        </w:rPr>
        <w:t xml:space="preserve"> </w:t>
      </w:r>
      <w:r>
        <w:rPr>
          <w:color w:val="333333"/>
          <w:w w:val="110"/>
        </w:rPr>
        <w:t xml:space="preserve">property that defines the path to the changelog to use. It is actually used internally as a </w:t>
      </w:r>
      <w:proofErr w:type="gramStart"/>
      <w:r>
        <w:rPr>
          <w:rFonts w:ascii="MS Gothic"/>
          <w:color w:val="B02045"/>
          <w:w w:val="110"/>
        </w:rPr>
        <w:t>org.springframework.core.io.Resource</w:t>
      </w:r>
      <w:proofErr w:type="gramEnd"/>
      <w:r>
        <w:rPr>
          <w:rFonts w:ascii="MS Gothic"/>
          <w:color w:val="B02045"/>
          <w:spacing w:val="-77"/>
          <w:w w:val="110"/>
        </w:rPr>
        <w:t xml:space="preserve"> </w:t>
      </w:r>
      <w:r>
        <w:rPr>
          <w:color w:val="333333"/>
          <w:w w:val="110"/>
        </w:rPr>
        <w:t>but</w:t>
      </w:r>
      <w:r>
        <w:rPr>
          <w:color w:val="333333"/>
          <w:spacing w:val="-13"/>
          <w:w w:val="110"/>
        </w:rPr>
        <w:t xml:space="preserve"> </w:t>
      </w:r>
      <w:r>
        <w:rPr>
          <w:color w:val="333333"/>
          <w:w w:val="110"/>
        </w:rPr>
        <w:t>cannot</w:t>
      </w:r>
      <w:r>
        <w:rPr>
          <w:color w:val="333333"/>
          <w:spacing w:val="-12"/>
          <w:w w:val="110"/>
        </w:rPr>
        <w:t xml:space="preserve"> </w:t>
      </w:r>
      <w:r>
        <w:rPr>
          <w:color w:val="333333"/>
          <w:w w:val="110"/>
        </w:rPr>
        <w:t>be</w:t>
      </w:r>
      <w:r>
        <w:rPr>
          <w:color w:val="333333"/>
          <w:spacing w:val="-12"/>
          <w:w w:val="110"/>
        </w:rPr>
        <w:t xml:space="preserve"> </w:t>
      </w:r>
      <w:r>
        <w:rPr>
          <w:color w:val="333333"/>
          <w:w w:val="110"/>
        </w:rPr>
        <w:t>exposed</w:t>
      </w:r>
      <w:r>
        <w:rPr>
          <w:color w:val="333333"/>
          <w:spacing w:val="-12"/>
          <w:w w:val="110"/>
        </w:rPr>
        <w:t xml:space="preserve"> </w:t>
      </w:r>
      <w:r>
        <w:rPr>
          <w:color w:val="333333"/>
          <w:w w:val="110"/>
        </w:rPr>
        <w:t>as</w:t>
      </w:r>
      <w:r>
        <w:rPr>
          <w:color w:val="333333"/>
          <w:spacing w:val="-12"/>
          <w:w w:val="110"/>
        </w:rPr>
        <w:t xml:space="preserve"> </w:t>
      </w:r>
      <w:r>
        <w:rPr>
          <w:color w:val="333333"/>
          <w:w w:val="110"/>
        </w:rPr>
        <w:t>such,</w:t>
      </w:r>
      <w:r>
        <w:rPr>
          <w:color w:val="333333"/>
          <w:spacing w:val="-12"/>
          <w:w w:val="110"/>
        </w:rPr>
        <w:t xml:space="preserve"> </w:t>
      </w:r>
      <w:r>
        <w:rPr>
          <w:color w:val="333333"/>
          <w:w w:val="110"/>
        </w:rPr>
        <w:t>because</w:t>
      </w:r>
      <w:r>
        <w:rPr>
          <w:color w:val="333333"/>
          <w:spacing w:val="-13"/>
          <w:w w:val="110"/>
        </w:rPr>
        <w:t xml:space="preserve"> </w:t>
      </w:r>
      <w:r>
        <w:rPr>
          <w:color w:val="333333"/>
          <w:w w:val="110"/>
        </w:rPr>
        <w:t>we</w:t>
      </w:r>
      <w:r>
        <w:rPr>
          <w:color w:val="333333"/>
          <w:spacing w:val="-12"/>
          <w:w w:val="110"/>
        </w:rPr>
        <w:t xml:space="preserve"> </w:t>
      </w:r>
      <w:r>
        <w:rPr>
          <w:color w:val="333333"/>
          <w:w w:val="110"/>
        </w:rPr>
        <w:t>need</w:t>
      </w:r>
      <w:r>
        <w:rPr>
          <w:color w:val="333333"/>
          <w:spacing w:val="-12"/>
          <w:w w:val="110"/>
        </w:rPr>
        <w:t xml:space="preserve"> </w:t>
      </w:r>
      <w:r>
        <w:rPr>
          <w:color w:val="333333"/>
          <w:w w:val="110"/>
        </w:rPr>
        <w:t>to</w:t>
      </w:r>
      <w:r>
        <w:rPr>
          <w:color w:val="333333"/>
          <w:spacing w:val="-12"/>
          <w:w w:val="110"/>
        </w:rPr>
        <w:t xml:space="preserve"> </w:t>
      </w:r>
      <w:r>
        <w:rPr>
          <w:color w:val="333333"/>
          <w:w w:val="110"/>
        </w:rPr>
        <w:t>keep</w:t>
      </w:r>
      <w:r>
        <w:rPr>
          <w:color w:val="333333"/>
          <w:spacing w:val="-12"/>
          <w:w w:val="110"/>
        </w:rPr>
        <w:t xml:space="preserve"> </w:t>
      </w:r>
      <w:r>
        <w:rPr>
          <w:color w:val="333333"/>
          <w:w w:val="110"/>
        </w:rPr>
        <w:t>the original String value to pass it to the Liquibase</w:t>
      </w:r>
      <w:r>
        <w:rPr>
          <w:color w:val="333333"/>
          <w:spacing w:val="29"/>
          <w:w w:val="110"/>
        </w:rPr>
        <w:t xml:space="preserve"> </w:t>
      </w:r>
      <w:r>
        <w:rPr>
          <w:color w:val="333333"/>
          <w:w w:val="110"/>
        </w:rPr>
        <w:t>API.</w:t>
      </w:r>
    </w:p>
    <w:p w14:paraId="4F26DEA0" w14:textId="77777777" w:rsidR="00A720EB" w:rsidRDefault="00A720EB">
      <w:pPr>
        <w:spacing w:line="292" w:lineRule="auto"/>
        <w:jc w:val="both"/>
        <w:sectPr w:rsidR="00A720EB">
          <w:pgSz w:w="11910" w:h="16840"/>
          <w:pgMar w:top="700" w:right="840" w:bottom="520" w:left="840" w:header="0" w:footer="198" w:gutter="0"/>
          <w:cols w:space="720"/>
        </w:sectPr>
      </w:pPr>
    </w:p>
    <w:p w14:paraId="21378E1F" w14:textId="77777777" w:rsidR="00A720EB" w:rsidRDefault="00E10349">
      <w:pPr>
        <w:pStyle w:val="a3"/>
        <w:ind w:left="116"/>
        <w:rPr>
          <w:sz w:val="20"/>
        </w:rPr>
      </w:pPr>
      <w:r>
        <w:rPr>
          <w:sz w:val="20"/>
        </w:rPr>
      </w:r>
      <w:r>
        <w:rPr>
          <w:sz w:val="20"/>
        </w:rPr>
        <w:pict w14:anchorId="0CC824F4">
          <v:group id="_x0000_s1131" style="width:499.55pt;height:214.4pt;mso-position-horizontal-relative:char;mso-position-vertical-relative:line" coordsize="9991,4288">
            <v:shape id="_x0000_s1134" style="position:absolute;left:7;top:7;width:9976;height:4273" coordorigin="8,8" coordsize="9976,4273" path="m9904,8l88,8,56,14,31,31,14,56,8,88r,4112l14,4231r17,25l56,4274r32,6l9904,4280r31,-6l9960,4256r17,-25l9984,4200r,-4112l9977,56,9960,31,9935,14,9904,8xe" fillcolor="#f5f5f5" stroked="f">
              <v:path arrowok="t"/>
            </v:shape>
            <v:shape id="_x0000_s1133" style="position:absolute;left:7;top:7;width:9976;height:4273" coordorigin="8,8" coordsize="9976,4273" path="m88,8r9816,l9935,14r25,17l9977,56r7,32l9984,4200r-7,31l9960,4256r-25,18l9904,4280r-9816,l56,4274,31,4256,14,4231,8,4200,8,88,14,56,31,31,56,14,88,8xe" filled="f" strokecolor="#ccc">
              <v:path arrowok="t"/>
            </v:shape>
            <v:shape id="_x0000_s1132" type="#_x0000_t202" style="position:absolute;left:26;top:22;width:9938;height:4242" filled="f" stroked="f">
              <v:textbox inset="0,0,0,0">
                <w:txbxContent>
                  <w:p w14:paraId="2760560D" w14:textId="77777777" w:rsidR="00711A16" w:rsidRDefault="00711A16">
                    <w:pPr>
                      <w:spacing w:before="221"/>
                      <w:ind w:left="200"/>
                      <w:rPr>
                        <w:rFonts w:ascii="MS Gothic"/>
                      </w:rPr>
                    </w:pPr>
                    <w:r>
                      <w:rPr>
                        <w:rFonts w:ascii="MS Gothic"/>
                        <w:color w:val="333333"/>
                      </w:rPr>
                      <w:t>{"hints": [</w:t>
                    </w:r>
                  </w:p>
                  <w:p w14:paraId="35D201DF" w14:textId="77777777" w:rsidR="00711A16" w:rsidRDefault="00711A16">
                    <w:pPr>
                      <w:spacing w:before="13"/>
                      <w:ind w:left="640"/>
                      <w:rPr>
                        <w:rFonts w:ascii="MS Gothic"/>
                      </w:rPr>
                    </w:pPr>
                    <w:r>
                      <w:rPr>
                        <w:rFonts w:ascii="MS Gothic"/>
                        <w:color w:val="333333"/>
                      </w:rPr>
                      <w:t>{</w:t>
                    </w:r>
                  </w:p>
                  <w:p w14:paraId="549E96FC" w14:textId="77777777" w:rsidR="00711A16" w:rsidRDefault="00711A16">
                    <w:pPr>
                      <w:spacing w:before="13" w:line="252" w:lineRule="auto"/>
                      <w:ind w:left="1080" w:right="4658"/>
                      <w:rPr>
                        <w:rFonts w:ascii="MS Gothic"/>
                      </w:rPr>
                    </w:pPr>
                    <w:r>
                      <w:rPr>
                        <w:rFonts w:ascii="MS Gothic"/>
                        <w:color w:val="333333"/>
                      </w:rPr>
                      <w:t>"name": "</w:t>
                    </w:r>
                    <w:proofErr w:type="gramStart"/>
                    <w:r>
                      <w:rPr>
                        <w:rFonts w:ascii="MS Gothic"/>
                        <w:color w:val="333333"/>
                      </w:rPr>
                      <w:t>spring.liquibase</w:t>
                    </w:r>
                    <w:proofErr w:type="gramEnd"/>
                    <w:r>
                      <w:rPr>
                        <w:rFonts w:ascii="MS Gothic"/>
                        <w:color w:val="333333"/>
                      </w:rPr>
                      <w:t>.change-log", "providers": [</w:t>
                    </w:r>
                  </w:p>
                  <w:p w14:paraId="63132C9E" w14:textId="77777777" w:rsidR="00711A16" w:rsidRDefault="00711A16">
                    <w:pPr>
                      <w:spacing w:line="280" w:lineRule="exact"/>
                      <w:ind w:left="1520"/>
                      <w:rPr>
                        <w:rFonts w:ascii="MS Gothic"/>
                      </w:rPr>
                    </w:pPr>
                    <w:r>
                      <w:rPr>
                        <w:rFonts w:ascii="MS Gothic"/>
                        <w:color w:val="333333"/>
                      </w:rPr>
                      <w:t>{</w:t>
                    </w:r>
                  </w:p>
                  <w:p w14:paraId="71A398E4" w14:textId="77777777" w:rsidR="00711A16" w:rsidRDefault="00711A16">
                    <w:pPr>
                      <w:spacing w:before="13" w:line="252" w:lineRule="auto"/>
                      <w:ind w:left="1960" w:right="5758"/>
                      <w:rPr>
                        <w:rFonts w:ascii="MS Gothic"/>
                      </w:rPr>
                    </w:pPr>
                    <w:r>
                      <w:rPr>
                        <w:rFonts w:ascii="MS Gothic"/>
                        <w:color w:val="333333"/>
                      </w:rPr>
                      <w:t>"name": "handle-as", "parameters": {</w:t>
                    </w:r>
                  </w:p>
                  <w:p w14:paraId="2C2D4775" w14:textId="77777777" w:rsidR="00711A16" w:rsidRDefault="00711A16">
                    <w:pPr>
                      <w:spacing w:line="280" w:lineRule="exact"/>
                      <w:ind w:left="2400"/>
                      <w:rPr>
                        <w:rFonts w:ascii="MS Gothic"/>
                      </w:rPr>
                    </w:pPr>
                    <w:r>
                      <w:rPr>
                        <w:rFonts w:ascii="MS Gothic"/>
                        <w:color w:val="333333"/>
                      </w:rPr>
                      <w:t>"target": "</w:t>
                    </w:r>
                    <w:proofErr w:type="gramStart"/>
                    <w:r>
                      <w:rPr>
                        <w:rFonts w:ascii="MS Gothic"/>
                        <w:color w:val="333333"/>
                      </w:rPr>
                      <w:t>org.springframework.core.io.Resource</w:t>
                    </w:r>
                    <w:proofErr w:type="gramEnd"/>
                    <w:r>
                      <w:rPr>
                        <w:rFonts w:ascii="MS Gothic"/>
                        <w:color w:val="333333"/>
                      </w:rPr>
                      <w:t>"</w:t>
                    </w:r>
                  </w:p>
                  <w:p w14:paraId="601B2B3E" w14:textId="77777777" w:rsidR="00711A16" w:rsidRDefault="00711A16">
                    <w:pPr>
                      <w:spacing w:before="12"/>
                      <w:ind w:left="1960"/>
                      <w:rPr>
                        <w:rFonts w:ascii="MS Gothic"/>
                      </w:rPr>
                    </w:pPr>
                    <w:r>
                      <w:rPr>
                        <w:rFonts w:ascii="MS Gothic"/>
                        <w:color w:val="333333"/>
                      </w:rPr>
                      <w:t>}</w:t>
                    </w:r>
                  </w:p>
                  <w:p w14:paraId="0D56DE44" w14:textId="77777777" w:rsidR="00711A16" w:rsidRDefault="00711A16">
                    <w:pPr>
                      <w:spacing w:before="13"/>
                      <w:ind w:left="1520"/>
                      <w:rPr>
                        <w:rFonts w:ascii="MS Gothic"/>
                      </w:rPr>
                    </w:pPr>
                    <w:r>
                      <w:rPr>
                        <w:rFonts w:ascii="MS Gothic"/>
                        <w:color w:val="333333"/>
                      </w:rPr>
                      <w:t>}</w:t>
                    </w:r>
                  </w:p>
                  <w:p w14:paraId="58998A07" w14:textId="77777777" w:rsidR="00711A16" w:rsidRDefault="00711A16">
                    <w:pPr>
                      <w:spacing w:before="13"/>
                      <w:ind w:left="1080"/>
                      <w:rPr>
                        <w:rFonts w:ascii="MS Gothic"/>
                      </w:rPr>
                    </w:pPr>
                    <w:r>
                      <w:rPr>
                        <w:rFonts w:ascii="MS Gothic"/>
                        <w:color w:val="333333"/>
                      </w:rPr>
                      <w:t>]</w:t>
                    </w:r>
                  </w:p>
                  <w:p w14:paraId="155118A5" w14:textId="77777777" w:rsidR="00711A16" w:rsidRDefault="00711A16">
                    <w:pPr>
                      <w:spacing w:before="13"/>
                      <w:ind w:left="640"/>
                      <w:rPr>
                        <w:rFonts w:ascii="MS Gothic"/>
                      </w:rPr>
                    </w:pPr>
                    <w:r>
                      <w:rPr>
                        <w:rFonts w:ascii="MS Gothic"/>
                        <w:color w:val="333333"/>
                      </w:rPr>
                      <w:t>}</w:t>
                    </w:r>
                  </w:p>
                  <w:p w14:paraId="632B2D35" w14:textId="77777777" w:rsidR="00711A16" w:rsidRDefault="00711A16">
                    <w:pPr>
                      <w:spacing w:before="13"/>
                      <w:ind w:left="200"/>
                      <w:rPr>
                        <w:rFonts w:ascii="MS Gothic"/>
                      </w:rPr>
                    </w:pPr>
                    <w:r>
                      <w:rPr>
                        <w:rFonts w:ascii="MS Gothic"/>
                        <w:color w:val="333333"/>
                      </w:rPr>
                      <w:t>]}</w:t>
                    </w:r>
                  </w:p>
                </w:txbxContent>
              </v:textbox>
            </v:shape>
            <w10:anchorlock/>
          </v:group>
        </w:pict>
      </w:r>
    </w:p>
    <w:p w14:paraId="6B54079D" w14:textId="77777777" w:rsidR="00A720EB" w:rsidRDefault="00A720EB">
      <w:pPr>
        <w:pStyle w:val="a3"/>
        <w:spacing w:before="1"/>
        <w:rPr>
          <w:sz w:val="17"/>
        </w:rPr>
      </w:pPr>
    </w:p>
    <w:p w14:paraId="11B4EF66" w14:textId="77777777" w:rsidR="00A720EB" w:rsidRDefault="0030286B">
      <w:pPr>
        <w:spacing w:before="103"/>
        <w:ind w:left="124"/>
        <w:jc w:val="both"/>
        <w:rPr>
          <w:rFonts w:ascii="Palatino Linotype"/>
          <w:b/>
          <w:sz w:val="18"/>
        </w:rPr>
      </w:pPr>
      <w:r>
        <w:rPr>
          <w:rFonts w:ascii="Palatino Linotype"/>
          <w:b/>
          <w:color w:val="333333"/>
          <w:w w:val="110"/>
          <w:sz w:val="18"/>
        </w:rPr>
        <w:t>Logger Name</w:t>
      </w:r>
    </w:p>
    <w:p w14:paraId="6550DC1E" w14:textId="77777777" w:rsidR="00A720EB" w:rsidRDefault="00A720EB">
      <w:pPr>
        <w:pStyle w:val="a3"/>
        <w:spacing w:before="4"/>
        <w:rPr>
          <w:rFonts w:ascii="Palatino Linotype"/>
          <w:b/>
          <w:sz w:val="17"/>
        </w:rPr>
      </w:pPr>
    </w:p>
    <w:p w14:paraId="6A195059" w14:textId="77777777" w:rsidR="00A720EB" w:rsidRDefault="0030286B">
      <w:pPr>
        <w:pStyle w:val="a3"/>
        <w:spacing w:line="302" w:lineRule="auto"/>
        <w:ind w:left="124" w:right="123"/>
        <w:jc w:val="both"/>
      </w:pPr>
      <w:r>
        <w:rPr>
          <w:color w:val="333333"/>
          <w:w w:val="110"/>
        </w:rPr>
        <w:t xml:space="preserve">The </w:t>
      </w:r>
      <w:r>
        <w:rPr>
          <w:rFonts w:ascii="Palatino Linotype"/>
          <w:b/>
          <w:color w:val="333333"/>
          <w:w w:val="110"/>
        </w:rPr>
        <w:t xml:space="preserve">logger-name </w:t>
      </w:r>
      <w:r>
        <w:rPr>
          <w:color w:val="333333"/>
          <w:w w:val="110"/>
        </w:rPr>
        <w:t xml:space="preserve">provider auto-completes valid logger names and  </w:t>
      </w:r>
      <w:hyperlink w:anchor="_bookmark136" w:history="1">
        <w:proofErr w:type="gramStart"/>
        <w:r>
          <w:rPr>
            <w:color w:val="418BCA"/>
            <w:w w:val="110"/>
          </w:rPr>
          <w:t>logger  groups</w:t>
        </w:r>
        <w:proofErr w:type="gramEnd"/>
      </w:hyperlink>
      <w:r>
        <w:rPr>
          <w:color w:val="333333"/>
          <w:w w:val="110"/>
        </w:rPr>
        <w:t xml:space="preserve">.  </w:t>
      </w:r>
      <w:r>
        <w:rPr>
          <w:color w:val="333333"/>
          <w:spacing w:val="-3"/>
          <w:w w:val="110"/>
        </w:rPr>
        <w:t xml:space="preserve">Typically, </w:t>
      </w:r>
      <w:r>
        <w:rPr>
          <w:color w:val="333333"/>
          <w:w w:val="110"/>
        </w:rPr>
        <w:t>package and class names available in the current project can be auto-completed. If groups are enabled (default) and if a custom logger group is identified in the configuration, auto-completion    for it should be provided. Specific frameworks may have extra magic logger names that can be</w:t>
      </w:r>
      <w:r>
        <w:rPr>
          <w:color w:val="333333"/>
          <w:spacing w:val="50"/>
          <w:w w:val="110"/>
        </w:rPr>
        <w:t xml:space="preserve"> </w:t>
      </w:r>
      <w:r>
        <w:rPr>
          <w:color w:val="333333"/>
          <w:w w:val="110"/>
        </w:rPr>
        <w:t>supported as</w:t>
      </w:r>
      <w:r>
        <w:rPr>
          <w:color w:val="333333"/>
          <w:spacing w:val="5"/>
          <w:w w:val="110"/>
        </w:rPr>
        <w:t xml:space="preserve"> </w:t>
      </w:r>
      <w:r>
        <w:rPr>
          <w:color w:val="333333"/>
          <w:w w:val="110"/>
        </w:rPr>
        <w:t>well.</w:t>
      </w:r>
    </w:p>
    <w:p w14:paraId="682C6449" w14:textId="77777777" w:rsidR="00A720EB" w:rsidRDefault="0030286B">
      <w:pPr>
        <w:pStyle w:val="a3"/>
        <w:spacing w:before="242"/>
        <w:ind w:left="124"/>
        <w:jc w:val="both"/>
      </w:pPr>
      <w:r>
        <w:rPr>
          <w:color w:val="333333"/>
          <w:w w:val="110"/>
        </w:rPr>
        <w:t>This provider supports the following parameters:</w:t>
      </w:r>
    </w:p>
    <w:p w14:paraId="0A102B53" w14:textId="77777777" w:rsidR="00A720EB" w:rsidRDefault="00A720EB">
      <w:pPr>
        <w:pStyle w:val="a3"/>
        <w:spacing w:before="6"/>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247"/>
        <w:gridCol w:w="1247"/>
        <w:gridCol w:w="2494"/>
        <w:gridCol w:w="4988"/>
      </w:tblGrid>
      <w:tr w:rsidR="00A720EB" w14:paraId="7036D6FD" w14:textId="77777777">
        <w:trPr>
          <w:trHeight w:val="415"/>
        </w:trPr>
        <w:tc>
          <w:tcPr>
            <w:tcW w:w="1247" w:type="dxa"/>
            <w:tcBorders>
              <w:bottom w:val="single" w:sz="12" w:space="0" w:color="DDDDDD"/>
            </w:tcBorders>
          </w:tcPr>
          <w:p w14:paraId="295ACAB9" w14:textId="77777777" w:rsidR="00A720EB" w:rsidRDefault="0030286B">
            <w:pPr>
              <w:pStyle w:val="TableParagraph"/>
              <w:spacing w:before="74"/>
              <w:rPr>
                <w:rFonts w:ascii="Palatino Linotype"/>
                <w:b/>
                <w:sz w:val="21"/>
              </w:rPr>
            </w:pPr>
            <w:r>
              <w:rPr>
                <w:rFonts w:ascii="Palatino Linotype"/>
                <w:b/>
                <w:color w:val="333333"/>
                <w:w w:val="115"/>
                <w:sz w:val="21"/>
              </w:rPr>
              <w:t>Parameter</w:t>
            </w:r>
          </w:p>
        </w:tc>
        <w:tc>
          <w:tcPr>
            <w:tcW w:w="1247" w:type="dxa"/>
            <w:tcBorders>
              <w:bottom w:val="single" w:sz="12" w:space="0" w:color="DDDDDD"/>
            </w:tcBorders>
          </w:tcPr>
          <w:p w14:paraId="1B1FDE32" w14:textId="77777777" w:rsidR="00A720EB" w:rsidRDefault="0030286B">
            <w:pPr>
              <w:pStyle w:val="TableParagraph"/>
              <w:spacing w:before="74"/>
              <w:rPr>
                <w:rFonts w:ascii="Palatino Linotype"/>
                <w:b/>
                <w:sz w:val="21"/>
              </w:rPr>
            </w:pPr>
            <w:r>
              <w:rPr>
                <w:rFonts w:ascii="Palatino Linotype"/>
                <w:b/>
                <w:color w:val="333333"/>
                <w:w w:val="105"/>
                <w:sz w:val="21"/>
              </w:rPr>
              <w:t>Type</w:t>
            </w:r>
          </w:p>
        </w:tc>
        <w:tc>
          <w:tcPr>
            <w:tcW w:w="2494" w:type="dxa"/>
            <w:tcBorders>
              <w:bottom w:val="single" w:sz="12" w:space="0" w:color="DDDDDD"/>
            </w:tcBorders>
          </w:tcPr>
          <w:p w14:paraId="309BE67A" w14:textId="77777777" w:rsidR="00A720EB" w:rsidRDefault="0030286B">
            <w:pPr>
              <w:pStyle w:val="TableParagraph"/>
              <w:spacing w:before="74"/>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67E5A6A4" w14:textId="77777777" w:rsidR="00A720EB" w:rsidRDefault="0030286B">
            <w:pPr>
              <w:pStyle w:val="TableParagraph"/>
              <w:spacing w:before="74"/>
              <w:rPr>
                <w:rFonts w:ascii="Palatino Linotype"/>
                <w:b/>
                <w:sz w:val="21"/>
              </w:rPr>
            </w:pPr>
            <w:r>
              <w:rPr>
                <w:rFonts w:ascii="Palatino Linotype"/>
                <w:b/>
                <w:color w:val="333333"/>
                <w:w w:val="110"/>
                <w:sz w:val="21"/>
              </w:rPr>
              <w:t>Description</w:t>
            </w:r>
          </w:p>
        </w:tc>
      </w:tr>
      <w:tr w:rsidR="00A720EB" w14:paraId="1C6F5157" w14:textId="77777777">
        <w:trPr>
          <w:trHeight w:val="731"/>
        </w:trPr>
        <w:tc>
          <w:tcPr>
            <w:tcW w:w="1247" w:type="dxa"/>
            <w:tcBorders>
              <w:top w:val="single" w:sz="12" w:space="0" w:color="DDDDDD"/>
            </w:tcBorders>
          </w:tcPr>
          <w:p w14:paraId="02E299F5" w14:textId="77777777" w:rsidR="00A720EB" w:rsidRDefault="0030286B">
            <w:pPr>
              <w:pStyle w:val="TableParagraph"/>
              <w:spacing w:before="30"/>
              <w:rPr>
                <w:sz w:val="21"/>
              </w:rPr>
            </w:pPr>
            <w:r>
              <w:rPr>
                <w:color w:val="B02045"/>
                <w:sz w:val="21"/>
              </w:rPr>
              <w:t>group</w:t>
            </w:r>
          </w:p>
        </w:tc>
        <w:tc>
          <w:tcPr>
            <w:tcW w:w="1247" w:type="dxa"/>
            <w:tcBorders>
              <w:top w:val="single" w:sz="12" w:space="0" w:color="DDDDDD"/>
            </w:tcBorders>
          </w:tcPr>
          <w:p w14:paraId="4A38EACD" w14:textId="77777777" w:rsidR="00A720EB" w:rsidRDefault="0030286B">
            <w:pPr>
              <w:pStyle w:val="TableParagraph"/>
              <w:spacing w:before="30"/>
              <w:rPr>
                <w:sz w:val="21"/>
              </w:rPr>
            </w:pPr>
            <w:r>
              <w:rPr>
                <w:color w:val="B02045"/>
                <w:sz w:val="21"/>
              </w:rPr>
              <w:t>boolean</w:t>
            </w:r>
          </w:p>
        </w:tc>
        <w:tc>
          <w:tcPr>
            <w:tcW w:w="2494" w:type="dxa"/>
            <w:tcBorders>
              <w:top w:val="single" w:sz="12" w:space="0" w:color="DDDDDD"/>
            </w:tcBorders>
          </w:tcPr>
          <w:p w14:paraId="0494870E" w14:textId="77777777" w:rsidR="00A720EB" w:rsidRDefault="0030286B">
            <w:pPr>
              <w:pStyle w:val="TableParagraph"/>
              <w:spacing w:before="30"/>
              <w:rPr>
                <w:sz w:val="21"/>
              </w:rPr>
            </w:pPr>
            <w:r>
              <w:rPr>
                <w:color w:val="B02045"/>
                <w:sz w:val="21"/>
              </w:rPr>
              <w:t>true</w:t>
            </w:r>
          </w:p>
        </w:tc>
        <w:tc>
          <w:tcPr>
            <w:tcW w:w="4988" w:type="dxa"/>
            <w:tcBorders>
              <w:top w:val="single" w:sz="12" w:space="0" w:color="DDDDDD"/>
            </w:tcBorders>
          </w:tcPr>
          <w:p w14:paraId="510DE0A1" w14:textId="77777777" w:rsidR="00A720EB" w:rsidRDefault="0030286B">
            <w:pPr>
              <w:pStyle w:val="TableParagraph"/>
              <w:spacing w:before="21" w:line="310" w:lineRule="atLeast"/>
              <w:rPr>
                <w:rFonts w:ascii="Cambria"/>
                <w:sz w:val="21"/>
              </w:rPr>
            </w:pPr>
            <w:r>
              <w:rPr>
                <w:rFonts w:ascii="Cambria"/>
                <w:color w:val="333333"/>
                <w:w w:val="110"/>
                <w:sz w:val="21"/>
              </w:rPr>
              <w:t>Specify whether known groups should be considered.</w:t>
            </w:r>
          </w:p>
        </w:tc>
      </w:tr>
    </w:tbl>
    <w:p w14:paraId="759029B4" w14:textId="77777777" w:rsidR="00A720EB" w:rsidRDefault="00A720EB">
      <w:pPr>
        <w:pStyle w:val="a3"/>
        <w:spacing w:before="5"/>
        <w:rPr>
          <w:sz w:val="23"/>
        </w:rPr>
      </w:pPr>
    </w:p>
    <w:p w14:paraId="369CD9F3" w14:textId="77777777" w:rsidR="00A720EB" w:rsidRDefault="0030286B">
      <w:pPr>
        <w:pStyle w:val="a3"/>
        <w:spacing w:line="307" w:lineRule="auto"/>
        <w:ind w:left="124" w:right="129"/>
        <w:jc w:val="both"/>
      </w:pPr>
      <w:r>
        <w:rPr>
          <w:color w:val="333333"/>
          <w:w w:val="110"/>
        </w:rPr>
        <w:t>Since a logger name can be any arbitrary name, this provider should allow any value but could highlight valid package and class names that are not available in the project’s classpath.</w:t>
      </w:r>
    </w:p>
    <w:p w14:paraId="3A6206FC" w14:textId="77777777" w:rsidR="00A720EB" w:rsidRDefault="0030286B">
      <w:pPr>
        <w:pStyle w:val="a3"/>
        <w:spacing w:before="230" w:line="278" w:lineRule="auto"/>
        <w:ind w:left="124" w:right="123"/>
        <w:jc w:val="both"/>
      </w:pPr>
      <w:r>
        <w:rPr>
          <w:color w:val="333333"/>
          <w:w w:val="110"/>
        </w:rPr>
        <w:t xml:space="preserve">The following metadata snippet corresponds to the standard </w:t>
      </w:r>
      <w:proofErr w:type="gramStart"/>
      <w:r>
        <w:rPr>
          <w:rFonts w:ascii="MS Gothic"/>
          <w:color w:val="B02045"/>
          <w:w w:val="110"/>
        </w:rPr>
        <w:t>logging.level</w:t>
      </w:r>
      <w:proofErr w:type="gramEnd"/>
      <w:r>
        <w:rPr>
          <w:rFonts w:ascii="MS Gothic"/>
          <w:color w:val="B02045"/>
          <w:w w:val="110"/>
        </w:rPr>
        <w:t xml:space="preserve"> </w:t>
      </w:r>
      <w:r>
        <w:rPr>
          <w:color w:val="333333"/>
          <w:w w:val="110"/>
        </w:rPr>
        <w:t xml:space="preserve">property. Keys are </w:t>
      </w:r>
      <w:r>
        <w:rPr>
          <w:rFonts w:ascii="Palatino Linotype"/>
          <w:i/>
          <w:color w:val="333333"/>
          <w:w w:val="110"/>
        </w:rPr>
        <w:t>logger names</w:t>
      </w:r>
      <w:r>
        <w:rPr>
          <w:color w:val="333333"/>
          <w:w w:val="110"/>
        </w:rPr>
        <w:t>, and values correspond to the standard log levels or any custom level. As Spring Boot defines a few logger groups out-of-the-box, dedicated value hints have been added for those.</w:t>
      </w:r>
    </w:p>
    <w:p w14:paraId="5DB2C4DE" w14:textId="77777777" w:rsidR="00A720EB" w:rsidRDefault="00E10349">
      <w:pPr>
        <w:pStyle w:val="a3"/>
        <w:spacing w:before="8"/>
        <w:rPr>
          <w:sz w:val="15"/>
        </w:rPr>
      </w:pPr>
      <w:r>
        <w:pict w14:anchorId="753E6AFF">
          <v:group id="_x0000_s1126" style="position:absolute;margin-left:47.85pt;margin-top:11.15pt;width:499.55pt;height:212.1pt;z-index:-15012352;mso-wrap-distance-left:0;mso-wrap-distance-right:0;mso-position-horizontal-relative:page" coordorigin="957,223" coordsize="9991,4242">
            <v:shape id="_x0000_s1130" style="position:absolute;left:964;top:230;width:9976;height:4226" coordorigin="965,231" coordsize="9976,4226" path="m10861,231r-9816,l1014,237r-26,17l971,280r-6,31l965,4376r6,31l988,4433r26,17l1045,4456r9816,l10892,4450r25,-17l10935,4407r6,-31l10941,311r-6,-31l10917,254r-25,-17l10861,231xe" fillcolor="#f5f5f5" stroked="f">
              <v:path arrowok="t"/>
            </v:shape>
            <v:shape id="_x0000_s1129" style="position:absolute;left:964;top:230;width:9976;height:4226" coordorigin="965,231" coordsize="9976,4226" path="m1045,231r9816,l10892,237r25,17l10935,280r6,31l10941,4376r-6,31l10917,4433r-25,17l10861,4456r-9816,l1014,4450r-26,-17l971,4407r-6,-31l965,311r6,-31l988,254r26,-17l1045,231xe" filled="f" strokecolor="#ccc">
              <v:path arrowok="t"/>
            </v:shape>
            <v:line id="_x0000_s1128" style="position:absolute" from="1060,4456" to="10846,4456" strokecolor="#f5f5f5" strokeweight=".9pt">
              <v:stroke dashstyle="dash"/>
            </v:line>
            <v:shape id="_x0000_s1127" type="#_x0000_t202" style="position:absolute;left:984;top:246;width:9938;height:4194" filled="f" stroked="f">
              <v:textbox inset="0,0,0,0">
                <w:txbxContent>
                  <w:p w14:paraId="5BC4F183" w14:textId="77777777" w:rsidR="00711A16" w:rsidRDefault="00711A16">
                    <w:pPr>
                      <w:spacing w:before="221"/>
                      <w:ind w:left="200"/>
                      <w:rPr>
                        <w:rFonts w:ascii="MS Gothic"/>
                      </w:rPr>
                    </w:pPr>
                    <w:r>
                      <w:rPr>
                        <w:rFonts w:ascii="MS Gothic"/>
                        <w:color w:val="333333"/>
                      </w:rPr>
                      <w:t>{"hints": [</w:t>
                    </w:r>
                  </w:p>
                  <w:p w14:paraId="2D7223C7" w14:textId="77777777" w:rsidR="00711A16" w:rsidRDefault="00711A16">
                    <w:pPr>
                      <w:spacing w:before="13"/>
                      <w:ind w:left="640"/>
                      <w:rPr>
                        <w:rFonts w:ascii="MS Gothic"/>
                      </w:rPr>
                    </w:pPr>
                    <w:r>
                      <w:rPr>
                        <w:rFonts w:ascii="MS Gothic"/>
                        <w:color w:val="333333"/>
                      </w:rPr>
                      <w:t>{</w:t>
                    </w:r>
                  </w:p>
                  <w:p w14:paraId="0ED3666F" w14:textId="77777777" w:rsidR="00711A16" w:rsidRDefault="00711A16">
                    <w:pPr>
                      <w:spacing w:before="13" w:line="252" w:lineRule="auto"/>
                      <w:ind w:left="1080" w:right="5648"/>
                      <w:rPr>
                        <w:rFonts w:ascii="MS Gothic"/>
                      </w:rPr>
                    </w:pPr>
                    <w:r>
                      <w:rPr>
                        <w:rFonts w:ascii="MS Gothic"/>
                        <w:color w:val="333333"/>
                      </w:rPr>
                      <w:t>"name": "</w:t>
                    </w:r>
                    <w:proofErr w:type="gramStart"/>
                    <w:r>
                      <w:rPr>
                        <w:rFonts w:ascii="MS Gothic"/>
                        <w:color w:val="333333"/>
                      </w:rPr>
                      <w:t>logging.level</w:t>
                    </w:r>
                    <w:proofErr w:type="gramEnd"/>
                    <w:r>
                      <w:rPr>
                        <w:rFonts w:ascii="MS Gothic"/>
                        <w:color w:val="333333"/>
                      </w:rPr>
                      <w:t>.keys", "values": [</w:t>
                    </w:r>
                  </w:p>
                  <w:p w14:paraId="5F0D5B55" w14:textId="77777777" w:rsidR="00711A16" w:rsidRDefault="00711A16">
                    <w:pPr>
                      <w:spacing w:line="280" w:lineRule="exact"/>
                      <w:ind w:left="1520"/>
                      <w:rPr>
                        <w:rFonts w:ascii="MS Gothic"/>
                      </w:rPr>
                    </w:pPr>
                    <w:r>
                      <w:rPr>
                        <w:rFonts w:ascii="MS Gothic"/>
                        <w:color w:val="333333"/>
                      </w:rPr>
                      <w:t>{</w:t>
                    </w:r>
                  </w:p>
                  <w:p w14:paraId="1E75AFC3" w14:textId="77777777" w:rsidR="00711A16" w:rsidRDefault="00711A16">
                    <w:pPr>
                      <w:spacing w:before="13"/>
                      <w:ind w:left="1960"/>
                      <w:rPr>
                        <w:rFonts w:ascii="MS Gothic"/>
                      </w:rPr>
                    </w:pPr>
                    <w:r>
                      <w:rPr>
                        <w:rFonts w:ascii="MS Gothic"/>
                        <w:color w:val="333333"/>
                      </w:rPr>
                      <w:t>"value": "root",</w:t>
                    </w:r>
                  </w:p>
                  <w:p w14:paraId="23E48430" w14:textId="77777777" w:rsidR="00711A16" w:rsidRDefault="00711A16">
                    <w:pPr>
                      <w:spacing w:before="12"/>
                      <w:ind w:left="1960"/>
                      <w:rPr>
                        <w:rFonts w:ascii="MS Gothic"/>
                      </w:rPr>
                    </w:pPr>
                    <w:r>
                      <w:rPr>
                        <w:rFonts w:ascii="MS Gothic"/>
                        <w:color w:val="333333"/>
                      </w:rPr>
                      <w:t>"description": "Root logger used to assign the default logging level."</w:t>
                    </w:r>
                  </w:p>
                  <w:p w14:paraId="10AFEFB2" w14:textId="77777777" w:rsidR="00711A16" w:rsidRDefault="00711A16">
                    <w:pPr>
                      <w:spacing w:before="13"/>
                      <w:ind w:left="1520"/>
                      <w:rPr>
                        <w:rFonts w:ascii="MS Gothic"/>
                      </w:rPr>
                    </w:pPr>
                    <w:r>
                      <w:rPr>
                        <w:rFonts w:ascii="MS Gothic"/>
                        <w:color w:val="333333"/>
                      </w:rPr>
                      <w:t>},</w:t>
                    </w:r>
                  </w:p>
                  <w:p w14:paraId="488B335D" w14:textId="77777777" w:rsidR="00711A16" w:rsidRDefault="00711A16">
                    <w:pPr>
                      <w:spacing w:before="13"/>
                      <w:ind w:left="1520"/>
                      <w:rPr>
                        <w:rFonts w:ascii="MS Gothic"/>
                      </w:rPr>
                    </w:pPr>
                    <w:r>
                      <w:rPr>
                        <w:rFonts w:ascii="MS Gothic"/>
                        <w:color w:val="333333"/>
                      </w:rPr>
                      <w:t>{</w:t>
                    </w:r>
                  </w:p>
                  <w:p w14:paraId="1F3E5D5D" w14:textId="77777777" w:rsidR="00711A16" w:rsidRDefault="00711A16">
                    <w:pPr>
                      <w:spacing w:before="13"/>
                      <w:ind w:left="1960"/>
                      <w:rPr>
                        <w:rFonts w:ascii="MS Gothic"/>
                      </w:rPr>
                    </w:pPr>
                    <w:r>
                      <w:rPr>
                        <w:rFonts w:ascii="MS Gothic"/>
                        <w:color w:val="333333"/>
                      </w:rPr>
                      <w:t>"value": "sql",</w:t>
                    </w:r>
                  </w:p>
                  <w:p w14:paraId="369085D0" w14:textId="77777777" w:rsidR="00711A16" w:rsidRDefault="00711A16">
                    <w:pPr>
                      <w:spacing w:before="13"/>
                      <w:ind w:left="1960"/>
                      <w:rPr>
                        <w:rFonts w:ascii="MS Gothic"/>
                      </w:rPr>
                    </w:pPr>
                    <w:r>
                      <w:rPr>
                        <w:rFonts w:ascii="MS Gothic"/>
                        <w:color w:val="333333"/>
                      </w:rPr>
                      <w:t>"description": "SQL logging group including Hibernate SQL logger."</w:t>
                    </w:r>
                  </w:p>
                  <w:p w14:paraId="616A4BE9" w14:textId="77777777" w:rsidR="00711A16" w:rsidRDefault="00711A16">
                    <w:pPr>
                      <w:spacing w:before="13"/>
                      <w:ind w:left="1520"/>
                      <w:rPr>
                        <w:rFonts w:ascii="MS Gothic"/>
                      </w:rPr>
                    </w:pPr>
                    <w:r>
                      <w:rPr>
                        <w:rFonts w:ascii="MS Gothic"/>
                        <w:color w:val="333333"/>
                      </w:rPr>
                      <w:t>},</w:t>
                    </w:r>
                  </w:p>
                  <w:p w14:paraId="45EF1132" w14:textId="77777777" w:rsidR="00711A16" w:rsidRDefault="00711A16">
                    <w:pPr>
                      <w:spacing w:before="13"/>
                      <w:ind w:left="1520"/>
                      <w:rPr>
                        <w:rFonts w:ascii="MS Gothic"/>
                      </w:rPr>
                    </w:pPr>
                    <w:r>
                      <w:rPr>
                        <w:rFonts w:ascii="MS Gothic"/>
                        <w:color w:val="333333"/>
                      </w:rPr>
                      <w:t>{</w:t>
                    </w:r>
                  </w:p>
                </w:txbxContent>
              </v:textbox>
            </v:shape>
            <w10:wrap type="topAndBottom" anchorx="page"/>
          </v:group>
        </w:pict>
      </w:r>
    </w:p>
    <w:p w14:paraId="2E3751E4" w14:textId="77777777" w:rsidR="00A720EB" w:rsidRDefault="00A720EB">
      <w:pPr>
        <w:rPr>
          <w:sz w:val="15"/>
        </w:rPr>
        <w:sectPr w:rsidR="00A720EB">
          <w:pgSz w:w="11910" w:h="16840"/>
          <w:pgMar w:top="700" w:right="840" w:bottom="520" w:left="840" w:header="0" w:footer="198" w:gutter="0"/>
          <w:cols w:space="720"/>
        </w:sectPr>
      </w:pPr>
    </w:p>
    <w:p w14:paraId="1B4D581F" w14:textId="77777777" w:rsidR="00A720EB" w:rsidRDefault="00E10349">
      <w:pPr>
        <w:spacing w:before="91"/>
        <w:ind w:left="2104"/>
        <w:rPr>
          <w:rFonts w:ascii="MS Gothic"/>
        </w:rPr>
      </w:pPr>
      <w:r>
        <w:lastRenderedPageBreak/>
        <w:pict w14:anchorId="769BA7FA">
          <v:group id="_x0000_s1122" style="position:absolute;left:0;text-align:left;margin-left:47.85pt;margin-top:5.65pt;width:499.55pt;height:644.3pt;z-index:-41089024;mso-position-horizontal-relative:page" coordorigin="957,113" coordsize="9991,12886">
            <v:shape id="_x0000_s1125" style="position:absolute;left:964;top:121;width:9976;height:12870" coordorigin="965,122" coordsize="9976,12870" path="m10861,122r-9816,l1014,128r-26,17l971,171r-6,31l965,12911r6,31l988,12967r26,18l1045,12991r9816,l10892,12985r25,-18l10935,12942r6,-31l10941,202r-6,-31l10917,145r-25,-17l10861,122xe" fillcolor="#f5f5f5" stroked="f">
              <v:path arrowok="t"/>
            </v:shape>
            <v:shape id="_x0000_s1124" style="position:absolute;left:964;top:121;width:9976;height:12870" coordorigin="965,122" coordsize="9976,12870" path="m1045,122r9816,l10892,128r25,17l10935,171r6,31l10941,12911r-6,31l10917,12967r-25,18l10861,12991r-9816,l1014,12985r-26,-18l971,12942r-6,-31l965,202r6,-31l988,145r26,-17l1045,122xe" filled="f" strokecolor="#ccc">
              <v:path arrowok="t"/>
            </v:shape>
            <v:line id="_x0000_s1123" style="position:absolute" from="1060,122" to="10846,122" strokecolor="#f5f5f5" strokeweight=".9pt">
              <v:stroke dashstyle="dash"/>
            </v:line>
            <w10:wrap anchorx="page"/>
          </v:group>
        </w:pict>
      </w:r>
      <w:r w:rsidR="0030286B">
        <w:rPr>
          <w:rFonts w:ascii="MS Gothic"/>
          <w:color w:val="333333"/>
        </w:rPr>
        <w:t>"value": "web",</w:t>
      </w:r>
    </w:p>
    <w:p w14:paraId="013A4AE6" w14:textId="77777777" w:rsidR="00A720EB" w:rsidRDefault="0030286B">
      <w:pPr>
        <w:spacing w:before="13"/>
        <w:ind w:left="2104"/>
        <w:rPr>
          <w:rFonts w:ascii="MS Gothic"/>
        </w:rPr>
      </w:pPr>
      <w:r>
        <w:rPr>
          <w:rFonts w:ascii="MS Gothic"/>
          <w:color w:val="333333"/>
        </w:rPr>
        <w:t>"description": "Web logging group including codecs."</w:t>
      </w:r>
    </w:p>
    <w:p w14:paraId="3457FE6C" w14:textId="77777777" w:rsidR="00A720EB" w:rsidRDefault="0030286B">
      <w:pPr>
        <w:spacing w:before="13"/>
        <w:ind w:left="1664"/>
        <w:rPr>
          <w:rFonts w:ascii="MS Gothic"/>
        </w:rPr>
      </w:pPr>
      <w:r>
        <w:rPr>
          <w:rFonts w:ascii="MS Gothic"/>
          <w:color w:val="333333"/>
        </w:rPr>
        <w:t>}</w:t>
      </w:r>
    </w:p>
    <w:p w14:paraId="2EC836CD" w14:textId="77777777" w:rsidR="00A720EB" w:rsidRDefault="0030286B">
      <w:pPr>
        <w:spacing w:before="13" w:line="278" w:lineRule="exact"/>
        <w:ind w:left="1224"/>
        <w:rPr>
          <w:rFonts w:ascii="MS Gothic"/>
        </w:rPr>
      </w:pPr>
      <w:r>
        <w:rPr>
          <w:rFonts w:ascii="MS Gothic"/>
          <w:color w:val="333333"/>
        </w:rPr>
        <w:t>],</w:t>
      </w:r>
    </w:p>
    <w:p w14:paraId="51EB12FA" w14:textId="77777777" w:rsidR="00A720EB" w:rsidRDefault="0030286B">
      <w:pPr>
        <w:spacing w:before="16"/>
        <w:ind w:left="1224"/>
        <w:rPr>
          <w:rFonts w:ascii="MS Gothic"/>
        </w:rPr>
      </w:pPr>
      <w:r>
        <w:rPr>
          <w:rFonts w:ascii="MS Gothic"/>
          <w:color w:val="333333"/>
        </w:rPr>
        <w:t>"providers": [</w:t>
      </w:r>
    </w:p>
    <w:p w14:paraId="4243E15E" w14:textId="77777777" w:rsidR="00A720EB" w:rsidRDefault="0030286B">
      <w:pPr>
        <w:spacing w:before="13" w:line="278" w:lineRule="exact"/>
        <w:ind w:left="1664"/>
        <w:rPr>
          <w:rFonts w:ascii="MS Gothic"/>
        </w:rPr>
      </w:pPr>
      <w:r>
        <w:rPr>
          <w:rFonts w:ascii="MS Gothic"/>
          <w:color w:val="333333"/>
        </w:rPr>
        <w:t>{</w:t>
      </w:r>
    </w:p>
    <w:p w14:paraId="41299B88" w14:textId="77777777" w:rsidR="00A720EB" w:rsidRDefault="0030286B">
      <w:pPr>
        <w:spacing w:before="17"/>
        <w:ind w:left="2104"/>
        <w:rPr>
          <w:rFonts w:ascii="MS Gothic"/>
        </w:rPr>
      </w:pPr>
      <w:r>
        <w:rPr>
          <w:rFonts w:ascii="MS Gothic"/>
          <w:color w:val="333333"/>
        </w:rPr>
        <w:t>"name": "logger-name"</w:t>
      </w:r>
    </w:p>
    <w:p w14:paraId="744075B6" w14:textId="77777777" w:rsidR="00A720EB" w:rsidRDefault="0030286B">
      <w:pPr>
        <w:spacing w:before="13"/>
        <w:ind w:left="1664"/>
        <w:rPr>
          <w:rFonts w:ascii="MS Gothic"/>
        </w:rPr>
      </w:pPr>
      <w:r>
        <w:rPr>
          <w:rFonts w:ascii="MS Gothic"/>
          <w:color w:val="333333"/>
        </w:rPr>
        <w:t>}</w:t>
      </w:r>
    </w:p>
    <w:p w14:paraId="67F0C7FE" w14:textId="77777777" w:rsidR="00A720EB" w:rsidRDefault="0030286B">
      <w:pPr>
        <w:spacing w:before="13"/>
        <w:ind w:left="1224"/>
        <w:rPr>
          <w:rFonts w:ascii="MS Gothic"/>
        </w:rPr>
      </w:pPr>
      <w:r>
        <w:rPr>
          <w:rFonts w:ascii="MS Gothic"/>
          <w:color w:val="333333"/>
        </w:rPr>
        <w:t>]</w:t>
      </w:r>
    </w:p>
    <w:p w14:paraId="1B35454D" w14:textId="77777777" w:rsidR="00A720EB" w:rsidRDefault="0030286B">
      <w:pPr>
        <w:spacing w:before="13"/>
        <w:ind w:left="784"/>
        <w:rPr>
          <w:rFonts w:ascii="MS Gothic"/>
        </w:rPr>
      </w:pPr>
      <w:r>
        <w:rPr>
          <w:rFonts w:ascii="MS Gothic"/>
          <w:color w:val="333333"/>
        </w:rPr>
        <w:t>},</w:t>
      </w:r>
    </w:p>
    <w:p w14:paraId="65B04F45" w14:textId="77777777" w:rsidR="00A720EB" w:rsidRDefault="0030286B">
      <w:pPr>
        <w:spacing w:before="12" w:line="278" w:lineRule="exact"/>
        <w:ind w:left="784"/>
        <w:rPr>
          <w:rFonts w:ascii="MS Gothic"/>
        </w:rPr>
      </w:pPr>
      <w:r>
        <w:rPr>
          <w:rFonts w:ascii="MS Gothic"/>
          <w:color w:val="333333"/>
        </w:rPr>
        <w:t>{</w:t>
      </w:r>
    </w:p>
    <w:p w14:paraId="37DE0207" w14:textId="77777777" w:rsidR="00A720EB" w:rsidRDefault="0030286B">
      <w:pPr>
        <w:spacing w:before="17" w:line="252" w:lineRule="auto"/>
        <w:ind w:left="1224" w:right="5576"/>
        <w:rPr>
          <w:rFonts w:ascii="MS Gothic"/>
        </w:rPr>
      </w:pPr>
      <w:r>
        <w:rPr>
          <w:rFonts w:ascii="MS Gothic"/>
          <w:color w:val="333333"/>
        </w:rPr>
        <w:t>"name": "</w:t>
      </w:r>
      <w:proofErr w:type="gramStart"/>
      <w:r>
        <w:rPr>
          <w:rFonts w:ascii="MS Gothic"/>
          <w:color w:val="333333"/>
        </w:rPr>
        <w:t>logging.level</w:t>
      </w:r>
      <w:proofErr w:type="gramEnd"/>
      <w:r>
        <w:rPr>
          <w:rFonts w:ascii="MS Gothic"/>
          <w:color w:val="333333"/>
        </w:rPr>
        <w:t>.values", "values": [</w:t>
      </w:r>
    </w:p>
    <w:p w14:paraId="5B0098F6" w14:textId="77777777" w:rsidR="00A720EB" w:rsidRDefault="0030286B">
      <w:pPr>
        <w:spacing w:line="276" w:lineRule="exact"/>
        <w:ind w:left="1664"/>
        <w:rPr>
          <w:rFonts w:ascii="MS Gothic"/>
        </w:rPr>
      </w:pPr>
      <w:r>
        <w:rPr>
          <w:rFonts w:ascii="MS Gothic"/>
          <w:color w:val="333333"/>
        </w:rPr>
        <w:t>{</w:t>
      </w:r>
    </w:p>
    <w:p w14:paraId="40F90E14" w14:textId="77777777" w:rsidR="00A720EB" w:rsidRDefault="0030286B">
      <w:pPr>
        <w:spacing w:before="16"/>
        <w:ind w:left="2104"/>
        <w:rPr>
          <w:rFonts w:ascii="MS Gothic"/>
        </w:rPr>
      </w:pPr>
      <w:r>
        <w:rPr>
          <w:rFonts w:ascii="MS Gothic"/>
          <w:color w:val="333333"/>
        </w:rPr>
        <w:t>"value": "trace"</w:t>
      </w:r>
    </w:p>
    <w:p w14:paraId="2D9DE0A5" w14:textId="77777777" w:rsidR="00A720EB" w:rsidRDefault="0030286B">
      <w:pPr>
        <w:spacing w:before="13"/>
        <w:ind w:left="1664"/>
        <w:rPr>
          <w:rFonts w:ascii="MS Gothic"/>
        </w:rPr>
      </w:pPr>
      <w:r>
        <w:rPr>
          <w:rFonts w:ascii="MS Gothic"/>
          <w:color w:val="333333"/>
        </w:rPr>
        <w:t>},</w:t>
      </w:r>
    </w:p>
    <w:p w14:paraId="1CBFE971" w14:textId="77777777" w:rsidR="00A720EB" w:rsidRDefault="0030286B">
      <w:pPr>
        <w:spacing w:before="13"/>
        <w:ind w:left="1664"/>
        <w:rPr>
          <w:rFonts w:ascii="MS Gothic"/>
        </w:rPr>
      </w:pPr>
      <w:r>
        <w:rPr>
          <w:rFonts w:ascii="MS Gothic"/>
          <w:color w:val="333333"/>
        </w:rPr>
        <w:t>{</w:t>
      </w:r>
    </w:p>
    <w:p w14:paraId="096B632E" w14:textId="77777777" w:rsidR="00A720EB" w:rsidRDefault="0030286B">
      <w:pPr>
        <w:spacing w:before="13"/>
        <w:ind w:left="2104"/>
        <w:rPr>
          <w:rFonts w:ascii="MS Gothic"/>
        </w:rPr>
      </w:pPr>
      <w:r>
        <w:rPr>
          <w:rFonts w:ascii="MS Gothic"/>
          <w:color w:val="333333"/>
        </w:rPr>
        <w:t>"value": "debug"</w:t>
      </w:r>
    </w:p>
    <w:p w14:paraId="77C887FE" w14:textId="77777777" w:rsidR="00A720EB" w:rsidRDefault="0030286B">
      <w:pPr>
        <w:spacing w:before="13"/>
        <w:ind w:left="1664"/>
        <w:rPr>
          <w:rFonts w:ascii="MS Gothic"/>
        </w:rPr>
      </w:pPr>
      <w:r>
        <w:rPr>
          <w:rFonts w:ascii="MS Gothic"/>
          <w:color w:val="333333"/>
        </w:rPr>
        <w:t>},</w:t>
      </w:r>
    </w:p>
    <w:p w14:paraId="63160286" w14:textId="77777777" w:rsidR="00A720EB" w:rsidRDefault="0030286B">
      <w:pPr>
        <w:spacing w:before="13"/>
        <w:ind w:left="1664"/>
        <w:rPr>
          <w:rFonts w:ascii="MS Gothic"/>
        </w:rPr>
      </w:pPr>
      <w:r>
        <w:rPr>
          <w:rFonts w:ascii="MS Gothic"/>
          <w:color w:val="333333"/>
        </w:rPr>
        <w:t>{</w:t>
      </w:r>
    </w:p>
    <w:p w14:paraId="5E6BB435" w14:textId="77777777" w:rsidR="00A720EB" w:rsidRDefault="0030286B">
      <w:pPr>
        <w:spacing w:before="13"/>
        <w:ind w:left="2104"/>
        <w:rPr>
          <w:rFonts w:ascii="MS Gothic"/>
        </w:rPr>
      </w:pPr>
      <w:r>
        <w:rPr>
          <w:rFonts w:ascii="MS Gothic"/>
          <w:color w:val="333333"/>
        </w:rPr>
        <w:t>"value": "info"</w:t>
      </w:r>
    </w:p>
    <w:p w14:paraId="64ED33D0" w14:textId="77777777" w:rsidR="00A720EB" w:rsidRDefault="0030286B">
      <w:pPr>
        <w:spacing w:before="13"/>
        <w:ind w:left="1664"/>
        <w:rPr>
          <w:rFonts w:ascii="MS Gothic"/>
        </w:rPr>
      </w:pPr>
      <w:r>
        <w:rPr>
          <w:rFonts w:ascii="MS Gothic"/>
          <w:color w:val="333333"/>
        </w:rPr>
        <w:t>},</w:t>
      </w:r>
    </w:p>
    <w:p w14:paraId="7AE9953D" w14:textId="77777777" w:rsidR="00A720EB" w:rsidRDefault="0030286B">
      <w:pPr>
        <w:spacing w:before="13"/>
        <w:ind w:left="1664"/>
        <w:rPr>
          <w:rFonts w:ascii="MS Gothic"/>
        </w:rPr>
      </w:pPr>
      <w:r>
        <w:rPr>
          <w:rFonts w:ascii="MS Gothic"/>
          <w:color w:val="333333"/>
        </w:rPr>
        <w:t>{</w:t>
      </w:r>
    </w:p>
    <w:p w14:paraId="6E0F4DD4" w14:textId="77777777" w:rsidR="00A720EB" w:rsidRDefault="0030286B">
      <w:pPr>
        <w:spacing w:before="13"/>
        <w:ind w:left="2104"/>
        <w:rPr>
          <w:rFonts w:ascii="MS Gothic"/>
        </w:rPr>
      </w:pPr>
      <w:r>
        <w:rPr>
          <w:rFonts w:ascii="MS Gothic"/>
          <w:color w:val="333333"/>
        </w:rPr>
        <w:t>"value": "warn"</w:t>
      </w:r>
    </w:p>
    <w:p w14:paraId="5C29A3D7" w14:textId="77777777" w:rsidR="00A720EB" w:rsidRDefault="0030286B">
      <w:pPr>
        <w:spacing w:before="13"/>
        <w:ind w:left="1664"/>
        <w:rPr>
          <w:rFonts w:ascii="MS Gothic"/>
        </w:rPr>
      </w:pPr>
      <w:r>
        <w:rPr>
          <w:rFonts w:ascii="MS Gothic"/>
          <w:color w:val="333333"/>
        </w:rPr>
        <w:t>},</w:t>
      </w:r>
    </w:p>
    <w:p w14:paraId="447F699D" w14:textId="77777777" w:rsidR="00A720EB" w:rsidRDefault="0030286B">
      <w:pPr>
        <w:spacing w:before="13"/>
        <w:ind w:left="1664"/>
        <w:rPr>
          <w:rFonts w:ascii="MS Gothic"/>
        </w:rPr>
      </w:pPr>
      <w:r>
        <w:rPr>
          <w:rFonts w:ascii="MS Gothic"/>
          <w:color w:val="333333"/>
        </w:rPr>
        <w:t>{</w:t>
      </w:r>
    </w:p>
    <w:p w14:paraId="67038533" w14:textId="77777777" w:rsidR="00A720EB" w:rsidRDefault="0030286B">
      <w:pPr>
        <w:spacing w:before="13"/>
        <w:ind w:left="2104"/>
        <w:rPr>
          <w:rFonts w:ascii="MS Gothic"/>
        </w:rPr>
      </w:pPr>
      <w:r>
        <w:rPr>
          <w:rFonts w:ascii="MS Gothic"/>
          <w:color w:val="333333"/>
        </w:rPr>
        <w:t>"value": "error"</w:t>
      </w:r>
    </w:p>
    <w:p w14:paraId="0D19D537" w14:textId="77777777" w:rsidR="00A720EB" w:rsidRDefault="0030286B">
      <w:pPr>
        <w:spacing w:before="13"/>
        <w:ind w:left="1664"/>
        <w:rPr>
          <w:rFonts w:ascii="MS Gothic"/>
        </w:rPr>
      </w:pPr>
      <w:r>
        <w:rPr>
          <w:rFonts w:ascii="MS Gothic"/>
          <w:color w:val="333333"/>
        </w:rPr>
        <w:t>},</w:t>
      </w:r>
    </w:p>
    <w:p w14:paraId="331550BC" w14:textId="77777777" w:rsidR="00A720EB" w:rsidRDefault="0030286B">
      <w:pPr>
        <w:spacing w:before="12"/>
        <w:ind w:left="1664"/>
        <w:rPr>
          <w:rFonts w:ascii="MS Gothic"/>
        </w:rPr>
      </w:pPr>
      <w:r>
        <w:rPr>
          <w:rFonts w:ascii="MS Gothic"/>
          <w:color w:val="333333"/>
        </w:rPr>
        <w:t>{</w:t>
      </w:r>
    </w:p>
    <w:p w14:paraId="53C70726" w14:textId="77777777" w:rsidR="00A720EB" w:rsidRDefault="0030286B">
      <w:pPr>
        <w:spacing w:before="13"/>
        <w:ind w:left="2104"/>
        <w:rPr>
          <w:rFonts w:ascii="MS Gothic"/>
        </w:rPr>
      </w:pPr>
      <w:r>
        <w:rPr>
          <w:rFonts w:ascii="MS Gothic"/>
          <w:color w:val="333333"/>
        </w:rPr>
        <w:t>"value": "fatal"</w:t>
      </w:r>
    </w:p>
    <w:p w14:paraId="156A2841" w14:textId="77777777" w:rsidR="00A720EB" w:rsidRDefault="0030286B">
      <w:pPr>
        <w:spacing w:before="13"/>
        <w:ind w:left="1664"/>
        <w:rPr>
          <w:rFonts w:ascii="MS Gothic"/>
        </w:rPr>
      </w:pPr>
      <w:r>
        <w:rPr>
          <w:rFonts w:ascii="MS Gothic"/>
          <w:color w:val="333333"/>
        </w:rPr>
        <w:t>},</w:t>
      </w:r>
    </w:p>
    <w:p w14:paraId="24970B39" w14:textId="77777777" w:rsidR="00A720EB" w:rsidRDefault="0030286B">
      <w:pPr>
        <w:spacing w:before="13"/>
        <w:ind w:left="1664"/>
        <w:rPr>
          <w:rFonts w:ascii="MS Gothic"/>
        </w:rPr>
      </w:pPr>
      <w:r>
        <w:rPr>
          <w:rFonts w:ascii="MS Gothic"/>
          <w:color w:val="333333"/>
        </w:rPr>
        <w:t>{</w:t>
      </w:r>
    </w:p>
    <w:p w14:paraId="519659BB" w14:textId="77777777" w:rsidR="00A720EB" w:rsidRDefault="0030286B">
      <w:pPr>
        <w:spacing w:before="13"/>
        <w:ind w:left="2104"/>
        <w:rPr>
          <w:rFonts w:ascii="MS Gothic"/>
        </w:rPr>
      </w:pPr>
      <w:r>
        <w:rPr>
          <w:rFonts w:ascii="MS Gothic"/>
          <w:color w:val="333333"/>
        </w:rPr>
        <w:t>"value": "off"</w:t>
      </w:r>
    </w:p>
    <w:p w14:paraId="0FFD347A" w14:textId="77777777" w:rsidR="00A720EB" w:rsidRDefault="0030286B">
      <w:pPr>
        <w:spacing w:before="13"/>
        <w:ind w:left="1664"/>
        <w:rPr>
          <w:rFonts w:ascii="MS Gothic"/>
        </w:rPr>
      </w:pPr>
      <w:r>
        <w:rPr>
          <w:rFonts w:ascii="MS Gothic"/>
          <w:color w:val="333333"/>
        </w:rPr>
        <w:t>}</w:t>
      </w:r>
    </w:p>
    <w:p w14:paraId="7FD2E21E" w14:textId="77777777" w:rsidR="00A720EB" w:rsidRDefault="00A720EB">
      <w:pPr>
        <w:pStyle w:val="a3"/>
        <w:rPr>
          <w:rFonts w:ascii="MS Gothic"/>
          <w:sz w:val="24"/>
        </w:rPr>
      </w:pPr>
    </w:p>
    <w:p w14:paraId="583982C5" w14:textId="77777777" w:rsidR="00A720EB" w:rsidRDefault="0030286B">
      <w:pPr>
        <w:spacing w:line="278" w:lineRule="exact"/>
        <w:ind w:left="1224"/>
        <w:rPr>
          <w:rFonts w:ascii="MS Gothic"/>
        </w:rPr>
      </w:pPr>
      <w:r>
        <w:rPr>
          <w:rFonts w:ascii="MS Gothic"/>
          <w:color w:val="333333"/>
        </w:rPr>
        <w:t>],</w:t>
      </w:r>
    </w:p>
    <w:p w14:paraId="315AB2BB" w14:textId="77777777" w:rsidR="00A720EB" w:rsidRDefault="0030286B">
      <w:pPr>
        <w:spacing w:before="17"/>
        <w:ind w:left="1224"/>
        <w:rPr>
          <w:rFonts w:ascii="MS Gothic"/>
        </w:rPr>
      </w:pPr>
      <w:r>
        <w:rPr>
          <w:rFonts w:ascii="MS Gothic"/>
          <w:color w:val="333333"/>
        </w:rPr>
        <w:t>"providers": [</w:t>
      </w:r>
    </w:p>
    <w:p w14:paraId="7F8790BD" w14:textId="77777777" w:rsidR="00A720EB" w:rsidRDefault="0030286B">
      <w:pPr>
        <w:spacing w:before="13" w:line="278" w:lineRule="exact"/>
        <w:ind w:left="1664"/>
        <w:rPr>
          <w:rFonts w:ascii="MS Gothic"/>
        </w:rPr>
      </w:pPr>
      <w:r>
        <w:rPr>
          <w:rFonts w:ascii="MS Gothic"/>
          <w:color w:val="333333"/>
        </w:rPr>
        <w:t>{</w:t>
      </w:r>
    </w:p>
    <w:p w14:paraId="0EC89694" w14:textId="77777777" w:rsidR="00A720EB" w:rsidRDefault="0030286B">
      <w:pPr>
        <w:spacing w:before="16"/>
        <w:ind w:left="2104"/>
        <w:rPr>
          <w:rFonts w:ascii="MS Gothic"/>
        </w:rPr>
      </w:pPr>
      <w:r>
        <w:rPr>
          <w:rFonts w:ascii="MS Gothic"/>
          <w:color w:val="333333"/>
        </w:rPr>
        <w:t>"name": "any"</w:t>
      </w:r>
    </w:p>
    <w:p w14:paraId="40455F3E" w14:textId="77777777" w:rsidR="00A720EB" w:rsidRDefault="0030286B">
      <w:pPr>
        <w:spacing w:before="13"/>
        <w:ind w:left="1664"/>
        <w:rPr>
          <w:rFonts w:ascii="MS Gothic"/>
        </w:rPr>
      </w:pPr>
      <w:r>
        <w:rPr>
          <w:rFonts w:ascii="MS Gothic"/>
          <w:color w:val="333333"/>
        </w:rPr>
        <w:t>}</w:t>
      </w:r>
    </w:p>
    <w:p w14:paraId="40639F32" w14:textId="77777777" w:rsidR="00A720EB" w:rsidRDefault="0030286B">
      <w:pPr>
        <w:spacing w:before="13"/>
        <w:ind w:left="1224"/>
        <w:rPr>
          <w:rFonts w:ascii="MS Gothic"/>
        </w:rPr>
      </w:pPr>
      <w:r>
        <w:rPr>
          <w:rFonts w:ascii="MS Gothic"/>
          <w:color w:val="333333"/>
        </w:rPr>
        <w:t>]</w:t>
      </w:r>
    </w:p>
    <w:p w14:paraId="48DF1A8E" w14:textId="77777777" w:rsidR="00A720EB" w:rsidRDefault="0030286B">
      <w:pPr>
        <w:spacing w:before="13"/>
        <w:ind w:left="784"/>
        <w:rPr>
          <w:rFonts w:ascii="MS Gothic"/>
        </w:rPr>
      </w:pPr>
      <w:r>
        <w:rPr>
          <w:rFonts w:ascii="MS Gothic"/>
          <w:color w:val="333333"/>
        </w:rPr>
        <w:t>}</w:t>
      </w:r>
    </w:p>
    <w:p w14:paraId="320A87D0" w14:textId="77777777" w:rsidR="00A720EB" w:rsidRDefault="0030286B">
      <w:pPr>
        <w:spacing w:before="13"/>
        <w:ind w:left="344"/>
        <w:rPr>
          <w:rFonts w:ascii="MS Gothic"/>
        </w:rPr>
      </w:pPr>
      <w:r>
        <w:rPr>
          <w:rFonts w:ascii="MS Gothic"/>
          <w:color w:val="333333"/>
        </w:rPr>
        <w:t>]}</w:t>
      </w:r>
    </w:p>
    <w:p w14:paraId="59090250" w14:textId="77777777" w:rsidR="00A720EB" w:rsidRDefault="00A720EB">
      <w:pPr>
        <w:pStyle w:val="a3"/>
        <w:rPr>
          <w:rFonts w:ascii="MS Gothic"/>
          <w:sz w:val="20"/>
        </w:rPr>
      </w:pPr>
    </w:p>
    <w:p w14:paraId="49AAA967" w14:textId="77777777" w:rsidR="00A720EB" w:rsidRDefault="00A720EB">
      <w:pPr>
        <w:pStyle w:val="a3"/>
        <w:spacing w:before="4"/>
        <w:rPr>
          <w:rFonts w:ascii="MS Gothic"/>
          <w:sz w:val="15"/>
        </w:rPr>
      </w:pPr>
    </w:p>
    <w:p w14:paraId="3331B54D" w14:textId="77777777" w:rsidR="00A720EB" w:rsidRDefault="0030286B">
      <w:pPr>
        <w:spacing w:before="103"/>
        <w:ind w:left="124"/>
        <w:rPr>
          <w:rFonts w:ascii="Palatino Linotype"/>
          <w:b/>
          <w:sz w:val="18"/>
        </w:rPr>
      </w:pPr>
      <w:r>
        <w:rPr>
          <w:rFonts w:ascii="Palatino Linotype"/>
          <w:b/>
          <w:color w:val="333333"/>
          <w:w w:val="110"/>
          <w:sz w:val="18"/>
        </w:rPr>
        <w:t>Spring Bean Reference</w:t>
      </w:r>
    </w:p>
    <w:p w14:paraId="15051F7F" w14:textId="77777777" w:rsidR="00A720EB" w:rsidRDefault="00A720EB">
      <w:pPr>
        <w:pStyle w:val="a3"/>
        <w:spacing w:before="4"/>
        <w:rPr>
          <w:rFonts w:ascii="Palatino Linotype"/>
          <w:b/>
          <w:sz w:val="17"/>
        </w:rPr>
      </w:pPr>
    </w:p>
    <w:p w14:paraId="0095FA6C" w14:textId="77777777" w:rsidR="00A720EB" w:rsidRDefault="0030286B">
      <w:pPr>
        <w:pStyle w:val="a3"/>
        <w:spacing w:line="285" w:lineRule="auto"/>
        <w:ind w:left="124" w:right="462"/>
      </w:pPr>
      <w:r>
        <w:rPr>
          <w:color w:val="333333"/>
          <w:w w:val="110"/>
        </w:rPr>
        <w:t xml:space="preserve">The </w:t>
      </w:r>
      <w:r>
        <w:rPr>
          <w:rFonts w:ascii="Palatino Linotype"/>
          <w:b/>
          <w:color w:val="333333"/>
          <w:w w:val="110"/>
        </w:rPr>
        <w:t xml:space="preserve">spring-bean-reference </w:t>
      </w:r>
      <w:r>
        <w:rPr>
          <w:color w:val="333333"/>
          <w:w w:val="110"/>
        </w:rPr>
        <w:t xml:space="preserve">provider auto-completes the beans that </w:t>
      </w:r>
      <w:proofErr w:type="gramStart"/>
      <w:r>
        <w:rPr>
          <w:color w:val="333333"/>
          <w:w w:val="110"/>
        </w:rPr>
        <w:t>are  defined</w:t>
      </w:r>
      <w:proofErr w:type="gramEnd"/>
      <w:r>
        <w:rPr>
          <w:color w:val="333333"/>
          <w:w w:val="110"/>
        </w:rPr>
        <w:t xml:space="preserve">  in  the configuration of the current project. This provider supports the following</w:t>
      </w:r>
      <w:r>
        <w:rPr>
          <w:color w:val="333333"/>
          <w:spacing w:val="38"/>
          <w:w w:val="110"/>
        </w:rPr>
        <w:t xml:space="preserve"> </w:t>
      </w:r>
      <w:r>
        <w:rPr>
          <w:color w:val="333333"/>
          <w:w w:val="110"/>
        </w:rPr>
        <w:t>parameters:</w:t>
      </w:r>
    </w:p>
    <w:p w14:paraId="14B4A5F4" w14:textId="77777777" w:rsidR="00A720EB" w:rsidRDefault="00A720EB">
      <w:pPr>
        <w:spacing w:line="285" w:lineRule="auto"/>
        <w:sectPr w:rsidR="00A720EB">
          <w:pgSz w:w="11910" w:h="16840"/>
          <w:pgMar w:top="580" w:right="840" w:bottom="52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1247"/>
        <w:gridCol w:w="1247"/>
        <w:gridCol w:w="2494"/>
        <w:gridCol w:w="4988"/>
      </w:tblGrid>
      <w:tr w:rsidR="00A720EB" w14:paraId="01C4B901" w14:textId="77777777">
        <w:trPr>
          <w:trHeight w:val="415"/>
        </w:trPr>
        <w:tc>
          <w:tcPr>
            <w:tcW w:w="1247" w:type="dxa"/>
            <w:tcBorders>
              <w:bottom w:val="single" w:sz="12" w:space="0" w:color="DDDDDD"/>
            </w:tcBorders>
          </w:tcPr>
          <w:p w14:paraId="714F3544" w14:textId="77777777" w:rsidR="00A720EB" w:rsidRDefault="0030286B">
            <w:pPr>
              <w:pStyle w:val="TableParagraph"/>
              <w:spacing w:before="71"/>
              <w:rPr>
                <w:rFonts w:ascii="Palatino Linotype"/>
                <w:b/>
                <w:sz w:val="21"/>
              </w:rPr>
            </w:pPr>
            <w:r>
              <w:rPr>
                <w:rFonts w:ascii="Palatino Linotype"/>
                <w:b/>
                <w:color w:val="333333"/>
                <w:w w:val="115"/>
                <w:sz w:val="21"/>
              </w:rPr>
              <w:lastRenderedPageBreak/>
              <w:t>Parameter</w:t>
            </w:r>
          </w:p>
        </w:tc>
        <w:tc>
          <w:tcPr>
            <w:tcW w:w="1247" w:type="dxa"/>
            <w:tcBorders>
              <w:bottom w:val="single" w:sz="12" w:space="0" w:color="DDDDDD"/>
            </w:tcBorders>
          </w:tcPr>
          <w:p w14:paraId="06BB5CD1" w14:textId="77777777" w:rsidR="00A720EB" w:rsidRDefault="0030286B">
            <w:pPr>
              <w:pStyle w:val="TableParagraph"/>
              <w:spacing w:before="71"/>
              <w:rPr>
                <w:rFonts w:ascii="Palatino Linotype"/>
                <w:b/>
                <w:sz w:val="21"/>
              </w:rPr>
            </w:pPr>
            <w:r>
              <w:rPr>
                <w:rFonts w:ascii="Palatino Linotype"/>
                <w:b/>
                <w:color w:val="333333"/>
                <w:w w:val="105"/>
                <w:sz w:val="21"/>
              </w:rPr>
              <w:t>Type</w:t>
            </w:r>
          </w:p>
        </w:tc>
        <w:tc>
          <w:tcPr>
            <w:tcW w:w="2494" w:type="dxa"/>
            <w:tcBorders>
              <w:bottom w:val="single" w:sz="12" w:space="0" w:color="DDDDDD"/>
            </w:tcBorders>
          </w:tcPr>
          <w:p w14:paraId="5CE47765" w14:textId="77777777" w:rsidR="00A720EB" w:rsidRDefault="0030286B">
            <w:pPr>
              <w:pStyle w:val="TableParagraph"/>
              <w:spacing w:before="71"/>
              <w:rPr>
                <w:rFonts w:ascii="Palatino Linotype"/>
                <w:b/>
                <w:sz w:val="21"/>
              </w:rPr>
            </w:pPr>
            <w:r>
              <w:rPr>
                <w:rFonts w:ascii="Palatino Linotype"/>
                <w:b/>
                <w:color w:val="333333"/>
                <w:w w:val="110"/>
                <w:sz w:val="21"/>
              </w:rPr>
              <w:t>Default value</w:t>
            </w:r>
          </w:p>
        </w:tc>
        <w:tc>
          <w:tcPr>
            <w:tcW w:w="4988" w:type="dxa"/>
            <w:tcBorders>
              <w:bottom w:val="single" w:sz="12" w:space="0" w:color="DDDDDD"/>
            </w:tcBorders>
          </w:tcPr>
          <w:p w14:paraId="43C543BE" w14:textId="77777777" w:rsidR="00A720EB" w:rsidRDefault="0030286B">
            <w:pPr>
              <w:pStyle w:val="TableParagraph"/>
              <w:spacing w:before="71"/>
              <w:rPr>
                <w:rFonts w:ascii="Palatino Linotype"/>
                <w:b/>
                <w:sz w:val="21"/>
              </w:rPr>
            </w:pPr>
            <w:r>
              <w:rPr>
                <w:rFonts w:ascii="Palatino Linotype"/>
                <w:b/>
                <w:color w:val="333333"/>
                <w:w w:val="110"/>
                <w:sz w:val="21"/>
              </w:rPr>
              <w:t>Description</w:t>
            </w:r>
          </w:p>
        </w:tc>
      </w:tr>
      <w:tr w:rsidR="00A720EB" w14:paraId="7F094609" w14:textId="77777777">
        <w:trPr>
          <w:trHeight w:val="1046"/>
        </w:trPr>
        <w:tc>
          <w:tcPr>
            <w:tcW w:w="1247" w:type="dxa"/>
            <w:tcBorders>
              <w:top w:val="single" w:sz="12" w:space="0" w:color="DDDDDD"/>
            </w:tcBorders>
          </w:tcPr>
          <w:p w14:paraId="72F9FAD5" w14:textId="77777777" w:rsidR="00A720EB" w:rsidRDefault="0030286B">
            <w:pPr>
              <w:pStyle w:val="TableParagraph"/>
              <w:spacing w:before="27"/>
              <w:rPr>
                <w:sz w:val="21"/>
              </w:rPr>
            </w:pPr>
            <w:r>
              <w:rPr>
                <w:color w:val="B02045"/>
                <w:sz w:val="21"/>
              </w:rPr>
              <w:t>target</w:t>
            </w:r>
          </w:p>
        </w:tc>
        <w:tc>
          <w:tcPr>
            <w:tcW w:w="1247" w:type="dxa"/>
            <w:tcBorders>
              <w:top w:val="single" w:sz="12" w:space="0" w:color="DDDDDD"/>
            </w:tcBorders>
          </w:tcPr>
          <w:p w14:paraId="7B18A24E" w14:textId="77777777" w:rsidR="00A720EB" w:rsidRDefault="0030286B">
            <w:pPr>
              <w:pStyle w:val="TableParagraph"/>
              <w:spacing w:before="71"/>
              <w:rPr>
                <w:sz w:val="21"/>
              </w:rPr>
            </w:pPr>
            <w:r>
              <w:rPr>
                <w:color w:val="B02045"/>
                <w:sz w:val="21"/>
              </w:rPr>
              <w:t>String</w:t>
            </w:r>
          </w:p>
          <w:p w14:paraId="7B1794E0" w14:textId="77777777" w:rsidR="00A720EB" w:rsidRDefault="0030286B">
            <w:pPr>
              <w:pStyle w:val="TableParagraph"/>
              <w:spacing w:before="47"/>
              <w:rPr>
                <w:rFonts w:ascii="Cambria"/>
                <w:sz w:val="21"/>
              </w:rPr>
            </w:pPr>
            <w:r>
              <w:rPr>
                <w:rFonts w:ascii="Cambria"/>
                <w:color w:val="333333"/>
                <w:sz w:val="21"/>
              </w:rPr>
              <w:t>(</w:t>
            </w:r>
            <w:r>
              <w:rPr>
                <w:color w:val="B02045"/>
                <w:sz w:val="21"/>
              </w:rPr>
              <w:t>Class</w:t>
            </w:r>
            <w:r>
              <w:rPr>
                <w:rFonts w:ascii="Cambria"/>
                <w:color w:val="333333"/>
                <w:sz w:val="21"/>
              </w:rPr>
              <w:t>)</w:t>
            </w:r>
          </w:p>
        </w:tc>
        <w:tc>
          <w:tcPr>
            <w:tcW w:w="2494" w:type="dxa"/>
            <w:tcBorders>
              <w:top w:val="single" w:sz="12" w:space="0" w:color="DDDDDD"/>
            </w:tcBorders>
          </w:tcPr>
          <w:p w14:paraId="52B75008" w14:textId="77777777" w:rsidR="00A720EB" w:rsidRDefault="0030286B">
            <w:pPr>
              <w:pStyle w:val="TableParagraph"/>
              <w:spacing w:before="61"/>
              <w:rPr>
                <w:rFonts w:ascii="Palatino Linotype"/>
                <w:i/>
                <w:sz w:val="21"/>
              </w:rPr>
            </w:pPr>
            <w:r>
              <w:rPr>
                <w:rFonts w:ascii="Palatino Linotype"/>
                <w:i/>
                <w:color w:val="333333"/>
                <w:w w:val="115"/>
                <w:sz w:val="21"/>
              </w:rPr>
              <w:t>none</w:t>
            </w:r>
          </w:p>
        </w:tc>
        <w:tc>
          <w:tcPr>
            <w:tcW w:w="4988" w:type="dxa"/>
            <w:tcBorders>
              <w:top w:val="single" w:sz="12" w:space="0" w:color="DDDDDD"/>
            </w:tcBorders>
          </w:tcPr>
          <w:p w14:paraId="5D862A15" w14:textId="77777777" w:rsidR="00A720EB" w:rsidRDefault="0030286B">
            <w:pPr>
              <w:pStyle w:val="TableParagraph"/>
              <w:spacing w:before="18" w:line="310" w:lineRule="atLeast"/>
              <w:rPr>
                <w:rFonts w:ascii="Cambria"/>
                <w:sz w:val="21"/>
              </w:rPr>
            </w:pPr>
            <w:r>
              <w:rPr>
                <w:rFonts w:ascii="Cambria"/>
                <w:color w:val="333333"/>
                <w:w w:val="110"/>
                <w:sz w:val="21"/>
              </w:rPr>
              <w:t>The fully qualified name of the bean class that should be assignable to the candidate. Typically used to filter out non-candidate beans.</w:t>
            </w:r>
          </w:p>
        </w:tc>
      </w:tr>
    </w:tbl>
    <w:p w14:paraId="21D0C261" w14:textId="77777777" w:rsidR="00A720EB" w:rsidRDefault="00A720EB">
      <w:pPr>
        <w:pStyle w:val="a3"/>
        <w:spacing w:before="5"/>
        <w:rPr>
          <w:sz w:val="12"/>
        </w:rPr>
      </w:pPr>
    </w:p>
    <w:p w14:paraId="60BDC77F" w14:textId="77777777" w:rsidR="00A720EB" w:rsidRDefault="0030286B">
      <w:pPr>
        <w:pStyle w:val="a3"/>
        <w:spacing w:before="115" w:line="280" w:lineRule="auto"/>
        <w:ind w:left="124" w:right="359"/>
      </w:pPr>
      <w:r>
        <w:rPr>
          <w:color w:val="333333"/>
          <w:w w:val="110"/>
        </w:rPr>
        <w:t xml:space="preserve">The following metadata snippet corresponds to the standard </w:t>
      </w:r>
      <w:proofErr w:type="gramStart"/>
      <w:r>
        <w:rPr>
          <w:rFonts w:ascii="MS Gothic"/>
          <w:color w:val="B02045"/>
          <w:w w:val="110"/>
        </w:rPr>
        <w:t>spring.jmx.server</w:t>
      </w:r>
      <w:proofErr w:type="gramEnd"/>
      <w:r>
        <w:rPr>
          <w:rFonts w:ascii="MS Gothic"/>
          <w:color w:val="B02045"/>
          <w:w w:val="110"/>
        </w:rPr>
        <w:t xml:space="preserve"> </w:t>
      </w:r>
      <w:r>
        <w:rPr>
          <w:color w:val="333333"/>
          <w:w w:val="110"/>
        </w:rPr>
        <w:t xml:space="preserve">property that defines the name of the </w:t>
      </w:r>
      <w:r>
        <w:rPr>
          <w:rFonts w:ascii="MS Gothic"/>
          <w:color w:val="B02045"/>
          <w:w w:val="110"/>
        </w:rPr>
        <w:t xml:space="preserve">MBeanServer </w:t>
      </w:r>
      <w:r>
        <w:rPr>
          <w:color w:val="333333"/>
          <w:w w:val="110"/>
        </w:rPr>
        <w:t>bean to use:</w:t>
      </w:r>
    </w:p>
    <w:p w14:paraId="6B9B3F2E" w14:textId="77777777" w:rsidR="00A720EB" w:rsidRDefault="00E10349">
      <w:pPr>
        <w:pStyle w:val="a3"/>
        <w:spacing w:before="1"/>
        <w:rPr>
          <w:sz w:val="14"/>
        </w:rPr>
      </w:pPr>
      <w:r>
        <w:pict w14:anchorId="4C881F06">
          <v:group id="_x0000_s1118" style="position:absolute;margin-left:47.85pt;margin-top:10.3pt;width:499.55pt;height:214.4pt;z-index:-15011328;mso-wrap-distance-left:0;mso-wrap-distance-right:0;mso-position-horizontal-relative:page" coordorigin="957,206" coordsize="9991,4288">
            <v:shape id="_x0000_s1121" style="position:absolute;left:964;top:213;width:9976;height:4273" coordorigin="965,213" coordsize="9976,4273" path="m10861,213r-9816,l1014,219r-26,18l971,262r-6,31l965,4406r6,31l988,4462r26,17l1045,4486r9816,l10892,4479r25,-17l10935,4437r6,-31l10941,293r-6,-31l10917,237r-25,-18l10861,213xe" fillcolor="#f5f5f5" stroked="f">
              <v:path arrowok="t"/>
            </v:shape>
            <v:shape id="_x0000_s1120" style="position:absolute;left:964;top:213;width:9976;height:4273" coordorigin="965,213" coordsize="9976,4273" path="m1045,213r9816,l10892,219r25,18l10935,262r6,31l10941,4406r-6,31l10917,4462r-25,17l10861,4486r-9816,l1014,4479r-26,-17l971,4437r-6,-31l965,293r6,-31l988,237r26,-18l1045,213xe" filled="f" strokecolor="#ccc">
              <v:path arrowok="t"/>
            </v:shape>
            <v:shape id="_x0000_s1119" type="#_x0000_t202" style="position:absolute;left:984;top:228;width:9938;height:4242" filled="f" stroked="f">
              <v:textbox inset="0,0,0,0">
                <w:txbxContent>
                  <w:p w14:paraId="0DEA873A" w14:textId="77777777" w:rsidR="00711A16" w:rsidRDefault="00711A16">
                    <w:pPr>
                      <w:spacing w:before="221"/>
                      <w:ind w:left="200"/>
                      <w:rPr>
                        <w:rFonts w:ascii="MS Gothic"/>
                      </w:rPr>
                    </w:pPr>
                    <w:r>
                      <w:rPr>
                        <w:rFonts w:ascii="MS Gothic"/>
                        <w:color w:val="333333"/>
                      </w:rPr>
                      <w:t>{"hints": [</w:t>
                    </w:r>
                  </w:p>
                  <w:p w14:paraId="79528220" w14:textId="77777777" w:rsidR="00711A16" w:rsidRDefault="00711A16">
                    <w:pPr>
                      <w:spacing w:before="13"/>
                      <w:ind w:left="640"/>
                      <w:rPr>
                        <w:rFonts w:ascii="MS Gothic"/>
                      </w:rPr>
                    </w:pPr>
                    <w:r>
                      <w:rPr>
                        <w:rFonts w:ascii="MS Gothic"/>
                        <w:color w:val="333333"/>
                      </w:rPr>
                      <w:t>{</w:t>
                    </w:r>
                  </w:p>
                  <w:p w14:paraId="6D56FF75" w14:textId="77777777" w:rsidR="00711A16" w:rsidRDefault="00711A16">
                    <w:pPr>
                      <w:spacing w:before="13" w:line="252" w:lineRule="auto"/>
                      <w:ind w:left="1080" w:right="5758"/>
                      <w:rPr>
                        <w:rFonts w:ascii="MS Gothic"/>
                      </w:rPr>
                    </w:pPr>
                    <w:r>
                      <w:rPr>
                        <w:rFonts w:ascii="MS Gothic"/>
                        <w:color w:val="333333"/>
                      </w:rPr>
                      <w:t>"name": "</w:t>
                    </w:r>
                    <w:proofErr w:type="gramStart"/>
                    <w:r>
                      <w:rPr>
                        <w:rFonts w:ascii="MS Gothic"/>
                        <w:color w:val="333333"/>
                      </w:rPr>
                      <w:t>spring.jmx.server</w:t>
                    </w:r>
                    <w:proofErr w:type="gramEnd"/>
                    <w:r>
                      <w:rPr>
                        <w:rFonts w:ascii="MS Gothic"/>
                        <w:color w:val="333333"/>
                      </w:rPr>
                      <w:t>", "providers": [</w:t>
                    </w:r>
                  </w:p>
                  <w:p w14:paraId="3D9312D5" w14:textId="77777777" w:rsidR="00711A16" w:rsidRDefault="00711A16">
                    <w:pPr>
                      <w:spacing w:line="280" w:lineRule="exact"/>
                      <w:ind w:left="1520"/>
                      <w:rPr>
                        <w:rFonts w:ascii="MS Gothic"/>
                      </w:rPr>
                    </w:pPr>
                    <w:r>
                      <w:rPr>
                        <w:rFonts w:ascii="MS Gothic"/>
                        <w:color w:val="333333"/>
                      </w:rPr>
                      <w:t>{</w:t>
                    </w:r>
                  </w:p>
                  <w:p w14:paraId="4E463B70" w14:textId="77777777" w:rsidR="00711A16" w:rsidRDefault="00711A16">
                    <w:pPr>
                      <w:spacing w:before="13" w:line="252" w:lineRule="auto"/>
                      <w:ind w:left="1960" w:right="4438"/>
                      <w:rPr>
                        <w:rFonts w:ascii="MS Gothic"/>
                      </w:rPr>
                    </w:pPr>
                    <w:r>
                      <w:rPr>
                        <w:rFonts w:ascii="MS Gothic"/>
                        <w:color w:val="333333"/>
                      </w:rPr>
                      <w:t>"name": "spring-bean-reference", "parameters": {</w:t>
                    </w:r>
                  </w:p>
                  <w:p w14:paraId="77630B28" w14:textId="77777777" w:rsidR="00711A16" w:rsidRDefault="00711A16">
                    <w:pPr>
                      <w:spacing w:line="280" w:lineRule="exact"/>
                      <w:ind w:left="2400"/>
                      <w:rPr>
                        <w:rFonts w:ascii="MS Gothic"/>
                      </w:rPr>
                    </w:pPr>
                    <w:r>
                      <w:rPr>
                        <w:rFonts w:ascii="MS Gothic"/>
                        <w:color w:val="333333"/>
                      </w:rPr>
                      <w:t>"target": "</w:t>
                    </w:r>
                    <w:proofErr w:type="gramStart"/>
                    <w:r>
                      <w:rPr>
                        <w:rFonts w:ascii="MS Gothic"/>
                        <w:color w:val="333333"/>
                      </w:rPr>
                      <w:t>javax.management</w:t>
                    </w:r>
                    <w:proofErr w:type="gramEnd"/>
                    <w:r>
                      <w:rPr>
                        <w:rFonts w:ascii="MS Gothic"/>
                        <w:color w:val="333333"/>
                      </w:rPr>
                      <w:t>.MBeanServer"</w:t>
                    </w:r>
                  </w:p>
                  <w:p w14:paraId="2DAFE4B5" w14:textId="77777777" w:rsidR="00711A16" w:rsidRDefault="00711A16">
                    <w:pPr>
                      <w:spacing w:before="12"/>
                      <w:ind w:left="1960"/>
                      <w:rPr>
                        <w:rFonts w:ascii="MS Gothic"/>
                      </w:rPr>
                    </w:pPr>
                    <w:r>
                      <w:rPr>
                        <w:rFonts w:ascii="MS Gothic"/>
                        <w:color w:val="333333"/>
                      </w:rPr>
                      <w:t>}</w:t>
                    </w:r>
                  </w:p>
                  <w:p w14:paraId="4FE5D23D" w14:textId="77777777" w:rsidR="00711A16" w:rsidRDefault="00711A16">
                    <w:pPr>
                      <w:spacing w:before="13"/>
                      <w:ind w:left="1520"/>
                      <w:rPr>
                        <w:rFonts w:ascii="MS Gothic"/>
                      </w:rPr>
                    </w:pPr>
                    <w:r>
                      <w:rPr>
                        <w:rFonts w:ascii="MS Gothic"/>
                        <w:color w:val="333333"/>
                      </w:rPr>
                      <w:t>}</w:t>
                    </w:r>
                  </w:p>
                  <w:p w14:paraId="3EBF49DF" w14:textId="77777777" w:rsidR="00711A16" w:rsidRDefault="00711A16">
                    <w:pPr>
                      <w:spacing w:before="13"/>
                      <w:ind w:left="1080"/>
                      <w:rPr>
                        <w:rFonts w:ascii="MS Gothic"/>
                      </w:rPr>
                    </w:pPr>
                    <w:r>
                      <w:rPr>
                        <w:rFonts w:ascii="MS Gothic"/>
                        <w:color w:val="333333"/>
                      </w:rPr>
                      <w:t>]</w:t>
                    </w:r>
                  </w:p>
                  <w:p w14:paraId="4B81D670" w14:textId="77777777" w:rsidR="00711A16" w:rsidRDefault="00711A16">
                    <w:pPr>
                      <w:spacing w:before="13"/>
                      <w:ind w:left="640"/>
                      <w:rPr>
                        <w:rFonts w:ascii="MS Gothic"/>
                      </w:rPr>
                    </w:pPr>
                    <w:r>
                      <w:rPr>
                        <w:rFonts w:ascii="MS Gothic"/>
                        <w:color w:val="333333"/>
                      </w:rPr>
                      <w:t>}</w:t>
                    </w:r>
                  </w:p>
                  <w:p w14:paraId="4F0C6C24"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3DD3C511" w14:textId="77777777" w:rsidR="00A720EB" w:rsidRDefault="00A720EB">
      <w:pPr>
        <w:pStyle w:val="a3"/>
        <w:spacing w:before="10"/>
        <w:rPr>
          <w:sz w:val="16"/>
        </w:rPr>
      </w:pPr>
    </w:p>
    <w:p w14:paraId="003BF2AC" w14:textId="77777777" w:rsidR="00A720EB" w:rsidRDefault="00E10349">
      <w:pPr>
        <w:pStyle w:val="a3"/>
        <w:spacing w:before="125" w:line="302" w:lineRule="auto"/>
        <w:ind w:left="1564" w:right="371"/>
        <w:jc w:val="both"/>
      </w:pPr>
      <w:r>
        <w:pict w14:anchorId="1D1B171A">
          <v:line id="_x0000_s1117" style="position:absolute;left:0;text-align:left;z-index:16446976;mso-position-horizontal-relative:page" from="108.25pt,.25pt" to="108.25pt,55.6pt" strokecolor="#ededed" strokeweight=".5pt">
            <w10:wrap anchorx="page"/>
          </v:line>
        </w:pict>
      </w:r>
      <w:r w:rsidR="0030286B">
        <w:rPr>
          <w:noProof/>
        </w:rPr>
        <w:drawing>
          <wp:anchor distT="0" distB="0" distL="0" distR="0" simplePos="0" relativeHeight="16447488" behindDoc="0" locked="0" layoutInCell="1" allowOverlap="1" wp14:anchorId="335205D4" wp14:editId="6CB6777F">
            <wp:simplePos x="0" y="0"/>
            <wp:positionH relativeFrom="page">
              <wp:posOffset>844422</wp:posOffset>
            </wp:positionH>
            <wp:positionV relativeFrom="paragraph">
              <wp:posOffset>205524</wp:posOffset>
            </wp:positionV>
            <wp:extent cx="298450" cy="298450"/>
            <wp:effectExtent l="0" t="0" r="0" b="0"/>
            <wp:wrapNone/>
            <wp:docPr id="8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The binder is not aware of the metadata. If you provide that hint, you still need to transform the bean name into an actual Bean reference using by the </w:t>
      </w:r>
      <w:r w:rsidR="0030286B">
        <w:rPr>
          <w:rFonts w:ascii="MS Gothic"/>
          <w:color w:val="B02045"/>
          <w:w w:val="110"/>
        </w:rPr>
        <w:t>ApplicationContext</w:t>
      </w:r>
      <w:r w:rsidR="0030286B">
        <w:rPr>
          <w:color w:val="333333"/>
          <w:w w:val="110"/>
        </w:rPr>
        <w:t>.</w:t>
      </w:r>
    </w:p>
    <w:p w14:paraId="16D96DA1" w14:textId="77777777" w:rsidR="00A720EB" w:rsidRDefault="00A720EB">
      <w:pPr>
        <w:pStyle w:val="a3"/>
        <w:spacing w:before="5"/>
        <w:rPr>
          <w:sz w:val="22"/>
        </w:rPr>
      </w:pPr>
    </w:p>
    <w:p w14:paraId="2E4F755C" w14:textId="77777777" w:rsidR="00A720EB" w:rsidRDefault="0030286B">
      <w:pPr>
        <w:spacing w:before="104"/>
        <w:ind w:left="124"/>
        <w:rPr>
          <w:rFonts w:ascii="Palatino Linotype"/>
          <w:b/>
          <w:sz w:val="18"/>
        </w:rPr>
      </w:pPr>
      <w:r>
        <w:rPr>
          <w:rFonts w:ascii="Palatino Linotype"/>
          <w:b/>
          <w:color w:val="333333"/>
          <w:w w:val="110"/>
          <w:sz w:val="18"/>
        </w:rPr>
        <w:t>Spring Profile Name</w:t>
      </w:r>
    </w:p>
    <w:p w14:paraId="39561149" w14:textId="77777777" w:rsidR="00A720EB" w:rsidRDefault="00A720EB">
      <w:pPr>
        <w:pStyle w:val="a3"/>
        <w:spacing w:before="4"/>
        <w:rPr>
          <w:rFonts w:ascii="Palatino Linotype"/>
          <w:b/>
          <w:sz w:val="17"/>
        </w:rPr>
      </w:pPr>
    </w:p>
    <w:p w14:paraId="35E1F8C8" w14:textId="77777777" w:rsidR="00A720EB" w:rsidRDefault="0030286B">
      <w:pPr>
        <w:pStyle w:val="a3"/>
        <w:spacing w:line="285" w:lineRule="auto"/>
        <w:ind w:left="124"/>
      </w:pPr>
      <w:r>
        <w:rPr>
          <w:color w:val="333333"/>
          <w:w w:val="110"/>
        </w:rPr>
        <w:t xml:space="preserve">The </w:t>
      </w:r>
      <w:r>
        <w:rPr>
          <w:rFonts w:ascii="Palatino Linotype"/>
          <w:b/>
          <w:color w:val="333333"/>
          <w:w w:val="110"/>
        </w:rPr>
        <w:t xml:space="preserve">spring-profile-name </w:t>
      </w:r>
      <w:r>
        <w:rPr>
          <w:color w:val="333333"/>
          <w:w w:val="110"/>
        </w:rPr>
        <w:t>provider auto-completes the Spring profiles that are defined in the configuration of the current project.</w:t>
      </w:r>
    </w:p>
    <w:p w14:paraId="3911F3A3" w14:textId="77777777" w:rsidR="00A720EB" w:rsidRDefault="0030286B">
      <w:pPr>
        <w:pStyle w:val="a3"/>
        <w:spacing w:before="252" w:line="290" w:lineRule="auto"/>
        <w:ind w:left="124"/>
      </w:pPr>
      <w:r>
        <w:rPr>
          <w:color w:val="333333"/>
          <w:w w:val="110"/>
        </w:rPr>
        <w:t xml:space="preserve">The following metadata snippet corresponds to the standard </w:t>
      </w:r>
      <w:proofErr w:type="gramStart"/>
      <w:r>
        <w:rPr>
          <w:rFonts w:ascii="MS Gothic"/>
          <w:color w:val="B02045"/>
          <w:w w:val="110"/>
        </w:rPr>
        <w:t>spring.profiles</w:t>
      </w:r>
      <w:proofErr w:type="gramEnd"/>
      <w:r>
        <w:rPr>
          <w:rFonts w:ascii="MS Gothic"/>
          <w:color w:val="B02045"/>
          <w:w w:val="110"/>
        </w:rPr>
        <w:t>.active</w:t>
      </w:r>
      <w:r>
        <w:rPr>
          <w:rFonts w:ascii="MS Gothic"/>
          <w:color w:val="B02045"/>
          <w:spacing w:val="-59"/>
          <w:w w:val="110"/>
        </w:rPr>
        <w:t xml:space="preserve"> </w:t>
      </w:r>
      <w:r>
        <w:rPr>
          <w:color w:val="333333"/>
          <w:w w:val="110"/>
        </w:rPr>
        <w:t>property that defines the name of the Spring profile(s) to enable:</w:t>
      </w:r>
    </w:p>
    <w:p w14:paraId="00BC8C09" w14:textId="77777777" w:rsidR="00A720EB" w:rsidRDefault="00E10349">
      <w:pPr>
        <w:pStyle w:val="a3"/>
        <w:spacing w:before="7"/>
        <w:rPr>
          <w:sz w:val="14"/>
        </w:rPr>
      </w:pPr>
      <w:r>
        <w:pict w14:anchorId="2F13290A">
          <v:group id="_x0000_s1113" style="position:absolute;margin-left:47.85pt;margin-top:10.55pt;width:499.55pt;height:170.15pt;z-index:-15010816;mso-wrap-distance-left:0;mso-wrap-distance-right:0;mso-position-horizontal-relative:page" coordorigin="957,211" coordsize="9991,3403">
            <v:shape id="_x0000_s1116" style="position:absolute;left:964;top:218;width:9976;height:3388" coordorigin="965,218" coordsize="9976,3388" path="m10861,218r-9816,l1014,225r-26,17l971,267r-6,31l965,3526r6,31l988,3583r26,17l1045,3606r9816,l10892,3600r25,-17l10935,3557r6,-31l10941,298r-6,-31l10917,242r-25,-17l10861,218xe" fillcolor="#f5f5f5" stroked="f">
              <v:path arrowok="t"/>
            </v:shape>
            <v:shape id="_x0000_s1115" style="position:absolute;left:964;top:218;width:9976;height:3388" coordorigin="965,218" coordsize="9976,3388" path="m1045,218r9816,l10892,225r25,17l10935,267r6,31l10941,3526r-6,31l10917,3583r-25,17l10861,3606r-9816,l1014,3600r-26,-17l971,3557r-6,-31l965,298r6,-31l988,242r26,-17l1045,218xe" filled="f" strokecolor="#ccc">
              <v:path arrowok="t"/>
            </v:shape>
            <v:shape id="_x0000_s1114" type="#_x0000_t202" style="position:absolute;left:984;top:233;width:9938;height:3358" filled="f" stroked="f">
              <v:textbox inset="0,0,0,0">
                <w:txbxContent>
                  <w:p w14:paraId="762B1EEB" w14:textId="77777777" w:rsidR="00711A16" w:rsidRDefault="00711A16">
                    <w:pPr>
                      <w:spacing w:before="221"/>
                      <w:ind w:left="200"/>
                      <w:rPr>
                        <w:rFonts w:ascii="MS Gothic"/>
                      </w:rPr>
                    </w:pPr>
                    <w:r>
                      <w:rPr>
                        <w:rFonts w:ascii="MS Gothic"/>
                        <w:color w:val="333333"/>
                      </w:rPr>
                      <w:t>{"hints": [</w:t>
                    </w:r>
                  </w:p>
                  <w:p w14:paraId="6F4E25AA" w14:textId="77777777" w:rsidR="00711A16" w:rsidRDefault="00711A16">
                    <w:pPr>
                      <w:spacing w:before="13"/>
                      <w:ind w:left="640"/>
                      <w:rPr>
                        <w:rFonts w:ascii="MS Gothic"/>
                      </w:rPr>
                    </w:pPr>
                    <w:r>
                      <w:rPr>
                        <w:rFonts w:ascii="MS Gothic"/>
                        <w:color w:val="333333"/>
                      </w:rPr>
                      <w:t>{</w:t>
                    </w:r>
                  </w:p>
                  <w:p w14:paraId="2407D42F" w14:textId="77777777" w:rsidR="00711A16" w:rsidRDefault="00711A16">
                    <w:pPr>
                      <w:spacing w:before="13" w:line="252" w:lineRule="auto"/>
                      <w:ind w:left="1080" w:right="5208"/>
                      <w:rPr>
                        <w:rFonts w:ascii="MS Gothic"/>
                      </w:rPr>
                    </w:pPr>
                    <w:r>
                      <w:rPr>
                        <w:rFonts w:ascii="MS Gothic"/>
                        <w:color w:val="333333"/>
                      </w:rPr>
                      <w:t>"name": "</w:t>
                    </w:r>
                    <w:proofErr w:type="gramStart"/>
                    <w:r>
                      <w:rPr>
                        <w:rFonts w:ascii="MS Gothic"/>
                        <w:color w:val="333333"/>
                      </w:rPr>
                      <w:t>spring.profiles</w:t>
                    </w:r>
                    <w:proofErr w:type="gramEnd"/>
                    <w:r>
                      <w:rPr>
                        <w:rFonts w:ascii="MS Gothic"/>
                        <w:color w:val="333333"/>
                      </w:rPr>
                      <w:t>.active", "providers": [</w:t>
                    </w:r>
                  </w:p>
                  <w:p w14:paraId="5B63D86D" w14:textId="77777777" w:rsidR="00711A16" w:rsidRDefault="00711A16">
                    <w:pPr>
                      <w:spacing w:line="280" w:lineRule="exact"/>
                      <w:ind w:left="1520"/>
                      <w:rPr>
                        <w:rFonts w:ascii="MS Gothic"/>
                      </w:rPr>
                    </w:pPr>
                    <w:r>
                      <w:rPr>
                        <w:rFonts w:ascii="MS Gothic"/>
                        <w:color w:val="333333"/>
                      </w:rPr>
                      <w:t>{</w:t>
                    </w:r>
                  </w:p>
                  <w:p w14:paraId="2072C722" w14:textId="77777777" w:rsidR="00711A16" w:rsidRDefault="00711A16">
                    <w:pPr>
                      <w:spacing w:before="13"/>
                      <w:ind w:left="1960"/>
                      <w:rPr>
                        <w:rFonts w:ascii="MS Gothic"/>
                      </w:rPr>
                    </w:pPr>
                    <w:r>
                      <w:rPr>
                        <w:rFonts w:ascii="MS Gothic"/>
                        <w:color w:val="333333"/>
                      </w:rPr>
                      <w:t>"name": "spring-profile-name"</w:t>
                    </w:r>
                  </w:p>
                  <w:p w14:paraId="6E4E2EA7" w14:textId="77777777" w:rsidR="00711A16" w:rsidRDefault="00711A16">
                    <w:pPr>
                      <w:spacing w:before="12"/>
                      <w:ind w:left="1520"/>
                      <w:rPr>
                        <w:rFonts w:ascii="MS Gothic"/>
                      </w:rPr>
                    </w:pPr>
                    <w:r>
                      <w:rPr>
                        <w:rFonts w:ascii="MS Gothic"/>
                        <w:color w:val="333333"/>
                      </w:rPr>
                      <w:t>}</w:t>
                    </w:r>
                  </w:p>
                  <w:p w14:paraId="4860AB90" w14:textId="77777777" w:rsidR="00711A16" w:rsidRDefault="00711A16">
                    <w:pPr>
                      <w:spacing w:before="13"/>
                      <w:ind w:left="1080"/>
                      <w:rPr>
                        <w:rFonts w:ascii="MS Gothic"/>
                      </w:rPr>
                    </w:pPr>
                    <w:r>
                      <w:rPr>
                        <w:rFonts w:ascii="MS Gothic"/>
                        <w:color w:val="333333"/>
                      </w:rPr>
                      <w:t>]</w:t>
                    </w:r>
                  </w:p>
                  <w:p w14:paraId="3FA2868F" w14:textId="77777777" w:rsidR="00711A16" w:rsidRDefault="00711A16">
                    <w:pPr>
                      <w:spacing w:before="13"/>
                      <w:ind w:left="640"/>
                      <w:rPr>
                        <w:rFonts w:ascii="MS Gothic"/>
                      </w:rPr>
                    </w:pPr>
                    <w:r>
                      <w:rPr>
                        <w:rFonts w:ascii="MS Gothic"/>
                        <w:color w:val="333333"/>
                      </w:rPr>
                      <w:t>}</w:t>
                    </w:r>
                  </w:p>
                  <w:p w14:paraId="5910EE38"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5C54E440" w14:textId="77777777" w:rsidR="00A720EB" w:rsidRDefault="00A720EB">
      <w:pPr>
        <w:rPr>
          <w:sz w:val="14"/>
        </w:rPr>
        <w:sectPr w:rsidR="00A720EB">
          <w:pgSz w:w="11910" w:h="16840"/>
          <w:pgMar w:top="700" w:right="840" w:bottom="520" w:left="840" w:header="0" w:footer="198" w:gutter="0"/>
          <w:cols w:space="720"/>
        </w:sectPr>
      </w:pPr>
    </w:p>
    <w:p w14:paraId="3FC540D2" w14:textId="77777777" w:rsidR="00A720EB" w:rsidRDefault="0030286B">
      <w:pPr>
        <w:pStyle w:val="3"/>
        <w:numPr>
          <w:ilvl w:val="2"/>
          <w:numId w:val="8"/>
        </w:numPr>
        <w:tabs>
          <w:tab w:val="left" w:pos="1032"/>
        </w:tabs>
        <w:spacing w:before="87"/>
      </w:pPr>
      <w:bookmarkStart w:id="1067" w:name="10.B.3._Generating_Your_Own_Metadata_by_"/>
      <w:bookmarkStart w:id="1068" w:name="_Toc54424048"/>
      <w:bookmarkEnd w:id="1067"/>
      <w:r>
        <w:rPr>
          <w:color w:val="333333"/>
          <w:w w:val="110"/>
        </w:rPr>
        <w:lastRenderedPageBreak/>
        <w:t>Generating</w:t>
      </w:r>
      <w:r>
        <w:rPr>
          <w:color w:val="333333"/>
          <w:spacing w:val="-8"/>
          <w:w w:val="110"/>
        </w:rPr>
        <w:t xml:space="preserve"> </w:t>
      </w:r>
      <w:r>
        <w:rPr>
          <w:color w:val="333333"/>
          <w:spacing w:val="-6"/>
          <w:w w:val="110"/>
        </w:rPr>
        <w:t>Your</w:t>
      </w:r>
      <w:r>
        <w:rPr>
          <w:color w:val="333333"/>
          <w:spacing w:val="-9"/>
          <w:w w:val="110"/>
        </w:rPr>
        <w:t xml:space="preserve"> </w:t>
      </w:r>
      <w:r>
        <w:rPr>
          <w:color w:val="333333"/>
          <w:w w:val="110"/>
        </w:rPr>
        <w:t>Own</w:t>
      </w:r>
      <w:r>
        <w:rPr>
          <w:color w:val="333333"/>
          <w:spacing w:val="-8"/>
          <w:w w:val="110"/>
        </w:rPr>
        <w:t xml:space="preserve"> </w:t>
      </w:r>
      <w:r>
        <w:rPr>
          <w:color w:val="333333"/>
          <w:w w:val="110"/>
        </w:rPr>
        <w:t>Metadata</w:t>
      </w:r>
      <w:r>
        <w:rPr>
          <w:color w:val="333333"/>
          <w:spacing w:val="-8"/>
          <w:w w:val="110"/>
        </w:rPr>
        <w:t xml:space="preserve"> </w:t>
      </w:r>
      <w:r>
        <w:rPr>
          <w:color w:val="333333"/>
          <w:spacing w:val="-3"/>
          <w:w w:val="110"/>
        </w:rPr>
        <w:t>by</w:t>
      </w:r>
      <w:r>
        <w:rPr>
          <w:color w:val="333333"/>
          <w:spacing w:val="-8"/>
          <w:w w:val="110"/>
        </w:rPr>
        <w:t xml:space="preserve"> </w:t>
      </w:r>
      <w:r>
        <w:rPr>
          <w:color w:val="333333"/>
          <w:w w:val="110"/>
        </w:rPr>
        <w:t>Using</w:t>
      </w:r>
      <w:r>
        <w:rPr>
          <w:color w:val="333333"/>
          <w:spacing w:val="-8"/>
          <w:w w:val="110"/>
        </w:rPr>
        <w:t xml:space="preserve"> </w:t>
      </w:r>
      <w:r>
        <w:rPr>
          <w:color w:val="333333"/>
          <w:w w:val="110"/>
        </w:rPr>
        <w:t>the</w:t>
      </w:r>
      <w:r>
        <w:rPr>
          <w:color w:val="333333"/>
          <w:spacing w:val="-9"/>
          <w:w w:val="110"/>
        </w:rPr>
        <w:t xml:space="preserve"> </w:t>
      </w:r>
      <w:r>
        <w:rPr>
          <w:color w:val="333333"/>
          <w:w w:val="110"/>
        </w:rPr>
        <w:t>Annotation</w:t>
      </w:r>
      <w:r>
        <w:rPr>
          <w:color w:val="333333"/>
          <w:spacing w:val="-9"/>
          <w:w w:val="110"/>
        </w:rPr>
        <w:t xml:space="preserve"> </w:t>
      </w:r>
      <w:r>
        <w:rPr>
          <w:color w:val="333333"/>
          <w:w w:val="110"/>
        </w:rPr>
        <w:t>Processor</w:t>
      </w:r>
      <w:bookmarkEnd w:id="1068"/>
    </w:p>
    <w:p w14:paraId="0D5487DE" w14:textId="77777777" w:rsidR="00A720EB" w:rsidRDefault="0030286B">
      <w:pPr>
        <w:pStyle w:val="a3"/>
        <w:spacing w:before="253" w:line="295" w:lineRule="auto"/>
        <w:ind w:left="124" w:right="126"/>
        <w:jc w:val="both"/>
      </w:pPr>
      <w:r>
        <w:rPr>
          <w:color w:val="333333"/>
          <w:w w:val="110"/>
        </w:rPr>
        <w:t xml:space="preserve">You can easily generate your own configuration metadata file from items annotated with </w:t>
      </w:r>
      <w:r>
        <w:rPr>
          <w:rFonts w:ascii="MS Gothic"/>
          <w:color w:val="B02045"/>
          <w:w w:val="105"/>
        </w:rPr>
        <w:t xml:space="preserve">@ConfigurationProperties </w:t>
      </w:r>
      <w:r>
        <w:rPr>
          <w:color w:val="333333"/>
          <w:w w:val="105"/>
        </w:rPr>
        <w:t xml:space="preserve">by using the </w:t>
      </w:r>
      <w:r>
        <w:rPr>
          <w:rFonts w:ascii="MS Gothic"/>
          <w:color w:val="B02045"/>
          <w:w w:val="105"/>
        </w:rPr>
        <w:t xml:space="preserve">spring-boot-configuration-processor </w:t>
      </w:r>
      <w:r>
        <w:rPr>
          <w:color w:val="333333"/>
          <w:w w:val="105"/>
        </w:rPr>
        <w:t xml:space="preserve">jar. The jar includes a </w:t>
      </w:r>
      <w:r>
        <w:rPr>
          <w:color w:val="333333"/>
          <w:w w:val="110"/>
        </w:rPr>
        <w:t>Java annotation processor which is invoked as your project is compiled.</w:t>
      </w:r>
    </w:p>
    <w:p w14:paraId="7EECFF60" w14:textId="77777777" w:rsidR="00A720EB" w:rsidRDefault="00A720EB">
      <w:pPr>
        <w:pStyle w:val="a3"/>
        <w:spacing w:before="6"/>
        <w:rPr>
          <w:sz w:val="26"/>
        </w:rPr>
      </w:pPr>
    </w:p>
    <w:p w14:paraId="650DFAC3" w14:textId="77777777" w:rsidR="00A720EB" w:rsidRDefault="0030286B">
      <w:pPr>
        <w:pStyle w:val="4"/>
      </w:pPr>
      <w:bookmarkStart w:id="1069" w:name="Configuring_the_Annotation_Processor"/>
      <w:bookmarkEnd w:id="1069"/>
      <w:r>
        <w:rPr>
          <w:color w:val="333333"/>
          <w:w w:val="110"/>
        </w:rPr>
        <w:t>Configuring the Annotation Processor</w:t>
      </w:r>
    </w:p>
    <w:p w14:paraId="6459F277" w14:textId="77777777" w:rsidR="00A720EB" w:rsidRDefault="0030286B">
      <w:pPr>
        <w:pStyle w:val="a3"/>
        <w:spacing w:before="244"/>
        <w:ind w:left="124"/>
        <w:jc w:val="both"/>
      </w:pPr>
      <w:r>
        <w:rPr>
          <w:color w:val="333333"/>
          <w:w w:val="110"/>
        </w:rPr>
        <w:t xml:space="preserve">To use the processor, include a dependency on </w:t>
      </w:r>
      <w:r>
        <w:rPr>
          <w:rFonts w:ascii="MS Gothic"/>
          <w:color w:val="B02045"/>
          <w:w w:val="110"/>
        </w:rPr>
        <w:t>spring-boot-configuration-processor</w:t>
      </w:r>
      <w:r>
        <w:rPr>
          <w:color w:val="333333"/>
          <w:w w:val="110"/>
        </w:rPr>
        <w:t>.</w:t>
      </w:r>
    </w:p>
    <w:p w14:paraId="69B7A116" w14:textId="77777777" w:rsidR="00A720EB" w:rsidRDefault="00A720EB">
      <w:pPr>
        <w:pStyle w:val="a3"/>
        <w:spacing w:before="3"/>
        <w:rPr>
          <w:sz w:val="25"/>
        </w:rPr>
      </w:pPr>
    </w:p>
    <w:p w14:paraId="44ABAB60" w14:textId="77777777" w:rsidR="00A720EB" w:rsidRDefault="0030286B">
      <w:pPr>
        <w:pStyle w:val="a3"/>
        <w:spacing w:before="1"/>
        <w:ind w:left="124"/>
        <w:jc w:val="both"/>
      </w:pPr>
      <w:r>
        <w:rPr>
          <w:color w:val="333333"/>
          <w:w w:val="110"/>
        </w:rPr>
        <w:t>With Maven the dependency should be declared as optional, as shown in the following example:</w:t>
      </w:r>
    </w:p>
    <w:p w14:paraId="08DA4850" w14:textId="77777777" w:rsidR="00A720EB" w:rsidRDefault="00E10349">
      <w:pPr>
        <w:pStyle w:val="a3"/>
        <w:spacing w:before="11"/>
        <w:rPr>
          <w:sz w:val="18"/>
        </w:rPr>
      </w:pPr>
      <w:r>
        <w:pict w14:anchorId="0D1A3FAD">
          <v:group id="_x0000_s1109" style="position:absolute;margin-left:47.85pt;margin-top:13.1pt;width:499.55pt;height:96.45pt;z-index:-15009280;mso-wrap-distance-left:0;mso-wrap-distance-right:0;mso-position-horizontal-relative:page" coordorigin="957,262" coordsize="9991,1929">
            <v:shape id="_x0000_s1112" style="position:absolute;left:964;top:269;width:9976;height:1914" coordorigin="965,270" coordsize="9976,1914" path="m10861,270r-9816,l1014,276r-26,17l971,318r-6,32l965,2104r6,31l988,2160r26,17l1045,2184r9816,l10892,2177r25,-17l10935,2135r6,-31l10941,350r-6,-32l10917,293r-25,-17l10861,270xe" fillcolor="#f5f5f5" stroked="f">
              <v:path arrowok="t"/>
            </v:shape>
            <v:shape id="_x0000_s1111" style="position:absolute;left:964;top:269;width:9976;height:1914" coordorigin="965,270" coordsize="9976,1914" path="m1045,270r9816,l10892,276r25,17l10935,318r6,32l10941,2104r-6,31l10917,2160r-25,17l10861,2184r-9816,l1014,2177r-26,-17l971,2135r-6,-31l965,350r6,-32l988,293r26,-17l1045,270xe" filled="f" strokecolor="#ccc">
              <v:path arrowok="t"/>
            </v:shape>
            <v:shape id="_x0000_s1110" type="#_x0000_t202" style="position:absolute;left:984;top:285;width:9938;height:1884" filled="f" stroked="f">
              <v:textbox inset="0,0,0,0">
                <w:txbxContent>
                  <w:p w14:paraId="1B89E385" w14:textId="77777777" w:rsidR="00711A16" w:rsidRDefault="00711A16">
                    <w:pPr>
                      <w:spacing w:before="221"/>
                      <w:ind w:left="200"/>
                      <w:rPr>
                        <w:rFonts w:ascii="MS Gothic"/>
                      </w:rPr>
                    </w:pPr>
                    <w:r>
                      <w:rPr>
                        <w:rFonts w:ascii="MS Gothic"/>
                        <w:color w:val="333333"/>
                      </w:rPr>
                      <w:t>&lt;dependency&gt;</w:t>
                    </w:r>
                  </w:p>
                  <w:p w14:paraId="13EA3412" w14:textId="77777777" w:rsidR="00711A16" w:rsidRDefault="00711A16">
                    <w:pPr>
                      <w:spacing w:before="13"/>
                      <w:ind w:left="640"/>
                      <w:rPr>
                        <w:rFonts w:ascii="MS Gothic"/>
                      </w:rPr>
                    </w:pPr>
                    <w:proofErr w:type="gramStart"/>
                    <w:r>
                      <w:rPr>
                        <w:rFonts w:ascii="MS Gothic"/>
                        <w:color w:val="333333"/>
                      </w:rPr>
                      <w:t>&lt;groupId&gt;org.springframework.boot</w:t>
                    </w:r>
                    <w:proofErr w:type="gramEnd"/>
                    <w:r>
                      <w:rPr>
                        <w:rFonts w:ascii="MS Gothic"/>
                        <w:color w:val="333333"/>
                      </w:rPr>
                      <w:t>&lt;/groupId&gt;</w:t>
                    </w:r>
                  </w:p>
                  <w:p w14:paraId="1ADC4659" w14:textId="77777777" w:rsidR="00711A16" w:rsidRDefault="00711A16">
                    <w:pPr>
                      <w:spacing w:before="13"/>
                      <w:ind w:left="640"/>
                      <w:rPr>
                        <w:rFonts w:ascii="MS Gothic"/>
                      </w:rPr>
                    </w:pPr>
                    <w:r>
                      <w:rPr>
                        <w:rFonts w:ascii="MS Gothic"/>
                        <w:color w:val="333333"/>
                      </w:rPr>
                      <w:t>&lt;artifactId&gt;spring-boot-configuration-processor&lt;/artifactId&gt;</w:t>
                    </w:r>
                  </w:p>
                  <w:p w14:paraId="0F837377" w14:textId="77777777" w:rsidR="00711A16" w:rsidRDefault="00711A16">
                    <w:pPr>
                      <w:spacing w:before="13"/>
                      <w:ind w:left="640"/>
                      <w:rPr>
                        <w:rFonts w:ascii="MS Gothic"/>
                      </w:rPr>
                    </w:pPr>
                    <w:r>
                      <w:rPr>
                        <w:rFonts w:ascii="MS Gothic"/>
                        <w:color w:val="333333"/>
                      </w:rPr>
                      <w:t>&lt;optional&gt;true&lt;/optional&gt;</w:t>
                    </w:r>
                  </w:p>
                  <w:p w14:paraId="40F1595F" w14:textId="77777777" w:rsidR="00711A16" w:rsidRDefault="00711A16">
                    <w:pPr>
                      <w:spacing w:before="12"/>
                      <w:ind w:left="200"/>
                      <w:rPr>
                        <w:rFonts w:ascii="MS Gothic"/>
                      </w:rPr>
                    </w:pPr>
                    <w:r>
                      <w:rPr>
                        <w:rFonts w:ascii="MS Gothic"/>
                        <w:color w:val="333333"/>
                      </w:rPr>
                      <w:t>&lt;/dependency&gt;</w:t>
                    </w:r>
                  </w:p>
                </w:txbxContent>
              </v:textbox>
            </v:shape>
            <w10:wrap type="topAndBottom" anchorx="page"/>
          </v:group>
        </w:pict>
      </w:r>
    </w:p>
    <w:p w14:paraId="3914CEA6" w14:textId="77777777" w:rsidR="00A720EB" w:rsidRDefault="00A720EB">
      <w:pPr>
        <w:pStyle w:val="a3"/>
        <w:spacing w:before="11"/>
        <w:rPr>
          <w:sz w:val="9"/>
        </w:rPr>
      </w:pPr>
    </w:p>
    <w:p w14:paraId="6E4888E0" w14:textId="77777777" w:rsidR="00A720EB" w:rsidRDefault="0030286B">
      <w:pPr>
        <w:pStyle w:val="a3"/>
        <w:spacing w:before="115"/>
        <w:ind w:left="124"/>
      </w:pPr>
      <w:proofErr w:type="gramStart"/>
      <w:r>
        <w:rPr>
          <w:color w:val="333333"/>
          <w:w w:val="110"/>
        </w:rPr>
        <w:t>If  you</w:t>
      </w:r>
      <w:proofErr w:type="gramEnd"/>
      <w:r>
        <w:rPr>
          <w:color w:val="333333"/>
          <w:w w:val="110"/>
        </w:rPr>
        <w:t xml:space="preserve">  have  defined  </w:t>
      </w:r>
      <w:r>
        <w:rPr>
          <w:rFonts w:ascii="MS Gothic"/>
          <w:color w:val="B02045"/>
          <w:w w:val="110"/>
        </w:rPr>
        <w:t xml:space="preserve">@ConfigurationProperties </w:t>
      </w:r>
      <w:r>
        <w:rPr>
          <w:color w:val="333333"/>
          <w:w w:val="110"/>
        </w:rPr>
        <w:t>in  your  application,  make  sure  to  configure</w:t>
      </w:r>
      <w:r>
        <w:rPr>
          <w:color w:val="333333"/>
          <w:spacing w:val="12"/>
          <w:w w:val="110"/>
        </w:rPr>
        <w:t xml:space="preserve"> </w:t>
      </w:r>
      <w:r>
        <w:rPr>
          <w:color w:val="333333"/>
          <w:w w:val="110"/>
        </w:rPr>
        <w:t>the</w:t>
      </w:r>
    </w:p>
    <w:p w14:paraId="6FB7D9A8" w14:textId="77777777" w:rsidR="00A720EB" w:rsidRDefault="0030286B">
      <w:pPr>
        <w:pStyle w:val="a3"/>
        <w:spacing w:before="47"/>
        <w:ind w:left="124"/>
      </w:pPr>
      <w:r>
        <w:rPr>
          <w:rFonts w:ascii="MS Gothic"/>
          <w:color w:val="B02045"/>
          <w:w w:val="110"/>
        </w:rPr>
        <w:t>spring-boot-maven-plugin</w:t>
      </w:r>
      <w:r>
        <w:rPr>
          <w:rFonts w:ascii="MS Gothic"/>
          <w:color w:val="B02045"/>
          <w:spacing w:val="-85"/>
          <w:w w:val="110"/>
        </w:rPr>
        <w:t xml:space="preserve"> </w:t>
      </w:r>
      <w:r>
        <w:rPr>
          <w:color w:val="333333"/>
          <w:w w:val="110"/>
        </w:rPr>
        <w:t>to</w:t>
      </w:r>
      <w:r>
        <w:rPr>
          <w:color w:val="333333"/>
          <w:spacing w:val="-20"/>
          <w:w w:val="110"/>
        </w:rPr>
        <w:t xml:space="preserve"> </w:t>
      </w:r>
      <w:r>
        <w:rPr>
          <w:color w:val="333333"/>
          <w:w w:val="110"/>
        </w:rPr>
        <w:t>prevent</w:t>
      </w:r>
      <w:r>
        <w:rPr>
          <w:color w:val="333333"/>
          <w:spacing w:val="-21"/>
          <w:w w:val="110"/>
        </w:rPr>
        <w:t xml:space="preserve"> </w:t>
      </w:r>
      <w:r>
        <w:rPr>
          <w:color w:val="333333"/>
          <w:w w:val="110"/>
        </w:rPr>
        <w:t>the</w:t>
      </w:r>
      <w:r>
        <w:rPr>
          <w:color w:val="333333"/>
          <w:spacing w:val="-19"/>
          <w:w w:val="110"/>
        </w:rPr>
        <w:t xml:space="preserve"> </w:t>
      </w:r>
      <w:r>
        <w:rPr>
          <w:rFonts w:ascii="MS Gothic"/>
          <w:color w:val="B02045"/>
          <w:w w:val="110"/>
        </w:rPr>
        <w:t>repackage</w:t>
      </w:r>
      <w:r>
        <w:rPr>
          <w:rFonts w:ascii="MS Gothic"/>
          <w:color w:val="B02045"/>
          <w:spacing w:val="-85"/>
          <w:w w:val="110"/>
        </w:rPr>
        <w:t xml:space="preserve"> </w:t>
      </w:r>
      <w:r>
        <w:rPr>
          <w:color w:val="333333"/>
          <w:w w:val="110"/>
        </w:rPr>
        <w:t>goal</w:t>
      </w:r>
      <w:r>
        <w:rPr>
          <w:color w:val="333333"/>
          <w:spacing w:val="-20"/>
          <w:w w:val="110"/>
        </w:rPr>
        <w:t xml:space="preserve"> </w:t>
      </w:r>
      <w:r>
        <w:rPr>
          <w:color w:val="333333"/>
          <w:w w:val="110"/>
        </w:rPr>
        <w:t>from</w:t>
      </w:r>
      <w:r>
        <w:rPr>
          <w:color w:val="333333"/>
          <w:spacing w:val="-20"/>
          <w:w w:val="110"/>
        </w:rPr>
        <w:t xml:space="preserve"> </w:t>
      </w:r>
      <w:r>
        <w:rPr>
          <w:color w:val="333333"/>
          <w:w w:val="110"/>
        </w:rPr>
        <w:t>adding</w:t>
      </w:r>
      <w:r>
        <w:rPr>
          <w:color w:val="333333"/>
          <w:spacing w:val="-21"/>
          <w:w w:val="110"/>
        </w:rPr>
        <w:t xml:space="preserve"> </w:t>
      </w:r>
      <w:r>
        <w:rPr>
          <w:color w:val="333333"/>
          <w:w w:val="110"/>
        </w:rPr>
        <w:t>the</w:t>
      </w:r>
      <w:r>
        <w:rPr>
          <w:color w:val="333333"/>
          <w:spacing w:val="-20"/>
          <w:w w:val="110"/>
        </w:rPr>
        <w:t xml:space="preserve"> </w:t>
      </w:r>
      <w:r>
        <w:rPr>
          <w:color w:val="333333"/>
          <w:w w:val="110"/>
        </w:rPr>
        <w:t>dependency</w:t>
      </w:r>
      <w:r>
        <w:rPr>
          <w:color w:val="333333"/>
          <w:spacing w:val="-21"/>
          <w:w w:val="110"/>
        </w:rPr>
        <w:t xml:space="preserve"> </w:t>
      </w:r>
      <w:r>
        <w:rPr>
          <w:color w:val="333333"/>
          <w:w w:val="110"/>
        </w:rPr>
        <w:t>into</w:t>
      </w:r>
      <w:r>
        <w:rPr>
          <w:color w:val="333333"/>
          <w:spacing w:val="-20"/>
          <w:w w:val="110"/>
        </w:rPr>
        <w:t xml:space="preserve"> </w:t>
      </w:r>
      <w:r>
        <w:rPr>
          <w:color w:val="333333"/>
          <w:w w:val="110"/>
        </w:rPr>
        <w:t>the</w:t>
      </w:r>
      <w:r>
        <w:rPr>
          <w:color w:val="333333"/>
          <w:spacing w:val="-20"/>
          <w:w w:val="110"/>
        </w:rPr>
        <w:t xml:space="preserve"> </w:t>
      </w:r>
      <w:r>
        <w:rPr>
          <w:color w:val="333333"/>
          <w:w w:val="110"/>
        </w:rPr>
        <w:t>fat</w:t>
      </w:r>
      <w:r>
        <w:rPr>
          <w:color w:val="333333"/>
          <w:spacing w:val="-20"/>
          <w:w w:val="110"/>
        </w:rPr>
        <w:t xml:space="preserve"> </w:t>
      </w:r>
      <w:r>
        <w:rPr>
          <w:color w:val="333333"/>
          <w:w w:val="110"/>
        </w:rPr>
        <w:t>jar:</w:t>
      </w:r>
    </w:p>
    <w:p w14:paraId="7B25EB9A" w14:textId="77777777" w:rsidR="00A720EB" w:rsidRDefault="00E10349">
      <w:pPr>
        <w:pStyle w:val="a3"/>
        <w:spacing w:before="11"/>
        <w:rPr>
          <w:sz w:val="17"/>
        </w:rPr>
      </w:pPr>
      <w:r>
        <w:pict w14:anchorId="4309778F">
          <v:group id="_x0000_s1105" style="position:absolute;margin-left:47.85pt;margin-top:12.5pt;width:499.55pt;height:302.85pt;z-index:-15008768;mso-wrap-distance-left:0;mso-wrap-distance-right:0;mso-position-horizontal-relative:page" coordorigin="957,250" coordsize="9991,6057">
            <v:shape id="_x0000_s1108" style="position:absolute;left:964;top:257;width:9976;height:6042" coordorigin="965,258" coordsize="9976,6042" path="m10861,258r-9816,l1014,264r-26,17l971,306r-6,32l965,6219r6,31l988,6275r26,17l1045,6299r9816,l10892,6292r25,-17l10935,6250r6,-31l10941,338r-6,-32l10917,281r-25,-17l10861,258xe" fillcolor="#f5f5f5" stroked="f">
              <v:path arrowok="t"/>
            </v:shape>
            <v:shape id="_x0000_s1107" style="position:absolute;left:964;top:257;width:9976;height:6042" coordorigin="965,258" coordsize="9976,6042" path="m1045,258r9816,l10892,264r25,17l10935,306r6,32l10941,6219r-6,31l10917,6275r-25,17l10861,6299r-9816,l1014,6292r-26,-17l971,6250r-6,-31l965,338r6,-32l988,281r26,-17l1045,258xe" filled="f" strokecolor="#ccc">
              <v:path arrowok="t"/>
            </v:shape>
            <v:shape id="_x0000_s1106" type="#_x0000_t202" style="position:absolute;left:984;top:273;width:9938;height:6011" filled="f" stroked="f">
              <v:textbox inset="0,0,0,0">
                <w:txbxContent>
                  <w:p w14:paraId="0DAB1EE3" w14:textId="77777777" w:rsidR="00711A16" w:rsidRDefault="00711A16">
                    <w:pPr>
                      <w:spacing w:before="221"/>
                      <w:ind w:left="200"/>
                      <w:rPr>
                        <w:rFonts w:ascii="MS Gothic"/>
                      </w:rPr>
                    </w:pPr>
                    <w:r>
                      <w:rPr>
                        <w:rFonts w:ascii="MS Gothic"/>
                        <w:color w:val="333333"/>
                      </w:rPr>
                      <w:t>&lt;project&gt;</w:t>
                    </w:r>
                  </w:p>
                  <w:p w14:paraId="78CC9C4A" w14:textId="77777777" w:rsidR="00711A16" w:rsidRDefault="00711A16">
                    <w:pPr>
                      <w:spacing w:before="13"/>
                      <w:ind w:left="640"/>
                      <w:rPr>
                        <w:rFonts w:ascii="MS Gothic"/>
                      </w:rPr>
                    </w:pPr>
                    <w:r>
                      <w:rPr>
                        <w:rFonts w:ascii="MS Gothic"/>
                        <w:color w:val="333333"/>
                      </w:rPr>
                      <w:t>&lt;build&gt;</w:t>
                    </w:r>
                  </w:p>
                  <w:p w14:paraId="5C94BB11" w14:textId="77777777" w:rsidR="00711A16" w:rsidRDefault="00711A16">
                    <w:pPr>
                      <w:spacing w:before="13"/>
                      <w:ind w:left="1080"/>
                      <w:rPr>
                        <w:rFonts w:ascii="MS Gothic"/>
                      </w:rPr>
                    </w:pPr>
                    <w:r>
                      <w:rPr>
                        <w:rFonts w:ascii="MS Gothic"/>
                        <w:color w:val="333333"/>
                      </w:rPr>
                      <w:t>&lt;plugins&gt;</w:t>
                    </w:r>
                  </w:p>
                  <w:p w14:paraId="50D96280" w14:textId="77777777" w:rsidR="00711A16" w:rsidRDefault="00711A16">
                    <w:pPr>
                      <w:spacing w:before="13"/>
                      <w:ind w:left="1520"/>
                      <w:rPr>
                        <w:rFonts w:ascii="MS Gothic"/>
                      </w:rPr>
                    </w:pPr>
                    <w:r>
                      <w:rPr>
                        <w:rFonts w:ascii="MS Gothic"/>
                        <w:color w:val="333333"/>
                      </w:rPr>
                      <w:t>&lt;plugin&gt;</w:t>
                    </w:r>
                  </w:p>
                  <w:p w14:paraId="3EA4B4D9" w14:textId="77777777" w:rsidR="00711A16" w:rsidRDefault="00711A16">
                    <w:pPr>
                      <w:spacing w:before="12"/>
                      <w:ind w:left="1960"/>
                      <w:rPr>
                        <w:rFonts w:ascii="MS Gothic"/>
                      </w:rPr>
                    </w:pPr>
                    <w:proofErr w:type="gramStart"/>
                    <w:r>
                      <w:rPr>
                        <w:rFonts w:ascii="MS Gothic"/>
                        <w:color w:val="333333"/>
                      </w:rPr>
                      <w:t>&lt;groupId&gt;org.springframework.boot</w:t>
                    </w:r>
                    <w:proofErr w:type="gramEnd"/>
                    <w:r>
                      <w:rPr>
                        <w:rFonts w:ascii="MS Gothic"/>
                        <w:color w:val="333333"/>
                      </w:rPr>
                      <w:t>&lt;/groupId&gt;</w:t>
                    </w:r>
                  </w:p>
                  <w:p w14:paraId="4FBAB555" w14:textId="77777777" w:rsidR="00711A16" w:rsidRDefault="00711A16">
                    <w:pPr>
                      <w:spacing w:before="13"/>
                      <w:ind w:left="1960"/>
                      <w:rPr>
                        <w:rFonts w:ascii="MS Gothic"/>
                      </w:rPr>
                    </w:pPr>
                    <w:r>
                      <w:rPr>
                        <w:rFonts w:ascii="MS Gothic"/>
                        <w:color w:val="333333"/>
                      </w:rPr>
                      <w:t>&lt;artifactId&gt;spring-boot-maven-plugin&lt;/artifactId&gt;</w:t>
                    </w:r>
                  </w:p>
                  <w:p w14:paraId="48CB692D" w14:textId="77777777" w:rsidR="00711A16" w:rsidRDefault="00711A16">
                    <w:pPr>
                      <w:spacing w:before="13"/>
                      <w:ind w:left="1960"/>
                      <w:rPr>
                        <w:rFonts w:ascii="MS Gothic"/>
                      </w:rPr>
                    </w:pPr>
                    <w:r>
                      <w:rPr>
                        <w:rFonts w:ascii="MS Gothic"/>
                        <w:color w:val="333333"/>
                      </w:rPr>
                      <w:t>&lt;configuration&gt;</w:t>
                    </w:r>
                  </w:p>
                  <w:p w14:paraId="3E8EC162" w14:textId="77777777" w:rsidR="00711A16" w:rsidRDefault="00711A16">
                    <w:pPr>
                      <w:spacing w:before="13"/>
                      <w:ind w:left="2400"/>
                      <w:rPr>
                        <w:rFonts w:ascii="MS Gothic"/>
                      </w:rPr>
                    </w:pPr>
                    <w:r>
                      <w:rPr>
                        <w:rFonts w:ascii="MS Gothic"/>
                        <w:color w:val="333333"/>
                      </w:rPr>
                      <w:t>&lt;excludes&gt;</w:t>
                    </w:r>
                  </w:p>
                  <w:p w14:paraId="059DA4DF" w14:textId="77777777" w:rsidR="00711A16" w:rsidRDefault="00711A16">
                    <w:pPr>
                      <w:spacing w:before="13"/>
                      <w:ind w:left="2840"/>
                      <w:rPr>
                        <w:rFonts w:ascii="MS Gothic"/>
                      </w:rPr>
                    </w:pPr>
                    <w:r>
                      <w:rPr>
                        <w:rFonts w:ascii="MS Gothic"/>
                        <w:color w:val="333333"/>
                      </w:rPr>
                      <w:t>&lt;exclude&gt;</w:t>
                    </w:r>
                  </w:p>
                  <w:p w14:paraId="0BCAB171" w14:textId="77777777" w:rsidR="00711A16" w:rsidRDefault="00711A16">
                    <w:pPr>
                      <w:spacing w:before="13"/>
                      <w:ind w:left="3280"/>
                      <w:rPr>
                        <w:rFonts w:ascii="MS Gothic"/>
                      </w:rPr>
                    </w:pPr>
                    <w:proofErr w:type="gramStart"/>
                    <w:r>
                      <w:rPr>
                        <w:rFonts w:ascii="MS Gothic"/>
                        <w:color w:val="333333"/>
                      </w:rPr>
                      <w:t>&lt;groupId&gt;org.springframework.boot</w:t>
                    </w:r>
                    <w:proofErr w:type="gramEnd"/>
                    <w:r>
                      <w:rPr>
                        <w:rFonts w:ascii="MS Gothic"/>
                        <w:color w:val="333333"/>
                      </w:rPr>
                      <w:t>&lt;/groupId&gt;</w:t>
                    </w:r>
                  </w:p>
                  <w:p w14:paraId="7A05F8E4" w14:textId="77777777" w:rsidR="00711A16" w:rsidRDefault="00711A16">
                    <w:pPr>
                      <w:spacing w:before="13"/>
                      <w:ind w:left="3280"/>
                      <w:rPr>
                        <w:rFonts w:ascii="MS Gothic"/>
                      </w:rPr>
                    </w:pPr>
                    <w:r>
                      <w:rPr>
                        <w:rFonts w:ascii="MS Gothic"/>
                        <w:color w:val="333333"/>
                      </w:rPr>
                      <w:t>&lt;artifactId&gt;spring-boot-configuration-</w:t>
                    </w:r>
                  </w:p>
                  <w:p w14:paraId="522A2F8C" w14:textId="77777777" w:rsidR="00711A16" w:rsidRDefault="00711A16">
                    <w:pPr>
                      <w:spacing w:before="13"/>
                      <w:ind w:left="200"/>
                      <w:rPr>
                        <w:rFonts w:ascii="MS Gothic"/>
                      </w:rPr>
                    </w:pPr>
                    <w:r>
                      <w:rPr>
                        <w:rFonts w:ascii="MS Gothic"/>
                        <w:color w:val="333333"/>
                      </w:rPr>
                      <w:t>processor&lt;/artifactId&gt;</w:t>
                    </w:r>
                  </w:p>
                  <w:p w14:paraId="376EFD47" w14:textId="77777777" w:rsidR="00711A16" w:rsidRDefault="00711A16">
                    <w:pPr>
                      <w:spacing w:before="13"/>
                      <w:ind w:left="2840"/>
                      <w:rPr>
                        <w:rFonts w:ascii="MS Gothic"/>
                      </w:rPr>
                    </w:pPr>
                    <w:r>
                      <w:rPr>
                        <w:rFonts w:ascii="MS Gothic"/>
                        <w:color w:val="333333"/>
                      </w:rPr>
                      <w:t>&lt;/exclude&gt;</w:t>
                    </w:r>
                  </w:p>
                  <w:p w14:paraId="37F76A74" w14:textId="77777777" w:rsidR="00711A16" w:rsidRDefault="00711A16">
                    <w:pPr>
                      <w:spacing w:before="13"/>
                      <w:ind w:left="2400"/>
                      <w:rPr>
                        <w:rFonts w:ascii="MS Gothic"/>
                      </w:rPr>
                    </w:pPr>
                    <w:r>
                      <w:rPr>
                        <w:rFonts w:ascii="MS Gothic"/>
                        <w:color w:val="333333"/>
                      </w:rPr>
                      <w:t>&lt;/excludes&gt;</w:t>
                    </w:r>
                  </w:p>
                  <w:p w14:paraId="29BBBFEE" w14:textId="77777777" w:rsidR="00711A16" w:rsidRDefault="00711A16">
                    <w:pPr>
                      <w:spacing w:before="13"/>
                      <w:ind w:left="1960"/>
                      <w:rPr>
                        <w:rFonts w:ascii="MS Gothic"/>
                      </w:rPr>
                    </w:pPr>
                    <w:r>
                      <w:rPr>
                        <w:rFonts w:ascii="MS Gothic"/>
                        <w:color w:val="333333"/>
                      </w:rPr>
                      <w:t>&lt;/configuration&gt;</w:t>
                    </w:r>
                  </w:p>
                  <w:p w14:paraId="22BED47F" w14:textId="77777777" w:rsidR="00711A16" w:rsidRDefault="00711A16">
                    <w:pPr>
                      <w:spacing w:before="13"/>
                      <w:ind w:left="1520"/>
                      <w:rPr>
                        <w:rFonts w:ascii="MS Gothic"/>
                      </w:rPr>
                    </w:pPr>
                    <w:r>
                      <w:rPr>
                        <w:rFonts w:ascii="MS Gothic"/>
                        <w:color w:val="333333"/>
                      </w:rPr>
                      <w:t>&lt;/plugin&gt;</w:t>
                    </w:r>
                  </w:p>
                  <w:p w14:paraId="0DEAC71C" w14:textId="77777777" w:rsidR="00711A16" w:rsidRDefault="00711A16">
                    <w:pPr>
                      <w:spacing w:before="13"/>
                      <w:ind w:left="1080"/>
                      <w:rPr>
                        <w:rFonts w:ascii="MS Gothic"/>
                      </w:rPr>
                    </w:pPr>
                    <w:r>
                      <w:rPr>
                        <w:rFonts w:ascii="MS Gothic"/>
                        <w:color w:val="333333"/>
                      </w:rPr>
                      <w:t>&lt;/plugins&gt;</w:t>
                    </w:r>
                  </w:p>
                  <w:p w14:paraId="02E52EC7" w14:textId="77777777" w:rsidR="00711A16" w:rsidRDefault="00711A16">
                    <w:pPr>
                      <w:spacing w:before="12"/>
                      <w:ind w:left="640"/>
                      <w:rPr>
                        <w:rFonts w:ascii="MS Gothic"/>
                      </w:rPr>
                    </w:pPr>
                    <w:r>
                      <w:rPr>
                        <w:rFonts w:ascii="MS Gothic"/>
                        <w:color w:val="333333"/>
                      </w:rPr>
                      <w:t>&lt;/build&gt;</w:t>
                    </w:r>
                  </w:p>
                  <w:p w14:paraId="2D404536" w14:textId="77777777" w:rsidR="00711A16" w:rsidRDefault="00711A16">
                    <w:pPr>
                      <w:spacing w:before="13"/>
                      <w:ind w:left="200"/>
                      <w:rPr>
                        <w:rFonts w:ascii="MS Gothic"/>
                      </w:rPr>
                    </w:pPr>
                    <w:r>
                      <w:rPr>
                        <w:rFonts w:ascii="MS Gothic"/>
                        <w:color w:val="333333"/>
                      </w:rPr>
                      <w:t>&lt;/project&gt;</w:t>
                    </w:r>
                  </w:p>
                </w:txbxContent>
              </v:textbox>
            </v:shape>
            <w10:wrap type="topAndBottom" anchorx="page"/>
          </v:group>
        </w:pict>
      </w:r>
    </w:p>
    <w:p w14:paraId="78CC7099" w14:textId="77777777" w:rsidR="00A720EB" w:rsidRDefault="00A720EB">
      <w:pPr>
        <w:pStyle w:val="a3"/>
        <w:spacing w:before="11"/>
        <w:rPr>
          <w:sz w:val="9"/>
        </w:rPr>
      </w:pPr>
    </w:p>
    <w:p w14:paraId="56088EF3" w14:textId="77777777" w:rsidR="00A720EB" w:rsidRDefault="0030286B">
      <w:pPr>
        <w:pStyle w:val="a3"/>
        <w:spacing w:before="115" w:line="290" w:lineRule="auto"/>
        <w:ind w:left="124"/>
      </w:pPr>
      <w:r>
        <w:rPr>
          <w:color w:val="333333"/>
          <w:w w:val="115"/>
        </w:rPr>
        <w:t>With</w:t>
      </w:r>
      <w:r>
        <w:rPr>
          <w:color w:val="333333"/>
          <w:spacing w:val="-27"/>
          <w:w w:val="115"/>
        </w:rPr>
        <w:t xml:space="preserve"> </w:t>
      </w:r>
      <w:r>
        <w:rPr>
          <w:color w:val="333333"/>
          <w:w w:val="115"/>
        </w:rPr>
        <w:t>Gradle</w:t>
      </w:r>
      <w:r>
        <w:rPr>
          <w:color w:val="333333"/>
          <w:spacing w:val="-27"/>
          <w:w w:val="115"/>
        </w:rPr>
        <w:t xml:space="preserve"> </w:t>
      </w:r>
      <w:r>
        <w:rPr>
          <w:color w:val="333333"/>
          <w:w w:val="115"/>
        </w:rPr>
        <w:t>4.5</w:t>
      </w:r>
      <w:r>
        <w:rPr>
          <w:color w:val="333333"/>
          <w:spacing w:val="-27"/>
          <w:w w:val="115"/>
        </w:rPr>
        <w:t xml:space="preserve"> </w:t>
      </w:r>
      <w:r>
        <w:rPr>
          <w:color w:val="333333"/>
          <w:w w:val="115"/>
        </w:rPr>
        <w:t>and</w:t>
      </w:r>
      <w:r>
        <w:rPr>
          <w:color w:val="333333"/>
          <w:spacing w:val="-27"/>
          <w:w w:val="115"/>
        </w:rPr>
        <w:t xml:space="preserve"> </w:t>
      </w:r>
      <w:r>
        <w:rPr>
          <w:color w:val="333333"/>
          <w:w w:val="115"/>
        </w:rPr>
        <w:t>earlier,</w:t>
      </w:r>
      <w:r>
        <w:rPr>
          <w:color w:val="333333"/>
          <w:spacing w:val="-26"/>
          <w:w w:val="115"/>
        </w:rPr>
        <w:t xml:space="preserve"> </w:t>
      </w:r>
      <w:r>
        <w:rPr>
          <w:color w:val="333333"/>
          <w:w w:val="115"/>
        </w:rPr>
        <w:t>the</w:t>
      </w:r>
      <w:r>
        <w:rPr>
          <w:color w:val="333333"/>
          <w:spacing w:val="-27"/>
          <w:w w:val="115"/>
        </w:rPr>
        <w:t xml:space="preserve"> </w:t>
      </w:r>
      <w:r>
        <w:rPr>
          <w:color w:val="333333"/>
          <w:w w:val="115"/>
        </w:rPr>
        <w:t>dependency</w:t>
      </w:r>
      <w:r>
        <w:rPr>
          <w:color w:val="333333"/>
          <w:spacing w:val="-27"/>
          <w:w w:val="115"/>
        </w:rPr>
        <w:t xml:space="preserve"> </w:t>
      </w:r>
      <w:r>
        <w:rPr>
          <w:color w:val="333333"/>
          <w:w w:val="115"/>
        </w:rPr>
        <w:t>should</w:t>
      </w:r>
      <w:r>
        <w:rPr>
          <w:color w:val="333333"/>
          <w:spacing w:val="-27"/>
          <w:w w:val="115"/>
        </w:rPr>
        <w:t xml:space="preserve"> </w:t>
      </w:r>
      <w:r>
        <w:rPr>
          <w:color w:val="333333"/>
          <w:w w:val="115"/>
        </w:rPr>
        <w:t>be</w:t>
      </w:r>
      <w:r>
        <w:rPr>
          <w:color w:val="333333"/>
          <w:spacing w:val="-27"/>
          <w:w w:val="115"/>
        </w:rPr>
        <w:t xml:space="preserve"> </w:t>
      </w:r>
      <w:r>
        <w:rPr>
          <w:color w:val="333333"/>
          <w:w w:val="115"/>
        </w:rPr>
        <w:t>declared</w:t>
      </w:r>
      <w:r>
        <w:rPr>
          <w:color w:val="333333"/>
          <w:spacing w:val="-26"/>
          <w:w w:val="115"/>
        </w:rPr>
        <w:t xml:space="preserve"> </w:t>
      </w:r>
      <w:r>
        <w:rPr>
          <w:color w:val="333333"/>
          <w:w w:val="115"/>
        </w:rPr>
        <w:t>in</w:t>
      </w:r>
      <w:r>
        <w:rPr>
          <w:color w:val="333333"/>
          <w:spacing w:val="-27"/>
          <w:w w:val="115"/>
        </w:rPr>
        <w:t xml:space="preserve"> </w:t>
      </w:r>
      <w:r>
        <w:rPr>
          <w:color w:val="333333"/>
          <w:w w:val="115"/>
        </w:rPr>
        <w:t>the</w:t>
      </w:r>
      <w:r>
        <w:rPr>
          <w:color w:val="333333"/>
          <w:spacing w:val="-23"/>
          <w:w w:val="115"/>
        </w:rPr>
        <w:t xml:space="preserve"> </w:t>
      </w:r>
      <w:r>
        <w:rPr>
          <w:rFonts w:ascii="MS Gothic"/>
          <w:color w:val="B02045"/>
          <w:w w:val="115"/>
        </w:rPr>
        <w:t>compileOnly</w:t>
      </w:r>
      <w:r>
        <w:rPr>
          <w:rFonts w:ascii="MS Gothic"/>
          <w:color w:val="B02045"/>
          <w:spacing w:val="-95"/>
          <w:w w:val="115"/>
        </w:rPr>
        <w:t xml:space="preserve"> </w:t>
      </w:r>
      <w:r>
        <w:rPr>
          <w:color w:val="333333"/>
          <w:w w:val="115"/>
        </w:rPr>
        <w:t>configuration,</w:t>
      </w:r>
      <w:r>
        <w:rPr>
          <w:color w:val="333333"/>
          <w:spacing w:val="-26"/>
          <w:w w:val="115"/>
        </w:rPr>
        <w:t xml:space="preserve"> </w:t>
      </w:r>
      <w:r>
        <w:rPr>
          <w:color w:val="333333"/>
          <w:w w:val="115"/>
        </w:rPr>
        <w:t>as shown in the following example:</w:t>
      </w:r>
    </w:p>
    <w:p w14:paraId="2160D360" w14:textId="77777777" w:rsidR="00A720EB" w:rsidRDefault="00E10349">
      <w:pPr>
        <w:pStyle w:val="a3"/>
        <w:spacing w:before="8"/>
        <w:rPr>
          <w:sz w:val="14"/>
        </w:rPr>
      </w:pPr>
      <w:r>
        <w:pict w14:anchorId="5D3C8D20">
          <v:group id="_x0000_s1101" style="position:absolute;margin-left:47.85pt;margin-top:10.6pt;width:499.55pt;height:67pt;z-index:-15008256;mso-wrap-distance-left:0;mso-wrap-distance-right:0;mso-position-horizontal-relative:page" coordorigin="957,212" coordsize="9991,1340">
            <v:shape id="_x0000_s1104" style="position:absolute;left:964;top:219;width:9976;height:1325" coordorigin="965,219" coordsize="9976,1325" path="m10861,219r-9816,l1014,226r-26,17l971,268r-6,31l965,1464r6,31l988,1520r26,17l1045,1544r9816,l10892,1537r25,-17l10935,1495r6,-31l10941,299r-6,-31l10917,243r-25,-17l10861,219xe" fillcolor="#f5f5f5" stroked="f">
              <v:path arrowok="t"/>
            </v:shape>
            <v:shape id="_x0000_s1103" style="position:absolute;left:964;top:219;width:9976;height:1325" coordorigin="965,219" coordsize="9976,1325" path="m1045,219r9816,l10892,226r25,17l10935,268r6,31l10941,1464r-6,31l10917,1520r-25,17l10861,1544r-9816,l1014,1537r-26,-17l971,1495r-6,-31l965,299r6,-31l988,243r26,-17l1045,219xe" filled="f" strokecolor="#ccc">
              <v:path arrowok="t"/>
            </v:shape>
            <v:shape id="_x0000_s1102" type="#_x0000_t202" style="position:absolute;left:984;top:234;width:9938;height:1294" filled="f" stroked="f">
              <v:textbox inset="0,0,0,0">
                <w:txbxContent>
                  <w:p w14:paraId="010720C8" w14:textId="77777777" w:rsidR="00711A16" w:rsidRDefault="00711A16">
                    <w:pPr>
                      <w:spacing w:before="221"/>
                      <w:ind w:left="200"/>
                      <w:rPr>
                        <w:rFonts w:ascii="MS Gothic"/>
                      </w:rPr>
                    </w:pPr>
                    <w:r>
                      <w:rPr>
                        <w:rFonts w:ascii="MS Gothic"/>
                        <w:color w:val="333333"/>
                      </w:rPr>
                      <w:t>dependencies {</w:t>
                    </w:r>
                  </w:p>
                  <w:p w14:paraId="0981404C" w14:textId="77777777" w:rsidR="00711A16" w:rsidRDefault="00711A16">
                    <w:pPr>
                      <w:spacing w:before="13"/>
                      <w:ind w:left="640"/>
                      <w:rPr>
                        <w:rFonts w:ascii="MS Gothic"/>
                      </w:rPr>
                    </w:pPr>
                    <w:r>
                      <w:rPr>
                        <w:rFonts w:ascii="MS Gothic"/>
                        <w:color w:val="333333"/>
                      </w:rPr>
                      <w:t>compileOnly "</w:t>
                    </w:r>
                    <w:proofErr w:type="gramStart"/>
                    <w:r>
                      <w:rPr>
                        <w:rFonts w:ascii="MS Gothic"/>
                        <w:color w:val="333333"/>
                      </w:rPr>
                      <w:t>org.springframework</w:t>
                    </w:r>
                    <w:proofErr w:type="gramEnd"/>
                    <w:r>
                      <w:rPr>
                        <w:rFonts w:ascii="MS Gothic"/>
                        <w:color w:val="333333"/>
                      </w:rPr>
                      <w:t>.boot:spring-boot-configuration-processor"</w:t>
                    </w:r>
                  </w:p>
                  <w:p w14:paraId="3E8C5A75"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1A99CE36" w14:textId="77777777" w:rsidR="00A720EB" w:rsidRDefault="00A720EB">
      <w:pPr>
        <w:rPr>
          <w:sz w:val="14"/>
        </w:rPr>
        <w:sectPr w:rsidR="00A720EB">
          <w:pgSz w:w="11910" w:h="16840"/>
          <w:pgMar w:top="620" w:right="840" w:bottom="520" w:left="840" w:header="0" w:footer="198" w:gutter="0"/>
          <w:cols w:space="720"/>
        </w:sectPr>
      </w:pPr>
    </w:p>
    <w:p w14:paraId="1988BA46" w14:textId="77777777" w:rsidR="00A720EB" w:rsidRDefault="0030286B">
      <w:pPr>
        <w:pStyle w:val="a3"/>
        <w:spacing w:before="91"/>
        <w:ind w:left="124"/>
        <w:rPr>
          <w:rFonts w:ascii="MS Gothic"/>
        </w:rPr>
      </w:pPr>
      <w:r>
        <w:rPr>
          <w:color w:val="333333"/>
          <w:w w:val="110"/>
        </w:rPr>
        <w:lastRenderedPageBreak/>
        <w:t xml:space="preserve">With Gradle 4.6 and later, the dependency should be declared in the </w:t>
      </w:r>
      <w:r>
        <w:rPr>
          <w:rFonts w:ascii="MS Gothic"/>
          <w:color w:val="B02045"/>
          <w:w w:val="110"/>
        </w:rPr>
        <w:t>annotationProcessor</w:t>
      </w:r>
    </w:p>
    <w:p w14:paraId="2D5EBBF0" w14:textId="77777777" w:rsidR="00A720EB" w:rsidRDefault="0030286B">
      <w:pPr>
        <w:pStyle w:val="a3"/>
        <w:spacing w:before="57"/>
        <w:ind w:left="124"/>
      </w:pPr>
      <w:r>
        <w:rPr>
          <w:color w:val="333333"/>
          <w:w w:val="110"/>
        </w:rPr>
        <w:t>configuration, as shown in the following example:</w:t>
      </w:r>
    </w:p>
    <w:p w14:paraId="265CBBFB" w14:textId="77777777" w:rsidR="00A720EB" w:rsidRDefault="00E10349">
      <w:pPr>
        <w:pStyle w:val="a3"/>
        <w:rPr>
          <w:sz w:val="19"/>
        </w:rPr>
      </w:pPr>
      <w:r>
        <w:pict w14:anchorId="76FEFF34">
          <v:group id="_x0000_s1097" style="position:absolute;margin-left:47.85pt;margin-top:13.15pt;width:499.55pt;height:67pt;z-index:-15007744;mso-wrap-distance-left:0;mso-wrap-distance-right:0;mso-position-horizontal-relative:page" coordorigin="957,263" coordsize="9991,1340">
            <v:shape id="_x0000_s1100" style="position:absolute;left:964;top:270;width:9976;height:1325" coordorigin="965,270" coordsize="9976,1325" path="m10861,270r-9816,l1014,276r-26,18l971,319r-6,31l965,1515r6,31l988,1571r26,17l1045,1595r9816,l10892,1588r25,-17l10935,1546r6,-31l10941,350r-6,-31l10917,294r-25,-18l10861,270xe" fillcolor="#f5f5f5" stroked="f">
              <v:path arrowok="t"/>
            </v:shape>
            <v:shape id="_x0000_s1099" style="position:absolute;left:964;top:270;width:9976;height:1325" coordorigin="965,270" coordsize="9976,1325" path="m1045,270r9816,l10892,276r25,18l10935,319r6,31l10941,1515r-6,31l10917,1571r-25,17l10861,1595r-9816,l1014,1588r-26,-17l971,1546r-6,-31l965,350r6,-31l988,294r26,-18l1045,270xe" filled="f" strokecolor="#ccc">
              <v:path arrowok="t"/>
            </v:shape>
            <v:shape id="_x0000_s1098" type="#_x0000_t202" style="position:absolute;left:984;top:285;width:9938;height:1294" filled="f" stroked="f">
              <v:textbox inset="0,0,0,0">
                <w:txbxContent>
                  <w:p w14:paraId="59D40469" w14:textId="77777777" w:rsidR="00711A16" w:rsidRDefault="00711A16">
                    <w:pPr>
                      <w:spacing w:before="221"/>
                      <w:ind w:left="200"/>
                      <w:rPr>
                        <w:rFonts w:ascii="MS Gothic"/>
                      </w:rPr>
                    </w:pPr>
                    <w:r>
                      <w:rPr>
                        <w:rFonts w:ascii="MS Gothic"/>
                        <w:color w:val="333333"/>
                      </w:rPr>
                      <w:t>dependencies {</w:t>
                    </w:r>
                  </w:p>
                  <w:p w14:paraId="35BA264F" w14:textId="77777777" w:rsidR="00711A16" w:rsidRDefault="00711A16">
                    <w:pPr>
                      <w:spacing w:before="13"/>
                      <w:ind w:left="640"/>
                      <w:rPr>
                        <w:rFonts w:ascii="MS Gothic"/>
                      </w:rPr>
                    </w:pPr>
                    <w:r>
                      <w:rPr>
                        <w:rFonts w:ascii="MS Gothic"/>
                        <w:color w:val="333333"/>
                      </w:rPr>
                      <w:t>annotationProcessor "</w:t>
                    </w:r>
                    <w:proofErr w:type="gramStart"/>
                    <w:r>
                      <w:rPr>
                        <w:rFonts w:ascii="MS Gothic"/>
                        <w:color w:val="333333"/>
                      </w:rPr>
                      <w:t>org.springframework</w:t>
                    </w:r>
                    <w:proofErr w:type="gramEnd"/>
                    <w:r>
                      <w:rPr>
                        <w:rFonts w:ascii="MS Gothic"/>
                        <w:color w:val="333333"/>
                      </w:rPr>
                      <w:t>.boot:spring-boot-configuration-processor"</w:t>
                    </w:r>
                  </w:p>
                  <w:p w14:paraId="415C6955"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4EA46533" w14:textId="77777777" w:rsidR="00A720EB" w:rsidRDefault="00A720EB">
      <w:pPr>
        <w:pStyle w:val="a3"/>
        <w:spacing w:before="11"/>
        <w:rPr>
          <w:sz w:val="9"/>
        </w:rPr>
      </w:pPr>
    </w:p>
    <w:p w14:paraId="13CB2747" w14:textId="77777777" w:rsidR="00A720EB" w:rsidRDefault="0030286B">
      <w:pPr>
        <w:pStyle w:val="a3"/>
        <w:spacing w:before="115" w:line="280" w:lineRule="auto"/>
        <w:ind w:left="124"/>
      </w:pPr>
      <w:r>
        <w:rPr>
          <w:color w:val="333333"/>
          <w:w w:val="105"/>
        </w:rPr>
        <w:t xml:space="preserve">If you are using an </w:t>
      </w:r>
      <w:r>
        <w:rPr>
          <w:rFonts w:ascii="MS Gothic"/>
          <w:color w:val="B02045"/>
          <w:w w:val="105"/>
        </w:rPr>
        <w:t xml:space="preserve">additional-spring-configuration-metadata.json </w:t>
      </w:r>
      <w:r>
        <w:rPr>
          <w:color w:val="333333"/>
          <w:w w:val="105"/>
        </w:rPr>
        <w:t xml:space="preserve">file, the </w:t>
      </w:r>
      <w:r>
        <w:rPr>
          <w:rFonts w:ascii="MS Gothic"/>
          <w:color w:val="B02045"/>
          <w:w w:val="105"/>
        </w:rPr>
        <w:t xml:space="preserve">compileJava </w:t>
      </w:r>
      <w:r>
        <w:rPr>
          <w:color w:val="333333"/>
          <w:w w:val="105"/>
        </w:rPr>
        <w:t xml:space="preserve">task should </w:t>
      </w:r>
      <w:r>
        <w:rPr>
          <w:color w:val="333333"/>
          <w:w w:val="110"/>
        </w:rPr>
        <w:t xml:space="preserve">be configured to depend on the </w:t>
      </w:r>
      <w:r>
        <w:rPr>
          <w:rFonts w:ascii="MS Gothic"/>
          <w:color w:val="B02045"/>
          <w:w w:val="110"/>
        </w:rPr>
        <w:t>processResources</w:t>
      </w:r>
      <w:r>
        <w:rPr>
          <w:rFonts w:ascii="MS Gothic"/>
          <w:color w:val="B02045"/>
          <w:spacing w:val="-68"/>
          <w:w w:val="110"/>
        </w:rPr>
        <w:t xml:space="preserve"> </w:t>
      </w:r>
      <w:r>
        <w:rPr>
          <w:color w:val="333333"/>
          <w:w w:val="110"/>
        </w:rPr>
        <w:t>task, as shown in the following example:</w:t>
      </w:r>
    </w:p>
    <w:p w14:paraId="73AE88C9" w14:textId="77777777" w:rsidR="00A720EB" w:rsidRDefault="00E10349">
      <w:pPr>
        <w:pStyle w:val="a3"/>
        <w:spacing w:before="1"/>
        <w:rPr>
          <w:sz w:val="14"/>
        </w:rPr>
      </w:pPr>
      <w:r>
        <w:pict w14:anchorId="2F917463">
          <v:group id="_x0000_s1093" style="position:absolute;margin-left:47.85pt;margin-top:10.3pt;width:499.55pt;height:37.5pt;z-index:-15007232;mso-wrap-distance-left:0;mso-wrap-distance-right:0;mso-position-horizontal-relative:page" coordorigin="957,206" coordsize="9991,750">
            <v:shape id="_x0000_s1096" style="position:absolute;left:964;top:213;width:9976;height:735" coordorigin="965,213" coordsize="9976,735" path="m10861,213r-9816,l1014,219r-26,18l971,262r-6,31l965,868r6,31l988,924r26,18l1045,948r9816,l10892,942r25,-18l10935,899r6,-31l10941,293r-6,-31l10917,237r-25,-18l10861,213xe" fillcolor="#f5f5f5" stroked="f">
              <v:path arrowok="t"/>
            </v:shape>
            <v:shape id="_x0000_s1095" style="position:absolute;left:964;top:213;width:9976;height:735" coordorigin="965,213" coordsize="9976,735" path="m1045,213r9816,l10892,219r25,18l10935,262r6,31l10941,868r-6,31l10917,924r-25,18l10861,948r-9816,l1014,942,988,924,971,899r-6,-31l965,293r6,-31l988,237r26,-18l1045,213xe" filled="f" strokecolor="#ccc">
              <v:path arrowok="t"/>
            </v:shape>
            <v:shape id="_x0000_s1094" type="#_x0000_t202" style="position:absolute;left:984;top:228;width:9938;height:704" filled="f" stroked="f">
              <v:textbox inset="0,0,0,0">
                <w:txbxContent>
                  <w:p w14:paraId="23FEBA2B" w14:textId="77777777" w:rsidR="00711A16" w:rsidRDefault="00711A16">
                    <w:pPr>
                      <w:spacing w:before="221"/>
                      <w:ind w:left="200"/>
                      <w:rPr>
                        <w:rFonts w:ascii="MS Gothic"/>
                      </w:rPr>
                    </w:pPr>
                    <w:proofErr w:type="gramStart"/>
                    <w:r>
                      <w:rPr>
                        <w:rFonts w:ascii="MS Gothic"/>
                        <w:color w:val="333333"/>
                      </w:rPr>
                      <w:t>compileJava.inputs.files</w:t>
                    </w:r>
                    <w:proofErr w:type="gramEnd"/>
                    <w:r>
                      <w:rPr>
                        <w:rFonts w:ascii="MS Gothic"/>
                        <w:color w:val="333333"/>
                      </w:rPr>
                      <w:t>(processResources)</w:t>
                    </w:r>
                  </w:p>
                </w:txbxContent>
              </v:textbox>
            </v:shape>
            <w10:wrap type="topAndBottom" anchorx="page"/>
          </v:group>
        </w:pict>
      </w:r>
    </w:p>
    <w:p w14:paraId="09C2777E" w14:textId="77777777" w:rsidR="00A720EB" w:rsidRDefault="00A720EB">
      <w:pPr>
        <w:pStyle w:val="a3"/>
        <w:rPr>
          <w:sz w:val="10"/>
        </w:rPr>
      </w:pPr>
    </w:p>
    <w:p w14:paraId="046EC29E" w14:textId="77777777" w:rsidR="00A720EB" w:rsidRDefault="0030286B">
      <w:pPr>
        <w:pStyle w:val="a3"/>
        <w:spacing w:before="125" w:line="307" w:lineRule="auto"/>
        <w:ind w:left="124" w:right="359"/>
      </w:pPr>
      <w:r>
        <w:rPr>
          <w:color w:val="333333"/>
          <w:w w:val="110"/>
        </w:rPr>
        <w:t>This dependency ensures that the additional metadata is available when the annotation processor runs during compilation.</w:t>
      </w:r>
    </w:p>
    <w:p w14:paraId="282CD076" w14:textId="77777777" w:rsidR="00A720EB" w:rsidRDefault="00A720EB">
      <w:pPr>
        <w:pStyle w:val="a3"/>
        <w:spacing w:before="8"/>
        <w:rPr>
          <w:sz w:val="16"/>
        </w:rPr>
      </w:pPr>
    </w:p>
    <w:p w14:paraId="5A460706" w14:textId="77777777" w:rsidR="00A720EB" w:rsidRDefault="00E10349">
      <w:pPr>
        <w:pStyle w:val="a3"/>
        <w:spacing w:before="126" w:line="297" w:lineRule="auto"/>
        <w:ind w:left="1564" w:right="362"/>
        <w:jc w:val="both"/>
      </w:pPr>
      <w:r>
        <w:pict w14:anchorId="7A2AD599">
          <v:line id="_x0000_s1092" style="position:absolute;left:0;text-align:left;z-index:16451584;mso-position-horizontal-relative:page" from="108.25pt,.3pt" to="108.25pt,240.15pt" strokecolor="#ededed" strokeweight=".5pt">
            <w10:wrap anchorx="page"/>
          </v:line>
        </w:pict>
      </w:r>
      <w:r w:rsidR="0030286B">
        <w:rPr>
          <w:color w:val="333333"/>
          <w:w w:val="110"/>
        </w:rPr>
        <w:t xml:space="preserve">If you are using AspectJ in your project, you need to make sure that the annotation processor runs only once. There are several ways to do this. With Maven, you can configure the </w:t>
      </w:r>
      <w:r w:rsidR="0030286B">
        <w:rPr>
          <w:rFonts w:ascii="MS Gothic"/>
          <w:color w:val="B02045"/>
          <w:w w:val="110"/>
        </w:rPr>
        <w:t xml:space="preserve">maven-apt-plugin </w:t>
      </w:r>
      <w:r w:rsidR="0030286B">
        <w:rPr>
          <w:color w:val="333333"/>
          <w:w w:val="110"/>
        </w:rPr>
        <w:t xml:space="preserve">explicitly and add the dependency to the annotation processor only there. You could also let the AspectJ plugin run all </w:t>
      </w:r>
      <w:proofErr w:type="gramStart"/>
      <w:r w:rsidR="0030286B">
        <w:rPr>
          <w:color w:val="333333"/>
          <w:w w:val="110"/>
        </w:rPr>
        <w:t>the  processing</w:t>
      </w:r>
      <w:proofErr w:type="gramEnd"/>
      <w:r w:rsidR="0030286B">
        <w:rPr>
          <w:color w:val="333333"/>
          <w:w w:val="110"/>
        </w:rPr>
        <w:t xml:space="preserve"> and disable annotation processing in the </w:t>
      </w:r>
      <w:r w:rsidR="0030286B">
        <w:rPr>
          <w:rFonts w:ascii="MS Gothic"/>
          <w:color w:val="B02045"/>
          <w:w w:val="110"/>
        </w:rPr>
        <w:t xml:space="preserve">maven-compiler-plugin </w:t>
      </w:r>
      <w:r w:rsidR="0030286B">
        <w:rPr>
          <w:color w:val="333333"/>
          <w:w w:val="110"/>
        </w:rPr>
        <w:t>configuration, as follows:</w:t>
      </w:r>
    </w:p>
    <w:p w14:paraId="4B8847F2" w14:textId="77777777" w:rsidR="00A720EB" w:rsidRDefault="0030286B">
      <w:pPr>
        <w:pStyle w:val="a3"/>
        <w:spacing w:before="10"/>
        <w:rPr>
          <w:sz w:val="9"/>
        </w:rPr>
      </w:pPr>
      <w:r>
        <w:rPr>
          <w:noProof/>
        </w:rPr>
        <w:drawing>
          <wp:anchor distT="0" distB="0" distL="0" distR="0" simplePos="0" relativeHeight="1410" behindDoc="0" locked="0" layoutInCell="1" allowOverlap="1" wp14:anchorId="58515467" wp14:editId="431FDD24">
            <wp:simplePos x="0" y="0"/>
            <wp:positionH relativeFrom="page">
              <wp:posOffset>844422</wp:posOffset>
            </wp:positionH>
            <wp:positionV relativeFrom="paragraph">
              <wp:posOffset>98624</wp:posOffset>
            </wp:positionV>
            <wp:extent cx="295465" cy="295465"/>
            <wp:effectExtent l="0" t="0" r="0" b="0"/>
            <wp:wrapTopAndBottom/>
            <wp:docPr id="8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1.png"/>
                    <pic:cNvPicPr/>
                  </pic:nvPicPr>
                  <pic:blipFill>
                    <a:blip r:embed="rId24" cstate="print"/>
                    <a:stretch>
                      <a:fillRect/>
                    </a:stretch>
                  </pic:blipFill>
                  <pic:spPr>
                    <a:xfrm>
                      <a:off x="0" y="0"/>
                      <a:ext cx="295465" cy="295465"/>
                    </a:xfrm>
                    <a:prstGeom prst="rect">
                      <a:avLst/>
                    </a:prstGeom>
                  </pic:spPr>
                </pic:pic>
              </a:graphicData>
            </a:graphic>
          </wp:anchor>
        </w:drawing>
      </w:r>
      <w:r w:rsidR="00E10349">
        <w:pict w14:anchorId="3873933B">
          <v:group id="_x0000_s1088" style="position:absolute;margin-left:119.85pt;margin-top:9.9pt;width:415.55pt;height:125.95pt;z-index:-15006208;mso-wrap-distance-left:0;mso-wrap-distance-right:0;mso-position-horizontal-relative:page;mso-position-vertical-relative:text" coordorigin="2397,198" coordsize="8311,2519">
            <v:shape id="_x0000_s1091" style="position:absolute;left:2404;top:205;width:8296;height:2504" coordorigin="2405,205" coordsize="8296,2504" path="m10621,205r-8136,l2454,212r-26,17l2411,254r-6,31l2405,2629r6,31l2428,2685r26,18l2485,2709r8136,l10652,2703r25,-18l10695,2660r6,-31l10701,285r-6,-31l10677,229r-25,-17l10621,205xe" fillcolor="#f5f5f5" stroked="f">
              <v:path arrowok="t"/>
            </v:shape>
            <v:shape id="_x0000_s1090" style="position:absolute;left:2404;top:205;width:8296;height:2504" coordorigin="2405,205" coordsize="8296,2504" path="m2485,205r8136,l10652,212r25,17l10695,254r6,31l10701,2629r-6,31l10677,2685r-25,18l10621,2709r-8136,l2454,2703r-26,-18l2411,2660r-6,-31l2405,285r6,-31l2428,229r26,-17l2485,205xe" filled="f" strokecolor="#ccc">
              <v:path arrowok="t"/>
            </v:shape>
            <v:shape id="_x0000_s1089" type="#_x0000_t202" style="position:absolute;left:2424;top:220;width:8258;height:2473" filled="f" stroked="f">
              <v:textbox inset="0,0,0,0">
                <w:txbxContent>
                  <w:p w14:paraId="66330DEF" w14:textId="77777777" w:rsidR="00711A16" w:rsidRDefault="00711A16">
                    <w:pPr>
                      <w:spacing w:before="221"/>
                      <w:ind w:left="200"/>
                      <w:rPr>
                        <w:rFonts w:ascii="MS Gothic"/>
                      </w:rPr>
                    </w:pPr>
                    <w:r>
                      <w:rPr>
                        <w:rFonts w:ascii="MS Gothic"/>
                        <w:color w:val="333333"/>
                      </w:rPr>
                      <w:t>&lt;plugin&gt;</w:t>
                    </w:r>
                  </w:p>
                  <w:p w14:paraId="4FAA7C3D" w14:textId="77777777" w:rsidR="00711A16" w:rsidRDefault="00711A16">
                    <w:pPr>
                      <w:spacing w:before="13"/>
                      <w:ind w:left="640"/>
                      <w:rPr>
                        <w:rFonts w:ascii="MS Gothic"/>
                      </w:rPr>
                    </w:pPr>
                    <w:proofErr w:type="gramStart"/>
                    <w:r>
                      <w:rPr>
                        <w:rFonts w:ascii="MS Gothic"/>
                        <w:color w:val="333333"/>
                      </w:rPr>
                      <w:t>&lt;groupId&gt;org.apache.maven</w:t>
                    </w:r>
                    <w:proofErr w:type="gramEnd"/>
                    <w:r>
                      <w:rPr>
                        <w:rFonts w:ascii="MS Gothic"/>
                        <w:color w:val="333333"/>
                      </w:rPr>
                      <w:t>.plugins&lt;/groupId&gt;</w:t>
                    </w:r>
                  </w:p>
                  <w:p w14:paraId="5A6D1802" w14:textId="77777777" w:rsidR="00711A16" w:rsidRDefault="00711A16">
                    <w:pPr>
                      <w:spacing w:before="13"/>
                      <w:ind w:left="640"/>
                      <w:rPr>
                        <w:rFonts w:ascii="MS Gothic"/>
                      </w:rPr>
                    </w:pPr>
                    <w:r>
                      <w:rPr>
                        <w:rFonts w:ascii="MS Gothic"/>
                        <w:color w:val="333333"/>
                      </w:rPr>
                      <w:t>&lt;artifactId&gt;maven-compiler-plugin&lt;/artifactId&gt;</w:t>
                    </w:r>
                  </w:p>
                  <w:p w14:paraId="263EFB7D" w14:textId="77777777" w:rsidR="00711A16" w:rsidRDefault="00711A16">
                    <w:pPr>
                      <w:spacing w:before="13"/>
                      <w:ind w:left="640"/>
                      <w:rPr>
                        <w:rFonts w:ascii="MS Gothic"/>
                      </w:rPr>
                    </w:pPr>
                    <w:r>
                      <w:rPr>
                        <w:rFonts w:ascii="MS Gothic"/>
                        <w:color w:val="333333"/>
                      </w:rPr>
                      <w:t>&lt;configuration&gt;</w:t>
                    </w:r>
                  </w:p>
                  <w:p w14:paraId="5942C06D" w14:textId="77777777" w:rsidR="00711A16" w:rsidRDefault="00711A16">
                    <w:pPr>
                      <w:spacing w:before="12"/>
                      <w:ind w:left="1080"/>
                      <w:rPr>
                        <w:rFonts w:ascii="MS Gothic"/>
                      </w:rPr>
                    </w:pPr>
                    <w:r>
                      <w:rPr>
                        <w:rFonts w:ascii="MS Gothic"/>
                        <w:color w:val="333333"/>
                      </w:rPr>
                      <w:t>&lt;proc&gt;none&lt;/proc&gt;</w:t>
                    </w:r>
                  </w:p>
                  <w:p w14:paraId="70DD0384" w14:textId="77777777" w:rsidR="00711A16" w:rsidRDefault="00711A16">
                    <w:pPr>
                      <w:spacing w:before="13"/>
                      <w:ind w:left="640"/>
                      <w:rPr>
                        <w:rFonts w:ascii="MS Gothic"/>
                      </w:rPr>
                    </w:pPr>
                    <w:r>
                      <w:rPr>
                        <w:rFonts w:ascii="MS Gothic"/>
                        <w:color w:val="333333"/>
                      </w:rPr>
                      <w:t>&lt;/configuration&gt;</w:t>
                    </w:r>
                  </w:p>
                  <w:p w14:paraId="69DCCAB3" w14:textId="77777777" w:rsidR="00711A16" w:rsidRDefault="00711A16">
                    <w:pPr>
                      <w:spacing w:before="13"/>
                      <w:ind w:left="200"/>
                      <w:rPr>
                        <w:rFonts w:ascii="MS Gothic"/>
                      </w:rPr>
                    </w:pPr>
                    <w:r>
                      <w:rPr>
                        <w:rFonts w:ascii="MS Gothic"/>
                        <w:color w:val="333333"/>
                      </w:rPr>
                      <w:t>&lt;/plugin&gt;</w:t>
                    </w:r>
                  </w:p>
                </w:txbxContent>
              </v:textbox>
            </v:shape>
            <w10:wrap type="topAndBottom" anchorx="page"/>
          </v:group>
        </w:pict>
      </w:r>
    </w:p>
    <w:p w14:paraId="463CF5CA" w14:textId="77777777" w:rsidR="00A720EB" w:rsidRDefault="00A720EB">
      <w:pPr>
        <w:pStyle w:val="a3"/>
        <w:spacing w:before="7"/>
        <w:rPr>
          <w:sz w:val="32"/>
        </w:rPr>
      </w:pPr>
    </w:p>
    <w:p w14:paraId="2BAE2F49" w14:textId="77777777" w:rsidR="00A720EB" w:rsidRDefault="0030286B">
      <w:pPr>
        <w:pStyle w:val="4"/>
      </w:pPr>
      <w:bookmarkStart w:id="1070" w:name="Automatic_Metadata_Generation"/>
      <w:bookmarkEnd w:id="1070"/>
      <w:r>
        <w:rPr>
          <w:color w:val="333333"/>
          <w:w w:val="110"/>
        </w:rPr>
        <w:t>Automatic Metadata Generation</w:t>
      </w:r>
    </w:p>
    <w:p w14:paraId="5458C262" w14:textId="77777777" w:rsidR="00A720EB" w:rsidRDefault="0030286B">
      <w:pPr>
        <w:pStyle w:val="a3"/>
        <w:spacing w:before="244"/>
        <w:ind w:left="124"/>
        <w:jc w:val="both"/>
      </w:pPr>
      <w:r>
        <w:rPr>
          <w:color w:val="333333"/>
          <w:w w:val="110"/>
        </w:rPr>
        <w:t xml:space="preserve">The processor picks up both classes and methods that are annotated with </w:t>
      </w:r>
      <w:r>
        <w:rPr>
          <w:rFonts w:ascii="MS Gothic"/>
          <w:color w:val="B02045"/>
          <w:w w:val="110"/>
        </w:rPr>
        <w:t>@ConfigurationProperties</w:t>
      </w:r>
      <w:r>
        <w:rPr>
          <w:color w:val="333333"/>
          <w:w w:val="110"/>
        </w:rPr>
        <w:t>.</w:t>
      </w:r>
    </w:p>
    <w:p w14:paraId="6C2612A6" w14:textId="77777777" w:rsidR="00A720EB" w:rsidRDefault="00A720EB">
      <w:pPr>
        <w:pStyle w:val="a3"/>
        <w:spacing w:before="5"/>
        <w:rPr>
          <w:sz w:val="24"/>
        </w:rPr>
      </w:pPr>
    </w:p>
    <w:p w14:paraId="0BA65D79" w14:textId="77777777" w:rsidR="00A720EB" w:rsidRDefault="0030286B">
      <w:pPr>
        <w:pStyle w:val="a3"/>
        <w:spacing w:line="300" w:lineRule="auto"/>
        <w:ind w:left="124" w:right="126"/>
        <w:jc w:val="both"/>
      </w:pPr>
      <w:r>
        <w:rPr>
          <w:color w:val="333333"/>
          <w:w w:val="110"/>
        </w:rPr>
        <w:t xml:space="preserve">If the class is also annotated with </w:t>
      </w:r>
      <w:r>
        <w:rPr>
          <w:rFonts w:ascii="MS Gothic"/>
          <w:color w:val="B02045"/>
          <w:w w:val="110"/>
        </w:rPr>
        <w:t>@ConstructorBinding</w:t>
      </w:r>
      <w:r>
        <w:rPr>
          <w:color w:val="333333"/>
          <w:w w:val="110"/>
        </w:rPr>
        <w:t xml:space="preserve">, a single constructor is expected and </w:t>
      </w:r>
      <w:proofErr w:type="gramStart"/>
      <w:r>
        <w:rPr>
          <w:color w:val="333333"/>
          <w:w w:val="110"/>
        </w:rPr>
        <w:t>one  property</w:t>
      </w:r>
      <w:proofErr w:type="gramEnd"/>
      <w:r>
        <w:rPr>
          <w:color w:val="333333"/>
          <w:w w:val="110"/>
        </w:rPr>
        <w:t xml:space="preserve"> is created per constructor parameter. Otherwise, properties are discovered through the presence of standard getters and setters with special handling for collection and map types (that is detected even if only a getter is present). The annotation processor also supports the use of </w:t>
      </w:r>
      <w:proofErr w:type="gramStart"/>
      <w:r>
        <w:rPr>
          <w:color w:val="333333"/>
          <w:w w:val="110"/>
        </w:rPr>
        <w:t xml:space="preserve">the  </w:t>
      </w:r>
      <w:r>
        <w:rPr>
          <w:rFonts w:ascii="MS Gothic"/>
          <w:color w:val="B02045"/>
          <w:w w:val="110"/>
        </w:rPr>
        <w:t>@</w:t>
      </w:r>
      <w:proofErr w:type="gramEnd"/>
      <w:r>
        <w:rPr>
          <w:rFonts w:ascii="MS Gothic"/>
          <w:color w:val="B02045"/>
          <w:w w:val="110"/>
        </w:rPr>
        <w:t>Data</w:t>
      </w:r>
      <w:r>
        <w:rPr>
          <w:color w:val="333333"/>
          <w:w w:val="110"/>
        </w:rPr>
        <w:t xml:space="preserve">, </w:t>
      </w:r>
      <w:r>
        <w:rPr>
          <w:rFonts w:ascii="MS Gothic"/>
          <w:color w:val="B02045"/>
          <w:w w:val="110"/>
        </w:rPr>
        <w:t>@Getter</w:t>
      </w:r>
      <w:r>
        <w:rPr>
          <w:color w:val="333333"/>
          <w:w w:val="110"/>
        </w:rPr>
        <w:t xml:space="preserve">, and </w:t>
      </w:r>
      <w:r>
        <w:rPr>
          <w:rFonts w:ascii="MS Gothic"/>
          <w:color w:val="B02045"/>
          <w:w w:val="110"/>
        </w:rPr>
        <w:t>@Setter</w:t>
      </w:r>
      <w:r>
        <w:rPr>
          <w:rFonts w:ascii="MS Gothic"/>
          <w:color w:val="B02045"/>
          <w:spacing w:val="-56"/>
          <w:w w:val="110"/>
        </w:rPr>
        <w:t xml:space="preserve"> </w:t>
      </w:r>
      <w:r>
        <w:rPr>
          <w:color w:val="333333"/>
          <w:w w:val="110"/>
        </w:rPr>
        <w:t>lombok annotations.</w:t>
      </w:r>
    </w:p>
    <w:p w14:paraId="085CA57B" w14:textId="77777777" w:rsidR="00A720EB" w:rsidRDefault="0030286B">
      <w:pPr>
        <w:pStyle w:val="a3"/>
        <w:spacing w:before="233"/>
        <w:ind w:left="124"/>
        <w:jc w:val="both"/>
      </w:pPr>
      <w:r>
        <w:rPr>
          <w:color w:val="333333"/>
          <w:w w:val="110"/>
        </w:rPr>
        <w:t>Consider the following example:</w:t>
      </w:r>
    </w:p>
    <w:p w14:paraId="65450DD6" w14:textId="77777777" w:rsidR="00A720EB" w:rsidRDefault="00A720EB">
      <w:pPr>
        <w:jc w:val="both"/>
        <w:sectPr w:rsidR="00A720EB">
          <w:pgSz w:w="11910" w:h="16840"/>
          <w:pgMar w:top="640" w:right="840" w:bottom="520" w:left="840" w:header="0" w:footer="198" w:gutter="0"/>
          <w:cols w:space="720"/>
        </w:sectPr>
      </w:pPr>
    </w:p>
    <w:p w14:paraId="2530C6C0" w14:textId="77777777" w:rsidR="00A720EB" w:rsidRDefault="00E10349">
      <w:pPr>
        <w:pStyle w:val="a3"/>
        <w:ind w:left="116"/>
        <w:rPr>
          <w:sz w:val="20"/>
        </w:rPr>
      </w:pPr>
      <w:r>
        <w:rPr>
          <w:sz w:val="20"/>
        </w:rPr>
      </w:r>
      <w:r>
        <w:rPr>
          <w:sz w:val="20"/>
        </w:rPr>
        <w:pict w14:anchorId="7EC038DF">
          <v:group id="_x0000_s1084" style="width:499.55pt;height:332.3pt;mso-position-horizontal-relative:char;mso-position-vertical-relative:line" coordsize="9991,6646">
            <v:shape id="_x0000_s1087" style="position:absolute;left:7;top:7;width:9976;height:6631" coordorigin="8,8" coordsize="9976,6631" path="m9904,8l88,8,56,14,31,31,14,56,8,88r,6470l14,6589r17,26l56,6632r32,6l9904,6638r31,-6l9960,6615r17,-26l9984,6558r,-6470l9977,56,9960,31,9935,14,9904,8xe" fillcolor="#f5f5f5" stroked="f">
              <v:path arrowok="t"/>
            </v:shape>
            <v:shape id="_x0000_s1086" style="position:absolute;left:7;top:7;width:9976;height:6631" coordorigin="8,8" coordsize="9976,6631" path="m88,8r9816,l9935,14r25,17l9977,56r7,32l9984,6558r-7,31l9960,6615r-25,17l9904,6638r-9816,l56,6632,31,6615,14,6589,8,6558,8,88,14,56,31,31,56,14,88,8xe" filled="f" strokecolor="#ccc">
              <v:path arrowok="t"/>
            </v:shape>
            <v:shape id="_x0000_s1085" type="#_x0000_t202" style="position:absolute;left:26;top:22;width:9938;height:6600" filled="f" stroked="f">
              <v:textbox inset="0,0,0,0">
                <w:txbxContent>
                  <w:p w14:paraId="32C71EDF" w14:textId="77777777" w:rsidR="00711A16" w:rsidRDefault="00711A16">
                    <w:pPr>
                      <w:spacing w:before="221" w:line="252" w:lineRule="auto"/>
                      <w:ind w:left="200" w:right="5208"/>
                      <w:rPr>
                        <w:rFonts w:ascii="MS Gothic"/>
                      </w:rPr>
                    </w:pPr>
                    <w:r>
                      <w:rPr>
                        <w:rFonts w:ascii="MS Gothic"/>
                        <w:color w:val="333333"/>
                      </w:rPr>
                      <w:t>@ConfigurationProperties(prefix="server") public class ServerProperties {</w:t>
                    </w:r>
                  </w:p>
                  <w:p w14:paraId="1BF823CF" w14:textId="77777777" w:rsidR="00711A16" w:rsidRDefault="00711A16">
                    <w:pPr>
                      <w:spacing w:before="10"/>
                      <w:rPr>
                        <w:rFonts w:ascii="MS Gothic"/>
                      </w:rPr>
                    </w:pPr>
                  </w:p>
                  <w:p w14:paraId="19828B07" w14:textId="77777777" w:rsidR="00711A16" w:rsidRDefault="00711A16">
                    <w:pPr>
                      <w:ind w:left="640"/>
                      <w:rPr>
                        <w:rFonts w:ascii="MS Gothic"/>
                      </w:rPr>
                    </w:pPr>
                    <w:r>
                      <w:rPr>
                        <w:rFonts w:ascii="MS Gothic"/>
                        <w:color w:val="333333"/>
                      </w:rPr>
                      <w:t>/**</w:t>
                    </w:r>
                  </w:p>
                  <w:p w14:paraId="401C4251" w14:textId="77777777" w:rsidR="00711A16" w:rsidRDefault="00711A16">
                    <w:pPr>
                      <w:numPr>
                        <w:ilvl w:val="0"/>
                        <w:numId w:val="7"/>
                      </w:numPr>
                      <w:tabs>
                        <w:tab w:val="left" w:pos="861"/>
                      </w:tabs>
                      <w:spacing w:before="13"/>
                      <w:ind w:hanging="221"/>
                      <w:rPr>
                        <w:rFonts w:ascii="MS Gothic"/>
                      </w:rPr>
                    </w:pPr>
                    <w:r>
                      <w:rPr>
                        <w:rFonts w:ascii="MS Gothic"/>
                        <w:color w:val="333333"/>
                      </w:rPr>
                      <w:t>Name of the server.</w:t>
                    </w:r>
                  </w:p>
                  <w:p w14:paraId="1728EECD" w14:textId="77777777" w:rsidR="00711A16" w:rsidRDefault="00711A16">
                    <w:pPr>
                      <w:spacing w:before="13"/>
                      <w:ind w:left="640"/>
                      <w:rPr>
                        <w:rFonts w:ascii="MS Gothic"/>
                      </w:rPr>
                    </w:pPr>
                    <w:r>
                      <w:rPr>
                        <w:rFonts w:ascii="MS Gothic"/>
                        <w:color w:val="333333"/>
                      </w:rPr>
                      <w:t>*/</w:t>
                    </w:r>
                  </w:p>
                  <w:p w14:paraId="185DEBFE" w14:textId="77777777" w:rsidR="00711A16" w:rsidRDefault="00711A16">
                    <w:pPr>
                      <w:spacing w:before="13"/>
                      <w:ind w:left="640"/>
                      <w:rPr>
                        <w:rFonts w:ascii="MS Gothic"/>
                      </w:rPr>
                    </w:pPr>
                    <w:r>
                      <w:rPr>
                        <w:rFonts w:ascii="MS Gothic"/>
                        <w:color w:val="333333"/>
                      </w:rPr>
                      <w:t>private String name;</w:t>
                    </w:r>
                  </w:p>
                  <w:p w14:paraId="6633279E" w14:textId="77777777" w:rsidR="00711A16" w:rsidRDefault="00711A16">
                    <w:pPr>
                      <w:rPr>
                        <w:rFonts w:ascii="MS Gothic"/>
                        <w:sz w:val="24"/>
                      </w:rPr>
                    </w:pPr>
                  </w:p>
                  <w:p w14:paraId="5383C904" w14:textId="77777777" w:rsidR="00711A16" w:rsidRDefault="00711A16">
                    <w:pPr>
                      <w:ind w:left="640"/>
                      <w:rPr>
                        <w:rFonts w:ascii="MS Gothic"/>
                      </w:rPr>
                    </w:pPr>
                    <w:r>
                      <w:rPr>
                        <w:rFonts w:ascii="MS Gothic"/>
                        <w:color w:val="333333"/>
                      </w:rPr>
                      <w:t>/**</w:t>
                    </w:r>
                  </w:p>
                  <w:p w14:paraId="01C37885" w14:textId="77777777" w:rsidR="00711A16" w:rsidRDefault="00711A16">
                    <w:pPr>
                      <w:spacing w:before="13"/>
                      <w:ind w:left="750"/>
                      <w:rPr>
                        <w:rFonts w:ascii="MS Gothic"/>
                      </w:rPr>
                    </w:pPr>
                    <w:r>
                      <w:rPr>
                        <w:rFonts w:ascii="MS Gothic"/>
                        <w:color w:val="333333"/>
                      </w:rPr>
                      <w:t>* IP address to listen to.</w:t>
                    </w:r>
                  </w:p>
                  <w:p w14:paraId="42F34688" w14:textId="77777777" w:rsidR="00711A16" w:rsidRDefault="00711A16">
                    <w:pPr>
                      <w:spacing w:before="13"/>
                      <w:ind w:left="750"/>
                      <w:rPr>
                        <w:rFonts w:ascii="MS Gothic"/>
                      </w:rPr>
                    </w:pPr>
                    <w:r>
                      <w:rPr>
                        <w:rFonts w:ascii="MS Gothic"/>
                        <w:color w:val="333333"/>
                      </w:rPr>
                      <w:t>*/</w:t>
                    </w:r>
                  </w:p>
                  <w:p w14:paraId="09E59C70" w14:textId="77777777" w:rsidR="00711A16" w:rsidRDefault="00711A16">
                    <w:pPr>
                      <w:spacing w:before="13"/>
                      <w:ind w:left="640"/>
                      <w:rPr>
                        <w:rFonts w:ascii="MS Gothic"/>
                      </w:rPr>
                    </w:pPr>
                    <w:r>
                      <w:rPr>
                        <w:rFonts w:ascii="MS Gothic"/>
                        <w:color w:val="333333"/>
                      </w:rPr>
                      <w:t>private String ip = "127.0.0.1";</w:t>
                    </w:r>
                  </w:p>
                  <w:p w14:paraId="48AF34AD" w14:textId="77777777" w:rsidR="00711A16" w:rsidRDefault="00711A16">
                    <w:pPr>
                      <w:rPr>
                        <w:rFonts w:ascii="MS Gothic"/>
                        <w:sz w:val="24"/>
                      </w:rPr>
                    </w:pPr>
                  </w:p>
                  <w:p w14:paraId="0484AF56" w14:textId="77777777" w:rsidR="00711A16" w:rsidRDefault="00711A16">
                    <w:pPr>
                      <w:ind w:left="640"/>
                      <w:rPr>
                        <w:rFonts w:ascii="MS Gothic"/>
                      </w:rPr>
                    </w:pPr>
                    <w:r>
                      <w:rPr>
                        <w:rFonts w:ascii="MS Gothic"/>
                        <w:color w:val="333333"/>
                      </w:rPr>
                      <w:t>/**</w:t>
                    </w:r>
                  </w:p>
                  <w:p w14:paraId="71472B97" w14:textId="77777777" w:rsidR="00711A16" w:rsidRDefault="00711A16">
                    <w:pPr>
                      <w:numPr>
                        <w:ilvl w:val="0"/>
                        <w:numId w:val="7"/>
                      </w:numPr>
                      <w:tabs>
                        <w:tab w:val="left" w:pos="861"/>
                      </w:tabs>
                      <w:spacing w:before="13"/>
                      <w:ind w:hanging="221"/>
                      <w:rPr>
                        <w:rFonts w:ascii="MS Gothic"/>
                      </w:rPr>
                    </w:pPr>
                    <w:r>
                      <w:rPr>
                        <w:rFonts w:ascii="MS Gothic"/>
                        <w:color w:val="333333"/>
                      </w:rPr>
                      <w:t>Port to listener to.</w:t>
                    </w:r>
                  </w:p>
                  <w:p w14:paraId="52602648" w14:textId="77777777" w:rsidR="00711A16" w:rsidRDefault="00711A16">
                    <w:pPr>
                      <w:spacing w:before="13"/>
                      <w:ind w:left="640"/>
                      <w:rPr>
                        <w:rFonts w:ascii="MS Gothic"/>
                      </w:rPr>
                    </w:pPr>
                    <w:r>
                      <w:rPr>
                        <w:rFonts w:ascii="MS Gothic"/>
                        <w:color w:val="333333"/>
                      </w:rPr>
                      <w:t>*/</w:t>
                    </w:r>
                  </w:p>
                  <w:p w14:paraId="4DA97DAF" w14:textId="77777777" w:rsidR="00711A16" w:rsidRDefault="00711A16">
                    <w:pPr>
                      <w:spacing w:before="13"/>
                      <w:ind w:left="640"/>
                      <w:rPr>
                        <w:rFonts w:ascii="MS Gothic"/>
                      </w:rPr>
                    </w:pPr>
                    <w:r>
                      <w:rPr>
                        <w:rFonts w:ascii="MS Gothic"/>
                        <w:color w:val="333333"/>
                      </w:rPr>
                      <w:t>private int port = 9797;</w:t>
                    </w:r>
                  </w:p>
                  <w:p w14:paraId="7A478121" w14:textId="77777777" w:rsidR="00711A16" w:rsidRDefault="00711A16">
                    <w:pPr>
                      <w:rPr>
                        <w:rFonts w:ascii="MS Gothic"/>
                        <w:sz w:val="24"/>
                      </w:rPr>
                    </w:pPr>
                  </w:p>
                  <w:p w14:paraId="2431D809" w14:textId="77777777" w:rsidR="00711A16" w:rsidRDefault="00711A16">
                    <w:pPr>
                      <w:ind w:left="640"/>
                      <w:rPr>
                        <w:rFonts w:ascii="MS Gothic"/>
                      </w:rPr>
                    </w:pPr>
                    <w:r>
                      <w:rPr>
                        <w:rFonts w:ascii="MS Gothic"/>
                        <w:color w:val="333333"/>
                      </w:rPr>
                      <w:t>// ... getter and setters</w:t>
                    </w:r>
                  </w:p>
                  <w:p w14:paraId="27398D4A" w14:textId="77777777" w:rsidR="00711A16" w:rsidRDefault="00711A16">
                    <w:pPr>
                      <w:rPr>
                        <w:rFonts w:ascii="MS Gothic"/>
                        <w:sz w:val="24"/>
                      </w:rPr>
                    </w:pPr>
                  </w:p>
                  <w:p w14:paraId="65EE1650" w14:textId="77777777" w:rsidR="00711A16" w:rsidRDefault="00711A16">
                    <w:pPr>
                      <w:spacing w:before="1"/>
                      <w:ind w:left="200"/>
                      <w:rPr>
                        <w:rFonts w:ascii="MS Gothic"/>
                      </w:rPr>
                    </w:pPr>
                    <w:r>
                      <w:rPr>
                        <w:rFonts w:ascii="MS Gothic"/>
                        <w:color w:val="333333"/>
                      </w:rPr>
                      <w:t>}</w:t>
                    </w:r>
                  </w:p>
                </w:txbxContent>
              </v:textbox>
            </v:shape>
            <w10:anchorlock/>
          </v:group>
        </w:pict>
      </w:r>
    </w:p>
    <w:p w14:paraId="5B457ED4" w14:textId="77777777" w:rsidR="00A720EB" w:rsidRDefault="00A720EB">
      <w:pPr>
        <w:pStyle w:val="a3"/>
        <w:spacing w:before="1"/>
        <w:rPr>
          <w:sz w:val="9"/>
        </w:rPr>
      </w:pPr>
    </w:p>
    <w:p w14:paraId="141F6502" w14:textId="77777777" w:rsidR="00A720EB" w:rsidRDefault="0030286B">
      <w:pPr>
        <w:pStyle w:val="a3"/>
        <w:spacing w:before="115" w:line="280" w:lineRule="auto"/>
        <w:ind w:left="124" w:right="122"/>
        <w:jc w:val="both"/>
      </w:pPr>
      <w:r>
        <w:rPr>
          <w:color w:val="333333"/>
          <w:w w:val="110"/>
        </w:rPr>
        <w:t xml:space="preserve">This exposes three properties where </w:t>
      </w:r>
      <w:r>
        <w:rPr>
          <w:rFonts w:ascii="MS Gothic"/>
          <w:color w:val="B02045"/>
          <w:w w:val="110"/>
        </w:rPr>
        <w:t xml:space="preserve">server.name </w:t>
      </w:r>
      <w:r>
        <w:rPr>
          <w:color w:val="333333"/>
          <w:w w:val="110"/>
        </w:rPr>
        <w:t xml:space="preserve">has no default and </w:t>
      </w:r>
      <w:proofErr w:type="gramStart"/>
      <w:r>
        <w:rPr>
          <w:rFonts w:ascii="MS Gothic"/>
          <w:color w:val="B02045"/>
          <w:w w:val="110"/>
        </w:rPr>
        <w:t>server.ip</w:t>
      </w:r>
      <w:proofErr w:type="gramEnd"/>
      <w:r>
        <w:rPr>
          <w:rFonts w:ascii="MS Gothic"/>
          <w:color w:val="B02045"/>
          <w:w w:val="110"/>
        </w:rPr>
        <w:t xml:space="preserve"> </w:t>
      </w:r>
      <w:r>
        <w:rPr>
          <w:color w:val="333333"/>
          <w:w w:val="110"/>
        </w:rPr>
        <w:t xml:space="preserve">and </w:t>
      </w:r>
      <w:r>
        <w:rPr>
          <w:rFonts w:ascii="MS Gothic"/>
          <w:color w:val="B02045"/>
          <w:w w:val="110"/>
        </w:rPr>
        <w:t xml:space="preserve">server.port </w:t>
      </w:r>
      <w:r>
        <w:rPr>
          <w:color w:val="333333"/>
          <w:w w:val="110"/>
        </w:rPr>
        <w:t xml:space="preserve">defaults to </w:t>
      </w:r>
      <w:r>
        <w:rPr>
          <w:rFonts w:ascii="MS Gothic"/>
          <w:color w:val="B02045"/>
          <w:w w:val="110"/>
        </w:rPr>
        <w:t xml:space="preserve">"127.0.0.1" </w:t>
      </w:r>
      <w:r>
        <w:rPr>
          <w:color w:val="333333"/>
          <w:w w:val="110"/>
        </w:rPr>
        <w:t xml:space="preserve">and </w:t>
      </w:r>
      <w:r>
        <w:rPr>
          <w:rFonts w:ascii="MS Gothic"/>
          <w:color w:val="B02045"/>
          <w:w w:val="110"/>
        </w:rPr>
        <w:t xml:space="preserve">9797 </w:t>
      </w:r>
      <w:r>
        <w:rPr>
          <w:color w:val="333333"/>
          <w:spacing w:val="-3"/>
          <w:w w:val="110"/>
        </w:rPr>
        <w:t xml:space="preserve">respectively. </w:t>
      </w:r>
      <w:r>
        <w:rPr>
          <w:color w:val="333333"/>
          <w:w w:val="110"/>
        </w:rPr>
        <w:t xml:space="preserve">The Javadoc on fields is used to populate the </w:t>
      </w:r>
      <w:r>
        <w:rPr>
          <w:rFonts w:ascii="MS Gothic"/>
          <w:color w:val="B02045"/>
          <w:w w:val="110"/>
        </w:rPr>
        <w:t>description</w:t>
      </w:r>
      <w:r>
        <w:rPr>
          <w:rFonts w:ascii="MS Gothic"/>
          <w:color w:val="B02045"/>
          <w:spacing w:val="-69"/>
          <w:w w:val="110"/>
        </w:rPr>
        <w:t xml:space="preserve"> </w:t>
      </w:r>
      <w:r>
        <w:rPr>
          <w:color w:val="333333"/>
          <w:w w:val="110"/>
        </w:rPr>
        <w:t>attribute.</w:t>
      </w:r>
      <w:r>
        <w:rPr>
          <w:color w:val="333333"/>
          <w:spacing w:val="-4"/>
          <w:w w:val="110"/>
        </w:rPr>
        <w:t xml:space="preserve"> For </w:t>
      </w:r>
      <w:r>
        <w:rPr>
          <w:color w:val="333333"/>
          <w:w w:val="110"/>
        </w:rPr>
        <w:t xml:space="preserve">instance, the description of </w:t>
      </w:r>
      <w:proofErr w:type="gramStart"/>
      <w:r>
        <w:rPr>
          <w:rFonts w:ascii="MS Gothic"/>
          <w:color w:val="B02045"/>
          <w:w w:val="110"/>
        </w:rPr>
        <w:t>server.ip</w:t>
      </w:r>
      <w:proofErr w:type="gramEnd"/>
      <w:r>
        <w:rPr>
          <w:rFonts w:ascii="MS Gothic"/>
          <w:color w:val="B02045"/>
          <w:spacing w:val="-68"/>
          <w:w w:val="110"/>
        </w:rPr>
        <w:t xml:space="preserve"> </w:t>
      </w:r>
      <w:r>
        <w:rPr>
          <w:color w:val="333333"/>
          <w:w w:val="110"/>
        </w:rPr>
        <w:t>is "IP address to listen to.".</w:t>
      </w:r>
    </w:p>
    <w:p w14:paraId="1372B6FA" w14:textId="77777777" w:rsidR="00A720EB" w:rsidRDefault="00A720EB">
      <w:pPr>
        <w:pStyle w:val="a3"/>
        <w:spacing w:before="6"/>
        <w:rPr>
          <w:sz w:val="27"/>
        </w:rPr>
      </w:pPr>
    </w:p>
    <w:p w14:paraId="32E23F9B" w14:textId="77777777" w:rsidR="00A720EB" w:rsidRDefault="00E10349">
      <w:pPr>
        <w:pStyle w:val="a3"/>
        <w:spacing w:line="290" w:lineRule="auto"/>
        <w:ind w:left="1564" w:right="359"/>
      </w:pPr>
      <w:r>
        <w:pict w14:anchorId="2F52C9CF">
          <v:line id="_x0000_s1083" style="position:absolute;left:0;text-align:left;z-index:16452608;mso-position-horizontal-relative:page" from="108.25pt,-5.45pt" to="108.25pt,34.1pt" strokecolor="#ededed" strokeweight=".5pt">
            <w10:wrap anchorx="page"/>
          </v:line>
        </w:pict>
      </w:r>
      <w:r w:rsidR="0030286B">
        <w:rPr>
          <w:noProof/>
        </w:rPr>
        <w:drawing>
          <wp:anchor distT="0" distB="0" distL="0" distR="0" simplePos="0" relativeHeight="16453120" behindDoc="0" locked="0" layoutInCell="1" allowOverlap="1" wp14:anchorId="1614DB59" wp14:editId="392FB44F">
            <wp:simplePos x="0" y="0"/>
            <wp:positionH relativeFrom="page">
              <wp:posOffset>844422</wp:posOffset>
            </wp:positionH>
            <wp:positionV relativeFrom="paragraph">
              <wp:posOffset>32588</wp:posOffset>
            </wp:positionV>
            <wp:extent cx="298450" cy="298450"/>
            <wp:effectExtent l="0" t="0" r="0" b="0"/>
            <wp:wrapNone/>
            <wp:docPr id="8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You should only use plain text with </w:t>
      </w:r>
      <w:r w:rsidR="0030286B">
        <w:rPr>
          <w:rFonts w:ascii="MS Gothic"/>
          <w:color w:val="B02045"/>
          <w:w w:val="110"/>
        </w:rPr>
        <w:t xml:space="preserve">@ConfigurationProperties </w:t>
      </w:r>
      <w:r w:rsidR="0030286B">
        <w:rPr>
          <w:color w:val="333333"/>
          <w:w w:val="110"/>
        </w:rPr>
        <w:t>field Javadoc, since they are not processed before being added to the JSON.</w:t>
      </w:r>
    </w:p>
    <w:p w14:paraId="2CAEEC49" w14:textId="77777777" w:rsidR="00A720EB" w:rsidRDefault="00A720EB">
      <w:pPr>
        <w:pStyle w:val="a3"/>
        <w:spacing w:before="10"/>
        <w:rPr>
          <w:sz w:val="28"/>
        </w:rPr>
      </w:pPr>
    </w:p>
    <w:p w14:paraId="4DAB713A" w14:textId="77777777" w:rsidR="00A720EB" w:rsidRDefault="0030286B">
      <w:pPr>
        <w:pStyle w:val="a3"/>
        <w:spacing w:line="295" w:lineRule="auto"/>
        <w:ind w:left="124" w:right="122"/>
        <w:jc w:val="both"/>
      </w:pPr>
      <w:r>
        <w:rPr>
          <w:color w:val="333333"/>
          <w:w w:val="110"/>
        </w:rPr>
        <w:t xml:space="preserve">The annotation processor applies a number of heuristics to extract the default </w:t>
      </w:r>
      <w:proofErr w:type="gramStart"/>
      <w:r>
        <w:rPr>
          <w:color w:val="333333"/>
          <w:w w:val="110"/>
        </w:rPr>
        <w:t>value  from</w:t>
      </w:r>
      <w:proofErr w:type="gramEnd"/>
      <w:r>
        <w:rPr>
          <w:color w:val="333333"/>
          <w:w w:val="110"/>
        </w:rPr>
        <w:t xml:space="preserve">  the  source model. Default values have to be provided </w:t>
      </w:r>
      <w:r>
        <w:rPr>
          <w:color w:val="333333"/>
          <w:spacing w:val="-3"/>
          <w:w w:val="110"/>
        </w:rPr>
        <w:t xml:space="preserve">statically. </w:t>
      </w:r>
      <w:r>
        <w:rPr>
          <w:color w:val="333333"/>
          <w:w w:val="110"/>
        </w:rPr>
        <w:t xml:space="preserve">In particular, do not refer to a constant defined in another class. Also, the annotation processor cannot auto-detect default values for </w:t>
      </w:r>
      <w:r>
        <w:rPr>
          <w:rFonts w:ascii="MS Gothic"/>
          <w:color w:val="B02045"/>
          <w:w w:val="110"/>
        </w:rPr>
        <w:t>Enum</w:t>
      </w:r>
      <w:r>
        <w:rPr>
          <w:color w:val="333333"/>
          <w:w w:val="110"/>
        </w:rPr>
        <w:t>s and</w:t>
      </w:r>
      <w:r>
        <w:rPr>
          <w:color w:val="333333"/>
          <w:spacing w:val="2"/>
          <w:w w:val="110"/>
        </w:rPr>
        <w:t xml:space="preserve"> </w:t>
      </w:r>
      <w:r>
        <w:rPr>
          <w:rFonts w:ascii="MS Gothic"/>
          <w:color w:val="B02045"/>
          <w:w w:val="110"/>
        </w:rPr>
        <w:t>Collections</w:t>
      </w:r>
      <w:r>
        <w:rPr>
          <w:color w:val="333333"/>
          <w:w w:val="110"/>
        </w:rPr>
        <w:t>s.</w:t>
      </w:r>
    </w:p>
    <w:p w14:paraId="4523AD90" w14:textId="77777777" w:rsidR="00A720EB" w:rsidRDefault="0030286B">
      <w:pPr>
        <w:pStyle w:val="a3"/>
        <w:spacing w:before="235" w:line="307" w:lineRule="auto"/>
        <w:ind w:left="124" w:right="123"/>
        <w:jc w:val="both"/>
      </w:pPr>
      <w:r>
        <w:rPr>
          <w:color w:val="333333"/>
          <w:w w:val="110"/>
        </w:rPr>
        <w:t xml:space="preserve">For cases where the default value could not be detected, </w:t>
      </w:r>
      <w:hyperlink w:anchor="_bookmark685" w:history="1">
        <w:r>
          <w:rPr>
            <w:color w:val="418BCA"/>
            <w:w w:val="110"/>
          </w:rPr>
          <w:t>manual metadata</w:t>
        </w:r>
      </w:hyperlink>
      <w:r>
        <w:rPr>
          <w:color w:val="418BCA"/>
          <w:w w:val="110"/>
        </w:rPr>
        <w:t xml:space="preserve"> </w:t>
      </w:r>
      <w:r>
        <w:rPr>
          <w:color w:val="333333"/>
          <w:w w:val="110"/>
        </w:rPr>
        <w:t>should be provided. Consider the following example:</w:t>
      </w:r>
    </w:p>
    <w:p w14:paraId="04C651F2" w14:textId="77777777" w:rsidR="00A720EB" w:rsidRDefault="00A720EB">
      <w:pPr>
        <w:spacing w:line="307" w:lineRule="auto"/>
        <w:jc w:val="both"/>
        <w:sectPr w:rsidR="00A720EB">
          <w:pgSz w:w="11910" w:h="16840"/>
          <w:pgMar w:top="700" w:right="840" w:bottom="520" w:left="840" w:header="0" w:footer="198" w:gutter="0"/>
          <w:cols w:space="720"/>
        </w:sectPr>
      </w:pPr>
    </w:p>
    <w:p w14:paraId="47426237" w14:textId="77777777" w:rsidR="00A720EB" w:rsidRDefault="00E10349">
      <w:pPr>
        <w:pStyle w:val="a3"/>
        <w:ind w:left="116"/>
        <w:rPr>
          <w:sz w:val="20"/>
        </w:rPr>
      </w:pPr>
      <w:r>
        <w:rPr>
          <w:sz w:val="20"/>
        </w:rPr>
      </w:r>
      <w:r>
        <w:rPr>
          <w:sz w:val="20"/>
        </w:rPr>
        <w:pict w14:anchorId="04672847">
          <v:group id="_x0000_s1079" style="width:499.55pt;height:273.35pt;mso-position-horizontal-relative:char;mso-position-vertical-relative:line" coordsize="9991,5467">
            <v:shape id="_x0000_s1082" style="position:absolute;left:7;top:7;width:9976;height:5452" coordorigin="8,8" coordsize="9976,5452" path="m9904,8l88,8,56,14,31,31,14,56,8,88r,5291l14,5410r17,26l56,5453r32,6l9904,5459r31,-6l9960,5436r17,-26l9984,5379r,-5291l9977,56,9960,31,9935,14,9904,8xe" fillcolor="#f5f5f5" stroked="f">
              <v:path arrowok="t"/>
            </v:shape>
            <v:shape id="_x0000_s1081" style="position:absolute;left:7;top:7;width:9976;height:5452" coordorigin="8,8" coordsize="9976,5452" path="m88,8r9816,l9935,14r25,17l9977,56r7,32l9984,5379r-7,31l9960,5436r-25,17l9904,5459r-9816,l56,5453,31,5436,14,5410,8,5379,8,88,14,56,31,31,56,14,88,8xe" filled="f" strokecolor="#ccc">
              <v:path arrowok="t"/>
            </v:shape>
            <v:shape id="_x0000_s1080" type="#_x0000_t202" style="position:absolute;left:26;top:22;width:9938;height:5421" filled="f" stroked="f">
              <v:textbox inset="0,0,0,0">
                <w:txbxContent>
                  <w:p w14:paraId="5F6AC272" w14:textId="77777777" w:rsidR="00711A16" w:rsidRDefault="00711A16">
                    <w:pPr>
                      <w:spacing w:before="221" w:line="252" w:lineRule="auto"/>
                      <w:ind w:left="200" w:right="4108"/>
                      <w:rPr>
                        <w:rFonts w:ascii="MS Gothic"/>
                      </w:rPr>
                    </w:pPr>
                    <w:r>
                      <w:rPr>
                        <w:rFonts w:ascii="MS Gothic"/>
                        <w:color w:val="333333"/>
                      </w:rPr>
                      <w:t>@</w:t>
                    </w:r>
                    <w:proofErr w:type="gramStart"/>
                    <w:r>
                      <w:rPr>
                        <w:rFonts w:ascii="MS Gothic"/>
                        <w:color w:val="333333"/>
                      </w:rPr>
                      <w:t>ConfigurationProperties(</w:t>
                    </w:r>
                    <w:proofErr w:type="gramEnd"/>
                    <w:r>
                      <w:rPr>
                        <w:rFonts w:ascii="MS Gothic"/>
                        <w:color w:val="333333"/>
                      </w:rPr>
                      <w:t>prefix = "acme.messaging") public class MessagingProperties {</w:t>
                    </w:r>
                  </w:p>
                  <w:p w14:paraId="1DB26FD9" w14:textId="77777777" w:rsidR="00711A16" w:rsidRDefault="00711A16">
                    <w:pPr>
                      <w:spacing w:before="10"/>
                      <w:rPr>
                        <w:rFonts w:ascii="MS Gothic"/>
                      </w:rPr>
                    </w:pPr>
                  </w:p>
                  <w:p w14:paraId="6179A8E7" w14:textId="77777777" w:rsidR="00711A16" w:rsidRDefault="00711A16">
                    <w:pPr>
                      <w:spacing w:line="501" w:lineRule="auto"/>
                      <w:ind w:left="640" w:right="1138"/>
                      <w:rPr>
                        <w:rFonts w:ascii="MS Gothic"/>
                      </w:rPr>
                    </w:pPr>
                    <w:r>
                      <w:rPr>
                        <w:rFonts w:ascii="MS Gothic"/>
                        <w:color w:val="333333"/>
                      </w:rPr>
                      <w:t>private List&lt;String&gt; addresses = new ArrayList&lt;</w:t>
                    </w:r>
                    <w:proofErr w:type="gramStart"/>
                    <w:r>
                      <w:rPr>
                        <w:rFonts w:ascii="MS Gothic"/>
                        <w:color w:val="333333"/>
                      </w:rPr>
                      <w:t>&gt;(</w:t>
                    </w:r>
                    <w:proofErr w:type="gramEnd"/>
                    <w:r>
                      <w:rPr>
                        <w:rFonts w:ascii="MS Gothic"/>
                        <w:color w:val="333333"/>
                      </w:rPr>
                      <w:t>Arrays.asList("a", "b")); private ContainerType containerType = ContainerType.SIMPLE;</w:t>
                    </w:r>
                  </w:p>
                  <w:p w14:paraId="1351944A" w14:textId="77777777" w:rsidR="00711A16" w:rsidRDefault="00711A16">
                    <w:pPr>
                      <w:spacing w:before="1" w:line="501" w:lineRule="auto"/>
                      <w:ind w:left="640" w:right="6308"/>
                      <w:rPr>
                        <w:rFonts w:ascii="MS Gothic"/>
                      </w:rPr>
                    </w:pPr>
                    <w:r>
                      <w:rPr>
                        <w:rFonts w:ascii="MS Gothic"/>
                        <w:color w:val="333333"/>
                      </w:rPr>
                      <w:t>// ... getter and setters public enum ContainerType {</w:t>
                    </w:r>
                  </w:p>
                  <w:p w14:paraId="3BB2A3B7" w14:textId="77777777" w:rsidR="00711A16" w:rsidRDefault="00711A16">
                    <w:pPr>
                      <w:spacing w:before="1" w:line="252" w:lineRule="auto"/>
                      <w:ind w:left="1080" w:right="8068"/>
                      <w:rPr>
                        <w:rFonts w:ascii="MS Gothic"/>
                      </w:rPr>
                    </w:pPr>
                    <w:r>
                      <w:rPr>
                        <w:rFonts w:ascii="MS Gothic"/>
                        <w:color w:val="333333"/>
                      </w:rPr>
                      <w:t>SIMPLE, DIRECT</w:t>
                    </w:r>
                  </w:p>
                  <w:p w14:paraId="4F3F6C3C" w14:textId="77777777" w:rsidR="00711A16" w:rsidRDefault="00711A16">
                    <w:pPr>
                      <w:spacing w:before="11"/>
                      <w:rPr>
                        <w:rFonts w:ascii="MS Gothic"/>
                      </w:rPr>
                    </w:pPr>
                  </w:p>
                  <w:p w14:paraId="4F2821F2" w14:textId="77777777" w:rsidR="00711A16" w:rsidRDefault="00711A16">
                    <w:pPr>
                      <w:ind w:left="640"/>
                      <w:rPr>
                        <w:rFonts w:ascii="MS Gothic"/>
                      </w:rPr>
                    </w:pPr>
                    <w:r>
                      <w:rPr>
                        <w:rFonts w:ascii="MS Gothic"/>
                        <w:color w:val="333333"/>
                      </w:rPr>
                      <w:t>}</w:t>
                    </w:r>
                  </w:p>
                  <w:p w14:paraId="51AB2D2F" w14:textId="77777777" w:rsidR="00711A16" w:rsidRDefault="00711A16">
                    <w:pPr>
                      <w:rPr>
                        <w:rFonts w:ascii="MS Gothic"/>
                        <w:sz w:val="24"/>
                      </w:rPr>
                    </w:pPr>
                  </w:p>
                  <w:p w14:paraId="2EF14FF9" w14:textId="77777777" w:rsidR="00711A16" w:rsidRDefault="00711A16">
                    <w:pPr>
                      <w:ind w:left="200"/>
                      <w:rPr>
                        <w:rFonts w:ascii="MS Gothic"/>
                      </w:rPr>
                    </w:pPr>
                    <w:r>
                      <w:rPr>
                        <w:rFonts w:ascii="MS Gothic"/>
                        <w:color w:val="333333"/>
                      </w:rPr>
                      <w:t>}</w:t>
                    </w:r>
                  </w:p>
                </w:txbxContent>
              </v:textbox>
            </v:shape>
            <w10:anchorlock/>
          </v:group>
        </w:pict>
      </w:r>
    </w:p>
    <w:p w14:paraId="58BEC5C0" w14:textId="77777777" w:rsidR="00A720EB" w:rsidRDefault="00A720EB">
      <w:pPr>
        <w:pStyle w:val="a3"/>
        <w:spacing w:before="8"/>
        <w:rPr>
          <w:sz w:val="9"/>
        </w:rPr>
      </w:pPr>
    </w:p>
    <w:p w14:paraId="29B53490" w14:textId="77777777" w:rsidR="00A720EB" w:rsidRDefault="0030286B">
      <w:pPr>
        <w:pStyle w:val="a3"/>
        <w:spacing w:before="125" w:line="307" w:lineRule="auto"/>
        <w:ind w:left="124"/>
      </w:pPr>
      <w:r>
        <w:rPr>
          <w:color w:val="333333"/>
          <w:w w:val="110"/>
        </w:rPr>
        <w:t xml:space="preserve">In order to document default values for properties in the class above, you could add the </w:t>
      </w:r>
      <w:proofErr w:type="gramStart"/>
      <w:r>
        <w:rPr>
          <w:color w:val="333333"/>
          <w:w w:val="110"/>
        </w:rPr>
        <w:t>following  content</w:t>
      </w:r>
      <w:proofErr w:type="gramEnd"/>
      <w:r>
        <w:rPr>
          <w:color w:val="333333"/>
          <w:w w:val="110"/>
        </w:rPr>
        <w:t xml:space="preserve"> to </w:t>
      </w:r>
      <w:hyperlink w:anchor="_bookmark685" w:history="1">
        <w:r>
          <w:rPr>
            <w:color w:val="418BCA"/>
            <w:w w:val="110"/>
          </w:rPr>
          <w:t>the manual metadata of the module</w:t>
        </w:r>
      </w:hyperlink>
      <w:r>
        <w:rPr>
          <w:color w:val="333333"/>
          <w:w w:val="110"/>
        </w:rPr>
        <w:t>:</w:t>
      </w:r>
    </w:p>
    <w:p w14:paraId="27AE3BAD" w14:textId="77777777" w:rsidR="00A720EB" w:rsidRDefault="00E10349">
      <w:pPr>
        <w:pStyle w:val="a3"/>
        <w:spacing w:before="1"/>
        <w:rPr>
          <w:sz w:val="13"/>
        </w:rPr>
      </w:pPr>
      <w:r>
        <w:pict w14:anchorId="0480EA10">
          <v:group id="_x0000_s1075" style="position:absolute;margin-left:47.85pt;margin-top:9.7pt;width:499.55pt;height:170.15pt;z-index:-15003136;mso-wrap-distance-left:0;mso-wrap-distance-right:0;mso-position-horizontal-relative:page" coordorigin="957,194" coordsize="9991,3403">
            <v:shape id="_x0000_s1078" style="position:absolute;left:964;top:201;width:9976;height:3388" coordorigin="965,201" coordsize="9976,3388" path="m10861,201r-9816,l1014,208r-26,17l971,250r-6,31l965,3509r6,31l988,3566r26,17l1045,3589r9816,l10892,3583r25,-17l10935,3540r6,-31l10941,281r-6,-31l10917,225r-25,-17l10861,201xe" fillcolor="#f5f5f5" stroked="f">
              <v:path arrowok="t"/>
            </v:shape>
            <v:shape id="_x0000_s1077" style="position:absolute;left:964;top:201;width:9976;height:3388" coordorigin="965,201" coordsize="9976,3388" path="m1045,201r9816,l10892,208r25,17l10935,250r6,31l10941,3509r-6,31l10917,3566r-25,17l10861,3589r-9816,l1014,3583r-26,-17l971,3540r-6,-31l965,281r6,-31l988,225r26,-17l1045,201xe" filled="f" strokecolor="#ccc">
              <v:path arrowok="t"/>
            </v:shape>
            <v:shape id="_x0000_s1076" type="#_x0000_t202" style="position:absolute;left:984;top:216;width:9938;height:3358" filled="f" stroked="f">
              <v:textbox inset="0,0,0,0">
                <w:txbxContent>
                  <w:p w14:paraId="5FD39B40" w14:textId="77777777" w:rsidR="00711A16" w:rsidRDefault="00711A16">
                    <w:pPr>
                      <w:spacing w:before="221"/>
                      <w:ind w:left="200"/>
                      <w:rPr>
                        <w:rFonts w:ascii="MS Gothic"/>
                      </w:rPr>
                    </w:pPr>
                    <w:r>
                      <w:rPr>
                        <w:rFonts w:ascii="MS Gothic"/>
                        <w:color w:val="333333"/>
                      </w:rPr>
                      <w:t>{"properties": [</w:t>
                    </w:r>
                  </w:p>
                  <w:p w14:paraId="53F7C230" w14:textId="77777777" w:rsidR="00711A16" w:rsidRDefault="00711A16">
                    <w:pPr>
                      <w:spacing w:before="13"/>
                      <w:ind w:left="640"/>
                      <w:rPr>
                        <w:rFonts w:ascii="MS Gothic"/>
                      </w:rPr>
                    </w:pPr>
                    <w:r>
                      <w:rPr>
                        <w:rFonts w:ascii="MS Gothic"/>
                        <w:color w:val="333333"/>
                      </w:rPr>
                      <w:t>{</w:t>
                    </w:r>
                  </w:p>
                  <w:p w14:paraId="62E18068" w14:textId="77777777" w:rsidR="00711A16" w:rsidRDefault="00711A16">
                    <w:pPr>
                      <w:spacing w:before="13" w:line="252" w:lineRule="auto"/>
                      <w:ind w:left="1080" w:right="4988"/>
                      <w:rPr>
                        <w:rFonts w:ascii="MS Gothic"/>
                      </w:rPr>
                    </w:pPr>
                    <w:r>
                      <w:rPr>
                        <w:rFonts w:ascii="MS Gothic"/>
                        <w:color w:val="333333"/>
                      </w:rPr>
                      <w:t>"name": "</w:t>
                    </w:r>
                    <w:proofErr w:type="gramStart"/>
                    <w:r>
                      <w:rPr>
                        <w:rFonts w:ascii="MS Gothic"/>
                        <w:color w:val="333333"/>
                      </w:rPr>
                      <w:t>acme.messaging</w:t>
                    </w:r>
                    <w:proofErr w:type="gramEnd"/>
                    <w:r>
                      <w:rPr>
                        <w:rFonts w:ascii="MS Gothic"/>
                        <w:color w:val="333333"/>
                      </w:rPr>
                      <w:t>.addresses", "defaultValue": ["a", "b"]</w:t>
                    </w:r>
                  </w:p>
                  <w:p w14:paraId="0007EEE0" w14:textId="77777777" w:rsidR="00711A16" w:rsidRDefault="00711A16">
                    <w:pPr>
                      <w:spacing w:line="280" w:lineRule="exact"/>
                      <w:ind w:left="640"/>
                      <w:rPr>
                        <w:rFonts w:ascii="MS Gothic"/>
                      </w:rPr>
                    </w:pPr>
                    <w:r>
                      <w:rPr>
                        <w:rFonts w:ascii="MS Gothic"/>
                        <w:color w:val="333333"/>
                      </w:rPr>
                      <w:t>},</w:t>
                    </w:r>
                  </w:p>
                  <w:p w14:paraId="4B63B9BA" w14:textId="77777777" w:rsidR="00711A16" w:rsidRDefault="00711A16">
                    <w:pPr>
                      <w:spacing w:before="13"/>
                      <w:ind w:left="640"/>
                      <w:rPr>
                        <w:rFonts w:ascii="MS Gothic"/>
                      </w:rPr>
                    </w:pPr>
                    <w:r>
                      <w:rPr>
                        <w:rFonts w:ascii="MS Gothic"/>
                        <w:color w:val="333333"/>
                      </w:rPr>
                      <w:t>{</w:t>
                    </w:r>
                  </w:p>
                  <w:p w14:paraId="4BD8F0CF" w14:textId="77777777" w:rsidR="00711A16" w:rsidRDefault="00711A16">
                    <w:pPr>
                      <w:spacing w:before="12" w:line="252" w:lineRule="auto"/>
                      <w:ind w:left="1080" w:right="4438"/>
                      <w:rPr>
                        <w:rFonts w:ascii="MS Gothic"/>
                      </w:rPr>
                    </w:pPr>
                    <w:r>
                      <w:rPr>
                        <w:rFonts w:ascii="MS Gothic"/>
                        <w:color w:val="333333"/>
                      </w:rPr>
                      <w:t>"name": "</w:t>
                    </w:r>
                    <w:proofErr w:type="gramStart"/>
                    <w:r>
                      <w:rPr>
                        <w:rFonts w:ascii="MS Gothic"/>
                        <w:color w:val="333333"/>
                      </w:rPr>
                      <w:t>acme.messaging</w:t>
                    </w:r>
                    <w:proofErr w:type="gramEnd"/>
                    <w:r>
                      <w:rPr>
                        <w:rFonts w:ascii="MS Gothic"/>
                        <w:color w:val="333333"/>
                      </w:rPr>
                      <w:t>.container-type", "defaultValue": "simple"</w:t>
                    </w:r>
                  </w:p>
                  <w:p w14:paraId="5C9B0D50" w14:textId="77777777" w:rsidR="00711A16" w:rsidRDefault="00711A16">
                    <w:pPr>
                      <w:spacing w:line="280" w:lineRule="exact"/>
                      <w:ind w:left="640"/>
                      <w:rPr>
                        <w:rFonts w:ascii="MS Gothic"/>
                      </w:rPr>
                    </w:pPr>
                    <w:r>
                      <w:rPr>
                        <w:rFonts w:ascii="MS Gothic"/>
                        <w:color w:val="333333"/>
                      </w:rPr>
                      <w:t>}</w:t>
                    </w:r>
                  </w:p>
                  <w:p w14:paraId="435AA747" w14:textId="77777777" w:rsidR="00711A16" w:rsidRDefault="00711A16">
                    <w:pPr>
                      <w:spacing w:before="13"/>
                      <w:ind w:left="200"/>
                      <w:rPr>
                        <w:rFonts w:ascii="MS Gothic"/>
                      </w:rPr>
                    </w:pPr>
                    <w:r>
                      <w:rPr>
                        <w:rFonts w:ascii="MS Gothic"/>
                        <w:color w:val="333333"/>
                      </w:rPr>
                      <w:t>]}</w:t>
                    </w:r>
                  </w:p>
                </w:txbxContent>
              </v:textbox>
            </v:shape>
            <w10:wrap type="topAndBottom" anchorx="page"/>
          </v:group>
        </w:pict>
      </w:r>
    </w:p>
    <w:p w14:paraId="62341AA3" w14:textId="77777777" w:rsidR="00A720EB" w:rsidRDefault="00A720EB">
      <w:pPr>
        <w:pStyle w:val="a3"/>
        <w:spacing w:before="8"/>
        <w:rPr>
          <w:sz w:val="16"/>
        </w:rPr>
      </w:pPr>
    </w:p>
    <w:p w14:paraId="03EEC14D" w14:textId="77777777" w:rsidR="00A720EB" w:rsidRDefault="00E10349">
      <w:pPr>
        <w:pStyle w:val="a3"/>
        <w:spacing w:before="116" w:line="290" w:lineRule="auto"/>
        <w:ind w:left="1564" w:right="462"/>
      </w:pPr>
      <w:r>
        <w:pict w14:anchorId="60A0191D">
          <v:line id="_x0000_s1074" style="position:absolute;left:0;text-align:left;z-index:16454656;mso-position-horizontal-relative:page" from="108.25pt,.35pt" to="108.25pt,39.9pt" strokecolor="#ededed" strokeweight=".5pt">
            <w10:wrap anchorx="page"/>
          </v:line>
        </w:pict>
      </w:r>
      <w:r w:rsidR="0030286B">
        <w:rPr>
          <w:noProof/>
        </w:rPr>
        <w:drawing>
          <wp:anchor distT="0" distB="0" distL="0" distR="0" simplePos="0" relativeHeight="16455168" behindDoc="0" locked="0" layoutInCell="1" allowOverlap="1" wp14:anchorId="78F05B4D" wp14:editId="37EB9D26">
            <wp:simplePos x="0" y="0"/>
            <wp:positionH relativeFrom="page">
              <wp:posOffset>844422</wp:posOffset>
            </wp:positionH>
            <wp:positionV relativeFrom="paragraph">
              <wp:posOffset>106248</wp:posOffset>
            </wp:positionV>
            <wp:extent cx="298450" cy="298450"/>
            <wp:effectExtent l="0" t="0" r="0" b="0"/>
            <wp:wrapNone/>
            <wp:docPr id="8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Only the </w:t>
      </w:r>
      <w:r w:rsidR="0030286B">
        <w:rPr>
          <w:rFonts w:ascii="MS Gothic"/>
          <w:color w:val="B02045"/>
          <w:w w:val="110"/>
        </w:rPr>
        <w:t xml:space="preserve">name </w:t>
      </w:r>
      <w:r w:rsidR="0030286B">
        <w:rPr>
          <w:color w:val="333333"/>
          <w:w w:val="110"/>
        </w:rPr>
        <w:t>of the property is required to document additional metadata for existing properties.</w:t>
      </w:r>
    </w:p>
    <w:p w14:paraId="797A5187" w14:textId="77777777" w:rsidR="00A720EB" w:rsidRDefault="00A720EB">
      <w:pPr>
        <w:pStyle w:val="a3"/>
        <w:spacing w:before="1"/>
        <w:rPr>
          <w:sz w:val="25"/>
        </w:rPr>
      </w:pPr>
    </w:p>
    <w:p w14:paraId="6496AED6" w14:textId="77777777" w:rsidR="00A720EB" w:rsidRDefault="0030286B">
      <w:pPr>
        <w:spacing w:before="104"/>
        <w:ind w:left="124"/>
        <w:jc w:val="both"/>
        <w:rPr>
          <w:rFonts w:ascii="Palatino Linotype"/>
          <w:b/>
          <w:sz w:val="18"/>
        </w:rPr>
      </w:pPr>
      <w:r>
        <w:rPr>
          <w:rFonts w:ascii="Palatino Linotype"/>
          <w:b/>
          <w:color w:val="333333"/>
          <w:w w:val="110"/>
          <w:sz w:val="18"/>
        </w:rPr>
        <w:t>Nested Properties</w:t>
      </w:r>
    </w:p>
    <w:p w14:paraId="03BE3F42" w14:textId="77777777" w:rsidR="00A720EB" w:rsidRDefault="00A720EB">
      <w:pPr>
        <w:pStyle w:val="a3"/>
        <w:spacing w:before="11"/>
        <w:rPr>
          <w:rFonts w:ascii="Palatino Linotype"/>
          <w:b/>
          <w:sz w:val="18"/>
        </w:rPr>
      </w:pPr>
    </w:p>
    <w:p w14:paraId="348D6F97" w14:textId="77777777" w:rsidR="00A720EB" w:rsidRDefault="0030286B">
      <w:pPr>
        <w:pStyle w:val="a3"/>
        <w:spacing w:before="1" w:line="295" w:lineRule="auto"/>
        <w:ind w:left="124" w:right="123"/>
        <w:jc w:val="both"/>
      </w:pPr>
      <w:r>
        <w:rPr>
          <w:color w:val="333333"/>
          <w:w w:val="110"/>
        </w:rPr>
        <w:t xml:space="preserve">The annotation processor automatically considers inner classes as nested properties. Rather </w:t>
      </w:r>
      <w:proofErr w:type="gramStart"/>
      <w:r>
        <w:rPr>
          <w:color w:val="333333"/>
          <w:w w:val="110"/>
        </w:rPr>
        <w:t>than  documenting</w:t>
      </w:r>
      <w:proofErr w:type="gramEnd"/>
      <w:r>
        <w:rPr>
          <w:color w:val="333333"/>
          <w:w w:val="110"/>
        </w:rPr>
        <w:t xml:space="preserve"> the </w:t>
      </w:r>
      <w:r>
        <w:rPr>
          <w:rFonts w:ascii="MS Gothic"/>
          <w:color w:val="B02045"/>
          <w:w w:val="110"/>
        </w:rPr>
        <w:t xml:space="preserve">ip </w:t>
      </w:r>
      <w:r>
        <w:rPr>
          <w:color w:val="333333"/>
          <w:w w:val="110"/>
        </w:rPr>
        <w:t xml:space="preserve">and </w:t>
      </w:r>
      <w:r>
        <w:rPr>
          <w:rFonts w:ascii="MS Gothic"/>
          <w:color w:val="B02045"/>
          <w:w w:val="110"/>
        </w:rPr>
        <w:t xml:space="preserve">port </w:t>
      </w:r>
      <w:r>
        <w:rPr>
          <w:color w:val="333333"/>
          <w:w w:val="110"/>
        </w:rPr>
        <w:t>at the root of the namespace, we could create a sub-namespace for it. Consider the updated example:</w:t>
      </w:r>
    </w:p>
    <w:p w14:paraId="30FEB891" w14:textId="77777777" w:rsidR="00A720EB" w:rsidRDefault="00A720EB">
      <w:pPr>
        <w:spacing w:line="295" w:lineRule="auto"/>
        <w:jc w:val="both"/>
        <w:sectPr w:rsidR="00A720EB">
          <w:pgSz w:w="11910" w:h="16840"/>
          <w:pgMar w:top="700" w:right="840" w:bottom="520" w:left="840" w:header="0" w:footer="198" w:gutter="0"/>
          <w:cols w:space="720"/>
        </w:sectPr>
      </w:pPr>
    </w:p>
    <w:p w14:paraId="36FB5BCF" w14:textId="77777777" w:rsidR="00A720EB" w:rsidRDefault="00E10349">
      <w:pPr>
        <w:pStyle w:val="a3"/>
        <w:ind w:left="116"/>
        <w:rPr>
          <w:sz w:val="20"/>
        </w:rPr>
      </w:pPr>
      <w:r>
        <w:rPr>
          <w:sz w:val="20"/>
        </w:rPr>
      </w:r>
      <w:r>
        <w:rPr>
          <w:sz w:val="20"/>
        </w:rPr>
        <w:pict w14:anchorId="2C0CF66A">
          <v:group id="_x0000_s1070" style="width:499.55pt;height:317.55pt;mso-position-horizontal-relative:char;mso-position-vertical-relative:line" coordsize="9991,6351">
            <v:shape id="_x0000_s1073" style="position:absolute;left:7;top:7;width:9976;height:6336" coordorigin="8,8" coordsize="9976,6336" path="m9904,8l88,8,56,14,31,31,14,56,8,88r,6176l14,6295r17,25l56,6337r32,7l9904,6344r31,-7l9960,6320r17,-25l9984,6264r,-6176l9977,56,9960,31,9935,14,9904,8xe" fillcolor="#f5f5f5" stroked="f">
              <v:path arrowok="t"/>
            </v:shape>
            <v:shape id="_x0000_s1072" style="position:absolute;left:7;top:7;width:9976;height:6336" coordorigin="8,8" coordsize="9976,6336" path="m88,8r9816,l9935,14r25,17l9977,56r7,32l9984,6264r-7,31l9960,6320r-25,17l9904,6344r-9816,l56,6337,31,6320,14,6295,8,6264,8,88,14,56,31,31,56,14,88,8xe" filled="f" strokecolor="#ccc">
              <v:path arrowok="t"/>
            </v:shape>
            <v:shape id="_x0000_s1071" type="#_x0000_t202" style="position:absolute;left:26;top:22;width:9938;height:6306" filled="f" stroked="f">
              <v:textbox inset="0,0,0,0">
                <w:txbxContent>
                  <w:p w14:paraId="5A572221" w14:textId="77777777" w:rsidR="00711A16" w:rsidRDefault="00711A16">
                    <w:pPr>
                      <w:spacing w:before="221" w:line="252" w:lineRule="auto"/>
                      <w:ind w:left="200" w:right="5208"/>
                      <w:rPr>
                        <w:rFonts w:ascii="MS Gothic"/>
                      </w:rPr>
                    </w:pPr>
                    <w:r>
                      <w:rPr>
                        <w:rFonts w:ascii="MS Gothic"/>
                        <w:color w:val="333333"/>
                      </w:rPr>
                      <w:t>@ConfigurationProperties(prefix="server") public class ServerProperties {</w:t>
                    </w:r>
                  </w:p>
                  <w:p w14:paraId="5BC54260" w14:textId="77777777" w:rsidR="00711A16" w:rsidRDefault="00711A16">
                    <w:pPr>
                      <w:spacing w:before="10"/>
                      <w:rPr>
                        <w:rFonts w:ascii="MS Gothic"/>
                      </w:rPr>
                    </w:pPr>
                  </w:p>
                  <w:p w14:paraId="3990366A" w14:textId="77777777" w:rsidR="00711A16" w:rsidRDefault="00711A16">
                    <w:pPr>
                      <w:spacing w:line="501" w:lineRule="auto"/>
                      <w:ind w:left="640" w:right="7078"/>
                      <w:rPr>
                        <w:rFonts w:ascii="MS Gothic"/>
                      </w:rPr>
                    </w:pPr>
                    <w:r>
                      <w:rPr>
                        <w:rFonts w:ascii="MS Gothic"/>
                        <w:color w:val="333333"/>
                      </w:rPr>
                      <w:t>private String name; private Host host;</w:t>
                    </w:r>
                  </w:p>
                  <w:p w14:paraId="6C845CAB" w14:textId="77777777" w:rsidR="00711A16" w:rsidRDefault="00711A16">
                    <w:pPr>
                      <w:spacing w:before="1" w:line="501" w:lineRule="auto"/>
                      <w:ind w:left="640" w:right="6434" w:hanging="110"/>
                      <w:jc w:val="center"/>
                      <w:rPr>
                        <w:rFonts w:ascii="MS Gothic"/>
                      </w:rPr>
                    </w:pPr>
                    <w:r>
                      <w:rPr>
                        <w:rFonts w:ascii="MS Gothic"/>
                        <w:color w:val="333333"/>
                      </w:rPr>
                      <w:t xml:space="preserve">// ... getter and setters public static class Host </w:t>
                    </w:r>
                    <w:proofErr w:type="gramStart"/>
                    <w:r>
                      <w:rPr>
                        <w:rFonts w:ascii="MS Gothic"/>
                        <w:color w:val="333333"/>
                      </w:rPr>
                      <w:t>{ private</w:t>
                    </w:r>
                    <w:proofErr w:type="gramEnd"/>
                    <w:r>
                      <w:rPr>
                        <w:rFonts w:ascii="MS Gothic"/>
                        <w:color w:val="333333"/>
                      </w:rPr>
                      <w:t xml:space="preserve"> String ip;</w:t>
                    </w:r>
                  </w:p>
                  <w:p w14:paraId="2CE3F5FF" w14:textId="77777777" w:rsidR="00711A16" w:rsidRDefault="00711A16">
                    <w:pPr>
                      <w:spacing w:before="2"/>
                      <w:ind w:left="1080"/>
                      <w:rPr>
                        <w:rFonts w:ascii="MS Gothic"/>
                      </w:rPr>
                    </w:pPr>
                    <w:r>
                      <w:rPr>
                        <w:rFonts w:ascii="MS Gothic"/>
                        <w:color w:val="333333"/>
                      </w:rPr>
                      <w:t>private int port;</w:t>
                    </w:r>
                  </w:p>
                  <w:p w14:paraId="40610470" w14:textId="77777777" w:rsidR="00711A16" w:rsidRDefault="00711A16">
                    <w:pPr>
                      <w:rPr>
                        <w:rFonts w:ascii="MS Gothic"/>
                        <w:sz w:val="24"/>
                      </w:rPr>
                    </w:pPr>
                  </w:p>
                  <w:p w14:paraId="64F41D7E" w14:textId="77777777" w:rsidR="00711A16" w:rsidRDefault="00711A16">
                    <w:pPr>
                      <w:ind w:left="1080"/>
                      <w:rPr>
                        <w:rFonts w:ascii="MS Gothic"/>
                      </w:rPr>
                    </w:pPr>
                    <w:r>
                      <w:rPr>
                        <w:rFonts w:ascii="MS Gothic"/>
                        <w:color w:val="333333"/>
                      </w:rPr>
                      <w:t>// ... getter and setters</w:t>
                    </w:r>
                  </w:p>
                  <w:p w14:paraId="041C5EB1" w14:textId="77777777" w:rsidR="00711A16" w:rsidRDefault="00711A16">
                    <w:pPr>
                      <w:rPr>
                        <w:rFonts w:ascii="MS Gothic"/>
                        <w:sz w:val="24"/>
                      </w:rPr>
                    </w:pPr>
                  </w:p>
                  <w:p w14:paraId="4F695FB3" w14:textId="77777777" w:rsidR="00711A16" w:rsidRDefault="00711A16">
                    <w:pPr>
                      <w:ind w:left="640"/>
                      <w:rPr>
                        <w:rFonts w:ascii="MS Gothic"/>
                      </w:rPr>
                    </w:pPr>
                    <w:r>
                      <w:rPr>
                        <w:rFonts w:ascii="MS Gothic"/>
                        <w:color w:val="333333"/>
                      </w:rPr>
                      <w:t>}</w:t>
                    </w:r>
                  </w:p>
                  <w:p w14:paraId="18894719" w14:textId="77777777" w:rsidR="00711A16" w:rsidRDefault="00711A16">
                    <w:pPr>
                      <w:rPr>
                        <w:rFonts w:ascii="MS Gothic"/>
                        <w:sz w:val="24"/>
                      </w:rPr>
                    </w:pPr>
                  </w:p>
                  <w:p w14:paraId="6579413A" w14:textId="77777777" w:rsidR="00711A16" w:rsidRDefault="00711A16">
                    <w:pPr>
                      <w:ind w:left="200"/>
                      <w:rPr>
                        <w:rFonts w:ascii="MS Gothic"/>
                      </w:rPr>
                    </w:pPr>
                    <w:r>
                      <w:rPr>
                        <w:rFonts w:ascii="MS Gothic"/>
                        <w:color w:val="333333"/>
                      </w:rPr>
                      <w:t>}</w:t>
                    </w:r>
                  </w:p>
                </w:txbxContent>
              </v:textbox>
            </v:shape>
            <w10:anchorlock/>
          </v:group>
        </w:pict>
      </w:r>
    </w:p>
    <w:p w14:paraId="63FDD276" w14:textId="77777777" w:rsidR="00A720EB" w:rsidRDefault="00A720EB">
      <w:pPr>
        <w:pStyle w:val="a3"/>
        <w:spacing w:before="6"/>
        <w:rPr>
          <w:sz w:val="9"/>
        </w:rPr>
      </w:pPr>
    </w:p>
    <w:p w14:paraId="1B7FF6E6" w14:textId="77777777" w:rsidR="00A720EB" w:rsidRDefault="0030286B">
      <w:pPr>
        <w:pStyle w:val="a3"/>
        <w:spacing w:before="116" w:line="285" w:lineRule="auto"/>
        <w:ind w:left="124" w:right="123"/>
        <w:jc w:val="both"/>
      </w:pPr>
      <w:r>
        <w:rPr>
          <w:color w:val="333333"/>
          <w:w w:val="110"/>
        </w:rPr>
        <w:t xml:space="preserve">The preceding example produces metadata information for </w:t>
      </w:r>
      <w:r>
        <w:rPr>
          <w:rFonts w:ascii="MS Gothic"/>
          <w:color w:val="B02045"/>
          <w:w w:val="110"/>
        </w:rPr>
        <w:t>server.name</w:t>
      </w:r>
      <w:r>
        <w:rPr>
          <w:color w:val="333333"/>
          <w:w w:val="110"/>
        </w:rPr>
        <w:t xml:space="preserve">, </w:t>
      </w:r>
      <w:proofErr w:type="gramStart"/>
      <w:r>
        <w:rPr>
          <w:rFonts w:ascii="MS Gothic"/>
          <w:color w:val="B02045"/>
          <w:w w:val="110"/>
        </w:rPr>
        <w:t>server.host</w:t>
      </w:r>
      <w:proofErr w:type="gramEnd"/>
      <w:r>
        <w:rPr>
          <w:rFonts w:ascii="MS Gothic"/>
          <w:color w:val="B02045"/>
          <w:w w:val="110"/>
        </w:rPr>
        <w:t>.ip</w:t>
      </w:r>
      <w:r>
        <w:rPr>
          <w:color w:val="333333"/>
          <w:w w:val="110"/>
        </w:rPr>
        <w:t xml:space="preserve">, and </w:t>
      </w:r>
      <w:r>
        <w:rPr>
          <w:rFonts w:ascii="MS Gothic"/>
          <w:color w:val="B02045"/>
          <w:w w:val="110"/>
        </w:rPr>
        <w:t>server.host.port</w:t>
      </w:r>
      <w:r>
        <w:rPr>
          <w:rFonts w:ascii="MS Gothic"/>
          <w:color w:val="B02045"/>
          <w:spacing w:val="-84"/>
          <w:w w:val="110"/>
        </w:rPr>
        <w:t xml:space="preserve"> </w:t>
      </w:r>
      <w:r>
        <w:rPr>
          <w:color w:val="333333"/>
          <w:w w:val="110"/>
        </w:rPr>
        <w:t>properties.</w:t>
      </w:r>
      <w:r>
        <w:rPr>
          <w:color w:val="333333"/>
          <w:spacing w:val="-19"/>
          <w:w w:val="110"/>
        </w:rPr>
        <w:t xml:space="preserve"> </w:t>
      </w:r>
      <w:r>
        <w:rPr>
          <w:color w:val="333333"/>
          <w:spacing w:val="-6"/>
          <w:w w:val="110"/>
        </w:rPr>
        <w:t>You</w:t>
      </w:r>
      <w:r>
        <w:rPr>
          <w:color w:val="333333"/>
          <w:spacing w:val="-19"/>
          <w:w w:val="110"/>
        </w:rPr>
        <w:t xml:space="preserve"> </w:t>
      </w:r>
      <w:r>
        <w:rPr>
          <w:color w:val="333333"/>
          <w:w w:val="110"/>
        </w:rPr>
        <w:t>can</w:t>
      </w:r>
      <w:r>
        <w:rPr>
          <w:color w:val="333333"/>
          <w:spacing w:val="-20"/>
          <w:w w:val="110"/>
        </w:rPr>
        <w:t xml:space="preserve"> </w:t>
      </w:r>
      <w:r>
        <w:rPr>
          <w:color w:val="333333"/>
          <w:w w:val="110"/>
        </w:rPr>
        <w:t>use</w:t>
      </w:r>
      <w:r>
        <w:rPr>
          <w:color w:val="333333"/>
          <w:spacing w:val="-19"/>
          <w:w w:val="110"/>
        </w:rPr>
        <w:t xml:space="preserve"> </w:t>
      </w:r>
      <w:r>
        <w:rPr>
          <w:color w:val="333333"/>
          <w:w w:val="110"/>
        </w:rPr>
        <w:t>the</w:t>
      </w:r>
      <w:r>
        <w:rPr>
          <w:color w:val="333333"/>
          <w:spacing w:val="-17"/>
          <w:w w:val="110"/>
        </w:rPr>
        <w:t xml:space="preserve"> </w:t>
      </w:r>
      <w:r>
        <w:rPr>
          <w:rFonts w:ascii="MS Gothic"/>
          <w:color w:val="B02045"/>
          <w:w w:val="110"/>
        </w:rPr>
        <w:t>@NestedConfigurationProperty</w:t>
      </w:r>
      <w:r>
        <w:rPr>
          <w:rFonts w:ascii="MS Gothic"/>
          <w:color w:val="B02045"/>
          <w:spacing w:val="-84"/>
          <w:w w:val="110"/>
        </w:rPr>
        <w:t xml:space="preserve"> </w:t>
      </w:r>
      <w:r>
        <w:rPr>
          <w:color w:val="333333"/>
          <w:w w:val="110"/>
        </w:rPr>
        <w:t>annotation</w:t>
      </w:r>
      <w:r>
        <w:rPr>
          <w:color w:val="333333"/>
          <w:spacing w:val="-19"/>
          <w:w w:val="110"/>
        </w:rPr>
        <w:t xml:space="preserve"> </w:t>
      </w:r>
      <w:r>
        <w:rPr>
          <w:color w:val="333333"/>
          <w:w w:val="110"/>
        </w:rPr>
        <w:t>on</w:t>
      </w:r>
      <w:r>
        <w:rPr>
          <w:color w:val="333333"/>
          <w:spacing w:val="-19"/>
          <w:w w:val="110"/>
        </w:rPr>
        <w:t xml:space="preserve"> </w:t>
      </w:r>
      <w:r>
        <w:rPr>
          <w:color w:val="333333"/>
          <w:w w:val="110"/>
        </w:rPr>
        <w:t>a</w:t>
      </w:r>
      <w:r>
        <w:rPr>
          <w:color w:val="333333"/>
          <w:spacing w:val="-19"/>
          <w:w w:val="110"/>
        </w:rPr>
        <w:t xml:space="preserve"> </w:t>
      </w:r>
      <w:r>
        <w:rPr>
          <w:color w:val="333333"/>
          <w:w w:val="110"/>
        </w:rPr>
        <w:t>field</w:t>
      </w:r>
      <w:r>
        <w:rPr>
          <w:color w:val="333333"/>
          <w:spacing w:val="-20"/>
          <w:w w:val="110"/>
        </w:rPr>
        <w:t xml:space="preserve"> </w:t>
      </w:r>
      <w:r>
        <w:rPr>
          <w:color w:val="333333"/>
          <w:w w:val="110"/>
        </w:rPr>
        <w:t>to indicate that a regular (non-inner) class should be treated as if it were</w:t>
      </w:r>
      <w:r>
        <w:rPr>
          <w:color w:val="333333"/>
          <w:spacing w:val="39"/>
          <w:w w:val="110"/>
        </w:rPr>
        <w:t xml:space="preserve"> </w:t>
      </w:r>
      <w:r>
        <w:rPr>
          <w:color w:val="333333"/>
          <w:w w:val="110"/>
        </w:rPr>
        <w:t>nested.</w:t>
      </w:r>
    </w:p>
    <w:p w14:paraId="172F9CF7" w14:textId="77777777" w:rsidR="00A720EB" w:rsidRDefault="00A720EB">
      <w:pPr>
        <w:pStyle w:val="a3"/>
        <w:spacing w:before="3"/>
        <w:rPr>
          <w:sz w:val="29"/>
        </w:rPr>
      </w:pPr>
    </w:p>
    <w:p w14:paraId="18A5672E" w14:textId="77777777" w:rsidR="00A720EB" w:rsidRDefault="00E10349">
      <w:pPr>
        <w:pStyle w:val="a3"/>
        <w:spacing w:before="1" w:line="307" w:lineRule="auto"/>
        <w:ind w:left="1564" w:right="359"/>
      </w:pPr>
      <w:r>
        <w:pict w14:anchorId="0855FC3B">
          <v:line id="_x0000_s1069" style="position:absolute;left:0;text-align:left;z-index:16456192;mso-position-horizontal-relative:page" from="108.25pt,-5.95pt" to="108.25pt,33.6pt" strokecolor="#ededed" strokeweight=".5pt">
            <w10:wrap anchorx="page"/>
          </v:line>
        </w:pict>
      </w:r>
      <w:r w:rsidR="0030286B">
        <w:rPr>
          <w:noProof/>
        </w:rPr>
        <w:drawing>
          <wp:anchor distT="0" distB="0" distL="0" distR="0" simplePos="0" relativeHeight="16456704" behindDoc="0" locked="0" layoutInCell="1" allowOverlap="1" wp14:anchorId="65BA0DFE" wp14:editId="2DB7A9B5">
            <wp:simplePos x="0" y="0"/>
            <wp:positionH relativeFrom="page">
              <wp:posOffset>888949</wp:posOffset>
            </wp:positionH>
            <wp:positionV relativeFrom="paragraph">
              <wp:posOffset>23406</wp:posOffset>
            </wp:positionV>
            <wp:extent cx="209550" cy="304800"/>
            <wp:effectExtent l="0" t="0" r="0" b="0"/>
            <wp:wrapNone/>
            <wp:docPr id="8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34.png"/>
                    <pic:cNvPicPr/>
                  </pic:nvPicPr>
                  <pic:blipFill>
                    <a:blip r:embed="rId31" cstate="print"/>
                    <a:stretch>
                      <a:fillRect/>
                    </a:stretch>
                  </pic:blipFill>
                  <pic:spPr>
                    <a:xfrm>
                      <a:off x="0" y="0"/>
                      <a:ext cx="209550" cy="304800"/>
                    </a:xfrm>
                    <a:prstGeom prst="rect">
                      <a:avLst/>
                    </a:prstGeom>
                  </pic:spPr>
                </pic:pic>
              </a:graphicData>
            </a:graphic>
          </wp:anchor>
        </w:drawing>
      </w:r>
      <w:r w:rsidR="0030286B">
        <w:rPr>
          <w:color w:val="333333"/>
          <w:w w:val="110"/>
        </w:rPr>
        <w:t>This has no effect on collections and maps, as those types are automatically identified, and a single metadata property is generated for each of them.</w:t>
      </w:r>
    </w:p>
    <w:p w14:paraId="1C741313" w14:textId="77777777" w:rsidR="00A720EB" w:rsidRDefault="00A720EB">
      <w:pPr>
        <w:pStyle w:val="a3"/>
        <w:spacing w:before="5"/>
        <w:rPr>
          <w:sz w:val="32"/>
        </w:rPr>
      </w:pPr>
    </w:p>
    <w:p w14:paraId="2C0C7EB2" w14:textId="77777777" w:rsidR="00A720EB" w:rsidRDefault="0030286B">
      <w:pPr>
        <w:pStyle w:val="4"/>
      </w:pPr>
      <w:bookmarkStart w:id="1071" w:name="Adding_Additional_Metadata"/>
      <w:bookmarkEnd w:id="1071"/>
      <w:r>
        <w:rPr>
          <w:color w:val="333333"/>
          <w:w w:val="110"/>
        </w:rPr>
        <w:t>Adding Additional Metadata</w:t>
      </w:r>
    </w:p>
    <w:p w14:paraId="76652E61" w14:textId="77777777" w:rsidR="00A720EB" w:rsidRDefault="00A720EB">
      <w:pPr>
        <w:pStyle w:val="a3"/>
        <w:spacing w:before="12"/>
        <w:rPr>
          <w:rFonts w:ascii="Palatino Linotype"/>
          <w:b/>
          <w:sz w:val="18"/>
        </w:rPr>
      </w:pPr>
    </w:p>
    <w:p w14:paraId="22B13687" w14:textId="77777777" w:rsidR="00A720EB" w:rsidRDefault="0030286B">
      <w:pPr>
        <w:pStyle w:val="a3"/>
        <w:spacing w:line="292" w:lineRule="auto"/>
        <w:ind w:left="124" w:right="122"/>
        <w:jc w:val="both"/>
      </w:pPr>
      <w:r>
        <w:rPr>
          <w:color w:val="333333"/>
          <w:w w:val="110"/>
        </w:rPr>
        <w:t xml:space="preserve">Spring Boot’s configuration file handling is quite flexible, and it is often the case that properties   </w:t>
      </w:r>
      <w:r>
        <w:rPr>
          <w:color w:val="333333"/>
          <w:spacing w:val="50"/>
          <w:w w:val="110"/>
        </w:rPr>
        <w:t xml:space="preserve"> </w:t>
      </w:r>
      <w:r>
        <w:rPr>
          <w:color w:val="333333"/>
          <w:w w:val="110"/>
        </w:rPr>
        <w:t xml:space="preserve">may exist that are not bound to a </w:t>
      </w:r>
      <w:r>
        <w:rPr>
          <w:rFonts w:ascii="MS Gothic" w:hAnsi="MS Gothic"/>
          <w:color w:val="B02045"/>
          <w:w w:val="110"/>
        </w:rPr>
        <w:t xml:space="preserve">@ConfigurationProperties </w:t>
      </w:r>
      <w:r>
        <w:rPr>
          <w:color w:val="333333"/>
          <w:w w:val="110"/>
        </w:rPr>
        <w:t xml:space="preserve">bean. </w:t>
      </w:r>
      <w:r>
        <w:rPr>
          <w:color w:val="333333"/>
          <w:spacing w:val="-6"/>
          <w:w w:val="110"/>
        </w:rPr>
        <w:t xml:space="preserve">You </w:t>
      </w:r>
      <w:r>
        <w:rPr>
          <w:color w:val="333333"/>
          <w:w w:val="110"/>
        </w:rPr>
        <w:t xml:space="preserve">may also need to tune some attributes of an existing </w:t>
      </w:r>
      <w:r>
        <w:rPr>
          <w:color w:val="333333"/>
          <w:spacing w:val="-7"/>
          <w:w w:val="110"/>
        </w:rPr>
        <w:t xml:space="preserve">key. </w:t>
      </w:r>
      <w:r>
        <w:rPr>
          <w:color w:val="333333"/>
          <w:spacing w:val="-4"/>
          <w:w w:val="110"/>
        </w:rPr>
        <w:t xml:space="preserve">To </w:t>
      </w:r>
      <w:r>
        <w:rPr>
          <w:color w:val="333333"/>
          <w:w w:val="110"/>
        </w:rPr>
        <w:t>support such cases and let you provide custom "hints",</w:t>
      </w:r>
      <w:r>
        <w:rPr>
          <w:color w:val="333333"/>
          <w:spacing w:val="50"/>
          <w:w w:val="110"/>
        </w:rPr>
        <w:t xml:space="preserve"> </w:t>
      </w:r>
      <w:proofErr w:type="gramStart"/>
      <w:r>
        <w:rPr>
          <w:color w:val="333333"/>
          <w:w w:val="110"/>
        </w:rPr>
        <w:t xml:space="preserve">the  </w:t>
      </w:r>
      <w:r>
        <w:rPr>
          <w:color w:val="333333"/>
          <w:w w:val="105"/>
        </w:rPr>
        <w:t>annotation</w:t>
      </w:r>
      <w:proofErr w:type="gramEnd"/>
      <w:r>
        <w:rPr>
          <w:color w:val="333333"/>
          <w:w w:val="105"/>
        </w:rPr>
        <w:t xml:space="preserve"> processor automatically merges items from </w:t>
      </w:r>
      <w:r>
        <w:rPr>
          <w:rFonts w:ascii="MS Gothic" w:hAnsi="MS Gothic"/>
          <w:color w:val="B02045"/>
          <w:w w:val="105"/>
        </w:rPr>
        <w:t xml:space="preserve">META-INF/additional-spring-configuration- </w:t>
      </w:r>
      <w:r>
        <w:rPr>
          <w:rFonts w:ascii="MS Gothic" w:hAnsi="MS Gothic"/>
          <w:color w:val="B02045"/>
          <w:w w:val="110"/>
        </w:rPr>
        <w:t>metadata.json</w:t>
      </w:r>
      <w:r>
        <w:rPr>
          <w:rFonts w:ascii="MS Gothic" w:hAnsi="MS Gothic"/>
          <w:color w:val="B02045"/>
          <w:spacing w:val="-56"/>
          <w:w w:val="110"/>
        </w:rPr>
        <w:t xml:space="preserve"> </w:t>
      </w:r>
      <w:r>
        <w:rPr>
          <w:color w:val="333333"/>
          <w:w w:val="110"/>
        </w:rPr>
        <w:t>into the main metadata file.</w:t>
      </w:r>
    </w:p>
    <w:p w14:paraId="0385931E" w14:textId="77777777" w:rsidR="00A720EB" w:rsidRDefault="0030286B">
      <w:pPr>
        <w:pStyle w:val="a3"/>
        <w:spacing w:before="232" w:line="307" w:lineRule="auto"/>
        <w:ind w:left="124" w:right="135"/>
        <w:jc w:val="both"/>
      </w:pPr>
      <w:r>
        <w:rPr>
          <w:color w:val="333333"/>
          <w:w w:val="115"/>
        </w:rPr>
        <w:t xml:space="preserve">If you refer to a property that has been detected </w:t>
      </w:r>
      <w:r>
        <w:rPr>
          <w:color w:val="333333"/>
          <w:spacing w:val="-3"/>
          <w:w w:val="115"/>
        </w:rPr>
        <w:t xml:space="preserve">automatically, </w:t>
      </w:r>
      <w:r>
        <w:rPr>
          <w:color w:val="333333"/>
          <w:w w:val="115"/>
        </w:rPr>
        <w:t xml:space="preserve">the description, default value, and deprecation information are overridden, if specified. If the manual property declaration is not identified in the current module, it is added as a new </w:t>
      </w:r>
      <w:r>
        <w:rPr>
          <w:color w:val="333333"/>
          <w:spacing w:val="-3"/>
          <w:w w:val="115"/>
        </w:rPr>
        <w:t>property.</w:t>
      </w:r>
    </w:p>
    <w:p w14:paraId="3669909C" w14:textId="77777777" w:rsidR="00A720EB" w:rsidRDefault="0030286B">
      <w:pPr>
        <w:pStyle w:val="a3"/>
        <w:spacing w:before="231" w:line="285" w:lineRule="auto"/>
        <w:ind w:left="124" w:right="123"/>
        <w:jc w:val="both"/>
      </w:pPr>
      <w:r>
        <w:rPr>
          <w:color w:val="333333"/>
          <w:w w:val="110"/>
        </w:rPr>
        <w:t xml:space="preserve">The format of the </w:t>
      </w:r>
      <w:r>
        <w:rPr>
          <w:rFonts w:ascii="MS Gothic"/>
          <w:color w:val="B02045"/>
          <w:w w:val="110"/>
        </w:rPr>
        <w:t xml:space="preserve">additional-spring-configuration-metadata.json </w:t>
      </w:r>
      <w:r>
        <w:rPr>
          <w:color w:val="333333"/>
          <w:w w:val="110"/>
        </w:rPr>
        <w:t>file is exactly the same as the regular</w:t>
      </w:r>
      <w:r>
        <w:rPr>
          <w:color w:val="333333"/>
          <w:spacing w:val="-14"/>
          <w:w w:val="110"/>
        </w:rPr>
        <w:t xml:space="preserve"> </w:t>
      </w:r>
      <w:r>
        <w:rPr>
          <w:rFonts w:ascii="MS Gothic"/>
          <w:color w:val="B02045"/>
          <w:w w:val="110"/>
        </w:rPr>
        <w:t>spring-configuration-</w:t>
      </w:r>
      <w:proofErr w:type="gramStart"/>
      <w:r>
        <w:rPr>
          <w:rFonts w:ascii="MS Gothic"/>
          <w:color w:val="B02045"/>
          <w:w w:val="110"/>
        </w:rPr>
        <w:t>metadata.json</w:t>
      </w:r>
      <w:proofErr w:type="gramEnd"/>
      <w:r>
        <w:rPr>
          <w:color w:val="333333"/>
          <w:w w:val="110"/>
        </w:rPr>
        <w:t>.</w:t>
      </w:r>
      <w:r>
        <w:rPr>
          <w:color w:val="333333"/>
          <w:spacing w:val="-14"/>
          <w:w w:val="110"/>
        </w:rPr>
        <w:t xml:space="preserve"> </w:t>
      </w:r>
      <w:r>
        <w:rPr>
          <w:color w:val="333333"/>
          <w:w w:val="110"/>
        </w:rPr>
        <w:t>The</w:t>
      </w:r>
      <w:r>
        <w:rPr>
          <w:color w:val="333333"/>
          <w:spacing w:val="-14"/>
          <w:w w:val="110"/>
        </w:rPr>
        <w:t xml:space="preserve"> </w:t>
      </w:r>
      <w:r>
        <w:rPr>
          <w:color w:val="333333"/>
          <w:w w:val="110"/>
        </w:rPr>
        <w:t>additional</w:t>
      </w:r>
      <w:r>
        <w:rPr>
          <w:color w:val="333333"/>
          <w:spacing w:val="-14"/>
          <w:w w:val="110"/>
        </w:rPr>
        <w:t xml:space="preserve"> </w:t>
      </w:r>
      <w:r>
        <w:rPr>
          <w:color w:val="333333"/>
          <w:w w:val="110"/>
        </w:rPr>
        <w:t>properties</w:t>
      </w:r>
      <w:r>
        <w:rPr>
          <w:color w:val="333333"/>
          <w:spacing w:val="-14"/>
          <w:w w:val="110"/>
        </w:rPr>
        <w:t xml:space="preserve"> </w:t>
      </w:r>
      <w:r>
        <w:rPr>
          <w:color w:val="333333"/>
          <w:w w:val="110"/>
        </w:rPr>
        <w:t>file</w:t>
      </w:r>
      <w:r>
        <w:rPr>
          <w:color w:val="333333"/>
          <w:spacing w:val="-14"/>
          <w:w w:val="110"/>
        </w:rPr>
        <w:t xml:space="preserve"> </w:t>
      </w:r>
      <w:r>
        <w:rPr>
          <w:color w:val="333333"/>
          <w:w w:val="110"/>
        </w:rPr>
        <w:t>is</w:t>
      </w:r>
      <w:r>
        <w:rPr>
          <w:color w:val="333333"/>
          <w:spacing w:val="-14"/>
          <w:w w:val="110"/>
        </w:rPr>
        <w:t xml:space="preserve"> </w:t>
      </w:r>
      <w:r>
        <w:rPr>
          <w:color w:val="333333"/>
          <w:w w:val="110"/>
        </w:rPr>
        <w:t>optional.</w:t>
      </w:r>
      <w:r>
        <w:rPr>
          <w:color w:val="333333"/>
          <w:spacing w:val="-14"/>
          <w:w w:val="110"/>
        </w:rPr>
        <w:t xml:space="preserve"> </w:t>
      </w:r>
      <w:r>
        <w:rPr>
          <w:color w:val="333333"/>
          <w:w w:val="110"/>
        </w:rPr>
        <w:t>If</w:t>
      </w:r>
      <w:r>
        <w:rPr>
          <w:color w:val="333333"/>
          <w:spacing w:val="-14"/>
          <w:w w:val="110"/>
        </w:rPr>
        <w:t xml:space="preserve"> </w:t>
      </w:r>
      <w:r>
        <w:rPr>
          <w:color w:val="333333"/>
          <w:w w:val="110"/>
        </w:rPr>
        <w:t>you</w:t>
      </w:r>
      <w:r>
        <w:rPr>
          <w:color w:val="333333"/>
          <w:spacing w:val="-14"/>
          <w:w w:val="110"/>
        </w:rPr>
        <w:t xml:space="preserve"> </w:t>
      </w:r>
      <w:r>
        <w:rPr>
          <w:color w:val="333333"/>
          <w:w w:val="110"/>
        </w:rPr>
        <w:t>do</w:t>
      </w:r>
      <w:r>
        <w:rPr>
          <w:color w:val="333333"/>
          <w:spacing w:val="-14"/>
          <w:w w:val="110"/>
        </w:rPr>
        <w:t xml:space="preserve"> </w:t>
      </w:r>
      <w:r>
        <w:rPr>
          <w:color w:val="333333"/>
          <w:w w:val="110"/>
        </w:rPr>
        <w:t>not have any additional properties, do not add the</w:t>
      </w:r>
      <w:r>
        <w:rPr>
          <w:color w:val="333333"/>
          <w:spacing w:val="24"/>
          <w:w w:val="110"/>
        </w:rPr>
        <w:t xml:space="preserve"> </w:t>
      </w:r>
      <w:r>
        <w:rPr>
          <w:color w:val="333333"/>
          <w:w w:val="110"/>
        </w:rPr>
        <w:t>file.</w:t>
      </w:r>
    </w:p>
    <w:p w14:paraId="0ADD78AE" w14:textId="77777777" w:rsidR="00A720EB" w:rsidRDefault="00A720EB">
      <w:pPr>
        <w:pStyle w:val="a3"/>
        <w:spacing w:before="10"/>
        <w:rPr>
          <w:sz w:val="27"/>
        </w:rPr>
      </w:pPr>
    </w:p>
    <w:p w14:paraId="6D6B740A" w14:textId="77777777" w:rsidR="00A720EB" w:rsidRDefault="0030286B">
      <w:pPr>
        <w:pStyle w:val="2"/>
        <w:ind w:left="124" w:firstLine="0"/>
        <w:jc w:val="both"/>
      </w:pPr>
      <w:bookmarkStart w:id="1072" w:name="Appendix_C:_Auto-configuration_Classes"/>
      <w:bookmarkStart w:id="1073" w:name="_Toc54424049"/>
      <w:bookmarkEnd w:id="1072"/>
      <w:r>
        <w:rPr>
          <w:color w:val="333333"/>
          <w:w w:val="110"/>
        </w:rPr>
        <w:t>Appendix C: Auto-configuration Classes</w:t>
      </w:r>
      <w:bookmarkEnd w:id="1073"/>
    </w:p>
    <w:p w14:paraId="4E4F92C0" w14:textId="77777777" w:rsidR="00A720EB" w:rsidRDefault="0030286B">
      <w:pPr>
        <w:pStyle w:val="a3"/>
        <w:spacing w:before="254" w:line="307" w:lineRule="auto"/>
        <w:ind w:left="124" w:right="131"/>
        <w:jc w:val="both"/>
      </w:pPr>
      <w:r>
        <w:rPr>
          <w:color w:val="333333"/>
          <w:w w:val="110"/>
        </w:rPr>
        <w:t>This appendix contains details of all of the auto-configuration classes provided by Spring Boot, with links to documentation and source code. Remember to also look at the conditions report in your</w:t>
      </w:r>
    </w:p>
    <w:p w14:paraId="5DBDB7F9" w14:textId="77777777" w:rsidR="00A720EB" w:rsidRDefault="00A720EB">
      <w:pPr>
        <w:spacing w:line="307" w:lineRule="auto"/>
        <w:jc w:val="both"/>
        <w:sectPr w:rsidR="00A720EB">
          <w:pgSz w:w="11910" w:h="16840"/>
          <w:pgMar w:top="700" w:right="840" w:bottom="520" w:left="840" w:header="0" w:footer="198" w:gutter="0"/>
          <w:cols w:space="720"/>
        </w:sectPr>
      </w:pPr>
    </w:p>
    <w:p w14:paraId="5247BEB2" w14:textId="77777777" w:rsidR="00A720EB" w:rsidRDefault="0030286B">
      <w:pPr>
        <w:pStyle w:val="a3"/>
        <w:spacing w:before="96"/>
        <w:ind w:left="124"/>
        <w:rPr>
          <w:rFonts w:ascii="MS Gothic"/>
        </w:rPr>
      </w:pPr>
      <w:r>
        <w:rPr>
          <w:color w:val="333333"/>
          <w:w w:val="110"/>
        </w:rPr>
        <w:lastRenderedPageBreak/>
        <w:t xml:space="preserve">application for more details of which features are switched on. (To do so, start the app with </w:t>
      </w:r>
      <w:r>
        <w:rPr>
          <w:rFonts w:ascii="MS Gothic"/>
          <w:color w:val="B02045"/>
          <w:w w:val="110"/>
        </w:rPr>
        <w:t>--debug</w:t>
      </w:r>
    </w:p>
    <w:p w14:paraId="256B9A71" w14:textId="77777777" w:rsidR="00A720EB" w:rsidRDefault="0030286B">
      <w:pPr>
        <w:pStyle w:val="a3"/>
        <w:spacing w:before="47"/>
        <w:ind w:left="124"/>
      </w:pPr>
      <w:r>
        <w:rPr>
          <w:color w:val="333333"/>
          <w:w w:val="110"/>
        </w:rPr>
        <w:t xml:space="preserve">or </w:t>
      </w:r>
      <w:r>
        <w:rPr>
          <w:rFonts w:ascii="MS Gothic"/>
          <w:color w:val="B02045"/>
          <w:w w:val="110"/>
        </w:rPr>
        <w:t>-Ddebug</w:t>
      </w:r>
      <w:r>
        <w:rPr>
          <w:rFonts w:ascii="MS Gothic"/>
          <w:color w:val="B02045"/>
          <w:spacing w:val="-64"/>
          <w:w w:val="110"/>
        </w:rPr>
        <w:t xml:space="preserve"> </w:t>
      </w:r>
      <w:r>
        <w:rPr>
          <w:color w:val="333333"/>
          <w:w w:val="110"/>
        </w:rPr>
        <w:t xml:space="preserve">or, in an Actuator application, use the </w:t>
      </w:r>
      <w:r>
        <w:rPr>
          <w:rFonts w:ascii="MS Gothic"/>
          <w:color w:val="B02045"/>
          <w:w w:val="110"/>
        </w:rPr>
        <w:t>conditions</w:t>
      </w:r>
      <w:r>
        <w:rPr>
          <w:rFonts w:ascii="MS Gothic"/>
          <w:color w:val="B02045"/>
          <w:spacing w:val="-63"/>
          <w:w w:val="110"/>
        </w:rPr>
        <w:t xml:space="preserve"> </w:t>
      </w:r>
      <w:r>
        <w:rPr>
          <w:color w:val="333333"/>
          <w:w w:val="110"/>
        </w:rPr>
        <w:t>endpoint).</w:t>
      </w:r>
    </w:p>
    <w:p w14:paraId="2C10AA7B" w14:textId="77777777" w:rsidR="00A720EB" w:rsidRDefault="00A720EB">
      <w:pPr>
        <w:pStyle w:val="a3"/>
        <w:spacing w:before="6"/>
        <w:rPr>
          <w:sz w:val="30"/>
        </w:rPr>
      </w:pPr>
    </w:p>
    <w:p w14:paraId="16690AD3" w14:textId="77777777" w:rsidR="00A720EB" w:rsidRDefault="0030286B">
      <w:pPr>
        <w:pStyle w:val="3"/>
        <w:numPr>
          <w:ilvl w:val="2"/>
          <w:numId w:val="6"/>
        </w:numPr>
        <w:tabs>
          <w:tab w:val="left" w:pos="1031"/>
        </w:tabs>
      </w:pPr>
      <w:bookmarkStart w:id="1074" w:name="10.C.1._spring-boot-autoconfigure"/>
      <w:bookmarkStart w:id="1075" w:name="_Toc54424050"/>
      <w:bookmarkEnd w:id="1074"/>
      <w:r>
        <w:rPr>
          <w:color w:val="333333"/>
          <w:w w:val="110"/>
        </w:rPr>
        <w:t>spring-boot-autoconfigure</w:t>
      </w:r>
      <w:bookmarkEnd w:id="1075"/>
    </w:p>
    <w:p w14:paraId="56D107D5" w14:textId="77777777" w:rsidR="00A720EB" w:rsidRDefault="0030286B">
      <w:pPr>
        <w:pStyle w:val="a3"/>
        <w:spacing w:before="243"/>
        <w:ind w:left="124"/>
      </w:pPr>
      <w:r>
        <w:rPr>
          <w:color w:val="333333"/>
          <w:w w:val="110"/>
        </w:rPr>
        <w:t xml:space="preserve">The following auto-configuration classes are from the </w:t>
      </w:r>
      <w:r>
        <w:rPr>
          <w:rFonts w:ascii="MS Gothic"/>
          <w:color w:val="B02045"/>
          <w:w w:val="110"/>
        </w:rPr>
        <w:t>spring-boot-autoconfigure</w:t>
      </w:r>
      <w:r>
        <w:rPr>
          <w:rFonts w:ascii="MS Gothic"/>
          <w:color w:val="B02045"/>
          <w:spacing w:val="-97"/>
          <w:w w:val="110"/>
        </w:rPr>
        <w:t xml:space="preserve"> </w:t>
      </w:r>
      <w:r>
        <w:rPr>
          <w:color w:val="333333"/>
          <w:w w:val="110"/>
        </w:rPr>
        <w:t>module:</w:t>
      </w:r>
    </w:p>
    <w:p w14:paraId="2C2665A6" w14:textId="77777777" w:rsidR="00A720EB" w:rsidRDefault="00A720EB">
      <w:pPr>
        <w:pStyle w:val="a3"/>
        <w:spacing w:before="6"/>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981"/>
        <w:gridCol w:w="1995"/>
      </w:tblGrid>
      <w:tr w:rsidR="00A720EB" w14:paraId="0F0226B0" w14:textId="77777777">
        <w:trPr>
          <w:trHeight w:val="415"/>
        </w:trPr>
        <w:tc>
          <w:tcPr>
            <w:tcW w:w="7981" w:type="dxa"/>
            <w:tcBorders>
              <w:bottom w:val="single" w:sz="12" w:space="0" w:color="DDDDDD"/>
            </w:tcBorders>
          </w:tcPr>
          <w:p w14:paraId="58166107" w14:textId="77777777" w:rsidR="00A720EB" w:rsidRDefault="0030286B">
            <w:pPr>
              <w:pStyle w:val="TableParagraph"/>
              <w:spacing w:before="74"/>
              <w:rPr>
                <w:rFonts w:ascii="Palatino Linotype"/>
                <w:b/>
                <w:sz w:val="21"/>
              </w:rPr>
            </w:pPr>
            <w:r>
              <w:rPr>
                <w:rFonts w:ascii="Palatino Linotype"/>
                <w:b/>
                <w:color w:val="333333"/>
                <w:w w:val="110"/>
                <w:sz w:val="21"/>
              </w:rPr>
              <w:t>Configuration Class</w:t>
            </w:r>
          </w:p>
        </w:tc>
        <w:tc>
          <w:tcPr>
            <w:tcW w:w="1995" w:type="dxa"/>
            <w:tcBorders>
              <w:bottom w:val="single" w:sz="12" w:space="0" w:color="DDDDDD"/>
            </w:tcBorders>
          </w:tcPr>
          <w:p w14:paraId="6D952D92" w14:textId="77777777" w:rsidR="00A720EB" w:rsidRDefault="0030286B">
            <w:pPr>
              <w:pStyle w:val="TableParagraph"/>
              <w:spacing w:before="74"/>
              <w:ind w:left="59"/>
              <w:rPr>
                <w:rFonts w:ascii="Palatino Linotype"/>
                <w:b/>
                <w:sz w:val="21"/>
              </w:rPr>
            </w:pPr>
            <w:r>
              <w:rPr>
                <w:rFonts w:ascii="Palatino Linotype"/>
                <w:b/>
                <w:color w:val="333333"/>
                <w:w w:val="105"/>
                <w:sz w:val="21"/>
              </w:rPr>
              <w:t>Links</w:t>
            </w:r>
          </w:p>
        </w:tc>
      </w:tr>
      <w:tr w:rsidR="00A720EB" w14:paraId="4791DDAC" w14:textId="77777777">
        <w:trPr>
          <w:trHeight w:val="415"/>
        </w:trPr>
        <w:tc>
          <w:tcPr>
            <w:tcW w:w="7981" w:type="dxa"/>
            <w:tcBorders>
              <w:top w:val="single" w:sz="12" w:space="0" w:color="DDDDDD"/>
            </w:tcBorders>
          </w:tcPr>
          <w:p w14:paraId="6092F019" w14:textId="77777777" w:rsidR="00A720EB" w:rsidRDefault="00E10349">
            <w:pPr>
              <w:pStyle w:val="TableParagraph"/>
              <w:spacing w:before="30"/>
              <w:rPr>
                <w:sz w:val="21"/>
              </w:rPr>
            </w:pPr>
            <w:hyperlink r:id="rId683">
              <w:r w:rsidR="0030286B">
                <w:rPr>
                  <w:color w:val="B02045"/>
                  <w:sz w:val="21"/>
                </w:rPr>
                <w:t>ActiveMQAutoConfiguration</w:t>
              </w:r>
            </w:hyperlink>
          </w:p>
        </w:tc>
        <w:tc>
          <w:tcPr>
            <w:tcW w:w="1995" w:type="dxa"/>
            <w:tcBorders>
              <w:top w:val="single" w:sz="12" w:space="0" w:color="DDDDDD"/>
            </w:tcBorders>
          </w:tcPr>
          <w:p w14:paraId="0011D7D6" w14:textId="77777777" w:rsidR="00A720EB" w:rsidRDefault="00E10349">
            <w:pPr>
              <w:pStyle w:val="TableParagraph"/>
              <w:spacing w:before="84"/>
              <w:ind w:left="59"/>
              <w:rPr>
                <w:rFonts w:ascii="Cambria"/>
                <w:sz w:val="21"/>
              </w:rPr>
            </w:pPr>
            <w:hyperlink r:id="rId684">
              <w:r w:rsidR="0030286B">
                <w:rPr>
                  <w:rFonts w:ascii="Cambria"/>
                  <w:color w:val="418BCA"/>
                  <w:w w:val="115"/>
                  <w:sz w:val="21"/>
                </w:rPr>
                <w:t>javadoc</w:t>
              </w:r>
            </w:hyperlink>
          </w:p>
        </w:tc>
      </w:tr>
      <w:tr w:rsidR="00A720EB" w14:paraId="3342DE43" w14:textId="77777777">
        <w:trPr>
          <w:trHeight w:val="425"/>
        </w:trPr>
        <w:tc>
          <w:tcPr>
            <w:tcW w:w="7981" w:type="dxa"/>
          </w:tcPr>
          <w:p w14:paraId="41F1DA6A" w14:textId="77777777" w:rsidR="00A720EB" w:rsidRDefault="00E10349">
            <w:pPr>
              <w:pStyle w:val="TableParagraph"/>
              <w:spacing w:before="40"/>
              <w:rPr>
                <w:sz w:val="21"/>
              </w:rPr>
            </w:pPr>
            <w:hyperlink r:id="rId685">
              <w:r w:rsidR="0030286B">
                <w:rPr>
                  <w:color w:val="B02045"/>
                  <w:sz w:val="21"/>
                </w:rPr>
                <w:t>AopAutoConfiguration</w:t>
              </w:r>
            </w:hyperlink>
          </w:p>
        </w:tc>
        <w:tc>
          <w:tcPr>
            <w:tcW w:w="1995" w:type="dxa"/>
          </w:tcPr>
          <w:p w14:paraId="7654EE32" w14:textId="77777777" w:rsidR="00A720EB" w:rsidRDefault="00E10349">
            <w:pPr>
              <w:pStyle w:val="TableParagraph"/>
              <w:spacing w:before="94"/>
              <w:ind w:left="59"/>
              <w:rPr>
                <w:rFonts w:ascii="Cambria"/>
                <w:sz w:val="21"/>
              </w:rPr>
            </w:pPr>
            <w:hyperlink r:id="rId686">
              <w:r w:rsidR="0030286B">
                <w:rPr>
                  <w:rFonts w:ascii="Cambria"/>
                  <w:color w:val="418BCA"/>
                  <w:w w:val="115"/>
                  <w:sz w:val="21"/>
                </w:rPr>
                <w:t>javadoc</w:t>
              </w:r>
            </w:hyperlink>
          </w:p>
        </w:tc>
      </w:tr>
      <w:tr w:rsidR="00A720EB" w14:paraId="29EF059F" w14:textId="77777777">
        <w:trPr>
          <w:trHeight w:val="425"/>
        </w:trPr>
        <w:tc>
          <w:tcPr>
            <w:tcW w:w="7981" w:type="dxa"/>
          </w:tcPr>
          <w:p w14:paraId="275591F9" w14:textId="77777777" w:rsidR="00A720EB" w:rsidRDefault="00E10349">
            <w:pPr>
              <w:pStyle w:val="TableParagraph"/>
              <w:spacing w:before="40"/>
              <w:rPr>
                <w:sz w:val="21"/>
              </w:rPr>
            </w:pPr>
            <w:hyperlink r:id="rId687">
              <w:r w:rsidR="0030286B">
                <w:rPr>
                  <w:color w:val="B02045"/>
                  <w:sz w:val="21"/>
                </w:rPr>
                <w:t>ApplicationAvailabilityAutoConfiguration</w:t>
              </w:r>
            </w:hyperlink>
          </w:p>
        </w:tc>
        <w:tc>
          <w:tcPr>
            <w:tcW w:w="1995" w:type="dxa"/>
          </w:tcPr>
          <w:p w14:paraId="18CDCAF0" w14:textId="77777777" w:rsidR="00A720EB" w:rsidRDefault="00E10349">
            <w:pPr>
              <w:pStyle w:val="TableParagraph"/>
              <w:spacing w:before="94"/>
              <w:ind w:left="59"/>
              <w:rPr>
                <w:rFonts w:ascii="Cambria"/>
                <w:sz w:val="21"/>
              </w:rPr>
            </w:pPr>
            <w:hyperlink r:id="rId688">
              <w:r w:rsidR="0030286B">
                <w:rPr>
                  <w:rFonts w:ascii="Cambria"/>
                  <w:color w:val="418BCA"/>
                  <w:w w:val="115"/>
                  <w:sz w:val="21"/>
                </w:rPr>
                <w:t>javadoc</w:t>
              </w:r>
            </w:hyperlink>
          </w:p>
        </w:tc>
      </w:tr>
      <w:tr w:rsidR="00A720EB" w14:paraId="1BD5D7DD" w14:textId="77777777">
        <w:trPr>
          <w:trHeight w:val="425"/>
        </w:trPr>
        <w:tc>
          <w:tcPr>
            <w:tcW w:w="7981" w:type="dxa"/>
          </w:tcPr>
          <w:p w14:paraId="51B77396" w14:textId="77777777" w:rsidR="00A720EB" w:rsidRDefault="00E10349">
            <w:pPr>
              <w:pStyle w:val="TableParagraph"/>
              <w:spacing w:before="40"/>
              <w:rPr>
                <w:sz w:val="21"/>
              </w:rPr>
            </w:pPr>
            <w:hyperlink r:id="rId689">
              <w:r w:rsidR="0030286B">
                <w:rPr>
                  <w:color w:val="B02045"/>
                  <w:sz w:val="21"/>
                </w:rPr>
                <w:t>ArtemisAutoConfiguration</w:t>
              </w:r>
            </w:hyperlink>
          </w:p>
        </w:tc>
        <w:tc>
          <w:tcPr>
            <w:tcW w:w="1995" w:type="dxa"/>
          </w:tcPr>
          <w:p w14:paraId="05DA1EA2" w14:textId="77777777" w:rsidR="00A720EB" w:rsidRDefault="00E10349">
            <w:pPr>
              <w:pStyle w:val="TableParagraph"/>
              <w:spacing w:before="94"/>
              <w:ind w:left="59"/>
              <w:rPr>
                <w:rFonts w:ascii="Cambria"/>
                <w:sz w:val="21"/>
              </w:rPr>
            </w:pPr>
            <w:hyperlink r:id="rId690">
              <w:r w:rsidR="0030286B">
                <w:rPr>
                  <w:rFonts w:ascii="Cambria"/>
                  <w:color w:val="418BCA"/>
                  <w:w w:val="115"/>
                  <w:sz w:val="21"/>
                </w:rPr>
                <w:t>javadoc</w:t>
              </w:r>
            </w:hyperlink>
          </w:p>
        </w:tc>
      </w:tr>
      <w:tr w:rsidR="00A720EB" w14:paraId="5928D654" w14:textId="77777777">
        <w:trPr>
          <w:trHeight w:val="425"/>
        </w:trPr>
        <w:tc>
          <w:tcPr>
            <w:tcW w:w="7981" w:type="dxa"/>
          </w:tcPr>
          <w:p w14:paraId="75C6F6CC" w14:textId="77777777" w:rsidR="00A720EB" w:rsidRDefault="00E10349">
            <w:pPr>
              <w:pStyle w:val="TableParagraph"/>
              <w:spacing w:before="40"/>
              <w:rPr>
                <w:sz w:val="21"/>
              </w:rPr>
            </w:pPr>
            <w:hyperlink r:id="rId691">
              <w:r w:rsidR="0030286B">
                <w:rPr>
                  <w:color w:val="B02045"/>
                  <w:sz w:val="21"/>
                </w:rPr>
                <w:t>BatchAutoConfiguration</w:t>
              </w:r>
            </w:hyperlink>
          </w:p>
        </w:tc>
        <w:tc>
          <w:tcPr>
            <w:tcW w:w="1995" w:type="dxa"/>
          </w:tcPr>
          <w:p w14:paraId="6CF6F52E" w14:textId="77777777" w:rsidR="00A720EB" w:rsidRDefault="00E10349">
            <w:pPr>
              <w:pStyle w:val="TableParagraph"/>
              <w:spacing w:before="94"/>
              <w:ind w:left="59"/>
              <w:rPr>
                <w:rFonts w:ascii="Cambria"/>
                <w:sz w:val="21"/>
              </w:rPr>
            </w:pPr>
            <w:hyperlink r:id="rId692">
              <w:r w:rsidR="0030286B">
                <w:rPr>
                  <w:rFonts w:ascii="Cambria"/>
                  <w:color w:val="418BCA"/>
                  <w:w w:val="115"/>
                  <w:sz w:val="21"/>
                </w:rPr>
                <w:t>javadoc</w:t>
              </w:r>
            </w:hyperlink>
          </w:p>
        </w:tc>
      </w:tr>
      <w:tr w:rsidR="00A720EB" w14:paraId="3FBBC8E3" w14:textId="77777777">
        <w:trPr>
          <w:trHeight w:val="425"/>
        </w:trPr>
        <w:tc>
          <w:tcPr>
            <w:tcW w:w="7981" w:type="dxa"/>
          </w:tcPr>
          <w:p w14:paraId="0EB32EA8" w14:textId="77777777" w:rsidR="00A720EB" w:rsidRDefault="00E10349">
            <w:pPr>
              <w:pStyle w:val="TableParagraph"/>
              <w:spacing w:before="40"/>
              <w:rPr>
                <w:sz w:val="21"/>
              </w:rPr>
            </w:pPr>
            <w:hyperlink r:id="rId693">
              <w:r w:rsidR="0030286B">
                <w:rPr>
                  <w:color w:val="B02045"/>
                  <w:sz w:val="21"/>
                </w:rPr>
                <w:t>CacheAutoConfiguration</w:t>
              </w:r>
            </w:hyperlink>
          </w:p>
        </w:tc>
        <w:tc>
          <w:tcPr>
            <w:tcW w:w="1995" w:type="dxa"/>
          </w:tcPr>
          <w:p w14:paraId="0B11AA37" w14:textId="77777777" w:rsidR="00A720EB" w:rsidRDefault="00E10349">
            <w:pPr>
              <w:pStyle w:val="TableParagraph"/>
              <w:spacing w:before="94"/>
              <w:ind w:left="59"/>
              <w:rPr>
                <w:rFonts w:ascii="Cambria"/>
                <w:sz w:val="21"/>
              </w:rPr>
            </w:pPr>
            <w:hyperlink r:id="rId694">
              <w:r w:rsidR="0030286B">
                <w:rPr>
                  <w:rFonts w:ascii="Cambria"/>
                  <w:color w:val="418BCA"/>
                  <w:w w:val="115"/>
                  <w:sz w:val="21"/>
                </w:rPr>
                <w:t>javadoc</w:t>
              </w:r>
            </w:hyperlink>
          </w:p>
        </w:tc>
      </w:tr>
      <w:tr w:rsidR="00A720EB" w14:paraId="4DBBBEE0" w14:textId="77777777">
        <w:trPr>
          <w:trHeight w:val="425"/>
        </w:trPr>
        <w:tc>
          <w:tcPr>
            <w:tcW w:w="7981" w:type="dxa"/>
          </w:tcPr>
          <w:p w14:paraId="22167C31" w14:textId="77777777" w:rsidR="00A720EB" w:rsidRDefault="00E10349">
            <w:pPr>
              <w:pStyle w:val="TableParagraph"/>
              <w:spacing w:before="40"/>
              <w:rPr>
                <w:sz w:val="21"/>
              </w:rPr>
            </w:pPr>
            <w:hyperlink r:id="rId695">
              <w:r w:rsidR="0030286B">
                <w:rPr>
                  <w:color w:val="B02045"/>
                  <w:sz w:val="21"/>
                </w:rPr>
                <w:t>CassandraAutoConfiguration</w:t>
              </w:r>
            </w:hyperlink>
          </w:p>
        </w:tc>
        <w:tc>
          <w:tcPr>
            <w:tcW w:w="1995" w:type="dxa"/>
          </w:tcPr>
          <w:p w14:paraId="53A72177" w14:textId="77777777" w:rsidR="00A720EB" w:rsidRDefault="00E10349">
            <w:pPr>
              <w:pStyle w:val="TableParagraph"/>
              <w:spacing w:before="94"/>
              <w:ind w:left="59"/>
              <w:rPr>
                <w:rFonts w:ascii="Cambria"/>
                <w:sz w:val="21"/>
              </w:rPr>
            </w:pPr>
            <w:hyperlink r:id="rId696">
              <w:r w:rsidR="0030286B">
                <w:rPr>
                  <w:rFonts w:ascii="Cambria"/>
                  <w:color w:val="418BCA"/>
                  <w:w w:val="115"/>
                  <w:sz w:val="21"/>
                </w:rPr>
                <w:t>javadoc</w:t>
              </w:r>
            </w:hyperlink>
          </w:p>
        </w:tc>
      </w:tr>
      <w:tr w:rsidR="00A720EB" w14:paraId="5FEE4AD8" w14:textId="77777777">
        <w:trPr>
          <w:trHeight w:val="425"/>
        </w:trPr>
        <w:tc>
          <w:tcPr>
            <w:tcW w:w="7981" w:type="dxa"/>
          </w:tcPr>
          <w:p w14:paraId="36967FC0" w14:textId="77777777" w:rsidR="00A720EB" w:rsidRDefault="00E10349">
            <w:pPr>
              <w:pStyle w:val="TableParagraph"/>
              <w:spacing w:before="40"/>
              <w:rPr>
                <w:sz w:val="21"/>
              </w:rPr>
            </w:pPr>
            <w:hyperlink r:id="rId697">
              <w:r w:rsidR="0030286B">
                <w:rPr>
                  <w:color w:val="B02045"/>
                  <w:sz w:val="21"/>
                </w:rPr>
                <w:t>CassandraDataAutoConfiguration</w:t>
              </w:r>
            </w:hyperlink>
          </w:p>
        </w:tc>
        <w:tc>
          <w:tcPr>
            <w:tcW w:w="1995" w:type="dxa"/>
          </w:tcPr>
          <w:p w14:paraId="46AFC390" w14:textId="77777777" w:rsidR="00A720EB" w:rsidRDefault="00E10349">
            <w:pPr>
              <w:pStyle w:val="TableParagraph"/>
              <w:spacing w:before="94"/>
              <w:ind w:left="59"/>
              <w:rPr>
                <w:rFonts w:ascii="Cambria"/>
                <w:sz w:val="21"/>
              </w:rPr>
            </w:pPr>
            <w:hyperlink r:id="rId698">
              <w:r w:rsidR="0030286B">
                <w:rPr>
                  <w:rFonts w:ascii="Cambria"/>
                  <w:color w:val="418BCA"/>
                  <w:w w:val="115"/>
                  <w:sz w:val="21"/>
                </w:rPr>
                <w:t>javadoc</w:t>
              </w:r>
            </w:hyperlink>
          </w:p>
        </w:tc>
      </w:tr>
      <w:tr w:rsidR="00A720EB" w14:paraId="29A7DCC6" w14:textId="77777777">
        <w:trPr>
          <w:trHeight w:val="425"/>
        </w:trPr>
        <w:tc>
          <w:tcPr>
            <w:tcW w:w="7981" w:type="dxa"/>
          </w:tcPr>
          <w:p w14:paraId="53BA3103" w14:textId="77777777" w:rsidR="00A720EB" w:rsidRDefault="00E10349">
            <w:pPr>
              <w:pStyle w:val="TableParagraph"/>
              <w:spacing w:before="40"/>
              <w:rPr>
                <w:sz w:val="21"/>
              </w:rPr>
            </w:pPr>
            <w:hyperlink r:id="rId699">
              <w:r w:rsidR="0030286B">
                <w:rPr>
                  <w:color w:val="B02045"/>
                  <w:sz w:val="21"/>
                </w:rPr>
                <w:t>CassandraReactiveDataAutoConfiguration</w:t>
              </w:r>
            </w:hyperlink>
          </w:p>
        </w:tc>
        <w:tc>
          <w:tcPr>
            <w:tcW w:w="1995" w:type="dxa"/>
          </w:tcPr>
          <w:p w14:paraId="28F71330" w14:textId="77777777" w:rsidR="00A720EB" w:rsidRDefault="00E10349">
            <w:pPr>
              <w:pStyle w:val="TableParagraph"/>
              <w:spacing w:before="94"/>
              <w:ind w:left="59"/>
              <w:rPr>
                <w:rFonts w:ascii="Cambria"/>
                <w:sz w:val="21"/>
              </w:rPr>
            </w:pPr>
            <w:hyperlink r:id="rId700">
              <w:r w:rsidR="0030286B">
                <w:rPr>
                  <w:rFonts w:ascii="Cambria"/>
                  <w:color w:val="418BCA"/>
                  <w:w w:val="115"/>
                  <w:sz w:val="21"/>
                </w:rPr>
                <w:t>javadoc</w:t>
              </w:r>
            </w:hyperlink>
          </w:p>
        </w:tc>
      </w:tr>
      <w:tr w:rsidR="00A720EB" w14:paraId="2DB384CB" w14:textId="77777777">
        <w:trPr>
          <w:trHeight w:val="425"/>
        </w:trPr>
        <w:tc>
          <w:tcPr>
            <w:tcW w:w="7981" w:type="dxa"/>
          </w:tcPr>
          <w:p w14:paraId="27CD6495" w14:textId="77777777" w:rsidR="00A720EB" w:rsidRDefault="00E10349">
            <w:pPr>
              <w:pStyle w:val="TableParagraph"/>
              <w:spacing w:before="40"/>
              <w:rPr>
                <w:sz w:val="21"/>
              </w:rPr>
            </w:pPr>
            <w:hyperlink r:id="rId701">
              <w:r w:rsidR="0030286B">
                <w:rPr>
                  <w:color w:val="B02045"/>
                  <w:sz w:val="21"/>
                </w:rPr>
                <w:t>CassandraReactiveRepositoriesAutoConfiguration</w:t>
              </w:r>
            </w:hyperlink>
          </w:p>
        </w:tc>
        <w:tc>
          <w:tcPr>
            <w:tcW w:w="1995" w:type="dxa"/>
          </w:tcPr>
          <w:p w14:paraId="0D987B01" w14:textId="77777777" w:rsidR="00A720EB" w:rsidRDefault="00E10349">
            <w:pPr>
              <w:pStyle w:val="TableParagraph"/>
              <w:spacing w:before="94"/>
              <w:ind w:left="59"/>
              <w:rPr>
                <w:rFonts w:ascii="Cambria"/>
                <w:sz w:val="21"/>
              </w:rPr>
            </w:pPr>
            <w:hyperlink r:id="rId702">
              <w:r w:rsidR="0030286B">
                <w:rPr>
                  <w:rFonts w:ascii="Cambria"/>
                  <w:color w:val="418BCA"/>
                  <w:w w:val="115"/>
                  <w:sz w:val="21"/>
                </w:rPr>
                <w:t>javadoc</w:t>
              </w:r>
            </w:hyperlink>
          </w:p>
        </w:tc>
      </w:tr>
      <w:tr w:rsidR="00A720EB" w14:paraId="28B2F4DA" w14:textId="77777777">
        <w:trPr>
          <w:trHeight w:val="425"/>
        </w:trPr>
        <w:tc>
          <w:tcPr>
            <w:tcW w:w="7981" w:type="dxa"/>
          </w:tcPr>
          <w:p w14:paraId="5AFA38C2" w14:textId="77777777" w:rsidR="00A720EB" w:rsidRDefault="00E10349">
            <w:pPr>
              <w:pStyle w:val="TableParagraph"/>
              <w:spacing w:before="40"/>
              <w:rPr>
                <w:sz w:val="21"/>
              </w:rPr>
            </w:pPr>
            <w:hyperlink r:id="rId703">
              <w:r w:rsidR="0030286B">
                <w:rPr>
                  <w:color w:val="B02045"/>
                  <w:sz w:val="21"/>
                </w:rPr>
                <w:t>CassandraRepositoriesAutoConfiguration</w:t>
              </w:r>
            </w:hyperlink>
          </w:p>
        </w:tc>
        <w:tc>
          <w:tcPr>
            <w:tcW w:w="1995" w:type="dxa"/>
          </w:tcPr>
          <w:p w14:paraId="4C606296" w14:textId="77777777" w:rsidR="00A720EB" w:rsidRDefault="00E10349">
            <w:pPr>
              <w:pStyle w:val="TableParagraph"/>
              <w:spacing w:before="94"/>
              <w:ind w:left="59"/>
              <w:rPr>
                <w:rFonts w:ascii="Cambria"/>
                <w:sz w:val="21"/>
              </w:rPr>
            </w:pPr>
            <w:hyperlink r:id="rId704">
              <w:r w:rsidR="0030286B">
                <w:rPr>
                  <w:rFonts w:ascii="Cambria"/>
                  <w:color w:val="418BCA"/>
                  <w:w w:val="115"/>
                  <w:sz w:val="21"/>
                </w:rPr>
                <w:t>javadoc</w:t>
              </w:r>
            </w:hyperlink>
          </w:p>
        </w:tc>
      </w:tr>
      <w:tr w:rsidR="00A720EB" w14:paraId="76DC8CE6" w14:textId="77777777">
        <w:trPr>
          <w:trHeight w:val="425"/>
        </w:trPr>
        <w:tc>
          <w:tcPr>
            <w:tcW w:w="7981" w:type="dxa"/>
          </w:tcPr>
          <w:p w14:paraId="7468194C" w14:textId="77777777" w:rsidR="00A720EB" w:rsidRDefault="00E10349">
            <w:pPr>
              <w:pStyle w:val="TableParagraph"/>
              <w:spacing w:before="40"/>
              <w:rPr>
                <w:sz w:val="21"/>
              </w:rPr>
            </w:pPr>
            <w:hyperlink r:id="rId705">
              <w:r w:rsidR="0030286B">
                <w:rPr>
                  <w:color w:val="B02045"/>
                  <w:sz w:val="21"/>
                </w:rPr>
                <w:t>ClientHttpConnectorAutoConfiguration</w:t>
              </w:r>
            </w:hyperlink>
          </w:p>
        </w:tc>
        <w:tc>
          <w:tcPr>
            <w:tcW w:w="1995" w:type="dxa"/>
          </w:tcPr>
          <w:p w14:paraId="589F6B19" w14:textId="77777777" w:rsidR="00A720EB" w:rsidRDefault="00E10349">
            <w:pPr>
              <w:pStyle w:val="TableParagraph"/>
              <w:spacing w:before="94"/>
              <w:ind w:left="59"/>
              <w:rPr>
                <w:rFonts w:ascii="Cambria"/>
                <w:sz w:val="21"/>
              </w:rPr>
            </w:pPr>
            <w:hyperlink r:id="rId706">
              <w:r w:rsidR="0030286B">
                <w:rPr>
                  <w:rFonts w:ascii="Cambria"/>
                  <w:color w:val="418BCA"/>
                  <w:w w:val="115"/>
                  <w:sz w:val="21"/>
                </w:rPr>
                <w:t>javadoc</w:t>
              </w:r>
            </w:hyperlink>
          </w:p>
        </w:tc>
      </w:tr>
      <w:tr w:rsidR="00A720EB" w14:paraId="692D6BB9" w14:textId="77777777">
        <w:trPr>
          <w:trHeight w:val="425"/>
        </w:trPr>
        <w:tc>
          <w:tcPr>
            <w:tcW w:w="7981" w:type="dxa"/>
          </w:tcPr>
          <w:p w14:paraId="06164633" w14:textId="77777777" w:rsidR="00A720EB" w:rsidRDefault="00E10349">
            <w:pPr>
              <w:pStyle w:val="TableParagraph"/>
              <w:spacing w:before="40"/>
              <w:rPr>
                <w:sz w:val="21"/>
              </w:rPr>
            </w:pPr>
            <w:hyperlink r:id="rId707">
              <w:r w:rsidR="0030286B">
                <w:rPr>
                  <w:color w:val="B02045"/>
                  <w:sz w:val="21"/>
                </w:rPr>
                <w:t>CodecsAutoConfiguration</w:t>
              </w:r>
            </w:hyperlink>
          </w:p>
        </w:tc>
        <w:tc>
          <w:tcPr>
            <w:tcW w:w="1995" w:type="dxa"/>
          </w:tcPr>
          <w:p w14:paraId="1F8FC2B5" w14:textId="77777777" w:rsidR="00A720EB" w:rsidRDefault="00E10349">
            <w:pPr>
              <w:pStyle w:val="TableParagraph"/>
              <w:spacing w:before="94"/>
              <w:ind w:left="59"/>
              <w:rPr>
                <w:rFonts w:ascii="Cambria"/>
                <w:sz w:val="21"/>
              </w:rPr>
            </w:pPr>
            <w:hyperlink r:id="rId708">
              <w:r w:rsidR="0030286B">
                <w:rPr>
                  <w:rFonts w:ascii="Cambria"/>
                  <w:color w:val="418BCA"/>
                  <w:w w:val="115"/>
                  <w:sz w:val="21"/>
                </w:rPr>
                <w:t>javadoc</w:t>
              </w:r>
            </w:hyperlink>
          </w:p>
        </w:tc>
      </w:tr>
      <w:tr w:rsidR="00A720EB" w14:paraId="725A5847" w14:textId="77777777">
        <w:trPr>
          <w:trHeight w:val="425"/>
        </w:trPr>
        <w:tc>
          <w:tcPr>
            <w:tcW w:w="7981" w:type="dxa"/>
          </w:tcPr>
          <w:p w14:paraId="0E8A8D79" w14:textId="77777777" w:rsidR="00A720EB" w:rsidRDefault="00E10349">
            <w:pPr>
              <w:pStyle w:val="TableParagraph"/>
              <w:spacing w:before="40"/>
              <w:rPr>
                <w:sz w:val="21"/>
              </w:rPr>
            </w:pPr>
            <w:hyperlink r:id="rId709">
              <w:r w:rsidR="0030286B">
                <w:rPr>
                  <w:color w:val="B02045"/>
                  <w:sz w:val="21"/>
                </w:rPr>
                <w:t>ConfigurationPropertiesAutoConfiguration</w:t>
              </w:r>
            </w:hyperlink>
          </w:p>
        </w:tc>
        <w:tc>
          <w:tcPr>
            <w:tcW w:w="1995" w:type="dxa"/>
          </w:tcPr>
          <w:p w14:paraId="746218B2" w14:textId="77777777" w:rsidR="00A720EB" w:rsidRDefault="00E10349">
            <w:pPr>
              <w:pStyle w:val="TableParagraph"/>
              <w:spacing w:before="94"/>
              <w:ind w:left="59"/>
              <w:rPr>
                <w:rFonts w:ascii="Cambria"/>
                <w:sz w:val="21"/>
              </w:rPr>
            </w:pPr>
            <w:hyperlink r:id="rId710">
              <w:r w:rsidR="0030286B">
                <w:rPr>
                  <w:rFonts w:ascii="Cambria"/>
                  <w:color w:val="418BCA"/>
                  <w:w w:val="115"/>
                  <w:sz w:val="21"/>
                </w:rPr>
                <w:t>javadoc</w:t>
              </w:r>
            </w:hyperlink>
          </w:p>
        </w:tc>
      </w:tr>
      <w:tr w:rsidR="00A720EB" w14:paraId="7FED4BA1" w14:textId="77777777">
        <w:trPr>
          <w:trHeight w:val="425"/>
        </w:trPr>
        <w:tc>
          <w:tcPr>
            <w:tcW w:w="7981" w:type="dxa"/>
          </w:tcPr>
          <w:p w14:paraId="0EF98020" w14:textId="77777777" w:rsidR="00A720EB" w:rsidRDefault="00E10349">
            <w:pPr>
              <w:pStyle w:val="TableParagraph"/>
              <w:spacing w:before="40"/>
              <w:rPr>
                <w:sz w:val="21"/>
              </w:rPr>
            </w:pPr>
            <w:hyperlink r:id="rId711">
              <w:r w:rsidR="0030286B">
                <w:rPr>
                  <w:color w:val="B02045"/>
                  <w:sz w:val="21"/>
                </w:rPr>
                <w:t>CouchbaseAutoConfiguration</w:t>
              </w:r>
            </w:hyperlink>
          </w:p>
        </w:tc>
        <w:tc>
          <w:tcPr>
            <w:tcW w:w="1995" w:type="dxa"/>
          </w:tcPr>
          <w:p w14:paraId="14B5077F" w14:textId="77777777" w:rsidR="00A720EB" w:rsidRDefault="00E10349">
            <w:pPr>
              <w:pStyle w:val="TableParagraph"/>
              <w:spacing w:before="94"/>
              <w:ind w:left="59"/>
              <w:rPr>
                <w:rFonts w:ascii="Cambria"/>
                <w:sz w:val="21"/>
              </w:rPr>
            </w:pPr>
            <w:hyperlink r:id="rId712">
              <w:r w:rsidR="0030286B">
                <w:rPr>
                  <w:rFonts w:ascii="Cambria"/>
                  <w:color w:val="418BCA"/>
                  <w:w w:val="115"/>
                  <w:sz w:val="21"/>
                </w:rPr>
                <w:t>javadoc</w:t>
              </w:r>
            </w:hyperlink>
          </w:p>
        </w:tc>
      </w:tr>
      <w:tr w:rsidR="00A720EB" w14:paraId="215D2220" w14:textId="77777777">
        <w:trPr>
          <w:trHeight w:val="425"/>
        </w:trPr>
        <w:tc>
          <w:tcPr>
            <w:tcW w:w="7981" w:type="dxa"/>
          </w:tcPr>
          <w:p w14:paraId="4D7B5E0B" w14:textId="77777777" w:rsidR="00A720EB" w:rsidRDefault="00E10349">
            <w:pPr>
              <w:pStyle w:val="TableParagraph"/>
              <w:spacing w:before="40"/>
              <w:rPr>
                <w:sz w:val="21"/>
              </w:rPr>
            </w:pPr>
            <w:hyperlink r:id="rId713">
              <w:r w:rsidR="0030286B">
                <w:rPr>
                  <w:color w:val="B02045"/>
                  <w:sz w:val="21"/>
                </w:rPr>
                <w:t>CouchbaseDataAutoConfiguration</w:t>
              </w:r>
            </w:hyperlink>
          </w:p>
        </w:tc>
        <w:tc>
          <w:tcPr>
            <w:tcW w:w="1995" w:type="dxa"/>
          </w:tcPr>
          <w:p w14:paraId="10D39DE5" w14:textId="77777777" w:rsidR="00A720EB" w:rsidRDefault="00E10349">
            <w:pPr>
              <w:pStyle w:val="TableParagraph"/>
              <w:spacing w:before="94"/>
              <w:ind w:left="59"/>
              <w:rPr>
                <w:rFonts w:ascii="Cambria"/>
                <w:sz w:val="21"/>
              </w:rPr>
            </w:pPr>
            <w:hyperlink r:id="rId714">
              <w:r w:rsidR="0030286B">
                <w:rPr>
                  <w:rFonts w:ascii="Cambria"/>
                  <w:color w:val="418BCA"/>
                  <w:w w:val="115"/>
                  <w:sz w:val="21"/>
                </w:rPr>
                <w:t>javadoc</w:t>
              </w:r>
            </w:hyperlink>
          </w:p>
        </w:tc>
      </w:tr>
      <w:tr w:rsidR="00A720EB" w14:paraId="7BFE9F4B" w14:textId="77777777">
        <w:trPr>
          <w:trHeight w:val="425"/>
        </w:trPr>
        <w:tc>
          <w:tcPr>
            <w:tcW w:w="7981" w:type="dxa"/>
          </w:tcPr>
          <w:p w14:paraId="0CF2E77E" w14:textId="77777777" w:rsidR="00A720EB" w:rsidRDefault="00E10349">
            <w:pPr>
              <w:pStyle w:val="TableParagraph"/>
              <w:spacing w:before="40"/>
              <w:rPr>
                <w:sz w:val="21"/>
              </w:rPr>
            </w:pPr>
            <w:hyperlink r:id="rId715">
              <w:r w:rsidR="0030286B">
                <w:rPr>
                  <w:color w:val="B02045"/>
                  <w:sz w:val="21"/>
                </w:rPr>
                <w:t>CouchbaseReactiveDataAutoConfiguration</w:t>
              </w:r>
            </w:hyperlink>
          </w:p>
        </w:tc>
        <w:tc>
          <w:tcPr>
            <w:tcW w:w="1995" w:type="dxa"/>
          </w:tcPr>
          <w:p w14:paraId="5DA77349" w14:textId="77777777" w:rsidR="00A720EB" w:rsidRDefault="00E10349">
            <w:pPr>
              <w:pStyle w:val="TableParagraph"/>
              <w:spacing w:before="94"/>
              <w:ind w:left="59"/>
              <w:rPr>
                <w:rFonts w:ascii="Cambria"/>
                <w:sz w:val="21"/>
              </w:rPr>
            </w:pPr>
            <w:hyperlink r:id="rId716">
              <w:r w:rsidR="0030286B">
                <w:rPr>
                  <w:rFonts w:ascii="Cambria"/>
                  <w:color w:val="418BCA"/>
                  <w:w w:val="115"/>
                  <w:sz w:val="21"/>
                </w:rPr>
                <w:t>javadoc</w:t>
              </w:r>
            </w:hyperlink>
          </w:p>
        </w:tc>
      </w:tr>
      <w:tr w:rsidR="00A720EB" w14:paraId="27FC3830" w14:textId="77777777">
        <w:trPr>
          <w:trHeight w:val="425"/>
        </w:trPr>
        <w:tc>
          <w:tcPr>
            <w:tcW w:w="7981" w:type="dxa"/>
          </w:tcPr>
          <w:p w14:paraId="7231F009" w14:textId="77777777" w:rsidR="00A720EB" w:rsidRDefault="00E10349">
            <w:pPr>
              <w:pStyle w:val="TableParagraph"/>
              <w:spacing w:before="40"/>
              <w:rPr>
                <w:sz w:val="21"/>
              </w:rPr>
            </w:pPr>
            <w:hyperlink r:id="rId717">
              <w:r w:rsidR="0030286B">
                <w:rPr>
                  <w:color w:val="B02045"/>
                  <w:sz w:val="21"/>
                </w:rPr>
                <w:t>CouchbaseReactiveRepositoriesAutoConfiguration</w:t>
              </w:r>
            </w:hyperlink>
          </w:p>
        </w:tc>
        <w:tc>
          <w:tcPr>
            <w:tcW w:w="1995" w:type="dxa"/>
          </w:tcPr>
          <w:p w14:paraId="00D289C7" w14:textId="77777777" w:rsidR="00A720EB" w:rsidRDefault="00E10349">
            <w:pPr>
              <w:pStyle w:val="TableParagraph"/>
              <w:spacing w:before="94"/>
              <w:ind w:left="59"/>
              <w:rPr>
                <w:rFonts w:ascii="Cambria"/>
                <w:sz w:val="21"/>
              </w:rPr>
            </w:pPr>
            <w:hyperlink r:id="rId718">
              <w:r w:rsidR="0030286B">
                <w:rPr>
                  <w:rFonts w:ascii="Cambria"/>
                  <w:color w:val="418BCA"/>
                  <w:w w:val="115"/>
                  <w:sz w:val="21"/>
                </w:rPr>
                <w:t>javadoc</w:t>
              </w:r>
            </w:hyperlink>
          </w:p>
        </w:tc>
      </w:tr>
      <w:tr w:rsidR="00A720EB" w14:paraId="64AF234F" w14:textId="77777777">
        <w:trPr>
          <w:trHeight w:val="425"/>
        </w:trPr>
        <w:tc>
          <w:tcPr>
            <w:tcW w:w="7981" w:type="dxa"/>
          </w:tcPr>
          <w:p w14:paraId="12045951" w14:textId="77777777" w:rsidR="00A720EB" w:rsidRDefault="00E10349">
            <w:pPr>
              <w:pStyle w:val="TableParagraph"/>
              <w:spacing w:before="40"/>
              <w:rPr>
                <w:sz w:val="21"/>
              </w:rPr>
            </w:pPr>
            <w:hyperlink r:id="rId719">
              <w:r w:rsidR="0030286B">
                <w:rPr>
                  <w:color w:val="B02045"/>
                  <w:sz w:val="21"/>
                </w:rPr>
                <w:t>CouchbaseRepositoriesAutoConfiguration</w:t>
              </w:r>
            </w:hyperlink>
          </w:p>
        </w:tc>
        <w:tc>
          <w:tcPr>
            <w:tcW w:w="1995" w:type="dxa"/>
          </w:tcPr>
          <w:p w14:paraId="4BE3292B" w14:textId="77777777" w:rsidR="00A720EB" w:rsidRDefault="00E10349">
            <w:pPr>
              <w:pStyle w:val="TableParagraph"/>
              <w:spacing w:before="94"/>
              <w:ind w:left="59"/>
              <w:rPr>
                <w:rFonts w:ascii="Cambria"/>
                <w:sz w:val="21"/>
              </w:rPr>
            </w:pPr>
            <w:hyperlink r:id="rId720">
              <w:r w:rsidR="0030286B">
                <w:rPr>
                  <w:rFonts w:ascii="Cambria"/>
                  <w:color w:val="418BCA"/>
                  <w:w w:val="115"/>
                  <w:sz w:val="21"/>
                </w:rPr>
                <w:t>javadoc</w:t>
              </w:r>
            </w:hyperlink>
          </w:p>
        </w:tc>
      </w:tr>
      <w:tr w:rsidR="00A720EB" w14:paraId="6AC32D5F" w14:textId="77777777">
        <w:trPr>
          <w:trHeight w:val="425"/>
        </w:trPr>
        <w:tc>
          <w:tcPr>
            <w:tcW w:w="7981" w:type="dxa"/>
          </w:tcPr>
          <w:p w14:paraId="2DEA7733" w14:textId="77777777" w:rsidR="00A720EB" w:rsidRDefault="00E10349">
            <w:pPr>
              <w:pStyle w:val="TableParagraph"/>
              <w:spacing w:before="40"/>
              <w:rPr>
                <w:sz w:val="21"/>
              </w:rPr>
            </w:pPr>
            <w:hyperlink r:id="rId721">
              <w:r w:rsidR="0030286B">
                <w:rPr>
                  <w:color w:val="B02045"/>
                  <w:sz w:val="21"/>
                </w:rPr>
                <w:t>DataSourceAutoConfiguration</w:t>
              </w:r>
            </w:hyperlink>
          </w:p>
        </w:tc>
        <w:tc>
          <w:tcPr>
            <w:tcW w:w="1995" w:type="dxa"/>
          </w:tcPr>
          <w:p w14:paraId="16EBAFC7" w14:textId="77777777" w:rsidR="00A720EB" w:rsidRDefault="00E10349">
            <w:pPr>
              <w:pStyle w:val="TableParagraph"/>
              <w:spacing w:before="94"/>
              <w:ind w:left="59"/>
              <w:rPr>
                <w:rFonts w:ascii="Cambria"/>
                <w:sz w:val="21"/>
              </w:rPr>
            </w:pPr>
            <w:hyperlink r:id="rId722">
              <w:r w:rsidR="0030286B">
                <w:rPr>
                  <w:rFonts w:ascii="Cambria"/>
                  <w:color w:val="418BCA"/>
                  <w:w w:val="115"/>
                  <w:sz w:val="21"/>
                </w:rPr>
                <w:t>javadoc</w:t>
              </w:r>
            </w:hyperlink>
          </w:p>
        </w:tc>
      </w:tr>
      <w:tr w:rsidR="00A720EB" w14:paraId="08AFC736" w14:textId="77777777">
        <w:trPr>
          <w:trHeight w:val="425"/>
        </w:trPr>
        <w:tc>
          <w:tcPr>
            <w:tcW w:w="7981" w:type="dxa"/>
          </w:tcPr>
          <w:p w14:paraId="5CB08BAC" w14:textId="77777777" w:rsidR="00A720EB" w:rsidRDefault="00E10349">
            <w:pPr>
              <w:pStyle w:val="TableParagraph"/>
              <w:spacing w:before="40"/>
              <w:rPr>
                <w:sz w:val="21"/>
              </w:rPr>
            </w:pPr>
            <w:hyperlink r:id="rId723">
              <w:r w:rsidR="0030286B">
                <w:rPr>
                  <w:color w:val="B02045"/>
                  <w:sz w:val="21"/>
                </w:rPr>
                <w:t>DataSourceTransactionManagerAutoConfiguration</w:t>
              </w:r>
            </w:hyperlink>
          </w:p>
        </w:tc>
        <w:tc>
          <w:tcPr>
            <w:tcW w:w="1995" w:type="dxa"/>
          </w:tcPr>
          <w:p w14:paraId="7BEB307B" w14:textId="77777777" w:rsidR="00A720EB" w:rsidRDefault="00E10349">
            <w:pPr>
              <w:pStyle w:val="TableParagraph"/>
              <w:spacing w:before="94"/>
              <w:ind w:left="59"/>
              <w:rPr>
                <w:rFonts w:ascii="Cambria"/>
                <w:sz w:val="21"/>
              </w:rPr>
            </w:pPr>
            <w:hyperlink r:id="rId724">
              <w:r w:rsidR="0030286B">
                <w:rPr>
                  <w:rFonts w:ascii="Cambria"/>
                  <w:color w:val="418BCA"/>
                  <w:w w:val="115"/>
                  <w:sz w:val="21"/>
                </w:rPr>
                <w:t>javadoc</w:t>
              </w:r>
            </w:hyperlink>
          </w:p>
        </w:tc>
      </w:tr>
      <w:tr w:rsidR="00A720EB" w14:paraId="1CEA57DA" w14:textId="77777777">
        <w:trPr>
          <w:trHeight w:val="425"/>
        </w:trPr>
        <w:tc>
          <w:tcPr>
            <w:tcW w:w="7981" w:type="dxa"/>
          </w:tcPr>
          <w:p w14:paraId="5A7A2514" w14:textId="77777777" w:rsidR="00A720EB" w:rsidRDefault="00E10349">
            <w:pPr>
              <w:pStyle w:val="TableParagraph"/>
              <w:spacing w:before="40"/>
              <w:rPr>
                <w:sz w:val="21"/>
              </w:rPr>
            </w:pPr>
            <w:hyperlink r:id="rId725">
              <w:r w:rsidR="0030286B">
                <w:rPr>
                  <w:color w:val="B02045"/>
                  <w:sz w:val="21"/>
                </w:rPr>
                <w:t>DispatcherServletAutoConfiguration</w:t>
              </w:r>
            </w:hyperlink>
          </w:p>
        </w:tc>
        <w:tc>
          <w:tcPr>
            <w:tcW w:w="1995" w:type="dxa"/>
          </w:tcPr>
          <w:p w14:paraId="1AED4E87" w14:textId="77777777" w:rsidR="00A720EB" w:rsidRDefault="00E10349">
            <w:pPr>
              <w:pStyle w:val="TableParagraph"/>
              <w:spacing w:before="94"/>
              <w:ind w:left="59"/>
              <w:rPr>
                <w:rFonts w:ascii="Cambria"/>
                <w:sz w:val="21"/>
              </w:rPr>
            </w:pPr>
            <w:hyperlink r:id="rId726">
              <w:r w:rsidR="0030286B">
                <w:rPr>
                  <w:rFonts w:ascii="Cambria"/>
                  <w:color w:val="418BCA"/>
                  <w:w w:val="115"/>
                  <w:sz w:val="21"/>
                </w:rPr>
                <w:t>javadoc</w:t>
              </w:r>
            </w:hyperlink>
          </w:p>
        </w:tc>
      </w:tr>
      <w:tr w:rsidR="00A720EB" w14:paraId="74D04E82" w14:textId="77777777">
        <w:trPr>
          <w:trHeight w:val="425"/>
        </w:trPr>
        <w:tc>
          <w:tcPr>
            <w:tcW w:w="7981" w:type="dxa"/>
          </w:tcPr>
          <w:p w14:paraId="6539129F" w14:textId="77777777" w:rsidR="00A720EB" w:rsidRDefault="00E10349">
            <w:pPr>
              <w:pStyle w:val="TableParagraph"/>
              <w:spacing w:before="40"/>
              <w:rPr>
                <w:sz w:val="21"/>
              </w:rPr>
            </w:pPr>
            <w:hyperlink r:id="rId727">
              <w:r w:rsidR="0030286B">
                <w:rPr>
                  <w:color w:val="B02045"/>
                  <w:sz w:val="21"/>
                </w:rPr>
                <w:t>ElasticsearchDataAutoConfiguration</w:t>
              </w:r>
            </w:hyperlink>
          </w:p>
        </w:tc>
        <w:tc>
          <w:tcPr>
            <w:tcW w:w="1995" w:type="dxa"/>
          </w:tcPr>
          <w:p w14:paraId="598C4217" w14:textId="77777777" w:rsidR="00A720EB" w:rsidRDefault="00E10349">
            <w:pPr>
              <w:pStyle w:val="TableParagraph"/>
              <w:spacing w:before="94"/>
              <w:ind w:left="59"/>
              <w:rPr>
                <w:rFonts w:ascii="Cambria"/>
                <w:sz w:val="21"/>
              </w:rPr>
            </w:pPr>
            <w:hyperlink r:id="rId728">
              <w:r w:rsidR="0030286B">
                <w:rPr>
                  <w:rFonts w:ascii="Cambria"/>
                  <w:color w:val="418BCA"/>
                  <w:w w:val="115"/>
                  <w:sz w:val="21"/>
                </w:rPr>
                <w:t>javadoc</w:t>
              </w:r>
            </w:hyperlink>
          </w:p>
        </w:tc>
      </w:tr>
      <w:tr w:rsidR="00A720EB" w14:paraId="76655107" w14:textId="77777777">
        <w:trPr>
          <w:trHeight w:val="425"/>
        </w:trPr>
        <w:tc>
          <w:tcPr>
            <w:tcW w:w="7981" w:type="dxa"/>
          </w:tcPr>
          <w:p w14:paraId="7660CF7A" w14:textId="77777777" w:rsidR="00A720EB" w:rsidRDefault="00E10349">
            <w:pPr>
              <w:pStyle w:val="TableParagraph"/>
              <w:spacing w:before="40"/>
              <w:rPr>
                <w:sz w:val="21"/>
              </w:rPr>
            </w:pPr>
            <w:hyperlink r:id="rId729">
              <w:r w:rsidR="0030286B">
                <w:rPr>
                  <w:color w:val="B02045"/>
                  <w:sz w:val="21"/>
                </w:rPr>
                <w:t>ElasticsearchRepositoriesAutoConfiguration</w:t>
              </w:r>
            </w:hyperlink>
          </w:p>
        </w:tc>
        <w:tc>
          <w:tcPr>
            <w:tcW w:w="1995" w:type="dxa"/>
          </w:tcPr>
          <w:p w14:paraId="7B047E11" w14:textId="77777777" w:rsidR="00A720EB" w:rsidRDefault="00E10349">
            <w:pPr>
              <w:pStyle w:val="TableParagraph"/>
              <w:spacing w:before="94"/>
              <w:ind w:left="59"/>
              <w:rPr>
                <w:rFonts w:ascii="Cambria"/>
                <w:sz w:val="21"/>
              </w:rPr>
            </w:pPr>
            <w:hyperlink r:id="rId730">
              <w:r w:rsidR="0030286B">
                <w:rPr>
                  <w:rFonts w:ascii="Cambria"/>
                  <w:color w:val="418BCA"/>
                  <w:w w:val="115"/>
                  <w:sz w:val="21"/>
                </w:rPr>
                <w:t>javadoc</w:t>
              </w:r>
            </w:hyperlink>
          </w:p>
        </w:tc>
      </w:tr>
      <w:tr w:rsidR="00A720EB" w14:paraId="7362459A" w14:textId="77777777">
        <w:trPr>
          <w:trHeight w:val="425"/>
        </w:trPr>
        <w:tc>
          <w:tcPr>
            <w:tcW w:w="7981" w:type="dxa"/>
          </w:tcPr>
          <w:p w14:paraId="27E26751" w14:textId="77777777" w:rsidR="00A720EB" w:rsidRDefault="00E10349">
            <w:pPr>
              <w:pStyle w:val="TableParagraph"/>
              <w:spacing w:before="40"/>
              <w:rPr>
                <w:sz w:val="21"/>
              </w:rPr>
            </w:pPr>
            <w:hyperlink r:id="rId731">
              <w:r w:rsidR="0030286B">
                <w:rPr>
                  <w:color w:val="B02045"/>
                  <w:sz w:val="21"/>
                </w:rPr>
                <w:t>ElasticsearchRestClientAutoConfiguration</w:t>
              </w:r>
            </w:hyperlink>
          </w:p>
        </w:tc>
        <w:tc>
          <w:tcPr>
            <w:tcW w:w="1995" w:type="dxa"/>
          </w:tcPr>
          <w:p w14:paraId="33A245F3" w14:textId="77777777" w:rsidR="00A720EB" w:rsidRDefault="00E10349">
            <w:pPr>
              <w:pStyle w:val="TableParagraph"/>
              <w:spacing w:before="94"/>
              <w:ind w:left="59"/>
              <w:rPr>
                <w:rFonts w:ascii="Cambria"/>
                <w:sz w:val="21"/>
              </w:rPr>
            </w:pPr>
            <w:hyperlink r:id="rId732">
              <w:r w:rsidR="0030286B">
                <w:rPr>
                  <w:rFonts w:ascii="Cambria"/>
                  <w:color w:val="418BCA"/>
                  <w:w w:val="115"/>
                  <w:sz w:val="21"/>
                </w:rPr>
                <w:t>javadoc</w:t>
              </w:r>
            </w:hyperlink>
          </w:p>
        </w:tc>
      </w:tr>
      <w:tr w:rsidR="00A720EB" w14:paraId="4EA05B15" w14:textId="77777777">
        <w:trPr>
          <w:trHeight w:val="425"/>
        </w:trPr>
        <w:tc>
          <w:tcPr>
            <w:tcW w:w="7981" w:type="dxa"/>
          </w:tcPr>
          <w:p w14:paraId="1C152C58" w14:textId="77777777" w:rsidR="00A720EB" w:rsidRDefault="00E10349">
            <w:pPr>
              <w:pStyle w:val="TableParagraph"/>
              <w:spacing w:before="40"/>
              <w:rPr>
                <w:sz w:val="21"/>
              </w:rPr>
            </w:pPr>
            <w:hyperlink r:id="rId733">
              <w:r w:rsidR="0030286B">
                <w:rPr>
                  <w:color w:val="B02045"/>
                  <w:sz w:val="21"/>
                </w:rPr>
                <w:t>EmbeddedLdapAutoConfiguration</w:t>
              </w:r>
            </w:hyperlink>
          </w:p>
        </w:tc>
        <w:tc>
          <w:tcPr>
            <w:tcW w:w="1995" w:type="dxa"/>
          </w:tcPr>
          <w:p w14:paraId="7352E822" w14:textId="77777777" w:rsidR="00A720EB" w:rsidRDefault="00E10349">
            <w:pPr>
              <w:pStyle w:val="TableParagraph"/>
              <w:spacing w:before="94"/>
              <w:ind w:left="59"/>
              <w:rPr>
                <w:rFonts w:ascii="Cambria"/>
                <w:sz w:val="21"/>
              </w:rPr>
            </w:pPr>
            <w:hyperlink r:id="rId734">
              <w:r w:rsidR="0030286B">
                <w:rPr>
                  <w:rFonts w:ascii="Cambria"/>
                  <w:color w:val="418BCA"/>
                  <w:w w:val="115"/>
                  <w:sz w:val="21"/>
                </w:rPr>
                <w:t>javadoc</w:t>
              </w:r>
            </w:hyperlink>
          </w:p>
        </w:tc>
      </w:tr>
      <w:tr w:rsidR="00A720EB" w14:paraId="53920380" w14:textId="77777777">
        <w:trPr>
          <w:trHeight w:val="425"/>
        </w:trPr>
        <w:tc>
          <w:tcPr>
            <w:tcW w:w="7981" w:type="dxa"/>
          </w:tcPr>
          <w:p w14:paraId="78D322D8" w14:textId="77777777" w:rsidR="00A720EB" w:rsidRDefault="00E10349">
            <w:pPr>
              <w:pStyle w:val="TableParagraph"/>
              <w:spacing w:before="40"/>
              <w:rPr>
                <w:sz w:val="21"/>
              </w:rPr>
            </w:pPr>
            <w:hyperlink r:id="rId735">
              <w:r w:rsidR="0030286B">
                <w:rPr>
                  <w:color w:val="B02045"/>
                  <w:sz w:val="21"/>
                </w:rPr>
                <w:t>EmbeddedMongoAutoConfiguration</w:t>
              </w:r>
            </w:hyperlink>
          </w:p>
        </w:tc>
        <w:tc>
          <w:tcPr>
            <w:tcW w:w="1995" w:type="dxa"/>
          </w:tcPr>
          <w:p w14:paraId="56ECC017" w14:textId="77777777" w:rsidR="00A720EB" w:rsidRDefault="00E10349">
            <w:pPr>
              <w:pStyle w:val="TableParagraph"/>
              <w:spacing w:before="94"/>
              <w:ind w:left="59"/>
              <w:rPr>
                <w:rFonts w:ascii="Cambria"/>
                <w:sz w:val="21"/>
              </w:rPr>
            </w:pPr>
            <w:hyperlink r:id="rId736">
              <w:r w:rsidR="0030286B">
                <w:rPr>
                  <w:rFonts w:ascii="Cambria"/>
                  <w:color w:val="418BCA"/>
                  <w:w w:val="115"/>
                  <w:sz w:val="21"/>
                </w:rPr>
                <w:t>javadoc</w:t>
              </w:r>
            </w:hyperlink>
          </w:p>
        </w:tc>
      </w:tr>
      <w:tr w:rsidR="00A720EB" w14:paraId="7830310D" w14:textId="77777777">
        <w:trPr>
          <w:trHeight w:val="425"/>
        </w:trPr>
        <w:tc>
          <w:tcPr>
            <w:tcW w:w="7981" w:type="dxa"/>
          </w:tcPr>
          <w:p w14:paraId="239D3AD7" w14:textId="77777777" w:rsidR="00A720EB" w:rsidRDefault="00E10349">
            <w:pPr>
              <w:pStyle w:val="TableParagraph"/>
              <w:spacing w:before="40"/>
              <w:rPr>
                <w:sz w:val="21"/>
              </w:rPr>
            </w:pPr>
            <w:hyperlink r:id="rId737">
              <w:r w:rsidR="0030286B">
                <w:rPr>
                  <w:color w:val="B02045"/>
                  <w:sz w:val="21"/>
                </w:rPr>
                <w:t>EmbeddedWebServerFactoryCustomizerAutoConfiguration</w:t>
              </w:r>
            </w:hyperlink>
          </w:p>
        </w:tc>
        <w:tc>
          <w:tcPr>
            <w:tcW w:w="1995" w:type="dxa"/>
          </w:tcPr>
          <w:p w14:paraId="61E70ED0" w14:textId="77777777" w:rsidR="00A720EB" w:rsidRDefault="00E10349">
            <w:pPr>
              <w:pStyle w:val="TableParagraph"/>
              <w:spacing w:before="94"/>
              <w:ind w:left="59"/>
              <w:rPr>
                <w:rFonts w:ascii="Cambria"/>
                <w:sz w:val="21"/>
              </w:rPr>
            </w:pPr>
            <w:hyperlink r:id="rId738">
              <w:r w:rsidR="0030286B">
                <w:rPr>
                  <w:rFonts w:ascii="Cambria"/>
                  <w:color w:val="418BCA"/>
                  <w:w w:val="115"/>
                  <w:sz w:val="21"/>
                </w:rPr>
                <w:t>javadoc</w:t>
              </w:r>
            </w:hyperlink>
          </w:p>
        </w:tc>
      </w:tr>
      <w:tr w:rsidR="00A720EB" w14:paraId="6794A728" w14:textId="77777777">
        <w:trPr>
          <w:trHeight w:val="425"/>
        </w:trPr>
        <w:tc>
          <w:tcPr>
            <w:tcW w:w="7981" w:type="dxa"/>
          </w:tcPr>
          <w:p w14:paraId="6BD6CAB6" w14:textId="77777777" w:rsidR="00A720EB" w:rsidRDefault="00E10349">
            <w:pPr>
              <w:pStyle w:val="TableParagraph"/>
              <w:spacing w:before="40"/>
              <w:rPr>
                <w:sz w:val="21"/>
              </w:rPr>
            </w:pPr>
            <w:hyperlink r:id="rId739">
              <w:r w:rsidR="0030286B">
                <w:rPr>
                  <w:color w:val="B02045"/>
                  <w:sz w:val="21"/>
                </w:rPr>
                <w:t>ErrorMvcAutoConfiguration</w:t>
              </w:r>
            </w:hyperlink>
          </w:p>
        </w:tc>
        <w:tc>
          <w:tcPr>
            <w:tcW w:w="1995" w:type="dxa"/>
          </w:tcPr>
          <w:p w14:paraId="2A2BA639" w14:textId="77777777" w:rsidR="00A720EB" w:rsidRDefault="00E10349">
            <w:pPr>
              <w:pStyle w:val="TableParagraph"/>
              <w:spacing w:before="94"/>
              <w:ind w:left="59"/>
              <w:rPr>
                <w:rFonts w:ascii="Cambria"/>
                <w:sz w:val="21"/>
              </w:rPr>
            </w:pPr>
            <w:hyperlink r:id="rId740">
              <w:r w:rsidR="0030286B">
                <w:rPr>
                  <w:rFonts w:ascii="Cambria"/>
                  <w:color w:val="418BCA"/>
                  <w:w w:val="115"/>
                  <w:sz w:val="21"/>
                </w:rPr>
                <w:t>javadoc</w:t>
              </w:r>
            </w:hyperlink>
          </w:p>
        </w:tc>
      </w:tr>
    </w:tbl>
    <w:p w14:paraId="4CDD8A30" w14:textId="77777777" w:rsidR="00A720EB" w:rsidRDefault="00A720EB">
      <w:pPr>
        <w:rPr>
          <w:sz w:val="21"/>
        </w:rPr>
        <w:sectPr w:rsidR="00A720EB">
          <w:pgSz w:w="11910" w:h="16840"/>
          <w:pgMar w:top="620" w:right="840" w:bottom="52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981"/>
        <w:gridCol w:w="1995"/>
      </w:tblGrid>
      <w:tr w:rsidR="00A720EB" w14:paraId="4C9086E8" w14:textId="77777777">
        <w:trPr>
          <w:trHeight w:val="415"/>
        </w:trPr>
        <w:tc>
          <w:tcPr>
            <w:tcW w:w="7981" w:type="dxa"/>
            <w:tcBorders>
              <w:bottom w:val="single" w:sz="12" w:space="0" w:color="DDDDDD"/>
            </w:tcBorders>
          </w:tcPr>
          <w:p w14:paraId="6A0B396A"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Configuration Class</w:t>
            </w:r>
          </w:p>
        </w:tc>
        <w:tc>
          <w:tcPr>
            <w:tcW w:w="1995" w:type="dxa"/>
            <w:tcBorders>
              <w:bottom w:val="single" w:sz="12" w:space="0" w:color="DDDDDD"/>
            </w:tcBorders>
          </w:tcPr>
          <w:p w14:paraId="4BA67983" w14:textId="77777777" w:rsidR="00A720EB" w:rsidRDefault="0030286B">
            <w:pPr>
              <w:pStyle w:val="TableParagraph"/>
              <w:spacing w:before="71"/>
              <w:ind w:left="59"/>
              <w:rPr>
                <w:rFonts w:ascii="Palatino Linotype"/>
                <w:b/>
                <w:sz w:val="21"/>
              </w:rPr>
            </w:pPr>
            <w:r>
              <w:rPr>
                <w:rFonts w:ascii="Palatino Linotype"/>
                <w:b/>
                <w:color w:val="333333"/>
                <w:w w:val="105"/>
                <w:sz w:val="21"/>
              </w:rPr>
              <w:t>Links</w:t>
            </w:r>
          </w:p>
        </w:tc>
      </w:tr>
      <w:tr w:rsidR="00A720EB" w14:paraId="5CED5A94" w14:textId="77777777">
        <w:trPr>
          <w:trHeight w:val="415"/>
        </w:trPr>
        <w:tc>
          <w:tcPr>
            <w:tcW w:w="7981" w:type="dxa"/>
            <w:tcBorders>
              <w:top w:val="single" w:sz="12" w:space="0" w:color="DDDDDD"/>
            </w:tcBorders>
          </w:tcPr>
          <w:p w14:paraId="5F9456D5" w14:textId="77777777" w:rsidR="00A720EB" w:rsidRDefault="00E10349">
            <w:pPr>
              <w:pStyle w:val="TableParagraph"/>
              <w:spacing w:before="27"/>
              <w:rPr>
                <w:sz w:val="21"/>
              </w:rPr>
            </w:pPr>
            <w:hyperlink r:id="rId741">
              <w:r w:rsidR="0030286B">
                <w:rPr>
                  <w:color w:val="B02045"/>
                  <w:sz w:val="21"/>
                </w:rPr>
                <w:t>ErrorWebFluxAutoConfiguration</w:t>
              </w:r>
            </w:hyperlink>
          </w:p>
        </w:tc>
        <w:tc>
          <w:tcPr>
            <w:tcW w:w="1995" w:type="dxa"/>
            <w:tcBorders>
              <w:top w:val="single" w:sz="12" w:space="0" w:color="DDDDDD"/>
            </w:tcBorders>
          </w:tcPr>
          <w:p w14:paraId="58D42070" w14:textId="77777777" w:rsidR="00A720EB" w:rsidRDefault="00E10349">
            <w:pPr>
              <w:pStyle w:val="TableParagraph"/>
              <w:spacing w:before="82"/>
              <w:ind w:left="59"/>
              <w:rPr>
                <w:rFonts w:ascii="Cambria"/>
                <w:sz w:val="21"/>
              </w:rPr>
            </w:pPr>
            <w:hyperlink r:id="rId742">
              <w:r w:rsidR="0030286B">
                <w:rPr>
                  <w:rFonts w:ascii="Cambria"/>
                  <w:color w:val="418BCA"/>
                  <w:w w:val="115"/>
                  <w:sz w:val="21"/>
                </w:rPr>
                <w:t>javadoc</w:t>
              </w:r>
            </w:hyperlink>
          </w:p>
        </w:tc>
      </w:tr>
      <w:tr w:rsidR="00A720EB" w14:paraId="4EBE9153" w14:textId="77777777">
        <w:trPr>
          <w:trHeight w:val="425"/>
        </w:trPr>
        <w:tc>
          <w:tcPr>
            <w:tcW w:w="7981" w:type="dxa"/>
          </w:tcPr>
          <w:p w14:paraId="18B8BD34" w14:textId="77777777" w:rsidR="00A720EB" w:rsidRDefault="00E10349">
            <w:pPr>
              <w:pStyle w:val="TableParagraph"/>
              <w:rPr>
                <w:sz w:val="21"/>
              </w:rPr>
            </w:pPr>
            <w:hyperlink r:id="rId743">
              <w:r w:rsidR="0030286B">
                <w:rPr>
                  <w:color w:val="B02045"/>
                  <w:sz w:val="21"/>
                </w:rPr>
                <w:t>FlywayAutoConfiguration</w:t>
              </w:r>
            </w:hyperlink>
          </w:p>
        </w:tc>
        <w:tc>
          <w:tcPr>
            <w:tcW w:w="1995" w:type="dxa"/>
          </w:tcPr>
          <w:p w14:paraId="023F3AC7" w14:textId="77777777" w:rsidR="00A720EB" w:rsidRDefault="00E10349">
            <w:pPr>
              <w:pStyle w:val="TableParagraph"/>
              <w:spacing w:before="92"/>
              <w:ind w:left="59"/>
              <w:rPr>
                <w:rFonts w:ascii="Cambria"/>
                <w:sz w:val="21"/>
              </w:rPr>
            </w:pPr>
            <w:hyperlink r:id="rId744">
              <w:r w:rsidR="0030286B">
                <w:rPr>
                  <w:rFonts w:ascii="Cambria"/>
                  <w:color w:val="418BCA"/>
                  <w:w w:val="115"/>
                  <w:sz w:val="21"/>
                </w:rPr>
                <w:t>javadoc</w:t>
              </w:r>
            </w:hyperlink>
          </w:p>
        </w:tc>
      </w:tr>
      <w:tr w:rsidR="00A720EB" w14:paraId="01A6A176" w14:textId="77777777">
        <w:trPr>
          <w:trHeight w:val="425"/>
        </w:trPr>
        <w:tc>
          <w:tcPr>
            <w:tcW w:w="7981" w:type="dxa"/>
          </w:tcPr>
          <w:p w14:paraId="7FD9FD5C" w14:textId="77777777" w:rsidR="00A720EB" w:rsidRDefault="00E10349">
            <w:pPr>
              <w:pStyle w:val="TableParagraph"/>
              <w:spacing w:before="37"/>
              <w:rPr>
                <w:sz w:val="21"/>
              </w:rPr>
            </w:pPr>
            <w:hyperlink r:id="rId745">
              <w:r w:rsidR="0030286B">
                <w:rPr>
                  <w:color w:val="B02045"/>
                  <w:sz w:val="21"/>
                </w:rPr>
                <w:t>FreeMarkerAutoConfiguration</w:t>
              </w:r>
            </w:hyperlink>
          </w:p>
        </w:tc>
        <w:tc>
          <w:tcPr>
            <w:tcW w:w="1995" w:type="dxa"/>
          </w:tcPr>
          <w:p w14:paraId="68D9ABF4" w14:textId="77777777" w:rsidR="00A720EB" w:rsidRDefault="00E10349">
            <w:pPr>
              <w:pStyle w:val="TableParagraph"/>
              <w:spacing w:before="92"/>
              <w:ind w:left="59"/>
              <w:rPr>
                <w:rFonts w:ascii="Cambria"/>
                <w:sz w:val="21"/>
              </w:rPr>
            </w:pPr>
            <w:hyperlink r:id="rId746">
              <w:r w:rsidR="0030286B">
                <w:rPr>
                  <w:rFonts w:ascii="Cambria"/>
                  <w:color w:val="418BCA"/>
                  <w:w w:val="115"/>
                  <w:sz w:val="21"/>
                </w:rPr>
                <w:t>javadoc</w:t>
              </w:r>
            </w:hyperlink>
          </w:p>
        </w:tc>
      </w:tr>
      <w:tr w:rsidR="00A720EB" w14:paraId="2D9B4F81" w14:textId="77777777">
        <w:trPr>
          <w:trHeight w:val="425"/>
        </w:trPr>
        <w:tc>
          <w:tcPr>
            <w:tcW w:w="7981" w:type="dxa"/>
          </w:tcPr>
          <w:p w14:paraId="708CDBF8" w14:textId="77777777" w:rsidR="00A720EB" w:rsidRDefault="00E10349">
            <w:pPr>
              <w:pStyle w:val="TableParagraph"/>
              <w:rPr>
                <w:sz w:val="21"/>
              </w:rPr>
            </w:pPr>
            <w:hyperlink r:id="rId747">
              <w:r w:rsidR="0030286B">
                <w:rPr>
                  <w:color w:val="B02045"/>
                  <w:sz w:val="21"/>
                </w:rPr>
                <w:t>GroovyTemplateAutoConfiguration</w:t>
              </w:r>
            </w:hyperlink>
          </w:p>
        </w:tc>
        <w:tc>
          <w:tcPr>
            <w:tcW w:w="1995" w:type="dxa"/>
          </w:tcPr>
          <w:p w14:paraId="66DFAA76" w14:textId="77777777" w:rsidR="00A720EB" w:rsidRDefault="00E10349">
            <w:pPr>
              <w:pStyle w:val="TableParagraph"/>
              <w:spacing w:before="92"/>
              <w:ind w:left="59"/>
              <w:rPr>
                <w:rFonts w:ascii="Cambria"/>
                <w:sz w:val="21"/>
              </w:rPr>
            </w:pPr>
            <w:hyperlink r:id="rId748">
              <w:r w:rsidR="0030286B">
                <w:rPr>
                  <w:rFonts w:ascii="Cambria"/>
                  <w:color w:val="418BCA"/>
                  <w:w w:val="115"/>
                  <w:sz w:val="21"/>
                </w:rPr>
                <w:t>javadoc</w:t>
              </w:r>
            </w:hyperlink>
          </w:p>
        </w:tc>
      </w:tr>
      <w:tr w:rsidR="00A720EB" w14:paraId="6ED6261C" w14:textId="77777777">
        <w:trPr>
          <w:trHeight w:val="425"/>
        </w:trPr>
        <w:tc>
          <w:tcPr>
            <w:tcW w:w="7981" w:type="dxa"/>
          </w:tcPr>
          <w:p w14:paraId="3A45CB26" w14:textId="77777777" w:rsidR="00A720EB" w:rsidRDefault="00E10349">
            <w:pPr>
              <w:pStyle w:val="TableParagraph"/>
              <w:spacing w:before="37"/>
              <w:rPr>
                <w:sz w:val="21"/>
              </w:rPr>
            </w:pPr>
            <w:hyperlink r:id="rId749">
              <w:r w:rsidR="0030286B">
                <w:rPr>
                  <w:color w:val="B02045"/>
                  <w:sz w:val="21"/>
                </w:rPr>
                <w:t>GsonAutoConfiguration</w:t>
              </w:r>
            </w:hyperlink>
          </w:p>
        </w:tc>
        <w:tc>
          <w:tcPr>
            <w:tcW w:w="1995" w:type="dxa"/>
          </w:tcPr>
          <w:p w14:paraId="228F4EFE" w14:textId="77777777" w:rsidR="00A720EB" w:rsidRDefault="00E10349">
            <w:pPr>
              <w:pStyle w:val="TableParagraph"/>
              <w:spacing w:before="92"/>
              <w:ind w:left="59"/>
              <w:rPr>
                <w:rFonts w:ascii="Cambria"/>
                <w:sz w:val="21"/>
              </w:rPr>
            </w:pPr>
            <w:hyperlink r:id="rId750">
              <w:r w:rsidR="0030286B">
                <w:rPr>
                  <w:rFonts w:ascii="Cambria"/>
                  <w:color w:val="418BCA"/>
                  <w:w w:val="115"/>
                  <w:sz w:val="21"/>
                </w:rPr>
                <w:t>javadoc</w:t>
              </w:r>
            </w:hyperlink>
          </w:p>
        </w:tc>
      </w:tr>
      <w:tr w:rsidR="00A720EB" w14:paraId="1DEC4DAE" w14:textId="77777777">
        <w:trPr>
          <w:trHeight w:val="425"/>
        </w:trPr>
        <w:tc>
          <w:tcPr>
            <w:tcW w:w="7981" w:type="dxa"/>
          </w:tcPr>
          <w:p w14:paraId="2880F716" w14:textId="77777777" w:rsidR="00A720EB" w:rsidRDefault="00E10349">
            <w:pPr>
              <w:pStyle w:val="TableParagraph"/>
              <w:rPr>
                <w:sz w:val="21"/>
              </w:rPr>
            </w:pPr>
            <w:hyperlink r:id="rId751">
              <w:r w:rsidR="0030286B">
                <w:rPr>
                  <w:color w:val="B02045"/>
                  <w:sz w:val="21"/>
                </w:rPr>
                <w:t>H2ConsoleAutoConfiguration</w:t>
              </w:r>
            </w:hyperlink>
          </w:p>
        </w:tc>
        <w:tc>
          <w:tcPr>
            <w:tcW w:w="1995" w:type="dxa"/>
          </w:tcPr>
          <w:p w14:paraId="7693C4A8" w14:textId="77777777" w:rsidR="00A720EB" w:rsidRDefault="00E10349">
            <w:pPr>
              <w:pStyle w:val="TableParagraph"/>
              <w:spacing w:before="92"/>
              <w:ind w:left="59"/>
              <w:rPr>
                <w:rFonts w:ascii="Cambria"/>
                <w:sz w:val="21"/>
              </w:rPr>
            </w:pPr>
            <w:hyperlink r:id="rId752">
              <w:r w:rsidR="0030286B">
                <w:rPr>
                  <w:rFonts w:ascii="Cambria"/>
                  <w:color w:val="418BCA"/>
                  <w:w w:val="115"/>
                  <w:sz w:val="21"/>
                </w:rPr>
                <w:t>javadoc</w:t>
              </w:r>
            </w:hyperlink>
          </w:p>
        </w:tc>
      </w:tr>
      <w:tr w:rsidR="00A720EB" w14:paraId="0BF510A3" w14:textId="77777777">
        <w:trPr>
          <w:trHeight w:val="425"/>
        </w:trPr>
        <w:tc>
          <w:tcPr>
            <w:tcW w:w="7981" w:type="dxa"/>
          </w:tcPr>
          <w:p w14:paraId="0D6CCE60" w14:textId="77777777" w:rsidR="00A720EB" w:rsidRDefault="00E10349">
            <w:pPr>
              <w:pStyle w:val="TableParagraph"/>
              <w:spacing w:before="37"/>
              <w:rPr>
                <w:sz w:val="21"/>
              </w:rPr>
            </w:pPr>
            <w:hyperlink r:id="rId753">
              <w:r w:rsidR="0030286B">
                <w:rPr>
                  <w:color w:val="B02045"/>
                  <w:sz w:val="21"/>
                </w:rPr>
                <w:t>HazelcastAutoConfiguration</w:t>
              </w:r>
            </w:hyperlink>
          </w:p>
        </w:tc>
        <w:tc>
          <w:tcPr>
            <w:tcW w:w="1995" w:type="dxa"/>
          </w:tcPr>
          <w:p w14:paraId="2235FB43" w14:textId="77777777" w:rsidR="00A720EB" w:rsidRDefault="00E10349">
            <w:pPr>
              <w:pStyle w:val="TableParagraph"/>
              <w:spacing w:before="92"/>
              <w:ind w:left="59"/>
              <w:rPr>
                <w:rFonts w:ascii="Cambria"/>
                <w:sz w:val="21"/>
              </w:rPr>
            </w:pPr>
            <w:hyperlink r:id="rId754">
              <w:r w:rsidR="0030286B">
                <w:rPr>
                  <w:rFonts w:ascii="Cambria"/>
                  <w:color w:val="418BCA"/>
                  <w:w w:val="115"/>
                  <w:sz w:val="21"/>
                </w:rPr>
                <w:t>javadoc</w:t>
              </w:r>
            </w:hyperlink>
          </w:p>
        </w:tc>
      </w:tr>
      <w:tr w:rsidR="00A720EB" w14:paraId="0FB9E49C" w14:textId="77777777">
        <w:trPr>
          <w:trHeight w:val="425"/>
        </w:trPr>
        <w:tc>
          <w:tcPr>
            <w:tcW w:w="7981" w:type="dxa"/>
          </w:tcPr>
          <w:p w14:paraId="538BE1C7" w14:textId="77777777" w:rsidR="00A720EB" w:rsidRDefault="00E10349">
            <w:pPr>
              <w:pStyle w:val="TableParagraph"/>
              <w:rPr>
                <w:sz w:val="21"/>
              </w:rPr>
            </w:pPr>
            <w:hyperlink r:id="rId755">
              <w:r w:rsidR="0030286B">
                <w:rPr>
                  <w:color w:val="B02045"/>
                  <w:sz w:val="21"/>
                </w:rPr>
                <w:t>HazelcastJpaDependencyAutoConfiguration</w:t>
              </w:r>
            </w:hyperlink>
          </w:p>
        </w:tc>
        <w:tc>
          <w:tcPr>
            <w:tcW w:w="1995" w:type="dxa"/>
          </w:tcPr>
          <w:p w14:paraId="386181B6" w14:textId="77777777" w:rsidR="00A720EB" w:rsidRDefault="00E10349">
            <w:pPr>
              <w:pStyle w:val="TableParagraph"/>
              <w:spacing w:before="92"/>
              <w:ind w:left="59"/>
              <w:rPr>
                <w:rFonts w:ascii="Cambria"/>
                <w:sz w:val="21"/>
              </w:rPr>
            </w:pPr>
            <w:hyperlink r:id="rId756">
              <w:r w:rsidR="0030286B">
                <w:rPr>
                  <w:rFonts w:ascii="Cambria"/>
                  <w:color w:val="418BCA"/>
                  <w:w w:val="115"/>
                  <w:sz w:val="21"/>
                </w:rPr>
                <w:t>javadoc</w:t>
              </w:r>
            </w:hyperlink>
          </w:p>
        </w:tc>
      </w:tr>
      <w:tr w:rsidR="00A720EB" w14:paraId="3C7BC27D" w14:textId="77777777">
        <w:trPr>
          <w:trHeight w:val="425"/>
        </w:trPr>
        <w:tc>
          <w:tcPr>
            <w:tcW w:w="7981" w:type="dxa"/>
          </w:tcPr>
          <w:p w14:paraId="6983DEB4" w14:textId="77777777" w:rsidR="00A720EB" w:rsidRDefault="00E10349">
            <w:pPr>
              <w:pStyle w:val="TableParagraph"/>
              <w:spacing w:before="37"/>
              <w:rPr>
                <w:sz w:val="21"/>
              </w:rPr>
            </w:pPr>
            <w:hyperlink r:id="rId757">
              <w:r w:rsidR="0030286B">
                <w:rPr>
                  <w:color w:val="B02045"/>
                  <w:sz w:val="21"/>
                </w:rPr>
                <w:t>HibernateJpaAutoConfiguration</w:t>
              </w:r>
            </w:hyperlink>
          </w:p>
        </w:tc>
        <w:tc>
          <w:tcPr>
            <w:tcW w:w="1995" w:type="dxa"/>
          </w:tcPr>
          <w:p w14:paraId="03039BC7" w14:textId="77777777" w:rsidR="00A720EB" w:rsidRDefault="00E10349">
            <w:pPr>
              <w:pStyle w:val="TableParagraph"/>
              <w:spacing w:before="92"/>
              <w:ind w:left="59"/>
              <w:rPr>
                <w:rFonts w:ascii="Cambria"/>
                <w:sz w:val="21"/>
              </w:rPr>
            </w:pPr>
            <w:hyperlink r:id="rId758">
              <w:r w:rsidR="0030286B">
                <w:rPr>
                  <w:rFonts w:ascii="Cambria"/>
                  <w:color w:val="418BCA"/>
                  <w:w w:val="115"/>
                  <w:sz w:val="21"/>
                </w:rPr>
                <w:t>javadoc</w:t>
              </w:r>
            </w:hyperlink>
          </w:p>
        </w:tc>
      </w:tr>
      <w:tr w:rsidR="00A720EB" w14:paraId="3BE75245" w14:textId="77777777">
        <w:trPr>
          <w:trHeight w:val="425"/>
        </w:trPr>
        <w:tc>
          <w:tcPr>
            <w:tcW w:w="7981" w:type="dxa"/>
          </w:tcPr>
          <w:p w14:paraId="72E0FACB" w14:textId="77777777" w:rsidR="00A720EB" w:rsidRDefault="00E10349">
            <w:pPr>
              <w:pStyle w:val="TableParagraph"/>
              <w:rPr>
                <w:sz w:val="21"/>
              </w:rPr>
            </w:pPr>
            <w:hyperlink r:id="rId759">
              <w:r w:rsidR="0030286B">
                <w:rPr>
                  <w:color w:val="B02045"/>
                  <w:sz w:val="21"/>
                </w:rPr>
                <w:t>HttpEncodingAutoConfiguration</w:t>
              </w:r>
            </w:hyperlink>
          </w:p>
        </w:tc>
        <w:tc>
          <w:tcPr>
            <w:tcW w:w="1995" w:type="dxa"/>
          </w:tcPr>
          <w:p w14:paraId="3C02363B" w14:textId="77777777" w:rsidR="00A720EB" w:rsidRDefault="00E10349">
            <w:pPr>
              <w:pStyle w:val="TableParagraph"/>
              <w:spacing w:before="92"/>
              <w:ind w:left="59"/>
              <w:rPr>
                <w:rFonts w:ascii="Cambria"/>
                <w:sz w:val="21"/>
              </w:rPr>
            </w:pPr>
            <w:hyperlink r:id="rId760">
              <w:r w:rsidR="0030286B">
                <w:rPr>
                  <w:rFonts w:ascii="Cambria"/>
                  <w:color w:val="418BCA"/>
                  <w:w w:val="115"/>
                  <w:sz w:val="21"/>
                </w:rPr>
                <w:t>javadoc</w:t>
              </w:r>
            </w:hyperlink>
          </w:p>
        </w:tc>
      </w:tr>
      <w:tr w:rsidR="00A720EB" w14:paraId="5A3F0014" w14:textId="77777777">
        <w:trPr>
          <w:trHeight w:val="425"/>
        </w:trPr>
        <w:tc>
          <w:tcPr>
            <w:tcW w:w="7981" w:type="dxa"/>
          </w:tcPr>
          <w:p w14:paraId="344BFCEE" w14:textId="77777777" w:rsidR="00A720EB" w:rsidRDefault="00E10349">
            <w:pPr>
              <w:pStyle w:val="TableParagraph"/>
              <w:spacing w:before="37"/>
              <w:rPr>
                <w:sz w:val="21"/>
              </w:rPr>
            </w:pPr>
            <w:hyperlink r:id="rId761">
              <w:r w:rsidR="0030286B">
                <w:rPr>
                  <w:color w:val="B02045"/>
                  <w:sz w:val="21"/>
                </w:rPr>
                <w:t>HttpHandlerAutoConfiguration</w:t>
              </w:r>
            </w:hyperlink>
          </w:p>
        </w:tc>
        <w:tc>
          <w:tcPr>
            <w:tcW w:w="1995" w:type="dxa"/>
          </w:tcPr>
          <w:p w14:paraId="62330476" w14:textId="77777777" w:rsidR="00A720EB" w:rsidRDefault="00E10349">
            <w:pPr>
              <w:pStyle w:val="TableParagraph"/>
              <w:spacing w:before="92"/>
              <w:ind w:left="59"/>
              <w:rPr>
                <w:rFonts w:ascii="Cambria"/>
                <w:sz w:val="21"/>
              </w:rPr>
            </w:pPr>
            <w:hyperlink r:id="rId762">
              <w:r w:rsidR="0030286B">
                <w:rPr>
                  <w:rFonts w:ascii="Cambria"/>
                  <w:color w:val="418BCA"/>
                  <w:w w:val="115"/>
                  <w:sz w:val="21"/>
                </w:rPr>
                <w:t>javadoc</w:t>
              </w:r>
            </w:hyperlink>
          </w:p>
        </w:tc>
      </w:tr>
      <w:tr w:rsidR="00A720EB" w14:paraId="286EAC43" w14:textId="77777777">
        <w:trPr>
          <w:trHeight w:val="425"/>
        </w:trPr>
        <w:tc>
          <w:tcPr>
            <w:tcW w:w="7981" w:type="dxa"/>
          </w:tcPr>
          <w:p w14:paraId="3DF2D79B" w14:textId="77777777" w:rsidR="00A720EB" w:rsidRDefault="00E10349">
            <w:pPr>
              <w:pStyle w:val="TableParagraph"/>
              <w:spacing w:before="37"/>
              <w:rPr>
                <w:sz w:val="21"/>
              </w:rPr>
            </w:pPr>
            <w:hyperlink r:id="rId763">
              <w:r w:rsidR="0030286B">
                <w:rPr>
                  <w:color w:val="B02045"/>
                  <w:sz w:val="21"/>
                </w:rPr>
                <w:t>HttpMessageConvertersAutoConfiguration</w:t>
              </w:r>
            </w:hyperlink>
          </w:p>
        </w:tc>
        <w:tc>
          <w:tcPr>
            <w:tcW w:w="1995" w:type="dxa"/>
          </w:tcPr>
          <w:p w14:paraId="28463512" w14:textId="77777777" w:rsidR="00A720EB" w:rsidRDefault="00E10349">
            <w:pPr>
              <w:pStyle w:val="TableParagraph"/>
              <w:spacing w:before="92"/>
              <w:ind w:left="59"/>
              <w:rPr>
                <w:rFonts w:ascii="Cambria"/>
                <w:sz w:val="21"/>
              </w:rPr>
            </w:pPr>
            <w:hyperlink r:id="rId764">
              <w:r w:rsidR="0030286B">
                <w:rPr>
                  <w:rFonts w:ascii="Cambria"/>
                  <w:color w:val="418BCA"/>
                  <w:w w:val="115"/>
                  <w:sz w:val="21"/>
                </w:rPr>
                <w:t>javadoc</w:t>
              </w:r>
            </w:hyperlink>
          </w:p>
        </w:tc>
      </w:tr>
      <w:tr w:rsidR="00A720EB" w14:paraId="51FB8CDF" w14:textId="77777777">
        <w:trPr>
          <w:trHeight w:val="425"/>
        </w:trPr>
        <w:tc>
          <w:tcPr>
            <w:tcW w:w="7981" w:type="dxa"/>
          </w:tcPr>
          <w:p w14:paraId="38D34D13" w14:textId="77777777" w:rsidR="00A720EB" w:rsidRDefault="00E10349">
            <w:pPr>
              <w:pStyle w:val="TableParagraph"/>
              <w:spacing w:before="37"/>
              <w:rPr>
                <w:sz w:val="21"/>
              </w:rPr>
            </w:pPr>
            <w:hyperlink r:id="rId765">
              <w:r w:rsidR="0030286B">
                <w:rPr>
                  <w:color w:val="B02045"/>
                  <w:sz w:val="21"/>
                </w:rPr>
                <w:t>HypermediaAutoConfiguration</w:t>
              </w:r>
            </w:hyperlink>
          </w:p>
        </w:tc>
        <w:tc>
          <w:tcPr>
            <w:tcW w:w="1995" w:type="dxa"/>
          </w:tcPr>
          <w:p w14:paraId="1D40975D" w14:textId="77777777" w:rsidR="00A720EB" w:rsidRDefault="00E10349">
            <w:pPr>
              <w:pStyle w:val="TableParagraph"/>
              <w:spacing w:before="92"/>
              <w:ind w:left="59"/>
              <w:rPr>
                <w:rFonts w:ascii="Cambria"/>
                <w:sz w:val="21"/>
              </w:rPr>
            </w:pPr>
            <w:hyperlink r:id="rId766">
              <w:r w:rsidR="0030286B">
                <w:rPr>
                  <w:rFonts w:ascii="Cambria"/>
                  <w:color w:val="418BCA"/>
                  <w:w w:val="115"/>
                  <w:sz w:val="21"/>
                </w:rPr>
                <w:t>javadoc</w:t>
              </w:r>
            </w:hyperlink>
          </w:p>
        </w:tc>
      </w:tr>
      <w:tr w:rsidR="00A720EB" w14:paraId="23152273" w14:textId="77777777">
        <w:trPr>
          <w:trHeight w:val="425"/>
        </w:trPr>
        <w:tc>
          <w:tcPr>
            <w:tcW w:w="7981" w:type="dxa"/>
          </w:tcPr>
          <w:p w14:paraId="3A5828CB" w14:textId="77777777" w:rsidR="00A720EB" w:rsidRDefault="00E10349">
            <w:pPr>
              <w:pStyle w:val="TableParagraph"/>
              <w:spacing w:before="37"/>
              <w:rPr>
                <w:sz w:val="21"/>
              </w:rPr>
            </w:pPr>
            <w:hyperlink r:id="rId767">
              <w:r w:rsidR="0030286B">
                <w:rPr>
                  <w:color w:val="B02045"/>
                  <w:sz w:val="21"/>
                </w:rPr>
                <w:t>InfluxDbAutoConfiguration</w:t>
              </w:r>
            </w:hyperlink>
          </w:p>
        </w:tc>
        <w:tc>
          <w:tcPr>
            <w:tcW w:w="1995" w:type="dxa"/>
          </w:tcPr>
          <w:p w14:paraId="6321CF28" w14:textId="77777777" w:rsidR="00A720EB" w:rsidRDefault="00E10349">
            <w:pPr>
              <w:pStyle w:val="TableParagraph"/>
              <w:spacing w:before="92"/>
              <w:ind w:left="59"/>
              <w:rPr>
                <w:rFonts w:ascii="Cambria"/>
                <w:sz w:val="21"/>
              </w:rPr>
            </w:pPr>
            <w:hyperlink r:id="rId768">
              <w:r w:rsidR="0030286B">
                <w:rPr>
                  <w:rFonts w:ascii="Cambria"/>
                  <w:color w:val="418BCA"/>
                  <w:w w:val="115"/>
                  <w:sz w:val="21"/>
                </w:rPr>
                <w:t>javadoc</w:t>
              </w:r>
            </w:hyperlink>
          </w:p>
        </w:tc>
      </w:tr>
      <w:tr w:rsidR="00A720EB" w14:paraId="41962AFC" w14:textId="77777777">
        <w:trPr>
          <w:trHeight w:val="425"/>
        </w:trPr>
        <w:tc>
          <w:tcPr>
            <w:tcW w:w="7981" w:type="dxa"/>
          </w:tcPr>
          <w:p w14:paraId="7CD76559" w14:textId="77777777" w:rsidR="00A720EB" w:rsidRDefault="00E10349">
            <w:pPr>
              <w:pStyle w:val="TableParagraph"/>
              <w:spacing w:before="37"/>
              <w:rPr>
                <w:sz w:val="21"/>
              </w:rPr>
            </w:pPr>
            <w:hyperlink r:id="rId769">
              <w:r w:rsidR="0030286B">
                <w:rPr>
                  <w:color w:val="B02045"/>
                  <w:sz w:val="21"/>
                </w:rPr>
                <w:t>IntegrationAutoConfiguration</w:t>
              </w:r>
            </w:hyperlink>
          </w:p>
        </w:tc>
        <w:tc>
          <w:tcPr>
            <w:tcW w:w="1995" w:type="dxa"/>
          </w:tcPr>
          <w:p w14:paraId="6E5803C9" w14:textId="77777777" w:rsidR="00A720EB" w:rsidRDefault="00E10349">
            <w:pPr>
              <w:pStyle w:val="TableParagraph"/>
              <w:spacing w:before="92"/>
              <w:ind w:left="59"/>
              <w:rPr>
                <w:rFonts w:ascii="Cambria"/>
                <w:sz w:val="21"/>
              </w:rPr>
            </w:pPr>
            <w:hyperlink r:id="rId770">
              <w:r w:rsidR="0030286B">
                <w:rPr>
                  <w:rFonts w:ascii="Cambria"/>
                  <w:color w:val="418BCA"/>
                  <w:w w:val="115"/>
                  <w:sz w:val="21"/>
                </w:rPr>
                <w:t>javadoc</w:t>
              </w:r>
            </w:hyperlink>
          </w:p>
        </w:tc>
      </w:tr>
      <w:tr w:rsidR="00A720EB" w14:paraId="55033E30" w14:textId="77777777">
        <w:trPr>
          <w:trHeight w:val="425"/>
        </w:trPr>
        <w:tc>
          <w:tcPr>
            <w:tcW w:w="7981" w:type="dxa"/>
          </w:tcPr>
          <w:p w14:paraId="38FBCDDA" w14:textId="77777777" w:rsidR="00A720EB" w:rsidRDefault="00E10349">
            <w:pPr>
              <w:pStyle w:val="TableParagraph"/>
              <w:spacing w:before="37"/>
              <w:rPr>
                <w:sz w:val="21"/>
              </w:rPr>
            </w:pPr>
            <w:hyperlink r:id="rId771">
              <w:r w:rsidR="0030286B">
                <w:rPr>
                  <w:color w:val="B02045"/>
                  <w:sz w:val="21"/>
                </w:rPr>
                <w:t>JacksonAutoConfiguration</w:t>
              </w:r>
            </w:hyperlink>
          </w:p>
        </w:tc>
        <w:tc>
          <w:tcPr>
            <w:tcW w:w="1995" w:type="dxa"/>
          </w:tcPr>
          <w:p w14:paraId="2F1508E6" w14:textId="77777777" w:rsidR="00A720EB" w:rsidRDefault="00E10349">
            <w:pPr>
              <w:pStyle w:val="TableParagraph"/>
              <w:spacing w:before="92"/>
              <w:ind w:left="59"/>
              <w:rPr>
                <w:rFonts w:ascii="Cambria"/>
                <w:sz w:val="21"/>
              </w:rPr>
            </w:pPr>
            <w:hyperlink r:id="rId772">
              <w:r w:rsidR="0030286B">
                <w:rPr>
                  <w:rFonts w:ascii="Cambria"/>
                  <w:color w:val="418BCA"/>
                  <w:w w:val="115"/>
                  <w:sz w:val="21"/>
                </w:rPr>
                <w:t>javadoc</w:t>
              </w:r>
            </w:hyperlink>
          </w:p>
        </w:tc>
      </w:tr>
      <w:tr w:rsidR="00A720EB" w14:paraId="61674FA0" w14:textId="77777777">
        <w:trPr>
          <w:trHeight w:val="425"/>
        </w:trPr>
        <w:tc>
          <w:tcPr>
            <w:tcW w:w="7981" w:type="dxa"/>
          </w:tcPr>
          <w:p w14:paraId="7875A115" w14:textId="77777777" w:rsidR="00A720EB" w:rsidRDefault="00E10349">
            <w:pPr>
              <w:pStyle w:val="TableParagraph"/>
              <w:spacing w:before="37"/>
              <w:rPr>
                <w:sz w:val="21"/>
              </w:rPr>
            </w:pPr>
            <w:hyperlink r:id="rId773">
              <w:r w:rsidR="0030286B">
                <w:rPr>
                  <w:color w:val="B02045"/>
                  <w:sz w:val="21"/>
                </w:rPr>
                <w:t>JdbcRepositoriesAutoConfiguration</w:t>
              </w:r>
            </w:hyperlink>
          </w:p>
        </w:tc>
        <w:tc>
          <w:tcPr>
            <w:tcW w:w="1995" w:type="dxa"/>
          </w:tcPr>
          <w:p w14:paraId="53B1A72D" w14:textId="77777777" w:rsidR="00A720EB" w:rsidRDefault="00E10349">
            <w:pPr>
              <w:pStyle w:val="TableParagraph"/>
              <w:spacing w:before="92"/>
              <w:ind w:left="59"/>
              <w:rPr>
                <w:rFonts w:ascii="Cambria"/>
                <w:sz w:val="21"/>
              </w:rPr>
            </w:pPr>
            <w:hyperlink r:id="rId774">
              <w:r w:rsidR="0030286B">
                <w:rPr>
                  <w:rFonts w:ascii="Cambria"/>
                  <w:color w:val="418BCA"/>
                  <w:w w:val="115"/>
                  <w:sz w:val="21"/>
                </w:rPr>
                <w:t>javadoc</w:t>
              </w:r>
            </w:hyperlink>
          </w:p>
        </w:tc>
      </w:tr>
      <w:tr w:rsidR="00A720EB" w14:paraId="2DBB0D33" w14:textId="77777777">
        <w:trPr>
          <w:trHeight w:val="425"/>
        </w:trPr>
        <w:tc>
          <w:tcPr>
            <w:tcW w:w="7981" w:type="dxa"/>
          </w:tcPr>
          <w:p w14:paraId="536684A4" w14:textId="77777777" w:rsidR="00A720EB" w:rsidRDefault="00E10349">
            <w:pPr>
              <w:pStyle w:val="TableParagraph"/>
              <w:spacing w:before="37"/>
              <w:rPr>
                <w:sz w:val="21"/>
              </w:rPr>
            </w:pPr>
            <w:hyperlink r:id="rId775">
              <w:r w:rsidR="0030286B">
                <w:rPr>
                  <w:color w:val="B02045"/>
                  <w:sz w:val="21"/>
                </w:rPr>
                <w:t>JdbcTemplateAutoConfiguration</w:t>
              </w:r>
            </w:hyperlink>
          </w:p>
        </w:tc>
        <w:tc>
          <w:tcPr>
            <w:tcW w:w="1995" w:type="dxa"/>
          </w:tcPr>
          <w:p w14:paraId="1EFB676A" w14:textId="77777777" w:rsidR="00A720EB" w:rsidRDefault="00E10349">
            <w:pPr>
              <w:pStyle w:val="TableParagraph"/>
              <w:spacing w:before="92"/>
              <w:ind w:left="59"/>
              <w:rPr>
                <w:rFonts w:ascii="Cambria"/>
                <w:sz w:val="21"/>
              </w:rPr>
            </w:pPr>
            <w:hyperlink r:id="rId776">
              <w:r w:rsidR="0030286B">
                <w:rPr>
                  <w:rFonts w:ascii="Cambria"/>
                  <w:color w:val="418BCA"/>
                  <w:w w:val="115"/>
                  <w:sz w:val="21"/>
                </w:rPr>
                <w:t>javadoc</w:t>
              </w:r>
            </w:hyperlink>
          </w:p>
        </w:tc>
      </w:tr>
      <w:tr w:rsidR="00A720EB" w14:paraId="0CE43194" w14:textId="77777777">
        <w:trPr>
          <w:trHeight w:val="425"/>
        </w:trPr>
        <w:tc>
          <w:tcPr>
            <w:tcW w:w="7981" w:type="dxa"/>
          </w:tcPr>
          <w:p w14:paraId="7BF62023" w14:textId="77777777" w:rsidR="00A720EB" w:rsidRDefault="00E10349">
            <w:pPr>
              <w:pStyle w:val="TableParagraph"/>
              <w:spacing w:before="37"/>
              <w:rPr>
                <w:sz w:val="21"/>
              </w:rPr>
            </w:pPr>
            <w:hyperlink r:id="rId777">
              <w:r w:rsidR="0030286B">
                <w:rPr>
                  <w:color w:val="B02045"/>
                  <w:sz w:val="21"/>
                </w:rPr>
                <w:t>JerseyAutoConfiguration</w:t>
              </w:r>
            </w:hyperlink>
          </w:p>
        </w:tc>
        <w:tc>
          <w:tcPr>
            <w:tcW w:w="1995" w:type="dxa"/>
          </w:tcPr>
          <w:p w14:paraId="2C3BCAEA" w14:textId="77777777" w:rsidR="00A720EB" w:rsidRDefault="00E10349">
            <w:pPr>
              <w:pStyle w:val="TableParagraph"/>
              <w:spacing w:before="92"/>
              <w:ind w:left="59"/>
              <w:rPr>
                <w:rFonts w:ascii="Cambria"/>
                <w:sz w:val="21"/>
              </w:rPr>
            </w:pPr>
            <w:hyperlink r:id="rId778">
              <w:r w:rsidR="0030286B">
                <w:rPr>
                  <w:rFonts w:ascii="Cambria"/>
                  <w:color w:val="418BCA"/>
                  <w:w w:val="115"/>
                  <w:sz w:val="21"/>
                </w:rPr>
                <w:t>javadoc</w:t>
              </w:r>
            </w:hyperlink>
          </w:p>
        </w:tc>
      </w:tr>
      <w:tr w:rsidR="00A720EB" w14:paraId="45053A08" w14:textId="77777777">
        <w:trPr>
          <w:trHeight w:val="425"/>
        </w:trPr>
        <w:tc>
          <w:tcPr>
            <w:tcW w:w="7981" w:type="dxa"/>
          </w:tcPr>
          <w:p w14:paraId="294EA195" w14:textId="77777777" w:rsidR="00A720EB" w:rsidRDefault="00E10349">
            <w:pPr>
              <w:pStyle w:val="TableParagraph"/>
              <w:spacing w:before="37"/>
              <w:rPr>
                <w:sz w:val="21"/>
              </w:rPr>
            </w:pPr>
            <w:hyperlink r:id="rId779">
              <w:r w:rsidR="0030286B">
                <w:rPr>
                  <w:color w:val="B02045"/>
                  <w:sz w:val="21"/>
                </w:rPr>
                <w:t>JmsAutoConfiguration</w:t>
              </w:r>
            </w:hyperlink>
          </w:p>
        </w:tc>
        <w:tc>
          <w:tcPr>
            <w:tcW w:w="1995" w:type="dxa"/>
          </w:tcPr>
          <w:p w14:paraId="4899880D" w14:textId="77777777" w:rsidR="00A720EB" w:rsidRDefault="00E10349">
            <w:pPr>
              <w:pStyle w:val="TableParagraph"/>
              <w:spacing w:before="92"/>
              <w:ind w:left="59"/>
              <w:rPr>
                <w:rFonts w:ascii="Cambria"/>
                <w:sz w:val="21"/>
              </w:rPr>
            </w:pPr>
            <w:hyperlink r:id="rId780">
              <w:r w:rsidR="0030286B">
                <w:rPr>
                  <w:rFonts w:ascii="Cambria"/>
                  <w:color w:val="418BCA"/>
                  <w:w w:val="115"/>
                  <w:sz w:val="21"/>
                </w:rPr>
                <w:t>javadoc</w:t>
              </w:r>
            </w:hyperlink>
          </w:p>
        </w:tc>
      </w:tr>
      <w:tr w:rsidR="00A720EB" w14:paraId="43CAA15D" w14:textId="77777777">
        <w:trPr>
          <w:trHeight w:val="425"/>
        </w:trPr>
        <w:tc>
          <w:tcPr>
            <w:tcW w:w="7981" w:type="dxa"/>
          </w:tcPr>
          <w:p w14:paraId="7490208A" w14:textId="77777777" w:rsidR="00A720EB" w:rsidRDefault="00E10349">
            <w:pPr>
              <w:pStyle w:val="TableParagraph"/>
              <w:spacing w:before="37"/>
              <w:rPr>
                <w:sz w:val="21"/>
              </w:rPr>
            </w:pPr>
            <w:hyperlink r:id="rId781">
              <w:r w:rsidR="0030286B">
                <w:rPr>
                  <w:color w:val="B02045"/>
                  <w:sz w:val="21"/>
                </w:rPr>
                <w:t>JmxAutoConfiguration</w:t>
              </w:r>
            </w:hyperlink>
          </w:p>
        </w:tc>
        <w:tc>
          <w:tcPr>
            <w:tcW w:w="1995" w:type="dxa"/>
          </w:tcPr>
          <w:p w14:paraId="583D53F4" w14:textId="77777777" w:rsidR="00A720EB" w:rsidRDefault="00E10349">
            <w:pPr>
              <w:pStyle w:val="TableParagraph"/>
              <w:spacing w:before="92"/>
              <w:ind w:left="59"/>
              <w:rPr>
                <w:rFonts w:ascii="Cambria"/>
                <w:sz w:val="21"/>
              </w:rPr>
            </w:pPr>
            <w:hyperlink r:id="rId782">
              <w:r w:rsidR="0030286B">
                <w:rPr>
                  <w:rFonts w:ascii="Cambria"/>
                  <w:color w:val="418BCA"/>
                  <w:w w:val="115"/>
                  <w:sz w:val="21"/>
                </w:rPr>
                <w:t>javadoc</w:t>
              </w:r>
            </w:hyperlink>
          </w:p>
        </w:tc>
      </w:tr>
      <w:tr w:rsidR="00A720EB" w14:paraId="525D95FD" w14:textId="77777777">
        <w:trPr>
          <w:trHeight w:val="425"/>
        </w:trPr>
        <w:tc>
          <w:tcPr>
            <w:tcW w:w="7981" w:type="dxa"/>
          </w:tcPr>
          <w:p w14:paraId="4F9D51F0" w14:textId="77777777" w:rsidR="00A720EB" w:rsidRDefault="00E10349">
            <w:pPr>
              <w:pStyle w:val="TableParagraph"/>
              <w:spacing w:before="37"/>
              <w:rPr>
                <w:sz w:val="21"/>
              </w:rPr>
            </w:pPr>
            <w:hyperlink r:id="rId783">
              <w:r w:rsidR="0030286B">
                <w:rPr>
                  <w:color w:val="B02045"/>
                  <w:sz w:val="21"/>
                </w:rPr>
                <w:t>JndiConnectionFactoryAutoConfiguration</w:t>
              </w:r>
            </w:hyperlink>
          </w:p>
        </w:tc>
        <w:tc>
          <w:tcPr>
            <w:tcW w:w="1995" w:type="dxa"/>
          </w:tcPr>
          <w:p w14:paraId="615D4644" w14:textId="77777777" w:rsidR="00A720EB" w:rsidRDefault="00E10349">
            <w:pPr>
              <w:pStyle w:val="TableParagraph"/>
              <w:spacing w:before="92"/>
              <w:ind w:left="59"/>
              <w:rPr>
                <w:rFonts w:ascii="Cambria"/>
                <w:sz w:val="21"/>
              </w:rPr>
            </w:pPr>
            <w:hyperlink r:id="rId784">
              <w:r w:rsidR="0030286B">
                <w:rPr>
                  <w:rFonts w:ascii="Cambria"/>
                  <w:color w:val="418BCA"/>
                  <w:w w:val="115"/>
                  <w:sz w:val="21"/>
                </w:rPr>
                <w:t>javadoc</w:t>
              </w:r>
            </w:hyperlink>
          </w:p>
        </w:tc>
      </w:tr>
      <w:tr w:rsidR="00A720EB" w14:paraId="66E54E26" w14:textId="77777777">
        <w:trPr>
          <w:trHeight w:val="425"/>
        </w:trPr>
        <w:tc>
          <w:tcPr>
            <w:tcW w:w="7981" w:type="dxa"/>
          </w:tcPr>
          <w:p w14:paraId="6B4FEB57" w14:textId="77777777" w:rsidR="00A720EB" w:rsidRDefault="00E10349">
            <w:pPr>
              <w:pStyle w:val="TableParagraph"/>
              <w:spacing w:before="37"/>
              <w:rPr>
                <w:sz w:val="21"/>
              </w:rPr>
            </w:pPr>
            <w:hyperlink r:id="rId785">
              <w:r w:rsidR="0030286B">
                <w:rPr>
                  <w:color w:val="B02045"/>
                  <w:sz w:val="21"/>
                </w:rPr>
                <w:t>JndiDataSourceAutoConfiguration</w:t>
              </w:r>
            </w:hyperlink>
          </w:p>
        </w:tc>
        <w:tc>
          <w:tcPr>
            <w:tcW w:w="1995" w:type="dxa"/>
          </w:tcPr>
          <w:p w14:paraId="7404600A" w14:textId="77777777" w:rsidR="00A720EB" w:rsidRDefault="00E10349">
            <w:pPr>
              <w:pStyle w:val="TableParagraph"/>
              <w:spacing w:before="92"/>
              <w:ind w:left="59"/>
              <w:rPr>
                <w:rFonts w:ascii="Cambria"/>
                <w:sz w:val="21"/>
              </w:rPr>
            </w:pPr>
            <w:hyperlink r:id="rId786">
              <w:r w:rsidR="0030286B">
                <w:rPr>
                  <w:rFonts w:ascii="Cambria"/>
                  <w:color w:val="418BCA"/>
                  <w:w w:val="115"/>
                  <w:sz w:val="21"/>
                </w:rPr>
                <w:t>javadoc</w:t>
              </w:r>
            </w:hyperlink>
          </w:p>
        </w:tc>
      </w:tr>
      <w:tr w:rsidR="00A720EB" w14:paraId="74D5C4D1" w14:textId="77777777">
        <w:trPr>
          <w:trHeight w:val="425"/>
        </w:trPr>
        <w:tc>
          <w:tcPr>
            <w:tcW w:w="7981" w:type="dxa"/>
          </w:tcPr>
          <w:p w14:paraId="05F40504" w14:textId="77777777" w:rsidR="00A720EB" w:rsidRDefault="00E10349">
            <w:pPr>
              <w:pStyle w:val="TableParagraph"/>
              <w:spacing w:before="37"/>
              <w:rPr>
                <w:sz w:val="21"/>
              </w:rPr>
            </w:pPr>
            <w:hyperlink r:id="rId787">
              <w:r w:rsidR="0030286B">
                <w:rPr>
                  <w:color w:val="B02045"/>
                  <w:sz w:val="21"/>
                </w:rPr>
                <w:t>JooqAutoConfiguration</w:t>
              </w:r>
            </w:hyperlink>
          </w:p>
        </w:tc>
        <w:tc>
          <w:tcPr>
            <w:tcW w:w="1995" w:type="dxa"/>
          </w:tcPr>
          <w:p w14:paraId="7D710B91" w14:textId="77777777" w:rsidR="00A720EB" w:rsidRDefault="00E10349">
            <w:pPr>
              <w:pStyle w:val="TableParagraph"/>
              <w:spacing w:before="92"/>
              <w:ind w:left="59"/>
              <w:rPr>
                <w:rFonts w:ascii="Cambria"/>
                <w:sz w:val="21"/>
              </w:rPr>
            </w:pPr>
            <w:hyperlink r:id="rId788">
              <w:r w:rsidR="0030286B">
                <w:rPr>
                  <w:rFonts w:ascii="Cambria"/>
                  <w:color w:val="418BCA"/>
                  <w:w w:val="115"/>
                  <w:sz w:val="21"/>
                </w:rPr>
                <w:t>javadoc</w:t>
              </w:r>
            </w:hyperlink>
          </w:p>
        </w:tc>
      </w:tr>
      <w:tr w:rsidR="00A720EB" w14:paraId="27D3AC5D" w14:textId="77777777">
        <w:trPr>
          <w:trHeight w:val="425"/>
        </w:trPr>
        <w:tc>
          <w:tcPr>
            <w:tcW w:w="7981" w:type="dxa"/>
          </w:tcPr>
          <w:p w14:paraId="47EC6B9A" w14:textId="77777777" w:rsidR="00A720EB" w:rsidRDefault="00E10349">
            <w:pPr>
              <w:pStyle w:val="TableParagraph"/>
              <w:spacing w:before="37"/>
              <w:rPr>
                <w:sz w:val="21"/>
              </w:rPr>
            </w:pPr>
            <w:hyperlink r:id="rId789">
              <w:r w:rsidR="0030286B">
                <w:rPr>
                  <w:color w:val="B02045"/>
                  <w:sz w:val="21"/>
                </w:rPr>
                <w:t>JpaRepositoriesAutoConfiguration</w:t>
              </w:r>
            </w:hyperlink>
          </w:p>
        </w:tc>
        <w:tc>
          <w:tcPr>
            <w:tcW w:w="1995" w:type="dxa"/>
          </w:tcPr>
          <w:p w14:paraId="53E8DF84" w14:textId="77777777" w:rsidR="00A720EB" w:rsidRDefault="00E10349">
            <w:pPr>
              <w:pStyle w:val="TableParagraph"/>
              <w:spacing w:before="92"/>
              <w:ind w:left="59"/>
              <w:rPr>
                <w:rFonts w:ascii="Cambria"/>
                <w:sz w:val="21"/>
              </w:rPr>
            </w:pPr>
            <w:hyperlink r:id="rId790">
              <w:r w:rsidR="0030286B">
                <w:rPr>
                  <w:rFonts w:ascii="Cambria"/>
                  <w:color w:val="418BCA"/>
                  <w:w w:val="115"/>
                  <w:sz w:val="21"/>
                </w:rPr>
                <w:t>javadoc</w:t>
              </w:r>
            </w:hyperlink>
          </w:p>
        </w:tc>
      </w:tr>
      <w:tr w:rsidR="00A720EB" w14:paraId="1A7AB032" w14:textId="77777777">
        <w:trPr>
          <w:trHeight w:val="425"/>
        </w:trPr>
        <w:tc>
          <w:tcPr>
            <w:tcW w:w="7981" w:type="dxa"/>
          </w:tcPr>
          <w:p w14:paraId="7E88245A" w14:textId="77777777" w:rsidR="00A720EB" w:rsidRDefault="00E10349">
            <w:pPr>
              <w:pStyle w:val="TableParagraph"/>
              <w:spacing w:before="37"/>
              <w:rPr>
                <w:sz w:val="21"/>
              </w:rPr>
            </w:pPr>
            <w:hyperlink r:id="rId791">
              <w:r w:rsidR="0030286B">
                <w:rPr>
                  <w:color w:val="B02045"/>
                  <w:sz w:val="21"/>
                </w:rPr>
                <w:t>JsonbAutoConfiguration</w:t>
              </w:r>
            </w:hyperlink>
          </w:p>
        </w:tc>
        <w:tc>
          <w:tcPr>
            <w:tcW w:w="1995" w:type="dxa"/>
          </w:tcPr>
          <w:p w14:paraId="47E79638" w14:textId="77777777" w:rsidR="00A720EB" w:rsidRDefault="00E10349">
            <w:pPr>
              <w:pStyle w:val="TableParagraph"/>
              <w:spacing w:before="92"/>
              <w:ind w:left="59"/>
              <w:rPr>
                <w:rFonts w:ascii="Cambria"/>
                <w:sz w:val="21"/>
              </w:rPr>
            </w:pPr>
            <w:hyperlink r:id="rId792">
              <w:r w:rsidR="0030286B">
                <w:rPr>
                  <w:rFonts w:ascii="Cambria"/>
                  <w:color w:val="418BCA"/>
                  <w:w w:val="115"/>
                  <w:sz w:val="21"/>
                </w:rPr>
                <w:t>javadoc</w:t>
              </w:r>
            </w:hyperlink>
          </w:p>
        </w:tc>
      </w:tr>
      <w:tr w:rsidR="00A720EB" w14:paraId="7CA28026" w14:textId="77777777">
        <w:trPr>
          <w:trHeight w:val="425"/>
        </w:trPr>
        <w:tc>
          <w:tcPr>
            <w:tcW w:w="7981" w:type="dxa"/>
          </w:tcPr>
          <w:p w14:paraId="6FC63D70" w14:textId="77777777" w:rsidR="00A720EB" w:rsidRDefault="00E10349">
            <w:pPr>
              <w:pStyle w:val="TableParagraph"/>
              <w:spacing w:before="37"/>
              <w:rPr>
                <w:sz w:val="21"/>
              </w:rPr>
            </w:pPr>
            <w:hyperlink r:id="rId793">
              <w:r w:rsidR="0030286B">
                <w:rPr>
                  <w:color w:val="B02045"/>
                  <w:sz w:val="21"/>
                </w:rPr>
                <w:t>JtaAutoConfiguration</w:t>
              </w:r>
            </w:hyperlink>
          </w:p>
        </w:tc>
        <w:tc>
          <w:tcPr>
            <w:tcW w:w="1995" w:type="dxa"/>
          </w:tcPr>
          <w:p w14:paraId="232FD246" w14:textId="77777777" w:rsidR="00A720EB" w:rsidRDefault="00E10349">
            <w:pPr>
              <w:pStyle w:val="TableParagraph"/>
              <w:spacing w:before="92"/>
              <w:ind w:left="59"/>
              <w:rPr>
                <w:rFonts w:ascii="Cambria"/>
                <w:sz w:val="21"/>
              </w:rPr>
            </w:pPr>
            <w:hyperlink r:id="rId794">
              <w:r w:rsidR="0030286B">
                <w:rPr>
                  <w:rFonts w:ascii="Cambria"/>
                  <w:color w:val="418BCA"/>
                  <w:w w:val="115"/>
                  <w:sz w:val="21"/>
                </w:rPr>
                <w:t>javadoc</w:t>
              </w:r>
            </w:hyperlink>
          </w:p>
        </w:tc>
      </w:tr>
      <w:tr w:rsidR="00A720EB" w14:paraId="4974D053" w14:textId="77777777">
        <w:trPr>
          <w:trHeight w:val="425"/>
        </w:trPr>
        <w:tc>
          <w:tcPr>
            <w:tcW w:w="7981" w:type="dxa"/>
          </w:tcPr>
          <w:p w14:paraId="011B1EE8" w14:textId="77777777" w:rsidR="00A720EB" w:rsidRDefault="00E10349">
            <w:pPr>
              <w:pStyle w:val="TableParagraph"/>
              <w:spacing w:before="37"/>
              <w:rPr>
                <w:sz w:val="21"/>
              </w:rPr>
            </w:pPr>
            <w:hyperlink r:id="rId795">
              <w:r w:rsidR="0030286B">
                <w:rPr>
                  <w:color w:val="B02045"/>
                  <w:sz w:val="21"/>
                </w:rPr>
                <w:t>KafkaAutoConfiguration</w:t>
              </w:r>
            </w:hyperlink>
          </w:p>
        </w:tc>
        <w:tc>
          <w:tcPr>
            <w:tcW w:w="1995" w:type="dxa"/>
          </w:tcPr>
          <w:p w14:paraId="087D4961" w14:textId="77777777" w:rsidR="00A720EB" w:rsidRDefault="00E10349">
            <w:pPr>
              <w:pStyle w:val="TableParagraph"/>
              <w:spacing w:before="92"/>
              <w:ind w:left="59"/>
              <w:rPr>
                <w:rFonts w:ascii="Cambria"/>
                <w:sz w:val="21"/>
              </w:rPr>
            </w:pPr>
            <w:hyperlink r:id="rId796">
              <w:r w:rsidR="0030286B">
                <w:rPr>
                  <w:rFonts w:ascii="Cambria"/>
                  <w:color w:val="418BCA"/>
                  <w:w w:val="115"/>
                  <w:sz w:val="21"/>
                </w:rPr>
                <w:t>javadoc</w:t>
              </w:r>
            </w:hyperlink>
          </w:p>
        </w:tc>
      </w:tr>
      <w:tr w:rsidR="00A720EB" w14:paraId="5CFC01DD" w14:textId="77777777">
        <w:trPr>
          <w:trHeight w:val="425"/>
        </w:trPr>
        <w:tc>
          <w:tcPr>
            <w:tcW w:w="7981" w:type="dxa"/>
          </w:tcPr>
          <w:p w14:paraId="2168ED70" w14:textId="77777777" w:rsidR="00A720EB" w:rsidRDefault="00E10349">
            <w:pPr>
              <w:pStyle w:val="TableParagraph"/>
              <w:spacing w:before="37"/>
              <w:rPr>
                <w:sz w:val="21"/>
              </w:rPr>
            </w:pPr>
            <w:hyperlink r:id="rId797">
              <w:r w:rsidR="0030286B">
                <w:rPr>
                  <w:color w:val="B02045"/>
                  <w:sz w:val="21"/>
                </w:rPr>
                <w:t>LdapAutoConfiguration</w:t>
              </w:r>
            </w:hyperlink>
          </w:p>
        </w:tc>
        <w:tc>
          <w:tcPr>
            <w:tcW w:w="1995" w:type="dxa"/>
          </w:tcPr>
          <w:p w14:paraId="5169A56C" w14:textId="77777777" w:rsidR="00A720EB" w:rsidRDefault="00E10349">
            <w:pPr>
              <w:pStyle w:val="TableParagraph"/>
              <w:spacing w:before="92"/>
              <w:ind w:left="59"/>
              <w:rPr>
                <w:rFonts w:ascii="Cambria"/>
                <w:sz w:val="21"/>
              </w:rPr>
            </w:pPr>
            <w:hyperlink r:id="rId798">
              <w:r w:rsidR="0030286B">
                <w:rPr>
                  <w:rFonts w:ascii="Cambria"/>
                  <w:color w:val="418BCA"/>
                  <w:w w:val="115"/>
                  <w:sz w:val="21"/>
                </w:rPr>
                <w:t>javadoc</w:t>
              </w:r>
            </w:hyperlink>
          </w:p>
        </w:tc>
      </w:tr>
      <w:tr w:rsidR="00A720EB" w14:paraId="5B218B0F" w14:textId="77777777">
        <w:trPr>
          <w:trHeight w:val="425"/>
        </w:trPr>
        <w:tc>
          <w:tcPr>
            <w:tcW w:w="7981" w:type="dxa"/>
          </w:tcPr>
          <w:p w14:paraId="4AE06F20" w14:textId="77777777" w:rsidR="00A720EB" w:rsidRDefault="00E10349">
            <w:pPr>
              <w:pStyle w:val="TableParagraph"/>
              <w:spacing w:before="37"/>
              <w:rPr>
                <w:sz w:val="21"/>
              </w:rPr>
            </w:pPr>
            <w:hyperlink r:id="rId799">
              <w:r w:rsidR="0030286B">
                <w:rPr>
                  <w:color w:val="B02045"/>
                  <w:sz w:val="21"/>
                </w:rPr>
                <w:t>LdapRepositoriesAutoConfiguration</w:t>
              </w:r>
            </w:hyperlink>
          </w:p>
        </w:tc>
        <w:tc>
          <w:tcPr>
            <w:tcW w:w="1995" w:type="dxa"/>
          </w:tcPr>
          <w:p w14:paraId="1F13F16C" w14:textId="77777777" w:rsidR="00A720EB" w:rsidRDefault="00E10349">
            <w:pPr>
              <w:pStyle w:val="TableParagraph"/>
              <w:spacing w:before="92"/>
              <w:ind w:left="59"/>
              <w:rPr>
                <w:rFonts w:ascii="Cambria"/>
                <w:sz w:val="21"/>
              </w:rPr>
            </w:pPr>
            <w:hyperlink r:id="rId800">
              <w:r w:rsidR="0030286B">
                <w:rPr>
                  <w:rFonts w:ascii="Cambria"/>
                  <w:color w:val="418BCA"/>
                  <w:w w:val="115"/>
                  <w:sz w:val="21"/>
                </w:rPr>
                <w:t>javadoc</w:t>
              </w:r>
            </w:hyperlink>
          </w:p>
        </w:tc>
      </w:tr>
      <w:tr w:rsidR="00A720EB" w14:paraId="0BEAF42B" w14:textId="77777777">
        <w:trPr>
          <w:trHeight w:val="425"/>
        </w:trPr>
        <w:tc>
          <w:tcPr>
            <w:tcW w:w="7981" w:type="dxa"/>
          </w:tcPr>
          <w:p w14:paraId="30E09B96" w14:textId="77777777" w:rsidR="00A720EB" w:rsidRDefault="00E10349">
            <w:pPr>
              <w:pStyle w:val="TableParagraph"/>
              <w:spacing w:before="37"/>
              <w:rPr>
                <w:sz w:val="21"/>
              </w:rPr>
            </w:pPr>
            <w:hyperlink r:id="rId801">
              <w:r w:rsidR="0030286B">
                <w:rPr>
                  <w:color w:val="B02045"/>
                  <w:sz w:val="21"/>
                </w:rPr>
                <w:t>LifecycleAutoConfiguration</w:t>
              </w:r>
            </w:hyperlink>
          </w:p>
        </w:tc>
        <w:tc>
          <w:tcPr>
            <w:tcW w:w="1995" w:type="dxa"/>
          </w:tcPr>
          <w:p w14:paraId="33BD9ADE" w14:textId="77777777" w:rsidR="00A720EB" w:rsidRDefault="00E10349">
            <w:pPr>
              <w:pStyle w:val="TableParagraph"/>
              <w:spacing w:before="92"/>
              <w:ind w:left="59"/>
              <w:rPr>
                <w:rFonts w:ascii="Cambria"/>
                <w:sz w:val="21"/>
              </w:rPr>
            </w:pPr>
            <w:hyperlink r:id="rId802">
              <w:r w:rsidR="0030286B">
                <w:rPr>
                  <w:rFonts w:ascii="Cambria"/>
                  <w:color w:val="418BCA"/>
                  <w:w w:val="115"/>
                  <w:sz w:val="21"/>
                </w:rPr>
                <w:t>javadoc</w:t>
              </w:r>
            </w:hyperlink>
          </w:p>
        </w:tc>
      </w:tr>
      <w:tr w:rsidR="00A720EB" w14:paraId="4AFEC965" w14:textId="77777777">
        <w:trPr>
          <w:trHeight w:val="425"/>
        </w:trPr>
        <w:tc>
          <w:tcPr>
            <w:tcW w:w="7981" w:type="dxa"/>
          </w:tcPr>
          <w:p w14:paraId="4FA5CDF7" w14:textId="77777777" w:rsidR="00A720EB" w:rsidRDefault="00E10349">
            <w:pPr>
              <w:pStyle w:val="TableParagraph"/>
              <w:spacing w:before="37"/>
              <w:rPr>
                <w:sz w:val="21"/>
              </w:rPr>
            </w:pPr>
            <w:hyperlink r:id="rId803">
              <w:r w:rsidR="0030286B">
                <w:rPr>
                  <w:color w:val="B02045"/>
                  <w:sz w:val="21"/>
                </w:rPr>
                <w:t>LiquibaseAutoConfiguration</w:t>
              </w:r>
            </w:hyperlink>
          </w:p>
        </w:tc>
        <w:tc>
          <w:tcPr>
            <w:tcW w:w="1995" w:type="dxa"/>
          </w:tcPr>
          <w:p w14:paraId="26DB6D59" w14:textId="77777777" w:rsidR="00A720EB" w:rsidRDefault="00E10349">
            <w:pPr>
              <w:pStyle w:val="TableParagraph"/>
              <w:spacing w:before="92"/>
              <w:ind w:left="59"/>
              <w:rPr>
                <w:rFonts w:ascii="Cambria"/>
                <w:sz w:val="21"/>
              </w:rPr>
            </w:pPr>
            <w:hyperlink r:id="rId804">
              <w:r w:rsidR="0030286B">
                <w:rPr>
                  <w:rFonts w:ascii="Cambria"/>
                  <w:color w:val="418BCA"/>
                  <w:w w:val="115"/>
                  <w:sz w:val="21"/>
                </w:rPr>
                <w:t>javadoc</w:t>
              </w:r>
            </w:hyperlink>
          </w:p>
        </w:tc>
      </w:tr>
      <w:tr w:rsidR="00A720EB" w14:paraId="437A7A11" w14:textId="77777777">
        <w:trPr>
          <w:trHeight w:val="425"/>
        </w:trPr>
        <w:tc>
          <w:tcPr>
            <w:tcW w:w="7981" w:type="dxa"/>
          </w:tcPr>
          <w:p w14:paraId="2B810E45" w14:textId="77777777" w:rsidR="00A720EB" w:rsidRDefault="00E10349">
            <w:pPr>
              <w:pStyle w:val="TableParagraph"/>
              <w:spacing w:before="37"/>
              <w:rPr>
                <w:sz w:val="21"/>
              </w:rPr>
            </w:pPr>
            <w:hyperlink r:id="rId805">
              <w:r w:rsidR="0030286B">
                <w:rPr>
                  <w:color w:val="B02045"/>
                  <w:sz w:val="21"/>
                </w:rPr>
                <w:t>MailSenderAutoConfiguration</w:t>
              </w:r>
            </w:hyperlink>
          </w:p>
        </w:tc>
        <w:tc>
          <w:tcPr>
            <w:tcW w:w="1995" w:type="dxa"/>
          </w:tcPr>
          <w:p w14:paraId="110D3A19" w14:textId="77777777" w:rsidR="00A720EB" w:rsidRDefault="00E10349">
            <w:pPr>
              <w:pStyle w:val="TableParagraph"/>
              <w:spacing w:before="92"/>
              <w:ind w:left="59"/>
              <w:rPr>
                <w:rFonts w:ascii="Cambria"/>
                <w:sz w:val="21"/>
              </w:rPr>
            </w:pPr>
            <w:hyperlink r:id="rId806">
              <w:r w:rsidR="0030286B">
                <w:rPr>
                  <w:rFonts w:ascii="Cambria"/>
                  <w:color w:val="418BCA"/>
                  <w:w w:val="115"/>
                  <w:sz w:val="21"/>
                </w:rPr>
                <w:t>javadoc</w:t>
              </w:r>
            </w:hyperlink>
          </w:p>
        </w:tc>
      </w:tr>
    </w:tbl>
    <w:p w14:paraId="4CA9C5BA"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981"/>
        <w:gridCol w:w="1995"/>
      </w:tblGrid>
      <w:tr w:rsidR="00A720EB" w14:paraId="241A48C9" w14:textId="77777777">
        <w:trPr>
          <w:trHeight w:val="415"/>
        </w:trPr>
        <w:tc>
          <w:tcPr>
            <w:tcW w:w="7981" w:type="dxa"/>
            <w:tcBorders>
              <w:bottom w:val="single" w:sz="12" w:space="0" w:color="DDDDDD"/>
            </w:tcBorders>
          </w:tcPr>
          <w:p w14:paraId="28134B76"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Configuration Class</w:t>
            </w:r>
          </w:p>
        </w:tc>
        <w:tc>
          <w:tcPr>
            <w:tcW w:w="1995" w:type="dxa"/>
            <w:tcBorders>
              <w:bottom w:val="single" w:sz="12" w:space="0" w:color="DDDDDD"/>
            </w:tcBorders>
          </w:tcPr>
          <w:p w14:paraId="0742AE02" w14:textId="77777777" w:rsidR="00A720EB" w:rsidRDefault="0030286B">
            <w:pPr>
              <w:pStyle w:val="TableParagraph"/>
              <w:spacing w:before="71"/>
              <w:ind w:left="59"/>
              <w:rPr>
                <w:rFonts w:ascii="Palatino Linotype"/>
                <w:b/>
                <w:sz w:val="21"/>
              </w:rPr>
            </w:pPr>
            <w:r>
              <w:rPr>
                <w:rFonts w:ascii="Palatino Linotype"/>
                <w:b/>
                <w:color w:val="333333"/>
                <w:w w:val="105"/>
                <w:sz w:val="21"/>
              </w:rPr>
              <w:t>Links</w:t>
            </w:r>
          </w:p>
        </w:tc>
      </w:tr>
      <w:tr w:rsidR="00A720EB" w14:paraId="53D29CE7" w14:textId="77777777">
        <w:trPr>
          <w:trHeight w:val="415"/>
        </w:trPr>
        <w:tc>
          <w:tcPr>
            <w:tcW w:w="7981" w:type="dxa"/>
            <w:tcBorders>
              <w:top w:val="single" w:sz="12" w:space="0" w:color="DDDDDD"/>
            </w:tcBorders>
          </w:tcPr>
          <w:p w14:paraId="1F671A7E" w14:textId="77777777" w:rsidR="00A720EB" w:rsidRDefault="00E10349">
            <w:pPr>
              <w:pStyle w:val="TableParagraph"/>
              <w:spacing w:before="27"/>
              <w:rPr>
                <w:sz w:val="21"/>
              </w:rPr>
            </w:pPr>
            <w:hyperlink r:id="rId807">
              <w:r w:rsidR="0030286B">
                <w:rPr>
                  <w:color w:val="B02045"/>
                  <w:sz w:val="21"/>
                </w:rPr>
                <w:t>MailSenderValidatorAutoConfiguration</w:t>
              </w:r>
            </w:hyperlink>
          </w:p>
        </w:tc>
        <w:tc>
          <w:tcPr>
            <w:tcW w:w="1995" w:type="dxa"/>
            <w:tcBorders>
              <w:top w:val="single" w:sz="12" w:space="0" w:color="DDDDDD"/>
            </w:tcBorders>
          </w:tcPr>
          <w:p w14:paraId="51701496" w14:textId="77777777" w:rsidR="00A720EB" w:rsidRDefault="00E10349">
            <w:pPr>
              <w:pStyle w:val="TableParagraph"/>
              <w:spacing w:before="82"/>
              <w:ind w:left="59"/>
              <w:rPr>
                <w:rFonts w:ascii="Cambria"/>
                <w:sz w:val="21"/>
              </w:rPr>
            </w:pPr>
            <w:hyperlink r:id="rId808">
              <w:r w:rsidR="0030286B">
                <w:rPr>
                  <w:rFonts w:ascii="Cambria"/>
                  <w:color w:val="418BCA"/>
                  <w:w w:val="115"/>
                  <w:sz w:val="21"/>
                </w:rPr>
                <w:t>javadoc</w:t>
              </w:r>
            </w:hyperlink>
          </w:p>
        </w:tc>
      </w:tr>
      <w:tr w:rsidR="00A720EB" w14:paraId="538AB9A1" w14:textId="77777777">
        <w:trPr>
          <w:trHeight w:val="425"/>
        </w:trPr>
        <w:tc>
          <w:tcPr>
            <w:tcW w:w="7981" w:type="dxa"/>
          </w:tcPr>
          <w:p w14:paraId="51DA1EA9" w14:textId="77777777" w:rsidR="00A720EB" w:rsidRDefault="00E10349">
            <w:pPr>
              <w:pStyle w:val="TableParagraph"/>
              <w:rPr>
                <w:sz w:val="21"/>
              </w:rPr>
            </w:pPr>
            <w:hyperlink r:id="rId809">
              <w:r w:rsidR="0030286B">
                <w:rPr>
                  <w:color w:val="B02045"/>
                  <w:sz w:val="21"/>
                </w:rPr>
                <w:t>MessageSourceAutoConfiguration</w:t>
              </w:r>
            </w:hyperlink>
          </w:p>
        </w:tc>
        <w:tc>
          <w:tcPr>
            <w:tcW w:w="1995" w:type="dxa"/>
          </w:tcPr>
          <w:p w14:paraId="37D723F2" w14:textId="77777777" w:rsidR="00A720EB" w:rsidRDefault="00E10349">
            <w:pPr>
              <w:pStyle w:val="TableParagraph"/>
              <w:spacing w:before="92"/>
              <w:ind w:left="59"/>
              <w:rPr>
                <w:rFonts w:ascii="Cambria"/>
                <w:sz w:val="21"/>
              </w:rPr>
            </w:pPr>
            <w:hyperlink r:id="rId810">
              <w:r w:rsidR="0030286B">
                <w:rPr>
                  <w:rFonts w:ascii="Cambria"/>
                  <w:color w:val="418BCA"/>
                  <w:w w:val="115"/>
                  <w:sz w:val="21"/>
                </w:rPr>
                <w:t>javadoc</w:t>
              </w:r>
            </w:hyperlink>
          </w:p>
        </w:tc>
      </w:tr>
      <w:tr w:rsidR="00A720EB" w14:paraId="2B43C1F8" w14:textId="77777777">
        <w:trPr>
          <w:trHeight w:val="425"/>
        </w:trPr>
        <w:tc>
          <w:tcPr>
            <w:tcW w:w="7981" w:type="dxa"/>
          </w:tcPr>
          <w:p w14:paraId="0C00309B" w14:textId="77777777" w:rsidR="00A720EB" w:rsidRDefault="00E10349">
            <w:pPr>
              <w:pStyle w:val="TableParagraph"/>
              <w:spacing w:before="37"/>
              <w:rPr>
                <w:sz w:val="21"/>
              </w:rPr>
            </w:pPr>
            <w:hyperlink r:id="rId811">
              <w:r w:rsidR="0030286B">
                <w:rPr>
                  <w:color w:val="B02045"/>
                  <w:sz w:val="21"/>
                </w:rPr>
                <w:t>MongoAutoConfiguration</w:t>
              </w:r>
            </w:hyperlink>
          </w:p>
        </w:tc>
        <w:tc>
          <w:tcPr>
            <w:tcW w:w="1995" w:type="dxa"/>
          </w:tcPr>
          <w:p w14:paraId="7E5558FC" w14:textId="77777777" w:rsidR="00A720EB" w:rsidRDefault="00E10349">
            <w:pPr>
              <w:pStyle w:val="TableParagraph"/>
              <w:spacing w:before="92"/>
              <w:ind w:left="59"/>
              <w:rPr>
                <w:rFonts w:ascii="Cambria"/>
                <w:sz w:val="21"/>
              </w:rPr>
            </w:pPr>
            <w:hyperlink r:id="rId812">
              <w:r w:rsidR="0030286B">
                <w:rPr>
                  <w:rFonts w:ascii="Cambria"/>
                  <w:color w:val="418BCA"/>
                  <w:w w:val="115"/>
                  <w:sz w:val="21"/>
                </w:rPr>
                <w:t>javadoc</w:t>
              </w:r>
            </w:hyperlink>
          </w:p>
        </w:tc>
      </w:tr>
      <w:tr w:rsidR="00A720EB" w14:paraId="46B8BAF6" w14:textId="77777777">
        <w:trPr>
          <w:trHeight w:val="425"/>
        </w:trPr>
        <w:tc>
          <w:tcPr>
            <w:tcW w:w="7981" w:type="dxa"/>
          </w:tcPr>
          <w:p w14:paraId="61751BD6" w14:textId="77777777" w:rsidR="00A720EB" w:rsidRDefault="00E10349">
            <w:pPr>
              <w:pStyle w:val="TableParagraph"/>
              <w:rPr>
                <w:sz w:val="21"/>
              </w:rPr>
            </w:pPr>
            <w:hyperlink r:id="rId813">
              <w:r w:rsidR="0030286B">
                <w:rPr>
                  <w:color w:val="B02045"/>
                  <w:sz w:val="21"/>
                </w:rPr>
                <w:t>MongoDataAutoConfiguration</w:t>
              </w:r>
            </w:hyperlink>
          </w:p>
        </w:tc>
        <w:tc>
          <w:tcPr>
            <w:tcW w:w="1995" w:type="dxa"/>
          </w:tcPr>
          <w:p w14:paraId="64B9CB4A" w14:textId="77777777" w:rsidR="00A720EB" w:rsidRDefault="00E10349">
            <w:pPr>
              <w:pStyle w:val="TableParagraph"/>
              <w:spacing w:before="92"/>
              <w:ind w:left="59"/>
              <w:rPr>
                <w:rFonts w:ascii="Cambria"/>
                <w:sz w:val="21"/>
              </w:rPr>
            </w:pPr>
            <w:hyperlink r:id="rId814">
              <w:r w:rsidR="0030286B">
                <w:rPr>
                  <w:rFonts w:ascii="Cambria"/>
                  <w:color w:val="418BCA"/>
                  <w:w w:val="115"/>
                  <w:sz w:val="21"/>
                </w:rPr>
                <w:t>javadoc</w:t>
              </w:r>
            </w:hyperlink>
          </w:p>
        </w:tc>
      </w:tr>
      <w:tr w:rsidR="00A720EB" w14:paraId="714330A0" w14:textId="77777777">
        <w:trPr>
          <w:trHeight w:val="425"/>
        </w:trPr>
        <w:tc>
          <w:tcPr>
            <w:tcW w:w="7981" w:type="dxa"/>
          </w:tcPr>
          <w:p w14:paraId="37E94A7B" w14:textId="77777777" w:rsidR="00A720EB" w:rsidRDefault="00E10349">
            <w:pPr>
              <w:pStyle w:val="TableParagraph"/>
              <w:spacing w:before="37"/>
              <w:rPr>
                <w:sz w:val="21"/>
              </w:rPr>
            </w:pPr>
            <w:hyperlink r:id="rId815">
              <w:r w:rsidR="0030286B">
                <w:rPr>
                  <w:color w:val="B02045"/>
                  <w:sz w:val="21"/>
                </w:rPr>
                <w:t>MongoReactiveAutoConfiguration</w:t>
              </w:r>
            </w:hyperlink>
          </w:p>
        </w:tc>
        <w:tc>
          <w:tcPr>
            <w:tcW w:w="1995" w:type="dxa"/>
          </w:tcPr>
          <w:p w14:paraId="0BDB25BB" w14:textId="77777777" w:rsidR="00A720EB" w:rsidRDefault="00E10349">
            <w:pPr>
              <w:pStyle w:val="TableParagraph"/>
              <w:spacing w:before="92"/>
              <w:ind w:left="59"/>
              <w:rPr>
                <w:rFonts w:ascii="Cambria"/>
                <w:sz w:val="21"/>
              </w:rPr>
            </w:pPr>
            <w:hyperlink r:id="rId816">
              <w:r w:rsidR="0030286B">
                <w:rPr>
                  <w:rFonts w:ascii="Cambria"/>
                  <w:color w:val="418BCA"/>
                  <w:w w:val="115"/>
                  <w:sz w:val="21"/>
                </w:rPr>
                <w:t>javadoc</w:t>
              </w:r>
            </w:hyperlink>
          </w:p>
        </w:tc>
      </w:tr>
      <w:tr w:rsidR="00A720EB" w14:paraId="77EAF859" w14:textId="77777777">
        <w:trPr>
          <w:trHeight w:val="425"/>
        </w:trPr>
        <w:tc>
          <w:tcPr>
            <w:tcW w:w="7981" w:type="dxa"/>
          </w:tcPr>
          <w:p w14:paraId="39AD6515" w14:textId="77777777" w:rsidR="00A720EB" w:rsidRDefault="00E10349">
            <w:pPr>
              <w:pStyle w:val="TableParagraph"/>
              <w:rPr>
                <w:sz w:val="21"/>
              </w:rPr>
            </w:pPr>
            <w:hyperlink r:id="rId817">
              <w:r w:rsidR="0030286B">
                <w:rPr>
                  <w:color w:val="B02045"/>
                  <w:sz w:val="21"/>
                </w:rPr>
                <w:t>MongoReactiveDataAutoConfiguration</w:t>
              </w:r>
            </w:hyperlink>
          </w:p>
        </w:tc>
        <w:tc>
          <w:tcPr>
            <w:tcW w:w="1995" w:type="dxa"/>
          </w:tcPr>
          <w:p w14:paraId="4C0BB351" w14:textId="77777777" w:rsidR="00A720EB" w:rsidRDefault="00E10349">
            <w:pPr>
              <w:pStyle w:val="TableParagraph"/>
              <w:spacing w:before="92"/>
              <w:ind w:left="59"/>
              <w:rPr>
                <w:rFonts w:ascii="Cambria"/>
                <w:sz w:val="21"/>
              </w:rPr>
            </w:pPr>
            <w:hyperlink r:id="rId818">
              <w:r w:rsidR="0030286B">
                <w:rPr>
                  <w:rFonts w:ascii="Cambria"/>
                  <w:color w:val="418BCA"/>
                  <w:w w:val="115"/>
                  <w:sz w:val="21"/>
                </w:rPr>
                <w:t>javadoc</w:t>
              </w:r>
            </w:hyperlink>
          </w:p>
        </w:tc>
      </w:tr>
      <w:tr w:rsidR="00A720EB" w14:paraId="70C2808E" w14:textId="77777777">
        <w:trPr>
          <w:trHeight w:val="425"/>
        </w:trPr>
        <w:tc>
          <w:tcPr>
            <w:tcW w:w="7981" w:type="dxa"/>
          </w:tcPr>
          <w:p w14:paraId="0C466AF1" w14:textId="77777777" w:rsidR="00A720EB" w:rsidRDefault="00E10349">
            <w:pPr>
              <w:pStyle w:val="TableParagraph"/>
              <w:spacing w:before="37"/>
              <w:rPr>
                <w:sz w:val="21"/>
              </w:rPr>
            </w:pPr>
            <w:hyperlink r:id="rId819">
              <w:r w:rsidR="0030286B">
                <w:rPr>
                  <w:color w:val="B02045"/>
                  <w:sz w:val="21"/>
                </w:rPr>
                <w:t>MongoReactiveRepositoriesAutoConfiguration</w:t>
              </w:r>
            </w:hyperlink>
          </w:p>
        </w:tc>
        <w:tc>
          <w:tcPr>
            <w:tcW w:w="1995" w:type="dxa"/>
          </w:tcPr>
          <w:p w14:paraId="048155BA" w14:textId="77777777" w:rsidR="00A720EB" w:rsidRDefault="00E10349">
            <w:pPr>
              <w:pStyle w:val="TableParagraph"/>
              <w:spacing w:before="92"/>
              <w:ind w:left="59"/>
              <w:rPr>
                <w:rFonts w:ascii="Cambria"/>
                <w:sz w:val="21"/>
              </w:rPr>
            </w:pPr>
            <w:hyperlink r:id="rId820">
              <w:r w:rsidR="0030286B">
                <w:rPr>
                  <w:rFonts w:ascii="Cambria"/>
                  <w:color w:val="418BCA"/>
                  <w:w w:val="115"/>
                  <w:sz w:val="21"/>
                </w:rPr>
                <w:t>javadoc</w:t>
              </w:r>
            </w:hyperlink>
          </w:p>
        </w:tc>
      </w:tr>
      <w:tr w:rsidR="00A720EB" w14:paraId="515211A4" w14:textId="77777777">
        <w:trPr>
          <w:trHeight w:val="425"/>
        </w:trPr>
        <w:tc>
          <w:tcPr>
            <w:tcW w:w="7981" w:type="dxa"/>
          </w:tcPr>
          <w:p w14:paraId="70CACC6E" w14:textId="77777777" w:rsidR="00A720EB" w:rsidRDefault="00E10349">
            <w:pPr>
              <w:pStyle w:val="TableParagraph"/>
              <w:rPr>
                <w:sz w:val="21"/>
              </w:rPr>
            </w:pPr>
            <w:hyperlink r:id="rId821">
              <w:r w:rsidR="0030286B">
                <w:rPr>
                  <w:color w:val="B02045"/>
                  <w:sz w:val="21"/>
                </w:rPr>
                <w:t>MongoRepositoriesAutoConfiguration</w:t>
              </w:r>
            </w:hyperlink>
          </w:p>
        </w:tc>
        <w:tc>
          <w:tcPr>
            <w:tcW w:w="1995" w:type="dxa"/>
          </w:tcPr>
          <w:p w14:paraId="2F119A1D" w14:textId="77777777" w:rsidR="00A720EB" w:rsidRDefault="00E10349">
            <w:pPr>
              <w:pStyle w:val="TableParagraph"/>
              <w:spacing w:before="92"/>
              <w:ind w:left="59"/>
              <w:rPr>
                <w:rFonts w:ascii="Cambria"/>
                <w:sz w:val="21"/>
              </w:rPr>
            </w:pPr>
            <w:hyperlink r:id="rId822">
              <w:r w:rsidR="0030286B">
                <w:rPr>
                  <w:rFonts w:ascii="Cambria"/>
                  <w:color w:val="418BCA"/>
                  <w:w w:val="115"/>
                  <w:sz w:val="21"/>
                </w:rPr>
                <w:t>javadoc</w:t>
              </w:r>
            </w:hyperlink>
          </w:p>
        </w:tc>
      </w:tr>
      <w:tr w:rsidR="00A720EB" w14:paraId="5BCC9EC8" w14:textId="77777777">
        <w:trPr>
          <w:trHeight w:val="425"/>
        </w:trPr>
        <w:tc>
          <w:tcPr>
            <w:tcW w:w="7981" w:type="dxa"/>
          </w:tcPr>
          <w:p w14:paraId="547BA8E1" w14:textId="77777777" w:rsidR="00A720EB" w:rsidRDefault="00E10349">
            <w:pPr>
              <w:pStyle w:val="TableParagraph"/>
              <w:spacing w:before="37"/>
              <w:rPr>
                <w:sz w:val="21"/>
              </w:rPr>
            </w:pPr>
            <w:hyperlink r:id="rId823">
              <w:r w:rsidR="0030286B">
                <w:rPr>
                  <w:color w:val="B02045"/>
                  <w:sz w:val="21"/>
                </w:rPr>
                <w:t>MultipartAutoConfiguration</w:t>
              </w:r>
            </w:hyperlink>
          </w:p>
        </w:tc>
        <w:tc>
          <w:tcPr>
            <w:tcW w:w="1995" w:type="dxa"/>
          </w:tcPr>
          <w:p w14:paraId="270A9396" w14:textId="77777777" w:rsidR="00A720EB" w:rsidRDefault="00E10349">
            <w:pPr>
              <w:pStyle w:val="TableParagraph"/>
              <w:spacing w:before="92"/>
              <w:ind w:left="59"/>
              <w:rPr>
                <w:rFonts w:ascii="Cambria"/>
                <w:sz w:val="21"/>
              </w:rPr>
            </w:pPr>
            <w:hyperlink r:id="rId824">
              <w:r w:rsidR="0030286B">
                <w:rPr>
                  <w:rFonts w:ascii="Cambria"/>
                  <w:color w:val="418BCA"/>
                  <w:w w:val="115"/>
                  <w:sz w:val="21"/>
                </w:rPr>
                <w:t>javadoc</w:t>
              </w:r>
            </w:hyperlink>
          </w:p>
        </w:tc>
      </w:tr>
      <w:tr w:rsidR="00A720EB" w14:paraId="0E02EF02" w14:textId="77777777">
        <w:trPr>
          <w:trHeight w:val="425"/>
        </w:trPr>
        <w:tc>
          <w:tcPr>
            <w:tcW w:w="7981" w:type="dxa"/>
          </w:tcPr>
          <w:p w14:paraId="53F44ED3" w14:textId="77777777" w:rsidR="00A720EB" w:rsidRDefault="00E10349">
            <w:pPr>
              <w:pStyle w:val="TableParagraph"/>
              <w:rPr>
                <w:sz w:val="21"/>
              </w:rPr>
            </w:pPr>
            <w:hyperlink r:id="rId825">
              <w:r w:rsidR="0030286B">
                <w:rPr>
                  <w:color w:val="B02045"/>
                  <w:sz w:val="21"/>
                </w:rPr>
                <w:t>MustacheAutoConfiguration</w:t>
              </w:r>
            </w:hyperlink>
          </w:p>
        </w:tc>
        <w:tc>
          <w:tcPr>
            <w:tcW w:w="1995" w:type="dxa"/>
          </w:tcPr>
          <w:p w14:paraId="5E80CB45" w14:textId="77777777" w:rsidR="00A720EB" w:rsidRDefault="00E10349">
            <w:pPr>
              <w:pStyle w:val="TableParagraph"/>
              <w:spacing w:before="92"/>
              <w:ind w:left="59"/>
              <w:rPr>
                <w:rFonts w:ascii="Cambria"/>
                <w:sz w:val="21"/>
              </w:rPr>
            </w:pPr>
            <w:hyperlink r:id="rId826">
              <w:r w:rsidR="0030286B">
                <w:rPr>
                  <w:rFonts w:ascii="Cambria"/>
                  <w:color w:val="418BCA"/>
                  <w:w w:val="115"/>
                  <w:sz w:val="21"/>
                </w:rPr>
                <w:t>javadoc</w:t>
              </w:r>
            </w:hyperlink>
          </w:p>
        </w:tc>
      </w:tr>
      <w:tr w:rsidR="00A720EB" w14:paraId="5C4D68B2" w14:textId="77777777">
        <w:trPr>
          <w:trHeight w:val="425"/>
        </w:trPr>
        <w:tc>
          <w:tcPr>
            <w:tcW w:w="7981" w:type="dxa"/>
          </w:tcPr>
          <w:p w14:paraId="2197EA82" w14:textId="77777777" w:rsidR="00A720EB" w:rsidRDefault="00E10349">
            <w:pPr>
              <w:pStyle w:val="TableParagraph"/>
              <w:spacing w:before="37"/>
              <w:rPr>
                <w:sz w:val="21"/>
              </w:rPr>
            </w:pPr>
            <w:hyperlink r:id="rId827">
              <w:r w:rsidR="0030286B">
                <w:rPr>
                  <w:color w:val="B02045"/>
                  <w:sz w:val="21"/>
                </w:rPr>
                <w:t>Neo4jDataAutoConfiguration</w:t>
              </w:r>
            </w:hyperlink>
          </w:p>
        </w:tc>
        <w:tc>
          <w:tcPr>
            <w:tcW w:w="1995" w:type="dxa"/>
          </w:tcPr>
          <w:p w14:paraId="5C0C3B57" w14:textId="77777777" w:rsidR="00A720EB" w:rsidRDefault="00E10349">
            <w:pPr>
              <w:pStyle w:val="TableParagraph"/>
              <w:spacing w:before="92"/>
              <w:ind w:left="59"/>
              <w:rPr>
                <w:rFonts w:ascii="Cambria"/>
                <w:sz w:val="21"/>
              </w:rPr>
            </w:pPr>
            <w:hyperlink r:id="rId828">
              <w:r w:rsidR="0030286B">
                <w:rPr>
                  <w:rFonts w:ascii="Cambria"/>
                  <w:color w:val="418BCA"/>
                  <w:w w:val="115"/>
                  <w:sz w:val="21"/>
                </w:rPr>
                <w:t>javadoc</w:t>
              </w:r>
            </w:hyperlink>
          </w:p>
        </w:tc>
      </w:tr>
      <w:tr w:rsidR="00A720EB" w14:paraId="2B97F40D" w14:textId="77777777">
        <w:trPr>
          <w:trHeight w:val="425"/>
        </w:trPr>
        <w:tc>
          <w:tcPr>
            <w:tcW w:w="7981" w:type="dxa"/>
          </w:tcPr>
          <w:p w14:paraId="20B66AAE" w14:textId="77777777" w:rsidR="00A720EB" w:rsidRDefault="00E10349">
            <w:pPr>
              <w:pStyle w:val="TableParagraph"/>
              <w:spacing w:before="37"/>
              <w:rPr>
                <w:sz w:val="21"/>
              </w:rPr>
            </w:pPr>
            <w:hyperlink r:id="rId829">
              <w:r w:rsidR="0030286B">
                <w:rPr>
                  <w:color w:val="B02045"/>
                  <w:sz w:val="21"/>
                </w:rPr>
                <w:t>Neo4jRepositoriesAutoConfiguration</w:t>
              </w:r>
            </w:hyperlink>
          </w:p>
        </w:tc>
        <w:tc>
          <w:tcPr>
            <w:tcW w:w="1995" w:type="dxa"/>
          </w:tcPr>
          <w:p w14:paraId="11274BE9" w14:textId="77777777" w:rsidR="00A720EB" w:rsidRDefault="00E10349">
            <w:pPr>
              <w:pStyle w:val="TableParagraph"/>
              <w:spacing w:before="92"/>
              <w:ind w:left="59"/>
              <w:rPr>
                <w:rFonts w:ascii="Cambria"/>
                <w:sz w:val="21"/>
              </w:rPr>
            </w:pPr>
            <w:hyperlink r:id="rId830">
              <w:r w:rsidR="0030286B">
                <w:rPr>
                  <w:rFonts w:ascii="Cambria"/>
                  <w:color w:val="418BCA"/>
                  <w:w w:val="115"/>
                  <w:sz w:val="21"/>
                </w:rPr>
                <w:t>javadoc</w:t>
              </w:r>
            </w:hyperlink>
          </w:p>
        </w:tc>
      </w:tr>
      <w:tr w:rsidR="00A720EB" w14:paraId="7AA9A353" w14:textId="77777777">
        <w:trPr>
          <w:trHeight w:val="425"/>
        </w:trPr>
        <w:tc>
          <w:tcPr>
            <w:tcW w:w="7981" w:type="dxa"/>
          </w:tcPr>
          <w:p w14:paraId="7F7A585B" w14:textId="77777777" w:rsidR="00A720EB" w:rsidRDefault="00E10349">
            <w:pPr>
              <w:pStyle w:val="TableParagraph"/>
              <w:spacing w:before="37"/>
              <w:rPr>
                <w:sz w:val="21"/>
              </w:rPr>
            </w:pPr>
            <w:hyperlink r:id="rId831">
              <w:r w:rsidR="0030286B">
                <w:rPr>
                  <w:color w:val="B02045"/>
                  <w:sz w:val="21"/>
                </w:rPr>
                <w:t>OAuth2ClientAutoConfiguration</w:t>
              </w:r>
            </w:hyperlink>
          </w:p>
        </w:tc>
        <w:tc>
          <w:tcPr>
            <w:tcW w:w="1995" w:type="dxa"/>
          </w:tcPr>
          <w:p w14:paraId="139C9FC2" w14:textId="77777777" w:rsidR="00A720EB" w:rsidRDefault="00E10349">
            <w:pPr>
              <w:pStyle w:val="TableParagraph"/>
              <w:spacing w:before="92"/>
              <w:ind w:left="59"/>
              <w:rPr>
                <w:rFonts w:ascii="Cambria"/>
                <w:sz w:val="21"/>
              </w:rPr>
            </w:pPr>
            <w:hyperlink r:id="rId832">
              <w:r w:rsidR="0030286B">
                <w:rPr>
                  <w:rFonts w:ascii="Cambria"/>
                  <w:color w:val="418BCA"/>
                  <w:w w:val="115"/>
                  <w:sz w:val="21"/>
                </w:rPr>
                <w:t>javadoc</w:t>
              </w:r>
            </w:hyperlink>
          </w:p>
        </w:tc>
      </w:tr>
      <w:tr w:rsidR="00A720EB" w14:paraId="088B8F7C" w14:textId="77777777">
        <w:trPr>
          <w:trHeight w:val="425"/>
        </w:trPr>
        <w:tc>
          <w:tcPr>
            <w:tcW w:w="7981" w:type="dxa"/>
          </w:tcPr>
          <w:p w14:paraId="58EB9CCA" w14:textId="77777777" w:rsidR="00A720EB" w:rsidRDefault="00E10349">
            <w:pPr>
              <w:pStyle w:val="TableParagraph"/>
              <w:spacing w:before="37"/>
              <w:rPr>
                <w:sz w:val="21"/>
              </w:rPr>
            </w:pPr>
            <w:hyperlink r:id="rId833">
              <w:r w:rsidR="0030286B">
                <w:rPr>
                  <w:color w:val="B02045"/>
                  <w:sz w:val="21"/>
                </w:rPr>
                <w:t>OAuth2ResourceServerAutoConfiguration</w:t>
              </w:r>
            </w:hyperlink>
          </w:p>
        </w:tc>
        <w:tc>
          <w:tcPr>
            <w:tcW w:w="1995" w:type="dxa"/>
          </w:tcPr>
          <w:p w14:paraId="61EAD21D" w14:textId="77777777" w:rsidR="00A720EB" w:rsidRDefault="00E10349">
            <w:pPr>
              <w:pStyle w:val="TableParagraph"/>
              <w:spacing w:before="92"/>
              <w:ind w:left="59"/>
              <w:rPr>
                <w:rFonts w:ascii="Cambria"/>
                <w:sz w:val="21"/>
              </w:rPr>
            </w:pPr>
            <w:hyperlink r:id="rId834">
              <w:r w:rsidR="0030286B">
                <w:rPr>
                  <w:rFonts w:ascii="Cambria"/>
                  <w:color w:val="418BCA"/>
                  <w:w w:val="115"/>
                  <w:sz w:val="21"/>
                </w:rPr>
                <w:t>javadoc</w:t>
              </w:r>
            </w:hyperlink>
          </w:p>
        </w:tc>
      </w:tr>
      <w:tr w:rsidR="00A720EB" w14:paraId="46358D2E" w14:textId="77777777">
        <w:trPr>
          <w:trHeight w:val="425"/>
        </w:trPr>
        <w:tc>
          <w:tcPr>
            <w:tcW w:w="7981" w:type="dxa"/>
          </w:tcPr>
          <w:p w14:paraId="6D0C3F91" w14:textId="77777777" w:rsidR="00A720EB" w:rsidRDefault="00E10349">
            <w:pPr>
              <w:pStyle w:val="TableParagraph"/>
              <w:spacing w:before="37"/>
              <w:rPr>
                <w:sz w:val="21"/>
              </w:rPr>
            </w:pPr>
            <w:hyperlink r:id="rId835">
              <w:r w:rsidR="0030286B">
                <w:rPr>
                  <w:color w:val="B02045"/>
                  <w:sz w:val="21"/>
                </w:rPr>
                <w:t>PersistenceExceptionTranslationAutoConfiguration</w:t>
              </w:r>
            </w:hyperlink>
          </w:p>
        </w:tc>
        <w:tc>
          <w:tcPr>
            <w:tcW w:w="1995" w:type="dxa"/>
          </w:tcPr>
          <w:p w14:paraId="09EF8E5F" w14:textId="77777777" w:rsidR="00A720EB" w:rsidRDefault="00E10349">
            <w:pPr>
              <w:pStyle w:val="TableParagraph"/>
              <w:spacing w:before="92"/>
              <w:ind w:left="59"/>
              <w:rPr>
                <w:rFonts w:ascii="Cambria"/>
                <w:sz w:val="21"/>
              </w:rPr>
            </w:pPr>
            <w:hyperlink r:id="rId836">
              <w:r w:rsidR="0030286B">
                <w:rPr>
                  <w:rFonts w:ascii="Cambria"/>
                  <w:color w:val="418BCA"/>
                  <w:w w:val="115"/>
                  <w:sz w:val="21"/>
                </w:rPr>
                <w:t>javadoc</w:t>
              </w:r>
            </w:hyperlink>
          </w:p>
        </w:tc>
      </w:tr>
      <w:tr w:rsidR="00A720EB" w14:paraId="0E0B9503" w14:textId="77777777">
        <w:trPr>
          <w:trHeight w:val="425"/>
        </w:trPr>
        <w:tc>
          <w:tcPr>
            <w:tcW w:w="7981" w:type="dxa"/>
          </w:tcPr>
          <w:p w14:paraId="0F76002C" w14:textId="77777777" w:rsidR="00A720EB" w:rsidRDefault="00E10349">
            <w:pPr>
              <w:pStyle w:val="TableParagraph"/>
              <w:spacing w:before="37"/>
              <w:rPr>
                <w:sz w:val="21"/>
              </w:rPr>
            </w:pPr>
            <w:hyperlink r:id="rId837">
              <w:r w:rsidR="0030286B">
                <w:rPr>
                  <w:color w:val="B02045"/>
                  <w:sz w:val="21"/>
                </w:rPr>
                <w:t>ProjectInfoAutoConfiguration</w:t>
              </w:r>
            </w:hyperlink>
          </w:p>
        </w:tc>
        <w:tc>
          <w:tcPr>
            <w:tcW w:w="1995" w:type="dxa"/>
          </w:tcPr>
          <w:p w14:paraId="3CF13F06" w14:textId="77777777" w:rsidR="00A720EB" w:rsidRDefault="00E10349">
            <w:pPr>
              <w:pStyle w:val="TableParagraph"/>
              <w:spacing w:before="92"/>
              <w:ind w:left="59"/>
              <w:rPr>
                <w:rFonts w:ascii="Cambria"/>
                <w:sz w:val="21"/>
              </w:rPr>
            </w:pPr>
            <w:hyperlink r:id="rId838">
              <w:r w:rsidR="0030286B">
                <w:rPr>
                  <w:rFonts w:ascii="Cambria"/>
                  <w:color w:val="418BCA"/>
                  <w:w w:val="115"/>
                  <w:sz w:val="21"/>
                </w:rPr>
                <w:t>javadoc</w:t>
              </w:r>
            </w:hyperlink>
          </w:p>
        </w:tc>
      </w:tr>
      <w:tr w:rsidR="00A720EB" w14:paraId="6423BCEE" w14:textId="77777777">
        <w:trPr>
          <w:trHeight w:val="425"/>
        </w:trPr>
        <w:tc>
          <w:tcPr>
            <w:tcW w:w="7981" w:type="dxa"/>
          </w:tcPr>
          <w:p w14:paraId="6D6040AB" w14:textId="77777777" w:rsidR="00A720EB" w:rsidRDefault="00E10349">
            <w:pPr>
              <w:pStyle w:val="TableParagraph"/>
              <w:spacing w:before="37"/>
              <w:rPr>
                <w:sz w:val="21"/>
              </w:rPr>
            </w:pPr>
            <w:hyperlink r:id="rId839">
              <w:r w:rsidR="0030286B">
                <w:rPr>
                  <w:color w:val="B02045"/>
                  <w:sz w:val="21"/>
                </w:rPr>
                <w:t>PropertyPlaceholderAutoConfiguration</w:t>
              </w:r>
            </w:hyperlink>
          </w:p>
        </w:tc>
        <w:tc>
          <w:tcPr>
            <w:tcW w:w="1995" w:type="dxa"/>
          </w:tcPr>
          <w:p w14:paraId="209DE33F" w14:textId="77777777" w:rsidR="00A720EB" w:rsidRDefault="00E10349">
            <w:pPr>
              <w:pStyle w:val="TableParagraph"/>
              <w:spacing w:before="92"/>
              <w:ind w:left="59"/>
              <w:rPr>
                <w:rFonts w:ascii="Cambria"/>
                <w:sz w:val="21"/>
              </w:rPr>
            </w:pPr>
            <w:hyperlink r:id="rId840">
              <w:r w:rsidR="0030286B">
                <w:rPr>
                  <w:rFonts w:ascii="Cambria"/>
                  <w:color w:val="418BCA"/>
                  <w:w w:val="115"/>
                  <w:sz w:val="21"/>
                </w:rPr>
                <w:t>javadoc</w:t>
              </w:r>
            </w:hyperlink>
          </w:p>
        </w:tc>
      </w:tr>
      <w:tr w:rsidR="00A720EB" w14:paraId="4B734741" w14:textId="77777777">
        <w:trPr>
          <w:trHeight w:val="425"/>
        </w:trPr>
        <w:tc>
          <w:tcPr>
            <w:tcW w:w="7981" w:type="dxa"/>
          </w:tcPr>
          <w:p w14:paraId="4A13D685" w14:textId="77777777" w:rsidR="00A720EB" w:rsidRDefault="00E10349">
            <w:pPr>
              <w:pStyle w:val="TableParagraph"/>
              <w:spacing w:before="37"/>
              <w:rPr>
                <w:sz w:val="21"/>
              </w:rPr>
            </w:pPr>
            <w:hyperlink r:id="rId841">
              <w:r w:rsidR="0030286B">
                <w:rPr>
                  <w:color w:val="B02045"/>
                  <w:sz w:val="21"/>
                </w:rPr>
                <w:t>QuartzAutoConfiguration</w:t>
              </w:r>
            </w:hyperlink>
          </w:p>
        </w:tc>
        <w:tc>
          <w:tcPr>
            <w:tcW w:w="1995" w:type="dxa"/>
          </w:tcPr>
          <w:p w14:paraId="761980E8" w14:textId="77777777" w:rsidR="00A720EB" w:rsidRDefault="00E10349">
            <w:pPr>
              <w:pStyle w:val="TableParagraph"/>
              <w:spacing w:before="92"/>
              <w:ind w:left="59"/>
              <w:rPr>
                <w:rFonts w:ascii="Cambria"/>
                <w:sz w:val="21"/>
              </w:rPr>
            </w:pPr>
            <w:hyperlink r:id="rId842">
              <w:r w:rsidR="0030286B">
                <w:rPr>
                  <w:rFonts w:ascii="Cambria"/>
                  <w:color w:val="418BCA"/>
                  <w:w w:val="115"/>
                  <w:sz w:val="21"/>
                </w:rPr>
                <w:t>javadoc</w:t>
              </w:r>
            </w:hyperlink>
          </w:p>
        </w:tc>
      </w:tr>
      <w:tr w:rsidR="00A720EB" w14:paraId="192A0987" w14:textId="77777777">
        <w:trPr>
          <w:trHeight w:val="425"/>
        </w:trPr>
        <w:tc>
          <w:tcPr>
            <w:tcW w:w="7981" w:type="dxa"/>
          </w:tcPr>
          <w:p w14:paraId="208175F0" w14:textId="77777777" w:rsidR="00A720EB" w:rsidRDefault="00E10349">
            <w:pPr>
              <w:pStyle w:val="TableParagraph"/>
              <w:spacing w:before="37"/>
              <w:rPr>
                <w:sz w:val="21"/>
              </w:rPr>
            </w:pPr>
            <w:hyperlink r:id="rId843">
              <w:r w:rsidR="0030286B">
                <w:rPr>
                  <w:color w:val="B02045"/>
                  <w:sz w:val="21"/>
                </w:rPr>
                <w:t>R2dbcAutoConfiguration</w:t>
              </w:r>
            </w:hyperlink>
          </w:p>
        </w:tc>
        <w:tc>
          <w:tcPr>
            <w:tcW w:w="1995" w:type="dxa"/>
          </w:tcPr>
          <w:p w14:paraId="21962C31" w14:textId="77777777" w:rsidR="00A720EB" w:rsidRDefault="00E10349">
            <w:pPr>
              <w:pStyle w:val="TableParagraph"/>
              <w:spacing w:before="92"/>
              <w:ind w:left="59"/>
              <w:rPr>
                <w:rFonts w:ascii="Cambria"/>
                <w:sz w:val="21"/>
              </w:rPr>
            </w:pPr>
            <w:hyperlink r:id="rId844">
              <w:r w:rsidR="0030286B">
                <w:rPr>
                  <w:rFonts w:ascii="Cambria"/>
                  <w:color w:val="418BCA"/>
                  <w:w w:val="115"/>
                  <w:sz w:val="21"/>
                </w:rPr>
                <w:t>javadoc</w:t>
              </w:r>
            </w:hyperlink>
          </w:p>
        </w:tc>
      </w:tr>
      <w:tr w:rsidR="00A720EB" w14:paraId="60253E25" w14:textId="77777777">
        <w:trPr>
          <w:trHeight w:val="425"/>
        </w:trPr>
        <w:tc>
          <w:tcPr>
            <w:tcW w:w="7981" w:type="dxa"/>
          </w:tcPr>
          <w:p w14:paraId="7CBC3C95" w14:textId="77777777" w:rsidR="00A720EB" w:rsidRDefault="00E10349">
            <w:pPr>
              <w:pStyle w:val="TableParagraph"/>
              <w:spacing w:before="37"/>
              <w:rPr>
                <w:sz w:val="21"/>
              </w:rPr>
            </w:pPr>
            <w:hyperlink r:id="rId845">
              <w:r w:rsidR="0030286B">
                <w:rPr>
                  <w:color w:val="B02045"/>
                  <w:sz w:val="21"/>
                </w:rPr>
                <w:t>R2dbcDataAutoConfiguration</w:t>
              </w:r>
            </w:hyperlink>
          </w:p>
        </w:tc>
        <w:tc>
          <w:tcPr>
            <w:tcW w:w="1995" w:type="dxa"/>
          </w:tcPr>
          <w:p w14:paraId="5C6D1757" w14:textId="77777777" w:rsidR="00A720EB" w:rsidRDefault="00E10349">
            <w:pPr>
              <w:pStyle w:val="TableParagraph"/>
              <w:spacing w:before="92"/>
              <w:ind w:left="59"/>
              <w:rPr>
                <w:rFonts w:ascii="Cambria"/>
                <w:sz w:val="21"/>
              </w:rPr>
            </w:pPr>
            <w:hyperlink r:id="rId846">
              <w:r w:rsidR="0030286B">
                <w:rPr>
                  <w:rFonts w:ascii="Cambria"/>
                  <w:color w:val="418BCA"/>
                  <w:w w:val="115"/>
                  <w:sz w:val="21"/>
                </w:rPr>
                <w:t>javadoc</w:t>
              </w:r>
            </w:hyperlink>
          </w:p>
        </w:tc>
      </w:tr>
      <w:tr w:rsidR="00A720EB" w14:paraId="12754305" w14:textId="77777777">
        <w:trPr>
          <w:trHeight w:val="425"/>
        </w:trPr>
        <w:tc>
          <w:tcPr>
            <w:tcW w:w="7981" w:type="dxa"/>
          </w:tcPr>
          <w:p w14:paraId="0FCDED9B" w14:textId="77777777" w:rsidR="00A720EB" w:rsidRDefault="00E10349">
            <w:pPr>
              <w:pStyle w:val="TableParagraph"/>
              <w:spacing w:before="37"/>
              <w:rPr>
                <w:sz w:val="21"/>
              </w:rPr>
            </w:pPr>
            <w:hyperlink r:id="rId847">
              <w:r w:rsidR="0030286B">
                <w:rPr>
                  <w:color w:val="B02045"/>
                  <w:sz w:val="21"/>
                </w:rPr>
                <w:t>R2dbcRepositoriesAutoConfiguration</w:t>
              </w:r>
            </w:hyperlink>
          </w:p>
        </w:tc>
        <w:tc>
          <w:tcPr>
            <w:tcW w:w="1995" w:type="dxa"/>
          </w:tcPr>
          <w:p w14:paraId="6A2116D1" w14:textId="77777777" w:rsidR="00A720EB" w:rsidRDefault="00E10349">
            <w:pPr>
              <w:pStyle w:val="TableParagraph"/>
              <w:spacing w:before="92"/>
              <w:ind w:left="59"/>
              <w:rPr>
                <w:rFonts w:ascii="Cambria"/>
                <w:sz w:val="21"/>
              </w:rPr>
            </w:pPr>
            <w:hyperlink r:id="rId848">
              <w:r w:rsidR="0030286B">
                <w:rPr>
                  <w:rFonts w:ascii="Cambria"/>
                  <w:color w:val="418BCA"/>
                  <w:w w:val="115"/>
                  <w:sz w:val="21"/>
                </w:rPr>
                <w:t>javadoc</w:t>
              </w:r>
            </w:hyperlink>
          </w:p>
        </w:tc>
      </w:tr>
      <w:tr w:rsidR="00A720EB" w14:paraId="2F19C0C3" w14:textId="77777777">
        <w:trPr>
          <w:trHeight w:val="425"/>
        </w:trPr>
        <w:tc>
          <w:tcPr>
            <w:tcW w:w="7981" w:type="dxa"/>
          </w:tcPr>
          <w:p w14:paraId="3798CA4B" w14:textId="77777777" w:rsidR="00A720EB" w:rsidRDefault="00E10349">
            <w:pPr>
              <w:pStyle w:val="TableParagraph"/>
              <w:spacing w:before="37"/>
              <w:rPr>
                <w:sz w:val="21"/>
              </w:rPr>
            </w:pPr>
            <w:hyperlink r:id="rId849">
              <w:r w:rsidR="0030286B">
                <w:rPr>
                  <w:color w:val="B02045"/>
                  <w:sz w:val="21"/>
                </w:rPr>
                <w:t>R2dbcTransactionManagerAutoConfiguration</w:t>
              </w:r>
            </w:hyperlink>
          </w:p>
        </w:tc>
        <w:tc>
          <w:tcPr>
            <w:tcW w:w="1995" w:type="dxa"/>
          </w:tcPr>
          <w:p w14:paraId="7B9570EA" w14:textId="77777777" w:rsidR="00A720EB" w:rsidRDefault="00E10349">
            <w:pPr>
              <w:pStyle w:val="TableParagraph"/>
              <w:spacing w:before="92"/>
              <w:ind w:left="59"/>
              <w:rPr>
                <w:rFonts w:ascii="Cambria"/>
                <w:sz w:val="21"/>
              </w:rPr>
            </w:pPr>
            <w:hyperlink r:id="rId850">
              <w:r w:rsidR="0030286B">
                <w:rPr>
                  <w:rFonts w:ascii="Cambria"/>
                  <w:color w:val="418BCA"/>
                  <w:w w:val="115"/>
                  <w:sz w:val="21"/>
                </w:rPr>
                <w:t>javadoc</w:t>
              </w:r>
            </w:hyperlink>
          </w:p>
        </w:tc>
      </w:tr>
      <w:tr w:rsidR="00A720EB" w14:paraId="029EBA55" w14:textId="77777777">
        <w:trPr>
          <w:trHeight w:val="425"/>
        </w:trPr>
        <w:tc>
          <w:tcPr>
            <w:tcW w:w="7981" w:type="dxa"/>
          </w:tcPr>
          <w:p w14:paraId="0A04C725" w14:textId="77777777" w:rsidR="00A720EB" w:rsidRDefault="00E10349">
            <w:pPr>
              <w:pStyle w:val="TableParagraph"/>
              <w:spacing w:before="37"/>
              <w:rPr>
                <w:sz w:val="21"/>
              </w:rPr>
            </w:pPr>
            <w:hyperlink r:id="rId851">
              <w:r w:rsidR="0030286B">
                <w:rPr>
                  <w:color w:val="B02045"/>
                  <w:sz w:val="21"/>
                </w:rPr>
                <w:t>RSocketMessagingAutoConfiguration</w:t>
              </w:r>
            </w:hyperlink>
          </w:p>
        </w:tc>
        <w:tc>
          <w:tcPr>
            <w:tcW w:w="1995" w:type="dxa"/>
          </w:tcPr>
          <w:p w14:paraId="745882CC" w14:textId="77777777" w:rsidR="00A720EB" w:rsidRDefault="00E10349">
            <w:pPr>
              <w:pStyle w:val="TableParagraph"/>
              <w:spacing w:before="92"/>
              <w:ind w:left="59"/>
              <w:rPr>
                <w:rFonts w:ascii="Cambria"/>
                <w:sz w:val="21"/>
              </w:rPr>
            </w:pPr>
            <w:hyperlink r:id="rId852">
              <w:r w:rsidR="0030286B">
                <w:rPr>
                  <w:rFonts w:ascii="Cambria"/>
                  <w:color w:val="418BCA"/>
                  <w:w w:val="115"/>
                  <w:sz w:val="21"/>
                </w:rPr>
                <w:t>javadoc</w:t>
              </w:r>
            </w:hyperlink>
          </w:p>
        </w:tc>
      </w:tr>
      <w:tr w:rsidR="00A720EB" w14:paraId="6F910964" w14:textId="77777777">
        <w:trPr>
          <w:trHeight w:val="425"/>
        </w:trPr>
        <w:tc>
          <w:tcPr>
            <w:tcW w:w="7981" w:type="dxa"/>
          </w:tcPr>
          <w:p w14:paraId="1E5F09DA" w14:textId="77777777" w:rsidR="00A720EB" w:rsidRDefault="00E10349">
            <w:pPr>
              <w:pStyle w:val="TableParagraph"/>
              <w:spacing w:before="37"/>
              <w:rPr>
                <w:sz w:val="21"/>
              </w:rPr>
            </w:pPr>
            <w:hyperlink r:id="rId853">
              <w:r w:rsidR="0030286B">
                <w:rPr>
                  <w:color w:val="B02045"/>
                  <w:sz w:val="21"/>
                </w:rPr>
                <w:t>RSocketRequesterAutoConfiguration</w:t>
              </w:r>
            </w:hyperlink>
          </w:p>
        </w:tc>
        <w:tc>
          <w:tcPr>
            <w:tcW w:w="1995" w:type="dxa"/>
          </w:tcPr>
          <w:p w14:paraId="3F09A1CD" w14:textId="77777777" w:rsidR="00A720EB" w:rsidRDefault="00E10349">
            <w:pPr>
              <w:pStyle w:val="TableParagraph"/>
              <w:spacing w:before="92"/>
              <w:ind w:left="59"/>
              <w:rPr>
                <w:rFonts w:ascii="Cambria"/>
                <w:sz w:val="21"/>
              </w:rPr>
            </w:pPr>
            <w:hyperlink r:id="rId854">
              <w:r w:rsidR="0030286B">
                <w:rPr>
                  <w:rFonts w:ascii="Cambria"/>
                  <w:color w:val="418BCA"/>
                  <w:w w:val="115"/>
                  <w:sz w:val="21"/>
                </w:rPr>
                <w:t>javadoc</w:t>
              </w:r>
            </w:hyperlink>
          </w:p>
        </w:tc>
      </w:tr>
      <w:tr w:rsidR="00A720EB" w14:paraId="325F2804" w14:textId="77777777">
        <w:trPr>
          <w:trHeight w:val="425"/>
        </w:trPr>
        <w:tc>
          <w:tcPr>
            <w:tcW w:w="7981" w:type="dxa"/>
          </w:tcPr>
          <w:p w14:paraId="2A222BF4" w14:textId="77777777" w:rsidR="00A720EB" w:rsidRDefault="00E10349">
            <w:pPr>
              <w:pStyle w:val="TableParagraph"/>
              <w:spacing w:before="37"/>
              <w:rPr>
                <w:sz w:val="21"/>
              </w:rPr>
            </w:pPr>
            <w:hyperlink r:id="rId855">
              <w:r w:rsidR="0030286B">
                <w:rPr>
                  <w:color w:val="B02045"/>
                  <w:sz w:val="21"/>
                </w:rPr>
                <w:t>RSocketSecurityAutoConfiguration</w:t>
              </w:r>
            </w:hyperlink>
          </w:p>
        </w:tc>
        <w:tc>
          <w:tcPr>
            <w:tcW w:w="1995" w:type="dxa"/>
          </w:tcPr>
          <w:p w14:paraId="7BFCF565" w14:textId="77777777" w:rsidR="00A720EB" w:rsidRDefault="00E10349">
            <w:pPr>
              <w:pStyle w:val="TableParagraph"/>
              <w:spacing w:before="92"/>
              <w:ind w:left="59"/>
              <w:rPr>
                <w:rFonts w:ascii="Cambria"/>
                <w:sz w:val="21"/>
              </w:rPr>
            </w:pPr>
            <w:hyperlink r:id="rId856">
              <w:r w:rsidR="0030286B">
                <w:rPr>
                  <w:rFonts w:ascii="Cambria"/>
                  <w:color w:val="418BCA"/>
                  <w:w w:val="115"/>
                  <w:sz w:val="21"/>
                </w:rPr>
                <w:t>javadoc</w:t>
              </w:r>
            </w:hyperlink>
          </w:p>
        </w:tc>
      </w:tr>
      <w:tr w:rsidR="00A720EB" w14:paraId="09C4E603" w14:textId="77777777">
        <w:trPr>
          <w:trHeight w:val="425"/>
        </w:trPr>
        <w:tc>
          <w:tcPr>
            <w:tcW w:w="7981" w:type="dxa"/>
          </w:tcPr>
          <w:p w14:paraId="078EF2E7" w14:textId="77777777" w:rsidR="00A720EB" w:rsidRDefault="00E10349">
            <w:pPr>
              <w:pStyle w:val="TableParagraph"/>
              <w:spacing w:before="37"/>
              <w:rPr>
                <w:sz w:val="21"/>
              </w:rPr>
            </w:pPr>
            <w:hyperlink r:id="rId857">
              <w:r w:rsidR="0030286B">
                <w:rPr>
                  <w:color w:val="B02045"/>
                  <w:sz w:val="21"/>
                </w:rPr>
                <w:t>RSocketServerAutoConfiguration</w:t>
              </w:r>
            </w:hyperlink>
          </w:p>
        </w:tc>
        <w:tc>
          <w:tcPr>
            <w:tcW w:w="1995" w:type="dxa"/>
          </w:tcPr>
          <w:p w14:paraId="12094C68" w14:textId="77777777" w:rsidR="00A720EB" w:rsidRDefault="00E10349">
            <w:pPr>
              <w:pStyle w:val="TableParagraph"/>
              <w:spacing w:before="92"/>
              <w:ind w:left="59"/>
              <w:rPr>
                <w:rFonts w:ascii="Cambria"/>
                <w:sz w:val="21"/>
              </w:rPr>
            </w:pPr>
            <w:hyperlink r:id="rId858">
              <w:r w:rsidR="0030286B">
                <w:rPr>
                  <w:rFonts w:ascii="Cambria"/>
                  <w:color w:val="418BCA"/>
                  <w:w w:val="115"/>
                  <w:sz w:val="21"/>
                </w:rPr>
                <w:t>javadoc</w:t>
              </w:r>
            </w:hyperlink>
          </w:p>
        </w:tc>
      </w:tr>
      <w:tr w:rsidR="00A720EB" w14:paraId="088267EC" w14:textId="77777777">
        <w:trPr>
          <w:trHeight w:val="425"/>
        </w:trPr>
        <w:tc>
          <w:tcPr>
            <w:tcW w:w="7981" w:type="dxa"/>
          </w:tcPr>
          <w:p w14:paraId="61B8A55A" w14:textId="77777777" w:rsidR="00A720EB" w:rsidRDefault="00E10349">
            <w:pPr>
              <w:pStyle w:val="TableParagraph"/>
              <w:spacing w:before="37"/>
              <w:rPr>
                <w:sz w:val="21"/>
              </w:rPr>
            </w:pPr>
            <w:hyperlink r:id="rId859">
              <w:r w:rsidR="0030286B">
                <w:rPr>
                  <w:color w:val="B02045"/>
                  <w:sz w:val="21"/>
                </w:rPr>
                <w:t>RSocketStrategiesAutoConfiguration</w:t>
              </w:r>
            </w:hyperlink>
          </w:p>
        </w:tc>
        <w:tc>
          <w:tcPr>
            <w:tcW w:w="1995" w:type="dxa"/>
          </w:tcPr>
          <w:p w14:paraId="03AC6A9B" w14:textId="77777777" w:rsidR="00A720EB" w:rsidRDefault="00E10349">
            <w:pPr>
              <w:pStyle w:val="TableParagraph"/>
              <w:spacing w:before="92"/>
              <w:ind w:left="59"/>
              <w:rPr>
                <w:rFonts w:ascii="Cambria"/>
                <w:sz w:val="21"/>
              </w:rPr>
            </w:pPr>
            <w:hyperlink r:id="rId860">
              <w:r w:rsidR="0030286B">
                <w:rPr>
                  <w:rFonts w:ascii="Cambria"/>
                  <w:color w:val="418BCA"/>
                  <w:w w:val="115"/>
                  <w:sz w:val="21"/>
                </w:rPr>
                <w:t>javadoc</w:t>
              </w:r>
            </w:hyperlink>
          </w:p>
        </w:tc>
      </w:tr>
      <w:tr w:rsidR="00A720EB" w14:paraId="1C6C8D3D" w14:textId="77777777">
        <w:trPr>
          <w:trHeight w:val="425"/>
        </w:trPr>
        <w:tc>
          <w:tcPr>
            <w:tcW w:w="7981" w:type="dxa"/>
          </w:tcPr>
          <w:p w14:paraId="0DD97146" w14:textId="77777777" w:rsidR="00A720EB" w:rsidRDefault="00E10349">
            <w:pPr>
              <w:pStyle w:val="TableParagraph"/>
              <w:spacing w:before="37"/>
              <w:rPr>
                <w:sz w:val="21"/>
              </w:rPr>
            </w:pPr>
            <w:hyperlink r:id="rId861">
              <w:r w:rsidR="0030286B">
                <w:rPr>
                  <w:color w:val="B02045"/>
                  <w:sz w:val="21"/>
                </w:rPr>
                <w:t>RabbitAutoConfiguration</w:t>
              </w:r>
            </w:hyperlink>
          </w:p>
        </w:tc>
        <w:tc>
          <w:tcPr>
            <w:tcW w:w="1995" w:type="dxa"/>
          </w:tcPr>
          <w:p w14:paraId="69DB482B" w14:textId="77777777" w:rsidR="00A720EB" w:rsidRDefault="00E10349">
            <w:pPr>
              <w:pStyle w:val="TableParagraph"/>
              <w:spacing w:before="92"/>
              <w:ind w:left="59"/>
              <w:rPr>
                <w:rFonts w:ascii="Cambria"/>
                <w:sz w:val="21"/>
              </w:rPr>
            </w:pPr>
            <w:hyperlink r:id="rId862">
              <w:r w:rsidR="0030286B">
                <w:rPr>
                  <w:rFonts w:ascii="Cambria"/>
                  <w:color w:val="418BCA"/>
                  <w:w w:val="115"/>
                  <w:sz w:val="21"/>
                </w:rPr>
                <w:t>javadoc</w:t>
              </w:r>
            </w:hyperlink>
          </w:p>
        </w:tc>
      </w:tr>
      <w:tr w:rsidR="00A720EB" w14:paraId="3F4D72A8" w14:textId="77777777">
        <w:trPr>
          <w:trHeight w:val="425"/>
        </w:trPr>
        <w:tc>
          <w:tcPr>
            <w:tcW w:w="7981" w:type="dxa"/>
          </w:tcPr>
          <w:p w14:paraId="0B731B0E" w14:textId="77777777" w:rsidR="00A720EB" w:rsidRDefault="00E10349">
            <w:pPr>
              <w:pStyle w:val="TableParagraph"/>
              <w:spacing w:before="37"/>
              <w:rPr>
                <w:sz w:val="21"/>
              </w:rPr>
            </w:pPr>
            <w:hyperlink r:id="rId863">
              <w:r w:rsidR="0030286B">
                <w:rPr>
                  <w:color w:val="B02045"/>
                  <w:sz w:val="21"/>
                </w:rPr>
                <w:t>ReactiveElasticsearchRepositoriesAutoConfiguration</w:t>
              </w:r>
            </w:hyperlink>
          </w:p>
        </w:tc>
        <w:tc>
          <w:tcPr>
            <w:tcW w:w="1995" w:type="dxa"/>
          </w:tcPr>
          <w:p w14:paraId="59E19CE9" w14:textId="77777777" w:rsidR="00A720EB" w:rsidRDefault="00E10349">
            <w:pPr>
              <w:pStyle w:val="TableParagraph"/>
              <w:spacing w:before="92"/>
              <w:ind w:left="59"/>
              <w:rPr>
                <w:rFonts w:ascii="Cambria"/>
                <w:sz w:val="21"/>
              </w:rPr>
            </w:pPr>
            <w:hyperlink r:id="rId864">
              <w:r w:rsidR="0030286B">
                <w:rPr>
                  <w:rFonts w:ascii="Cambria"/>
                  <w:color w:val="418BCA"/>
                  <w:w w:val="115"/>
                  <w:sz w:val="21"/>
                </w:rPr>
                <w:t>javadoc</w:t>
              </w:r>
            </w:hyperlink>
          </w:p>
        </w:tc>
      </w:tr>
      <w:tr w:rsidR="00A720EB" w14:paraId="786A63E6" w14:textId="77777777">
        <w:trPr>
          <w:trHeight w:val="425"/>
        </w:trPr>
        <w:tc>
          <w:tcPr>
            <w:tcW w:w="7981" w:type="dxa"/>
          </w:tcPr>
          <w:p w14:paraId="193472F9" w14:textId="77777777" w:rsidR="00A720EB" w:rsidRDefault="00E10349">
            <w:pPr>
              <w:pStyle w:val="TableParagraph"/>
              <w:spacing w:before="37"/>
              <w:rPr>
                <w:sz w:val="21"/>
              </w:rPr>
            </w:pPr>
            <w:hyperlink r:id="rId865">
              <w:r w:rsidR="0030286B">
                <w:rPr>
                  <w:color w:val="B02045"/>
                  <w:sz w:val="21"/>
                </w:rPr>
                <w:t>ReactiveElasticsearchRestClientAutoConfiguration</w:t>
              </w:r>
            </w:hyperlink>
          </w:p>
        </w:tc>
        <w:tc>
          <w:tcPr>
            <w:tcW w:w="1995" w:type="dxa"/>
          </w:tcPr>
          <w:p w14:paraId="0C2B6911" w14:textId="77777777" w:rsidR="00A720EB" w:rsidRDefault="00E10349">
            <w:pPr>
              <w:pStyle w:val="TableParagraph"/>
              <w:spacing w:before="92"/>
              <w:ind w:left="59"/>
              <w:rPr>
                <w:rFonts w:ascii="Cambria"/>
                <w:sz w:val="21"/>
              </w:rPr>
            </w:pPr>
            <w:hyperlink r:id="rId866">
              <w:r w:rsidR="0030286B">
                <w:rPr>
                  <w:rFonts w:ascii="Cambria"/>
                  <w:color w:val="418BCA"/>
                  <w:w w:val="115"/>
                  <w:sz w:val="21"/>
                </w:rPr>
                <w:t>javadoc</w:t>
              </w:r>
            </w:hyperlink>
          </w:p>
        </w:tc>
      </w:tr>
      <w:tr w:rsidR="00A720EB" w14:paraId="778D88D5" w14:textId="77777777">
        <w:trPr>
          <w:trHeight w:val="425"/>
        </w:trPr>
        <w:tc>
          <w:tcPr>
            <w:tcW w:w="7981" w:type="dxa"/>
          </w:tcPr>
          <w:p w14:paraId="24876DA3" w14:textId="77777777" w:rsidR="00A720EB" w:rsidRDefault="00E10349">
            <w:pPr>
              <w:pStyle w:val="TableParagraph"/>
              <w:spacing w:before="37"/>
              <w:rPr>
                <w:sz w:val="21"/>
              </w:rPr>
            </w:pPr>
            <w:hyperlink r:id="rId867">
              <w:r w:rsidR="0030286B">
                <w:rPr>
                  <w:color w:val="B02045"/>
                  <w:sz w:val="21"/>
                </w:rPr>
                <w:t>ReactiveOAuth2ClientAutoConfiguration</w:t>
              </w:r>
            </w:hyperlink>
          </w:p>
        </w:tc>
        <w:tc>
          <w:tcPr>
            <w:tcW w:w="1995" w:type="dxa"/>
          </w:tcPr>
          <w:p w14:paraId="7A85BC16" w14:textId="77777777" w:rsidR="00A720EB" w:rsidRDefault="00E10349">
            <w:pPr>
              <w:pStyle w:val="TableParagraph"/>
              <w:spacing w:before="92"/>
              <w:ind w:left="59"/>
              <w:rPr>
                <w:rFonts w:ascii="Cambria"/>
                <w:sz w:val="21"/>
              </w:rPr>
            </w:pPr>
            <w:hyperlink r:id="rId868">
              <w:r w:rsidR="0030286B">
                <w:rPr>
                  <w:rFonts w:ascii="Cambria"/>
                  <w:color w:val="418BCA"/>
                  <w:w w:val="115"/>
                  <w:sz w:val="21"/>
                </w:rPr>
                <w:t>javadoc</w:t>
              </w:r>
            </w:hyperlink>
          </w:p>
        </w:tc>
      </w:tr>
      <w:tr w:rsidR="00A720EB" w14:paraId="4C81BEA9" w14:textId="77777777">
        <w:trPr>
          <w:trHeight w:val="425"/>
        </w:trPr>
        <w:tc>
          <w:tcPr>
            <w:tcW w:w="7981" w:type="dxa"/>
          </w:tcPr>
          <w:p w14:paraId="0BC74280" w14:textId="77777777" w:rsidR="00A720EB" w:rsidRDefault="00E10349">
            <w:pPr>
              <w:pStyle w:val="TableParagraph"/>
              <w:spacing w:before="37"/>
              <w:rPr>
                <w:sz w:val="21"/>
              </w:rPr>
            </w:pPr>
            <w:hyperlink r:id="rId869">
              <w:r w:rsidR="0030286B">
                <w:rPr>
                  <w:color w:val="B02045"/>
                  <w:sz w:val="21"/>
                </w:rPr>
                <w:t>ReactiveOAuth2ResourceServerAutoConfiguration</w:t>
              </w:r>
            </w:hyperlink>
          </w:p>
        </w:tc>
        <w:tc>
          <w:tcPr>
            <w:tcW w:w="1995" w:type="dxa"/>
          </w:tcPr>
          <w:p w14:paraId="764EEA5C" w14:textId="77777777" w:rsidR="00A720EB" w:rsidRDefault="00E10349">
            <w:pPr>
              <w:pStyle w:val="TableParagraph"/>
              <w:spacing w:before="92"/>
              <w:ind w:left="59"/>
              <w:rPr>
                <w:rFonts w:ascii="Cambria"/>
                <w:sz w:val="21"/>
              </w:rPr>
            </w:pPr>
            <w:hyperlink r:id="rId870">
              <w:r w:rsidR="0030286B">
                <w:rPr>
                  <w:rFonts w:ascii="Cambria"/>
                  <w:color w:val="418BCA"/>
                  <w:w w:val="115"/>
                  <w:sz w:val="21"/>
                </w:rPr>
                <w:t>javadoc</w:t>
              </w:r>
            </w:hyperlink>
          </w:p>
        </w:tc>
      </w:tr>
      <w:tr w:rsidR="00A720EB" w14:paraId="32A5D66E" w14:textId="77777777">
        <w:trPr>
          <w:trHeight w:val="425"/>
        </w:trPr>
        <w:tc>
          <w:tcPr>
            <w:tcW w:w="7981" w:type="dxa"/>
          </w:tcPr>
          <w:p w14:paraId="287C4152" w14:textId="77777777" w:rsidR="00A720EB" w:rsidRDefault="00E10349">
            <w:pPr>
              <w:pStyle w:val="TableParagraph"/>
              <w:spacing w:before="37"/>
              <w:rPr>
                <w:sz w:val="21"/>
              </w:rPr>
            </w:pPr>
            <w:hyperlink r:id="rId871">
              <w:r w:rsidR="0030286B">
                <w:rPr>
                  <w:color w:val="B02045"/>
                  <w:sz w:val="21"/>
                </w:rPr>
                <w:t>ReactiveSecurityAutoConfiguration</w:t>
              </w:r>
            </w:hyperlink>
          </w:p>
        </w:tc>
        <w:tc>
          <w:tcPr>
            <w:tcW w:w="1995" w:type="dxa"/>
          </w:tcPr>
          <w:p w14:paraId="41E2BE28" w14:textId="77777777" w:rsidR="00A720EB" w:rsidRDefault="00E10349">
            <w:pPr>
              <w:pStyle w:val="TableParagraph"/>
              <w:spacing w:before="92"/>
              <w:ind w:left="59"/>
              <w:rPr>
                <w:rFonts w:ascii="Cambria"/>
                <w:sz w:val="21"/>
              </w:rPr>
            </w:pPr>
            <w:hyperlink r:id="rId872">
              <w:r w:rsidR="0030286B">
                <w:rPr>
                  <w:rFonts w:ascii="Cambria"/>
                  <w:color w:val="418BCA"/>
                  <w:w w:val="115"/>
                  <w:sz w:val="21"/>
                </w:rPr>
                <w:t>javadoc</w:t>
              </w:r>
            </w:hyperlink>
          </w:p>
        </w:tc>
      </w:tr>
    </w:tbl>
    <w:p w14:paraId="1F2001E5"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981"/>
        <w:gridCol w:w="1995"/>
      </w:tblGrid>
      <w:tr w:rsidR="00A720EB" w14:paraId="5AFDE624" w14:textId="77777777">
        <w:trPr>
          <w:trHeight w:val="415"/>
        </w:trPr>
        <w:tc>
          <w:tcPr>
            <w:tcW w:w="7981" w:type="dxa"/>
            <w:tcBorders>
              <w:bottom w:val="single" w:sz="12" w:space="0" w:color="DDDDDD"/>
            </w:tcBorders>
          </w:tcPr>
          <w:p w14:paraId="29F5700E"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Configuration Class</w:t>
            </w:r>
          </w:p>
        </w:tc>
        <w:tc>
          <w:tcPr>
            <w:tcW w:w="1995" w:type="dxa"/>
            <w:tcBorders>
              <w:bottom w:val="single" w:sz="12" w:space="0" w:color="DDDDDD"/>
            </w:tcBorders>
          </w:tcPr>
          <w:p w14:paraId="47D895F6" w14:textId="77777777" w:rsidR="00A720EB" w:rsidRDefault="0030286B">
            <w:pPr>
              <w:pStyle w:val="TableParagraph"/>
              <w:spacing w:before="71"/>
              <w:ind w:left="59"/>
              <w:rPr>
                <w:rFonts w:ascii="Palatino Linotype"/>
                <w:b/>
                <w:sz w:val="21"/>
              </w:rPr>
            </w:pPr>
            <w:r>
              <w:rPr>
                <w:rFonts w:ascii="Palatino Linotype"/>
                <w:b/>
                <w:color w:val="333333"/>
                <w:w w:val="105"/>
                <w:sz w:val="21"/>
              </w:rPr>
              <w:t>Links</w:t>
            </w:r>
          </w:p>
        </w:tc>
      </w:tr>
      <w:tr w:rsidR="00A720EB" w14:paraId="032D225B" w14:textId="77777777">
        <w:trPr>
          <w:trHeight w:val="415"/>
        </w:trPr>
        <w:tc>
          <w:tcPr>
            <w:tcW w:w="7981" w:type="dxa"/>
            <w:tcBorders>
              <w:top w:val="single" w:sz="12" w:space="0" w:color="DDDDDD"/>
            </w:tcBorders>
          </w:tcPr>
          <w:p w14:paraId="5972E2DF" w14:textId="77777777" w:rsidR="00A720EB" w:rsidRDefault="00E10349">
            <w:pPr>
              <w:pStyle w:val="TableParagraph"/>
              <w:spacing w:before="27"/>
              <w:rPr>
                <w:sz w:val="21"/>
              </w:rPr>
            </w:pPr>
            <w:hyperlink r:id="rId873">
              <w:r w:rsidR="0030286B">
                <w:rPr>
                  <w:color w:val="B02045"/>
                  <w:sz w:val="21"/>
                </w:rPr>
                <w:t>ReactiveUserDetailsServiceAutoConfiguration</w:t>
              </w:r>
            </w:hyperlink>
          </w:p>
        </w:tc>
        <w:tc>
          <w:tcPr>
            <w:tcW w:w="1995" w:type="dxa"/>
            <w:tcBorders>
              <w:top w:val="single" w:sz="12" w:space="0" w:color="DDDDDD"/>
            </w:tcBorders>
          </w:tcPr>
          <w:p w14:paraId="27765F27" w14:textId="77777777" w:rsidR="00A720EB" w:rsidRDefault="00E10349">
            <w:pPr>
              <w:pStyle w:val="TableParagraph"/>
              <w:spacing w:before="82"/>
              <w:ind w:left="59"/>
              <w:rPr>
                <w:rFonts w:ascii="Cambria"/>
                <w:sz w:val="21"/>
              </w:rPr>
            </w:pPr>
            <w:hyperlink r:id="rId874">
              <w:r w:rsidR="0030286B">
                <w:rPr>
                  <w:rFonts w:ascii="Cambria"/>
                  <w:color w:val="418BCA"/>
                  <w:w w:val="115"/>
                  <w:sz w:val="21"/>
                </w:rPr>
                <w:t>javadoc</w:t>
              </w:r>
            </w:hyperlink>
          </w:p>
        </w:tc>
      </w:tr>
      <w:tr w:rsidR="00A720EB" w14:paraId="4AE4E93A" w14:textId="77777777">
        <w:trPr>
          <w:trHeight w:val="425"/>
        </w:trPr>
        <w:tc>
          <w:tcPr>
            <w:tcW w:w="7981" w:type="dxa"/>
          </w:tcPr>
          <w:p w14:paraId="758B9F99" w14:textId="77777777" w:rsidR="00A720EB" w:rsidRDefault="00E10349">
            <w:pPr>
              <w:pStyle w:val="TableParagraph"/>
              <w:rPr>
                <w:sz w:val="21"/>
              </w:rPr>
            </w:pPr>
            <w:hyperlink r:id="rId875">
              <w:r w:rsidR="0030286B">
                <w:rPr>
                  <w:color w:val="B02045"/>
                  <w:sz w:val="21"/>
                </w:rPr>
                <w:t>ReactiveWebServerFactoryAutoConfiguration</w:t>
              </w:r>
            </w:hyperlink>
          </w:p>
        </w:tc>
        <w:tc>
          <w:tcPr>
            <w:tcW w:w="1995" w:type="dxa"/>
          </w:tcPr>
          <w:p w14:paraId="0876A6AD" w14:textId="77777777" w:rsidR="00A720EB" w:rsidRDefault="00E10349">
            <w:pPr>
              <w:pStyle w:val="TableParagraph"/>
              <w:spacing w:before="92"/>
              <w:ind w:left="59"/>
              <w:rPr>
                <w:rFonts w:ascii="Cambria"/>
                <w:sz w:val="21"/>
              </w:rPr>
            </w:pPr>
            <w:hyperlink r:id="rId876">
              <w:r w:rsidR="0030286B">
                <w:rPr>
                  <w:rFonts w:ascii="Cambria"/>
                  <w:color w:val="418BCA"/>
                  <w:w w:val="115"/>
                  <w:sz w:val="21"/>
                </w:rPr>
                <w:t>javadoc</w:t>
              </w:r>
            </w:hyperlink>
          </w:p>
        </w:tc>
      </w:tr>
      <w:tr w:rsidR="00A720EB" w14:paraId="18FA6D70" w14:textId="77777777">
        <w:trPr>
          <w:trHeight w:val="425"/>
        </w:trPr>
        <w:tc>
          <w:tcPr>
            <w:tcW w:w="7981" w:type="dxa"/>
          </w:tcPr>
          <w:p w14:paraId="4AD4409E" w14:textId="77777777" w:rsidR="00A720EB" w:rsidRDefault="00E10349">
            <w:pPr>
              <w:pStyle w:val="TableParagraph"/>
              <w:spacing w:before="37"/>
              <w:rPr>
                <w:sz w:val="21"/>
              </w:rPr>
            </w:pPr>
            <w:hyperlink r:id="rId877">
              <w:r w:rsidR="0030286B">
                <w:rPr>
                  <w:color w:val="B02045"/>
                  <w:sz w:val="21"/>
                </w:rPr>
                <w:t>RedisAutoConfiguration</w:t>
              </w:r>
            </w:hyperlink>
          </w:p>
        </w:tc>
        <w:tc>
          <w:tcPr>
            <w:tcW w:w="1995" w:type="dxa"/>
          </w:tcPr>
          <w:p w14:paraId="4BBFD27A" w14:textId="77777777" w:rsidR="00A720EB" w:rsidRDefault="00E10349">
            <w:pPr>
              <w:pStyle w:val="TableParagraph"/>
              <w:spacing w:before="92"/>
              <w:ind w:left="59"/>
              <w:rPr>
                <w:rFonts w:ascii="Cambria"/>
                <w:sz w:val="21"/>
              </w:rPr>
            </w:pPr>
            <w:hyperlink r:id="rId878">
              <w:r w:rsidR="0030286B">
                <w:rPr>
                  <w:rFonts w:ascii="Cambria"/>
                  <w:color w:val="418BCA"/>
                  <w:w w:val="115"/>
                  <w:sz w:val="21"/>
                </w:rPr>
                <w:t>javadoc</w:t>
              </w:r>
            </w:hyperlink>
          </w:p>
        </w:tc>
      </w:tr>
      <w:tr w:rsidR="00A720EB" w14:paraId="416DB3D9" w14:textId="77777777">
        <w:trPr>
          <w:trHeight w:val="425"/>
        </w:trPr>
        <w:tc>
          <w:tcPr>
            <w:tcW w:w="7981" w:type="dxa"/>
          </w:tcPr>
          <w:p w14:paraId="5A45105E" w14:textId="77777777" w:rsidR="00A720EB" w:rsidRDefault="00E10349">
            <w:pPr>
              <w:pStyle w:val="TableParagraph"/>
              <w:rPr>
                <w:sz w:val="21"/>
              </w:rPr>
            </w:pPr>
            <w:hyperlink r:id="rId879">
              <w:r w:rsidR="0030286B">
                <w:rPr>
                  <w:color w:val="B02045"/>
                  <w:sz w:val="21"/>
                </w:rPr>
                <w:t>RedisReactiveAutoConfiguration</w:t>
              </w:r>
            </w:hyperlink>
          </w:p>
        </w:tc>
        <w:tc>
          <w:tcPr>
            <w:tcW w:w="1995" w:type="dxa"/>
          </w:tcPr>
          <w:p w14:paraId="2691C635" w14:textId="77777777" w:rsidR="00A720EB" w:rsidRDefault="00E10349">
            <w:pPr>
              <w:pStyle w:val="TableParagraph"/>
              <w:spacing w:before="92"/>
              <w:ind w:left="59"/>
              <w:rPr>
                <w:rFonts w:ascii="Cambria"/>
                <w:sz w:val="21"/>
              </w:rPr>
            </w:pPr>
            <w:hyperlink r:id="rId880">
              <w:r w:rsidR="0030286B">
                <w:rPr>
                  <w:rFonts w:ascii="Cambria"/>
                  <w:color w:val="418BCA"/>
                  <w:w w:val="115"/>
                  <w:sz w:val="21"/>
                </w:rPr>
                <w:t>javadoc</w:t>
              </w:r>
            </w:hyperlink>
          </w:p>
        </w:tc>
      </w:tr>
      <w:tr w:rsidR="00A720EB" w14:paraId="1DD6AAE1" w14:textId="77777777">
        <w:trPr>
          <w:trHeight w:val="425"/>
        </w:trPr>
        <w:tc>
          <w:tcPr>
            <w:tcW w:w="7981" w:type="dxa"/>
          </w:tcPr>
          <w:p w14:paraId="28996872" w14:textId="77777777" w:rsidR="00A720EB" w:rsidRDefault="00E10349">
            <w:pPr>
              <w:pStyle w:val="TableParagraph"/>
              <w:spacing w:before="37"/>
              <w:rPr>
                <w:sz w:val="21"/>
              </w:rPr>
            </w:pPr>
            <w:hyperlink r:id="rId881">
              <w:r w:rsidR="0030286B">
                <w:rPr>
                  <w:color w:val="B02045"/>
                  <w:sz w:val="21"/>
                </w:rPr>
                <w:t>RedisRepositoriesAutoConfiguration</w:t>
              </w:r>
            </w:hyperlink>
          </w:p>
        </w:tc>
        <w:tc>
          <w:tcPr>
            <w:tcW w:w="1995" w:type="dxa"/>
          </w:tcPr>
          <w:p w14:paraId="2048A460" w14:textId="77777777" w:rsidR="00A720EB" w:rsidRDefault="00E10349">
            <w:pPr>
              <w:pStyle w:val="TableParagraph"/>
              <w:spacing w:before="92"/>
              <w:ind w:left="59"/>
              <w:rPr>
                <w:rFonts w:ascii="Cambria"/>
                <w:sz w:val="21"/>
              </w:rPr>
            </w:pPr>
            <w:hyperlink r:id="rId882">
              <w:r w:rsidR="0030286B">
                <w:rPr>
                  <w:rFonts w:ascii="Cambria"/>
                  <w:color w:val="418BCA"/>
                  <w:w w:val="115"/>
                  <w:sz w:val="21"/>
                </w:rPr>
                <w:t>javadoc</w:t>
              </w:r>
            </w:hyperlink>
          </w:p>
        </w:tc>
      </w:tr>
      <w:tr w:rsidR="00A720EB" w14:paraId="57B910C7" w14:textId="77777777">
        <w:trPr>
          <w:trHeight w:val="425"/>
        </w:trPr>
        <w:tc>
          <w:tcPr>
            <w:tcW w:w="7981" w:type="dxa"/>
          </w:tcPr>
          <w:p w14:paraId="4F662F76" w14:textId="77777777" w:rsidR="00A720EB" w:rsidRDefault="00E10349">
            <w:pPr>
              <w:pStyle w:val="TableParagraph"/>
              <w:rPr>
                <w:sz w:val="21"/>
              </w:rPr>
            </w:pPr>
            <w:hyperlink r:id="rId883">
              <w:r w:rsidR="0030286B">
                <w:rPr>
                  <w:color w:val="B02045"/>
                  <w:sz w:val="21"/>
                </w:rPr>
                <w:t>RepositoryRestMvcAutoConfiguration</w:t>
              </w:r>
            </w:hyperlink>
          </w:p>
        </w:tc>
        <w:tc>
          <w:tcPr>
            <w:tcW w:w="1995" w:type="dxa"/>
          </w:tcPr>
          <w:p w14:paraId="1E37A4C6" w14:textId="77777777" w:rsidR="00A720EB" w:rsidRDefault="00E10349">
            <w:pPr>
              <w:pStyle w:val="TableParagraph"/>
              <w:spacing w:before="92"/>
              <w:ind w:left="59"/>
              <w:rPr>
                <w:rFonts w:ascii="Cambria"/>
                <w:sz w:val="21"/>
              </w:rPr>
            </w:pPr>
            <w:hyperlink r:id="rId884">
              <w:r w:rsidR="0030286B">
                <w:rPr>
                  <w:rFonts w:ascii="Cambria"/>
                  <w:color w:val="418BCA"/>
                  <w:w w:val="115"/>
                  <w:sz w:val="21"/>
                </w:rPr>
                <w:t>javadoc</w:t>
              </w:r>
            </w:hyperlink>
          </w:p>
        </w:tc>
      </w:tr>
      <w:tr w:rsidR="00A720EB" w14:paraId="16860C32" w14:textId="77777777">
        <w:trPr>
          <w:trHeight w:val="425"/>
        </w:trPr>
        <w:tc>
          <w:tcPr>
            <w:tcW w:w="7981" w:type="dxa"/>
          </w:tcPr>
          <w:p w14:paraId="71C57BC1" w14:textId="77777777" w:rsidR="00A720EB" w:rsidRDefault="00E10349">
            <w:pPr>
              <w:pStyle w:val="TableParagraph"/>
              <w:spacing w:before="37"/>
              <w:rPr>
                <w:sz w:val="21"/>
              </w:rPr>
            </w:pPr>
            <w:hyperlink r:id="rId885">
              <w:r w:rsidR="0030286B">
                <w:rPr>
                  <w:color w:val="B02045"/>
                  <w:sz w:val="21"/>
                </w:rPr>
                <w:t>RestTemplateAutoConfiguration</w:t>
              </w:r>
            </w:hyperlink>
          </w:p>
        </w:tc>
        <w:tc>
          <w:tcPr>
            <w:tcW w:w="1995" w:type="dxa"/>
          </w:tcPr>
          <w:p w14:paraId="402996AC" w14:textId="77777777" w:rsidR="00A720EB" w:rsidRDefault="00E10349">
            <w:pPr>
              <w:pStyle w:val="TableParagraph"/>
              <w:spacing w:before="92"/>
              <w:ind w:left="59"/>
              <w:rPr>
                <w:rFonts w:ascii="Cambria"/>
                <w:sz w:val="21"/>
              </w:rPr>
            </w:pPr>
            <w:hyperlink r:id="rId886">
              <w:r w:rsidR="0030286B">
                <w:rPr>
                  <w:rFonts w:ascii="Cambria"/>
                  <w:color w:val="418BCA"/>
                  <w:w w:val="115"/>
                  <w:sz w:val="21"/>
                </w:rPr>
                <w:t>javadoc</w:t>
              </w:r>
            </w:hyperlink>
          </w:p>
        </w:tc>
      </w:tr>
      <w:tr w:rsidR="00A720EB" w14:paraId="52C1DA27" w14:textId="77777777">
        <w:trPr>
          <w:trHeight w:val="425"/>
        </w:trPr>
        <w:tc>
          <w:tcPr>
            <w:tcW w:w="7981" w:type="dxa"/>
          </w:tcPr>
          <w:p w14:paraId="2F8E871F" w14:textId="77777777" w:rsidR="00A720EB" w:rsidRDefault="00E10349">
            <w:pPr>
              <w:pStyle w:val="TableParagraph"/>
              <w:rPr>
                <w:sz w:val="21"/>
              </w:rPr>
            </w:pPr>
            <w:hyperlink r:id="rId887">
              <w:r w:rsidR="0030286B">
                <w:rPr>
                  <w:color w:val="B02045"/>
                  <w:sz w:val="21"/>
                </w:rPr>
                <w:t>Saml2RelyingPartyAutoConfiguration</w:t>
              </w:r>
            </w:hyperlink>
          </w:p>
        </w:tc>
        <w:tc>
          <w:tcPr>
            <w:tcW w:w="1995" w:type="dxa"/>
          </w:tcPr>
          <w:p w14:paraId="09E28981" w14:textId="77777777" w:rsidR="00A720EB" w:rsidRDefault="00E10349">
            <w:pPr>
              <w:pStyle w:val="TableParagraph"/>
              <w:spacing w:before="92"/>
              <w:ind w:left="59"/>
              <w:rPr>
                <w:rFonts w:ascii="Cambria"/>
                <w:sz w:val="21"/>
              </w:rPr>
            </w:pPr>
            <w:hyperlink r:id="rId888">
              <w:r w:rsidR="0030286B">
                <w:rPr>
                  <w:rFonts w:ascii="Cambria"/>
                  <w:color w:val="418BCA"/>
                  <w:w w:val="115"/>
                  <w:sz w:val="21"/>
                </w:rPr>
                <w:t>javadoc</w:t>
              </w:r>
            </w:hyperlink>
          </w:p>
        </w:tc>
      </w:tr>
      <w:tr w:rsidR="00A720EB" w14:paraId="6310C8F8" w14:textId="77777777">
        <w:trPr>
          <w:trHeight w:val="425"/>
        </w:trPr>
        <w:tc>
          <w:tcPr>
            <w:tcW w:w="7981" w:type="dxa"/>
          </w:tcPr>
          <w:p w14:paraId="71DADE29" w14:textId="77777777" w:rsidR="00A720EB" w:rsidRDefault="00E10349">
            <w:pPr>
              <w:pStyle w:val="TableParagraph"/>
              <w:spacing w:before="37"/>
              <w:rPr>
                <w:sz w:val="21"/>
              </w:rPr>
            </w:pPr>
            <w:hyperlink r:id="rId889">
              <w:r w:rsidR="0030286B">
                <w:rPr>
                  <w:color w:val="B02045"/>
                  <w:sz w:val="21"/>
                </w:rPr>
                <w:t>SecurityAutoConfiguration</w:t>
              </w:r>
            </w:hyperlink>
          </w:p>
        </w:tc>
        <w:tc>
          <w:tcPr>
            <w:tcW w:w="1995" w:type="dxa"/>
          </w:tcPr>
          <w:p w14:paraId="7489BC7C" w14:textId="77777777" w:rsidR="00A720EB" w:rsidRDefault="00E10349">
            <w:pPr>
              <w:pStyle w:val="TableParagraph"/>
              <w:spacing w:before="92"/>
              <w:ind w:left="59"/>
              <w:rPr>
                <w:rFonts w:ascii="Cambria"/>
                <w:sz w:val="21"/>
              </w:rPr>
            </w:pPr>
            <w:hyperlink r:id="rId890">
              <w:r w:rsidR="0030286B">
                <w:rPr>
                  <w:rFonts w:ascii="Cambria"/>
                  <w:color w:val="418BCA"/>
                  <w:w w:val="115"/>
                  <w:sz w:val="21"/>
                </w:rPr>
                <w:t>javadoc</w:t>
              </w:r>
            </w:hyperlink>
          </w:p>
        </w:tc>
      </w:tr>
      <w:tr w:rsidR="00A720EB" w14:paraId="5EEC8A0B" w14:textId="77777777">
        <w:trPr>
          <w:trHeight w:val="425"/>
        </w:trPr>
        <w:tc>
          <w:tcPr>
            <w:tcW w:w="7981" w:type="dxa"/>
          </w:tcPr>
          <w:p w14:paraId="15FACFE7" w14:textId="77777777" w:rsidR="00A720EB" w:rsidRDefault="00E10349">
            <w:pPr>
              <w:pStyle w:val="TableParagraph"/>
              <w:rPr>
                <w:sz w:val="21"/>
              </w:rPr>
            </w:pPr>
            <w:hyperlink r:id="rId891">
              <w:r w:rsidR="0030286B">
                <w:rPr>
                  <w:color w:val="B02045"/>
                  <w:sz w:val="21"/>
                </w:rPr>
                <w:t>SecurityFilterAutoConfiguration</w:t>
              </w:r>
            </w:hyperlink>
          </w:p>
        </w:tc>
        <w:tc>
          <w:tcPr>
            <w:tcW w:w="1995" w:type="dxa"/>
          </w:tcPr>
          <w:p w14:paraId="5206836B" w14:textId="77777777" w:rsidR="00A720EB" w:rsidRDefault="00E10349">
            <w:pPr>
              <w:pStyle w:val="TableParagraph"/>
              <w:spacing w:before="92"/>
              <w:ind w:left="59"/>
              <w:rPr>
                <w:rFonts w:ascii="Cambria"/>
                <w:sz w:val="21"/>
              </w:rPr>
            </w:pPr>
            <w:hyperlink r:id="rId892">
              <w:r w:rsidR="0030286B">
                <w:rPr>
                  <w:rFonts w:ascii="Cambria"/>
                  <w:color w:val="418BCA"/>
                  <w:w w:val="115"/>
                  <w:sz w:val="21"/>
                </w:rPr>
                <w:t>javadoc</w:t>
              </w:r>
            </w:hyperlink>
          </w:p>
        </w:tc>
      </w:tr>
      <w:tr w:rsidR="00A720EB" w14:paraId="17E0185C" w14:textId="77777777">
        <w:trPr>
          <w:trHeight w:val="425"/>
        </w:trPr>
        <w:tc>
          <w:tcPr>
            <w:tcW w:w="7981" w:type="dxa"/>
          </w:tcPr>
          <w:p w14:paraId="3378B099" w14:textId="77777777" w:rsidR="00A720EB" w:rsidRDefault="00E10349">
            <w:pPr>
              <w:pStyle w:val="TableParagraph"/>
              <w:spacing w:before="37"/>
              <w:rPr>
                <w:sz w:val="21"/>
              </w:rPr>
            </w:pPr>
            <w:hyperlink r:id="rId893">
              <w:r w:rsidR="0030286B">
                <w:rPr>
                  <w:color w:val="B02045"/>
                  <w:sz w:val="21"/>
                </w:rPr>
                <w:t>SendGridAutoConfiguration</w:t>
              </w:r>
            </w:hyperlink>
          </w:p>
        </w:tc>
        <w:tc>
          <w:tcPr>
            <w:tcW w:w="1995" w:type="dxa"/>
          </w:tcPr>
          <w:p w14:paraId="381BA6F0" w14:textId="77777777" w:rsidR="00A720EB" w:rsidRDefault="00E10349">
            <w:pPr>
              <w:pStyle w:val="TableParagraph"/>
              <w:spacing w:before="92"/>
              <w:ind w:left="59"/>
              <w:rPr>
                <w:rFonts w:ascii="Cambria"/>
                <w:sz w:val="21"/>
              </w:rPr>
            </w:pPr>
            <w:hyperlink r:id="rId894">
              <w:r w:rsidR="0030286B">
                <w:rPr>
                  <w:rFonts w:ascii="Cambria"/>
                  <w:color w:val="418BCA"/>
                  <w:w w:val="115"/>
                  <w:sz w:val="21"/>
                </w:rPr>
                <w:t>javadoc</w:t>
              </w:r>
            </w:hyperlink>
          </w:p>
        </w:tc>
      </w:tr>
      <w:tr w:rsidR="00A720EB" w14:paraId="27086CB1" w14:textId="77777777">
        <w:trPr>
          <w:trHeight w:val="425"/>
        </w:trPr>
        <w:tc>
          <w:tcPr>
            <w:tcW w:w="7981" w:type="dxa"/>
          </w:tcPr>
          <w:p w14:paraId="0B134CBA" w14:textId="77777777" w:rsidR="00A720EB" w:rsidRDefault="00E10349">
            <w:pPr>
              <w:pStyle w:val="TableParagraph"/>
              <w:spacing w:before="37"/>
              <w:rPr>
                <w:sz w:val="21"/>
              </w:rPr>
            </w:pPr>
            <w:hyperlink r:id="rId895">
              <w:r w:rsidR="0030286B">
                <w:rPr>
                  <w:color w:val="B02045"/>
                  <w:sz w:val="21"/>
                </w:rPr>
                <w:t>ServletWebServerFactoryAutoConfiguration</w:t>
              </w:r>
            </w:hyperlink>
          </w:p>
        </w:tc>
        <w:tc>
          <w:tcPr>
            <w:tcW w:w="1995" w:type="dxa"/>
          </w:tcPr>
          <w:p w14:paraId="7E734419" w14:textId="77777777" w:rsidR="00A720EB" w:rsidRDefault="00E10349">
            <w:pPr>
              <w:pStyle w:val="TableParagraph"/>
              <w:spacing w:before="92"/>
              <w:ind w:left="59"/>
              <w:rPr>
                <w:rFonts w:ascii="Cambria"/>
                <w:sz w:val="21"/>
              </w:rPr>
            </w:pPr>
            <w:hyperlink r:id="rId896">
              <w:r w:rsidR="0030286B">
                <w:rPr>
                  <w:rFonts w:ascii="Cambria"/>
                  <w:color w:val="418BCA"/>
                  <w:w w:val="115"/>
                  <w:sz w:val="21"/>
                </w:rPr>
                <w:t>javadoc</w:t>
              </w:r>
            </w:hyperlink>
          </w:p>
        </w:tc>
      </w:tr>
      <w:tr w:rsidR="00A720EB" w14:paraId="709E5C12" w14:textId="77777777">
        <w:trPr>
          <w:trHeight w:val="425"/>
        </w:trPr>
        <w:tc>
          <w:tcPr>
            <w:tcW w:w="7981" w:type="dxa"/>
          </w:tcPr>
          <w:p w14:paraId="093E94A7" w14:textId="77777777" w:rsidR="00A720EB" w:rsidRDefault="00E10349">
            <w:pPr>
              <w:pStyle w:val="TableParagraph"/>
              <w:spacing w:before="37"/>
              <w:rPr>
                <w:sz w:val="21"/>
              </w:rPr>
            </w:pPr>
            <w:hyperlink r:id="rId897">
              <w:r w:rsidR="0030286B">
                <w:rPr>
                  <w:color w:val="B02045"/>
                  <w:sz w:val="21"/>
                </w:rPr>
                <w:t>SessionAutoConfiguration</w:t>
              </w:r>
            </w:hyperlink>
          </w:p>
        </w:tc>
        <w:tc>
          <w:tcPr>
            <w:tcW w:w="1995" w:type="dxa"/>
          </w:tcPr>
          <w:p w14:paraId="40D96FAF" w14:textId="77777777" w:rsidR="00A720EB" w:rsidRDefault="00E10349">
            <w:pPr>
              <w:pStyle w:val="TableParagraph"/>
              <w:spacing w:before="92"/>
              <w:ind w:left="59"/>
              <w:rPr>
                <w:rFonts w:ascii="Cambria"/>
                <w:sz w:val="21"/>
              </w:rPr>
            </w:pPr>
            <w:hyperlink r:id="rId898">
              <w:r w:rsidR="0030286B">
                <w:rPr>
                  <w:rFonts w:ascii="Cambria"/>
                  <w:color w:val="418BCA"/>
                  <w:w w:val="115"/>
                  <w:sz w:val="21"/>
                </w:rPr>
                <w:t>javadoc</w:t>
              </w:r>
            </w:hyperlink>
          </w:p>
        </w:tc>
      </w:tr>
      <w:tr w:rsidR="00A720EB" w14:paraId="6382CFB0" w14:textId="77777777">
        <w:trPr>
          <w:trHeight w:val="425"/>
        </w:trPr>
        <w:tc>
          <w:tcPr>
            <w:tcW w:w="7981" w:type="dxa"/>
          </w:tcPr>
          <w:p w14:paraId="063F1408" w14:textId="77777777" w:rsidR="00A720EB" w:rsidRDefault="00E10349">
            <w:pPr>
              <w:pStyle w:val="TableParagraph"/>
              <w:spacing w:before="37"/>
              <w:rPr>
                <w:sz w:val="21"/>
              </w:rPr>
            </w:pPr>
            <w:hyperlink r:id="rId899">
              <w:r w:rsidR="0030286B">
                <w:rPr>
                  <w:color w:val="B02045"/>
                  <w:sz w:val="21"/>
                </w:rPr>
                <w:t>SolrAutoConfiguration</w:t>
              </w:r>
            </w:hyperlink>
          </w:p>
        </w:tc>
        <w:tc>
          <w:tcPr>
            <w:tcW w:w="1995" w:type="dxa"/>
          </w:tcPr>
          <w:p w14:paraId="3CF02330" w14:textId="77777777" w:rsidR="00A720EB" w:rsidRDefault="00E10349">
            <w:pPr>
              <w:pStyle w:val="TableParagraph"/>
              <w:spacing w:before="92"/>
              <w:ind w:left="59"/>
              <w:rPr>
                <w:rFonts w:ascii="Cambria"/>
                <w:sz w:val="21"/>
              </w:rPr>
            </w:pPr>
            <w:hyperlink r:id="rId900">
              <w:r w:rsidR="0030286B">
                <w:rPr>
                  <w:rFonts w:ascii="Cambria"/>
                  <w:color w:val="418BCA"/>
                  <w:w w:val="115"/>
                  <w:sz w:val="21"/>
                </w:rPr>
                <w:t>javadoc</w:t>
              </w:r>
            </w:hyperlink>
          </w:p>
        </w:tc>
      </w:tr>
      <w:tr w:rsidR="00A720EB" w14:paraId="32639349" w14:textId="77777777">
        <w:trPr>
          <w:trHeight w:val="425"/>
        </w:trPr>
        <w:tc>
          <w:tcPr>
            <w:tcW w:w="7981" w:type="dxa"/>
          </w:tcPr>
          <w:p w14:paraId="2C667851" w14:textId="77777777" w:rsidR="00A720EB" w:rsidRDefault="00E10349">
            <w:pPr>
              <w:pStyle w:val="TableParagraph"/>
              <w:spacing w:before="37"/>
              <w:rPr>
                <w:sz w:val="21"/>
              </w:rPr>
            </w:pPr>
            <w:hyperlink r:id="rId901">
              <w:r w:rsidR="0030286B">
                <w:rPr>
                  <w:color w:val="B02045"/>
                  <w:sz w:val="21"/>
                </w:rPr>
                <w:t>SolrRepositoriesAutoConfiguration</w:t>
              </w:r>
            </w:hyperlink>
          </w:p>
        </w:tc>
        <w:tc>
          <w:tcPr>
            <w:tcW w:w="1995" w:type="dxa"/>
          </w:tcPr>
          <w:p w14:paraId="72228C0C" w14:textId="77777777" w:rsidR="00A720EB" w:rsidRDefault="00E10349">
            <w:pPr>
              <w:pStyle w:val="TableParagraph"/>
              <w:spacing w:before="92"/>
              <w:ind w:left="59"/>
              <w:rPr>
                <w:rFonts w:ascii="Cambria"/>
                <w:sz w:val="21"/>
              </w:rPr>
            </w:pPr>
            <w:hyperlink r:id="rId902">
              <w:r w:rsidR="0030286B">
                <w:rPr>
                  <w:rFonts w:ascii="Cambria"/>
                  <w:color w:val="418BCA"/>
                  <w:w w:val="115"/>
                  <w:sz w:val="21"/>
                </w:rPr>
                <w:t>javadoc</w:t>
              </w:r>
            </w:hyperlink>
          </w:p>
        </w:tc>
      </w:tr>
      <w:tr w:rsidR="00A720EB" w14:paraId="221D76B8" w14:textId="77777777">
        <w:trPr>
          <w:trHeight w:val="425"/>
        </w:trPr>
        <w:tc>
          <w:tcPr>
            <w:tcW w:w="7981" w:type="dxa"/>
          </w:tcPr>
          <w:p w14:paraId="311612CA" w14:textId="77777777" w:rsidR="00A720EB" w:rsidRDefault="00E10349">
            <w:pPr>
              <w:pStyle w:val="TableParagraph"/>
              <w:spacing w:before="37"/>
              <w:rPr>
                <w:sz w:val="21"/>
              </w:rPr>
            </w:pPr>
            <w:hyperlink r:id="rId903">
              <w:r w:rsidR="0030286B">
                <w:rPr>
                  <w:color w:val="B02045"/>
                  <w:sz w:val="21"/>
                </w:rPr>
                <w:t>SpringApplicationAdminJmxAutoConfiguration</w:t>
              </w:r>
            </w:hyperlink>
          </w:p>
        </w:tc>
        <w:tc>
          <w:tcPr>
            <w:tcW w:w="1995" w:type="dxa"/>
          </w:tcPr>
          <w:p w14:paraId="36DB9CDC" w14:textId="77777777" w:rsidR="00A720EB" w:rsidRDefault="00E10349">
            <w:pPr>
              <w:pStyle w:val="TableParagraph"/>
              <w:spacing w:before="92"/>
              <w:ind w:left="59"/>
              <w:rPr>
                <w:rFonts w:ascii="Cambria"/>
                <w:sz w:val="21"/>
              </w:rPr>
            </w:pPr>
            <w:hyperlink r:id="rId904">
              <w:r w:rsidR="0030286B">
                <w:rPr>
                  <w:rFonts w:ascii="Cambria"/>
                  <w:color w:val="418BCA"/>
                  <w:w w:val="115"/>
                  <w:sz w:val="21"/>
                </w:rPr>
                <w:t>javadoc</w:t>
              </w:r>
            </w:hyperlink>
          </w:p>
        </w:tc>
      </w:tr>
      <w:tr w:rsidR="00A720EB" w14:paraId="20B4955A" w14:textId="77777777">
        <w:trPr>
          <w:trHeight w:val="425"/>
        </w:trPr>
        <w:tc>
          <w:tcPr>
            <w:tcW w:w="7981" w:type="dxa"/>
          </w:tcPr>
          <w:p w14:paraId="5F603FAB" w14:textId="77777777" w:rsidR="00A720EB" w:rsidRDefault="00E10349">
            <w:pPr>
              <w:pStyle w:val="TableParagraph"/>
              <w:spacing w:before="37"/>
              <w:rPr>
                <w:sz w:val="21"/>
              </w:rPr>
            </w:pPr>
            <w:hyperlink r:id="rId905">
              <w:r w:rsidR="0030286B">
                <w:rPr>
                  <w:color w:val="B02045"/>
                  <w:sz w:val="21"/>
                </w:rPr>
                <w:t>SpringDataWebAutoConfiguration</w:t>
              </w:r>
            </w:hyperlink>
          </w:p>
        </w:tc>
        <w:tc>
          <w:tcPr>
            <w:tcW w:w="1995" w:type="dxa"/>
          </w:tcPr>
          <w:p w14:paraId="0A776043" w14:textId="77777777" w:rsidR="00A720EB" w:rsidRDefault="00E10349">
            <w:pPr>
              <w:pStyle w:val="TableParagraph"/>
              <w:spacing w:before="92"/>
              <w:ind w:left="59"/>
              <w:rPr>
                <w:rFonts w:ascii="Cambria"/>
                <w:sz w:val="21"/>
              </w:rPr>
            </w:pPr>
            <w:hyperlink r:id="rId906">
              <w:r w:rsidR="0030286B">
                <w:rPr>
                  <w:rFonts w:ascii="Cambria"/>
                  <w:color w:val="418BCA"/>
                  <w:w w:val="115"/>
                  <w:sz w:val="21"/>
                </w:rPr>
                <w:t>javadoc</w:t>
              </w:r>
            </w:hyperlink>
          </w:p>
        </w:tc>
      </w:tr>
      <w:tr w:rsidR="00A720EB" w14:paraId="7F9331C4" w14:textId="77777777">
        <w:trPr>
          <w:trHeight w:val="425"/>
        </w:trPr>
        <w:tc>
          <w:tcPr>
            <w:tcW w:w="7981" w:type="dxa"/>
          </w:tcPr>
          <w:p w14:paraId="4AD25B36" w14:textId="77777777" w:rsidR="00A720EB" w:rsidRDefault="00E10349">
            <w:pPr>
              <w:pStyle w:val="TableParagraph"/>
              <w:spacing w:before="37"/>
              <w:rPr>
                <w:sz w:val="21"/>
              </w:rPr>
            </w:pPr>
            <w:hyperlink r:id="rId907">
              <w:r w:rsidR="0030286B">
                <w:rPr>
                  <w:color w:val="B02045"/>
                  <w:sz w:val="21"/>
                </w:rPr>
                <w:t>TaskExecutionAutoConfiguration</w:t>
              </w:r>
            </w:hyperlink>
          </w:p>
        </w:tc>
        <w:tc>
          <w:tcPr>
            <w:tcW w:w="1995" w:type="dxa"/>
          </w:tcPr>
          <w:p w14:paraId="03020555" w14:textId="77777777" w:rsidR="00A720EB" w:rsidRDefault="00E10349">
            <w:pPr>
              <w:pStyle w:val="TableParagraph"/>
              <w:spacing w:before="92"/>
              <w:ind w:left="59"/>
              <w:rPr>
                <w:rFonts w:ascii="Cambria"/>
                <w:sz w:val="21"/>
              </w:rPr>
            </w:pPr>
            <w:hyperlink r:id="rId908">
              <w:r w:rsidR="0030286B">
                <w:rPr>
                  <w:rFonts w:ascii="Cambria"/>
                  <w:color w:val="418BCA"/>
                  <w:w w:val="115"/>
                  <w:sz w:val="21"/>
                </w:rPr>
                <w:t>javadoc</w:t>
              </w:r>
            </w:hyperlink>
          </w:p>
        </w:tc>
      </w:tr>
      <w:tr w:rsidR="00A720EB" w14:paraId="5691C85E" w14:textId="77777777">
        <w:trPr>
          <w:trHeight w:val="425"/>
        </w:trPr>
        <w:tc>
          <w:tcPr>
            <w:tcW w:w="7981" w:type="dxa"/>
          </w:tcPr>
          <w:p w14:paraId="4CE92CA2" w14:textId="77777777" w:rsidR="00A720EB" w:rsidRDefault="00E10349">
            <w:pPr>
              <w:pStyle w:val="TableParagraph"/>
              <w:spacing w:before="37"/>
              <w:rPr>
                <w:sz w:val="21"/>
              </w:rPr>
            </w:pPr>
            <w:hyperlink r:id="rId909">
              <w:r w:rsidR="0030286B">
                <w:rPr>
                  <w:color w:val="B02045"/>
                  <w:sz w:val="21"/>
                </w:rPr>
                <w:t>TaskSchedulingAutoConfiguration</w:t>
              </w:r>
            </w:hyperlink>
          </w:p>
        </w:tc>
        <w:tc>
          <w:tcPr>
            <w:tcW w:w="1995" w:type="dxa"/>
          </w:tcPr>
          <w:p w14:paraId="28621A25" w14:textId="77777777" w:rsidR="00A720EB" w:rsidRDefault="00E10349">
            <w:pPr>
              <w:pStyle w:val="TableParagraph"/>
              <w:spacing w:before="92"/>
              <w:ind w:left="59"/>
              <w:rPr>
                <w:rFonts w:ascii="Cambria"/>
                <w:sz w:val="21"/>
              </w:rPr>
            </w:pPr>
            <w:hyperlink r:id="rId910">
              <w:r w:rsidR="0030286B">
                <w:rPr>
                  <w:rFonts w:ascii="Cambria"/>
                  <w:color w:val="418BCA"/>
                  <w:w w:val="115"/>
                  <w:sz w:val="21"/>
                </w:rPr>
                <w:t>javadoc</w:t>
              </w:r>
            </w:hyperlink>
          </w:p>
        </w:tc>
      </w:tr>
      <w:tr w:rsidR="00A720EB" w14:paraId="373C57A8" w14:textId="77777777">
        <w:trPr>
          <w:trHeight w:val="425"/>
        </w:trPr>
        <w:tc>
          <w:tcPr>
            <w:tcW w:w="7981" w:type="dxa"/>
          </w:tcPr>
          <w:p w14:paraId="31C0B091" w14:textId="77777777" w:rsidR="00A720EB" w:rsidRDefault="00E10349">
            <w:pPr>
              <w:pStyle w:val="TableParagraph"/>
              <w:spacing w:before="37"/>
              <w:rPr>
                <w:sz w:val="21"/>
              </w:rPr>
            </w:pPr>
            <w:hyperlink r:id="rId911">
              <w:r w:rsidR="0030286B">
                <w:rPr>
                  <w:color w:val="B02045"/>
                  <w:sz w:val="21"/>
                </w:rPr>
                <w:t>ThymeleafAutoConfiguration</w:t>
              </w:r>
            </w:hyperlink>
          </w:p>
        </w:tc>
        <w:tc>
          <w:tcPr>
            <w:tcW w:w="1995" w:type="dxa"/>
          </w:tcPr>
          <w:p w14:paraId="48426C2A" w14:textId="77777777" w:rsidR="00A720EB" w:rsidRDefault="00E10349">
            <w:pPr>
              <w:pStyle w:val="TableParagraph"/>
              <w:spacing w:before="92"/>
              <w:ind w:left="59"/>
              <w:rPr>
                <w:rFonts w:ascii="Cambria"/>
                <w:sz w:val="21"/>
              </w:rPr>
            </w:pPr>
            <w:hyperlink r:id="rId912">
              <w:r w:rsidR="0030286B">
                <w:rPr>
                  <w:rFonts w:ascii="Cambria"/>
                  <w:color w:val="418BCA"/>
                  <w:w w:val="115"/>
                  <w:sz w:val="21"/>
                </w:rPr>
                <w:t>javadoc</w:t>
              </w:r>
            </w:hyperlink>
          </w:p>
        </w:tc>
      </w:tr>
      <w:tr w:rsidR="00A720EB" w14:paraId="2A422F8B" w14:textId="77777777">
        <w:trPr>
          <w:trHeight w:val="425"/>
        </w:trPr>
        <w:tc>
          <w:tcPr>
            <w:tcW w:w="7981" w:type="dxa"/>
          </w:tcPr>
          <w:p w14:paraId="20FB9E0D" w14:textId="77777777" w:rsidR="00A720EB" w:rsidRDefault="00E10349">
            <w:pPr>
              <w:pStyle w:val="TableParagraph"/>
              <w:spacing w:before="37"/>
              <w:rPr>
                <w:sz w:val="21"/>
              </w:rPr>
            </w:pPr>
            <w:hyperlink r:id="rId913">
              <w:r w:rsidR="0030286B">
                <w:rPr>
                  <w:color w:val="B02045"/>
                  <w:sz w:val="21"/>
                </w:rPr>
                <w:t>TransactionAutoConfiguration</w:t>
              </w:r>
            </w:hyperlink>
          </w:p>
        </w:tc>
        <w:tc>
          <w:tcPr>
            <w:tcW w:w="1995" w:type="dxa"/>
          </w:tcPr>
          <w:p w14:paraId="6FEB2047" w14:textId="77777777" w:rsidR="00A720EB" w:rsidRDefault="00E10349">
            <w:pPr>
              <w:pStyle w:val="TableParagraph"/>
              <w:spacing w:before="92"/>
              <w:ind w:left="59"/>
              <w:rPr>
                <w:rFonts w:ascii="Cambria"/>
                <w:sz w:val="21"/>
              </w:rPr>
            </w:pPr>
            <w:hyperlink r:id="rId914">
              <w:r w:rsidR="0030286B">
                <w:rPr>
                  <w:rFonts w:ascii="Cambria"/>
                  <w:color w:val="418BCA"/>
                  <w:w w:val="115"/>
                  <w:sz w:val="21"/>
                </w:rPr>
                <w:t>javadoc</w:t>
              </w:r>
            </w:hyperlink>
          </w:p>
        </w:tc>
      </w:tr>
      <w:tr w:rsidR="00A720EB" w14:paraId="45F01402" w14:textId="77777777">
        <w:trPr>
          <w:trHeight w:val="425"/>
        </w:trPr>
        <w:tc>
          <w:tcPr>
            <w:tcW w:w="7981" w:type="dxa"/>
          </w:tcPr>
          <w:p w14:paraId="4826A2C4" w14:textId="77777777" w:rsidR="00A720EB" w:rsidRDefault="00E10349">
            <w:pPr>
              <w:pStyle w:val="TableParagraph"/>
              <w:spacing w:before="37"/>
              <w:rPr>
                <w:sz w:val="21"/>
              </w:rPr>
            </w:pPr>
            <w:hyperlink r:id="rId915">
              <w:r w:rsidR="0030286B">
                <w:rPr>
                  <w:color w:val="B02045"/>
                  <w:sz w:val="21"/>
                </w:rPr>
                <w:t>UserDetailsServiceAutoConfiguration</w:t>
              </w:r>
            </w:hyperlink>
          </w:p>
        </w:tc>
        <w:tc>
          <w:tcPr>
            <w:tcW w:w="1995" w:type="dxa"/>
          </w:tcPr>
          <w:p w14:paraId="0D3F06AF" w14:textId="77777777" w:rsidR="00A720EB" w:rsidRDefault="00E10349">
            <w:pPr>
              <w:pStyle w:val="TableParagraph"/>
              <w:spacing w:before="92"/>
              <w:ind w:left="59"/>
              <w:rPr>
                <w:rFonts w:ascii="Cambria"/>
                <w:sz w:val="21"/>
              </w:rPr>
            </w:pPr>
            <w:hyperlink r:id="rId916">
              <w:r w:rsidR="0030286B">
                <w:rPr>
                  <w:rFonts w:ascii="Cambria"/>
                  <w:color w:val="418BCA"/>
                  <w:w w:val="115"/>
                  <w:sz w:val="21"/>
                </w:rPr>
                <w:t>javadoc</w:t>
              </w:r>
            </w:hyperlink>
          </w:p>
        </w:tc>
      </w:tr>
      <w:tr w:rsidR="00A720EB" w14:paraId="7AB177CA" w14:textId="77777777">
        <w:trPr>
          <w:trHeight w:val="425"/>
        </w:trPr>
        <w:tc>
          <w:tcPr>
            <w:tcW w:w="7981" w:type="dxa"/>
          </w:tcPr>
          <w:p w14:paraId="263C5F8E" w14:textId="77777777" w:rsidR="00A720EB" w:rsidRDefault="00E10349">
            <w:pPr>
              <w:pStyle w:val="TableParagraph"/>
              <w:spacing w:before="37"/>
              <w:rPr>
                <w:sz w:val="21"/>
              </w:rPr>
            </w:pPr>
            <w:hyperlink r:id="rId917">
              <w:r w:rsidR="0030286B">
                <w:rPr>
                  <w:color w:val="B02045"/>
                  <w:sz w:val="21"/>
                </w:rPr>
                <w:t>ValidationAutoConfiguration</w:t>
              </w:r>
            </w:hyperlink>
          </w:p>
        </w:tc>
        <w:tc>
          <w:tcPr>
            <w:tcW w:w="1995" w:type="dxa"/>
          </w:tcPr>
          <w:p w14:paraId="752A815B" w14:textId="77777777" w:rsidR="00A720EB" w:rsidRDefault="00E10349">
            <w:pPr>
              <w:pStyle w:val="TableParagraph"/>
              <w:spacing w:before="92"/>
              <w:ind w:left="59"/>
              <w:rPr>
                <w:rFonts w:ascii="Cambria"/>
                <w:sz w:val="21"/>
              </w:rPr>
            </w:pPr>
            <w:hyperlink r:id="rId918">
              <w:r w:rsidR="0030286B">
                <w:rPr>
                  <w:rFonts w:ascii="Cambria"/>
                  <w:color w:val="418BCA"/>
                  <w:w w:val="115"/>
                  <w:sz w:val="21"/>
                </w:rPr>
                <w:t>javadoc</w:t>
              </w:r>
            </w:hyperlink>
          </w:p>
        </w:tc>
      </w:tr>
      <w:tr w:rsidR="00A720EB" w14:paraId="2AF261A6" w14:textId="77777777">
        <w:trPr>
          <w:trHeight w:val="425"/>
        </w:trPr>
        <w:tc>
          <w:tcPr>
            <w:tcW w:w="7981" w:type="dxa"/>
          </w:tcPr>
          <w:p w14:paraId="054D8AC7" w14:textId="77777777" w:rsidR="00A720EB" w:rsidRDefault="00E10349">
            <w:pPr>
              <w:pStyle w:val="TableParagraph"/>
              <w:spacing w:before="37"/>
              <w:rPr>
                <w:sz w:val="21"/>
              </w:rPr>
            </w:pPr>
            <w:hyperlink r:id="rId919">
              <w:r w:rsidR="0030286B">
                <w:rPr>
                  <w:color w:val="B02045"/>
                  <w:sz w:val="21"/>
                </w:rPr>
                <w:t>WebClientAutoConfiguration</w:t>
              </w:r>
            </w:hyperlink>
          </w:p>
        </w:tc>
        <w:tc>
          <w:tcPr>
            <w:tcW w:w="1995" w:type="dxa"/>
          </w:tcPr>
          <w:p w14:paraId="0AD1BAA7" w14:textId="77777777" w:rsidR="00A720EB" w:rsidRDefault="00E10349">
            <w:pPr>
              <w:pStyle w:val="TableParagraph"/>
              <w:spacing w:before="92"/>
              <w:ind w:left="59"/>
              <w:rPr>
                <w:rFonts w:ascii="Cambria"/>
                <w:sz w:val="21"/>
              </w:rPr>
            </w:pPr>
            <w:hyperlink r:id="rId920">
              <w:r w:rsidR="0030286B">
                <w:rPr>
                  <w:rFonts w:ascii="Cambria"/>
                  <w:color w:val="418BCA"/>
                  <w:w w:val="115"/>
                  <w:sz w:val="21"/>
                </w:rPr>
                <w:t>javadoc</w:t>
              </w:r>
            </w:hyperlink>
          </w:p>
        </w:tc>
      </w:tr>
      <w:tr w:rsidR="00A720EB" w14:paraId="29728A85" w14:textId="77777777">
        <w:trPr>
          <w:trHeight w:val="425"/>
        </w:trPr>
        <w:tc>
          <w:tcPr>
            <w:tcW w:w="7981" w:type="dxa"/>
          </w:tcPr>
          <w:p w14:paraId="2F98F400" w14:textId="77777777" w:rsidR="00A720EB" w:rsidRDefault="00E10349">
            <w:pPr>
              <w:pStyle w:val="TableParagraph"/>
              <w:spacing w:before="37"/>
              <w:rPr>
                <w:sz w:val="21"/>
              </w:rPr>
            </w:pPr>
            <w:hyperlink r:id="rId921">
              <w:r w:rsidR="0030286B">
                <w:rPr>
                  <w:color w:val="B02045"/>
                  <w:sz w:val="21"/>
                </w:rPr>
                <w:t>WebFluxAutoConfiguration</w:t>
              </w:r>
            </w:hyperlink>
          </w:p>
        </w:tc>
        <w:tc>
          <w:tcPr>
            <w:tcW w:w="1995" w:type="dxa"/>
          </w:tcPr>
          <w:p w14:paraId="19D55D8C" w14:textId="77777777" w:rsidR="00A720EB" w:rsidRDefault="00E10349">
            <w:pPr>
              <w:pStyle w:val="TableParagraph"/>
              <w:spacing w:before="92"/>
              <w:ind w:left="59"/>
              <w:rPr>
                <w:rFonts w:ascii="Cambria"/>
                <w:sz w:val="21"/>
              </w:rPr>
            </w:pPr>
            <w:hyperlink r:id="rId922">
              <w:r w:rsidR="0030286B">
                <w:rPr>
                  <w:rFonts w:ascii="Cambria"/>
                  <w:color w:val="418BCA"/>
                  <w:w w:val="115"/>
                  <w:sz w:val="21"/>
                </w:rPr>
                <w:t>javadoc</w:t>
              </w:r>
            </w:hyperlink>
          </w:p>
        </w:tc>
      </w:tr>
      <w:tr w:rsidR="00A720EB" w14:paraId="42D6F430" w14:textId="77777777">
        <w:trPr>
          <w:trHeight w:val="425"/>
        </w:trPr>
        <w:tc>
          <w:tcPr>
            <w:tcW w:w="7981" w:type="dxa"/>
          </w:tcPr>
          <w:p w14:paraId="2A38CECF" w14:textId="77777777" w:rsidR="00A720EB" w:rsidRDefault="00E10349">
            <w:pPr>
              <w:pStyle w:val="TableParagraph"/>
              <w:spacing w:before="37"/>
              <w:rPr>
                <w:sz w:val="21"/>
              </w:rPr>
            </w:pPr>
            <w:hyperlink r:id="rId923">
              <w:r w:rsidR="0030286B">
                <w:rPr>
                  <w:color w:val="B02045"/>
                  <w:sz w:val="21"/>
                </w:rPr>
                <w:t>WebMvcAutoConfiguration</w:t>
              </w:r>
            </w:hyperlink>
          </w:p>
        </w:tc>
        <w:tc>
          <w:tcPr>
            <w:tcW w:w="1995" w:type="dxa"/>
          </w:tcPr>
          <w:p w14:paraId="6062A168" w14:textId="77777777" w:rsidR="00A720EB" w:rsidRDefault="00E10349">
            <w:pPr>
              <w:pStyle w:val="TableParagraph"/>
              <w:spacing w:before="92"/>
              <w:ind w:left="59"/>
              <w:rPr>
                <w:rFonts w:ascii="Cambria"/>
                <w:sz w:val="21"/>
              </w:rPr>
            </w:pPr>
            <w:hyperlink r:id="rId924">
              <w:r w:rsidR="0030286B">
                <w:rPr>
                  <w:rFonts w:ascii="Cambria"/>
                  <w:color w:val="418BCA"/>
                  <w:w w:val="115"/>
                  <w:sz w:val="21"/>
                </w:rPr>
                <w:t>javadoc</w:t>
              </w:r>
            </w:hyperlink>
          </w:p>
        </w:tc>
      </w:tr>
      <w:tr w:rsidR="00A720EB" w14:paraId="5564B72F" w14:textId="77777777">
        <w:trPr>
          <w:trHeight w:val="425"/>
        </w:trPr>
        <w:tc>
          <w:tcPr>
            <w:tcW w:w="7981" w:type="dxa"/>
          </w:tcPr>
          <w:p w14:paraId="4B62B45F" w14:textId="77777777" w:rsidR="00A720EB" w:rsidRDefault="00E10349">
            <w:pPr>
              <w:pStyle w:val="TableParagraph"/>
              <w:spacing w:before="37"/>
              <w:rPr>
                <w:sz w:val="21"/>
              </w:rPr>
            </w:pPr>
            <w:hyperlink r:id="rId925">
              <w:r w:rsidR="0030286B">
                <w:rPr>
                  <w:color w:val="B02045"/>
                  <w:sz w:val="21"/>
                </w:rPr>
                <w:t>WebServiceTemplateAutoConfiguration</w:t>
              </w:r>
            </w:hyperlink>
          </w:p>
        </w:tc>
        <w:tc>
          <w:tcPr>
            <w:tcW w:w="1995" w:type="dxa"/>
          </w:tcPr>
          <w:p w14:paraId="24AE7FAC" w14:textId="77777777" w:rsidR="00A720EB" w:rsidRDefault="00E10349">
            <w:pPr>
              <w:pStyle w:val="TableParagraph"/>
              <w:spacing w:before="92"/>
              <w:ind w:left="59"/>
              <w:rPr>
                <w:rFonts w:ascii="Cambria"/>
                <w:sz w:val="21"/>
              </w:rPr>
            </w:pPr>
            <w:hyperlink r:id="rId926">
              <w:r w:rsidR="0030286B">
                <w:rPr>
                  <w:rFonts w:ascii="Cambria"/>
                  <w:color w:val="418BCA"/>
                  <w:w w:val="115"/>
                  <w:sz w:val="21"/>
                </w:rPr>
                <w:t>javadoc</w:t>
              </w:r>
            </w:hyperlink>
          </w:p>
        </w:tc>
      </w:tr>
      <w:tr w:rsidR="00A720EB" w14:paraId="04DC2361" w14:textId="77777777">
        <w:trPr>
          <w:trHeight w:val="425"/>
        </w:trPr>
        <w:tc>
          <w:tcPr>
            <w:tcW w:w="7981" w:type="dxa"/>
          </w:tcPr>
          <w:p w14:paraId="13D46DC7" w14:textId="77777777" w:rsidR="00A720EB" w:rsidRDefault="00E10349">
            <w:pPr>
              <w:pStyle w:val="TableParagraph"/>
              <w:spacing w:before="37"/>
              <w:rPr>
                <w:sz w:val="21"/>
              </w:rPr>
            </w:pPr>
            <w:hyperlink r:id="rId927">
              <w:r w:rsidR="0030286B">
                <w:rPr>
                  <w:color w:val="B02045"/>
                  <w:sz w:val="21"/>
                </w:rPr>
                <w:t>WebServicesAutoConfiguration</w:t>
              </w:r>
            </w:hyperlink>
          </w:p>
        </w:tc>
        <w:tc>
          <w:tcPr>
            <w:tcW w:w="1995" w:type="dxa"/>
          </w:tcPr>
          <w:p w14:paraId="57842DC1" w14:textId="77777777" w:rsidR="00A720EB" w:rsidRDefault="00E10349">
            <w:pPr>
              <w:pStyle w:val="TableParagraph"/>
              <w:spacing w:before="92"/>
              <w:ind w:left="59"/>
              <w:rPr>
                <w:rFonts w:ascii="Cambria"/>
                <w:sz w:val="21"/>
              </w:rPr>
            </w:pPr>
            <w:hyperlink r:id="rId928">
              <w:r w:rsidR="0030286B">
                <w:rPr>
                  <w:rFonts w:ascii="Cambria"/>
                  <w:color w:val="418BCA"/>
                  <w:w w:val="115"/>
                  <w:sz w:val="21"/>
                </w:rPr>
                <w:t>javadoc</w:t>
              </w:r>
            </w:hyperlink>
          </w:p>
        </w:tc>
      </w:tr>
      <w:tr w:rsidR="00A720EB" w14:paraId="1C5AF255" w14:textId="77777777">
        <w:trPr>
          <w:trHeight w:val="425"/>
        </w:trPr>
        <w:tc>
          <w:tcPr>
            <w:tcW w:w="7981" w:type="dxa"/>
          </w:tcPr>
          <w:p w14:paraId="0C45E0B0" w14:textId="77777777" w:rsidR="00A720EB" w:rsidRDefault="00E10349">
            <w:pPr>
              <w:pStyle w:val="TableParagraph"/>
              <w:spacing w:before="37"/>
              <w:rPr>
                <w:sz w:val="21"/>
              </w:rPr>
            </w:pPr>
            <w:hyperlink r:id="rId929">
              <w:r w:rsidR="0030286B">
                <w:rPr>
                  <w:color w:val="B02045"/>
                  <w:sz w:val="21"/>
                </w:rPr>
                <w:t>WebSocketMessagingAutoConfiguration</w:t>
              </w:r>
            </w:hyperlink>
          </w:p>
        </w:tc>
        <w:tc>
          <w:tcPr>
            <w:tcW w:w="1995" w:type="dxa"/>
          </w:tcPr>
          <w:p w14:paraId="6FC96600" w14:textId="77777777" w:rsidR="00A720EB" w:rsidRDefault="00E10349">
            <w:pPr>
              <w:pStyle w:val="TableParagraph"/>
              <w:spacing w:before="92"/>
              <w:ind w:left="59"/>
              <w:rPr>
                <w:rFonts w:ascii="Cambria"/>
                <w:sz w:val="21"/>
              </w:rPr>
            </w:pPr>
            <w:hyperlink r:id="rId930">
              <w:r w:rsidR="0030286B">
                <w:rPr>
                  <w:rFonts w:ascii="Cambria"/>
                  <w:color w:val="418BCA"/>
                  <w:w w:val="115"/>
                  <w:sz w:val="21"/>
                </w:rPr>
                <w:t>javadoc</w:t>
              </w:r>
            </w:hyperlink>
          </w:p>
        </w:tc>
      </w:tr>
      <w:tr w:rsidR="00A720EB" w14:paraId="4F4B0114" w14:textId="77777777">
        <w:trPr>
          <w:trHeight w:val="425"/>
        </w:trPr>
        <w:tc>
          <w:tcPr>
            <w:tcW w:w="7981" w:type="dxa"/>
          </w:tcPr>
          <w:p w14:paraId="680F62BF" w14:textId="77777777" w:rsidR="00A720EB" w:rsidRDefault="00E10349">
            <w:pPr>
              <w:pStyle w:val="TableParagraph"/>
              <w:spacing w:before="37"/>
              <w:rPr>
                <w:sz w:val="21"/>
              </w:rPr>
            </w:pPr>
            <w:hyperlink r:id="rId931">
              <w:r w:rsidR="0030286B">
                <w:rPr>
                  <w:color w:val="B02045"/>
                  <w:sz w:val="21"/>
                </w:rPr>
                <w:t>WebSocketReactiveAutoConfiguration</w:t>
              </w:r>
            </w:hyperlink>
          </w:p>
        </w:tc>
        <w:tc>
          <w:tcPr>
            <w:tcW w:w="1995" w:type="dxa"/>
          </w:tcPr>
          <w:p w14:paraId="314C183F" w14:textId="77777777" w:rsidR="00A720EB" w:rsidRDefault="00E10349">
            <w:pPr>
              <w:pStyle w:val="TableParagraph"/>
              <w:spacing w:before="92"/>
              <w:ind w:left="59"/>
              <w:rPr>
                <w:rFonts w:ascii="Cambria"/>
                <w:sz w:val="21"/>
              </w:rPr>
            </w:pPr>
            <w:hyperlink r:id="rId932">
              <w:r w:rsidR="0030286B">
                <w:rPr>
                  <w:rFonts w:ascii="Cambria"/>
                  <w:color w:val="418BCA"/>
                  <w:w w:val="115"/>
                  <w:sz w:val="21"/>
                </w:rPr>
                <w:t>javadoc</w:t>
              </w:r>
            </w:hyperlink>
          </w:p>
        </w:tc>
      </w:tr>
      <w:tr w:rsidR="00A720EB" w14:paraId="2B84B4C6" w14:textId="77777777">
        <w:trPr>
          <w:trHeight w:val="425"/>
        </w:trPr>
        <w:tc>
          <w:tcPr>
            <w:tcW w:w="7981" w:type="dxa"/>
          </w:tcPr>
          <w:p w14:paraId="0B752E17" w14:textId="77777777" w:rsidR="00A720EB" w:rsidRDefault="00E10349">
            <w:pPr>
              <w:pStyle w:val="TableParagraph"/>
              <w:spacing w:before="37"/>
              <w:rPr>
                <w:sz w:val="21"/>
              </w:rPr>
            </w:pPr>
            <w:hyperlink r:id="rId933">
              <w:r w:rsidR="0030286B">
                <w:rPr>
                  <w:color w:val="B02045"/>
                  <w:sz w:val="21"/>
                </w:rPr>
                <w:t>WebSocketServletAutoConfiguration</w:t>
              </w:r>
            </w:hyperlink>
          </w:p>
        </w:tc>
        <w:tc>
          <w:tcPr>
            <w:tcW w:w="1995" w:type="dxa"/>
          </w:tcPr>
          <w:p w14:paraId="2975E952" w14:textId="77777777" w:rsidR="00A720EB" w:rsidRDefault="00E10349">
            <w:pPr>
              <w:pStyle w:val="TableParagraph"/>
              <w:spacing w:before="92"/>
              <w:ind w:left="59"/>
              <w:rPr>
                <w:rFonts w:ascii="Cambria"/>
                <w:sz w:val="21"/>
              </w:rPr>
            </w:pPr>
            <w:hyperlink r:id="rId934">
              <w:r w:rsidR="0030286B">
                <w:rPr>
                  <w:rFonts w:ascii="Cambria"/>
                  <w:color w:val="418BCA"/>
                  <w:w w:val="115"/>
                  <w:sz w:val="21"/>
                </w:rPr>
                <w:t>javadoc</w:t>
              </w:r>
            </w:hyperlink>
          </w:p>
        </w:tc>
      </w:tr>
      <w:tr w:rsidR="00A720EB" w14:paraId="6B36E902" w14:textId="77777777">
        <w:trPr>
          <w:trHeight w:val="425"/>
        </w:trPr>
        <w:tc>
          <w:tcPr>
            <w:tcW w:w="7981" w:type="dxa"/>
          </w:tcPr>
          <w:p w14:paraId="1D17DC6F" w14:textId="77777777" w:rsidR="00A720EB" w:rsidRDefault="00E10349">
            <w:pPr>
              <w:pStyle w:val="TableParagraph"/>
              <w:spacing w:before="37"/>
              <w:rPr>
                <w:sz w:val="21"/>
              </w:rPr>
            </w:pPr>
            <w:hyperlink r:id="rId935">
              <w:r w:rsidR="0030286B">
                <w:rPr>
                  <w:color w:val="B02045"/>
                  <w:sz w:val="21"/>
                </w:rPr>
                <w:t>XADataSourceAutoConfiguration</w:t>
              </w:r>
            </w:hyperlink>
          </w:p>
        </w:tc>
        <w:tc>
          <w:tcPr>
            <w:tcW w:w="1995" w:type="dxa"/>
          </w:tcPr>
          <w:p w14:paraId="37705342" w14:textId="77777777" w:rsidR="00A720EB" w:rsidRDefault="00E10349">
            <w:pPr>
              <w:pStyle w:val="TableParagraph"/>
              <w:spacing w:before="92"/>
              <w:ind w:left="59"/>
              <w:rPr>
                <w:rFonts w:ascii="Cambria"/>
                <w:sz w:val="21"/>
              </w:rPr>
            </w:pPr>
            <w:hyperlink r:id="rId936">
              <w:r w:rsidR="0030286B">
                <w:rPr>
                  <w:rFonts w:ascii="Cambria"/>
                  <w:color w:val="418BCA"/>
                  <w:w w:val="115"/>
                  <w:sz w:val="21"/>
                </w:rPr>
                <w:t>javadoc</w:t>
              </w:r>
            </w:hyperlink>
          </w:p>
        </w:tc>
      </w:tr>
    </w:tbl>
    <w:p w14:paraId="3495F05B" w14:textId="77777777" w:rsidR="00A720EB" w:rsidRDefault="00A720EB">
      <w:pPr>
        <w:rPr>
          <w:sz w:val="21"/>
        </w:rPr>
        <w:sectPr w:rsidR="00A720EB">
          <w:pgSz w:w="11910" w:h="16840"/>
          <w:pgMar w:top="700" w:right="840" w:bottom="380" w:left="840" w:header="0" w:footer="198" w:gutter="0"/>
          <w:cols w:space="720"/>
        </w:sectPr>
      </w:pPr>
    </w:p>
    <w:p w14:paraId="7732ABFF" w14:textId="77777777" w:rsidR="00A720EB" w:rsidRDefault="0030286B">
      <w:pPr>
        <w:pStyle w:val="3"/>
        <w:numPr>
          <w:ilvl w:val="2"/>
          <w:numId w:val="6"/>
        </w:numPr>
        <w:tabs>
          <w:tab w:val="left" w:pos="1031"/>
        </w:tabs>
        <w:spacing w:before="87"/>
      </w:pPr>
      <w:bookmarkStart w:id="1076" w:name="10.C.2._spring-boot-actuator-autoconfigu"/>
      <w:bookmarkStart w:id="1077" w:name="_Toc54424051"/>
      <w:bookmarkEnd w:id="1076"/>
      <w:r>
        <w:rPr>
          <w:color w:val="333333"/>
          <w:w w:val="110"/>
        </w:rPr>
        <w:lastRenderedPageBreak/>
        <w:t>spring-boot-actuator-autoconfigure</w:t>
      </w:r>
      <w:bookmarkEnd w:id="1077"/>
    </w:p>
    <w:p w14:paraId="6DFD46C7" w14:textId="77777777" w:rsidR="00A720EB" w:rsidRDefault="0030286B">
      <w:pPr>
        <w:pStyle w:val="a3"/>
        <w:spacing w:before="243"/>
        <w:ind w:left="124"/>
      </w:pPr>
      <w:r>
        <w:rPr>
          <w:color w:val="333333"/>
          <w:w w:val="110"/>
        </w:rPr>
        <w:t xml:space="preserve">The following auto-configuration classes are from the </w:t>
      </w:r>
      <w:r>
        <w:rPr>
          <w:rFonts w:ascii="MS Gothic"/>
          <w:color w:val="B02045"/>
          <w:w w:val="110"/>
        </w:rPr>
        <w:t>spring-boot-actuator-autoconfigure</w:t>
      </w:r>
      <w:r>
        <w:rPr>
          <w:rFonts w:ascii="MS Gothic"/>
          <w:color w:val="B02045"/>
          <w:spacing w:val="-86"/>
          <w:w w:val="110"/>
        </w:rPr>
        <w:t xml:space="preserve"> </w:t>
      </w:r>
      <w:r>
        <w:rPr>
          <w:color w:val="333333"/>
          <w:w w:val="110"/>
        </w:rPr>
        <w:t>module:</w:t>
      </w:r>
    </w:p>
    <w:p w14:paraId="289124EC" w14:textId="77777777" w:rsidR="00A720EB" w:rsidRDefault="00A720EB">
      <w:pPr>
        <w:pStyle w:val="a3"/>
        <w:spacing w:before="6"/>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981"/>
        <w:gridCol w:w="1995"/>
      </w:tblGrid>
      <w:tr w:rsidR="00A720EB" w14:paraId="68A6D55A" w14:textId="77777777">
        <w:trPr>
          <w:trHeight w:val="415"/>
        </w:trPr>
        <w:tc>
          <w:tcPr>
            <w:tcW w:w="7981" w:type="dxa"/>
            <w:tcBorders>
              <w:bottom w:val="single" w:sz="12" w:space="0" w:color="DDDDDD"/>
            </w:tcBorders>
          </w:tcPr>
          <w:p w14:paraId="63424979" w14:textId="77777777" w:rsidR="00A720EB" w:rsidRDefault="0030286B">
            <w:pPr>
              <w:pStyle w:val="TableParagraph"/>
              <w:spacing w:before="74"/>
              <w:rPr>
                <w:rFonts w:ascii="Palatino Linotype"/>
                <w:b/>
                <w:sz w:val="21"/>
              </w:rPr>
            </w:pPr>
            <w:r>
              <w:rPr>
                <w:rFonts w:ascii="Palatino Linotype"/>
                <w:b/>
                <w:color w:val="333333"/>
                <w:w w:val="110"/>
                <w:sz w:val="21"/>
              </w:rPr>
              <w:t>Configuration Class</w:t>
            </w:r>
          </w:p>
        </w:tc>
        <w:tc>
          <w:tcPr>
            <w:tcW w:w="1995" w:type="dxa"/>
            <w:tcBorders>
              <w:bottom w:val="single" w:sz="12" w:space="0" w:color="DDDDDD"/>
            </w:tcBorders>
          </w:tcPr>
          <w:p w14:paraId="01099BB3" w14:textId="77777777" w:rsidR="00A720EB" w:rsidRDefault="0030286B">
            <w:pPr>
              <w:pStyle w:val="TableParagraph"/>
              <w:spacing w:before="74"/>
              <w:ind w:left="59"/>
              <w:rPr>
                <w:rFonts w:ascii="Palatino Linotype"/>
                <w:b/>
                <w:sz w:val="21"/>
              </w:rPr>
            </w:pPr>
            <w:r>
              <w:rPr>
                <w:rFonts w:ascii="Palatino Linotype"/>
                <w:b/>
                <w:color w:val="333333"/>
                <w:w w:val="105"/>
                <w:sz w:val="21"/>
              </w:rPr>
              <w:t>Links</w:t>
            </w:r>
          </w:p>
        </w:tc>
      </w:tr>
      <w:tr w:rsidR="00A720EB" w14:paraId="38AE5AEE" w14:textId="77777777">
        <w:trPr>
          <w:trHeight w:val="415"/>
        </w:trPr>
        <w:tc>
          <w:tcPr>
            <w:tcW w:w="7981" w:type="dxa"/>
            <w:tcBorders>
              <w:top w:val="single" w:sz="12" w:space="0" w:color="DDDDDD"/>
            </w:tcBorders>
          </w:tcPr>
          <w:p w14:paraId="6353C7CB" w14:textId="77777777" w:rsidR="00A720EB" w:rsidRDefault="00E10349">
            <w:pPr>
              <w:pStyle w:val="TableParagraph"/>
              <w:spacing w:before="30"/>
              <w:rPr>
                <w:sz w:val="21"/>
              </w:rPr>
            </w:pPr>
            <w:hyperlink r:id="rId937">
              <w:r w:rsidR="0030286B">
                <w:rPr>
                  <w:color w:val="B02045"/>
                  <w:sz w:val="21"/>
                </w:rPr>
                <w:t>AppOpticsMetricsExportAutoConfiguration</w:t>
              </w:r>
            </w:hyperlink>
          </w:p>
        </w:tc>
        <w:tc>
          <w:tcPr>
            <w:tcW w:w="1995" w:type="dxa"/>
            <w:tcBorders>
              <w:top w:val="single" w:sz="12" w:space="0" w:color="DDDDDD"/>
            </w:tcBorders>
          </w:tcPr>
          <w:p w14:paraId="2024A3D8" w14:textId="77777777" w:rsidR="00A720EB" w:rsidRDefault="00E10349">
            <w:pPr>
              <w:pStyle w:val="TableParagraph"/>
              <w:spacing w:before="84"/>
              <w:ind w:left="59"/>
              <w:rPr>
                <w:rFonts w:ascii="Cambria"/>
                <w:sz w:val="21"/>
              </w:rPr>
            </w:pPr>
            <w:hyperlink r:id="rId938">
              <w:r w:rsidR="0030286B">
                <w:rPr>
                  <w:rFonts w:ascii="Cambria"/>
                  <w:color w:val="418BCA"/>
                  <w:w w:val="115"/>
                  <w:sz w:val="21"/>
                </w:rPr>
                <w:t>javadoc</w:t>
              </w:r>
            </w:hyperlink>
          </w:p>
        </w:tc>
      </w:tr>
      <w:tr w:rsidR="00A720EB" w14:paraId="2992E8FE" w14:textId="77777777">
        <w:trPr>
          <w:trHeight w:val="425"/>
        </w:trPr>
        <w:tc>
          <w:tcPr>
            <w:tcW w:w="7981" w:type="dxa"/>
          </w:tcPr>
          <w:p w14:paraId="13E31E8D" w14:textId="77777777" w:rsidR="00A720EB" w:rsidRDefault="00E10349">
            <w:pPr>
              <w:pStyle w:val="TableParagraph"/>
              <w:spacing w:before="40"/>
              <w:rPr>
                <w:sz w:val="21"/>
              </w:rPr>
            </w:pPr>
            <w:hyperlink r:id="rId939">
              <w:r w:rsidR="0030286B">
                <w:rPr>
                  <w:color w:val="B02045"/>
                  <w:sz w:val="21"/>
                </w:rPr>
                <w:t>AtlasMetricsExportAutoConfiguration</w:t>
              </w:r>
            </w:hyperlink>
          </w:p>
        </w:tc>
        <w:tc>
          <w:tcPr>
            <w:tcW w:w="1995" w:type="dxa"/>
          </w:tcPr>
          <w:p w14:paraId="0B17C2A5" w14:textId="77777777" w:rsidR="00A720EB" w:rsidRDefault="00E10349">
            <w:pPr>
              <w:pStyle w:val="TableParagraph"/>
              <w:spacing w:before="94"/>
              <w:ind w:left="59"/>
              <w:rPr>
                <w:rFonts w:ascii="Cambria"/>
                <w:sz w:val="21"/>
              </w:rPr>
            </w:pPr>
            <w:hyperlink r:id="rId940">
              <w:r w:rsidR="0030286B">
                <w:rPr>
                  <w:rFonts w:ascii="Cambria"/>
                  <w:color w:val="418BCA"/>
                  <w:w w:val="115"/>
                  <w:sz w:val="21"/>
                </w:rPr>
                <w:t>javadoc</w:t>
              </w:r>
            </w:hyperlink>
          </w:p>
        </w:tc>
      </w:tr>
      <w:tr w:rsidR="00A720EB" w14:paraId="714AECF2" w14:textId="77777777">
        <w:trPr>
          <w:trHeight w:val="425"/>
        </w:trPr>
        <w:tc>
          <w:tcPr>
            <w:tcW w:w="7981" w:type="dxa"/>
          </w:tcPr>
          <w:p w14:paraId="040122D5" w14:textId="77777777" w:rsidR="00A720EB" w:rsidRDefault="00E10349">
            <w:pPr>
              <w:pStyle w:val="TableParagraph"/>
              <w:spacing w:before="40"/>
              <w:rPr>
                <w:sz w:val="21"/>
              </w:rPr>
            </w:pPr>
            <w:hyperlink r:id="rId941">
              <w:r w:rsidR="0030286B">
                <w:rPr>
                  <w:color w:val="B02045"/>
                  <w:sz w:val="21"/>
                </w:rPr>
                <w:t>AuditAutoConfiguration</w:t>
              </w:r>
            </w:hyperlink>
          </w:p>
        </w:tc>
        <w:tc>
          <w:tcPr>
            <w:tcW w:w="1995" w:type="dxa"/>
          </w:tcPr>
          <w:p w14:paraId="3AA1EE97" w14:textId="77777777" w:rsidR="00A720EB" w:rsidRDefault="00E10349">
            <w:pPr>
              <w:pStyle w:val="TableParagraph"/>
              <w:spacing w:before="94"/>
              <w:ind w:left="59"/>
              <w:rPr>
                <w:rFonts w:ascii="Cambria"/>
                <w:sz w:val="21"/>
              </w:rPr>
            </w:pPr>
            <w:hyperlink r:id="rId942">
              <w:r w:rsidR="0030286B">
                <w:rPr>
                  <w:rFonts w:ascii="Cambria"/>
                  <w:color w:val="418BCA"/>
                  <w:w w:val="115"/>
                  <w:sz w:val="21"/>
                </w:rPr>
                <w:t>javadoc</w:t>
              </w:r>
            </w:hyperlink>
          </w:p>
        </w:tc>
      </w:tr>
      <w:tr w:rsidR="00A720EB" w14:paraId="2E7D54F1" w14:textId="77777777">
        <w:trPr>
          <w:trHeight w:val="425"/>
        </w:trPr>
        <w:tc>
          <w:tcPr>
            <w:tcW w:w="7981" w:type="dxa"/>
          </w:tcPr>
          <w:p w14:paraId="6270F4CD" w14:textId="77777777" w:rsidR="00A720EB" w:rsidRDefault="00E10349">
            <w:pPr>
              <w:pStyle w:val="TableParagraph"/>
              <w:spacing w:before="40"/>
              <w:rPr>
                <w:sz w:val="21"/>
              </w:rPr>
            </w:pPr>
            <w:hyperlink r:id="rId943">
              <w:r w:rsidR="0030286B">
                <w:rPr>
                  <w:color w:val="B02045"/>
                  <w:sz w:val="21"/>
                </w:rPr>
                <w:t>AuditEventsEndpointAutoConfiguration</w:t>
              </w:r>
            </w:hyperlink>
          </w:p>
        </w:tc>
        <w:tc>
          <w:tcPr>
            <w:tcW w:w="1995" w:type="dxa"/>
          </w:tcPr>
          <w:p w14:paraId="226C441A" w14:textId="77777777" w:rsidR="00A720EB" w:rsidRDefault="00E10349">
            <w:pPr>
              <w:pStyle w:val="TableParagraph"/>
              <w:spacing w:before="94"/>
              <w:ind w:left="59"/>
              <w:rPr>
                <w:rFonts w:ascii="Cambria"/>
                <w:sz w:val="21"/>
              </w:rPr>
            </w:pPr>
            <w:hyperlink r:id="rId944">
              <w:r w:rsidR="0030286B">
                <w:rPr>
                  <w:rFonts w:ascii="Cambria"/>
                  <w:color w:val="418BCA"/>
                  <w:w w:val="115"/>
                  <w:sz w:val="21"/>
                </w:rPr>
                <w:t>javadoc</w:t>
              </w:r>
            </w:hyperlink>
          </w:p>
        </w:tc>
      </w:tr>
      <w:tr w:rsidR="00A720EB" w14:paraId="7A21A1E7" w14:textId="77777777">
        <w:trPr>
          <w:trHeight w:val="425"/>
        </w:trPr>
        <w:tc>
          <w:tcPr>
            <w:tcW w:w="7981" w:type="dxa"/>
          </w:tcPr>
          <w:p w14:paraId="19305D92" w14:textId="77777777" w:rsidR="00A720EB" w:rsidRDefault="00E10349">
            <w:pPr>
              <w:pStyle w:val="TableParagraph"/>
              <w:spacing w:before="40"/>
              <w:rPr>
                <w:sz w:val="21"/>
              </w:rPr>
            </w:pPr>
            <w:hyperlink r:id="rId945">
              <w:r w:rsidR="0030286B">
                <w:rPr>
                  <w:color w:val="B02045"/>
                  <w:sz w:val="21"/>
                </w:rPr>
                <w:t>AvailabilityHealthContributorAutoConfiguration</w:t>
              </w:r>
            </w:hyperlink>
          </w:p>
        </w:tc>
        <w:tc>
          <w:tcPr>
            <w:tcW w:w="1995" w:type="dxa"/>
          </w:tcPr>
          <w:p w14:paraId="6F827078" w14:textId="77777777" w:rsidR="00A720EB" w:rsidRDefault="00E10349">
            <w:pPr>
              <w:pStyle w:val="TableParagraph"/>
              <w:spacing w:before="94"/>
              <w:ind w:left="59"/>
              <w:rPr>
                <w:rFonts w:ascii="Cambria"/>
                <w:sz w:val="21"/>
              </w:rPr>
            </w:pPr>
            <w:hyperlink r:id="rId946">
              <w:r w:rsidR="0030286B">
                <w:rPr>
                  <w:rFonts w:ascii="Cambria"/>
                  <w:color w:val="418BCA"/>
                  <w:w w:val="115"/>
                  <w:sz w:val="21"/>
                </w:rPr>
                <w:t>javadoc</w:t>
              </w:r>
            </w:hyperlink>
          </w:p>
        </w:tc>
      </w:tr>
      <w:tr w:rsidR="00A720EB" w14:paraId="6B20E5A7" w14:textId="77777777">
        <w:trPr>
          <w:trHeight w:val="425"/>
        </w:trPr>
        <w:tc>
          <w:tcPr>
            <w:tcW w:w="7981" w:type="dxa"/>
          </w:tcPr>
          <w:p w14:paraId="774D13ED" w14:textId="77777777" w:rsidR="00A720EB" w:rsidRDefault="00E10349">
            <w:pPr>
              <w:pStyle w:val="TableParagraph"/>
              <w:spacing w:before="40"/>
              <w:rPr>
                <w:sz w:val="21"/>
              </w:rPr>
            </w:pPr>
            <w:hyperlink r:id="rId947">
              <w:r w:rsidR="0030286B">
                <w:rPr>
                  <w:color w:val="B02045"/>
                  <w:sz w:val="21"/>
                </w:rPr>
                <w:t>AvailabilityProbesAutoConfiguration</w:t>
              </w:r>
            </w:hyperlink>
          </w:p>
        </w:tc>
        <w:tc>
          <w:tcPr>
            <w:tcW w:w="1995" w:type="dxa"/>
          </w:tcPr>
          <w:p w14:paraId="6302526C" w14:textId="77777777" w:rsidR="00A720EB" w:rsidRDefault="00E10349">
            <w:pPr>
              <w:pStyle w:val="TableParagraph"/>
              <w:spacing w:before="94"/>
              <w:ind w:left="59"/>
              <w:rPr>
                <w:rFonts w:ascii="Cambria"/>
                <w:sz w:val="21"/>
              </w:rPr>
            </w:pPr>
            <w:hyperlink r:id="rId948">
              <w:r w:rsidR="0030286B">
                <w:rPr>
                  <w:rFonts w:ascii="Cambria"/>
                  <w:color w:val="418BCA"/>
                  <w:w w:val="115"/>
                  <w:sz w:val="21"/>
                </w:rPr>
                <w:t>javadoc</w:t>
              </w:r>
            </w:hyperlink>
          </w:p>
        </w:tc>
      </w:tr>
      <w:tr w:rsidR="00A720EB" w14:paraId="2154A500" w14:textId="77777777">
        <w:trPr>
          <w:trHeight w:val="425"/>
        </w:trPr>
        <w:tc>
          <w:tcPr>
            <w:tcW w:w="7981" w:type="dxa"/>
          </w:tcPr>
          <w:p w14:paraId="68173180" w14:textId="77777777" w:rsidR="00A720EB" w:rsidRDefault="00E10349">
            <w:pPr>
              <w:pStyle w:val="TableParagraph"/>
              <w:spacing w:before="40"/>
              <w:rPr>
                <w:sz w:val="21"/>
              </w:rPr>
            </w:pPr>
            <w:hyperlink r:id="rId949">
              <w:r w:rsidR="0030286B">
                <w:rPr>
                  <w:color w:val="B02045"/>
                  <w:sz w:val="21"/>
                </w:rPr>
                <w:t>BeansEndpointAutoConfiguration</w:t>
              </w:r>
            </w:hyperlink>
          </w:p>
        </w:tc>
        <w:tc>
          <w:tcPr>
            <w:tcW w:w="1995" w:type="dxa"/>
          </w:tcPr>
          <w:p w14:paraId="5CD2E2D3" w14:textId="77777777" w:rsidR="00A720EB" w:rsidRDefault="00E10349">
            <w:pPr>
              <w:pStyle w:val="TableParagraph"/>
              <w:spacing w:before="94"/>
              <w:ind w:left="59"/>
              <w:rPr>
                <w:rFonts w:ascii="Cambria"/>
                <w:sz w:val="21"/>
              </w:rPr>
            </w:pPr>
            <w:hyperlink r:id="rId950">
              <w:r w:rsidR="0030286B">
                <w:rPr>
                  <w:rFonts w:ascii="Cambria"/>
                  <w:color w:val="418BCA"/>
                  <w:w w:val="115"/>
                  <w:sz w:val="21"/>
                </w:rPr>
                <w:t>javadoc</w:t>
              </w:r>
            </w:hyperlink>
          </w:p>
        </w:tc>
      </w:tr>
      <w:tr w:rsidR="00A720EB" w14:paraId="63C1EA24" w14:textId="77777777">
        <w:trPr>
          <w:trHeight w:val="425"/>
        </w:trPr>
        <w:tc>
          <w:tcPr>
            <w:tcW w:w="7981" w:type="dxa"/>
          </w:tcPr>
          <w:p w14:paraId="474ABD80" w14:textId="77777777" w:rsidR="00A720EB" w:rsidRDefault="00E10349">
            <w:pPr>
              <w:pStyle w:val="TableParagraph"/>
              <w:spacing w:before="40"/>
              <w:rPr>
                <w:sz w:val="21"/>
              </w:rPr>
            </w:pPr>
            <w:hyperlink r:id="rId951">
              <w:r w:rsidR="0030286B">
                <w:rPr>
                  <w:color w:val="B02045"/>
                  <w:sz w:val="21"/>
                </w:rPr>
                <w:t>CacheMetricsAutoConfiguration</w:t>
              </w:r>
            </w:hyperlink>
          </w:p>
        </w:tc>
        <w:tc>
          <w:tcPr>
            <w:tcW w:w="1995" w:type="dxa"/>
          </w:tcPr>
          <w:p w14:paraId="1954C2CD" w14:textId="77777777" w:rsidR="00A720EB" w:rsidRDefault="00E10349">
            <w:pPr>
              <w:pStyle w:val="TableParagraph"/>
              <w:spacing w:before="94"/>
              <w:ind w:left="59"/>
              <w:rPr>
                <w:rFonts w:ascii="Cambria"/>
                <w:sz w:val="21"/>
              </w:rPr>
            </w:pPr>
            <w:hyperlink r:id="rId952">
              <w:r w:rsidR="0030286B">
                <w:rPr>
                  <w:rFonts w:ascii="Cambria"/>
                  <w:color w:val="418BCA"/>
                  <w:w w:val="115"/>
                  <w:sz w:val="21"/>
                </w:rPr>
                <w:t>javadoc</w:t>
              </w:r>
            </w:hyperlink>
          </w:p>
        </w:tc>
      </w:tr>
      <w:tr w:rsidR="00A720EB" w14:paraId="68971CB3" w14:textId="77777777">
        <w:trPr>
          <w:trHeight w:val="425"/>
        </w:trPr>
        <w:tc>
          <w:tcPr>
            <w:tcW w:w="7981" w:type="dxa"/>
          </w:tcPr>
          <w:p w14:paraId="214065B6" w14:textId="77777777" w:rsidR="00A720EB" w:rsidRDefault="00E10349">
            <w:pPr>
              <w:pStyle w:val="TableParagraph"/>
              <w:spacing w:before="40"/>
              <w:rPr>
                <w:sz w:val="21"/>
              </w:rPr>
            </w:pPr>
            <w:hyperlink r:id="rId953">
              <w:r w:rsidR="0030286B">
                <w:rPr>
                  <w:color w:val="B02045"/>
                  <w:sz w:val="21"/>
                </w:rPr>
                <w:t>CachesEndpointAutoConfiguration</w:t>
              </w:r>
            </w:hyperlink>
          </w:p>
        </w:tc>
        <w:tc>
          <w:tcPr>
            <w:tcW w:w="1995" w:type="dxa"/>
          </w:tcPr>
          <w:p w14:paraId="3E8AA98B" w14:textId="77777777" w:rsidR="00A720EB" w:rsidRDefault="00E10349">
            <w:pPr>
              <w:pStyle w:val="TableParagraph"/>
              <w:spacing w:before="94"/>
              <w:ind w:left="59"/>
              <w:rPr>
                <w:rFonts w:ascii="Cambria"/>
                <w:sz w:val="21"/>
              </w:rPr>
            </w:pPr>
            <w:hyperlink r:id="rId954">
              <w:r w:rsidR="0030286B">
                <w:rPr>
                  <w:rFonts w:ascii="Cambria"/>
                  <w:color w:val="418BCA"/>
                  <w:w w:val="115"/>
                  <w:sz w:val="21"/>
                </w:rPr>
                <w:t>javadoc</w:t>
              </w:r>
            </w:hyperlink>
          </w:p>
        </w:tc>
      </w:tr>
      <w:tr w:rsidR="00A720EB" w14:paraId="7C60F59F" w14:textId="77777777">
        <w:trPr>
          <w:trHeight w:val="425"/>
        </w:trPr>
        <w:tc>
          <w:tcPr>
            <w:tcW w:w="7981" w:type="dxa"/>
          </w:tcPr>
          <w:p w14:paraId="0834EBC1" w14:textId="77777777" w:rsidR="00A720EB" w:rsidRDefault="00E10349">
            <w:pPr>
              <w:pStyle w:val="TableParagraph"/>
              <w:spacing w:before="40"/>
              <w:rPr>
                <w:sz w:val="21"/>
              </w:rPr>
            </w:pPr>
            <w:hyperlink r:id="rId955">
              <w:r w:rsidR="0030286B">
                <w:rPr>
                  <w:color w:val="B02045"/>
                  <w:sz w:val="21"/>
                </w:rPr>
                <w:t>CassandraHealthContributorAutoConfiguration</w:t>
              </w:r>
            </w:hyperlink>
          </w:p>
        </w:tc>
        <w:tc>
          <w:tcPr>
            <w:tcW w:w="1995" w:type="dxa"/>
          </w:tcPr>
          <w:p w14:paraId="7144EDBA" w14:textId="77777777" w:rsidR="00A720EB" w:rsidRDefault="00E10349">
            <w:pPr>
              <w:pStyle w:val="TableParagraph"/>
              <w:spacing w:before="94"/>
              <w:ind w:left="59"/>
              <w:rPr>
                <w:rFonts w:ascii="Cambria"/>
                <w:sz w:val="21"/>
              </w:rPr>
            </w:pPr>
            <w:hyperlink r:id="rId956">
              <w:r w:rsidR="0030286B">
                <w:rPr>
                  <w:rFonts w:ascii="Cambria"/>
                  <w:color w:val="418BCA"/>
                  <w:w w:val="115"/>
                  <w:sz w:val="21"/>
                </w:rPr>
                <w:t>javadoc</w:t>
              </w:r>
            </w:hyperlink>
          </w:p>
        </w:tc>
      </w:tr>
      <w:tr w:rsidR="00A720EB" w14:paraId="3D62E8B7" w14:textId="77777777">
        <w:trPr>
          <w:trHeight w:val="425"/>
        </w:trPr>
        <w:tc>
          <w:tcPr>
            <w:tcW w:w="7981" w:type="dxa"/>
          </w:tcPr>
          <w:p w14:paraId="2EBBDB1C" w14:textId="77777777" w:rsidR="00A720EB" w:rsidRDefault="00E10349">
            <w:pPr>
              <w:pStyle w:val="TableParagraph"/>
              <w:spacing w:before="40"/>
              <w:rPr>
                <w:sz w:val="21"/>
              </w:rPr>
            </w:pPr>
            <w:hyperlink r:id="rId957">
              <w:r w:rsidR="0030286B">
                <w:rPr>
                  <w:color w:val="B02045"/>
                  <w:sz w:val="21"/>
                </w:rPr>
                <w:t>CassandraReactiveHealthContributorAutoConfiguration</w:t>
              </w:r>
            </w:hyperlink>
          </w:p>
        </w:tc>
        <w:tc>
          <w:tcPr>
            <w:tcW w:w="1995" w:type="dxa"/>
          </w:tcPr>
          <w:p w14:paraId="77D18EDF" w14:textId="77777777" w:rsidR="00A720EB" w:rsidRDefault="00E10349">
            <w:pPr>
              <w:pStyle w:val="TableParagraph"/>
              <w:spacing w:before="94"/>
              <w:ind w:left="59"/>
              <w:rPr>
                <w:rFonts w:ascii="Cambria"/>
                <w:sz w:val="21"/>
              </w:rPr>
            </w:pPr>
            <w:hyperlink r:id="rId958">
              <w:r w:rsidR="0030286B">
                <w:rPr>
                  <w:rFonts w:ascii="Cambria"/>
                  <w:color w:val="418BCA"/>
                  <w:w w:val="115"/>
                  <w:sz w:val="21"/>
                </w:rPr>
                <w:t>javadoc</w:t>
              </w:r>
            </w:hyperlink>
          </w:p>
        </w:tc>
      </w:tr>
      <w:tr w:rsidR="00A720EB" w14:paraId="3FE9C75F" w14:textId="77777777">
        <w:trPr>
          <w:trHeight w:val="425"/>
        </w:trPr>
        <w:tc>
          <w:tcPr>
            <w:tcW w:w="7981" w:type="dxa"/>
          </w:tcPr>
          <w:p w14:paraId="168676F2" w14:textId="77777777" w:rsidR="00A720EB" w:rsidRDefault="00E10349">
            <w:pPr>
              <w:pStyle w:val="TableParagraph"/>
              <w:spacing w:before="40"/>
              <w:rPr>
                <w:sz w:val="21"/>
              </w:rPr>
            </w:pPr>
            <w:hyperlink r:id="rId959">
              <w:r w:rsidR="0030286B">
                <w:rPr>
                  <w:color w:val="B02045"/>
                  <w:sz w:val="21"/>
                </w:rPr>
                <w:t>CloudFoundryActuatorAutoConfiguration</w:t>
              </w:r>
            </w:hyperlink>
          </w:p>
        </w:tc>
        <w:tc>
          <w:tcPr>
            <w:tcW w:w="1995" w:type="dxa"/>
          </w:tcPr>
          <w:p w14:paraId="3F8DD9D0" w14:textId="77777777" w:rsidR="00A720EB" w:rsidRDefault="00E10349">
            <w:pPr>
              <w:pStyle w:val="TableParagraph"/>
              <w:spacing w:before="94"/>
              <w:ind w:left="59"/>
              <w:rPr>
                <w:rFonts w:ascii="Cambria"/>
                <w:sz w:val="21"/>
              </w:rPr>
            </w:pPr>
            <w:hyperlink r:id="rId960">
              <w:r w:rsidR="0030286B">
                <w:rPr>
                  <w:rFonts w:ascii="Cambria"/>
                  <w:color w:val="418BCA"/>
                  <w:w w:val="115"/>
                  <w:sz w:val="21"/>
                </w:rPr>
                <w:t>javadoc</w:t>
              </w:r>
            </w:hyperlink>
          </w:p>
        </w:tc>
      </w:tr>
      <w:tr w:rsidR="00A720EB" w14:paraId="598C641C" w14:textId="77777777">
        <w:trPr>
          <w:trHeight w:val="425"/>
        </w:trPr>
        <w:tc>
          <w:tcPr>
            <w:tcW w:w="7981" w:type="dxa"/>
          </w:tcPr>
          <w:p w14:paraId="069253F1" w14:textId="77777777" w:rsidR="00A720EB" w:rsidRDefault="00E10349">
            <w:pPr>
              <w:pStyle w:val="TableParagraph"/>
              <w:spacing w:before="40"/>
              <w:rPr>
                <w:sz w:val="21"/>
              </w:rPr>
            </w:pPr>
            <w:hyperlink r:id="rId961">
              <w:r w:rsidR="0030286B">
                <w:rPr>
                  <w:color w:val="B02045"/>
                  <w:sz w:val="21"/>
                </w:rPr>
                <w:t>CompositeMeterRegistryAutoConfiguration</w:t>
              </w:r>
            </w:hyperlink>
          </w:p>
        </w:tc>
        <w:tc>
          <w:tcPr>
            <w:tcW w:w="1995" w:type="dxa"/>
          </w:tcPr>
          <w:p w14:paraId="36AB0284" w14:textId="77777777" w:rsidR="00A720EB" w:rsidRDefault="00E10349">
            <w:pPr>
              <w:pStyle w:val="TableParagraph"/>
              <w:spacing w:before="94"/>
              <w:ind w:left="59"/>
              <w:rPr>
                <w:rFonts w:ascii="Cambria"/>
                <w:sz w:val="21"/>
              </w:rPr>
            </w:pPr>
            <w:hyperlink r:id="rId962">
              <w:r w:rsidR="0030286B">
                <w:rPr>
                  <w:rFonts w:ascii="Cambria"/>
                  <w:color w:val="418BCA"/>
                  <w:w w:val="115"/>
                  <w:sz w:val="21"/>
                </w:rPr>
                <w:t>javadoc</w:t>
              </w:r>
            </w:hyperlink>
          </w:p>
        </w:tc>
      </w:tr>
      <w:tr w:rsidR="00A720EB" w14:paraId="58096512" w14:textId="77777777">
        <w:trPr>
          <w:trHeight w:val="425"/>
        </w:trPr>
        <w:tc>
          <w:tcPr>
            <w:tcW w:w="7981" w:type="dxa"/>
          </w:tcPr>
          <w:p w14:paraId="79E95E0F" w14:textId="77777777" w:rsidR="00A720EB" w:rsidRDefault="00E10349">
            <w:pPr>
              <w:pStyle w:val="TableParagraph"/>
              <w:spacing w:before="40"/>
              <w:rPr>
                <w:sz w:val="21"/>
              </w:rPr>
            </w:pPr>
            <w:hyperlink r:id="rId963">
              <w:r w:rsidR="0030286B">
                <w:rPr>
                  <w:color w:val="B02045"/>
                  <w:sz w:val="21"/>
                </w:rPr>
                <w:t>ConditionsReportEndpointAutoConfiguration</w:t>
              </w:r>
            </w:hyperlink>
          </w:p>
        </w:tc>
        <w:tc>
          <w:tcPr>
            <w:tcW w:w="1995" w:type="dxa"/>
          </w:tcPr>
          <w:p w14:paraId="08CA6821" w14:textId="77777777" w:rsidR="00A720EB" w:rsidRDefault="00E10349">
            <w:pPr>
              <w:pStyle w:val="TableParagraph"/>
              <w:spacing w:before="94"/>
              <w:ind w:left="59"/>
              <w:rPr>
                <w:rFonts w:ascii="Cambria"/>
                <w:sz w:val="21"/>
              </w:rPr>
            </w:pPr>
            <w:hyperlink r:id="rId964">
              <w:r w:rsidR="0030286B">
                <w:rPr>
                  <w:rFonts w:ascii="Cambria"/>
                  <w:color w:val="418BCA"/>
                  <w:w w:val="115"/>
                  <w:sz w:val="21"/>
                </w:rPr>
                <w:t>javadoc</w:t>
              </w:r>
            </w:hyperlink>
          </w:p>
        </w:tc>
      </w:tr>
      <w:tr w:rsidR="00A720EB" w14:paraId="4793404A" w14:textId="77777777">
        <w:trPr>
          <w:trHeight w:val="425"/>
        </w:trPr>
        <w:tc>
          <w:tcPr>
            <w:tcW w:w="7981" w:type="dxa"/>
          </w:tcPr>
          <w:p w14:paraId="7B774E62" w14:textId="77777777" w:rsidR="00A720EB" w:rsidRDefault="00E10349">
            <w:pPr>
              <w:pStyle w:val="TableParagraph"/>
              <w:spacing w:before="40"/>
              <w:rPr>
                <w:sz w:val="21"/>
              </w:rPr>
            </w:pPr>
            <w:hyperlink r:id="rId965">
              <w:r w:rsidR="0030286B">
                <w:rPr>
                  <w:color w:val="B02045"/>
                  <w:sz w:val="21"/>
                </w:rPr>
                <w:t>ConfigurationPropertiesReportEndpointAutoConfiguration</w:t>
              </w:r>
            </w:hyperlink>
          </w:p>
        </w:tc>
        <w:tc>
          <w:tcPr>
            <w:tcW w:w="1995" w:type="dxa"/>
          </w:tcPr>
          <w:p w14:paraId="2B07068E" w14:textId="77777777" w:rsidR="00A720EB" w:rsidRDefault="00E10349">
            <w:pPr>
              <w:pStyle w:val="TableParagraph"/>
              <w:spacing w:before="94"/>
              <w:ind w:left="59"/>
              <w:rPr>
                <w:rFonts w:ascii="Cambria"/>
                <w:sz w:val="21"/>
              </w:rPr>
            </w:pPr>
            <w:hyperlink r:id="rId966">
              <w:r w:rsidR="0030286B">
                <w:rPr>
                  <w:rFonts w:ascii="Cambria"/>
                  <w:color w:val="418BCA"/>
                  <w:w w:val="115"/>
                  <w:sz w:val="21"/>
                </w:rPr>
                <w:t>javadoc</w:t>
              </w:r>
            </w:hyperlink>
          </w:p>
        </w:tc>
      </w:tr>
      <w:tr w:rsidR="00A720EB" w14:paraId="4ABAA7D8" w14:textId="77777777">
        <w:trPr>
          <w:trHeight w:val="425"/>
        </w:trPr>
        <w:tc>
          <w:tcPr>
            <w:tcW w:w="7981" w:type="dxa"/>
          </w:tcPr>
          <w:p w14:paraId="77163464" w14:textId="77777777" w:rsidR="00A720EB" w:rsidRDefault="00E10349">
            <w:pPr>
              <w:pStyle w:val="TableParagraph"/>
              <w:spacing w:before="40"/>
              <w:rPr>
                <w:sz w:val="21"/>
              </w:rPr>
            </w:pPr>
            <w:hyperlink r:id="rId967">
              <w:r w:rsidR="0030286B">
                <w:rPr>
                  <w:color w:val="B02045"/>
                  <w:sz w:val="21"/>
                </w:rPr>
                <w:t>ConnectionFactoryHealthContributorAutoConfiguration</w:t>
              </w:r>
            </w:hyperlink>
          </w:p>
        </w:tc>
        <w:tc>
          <w:tcPr>
            <w:tcW w:w="1995" w:type="dxa"/>
          </w:tcPr>
          <w:p w14:paraId="29E4D48B" w14:textId="77777777" w:rsidR="00A720EB" w:rsidRDefault="00E10349">
            <w:pPr>
              <w:pStyle w:val="TableParagraph"/>
              <w:spacing w:before="94"/>
              <w:ind w:left="59"/>
              <w:rPr>
                <w:rFonts w:ascii="Cambria"/>
                <w:sz w:val="21"/>
              </w:rPr>
            </w:pPr>
            <w:hyperlink r:id="rId968">
              <w:r w:rsidR="0030286B">
                <w:rPr>
                  <w:rFonts w:ascii="Cambria"/>
                  <w:color w:val="418BCA"/>
                  <w:w w:val="115"/>
                  <w:sz w:val="21"/>
                </w:rPr>
                <w:t>javadoc</w:t>
              </w:r>
            </w:hyperlink>
          </w:p>
        </w:tc>
      </w:tr>
      <w:tr w:rsidR="00A720EB" w14:paraId="5E4C0AF7" w14:textId="77777777">
        <w:trPr>
          <w:trHeight w:val="425"/>
        </w:trPr>
        <w:tc>
          <w:tcPr>
            <w:tcW w:w="7981" w:type="dxa"/>
          </w:tcPr>
          <w:p w14:paraId="75C5F104" w14:textId="77777777" w:rsidR="00A720EB" w:rsidRDefault="00E10349">
            <w:pPr>
              <w:pStyle w:val="TableParagraph"/>
              <w:spacing w:before="40"/>
              <w:rPr>
                <w:sz w:val="21"/>
              </w:rPr>
            </w:pPr>
            <w:hyperlink r:id="rId969">
              <w:r w:rsidR="0030286B">
                <w:rPr>
                  <w:color w:val="B02045"/>
                  <w:sz w:val="21"/>
                </w:rPr>
                <w:t>ConnectionPoolMetricsAutoConfiguration</w:t>
              </w:r>
            </w:hyperlink>
          </w:p>
        </w:tc>
        <w:tc>
          <w:tcPr>
            <w:tcW w:w="1995" w:type="dxa"/>
          </w:tcPr>
          <w:p w14:paraId="45BC27B4" w14:textId="77777777" w:rsidR="00A720EB" w:rsidRDefault="00E10349">
            <w:pPr>
              <w:pStyle w:val="TableParagraph"/>
              <w:spacing w:before="94"/>
              <w:ind w:left="59"/>
              <w:rPr>
                <w:rFonts w:ascii="Cambria"/>
                <w:sz w:val="21"/>
              </w:rPr>
            </w:pPr>
            <w:hyperlink r:id="rId970">
              <w:r w:rsidR="0030286B">
                <w:rPr>
                  <w:rFonts w:ascii="Cambria"/>
                  <w:color w:val="418BCA"/>
                  <w:w w:val="115"/>
                  <w:sz w:val="21"/>
                </w:rPr>
                <w:t>javadoc</w:t>
              </w:r>
            </w:hyperlink>
          </w:p>
        </w:tc>
      </w:tr>
      <w:tr w:rsidR="00A720EB" w14:paraId="0B958D3A" w14:textId="77777777">
        <w:trPr>
          <w:trHeight w:val="425"/>
        </w:trPr>
        <w:tc>
          <w:tcPr>
            <w:tcW w:w="7981" w:type="dxa"/>
          </w:tcPr>
          <w:p w14:paraId="264D991F" w14:textId="77777777" w:rsidR="00A720EB" w:rsidRDefault="00E10349">
            <w:pPr>
              <w:pStyle w:val="TableParagraph"/>
              <w:spacing w:before="40"/>
              <w:rPr>
                <w:sz w:val="21"/>
              </w:rPr>
            </w:pPr>
            <w:hyperlink r:id="rId971">
              <w:r w:rsidR="0030286B">
                <w:rPr>
                  <w:color w:val="B02045"/>
                  <w:sz w:val="21"/>
                </w:rPr>
                <w:t>CouchbaseHealthContributorAutoConfiguration</w:t>
              </w:r>
            </w:hyperlink>
          </w:p>
        </w:tc>
        <w:tc>
          <w:tcPr>
            <w:tcW w:w="1995" w:type="dxa"/>
          </w:tcPr>
          <w:p w14:paraId="09F8099D" w14:textId="77777777" w:rsidR="00A720EB" w:rsidRDefault="00E10349">
            <w:pPr>
              <w:pStyle w:val="TableParagraph"/>
              <w:spacing w:before="94"/>
              <w:ind w:left="59"/>
              <w:rPr>
                <w:rFonts w:ascii="Cambria"/>
                <w:sz w:val="21"/>
              </w:rPr>
            </w:pPr>
            <w:hyperlink r:id="rId972">
              <w:r w:rsidR="0030286B">
                <w:rPr>
                  <w:rFonts w:ascii="Cambria"/>
                  <w:color w:val="418BCA"/>
                  <w:w w:val="115"/>
                  <w:sz w:val="21"/>
                </w:rPr>
                <w:t>javadoc</w:t>
              </w:r>
            </w:hyperlink>
          </w:p>
        </w:tc>
      </w:tr>
      <w:tr w:rsidR="00A720EB" w14:paraId="743D6643" w14:textId="77777777">
        <w:trPr>
          <w:trHeight w:val="425"/>
        </w:trPr>
        <w:tc>
          <w:tcPr>
            <w:tcW w:w="7981" w:type="dxa"/>
          </w:tcPr>
          <w:p w14:paraId="03579E99" w14:textId="77777777" w:rsidR="00A720EB" w:rsidRDefault="00E10349">
            <w:pPr>
              <w:pStyle w:val="TableParagraph"/>
              <w:spacing w:before="40"/>
              <w:rPr>
                <w:sz w:val="21"/>
              </w:rPr>
            </w:pPr>
            <w:hyperlink r:id="rId973">
              <w:r w:rsidR="0030286B">
                <w:rPr>
                  <w:color w:val="B02045"/>
                  <w:sz w:val="21"/>
                </w:rPr>
                <w:t>CouchbaseReactiveHealthContributorAutoConfiguration</w:t>
              </w:r>
            </w:hyperlink>
          </w:p>
        </w:tc>
        <w:tc>
          <w:tcPr>
            <w:tcW w:w="1995" w:type="dxa"/>
          </w:tcPr>
          <w:p w14:paraId="536C13B8" w14:textId="77777777" w:rsidR="00A720EB" w:rsidRDefault="00E10349">
            <w:pPr>
              <w:pStyle w:val="TableParagraph"/>
              <w:spacing w:before="94"/>
              <w:ind w:left="59"/>
              <w:rPr>
                <w:rFonts w:ascii="Cambria"/>
                <w:sz w:val="21"/>
              </w:rPr>
            </w:pPr>
            <w:hyperlink r:id="rId974">
              <w:r w:rsidR="0030286B">
                <w:rPr>
                  <w:rFonts w:ascii="Cambria"/>
                  <w:color w:val="418BCA"/>
                  <w:w w:val="115"/>
                  <w:sz w:val="21"/>
                </w:rPr>
                <w:t>javadoc</w:t>
              </w:r>
            </w:hyperlink>
          </w:p>
        </w:tc>
      </w:tr>
      <w:tr w:rsidR="00A720EB" w14:paraId="63F1081E" w14:textId="77777777">
        <w:trPr>
          <w:trHeight w:val="425"/>
        </w:trPr>
        <w:tc>
          <w:tcPr>
            <w:tcW w:w="7981" w:type="dxa"/>
          </w:tcPr>
          <w:p w14:paraId="7289122C" w14:textId="77777777" w:rsidR="00A720EB" w:rsidRDefault="00E10349">
            <w:pPr>
              <w:pStyle w:val="TableParagraph"/>
              <w:spacing w:before="40"/>
              <w:rPr>
                <w:sz w:val="21"/>
              </w:rPr>
            </w:pPr>
            <w:hyperlink r:id="rId975">
              <w:r w:rsidR="0030286B">
                <w:rPr>
                  <w:color w:val="B02045"/>
                  <w:sz w:val="21"/>
                </w:rPr>
                <w:t>DataSourceHealthContributorAutoConfiguration</w:t>
              </w:r>
            </w:hyperlink>
          </w:p>
        </w:tc>
        <w:tc>
          <w:tcPr>
            <w:tcW w:w="1995" w:type="dxa"/>
          </w:tcPr>
          <w:p w14:paraId="0F8B0950" w14:textId="77777777" w:rsidR="00A720EB" w:rsidRDefault="00E10349">
            <w:pPr>
              <w:pStyle w:val="TableParagraph"/>
              <w:spacing w:before="94"/>
              <w:ind w:left="59"/>
              <w:rPr>
                <w:rFonts w:ascii="Cambria"/>
                <w:sz w:val="21"/>
              </w:rPr>
            </w:pPr>
            <w:hyperlink r:id="rId976">
              <w:r w:rsidR="0030286B">
                <w:rPr>
                  <w:rFonts w:ascii="Cambria"/>
                  <w:color w:val="418BCA"/>
                  <w:w w:val="115"/>
                  <w:sz w:val="21"/>
                </w:rPr>
                <w:t>javadoc</w:t>
              </w:r>
            </w:hyperlink>
          </w:p>
        </w:tc>
      </w:tr>
      <w:tr w:rsidR="00A720EB" w14:paraId="14618996" w14:textId="77777777">
        <w:trPr>
          <w:trHeight w:val="425"/>
        </w:trPr>
        <w:tc>
          <w:tcPr>
            <w:tcW w:w="7981" w:type="dxa"/>
          </w:tcPr>
          <w:p w14:paraId="30D160BC" w14:textId="77777777" w:rsidR="00A720EB" w:rsidRDefault="00E10349">
            <w:pPr>
              <w:pStyle w:val="TableParagraph"/>
              <w:spacing w:before="40"/>
              <w:rPr>
                <w:sz w:val="21"/>
              </w:rPr>
            </w:pPr>
            <w:hyperlink r:id="rId977">
              <w:r w:rsidR="0030286B">
                <w:rPr>
                  <w:color w:val="B02045"/>
                  <w:sz w:val="21"/>
                </w:rPr>
                <w:t>DataSourcePoolMetricsAutoConfiguration</w:t>
              </w:r>
            </w:hyperlink>
          </w:p>
        </w:tc>
        <w:tc>
          <w:tcPr>
            <w:tcW w:w="1995" w:type="dxa"/>
          </w:tcPr>
          <w:p w14:paraId="6B78CD1C" w14:textId="77777777" w:rsidR="00A720EB" w:rsidRDefault="00E10349">
            <w:pPr>
              <w:pStyle w:val="TableParagraph"/>
              <w:spacing w:before="94"/>
              <w:ind w:left="59"/>
              <w:rPr>
                <w:rFonts w:ascii="Cambria"/>
                <w:sz w:val="21"/>
              </w:rPr>
            </w:pPr>
            <w:hyperlink r:id="rId978">
              <w:r w:rsidR="0030286B">
                <w:rPr>
                  <w:rFonts w:ascii="Cambria"/>
                  <w:color w:val="418BCA"/>
                  <w:w w:val="115"/>
                  <w:sz w:val="21"/>
                </w:rPr>
                <w:t>javadoc</w:t>
              </w:r>
            </w:hyperlink>
          </w:p>
        </w:tc>
      </w:tr>
      <w:tr w:rsidR="00A720EB" w14:paraId="7AA7492D" w14:textId="77777777">
        <w:trPr>
          <w:trHeight w:val="425"/>
        </w:trPr>
        <w:tc>
          <w:tcPr>
            <w:tcW w:w="7981" w:type="dxa"/>
          </w:tcPr>
          <w:p w14:paraId="7CE7EDDF" w14:textId="77777777" w:rsidR="00A720EB" w:rsidRDefault="00E10349">
            <w:pPr>
              <w:pStyle w:val="TableParagraph"/>
              <w:spacing w:before="40"/>
              <w:rPr>
                <w:sz w:val="21"/>
              </w:rPr>
            </w:pPr>
            <w:hyperlink r:id="rId979">
              <w:r w:rsidR="0030286B">
                <w:rPr>
                  <w:color w:val="B02045"/>
                  <w:sz w:val="21"/>
                </w:rPr>
                <w:t>DatadogMetricsExportAutoConfiguration</w:t>
              </w:r>
            </w:hyperlink>
          </w:p>
        </w:tc>
        <w:tc>
          <w:tcPr>
            <w:tcW w:w="1995" w:type="dxa"/>
          </w:tcPr>
          <w:p w14:paraId="689D6E8F" w14:textId="77777777" w:rsidR="00A720EB" w:rsidRDefault="00E10349">
            <w:pPr>
              <w:pStyle w:val="TableParagraph"/>
              <w:spacing w:before="94"/>
              <w:ind w:left="59"/>
              <w:rPr>
                <w:rFonts w:ascii="Cambria"/>
                <w:sz w:val="21"/>
              </w:rPr>
            </w:pPr>
            <w:hyperlink r:id="rId980">
              <w:r w:rsidR="0030286B">
                <w:rPr>
                  <w:rFonts w:ascii="Cambria"/>
                  <w:color w:val="418BCA"/>
                  <w:w w:val="115"/>
                  <w:sz w:val="21"/>
                </w:rPr>
                <w:t>javadoc</w:t>
              </w:r>
            </w:hyperlink>
          </w:p>
        </w:tc>
      </w:tr>
      <w:tr w:rsidR="00A720EB" w14:paraId="3E8A9F2F" w14:textId="77777777">
        <w:trPr>
          <w:trHeight w:val="425"/>
        </w:trPr>
        <w:tc>
          <w:tcPr>
            <w:tcW w:w="7981" w:type="dxa"/>
          </w:tcPr>
          <w:p w14:paraId="7EAF2C65" w14:textId="77777777" w:rsidR="00A720EB" w:rsidRDefault="00E10349">
            <w:pPr>
              <w:pStyle w:val="TableParagraph"/>
              <w:spacing w:before="40"/>
              <w:rPr>
                <w:sz w:val="21"/>
              </w:rPr>
            </w:pPr>
            <w:hyperlink r:id="rId981">
              <w:r w:rsidR="0030286B">
                <w:rPr>
                  <w:color w:val="B02045"/>
                  <w:sz w:val="21"/>
                </w:rPr>
                <w:t>DiskSpaceHealthContributorAutoConfiguration</w:t>
              </w:r>
            </w:hyperlink>
          </w:p>
        </w:tc>
        <w:tc>
          <w:tcPr>
            <w:tcW w:w="1995" w:type="dxa"/>
          </w:tcPr>
          <w:p w14:paraId="21471202" w14:textId="77777777" w:rsidR="00A720EB" w:rsidRDefault="00E10349">
            <w:pPr>
              <w:pStyle w:val="TableParagraph"/>
              <w:spacing w:before="94"/>
              <w:ind w:left="59"/>
              <w:rPr>
                <w:rFonts w:ascii="Cambria"/>
                <w:sz w:val="21"/>
              </w:rPr>
            </w:pPr>
            <w:hyperlink r:id="rId982">
              <w:r w:rsidR="0030286B">
                <w:rPr>
                  <w:rFonts w:ascii="Cambria"/>
                  <w:color w:val="418BCA"/>
                  <w:w w:val="115"/>
                  <w:sz w:val="21"/>
                </w:rPr>
                <w:t>javadoc</w:t>
              </w:r>
            </w:hyperlink>
          </w:p>
        </w:tc>
      </w:tr>
      <w:tr w:rsidR="00A720EB" w14:paraId="3F2E4764" w14:textId="77777777">
        <w:trPr>
          <w:trHeight w:val="425"/>
        </w:trPr>
        <w:tc>
          <w:tcPr>
            <w:tcW w:w="7981" w:type="dxa"/>
          </w:tcPr>
          <w:p w14:paraId="67099A59" w14:textId="77777777" w:rsidR="00A720EB" w:rsidRDefault="00E10349">
            <w:pPr>
              <w:pStyle w:val="TableParagraph"/>
              <w:spacing w:before="40"/>
              <w:rPr>
                <w:sz w:val="21"/>
              </w:rPr>
            </w:pPr>
            <w:hyperlink r:id="rId983">
              <w:r w:rsidR="0030286B">
                <w:rPr>
                  <w:color w:val="B02045"/>
                  <w:sz w:val="21"/>
                </w:rPr>
                <w:t>DynatraceMetricsExportAutoConfiguration</w:t>
              </w:r>
            </w:hyperlink>
          </w:p>
        </w:tc>
        <w:tc>
          <w:tcPr>
            <w:tcW w:w="1995" w:type="dxa"/>
          </w:tcPr>
          <w:p w14:paraId="76734516" w14:textId="77777777" w:rsidR="00A720EB" w:rsidRDefault="00E10349">
            <w:pPr>
              <w:pStyle w:val="TableParagraph"/>
              <w:spacing w:before="94"/>
              <w:ind w:left="59"/>
              <w:rPr>
                <w:rFonts w:ascii="Cambria"/>
                <w:sz w:val="21"/>
              </w:rPr>
            </w:pPr>
            <w:hyperlink r:id="rId984">
              <w:r w:rsidR="0030286B">
                <w:rPr>
                  <w:rFonts w:ascii="Cambria"/>
                  <w:color w:val="418BCA"/>
                  <w:w w:val="115"/>
                  <w:sz w:val="21"/>
                </w:rPr>
                <w:t>javadoc</w:t>
              </w:r>
            </w:hyperlink>
          </w:p>
        </w:tc>
      </w:tr>
      <w:tr w:rsidR="00A720EB" w14:paraId="335AF2B9" w14:textId="77777777">
        <w:trPr>
          <w:trHeight w:val="425"/>
        </w:trPr>
        <w:tc>
          <w:tcPr>
            <w:tcW w:w="7981" w:type="dxa"/>
          </w:tcPr>
          <w:p w14:paraId="6D759E78" w14:textId="77777777" w:rsidR="00A720EB" w:rsidRDefault="00E10349">
            <w:pPr>
              <w:pStyle w:val="TableParagraph"/>
              <w:spacing w:before="40"/>
              <w:rPr>
                <w:sz w:val="21"/>
              </w:rPr>
            </w:pPr>
            <w:hyperlink r:id="rId985">
              <w:r w:rsidR="0030286B">
                <w:rPr>
                  <w:color w:val="B02045"/>
                  <w:sz w:val="21"/>
                </w:rPr>
                <w:t>ElasticMetricsExportAutoConfiguration</w:t>
              </w:r>
            </w:hyperlink>
          </w:p>
        </w:tc>
        <w:tc>
          <w:tcPr>
            <w:tcW w:w="1995" w:type="dxa"/>
          </w:tcPr>
          <w:p w14:paraId="544D44F3" w14:textId="77777777" w:rsidR="00A720EB" w:rsidRDefault="00E10349">
            <w:pPr>
              <w:pStyle w:val="TableParagraph"/>
              <w:spacing w:before="94"/>
              <w:ind w:left="59"/>
              <w:rPr>
                <w:rFonts w:ascii="Cambria"/>
                <w:sz w:val="21"/>
              </w:rPr>
            </w:pPr>
            <w:hyperlink r:id="rId986">
              <w:r w:rsidR="0030286B">
                <w:rPr>
                  <w:rFonts w:ascii="Cambria"/>
                  <w:color w:val="418BCA"/>
                  <w:w w:val="115"/>
                  <w:sz w:val="21"/>
                </w:rPr>
                <w:t>javadoc</w:t>
              </w:r>
            </w:hyperlink>
          </w:p>
        </w:tc>
      </w:tr>
      <w:tr w:rsidR="00A720EB" w14:paraId="640EF596" w14:textId="77777777">
        <w:trPr>
          <w:trHeight w:val="425"/>
        </w:trPr>
        <w:tc>
          <w:tcPr>
            <w:tcW w:w="7981" w:type="dxa"/>
          </w:tcPr>
          <w:p w14:paraId="431E71E2" w14:textId="77777777" w:rsidR="00A720EB" w:rsidRDefault="00E10349">
            <w:pPr>
              <w:pStyle w:val="TableParagraph"/>
              <w:spacing w:before="40"/>
              <w:rPr>
                <w:sz w:val="21"/>
              </w:rPr>
            </w:pPr>
            <w:hyperlink r:id="rId987">
              <w:r w:rsidR="0030286B">
                <w:rPr>
                  <w:color w:val="B02045"/>
                  <w:sz w:val="21"/>
                </w:rPr>
                <w:t>ElasticSearchReactiveHealthContributorAutoConfiguration</w:t>
              </w:r>
            </w:hyperlink>
          </w:p>
        </w:tc>
        <w:tc>
          <w:tcPr>
            <w:tcW w:w="1995" w:type="dxa"/>
          </w:tcPr>
          <w:p w14:paraId="0203BA4E" w14:textId="77777777" w:rsidR="00A720EB" w:rsidRDefault="00E10349">
            <w:pPr>
              <w:pStyle w:val="TableParagraph"/>
              <w:spacing w:before="94"/>
              <w:ind w:left="59"/>
              <w:rPr>
                <w:rFonts w:ascii="Cambria"/>
                <w:sz w:val="21"/>
              </w:rPr>
            </w:pPr>
            <w:hyperlink r:id="rId988">
              <w:r w:rsidR="0030286B">
                <w:rPr>
                  <w:rFonts w:ascii="Cambria"/>
                  <w:color w:val="418BCA"/>
                  <w:w w:val="115"/>
                  <w:sz w:val="21"/>
                </w:rPr>
                <w:t>javadoc</w:t>
              </w:r>
            </w:hyperlink>
          </w:p>
        </w:tc>
      </w:tr>
      <w:tr w:rsidR="00A720EB" w14:paraId="4E80105A" w14:textId="77777777">
        <w:trPr>
          <w:trHeight w:val="425"/>
        </w:trPr>
        <w:tc>
          <w:tcPr>
            <w:tcW w:w="7981" w:type="dxa"/>
          </w:tcPr>
          <w:p w14:paraId="2CF05EA0" w14:textId="77777777" w:rsidR="00A720EB" w:rsidRDefault="00E10349">
            <w:pPr>
              <w:pStyle w:val="TableParagraph"/>
              <w:spacing w:before="40"/>
              <w:rPr>
                <w:sz w:val="21"/>
              </w:rPr>
            </w:pPr>
            <w:hyperlink r:id="rId989">
              <w:r w:rsidR="0030286B">
                <w:rPr>
                  <w:color w:val="B02045"/>
                  <w:sz w:val="21"/>
                </w:rPr>
                <w:t>ElasticSearchRestHealthContributorAutoConfiguration</w:t>
              </w:r>
            </w:hyperlink>
          </w:p>
        </w:tc>
        <w:tc>
          <w:tcPr>
            <w:tcW w:w="1995" w:type="dxa"/>
          </w:tcPr>
          <w:p w14:paraId="1C6AF685" w14:textId="77777777" w:rsidR="00A720EB" w:rsidRDefault="00E10349">
            <w:pPr>
              <w:pStyle w:val="TableParagraph"/>
              <w:spacing w:before="94"/>
              <w:ind w:left="59"/>
              <w:rPr>
                <w:rFonts w:ascii="Cambria"/>
                <w:sz w:val="21"/>
              </w:rPr>
            </w:pPr>
            <w:hyperlink r:id="rId990">
              <w:r w:rsidR="0030286B">
                <w:rPr>
                  <w:rFonts w:ascii="Cambria"/>
                  <w:color w:val="418BCA"/>
                  <w:w w:val="115"/>
                  <w:sz w:val="21"/>
                </w:rPr>
                <w:t>javadoc</w:t>
              </w:r>
            </w:hyperlink>
          </w:p>
        </w:tc>
      </w:tr>
      <w:tr w:rsidR="00A720EB" w14:paraId="0FB60F61" w14:textId="77777777">
        <w:trPr>
          <w:trHeight w:val="425"/>
        </w:trPr>
        <w:tc>
          <w:tcPr>
            <w:tcW w:w="7981" w:type="dxa"/>
          </w:tcPr>
          <w:p w14:paraId="220023D7" w14:textId="77777777" w:rsidR="00A720EB" w:rsidRDefault="00E10349">
            <w:pPr>
              <w:pStyle w:val="TableParagraph"/>
              <w:spacing w:before="40"/>
              <w:rPr>
                <w:sz w:val="21"/>
              </w:rPr>
            </w:pPr>
            <w:hyperlink r:id="rId991">
              <w:r w:rsidR="0030286B">
                <w:rPr>
                  <w:color w:val="B02045"/>
                  <w:sz w:val="21"/>
                </w:rPr>
                <w:t>EndpointAutoConfiguration</w:t>
              </w:r>
            </w:hyperlink>
          </w:p>
        </w:tc>
        <w:tc>
          <w:tcPr>
            <w:tcW w:w="1995" w:type="dxa"/>
          </w:tcPr>
          <w:p w14:paraId="7A6BAC18" w14:textId="77777777" w:rsidR="00A720EB" w:rsidRDefault="00E10349">
            <w:pPr>
              <w:pStyle w:val="TableParagraph"/>
              <w:spacing w:before="94"/>
              <w:ind w:left="59"/>
              <w:rPr>
                <w:rFonts w:ascii="Cambria"/>
                <w:sz w:val="21"/>
              </w:rPr>
            </w:pPr>
            <w:hyperlink r:id="rId992">
              <w:r w:rsidR="0030286B">
                <w:rPr>
                  <w:rFonts w:ascii="Cambria"/>
                  <w:color w:val="418BCA"/>
                  <w:w w:val="115"/>
                  <w:sz w:val="21"/>
                </w:rPr>
                <w:t>javadoc</w:t>
              </w:r>
            </w:hyperlink>
          </w:p>
        </w:tc>
      </w:tr>
      <w:tr w:rsidR="00A720EB" w14:paraId="2DCF3F19" w14:textId="77777777">
        <w:trPr>
          <w:trHeight w:val="425"/>
        </w:trPr>
        <w:tc>
          <w:tcPr>
            <w:tcW w:w="7981" w:type="dxa"/>
          </w:tcPr>
          <w:p w14:paraId="5678BD0D" w14:textId="77777777" w:rsidR="00A720EB" w:rsidRDefault="00E10349">
            <w:pPr>
              <w:pStyle w:val="TableParagraph"/>
              <w:spacing w:before="40"/>
              <w:rPr>
                <w:sz w:val="21"/>
              </w:rPr>
            </w:pPr>
            <w:hyperlink r:id="rId993">
              <w:r w:rsidR="0030286B">
                <w:rPr>
                  <w:color w:val="B02045"/>
                  <w:sz w:val="21"/>
                </w:rPr>
                <w:t>EnvironmentEndpointAutoConfiguration</w:t>
              </w:r>
            </w:hyperlink>
          </w:p>
        </w:tc>
        <w:tc>
          <w:tcPr>
            <w:tcW w:w="1995" w:type="dxa"/>
          </w:tcPr>
          <w:p w14:paraId="70F97A21" w14:textId="77777777" w:rsidR="00A720EB" w:rsidRDefault="00E10349">
            <w:pPr>
              <w:pStyle w:val="TableParagraph"/>
              <w:spacing w:before="94"/>
              <w:ind w:left="59"/>
              <w:rPr>
                <w:rFonts w:ascii="Cambria"/>
                <w:sz w:val="21"/>
              </w:rPr>
            </w:pPr>
            <w:hyperlink r:id="rId994">
              <w:r w:rsidR="0030286B">
                <w:rPr>
                  <w:rFonts w:ascii="Cambria"/>
                  <w:color w:val="418BCA"/>
                  <w:w w:val="115"/>
                  <w:sz w:val="21"/>
                </w:rPr>
                <w:t>javadoc</w:t>
              </w:r>
            </w:hyperlink>
          </w:p>
        </w:tc>
      </w:tr>
      <w:tr w:rsidR="00A720EB" w14:paraId="36E3F4AA" w14:textId="77777777">
        <w:trPr>
          <w:trHeight w:val="425"/>
        </w:trPr>
        <w:tc>
          <w:tcPr>
            <w:tcW w:w="7981" w:type="dxa"/>
          </w:tcPr>
          <w:p w14:paraId="02B46659" w14:textId="77777777" w:rsidR="00A720EB" w:rsidRDefault="00E10349">
            <w:pPr>
              <w:pStyle w:val="TableParagraph"/>
              <w:spacing w:before="40"/>
              <w:rPr>
                <w:sz w:val="21"/>
              </w:rPr>
            </w:pPr>
            <w:hyperlink r:id="rId995">
              <w:r w:rsidR="0030286B">
                <w:rPr>
                  <w:color w:val="B02045"/>
                  <w:sz w:val="21"/>
                </w:rPr>
                <w:t>FlywayEndpointAutoConfiguration</w:t>
              </w:r>
            </w:hyperlink>
          </w:p>
        </w:tc>
        <w:tc>
          <w:tcPr>
            <w:tcW w:w="1995" w:type="dxa"/>
          </w:tcPr>
          <w:p w14:paraId="5DC703A7" w14:textId="77777777" w:rsidR="00A720EB" w:rsidRDefault="00E10349">
            <w:pPr>
              <w:pStyle w:val="TableParagraph"/>
              <w:spacing w:before="94"/>
              <w:ind w:left="59"/>
              <w:rPr>
                <w:rFonts w:ascii="Cambria"/>
                <w:sz w:val="21"/>
              </w:rPr>
            </w:pPr>
            <w:hyperlink r:id="rId996">
              <w:r w:rsidR="0030286B">
                <w:rPr>
                  <w:rFonts w:ascii="Cambria"/>
                  <w:color w:val="418BCA"/>
                  <w:w w:val="115"/>
                  <w:sz w:val="21"/>
                </w:rPr>
                <w:t>javadoc</w:t>
              </w:r>
            </w:hyperlink>
          </w:p>
        </w:tc>
      </w:tr>
      <w:tr w:rsidR="00A720EB" w14:paraId="5B41B5DE" w14:textId="77777777">
        <w:trPr>
          <w:trHeight w:val="425"/>
        </w:trPr>
        <w:tc>
          <w:tcPr>
            <w:tcW w:w="7981" w:type="dxa"/>
          </w:tcPr>
          <w:p w14:paraId="622DE3D0" w14:textId="77777777" w:rsidR="00A720EB" w:rsidRDefault="00E10349">
            <w:pPr>
              <w:pStyle w:val="TableParagraph"/>
              <w:spacing w:before="40"/>
              <w:rPr>
                <w:sz w:val="21"/>
              </w:rPr>
            </w:pPr>
            <w:hyperlink r:id="rId997">
              <w:r w:rsidR="0030286B">
                <w:rPr>
                  <w:color w:val="B02045"/>
                  <w:sz w:val="21"/>
                </w:rPr>
                <w:t>GangliaMetricsExportAutoConfiguration</w:t>
              </w:r>
            </w:hyperlink>
          </w:p>
        </w:tc>
        <w:tc>
          <w:tcPr>
            <w:tcW w:w="1995" w:type="dxa"/>
          </w:tcPr>
          <w:p w14:paraId="15899C66" w14:textId="77777777" w:rsidR="00A720EB" w:rsidRDefault="00E10349">
            <w:pPr>
              <w:pStyle w:val="TableParagraph"/>
              <w:spacing w:before="94"/>
              <w:ind w:left="59"/>
              <w:rPr>
                <w:rFonts w:ascii="Cambria"/>
                <w:sz w:val="21"/>
              </w:rPr>
            </w:pPr>
            <w:hyperlink r:id="rId998">
              <w:r w:rsidR="0030286B">
                <w:rPr>
                  <w:rFonts w:ascii="Cambria"/>
                  <w:color w:val="418BCA"/>
                  <w:w w:val="115"/>
                  <w:sz w:val="21"/>
                </w:rPr>
                <w:t>javadoc</w:t>
              </w:r>
            </w:hyperlink>
          </w:p>
        </w:tc>
      </w:tr>
    </w:tbl>
    <w:p w14:paraId="02EAE410" w14:textId="77777777" w:rsidR="00A720EB" w:rsidRDefault="00A720EB">
      <w:pPr>
        <w:rPr>
          <w:sz w:val="21"/>
        </w:rPr>
        <w:sectPr w:rsidR="00A720EB">
          <w:pgSz w:w="11910" w:h="16840"/>
          <w:pgMar w:top="62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981"/>
        <w:gridCol w:w="1995"/>
      </w:tblGrid>
      <w:tr w:rsidR="00A720EB" w14:paraId="3C937468" w14:textId="77777777">
        <w:trPr>
          <w:trHeight w:val="415"/>
        </w:trPr>
        <w:tc>
          <w:tcPr>
            <w:tcW w:w="7981" w:type="dxa"/>
            <w:tcBorders>
              <w:bottom w:val="single" w:sz="12" w:space="0" w:color="DDDDDD"/>
            </w:tcBorders>
          </w:tcPr>
          <w:p w14:paraId="083BE832"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Configuration Class</w:t>
            </w:r>
          </w:p>
        </w:tc>
        <w:tc>
          <w:tcPr>
            <w:tcW w:w="1995" w:type="dxa"/>
            <w:tcBorders>
              <w:bottom w:val="single" w:sz="12" w:space="0" w:color="DDDDDD"/>
            </w:tcBorders>
          </w:tcPr>
          <w:p w14:paraId="7D478A59" w14:textId="77777777" w:rsidR="00A720EB" w:rsidRDefault="0030286B">
            <w:pPr>
              <w:pStyle w:val="TableParagraph"/>
              <w:spacing w:before="71"/>
              <w:ind w:left="59"/>
              <w:rPr>
                <w:rFonts w:ascii="Palatino Linotype"/>
                <w:b/>
                <w:sz w:val="21"/>
              </w:rPr>
            </w:pPr>
            <w:r>
              <w:rPr>
                <w:rFonts w:ascii="Palatino Linotype"/>
                <w:b/>
                <w:color w:val="333333"/>
                <w:w w:val="105"/>
                <w:sz w:val="21"/>
              </w:rPr>
              <w:t>Links</w:t>
            </w:r>
          </w:p>
        </w:tc>
      </w:tr>
      <w:tr w:rsidR="00A720EB" w14:paraId="2D88452C" w14:textId="77777777">
        <w:trPr>
          <w:trHeight w:val="415"/>
        </w:trPr>
        <w:tc>
          <w:tcPr>
            <w:tcW w:w="7981" w:type="dxa"/>
            <w:tcBorders>
              <w:top w:val="single" w:sz="12" w:space="0" w:color="DDDDDD"/>
            </w:tcBorders>
          </w:tcPr>
          <w:p w14:paraId="7FE57CB0" w14:textId="77777777" w:rsidR="00A720EB" w:rsidRDefault="00E10349">
            <w:pPr>
              <w:pStyle w:val="TableParagraph"/>
              <w:spacing w:before="27"/>
              <w:rPr>
                <w:sz w:val="21"/>
              </w:rPr>
            </w:pPr>
            <w:hyperlink r:id="rId999">
              <w:r w:rsidR="0030286B">
                <w:rPr>
                  <w:color w:val="B02045"/>
                  <w:sz w:val="21"/>
                </w:rPr>
                <w:t>GraphiteMetricsExportAutoConfiguration</w:t>
              </w:r>
            </w:hyperlink>
          </w:p>
        </w:tc>
        <w:tc>
          <w:tcPr>
            <w:tcW w:w="1995" w:type="dxa"/>
            <w:tcBorders>
              <w:top w:val="single" w:sz="12" w:space="0" w:color="DDDDDD"/>
            </w:tcBorders>
          </w:tcPr>
          <w:p w14:paraId="21ED7402" w14:textId="77777777" w:rsidR="00A720EB" w:rsidRDefault="00E10349">
            <w:pPr>
              <w:pStyle w:val="TableParagraph"/>
              <w:spacing w:before="82"/>
              <w:ind w:left="59"/>
              <w:rPr>
                <w:rFonts w:ascii="Cambria"/>
                <w:sz w:val="21"/>
              </w:rPr>
            </w:pPr>
            <w:hyperlink r:id="rId1000">
              <w:r w:rsidR="0030286B">
                <w:rPr>
                  <w:rFonts w:ascii="Cambria"/>
                  <w:color w:val="418BCA"/>
                  <w:w w:val="115"/>
                  <w:sz w:val="21"/>
                </w:rPr>
                <w:t>javadoc</w:t>
              </w:r>
            </w:hyperlink>
          </w:p>
        </w:tc>
      </w:tr>
      <w:tr w:rsidR="00A720EB" w14:paraId="082469D6" w14:textId="77777777">
        <w:trPr>
          <w:trHeight w:val="425"/>
        </w:trPr>
        <w:tc>
          <w:tcPr>
            <w:tcW w:w="7981" w:type="dxa"/>
          </w:tcPr>
          <w:p w14:paraId="5FD277A8" w14:textId="77777777" w:rsidR="00A720EB" w:rsidRDefault="00E10349">
            <w:pPr>
              <w:pStyle w:val="TableParagraph"/>
              <w:rPr>
                <w:sz w:val="21"/>
              </w:rPr>
            </w:pPr>
            <w:hyperlink r:id="rId1001">
              <w:r w:rsidR="0030286B">
                <w:rPr>
                  <w:color w:val="B02045"/>
                  <w:sz w:val="21"/>
                </w:rPr>
                <w:t>HazelcastHealthContributorAutoConfiguration</w:t>
              </w:r>
            </w:hyperlink>
          </w:p>
        </w:tc>
        <w:tc>
          <w:tcPr>
            <w:tcW w:w="1995" w:type="dxa"/>
          </w:tcPr>
          <w:p w14:paraId="28455D98" w14:textId="77777777" w:rsidR="00A720EB" w:rsidRDefault="00E10349">
            <w:pPr>
              <w:pStyle w:val="TableParagraph"/>
              <w:spacing w:before="92"/>
              <w:ind w:left="59"/>
              <w:rPr>
                <w:rFonts w:ascii="Cambria"/>
                <w:sz w:val="21"/>
              </w:rPr>
            </w:pPr>
            <w:hyperlink r:id="rId1002">
              <w:r w:rsidR="0030286B">
                <w:rPr>
                  <w:rFonts w:ascii="Cambria"/>
                  <w:color w:val="418BCA"/>
                  <w:w w:val="115"/>
                  <w:sz w:val="21"/>
                </w:rPr>
                <w:t>javadoc</w:t>
              </w:r>
            </w:hyperlink>
          </w:p>
        </w:tc>
      </w:tr>
      <w:tr w:rsidR="00A720EB" w14:paraId="06371570" w14:textId="77777777">
        <w:trPr>
          <w:trHeight w:val="425"/>
        </w:trPr>
        <w:tc>
          <w:tcPr>
            <w:tcW w:w="7981" w:type="dxa"/>
          </w:tcPr>
          <w:p w14:paraId="77FCF382" w14:textId="77777777" w:rsidR="00A720EB" w:rsidRDefault="00E10349">
            <w:pPr>
              <w:pStyle w:val="TableParagraph"/>
              <w:spacing w:before="37"/>
              <w:rPr>
                <w:sz w:val="21"/>
              </w:rPr>
            </w:pPr>
            <w:hyperlink r:id="rId1003">
              <w:r w:rsidR="0030286B">
                <w:rPr>
                  <w:color w:val="B02045"/>
                  <w:sz w:val="21"/>
                </w:rPr>
                <w:t>HealthContributorAutoConfiguration</w:t>
              </w:r>
            </w:hyperlink>
          </w:p>
        </w:tc>
        <w:tc>
          <w:tcPr>
            <w:tcW w:w="1995" w:type="dxa"/>
          </w:tcPr>
          <w:p w14:paraId="3E16A7FB" w14:textId="77777777" w:rsidR="00A720EB" w:rsidRDefault="00E10349">
            <w:pPr>
              <w:pStyle w:val="TableParagraph"/>
              <w:spacing w:before="92"/>
              <w:ind w:left="59"/>
              <w:rPr>
                <w:rFonts w:ascii="Cambria"/>
                <w:sz w:val="21"/>
              </w:rPr>
            </w:pPr>
            <w:hyperlink r:id="rId1004">
              <w:r w:rsidR="0030286B">
                <w:rPr>
                  <w:rFonts w:ascii="Cambria"/>
                  <w:color w:val="418BCA"/>
                  <w:w w:val="115"/>
                  <w:sz w:val="21"/>
                </w:rPr>
                <w:t>javadoc</w:t>
              </w:r>
            </w:hyperlink>
          </w:p>
        </w:tc>
      </w:tr>
      <w:tr w:rsidR="00A720EB" w14:paraId="30B2F3A7" w14:textId="77777777">
        <w:trPr>
          <w:trHeight w:val="425"/>
        </w:trPr>
        <w:tc>
          <w:tcPr>
            <w:tcW w:w="7981" w:type="dxa"/>
          </w:tcPr>
          <w:p w14:paraId="0A3E2795" w14:textId="77777777" w:rsidR="00A720EB" w:rsidRDefault="00E10349">
            <w:pPr>
              <w:pStyle w:val="TableParagraph"/>
              <w:rPr>
                <w:sz w:val="21"/>
              </w:rPr>
            </w:pPr>
            <w:hyperlink r:id="rId1005">
              <w:r w:rsidR="0030286B">
                <w:rPr>
                  <w:color w:val="B02045"/>
                  <w:sz w:val="21"/>
                </w:rPr>
                <w:t>HealthEndpointAutoConfiguration</w:t>
              </w:r>
            </w:hyperlink>
          </w:p>
        </w:tc>
        <w:tc>
          <w:tcPr>
            <w:tcW w:w="1995" w:type="dxa"/>
          </w:tcPr>
          <w:p w14:paraId="0D8133F5" w14:textId="77777777" w:rsidR="00A720EB" w:rsidRDefault="00E10349">
            <w:pPr>
              <w:pStyle w:val="TableParagraph"/>
              <w:spacing w:before="92"/>
              <w:ind w:left="59"/>
              <w:rPr>
                <w:rFonts w:ascii="Cambria"/>
                <w:sz w:val="21"/>
              </w:rPr>
            </w:pPr>
            <w:hyperlink r:id="rId1006">
              <w:r w:rsidR="0030286B">
                <w:rPr>
                  <w:rFonts w:ascii="Cambria"/>
                  <w:color w:val="418BCA"/>
                  <w:w w:val="115"/>
                  <w:sz w:val="21"/>
                </w:rPr>
                <w:t>javadoc</w:t>
              </w:r>
            </w:hyperlink>
          </w:p>
        </w:tc>
      </w:tr>
      <w:tr w:rsidR="00A720EB" w14:paraId="425A20E2" w14:textId="77777777">
        <w:trPr>
          <w:trHeight w:val="425"/>
        </w:trPr>
        <w:tc>
          <w:tcPr>
            <w:tcW w:w="7981" w:type="dxa"/>
          </w:tcPr>
          <w:p w14:paraId="5C3A299B" w14:textId="77777777" w:rsidR="00A720EB" w:rsidRDefault="00E10349">
            <w:pPr>
              <w:pStyle w:val="TableParagraph"/>
              <w:spacing w:before="37"/>
              <w:rPr>
                <w:sz w:val="21"/>
              </w:rPr>
            </w:pPr>
            <w:hyperlink r:id="rId1007">
              <w:r w:rsidR="0030286B">
                <w:rPr>
                  <w:color w:val="B02045"/>
                  <w:sz w:val="21"/>
                </w:rPr>
                <w:t>HeapDumpWebEndpointAutoConfiguration</w:t>
              </w:r>
            </w:hyperlink>
          </w:p>
        </w:tc>
        <w:tc>
          <w:tcPr>
            <w:tcW w:w="1995" w:type="dxa"/>
          </w:tcPr>
          <w:p w14:paraId="3E5AF447" w14:textId="77777777" w:rsidR="00A720EB" w:rsidRDefault="00E10349">
            <w:pPr>
              <w:pStyle w:val="TableParagraph"/>
              <w:spacing w:before="92"/>
              <w:ind w:left="59"/>
              <w:rPr>
                <w:rFonts w:ascii="Cambria"/>
                <w:sz w:val="21"/>
              </w:rPr>
            </w:pPr>
            <w:hyperlink r:id="rId1008">
              <w:r w:rsidR="0030286B">
                <w:rPr>
                  <w:rFonts w:ascii="Cambria"/>
                  <w:color w:val="418BCA"/>
                  <w:w w:val="115"/>
                  <w:sz w:val="21"/>
                </w:rPr>
                <w:t>javadoc</w:t>
              </w:r>
            </w:hyperlink>
          </w:p>
        </w:tc>
      </w:tr>
      <w:tr w:rsidR="00A720EB" w14:paraId="3BC151BD" w14:textId="77777777">
        <w:trPr>
          <w:trHeight w:val="425"/>
        </w:trPr>
        <w:tc>
          <w:tcPr>
            <w:tcW w:w="7981" w:type="dxa"/>
          </w:tcPr>
          <w:p w14:paraId="16AC56D2" w14:textId="77777777" w:rsidR="00A720EB" w:rsidRDefault="00E10349">
            <w:pPr>
              <w:pStyle w:val="TableParagraph"/>
              <w:rPr>
                <w:sz w:val="21"/>
              </w:rPr>
            </w:pPr>
            <w:hyperlink r:id="rId1009">
              <w:r w:rsidR="0030286B">
                <w:rPr>
                  <w:color w:val="B02045"/>
                  <w:sz w:val="21"/>
                </w:rPr>
                <w:t>HibernateMetricsAutoConfiguration</w:t>
              </w:r>
            </w:hyperlink>
          </w:p>
        </w:tc>
        <w:tc>
          <w:tcPr>
            <w:tcW w:w="1995" w:type="dxa"/>
          </w:tcPr>
          <w:p w14:paraId="6C8B6C29" w14:textId="77777777" w:rsidR="00A720EB" w:rsidRDefault="00E10349">
            <w:pPr>
              <w:pStyle w:val="TableParagraph"/>
              <w:spacing w:before="92"/>
              <w:ind w:left="59"/>
              <w:rPr>
                <w:rFonts w:ascii="Cambria"/>
                <w:sz w:val="21"/>
              </w:rPr>
            </w:pPr>
            <w:hyperlink r:id="rId1010">
              <w:r w:rsidR="0030286B">
                <w:rPr>
                  <w:rFonts w:ascii="Cambria"/>
                  <w:color w:val="418BCA"/>
                  <w:w w:val="115"/>
                  <w:sz w:val="21"/>
                </w:rPr>
                <w:t>javadoc</w:t>
              </w:r>
            </w:hyperlink>
          </w:p>
        </w:tc>
      </w:tr>
      <w:tr w:rsidR="00A720EB" w14:paraId="00DB434F" w14:textId="77777777">
        <w:trPr>
          <w:trHeight w:val="425"/>
        </w:trPr>
        <w:tc>
          <w:tcPr>
            <w:tcW w:w="7981" w:type="dxa"/>
          </w:tcPr>
          <w:p w14:paraId="0269886B" w14:textId="77777777" w:rsidR="00A720EB" w:rsidRDefault="00E10349">
            <w:pPr>
              <w:pStyle w:val="TableParagraph"/>
              <w:spacing w:before="37"/>
              <w:rPr>
                <w:sz w:val="21"/>
              </w:rPr>
            </w:pPr>
            <w:hyperlink r:id="rId1011">
              <w:r w:rsidR="0030286B">
                <w:rPr>
                  <w:color w:val="B02045"/>
                  <w:sz w:val="21"/>
                </w:rPr>
                <w:t>HttpClientMetricsAutoConfiguration</w:t>
              </w:r>
            </w:hyperlink>
          </w:p>
        </w:tc>
        <w:tc>
          <w:tcPr>
            <w:tcW w:w="1995" w:type="dxa"/>
          </w:tcPr>
          <w:p w14:paraId="25A332A9" w14:textId="77777777" w:rsidR="00A720EB" w:rsidRDefault="00E10349">
            <w:pPr>
              <w:pStyle w:val="TableParagraph"/>
              <w:spacing w:before="92"/>
              <w:ind w:left="59"/>
              <w:rPr>
                <w:rFonts w:ascii="Cambria"/>
                <w:sz w:val="21"/>
              </w:rPr>
            </w:pPr>
            <w:hyperlink r:id="rId1012">
              <w:r w:rsidR="0030286B">
                <w:rPr>
                  <w:rFonts w:ascii="Cambria"/>
                  <w:color w:val="418BCA"/>
                  <w:w w:val="115"/>
                  <w:sz w:val="21"/>
                </w:rPr>
                <w:t>javadoc</w:t>
              </w:r>
            </w:hyperlink>
          </w:p>
        </w:tc>
      </w:tr>
      <w:tr w:rsidR="00A720EB" w14:paraId="3E3681CF" w14:textId="77777777">
        <w:trPr>
          <w:trHeight w:val="425"/>
        </w:trPr>
        <w:tc>
          <w:tcPr>
            <w:tcW w:w="7981" w:type="dxa"/>
          </w:tcPr>
          <w:p w14:paraId="76B1E3DF" w14:textId="77777777" w:rsidR="00A720EB" w:rsidRDefault="00E10349">
            <w:pPr>
              <w:pStyle w:val="TableParagraph"/>
              <w:rPr>
                <w:sz w:val="21"/>
              </w:rPr>
            </w:pPr>
            <w:hyperlink r:id="rId1013">
              <w:r w:rsidR="0030286B">
                <w:rPr>
                  <w:color w:val="B02045"/>
                  <w:sz w:val="21"/>
                </w:rPr>
                <w:t>HttpTraceAutoConfiguration</w:t>
              </w:r>
            </w:hyperlink>
          </w:p>
        </w:tc>
        <w:tc>
          <w:tcPr>
            <w:tcW w:w="1995" w:type="dxa"/>
          </w:tcPr>
          <w:p w14:paraId="217FC85E" w14:textId="77777777" w:rsidR="00A720EB" w:rsidRDefault="00E10349">
            <w:pPr>
              <w:pStyle w:val="TableParagraph"/>
              <w:spacing w:before="92"/>
              <w:ind w:left="59"/>
              <w:rPr>
                <w:rFonts w:ascii="Cambria"/>
                <w:sz w:val="21"/>
              </w:rPr>
            </w:pPr>
            <w:hyperlink r:id="rId1014">
              <w:r w:rsidR="0030286B">
                <w:rPr>
                  <w:rFonts w:ascii="Cambria"/>
                  <w:color w:val="418BCA"/>
                  <w:w w:val="115"/>
                  <w:sz w:val="21"/>
                </w:rPr>
                <w:t>javadoc</w:t>
              </w:r>
            </w:hyperlink>
          </w:p>
        </w:tc>
      </w:tr>
      <w:tr w:rsidR="00A720EB" w14:paraId="05461F87" w14:textId="77777777">
        <w:trPr>
          <w:trHeight w:val="425"/>
        </w:trPr>
        <w:tc>
          <w:tcPr>
            <w:tcW w:w="7981" w:type="dxa"/>
          </w:tcPr>
          <w:p w14:paraId="4C1EBCDD" w14:textId="77777777" w:rsidR="00A720EB" w:rsidRDefault="00E10349">
            <w:pPr>
              <w:pStyle w:val="TableParagraph"/>
              <w:spacing w:before="37"/>
              <w:rPr>
                <w:sz w:val="21"/>
              </w:rPr>
            </w:pPr>
            <w:hyperlink r:id="rId1015">
              <w:r w:rsidR="0030286B">
                <w:rPr>
                  <w:color w:val="B02045"/>
                  <w:sz w:val="21"/>
                </w:rPr>
                <w:t>HttpTraceEndpointAutoConfiguration</w:t>
              </w:r>
            </w:hyperlink>
          </w:p>
        </w:tc>
        <w:tc>
          <w:tcPr>
            <w:tcW w:w="1995" w:type="dxa"/>
          </w:tcPr>
          <w:p w14:paraId="52403BE2" w14:textId="77777777" w:rsidR="00A720EB" w:rsidRDefault="00E10349">
            <w:pPr>
              <w:pStyle w:val="TableParagraph"/>
              <w:spacing w:before="92"/>
              <w:ind w:left="59"/>
              <w:rPr>
                <w:rFonts w:ascii="Cambria"/>
                <w:sz w:val="21"/>
              </w:rPr>
            </w:pPr>
            <w:hyperlink r:id="rId1016">
              <w:r w:rsidR="0030286B">
                <w:rPr>
                  <w:rFonts w:ascii="Cambria"/>
                  <w:color w:val="418BCA"/>
                  <w:w w:val="115"/>
                  <w:sz w:val="21"/>
                </w:rPr>
                <w:t>javadoc</w:t>
              </w:r>
            </w:hyperlink>
          </w:p>
        </w:tc>
      </w:tr>
      <w:tr w:rsidR="00A720EB" w14:paraId="5D184262" w14:textId="77777777">
        <w:trPr>
          <w:trHeight w:val="425"/>
        </w:trPr>
        <w:tc>
          <w:tcPr>
            <w:tcW w:w="7981" w:type="dxa"/>
          </w:tcPr>
          <w:p w14:paraId="6E342A06" w14:textId="77777777" w:rsidR="00A720EB" w:rsidRDefault="00E10349">
            <w:pPr>
              <w:pStyle w:val="TableParagraph"/>
              <w:rPr>
                <w:sz w:val="21"/>
              </w:rPr>
            </w:pPr>
            <w:hyperlink r:id="rId1017">
              <w:r w:rsidR="0030286B">
                <w:rPr>
                  <w:color w:val="B02045"/>
                  <w:sz w:val="21"/>
                </w:rPr>
                <w:t>HumioMetricsExportAutoConfiguration</w:t>
              </w:r>
            </w:hyperlink>
          </w:p>
        </w:tc>
        <w:tc>
          <w:tcPr>
            <w:tcW w:w="1995" w:type="dxa"/>
          </w:tcPr>
          <w:p w14:paraId="623D19EB" w14:textId="77777777" w:rsidR="00A720EB" w:rsidRDefault="00E10349">
            <w:pPr>
              <w:pStyle w:val="TableParagraph"/>
              <w:spacing w:before="92"/>
              <w:ind w:left="59"/>
              <w:rPr>
                <w:rFonts w:ascii="Cambria"/>
                <w:sz w:val="21"/>
              </w:rPr>
            </w:pPr>
            <w:hyperlink r:id="rId1018">
              <w:r w:rsidR="0030286B">
                <w:rPr>
                  <w:rFonts w:ascii="Cambria"/>
                  <w:color w:val="418BCA"/>
                  <w:w w:val="115"/>
                  <w:sz w:val="21"/>
                </w:rPr>
                <w:t>javadoc</w:t>
              </w:r>
            </w:hyperlink>
          </w:p>
        </w:tc>
      </w:tr>
      <w:tr w:rsidR="00A720EB" w14:paraId="6417F6E5" w14:textId="77777777">
        <w:trPr>
          <w:trHeight w:val="425"/>
        </w:trPr>
        <w:tc>
          <w:tcPr>
            <w:tcW w:w="7981" w:type="dxa"/>
          </w:tcPr>
          <w:p w14:paraId="06B786AB" w14:textId="77777777" w:rsidR="00A720EB" w:rsidRDefault="00E10349">
            <w:pPr>
              <w:pStyle w:val="TableParagraph"/>
              <w:spacing w:before="37"/>
              <w:rPr>
                <w:sz w:val="21"/>
              </w:rPr>
            </w:pPr>
            <w:hyperlink r:id="rId1019">
              <w:r w:rsidR="0030286B">
                <w:rPr>
                  <w:color w:val="B02045"/>
                  <w:sz w:val="21"/>
                </w:rPr>
                <w:t>InfluxDbHealthContributorAutoConfiguration</w:t>
              </w:r>
            </w:hyperlink>
          </w:p>
        </w:tc>
        <w:tc>
          <w:tcPr>
            <w:tcW w:w="1995" w:type="dxa"/>
          </w:tcPr>
          <w:p w14:paraId="49B5F229" w14:textId="77777777" w:rsidR="00A720EB" w:rsidRDefault="00E10349">
            <w:pPr>
              <w:pStyle w:val="TableParagraph"/>
              <w:spacing w:before="92"/>
              <w:ind w:left="59"/>
              <w:rPr>
                <w:rFonts w:ascii="Cambria"/>
                <w:sz w:val="21"/>
              </w:rPr>
            </w:pPr>
            <w:hyperlink r:id="rId1020">
              <w:r w:rsidR="0030286B">
                <w:rPr>
                  <w:rFonts w:ascii="Cambria"/>
                  <w:color w:val="418BCA"/>
                  <w:w w:val="115"/>
                  <w:sz w:val="21"/>
                </w:rPr>
                <w:t>javadoc</w:t>
              </w:r>
            </w:hyperlink>
          </w:p>
        </w:tc>
      </w:tr>
      <w:tr w:rsidR="00A720EB" w14:paraId="0AC2DD99" w14:textId="77777777">
        <w:trPr>
          <w:trHeight w:val="425"/>
        </w:trPr>
        <w:tc>
          <w:tcPr>
            <w:tcW w:w="7981" w:type="dxa"/>
          </w:tcPr>
          <w:p w14:paraId="06678D88" w14:textId="77777777" w:rsidR="00A720EB" w:rsidRDefault="00E10349">
            <w:pPr>
              <w:pStyle w:val="TableParagraph"/>
              <w:spacing w:before="37"/>
              <w:rPr>
                <w:sz w:val="21"/>
              </w:rPr>
            </w:pPr>
            <w:hyperlink r:id="rId1021">
              <w:r w:rsidR="0030286B">
                <w:rPr>
                  <w:color w:val="B02045"/>
                  <w:sz w:val="21"/>
                </w:rPr>
                <w:t>InfluxMetricsExportAutoConfiguration</w:t>
              </w:r>
            </w:hyperlink>
          </w:p>
        </w:tc>
        <w:tc>
          <w:tcPr>
            <w:tcW w:w="1995" w:type="dxa"/>
          </w:tcPr>
          <w:p w14:paraId="4DAD41D1" w14:textId="77777777" w:rsidR="00A720EB" w:rsidRDefault="00E10349">
            <w:pPr>
              <w:pStyle w:val="TableParagraph"/>
              <w:spacing w:before="92"/>
              <w:ind w:left="59"/>
              <w:rPr>
                <w:rFonts w:ascii="Cambria"/>
                <w:sz w:val="21"/>
              </w:rPr>
            </w:pPr>
            <w:hyperlink r:id="rId1022">
              <w:r w:rsidR="0030286B">
                <w:rPr>
                  <w:rFonts w:ascii="Cambria"/>
                  <w:color w:val="418BCA"/>
                  <w:w w:val="115"/>
                  <w:sz w:val="21"/>
                </w:rPr>
                <w:t>javadoc</w:t>
              </w:r>
            </w:hyperlink>
          </w:p>
        </w:tc>
      </w:tr>
      <w:tr w:rsidR="00A720EB" w14:paraId="773F5FDF" w14:textId="77777777">
        <w:trPr>
          <w:trHeight w:val="425"/>
        </w:trPr>
        <w:tc>
          <w:tcPr>
            <w:tcW w:w="7981" w:type="dxa"/>
          </w:tcPr>
          <w:p w14:paraId="70BBF4EB" w14:textId="77777777" w:rsidR="00A720EB" w:rsidRDefault="00E10349">
            <w:pPr>
              <w:pStyle w:val="TableParagraph"/>
              <w:spacing w:before="37"/>
              <w:rPr>
                <w:sz w:val="21"/>
              </w:rPr>
            </w:pPr>
            <w:hyperlink r:id="rId1023">
              <w:r w:rsidR="0030286B">
                <w:rPr>
                  <w:color w:val="B02045"/>
                  <w:sz w:val="21"/>
                </w:rPr>
                <w:t>InfoContributorAutoConfiguration</w:t>
              </w:r>
            </w:hyperlink>
          </w:p>
        </w:tc>
        <w:tc>
          <w:tcPr>
            <w:tcW w:w="1995" w:type="dxa"/>
          </w:tcPr>
          <w:p w14:paraId="75AFE05E" w14:textId="77777777" w:rsidR="00A720EB" w:rsidRDefault="00E10349">
            <w:pPr>
              <w:pStyle w:val="TableParagraph"/>
              <w:spacing w:before="92"/>
              <w:ind w:left="59"/>
              <w:rPr>
                <w:rFonts w:ascii="Cambria"/>
                <w:sz w:val="21"/>
              </w:rPr>
            </w:pPr>
            <w:hyperlink r:id="rId1024">
              <w:r w:rsidR="0030286B">
                <w:rPr>
                  <w:rFonts w:ascii="Cambria"/>
                  <w:color w:val="418BCA"/>
                  <w:w w:val="115"/>
                  <w:sz w:val="21"/>
                </w:rPr>
                <w:t>javadoc</w:t>
              </w:r>
            </w:hyperlink>
          </w:p>
        </w:tc>
      </w:tr>
      <w:tr w:rsidR="00A720EB" w14:paraId="13EA284B" w14:textId="77777777">
        <w:trPr>
          <w:trHeight w:val="425"/>
        </w:trPr>
        <w:tc>
          <w:tcPr>
            <w:tcW w:w="7981" w:type="dxa"/>
          </w:tcPr>
          <w:p w14:paraId="554DD33D" w14:textId="77777777" w:rsidR="00A720EB" w:rsidRDefault="00E10349">
            <w:pPr>
              <w:pStyle w:val="TableParagraph"/>
              <w:spacing w:before="37"/>
              <w:rPr>
                <w:sz w:val="21"/>
              </w:rPr>
            </w:pPr>
            <w:hyperlink r:id="rId1025">
              <w:r w:rsidR="0030286B">
                <w:rPr>
                  <w:color w:val="B02045"/>
                  <w:sz w:val="21"/>
                </w:rPr>
                <w:t>InfoEndpointAutoConfiguration</w:t>
              </w:r>
            </w:hyperlink>
          </w:p>
        </w:tc>
        <w:tc>
          <w:tcPr>
            <w:tcW w:w="1995" w:type="dxa"/>
          </w:tcPr>
          <w:p w14:paraId="25ADB449" w14:textId="77777777" w:rsidR="00A720EB" w:rsidRDefault="00E10349">
            <w:pPr>
              <w:pStyle w:val="TableParagraph"/>
              <w:spacing w:before="92"/>
              <w:ind w:left="59"/>
              <w:rPr>
                <w:rFonts w:ascii="Cambria"/>
                <w:sz w:val="21"/>
              </w:rPr>
            </w:pPr>
            <w:hyperlink r:id="rId1026">
              <w:r w:rsidR="0030286B">
                <w:rPr>
                  <w:rFonts w:ascii="Cambria"/>
                  <w:color w:val="418BCA"/>
                  <w:w w:val="115"/>
                  <w:sz w:val="21"/>
                </w:rPr>
                <w:t>javadoc</w:t>
              </w:r>
            </w:hyperlink>
          </w:p>
        </w:tc>
      </w:tr>
      <w:tr w:rsidR="00A720EB" w14:paraId="28A6A2FA" w14:textId="77777777">
        <w:trPr>
          <w:trHeight w:val="425"/>
        </w:trPr>
        <w:tc>
          <w:tcPr>
            <w:tcW w:w="7981" w:type="dxa"/>
          </w:tcPr>
          <w:p w14:paraId="19187B92" w14:textId="77777777" w:rsidR="00A720EB" w:rsidRDefault="00E10349">
            <w:pPr>
              <w:pStyle w:val="TableParagraph"/>
              <w:spacing w:before="37"/>
              <w:rPr>
                <w:sz w:val="21"/>
              </w:rPr>
            </w:pPr>
            <w:hyperlink r:id="rId1027">
              <w:r w:rsidR="0030286B">
                <w:rPr>
                  <w:color w:val="B02045"/>
                  <w:sz w:val="21"/>
                </w:rPr>
                <w:t>IntegrationGraphEndpointAutoConfiguration</w:t>
              </w:r>
            </w:hyperlink>
          </w:p>
        </w:tc>
        <w:tc>
          <w:tcPr>
            <w:tcW w:w="1995" w:type="dxa"/>
          </w:tcPr>
          <w:p w14:paraId="5B495DF7" w14:textId="77777777" w:rsidR="00A720EB" w:rsidRDefault="00E10349">
            <w:pPr>
              <w:pStyle w:val="TableParagraph"/>
              <w:spacing w:before="92"/>
              <w:ind w:left="59"/>
              <w:rPr>
                <w:rFonts w:ascii="Cambria"/>
                <w:sz w:val="21"/>
              </w:rPr>
            </w:pPr>
            <w:hyperlink r:id="rId1028">
              <w:r w:rsidR="0030286B">
                <w:rPr>
                  <w:rFonts w:ascii="Cambria"/>
                  <w:color w:val="418BCA"/>
                  <w:w w:val="115"/>
                  <w:sz w:val="21"/>
                </w:rPr>
                <w:t>javadoc</w:t>
              </w:r>
            </w:hyperlink>
          </w:p>
        </w:tc>
      </w:tr>
      <w:tr w:rsidR="00A720EB" w14:paraId="579782B8" w14:textId="77777777">
        <w:trPr>
          <w:trHeight w:val="425"/>
        </w:trPr>
        <w:tc>
          <w:tcPr>
            <w:tcW w:w="7981" w:type="dxa"/>
          </w:tcPr>
          <w:p w14:paraId="1BC706EC" w14:textId="77777777" w:rsidR="00A720EB" w:rsidRDefault="00E10349">
            <w:pPr>
              <w:pStyle w:val="TableParagraph"/>
              <w:spacing w:before="37"/>
              <w:rPr>
                <w:sz w:val="21"/>
              </w:rPr>
            </w:pPr>
            <w:hyperlink r:id="rId1029">
              <w:r w:rsidR="0030286B">
                <w:rPr>
                  <w:color w:val="B02045"/>
                  <w:sz w:val="21"/>
                </w:rPr>
                <w:t>JerseyServerMetricsAutoConfiguration</w:t>
              </w:r>
            </w:hyperlink>
          </w:p>
        </w:tc>
        <w:tc>
          <w:tcPr>
            <w:tcW w:w="1995" w:type="dxa"/>
          </w:tcPr>
          <w:p w14:paraId="3D6144C1" w14:textId="77777777" w:rsidR="00A720EB" w:rsidRDefault="00E10349">
            <w:pPr>
              <w:pStyle w:val="TableParagraph"/>
              <w:spacing w:before="92"/>
              <w:ind w:left="59"/>
              <w:rPr>
                <w:rFonts w:ascii="Cambria"/>
                <w:sz w:val="21"/>
              </w:rPr>
            </w:pPr>
            <w:hyperlink r:id="rId1030">
              <w:r w:rsidR="0030286B">
                <w:rPr>
                  <w:rFonts w:ascii="Cambria"/>
                  <w:color w:val="418BCA"/>
                  <w:w w:val="115"/>
                  <w:sz w:val="21"/>
                </w:rPr>
                <w:t>javadoc</w:t>
              </w:r>
            </w:hyperlink>
          </w:p>
        </w:tc>
      </w:tr>
      <w:tr w:rsidR="00A720EB" w14:paraId="5965E517" w14:textId="77777777">
        <w:trPr>
          <w:trHeight w:val="425"/>
        </w:trPr>
        <w:tc>
          <w:tcPr>
            <w:tcW w:w="7981" w:type="dxa"/>
          </w:tcPr>
          <w:p w14:paraId="6A7EA82E" w14:textId="77777777" w:rsidR="00A720EB" w:rsidRDefault="00E10349">
            <w:pPr>
              <w:pStyle w:val="TableParagraph"/>
              <w:spacing w:before="37"/>
              <w:rPr>
                <w:sz w:val="21"/>
              </w:rPr>
            </w:pPr>
            <w:hyperlink r:id="rId1031">
              <w:r w:rsidR="0030286B">
                <w:rPr>
                  <w:color w:val="B02045"/>
                  <w:sz w:val="21"/>
                </w:rPr>
                <w:t>JettyMetricsAutoConfiguration</w:t>
              </w:r>
            </w:hyperlink>
          </w:p>
        </w:tc>
        <w:tc>
          <w:tcPr>
            <w:tcW w:w="1995" w:type="dxa"/>
          </w:tcPr>
          <w:p w14:paraId="1806D6AA" w14:textId="77777777" w:rsidR="00A720EB" w:rsidRDefault="00E10349">
            <w:pPr>
              <w:pStyle w:val="TableParagraph"/>
              <w:spacing w:before="92"/>
              <w:ind w:left="59"/>
              <w:rPr>
                <w:rFonts w:ascii="Cambria"/>
                <w:sz w:val="21"/>
              </w:rPr>
            </w:pPr>
            <w:hyperlink r:id="rId1032">
              <w:r w:rsidR="0030286B">
                <w:rPr>
                  <w:rFonts w:ascii="Cambria"/>
                  <w:color w:val="418BCA"/>
                  <w:w w:val="115"/>
                  <w:sz w:val="21"/>
                </w:rPr>
                <w:t>javadoc</w:t>
              </w:r>
            </w:hyperlink>
          </w:p>
        </w:tc>
      </w:tr>
      <w:tr w:rsidR="00A720EB" w14:paraId="58F40325" w14:textId="77777777">
        <w:trPr>
          <w:trHeight w:val="425"/>
        </w:trPr>
        <w:tc>
          <w:tcPr>
            <w:tcW w:w="7981" w:type="dxa"/>
          </w:tcPr>
          <w:p w14:paraId="35127913" w14:textId="77777777" w:rsidR="00A720EB" w:rsidRDefault="00E10349">
            <w:pPr>
              <w:pStyle w:val="TableParagraph"/>
              <w:spacing w:before="37"/>
              <w:rPr>
                <w:sz w:val="21"/>
              </w:rPr>
            </w:pPr>
            <w:hyperlink r:id="rId1033">
              <w:r w:rsidR="0030286B">
                <w:rPr>
                  <w:color w:val="B02045"/>
                  <w:sz w:val="21"/>
                </w:rPr>
                <w:t>JmsHealthContributorAutoConfiguration</w:t>
              </w:r>
            </w:hyperlink>
          </w:p>
        </w:tc>
        <w:tc>
          <w:tcPr>
            <w:tcW w:w="1995" w:type="dxa"/>
          </w:tcPr>
          <w:p w14:paraId="20BB9FF3" w14:textId="77777777" w:rsidR="00A720EB" w:rsidRDefault="00E10349">
            <w:pPr>
              <w:pStyle w:val="TableParagraph"/>
              <w:spacing w:before="92"/>
              <w:ind w:left="59"/>
              <w:rPr>
                <w:rFonts w:ascii="Cambria"/>
                <w:sz w:val="21"/>
              </w:rPr>
            </w:pPr>
            <w:hyperlink r:id="rId1034">
              <w:r w:rsidR="0030286B">
                <w:rPr>
                  <w:rFonts w:ascii="Cambria"/>
                  <w:color w:val="418BCA"/>
                  <w:w w:val="115"/>
                  <w:sz w:val="21"/>
                </w:rPr>
                <w:t>javadoc</w:t>
              </w:r>
            </w:hyperlink>
          </w:p>
        </w:tc>
      </w:tr>
      <w:tr w:rsidR="00A720EB" w14:paraId="4F6E3470" w14:textId="77777777">
        <w:trPr>
          <w:trHeight w:val="425"/>
        </w:trPr>
        <w:tc>
          <w:tcPr>
            <w:tcW w:w="7981" w:type="dxa"/>
          </w:tcPr>
          <w:p w14:paraId="2429826D" w14:textId="77777777" w:rsidR="00A720EB" w:rsidRDefault="00E10349">
            <w:pPr>
              <w:pStyle w:val="TableParagraph"/>
              <w:spacing w:before="37"/>
              <w:rPr>
                <w:sz w:val="21"/>
              </w:rPr>
            </w:pPr>
            <w:hyperlink r:id="rId1035">
              <w:r w:rsidR="0030286B">
                <w:rPr>
                  <w:color w:val="B02045"/>
                  <w:sz w:val="21"/>
                </w:rPr>
                <w:t>JmxEndpointAutoConfiguration</w:t>
              </w:r>
            </w:hyperlink>
          </w:p>
        </w:tc>
        <w:tc>
          <w:tcPr>
            <w:tcW w:w="1995" w:type="dxa"/>
          </w:tcPr>
          <w:p w14:paraId="677D5D39" w14:textId="77777777" w:rsidR="00A720EB" w:rsidRDefault="00E10349">
            <w:pPr>
              <w:pStyle w:val="TableParagraph"/>
              <w:spacing w:before="92"/>
              <w:ind w:left="59"/>
              <w:rPr>
                <w:rFonts w:ascii="Cambria"/>
                <w:sz w:val="21"/>
              </w:rPr>
            </w:pPr>
            <w:hyperlink r:id="rId1036">
              <w:r w:rsidR="0030286B">
                <w:rPr>
                  <w:rFonts w:ascii="Cambria"/>
                  <w:color w:val="418BCA"/>
                  <w:w w:val="115"/>
                  <w:sz w:val="21"/>
                </w:rPr>
                <w:t>javadoc</w:t>
              </w:r>
            </w:hyperlink>
          </w:p>
        </w:tc>
      </w:tr>
      <w:tr w:rsidR="00A720EB" w14:paraId="40BA51FD" w14:textId="77777777">
        <w:trPr>
          <w:trHeight w:val="425"/>
        </w:trPr>
        <w:tc>
          <w:tcPr>
            <w:tcW w:w="7981" w:type="dxa"/>
          </w:tcPr>
          <w:p w14:paraId="51DE99A2" w14:textId="77777777" w:rsidR="00A720EB" w:rsidRDefault="00E10349">
            <w:pPr>
              <w:pStyle w:val="TableParagraph"/>
              <w:spacing w:before="37"/>
              <w:rPr>
                <w:sz w:val="21"/>
              </w:rPr>
            </w:pPr>
            <w:hyperlink r:id="rId1037">
              <w:r w:rsidR="0030286B">
                <w:rPr>
                  <w:color w:val="B02045"/>
                  <w:sz w:val="21"/>
                </w:rPr>
                <w:t>JmxMetricsExportAutoConfiguration</w:t>
              </w:r>
            </w:hyperlink>
          </w:p>
        </w:tc>
        <w:tc>
          <w:tcPr>
            <w:tcW w:w="1995" w:type="dxa"/>
          </w:tcPr>
          <w:p w14:paraId="63B8B9BC" w14:textId="77777777" w:rsidR="00A720EB" w:rsidRDefault="00E10349">
            <w:pPr>
              <w:pStyle w:val="TableParagraph"/>
              <w:spacing w:before="92"/>
              <w:ind w:left="59"/>
              <w:rPr>
                <w:rFonts w:ascii="Cambria"/>
                <w:sz w:val="21"/>
              </w:rPr>
            </w:pPr>
            <w:hyperlink r:id="rId1038">
              <w:r w:rsidR="0030286B">
                <w:rPr>
                  <w:rFonts w:ascii="Cambria"/>
                  <w:color w:val="418BCA"/>
                  <w:w w:val="115"/>
                  <w:sz w:val="21"/>
                </w:rPr>
                <w:t>javadoc</w:t>
              </w:r>
            </w:hyperlink>
          </w:p>
        </w:tc>
      </w:tr>
      <w:tr w:rsidR="00A720EB" w14:paraId="67C84920" w14:textId="77777777">
        <w:trPr>
          <w:trHeight w:val="425"/>
        </w:trPr>
        <w:tc>
          <w:tcPr>
            <w:tcW w:w="7981" w:type="dxa"/>
          </w:tcPr>
          <w:p w14:paraId="46E837F1" w14:textId="77777777" w:rsidR="00A720EB" w:rsidRDefault="00E10349">
            <w:pPr>
              <w:pStyle w:val="TableParagraph"/>
              <w:spacing w:before="37"/>
              <w:rPr>
                <w:sz w:val="21"/>
              </w:rPr>
            </w:pPr>
            <w:hyperlink r:id="rId1039">
              <w:r w:rsidR="0030286B">
                <w:rPr>
                  <w:color w:val="B02045"/>
                  <w:sz w:val="21"/>
                </w:rPr>
                <w:t>JolokiaEndpointAutoConfiguration</w:t>
              </w:r>
            </w:hyperlink>
          </w:p>
        </w:tc>
        <w:tc>
          <w:tcPr>
            <w:tcW w:w="1995" w:type="dxa"/>
          </w:tcPr>
          <w:p w14:paraId="55B6FB01" w14:textId="77777777" w:rsidR="00A720EB" w:rsidRDefault="00E10349">
            <w:pPr>
              <w:pStyle w:val="TableParagraph"/>
              <w:spacing w:before="92"/>
              <w:ind w:left="59"/>
              <w:rPr>
                <w:rFonts w:ascii="Cambria"/>
                <w:sz w:val="21"/>
              </w:rPr>
            </w:pPr>
            <w:hyperlink r:id="rId1040">
              <w:r w:rsidR="0030286B">
                <w:rPr>
                  <w:rFonts w:ascii="Cambria"/>
                  <w:color w:val="418BCA"/>
                  <w:w w:val="115"/>
                  <w:sz w:val="21"/>
                </w:rPr>
                <w:t>javadoc</w:t>
              </w:r>
            </w:hyperlink>
          </w:p>
        </w:tc>
      </w:tr>
      <w:tr w:rsidR="00A720EB" w14:paraId="0EF72DC7" w14:textId="77777777">
        <w:trPr>
          <w:trHeight w:val="425"/>
        </w:trPr>
        <w:tc>
          <w:tcPr>
            <w:tcW w:w="7981" w:type="dxa"/>
          </w:tcPr>
          <w:p w14:paraId="09AA42D2" w14:textId="77777777" w:rsidR="00A720EB" w:rsidRDefault="00E10349">
            <w:pPr>
              <w:pStyle w:val="TableParagraph"/>
              <w:spacing w:before="37"/>
              <w:rPr>
                <w:sz w:val="21"/>
              </w:rPr>
            </w:pPr>
            <w:hyperlink r:id="rId1041">
              <w:r w:rsidR="0030286B">
                <w:rPr>
                  <w:color w:val="B02045"/>
                  <w:sz w:val="21"/>
                </w:rPr>
                <w:t>JvmMetricsAutoConfiguration</w:t>
              </w:r>
            </w:hyperlink>
          </w:p>
        </w:tc>
        <w:tc>
          <w:tcPr>
            <w:tcW w:w="1995" w:type="dxa"/>
          </w:tcPr>
          <w:p w14:paraId="63D21EDF" w14:textId="77777777" w:rsidR="00A720EB" w:rsidRDefault="00E10349">
            <w:pPr>
              <w:pStyle w:val="TableParagraph"/>
              <w:spacing w:before="92"/>
              <w:ind w:left="59"/>
              <w:rPr>
                <w:rFonts w:ascii="Cambria"/>
                <w:sz w:val="21"/>
              </w:rPr>
            </w:pPr>
            <w:hyperlink r:id="rId1042">
              <w:r w:rsidR="0030286B">
                <w:rPr>
                  <w:rFonts w:ascii="Cambria"/>
                  <w:color w:val="418BCA"/>
                  <w:w w:val="115"/>
                  <w:sz w:val="21"/>
                </w:rPr>
                <w:t>javadoc</w:t>
              </w:r>
            </w:hyperlink>
          </w:p>
        </w:tc>
      </w:tr>
      <w:tr w:rsidR="00A720EB" w14:paraId="44C999C4" w14:textId="77777777">
        <w:trPr>
          <w:trHeight w:val="425"/>
        </w:trPr>
        <w:tc>
          <w:tcPr>
            <w:tcW w:w="7981" w:type="dxa"/>
          </w:tcPr>
          <w:p w14:paraId="3BA3D9D3" w14:textId="77777777" w:rsidR="00A720EB" w:rsidRDefault="00E10349">
            <w:pPr>
              <w:pStyle w:val="TableParagraph"/>
              <w:spacing w:before="37"/>
              <w:rPr>
                <w:sz w:val="21"/>
              </w:rPr>
            </w:pPr>
            <w:hyperlink r:id="rId1043">
              <w:r w:rsidR="0030286B">
                <w:rPr>
                  <w:color w:val="B02045"/>
                  <w:sz w:val="21"/>
                </w:rPr>
                <w:t>KafkaMetricsAutoConfiguration</w:t>
              </w:r>
            </w:hyperlink>
          </w:p>
        </w:tc>
        <w:tc>
          <w:tcPr>
            <w:tcW w:w="1995" w:type="dxa"/>
          </w:tcPr>
          <w:p w14:paraId="17E845C7" w14:textId="77777777" w:rsidR="00A720EB" w:rsidRDefault="00E10349">
            <w:pPr>
              <w:pStyle w:val="TableParagraph"/>
              <w:spacing w:before="92"/>
              <w:ind w:left="59"/>
              <w:rPr>
                <w:rFonts w:ascii="Cambria"/>
                <w:sz w:val="21"/>
              </w:rPr>
            </w:pPr>
            <w:hyperlink r:id="rId1044">
              <w:r w:rsidR="0030286B">
                <w:rPr>
                  <w:rFonts w:ascii="Cambria"/>
                  <w:color w:val="418BCA"/>
                  <w:w w:val="115"/>
                  <w:sz w:val="21"/>
                </w:rPr>
                <w:t>javadoc</w:t>
              </w:r>
            </w:hyperlink>
          </w:p>
        </w:tc>
      </w:tr>
      <w:tr w:rsidR="00A720EB" w14:paraId="30329D8F" w14:textId="77777777">
        <w:trPr>
          <w:trHeight w:val="425"/>
        </w:trPr>
        <w:tc>
          <w:tcPr>
            <w:tcW w:w="7981" w:type="dxa"/>
          </w:tcPr>
          <w:p w14:paraId="051CD012" w14:textId="77777777" w:rsidR="00A720EB" w:rsidRDefault="00E10349">
            <w:pPr>
              <w:pStyle w:val="TableParagraph"/>
              <w:spacing w:before="37"/>
              <w:rPr>
                <w:sz w:val="21"/>
              </w:rPr>
            </w:pPr>
            <w:hyperlink r:id="rId1045">
              <w:r w:rsidR="0030286B">
                <w:rPr>
                  <w:color w:val="B02045"/>
                  <w:sz w:val="21"/>
                </w:rPr>
                <w:t>KairosMetricsExportAutoConfiguration</w:t>
              </w:r>
            </w:hyperlink>
          </w:p>
        </w:tc>
        <w:tc>
          <w:tcPr>
            <w:tcW w:w="1995" w:type="dxa"/>
          </w:tcPr>
          <w:p w14:paraId="3D66EA2D" w14:textId="77777777" w:rsidR="00A720EB" w:rsidRDefault="00E10349">
            <w:pPr>
              <w:pStyle w:val="TableParagraph"/>
              <w:spacing w:before="92"/>
              <w:ind w:left="59"/>
              <w:rPr>
                <w:rFonts w:ascii="Cambria"/>
                <w:sz w:val="21"/>
              </w:rPr>
            </w:pPr>
            <w:hyperlink r:id="rId1046">
              <w:r w:rsidR="0030286B">
                <w:rPr>
                  <w:rFonts w:ascii="Cambria"/>
                  <w:color w:val="418BCA"/>
                  <w:w w:val="115"/>
                  <w:sz w:val="21"/>
                </w:rPr>
                <w:t>javadoc</w:t>
              </w:r>
            </w:hyperlink>
          </w:p>
        </w:tc>
      </w:tr>
      <w:tr w:rsidR="00A720EB" w14:paraId="3999D7AA" w14:textId="77777777">
        <w:trPr>
          <w:trHeight w:val="425"/>
        </w:trPr>
        <w:tc>
          <w:tcPr>
            <w:tcW w:w="7981" w:type="dxa"/>
          </w:tcPr>
          <w:p w14:paraId="20D34F4B" w14:textId="77777777" w:rsidR="00A720EB" w:rsidRDefault="00E10349">
            <w:pPr>
              <w:pStyle w:val="TableParagraph"/>
              <w:spacing w:before="37"/>
              <w:rPr>
                <w:sz w:val="21"/>
              </w:rPr>
            </w:pPr>
            <w:hyperlink r:id="rId1047">
              <w:r w:rsidR="0030286B">
                <w:rPr>
                  <w:color w:val="B02045"/>
                  <w:sz w:val="21"/>
                </w:rPr>
                <w:t>LdapHealthContributorAutoConfiguration</w:t>
              </w:r>
            </w:hyperlink>
          </w:p>
        </w:tc>
        <w:tc>
          <w:tcPr>
            <w:tcW w:w="1995" w:type="dxa"/>
          </w:tcPr>
          <w:p w14:paraId="6595A9A4" w14:textId="77777777" w:rsidR="00A720EB" w:rsidRDefault="00E10349">
            <w:pPr>
              <w:pStyle w:val="TableParagraph"/>
              <w:spacing w:before="92"/>
              <w:ind w:left="59"/>
              <w:rPr>
                <w:rFonts w:ascii="Cambria"/>
                <w:sz w:val="21"/>
              </w:rPr>
            </w:pPr>
            <w:hyperlink r:id="rId1048">
              <w:r w:rsidR="0030286B">
                <w:rPr>
                  <w:rFonts w:ascii="Cambria"/>
                  <w:color w:val="418BCA"/>
                  <w:w w:val="115"/>
                  <w:sz w:val="21"/>
                </w:rPr>
                <w:t>javadoc</w:t>
              </w:r>
            </w:hyperlink>
          </w:p>
        </w:tc>
      </w:tr>
      <w:tr w:rsidR="00A720EB" w14:paraId="7BA0DDE1" w14:textId="77777777">
        <w:trPr>
          <w:trHeight w:val="425"/>
        </w:trPr>
        <w:tc>
          <w:tcPr>
            <w:tcW w:w="7981" w:type="dxa"/>
          </w:tcPr>
          <w:p w14:paraId="5DF35B7D" w14:textId="77777777" w:rsidR="00A720EB" w:rsidRDefault="00E10349">
            <w:pPr>
              <w:pStyle w:val="TableParagraph"/>
              <w:spacing w:before="37"/>
              <w:rPr>
                <w:sz w:val="21"/>
              </w:rPr>
            </w:pPr>
            <w:hyperlink r:id="rId1049">
              <w:r w:rsidR="0030286B">
                <w:rPr>
                  <w:color w:val="B02045"/>
                  <w:sz w:val="21"/>
                </w:rPr>
                <w:t>LiquibaseEndpointAutoConfiguration</w:t>
              </w:r>
            </w:hyperlink>
          </w:p>
        </w:tc>
        <w:tc>
          <w:tcPr>
            <w:tcW w:w="1995" w:type="dxa"/>
          </w:tcPr>
          <w:p w14:paraId="5C09B63B" w14:textId="77777777" w:rsidR="00A720EB" w:rsidRDefault="00E10349">
            <w:pPr>
              <w:pStyle w:val="TableParagraph"/>
              <w:spacing w:before="92"/>
              <w:ind w:left="59"/>
              <w:rPr>
                <w:rFonts w:ascii="Cambria"/>
                <w:sz w:val="21"/>
              </w:rPr>
            </w:pPr>
            <w:hyperlink r:id="rId1050">
              <w:r w:rsidR="0030286B">
                <w:rPr>
                  <w:rFonts w:ascii="Cambria"/>
                  <w:color w:val="418BCA"/>
                  <w:w w:val="115"/>
                  <w:sz w:val="21"/>
                </w:rPr>
                <w:t>javadoc</w:t>
              </w:r>
            </w:hyperlink>
          </w:p>
        </w:tc>
      </w:tr>
      <w:tr w:rsidR="00A720EB" w14:paraId="0415EF62" w14:textId="77777777">
        <w:trPr>
          <w:trHeight w:val="425"/>
        </w:trPr>
        <w:tc>
          <w:tcPr>
            <w:tcW w:w="7981" w:type="dxa"/>
          </w:tcPr>
          <w:p w14:paraId="656D08E2" w14:textId="77777777" w:rsidR="00A720EB" w:rsidRDefault="00E10349">
            <w:pPr>
              <w:pStyle w:val="TableParagraph"/>
              <w:spacing w:before="37"/>
              <w:rPr>
                <w:sz w:val="21"/>
              </w:rPr>
            </w:pPr>
            <w:hyperlink r:id="rId1051">
              <w:r w:rsidR="0030286B">
                <w:rPr>
                  <w:color w:val="B02045"/>
                  <w:sz w:val="21"/>
                </w:rPr>
                <w:t>Log4J2MetricsAutoConfiguration</w:t>
              </w:r>
            </w:hyperlink>
          </w:p>
        </w:tc>
        <w:tc>
          <w:tcPr>
            <w:tcW w:w="1995" w:type="dxa"/>
          </w:tcPr>
          <w:p w14:paraId="22FAA197" w14:textId="77777777" w:rsidR="00A720EB" w:rsidRDefault="00E10349">
            <w:pPr>
              <w:pStyle w:val="TableParagraph"/>
              <w:spacing w:before="92"/>
              <w:ind w:left="59"/>
              <w:rPr>
                <w:rFonts w:ascii="Cambria"/>
                <w:sz w:val="21"/>
              </w:rPr>
            </w:pPr>
            <w:hyperlink r:id="rId1052">
              <w:r w:rsidR="0030286B">
                <w:rPr>
                  <w:rFonts w:ascii="Cambria"/>
                  <w:color w:val="418BCA"/>
                  <w:w w:val="115"/>
                  <w:sz w:val="21"/>
                </w:rPr>
                <w:t>javadoc</w:t>
              </w:r>
            </w:hyperlink>
          </w:p>
        </w:tc>
      </w:tr>
      <w:tr w:rsidR="00A720EB" w14:paraId="25BD5B92" w14:textId="77777777">
        <w:trPr>
          <w:trHeight w:val="425"/>
        </w:trPr>
        <w:tc>
          <w:tcPr>
            <w:tcW w:w="7981" w:type="dxa"/>
          </w:tcPr>
          <w:p w14:paraId="588D27B1" w14:textId="77777777" w:rsidR="00A720EB" w:rsidRDefault="00E10349">
            <w:pPr>
              <w:pStyle w:val="TableParagraph"/>
              <w:spacing w:before="37"/>
              <w:rPr>
                <w:sz w:val="21"/>
              </w:rPr>
            </w:pPr>
            <w:hyperlink r:id="rId1053">
              <w:r w:rsidR="0030286B">
                <w:rPr>
                  <w:color w:val="B02045"/>
                  <w:sz w:val="21"/>
                </w:rPr>
                <w:t>LogFileWebEndpointAutoConfiguration</w:t>
              </w:r>
            </w:hyperlink>
          </w:p>
        </w:tc>
        <w:tc>
          <w:tcPr>
            <w:tcW w:w="1995" w:type="dxa"/>
          </w:tcPr>
          <w:p w14:paraId="3A3887C5" w14:textId="77777777" w:rsidR="00A720EB" w:rsidRDefault="00E10349">
            <w:pPr>
              <w:pStyle w:val="TableParagraph"/>
              <w:spacing w:before="92"/>
              <w:ind w:left="59"/>
              <w:rPr>
                <w:rFonts w:ascii="Cambria"/>
                <w:sz w:val="21"/>
              </w:rPr>
            </w:pPr>
            <w:hyperlink r:id="rId1054">
              <w:r w:rsidR="0030286B">
                <w:rPr>
                  <w:rFonts w:ascii="Cambria"/>
                  <w:color w:val="418BCA"/>
                  <w:w w:val="115"/>
                  <w:sz w:val="21"/>
                </w:rPr>
                <w:t>javadoc</w:t>
              </w:r>
            </w:hyperlink>
          </w:p>
        </w:tc>
      </w:tr>
      <w:tr w:rsidR="00A720EB" w14:paraId="14B38790" w14:textId="77777777">
        <w:trPr>
          <w:trHeight w:val="425"/>
        </w:trPr>
        <w:tc>
          <w:tcPr>
            <w:tcW w:w="7981" w:type="dxa"/>
          </w:tcPr>
          <w:p w14:paraId="6C6EC30F" w14:textId="77777777" w:rsidR="00A720EB" w:rsidRDefault="00E10349">
            <w:pPr>
              <w:pStyle w:val="TableParagraph"/>
              <w:spacing w:before="37"/>
              <w:rPr>
                <w:sz w:val="21"/>
              </w:rPr>
            </w:pPr>
            <w:hyperlink r:id="rId1055">
              <w:r w:rsidR="0030286B">
                <w:rPr>
                  <w:color w:val="B02045"/>
                  <w:sz w:val="21"/>
                </w:rPr>
                <w:t>LogbackMetricsAutoConfiguration</w:t>
              </w:r>
            </w:hyperlink>
          </w:p>
        </w:tc>
        <w:tc>
          <w:tcPr>
            <w:tcW w:w="1995" w:type="dxa"/>
          </w:tcPr>
          <w:p w14:paraId="703DFA2D" w14:textId="77777777" w:rsidR="00A720EB" w:rsidRDefault="00E10349">
            <w:pPr>
              <w:pStyle w:val="TableParagraph"/>
              <w:spacing w:before="92"/>
              <w:ind w:left="59"/>
              <w:rPr>
                <w:rFonts w:ascii="Cambria"/>
                <w:sz w:val="21"/>
              </w:rPr>
            </w:pPr>
            <w:hyperlink r:id="rId1056">
              <w:r w:rsidR="0030286B">
                <w:rPr>
                  <w:rFonts w:ascii="Cambria"/>
                  <w:color w:val="418BCA"/>
                  <w:w w:val="115"/>
                  <w:sz w:val="21"/>
                </w:rPr>
                <w:t>javadoc</w:t>
              </w:r>
            </w:hyperlink>
          </w:p>
        </w:tc>
      </w:tr>
      <w:tr w:rsidR="00A720EB" w14:paraId="295507EA" w14:textId="77777777">
        <w:trPr>
          <w:trHeight w:val="425"/>
        </w:trPr>
        <w:tc>
          <w:tcPr>
            <w:tcW w:w="7981" w:type="dxa"/>
          </w:tcPr>
          <w:p w14:paraId="4664527D" w14:textId="77777777" w:rsidR="00A720EB" w:rsidRDefault="00E10349">
            <w:pPr>
              <w:pStyle w:val="TableParagraph"/>
              <w:spacing w:before="37"/>
              <w:rPr>
                <w:sz w:val="21"/>
              </w:rPr>
            </w:pPr>
            <w:hyperlink r:id="rId1057">
              <w:r w:rsidR="0030286B">
                <w:rPr>
                  <w:color w:val="B02045"/>
                  <w:sz w:val="21"/>
                </w:rPr>
                <w:t>LoggersEndpointAutoConfiguration</w:t>
              </w:r>
            </w:hyperlink>
          </w:p>
        </w:tc>
        <w:tc>
          <w:tcPr>
            <w:tcW w:w="1995" w:type="dxa"/>
          </w:tcPr>
          <w:p w14:paraId="11BD6193" w14:textId="77777777" w:rsidR="00A720EB" w:rsidRDefault="00E10349">
            <w:pPr>
              <w:pStyle w:val="TableParagraph"/>
              <w:spacing w:before="92"/>
              <w:ind w:left="59"/>
              <w:rPr>
                <w:rFonts w:ascii="Cambria"/>
                <w:sz w:val="21"/>
              </w:rPr>
            </w:pPr>
            <w:hyperlink r:id="rId1058">
              <w:r w:rsidR="0030286B">
                <w:rPr>
                  <w:rFonts w:ascii="Cambria"/>
                  <w:color w:val="418BCA"/>
                  <w:w w:val="115"/>
                  <w:sz w:val="21"/>
                </w:rPr>
                <w:t>javadoc</w:t>
              </w:r>
            </w:hyperlink>
          </w:p>
        </w:tc>
      </w:tr>
      <w:tr w:rsidR="00A720EB" w14:paraId="22BBE664" w14:textId="77777777">
        <w:trPr>
          <w:trHeight w:val="425"/>
        </w:trPr>
        <w:tc>
          <w:tcPr>
            <w:tcW w:w="7981" w:type="dxa"/>
          </w:tcPr>
          <w:p w14:paraId="3E1D68BC" w14:textId="77777777" w:rsidR="00A720EB" w:rsidRDefault="00E10349">
            <w:pPr>
              <w:pStyle w:val="TableParagraph"/>
              <w:spacing w:before="37"/>
              <w:rPr>
                <w:sz w:val="21"/>
              </w:rPr>
            </w:pPr>
            <w:hyperlink r:id="rId1059">
              <w:r w:rsidR="0030286B">
                <w:rPr>
                  <w:color w:val="B02045"/>
                  <w:sz w:val="21"/>
                </w:rPr>
                <w:t>MailHealthContributorAutoConfiguration</w:t>
              </w:r>
            </w:hyperlink>
          </w:p>
        </w:tc>
        <w:tc>
          <w:tcPr>
            <w:tcW w:w="1995" w:type="dxa"/>
          </w:tcPr>
          <w:p w14:paraId="0947CE24" w14:textId="77777777" w:rsidR="00A720EB" w:rsidRDefault="00E10349">
            <w:pPr>
              <w:pStyle w:val="TableParagraph"/>
              <w:spacing w:before="92"/>
              <w:ind w:left="59"/>
              <w:rPr>
                <w:rFonts w:ascii="Cambria"/>
                <w:sz w:val="21"/>
              </w:rPr>
            </w:pPr>
            <w:hyperlink r:id="rId1060">
              <w:r w:rsidR="0030286B">
                <w:rPr>
                  <w:rFonts w:ascii="Cambria"/>
                  <w:color w:val="418BCA"/>
                  <w:w w:val="115"/>
                  <w:sz w:val="21"/>
                </w:rPr>
                <w:t>javadoc</w:t>
              </w:r>
            </w:hyperlink>
          </w:p>
        </w:tc>
      </w:tr>
      <w:tr w:rsidR="00A720EB" w14:paraId="35C3AE46" w14:textId="77777777">
        <w:trPr>
          <w:trHeight w:val="425"/>
        </w:trPr>
        <w:tc>
          <w:tcPr>
            <w:tcW w:w="7981" w:type="dxa"/>
          </w:tcPr>
          <w:p w14:paraId="1D823D5B" w14:textId="77777777" w:rsidR="00A720EB" w:rsidRDefault="00E10349">
            <w:pPr>
              <w:pStyle w:val="TableParagraph"/>
              <w:spacing w:before="37"/>
              <w:rPr>
                <w:sz w:val="21"/>
              </w:rPr>
            </w:pPr>
            <w:hyperlink r:id="rId1061">
              <w:r w:rsidR="0030286B">
                <w:rPr>
                  <w:color w:val="B02045"/>
                  <w:sz w:val="21"/>
                </w:rPr>
                <w:t>ManagementContextAutoConfiguration</w:t>
              </w:r>
            </w:hyperlink>
          </w:p>
        </w:tc>
        <w:tc>
          <w:tcPr>
            <w:tcW w:w="1995" w:type="dxa"/>
          </w:tcPr>
          <w:p w14:paraId="28789A49" w14:textId="77777777" w:rsidR="00A720EB" w:rsidRDefault="00E10349">
            <w:pPr>
              <w:pStyle w:val="TableParagraph"/>
              <w:spacing w:before="92"/>
              <w:ind w:left="59"/>
              <w:rPr>
                <w:rFonts w:ascii="Cambria"/>
                <w:sz w:val="21"/>
              </w:rPr>
            </w:pPr>
            <w:hyperlink r:id="rId1062">
              <w:r w:rsidR="0030286B">
                <w:rPr>
                  <w:rFonts w:ascii="Cambria"/>
                  <w:color w:val="418BCA"/>
                  <w:w w:val="115"/>
                  <w:sz w:val="21"/>
                </w:rPr>
                <w:t>javadoc</w:t>
              </w:r>
            </w:hyperlink>
          </w:p>
        </w:tc>
      </w:tr>
      <w:tr w:rsidR="00A720EB" w14:paraId="71F0E346" w14:textId="77777777">
        <w:trPr>
          <w:trHeight w:val="425"/>
        </w:trPr>
        <w:tc>
          <w:tcPr>
            <w:tcW w:w="7981" w:type="dxa"/>
          </w:tcPr>
          <w:p w14:paraId="2F017F69" w14:textId="77777777" w:rsidR="00A720EB" w:rsidRDefault="00E10349">
            <w:pPr>
              <w:pStyle w:val="TableParagraph"/>
              <w:spacing w:before="37"/>
              <w:rPr>
                <w:sz w:val="21"/>
              </w:rPr>
            </w:pPr>
            <w:hyperlink r:id="rId1063">
              <w:r w:rsidR="0030286B">
                <w:rPr>
                  <w:color w:val="B02045"/>
                  <w:sz w:val="21"/>
                </w:rPr>
                <w:t>ManagementWebSecurityAutoConfiguration</w:t>
              </w:r>
            </w:hyperlink>
          </w:p>
        </w:tc>
        <w:tc>
          <w:tcPr>
            <w:tcW w:w="1995" w:type="dxa"/>
          </w:tcPr>
          <w:p w14:paraId="678199A9" w14:textId="77777777" w:rsidR="00A720EB" w:rsidRDefault="00E10349">
            <w:pPr>
              <w:pStyle w:val="TableParagraph"/>
              <w:spacing w:before="92"/>
              <w:ind w:left="59"/>
              <w:rPr>
                <w:rFonts w:ascii="Cambria"/>
                <w:sz w:val="21"/>
              </w:rPr>
            </w:pPr>
            <w:hyperlink r:id="rId1064">
              <w:r w:rsidR="0030286B">
                <w:rPr>
                  <w:rFonts w:ascii="Cambria"/>
                  <w:color w:val="418BCA"/>
                  <w:w w:val="115"/>
                  <w:sz w:val="21"/>
                </w:rPr>
                <w:t>javadoc</w:t>
              </w:r>
            </w:hyperlink>
          </w:p>
        </w:tc>
      </w:tr>
    </w:tbl>
    <w:p w14:paraId="414BF070" w14:textId="77777777" w:rsidR="00A720EB" w:rsidRDefault="00A720EB">
      <w:pPr>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7981"/>
        <w:gridCol w:w="1995"/>
      </w:tblGrid>
      <w:tr w:rsidR="00A720EB" w14:paraId="62E2714C" w14:textId="77777777">
        <w:trPr>
          <w:trHeight w:val="415"/>
        </w:trPr>
        <w:tc>
          <w:tcPr>
            <w:tcW w:w="7981" w:type="dxa"/>
            <w:tcBorders>
              <w:bottom w:val="single" w:sz="12" w:space="0" w:color="DDDDDD"/>
            </w:tcBorders>
          </w:tcPr>
          <w:p w14:paraId="1953C3D8"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Configuration Class</w:t>
            </w:r>
          </w:p>
        </w:tc>
        <w:tc>
          <w:tcPr>
            <w:tcW w:w="1995" w:type="dxa"/>
            <w:tcBorders>
              <w:bottom w:val="single" w:sz="12" w:space="0" w:color="DDDDDD"/>
            </w:tcBorders>
          </w:tcPr>
          <w:p w14:paraId="3D8CF010" w14:textId="77777777" w:rsidR="00A720EB" w:rsidRDefault="0030286B">
            <w:pPr>
              <w:pStyle w:val="TableParagraph"/>
              <w:spacing w:before="71"/>
              <w:ind w:left="59"/>
              <w:rPr>
                <w:rFonts w:ascii="Palatino Linotype"/>
                <w:b/>
                <w:sz w:val="21"/>
              </w:rPr>
            </w:pPr>
            <w:r>
              <w:rPr>
                <w:rFonts w:ascii="Palatino Linotype"/>
                <w:b/>
                <w:color w:val="333333"/>
                <w:w w:val="105"/>
                <w:sz w:val="21"/>
              </w:rPr>
              <w:t>Links</w:t>
            </w:r>
          </w:p>
        </w:tc>
      </w:tr>
      <w:tr w:rsidR="00A720EB" w14:paraId="4F07C652" w14:textId="77777777">
        <w:trPr>
          <w:trHeight w:val="415"/>
        </w:trPr>
        <w:tc>
          <w:tcPr>
            <w:tcW w:w="7981" w:type="dxa"/>
            <w:tcBorders>
              <w:top w:val="single" w:sz="12" w:space="0" w:color="DDDDDD"/>
            </w:tcBorders>
          </w:tcPr>
          <w:p w14:paraId="2421687F" w14:textId="77777777" w:rsidR="00A720EB" w:rsidRDefault="00E10349">
            <w:pPr>
              <w:pStyle w:val="TableParagraph"/>
              <w:spacing w:before="27"/>
              <w:rPr>
                <w:sz w:val="21"/>
              </w:rPr>
            </w:pPr>
            <w:hyperlink r:id="rId1065">
              <w:r w:rsidR="0030286B">
                <w:rPr>
                  <w:color w:val="B02045"/>
                  <w:sz w:val="21"/>
                </w:rPr>
                <w:t>MappingsEndpointAutoConfiguration</w:t>
              </w:r>
            </w:hyperlink>
          </w:p>
        </w:tc>
        <w:tc>
          <w:tcPr>
            <w:tcW w:w="1995" w:type="dxa"/>
            <w:tcBorders>
              <w:top w:val="single" w:sz="12" w:space="0" w:color="DDDDDD"/>
            </w:tcBorders>
          </w:tcPr>
          <w:p w14:paraId="30B29B97" w14:textId="77777777" w:rsidR="00A720EB" w:rsidRDefault="00E10349">
            <w:pPr>
              <w:pStyle w:val="TableParagraph"/>
              <w:spacing w:before="82"/>
              <w:ind w:left="59"/>
              <w:rPr>
                <w:rFonts w:ascii="Cambria"/>
                <w:sz w:val="21"/>
              </w:rPr>
            </w:pPr>
            <w:hyperlink r:id="rId1066">
              <w:r w:rsidR="0030286B">
                <w:rPr>
                  <w:rFonts w:ascii="Cambria"/>
                  <w:color w:val="418BCA"/>
                  <w:w w:val="115"/>
                  <w:sz w:val="21"/>
                </w:rPr>
                <w:t>javadoc</w:t>
              </w:r>
            </w:hyperlink>
          </w:p>
        </w:tc>
      </w:tr>
      <w:tr w:rsidR="00A720EB" w14:paraId="783322F3" w14:textId="77777777">
        <w:trPr>
          <w:trHeight w:val="425"/>
        </w:trPr>
        <w:tc>
          <w:tcPr>
            <w:tcW w:w="7981" w:type="dxa"/>
          </w:tcPr>
          <w:p w14:paraId="78502927" w14:textId="77777777" w:rsidR="00A720EB" w:rsidRDefault="00E10349">
            <w:pPr>
              <w:pStyle w:val="TableParagraph"/>
              <w:rPr>
                <w:sz w:val="21"/>
              </w:rPr>
            </w:pPr>
            <w:hyperlink r:id="rId1067">
              <w:r w:rsidR="0030286B">
                <w:rPr>
                  <w:color w:val="B02045"/>
                  <w:sz w:val="21"/>
                </w:rPr>
                <w:t>MetricsAutoConfiguration</w:t>
              </w:r>
            </w:hyperlink>
          </w:p>
        </w:tc>
        <w:tc>
          <w:tcPr>
            <w:tcW w:w="1995" w:type="dxa"/>
          </w:tcPr>
          <w:p w14:paraId="3647B68D" w14:textId="77777777" w:rsidR="00A720EB" w:rsidRDefault="00E10349">
            <w:pPr>
              <w:pStyle w:val="TableParagraph"/>
              <w:spacing w:before="92"/>
              <w:ind w:left="59"/>
              <w:rPr>
                <w:rFonts w:ascii="Cambria"/>
                <w:sz w:val="21"/>
              </w:rPr>
            </w:pPr>
            <w:hyperlink r:id="rId1068">
              <w:r w:rsidR="0030286B">
                <w:rPr>
                  <w:rFonts w:ascii="Cambria"/>
                  <w:color w:val="418BCA"/>
                  <w:w w:val="115"/>
                  <w:sz w:val="21"/>
                </w:rPr>
                <w:t>javadoc</w:t>
              </w:r>
            </w:hyperlink>
          </w:p>
        </w:tc>
      </w:tr>
      <w:tr w:rsidR="00A720EB" w14:paraId="3650536C" w14:textId="77777777">
        <w:trPr>
          <w:trHeight w:val="425"/>
        </w:trPr>
        <w:tc>
          <w:tcPr>
            <w:tcW w:w="7981" w:type="dxa"/>
          </w:tcPr>
          <w:p w14:paraId="5CD0BB69" w14:textId="77777777" w:rsidR="00A720EB" w:rsidRDefault="00E10349">
            <w:pPr>
              <w:pStyle w:val="TableParagraph"/>
              <w:spacing w:before="37"/>
              <w:rPr>
                <w:sz w:val="21"/>
              </w:rPr>
            </w:pPr>
            <w:hyperlink r:id="rId1069">
              <w:r w:rsidR="0030286B">
                <w:rPr>
                  <w:color w:val="B02045"/>
                  <w:sz w:val="21"/>
                </w:rPr>
                <w:t>MetricsEndpointAutoConfiguration</w:t>
              </w:r>
            </w:hyperlink>
          </w:p>
        </w:tc>
        <w:tc>
          <w:tcPr>
            <w:tcW w:w="1995" w:type="dxa"/>
          </w:tcPr>
          <w:p w14:paraId="4EB2A427" w14:textId="77777777" w:rsidR="00A720EB" w:rsidRDefault="00E10349">
            <w:pPr>
              <w:pStyle w:val="TableParagraph"/>
              <w:spacing w:before="92"/>
              <w:ind w:left="59"/>
              <w:rPr>
                <w:rFonts w:ascii="Cambria"/>
                <w:sz w:val="21"/>
              </w:rPr>
            </w:pPr>
            <w:hyperlink r:id="rId1070">
              <w:r w:rsidR="0030286B">
                <w:rPr>
                  <w:rFonts w:ascii="Cambria"/>
                  <w:color w:val="418BCA"/>
                  <w:w w:val="115"/>
                  <w:sz w:val="21"/>
                </w:rPr>
                <w:t>javadoc</w:t>
              </w:r>
            </w:hyperlink>
          </w:p>
        </w:tc>
      </w:tr>
      <w:tr w:rsidR="00A720EB" w14:paraId="36723DEF" w14:textId="77777777">
        <w:trPr>
          <w:trHeight w:val="425"/>
        </w:trPr>
        <w:tc>
          <w:tcPr>
            <w:tcW w:w="7981" w:type="dxa"/>
          </w:tcPr>
          <w:p w14:paraId="429D1540" w14:textId="77777777" w:rsidR="00A720EB" w:rsidRDefault="00E10349">
            <w:pPr>
              <w:pStyle w:val="TableParagraph"/>
              <w:rPr>
                <w:sz w:val="21"/>
              </w:rPr>
            </w:pPr>
            <w:hyperlink r:id="rId1071">
              <w:r w:rsidR="0030286B">
                <w:rPr>
                  <w:color w:val="B02045"/>
                  <w:sz w:val="21"/>
                </w:rPr>
                <w:t>MongoHealthContributorAutoConfiguration</w:t>
              </w:r>
            </w:hyperlink>
          </w:p>
        </w:tc>
        <w:tc>
          <w:tcPr>
            <w:tcW w:w="1995" w:type="dxa"/>
          </w:tcPr>
          <w:p w14:paraId="1F4508E0" w14:textId="77777777" w:rsidR="00A720EB" w:rsidRDefault="00E10349">
            <w:pPr>
              <w:pStyle w:val="TableParagraph"/>
              <w:spacing w:before="92"/>
              <w:ind w:left="59"/>
              <w:rPr>
                <w:rFonts w:ascii="Cambria"/>
                <w:sz w:val="21"/>
              </w:rPr>
            </w:pPr>
            <w:hyperlink r:id="rId1072">
              <w:r w:rsidR="0030286B">
                <w:rPr>
                  <w:rFonts w:ascii="Cambria"/>
                  <w:color w:val="418BCA"/>
                  <w:w w:val="115"/>
                  <w:sz w:val="21"/>
                </w:rPr>
                <w:t>javadoc</w:t>
              </w:r>
            </w:hyperlink>
          </w:p>
        </w:tc>
      </w:tr>
      <w:tr w:rsidR="00A720EB" w14:paraId="3917DA17" w14:textId="77777777">
        <w:trPr>
          <w:trHeight w:val="425"/>
        </w:trPr>
        <w:tc>
          <w:tcPr>
            <w:tcW w:w="7981" w:type="dxa"/>
          </w:tcPr>
          <w:p w14:paraId="57BEDB61" w14:textId="77777777" w:rsidR="00A720EB" w:rsidRDefault="00E10349">
            <w:pPr>
              <w:pStyle w:val="TableParagraph"/>
              <w:spacing w:before="37"/>
              <w:rPr>
                <w:sz w:val="21"/>
              </w:rPr>
            </w:pPr>
            <w:hyperlink r:id="rId1073">
              <w:r w:rsidR="0030286B">
                <w:rPr>
                  <w:color w:val="B02045"/>
                  <w:sz w:val="21"/>
                </w:rPr>
                <w:t>MongoReactiveHealthContributorAutoConfiguration</w:t>
              </w:r>
            </w:hyperlink>
          </w:p>
        </w:tc>
        <w:tc>
          <w:tcPr>
            <w:tcW w:w="1995" w:type="dxa"/>
          </w:tcPr>
          <w:p w14:paraId="4FF3051C" w14:textId="77777777" w:rsidR="00A720EB" w:rsidRDefault="00E10349">
            <w:pPr>
              <w:pStyle w:val="TableParagraph"/>
              <w:spacing w:before="92"/>
              <w:ind w:left="59"/>
              <w:rPr>
                <w:rFonts w:ascii="Cambria"/>
                <w:sz w:val="21"/>
              </w:rPr>
            </w:pPr>
            <w:hyperlink r:id="rId1074">
              <w:r w:rsidR="0030286B">
                <w:rPr>
                  <w:rFonts w:ascii="Cambria"/>
                  <w:color w:val="418BCA"/>
                  <w:w w:val="115"/>
                  <w:sz w:val="21"/>
                </w:rPr>
                <w:t>javadoc</w:t>
              </w:r>
            </w:hyperlink>
          </w:p>
        </w:tc>
      </w:tr>
      <w:tr w:rsidR="00A720EB" w14:paraId="6527ACC0" w14:textId="77777777">
        <w:trPr>
          <w:trHeight w:val="425"/>
        </w:trPr>
        <w:tc>
          <w:tcPr>
            <w:tcW w:w="7981" w:type="dxa"/>
          </w:tcPr>
          <w:p w14:paraId="631672CE" w14:textId="77777777" w:rsidR="00A720EB" w:rsidRDefault="00E10349">
            <w:pPr>
              <w:pStyle w:val="TableParagraph"/>
              <w:rPr>
                <w:sz w:val="21"/>
              </w:rPr>
            </w:pPr>
            <w:hyperlink r:id="rId1075">
              <w:r w:rsidR="0030286B">
                <w:rPr>
                  <w:color w:val="B02045"/>
                  <w:sz w:val="21"/>
                </w:rPr>
                <w:t>Neo4jHealthContributorAutoConfiguration</w:t>
              </w:r>
            </w:hyperlink>
          </w:p>
        </w:tc>
        <w:tc>
          <w:tcPr>
            <w:tcW w:w="1995" w:type="dxa"/>
          </w:tcPr>
          <w:p w14:paraId="6F3F297E" w14:textId="77777777" w:rsidR="00A720EB" w:rsidRDefault="00E10349">
            <w:pPr>
              <w:pStyle w:val="TableParagraph"/>
              <w:spacing w:before="92"/>
              <w:ind w:left="59"/>
              <w:rPr>
                <w:rFonts w:ascii="Cambria"/>
                <w:sz w:val="21"/>
              </w:rPr>
            </w:pPr>
            <w:hyperlink r:id="rId1076">
              <w:r w:rsidR="0030286B">
                <w:rPr>
                  <w:rFonts w:ascii="Cambria"/>
                  <w:color w:val="418BCA"/>
                  <w:w w:val="115"/>
                  <w:sz w:val="21"/>
                </w:rPr>
                <w:t>javadoc</w:t>
              </w:r>
            </w:hyperlink>
          </w:p>
        </w:tc>
      </w:tr>
      <w:tr w:rsidR="00A720EB" w14:paraId="07663169" w14:textId="77777777">
        <w:trPr>
          <w:trHeight w:val="425"/>
        </w:trPr>
        <w:tc>
          <w:tcPr>
            <w:tcW w:w="7981" w:type="dxa"/>
          </w:tcPr>
          <w:p w14:paraId="3E1B23D5" w14:textId="77777777" w:rsidR="00A720EB" w:rsidRDefault="00E10349">
            <w:pPr>
              <w:pStyle w:val="TableParagraph"/>
              <w:spacing w:before="37"/>
              <w:rPr>
                <w:sz w:val="21"/>
              </w:rPr>
            </w:pPr>
            <w:hyperlink r:id="rId1077">
              <w:r w:rsidR="0030286B">
                <w:rPr>
                  <w:color w:val="B02045"/>
                  <w:sz w:val="21"/>
                </w:rPr>
                <w:t>NewRelicMetricsExportAutoConfiguration</w:t>
              </w:r>
            </w:hyperlink>
          </w:p>
        </w:tc>
        <w:tc>
          <w:tcPr>
            <w:tcW w:w="1995" w:type="dxa"/>
          </w:tcPr>
          <w:p w14:paraId="323A734D" w14:textId="77777777" w:rsidR="00A720EB" w:rsidRDefault="00E10349">
            <w:pPr>
              <w:pStyle w:val="TableParagraph"/>
              <w:spacing w:before="92"/>
              <w:ind w:left="59"/>
              <w:rPr>
                <w:rFonts w:ascii="Cambria"/>
                <w:sz w:val="21"/>
              </w:rPr>
            </w:pPr>
            <w:hyperlink r:id="rId1078">
              <w:r w:rsidR="0030286B">
                <w:rPr>
                  <w:rFonts w:ascii="Cambria"/>
                  <w:color w:val="418BCA"/>
                  <w:w w:val="115"/>
                  <w:sz w:val="21"/>
                </w:rPr>
                <w:t>javadoc</w:t>
              </w:r>
            </w:hyperlink>
          </w:p>
        </w:tc>
      </w:tr>
      <w:tr w:rsidR="00A720EB" w14:paraId="784A2394" w14:textId="77777777">
        <w:trPr>
          <w:trHeight w:val="425"/>
        </w:trPr>
        <w:tc>
          <w:tcPr>
            <w:tcW w:w="7981" w:type="dxa"/>
          </w:tcPr>
          <w:p w14:paraId="768233DA" w14:textId="77777777" w:rsidR="00A720EB" w:rsidRDefault="00E10349">
            <w:pPr>
              <w:pStyle w:val="TableParagraph"/>
              <w:rPr>
                <w:sz w:val="21"/>
              </w:rPr>
            </w:pPr>
            <w:hyperlink r:id="rId1079">
              <w:r w:rsidR="0030286B">
                <w:rPr>
                  <w:color w:val="B02045"/>
                  <w:sz w:val="21"/>
                </w:rPr>
                <w:t>PrometheusMetricsExportAutoConfiguration</w:t>
              </w:r>
            </w:hyperlink>
          </w:p>
        </w:tc>
        <w:tc>
          <w:tcPr>
            <w:tcW w:w="1995" w:type="dxa"/>
          </w:tcPr>
          <w:p w14:paraId="7C0C2090" w14:textId="77777777" w:rsidR="00A720EB" w:rsidRDefault="00E10349">
            <w:pPr>
              <w:pStyle w:val="TableParagraph"/>
              <w:spacing w:before="92"/>
              <w:ind w:left="59"/>
              <w:rPr>
                <w:rFonts w:ascii="Cambria"/>
                <w:sz w:val="21"/>
              </w:rPr>
            </w:pPr>
            <w:hyperlink r:id="rId1080">
              <w:r w:rsidR="0030286B">
                <w:rPr>
                  <w:rFonts w:ascii="Cambria"/>
                  <w:color w:val="418BCA"/>
                  <w:w w:val="115"/>
                  <w:sz w:val="21"/>
                </w:rPr>
                <w:t>javadoc</w:t>
              </w:r>
            </w:hyperlink>
          </w:p>
        </w:tc>
      </w:tr>
      <w:tr w:rsidR="00A720EB" w14:paraId="265DDE1E" w14:textId="77777777">
        <w:trPr>
          <w:trHeight w:val="425"/>
        </w:trPr>
        <w:tc>
          <w:tcPr>
            <w:tcW w:w="7981" w:type="dxa"/>
          </w:tcPr>
          <w:p w14:paraId="4F43DAED" w14:textId="77777777" w:rsidR="00A720EB" w:rsidRDefault="00E10349">
            <w:pPr>
              <w:pStyle w:val="TableParagraph"/>
              <w:spacing w:before="37"/>
              <w:rPr>
                <w:sz w:val="21"/>
              </w:rPr>
            </w:pPr>
            <w:hyperlink r:id="rId1081">
              <w:r w:rsidR="0030286B">
                <w:rPr>
                  <w:color w:val="B02045"/>
                  <w:sz w:val="21"/>
                </w:rPr>
                <w:t>RabbitHealthContributorAutoConfiguration</w:t>
              </w:r>
            </w:hyperlink>
          </w:p>
        </w:tc>
        <w:tc>
          <w:tcPr>
            <w:tcW w:w="1995" w:type="dxa"/>
          </w:tcPr>
          <w:p w14:paraId="7932A12B" w14:textId="77777777" w:rsidR="00A720EB" w:rsidRDefault="00E10349">
            <w:pPr>
              <w:pStyle w:val="TableParagraph"/>
              <w:spacing w:before="92"/>
              <w:ind w:left="59"/>
              <w:rPr>
                <w:rFonts w:ascii="Cambria"/>
                <w:sz w:val="21"/>
              </w:rPr>
            </w:pPr>
            <w:hyperlink r:id="rId1082">
              <w:r w:rsidR="0030286B">
                <w:rPr>
                  <w:rFonts w:ascii="Cambria"/>
                  <w:color w:val="418BCA"/>
                  <w:w w:val="115"/>
                  <w:sz w:val="21"/>
                </w:rPr>
                <w:t>javadoc</w:t>
              </w:r>
            </w:hyperlink>
          </w:p>
        </w:tc>
      </w:tr>
      <w:tr w:rsidR="00A720EB" w14:paraId="5506E0A7" w14:textId="77777777">
        <w:trPr>
          <w:trHeight w:val="425"/>
        </w:trPr>
        <w:tc>
          <w:tcPr>
            <w:tcW w:w="7981" w:type="dxa"/>
          </w:tcPr>
          <w:p w14:paraId="7A1EE329" w14:textId="77777777" w:rsidR="00A720EB" w:rsidRDefault="00E10349">
            <w:pPr>
              <w:pStyle w:val="TableParagraph"/>
              <w:rPr>
                <w:sz w:val="21"/>
              </w:rPr>
            </w:pPr>
            <w:hyperlink r:id="rId1083">
              <w:r w:rsidR="0030286B">
                <w:rPr>
                  <w:color w:val="B02045"/>
                  <w:sz w:val="21"/>
                </w:rPr>
                <w:t>RabbitMetricsAutoConfiguration</w:t>
              </w:r>
            </w:hyperlink>
          </w:p>
        </w:tc>
        <w:tc>
          <w:tcPr>
            <w:tcW w:w="1995" w:type="dxa"/>
          </w:tcPr>
          <w:p w14:paraId="0DFD99ED" w14:textId="77777777" w:rsidR="00A720EB" w:rsidRDefault="00E10349">
            <w:pPr>
              <w:pStyle w:val="TableParagraph"/>
              <w:spacing w:before="92"/>
              <w:ind w:left="59"/>
              <w:rPr>
                <w:rFonts w:ascii="Cambria"/>
                <w:sz w:val="21"/>
              </w:rPr>
            </w:pPr>
            <w:hyperlink r:id="rId1084">
              <w:r w:rsidR="0030286B">
                <w:rPr>
                  <w:rFonts w:ascii="Cambria"/>
                  <w:color w:val="418BCA"/>
                  <w:w w:val="115"/>
                  <w:sz w:val="21"/>
                </w:rPr>
                <w:t>javadoc</w:t>
              </w:r>
            </w:hyperlink>
          </w:p>
        </w:tc>
      </w:tr>
      <w:tr w:rsidR="00A720EB" w14:paraId="442F08D0" w14:textId="77777777">
        <w:trPr>
          <w:trHeight w:val="425"/>
        </w:trPr>
        <w:tc>
          <w:tcPr>
            <w:tcW w:w="7981" w:type="dxa"/>
          </w:tcPr>
          <w:p w14:paraId="03E5526B" w14:textId="77777777" w:rsidR="00A720EB" w:rsidRDefault="00E10349">
            <w:pPr>
              <w:pStyle w:val="TableParagraph"/>
              <w:spacing w:before="37"/>
              <w:rPr>
                <w:sz w:val="21"/>
              </w:rPr>
            </w:pPr>
            <w:hyperlink r:id="rId1085">
              <w:r w:rsidR="0030286B">
                <w:rPr>
                  <w:color w:val="B02045"/>
                  <w:sz w:val="21"/>
                </w:rPr>
                <w:t>ReactiveCloudFoundryActuatorAutoConfiguration</w:t>
              </w:r>
            </w:hyperlink>
          </w:p>
        </w:tc>
        <w:tc>
          <w:tcPr>
            <w:tcW w:w="1995" w:type="dxa"/>
          </w:tcPr>
          <w:p w14:paraId="0F978DFE" w14:textId="77777777" w:rsidR="00A720EB" w:rsidRDefault="00E10349">
            <w:pPr>
              <w:pStyle w:val="TableParagraph"/>
              <w:spacing w:before="92"/>
              <w:ind w:left="59"/>
              <w:rPr>
                <w:rFonts w:ascii="Cambria"/>
                <w:sz w:val="21"/>
              </w:rPr>
            </w:pPr>
            <w:hyperlink r:id="rId1086">
              <w:r w:rsidR="0030286B">
                <w:rPr>
                  <w:rFonts w:ascii="Cambria"/>
                  <w:color w:val="418BCA"/>
                  <w:w w:val="115"/>
                  <w:sz w:val="21"/>
                </w:rPr>
                <w:t>javadoc</w:t>
              </w:r>
            </w:hyperlink>
          </w:p>
        </w:tc>
      </w:tr>
      <w:tr w:rsidR="00A720EB" w14:paraId="45CC9BFF" w14:textId="77777777">
        <w:trPr>
          <w:trHeight w:val="425"/>
        </w:trPr>
        <w:tc>
          <w:tcPr>
            <w:tcW w:w="7981" w:type="dxa"/>
          </w:tcPr>
          <w:p w14:paraId="5B71EE99" w14:textId="77777777" w:rsidR="00A720EB" w:rsidRDefault="00E10349">
            <w:pPr>
              <w:pStyle w:val="TableParagraph"/>
              <w:spacing w:before="37"/>
              <w:rPr>
                <w:sz w:val="21"/>
              </w:rPr>
            </w:pPr>
            <w:hyperlink r:id="rId1087">
              <w:r w:rsidR="0030286B">
                <w:rPr>
                  <w:color w:val="B02045"/>
                  <w:sz w:val="21"/>
                </w:rPr>
                <w:t>ReactiveManagementContextAutoConfiguration</w:t>
              </w:r>
            </w:hyperlink>
          </w:p>
        </w:tc>
        <w:tc>
          <w:tcPr>
            <w:tcW w:w="1995" w:type="dxa"/>
          </w:tcPr>
          <w:p w14:paraId="3CDB5805" w14:textId="77777777" w:rsidR="00A720EB" w:rsidRDefault="00E10349">
            <w:pPr>
              <w:pStyle w:val="TableParagraph"/>
              <w:spacing w:before="92"/>
              <w:ind w:left="59"/>
              <w:rPr>
                <w:rFonts w:ascii="Cambria"/>
                <w:sz w:val="21"/>
              </w:rPr>
            </w:pPr>
            <w:hyperlink r:id="rId1088">
              <w:r w:rsidR="0030286B">
                <w:rPr>
                  <w:rFonts w:ascii="Cambria"/>
                  <w:color w:val="418BCA"/>
                  <w:w w:val="115"/>
                  <w:sz w:val="21"/>
                </w:rPr>
                <w:t>javadoc</w:t>
              </w:r>
            </w:hyperlink>
          </w:p>
        </w:tc>
      </w:tr>
      <w:tr w:rsidR="00A720EB" w14:paraId="39928FDD" w14:textId="77777777">
        <w:trPr>
          <w:trHeight w:val="425"/>
        </w:trPr>
        <w:tc>
          <w:tcPr>
            <w:tcW w:w="7981" w:type="dxa"/>
          </w:tcPr>
          <w:p w14:paraId="558959DB" w14:textId="77777777" w:rsidR="00A720EB" w:rsidRDefault="00E10349">
            <w:pPr>
              <w:pStyle w:val="TableParagraph"/>
              <w:spacing w:before="37"/>
              <w:rPr>
                <w:sz w:val="21"/>
              </w:rPr>
            </w:pPr>
            <w:hyperlink r:id="rId1089">
              <w:r w:rsidR="0030286B">
                <w:rPr>
                  <w:color w:val="B02045"/>
                  <w:sz w:val="21"/>
                </w:rPr>
                <w:t>ReactiveManagementWebSecurityAutoConfiguration</w:t>
              </w:r>
            </w:hyperlink>
          </w:p>
        </w:tc>
        <w:tc>
          <w:tcPr>
            <w:tcW w:w="1995" w:type="dxa"/>
          </w:tcPr>
          <w:p w14:paraId="114906B2" w14:textId="77777777" w:rsidR="00A720EB" w:rsidRDefault="00E10349">
            <w:pPr>
              <w:pStyle w:val="TableParagraph"/>
              <w:spacing w:before="92"/>
              <w:ind w:left="59"/>
              <w:rPr>
                <w:rFonts w:ascii="Cambria"/>
                <w:sz w:val="21"/>
              </w:rPr>
            </w:pPr>
            <w:hyperlink r:id="rId1090">
              <w:r w:rsidR="0030286B">
                <w:rPr>
                  <w:rFonts w:ascii="Cambria"/>
                  <w:color w:val="418BCA"/>
                  <w:w w:val="115"/>
                  <w:sz w:val="21"/>
                </w:rPr>
                <w:t>javadoc</w:t>
              </w:r>
            </w:hyperlink>
          </w:p>
        </w:tc>
      </w:tr>
      <w:tr w:rsidR="00A720EB" w14:paraId="189D56F8" w14:textId="77777777">
        <w:trPr>
          <w:trHeight w:val="425"/>
        </w:trPr>
        <w:tc>
          <w:tcPr>
            <w:tcW w:w="7981" w:type="dxa"/>
          </w:tcPr>
          <w:p w14:paraId="46A5E9C6" w14:textId="77777777" w:rsidR="00A720EB" w:rsidRDefault="00E10349">
            <w:pPr>
              <w:pStyle w:val="TableParagraph"/>
              <w:spacing w:before="37"/>
              <w:rPr>
                <w:sz w:val="21"/>
              </w:rPr>
            </w:pPr>
            <w:hyperlink r:id="rId1091">
              <w:r w:rsidR="0030286B">
                <w:rPr>
                  <w:color w:val="B02045"/>
                  <w:sz w:val="21"/>
                </w:rPr>
                <w:t>RedisHealthContributorAutoConfiguration</w:t>
              </w:r>
            </w:hyperlink>
          </w:p>
        </w:tc>
        <w:tc>
          <w:tcPr>
            <w:tcW w:w="1995" w:type="dxa"/>
          </w:tcPr>
          <w:p w14:paraId="66063E9F" w14:textId="77777777" w:rsidR="00A720EB" w:rsidRDefault="00E10349">
            <w:pPr>
              <w:pStyle w:val="TableParagraph"/>
              <w:spacing w:before="92"/>
              <w:ind w:left="59"/>
              <w:rPr>
                <w:rFonts w:ascii="Cambria"/>
                <w:sz w:val="21"/>
              </w:rPr>
            </w:pPr>
            <w:hyperlink r:id="rId1092">
              <w:r w:rsidR="0030286B">
                <w:rPr>
                  <w:rFonts w:ascii="Cambria"/>
                  <w:color w:val="418BCA"/>
                  <w:w w:val="115"/>
                  <w:sz w:val="21"/>
                </w:rPr>
                <w:t>javadoc</w:t>
              </w:r>
            </w:hyperlink>
          </w:p>
        </w:tc>
      </w:tr>
      <w:tr w:rsidR="00A720EB" w14:paraId="76316D50" w14:textId="77777777">
        <w:trPr>
          <w:trHeight w:val="425"/>
        </w:trPr>
        <w:tc>
          <w:tcPr>
            <w:tcW w:w="7981" w:type="dxa"/>
          </w:tcPr>
          <w:p w14:paraId="671E2F93" w14:textId="77777777" w:rsidR="00A720EB" w:rsidRDefault="00E10349">
            <w:pPr>
              <w:pStyle w:val="TableParagraph"/>
              <w:spacing w:before="37"/>
              <w:rPr>
                <w:sz w:val="21"/>
              </w:rPr>
            </w:pPr>
            <w:hyperlink r:id="rId1093">
              <w:r w:rsidR="0030286B">
                <w:rPr>
                  <w:color w:val="B02045"/>
                  <w:sz w:val="21"/>
                </w:rPr>
                <w:t>RedisReactiveHealthContributorAutoConfiguration</w:t>
              </w:r>
            </w:hyperlink>
          </w:p>
        </w:tc>
        <w:tc>
          <w:tcPr>
            <w:tcW w:w="1995" w:type="dxa"/>
          </w:tcPr>
          <w:p w14:paraId="0C13FF2F" w14:textId="77777777" w:rsidR="00A720EB" w:rsidRDefault="00E10349">
            <w:pPr>
              <w:pStyle w:val="TableParagraph"/>
              <w:spacing w:before="92"/>
              <w:ind w:left="59"/>
              <w:rPr>
                <w:rFonts w:ascii="Cambria"/>
                <w:sz w:val="21"/>
              </w:rPr>
            </w:pPr>
            <w:hyperlink r:id="rId1094">
              <w:r w:rsidR="0030286B">
                <w:rPr>
                  <w:rFonts w:ascii="Cambria"/>
                  <w:color w:val="418BCA"/>
                  <w:w w:val="115"/>
                  <w:sz w:val="21"/>
                </w:rPr>
                <w:t>javadoc</w:t>
              </w:r>
            </w:hyperlink>
          </w:p>
        </w:tc>
      </w:tr>
      <w:tr w:rsidR="00A720EB" w14:paraId="42615B0F" w14:textId="77777777">
        <w:trPr>
          <w:trHeight w:val="425"/>
        </w:trPr>
        <w:tc>
          <w:tcPr>
            <w:tcW w:w="7981" w:type="dxa"/>
          </w:tcPr>
          <w:p w14:paraId="613B7B97" w14:textId="77777777" w:rsidR="00A720EB" w:rsidRDefault="00E10349">
            <w:pPr>
              <w:pStyle w:val="TableParagraph"/>
              <w:spacing w:before="37"/>
              <w:rPr>
                <w:sz w:val="21"/>
              </w:rPr>
            </w:pPr>
            <w:hyperlink r:id="rId1095">
              <w:r w:rsidR="0030286B">
                <w:rPr>
                  <w:color w:val="B02045"/>
                  <w:sz w:val="21"/>
                </w:rPr>
                <w:t>ScheduledTasksEndpointAutoConfiguration</w:t>
              </w:r>
            </w:hyperlink>
          </w:p>
        </w:tc>
        <w:tc>
          <w:tcPr>
            <w:tcW w:w="1995" w:type="dxa"/>
          </w:tcPr>
          <w:p w14:paraId="42012E7D" w14:textId="77777777" w:rsidR="00A720EB" w:rsidRDefault="00E10349">
            <w:pPr>
              <w:pStyle w:val="TableParagraph"/>
              <w:spacing w:before="92"/>
              <w:ind w:left="59"/>
              <w:rPr>
                <w:rFonts w:ascii="Cambria"/>
                <w:sz w:val="21"/>
              </w:rPr>
            </w:pPr>
            <w:hyperlink r:id="rId1096">
              <w:r w:rsidR="0030286B">
                <w:rPr>
                  <w:rFonts w:ascii="Cambria"/>
                  <w:color w:val="418BCA"/>
                  <w:w w:val="115"/>
                  <w:sz w:val="21"/>
                </w:rPr>
                <w:t>javadoc</w:t>
              </w:r>
            </w:hyperlink>
          </w:p>
        </w:tc>
      </w:tr>
      <w:tr w:rsidR="00A720EB" w14:paraId="6283CEA2" w14:textId="77777777">
        <w:trPr>
          <w:trHeight w:val="425"/>
        </w:trPr>
        <w:tc>
          <w:tcPr>
            <w:tcW w:w="7981" w:type="dxa"/>
          </w:tcPr>
          <w:p w14:paraId="2BEF2CA3" w14:textId="77777777" w:rsidR="00A720EB" w:rsidRDefault="00E10349">
            <w:pPr>
              <w:pStyle w:val="TableParagraph"/>
              <w:spacing w:before="37"/>
              <w:rPr>
                <w:sz w:val="21"/>
              </w:rPr>
            </w:pPr>
            <w:hyperlink r:id="rId1097">
              <w:r w:rsidR="0030286B">
                <w:rPr>
                  <w:color w:val="B02045"/>
                  <w:sz w:val="21"/>
                </w:rPr>
                <w:t>ServletManagementContextAutoConfiguration</w:t>
              </w:r>
            </w:hyperlink>
          </w:p>
        </w:tc>
        <w:tc>
          <w:tcPr>
            <w:tcW w:w="1995" w:type="dxa"/>
          </w:tcPr>
          <w:p w14:paraId="1190290F" w14:textId="77777777" w:rsidR="00A720EB" w:rsidRDefault="00E10349">
            <w:pPr>
              <w:pStyle w:val="TableParagraph"/>
              <w:spacing w:before="92"/>
              <w:ind w:left="59"/>
              <w:rPr>
                <w:rFonts w:ascii="Cambria"/>
                <w:sz w:val="21"/>
              </w:rPr>
            </w:pPr>
            <w:hyperlink r:id="rId1098">
              <w:r w:rsidR="0030286B">
                <w:rPr>
                  <w:rFonts w:ascii="Cambria"/>
                  <w:color w:val="418BCA"/>
                  <w:w w:val="115"/>
                  <w:sz w:val="21"/>
                </w:rPr>
                <w:t>javadoc</w:t>
              </w:r>
            </w:hyperlink>
          </w:p>
        </w:tc>
      </w:tr>
      <w:tr w:rsidR="00A720EB" w14:paraId="3ED1C229" w14:textId="77777777">
        <w:trPr>
          <w:trHeight w:val="425"/>
        </w:trPr>
        <w:tc>
          <w:tcPr>
            <w:tcW w:w="7981" w:type="dxa"/>
          </w:tcPr>
          <w:p w14:paraId="759B00CE" w14:textId="77777777" w:rsidR="00A720EB" w:rsidRDefault="00E10349">
            <w:pPr>
              <w:pStyle w:val="TableParagraph"/>
              <w:spacing w:before="37"/>
              <w:rPr>
                <w:sz w:val="21"/>
              </w:rPr>
            </w:pPr>
            <w:hyperlink r:id="rId1099">
              <w:r w:rsidR="0030286B">
                <w:rPr>
                  <w:color w:val="B02045"/>
                  <w:sz w:val="21"/>
                </w:rPr>
                <w:t>SessionsEndpointAutoConfiguration</w:t>
              </w:r>
            </w:hyperlink>
          </w:p>
        </w:tc>
        <w:tc>
          <w:tcPr>
            <w:tcW w:w="1995" w:type="dxa"/>
          </w:tcPr>
          <w:p w14:paraId="567AC483" w14:textId="77777777" w:rsidR="00A720EB" w:rsidRDefault="00E10349">
            <w:pPr>
              <w:pStyle w:val="TableParagraph"/>
              <w:spacing w:before="92"/>
              <w:ind w:left="59"/>
              <w:rPr>
                <w:rFonts w:ascii="Cambria"/>
                <w:sz w:val="21"/>
              </w:rPr>
            </w:pPr>
            <w:hyperlink r:id="rId1100">
              <w:r w:rsidR="0030286B">
                <w:rPr>
                  <w:rFonts w:ascii="Cambria"/>
                  <w:color w:val="418BCA"/>
                  <w:w w:val="115"/>
                  <w:sz w:val="21"/>
                </w:rPr>
                <w:t>javadoc</w:t>
              </w:r>
            </w:hyperlink>
          </w:p>
        </w:tc>
      </w:tr>
      <w:tr w:rsidR="00A720EB" w14:paraId="5983EB70" w14:textId="77777777">
        <w:trPr>
          <w:trHeight w:val="425"/>
        </w:trPr>
        <w:tc>
          <w:tcPr>
            <w:tcW w:w="7981" w:type="dxa"/>
          </w:tcPr>
          <w:p w14:paraId="1012804E" w14:textId="77777777" w:rsidR="00A720EB" w:rsidRDefault="00E10349">
            <w:pPr>
              <w:pStyle w:val="TableParagraph"/>
              <w:spacing w:before="37"/>
              <w:rPr>
                <w:sz w:val="21"/>
              </w:rPr>
            </w:pPr>
            <w:hyperlink r:id="rId1101">
              <w:r w:rsidR="0030286B">
                <w:rPr>
                  <w:color w:val="B02045"/>
                  <w:sz w:val="21"/>
                </w:rPr>
                <w:t>ShutdownEndpointAutoConfiguration</w:t>
              </w:r>
            </w:hyperlink>
          </w:p>
        </w:tc>
        <w:tc>
          <w:tcPr>
            <w:tcW w:w="1995" w:type="dxa"/>
          </w:tcPr>
          <w:p w14:paraId="30D0E8E8" w14:textId="77777777" w:rsidR="00A720EB" w:rsidRDefault="00E10349">
            <w:pPr>
              <w:pStyle w:val="TableParagraph"/>
              <w:spacing w:before="92"/>
              <w:ind w:left="59"/>
              <w:rPr>
                <w:rFonts w:ascii="Cambria"/>
                <w:sz w:val="21"/>
              </w:rPr>
            </w:pPr>
            <w:hyperlink r:id="rId1102">
              <w:r w:rsidR="0030286B">
                <w:rPr>
                  <w:rFonts w:ascii="Cambria"/>
                  <w:color w:val="418BCA"/>
                  <w:w w:val="115"/>
                  <w:sz w:val="21"/>
                </w:rPr>
                <w:t>javadoc</w:t>
              </w:r>
            </w:hyperlink>
          </w:p>
        </w:tc>
      </w:tr>
      <w:tr w:rsidR="00A720EB" w14:paraId="2B40309B" w14:textId="77777777">
        <w:trPr>
          <w:trHeight w:val="425"/>
        </w:trPr>
        <w:tc>
          <w:tcPr>
            <w:tcW w:w="7981" w:type="dxa"/>
          </w:tcPr>
          <w:p w14:paraId="34EC1BC1" w14:textId="77777777" w:rsidR="00A720EB" w:rsidRDefault="00E10349">
            <w:pPr>
              <w:pStyle w:val="TableParagraph"/>
              <w:spacing w:before="37"/>
              <w:rPr>
                <w:sz w:val="21"/>
              </w:rPr>
            </w:pPr>
            <w:hyperlink r:id="rId1103">
              <w:r w:rsidR="0030286B">
                <w:rPr>
                  <w:color w:val="B02045"/>
                  <w:sz w:val="21"/>
                </w:rPr>
                <w:t>SignalFxMetricsExportAutoConfiguration</w:t>
              </w:r>
            </w:hyperlink>
          </w:p>
        </w:tc>
        <w:tc>
          <w:tcPr>
            <w:tcW w:w="1995" w:type="dxa"/>
          </w:tcPr>
          <w:p w14:paraId="60F17C73" w14:textId="77777777" w:rsidR="00A720EB" w:rsidRDefault="00E10349">
            <w:pPr>
              <w:pStyle w:val="TableParagraph"/>
              <w:spacing w:before="92"/>
              <w:ind w:left="59"/>
              <w:rPr>
                <w:rFonts w:ascii="Cambria"/>
                <w:sz w:val="21"/>
              </w:rPr>
            </w:pPr>
            <w:hyperlink r:id="rId1104">
              <w:r w:rsidR="0030286B">
                <w:rPr>
                  <w:rFonts w:ascii="Cambria"/>
                  <w:color w:val="418BCA"/>
                  <w:w w:val="115"/>
                  <w:sz w:val="21"/>
                </w:rPr>
                <w:t>javadoc</w:t>
              </w:r>
            </w:hyperlink>
          </w:p>
        </w:tc>
      </w:tr>
      <w:tr w:rsidR="00A720EB" w14:paraId="7989FC3C" w14:textId="77777777">
        <w:trPr>
          <w:trHeight w:val="425"/>
        </w:trPr>
        <w:tc>
          <w:tcPr>
            <w:tcW w:w="7981" w:type="dxa"/>
          </w:tcPr>
          <w:p w14:paraId="58956234" w14:textId="77777777" w:rsidR="00A720EB" w:rsidRDefault="00E10349">
            <w:pPr>
              <w:pStyle w:val="TableParagraph"/>
              <w:spacing w:before="37"/>
              <w:rPr>
                <w:sz w:val="21"/>
              </w:rPr>
            </w:pPr>
            <w:hyperlink r:id="rId1105">
              <w:r w:rsidR="0030286B">
                <w:rPr>
                  <w:color w:val="B02045"/>
                  <w:sz w:val="21"/>
                </w:rPr>
                <w:t>SimpleMetricsExportAutoConfiguration</w:t>
              </w:r>
            </w:hyperlink>
          </w:p>
        </w:tc>
        <w:tc>
          <w:tcPr>
            <w:tcW w:w="1995" w:type="dxa"/>
          </w:tcPr>
          <w:p w14:paraId="75E5520F" w14:textId="77777777" w:rsidR="00A720EB" w:rsidRDefault="00E10349">
            <w:pPr>
              <w:pStyle w:val="TableParagraph"/>
              <w:spacing w:before="92"/>
              <w:ind w:left="59"/>
              <w:rPr>
                <w:rFonts w:ascii="Cambria"/>
                <w:sz w:val="21"/>
              </w:rPr>
            </w:pPr>
            <w:hyperlink r:id="rId1106">
              <w:r w:rsidR="0030286B">
                <w:rPr>
                  <w:rFonts w:ascii="Cambria"/>
                  <w:color w:val="418BCA"/>
                  <w:w w:val="115"/>
                  <w:sz w:val="21"/>
                </w:rPr>
                <w:t>javadoc</w:t>
              </w:r>
            </w:hyperlink>
          </w:p>
        </w:tc>
      </w:tr>
      <w:tr w:rsidR="00A720EB" w14:paraId="07B5AF71" w14:textId="77777777">
        <w:trPr>
          <w:trHeight w:val="425"/>
        </w:trPr>
        <w:tc>
          <w:tcPr>
            <w:tcW w:w="7981" w:type="dxa"/>
          </w:tcPr>
          <w:p w14:paraId="3D9E947D" w14:textId="77777777" w:rsidR="00A720EB" w:rsidRDefault="00E10349">
            <w:pPr>
              <w:pStyle w:val="TableParagraph"/>
              <w:spacing w:before="37"/>
              <w:rPr>
                <w:sz w:val="21"/>
              </w:rPr>
            </w:pPr>
            <w:hyperlink r:id="rId1107">
              <w:r w:rsidR="0030286B">
                <w:rPr>
                  <w:color w:val="B02045"/>
                  <w:sz w:val="21"/>
                </w:rPr>
                <w:t>SolrHealthContributorAutoConfiguration</w:t>
              </w:r>
            </w:hyperlink>
          </w:p>
        </w:tc>
        <w:tc>
          <w:tcPr>
            <w:tcW w:w="1995" w:type="dxa"/>
          </w:tcPr>
          <w:p w14:paraId="07B361A5" w14:textId="77777777" w:rsidR="00A720EB" w:rsidRDefault="00E10349">
            <w:pPr>
              <w:pStyle w:val="TableParagraph"/>
              <w:spacing w:before="92"/>
              <w:ind w:left="59"/>
              <w:rPr>
                <w:rFonts w:ascii="Cambria"/>
                <w:sz w:val="21"/>
              </w:rPr>
            </w:pPr>
            <w:hyperlink r:id="rId1108">
              <w:r w:rsidR="0030286B">
                <w:rPr>
                  <w:rFonts w:ascii="Cambria"/>
                  <w:color w:val="418BCA"/>
                  <w:w w:val="115"/>
                  <w:sz w:val="21"/>
                </w:rPr>
                <w:t>javadoc</w:t>
              </w:r>
            </w:hyperlink>
          </w:p>
        </w:tc>
      </w:tr>
      <w:tr w:rsidR="00A720EB" w14:paraId="41072547" w14:textId="77777777">
        <w:trPr>
          <w:trHeight w:val="425"/>
        </w:trPr>
        <w:tc>
          <w:tcPr>
            <w:tcW w:w="7981" w:type="dxa"/>
          </w:tcPr>
          <w:p w14:paraId="601833E0" w14:textId="77777777" w:rsidR="00A720EB" w:rsidRDefault="00E10349">
            <w:pPr>
              <w:pStyle w:val="TableParagraph"/>
              <w:spacing w:before="37"/>
              <w:rPr>
                <w:sz w:val="21"/>
              </w:rPr>
            </w:pPr>
            <w:hyperlink r:id="rId1109">
              <w:r w:rsidR="0030286B">
                <w:rPr>
                  <w:color w:val="B02045"/>
                  <w:sz w:val="21"/>
                </w:rPr>
                <w:t>StackdriverMetricsExportAutoConfiguration</w:t>
              </w:r>
            </w:hyperlink>
          </w:p>
        </w:tc>
        <w:tc>
          <w:tcPr>
            <w:tcW w:w="1995" w:type="dxa"/>
          </w:tcPr>
          <w:p w14:paraId="1B8B1090" w14:textId="77777777" w:rsidR="00A720EB" w:rsidRDefault="00E10349">
            <w:pPr>
              <w:pStyle w:val="TableParagraph"/>
              <w:spacing w:before="92"/>
              <w:ind w:left="59"/>
              <w:rPr>
                <w:rFonts w:ascii="Cambria"/>
                <w:sz w:val="21"/>
              </w:rPr>
            </w:pPr>
            <w:hyperlink r:id="rId1110">
              <w:r w:rsidR="0030286B">
                <w:rPr>
                  <w:rFonts w:ascii="Cambria"/>
                  <w:color w:val="418BCA"/>
                  <w:w w:val="115"/>
                  <w:sz w:val="21"/>
                </w:rPr>
                <w:t>javadoc</w:t>
              </w:r>
            </w:hyperlink>
          </w:p>
        </w:tc>
      </w:tr>
      <w:tr w:rsidR="00A720EB" w14:paraId="0B0CE70C" w14:textId="77777777">
        <w:trPr>
          <w:trHeight w:val="425"/>
        </w:trPr>
        <w:tc>
          <w:tcPr>
            <w:tcW w:w="7981" w:type="dxa"/>
          </w:tcPr>
          <w:p w14:paraId="4A2DDAC7" w14:textId="77777777" w:rsidR="00A720EB" w:rsidRDefault="00E10349">
            <w:pPr>
              <w:pStyle w:val="TableParagraph"/>
              <w:spacing w:before="37"/>
              <w:rPr>
                <w:sz w:val="21"/>
              </w:rPr>
            </w:pPr>
            <w:hyperlink r:id="rId1111">
              <w:r w:rsidR="0030286B">
                <w:rPr>
                  <w:color w:val="B02045"/>
                  <w:sz w:val="21"/>
                </w:rPr>
                <w:t>StatsdMetricsExportAutoConfiguration</w:t>
              </w:r>
            </w:hyperlink>
          </w:p>
        </w:tc>
        <w:tc>
          <w:tcPr>
            <w:tcW w:w="1995" w:type="dxa"/>
          </w:tcPr>
          <w:p w14:paraId="5C2ED0CB" w14:textId="77777777" w:rsidR="00A720EB" w:rsidRDefault="00E10349">
            <w:pPr>
              <w:pStyle w:val="TableParagraph"/>
              <w:spacing w:before="92"/>
              <w:ind w:left="59"/>
              <w:rPr>
                <w:rFonts w:ascii="Cambria"/>
                <w:sz w:val="21"/>
              </w:rPr>
            </w:pPr>
            <w:hyperlink r:id="rId1112">
              <w:r w:rsidR="0030286B">
                <w:rPr>
                  <w:rFonts w:ascii="Cambria"/>
                  <w:color w:val="418BCA"/>
                  <w:w w:val="115"/>
                  <w:sz w:val="21"/>
                </w:rPr>
                <w:t>javadoc</w:t>
              </w:r>
            </w:hyperlink>
          </w:p>
        </w:tc>
      </w:tr>
      <w:tr w:rsidR="00A720EB" w14:paraId="276196C7" w14:textId="77777777">
        <w:trPr>
          <w:trHeight w:val="425"/>
        </w:trPr>
        <w:tc>
          <w:tcPr>
            <w:tcW w:w="7981" w:type="dxa"/>
          </w:tcPr>
          <w:p w14:paraId="09086F09" w14:textId="77777777" w:rsidR="00A720EB" w:rsidRDefault="00E10349">
            <w:pPr>
              <w:pStyle w:val="TableParagraph"/>
              <w:spacing w:before="37"/>
              <w:rPr>
                <w:sz w:val="21"/>
              </w:rPr>
            </w:pPr>
            <w:hyperlink r:id="rId1113">
              <w:r w:rsidR="0030286B">
                <w:rPr>
                  <w:color w:val="B02045"/>
                  <w:sz w:val="21"/>
                </w:rPr>
                <w:t>SystemMetricsAutoConfiguration</w:t>
              </w:r>
            </w:hyperlink>
          </w:p>
        </w:tc>
        <w:tc>
          <w:tcPr>
            <w:tcW w:w="1995" w:type="dxa"/>
          </w:tcPr>
          <w:p w14:paraId="23985E2D" w14:textId="77777777" w:rsidR="00A720EB" w:rsidRDefault="00E10349">
            <w:pPr>
              <w:pStyle w:val="TableParagraph"/>
              <w:spacing w:before="92"/>
              <w:ind w:left="59"/>
              <w:rPr>
                <w:rFonts w:ascii="Cambria"/>
                <w:sz w:val="21"/>
              </w:rPr>
            </w:pPr>
            <w:hyperlink r:id="rId1114">
              <w:r w:rsidR="0030286B">
                <w:rPr>
                  <w:rFonts w:ascii="Cambria"/>
                  <w:color w:val="418BCA"/>
                  <w:w w:val="115"/>
                  <w:sz w:val="21"/>
                </w:rPr>
                <w:t>javadoc</w:t>
              </w:r>
            </w:hyperlink>
          </w:p>
        </w:tc>
      </w:tr>
      <w:tr w:rsidR="00A720EB" w14:paraId="326EA7E2" w14:textId="77777777">
        <w:trPr>
          <w:trHeight w:val="425"/>
        </w:trPr>
        <w:tc>
          <w:tcPr>
            <w:tcW w:w="7981" w:type="dxa"/>
          </w:tcPr>
          <w:p w14:paraId="65E20D22" w14:textId="77777777" w:rsidR="00A720EB" w:rsidRDefault="00E10349">
            <w:pPr>
              <w:pStyle w:val="TableParagraph"/>
              <w:spacing w:before="37"/>
              <w:rPr>
                <w:sz w:val="21"/>
              </w:rPr>
            </w:pPr>
            <w:hyperlink r:id="rId1115">
              <w:r w:rsidR="0030286B">
                <w:rPr>
                  <w:color w:val="B02045"/>
                  <w:sz w:val="21"/>
                </w:rPr>
                <w:t>ThreadDumpEndpointAutoConfiguration</w:t>
              </w:r>
            </w:hyperlink>
          </w:p>
        </w:tc>
        <w:tc>
          <w:tcPr>
            <w:tcW w:w="1995" w:type="dxa"/>
          </w:tcPr>
          <w:p w14:paraId="2C1EBE13" w14:textId="77777777" w:rsidR="00A720EB" w:rsidRDefault="00E10349">
            <w:pPr>
              <w:pStyle w:val="TableParagraph"/>
              <w:spacing w:before="92"/>
              <w:ind w:left="59"/>
              <w:rPr>
                <w:rFonts w:ascii="Cambria"/>
                <w:sz w:val="21"/>
              </w:rPr>
            </w:pPr>
            <w:hyperlink r:id="rId1116">
              <w:r w:rsidR="0030286B">
                <w:rPr>
                  <w:rFonts w:ascii="Cambria"/>
                  <w:color w:val="418BCA"/>
                  <w:w w:val="115"/>
                  <w:sz w:val="21"/>
                </w:rPr>
                <w:t>javadoc</w:t>
              </w:r>
            </w:hyperlink>
          </w:p>
        </w:tc>
      </w:tr>
      <w:tr w:rsidR="00A720EB" w14:paraId="1932C9B1" w14:textId="77777777">
        <w:trPr>
          <w:trHeight w:val="425"/>
        </w:trPr>
        <w:tc>
          <w:tcPr>
            <w:tcW w:w="7981" w:type="dxa"/>
          </w:tcPr>
          <w:p w14:paraId="5A2B5FCB" w14:textId="77777777" w:rsidR="00A720EB" w:rsidRDefault="00E10349">
            <w:pPr>
              <w:pStyle w:val="TableParagraph"/>
              <w:spacing w:before="37"/>
              <w:rPr>
                <w:sz w:val="21"/>
              </w:rPr>
            </w:pPr>
            <w:hyperlink r:id="rId1117">
              <w:r w:rsidR="0030286B">
                <w:rPr>
                  <w:color w:val="B02045"/>
                  <w:sz w:val="21"/>
                </w:rPr>
                <w:t>TomcatMetricsAutoConfiguration</w:t>
              </w:r>
            </w:hyperlink>
          </w:p>
        </w:tc>
        <w:tc>
          <w:tcPr>
            <w:tcW w:w="1995" w:type="dxa"/>
          </w:tcPr>
          <w:p w14:paraId="4D06CEA7" w14:textId="77777777" w:rsidR="00A720EB" w:rsidRDefault="00E10349">
            <w:pPr>
              <w:pStyle w:val="TableParagraph"/>
              <w:spacing w:before="92"/>
              <w:ind w:left="59"/>
              <w:rPr>
                <w:rFonts w:ascii="Cambria"/>
                <w:sz w:val="21"/>
              </w:rPr>
            </w:pPr>
            <w:hyperlink r:id="rId1118">
              <w:r w:rsidR="0030286B">
                <w:rPr>
                  <w:rFonts w:ascii="Cambria"/>
                  <w:color w:val="418BCA"/>
                  <w:w w:val="115"/>
                  <w:sz w:val="21"/>
                </w:rPr>
                <w:t>javadoc</w:t>
              </w:r>
            </w:hyperlink>
          </w:p>
        </w:tc>
      </w:tr>
      <w:tr w:rsidR="00A720EB" w14:paraId="4436900C" w14:textId="77777777">
        <w:trPr>
          <w:trHeight w:val="425"/>
        </w:trPr>
        <w:tc>
          <w:tcPr>
            <w:tcW w:w="7981" w:type="dxa"/>
          </w:tcPr>
          <w:p w14:paraId="4C7049CA" w14:textId="77777777" w:rsidR="00A720EB" w:rsidRDefault="00E10349">
            <w:pPr>
              <w:pStyle w:val="TableParagraph"/>
              <w:spacing w:before="37"/>
              <w:rPr>
                <w:sz w:val="21"/>
              </w:rPr>
            </w:pPr>
            <w:hyperlink r:id="rId1119">
              <w:r w:rsidR="0030286B">
                <w:rPr>
                  <w:color w:val="B02045"/>
                  <w:sz w:val="21"/>
                </w:rPr>
                <w:t>WavefrontMetricsExportAutoConfiguration</w:t>
              </w:r>
            </w:hyperlink>
          </w:p>
        </w:tc>
        <w:tc>
          <w:tcPr>
            <w:tcW w:w="1995" w:type="dxa"/>
          </w:tcPr>
          <w:p w14:paraId="0ACBB6F5" w14:textId="77777777" w:rsidR="00A720EB" w:rsidRDefault="00E10349">
            <w:pPr>
              <w:pStyle w:val="TableParagraph"/>
              <w:spacing w:before="92"/>
              <w:ind w:left="59"/>
              <w:rPr>
                <w:rFonts w:ascii="Cambria"/>
                <w:sz w:val="21"/>
              </w:rPr>
            </w:pPr>
            <w:hyperlink r:id="rId1120">
              <w:r w:rsidR="0030286B">
                <w:rPr>
                  <w:rFonts w:ascii="Cambria"/>
                  <w:color w:val="418BCA"/>
                  <w:w w:val="115"/>
                  <w:sz w:val="21"/>
                </w:rPr>
                <w:t>javadoc</w:t>
              </w:r>
            </w:hyperlink>
          </w:p>
        </w:tc>
      </w:tr>
      <w:tr w:rsidR="00A720EB" w14:paraId="545AA2A1" w14:textId="77777777">
        <w:trPr>
          <w:trHeight w:val="425"/>
        </w:trPr>
        <w:tc>
          <w:tcPr>
            <w:tcW w:w="7981" w:type="dxa"/>
          </w:tcPr>
          <w:p w14:paraId="7C40FB4A" w14:textId="77777777" w:rsidR="00A720EB" w:rsidRDefault="00E10349">
            <w:pPr>
              <w:pStyle w:val="TableParagraph"/>
              <w:spacing w:before="37"/>
              <w:rPr>
                <w:sz w:val="21"/>
              </w:rPr>
            </w:pPr>
            <w:hyperlink r:id="rId1121">
              <w:r w:rsidR="0030286B">
                <w:rPr>
                  <w:color w:val="B02045"/>
                  <w:sz w:val="21"/>
                </w:rPr>
                <w:t>WebEndpointAutoConfiguration</w:t>
              </w:r>
            </w:hyperlink>
          </w:p>
        </w:tc>
        <w:tc>
          <w:tcPr>
            <w:tcW w:w="1995" w:type="dxa"/>
          </w:tcPr>
          <w:p w14:paraId="63F54B67" w14:textId="77777777" w:rsidR="00A720EB" w:rsidRDefault="00E10349">
            <w:pPr>
              <w:pStyle w:val="TableParagraph"/>
              <w:spacing w:before="92"/>
              <w:ind w:left="59"/>
              <w:rPr>
                <w:rFonts w:ascii="Cambria"/>
                <w:sz w:val="21"/>
              </w:rPr>
            </w:pPr>
            <w:hyperlink r:id="rId1122">
              <w:r w:rsidR="0030286B">
                <w:rPr>
                  <w:rFonts w:ascii="Cambria"/>
                  <w:color w:val="418BCA"/>
                  <w:w w:val="115"/>
                  <w:sz w:val="21"/>
                </w:rPr>
                <w:t>javadoc</w:t>
              </w:r>
            </w:hyperlink>
          </w:p>
        </w:tc>
      </w:tr>
      <w:tr w:rsidR="00A720EB" w14:paraId="25B9BC44" w14:textId="77777777">
        <w:trPr>
          <w:trHeight w:val="425"/>
        </w:trPr>
        <w:tc>
          <w:tcPr>
            <w:tcW w:w="7981" w:type="dxa"/>
          </w:tcPr>
          <w:p w14:paraId="341DF020" w14:textId="77777777" w:rsidR="00A720EB" w:rsidRDefault="00E10349">
            <w:pPr>
              <w:pStyle w:val="TableParagraph"/>
              <w:spacing w:before="37"/>
              <w:rPr>
                <w:sz w:val="21"/>
              </w:rPr>
            </w:pPr>
            <w:hyperlink r:id="rId1123">
              <w:r w:rsidR="0030286B">
                <w:rPr>
                  <w:color w:val="B02045"/>
                  <w:sz w:val="21"/>
                </w:rPr>
                <w:t>WebFluxMetricsAutoConfiguration</w:t>
              </w:r>
            </w:hyperlink>
          </w:p>
        </w:tc>
        <w:tc>
          <w:tcPr>
            <w:tcW w:w="1995" w:type="dxa"/>
          </w:tcPr>
          <w:p w14:paraId="7B91DC34" w14:textId="77777777" w:rsidR="00A720EB" w:rsidRDefault="00E10349">
            <w:pPr>
              <w:pStyle w:val="TableParagraph"/>
              <w:spacing w:before="92"/>
              <w:ind w:left="59"/>
              <w:rPr>
                <w:rFonts w:ascii="Cambria"/>
                <w:sz w:val="21"/>
              </w:rPr>
            </w:pPr>
            <w:hyperlink r:id="rId1124">
              <w:r w:rsidR="0030286B">
                <w:rPr>
                  <w:rFonts w:ascii="Cambria"/>
                  <w:color w:val="418BCA"/>
                  <w:w w:val="115"/>
                  <w:sz w:val="21"/>
                </w:rPr>
                <w:t>javadoc</w:t>
              </w:r>
            </w:hyperlink>
          </w:p>
        </w:tc>
      </w:tr>
      <w:tr w:rsidR="00A720EB" w14:paraId="16322D10" w14:textId="77777777">
        <w:trPr>
          <w:trHeight w:val="425"/>
        </w:trPr>
        <w:tc>
          <w:tcPr>
            <w:tcW w:w="7981" w:type="dxa"/>
          </w:tcPr>
          <w:p w14:paraId="61783C77" w14:textId="77777777" w:rsidR="00A720EB" w:rsidRDefault="00E10349">
            <w:pPr>
              <w:pStyle w:val="TableParagraph"/>
              <w:spacing w:before="37"/>
              <w:rPr>
                <w:sz w:val="21"/>
              </w:rPr>
            </w:pPr>
            <w:hyperlink r:id="rId1125">
              <w:r w:rsidR="0030286B">
                <w:rPr>
                  <w:color w:val="B02045"/>
                  <w:sz w:val="21"/>
                </w:rPr>
                <w:t>WebMvcMetricsAutoConfiguration</w:t>
              </w:r>
            </w:hyperlink>
          </w:p>
        </w:tc>
        <w:tc>
          <w:tcPr>
            <w:tcW w:w="1995" w:type="dxa"/>
          </w:tcPr>
          <w:p w14:paraId="5CB4912C" w14:textId="77777777" w:rsidR="00A720EB" w:rsidRDefault="00E10349">
            <w:pPr>
              <w:pStyle w:val="TableParagraph"/>
              <w:spacing w:before="92"/>
              <w:ind w:left="59"/>
              <w:rPr>
                <w:rFonts w:ascii="Cambria"/>
                <w:sz w:val="21"/>
              </w:rPr>
            </w:pPr>
            <w:hyperlink r:id="rId1126">
              <w:r w:rsidR="0030286B">
                <w:rPr>
                  <w:rFonts w:ascii="Cambria"/>
                  <w:color w:val="418BCA"/>
                  <w:w w:val="115"/>
                  <w:sz w:val="21"/>
                </w:rPr>
                <w:t>javadoc</w:t>
              </w:r>
            </w:hyperlink>
          </w:p>
        </w:tc>
      </w:tr>
    </w:tbl>
    <w:p w14:paraId="1DF77DC1" w14:textId="77777777" w:rsidR="00A720EB" w:rsidRDefault="00A720EB">
      <w:pPr>
        <w:rPr>
          <w:sz w:val="21"/>
        </w:rPr>
        <w:sectPr w:rsidR="00A720EB">
          <w:pgSz w:w="11910" w:h="16840"/>
          <w:pgMar w:top="700" w:right="840" w:bottom="380" w:left="840" w:header="0" w:footer="198" w:gutter="0"/>
          <w:cols w:space="720"/>
        </w:sectPr>
      </w:pPr>
    </w:p>
    <w:p w14:paraId="3AA01EC5" w14:textId="77777777" w:rsidR="00A720EB" w:rsidRDefault="0030286B">
      <w:pPr>
        <w:pStyle w:val="2"/>
        <w:spacing w:before="88"/>
        <w:ind w:left="124" w:firstLine="0"/>
      </w:pPr>
      <w:bookmarkStart w:id="1078" w:name="Appendix_D:_Test_Auto-configuration_Anno"/>
      <w:bookmarkStart w:id="1079" w:name="_Toc54424052"/>
      <w:bookmarkEnd w:id="1078"/>
      <w:r>
        <w:rPr>
          <w:color w:val="333333"/>
          <w:w w:val="110"/>
        </w:rPr>
        <w:lastRenderedPageBreak/>
        <w:t xml:space="preserve">Appendix D: </w:t>
      </w:r>
      <w:r>
        <w:rPr>
          <w:color w:val="333333"/>
          <w:spacing w:val="-4"/>
          <w:w w:val="110"/>
        </w:rPr>
        <w:t xml:space="preserve">Test </w:t>
      </w:r>
      <w:r>
        <w:rPr>
          <w:color w:val="333333"/>
          <w:w w:val="110"/>
        </w:rPr>
        <w:t>Auto-configuration</w:t>
      </w:r>
      <w:r>
        <w:rPr>
          <w:color w:val="333333"/>
          <w:spacing w:val="-56"/>
          <w:w w:val="110"/>
        </w:rPr>
        <w:t xml:space="preserve"> </w:t>
      </w:r>
      <w:r>
        <w:rPr>
          <w:color w:val="333333"/>
          <w:w w:val="110"/>
        </w:rPr>
        <w:t>Annotations</w:t>
      </w:r>
      <w:bookmarkEnd w:id="1079"/>
    </w:p>
    <w:p w14:paraId="2BC93440" w14:textId="77777777" w:rsidR="00A720EB" w:rsidRDefault="0030286B">
      <w:pPr>
        <w:pStyle w:val="a3"/>
        <w:spacing w:before="243" w:line="290" w:lineRule="auto"/>
        <w:ind w:left="124" w:right="359"/>
      </w:pPr>
      <w:r>
        <w:rPr>
          <w:color w:val="333333"/>
          <w:w w:val="110"/>
        </w:rPr>
        <w:t xml:space="preserve">This appendix describes the </w:t>
      </w:r>
      <w:r>
        <w:rPr>
          <w:rFonts w:ascii="MS Gothic" w:hAnsi="MS Gothic"/>
          <w:color w:val="B02045"/>
          <w:w w:val="110"/>
        </w:rPr>
        <w:t xml:space="preserve">@…Test </w:t>
      </w:r>
      <w:r>
        <w:rPr>
          <w:color w:val="333333"/>
          <w:w w:val="110"/>
        </w:rPr>
        <w:t>auto-configuration annotations that Spring Boot provides to test slices of your application.</w:t>
      </w:r>
    </w:p>
    <w:p w14:paraId="60E63611" w14:textId="77777777" w:rsidR="00A720EB" w:rsidRDefault="00A720EB">
      <w:pPr>
        <w:pStyle w:val="a3"/>
        <w:spacing w:before="3"/>
        <w:rPr>
          <w:sz w:val="27"/>
        </w:rPr>
      </w:pPr>
    </w:p>
    <w:p w14:paraId="7AB51A91" w14:textId="77777777" w:rsidR="00A720EB" w:rsidRDefault="0030286B">
      <w:pPr>
        <w:pStyle w:val="3"/>
        <w:ind w:left="124" w:firstLine="0"/>
      </w:pPr>
      <w:bookmarkStart w:id="1080" w:name="10.D.1._Test_Slices"/>
      <w:bookmarkStart w:id="1081" w:name="_Toc54424053"/>
      <w:bookmarkEnd w:id="1080"/>
      <w:r>
        <w:rPr>
          <w:color w:val="333333"/>
          <w:w w:val="110"/>
        </w:rPr>
        <w:t>10.D.1. Test Slices</w:t>
      </w:r>
      <w:bookmarkEnd w:id="1081"/>
    </w:p>
    <w:p w14:paraId="10C91833" w14:textId="77777777" w:rsidR="00A720EB" w:rsidRDefault="0030286B">
      <w:pPr>
        <w:pStyle w:val="a3"/>
        <w:spacing w:before="243" w:line="290" w:lineRule="auto"/>
        <w:ind w:left="124"/>
      </w:pPr>
      <w:r>
        <w:rPr>
          <w:color w:val="333333"/>
          <w:w w:val="110"/>
        </w:rPr>
        <w:t xml:space="preserve">The following table lists the various </w:t>
      </w:r>
      <w:r>
        <w:rPr>
          <w:rFonts w:ascii="MS Gothic" w:hAnsi="MS Gothic"/>
          <w:color w:val="B02045"/>
          <w:w w:val="110"/>
        </w:rPr>
        <w:t xml:space="preserve">@…Test </w:t>
      </w:r>
      <w:r>
        <w:rPr>
          <w:color w:val="333333"/>
          <w:w w:val="110"/>
        </w:rPr>
        <w:t>annotations that can be used to test slices of your application and the auto-configuration that they import by default:</w:t>
      </w:r>
    </w:p>
    <w:p w14:paraId="0DB2292F" w14:textId="77777777" w:rsidR="00A720EB" w:rsidRDefault="00A720EB">
      <w:pPr>
        <w:pStyle w:val="a3"/>
        <w:spacing w:before="2" w:after="1"/>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482497C0" w14:textId="77777777">
        <w:trPr>
          <w:trHeight w:val="415"/>
        </w:trPr>
        <w:tc>
          <w:tcPr>
            <w:tcW w:w="4988" w:type="dxa"/>
            <w:tcBorders>
              <w:bottom w:val="single" w:sz="12" w:space="0" w:color="DDDDDD"/>
            </w:tcBorders>
          </w:tcPr>
          <w:p w14:paraId="06E29C96" w14:textId="77777777" w:rsidR="00A720EB" w:rsidRDefault="0030286B">
            <w:pPr>
              <w:pStyle w:val="TableParagraph"/>
              <w:spacing w:before="74"/>
              <w:rPr>
                <w:rFonts w:ascii="Palatino Linotype"/>
                <w:b/>
                <w:sz w:val="21"/>
              </w:rPr>
            </w:pPr>
            <w:r>
              <w:rPr>
                <w:rFonts w:ascii="Palatino Linotype"/>
                <w:b/>
                <w:color w:val="333333"/>
                <w:w w:val="110"/>
                <w:sz w:val="21"/>
              </w:rPr>
              <w:t>Test slice</w:t>
            </w:r>
          </w:p>
        </w:tc>
        <w:tc>
          <w:tcPr>
            <w:tcW w:w="4988" w:type="dxa"/>
            <w:tcBorders>
              <w:bottom w:val="single" w:sz="12" w:space="0" w:color="DDDDDD"/>
            </w:tcBorders>
          </w:tcPr>
          <w:p w14:paraId="3E9DD5EC" w14:textId="77777777" w:rsidR="00A720EB" w:rsidRDefault="0030286B">
            <w:pPr>
              <w:pStyle w:val="TableParagraph"/>
              <w:spacing w:before="74"/>
              <w:rPr>
                <w:rFonts w:ascii="Palatino Linotype"/>
                <w:b/>
                <w:sz w:val="21"/>
              </w:rPr>
            </w:pPr>
            <w:r>
              <w:rPr>
                <w:rFonts w:ascii="Palatino Linotype"/>
                <w:b/>
                <w:color w:val="333333"/>
                <w:w w:val="110"/>
                <w:sz w:val="21"/>
              </w:rPr>
              <w:t>Imported auto-configuration</w:t>
            </w:r>
          </w:p>
        </w:tc>
      </w:tr>
      <w:tr w:rsidR="00A720EB" w14:paraId="0BBF55E8" w14:textId="77777777">
        <w:trPr>
          <w:trHeight w:val="5434"/>
        </w:trPr>
        <w:tc>
          <w:tcPr>
            <w:tcW w:w="4988" w:type="dxa"/>
            <w:tcBorders>
              <w:top w:val="single" w:sz="12" w:space="0" w:color="DDDDDD"/>
            </w:tcBorders>
          </w:tcPr>
          <w:p w14:paraId="3EDE727F" w14:textId="77777777" w:rsidR="00A720EB" w:rsidRDefault="0030286B">
            <w:pPr>
              <w:pStyle w:val="TableParagraph"/>
              <w:spacing w:before="30"/>
              <w:rPr>
                <w:sz w:val="21"/>
              </w:rPr>
            </w:pPr>
            <w:r>
              <w:rPr>
                <w:color w:val="B02045"/>
                <w:sz w:val="21"/>
              </w:rPr>
              <w:t>@DataJdbcTest</w:t>
            </w:r>
          </w:p>
        </w:tc>
        <w:tc>
          <w:tcPr>
            <w:tcW w:w="4988" w:type="dxa"/>
            <w:tcBorders>
              <w:top w:val="single" w:sz="12" w:space="0" w:color="DDDDDD"/>
            </w:tcBorders>
          </w:tcPr>
          <w:p w14:paraId="76DB527E" w14:textId="77777777" w:rsidR="00A720EB" w:rsidRDefault="0030286B">
            <w:pPr>
              <w:pStyle w:val="TableParagraph"/>
              <w:spacing w:before="30"/>
              <w:rPr>
                <w:sz w:val="21"/>
              </w:rPr>
            </w:pPr>
            <w:proofErr w:type="gramStart"/>
            <w:r>
              <w:rPr>
                <w:color w:val="B02045"/>
                <w:sz w:val="21"/>
              </w:rPr>
              <w:t>org.springframework</w:t>
            </w:r>
            <w:proofErr w:type="gramEnd"/>
            <w:r>
              <w:rPr>
                <w:color w:val="B02045"/>
                <w:sz w:val="21"/>
              </w:rPr>
              <w:t>.boot.autoconfigure.cache.C</w:t>
            </w:r>
          </w:p>
          <w:p w14:paraId="56F89C3D" w14:textId="77777777" w:rsidR="00A720EB" w:rsidRDefault="0030286B">
            <w:pPr>
              <w:pStyle w:val="TableParagraph"/>
              <w:spacing w:before="55"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.boot.autoconfigure.data.jd</w:t>
            </w:r>
          </w:p>
          <w:p w14:paraId="1A8EC2BA" w14:textId="77777777" w:rsidR="00A720EB" w:rsidRDefault="0030286B">
            <w:pPr>
              <w:pStyle w:val="TableParagraph"/>
              <w:spacing w:before="58" w:line="230" w:lineRule="auto"/>
              <w:ind w:right="68"/>
              <w:rPr>
                <w:sz w:val="21"/>
              </w:rPr>
            </w:pPr>
            <w:proofErr w:type="gramStart"/>
            <w:r>
              <w:rPr>
                <w:color w:val="B02045"/>
                <w:sz w:val="21"/>
              </w:rPr>
              <w:t>bc.JdbcRepositoriesAutoConfiguration</w:t>
            </w:r>
            <w:proofErr w:type="gramEnd"/>
            <w:r>
              <w:rPr>
                <w:color w:val="B02045"/>
                <w:sz w:val="21"/>
              </w:rPr>
              <w:t xml:space="preserve"> org.springframework.boot.autoconfigure.flyway.</w:t>
            </w:r>
          </w:p>
          <w:p w14:paraId="71D128FE" w14:textId="77777777" w:rsidR="00A720EB" w:rsidRDefault="0030286B">
            <w:pPr>
              <w:pStyle w:val="TableParagraph"/>
              <w:spacing w:before="58" w:line="230" w:lineRule="auto"/>
              <w:ind w:right="68"/>
              <w:rPr>
                <w:sz w:val="21"/>
              </w:rPr>
            </w:pPr>
            <w:r>
              <w:rPr>
                <w:color w:val="B02045"/>
                <w:sz w:val="21"/>
              </w:rPr>
              <w:t xml:space="preserve">FlywayAutoConfiguration </w:t>
            </w:r>
            <w:proofErr w:type="gramStart"/>
            <w:r>
              <w:rPr>
                <w:color w:val="B02045"/>
                <w:sz w:val="21"/>
              </w:rPr>
              <w:t>org.springframework</w:t>
            </w:r>
            <w:proofErr w:type="gramEnd"/>
            <w:r>
              <w:rPr>
                <w:color w:val="B02045"/>
                <w:sz w:val="21"/>
              </w:rPr>
              <w:t>.boot.autoconfigure.jdbc.Da</w:t>
            </w:r>
          </w:p>
          <w:p w14:paraId="001E86CC" w14:textId="77777777" w:rsidR="00A720EB" w:rsidRDefault="0030286B">
            <w:pPr>
              <w:pStyle w:val="TableParagraph"/>
              <w:spacing w:before="58" w:line="230" w:lineRule="auto"/>
              <w:ind w:right="68"/>
              <w:rPr>
                <w:sz w:val="21"/>
              </w:rPr>
            </w:pPr>
            <w:r>
              <w:rPr>
                <w:color w:val="B02045"/>
                <w:sz w:val="21"/>
              </w:rPr>
              <w:t xml:space="preserve">taSourceAutoConfiguration </w:t>
            </w:r>
            <w:proofErr w:type="gramStart"/>
            <w:r>
              <w:rPr>
                <w:color w:val="B02045"/>
                <w:sz w:val="21"/>
              </w:rPr>
              <w:t>org.springframework</w:t>
            </w:r>
            <w:proofErr w:type="gramEnd"/>
            <w:r>
              <w:rPr>
                <w:color w:val="B02045"/>
                <w:sz w:val="21"/>
              </w:rPr>
              <w:t>.boot.autoconfigure.jdbc.Da</w:t>
            </w:r>
          </w:p>
          <w:p w14:paraId="2E25F097" w14:textId="77777777" w:rsidR="00A720EB" w:rsidRDefault="0030286B">
            <w:pPr>
              <w:pStyle w:val="TableParagraph"/>
              <w:spacing w:before="58" w:line="230" w:lineRule="auto"/>
              <w:ind w:right="68"/>
              <w:rPr>
                <w:sz w:val="21"/>
              </w:rPr>
            </w:pPr>
            <w:r>
              <w:rPr>
                <w:color w:val="B02045"/>
                <w:sz w:val="21"/>
              </w:rPr>
              <w:t xml:space="preserve">taSourceTransactionManagerAutoConfiguration </w:t>
            </w:r>
            <w:proofErr w:type="gramStart"/>
            <w:r>
              <w:rPr>
                <w:color w:val="B02045"/>
                <w:sz w:val="21"/>
              </w:rPr>
              <w:t>org.springframework</w:t>
            </w:r>
            <w:proofErr w:type="gramEnd"/>
            <w:r>
              <w:rPr>
                <w:color w:val="B02045"/>
                <w:sz w:val="21"/>
              </w:rPr>
              <w:t>.boot.autoconfigure.jdbc.Jd</w:t>
            </w:r>
          </w:p>
          <w:p w14:paraId="008B9858" w14:textId="77777777" w:rsidR="00A720EB" w:rsidRDefault="0030286B">
            <w:pPr>
              <w:pStyle w:val="TableParagraph"/>
              <w:spacing w:before="58" w:line="230" w:lineRule="auto"/>
              <w:ind w:right="68"/>
              <w:rPr>
                <w:sz w:val="21"/>
              </w:rPr>
            </w:pPr>
            <w:r>
              <w:rPr>
                <w:color w:val="B02045"/>
                <w:sz w:val="21"/>
              </w:rPr>
              <w:t xml:space="preserve">bcTemplateAutoConfiguration </w:t>
            </w:r>
            <w:proofErr w:type="gramStart"/>
            <w:r>
              <w:rPr>
                <w:color w:val="B02045"/>
                <w:sz w:val="21"/>
              </w:rPr>
              <w:t>org.springframework</w:t>
            </w:r>
            <w:proofErr w:type="gramEnd"/>
            <w:r>
              <w:rPr>
                <w:color w:val="B02045"/>
                <w:sz w:val="21"/>
              </w:rPr>
              <w:t>.boot.autoconfigure.liquiba</w:t>
            </w:r>
          </w:p>
          <w:p w14:paraId="06600E69" w14:textId="77777777" w:rsidR="00A720EB" w:rsidRDefault="0030286B">
            <w:pPr>
              <w:pStyle w:val="TableParagraph"/>
              <w:spacing w:before="58" w:line="230" w:lineRule="auto"/>
              <w:ind w:right="68"/>
              <w:rPr>
                <w:sz w:val="21"/>
              </w:rPr>
            </w:pPr>
            <w:proofErr w:type="gramStart"/>
            <w:r>
              <w:rPr>
                <w:color w:val="B02045"/>
                <w:sz w:val="21"/>
              </w:rPr>
              <w:t>se.LiquibaseAutoConfiguration</w:t>
            </w:r>
            <w:proofErr w:type="gramEnd"/>
            <w:r>
              <w:rPr>
                <w:color w:val="B02045"/>
                <w:sz w:val="21"/>
              </w:rPr>
              <w:t xml:space="preserve"> org.springframework.boot.autoconfigure.transac</w:t>
            </w:r>
          </w:p>
          <w:p w14:paraId="2E158C97" w14:textId="77777777" w:rsidR="00A720EB" w:rsidRDefault="0030286B">
            <w:pPr>
              <w:pStyle w:val="TableParagraph"/>
              <w:spacing w:before="58" w:line="230" w:lineRule="auto"/>
              <w:ind w:right="68"/>
              <w:rPr>
                <w:sz w:val="21"/>
              </w:rPr>
            </w:pPr>
            <w:proofErr w:type="gramStart"/>
            <w:r>
              <w:rPr>
                <w:color w:val="B02045"/>
                <w:sz w:val="21"/>
              </w:rPr>
              <w:t>tion.TransactionAutoConfiguration</w:t>
            </w:r>
            <w:proofErr w:type="gramEnd"/>
            <w:r>
              <w:rPr>
                <w:color w:val="B02045"/>
                <w:sz w:val="21"/>
              </w:rPr>
              <w:t xml:space="preserve"> org.springframework.boot.test.autoconfigure.jd bc.TestDatabaseAutoConfiguration</w:t>
            </w:r>
          </w:p>
        </w:tc>
      </w:tr>
    </w:tbl>
    <w:p w14:paraId="464F5FB0" w14:textId="77777777" w:rsidR="00A720EB" w:rsidRDefault="00A720EB">
      <w:pPr>
        <w:spacing w:line="230" w:lineRule="auto"/>
        <w:rPr>
          <w:sz w:val="21"/>
        </w:rPr>
        <w:sectPr w:rsidR="00A720EB">
          <w:pgSz w:w="11910" w:h="16840"/>
          <w:pgMar w:top="62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640BF23A" w14:textId="77777777">
        <w:trPr>
          <w:trHeight w:val="415"/>
        </w:trPr>
        <w:tc>
          <w:tcPr>
            <w:tcW w:w="4988" w:type="dxa"/>
            <w:tcBorders>
              <w:bottom w:val="single" w:sz="12" w:space="0" w:color="DDDDDD"/>
            </w:tcBorders>
          </w:tcPr>
          <w:p w14:paraId="6E16C02F"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Test slice</w:t>
            </w:r>
          </w:p>
        </w:tc>
        <w:tc>
          <w:tcPr>
            <w:tcW w:w="4988" w:type="dxa"/>
            <w:tcBorders>
              <w:bottom w:val="single" w:sz="12" w:space="0" w:color="DDDDDD"/>
            </w:tcBorders>
          </w:tcPr>
          <w:p w14:paraId="79D7BA1D" w14:textId="77777777" w:rsidR="00A720EB" w:rsidRDefault="0030286B">
            <w:pPr>
              <w:pStyle w:val="TableParagraph"/>
              <w:spacing w:before="71"/>
              <w:rPr>
                <w:rFonts w:ascii="Palatino Linotype"/>
                <w:b/>
                <w:sz w:val="21"/>
              </w:rPr>
            </w:pPr>
            <w:r>
              <w:rPr>
                <w:rFonts w:ascii="Palatino Linotype"/>
                <w:b/>
                <w:color w:val="333333"/>
                <w:w w:val="110"/>
                <w:sz w:val="21"/>
              </w:rPr>
              <w:t>Imported auto-configuration</w:t>
            </w:r>
          </w:p>
        </w:tc>
      </w:tr>
      <w:tr w:rsidR="00A720EB" w14:paraId="24C6491A" w14:textId="77777777">
        <w:trPr>
          <w:trHeight w:val="6583"/>
        </w:trPr>
        <w:tc>
          <w:tcPr>
            <w:tcW w:w="4988" w:type="dxa"/>
            <w:tcBorders>
              <w:top w:val="single" w:sz="12" w:space="0" w:color="DDDDDD"/>
            </w:tcBorders>
          </w:tcPr>
          <w:p w14:paraId="3958997A" w14:textId="77777777" w:rsidR="00A720EB" w:rsidRDefault="0030286B">
            <w:pPr>
              <w:pStyle w:val="TableParagraph"/>
              <w:spacing w:before="27"/>
              <w:rPr>
                <w:sz w:val="21"/>
              </w:rPr>
            </w:pPr>
            <w:r>
              <w:rPr>
                <w:color w:val="B02045"/>
                <w:sz w:val="21"/>
              </w:rPr>
              <w:t>@DataJpaTest</w:t>
            </w:r>
          </w:p>
        </w:tc>
        <w:tc>
          <w:tcPr>
            <w:tcW w:w="4988" w:type="dxa"/>
            <w:tcBorders>
              <w:top w:val="single" w:sz="12" w:space="0" w:color="DDDDDD"/>
            </w:tcBorders>
          </w:tcPr>
          <w:p w14:paraId="1704A135"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.boot.autoconfigure.cache.C</w:t>
            </w:r>
          </w:p>
          <w:p w14:paraId="27A93776" w14:textId="77777777" w:rsidR="00A720EB" w:rsidRDefault="0030286B">
            <w:pPr>
              <w:pStyle w:val="TableParagraph"/>
              <w:spacing w:before="55" w:line="230" w:lineRule="auto"/>
              <w:ind w:right="68"/>
              <w:rPr>
                <w:sz w:val="21"/>
              </w:rPr>
            </w:pPr>
            <w:r>
              <w:rPr>
                <w:color w:val="B02045"/>
                <w:sz w:val="21"/>
              </w:rPr>
              <w:t>acheAutoConfiguration org.springframework.boot.autoconfigure.data.jp</w:t>
            </w:r>
          </w:p>
          <w:p w14:paraId="21C16F1A" w14:textId="77777777" w:rsidR="00A720EB" w:rsidRDefault="0030286B">
            <w:pPr>
              <w:pStyle w:val="TableParagraph"/>
              <w:spacing w:before="58" w:line="230" w:lineRule="auto"/>
              <w:ind w:right="68"/>
              <w:rPr>
                <w:sz w:val="21"/>
              </w:rPr>
            </w:pPr>
            <w:proofErr w:type="gramStart"/>
            <w:r>
              <w:rPr>
                <w:color w:val="B02045"/>
                <w:sz w:val="21"/>
              </w:rPr>
              <w:t>a.JpaRepositoriesAutoConfiguration</w:t>
            </w:r>
            <w:proofErr w:type="gramEnd"/>
            <w:r>
              <w:rPr>
                <w:color w:val="B02045"/>
                <w:sz w:val="21"/>
              </w:rPr>
              <w:t xml:space="preserve"> org.springframework.boot.autoconfigure.flyway.</w:t>
            </w:r>
          </w:p>
          <w:p w14:paraId="14D00BFE" w14:textId="77777777" w:rsidR="00A720EB" w:rsidRDefault="0030286B">
            <w:pPr>
              <w:pStyle w:val="TableParagraph"/>
              <w:spacing w:before="58" w:line="230" w:lineRule="auto"/>
              <w:ind w:right="68"/>
              <w:rPr>
                <w:sz w:val="21"/>
              </w:rPr>
            </w:pPr>
            <w:r>
              <w:rPr>
                <w:color w:val="B02045"/>
                <w:sz w:val="21"/>
              </w:rPr>
              <w:t xml:space="preserve">FlywayAutoConfiguration </w:t>
            </w:r>
            <w:proofErr w:type="gramStart"/>
            <w:r>
              <w:rPr>
                <w:color w:val="B02045"/>
                <w:sz w:val="21"/>
              </w:rPr>
              <w:t>org.springframework</w:t>
            </w:r>
            <w:proofErr w:type="gramEnd"/>
            <w:r>
              <w:rPr>
                <w:color w:val="B02045"/>
                <w:sz w:val="21"/>
              </w:rPr>
              <w:t>.boot.autoconfigure.jdbc.Da</w:t>
            </w:r>
          </w:p>
          <w:p w14:paraId="0C68D70F" w14:textId="77777777" w:rsidR="00A720EB" w:rsidRDefault="0030286B">
            <w:pPr>
              <w:pStyle w:val="TableParagraph"/>
              <w:spacing w:before="58" w:line="230" w:lineRule="auto"/>
              <w:ind w:right="68"/>
              <w:rPr>
                <w:sz w:val="21"/>
              </w:rPr>
            </w:pPr>
            <w:r>
              <w:rPr>
                <w:color w:val="B02045"/>
                <w:sz w:val="21"/>
              </w:rPr>
              <w:t xml:space="preserve">taSourceAutoConfiguration </w:t>
            </w:r>
            <w:proofErr w:type="gramStart"/>
            <w:r>
              <w:rPr>
                <w:color w:val="B02045"/>
                <w:sz w:val="21"/>
              </w:rPr>
              <w:t>org.springframework</w:t>
            </w:r>
            <w:proofErr w:type="gramEnd"/>
            <w:r>
              <w:rPr>
                <w:color w:val="B02045"/>
                <w:sz w:val="21"/>
              </w:rPr>
              <w:t>.boot.autoconfigure.jdbc.Da</w:t>
            </w:r>
          </w:p>
          <w:p w14:paraId="2D0F0E60" w14:textId="77777777" w:rsidR="00A720EB" w:rsidRDefault="0030286B">
            <w:pPr>
              <w:pStyle w:val="TableParagraph"/>
              <w:spacing w:before="58" w:line="230" w:lineRule="auto"/>
              <w:ind w:right="68"/>
              <w:rPr>
                <w:sz w:val="21"/>
              </w:rPr>
            </w:pPr>
            <w:r>
              <w:rPr>
                <w:color w:val="B02045"/>
                <w:sz w:val="21"/>
              </w:rPr>
              <w:t xml:space="preserve">taSourceTransactionManagerAutoConfiguration </w:t>
            </w:r>
            <w:proofErr w:type="gramStart"/>
            <w:r>
              <w:rPr>
                <w:color w:val="B02045"/>
                <w:sz w:val="21"/>
              </w:rPr>
              <w:t>org.springframework</w:t>
            </w:r>
            <w:proofErr w:type="gramEnd"/>
            <w:r>
              <w:rPr>
                <w:color w:val="B02045"/>
                <w:sz w:val="21"/>
              </w:rPr>
              <w:t>.boot.autoconfigure.jdbc.Jd</w:t>
            </w:r>
          </w:p>
          <w:p w14:paraId="35A74DFF" w14:textId="77777777" w:rsidR="00A720EB" w:rsidRDefault="0030286B">
            <w:pPr>
              <w:pStyle w:val="TableParagraph"/>
              <w:spacing w:before="58" w:line="230" w:lineRule="auto"/>
              <w:ind w:right="68"/>
              <w:rPr>
                <w:sz w:val="21"/>
              </w:rPr>
            </w:pPr>
            <w:r>
              <w:rPr>
                <w:color w:val="B02045"/>
                <w:sz w:val="21"/>
              </w:rPr>
              <w:t xml:space="preserve">bcTemplateAutoConfiguration </w:t>
            </w:r>
            <w:proofErr w:type="gramStart"/>
            <w:r>
              <w:rPr>
                <w:color w:val="B02045"/>
                <w:sz w:val="21"/>
              </w:rPr>
              <w:t>org.springframework</w:t>
            </w:r>
            <w:proofErr w:type="gramEnd"/>
            <w:r>
              <w:rPr>
                <w:color w:val="B02045"/>
                <w:sz w:val="21"/>
              </w:rPr>
              <w:t>.boot.autoconfigure.liquiba</w:t>
            </w:r>
          </w:p>
          <w:p w14:paraId="6E67F04C" w14:textId="77777777" w:rsidR="00A720EB" w:rsidRDefault="0030286B">
            <w:pPr>
              <w:pStyle w:val="TableParagraph"/>
              <w:spacing w:before="58" w:line="230" w:lineRule="auto"/>
              <w:ind w:right="68"/>
              <w:rPr>
                <w:sz w:val="21"/>
              </w:rPr>
            </w:pPr>
            <w:proofErr w:type="gramStart"/>
            <w:r>
              <w:rPr>
                <w:color w:val="B02045"/>
                <w:sz w:val="21"/>
              </w:rPr>
              <w:t>se.LiquibaseAutoConfiguration</w:t>
            </w:r>
            <w:proofErr w:type="gramEnd"/>
            <w:r>
              <w:rPr>
                <w:color w:val="B02045"/>
                <w:sz w:val="21"/>
              </w:rPr>
              <w:t xml:space="preserve"> org.springframework.boot.autoconfigure.orm.jpa</w:t>
            </w:r>
          </w:p>
          <w:p w14:paraId="247A8A73" w14:textId="77777777" w:rsidR="00A720EB" w:rsidRDefault="0030286B">
            <w:pPr>
              <w:pStyle w:val="TableParagraph"/>
              <w:spacing w:before="58" w:line="230" w:lineRule="auto"/>
              <w:ind w:right="68"/>
              <w:rPr>
                <w:sz w:val="21"/>
              </w:rPr>
            </w:pPr>
            <w:proofErr w:type="gramStart"/>
            <w:r>
              <w:rPr>
                <w:color w:val="B02045"/>
                <w:sz w:val="21"/>
              </w:rPr>
              <w:t>.HibernateJpaAutoConfiguration</w:t>
            </w:r>
            <w:proofErr w:type="gramEnd"/>
            <w:r>
              <w:rPr>
                <w:color w:val="B02045"/>
                <w:sz w:val="21"/>
              </w:rPr>
              <w:t xml:space="preserve"> org.springframework.boot.autoconfigure.transac</w:t>
            </w:r>
          </w:p>
          <w:p w14:paraId="0C1E148E" w14:textId="77777777" w:rsidR="00A720EB" w:rsidRDefault="0030286B">
            <w:pPr>
              <w:pStyle w:val="TableParagraph"/>
              <w:spacing w:before="58" w:line="230" w:lineRule="auto"/>
              <w:ind w:right="68"/>
              <w:rPr>
                <w:sz w:val="21"/>
              </w:rPr>
            </w:pPr>
            <w:proofErr w:type="gramStart"/>
            <w:r>
              <w:rPr>
                <w:color w:val="B02045"/>
                <w:sz w:val="21"/>
              </w:rPr>
              <w:t>tion.TransactionAutoConfiguration</w:t>
            </w:r>
            <w:proofErr w:type="gramEnd"/>
            <w:r>
              <w:rPr>
                <w:color w:val="B02045"/>
                <w:sz w:val="21"/>
              </w:rPr>
              <w:t xml:space="preserve"> org.springframework.boot.test.autoconfigure.jd</w:t>
            </w:r>
          </w:p>
          <w:p w14:paraId="79073697" w14:textId="77777777" w:rsidR="00A720EB" w:rsidRDefault="0030286B">
            <w:pPr>
              <w:pStyle w:val="TableParagraph"/>
              <w:spacing w:before="58" w:line="230" w:lineRule="auto"/>
              <w:ind w:right="68"/>
              <w:rPr>
                <w:sz w:val="21"/>
              </w:rPr>
            </w:pPr>
            <w:proofErr w:type="gramStart"/>
            <w:r>
              <w:rPr>
                <w:color w:val="B02045"/>
                <w:sz w:val="21"/>
              </w:rPr>
              <w:t>bc.TestDatabaseAutoConfiguration</w:t>
            </w:r>
            <w:proofErr w:type="gramEnd"/>
            <w:r>
              <w:rPr>
                <w:color w:val="B02045"/>
                <w:sz w:val="21"/>
              </w:rPr>
              <w:t xml:space="preserve"> org.springframework.boot.test.autoconfigure.or m.jpa.TestEntityManagerAutoConfiguration</w:t>
            </w:r>
          </w:p>
        </w:tc>
      </w:tr>
      <w:tr w:rsidR="00A720EB" w14:paraId="42793850" w14:textId="77777777">
        <w:trPr>
          <w:trHeight w:val="2572"/>
        </w:trPr>
        <w:tc>
          <w:tcPr>
            <w:tcW w:w="4988" w:type="dxa"/>
          </w:tcPr>
          <w:p w14:paraId="65EF22DD" w14:textId="77777777" w:rsidR="00A720EB" w:rsidRDefault="0030286B">
            <w:pPr>
              <w:pStyle w:val="TableParagraph"/>
              <w:rPr>
                <w:sz w:val="21"/>
              </w:rPr>
            </w:pPr>
            <w:r>
              <w:rPr>
                <w:color w:val="B02045"/>
                <w:sz w:val="21"/>
              </w:rPr>
              <w:t>@DataLdapTest</w:t>
            </w:r>
          </w:p>
        </w:tc>
        <w:tc>
          <w:tcPr>
            <w:tcW w:w="4988" w:type="dxa"/>
          </w:tcPr>
          <w:p w14:paraId="22196FDF" w14:textId="77777777" w:rsidR="00A720EB" w:rsidRDefault="0030286B">
            <w:pPr>
              <w:pStyle w:val="TableParagraph"/>
              <w:rPr>
                <w:sz w:val="21"/>
              </w:rPr>
            </w:pPr>
            <w:proofErr w:type="gramStart"/>
            <w:r>
              <w:rPr>
                <w:color w:val="B02045"/>
                <w:sz w:val="21"/>
              </w:rPr>
              <w:t>org.springframework</w:t>
            </w:r>
            <w:proofErr w:type="gramEnd"/>
            <w:r>
              <w:rPr>
                <w:color w:val="B02045"/>
                <w:sz w:val="21"/>
              </w:rPr>
              <w:t>.boot.autoconfigure.cache.C</w:t>
            </w:r>
          </w:p>
          <w:p w14:paraId="44E593F4" w14:textId="77777777" w:rsidR="00A720EB" w:rsidRDefault="0030286B">
            <w:pPr>
              <w:pStyle w:val="TableParagraph"/>
              <w:spacing w:before="54"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.boot.autoconfigure.data.ld</w:t>
            </w:r>
          </w:p>
          <w:p w14:paraId="3669DE98" w14:textId="77777777" w:rsidR="00A720EB" w:rsidRDefault="0030286B">
            <w:pPr>
              <w:pStyle w:val="TableParagraph"/>
              <w:spacing w:before="58" w:line="230" w:lineRule="auto"/>
              <w:ind w:right="68"/>
              <w:rPr>
                <w:sz w:val="21"/>
              </w:rPr>
            </w:pPr>
            <w:proofErr w:type="gramStart"/>
            <w:r>
              <w:rPr>
                <w:color w:val="B02045"/>
                <w:sz w:val="21"/>
              </w:rPr>
              <w:t>ap.LdapRepositoriesAutoConfiguration</w:t>
            </w:r>
            <w:proofErr w:type="gramEnd"/>
            <w:r>
              <w:rPr>
                <w:color w:val="B02045"/>
                <w:sz w:val="21"/>
              </w:rPr>
              <w:t xml:space="preserve"> org.springframework.boot.autoconfigure.ldap.Ld</w:t>
            </w:r>
          </w:p>
          <w:p w14:paraId="168D36BA" w14:textId="77777777" w:rsidR="00A720EB" w:rsidRDefault="0030286B">
            <w:pPr>
              <w:pStyle w:val="TableParagraph"/>
              <w:spacing w:before="58" w:line="230" w:lineRule="auto"/>
              <w:ind w:right="68"/>
              <w:rPr>
                <w:sz w:val="21"/>
              </w:rPr>
            </w:pPr>
            <w:r>
              <w:rPr>
                <w:color w:val="B02045"/>
                <w:sz w:val="21"/>
              </w:rPr>
              <w:t xml:space="preserve">apAutoConfiguration org.springframework.boot.autoconfigure.ldap.em </w:t>
            </w:r>
            <w:proofErr w:type="gramStart"/>
            <w:r>
              <w:rPr>
                <w:color w:val="B02045"/>
                <w:sz w:val="21"/>
              </w:rPr>
              <w:t>bedded.EmbeddedLdapAutoConfiguration</w:t>
            </w:r>
            <w:proofErr w:type="gramEnd"/>
          </w:p>
        </w:tc>
      </w:tr>
      <w:tr w:rsidR="00A720EB" w14:paraId="614460C4" w14:textId="77777777">
        <w:trPr>
          <w:trHeight w:val="5444"/>
        </w:trPr>
        <w:tc>
          <w:tcPr>
            <w:tcW w:w="4988" w:type="dxa"/>
          </w:tcPr>
          <w:p w14:paraId="3F723E7D" w14:textId="77777777" w:rsidR="00A720EB" w:rsidRDefault="0030286B">
            <w:pPr>
              <w:pStyle w:val="TableParagraph"/>
              <w:spacing w:before="37"/>
              <w:rPr>
                <w:sz w:val="21"/>
              </w:rPr>
            </w:pPr>
            <w:r>
              <w:rPr>
                <w:color w:val="B02045"/>
                <w:sz w:val="21"/>
              </w:rPr>
              <w:lastRenderedPageBreak/>
              <w:t>@DataMongoTest</w:t>
            </w:r>
          </w:p>
        </w:tc>
        <w:tc>
          <w:tcPr>
            <w:tcW w:w="4988" w:type="dxa"/>
          </w:tcPr>
          <w:p w14:paraId="1CD40AB1"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.boot.autoconfigure.cache.C</w:t>
            </w:r>
          </w:p>
          <w:p w14:paraId="0DAAF482" w14:textId="77777777" w:rsidR="00A720EB" w:rsidRDefault="0030286B">
            <w:pPr>
              <w:pStyle w:val="TableParagraph"/>
              <w:spacing w:before="55" w:line="230" w:lineRule="auto"/>
              <w:ind w:right="68"/>
              <w:rPr>
                <w:sz w:val="21"/>
              </w:rPr>
            </w:pPr>
            <w:r>
              <w:rPr>
                <w:color w:val="B02045"/>
                <w:sz w:val="21"/>
              </w:rPr>
              <w:t>acheAutoConfiguration org.springframework.boot.autoconfigure.data.mo</w:t>
            </w:r>
          </w:p>
          <w:p w14:paraId="7272C849" w14:textId="77777777" w:rsidR="00A720EB" w:rsidRDefault="0030286B">
            <w:pPr>
              <w:pStyle w:val="TableParagraph"/>
              <w:spacing w:before="58" w:line="230" w:lineRule="auto"/>
              <w:ind w:right="68"/>
              <w:rPr>
                <w:sz w:val="21"/>
              </w:rPr>
            </w:pPr>
            <w:proofErr w:type="gramStart"/>
            <w:r>
              <w:rPr>
                <w:color w:val="B02045"/>
                <w:sz w:val="21"/>
              </w:rPr>
              <w:t>ngo.MongoDataAutoConfiguration</w:t>
            </w:r>
            <w:proofErr w:type="gramEnd"/>
            <w:r>
              <w:rPr>
                <w:color w:val="B02045"/>
                <w:sz w:val="21"/>
              </w:rPr>
              <w:t xml:space="preserve"> org.springframework.boot.autoconfigure.data.mo</w:t>
            </w:r>
          </w:p>
          <w:p w14:paraId="387A870A" w14:textId="77777777" w:rsidR="00A720EB" w:rsidRDefault="0030286B">
            <w:pPr>
              <w:pStyle w:val="TableParagraph"/>
              <w:spacing w:before="58" w:line="230" w:lineRule="auto"/>
              <w:ind w:right="68"/>
              <w:rPr>
                <w:sz w:val="21"/>
              </w:rPr>
            </w:pPr>
            <w:proofErr w:type="gramStart"/>
            <w:r>
              <w:rPr>
                <w:color w:val="B02045"/>
                <w:sz w:val="21"/>
              </w:rPr>
              <w:t>ngo.MongoReactiveDataAutoConfiguration</w:t>
            </w:r>
            <w:proofErr w:type="gramEnd"/>
            <w:r>
              <w:rPr>
                <w:color w:val="B02045"/>
                <w:sz w:val="21"/>
              </w:rPr>
              <w:t xml:space="preserve"> org.springframework.boot.autoconfigure.data.mo ngo.MongoReactiveRepositoriesAutoConfiguration</w:t>
            </w:r>
          </w:p>
          <w:p w14:paraId="4F9B6179" w14:textId="77777777" w:rsidR="00A720EB" w:rsidRDefault="0030286B">
            <w:pPr>
              <w:pStyle w:val="TableParagraph"/>
              <w:spacing w:before="50"/>
              <w:rPr>
                <w:sz w:val="21"/>
              </w:rPr>
            </w:pPr>
            <w:r>
              <w:rPr>
                <w:color w:val="B02045"/>
                <w:sz w:val="21"/>
              </w:rPr>
              <w:t>org.springframework.boot.autoconfigure.data.mo</w:t>
            </w:r>
          </w:p>
          <w:p w14:paraId="16F74CCE" w14:textId="77777777" w:rsidR="00A720EB" w:rsidRDefault="0030286B">
            <w:pPr>
              <w:pStyle w:val="TableParagraph"/>
              <w:spacing w:before="55" w:line="230" w:lineRule="auto"/>
              <w:ind w:right="68"/>
              <w:rPr>
                <w:sz w:val="21"/>
              </w:rPr>
            </w:pPr>
            <w:proofErr w:type="gramStart"/>
            <w:r>
              <w:rPr>
                <w:color w:val="B02045"/>
                <w:sz w:val="21"/>
              </w:rPr>
              <w:t>ngo.MongoRepositoriesAutoConfiguration</w:t>
            </w:r>
            <w:proofErr w:type="gramEnd"/>
            <w:r>
              <w:rPr>
                <w:color w:val="B02045"/>
                <w:sz w:val="21"/>
              </w:rPr>
              <w:t xml:space="preserve"> org.springframework.boot.autoconfigure.mongo.M</w:t>
            </w:r>
          </w:p>
          <w:p w14:paraId="284A3941" w14:textId="77777777" w:rsidR="00A720EB" w:rsidRDefault="0030286B">
            <w:pPr>
              <w:pStyle w:val="TableParagraph"/>
              <w:spacing w:before="58" w:line="230" w:lineRule="auto"/>
              <w:ind w:right="68"/>
              <w:rPr>
                <w:sz w:val="21"/>
              </w:rPr>
            </w:pPr>
            <w:r>
              <w:rPr>
                <w:color w:val="B02045"/>
                <w:sz w:val="21"/>
              </w:rPr>
              <w:t xml:space="preserve">ongoAutoConfiguration </w:t>
            </w:r>
            <w:proofErr w:type="gramStart"/>
            <w:r>
              <w:rPr>
                <w:color w:val="B02045"/>
                <w:sz w:val="21"/>
              </w:rPr>
              <w:t>org.springframework</w:t>
            </w:r>
            <w:proofErr w:type="gramEnd"/>
            <w:r>
              <w:rPr>
                <w:color w:val="B02045"/>
                <w:sz w:val="21"/>
              </w:rPr>
              <w:t>.boot.autoconfigure.mongo.M</w:t>
            </w:r>
          </w:p>
          <w:p w14:paraId="428331DA" w14:textId="77777777" w:rsidR="00A720EB" w:rsidRDefault="0030286B">
            <w:pPr>
              <w:pStyle w:val="TableParagraph"/>
              <w:spacing w:before="58" w:line="230" w:lineRule="auto"/>
              <w:ind w:right="68"/>
              <w:rPr>
                <w:sz w:val="21"/>
              </w:rPr>
            </w:pPr>
            <w:r>
              <w:rPr>
                <w:color w:val="B02045"/>
                <w:sz w:val="21"/>
              </w:rPr>
              <w:t xml:space="preserve">ongoReactiveAutoConfiguration </w:t>
            </w:r>
            <w:proofErr w:type="gramStart"/>
            <w:r>
              <w:rPr>
                <w:color w:val="B02045"/>
                <w:sz w:val="21"/>
              </w:rPr>
              <w:t>org.springframework</w:t>
            </w:r>
            <w:proofErr w:type="gramEnd"/>
            <w:r>
              <w:rPr>
                <w:color w:val="B02045"/>
                <w:sz w:val="21"/>
              </w:rPr>
              <w:t>.boot.autoconfigure.mongo.e</w:t>
            </w:r>
          </w:p>
          <w:p w14:paraId="3E1C5DB9" w14:textId="77777777" w:rsidR="00A720EB" w:rsidRDefault="0030286B">
            <w:pPr>
              <w:pStyle w:val="TableParagraph"/>
              <w:spacing w:before="58" w:line="230" w:lineRule="auto"/>
              <w:ind w:right="68"/>
              <w:rPr>
                <w:sz w:val="21"/>
              </w:rPr>
            </w:pPr>
            <w:proofErr w:type="gramStart"/>
            <w:r>
              <w:rPr>
                <w:color w:val="B02045"/>
                <w:sz w:val="21"/>
              </w:rPr>
              <w:t>mbedded.EmbeddedMongoAutoConfiguration</w:t>
            </w:r>
            <w:proofErr w:type="gramEnd"/>
            <w:r>
              <w:rPr>
                <w:color w:val="B02045"/>
                <w:sz w:val="21"/>
              </w:rPr>
              <w:t xml:space="preserve"> org.springframework.boot.autoconfigure.transac tion.TransactionAutoConfiguration</w:t>
            </w:r>
          </w:p>
        </w:tc>
      </w:tr>
    </w:tbl>
    <w:p w14:paraId="174121E3" w14:textId="77777777" w:rsidR="00A720EB" w:rsidRDefault="00A720EB">
      <w:pPr>
        <w:spacing w:line="230"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534148BE" w14:textId="77777777">
        <w:trPr>
          <w:trHeight w:val="415"/>
        </w:trPr>
        <w:tc>
          <w:tcPr>
            <w:tcW w:w="4988" w:type="dxa"/>
            <w:tcBorders>
              <w:bottom w:val="single" w:sz="12" w:space="0" w:color="DDDDDD"/>
            </w:tcBorders>
          </w:tcPr>
          <w:p w14:paraId="38BDBD69"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Test slice</w:t>
            </w:r>
          </w:p>
        </w:tc>
        <w:tc>
          <w:tcPr>
            <w:tcW w:w="4988" w:type="dxa"/>
            <w:tcBorders>
              <w:bottom w:val="single" w:sz="12" w:space="0" w:color="DDDDDD"/>
            </w:tcBorders>
          </w:tcPr>
          <w:p w14:paraId="6218249B" w14:textId="77777777" w:rsidR="00A720EB" w:rsidRDefault="0030286B">
            <w:pPr>
              <w:pStyle w:val="TableParagraph"/>
              <w:spacing w:before="71"/>
              <w:rPr>
                <w:rFonts w:ascii="Palatino Linotype"/>
                <w:b/>
                <w:sz w:val="21"/>
              </w:rPr>
            </w:pPr>
            <w:r>
              <w:rPr>
                <w:rFonts w:ascii="Palatino Linotype"/>
                <w:b/>
                <w:color w:val="333333"/>
                <w:w w:val="110"/>
                <w:sz w:val="21"/>
              </w:rPr>
              <w:t>Imported auto-configuration</w:t>
            </w:r>
          </w:p>
        </w:tc>
      </w:tr>
      <w:tr w:rsidR="00A720EB" w14:paraId="05CF5726" w14:textId="77777777">
        <w:trPr>
          <w:trHeight w:val="2562"/>
        </w:trPr>
        <w:tc>
          <w:tcPr>
            <w:tcW w:w="4988" w:type="dxa"/>
            <w:tcBorders>
              <w:top w:val="single" w:sz="12" w:space="0" w:color="DDDDDD"/>
            </w:tcBorders>
          </w:tcPr>
          <w:p w14:paraId="0A907339" w14:textId="77777777" w:rsidR="00A720EB" w:rsidRDefault="0030286B">
            <w:pPr>
              <w:pStyle w:val="TableParagraph"/>
              <w:spacing w:before="27"/>
              <w:rPr>
                <w:sz w:val="21"/>
              </w:rPr>
            </w:pPr>
            <w:r>
              <w:rPr>
                <w:color w:val="B02045"/>
                <w:sz w:val="21"/>
              </w:rPr>
              <w:t>@DataNeo4jTest</w:t>
            </w:r>
          </w:p>
        </w:tc>
        <w:tc>
          <w:tcPr>
            <w:tcW w:w="4988" w:type="dxa"/>
            <w:tcBorders>
              <w:top w:val="single" w:sz="12" w:space="0" w:color="DDDDDD"/>
            </w:tcBorders>
          </w:tcPr>
          <w:p w14:paraId="62A10F25"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.boot.autoconfigure.cache.C</w:t>
            </w:r>
          </w:p>
          <w:p w14:paraId="57CEFC8B" w14:textId="77777777" w:rsidR="00A720EB" w:rsidRDefault="0030286B">
            <w:pPr>
              <w:pStyle w:val="TableParagraph"/>
              <w:spacing w:before="55" w:line="230" w:lineRule="auto"/>
              <w:ind w:right="68"/>
              <w:rPr>
                <w:sz w:val="21"/>
              </w:rPr>
            </w:pPr>
            <w:r>
              <w:rPr>
                <w:color w:val="B02045"/>
                <w:sz w:val="21"/>
              </w:rPr>
              <w:t>acheAutoConfiguration org.springframework.boot.autoconfigure.data.ne</w:t>
            </w:r>
          </w:p>
          <w:p w14:paraId="3ABB553C" w14:textId="77777777" w:rsidR="00A720EB" w:rsidRDefault="0030286B">
            <w:pPr>
              <w:pStyle w:val="TableParagraph"/>
              <w:spacing w:before="58" w:line="230" w:lineRule="auto"/>
              <w:ind w:right="68"/>
              <w:rPr>
                <w:sz w:val="21"/>
              </w:rPr>
            </w:pPr>
            <w:r>
              <w:rPr>
                <w:color w:val="B02045"/>
                <w:sz w:val="21"/>
              </w:rPr>
              <w:t>o4j.Neo4jDataAutoConfiguration org.springframework.boot.autoconfigure.data.ne</w:t>
            </w:r>
          </w:p>
          <w:p w14:paraId="3FC1B87D" w14:textId="77777777" w:rsidR="00A720EB" w:rsidRDefault="0030286B">
            <w:pPr>
              <w:pStyle w:val="TableParagraph"/>
              <w:spacing w:before="58" w:line="230" w:lineRule="auto"/>
              <w:ind w:right="68"/>
              <w:rPr>
                <w:sz w:val="21"/>
              </w:rPr>
            </w:pPr>
            <w:r>
              <w:rPr>
                <w:color w:val="B02045"/>
                <w:sz w:val="21"/>
              </w:rPr>
              <w:t xml:space="preserve">o4j.Neo4jRepositoriesAutoConfiguration </w:t>
            </w:r>
            <w:proofErr w:type="gramStart"/>
            <w:r>
              <w:rPr>
                <w:color w:val="B02045"/>
                <w:sz w:val="21"/>
              </w:rPr>
              <w:t>org.springframework</w:t>
            </w:r>
            <w:proofErr w:type="gramEnd"/>
            <w:r>
              <w:rPr>
                <w:color w:val="B02045"/>
                <w:sz w:val="21"/>
              </w:rPr>
              <w:t>.boot.autoconfigure.transac tion.TransactionAutoConfiguration</w:t>
            </w:r>
          </w:p>
        </w:tc>
      </w:tr>
      <w:tr w:rsidR="00A720EB" w14:paraId="39A4557D" w14:textId="77777777">
        <w:trPr>
          <w:trHeight w:val="4295"/>
        </w:trPr>
        <w:tc>
          <w:tcPr>
            <w:tcW w:w="4988" w:type="dxa"/>
          </w:tcPr>
          <w:p w14:paraId="7E4F0812" w14:textId="77777777" w:rsidR="00A720EB" w:rsidRDefault="0030286B">
            <w:pPr>
              <w:pStyle w:val="TableParagraph"/>
              <w:rPr>
                <w:sz w:val="21"/>
              </w:rPr>
            </w:pPr>
            <w:r>
              <w:rPr>
                <w:color w:val="B02045"/>
                <w:sz w:val="21"/>
              </w:rPr>
              <w:t>@DataR2dbcTest</w:t>
            </w:r>
          </w:p>
        </w:tc>
        <w:tc>
          <w:tcPr>
            <w:tcW w:w="4988" w:type="dxa"/>
          </w:tcPr>
          <w:p w14:paraId="38F58E61" w14:textId="77777777" w:rsidR="00A720EB" w:rsidRDefault="0030286B">
            <w:pPr>
              <w:pStyle w:val="TableParagraph"/>
              <w:rPr>
                <w:sz w:val="21"/>
              </w:rPr>
            </w:pPr>
            <w:proofErr w:type="gramStart"/>
            <w:r>
              <w:rPr>
                <w:color w:val="B02045"/>
                <w:sz w:val="21"/>
              </w:rPr>
              <w:t>org.springframework</w:t>
            </w:r>
            <w:proofErr w:type="gramEnd"/>
            <w:r>
              <w:rPr>
                <w:color w:val="B02045"/>
                <w:sz w:val="21"/>
              </w:rPr>
              <w:t>.boot.autoconfigure.data.r2</w:t>
            </w:r>
          </w:p>
          <w:p w14:paraId="3F63F22F" w14:textId="77777777" w:rsidR="00A720EB" w:rsidRDefault="0030286B">
            <w:pPr>
              <w:pStyle w:val="TableParagraph"/>
              <w:spacing w:before="54" w:line="230" w:lineRule="auto"/>
              <w:ind w:right="68"/>
              <w:rPr>
                <w:sz w:val="21"/>
              </w:rPr>
            </w:pPr>
            <w:proofErr w:type="gramStart"/>
            <w:r>
              <w:rPr>
                <w:color w:val="B02045"/>
                <w:sz w:val="21"/>
              </w:rPr>
              <w:t>dbc.R</w:t>
            </w:r>
            <w:proofErr w:type="gramEnd"/>
            <w:r>
              <w:rPr>
                <w:color w:val="B02045"/>
                <w:sz w:val="21"/>
              </w:rPr>
              <w:t>2dbcDataAutoConfiguration org.springframework.boot.autoconfigure.data.r2</w:t>
            </w:r>
          </w:p>
          <w:p w14:paraId="784ED1D5" w14:textId="77777777" w:rsidR="00A720EB" w:rsidRDefault="0030286B">
            <w:pPr>
              <w:pStyle w:val="TableParagraph"/>
              <w:spacing w:before="58" w:line="230" w:lineRule="auto"/>
              <w:ind w:right="68"/>
              <w:rPr>
                <w:sz w:val="21"/>
              </w:rPr>
            </w:pPr>
            <w:proofErr w:type="gramStart"/>
            <w:r>
              <w:rPr>
                <w:color w:val="B02045"/>
                <w:sz w:val="21"/>
              </w:rPr>
              <w:t>dbc.R</w:t>
            </w:r>
            <w:proofErr w:type="gramEnd"/>
            <w:r>
              <w:rPr>
                <w:color w:val="B02045"/>
                <w:sz w:val="21"/>
              </w:rPr>
              <w:t>2dbcRepositoriesAutoConfiguration org.springframework.boot.autoconfigure.data.r2</w:t>
            </w:r>
          </w:p>
          <w:p w14:paraId="02D4D3A4" w14:textId="77777777" w:rsidR="00A720EB" w:rsidRDefault="0030286B">
            <w:pPr>
              <w:pStyle w:val="TableParagraph"/>
              <w:spacing w:before="58" w:line="230" w:lineRule="auto"/>
              <w:ind w:right="68"/>
              <w:rPr>
                <w:sz w:val="21"/>
              </w:rPr>
            </w:pPr>
            <w:proofErr w:type="gramStart"/>
            <w:r>
              <w:rPr>
                <w:color w:val="B02045"/>
                <w:sz w:val="21"/>
              </w:rPr>
              <w:t>dbc.R</w:t>
            </w:r>
            <w:proofErr w:type="gramEnd"/>
            <w:r>
              <w:rPr>
                <w:color w:val="B02045"/>
                <w:sz w:val="21"/>
              </w:rPr>
              <w:t>2dbcTransactionManagerAutoConfiguration org.springframework.boot.autoconfigure.flyway.</w:t>
            </w:r>
          </w:p>
          <w:p w14:paraId="39C7E669" w14:textId="77777777" w:rsidR="00A720EB" w:rsidRDefault="0030286B">
            <w:pPr>
              <w:pStyle w:val="TableParagraph"/>
              <w:spacing w:before="58" w:line="230" w:lineRule="auto"/>
              <w:ind w:right="68"/>
              <w:rPr>
                <w:sz w:val="21"/>
              </w:rPr>
            </w:pPr>
            <w:r>
              <w:rPr>
                <w:color w:val="B02045"/>
                <w:sz w:val="21"/>
              </w:rPr>
              <w:t xml:space="preserve">FlywayAutoConfiguration </w:t>
            </w:r>
            <w:proofErr w:type="gramStart"/>
            <w:r>
              <w:rPr>
                <w:color w:val="B02045"/>
                <w:sz w:val="21"/>
              </w:rPr>
              <w:t>org.springframework</w:t>
            </w:r>
            <w:proofErr w:type="gramEnd"/>
            <w:r>
              <w:rPr>
                <w:color w:val="B02045"/>
                <w:sz w:val="21"/>
              </w:rPr>
              <w:t>.boot.autoconfigure.liquiba</w:t>
            </w:r>
          </w:p>
          <w:p w14:paraId="44DF2DF4" w14:textId="77777777" w:rsidR="00A720EB" w:rsidRDefault="0030286B">
            <w:pPr>
              <w:pStyle w:val="TableParagraph"/>
              <w:spacing w:before="58" w:line="230" w:lineRule="auto"/>
              <w:ind w:right="68"/>
              <w:rPr>
                <w:sz w:val="21"/>
              </w:rPr>
            </w:pPr>
            <w:proofErr w:type="gramStart"/>
            <w:r>
              <w:rPr>
                <w:color w:val="B02045"/>
                <w:sz w:val="21"/>
              </w:rPr>
              <w:t>se.LiquibaseAutoConfiguration</w:t>
            </w:r>
            <w:proofErr w:type="gramEnd"/>
            <w:r>
              <w:rPr>
                <w:color w:val="B02045"/>
                <w:sz w:val="21"/>
              </w:rPr>
              <w:t xml:space="preserve"> org.springframework.boot.autoconfigure.r2dbc.R</w:t>
            </w:r>
          </w:p>
          <w:p w14:paraId="40F2B206" w14:textId="77777777" w:rsidR="00A720EB" w:rsidRDefault="0030286B">
            <w:pPr>
              <w:pStyle w:val="TableParagraph"/>
              <w:spacing w:before="58" w:line="230" w:lineRule="auto"/>
              <w:ind w:right="68"/>
              <w:rPr>
                <w:sz w:val="21"/>
              </w:rPr>
            </w:pPr>
            <w:r>
              <w:rPr>
                <w:color w:val="B02045"/>
                <w:sz w:val="21"/>
              </w:rPr>
              <w:t xml:space="preserve">2dbcAutoConfiguration </w:t>
            </w:r>
            <w:proofErr w:type="gramStart"/>
            <w:r>
              <w:rPr>
                <w:color w:val="B02045"/>
                <w:sz w:val="21"/>
              </w:rPr>
              <w:t>org.springframework</w:t>
            </w:r>
            <w:proofErr w:type="gramEnd"/>
            <w:r>
              <w:rPr>
                <w:color w:val="B02045"/>
                <w:sz w:val="21"/>
              </w:rPr>
              <w:t>.boot.autoconfigure.transac tion.TransactionAutoConfiguration</w:t>
            </w:r>
          </w:p>
        </w:tc>
      </w:tr>
      <w:tr w:rsidR="00A720EB" w14:paraId="3DA6954F" w14:textId="77777777">
        <w:trPr>
          <w:trHeight w:val="1997"/>
        </w:trPr>
        <w:tc>
          <w:tcPr>
            <w:tcW w:w="4988" w:type="dxa"/>
          </w:tcPr>
          <w:p w14:paraId="707076EC" w14:textId="77777777" w:rsidR="00A720EB" w:rsidRDefault="0030286B">
            <w:pPr>
              <w:pStyle w:val="TableParagraph"/>
              <w:rPr>
                <w:sz w:val="21"/>
              </w:rPr>
            </w:pPr>
            <w:r>
              <w:rPr>
                <w:color w:val="B02045"/>
                <w:sz w:val="21"/>
              </w:rPr>
              <w:t>@DataRedisTest</w:t>
            </w:r>
          </w:p>
        </w:tc>
        <w:tc>
          <w:tcPr>
            <w:tcW w:w="4988" w:type="dxa"/>
          </w:tcPr>
          <w:p w14:paraId="258F25C3" w14:textId="77777777" w:rsidR="00A720EB" w:rsidRDefault="0030286B">
            <w:pPr>
              <w:pStyle w:val="TableParagraph"/>
              <w:rPr>
                <w:sz w:val="21"/>
              </w:rPr>
            </w:pPr>
            <w:proofErr w:type="gramStart"/>
            <w:r>
              <w:rPr>
                <w:color w:val="B02045"/>
                <w:sz w:val="21"/>
              </w:rPr>
              <w:t>org.springframework</w:t>
            </w:r>
            <w:proofErr w:type="gramEnd"/>
            <w:r>
              <w:rPr>
                <w:color w:val="B02045"/>
                <w:sz w:val="21"/>
              </w:rPr>
              <w:t>.boot.autoconfigure.cache.C</w:t>
            </w:r>
          </w:p>
          <w:p w14:paraId="7FA85E36" w14:textId="77777777" w:rsidR="00A720EB" w:rsidRDefault="0030286B">
            <w:pPr>
              <w:pStyle w:val="TableParagraph"/>
              <w:spacing w:before="54" w:line="230" w:lineRule="auto"/>
              <w:ind w:right="68"/>
              <w:rPr>
                <w:sz w:val="21"/>
              </w:rPr>
            </w:pPr>
            <w:r>
              <w:rPr>
                <w:color w:val="B02045"/>
                <w:sz w:val="21"/>
              </w:rPr>
              <w:t>acheAutoConfiguration org.springframework.boot.autoconfigure.data.re</w:t>
            </w:r>
          </w:p>
          <w:p w14:paraId="79333C8B" w14:textId="77777777" w:rsidR="00A720EB" w:rsidRDefault="0030286B">
            <w:pPr>
              <w:pStyle w:val="TableParagraph"/>
              <w:spacing w:before="58" w:line="230" w:lineRule="auto"/>
              <w:ind w:right="68"/>
              <w:rPr>
                <w:sz w:val="21"/>
              </w:rPr>
            </w:pPr>
            <w:proofErr w:type="gramStart"/>
            <w:r>
              <w:rPr>
                <w:color w:val="B02045"/>
                <w:sz w:val="21"/>
              </w:rPr>
              <w:t>dis.RedisAutoConfiguration</w:t>
            </w:r>
            <w:proofErr w:type="gramEnd"/>
            <w:r>
              <w:rPr>
                <w:color w:val="B02045"/>
                <w:sz w:val="21"/>
              </w:rPr>
              <w:t xml:space="preserve"> org.springframework.boot.autoconfigure.data.re dis.RedisRepositoriesAutoConfiguration</w:t>
            </w:r>
          </w:p>
        </w:tc>
      </w:tr>
      <w:tr w:rsidR="00A720EB" w14:paraId="0D2C10CD" w14:textId="77777777">
        <w:trPr>
          <w:trHeight w:val="4870"/>
        </w:trPr>
        <w:tc>
          <w:tcPr>
            <w:tcW w:w="4988" w:type="dxa"/>
          </w:tcPr>
          <w:p w14:paraId="3ABAD86F" w14:textId="77777777" w:rsidR="00A720EB" w:rsidRDefault="0030286B">
            <w:pPr>
              <w:pStyle w:val="TableParagraph"/>
              <w:spacing w:before="37"/>
              <w:rPr>
                <w:sz w:val="21"/>
              </w:rPr>
            </w:pPr>
            <w:r>
              <w:rPr>
                <w:color w:val="B02045"/>
                <w:sz w:val="21"/>
              </w:rPr>
              <w:lastRenderedPageBreak/>
              <w:t>@JdbcTest</w:t>
            </w:r>
          </w:p>
        </w:tc>
        <w:tc>
          <w:tcPr>
            <w:tcW w:w="4988" w:type="dxa"/>
          </w:tcPr>
          <w:p w14:paraId="2D0DE0E8"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.boot.autoconfigure.cache.C</w:t>
            </w:r>
          </w:p>
          <w:p w14:paraId="087A022C" w14:textId="77777777" w:rsidR="00A720EB" w:rsidRDefault="0030286B">
            <w:pPr>
              <w:pStyle w:val="TableParagraph"/>
              <w:spacing w:before="55"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.boot.autoconfigure.flyway.</w:t>
            </w:r>
          </w:p>
          <w:p w14:paraId="4BB1F5F3" w14:textId="77777777" w:rsidR="00A720EB" w:rsidRDefault="0030286B">
            <w:pPr>
              <w:pStyle w:val="TableParagraph"/>
              <w:spacing w:before="58" w:line="230" w:lineRule="auto"/>
              <w:ind w:right="68"/>
              <w:rPr>
                <w:sz w:val="21"/>
              </w:rPr>
            </w:pPr>
            <w:r>
              <w:rPr>
                <w:color w:val="B02045"/>
                <w:sz w:val="21"/>
              </w:rPr>
              <w:t xml:space="preserve">FlywayAutoConfiguration </w:t>
            </w:r>
            <w:proofErr w:type="gramStart"/>
            <w:r>
              <w:rPr>
                <w:color w:val="B02045"/>
                <w:sz w:val="21"/>
              </w:rPr>
              <w:t>org.springframework</w:t>
            </w:r>
            <w:proofErr w:type="gramEnd"/>
            <w:r>
              <w:rPr>
                <w:color w:val="B02045"/>
                <w:sz w:val="21"/>
              </w:rPr>
              <w:t>.boot.autoconfigure.jdbc.Da</w:t>
            </w:r>
          </w:p>
          <w:p w14:paraId="05354C50" w14:textId="77777777" w:rsidR="00A720EB" w:rsidRDefault="0030286B">
            <w:pPr>
              <w:pStyle w:val="TableParagraph"/>
              <w:spacing w:before="58" w:line="230" w:lineRule="auto"/>
              <w:ind w:right="68"/>
              <w:rPr>
                <w:sz w:val="21"/>
              </w:rPr>
            </w:pPr>
            <w:r>
              <w:rPr>
                <w:color w:val="B02045"/>
                <w:sz w:val="21"/>
              </w:rPr>
              <w:t xml:space="preserve">taSourceAutoConfiguration </w:t>
            </w:r>
            <w:proofErr w:type="gramStart"/>
            <w:r>
              <w:rPr>
                <w:color w:val="B02045"/>
                <w:sz w:val="21"/>
              </w:rPr>
              <w:t>org.springframework</w:t>
            </w:r>
            <w:proofErr w:type="gramEnd"/>
            <w:r>
              <w:rPr>
                <w:color w:val="B02045"/>
                <w:sz w:val="21"/>
              </w:rPr>
              <w:t>.boot.autoconfigure.jdbc.Da</w:t>
            </w:r>
          </w:p>
          <w:p w14:paraId="68BD5527" w14:textId="77777777" w:rsidR="00A720EB" w:rsidRDefault="0030286B">
            <w:pPr>
              <w:pStyle w:val="TableParagraph"/>
              <w:spacing w:before="58" w:line="230" w:lineRule="auto"/>
              <w:ind w:right="68"/>
              <w:rPr>
                <w:sz w:val="21"/>
              </w:rPr>
            </w:pPr>
            <w:r>
              <w:rPr>
                <w:color w:val="B02045"/>
                <w:sz w:val="21"/>
              </w:rPr>
              <w:t xml:space="preserve">taSourceTransactionManagerAutoConfiguration </w:t>
            </w:r>
            <w:proofErr w:type="gramStart"/>
            <w:r>
              <w:rPr>
                <w:color w:val="B02045"/>
                <w:sz w:val="21"/>
              </w:rPr>
              <w:t>org.springframework</w:t>
            </w:r>
            <w:proofErr w:type="gramEnd"/>
            <w:r>
              <w:rPr>
                <w:color w:val="B02045"/>
                <w:sz w:val="21"/>
              </w:rPr>
              <w:t>.boot.autoconfigure.jdbc.Jd</w:t>
            </w:r>
          </w:p>
          <w:p w14:paraId="4278ACEF" w14:textId="77777777" w:rsidR="00A720EB" w:rsidRDefault="0030286B">
            <w:pPr>
              <w:pStyle w:val="TableParagraph"/>
              <w:spacing w:before="58" w:line="230" w:lineRule="auto"/>
              <w:ind w:right="68"/>
              <w:rPr>
                <w:sz w:val="21"/>
              </w:rPr>
            </w:pPr>
            <w:r>
              <w:rPr>
                <w:color w:val="B02045"/>
                <w:sz w:val="21"/>
              </w:rPr>
              <w:t xml:space="preserve">bcTemplateAutoConfiguration </w:t>
            </w:r>
            <w:proofErr w:type="gramStart"/>
            <w:r>
              <w:rPr>
                <w:color w:val="B02045"/>
                <w:sz w:val="21"/>
              </w:rPr>
              <w:t>org.springframework</w:t>
            </w:r>
            <w:proofErr w:type="gramEnd"/>
            <w:r>
              <w:rPr>
                <w:color w:val="B02045"/>
                <w:sz w:val="21"/>
              </w:rPr>
              <w:t>.boot.autoconfigure.liquiba</w:t>
            </w:r>
          </w:p>
          <w:p w14:paraId="2A8F18A7" w14:textId="77777777" w:rsidR="00A720EB" w:rsidRDefault="0030286B">
            <w:pPr>
              <w:pStyle w:val="TableParagraph"/>
              <w:spacing w:before="58" w:line="230" w:lineRule="auto"/>
              <w:ind w:right="68"/>
              <w:rPr>
                <w:sz w:val="21"/>
              </w:rPr>
            </w:pPr>
            <w:proofErr w:type="gramStart"/>
            <w:r>
              <w:rPr>
                <w:color w:val="B02045"/>
                <w:sz w:val="21"/>
              </w:rPr>
              <w:t>se.LiquibaseAutoConfiguration</w:t>
            </w:r>
            <w:proofErr w:type="gramEnd"/>
            <w:r>
              <w:rPr>
                <w:color w:val="B02045"/>
                <w:sz w:val="21"/>
              </w:rPr>
              <w:t xml:space="preserve"> org.springframework.boot.autoconfigure.transac</w:t>
            </w:r>
          </w:p>
          <w:p w14:paraId="4EB1919D" w14:textId="77777777" w:rsidR="00A720EB" w:rsidRDefault="0030286B">
            <w:pPr>
              <w:pStyle w:val="TableParagraph"/>
              <w:spacing w:before="58" w:line="230" w:lineRule="auto"/>
              <w:ind w:right="68"/>
              <w:rPr>
                <w:sz w:val="21"/>
              </w:rPr>
            </w:pPr>
            <w:proofErr w:type="gramStart"/>
            <w:r>
              <w:rPr>
                <w:color w:val="B02045"/>
                <w:sz w:val="21"/>
              </w:rPr>
              <w:t>tion.TransactionAutoConfiguration</w:t>
            </w:r>
            <w:proofErr w:type="gramEnd"/>
            <w:r>
              <w:rPr>
                <w:color w:val="B02045"/>
                <w:sz w:val="21"/>
              </w:rPr>
              <w:t xml:space="preserve"> org.springframework.boot.test.autoconfigure.jd bc.TestDatabaseAutoConfiguration</w:t>
            </w:r>
          </w:p>
        </w:tc>
      </w:tr>
    </w:tbl>
    <w:p w14:paraId="6E8D3700" w14:textId="77777777" w:rsidR="00A720EB" w:rsidRDefault="00A720EB">
      <w:pPr>
        <w:spacing w:line="230"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496191F7" w14:textId="77777777">
        <w:trPr>
          <w:trHeight w:val="415"/>
        </w:trPr>
        <w:tc>
          <w:tcPr>
            <w:tcW w:w="4988" w:type="dxa"/>
            <w:tcBorders>
              <w:bottom w:val="single" w:sz="12" w:space="0" w:color="DDDDDD"/>
            </w:tcBorders>
          </w:tcPr>
          <w:p w14:paraId="3A83F37C"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Test slice</w:t>
            </w:r>
          </w:p>
        </w:tc>
        <w:tc>
          <w:tcPr>
            <w:tcW w:w="4988" w:type="dxa"/>
            <w:tcBorders>
              <w:bottom w:val="single" w:sz="12" w:space="0" w:color="DDDDDD"/>
            </w:tcBorders>
          </w:tcPr>
          <w:p w14:paraId="7320B8E1" w14:textId="77777777" w:rsidR="00A720EB" w:rsidRDefault="0030286B">
            <w:pPr>
              <w:pStyle w:val="TableParagraph"/>
              <w:spacing w:before="71"/>
              <w:rPr>
                <w:rFonts w:ascii="Palatino Linotype"/>
                <w:b/>
                <w:sz w:val="21"/>
              </w:rPr>
            </w:pPr>
            <w:r>
              <w:rPr>
                <w:rFonts w:ascii="Palatino Linotype"/>
                <w:b/>
                <w:color w:val="333333"/>
                <w:w w:val="110"/>
                <w:sz w:val="21"/>
              </w:rPr>
              <w:t>Imported auto-configuration</w:t>
            </w:r>
          </w:p>
        </w:tc>
      </w:tr>
      <w:tr w:rsidR="00A720EB" w14:paraId="363EF1BB" w14:textId="77777777">
        <w:trPr>
          <w:trHeight w:val="4285"/>
        </w:trPr>
        <w:tc>
          <w:tcPr>
            <w:tcW w:w="4988" w:type="dxa"/>
            <w:tcBorders>
              <w:top w:val="single" w:sz="12" w:space="0" w:color="DDDDDD"/>
            </w:tcBorders>
          </w:tcPr>
          <w:p w14:paraId="3F297EE2" w14:textId="77777777" w:rsidR="00A720EB" w:rsidRDefault="0030286B">
            <w:pPr>
              <w:pStyle w:val="TableParagraph"/>
              <w:spacing w:before="27"/>
              <w:rPr>
                <w:sz w:val="21"/>
              </w:rPr>
            </w:pPr>
            <w:r>
              <w:rPr>
                <w:color w:val="B02045"/>
                <w:sz w:val="21"/>
              </w:rPr>
              <w:t>@JooqTest</w:t>
            </w:r>
          </w:p>
        </w:tc>
        <w:tc>
          <w:tcPr>
            <w:tcW w:w="4988" w:type="dxa"/>
            <w:tcBorders>
              <w:top w:val="single" w:sz="12" w:space="0" w:color="DDDDDD"/>
            </w:tcBorders>
          </w:tcPr>
          <w:p w14:paraId="35F568E3"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.boot.autoconfigure.cache.C</w:t>
            </w:r>
          </w:p>
          <w:p w14:paraId="22C59C91" w14:textId="77777777" w:rsidR="00A720EB" w:rsidRDefault="0030286B">
            <w:pPr>
              <w:pStyle w:val="TableParagraph"/>
              <w:spacing w:before="55"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.boot.autoconfigure.flyway.</w:t>
            </w:r>
          </w:p>
          <w:p w14:paraId="121420D3" w14:textId="77777777" w:rsidR="00A720EB" w:rsidRDefault="0030286B">
            <w:pPr>
              <w:pStyle w:val="TableParagraph"/>
              <w:spacing w:before="58" w:line="230" w:lineRule="auto"/>
              <w:ind w:right="68"/>
              <w:rPr>
                <w:sz w:val="21"/>
              </w:rPr>
            </w:pPr>
            <w:r>
              <w:rPr>
                <w:color w:val="B02045"/>
                <w:sz w:val="21"/>
              </w:rPr>
              <w:t xml:space="preserve">FlywayAutoConfiguration </w:t>
            </w:r>
            <w:proofErr w:type="gramStart"/>
            <w:r>
              <w:rPr>
                <w:color w:val="B02045"/>
                <w:sz w:val="21"/>
              </w:rPr>
              <w:t>org.springframework</w:t>
            </w:r>
            <w:proofErr w:type="gramEnd"/>
            <w:r>
              <w:rPr>
                <w:color w:val="B02045"/>
                <w:sz w:val="21"/>
              </w:rPr>
              <w:t>.boot.autoconfigure.jdbc.Da</w:t>
            </w:r>
          </w:p>
          <w:p w14:paraId="293BF055" w14:textId="77777777" w:rsidR="00A720EB" w:rsidRDefault="0030286B">
            <w:pPr>
              <w:pStyle w:val="TableParagraph"/>
              <w:spacing w:before="58" w:line="230" w:lineRule="auto"/>
              <w:ind w:right="68"/>
              <w:rPr>
                <w:sz w:val="21"/>
              </w:rPr>
            </w:pPr>
            <w:r>
              <w:rPr>
                <w:color w:val="B02045"/>
                <w:sz w:val="21"/>
              </w:rPr>
              <w:t xml:space="preserve">taSourceAutoConfiguration </w:t>
            </w:r>
            <w:proofErr w:type="gramStart"/>
            <w:r>
              <w:rPr>
                <w:color w:val="B02045"/>
                <w:sz w:val="21"/>
              </w:rPr>
              <w:t>org.springframework</w:t>
            </w:r>
            <w:proofErr w:type="gramEnd"/>
            <w:r>
              <w:rPr>
                <w:color w:val="B02045"/>
                <w:sz w:val="21"/>
              </w:rPr>
              <w:t>.boot.autoconfigure.jdbc.Da</w:t>
            </w:r>
          </w:p>
          <w:p w14:paraId="7B7FB0C3" w14:textId="77777777" w:rsidR="00A720EB" w:rsidRDefault="0030286B">
            <w:pPr>
              <w:pStyle w:val="TableParagraph"/>
              <w:spacing w:before="58" w:line="230" w:lineRule="auto"/>
              <w:ind w:right="68"/>
              <w:rPr>
                <w:sz w:val="21"/>
              </w:rPr>
            </w:pPr>
            <w:r>
              <w:rPr>
                <w:color w:val="B02045"/>
                <w:sz w:val="21"/>
              </w:rPr>
              <w:t xml:space="preserve">taSourceTransactionManagerAutoConfiguration </w:t>
            </w:r>
            <w:proofErr w:type="gramStart"/>
            <w:r>
              <w:rPr>
                <w:color w:val="B02045"/>
                <w:sz w:val="21"/>
              </w:rPr>
              <w:t>org.springframework</w:t>
            </w:r>
            <w:proofErr w:type="gramEnd"/>
            <w:r>
              <w:rPr>
                <w:color w:val="B02045"/>
                <w:sz w:val="21"/>
              </w:rPr>
              <w:t>.boot.autoconfigure.jooq.Jo</w:t>
            </w:r>
          </w:p>
          <w:p w14:paraId="6CAD1868" w14:textId="77777777" w:rsidR="00A720EB" w:rsidRDefault="0030286B">
            <w:pPr>
              <w:pStyle w:val="TableParagraph"/>
              <w:spacing w:before="58" w:line="230" w:lineRule="auto"/>
              <w:ind w:right="68"/>
              <w:rPr>
                <w:sz w:val="21"/>
              </w:rPr>
            </w:pPr>
            <w:r>
              <w:rPr>
                <w:color w:val="B02045"/>
                <w:sz w:val="21"/>
              </w:rPr>
              <w:t xml:space="preserve">oqAutoConfiguration </w:t>
            </w:r>
            <w:proofErr w:type="gramStart"/>
            <w:r>
              <w:rPr>
                <w:color w:val="B02045"/>
                <w:sz w:val="21"/>
              </w:rPr>
              <w:t>org.springframework</w:t>
            </w:r>
            <w:proofErr w:type="gramEnd"/>
            <w:r>
              <w:rPr>
                <w:color w:val="B02045"/>
                <w:sz w:val="21"/>
              </w:rPr>
              <w:t>.boot.autoconfigure.liquiba</w:t>
            </w:r>
          </w:p>
          <w:p w14:paraId="478E3974" w14:textId="77777777" w:rsidR="00A720EB" w:rsidRDefault="0030286B">
            <w:pPr>
              <w:pStyle w:val="TableParagraph"/>
              <w:spacing w:before="58" w:line="230" w:lineRule="auto"/>
              <w:ind w:right="68"/>
              <w:rPr>
                <w:sz w:val="21"/>
              </w:rPr>
            </w:pPr>
            <w:proofErr w:type="gramStart"/>
            <w:r>
              <w:rPr>
                <w:color w:val="B02045"/>
                <w:sz w:val="21"/>
              </w:rPr>
              <w:t>se.LiquibaseAutoConfiguration</w:t>
            </w:r>
            <w:proofErr w:type="gramEnd"/>
            <w:r>
              <w:rPr>
                <w:color w:val="B02045"/>
                <w:sz w:val="21"/>
              </w:rPr>
              <w:t xml:space="preserve"> org.springframework.boot.autoconfigure.transac tion.TransactionAutoConfiguration</w:t>
            </w:r>
          </w:p>
        </w:tc>
      </w:tr>
      <w:tr w:rsidR="00A720EB" w14:paraId="5894283A" w14:textId="77777777">
        <w:trPr>
          <w:trHeight w:val="3146"/>
        </w:trPr>
        <w:tc>
          <w:tcPr>
            <w:tcW w:w="4988" w:type="dxa"/>
          </w:tcPr>
          <w:p w14:paraId="27CC5D90" w14:textId="77777777" w:rsidR="00A720EB" w:rsidRDefault="0030286B">
            <w:pPr>
              <w:pStyle w:val="TableParagraph"/>
              <w:spacing w:before="37"/>
              <w:rPr>
                <w:sz w:val="21"/>
              </w:rPr>
            </w:pPr>
            <w:r>
              <w:rPr>
                <w:color w:val="B02045"/>
                <w:sz w:val="21"/>
              </w:rPr>
              <w:t>@JsonTest</w:t>
            </w:r>
          </w:p>
        </w:tc>
        <w:tc>
          <w:tcPr>
            <w:tcW w:w="4988" w:type="dxa"/>
          </w:tcPr>
          <w:p w14:paraId="662E33DA"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.boot.autoconfigure.cache.C</w:t>
            </w:r>
          </w:p>
          <w:p w14:paraId="15882A88" w14:textId="77777777" w:rsidR="00A720EB" w:rsidRDefault="0030286B">
            <w:pPr>
              <w:pStyle w:val="TableParagraph"/>
              <w:spacing w:before="55"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.boot.autoconfigure.gson.Gs</w:t>
            </w:r>
          </w:p>
          <w:p w14:paraId="23D4724F" w14:textId="77777777" w:rsidR="00A720EB" w:rsidRDefault="0030286B">
            <w:pPr>
              <w:pStyle w:val="TableParagraph"/>
              <w:spacing w:before="58" w:line="230" w:lineRule="auto"/>
              <w:ind w:right="68"/>
              <w:rPr>
                <w:sz w:val="21"/>
              </w:rPr>
            </w:pPr>
            <w:r>
              <w:rPr>
                <w:color w:val="B02045"/>
                <w:sz w:val="21"/>
              </w:rPr>
              <w:t xml:space="preserve">onAutoConfiguration </w:t>
            </w:r>
            <w:proofErr w:type="gramStart"/>
            <w:r>
              <w:rPr>
                <w:color w:val="B02045"/>
                <w:sz w:val="21"/>
              </w:rPr>
              <w:t>org.springframework</w:t>
            </w:r>
            <w:proofErr w:type="gramEnd"/>
            <w:r>
              <w:rPr>
                <w:color w:val="B02045"/>
                <w:sz w:val="21"/>
              </w:rPr>
              <w:t>.boot.autoconfigure.jackson</w:t>
            </w:r>
          </w:p>
          <w:p w14:paraId="2831FE71" w14:textId="77777777" w:rsidR="00A720EB" w:rsidRDefault="0030286B">
            <w:pPr>
              <w:pStyle w:val="TableParagraph"/>
              <w:spacing w:before="58" w:line="230" w:lineRule="auto"/>
              <w:ind w:right="68"/>
              <w:rPr>
                <w:sz w:val="21"/>
              </w:rPr>
            </w:pPr>
            <w:proofErr w:type="gramStart"/>
            <w:r>
              <w:rPr>
                <w:color w:val="B02045"/>
                <w:sz w:val="21"/>
              </w:rPr>
              <w:t>.JacksonAutoConfiguration</w:t>
            </w:r>
            <w:proofErr w:type="gramEnd"/>
            <w:r>
              <w:rPr>
                <w:color w:val="B02045"/>
                <w:sz w:val="21"/>
              </w:rPr>
              <w:t xml:space="preserve"> org.springframework.boot.autoconfigure.jsonb.J</w:t>
            </w:r>
          </w:p>
          <w:p w14:paraId="20FB024E" w14:textId="77777777" w:rsidR="00A720EB" w:rsidRDefault="0030286B">
            <w:pPr>
              <w:pStyle w:val="TableParagraph"/>
              <w:spacing w:before="58" w:line="230" w:lineRule="auto"/>
              <w:ind w:right="68"/>
              <w:rPr>
                <w:sz w:val="21"/>
              </w:rPr>
            </w:pPr>
            <w:r>
              <w:rPr>
                <w:color w:val="B02045"/>
                <w:sz w:val="21"/>
              </w:rPr>
              <w:t xml:space="preserve">sonbAutoConfiguration org.springframework.boot.test.autoconfigure.js </w:t>
            </w:r>
            <w:proofErr w:type="gramStart"/>
            <w:r>
              <w:rPr>
                <w:color w:val="B02045"/>
                <w:sz w:val="21"/>
              </w:rPr>
              <w:t>on.JsonTestersAutoConfiguration</w:t>
            </w:r>
            <w:proofErr w:type="gramEnd"/>
          </w:p>
        </w:tc>
      </w:tr>
      <w:tr w:rsidR="00A720EB" w14:paraId="488481D0" w14:textId="77777777">
        <w:trPr>
          <w:trHeight w:val="6796"/>
        </w:trPr>
        <w:tc>
          <w:tcPr>
            <w:tcW w:w="4988" w:type="dxa"/>
          </w:tcPr>
          <w:p w14:paraId="46D81442" w14:textId="77777777" w:rsidR="00A720EB" w:rsidRDefault="0030286B">
            <w:pPr>
              <w:pStyle w:val="TableParagraph"/>
              <w:rPr>
                <w:sz w:val="21"/>
              </w:rPr>
            </w:pPr>
            <w:r>
              <w:rPr>
                <w:color w:val="B02045"/>
                <w:sz w:val="21"/>
              </w:rPr>
              <w:lastRenderedPageBreak/>
              <w:t>@RestClientTest</w:t>
            </w:r>
          </w:p>
        </w:tc>
        <w:tc>
          <w:tcPr>
            <w:tcW w:w="4988" w:type="dxa"/>
          </w:tcPr>
          <w:p w14:paraId="6A8E03FC" w14:textId="77777777" w:rsidR="00A720EB" w:rsidRDefault="0030286B">
            <w:pPr>
              <w:pStyle w:val="TableParagraph"/>
              <w:rPr>
                <w:sz w:val="21"/>
              </w:rPr>
            </w:pPr>
            <w:proofErr w:type="gramStart"/>
            <w:r>
              <w:rPr>
                <w:color w:val="B02045"/>
                <w:sz w:val="21"/>
              </w:rPr>
              <w:t>org.springframework</w:t>
            </w:r>
            <w:proofErr w:type="gramEnd"/>
            <w:r>
              <w:rPr>
                <w:color w:val="B02045"/>
                <w:sz w:val="21"/>
              </w:rPr>
              <w:t>.boot.autoconfigure.cache.C</w:t>
            </w:r>
          </w:p>
          <w:p w14:paraId="653BDCD8" w14:textId="77777777" w:rsidR="00A720EB" w:rsidRDefault="0030286B">
            <w:pPr>
              <w:pStyle w:val="TableParagraph"/>
              <w:spacing w:before="54"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.boot.autoconfigure.gson.Gs</w:t>
            </w:r>
          </w:p>
          <w:p w14:paraId="449445CD" w14:textId="77777777" w:rsidR="00A720EB" w:rsidRDefault="0030286B">
            <w:pPr>
              <w:pStyle w:val="TableParagraph"/>
              <w:spacing w:before="58" w:line="230" w:lineRule="auto"/>
              <w:ind w:right="68"/>
              <w:rPr>
                <w:sz w:val="21"/>
              </w:rPr>
            </w:pPr>
            <w:r>
              <w:rPr>
                <w:color w:val="B02045"/>
                <w:sz w:val="21"/>
              </w:rPr>
              <w:t xml:space="preserve">onAutoConfiguration </w:t>
            </w:r>
            <w:proofErr w:type="gramStart"/>
            <w:r>
              <w:rPr>
                <w:color w:val="B02045"/>
                <w:sz w:val="21"/>
              </w:rPr>
              <w:t>org.springframework</w:t>
            </w:r>
            <w:proofErr w:type="gramEnd"/>
            <w:r>
              <w:rPr>
                <w:color w:val="B02045"/>
                <w:sz w:val="21"/>
              </w:rPr>
              <w:t>.boot.autoconfigure.http.Ht</w:t>
            </w:r>
          </w:p>
          <w:p w14:paraId="0746A291" w14:textId="77777777" w:rsidR="00A720EB" w:rsidRDefault="0030286B">
            <w:pPr>
              <w:pStyle w:val="TableParagraph"/>
              <w:spacing w:before="58" w:line="230" w:lineRule="auto"/>
              <w:ind w:right="68"/>
              <w:rPr>
                <w:sz w:val="21"/>
              </w:rPr>
            </w:pPr>
            <w:r>
              <w:rPr>
                <w:color w:val="B02045"/>
                <w:sz w:val="21"/>
              </w:rPr>
              <w:t>tpMessageConvertersAutoConfiguration org.springframework.boot.autoconfigure.http.co</w:t>
            </w:r>
          </w:p>
          <w:p w14:paraId="3BD74707" w14:textId="77777777" w:rsidR="00A720EB" w:rsidRDefault="0030286B">
            <w:pPr>
              <w:pStyle w:val="TableParagraph"/>
              <w:spacing w:before="58" w:line="230" w:lineRule="auto"/>
              <w:ind w:right="68"/>
              <w:rPr>
                <w:sz w:val="21"/>
              </w:rPr>
            </w:pPr>
            <w:proofErr w:type="gramStart"/>
            <w:r>
              <w:rPr>
                <w:color w:val="B02045"/>
                <w:sz w:val="21"/>
              </w:rPr>
              <w:t>dec.CodecsAutoConfiguration</w:t>
            </w:r>
            <w:proofErr w:type="gramEnd"/>
            <w:r>
              <w:rPr>
                <w:color w:val="B02045"/>
                <w:sz w:val="21"/>
              </w:rPr>
              <w:t xml:space="preserve"> org.springframework.boot.autoconfigure.jackson</w:t>
            </w:r>
          </w:p>
          <w:p w14:paraId="4CCCB3C7" w14:textId="77777777" w:rsidR="00A720EB" w:rsidRDefault="0030286B">
            <w:pPr>
              <w:pStyle w:val="TableParagraph"/>
              <w:spacing w:before="58" w:line="230" w:lineRule="auto"/>
              <w:ind w:right="68"/>
              <w:rPr>
                <w:sz w:val="21"/>
              </w:rPr>
            </w:pPr>
            <w:proofErr w:type="gramStart"/>
            <w:r>
              <w:rPr>
                <w:color w:val="B02045"/>
                <w:sz w:val="21"/>
              </w:rPr>
              <w:t>.JacksonAutoConfiguration</w:t>
            </w:r>
            <w:proofErr w:type="gramEnd"/>
            <w:r>
              <w:rPr>
                <w:color w:val="B02045"/>
                <w:sz w:val="21"/>
              </w:rPr>
              <w:t xml:space="preserve"> org.springframework.boot.autoconfigure.jsonb.J</w:t>
            </w:r>
          </w:p>
          <w:p w14:paraId="6419CA22" w14:textId="77777777" w:rsidR="00A720EB" w:rsidRDefault="0030286B">
            <w:pPr>
              <w:pStyle w:val="TableParagraph"/>
              <w:spacing w:before="58" w:line="230" w:lineRule="auto"/>
              <w:ind w:right="68"/>
              <w:rPr>
                <w:sz w:val="21"/>
              </w:rPr>
            </w:pPr>
            <w:r>
              <w:rPr>
                <w:color w:val="B02045"/>
                <w:sz w:val="21"/>
              </w:rPr>
              <w:t>sonbAutoConfiguration org.springframework.boot.autoconfigure.web.cli</w:t>
            </w:r>
          </w:p>
          <w:p w14:paraId="4C6C6952" w14:textId="77777777" w:rsidR="00A720EB" w:rsidRDefault="0030286B">
            <w:pPr>
              <w:pStyle w:val="TableParagraph"/>
              <w:spacing w:before="58" w:line="230" w:lineRule="auto"/>
              <w:ind w:right="68"/>
              <w:rPr>
                <w:sz w:val="21"/>
              </w:rPr>
            </w:pPr>
            <w:proofErr w:type="gramStart"/>
            <w:r>
              <w:rPr>
                <w:color w:val="B02045"/>
                <w:sz w:val="21"/>
              </w:rPr>
              <w:t>ent.RestTemplateAutoConfiguration</w:t>
            </w:r>
            <w:proofErr w:type="gramEnd"/>
            <w:r>
              <w:rPr>
                <w:color w:val="B02045"/>
                <w:sz w:val="21"/>
              </w:rPr>
              <w:t xml:space="preserve"> org.springframework.boot.autoconfigure.web.rea ctive.function.client.WebClientAutoConfigurati</w:t>
            </w:r>
          </w:p>
          <w:p w14:paraId="76114900" w14:textId="77777777" w:rsidR="00A720EB" w:rsidRDefault="0030286B">
            <w:pPr>
              <w:pStyle w:val="TableParagraph"/>
              <w:spacing w:before="58" w:line="230" w:lineRule="auto"/>
              <w:ind w:right="68"/>
              <w:rPr>
                <w:sz w:val="21"/>
              </w:rPr>
            </w:pPr>
            <w:r>
              <w:rPr>
                <w:color w:val="B02045"/>
                <w:sz w:val="21"/>
              </w:rPr>
              <w:t xml:space="preserve">on </w:t>
            </w:r>
            <w:proofErr w:type="gramStart"/>
            <w:r>
              <w:rPr>
                <w:color w:val="B02045"/>
                <w:sz w:val="21"/>
              </w:rPr>
              <w:t>org.springframework</w:t>
            </w:r>
            <w:proofErr w:type="gramEnd"/>
            <w:r>
              <w:rPr>
                <w:color w:val="B02045"/>
                <w:sz w:val="21"/>
              </w:rPr>
              <w:t>.boot.test.autoconfigure.we b.client.MockRestServiceServerAutoConfiguratio</w:t>
            </w:r>
          </w:p>
          <w:p w14:paraId="102A7984" w14:textId="77777777" w:rsidR="00A720EB" w:rsidRDefault="0030286B">
            <w:pPr>
              <w:pStyle w:val="TableParagraph"/>
              <w:spacing w:before="59" w:line="230" w:lineRule="auto"/>
              <w:ind w:right="68"/>
              <w:rPr>
                <w:sz w:val="21"/>
              </w:rPr>
            </w:pPr>
            <w:r>
              <w:rPr>
                <w:color w:val="B02045"/>
                <w:sz w:val="21"/>
              </w:rPr>
              <w:t xml:space="preserve">n </w:t>
            </w:r>
            <w:proofErr w:type="gramStart"/>
            <w:r>
              <w:rPr>
                <w:color w:val="B02045"/>
                <w:sz w:val="21"/>
              </w:rPr>
              <w:t>org.springframework</w:t>
            </w:r>
            <w:proofErr w:type="gramEnd"/>
            <w:r>
              <w:rPr>
                <w:color w:val="B02045"/>
                <w:sz w:val="21"/>
              </w:rPr>
              <w:t>.boot.test.autoconfigure.we b.client.WebClientRestTemplateAutoConfiguratio n</w:t>
            </w:r>
          </w:p>
        </w:tc>
      </w:tr>
    </w:tbl>
    <w:p w14:paraId="1E74DFA2" w14:textId="77777777" w:rsidR="00A720EB" w:rsidRDefault="00A720EB">
      <w:pPr>
        <w:spacing w:line="230"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3433881C" w14:textId="77777777">
        <w:trPr>
          <w:trHeight w:val="415"/>
        </w:trPr>
        <w:tc>
          <w:tcPr>
            <w:tcW w:w="4988" w:type="dxa"/>
            <w:tcBorders>
              <w:bottom w:val="single" w:sz="12" w:space="0" w:color="DDDDDD"/>
            </w:tcBorders>
          </w:tcPr>
          <w:p w14:paraId="04B3FFE1"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Test slice</w:t>
            </w:r>
          </w:p>
        </w:tc>
        <w:tc>
          <w:tcPr>
            <w:tcW w:w="4988" w:type="dxa"/>
            <w:tcBorders>
              <w:bottom w:val="single" w:sz="12" w:space="0" w:color="DDDDDD"/>
            </w:tcBorders>
          </w:tcPr>
          <w:p w14:paraId="086C0CCB" w14:textId="77777777" w:rsidR="00A720EB" w:rsidRDefault="0030286B">
            <w:pPr>
              <w:pStyle w:val="TableParagraph"/>
              <w:spacing w:before="71"/>
              <w:rPr>
                <w:rFonts w:ascii="Palatino Linotype"/>
                <w:b/>
                <w:sz w:val="21"/>
              </w:rPr>
            </w:pPr>
            <w:r>
              <w:rPr>
                <w:rFonts w:ascii="Palatino Linotype"/>
                <w:b/>
                <w:color w:val="333333"/>
                <w:w w:val="110"/>
                <w:sz w:val="21"/>
              </w:rPr>
              <w:t>Imported auto-configuration</w:t>
            </w:r>
          </w:p>
        </w:tc>
      </w:tr>
      <w:tr w:rsidR="00A720EB" w14:paraId="764EE970" w14:textId="77777777">
        <w:trPr>
          <w:trHeight w:val="10807"/>
        </w:trPr>
        <w:tc>
          <w:tcPr>
            <w:tcW w:w="4988" w:type="dxa"/>
            <w:tcBorders>
              <w:top w:val="single" w:sz="12" w:space="0" w:color="DDDDDD"/>
            </w:tcBorders>
          </w:tcPr>
          <w:p w14:paraId="37F97523" w14:textId="77777777" w:rsidR="00A720EB" w:rsidRDefault="0030286B">
            <w:pPr>
              <w:pStyle w:val="TableParagraph"/>
              <w:spacing w:before="27"/>
              <w:rPr>
                <w:sz w:val="21"/>
              </w:rPr>
            </w:pPr>
            <w:r>
              <w:rPr>
                <w:color w:val="B02045"/>
                <w:sz w:val="21"/>
              </w:rPr>
              <w:t>@WebFluxTest</w:t>
            </w:r>
          </w:p>
        </w:tc>
        <w:tc>
          <w:tcPr>
            <w:tcW w:w="4988" w:type="dxa"/>
            <w:tcBorders>
              <w:top w:val="single" w:sz="12" w:space="0" w:color="DDDDDD"/>
            </w:tcBorders>
          </w:tcPr>
          <w:p w14:paraId="780F86D2"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.boot.autoconfigure.cache.C</w:t>
            </w:r>
          </w:p>
          <w:p w14:paraId="06B40E98" w14:textId="77777777" w:rsidR="00A720EB" w:rsidRDefault="0030286B">
            <w:pPr>
              <w:pStyle w:val="TableParagraph"/>
              <w:spacing w:before="55"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.boot.autoconfigure.context</w:t>
            </w:r>
          </w:p>
          <w:p w14:paraId="44A08AB3" w14:textId="77777777" w:rsidR="00A720EB" w:rsidRDefault="0030286B">
            <w:pPr>
              <w:pStyle w:val="TableParagraph"/>
              <w:spacing w:before="58" w:line="230" w:lineRule="auto"/>
              <w:ind w:right="68"/>
              <w:rPr>
                <w:sz w:val="21"/>
              </w:rPr>
            </w:pPr>
            <w:proofErr w:type="gramStart"/>
            <w:r>
              <w:rPr>
                <w:color w:val="B02045"/>
                <w:sz w:val="21"/>
              </w:rPr>
              <w:t>.MessageSourceAutoConfiguration</w:t>
            </w:r>
            <w:proofErr w:type="gramEnd"/>
            <w:r>
              <w:rPr>
                <w:color w:val="B02045"/>
                <w:sz w:val="21"/>
              </w:rPr>
              <w:t xml:space="preserve"> org.springframework.boot.autoconfigure.freemar</w:t>
            </w:r>
          </w:p>
          <w:p w14:paraId="5DF5D8AE" w14:textId="77777777" w:rsidR="00A720EB" w:rsidRDefault="0030286B">
            <w:pPr>
              <w:pStyle w:val="TableParagraph"/>
              <w:spacing w:before="58" w:line="230" w:lineRule="auto"/>
              <w:ind w:right="68"/>
              <w:rPr>
                <w:sz w:val="21"/>
              </w:rPr>
            </w:pPr>
            <w:proofErr w:type="gramStart"/>
            <w:r>
              <w:rPr>
                <w:color w:val="B02045"/>
                <w:sz w:val="21"/>
              </w:rPr>
              <w:t>ker.FreeMarkerAutoConfiguration</w:t>
            </w:r>
            <w:proofErr w:type="gramEnd"/>
            <w:r>
              <w:rPr>
                <w:color w:val="B02045"/>
                <w:sz w:val="21"/>
              </w:rPr>
              <w:t xml:space="preserve"> org.springframework.boot.autoconfigure.gson.Gs</w:t>
            </w:r>
          </w:p>
          <w:p w14:paraId="3B867B61" w14:textId="77777777" w:rsidR="00A720EB" w:rsidRDefault="0030286B">
            <w:pPr>
              <w:pStyle w:val="TableParagraph"/>
              <w:spacing w:before="58" w:line="230" w:lineRule="auto"/>
              <w:ind w:right="68"/>
              <w:rPr>
                <w:sz w:val="21"/>
              </w:rPr>
            </w:pPr>
            <w:r>
              <w:rPr>
                <w:color w:val="B02045"/>
                <w:sz w:val="21"/>
              </w:rPr>
              <w:t>onAutoConfiguration org.springframework.boot.autoconfigure.http.co</w:t>
            </w:r>
          </w:p>
          <w:p w14:paraId="31380EDB" w14:textId="77777777" w:rsidR="00A720EB" w:rsidRDefault="0030286B">
            <w:pPr>
              <w:pStyle w:val="TableParagraph"/>
              <w:spacing w:before="58" w:line="230" w:lineRule="auto"/>
              <w:ind w:right="68"/>
              <w:rPr>
                <w:sz w:val="21"/>
              </w:rPr>
            </w:pPr>
            <w:proofErr w:type="gramStart"/>
            <w:r>
              <w:rPr>
                <w:color w:val="B02045"/>
                <w:sz w:val="21"/>
              </w:rPr>
              <w:t>dec.CodecsAutoConfiguration</w:t>
            </w:r>
            <w:proofErr w:type="gramEnd"/>
            <w:r>
              <w:rPr>
                <w:color w:val="B02045"/>
                <w:sz w:val="21"/>
              </w:rPr>
              <w:t xml:space="preserve"> org.springframework.boot.autoconfigure.jackson</w:t>
            </w:r>
          </w:p>
          <w:p w14:paraId="4E9EC07F" w14:textId="77777777" w:rsidR="00A720EB" w:rsidRDefault="0030286B">
            <w:pPr>
              <w:pStyle w:val="TableParagraph"/>
              <w:spacing w:before="58" w:line="230" w:lineRule="auto"/>
              <w:ind w:right="68"/>
              <w:rPr>
                <w:sz w:val="21"/>
              </w:rPr>
            </w:pPr>
            <w:proofErr w:type="gramStart"/>
            <w:r>
              <w:rPr>
                <w:color w:val="B02045"/>
                <w:sz w:val="21"/>
              </w:rPr>
              <w:t>.JacksonAutoConfiguration</w:t>
            </w:r>
            <w:proofErr w:type="gramEnd"/>
            <w:r>
              <w:rPr>
                <w:color w:val="B02045"/>
                <w:sz w:val="21"/>
              </w:rPr>
              <w:t xml:space="preserve"> org.springframework.boot.autoconfigure.jsonb.J</w:t>
            </w:r>
          </w:p>
          <w:p w14:paraId="3B4BB947" w14:textId="77777777" w:rsidR="00A720EB" w:rsidRDefault="0030286B">
            <w:pPr>
              <w:pStyle w:val="TableParagraph"/>
              <w:spacing w:before="58" w:line="230" w:lineRule="auto"/>
              <w:ind w:right="68"/>
              <w:rPr>
                <w:sz w:val="21"/>
              </w:rPr>
            </w:pPr>
            <w:r>
              <w:rPr>
                <w:color w:val="B02045"/>
                <w:sz w:val="21"/>
              </w:rPr>
              <w:t xml:space="preserve">sonbAutoConfiguration </w:t>
            </w:r>
            <w:proofErr w:type="gramStart"/>
            <w:r>
              <w:rPr>
                <w:color w:val="B02045"/>
                <w:sz w:val="21"/>
              </w:rPr>
              <w:t>org.springframework</w:t>
            </w:r>
            <w:proofErr w:type="gramEnd"/>
            <w:r>
              <w:rPr>
                <w:color w:val="B02045"/>
                <w:sz w:val="21"/>
              </w:rPr>
              <w:t>.boot.autoconfigure.mustach</w:t>
            </w:r>
          </w:p>
          <w:p w14:paraId="630FBD45" w14:textId="77777777" w:rsidR="00A720EB" w:rsidRDefault="0030286B">
            <w:pPr>
              <w:pStyle w:val="TableParagraph"/>
              <w:spacing w:before="58" w:line="230" w:lineRule="auto"/>
              <w:ind w:right="68"/>
              <w:rPr>
                <w:sz w:val="21"/>
              </w:rPr>
            </w:pPr>
            <w:proofErr w:type="gramStart"/>
            <w:r>
              <w:rPr>
                <w:color w:val="B02045"/>
                <w:sz w:val="21"/>
              </w:rPr>
              <w:t>e.MustacheAutoConfiguration</w:t>
            </w:r>
            <w:proofErr w:type="gramEnd"/>
            <w:r>
              <w:rPr>
                <w:color w:val="B02045"/>
                <w:sz w:val="21"/>
              </w:rPr>
              <w:t xml:space="preserve"> org.springframework.boot.autoconfigure.securit y.oauth2.client.reactive.ReactiveOAuth2ClientA</w:t>
            </w:r>
          </w:p>
          <w:p w14:paraId="6DDCF028" w14:textId="77777777" w:rsidR="00A720EB" w:rsidRDefault="0030286B">
            <w:pPr>
              <w:pStyle w:val="TableParagraph"/>
              <w:spacing w:before="58" w:line="230" w:lineRule="auto"/>
              <w:ind w:right="68"/>
              <w:rPr>
                <w:sz w:val="21"/>
              </w:rPr>
            </w:pPr>
            <w:r>
              <w:rPr>
                <w:color w:val="B02045"/>
                <w:sz w:val="21"/>
              </w:rPr>
              <w:t xml:space="preserve">utoConfiguration </w:t>
            </w:r>
            <w:proofErr w:type="gramStart"/>
            <w:r>
              <w:rPr>
                <w:color w:val="B02045"/>
                <w:sz w:val="21"/>
              </w:rPr>
              <w:t>org.springframework</w:t>
            </w:r>
            <w:proofErr w:type="gramEnd"/>
            <w:r>
              <w:rPr>
                <w:color w:val="B02045"/>
                <w:sz w:val="21"/>
              </w:rPr>
              <w:t>.boot.autoconfigure.securit y.oauth2.resource.reactive.ReactiveOAuth2Resou</w:t>
            </w:r>
          </w:p>
          <w:p w14:paraId="4FF6248B" w14:textId="77777777" w:rsidR="00A720EB" w:rsidRDefault="0030286B">
            <w:pPr>
              <w:pStyle w:val="TableParagraph"/>
              <w:spacing w:before="59" w:line="230" w:lineRule="auto"/>
              <w:ind w:right="68"/>
              <w:rPr>
                <w:sz w:val="21"/>
              </w:rPr>
            </w:pPr>
            <w:r>
              <w:rPr>
                <w:color w:val="B02045"/>
                <w:sz w:val="21"/>
              </w:rPr>
              <w:t xml:space="preserve">rceServerAutoConfiguration </w:t>
            </w:r>
            <w:proofErr w:type="gramStart"/>
            <w:r>
              <w:rPr>
                <w:color w:val="B02045"/>
                <w:sz w:val="21"/>
              </w:rPr>
              <w:t>org.springframework</w:t>
            </w:r>
            <w:proofErr w:type="gramEnd"/>
            <w:r>
              <w:rPr>
                <w:color w:val="B02045"/>
                <w:sz w:val="21"/>
              </w:rPr>
              <w:t>.boot.autoconfigure.securit</w:t>
            </w:r>
          </w:p>
          <w:p w14:paraId="30E4C5A2" w14:textId="77777777" w:rsidR="00A720EB" w:rsidRDefault="0030286B">
            <w:pPr>
              <w:pStyle w:val="TableParagraph"/>
              <w:spacing w:before="58" w:line="230" w:lineRule="auto"/>
              <w:ind w:right="68"/>
              <w:rPr>
                <w:sz w:val="21"/>
              </w:rPr>
            </w:pPr>
            <w:proofErr w:type="gramStart"/>
            <w:r>
              <w:rPr>
                <w:color w:val="B02045"/>
                <w:sz w:val="21"/>
              </w:rPr>
              <w:t>y.reactive</w:t>
            </w:r>
            <w:proofErr w:type="gramEnd"/>
            <w:r>
              <w:rPr>
                <w:color w:val="B02045"/>
                <w:sz w:val="21"/>
              </w:rPr>
              <w:t>.ReactiveSecurityAutoConfiguration org.springframework.boot.autoconfigure.securit y.reactive.ReactiveUserDetailsServiceAutoConfi</w:t>
            </w:r>
          </w:p>
          <w:p w14:paraId="537EA939" w14:textId="77777777" w:rsidR="00A720EB" w:rsidRDefault="0030286B">
            <w:pPr>
              <w:pStyle w:val="TableParagraph"/>
              <w:spacing w:before="58" w:line="230" w:lineRule="auto"/>
              <w:ind w:right="68"/>
              <w:rPr>
                <w:sz w:val="21"/>
              </w:rPr>
            </w:pPr>
            <w:r>
              <w:rPr>
                <w:color w:val="B02045"/>
                <w:sz w:val="21"/>
              </w:rPr>
              <w:t xml:space="preserve">guration </w:t>
            </w:r>
            <w:proofErr w:type="gramStart"/>
            <w:r>
              <w:rPr>
                <w:color w:val="B02045"/>
                <w:sz w:val="21"/>
              </w:rPr>
              <w:t>org.springframework</w:t>
            </w:r>
            <w:proofErr w:type="gramEnd"/>
            <w:r>
              <w:rPr>
                <w:color w:val="B02045"/>
                <w:sz w:val="21"/>
              </w:rPr>
              <w:t>.boot.autoconfigure.thymele</w:t>
            </w:r>
          </w:p>
          <w:p w14:paraId="3D2ED396" w14:textId="77777777" w:rsidR="00A720EB" w:rsidRDefault="0030286B">
            <w:pPr>
              <w:pStyle w:val="TableParagraph"/>
              <w:spacing w:before="58" w:line="230" w:lineRule="auto"/>
              <w:ind w:right="68"/>
              <w:rPr>
                <w:sz w:val="21"/>
              </w:rPr>
            </w:pPr>
            <w:proofErr w:type="gramStart"/>
            <w:r>
              <w:rPr>
                <w:color w:val="B02045"/>
                <w:sz w:val="21"/>
              </w:rPr>
              <w:t>af.ThymeleafAutoConfiguration</w:t>
            </w:r>
            <w:proofErr w:type="gramEnd"/>
            <w:r>
              <w:rPr>
                <w:color w:val="B02045"/>
                <w:sz w:val="21"/>
              </w:rPr>
              <w:t xml:space="preserve"> org.springframework.boot.autoconfigure.validat</w:t>
            </w:r>
          </w:p>
          <w:p w14:paraId="48780034" w14:textId="77777777" w:rsidR="00A720EB" w:rsidRDefault="0030286B">
            <w:pPr>
              <w:pStyle w:val="TableParagraph"/>
              <w:spacing w:before="58" w:line="230" w:lineRule="auto"/>
              <w:ind w:right="68"/>
              <w:rPr>
                <w:sz w:val="21"/>
              </w:rPr>
            </w:pPr>
            <w:proofErr w:type="gramStart"/>
            <w:r>
              <w:rPr>
                <w:color w:val="B02045"/>
                <w:sz w:val="21"/>
              </w:rPr>
              <w:t>ion.ValidationAutoConfiguration</w:t>
            </w:r>
            <w:proofErr w:type="gramEnd"/>
            <w:r>
              <w:rPr>
                <w:color w:val="B02045"/>
                <w:sz w:val="21"/>
              </w:rPr>
              <w:t xml:space="preserve"> org.springframework.boot.autoconfigure.web.rea</w:t>
            </w:r>
          </w:p>
          <w:p w14:paraId="3EAC9525" w14:textId="77777777" w:rsidR="00A720EB" w:rsidRDefault="0030286B">
            <w:pPr>
              <w:pStyle w:val="TableParagraph"/>
              <w:spacing w:before="58" w:line="230" w:lineRule="auto"/>
              <w:ind w:right="68"/>
              <w:rPr>
                <w:sz w:val="21"/>
              </w:rPr>
            </w:pPr>
            <w:proofErr w:type="gramStart"/>
            <w:r>
              <w:rPr>
                <w:color w:val="B02045"/>
                <w:sz w:val="21"/>
              </w:rPr>
              <w:t>ctive.WebFluxAutoConfiguration</w:t>
            </w:r>
            <w:proofErr w:type="gramEnd"/>
            <w:r>
              <w:rPr>
                <w:color w:val="B02045"/>
                <w:sz w:val="21"/>
              </w:rPr>
              <w:t xml:space="preserve"> org.springframework.boot.autoconfigure.web.rea</w:t>
            </w:r>
          </w:p>
          <w:p w14:paraId="7DE28680" w14:textId="77777777" w:rsidR="00A720EB" w:rsidRDefault="0030286B">
            <w:pPr>
              <w:pStyle w:val="TableParagraph"/>
              <w:spacing w:before="58" w:line="230" w:lineRule="auto"/>
              <w:ind w:right="68"/>
              <w:rPr>
                <w:sz w:val="21"/>
              </w:rPr>
            </w:pPr>
            <w:proofErr w:type="gramStart"/>
            <w:r>
              <w:rPr>
                <w:color w:val="B02045"/>
                <w:sz w:val="21"/>
              </w:rPr>
              <w:t>ctive.error</w:t>
            </w:r>
            <w:proofErr w:type="gramEnd"/>
            <w:r>
              <w:rPr>
                <w:color w:val="B02045"/>
                <w:sz w:val="21"/>
              </w:rPr>
              <w:t xml:space="preserve">.ErrorWebFluxAutoConfiguration </w:t>
            </w:r>
            <w:r>
              <w:rPr>
                <w:color w:val="B02045"/>
                <w:sz w:val="21"/>
              </w:rPr>
              <w:lastRenderedPageBreak/>
              <w:t>org.springframework.boot.test.autoconfigure.we b.reactive.WebTestClientAutoConfiguration</w:t>
            </w:r>
          </w:p>
        </w:tc>
      </w:tr>
    </w:tbl>
    <w:p w14:paraId="4C5E6127" w14:textId="77777777" w:rsidR="00A720EB" w:rsidRDefault="00A720EB">
      <w:pPr>
        <w:spacing w:line="230" w:lineRule="auto"/>
        <w:rPr>
          <w:sz w:val="21"/>
        </w:rPr>
        <w:sectPr w:rsidR="00A720EB">
          <w:pgSz w:w="11910" w:h="16840"/>
          <w:pgMar w:top="700" w:right="840" w:bottom="380" w:left="840" w:header="0" w:footer="198"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1A64A87A" w14:textId="77777777">
        <w:trPr>
          <w:trHeight w:val="415"/>
        </w:trPr>
        <w:tc>
          <w:tcPr>
            <w:tcW w:w="4988" w:type="dxa"/>
            <w:tcBorders>
              <w:bottom w:val="single" w:sz="12" w:space="0" w:color="DDDDDD"/>
            </w:tcBorders>
          </w:tcPr>
          <w:p w14:paraId="5BC1EB8F"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Test slice</w:t>
            </w:r>
          </w:p>
        </w:tc>
        <w:tc>
          <w:tcPr>
            <w:tcW w:w="4988" w:type="dxa"/>
            <w:tcBorders>
              <w:bottom w:val="single" w:sz="12" w:space="0" w:color="DDDDDD"/>
            </w:tcBorders>
          </w:tcPr>
          <w:p w14:paraId="3976B759" w14:textId="77777777" w:rsidR="00A720EB" w:rsidRDefault="0030286B">
            <w:pPr>
              <w:pStyle w:val="TableParagraph"/>
              <w:spacing w:before="71"/>
              <w:rPr>
                <w:rFonts w:ascii="Palatino Linotype"/>
                <w:b/>
                <w:sz w:val="21"/>
              </w:rPr>
            </w:pPr>
            <w:r>
              <w:rPr>
                <w:rFonts w:ascii="Palatino Linotype"/>
                <w:b/>
                <w:color w:val="333333"/>
                <w:w w:val="110"/>
                <w:sz w:val="21"/>
              </w:rPr>
              <w:t>Imported auto-configuration</w:t>
            </w:r>
          </w:p>
        </w:tc>
      </w:tr>
      <w:tr w:rsidR="00A720EB" w14:paraId="0182500C" w14:textId="77777777">
        <w:trPr>
          <w:trHeight w:val="15064"/>
        </w:trPr>
        <w:tc>
          <w:tcPr>
            <w:tcW w:w="4988" w:type="dxa"/>
            <w:tcBorders>
              <w:top w:val="single" w:sz="12" w:space="0" w:color="DDDDDD"/>
              <w:bottom w:val="single" w:sz="2" w:space="0" w:color="DDDDDD"/>
            </w:tcBorders>
          </w:tcPr>
          <w:p w14:paraId="22A00D50" w14:textId="77777777" w:rsidR="00A720EB" w:rsidRDefault="0030286B">
            <w:pPr>
              <w:pStyle w:val="TableParagraph"/>
              <w:spacing w:before="27"/>
              <w:rPr>
                <w:sz w:val="21"/>
              </w:rPr>
            </w:pPr>
            <w:r>
              <w:rPr>
                <w:color w:val="B02045"/>
                <w:sz w:val="21"/>
              </w:rPr>
              <w:t>@WebMvcTest</w:t>
            </w:r>
          </w:p>
        </w:tc>
        <w:tc>
          <w:tcPr>
            <w:tcW w:w="4988" w:type="dxa"/>
            <w:tcBorders>
              <w:top w:val="single" w:sz="12" w:space="0" w:color="DDDDDD"/>
              <w:bottom w:val="single" w:sz="2" w:space="0" w:color="DDDDDD"/>
            </w:tcBorders>
          </w:tcPr>
          <w:p w14:paraId="712B8A5B"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.boot.autoconfigure.cache.C</w:t>
            </w:r>
          </w:p>
          <w:p w14:paraId="2E67AC29" w14:textId="77777777" w:rsidR="00A720EB" w:rsidRDefault="0030286B">
            <w:pPr>
              <w:pStyle w:val="TableParagraph"/>
              <w:spacing w:before="55"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.boot.autoconfigure.context</w:t>
            </w:r>
          </w:p>
          <w:p w14:paraId="5A447856" w14:textId="77777777" w:rsidR="00A720EB" w:rsidRDefault="0030286B">
            <w:pPr>
              <w:pStyle w:val="TableParagraph"/>
              <w:spacing w:before="58" w:line="230" w:lineRule="auto"/>
              <w:ind w:right="68"/>
              <w:rPr>
                <w:sz w:val="21"/>
              </w:rPr>
            </w:pPr>
            <w:proofErr w:type="gramStart"/>
            <w:r>
              <w:rPr>
                <w:color w:val="B02045"/>
                <w:sz w:val="21"/>
              </w:rPr>
              <w:t>.MessageSourceAutoConfiguration</w:t>
            </w:r>
            <w:proofErr w:type="gramEnd"/>
            <w:r>
              <w:rPr>
                <w:color w:val="B02045"/>
                <w:sz w:val="21"/>
              </w:rPr>
              <w:t xml:space="preserve"> org.springframework.boot.autoconfigure.data.we</w:t>
            </w:r>
          </w:p>
          <w:p w14:paraId="0FC9541C" w14:textId="77777777" w:rsidR="00A720EB" w:rsidRDefault="0030286B">
            <w:pPr>
              <w:pStyle w:val="TableParagraph"/>
              <w:spacing w:before="58" w:line="230" w:lineRule="auto"/>
              <w:ind w:right="68"/>
              <w:rPr>
                <w:sz w:val="21"/>
              </w:rPr>
            </w:pPr>
            <w:proofErr w:type="gramStart"/>
            <w:r>
              <w:rPr>
                <w:color w:val="B02045"/>
                <w:sz w:val="21"/>
              </w:rPr>
              <w:t>b.SpringDataWebAutoConfiguration</w:t>
            </w:r>
            <w:proofErr w:type="gramEnd"/>
            <w:r>
              <w:rPr>
                <w:color w:val="B02045"/>
                <w:sz w:val="21"/>
              </w:rPr>
              <w:t xml:space="preserve"> org.springframework.boot.autoconfigure.freemar</w:t>
            </w:r>
          </w:p>
          <w:p w14:paraId="39AC79FC" w14:textId="77777777" w:rsidR="00A720EB" w:rsidRDefault="0030286B">
            <w:pPr>
              <w:pStyle w:val="TableParagraph"/>
              <w:spacing w:before="58" w:line="230" w:lineRule="auto"/>
              <w:ind w:right="68"/>
              <w:rPr>
                <w:sz w:val="21"/>
              </w:rPr>
            </w:pPr>
            <w:proofErr w:type="gramStart"/>
            <w:r>
              <w:rPr>
                <w:color w:val="B02045"/>
                <w:sz w:val="21"/>
              </w:rPr>
              <w:t>ker.FreeMarkerAutoConfiguration</w:t>
            </w:r>
            <w:proofErr w:type="gramEnd"/>
            <w:r>
              <w:rPr>
                <w:color w:val="B02045"/>
                <w:sz w:val="21"/>
              </w:rPr>
              <w:t xml:space="preserve"> org.springframework.boot.autoconfigure.groovy.</w:t>
            </w:r>
          </w:p>
          <w:p w14:paraId="28D07AC9" w14:textId="77777777" w:rsidR="00A720EB" w:rsidRDefault="0030286B">
            <w:pPr>
              <w:pStyle w:val="TableParagraph"/>
              <w:spacing w:before="58" w:line="230" w:lineRule="auto"/>
              <w:ind w:right="68"/>
              <w:rPr>
                <w:sz w:val="21"/>
              </w:rPr>
            </w:pPr>
            <w:proofErr w:type="gramStart"/>
            <w:r>
              <w:rPr>
                <w:color w:val="B02045"/>
                <w:sz w:val="21"/>
              </w:rPr>
              <w:t>template.GroovyTemplateAutoConfiguration</w:t>
            </w:r>
            <w:proofErr w:type="gramEnd"/>
            <w:r>
              <w:rPr>
                <w:color w:val="B02045"/>
                <w:sz w:val="21"/>
              </w:rPr>
              <w:t xml:space="preserve"> org.springframework.boot.autoconfigure.gson.Gs</w:t>
            </w:r>
          </w:p>
          <w:p w14:paraId="61033A5F" w14:textId="77777777" w:rsidR="00A720EB" w:rsidRDefault="0030286B">
            <w:pPr>
              <w:pStyle w:val="TableParagraph"/>
              <w:spacing w:before="58" w:line="230" w:lineRule="auto"/>
              <w:ind w:right="68"/>
              <w:rPr>
                <w:sz w:val="21"/>
              </w:rPr>
            </w:pPr>
            <w:r>
              <w:rPr>
                <w:color w:val="B02045"/>
                <w:sz w:val="21"/>
              </w:rPr>
              <w:t xml:space="preserve">onAutoConfiguration </w:t>
            </w:r>
            <w:proofErr w:type="gramStart"/>
            <w:r>
              <w:rPr>
                <w:color w:val="B02045"/>
                <w:sz w:val="21"/>
              </w:rPr>
              <w:t>org.springframework</w:t>
            </w:r>
            <w:proofErr w:type="gramEnd"/>
            <w:r>
              <w:rPr>
                <w:color w:val="B02045"/>
                <w:sz w:val="21"/>
              </w:rPr>
              <w:t>.boot.autoconfigure.hateoas</w:t>
            </w:r>
          </w:p>
          <w:p w14:paraId="53E3480B" w14:textId="77777777" w:rsidR="00A720EB" w:rsidRDefault="0030286B">
            <w:pPr>
              <w:pStyle w:val="TableParagraph"/>
              <w:spacing w:before="58" w:line="230" w:lineRule="auto"/>
              <w:ind w:right="68"/>
              <w:rPr>
                <w:sz w:val="21"/>
              </w:rPr>
            </w:pPr>
            <w:proofErr w:type="gramStart"/>
            <w:r>
              <w:rPr>
                <w:color w:val="B02045"/>
                <w:sz w:val="21"/>
              </w:rPr>
              <w:t>.HypermediaAutoConfiguration</w:t>
            </w:r>
            <w:proofErr w:type="gramEnd"/>
            <w:r>
              <w:rPr>
                <w:color w:val="B02045"/>
                <w:sz w:val="21"/>
              </w:rPr>
              <w:t xml:space="preserve"> org.springframework.boot.autoconfigure.http.Ht</w:t>
            </w:r>
          </w:p>
          <w:p w14:paraId="514FBFA9" w14:textId="77777777" w:rsidR="00A720EB" w:rsidRDefault="0030286B">
            <w:pPr>
              <w:pStyle w:val="TableParagraph"/>
              <w:spacing w:before="58" w:line="230" w:lineRule="auto"/>
              <w:ind w:right="68"/>
              <w:rPr>
                <w:sz w:val="21"/>
              </w:rPr>
            </w:pPr>
            <w:r>
              <w:rPr>
                <w:color w:val="B02045"/>
                <w:sz w:val="21"/>
              </w:rPr>
              <w:t xml:space="preserve">tpMessageConvertersAutoConfiguration </w:t>
            </w:r>
            <w:proofErr w:type="gramStart"/>
            <w:r>
              <w:rPr>
                <w:color w:val="B02045"/>
                <w:sz w:val="21"/>
              </w:rPr>
              <w:t>org.springframework</w:t>
            </w:r>
            <w:proofErr w:type="gramEnd"/>
            <w:r>
              <w:rPr>
                <w:color w:val="B02045"/>
                <w:sz w:val="21"/>
              </w:rPr>
              <w:t>.boot.autoconfigure.jackson</w:t>
            </w:r>
          </w:p>
          <w:p w14:paraId="7B78A549" w14:textId="77777777" w:rsidR="00A720EB" w:rsidRDefault="0030286B">
            <w:pPr>
              <w:pStyle w:val="TableParagraph"/>
              <w:spacing w:before="58" w:line="230" w:lineRule="auto"/>
              <w:ind w:right="68"/>
              <w:rPr>
                <w:sz w:val="21"/>
              </w:rPr>
            </w:pPr>
            <w:proofErr w:type="gramStart"/>
            <w:r>
              <w:rPr>
                <w:color w:val="B02045"/>
                <w:sz w:val="21"/>
              </w:rPr>
              <w:t>.JacksonAutoConfiguration</w:t>
            </w:r>
            <w:proofErr w:type="gramEnd"/>
            <w:r>
              <w:rPr>
                <w:color w:val="B02045"/>
                <w:sz w:val="21"/>
              </w:rPr>
              <w:t xml:space="preserve"> org.springframework.boot.autoconfigure.jsonb.J</w:t>
            </w:r>
          </w:p>
          <w:p w14:paraId="5E69DB20" w14:textId="77777777" w:rsidR="00A720EB" w:rsidRDefault="0030286B">
            <w:pPr>
              <w:pStyle w:val="TableParagraph"/>
              <w:spacing w:before="58" w:line="230" w:lineRule="auto"/>
              <w:ind w:right="68"/>
              <w:rPr>
                <w:sz w:val="21"/>
              </w:rPr>
            </w:pPr>
            <w:r>
              <w:rPr>
                <w:color w:val="B02045"/>
                <w:sz w:val="21"/>
              </w:rPr>
              <w:t xml:space="preserve">sonbAutoConfiguration </w:t>
            </w:r>
            <w:proofErr w:type="gramStart"/>
            <w:r>
              <w:rPr>
                <w:color w:val="B02045"/>
                <w:sz w:val="21"/>
              </w:rPr>
              <w:t>org.springframework</w:t>
            </w:r>
            <w:proofErr w:type="gramEnd"/>
            <w:r>
              <w:rPr>
                <w:color w:val="B02045"/>
                <w:sz w:val="21"/>
              </w:rPr>
              <w:t>.boot.autoconfigure.mustach</w:t>
            </w:r>
          </w:p>
          <w:p w14:paraId="1E085356" w14:textId="77777777" w:rsidR="00A720EB" w:rsidRDefault="0030286B">
            <w:pPr>
              <w:pStyle w:val="TableParagraph"/>
              <w:spacing w:before="57" w:line="230" w:lineRule="auto"/>
              <w:ind w:right="68"/>
              <w:rPr>
                <w:sz w:val="21"/>
              </w:rPr>
            </w:pPr>
            <w:proofErr w:type="gramStart"/>
            <w:r>
              <w:rPr>
                <w:color w:val="B02045"/>
                <w:sz w:val="21"/>
              </w:rPr>
              <w:t>e.MustacheAutoConfiguration</w:t>
            </w:r>
            <w:proofErr w:type="gramEnd"/>
            <w:r>
              <w:rPr>
                <w:color w:val="B02045"/>
                <w:sz w:val="21"/>
              </w:rPr>
              <w:t xml:space="preserve"> org.springframework.boot.autoconfigure.securit y.oauth2.client.servlet.OAuth2ClientAutoConfig</w:t>
            </w:r>
          </w:p>
          <w:p w14:paraId="4071D59F" w14:textId="77777777" w:rsidR="00A720EB" w:rsidRDefault="0030286B">
            <w:pPr>
              <w:pStyle w:val="TableParagraph"/>
              <w:spacing w:before="59" w:line="230" w:lineRule="auto"/>
              <w:ind w:right="68"/>
              <w:rPr>
                <w:sz w:val="21"/>
              </w:rPr>
            </w:pPr>
            <w:r>
              <w:rPr>
                <w:color w:val="B02045"/>
                <w:sz w:val="21"/>
              </w:rPr>
              <w:t xml:space="preserve">uration </w:t>
            </w:r>
            <w:proofErr w:type="gramStart"/>
            <w:r>
              <w:rPr>
                <w:color w:val="B02045"/>
                <w:sz w:val="21"/>
              </w:rPr>
              <w:t>org.springframework</w:t>
            </w:r>
            <w:proofErr w:type="gramEnd"/>
            <w:r>
              <w:rPr>
                <w:color w:val="B02045"/>
                <w:sz w:val="21"/>
              </w:rPr>
              <w:t>.boot.autoconfigure.securit y.oauth2.resource.servlet.OAuth2ResourceServer</w:t>
            </w:r>
          </w:p>
          <w:p w14:paraId="6A1D0442" w14:textId="77777777" w:rsidR="00A720EB" w:rsidRDefault="0030286B">
            <w:pPr>
              <w:pStyle w:val="TableParagraph"/>
              <w:spacing w:before="58" w:line="230" w:lineRule="auto"/>
              <w:ind w:right="68"/>
              <w:rPr>
                <w:sz w:val="21"/>
              </w:rPr>
            </w:pPr>
            <w:r>
              <w:rPr>
                <w:color w:val="B02045"/>
                <w:sz w:val="21"/>
              </w:rPr>
              <w:t xml:space="preserve">AutoConfiguration </w:t>
            </w:r>
            <w:proofErr w:type="gramStart"/>
            <w:r>
              <w:rPr>
                <w:color w:val="B02045"/>
                <w:sz w:val="21"/>
              </w:rPr>
              <w:t>org.springframework</w:t>
            </w:r>
            <w:proofErr w:type="gramEnd"/>
            <w:r>
              <w:rPr>
                <w:color w:val="B02045"/>
                <w:sz w:val="21"/>
              </w:rPr>
              <w:t>.boot.autoconfigure.securit</w:t>
            </w:r>
          </w:p>
          <w:p w14:paraId="76394D76" w14:textId="77777777" w:rsidR="00A720EB" w:rsidRDefault="0030286B">
            <w:pPr>
              <w:pStyle w:val="TableParagraph"/>
              <w:spacing w:before="58" w:line="230" w:lineRule="auto"/>
              <w:ind w:right="68"/>
              <w:rPr>
                <w:sz w:val="21"/>
              </w:rPr>
            </w:pPr>
            <w:proofErr w:type="gramStart"/>
            <w:r>
              <w:rPr>
                <w:color w:val="B02045"/>
                <w:sz w:val="21"/>
              </w:rPr>
              <w:t>y.servlet</w:t>
            </w:r>
            <w:proofErr w:type="gramEnd"/>
            <w:r>
              <w:rPr>
                <w:color w:val="B02045"/>
                <w:sz w:val="21"/>
              </w:rPr>
              <w:t>.SecurityAutoConfiguration org.springframework.boot.autoconfigure.securit</w:t>
            </w:r>
          </w:p>
          <w:p w14:paraId="0F5DA0E1" w14:textId="77777777" w:rsidR="00A720EB" w:rsidRDefault="0030286B">
            <w:pPr>
              <w:pStyle w:val="TableParagraph"/>
              <w:spacing w:before="58" w:line="230" w:lineRule="auto"/>
              <w:ind w:right="68"/>
              <w:rPr>
                <w:sz w:val="21"/>
              </w:rPr>
            </w:pPr>
            <w:proofErr w:type="gramStart"/>
            <w:r>
              <w:rPr>
                <w:color w:val="B02045"/>
                <w:sz w:val="21"/>
              </w:rPr>
              <w:t>y.servlet</w:t>
            </w:r>
            <w:proofErr w:type="gramEnd"/>
            <w:r>
              <w:rPr>
                <w:color w:val="B02045"/>
                <w:sz w:val="21"/>
              </w:rPr>
              <w:t>.SecurityFilterAutoConfiguration org.springframework.boot.autoconfigure.securit</w:t>
            </w:r>
          </w:p>
          <w:p w14:paraId="15F198B4" w14:textId="77777777" w:rsidR="00A720EB" w:rsidRDefault="0030286B">
            <w:pPr>
              <w:pStyle w:val="TableParagraph"/>
              <w:spacing w:before="58" w:line="230" w:lineRule="auto"/>
              <w:ind w:right="68"/>
              <w:rPr>
                <w:sz w:val="21"/>
              </w:rPr>
            </w:pPr>
            <w:proofErr w:type="gramStart"/>
            <w:r>
              <w:rPr>
                <w:color w:val="B02045"/>
                <w:sz w:val="21"/>
              </w:rPr>
              <w:t>y.servlet</w:t>
            </w:r>
            <w:proofErr w:type="gramEnd"/>
            <w:r>
              <w:rPr>
                <w:color w:val="B02045"/>
                <w:sz w:val="21"/>
              </w:rPr>
              <w:t>.UserDetailsServiceAutoConfiguration org.springframework.boot.autoconfigure.task.</w:t>
            </w:r>
            <w:r>
              <w:rPr>
                <w:color w:val="B02045"/>
                <w:sz w:val="21"/>
              </w:rPr>
              <w:lastRenderedPageBreak/>
              <w:t>Ta</w:t>
            </w:r>
          </w:p>
          <w:p w14:paraId="707BF75F" w14:textId="77777777" w:rsidR="00A720EB" w:rsidRDefault="0030286B">
            <w:pPr>
              <w:pStyle w:val="TableParagraph"/>
              <w:spacing w:before="58" w:line="230" w:lineRule="auto"/>
              <w:ind w:right="68"/>
              <w:rPr>
                <w:sz w:val="21"/>
              </w:rPr>
            </w:pPr>
            <w:r>
              <w:rPr>
                <w:color w:val="B02045"/>
                <w:sz w:val="21"/>
              </w:rPr>
              <w:t xml:space="preserve">skExecutionAutoConfiguration </w:t>
            </w:r>
            <w:proofErr w:type="gramStart"/>
            <w:r>
              <w:rPr>
                <w:color w:val="B02045"/>
                <w:sz w:val="21"/>
              </w:rPr>
              <w:t>org.springframework</w:t>
            </w:r>
            <w:proofErr w:type="gramEnd"/>
            <w:r>
              <w:rPr>
                <w:color w:val="B02045"/>
                <w:sz w:val="21"/>
              </w:rPr>
              <w:t>.boot.autoconfigure.thymele</w:t>
            </w:r>
          </w:p>
          <w:p w14:paraId="5ECDEA60" w14:textId="77777777" w:rsidR="00A720EB" w:rsidRDefault="0030286B">
            <w:pPr>
              <w:pStyle w:val="TableParagraph"/>
              <w:spacing w:before="58" w:line="230" w:lineRule="auto"/>
              <w:ind w:right="68"/>
              <w:rPr>
                <w:sz w:val="21"/>
              </w:rPr>
            </w:pPr>
            <w:proofErr w:type="gramStart"/>
            <w:r>
              <w:rPr>
                <w:color w:val="B02045"/>
                <w:sz w:val="21"/>
              </w:rPr>
              <w:t>af.ThymeleafAutoConfiguration</w:t>
            </w:r>
            <w:proofErr w:type="gramEnd"/>
            <w:r>
              <w:rPr>
                <w:color w:val="B02045"/>
                <w:sz w:val="21"/>
              </w:rPr>
              <w:t xml:space="preserve"> org.springframework.boot.autoconfigure.validat</w:t>
            </w:r>
          </w:p>
          <w:p w14:paraId="1CA55040" w14:textId="77777777" w:rsidR="00A720EB" w:rsidRDefault="0030286B">
            <w:pPr>
              <w:pStyle w:val="TableParagraph"/>
              <w:spacing w:before="58" w:line="230" w:lineRule="auto"/>
              <w:ind w:right="68"/>
              <w:rPr>
                <w:sz w:val="21"/>
              </w:rPr>
            </w:pPr>
            <w:proofErr w:type="gramStart"/>
            <w:r>
              <w:rPr>
                <w:color w:val="B02045"/>
                <w:sz w:val="21"/>
              </w:rPr>
              <w:t>ion.ValidationAutoConfiguration</w:t>
            </w:r>
            <w:proofErr w:type="gramEnd"/>
            <w:r>
              <w:rPr>
                <w:color w:val="B02045"/>
                <w:sz w:val="21"/>
              </w:rPr>
              <w:t xml:space="preserve"> org.springframework.boot.autoconfigure.web.ser</w:t>
            </w:r>
          </w:p>
          <w:p w14:paraId="0D0465E5" w14:textId="77777777" w:rsidR="00A720EB" w:rsidRDefault="0030286B">
            <w:pPr>
              <w:pStyle w:val="TableParagraph"/>
              <w:spacing w:before="58" w:line="230" w:lineRule="auto"/>
              <w:ind w:right="68"/>
              <w:rPr>
                <w:sz w:val="21"/>
              </w:rPr>
            </w:pPr>
            <w:proofErr w:type="gramStart"/>
            <w:r>
              <w:rPr>
                <w:color w:val="B02045"/>
                <w:sz w:val="21"/>
              </w:rPr>
              <w:t>vlet.WebMvcAutoConfiguration</w:t>
            </w:r>
            <w:proofErr w:type="gramEnd"/>
            <w:r>
              <w:rPr>
                <w:color w:val="B02045"/>
                <w:sz w:val="21"/>
              </w:rPr>
              <w:t xml:space="preserve"> org.springframework.boot.autoconfigure.web.ser</w:t>
            </w:r>
          </w:p>
          <w:p w14:paraId="7CC5AFF8" w14:textId="77777777" w:rsidR="00A720EB" w:rsidRDefault="0030286B">
            <w:pPr>
              <w:pStyle w:val="TableParagraph"/>
              <w:spacing w:before="58" w:line="230" w:lineRule="auto"/>
              <w:ind w:right="68"/>
              <w:rPr>
                <w:sz w:val="21"/>
              </w:rPr>
            </w:pPr>
            <w:proofErr w:type="gramStart"/>
            <w:r>
              <w:rPr>
                <w:color w:val="B02045"/>
                <w:sz w:val="21"/>
              </w:rPr>
              <w:t>vlet.error</w:t>
            </w:r>
            <w:proofErr w:type="gramEnd"/>
            <w:r>
              <w:rPr>
                <w:color w:val="B02045"/>
                <w:sz w:val="21"/>
              </w:rPr>
              <w:t>.ErrorMvcAutoConfiguration org.springframework.boot.test.autoconfigure.we</w:t>
            </w:r>
          </w:p>
          <w:p w14:paraId="46FCBC9F" w14:textId="77777777" w:rsidR="00A720EB" w:rsidRDefault="0030286B">
            <w:pPr>
              <w:pStyle w:val="TableParagraph"/>
              <w:spacing w:before="58" w:line="230" w:lineRule="auto"/>
              <w:ind w:right="68"/>
              <w:rPr>
                <w:sz w:val="21"/>
              </w:rPr>
            </w:pPr>
            <w:proofErr w:type="gramStart"/>
            <w:r>
              <w:rPr>
                <w:color w:val="B02045"/>
                <w:sz w:val="21"/>
              </w:rPr>
              <w:t>b.servlet</w:t>
            </w:r>
            <w:proofErr w:type="gramEnd"/>
            <w:r>
              <w:rPr>
                <w:color w:val="B02045"/>
                <w:sz w:val="21"/>
              </w:rPr>
              <w:t>.MockMvcAutoConfiguration org.springframework.boot.test.autoconfigure.we</w:t>
            </w:r>
          </w:p>
          <w:p w14:paraId="68DCFF98" w14:textId="77777777" w:rsidR="00A720EB" w:rsidRDefault="0030286B">
            <w:pPr>
              <w:pStyle w:val="TableParagraph"/>
              <w:spacing w:before="57" w:line="230" w:lineRule="auto"/>
              <w:ind w:right="68"/>
              <w:rPr>
                <w:sz w:val="21"/>
              </w:rPr>
            </w:pPr>
            <w:proofErr w:type="gramStart"/>
            <w:r>
              <w:rPr>
                <w:color w:val="B02045"/>
                <w:sz w:val="21"/>
              </w:rPr>
              <w:t>b.servlet</w:t>
            </w:r>
            <w:proofErr w:type="gramEnd"/>
            <w:r>
              <w:rPr>
                <w:color w:val="B02045"/>
                <w:sz w:val="21"/>
              </w:rPr>
              <w:t>.MockMvcSecurityConfiguration org.springframework.boot.test.autoconfigure.we</w:t>
            </w:r>
          </w:p>
          <w:p w14:paraId="01465046" w14:textId="77777777" w:rsidR="00A720EB" w:rsidRDefault="0030286B">
            <w:pPr>
              <w:pStyle w:val="TableParagraph"/>
              <w:spacing w:before="58" w:line="230" w:lineRule="auto"/>
              <w:ind w:right="68"/>
              <w:rPr>
                <w:sz w:val="21"/>
              </w:rPr>
            </w:pPr>
            <w:proofErr w:type="gramStart"/>
            <w:r>
              <w:rPr>
                <w:color w:val="B02045"/>
                <w:sz w:val="21"/>
              </w:rPr>
              <w:t>b.servlet</w:t>
            </w:r>
            <w:proofErr w:type="gramEnd"/>
            <w:r>
              <w:rPr>
                <w:color w:val="B02045"/>
                <w:sz w:val="21"/>
              </w:rPr>
              <w:t>.MockMvcWebClientAutoConfiguration org.springframework.boot.test.autoconfigure.we b.servlet.MockMvcWebDriverAutoConfiguration</w:t>
            </w:r>
          </w:p>
        </w:tc>
      </w:tr>
      <w:tr w:rsidR="00A720EB" w14:paraId="1B962E47" w14:textId="77777777">
        <w:trPr>
          <w:trHeight w:val="75"/>
        </w:trPr>
        <w:tc>
          <w:tcPr>
            <w:tcW w:w="4988" w:type="dxa"/>
            <w:tcBorders>
              <w:top w:val="single" w:sz="2" w:space="0" w:color="DDDDDD"/>
            </w:tcBorders>
          </w:tcPr>
          <w:p w14:paraId="7F457BD4" w14:textId="77777777" w:rsidR="00A720EB" w:rsidRDefault="00A720EB">
            <w:pPr>
              <w:pStyle w:val="TableParagraph"/>
              <w:spacing w:before="0"/>
              <w:ind w:left="0"/>
              <w:rPr>
                <w:rFonts w:ascii="Times New Roman"/>
                <w:sz w:val="2"/>
              </w:rPr>
            </w:pPr>
          </w:p>
        </w:tc>
        <w:tc>
          <w:tcPr>
            <w:tcW w:w="4988" w:type="dxa"/>
            <w:tcBorders>
              <w:top w:val="single" w:sz="2" w:space="0" w:color="DDDDDD"/>
            </w:tcBorders>
          </w:tcPr>
          <w:p w14:paraId="27AC6472" w14:textId="77777777" w:rsidR="00A720EB" w:rsidRDefault="00A720EB">
            <w:pPr>
              <w:pStyle w:val="TableParagraph"/>
              <w:spacing w:before="0"/>
              <w:ind w:left="0"/>
              <w:rPr>
                <w:rFonts w:ascii="Times New Roman"/>
                <w:sz w:val="2"/>
              </w:rPr>
            </w:pPr>
          </w:p>
        </w:tc>
      </w:tr>
    </w:tbl>
    <w:p w14:paraId="6B7A0A7E" w14:textId="77777777" w:rsidR="00A720EB" w:rsidRDefault="00A720EB">
      <w:pPr>
        <w:rPr>
          <w:rFonts w:ascii="Times New Roman"/>
          <w:sz w:val="2"/>
        </w:rPr>
        <w:sectPr w:rsidR="00A720EB">
          <w:footerReference w:type="even" r:id="rId1127"/>
          <w:footerReference w:type="default" r:id="rId1128"/>
          <w:pgSz w:w="11910" w:h="16840"/>
          <w:pgMar w:top="700" w:right="840" w:bottom="380" w:left="840" w:header="0" w:footer="198" w:gutter="0"/>
          <w:pgNumType w:start="481"/>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7BC7AE50" w14:textId="77777777">
        <w:trPr>
          <w:trHeight w:val="415"/>
        </w:trPr>
        <w:tc>
          <w:tcPr>
            <w:tcW w:w="4988" w:type="dxa"/>
            <w:tcBorders>
              <w:bottom w:val="single" w:sz="12" w:space="0" w:color="DDDDDD"/>
            </w:tcBorders>
          </w:tcPr>
          <w:p w14:paraId="43F18686" w14:textId="77777777" w:rsidR="00A720EB" w:rsidRDefault="0030286B">
            <w:pPr>
              <w:pStyle w:val="TableParagraph"/>
              <w:spacing w:before="71"/>
              <w:rPr>
                <w:rFonts w:ascii="Palatino Linotype"/>
                <w:b/>
                <w:sz w:val="21"/>
              </w:rPr>
            </w:pPr>
            <w:r>
              <w:rPr>
                <w:rFonts w:ascii="Palatino Linotype"/>
                <w:b/>
                <w:color w:val="333333"/>
                <w:w w:val="110"/>
                <w:sz w:val="21"/>
              </w:rPr>
              <w:lastRenderedPageBreak/>
              <w:t>Test slice</w:t>
            </w:r>
          </w:p>
        </w:tc>
        <w:tc>
          <w:tcPr>
            <w:tcW w:w="4988" w:type="dxa"/>
            <w:tcBorders>
              <w:bottom w:val="single" w:sz="12" w:space="0" w:color="DDDDDD"/>
            </w:tcBorders>
          </w:tcPr>
          <w:p w14:paraId="23C29B2C" w14:textId="77777777" w:rsidR="00A720EB" w:rsidRDefault="0030286B">
            <w:pPr>
              <w:pStyle w:val="TableParagraph"/>
              <w:spacing w:before="71"/>
              <w:rPr>
                <w:rFonts w:ascii="Palatino Linotype"/>
                <w:b/>
                <w:sz w:val="21"/>
              </w:rPr>
            </w:pPr>
            <w:r>
              <w:rPr>
                <w:rFonts w:ascii="Palatino Linotype"/>
                <w:b/>
                <w:color w:val="333333"/>
                <w:w w:val="110"/>
                <w:sz w:val="21"/>
              </w:rPr>
              <w:t>Imported auto-configuration</w:t>
            </w:r>
          </w:p>
        </w:tc>
      </w:tr>
      <w:tr w:rsidR="00A720EB" w14:paraId="263D9DF1" w14:textId="77777777">
        <w:trPr>
          <w:trHeight w:val="3339"/>
        </w:trPr>
        <w:tc>
          <w:tcPr>
            <w:tcW w:w="4988" w:type="dxa"/>
            <w:tcBorders>
              <w:top w:val="single" w:sz="12" w:space="0" w:color="DDDDDD"/>
            </w:tcBorders>
          </w:tcPr>
          <w:p w14:paraId="36773045" w14:textId="77777777" w:rsidR="00A720EB" w:rsidRDefault="0030286B">
            <w:pPr>
              <w:pStyle w:val="TableParagraph"/>
              <w:spacing w:before="27"/>
              <w:rPr>
                <w:sz w:val="21"/>
              </w:rPr>
            </w:pPr>
            <w:r>
              <w:rPr>
                <w:color w:val="B02045"/>
                <w:sz w:val="21"/>
              </w:rPr>
              <w:t>@WebServiceClientTest</w:t>
            </w:r>
          </w:p>
        </w:tc>
        <w:tc>
          <w:tcPr>
            <w:tcW w:w="4988" w:type="dxa"/>
            <w:tcBorders>
              <w:top w:val="single" w:sz="12" w:space="0" w:color="DDDDDD"/>
            </w:tcBorders>
          </w:tcPr>
          <w:p w14:paraId="15838EA0"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.boot.autoconfigure.cache.C</w:t>
            </w:r>
          </w:p>
          <w:p w14:paraId="73035581" w14:textId="77777777" w:rsidR="00A720EB" w:rsidRDefault="0030286B">
            <w:pPr>
              <w:pStyle w:val="TableParagraph"/>
              <w:spacing w:before="55" w:line="230" w:lineRule="auto"/>
              <w:ind w:right="68"/>
              <w:rPr>
                <w:sz w:val="21"/>
              </w:rPr>
            </w:pPr>
            <w:r>
              <w:rPr>
                <w:color w:val="B02045"/>
                <w:sz w:val="21"/>
              </w:rPr>
              <w:t xml:space="preserve">acheAutoConfiguration </w:t>
            </w:r>
            <w:proofErr w:type="gramStart"/>
            <w:r>
              <w:rPr>
                <w:color w:val="B02045"/>
                <w:sz w:val="21"/>
              </w:rPr>
              <w:t>org.springframework</w:t>
            </w:r>
            <w:proofErr w:type="gramEnd"/>
            <w:r>
              <w:rPr>
                <w:color w:val="B02045"/>
                <w:sz w:val="21"/>
              </w:rPr>
              <w:t>.boot.autoconfigure.webserv ices.client.WebServiceTemplateAutoConfiguratio</w:t>
            </w:r>
          </w:p>
          <w:p w14:paraId="61F43DB5" w14:textId="77777777" w:rsidR="00A720EB" w:rsidRDefault="0030286B">
            <w:pPr>
              <w:pStyle w:val="TableParagraph"/>
              <w:spacing w:before="59" w:line="230" w:lineRule="auto"/>
              <w:ind w:right="68"/>
              <w:rPr>
                <w:sz w:val="21"/>
              </w:rPr>
            </w:pPr>
            <w:r>
              <w:rPr>
                <w:color w:val="B02045"/>
                <w:sz w:val="21"/>
              </w:rPr>
              <w:t xml:space="preserve">n </w:t>
            </w:r>
            <w:proofErr w:type="gramStart"/>
            <w:r>
              <w:rPr>
                <w:color w:val="B02045"/>
                <w:sz w:val="21"/>
              </w:rPr>
              <w:t>org.springframework</w:t>
            </w:r>
            <w:proofErr w:type="gramEnd"/>
            <w:r>
              <w:rPr>
                <w:color w:val="B02045"/>
                <w:sz w:val="21"/>
              </w:rPr>
              <w:t>.boot.test.autoconfigure.we bservices.client.MockWebServiceServerAutoConfi</w:t>
            </w:r>
          </w:p>
          <w:p w14:paraId="71F02EBB" w14:textId="77777777" w:rsidR="00A720EB" w:rsidRDefault="0030286B">
            <w:pPr>
              <w:pStyle w:val="TableParagraph"/>
              <w:spacing w:before="58" w:line="230" w:lineRule="auto"/>
              <w:ind w:right="68"/>
              <w:rPr>
                <w:sz w:val="21"/>
              </w:rPr>
            </w:pPr>
            <w:r>
              <w:rPr>
                <w:color w:val="B02045"/>
                <w:sz w:val="21"/>
              </w:rPr>
              <w:t xml:space="preserve">guration </w:t>
            </w:r>
            <w:proofErr w:type="gramStart"/>
            <w:r>
              <w:rPr>
                <w:color w:val="B02045"/>
                <w:sz w:val="21"/>
              </w:rPr>
              <w:t>org.springframework</w:t>
            </w:r>
            <w:proofErr w:type="gramEnd"/>
            <w:r>
              <w:rPr>
                <w:color w:val="B02045"/>
                <w:sz w:val="21"/>
              </w:rPr>
              <w:t>.boot.test.autoconfigure.we bservices.client.WebServiceClientTemplateAutoC onfiguration</w:t>
            </w:r>
          </w:p>
        </w:tc>
      </w:tr>
    </w:tbl>
    <w:p w14:paraId="24E0F082" w14:textId="77777777" w:rsidR="00A720EB" w:rsidRDefault="00A720EB">
      <w:pPr>
        <w:pStyle w:val="a3"/>
        <w:spacing w:before="5"/>
        <w:rPr>
          <w:sz w:val="19"/>
        </w:rPr>
      </w:pPr>
    </w:p>
    <w:p w14:paraId="6477696A" w14:textId="77777777" w:rsidR="00A720EB" w:rsidRDefault="0030286B">
      <w:pPr>
        <w:pStyle w:val="2"/>
        <w:spacing w:before="107"/>
        <w:ind w:left="124" w:firstLine="0"/>
        <w:jc w:val="both"/>
      </w:pPr>
      <w:bookmarkStart w:id="1082" w:name="Appendix_E:_The_Executable_Jar_Format"/>
      <w:bookmarkStart w:id="1083" w:name="_Toc54424054"/>
      <w:bookmarkEnd w:id="1082"/>
      <w:r>
        <w:rPr>
          <w:color w:val="333333"/>
          <w:w w:val="115"/>
        </w:rPr>
        <w:t>Appendix E: The Executable Jar Format</w:t>
      </w:r>
      <w:bookmarkEnd w:id="1083"/>
    </w:p>
    <w:p w14:paraId="5413FE91" w14:textId="77777777" w:rsidR="00A720EB" w:rsidRDefault="0030286B">
      <w:pPr>
        <w:pStyle w:val="a3"/>
        <w:spacing w:before="242" w:line="300" w:lineRule="auto"/>
        <w:ind w:left="124" w:right="130"/>
        <w:jc w:val="both"/>
      </w:pPr>
      <w:r>
        <w:rPr>
          <w:color w:val="333333"/>
          <w:w w:val="110"/>
        </w:rPr>
        <w:t>The</w:t>
      </w:r>
      <w:r>
        <w:rPr>
          <w:color w:val="333333"/>
          <w:spacing w:val="-6"/>
          <w:w w:val="110"/>
        </w:rPr>
        <w:t xml:space="preserve"> </w:t>
      </w:r>
      <w:r>
        <w:rPr>
          <w:rFonts w:ascii="MS Gothic"/>
          <w:color w:val="B02045"/>
          <w:w w:val="110"/>
        </w:rPr>
        <w:t>spring-boot-loader</w:t>
      </w:r>
      <w:r>
        <w:rPr>
          <w:rFonts w:ascii="MS Gothic"/>
          <w:color w:val="B02045"/>
          <w:spacing w:val="-70"/>
          <w:w w:val="110"/>
        </w:rPr>
        <w:t xml:space="preserve"> </w:t>
      </w:r>
      <w:r>
        <w:rPr>
          <w:color w:val="333333"/>
          <w:w w:val="110"/>
        </w:rPr>
        <w:t>modules</w:t>
      </w:r>
      <w:r>
        <w:rPr>
          <w:color w:val="333333"/>
          <w:spacing w:val="-6"/>
          <w:w w:val="110"/>
        </w:rPr>
        <w:t xml:space="preserve"> </w:t>
      </w:r>
      <w:r>
        <w:rPr>
          <w:color w:val="333333"/>
          <w:w w:val="110"/>
        </w:rPr>
        <w:t>lets</w:t>
      </w:r>
      <w:r>
        <w:rPr>
          <w:color w:val="333333"/>
          <w:spacing w:val="-6"/>
          <w:w w:val="110"/>
        </w:rPr>
        <w:t xml:space="preserve"> </w:t>
      </w:r>
      <w:r>
        <w:rPr>
          <w:color w:val="333333"/>
          <w:w w:val="110"/>
        </w:rPr>
        <w:t>Spring</w:t>
      </w:r>
      <w:r>
        <w:rPr>
          <w:color w:val="333333"/>
          <w:spacing w:val="-7"/>
          <w:w w:val="110"/>
        </w:rPr>
        <w:t xml:space="preserve"> </w:t>
      </w:r>
      <w:r>
        <w:rPr>
          <w:color w:val="333333"/>
          <w:w w:val="110"/>
        </w:rPr>
        <w:t>Boot</w:t>
      </w:r>
      <w:r>
        <w:rPr>
          <w:color w:val="333333"/>
          <w:spacing w:val="-6"/>
          <w:w w:val="110"/>
        </w:rPr>
        <w:t xml:space="preserve"> </w:t>
      </w:r>
      <w:r>
        <w:rPr>
          <w:color w:val="333333"/>
          <w:w w:val="110"/>
        </w:rPr>
        <w:t>support</w:t>
      </w:r>
      <w:r>
        <w:rPr>
          <w:color w:val="333333"/>
          <w:spacing w:val="-6"/>
          <w:w w:val="110"/>
        </w:rPr>
        <w:t xml:space="preserve"> </w:t>
      </w:r>
      <w:r>
        <w:rPr>
          <w:color w:val="333333"/>
          <w:w w:val="110"/>
        </w:rPr>
        <w:t>executable</w:t>
      </w:r>
      <w:r>
        <w:rPr>
          <w:color w:val="333333"/>
          <w:spacing w:val="-6"/>
          <w:w w:val="110"/>
        </w:rPr>
        <w:t xml:space="preserve"> </w:t>
      </w:r>
      <w:r>
        <w:rPr>
          <w:color w:val="333333"/>
          <w:w w:val="110"/>
        </w:rPr>
        <w:t>jar</w:t>
      </w:r>
      <w:r>
        <w:rPr>
          <w:color w:val="333333"/>
          <w:spacing w:val="-6"/>
          <w:w w:val="110"/>
        </w:rPr>
        <w:t xml:space="preserve"> </w:t>
      </w:r>
      <w:r>
        <w:rPr>
          <w:color w:val="333333"/>
          <w:w w:val="110"/>
        </w:rPr>
        <w:t>and</w:t>
      </w:r>
      <w:r>
        <w:rPr>
          <w:color w:val="333333"/>
          <w:spacing w:val="-6"/>
          <w:w w:val="110"/>
        </w:rPr>
        <w:t xml:space="preserve"> </w:t>
      </w:r>
      <w:r>
        <w:rPr>
          <w:color w:val="333333"/>
          <w:w w:val="110"/>
        </w:rPr>
        <w:t>war</w:t>
      </w:r>
      <w:r>
        <w:rPr>
          <w:color w:val="333333"/>
          <w:spacing w:val="-7"/>
          <w:w w:val="110"/>
        </w:rPr>
        <w:t xml:space="preserve"> </w:t>
      </w:r>
      <w:r>
        <w:rPr>
          <w:color w:val="333333"/>
          <w:w w:val="110"/>
        </w:rPr>
        <w:t>files.</w:t>
      </w:r>
      <w:r>
        <w:rPr>
          <w:color w:val="333333"/>
          <w:spacing w:val="-6"/>
          <w:w w:val="110"/>
        </w:rPr>
        <w:t xml:space="preserve"> </w:t>
      </w:r>
      <w:r>
        <w:rPr>
          <w:color w:val="333333"/>
          <w:w w:val="110"/>
        </w:rPr>
        <w:t>If</w:t>
      </w:r>
      <w:r>
        <w:rPr>
          <w:color w:val="333333"/>
          <w:spacing w:val="-6"/>
          <w:w w:val="110"/>
        </w:rPr>
        <w:t xml:space="preserve"> </w:t>
      </w:r>
      <w:r>
        <w:rPr>
          <w:color w:val="333333"/>
          <w:w w:val="110"/>
        </w:rPr>
        <w:t>you</w:t>
      </w:r>
      <w:r>
        <w:rPr>
          <w:color w:val="333333"/>
          <w:spacing w:val="-6"/>
          <w:w w:val="110"/>
        </w:rPr>
        <w:t xml:space="preserve"> </w:t>
      </w:r>
      <w:r>
        <w:rPr>
          <w:color w:val="333333"/>
          <w:w w:val="110"/>
        </w:rPr>
        <w:t>use</w:t>
      </w:r>
      <w:r>
        <w:rPr>
          <w:color w:val="333333"/>
          <w:spacing w:val="-6"/>
          <w:w w:val="110"/>
        </w:rPr>
        <w:t xml:space="preserve"> </w:t>
      </w:r>
      <w:r>
        <w:rPr>
          <w:color w:val="333333"/>
          <w:w w:val="110"/>
        </w:rPr>
        <w:t>the Maven plugin or the Gradle plugin, executable jars are automatically generated, and you generally   do not need to know the details of how they</w:t>
      </w:r>
      <w:r>
        <w:rPr>
          <w:color w:val="333333"/>
          <w:spacing w:val="31"/>
          <w:w w:val="110"/>
        </w:rPr>
        <w:t xml:space="preserve"> </w:t>
      </w:r>
      <w:r>
        <w:rPr>
          <w:color w:val="333333"/>
          <w:w w:val="110"/>
        </w:rPr>
        <w:t>work.</w:t>
      </w:r>
    </w:p>
    <w:p w14:paraId="1E19F292" w14:textId="77777777" w:rsidR="00A720EB" w:rsidRDefault="0030286B">
      <w:pPr>
        <w:pStyle w:val="a3"/>
        <w:spacing w:before="246" w:line="307" w:lineRule="auto"/>
        <w:ind w:left="124" w:right="131"/>
        <w:jc w:val="both"/>
      </w:pPr>
      <w:r>
        <w:rPr>
          <w:color w:val="333333"/>
          <w:w w:val="110"/>
        </w:rPr>
        <w:t xml:space="preserve">If you need to create executable jars from a different build system or if you are just curious about   the underlying </w:t>
      </w:r>
      <w:r>
        <w:rPr>
          <w:color w:val="333333"/>
          <w:spacing w:val="-3"/>
          <w:w w:val="110"/>
        </w:rPr>
        <w:t xml:space="preserve">technology, </w:t>
      </w:r>
      <w:r>
        <w:rPr>
          <w:color w:val="333333"/>
          <w:w w:val="110"/>
        </w:rPr>
        <w:t>this appendix provides some</w:t>
      </w:r>
      <w:r>
        <w:rPr>
          <w:color w:val="333333"/>
          <w:spacing w:val="30"/>
          <w:w w:val="110"/>
        </w:rPr>
        <w:t xml:space="preserve"> </w:t>
      </w:r>
      <w:r>
        <w:rPr>
          <w:color w:val="333333"/>
          <w:w w:val="110"/>
        </w:rPr>
        <w:t>background.</w:t>
      </w:r>
    </w:p>
    <w:p w14:paraId="647B821C" w14:textId="77777777" w:rsidR="00A720EB" w:rsidRDefault="00A720EB">
      <w:pPr>
        <w:pStyle w:val="a3"/>
        <w:spacing w:before="8"/>
        <w:rPr>
          <w:sz w:val="25"/>
        </w:rPr>
      </w:pPr>
    </w:p>
    <w:p w14:paraId="713B596A" w14:textId="77777777" w:rsidR="00A720EB" w:rsidRDefault="0030286B">
      <w:pPr>
        <w:pStyle w:val="3"/>
        <w:numPr>
          <w:ilvl w:val="2"/>
          <w:numId w:val="5"/>
        </w:numPr>
        <w:tabs>
          <w:tab w:val="left" w:pos="1027"/>
        </w:tabs>
        <w:spacing w:before="1"/>
      </w:pPr>
      <w:bookmarkStart w:id="1084" w:name="10.E.1._Nested_JARs"/>
      <w:bookmarkStart w:id="1085" w:name="_Toc54424055"/>
      <w:bookmarkEnd w:id="1084"/>
      <w:r>
        <w:rPr>
          <w:color w:val="333333"/>
          <w:w w:val="105"/>
        </w:rPr>
        <w:t>Nested</w:t>
      </w:r>
      <w:r>
        <w:rPr>
          <w:color w:val="333333"/>
          <w:spacing w:val="-2"/>
          <w:w w:val="105"/>
        </w:rPr>
        <w:t xml:space="preserve"> </w:t>
      </w:r>
      <w:r>
        <w:rPr>
          <w:color w:val="333333"/>
          <w:w w:val="105"/>
        </w:rPr>
        <w:t>JARs</w:t>
      </w:r>
      <w:bookmarkEnd w:id="1085"/>
    </w:p>
    <w:p w14:paraId="0CE23145" w14:textId="77777777" w:rsidR="00A720EB" w:rsidRDefault="0030286B">
      <w:pPr>
        <w:pStyle w:val="a3"/>
        <w:spacing w:before="253" w:line="307" w:lineRule="auto"/>
        <w:ind w:left="124" w:right="128"/>
        <w:jc w:val="both"/>
      </w:pPr>
      <w:r>
        <w:rPr>
          <w:color w:val="333333"/>
          <w:w w:val="110"/>
        </w:rPr>
        <w:t xml:space="preserve">Java does not provide any standard way to load nested jar files (that is, jar files that are themselves contained within a jar). This can be problematic if you need to distribute </w:t>
      </w:r>
      <w:proofErr w:type="gramStart"/>
      <w:r>
        <w:rPr>
          <w:color w:val="333333"/>
          <w:w w:val="110"/>
        </w:rPr>
        <w:t>a  self</w:t>
      </w:r>
      <w:proofErr w:type="gramEnd"/>
      <w:r>
        <w:rPr>
          <w:color w:val="333333"/>
          <w:w w:val="110"/>
        </w:rPr>
        <w:t>-contained</w:t>
      </w:r>
      <w:r>
        <w:rPr>
          <w:color w:val="333333"/>
          <w:spacing w:val="50"/>
          <w:w w:val="110"/>
        </w:rPr>
        <w:t xml:space="preserve"> </w:t>
      </w:r>
      <w:r>
        <w:rPr>
          <w:color w:val="333333"/>
          <w:w w:val="110"/>
        </w:rPr>
        <w:t>application that can be run from the command line without</w:t>
      </w:r>
      <w:r>
        <w:rPr>
          <w:color w:val="333333"/>
          <w:spacing w:val="47"/>
          <w:w w:val="110"/>
        </w:rPr>
        <w:t xml:space="preserve"> </w:t>
      </w:r>
      <w:r>
        <w:rPr>
          <w:color w:val="333333"/>
          <w:w w:val="110"/>
        </w:rPr>
        <w:t>unpacking.</w:t>
      </w:r>
    </w:p>
    <w:p w14:paraId="5C88DDFC" w14:textId="77777777" w:rsidR="00A720EB" w:rsidRDefault="0030286B">
      <w:pPr>
        <w:pStyle w:val="a3"/>
        <w:spacing w:before="242" w:line="307" w:lineRule="auto"/>
        <w:ind w:left="124" w:right="132"/>
        <w:jc w:val="both"/>
      </w:pPr>
      <w:proofErr w:type="gramStart"/>
      <w:r>
        <w:rPr>
          <w:color w:val="333333"/>
          <w:spacing w:val="-4"/>
          <w:w w:val="110"/>
        </w:rPr>
        <w:t xml:space="preserve">To  </w:t>
      </w:r>
      <w:r>
        <w:rPr>
          <w:color w:val="333333"/>
          <w:w w:val="110"/>
        </w:rPr>
        <w:t>solve</w:t>
      </w:r>
      <w:proofErr w:type="gramEnd"/>
      <w:r>
        <w:rPr>
          <w:color w:val="333333"/>
          <w:w w:val="110"/>
        </w:rPr>
        <w:t xml:space="preserve"> this problem, many developers use “shaded” jars. A shaded jar packages all classes, from   all jars, into a single “uber jar”. The problem with shaded jars is that it becomes hard to see which libraries are actually in your application. It can also be problematic if the same filename is used </w:t>
      </w:r>
      <w:proofErr w:type="gramStart"/>
      <w:r>
        <w:rPr>
          <w:color w:val="333333"/>
          <w:w w:val="110"/>
        </w:rPr>
        <w:t xml:space="preserve">  </w:t>
      </w:r>
      <w:r>
        <w:rPr>
          <w:color w:val="333333"/>
          <w:spacing w:val="50"/>
          <w:w w:val="110"/>
        </w:rPr>
        <w:t xml:space="preserve"> </w:t>
      </w:r>
      <w:r>
        <w:rPr>
          <w:color w:val="333333"/>
          <w:w w:val="110"/>
        </w:rPr>
        <w:t>(</w:t>
      </w:r>
      <w:proofErr w:type="gramEnd"/>
      <w:r>
        <w:rPr>
          <w:color w:val="333333"/>
          <w:w w:val="110"/>
        </w:rPr>
        <w:t>but with different content) in multiple jars. Spring Boot takes a different approach and lets you actually nest jars</w:t>
      </w:r>
      <w:r>
        <w:rPr>
          <w:color w:val="333333"/>
          <w:spacing w:val="8"/>
          <w:w w:val="110"/>
        </w:rPr>
        <w:t xml:space="preserve"> </w:t>
      </w:r>
      <w:r>
        <w:rPr>
          <w:color w:val="333333"/>
          <w:spacing w:val="-3"/>
          <w:w w:val="110"/>
        </w:rPr>
        <w:t>directly.</w:t>
      </w:r>
    </w:p>
    <w:p w14:paraId="09B8F60D" w14:textId="77777777" w:rsidR="00A720EB" w:rsidRDefault="00A720EB">
      <w:pPr>
        <w:pStyle w:val="a3"/>
        <w:spacing w:before="9"/>
        <w:rPr>
          <w:sz w:val="25"/>
        </w:rPr>
      </w:pPr>
    </w:p>
    <w:p w14:paraId="17C3FA9C" w14:textId="77777777" w:rsidR="00A720EB" w:rsidRDefault="0030286B">
      <w:pPr>
        <w:pStyle w:val="4"/>
      </w:pPr>
      <w:bookmarkStart w:id="1086" w:name="The_Executable_Jar_File_Structure"/>
      <w:bookmarkEnd w:id="1086"/>
      <w:r>
        <w:rPr>
          <w:color w:val="333333"/>
          <w:w w:val="115"/>
        </w:rPr>
        <w:t>The Executable Jar File Structure</w:t>
      </w:r>
    </w:p>
    <w:p w14:paraId="5471FAC1" w14:textId="77777777" w:rsidR="00A720EB" w:rsidRDefault="00A720EB">
      <w:pPr>
        <w:pStyle w:val="a3"/>
        <w:spacing w:before="11"/>
        <w:rPr>
          <w:rFonts w:ascii="Palatino Linotype"/>
          <w:b/>
          <w:sz w:val="18"/>
        </w:rPr>
      </w:pPr>
    </w:p>
    <w:p w14:paraId="33AD8DEA" w14:textId="77777777" w:rsidR="00A720EB" w:rsidRDefault="0030286B">
      <w:pPr>
        <w:pStyle w:val="a3"/>
        <w:spacing w:before="1"/>
        <w:ind w:left="124"/>
        <w:jc w:val="both"/>
      </w:pPr>
      <w:r>
        <w:rPr>
          <w:color w:val="333333"/>
          <w:w w:val="110"/>
        </w:rPr>
        <w:t>Spring Boot Loader-compatible jar files should be structured in the following way:</w:t>
      </w:r>
    </w:p>
    <w:p w14:paraId="242A0EA5" w14:textId="77777777" w:rsidR="00A720EB" w:rsidRDefault="00A720EB">
      <w:pPr>
        <w:jc w:val="both"/>
        <w:sectPr w:rsidR="00A720EB">
          <w:pgSz w:w="11910" w:h="16840"/>
          <w:pgMar w:top="700" w:right="840" w:bottom="380" w:left="840" w:header="0" w:footer="198" w:gutter="0"/>
          <w:cols w:space="720"/>
        </w:sectPr>
      </w:pPr>
    </w:p>
    <w:p w14:paraId="7C80921A" w14:textId="77777777" w:rsidR="00A720EB" w:rsidRDefault="00E10349">
      <w:pPr>
        <w:pStyle w:val="a3"/>
        <w:ind w:left="116"/>
        <w:rPr>
          <w:sz w:val="20"/>
        </w:rPr>
      </w:pPr>
      <w:r>
        <w:rPr>
          <w:sz w:val="20"/>
        </w:rPr>
      </w:r>
      <w:r>
        <w:rPr>
          <w:sz w:val="20"/>
        </w:rPr>
        <w:pict w14:anchorId="7A476E05">
          <v:group id="_x0000_s1062" style="width:499.55pt;height:273.35pt;mso-position-horizontal-relative:char;mso-position-vertical-relative:line" coordsize="9991,5467">
            <v:shape id="_x0000_s1068" style="position:absolute;left:7;top:7;width:9976;height:5452" coordorigin="8,8" coordsize="9976,5452" path="m9904,8l88,8,56,14,31,31,14,56,8,88r,5291l14,5410r17,26l56,5453r32,6l9904,5459r31,-6l9960,5436r17,-26l9984,5379r,-5291l9977,56,9960,31,9935,14,9904,8xe" fillcolor="#f5f5f5" stroked="f">
              <v:path arrowok="t"/>
            </v:shape>
            <v:shape id="_x0000_s1067" style="position:absolute;left:7;top:7;width:9976;height:5452" coordorigin="8,8" coordsize="9976,5452" path="m88,8r9816,l9935,14r25,17l9977,56r7,32l9984,5379r-7,31l9960,5436r-25,17l9904,5459r-9816,l56,5453,31,5436,14,5410,8,5379,8,88,14,56,31,31,56,14,88,8xe" filled="f" strokecolor="#ccc">
              <v:path arrowok="t"/>
            </v:shape>
            <v:shape id="_x0000_s1066" type="#_x0000_t202" style="position:absolute;left:227;top:227;width:2330;height:2371" filled="f" stroked="f">
              <v:textbox inset="0,0,0,0">
                <w:txbxContent>
                  <w:p w14:paraId="58A3B9CB" w14:textId="77777777" w:rsidR="00711A16" w:rsidRDefault="00711A16">
                    <w:pPr>
                      <w:spacing w:before="16"/>
                      <w:rPr>
                        <w:rFonts w:ascii="MS Gothic"/>
                      </w:rPr>
                    </w:pPr>
                    <w:r>
                      <w:rPr>
                        <w:rFonts w:ascii="MS Gothic"/>
                        <w:color w:val="333333"/>
                      </w:rPr>
                      <w:t>example.jar</w:t>
                    </w:r>
                  </w:p>
                  <w:p w14:paraId="1C1B817B" w14:textId="77777777" w:rsidR="00711A16" w:rsidRDefault="00711A16">
                    <w:pPr>
                      <w:spacing w:before="13"/>
                      <w:ind w:left="110"/>
                      <w:rPr>
                        <w:rFonts w:ascii="MS Gothic"/>
                      </w:rPr>
                    </w:pPr>
                    <w:r>
                      <w:rPr>
                        <w:rFonts w:ascii="MS Gothic"/>
                        <w:color w:val="333333"/>
                      </w:rPr>
                      <w:t>|</w:t>
                    </w:r>
                  </w:p>
                  <w:p w14:paraId="66431244" w14:textId="77777777" w:rsidR="00711A16" w:rsidRDefault="00711A16">
                    <w:pPr>
                      <w:spacing w:before="13"/>
                      <w:ind w:left="110"/>
                      <w:rPr>
                        <w:rFonts w:ascii="MS Gothic"/>
                      </w:rPr>
                    </w:pPr>
                    <w:r>
                      <w:rPr>
                        <w:rFonts w:ascii="MS Gothic"/>
                        <w:color w:val="333333"/>
                      </w:rPr>
                      <w:t>+-META-INF</w:t>
                    </w:r>
                  </w:p>
                  <w:p w14:paraId="36209897" w14:textId="77777777" w:rsidR="00711A16" w:rsidRDefault="00711A16">
                    <w:pPr>
                      <w:tabs>
                        <w:tab w:val="left" w:pos="439"/>
                      </w:tabs>
                      <w:spacing w:before="13"/>
                      <w:ind w:left="110"/>
                      <w:rPr>
                        <w:rFonts w:ascii="MS Gothic"/>
                      </w:rPr>
                    </w:pPr>
                    <w:r>
                      <w:rPr>
                        <w:rFonts w:ascii="MS Gothic"/>
                        <w:color w:val="333333"/>
                      </w:rPr>
                      <w:t>|</w:t>
                    </w:r>
                    <w:r>
                      <w:rPr>
                        <w:rFonts w:ascii="MS Gothic"/>
                        <w:color w:val="333333"/>
                      </w:rPr>
                      <w:tab/>
                      <w:t>+-MANIFEST.MF</w:t>
                    </w:r>
                  </w:p>
                  <w:p w14:paraId="1B8AA330" w14:textId="77777777" w:rsidR="00711A16" w:rsidRDefault="00711A16">
                    <w:pPr>
                      <w:spacing w:before="13"/>
                      <w:ind w:left="110"/>
                      <w:rPr>
                        <w:rFonts w:ascii="MS Gothic"/>
                      </w:rPr>
                    </w:pPr>
                    <w:r>
                      <w:rPr>
                        <w:rFonts w:ascii="MS Gothic"/>
                        <w:color w:val="333333"/>
                      </w:rPr>
                      <w:t>+-org</w:t>
                    </w:r>
                  </w:p>
                  <w:p w14:paraId="30A3231C" w14:textId="77777777" w:rsidR="00711A16" w:rsidRDefault="00711A16">
                    <w:pPr>
                      <w:tabs>
                        <w:tab w:val="left" w:pos="439"/>
                      </w:tabs>
                      <w:spacing w:before="13"/>
                      <w:ind w:left="110"/>
                      <w:rPr>
                        <w:rFonts w:ascii="MS Gothic"/>
                      </w:rPr>
                    </w:pPr>
                    <w:r>
                      <w:rPr>
                        <w:rFonts w:ascii="MS Gothic"/>
                        <w:color w:val="333333"/>
                      </w:rPr>
                      <w:t>|</w:t>
                    </w:r>
                    <w:r>
                      <w:rPr>
                        <w:rFonts w:ascii="MS Gothic"/>
                        <w:color w:val="333333"/>
                      </w:rPr>
                      <w:tab/>
                      <w:t>+-springframework</w:t>
                    </w:r>
                  </w:p>
                  <w:p w14:paraId="7D86A543" w14:textId="77777777" w:rsidR="00711A16" w:rsidRDefault="00711A16">
                    <w:pPr>
                      <w:tabs>
                        <w:tab w:val="left" w:pos="769"/>
                      </w:tabs>
                      <w:spacing w:before="13"/>
                      <w:ind w:left="110"/>
                      <w:rPr>
                        <w:rFonts w:ascii="MS Gothic"/>
                      </w:rPr>
                    </w:pPr>
                    <w:r>
                      <w:rPr>
                        <w:rFonts w:ascii="MS Gothic"/>
                        <w:color w:val="333333"/>
                      </w:rPr>
                      <w:t>|</w:t>
                    </w:r>
                    <w:r>
                      <w:rPr>
                        <w:rFonts w:ascii="MS Gothic"/>
                        <w:color w:val="333333"/>
                      </w:rPr>
                      <w:tab/>
                      <w:t>+-boot</w:t>
                    </w:r>
                  </w:p>
                  <w:p w14:paraId="317EEF1B" w14:textId="77777777" w:rsidR="00711A16" w:rsidRDefault="00711A16">
                    <w:pPr>
                      <w:tabs>
                        <w:tab w:val="left" w:pos="1099"/>
                      </w:tabs>
                      <w:spacing w:before="13"/>
                      <w:ind w:left="110"/>
                      <w:rPr>
                        <w:rFonts w:ascii="MS Gothic"/>
                      </w:rPr>
                    </w:pPr>
                    <w:r>
                      <w:rPr>
                        <w:rFonts w:ascii="MS Gothic"/>
                        <w:color w:val="333333"/>
                      </w:rPr>
                      <w:t>|</w:t>
                    </w:r>
                    <w:r>
                      <w:rPr>
                        <w:rFonts w:ascii="MS Gothic"/>
                        <w:color w:val="333333"/>
                      </w:rPr>
                      <w:tab/>
                      <w:t>+-loader</w:t>
                    </w:r>
                  </w:p>
                </w:txbxContent>
              </v:textbox>
            </v:shape>
            <v:shape id="_x0000_s1065" type="#_x0000_t202" style="position:absolute;left:337;top:2585;width:130;height:307" filled="f" stroked="f">
              <v:textbox inset="0,0,0,0">
                <w:txbxContent>
                  <w:p w14:paraId="544CE208" w14:textId="77777777" w:rsidR="00711A16" w:rsidRDefault="00711A16">
                    <w:pPr>
                      <w:spacing w:before="16"/>
                      <w:rPr>
                        <w:rFonts w:ascii="MS Gothic"/>
                      </w:rPr>
                    </w:pPr>
                    <w:r>
                      <w:rPr>
                        <w:rFonts w:ascii="MS Gothic"/>
                        <w:color w:val="333333"/>
                      </w:rPr>
                      <w:t>|</w:t>
                    </w:r>
                  </w:p>
                </w:txbxContent>
              </v:textbox>
            </v:shape>
            <v:shape id="_x0000_s1064" type="#_x0000_t202" style="position:absolute;left:1657;top:2585;width:3320;height:307" filled="f" stroked="f">
              <v:textbox inset="0,0,0,0">
                <w:txbxContent>
                  <w:p w14:paraId="16154121" w14:textId="77777777" w:rsidR="00711A16" w:rsidRDefault="00711A16">
                    <w:pPr>
                      <w:spacing w:before="16"/>
                      <w:rPr>
                        <w:rFonts w:ascii="MS Gothic"/>
                      </w:rPr>
                    </w:pPr>
                    <w:r>
                      <w:rPr>
                        <w:rFonts w:ascii="MS Gothic"/>
                        <w:color w:val="333333"/>
                      </w:rPr>
                      <w:t>+-&lt;spring boot loader classes&gt;</w:t>
                    </w:r>
                  </w:p>
                </w:txbxContent>
              </v:textbox>
            </v:shape>
            <v:shape id="_x0000_s1063" type="#_x0000_t202" style="position:absolute;left:337;top:2880;width:3430;height:2371" filled="f" stroked="f">
              <v:textbox inset="0,0,0,0">
                <w:txbxContent>
                  <w:p w14:paraId="19C33217" w14:textId="77777777" w:rsidR="00711A16" w:rsidRDefault="00711A16">
                    <w:pPr>
                      <w:spacing w:before="16"/>
                      <w:rPr>
                        <w:rFonts w:ascii="MS Gothic"/>
                      </w:rPr>
                    </w:pPr>
                    <w:r>
                      <w:rPr>
                        <w:rFonts w:ascii="MS Gothic"/>
                        <w:color w:val="333333"/>
                      </w:rPr>
                      <w:t>+-BOOT-INF</w:t>
                    </w:r>
                  </w:p>
                  <w:p w14:paraId="706553BA" w14:textId="77777777" w:rsidR="00711A16" w:rsidRDefault="00711A16">
                    <w:pPr>
                      <w:spacing w:before="13"/>
                      <w:ind w:left="330"/>
                      <w:rPr>
                        <w:rFonts w:ascii="MS Gothic"/>
                      </w:rPr>
                    </w:pPr>
                    <w:r>
                      <w:rPr>
                        <w:rFonts w:ascii="MS Gothic"/>
                        <w:color w:val="333333"/>
                      </w:rPr>
                      <w:t>+-classes</w:t>
                    </w:r>
                  </w:p>
                  <w:p w14:paraId="7A49E953" w14:textId="77777777" w:rsidR="00711A16" w:rsidRDefault="00711A16">
                    <w:pPr>
                      <w:tabs>
                        <w:tab w:val="left" w:pos="659"/>
                      </w:tabs>
                      <w:spacing w:before="13"/>
                      <w:ind w:left="330"/>
                      <w:rPr>
                        <w:rFonts w:ascii="MS Gothic"/>
                      </w:rPr>
                    </w:pPr>
                    <w:r>
                      <w:rPr>
                        <w:rFonts w:ascii="MS Gothic"/>
                        <w:color w:val="333333"/>
                      </w:rPr>
                      <w:t>|</w:t>
                    </w:r>
                    <w:r>
                      <w:rPr>
                        <w:rFonts w:ascii="MS Gothic"/>
                        <w:color w:val="333333"/>
                      </w:rPr>
                      <w:tab/>
                      <w:t>+-mycompany</w:t>
                    </w:r>
                  </w:p>
                  <w:p w14:paraId="0088FE95" w14:textId="77777777" w:rsidR="00711A16" w:rsidRDefault="00711A16">
                    <w:pPr>
                      <w:tabs>
                        <w:tab w:val="left" w:pos="989"/>
                      </w:tabs>
                      <w:spacing w:before="13"/>
                      <w:ind w:left="330"/>
                      <w:rPr>
                        <w:rFonts w:ascii="MS Gothic"/>
                      </w:rPr>
                    </w:pPr>
                    <w:r>
                      <w:rPr>
                        <w:rFonts w:ascii="MS Gothic"/>
                        <w:color w:val="333333"/>
                      </w:rPr>
                      <w:t>|</w:t>
                    </w:r>
                    <w:r>
                      <w:rPr>
                        <w:rFonts w:ascii="MS Gothic"/>
                        <w:color w:val="333333"/>
                      </w:rPr>
                      <w:tab/>
                      <w:t>+-project</w:t>
                    </w:r>
                  </w:p>
                  <w:p w14:paraId="229B3D1F" w14:textId="77777777" w:rsidR="00711A16" w:rsidRDefault="00711A16">
                    <w:pPr>
                      <w:tabs>
                        <w:tab w:val="left" w:pos="1319"/>
                      </w:tabs>
                      <w:spacing w:before="13"/>
                      <w:ind w:left="330"/>
                      <w:rPr>
                        <w:rFonts w:ascii="MS Gothic"/>
                      </w:rPr>
                    </w:pPr>
                    <w:r>
                      <w:rPr>
                        <w:rFonts w:ascii="MS Gothic"/>
                        <w:color w:val="333333"/>
                      </w:rPr>
                      <w:t>|</w:t>
                    </w:r>
                    <w:r>
                      <w:rPr>
                        <w:rFonts w:ascii="MS Gothic"/>
                        <w:color w:val="333333"/>
                      </w:rPr>
                      <w:tab/>
                      <w:t>+-YourClasses.class</w:t>
                    </w:r>
                  </w:p>
                  <w:p w14:paraId="3884A16F" w14:textId="77777777" w:rsidR="00711A16" w:rsidRDefault="00711A16">
                    <w:pPr>
                      <w:spacing w:before="13"/>
                      <w:ind w:left="330"/>
                      <w:rPr>
                        <w:rFonts w:ascii="MS Gothic"/>
                      </w:rPr>
                    </w:pPr>
                    <w:r>
                      <w:rPr>
                        <w:rFonts w:ascii="MS Gothic"/>
                        <w:color w:val="333333"/>
                      </w:rPr>
                      <w:t>+-lib</w:t>
                    </w:r>
                  </w:p>
                  <w:p w14:paraId="5331F621" w14:textId="77777777" w:rsidR="00711A16" w:rsidRDefault="00711A16">
                    <w:pPr>
                      <w:spacing w:before="13"/>
                      <w:ind w:left="660"/>
                      <w:rPr>
                        <w:rFonts w:ascii="MS Gothic"/>
                      </w:rPr>
                    </w:pPr>
                    <w:r>
                      <w:rPr>
                        <w:rFonts w:ascii="MS Gothic"/>
                        <w:color w:val="333333"/>
                      </w:rPr>
                      <w:t>+-dependency1.jar</w:t>
                    </w:r>
                  </w:p>
                  <w:p w14:paraId="3EBC2735" w14:textId="77777777" w:rsidR="00711A16" w:rsidRDefault="00711A16">
                    <w:pPr>
                      <w:spacing w:before="13"/>
                      <w:ind w:left="660"/>
                      <w:rPr>
                        <w:rFonts w:ascii="MS Gothic"/>
                      </w:rPr>
                    </w:pPr>
                    <w:r>
                      <w:rPr>
                        <w:rFonts w:ascii="MS Gothic"/>
                        <w:color w:val="333333"/>
                      </w:rPr>
                      <w:t>+-dependency2.jar</w:t>
                    </w:r>
                  </w:p>
                </w:txbxContent>
              </v:textbox>
            </v:shape>
            <w10:anchorlock/>
          </v:group>
        </w:pict>
      </w:r>
    </w:p>
    <w:p w14:paraId="6B71D831" w14:textId="77777777" w:rsidR="00A720EB" w:rsidRDefault="00A720EB">
      <w:pPr>
        <w:pStyle w:val="a3"/>
        <w:spacing w:before="6"/>
        <w:rPr>
          <w:sz w:val="9"/>
        </w:rPr>
      </w:pPr>
    </w:p>
    <w:p w14:paraId="097FCD9C" w14:textId="77777777" w:rsidR="00A720EB" w:rsidRDefault="0030286B">
      <w:pPr>
        <w:pStyle w:val="a3"/>
        <w:spacing w:before="116" w:line="280" w:lineRule="auto"/>
        <w:ind w:left="124" w:right="136"/>
      </w:pPr>
      <w:r>
        <w:rPr>
          <w:color w:val="333333"/>
          <w:w w:val="110"/>
        </w:rPr>
        <w:t xml:space="preserve">Application classes should be placed in a nested </w:t>
      </w:r>
      <w:r>
        <w:rPr>
          <w:rFonts w:ascii="MS Gothic"/>
          <w:color w:val="B02045"/>
          <w:w w:val="110"/>
        </w:rPr>
        <w:t xml:space="preserve">BOOT-INF/classes </w:t>
      </w:r>
      <w:r>
        <w:rPr>
          <w:color w:val="333333"/>
          <w:spacing w:val="-3"/>
          <w:w w:val="110"/>
        </w:rPr>
        <w:t xml:space="preserve">directory. </w:t>
      </w:r>
      <w:r>
        <w:rPr>
          <w:color w:val="333333"/>
          <w:w w:val="110"/>
        </w:rPr>
        <w:t xml:space="preserve">Dependencies should be placed in a nested </w:t>
      </w:r>
      <w:r>
        <w:rPr>
          <w:rFonts w:ascii="MS Gothic"/>
          <w:color w:val="B02045"/>
          <w:w w:val="110"/>
        </w:rPr>
        <w:t>BOOT-INF/lib</w:t>
      </w:r>
      <w:r>
        <w:rPr>
          <w:rFonts w:ascii="MS Gothic"/>
          <w:color w:val="B02045"/>
          <w:spacing w:val="-52"/>
          <w:w w:val="110"/>
        </w:rPr>
        <w:t xml:space="preserve"> </w:t>
      </w:r>
      <w:r>
        <w:rPr>
          <w:color w:val="333333"/>
          <w:spacing w:val="-3"/>
          <w:w w:val="110"/>
        </w:rPr>
        <w:t>directory.</w:t>
      </w:r>
    </w:p>
    <w:p w14:paraId="06FF8C41" w14:textId="77777777" w:rsidR="00A720EB" w:rsidRDefault="00A720EB">
      <w:pPr>
        <w:pStyle w:val="a3"/>
        <w:spacing w:before="7"/>
        <w:rPr>
          <w:sz w:val="26"/>
        </w:rPr>
      </w:pPr>
    </w:p>
    <w:p w14:paraId="14B43E08" w14:textId="77777777" w:rsidR="00A720EB" w:rsidRDefault="0030286B">
      <w:pPr>
        <w:pStyle w:val="4"/>
        <w:spacing w:before="1"/>
        <w:jc w:val="left"/>
      </w:pPr>
      <w:bookmarkStart w:id="1087" w:name="The_Executable_War_File_Structure"/>
      <w:bookmarkEnd w:id="1087"/>
      <w:r>
        <w:rPr>
          <w:color w:val="333333"/>
          <w:w w:val="115"/>
        </w:rPr>
        <w:t>The Executable War File Structure</w:t>
      </w:r>
    </w:p>
    <w:p w14:paraId="61BC7705" w14:textId="77777777" w:rsidR="00A720EB" w:rsidRDefault="00A720EB">
      <w:pPr>
        <w:pStyle w:val="a3"/>
        <w:spacing w:before="11"/>
        <w:rPr>
          <w:rFonts w:ascii="Palatino Linotype"/>
          <w:b/>
          <w:sz w:val="18"/>
        </w:rPr>
      </w:pPr>
    </w:p>
    <w:p w14:paraId="162EEAE9" w14:textId="77777777" w:rsidR="00A720EB" w:rsidRDefault="0030286B">
      <w:pPr>
        <w:pStyle w:val="a3"/>
        <w:ind w:left="124"/>
      </w:pPr>
      <w:r>
        <w:rPr>
          <w:color w:val="333333"/>
          <w:w w:val="110"/>
        </w:rPr>
        <w:t>Spring Boot Loader-compatible war files should be structured in the following way:</w:t>
      </w:r>
    </w:p>
    <w:p w14:paraId="20F6BC4C" w14:textId="77777777" w:rsidR="00A720EB" w:rsidRDefault="00E10349">
      <w:pPr>
        <w:pStyle w:val="a3"/>
        <w:rPr>
          <w:sz w:val="19"/>
        </w:rPr>
      </w:pPr>
      <w:r>
        <w:pict w14:anchorId="2154A516">
          <v:group id="_x0000_s1052" style="position:absolute;margin-left:47.85pt;margin-top:13.1pt;width:499.55pt;height:332.3pt;z-index:-14999552;mso-wrap-distance-left:0;mso-wrap-distance-right:0;mso-position-horizontal-relative:page" coordorigin="957,262" coordsize="9991,6646">
            <v:shape id="_x0000_s1061" style="position:absolute;left:964;top:269;width:9976;height:6631" coordorigin="965,270" coordsize="9976,6631" path="m10861,270r-9816,l1014,276r-26,17l971,319r-6,31l965,6821r6,31l988,6877r26,17l1045,6901r9816,l10892,6894r25,-17l10935,6852r6,-31l10941,350r-6,-31l10917,293r-25,-17l10861,270xe" fillcolor="#f5f5f5" stroked="f">
              <v:path arrowok="t"/>
            </v:shape>
            <v:shape id="_x0000_s1060" style="position:absolute;left:964;top:269;width:9976;height:6631" coordorigin="965,270" coordsize="9976,6631" path="m1045,270r9816,l10892,276r25,17l10935,319r6,31l10941,6821r-6,31l10917,6877r-25,17l10861,6901r-9816,l1014,6894r-26,-17l971,6852r-6,-31l965,350r6,-31l988,293r26,-17l1045,270xe" filled="f" strokecolor="#ccc">
              <v:path arrowok="t"/>
            </v:shape>
            <v:shape id="_x0000_s1059" type="#_x0000_t202" style="position:absolute;left:1184;top:489;width:2330;height:2371" filled="f" stroked="f">
              <v:textbox inset="0,0,0,0">
                <w:txbxContent>
                  <w:p w14:paraId="47FE6E27" w14:textId="77777777" w:rsidR="00711A16" w:rsidRDefault="00711A16">
                    <w:pPr>
                      <w:spacing w:before="16"/>
                      <w:rPr>
                        <w:rFonts w:ascii="MS Gothic"/>
                      </w:rPr>
                    </w:pPr>
                    <w:r>
                      <w:rPr>
                        <w:rFonts w:ascii="MS Gothic"/>
                        <w:color w:val="333333"/>
                      </w:rPr>
                      <w:t>example.war</w:t>
                    </w:r>
                  </w:p>
                  <w:p w14:paraId="06D4B5A6" w14:textId="77777777" w:rsidR="00711A16" w:rsidRDefault="00711A16">
                    <w:pPr>
                      <w:spacing w:before="13"/>
                      <w:ind w:left="110"/>
                      <w:rPr>
                        <w:rFonts w:ascii="MS Gothic"/>
                      </w:rPr>
                    </w:pPr>
                    <w:r>
                      <w:rPr>
                        <w:rFonts w:ascii="MS Gothic"/>
                        <w:color w:val="333333"/>
                      </w:rPr>
                      <w:t>|</w:t>
                    </w:r>
                  </w:p>
                  <w:p w14:paraId="29494EDD" w14:textId="77777777" w:rsidR="00711A16" w:rsidRDefault="00711A16">
                    <w:pPr>
                      <w:spacing w:before="13"/>
                      <w:ind w:left="110"/>
                      <w:rPr>
                        <w:rFonts w:ascii="MS Gothic"/>
                      </w:rPr>
                    </w:pPr>
                    <w:r>
                      <w:rPr>
                        <w:rFonts w:ascii="MS Gothic"/>
                        <w:color w:val="333333"/>
                      </w:rPr>
                      <w:t>+-META-INF</w:t>
                    </w:r>
                  </w:p>
                  <w:p w14:paraId="7C63388B" w14:textId="77777777" w:rsidR="00711A16" w:rsidRDefault="00711A16">
                    <w:pPr>
                      <w:tabs>
                        <w:tab w:val="left" w:pos="439"/>
                      </w:tabs>
                      <w:spacing w:before="13"/>
                      <w:ind w:left="110"/>
                      <w:rPr>
                        <w:rFonts w:ascii="MS Gothic"/>
                      </w:rPr>
                    </w:pPr>
                    <w:r>
                      <w:rPr>
                        <w:rFonts w:ascii="MS Gothic"/>
                        <w:color w:val="333333"/>
                      </w:rPr>
                      <w:t>|</w:t>
                    </w:r>
                    <w:r>
                      <w:rPr>
                        <w:rFonts w:ascii="MS Gothic"/>
                        <w:color w:val="333333"/>
                      </w:rPr>
                      <w:tab/>
                      <w:t>+-MANIFEST.MF</w:t>
                    </w:r>
                  </w:p>
                  <w:p w14:paraId="057D188C" w14:textId="77777777" w:rsidR="00711A16" w:rsidRDefault="00711A16">
                    <w:pPr>
                      <w:spacing w:before="13"/>
                      <w:ind w:left="110"/>
                      <w:rPr>
                        <w:rFonts w:ascii="MS Gothic"/>
                      </w:rPr>
                    </w:pPr>
                    <w:r>
                      <w:rPr>
                        <w:rFonts w:ascii="MS Gothic"/>
                        <w:color w:val="333333"/>
                      </w:rPr>
                      <w:t>+-org</w:t>
                    </w:r>
                  </w:p>
                  <w:p w14:paraId="2B2363A4" w14:textId="77777777" w:rsidR="00711A16" w:rsidRDefault="00711A16">
                    <w:pPr>
                      <w:tabs>
                        <w:tab w:val="left" w:pos="439"/>
                      </w:tabs>
                      <w:spacing w:before="13"/>
                      <w:ind w:left="110"/>
                      <w:rPr>
                        <w:rFonts w:ascii="MS Gothic"/>
                      </w:rPr>
                    </w:pPr>
                    <w:r>
                      <w:rPr>
                        <w:rFonts w:ascii="MS Gothic"/>
                        <w:color w:val="333333"/>
                      </w:rPr>
                      <w:t>|</w:t>
                    </w:r>
                    <w:r>
                      <w:rPr>
                        <w:rFonts w:ascii="MS Gothic"/>
                        <w:color w:val="333333"/>
                      </w:rPr>
                      <w:tab/>
                      <w:t>+-springframework</w:t>
                    </w:r>
                  </w:p>
                  <w:p w14:paraId="07B24793" w14:textId="77777777" w:rsidR="00711A16" w:rsidRDefault="00711A16">
                    <w:pPr>
                      <w:tabs>
                        <w:tab w:val="left" w:pos="769"/>
                      </w:tabs>
                      <w:spacing w:before="13"/>
                      <w:ind w:left="110"/>
                      <w:rPr>
                        <w:rFonts w:ascii="MS Gothic"/>
                      </w:rPr>
                    </w:pPr>
                    <w:r>
                      <w:rPr>
                        <w:rFonts w:ascii="MS Gothic"/>
                        <w:color w:val="333333"/>
                      </w:rPr>
                      <w:t>|</w:t>
                    </w:r>
                    <w:r>
                      <w:rPr>
                        <w:rFonts w:ascii="MS Gothic"/>
                        <w:color w:val="333333"/>
                      </w:rPr>
                      <w:tab/>
                      <w:t>+-boot</w:t>
                    </w:r>
                  </w:p>
                  <w:p w14:paraId="5D708055" w14:textId="77777777" w:rsidR="00711A16" w:rsidRDefault="00711A16">
                    <w:pPr>
                      <w:tabs>
                        <w:tab w:val="left" w:pos="1099"/>
                      </w:tabs>
                      <w:spacing w:before="13"/>
                      <w:ind w:left="110"/>
                      <w:rPr>
                        <w:rFonts w:ascii="MS Gothic"/>
                      </w:rPr>
                    </w:pPr>
                    <w:r>
                      <w:rPr>
                        <w:rFonts w:ascii="MS Gothic"/>
                        <w:color w:val="333333"/>
                      </w:rPr>
                      <w:t>|</w:t>
                    </w:r>
                    <w:r>
                      <w:rPr>
                        <w:rFonts w:ascii="MS Gothic"/>
                        <w:color w:val="333333"/>
                      </w:rPr>
                      <w:tab/>
                      <w:t>+-loader</w:t>
                    </w:r>
                  </w:p>
                </w:txbxContent>
              </v:textbox>
            </v:shape>
            <v:shape id="_x0000_s1058" type="#_x0000_t202" style="position:absolute;left:1294;top:2848;width:130;height:307" filled="f" stroked="f">
              <v:textbox inset="0,0,0,0">
                <w:txbxContent>
                  <w:p w14:paraId="2D892BA0" w14:textId="77777777" w:rsidR="00711A16" w:rsidRDefault="00711A16">
                    <w:pPr>
                      <w:spacing w:before="16"/>
                      <w:rPr>
                        <w:rFonts w:ascii="MS Gothic"/>
                      </w:rPr>
                    </w:pPr>
                    <w:r>
                      <w:rPr>
                        <w:rFonts w:ascii="MS Gothic"/>
                        <w:color w:val="333333"/>
                      </w:rPr>
                      <w:t>|</w:t>
                    </w:r>
                  </w:p>
                </w:txbxContent>
              </v:textbox>
            </v:shape>
            <v:shape id="_x0000_s1057" type="#_x0000_t202" style="position:absolute;left:2614;top:2848;width:3320;height:307" filled="f" stroked="f">
              <v:textbox inset="0,0,0,0">
                <w:txbxContent>
                  <w:p w14:paraId="0930E116" w14:textId="77777777" w:rsidR="00711A16" w:rsidRDefault="00711A16">
                    <w:pPr>
                      <w:spacing w:before="16"/>
                      <w:rPr>
                        <w:rFonts w:ascii="MS Gothic"/>
                      </w:rPr>
                    </w:pPr>
                    <w:r>
                      <w:rPr>
                        <w:rFonts w:ascii="MS Gothic"/>
                        <w:color w:val="333333"/>
                      </w:rPr>
                      <w:t>+-&lt;spring boot loader classes&gt;</w:t>
                    </w:r>
                  </w:p>
                </w:txbxContent>
              </v:textbox>
            </v:shape>
            <v:shape id="_x0000_s1056" type="#_x0000_t202" style="position:absolute;left:1294;top:3143;width:1340;height:897" filled="f" stroked="f">
              <v:textbox inset="0,0,0,0">
                <w:txbxContent>
                  <w:p w14:paraId="7E7C76C7" w14:textId="77777777" w:rsidR="00711A16" w:rsidRDefault="00711A16">
                    <w:pPr>
                      <w:spacing w:before="16"/>
                      <w:rPr>
                        <w:rFonts w:ascii="MS Gothic"/>
                      </w:rPr>
                    </w:pPr>
                    <w:r>
                      <w:rPr>
                        <w:rFonts w:ascii="MS Gothic"/>
                        <w:color w:val="333333"/>
                      </w:rPr>
                      <w:t>+-WEB-INF</w:t>
                    </w:r>
                  </w:p>
                  <w:p w14:paraId="07E5B7E1" w14:textId="77777777" w:rsidR="00711A16" w:rsidRDefault="00711A16">
                    <w:pPr>
                      <w:spacing w:before="13"/>
                      <w:ind w:left="330"/>
                      <w:rPr>
                        <w:rFonts w:ascii="MS Gothic"/>
                      </w:rPr>
                    </w:pPr>
                    <w:r>
                      <w:rPr>
                        <w:rFonts w:ascii="MS Gothic"/>
                        <w:color w:val="333333"/>
                      </w:rPr>
                      <w:t>+-classes</w:t>
                    </w:r>
                  </w:p>
                  <w:p w14:paraId="12CBED1C" w14:textId="77777777" w:rsidR="00711A16" w:rsidRDefault="00711A16">
                    <w:pPr>
                      <w:tabs>
                        <w:tab w:val="left" w:pos="659"/>
                      </w:tabs>
                      <w:spacing w:before="13"/>
                      <w:ind w:left="330"/>
                      <w:rPr>
                        <w:rFonts w:ascii="MS Gothic"/>
                      </w:rPr>
                    </w:pPr>
                    <w:r>
                      <w:rPr>
                        <w:rFonts w:ascii="MS Gothic"/>
                        <w:color w:val="333333"/>
                      </w:rPr>
                      <w:t>|</w:t>
                    </w:r>
                    <w:r>
                      <w:rPr>
                        <w:rFonts w:ascii="MS Gothic"/>
                        <w:color w:val="333333"/>
                      </w:rPr>
                      <w:tab/>
                      <w:t>+-com</w:t>
                    </w:r>
                  </w:p>
                </w:txbxContent>
              </v:textbox>
            </v:shape>
            <v:shape id="_x0000_s1055" type="#_x0000_t202" style="position:absolute;left:1624;top:4027;width:130;height:897" filled="f" stroked="f">
              <v:textbox inset="0,0,0,0">
                <w:txbxContent>
                  <w:p w14:paraId="1839F700" w14:textId="77777777" w:rsidR="00711A16" w:rsidRDefault="00711A16">
                    <w:pPr>
                      <w:spacing w:before="16"/>
                      <w:rPr>
                        <w:rFonts w:ascii="MS Gothic"/>
                      </w:rPr>
                    </w:pPr>
                    <w:r>
                      <w:rPr>
                        <w:rFonts w:ascii="MS Gothic"/>
                        <w:color w:val="333333"/>
                      </w:rPr>
                      <w:t>|</w:t>
                    </w:r>
                  </w:p>
                  <w:p w14:paraId="02C58555" w14:textId="77777777" w:rsidR="00711A16" w:rsidRDefault="00711A16">
                    <w:pPr>
                      <w:spacing w:before="13"/>
                      <w:rPr>
                        <w:rFonts w:ascii="MS Gothic"/>
                      </w:rPr>
                    </w:pPr>
                    <w:r>
                      <w:rPr>
                        <w:rFonts w:ascii="MS Gothic"/>
                        <w:color w:val="333333"/>
                      </w:rPr>
                      <w:t>|</w:t>
                    </w:r>
                  </w:p>
                  <w:p w14:paraId="6E98C88C" w14:textId="77777777" w:rsidR="00711A16" w:rsidRDefault="00711A16">
                    <w:pPr>
                      <w:spacing w:before="13"/>
                      <w:rPr>
                        <w:rFonts w:ascii="MS Gothic"/>
                      </w:rPr>
                    </w:pPr>
                    <w:r>
                      <w:rPr>
                        <w:rFonts w:ascii="MS Gothic"/>
                        <w:color w:val="333333"/>
                      </w:rPr>
                      <w:t>|</w:t>
                    </w:r>
                  </w:p>
                </w:txbxContent>
              </v:textbox>
            </v:shape>
            <v:shape id="_x0000_s1054" type="#_x0000_t202" style="position:absolute;left:2284;top:4027;width:2770;height:897" filled="f" stroked="f">
              <v:textbox inset="0,0,0,0">
                <w:txbxContent>
                  <w:p w14:paraId="56D158E7" w14:textId="77777777" w:rsidR="00711A16" w:rsidRDefault="00711A16">
                    <w:pPr>
                      <w:spacing w:before="16"/>
                      <w:rPr>
                        <w:rFonts w:ascii="MS Gothic"/>
                      </w:rPr>
                    </w:pPr>
                    <w:r>
                      <w:rPr>
                        <w:rFonts w:ascii="MS Gothic"/>
                        <w:color w:val="333333"/>
                      </w:rPr>
                      <w:t>+-mycompany</w:t>
                    </w:r>
                  </w:p>
                  <w:p w14:paraId="384C8616" w14:textId="77777777" w:rsidR="00711A16" w:rsidRDefault="00711A16">
                    <w:pPr>
                      <w:spacing w:before="13"/>
                      <w:ind w:left="330"/>
                      <w:rPr>
                        <w:rFonts w:ascii="MS Gothic"/>
                      </w:rPr>
                    </w:pPr>
                    <w:r>
                      <w:rPr>
                        <w:rFonts w:ascii="MS Gothic"/>
                        <w:color w:val="333333"/>
                      </w:rPr>
                      <w:t>+-project</w:t>
                    </w:r>
                  </w:p>
                  <w:p w14:paraId="6AC0D09B" w14:textId="77777777" w:rsidR="00711A16" w:rsidRDefault="00711A16">
                    <w:pPr>
                      <w:spacing w:before="13"/>
                      <w:ind w:left="660"/>
                      <w:rPr>
                        <w:rFonts w:ascii="MS Gothic"/>
                      </w:rPr>
                    </w:pPr>
                    <w:r>
                      <w:rPr>
                        <w:rFonts w:ascii="MS Gothic"/>
                        <w:color w:val="333333"/>
                      </w:rPr>
                      <w:t>+-YourClasses.class</w:t>
                    </w:r>
                  </w:p>
                </w:txbxContent>
              </v:textbox>
            </v:shape>
            <v:shape id="_x0000_s1053" type="#_x0000_t202" style="position:absolute;left:1624;top:4911;width:2220;height:1781" filled="f" stroked="f">
              <v:textbox inset="0,0,0,0">
                <w:txbxContent>
                  <w:p w14:paraId="32B656D1" w14:textId="77777777" w:rsidR="00711A16" w:rsidRDefault="00711A16">
                    <w:pPr>
                      <w:spacing w:before="16"/>
                      <w:rPr>
                        <w:rFonts w:ascii="MS Gothic"/>
                      </w:rPr>
                    </w:pPr>
                    <w:r>
                      <w:rPr>
                        <w:rFonts w:ascii="MS Gothic"/>
                        <w:color w:val="333333"/>
                      </w:rPr>
                      <w:t>+-lib</w:t>
                    </w:r>
                  </w:p>
                  <w:p w14:paraId="182D4E0C" w14:textId="77777777" w:rsidR="00711A16" w:rsidRDefault="00711A16">
                    <w:pPr>
                      <w:tabs>
                        <w:tab w:val="left" w:pos="329"/>
                      </w:tabs>
                      <w:spacing w:before="13"/>
                      <w:rPr>
                        <w:rFonts w:ascii="MS Gothic"/>
                      </w:rPr>
                    </w:pPr>
                    <w:r>
                      <w:rPr>
                        <w:rFonts w:ascii="MS Gothic"/>
                        <w:color w:val="333333"/>
                      </w:rPr>
                      <w:t>|</w:t>
                    </w:r>
                    <w:r>
                      <w:rPr>
                        <w:rFonts w:ascii="MS Gothic"/>
                        <w:color w:val="333333"/>
                      </w:rPr>
                      <w:tab/>
                      <w:t>+-dependency1.jar</w:t>
                    </w:r>
                  </w:p>
                  <w:p w14:paraId="1D17DCBB" w14:textId="77777777" w:rsidR="00711A16" w:rsidRDefault="00711A16">
                    <w:pPr>
                      <w:tabs>
                        <w:tab w:val="left" w:pos="329"/>
                      </w:tabs>
                      <w:spacing w:before="13"/>
                      <w:rPr>
                        <w:rFonts w:ascii="MS Gothic"/>
                      </w:rPr>
                    </w:pPr>
                    <w:r>
                      <w:rPr>
                        <w:rFonts w:ascii="MS Gothic"/>
                        <w:color w:val="333333"/>
                      </w:rPr>
                      <w:t>|</w:t>
                    </w:r>
                    <w:r>
                      <w:rPr>
                        <w:rFonts w:ascii="MS Gothic"/>
                        <w:color w:val="333333"/>
                      </w:rPr>
                      <w:tab/>
                      <w:t>+-dependency2.jar</w:t>
                    </w:r>
                  </w:p>
                  <w:p w14:paraId="377BB884" w14:textId="77777777" w:rsidR="00711A16" w:rsidRDefault="00711A16">
                    <w:pPr>
                      <w:spacing w:before="13"/>
                      <w:rPr>
                        <w:rFonts w:ascii="MS Gothic"/>
                      </w:rPr>
                    </w:pPr>
                    <w:r>
                      <w:rPr>
                        <w:rFonts w:ascii="MS Gothic"/>
                        <w:color w:val="333333"/>
                      </w:rPr>
                      <w:t>+-lib-provided</w:t>
                    </w:r>
                  </w:p>
                  <w:p w14:paraId="20627DD7" w14:textId="77777777" w:rsidR="00711A16" w:rsidRDefault="00711A16">
                    <w:pPr>
                      <w:spacing w:before="13"/>
                      <w:ind w:left="330"/>
                      <w:rPr>
                        <w:rFonts w:ascii="MS Gothic"/>
                      </w:rPr>
                    </w:pPr>
                    <w:r>
                      <w:rPr>
                        <w:rFonts w:ascii="MS Gothic"/>
                        <w:color w:val="333333"/>
                      </w:rPr>
                      <w:t>+-servlet-api.jar</w:t>
                    </w:r>
                  </w:p>
                  <w:p w14:paraId="7D826B6E" w14:textId="77777777" w:rsidR="00711A16" w:rsidRDefault="00711A16">
                    <w:pPr>
                      <w:spacing w:before="13"/>
                      <w:ind w:left="330"/>
                      <w:rPr>
                        <w:rFonts w:ascii="MS Gothic"/>
                      </w:rPr>
                    </w:pPr>
                    <w:r>
                      <w:rPr>
                        <w:rFonts w:ascii="MS Gothic"/>
                        <w:color w:val="333333"/>
                      </w:rPr>
                      <w:t>+-dependency3.jar</w:t>
                    </w:r>
                  </w:p>
                </w:txbxContent>
              </v:textbox>
            </v:shape>
            <w10:wrap type="topAndBottom" anchorx="page"/>
          </v:group>
        </w:pict>
      </w:r>
    </w:p>
    <w:p w14:paraId="34A2664F" w14:textId="77777777" w:rsidR="00A720EB" w:rsidRDefault="00A720EB">
      <w:pPr>
        <w:pStyle w:val="a3"/>
        <w:spacing w:before="11"/>
        <w:rPr>
          <w:sz w:val="9"/>
        </w:rPr>
      </w:pPr>
    </w:p>
    <w:p w14:paraId="553BAF1A" w14:textId="77777777" w:rsidR="00A720EB" w:rsidRDefault="0030286B">
      <w:pPr>
        <w:pStyle w:val="a3"/>
        <w:spacing w:before="115"/>
        <w:ind w:left="124"/>
      </w:pPr>
      <w:r>
        <w:rPr>
          <w:color w:val="333333"/>
          <w:w w:val="110"/>
        </w:rPr>
        <w:t xml:space="preserve">Dependencies should be placed in a nested </w:t>
      </w:r>
      <w:r>
        <w:rPr>
          <w:rFonts w:ascii="MS Gothic"/>
          <w:color w:val="B02045"/>
          <w:w w:val="110"/>
        </w:rPr>
        <w:t>WEB-INF/lib</w:t>
      </w:r>
      <w:r>
        <w:rPr>
          <w:rFonts w:ascii="MS Gothic"/>
          <w:color w:val="B02045"/>
          <w:spacing w:val="84"/>
          <w:w w:val="110"/>
        </w:rPr>
        <w:t xml:space="preserve"> </w:t>
      </w:r>
      <w:r>
        <w:rPr>
          <w:color w:val="333333"/>
          <w:spacing w:val="-3"/>
          <w:w w:val="110"/>
        </w:rPr>
        <w:t xml:space="preserve">directory. </w:t>
      </w:r>
      <w:r>
        <w:rPr>
          <w:color w:val="333333"/>
          <w:w w:val="110"/>
        </w:rPr>
        <w:t>Any dependencies that are</w:t>
      </w:r>
    </w:p>
    <w:p w14:paraId="6DB96071" w14:textId="77777777" w:rsidR="00A720EB" w:rsidRDefault="00A720EB">
      <w:pPr>
        <w:sectPr w:rsidR="00A720EB">
          <w:footerReference w:type="even" r:id="rId1129"/>
          <w:footerReference w:type="default" r:id="rId1130"/>
          <w:pgSz w:w="11910" w:h="16840"/>
          <w:pgMar w:top="700" w:right="840" w:bottom="520" w:left="840" w:header="0" w:footer="323" w:gutter="0"/>
          <w:pgNumType w:start="483"/>
          <w:cols w:space="720"/>
        </w:sectPr>
      </w:pPr>
    </w:p>
    <w:p w14:paraId="7BB5D3BF" w14:textId="77777777" w:rsidR="00A720EB" w:rsidRDefault="0030286B">
      <w:pPr>
        <w:pStyle w:val="a3"/>
        <w:spacing w:before="107" w:line="297" w:lineRule="auto"/>
        <w:ind w:left="124" w:right="130"/>
        <w:jc w:val="both"/>
      </w:pPr>
      <w:r>
        <w:rPr>
          <w:color w:val="333333"/>
          <w:w w:val="110"/>
        </w:rPr>
        <w:lastRenderedPageBreak/>
        <w:t xml:space="preserve">required when running embedded but are not required when deploying to a traditional web container should be placed in </w:t>
      </w:r>
      <w:r>
        <w:rPr>
          <w:rFonts w:ascii="MS Gothic"/>
          <w:color w:val="B02045"/>
          <w:w w:val="110"/>
        </w:rPr>
        <w:t>WEB-INF/lib-provided</w:t>
      </w:r>
      <w:r>
        <w:rPr>
          <w:color w:val="333333"/>
          <w:w w:val="110"/>
        </w:rPr>
        <w:t>.</w:t>
      </w:r>
    </w:p>
    <w:p w14:paraId="09893A9B" w14:textId="77777777" w:rsidR="00A720EB" w:rsidRDefault="00A720EB">
      <w:pPr>
        <w:pStyle w:val="a3"/>
        <w:spacing w:before="10"/>
        <w:rPr>
          <w:sz w:val="24"/>
        </w:rPr>
      </w:pPr>
    </w:p>
    <w:p w14:paraId="7099F54B" w14:textId="77777777" w:rsidR="00A720EB" w:rsidRDefault="0030286B">
      <w:pPr>
        <w:pStyle w:val="4"/>
        <w:spacing w:before="1"/>
      </w:pPr>
      <w:bookmarkStart w:id="1088" w:name="Index_Files"/>
      <w:bookmarkEnd w:id="1088"/>
      <w:r>
        <w:rPr>
          <w:color w:val="333333"/>
          <w:w w:val="110"/>
        </w:rPr>
        <w:t>Index Files</w:t>
      </w:r>
    </w:p>
    <w:p w14:paraId="5D6425CC" w14:textId="77777777" w:rsidR="00A720EB" w:rsidRDefault="00A720EB">
      <w:pPr>
        <w:pStyle w:val="a3"/>
        <w:spacing w:before="11"/>
        <w:rPr>
          <w:rFonts w:ascii="Palatino Linotype"/>
          <w:b/>
          <w:sz w:val="18"/>
        </w:rPr>
      </w:pPr>
    </w:p>
    <w:p w14:paraId="660ADE25" w14:textId="77777777" w:rsidR="00A720EB" w:rsidRDefault="0030286B">
      <w:pPr>
        <w:pStyle w:val="a3"/>
        <w:spacing w:line="290" w:lineRule="auto"/>
        <w:ind w:left="124" w:right="125"/>
        <w:jc w:val="both"/>
      </w:pPr>
      <w:r>
        <w:rPr>
          <w:color w:val="333333"/>
          <w:w w:val="110"/>
        </w:rPr>
        <w:t xml:space="preserve">Spring Boot Loader-compatible jar and war archives can include additional index files under the </w:t>
      </w:r>
      <w:r>
        <w:rPr>
          <w:rFonts w:ascii="MS Gothic"/>
          <w:color w:val="B02045"/>
          <w:w w:val="110"/>
        </w:rPr>
        <w:t xml:space="preserve">BOOT-INF/ </w:t>
      </w:r>
      <w:r>
        <w:rPr>
          <w:color w:val="333333"/>
          <w:w w:val="110"/>
        </w:rPr>
        <w:t xml:space="preserve">directory. A </w:t>
      </w:r>
      <w:r>
        <w:rPr>
          <w:rFonts w:ascii="MS Gothic"/>
          <w:color w:val="B02045"/>
          <w:w w:val="110"/>
        </w:rPr>
        <w:t xml:space="preserve">classpath.idx </w:t>
      </w:r>
      <w:r>
        <w:rPr>
          <w:color w:val="333333"/>
          <w:w w:val="110"/>
        </w:rPr>
        <w:t xml:space="preserve">file can be provided for both jars and wars, it provides the ordering that jars should be added to the classpath. The </w:t>
      </w:r>
      <w:r>
        <w:rPr>
          <w:rFonts w:ascii="MS Gothic"/>
          <w:color w:val="B02045"/>
          <w:w w:val="110"/>
        </w:rPr>
        <w:t xml:space="preserve">layers.idx </w:t>
      </w:r>
      <w:r>
        <w:rPr>
          <w:color w:val="333333"/>
          <w:w w:val="110"/>
        </w:rPr>
        <w:t xml:space="preserve">file can be used only for </w:t>
      </w:r>
      <w:proofErr w:type="gramStart"/>
      <w:r>
        <w:rPr>
          <w:color w:val="333333"/>
          <w:w w:val="110"/>
        </w:rPr>
        <w:t>jars,</w:t>
      </w:r>
      <w:proofErr w:type="gramEnd"/>
      <w:r>
        <w:rPr>
          <w:color w:val="333333"/>
          <w:w w:val="110"/>
        </w:rPr>
        <w:t xml:space="preserve"> it allows a jar to be split into logical layers for Docker/OCI image creation.</w:t>
      </w:r>
    </w:p>
    <w:p w14:paraId="49F925E1" w14:textId="77777777" w:rsidR="00A720EB" w:rsidRDefault="00A720EB">
      <w:pPr>
        <w:pStyle w:val="a3"/>
        <w:spacing w:before="9"/>
      </w:pPr>
    </w:p>
    <w:p w14:paraId="762F0CEA" w14:textId="77777777" w:rsidR="00A720EB" w:rsidRDefault="0030286B">
      <w:pPr>
        <w:pStyle w:val="a3"/>
        <w:spacing w:line="285" w:lineRule="auto"/>
        <w:ind w:left="124" w:right="122"/>
        <w:jc w:val="both"/>
      </w:pPr>
      <w:r>
        <w:rPr>
          <w:color w:val="333333"/>
          <w:w w:val="110"/>
        </w:rPr>
        <w:t xml:space="preserve">Index files follow a YAML compatible syntax so that they can be easily parsed by third-party tools. These files, however, are </w:t>
      </w:r>
      <w:r>
        <w:rPr>
          <w:rFonts w:ascii="Palatino Linotype"/>
          <w:i/>
          <w:color w:val="333333"/>
          <w:w w:val="110"/>
        </w:rPr>
        <w:t xml:space="preserve">not </w:t>
      </w:r>
      <w:r>
        <w:rPr>
          <w:color w:val="333333"/>
          <w:w w:val="110"/>
        </w:rPr>
        <w:t>parsed internally as YAML and they must be written in exactly the formats described below in order to be used.</w:t>
      </w:r>
    </w:p>
    <w:p w14:paraId="060F6798" w14:textId="77777777" w:rsidR="00A720EB" w:rsidRDefault="00A720EB">
      <w:pPr>
        <w:pStyle w:val="a3"/>
        <w:spacing w:before="7"/>
        <w:rPr>
          <w:sz w:val="27"/>
        </w:rPr>
      </w:pPr>
    </w:p>
    <w:p w14:paraId="1805EBFE" w14:textId="77777777" w:rsidR="00A720EB" w:rsidRDefault="0030286B">
      <w:pPr>
        <w:pStyle w:val="4"/>
        <w:spacing w:before="1"/>
      </w:pPr>
      <w:bookmarkStart w:id="1089" w:name="Classpath_Index"/>
      <w:bookmarkEnd w:id="1089"/>
      <w:r>
        <w:rPr>
          <w:color w:val="333333"/>
          <w:w w:val="110"/>
        </w:rPr>
        <w:t>Classpath Index</w:t>
      </w:r>
    </w:p>
    <w:p w14:paraId="363B2479" w14:textId="77777777" w:rsidR="00A720EB" w:rsidRDefault="0030286B">
      <w:pPr>
        <w:pStyle w:val="a3"/>
        <w:spacing w:before="243" w:line="295" w:lineRule="auto"/>
        <w:ind w:left="124" w:right="125"/>
        <w:jc w:val="both"/>
      </w:pPr>
      <w:r>
        <w:rPr>
          <w:color w:val="333333"/>
          <w:w w:val="110"/>
        </w:rPr>
        <w:t xml:space="preserve">The classpath index file can be provided in </w:t>
      </w:r>
      <w:r>
        <w:rPr>
          <w:rFonts w:ascii="MS Gothic" w:hAnsi="MS Gothic"/>
          <w:color w:val="B02045"/>
          <w:w w:val="110"/>
        </w:rPr>
        <w:t>BOOT-INF/classpath.idx</w:t>
      </w:r>
      <w:r>
        <w:rPr>
          <w:color w:val="333333"/>
          <w:w w:val="110"/>
        </w:rPr>
        <w:t>. It provides a list of jar names (not including the directory) in the order that they should be added to the classpath. Each line must start with dash space (</w:t>
      </w:r>
      <w:r>
        <w:rPr>
          <w:rFonts w:ascii="MS Gothic" w:hAnsi="MS Gothic"/>
          <w:color w:val="B02045"/>
          <w:w w:val="110"/>
        </w:rPr>
        <w:t>"-·"</w:t>
      </w:r>
      <w:r>
        <w:rPr>
          <w:color w:val="333333"/>
          <w:w w:val="110"/>
        </w:rPr>
        <w:t>) and names must be in double quotes.</w:t>
      </w:r>
    </w:p>
    <w:p w14:paraId="15F30E73" w14:textId="77777777" w:rsidR="00A720EB" w:rsidRDefault="0030286B">
      <w:pPr>
        <w:pStyle w:val="a3"/>
        <w:spacing w:before="233"/>
        <w:ind w:left="124"/>
        <w:jc w:val="both"/>
      </w:pPr>
      <w:r>
        <w:rPr>
          <w:color w:val="333333"/>
          <w:w w:val="110"/>
        </w:rPr>
        <w:t>For example, given the following jar:</w:t>
      </w:r>
    </w:p>
    <w:p w14:paraId="287E191C" w14:textId="77777777" w:rsidR="00A720EB" w:rsidRDefault="00E10349">
      <w:pPr>
        <w:pStyle w:val="a3"/>
        <w:rPr>
          <w:sz w:val="19"/>
        </w:rPr>
      </w:pPr>
      <w:r>
        <w:pict w14:anchorId="474E0CCA">
          <v:group id="_x0000_s1048" style="position:absolute;margin-left:47.85pt;margin-top:13.1pt;width:499.55pt;height:170.15pt;z-index:-14999040;mso-wrap-distance-left:0;mso-wrap-distance-right:0;mso-position-horizontal-relative:page" coordorigin="957,262" coordsize="9991,3403">
            <v:shape id="_x0000_s1051" style="position:absolute;left:964;top:269;width:9976;height:3388" coordorigin="965,270" coordsize="9976,3388" path="m10861,270r-9816,l1014,276r-26,17l971,319r-6,31l965,3578r6,31l988,3634r26,17l1045,3658r9816,l10892,3651r25,-17l10935,3609r6,-31l10941,350r-6,-31l10917,293r-25,-17l10861,270xe" fillcolor="#f5f5f5" stroked="f">
              <v:path arrowok="t"/>
            </v:shape>
            <v:shape id="_x0000_s1050" style="position:absolute;left:964;top:269;width:9976;height:3388" coordorigin="965,270" coordsize="9976,3388" path="m1045,270r9816,l10892,276r25,17l10935,319r6,31l10941,3578r-6,31l10917,3634r-25,17l10861,3658r-9816,l1014,3651r-26,-17l971,3609r-6,-31l965,350r6,-31l988,293r26,-17l1045,270xe" filled="f" strokecolor="#ccc">
              <v:path arrowok="t"/>
            </v:shape>
            <v:shape id="_x0000_s1049" type="#_x0000_t202" style="position:absolute;left:984;top:285;width:9938;height:3358" filled="f" stroked="f">
              <v:textbox inset="0,0,0,0">
                <w:txbxContent>
                  <w:p w14:paraId="7FAA1F96" w14:textId="77777777" w:rsidR="00711A16" w:rsidRDefault="00711A16">
                    <w:pPr>
                      <w:spacing w:before="221"/>
                      <w:ind w:left="200"/>
                      <w:rPr>
                        <w:rFonts w:ascii="MS Gothic"/>
                      </w:rPr>
                    </w:pPr>
                    <w:r>
                      <w:rPr>
                        <w:rFonts w:ascii="MS Gothic"/>
                        <w:color w:val="333333"/>
                      </w:rPr>
                      <w:t>example.jar</w:t>
                    </w:r>
                  </w:p>
                  <w:p w14:paraId="3C8AB83A" w14:textId="77777777" w:rsidR="00711A16" w:rsidRDefault="00711A16">
                    <w:pPr>
                      <w:spacing w:before="13"/>
                      <w:ind w:left="310"/>
                      <w:rPr>
                        <w:rFonts w:ascii="MS Gothic"/>
                      </w:rPr>
                    </w:pPr>
                    <w:r>
                      <w:rPr>
                        <w:rFonts w:ascii="MS Gothic"/>
                        <w:color w:val="333333"/>
                      </w:rPr>
                      <w:t>|</w:t>
                    </w:r>
                  </w:p>
                  <w:p w14:paraId="30CA50EE" w14:textId="77777777" w:rsidR="00711A16" w:rsidRDefault="00711A16">
                    <w:pPr>
                      <w:spacing w:before="13"/>
                      <w:ind w:left="310"/>
                      <w:rPr>
                        <w:rFonts w:ascii="MS Gothic"/>
                      </w:rPr>
                    </w:pPr>
                    <w:r>
                      <w:rPr>
                        <w:rFonts w:ascii="MS Gothic"/>
                        <w:color w:val="333333"/>
                      </w:rPr>
                      <w:t>+-META-INF</w:t>
                    </w:r>
                  </w:p>
                  <w:p w14:paraId="5C8F755A" w14:textId="77777777" w:rsidR="00711A16" w:rsidRDefault="00711A16">
                    <w:pPr>
                      <w:tabs>
                        <w:tab w:val="left" w:pos="640"/>
                      </w:tabs>
                      <w:spacing w:before="13"/>
                      <w:ind w:left="310"/>
                      <w:rPr>
                        <w:rFonts w:ascii="MS Gothic"/>
                      </w:rPr>
                    </w:pPr>
                    <w:r>
                      <w:rPr>
                        <w:rFonts w:ascii="MS Gothic"/>
                        <w:color w:val="333333"/>
                      </w:rPr>
                      <w:t>|</w:t>
                    </w:r>
                    <w:r>
                      <w:rPr>
                        <w:rFonts w:ascii="MS Gothic"/>
                        <w:color w:val="333333"/>
                      </w:rPr>
                      <w:tab/>
                      <w:t>+-...</w:t>
                    </w:r>
                  </w:p>
                  <w:p w14:paraId="0695F50F" w14:textId="77777777" w:rsidR="00711A16" w:rsidRDefault="00711A16">
                    <w:pPr>
                      <w:spacing w:before="12"/>
                      <w:ind w:left="310"/>
                      <w:rPr>
                        <w:rFonts w:ascii="MS Gothic"/>
                      </w:rPr>
                    </w:pPr>
                    <w:r>
                      <w:rPr>
                        <w:rFonts w:ascii="MS Gothic"/>
                        <w:color w:val="333333"/>
                      </w:rPr>
                      <w:t>+-BOOT-INF</w:t>
                    </w:r>
                  </w:p>
                  <w:p w14:paraId="41E7017D" w14:textId="77777777" w:rsidR="00711A16" w:rsidRDefault="00711A16">
                    <w:pPr>
                      <w:spacing w:before="13"/>
                      <w:ind w:left="640"/>
                      <w:rPr>
                        <w:rFonts w:ascii="MS Gothic"/>
                      </w:rPr>
                    </w:pPr>
                    <w:r>
                      <w:rPr>
                        <w:rFonts w:ascii="MS Gothic"/>
                        <w:color w:val="333333"/>
                      </w:rPr>
                      <w:t>+-classes</w:t>
                    </w:r>
                  </w:p>
                  <w:p w14:paraId="5630E55C" w14:textId="77777777" w:rsidR="00711A16" w:rsidRDefault="00711A16">
                    <w:pPr>
                      <w:tabs>
                        <w:tab w:val="left" w:pos="970"/>
                      </w:tabs>
                      <w:spacing w:before="13"/>
                      <w:ind w:left="640"/>
                      <w:rPr>
                        <w:rFonts w:ascii="MS Gothic"/>
                      </w:rPr>
                    </w:pPr>
                    <w:r>
                      <w:rPr>
                        <w:rFonts w:ascii="MS Gothic"/>
                        <w:color w:val="333333"/>
                      </w:rPr>
                      <w:t>|</w:t>
                    </w:r>
                    <w:r>
                      <w:rPr>
                        <w:rFonts w:ascii="MS Gothic"/>
                        <w:color w:val="333333"/>
                      </w:rPr>
                      <w:tab/>
                      <w:t>+...</w:t>
                    </w:r>
                  </w:p>
                  <w:p w14:paraId="2CDBE92B" w14:textId="77777777" w:rsidR="00711A16" w:rsidRDefault="00711A16">
                    <w:pPr>
                      <w:spacing w:before="13"/>
                      <w:ind w:left="640"/>
                      <w:rPr>
                        <w:rFonts w:ascii="MS Gothic"/>
                      </w:rPr>
                    </w:pPr>
                    <w:r>
                      <w:rPr>
                        <w:rFonts w:ascii="MS Gothic"/>
                        <w:color w:val="333333"/>
                      </w:rPr>
                      <w:t>+-lib</w:t>
                    </w:r>
                  </w:p>
                  <w:p w14:paraId="0B8CDBEF" w14:textId="77777777" w:rsidR="00711A16" w:rsidRDefault="00711A16">
                    <w:pPr>
                      <w:spacing w:before="13"/>
                      <w:ind w:left="970"/>
                      <w:rPr>
                        <w:rFonts w:ascii="MS Gothic"/>
                      </w:rPr>
                    </w:pPr>
                    <w:r>
                      <w:rPr>
                        <w:rFonts w:ascii="MS Gothic"/>
                        <w:color w:val="333333"/>
                      </w:rPr>
                      <w:t>+-dependency1.jar</w:t>
                    </w:r>
                  </w:p>
                  <w:p w14:paraId="35DE13FA" w14:textId="77777777" w:rsidR="00711A16" w:rsidRDefault="00711A16">
                    <w:pPr>
                      <w:spacing w:before="13"/>
                      <w:ind w:left="970"/>
                      <w:rPr>
                        <w:rFonts w:ascii="MS Gothic"/>
                      </w:rPr>
                    </w:pPr>
                    <w:r>
                      <w:rPr>
                        <w:rFonts w:ascii="MS Gothic"/>
                        <w:color w:val="333333"/>
                      </w:rPr>
                      <w:t>+-dependency2.jar</w:t>
                    </w:r>
                  </w:p>
                </w:txbxContent>
              </v:textbox>
            </v:shape>
            <w10:wrap type="topAndBottom" anchorx="page"/>
          </v:group>
        </w:pict>
      </w:r>
    </w:p>
    <w:p w14:paraId="08961E04" w14:textId="77777777" w:rsidR="00A720EB" w:rsidRDefault="00A720EB">
      <w:pPr>
        <w:pStyle w:val="a3"/>
        <w:rPr>
          <w:sz w:val="10"/>
        </w:rPr>
      </w:pPr>
    </w:p>
    <w:p w14:paraId="020A46F0" w14:textId="77777777" w:rsidR="00A720EB" w:rsidRDefault="0030286B">
      <w:pPr>
        <w:pStyle w:val="a3"/>
        <w:spacing w:before="125"/>
        <w:ind w:left="124"/>
      </w:pPr>
      <w:r>
        <w:rPr>
          <w:color w:val="333333"/>
          <w:w w:val="110"/>
        </w:rPr>
        <w:t>The index file would look like this:</w:t>
      </w:r>
    </w:p>
    <w:p w14:paraId="5F50239A" w14:textId="77777777" w:rsidR="00A720EB" w:rsidRDefault="00E10349">
      <w:pPr>
        <w:pStyle w:val="a3"/>
        <w:rPr>
          <w:sz w:val="19"/>
        </w:rPr>
      </w:pPr>
      <w:r>
        <w:pict w14:anchorId="184D8C62">
          <v:group id="_x0000_s1044" style="position:absolute;margin-left:47.85pt;margin-top:13.15pt;width:499.55pt;height:52.25pt;z-index:-14998528;mso-wrap-distance-left:0;mso-wrap-distance-right:0;mso-position-horizontal-relative:page" coordorigin="957,263" coordsize="9991,1045">
            <v:shape id="_x0000_s1047" style="position:absolute;left:964;top:270;width:9976;height:1030" coordorigin="965,270" coordsize="9976,1030" path="m10861,270r-9816,l1014,276r-26,18l971,319r-6,31l965,1220r6,31l988,1276r26,17l1045,1300r9816,l10892,1293r25,-17l10935,1251r6,-31l10941,350r-6,-31l10917,294r-25,-18l10861,270xe" fillcolor="#f5f5f5" stroked="f">
              <v:path arrowok="t"/>
            </v:shape>
            <v:shape id="_x0000_s1046" style="position:absolute;left:964;top:270;width:9976;height:1030" coordorigin="965,270" coordsize="9976,1030" path="m1045,270r9816,l10892,276r25,18l10935,319r6,31l10941,1220r-6,31l10917,1276r-25,17l10861,1300r-9816,l1014,1293r-26,-17l971,1251r-6,-31l965,350r6,-31l988,294r26,-18l1045,270xe" filled="f" strokecolor="#ccc">
              <v:path arrowok="t"/>
            </v:shape>
            <v:shape id="_x0000_s1045" type="#_x0000_t202" style="position:absolute;left:984;top:285;width:9938;height:999" filled="f" stroked="f">
              <v:textbox inset="0,0,0,0">
                <w:txbxContent>
                  <w:p w14:paraId="5D5E4658" w14:textId="77777777" w:rsidR="00711A16" w:rsidRDefault="00711A16">
                    <w:pPr>
                      <w:numPr>
                        <w:ilvl w:val="0"/>
                        <w:numId w:val="4"/>
                      </w:numPr>
                      <w:tabs>
                        <w:tab w:val="left" w:pos="421"/>
                      </w:tabs>
                      <w:spacing w:before="221"/>
                      <w:ind w:hanging="221"/>
                      <w:rPr>
                        <w:rFonts w:ascii="MS Gothic"/>
                      </w:rPr>
                    </w:pPr>
                    <w:r>
                      <w:rPr>
                        <w:rFonts w:ascii="MS Gothic"/>
                        <w:color w:val="333333"/>
                      </w:rPr>
                      <w:t>"dependency2.jar"</w:t>
                    </w:r>
                  </w:p>
                  <w:p w14:paraId="04BD95EF" w14:textId="77777777" w:rsidR="00711A16" w:rsidRDefault="00711A16">
                    <w:pPr>
                      <w:numPr>
                        <w:ilvl w:val="0"/>
                        <w:numId w:val="4"/>
                      </w:numPr>
                      <w:tabs>
                        <w:tab w:val="left" w:pos="421"/>
                      </w:tabs>
                      <w:spacing w:before="13"/>
                      <w:ind w:hanging="221"/>
                      <w:rPr>
                        <w:rFonts w:ascii="MS Gothic"/>
                      </w:rPr>
                    </w:pPr>
                    <w:r>
                      <w:rPr>
                        <w:rFonts w:ascii="MS Gothic"/>
                        <w:color w:val="333333"/>
                      </w:rPr>
                      <w:t>"dependency1.jar"</w:t>
                    </w:r>
                  </w:p>
                </w:txbxContent>
              </v:textbox>
            </v:shape>
            <w10:wrap type="topAndBottom" anchorx="page"/>
          </v:group>
        </w:pict>
      </w:r>
    </w:p>
    <w:p w14:paraId="2072B08D" w14:textId="77777777" w:rsidR="00A720EB" w:rsidRDefault="00A720EB">
      <w:pPr>
        <w:pStyle w:val="a3"/>
        <w:spacing w:before="11"/>
        <w:rPr>
          <w:sz w:val="16"/>
        </w:rPr>
      </w:pPr>
    </w:p>
    <w:p w14:paraId="6AEBE763" w14:textId="77777777" w:rsidR="00A720EB" w:rsidRDefault="0030286B">
      <w:pPr>
        <w:pStyle w:val="4"/>
        <w:spacing w:before="104"/>
      </w:pPr>
      <w:bookmarkStart w:id="1090" w:name="Layer_Index"/>
      <w:bookmarkEnd w:id="1090"/>
      <w:r>
        <w:rPr>
          <w:color w:val="333333"/>
          <w:w w:val="115"/>
        </w:rPr>
        <w:t>Layer Index</w:t>
      </w:r>
    </w:p>
    <w:p w14:paraId="7718BCD1" w14:textId="77777777" w:rsidR="00A720EB" w:rsidRDefault="0030286B">
      <w:pPr>
        <w:pStyle w:val="a3"/>
        <w:spacing w:before="244" w:line="295" w:lineRule="auto"/>
        <w:ind w:left="124" w:right="124"/>
        <w:jc w:val="both"/>
      </w:pPr>
      <w:r>
        <w:rPr>
          <w:color w:val="333333"/>
          <w:w w:val="110"/>
        </w:rPr>
        <w:t xml:space="preserve">The layers index file can be provided in </w:t>
      </w:r>
      <w:r>
        <w:rPr>
          <w:rFonts w:ascii="MS Gothic" w:hAnsi="MS Gothic"/>
          <w:color w:val="B02045"/>
          <w:w w:val="110"/>
        </w:rPr>
        <w:t>BOOT-INF/layers.idx</w:t>
      </w:r>
      <w:r>
        <w:rPr>
          <w:color w:val="333333"/>
          <w:w w:val="110"/>
        </w:rPr>
        <w:t>. It provides a list of layers and the parts of the jar that should be contained within them. Layers are written in the order that they</w:t>
      </w:r>
      <w:r>
        <w:rPr>
          <w:color w:val="333333"/>
          <w:spacing w:val="50"/>
          <w:w w:val="110"/>
        </w:rPr>
        <w:t xml:space="preserve"> </w:t>
      </w:r>
      <w:r>
        <w:rPr>
          <w:color w:val="333333"/>
          <w:w w:val="110"/>
        </w:rPr>
        <w:t>should be added to the Docker/OCI image. Layers names are written as quoted strings prefixed with dash space (</w:t>
      </w:r>
      <w:r>
        <w:rPr>
          <w:rFonts w:ascii="MS Gothic" w:hAnsi="MS Gothic"/>
          <w:color w:val="B02045"/>
          <w:w w:val="110"/>
        </w:rPr>
        <w:t>"-·"</w:t>
      </w:r>
      <w:r>
        <w:rPr>
          <w:color w:val="333333"/>
          <w:w w:val="110"/>
        </w:rPr>
        <w:t>) and with a colon (</w:t>
      </w:r>
      <w:r>
        <w:rPr>
          <w:rFonts w:ascii="MS Gothic" w:hAnsi="MS Gothic"/>
          <w:color w:val="B02045"/>
          <w:w w:val="110"/>
        </w:rPr>
        <w:t>":"</w:t>
      </w:r>
      <w:r>
        <w:rPr>
          <w:color w:val="333333"/>
          <w:w w:val="110"/>
        </w:rPr>
        <w:t>) suffix. Layer content is either a file or directory name written</w:t>
      </w:r>
      <w:r>
        <w:rPr>
          <w:color w:val="333333"/>
          <w:spacing w:val="8"/>
          <w:w w:val="110"/>
        </w:rPr>
        <w:t xml:space="preserve"> </w:t>
      </w:r>
      <w:r>
        <w:rPr>
          <w:color w:val="333333"/>
          <w:w w:val="110"/>
        </w:rPr>
        <w:t>as</w:t>
      </w:r>
      <w:r>
        <w:rPr>
          <w:color w:val="333333"/>
          <w:spacing w:val="8"/>
          <w:w w:val="110"/>
        </w:rPr>
        <w:t xml:space="preserve"> </w:t>
      </w:r>
      <w:r>
        <w:rPr>
          <w:color w:val="333333"/>
          <w:w w:val="110"/>
        </w:rPr>
        <w:t>a</w:t>
      </w:r>
      <w:r>
        <w:rPr>
          <w:color w:val="333333"/>
          <w:spacing w:val="8"/>
          <w:w w:val="110"/>
        </w:rPr>
        <w:t xml:space="preserve"> </w:t>
      </w:r>
      <w:r>
        <w:rPr>
          <w:color w:val="333333"/>
          <w:w w:val="110"/>
        </w:rPr>
        <w:t>quoted</w:t>
      </w:r>
      <w:r>
        <w:rPr>
          <w:color w:val="333333"/>
          <w:spacing w:val="8"/>
          <w:w w:val="110"/>
        </w:rPr>
        <w:t xml:space="preserve"> </w:t>
      </w:r>
      <w:r>
        <w:rPr>
          <w:color w:val="333333"/>
          <w:w w:val="110"/>
        </w:rPr>
        <w:t>string</w:t>
      </w:r>
      <w:r>
        <w:rPr>
          <w:color w:val="333333"/>
          <w:spacing w:val="10"/>
          <w:w w:val="110"/>
        </w:rPr>
        <w:t xml:space="preserve"> </w:t>
      </w:r>
      <w:r>
        <w:rPr>
          <w:color w:val="333333"/>
          <w:w w:val="110"/>
        </w:rPr>
        <w:t>prefixed</w:t>
      </w:r>
      <w:r>
        <w:rPr>
          <w:color w:val="333333"/>
          <w:spacing w:val="8"/>
          <w:w w:val="110"/>
        </w:rPr>
        <w:t xml:space="preserve"> </w:t>
      </w:r>
      <w:r>
        <w:rPr>
          <w:color w:val="333333"/>
          <w:spacing w:val="-3"/>
          <w:w w:val="110"/>
        </w:rPr>
        <w:t>by</w:t>
      </w:r>
      <w:r>
        <w:rPr>
          <w:color w:val="333333"/>
          <w:spacing w:val="8"/>
          <w:w w:val="110"/>
        </w:rPr>
        <w:t xml:space="preserve"> </w:t>
      </w:r>
      <w:r>
        <w:rPr>
          <w:color w:val="333333"/>
          <w:w w:val="110"/>
        </w:rPr>
        <w:t>space</w:t>
      </w:r>
      <w:r>
        <w:rPr>
          <w:color w:val="333333"/>
          <w:spacing w:val="9"/>
          <w:w w:val="110"/>
        </w:rPr>
        <w:t xml:space="preserve"> </w:t>
      </w:r>
      <w:r>
        <w:rPr>
          <w:color w:val="333333"/>
          <w:w w:val="110"/>
        </w:rPr>
        <w:t>space</w:t>
      </w:r>
      <w:r>
        <w:rPr>
          <w:color w:val="333333"/>
          <w:spacing w:val="10"/>
          <w:w w:val="110"/>
        </w:rPr>
        <w:t xml:space="preserve"> </w:t>
      </w:r>
      <w:r>
        <w:rPr>
          <w:color w:val="333333"/>
          <w:w w:val="110"/>
        </w:rPr>
        <w:t>dash</w:t>
      </w:r>
      <w:r>
        <w:rPr>
          <w:color w:val="333333"/>
          <w:spacing w:val="8"/>
          <w:w w:val="110"/>
        </w:rPr>
        <w:t xml:space="preserve"> </w:t>
      </w:r>
      <w:r>
        <w:rPr>
          <w:color w:val="333333"/>
          <w:w w:val="110"/>
        </w:rPr>
        <w:t>space</w:t>
      </w:r>
      <w:r>
        <w:rPr>
          <w:color w:val="333333"/>
          <w:spacing w:val="9"/>
          <w:w w:val="110"/>
        </w:rPr>
        <w:t xml:space="preserve"> </w:t>
      </w:r>
      <w:r>
        <w:rPr>
          <w:color w:val="333333"/>
          <w:w w:val="110"/>
        </w:rPr>
        <w:t>(</w:t>
      </w:r>
      <w:r>
        <w:rPr>
          <w:rFonts w:ascii="MS Gothic" w:hAnsi="MS Gothic"/>
          <w:color w:val="B02045"/>
          <w:w w:val="110"/>
        </w:rPr>
        <w:t>"··-·"</w:t>
      </w:r>
      <w:r>
        <w:rPr>
          <w:color w:val="333333"/>
          <w:w w:val="110"/>
        </w:rPr>
        <w:t>).</w:t>
      </w:r>
      <w:r>
        <w:rPr>
          <w:color w:val="333333"/>
          <w:spacing w:val="9"/>
          <w:w w:val="110"/>
        </w:rPr>
        <w:t xml:space="preserve"> </w:t>
      </w:r>
      <w:r>
        <w:rPr>
          <w:color w:val="333333"/>
          <w:w w:val="110"/>
        </w:rPr>
        <w:t>A</w:t>
      </w:r>
      <w:r>
        <w:rPr>
          <w:color w:val="333333"/>
          <w:spacing w:val="9"/>
          <w:w w:val="110"/>
        </w:rPr>
        <w:t xml:space="preserve"> </w:t>
      </w:r>
      <w:r>
        <w:rPr>
          <w:color w:val="333333"/>
          <w:w w:val="110"/>
        </w:rPr>
        <w:t>directory</w:t>
      </w:r>
      <w:r>
        <w:rPr>
          <w:color w:val="333333"/>
          <w:spacing w:val="9"/>
          <w:w w:val="110"/>
        </w:rPr>
        <w:t xml:space="preserve"> </w:t>
      </w:r>
      <w:r>
        <w:rPr>
          <w:color w:val="333333"/>
          <w:w w:val="110"/>
        </w:rPr>
        <w:t>name</w:t>
      </w:r>
      <w:r>
        <w:rPr>
          <w:color w:val="333333"/>
          <w:spacing w:val="9"/>
          <w:w w:val="110"/>
        </w:rPr>
        <w:t xml:space="preserve"> </w:t>
      </w:r>
      <w:r>
        <w:rPr>
          <w:color w:val="333333"/>
          <w:w w:val="110"/>
        </w:rPr>
        <w:t>ends</w:t>
      </w:r>
      <w:r>
        <w:rPr>
          <w:color w:val="333333"/>
          <w:spacing w:val="9"/>
          <w:w w:val="110"/>
        </w:rPr>
        <w:t xml:space="preserve"> </w:t>
      </w:r>
      <w:r>
        <w:rPr>
          <w:color w:val="333333"/>
          <w:w w:val="110"/>
        </w:rPr>
        <w:t>with</w:t>
      </w:r>
    </w:p>
    <w:p w14:paraId="0B10A7DF" w14:textId="77777777" w:rsidR="00A720EB" w:rsidRDefault="0030286B">
      <w:pPr>
        <w:pStyle w:val="a3"/>
        <w:spacing w:line="249" w:lineRule="exact"/>
        <w:ind w:left="124"/>
        <w:jc w:val="both"/>
      </w:pPr>
      <w:r>
        <w:rPr>
          <w:rFonts w:ascii="MS Gothic"/>
          <w:color w:val="B02045"/>
          <w:w w:val="110"/>
        </w:rPr>
        <w:t>/</w:t>
      </w:r>
      <w:r>
        <w:rPr>
          <w:color w:val="333333"/>
          <w:w w:val="110"/>
        </w:rPr>
        <w:t>,</w:t>
      </w:r>
      <w:r>
        <w:rPr>
          <w:color w:val="333333"/>
          <w:spacing w:val="24"/>
          <w:w w:val="110"/>
        </w:rPr>
        <w:t xml:space="preserve"> </w:t>
      </w:r>
      <w:r>
        <w:rPr>
          <w:color w:val="333333"/>
          <w:w w:val="110"/>
        </w:rPr>
        <w:t>a</w:t>
      </w:r>
      <w:r>
        <w:rPr>
          <w:color w:val="333333"/>
          <w:spacing w:val="23"/>
          <w:w w:val="110"/>
        </w:rPr>
        <w:t xml:space="preserve"> </w:t>
      </w:r>
      <w:r>
        <w:rPr>
          <w:color w:val="333333"/>
          <w:w w:val="110"/>
        </w:rPr>
        <w:t>file</w:t>
      </w:r>
      <w:r>
        <w:rPr>
          <w:color w:val="333333"/>
          <w:spacing w:val="24"/>
          <w:w w:val="110"/>
        </w:rPr>
        <w:t xml:space="preserve"> </w:t>
      </w:r>
      <w:r>
        <w:rPr>
          <w:color w:val="333333"/>
          <w:w w:val="110"/>
        </w:rPr>
        <w:t>name</w:t>
      </w:r>
      <w:r>
        <w:rPr>
          <w:color w:val="333333"/>
          <w:spacing w:val="24"/>
          <w:w w:val="110"/>
        </w:rPr>
        <w:t xml:space="preserve"> </w:t>
      </w:r>
      <w:r>
        <w:rPr>
          <w:color w:val="333333"/>
          <w:w w:val="110"/>
        </w:rPr>
        <w:t>does</w:t>
      </w:r>
      <w:r>
        <w:rPr>
          <w:color w:val="333333"/>
          <w:spacing w:val="24"/>
          <w:w w:val="110"/>
        </w:rPr>
        <w:t xml:space="preserve"> </w:t>
      </w:r>
      <w:r>
        <w:rPr>
          <w:color w:val="333333"/>
          <w:w w:val="110"/>
        </w:rPr>
        <w:t>not.</w:t>
      </w:r>
      <w:r>
        <w:rPr>
          <w:color w:val="333333"/>
          <w:spacing w:val="24"/>
          <w:w w:val="110"/>
        </w:rPr>
        <w:t xml:space="preserve"> </w:t>
      </w:r>
      <w:r>
        <w:rPr>
          <w:color w:val="333333"/>
          <w:w w:val="110"/>
        </w:rPr>
        <w:t>When</w:t>
      </w:r>
      <w:r>
        <w:rPr>
          <w:color w:val="333333"/>
          <w:spacing w:val="24"/>
          <w:w w:val="110"/>
        </w:rPr>
        <w:t xml:space="preserve"> </w:t>
      </w:r>
      <w:r>
        <w:rPr>
          <w:color w:val="333333"/>
          <w:w w:val="110"/>
        </w:rPr>
        <w:t>a</w:t>
      </w:r>
      <w:r>
        <w:rPr>
          <w:color w:val="333333"/>
          <w:spacing w:val="24"/>
          <w:w w:val="110"/>
        </w:rPr>
        <w:t xml:space="preserve"> </w:t>
      </w:r>
      <w:r>
        <w:rPr>
          <w:color w:val="333333"/>
          <w:w w:val="110"/>
        </w:rPr>
        <w:t>directory</w:t>
      </w:r>
      <w:r>
        <w:rPr>
          <w:color w:val="333333"/>
          <w:spacing w:val="24"/>
          <w:w w:val="110"/>
        </w:rPr>
        <w:t xml:space="preserve"> </w:t>
      </w:r>
      <w:r>
        <w:rPr>
          <w:color w:val="333333"/>
          <w:w w:val="110"/>
        </w:rPr>
        <w:t>name</w:t>
      </w:r>
      <w:r>
        <w:rPr>
          <w:color w:val="333333"/>
          <w:spacing w:val="24"/>
          <w:w w:val="110"/>
        </w:rPr>
        <w:t xml:space="preserve"> </w:t>
      </w:r>
      <w:r>
        <w:rPr>
          <w:color w:val="333333"/>
          <w:w w:val="110"/>
        </w:rPr>
        <w:t>is</w:t>
      </w:r>
      <w:r>
        <w:rPr>
          <w:color w:val="333333"/>
          <w:spacing w:val="24"/>
          <w:w w:val="110"/>
        </w:rPr>
        <w:t xml:space="preserve"> </w:t>
      </w:r>
      <w:r>
        <w:rPr>
          <w:color w:val="333333"/>
          <w:w w:val="110"/>
        </w:rPr>
        <w:t>used</w:t>
      </w:r>
      <w:r>
        <w:rPr>
          <w:color w:val="333333"/>
          <w:spacing w:val="24"/>
          <w:w w:val="110"/>
        </w:rPr>
        <w:t xml:space="preserve"> </w:t>
      </w:r>
      <w:r>
        <w:rPr>
          <w:color w:val="333333"/>
          <w:w w:val="110"/>
        </w:rPr>
        <w:t>it</w:t>
      </w:r>
      <w:r>
        <w:rPr>
          <w:color w:val="333333"/>
          <w:spacing w:val="24"/>
          <w:w w:val="110"/>
        </w:rPr>
        <w:t xml:space="preserve"> </w:t>
      </w:r>
      <w:r>
        <w:rPr>
          <w:color w:val="333333"/>
          <w:w w:val="110"/>
        </w:rPr>
        <w:t>means</w:t>
      </w:r>
      <w:r>
        <w:rPr>
          <w:color w:val="333333"/>
          <w:spacing w:val="24"/>
          <w:w w:val="110"/>
        </w:rPr>
        <w:t xml:space="preserve"> </w:t>
      </w:r>
      <w:r>
        <w:rPr>
          <w:color w:val="333333"/>
          <w:w w:val="110"/>
        </w:rPr>
        <w:t>that</w:t>
      </w:r>
      <w:r>
        <w:rPr>
          <w:color w:val="333333"/>
          <w:spacing w:val="24"/>
          <w:w w:val="110"/>
        </w:rPr>
        <w:t xml:space="preserve"> </w:t>
      </w:r>
      <w:r>
        <w:rPr>
          <w:color w:val="333333"/>
          <w:w w:val="110"/>
        </w:rPr>
        <w:t>all</w:t>
      </w:r>
      <w:r>
        <w:rPr>
          <w:color w:val="333333"/>
          <w:spacing w:val="24"/>
          <w:w w:val="110"/>
        </w:rPr>
        <w:t xml:space="preserve"> </w:t>
      </w:r>
      <w:r>
        <w:rPr>
          <w:color w:val="333333"/>
          <w:w w:val="110"/>
        </w:rPr>
        <w:t>files</w:t>
      </w:r>
      <w:r>
        <w:rPr>
          <w:color w:val="333333"/>
          <w:spacing w:val="24"/>
          <w:w w:val="110"/>
        </w:rPr>
        <w:t xml:space="preserve"> </w:t>
      </w:r>
      <w:r>
        <w:rPr>
          <w:color w:val="333333"/>
          <w:w w:val="110"/>
        </w:rPr>
        <w:t>inside</w:t>
      </w:r>
      <w:r>
        <w:rPr>
          <w:color w:val="333333"/>
          <w:spacing w:val="24"/>
          <w:w w:val="110"/>
        </w:rPr>
        <w:t xml:space="preserve"> </w:t>
      </w:r>
      <w:r>
        <w:rPr>
          <w:color w:val="333333"/>
          <w:w w:val="110"/>
        </w:rPr>
        <w:t>that</w:t>
      </w:r>
      <w:r>
        <w:rPr>
          <w:color w:val="333333"/>
          <w:spacing w:val="24"/>
          <w:w w:val="110"/>
        </w:rPr>
        <w:t xml:space="preserve"> </w:t>
      </w:r>
      <w:r>
        <w:rPr>
          <w:color w:val="333333"/>
          <w:w w:val="110"/>
        </w:rPr>
        <w:t>directory</w:t>
      </w:r>
    </w:p>
    <w:p w14:paraId="1904D8ED" w14:textId="77777777" w:rsidR="00A720EB" w:rsidRDefault="0030286B">
      <w:pPr>
        <w:pStyle w:val="a3"/>
        <w:spacing w:before="57"/>
        <w:ind w:left="124"/>
        <w:jc w:val="both"/>
      </w:pPr>
      <w:r>
        <w:rPr>
          <w:color w:val="333333"/>
          <w:w w:val="115"/>
        </w:rPr>
        <w:t>are in the same layer.</w:t>
      </w:r>
    </w:p>
    <w:p w14:paraId="6A02B770" w14:textId="77777777" w:rsidR="00A720EB" w:rsidRDefault="00A720EB">
      <w:pPr>
        <w:jc w:val="both"/>
        <w:sectPr w:rsidR="00A720EB">
          <w:pgSz w:w="11910" w:h="16840"/>
          <w:pgMar w:top="620" w:right="840" w:bottom="520" w:left="840" w:header="0" w:footer="323" w:gutter="0"/>
          <w:cols w:space="720"/>
        </w:sectPr>
      </w:pPr>
    </w:p>
    <w:p w14:paraId="05443E80" w14:textId="77777777" w:rsidR="00A720EB" w:rsidRDefault="0030286B">
      <w:pPr>
        <w:pStyle w:val="a3"/>
        <w:spacing w:before="107"/>
        <w:ind w:left="124"/>
      </w:pPr>
      <w:r>
        <w:rPr>
          <w:color w:val="333333"/>
          <w:w w:val="115"/>
        </w:rPr>
        <w:lastRenderedPageBreak/>
        <w:t xml:space="preserve">A typical example of a </w:t>
      </w:r>
      <w:proofErr w:type="gramStart"/>
      <w:r>
        <w:rPr>
          <w:color w:val="333333"/>
          <w:w w:val="115"/>
        </w:rPr>
        <w:t>layers</w:t>
      </w:r>
      <w:proofErr w:type="gramEnd"/>
      <w:r>
        <w:rPr>
          <w:color w:val="333333"/>
          <w:w w:val="115"/>
        </w:rPr>
        <w:t xml:space="preserve"> index would be:</w:t>
      </w:r>
    </w:p>
    <w:p w14:paraId="261E5CD0" w14:textId="77777777" w:rsidR="00A720EB" w:rsidRDefault="00E10349">
      <w:pPr>
        <w:pStyle w:val="a3"/>
        <w:spacing w:before="11"/>
        <w:rPr>
          <w:sz w:val="18"/>
        </w:rPr>
      </w:pPr>
      <w:r>
        <w:pict w14:anchorId="720F4DC3">
          <v:group id="_x0000_s1040" style="position:absolute;margin-left:47.85pt;margin-top:13.1pt;width:499.55pt;height:111.2pt;z-index:-14998016;mso-wrap-distance-left:0;mso-wrap-distance-right:0;mso-position-horizontal-relative:page" coordorigin="957,262" coordsize="9991,2224">
            <v:shape id="_x0000_s1043" style="position:absolute;left:964;top:269;width:9976;height:2209" coordorigin="965,270" coordsize="9976,2209" path="m10861,270r-9816,l1014,276r-26,17l971,318r-6,32l965,2398r6,32l988,2455r26,17l1045,2478r9816,l10892,2472r25,-17l10935,2430r6,-32l10941,350r-6,-32l10917,293r-25,-17l10861,270xe" fillcolor="#f5f5f5" stroked="f">
              <v:path arrowok="t"/>
            </v:shape>
            <v:shape id="_x0000_s1042" style="position:absolute;left:964;top:269;width:9976;height:2209" coordorigin="965,270" coordsize="9976,2209" path="m1045,270r9816,l10892,276r25,17l10935,318r6,32l10941,2398r-6,32l10917,2455r-25,17l10861,2478r-9816,l1014,2472r-26,-17l971,2430r-6,-32l965,350r6,-32l988,293r26,-17l1045,270xe" filled="f" strokecolor="#ccc">
              <v:path arrowok="t"/>
            </v:shape>
            <v:shape id="_x0000_s1041" type="#_x0000_t202" style="position:absolute;left:984;top:285;width:9938;height:2178" filled="f" stroked="f">
              <v:textbox inset="0,0,0,0">
                <w:txbxContent>
                  <w:p w14:paraId="090EB974" w14:textId="77777777" w:rsidR="00711A16" w:rsidRDefault="00711A16">
                    <w:pPr>
                      <w:numPr>
                        <w:ilvl w:val="0"/>
                        <w:numId w:val="3"/>
                      </w:numPr>
                      <w:tabs>
                        <w:tab w:val="left" w:pos="421"/>
                      </w:tabs>
                      <w:spacing w:before="221"/>
                      <w:ind w:hanging="221"/>
                      <w:rPr>
                        <w:rFonts w:ascii="MS Gothic"/>
                      </w:rPr>
                    </w:pPr>
                    <w:r>
                      <w:rPr>
                        <w:rFonts w:ascii="MS Gothic"/>
                        <w:color w:val="333333"/>
                      </w:rPr>
                      <w:t>"dependencies":</w:t>
                    </w:r>
                  </w:p>
                  <w:p w14:paraId="14ED3C3C" w14:textId="77777777" w:rsidR="00711A16" w:rsidRDefault="00711A16">
                    <w:pPr>
                      <w:numPr>
                        <w:ilvl w:val="1"/>
                        <w:numId w:val="3"/>
                      </w:numPr>
                      <w:tabs>
                        <w:tab w:val="left" w:pos="641"/>
                      </w:tabs>
                      <w:spacing w:before="13"/>
                      <w:ind w:hanging="221"/>
                      <w:rPr>
                        <w:rFonts w:ascii="MS Gothic"/>
                      </w:rPr>
                    </w:pPr>
                    <w:r>
                      <w:rPr>
                        <w:rFonts w:ascii="MS Gothic"/>
                        <w:color w:val="333333"/>
                      </w:rPr>
                      <w:t>"BOOT-INF/lib/dependency1.jar"</w:t>
                    </w:r>
                  </w:p>
                  <w:p w14:paraId="6C2C79E6" w14:textId="77777777" w:rsidR="00711A16" w:rsidRDefault="00711A16">
                    <w:pPr>
                      <w:numPr>
                        <w:ilvl w:val="1"/>
                        <w:numId w:val="3"/>
                      </w:numPr>
                      <w:tabs>
                        <w:tab w:val="left" w:pos="641"/>
                      </w:tabs>
                      <w:spacing w:before="13"/>
                      <w:ind w:hanging="221"/>
                      <w:rPr>
                        <w:rFonts w:ascii="MS Gothic"/>
                      </w:rPr>
                    </w:pPr>
                    <w:r>
                      <w:rPr>
                        <w:rFonts w:ascii="MS Gothic"/>
                        <w:color w:val="333333"/>
                      </w:rPr>
                      <w:t>"BOOT-INF/lib/dependency2.jar"</w:t>
                    </w:r>
                  </w:p>
                  <w:p w14:paraId="014D5DED" w14:textId="77777777" w:rsidR="00711A16" w:rsidRDefault="00711A16">
                    <w:pPr>
                      <w:numPr>
                        <w:ilvl w:val="0"/>
                        <w:numId w:val="3"/>
                      </w:numPr>
                      <w:tabs>
                        <w:tab w:val="left" w:pos="421"/>
                      </w:tabs>
                      <w:spacing w:before="13"/>
                      <w:ind w:hanging="221"/>
                      <w:rPr>
                        <w:rFonts w:ascii="MS Gothic"/>
                      </w:rPr>
                    </w:pPr>
                    <w:r>
                      <w:rPr>
                        <w:rFonts w:ascii="MS Gothic"/>
                        <w:color w:val="333333"/>
                      </w:rPr>
                      <w:t>"application":</w:t>
                    </w:r>
                  </w:p>
                  <w:p w14:paraId="1018F9D5" w14:textId="77777777" w:rsidR="00711A16" w:rsidRDefault="00711A16">
                    <w:pPr>
                      <w:numPr>
                        <w:ilvl w:val="1"/>
                        <w:numId w:val="3"/>
                      </w:numPr>
                      <w:tabs>
                        <w:tab w:val="left" w:pos="641"/>
                      </w:tabs>
                      <w:spacing w:before="12"/>
                      <w:ind w:hanging="221"/>
                      <w:rPr>
                        <w:rFonts w:ascii="MS Gothic"/>
                      </w:rPr>
                    </w:pPr>
                    <w:r>
                      <w:rPr>
                        <w:rFonts w:ascii="MS Gothic"/>
                        <w:color w:val="333333"/>
                      </w:rPr>
                      <w:t>"BOOT-INF/classes/"</w:t>
                    </w:r>
                  </w:p>
                  <w:p w14:paraId="293524B7" w14:textId="77777777" w:rsidR="00711A16" w:rsidRDefault="00711A16">
                    <w:pPr>
                      <w:numPr>
                        <w:ilvl w:val="1"/>
                        <w:numId w:val="3"/>
                      </w:numPr>
                      <w:tabs>
                        <w:tab w:val="left" w:pos="641"/>
                      </w:tabs>
                      <w:spacing w:before="13"/>
                      <w:ind w:hanging="221"/>
                      <w:rPr>
                        <w:rFonts w:ascii="MS Gothic"/>
                      </w:rPr>
                    </w:pPr>
                    <w:r>
                      <w:rPr>
                        <w:rFonts w:ascii="MS Gothic"/>
                        <w:color w:val="333333"/>
                      </w:rPr>
                      <w:t>"META-INF/"</w:t>
                    </w:r>
                  </w:p>
                </w:txbxContent>
              </v:textbox>
            </v:shape>
            <w10:wrap type="topAndBottom" anchorx="page"/>
          </v:group>
        </w:pict>
      </w:r>
    </w:p>
    <w:p w14:paraId="75DB66C2" w14:textId="77777777" w:rsidR="00A720EB" w:rsidRDefault="00A720EB">
      <w:pPr>
        <w:pStyle w:val="a3"/>
        <w:spacing w:before="11"/>
        <w:rPr>
          <w:sz w:val="16"/>
        </w:rPr>
      </w:pPr>
    </w:p>
    <w:p w14:paraId="7D022073" w14:textId="77777777" w:rsidR="00A720EB" w:rsidRDefault="0030286B">
      <w:pPr>
        <w:pStyle w:val="3"/>
        <w:numPr>
          <w:ilvl w:val="2"/>
          <w:numId w:val="5"/>
        </w:numPr>
        <w:tabs>
          <w:tab w:val="left" w:pos="1027"/>
        </w:tabs>
        <w:spacing w:before="105"/>
      </w:pPr>
      <w:bookmarkStart w:id="1091" w:name="10.E.2._Spring_Boot’s_“JarFile”_Class"/>
      <w:bookmarkStart w:id="1092" w:name="_Toc54424056"/>
      <w:bookmarkEnd w:id="1091"/>
      <w:r>
        <w:rPr>
          <w:color w:val="333333"/>
          <w:w w:val="110"/>
        </w:rPr>
        <w:t>Spring Boot’s “JarFile”</w:t>
      </w:r>
      <w:r>
        <w:rPr>
          <w:color w:val="333333"/>
          <w:spacing w:val="-20"/>
          <w:w w:val="110"/>
        </w:rPr>
        <w:t xml:space="preserve"> </w:t>
      </w:r>
      <w:r>
        <w:rPr>
          <w:color w:val="333333"/>
          <w:w w:val="110"/>
        </w:rPr>
        <w:t>Class</w:t>
      </w:r>
      <w:bookmarkEnd w:id="1092"/>
    </w:p>
    <w:p w14:paraId="55A3E545" w14:textId="77777777" w:rsidR="00A720EB" w:rsidRDefault="0030286B">
      <w:pPr>
        <w:pStyle w:val="a3"/>
        <w:spacing w:before="243" w:line="292" w:lineRule="auto"/>
        <w:ind w:left="124" w:right="122"/>
        <w:jc w:val="both"/>
      </w:pPr>
      <w:r>
        <w:rPr>
          <w:color w:val="333333"/>
          <w:w w:val="110"/>
        </w:rPr>
        <w:t>The</w:t>
      </w:r>
      <w:r>
        <w:rPr>
          <w:color w:val="333333"/>
          <w:spacing w:val="-22"/>
          <w:w w:val="110"/>
        </w:rPr>
        <w:t xml:space="preserve"> </w:t>
      </w:r>
      <w:r>
        <w:rPr>
          <w:color w:val="333333"/>
          <w:w w:val="110"/>
        </w:rPr>
        <w:t>core</w:t>
      </w:r>
      <w:r>
        <w:rPr>
          <w:color w:val="333333"/>
          <w:spacing w:val="-22"/>
          <w:w w:val="110"/>
        </w:rPr>
        <w:t xml:space="preserve"> </w:t>
      </w:r>
      <w:r>
        <w:rPr>
          <w:color w:val="333333"/>
          <w:w w:val="110"/>
        </w:rPr>
        <w:t>class</w:t>
      </w:r>
      <w:r>
        <w:rPr>
          <w:color w:val="333333"/>
          <w:spacing w:val="-21"/>
          <w:w w:val="110"/>
        </w:rPr>
        <w:t xml:space="preserve"> </w:t>
      </w:r>
      <w:r>
        <w:rPr>
          <w:color w:val="333333"/>
          <w:w w:val="110"/>
        </w:rPr>
        <w:t>used</w:t>
      </w:r>
      <w:r>
        <w:rPr>
          <w:color w:val="333333"/>
          <w:spacing w:val="-22"/>
          <w:w w:val="110"/>
        </w:rPr>
        <w:t xml:space="preserve"> </w:t>
      </w:r>
      <w:r>
        <w:rPr>
          <w:color w:val="333333"/>
          <w:w w:val="110"/>
        </w:rPr>
        <w:t>to</w:t>
      </w:r>
      <w:r>
        <w:rPr>
          <w:color w:val="333333"/>
          <w:spacing w:val="-21"/>
          <w:w w:val="110"/>
        </w:rPr>
        <w:t xml:space="preserve"> </w:t>
      </w:r>
      <w:r>
        <w:rPr>
          <w:color w:val="333333"/>
          <w:w w:val="110"/>
        </w:rPr>
        <w:t>support</w:t>
      </w:r>
      <w:r>
        <w:rPr>
          <w:color w:val="333333"/>
          <w:spacing w:val="-21"/>
          <w:w w:val="110"/>
        </w:rPr>
        <w:t xml:space="preserve"> </w:t>
      </w:r>
      <w:r>
        <w:rPr>
          <w:color w:val="333333"/>
          <w:w w:val="110"/>
        </w:rPr>
        <w:t>loading</w:t>
      </w:r>
      <w:r>
        <w:rPr>
          <w:color w:val="333333"/>
          <w:spacing w:val="-21"/>
          <w:w w:val="110"/>
        </w:rPr>
        <w:t xml:space="preserve"> </w:t>
      </w:r>
      <w:r>
        <w:rPr>
          <w:color w:val="333333"/>
          <w:w w:val="110"/>
        </w:rPr>
        <w:t>nested</w:t>
      </w:r>
      <w:r>
        <w:rPr>
          <w:color w:val="333333"/>
          <w:spacing w:val="-22"/>
          <w:w w:val="110"/>
        </w:rPr>
        <w:t xml:space="preserve"> </w:t>
      </w:r>
      <w:r>
        <w:rPr>
          <w:color w:val="333333"/>
          <w:w w:val="110"/>
        </w:rPr>
        <w:t>jars</w:t>
      </w:r>
      <w:r>
        <w:rPr>
          <w:color w:val="333333"/>
          <w:spacing w:val="-21"/>
          <w:w w:val="110"/>
        </w:rPr>
        <w:t xml:space="preserve"> </w:t>
      </w:r>
      <w:r>
        <w:rPr>
          <w:color w:val="333333"/>
          <w:w w:val="110"/>
        </w:rPr>
        <w:t>is</w:t>
      </w:r>
      <w:r>
        <w:rPr>
          <w:color w:val="333333"/>
          <w:spacing w:val="-21"/>
          <w:w w:val="110"/>
        </w:rPr>
        <w:t xml:space="preserve"> </w:t>
      </w:r>
      <w:proofErr w:type="gramStart"/>
      <w:r>
        <w:rPr>
          <w:rFonts w:ascii="MS Gothic"/>
          <w:color w:val="B02045"/>
          <w:w w:val="110"/>
        </w:rPr>
        <w:t>org.springframework.boot.loader.jar.JarFile</w:t>
      </w:r>
      <w:proofErr w:type="gramEnd"/>
      <w:r>
        <w:rPr>
          <w:color w:val="333333"/>
          <w:w w:val="110"/>
        </w:rPr>
        <w:t xml:space="preserve">. It lets you load jar content from a standard jar file or from nested child jar data. When first loaded, the location of each </w:t>
      </w:r>
      <w:r>
        <w:rPr>
          <w:rFonts w:ascii="MS Gothic"/>
          <w:color w:val="B02045"/>
          <w:w w:val="110"/>
        </w:rPr>
        <w:t xml:space="preserve">JarEntry </w:t>
      </w:r>
      <w:r>
        <w:rPr>
          <w:color w:val="333333"/>
          <w:w w:val="110"/>
        </w:rPr>
        <w:t>is mapped to a physical file offset of the outer jar, as shown in the following</w:t>
      </w:r>
      <w:r>
        <w:rPr>
          <w:color w:val="333333"/>
          <w:spacing w:val="3"/>
          <w:w w:val="110"/>
        </w:rPr>
        <w:t xml:space="preserve"> </w:t>
      </w:r>
      <w:r>
        <w:rPr>
          <w:color w:val="333333"/>
          <w:w w:val="110"/>
        </w:rPr>
        <w:t>example:</w:t>
      </w:r>
    </w:p>
    <w:p w14:paraId="0B9F6DE6" w14:textId="77777777" w:rsidR="00A720EB" w:rsidRDefault="00E10349">
      <w:pPr>
        <w:pStyle w:val="a3"/>
        <w:spacing w:before="5"/>
        <w:rPr>
          <w:sz w:val="14"/>
        </w:rPr>
      </w:pPr>
      <w:r>
        <w:pict w14:anchorId="50271A97">
          <v:group id="_x0000_s1036" style="position:absolute;margin-left:47.85pt;margin-top:10.45pt;width:499.55pt;height:155.45pt;z-index:-14997504;mso-wrap-distance-left:0;mso-wrap-distance-right:0;mso-position-horizontal-relative:page" coordorigin="957,209" coordsize="9991,3109">
            <v:shape id="_x0000_s1039" style="position:absolute;left:964;top:216;width:9976;height:3094" coordorigin="965,216" coordsize="9976,3094" path="m10861,216r-9816,l1014,223r-26,17l971,265r-6,31l965,3230r6,31l988,3286r26,17l1045,3310r9816,l10892,3303r25,-17l10935,3261r6,-31l10941,296r-6,-31l10917,240r-25,-17l10861,216xe" fillcolor="#f5f5f5" stroked="f">
              <v:path arrowok="t"/>
            </v:shape>
            <v:shape id="_x0000_s1038" style="position:absolute;left:964;top:216;width:9976;height:3094" coordorigin="965,216" coordsize="9976,3094" path="m1045,216r9816,l10892,223r25,17l10935,265r6,31l10941,3230r-6,31l10917,3286r-25,17l10861,3310r-9816,l1014,3303r-26,-17l971,3261r-6,-31l965,296r6,-31l988,240r26,-17l1045,216xe" filled="f" strokecolor="#ccc">
              <v:path arrowok="t"/>
            </v:shape>
            <v:shape id="_x0000_s1037" type="#_x0000_t202" style="position:absolute;left:984;top:231;width:9938;height:3063" filled="f" stroked="f">
              <v:textbox inset="0,0,0,0">
                <w:txbxContent>
                  <w:p w14:paraId="652B205E" w14:textId="77777777" w:rsidR="00711A16" w:rsidRDefault="00711A16">
                    <w:pPr>
                      <w:spacing w:before="221"/>
                      <w:ind w:left="200"/>
                      <w:rPr>
                        <w:rFonts w:ascii="MS Gothic"/>
                      </w:rPr>
                    </w:pPr>
                    <w:r>
                      <w:rPr>
                        <w:rFonts w:ascii="MS Gothic"/>
                        <w:color w:val="333333"/>
                      </w:rPr>
                      <w:t>myapp.jar</w:t>
                    </w:r>
                  </w:p>
                  <w:p w14:paraId="4285B2C1" w14:textId="77777777" w:rsidR="00711A16" w:rsidRDefault="00711A16">
                    <w:pPr>
                      <w:spacing w:before="13"/>
                      <w:ind w:left="200"/>
                      <w:rPr>
                        <w:rFonts w:ascii="MS Gothic"/>
                      </w:rPr>
                    </w:pPr>
                    <w:r>
                      <w:rPr>
                        <w:rFonts w:ascii="MS Gothic"/>
                        <w:color w:val="333333"/>
                      </w:rPr>
                      <w:t>+-------------------+-------------------------+</w:t>
                    </w:r>
                  </w:p>
                  <w:p w14:paraId="1E277294" w14:textId="77777777" w:rsidR="00711A16" w:rsidRDefault="00711A16">
                    <w:pPr>
                      <w:spacing w:before="13"/>
                      <w:ind w:left="200"/>
                      <w:rPr>
                        <w:rFonts w:ascii="MS Gothic"/>
                      </w:rPr>
                    </w:pPr>
                    <w:r>
                      <w:rPr>
                        <w:rFonts w:ascii="MS Gothic"/>
                        <w:color w:val="333333"/>
                      </w:rPr>
                      <w:t>| /BOOT-INF/classes | /BOOT-INF/lib/mylib.jar |</w:t>
                    </w:r>
                  </w:p>
                  <w:p w14:paraId="6A6350C9" w14:textId="77777777" w:rsidR="00711A16" w:rsidRDefault="00711A16">
                    <w:pPr>
                      <w:spacing w:before="13"/>
                      <w:ind w:left="200"/>
                      <w:rPr>
                        <w:rFonts w:ascii="MS Gothic"/>
                      </w:rPr>
                    </w:pPr>
                    <w:r>
                      <w:rPr>
                        <w:rFonts w:ascii="MS Gothic"/>
                        <w:color w:val="333333"/>
                      </w:rPr>
                      <w:t>|+-----------------+||+-----------+----------+|</w:t>
                    </w:r>
                  </w:p>
                  <w:p w14:paraId="7F1F119F" w14:textId="77777777" w:rsidR="00711A16" w:rsidRDefault="00711A16">
                    <w:pPr>
                      <w:tabs>
                        <w:tab w:val="left" w:pos="970"/>
                        <w:tab w:val="left" w:pos="2400"/>
                        <w:tab w:val="left" w:pos="2950"/>
                        <w:tab w:val="left" w:pos="3940"/>
                        <w:tab w:val="left" w:pos="4270"/>
                      </w:tabs>
                      <w:spacing w:before="12"/>
                      <w:ind w:left="200"/>
                      <w:rPr>
                        <w:rFonts w:ascii="MS Gothic"/>
                      </w:rPr>
                    </w:pPr>
                    <w:r>
                      <w:rPr>
                        <w:rFonts w:ascii="MS Gothic"/>
                        <w:color w:val="333333"/>
                      </w:rPr>
                      <w:t>||</w:t>
                    </w:r>
                    <w:r>
                      <w:rPr>
                        <w:rFonts w:ascii="MS Gothic"/>
                        <w:color w:val="333333"/>
                      </w:rPr>
                      <w:tab/>
                      <w:t>A.class</w:t>
                    </w:r>
                    <w:r>
                      <w:rPr>
                        <w:rFonts w:ascii="MS Gothic"/>
                        <w:color w:val="333333"/>
                      </w:rPr>
                      <w:tab/>
                      <w:t>|||</w:t>
                    </w:r>
                    <w:r>
                      <w:rPr>
                        <w:rFonts w:ascii="MS Gothic"/>
                        <w:color w:val="333333"/>
                      </w:rPr>
                      <w:tab/>
                      <w:t>B.class</w:t>
                    </w:r>
                    <w:r>
                      <w:rPr>
                        <w:rFonts w:ascii="MS Gothic"/>
                        <w:color w:val="333333"/>
                      </w:rPr>
                      <w:tab/>
                      <w:t>|</w:t>
                    </w:r>
                    <w:r>
                      <w:rPr>
                        <w:rFonts w:ascii="MS Gothic"/>
                        <w:color w:val="333333"/>
                      </w:rPr>
                      <w:tab/>
                      <w:t>C.class ||</w:t>
                    </w:r>
                  </w:p>
                  <w:p w14:paraId="65F40276" w14:textId="77777777" w:rsidR="00711A16" w:rsidRDefault="00711A16">
                    <w:pPr>
                      <w:spacing w:before="13"/>
                      <w:ind w:left="200"/>
                      <w:rPr>
                        <w:rFonts w:ascii="MS Gothic"/>
                      </w:rPr>
                    </w:pPr>
                    <w:r>
                      <w:rPr>
                        <w:rFonts w:ascii="MS Gothic"/>
                        <w:color w:val="333333"/>
                      </w:rPr>
                      <w:t>|+-----------------+||+-----------+----------+|</w:t>
                    </w:r>
                  </w:p>
                  <w:p w14:paraId="5D0F52E4" w14:textId="77777777" w:rsidR="00711A16" w:rsidRDefault="00711A16">
                    <w:pPr>
                      <w:spacing w:before="13"/>
                      <w:ind w:left="200"/>
                      <w:rPr>
                        <w:rFonts w:ascii="MS Gothic"/>
                      </w:rPr>
                    </w:pPr>
                    <w:r>
                      <w:rPr>
                        <w:rFonts w:ascii="MS Gothic"/>
                        <w:color w:val="333333"/>
                      </w:rPr>
                      <w:t>+-------------------+-------------------------+</w:t>
                    </w:r>
                  </w:p>
                  <w:p w14:paraId="2FEBCF7E" w14:textId="77777777" w:rsidR="00711A16" w:rsidRDefault="00711A16">
                    <w:pPr>
                      <w:tabs>
                        <w:tab w:val="left" w:pos="2620"/>
                        <w:tab w:val="left" w:pos="3940"/>
                      </w:tabs>
                      <w:spacing w:before="13"/>
                      <w:ind w:left="310"/>
                      <w:rPr>
                        <w:rFonts w:ascii="MS Gothic"/>
                      </w:rPr>
                    </w:pPr>
                    <w:r>
                      <w:rPr>
                        <w:rFonts w:ascii="MS Gothic"/>
                        <w:color w:val="333333"/>
                      </w:rPr>
                      <w:t>^</w:t>
                    </w:r>
                    <w:r>
                      <w:rPr>
                        <w:rFonts w:ascii="MS Gothic"/>
                        <w:color w:val="333333"/>
                      </w:rPr>
                      <w:tab/>
                      <w:t>^</w:t>
                    </w:r>
                    <w:r>
                      <w:rPr>
                        <w:rFonts w:ascii="MS Gothic"/>
                        <w:color w:val="333333"/>
                      </w:rPr>
                      <w:tab/>
                      <w:t>^</w:t>
                    </w:r>
                  </w:p>
                  <w:p w14:paraId="0483E660" w14:textId="77777777" w:rsidR="00711A16" w:rsidRDefault="00711A16">
                    <w:pPr>
                      <w:tabs>
                        <w:tab w:val="left" w:pos="2620"/>
                        <w:tab w:val="left" w:pos="3940"/>
                      </w:tabs>
                      <w:spacing w:before="13"/>
                      <w:ind w:left="310"/>
                      <w:rPr>
                        <w:rFonts w:ascii="MS Gothic"/>
                      </w:rPr>
                    </w:pPr>
                    <w:r>
                      <w:rPr>
                        <w:rFonts w:ascii="MS Gothic"/>
                        <w:color w:val="333333"/>
                      </w:rPr>
                      <w:t>0063</w:t>
                    </w:r>
                    <w:r>
                      <w:rPr>
                        <w:rFonts w:ascii="MS Gothic"/>
                        <w:color w:val="333333"/>
                      </w:rPr>
                      <w:tab/>
                      <w:t>3452</w:t>
                    </w:r>
                    <w:r>
                      <w:rPr>
                        <w:rFonts w:ascii="MS Gothic"/>
                        <w:color w:val="333333"/>
                      </w:rPr>
                      <w:tab/>
                      <w:t>3980</w:t>
                    </w:r>
                  </w:p>
                </w:txbxContent>
              </v:textbox>
            </v:shape>
            <w10:wrap type="topAndBottom" anchorx="page"/>
          </v:group>
        </w:pict>
      </w:r>
    </w:p>
    <w:p w14:paraId="7E47BE42" w14:textId="77777777" w:rsidR="00A720EB" w:rsidRDefault="00A720EB">
      <w:pPr>
        <w:pStyle w:val="a3"/>
        <w:spacing w:before="11"/>
        <w:rPr>
          <w:sz w:val="9"/>
        </w:rPr>
      </w:pPr>
    </w:p>
    <w:p w14:paraId="215AE28A" w14:textId="77777777" w:rsidR="00A720EB" w:rsidRDefault="0030286B">
      <w:pPr>
        <w:pStyle w:val="a3"/>
        <w:spacing w:before="115" w:line="280" w:lineRule="auto"/>
        <w:ind w:left="124" w:right="124"/>
        <w:jc w:val="both"/>
      </w:pPr>
      <w:r>
        <w:rPr>
          <w:color w:val="333333"/>
          <w:w w:val="110"/>
        </w:rPr>
        <w:t xml:space="preserve">The preceding example shows how </w:t>
      </w:r>
      <w:r>
        <w:rPr>
          <w:rFonts w:ascii="MS Gothic"/>
          <w:color w:val="B02045"/>
          <w:w w:val="110"/>
        </w:rPr>
        <w:t xml:space="preserve">A.class </w:t>
      </w:r>
      <w:r>
        <w:rPr>
          <w:color w:val="333333"/>
          <w:w w:val="110"/>
        </w:rPr>
        <w:t xml:space="preserve">can be found in </w:t>
      </w:r>
      <w:r>
        <w:rPr>
          <w:rFonts w:ascii="MS Gothic"/>
          <w:color w:val="B02045"/>
          <w:w w:val="110"/>
        </w:rPr>
        <w:t xml:space="preserve">/BOOT-INF/classes </w:t>
      </w:r>
      <w:r>
        <w:rPr>
          <w:color w:val="333333"/>
          <w:w w:val="110"/>
        </w:rPr>
        <w:t xml:space="preserve">in </w:t>
      </w:r>
      <w:r>
        <w:rPr>
          <w:rFonts w:ascii="MS Gothic"/>
          <w:color w:val="B02045"/>
          <w:w w:val="110"/>
        </w:rPr>
        <w:t xml:space="preserve">myapp.jar </w:t>
      </w:r>
      <w:r>
        <w:rPr>
          <w:color w:val="333333"/>
          <w:w w:val="110"/>
        </w:rPr>
        <w:t xml:space="preserve">at position </w:t>
      </w:r>
      <w:r>
        <w:rPr>
          <w:rFonts w:ascii="MS Gothic"/>
          <w:color w:val="B02045"/>
          <w:w w:val="110"/>
        </w:rPr>
        <w:t>0063</w:t>
      </w:r>
      <w:r>
        <w:rPr>
          <w:color w:val="333333"/>
          <w:w w:val="110"/>
        </w:rPr>
        <w:t xml:space="preserve">. </w:t>
      </w:r>
      <w:r>
        <w:rPr>
          <w:rFonts w:ascii="MS Gothic"/>
          <w:color w:val="B02045"/>
          <w:w w:val="110"/>
        </w:rPr>
        <w:t xml:space="preserve">B.class </w:t>
      </w:r>
      <w:r>
        <w:rPr>
          <w:color w:val="333333"/>
          <w:w w:val="110"/>
        </w:rPr>
        <w:t xml:space="preserve">from the nested jar can actually be found in </w:t>
      </w:r>
      <w:r>
        <w:rPr>
          <w:rFonts w:ascii="MS Gothic"/>
          <w:color w:val="B02045"/>
          <w:w w:val="110"/>
        </w:rPr>
        <w:t xml:space="preserve">myapp.jar </w:t>
      </w:r>
      <w:r>
        <w:rPr>
          <w:color w:val="333333"/>
          <w:w w:val="110"/>
        </w:rPr>
        <w:t xml:space="preserve">at position </w:t>
      </w:r>
      <w:r>
        <w:rPr>
          <w:rFonts w:ascii="MS Gothic"/>
          <w:color w:val="B02045"/>
          <w:w w:val="110"/>
        </w:rPr>
        <w:t>3452</w:t>
      </w:r>
      <w:r>
        <w:rPr>
          <w:color w:val="333333"/>
          <w:w w:val="110"/>
        </w:rPr>
        <w:t xml:space="preserve">, and </w:t>
      </w:r>
      <w:r>
        <w:rPr>
          <w:rFonts w:ascii="MS Gothic"/>
          <w:color w:val="B02045"/>
          <w:w w:val="110"/>
        </w:rPr>
        <w:t>C.class</w:t>
      </w:r>
      <w:r>
        <w:rPr>
          <w:rFonts w:ascii="MS Gothic"/>
          <w:color w:val="B02045"/>
          <w:spacing w:val="-55"/>
          <w:w w:val="110"/>
        </w:rPr>
        <w:t xml:space="preserve"> </w:t>
      </w:r>
      <w:r>
        <w:rPr>
          <w:color w:val="333333"/>
          <w:w w:val="110"/>
        </w:rPr>
        <w:t xml:space="preserve">is at position </w:t>
      </w:r>
      <w:r>
        <w:rPr>
          <w:rFonts w:ascii="MS Gothic"/>
          <w:color w:val="B02045"/>
          <w:w w:val="110"/>
        </w:rPr>
        <w:t>3980</w:t>
      </w:r>
      <w:r>
        <w:rPr>
          <w:color w:val="333333"/>
          <w:w w:val="110"/>
        </w:rPr>
        <w:t>.</w:t>
      </w:r>
    </w:p>
    <w:p w14:paraId="36B185A6" w14:textId="77777777" w:rsidR="00A720EB" w:rsidRDefault="00A720EB">
      <w:pPr>
        <w:pStyle w:val="a3"/>
        <w:spacing w:before="7"/>
      </w:pPr>
    </w:p>
    <w:p w14:paraId="53611003" w14:textId="77777777" w:rsidR="00A720EB" w:rsidRDefault="0030286B">
      <w:pPr>
        <w:pStyle w:val="a3"/>
        <w:spacing w:line="307" w:lineRule="auto"/>
        <w:ind w:left="124" w:right="129"/>
        <w:jc w:val="both"/>
      </w:pPr>
      <w:r>
        <w:rPr>
          <w:color w:val="333333"/>
          <w:w w:val="110"/>
        </w:rPr>
        <w:t xml:space="preserve">Armed with this information, we can load specific nested entries </w:t>
      </w:r>
      <w:r>
        <w:rPr>
          <w:color w:val="333333"/>
          <w:spacing w:val="-3"/>
          <w:w w:val="110"/>
        </w:rPr>
        <w:t xml:space="preserve">by </w:t>
      </w:r>
      <w:r>
        <w:rPr>
          <w:color w:val="333333"/>
          <w:w w:val="110"/>
        </w:rPr>
        <w:t xml:space="preserve">seeking to the appropriate part of the outer jar. </w:t>
      </w:r>
      <w:proofErr w:type="gramStart"/>
      <w:r>
        <w:rPr>
          <w:color w:val="333333"/>
          <w:spacing w:val="-7"/>
          <w:w w:val="110"/>
        </w:rPr>
        <w:t xml:space="preserve">We  </w:t>
      </w:r>
      <w:r>
        <w:rPr>
          <w:color w:val="333333"/>
          <w:w w:val="110"/>
        </w:rPr>
        <w:t>do</w:t>
      </w:r>
      <w:proofErr w:type="gramEnd"/>
      <w:r>
        <w:rPr>
          <w:color w:val="333333"/>
          <w:w w:val="110"/>
        </w:rPr>
        <w:t xml:space="preserve"> not need to unpack the archive, and we do not need to read all entry data </w:t>
      </w:r>
      <w:r>
        <w:rPr>
          <w:color w:val="333333"/>
          <w:spacing w:val="50"/>
          <w:w w:val="110"/>
        </w:rPr>
        <w:t xml:space="preserve"> </w:t>
      </w:r>
      <w:r>
        <w:rPr>
          <w:color w:val="333333"/>
          <w:w w:val="110"/>
        </w:rPr>
        <w:t>into</w:t>
      </w:r>
      <w:r>
        <w:rPr>
          <w:color w:val="333333"/>
          <w:spacing w:val="2"/>
          <w:w w:val="110"/>
        </w:rPr>
        <w:t xml:space="preserve"> </w:t>
      </w:r>
      <w:r>
        <w:rPr>
          <w:color w:val="333333"/>
          <w:spacing w:val="-4"/>
          <w:w w:val="110"/>
        </w:rPr>
        <w:t>memory.</w:t>
      </w:r>
    </w:p>
    <w:p w14:paraId="4DB033B5" w14:textId="77777777" w:rsidR="00A720EB" w:rsidRDefault="00A720EB">
      <w:pPr>
        <w:pStyle w:val="a3"/>
        <w:spacing w:before="8"/>
        <w:rPr>
          <w:sz w:val="25"/>
        </w:rPr>
      </w:pPr>
    </w:p>
    <w:p w14:paraId="7BBC80D0" w14:textId="77777777" w:rsidR="00A720EB" w:rsidRDefault="0030286B">
      <w:pPr>
        <w:pStyle w:val="4"/>
        <w:spacing w:before="1"/>
      </w:pPr>
      <w:bookmarkStart w:id="1093" w:name="Compatibility_with_the_Standard_Java_“Ja"/>
      <w:bookmarkEnd w:id="1093"/>
      <w:r>
        <w:rPr>
          <w:color w:val="333333"/>
          <w:w w:val="110"/>
        </w:rPr>
        <w:t>Compatibility with the Standard Java “JarFile”</w:t>
      </w:r>
    </w:p>
    <w:p w14:paraId="09A6B882" w14:textId="77777777" w:rsidR="00A720EB" w:rsidRDefault="00A720EB">
      <w:pPr>
        <w:pStyle w:val="a3"/>
        <w:spacing w:before="11"/>
        <w:rPr>
          <w:rFonts w:ascii="Palatino Linotype"/>
          <w:b/>
          <w:sz w:val="18"/>
        </w:rPr>
      </w:pPr>
    </w:p>
    <w:p w14:paraId="5C00F9F7" w14:textId="77777777" w:rsidR="00A720EB" w:rsidRDefault="0030286B">
      <w:pPr>
        <w:pStyle w:val="a3"/>
        <w:spacing w:line="288" w:lineRule="auto"/>
        <w:ind w:left="124" w:right="122"/>
        <w:jc w:val="both"/>
      </w:pPr>
      <w:r>
        <w:rPr>
          <w:color w:val="333333"/>
          <w:w w:val="110"/>
        </w:rPr>
        <w:t xml:space="preserve">Spring Boot Loader strives to remain compatible with existing code and libraries. </w:t>
      </w:r>
      <w:proofErr w:type="gramStart"/>
      <w:r>
        <w:rPr>
          <w:rFonts w:ascii="MS Gothic" w:hAnsi="MS Gothic"/>
          <w:color w:val="B02045"/>
          <w:w w:val="105"/>
        </w:rPr>
        <w:t>org.springframework.boot.loader.jar.JarFile</w:t>
      </w:r>
      <w:proofErr w:type="gramEnd"/>
      <w:r>
        <w:rPr>
          <w:rFonts w:ascii="MS Gothic" w:hAnsi="MS Gothic"/>
          <w:color w:val="B02045"/>
          <w:spacing w:val="-72"/>
          <w:w w:val="105"/>
        </w:rPr>
        <w:t xml:space="preserve"> </w:t>
      </w:r>
      <w:r>
        <w:rPr>
          <w:color w:val="333333"/>
          <w:w w:val="105"/>
        </w:rPr>
        <w:t>extends</w:t>
      </w:r>
      <w:r>
        <w:rPr>
          <w:color w:val="333333"/>
          <w:spacing w:val="-10"/>
          <w:w w:val="105"/>
        </w:rPr>
        <w:t xml:space="preserve"> </w:t>
      </w:r>
      <w:r>
        <w:rPr>
          <w:color w:val="333333"/>
          <w:w w:val="105"/>
        </w:rPr>
        <w:t>from</w:t>
      </w:r>
      <w:r>
        <w:rPr>
          <w:color w:val="333333"/>
          <w:spacing w:val="-10"/>
          <w:w w:val="105"/>
        </w:rPr>
        <w:t xml:space="preserve"> </w:t>
      </w:r>
      <w:r>
        <w:rPr>
          <w:rFonts w:ascii="MS Gothic" w:hAnsi="MS Gothic"/>
          <w:color w:val="B02045"/>
          <w:w w:val="105"/>
        </w:rPr>
        <w:t>java.util.jar.JarFile</w:t>
      </w:r>
      <w:r>
        <w:rPr>
          <w:rFonts w:ascii="MS Gothic" w:hAnsi="MS Gothic"/>
          <w:color w:val="B02045"/>
          <w:spacing w:val="-72"/>
          <w:w w:val="105"/>
        </w:rPr>
        <w:t xml:space="preserve"> </w:t>
      </w:r>
      <w:r>
        <w:rPr>
          <w:color w:val="333333"/>
          <w:w w:val="105"/>
        </w:rPr>
        <w:t>and</w:t>
      </w:r>
      <w:r>
        <w:rPr>
          <w:color w:val="333333"/>
          <w:spacing w:val="-10"/>
          <w:w w:val="105"/>
        </w:rPr>
        <w:t xml:space="preserve"> </w:t>
      </w:r>
      <w:r>
        <w:rPr>
          <w:color w:val="333333"/>
          <w:w w:val="105"/>
        </w:rPr>
        <w:t>should</w:t>
      </w:r>
      <w:r>
        <w:rPr>
          <w:color w:val="333333"/>
          <w:spacing w:val="-10"/>
          <w:w w:val="105"/>
        </w:rPr>
        <w:t xml:space="preserve"> </w:t>
      </w:r>
      <w:r>
        <w:rPr>
          <w:color w:val="333333"/>
          <w:w w:val="105"/>
        </w:rPr>
        <w:t xml:space="preserve">work </w:t>
      </w:r>
      <w:r>
        <w:rPr>
          <w:color w:val="333333"/>
          <w:w w:val="110"/>
        </w:rPr>
        <w:t xml:space="preserve">as a drop-in replacement. The </w:t>
      </w:r>
      <w:proofErr w:type="gramStart"/>
      <w:r>
        <w:rPr>
          <w:rFonts w:ascii="MS Gothic" w:hAnsi="MS Gothic"/>
          <w:color w:val="B02045"/>
          <w:w w:val="110"/>
        </w:rPr>
        <w:t>getURL(</w:t>
      </w:r>
      <w:proofErr w:type="gramEnd"/>
      <w:r>
        <w:rPr>
          <w:rFonts w:ascii="MS Gothic" w:hAnsi="MS Gothic"/>
          <w:color w:val="B02045"/>
          <w:w w:val="110"/>
        </w:rPr>
        <w:t xml:space="preserve">) </w:t>
      </w:r>
      <w:r>
        <w:rPr>
          <w:color w:val="333333"/>
          <w:w w:val="110"/>
        </w:rPr>
        <w:t xml:space="preserve">method returns a </w:t>
      </w:r>
      <w:r>
        <w:rPr>
          <w:rFonts w:ascii="MS Gothic" w:hAnsi="MS Gothic"/>
          <w:color w:val="B02045"/>
          <w:w w:val="110"/>
        </w:rPr>
        <w:t xml:space="preserve">URL </w:t>
      </w:r>
      <w:r>
        <w:rPr>
          <w:color w:val="333333"/>
          <w:w w:val="110"/>
        </w:rPr>
        <w:t xml:space="preserve">that opens a connection compatible with </w:t>
      </w:r>
      <w:r>
        <w:rPr>
          <w:rFonts w:ascii="MS Gothic" w:hAnsi="MS Gothic"/>
          <w:color w:val="B02045"/>
          <w:w w:val="110"/>
        </w:rPr>
        <w:t>java.net.JarURLConnection</w:t>
      </w:r>
      <w:r>
        <w:rPr>
          <w:rFonts w:ascii="MS Gothic" w:hAnsi="MS Gothic"/>
          <w:color w:val="B02045"/>
          <w:spacing w:val="-92"/>
          <w:w w:val="110"/>
        </w:rPr>
        <w:t xml:space="preserve"> </w:t>
      </w:r>
      <w:r>
        <w:rPr>
          <w:color w:val="333333"/>
          <w:w w:val="110"/>
        </w:rPr>
        <w:t xml:space="preserve">and can be used with Java’s </w:t>
      </w:r>
      <w:r>
        <w:rPr>
          <w:rFonts w:ascii="MS Gothic" w:hAnsi="MS Gothic"/>
          <w:color w:val="B02045"/>
          <w:w w:val="110"/>
        </w:rPr>
        <w:t>URLClassLoader</w:t>
      </w:r>
      <w:r>
        <w:rPr>
          <w:color w:val="333333"/>
          <w:w w:val="110"/>
        </w:rPr>
        <w:t>.</w:t>
      </w:r>
    </w:p>
    <w:p w14:paraId="2C824F0D" w14:textId="77777777" w:rsidR="00A720EB" w:rsidRDefault="00A720EB">
      <w:pPr>
        <w:pStyle w:val="a3"/>
        <w:spacing w:before="6"/>
        <w:rPr>
          <w:sz w:val="25"/>
        </w:rPr>
      </w:pPr>
    </w:p>
    <w:p w14:paraId="1E1F62CB" w14:textId="77777777" w:rsidR="00A720EB" w:rsidRDefault="0030286B">
      <w:pPr>
        <w:pStyle w:val="3"/>
        <w:numPr>
          <w:ilvl w:val="2"/>
          <w:numId w:val="5"/>
        </w:numPr>
        <w:tabs>
          <w:tab w:val="left" w:pos="1027"/>
        </w:tabs>
      </w:pPr>
      <w:bookmarkStart w:id="1094" w:name="10.E.3._Launching_Executable_Jars"/>
      <w:bookmarkStart w:id="1095" w:name="_Toc54424057"/>
      <w:bookmarkEnd w:id="1094"/>
      <w:r>
        <w:rPr>
          <w:color w:val="333333"/>
          <w:w w:val="115"/>
        </w:rPr>
        <w:t>Launching Executable</w:t>
      </w:r>
      <w:r>
        <w:rPr>
          <w:color w:val="333333"/>
          <w:spacing w:val="-20"/>
          <w:w w:val="115"/>
        </w:rPr>
        <w:t xml:space="preserve"> </w:t>
      </w:r>
      <w:r>
        <w:rPr>
          <w:color w:val="333333"/>
          <w:w w:val="115"/>
        </w:rPr>
        <w:t>Jars</w:t>
      </w:r>
      <w:bookmarkEnd w:id="1095"/>
    </w:p>
    <w:p w14:paraId="351DBAA5" w14:textId="77777777" w:rsidR="00A720EB" w:rsidRDefault="0030286B">
      <w:pPr>
        <w:pStyle w:val="a3"/>
        <w:spacing w:before="243" w:line="280" w:lineRule="auto"/>
        <w:ind w:left="124" w:right="126"/>
        <w:jc w:val="both"/>
      </w:pPr>
      <w:r>
        <w:rPr>
          <w:color w:val="333333"/>
          <w:w w:val="110"/>
        </w:rPr>
        <w:t xml:space="preserve">The </w:t>
      </w:r>
      <w:proofErr w:type="gramStart"/>
      <w:r>
        <w:rPr>
          <w:rFonts w:ascii="MS Gothic" w:hAnsi="MS Gothic"/>
          <w:color w:val="B02045"/>
          <w:w w:val="110"/>
        </w:rPr>
        <w:t>org.springframework</w:t>
      </w:r>
      <w:proofErr w:type="gramEnd"/>
      <w:r>
        <w:rPr>
          <w:rFonts w:ascii="MS Gothic" w:hAnsi="MS Gothic"/>
          <w:color w:val="B02045"/>
          <w:w w:val="110"/>
        </w:rPr>
        <w:t>.boot.loader.Launcher</w:t>
      </w:r>
      <w:r>
        <w:rPr>
          <w:rFonts w:ascii="MS Gothic" w:hAnsi="MS Gothic"/>
          <w:color w:val="B02045"/>
          <w:spacing w:val="-73"/>
          <w:w w:val="110"/>
        </w:rPr>
        <w:t xml:space="preserve"> </w:t>
      </w:r>
      <w:r>
        <w:rPr>
          <w:color w:val="333333"/>
          <w:w w:val="110"/>
        </w:rPr>
        <w:t xml:space="preserve">class is a special bootstrap class that is used as an executable jar’s main entry point. It is the actual </w:t>
      </w:r>
      <w:r>
        <w:rPr>
          <w:rFonts w:ascii="MS Gothic" w:hAnsi="MS Gothic"/>
          <w:color w:val="B02045"/>
          <w:w w:val="110"/>
        </w:rPr>
        <w:t xml:space="preserve">Main-Class </w:t>
      </w:r>
      <w:r>
        <w:rPr>
          <w:color w:val="333333"/>
          <w:w w:val="110"/>
        </w:rPr>
        <w:t xml:space="preserve">in your jar file, and it is used to </w:t>
      </w:r>
      <w:proofErr w:type="gramStart"/>
      <w:r>
        <w:rPr>
          <w:color w:val="333333"/>
          <w:w w:val="110"/>
        </w:rPr>
        <w:t>setup  an</w:t>
      </w:r>
      <w:proofErr w:type="gramEnd"/>
      <w:r>
        <w:rPr>
          <w:color w:val="333333"/>
          <w:w w:val="110"/>
        </w:rPr>
        <w:t xml:space="preserve"> appropriate</w:t>
      </w:r>
      <w:r>
        <w:rPr>
          <w:color w:val="333333"/>
          <w:spacing w:val="3"/>
          <w:w w:val="110"/>
        </w:rPr>
        <w:t xml:space="preserve"> </w:t>
      </w:r>
      <w:r>
        <w:rPr>
          <w:rFonts w:ascii="MS Gothic" w:hAnsi="MS Gothic"/>
          <w:color w:val="B02045"/>
          <w:w w:val="110"/>
        </w:rPr>
        <w:t>URLClassLoader</w:t>
      </w:r>
      <w:r>
        <w:rPr>
          <w:rFonts w:ascii="MS Gothic" w:hAnsi="MS Gothic"/>
          <w:color w:val="B02045"/>
          <w:spacing w:val="-64"/>
          <w:w w:val="110"/>
        </w:rPr>
        <w:t xml:space="preserve"> </w:t>
      </w:r>
      <w:r>
        <w:rPr>
          <w:color w:val="333333"/>
          <w:w w:val="110"/>
        </w:rPr>
        <w:t>and ultimately call</w:t>
      </w:r>
      <w:r>
        <w:rPr>
          <w:color w:val="333333"/>
          <w:spacing w:val="1"/>
          <w:w w:val="110"/>
        </w:rPr>
        <w:t xml:space="preserve"> </w:t>
      </w:r>
      <w:r>
        <w:rPr>
          <w:color w:val="333333"/>
          <w:w w:val="110"/>
        </w:rPr>
        <w:t>your</w:t>
      </w:r>
      <w:r>
        <w:rPr>
          <w:color w:val="333333"/>
          <w:spacing w:val="5"/>
          <w:w w:val="110"/>
        </w:rPr>
        <w:t xml:space="preserve"> </w:t>
      </w:r>
      <w:r>
        <w:rPr>
          <w:rFonts w:ascii="MS Gothic" w:hAnsi="MS Gothic"/>
          <w:color w:val="B02045"/>
          <w:w w:val="110"/>
        </w:rPr>
        <w:t>main()</w:t>
      </w:r>
      <w:r>
        <w:rPr>
          <w:rFonts w:ascii="MS Gothic" w:hAnsi="MS Gothic"/>
          <w:color w:val="B02045"/>
          <w:spacing w:val="-64"/>
          <w:w w:val="110"/>
        </w:rPr>
        <w:t xml:space="preserve"> </w:t>
      </w:r>
      <w:r>
        <w:rPr>
          <w:color w:val="333333"/>
          <w:w w:val="110"/>
        </w:rPr>
        <w:t>method.</w:t>
      </w:r>
    </w:p>
    <w:p w14:paraId="508E2EEC" w14:textId="77777777" w:rsidR="00A720EB" w:rsidRDefault="0030286B">
      <w:pPr>
        <w:pStyle w:val="a3"/>
        <w:spacing w:before="243"/>
        <w:ind w:left="124"/>
        <w:jc w:val="both"/>
      </w:pPr>
      <w:r>
        <w:rPr>
          <w:color w:val="333333"/>
          <w:w w:val="110"/>
        </w:rPr>
        <w:t>There are three launcher subclasses (</w:t>
      </w:r>
      <w:r>
        <w:rPr>
          <w:rFonts w:ascii="MS Gothic"/>
          <w:color w:val="B02045"/>
          <w:w w:val="110"/>
        </w:rPr>
        <w:t>JarLauncher</w:t>
      </w:r>
      <w:r>
        <w:rPr>
          <w:color w:val="333333"/>
          <w:w w:val="110"/>
        </w:rPr>
        <w:t xml:space="preserve">, </w:t>
      </w:r>
      <w:r>
        <w:rPr>
          <w:rFonts w:ascii="MS Gothic"/>
          <w:color w:val="B02045"/>
          <w:w w:val="110"/>
        </w:rPr>
        <w:t>WarLauncher</w:t>
      </w:r>
      <w:r>
        <w:rPr>
          <w:color w:val="333333"/>
          <w:w w:val="110"/>
        </w:rPr>
        <w:t xml:space="preserve">, and </w:t>
      </w:r>
      <w:r>
        <w:rPr>
          <w:rFonts w:ascii="MS Gothic"/>
          <w:color w:val="B02045"/>
          <w:w w:val="110"/>
        </w:rPr>
        <w:t>PropertiesLauncher</w:t>
      </w:r>
      <w:r>
        <w:rPr>
          <w:color w:val="333333"/>
          <w:w w:val="110"/>
        </w:rPr>
        <w:t>). Their</w:t>
      </w:r>
    </w:p>
    <w:p w14:paraId="79AAEB8C" w14:textId="77777777" w:rsidR="00A720EB" w:rsidRDefault="00A720EB">
      <w:pPr>
        <w:jc w:val="both"/>
        <w:sectPr w:rsidR="00A720EB">
          <w:pgSz w:w="11910" w:h="16840"/>
          <w:pgMar w:top="620" w:right="840" w:bottom="520" w:left="840" w:header="0" w:footer="323" w:gutter="0"/>
          <w:cols w:space="720"/>
        </w:sectPr>
      </w:pPr>
    </w:p>
    <w:p w14:paraId="2D1B5591" w14:textId="77777777" w:rsidR="00A720EB" w:rsidRDefault="0030286B">
      <w:pPr>
        <w:pStyle w:val="a3"/>
        <w:spacing w:before="96" w:line="283" w:lineRule="auto"/>
        <w:ind w:left="124" w:right="122"/>
        <w:jc w:val="both"/>
      </w:pPr>
      <w:r>
        <w:rPr>
          <w:color w:val="333333"/>
          <w:w w:val="110"/>
        </w:rPr>
        <w:lastRenderedPageBreak/>
        <w:t>purpose is to load resources (</w:t>
      </w:r>
      <w:r>
        <w:rPr>
          <w:rFonts w:ascii="MS Gothic"/>
          <w:color w:val="B02045"/>
          <w:w w:val="110"/>
        </w:rPr>
        <w:t xml:space="preserve">.class </w:t>
      </w:r>
      <w:r>
        <w:rPr>
          <w:color w:val="333333"/>
          <w:w w:val="110"/>
        </w:rPr>
        <w:t xml:space="preserve">files and so on) from nested jar files or war files in directories (as opposed to those explicitly on the classpath). In the case of </w:t>
      </w:r>
      <w:r>
        <w:rPr>
          <w:rFonts w:ascii="MS Gothic"/>
          <w:color w:val="B02045"/>
          <w:w w:val="110"/>
        </w:rPr>
        <w:t xml:space="preserve">JarLauncher </w:t>
      </w:r>
      <w:r>
        <w:rPr>
          <w:color w:val="333333"/>
          <w:w w:val="110"/>
        </w:rPr>
        <w:t xml:space="preserve">and </w:t>
      </w:r>
      <w:r>
        <w:rPr>
          <w:rFonts w:ascii="MS Gothic"/>
          <w:color w:val="B02045"/>
          <w:w w:val="110"/>
        </w:rPr>
        <w:t>WarLauncher</w:t>
      </w:r>
      <w:r>
        <w:rPr>
          <w:color w:val="333333"/>
          <w:w w:val="110"/>
        </w:rPr>
        <w:t xml:space="preserve">, the nested paths are fixed. </w:t>
      </w:r>
      <w:r>
        <w:rPr>
          <w:rFonts w:ascii="MS Gothic"/>
          <w:color w:val="B02045"/>
          <w:w w:val="110"/>
        </w:rPr>
        <w:t>JarLauncher</w:t>
      </w:r>
      <w:r>
        <w:rPr>
          <w:rFonts w:ascii="MS Gothic"/>
          <w:color w:val="B02045"/>
          <w:spacing w:val="-64"/>
          <w:w w:val="110"/>
        </w:rPr>
        <w:t xml:space="preserve"> </w:t>
      </w:r>
      <w:r>
        <w:rPr>
          <w:color w:val="333333"/>
          <w:w w:val="110"/>
        </w:rPr>
        <w:t xml:space="preserve">looks in </w:t>
      </w:r>
      <w:r>
        <w:rPr>
          <w:rFonts w:ascii="MS Gothic"/>
          <w:color w:val="B02045"/>
          <w:w w:val="110"/>
        </w:rPr>
        <w:t>BOOT-INF/lib/</w:t>
      </w:r>
      <w:r>
        <w:rPr>
          <w:color w:val="333333"/>
          <w:w w:val="110"/>
        </w:rPr>
        <w:t xml:space="preserve">, and </w:t>
      </w:r>
      <w:r>
        <w:rPr>
          <w:rFonts w:ascii="MS Gothic"/>
          <w:color w:val="B02045"/>
          <w:w w:val="110"/>
        </w:rPr>
        <w:t>WarLauncher</w:t>
      </w:r>
      <w:r>
        <w:rPr>
          <w:rFonts w:ascii="MS Gothic"/>
          <w:color w:val="B02045"/>
          <w:spacing w:val="-64"/>
          <w:w w:val="110"/>
        </w:rPr>
        <w:t xml:space="preserve"> </w:t>
      </w:r>
      <w:r>
        <w:rPr>
          <w:color w:val="333333"/>
          <w:w w:val="110"/>
        </w:rPr>
        <w:t xml:space="preserve">looks in </w:t>
      </w:r>
      <w:r>
        <w:rPr>
          <w:rFonts w:ascii="MS Gothic"/>
          <w:color w:val="B02045"/>
          <w:w w:val="110"/>
        </w:rPr>
        <w:t xml:space="preserve">WEB-INF/lib/ </w:t>
      </w:r>
      <w:r>
        <w:rPr>
          <w:color w:val="333333"/>
          <w:w w:val="110"/>
        </w:rPr>
        <w:t xml:space="preserve">and </w:t>
      </w:r>
      <w:r>
        <w:rPr>
          <w:rFonts w:ascii="MS Gothic"/>
          <w:color w:val="B02045"/>
          <w:w w:val="110"/>
        </w:rPr>
        <w:t>WEB-INF/lib-provided/</w:t>
      </w:r>
      <w:r>
        <w:rPr>
          <w:color w:val="333333"/>
          <w:w w:val="110"/>
        </w:rPr>
        <w:t xml:space="preserve">. </w:t>
      </w:r>
      <w:r>
        <w:rPr>
          <w:color w:val="333333"/>
          <w:spacing w:val="-6"/>
          <w:w w:val="110"/>
        </w:rPr>
        <w:t xml:space="preserve">You </w:t>
      </w:r>
      <w:r>
        <w:rPr>
          <w:color w:val="333333"/>
          <w:w w:val="110"/>
        </w:rPr>
        <w:t xml:space="preserve">can add extra jars in those locations if you want more. The </w:t>
      </w:r>
      <w:r>
        <w:rPr>
          <w:rFonts w:ascii="MS Gothic"/>
          <w:color w:val="B02045"/>
          <w:w w:val="110"/>
        </w:rPr>
        <w:t xml:space="preserve">PropertiesLauncher </w:t>
      </w:r>
      <w:r>
        <w:rPr>
          <w:color w:val="333333"/>
          <w:w w:val="110"/>
        </w:rPr>
        <w:t xml:space="preserve">looks in </w:t>
      </w:r>
      <w:r>
        <w:rPr>
          <w:rFonts w:ascii="MS Gothic"/>
          <w:color w:val="B02045"/>
          <w:w w:val="110"/>
        </w:rPr>
        <w:t xml:space="preserve">BOOT-INF/lib/ </w:t>
      </w:r>
      <w:r>
        <w:rPr>
          <w:color w:val="333333"/>
          <w:w w:val="110"/>
        </w:rPr>
        <w:t xml:space="preserve">in your application archive </w:t>
      </w:r>
      <w:r>
        <w:rPr>
          <w:color w:val="333333"/>
          <w:spacing w:val="-3"/>
          <w:w w:val="110"/>
        </w:rPr>
        <w:t xml:space="preserve">by </w:t>
      </w:r>
      <w:r>
        <w:rPr>
          <w:color w:val="333333"/>
          <w:w w:val="110"/>
        </w:rPr>
        <w:t xml:space="preserve">default. </w:t>
      </w:r>
      <w:r>
        <w:rPr>
          <w:color w:val="333333"/>
          <w:spacing w:val="-6"/>
          <w:w w:val="110"/>
        </w:rPr>
        <w:t xml:space="preserve">You </w:t>
      </w:r>
      <w:r>
        <w:rPr>
          <w:color w:val="333333"/>
          <w:w w:val="110"/>
        </w:rPr>
        <w:t xml:space="preserve">can add additional locations </w:t>
      </w:r>
      <w:r>
        <w:rPr>
          <w:color w:val="333333"/>
          <w:spacing w:val="-3"/>
          <w:w w:val="110"/>
        </w:rPr>
        <w:t xml:space="preserve">by </w:t>
      </w:r>
      <w:r>
        <w:rPr>
          <w:color w:val="333333"/>
          <w:w w:val="110"/>
        </w:rPr>
        <w:t xml:space="preserve">setting an environment variable called </w:t>
      </w:r>
      <w:r>
        <w:rPr>
          <w:rFonts w:ascii="MS Gothic"/>
          <w:color w:val="B02045"/>
          <w:w w:val="110"/>
        </w:rPr>
        <w:t xml:space="preserve">LOADER_PATH </w:t>
      </w:r>
      <w:r>
        <w:rPr>
          <w:color w:val="333333"/>
          <w:w w:val="110"/>
        </w:rPr>
        <w:t xml:space="preserve">or </w:t>
      </w:r>
      <w:proofErr w:type="gramStart"/>
      <w:r>
        <w:rPr>
          <w:rFonts w:ascii="MS Gothic"/>
          <w:color w:val="B02045"/>
          <w:w w:val="110"/>
        </w:rPr>
        <w:t>loader.path</w:t>
      </w:r>
      <w:proofErr w:type="gramEnd"/>
      <w:r>
        <w:rPr>
          <w:rFonts w:ascii="MS Gothic"/>
          <w:color w:val="B02045"/>
          <w:w w:val="110"/>
        </w:rPr>
        <w:t xml:space="preserve"> </w:t>
      </w:r>
      <w:r>
        <w:rPr>
          <w:color w:val="333333"/>
          <w:w w:val="110"/>
        </w:rPr>
        <w:t xml:space="preserve">in </w:t>
      </w:r>
      <w:r>
        <w:rPr>
          <w:rFonts w:ascii="MS Gothic"/>
          <w:color w:val="B02045"/>
          <w:w w:val="110"/>
        </w:rPr>
        <w:t xml:space="preserve">loader.properties </w:t>
      </w:r>
      <w:r>
        <w:rPr>
          <w:color w:val="333333"/>
          <w:w w:val="110"/>
        </w:rPr>
        <w:t>(which is a comma-separated list of directories, archives, or directories within archives).</w:t>
      </w:r>
    </w:p>
    <w:p w14:paraId="0CAE7153" w14:textId="77777777" w:rsidR="00A720EB" w:rsidRDefault="00A720EB">
      <w:pPr>
        <w:pStyle w:val="a3"/>
        <w:spacing w:before="6"/>
        <w:rPr>
          <w:sz w:val="27"/>
        </w:rPr>
      </w:pPr>
    </w:p>
    <w:p w14:paraId="1B3E21DF" w14:textId="77777777" w:rsidR="00A720EB" w:rsidRDefault="0030286B">
      <w:pPr>
        <w:pStyle w:val="4"/>
      </w:pPr>
      <w:bookmarkStart w:id="1096" w:name="Launcher_Manifest"/>
      <w:bookmarkEnd w:id="1096"/>
      <w:r>
        <w:rPr>
          <w:color w:val="333333"/>
          <w:w w:val="110"/>
        </w:rPr>
        <w:t>Launcher Manifest</w:t>
      </w:r>
    </w:p>
    <w:p w14:paraId="39A61BA3" w14:textId="77777777" w:rsidR="00A720EB" w:rsidRDefault="0030286B">
      <w:pPr>
        <w:pStyle w:val="a3"/>
        <w:spacing w:before="244" w:line="280" w:lineRule="auto"/>
        <w:ind w:left="124" w:right="122"/>
        <w:jc w:val="both"/>
      </w:pPr>
      <w:r>
        <w:rPr>
          <w:color w:val="333333"/>
          <w:spacing w:val="-6"/>
          <w:w w:val="110"/>
        </w:rPr>
        <w:t>You</w:t>
      </w:r>
      <w:r>
        <w:rPr>
          <w:color w:val="333333"/>
          <w:spacing w:val="-22"/>
          <w:w w:val="110"/>
        </w:rPr>
        <w:t xml:space="preserve"> </w:t>
      </w:r>
      <w:r>
        <w:rPr>
          <w:color w:val="333333"/>
          <w:w w:val="110"/>
        </w:rPr>
        <w:t>need</w:t>
      </w:r>
      <w:r>
        <w:rPr>
          <w:color w:val="333333"/>
          <w:spacing w:val="-21"/>
          <w:w w:val="110"/>
        </w:rPr>
        <w:t xml:space="preserve"> </w:t>
      </w:r>
      <w:r>
        <w:rPr>
          <w:color w:val="333333"/>
          <w:w w:val="110"/>
        </w:rPr>
        <w:t>to</w:t>
      </w:r>
      <w:r>
        <w:rPr>
          <w:color w:val="333333"/>
          <w:spacing w:val="-21"/>
          <w:w w:val="110"/>
        </w:rPr>
        <w:t xml:space="preserve"> </w:t>
      </w:r>
      <w:r>
        <w:rPr>
          <w:color w:val="333333"/>
          <w:w w:val="110"/>
        </w:rPr>
        <w:t>specify</w:t>
      </w:r>
      <w:r>
        <w:rPr>
          <w:color w:val="333333"/>
          <w:spacing w:val="-21"/>
          <w:w w:val="110"/>
        </w:rPr>
        <w:t xml:space="preserve"> </w:t>
      </w:r>
      <w:r>
        <w:rPr>
          <w:color w:val="333333"/>
          <w:w w:val="110"/>
        </w:rPr>
        <w:t>an</w:t>
      </w:r>
      <w:r>
        <w:rPr>
          <w:color w:val="333333"/>
          <w:spacing w:val="-21"/>
          <w:w w:val="110"/>
        </w:rPr>
        <w:t xml:space="preserve"> </w:t>
      </w:r>
      <w:r>
        <w:rPr>
          <w:color w:val="333333"/>
          <w:w w:val="110"/>
        </w:rPr>
        <w:t>appropriate</w:t>
      </w:r>
      <w:r>
        <w:rPr>
          <w:color w:val="333333"/>
          <w:spacing w:val="-20"/>
          <w:w w:val="110"/>
        </w:rPr>
        <w:t xml:space="preserve"> </w:t>
      </w:r>
      <w:r>
        <w:rPr>
          <w:rFonts w:ascii="MS Gothic"/>
          <w:color w:val="B02045"/>
          <w:w w:val="110"/>
        </w:rPr>
        <w:t>Launcher</w:t>
      </w:r>
      <w:r>
        <w:rPr>
          <w:rFonts w:ascii="MS Gothic"/>
          <w:color w:val="B02045"/>
          <w:spacing w:val="-85"/>
          <w:w w:val="110"/>
        </w:rPr>
        <w:t xml:space="preserve"> </w:t>
      </w:r>
      <w:r>
        <w:rPr>
          <w:color w:val="333333"/>
          <w:w w:val="110"/>
        </w:rPr>
        <w:t>as</w:t>
      </w:r>
      <w:r>
        <w:rPr>
          <w:color w:val="333333"/>
          <w:spacing w:val="-21"/>
          <w:w w:val="110"/>
        </w:rPr>
        <w:t xml:space="preserve"> </w:t>
      </w:r>
      <w:r>
        <w:rPr>
          <w:color w:val="333333"/>
          <w:w w:val="110"/>
        </w:rPr>
        <w:t>the</w:t>
      </w:r>
      <w:r>
        <w:rPr>
          <w:color w:val="333333"/>
          <w:spacing w:val="-21"/>
          <w:w w:val="110"/>
        </w:rPr>
        <w:t xml:space="preserve"> </w:t>
      </w:r>
      <w:r>
        <w:rPr>
          <w:rFonts w:ascii="MS Gothic"/>
          <w:color w:val="B02045"/>
          <w:w w:val="110"/>
        </w:rPr>
        <w:t>Main-Class</w:t>
      </w:r>
      <w:r>
        <w:rPr>
          <w:rFonts w:ascii="MS Gothic"/>
          <w:color w:val="B02045"/>
          <w:spacing w:val="-85"/>
          <w:w w:val="110"/>
        </w:rPr>
        <w:t xml:space="preserve"> </w:t>
      </w:r>
      <w:r>
        <w:rPr>
          <w:color w:val="333333"/>
          <w:w w:val="110"/>
        </w:rPr>
        <w:t>attribute</w:t>
      </w:r>
      <w:r>
        <w:rPr>
          <w:color w:val="333333"/>
          <w:spacing w:val="-21"/>
          <w:w w:val="110"/>
        </w:rPr>
        <w:t xml:space="preserve"> </w:t>
      </w:r>
      <w:r>
        <w:rPr>
          <w:color w:val="333333"/>
          <w:w w:val="110"/>
        </w:rPr>
        <w:t>of</w:t>
      </w:r>
      <w:r>
        <w:rPr>
          <w:color w:val="333333"/>
          <w:spacing w:val="-20"/>
          <w:w w:val="110"/>
        </w:rPr>
        <w:t xml:space="preserve"> </w:t>
      </w:r>
      <w:r>
        <w:rPr>
          <w:rFonts w:ascii="MS Gothic"/>
          <w:color w:val="B02045"/>
          <w:w w:val="110"/>
        </w:rPr>
        <w:t>META-INF/MANIFEST.MF</w:t>
      </w:r>
      <w:r>
        <w:rPr>
          <w:color w:val="333333"/>
          <w:w w:val="110"/>
        </w:rPr>
        <w:t>.</w:t>
      </w:r>
      <w:r>
        <w:rPr>
          <w:color w:val="333333"/>
          <w:spacing w:val="-21"/>
          <w:w w:val="110"/>
        </w:rPr>
        <w:t xml:space="preserve"> </w:t>
      </w:r>
      <w:r>
        <w:rPr>
          <w:color w:val="333333"/>
          <w:w w:val="110"/>
        </w:rPr>
        <w:t xml:space="preserve">The actual class that you want to launch (that is, the class that contains a </w:t>
      </w:r>
      <w:r>
        <w:rPr>
          <w:rFonts w:ascii="MS Gothic"/>
          <w:color w:val="B02045"/>
          <w:w w:val="110"/>
        </w:rPr>
        <w:t xml:space="preserve">main </w:t>
      </w:r>
      <w:r>
        <w:rPr>
          <w:color w:val="333333"/>
          <w:w w:val="110"/>
        </w:rPr>
        <w:t>method) should be</w:t>
      </w:r>
      <w:r>
        <w:rPr>
          <w:color w:val="333333"/>
          <w:spacing w:val="50"/>
          <w:w w:val="110"/>
        </w:rPr>
        <w:t xml:space="preserve"> </w:t>
      </w:r>
      <w:r>
        <w:rPr>
          <w:color w:val="333333"/>
          <w:w w:val="110"/>
        </w:rPr>
        <w:t xml:space="preserve">specified in the </w:t>
      </w:r>
      <w:r>
        <w:rPr>
          <w:rFonts w:ascii="MS Gothic"/>
          <w:color w:val="B02045"/>
          <w:w w:val="110"/>
        </w:rPr>
        <w:t>Start-Class</w:t>
      </w:r>
      <w:r>
        <w:rPr>
          <w:rFonts w:ascii="MS Gothic"/>
          <w:color w:val="B02045"/>
          <w:spacing w:val="-56"/>
          <w:w w:val="110"/>
        </w:rPr>
        <w:t xml:space="preserve"> </w:t>
      </w:r>
      <w:r>
        <w:rPr>
          <w:color w:val="333333"/>
          <w:w w:val="110"/>
        </w:rPr>
        <w:t>attribute.</w:t>
      </w:r>
    </w:p>
    <w:p w14:paraId="347F1BD3" w14:textId="77777777" w:rsidR="00A720EB" w:rsidRDefault="0030286B">
      <w:pPr>
        <w:pStyle w:val="a3"/>
        <w:spacing w:before="242"/>
        <w:ind w:left="124"/>
        <w:jc w:val="both"/>
      </w:pPr>
      <w:r>
        <w:rPr>
          <w:color w:val="333333"/>
          <w:w w:val="110"/>
        </w:rPr>
        <w:t xml:space="preserve">The following example shows a typical </w:t>
      </w:r>
      <w:r>
        <w:rPr>
          <w:rFonts w:ascii="MS Gothic"/>
          <w:color w:val="B02045"/>
          <w:w w:val="110"/>
        </w:rPr>
        <w:t xml:space="preserve">MANIFEST.MF </w:t>
      </w:r>
      <w:r>
        <w:rPr>
          <w:color w:val="333333"/>
          <w:w w:val="110"/>
        </w:rPr>
        <w:t>for an executable jar file:</w:t>
      </w:r>
    </w:p>
    <w:p w14:paraId="0B5B3ECE" w14:textId="77777777" w:rsidR="00A720EB" w:rsidRDefault="00E10349">
      <w:pPr>
        <w:pStyle w:val="a3"/>
        <w:spacing w:before="11"/>
        <w:rPr>
          <w:sz w:val="17"/>
        </w:rPr>
      </w:pPr>
      <w:r>
        <w:pict w14:anchorId="0733EA4D">
          <v:group id="_x0000_s1032" style="position:absolute;margin-left:47.85pt;margin-top:12.5pt;width:499.55pt;height:52.25pt;z-index:-14996992;mso-wrap-distance-left:0;mso-wrap-distance-right:0;mso-position-horizontal-relative:page" coordorigin="957,250" coordsize="9991,1045">
            <v:shape id="_x0000_s1035" style="position:absolute;left:964;top:257;width:9976;height:1030" coordorigin="965,258" coordsize="9976,1030" path="m10861,258r-9816,l1014,264r-26,17l971,307r-6,31l965,1207r6,31l988,1264r26,17l1045,1287r9816,l10892,1281r25,-17l10935,1238r6,-31l10941,338r-6,-31l10917,281r-25,-17l10861,258xe" fillcolor="#f5f5f5" stroked="f">
              <v:path arrowok="t"/>
            </v:shape>
            <v:shape id="_x0000_s1034" style="position:absolute;left:964;top:257;width:9976;height:1030" coordorigin="965,258" coordsize="9976,1030" path="m1045,258r9816,l10892,264r25,17l10935,307r6,31l10941,1207r-6,31l10917,1264r-25,17l10861,1287r-9816,l1014,1281r-26,-17l971,1238r-6,-31l965,338r6,-31l988,281r26,-17l1045,258xe" filled="f" strokecolor="#ccc">
              <v:path arrowok="t"/>
            </v:shape>
            <v:shape id="_x0000_s1033" type="#_x0000_t202" style="position:absolute;left:984;top:273;width:9938;height:999" filled="f" stroked="f">
              <v:textbox inset="0,0,0,0">
                <w:txbxContent>
                  <w:p w14:paraId="7E764F2B" w14:textId="77777777" w:rsidR="00711A16" w:rsidRDefault="00711A16">
                    <w:pPr>
                      <w:spacing w:before="221" w:line="252" w:lineRule="auto"/>
                      <w:ind w:left="200" w:right="3684"/>
                      <w:rPr>
                        <w:rFonts w:ascii="MS Gothic"/>
                      </w:rPr>
                    </w:pPr>
                    <w:r>
                      <w:rPr>
                        <w:rFonts w:ascii="MS Gothic"/>
                        <w:color w:val="333333"/>
                      </w:rPr>
                      <w:t xml:space="preserve">Main-Class: </w:t>
                    </w:r>
                    <w:proofErr w:type="gramStart"/>
                    <w:r>
                      <w:rPr>
                        <w:rFonts w:ascii="MS Gothic"/>
                        <w:color w:val="333333"/>
                      </w:rPr>
                      <w:t>org.springframework</w:t>
                    </w:r>
                    <w:proofErr w:type="gramEnd"/>
                    <w:r>
                      <w:rPr>
                        <w:rFonts w:ascii="MS Gothic"/>
                        <w:color w:val="333333"/>
                      </w:rPr>
                      <w:t>.boot.loader.JarLauncher Start-Class: com.mycompany.project.MyApplication</w:t>
                    </w:r>
                  </w:p>
                </w:txbxContent>
              </v:textbox>
            </v:shape>
            <w10:wrap type="topAndBottom" anchorx="page"/>
          </v:group>
        </w:pict>
      </w:r>
    </w:p>
    <w:p w14:paraId="46850D72" w14:textId="77777777" w:rsidR="00A720EB" w:rsidRDefault="00A720EB">
      <w:pPr>
        <w:pStyle w:val="a3"/>
        <w:rPr>
          <w:sz w:val="10"/>
        </w:rPr>
      </w:pPr>
    </w:p>
    <w:p w14:paraId="7961B97C" w14:textId="77777777" w:rsidR="00A720EB" w:rsidRDefault="0030286B">
      <w:pPr>
        <w:pStyle w:val="a3"/>
        <w:spacing w:before="125"/>
        <w:ind w:left="124"/>
      </w:pPr>
      <w:r>
        <w:rPr>
          <w:color w:val="333333"/>
          <w:w w:val="110"/>
        </w:rPr>
        <w:t>For a war file, it would be as follows:</w:t>
      </w:r>
    </w:p>
    <w:p w14:paraId="3515B98B" w14:textId="77777777" w:rsidR="00A720EB" w:rsidRDefault="00E10349">
      <w:pPr>
        <w:pStyle w:val="a3"/>
        <w:rPr>
          <w:sz w:val="19"/>
        </w:rPr>
      </w:pPr>
      <w:r>
        <w:pict w14:anchorId="6DB03E79">
          <v:group id="_x0000_s1028" style="position:absolute;margin-left:47.85pt;margin-top:13.15pt;width:499.55pt;height:52.25pt;z-index:-14996480;mso-wrap-distance-left:0;mso-wrap-distance-right:0;mso-position-horizontal-relative:page" coordorigin="957,263" coordsize="9991,1045">
            <v:shape id="_x0000_s1031" style="position:absolute;left:964;top:270;width:9976;height:1030" coordorigin="965,270" coordsize="9976,1030" path="m10861,270r-9816,l1014,276r-26,18l971,319r-6,31l965,1220r6,31l988,1276r26,17l1045,1300r9816,l10892,1293r25,-17l10935,1251r6,-31l10941,350r-6,-31l10917,294r-25,-18l10861,270xe" fillcolor="#f5f5f5" stroked="f">
              <v:path arrowok="t"/>
            </v:shape>
            <v:shape id="_x0000_s1030" style="position:absolute;left:964;top:270;width:9976;height:1030" coordorigin="965,270" coordsize="9976,1030" path="m1045,270r9816,l10892,276r25,18l10935,319r6,31l10941,1220r-6,31l10917,1276r-25,17l10861,1300r-9816,l1014,1293r-26,-17l971,1251r-6,-31l965,350r6,-31l988,294r26,-18l1045,270xe" filled="f" strokecolor="#ccc">
              <v:path arrowok="t"/>
            </v:shape>
            <v:shape id="_x0000_s1029" type="#_x0000_t202" style="position:absolute;left:984;top:285;width:9938;height:999" filled="f" stroked="f">
              <v:textbox inset="0,0,0,0">
                <w:txbxContent>
                  <w:p w14:paraId="660EBD6F" w14:textId="77777777" w:rsidR="00711A16" w:rsidRDefault="00711A16">
                    <w:pPr>
                      <w:spacing w:before="221" w:line="252" w:lineRule="auto"/>
                      <w:ind w:left="200" w:right="3684"/>
                      <w:rPr>
                        <w:rFonts w:ascii="MS Gothic"/>
                      </w:rPr>
                    </w:pPr>
                    <w:r>
                      <w:rPr>
                        <w:rFonts w:ascii="MS Gothic"/>
                        <w:color w:val="333333"/>
                      </w:rPr>
                      <w:t xml:space="preserve">Main-Class: </w:t>
                    </w:r>
                    <w:proofErr w:type="gramStart"/>
                    <w:r>
                      <w:rPr>
                        <w:rFonts w:ascii="MS Gothic"/>
                        <w:color w:val="333333"/>
                      </w:rPr>
                      <w:t>org.springframework</w:t>
                    </w:r>
                    <w:proofErr w:type="gramEnd"/>
                    <w:r>
                      <w:rPr>
                        <w:rFonts w:ascii="MS Gothic"/>
                        <w:color w:val="333333"/>
                      </w:rPr>
                      <w:t>.boot.loader.WarLauncher Start-Class: com.mycompany.project.MyApplication</w:t>
                    </w:r>
                  </w:p>
                </w:txbxContent>
              </v:textbox>
            </v:shape>
            <w10:wrap type="topAndBottom" anchorx="page"/>
          </v:group>
        </w:pict>
      </w:r>
    </w:p>
    <w:p w14:paraId="1D7BC7C4" w14:textId="77777777" w:rsidR="00A720EB" w:rsidRDefault="00A720EB">
      <w:pPr>
        <w:pStyle w:val="a3"/>
        <w:spacing w:before="8"/>
        <w:rPr>
          <w:sz w:val="16"/>
        </w:rPr>
      </w:pPr>
    </w:p>
    <w:p w14:paraId="30AB5B82" w14:textId="77777777" w:rsidR="00A720EB" w:rsidRDefault="00E10349">
      <w:pPr>
        <w:pStyle w:val="a3"/>
        <w:spacing w:before="116" w:line="290" w:lineRule="auto"/>
        <w:ind w:left="1564" w:right="462"/>
      </w:pPr>
      <w:r>
        <w:pict w14:anchorId="1D599222">
          <v:line id="_x0000_s1027" style="position:absolute;left:0;text-align:left;z-index:16461312;mso-position-horizontal-relative:page" from="108.25pt,.35pt" to="108.25pt,39.9pt" strokecolor="#ededed" strokeweight=".5pt">
            <w10:wrap anchorx="page"/>
          </v:line>
        </w:pict>
      </w:r>
      <w:r w:rsidR="0030286B">
        <w:rPr>
          <w:noProof/>
        </w:rPr>
        <w:drawing>
          <wp:anchor distT="0" distB="0" distL="0" distR="0" simplePos="0" relativeHeight="16461824" behindDoc="0" locked="0" layoutInCell="1" allowOverlap="1" wp14:anchorId="1047E4AB" wp14:editId="311C1E15">
            <wp:simplePos x="0" y="0"/>
            <wp:positionH relativeFrom="page">
              <wp:posOffset>844422</wp:posOffset>
            </wp:positionH>
            <wp:positionV relativeFrom="paragraph">
              <wp:posOffset>106248</wp:posOffset>
            </wp:positionV>
            <wp:extent cx="298450" cy="298450"/>
            <wp:effectExtent l="0" t="0" r="0" b="0"/>
            <wp:wrapNone/>
            <wp:docPr id="8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1.png"/>
                    <pic:cNvPicPr/>
                  </pic:nvPicPr>
                  <pic:blipFill>
                    <a:blip r:embed="rId24" cstate="print"/>
                    <a:stretch>
                      <a:fillRect/>
                    </a:stretch>
                  </pic:blipFill>
                  <pic:spPr>
                    <a:xfrm>
                      <a:off x="0" y="0"/>
                      <a:ext cx="298450" cy="298450"/>
                    </a:xfrm>
                    <a:prstGeom prst="rect">
                      <a:avLst/>
                    </a:prstGeom>
                  </pic:spPr>
                </pic:pic>
              </a:graphicData>
            </a:graphic>
          </wp:anchor>
        </w:drawing>
      </w:r>
      <w:r w:rsidR="0030286B">
        <w:rPr>
          <w:color w:val="333333"/>
          <w:w w:val="110"/>
        </w:rPr>
        <w:t xml:space="preserve">You need not specify </w:t>
      </w:r>
      <w:r w:rsidR="0030286B">
        <w:rPr>
          <w:rFonts w:ascii="MS Gothic"/>
          <w:color w:val="B02045"/>
          <w:w w:val="110"/>
        </w:rPr>
        <w:t xml:space="preserve">Class-Path </w:t>
      </w:r>
      <w:r w:rsidR="0030286B">
        <w:rPr>
          <w:color w:val="333333"/>
          <w:w w:val="110"/>
        </w:rPr>
        <w:t>entries in your manifest file. The classpath is deduced from the nested jars.</w:t>
      </w:r>
    </w:p>
    <w:p w14:paraId="38E251A2" w14:textId="77777777" w:rsidR="00A720EB" w:rsidRDefault="00A720EB">
      <w:pPr>
        <w:pStyle w:val="a3"/>
        <w:spacing w:before="1"/>
        <w:rPr>
          <w:sz w:val="25"/>
        </w:rPr>
      </w:pPr>
    </w:p>
    <w:p w14:paraId="5D6291A9" w14:textId="77777777" w:rsidR="00A720EB" w:rsidRDefault="0030286B">
      <w:pPr>
        <w:pStyle w:val="3"/>
        <w:numPr>
          <w:ilvl w:val="2"/>
          <w:numId w:val="5"/>
        </w:numPr>
        <w:tabs>
          <w:tab w:val="left" w:pos="1027"/>
        </w:tabs>
        <w:spacing w:before="105"/>
      </w:pPr>
      <w:bookmarkStart w:id="1097" w:name="10.E.4._PropertiesLauncher_Features"/>
      <w:bookmarkStart w:id="1098" w:name="_Toc54424058"/>
      <w:bookmarkEnd w:id="1097"/>
      <w:r>
        <w:rPr>
          <w:color w:val="333333"/>
          <w:w w:val="115"/>
        </w:rPr>
        <w:t>PropertiesLauncher</w:t>
      </w:r>
      <w:r>
        <w:rPr>
          <w:color w:val="333333"/>
          <w:spacing w:val="-9"/>
          <w:w w:val="115"/>
        </w:rPr>
        <w:t xml:space="preserve"> </w:t>
      </w:r>
      <w:r>
        <w:rPr>
          <w:color w:val="333333"/>
          <w:spacing w:val="-3"/>
          <w:w w:val="115"/>
        </w:rPr>
        <w:t>Features</w:t>
      </w:r>
      <w:bookmarkEnd w:id="1098"/>
    </w:p>
    <w:p w14:paraId="297AEA1F" w14:textId="77777777" w:rsidR="00A720EB" w:rsidRDefault="0030286B">
      <w:pPr>
        <w:pStyle w:val="a3"/>
        <w:spacing w:before="244" w:line="285" w:lineRule="auto"/>
        <w:ind w:left="124" w:right="123"/>
        <w:jc w:val="both"/>
      </w:pPr>
      <w:r>
        <w:rPr>
          <w:rFonts w:ascii="MS Gothic"/>
          <w:color w:val="B02045"/>
          <w:w w:val="110"/>
        </w:rPr>
        <w:t xml:space="preserve">PropertiesLauncher </w:t>
      </w:r>
      <w:r>
        <w:rPr>
          <w:color w:val="333333"/>
          <w:w w:val="110"/>
        </w:rPr>
        <w:t xml:space="preserve">has a few special features that can be enabled with external properties (System properties, environment variables, manifest entries, or </w:t>
      </w:r>
      <w:proofErr w:type="gramStart"/>
      <w:r>
        <w:rPr>
          <w:rFonts w:ascii="MS Gothic"/>
          <w:color w:val="B02045"/>
          <w:w w:val="110"/>
        </w:rPr>
        <w:t>loader.properties</w:t>
      </w:r>
      <w:proofErr w:type="gramEnd"/>
      <w:r>
        <w:rPr>
          <w:color w:val="333333"/>
          <w:w w:val="110"/>
        </w:rPr>
        <w:t>). The following table describes these properties:</w:t>
      </w:r>
    </w:p>
    <w:p w14:paraId="6B74660D" w14:textId="77777777" w:rsidR="00A720EB" w:rsidRDefault="00A720EB">
      <w:pPr>
        <w:pStyle w:val="a3"/>
        <w:spacing w:before="8"/>
        <w:rPr>
          <w:sz w:val="18"/>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6E23D7DA" w14:textId="77777777">
        <w:trPr>
          <w:trHeight w:val="415"/>
        </w:trPr>
        <w:tc>
          <w:tcPr>
            <w:tcW w:w="4988" w:type="dxa"/>
            <w:tcBorders>
              <w:bottom w:val="single" w:sz="12" w:space="0" w:color="DDDDDD"/>
            </w:tcBorders>
          </w:tcPr>
          <w:p w14:paraId="6B7BE2CD"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4988" w:type="dxa"/>
            <w:tcBorders>
              <w:bottom w:val="single" w:sz="12" w:space="0" w:color="DDDDDD"/>
            </w:tcBorders>
          </w:tcPr>
          <w:p w14:paraId="0AB8C9D6" w14:textId="77777777" w:rsidR="00A720EB" w:rsidRDefault="0030286B">
            <w:pPr>
              <w:pStyle w:val="TableParagraph"/>
              <w:spacing w:before="74"/>
              <w:rPr>
                <w:rFonts w:ascii="Palatino Linotype"/>
                <w:b/>
                <w:sz w:val="21"/>
              </w:rPr>
            </w:pPr>
            <w:r>
              <w:rPr>
                <w:rFonts w:ascii="Palatino Linotype"/>
                <w:b/>
                <w:color w:val="333333"/>
                <w:w w:val="110"/>
                <w:sz w:val="21"/>
              </w:rPr>
              <w:t>Purpose</w:t>
            </w:r>
          </w:p>
        </w:tc>
      </w:tr>
      <w:tr w:rsidR="00A720EB" w14:paraId="1744F3AD" w14:textId="77777777">
        <w:trPr>
          <w:trHeight w:val="1362"/>
        </w:trPr>
        <w:tc>
          <w:tcPr>
            <w:tcW w:w="4988" w:type="dxa"/>
            <w:tcBorders>
              <w:top w:val="single" w:sz="12" w:space="0" w:color="DDDDDD"/>
            </w:tcBorders>
          </w:tcPr>
          <w:p w14:paraId="701CC07A" w14:textId="77777777" w:rsidR="00A720EB" w:rsidRDefault="0030286B">
            <w:pPr>
              <w:pStyle w:val="TableParagraph"/>
              <w:spacing w:before="30"/>
              <w:rPr>
                <w:sz w:val="21"/>
              </w:rPr>
            </w:pPr>
            <w:proofErr w:type="gramStart"/>
            <w:r>
              <w:rPr>
                <w:color w:val="B02045"/>
                <w:sz w:val="21"/>
              </w:rPr>
              <w:t>loader.path</w:t>
            </w:r>
            <w:proofErr w:type="gramEnd"/>
          </w:p>
        </w:tc>
        <w:tc>
          <w:tcPr>
            <w:tcW w:w="4988" w:type="dxa"/>
            <w:tcBorders>
              <w:top w:val="single" w:sz="12" w:space="0" w:color="DDDDDD"/>
            </w:tcBorders>
          </w:tcPr>
          <w:p w14:paraId="1A10F2F2" w14:textId="77777777" w:rsidR="00A720EB" w:rsidRDefault="0030286B">
            <w:pPr>
              <w:pStyle w:val="TableParagraph"/>
              <w:spacing w:before="31" w:line="316" w:lineRule="exact"/>
              <w:rPr>
                <w:rFonts w:ascii="Cambria"/>
                <w:sz w:val="21"/>
              </w:rPr>
            </w:pPr>
            <w:r>
              <w:rPr>
                <w:rFonts w:ascii="Cambria"/>
                <w:color w:val="333333"/>
                <w:w w:val="110"/>
                <w:sz w:val="21"/>
              </w:rPr>
              <w:t xml:space="preserve">Comma-separated Classpath, such as </w:t>
            </w:r>
            <w:proofErr w:type="gramStart"/>
            <w:r>
              <w:rPr>
                <w:color w:val="B02045"/>
                <w:w w:val="110"/>
                <w:sz w:val="21"/>
              </w:rPr>
              <w:t>lib,$</w:t>
            </w:r>
            <w:proofErr w:type="gramEnd"/>
            <w:r>
              <w:rPr>
                <w:color w:val="B02045"/>
                <w:w w:val="110"/>
                <w:sz w:val="21"/>
              </w:rPr>
              <w:t>{HOME}/app/lib</w:t>
            </w:r>
            <w:r>
              <w:rPr>
                <w:rFonts w:ascii="Cambria"/>
                <w:color w:val="333333"/>
                <w:w w:val="110"/>
                <w:sz w:val="21"/>
              </w:rPr>
              <w:t xml:space="preserve">. Earlier entries take precedence, like a regular </w:t>
            </w:r>
            <w:r>
              <w:rPr>
                <w:color w:val="B02045"/>
                <w:w w:val="110"/>
                <w:sz w:val="21"/>
              </w:rPr>
              <w:t>-classpath</w:t>
            </w:r>
            <w:r>
              <w:rPr>
                <w:color w:val="B02045"/>
                <w:spacing w:val="-74"/>
                <w:w w:val="110"/>
                <w:sz w:val="21"/>
              </w:rPr>
              <w:t xml:space="preserve"> </w:t>
            </w:r>
            <w:r>
              <w:rPr>
                <w:rFonts w:ascii="Cambria"/>
                <w:color w:val="333333"/>
                <w:w w:val="110"/>
                <w:sz w:val="21"/>
              </w:rPr>
              <w:t xml:space="preserve">on the </w:t>
            </w:r>
            <w:r>
              <w:rPr>
                <w:color w:val="B02045"/>
                <w:w w:val="110"/>
                <w:sz w:val="21"/>
              </w:rPr>
              <w:t>javac</w:t>
            </w:r>
            <w:r>
              <w:rPr>
                <w:color w:val="B02045"/>
                <w:spacing w:val="-60"/>
                <w:w w:val="110"/>
                <w:sz w:val="21"/>
              </w:rPr>
              <w:t xml:space="preserve"> </w:t>
            </w:r>
            <w:r>
              <w:rPr>
                <w:rFonts w:ascii="Cambria"/>
                <w:color w:val="333333"/>
                <w:w w:val="110"/>
                <w:sz w:val="21"/>
              </w:rPr>
              <w:t>command line.</w:t>
            </w:r>
          </w:p>
        </w:tc>
      </w:tr>
    </w:tbl>
    <w:p w14:paraId="4B44EB72" w14:textId="77777777" w:rsidR="00A720EB" w:rsidRDefault="00A720EB">
      <w:pPr>
        <w:spacing w:line="316" w:lineRule="exact"/>
        <w:rPr>
          <w:sz w:val="21"/>
        </w:rPr>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660CD35F" w14:textId="77777777">
        <w:trPr>
          <w:trHeight w:val="415"/>
        </w:trPr>
        <w:tc>
          <w:tcPr>
            <w:tcW w:w="4988" w:type="dxa"/>
            <w:tcBorders>
              <w:bottom w:val="single" w:sz="12" w:space="0" w:color="DDDDDD"/>
            </w:tcBorders>
          </w:tcPr>
          <w:p w14:paraId="2E0945B6"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Key</w:t>
            </w:r>
          </w:p>
        </w:tc>
        <w:tc>
          <w:tcPr>
            <w:tcW w:w="4988" w:type="dxa"/>
            <w:tcBorders>
              <w:bottom w:val="single" w:sz="12" w:space="0" w:color="DDDDDD"/>
            </w:tcBorders>
          </w:tcPr>
          <w:p w14:paraId="34C43407" w14:textId="77777777" w:rsidR="00A720EB" w:rsidRDefault="0030286B">
            <w:pPr>
              <w:pStyle w:val="TableParagraph"/>
              <w:spacing w:before="71"/>
              <w:rPr>
                <w:rFonts w:ascii="Palatino Linotype"/>
                <w:b/>
                <w:sz w:val="21"/>
              </w:rPr>
            </w:pPr>
            <w:r>
              <w:rPr>
                <w:rFonts w:ascii="Palatino Linotype"/>
                <w:b/>
                <w:color w:val="333333"/>
                <w:w w:val="110"/>
                <w:sz w:val="21"/>
              </w:rPr>
              <w:t>Purpose</w:t>
            </w:r>
          </w:p>
        </w:tc>
      </w:tr>
      <w:tr w:rsidR="00A720EB" w14:paraId="1C5EB1F8" w14:textId="77777777">
        <w:trPr>
          <w:trHeight w:val="2309"/>
        </w:trPr>
        <w:tc>
          <w:tcPr>
            <w:tcW w:w="4988" w:type="dxa"/>
            <w:tcBorders>
              <w:top w:val="single" w:sz="12" w:space="0" w:color="DDDDDD"/>
            </w:tcBorders>
          </w:tcPr>
          <w:p w14:paraId="1515D3C2" w14:textId="77777777" w:rsidR="00A720EB" w:rsidRDefault="0030286B">
            <w:pPr>
              <w:pStyle w:val="TableParagraph"/>
              <w:spacing w:before="27"/>
              <w:rPr>
                <w:sz w:val="21"/>
              </w:rPr>
            </w:pPr>
            <w:proofErr w:type="gramStart"/>
            <w:r>
              <w:rPr>
                <w:color w:val="B02045"/>
                <w:sz w:val="21"/>
              </w:rPr>
              <w:t>loader.home</w:t>
            </w:r>
            <w:proofErr w:type="gramEnd"/>
          </w:p>
        </w:tc>
        <w:tc>
          <w:tcPr>
            <w:tcW w:w="4988" w:type="dxa"/>
            <w:tcBorders>
              <w:top w:val="single" w:sz="12" w:space="0" w:color="DDDDDD"/>
            </w:tcBorders>
          </w:tcPr>
          <w:p w14:paraId="016970B4" w14:textId="77777777" w:rsidR="00A720EB" w:rsidRDefault="0030286B">
            <w:pPr>
              <w:pStyle w:val="TableParagraph"/>
              <w:spacing w:before="71" w:line="280" w:lineRule="auto"/>
              <w:ind w:right="64"/>
              <w:jc w:val="both"/>
              <w:rPr>
                <w:rFonts w:ascii="Cambria"/>
                <w:sz w:val="21"/>
              </w:rPr>
            </w:pPr>
            <w:r>
              <w:rPr>
                <w:rFonts w:ascii="Cambria"/>
                <w:color w:val="333333"/>
                <w:w w:val="110"/>
                <w:sz w:val="21"/>
              </w:rPr>
              <w:t>Used</w:t>
            </w:r>
            <w:r>
              <w:rPr>
                <w:rFonts w:ascii="Cambria"/>
                <w:color w:val="333333"/>
                <w:spacing w:val="-12"/>
                <w:w w:val="110"/>
                <w:sz w:val="21"/>
              </w:rPr>
              <w:t xml:space="preserve"> </w:t>
            </w:r>
            <w:r>
              <w:rPr>
                <w:rFonts w:ascii="Cambria"/>
                <w:color w:val="333333"/>
                <w:w w:val="110"/>
                <w:sz w:val="21"/>
              </w:rPr>
              <w:t>to</w:t>
            </w:r>
            <w:r>
              <w:rPr>
                <w:rFonts w:ascii="Cambria"/>
                <w:color w:val="333333"/>
                <w:spacing w:val="-11"/>
                <w:w w:val="110"/>
                <w:sz w:val="21"/>
              </w:rPr>
              <w:t xml:space="preserve"> </w:t>
            </w:r>
            <w:r>
              <w:rPr>
                <w:rFonts w:ascii="Cambria"/>
                <w:color w:val="333333"/>
                <w:w w:val="110"/>
                <w:sz w:val="21"/>
              </w:rPr>
              <w:t>resolve</w:t>
            </w:r>
            <w:r>
              <w:rPr>
                <w:rFonts w:ascii="Cambria"/>
                <w:color w:val="333333"/>
                <w:spacing w:val="-11"/>
                <w:w w:val="110"/>
                <w:sz w:val="21"/>
              </w:rPr>
              <w:t xml:space="preserve"> </w:t>
            </w:r>
            <w:r>
              <w:rPr>
                <w:rFonts w:ascii="Cambria"/>
                <w:color w:val="333333"/>
                <w:w w:val="110"/>
                <w:sz w:val="21"/>
              </w:rPr>
              <w:t>relative</w:t>
            </w:r>
            <w:r>
              <w:rPr>
                <w:rFonts w:ascii="Cambria"/>
                <w:color w:val="333333"/>
                <w:spacing w:val="-11"/>
                <w:w w:val="110"/>
                <w:sz w:val="21"/>
              </w:rPr>
              <w:t xml:space="preserve"> </w:t>
            </w:r>
            <w:r>
              <w:rPr>
                <w:rFonts w:ascii="Cambria"/>
                <w:color w:val="333333"/>
                <w:w w:val="110"/>
                <w:sz w:val="21"/>
              </w:rPr>
              <w:t>paths</w:t>
            </w:r>
            <w:r>
              <w:rPr>
                <w:rFonts w:ascii="Cambria"/>
                <w:color w:val="333333"/>
                <w:spacing w:val="-11"/>
                <w:w w:val="110"/>
                <w:sz w:val="21"/>
              </w:rPr>
              <w:t xml:space="preserve"> </w:t>
            </w:r>
            <w:r>
              <w:rPr>
                <w:rFonts w:ascii="Cambria"/>
                <w:color w:val="333333"/>
                <w:w w:val="110"/>
                <w:sz w:val="21"/>
              </w:rPr>
              <w:t>in</w:t>
            </w:r>
            <w:r>
              <w:rPr>
                <w:rFonts w:ascii="Cambria"/>
                <w:color w:val="333333"/>
                <w:spacing w:val="-10"/>
                <w:w w:val="110"/>
                <w:sz w:val="21"/>
              </w:rPr>
              <w:t xml:space="preserve"> </w:t>
            </w:r>
            <w:proofErr w:type="gramStart"/>
            <w:r>
              <w:rPr>
                <w:color w:val="B02045"/>
                <w:w w:val="110"/>
                <w:sz w:val="21"/>
              </w:rPr>
              <w:t>loader.path</w:t>
            </w:r>
            <w:proofErr w:type="gramEnd"/>
            <w:r>
              <w:rPr>
                <w:rFonts w:ascii="Cambria"/>
                <w:color w:val="333333"/>
                <w:w w:val="110"/>
                <w:sz w:val="21"/>
              </w:rPr>
              <w:t>.</w:t>
            </w:r>
            <w:r>
              <w:rPr>
                <w:rFonts w:ascii="Cambria"/>
                <w:color w:val="333333"/>
                <w:spacing w:val="-11"/>
                <w:w w:val="110"/>
                <w:sz w:val="21"/>
              </w:rPr>
              <w:t xml:space="preserve"> </w:t>
            </w:r>
            <w:r>
              <w:rPr>
                <w:rFonts w:ascii="Cambria"/>
                <w:color w:val="333333"/>
                <w:spacing w:val="-4"/>
                <w:w w:val="110"/>
                <w:sz w:val="21"/>
              </w:rPr>
              <w:t xml:space="preserve">For </w:t>
            </w:r>
            <w:r>
              <w:rPr>
                <w:rFonts w:ascii="Cambria"/>
                <w:color w:val="333333"/>
                <w:w w:val="110"/>
                <w:sz w:val="21"/>
              </w:rPr>
              <w:t xml:space="preserve">example, given </w:t>
            </w:r>
            <w:proofErr w:type="gramStart"/>
            <w:r>
              <w:rPr>
                <w:color w:val="B02045"/>
                <w:w w:val="110"/>
                <w:sz w:val="21"/>
              </w:rPr>
              <w:t>loader.path</w:t>
            </w:r>
            <w:proofErr w:type="gramEnd"/>
            <w:r>
              <w:rPr>
                <w:color w:val="B02045"/>
                <w:w w:val="110"/>
                <w:sz w:val="21"/>
              </w:rPr>
              <w:t>=lib</w:t>
            </w:r>
            <w:r>
              <w:rPr>
                <w:rFonts w:ascii="Cambria"/>
                <w:color w:val="333333"/>
                <w:w w:val="110"/>
                <w:sz w:val="21"/>
              </w:rPr>
              <w:t>,</w:t>
            </w:r>
            <w:r>
              <w:rPr>
                <w:rFonts w:ascii="Cambria"/>
                <w:color w:val="333333"/>
                <w:spacing w:val="-6"/>
                <w:w w:val="110"/>
                <w:sz w:val="21"/>
              </w:rPr>
              <w:t xml:space="preserve"> </w:t>
            </w:r>
            <w:r>
              <w:rPr>
                <w:rFonts w:ascii="Cambria"/>
                <w:color w:val="333333"/>
                <w:w w:val="110"/>
                <w:sz w:val="21"/>
              </w:rPr>
              <w:t>then</w:t>
            </w:r>
          </w:p>
          <w:p w14:paraId="451557D9" w14:textId="77777777" w:rsidR="00A720EB" w:rsidRDefault="0030286B">
            <w:pPr>
              <w:pStyle w:val="TableParagraph"/>
              <w:spacing w:before="2" w:line="290" w:lineRule="auto"/>
              <w:ind w:right="114"/>
              <w:jc w:val="both"/>
              <w:rPr>
                <w:rFonts w:ascii="Cambria"/>
                <w:sz w:val="21"/>
              </w:rPr>
            </w:pPr>
            <w:r>
              <w:rPr>
                <w:color w:val="B02045"/>
                <w:w w:val="110"/>
                <w:sz w:val="21"/>
              </w:rPr>
              <w:t>${</w:t>
            </w:r>
            <w:proofErr w:type="gramStart"/>
            <w:r>
              <w:rPr>
                <w:color w:val="B02045"/>
                <w:w w:val="110"/>
                <w:sz w:val="21"/>
              </w:rPr>
              <w:t>loader.home</w:t>
            </w:r>
            <w:proofErr w:type="gramEnd"/>
            <w:r>
              <w:rPr>
                <w:color w:val="B02045"/>
                <w:w w:val="110"/>
                <w:sz w:val="21"/>
              </w:rPr>
              <w:t>}/lib</w:t>
            </w:r>
            <w:r>
              <w:rPr>
                <w:color w:val="B02045"/>
                <w:spacing w:val="-97"/>
                <w:w w:val="110"/>
                <w:sz w:val="21"/>
              </w:rPr>
              <w:t xml:space="preserve"> </w:t>
            </w:r>
            <w:r>
              <w:rPr>
                <w:rFonts w:ascii="Cambria"/>
                <w:color w:val="333333"/>
                <w:w w:val="110"/>
                <w:sz w:val="21"/>
              </w:rPr>
              <w:t>is</w:t>
            </w:r>
            <w:r>
              <w:rPr>
                <w:rFonts w:ascii="Cambria"/>
                <w:color w:val="333333"/>
                <w:spacing w:val="-32"/>
                <w:w w:val="110"/>
                <w:sz w:val="21"/>
              </w:rPr>
              <w:t xml:space="preserve"> </w:t>
            </w:r>
            <w:r>
              <w:rPr>
                <w:rFonts w:ascii="Cambria"/>
                <w:color w:val="333333"/>
                <w:w w:val="110"/>
                <w:sz w:val="21"/>
              </w:rPr>
              <w:t>a</w:t>
            </w:r>
            <w:r>
              <w:rPr>
                <w:rFonts w:ascii="Cambria"/>
                <w:color w:val="333333"/>
                <w:spacing w:val="-33"/>
                <w:w w:val="110"/>
                <w:sz w:val="21"/>
              </w:rPr>
              <w:t xml:space="preserve"> </w:t>
            </w:r>
            <w:r>
              <w:rPr>
                <w:rFonts w:ascii="Cambria"/>
                <w:color w:val="333333"/>
                <w:w w:val="110"/>
                <w:sz w:val="21"/>
              </w:rPr>
              <w:t>classpath</w:t>
            </w:r>
            <w:r>
              <w:rPr>
                <w:rFonts w:ascii="Cambria"/>
                <w:color w:val="333333"/>
                <w:spacing w:val="-32"/>
                <w:w w:val="110"/>
                <w:sz w:val="21"/>
              </w:rPr>
              <w:t xml:space="preserve"> </w:t>
            </w:r>
            <w:r>
              <w:rPr>
                <w:rFonts w:ascii="Cambria"/>
                <w:color w:val="333333"/>
                <w:w w:val="110"/>
                <w:sz w:val="21"/>
              </w:rPr>
              <w:t>location</w:t>
            </w:r>
            <w:r>
              <w:rPr>
                <w:rFonts w:ascii="Cambria"/>
                <w:color w:val="333333"/>
                <w:spacing w:val="-31"/>
                <w:w w:val="110"/>
                <w:sz w:val="21"/>
              </w:rPr>
              <w:t xml:space="preserve"> </w:t>
            </w:r>
            <w:r>
              <w:rPr>
                <w:rFonts w:ascii="Cambria"/>
                <w:color w:val="333333"/>
                <w:w w:val="110"/>
                <w:sz w:val="21"/>
              </w:rPr>
              <w:t>(along with all jar files in that directory). This property is</w:t>
            </w:r>
            <w:r>
              <w:rPr>
                <w:rFonts w:ascii="Cambria"/>
                <w:color w:val="333333"/>
                <w:spacing w:val="-16"/>
                <w:w w:val="110"/>
                <w:sz w:val="21"/>
              </w:rPr>
              <w:t xml:space="preserve"> </w:t>
            </w:r>
            <w:r>
              <w:rPr>
                <w:rFonts w:ascii="Cambria"/>
                <w:color w:val="333333"/>
                <w:w w:val="110"/>
                <w:sz w:val="21"/>
              </w:rPr>
              <w:t>also</w:t>
            </w:r>
            <w:r>
              <w:rPr>
                <w:rFonts w:ascii="Cambria"/>
                <w:color w:val="333333"/>
                <w:spacing w:val="-16"/>
                <w:w w:val="110"/>
                <w:sz w:val="21"/>
              </w:rPr>
              <w:t xml:space="preserve"> </w:t>
            </w:r>
            <w:r>
              <w:rPr>
                <w:rFonts w:ascii="Cambria"/>
                <w:color w:val="333333"/>
                <w:w w:val="110"/>
                <w:sz w:val="21"/>
              </w:rPr>
              <w:t>used</w:t>
            </w:r>
            <w:r>
              <w:rPr>
                <w:rFonts w:ascii="Cambria"/>
                <w:color w:val="333333"/>
                <w:spacing w:val="-15"/>
                <w:w w:val="110"/>
                <w:sz w:val="21"/>
              </w:rPr>
              <w:t xml:space="preserve"> </w:t>
            </w:r>
            <w:r>
              <w:rPr>
                <w:rFonts w:ascii="Cambria"/>
                <w:color w:val="333333"/>
                <w:w w:val="110"/>
                <w:sz w:val="21"/>
              </w:rPr>
              <w:t>to</w:t>
            </w:r>
            <w:r>
              <w:rPr>
                <w:rFonts w:ascii="Cambria"/>
                <w:color w:val="333333"/>
                <w:spacing w:val="-15"/>
                <w:w w:val="110"/>
                <w:sz w:val="21"/>
              </w:rPr>
              <w:t xml:space="preserve"> </w:t>
            </w:r>
            <w:r>
              <w:rPr>
                <w:rFonts w:ascii="Cambria"/>
                <w:color w:val="333333"/>
                <w:w w:val="110"/>
                <w:sz w:val="21"/>
              </w:rPr>
              <w:t>locate</w:t>
            </w:r>
            <w:r>
              <w:rPr>
                <w:rFonts w:ascii="Cambria"/>
                <w:color w:val="333333"/>
                <w:spacing w:val="-15"/>
                <w:w w:val="110"/>
                <w:sz w:val="21"/>
              </w:rPr>
              <w:t xml:space="preserve"> </w:t>
            </w:r>
            <w:r>
              <w:rPr>
                <w:rFonts w:ascii="Cambria"/>
                <w:color w:val="333333"/>
                <w:w w:val="110"/>
                <w:sz w:val="21"/>
              </w:rPr>
              <w:t>a</w:t>
            </w:r>
            <w:r>
              <w:rPr>
                <w:rFonts w:ascii="Cambria"/>
                <w:color w:val="333333"/>
                <w:spacing w:val="-14"/>
                <w:w w:val="110"/>
                <w:sz w:val="21"/>
              </w:rPr>
              <w:t xml:space="preserve"> </w:t>
            </w:r>
            <w:proofErr w:type="gramStart"/>
            <w:r>
              <w:rPr>
                <w:color w:val="B02045"/>
                <w:w w:val="110"/>
                <w:sz w:val="21"/>
              </w:rPr>
              <w:t>loader.properties</w:t>
            </w:r>
            <w:proofErr w:type="gramEnd"/>
            <w:r>
              <w:rPr>
                <w:color w:val="B02045"/>
                <w:spacing w:val="-80"/>
                <w:w w:val="110"/>
                <w:sz w:val="21"/>
              </w:rPr>
              <w:t xml:space="preserve"> </w:t>
            </w:r>
            <w:r>
              <w:rPr>
                <w:rFonts w:ascii="Cambria"/>
                <w:color w:val="333333"/>
                <w:w w:val="110"/>
                <w:sz w:val="21"/>
              </w:rPr>
              <w:t>file,</w:t>
            </w:r>
            <w:r>
              <w:rPr>
                <w:rFonts w:ascii="Cambria"/>
                <w:color w:val="333333"/>
                <w:spacing w:val="-15"/>
                <w:w w:val="110"/>
                <w:sz w:val="21"/>
              </w:rPr>
              <w:t xml:space="preserve"> </w:t>
            </w:r>
            <w:r>
              <w:rPr>
                <w:rFonts w:ascii="Cambria"/>
                <w:color w:val="333333"/>
                <w:w w:val="110"/>
                <w:sz w:val="21"/>
              </w:rPr>
              <w:t xml:space="preserve">as in the following example </w:t>
            </w:r>
            <w:hyperlink r:id="rId1131">
              <w:r>
                <w:rPr>
                  <w:color w:val="418BCA"/>
                  <w:w w:val="110"/>
                  <w:sz w:val="21"/>
                </w:rPr>
                <w:t>/opt/app</w:t>
              </w:r>
              <w:r>
                <w:rPr>
                  <w:color w:val="418BCA"/>
                  <w:spacing w:val="-81"/>
                  <w:w w:val="110"/>
                  <w:sz w:val="21"/>
                </w:rPr>
                <w:t xml:space="preserve"> </w:t>
              </w:r>
            </w:hyperlink>
            <w:r>
              <w:rPr>
                <w:rFonts w:ascii="Cambria"/>
                <w:color w:val="333333"/>
                <w:w w:val="110"/>
                <w:sz w:val="21"/>
              </w:rPr>
              <w:t>It defaults to</w:t>
            </w:r>
          </w:p>
          <w:p w14:paraId="5ED7EAFC" w14:textId="77777777" w:rsidR="00A720EB" w:rsidRDefault="0030286B">
            <w:pPr>
              <w:pStyle w:val="TableParagraph"/>
              <w:spacing w:before="0" w:line="257" w:lineRule="exact"/>
              <w:rPr>
                <w:rFonts w:ascii="Cambria"/>
                <w:sz w:val="21"/>
              </w:rPr>
            </w:pPr>
            <w:r>
              <w:rPr>
                <w:color w:val="B02045"/>
                <w:sz w:val="21"/>
              </w:rPr>
              <w:t>${user.dir}</w:t>
            </w:r>
            <w:r>
              <w:rPr>
                <w:rFonts w:ascii="Cambria"/>
                <w:color w:val="333333"/>
                <w:sz w:val="21"/>
              </w:rPr>
              <w:t>.</w:t>
            </w:r>
          </w:p>
        </w:tc>
      </w:tr>
      <w:tr w:rsidR="00A720EB" w14:paraId="051262E6" w14:textId="77777777">
        <w:trPr>
          <w:trHeight w:val="741"/>
        </w:trPr>
        <w:tc>
          <w:tcPr>
            <w:tcW w:w="4988" w:type="dxa"/>
          </w:tcPr>
          <w:p w14:paraId="77DE4A90" w14:textId="77777777" w:rsidR="00A720EB" w:rsidRDefault="0030286B">
            <w:pPr>
              <w:pStyle w:val="TableParagraph"/>
              <w:rPr>
                <w:sz w:val="21"/>
              </w:rPr>
            </w:pPr>
            <w:proofErr w:type="gramStart"/>
            <w:r>
              <w:rPr>
                <w:color w:val="B02045"/>
                <w:sz w:val="21"/>
              </w:rPr>
              <w:t>loader.args</w:t>
            </w:r>
            <w:proofErr w:type="gramEnd"/>
          </w:p>
        </w:tc>
        <w:tc>
          <w:tcPr>
            <w:tcW w:w="4988" w:type="dxa"/>
          </w:tcPr>
          <w:p w14:paraId="25DF5D7E" w14:textId="77777777" w:rsidR="00A720EB" w:rsidRDefault="0030286B">
            <w:pPr>
              <w:pStyle w:val="TableParagraph"/>
              <w:spacing w:before="28" w:line="310" w:lineRule="atLeast"/>
              <w:rPr>
                <w:rFonts w:ascii="Cambria"/>
                <w:sz w:val="21"/>
              </w:rPr>
            </w:pPr>
            <w:r>
              <w:rPr>
                <w:rFonts w:ascii="Cambria"/>
                <w:color w:val="333333"/>
                <w:w w:val="110"/>
                <w:sz w:val="21"/>
              </w:rPr>
              <w:t>Default arguments for the main method (space separated).</w:t>
            </w:r>
          </w:p>
        </w:tc>
      </w:tr>
      <w:tr w:rsidR="00A720EB" w14:paraId="2B3329D4" w14:textId="77777777">
        <w:trPr>
          <w:trHeight w:val="741"/>
        </w:trPr>
        <w:tc>
          <w:tcPr>
            <w:tcW w:w="4988" w:type="dxa"/>
          </w:tcPr>
          <w:p w14:paraId="2D68C6E8" w14:textId="77777777" w:rsidR="00A720EB" w:rsidRDefault="0030286B">
            <w:pPr>
              <w:pStyle w:val="TableParagraph"/>
              <w:rPr>
                <w:sz w:val="21"/>
              </w:rPr>
            </w:pPr>
            <w:proofErr w:type="gramStart"/>
            <w:r>
              <w:rPr>
                <w:color w:val="B02045"/>
                <w:sz w:val="21"/>
              </w:rPr>
              <w:t>loader.main</w:t>
            </w:r>
            <w:proofErr w:type="gramEnd"/>
          </w:p>
        </w:tc>
        <w:tc>
          <w:tcPr>
            <w:tcW w:w="4988" w:type="dxa"/>
          </w:tcPr>
          <w:p w14:paraId="27A37259" w14:textId="77777777" w:rsidR="00A720EB" w:rsidRDefault="0030286B">
            <w:pPr>
              <w:pStyle w:val="TableParagraph"/>
              <w:spacing w:before="92"/>
              <w:rPr>
                <w:rFonts w:ascii="Cambria"/>
                <w:sz w:val="21"/>
              </w:rPr>
            </w:pPr>
            <w:r>
              <w:rPr>
                <w:rFonts w:ascii="Cambria"/>
                <w:color w:val="333333"/>
                <w:w w:val="110"/>
                <w:sz w:val="21"/>
              </w:rPr>
              <w:t>Name of main class to launch (for example,</w:t>
            </w:r>
          </w:p>
          <w:p w14:paraId="44667F6C" w14:textId="77777777" w:rsidR="00A720EB" w:rsidRDefault="0030286B">
            <w:pPr>
              <w:pStyle w:val="TableParagraph"/>
              <w:spacing w:before="59"/>
              <w:rPr>
                <w:rFonts w:ascii="Cambria"/>
                <w:sz w:val="21"/>
              </w:rPr>
            </w:pPr>
            <w:proofErr w:type="gramStart"/>
            <w:r>
              <w:rPr>
                <w:color w:val="B02045"/>
                <w:sz w:val="21"/>
              </w:rPr>
              <w:t>com.app.Application</w:t>
            </w:r>
            <w:proofErr w:type="gramEnd"/>
            <w:r>
              <w:rPr>
                <w:rFonts w:ascii="Cambria"/>
                <w:color w:val="333333"/>
                <w:sz w:val="21"/>
              </w:rPr>
              <w:t>).</w:t>
            </w:r>
          </w:p>
        </w:tc>
      </w:tr>
      <w:tr w:rsidR="00A720EB" w14:paraId="7D5389E3" w14:textId="77777777">
        <w:trPr>
          <w:trHeight w:val="741"/>
        </w:trPr>
        <w:tc>
          <w:tcPr>
            <w:tcW w:w="4988" w:type="dxa"/>
          </w:tcPr>
          <w:p w14:paraId="64D86A74" w14:textId="77777777" w:rsidR="00A720EB" w:rsidRDefault="0030286B">
            <w:pPr>
              <w:pStyle w:val="TableParagraph"/>
              <w:spacing w:before="37"/>
              <w:rPr>
                <w:sz w:val="21"/>
              </w:rPr>
            </w:pPr>
            <w:r>
              <w:rPr>
                <w:color w:val="B02045"/>
                <w:sz w:val="21"/>
              </w:rPr>
              <w:t>loader.config.name</w:t>
            </w:r>
          </w:p>
        </w:tc>
        <w:tc>
          <w:tcPr>
            <w:tcW w:w="4988" w:type="dxa"/>
          </w:tcPr>
          <w:p w14:paraId="5D78C612" w14:textId="77777777" w:rsidR="00A720EB" w:rsidRDefault="0030286B">
            <w:pPr>
              <w:pStyle w:val="TableParagraph"/>
              <w:spacing w:before="81" w:line="280" w:lineRule="auto"/>
              <w:ind w:right="73"/>
              <w:rPr>
                <w:rFonts w:ascii="Cambria"/>
                <w:sz w:val="21"/>
              </w:rPr>
            </w:pPr>
            <w:r>
              <w:rPr>
                <w:rFonts w:ascii="Cambria"/>
                <w:color w:val="333333"/>
                <w:w w:val="110"/>
                <w:sz w:val="21"/>
              </w:rPr>
              <w:t xml:space="preserve">Name of properties file (for example, </w:t>
            </w:r>
            <w:r>
              <w:rPr>
                <w:color w:val="B02045"/>
                <w:w w:val="110"/>
                <w:sz w:val="21"/>
              </w:rPr>
              <w:t>launcher</w:t>
            </w:r>
            <w:r>
              <w:rPr>
                <w:rFonts w:ascii="Cambria"/>
                <w:color w:val="333333"/>
                <w:w w:val="110"/>
                <w:sz w:val="21"/>
              </w:rPr>
              <w:t xml:space="preserve">). It defaults to </w:t>
            </w:r>
            <w:r>
              <w:rPr>
                <w:color w:val="B02045"/>
                <w:w w:val="110"/>
                <w:sz w:val="21"/>
              </w:rPr>
              <w:t>loader</w:t>
            </w:r>
            <w:r>
              <w:rPr>
                <w:rFonts w:ascii="Cambria"/>
                <w:color w:val="333333"/>
                <w:w w:val="110"/>
                <w:sz w:val="21"/>
              </w:rPr>
              <w:t>.</w:t>
            </w:r>
          </w:p>
        </w:tc>
      </w:tr>
      <w:tr w:rsidR="00A720EB" w14:paraId="15152157" w14:textId="77777777">
        <w:trPr>
          <w:trHeight w:val="1056"/>
        </w:trPr>
        <w:tc>
          <w:tcPr>
            <w:tcW w:w="4988" w:type="dxa"/>
          </w:tcPr>
          <w:p w14:paraId="08DDB225" w14:textId="77777777" w:rsidR="00A720EB" w:rsidRDefault="0030286B">
            <w:pPr>
              <w:pStyle w:val="TableParagraph"/>
              <w:spacing w:before="37"/>
              <w:rPr>
                <w:sz w:val="21"/>
              </w:rPr>
            </w:pPr>
            <w:r>
              <w:rPr>
                <w:color w:val="B02045"/>
                <w:sz w:val="21"/>
              </w:rPr>
              <w:t>loader.</w:t>
            </w:r>
            <w:proofErr w:type="gramStart"/>
            <w:r>
              <w:rPr>
                <w:color w:val="B02045"/>
                <w:sz w:val="21"/>
              </w:rPr>
              <w:t>config.location</w:t>
            </w:r>
            <w:proofErr w:type="gramEnd"/>
          </w:p>
        </w:tc>
        <w:tc>
          <w:tcPr>
            <w:tcW w:w="4988" w:type="dxa"/>
          </w:tcPr>
          <w:p w14:paraId="3C07DF7A" w14:textId="77777777" w:rsidR="00A720EB" w:rsidRDefault="0030286B">
            <w:pPr>
              <w:pStyle w:val="TableParagraph"/>
              <w:spacing w:line="316" w:lineRule="exact"/>
              <w:ind w:right="553"/>
              <w:rPr>
                <w:rFonts w:ascii="Cambria"/>
                <w:sz w:val="21"/>
              </w:rPr>
            </w:pPr>
            <w:r>
              <w:rPr>
                <w:rFonts w:ascii="Cambria"/>
                <w:color w:val="333333"/>
                <w:w w:val="105"/>
                <w:sz w:val="21"/>
              </w:rPr>
              <w:t xml:space="preserve">Path to properties file (for example, </w:t>
            </w:r>
            <w:proofErr w:type="gramStart"/>
            <w:r>
              <w:rPr>
                <w:color w:val="B02045"/>
                <w:w w:val="105"/>
                <w:sz w:val="21"/>
              </w:rPr>
              <w:t>classpath:loader</w:t>
            </w:r>
            <w:proofErr w:type="gramEnd"/>
            <w:r>
              <w:rPr>
                <w:color w:val="B02045"/>
                <w:w w:val="105"/>
                <w:sz w:val="21"/>
              </w:rPr>
              <w:t>.properties</w:t>
            </w:r>
            <w:r>
              <w:rPr>
                <w:rFonts w:ascii="Cambria"/>
                <w:color w:val="333333"/>
                <w:w w:val="105"/>
                <w:sz w:val="21"/>
              </w:rPr>
              <w:t xml:space="preserve">). It defaults to </w:t>
            </w:r>
            <w:proofErr w:type="gramStart"/>
            <w:r>
              <w:rPr>
                <w:color w:val="B02045"/>
                <w:w w:val="105"/>
                <w:sz w:val="21"/>
              </w:rPr>
              <w:t>loader.properties</w:t>
            </w:r>
            <w:proofErr w:type="gramEnd"/>
            <w:r>
              <w:rPr>
                <w:rFonts w:ascii="Cambria"/>
                <w:color w:val="333333"/>
                <w:w w:val="105"/>
                <w:sz w:val="21"/>
              </w:rPr>
              <w:t>.</w:t>
            </w:r>
          </w:p>
        </w:tc>
      </w:tr>
      <w:tr w:rsidR="00A720EB" w14:paraId="29360310" w14:textId="77777777">
        <w:trPr>
          <w:trHeight w:val="1056"/>
        </w:trPr>
        <w:tc>
          <w:tcPr>
            <w:tcW w:w="4988" w:type="dxa"/>
          </w:tcPr>
          <w:p w14:paraId="66ACCE29" w14:textId="77777777" w:rsidR="00A720EB" w:rsidRDefault="0030286B">
            <w:pPr>
              <w:pStyle w:val="TableParagraph"/>
              <w:spacing w:before="37"/>
              <w:rPr>
                <w:sz w:val="21"/>
              </w:rPr>
            </w:pPr>
            <w:proofErr w:type="gramStart"/>
            <w:r>
              <w:rPr>
                <w:color w:val="B02045"/>
                <w:sz w:val="21"/>
              </w:rPr>
              <w:t>loader.system</w:t>
            </w:r>
            <w:proofErr w:type="gramEnd"/>
          </w:p>
        </w:tc>
        <w:tc>
          <w:tcPr>
            <w:tcW w:w="4988" w:type="dxa"/>
          </w:tcPr>
          <w:p w14:paraId="0E6DE6A5" w14:textId="77777777" w:rsidR="00A720EB" w:rsidRDefault="0030286B">
            <w:pPr>
              <w:pStyle w:val="TableParagraph"/>
              <w:spacing w:line="316" w:lineRule="exact"/>
              <w:ind w:right="62"/>
              <w:rPr>
                <w:rFonts w:ascii="Cambria"/>
                <w:sz w:val="21"/>
              </w:rPr>
            </w:pPr>
            <w:r>
              <w:rPr>
                <w:rFonts w:ascii="Cambria"/>
                <w:color w:val="333333"/>
                <w:w w:val="110"/>
                <w:sz w:val="21"/>
              </w:rPr>
              <w:t xml:space="preserve">Boolean flag to indicate that all </w:t>
            </w:r>
            <w:proofErr w:type="gramStart"/>
            <w:r>
              <w:rPr>
                <w:rFonts w:ascii="Cambria"/>
                <w:color w:val="333333"/>
                <w:w w:val="110"/>
                <w:sz w:val="21"/>
              </w:rPr>
              <w:t>properties  should</w:t>
            </w:r>
            <w:proofErr w:type="gramEnd"/>
            <w:r>
              <w:rPr>
                <w:rFonts w:ascii="Cambria"/>
                <w:color w:val="333333"/>
                <w:w w:val="110"/>
                <w:sz w:val="21"/>
              </w:rPr>
              <w:t xml:space="preserve"> be added to System properties. It defaults to</w:t>
            </w:r>
            <w:r>
              <w:rPr>
                <w:rFonts w:ascii="Cambria"/>
                <w:color w:val="333333"/>
                <w:spacing w:val="2"/>
                <w:w w:val="110"/>
                <w:sz w:val="21"/>
              </w:rPr>
              <w:t xml:space="preserve"> </w:t>
            </w:r>
            <w:r>
              <w:rPr>
                <w:color w:val="B02045"/>
                <w:w w:val="110"/>
                <w:sz w:val="21"/>
              </w:rPr>
              <w:t>false</w:t>
            </w:r>
            <w:r>
              <w:rPr>
                <w:rFonts w:ascii="Cambria"/>
                <w:color w:val="333333"/>
                <w:w w:val="110"/>
                <w:sz w:val="21"/>
              </w:rPr>
              <w:t>.</w:t>
            </w:r>
          </w:p>
        </w:tc>
      </w:tr>
    </w:tbl>
    <w:p w14:paraId="18203C5B" w14:textId="77777777" w:rsidR="00A720EB" w:rsidRDefault="00A720EB">
      <w:pPr>
        <w:pStyle w:val="a3"/>
        <w:spacing w:before="6"/>
        <w:rPr>
          <w:sz w:val="12"/>
        </w:rPr>
      </w:pPr>
    </w:p>
    <w:p w14:paraId="27B823BC" w14:textId="77777777" w:rsidR="00A720EB" w:rsidRDefault="0030286B">
      <w:pPr>
        <w:pStyle w:val="a3"/>
        <w:spacing w:before="125"/>
        <w:ind w:left="124"/>
      </w:pPr>
      <w:r>
        <w:rPr>
          <w:color w:val="333333"/>
          <w:w w:val="110"/>
        </w:rPr>
        <w:t>When specified as environment variables or manifest entries, the following names should be used:</w:t>
      </w:r>
    </w:p>
    <w:p w14:paraId="5E3FB15F" w14:textId="77777777" w:rsidR="00A720EB" w:rsidRDefault="00A720EB">
      <w:pPr>
        <w:pStyle w:val="a3"/>
        <w:spacing w:before="7"/>
        <w:rPr>
          <w:sz w:val="22"/>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24B2B857" w14:textId="77777777">
        <w:trPr>
          <w:trHeight w:val="415"/>
        </w:trPr>
        <w:tc>
          <w:tcPr>
            <w:tcW w:w="3325" w:type="dxa"/>
            <w:tcBorders>
              <w:bottom w:val="single" w:sz="12" w:space="0" w:color="DDDDDD"/>
            </w:tcBorders>
          </w:tcPr>
          <w:p w14:paraId="4C846DB1" w14:textId="77777777" w:rsidR="00A720EB" w:rsidRDefault="0030286B">
            <w:pPr>
              <w:pStyle w:val="TableParagraph"/>
              <w:spacing w:before="74"/>
              <w:rPr>
                <w:rFonts w:ascii="Palatino Linotype"/>
                <w:b/>
                <w:sz w:val="21"/>
              </w:rPr>
            </w:pPr>
            <w:r>
              <w:rPr>
                <w:rFonts w:ascii="Palatino Linotype"/>
                <w:b/>
                <w:color w:val="333333"/>
                <w:w w:val="105"/>
                <w:sz w:val="21"/>
              </w:rPr>
              <w:t>Key</w:t>
            </w:r>
          </w:p>
        </w:tc>
        <w:tc>
          <w:tcPr>
            <w:tcW w:w="3325" w:type="dxa"/>
            <w:tcBorders>
              <w:bottom w:val="single" w:sz="12" w:space="0" w:color="DDDDDD"/>
            </w:tcBorders>
          </w:tcPr>
          <w:p w14:paraId="0F70F386" w14:textId="77777777" w:rsidR="00A720EB" w:rsidRDefault="0030286B">
            <w:pPr>
              <w:pStyle w:val="TableParagraph"/>
              <w:spacing w:before="74"/>
              <w:rPr>
                <w:rFonts w:ascii="Palatino Linotype"/>
                <w:b/>
                <w:sz w:val="21"/>
              </w:rPr>
            </w:pPr>
            <w:r>
              <w:rPr>
                <w:rFonts w:ascii="Palatino Linotype"/>
                <w:b/>
                <w:color w:val="333333"/>
                <w:w w:val="110"/>
                <w:sz w:val="21"/>
              </w:rPr>
              <w:t>Manifest entry</w:t>
            </w:r>
          </w:p>
        </w:tc>
        <w:tc>
          <w:tcPr>
            <w:tcW w:w="3325" w:type="dxa"/>
            <w:tcBorders>
              <w:bottom w:val="single" w:sz="12" w:space="0" w:color="DDDDDD"/>
            </w:tcBorders>
          </w:tcPr>
          <w:p w14:paraId="7B3B1572" w14:textId="77777777" w:rsidR="00A720EB" w:rsidRDefault="0030286B">
            <w:pPr>
              <w:pStyle w:val="TableParagraph"/>
              <w:spacing w:before="74"/>
              <w:rPr>
                <w:rFonts w:ascii="Palatino Linotype"/>
                <w:b/>
                <w:sz w:val="21"/>
              </w:rPr>
            </w:pPr>
            <w:r>
              <w:rPr>
                <w:rFonts w:ascii="Palatino Linotype"/>
                <w:b/>
                <w:color w:val="333333"/>
                <w:w w:val="115"/>
                <w:sz w:val="21"/>
              </w:rPr>
              <w:t>Environment variable</w:t>
            </w:r>
          </w:p>
        </w:tc>
      </w:tr>
      <w:tr w:rsidR="00A720EB" w14:paraId="0F86B154" w14:textId="77777777">
        <w:trPr>
          <w:trHeight w:val="358"/>
        </w:trPr>
        <w:tc>
          <w:tcPr>
            <w:tcW w:w="3325" w:type="dxa"/>
            <w:tcBorders>
              <w:top w:val="single" w:sz="12" w:space="0" w:color="DDDDDD"/>
            </w:tcBorders>
          </w:tcPr>
          <w:p w14:paraId="7756BA3E" w14:textId="77777777" w:rsidR="00A720EB" w:rsidRDefault="0030286B">
            <w:pPr>
              <w:pStyle w:val="TableParagraph"/>
              <w:spacing w:before="30"/>
              <w:rPr>
                <w:sz w:val="21"/>
              </w:rPr>
            </w:pPr>
            <w:proofErr w:type="gramStart"/>
            <w:r>
              <w:rPr>
                <w:color w:val="B02045"/>
                <w:sz w:val="21"/>
              </w:rPr>
              <w:t>loader.path</w:t>
            </w:r>
            <w:proofErr w:type="gramEnd"/>
          </w:p>
        </w:tc>
        <w:tc>
          <w:tcPr>
            <w:tcW w:w="3325" w:type="dxa"/>
            <w:tcBorders>
              <w:top w:val="single" w:sz="12" w:space="0" w:color="DDDDDD"/>
            </w:tcBorders>
          </w:tcPr>
          <w:p w14:paraId="5533D827" w14:textId="77777777" w:rsidR="00A720EB" w:rsidRDefault="0030286B">
            <w:pPr>
              <w:pStyle w:val="TableParagraph"/>
              <w:spacing w:before="30"/>
              <w:rPr>
                <w:sz w:val="21"/>
              </w:rPr>
            </w:pPr>
            <w:r>
              <w:rPr>
                <w:color w:val="B02045"/>
                <w:sz w:val="21"/>
              </w:rPr>
              <w:t>Loader-Path</w:t>
            </w:r>
          </w:p>
        </w:tc>
        <w:tc>
          <w:tcPr>
            <w:tcW w:w="3325" w:type="dxa"/>
            <w:tcBorders>
              <w:top w:val="single" w:sz="12" w:space="0" w:color="DDDDDD"/>
            </w:tcBorders>
          </w:tcPr>
          <w:p w14:paraId="40F84548" w14:textId="77777777" w:rsidR="00A720EB" w:rsidRDefault="0030286B">
            <w:pPr>
              <w:pStyle w:val="TableParagraph"/>
              <w:spacing w:before="30"/>
              <w:rPr>
                <w:sz w:val="21"/>
              </w:rPr>
            </w:pPr>
            <w:r>
              <w:rPr>
                <w:color w:val="B02045"/>
                <w:sz w:val="21"/>
              </w:rPr>
              <w:t>LOADER_PATH</w:t>
            </w:r>
          </w:p>
        </w:tc>
      </w:tr>
      <w:tr w:rsidR="00A720EB" w14:paraId="42B772CD" w14:textId="77777777">
        <w:trPr>
          <w:trHeight w:val="368"/>
        </w:trPr>
        <w:tc>
          <w:tcPr>
            <w:tcW w:w="3325" w:type="dxa"/>
          </w:tcPr>
          <w:p w14:paraId="3D4D92A5" w14:textId="77777777" w:rsidR="00A720EB" w:rsidRDefault="0030286B">
            <w:pPr>
              <w:pStyle w:val="TableParagraph"/>
              <w:spacing w:before="40"/>
              <w:rPr>
                <w:sz w:val="21"/>
              </w:rPr>
            </w:pPr>
            <w:proofErr w:type="gramStart"/>
            <w:r>
              <w:rPr>
                <w:color w:val="B02045"/>
                <w:sz w:val="21"/>
              </w:rPr>
              <w:t>loader.home</w:t>
            </w:r>
            <w:proofErr w:type="gramEnd"/>
          </w:p>
        </w:tc>
        <w:tc>
          <w:tcPr>
            <w:tcW w:w="3325" w:type="dxa"/>
          </w:tcPr>
          <w:p w14:paraId="63FFA772" w14:textId="77777777" w:rsidR="00A720EB" w:rsidRDefault="0030286B">
            <w:pPr>
              <w:pStyle w:val="TableParagraph"/>
              <w:spacing w:before="40"/>
              <w:rPr>
                <w:sz w:val="21"/>
              </w:rPr>
            </w:pPr>
            <w:r>
              <w:rPr>
                <w:color w:val="B02045"/>
                <w:sz w:val="21"/>
              </w:rPr>
              <w:t>Loader-Home</w:t>
            </w:r>
          </w:p>
        </w:tc>
        <w:tc>
          <w:tcPr>
            <w:tcW w:w="3325" w:type="dxa"/>
          </w:tcPr>
          <w:p w14:paraId="61C7A2A5" w14:textId="77777777" w:rsidR="00A720EB" w:rsidRDefault="0030286B">
            <w:pPr>
              <w:pStyle w:val="TableParagraph"/>
              <w:spacing w:before="40"/>
              <w:rPr>
                <w:sz w:val="21"/>
              </w:rPr>
            </w:pPr>
            <w:r>
              <w:rPr>
                <w:color w:val="B02045"/>
                <w:sz w:val="21"/>
              </w:rPr>
              <w:t>LOADER_HOME</w:t>
            </w:r>
          </w:p>
        </w:tc>
      </w:tr>
      <w:tr w:rsidR="00A720EB" w14:paraId="7E58C4B3" w14:textId="77777777">
        <w:trPr>
          <w:trHeight w:val="368"/>
        </w:trPr>
        <w:tc>
          <w:tcPr>
            <w:tcW w:w="3325" w:type="dxa"/>
          </w:tcPr>
          <w:p w14:paraId="12BBFAAB" w14:textId="77777777" w:rsidR="00A720EB" w:rsidRDefault="0030286B">
            <w:pPr>
              <w:pStyle w:val="TableParagraph"/>
              <w:spacing w:before="40"/>
              <w:rPr>
                <w:sz w:val="21"/>
              </w:rPr>
            </w:pPr>
            <w:proofErr w:type="gramStart"/>
            <w:r>
              <w:rPr>
                <w:color w:val="B02045"/>
                <w:sz w:val="21"/>
              </w:rPr>
              <w:t>loader.args</w:t>
            </w:r>
            <w:proofErr w:type="gramEnd"/>
          </w:p>
        </w:tc>
        <w:tc>
          <w:tcPr>
            <w:tcW w:w="3325" w:type="dxa"/>
          </w:tcPr>
          <w:p w14:paraId="508C1D94" w14:textId="77777777" w:rsidR="00A720EB" w:rsidRDefault="0030286B">
            <w:pPr>
              <w:pStyle w:val="TableParagraph"/>
              <w:spacing w:before="40"/>
              <w:rPr>
                <w:sz w:val="21"/>
              </w:rPr>
            </w:pPr>
            <w:r>
              <w:rPr>
                <w:color w:val="B02045"/>
                <w:sz w:val="21"/>
              </w:rPr>
              <w:t>Loader-Args</w:t>
            </w:r>
          </w:p>
        </w:tc>
        <w:tc>
          <w:tcPr>
            <w:tcW w:w="3325" w:type="dxa"/>
          </w:tcPr>
          <w:p w14:paraId="2A579E18" w14:textId="77777777" w:rsidR="00A720EB" w:rsidRDefault="0030286B">
            <w:pPr>
              <w:pStyle w:val="TableParagraph"/>
              <w:spacing w:before="40"/>
              <w:rPr>
                <w:sz w:val="21"/>
              </w:rPr>
            </w:pPr>
            <w:r>
              <w:rPr>
                <w:color w:val="B02045"/>
                <w:sz w:val="21"/>
              </w:rPr>
              <w:t>LOADER_ARGS</w:t>
            </w:r>
          </w:p>
        </w:tc>
      </w:tr>
      <w:tr w:rsidR="00A720EB" w14:paraId="59261D8D" w14:textId="77777777">
        <w:trPr>
          <w:trHeight w:val="368"/>
        </w:trPr>
        <w:tc>
          <w:tcPr>
            <w:tcW w:w="3325" w:type="dxa"/>
          </w:tcPr>
          <w:p w14:paraId="2E7EF9E5" w14:textId="77777777" w:rsidR="00A720EB" w:rsidRDefault="0030286B">
            <w:pPr>
              <w:pStyle w:val="TableParagraph"/>
              <w:spacing w:before="40"/>
              <w:rPr>
                <w:sz w:val="21"/>
              </w:rPr>
            </w:pPr>
            <w:proofErr w:type="gramStart"/>
            <w:r>
              <w:rPr>
                <w:color w:val="B02045"/>
                <w:sz w:val="21"/>
              </w:rPr>
              <w:t>loader.main</w:t>
            </w:r>
            <w:proofErr w:type="gramEnd"/>
          </w:p>
        </w:tc>
        <w:tc>
          <w:tcPr>
            <w:tcW w:w="3325" w:type="dxa"/>
          </w:tcPr>
          <w:p w14:paraId="58458B33" w14:textId="77777777" w:rsidR="00A720EB" w:rsidRDefault="0030286B">
            <w:pPr>
              <w:pStyle w:val="TableParagraph"/>
              <w:spacing w:before="40"/>
              <w:rPr>
                <w:sz w:val="21"/>
              </w:rPr>
            </w:pPr>
            <w:r>
              <w:rPr>
                <w:color w:val="B02045"/>
                <w:sz w:val="21"/>
              </w:rPr>
              <w:t>Start-Class</w:t>
            </w:r>
          </w:p>
        </w:tc>
        <w:tc>
          <w:tcPr>
            <w:tcW w:w="3325" w:type="dxa"/>
          </w:tcPr>
          <w:p w14:paraId="7EFA0887" w14:textId="77777777" w:rsidR="00A720EB" w:rsidRDefault="0030286B">
            <w:pPr>
              <w:pStyle w:val="TableParagraph"/>
              <w:spacing w:before="40"/>
              <w:rPr>
                <w:sz w:val="21"/>
              </w:rPr>
            </w:pPr>
            <w:r>
              <w:rPr>
                <w:color w:val="B02045"/>
                <w:sz w:val="21"/>
              </w:rPr>
              <w:t>LOADER_MAIN</w:t>
            </w:r>
          </w:p>
        </w:tc>
      </w:tr>
      <w:tr w:rsidR="00A720EB" w14:paraId="3B91CE4B" w14:textId="77777777">
        <w:trPr>
          <w:trHeight w:val="368"/>
        </w:trPr>
        <w:tc>
          <w:tcPr>
            <w:tcW w:w="3325" w:type="dxa"/>
          </w:tcPr>
          <w:p w14:paraId="26488377" w14:textId="77777777" w:rsidR="00A720EB" w:rsidRDefault="0030286B">
            <w:pPr>
              <w:pStyle w:val="TableParagraph"/>
              <w:spacing w:before="40"/>
              <w:rPr>
                <w:sz w:val="21"/>
              </w:rPr>
            </w:pPr>
            <w:r>
              <w:rPr>
                <w:color w:val="B02045"/>
                <w:sz w:val="21"/>
              </w:rPr>
              <w:t>loader.</w:t>
            </w:r>
            <w:proofErr w:type="gramStart"/>
            <w:r>
              <w:rPr>
                <w:color w:val="B02045"/>
                <w:sz w:val="21"/>
              </w:rPr>
              <w:t>config.location</w:t>
            </w:r>
            <w:proofErr w:type="gramEnd"/>
          </w:p>
        </w:tc>
        <w:tc>
          <w:tcPr>
            <w:tcW w:w="3325" w:type="dxa"/>
          </w:tcPr>
          <w:p w14:paraId="46E82C85" w14:textId="77777777" w:rsidR="00A720EB" w:rsidRDefault="0030286B">
            <w:pPr>
              <w:pStyle w:val="TableParagraph"/>
              <w:spacing w:before="40"/>
              <w:rPr>
                <w:sz w:val="21"/>
              </w:rPr>
            </w:pPr>
            <w:r>
              <w:rPr>
                <w:color w:val="B02045"/>
                <w:sz w:val="21"/>
              </w:rPr>
              <w:t>Loader-Config-Location</w:t>
            </w:r>
          </w:p>
        </w:tc>
        <w:tc>
          <w:tcPr>
            <w:tcW w:w="3325" w:type="dxa"/>
          </w:tcPr>
          <w:p w14:paraId="5400BE4F" w14:textId="77777777" w:rsidR="00A720EB" w:rsidRDefault="0030286B">
            <w:pPr>
              <w:pStyle w:val="TableParagraph"/>
              <w:spacing w:before="40"/>
              <w:rPr>
                <w:sz w:val="21"/>
              </w:rPr>
            </w:pPr>
            <w:r>
              <w:rPr>
                <w:color w:val="B02045"/>
                <w:sz w:val="21"/>
              </w:rPr>
              <w:t>LOADER_CONFIG_LOCATION</w:t>
            </w:r>
          </w:p>
        </w:tc>
      </w:tr>
      <w:tr w:rsidR="00A720EB" w14:paraId="1E268B56" w14:textId="77777777">
        <w:trPr>
          <w:trHeight w:val="368"/>
        </w:trPr>
        <w:tc>
          <w:tcPr>
            <w:tcW w:w="3325" w:type="dxa"/>
          </w:tcPr>
          <w:p w14:paraId="63A3D4CE" w14:textId="77777777" w:rsidR="00A720EB" w:rsidRDefault="0030286B">
            <w:pPr>
              <w:pStyle w:val="TableParagraph"/>
              <w:spacing w:before="40"/>
              <w:rPr>
                <w:sz w:val="21"/>
              </w:rPr>
            </w:pPr>
            <w:proofErr w:type="gramStart"/>
            <w:r>
              <w:rPr>
                <w:color w:val="B02045"/>
                <w:sz w:val="21"/>
              </w:rPr>
              <w:t>loader.system</w:t>
            </w:r>
            <w:proofErr w:type="gramEnd"/>
          </w:p>
        </w:tc>
        <w:tc>
          <w:tcPr>
            <w:tcW w:w="3325" w:type="dxa"/>
          </w:tcPr>
          <w:p w14:paraId="1F27E091" w14:textId="77777777" w:rsidR="00A720EB" w:rsidRDefault="0030286B">
            <w:pPr>
              <w:pStyle w:val="TableParagraph"/>
              <w:spacing w:before="40"/>
              <w:rPr>
                <w:sz w:val="21"/>
              </w:rPr>
            </w:pPr>
            <w:r>
              <w:rPr>
                <w:color w:val="B02045"/>
                <w:sz w:val="21"/>
              </w:rPr>
              <w:t>Loader-System</w:t>
            </w:r>
          </w:p>
        </w:tc>
        <w:tc>
          <w:tcPr>
            <w:tcW w:w="3325" w:type="dxa"/>
          </w:tcPr>
          <w:p w14:paraId="57DEEC92" w14:textId="77777777" w:rsidR="00A720EB" w:rsidRDefault="0030286B">
            <w:pPr>
              <w:pStyle w:val="TableParagraph"/>
              <w:spacing w:before="40"/>
              <w:rPr>
                <w:sz w:val="21"/>
              </w:rPr>
            </w:pPr>
            <w:r>
              <w:rPr>
                <w:color w:val="B02045"/>
                <w:sz w:val="21"/>
              </w:rPr>
              <w:t>LOADER_SYSTEM</w:t>
            </w:r>
          </w:p>
        </w:tc>
      </w:tr>
    </w:tbl>
    <w:p w14:paraId="47BC241B" w14:textId="77777777" w:rsidR="00A720EB" w:rsidRDefault="00A720EB">
      <w:pPr>
        <w:pStyle w:val="a3"/>
        <w:spacing w:before="4"/>
        <w:rPr>
          <w:sz w:val="32"/>
        </w:rPr>
      </w:pPr>
    </w:p>
    <w:p w14:paraId="17C1ECB0" w14:textId="77777777" w:rsidR="00A720EB" w:rsidRDefault="00E10349">
      <w:pPr>
        <w:pStyle w:val="a3"/>
        <w:spacing w:before="1" w:line="199" w:lineRule="auto"/>
        <w:ind w:left="559" w:right="359" w:firstLine="1004"/>
      </w:pPr>
      <w:r>
        <w:pict w14:anchorId="1EBADAAE">
          <v:line id="_x0000_s1026" style="position:absolute;left:0;text-align:left;z-index:-41072128;mso-position-horizontal-relative:page" from="108.25pt,-7.2pt" to="108.25pt,48.15pt" strokecolor="#ededed" strokeweight=".5pt">
            <w10:wrap anchorx="page"/>
          </v:line>
        </w:pict>
      </w:r>
      <w:r w:rsidR="0030286B">
        <w:rPr>
          <w:color w:val="333333"/>
          <w:w w:val="110"/>
        </w:rPr>
        <w:t>Build</w:t>
      </w:r>
      <w:r w:rsidR="0030286B">
        <w:rPr>
          <w:color w:val="333333"/>
          <w:spacing w:val="-8"/>
          <w:w w:val="110"/>
        </w:rPr>
        <w:t xml:space="preserve"> </w:t>
      </w:r>
      <w:r w:rsidR="0030286B">
        <w:rPr>
          <w:color w:val="333333"/>
          <w:w w:val="110"/>
        </w:rPr>
        <w:t>plugins</w:t>
      </w:r>
      <w:r w:rsidR="0030286B">
        <w:rPr>
          <w:color w:val="333333"/>
          <w:spacing w:val="-8"/>
          <w:w w:val="110"/>
        </w:rPr>
        <w:t xml:space="preserve"> </w:t>
      </w:r>
      <w:r w:rsidR="0030286B">
        <w:rPr>
          <w:color w:val="333333"/>
          <w:w w:val="110"/>
        </w:rPr>
        <w:t>automatically</w:t>
      </w:r>
      <w:r w:rsidR="0030286B">
        <w:rPr>
          <w:color w:val="333333"/>
          <w:spacing w:val="-8"/>
          <w:w w:val="110"/>
        </w:rPr>
        <w:t xml:space="preserve"> </w:t>
      </w:r>
      <w:r w:rsidR="0030286B">
        <w:rPr>
          <w:color w:val="333333"/>
          <w:w w:val="110"/>
        </w:rPr>
        <w:t>move</w:t>
      </w:r>
      <w:r w:rsidR="0030286B">
        <w:rPr>
          <w:color w:val="333333"/>
          <w:spacing w:val="-7"/>
          <w:w w:val="110"/>
        </w:rPr>
        <w:t xml:space="preserve"> </w:t>
      </w:r>
      <w:r w:rsidR="0030286B">
        <w:rPr>
          <w:color w:val="333333"/>
          <w:w w:val="110"/>
        </w:rPr>
        <w:t>the</w:t>
      </w:r>
      <w:r w:rsidR="0030286B">
        <w:rPr>
          <w:color w:val="333333"/>
          <w:spacing w:val="-2"/>
          <w:w w:val="110"/>
        </w:rPr>
        <w:t xml:space="preserve"> </w:t>
      </w:r>
      <w:r w:rsidR="0030286B">
        <w:rPr>
          <w:rFonts w:ascii="MS Gothic"/>
          <w:color w:val="B02045"/>
          <w:w w:val="110"/>
        </w:rPr>
        <w:t>Main-Class</w:t>
      </w:r>
      <w:r w:rsidR="0030286B">
        <w:rPr>
          <w:rFonts w:ascii="MS Gothic"/>
          <w:color w:val="B02045"/>
          <w:spacing w:val="-72"/>
          <w:w w:val="110"/>
        </w:rPr>
        <w:t xml:space="preserve"> </w:t>
      </w:r>
      <w:r w:rsidR="0030286B">
        <w:rPr>
          <w:color w:val="333333"/>
          <w:w w:val="110"/>
        </w:rPr>
        <w:t>attribute</w:t>
      </w:r>
      <w:r w:rsidR="0030286B">
        <w:rPr>
          <w:color w:val="333333"/>
          <w:spacing w:val="-8"/>
          <w:w w:val="110"/>
        </w:rPr>
        <w:t xml:space="preserve"> </w:t>
      </w:r>
      <w:r w:rsidR="0030286B">
        <w:rPr>
          <w:color w:val="333333"/>
          <w:w w:val="110"/>
        </w:rPr>
        <w:t>to</w:t>
      </w:r>
      <w:r w:rsidR="0030286B">
        <w:rPr>
          <w:color w:val="333333"/>
          <w:spacing w:val="-5"/>
          <w:w w:val="110"/>
        </w:rPr>
        <w:t xml:space="preserve"> </w:t>
      </w:r>
      <w:r w:rsidR="0030286B">
        <w:rPr>
          <w:rFonts w:ascii="MS Gothic"/>
          <w:color w:val="B02045"/>
          <w:w w:val="110"/>
        </w:rPr>
        <w:t>Start-Class</w:t>
      </w:r>
      <w:r w:rsidR="0030286B">
        <w:rPr>
          <w:rFonts w:ascii="MS Gothic"/>
          <w:color w:val="B02045"/>
          <w:spacing w:val="-72"/>
          <w:w w:val="110"/>
        </w:rPr>
        <w:t xml:space="preserve"> </w:t>
      </w:r>
      <w:r w:rsidR="0030286B">
        <w:rPr>
          <w:color w:val="333333"/>
          <w:w w:val="110"/>
        </w:rPr>
        <w:t>when</w:t>
      </w:r>
      <w:r w:rsidR="0030286B">
        <w:rPr>
          <w:color w:val="333333"/>
          <w:spacing w:val="-8"/>
          <w:w w:val="110"/>
        </w:rPr>
        <w:t xml:space="preserve"> </w:t>
      </w:r>
      <w:r w:rsidR="0030286B">
        <w:rPr>
          <w:color w:val="333333"/>
          <w:w w:val="110"/>
        </w:rPr>
        <w:t>the</w:t>
      </w:r>
      <w:r w:rsidR="0030286B">
        <w:rPr>
          <w:color w:val="333333"/>
          <w:spacing w:val="-1"/>
          <w:w w:val="110"/>
        </w:rPr>
        <w:t xml:space="preserve"> </w:t>
      </w:r>
      <w:r w:rsidR="0030286B">
        <w:rPr>
          <w:noProof/>
          <w:color w:val="333333"/>
          <w:spacing w:val="-1"/>
          <w:w w:val="110"/>
          <w:position w:val="-15"/>
        </w:rPr>
        <w:drawing>
          <wp:inline distT="0" distB="0" distL="0" distR="0" wp14:anchorId="016410E5" wp14:editId="76E8BFD6">
            <wp:extent cx="209550" cy="304800"/>
            <wp:effectExtent l="0" t="0" r="0" b="0"/>
            <wp:docPr id="82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34.png"/>
                    <pic:cNvPicPr/>
                  </pic:nvPicPr>
                  <pic:blipFill>
                    <a:blip r:embed="rId31" cstate="print"/>
                    <a:stretch>
                      <a:fillRect/>
                    </a:stretch>
                  </pic:blipFill>
                  <pic:spPr>
                    <a:xfrm>
                      <a:off x="0" y="0"/>
                      <a:ext cx="209550" cy="304800"/>
                    </a:xfrm>
                    <a:prstGeom prst="rect">
                      <a:avLst/>
                    </a:prstGeom>
                  </pic:spPr>
                </pic:pic>
              </a:graphicData>
            </a:graphic>
          </wp:inline>
        </w:drawing>
      </w:r>
      <w:r w:rsidR="0030286B">
        <w:rPr>
          <w:rFonts w:ascii="Times New Roman"/>
          <w:color w:val="333333"/>
          <w:spacing w:val="-1"/>
          <w:w w:val="110"/>
        </w:rPr>
        <w:t xml:space="preserve">           </w:t>
      </w:r>
      <w:r w:rsidR="0030286B">
        <w:rPr>
          <w:rFonts w:ascii="Times New Roman"/>
          <w:color w:val="333333"/>
          <w:spacing w:val="-9"/>
          <w:w w:val="110"/>
        </w:rPr>
        <w:t xml:space="preserve"> </w:t>
      </w:r>
      <w:r w:rsidR="0030286B">
        <w:rPr>
          <w:color w:val="333333"/>
          <w:w w:val="110"/>
        </w:rPr>
        <w:t>fat</w:t>
      </w:r>
      <w:r w:rsidR="0030286B">
        <w:rPr>
          <w:color w:val="333333"/>
          <w:spacing w:val="18"/>
          <w:w w:val="110"/>
        </w:rPr>
        <w:t xml:space="preserve"> </w:t>
      </w:r>
      <w:r w:rsidR="0030286B">
        <w:rPr>
          <w:color w:val="333333"/>
          <w:w w:val="110"/>
        </w:rPr>
        <w:t>jar</w:t>
      </w:r>
      <w:r w:rsidR="0030286B">
        <w:rPr>
          <w:color w:val="333333"/>
          <w:spacing w:val="18"/>
          <w:w w:val="110"/>
        </w:rPr>
        <w:t xml:space="preserve"> </w:t>
      </w:r>
      <w:r w:rsidR="0030286B">
        <w:rPr>
          <w:color w:val="333333"/>
          <w:w w:val="110"/>
        </w:rPr>
        <w:t>is</w:t>
      </w:r>
      <w:r w:rsidR="0030286B">
        <w:rPr>
          <w:color w:val="333333"/>
          <w:spacing w:val="18"/>
          <w:w w:val="110"/>
        </w:rPr>
        <w:t xml:space="preserve"> </w:t>
      </w:r>
      <w:r w:rsidR="0030286B">
        <w:rPr>
          <w:color w:val="333333"/>
          <w:w w:val="110"/>
        </w:rPr>
        <w:t>built.</w:t>
      </w:r>
      <w:r w:rsidR="0030286B">
        <w:rPr>
          <w:color w:val="333333"/>
          <w:spacing w:val="18"/>
          <w:w w:val="110"/>
        </w:rPr>
        <w:t xml:space="preserve"> </w:t>
      </w:r>
      <w:r w:rsidR="0030286B">
        <w:rPr>
          <w:color w:val="333333"/>
          <w:w w:val="110"/>
        </w:rPr>
        <w:t>If</w:t>
      </w:r>
      <w:r w:rsidR="0030286B">
        <w:rPr>
          <w:color w:val="333333"/>
          <w:spacing w:val="19"/>
          <w:w w:val="110"/>
        </w:rPr>
        <w:t xml:space="preserve"> </w:t>
      </w:r>
      <w:r w:rsidR="0030286B">
        <w:rPr>
          <w:color w:val="333333"/>
          <w:w w:val="110"/>
        </w:rPr>
        <w:t>you</w:t>
      </w:r>
      <w:r w:rsidR="0030286B">
        <w:rPr>
          <w:color w:val="333333"/>
          <w:spacing w:val="18"/>
          <w:w w:val="110"/>
        </w:rPr>
        <w:t xml:space="preserve"> </w:t>
      </w:r>
      <w:r w:rsidR="0030286B">
        <w:rPr>
          <w:color w:val="333333"/>
          <w:w w:val="110"/>
        </w:rPr>
        <w:t>use</w:t>
      </w:r>
      <w:r w:rsidR="0030286B">
        <w:rPr>
          <w:color w:val="333333"/>
          <w:spacing w:val="18"/>
          <w:w w:val="110"/>
        </w:rPr>
        <w:t xml:space="preserve"> </w:t>
      </w:r>
      <w:r w:rsidR="0030286B">
        <w:rPr>
          <w:color w:val="333333"/>
          <w:w w:val="110"/>
        </w:rPr>
        <w:t>that,</w:t>
      </w:r>
      <w:r w:rsidR="0030286B">
        <w:rPr>
          <w:color w:val="333333"/>
          <w:spacing w:val="19"/>
          <w:w w:val="110"/>
        </w:rPr>
        <w:t xml:space="preserve"> </w:t>
      </w:r>
      <w:r w:rsidR="0030286B">
        <w:rPr>
          <w:color w:val="333333"/>
          <w:w w:val="110"/>
        </w:rPr>
        <w:t>specify</w:t>
      </w:r>
      <w:r w:rsidR="0030286B">
        <w:rPr>
          <w:color w:val="333333"/>
          <w:spacing w:val="19"/>
          <w:w w:val="110"/>
        </w:rPr>
        <w:t xml:space="preserve"> </w:t>
      </w:r>
      <w:r w:rsidR="0030286B">
        <w:rPr>
          <w:color w:val="333333"/>
          <w:w w:val="110"/>
        </w:rPr>
        <w:t>the</w:t>
      </w:r>
      <w:r w:rsidR="0030286B">
        <w:rPr>
          <w:color w:val="333333"/>
          <w:spacing w:val="18"/>
          <w:w w:val="110"/>
        </w:rPr>
        <w:t xml:space="preserve"> </w:t>
      </w:r>
      <w:r w:rsidR="0030286B">
        <w:rPr>
          <w:color w:val="333333"/>
          <w:w w:val="110"/>
        </w:rPr>
        <w:t>name</w:t>
      </w:r>
      <w:r w:rsidR="0030286B">
        <w:rPr>
          <w:color w:val="333333"/>
          <w:spacing w:val="19"/>
          <w:w w:val="110"/>
        </w:rPr>
        <w:t xml:space="preserve"> </w:t>
      </w:r>
      <w:r w:rsidR="0030286B">
        <w:rPr>
          <w:color w:val="333333"/>
          <w:w w:val="110"/>
        </w:rPr>
        <w:t>of</w:t>
      </w:r>
      <w:r w:rsidR="0030286B">
        <w:rPr>
          <w:color w:val="333333"/>
          <w:spacing w:val="19"/>
          <w:w w:val="110"/>
        </w:rPr>
        <w:t xml:space="preserve"> </w:t>
      </w:r>
      <w:r w:rsidR="0030286B">
        <w:rPr>
          <w:color w:val="333333"/>
          <w:w w:val="110"/>
        </w:rPr>
        <w:t>the</w:t>
      </w:r>
      <w:r w:rsidR="0030286B">
        <w:rPr>
          <w:color w:val="333333"/>
          <w:spacing w:val="19"/>
          <w:w w:val="110"/>
        </w:rPr>
        <w:t xml:space="preserve"> </w:t>
      </w:r>
      <w:r w:rsidR="0030286B">
        <w:rPr>
          <w:color w:val="333333"/>
          <w:w w:val="110"/>
        </w:rPr>
        <w:t>class</w:t>
      </w:r>
      <w:r w:rsidR="0030286B">
        <w:rPr>
          <w:color w:val="333333"/>
          <w:spacing w:val="19"/>
          <w:w w:val="110"/>
        </w:rPr>
        <w:t xml:space="preserve"> </w:t>
      </w:r>
      <w:r w:rsidR="0030286B">
        <w:rPr>
          <w:color w:val="333333"/>
          <w:w w:val="110"/>
        </w:rPr>
        <w:t>to</w:t>
      </w:r>
      <w:r w:rsidR="0030286B">
        <w:rPr>
          <w:color w:val="333333"/>
          <w:spacing w:val="19"/>
          <w:w w:val="110"/>
        </w:rPr>
        <w:t xml:space="preserve"> </w:t>
      </w:r>
      <w:r w:rsidR="0030286B">
        <w:rPr>
          <w:color w:val="333333"/>
          <w:w w:val="110"/>
        </w:rPr>
        <w:t>launch</w:t>
      </w:r>
      <w:r w:rsidR="0030286B">
        <w:rPr>
          <w:color w:val="333333"/>
          <w:spacing w:val="19"/>
          <w:w w:val="110"/>
        </w:rPr>
        <w:t xml:space="preserve"> </w:t>
      </w:r>
      <w:r w:rsidR="0030286B">
        <w:rPr>
          <w:color w:val="333333"/>
          <w:spacing w:val="-3"/>
          <w:w w:val="110"/>
        </w:rPr>
        <w:t>by</w:t>
      </w:r>
      <w:r w:rsidR="0030286B">
        <w:rPr>
          <w:color w:val="333333"/>
          <w:spacing w:val="18"/>
          <w:w w:val="110"/>
        </w:rPr>
        <w:t xml:space="preserve"> </w:t>
      </w:r>
      <w:r w:rsidR="0030286B">
        <w:rPr>
          <w:color w:val="333333"/>
          <w:w w:val="110"/>
        </w:rPr>
        <w:t>using</w:t>
      </w:r>
      <w:r w:rsidR="0030286B">
        <w:rPr>
          <w:color w:val="333333"/>
          <w:spacing w:val="18"/>
          <w:w w:val="110"/>
        </w:rPr>
        <w:t xml:space="preserve"> </w:t>
      </w:r>
      <w:r w:rsidR="0030286B">
        <w:rPr>
          <w:color w:val="333333"/>
          <w:w w:val="110"/>
        </w:rPr>
        <w:t>the</w:t>
      </w:r>
    </w:p>
    <w:p w14:paraId="05A1DD5B" w14:textId="77777777" w:rsidR="00A720EB" w:rsidRDefault="0030286B">
      <w:pPr>
        <w:pStyle w:val="a3"/>
        <w:spacing w:line="243" w:lineRule="exact"/>
        <w:ind w:left="1564"/>
      </w:pPr>
      <w:r>
        <w:rPr>
          <w:rFonts w:ascii="MS Gothic"/>
          <w:color w:val="B02045"/>
          <w:w w:val="110"/>
        </w:rPr>
        <w:t>Main-Class</w:t>
      </w:r>
      <w:r>
        <w:rPr>
          <w:rFonts w:ascii="MS Gothic"/>
          <w:color w:val="B02045"/>
          <w:spacing w:val="-60"/>
          <w:w w:val="110"/>
        </w:rPr>
        <w:t xml:space="preserve"> </w:t>
      </w:r>
      <w:r>
        <w:rPr>
          <w:color w:val="333333"/>
          <w:w w:val="110"/>
        </w:rPr>
        <w:t xml:space="preserve">attribute and leaving out </w:t>
      </w:r>
      <w:r>
        <w:rPr>
          <w:rFonts w:ascii="MS Gothic"/>
          <w:color w:val="B02045"/>
          <w:w w:val="110"/>
        </w:rPr>
        <w:t>Start-Class</w:t>
      </w:r>
      <w:r>
        <w:rPr>
          <w:color w:val="333333"/>
          <w:w w:val="110"/>
        </w:rPr>
        <w:t>.</w:t>
      </w:r>
    </w:p>
    <w:p w14:paraId="2DB58F20" w14:textId="77777777" w:rsidR="00A720EB" w:rsidRDefault="00A720EB">
      <w:pPr>
        <w:pStyle w:val="a3"/>
        <w:spacing w:before="2"/>
        <w:rPr>
          <w:sz w:val="31"/>
        </w:rPr>
      </w:pPr>
    </w:p>
    <w:p w14:paraId="294098C4" w14:textId="77777777" w:rsidR="00A720EB" w:rsidRDefault="0030286B">
      <w:pPr>
        <w:pStyle w:val="a3"/>
        <w:spacing w:before="1"/>
        <w:ind w:left="124"/>
      </w:pPr>
      <w:r>
        <w:rPr>
          <w:color w:val="333333"/>
          <w:w w:val="110"/>
        </w:rPr>
        <w:t xml:space="preserve">The following rules apply to working with </w:t>
      </w:r>
      <w:r>
        <w:rPr>
          <w:rFonts w:ascii="MS Gothic"/>
          <w:color w:val="B02045"/>
          <w:w w:val="110"/>
        </w:rPr>
        <w:t>PropertiesLauncher</w:t>
      </w:r>
      <w:r>
        <w:rPr>
          <w:color w:val="333333"/>
          <w:w w:val="110"/>
        </w:rPr>
        <w:t>:</w:t>
      </w:r>
    </w:p>
    <w:p w14:paraId="2E315E63" w14:textId="77777777" w:rsidR="00A720EB" w:rsidRDefault="00A720EB">
      <w:pPr>
        <w:pStyle w:val="a3"/>
        <w:spacing w:before="5"/>
        <w:rPr>
          <w:sz w:val="24"/>
        </w:rPr>
      </w:pPr>
    </w:p>
    <w:p w14:paraId="36FEC4DF" w14:textId="77777777" w:rsidR="00A720EB" w:rsidRDefault="0030286B">
      <w:pPr>
        <w:pStyle w:val="a6"/>
        <w:numPr>
          <w:ilvl w:val="3"/>
          <w:numId w:val="5"/>
        </w:numPr>
        <w:tabs>
          <w:tab w:val="left" w:pos="485"/>
        </w:tabs>
        <w:rPr>
          <w:sz w:val="21"/>
        </w:rPr>
      </w:pPr>
      <w:proofErr w:type="gramStart"/>
      <w:r>
        <w:rPr>
          <w:rFonts w:ascii="MS Gothic" w:hAnsi="MS Gothic"/>
          <w:color w:val="B02045"/>
          <w:w w:val="110"/>
          <w:sz w:val="21"/>
        </w:rPr>
        <w:t>loader.properties</w:t>
      </w:r>
      <w:proofErr w:type="gramEnd"/>
      <w:r>
        <w:rPr>
          <w:rFonts w:ascii="MS Gothic" w:hAnsi="MS Gothic"/>
          <w:color w:val="B02045"/>
          <w:spacing w:val="-54"/>
          <w:w w:val="110"/>
          <w:sz w:val="21"/>
        </w:rPr>
        <w:t xml:space="preserve"> </w:t>
      </w:r>
      <w:r>
        <w:rPr>
          <w:color w:val="333333"/>
          <w:w w:val="110"/>
          <w:sz w:val="21"/>
        </w:rPr>
        <w:t>is</w:t>
      </w:r>
      <w:r>
        <w:rPr>
          <w:color w:val="333333"/>
          <w:spacing w:val="10"/>
          <w:w w:val="110"/>
          <w:sz w:val="21"/>
        </w:rPr>
        <w:t xml:space="preserve"> </w:t>
      </w:r>
      <w:r>
        <w:rPr>
          <w:color w:val="333333"/>
          <w:w w:val="110"/>
          <w:sz w:val="21"/>
        </w:rPr>
        <w:t>searched</w:t>
      </w:r>
      <w:r>
        <w:rPr>
          <w:color w:val="333333"/>
          <w:spacing w:val="10"/>
          <w:w w:val="110"/>
          <w:sz w:val="21"/>
        </w:rPr>
        <w:t xml:space="preserve"> </w:t>
      </w:r>
      <w:r>
        <w:rPr>
          <w:color w:val="333333"/>
          <w:w w:val="110"/>
          <w:sz w:val="21"/>
        </w:rPr>
        <w:t>for</w:t>
      </w:r>
      <w:r>
        <w:rPr>
          <w:color w:val="333333"/>
          <w:spacing w:val="10"/>
          <w:w w:val="110"/>
          <w:sz w:val="21"/>
        </w:rPr>
        <w:t xml:space="preserve"> </w:t>
      </w:r>
      <w:r>
        <w:rPr>
          <w:color w:val="333333"/>
          <w:w w:val="110"/>
          <w:sz w:val="21"/>
        </w:rPr>
        <w:t>in</w:t>
      </w:r>
      <w:r>
        <w:rPr>
          <w:color w:val="333333"/>
          <w:spacing w:val="11"/>
          <w:w w:val="110"/>
          <w:sz w:val="21"/>
        </w:rPr>
        <w:t xml:space="preserve"> </w:t>
      </w:r>
      <w:r>
        <w:rPr>
          <w:rFonts w:ascii="MS Gothic" w:hAnsi="MS Gothic"/>
          <w:color w:val="B02045"/>
          <w:w w:val="110"/>
          <w:sz w:val="21"/>
        </w:rPr>
        <w:t>loader.home</w:t>
      </w:r>
      <w:r>
        <w:rPr>
          <w:color w:val="333333"/>
          <w:w w:val="110"/>
          <w:sz w:val="21"/>
        </w:rPr>
        <w:t>,</w:t>
      </w:r>
      <w:r>
        <w:rPr>
          <w:color w:val="333333"/>
          <w:spacing w:val="10"/>
          <w:w w:val="110"/>
          <w:sz w:val="21"/>
        </w:rPr>
        <w:t xml:space="preserve"> </w:t>
      </w:r>
      <w:r>
        <w:rPr>
          <w:color w:val="333333"/>
          <w:w w:val="110"/>
          <w:sz w:val="21"/>
        </w:rPr>
        <w:t>then</w:t>
      </w:r>
      <w:r>
        <w:rPr>
          <w:color w:val="333333"/>
          <w:spacing w:val="11"/>
          <w:w w:val="110"/>
          <w:sz w:val="21"/>
        </w:rPr>
        <w:t xml:space="preserve"> </w:t>
      </w:r>
      <w:r>
        <w:rPr>
          <w:color w:val="333333"/>
          <w:w w:val="110"/>
          <w:sz w:val="21"/>
        </w:rPr>
        <w:t>in</w:t>
      </w:r>
      <w:r>
        <w:rPr>
          <w:color w:val="333333"/>
          <w:spacing w:val="10"/>
          <w:w w:val="110"/>
          <w:sz w:val="21"/>
        </w:rPr>
        <w:t xml:space="preserve"> </w:t>
      </w:r>
      <w:r>
        <w:rPr>
          <w:color w:val="333333"/>
          <w:w w:val="110"/>
          <w:sz w:val="21"/>
        </w:rPr>
        <w:t>the</w:t>
      </w:r>
      <w:r>
        <w:rPr>
          <w:color w:val="333333"/>
          <w:spacing w:val="10"/>
          <w:w w:val="110"/>
          <w:sz w:val="21"/>
        </w:rPr>
        <w:t xml:space="preserve"> </w:t>
      </w:r>
      <w:r>
        <w:rPr>
          <w:color w:val="333333"/>
          <w:w w:val="110"/>
          <w:sz w:val="21"/>
        </w:rPr>
        <w:t>root</w:t>
      </w:r>
      <w:r>
        <w:rPr>
          <w:color w:val="333333"/>
          <w:spacing w:val="10"/>
          <w:w w:val="110"/>
          <w:sz w:val="21"/>
        </w:rPr>
        <w:t xml:space="preserve"> </w:t>
      </w:r>
      <w:r>
        <w:rPr>
          <w:color w:val="333333"/>
          <w:w w:val="110"/>
          <w:sz w:val="21"/>
        </w:rPr>
        <w:t>of</w:t>
      </w:r>
      <w:r>
        <w:rPr>
          <w:color w:val="333333"/>
          <w:spacing w:val="10"/>
          <w:w w:val="110"/>
          <w:sz w:val="21"/>
        </w:rPr>
        <w:t xml:space="preserve"> </w:t>
      </w:r>
      <w:r>
        <w:rPr>
          <w:color w:val="333333"/>
          <w:w w:val="110"/>
          <w:sz w:val="21"/>
        </w:rPr>
        <w:t>the</w:t>
      </w:r>
      <w:r>
        <w:rPr>
          <w:color w:val="333333"/>
          <w:spacing w:val="11"/>
          <w:w w:val="110"/>
          <w:sz w:val="21"/>
        </w:rPr>
        <w:t xml:space="preserve"> </w:t>
      </w:r>
      <w:r>
        <w:rPr>
          <w:color w:val="333333"/>
          <w:w w:val="110"/>
          <w:sz w:val="21"/>
        </w:rPr>
        <w:t>classpath,</w:t>
      </w:r>
      <w:r>
        <w:rPr>
          <w:color w:val="333333"/>
          <w:spacing w:val="10"/>
          <w:w w:val="110"/>
          <w:sz w:val="21"/>
        </w:rPr>
        <w:t xml:space="preserve"> </w:t>
      </w:r>
      <w:r>
        <w:rPr>
          <w:color w:val="333333"/>
          <w:w w:val="110"/>
          <w:sz w:val="21"/>
        </w:rPr>
        <w:t>and</w:t>
      </w:r>
      <w:r>
        <w:rPr>
          <w:color w:val="333333"/>
          <w:spacing w:val="10"/>
          <w:w w:val="110"/>
          <w:sz w:val="21"/>
        </w:rPr>
        <w:t xml:space="preserve"> </w:t>
      </w:r>
      <w:r>
        <w:rPr>
          <w:color w:val="333333"/>
          <w:w w:val="110"/>
          <w:sz w:val="21"/>
        </w:rPr>
        <w:t>then</w:t>
      </w:r>
      <w:r>
        <w:rPr>
          <w:color w:val="333333"/>
          <w:spacing w:val="10"/>
          <w:w w:val="110"/>
          <w:sz w:val="21"/>
        </w:rPr>
        <w:t xml:space="preserve"> </w:t>
      </w:r>
      <w:r>
        <w:rPr>
          <w:color w:val="333333"/>
          <w:w w:val="110"/>
          <w:sz w:val="21"/>
        </w:rPr>
        <w:t>in</w:t>
      </w:r>
    </w:p>
    <w:p w14:paraId="66D36EBC" w14:textId="77777777" w:rsidR="00A720EB" w:rsidRDefault="0030286B">
      <w:pPr>
        <w:pStyle w:val="a3"/>
        <w:spacing w:before="46"/>
        <w:ind w:left="484"/>
      </w:pPr>
      <w:r>
        <w:rPr>
          <w:rFonts w:ascii="MS Gothic"/>
          <w:color w:val="B02045"/>
          <w:w w:val="110"/>
        </w:rPr>
        <w:t>classpath:/BOOT-INF/classes</w:t>
      </w:r>
      <w:r>
        <w:rPr>
          <w:color w:val="333333"/>
          <w:w w:val="110"/>
        </w:rPr>
        <w:t>. The first location where a file with that name exists is used.</w:t>
      </w:r>
    </w:p>
    <w:p w14:paraId="584C0653" w14:textId="77777777" w:rsidR="00A720EB" w:rsidRDefault="0030286B">
      <w:pPr>
        <w:pStyle w:val="a6"/>
        <w:numPr>
          <w:ilvl w:val="3"/>
          <w:numId w:val="5"/>
        </w:numPr>
        <w:tabs>
          <w:tab w:val="left" w:pos="485"/>
        </w:tabs>
        <w:spacing w:before="167" w:line="280" w:lineRule="auto"/>
        <w:ind w:right="133"/>
        <w:rPr>
          <w:sz w:val="21"/>
        </w:rPr>
      </w:pPr>
      <w:proofErr w:type="gramStart"/>
      <w:r>
        <w:rPr>
          <w:rFonts w:ascii="MS Gothic" w:hAnsi="MS Gothic"/>
          <w:color w:val="B02045"/>
          <w:w w:val="110"/>
          <w:sz w:val="21"/>
        </w:rPr>
        <w:t>loader.home</w:t>
      </w:r>
      <w:proofErr w:type="gramEnd"/>
      <w:r>
        <w:rPr>
          <w:rFonts w:ascii="MS Gothic" w:hAnsi="MS Gothic"/>
          <w:color w:val="B02045"/>
          <w:spacing w:val="-76"/>
          <w:w w:val="110"/>
          <w:sz w:val="21"/>
        </w:rPr>
        <w:t xml:space="preserve"> </w:t>
      </w:r>
      <w:r>
        <w:rPr>
          <w:color w:val="333333"/>
          <w:w w:val="110"/>
          <w:sz w:val="21"/>
        </w:rPr>
        <w:t xml:space="preserve">is the directory location of an additional properties file (overriding the default) only when </w:t>
      </w:r>
      <w:r>
        <w:rPr>
          <w:rFonts w:ascii="MS Gothic" w:hAnsi="MS Gothic"/>
          <w:color w:val="B02045"/>
          <w:w w:val="110"/>
          <w:sz w:val="21"/>
        </w:rPr>
        <w:t>loader.config.location</w:t>
      </w:r>
      <w:r>
        <w:rPr>
          <w:rFonts w:ascii="MS Gothic" w:hAnsi="MS Gothic"/>
          <w:color w:val="B02045"/>
          <w:spacing w:val="-62"/>
          <w:w w:val="110"/>
          <w:sz w:val="21"/>
        </w:rPr>
        <w:t xml:space="preserve"> </w:t>
      </w:r>
      <w:r>
        <w:rPr>
          <w:color w:val="333333"/>
          <w:w w:val="110"/>
          <w:sz w:val="21"/>
        </w:rPr>
        <w:t>is not specified.</w:t>
      </w:r>
    </w:p>
    <w:p w14:paraId="779B8ACC" w14:textId="77777777" w:rsidR="00A720EB" w:rsidRDefault="0030286B">
      <w:pPr>
        <w:pStyle w:val="a6"/>
        <w:numPr>
          <w:ilvl w:val="3"/>
          <w:numId w:val="5"/>
        </w:numPr>
        <w:tabs>
          <w:tab w:val="left" w:pos="485"/>
          <w:tab w:val="left" w:pos="1288"/>
          <w:tab w:val="left" w:pos="1609"/>
          <w:tab w:val="left" w:pos="2733"/>
          <w:tab w:val="left" w:pos="3593"/>
          <w:tab w:val="left" w:pos="4049"/>
          <w:tab w:val="left" w:pos="5005"/>
          <w:tab w:val="left" w:pos="5608"/>
          <w:tab w:val="left" w:pos="5973"/>
          <w:tab w:val="left" w:pos="7005"/>
          <w:tab w:val="left" w:pos="7506"/>
          <w:tab w:val="left" w:pos="7989"/>
          <w:tab w:val="left" w:pos="8609"/>
          <w:tab w:val="left" w:pos="9183"/>
        </w:tabs>
        <w:spacing w:before="121" w:line="290" w:lineRule="auto"/>
        <w:ind w:right="128"/>
        <w:rPr>
          <w:sz w:val="21"/>
        </w:rPr>
      </w:pPr>
      <w:proofErr w:type="gramStart"/>
      <w:r>
        <w:rPr>
          <w:rFonts w:ascii="MS Gothic" w:hAnsi="MS Gothic"/>
          <w:color w:val="B02045"/>
          <w:w w:val="110"/>
          <w:sz w:val="21"/>
        </w:rPr>
        <w:t>loader.path</w:t>
      </w:r>
      <w:proofErr w:type="gramEnd"/>
      <w:r>
        <w:rPr>
          <w:rFonts w:ascii="MS Gothic" w:hAnsi="MS Gothic"/>
          <w:color w:val="B02045"/>
          <w:w w:val="110"/>
          <w:sz w:val="21"/>
        </w:rPr>
        <w:t xml:space="preserve"> </w:t>
      </w:r>
      <w:r>
        <w:rPr>
          <w:color w:val="333333"/>
          <w:w w:val="110"/>
          <w:sz w:val="21"/>
        </w:rPr>
        <w:t>can contain directories (which are scanned recursively for jar and zip files), archive paths,</w:t>
      </w:r>
      <w:r>
        <w:rPr>
          <w:color w:val="333333"/>
          <w:w w:val="110"/>
          <w:sz w:val="21"/>
        </w:rPr>
        <w:tab/>
        <w:t>a</w:t>
      </w:r>
      <w:r>
        <w:rPr>
          <w:color w:val="333333"/>
          <w:w w:val="110"/>
          <w:sz w:val="21"/>
        </w:rPr>
        <w:tab/>
        <w:t>directory</w:t>
      </w:r>
      <w:r>
        <w:rPr>
          <w:color w:val="333333"/>
          <w:w w:val="110"/>
          <w:sz w:val="21"/>
        </w:rPr>
        <w:tab/>
        <w:t>within</w:t>
      </w:r>
      <w:r>
        <w:rPr>
          <w:color w:val="333333"/>
          <w:w w:val="110"/>
          <w:sz w:val="21"/>
        </w:rPr>
        <w:tab/>
        <w:t>an</w:t>
      </w:r>
      <w:r>
        <w:rPr>
          <w:color w:val="333333"/>
          <w:w w:val="110"/>
          <w:sz w:val="21"/>
        </w:rPr>
        <w:tab/>
        <w:t>archive</w:t>
      </w:r>
      <w:r>
        <w:rPr>
          <w:color w:val="333333"/>
          <w:w w:val="110"/>
          <w:sz w:val="21"/>
        </w:rPr>
        <w:tab/>
        <w:t>that</w:t>
      </w:r>
      <w:r>
        <w:rPr>
          <w:color w:val="333333"/>
          <w:w w:val="110"/>
          <w:sz w:val="21"/>
        </w:rPr>
        <w:tab/>
        <w:t>is</w:t>
      </w:r>
      <w:r>
        <w:rPr>
          <w:color w:val="333333"/>
          <w:w w:val="110"/>
          <w:sz w:val="21"/>
        </w:rPr>
        <w:tab/>
        <w:t>scanned</w:t>
      </w:r>
      <w:r>
        <w:rPr>
          <w:color w:val="333333"/>
          <w:w w:val="110"/>
          <w:sz w:val="21"/>
        </w:rPr>
        <w:tab/>
        <w:t>for</w:t>
      </w:r>
      <w:r>
        <w:rPr>
          <w:color w:val="333333"/>
          <w:w w:val="110"/>
          <w:sz w:val="21"/>
        </w:rPr>
        <w:tab/>
        <w:t>jar</w:t>
      </w:r>
      <w:r>
        <w:rPr>
          <w:color w:val="333333"/>
          <w:w w:val="110"/>
          <w:sz w:val="21"/>
        </w:rPr>
        <w:tab/>
        <w:t>files</w:t>
      </w:r>
      <w:r>
        <w:rPr>
          <w:color w:val="333333"/>
          <w:w w:val="110"/>
          <w:sz w:val="21"/>
        </w:rPr>
        <w:tab/>
        <w:t>(for</w:t>
      </w:r>
      <w:r>
        <w:rPr>
          <w:color w:val="333333"/>
          <w:w w:val="110"/>
          <w:sz w:val="21"/>
        </w:rPr>
        <w:tab/>
        <w:t>example,</w:t>
      </w:r>
    </w:p>
    <w:p w14:paraId="25289C7D" w14:textId="77777777" w:rsidR="00A720EB" w:rsidRDefault="00A720EB">
      <w:pPr>
        <w:spacing w:line="290" w:lineRule="auto"/>
        <w:rPr>
          <w:sz w:val="21"/>
        </w:rPr>
        <w:sectPr w:rsidR="00A720EB">
          <w:pgSz w:w="11910" w:h="16840"/>
          <w:pgMar w:top="700" w:right="840" w:bottom="520" w:left="840" w:header="0" w:footer="323" w:gutter="0"/>
          <w:cols w:space="720"/>
        </w:sectPr>
      </w:pPr>
    </w:p>
    <w:p w14:paraId="22081BF0" w14:textId="77777777" w:rsidR="00A720EB" w:rsidRDefault="0030286B">
      <w:pPr>
        <w:pStyle w:val="a3"/>
        <w:spacing w:before="96" w:line="280" w:lineRule="auto"/>
        <w:ind w:left="484" w:right="132"/>
        <w:jc w:val="both"/>
      </w:pPr>
      <w:proofErr w:type="gramStart"/>
      <w:r>
        <w:rPr>
          <w:rFonts w:ascii="MS Gothic"/>
          <w:color w:val="B02045"/>
          <w:w w:val="110"/>
        </w:rPr>
        <w:lastRenderedPageBreak/>
        <w:t>dependencies.jar!/</w:t>
      </w:r>
      <w:proofErr w:type="gramEnd"/>
      <w:r>
        <w:rPr>
          <w:rFonts w:ascii="MS Gothic"/>
          <w:color w:val="B02045"/>
          <w:w w:val="110"/>
        </w:rPr>
        <w:t>lib</w:t>
      </w:r>
      <w:r>
        <w:rPr>
          <w:color w:val="333333"/>
          <w:w w:val="110"/>
        </w:rPr>
        <w:t xml:space="preserve">), or wildcard patterns (for the default JVM behavior). Archive paths can be relative to </w:t>
      </w:r>
      <w:proofErr w:type="gramStart"/>
      <w:r>
        <w:rPr>
          <w:rFonts w:ascii="MS Gothic"/>
          <w:color w:val="B02045"/>
          <w:w w:val="110"/>
        </w:rPr>
        <w:t>loader.home</w:t>
      </w:r>
      <w:proofErr w:type="gramEnd"/>
      <w:r>
        <w:rPr>
          <w:rFonts w:ascii="MS Gothic"/>
          <w:color w:val="B02045"/>
          <w:spacing w:val="-65"/>
          <w:w w:val="110"/>
        </w:rPr>
        <w:t xml:space="preserve"> </w:t>
      </w:r>
      <w:r>
        <w:rPr>
          <w:color w:val="333333"/>
          <w:w w:val="110"/>
        </w:rPr>
        <w:t xml:space="preserve">or anywhere in the file system with a </w:t>
      </w:r>
      <w:r>
        <w:rPr>
          <w:rFonts w:ascii="MS Gothic"/>
          <w:color w:val="B02045"/>
          <w:w w:val="110"/>
        </w:rPr>
        <w:t>jar:file:</w:t>
      </w:r>
      <w:r>
        <w:rPr>
          <w:rFonts w:ascii="MS Gothic"/>
          <w:color w:val="B02045"/>
          <w:spacing w:val="-65"/>
          <w:w w:val="110"/>
        </w:rPr>
        <w:t xml:space="preserve"> </w:t>
      </w:r>
      <w:r>
        <w:rPr>
          <w:color w:val="333333"/>
          <w:w w:val="110"/>
        </w:rPr>
        <w:t>prefix.</w:t>
      </w:r>
    </w:p>
    <w:p w14:paraId="2C248654" w14:textId="77777777" w:rsidR="00A720EB" w:rsidRDefault="0030286B">
      <w:pPr>
        <w:pStyle w:val="a6"/>
        <w:numPr>
          <w:ilvl w:val="3"/>
          <w:numId w:val="5"/>
        </w:numPr>
        <w:tabs>
          <w:tab w:val="left" w:pos="485"/>
        </w:tabs>
        <w:spacing w:before="122" w:line="285" w:lineRule="auto"/>
        <w:ind w:right="122"/>
        <w:jc w:val="both"/>
        <w:rPr>
          <w:sz w:val="21"/>
        </w:rPr>
      </w:pPr>
      <w:proofErr w:type="gramStart"/>
      <w:r>
        <w:rPr>
          <w:rFonts w:ascii="MS Gothic" w:hAnsi="MS Gothic"/>
          <w:color w:val="B02045"/>
          <w:w w:val="110"/>
          <w:sz w:val="21"/>
        </w:rPr>
        <w:t>loader.path</w:t>
      </w:r>
      <w:proofErr w:type="gramEnd"/>
      <w:r>
        <w:rPr>
          <w:rFonts w:ascii="MS Gothic" w:hAnsi="MS Gothic"/>
          <w:color w:val="B02045"/>
          <w:w w:val="110"/>
          <w:sz w:val="21"/>
        </w:rPr>
        <w:t xml:space="preserve"> </w:t>
      </w:r>
      <w:r>
        <w:rPr>
          <w:color w:val="333333"/>
          <w:w w:val="110"/>
          <w:sz w:val="21"/>
        </w:rPr>
        <w:t xml:space="preserve">(if empty) defaults to </w:t>
      </w:r>
      <w:r>
        <w:rPr>
          <w:rFonts w:ascii="MS Gothic" w:hAnsi="MS Gothic"/>
          <w:color w:val="B02045"/>
          <w:w w:val="110"/>
          <w:sz w:val="21"/>
        </w:rPr>
        <w:t xml:space="preserve">BOOT-INF/lib </w:t>
      </w:r>
      <w:r>
        <w:rPr>
          <w:color w:val="333333"/>
          <w:w w:val="110"/>
          <w:sz w:val="21"/>
        </w:rPr>
        <w:t xml:space="preserve">(meaning a local directory or a nested one if running from an archive). Because of this, </w:t>
      </w:r>
      <w:r>
        <w:rPr>
          <w:rFonts w:ascii="MS Gothic" w:hAnsi="MS Gothic"/>
          <w:color w:val="B02045"/>
          <w:w w:val="110"/>
          <w:sz w:val="21"/>
        </w:rPr>
        <w:t>PropertiesLauncher</w:t>
      </w:r>
      <w:r>
        <w:rPr>
          <w:rFonts w:ascii="MS Gothic" w:hAnsi="MS Gothic"/>
          <w:color w:val="B02045"/>
          <w:spacing w:val="-83"/>
          <w:w w:val="110"/>
          <w:sz w:val="21"/>
        </w:rPr>
        <w:t xml:space="preserve"> </w:t>
      </w:r>
      <w:r>
        <w:rPr>
          <w:color w:val="333333"/>
          <w:w w:val="110"/>
          <w:sz w:val="21"/>
        </w:rPr>
        <w:t xml:space="preserve">behaves the same as </w:t>
      </w:r>
      <w:r>
        <w:rPr>
          <w:rFonts w:ascii="MS Gothic" w:hAnsi="MS Gothic"/>
          <w:color w:val="B02045"/>
          <w:w w:val="110"/>
          <w:sz w:val="21"/>
        </w:rPr>
        <w:t xml:space="preserve">JarLauncher </w:t>
      </w:r>
      <w:r>
        <w:rPr>
          <w:color w:val="333333"/>
          <w:w w:val="110"/>
          <w:sz w:val="21"/>
        </w:rPr>
        <w:t>when no additional configuration is</w:t>
      </w:r>
      <w:r>
        <w:rPr>
          <w:color w:val="333333"/>
          <w:spacing w:val="15"/>
          <w:w w:val="110"/>
          <w:sz w:val="21"/>
        </w:rPr>
        <w:t xml:space="preserve"> </w:t>
      </w:r>
      <w:r>
        <w:rPr>
          <w:color w:val="333333"/>
          <w:w w:val="110"/>
          <w:sz w:val="21"/>
        </w:rPr>
        <w:t>provided.</w:t>
      </w:r>
    </w:p>
    <w:p w14:paraId="10420A94" w14:textId="77777777" w:rsidR="00A720EB" w:rsidRDefault="0030286B">
      <w:pPr>
        <w:pStyle w:val="a6"/>
        <w:numPr>
          <w:ilvl w:val="3"/>
          <w:numId w:val="5"/>
        </w:numPr>
        <w:tabs>
          <w:tab w:val="left" w:pos="485"/>
        </w:tabs>
        <w:spacing w:before="133" w:line="280" w:lineRule="auto"/>
        <w:ind w:right="123"/>
        <w:jc w:val="both"/>
        <w:rPr>
          <w:sz w:val="21"/>
        </w:rPr>
      </w:pPr>
      <w:proofErr w:type="gramStart"/>
      <w:r>
        <w:rPr>
          <w:rFonts w:ascii="MS Gothic" w:hAnsi="MS Gothic"/>
          <w:color w:val="B02045"/>
          <w:w w:val="110"/>
          <w:sz w:val="21"/>
        </w:rPr>
        <w:t>loader.path</w:t>
      </w:r>
      <w:proofErr w:type="gramEnd"/>
      <w:r>
        <w:rPr>
          <w:rFonts w:ascii="MS Gothic" w:hAnsi="MS Gothic"/>
          <w:color w:val="B02045"/>
          <w:spacing w:val="-78"/>
          <w:w w:val="110"/>
          <w:sz w:val="21"/>
        </w:rPr>
        <w:t xml:space="preserve"> </w:t>
      </w:r>
      <w:r>
        <w:rPr>
          <w:color w:val="333333"/>
          <w:w w:val="110"/>
          <w:sz w:val="21"/>
        </w:rPr>
        <w:t>can</w:t>
      </w:r>
      <w:r>
        <w:rPr>
          <w:color w:val="333333"/>
          <w:spacing w:val="-12"/>
          <w:w w:val="110"/>
          <w:sz w:val="21"/>
        </w:rPr>
        <w:t xml:space="preserve"> </w:t>
      </w:r>
      <w:r>
        <w:rPr>
          <w:color w:val="333333"/>
          <w:w w:val="110"/>
          <w:sz w:val="21"/>
        </w:rPr>
        <w:t>not</w:t>
      </w:r>
      <w:r>
        <w:rPr>
          <w:color w:val="333333"/>
          <w:spacing w:val="-13"/>
          <w:w w:val="110"/>
          <w:sz w:val="21"/>
        </w:rPr>
        <w:t xml:space="preserve"> </w:t>
      </w:r>
      <w:r>
        <w:rPr>
          <w:color w:val="333333"/>
          <w:w w:val="110"/>
          <w:sz w:val="21"/>
        </w:rPr>
        <w:t>be</w:t>
      </w:r>
      <w:r>
        <w:rPr>
          <w:color w:val="333333"/>
          <w:spacing w:val="-13"/>
          <w:w w:val="110"/>
          <w:sz w:val="21"/>
        </w:rPr>
        <w:t xml:space="preserve"> </w:t>
      </w:r>
      <w:r>
        <w:rPr>
          <w:color w:val="333333"/>
          <w:w w:val="110"/>
          <w:sz w:val="21"/>
        </w:rPr>
        <w:t>used</w:t>
      </w:r>
      <w:r>
        <w:rPr>
          <w:color w:val="333333"/>
          <w:spacing w:val="-13"/>
          <w:w w:val="110"/>
          <w:sz w:val="21"/>
        </w:rPr>
        <w:t xml:space="preserve"> </w:t>
      </w:r>
      <w:r>
        <w:rPr>
          <w:color w:val="333333"/>
          <w:w w:val="110"/>
          <w:sz w:val="21"/>
        </w:rPr>
        <w:t>to</w:t>
      </w:r>
      <w:r>
        <w:rPr>
          <w:color w:val="333333"/>
          <w:spacing w:val="-13"/>
          <w:w w:val="110"/>
          <w:sz w:val="21"/>
        </w:rPr>
        <w:t xml:space="preserve"> </w:t>
      </w:r>
      <w:r>
        <w:rPr>
          <w:color w:val="333333"/>
          <w:w w:val="110"/>
          <w:sz w:val="21"/>
        </w:rPr>
        <w:t>configure</w:t>
      </w:r>
      <w:r>
        <w:rPr>
          <w:color w:val="333333"/>
          <w:spacing w:val="-13"/>
          <w:w w:val="110"/>
          <w:sz w:val="21"/>
        </w:rPr>
        <w:t xml:space="preserve"> </w:t>
      </w:r>
      <w:r>
        <w:rPr>
          <w:color w:val="333333"/>
          <w:w w:val="110"/>
          <w:sz w:val="21"/>
        </w:rPr>
        <w:t>the</w:t>
      </w:r>
      <w:r>
        <w:rPr>
          <w:color w:val="333333"/>
          <w:spacing w:val="-13"/>
          <w:w w:val="110"/>
          <w:sz w:val="21"/>
        </w:rPr>
        <w:t xml:space="preserve"> </w:t>
      </w:r>
      <w:r>
        <w:rPr>
          <w:color w:val="333333"/>
          <w:w w:val="110"/>
          <w:sz w:val="21"/>
        </w:rPr>
        <w:t>location</w:t>
      </w:r>
      <w:r>
        <w:rPr>
          <w:color w:val="333333"/>
          <w:spacing w:val="-13"/>
          <w:w w:val="110"/>
          <w:sz w:val="21"/>
        </w:rPr>
        <w:t xml:space="preserve"> </w:t>
      </w:r>
      <w:r>
        <w:rPr>
          <w:color w:val="333333"/>
          <w:w w:val="110"/>
          <w:sz w:val="21"/>
        </w:rPr>
        <w:t>of</w:t>
      </w:r>
      <w:r>
        <w:rPr>
          <w:color w:val="333333"/>
          <w:spacing w:val="-12"/>
          <w:w w:val="110"/>
          <w:sz w:val="21"/>
        </w:rPr>
        <w:t xml:space="preserve"> </w:t>
      </w:r>
      <w:r>
        <w:rPr>
          <w:rFonts w:ascii="MS Gothic" w:hAnsi="MS Gothic"/>
          <w:color w:val="B02045"/>
          <w:w w:val="110"/>
          <w:sz w:val="21"/>
        </w:rPr>
        <w:t>loader.properties</w:t>
      </w:r>
      <w:r>
        <w:rPr>
          <w:rFonts w:ascii="MS Gothic" w:hAnsi="MS Gothic"/>
          <w:color w:val="B02045"/>
          <w:spacing w:val="-77"/>
          <w:w w:val="110"/>
          <w:sz w:val="21"/>
        </w:rPr>
        <w:t xml:space="preserve"> </w:t>
      </w:r>
      <w:r>
        <w:rPr>
          <w:color w:val="333333"/>
          <w:w w:val="110"/>
          <w:sz w:val="21"/>
        </w:rPr>
        <w:t>(the</w:t>
      </w:r>
      <w:r>
        <w:rPr>
          <w:color w:val="333333"/>
          <w:spacing w:val="-13"/>
          <w:w w:val="110"/>
          <w:sz w:val="21"/>
        </w:rPr>
        <w:t xml:space="preserve"> </w:t>
      </w:r>
      <w:r>
        <w:rPr>
          <w:color w:val="333333"/>
          <w:w w:val="110"/>
          <w:sz w:val="21"/>
        </w:rPr>
        <w:t>classpath</w:t>
      </w:r>
      <w:r>
        <w:rPr>
          <w:color w:val="333333"/>
          <w:spacing w:val="-13"/>
          <w:w w:val="110"/>
          <w:sz w:val="21"/>
        </w:rPr>
        <w:t xml:space="preserve"> </w:t>
      </w:r>
      <w:r>
        <w:rPr>
          <w:color w:val="333333"/>
          <w:w w:val="110"/>
          <w:sz w:val="21"/>
        </w:rPr>
        <w:t>used</w:t>
      </w:r>
      <w:r>
        <w:rPr>
          <w:color w:val="333333"/>
          <w:spacing w:val="-13"/>
          <w:w w:val="110"/>
          <w:sz w:val="21"/>
        </w:rPr>
        <w:t xml:space="preserve"> </w:t>
      </w:r>
      <w:r>
        <w:rPr>
          <w:color w:val="333333"/>
          <w:w w:val="110"/>
          <w:sz w:val="21"/>
        </w:rPr>
        <w:t xml:space="preserve">to search for the latter is the JVM classpath when </w:t>
      </w:r>
      <w:r>
        <w:rPr>
          <w:rFonts w:ascii="MS Gothic" w:hAnsi="MS Gothic"/>
          <w:color w:val="B02045"/>
          <w:w w:val="110"/>
          <w:sz w:val="21"/>
        </w:rPr>
        <w:t>PropertiesLauncher</w:t>
      </w:r>
      <w:r>
        <w:rPr>
          <w:rFonts w:ascii="MS Gothic" w:hAnsi="MS Gothic"/>
          <w:color w:val="B02045"/>
          <w:spacing w:val="-69"/>
          <w:w w:val="110"/>
          <w:sz w:val="21"/>
        </w:rPr>
        <w:t xml:space="preserve"> </w:t>
      </w:r>
      <w:r>
        <w:rPr>
          <w:color w:val="333333"/>
          <w:w w:val="110"/>
          <w:sz w:val="21"/>
        </w:rPr>
        <w:t>is launched).</w:t>
      </w:r>
    </w:p>
    <w:p w14:paraId="509C7CDF" w14:textId="77777777" w:rsidR="00A720EB" w:rsidRDefault="0030286B">
      <w:pPr>
        <w:pStyle w:val="a6"/>
        <w:numPr>
          <w:ilvl w:val="3"/>
          <w:numId w:val="5"/>
        </w:numPr>
        <w:tabs>
          <w:tab w:val="left" w:pos="485"/>
        </w:tabs>
        <w:spacing w:before="132" w:line="307" w:lineRule="auto"/>
        <w:ind w:right="127"/>
        <w:jc w:val="both"/>
        <w:rPr>
          <w:sz w:val="21"/>
        </w:rPr>
      </w:pPr>
      <w:r>
        <w:rPr>
          <w:color w:val="333333"/>
          <w:w w:val="110"/>
          <w:sz w:val="21"/>
        </w:rPr>
        <w:t>Placeholder replacement is done from System and environment variables plus the properties    file itself on all values before</w:t>
      </w:r>
      <w:r>
        <w:rPr>
          <w:color w:val="333333"/>
          <w:spacing w:val="19"/>
          <w:w w:val="110"/>
          <w:sz w:val="21"/>
        </w:rPr>
        <w:t xml:space="preserve"> </w:t>
      </w:r>
      <w:r>
        <w:rPr>
          <w:color w:val="333333"/>
          <w:w w:val="110"/>
          <w:sz w:val="21"/>
        </w:rPr>
        <w:t>use.</w:t>
      </w:r>
    </w:p>
    <w:p w14:paraId="1E6F5E31" w14:textId="77777777" w:rsidR="00A720EB" w:rsidRDefault="0030286B">
      <w:pPr>
        <w:pStyle w:val="a6"/>
        <w:numPr>
          <w:ilvl w:val="3"/>
          <w:numId w:val="5"/>
        </w:numPr>
        <w:tabs>
          <w:tab w:val="left" w:pos="485"/>
        </w:tabs>
        <w:spacing w:before="121" w:line="295" w:lineRule="auto"/>
        <w:ind w:right="125"/>
        <w:jc w:val="both"/>
        <w:rPr>
          <w:sz w:val="21"/>
        </w:rPr>
      </w:pPr>
      <w:r>
        <w:rPr>
          <w:color w:val="333333"/>
          <w:w w:val="110"/>
          <w:sz w:val="21"/>
        </w:rPr>
        <w:t xml:space="preserve">The search order for properties (where it makes sense to look in more than one place) is environment variables, system properties, </w:t>
      </w:r>
      <w:proofErr w:type="gramStart"/>
      <w:r>
        <w:rPr>
          <w:rFonts w:ascii="MS Gothic" w:hAnsi="MS Gothic"/>
          <w:color w:val="B02045"/>
          <w:w w:val="110"/>
          <w:sz w:val="21"/>
        </w:rPr>
        <w:t>loader.properties</w:t>
      </w:r>
      <w:proofErr w:type="gramEnd"/>
      <w:r>
        <w:rPr>
          <w:color w:val="333333"/>
          <w:w w:val="110"/>
          <w:sz w:val="21"/>
        </w:rPr>
        <w:t>, the exploded archive manifest, and the archive</w:t>
      </w:r>
      <w:r>
        <w:rPr>
          <w:color w:val="333333"/>
          <w:spacing w:val="9"/>
          <w:w w:val="110"/>
          <w:sz w:val="21"/>
        </w:rPr>
        <w:t xml:space="preserve"> </w:t>
      </w:r>
      <w:r>
        <w:rPr>
          <w:color w:val="333333"/>
          <w:w w:val="110"/>
          <w:sz w:val="21"/>
        </w:rPr>
        <w:t>manifest.</w:t>
      </w:r>
    </w:p>
    <w:p w14:paraId="317D35D9" w14:textId="77777777" w:rsidR="00A720EB" w:rsidRDefault="00A720EB">
      <w:pPr>
        <w:pStyle w:val="a3"/>
        <w:spacing w:before="6"/>
        <w:rPr>
          <w:sz w:val="26"/>
        </w:rPr>
      </w:pPr>
    </w:p>
    <w:p w14:paraId="2B879A94" w14:textId="77777777" w:rsidR="00A720EB" w:rsidRDefault="0030286B">
      <w:pPr>
        <w:pStyle w:val="3"/>
        <w:numPr>
          <w:ilvl w:val="2"/>
          <w:numId w:val="5"/>
        </w:numPr>
        <w:tabs>
          <w:tab w:val="left" w:pos="1027"/>
        </w:tabs>
        <w:spacing w:before="1"/>
      </w:pPr>
      <w:bookmarkStart w:id="1099" w:name="10.E.5._Executable_Jar_Restrictions"/>
      <w:bookmarkStart w:id="1100" w:name="_Toc54424059"/>
      <w:bookmarkEnd w:id="1099"/>
      <w:r>
        <w:rPr>
          <w:color w:val="333333"/>
          <w:w w:val="115"/>
        </w:rPr>
        <w:t>Executable Jar</w:t>
      </w:r>
      <w:r>
        <w:rPr>
          <w:color w:val="333333"/>
          <w:spacing w:val="-18"/>
          <w:w w:val="115"/>
        </w:rPr>
        <w:t xml:space="preserve"> </w:t>
      </w:r>
      <w:r>
        <w:rPr>
          <w:color w:val="333333"/>
          <w:w w:val="115"/>
        </w:rPr>
        <w:t>Restrictions</w:t>
      </w:r>
      <w:bookmarkEnd w:id="1100"/>
    </w:p>
    <w:p w14:paraId="0C41E3F4" w14:textId="77777777" w:rsidR="00A720EB" w:rsidRDefault="0030286B">
      <w:pPr>
        <w:pStyle w:val="a3"/>
        <w:spacing w:before="253" w:line="307" w:lineRule="auto"/>
        <w:ind w:left="124" w:right="359"/>
      </w:pPr>
      <w:r>
        <w:rPr>
          <w:color w:val="333333"/>
          <w:w w:val="110"/>
        </w:rPr>
        <w:t>You need to consider the following restrictions when working with a Spring Boot Loader packaged application:</w:t>
      </w:r>
    </w:p>
    <w:p w14:paraId="56D2C65B" w14:textId="77777777" w:rsidR="00A720EB" w:rsidRDefault="0030286B">
      <w:pPr>
        <w:pStyle w:val="a6"/>
        <w:numPr>
          <w:ilvl w:val="3"/>
          <w:numId w:val="5"/>
        </w:numPr>
        <w:tabs>
          <w:tab w:val="left" w:pos="485"/>
        </w:tabs>
        <w:spacing w:before="231" w:line="302" w:lineRule="auto"/>
        <w:ind w:right="122"/>
        <w:jc w:val="both"/>
        <w:rPr>
          <w:sz w:val="21"/>
        </w:rPr>
      </w:pPr>
      <w:r>
        <w:rPr>
          <w:color w:val="333333"/>
          <w:w w:val="110"/>
          <w:sz w:val="21"/>
        </w:rPr>
        <w:t>Zip</w:t>
      </w:r>
      <w:r>
        <w:rPr>
          <w:color w:val="333333"/>
          <w:spacing w:val="-8"/>
          <w:w w:val="110"/>
          <w:sz w:val="21"/>
        </w:rPr>
        <w:t xml:space="preserve"> </w:t>
      </w:r>
      <w:r>
        <w:rPr>
          <w:color w:val="333333"/>
          <w:w w:val="110"/>
          <w:sz w:val="21"/>
        </w:rPr>
        <w:t>entry</w:t>
      </w:r>
      <w:r>
        <w:rPr>
          <w:color w:val="333333"/>
          <w:spacing w:val="-8"/>
          <w:w w:val="110"/>
          <w:sz w:val="21"/>
        </w:rPr>
        <w:t xml:space="preserve"> </w:t>
      </w:r>
      <w:r>
        <w:rPr>
          <w:color w:val="333333"/>
          <w:w w:val="110"/>
          <w:sz w:val="21"/>
        </w:rPr>
        <w:t>compression:</w:t>
      </w:r>
      <w:r>
        <w:rPr>
          <w:color w:val="333333"/>
          <w:spacing w:val="-8"/>
          <w:w w:val="110"/>
          <w:sz w:val="21"/>
        </w:rPr>
        <w:t xml:space="preserve"> </w:t>
      </w:r>
      <w:r>
        <w:rPr>
          <w:color w:val="333333"/>
          <w:w w:val="110"/>
          <w:sz w:val="21"/>
        </w:rPr>
        <w:t>The</w:t>
      </w:r>
      <w:r>
        <w:rPr>
          <w:color w:val="333333"/>
          <w:spacing w:val="-7"/>
          <w:w w:val="110"/>
          <w:sz w:val="21"/>
        </w:rPr>
        <w:t xml:space="preserve"> </w:t>
      </w:r>
      <w:r>
        <w:rPr>
          <w:rFonts w:ascii="MS Gothic" w:hAnsi="MS Gothic"/>
          <w:color w:val="B02045"/>
          <w:w w:val="110"/>
          <w:sz w:val="21"/>
        </w:rPr>
        <w:t>ZipEntry</w:t>
      </w:r>
      <w:r>
        <w:rPr>
          <w:rFonts w:ascii="MS Gothic" w:hAnsi="MS Gothic"/>
          <w:color w:val="B02045"/>
          <w:spacing w:val="-72"/>
          <w:w w:val="110"/>
          <w:sz w:val="21"/>
        </w:rPr>
        <w:t xml:space="preserve"> </w:t>
      </w:r>
      <w:r>
        <w:rPr>
          <w:color w:val="333333"/>
          <w:w w:val="110"/>
          <w:sz w:val="21"/>
        </w:rPr>
        <w:t>for</w:t>
      </w:r>
      <w:r>
        <w:rPr>
          <w:color w:val="333333"/>
          <w:spacing w:val="-7"/>
          <w:w w:val="110"/>
          <w:sz w:val="21"/>
        </w:rPr>
        <w:t xml:space="preserve"> </w:t>
      </w:r>
      <w:r>
        <w:rPr>
          <w:color w:val="333333"/>
          <w:w w:val="110"/>
          <w:sz w:val="21"/>
        </w:rPr>
        <w:t>a</w:t>
      </w:r>
      <w:r>
        <w:rPr>
          <w:color w:val="333333"/>
          <w:spacing w:val="-8"/>
          <w:w w:val="110"/>
          <w:sz w:val="21"/>
        </w:rPr>
        <w:t xml:space="preserve"> </w:t>
      </w:r>
      <w:r>
        <w:rPr>
          <w:color w:val="333333"/>
          <w:w w:val="110"/>
          <w:sz w:val="21"/>
        </w:rPr>
        <w:t>nested</w:t>
      </w:r>
      <w:r>
        <w:rPr>
          <w:color w:val="333333"/>
          <w:spacing w:val="-8"/>
          <w:w w:val="110"/>
          <w:sz w:val="21"/>
        </w:rPr>
        <w:t xml:space="preserve"> </w:t>
      </w:r>
      <w:r>
        <w:rPr>
          <w:color w:val="333333"/>
          <w:w w:val="110"/>
          <w:sz w:val="21"/>
        </w:rPr>
        <w:t>jar</w:t>
      </w:r>
      <w:r>
        <w:rPr>
          <w:color w:val="333333"/>
          <w:spacing w:val="-8"/>
          <w:w w:val="110"/>
          <w:sz w:val="21"/>
        </w:rPr>
        <w:t xml:space="preserve"> </w:t>
      </w:r>
      <w:r>
        <w:rPr>
          <w:color w:val="333333"/>
          <w:w w:val="110"/>
          <w:sz w:val="21"/>
        </w:rPr>
        <w:t>must</w:t>
      </w:r>
      <w:r>
        <w:rPr>
          <w:color w:val="333333"/>
          <w:spacing w:val="-8"/>
          <w:w w:val="110"/>
          <w:sz w:val="21"/>
        </w:rPr>
        <w:t xml:space="preserve"> </w:t>
      </w:r>
      <w:r>
        <w:rPr>
          <w:color w:val="333333"/>
          <w:w w:val="110"/>
          <w:sz w:val="21"/>
        </w:rPr>
        <w:t>be</w:t>
      </w:r>
      <w:r>
        <w:rPr>
          <w:color w:val="333333"/>
          <w:spacing w:val="-7"/>
          <w:w w:val="110"/>
          <w:sz w:val="21"/>
        </w:rPr>
        <w:t xml:space="preserve"> </w:t>
      </w:r>
      <w:r>
        <w:rPr>
          <w:color w:val="333333"/>
          <w:w w:val="110"/>
          <w:sz w:val="21"/>
        </w:rPr>
        <w:t>saved</w:t>
      </w:r>
      <w:r>
        <w:rPr>
          <w:color w:val="333333"/>
          <w:spacing w:val="-8"/>
          <w:w w:val="110"/>
          <w:sz w:val="21"/>
        </w:rPr>
        <w:t xml:space="preserve"> </w:t>
      </w:r>
      <w:r>
        <w:rPr>
          <w:color w:val="333333"/>
          <w:spacing w:val="-3"/>
          <w:w w:val="110"/>
          <w:sz w:val="21"/>
        </w:rPr>
        <w:t>by</w:t>
      </w:r>
      <w:r>
        <w:rPr>
          <w:color w:val="333333"/>
          <w:spacing w:val="-8"/>
          <w:w w:val="110"/>
          <w:sz w:val="21"/>
        </w:rPr>
        <w:t xml:space="preserve"> </w:t>
      </w:r>
      <w:r>
        <w:rPr>
          <w:color w:val="333333"/>
          <w:w w:val="110"/>
          <w:sz w:val="21"/>
        </w:rPr>
        <w:t>using</w:t>
      </w:r>
      <w:r>
        <w:rPr>
          <w:color w:val="333333"/>
          <w:spacing w:val="-8"/>
          <w:w w:val="110"/>
          <w:sz w:val="21"/>
        </w:rPr>
        <w:t xml:space="preserve"> </w:t>
      </w:r>
      <w:r>
        <w:rPr>
          <w:color w:val="333333"/>
          <w:w w:val="110"/>
          <w:sz w:val="21"/>
        </w:rPr>
        <w:t>the</w:t>
      </w:r>
      <w:r>
        <w:rPr>
          <w:color w:val="333333"/>
          <w:spacing w:val="-4"/>
          <w:w w:val="110"/>
          <w:sz w:val="21"/>
        </w:rPr>
        <w:t xml:space="preserve"> </w:t>
      </w:r>
      <w:r>
        <w:rPr>
          <w:rFonts w:ascii="MS Gothic" w:hAnsi="MS Gothic"/>
          <w:color w:val="B02045"/>
          <w:w w:val="110"/>
          <w:sz w:val="21"/>
        </w:rPr>
        <w:t xml:space="preserve">ZipEntry.STORED </w:t>
      </w:r>
      <w:r>
        <w:rPr>
          <w:color w:val="333333"/>
          <w:w w:val="110"/>
          <w:sz w:val="21"/>
        </w:rPr>
        <w:t>method. This is required so that we can seek directly to individual content within the nested jar. The content of the nested jar file itself can still be compressed, as can any other entries in the outer</w:t>
      </w:r>
      <w:r>
        <w:rPr>
          <w:color w:val="333333"/>
          <w:spacing w:val="3"/>
          <w:w w:val="110"/>
          <w:sz w:val="21"/>
        </w:rPr>
        <w:t xml:space="preserve"> </w:t>
      </w:r>
      <w:r>
        <w:rPr>
          <w:color w:val="333333"/>
          <w:w w:val="110"/>
          <w:sz w:val="21"/>
        </w:rPr>
        <w:t>jar.</w:t>
      </w:r>
    </w:p>
    <w:p w14:paraId="6F106C2B" w14:textId="77777777" w:rsidR="00A720EB" w:rsidRDefault="0030286B">
      <w:pPr>
        <w:pStyle w:val="a6"/>
        <w:numPr>
          <w:ilvl w:val="3"/>
          <w:numId w:val="5"/>
        </w:numPr>
        <w:tabs>
          <w:tab w:val="left" w:pos="485"/>
        </w:tabs>
        <w:spacing w:before="233" w:line="292" w:lineRule="auto"/>
        <w:ind w:right="123"/>
        <w:jc w:val="both"/>
        <w:rPr>
          <w:sz w:val="21"/>
        </w:rPr>
      </w:pPr>
      <w:r>
        <w:rPr>
          <w:color w:val="333333"/>
          <w:w w:val="110"/>
          <w:sz w:val="21"/>
        </w:rPr>
        <w:t xml:space="preserve">System classLoader: Launched applications should use </w:t>
      </w:r>
      <w:r>
        <w:rPr>
          <w:rFonts w:ascii="MS Gothic" w:hAnsi="MS Gothic"/>
          <w:color w:val="B02045"/>
          <w:w w:val="110"/>
          <w:sz w:val="21"/>
        </w:rPr>
        <w:t xml:space="preserve">Thread.getContextClassLoader() </w:t>
      </w:r>
      <w:r>
        <w:rPr>
          <w:color w:val="333333"/>
          <w:w w:val="110"/>
          <w:sz w:val="21"/>
        </w:rPr>
        <w:t xml:space="preserve">when loading classes (most libraries and frameworks do so </w:t>
      </w:r>
      <w:r>
        <w:rPr>
          <w:color w:val="333333"/>
          <w:spacing w:val="-3"/>
          <w:w w:val="110"/>
          <w:sz w:val="21"/>
        </w:rPr>
        <w:t xml:space="preserve">by </w:t>
      </w:r>
      <w:r>
        <w:rPr>
          <w:color w:val="333333"/>
          <w:w w:val="110"/>
          <w:sz w:val="21"/>
        </w:rPr>
        <w:t xml:space="preserve">default). Trying to </w:t>
      </w:r>
      <w:proofErr w:type="gramStart"/>
      <w:r>
        <w:rPr>
          <w:color w:val="333333"/>
          <w:w w:val="110"/>
          <w:sz w:val="21"/>
        </w:rPr>
        <w:t>load  nested</w:t>
      </w:r>
      <w:proofErr w:type="gramEnd"/>
      <w:r>
        <w:rPr>
          <w:color w:val="333333"/>
          <w:w w:val="110"/>
          <w:sz w:val="21"/>
        </w:rPr>
        <w:t xml:space="preserve">  jar </w:t>
      </w:r>
      <w:r>
        <w:rPr>
          <w:color w:val="333333"/>
          <w:w w:val="105"/>
          <w:sz w:val="21"/>
        </w:rPr>
        <w:t>classes</w:t>
      </w:r>
      <w:r>
        <w:rPr>
          <w:color w:val="333333"/>
          <w:spacing w:val="2"/>
          <w:w w:val="105"/>
          <w:sz w:val="21"/>
        </w:rPr>
        <w:t xml:space="preserve"> </w:t>
      </w:r>
      <w:r>
        <w:rPr>
          <w:color w:val="333333"/>
          <w:w w:val="105"/>
          <w:sz w:val="21"/>
        </w:rPr>
        <w:t>with</w:t>
      </w:r>
      <w:r>
        <w:rPr>
          <w:color w:val="333333"/>
          <w:spacing w:val="3"/>
          <w:w w:val="105"/>
          <w:sz w:val="21"/>
        </w:rPr>
        <w:t xml:space="preserve"> </w:t>
      </w:r>
      <w:r>
        <w:rPr>
          <w:rFonts w:ascii="MS Gothic" w:hAnsi="MS Gothic"/>
          <w:color w:val="B02045"/>
          <w:w w:val="105"/>
          <w:sz w:val="21"/>
        </w:rPr>
        <w:t>ClassLoader.getSystemClassLoader()</w:t>
      </w:r>
      <w:r>
        <w:rPr>
          <w:rFonts w:ascii="MS Gothic" w:hAnsi="MS Gothic"/>
          <w:color w:val="B02045"/>
          <w:spacing w:val="-59"/>
          <w:w w:val="105"/>
          <w:sz w:val="21"/>
        </w:rPr>
        <w:t xml:space="preserve"> </w:t>
      </w:r>
      <w:r>
        <w:rPr>
          <w:color w:val="333333"/>
          <w:w w:val="105"/>
          <w:sz w:val="21"/>
        </w:rPr>
        <w:t>fails.</w:t>
      </w:r>
      <w:r>
        <w:rPr>
          <w:color w:val="333333"/>
          <w:spacing w:val="2"/>
          <w:w w:val="105"/>
          <w:sz w:val="21"/>
        </w:rPr>
        <w:t xml:space="preserve"> </w:t>
      </w:r>
      <w:proofErr w:type="gramStart"/>
      <w:r>
        <w:rPr>
          <w:rFonts w:ascii="MS Gothic" w:hAnsi="MS Gothic"/>
          <w:color w:val="B02045"/>
          <w:w w:val="105"/>
          <w:sz w:val="21"/>
        </w:rPr>
        <w:t>java.util</w:t>
      </w:r>
      <w:proofErr w:type="gramEnd"/>
      <w:r>
        <w:rPr>
          <w:rFonts w:ascii="MS Gothic" w:hAnsi="MS Gothic"/>
          <w:color w:val="B02045"/>
          <w:w w:val="105"/>
          <w:sz w:val="21"/>
        </w:rPr>
        <w:t>.Logging</w:t>
      </w:r>
      <w:r>
        <w:rPr>
          <w:rFonts w:ascii="MS Gothic" w:hAnsi="MS Gothic"/>
          <w:color w:val="B02045"/>
          <w:spacing w:val="-59"/>
          <w:w w:val="105"/>
          <w:sz w:val="21"/>
        </w:rPr>
        <w:t xml:space="preserve"> </w:t>
      </w:r>
      <w:r>
        <w:rPr>
          <w:color w:val="333333"/>
          <w:w w:val="105"/>
          <w:sz w:val="21"/>
        </w:rPr>
        <w:t>always</w:t>
      </w:r>
      <w:r>
        <w:rPr>
          <w:color w:val="333333"/>
          <w:spacing w:val="2"/>
          <w:w w:val="105"/>
          <w:sz w:val="21"/>
        </w:rPr>
        <w:t xml:space="preserve"> </w:t>
      </w:r>
      <w:r>
        <w:rPr>
          <w:color w:val="333333"/>
          <w:w w:val="105"/>
          <w:sz w:val="21"/>
        </w:rPr>
        <w:t>uses</w:t>
      </w:r>
      <w:r>
        <w:rPr>
          <w:color w:val="333333"/>
          <w:spacing w:val="3"/>
          <w:w w:val="105"/>
          <w:sz w:val="21"/>
        </w:rPr>
        <w:t xml:space="preserve"> </w:t>
      </w:r>
      <w:r>
        <w:rPr>
          <w:color w:val="333333"/>
          <w:w w:val="105"/>
          <w:sz w:val="21"/>
        </w:rPr>
        <w:t>the</w:t>
      </w:r>
      <w:r>
        <w:rPr>
          <w:color w:val="333333"/>
          <w:spacing w:val="2"/>
          <w:w w:val="105"/>
          <w:sz w:val="21"/>
        </w:rPr>
        <w:t xml:space="preserve"> </w:t>
      </w:r>
      <w:r>
        <w:rPr>
          <w:color w:val="333333"/>
          <w:w w:val="105"/>
          <w:sz w:val="21"/>
        </w:rPr>
        <w:t xml:space="preserve">system </w:t>
      </w:r>
      <w:r>
        <w:rPr>
          <w:color w:val="333333"/>
          <w:w w:val="110"/>
          <w:sz w:val="21"/>
        </w:rPr>
        <w:t xml:space="preserve">classloader. </w:t>
      </w:r>
      <w:r>
        <w:rPr>
          <w:color w:val="333333"/>
          <w:spacing w:val="-4"/>
          <w:w w:val="110"/>
          <w:sz w:val="21"/>
        </w:rPr>
        <w:t xml:space="preserve">For </w:t>
      </w:r>
      <w:r>
        <w:rPr>
          <w:color w:val="333333"/>
          <w:w w:val="110"/>
          <w:sz w:val="21"/>
        </w:rPr>
        <w:t>this reason, you should consider a different logging</w:t>
      </w:r>
      <w:r>
        <w:rPr>
          <w:color w:val="333333"/>
          <w:spacing w:val="4"/>
          <w:w w:val="110"/>
          <w:sz w:val="21"/>
        </w:rPr>
        <w:t xml:space="preserve"> </w:t>
      </w:r>
      <w:r>
        <w:rPr>
          <w:color w:val="333333"/>
          <w:w w:val="110"/>
          <w:sz w:val="21"/>
        </w:rPr>
        <w:t>implementation.</w:t>
      </w:r>
    </w:p>
    <w:p w14:paraId="6412A907" w14:textId="77777777" w:rsidR="00A720EB" w:rsidRDefault="00A720EB">
      <w:pPr>
        <w:pStyle w:val="a3"/>
        <w:rPr>
          <w:sz w:val="27"/>
        </w:rPr>
      </w:pPr>
    </w:p>
    <w:p w14:paraId="3AEB51AD" w14:textId="77777777" w:rsidR="00A720EB" w:rsidRDefault="0030286B">
      <w:pPr>
        <w:pStyle w:val="3"/>
        <w:numPr>
          <w:ilvl w:val="2"/>
          <w:numId w:val="5"/>
        </w:numPr>
        <w:tabs>
          <w:tab w:val="left" w:pos="1027"/>
        </w:tabs>
      </w:pPr>
      <w:bookmarkStart w:id="1101" w:name="10.E.6._Alternative_Single_Jar_Solutions"/>
      <w:bookmarkStart w:id="1102" w:name="_Toc54424060"/>
      <w:bookmarkEnd w:id="1101"/>
      <w:r>
        <w:rPr>
          <w:color w:val="333333"/>
          <w:w w:val="110"/>
        </w:rPr>
        <w:t>Alternative Single Jar</w:t>
      </w:r>
      <w:r>
        <w:rPr>
          <w:color w:val="333333"/>
          <w:spacing w:val="-17"/>
          <w:w w:val="110"/>
        </w:rPr>
        <w:t xml:space="preserve"> </w:t>
      </w:r>
      <w:r>
        <w:rPr>
          <w:color w:val="333333"/>
          <w:w w:val="110"/>
        </w:rPr>
        <w:t>Solutions</w:t>
      </w:r>
      <w:bookmarkEnd w:id="1102"/>
    </w:p>
    <w:p w14:paraId="70A93568" w14:textId="77777777" w:rsidR="00A720EB" w:rsidRDefault="0030286B">
      <w:pPr>
        <w:pStyle w:val="a3"/>
        <w:spacing w:before="254" w:line="307" w:lineRule="auto"/>
        <w:ind w:left="124"/>
      </w:pPr>
      <w:r>
        <w:rPr>
          <w:color w:val="333333"/>
          <w:w w:val="110"/>
        </w:rPr>
        <w:t xml:space="preserve">If the preceding restrictions mean that you cannot use Spring Boot Loader, consider the </w:t>
      </w:r>
      <w:proofErr w:type="gramStart"/>
      <w:r>
        <w:rPr>
          <w:color w:val="333333"/>
          <w:w w:val="110"/>
        </w:rPr>
        <w:t>following  alternatives</w:t>
      </w:r>
      <w:proofErr w:type="gramEnd"/>
      <w:r>
        <w:rPr>
          <w:color w:val="333333"/>
          <w:w w:val="110"/>
        </w:rPr>
        <w:t>:</w:t>
      </w:r>
    </w:p>
    <w:p w14:paraId="2672D5A3" w14:textId="77777777" w:rsidR="00A720EB" w:rsidRDefault="00E10349">
      <w:pPr>
        <w:pStyle w:val="a6"/>
        <w:numPr>
          <w:ilvl w:val="3"/>
          <w:numId w:val="5"/>
        </w:numPr>
        <w:tabs>
          <w:tab w:val="left" w:pos="485"/>
        </w:tabs>
        <w:spacing w:before="241"/>
        <w:rPr>
          <w:sz w:val="21"/>
        </w:rPr>
      </w:pPr>
      <w:hyperlink r:id="rId1132">
        <w:r w:rsidR="0030286B">
          <w:rPr>
            <w:color w:val="418BCA"/>
            <w:w w:val="115"/>
            <w:sz w:val="21"/>
          </w:rPr>
          <w:t>Maven Shade</w:t>
        </w:r>
        <w:r w:rsidR="0030286B">
          <w:rPr>
            <w:color w:val="418BCA"/>
            <w:spacing w:val="-1"/>
            <w:w w:val="115"/>
            <w:sz w:val="21"/>
          </w:rPr>
          <w:t xml:space="preserve"> </w:t>
        </w:r>
        <w:r w:rsidR="0030286B">
          <w:rPr>
            <w:color w:val="418BCA"/>
            <w:w w:val="115"/>
            <w:sz w:val="21"/>
          </w:rPr>
          <w:t>Plugin</w:t>
        </w:r>
      </w:hyperlink>
    </w:p>
    <w:p w14:paraId="1E7A95A0" w14:textId="77777777" w:rsidR="00A720EB" w:rsidRDefault="00E10349">
      <w:pPr>
        <w:pStyle w:val="a6"/>
        <w:numPr>
          <w:ilvl w:val="3"/>
          <w:numId w:val="5"/>
        </w:numPr>
        <w:tabs>
          <w:tab w:val="left" w:pos="485"/>
        </w:tabs>
        <w:spacing w:before="189"/>
        <w:rPr>
          <w:sz w:val="21"/>
        </w:rPr>
      </w:pPr>
      <w:hyperlink r:id="rId1133">
        <w:r w:rsidR="0030286B">
          <w:rPr>
            <w:color w:val="418BCA"/>
            <w:w w:val="110"/>
            <w:sz w:val="21"/>
          </w:rPr>
          <w:t>JarClassLoader</w:t>
        </w:r>
      </w:hyperlink>
    </w:p>
    <w:p w14:paraId="5FCAD292" w14:textId="77777777" w:rsidR="00A720EB" w:rsidRDefault="00E10349">
      <w:pPr>
        <w:pStyle w:val="a6"/>
        <w:numPr>
          <w:ilvl w:val="3"/>
          <w:numId w:val="5"/>
        </w:numPr>
        <w:tabs>
          <w:tab w:val="left" w:pos="485"/>
        </w:tabs>
        <w:spacing w:before="189"/>
        <w:rPr>
          <w:sz w:val="21"/>
        </w:rPr>
      </w:pPr>
      <w:hyperlink r:id="rId1134">
        <w:r w:rsidR="0030286B">
          <w:rPr>
            <w:color w:val="418BCA"/>
            <w:w w:val="115"/>
            <w:sz w:val="21"/>
          </w:rPr>
          <w:t>OneJar</w:t>
        </w:r>
      </w:hyperlink>
    </w:p>
    <w:p w14:paraId="02FD14C4" w14:textId="77777777" w:rsidR="00A720EB" w:rsidRDefault="00E10349">
      <w:pPr>
        <w:pStyle w:val="a6"/>
        <w:numPr>
          <w:ilvl w:val="3"/>
          <w:numId w:val="5"/>
        </w:numPr>
        <w:tabs>
          <w:tab w:val="left" w:pos="485"/>
        </w:tabs>
        <w:spacing w:before="190"/>
        <w:rPr>
          <w:sz w:val="21"/>
        </w:rPr>
      </w:pPr>
      <w:hyperlink r:id="rId1135">
        <w:r w:rsidR="0030286B">
          <w:rPr>
            <w:color w:val="418BCA"/>
            <w:w w:val="110"/>
            <w:sz w:val="21"/>
          </w:rPr>
          <w:t>Gradle Shadow</w:t>
        </w:r>
        <w:r w:rsidR="0030286B">
          <w:rPr>
            <w:color w:val="418BCA"/>
            <w:spacing w:val="5"/>
            <w:w w:val="110"/>
            <w:sz w:val="21"/>
          </w:rPr>
          <w:t xml:space="preserve"> </w:t>
        </w:r>
        <w:r w:rsidR="0030286B">
          <w:rPr>
            <w:color w:val="418BCA"/>
            <w:w w:val="110"/>
            <w:sz w:val="21"/>
          </w:rPr>
          <w:t>Plugin</w:t>
        </w:r>
      </w:hyperlink>
    </w:p>
    <w:p w14:paraId="421261FE" w14:textId="77777777" w:rsidR="00A720EB" w:rsidRDefault="00A720EB">
      <w:pPr>
        <w:pStyle w:val="a3"/>
        <w:spacing w:before="8"/>
        <w:rPr>
          <w:sz w:val="31"/>
        </w:rPr>
      </w:pPr>
    </w:p>
    <w:p w14:paraId="56462F5B" w14:textId="77777777" w:rsidR="00A720EB" w:rsidRDefault="0030286B">
      <w:pPr>
        <w:pStyle w:val="2"/>
        <w:spacing w:before="1"/>
        <w:ind w:left="124" w:firstLine="0"/>
      </w:pPr>
      <w:bookmarkStart w:id="1103" w:name="Appendix_F:_Dependency_versions"/>
      <w:bookmarkStart w:id="1104" w:name="_Toc54424061"/>
      <w:bookmarkEnd w:id="1103"/>
      <w:r>
        <w:rPr>
          <w:color w:val="333333"/>
          <w:w w:val="110"/>
        </w:rPr>
        <w:t>Appendix F: Dependency versions</w:t>
      </w:r>
      <w:bookmarkEnd w:id="1104"/>
    </w:p>
    <w:p w14:paraId="5D939DFC" w14:textId="77777777" w:rsidR="00A720EB" w:rsidRDefault="0030286B">
      <w:pPr>
        <w:pStyle w:val="a3"/>
        <w:spacing w:before="253"/>
        <w:ind w:left="124"/>
      </w:pPr>
      <w:r>
        <w:rPr>
          <w:color w:val="333333"/>
          <w:w w:val="110"/>
        </w:rPr>
        <w:t>This appendix provides details of the dependencies that are managed by Spring Boot.</w:t>
      </w:r>
    </w:p>
    <w:p w14:paraId="0320A3EB" w14:textId="77777777" w:rsidR="00A720EB" w:rsidRDefault="00A720EB">
      <w:pPr>
        <w:pStyle w:val="a3"/>
        <w:spacing w:before="6"/>
        <w:rPr>
          <w:sz w:val="31"/>
        </w:rPr>
      </w:pPr>
    </w:p>
    <w:p w14:paraId="163D19E8" w14:textId="77777777" w:rsidR="00A720EB" w:rsidRDefault="0030286B">
      <w:pPr>
        <w:pStyle w:val="3"/>
        <w:numPr>
          <w:ilvl w:val="2"/>
          <w:numId w:val="2"/>
        </w:numPr>
        <w:tabs>
          <w:tab w:val="left" w:pos="1019"/>
        </w:tabs>
        <w:spacing w:before="1"/>
        <w:ind w:hanging="895"/>
      </w:pPr>
      <w:bookmarkStart w:id="1105" w:name="10.F.1._Managed_Dependency_Coordinates"/>
      <w:bookmarkStart w:id="1106" w:name="_Toc54424062"/>
      <w:bookmarkEnd w:id="1105"/>
      <w:r>
        <w:rPr>
          <w:color w:val="333333"/>
          <w:w w:val="110"/>
        </w:rPr>
        <w:t>Managed Dependency</w:t>
      </w:r>
      <w:r>
        <w:rPr>
          <w:color w:val="333333"/>
          <w:spacing w:val="-12"/>
          <w:w w:val="110"/>
        </w:rPr>
        <w:t xml:space="preserve"> </w:t>
      </w:r>
      <w:r>
        <w:rPr>
          <w:color w:val="333333"/>
          <w:w w:val="110"/>
        </w:rPr>
        <w:t>Coordinates</w:t>
      </w:r>
      <w:bookmarkEnd w:id="1106"/>
    </w:p>
    <w:p w14:paraId="4117A137" w14:textId="77777777" w:rsidR="00A720EB" w:rsidRDefault="0030286B">
      <w:pPr>
        <w:pStyle w:val="a3"/>
        <w:spacing w:before="253" w:line="307" w:lineRule="auto"/>
        <w:ind w:left="124" w:right="462"/>
      </w:pPr>
      <w:r>
        <w:rPr>
          <w:color w:val="333333"/>
          <w:w w:val="110"/>
        </w:rPr>
        <w:t>The following table provides details of all of the dependency versions that are provided by Spring Boot in its CLI (Command Line Interface), Maven dependency management, and Gradle plugin.</w:t>
      </w:r>
    </w:p>
    <w:p w14:paraId="429093D8" w14:textId="77777777" w:rsidR="00A720EB" w:rsidRDefault="00A720EB">
      <w:pPr>
        <w:spacing w:line="307" w:lineRule="auto"/>
        <w:sectPr w:rsidR="00A720EB">
          <w:pgSz w:w="11910" w:h="16840"/>
          <w:pgMar w:top="620" w:right="840" w:bottom="520" w:left="840" w:header="0" w:footer="323" w:gutter="0"/>
          <w:cols w:space="720"/>
        </w:sectPr>
      </w:pPr>
    </w:p>
    <w:p w14:paraId="3F84AFA4" w14:textId="77777777" w:rsidR="00A720EB" w:rsidRDefault="0030286B">
      <w:pPr>
        <w:pStyle w:val="a3"/>
        <w:spacing w:before="107" w:line="307" w:lineRule="auto"/>
        <w:ind w:left="124" w:right="462"/>
      </w:pPr>
      <w:r>
        <w:rPr>
          <w:color w:val="333333"/>
          <w:w w:val="110"/>
        </w:rPr>
        <w:lastRenderedPageBreak/>
        <w:t xml:space="preserve">When you declare a dependency on one of these artifacts without declaring a version, the </w:t>
      </w:r>
      <w:proofErr w:type="gramStart"/>
      <w:r>
        <w:rPr>
          <w:color w:val="333333"/>
          <w:w w:val="110"/>
        </w:rPr>
        <w:t>version  listed</w:t>
      </w:r>
      <w:proofErr w:type="gramEnd"/>
      <w:r>
        <w:rPr>
          <w:color w:val="333333"/>
          <w:w w:val="110"/>
        </w:rPr>
        <w:t xml:space="preserve"> in the table is used.</w:t>
      </w:r>
    </w:p>
    <w:p w14:paraId="60530F2D" w14:textId="77777777" w:rsidR="00A720EB" w:rsidRDefault="00A720EB">
      <w:pPr>
        <w:pStyle w:val="a3"/>
        <w:spacing w:before="8"/>
        <w:rPr>
          <w:sz w:val="16"/>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0DEE2E7E" w14:textId="77777777">
        <w:trPr>
          <w:trHeight w:val="415"/>
        </w:trPr>
        <w:tc>
          <w:tcPr>
            <w:tcW w:w="3325" w:type="dxa"/>
            <w:tcBorders>
              <w:bottom w:val="single" w:sz="12" w:space="0" w:color="DDDDDD"/>
            </w:tcBorders>
          </w:tcPr>
          <w:p w14:paraId="6D7A2110" w14:textId="77777777" w:rsidR="00A720EB" w:rsidRDefault="0030286B">
            <w:pPr>
              <w:pStyle w:val="TableParagraph"/>
              <w:spacing w:before="74"/>
              <w:rPr>
                <w:rFonts w:ascii="Palatino Linotype"/>
                <w:b/>
                <w:sz w:val="21"/>
              </w:rPr>
            </w:pPr>
            <w:r>
              <w:rPr>
                <w:rFonts w:ascii="Palatino Linotype"/>
                <w:b/>
                <w:color w:val="333333"/>
                <w:w w:val="105"/>
                <w:sz w:val="21"/>
              </w:rPr>
              <w:t>Group ID</w:t>
            </w:r>
          </w:p>
        </w:tc>
        <w:tc>
          <w:tcPr>
            <w:tcW w:w="3325" w:type="dxa"/>
            <w:tcBorders>
              <w:bottom w:val="single" w:sz="12" w:space="0" w:color="DDDDDD"/>
            </w:tcBorders>
          </w:tcPr>
          <w:p w14:paraId="01535C5A" w14:textId="77777777" w:rsidR="00A720EB" w:rsidRDefault="0030286B">
            <w:pPr>
              <w:pStyle w:val="TableParagraph"/>
              <w:spacing w:before="74"/>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760A8DC8" w14:textId="77777777" w:rsidR="00A720EB" w:rsidRDefault="0030286B">
            <w:pPr>
              <w:pStyle w:val="TableParagraph"/>
              <w:spacing w:before="74"/>
              <w:rPr>
                <w:rFonts w:ascii="Palatino Linotype"/>
                <w:b/>
                <w:sz w:val="21"/>
              </w:rPr>
            </w:pPr>
            <w:r>
              <w:rPr>
                <w:rFonts w:ascii="Palatino Linotype"/>
                <w:b/>
                <w:color w:val="333333"/>
                <w:w w:val="110"/>
                <w:sz w:val="21"/>
              </w:rPr>
              <w:t>Version</w:t>
            </w:r>
          </w:p>
        </w:tc>
      </w:tr>
      <w:tr w:rsidR="00A720EB" w14:paraId="70FCEAED" w14:textId="77777777">
        <w:trPr>
          <w:trHeight w:val="358"/>
        </w:trPr>
        <w:tc>
          <w:tcPr>
            <w:tcW w:w="3325" w:type="dxa"/>
            <w:tcBorders>
              <w:top w:val="single" w:sz="12" w:space="0" w:color="DDDDDD"/>
            </w:tcBorders>
          </w:tcPr>
          <w:p w14:paraId="057A47F5" w14:textId="77777777" w:rsidR="00A720EB" w:rsidRDefault="0030286B">
            <w:pPr>
              <w:pStyle w:val="TableParagraph"/>
              <w:spacing w:before="30"/>
              <w:rPr>
                <w:sz w:val="21"/>
              </w:rPr>
            </w:pPr>
            <w:r>
              <w:rPr>
                <w:color w:val="B02045"/>
                <w:sz w:val="21"/>
              </w:rPr>
              <w:t>antlr</w:t>
            </w:r>
          </w:p>
        </w:tc>
        <w:tc>
          <w:tcPr>
            <w:tcW w:w="3325" w:type="dxa"/>
            <w:tcBorders>
              <w:top w:val="single" w:sz="12" w:space="0" w:color="DDDDDD"/>
            </w:tcBorders>
          </w:tcPr>
          <w:p w14:paraId="3F272D9D" w14:textId="77777777" w:rsidR="00A720EB" w:rsidRDefault="0030286B">
            <w:pPr>
              <w:pStyle w:val="TableParagraph"/>
              <w:spacing w:before="30"/>
              <w:rPr>
                <w:sz w:val="21"/>
              </w:rPr>
            </w:pPr>
            <w:r>
              <w:rPr>
                <w:color w:val="B02045"/>
                <w:sz w:val="21"/>
              </w:rPr>
              <w:t>antlr</w:t>
            </w:r>
          </w:p>
        </w:tc>
        <w:tc>
          <w:tcPr>
            <w:tcW w:w="3325" w:type="dxa"/>
            <w:tcBorders>
              <w:top w:val="single" w:sz="12" w:space="0" w:color="DDDDDD"/>
            </w:tcBorders>
          </w:tcPr>
          <w:p w14:paraId="5D0DAEEF" w14:textId="77777777" w:rsidR="00A720EB" w:rsidRDefault="0030286B">
            <w:pPr>
              <w:pStyle w:val="TableParagraph"/>
              <w:spacing w:before="30"/>
              <w:rPr>
                <w:sz w:val="21"/>
              </w:rPr>
            </w:pPr>
            <w:r>
              <w:rPr>
                <w:color w:val="B02045"/>
                <w:sz w:val="21"/>
              </w:rPr>
              <w:t>2.7.7</w:t>
            </w:r>
          </w:p>
        </w:tc>
      </w:tr>
      <w:tr w:rsidR="00A720EB" w14:paraId="71C5CAED" w14:textId="77777777">
        <w:trPr>
          <w:trHeight w:val="368"/>
        </w:trPr>
        <w:tc>
          <w:tcPr>
            <w:tcW w:w="3325" w:type="dxa"/>
          </w:tcPr>
          <w:p w14:paraId="31CD79B7" w14:textId="77777777" w:rsidR="00A720EB" w:rsidRDefault="0030286B">
            <w:pPr>
              <w:pStyle w:val="TableParagraph"/>
              <w:spacing w:before="40"/>
              <w:rPr>
                <w:sz w:val="21"/>
              </w:rPr>
            </w:pPr>
            <w:proofErr w:type="gramStart"/>
            <w:r>
              <w:rPr>
                <w:color w:val="B02045"/>
                <w:sz w:val="21"/>
              </w:rPr>
              <w:t>ch.qos.logback</w:t>
            </w:r>
            <w:proofErr w:type="gramEnd"/>
          </w:p>
        </w:tc>
        <w:tc>
          <w:tcPr>
            <w:tcW w:w="3325" w:type="dxa"/>
          </w:tcPr>
          <w:p w14:paraId="32C31F73" w14:textId="77777777" w:rsidR="00A720EB" w:rsidRDefault="0030286B">
            <w:pPr>
              <w:pStyle w:val="TableParagraph"/>
              <w:spacing w:before="40"/>
              <w:rPr>
                <w:sz w:val="21"/>
              </w:rPr>
            </w:pPr>
            <w:r>
              <w:rPr>
                <w:color w:val="B02045"/>
                <w:sz w:val="21"/>
              </w:rPr>
              <w:t>logback-access</w:t>
            </w:r>
          </w:p>
        </w:tc>
        <w:tc>
          <w:tcPr>
            <w:tcW w:w="3325" w:type="dxa"/>
          </w:tcPr>
          <w:p w14:paraId="029A3A93" w14:textId="77777777" w:rsidR="00A720EB" w:rsidRDefault="0030286B">
            <w:pPr>
              <w:pStyle w:val="TableParagraph"/>
              <w:spacing w:before="40"/>
              <w:rPr>
                <w:sz w:val="21"/>
              </w:rPr>
            </w:pPr>
            <w:r>
              <w:rPr>
                <w:color w:val="B02045"/>
                <w:sz w:val="21"/>
              </w:rPr>
              <w:t>1.2.3</w:t>
            </w:r>
          </w:p>
        </w:tc>
      </w:tr>
      <w:tr w:rsidR="00A720EB" w14:paraId="3D40A01F" w14:textId="77777777">
        <w:trPr>
          <w:trHeight w:val="368"/>
        </w:trPr>
        <w:tc>
          <w:tcPr>
            <w:tcW w:w="3325" w:type="dxa"/>
          </w:tcPr>
          <w:p w14:paraId="4C06E8C6" w14:textId="77777777" w:rsidR="00A720EB" w:rsidRDefault="0030286B">
            <w:pPr>
              <w:pStyle w:val="TableParagraph"/>
              <w:spacing w:before="40"/>
              <w:rPr>
                <w:sz w:val="21"/>
              </w:rPr>
            </w:pPr>
            <w:proofErr w:type="gramStart"/>
            <w:r>
              <w:rPr>
                <w:color w:val="B02045"/>
                <w:sz w:val="21"/>
              </w:rPr>
              <w:t>ch.qos.logback</w:t>
            </w:r>
            <w:proofErr w:type="gramEnd"/>
          </w:p>
        </w:tc>
        <w:tc>
          <w:tcPr>
            <w:tcW w:w="3325" w:type="dxa"/>
          </w:tcPr>
          <w:p w14:paraId="401CDC74" w14:textId="77777777" w:rsidR="00A720EB" w:rsidRDefault="0030286B">
            <w:pPr>
              <w:pStyle w:val="TableParagraph"/>
              <w:spacing w:before="40"/>
              <w:rPr>
                <w:sz w:val="21"/>
              </w:rPr>
            </w:pPr>
            <w:r>
              <w:rPr>
                <w:color w:val="B02045"/>
                <w:sz w:val="21"/>
              </w:rPr>
              <w:t>logback-classic</w:t>
            </w:r>
          </w:p>
        </w:tc>
        <w:tc>
          <w:tcPr>
            <w:tcW w:w="3325" w:type="dxa"/>
          </w:tcPr>
          <w:p w14:paraId="2E4236E4" w14:textId="77777777" w:rsidR="00A720EB" w:rsidRDefault="0030286B">
            <w:pPr>
              <w:pStyle w:val="TableParagraph"/>
              <w:spacing w:before="40"/>
              <w:rPr>
                <w:sz w:val="21"/>
              </w:rPr>
            </w:pPr>
            <w:r>
              <w:rPr>
                <w:color w:val="B02045"/>
                <w:sz w:val="21"/>
              </w:rPr>
              <w:t>1.2.3</w:t>
            </w:r>
          </w:p>
        </w:tc>
      </w:tr>
      <w:tr w:rsidR="00A720EB" w14:paraId="75122EA0" w14:textId="77777777">
        <w:trPr>
          <w:trHeight w:val="368"/>
        </w:trPr>
        <w:tc>
          <w:tcPr>
            <w:tcW w:w="3325" w:type="dxa"/>
          </w:tcPr>
          <w:p w14:paraId="734B9030" w14:textId="77777777" w:rsidR="00A720EB" w:rsidRDefault="0030286B">
            <w:pPr>
              <w:pStyle w:val="TableParagraph"/>
              <w:spacing w:before="40"/>
              <w:rPr>
                <w:sz w:val="21"/>
              </w:rPr>
            </w:pPr>
            <w:proofErr w:type="gramStart"/>
            <w:r>
              <w:rPr>
                <w:color w:val="B02045"/>
                <w:sz w:val="21"/>
              </w:rPr>
              <w:t>ch.qos.logback</w:t>
            </w:r>
            <w:proofErr w:type="gramEnd"/>
          </w:p>
        </w:tc>
        <w:tc>
          <w:tcPr>
            <w:tcW w:w="3325" w:type="dxa"/>
          </w:tcPr>
          <w:p w14:paraId="34E773DB" w14:textId="77777777" w:rsidR="00A720EB" w:rsidRDefault="0030286B">
            <w:pPr>
              <w:pStyle w:val="TableParagraph"/>
              <w:spacing w:before="40"/>
              <w:rPr>
                <w:sz w:val="21"/>
              </w:rPr>
            </w:pPr>
            <w:r>
              <w:rPr>
                <w:color w:val="B02045"/>
                <w:sz w:val="21"/>
              </w:rPr>
              <w:t>logback-core</w:t>
            </w:r>
          </w:p>
        </w:tc>
        <w:tc>
          <w:tcPr>
            <w:tcW w:w="3325" w:type="dxa"/>
          </w:tcPr>
          <w:p w14:paraId="2E545A1F" w14:textId="77777777" w:rsidR="00A720EB" w:rsidRDefault="0030286B">
            <w:pPr>
              <w:pStyle w:val="TableParagraph"/>
              <w:spacing w:before="40"/>
              <w:rPr>
                <w:sz w:val="21"/>
              </w:rPr>
            </w:pPr>
            <w:r>
              <w:rPr>
                <w:color w:val="B02045"/>
                <w:sz w:val="21"/>
              </w:rPr>
              <w:t>1.2.3</w:t>
            </w:r>
          </w:p>
        </w:tc>
      </w:tr>
      <w:tr w:rsidR="00A720EB" w14:paraId="39BA81A4" w14:textId="77777777">
        <w:trPr>
          <w:trHeight w:val="368"/>
        </w:trPr>
        <w:tc>
          <w:tcPr>
            <w:tcW w:w="3325" w:type="dxa"/>
          </w:tcPr>
          <w:p w14:paraId="5593A862" w14:textId="77777777" w:rsidR="00A720EB" w:rsidRDefault="0030286B">
            <w:pPr>
              <w:pStyle w:val="TableParagraph"/>
              <w:spacing w:before="40"/>
              <w:rPr>
                <w:sz w:val="21"/>
              </w:rPr>
            </w:pPr>
            <w:proofErr w:type="gramStart"/>
            <w:r>
              <w:rPr>
                <w:color w:val="B02045"/>
                <w:sz w:val="21"/>
              </w:rPr>
              <w:t>com.atomikos</w:t>
            </w:r>
            <w:proofErr w:type="gramEnd"/>
          </w:p>
        </w:tc>
        <w:tc>
          <w:tcPr>
            <w:tcW w:w="3325" w:type="dxa"/>
          </w:tcPr>
          <w:p w14:paraId="1CAFA5F9" w14:textId="77777777" w:rsidR="00A720EB" w:rsidRDefault="0030286B">
            <w:pPr>
              <w:pStyle w:val="TableParagraph"/>
              <w:spacing w:before="40"/>
              <w:rPr>
                <w:sz w:val="21"/>
              </w:rPr>
            </w:pPr>
            <w:r>
              <w:rPr>
                <w:color w:val="B02045"/>
                <w:sz w:val="21"/>
              </w:rPr>
              <w:t>transactions-jdbc</w:t>
            </w:r>
          </w:p>
        </w:tc>
        <w:tc>
          <w:tcPr>
            <w:tcW w:w="3325" w:type="dxa"/>
          </w:tcPr>
          <w:p w14:paraId="197F0A4A" w14:textId="77777777" w:rsidR="00A720EB" w:rsidRDefault="0030286B">
            <w:pPr>
              <w:pStyle w:val="TableParagraph"/>
              <w:spacing w:before="40"/>
              <w:rPr>
                <w:sz w:val="21"/>
              </w:rPr>
            </w:pPr>
            <w:r>
              <w:rPr>
                <w:color w:val="B02045"/>
                <w:sz w:val="21"/>
              </w:rPr>
              <w:t>4.0.6</w:t>
            </w:r>
          </w:p>
        </w:tc>
      </w:tr>
      <w:tr w:rsidR="00A720EB" w14:paraId="770EB699" w14:textId="77777777">
        <w:trPr>
          <w:trHeight w:val="368"/>
        </w:trPr>
        <w:tc>
          <w:tcPr>
            <w:tcW w:w="3325" w:type="dxa"/>
          </w:tcPr>
          <w:p w14:paraId="430C325E" w14:textId="77777777" w:rsidR="00A720EB" w:rsidRDefault="0030286B">
            <w:pPr>
              <w:pStyle w:val="TableParagraph"/>
              <w:spacing w:before="40"/>
              <w:rPr>
                <w:sz w:val="21"/>
              </w:rPr>
            </w:pPr>
            <w:proofErr w:type="gramStart"/>
            <w:r>
              <w:rPr>
                <w:color w:val="B02045"/>
                <w:sz w:val="21"/>
              </w:rPr>
              <w:t>com.atomikos</w:t>
            </w:r>
            <w:proofErr w:type="gramEnd"/>
          </w:p>
        </w:tc>
        <w:tc>
          <w:tcPr>
            <w:tcW w:w="3325" w:type="dxa"/>
          </w:tcPr>
          <w:p w14:paraId="45F5060E" w14:textId="77777777" w:rsidR="00A720EB" w:rsidRDefault="0030286B">
            <w:pPr>
              <w:pStyle w:val="TableParagraph"/>
              <w:spacing w:before="40"/>
              <w:rPr>
                <w:sz w:val="21"/>
              </w:rPr>
            </w:pPr>
            <w:r>
              <w:rPr>
                <w:color w:val="B02045"/>
                <w:sz w:val="21"/>
              </w:rPr>
              <w:t>transactions-jms</w:t>
            </w:r>
          </w:p>
        </w:tc>
        <w:tc>
          <w:tcPr>
            <w:tcW w:w="3325" w:type="dxa"/>
          </w:tcPr>
          <w:p w14:paraId="63F632FB" w14:textId="77777777" w:rsidR="00A720EB" w:rsidRDefault="0030286B">
            <w:pPr>
              <w:pStyle w:val="TableParagraph"/>
              <w:spacing w:before="40"/>
              <w:rPr>
                <w:sz w:val="21"/>
              </w:rPr>
            </w:pPr>
            <w:r>
              <w:rPr>
                <w:color w:val="B02045"/>
                <w:sz w:val="21"/>
              </w:rPr>
              <w:t>4.0.6</w:t>
            </w:r>
          </w:p>
        </w:tc>
      </w:tr>
      <w:tr w:rsidR="00A720EB" w14:paraId="3B4E4CCC" w14:textId="77777777">
        <w:trPr>
          <w:trHeight w:val="368"/>
        </w:trPr>
        <w:tc>
          <w:tcPr>
            <w:tcW w:w="3325" w:type="dxa"/>
          </w:tcPr>
          <w:p w14:paraId="0A800F9C" w14:textId="77777777" w:rsidR="00A720EB" w:rsidRDefault="0030286B">
            <w:pPr>
              <w:pStyle w:val="TableParagraph"/>
              <w:spacing w:before="40"/>
              <w:rPr>
                <w:sz w:val="21"/>
              </w:rPr>
            </w:pPr>
            <w:proofErr w:type="gramStart"/>
            <w:r>
              <w:rPr>
                <w:color w:val="B02045"/>
                <w:sz w:val="21"/>
              </w:rPr>
              <w:t>com.atomikos</w:t>
            </w:r>
            <w:proofErr w:type="gramEnd"/>
          </w:p>
        </w:tc>
        <w:tc>
          <w:tcPr>
            <w:tcW w:w="3325" w:type="dxa"/>
          </w:tcPr>
          <w:p w14:paraId="6DE3893E" w14:textId="77777777" w:rsidR="00A720EB" w:rsidRDefault="0030286B">
            <w:pPr>
              <w:pStyle w:val="TableParagraph"/>
              <w:spacing w:before="40"/>
              <w:rPr>
                <w:sz w:val="21"/>
              </w:rPr>
            </w:pPr>
            <w:r>
              <w:rPr>
                <w:color w:val="B02045"/>
                <w:sz w:val="21"/>
              </w:rPr>
              <w:t>transactions-jta</w:t>
            </w:r>
          </w:p>
        </w:tc>
        <w:tc>
          <w:tcPr>
            <w:tcW w:w="3325" w:type="dxa"/>
          </w:tcPr>
          <w:p w14:paraId="4D150ADB" w14:textId="77777777" w:rsidR="00A720EB" w:rsidRDefault="0030286B">
            <w:pPr>
              <w:pStyle w:val="TableParagraph"/>
              <w:spacing w:before="40"/>
              <w:rPr>
                <w:sz w:val="21"/>
              </w:rPr>
            </w:pPr>
            <w:r>
              <w:rPr>
                <w:color w:val="B02045"/>
                <w:sz w:val="21"/>
              </w:rPr>
              <w:t>4.0.6</w:t>
            </w:r>
          </w:p>
        </w:tc>
      </w:tr>
      <w:tr w:rsidR="00A720EB" w14:paraId="471ECE05" w14:textId="77777777">
        <w:trPr>
          <w:trHeight w:val="368"/>
        </w:trPr>
        <w:tc>
          <w:tcPr>
            <w:tcW w:w="3325" w:type="dxa"/>
          </w:tcPr>
          <w:p w14:paraId="45E514C3" w14:textId="77777777" w:rsidR="00A720EB" w:rsidRDefault="0030286B">
            <w:pPr>
              <w:pStyle w:val="TableParagraph"/>
              <w:spacing w:before="40"/>
              <w:rPr>
                <w:sz w:val="21"/>
              </w:rPr>
            </w:pPr>
            <w:proofErr w:type="gramStart"/>
            <w:r>
              <w:rPr>
                <w:color w:val="B02045"/>
                <w:sz w:val="21"/>
              </w:rPr>
              <w:t>com.couchbase</w:t>
            </w:r>
            <w:proofErr w:type="gramEnd"/>
            <w:r>
              <w:rPr>
                <w:color w:val="B02045"/>
                <w:sz w:val="21"/>
              </w:rPr>
              <w:t>.client</w:t>
            </w:r>
          </w:p>
        </w:tc>
        <w:tc>
          <w:tcPr>
            <w:tcW w:w="3325" w:type="dxa"/>
          </w:tcPr>
          <w:p w14:paraId="005A50D7" w14:textId="77777777" w:rsidR="00A720EB" w:rsidRDefault="0030286B">
            <w:pPr>
              <w:pStyle w:val="TableParagraph"/>
              <w:spacing w:before="40"/>
              <w:rPr>
                <w:sz w:val="21"/>
              </w:rPr>
            </w:pPr>
            <w:r>
              <w:rPr>
                <w:color w:val="B02045"/>
                <w:sz w:val="21"/>
              </w:rPr>
              <w:t>java-client</w:t>
            </w:r>
          </w:p>
        </w:tc>
        <w:tc>
          <w:tcPr>
            <w:tcW w:w="3325" w:type="dxa"/>
          </w:tcPr>
          <w:p w14:paraId="23DBECF9" w14:textId="77777777" w:rsidR="00A720EB" w:rsidRDefault="0030286B">
            <w:pPr>
              <w:pStyle w:val="TableParagraph"/>
              <w:spacing w:before="40"/>
              <w:rPr>
                <w:sz w:val="21"/>
              </w:rPr>
            </w:pPr>
            <w:r>
              <w:rPr>
                <w:color w:val="B02045"/>
                <w:sz w:val="21"/>
              </w:rPr>
              <w:t>3.0.8</w:t>
            </w:r>
          </w:p>
        </w:tc>
      </w:tr>
      <w:tr w:rsidR="00A720EB" w14:paraId="44627A1F" w14:textId="77777777">
        <w:trPr>
          <w:trHeight w:val="368"/>
        </w:trPr>
        <w:tc>
          <w:tcPr>
            <w:tcW w:w="3325" w:type="dxa"/>
          </w:tcPr>
          <w:p w14:paraId="03D27B93" w14:textId="77777777" w:rsidR="00A720EB" w:rsidRDefault="0030286B">
            <w:pPr>
              <w:pStyle w:val="TableParagraph"/>
              <w:spacing w:before="40"/>
              <w:rPr>
                <w:sz w:val="21"/>
              </w:rPr>
            </w:pPr>
            <w:r>
              <w:rPr>
                <w:color w:val="B02045"/>
                <w:sz w:val="21"/>
              </w:rPr>
              <w:t>com.datastax.oss</w:t>
            </w:r>
          </w:p>
        </w:tc>
        <w:tc>
          <w:tcPr>
            <w:tcW w:w="3325" w:type="dxa"/>
          </w:tcPr>
          <w:p w14:paraId="3CDB5D24" w14:textId="77777777" w:rsidR="00A720EB" w:rsidRDefault="0030286B">
            <w:pPr>
              <w:pStyle w:val="TableParagraph"/>
              <w:spacing w:before="40"/>
              <w:rPr>
                <w:sz w:val="21"/>
              </w:rPr>
            </w:pPr>
            <w:r>
              <w:rPr>
                <w:color w:val="B02045"/>
                <w:sz w:val="21"/>
              </w:rPr>
              <w:t>java-driver-core</w:t>
            </w:r>
          </w:p>
        </w:tc>
        <w:tc>
          <w:tcPr>
            <w:tcW w:w="3325" w:type="dxa"/>
          </w:tcPr>
          <w:p w14:paraId="46910465" w14:textId="77777777" w:rsidR="00A720EB" w:rsidRDefault="0030286B">
            <w:pPr>
              <w:pStyle w:val="TableParagraph"/>
              <w:spacing w:before="40"/>
              <w:rPr>
                <w:sz w:val="21"/>
              </w:rPr>
            </w:pPr>
            <w:r>
              <w:rPr>
                <w:color w:val="B02045"/>
                <w:sz w:val="21"/>
              </w:rPr>
              <w:t>4.6.1</w:t>
            </w:r>
          </w:p>
        </w:tc>
      </w:tr>
      <w:tr w:rsidR="00A720EB" w14:paraId="756494F5" w14:textId="77777777">
        <w:trPr>
          <w:trHeight w:val="368"/>
        </w:trPr>
        <w:tc>
          <w:tcPr>
            <w:tcW w:w="3325" w:type="dxa"/>
          </w:tcPr>
          <w:p w14:paraId="10F3D287" w14:textId="77777777" w:rsidR="00A720EB" w:rsidRDefault="0030286B">
            <w:pPr>
              <w:pStyle w:val="TableParagraph"/>
              <w:spacing w:before="40"/>
              <w:rPr>
                <w:sz w:val="21"/>
              </w:rPr>
            </w:pPr>
            <w:r>
              <w:rPr>
                <w:color w:val="B02045"/>
                <w:sz w:val="21"/>
              </w:rPr>
              <w:t>com.datastax.oss</w:t>
            </w:r>
          </w:p>
        </w:tc>
        <w:tc>
          <w:tcPr>
            <w:tcW w:w="3325" w:type="dxa"/>
          </w:tcPr>
          <w:p w14:paraId="74E041A8" w14:textId="77777777" w:rsidR="00A720EB" w:rsidRDefault="0030286B">
            <w:pPr>
              <w:pStyle w:val="TableParagraph"/>
              <w:spacing w:before="40"/>
              <w:rPr>
                <w:sz w:val="21"/>
              </w:rPr>
            </w:pPr>
            <w:r>
              <w:rPr>
                <w:color w:val="B02045"/>
                <w:sz w:val="21"/>
              </w:rPr>
              <w:t>java-driver-core-shaded</w:t>
            </w:r>
          </w:p>
        </w:tc>
        <w:tc>
          <w:tcPr>
            <w:tcW w:w="3325" w:type="dxa"/>
          </w:tcPr>
          <w:p w14:paraId="5A43C836" w14:textId="77777777" w:rsidR="00A720EB" w:rsidRDefault="0030286B">
            <w:pPr>
              <w:pStyle w:val="TableParagraph"/>
              <w:spacing w:before="40"/>
              <w:rPr>
                <w:sz w:val="21"/>
              </w:rPr>
            </w:pPr>
            <w:r>
              <w:rPr>
                <w:color w:val="B02045"/>
                <w:sz w:val="21"/>
              </w:rPr>
              <w:t>4.6.1</w:t>
            </w:r>
          </w:p>
        </w:tc>
      </w:tr>
      <w:tr w:rsidR="00A720EB" w14:paraId="212E03DC" w14:textId="77777777">
        <w:trPr>
          <w:trHeight w:val="368"/>
        </w:trPr>
        <w:tc>
          <w:tcPr>
            <w:tcW w:w="3325" w:type="dxa"/>
          </w:tcPr>
          <w:p w14:paraId="2EB376F0" w14:textId="77777777" w:rsidR="00A720EB" w:rsidRDefault="0030286B">
            <w:pPr>
              <w:pStyle w:val="TableParagraph"/>
              <w:spacing w:before="40"/>
              <w:rPr>
                <w:sz w:val="21"/>
              </w:rPr>
            </w:pPr>
            <w:r>
              <w:rPr>
                <w:color w:val="B02045"/>
                <w:sz w:val="21"/>
              </w:rPr>
              <w:t>com.datastax.oss</w:t>
            </w:r>
          </w:p>
        </w:tc>
        <w:tc>
          <w:tcPr>
            <w:tcW w:w="3325" w:type="dxa"/>
          </w:tcPr>
          <w:p w14:paraId="35E69973" w14:textId="77777777" w:rsidR="00A720EB" w:rsidRDefault="0030286B">
            <w:pPr>
              <w:pStyle w:val="TableParagraph"/>
              <w:spacing w:before="40"/>
              <w:rPr>
                <w:sz w:val="21"/>
              </w:rPr>
            </w:pPr>
            <w:r>
              <w:rPr>
                <w:color w:val="B02045"/>
                <w:sz w:val="21"/>
              </w:rPr>
              <w:t>java-driver-mapper-processor</w:t>
            </w:r>
          </w:p>
        </w:tc>
        <w:tc>
          <w:tcPr>
            <w:tcW w:w="3325" w:type="dxa"/>
          </w:tcPr>
          <w:p w14:paraId="6A999675" w14:textId="77777777" w:rsidR="00A720EB" w:rsidRDefault="0030286B">
            <w:pPr>
              <w:pStyle w:val="TableParagraph"/>
              <w:spacing w:before="40"/>
              <w:rPr>
                <w:sz w:val="21"/>
              </w:rPr>
            </w:pPr>
            <w:r>
              <w:rPr>
                <w:color w:val="B02045"/>
                <w:sz w:val="21"/>
              </w:rPr>
              <w:t>4.6.1</w:t>
            </w:r>
          </w:p>
        </w:tc>
      </w:tr>
      <w:tr w:rsidR="00A720EB" w14:paraId="68DD8350" w14:textId="77777777">
        <w:trPr>
          <w:trHeight w:val="368"/>
        </w:trPr>
        <w:tc>
          <w:tcPr>
            <w:tcW w:w="3325" w:type="dxa"/>
          </w:tcPr>
          <w:p w14:paraId="7D56E456" w14:textId="77777777" w:rsidR="00A720EB" w:rsidRDefault="0030286B">
            <w:pPr>
              <w:pStyle w:val="TableParagraph"/>
              <w:spacing w:before="40"/>
              <w:rPr>
                <w:sz w:val="21"/>
              </w:rPr>
            </w:pPr>
            <w:r>
              <w:rPr>
                <w:color w:val="B02045"/>
                <w:sz w:val="21"/>
              </w:rPr>
              <w:t>com.datastax.oss</w:t>
            </w:r>
          </w:p>
        </w:tc>
        <w:tc>
          <w:tcPr>
            <w:tcW w:w="3325" w:type="dxa"/>
          </w:tcPr>
          <w:p w14:paraId="0982BA25" w14:textId="77777777" w:rsidR="00A720EB" w:rsidRDefault="0030286B">
            <w:pPr>
              <w:pStyle w:val="TableParagraph"/>
              <w:spacing w:before="40"/>
              <w:rPr>
                <w:sz w:val="21"/>
              </w:rPr>
            </w:pPr>
            <w:r>
              <w:rPr>
                <w:color w:val="B02045"/>
                <w:sz w:val="21"/>
              </w:rPr>
              <w:t>java-driver-mapper-runtime</w:t>
            </w:r>
          </w:p>
        </w:tc>
        <w:tc>
          <w:tcPr>
            <w:tcW w:w="3325" w:type="dxa"/>
          </w:tcPr>
          <w:p w14:paraId="772BDD81" w14:textId="77777777" w:rsidR="00A720EB" w:rsidRDefault="0030286B">
            <w:pPr>
              <w:pStyle w:val="TableParagraph"/>
              <w:spacing w:before="40"/>
              <w:rPr>
                <w:sz w:val="21"/>
              </w:rPr>
            </w:pPr>
            <w:r>
              <w:rPr>
                <w:color w:val="B02045"/>
                <w:sz w:val="21"/>
              </w:rPr>
              <w:t>4.6.1</w:t>
            </w:r>
          </w:p>
        </w:tc>
      </w:tr>
      <w:tr w:rsidR="00A720EB" w14:paraId="12C77B41" w14:textId="77777777">
        <w:trPr>
          <w:trHeight w:val="368"/>
        </w:trPr>
        <w:tc>
          <w:tcPr>
            <w:tcW w:w="3325" w:type="dxa"/>
          </w:tcPr>
          <w:p w14:paraId="1503922B" w14:textId="77777777" w:rsidR="00A720EB" w:rsidRDefault="0030286B">
            <w:pPr>
              <w:pStyle w:val="TableParagraph"/>
              <w:spacing w:before="40"/>
              <w:rPr>
                <w:sz w:val="21"/>
              </w:rPr>
            </w:pPr>
            <w:r>
              <w:rPr>
                <w:color w:val="B02045"/>
                <w:sz w:val="21"/>
              </w:rPr>
              <w:t>com.datastax.oss</w:t>
            </w:r>
          </w:p>
        </w:tc>
        <w:tc>
          <w:tcPr>
            <w:tcW w:w="3325" w:type="dxa"/>
          </w:tcPr>
          <w:p w14:paraId="450B49FF" w14:textId="77777777" w:rsidR="00A720EB" w:rsidRDefault="0030286B">
            <w:pPr>
              <w:pStyle w:val="TableParagraph"/>
              <w:spacing w:before="40"/>
              <w:rPr>
                <w:sz w:val="21"/>
              </w:rPr>
            </w:pPr>
            <w:r>
              <w:rPr>
                <w:color w:val="B02045"/>
                <w:sz w:val="21"/>
              </w:rPr>
              <w:t>java-driver-query-builder</w:t>
            </w:r>
          </w:p>
        </w:tc>
        <w:tc>
          <w:tcPr>
            <w:tcW w:w="3325" w:type="dxa"/>
          </w:tcPr>
          <w:p w14:paraId="5D229553" w14:textId="77777777" w:rsidR="00A720EB" w:rsidRDefault="0030286B">
            <w:pPr>
              <w:pStyle w:val="TableParagraph"/>
              <w:spacing w:before="40"/>
              <w:rPr>
                <w:sz w:val="21"/>
              </w:rPr>
            </w:pPr>
            <w:r>
              <w:rPr>
                <w:color w:val="B02045"/>
                <w:sz w:val="21"/>
              </w:rPr>
              <w:t>4.6.1</w:t>
            </w:r>
          </w:p>
        </w:tc>
      </w:tr>
      <w:tr w:rsidR="00A720EB" w14:paraId="7E456922" w14:textId="77777777">
        <w:trPr>
          <w:trHeight w:val="368"/>
        </w:trPr>
        <w:tc>
          <w:tcPr>
            <w:tcW w:w="3325" w:type="dxa"/>
          </w:tcPr>
          <w:p w14:paraId="09D027E3" w14:textId="77777777" w:rsidR="00A720EB" w:rsidRDefault="0030286B">
            <w:pPr>
              <w:pStyle w:val="TableParagraph"/>
              <w:spacing w:before="40"/>
              <w:rPr>
                <w:sz w:val="21"/>
              </w:rPr>
            </w:pPr>
            <w:r>
              <w:rPr>
                <w:color w:val="B02045"/>
                <w:sz w:val="21"/>
              </w:rPr>
              <w:t>com.datastax.oss</w:t>
            </w:r>
          </w:p>
        </w:tc>
        <w:tc>
          <w:tcPr>
            <w:tcW w:w="3325" w:type="dxa"/>
          </w:tcPr>
          <w:p w14:paraId="1196D695" w14:textId="77777777" w:rsidR="00A720EB" w:rsidRDefault="0030286B">
            <w:pPr>
              <w:pStyle w:val="TableParagraph"/>
              <w:spacing w:before="40"/>
              <w:rPr>
                <w:sz w:val="21"/>
              </w:rPr>
            </w:pPr>
            <w:r>
              <w:rPr>
                <w:color w:val="B02045"/>
                <w:sz w:val="21"/>
              </w:rPr>
              <w:t>java-driver-shaded-guava</w:t>
            </w:r>
          </w:p>
        </w:tc>
        <w:tc>
          <w:tcPr>
            <w:tcW w:w="3325" w:type="dxa"/>
          </w:tcPr>
          <w:p w14:paraId="62B2BE8F" w14:textId="77777777" w:rsidR="00A720EB" w:rsidRDefault="0030286B">
            <w:pPr>
              <w:pStyle w:val="TableParagraph"/>
              <w:spacing w:before="40"/>
              <w:rPr>
                <w:sz w:val="21"/>
              </w:rPr>
            </w:pPr>
            <w:r>
              <w:rPr>
                <w:color w:val="B02045"/>
                <w:sz w:val="21"/>
              </w:rPr>
              <w:t>25.1-jre</w:t>
            </w:r>
          </w:p>
        </w:tc>
      </w:tr>
      <w:tr w:rsidR="00A720EB" w14:paraId="090E9231" w14:textId="77777777">
        <w:trPr>
          <w:trHeight w:val="368"/>
        </w:trPr>
        <w:tc>
          <w:tcPr>
            <w:tcW w:w="3325" w:type="dxa"/>
          </w:tcPr>
          <w:p w14:paraId="47DF40DA" w14:textId="77777777" w:rsidR="00A720EB" w:rsidRDefault="0030286B">
            <w:pPr>
              <w:pStyle w:val="TableParagraph"/>
              <w:spacing w:before="40"/>
              <w:rPr>
                <w:sz w:val="21"/>
              </w:rPr>
            </w:pPr>
            <w:r>
              <w:rPr>
                <w:color w:val="B02045"/>
                <w:sz w:val="21"/>
              </w:rPr>
              <w:t>com.datastax.oss</w:t>
            </w:r>
          </w:p>
        </w:tc>
        <w:tc>
          <w:tcPr>
            <w:tcW w:w="3325" w:type="dxa"/>
          </w:tcPr>
          <w:p w14:paraId="5AC7BCA4" w14:textId="77777777" w:rsidR="00A720EB" w:rsidRDefault="0030286B">
            <w:pPr>
              <w:pStyle w:val="TableParagraph"/>
              <w:spacing w:before="40"/>
              <w:rPr>
                <w:sz w:val="21"/>
              </w:rPr>
            </w:pPr>
            <w:r>
              <w:rPr>
                <w:color w:val="B02045"/>
                <w:sz w:val="21"/>
              </w:rPr>
              <w:t>java-driver-test-infra</w:t>
            </w:r>
          </w:p>
        </w:tc>
        <w:tc>
          <w:tcPr>
            <w:tcW w:w="3325" w:type="dxa"/>
          </w:tcPr>
          <w:p w14:paraId="3B9CCA6D" w14:textId="77777777" w:rsidR="00A720EB" w:rsidRDefault="0030286B">
            <w:pPr>
              <w:pStyle w:val="TableParagraph"/>
              <w:spacing w:before="40"/>
              <w:rPr>
                <w:sz w:val="21"/>
              </w:rPr>
            </w:pPr>
            <w:r>
              <w:rPr>
                <w:color w:val="B02045"/>
                <w:sz w:val="21"/>
              </w:rPr>
              <w:t>4.6.1</w:t>
            </w:r>
          </w:p>
        </w:tc>
      </w:tr>
      <w:tr w:rsidR="00A720EB" w14:paraId="0A0584D4" w14:textId="77777777">
        <w:trPr>
          <w:trHeight w:val="368"/>
        </w:trPr>
        <w:tc>
          <w:tcPr>
            <w:tcW w:w="3325" w:type="dxa"/>
          </w:tcPr>
          <w:p w14:paraId="0F0B0612" w14:textId="77777777" w:rsidR="00A720EB" w:rsidRDefault="0030286B">
            <w:pPr>
              <w:pStyle w:val="TableParagraph"/>
              <w:spacing w:before="40"/>
              <w:rPr>
                <w:sz w:val="21"/>
              </w:rPr>
            </w:pPr>
            <w:r>
              <w:rPr>
                <w:color w:val="B02045"/>
                <w:sz w:val="21"/>
              </w:rPr>
              <w:t>com.datastax.oss</w:t>
            </w:r>
          </w:p>
        </w:tc>
        <w:tc>
          <w:tcPr>
            <w:tcW w:w="3325" w:type="dxa"/>
          </w:tcPr>
          <w:p w14:paraId="34F490B8" w14:textId="77777777" w:rsidR="00A720EB" w:rsidRDefault="0030286B">
            <w:pPr>
              <w:pStyle w:val="TableParagraph"/>
              <w:spacing w:before="40"/>
              <w:rPr>
                <w:sz w:val="21"/>
              </w:rPr>
            </w:pPr>
            <w:r>
              <w:rPr>
                <w:color w:val="B02045"/>
                <w:sz w:val="21"/>
              </w:rPr>
              <w:t>native-protocol</w:t>
            </w:r>
          </w:p>
        </w:tc>
        <w:tc>
          <w:tcPr>
            <w:tcW w:w="3325" w:type="dxa"/>
          </w:tcPr>
          <w:p w14:paraId="2560B4D1" w14:textId="77777777" w:rsidR="00A720EB" w:rsidRDefault="0030286B">
            <w:pPr>
              <w:pStyle w:val="TableParagraph"/>
              <w:spacing w:before="40"/>
              <w:rPr>
                <w:sz w:val="21"/>
              </w:rPr>
            </w:pPr>
            <w:r>
              <w:rPr>
                <w:color w:val="B02045"/>
                <w:sz w:val="21"/>
              </w:rPr>
              <w:t>1.4.10</w:t>
            </w:r>
          </w:p>
        </w:tc>
      </w:tr>
      <w:tr w:rsidR="00A720EB" w14:paraId="7E7BB5D7" w14:textId="77777777">
        <w:trPr>
          <w:trHeight w:val="368"/>
        </w:trPr>
        <w:tc>
          <w:tcPr>
            <w:tcW w:w="3325" w:type="dxa"/>
          </w:tcPr>
          <w:p w14:paraId="10C576C2" w14:textId="77777777" w:rsidR="00A720EB" w:rsidRDefault="0030286B">
            <w:pPr>
              <w:pStyle w:val="TableParagraph"/>
              <w:spacing w:before="40"/>
              <w:rPr>
                <w:sz w:val="21"/>
              </w:rPr>
            </w:pPr>
            <w:proofErr w:type="gramStart"/>
            <w:r>
              <w:rPr>
                <w:color w:val="B02045"/>
                <w:sz w:val="21"/>
              </w:rPr>
              <w:t>com.fasterxml</w:t>
            </w:r>
            <w:proofErr w:type="gramEnd"/>
          </w:p>
        </w:tc>
        <w:tc>
          <w:tcPr>
            <w:tcW w:w="3325" w:type="dxa"/>
          </w:tcPr>
          <w:p w14:paraId="0269BDBB" w14:textId="77777777" w:rsidR="00A720EB" w:rsidRDefault="0030286B">
            <w:pPr>
              <w:pStyle w:val="TableParagraph"/>
              <w:spacing w:before="40"/>
              <w:rPr>
                <w:sz w:val="21"/>
              </w:rPr>
            </w:pPr>
            <w:r>
              <w:rPr>
                <w:color w:val="B02045"/>
                <w:sz w:val="21"/>
              </w:rPr>
              <w:t>classmate</w:t>
            </w:r>
          </w:p>
        </w:tc>
        <w:tc>
          <w:tcPr>
            <w:tcW w:w="3325" w:type="dxa"/>
          </w:tcPr>
          <w:p w14:paraId="2DA06CD3" w14:textId="77777777" w:rsidR="00A720EB" w:rsidRDefault="0030286B">
            <w:pPr>
              <w:pStyle w:val="TableParagraph"/>
              <w:spacing w:before="40"/>
              <w:rPr>
                <w:sz w:val="21"/>
              </w:rPr>
            </w:pPr>
            <w:r>
              <w:rPr>
                <w:color w:val="B02045"/>
                <w:sz w:val="21"/>
              </w:rPr>
              <w:t>1.5.1</w:t>
            </w:r>
          </w:p>
        </w:tc>
      </w:tr>
      <w:tr w:rsidR="00A720EB" w14:paraId="21CDF838" w14:textId="77777777">
        <w:trPr>
          <w:trHeight w:val="368"/>
        </w:trPr>
        <w:tc>
          <w:tcPr>
            <w:tcW w:w="3325" w:type="dxa"/>
          </w:tcPr>
          <w:p w14:paraId="6AFBEC1E" w14:textId="77777777" w:rsidR="00A720EB" w:rsidRDefault="0030286B">
            <w:pPr>
              <w:pStyle w:val="TableParagraph"/>
              <w:spacing w:before="40"/>
              <w:rPr>
                <w:sz w:val="21"/>
              </w:rPr>
            </w:pPr>
            <w:proofErr w:type="gramStart"/>
            <w:r>
              <w:rPr>
                <w:color w:val="B02045"/>
                <w:sz w:val="21"/>
              </w:rPr>
              <w:t>com.fasterxml</w:t>
            </w:r>
            <w:proofErr w:type="gramEnd"/>
            <w:r>
              <w:rPr>
                <w:color w:val="B02045"/>
                <w:sz w:val="21"/>
              </w:rPr>
              <w:t>.jackson.core</w:t>
            </w:r>
          </w:p>
        </w:tc>
        <w:tc>
          <w:tcPr>
            <w:tcW w:w="3325" w:type="dxa"/>
          </w:tcPr>
          <w:p w14:paraId="5D9E3435" w14:textId="77777777" w:rsidR="00A720EB" w:rsidRDefault="0030286B">
            <w:pPr>
              <w:pStyle w:val="TableParagraph"/>
              <w:spacing w:before="40"/>
              <w:rPr>
                <w:sz w:val="21"/>
              </w:rPr>
            </w:pPr>
            <w:r>
              <w:rPr>
                <w:color w:val="B02045"/>
                <w:sz w:val="21"/>
              </w:rPr>
              <w:t>jackson-annotations</w:t>
            </w:r>
          </w:p>
        </w:tc>
        <w:tc>
          <w:tcPr>
            <w:tcW w:w="3325" w:type="dxa"/>
          </w:tcPr>
          <w:p w14:paraId="1945B218" w14:textId="77777777" w:rsidR="00A720EB" w:rsidRDefault="0030286B">
            <w:pPr>
              <w:pStyle w:val="TableParagraph"/>
              <w:spacing w:before="40"/>
              <w:rPr>
                <w:sz w:val="21"/>
              </w:rPr>
            </w:pPr>
            <w:r>
              <w:rPr>
                <w:color w:val="B02045"/>
                <w:sz w:val="21"/>
              </w:rPr>
              <w:t>2.11.2</w:t>
            </w:r>
          </w:p>
        </w:tc>
      </w:tr>
      <w:tr w:rsidR="00A720EB" w14:paraId="59BF227B" w14:textId="77777777">
        <w:trPr>
          <w:trHeight w:val="368"/>
        </w:trPr>
        <w:tc>
          <w:tcPr>
            <w:tcW w:w="3325" w:type="dxa"/>
          </w:tcPr>
          <w:p w14:paraId="75B84A57" w14:textId="77777777" w:rsidR="00A720EB" w:rsidRDefault="0030286B">
            <w:pPr>
              <w:pStyle w:val="TableParagraph"/>
              <w:spacing w:before="40"/>
              <w:rPr>
                <w:sz w:val="21"/>
              </w:rPr>
            </w:pPr>
            <w:proofErr w:type="gramStart"/>
            <w:r>
              <w:rPr>
                <w:color w:val="B02045"/>
                <w:sz w:val="21"/>
              </w:rPr>
              <w:t>com.fasterxml</w:t>
            </w:r>
            <w:proofErr w:type="gramEnd"/>
            <w:r>
              <w:rPr>
                <w:color w:val="B02045"/>
                <w:sz w:val="21"/>
              </w:rPr>
              <w:t>.jackson.core</w:t>
            </w:r>
          </w:p>
        </w:tc>
        <w:tc>
          <w:tcPr>
            <w:tcW w:w="3325" w:type="dxa"/>
          </w:tcPr>
          <w:p w14:paraId="3A08EF2E" w14:textId="77777777" w:rsidR="00A720EB" w:rsidRDefault="0030286B">
            <w:pPr>
              <w:pStyle w:val="TableParagraph"/>
              <w:spacing w:before="40"/>
              <w:rPr>
                <w:sz w:val="21"/>
              </w:rPr>
            </w:pPr>
            <w:r>
              <w:rPr>
                <w:color w:val="B02045"/>
                <w:sz w:val="21"/>
              </w:rPr>
              <w:t>jackson-core</w:t>
            </w:r>
          </w:p>
        </w:tc>
        <w:tc>
          <w:tcPr>
            <w:tcW w:w="3325" w:type="dxa"/>
          </w:tcPr>
          <w:p w14:paraId="03CC900E" w14:textId="77777777" w:rsidR="00A720EB" w:rsidRDefault="0030286B">
            <w:pPr>
              <w:pStyle w:val="TableParagraph"/>
              <w:spacing w:before="40"/>
              <w:rPr>
                <w:sz w:val="21"/>
              </w:rPr>
            </w:pPr>
            <w:r>
              <w:rPr>
                <w:color w:val="B02045"/>
                <w:sz w:val="21"/>
              </w:rPr>
              <w:t>2.11.2</w:t>
            </w:r>
          </w:p>
        </w:tc>
      </w:tr>
      <w:tr w:rsidR="00A720EB" w14:paraId="2F7B066A" w14:textId="77777777">
        <w:trPr>
          <w:trHeight w:val="368"/>
        </w:trPr>
        <w:tc>
          <w:tcPr>
            <w:tcW w:w="3325" w:type="dxa"/>
          </w:tcPr>
          <w:p w14:paraId="149AA7C5" w14:textId="77777777" w:rsidR="00A720EB" w:rsidRDefault="0030286B">
            <w:pPr>
              <w:pStyle w:val="TableParagraph"/>
              <w:spacing w:before="40"/>
              <w:rPr>
                <w:sz w:val="21"/>
              </w:rPr>
            </w:pPr>
            <w:proofErr w:type="gramStart"/>
            <w:r>
              <w:rPr>
                <w:color w:val="B02045"/>
                <w:sz w:val="21"/>
              </w:rPr>
              <w:t>com.fasterxml</w:t>
            </w:r>
            <w:proofErr w:type="gramEnd"/>
            <w:r>
              <w:rPr>
                <w:color w:val="B02045"/>
                <w:sz w:val="21"/>
              </w:rPr>
              <w:t>.jackson.core</w:t>
            </w:r>
          </w:p>
        </w:tc>
        <w:tc>
          <w:tcPr>
            <w:tcW w:w="3325" w:type="dxa"/>
          </w:tcPr>
          <w:p w14:paraId="0C22F74D" w14:textId="77777777" w:rsidR="00A720EB" w:rsidRDefault="0030286B">
            <w:pPr>
              <w:pStyle w:val="TableParagraph"/>
              <w:spacing w:before="40"/>
              <w:rPr>
                <w:sz w:val="21"/>
              </w:rPr>
            </w:pPr>
            <w:r>
              <w:rPr>
                <w:color w:val="B02045"/>
                <w:sz w:val="21"/>
              </w:rPr>
              <w:t>jackson-databind</w:t>
            </w:r>
          </w:p>
        </w:tc>
        <w:tc>
          <w:tcPr>
            <w:tcW w:w="3325" w:type="dxa"/>
          </w:tcPr>
          <w:p w14:paraId="34760A6F" w14:textId="77777777" w:rsidR="00A720EB" w:rsidRDefault="0030286B">
            <w:pPr>
              <w:pStyle w:val="TableParagraph"/>
              <w:spacing w:before="40"/>
              <w:rPr>
                <w:sz w:val="21"/>
              </w:rPr>
            </w:pPr>
            <w:r>
              <w:rPr>
                <w:color w:val="B02045"/>
                <w:sz w:val="21"/>
              </w:rPr>
              <w:t>2.11.2</w:t>
            </w:r>
          </w:p>
        </w:tc>
      </w:tr>
      <w:tr w:rsidR="00A720EB" w14:paraId="02102505" w14:textId="77777777">
        <w:trPr>
          <w:trHeight w:val="627"/>
        </w:trPr>
        <w:tc>
          <w:tcPr>
            <w:tcW w:w="3325" w:type="dxa"/>
          </w:tcPr>
          <w:p w14:paraId="1DB1CBEE"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48E91E83" w14:textId="77777777" w:rsidR="00A720EB" w:rsidRDefault="0030286B">
            <w:pPr>
              <w:pStyle w:val="TableParagraph"/>
              <w:spacing w:before="40"/>
              <w:rPr>
                <w:sz w:val="21"/>
              </w:rPr>
            </w:pPr>
            <w:r>
              <w:rPr>
                <w:color w:val="B02045"/>
                <w:sz w:val="21"/>
              </w:rPr>
              <w:t>jackson-dataformat-avro</w:t>
            </w:r>
          </w:p>
        </w:tc>
        <w:tc>
          <w:tcPr>
            <w:tcW w:w="3325" w:type="dxa"/>
          </w:tcPr>
          <w:p w14:paraId="32445225" w14:textId="77777777" w:rsidR="00A720EB" w:rsidRDefault="0030286B">
            <w:pPr>
              <w:pStyle w:val="TableParagraph"/>
              <w:spacing w:before="40"/>
              <w:rPr>
                <w:sz w:val="21"/>
              </w:rPr>
            </w:pPr>
            <w:r>
              <w:rPr>
                <w:color w:val="B02045"/>
                <w:sz w:val="21"/>
              </w:rPr>
              <w:t>2.11.2</w:t>
            </w:r>
          </w:p>
        </w:tc>
      </w:tr>
      <w:tr w:rsidR="00A720EB" w14:paraId="16F0173A" w14:textId="77777777">
        <w:trPr>
          <w:trHeight w:val="627"/>
        </w:trPr>
        <w:tc>
          <w:tcPr>
            <w:tcW w:w="3325" w:type="dxa"/>
          </w:tcPr>
          <w:p w14:paraId="4068E08C"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127B2964" w14:textId="77777777" w:rsidR="00A720EB" w:rsidRDefault="0030286B">
            <w:pPr>
              <w:pStyle w:val="TableParagraph"/>
              <w:spacing w:before="40"/>
              <w:rPr>
                <w:sz w:val="21"/>
              </w:rPr>
            </w:pPr>
            <w:r>
              <w:rPr>
                <w:color w:val="B02045"/>
                <w:sz w:val="21"/>
              </w:rPr>
              <w:t>jackson-dataformat-cbor</w:t>
            </w:r>
          </w:p>
        </w:tc>
        <w:tc>
          <w:tcPr>
            <w:tcW w:w="3325" w:type="dxa"/>
          </w:tcPr>
          <w:p w14:paraId="19EF933C" w14:textId="77777777" w:rsidR="00A720EB" w:rsidRDefault="0030286B">
            <w:pPr>
              <w:pStyle w:val="TableParagraph"/>
              <w:spacing w:before="40"/>
              <w:rPr>
                <w:sz w:val="21"/>
              </w:rPr>
            </w:pPr>
            <w:r>
              <w:rPr>
                <w:color w:val="B02045"/>
                <w:sz w:val="21"/>
              </w:rPr>
              <w:t>2.11.2</w:t>
            </w:r>
          </w:p>
        </w:tc>
      </w:tr>
      <w:tr w:rsidR="00A720EB" w14:paraId="531082AE" w14:textId="77777777">
        <w:trPr>
          <w:trHeight w:val="627"/>
        </w:trPr>
        <w:tc>
          <w:tcPr>
            <w:tcW w:w="3325" w:type="dxa"/>
          </w:tcPr>
          <w:p w14:paraId="13B7C8EA"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0CA37F5E" w14:textId="77777777" w:rsidR="00A720EB" w:rsidRDefault="0030286B">
            <w:pPr>
              <w:pStyle w:val="TableParagraph"/>
              <w:spacing w:before="40"/>
              <w:rPr>
                <w:sz w:val="21"/>
              </w:rPr>
            </w:pPr>
            <w:r>
              <w:rPr>
                <w:color w:val="B02045"/>
                <w:sz w:val="21"/>
              </w:rPr>
              <w:t>jackson-dataformat-csv</w:t>
            </w:r>
          </w:p>
        </w:tc>
        <w:tc>
          <w:tcPr>
            <w:tcW w:w="3325" w:type="dxa"/>
          </w:tcPr>
          <w:p w14:paraId="775A0220" w14:textId="77777777" w:rsidR="00A720EB" w:rsidRDefault="0030286B">
            <w:pPr>
              <w:pStyle w:val="TableParagraph"/>
              <w:spacing w:before="40"/>
              <w:rPr>
                <w:sz w:val="21"/>
              </w:rPr>
            </w:pPr>
            <w:r>
              <w:rPr>
                <w:color w:val="B02045"/>
                <w:sz w:val="21"/>
              </w:rPr>
              <w:t>2.11.2</w:t>
            </w:r>
          </w:p>
        </w:tc>
      </w:tr>
      <w:tr w:rsidR="00A720EB" w14:paraId="0812D77C" w14:textId="77777777">
        <w:trPr>
          <w:trHeight w:val="627"/>
        </w:trPr>
        <w:tc>
          <w:tcPr>
            <w:tcW w:w="3325" w:type="dxa"/>
          </w:tcPr>
          <w:p w14:paraId="3B722D32"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263CA4CB" w14:textId="77777777" w:rsidR="00A720EB" w:rsidRDefault="0030286B">
            <w:pPr>
              <w:pStyle w:val="TableParagraph"/>
              <w:spacing w:before="40"/>
              <w:rPr>
                <w:sz w:val="21"/>
              </w:rPr>
            </w:pPr>
            <w:r>
              <w:rPr>
                <w:color w:val="B02045"/>
                <w:sz w:val="21"/>
              </w:rPr>
              <w:t>jackson-dataformat-ion</w:t>
            </w:r>
          </w:p>
        </w:tc>
        <w:tc>
          <w:tcPr>
            <w:tcW w:w="3325" w:type="dxa"/>
          </w:tcPr>
          <w:p w14:paraId="7F8ABA1D" w14:textId="77777777" w:rsidR="00A720EB" w:rsidRDefault="0030286B">
            <w:pPr>
              <w:pStyle w:val="TableParagraph"/>
              <w:spacing w:before="40"/>
              <w:rPr>
                <w:sz w:val="21"/>
              </w:rPr>
            </w:pPr>
            <w:r>
              <w:rPr>
                <w:color w:val="B02045"/>
                <w:sz w:val="21"/>
              </w:rPr>
              <w:t>2.11.2</w:t>
            </w:r>
          </w:p>
        </w:tc>
      </w:tr>
      <w:tr w:rsidR="00A720EB" w14:paraId="21786893" w14:textId="77777777">
        <w:trPr>
          <w:trHeight w:val="627"/>
        </w:trPr>
        <w:tc>
          <w:tcPr>
            <w:tcW w:w="3325" w:type="dxa"/>
          </w:tcPr>
          <w:p w14:paraId="55E167B8"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4354D61C" w14:textId="77777777" w:rsidR="00A720EB" w:rsidRDefault="0030286B">
            <w:pPr>
              <w:pStyle w:val="TableParagraph"/>
              <w:spacing w:before="40"/>
              <w:rPr>
                <w:sz w:val="21"/>
              </w:rPr>
            </w:pPr>
            <w:r>
              <w:rPr>
                <w:color w:val="B02045"/>
                <w:sz w:val="21"/>
              </w:rPr>
              <w:t>jackson-dataformat-properties</w:t>
            </w:r>
          </w:p>
        </w:tc>
        <w:tc>
          <w:tcPr>
            <w:tcW w:w="3325" w:type="dxa"/>
          </w:tcPr>
          <w:p w14:paraId="28A6C8F7" w14:textId="77777777" w:rsidR="00A720EB" w:rsidRDefault="0030286B">
            <w:pPr>
              <w:pStyle w:val="TableParagraph"/>
              <w:spacing w:before="40"/>
              <w:rPr>
                <w:sz w:val="21"/>
              </w:rPr>
            </w:pPr>
            <w:r>
              <w:rPr>
                <w:color w:val="B02045"/>
                <w:sz w:val="21"/>
              </w:rPr>
              <w:t>2.11.2</w:t>
            </w:r>
          </w:p>
        </w:tc>
      </w:tr>
      <w:tr w:rsidR="00A720EB" w14:paraId="17918518" w14:textId="77777777">
        <w:trPr>
          <w:trHeight w:val="627"/>
        </w:trPr>
        <w:tc>
          <w:tcPr>
            <w:tcW w:w="3325" w:type="dxa"/>
          </w:tcPr>
          <w:p w14:paraId="235095C3"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658E22D1" w14:textId="77777777" w:rsidR="00A720EB" w:rsidRDefault="0030286B">
            <w:pPr>
              <w:pStyle w:val="TableParagraph"/>
              <w:spacing w:before="40"/>
              <w:rPr>
                <w:sz w:val="21"/>
              </w:rPr>
            </w:pPr>
            <w:r>
              <w:rPr>
                <w:color w:val="B02045"/>
                <w:sz w:val="21"/>
              </w:rPr>
              <w:t>jackson-dataformat-protobuf</w:t>
            </w:r>
          </w:p>
        </w:tc>
        <w:tc>
          <w:tcPr>
            <w:tcW w:w="3325" w:type="dxa"/>
          </w:tcPr>
          <w:p w14:paraId="18DAA8FC" w14:textId="77777777" w:rsidR="00A720EB" w:rsidRDefault="0030286B">
            <w:pPr>
              <w:pStyle w:val="TableParagraph"/>
              <w:spacing w:before="40"/>
              <w:rPr>
                <w:sz w:val="21"/>
              </w:rPr>
            </w:pPr>
            <w:r>
              <w:rPr>
                <w:color w:val="B02045"/>
                <w:sz w:val="21"/>
              </w:rPr>
              <w:t>2.11.2</w:t>
            </w:r>
          </w:p>
        </w:tc>
      </w:tr>
      <w:tr w:rsidR="00A720EB" w14:paraId="74DC917B" w14:textId="77777777">
        <w:trPr>
          <w:trHeight w:val="627"/>
        </w:trPr>
        <w:tc>
          <w:tcPr>
            <w:tcW w:w="3325" w:type="dxa"/>
          </w:tcPr>
          <w:p w14:paraId="44ABB060"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099A37BB" w14:textId="77777777" w:rsidR="00A720EB" w:rsidRDefault="0030286B">
            <w:pPr>
              <w:pStyle w:val="TableParagraph"/>
              <w:spacing w:before="40"/>
              <w:rPr>
                <w:sz w:val="21"/>
              </w:rPr>
            </w:pPr>
            <w:r>
              <w:rPr>
                <w:color w:val="B02045"/>
                <w:sz w:val="21"/>
              </w:rPr>
              <w:t>jackson-dataformat-smile</w:t>
            </w:r>
          </w:p>
        </w:tc>
        <w:tc>
          <w:tcPr>
            <w:tcW w:w="3325" w:type="dxa"/>
          </w:tcPr>
          <w:p w14:paraId="7C58C723" w14:textId="77777777" w:rsidR="00A720EB" w:rsidRDefault="0030286B">
            <w:pPr>
              <w:pStyle w:val="TableParagraph"/>
              <w:spacing w:before="40"/>
              <w:rPr>
                <w:sz w:val="21"/>
              </w:rPr>
            </w:pPr>
            <w:r>
              <w:rPr>
                <w:color w:val="B02045"/>
                <w:sz w:val="21"/>
              </w:rPr>
              <w:t>2.11.2</w:t>
            </w:r>
          </w:p>
        </w:tc>
      </w:tr>
      <w:tr w:rsidR="00A720EB" w14:paraId="0A79D6B7" w14:textId="77777777">
        <w:trPr>
          <w:trHeight w:val="627"/>
        </w:trPr>
        <w:tc>
          <w:tcPr>
            <w:tcW w:w="3325" w:type="dxa"/>
          </w:tcPr>
          <w:p w14:paraId="4CC620FB"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67EC1C6A" w14:textId="77777777" w:rsidR="00A720EB" w:rsidRDefault="0030286B">
            <w:pPr>
              <w:pStyle w:val="TableParagraph"/>
              <w:spacing w:before="40"/>
              <w:rPr>
                <w:sz w:val="21"/>
              </w:rPr>
            </w:pPr>
            <w:r>
              <w:rPr>
                <w:color w:val="B02045"/>
                <w:sz w:val="21"/>
              </w:rPr>
              <w:t>jackson-dataformat-xml</w:t>
            </w:r>
          </w:p>
        </w:tc>
        <w:tc>
          <w:tcPr>
            <w:tcW w:w="3325" w:type="dxa"/>
          </w:tcPr>
          <w:p w14:paraId="680B098A" w14:textId="77777777" w:rsidR="00A720EB" w:rsidRDefault="0030286B">
            <w:pPr>
              <w:pStyle w:val="TableParagraph"/>
              <w:spacing w:before="40"/>
              <w:rPr>
                <w:sz w:val="21"/>
              </w:rPr>
            </w:pPr>
            <w:r>
              <w:rPr>
                <w:color w:val="B02045"/>
                <w:sz w:val="21"/>
              </w:rPr>
              <w:t>2.11.2</w:t>
            </w:r>
          </w:p>
        </w:tc>
      </w:tr>
      <w:tr w:rsidR="00A720EB" w14:paraId="008D12D4" w14:textId="77777777">
        <w:trPr>
          <w:trHeight w:val="627"/>
        </w:trPr>
        <w:tc>
          <w:tcPr>
            <w:tcW w:w="3325" w:type="dxa"/>
          </w:tcPr>
          <w:p w14:paraId="7F2EED50" w14:textId="77777777" w:rsidR="00A720EB" w:rsidRDefault="0030286B">
            <w:pPr>
              <w:pStyle w:val="TableParagraph"/>
              <w:spacing w:before="49" w:line="230" w:lineRule="auto"/>
              <w:ind w:right="85"/>
              <w:rPr>
                <w:sz w:val="21"/>
              </w:rPr>
            </w:pPr>
            <w:proofErr w:type="gramStart"/>
            <w:r>
              <w:rPr>
                <w:color w:val="B02045"/>
                <w:sz w:val="21"/>
              </w:rPr>
              <w:t>com.fasterxml</w:t>
            </w:r>
            <w:proofErr w:type="gramEnd"/>
            <w:r>
              <w:rPr>
                <w:color w:val="B02045"/>
                <w:sz w:val="21"/>
              </w:rPr>
              <w:t>.jackson.dataform at</w:t>
            </w:r>
          </w:p>
        </w:tc>
        <w:tc>
          <w:tcPr>
            <w:tcW w:w="3325" w:type="dxa"/>
          </w:tcPr>
          <w:p w14:paraId="4653172A" w14:textId="77777777" w:rsidR="00A720EB" w:rsidRDefault="0030286B">
            <w:pPr>
              <w:pStyle w:val="TableParagraph"/>
              <w:spacing w:before="40"/>
              <w:rPr>
                <w:sz w:val="21"/>
              </w:rPr>
            </w:pPr>
            <w:r>
              <w:rPr>
                <w:color w:val="B02045"/>
                <w:sz w:val="21"/>
              </w:rPr>
              <w:t>jackson-dataformat-yaml</w:t>
            </w:r>
          </w:p>
        </w:tc>
        <w:tc>
          <w:tcPr>
            <w:tcW w:w="3325" w:type="dxa"/>
          </w:tcPr>
          <w:p w14:paraId="7CAC7EE5" w14:textId="77777777" w:rsidR="00A720EB" w:rsidRDefault="0030286B">
            <w:pPr>
              <w:pStyle w:val="TableParagraph"/>
              <w:spacing w:before="40"/>
              <w:rPr>
                <w:sz w:val="21"/>
              </w:rPr>
            </w:pPr>
            <w:r>
              <w:rPr>
                <w:color w:val="B02045"/>
                <w:sz w:val="21"/>
              </w:rPr>
              <w:t>2.11.2</w:t>
            </w:r>
          </w:p>
        </w:tc>
      </w:tr>
    </w:tbl>
    <w:p w14:paraId="3F17F767" w14:textId="77777777" w:rsidR="00A720EB" w:rsidRDefault="00A720EB">
      <w:pPr>
        <w:rPr>
          <w:sz w:val="21"/>
        </w:rPr>
        <w:sectPr w:rsidR="00A720EB">
          <w:pgSz w:w="11910" w:h="16840"/>
          <w:pgMar w:top="620" w:right="840" w:bottom="52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3DC7D03A" w14:textId="77777777">
        <w:trPr>
          <w:trHeight w:val="415"/>
        </w:trPr>
        <w:tc>
          <w:tcPr>
            <w:tcW w:w="3325" w:type="dxa"/>
            <w:tcBorders>
              <w:bottom w:val="single" w:sz="12" w:space="0" w:color="DDDDDD"/>
            </w:tcBorders>
          </w:tcPr>
          <w:p w14:paraId="157B0097"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2AD25B73"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630B2643"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77BEA337" w14:textId="77777777">
        <w:trPr>
          <w:trHeight w:val="617"/>
        </w:trPr>
        <w:tc>
          <w:tcPr>
            <w:tcW w:w="3325" w:type="dxa"/>
            <w:tcBorders>
              <w:top w:val="single" w:sz="12" w:space="0" w:color="DDDDDD"/>
            </w:tcBorders>
          </w:tcPr>
          <w:p w14:paraId="358C0C86" w14:textId="77777777" w:rsidR="00A720EB" w:rsidRDefault="0030286B">
            <w:pPr>
              <w:pStyle w:val="TableParagraph"/>
              <w:spacing w:before="27"/>
              <w:rPr>
                <w:sz w:val="21"/>
              </w:rPr>
            </w:pPr>
            <w:proofErr w:type="gramStart"/>
            <w:r>
              <w:rPr>
                <w:color w:val="B02045"/>
                <w:sz w:val="21"/>
              </w:rPr>
              <w:t>com.fasterxml</w:t>
            </w:r>
            <w:proofErr w:type="gramEnd"/>
            <w:r>
              <w:rPr>
                <w:color w:val="B02045"/>
                <w:sz w:val="21"/>
              </w:rPr>
              <w:t>.jackson.datatype</w:t>
            </w:r>
          </w:p>
        </w:tc>
        <w:tc>
          <w:tcPr>
            <w:tcW w:w="3325" w:type="dxa"/>
            <w:tcBorders>
              <w:top w:val="single" w:sz="12" w:space="0" w:color="DDDDDD"/>
            </w:tcBorders>
          </w:tcPr>
          <w:p w14:paraId="58C94725" w14:textId="77777777" w:rsidR="00A720EB" w:rsidRDefault="0030286B">
            <w:pPr>
              <w:pStyle w:val="TableParagraph"/>
              <w:spacing w:before="36" w:line="230" w:lineRule="auto"/>
              <w:ind w:right="610"/>
              <w:rPr>
                <w:sz w:val="21"/>
              </w:rPr>
            </w:pPr>
            <w:r>
              <w:rPr>
                <w:color w:val="B02045"/>
                <w:sz w:val="21"/>
              </w:rPr>
              <w:t>jackson-datatype-eclipse- collections</w:t>
            </w:r>
          </w:p>
        </w:tc>
        <w:tc>
          <w:tcPr>
            <w:tcW w:w="3325" w:type="dxa"/>
            <w:tcBorders>
              <w:top w:val="single" w:sz="12" w:space="0" w:color="DDDDDD"/>
            </w:tcBorders>
          </w:tcPr>
          <w:p w14:paraId="3CBB47CF" w14:textId="77777777" w:rsidR="00A720EB" w:rsidRDefault="0030286B">
            <w:pPr>
              <w:pStyle w:val="TableParagraph"/>
              <w:spacing w:before="27"/>
              <w:rPr>
                <w:sz w:val="21"/>
              </w:rPr>
            </w:pPr>
            <w:r>
              <w:rPr>
                <w:color w:val="B02045"/>
                <w:sz w:val="21"/>
              </w:rPr>
              <w:t>2.11.2</w:t>
            </w:r>
          </w:p>
        </w:tc>
      </w:tr>
      <w:tr w:rsidR="00A720EB" w14:paraId="62C10252" w14:textId="77777777">
        <w:trPr>
          <w:trHeight w:val="368"/>
        </w:trPr>
        <w:tc>
          <w:tcPr>
            <w:tcW w:w="3325" w:type="dxa"/>
          </w:tcPr>
          <w:p w14:paraId="67887F12"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.jackson.datatype</w:t>
            </w:r>
          </w:p>
        </w:tc>
        <w:tc>
          <w:tcPr>
            <w:tcW w:w="3325" w:type="dxa"/>
          </w:tcPr>
          <w:p w14:paraId="7A7FCCBF" w14:textId="77777777" w:rsidR="00A720EB" w:rsidRDefault="0030286B">
            <w:pPr>
              <w:pStyle w:val="TableParagraph"/>
              <w:spacing w:before="37"/>
              <w:rPr>
                <w:sz w:val="21"/>
              </w:rPr>
            </w:pPr>
            <w:r>
              <w:rPr>
                <w:color w:val="B02045"/>
                <w:sz w:val="21"/>
              </w:rPr>
              <w:t>jackson-datatype-guava</w:t>
            </w:r>
          </w:p>
        </w:tc>
        <w:tc>
          <w:tcPr>
            <w:tcW w:w="3325" w:type="dxa"/>
          </w:tcPr>
          <w:p w14:paraId="13DEBB38" w14:textId="77777777" w:rsidR="00A720EB" w:rsidRDefault="0030286B">
            <w:pPr>
              <w:pStyle w:val="TableParagraph"/>
              <w:spacing w:before="37"/>
              <w:rPr>
                <w:sz w:val="21"/>
              </w:rPr>
            </w:pPr>
            <w:r>
              <w:rPr>
                <w:color w:val="B02045"/>
                <w:sz w:val="21"/>
              </w:rPr>
              <w:t>2.11.2</w:t>
            </w:r>
          </w:p>
        </w:tc>
      </w:tr>
      <w:tr w:rsidR="00A720EB" w14:paraId="4F36E401" w14:textId="77777777">
        <w:trPr>
          <w:trHeight w:val="368"/>
        </w:trPr>
        <w:tc>
          <w:tcPr>
            <w:tcW w:w="3325" w:type="dxa"/>
          </w:tcPr>
          <w:p w14:paraId="2182FFB9" w14:textId="77777777" w:rsidR="00A720EB" w:rsidRDefault="0030286B">
            <w:pPr>
              <w:pStyle w:val="TableParagraph"/>
              <w:rPr>
                <w:sz w:val="21"/>
              </w:rPr>
            </w:pPr>
            <w:proofErr w:type="gramStart"/>
            <w:r>
              <w:rPr>
                <w:color w:val="B02045"/>
                <w:sz w:val="21"/>
              </w:rPr>
              <w:t>com.fasterxml</w:t>
            </w:r>
            <w:proofErr w:type="gramEnd"/>
            <w:r>
              <w:rPr>
                <w:color w:val="B02045"/>
                <w:sz w:val="21"/>
              </w:rPr>
              <w:t>.jackson.datatype</w:t>
            </w:r>
          </w:p>
        </w:tc>
        <w:tc>
          <w:tcPr>
            <w:tcW w:w="3325" w:type="dxa"/>
          </w:tcPr>
          <w:p w14:paraId="39992051" w14:textId="77777777" w:rsidR="00A720EB" w:rsidRDefault="0030286B">
            <w:pPr>
              <w:pStyle w:val="TableParagraph"/>
              <w:rPr>
                <w:sz w:val="21"/>
              </w:rPr>
            </w:pPr>
            <w:r>
              <w:rPr>
                <w:color w:val="B02045"/>
                <w:sz w:val="21"/>
              </w:rPr>
              <w:t>jackson-datatype-hibernate3</w:t>
            </w:r>
          </w:p>
        </w:tc>
        <w:tc>
          <w:tcPr>
            <w:tcW w:w="3325" w:type="dxa"/>
          </w:tcPr>
          <w:p w14:paraId="4279A189" w14:textId="77777777" w:rsidR="00A720EB" w:rsidRDefault="0030286B">
            <w:pPr>
              <w:pStyle w:val="TableParagraph"/>
              <w:rPr>
                <w:sz w:val="21"/>
              </w:rPr>
            </w:pPr>
            <w:r>
              <w:rPr>
                <w:color w:val="B02045"/>
                <w:sz w:val="21"/>
              </w:rPr>
              <w:t>2.11.2</w:t>
            </w:r>
          </w:p>
        </w:tc>
      </w:tr>
      <w:tr w:rsidR="00A720EB" w14:paraId="7E6D629F" w14:textId="77777777">
        <w:trPr>
          <w:trHeight w:val="368"/>
        </w:trPr>
        <w:tc>
          <w:tcPr>
            <w:tcW w:w="3325" w:type="dxa"/>
          </w:tcPr>
          <w:p w14:paraId="07D5CF09" w14:textId="77777777" w:rsidR="00A720EB" w:rsidRDefault="0030286B">
            <w:pPr>
              <w:pStyle w:val="TableParagraph"/>
              <w:rPr>
                <w:sz w:val="21"/>
              </w:rPr>
            </w:pPr>
            <w:proofErr w:type="gramStart"/>
            <w:r>
              <w:rPr>
                <w:color w:val="B02045"/>
                <w:sz w:val="21"/>
              </w:rPr>
              <w:t>com.fasterxml</w:t>
            </w:r>
            <w:proofErr w:type="gramEnd"/>
            <w:r>
              <w:rPr>
                <w:color w:val="B02045"/>
                <w:sz w:val="21"/>
              </w:rPr>
              <w:t>.jackson.datatype</w:t>
            </w:r>
          </w:p>
        </w:tc>
        <w:tc>
          <w:tcPr>
            <w:tcW w:w="3325" w:type="dxa"/>
          </w:tcPr>
          <w:p w14:paraId="3074497D" w14:textId="77777777" w:rsidR="00A720EB" w:rsidRDefault="0030286B">
            <w:pPr>
              <w:pStyle w:val="TableParagraph"/>
              <w:rPr>
                <w:sz w:val="21"/>
              </w:rPr>
            </w:pPr>
            <w:r>
              <w:rPr>
                <w:color w:val="B02045"/>
                <w:sz w:val="21"/>
              </w:rPr>
              <w:t>jackson-datatype-hibernate4</w:t>
            </w:r>
          </w:p>
        </w:tc>
        <w:tc>
          <w:tcPr>
            <w:tcW w:w="3325" w:type="dxa"/>
          </w:tcPr>
          <w:p w14:paraId="7834033E" w14:textId="77777777" w:rsidR="00A720EB" w:rsidRDefault="0030286B">
            <w:pPr>
              <w:pStyle w:val="TableParagraph"/>
              <w:rPr>
                <w:sz w:val="21"/>
              </w:rPr>
            </w:pPr>
            <w:r>
              <w:rPr>
                <w:color w:val="B02045"/>
                <w:sz w:val="21"/>
              </w:rPr>
              <w:t>2.11.2</w:t>
            </w:r>
          </w:p>
        </w:tc>
      </w:tr>
      <w:tr w:rsidR="00A720EB" w14:paraId="1F4FC013" w14:textId="77777777">
        <w:trPr>
          <w:trHeight w:val="368"/>
        </w:trPr>
        <w:tc>
          <w:tcPr>
            <w:tcW w:w="3325" w:type="dxa"/>
          </w:tcPr>
          <w:p w14:paraId="456D6CC4" w14:textId="77777777" w:rsidR="00A720EB" w:rsidRDefault="0030286B">
            <w:pPr>
              <w:pStyle w:val="TableParagraph"/>
              <w:rPr>
                <w:sz w:val="21"/>
              </w:rPr>
            </w:pPr>
            <w:proofErr w:type="gramStart"/>
            <w:r>
              <w:rPr>
                <w:color w:val="B02045"/>
                <w:sz w:val="21"/>
              </w:rPr>
              <w:t>com.fasterxml</w:t>
            </w:r>
            <w:proofErr w:type="gramEnd"/>
            <w:r>
              <w:rPr>
                <w:color w:val="B02045"/>
                <w:sz w:val="21"/>
              </w:rPr>
              <w:t>.jackson.datatype</w:t>
            </w:r>
          </w:p>
        </w:tc>
        <w:tc>
          <w:tcPr>
            <w:tcW w:w="3325" w:type="dxa"/>
          </w:tcPr>
          <w:p w14:paraId="11F2708D" w14:textId="77777777" w:rsidR="00A720EB" w:rsidRDefault="0030286B">
            <w:pPr>
              <w:pStyle w:val="TableParagraph"/>
              <w:rPr>
                <w:sz w:val="21"/>
              </w:rPr>
            </w:pPr>
            <w:r>
              <w:rPr>
                <w:color w:val="B02045"/>
                <w:sz w:val="21"/>
              </w:rPr>
              <w:t>jackson-datatype-hibernate5</w:t>
            </w:r>
          </w:p>
        </w:tc>
        <w:tc>
          <w:tcPr>
            <w:tcW w:w="3325" w:type="dxa"/>
          </w:tcPr>
          <w:p w14:paraId="1CD4806E" w14:textId="77777777" w:rsidR="00A720EB" w:rsidRDefault="0030286B">
            <w:pPr>
              <w:pStyle w:val="TableParagraph"/>
              <w:rPr>
                <w:sz w:val="21"/>
              </w:rPr>
            </w:pPr>
            <w:r>
              <w:rPr>
                <w:color w:val="B02045"/>
                <w:sz w:val="21"/>
              </w:rPr>
              <w:t>2.11.2</w:t>
            </w:r>
          </w:p>
        </w:tc>
      </w:tr>
      <w:tr w:rsidR="00A720EB" w14:paraId="25735D34" w14:textId="77777777">
        <w:trPr>
          <w:trHeight w:val="368"/>
        </w:trPr>
        <w:tc>
          <w:tcPr>
            <w:tcW w:w="3325" w:type="dxa"/>
          </w:tcPr>
          <w:p w14:paraId="518850A6" w14:textId="77777777" w:rsidR="00A720EB" w:rsidRDefault="0030286B">
            <w:pPr>
              <w:pStyle w:val="TableParagraph"/>
              <w:rPr>
                <w:sz w:val="21"/>
              </w:rPr>
            </w:pPr>
            <w:proofErr w:type="gramStart"/>
            <w:r>
              <w:rPr>
                <w:color w:val="B02045"/>
                <w:sz w:val="21"/>
              </w:rPr>
              <w:t>com.fasterxml</w:t>
            </w:r>
            <w:proofErr w:type="gramEnd"/>
            <w:r>
              <w:rPr>
                <w:color w:val="B02045"/>
                <w:sz w:val="21"/>
              </w:rPr>
              <w:t>.jackson.datatype</w:t>
            </w:r>
          </w:p>
        </w:tc>
        <w:tc>
          <w:tcPr>
            <w:tcW w:w="3325" w:type="dxa"/>
          </w:tcPr>
          <w:p w14:paraId="758ACF89" w14:textId="77777777" w:rsidR="00A720EB" w:rsidRDefault="0030286B">
            <w:pPr>
              <w:pStyle w:val="TableParagraph"/>
              <w:rPr>
                <w:sz w:val="21"/>
              </w:rPr>
            </w:pPr>
            <w:r>
              <w:rPr>
                <w:color w:val="B02045"/>
                <w:sz w:val="21"/>
              </w:rPr>
              <w:t>jackson-datatype-hppc</w:t>
            </w:r>
          </w:p>
        </w:tc>
        <w:tc>
          <w:tcPr>
            <w:tcW w:w="3325" w:type="dxa"/>
          </w:tcPr>
          <w:p w14:paraId="6948B5CD" w14:textId="77777777" w:rsidR="00A720EB" w:rsidRDefault="0030286B">
            <w:pPr>
              <w:pStyle w:val="TableParagraph"/>
              <w:rPr>
                <w:sz w:val="21"/>
              </w:rPr>
            </w:pPr>
            <w:r>
              <w:rPr>
                <w:color w:val="B02045"/>
                <w:sz w:val="21"/>
              </w:rPr>
              <w:t>2.11.2</w:t>
            </w:r>
          </w:p>
        </w:tc>
      </w:tr>
      <w:tr w:rsidR="00A720EB" w14:paraId="16EF8FB8" w14:textId="77777777">
        <w:trPr>
          <w:trHeight w:val="368"/>
        </w:trPr>
        <w:tc>
          <w:tcPr>
            <w:tcW w:w="3325" w:type="dxa"/>
          </w:tcPr>
          <w:p w14:paraId="55CB64AA"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.jackson.datatype</w:t>
            </w:r>
          </w:p>
        </w:tc>
        <w:tc>
          <w:tcPr>
            <w:tcW w:w="3325" w:type="dxa"/>
          </w:tcPr>
          <w:p w14:paraId="76E1A040" w14:textId="77777777" w:rsidR="00A720EB" w:rsidRDefault="0030286B">
            <w:pPr>
              <w:pStyle w:val="TableParagraph"/>
              <w:spacing w:before="37"/>
              <w:rPr>
                <w:sz w:val="21"/>
              </w:rPr>
            </w:pPr>
            <w:r>
              <w:rPr>
                <w:color w:val="B02045"/>
                <w:sz w:val="21"/>
              </w:rPr>
              <w:t>jackson-datatype-jaxrs</w:t>
            </w:r>
          </w:p>
        </w:tc>
        <w:tc>
          <w:tcPr>
            <w:tcW w:w="3325" w:type="dxa"/>
          </w:tcPr>
          <w:p w14:paraId="48CDB6ED" w14:textId="77777777" w:rsidR="00A720EB" w:rsidRDefault="0030286B">
            <w:pPr>
              <w:pStyle w:val="TableParagraph"/>
              <w:spacing w:before="37"/>
              <w:rPr>
                <w:sz w:val="21"/>
              </w:rPr>
            </w:pPr>
            <w:r>
              <w:rPr>
                <w:color w:val="B02045"/>
                <w:sz w:val="21"/>
              </w:rPr>
              <w:t>2.11.2</w:t>
            </w:r>
          </w:p>
        </w:tc>
      </w:tr>
      <w:tr w:rsidR="00A720EB" w14:paraId="009706ED" w14:textId="77777777">
        <w:trPr>
          <w:trHeight w:val="368"/>
        </w:trPr>
        <w:tc>
          <w:tcPr>
            <w:tcW w:w="3325" w:type="dxa"/>
          </w:tcPr>
          <w:p w14:paraId="7F6955B7"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.jackson.datatype</w:t>
            </w:r>
          </w:p>
        </w:tc>
        <w:tc>
          <w:tcPr>
            <w:tcW w:w="3325" w:type="dxa"/>
          </w:tcPr>
          <w:p w14:paraId="070A3F73" w14:textId="77777777" w:rsidR="00A720EB" w:rsidRDefault="0030286B">
            <w:pPr>
              <w:pStyle w:val="TableParagraph"/>
              <w:spacing w:before="37"/>
              <w:rPr>
                <w:sz w:val="21"/>
              </w:rPr>
            </w:pPr>
            <w:r>
              <w:rPr>
                <w:color w:val="B02045"/>
                <w:sz w:val="21"/>
              </w:rPr>
              <w:t>jackson-datatype-jdk8</w:t>
            </w:r>
          </w:p>
        </w:tc>
        <w:tc>
          <w:tcPr>
            <w:tcW w:w="3325" w:type="dxa"/>
          </w:tcPr>
          <w:p w14:paraId="2F30DCE5" w14:textId="77777777" w:rsidR="00A720EB" w:rsidRDefault="0030286B">
            <w:pPr>
              <w:pStyle w:val="TableParagraph"/>
              <w:spacing w:before="37"/>
              <w:rPr>
                <w:sz w:val="21"/>
              </w:rPr>
            </w:pPr>
            <w:r>
              <w:rPr>
                <w:color w:val="B02045"/>
                <w:sz w:val="21"/>
              </w:rPr>
              <w:t>2.11.2</w:t>
            </w:r>
          </w:p>
        </w:tc>
      </w:tr>
      <w:tr w:rsidR="00A720EB" w14:paraId="7B95401B" w14:textId="77777777">
        <w:trPr>
          <w:trHeight w:val="368"/>
        </w:trPr>
        <w:tc>
          <w:tcPr>
            <w:tcW w:w="3325" w:type="dxa"/>
          </w:tcPr>
          <w:p w14:paraId="3CF15B62"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.jackson.datatype</w:t>
            </w:r>
          </w:p>
        </w:tc>
        <w:tc>
          <w:tcPr>
            <w:tcW w:w="3325" w:type="dxa"/>
          </w:tcPr>
          <w:p w14:paraId="124B9BAB" w14:textId="77777777" w:rsidR="00A720EB" w:rsidRDefault="0030286B">
            <w:pPr>
              <w:pStyle w:val="TableParagraph"/>
              <w:spacing w:before="37"/>
              <w:rPr>
                <w:sz w:val="21"/>
              </w:rPr>
            </w:pPr>
            <w:r>
              <w:rPr>
                <w:color w:val="B02045"/>
                <w:sz w:val="21"/>
              </w:rPr>
              <w:t>jackson-datatype-joda</w:t>
            </w:r>
          </w:p>
        </w:tc>
        <w:tc>
          <w:tcPr>
            <w:tcW w:w="3325" w:type="dxa"/>
          </w:tcPr>
          <w:p w14:paraId="799F9E9F" w14:textId="77777777" w:rsidR="00A720EB" w:rsidRDefault="0030286B">
            <w:pPr>
              <w:pStyle w:val="TableParagraph"/>
              <w:spacing w:before="37"/>
              <w:rPr>
                <w:sz w:val="21"/>
              </w:rPr>
            </w:pPr>
            <w:r>
              <w:rPr>
                <w:color w:val="B02045"/>
                <w:sz w:val="21"/>
              </w:rPr>
              <w:t>2.11.2</w:t>
            </w:r>
          </w:p>
        </w:tc>
      </w:tr>
      <w:tr w:rsidR="00A720EB" w14:paraId="02F2B8B5" w14:textId="77777777">
        <w:trPr>
          <w:trHeight w:val="368"/>
        </w:trPr>
        <w:tc>
          <w:tcPr>
            <w:tcW w:w="3325" w:type="dxa"/>
          </w:tcPr>
          <w:p w14:paraId="27C93FE0"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.jackson.datatype</w:t>
            </w:r>
          </w:p>
        </w:tc>
        <w:tc>
          <w:tcPr>
            <w:tcW w:w="3325" w:type="dxa"/>
          </w:tcPr>
          <w:p w14:paraId="6EA435C9" w14:textId="77777777" w:rsidR="00A720EB" w:rsidRDefault="0030286B">
            <w:pPr>
              <w:pStyle w:val="TableParagraph"/>
              <w:spacing w:before="37"/>
              <w:rPr>
                <w:sz w:val="21"/>
              </w:rPr>
            </w:pPr>
            <w:r>
              <w:rPr>
                <w:color w:val="B02045"/>
                <w:sz w:val="21"/>
              </w:rPr>
              <w:t>jackson-datatype-joda-money</w:t>
            </w:r>
          </w:p>
        </w:tc>
        <w:tc>
          <w:tcPr>
            <w:tcW w:w="3325" w:type="dxa"/>
          </w:tcPr>
          <w:p w14:paraId="2CB04FD0" w14:textId="77777777" w:rsidR="00A720EB" w:rsidRDefault="0030286B">
            <w:pPr>
              <w:pStyle w:val="TableParagraph"/>
              <w:spacing w:before="37"/>
              <w:rPr>
                <w:sz w:val="21"/>
              </w:rPr>
            </w:pPr>
            <w:r>
              <w:rPr>
                <w:color w:val="B02045"/>
                <w:sz w:val="21"/>
              </w:rPr>
              <w:t>2.11.2</w:t>
            </w:r>
          </w:p>
        </w:tc>
      </w:tr>
      <w:tr w:rsidR="00A720EB" w14:paraId="37042190" w14:textId="77777777">
        <w:trPr>
          <w:trHeight w:val="368"/>
        </w:trPr>
        <w:tc>
          <w:tcPr>
            <w:tcW w:w="3325" w:type="dxa"/>
          </w:tcPr>
          <w:p w14:paraId="34A49893" w14:textId="77777777" w:rsidR="00A720EB" w:rsidRDefault="0030286B">
            <w:pPr>
              <w:pStyle w:val="TableParagraph"/>
              <w:rPr>
                <w:sz w:val="21"/>
              </w:rPr>
            </w:pPr>
            <w:proofErr w:type="gramStart"/>
            <w:r>
              <w:rPr>
                <w:color w:val="B02045"/>
                <w:sz w:val="21"/>
              </w:rPr>
              <w:t>com.fasterxml</w:t>
            </w:r>
            <w:proofErr w:type="gramEnd"/>
            <w:r>
              <w:rPr>
                <w:color w:val="B02045"/>
                <w:sz w:val="21"/>
              </w:rPr>
              <w:t>.jackson.datatype</w:t>
            </w:r>
          </w:p>
        </w:tc>
        <w:tc>
          <w:tcPr>
            <w:tcW w:w="3325" w:type="dxa"/>
          </w:tcPr>
          <w:p w14:paraId="297E0850" w14:textId="77777777" w:rsidR="00A720EB" w:rsidRDefault="0030286B">
            <w:pPr>
              <w:pStyle w:val="TableParagraph"/>
              <w:rPr>
                <w:sz w:val="21"/>
              </w:rPr>
            </w:pPr>
            <w:r>
              <w:rPr>
                <w:color w:val="B02045"/>
                <w:sz w:val="21"/>
              </w:rPr>
              <w:t>jackson-datatype-json-org</w:t>
            </w:r>
          </w:p>
        </w:tc>
        <w:tc>
          <w:tcPr>
            <w:tcW w:w="3325" w:type="dxa"/>
          </w:tcPr>
          <w:p w14:paraId="6311A56D" w14:textId="77777777" w:rsidR="00A720EB" w:rsidRDefault="0030286B">
            <w:pPr>
              <w:pStyle w:val="TableParagraph"/>
              <w:rPr>
                <w:sz w:val="21"/>
              </w:rPr>
            </w:pPr>
            <w:r>
              <w:rPr>
                <w:color w:val="B02045"/>
                <w:sz w:val="21"/>
              </w:rPr>
              <w:t>2.11.2</w:t>
            </w:r>
          </w:p>
        </w:tc>
      </w:tr>
      <w:tr w:rsidR="00A720EB" w14:paraId="5D2C78BE" w14:textId="77777777">
        <w:trPr>
          <w:trHeight w:val="368"/>
        </w:trPr>
        <w:tc>
          <w:tcPr>
            <w:tcW w:w="3325" w:type="dxa"/>
          </w:tcPr>
          <w:p w14:paraId="3488586C" w14:textId="77777777" w:rsidR="00A720EB" w:rsidRDefault="0030286B">
            <w:pPr>
              <w:pStyle w:val="TableParagraph"/>
              <w:rPr>
                <w:sz w:val="21"/>
              </w:rPr>
            </w:pPr>
            <w:proofErr w:type="gramStart"/>
            <w:r>
              <w:rPr>
                <w:color w:val="B02045"/>
                <w:sz w:val="21"/>
              </w:rPr>
              <w:t>com.fasterxml</w:t>
            </w:r>
            <w:proofErr w:type="gramEnd"/>
            <w:r>
              <w:rPr>
                <w:color w:val="B02045"/>
                <w:sz w:val="21"/>
              </w:rPr>
              <w:t>.jackson.datatype</w:t>
            </w:r>
          </w:p>
        </w:tc>
        <w:tc>
          <w:tcPr>
            <w:tcW w:w="3325" w:type="dxa"/>
          </w:tcPr>
          <w:p w14:paraId="6DB4E92B" w14:textId="77777777" w:rsidR="00A720EB" w:rsidRDefault="0030286B">
            <w:pPr>
              <w:pStyle w:val="TableParagraph"/>
              <w:rPr>
                <w:sz w:val="21"/>
              </w:rPr>
            </w:pPr>
            <w:r>
              <w:rPr>
                <w:color w:val="B02045"/>
                <w:sz w:val="21"/>
              </w:rPr>
              <w:t>jackson-datatype-jsr310</w:t>
            </w:r>
          </w:p>
        </w:tc>
        <w:tc>
          <w:tcPr>
            <w:tcW w:w="3325" w:type="dxa"/>
          </w:tcPr>
          <w:p w14:paraId="506210D4" w14:textId="77777777" w:rsidR="00A720EB" w:rsidRDefault="0030286B">
            <w:pPr>
              <w:pStyle w:val="TableParagraph"/>
              <w:rPr>
                <w:sz w:val="21"/>
              </w:rPr>
            </w:pPr>
            <w:r>
              <w:rPr>
                <w:color w:val="B02045"/>
                <w:sz w:val="21"/>
              </w:rPr>
              <w:t>2.11.2</w:t>
            </w:r>
          </w:p>
        </w:tc>
      </w:tr>
      <w:tr w:rsidR="00A720EB" w14:paraId="4E03F933" w14:textId="77777777">
        <w:trPr>
          <w:trHeight w:val="368"/>
        </w:trPr>
        <w:tc>
          <w:tcPr>
            <w:tcW w:w="3325" w:type="dxa"/>
          </w:tcPr>
          <w:p w14:paraId="0E21082A" w14:textId="77777777" w:rsidR="00A720EB" w:rsidRDefault="0030286B">
            <w:pPr>
              <w:pStyle w:val="TableParagraph"/>
              <w:rPr>
                <w:sz w:val="21"/>
              </w:rPr>
            </w:pPr>
            <w:proofErr w:type="gramStart"/>
            <w:r>
              <w:rPr>
                <w:color w:val="B02045"/>
                <w:sz w:val="21"/>
              </w:rPr>
              <w:t>com.fasterxml</w:t>
            </w:r>
            <w:proofErr w:type="gramEnd"/>
            <w:r>
              <w:rPr>
                <w:color w:val="B02045"/>
                <w:sz w:val="21"/>
              </w:rPr>
              <w:t>.jackson.datatype</w:t>
            </w:r>
          </w:p>
        </w:tc>
        <w:tc>
          <w:tcPr>
            <w:tcW w:w="3325" w:type="dxa"/>
          </w:tcPr>
          <w:p w14:paraId="2442DF65" w14:textId="77777777" w:rsidR="00A720EB" w:rsidRDefault="0030286B">
            <w:pPr>
              <w:pStyle w:val="TableParagraph"/>
              <w:rPr>
                <w:sz w:val="21"/>
              </w:rPr>
            </w:pPr>
            <w:r>
              <w:rPr>
                <w:color w:val="B02045"/>
                <w:sz w:val="21"/>
              </w:rPr>
              <w:t>jackson-datatype-jsr353</w:t>
            </w:r>
          </w:p>
        </w:tc>
        <w:tc>
          <w:tcPr>
            <w:tcW w:w="3325" w:type="dxa"/>
          </w:tcPr>
          <w:p w14:paraId="3480D8A5" w14:textId="77777777" w:rsidR="00A720EB" w:rsidRDefault="0030286B">
            <w:pPr>
              <w:pStyle w:val="TableParagraph"/>
              <w:rPr>
                <w:sz w:val="21"/>
              </w:rPr>
            </w:pPr>
            <w:r>
              <w:rPr>
                <w:color w:val="B02045"/>
                <w:sz w:val="21"/>
              </w:rPr>
              <w:t>2.11.2</w:t>
            </w:r>
          </w:p>
        </w:tc>
      </w:tr>
      <w:tr w:rsidR="00A720EB" w14:paraId="238EC178" w14:textId="77777777">
        <w:trPr>
          <w:trHeight w:val="368"/>
        </w:trPr>
        <w:tc>
          <w:tcPr>
            <w:tcW w:w="3325" w:type="dxa"/>
          </w:tcPr>
          <w:p w14:paraId="097BE968" w14:textId="77777777" w:rsidR="00A720EB" w:rsidRDefault="0030286B">
            <w:pPr>
              <w:pStyle w:val="TableParagraph"/>
              <w:rPr>
                <w:sz w:val="21"/>
              </w:rPr>
            </w:pPr>
            <w:proofErr w:type="gramStart"/>
            <w:r>
              <w:rPr>
                <w:color w:val="B02045"/>
                <w:sz w:val="21"/>
              </w:rPr>
              <w:t>com.fasterxml</w:t>
            </w:r>
            <w:proofErr w:type="gramEnd"/>
            <w:r>
              <w:rPr>
                <w:color w:val="B02045"/>
                <w:sz w:val="21"/>
              </w:rPr>
              <w:t>.jackson.datatype</w:t>
            </w:r>
          </w:p>
        </w:tc>
        <w:tc>
          <w:tcPr>
            <w:tcW w:w="3325" w:type="dxa"/>
          </w:tcPr>
          <w:p w14:paraId="71B5E005" w14:textId="77777777" w:rsidR="00A720EB" w:rsidRDefault="0030286B">
            <w:pPr>
              <w:pStyle w:val="TableParagraph"/>
              <w:rPr>
                <w:sz w:val="21"/>
              </w:rPr>
            </w:pPr>
            <w:r>
              <w:rPr>
                <w:color w:val="B02045"/>
                <w:sz w:val="21"/>
              </w:rPr>
              <w:t>jackson-datatype-pcollections</w:t>
            </w:r>
          </w:p>
        </w:tc>
        <w:tc>
          <w:tcPr>
            <w:tcW w:w="3325" w:type="dxa"/>
          </w:tcPr>
          <w:p w14:paraId="69600438" w14:textId="77777777" w:rsidR="00A720EB" w:rsidRDefault="0030286B">
            <w:pPr>
              <w:pStyle w:val="TableParagraph"/>
              <w:rPr>
                <w:sz w:val="21"/>
              </w:rPr>
            </w:pPr>
            <w:r>
              <w:rPr>
                <w:color w:val="B02045"/>
                <w:sz w:val="21"/>
              </w:rPr>
              <w:t>2.11.2</w:t>
            </w:r>
          </w:p>
        </w:tc>
      </w:tr>
      <w:tr w:rsidR="00A720EB" w14:paraId="1F104F59" w14:textId="77777777">
        <w:trPr>
          <w:trHeight w:val="368"/>
        </w:trPr>
        <w:tc>
          <w:tcPr>
            <w:tcW w:w="3325" w:type="dxa"/>
          </w:tcPr>
          <w:p w14:paraId="36A0EC5D" w14:textId="77777777" w:rsidR="00A720EB" w:rsidRDefault="0030286B">
            <w:pPr>
              <w:pStyle w:val="TableParagraph"/>
              <w:rPr>
                <w:sz w:val="21"/>
              </w:rPr>
            </w:pPr>
            <w:proofErr w:type="gramStart"/>
            <w:r>
              <w:rPr>
                <w:color w:val="B02045"/>
                <w:sz w:val="21"/>
              </w:rPr>
              <w:t>com.fasterxml</w:t>
            </w:r>
            <w:proofErr w:type="gramEnd"/>
            <w:r>
              <w:rPr>
                <w:color w:val="B02045"/>
                <w:sz w:val="21"/>
              </w:rPr>
              <w:t>.jackson.jaxrs</w:t>
            </w:r>
          </w:p>
        </w:tc>
        <w:tc>
          <w:tcPr>
            <w:tcW w:w="3325" w:type="dxa"/>
          </w:tcPr>
          <w:p w14:paraId="56988878" w14:textId="77777777" w:rsidR="00A720EB" w:rsidRDefault="0030286B">
            <w:pPr>
              <w:pStyle w:val="TableParagraph"/>
              <w:rPr>
                <w:sz w:val="21"/>
              </w:rPr>
            </w:pPr>
            <w:r>
              <w:rPr>
                <w:color w:val="B02045"/>
                <w:sz w:val="21"/>
              </w:rPr>
              <w:t>jackson-jaxrs-base</w:t>
            </w:r>
          </w:p>
        </w:tc>
        <w:tc>
          <w:tcPr>
            <w:tcW w:w="3325" w:type="dxa"/>
          </w:tcPr>
          <w:p w14:paraId="34B857E2" w14:textId="77777777" w:rsidR="00A720EB" w:rsidRDefault="0030286B">
            <w:pPr>
              <w:pStyle w:val="TableParagraph"/>
              <w:rPr>
                <w:sz w:val="21"/>
              </w:rPr>
            </w:pPr>
            <w:r>
              <w:rPr>
                <w:color w:val="B02045"/>
                <w:sz w:val="21"/>
              </w:rPr>
              <w:t>2.11.2</w:t>
            </w:r>
          </w:p>
        </w:tc>
      </w:tr>
      <w:tr w:rsidR="00A720EB" w14:paraId="3E7E9ABE" w14:textId="77777777">
        <w:trPr>
          <w:trHeight w:val="368"/>
        </w:trPr>
        <w:tc>
          <w:tcPr>
            <w:tcW w:w="3325" w:type="dxa"/>
          </w:tcPr>
          <w:p w14:paraId="4FC0BF6E" w14:textId="77777777" w:rsidR="00A720EB" w:rsidRDefault="0030286B">
            <w:pPr>
              <w:pStyle w:val="TableParagraph"/>
              <w:rPr>
                <w:sz w:val="21"/>
              </w:rPr>
            </w:pPr>
            <w:proofErr w:type="gramStart"/>
            <w:r>
              <w:rPr>
                <w:color w:val="B02045"/>
                <w:sz w:val="21"/>
              </w:rPr>
              <w:t>com.fasterxml</w:t>
            </w:r>
            <w:proofErr w:type="gramEnd"/>
            <w:r>
              <w:rPr>
                <w:color w:val="B02045"/>
                <w:sz w:val="21"/>
              </w:rPr>
              <w:t>.jackson.jaxrs</w:t>
            </w:r>
          </w:p>
        </w:tc>
        <w:tc>
          <w:tcPr>
            <w:tcW w:w="3325" w:type="dxa"/>
          </w:tcPr>
          <w:p w14:paraId="307CBE59" w14:textId="77777777" w:rsidR="00A720EB" w:rsidRDefault="0030286B">
            <w:pPr>
              <w:pStyle w:val="TableParagraph"/>
              <w:rPr>
                <w:sz w:val="21"/>
              </w:rPr>
            </w:pPr>
            <w:r>
              <w:rPr>
                <w:color w:val="B02045"/>
                <w:sz w:val="21"/>
              </w:rPr>
              <w:t>jackson-jaxrs-cbor-provider</w:t>
            </w:r>
          </w:p>
        </w:tc>
        <w:tc>
          <w:tcPr>
            <w:tcW w:w="3325" w:type="dxa"/>
          </w:tcPr>
          <w:p w14:paraId="3C9F1893" w14:textId="77777777" w:rsidR="00A720EB" w:rsidRDefault="0030286B">
            <w:pPr>
              <w:pStyle w:val="TableParagraph"/>
              <w:rPr>
                <w:sz w:val="21"/>
              </w:rPr>
            </w:pPr>
            <w:r>
              <w:rPr>
                <w:color w:val="B02045"/>
                <w:sz w:val="21"/>
              </w:rPr>
              <w:t>2.11.2</w:t>
            </w:r>
          </w:p>
        </w:tc>
      </w:tr>
      <w:tr w:rsidR="00A720EB" w14:paraId="30A82FB2" w14:textId="77777777">
        <w:trPr>
          <w:trHeight w:val="368"/>
        </w:trPr>
        <w:tc>
          <w:tcPr>
            <w:tcW w:w="3325" w:type="dxa"/>
          </w:tcPr>
          <w:p w14:paraId="1A032E9D"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.jackson.jaxrs</w:t>
            </w:r>
          </w:p>
        </w:tc>
        <w:tc>
          <w:tcPr>
            <w:tcW w:w="3325" w:type="dxa"/>
          </w:tcPr>
          <w:p w14:paraId="071FEA5F" w14:textId="77777777" w:rsidR="00A720EB" w:rsidRDefault="0030286B">
            <w:pPr>
              <w:pStyle w:val="TableParagraph"/>
              <w:spacing w:before="37"/>
              <w:rPr>
                <w:sz w:val="21"/>
              </w:rPr>
            </w:pPr>
            <w:r>
              <w:rPr>
                <w:color w:val="B02045"/>
                <w:sz w:val="21"/>
              </w:rPr>
              <w:t>jackson-jaxrs-json-provider</w:t>
            </w:r>
          </w:p>
        </w:tc>
        <w:tc>
          <w:tcPr>
            <w:tcW w:w="3325" w:type="dxa"/>
          </w:tcPr>
          <w:p w14:paraId="6E6EEDDD" w14:textId="77777777" w:rsidR="00A720EB" w:rsidRDefault="0030286B">
            <w:pPr>
              <w:pStyle w:val="TableParagraph"/>
              <w:spacing w:before="37"/>
              <w:rPr>
                <w:sz w:val="21"/>
              </w:rPr>
            </w:pPr>
            <w:r>
              <w:rPr>
                <w:color w:val="B02045"/>
                <w:sz w:val="21"/>
              </w:rPr>
              <w:t>2.11.2</w:t>
            </w:r>
          </w:p>
        </w:tc>
      </w:tr>
      <w:tr w:rsidR="00A720EB" w14:paraId="4011B893" w14:textId="77777777">
        <w:trPr>
          <w:trHeight w:val="368"/>
        </w:trPr>
        <w:tc>
          <w:tcPr>
            <w:tcW w:w="3325" w:type="dxa"/>
          </w:tcPr>
          <w:p w14:paraId="3F3A959B"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.jackson.jaxrs</w:t>
            </w:r>
          </w:p>
        </w:tc>
        <w:tc>
          <w:tcPr>
            <w:tcW w:w="3325" w:type="dxa"/>
          </w:tcPr>
          <w:p w14:paraId="458A4243" w14:textId="77777777" w:rsidR="00A720EB" w:rsidRDefault="0030286B">
            <w:pPr>
              <w:pStyle w:val="TableParagraph"/>
              <w:spacing w:before="37"/>
              <w:rPr>
                <w:sz w:val="21"/>
              </w:rPr>
            </w:pPr>
            <w:r>
              <w:rPr>
                <w:color w:val="B02045"/>
                <w:sz w:val="21"/>
              </w:rPr>
              <w:t>jackson-jaxrs-smile-provider</w:t>
            </w:r>
          </w:p>
        </w:tc>
        <w:tc>
          <w:tcPr>
            <w:tcW w:w="3325" w:type="dxa"/>
          </w:tcPr>
          <w:p w14:paraId="641CCDD8" w14:textId="77777777" w:rsidR="00A720EB" w:rsidRDefault="0030286B">
            <w:pPr>
              <w:pStyle w:val="TableParagraph"/>
              <w:spacing w:before="37"/>
              <w:rPr>
                <w:sz w:val="21"/>
              </w:rPr>
            </w:pPr>
            <w:r>
              <w:rPr>
                <w:color w:val="B02045"/>
                <w:sz w:val="21"/>
              </w:rPr>
              <w:t>2.11.2</w:t>
            </w:r>
          </w:p>
        </w:tc>
      </w:tr>
      <w:tr w:rsidR="00A720EB" w14:paraId="496E8AFD" w14:textId="77777777">
        <w:trPr>
          <w:trHeight w:val="368"/>
        </w:trPr>
        <w:tc>
          <w:tcPr>
            <w:tcW w:w="3325" w:type="dxa"/>
          </w:tcPr>
          <w:p w14:paraId="02E2C8D5"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.jackson.jaxrs</w:t>
            </w:r>
          </w:p>
        </w:tc>
        <w:tc>
          <w:tcPr>
            <w:tcW w:w="3325" w:type="dxa"/>
          </w:tcPr>
          <w:p w14:paraId="513F364B" w14:textId="77777777" w:rsidR="00A720EB" w:rsidRDefault="0030286B">
            <w:pPr>
              <w:pStyle w:val="TableParagraph"/>
              <w:spacing w:before="37"/>
              <w:rPr>
                <w:sz w:val="21"/>
              </w:rPr>
            </w:pPr>
            <w:r>
              <w:rPr>
                <w:color w:val="B02045"/>
                <w:sz w:val="21"/>
              </w:rPr>
              <w:t>jackson-jaxrs-xml-provider</w:t>
            </w:r>
          </w:p>
        </w:tc>
        <w:tc>
          <w:tcPr>
            <w:tcW w:w="3325" w:type="dxa"/>
          </w:tcPr>
          <w:p w14:paraId="0112CDD1" w14:textId="77777777" w:rsidR="00A720EB" w:rsidRDefault="0030286B">
            <w:pPr>
              <w:pStyle w:val="TableParagraph"/>
              <w:spacing w:before="37"/>
              <w:rPr>
                <w:sz w:val="21"/>
              </w:rPr>
            </w:pPr>
            <w:r>
              <w:rPr>
                <w:color w:val="B02045"/>
                <w:sz w:val="21"/>
              </w:rPr>
              <w:t>2.11.2</w:t>
            </w:r>
          </w:p>
        </w:tc>
      </w:tr>
      <w:tr w:rsidR="00A720EB" w14:paraId="7267910C" w14:textId="77777777">
        <w:trPr>
          <w:trHeight w:val="368"/>
        </w:trPr>
        <w:tc>
          <w:tcPr>
            <w:tcW w:w="3325" w:type="dxa"/>
          </w:tcPr>
          <w:p w14:paraId="30D6F15E" w14:textId="77777777" w:rsidR="00A720EB" w:rsidRDefault="0030286B">
            <w:pPr>
              <w:pStyle w:val="TableParagraph"/>
              <w:rPr>
                <w:sz w:val="21"/>
              </w:rPr>
            </w:pPr>
            <w:proofErr w:type="gramStart"/>
            <w:r>
              <w:rPr>
                <w:color w:val="B02045"/>
                <w:sz w:val="21"/>
              </w:rPr>
              <w:t>com.fasterxml</w:t>
            </w:r>
            <w:proofErr w:type="gramEnd"/>
            <w:r>
              <w:rPr>
                <w:color w:val="B02045"/>
                <w:sz w:val="21"/>
              </w:rPr>
              <w:t>.jackson.jaxrs</w:t>
            </w:r>
          </w:p>
        </w:tc>
        <w:tc>
          <w:tcPr>
            <w:tcW w:w="3325" w:type="dxa"/>
          </w:tcPr>
          <w:p w14:paraId="40F65FD7" w14:textId="77777777" w:rsidR="00A720EB" w:rsidRDefault="0030286B">
            <w:pPr>
              <w:pStyle w:val="TableParagraph"/>
              <w:rPr>
                <w:sz w:val="21"/>
              </w:rPr>
            </w:pPr>
            <w:r>
              <w:rPr>
                <w:color w:val="B02045"/>
                <w:sz w:val="21"/>
              </w:rPr>
              <w:t>jackson-jaxrs-yaml-provider</w:t>
            </w:r>
          </w:p>
        </w:tc>
        <w:tc>
          <w:tcPr>
            <w:tcW w:w="3325" w:type="dxa"/>
          </w:tcPr>
          <w:p w14:paraId="46C799E4" w14:textId="77777777" w:rsidR="00A720EB" w:rsidRDefault="0030286B">
            <w:pPr>
              <w:pStyle w:val="TableParagraph"/>
              <w:rPr>
                <w:sz w:val="21"/>
              </w:rPr>
            </w:pPr>
            <w:r>
              <w:rPr>
                <w:color w:val="B02045"/>
                <w:sz w:val="21"/>
              </w:rPr>
              <w:t>2.11.2</w:t>
            </w:r>
          </w:p>
        </w:tc>
      </w:tr>
      <w:tr w:rsidR="00A720EB" w14:paraId="3CA23AC3" w14:textId="77777777">
        <w:trPr>
          <w:trHeight w:val="368"/>
        </w:trPr>
        <w:tc>
          <w:tcPr>
            <w:tcW w:w="3325" w:type="dxa"/>
          </w:tcPr>
          <w:p w14:paraId="0A3475AB" w14:textId="77777777" w:rsidR="00A720EB" w:rsidRDefault="0030286B">
            <w:pPr>
              <w:pStyle w:val="TableParagraph"/>
              <w:rPr>
                <w:sz w:val="21"/>
              </w:rPr>
            </w:pPr>
            <w:proofErr w:type="gramStart"/>
            <w:r>
              <w:rPr>
                <w:color w:val="B02045"/>
                <w:sz w:val="21"/>
              </w:rPr>
              <w:t>com.fasterxml</w:t>
            </w:r>
            <w:proofErr w:type="gramEnd"/>
            <w:r>
              <w:rPr>
                <w:color w:val="B02045"/>
                <w:sz w:val="21"/>
              </w:rPr>
              <w:t>.jackson.jr</w:t>
            </w:r>
          </w:p>
        </w:tc>
        <w:tc>
          <w:tcPr>
            <w:tcW w:w="3325" w:type="dxa"/>
          </w:tcPr>
          <w:p w14:paraId="1992E1C9" w14:textId="77777777" w:rsidR="00A720EB" w:rsidRDefault="0030286B">
            <w:pPr>
              <w:pStyle w:val="TableParagraph"/>
              <w:rPr>
                <w:sz w:val="21"/>
              </w:rPr>
            </w:pPr>
            <w:r>
              <w:rPr>
                <w:color w:val="B02045"/>
                <w:sz w:val="21"/>
              </w:rPr>
              <w:t>jackson-jr-all</w:t>
            </w:r>
          </w:p>
        </w:tc>
        <w:tc>
          <w:tcPr>
            <w:tcW w:w="3325" w:type="dxa"/>
          </w:tcPr>
          <w:p w14:paraId="32ECAC7E" w14:textId="77777777" w:rsidR="00A720EB" w:rsidRDefault="0030286B">
            <w:pPr>
              <w:pStyle w:val="TableParagraph"/>
              <w:rPr>
                <w:sz w:val="21"/>
              </w:rPr>
            </w:pPr>
            <w:r>
              <w:rPr>
                <w:color w:val="B02045"/>
                <w:sz w:val="21"/>
              </w:rPr>
              <w:t>2.11.2</w:t>
            </w:r>
          </w:p>
        </w:tc>
      </w:tr>
      <w:tr w:rsidR="00A720EB" w14:paraId="75A7365E" w14:textId="77777777">
        <w:trPr>
          <w:trHeight w:val="368"/>
        </w:trPr>
        <w:tc>
          <w:tcPr>
            <w:tcW w:w="3325" w:type="dxa"/>
          </w:tcPr>
          <w:p w14:paraId="36B50E47"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.jackson.jr</w:t>
            </w:r>
          </w:p>
        </w:tc>
        <w:tc>
          <w:tcPr>
            <w:tcW w:w="3325" w:type="dxa"/>
          </w:tcPr>
          <w:p w14:paraId="5AF17F8D" w14:textId="77777777" w:rsidR="00A720EB" w:rsidRDefault="0030286B">
            <w:pPr>
              <w:pStyle w:val="TableParagraph"/>
              <w:spacing w:before="37"/>
              <w:rPr>
                <w:sz w:val="21"/>
              </w:rPr>
            </w:pPr>
            <w:r>
              <w:rPr>
                <w:color w:val="B02045"/>
                <w:sz w:val="21"/>
              </w:rPr>
              <w:t>jackson-jr-objects</w:t>
            </w:r>
          </w:p>
        </w:tc>
        <w:tc>
          <w:tcPr>
            <w:tcW w:w="3325" w:type="dxa"/>
          </w:tcPr>
          <w:p w14:paraId="7DB7222E" w14:textId="77777777" w:rsidR="00A720EB" w:rsidRDefault="0030286B">
            <w:pPr>
              <w:pStyle w:val="TableParagraph"/>
              <w:spacing w:before="37"/>
              <w:rPr>
                <w:sz w:val="21"/>
              </w:rPr>
            </w:pPr>
            <w:r>
              <w:rPr>
                <w:color w:val="B02045"/>
                <w:sz w:val="21"/>
              </w:rPr>
              <w:t>2.11.2</w:t>
            </w:r>
          </w:p>
        </w:tc>
      </w:tr>
      <w:tr w:rsidR="00A720EB" w14:paraId="3861A3C4" w14:textId="77777777">
        <w:trPr>
          <w:trHeight w:val="368"/>
        </w:trPr>
        <w:tc>
          <w:tcPr>
            <w:tcW w:w="3325" w:type="dxa"/>
          </w:tcPr>
          <w:p w14:paraId="2ADDB780"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.jackson.jr</w:t>
            </w:r>
          </w:p>
        </w:tc>
        <w:tc>
          <w:tcPr>
            <w:tcW w:w="3325" w:type="dxa"/>
          </w:tcPr>
          <w:p w14:paraId="16D56D03" w14:textId="77777777" w:rsidR="00A720EB" w:rsidRDefault="0030286B">
            <w:pPr>
              <w:pStyle w:val="TableParagraph"/>
              <w:spacing w:before="37"/>
              <w:rPr>
                <w:sz w:val="21"/>
              </w:rPr>
            </w:pPr>
            <w:r>
              <w:rPr>
                <w:color w:val="B02045"/>
                <w:sz w:val="21"/>
              </w:rPr>
              <w:t>jackson-jr-retrofit2</w:t>
            </w:r>
          </w:p>
        </w:tc>
        <w:tc>
          <w:tcPr>
            <w:tcW w:w="3325" w:type="dxa"/>
          </w:tcPr>
          <w:p w14:paraId="14C3D8D2" w14:textId="77777777" w:rsidR="00A720EB" w:rsidRDefault="0030286B">
            <w:pPr>
              <w:pStyle w:val="TableParagraph"/>
              <w:spacing w:before="37"/>
              <w:rPr>
                <w:sz w:val="21"/>
              </w:rPr>
            </w:pPr>
            <w:r>
              <w:rPr>
                <w:color w:val="B02045"/>
                <w:sz w:val="21"/>
              </w:rPr>
              <w:t>2.11.2</w:t>
            </w:r>
          </w:p>
        </w:tc>
      </w:tr>
      <w:tr w:rsidR="00A720EB" w14:paraId="2B6EDDB7" w14:textId="77777777">
        <w:trPr>
          <w:trHeight w:val="368"/>
        </w:trPr>
        <w:tc>
          <w:tcPr>
            <w:tcW w:w="3325" w:type="dxa"/>
          </w:tcPr>
          <w:p w14:paraId="14D467E1" w14:textId="77777777" w:rsidR="00A720EB" w:rsidRDefault="0030286B">
            <w:pPr>
              <w:pStyle w:val="TableParagraph"/>
              <w:rPr>
                <w:sz w:val="21"/>
              </w:rPr>
            </w:pPr>
            <w:proofErr w:type="gramStart"/>
            <w:r>
              <w:rPr>
                <w:color w:val="B02045"/>
                <w:sz w:val="21"/>
              </w:rPr>
              <w:t>com.fasterxml</w:t>
            </w:r>
            <w:proofErr w:type="gramEnd"/>
            <w:r>
              <w:rPr>
                <w:color w:val="B02045"/>
                <w:sz w:val="21"/>
              </w:rPr>
              <w:t>.jackson.jr</w:t>
            </w:r>
          </w:p>
        </w:tc>
        <w:tc>
          <w:tcPr>
            <w:tcW w:w="3325" w:type="dxa"/>
          </w:tcPr>
          <w:p w14:paraId="33A1D5C4" w14:textId="77777777" w:rsidR="00A720EB" w:rsidRDefault="0030286B">
            <w:pPr>
              <w:pStyle w:val="TableParagraph"/>
              <w:rPr>
                <w:sz w:val="21"/>
              </w:rPr>
            </w:pPr>
            <w:r>
              <w:rPr>
                <w:color w:val="B02045"/>
                <w:sz w:val="21"/>
              </w:rPr>
              <w:t>jackson-jr-stree</w:t>
            </w:r>
          </w:p>
        </w:tc>
        <w:tc>
          <w:tcPr>
            <w:tcW w:w="3325" w:type="dxa"/>
          </w:tcPr>
          <w:p w14:paraId="62928E6D" w14:textId="77777777" w:rsidR="00A720EB" w:rsidRDefault="0030286B">
            <w:pPr>
              <w:pStyle w:val="TableParagraph"/>
              <w:rPr>
                <w:sz w:val="21"/>
              </w:rPr>
            </w:pPr>
            <w:r>
              <w:rPr>
                <w:color w:val="B02045"/>
                <w:sz w:val="21"/>
              </w:rPr>
              <w:t>2.11.2</w:t>
            </w:r>
          </w:p>
        </w:tc>
      </w:tr>
      <w:tr w:rsidR="00A720EB" w14:paraId="70C422B0" w14:textId="77777777">
        <w:trPr>
          <w:trHeight w:val="368"/>
        </w:trPr>
        <w:tc>
          <w:tcPr>
            <w:tcW w:w="3325" w:type="dxa"/>
          </w:tcPr>
          <w:p w14:paraId="573C8175" w14:textId="77777777" w:rsidR="00A720EB" w:rsidRDefault="0030286B">
            <w:pPr>
              <w:pStyle w:val="TableParagraph"/>
              <w:rPr>
                <w:sz w:val="21"/>
              </w:rPr>
            </w:pPr>
            <w:proofErr w:type="gramStart"/>
            <w:r>
              <w:rPr>
                <w:color w:val="B02045"/>
                <w:sz w:val="21"/>
              </w:rPr>
              <w:t>com.fasterxml</w:t>
            </w:r>
            <w:proofErr w:type="gramEnd"/>
            <w:r>
              <w:rPr>
                <w:color w:val="B02045"/>
                <w:sz w:val="21"/>
              </w:rPr>
              <w:t>.jackson.module</w:t>
            </w:r>
          </w:p>
        </w:tc>
        <w:tc>
          <w:tcPr>
            <w:tcW w:w="3325" w:type="dxa"/>
          </w:tcPr>
          <w:p w14:paraId="473F4663" w14:textId="77777777" w:rsidR="00A720EB" w:rsidRDefault="0030286B">
            <w:pPr>
              <w:pStyle w:val="TableParagraph"/>
              <w:rPr>
                <w:sz w:val="21"/>
              </w:rPr>
            </w:pPr>
            <w:r>
              <w:rPr>
                <w:color w:val="B02045"/>
                <w:sz w:val="21"/>
              </w:rPr>
              <w:t>jackson-module-afterburner</w:t>
            </w:r>
          </w:p>
        </w:tc>
        <w:tc>
          <w:tcPr>
            <w:tcW w:w="3325" w:type="dxa"/>
          </w:tcPr>
          <w:p w14:paraId="617C187B" w14:textId="77777777" w:rsidR="00A720EB" w:rsidRDefault="0030286B">
            <w:pPr>
              <w:pStyle w:val="TableParagraph"/>
              <w:rPr>
                <w:sz w:val="21"/>
              </w:rPr>
            </w:pPr>
            <w:r>
              <w:rPr>
                <w:color w:val="B02045"/>
                <w:sz w:val="21"/>
              </w:rPr>
              <w:t>2.11.2</w:t>
            </w:r>
          </w:p>
        </w:tc>
      </w:tr>
      <w:tr w:rsidR="00A720EB" w14:paraId="1B5B1A24" w14:textId="77777777">
        <w:trPr>
          <w:trHeight w:val="368"/>
        </w:trPr>
        <w:tc>
          <w:tcPr>
            <w:tcW w:w="3325" w:type="dxa"/>
          </w:tcPr>
          <w:p w14:paraId="2F73AB61"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.jackson.module</w:t>
            </w:r>
          </w:p>
        </w:tc>
        <w:tc>
          <w:tcPr>
            <w:tcW w:w="3325" w:type="dxa"/>
          </w:tcPr>
          <w:p w14:paraId="03828262" w14:textId="77777777" w:rsidR="00A720EB" w:rsidRDefault="0030286B">
            <w:pPr>
              <w:pStyle w:val="TableParagraph"/>
              <w:spacing w:before="37"/>
              <w:rPr>
                <w:sz w:val="21"/>
              </w:rPr>
            </w:pPr>
            <w:r>
              <w:rPr>
                <w:color w:val="B02045"/>
                <w:sz w:val="21"/>
              </w:rPr>
              <w:t>jackson-module-guice</w:t>
            </w:r>
          </w:p>
        </w:tc>
        <w:tc>
          <w:tcPr>
            <w:tcW w:w="3325" w:type="dxa"/>
          </w:tcPr>
          <w:p w14:paraId="40D08A6C" w14:textId="77777777" w:rsidR="00A720EB" w:rsidRDefault="0030286B">
            <w:pPr>
              <w:pStyle w:val="TableParagraph"/>
              <w:spacing w:before="37"/>
              <w:rPr>
                <w:sz w:val="21"/>
              </w:rPr>
            </w:pPr>
            <w:r>
              <w:rPr>
                <w:color w:val="B02045"/>
                <w:sz w:val="21"/>
              </w:rPr>
              <w:t>2.11.2</w:t>
            </w:r>
          </w:p>
        </w:tc>
      </w:tr>
      <w:tr w:rsidR="00A720EB" w14:paraId="7DF8FCD0" w14:textId="77777777">
        <w:trPr>
          <w:trHeight w:val="627"/>
        </w:trPr>
        <w:tc>
          <w:tcPr>
            <w:tcW w:w="3325" w:type="dxa"/>
          </w:tcPr>
          <w:p w14:paraId="1106A6CE"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.jackson.module</w:t>
            </w:r>
          </w:p>
        </w:tc>
        <w:tc>
          <w:tcPr>
            <w:tcW w:w="3325" w:type="dxa"/>
          </w:tcPr>
          <w:p w14:paraId="4739EA80" w14:textId="77777777" w:rsidR="00A720EB" w:rsidRDefault="0030286B">
            <w:pPr>
              <w:pStyle w:val="TableParagraph"/>
              <w:spacing w:before="46" w:line="230" w:lineRule="auto"/>
              <w:ind w:right="1135"/>
              <w:rPr>
                <w:sz w:val="21"/>
              </w:rPr>
            </w:pPr>
            <w:r>
              <w:rPr>
                <w:color w:val="B02045"/>
                <w:sz w:val="21"/>
              </w:rPr>
              <w:t>jackson-module-jaxb- annotations</w:t>
            </w:r>
          </w:p>
        </w:tc>
        <w:tc>
          <w:tcPr>
            <w:tcW w:w="3325" w:type="dxa"/>
          </w:tcPr>
          <w:p w14:paraId="13E61D26" w14:textId="77777777" w:rsidR="00A720EB" w:rsidRDefault="0030286B">
            <w:pPr>
              <w:pStyle w:val="TableParagraph"/>
              <w:spacing w:before="37"/>
              <w:rPr>
                <w:sz w:val="21"/>
              </w:rPr>
            </w:pPr>
            <w:r>
              <w:rPr>
                <w:color w:val="B02045"/>
                <w:sz w:val="21"/>
              </w:rPr>
              <w:t>2.11.2</w:t>
            </w:r>
          </w:p>
        </w:tc>
      </w:tr>
      <w:tr w:rsidR="00A720EB" w14:paraId="53510510" w14:textId="77777777">
        <w:trPr>
          <w:trHeight w:val="368"/>
        </w:trPr>
        <w:tc>
          <w:tcPr>
            <w:tcW w:w="3325" w:type="dxa"/>
          </w:tcPr>
          <w:p w14:paraId="5407B8BD"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.jackson.module</w:t>
            </w:r>
          </w:p>
        </w:tc>
        <w:tc>
          <w:tcPr>
            <w:tcW w:w="3325" w:type="dxa"/>
          </w:tcPr>
          <w:p w14:paraId="47470A32" w14:textId="77777777" w:rsidR="00A720EB" w:rsidRDefault="0030286B">
            <w:pPr>
              <w:pStyle w:val="TableParagraph"/>
              <w:spacing w:before="37"/>
              <w:rPr>
                <w:sz w:val="21"/>
              </w:rPr>
            </w:pPr>
            <w:r>
              <w:rPr>
                <w:color w:val="B02045"/>
                <w:sz w:val="21"/>
              </w:rPr>
              <w:t>jackson-module-jsonSchema</w:t>
            </w:r>
          </w:p>
        </w:tc>
        <w:tc>
          <w:tcPr>
            <w:tcW w:w="3325" w:type="dxa"/>
          </w:tcPr>
          <w:p w14:paraId="0B5EEA59" w14:textId="77777777" w:rsidR="00A720EB" w:rsidRDefault="0030286B">
            <w:pPr>
              <w:pStyle w:val="TableParagraph"/>
              <w:spacing w:before="37"/>
              <w:rPr>
                <w:sz w:val="21"/>
              </w:rPr>
            </w:pPr>
            <w:r>
              <w:rPr>
                <w:color w:val="B02045"/>
                <w:sz w:val="21"/>
              </w:rPr>
              <w:t>2.11.2</w:t>
            </w:r>
          </w:p>
        </w:tc>
      </w:tr>
      <w:tr w:rsidR="00A720EB" w14:paraId="3613847C" w14:textId="77777777">
        <w:trPr>
          <w:trHeight w:val="368"/>
        </w:trPr>
        <w:tc>
          <w:tcPr>
            <w:tcW w:w="3325" w:type="dxa"/>
          </w:tcPr>
          <w:p w14:paraId="663C2182" w14:textId="77777777" w:rsidR="00A720EB" w:rsidRDefault="0030286B">
            <w:pPr>
              <w:pStyle w:val="TableParagraph"/>
              <w:rPr>
                <w:sz w:val="21"/>
              </w:rPr>
            </w:pPr>
            <w:proofErr w:type="gramStart"/>
            <w:r>
              <w:rPr>
                <w:color w:val="B02045"/>
                <w:sz w:val="21"/>
              </w:rPr>
              <w:t>com.fasterxml</w:t>
            </w:r>
            <w:proofErr w:type="gramEnd"/>
            <w:r>
              <w:rPr>
                <w:color w:val="B02045"/>
                <w:sz w:val="21"/>
              </w:rPr>
              <w:t>.jackson.module</w:t>
            </w:r>
          </w:p>
        </w:tc>
        <w:tc>
          <w:tcPr>
            <w:tcW w:w="3325" w:type="dxa"/>
          </w:tcPr>
          <w:p w14:paraId="2BDE6B3E" w14:textId="77777777" w:rsidR="00A720EB" w:rsidRDefault="0030286B">
            <w:pPr>
              <w:pStyle w:val="TableParagraph"/>
              <w:rPr>
                <w:sz w:val="21"/>
              </w:rPr>
            </w:pPr>
            <w:r>
              <w:rPr>
                <w:color w:val="B02045"/>
                <w:sz w:val="21"/>
              </w:rPr>
              <w:t>jackson-module-kotlin</w:t>
            </w:r>
          </w:p>
        </w:tc>
        <w:tc>
          <w:tcPr>
            <w:tcW w:w="3325" w:type="dxa"/>
          </w:tcPr>
          <w:p w14:paraId="0EC4FC66" w14:textId="77777777" w:rsidR="00A720EB" w:rsidRDefault="0030286B">
            <w:pPr>
              <w:pStyle w:val="TableParagraph"/>
              <w:rPr>
                <w:sz w:val="21"/>
              </w:rPr>
            </w:pPr>
            <w:r>
              <w:rPr>
                <w:color w:val="B02045"/>
                <w:sz w:val="21"/>
              </w:rPr>
              <w:t>2.11.2</w:t>
            </w:r>
          </w:p>
        </w:tc>
      </w:tr>
      <w:tr w:rsidR="00A720EB" w14:paraId="51480FF4" w14:textId="77777777">
        <w:trPr>
          <w:trHeight w:val="368"/>
        </w:trPr>
        <w:tc>
          <w:tcPr>
            <w:tcW w:w="3325" w:type="dxa"/>
          </w:tcPr>
          <w:p w14:paraId="25CE6210" w14:textId="77777777" w:rsidR="00A720EB" w:rsidRDefault="0030286B">
            <w:pPr>
              <w:pStyle w:val="TableParagraph"/>
              <w:spacing w:before="37"/>
              <w:rPr>
                <w:sz w:val="21"/>
              </w:rPr>
            </w:pPr>
            <w:proofErr w:type="gramStart"/>
            <w:r>
              <w:rPr>
                <w:color w:val="B02045"/>
                <w:sz w:val="21"/>
              </w:rPr>
              <w:t>com.fasterxml</w:t>
            </w:r>
            <w:proofErr w:type="gramEnd"/>
            <w:r>
              <w:rPr>
                <w:color w:val="B02045"/>
                <w:sz w:val="21"/>
              </w:rPr>
              <w:t>.jackson.module</w:t>
            </w:r>
          </w:p>
        </w:tc>
        <w:tc>
          <w:tcPr>
            <w:tcW w:w="3325" w:type="dxa"/>
          </w:tcPr>
          <w:p w14:paraId="7994D18E" w14:textId="77777777" w:rsidR="00A720EB" w:rsidRDefault="0030286B">
            <w:pPr>
              <w:pStyle w:val="TableParagraph"/>
              <w:spacing w:before="37"/>
              <w:rPr>
                <w:sz w:val="21"/>
              </w:rPr>
            </w:pPr>
            <w:r>
              <w:rPr>
                <w:color w:val="B02045"/>
                <w:sz w:val="21"/>
              </w:rPr>
              <w:t>jackson-module-mrbean</w:t>
            </w:r>
          </w:p>
        </w:tc>
        <w:tc>
          <w:tcPr>
            <w:tcW w:w="3325" w:type="dxa"/>
          </w:tcPr>
          <w:p w14:paraId="5D383B4E" w14:textId="77777777" w:rsidR="00A720EB" w:rsidRDefault="0030286B">
            <w:pPr>
              <w:pStyle w:val="TableParagraph"/>
              <w:spacing w:before="37"/>
              <w:rPr>
                <w:sz w:val="21"/>
              </w:rPr>
            </w:pPr>
            <w:r>
              <w:rPr>
                <w:color w:val="B02045"/>
                <w:sz w:val="21"/>
              </w:rPr>
              <w:t>2.11.2</w:t>
            </w:r>
          </w:p>
        </w:tc>
      </w:tr>
      <w:tr w:rsidR="00A720EB" w14:paraId="4477979C" w14:textId="77777777">
        <w:trPr>
          <w:trHeight w:val="368"/>
        </w:trPr>
        <w:tc>
          <w:tcPr>
            <w:tcW w:w="3325" w:type="dxa"/>
          </w:tcPr>
          <w:p w14:paraId="5498DDB4" w14:textId="77777777" w:rsidR="00A720EB" w:rsidRDefault="0030286B">
            <w:pPr>
              <w:pStyle w:val="TableParagraph"/>
              <w:rPr>
                <w:sz w:val="21"/>
              </w:rPr>
            </w:pPr>
            <w:proofErr w:type="gramStart"/>
            <w:r>
              <w:rPr>
                <w:color w:val="B02045"/>
                <w:sz w:val="21"/>
              </w:rPr>
              <w:t>com.fasterxml</w:t>
            </w:r>
            <w:proofErr w:type="gramEnd"/>
            <w:r>
              <w:rPr>
                <w:color w:val="B02045"/>
                <w:sz w:val="21"/>
              </w:rPr>
              <w:t>.jackson.module</w:t>
            </w:r>
          </w:p>
        </w:tc>
        <w:tc>
          <w:tcPr>
            <w:tcW w:w="3325" w:type="dxa"/>
          </w:tcPr>
          <w:p w14:paraId="077E28F9" w14:textId="77777777" w:rsidR="00A720EB" w:rsidRDefault="0030286B">
            <w:pPr>
              <w:pStyle w:val="TableParagraph"/>
              <w:rPr>
                <w:sz w:val="21"/>
              </w:rPr>
            </w:pPr>
            <w:r>
              <w:rPr>
                <w:color w:val="B02045"/>
                <w:sz w:val="21"/>
              </w:rPr>
              <w:t>jackson-module-osgi</w:t>
            </w:r>
          </w:p>
        </w:tc>
        <w:tc>
          <w:tcPr>
            <w:tcW w:w="3325" w:type="dxa"/>
          </w:tcPr>
          <w:p w14:paraId="0DF67F20" w14:textId="77777777" w:rsidR="00A720EB" w:rsidRDefault="0030286B">
            <w:pPr>
              <w:pStyle w:val="TableParagraph"/>
              <w:rPr>
                <w:sz w:val="21"/>
              </w:rPr>
            </w:pPr>
            <w:r>
              <w:rPr>
                <w:color w:val="B02045"/>
                <w:sz w:val="21"/>
              </w:rPr>
              <w:t>2.11.2</w:t>
            </w:r>
          </w:p>
        </w:tc>
      </w:tr>
      <w:tr w:rsidR="00A720EB" w14:paraId="48825444" w14:textId="77777777">
        <w:trPr>
          <w:trHeight w:val="368"/>
        </w:trPr>
        <w:tc>
          <w:tcPr>
            <w:tcW w:w="3325" w:type="dxa"/>
          </w:tcPr>
          <w:p w14:paraId="3B002339" w14:textId="77777777" w:rsidR="00A720EB" w:rsidRDefault="0030286B">
            <w:pPr>
              <w:pStyle w:val="TableParagraph"/>
              <w:spacing w:before="37"/>
              <w:rPr>
                <w:sz w:val="21"/>
              </w:rPr>
            </w:pPr>
            <w:proofErr w:type="gramStart"/>
            <w:r>
              <w:rPr>
                <w:color w:val="B02045"/>
                <w:sz w:val="21"/>
              </w:rPr>
              <w:lastRenderedPageBreak/>
              <w:t>com.fasterxml</w:t>
            </w:r>
            <w:proofErr w:type="gramEnd"/>
            <w:r>
              <w:rPr>
                <w:color w:val="B02045"/>
                <w:sz w:val="21"/>
              </w:rPr>
              <w:t>.jackson.module</w:t>
            </w:r>
          </w:p>
        </w:tc>
        <w:tc>
          <w:tcPr>
            <w:tcW w:w="3325" w:type="dxa"/>
          </w:tcPr>
          <w:p w14:paraId="0F541C99" w14:textId="77777777" w:rsidR="00A720EB" w:rsidRDefault="0030286B">
            <w:pPr>
              <w:pStyle w:val="TableParagraph"/>
              <w:spacing w:before="37"/>
              <w:rPr>
                <w:sz w:val="21"/>
              </w:rPr>
            </w:pPr>
            <w:r>
              <w:rPr>
                <w:color w:val="B02045"/>
                <w:sz w:val="21"/>
              </w:rPr>
              <w:t>jackson-module-parameter-names</w:t>
            </w:r>
          </w:p>
        </w:tc>
        <w:tc>
          <w:tcPr>
            <w:tcW w:w="3325" w:type="dxa"/>
          </w:tcPr>
          <w:p w14:paraId="28D9D9B9" w14:textId="77777777" w:rsidR="00A720EB" w:rsidRDefault="0030286B">
            <w:pPr>
              <w:pStyle w:val="TableParagraph"/>
              <w:spacing w:before="37"/>
              <w:rPr>
                <w:sz w:val="21"/>
              </w:rPr>
            </w:pPr>
            <w:r>
              <w:rPr>
                <w:color w:val="B02045"/>
                <w:sz w:val="21"/>
              </w:rPr>
              <w:t>2.11.2</w:t>
            </w:r>
          </w:p>
        </w:tc>
      </w:tr>
      <w:tr w:rsidR="00A720EB" w14:paraId="1C49FB15" w14:textId="77777777">
        <w:trPr>
          <w:trHeight w:val="368"/>
        </w:trPr>
        <w:tc>
          <w:tcPr>
            <w:tcW w:w="3325" w:type="dxa"/>
          </w:tcPr>
          <w:p w14:paraId="4AE7882C" w14:textId="77777777" w:rsidR="00A720EB" w:rsidRDefault="0030286B">
            <w:pPr>
              <w:pStyle w:val="TableParagraph"/>
              <w:rPr>
                <w:sz w:val="21"/>
              </w:rPr>
            </w:pPr>
            <w:proofErr w:type="gramStart"/>
            <w:r>
              <w:rPr>
                <w:color w:val="B02045"/>
                <w:sz w:val="21"/>
              </w:rPr>
              <w:t>com.fasterxml</w:t>
            </w:r>
            <w:proofErr w:type="gramEnd"/>
            <w:r>
              <w:rPr>
                <w:color w:val="B02045"/>
                <w:sz w:val="21"/>
              </w:rPr>
              <w:t>.jackson.module</w:t>
            </w:r>
          </w:p>
        </w:tc>
        <w:tc>
          <w:tcPr>
            <w:tcW w:w="3325" w:type="dxa"/>
          </w:tcPr>
          <w:p w14:paraId="2F5FE729" w14:textId="77777777" w:rsidR="00A720EB" w:rsidRDefault="0030286B">
            <w:pPr>
              <w:pStyle w:val="TableParagraph"/>
              <w:rPr>
                <w:sz w:val="21"/>
              </w:rPr>
            </w:pPr>
            <w:r>
              <w:rPr>
                <w:color w:val="B02045"/>
                <w:sz w:val="21"/>
              </w:rPr>
              <w:t>jackson-module-paranamer</w:t>
            </w:r>
          </w:p>
        </w:tc>
        <w:tc>
          <w:tcPr>
            <w:tcW w:w="3325" w:type="dxa"/>
          </w:tcPr>
          <w:p w14:paraId="0D33EE4F" w14:textId="77777777" w:rsidR="00A720EB" w:rsidRDefault="0030286B">
            <w:pPr>
              <w:pStyle w:val="TableParagraph"/>
              <w:rPr>
                <w:sz w:val="21"/>
              </w:rPr>
            </w:pPr>
            <w:r>
              <w:rPr>
                <w:color w:val="B02045"/>
                <w:sz w:val="21"/>
              </w:rPr>
              <w:t>2.11.2</w:t>
            </w:r>
          </w:p>
        </w:tc>
      </w:tr>
      <w:tr w:rsidR="00A720EB" w14:paraId="10375959" w14:textId="77777777">
        <w:trPr>
          <w:trHeight w:val="368"/>
        </w:trPr>
        <w:tc>
          <w:tcPr>
            <w:tcW w:w="3325" w:type="dxa"/>
          </w:tcPr>
          <w:p w14:paraId="5D3218D0" w14:textId="77777777" w:rsidR="00A720EB" w:rsidRDefault="0030286B">
            <w:pPr>
              <w:pStyle w:val="TableParagraph"/>
              <w:rPr>
                <w:sz w:val="21"/>
              </w:rPr>
            </w:pPr>
            <w:proofErr w:type="gramStart"/>
            <w:r>
              <w:rPr>
                <w:color w:val="B02045"/>
                <w:sz w:val="21"/>
              </w:rPr>
              <w:t>com.fasterxml</w:t>
            </w:r>
            <w:proofErr w:type="gramEnd"/>
            <w:r>
              <w:rPr>
                <w:color w:val="B02045"/>
                <w:sz w:val="21"/>
              </w:rPr>
              <w:t>.jackson.module</w:t>
            </w:r>
          </w:p>
        </w:tc>
        <w:tc>
          <w:tcPr>
            <w:tcW w:w="3325" w:type="dxa"/>
          </w:tcPr>
          <w:p w14:paraId="65EEC8A4" w14:textId="77777777" w:rsidR="00A720EB" w:rsidRDefault="0030286B">
            <w:pPr>
              <w:pStyle w:val="TableParagraph"/>
              <w:rPr>
                <w:sz w:val="21"/>
              </w:rPr>
            </w:pPr>
            <w:r>
              <w:rPr>
                <w:color w:val="B02045"/>
                <w:sz w:val="21"/>
              </w:rPr>
              <w:t>jackson-module-scala_2.10</w:t>
            </w:r>
          </w:p>
        </w:tc>
        <w:tc>
          <w:tcPr>
            <w:tcW w:w="3325" w:type="dxa"/>
          </w:tcPr>
          <w:p w14:paraId="149416B2" w14:textId="77777777" w:rsidR="00A720EB" w:rsidRDefault="0030286B">
            <w:pPr>
              <w:pStyle w:val="TableParagraph"/>
              <w:rPr>
                <w:sz w:val="21"/>
              </w:rPr>
            </w:pPr>
            <w:r>
              <w:rPr>
                <w:color w:val="B02045"/>
                <w:sz w:val="21"/>
              </w:rPr>
              <w:t>2.11.2</w:t>
            </w:r>
          </w:p>
        </w:tc>
      </w:tr>
      <w:tr w:rsidR="00A720EB" w14:paraId="32B2CE79" w14:textId="77777777">
        <w:trPr>
          <w:trHeight w:val="368"/>
        </w:trPr>
        <w:tc>
          <w:tcPr>
            <w:tcW w:w="3325" w:type="dxa"/>
          </w:tcPr>
          <w:p w14:paraId="366B6507" w14:textId="77777777" w:rsidR="00A720EB" w:rsidRDefault="0030286B">
            <w:pPr>
              <w:pStyle w:val="TableParagraph"/>
              <w:rPr>
                <w:sz w:val="21"/>
              </w:rPr>
            </w:pPr>
            <w:proofErr w:type="gramStart"/>
            <w:r>
              <w:rPr>
                <w:color w:val="B02045"/>
                <w:sz w:val="21"/>
              </w:rPr>
              <w:t>com.fasterxml</w:t>
            </w:r>
            <w:proofErr w:type="gramEnd"/>
            <w:r>
              <w:rPr>
                <w:color w:val="B02045"/>
                <w:sz w:val="21"/>
              </w:rPr>
              <w:t>.jackson.module</w:t>
            </w:r>
          </w:p>
        </w:tc>
        <w:tc>
          <w:tcPr>
            <w:tcW w:w="3325" w:type="dxa"/>
          </w:tcPr>
          <w:p w14:paraId="510F9223" w14:textId="77777777" w:rsidR="00A720EB" w:rsidRDefault="0030286B">
            <w:pPr>
              <w:pStyle w:val="TableParagraph"/>
              <w:rPr>
                <w:sz w:val="21"/>
              </w:rPr>
            </w:pPr>
            <w:r>
              <w:rPr>
                <w:color w:val="B02045"/>
                <w:sz w:val="21"/>
              </w:rPr>
              <w:t>jackson-module-scala_2.11</w:t>
            </w:r>
          </w:p>
        </w:tc>
        <w:tc>
          <w:tcPr>
            <w:tcW w:w="3325" w:type="dxa"/>
          </w:tcPr>
          <w:p w14:paraId="5D662553" w14:textId="77777777" w:rsidR="00A720EB" w:rsidRDefault="0030286B">
            <w:pPr>
              <w:pStyle w:val="TableParagraph"/>
              <w:rPr>
                <w:sz w:val="21"/>
              </w:rPr>
            </w:pPr>
            <w:r>
              <w:rPr>
                <w:color w:val="B02045"/>
                <w:sz w:val="21"/>
              </w:rPr>
              <w:t>2.11.2</w:t>
            </w:r>
          </w:p>
        </w:tc>
      </w:tr>
      <w:tr w:rsidR="00A720EB" w14:paraId="5795E601" w14:textId="77777777">
        <w:trPr>
          <w:trHeight w:val="368"/>
        </w:trPr>
        <w:tc>
          <w:tcPr>
            <w:tcW w:w="3325" w:type="dxa"/>
          </w:tcPr>
          <w:p w14:paraId="10A7D253" w14:textId="77777777" w:rsidR="00A720EB" w:rsidRDefault="0030286B">
            <w:pPr>
              <w:pStyle w:val="TableParagraph"/>
              <w:rPr>
                <w:sz w:val="21"/>
              </w:rPr>
            </w:pPr>
            <w:proofErr w:type="gramStart"/>
            <w:r>
              <w:rPr>
                <w:color w:val="B02045"/>
                <w:sz w:val="21"/>
              </w:rPr>
              <w:t>com.fasterxml</w:t>
            </w:r>
            <w:proofErr w:type="gramEnd"/>
            <w:r>
              <w:rPr>
                <w:color w:val="B02045"/>
                <w:sz w:val="21"/>
              </w:rPr>
              <w:t>.jackson.module</w:t>
            </w:r>
          </w:p>
        </w:tc>
        <w:tc>
          <w:tcPr>
            <w:tcW w:w="3325" w:type="dxa"/>
          </w:tcPr>
          <w:p w14:paraId="113C6FE1" w14:textId="77777777" w:rsidR="00A720EB" w:rsidRDefault="0030286B">
            <w:pPr>
              <w:pStyle w:val="TableParagraph"/>
              <w:rPr>
                <w:sz w:val="21"/>
              </w:rPr>
            </w:pPr>
            <w:r>
              <w:rPr>
                <w:color w:val="B02045"/>
                <w:sz w:val="21"/>
              </w:rPr>
              <w:t>jackson-module-scala_2.12</w:t>
            </w:r>
          </w:p>
        </w:tc>
        <w:tc>
          <w:tcPr>
            <w:tcW w:w="3325" w:type="dxa"/>
          </w:tcPr>
          <w:p w14:paraId="569CC747" w14:textId="77777777" w:rsidR="00A720EB" w:rsidRDefault="0030286B">
            <w:pPr>
              <w:pStyle w:val="TableParagraph"/>
              <w:rPr>
                <w:sz w:val="21"/>
              </w:rPr>
            </w:pPr>
            <w:r>
              <w:rPr>
                <w:color w:val="B02045"/>
                <w:sz w:val="21"/>
              </w:rPr>
              <w:t>2.11.2</w:t>
            </w:r>
          </w:p>
        </w:tc>
      </w:tr>
      <w:tr w:rsidR="00A720EB" w14:paraId="20E0119B" w14:textId="77777777">
        <w:trPr>
          <w:trHeight w:val="368"/>
        </w:trPr>
        <w:tc>
          <w:tcPr>
            <w:tcW w:w="3325" w:type="dxa"/>
          </w:tcPr>
          <w:p w14:paraId="2CA58DD4" w14:textId="77777777" w:rsidR="00A720EB" w:rsidRDefault="0030286B">
            <w:pPr>
              <w:pStyle w:val="TableParagraph"/>
              <w:rPr>
                <w:sz w:val="21"/>
              </w:rPr>
            </w:pPr>
            <w:proofErr w:type="gramStart"/>
            <w:r>
              <w:rPr>
                <w:color w:val="B02045"/>
                <w:sz w:val="21"/>
              </w:rPr>
              <w:t>com.fasterxml</w:t>
            </w:r>
            <w:proofErr w:type="gramEnd"/>
            <w:r>
              <w:rPr>
                <w:color w:val="B02045"/>
                <w:sz w:val="21"/>
              </w:rPr>
              <w:t>.jackson.module</w:t>
            </w:r>
          </w:p>
        </w:tc>
        <w:tc>
          <w:tcPr>
            <w:tcW w:w="3325" w:type="dxa"/>
          </w:tcPr>
          <w:p w14:paraId="663ED335" w14:textId="77777777" w:rsidR="00A720EB" w:rsidRDefault="0030286B">
            <w:pPr>
              <w:pStyle w:val="TableParagraph"/>
              <w:rPr>
                <w:sz w:val="21"/>
              </w:rPr>
            </w:pPr>
            <w:r>
              <w:rPr>
                <w:color w:val="B02045"/>
                <w:sz w:val="21"/>
              </w:rPr>
              <w:t>jackson-module-scala_2.13</w:t>
            </w:r>
          </w:p>
        </w:tc>
        <w:tc>
          <w:tcPr>
            <w:tcW w:w="3325" w:type="dxa"/>
          </w:tcPr>
          <w:p w14:paraId="13398640" w14:textId="77777777" w:rsidR="00A720EB" w:rsidRDefault="0030286B">
            <w:pPr>
              <w:pStyle w:val="TableParagraph"/>
              <w:rPr>
                <w:sz w:val="21"/>
              </w:rPr>
            </w:pPr>
            <w:r>
              <w:rPr>
                <w:color w:val="B02045"/>
                <w:sz w:val="21"/>
              </w:rPr>
              <w:t>2.11.2</w:t>
            </w:r>
          </w:p>
        </w:tc>
      </w:tr>
    </w:tbl>
    <w:p w14:paraId="4F101E4E"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74689636" w14:textId="77777777">
        <w:trPr>
          <w:trHeight w:val="415"/>
        </w:trPr>
        <w:tc>
          <w:tcPr>
            <w:tcW w:w="3325" w:type="dxa"/>
            <w:tcBorders>
              <w:bottom w:val="single" w:sz="12" w:space="0" w:color="DDDDDD"/>
            </w:tcBorders>
          </w:tcPr>
          <w:p w14:paraId="38677C9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75246A8C"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1118830F"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40E4F05B" w14:textId="77777777">
        <w:trPr>
          <w:trHeight w:val="358"/>
        </w:trPr>
        <w:tc>
          <w:tcPr>
            <w:tcW w:w="3325" w:type="dxa"/>
            <w:tcBorders>
              <w:top w:val="single" w:sz="12" w:space="0" w:color="DDDDDD"/>
            </w:tcBorders>
          </w:tcPr>
          <w:p w14:paraId="6B57858F" w14:textId="77777777" w:rsidR="00A720EB" w:rsidRDefault="0030286B">
            <w:pPr>
              <w:pStyle w:val="TableParagraph"/>
              <w:spacing w:before="27"/>
              <w:rPr>
                <w:sz w:val="21"/>
              </w:rPr>
            </w:pPr>
            <w:r>
              <w:rPr>
                <w:color w:val="B02045"/>
                <w:sz w:val="21"/>
              </w:rPr>
              <w:t>com.github.ben-</w:t>
            </w:r>
            <w:proofErr w:type="gramStart"/>
            <w:r>
              <w:rPr>
                <w:color w:val="B02045"/>
                <w:sz w:val="21"/>
              </w:rPr>
              <w:t>manes.caffeine</w:t>
            </w:r>
            <w:proofErr w:type="gramEnd"/>
          </w:p>
        </w:tc>
        <w:tc>
          <w:tcPr>
            <w:tcW w:w="3325" w:type="dxa"/>
            <w:tcBorders>
              <w:top w:val="single" w:sz="12" w:space="0" w:color="DDDDDD"/>
            </w:tcBorders>
          </w:tcPr>
          <w:p w14:paraId="17ABA72D" w14:textId="77777777" w:rsidR="00A720EB" w:rsidRDefault="0030286B">
            <w:pPr>
              <w:pStyle w:val="TableParagraph"/>
              <w:spacing w:before="27"/>
              <w:rPr>
                <w:sz w:val="21"/>
              </w:rPr>
            </w:pPr>
            <w:r>
              <w:rPr>
                <w:color w:val="B02045"/>
                <w:sz w:val="21"/>
              </w:rPr>
              <w:t>caffeine</w:t>
            </w:r>
          </w:p>
        </w:tc>
        <w:tc>
          <w:tcPr>
            <w:tcW w:w="3325" w:type="dxa"/>
            <w:tcBorders>
              <w:top w:val="single" w:sz="12" w:space="0" w:color="DDDDDD"/>
            </w:tcBorders>
          </w:tcPr>
          <w:p w14:paraId="2F39364D" w14:textId="77777777" w:rsidR="00A720EB" w:rsidRDefault="0030286B">
            <w:pPr>
              <w:pStyle w:val="TableParagraph"/>
              <w:spacing w:before="27"/>
              <w:rPr>
                <w:sz w:val="21"/>
              </w:rPr>
            </w:pPr>
            <w:r>
              <w:rPr>
                <w:color w:val="B02045"/>
                <w:sz w:val="21"/>
              </w:rPr>
              <w:t>2.8.5</w:t>
            </w:r>
          </w:p>
        </w:tc>
      </w:tr>
      <w:tr w:rsidR="00A720EB" w14:paraId="58A17488" w14:textId="77777777">
        <w:trPr>
          <w:trHeight w:val="368"/>
        </w:trPr>
        <w:tc>
          <w:tcPr>
            <w:tcW w:w="3325" w:type="dxa"/>
          </w:tcPr>
          <w:p w14:paraId="29E5985E" w14:textId="77777777" w:rsidR="00A720EB" w:rsidRDefault="0030286B">
            <w:pPr>
              <w:pStyle w:val="TableParagraph"/>
              <w:spacing w:before="37"/>
              <w:rPr>
                <w:sz w:val="21"/>
              </w:rPr>
            </w:pPr>
            <w:r>
              <w:rPr>
                <w:color w:val="B02045"/>
                <w:sz w:val="21"/>
              </w:rPr>
              <w:t>com.github.ben-</w:t>
            </w:r>
            <w:proofErr w:type="gramStart"/>
            <w:r>
              <w:rPr>
                <w:color w:val="B02045"/>
                <w:sz w:val="21"/>
              </w:rPr>
              <w:t>manes.caffeine</w:t>
            </w:r>
            <w:proofErr w:type="gramEnd"/>
          </w:p>
        </w:tc>
        <w:tc>
          <w:tcPr>
            <w:tcW w:w="3325" w:type="dxa"/>
          </w:tcPr>
          <w:p w14:paraId="681328A9" w14:textId="77777777" w:rsidR="00A720EB" w:rsidRDefault="0030286B">
            <w:pPr>
              <w:pStyle w:val="TableParagraph"/>
              <w:spacing w:before="37"/>
              <w:rPr>
                <w:sz w:val="21"/>
              </w:rPr>
            </w:pPr>
            <w:r>
              <w:rPr>
                <w:color w:val="B02045"/>
                <w:sz w:val="21"/>
              </w:rPr>
              <w:t>guava</w:t>
            </w:r>
          </w:p>
        </w:tc>
        <w:tc>
          <w:tcPr>
            <w:tcW w:w="3325" w:type="dxa"/>
          </w:tcPr>
          <w:p w14:paraId="420BC56B" w14:textId="77777777" w:rsidR="00A720EB" w:rsidRDefault="0030286B">
            <w:pPr>
              <w:pStyle w:val="TableParagraph"/>
              <w:spacing w:before="37"/>
              <w:rPr>
                <w:sz w:val="21"/>
              </w:rPr>
            </w:pPr>
            <w:r>
              <w:rPr>
                <w:color w:val="B02045"/>
                <w:sz w:val="21"/>
              </w:rPr>
              <w:t>2.8.5</w:t>
            </w:r>
          </w:p>
        </w:tc>
      </w:tr>
      <w:tr w:rsidR="00A720EB" w14:paraId="1C5B4158" w14:textId="77777777">
        <w:trPr>
          <w:trHeight w:val="368"/>
        </w:trPr>
        <w:tc>
          <w:tcPr>
            <w:tcW w:w="3325" w:type="dxa"/>
          </w:tcPr>
          <w:p w14:paraId="45007D5E" w14:textId="77777777" w:rsidR="00A720EB" w:rsidRDefault="0030286B">
            <w:pPr>
              <w:pStyle w:val="TableParagraph"/>
              <w:spacing w:before="37"/>
              <w:rPr>
                <w:sz w:val="21"/>
              </w:rPr>
            </w:pPr>
            <w:r>
              <w:rPr>
                <w:color w:val="B02045"/>
                <w:sz w:val="21"/>
              </w:rPr>
              <w:t>com.github.ben-</w:t>
            </w:r>
            <w:proofErr w:type="gramStart"/>
            <w:r>
              <w:rPr>
                <w:color w:val="B02045"/>
                <w:sz w:val="21"/>
              </w:rPr>
              <w:t>manes.caffeine</w:t>
            </w:r>
            <w:proofErr w:type="gramEnd"/>
          </w:p>
        </w:tc>
        <w:tc>
          <w:tcPr>
            <w:tcW w:w="3325" w:type="dxa"/>
          </w:tcPr>
          <w:p w14:paraId="3ED65192" w14:textId="77777777" w:rsidR="00A720EB" w:rsidRDefault="0030286B">
            <w:pPr>
              <w:pStyle w:val="TableParagraph"/>
              <w:spacing w:before="37"/>
              <w:rPr>
                <w:sz w:val="21"/>
              </w:rPr>
            </w:pPr>
            <w:r>
              <w:rPr>
                <w:color w:val="B02045"/>
                <w:sz w:val="21"/>
              </w:rPr>
              <w:t>jcache</w:t>
            </w:r>
          </w:p>
        </w:tc>
        <w:tc>
          <w:tcPr>
            <w:tcW w:w="3325" w:type="dxa"/>
          </w:tcPr>
          <w:p w14:paraId="3F042063" w14:textId="77777777" w:rsidR="00A720EB" w:rsidRDefault="0030286B">
            <w:pPr>
              <w:pStyle w:val="TableParagraph"/>
              <w:spacing w:before="37"/>
              <w:rPr>
                <w:sz w:val="21"/>
              </w:rPr>
            </w:pPr>
            <w:r>
              <w:rPr>
                <w:color w:val="B02045"/>
                <w:sz w:val="21"/>
              </w:rPr>
              <w:t>2.8.5</w:t>
            </w:r>
          </w:p>
        </w:tc>
      </w:tr>
      <w:tr w:rsidR="00A720EB" w14:paraId="3579F9BD" w14:textId="77777777">
        <w:trPr>
          <w:trHeight w:val="368"/>
        </w:trPr>
        <w:tc>
          <w:tcPr>
            <w:tcW w:w="3325" w:type="dxa"/>
          </w:tcPr>
          <w:p w14:paraId="73E69C77" w14:textId="77777777" w:rsidR="00A720EB" w:rsidRDefault="0030286B">
            <w:pPr>
              <w:pStyle w:val="TableParagraph"/>
              <w:rPr>
                <w:sz w:val="21"/>
              </w:rPr>
            </w:pPr>
            <w:r>
              <w:rPr>
                <w:color w:val="B02045"/>
                <w:sz w:val="21"/>
              </w:rPr>
              <w:t>com.github.ben-</w:t>
            </w:r>
            <w:proofErr w:type="gramStart"/>
            <w:r>
              <w:rPr>
                <w:color w:val="B02045"/>
                <w:sz w:val="21"/>
              </w:rPr>
              <w:t>manes.caffeine</w:t>
            </w:r>
            <w:proofErr w:type="gramEnd"/>
          </w:p>
        </w:tc>
        <w:tc>
          <w:tcPr>
            <w:tcW w:w="3325" w:type="dxa"/>
          </w:tcPr>
          <w:p w14:paraId="710D76B7" w14:textId="77777777" w:rsidR="00A720EB" w:rsidRDefault="0030286B">
            <w:pPr>
              <w:pStyle w:val="TableParagraph"/>
              <w:rPr>
                <w:sz w:val="21"/>
              </w:rPr>
            </w:pPr>
            <w:r>
              <w:rPr>
                <w:color w:val="B02045"/>
                <w:sz w:val="21"/>
              </w:rPr>
              <w:t>simulator</w:t>
            </w:r>
          </w:p>
        </w:tc>
        <w:tc>
          <w:tcPr>
            <w:tcW w:w="3325" w:type="dxa"/>
          </w:tcPr>
          <w:p w14:paraId="2C90437E" w14:textId="77777777" w:rsidR="00A720EB" w:rsidRDefault="0030286B">
            <w:pPr>
              <w:pStyle w:val="TableParagraph"/>
              <w:rPr>
                <w:sz w:val="21"/>
              </w:rPr>
            </w:pPr>
            <w:r>
              <w:rPr>
                <w:color w:val="B02045"/>
                <w:sz w:val="21"/>
              </w:rPr>
              <w:t>2.8.5</w:t>
            </w:r>
          </w:p>
        </w:tc>
      </w:tr>
      <w:tr w:rsidR="00A720EB" w14:paraId="28035D5E" w14:textId="77777777">
        <w:trPr>
          <w:trHeight w:val="627"/>
        </w:trPr>
        <w:tc>
          <w:tcPr>
            <w:tcW w:w="3325" w:type="dxa"/>
          </w:tcPr>
          <w:p w14:paraId="236E8DA5" w14:textId="77777777" w:rsidR="00A720EB" w:rsidRDefault="0030286B">
            <w:pPr>
              <w:pStyle w:val="TableParagraph"/>
              <w:spacing w:before="46" w:line="230" w:lineRule="auto"/>
              <w:ind w:right="85"/>
              <w:rPr>
                <w:sz w:val="21"/>
              </w:rPr>
            </w:pPr>
            <w:proofErr w:type="gramStart"/>
            <w:r>
              <w:rPr>
                <w:color w:val="B02045"/>
                <w:sz w:val="21"/>
              </w:rPr>
              <w:t>com.github</w:t>
            </w:r>
            <w:proofErr w:type="gramEnd"/>
            <w:r>
              <w:rPr>
                <w:color w:val="B02045"/>
                <w:sz w:val="21"/>
              </w:rPr>
              <w:t>.mxab.thymeleaf.extr as</w:t>
            </w:r>
          </w:p>
        </w:tc>
        <w:tc>
          <w:tcPr>
            <w:tcW w:w="3325" w:type="dxa"/>
          </w:tcPr>
          <w:p w14:paraId="633CBF71" w14:textId="77777777" w:rsidR="00A720EB" w:rsidRDefault="0030286B">
            <w:pPr>
              <w:pStyle w:val="TableParagraph"/>
              <w:spacing w:before="46" w:line="230" w:lineRule="auto"/>
              <w:ind w:right="925"/>
              <w:rPr>
                <w:sz w:val="21"/>
              </w:rPr>
            </w:pPr>
            <w:r>
              <w:rPr>
                <w:color w:val="B02045"/>
                <w:sz w:val="21"/>
              </w:rPr>
              <w:t>thymeleaf-extras-data- attribute</w:t>
            </w:r>
          </w:p>
        </w:tc>
        <w:tc>
          <w:tcPr>
            <w:tcW w:w="3325" w:type="dxa"/>
          </w:tcPr>
          <w:p w14:paraId="2C893D59" w14:textId="77777777" w:rsidR="00A720EB" w:rsidRDefault="0030286B">
            <w:pPr>
              <w:pStyle w:val="TableParagraph"/>
              <w:rPr>
                <w:sz w:val="21"/>
              </w:rPr>
            </w:pPr>
            <w:r>
              <w:rPr>
                <w:color w:val="B02045"/>
                <w:sz w:val="21"/>
              </w:rPr>
              <w:t>2.0.1</w:t>
            </w:r>
          </w:p>
        </w:tc>
      </w:tr>
      <w:tr w:rsidR="00A720EB" w14:paraId="729FEC48" w14:textId="77777777">
        <w:trPr>
          <w:trHeight w:val="368"/>
        </w:trPr>
        <w:tc>
          <w:tcPr>
            <w:tcW w:w="3325" w:type="dxa"/>
          </w:tcPr>
          <w:p w14:paraId="2421B76A" w14:textId="77777777" w:rsidR="00A720EB" w:rsidRDefault="0030286B">
            <w:pPr>
              <w:pStyle w:val="TableParagraph"/>
              <w:rPr>
                <w:sz w:val="21"/>
              </w:rPr>
            </w:pPr>
            <w:proofErr w:type="gramStart"/>
            <w:r>
              <w:rPr>
                <w:color w:val="B02045"/>
                <w:sz w:val="21"/>
              </w:rPr>
              <w:t>com.google</w:t>
            </w:r>
            <w:proofErr w:type="gramEnd"/>
            <w:r>
              <w:rPr>
                <w:color w:val="B02045"/>
                <w:sz w:val="21"/>
              </w:rPr>
              <w:t>.appengine</w:t>
            </w:r>
          </w:p>
        </w:tc>
        <w:tc>
          <w:tcPr>
            <w:tcW w:w="3325" w:type="dxa"/>
          </w:tcPr>
          <w:p w14:paraId="3C86364C" w14:textId="77777777" w:rsidR="00A720EB" w:rsidRDefault="0030286B">
            <w:pPr>
              <w:pStyle w:val="TableParagraph"/>
              <w:rPr>
                <w:sz w:val="21"/>
              </w:rPr>
            </w:pPr>
            <w:r>
              <w:rPr>
                <w:color w:val="B02045"/>
                <w:sz w:val="21"/>
              </w:rPr>
              <w:t>appengine-api-1.0-sdk</w:t>
            </w:r>
          </w:p>
        </w:tc>
        <w:tc>
          <w:tcPr>
            <w:tcW w:w="3325" w:type="dxa"/>
          </w:tcPr>
          <w:p w14:paraId="03DDE4D2" w14:textId="77777777" w:rsidR="00A720EB" w:rsidRDefault="0030286B">
            <w:pPr>
              <w:pStyle w:val="TableParagraph"/>
              <w:rPr>
                <w:sz w:val="21"/>
              </w:rPr>
            </w:pPr>
            <w:r>
              <w:rPr>
                <w:color w:val="B02045"/>
                <w:sz w:val="21"/>
              </w:rPr>
              <w:t>1.9.82</w:t>
            </w:r>
          </w:p>
        </w:tc>
      </w:tr>
      <w:tr w:rsidR="00A720EB" w14:paraId="7090F16D" w14:textId="77777777">
        <w:trPr>
          <w:trHeight w:val="368"/>
        </w:trPr>
        <w:tc>
          <w:tcPr>
            <w:tcW w:w="3325" w:type="dxa"/>
          </w:tcPr>
          <w:p w14:paraId="7C38757F" w14:textId="77777777" w:rsidR="00A720EB" w:rsidRDefault="0030286B">
            <w:pPr>
              <w:pStyle w:val="TableParagraph"/>
              <w:spacing w:before="37"/>
              <w:rPr>
                <w:sz w:val="21"/>
              </w:rPr>
            </w:pPr>
            <w:proofErr w:type="gramStart"/>
            <w:r>
              <w:rPr>
                <w:color w:val="B02045"/>
                <w:sz w:val="21"/>
              </w:rPr>
              <w:t>com.google</w:t>
            </w:r>
            <w:proofErr w:type="gramEnd"/>
            <w:r>
              <w:rPr>
                <w:color w:val="B02045"/>
                <w:sz w:val="21"/>
              </w:rPr>
              <w:t>.cloud</w:t>
            </w:r>
          </w:p>
        </w:tc>
        <w:tc>
          <w:tcPr>
            <w:tcW w:w="3325" w:type="dxa"/>
          </w:tcPr>
          <w:p w14:paraId="1D008658" w14:textId="77777777" w:rsidR="00A720EB" w:rsidRDefault="0030286B">
            <w:pPr>
              <w:pStyle w:val="TableParagraph"/>
              <w:spacing w:before="37"/>
              <w:rPr>
                <w:sz w:val="21"/>
              </w:rPr>
            </w:pPr>
            <w:r>
              <w:rPr>
                <w:color w:val="B02045"/>
                <w:sz w:val="21"/>
              </w:rPr>
              <w:t>cloud-spanner-r2dbc</w:t>
            </w:r>
          </w:p>
        </w:tc>
        <w:tc>
          <w:tcPr>
            <w:tcW w:w="3325" w:type="dxa"/>
          </w:tcPr>
          <w:p w14:paraId="382EA587" w14:textId="77777777" w:rsidR="00A720EB" w:rsidRDefault="0030286B">
            <w:pPr>
              <w:pStyle w:val="TableParagraph"/>
              <w:spacing w:before="37"/>
              <w:rPr>
                <w:sz w:val="21"/>
              </w:rPr>
            </w:pPr>
            <w:r>
              <w:rPr>
                <w:color w:val="B02045"/>
                <w:sz w:val="21"/>
              </w:rPr>
              <w:t>0.2.0</w:t>
            </w:r>
          </w:p>
        </w:tc>
      </w:tr>
      <w:tr w:rsidR="00A720EB" w14:paraId="1A18C85D" w14:textId="77777777">
        <w:trPr>
          <w:trHeight w:val="368"/>
        </w:trPr>
        <w:tc>
          <w:tcPr>
            <w:tcW w:w="3325" w:type="dxa"/>
          </w:tcPr>
          <w:p w14:paraId="038AC415" w14:textId="77777777" w:rsidR="00A720EB" w:rsidRDefault="0030286B">
            <w:pPr>
              <w:pStyle w:val="TableParagraph"/>
              <w:spacing w:before="37"/>
              <w:rPr>
                <w:sz w:val="21"/>
              </w:rPr>
            </w:pPr>
            <w:proofErr w:type="gramStart"/>
            <w:r>
              <w:rPr>
                <w:color w:val="B02045"/>
                <w:sz w:val="21"/>
              </w:rPr>
              <w:t>com.google</w:t>
            </w:r>
            <w:proofErr w:type="gramEnd"/>
            <w:r>
              <w:rPr>
                <w:color w:val="B02045"/>
                <w:sz w:val="21"/>
              </w:rPr>
              <w:t>.code.gson</w:t>
            </w:r>
          </w:p>
        </w:tc>
        <w:tc>
          <w:tcPr>
            <w:tcW w:w="3325" w:type="dxa"/>
          </w:tcPr>
          <w:p w14:paraId="7D91193D" w14:textId="77777777" w:rsidR="00A720EB" w:rsidRDefault="0030286B">
            <w:pPr>
              <w:pStyle w:val="TableParagraph"/>
              <w:spacing w:before="37"/>
              <w:rPr>
                <w:sz w:val="21"/>
              </w:rPr>
            </w:pPr>
            <w:r>
              <w:rPr>
                <w:color w:val="B02045"/>
                <w:sz w:val="21"/>
              </w:rPr>
              <w:t>gson</w:t>
            </w:r>
          </w:p>
        </w:tc>
        <w:tc>
          <w:tcPr>
            <w:tcW w:w="3325" w:type="dxa"/>
          </w:tcPr>
          <w:p w14:paraId="42824188" w14:textId="77777777" w:rsidR="00A720EB" w:rsidRDefault="0030286B">
            <w:pPr>
              <w:pStyle w:val="TableParagraph"/>
              <w:spacing w:before="37"/>
              <w:rPr>
                <w:sz w:val="21"/>
              </w:rPr>
            </w:pPr>
            <w:r>
              <w:rPr>
                <w:color w:val="B02045"/>
                <w:sz w:val="21"/>
              </w:rPr>
              <w:t>2.8.6</w:t>
            </w:r>
          </w:p>
        </w:tc>
      </w:tr>
      <w:tr w:rsidR="00A720EB" w14:paraId="7FCBD8E7" w14:textId="77777777">
        <w:trPr>
          <w:trHeight w:val="368"/>
        </w:trPr>
        <w:tc>
          <w:tcPr>
            <w:tcW w:w="3325" w:type="dxa"/>
          </w:tcPr>
          <w:p w14:paraId="43CB55FA" w14:textId="77777777" w:rsidR="00A720EB" w:rsidRDefault="0030286B">
            <w:pPr>
              <w:pStyle w:val="TableParagraph"/>
              <w:spacing w:before="37"/>
              <w:rPr>
                <w:sz w:val="21"/>
              </w:rPr>
            </w:pPr>
            <w:r>
              <w:rPr>
                <w:color w:val="B02045"/>
                <w:sz w:val="21"/>
              </w:rPr>
              <w:t>com.h2database</w:t>
            </w:r>
          </w:p>
        </w:tc>
        <w:tc>
          <w:tcPr>
            <w:tcW w:w="3325" w:type="dxa"/>
          </w:tcPr>
          <w:p w14:paraId="6AAE2884" w14:textId="77777777" w:rsidR="00A720EB" w:rsidRDefault="0030286B">
            <w:pPr>
              <w:pStyle w:val="TableParagraph"/>
              <w:spacing w:before="37"/>
              <w:rPr>
                <w:sz w:val="21"/>
              </w:rPr>
            </w:pPr>
            <w:r>
              <w:rPr>
                <w:color w:val="B02045"/>
                <w:sz w:val="21"/>
              </w:rPr>
              <w:t>h2</w:t>
            </w:r>
          </w:p>
        </w:tc>
        <w:tc>
          <w:tcPr>
            <w:tcW w:w="3325" w:type="dxa"/>
          </w:tcPr>
          <w:p w14:paraId="365541D8" w14:textId="77777777" w:rsidR="00A720EB" w:rsidRDefault="0030286B">
            <w:pPr>
              <w:pStyle w:val="TableParagraph"/>
              <w:spacing w:before="37"/>
              <w:rPr>
                <w:sz w:val="21"/>
              </w:rPr>
            </w:pPr>
            <w:r>
              <w:rPr>
                <w:color w:val="B02045"/>
                <w:sz w:val="21"/>
              </w:rPr>
              <w:t>1.4.200</w:t>
            </w:r>
          </w:p>
        </w:tc>
      </w:tr>
      <w:tr w:rsidR="00A720EB" w14:paraId="4CA572B0" w14:textId="77777777">
        <w:trPr>
          <w:trHeight w:val="368"/>
        </w:trPr>
        <w:tc>
          <w:tcPr>
            <w:tcW w:w="3325" w:type="dxa"/>
          </w:tcPr>
          <w:p w14:paraId="4A4D032A" w14:textId="77777777" w:rsidR="00A720EB" w:rsidRDefault="0030286B">
            <w:pPr>
              <w:pStyle w:val="TableParagraph"/>
              <w:spacing w:before="37"/>
              <w:rPr>
                <w:sz w:val="21"/>
              </w:rPr>
            </w:pPr>
            <w:proofErr w:type="gramStart"/>
            <w:r>
              <w:rPr>
                <w:color w:val="B02045"/>
                <w:sz w:val="21"/>
              </w:rPr>
              <w:t>com.hazelcast</w:t>
            </w:r>
            <w:proofErr w:type="gramEnd"/>
          </w:p>
        </w:tc>
        <w:tc>
          <w:tcPr>
            <w:tcW w:w="3325" w:type="dxa"/>
          </w:tcPr>
          <w:p w14:paraId="077F35CE" w14:textId="77777777" w:rsidR="00A720EB" w:rsidRDefault="0030286B">
            <w:pPr>
              <w:pStyle w:val="TableParagraph"/>
              <w:spacing w:before="37"/>
              <w:rPr>
                <w:sz w:val="21"/>
              </w:rPr>
            </w:pPr>
            <w:r>
              <w:rPr>
                <w:color w:val="B02045"/>
                <w:sz w:val="21"/>
              </w:rPr>
              <w:t>hazelcast</w:t>
            </w:r>
          </w:p>
        </w:tc>
        <w:tc>
          <w:tcPr>
            <w:tcW w:w="3325" w:type="dxa"/>
          </w:tcPr>
          <w:p w14:paraId="363FE79E" w14:textId="77777777" w:rsidR="00A720EB" w:rsidRDefault="0030286B">
            <w:pPr>
              <w:pStyle w:val="TableParagraph"/>
              <w:spacing w:before="37"/>
              <w:rPr>
                <w:sz w:val="21"/>
              </w:rPr>
            </w:pPr>
            <w:r>
              <w:rPr>
                <w:color w:val="B02045"/>
                <w:sz w:val="21"/>
              </w:rPr>
              <w:t>3.12.9</w:t>
            </w:r>
          </w:p>
        </w:tc>
      </w:tr>
      <w:tr w:rsidR="00A720EB" w14:paraId="0A4240B8" w14:textId="77777777">
        <w:trPr>
          <w:trHeight w:val="368"/>
        </w:trPr>
        <w:tc>
          <w:tcPr>
            <w:tcW w:w="3325" w:type="dxa"/>
          </w:tcPr>
          <w:p w14:paraId="022D9F0F" w14:textId="77777777" w:rsidR="00A720EB" w:rsidRDefault="0030286B">
            <w:pPr>
              <w:pStyle w:val="TableParagraph"/>
              <w:rPr>
                <w:sz w:val="21"/>
              </w:rPr>
            </w:pPr>
            <w:proofErr w:type="gramStart"/>
            <w:r>
              <w:rPr>
                <w:color w:val="B02045"/>
                <w:sz w:val="21"/>
              </w:rPr>
              <w:t>com.hazelcast</w:t>
            </w:r>
            <w:proofErr w:type="gramEnd"/>
          </w:p>
        </w:tc>
        <w:tc>
          <w:tcPr>
            <w:tcW w:w="3325" w:type="dxa"/>
          </w:tcPr>
          <w:p w14:paraId="2B3BC31D" w14:textId="77777777" w:rsidR="00A720EB" w:rsidRDefault="0030286B">
            <w:pPr>
              <w:pStyle w:val="TableParagraph"/>
              <w:rPr>
                <w:sz w:val="21"/>
              </w:rPr>
            </w:pPr>
            <w:r>
              <w:rPr>
                <w:color w:val="B02045"/>
                <w:sz w:val="21"/>
              </w:rPr>
              <w:t>hazelcast-client</w:t>
            </w:r>
          </w:p>
        </w:tc>
        <w:tc>
          <w:tcPr>
            <w:tcW w:w="3325" w:type="dxa"/>
          </w:tcPr>
          <w:p w14:paraId="2EB90003" w14:textId="77777777" w:rsidR="00A720EB" w:rsidRDefault="0030286B">
            <w:pPr>
              <w:pStyle w:val="TableParagraph"/>
              <w:rPr>
                <w:sz w:val="21"/>
              </w:rPr>
            </w:pPr>
            <w:r>
              <w:rPr>
                <w:color w:val="B02045"/>
                <w:sz w:val="21"/>
              </w:rPr>
              <w:t>3.12.9</w:t>
            </w:r>
          </w:p>
        </w:tc>
      </w:tr>
      <w:tr w:rsidR="00A720EB" w14:paraId="59BFBDDB" w14:textId="77777777">
        <w:trPr>
          <w:trHeight w:val="368"/>
        </w:trPr>
        <w:tc>
          <w:tcPr>
            <w:tcW w:w="3325" w:type="dxa"/>
          </w:tcPr>
          <w:p w14:paraId="2AB98D37" w14:textId="77777777" w:rsidR="00A720EB" w:rsidRDefault="0030286B">
            <w:pPr>
              <w:pStyle w:val="TableParagraph"/>
              <w:rPr>
                <w:sz w:val="21"/>
              </w:rPr>
            </w:pPr>
            <w:proofErr w:type="gramStart"/>
            <w:r>
              <w:rPr>
                <w:color w:val="B02045"/>
                <w:sz w:val="21"/>
              </w:rPr>
              <w:t>com.hazelcast</w:t>
            </w:r>
            <w:proofErr w:type="gramEnd"/>
          </w:p>
        </w:tc>
        <w:tc>
          <w:tcPr>
            <w:tcW w:w="3325" w:type="dxa"/>
          </w:tcPr>
          <w:p w14:paraId="2B6B3D91" w14:textId="77777777" w:rsidR="00A720EB" w:rsidRDefault="0030286B">
            <w:pPr>
              <w:pStyle w:val="TableParagraph"/>
              <w:rPr>
                <w:sz w:val="21"/>
              </w:rPr>
            </w:pPr>
            <w:r>
              <w:rPr>
                <w:color w:val="B02045"/>
                <w:sz w:val="21"/>
              </w:rPr>
              <w:t>hazelcast-hibernate52</w:t>
            </w:r>
          </w:p>
        </w:tc>
        <w:tc>
          <w:tcPr>
            <w:tcW w:w="3325" w:type="dxa"/>
          </w:tcPr>
          <w:p w14:paraId="4C259B32" w14:textId="77777777" w:rsidR="00A720EB" w:rsidRDefault="0030286B">
            <w:pPr>
              <w:pStyle w:val="TableParagraph"/>
              <w:rPr>
                <w:sz w:val="21"/>
              </w:rPr>
            </w:pPr>
            <w:r>
              <w:rPr>
                <w:color w:val="B02045"/>
                <w:sz w:val="21"/>
              </w:rPr>
              <w:t>1.3.2</w:t>
            </w:r>
          </w:p>
        </w:tc>
      </w:tr>
      <w:tr w:rsidR="00A720EB" w14:paraId="603DA50E" w14:textId="77777777">
        <w:trPr>
          <w:trHeight w:val="368"/>
        </w:trPr>
        <w:tc>
          <w:tcPr>
            <w:tcW w:w="3325" w:type="dxa"/>
          </w:tcPr>
          <w:p w14:paraId="2BE35B98" w14:textId="77777777" w:rsidR="00A720EB" w:rsidRDefault="0030286B">
            <w:pPr>
              <w:pStyle w:val="TableParagraph"/>
              <w:rPr>
                <w:sz w:val="21"/>
              </w:rPr>
            </w:pPr>
            <w:proofErr w:type="gramStart"/>
            <w:r>
              <w:rPr>
                <w:color w:val="B02045"/>
                <w:sz w:val="21"/>
              </w:rPr>
              <w:t>com.hazelcast</w:t>
            </w:r>
            <w:proofErr w:type="gramEnd"/>
          </w:p>
        </w:tc>
        <w:tc>
          <w:tcPr>
            <w:tcW w:w="3325" w:type="dxa"/>
          </w:tcPr>
          <w:p w14:paraId="4C3D9250" w14:textId="77777777" w:rsidR="00A720EB" w:rsidRDefault="0030286B">
            <w:pPr>
              <w:pStyle w:val="TableParagraph"/>
              <w:rPr>
                <w:sz w:val="21"/>
              </w:rPr>
            </w:pPr>
            <w:r>
              <w:rPr>
                <w:color w:val="B02045"/>
                <w:sz w:val="21"/>
              </w:rPr>
              <w:t>hazelcast-hibernate53</w:t>
            </w:r>
          </w:p>
        </w:tc>
        <w:tc>
          <w:tcPr>
            <w:tcW w:w="3325" w:type="dxa"/>
          </w:tcPr>
          <w:p w14:paraId="7122D476" w14:textId="77777777" w:rsidR="00A720EB" w:rsidRDefault="0030286B">
            <w:pPr>
              <w:pStyle w:val="TableParagraph"/>
              <w:rPr>
                <w:sz w:val="21"/>
              </w:rPr>
            </w:pPr>
            <w:r>
              <w:rPr>
                <w:color w:val="B02045"/>
                <w:sz w:val="21"/>
              </w:rPr>
              <w:t>1.3.2</w:t>
            </w:r>
          </w:p>
        </w:tc>
      </w:tr>
      <w:tr w:rsidR="00A720EB" w14:paraId="49826C64" w14:textId="77777777">
        <w:trPr>
          <w:trHeight w:val="368"/>
        </w:trPr>
        <w:tc>
          <w:tcPr>
            <w:tcW w:w="3325" w:type="dxa"/>
          </w:tcPr>
          <w:p w14:paraId="37F20365" w14:textId="77777777" w:rsidR="00A720EB" w:rsidRDefault="0030286B">
            <w:pPr>
              <w:pStyle w:val="TableParagraph"/>
              <w:rPr>
                <w:sz w:val="21"/>
              </w:rPr>
            </w:pPr>
            <w:proofErr w:type="gramStart"/>
            <w:r>
              <w:rPr>
                <w:color w:val="B02045"/>
                <w:sz w:val="21"/>
              </w:rPr>
              <w:t>com.hazelcast</w:t>
            </w:r>
            <w:proofErr w:type="gramEnd"/>
          </w:p>
        </w:tc>
        <w:tc>
          <w:tcPr>
            <w:tcW w:w="3325" w:type="dxa"/>
          </w:tcPr>
          <w:p w14:paraId="5A791674" w14:textId="77777777" w:rsidR="00A720EB" w:rsidRDefault="0030286B">
            <w:pPr>
              <w:pStyle w:val="TableParagraph"/>
              <w:rPr>
                <w:sz w:val="21"/>
              </w:rPr>
            </w:pPr>
            <w:r>
              <w:rPr>
                <w:color w:val="B02045"/>
                <w:sz w:val="21"/>
              </w:rPr>
              <w:t>hazelcast-spring</w:t>
            </w:r>
          </w:p>
        </w:tc>
        <w:tc>
          <w:tcPr>
            <w:tcW w:w="3325" w:type="dxa"/>
          </w:tcPr>
          <w:p w14:paraId="725F3508" w14:textId="77777777" w:rsidR="00A720EB" w:rsidRDefault="0030286B">
            <w:pPr>
              <w:pStyle w:val="TableParagraph"/>
              <w:rPr>
                <w:sz w:val="21"/>
              </w:rPr>
            </w:pPr>
            <w:r>
              <w:rPr>
                <w:color w:val="B02045"/>
                <w:sz w:val="21"/>
              </w:rPr>
              <w:t>3.12.9</w:t>
            </w:r>
          </w:p>
        </w:tc>
      </w:tr>
      <w:tr w:rsidR="00A720EB" w14:paraId="2755B68D" w14:textId="77777777">
        <w:trPr>
          <w:trHeight w:val="368"/>
        </w:trPr>
        <w:tc>
          <w:tcPr>
            <w:tcW w:w="3325" w:type="dxa"/>
          </w:tcPr>
          <w:p w14:paraId="2B85152A" w14:textId="77777777" w:rsidR="00A720EB" w:rsidRDefault="0030286B">
            <w:pPr>
              <w:pStyle w:val="TableParagraph"/>
              <w:rPr>
                <w:sz w:val="21"/>
              </w:rPr>
            </w:pPr>
            <w:r>
              <w:rPr>
                <w:color w:val="B02045"/>
                <w:sz w:val="21"/>
              </w:rPr>
              <w:t>com.ibm.db2</w:t>
            </w:r>
          </w:p>
        </w:tc>
        <w:tc>
          <w:tcPr>
            <w:tcW w:w="3325" w:type="dxa"/>
          </w:tcPr>
          <w:p w14:paraId="2B89C81F" w14:textId="77777777" w:rsidR="00A720EB" w:rsidRDefault="0030286B">
            <w:pPr>
              <w:pStyle w:val="TableParagraph"/>
              <w:rPr>
                <w:sz w:val="21"/>
              </w:rPr>
            </w:pPr>
            <w:r>
              <w:rPr>
                <w:color w:val="B02045"/>
                <w:sz w:val="21"/>
              </w:rPr>
              <w:t>jcc</w:t>
            </w:r>
          </w:p>
        </w:tc>
        <w:tc>
          <w:tcPr>
            <w:tcW w:w="3325" w:type="dxa"/>
          </w:tcPr>
          <w:p w14:paraId="5FCF1B43" w14:textId="77777777" w:rsidR="00A720EB" w:rsidRDefault="0030286B">
            <w:pPr>
              <w:pStyle w:val="TableParagraph"/>
              <w:rPr>
                <w:sz w:val="21"/>
              </w:rPr>
            </w:pPr>
            <w:r>
              <w:rPr>
                <w:color w:val="B02045"/>
                <w:sz w:val="21"/>
              </w:rPr>
              <w:t>11.5.4.0</w:t>
            </w:r>
          </w:p>
        </w:tc>
      </w:tr>
      <w:tr w:rsidR="00A720EB" w14:paraId="2F68F4EF" w14:textId="77777777">
        <w:trPr>
          <w:trHeight w:val="368"/>
        </w:trPr>
        <w:tc>
          <w:tcPr>
            <w:tcW w:w="3325" w:type="dxa"/>
          </w:tcPr>
          <w:p w14:paraId="1E491791" w14:textId="77777777" w:rsidR="00A720EB" w:rsidRDefault="0030286B">
            <w:pPr>
              <w:pStyle w:val="TableParagraph"/>
              <w:rPr>
                <w:sz w:val="21"/>
              </w:rPr>
            </w:pPr>
            <w:proofErr w:type="gramStart"/>
            <w:r>
              <w:rPr>
                <w:color w:val="B02045"/>
                <w:sz w:val="21"/>
              </w:rPr>
              <w:t>com.jayway</w:t>
            </w:r>
            <w:proofErr w:type="gramEnd"/>
            <w:r>
              <w:rPr>
                <w:color w:val="B02045"/>
                <w:sz w:val="21"/>
              </w:rPr>
              <w:t>.jsonpath</w:t>
            </w:r>
          </w:p>
        </w:tc>
        <w:tc>
          <w:tcPr>
            <w:tcW w:w="3325" w:type="dxa"/>
          </w:tcPr>
          <w:p w14:paraId="7519CF11" w14:textId="77777777" w:rsidR="00A720EB" w:rsidRDefault="0030286B">
            <w:pPr>
              <w:pStyle w:val="TableParagraph"/>
              <w:rPr>
                <w:sz w:val="21"/>
              </w:rPr>
            </w:pPr>
            <w:r>
              <w:rPr>
                <w:color w:val="B02045"/>
                <w:sz w:val="21"/>
              </w:rPr>
              <w:t>json-path</w:t>
            </w:r>
          </w:p>
        </w:tc>
        <w:tc>
          <w:tcPr>
            <w:tcW w:w="3325" w:type="dxa"/>
          </w:tcPr>
          <w:p w14:paraId="7A29C49F" w14:textId="77777777" w:rsidR="00A720EB" w:rsidRDefault="0030286B">
            <w:pPr>
              <w:pStyle w:val="TableParagraph"/>
              <w:rPr>
                <w:sz w:val="21"/>
              </w:rPr>
            </w:pPr>
            <w:r>
              <w:rPr>
                <w:color w:val="B02045"/>
                <w:sz w:val="21"/>
              </w:rPr>
              <w:t>2.4.0</w:t>
            </w:r>
          </w:p>
        </w:tc>
      </w:tr>
      <w:tr w:rsidR="00A720EB" w14:paraId="295ED0E8" w14:textId="77777777">
        <w:trPr>
          <w:trHeight w:val="368"/>
        </w:trPr>
        <w:tc>
          <w:tcPr>
            <w:tcW w:w="3325" w:type="dxa"/>
          </w:tcPr>
          <w:p w14:paraId="68894153" w14:textId="77777777" w:rsidR="00A720EB" w:rsidRDefault="0030286B">
            <w:pPr>
              <w:pStyle w:val="TableParagraph"/>
              <w:spacing w:before="37"/>
              <w:rPr>
                <w:sz w:val="21"/>
              </w:rPr>
            </w:pPr>
            <w:proofErr w:type="gramStart"/>
            <w:r>
              <w:rPr>
                <w:color w:val="B02045"/>
                <w:sz w:val="21"/>
              </w:rPr>
              <w:t>com.jayway</w:t>
            </w:r>
            <w:proofErr w:type="gramEnd"/>
            <w:r>
              <w:rPr>
                <w:color w:val="B02045"/>
                <w:sz w:val="21"/>
              </w:rPr>
              <w:t>.jsonpath</w:t>
            </w:r>
          </w:p>
        </w:tc>
        <w:tc>
          <w:tcPr>
            <w:tcW w:w="3325" w:type="dxa"/>
          </w:tcPr>
          <w:p w14:paraId="749BF872" w14:textId="77777777" w:rsidR="00A720EB" w:rsidRDefault="0030286B">
            <w:pPr>
              <w:pStyle w:val="TableParagraph"/>
              <w:spacing w:before="37"/>
              <w:rPr>
                <w:sz w:val="21"/>
              </w:rPr>
            </w:pPr>
            <w:r>
              <w:rPr>
                <w:color w:val="B02045"/>
                <w:sz w:val="21"/>
              </w:rPr>
              <w:t>json-path-assert</w:t>
            </w:r>
          </w:p>
        </w:tc>
        <w:tc>
          <w:tcPr>
            <w:tcW w:w="3325" w:type="dxa"/>
          </w:tcPr>
          <w:p w14:paraId="1E9731D1" w14:textId="77777777" w:rsidR="00A720EB" w:rsidRDefault="0030286B">
            <w:pPr>
              <w:pStyle w:val="TableParagraph"/>
              <w:spacing w:before="37"/>
              <w:rPr>
                <w:sz w:val="21"/>
              </w:rPr>
            </w:pPr>
            <w:r>
              <w:rPr>
                <w:color w:val="B02045"/>
                <w:sz w:val="21"/>
              </w:rPr>
              <w:t>2.4.0</w:t>
            </w:r>
          </w:p>
        </w:tc>
      </w:tr>
      <w:tr w:rsidR="00A720EB" w14:paraId="3134B269" w14:textId="77777777">
        <w:trPr>
          <w:trHeight w:val="368"/>
        </w:trPr>
        <w:tc>
          <w:tcPr>
            <w:tcW w:w="3325" w:type="dxa"/>
          </w:tcPr>
          <w:p w14:paraId="35810DAD" w14:textId="77777777" w:rsidR="00A720EB" w:rsidRDefault="0030286B">
            <w:pPr>
              <w:pStyle w:val="TableParagraph"/>
              <w:spacing w:before="37"/>
              <w:rPr>
                <w:sz w:val="21"/>
              </w:rPr>
            </w:pPr>
            <w:proofErr w:type="gramStart"/>
            <w:r>
              <w:rPr>
                <w:color w:val="B02045"/>
                <w:sz w:val="21"/>
              </w:rPr>
              <w:t>com.microsoft</w:t>
            </w:r>
            <w:proofErr w:type="gramEnd"/>
            <w:r>
              <w:rPr>
                <w:color w:val="B02045"/>
                <w:sz w:val="21"/>
              </w:rPr>
              <w:t>.sqlserver</w:t>
            </w:r>
          </w:p>
        </w:tc>
        <w:tc>
          <w:tcPr>
            <w:tcW w:w="3325" w:type="dxa"/>
          </w:tcPr>
          <w:p w14:paraId="32F684EF" w14:textId="77777777" w:rsidR="00A720EB" w:rsidRDefault="0030286B">
            <w:pPr>
              <w:pStyle w:val="TableParagraph"/>
              <w:spacing w:before="37"/>
              <w:rPr>
                <w:sz w:val="21"/>
              </w:rPr>
            </w:pPr>
            <w:r>
              <w:rPr>
                <w:color w:val="B02045"/>
                <w:sz w:val="21"/>
              </w:rPr>
              <w:t>mssql-jdbc</w:t>
            </w:r>
          </w:p>
        </w:tc>
        <w:tc>
          <w:tcPr>
            <w:tcW w:w="3325" w:type="dxa"/>
          </w:tcPr>
          <w:p w14:paraId="36568B8F" w14:textId="77777777" w:rsidR="00A720EB" w:rsidRDefault="0030286B">
            <w:pPr>
              <w:pStyle w:val="TableParagraph"/>
              <w:spacing w:before="37"/>
              <w:rPr>
                <w:sz w:val="21"/>
              </w:rPr>
            </w:pPr>
            <w:r>
              <w:rPr>
                <w:color w:val="B02045"/>
                <w:sz w:val="21"/>
              </w:rPr>
              <w:t>7.4.</w:t>
            </w:r>
            <w:proofErr w:type="gramStart"/>
            <w:r>
              <w:rPr>
                <w:color w:val="B02045"/>
                <w:sz w:val="21"/>
              </w:rPr>
              <w:t>1.jre</w:t>
            </w:r>
            <w:proofErr w:type="gramEnd"/>
            <w:r>
              <w:rPr>
                <w:color w:val="B02045"/>
                <w:sz w:val="21"/>
              </w:rPr>
              <w:t>8</w:t>
            </w:r>
          </w:p>
        </w:tc>
      </w:tr>
      <w:tr w:rsidR="00A720EB" w14:paraId="2BC10B3F" w14:textId="77777777">
        <w:trPr>
          <w:trHeight w:val="368"/>
        </w:trPr>
        <w:tc>
          <w:tcPr>
            <w:tcW w:w="3325" w:type="dxa"/>
          </w:tcPr>
          <w:p w14:paraId="4DAD283B" w14:textId="77777777" w:rsidR="00A720EB" w:rsidRDefault="0030286B">
            <w:pPr>
              <w:pStyle w:val="TableParagraph"/>
              <w:spacing w:before="37"/>
              <w:rPr>
                <w:sz w:val="21"/>
              </w:rPr>
            </w:pPr>
            <w:proofErr w:type="gramStart"/>
            <w:r>
              <w:rPr>
                <w:color w:val="B02045"/>
                <w:sz w:val="21"/>
              </w:rPr>
              <w:t>com.nimbusds</w:t>
            </w:r>
            <w:proofErr w:type="gramEnd"/>
          </w:p>
        </w:tc>
        <w:tc>
          <w:tcPr>
            <w:tcW w:w="3325" w:type="dxa"/>
          </w:tcPr>
          <w:p w14:paraId="06ED4138" w14:textId="77777777" w:rsidR="00A720EB" w:rsidRDefault="0030286B">
            <w:pPr>
              <w:pStyle w:val="TableParagraph"/>
              <w:spacing w:before="37"/>
              <w:rPr>
                <w:sz w:val="21"/>
              </w:rPr>
            </w:pPr>
            <w:r>
              <w:rPr>
                <w:color w:val="B02045"/>
                <w:sz w:val="21"/>
              </w:rPr>
              <w:t>nimbus-jose-jwt</w:t>
            </w:r>
          </w:p>
        </w:tc>
        <w:tc>
          <w:tcPr>
            <w:tcW w:w="3325" w:type="dxa"/>
          </w:tcPr>
          <w:p w14:paraId="56EBB664" w14:textId="77777777" w:rsidR="00A720EB" w:rsidRDefault="0030286B">
            <w:pPr>
              <w:pStyle w:val="TableParagraph"/>
              <w:spacing w:before="37"/>
              <w:rPr>
                <w:sz w:val="21"/>
              </w:rPr>
            </w:pPr>
            <w:r>
              <w:rPr>
                <w:color w:val="B02045"/>
                <w:sz w:val="21"/>
              </w:rPr>
              <w:t>8.19</w:t>
            </w:r>
          </w:p>
        </w:tc>
      </w:tr>
      <w:tr w:rsidR="00A720EB" w14:paraId="177C1075" w14:textId="77777777">
        <w:trPr>
          <w:trHeight w:val="368"/>
        </w:trPr>
        <w:tc>
          <w:tcPr>
            <w:tcW w:w="3325" w:type="dxa"/>
          </w:tcPr>
          <w:p w14:paraId="27D93F76" w14:textId="77777777" w:rsidR="00A720EB" w:rsidRDefault="0030286B">
            <w:pPr>
              <w:pStyle w:val="TableParagraph"/>
              <w:rPr>
                <w:sz w:val="21"/>
              </w:rPr>
            </w:pPr>
            <w:proofErr w:type="gramStart"/>
            <w:r>
              <w:rPr>
                <w:color w:val="B02045"/>
                <w:sz w:val="21"/>
              </w:rPr>
              <w:t>com.nimbusds</w:t>
            </w:r>
            <w:proofErr w:type="gramEnd"/>
          </w:p>
        </w:tc>
        <w:tc>
          <w:tcPr>
            <w:tcW w:w="3325" w:type="dxa"/>
          </w:tcPr>
          <w:p w14:paraId="546467F5" w14:textId="77777777" w:rsidR="00A720EB" w:rsidRDefault="0030286B">
            <w:pPr>
              <w:pStyle w:val="TableParagraph"/>
              <w:rPr>
                <w:sz w:val="21"/>
              </w:rPr>
            </w:pPr>
            <w:r>
              <w:rPr>
                <w:color w:val="B02045"/>
                <w:sz w:val="21"/>
              </w:rPr>
              <w:t>oauth2-oidc-sdk</w:t>
            </w:r>
          </w:p>
        </w:tc>
        <w:tc>
          <w:tcPr>
            <w:tcW w:w="3325" w:type="dxa"/>
          </w:tcPr>
          <w:p w14:paraId="2AF516E5" w14:textId="77777777" w:rsidR="00A720EB" w:rsidRDefault="0030286B">
            <w:pPr>
              <w:pStyle w:val="TableParagraph"/>
              <w:rPr>
                <w:sz w:val="21"/>
              </w:rPr>
            </w:pPr>
            <w:r>
              <w:rPr>
                <w:color w:val="B02045"/>
                <w:sz w:val="21"/>
              </w:rPr>
              <w:t>7.1.1</w:t>
            </w:r>
          </w:p>
        </w:tc>
      </w:tr>
      <w:tr w:rsidR="00A720EB" w14:paraId="28201533" w14:textId="77777777">
        <w:trPr>
          <w:trHeight w:val="368"/>
        </w:trPr>
        <w:tc>
          <w:tcPr>
            <w:tcW w:w="3325" w:type="dxa"/>
          </w:tcPr>
          <w:p w14:paraId="0D901400" w14:textId="77777777" w:rsidR="00A720EB" w:rsidRDefault="0030286B">
            <w:pPr>
              <w:pStyle w:val="TableParagraph"/>
              <w:rPr>
                <w:sz w:val="21"/>
              </w:rPr>
            </w:pPr>
            <w:proofErr w:type="gramStart"/>
            <w:r>
              <w:rPr>
                <w:color w:val="B02045"/>
                <w:sz w:val="21"/>
              </w:rPr>
              <w:t>com.oracle</w:t>
            </w:r>
            <w:proofErr w:type="gramEnd"/>
            <w:r>
              <w:rPr>
                <w:color w:val="B02045"/>
                <w:sz w:val="21"/>
              </w:rPr>
              <w:t>.database.ha</w:t>
            </w:r>
          </w:p>
        </w:tc>
        <w:tc>
          <w:tcPr>
            <w:tcW w:w="3325" w:type="dxa"/>
          </w:tcPr>
          <w:p w14:paraId="6B5C0004" w14:textId="77777777" w:rsidR="00A720EB" w:rsidRDefault="0030286B">
            <w:pPr>
              <w:pStyle w:val="TableParagraph"/>
              <w:rPr>
                <w:sz w:val="21"/>
              </w:rPr>
            </w:pPr>
            <w:r>
              <w:rPr>
                <w:color w:val="B02045"/>
                <w:sz w:val="21"/>
              </w:rPr>
              <w:t>ons</w:t>
            </w:r>
          </w:p>
        </w:tc>
        <w:tc>
          <w:tcPr>
            <w:tcW w:w="3325" w:type="dxa"/>
          </w:tcPr>
          <w:p w14:paraId="43798640" w14:textId="77777777" w:rsidR="00A720EB" w:rsidRDefault="0030286B">
            <w:pPr>
              <w:pStyle w:val="TableParagraph"/>
              <w:rPr>
                <w:sz w:val="21"/>
              </w:rPr>
            </w:pPr>
            <w:r>
              <w:rPr>
                <w:color w:val="B02045"/>
                <w:sz w:val="21"/>
              </w:rPr>
              <w:t>19.3.0.0</w:t>
            </w:r>
          </w:p>
        </w:tc>
      </w:tr>
      <w:tr w:rsidR="00A720EB" w14:paraId="7A83C4A3" w14:textId="77777777">
        <w:trPr>
          <w:trHeight w:val="368"/>
        </w:trPr>
        <w:tc>
          <w:tcPr>
            <w:tcW w:w="3325" w:type="dxa"/>
          </w:tcPr>
          <w:p w14:paraId="71DA1818"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.database.ha</w:t>
            </w:r>
          </w:p>
        </w:tc>
        <w:tc>
          <w:tcPr>
            <w:tcW w:w="3325" w:type="dxa"/>
          </w:tcPr>
          <w:p w14:paraId="56DB575D" w14:textId="77777777" w:rsidR="00A720EB" w:rsidRDefault="0030286B">
            <w:pPr>
              <w:pStyle w:val="TableParagraph"/>
              <w:spacing w:before="37"/>
              <w:rPr>
                <w:sz w:val="21"/>
              </w:rPr>
            </w:pPr>
            <w:r>
              <w:rPr>
                <w:color w:val="B02045"/>
                <w:sz w:val="21"/>
              </w:rPr>
              <w:t>simplefan</w:t>
            </w:r>
          </w:p>
        </w:tc>
        <w:tc>
          <w:tcPr>
            <w:tcW w:w="3325" w:type="dxa"/>
          </w:tcPr>
          <w:p w14:paraId="37B3745C" w14:textId="77777777" w:rsidR="00A720EB" w:rsidRDefault="0030286B">
            <w:pPr>
              <w:pStyle w:val="TableParagraph"/>
              <w:spacing w:before="37"/>
              <w:rPr>
                <w:sz w:val="21"/>
              </w:rPr>
            </w:pPr>
            <w:r>
              <w:rPr>
                <w:color w:val="B02045"/>
                <w:sz w:val="21"/>
              </w:rPr>
              <w:t>19.3.0.0</w:t>
            </w:r>
          </w:p>
        </w:tc>
      </w:tr>
      <w:tr w:rsidR="00A720EB" w14:paraId="033EE960" w14:textId="77777777">
        <w:trPr>
          <w:trHeight w:val="368"/>
        </w:trPr>
        <w:tc>
          <w:tcPr>
            <w:tcW w:w="3325" w:type="dxa"/>
          </w:tcPr>
          <w:p w14:paraId="2C1B8B8A"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.database.jdbc</w:t>
            </w:r>
          </w:p>
        </w:tc>
        <w:tc>
          <w:tcPr>
            <w:tcW w:w="3325" w:type="dxa"/>
          </w:tcPr>
          <w:p w14:paraId="37C4FD62" w14:textId="77777777" w:rsidR="00A720EB" w:rsidRDefault="0030286B">
            <w:pPr>
              <w:pStyle w:val="TableParagraph"/>
              <w:spacing w:before="37"/>
              <w:rPr>
                <w:sz w:val="21"/>
              </w:rPr>
            </w:pPr>
            <w:r>
              <w:rPr>
                <w:color w:val="B02045"/>
                <w:sz w:val="21"/>
              </w:rPr>
              <w:t>ojdbc10</w:t>
            </w:r>
          </w:p>
        </w:tc>
        <w:tc>
          <w:tcPr>
            <w:tcW w:w="3325" w:type="dxa"/>
          </w:tcPr>
          <w:p w14:paraId="1B3960AF" w14:textId="77777777" w:rsidR="00A720EB" w:rsidRDefault="0030286B">
            <w:pPr>
              <w:pStyle w:val="TableParagraph"/>
              <w:spacing w:before="37"/>
              <w:rPr>
                <w:sz w:val="21"/>
              </w:rPr>
            </w:pPr>
            <w:r>
              <w:rPr>
                <w:color w:val="B02045"/>
                <w:sz w:val="21"/>
              </w:rPr>
              <w:t>19.3.0.0</w:t>
            </w:r>
          </w:p>
        </w:tc>
      </w:tr>
      <w:tr w:rsidR="00A720EB" w14:paraId="382A6B17" w14:textId="77777777">
        <w:trPr>
          <w:trHeight w:val="368"/>
        </w:trPr>
        <w:tc>
          <w:tcPr>
            <w:tcW w:w="3325" w:type="dxa"/>
          </w:tcPr>
          <w:p w14:paraId="1F8BCC83" w14:textId="77777777" w:rsidR="00A720EB" w:rsidRDefault="0030286B">
            <w:pPr>
              <w:pStyle w:val="TableParagraph"/>
              <w:rPr>
                <w:sz w:val="21"/>
              </w:rPr>
            </w:pPr>
            <w:proofErr w:type="gramStart"/>
            <w:r>
              <w:rPr>
                <w:color w:val="B02045"/>
                <w:sz w:val="21"/>
              </w:rPr>
              <w:t>com.oracle</w:t>
            </w:r>
            <w:proofErr w:type="gramEnd"/>
            <w:r>
              <w:rPr>
                <w:color w:val="B02045"/>
                <w:sz w:val="21"/>
              </w:rPr>
              <w:t>.database.jdbc</w:t>
            </w:r>
          </w:p>
        </w:tc>
        <w:tc>
          <w:tcPr>
            <w:tcW w:w="3325" w:type="dxa"/>
          </w:tcPr>
          <w:p w14:paraId="51317FC1" w14:textId="77777777" w:rsidR="00A720EB" w:rsidRDefault="0030286B">
            <w:pPr>
              <w:pStyle w:val="TableParagraph"/>
              <w:rPr>
                <w:sz w:val="21"/>
              </w:rPr>
            </w:pPr>
            <w:r>
              <w:rPr>
                <w:color w:val="B02045"/>
                <w:sz w:val="21"/>
              </w:rPr>
              <w:t>ojdbc10dms</w:t>
            </w:r>
          </w:p>
        </w:tc>
        <w:tc>
          <w:tcPr>
            <w:tcW w:w="3325" w:type="dxa"/>
          </w:tcPr>
          <w:p w14:paraId="72FEE880" w14:textId="77777777" w:rsidR="00A720EB" w:rsidRDefault="0030286B">
            <w:pPr>
              <w:pStyle w:val="TableParagraph"/>
              <w:rPr>
                <w:sz w:val="21"/>
              </w:rPr>
            </w:pPr>
            <w:r>
              <w:rPr>
                <w:color w:val="B02045"/>
                <w:sz w:val="21"/>
              </w:rPr>
              <w:t>19.3.0.0</w:t>
            </w:r>
          </w:p>
        </w:tc>
      </w:tr>
      <w:tr w:rsidR="00A720EB" w14:paraId="1DDF3D76" w14:textId="77777777">
        <w:trPr>
          <w:trHeight w:val="368"/>
        </w:trPr>
        <w:tc>
          <w:tcPr>
            <w:tcW w:w="3325" w:type="dxa"/>
          </w:tcPr>
          <w:p w14:paraId="4E5B1D1C" w14:textId="77777777" w:rsidR="00A720EB" w:rsidRDefault="0030286B">
            <w:pPr>
              <w:pStyle w:val="TableParagraph"/>
              <w:rPr>
                <w:sz w:val="21"/>
              </w:rPr>
            </w:pPr>
            <w:proofErr w:type="gramStart"/>
            <w:r>
              <w:rPr>
                <w:color w:val="B02045"/>
                <w:sz w:val="21"/>
              </w:rPr>
              <w:t>com.oracle</w:t>
            </w:r>
            <w:proofErr w:type="gramEnd"/>
            <w:r>
              <w:rPr>
                <w:color w:val="B02045"/>
                <w:sz w:val="21"/>
              </w:rPr>
              <w:t>.database.jdbc</w:t>
            </w:r>
          </w:p>
        </w:tc>
        <w:tc>
          <w:tcPr>
            <w:tcW w:w="3325" w:type="dxa"/>
          </w:tcPr>
          <w:p w14:paraId="18788727" w14:textId="77777777" w:rsidR="00A720EB" w:rsidRDefault="0030286B">
            <w:pPr>
              <w:pStyle w:val="TableParagraph"/>
              <w:rPr>
                <w:sz w:val="21"/>
              </w:rPr>
            </w:pPr>
            <w:r>
              <w:rPr>
                <w:color w:val="B02045"/>
                <w:sz w:val="21"/>
              </w:rPr>
              <w:t>ojdbc8</w:t>
            </w:r>
          </w:p>
        </w:tc>
        <w:tc>
          <w:tcPr>
            <w:tcW w:w="3325" w:type="dxa"/>
          </w:tcPr>
          <w:p w14:paraId="62E59DAF" w14:textId="77777777" w:rsidR="00A720EB" w:rsidRDefault="0030286B">
            <w:pPr>
              <w:pStyle w:val="TableParagraph"/>
              <w:rPr>
                <w:sz w:val="21"/>
              </w:rPr>
            </w:pPr>
            <w:r>
              <w:rPr>
                <w:color w:val="B02045"/>
                <w:sz w:val="21"/>
              </w:rPr>
              <w:t>19.3.0.0</w:t>
            </w:r>
          </w:p>
        </w:tc>
      </w:tr>
      <w:tr w:rsidR="00A720EB" w14:paraId="653C28F6" w14:textId="77777777">
        <w:trPr>
          <w:trHeight w:val="368"/>
        </w:trPr>
        <w:tc>
          <w:tcPr>
            <w:tcW w:w="3325" w:type="dxa"/>
          </w:tcPr>
          <w:p w14:paraId="18458726"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.database.jdbc</w:t>
            </w:r>
          </w:p>
        </w:tc>
        <w:tc>
          <w:tcPr>
            <w:tcW w:w="3325" w:type="dxa"/>
          </w:tcPr>
          <w:p w14:paraId="3E5E87E2" w14:textId="77777777" w:rsidR="00A720EB" w:rsidRDefault="0030286B">
            <w:pPr>
              <w:pStyle w:val="TableParagraph"/>
              <w:spacing w:before="37"/>
              <w:rPr>
                <w:sz w:val="21"/>
              </w:rPr>
            </w:pPr>
            <w:r>
              <w:rPr>
                <w:color w:val="B02045"/>
                <w:sz w:val="21"/>
              </w:rPr>
              <w:t>ojdbc8dms</w:t>
            </w:r>
          </w:p>
        </w:tc>
        <w:tc>
          <w:tcPr>
            <w:tcW w:w="3325" w:type="dxa"/>
          </w:tcPr>
          <w:p w14:paraId="4B8FC317" w14:textId="77777777" w:rsidR="00A720EB" w:rsidRDefault="0030286B">
            <w:pPr>
              <w:pStyle w:val="TableParagraph"/>
              <w:spacing w:before="37"/>
              <w:rPr>
                <w:sz w:val="21"/>
              </w:rPr>
            </w:pPr>
            <w:r>
              <w:rPr>
                <w:color w:val="B02045"/>
                <w:sz w:val="21"/>
              </w:rPr>
              <w:t>19.3.0.0</w:t>
            </w:r>
          </w:p>
        </w:tc>
      </w:tr>
      <w:tr w:rsidR="00A720EB" w14:paraId="2636EFEF" w14:textId="77777777">
        <w:trPr>
          <w:trHeight w:val="368"/>
        </w:trPr>
        <w:tc>
          <w:tcPr>
            <w:tcW w:w="3325" w:type="dxa"/>
          </w:tcPr>
          <w:p w14:paraId="4FFC5CE1"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.database.jdbc</w:t>
            </w:r>
          </w:p>
        </w:tc>
        <w:tc>
          <w:tcPr>
            <w:tcW w:w="3325" w:type="dxa"/>
          </w:tcPr>
          <w:p w14:paraId="1F83F2B7" w14:textId="77777777" w:rsidR="00A720EB" w:rsidRDefault="0030286B">
            <w:pPr>
              <w:pStyle w:val="TableParagraph"/>
              <w:spacing w:before="37"/>
              <w:rPr>
                <w:sz w:val="21"/>
              </w:rPr>
            </w:pPr>
            <w:r>
              <w:rPr>
                <w:color w:val="B02045"/>
                <w:sz w:val="21"/>
              </w:rPr>
              <w:t>ucp</w:t>
            </w:r>
          </w:p>
        </w:tc>
        <w:tc>
          <w:tcPr>
            <w:tcW w:w="3325" w:type="dxa"/>
          </w:tcPr>
          <w:p w14:paraId="24031B31" w14:textId="77777777" w:rsidR="00A720EB" w:rsidRDefault="0030286B">
            <w:pPr>
              <w:pStyle w:val="TableParagraph"/>
              <w:spacing w:before="37"/>
              <w:rPr>
                <w:sz w:val="21"/>
              </w:rPr>
            </w:pPr>
            <w:r>
              <w:rPr>
                <w:color w:val="B02045"/>
                <w:sz w:val="21"/>
              </w:rPr>
              <w:t>19.3.0.0</w:t>
            </w:r>
          </w:p>
        </w:tc>
      </w:tr>
      <w:tr w:rsidR="00A720EB" w14:paraId="74E2354D" w14:textId="77777777">
        <w:trPr>
          <w:trHeight w:val="368"/>
        </w:trPr>
        <w:tc>
          <w:tcPr>
            <w:tcW w:w="3325" w:type="dxa"/>
          </w:tcPr>
          <w:p w14:paraId="249F6217" w14:textId="77777777" w:rsidR="00A720EB" w:rsidRDefault="0030286B">
            <w:pPr>
              <w:pStyle w:val="TableParagraph"/>
              <w:rPr>
                <w:sz w:val="21"/>
              </w:rPr>
            </w:pPr>
            <w:proofErr w:type="gramStart"/>
            <w:r>
              <w:rPr>
                <w:color w:val="B02045"/>
                <w:sz w:val="21"/>
              </w:rPr>
              <w:t>com.oracle</w:t>
            </w:r>
            <w:proofErr w:type="gramEnd"/>
            <w:r>
              <w:rPr>
                <w:color w:val="B02045"/>
                <w:sz w:val="21"/>
              </w:rPr>
              <w:t>.database.jdbc.debug</w:t>
            </w:r>
          </w:p>
        </w:tc>
        <w:tc>
          <w:tcPr>
            <w:tcW w:w="3325" w:type="dxa"/>
          </w:tcPr>
          <w:p w14:paraId="1182E406" w14:textId="77777777" w:rsidR="00A720EB" w:rsidRDefault="0030286B">
            <w:pPr>
              <w:pStyle w:val="TableParagraph"/>
              <w:rPr>
                <w:sz w:val="21"/>
              </w:rPr>
            </w:pPr>
            <w:r>
              <w:rPr>
                <w:color w:val="B02045"/>
                <w:sz w:val="21"/>
              </w:rPr>
              <w:t>ojdbc10_g</w:t>
            </w:r>
          </w:p>
        </w:tc>
        <w:tc>
          <w:tcPr>
            <w:tcW w:w="3325" w:type="dxa"/>
          </w:tcPr>
          <w:p w14:paraId="65728196" w14:textId="77777777" w:rsidR="00A720EB" w:rsidRDefault="0030286B">
            <w:pPr>
              <w:pStyle w:val="TableParagraph"/>
              <w:rPr>
                <w:sz w:val="21"/>
              </w:rPr>
            </w:pPr>
            <w:r>
              <w:rPr>
                <w:color w:val="B02045"/>
                <w:sz w:val="21"/>
              </w:rPr>
              <w:t>19.3.0.0</w:t>
            </w:r>
          </w:p>
        </w:tc>
      </w:tr>
      <w:tr w:rsidR="00A720EB" w14:paraId="298AC88B" w14:textId="77777777">
        <w:trPr>
          <w:trHeight w:val="368"/>
        </w:trPr>
        <w:tc>
          <w:tcPr>
            <w:tcW w:w="3325" w:type="dxa"/>
          </w:tcPr>
          <w:p w14:paraId="2523B4B3"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.database.jdbc.debug</w:t>
            </w:r>
          </w:p>
        </w:tc>
        <w:tc>
          <w:tcPr>
            <w:tcW w:w="3325" w:type="dxa"/>
          </w:tcPr>
          <w:p w14:paraId="65D7F5E4" w14:textId="77777777" w:rsidR="00A720EB" w:rsidRDefault="0030286B">
            <w:pPr>
              <w:pStyle w:val="TableParagraph"/>
              <w:spacing w:before="37"/>
              <w:rPr>
                <w:sz w:val="21"/>
              </w:rPr>
            </w:pPr>
            <w:r>
              <w:rPr>
                <w:color w:val="B02045"/>
                <w:sz w:val="21"/>
              </w:rPr>
              <w:t>ojdbc10dms_g</w:t>
            </w:r>
          </w:p>
        </w:tc>
        <w:tc>
          <w:tcPr>
            <w:tcW w:w="3325" w:type="dxa"/>
          </w:tcPr>
          <w:p w14:paraId="290114E1" w14:textId="77777777" w:rsidR="00A720EB" w:rsidRDefault="0030286B">
            <w:pPr>
              <w:pStyle w:val="TableParagraph"/>
              <w:spacing w:before="37"/>
              <w:rPr>
                <w:sz w:val="21"/>
              </w:rPr>
            </w:pPr>
            <w:r>
              <w:rPr>
                <w:color w:val="B02045"/>
                <w:sz w:val="21"/>
              </w:rPr>
              <w:t>19.3.0.0</w:t>
            </w:r>
          </w:p>
        </w:tc>
      </w:tr>
      <w:tr w:rsidR="00A720EB" w14:paraId="41C8D652" w14:textId="77777777">
        <w:trPr>
          <w:trHeight w:val="368"/>
        </w:trPr>
        <w:tc>
          <w:tcPr>
            <w:tcW w:w="3325" w:type="dxa"/>
          </w:tcPr>
          <w:p w14:paraId="4C3C36F1" w14:textId="77777777" w:rsidR="00A720EB" w:rsidRDefault="0030286B">
            <w:pPr>
              <w:pStyle w:val="TableParagraph"/>
              <w:rPr>
                <w:sz w:val="21"/>
              </w:rPr>
            </w:pPr>
            <w:proofErr w:type="gramStart"/>
            <w:r>
              <w:rPr>
                <w:color w:val="B02045"/>
                <w:sz w:val="21"/>
              </w:rPr>
              <w:t>com.oracle</w:t>
            </w:r>
            <w:proofErr w:type="gramEnd"/>
            <w:r>
              <w:rPr>
                <w:color w:val="B02045"/>
                <w:sz w:val="21"/>
              </w:rPr>
              <w:t>.database.jdbc.debug</w:t>
            </w:r>
          </w:p>
        </w:tc>
        <w:tc>
          <w:tcPr>
            <w:tcW w:w="3325" w:type="dxa"/>
          </w:tcPr>
          <w:p w14:paraId="3D14891A" w14:textId="77777777" w:rsidR="00A720EB" w:rsidRDefault="0030286B">
            <w:pPr>
              <w:pStyle w:val="TableParagraph"/>
              <w:rPr>
                <w:sz w:val="21"/>
              </w:rPr>
            </w:pPr>
            <w:r>
              <w:rPr>
                <w:color w:val="B02045"/>
                <w:sz w:val="21"/>
              </w:rPr>
              <w:t>ojdbc8_g</w:t>
            </w:r>
          </w:p>
        </w:tc>
        <w:tc>
          <w:tcPr>
            <w:tcW w:w="3325" w:type="dxa"/>
          </w:tcPr>
          <w:p w14:paraId="57DC8435" w14:textId="77777777" w:rsidR="00A720EB" w:rsidRDefault="0030286B">
            <w:pPr>
              <w:pStyle w:val="TableParagraph"/>
              <w:rPr>
                <w:sz w:val="21"/>
              </w:rPr>
            </w:pPr>
            <w:r>
              <w:rPr>
                <w:color w:val="B02045"/>
                <w:sz w:val="21"/>
              </w:rPr>
              <w:t>19.3.0.0</w:t>
            </w:r>
          </w:p>
        </w:tc>
      </w:tr>
      <w:tr w:rsidR="00A720EB" w14:paraId="4FDFC5AE" w14:textId="77777777">
        <w:trPr>
          <w:trHeight w:val="368"/>
        </w:trPr>
        <w:tc>
          <w:tcPr>
            <w:tcW w:w="3325" w:type="dxa"/>
          </w:tcPr>
          <w:p w14:paraId="50D2E54D"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.database.jdbc.debug</w:t>
            </w:r>
          </w:p>
        </w:tc>
        <w:tc>
          <w:tcPr>
            <w:tcW w:w="3325" w:type="dxa"/>
          </w:tcPr>
          <w:p w14:paraId="45B388D3" w14:textId="77777777" w:rsidR="00A720EB" w:rsidRDefault="0030286B">
            <w:pPr>
              <w:pStyle w:val="TableParagraph"/>
              <w:spacing w:before="37"/>
              <w:rPr>
                <w:sz w:val="21"/>
              </w:rPr>
            </w:pPr>
            <w:r>
              <w:rPr>
                <w:color w:val="B02045"/>
                <w:sz w:val="21"/>
              </w:rPr>
              <w:t>ojdbc8dms_g</w:t>
            </w:r>
          </w:p>
        </w:tc>
        <w:tc>
          <w:tcPr>
            <w:tcW w:w="3325" w:type="dxa"/>
          </w:tcPr>
          <w:p w14:paraId="1394D5EE" w14:textId="77777777" w:rsidR="00A720EB" w:rsidRDefault="0030286B">
            <w:pPr>
              <w:pStyle w:val="TableParagraph"/>
              <w:spacing w:before="37"/>
              <w:rPr>
                <w:sz w:val="21"/>
              </w:rPr>
            </w:pPr>
            <w:r>
              <w:rPr>
                <w:color w:val="B02045"/>
                <w:sz w:val="21"/>
              </w:rPr>
              <w:t>19.3.0.0</w:t>
            </w:r>
          </w:p>
        </w:tc>
      </w:tr>
      <w:tr w:rsidR="00A720EB" w14:paraId="065D77D9" w14:textId="77777777">
        <w:trPr>
          <w:trHeight w:val="368"/>
        </w:trPr>
        <w:tc>
          <w:tcPr>
            <w:tcW w:w="3325" w:type="dxa"/>
          </w:tcPr>
          <w:p w14:paraId="56AF8338" w14:textId="77777777" w:rsidR="00A720EB" w:rsidRDefault="0030286B">
            <w:pPr>
              <w:pStyle w:val="TableParagraph"/>
              <w:rPr>
                <w:sz w:val="21"/>
              </w:rPr>
            </w:pPr>
            <w:r>
              <w:rPr>
                <w:color w:val="B02045"/>
                <w:sz w:val="21"/>
              </w:rPr>
              <w:t>com.oracle.database.nls</w:t>
            </w:r>
          </w:p>
        </w:tc>
        <w:tc>
          <w:tcPr>
            <w:tcW w:w="3325" w:type="dxa"/>
          </w:tcPr>
          <w:p w14:paraId="2649E179" w14:textId="77777777" w:rsidR="00A720EB" w:rsidRDefault="0030286B">
            <w:pPr>
              <w:pStyle w:val="TableParagraph"/>
              <w:rPr>
                <w:sz w:val="21"/>
              </w:rPr>
            </w:pPr>
            <w:r>
              <w:rPr>
                <w:color w:val="B02045"/>
                <w:sz w:val="21"/>
              </w:rPr>
              <w:t>orai18n</w:t>
            </w:r>
          </w:p>
        </w:tc>
        <w:tc>
          <w:tcPr>
            <w:tcW w:w="3325" w:type="dxa"/>
          </w:tcPr>
          <w:p w14:paraId="7B5BA889" w14:textId="77777777" w:rsidR="00A720EB" w:rsidRDefault="0030286B">
            <w:pPr>
              <w:pStyle w:val="TableParagraph"/>
              <w:rPr>
                <w:sz w:val="21"/>
              </w:rPr>
            </w:pPr>
            <w:r>
              <w:rPr>
                <w:color w:val="B02045"/>
                <w:sz w:val="21"/>
              </w:rPr>
              <w:t>19.3.0.0</w:t>
            </w:r>
          </w:p>
        </w:tc>
      </w:tr>
      <w:tr w:rsidR="00A720EB" w14:paraId="78417371" w14:textId="77777777">
        <w:trPr>
          <w:trHeight w:val="627"/>
        </w:trPr>
        <w:tc>
          <w:tcPr>
            <w:tcW w:w="3325" w:type="dxa"/>
          </w:tcPr>
          <w:p w14:paraId="4ACB7ED9" w14:textId="77777777" w:rsidR="00A720EB" w:rsidRDefault="0030286B">
            <w:pPr>
              <w:pStyle w:val="TableParagraph"/>
              <w:spacing w:before="46" w:line="230" w:lineRule="auto"/>
              <w:ind w:right="85"/>
              <w:rPr>
                <w:sz w:val="21"/>
              </w:rPr>
            </w:pPr>
            <w:proofErr w:type="gramStart"/>
            <w:r>
              <w:rPr>
                <w:color w:val="B02045"/>
                <w:sz w:val="21"/>
              </w:rPr>
              <w:t>com.oracle</w:t>
            </w:r>
            <w:proofErr w:type="gramEnd"/>
            <w:r>
              <w:rPr>
                <w:color w:val="B02045"/>
                <w:sz w:val="21"/>
              </w:rPr>
              <w:t>.database.observabil ity</w:t>
            </w:r>
          </w:p>
        </w:tc>
        <w:tc>
          <w:tcPr>
            <w:tcW w:w="3325" w:type="dxa"/>
          </w:tcPr>
          <w:p w14:paraId="7BCE1B74" w14:textId="77777777" w:rsidR="00A720EB" w:rsidRDefault="0030286B">
            <w:pPr>
              <w:pStyle w:val="TableParagraph"/>
              <w:spacing w:before="37"/>
              <w:rPr>
                <w:sz w:val="21"/>
              </w:rPr>
            </w:pPr>
            <w:r>
              <w:rPr>
                <w:color w:val="B02045"/>
                <w:sz w:val="21"/>
              </w:rPr>
              <w:t>dms</w:t>
            </w:r>
          </w:p>
        </w:tc>
        <w:tc>
          <w:tcPr>
            <w:tcW w:w="3325" w:type="dxa"/>
          </w:tcPr>
          <w:p w14:paraId="2D001C11" w14:textId="77777777" w:rsidR="00A720EB" w:rsidRDefault="0030286B">
            <w:pPr>
              <w:pStyle w:val="TableParagraph"/>
              <w:spacing w:before="37"/>
              <w:rPr>
                <w:sz w:val="21"/>
              </w:rPr>
            </w:pPr>
            <w:r>
              <w:rPr>
                <w:color w:val="B02045"/>
                <w:sz w:val="21"/>
              </w:rPr>
              <w:t>19.3.0.0</w:t>
            </w:r>
          </w:p>
        </w:tc>
      </w:tr>
      <w:tr w:rsidR="00A720EB" w14:paraId="1E51CC46" w14:textId="77777777">
        <w:trPr>
          <w:trHeight w:val="368"/>
        </w:trPr>
        <w:tc>
          <w:tcPr>
            <w:tcW w:w="3325" w:type="dxa"/>
          </w:tcPr>
          <w:p w14:paraId="01F6A9E5" w14:textId="77777777" w:rsidR="00A720EB" w:rsidRDefault="0030286B">
            <w:pPr>
              <w:pStyle w:val="TableParagraph"/>
              <w:rPr>
                <w:sz w:val="21"/>
              </w:rPr>
            </w:pPr>
            <w:proofErr w:type="gramStart"/>
            <w:r>
              <w:rPr>
                <w:color w:val="B02045"/>
                <w:sz w:val="21"/>
              </w:rPr>
              <w:t>com.oracle</w:t>
            </w:r>
            <w:proofErr w:type="gramEnd"/>
            <w:r>
              <w:rPr>
                <w:color w:val="B02045"/>
                <w:sz w:val="21"/>
              </w:rPr>
              <w:t>.database.security</w:t>
            </w:r>
          </w:p>
        </w:tc>
        <w:tc>
          <w:tcPr>
            <w:tcW w:w="3325" w:type="dxa"/>
          </w:tcPr>
          <w:p w14:paraId="6EE062C5" w14:textId="77777777" w:rsidR="00A720EB" w:rsidRDefault="0030286B">
            <w:pPr>
              <w:pStyle w:val="TableParagraph"/>
              <w:rPr>
                <w:sz w:val="21"/>
              </w:rPr>
            </w:pPr>
            <w:r>
              <w:rPr>
                <w:color w:val="B02045"/>
                <w:sz w:val="21"/>
              </w:rPr>
              <w:t>oraclepki</w:t>
            </w:r>
          </w:p>
        </w:tc>
        <w:tc>
          <w:tcPr>
            <w:tcW w:w="3325" w:type="dxa"/>
          </w:tcPr>
          <w:p w14:paraId="313A22B2" w14:textId="77777777" w:rsidR="00A720EB" w:rsidRDefault="0030286B">
            <w:pPr>
              <w:pStyle w:val="TableParagraph"/>
              <w:rPr>
                <w:sz w:val="21"/>
              </w:rPr>
            </w:pPr>
            <w:r>
              <w:rPr>
                <w:color w:val="B02045"/>
                <w:sz w:val="21"/>
              </w:rPr>
              <w:t>19.3.0.0</w:t>
            </w:r>
          </w:p>
        </w:tc>
      </w:tr>
      <w:tr w:rsidR="00A720EB" w14:paraId="3D7D5963" w14:textId="77777777">
        <w:trPr>
          <w:trHeight w:val="368"/>
        </w:trPr>
        <w:tc>
          <w:tcPr>
            <w:tcW w:w="3325" w:type="dxa"/>
          </w:tcPr>
          <w:p w14:paraId="43166974" w14:textId="77777777" w:rsidR="00A720EB" w:rsidRDefault="0030286B">
            <w:pPr>
              <w:pStyle w:val="TableParagraph"/>
              <w:rPr>
                <w:sz w:val="21"/>
              </w:rPr>
            </w:pPr>
            <w:proofErr w:type="gramStart"/>
            <w:r>
              <w:rPr>
                <w:color w:val="B02045"/>
                <w:sz w:val="21"/>
              </w:rPr>
              <w:t>com.oracle</w:t>
            </w:r>
            <w:proofErr w:type="gramEnd"/>
            <w:r>
              <w:rPr>
                <w:color w:val="B02045"/>
                <w:sz w:val="21"/>
              </w:rPr>
              <w:t>.database.security</w:t>
            </w:r>
          </w:p>
        </w:tc>
        <w:tc>
          <w:tcPr>
            <w:tcW w:w="3325" w:type="dxa"/>
          </w:tcPr>
          <w:p w14:paraId="4DD860AE" w14:textId="77777777" w:rsidR="00A720EB" w:rsidRDefault="0030286B">
            <w:pPr>
              <w:pStyle w:val="TableParagraph"/>
              <w:rPr>
                <w:sz w:val="21"/>
              </w:rPr>
            </w:pPr>
            <w:r>
              <w:rPr>
                <w:color w:val="B02045"/>
                <w:sz w:val="21"/>
              </w:rPr>
              <w:t>osdt_cert</w:t>
            </w:r>
          </w:p>
        </w:tc>
        <w:tc>
          <w:tcPr>
            <w:tcW w:w="3325" w:type="dxa"/>
          </w:tcPr>
          <w:p w14:paraId="0101CF60" w14:textId="77777777" w:rsidR="00A720EB" w:rsidRDefault="0030286B">
            <w:pPr>
              <w:pStyle w:val="TableParagraph"/>
              <w:rPr>
                <w:sz w:val="21"/>
              </w:rPr>
            </w:pPr>
            <w:r>
              <w:rPr>
                <w:color w:val="B02045"/>
                <w:sz w:val="21"/>
              </w:rPr>
              <w:t>19.3.0.0</w:t>
            </w:r>
          </w:p>
        </w:tc>
      </w:tr>
      <w:tr w:rsidR="00A720EB" w14:paraId="76E9B968" w14:textId="77777777">
        <w:trPr>
          <w:trHeight w:val="368"/>
        </w:trPr>
        <w:tc>
          <w:tcPr>
            <w:tcW w:w="3325" w:type="dxa"/>
          </w:tcPr>
          <w:p w14:paraId="0CDAF7B2" w14:textId="77777777" w:rsidR="00A720EB" w:rsidRDefault="0030286B">
            <w:pPr>
              <w:pStyle w:val="TableParagraph"/>
              <w:rPr>
                <w:sz w:val="21"/>
              </w:rPr>
            </w:pPr>
            <w:proofErr w:type="gramStart"/>
            <w:r>
              <w:rPr>
                <w:color w:val="B02045"/>
                <w:sz w:val="21"/>
              </w:rPr>
              <w:t>com.oracle</w:t>
            </w:r>
            <w:proofErr w:type="gramEnd"/>
            <w:r>
              <w:rPr>
                <w:color w:val="B02045"/>
                <w:sz w:val="21"/>
              </w:rPr>
              <w:t>.database.security</w:t>
            </w:r>
          </w:p>
        </w:tc>
        <w:tc>
          <w:tcPr>
            <w:tcW w:w="3325" w:type="dxa"/>
          </w:tcPr>
          <w:p w14:paraId="475D269B" w14:textId="77777777" w:rsidR="00A720EB" w:rsidRDefault="0030286B">
            <w:pPr>
              <w:pStyle w:val="TableParagraph"/>
              <w:rPr>
                <w:sz w:val="21"/>
              </w:rPr>
            </w:pPr>
            <w:r>
              <w:rPr>
                <w:color w:val="B02045"/>
                <w:sz w:val="21"/>
              </w:rPr>
              <w:t>osdt_core</w:t>
            </w:r>
          </w:p>
        </w:tc>
        <w:tc>
          <w:tcPr>
            <w:tcW w:w="3325" w:type="dxa"/>
          </w:tcPr>
          <w:p w14:paraId="5B9ED1F6" w14:textId="77777777" w:rsidR="00A720EB" w:rsidRDefault="0030286B">
            <w:pPr>
              <w:pStyle w:val="TableParagraph"/>
              <w:rPr>
                <w:sz w:val="21"/>
              </w:rPr>
            </w:pPr>
            <w:r>
              <w:rPr>
                <w:color w:val="B02045"/>
                <w:sz w:val="21"/>
              </w:rPr>
              <w:t>19.3.0.0</w:t>
            </w:r>
          </w:p>
        </w:tc>
      </w:tr>
      <w:tr w:rsidR="00A720EB" w14:paraId="115C1028" w14:textId="77777777">
        <w:trPr>
          <w:trHeight w:val="368"/>
        </w:trPr>
        <w:tc>
          <w:tcPr>
            <w:tcW w:w="3325" w:type="dxa"/>
          </w:tcPr>
          <w:p w14:paraId="7F7AD253" w14:textId="77777777" w:rsidR="00A720EB" w:rsidRDefault="0030286B">
            <w:pPr>
              <w:pStyle w:val="TableParagraph"/>
              <w:rPr>
                <w:sz w:val="21"/>
              </w:rPr>
            </w:pPr>
            <w:r>
              <w:rPr>
                <w:color w:val="B02045"/>
                <w:sz w:val="21"/>
              </w:rPr>
              <w:lastRenderedPageBreak/>
              <w:t>com.oracle.database.xml</w:t>
            </w:r>
          </w:p>
        </w:tc>
        <w:tc>
          <w:tcPr>
            <w:tcW w:w="3325" w:type="dxa"/>
          </w:tcPr>
          <w:p w14:paraId="25E3AA9F" w14:textId="77777777" w:rsidR="00A720EB" w:rsidRDefault="0030286B">
            <w:pPr>
              <w:pStyle w:val="TableParagraph"/>
              <w:rPr>
                <w:sz w:val="21"/>
              </w:rPr>
            </w:pPr>
            <w:r>
              <w:rPr>
                <w:color w:val="B02045"/>
                <w:sz w:val="21"/>
              </w:rPr>
              <w:t>xdb</w:t>
            </w:r>
          </w:p>
        </w:tc>
        <w:tc>
          <w:tcPr>
            <w:tcW w:w="3325" w:type="dxa"/>
          </w:tcPr>
          <w:p w14:paraId="2A1561F7" w14:textId="77777777" w:rsidR="00A720EB" w:rsidRDefault="0030286B">
            <w:pPr>
              <w:pStyle w:val="TableParagraph"/>
              <w:rPr>
                <w:sz w:val="21"/>
              </w:rPr>
            </w:pPr>
            <w:r>
              <w:rPr>
                <w:color w:val="B02045"/>
                <w:sz w:val="21"/>
              </w:rPr>
              <w:t>19.3.0.0</w:t>
            </w:r>
          </w:p>
        </w:tc>
      </w:tr>
    </w:tbl>
    <w:p w14:paraId="13E496B1"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64D9722C" w14:textId="77777777">
        <w:trPr>
          <w:trHeight w:val="415"/>
        </w:trPr>
        <w:tc>
          <w:tcPr>
            <w:tcW w:w="3325" w:type="dxa"/>
            <w:tcBorders>
              <w:bottom w:val="single" w:sz="12" w:space="0" w:color="DDDDDD"/>
            </w:tcBorders>
          </w:tcPr>
          <w:p w14:paraId="4375B4B4"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15A24445"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0D21CD9B"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734BF7E1" w14:textId="77777777">
        <w:trPr>
          <w:trHeight w:val="358"/>
        </w:trPr>
        <w:tc>
          <w:tcPr>
            <w:tcW w:w="3325" w:type="dxa"/>
            <w:tcBorders>
              <w:top w:val="single" w:sz="12" w:space="0" w:color="DDDDDD"/>
            </w:tcBorders>
          </w:tcPr>
          <w:p w14:paraId="04FDEB0A" w14:textId="77777777" w:rsidR="00A720EB" w:rsidRDefault="0030286B">
            <w:pPr>
              <w:pStyle w:val="TableParagraph"/>
              <w:spacing w:before="27"/>
              <w:rPr>
                <w:sz w:val="21"/>
              </w:rPr>
            </w:pPr>
            <w:r>
              <w:rPr>
                <w:color w:val="B02045"/>
                <w:sz w:val="21"/>
              </w:rPr>
              <w:t>com.oracle.database.xml</w:t>
            </w:r>
          </w:p>
        </w:tc>
        <w:tc>
          <w:tcPr>
            <w:tcW w:w="3325" w:type="dxa"/>
            <w:tcBorders>
              <w:top w:val="single" w:sz="12" w:space="0" w:color="DDDDDD"/>
            </w:tcBorders>
          </w:tcPr>
          <w:p w14:paraId="1C2E8513" w14:textId="77777777" w:rsidR="00A720EB" w:rsidRDefault="0030286B">
            <w:pPr>
              <w:pStyle w:val="TableParagraph"/>
              <w:spacing w:before="27"/>
              <w:rPr>
                <w:sz w:val="21"/>
              </w:rPr>
            </w:pPr>
            <w:r>
              <w:rPr>
                <w:color w:val="B02045"/>
                <w:sz w:val="21"/>
              </w:rPr>
              <w:t>xmlparserv2</w:t>
            </w:r>
          </w:p>
        </w:tc>
        <w:tc>
          <w:tcPr>
            <w:tcW w:w="3325" w:type="dxa"/>
            <w:tcBorders>
              <w:top w:val="single" w:sz="12" w:space="0" w:color="DDDDDD"/>
            </w:tcBorders>
          </w:tcPr>
          <w:p w14:paraId="3FB3E459" w14:textId="77777777" w:rsidR="00A720EB" w:rsidRDefault="0030286B">
            <w:pPr>
              <w:pStyle w:val="TableParagraph"/>
              <w:spacing w:before="27"/>
              <w:rPr>
                <w:sz w:val="21"/>
              </w:rPr>
            </w:pPr>
            <w:r>
              <w:rPr>
                <w:color w:val="B02045"/>
                <w:sz w:val="21"/>
              </w:rPr>
              <w:t>19.3.0.0</w:t>
            </w:r>
          </w:p>
        </w:tc>
      </w:tr>
      <w:tr w:rsidR="00A720EB" w14:paraId="301445E3" w14:textId="77777777">
        <w:trPr>
          <w:trHeight w:val="368"/>
        </w:trPr>
        <w:tc>
          <w:tcPr>
            <w:tcW w:w="3325" w:type="dxa"/>
          </w:tcPr>
          <w:p w14:paraId="447172DE"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4F507980" w14:textId="77777777" w:rsidR="00A720EB" w:rsidRDefault="0030286B">
            <w:pPr>
              <w:pStyle w:val="TableParagraph"/>
              <w:spacing w:before="37"/>
              <w:rPr>
                <w:sz w:val="21"/>
              </w:rPr>
            </w:pPr>
            <w:r>
              <w:rPr>
                <w:color w:val="B02045"/>
                <w:sz w:val="21"/>
              </w:rPr>
              <w:t>dms</w:t>
            </w:r>
          </w:p>
        </w:tc>
        <w:tc>
          <w:tcPr>
            <w:tcW w:w="3325" w:type="dxa"/>
          </w:tcPr>
          <w:p w14:paraId="5D520EF2" w14:textId="77777777" w:rsidR="00A720EB" w:rsidRDefault="0030286B">
            <w:pPr>
              <w:pStyle w:val="TableParagraph"/>
              <w:spacing w:before="37"/>
              <w:rPr>
                <w:sz w:val="21"/>
              </w:rPr>
            </w:pPr>
            <w:r>
              <w:rPr>
                <w:color w:val="B02045"/>
                <w:sz w:val="21"/>
              </w:rPr>
              <w:t>19.3.0.0</w:t>
            </w:r>
          </w:p>
        </w:tc>
      </w:tr>
      <w:tr w:rsidR="00A720EB" w14:paraId="3650CD90" w14:textId="77777777">
        <w:trPr>
          <w:trHeight w:val="368"/>
        </w:trPr>
        <w:tc>
          <w:tcPr>
            <w:tcW w:w="3325" w:type="dxa"/>
          </w:tcPr>
          <w:p w14:paraId="14C9E57E"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2075C5F4" w14:textId="77777777" w:rsidR="00A720EB" w:rsidRDefault="0030286B">
            <w:pPr>
              <w:pStyle w:val="TableParagraph"/>
              <w:spacing w:before="37"/>
              <w:rPr>
                <w:sz w:val="21"/>
              </w:rPr>
            </w:pPr>
            <w:r>
              <w:rPr>
                <w:color w:val="B02045"/>
                <w:sz w:val="21"/>
              </w:rPr>
              <w:t>ojdbc10</w:t>
            </w:r>
          </w:p>
        </w:tc>
        <w:tc>
          <w:tcPr>
            <w:tcW w:w="3325" w:type="dxa"/>
          </w:tcPr>
          <w:p w14:paraId="6137D770" w14:textId="77777777" w:rsidR="00A720EB" w:rsidRDefault="0030286B">
            <w:pPr>
              <w:pStyle w:val="TableParagraph"/>
              <w:spacing w:before="37"/>
              <w:rPr>
                <w:sz w:val="21"/>
              </w:rPr>
            </w:pPr>
            <w:r>
              <w:rPr>
                <w:color w:val="B02045"/>
                <w:sz w:val="21"/>
              </w:rPr>
              <w:t>19.3.0.0</w:t>
            </w:r>
          </w:p>
        </w:tc>
      </w:tr>
      <w:tr w:rsidR="00A720EB" w14:paraId="1B5463E1" w14:textId="77777777">
        <w:trPr>
          <w:trHeight w:val="368"/>
        </w:trPr>
        <w:tc>
          <w:tcPr>
            <w:tcW w:w="3325" w:type="dxa"/>
          </w:tcPr>
          <w:p w14:paraId="54EADA0A"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50BB8B79" w14:textId="77777777" w:rsidR="00A720EB" w:rsidRDefault="0030286B">
            <w:pPr>
              <w:pStyle w:val="TableParagraph"/>
              <w:rPr>
                <w:sz w:val="21"/>
              </w:rPr>
            </w:pPr>
            <w:r>
              <w:rPr>
                <w:color w:val="B02045"/>
                <w:sz w:val="21"/>
              </w:rPr>
              <w:t>ojdbc10_g</w:t>
            </w:r>
          </w:p>
        </w:tc>
        <w:tc>
          <w:tcPr>
            <w:tcW w:w="3325" w:type="dxa"/>
          </w:tcPr>
          <w:p w14:paraId="45E272A1" w14:textId="77777777" w:rsidR="00A720EB" w:rsidRDefault="0030286B">
            <w:pPr>
              <w:pStyle w:val="TableParagraph"/>
              <w:rPr>
                <w:sz w:val="21"/>
              </w:rPr>
            </w:pPr>
            <w:r>
              <w:rPr>
                <w:color w:val="B02045"/>
                <w:sz w:val="21"/>
              </w:rPr>
              <w:t>19.3.0.0</w:t>
            </w:r>
          </w:p>
        </w:tc>
      </w:tr>
      <w:tr w:rsidR="00A720EB" w14:paraId="5152F710" w14:textId="77777777">
        <w:trPr>
          <w:trHeight w:val="368"/>
        </w:trPr>
        <w:tc>
          <w:tcPr>
            <w:tcW w:w="3325" w:type="dxa"/>
          </w:tcPr>
          <w:p w14:paraId="0F887CF7"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022EDB7D" w14:textId="77777777" w:rsidR="00A720EB" w:rsidRDefault="0030286B">
            <w:pPr>
              <w:pStyle w:val="TableParagraph"/>
              <w:rPr>
                <w:sz w:val="21"/>
              </w:rPr>
            </w:pPr>
            <w:r>
              <w:rPr>
                <w:color w:val="B02045"/>
                <w:sz w:val="21"/>
              </w:rPr>
              <w:t>ojdbc10dms</w:t>
            </w:r>
          </w:p>
        </w:tc>
        <w:tc>
          <w:tcPr>
            <w:tcW w:w="3325" w:type="dxa"/>
          </w:tcPr>
          <w:p w14:paraId="5AA6F006" w14:textId="77777777" w:rsidR="00A720EB" w:rsidRDefault="0030286B">
            <w:pPr>
              <w:pStyle w:val="TableParagraph"/>
              <w:rPr>
                <w:sz w:val="21"/>
              </w:rPr>
            </w:pPr>
            <w:r>
              <w:rPr>
                <w:color w:val="B02045"/>
                <w:sz w:val="21"/>
              </w:rPr>
              <w:t>19.3.0.0</w:t>
            </w:r>
          </w:p>
        </w:tc>
      </w:tr>
      <w:tr w:rsidR="00A720EB" w14:paraId="42554875" w14:textId="77777777">
        <w:trPr>
          <w:trHeight w:val="368"/>
        </w:trPr>
        <w:tc>
          <w:tcPr>
            <w:tcW w:w="3325" w:type="dxa"/>
          </w:tcPr>
          <w:p w14:paraId="76DD0C55"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192F0BD2" w14:textId="77777777" w:rsidR="00A720EB" w:rsidRDefault="0030286B">
            <w:pPr>
              <w:pStyle w:val="TableParagraph"/>
              <w:rPr>
                <w:sz w:val="21"/>
              </w:rPr>
            </w:pPr>
            <w:r>
              <w:rPr>
                <w:color w:val="B02045"/>
                <w:sz w:val="21"/>
              </w:rPr>
              <w:t>ojdbc10dms_g</w:t>
            </w:r>
          </w:p>
        </w:tc>
        <w:tc>
          <w:tcPr>
            <w:tcW w:w="3325" w:type="dxa"/>
          </w:tcPr>
          <w:p w14:paraId="3CE54357" w14:textId="77777777" w:rsidR="00A720EB" w:rsidRDefault="0030286B">
            <w:pPr>
              <w:pStyle w:val="TableParagraph"/>
              <w:rPr>
                <w:sz w:val="21"/>
              </w:rPr>
            </w:pPr>
            <w:r>
              <w:rPr>
                <w:color w:val="B02045"/>
                <w:sz w:val="21"/>
              </w:rPr>
              <w:t>19.3.0.0</w:t>
            </w:r>
          </w:p>
        </w:tc>
      </w:tr>
      <w:tr w:rsidR="00A720EB" w14:paraId="212A35C6" w14:textId="77777777">
        <w:trPr>
          <w:trHeight w:val="368"/>
        </w:trPr>
        <w:tc>
          <w:tcPr>
            <w:tcW w:w="3325" w:type="dxa"/>
          </w:tcPr>
          <w:p w14:paraId="5CC980E7"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3962F3F0" w14:textId="77777777" w:rsidR="00A720EB" w:rsidRDefault="0030286B">
            <w:pPr>
              <w:pStyle w:val="TableParagraph"/>
              <w:rPr>
                <w:sz w:val="21"/>
              </w:rPr>
            </w:pPr>
            <w:r>
              <w:rPr>
                <w:color w:val="B02045"/>
                <w:sz w:val="21"/>
              </w:rPr>
              <w:t>ojdbc8</w:t>
            </w:r>
          </w:p>
        </w:tc>
        <w:tc>
          <w:tcPr>
            <w:tcW w:w="3325" w:type="dxa"/>
          </w:tcPr>
          <w:p w14:paraId="243505BF" w14:textId="77777777" w:rsidR="00A720EB" w:rsidRDefault="0030286B">
            <w:pPr>
              <w:pStyle w:val="TableParagraph"/>
              <w:rPr>
                <w:sz w:val="21"/>
              </w:rPr>
            </w:pPr>
            <w:r>
              <w:rPr>
                <w:color w:val="B02045"/>
                <w:sz w:val="21"/>
              </w:rPr>
              <w:t>19.3.0.0</w:t>
            </w:r>
          </w:p>
        </w:tc>
      </w:tr>
      <w:tr w:rsidR="00A720EB" w14:paraId="7A729250" w14:textId="77777777">
        <w:trPr>
          <w:trHeight w:val="368"/>
        </w:trPr>
        <w:tc>
          <w:tcPr>
            <w:tcW w:w="3325" w:type="dxa"/>
          </w:tcPr>
          <w:p w14:paraId="6B5DA80C"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0304BA44" w14:textId="77777777" w:rsidR="00A720EB" w:rsidRDefault="0030286B">
            <w:pPr>
              <w:pStyle w:val="TableParagraph"/>
              <w:spacing w:before="37"/>
              <w:rPr>
                <w:sz w:val="21"/>
              </w:rPr>
            </w:pPr>
            <w:r>
              <w:rPr>
                <w:color w:val="B02045"/>
                <w:sz w:val="21"/>
              </w:rPr>
              <w:t>ojdbc8_g</w:t>
            </w:r>
          </w:p>
        </w:tc>
        <w:tc>
          <w:tcPr>
            <w:tcW w:w="3325" w:type="dxa"/>
          </w:tcPr>
          <w:p w14:paraId="676A7760" w14:textId="77777777" w:rsidR="00A720EB" w:rsidRDefault="0030286B">
            <w:pPr>
              <w:pStyle w:val="TableParagraph"/>
              <w:spacing w:before="37"/>
              <w:rPr>
                <w:sz w:val="21"/>
              </w:rPr>
            </w:pPr>
            <w:r>
              <w:rPr>
                <w:color w:val="B02045"/>
                <w:sz w:val="21"/>
              </w:rPr>
              <w:t>19.3.0.0</w:t>
            </w:r>
          </w:p>
        </w:tc>
      </w:tr>
      <w:tr w:rsidR="00A720EB" w14:paraId="45E18258" w14:textId="77777777">
        <w:trPr>
          <w:trHeight w:val="368"/>
        </w:trPr>
        <w:tc>
          <w:tcPr>
            <w:tcW w:w="3325" w:type="dxa"/>
          </w:tcPr>
          <w:p w14:paraId="1864023F"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4FB6F60A" w14:textId="77777777" w:rsidR="00A720EB" w:rsidRDefault="0030286B">
            <w:pPr>
              <w:pStyle w:val="TableParagraph"/>
              <w:spacing w:before="37"/>
              <w:rPr>
                <w:sz w:val="21"/>
              </w:rPr>
            </w:pPr>
            <w:r>
              <w:rPr>
                <w:color w:val="B02045"/>
                <w:sz w:val="21"/>
              </w:rPr>
              <w:t>ojdbc8dms</w:t>
            </w:r>
          </w:p>
        </w:tc>
        <w:tc>
          <w:tcPr>
            <w:tcW w:w="3325" w:type="dxa"/>
          </w:tcPr>
          <w:p w14:paraId="3909BE97" w14:textId="77777777" w:rsidR="00A720EB" w:rsidRDefault="0030286B">
            <w:pPr>
              <w:pStyle w:val="TableParagraph"/>
              <w:spacing w:before="37"/>
              <w:rPr>
                <w:sz w:val="21"/>
              </w:rPr>
            </w:pPr>
            <w:r>
              <w:rPr>
                <w:color w:val="B02045"/>
                <w:sz w:val="21"/>
              </w:rPr>
              <w:t>19.3.0.0</w:t>
            </w:r>
          </w:p>
        </w:tc>
      </w:tr>
      <w:tr w:rsidR="00A720EB" w14:paraId="194B6002" w14:textId="77777777">
        <w:trPr>
          <w:trHeight w:val="368"/>
        </w:trPr>
        <w:tc>
          <w:tcPr>
            <w:tcW w:w="3325" w:type="dxa"/>
          </w:tcPr>
          <w:p w14:paraId="77523B7D"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28C11C3A" w14:textId="77777777" w:rsidR="00A720EB" w:rsidRDefault="0030286B">
            <w:pPr>
              <w:pStyle w:val="TableParagraph"/>
              <w:spacing w:before="37"/>
              <w:rPr>
                <w:sz w:val="21"/>
              </w:rPr>
            </w:pPr>
            <w:r>
              <w:rPr>
                <w:color w:val="B02045"/>
                <w:sz w:val="21"/>
              </w:rPr>
              <w:t>ojdbc8dms_g</w:t>
            </w:r>
          </w:p>
        </w:tc>
        <w:tc>
          <w:tcPr>
            <w:tcW w:w="3325" w:type="dxa"/>
          </w:tcPr>
          <w:p w14:paraId="1364B39E" w14:textId="77777777" w:rsidR="00A720EB" w:rsidRDefault="0030286B">
            <w:pPr>
              <w:pStyle w:val="TableParagraph"/>
              <w:spacing w:before="37"/>
              <w:rPr>
                <w:sz w:val="21"/>
              </w:rPr>
            </w:pPr>
            <w:r>
              <w:rPr>
                <w:color w:val="B02045"/>
                <w:sz w:val="21"/>
              </w:rPr>
              <w:t>19.3.0.0</w:t>
            </w:r>
          </w:p>
        </w:tc>
      </w:tr>
      <w:tr w:rsidR="00A720EB" w14:paraId="51B6E6D4" w14:textId="77777777">
        <w:trPr>
          <w:trHeight w:val="368"/>
        </w:trPr>
        <w:tc>
          <w:tcPr>
            <w:tcW w:w="3325" w:type="dxa"/>
          </w:tcPr>
          <w:p w14:paraId="7BAEFB9F"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02F80D3C" w14:textId="77777777" w:rsidR="00A720EB" w:rsidRDefault="0030286B">
            <w:pPr>
              <w:pStyle w:val="TableParagraph"/>
              <w:spacing w:before="37"/>
              <w:rPr>
                <w:sz w:val="21"/>
              </w:rPr>
            </w:pPr>
            <w:r>
              <w:rPr>
                <w:color w:val="B02045"/>
                <w:sz w:val="21"/>
              </w:rPr>
              <w:t>ons</w:t>
            </w:r>
          </w:p>
        </w:tc>
        <w:tc>
          <w:tcPr>
            <w:tcW w:w="3325" w:type="dxa"/>
          </w:tcPr>
          <w:p w14:paraId="01205DB0" w14:textId="77777777" w:rsidR="00A720EB" w:rsidRDefault="0030286B">
            <w:pPr>
              <w:pStyle w:val="TableParagraph"/>
              <w:spacing w:before="37"/>
              <w:rPr>
                <w:sz w:val="21"/>
              </w:rPr>
            </w:pPr>
            <w:r>
              <w:rPr>
                <w:color w:val="B02045"/>
                <w:sz w:val="21"/>
              </w:rPr>
              <w:t>19.3.0.0</w:t>
            </w:r>
          </w:p>
        </w:tc>
      </w:tr>
      <w:tr w:rsidR="00A720EB" w14:paraId="446EC3A3" w14:textId="77777777">
        <w:trPr>
          <w:trHeight w:val="368"/>
        </w:trPr>
        <w:tc>
          <w:tcPr>
            <w:tcW w:w="3325" w:type="dxa"/>
          </w:tcPr>
          <w:p w14:paraId="70C24533"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67E59BBA" w14:textId="77777777" w:rsidR="00A720EB" w:rsidRDefault="0030286B">
            <w:pPr>
              <w:pStyle w:val="TableParagraph"/>
              <w:rPr>
                <w:sz w:val="21"/>
              </w:rPr>
            </w:pPr>
            <w:r>
              <w:rPr>
                <w:color w:val="B02045"/>
                <w:sz w:val="21"/>
              </w:rPr>
              <w:t>oraclepki</w:t>
            </w:r>
          </w:p>
        </w:tc>
        <w:tc>
          <w:tcPr>
            <w:tcW w:w="3325" w:type="dxa"/>
          </w:tcPr>
          <w:p w14:paraId="6E94257B" w14:textId="77777777" w:rsidR="00A720EB" w:rsidRDefault="0030286B">
            <w:pPr>
              <w:pStyle w:val="TableParagraph"/>
              <w:rPr>
                <w:sz w:val="21"/>
              </w:rPr>
            </w:pPr>
            <w:r>
              <w:rPr>
                <w:color w:val="B02045"/>
                <w:sz w:val="21"/>
              </w:rPr>
              <w:t>19.3.0.0</w:t>
            </w:r>
          </w:p>
        </w:tc>
      </w:tr>
      <w:tr w:rsidR="00A720EB" w14:paraId="1488E265" w14:textId="77777777">
        <w:trPr>
          <w:trHeight w:val="368"/>
        </w:trPr>
        <w:tc>
          <w:tcPr>
            <w:tcW w:w="3325" w:type="dxa"/>
          </w:tcPr>
          <w:p w14:paraId="68542A0A"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7FDDBC10" w14:textId="77777777" w:rsidR="00A720EB" w:rsidRDefault="0030286B">
            <w:pPr>
              <w:pStyle w:val="TableParagraph"/>
              <w:rPr>
                <w:sz w:val="21"/>
              </w:rPr>
            </w:pPr>
            <w:r>
              <w:rPr>
                <w:color w:val="B02045"/>
                <w:sz w:val="21"/>
              </w:rPr>
              <w:t>orai18n</w:t>
            </w:r>
          </w:p>
        </w:tc>
        <w:tc>
          <w:tcPr>
            <w:tcW w:w="3325" w:type="dxa"/>
          </w:tcPr>
          <w:p w14:paraId="7884AA5E" w14:textId="77777777" w:rsidR="00A720EB" w:rsidRDefault="0030286B">
            <w:pPr>
              <w:pStyle w:val="TableParagraph"/>
              <w:rPr>
                <w:sz w:val="21"/>
              </w:rPr>
            </w:pPr>
            <w:r>
              <w:rPr>
                <w:color w:val="B02045"/>
                <w:sz w:val="21"/>
              </w:rPr>
              <w:t>19.3.0.0</w:t>
            </w:r>
          </w:p>
        </w:tc>
      </w:tr>
      <w:tr w:rsidR="00A720EB" w14:paraId="16D631D3" w14:textId="77777777">
        <w:trPr>
          <w:trHeight w:val="368"/>
        </w:trPr>
        <w:tc>
          <w:tcPr>
            <w:tcW w:w="3325" w:type="dxa"/>
          </w:tcPr>
          <w:p w14:paraId="6261F51C"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63052AC1" w14:textId="77777777" w:rsidR="00A720EB" w:rsidRDefault="0030286B">
            <w:pPr>
              <w:pStyle w:val="TableParagraph"/>
              <w:rPr>
                <w:sz w:val="21"/>
              </w:rPr>
            </w:pPr>
            <w:r>
              <w:rPr>
                <w:color w:val="B02045"/>
                <w:sz w:val="21"/>
              </w:rPr>
              <w:t>osdt_cert</w:t>
            </w:r>
          </w:p>
        </w:tc>
        <w:tc>
          <w:tcPr>
            <w:tcW w:w="3325" w:type="dxa"/>
          </w:tcPr>
          <w:p w14:paraId="58462A6B" w14:textId="77777777" w:rsidR="00A720EB" w:rsidRDefault="0030286B">
            <w:pPr>
              <w:pStyle w:val="TableParagraph"/>
              <w:rPr>
                <w:sz w:val="21"/>
              </w:rPr>
            </w:pPr>
            <w:r>
              <w:rPr>
                <w:color w:val="B02045"/>
                <w:sz w:val="21"/>
              </w:rPr>
              <w:t>19.3.0.0</w:t>
            </w:r>
          </w:p>
        </w:tc>
      </w:tr>
      <w:tr w:rsidR="00A720EB" w14:paraId="77A0BADB" w14:textId="77777777">
        <w:trPr>
          <w:trHeight w:val="368"/>
        </w:trPr>
        <w:tc>
          <w:tcPr>
            <w:tcW w:w="3325" w:type="dxa"/>
          </w:tcPr>
          <w:p w14:paraId="32423528"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30FE20A4" w14:textId="77777777" w:rsidR="00A720EB" w:rsidRDefault="0030286B">
            <w:pPr>
              <w:pStyle w:val="TableParagraph"/>
              <w:spacing w:before="37"/>
              <w:rPr>
                <w:sz w:val="21"/>
              </w:rPr>
            </w:pPr>
            <w:r>
              <w:rPr>
                <w:color w:val="B02045"/>
                <w:sz w:val="21"/>
              </w:rPr>
              <w:t>osdt_core</w:t>
            </w:r>
          </w:p>
        </w:tc>
        <w:tc>
          <w:tcPr>
            <w:tcW w:w="3325" w:type="dxa"/>
          </w:tcPr>
          <w:p w14:paraId="2036F6A4" w14:textId="77777777" w:rsidR="00A720EB" w:rsidRDefault="0030286B">
            <w:pPr>
              <w:pStyle w:val="TableParagraph"/>
              <w:spacing w:before="37"/>
              <w:rPr>
                <w:sz w:val="21"/>
              </w:rPr>
            </w:pPr>
            <w:r>
              <w:rPr>
                <w:color w:val="B02045"/>
                <w:sz w:val="21"/>
              </w:rPr>
              <w:t>19.3.0.0</w:t>
            </w:r>
          </w:p>
        </w:tc>
      </w:tr>
      <w:tr w:rsidR="00A720EB" w14:paraId="5CC1CB44" w14:textId="77777777">
        <w:trPr>
          <w:trHeight w:val="368"/>
        </w:trPr>
        <w:tc>
          <w:tcPr>
            <w:tcW w:w="3325" w:type="dxa"/>
          </w:tcPr>
          <w:p w14:paraId="6C2D561F"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224DD920" w14:textId="77777777" w:rsidR="00A720EB" w:rsidRDefault="0030286B">
            <w:pPr>
              <w:pStyle w:val="TableParagraph"/>
              <w:rPr>
                <w:sz w:val="21"/>
              </w:rPr>
            </w:pPr>
            <w:r>
              <w:rPr>
                <w:color w:val="B02045"/>
                <w:sz w:val="21"/>
              </w:rPr>
              <w:t>simplefan</w:t>
            </w:r>
          </w:p>
        </w:tc>
        <w:tc>
          <w:tcPr>
            <w:tcW w:w="3325" w:type="dxa"/>
          </w:tcPr>
          <w:p w14:paraId="1F8F6FD4" w14:textId="77777777" w:rsidR="00A720EB" w:rsidRDefault="0030286B">
            <w:pPr>
              <w:pStyle w:val="TableParagraph"/>
              <w:rPr>
                <w:sz w:val="21"/>
              </w:rPr>
            </w:pPr>
            <w:r>
              <w:rPr>
                <w:color w:val="B02045"/>
                <w:sz w:val="21"/>
              </w:rPr>
              <w:t>19.3.0.0</w:t>
            </w:r>
          </w:p>
        </w:tc>
      </w:tr>
      <w:tr w:rsidR="00A720EB" w14:paraId="3E489C75" w14:textId="77777777">
        <w:trPr>
          <w:trHeight w:val="368"/>
        </w:trPr>
        <w:tc>
          <w:tcPr>
            <w:tcW w:w="3325" w:type="dxa"/>
          </w:tcPr>
          <w:p w14:paraId="119FD2D6" w14:textId="77777777" w:rsidR="00A720EB" w:rsidRDefault="0030286B">
            <w:pPr>
              <w:pStyle w:val="TableParagraph"/>
              <w:rPr>
                <w:sz w:val="21"/>
              </w:rPr>
            </w:pPr>
            <w:proofErr w:type="gramStart"/>
            <w:r>
              <w:rPr>
                <w:color w:val="B02045"/>
                <w:sz w:val="21"/>
              </w:rPr>
              <w:t>com.oracle</w:t>
            </w:r>
            <w:proofErr w:type="gramEnd"/>
            <w:r>
              <w:rPr>
                <w:color w:val="B02045"/>
                <w:sz w:val="21"/>
              </w:rPr>
              <w:t>.ojdbc</w:t>
            </w:r>
          </w:p>
        </w:tc>
        <w:tc>
          <w:tcPr>
            <w:tcW w:w="3325" w:type="dxa"/>
          </w:tcPr>
          <w:p w14:paraId="3B681B22" w14:textId="77777777" w:rsidR="00A720EB" w:rsidRDefault="0030286B">
            <w:pPr>
              <w:pStyle w:val="TableParagraph"/>
              <w:rPr>
                <w:sz w:val="21"/>
              </w:rPr>
            </w:pPr>
            <w:r>
              <w:rPr>
                <w:color w:val="B02045"/>
                <w:sz w:val="21"/>
              </w:rPr>
              <w:t>ucp</w:t>
            </w:r>
          </w:p>
        </w:tc>
        <w:tc>
          <w:tcPr>
            <w:tcW w:w="3325" w:type="dxa"/>
          </w:tcPr>
          <w:p w14:paraId="23E5B474" w14:textId="77777777" w:rsidR="00A720EB" w:rsidRDefault="0030286B">
            <w:pPr>
              <w:pStyle w:val="TableParagraph"/>
              <w:rPr>
                <w:sz w:val="21"/>
              </w:rPr>
            </w:pPr>
            <w:r>
              <w:rPr>
                <w:color w:val="B02045"/>
                <w:sz w:val="21"/>
              </w:rPr>
              <w:t>19.3.0.0</w:t>
            </w:r>
          </w:p>
        </w:tc>
      </w:tr>
      <w:tr w:rsidR="00A720EB" w14:paraId="7F557446" w14:textId="77777777">
        <w:trPr>
          <w:trHeight w:val="368"/>
        </w:trPr>
        <w:tc>
          <w:tcPr>
            <w:tcW w:w="3325" w:type="dxa"/>
          </w:tcPr>
          <w:p w14:paraId="02A717F0"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5F4E0716" w14:textId="77777777" w:rsidR="00A720EB" w:rsidRDefault="0030286B">
            <w:pPr>
              <w:pStyle w:val="TableParagraph"/>
              <w:spacing w:before="37"/>
              <w:rPr>
                <w:sz w:val="21"/>
              </w:rPr>
            </w:pPr>
            <w:r>
              <w:rPr>
                <w:color w:val="B02045"/>
                <w:sz w:val="21"/>
              </w:rPr>
              <w:t>xdb</w:t>
            </w:r>
          </w:p>
        </w:tc>
        <w:tc>
          <w:tcPr>
            <w:tcW w:w="3325" w:type="dxa"/>
          </w:tcPr>
          <w:p w14:paraId="4F72B9F9" w14:textId="77777777" w:rsidR="00A720EB" w:rsidRDefault="0030286B">
            <w:pPr>
              <w:pStyle w:val="TableParagraph"/>
              <w:spacing w:before="37"/>
              <w:rPr>
                <w:sz w:val="21"/>
              </w:rPr>
            </w:pPr>
            <w:r>
              <w:rPr>
                <w:color w:val="B02045"/>
                <w:sz w:val="21"/>
              </w:rPr>
              <w:t>19.3.0.0</w:t>
            </w:r>
          </w:p>
        </w:tc>
      </w:tr>
      <w:tr w:rsidR="00A720EB" w14:paraId="3A5712D8" w14:textId="77777777">
        <w:trPr>
          <w:trHeight w:val="368"/>
        </w:trPr>
        <w:tc>
          <w:tcPr>
            <w:tcW w:w="3325" w:type="dxa"/>
          </w:tcPr>
          <w:p w14:paraId="0C5A9413" w14:textId="77777777" w:rsidR="00A720EB" w:rsidRDefault="0030286B">
            <w:pPr>
              <w:pStyle w:val="TableParagraph"/>
              <w:spacing w:before="37"/>
              <w:rPr>
                <w:sz w:val="21"/>
              </w:rPr>
            </w:pPr>
            <w:proofErr w:type="gramStart"/>
            <w:r>
              <w:rPr>
                <w:color w:val="B02045"/>
                <w:sz w:val="21"/>
              </w:rPr>
              <w:t>com.oracle</w:t>
            </w:r>
            <w:proofErr w:type="gramEnd"/>
            <w:r>
              <w:rPr>
                <w:color w:val="B02045"/>
                <w:sz w:val="21"/>
              </w:rPr>
              <w:t>.ojdbc</w:t>
            </w:r>
          </w:p>
        </w:tc>
        <w:tc>
          <w:tcPr>
            <w:tcW w:w="3325" w:type="dxa"/>
          </w:tcPr>
          <w:p w14:paraId="09EF4D16" w14:textId="77777777" w:rsidR="00A720EB" w:rsidRDefault="0030286B">
            <w:pPr>
              <w:pStyle w:val="TableParagraph"/>
              <w:spacing w:before="37"/>
              <w:rPr>
                <w:sz w:val="21"/>
              </w:rPr>
            </w:pPr>
            <w:r>
              <w:rPr>
                <w:color w:val="B02045"/>
                <w:sz w:val="21"/>
              </w:rPr>
              <w:t>xmlparserv2</w:t>
            </w:r>
          </w:p>
        </w:tc>
        <w:tc>
          <w:tcPr>
            <w:tcW w:w="3325" w:type="dxa"/>
          </w:tcPr>
          <w:p w14:paraId="3C6CF09A" w14:textId="77777777" w:rsidR="00A720EB" w:rsidRDefault="0030286B">
            <w:pPr>
              <w:pStyle w:val="TableParagraph"/>
              <w:spacing w:before="37"/>
              <w:rPr>
                <w:sz w:val="21"/>
              </w:rPr>
            </w:pPr>
            <w:r>
              <w:rPr>
                <w:color w:val="B02045"/>
                <w:sz w:val="21"/>
              </w:rPr>
              <w:t>19.3.0.0</w:t>
            </w:r>
          </w:p>
        </w:tc>
      </w:tr>
      <w:tr w:rsidR="00A720EB" w14:paraId="7C54AAEB" w14:textId="77777777">
        <w:trPr>
          <w:trHeight w:val="368"/>
        </w:trPr>
        <w:tc>
          <w:tcPr>
            <w:tcW w:w="3325" w:type="dxa"/>
          </w:tcPr>
          <w:p w14:paraId="397ACC93" w14:textId="77777777" w:rsidR="00A720EB" w:rsidRDefault="0030286B">
            <w:pPr>
              <w:pStyle w:val="TableParagraph"/>
              <w:spacing w:before="37"/>
              <w:rPr>
                <w:sz w:val="21"/>
              </w:rPr>
            </w:pPr>
            <w:proofErr w:type="gramStart"/>
            <w:r>
              <w:rPr>
                <w:color w:val="B02045"/>
                <w:sz w:val="21"/>
              </w:rPr>
              <w:t>com.querydsl</w:t>
            </w:r>
            <w:proofErr w:type="gramEnd"/>
          </w:p>
        </w:tc>
        <w:tc>
          <w:tcPr>
            <w:tcW w:w="3325" w:type="dxa"/>
          </w:tcPr>
          <w:p w14:paraId="3706F0A7" w14:textId="77777777" w:rsidR="00A720EB" w:rsidRDefault="0030286B">
            <w:pPr>
              <w:pStyle w:val="TableParagraph"/>
              <w:spacing w:before="37"/>
              <w:rPr>
                <w:sz w:val="21"/>
              </w:rPr>
            </w:pPr>
            <w:r>
              <w:rPr>
                <w:color w:val="B02045"/>
                <w:sz w:val="21"/>
              </w:rPr>
              <w:t>querydsl-apt</w:t>
            </w:r>
          </w:p>
        </w:tc>
        <w:tc>
          <w:tcPr>
            <w:tcW w:w="3325" w:type="dxa"/>
          </w:tcPr>
          <w:p w14:paraId="204B1AED" w14:textId="77777777" w:rsidR="00A720EB" w:rsidRDefault="0030286B">
            <w:pPr>
              <w:pStyle w:val="TableParagraph"/>
              <w:spacing w:before="37"/>
              <w:rPr>
                <w:sz w:val="21"/>
              </w:rPr>
            </w:pPr>
            <w:r>
              <w:rPr>
                <w:color w:val="B02045"/>
                <w:sz w:val="21"/>
              </w:rPr>
              <w:t>4.3.1</w:t>
            </w:r>
          </w:p>
        </w:tc>
      </w:tr>
      <w:tr w:rsidR="00A720EB" w14:paraId="6CDC0959" w14:textId="77777777">
        <w:trPr>
          <w:trHeight w:val="368"/>
        </w:trPr>
        <w:tc>
          <w:tcPr>
            <w:tcW w:w="3325" w:type="dxa"/>
          </w:tcPr>
          <w:p w14:paraId="572DFBBF" w14:textId="77777777" w:rsidR="00A720EB" w:rsidRDefault="0030286B">
            <w:pPr>
              <w:pStyle w:val="TableParagraph"/>
              <w:rPr>
                <w:sz w:val="21"/>
              </w:rPr>
            </w:pPr>
            <w:proofErr w:type="gramStart"/>
            <w:r>
              <w:rPr>
                <w:color w:val="B02045"/>
                <w:sz w:val="21"/>
              </w:rPr>
              <w:t>com.querydsl</w:t>
            </w:r>
            <w:proofErr w:type="gramEnd"/>
          </w:p>
        </w:tc>
        <w:tc>
          <w:tcPr>
            <w:tcW w:w="3325" w:type="dxa"/>
          </w:tcPr>
          <w:p w14:paraId="1A1FAA54" w14:textId="77777777" w:rsidR="00A720EB" w:rsidRDefault="0030286B">
            <w:pPr>
              <w:pStyle w:val="TableParagraph"/>
              <w:rPr>
                <w:sz w:val="21"/>
              </w:rPr>
            </w:pPr>
            <w:r>
              <w:rPr>
                <w:color w:val="B02045"/>
                <w:sz w:val="21"/>
              </w:rPr>
              <w:t>querydsl-collections</w:t>
            </w:r>
          </w:p>
        </w:tc>
        <w:tc>
          <w:tcPr>
            <w:tcW w:w="3325" w:type="dxa"/>
          </w:tcPr>
          <w:p w14:paraId="4BD6071F" w14:textId="77777777" w:rsidR="00A720EB" w:rsidRDefault="0030286B">
            <w:pPr>
              <w:pStyle w:val="TableParagraph"/>
              <w:rPr>
                <w:sz w:val="21"/>
              </w:rPr>
            </w:pPr>
            <w:r>
              <w:rPr>
                <w:color w:val="B02045"/>
                <w:sz w:val="21"/>
              </w:rPr>
              <w:t>4.3.1</w:t>
            </w:r>
          </w:p>
        </w:tc>
      </w:tr>
      <w:tr w:rsidR="00A720EB" w14:paraId="06009A63" w14:textId="77777777">
        <w:trPr>
          <w:trHeight w:val="368"/>
        </w:trPr>
        <w:tc>
          <w:tcPr>
            <w:tcW w:w="3325" w:type="dxa"/>
          </w:tcPr>
          <w:p w14:paraId="505F9A69" w14:textId="77777777" w:rsidR="00A720EB" w:rsidRDefault="0030286B">
            <w:pPr>
              <w:pStyle w:val="TableParagraph"/>
              <w:rPr>
                <w:sz w:val="21"/>
              </w:rPr>
            </w:pPr>
            <w:proofErr w:type="gramStart"/>
            <w:r>
              <w:rPr>
                <w:color w:val="B02045"/>
                <w:sz w:val="21"/>
              </w:rPr>
              <w:t>com.querydsl</w:t>
            </w:r>
            <w:proofErr w:type="gramEnd"/>
          </w:p>
        </w:tc>
        <w:tc>
          <w:tcPr>
            <w:tcW w:w="3325" w:type="dxa"/>
          </w:tcPr>
          <w:p w14:paraId="7EB38A61" w14:textId="77777777" w:rsidR="00A720EB" w:rsidRDefault="0030286B">
            <w:pPr>
              <w:pStyle w:val="TableParagraph"/>
              <w:rPr>
                <w:sz w:val="21"/>
              </w:rPr>
            </w:pPr>
            <w:r>
              <w:rPr>
                <w:color w:val="B02045"/>
                <w:sz w:val="21"/>
              </w:rPr>
              <w:t>querydsl-core</w:t>
            </w:r>
          </w:p>
        </w:tc>
        <w:tc>
          <w:tcPr>
            <w:tcW w:w="3325" w:type="dxa"/>
          </w:tcPr>
          <w:p w14:paraId="48D09C15" w14:textId="77777777" w:rsidR="00A720EB" w:rsidRDefault="0030286B">
            <w:pPr>
              <w:pStyle w:val="TableParagraph"/>
              <w:rPr>
                <w:sz w:val="21"/>
              </w:rPr>
            </w:pPr>
            <w:r>
              <w:rPr>
                <w:color w:val="B02045"/>
                <w:sz w:val="21"/>
              </w:rPr>
              <w:t>4.3.1</w:t>
            </w:r>
          </w:p>
        </w:tc>
      </w:tr>
      <w:tr w:rsidR="00A720EB" w14:paraId="4F9DC389" w14:textId="77777777">
        <w:trPr>
          <w:trHeight w:val="368"/>
        </w:trPr>
        <w:tc>
          <w:tcPr>
            <w:tcW w:w="3325" w:type="dxa"/>
          </w:tcPr>
          <w:p w14:paraId="602F89C0" w14:textId="77777777" w:rsidR="00A720EB" w:rsidRDefault="0030286B">
            <w:pPr>
              <w:pStyle w:val="TableParagraph"/>
              <w:spacing w:before="37"/>
              <w:rPr>
                <w:sz w:val="21"/>
              </w:rPr>
            </w:pPr>
            <w:proofErr w:type="gramStart"/>
            <w:r>
              <w:rPr>
                <w:color w:val="B02045"/>
                <w:sz w:val="21"/>
              </w:rPr>
              <w:t>com.querydsl</w:t>
            </w:r>
            <w:proofErr w:type="gramEnd"/>
          </w:p>
        </w:tc>
        <w:tc>
          <w:tcPr>
            <w:tcW w:w="3325" w:type="dxa"/>
          </w:tcPr>
          <w:p w14:paraId="1AC47706" w14:textId="77777777" w:rsidR="00A720EB" w:rsidRDefault="0030286B">
            <w:pPr>
              <w:pStyle w:val="TableParagraph"/>
              <w:spacing w:before="37"/>
              <w:rPr>
                <w:sz w:val="21"/>
              </w:rPr>
            </w:pPr>
            <w:r>
              <w:rPr>
                <w:color w:val="B02045"/>
                <w:sz w:val="21"/>
              </w:rPr>
              <w:t>querydsl-jpa</w:t>
            </w:r>
          </w:p>
        </w:tc>
        <w:tc>
          <w:tcPr>
            <w:tcW w:w="3325" w:type="dxa"/>
          </w:tcPr>
          <w:p w14:paraId="7E16E6B6" w14:textId="77777777" w:rsidR="00A720EB" w:rsidRDefault="0030286B">
            <w:pPr>
              <w:pStyle w:val="TableParagraph"/>
              <w:spacing w:before="37"/>
              <w:rPr>
                <w:sz w:val="21"/>
              </w:rPr>
            </w:pPr>
            <w:r>
              <w:rPr>
                <w:color w:val="B02045"/>
                <w:sz w:val="21"/>
              </w:rPr>
              <w:t>4.3.1</w:t>
            </w:r>
          </w:p>
        </w:tc>
      </w:tr>
      <w:tr w:rsidR="00A720EB" w14:paraId="3A7140EF" w14:textId="77777777">
        <w:trPr>
          <w:trHeight w:val="368"/>
        </w:trPr>
        <w:tc>
          <w:tcPr>
            <w:tcW w:w="3325" w:type="dxa"/>
          </w:tcPr>
          <w:p w14:paraId="72633C81" w14:textId="77777777" w:rsidR="00A720EB" w:rsidRDefault="0030286B">
            <w:pPr>
              <w:pStyle w:val="TableParagraph"/>
              <w:spacing w:before="37"/>
              <w:rPr>
                <w:sz w:val="21"/>
              </w:rPr>
            </w:pPr>
            <w:proofErr w:type="gramStart"/>
            <w:r>
              <w:rPr>
                <w:color w:val="B02045"/>
                <w:sz w:val="21"/>
              </w:rPr>
              <w:t>com.querydsl</w:t>
            </w:r>
            <w:proofErr w:type="gramEnd"/>
          </w:p>
        </w:tc>
        <w:tc>
          <w:tcPr>
            <w:tcW w:w="3325" w:type="dxa"/>
          </w:tcPr>
          <w:p w14:paraId="6415039E" w14:textId="77777777" w:rsidR="00A720EB" w:rsidRDefault="0030286B">
            <w:pPr>
              <w:pStyle w:val="TableParagraph"/>
              <w:spacing w:before="37"/>
              <w:rPr>
                <w:sz w:val="21"/>
              </w:rPr>
            </w:pPr>
            <w:r>
              <w:rPr>
                <w:color w:val="B02045"/>
                <w:sz w:val="21"/>
              </w:rPr>
              <w:t>querydsl-mongodb</w:t>
            </w:r>
          </w:p>
        </w:tc>
        <w:tc>
          <w:tcPr>
            <w:tcW w:w="3325" w:type="dxa"/>
          </w:tcPr>
          <w:p w14:paraId="1538ADD3" w14:textId="77777777" w:rsidR="00A720EB" w:rsidRDefault="0030286B">
            <w:pPr>
              <w:pStyle w:val="TableParagraph"/>
              <w:spacing w:before="37"/>
              <w:rPr>
                <w:sz w:val="21"/>
              </w:rPr>
            </w:pPr>
            <w:r>
              <w:rPr>
                <w:color w:val="B02045"/>
                <w:sz w:val="21"/>
              </w:rPr>
              <w:t>4.3.1</w:t>
            </w:r>
          </w:p>
        </w:tc>
      </w:tr>
      <w:tr w:rsidR="00A720EB" w14:paraId="74879C17" w14:textId="77777777">
        <w:trPr>
          <w:trHeight w:val="368"/>
        </w:trPr>
        <w:tc>
          <w:tcPr>
            <w:tcW w:w="3325" w:type="dxa"/>
          </w:tcPr>
          <w:p w14:paraId="25D4DD07" w14:textId="77777777" w:rsidR="00A720EB" w:rsidRDefault="0030286B">
            <w:pPr>
              <w:pStyle w:val="TableParagraph"/>
              <w:rPr>
                <w:sz w:val="21"/>
              </w:rPr>
            </w:pPr>
            <w:proofErr w:type="gramStart"/>
            <w:r>
              <w:rPr>
                <w:color w:val="B02045"/>
                <w:sz w:val="21"/>
              </w:rPr>
              <w:t>com.rabbitmq</w:t>
            </w:r>
            <w:proofErr w:type="gramEnd"/>
          </w:p>
        </w:tc>
        <w:tc>
          <w:tcPr>
            <w:tcW w:w="3325" w:type="dxa"/>
          </w:tcPr>
          <w:p w14:paraId="723024F7" w14:textId="77777777" w:rsidR="00A720EB" w:rsidRDefault="0030286B">
            <w:pPr>
              <w:pStyle w:val="TableParagraph"/>
              <w:rPr>
                <w:sz w:val="21"/>
              </w:rPr>
            </w:pPr>
            <w:r>
              <w:rPr>
                <w:color w:val="B02045"/>
                <w:sz w:val="21"/>
              </w:rPr>
              <w:t>amqp-client</w:t>
            </w:r>
          </w:p>
        </w:tc>
        <w:tc>
          <w:tcPr>
            <w:tcW w:w="3325" w:type="dxa"/>
          </w:tcPr>
          <w:p w14:paraId="3C070640" w14:textId="77777777" w:rsidR="00A720EB" w:rsidRDefault="0030286B">
            <w:pPr>
              <w:pStyle w:val="TableParagraph"/>
              <w:rPr>
                <w:sz w:val="21"/>
              </w:rPr>
            </w:pPr>
            <w:r>
              <w:rPr>
                <w:color w:val="B02045"/>
                <w:sz w:val="21"/>
              </w:rPr>
              <w:t>5.9.0</w:t>
            </w:r>
          </w:p>
        </w:tc>
      </w:tr>
      <w:tr w:rsidR="00A720EB" w14:paraId="3DDA9E7F" w14:textId="77777777">
        <w:trPr>
          <w:trHeight w:val="368"/>
        </w:trPr>
        <w:tc>
          <w:tcPr>
            <w:tcW w:w="3325" w:type="dxa"/>
          </w:tcPr>
          <w:p w14:paraId="117C0C34" w14:textId="77777777" w:rsidR="00A720EB" w:rsidRDefault="0030286B">
            <w:pPr>
              <w:pStyle w:val="TableParagraph"/>
              <w:rPr>
                <w:sz w:val="21"/>
              </w:rPr>
            </w:pPr>
            <w:proofErr w:type="gramStart"/>
            <w:r>
              <w:rPr>
                <w:color w:val="B02045"/>
                <w:sz w:val="21"/>
              </w:rPr>
              <w:t>com.samskivert</w:t>
            </w:r>
            <w:proofErr w:type="gramEnd"/>
          </w:p>
        </w:tc>
        <w:tc>
          <w:tcPr>
            <w:tcW w:w="3325" w:type="dxa"/>
          </w:tcPr>
          <w:p w14:paraId="5EECE574" w14:textId="77777777" w:rsidR="00A720EB" w:rsidRDefault="0030286B">
            <w:pPr>
              <w:pStyle w:val="TableParagraph"/>
              <w:rPr>
                <w:sz w:val="21"/>
              </w:rPr>
            </w:pPr>
            <w:r>
              <w:rPr>
                <w:color w:val="B02045"/>
                <w:sz w:val="21"/>
              </w:rPr>
              <w:t>jmustache</w:t>
            </w:r>
          </w:p>
        </w:tc>
        <w:tc>
          <w:tcPr>
            <w:tcW w:w="3325" w:type="dxa"/>
          </w:tcPr>
          <w:p w14:paraId="412B86AE" w14:textId="77777777" w:rsidR="00A720EB" w:rsidRDefault="0030286B">
            <w:pPr>
              <w:pStyle w:val="TableParagraph"/>
              <w:rPr>
                <w:sz w:val="21"/>
              </w:rPr>
            </w:pPr>
            <w:r>
              <w:rPr>
                <w:color w:val="B02045"/>
                <w:sz w:val="21"/>
              </w:rPr>
              <w:t>1.15</w:t>
            </w:r>
          </w:p>
        </w:tc>
      </w:tr>
      <w:tr w:rsidR="00A720EB" w14:paraId="6535D248" w14:textId="77777777">
        <w:trPr>
          <w:trHeight w:val="368"/>
        </w:trPr>
        <w:tc>
          <w:tcPr>
            <w:tcW w:w="3325" w:type="dxa"/>
          </w:tcPr>
          <w:p w14:paraId="06FF4D73" w14:textId="77777777" w:rsidR="00A720EB" w:rsidRDefault="0030286B">
            <w:pPr>
              <w:pStyle w:val="TableParagraph"/>
              <w:spacing w:before="37"/>
              <w:rPr>
                <w:sz w:val="21"/>
              </w:rPr>
            </w:pPr>
            <w:proofErr w:type="gramStart"/>
            <w:r>
              <w:rPr>
                <w:color w:val="B02045"/>
                <w:sz w:val="21"/>
              </w:rPr>
              <w:t>com.sendgrid</w:t>
            </w:r>
            <w:proofErr w:type="gramEnd"/>
          </w:p>
        </w:tc>
        <w:tc>
          <w:tcPr>
            <w:tcW w:w="3325" w:type="dxa"/>
          </w:tcPr>
          <w:p w14:paraId="0B4AEA0E" w14:textId="77777777" w:rsidR="00A720EB" w:rsidRDefault="0030286B">
            <w:pPr>
              <w:pStyle w:val="TableParagraph"/>
              <w:spacing w:before="37"/>
              <w:rPr>
                <w:sz w:val="21"/>
              </w:rPr>
            </w:pPr>
            <w:r>
              <w:rPr>
                <w:color w:val="B02045"/>
                <w:sz w:val="21"/>
              </w:rPr>
              <w:t>sendgrid-java</w:t>
            </w:r>
          </w:p>
        </w:tc>
        <w:tc>
          <w:tcPr>
            <w:tcW w:w="3325" w:type="dxa"/>
          </w:tcPr>
          <w:p w14:paraId="5401D42E" w14:textId="77777777" w:rsidR="00A720EB" w:rsidRDefault="0030286B">
            <w:pPr>
              <w:pStyle w:val="TableParagraph"/>
              <w:spacing w:before="37"/>
              <w:rPr>
                <w:sz w:val="21"/>
              </w:rPr>
            </w:pPr>
            <w:r>
              <w:rPr>
                <w:color w:val="B02045"/>
                <w:sz w:val="21"/>
              </w:rPr>
              <w:t>4.4.8</w:t>
            </w:r>
          </w:p>
        </w:tc>
      </w:tr>
      <w:tr w:rsidR="00A720EB" w14:paraId="228F8A4D" w14:textId="77777777">
        <w:trPr>
          <w:trHeight w:val="368"/>
        </w:trPr>
        <w:tc>
          <w:tcPr>
            <w:tcW w:w="3325" w:type="dxa"/>
          </w:tcPr>
          <w:p w14:paraId="5CD111BC" w14:textId="77777777" w:rsidR="00A720EB" w:rsidRDefault="0030286B">
            <w:pPr>
              <w:pStyle w:val="TableParagraph"/>
              <w:spacing w:before="37"/>
              <w:rPr>
                <w:sz w:val="21"/>
              </w:rPr>
            </w:pPr>
            <w:proofErr w:type="gramStart"/>
            <w:r>
              <w:rPr>
                <w:color w:val="B02045"/>
                <w:sz w:val="21"/>
              </w:rPr>
              <w:t>com.squareup</w:t>
            </w:r>
            <w:proofErr w:type="gramEnd"/>
            <w:r>
              <w:rPr>
                <w:color w:val="B02045"/>
                <w:sz w:val="21"/>
              </w:rPr>
              <w:t>.okhttp3</w:t>
            </w:r>
          </w:p>
        </w:tc>
        <w:tc>
          <w:tcPr>
            <w:tcW w:w="3325" w:type="dxa"/>
          </w:tcPr>
          <w:p w14:paraId="5BA2439E" w14:textId="77777777" w:rsidR="00A720EB" w:rsidRDefault="0030286B">
            <w:pPr>
              <w:pStyle w:val="TableParagraph"/>
              <w:spacing w:before="37"/>
              <w:rPr>
                <w:sz w:val="21"/>
              </w:rPr>
            </w:pPr>
            <w:r>
              <w:rPr>
                <w:color w:val="B02045"/>
                <w:sz w:val="21"/>
              </w:rPr>
              <w:t>logging-interceptor</w:t>
            </w:r>
          </w:p>
        </w:tc>
        <w:tc>
          <w:tcPr>
            <w:tcW w:w="3325" w:type="dxa"/>
          </w:tcPr>
          <w:p w14:paraId="7B08FAEF" w14:textId="77777777" w:rsidR="00A720EB" w:rsidRDefault="0030286B">
            <w:pPr>
              <w:pStyle w:val="TableParagraph"/>
              <w:spacing w:before="37"/>
              <w:rPr>
                <w:sz w:val="21"/>
              </w:rPr>
            </w:pPr>
            <w:r>
              <w:rPr>
                <w:color w:val="B02045"/>
                <w:sz w:val="21"/>
              </w:rPr>
              <w:t>3.14.9</w:t>
            </w:r>
          </w:p>
        </w:tc>
      </w:tr>
      <w:tr w:rsidR="00A720EB" w14:paraId="2686E8D9" w14:textId="77777777">
        <w:trPr>
          <w:trHeight w:val="368"/>
        </w:trPr>
        <w:tc>
          <w:tcPr>
            <w:tcW w:w="3325" w:type="dxa"/>
          </w:tcPr>
          <w:p w14:paraId="77B97FF7" w14:textId="77777777" w:rsidR="00A720EB" w:rsidRDefault="0030286B">
            <w:pPr>
              <w:pStyle w:val="TableParagraph"/>
              <w:rPr>
                <w:sz w:val="21"/>
              </w:rPr>
            </w:pPr>
            <w:proofErr w:type="gramStart"/>
            <w:r>
              <w:rPr>
                <w:color w:val="B02045"/>
                <w:sz w:val="21"/>
              </w:rPr>
              <w:t>com.squareup</w:t>
            </w:r>
            <w:proofErr w:type="gramEnd"/>
            <w:r>
              <w:rPr>
                <w:color w:val="B02045"/>
                <w:sz w:val="21"/>
              </w:rPr>
              <w:t>.okhttp3</w:t>
            </w:r>
          </w:p>
        </w:tc>
        <w:tc>
          <w:tcPr>
            <w:tcW w:w="3325" w:type="dxa"/>
          </w:tcPr>
          <w:p w14:paraId="226F1853" w14:textId="77777777" w:rsidR="00A720EB" w:rsidRDefault="0030286B">
            <w:pPr>
              <w:pStyle w:val="TableParagraph"/>
              <w:rPr>
                <w:sz w:val="21"/>
              </w:rPr>
            </w:pPr>
            <w:r>
              <w:rPr>
                <w:color w:val="B02045"/>
                <w:sz w:val="21"/>
              </w:rPr>
              <w:t>mockwebserver</w:t>
            </w:r>
          </w:p>
        </w:tc>
        <w:tc>
          <w:tcPr>
            <w:tcW w:w="3325" w:type="dxa"/>
          </w:tcPr>
          <w:p w14:paraId="1B04E9B8" w14:textId="77777777" w:rsidR="00A720EB" w:rsidRDefault="0030286B">
            <w:pPr>
              <w:pStyle w:val="TableParagraph"/>
              <w:rPr>
                <w:sz w:val="21"/>
              </w:rPr>
            </w:pPr>
            <w:r>
              <w:rPr>
                <w:color w:val="B02045"/>
                <w:sz w:val="21"/>
              </w:rPr>
              <w:t>3.14.9</w:t>
            </w:r>
          </w:p>
        </w:tc>
      </w:tr>
      <w:tr w:rsidR="00A720EB" w14:paraId="45ACA777" w14:textId="77777777">
        <w:trPr>
          <w:trHeight w:val="368"/>
        </w:trPr>
        <w:tc>
          <w:tcPr>
            <w:tcW w:w="3325" w:type="dxa"/>
          </w:tcPr>
          <w:p w14:paraId="209F9EBB" w14:textId="77777777" w:rsidR="00A720EB" w:rsidRDefault="0030286B">
            <w:pPr>
              <w:pStyle w:val="TableParagraph"/>
              <w:spacing w:before="37"/>
              <w:rPr>
                <w:sz w:val="21"/>
              </w:rPr>
            </w:pPr>
            <w:proofErr w:type="gramStart"/>
            <w:r>
              <w:rPr>
                <w:color w:val="B02045"/>
                <w:sz w:val="21"/>
              </w:rPr>
              <w:t>com.squareup</w:t>
            </w:r>
            <w:proofErr w:type="gramEnd"/>
            <w:r>
              <w:rPr>
                <w:color w:val="B02045"/>
                <w:sz w:val="21"/>
              </w:rPr>
              <w:t>.okhttp3</w:t>
            </w:r>
          </w:p>
        </w:tc>
        <w:tc>
          <w:tcPr>
            <w:tcW w:w="3325" w:type="dxa"/>
          </w:tcPr>
          <w:p w14:paraId="269933DE" w14:textId="77777777" w:rsidR="00A720EB" w:rsidRDefault="0030286B">
            <w:pPr>
              <w:pStyle w:val="TableParagraph"/>
              <w:spacing w:before="37"/>
              <w:rPr>
                <w:sz w:val="21"/>
              </w:rPr>
            </w:pPr>
            <w:r>
              <w:rPr>
                <w:color w:val="B02045"/>
                <w:sz w:val="21"/>
              </w:rPr>
              <w:t>okcurl</w:t>
            </w:r>
          </w:p>
        </w:tc>
        <w:tc>
          <w:tcPr>
            <w:tcW w:w="3325" w:type="dxa"/>
          </w:tcPr>
          <w:p w14:paraId="5E678D82" w14:textId="77777777" w:rsidR="00A720EB" w:rsidRDefault="0030286B">
            <w:pPr>
              <w:pStyle w:val="TableParagraph"/>
              <w:spacing w:before="37"/>
              <w:rPr>
                <w:sz w:val="21"/>
              </w:rPr>
            </w:pPr>
            <w:r>
              <w:rPr>
                <w:color w:val="B02045"/>
                <w:sz w:val="21"/>
              </w:rPr>
              <w:t>3.14.9</w:t>
            </w:r>
          </w:p>
        </w:tc>
      </w:tr>
      <w:tr w:rsidR="00A720EB" w14:paraId="18FA53AB" w14:textId="77777777">
        <w:trPr>
          <w:trHeight w:val="368"/>
        </w:trPr>
        <w:tc>
          <w:tcPr>
            <w:tcW w:w="3325" w:type="dxa"/>
          </w:tcPr>
          <w:p w14:paraId="0BA16802" w14:textId="77777777" w:rsidR="00A720EB" w:rsidRDefault="0030286B">
            <w:pPr>
              <w:pStyle w:val="TableParagraph"/>
              <w:rPr>
                <w:sz w:val="21"/>
              </w:rPr>
            </w:pPr>
            <w:proofErr w:type="gramStart"/>
            <w:r>
              <w:rPr>
                <w:color w:val="B02045"/>
                <w:sz w:val="21"/>
              </w:rPr>
              <w:t>com.squareup</w:t>
            </w:r>
            <w:proofErr w:type="gramEnd"/>
            <w:r>
              <w:rPr>
                <w:color w:val="B02045"/>
                <w:sz w:val="21"/>
              </w:rPr>
              <w:t>.okhttp3</w:t>
            </w:r>
          </w:p>
        </w:tc>
        <w:tc>
          <w:tcPr>
            <w:tcW w:w="3325" w:type="dxa"/>
          </w:tcPr>
          <w:p w14:paraId="4A1FDE28" w14:textId="77777777" w:rsidR="00A720EB" w:rsidRDefault="0030286B">
            <w:pPr>
              <w:pStyle w:val="TableParagraph"/>
              <w:rPr>
                <w:sz w:val="21"/>
              </w:rPr>
            </w:pPr>
            <w:r>
              <w:rPr>
                <w:color w:val="B02045"/>
                <w:sz w:val="21"/>
              </w:rPr>
              <w:t>okhttp</w:t>
            </w:r>
          </w:p>
        </w:tc>
        <w:tc>
          <w:tcPr>
            <w:tcW w:w="3325" w:type="dxa"/>
          </w:tcPr>
          <w:p w14:paraId="439A7EAC" w14:textId="77777777" w:rsidR="00A720EB" w:rsidRDefault="0030286B">
            <w:pPr>
              <w:pStyle w:val="TableParagraph"/>
              <w:rPr>
                <w:sz w:val="21"/>
              </w:rPr>
            </w:pPr>
            <w:r>
              <w:rPr>
                <w:color w:val="B02045"/>
                <w:sz w:val="21"/>
              </w:rPr>
              <w:t>3.14.9</w:t>
            </w:r>
          </w:p>
        </w:tc>
      </w:tr>
      <w:tr w:rsidR="00A720EB" w14:paraId="0D5BC295" w14:textId="77777777">
        <w:trPr>
          <w:trHeight w:val="368"/>
        </w:trPr>
        <w:tc>
          <w:tcPr>
            <w:tcW w:w="3325" w:type="dxa"/>
          </w:tcPr>
          <w:p w14:paraId="56689006" w14:textId="77777777" w:rsidR="00A720EB" w:rsidRDefault="0030286B">
            <w:pPr>
              <w:pStyle w:val="TableParagraph"/>
              <w:spacing w:before="37"/>
              <w:rPr>
                <w:sz w:val="21"/>
              </w:rPr>
            </w:pPr>
            <w:proofErr w:type="gramStart"/>
            <w:r>
              <w:rPr>
                <w:color w:val="B02045"/>
                <w:sz w:val="21"/>
              </w:rPr>
              <w:t>com.squareup</w:t>
            </w:r>
            <w:proofErr w:type="gramEnd"/>
            <w:r>
              <w:rPr>
                <w:color w:val="B02045"/>
                <w:sz w:val="21"/>
              </w:rPr>
              <w:t>.okhttp3</w:t>
            </w:r>
          </w:p>
        </w:tc>
        <w:tc>
          <w:tcPr>
            <w:tcW w:w="3325" w:type="dxa"/>
          </w:tcPr>
          <w:p w14:paraId="046A2C45" w14:textId="77777777" w:rsidR="00A720EB" w:rsidRDefault="0030286B">
            <w:pPr>
              <w:pStyle w:val="TableParagraph"/>
              <w:spacing w:before="37"/>
              <w:rPr>
                <w:sz w:val="21"/>
              </w:rPr>
            </w:pPr>
            <w:r>
              <w:rPr>
                <w:color w:val="B02045"/>
                <w:sz w:val="21"/>
              </w:rPr>
              <w:t>okhttp-dnsoverhttps</w:t>
            </w:r>
          </w:p>
        </w:tc>
        <w:tc>
          <w:tcPr>
            <w:tcW w:w="3325" w:type="dxa"/>
          </w:tcPr>
          <w:p w14:paraId="783110BB" w14:textId="77777777" w:rsidR="00A720EB" w:rsidRDefault="0030286B">
            <w:pPr>
              <w:pStyle w:val="TableParagraph"/>
              <w:spacing w:before="37"/>
              <w:rPr>
                <w:sz w:val="21"/>
              </w:rPr>
            </w:pPr>
            <w:r>
              <w:rPr>
                <w:color w:val="B02045"/>
                <w:sz w:val="21"/>
              </w:rPr>
              <w:t>3.14.9</w:t>
            </w:r>
          </w:p>
        </w:tc>
      </w:tr>
      <w:tr w:rsidR="00A720EB" w14:paraId="5DF3435E" w14:textId="77777777">
        <w:trPr>
          <w:trHeight w:val="368"/>
        </w:trPr>
        <w:tc>
          <w:tcPr>
            <w:tcW w:w="3325" w:type="dxa"/>
          </w:tcPr>
          <w:p w14:paraId="1444904B" w14:textId="77777777" w:rsidR="00A720EB" w:rsidRDefault="0030286B">
            <w:pPr>
              <w:pStyle w:val="TableParagraph"/>
              <w:rPr>
                <w:sz w:val="21"/>
              </w:rPr>
            </w:pPr>
            <w:proofErr w:type="gramStart"/>
            <w:r>
              <w:rPr>
                <w:color w:val="B02045"/>
                <w:sz w:val="21"/>
              </w:rPr>
              <w:t>com.squareup</w:t>
            </w:r>
            <w:proofErr w:type="gramEnd"/>
            <w:r>
              <w:rPr>
                <w:color w:val="B02045"/>
                <w:sz w:val="21"/>
              </w:rPr>
              <w:t>.okhttp3</w:t>
            </w:r>
          </w:p>
        </w:tc>
        <w:tc>
          <w:tcPr>
            <w:tcW w:w="3325" w:type="dxa"/>
          </w:tcPr>
          <w:p w14:paraId="25604FA2" w14:textId="77777777" w:rsidR="00A720EB" w:rsidRDefault="0030286B">
            <w:pPr>
              <w:pStyle w:val="TableParagraph"/>
              <w:rPr>
                <w:sz w:val="21"/>
              </w:rPr>
            </w:pPr>
            <w:r>
              <w:rPr>
                <w:color w:val="B02045"/>
                <w:sz w:val="21"/>
              </w:rPr>
              <w:t>okhttp-sse</w:t>
            </w:r>
          </w:p>
        </w:tc>
        <w:tc>
          <w:tcPr>
            <w:tcW w:w="3325" w:type="dxa"/>
          </w:tcPr>
          <w:p w14:paraId="7ADBD124" w14:textId="77777777" w:rsidR="00A720EB" w:rsidRDefault="0030286B">
            <w:pPr>
              <w:pStyle w:val="TableParagraph"/>
              <w:rPr>
                <w:sz w:val="21"/>
              </w:rPr>
            </w:pPr>
            <w:r>
              <w:rPr>
                <w:color w:val="B02045"/>
                <w:sz w:val="21"/>
              </w:rPr>
              <w:t>3.14.9</w:t>
            </w:r>
          </w:p>
        </w:tc>
      </w:tr>
      <w:tr w:rsidR="00A720EB" w14:paraId="400E090D" w14:textId="77777777">
        <w:trPr>
          <w:trHeight w:val="368"/>
        </w:trPr>
        <w:tc>
          <w:tcPr>
            <w:tcW w:w="3325" w:type="dxa"/>
          </w:tcPr>
          <w:p w14:paraId="586C5F90" w14:textId="77777777" w:rsidR="00A720EB" w:rsidRDefault="0030286B">
            <w:pPr>
              <w:pStyle w:val="TableParagraph"/>
              <w:spacing w:before="37"/>
              <w:rPr>
                <w:sz w:val="21"/>
              </w:rPr>
            </w:pPr>
            <w:proofErr w:type="gramStart"/>
            <w:r>
              <w:rPr>
                <w:color w:val="B02045"/>
                <w:sz w:val="21"/>
              </w:rPr>
              <w:t>com.squareup</w:t>
            </w:r>
            <w:proofErr w:type="gramEnd"/>
            <w:r>
              <w:rPr>
                <w:color w:val="B02045"/>
                <w:sz w:val="21"/>
              </w:rPr>
              <w:t>.okhttp3</w:t>
            </w:r>
          </w:p>
        </w:tc>
        <w:tc>
          <w:tcPr>
            <w:tcW w:w="3325" w:type="dxa"/>
          </w:tcPr>
          <w:p w14:paraId="509AFF2A" w14:textId="77777777" w:rsidR="00A720EB" w:rsidRDefault="0030286B">
            <w:pPr>
              <w:pStyle w:val="TableParagraph"/>
              <w:spacing w:before="37"/>
              <w:rPr>
                <w:sz w:val="21"/>
              </w:rPr>
            </w:pPr>
            <w:r>
              <w:rPr>
                <w:color w:val="B02045"/>
                <w:sz w:val="21"/>
              </w:rPr>
              <w:t>okhttp-testing-support</w:t>
            </w:r>
          </w:p>
        </w:tc>
        <w:tc>
          <w:tcPr>
            <w:tcW w:w="3325" w:type="dxa"/>
          </w:tcPr>
          <w:p w14:paraId="653BBEA7" w14:textId="77777777" w:rsidR="00A720EB" w:rsidRDefault="0030286B">
            <w:pPr>
              <w:pStyle w:val="TableParagraph"/>
              <w:spacing w:before="37"/>
              <w:rPr>
                <w:sz w:val="21"/>
              </w:rPr>
            </w:pPr>
            <w:r>
              <w:rPr>
                <w:color w:val="B02045"/>
                <w:sz w:val="21"/>
              </w:rPr>
              <w:t>3.14.9</w:t>
            </w:r>
          </w:p>
        </w:tc>
      </w:tr>
      <w:tr w:rsidR="00A720EB" w14:paraId="345561C1" w14:textId="77777777">
        <w:trPr>
          <w:trHeight w:val="368"/>
        </w:trPr>
        <w:tc>
          <w:tcPr>
            <w:tcW w:w="3325" w:type="dxa"/>
          </w:tcPr>
          <w:p w14:paraId="757DFF47" w14:textId="77777777" w:rsidR="00A720EB" w:rsidRDefault="0030286B">
            <w:pPr>
              <w:pStyle w:val="TableParagraph"/>
              <w:rPr>
                <w:sz w:val="21"/>
              </w:rPr>
            </w:pPr>
            <w:proofErr w:type="gramStart"/>
            <w:r>
              <w:rPr>
                <w:color w:val="B02045"/>
                <w:sz w:val="21"/>
              </w:rPr>
              <w:t>com.squareup</w:t>
            </w:r>
            <w:proofErr w:type="gramEnd"/>
            <w:r>
              <w:rPr>
                <w:color w:val="B02045"/>
                <w:sz w:val="21"/>
              </w:rPr>
              <w:t>.okhttp3</w:t>
            </w:r>
          </w:p>
        </w:tc>
        <w:tc>
          <w:tcPr>
            <w:tcW w:w="3325" w:type="dxa"/>
          </w:tcPr>
          <w:p w14:paraId="7DB73289" w14:textId="77777777" w:rsidR="00A720EB" w:rsidRDefault="0030286B">
            <w:pPr>
              <w:pStyle w:val="TableParagraph"/>
              <w:rPr>
                <w:sz w:val="21"/>
              </w:rPr>
            </w:pPr>
            <w:r>
              <w:rPr>
                <w:color w:val="B02045"/>
                <w:sz w:val="21"/>
              </w:rPr>
              <w:t>okhttp-tls</w:t>
            </w:r>
          </w:p>
        </w:tc>
        <w:tc>
          <w:tcPr>
            <w:tcW w:w="3325" w:type="dxa"/>
          </w:tcPr>
          <w:p w14:paraId="781AB9C3" w14:textId="77777777" w:rsidR="00A720EB" w:rsidRDefault="0030286B">
            <w:pPr>
              <w:pStyle w:val="TableParagraph"/>
              <w:rPr>
                <w:sz w:val="21"/>
              </w:rPr>
            </w:pPr>
            <w:r>
              <w:rPr>
                <w:color w:val="B02045"/>
                <w:sz w:val="21"/>
              </w:rPr>
              <w:t>3.14.9</w:t>
            </w:r>
          </w:p>
        </w:tc>
      </w:tr>
      <w:tr w:rsidR="00A720EB" w14:paraId="4C7BEA5E" w14:textId="77777777">
        <w:trPr>
          <w:trHeight w:val="368"/>
        </w:trPr>
        <w:tc>
          <w:tcPr>
            <w:tcW w:w="3325" w:type="dxa"/>
          </w:tcPr>
          <w:p w14:paraId="4A9402F4" w14:textId="77777777" w:rsidR="00A720EB" w:rsidRDefault="0030286B">
            <w:pPr>
              <w:pStyle w:val="TableParagraph"/>
              <w:rPr>
                <w:sz w:val="21"/>
              </w:rPr>
            </w:pPr>
            <w:proofErr w:type="gramStart"/>
            <w:r>
              <w:rPr>
                <w:color w:val="B02045"/>
                <w:sz w:val="21"/>
              </w:rPr>
              <w:t>com.squareup</w:t>
            </w:r>
            <w:proofErr w:type="gramEnd"/>
            <w:r>
              <w:rPr>
                <w:color w:val="B02045"/>
                <w:sz w:val="21"/>
              </w:rPr>
              <w:t>.okhttp3</w:t>
            </w:r>
          </w:p>
        </w:tc>
        <w:tc>
          <w:tcPr>
            <w:tcW w:w="3325" w:type="dxa"/>
          </w:tcPr>
          <w:p w14:paraId="2B421C50" w14:textId="77777777" w:rsidR="00A720EB" w:rsidRDefault="0030286B">
            <w:pPr>
              <w:pStyle w:val="TableParagraph"/>
              <w:rPr>
                <w:sz w:val="21"/>
              </w:rPr>
            </w:pPr>
            <w:r>
              <w:rPr>
                <w:color w:val="B02045"/>
                <w:sz w:val="21"/>
              </w:rPr>
              <w:t>okhttp-urlconnection</w:t>
            </w:r>
          </w:p>
        </w:tc>
        <w:tc>
          <w:tcPr>
            <w:tcW w:w="3325" w:type="dxa"/>
          </w:tcPr>
          <w:p w14:paraId="22450274" w14:textId="77777777" w:rsidR="00A720EB" w:rsidRDefault="0030286B">
            <w:pPr>
              <w:pStyle w:val="TableParagraph"/>
              <w:rPr>
                <w:sz w:val="21"/>
              </w:rPr>
            </w:pPr>
            <w:r>
              <w:rPr>
                <w:color w:val="B02045"/>
                <w:sz w:val="21"/>
              </w:rPr>
              <w:t>3.14.9</w:t>
            </w:r>
          </w:p>
        </w:tc>
      </w:tr>
      <w:tr w:rsidR="00A720EB" w14:paraId="32FDB76C" w14:textId="77777777">
        <w:trPr>
          <w:trHeight w:val="368"/>
        </w:trPr>
        <w:tc>
          <w:tcPr>
            <w:tcW w:w="3325" w:type="dxa"/>
          </w:tcPr>
          <w:p w14:paraId="48DAE3E7" w14:textId="77777777" w:rsidR="00A720EB" w:rsidRDefault="0030286B">
            <w:pPr>
              <w:pStyle w:val="TableParagraph"/>
              <w:rPr>
                <w:sz w:val="21"/>
              </w:rPr>
            </w:pPr>
            <w:proofErr w:type="gramStart"/>
            <w:r>
              <w:rPr>
                <w:color w:val="B02045"/>
                <w:sz w:val="21"/>
              </w:rPr>
              <w:t>com.sun.activation</w:t>
            </w:r>
            <w:proofErr w:type="gramEnd"/>
          </w:p>
        </w:tc>
        <w:tc>
          <w:tcPr>
            <w:tcW w:w="3325" w:type="dxa"/>
          </w:tcPr>
          <w:p w14:paraId="1065E0E6" w14:textId="77777777" w:rsidR="00A720EB" w:rsidRDefault="0030286B">
            <w:pPr>
              <w:pStyle w:val="TableParagraph"/>
              <w:rPr>
                <w:sz w:val="21"/>
              </w:rPr>
            </w:pPr>
            <w:proofErr w:type="gramStart"/>
            <w:r>
              <w:rPr>
                <w:color w:val="B02045"/>
                <w:sz w:val="21"/>
              </w:rPr>
              <w:t>jakarta.activation</w:t>
            </w:r>
            <w:proofErr w:type="gramEnd"/>
          </w:p>
        </w:tc>
        <w:tc>
          <w:tcPr>
            <w:tcW w:w="3325" w:type="dxa"/>
          </w:tcPr>
          <w:p w14:paraId="2F719213" w14:textId="77777777" w:rsidR="00A720EB" w:rsidRDefault="0030286B">
            <w:pPr>
              <w:pStyle w:val="TableParagraph"/>
              <w:rPr>
                <w:sz w:val="21"/>
              </w:rPr>
            </w:pPr>
            <w:r>
              <w:rPr>
                <w:color w:val="B02045"/>
                <w:sz w:val="21"/>
              </w:rPr>
              <w:t>1.2.2</w:t>
            </w:r>
          </w:p>
        </w:tc>
      </w:tr>
      <w:tr w:rsidR="00A720EB" w14:paraId="48901C9E" w14:textId="77777777">
        <w:trPr>
          <w:trHeight w:val="368"/>
        </w:trPr>
        <w:tc>
          <w:tcPr>
            <w:tcW w:w="3325" w:type="dxa"/>
          </w:tcPr>
          <w:p w14:paraId="4A727FE1" w14:textId="77777777" w:rsidR="00A720EB" w:rsidRDefault="0030286B">
            <w:pPr>
              <w:pStyle w:val="TableParagraph"/>
              <w:rPr>
                <w:sz w:val="21"/>
              </w:rPr>
            </w:pPr>
            <w:proofErr w:type="gramStart"/>
            <w:r>
              <w:rPr>
                <w:color w:val="B02045"/>
                <w:sz w:val="21"/>
              </w:rPr>
              <w:t>com.sun.mail</w:t>
            </w:r>
            <w:proofErr w:type="gramEnd"/>
          </w:p>
        </w:tc>
        <w:tc>
          <w:tcPr>
            <w:tcW w:w="3325" w:type="dxa"/>
          </w:tcPr>
          <w:p w14:paraId="25A0A5D2" w14:textId="77777777" w:rsidR="00A720EB" w:rsidRDefault="0030286B">
            <w:pPr>
              <w:pStyle w:val="TableParagraph"/>
              <w:rPr>
                <w:sz w:val="21"/>
              </w:rPr>
            </w:pPr>
            <w:proofErr w:type="gramStart"/>
            <w:r>
              <w:rPr>
                <w:color w:val="B02045"/>
                <w:sz w:val="21"/>
              </w:rPr>
              <w:t>jakarta.mail</w:t>
            </w:r>
            <w:proofErr w:type="gramEnd"/>
          </w:p>
        </w:tc>
        <w:tc>
          <w:tcPr>
            <w:tcW w:w="3325" w:type="dxa"/>
          </w:tcPr>
          <w:p w14:paraId="1F061CEB" w14:textId="77777777" w:rsidR="00A720EB" w:rsidRDefault="0030286B">
            <w:pPr>
              <w:pStyle w:val="TableParagraph"/>
              <w:rPr>
                <w:sz w:val="21"/>
              </w:rPr>
            </w:pPr>
            <w:r>
              <w:rPr>
                <w:color w:val="B02045"/>
                <w:sz w:val="21"/>
              </w:rPr>
              <w:t>1.6.5</w:t>
            </w:r>
          </w:p>
        </w:tc>
      </w:tr>
    </w:tbl>
    <w:p w14:paraId="5BA6AA8B"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42C897B2" w14:textId="77777777">
        <w:trPr>
          <w:trHeight w:val="415"/>
        </w:trPr>
        <w:tc>
          <w:tcPr>
            <w:tcW w:w="3325" w:type="dxa"/>
            <w:tcBorders>
              <w:bottom w:val="single" w:sz="12" w:space="0" w:color="DDDDDD"/>
            </w:tcBorders>
          </w:tcPr>
          <w:p w14:paraId="23E98BD6"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51A65573"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75290C45"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65862571" w14:textId="77777777">
        <w:trPr>
          <w:trHeight w:val="358"/>
        </w:trPr>
        <w:tc>
          <w:tcPr>
            <w:tcW w:w="3325" w:type="dxa"/>
            <w:tcBorders>
              <w:top w:val="single" w:sz="12" w:space="0" w:color="DDDDDD"/>
            </w:tcBorders>
          </w:tcPr>
          <w:p w14:paraId="24705F68" w14:textId="77777777" w:rsidR="00A720EB" w:rsidRDefault="0030286B">
            <w:pPr>
              <w:pStyle w:val="TableParagraph"/>
              <w:spacing w:before="27"/>
              <w:rPr>
                <w:sz w:val="21"/>
              </w:rPr>
            </w:pPr>
            <w:proofErr w:type="gramStart"/>
            <w:r>
              <w:rPr>
                <w:color w:val="B02045"/>
                <w:sz w:val="21"/>
              </w:rPr>
              <w:t>com.sun.xml.messaging</w:t>
            </w:r>
            <w:proofErr w:type="gramEnd"/>
            <w:r>
              <w:rPr>
                <w:color w:val="B02045"/>
                <w:sz w:val="21"/>
              </w:rPr>
              <w:t>.saaj</w:t>
            </w:r>
          </w:p>
        </w:tc>
        <w:tc>
          <w:tcPr>
            <w:tcW w:w="3325" w:type="dxa"/>
            <w:tcBorders>
              <w:top w:val="single" w:sz="12" w:space="0" w:color="DDDDDD"/>
            </w:tcBorders>
          </w:tcPr>
          <w:p w14:paraId="0608E729" w14:textId="77777777" w:rsidR="00A720EB" w:rsidRDefault="0030286B">
            <w:pPr>
              <w:pStyle w:val="TableParagraph"/>
              <w:spacing w:before="27"/>
              <w:rPr>
                <w:sz w:val="21"/>
              </w:rPr>
            </w:pPr>
            <w:r>
              <w:rPr>
                <w:color w:val="B02045"/>
                <w:sz w:val="21"/>
              </w:rPr>
              <w:t>saaj-impl</w:t>
            </w:r>
          </w:p>
        </w:tc>
        <w:tc>
          <w:tcPr>
            <w:tcW w:w="3325" w:type="dxa"/>
            <w:tcBorders>
              <w:top w:val="single" w:sz="12" w:space="0" w:color="DDDDDD"/>
            </w:tcBorders>
          </w:tcPr>
          <w:p w14:paraId="1E98C339" w14:textId="77777777" w:rsidR="00A720EB" w:rsidRDefault="0030286B">
            <w:pPr>
              <w:pStyle w:val="TableParagraph"/>
              <w:spacing w:before="27"/>
              <w:rPr>
                <w:sz w:val="21"/>
              </w:rPr>
            </w:pPr>
            <w:r>
              <w:rPr>
                <w:color w:val="B02045"/>
                <w:sz w:val="21"/>
              </w:rPr>
              <w:t>1.5.2</w:t>
            </w:r>
          </w:p>
        </w:tc>
      </w:tr>
      <w:tr w:rsidR="00A720EB" w14:paraId="39081224" w14:textId="77777777">
        <w:trPr>
          <w:trHeight w:val="368"/>
        </w:trPr>
        <w:tc>
          <w:tcPr>
            <w:tcW w:w="3325" w:type="dxa"/>
          </w:tcPr>
          <w:p w14:paraId="665741AE" w14:textId="77777777" w:rsidR="00A720EB" w:rsidRDefault="0030286B">
            <w:pPr>
              <w:pStyle w:val="TableParagraph"/>
              <w:spacing w:before="37"/>
              <w:rPr>
                <w:sz w:val="21"/>
              </w:rPr>
            </w:pPr>
            <w:proofErr w:type="gramStart"/>
            <w:r>
              <w:rPr>
                <w:color w:val="B02045"/>
                <w:sz w:val="21"/>
              </w:rPr>
              <w:t>com.unboundid</w:t>
            </w:r>
            <w:proofErr w:type="gramEnd"/>
          </w:p>
        </w:tc>
        <w:tc>
          <w:tcPr>
            <w:tcW w:w="3325" w:type="dxa"/>
          </w:tcPr>
          <w:p w14:paraId="3C7FA40D" w14:textId="77777777" w:rsidR="00A720EB" w:rsidRDefault="0030286B">
            <w:pPr>
              <w:pStyle w:val="TableParagraph"/>
              <w:spacing w:before="37"/>
              <w:rPr>
                <w:sz w:val="21"/>
              </w:rPr>
            </w:pPr>
            <w:r>
              <w:rPr>
                <w:color w:val="B02045"/>
                <w:sz w:val="21"/>
              </w:rPr>
              <w:t>unboundid-ldapsdk</w:t>
            </w:r>
          </w:p>
        </w:tc>
        <w:tc>
          <w:tcPr>
            <w:tcW w:w="3325" w:type="dxa"/>
          </w:tcPr>
          <w:p w14:paraId="07C55986" w14:textId="77777777" w:rsidR="00A720EB" w:rsidRDefault="0030286B">
            <w:pPr>
              <w:pStyle w:val="TableParagraph"/>
              <w:spacing w:before="37"/>
              <w:rPr>
                <w:sz w:val="21"/>
              </w:rPr>
            </w:pPr>
            <w:r>
              <w:rPr>
                <w:color w:val="B02045"/>
                <w:sz w:val="21"/>
              </w:rPr>
              <w:t>4.0.14</w:t>
            </w:r>
          </w:p>
        </w:tc>
      </w:tr>
      <w:tr w:rsidR="00A720EB" w14:paraId="1E53891D" w14:textId="77777777">
        <w:trPr>
          <w:trHeight w:val="368"/>
        </w:trPr>
        <w:tc>
          <w:tcPr>
            <w:tcW w:w="3325" w:type="dxa"/>
          </w:tcPr>
          <w:p w14:paraId="05ACCC38" w14:textId="77777777" w:rsidR="00A720EB" w:rsidRDefault="0030286B">
            <w:pPr>
              <w:pStyle w:val="TableParagraph"/>
              <w:spacing w:before="37"/>
              <w:rPr>
                <w:sz w:val="21"/>
              </w:rPr>
            </w:pPr>
            <w:proofErr w:type="gramStart"/>
            <w:r>
              <w:rPr>
                <w:color w:val="B02045"/>
                <w:sz w:val="21"/>
              </w:rPr>
              <w:t>com.zaxxer</w:t>
            </w:r>
            <w:proofErr w:type="gramEnd"/>
          </w:p>
        </w:tc>
        <w:tc>
          <w:tcPr>
            <w:tcW w:w="3325" w:type="dxa"/>
          </w:tcPr>
          <w:p w14:paraId="51232B5A" w14:textId="77777777" w:rsidR="00A720EB" w:rsidRDefault="0030286B">
            <w:pPr>
              <w:pStyle w:val="TableParagraph"/>
              <w:spacing w:before="37"/>
              <w:rPr>
                <w:sz w:val="21"/>
              </w:rPr>
            </w:pPr>
            <w:r>
              <w:rPr>
                <w:color w:val="B02045"/>
                <w:sz w:val="21"/>
              </w:rPr>
              <w:t>HikariCP</w:t>
            </w:r>
          </w:p>
        </w:tc>
        <w:tc>
          <w:tcPr>
            <w:tcW w:w="3325" w:type="dxa"/>
          </w:tcPr>
          <w:p w14:paraId="4D42FF93" w14:textId="77777777" w:rsidR="00A720EB" w:rsidRDefault="0030286B">
            <w:pPr>
              <w:pStyle w:val="TableParagraph"/>
              <w:spacing w:before="37"/>
              <w:rPr>
                <w:sz w:val="21"/>
              </w:rPr>
            </w:pPr>
            <w:r>
              <w:rPr>
                <w:color w:val="B02045"/>
                <w:sz w:val="21"/>
              </w:rPr>
              <w:t>3.4.5</w:t>
            </w:r>
          </w:p>
        </w:tc>
      </w:tr>
      <w:tr w:rsidR="00A720EB" w14:paraId="224EE64D" w14:textId="77777777">
        <w:trPr>
          <w:trHeight w:val="368"/>
        </w:trPr>
        <w:tc>
          <w:tcPr>
            <w:tcW w:w="3325" w:type="dxa"/>
          </w:tcPr>
          <w:p w14:paraId="05BFE7CB" w14:textId="77777777" w:rsidR="00A720EB" w:rsidRDefault="0030286B">
            <w:pPr>
              <w:pStyle w:val="TableParagraph"/>
              <w:rPr>
                <w:sz w:val="21"/>
              </w:rPr>
            </w:pPr>
            <w:r>
              <w:rPr>
                <w:color w:val="B02045"/>
                <w:sz w:val="21"/>
              </w:rPr>
              <w:t>commons-codec</w:t>
            </w:r>
          </w:p>
        </w:tc>
        <w:tc>
          <w:tcPr>
            <w:tcW w:w="3325" w:type="dxa"/>
          </w:tcPr>
          <w:p w14:paraId="2E2C0A73" w14:textId="77777777" w:rsidR="00A720EB" w:rsidRDefault="0030286B">
            <w:pPr>
              <w:pStyle w:val="TableParagraph"/>
              <w:rPr>
                <w:sz w:val="21"/>
              </w:rPr>
            </w:pPr>
            <w:r>
              <w:rPr>
                <w:color w:val="B02045"/>
                <w:sz w:val="21"/>
              </w:rPr>
              <w:t>commons-codec</w:t>
            </w:r>
          </w:p>
        </w:tc>
        <w:tc>
          <w:tcPr>
            <w:tcW w:w="3325" w:type="dxa"/>
          </w:tcPr>
          <w:p w14:paraId="6A999DFD" w14:textId="77777777" w:rsidR="00A720EB" w:rsidRDefault="0030286B">
            <w:pPr>
              <w:pStyle w:val="TableParagraph"/>
              <w:rPr>
                <w:sz w:val="21"/>
              </w:rPr>
            </w:pPr>
            <w:r>
              <w:rPr>
                <w:color w:val="B02045"/>
                <w:sz w:val="21"/>
              </w:rPr>
              <w:t>1.14</w:t>
            </w:r>
          </w:p>
        </w:tc>
      </w:tr>
      <w:tr w:rsidR="00A720EB" w14:paraId="23499847" w14:textId="77777777">
        <w:trPr>
          <w:trHeight w:val="368"/>
        </w:trPr>
        <w:tc>
          <w:tcPr>
            <w:tcW w:w="3325" w:type="dxa"/>
          </w:tcPr>
          <w:p w14:paraId="47E5E752" w14:textId="77777777" w:rsidR="00A720EB" w:rsidRDefault="0030286B">
            <w:pPr>
              <w:pStyle w:val="TableParagraph"/>
              <w:rPr>
                <w:sz w:val="21"/>
              </w:rPr>
            </w:pPr>
            <w:r>
              <w:rPr>
                <w:color w:val="B02045"/>
                <w:sz w:val="21"/>
              </w:rPr>
              <w:t>commons-pool</w:t>
            </w:r>
          </w:p>
        </w:tc>
        <w:tc>
          <w:tcPr>
            <w:tcW w:w="3325" w:type="dxa"/>
          </w:tcPr>
          <w:p w14:paraId="59E81C57" w14:textId="77777777" w:rsidR="00A720EB" w:rsidRDefault="0030286B">
            <w:pPr>
              <w:pStyle w:val="TableParagraph"/>
              <w:rPr>
                <w:sz w:val="21"/>
              </w:rPr>
            </w:pPr>
            <w:r>
              <w:rPr>
                <w:color w:val="B02045"/>
                <w:sz w:val="21"/>
              </w:rPr>
              <w:t>commons-pool</w:t>
            </w:r>
          </w:p>
        </w:tc>
        <w:tc>
          <w:tcPr>
            <w:tcW w:w="3325" w:type="dxa"/>
          </w:tcPr>
          <w:p w14:paraId="3894107F" w14:textId="77777777" w:rsidR="00A720EB" w:rsidRDefault="0030286B">
            <w:pPr>
              <w:pStyle w:val="TableParagraph"/>
              <w:rPr>
                <w:sz w:val="21"/>
              </w:rPr>
            </w:pPr>
            <w:r>
              <w:rPr>
                <w:color w:val="B02045"/>
                <w:sz w:val="21"/>
              </w:rPr>
              <w:t>1.6</w:t>
            </w:r>
          </w:p>
        </w:tc>
      </w:tr>
      <w:tr w:rsidR="00A720EB" w14:paraId="60D9A23B" w14:textId="77777777">
        <w:trPr>
          <w:trHeight w:val="368"/>
        </w:trPr>
        <w:tc>
          <w:tcPr>
            <w:tcW w:w="3325" w:type="dxa"/>
          </w:tcPr>
          <w:p w14:paraId="5963A1DA" w14:textId="77777777" w:rsidR="00A720EB" w:rsidRDefault="0030286B">
            <w:pPr>
              <w:pStyle w:val="TableParagraph"/>
              <w:rPr>
                <w:sz w:val="21"/>
              </w:rPr>
            </w:pPr>
            <w:proofErr w:type="gramStart"/>
            <w:r>
              <w:rPr>
                <w:color w:val="B02045"/>
                <w:sz w:val="21"/>
              </w:rPr>
              <w:t>de.flapdoodle</w:t>
            </w:r>
            <w:proofErr w:type="gramEnd"/>
            <w:r>
              <w:rPr>
                <w:color w:val="B02045"/>
                <w:sz w:val="21"/>
              </w:rPr>
              <w:t>.embed</w:t>
            </w:r>
          </w:p>
        </w:tc>
        <w:tc>
          <w:tcPr>
            <w:tcW w:w="3325" w:type="dxa"/>
          </w:tcPr>
          <w:p w14:paraId="5E44FBAA" w14:textId="77777777" w:rsidR="00A720EB" w:rsidRDefault="0030286B">
            <w:pPr>
              <w:pStyle w:val="TableParagraph"/>
              <w:rPr>
                <w:sz w:val="21"/>
              </w:rPr>
            </w:pPr>
            <w:proofErr w:type="gramStart"/>
            <w:r>
              <w:rPr>
                <w:color w:val="B02045"/>
                <w:sz w:val="21"/>
              </w:rPr>
              <w:t>de.flapdoodle</w:t>
            </w:r>
            <w:proofErr w:type="gramEnd"/>
            <w:r>
              <w:rPr>
                <w:color w:val="B02045"/>
                <w:sz w:val="21"/>
              </w:rPr>
              <w:t>.embed.mongo</w:t>
            </w:r>
          </w:p>
        </w:tc>
        <w:tc>
          <w:tcPr>
            <w:tcW w:w="3325" w:type="dxa"/>
          </w:tcPr>
          <w:p w14:paraId="17778FF0" w14:textId="77777777" w:rsidR="00A720EB" w:rsidRDefault="0030286B">
            <w:pPr>
              <w:pStyle w:val="TableParagraph"/>
              <w:rPr>
                <w:sz w:val="21"/>
              </w:rPr>
            </w:pPr>
            <w:r>
              <w:rPr>
                <w:color w:val="B02045"/>
                <w:sz w:val="21"/>
              </w:rPr>
              <w:t>2.2.0</w:t>
            </w:r>
          </w:p>
        </w:tc>
      </w:tr>
      <w:tr w:rsidR="00A720EB" w14:paraId="4F00BDFF" w14:textId="77777777">
        <w:trPr>
          <w:trHeight w:val="368"/>
        </w:trPr>
        <w:tc>
          <w:tcPr>
            <w:tcW w:w="3325" w:type="dxa"/>
          </w:tcPr>
          <w:p w14:paraId="1831AC8B" w14:textId="77777777" w:rsidR="00A720EB" w:rsidRDefault="0030286B">
            <w:pPr>
              <w:pStyle w:val="TableParagraph"/>
              <w:rPr>
                <w:sz w:val="21"/>
              </w:rPr>
            </w:pPr>
            <w:proofErr w:type="gramStart"/>
            <w:r>
              <w:rPr>
                <w:color w:val="B02045"/>
                <w:sz w:val="21"/>
              </w:rPr>
              <w:t>dev.miku</w:t>
            </w:r>
            <w:proofErr w:type="gramEnd"/>
          </w:p>
        </w:tc>
        <w:tc>
          <w:tcPr>
            <w:tcW w:w="3325" w:type="dxa"/>
          </w:tcPr>
          <w:p w14:paraId="44B514AE" w14:textId="77777777" w:rsidR="00A720EB" w:rsidRDefault="0030286B">
            <w:pPr>
              <w:pStyle w:val="TableParagraph"/>
              <w:rPr>
                <w:sz w:val="21"/>
              </w:rPr>
            </w:pPr>
            <w:r>
              <w:rPr>
                <w:color w:val="B02045"/>
                <w:sz w:val="21"/>
              </w:rPr>
              <w:t>r2dbc-mysql</w:t>
            </w:r>
          </w:p>
        </w:tc>
        <w:tc>
          <w:tcPr>
            <w:tcW w:w="3325" w:type="dxa"/>
          </w:tcPr>
          <w:p w14:paraId="71E73C49" w14:textId="77777777" w:rsidR="00A720EB" w:rsidRDefault="0030286B">
            <w:pPr>
              <w:pStyle w:val="TableParagraph"/>
              <w:rPr>
                <w:sz w:val="21"/>
              </w:rPr>
            </w:pPr>
            <w:r>
              <w:rPr>
                <w:color w:val="B02045"/>
                <w:sz w:val="21"/>
              </w:rPr>
              <w:t>0.8.</w:t>
            </w:r>
            <w:proofErr w:type="gramStart"/>
            <w:r>
              <w:rPr>
                <w:color w:val="B02045"/>
                <w:sz w:val="21"/>
              </w:rPr>
              <w:t>2.RELEASE</w:t>
            </w:r>
            <w:proofErr w:type="gramEnd"/>
          </w:p>
        </w:tc>
      </w:tr>
      <w:tr w:rsidR="00A720EB" w14:paraId="282B1E02" w14:textId="77777777">
        <w:trPr>
          <w:trHeight w:val="368"/>
        </w:trPr>
        <w:tc>
          <w:tcPr>
            <w:tcW w:w="3325" w:type="dxa"/>
          </w:tcPr>
          <w:p w14:paraId="6A85B4AE"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26715745" w14:textId="77777777" w:rsidR="00A720EB" w:rsidRDefault="0030286B">
            <w:pPr>
              <w:pStyle w:val="TableParagraph"/>
              <w:spacing w:before="37"/>
              <w:rPr>
                <w:sz w:val="21"/>
              </w:rPr>
            </w:pPr>
            <w:r>
              <w:rPr>
                <w:color w:val="B02045"/>
                <w:sz w:val="21"/>
              </w:rPr>
              <w:t>metrics-annotation</w:t>
            </w:r>
          </w:p>
        </w:tc>
        <w:tc>
          <w:tcPr>
            <w:tcW w:w="3325" w:type="dxa"/>
          </w:tcPr>
          <w:p w14:paraId="652DC6A9" w14:textId="77777777" w:rsidR="00A720EB" w:rsidRDefault="0030286B">
            <w:pPr>
              <w:pStyle w:val="TableParagraph"/>
              <w:spacing w:before="37"/>
              <w:rPr>
                <w:sz w:val="21"/>
              </w:rPr>
            </w:pPr>
            <w:r>
              <w:rPr>
                <w:color w:val="B02045"/>
                <w:sz w:val="21"/>
              </w:rPr>
              <w:t>4.1.12.1</w:t>
            </w:r>
          </w:p>
        </w:tc>
      </w:tr>
      <w:tr w:rsidR="00A720EB" w14:paraId="5E39CF55" w14:textId="77777777">
        <w:trPr>
          <w:trHeight w:val="368"/>
        </w:trPr>
        <w:tc>
          <w:tcPr>
            <w:tcW w:w="3325" w:type="dxa"/>
          </w:tcPr>
          <w:p w14:paraId="192AF9B0"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20B988F1" w14:textId="77777777" w:rsidR="00A720EB" w:rsidRDefault="0030286B">
            <w:pPr>
              <w:pStyle w:val="TableParagraph"/>
              <w:spacing w:before="37"/>
              <w:rPr>
                <w:sz w:val="21"/>
              </w:rPr>
            </w:pPr>
            <w:r>
              <w:rPr>
                <w:color w:val="B02045"/>
                <w:sz w:val="21"/>
              </w:rPr>
              <w:t>metrics-caffeine</w:t>
            </w:r>
          </w:p>
        </w:tc>
        <w:tc>
          <w:tcPr>
            <w:tcW w:w="3325" w:type="dxa"/>
          </w:tcPr>
          <w:p w14:paraId="08C73B47" w14:textId="77777777" w:rsidR="00A720EB" w:rsidRDefault="0030286B">
            <w:pPr>
              <w:pStyle w:val="TableParagraph"/>
              <w:spacing w:before="37"/>
              <w:rPr>
                <w:sz w:val="21"/>
              </w:rPr>
            </w:pPr>
            <w:r>
              <w:rPr>
                <w:color w:val="B02045"/>
                <w:sz w:val="21"/>
              </w:rPr>
              <w:t>4.1.12.1</w:t>
            </w:r>
          </w:p>
        </w:tc>
      </w:tr>
      <w:tr w:rsidR="00A720EB" w14:paraId="51707B6B" w14:textId="77777777">
        <w:trPr>
          <w:trHeight w:val="368"/>
        </w:trPr>
        <w:tc>
          <w:tcPr>
            <w:tcW w:w="3325" w:type="dxa"/>
          </w:tcPr>
          <w:p w14:paraId="6AD3E716"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5E5536D1" w14:textId="77777777" w:rsidR="00A720EB" w:rsidRDefault="0030286B">
            <w:pPr>
              <w:pStyle w:val="TableParagraph"/>
              <w:spacing w:before="37"/>
              <w:rPr>
                <w:sz w:val="21"/>
              </w:rPr>
            </w:pPr>
            <w:r>
              <w:rPr>
                <w:color w:val="B02045"/>
                <w:sz w:val="21"/>
              </w:rPr>
              <w:t>metrics-collectd</w:t>
            </w:r>
          </w:p>
        </w:tc>
        <w:tc>
          <w:tcPr>
            <w:tcW w:w="3325" w:type="dxa"/>
          </w:tcPr>
          <w:p w14:paraId="0624EBA3" w14:textId="77777777" w:rsidR="00A720EB" w:rsidRDefault="0030286B">
            <w:pPr>
              <w:pStyle w:val="TableParagraph"/>
              <w:spacing w:before="37"/>
              <w:rPr>
                <w:sz w:val="21"/>
              </w:rPr>
            </w:pPr>
            <w:r>
              <w:rPr>
                <w:color w:val="B02045"/>
                <w:sz w:val="21"/>
              </w:rPr>
              <w:t>4.1.12.1</w:t>
            </w:r>
          </w:p>
        </w:tc>
      </w:tr>
      <w:tr w:rsidR="00A720EB" w14:paraId="4D5CD12C" w14:textId="77777777">
        <w:trPr>
          <w:trHeight w:val="368"/>
        </w:trPr>
        <w:tc>
          <w:tcPr>
            <w:tcW w:w="3325" w:type="dxa"/>
          </w:tcPr>
          <w:p w14:paraId="633BA258"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01CFE815" w14:textId="77777777" w:rsidR="00A720EB" w:rsidRDefault="0030286B">
            <w:pPr>
              <w:pStyle w:val="TableParagraph"/>
              <w:spacing w:before="37"/>
              <w:rPr>
                <w:sz w:val="21"/>
              </w:rPr>
            </w:pPr>
            <w:r>
              <w:rPr>
                <w:color w:val="B02045"/>
                <w:sz w:val="21"/>
              </w:rPr>
              <w:t>metrics-core</w:t>
            </w:r>
          </w:p>
        </w:tc>
        <w:tc>
          <w:tcPr>
            <w:tcW w:w="3325" w:type="dxa"/>
          </w:tcPr>
          <w:p w14:paraId="20072680" w14:textId="77777777" w:rsidR="00A720EB" w:rsidRDefault="0030286B">
            <w:pPr>
              <w:pStyle w:val="TableParagraph"/>
              <w:spacing w:before="37"/>
              <w:rPr>
                <w:sz w:val="21"/>
              </w:rPr>
            </w:pPr>
            <w:r>
              <w:rPr>
                <w:color w:val="B02045"/>
                <w:sz w:val="21"/>
              </w:rPr>
              <w:t>4.1.12.1</w:t>
            </w:r>
          </w:p>
        </w:tc>
      </w:tr>
      <w:tr w:rsidR="00A720EB" w14:paraId="6CE94E62" w14:textId="77777777">
        <w:trPr>
          <w:trHeight w:val="368"/>
        </w:trPr>
        <w:tc>
          <w:tcPr>
            <w:tcW w:w="3325" w:type="dxa"/>
          </w:tcPr>
          <w:p w14:paraId="7CD15933"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06580007" w14:textId="77777777" w:rsidR="00A720EB" w:rsidRDefault="0030286B">
            <w:pPr>
              <w:pStyle w:val="TableParagraph"/>
              <w:rPr>
                <w:sz w:val="21"/>
              </w:rPr>
            </w:pPr>
            <w:r>
              <w:rPr>
                <w:color w:val="B02045"/>
                <w:sz w:val="21"/>
              </w:rPr>
              <w:t>metrics-ehcache</w:t>
            </w:r>
          </w:p>
        </w:tc>
        <w:tc>
          <w:tcPr>
            <w:tcW w:w="3325" w:type="dxa"/>
          </w:tcPr>
          <w:p w14:paraId="7905C1D0" w14:textId="77777777" w:rsidR="00A720EB" w:rsidRDefault="0030286B">
            <w:pPr>
              <w:pStyle w:val="TableParagraph"/>
              <w:rPr>
                <w:sz w:val="21"/>
              </w:rPr>
            </w:pPr>
            <w:r>
              <w:rPr>
                <w:color w:val="B02045"/>
                <w:sz w:val="21"/>
              </w:rPr>
              <w:t>4.1.12.1</w:t>
            </w:r>
          </w:p>
        </w:tc>
      </w:tr>
      <w:tr w:rsidR="00A720EB" w14:paraId="278DB5B0" w14:textId="77777777">
        <w:trPr>
          <w:trHeight w:val="368"/>
        </w:trPr>
        <w:tc>
          <w:tcPr>
            <w:tcW w:w="3325" w:type="dxa"/>
          </w:tcPr>
          <w:p w14:paraId="4D70EF53"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009A2862" w14:textId="77777777" w:rsidR="00A720EB" w:rsidRDefault="0030286B">
            <w:pPr>
              <w:pStyle w:val="TableParagraph"/>
              <w:rPr>
                <w:sz w:val="21"/>
              </w:rPr>
            </w:pPr>
            <w:r>
              <w:rPr>
                <w:color w:val="B02045"/>
                <w:sz w:val="21"/>
              </w:rPr>
              <w:t>metrics-graphite</w:t>
            </w:r>
          </w:p>
        </w:tc>
        <w:tc>
          <w:tcPr>
            <w:tcW w:w="3325" w:type="dxa"/>
          </w:tcPr>
          <w:p w14:paraId="350BFA4A" w14:textId="77777777" w:rsidR="00A720EB" w:rsidRDefault="0030286B">
            <w:pPr>
              <w:pStyle w:val="TableParagraph"/>
              <w:rPr>
                <w:sz w:val="21"/>
              </w:rPr>
            </w:pPr>
            <w:r>
              <w:rPr>
                <w:color w:val="B02045"/>
                <w:sz w:val="21"/>
              </w:rPr>
              <w:t>4.1.12.1</w:t>
            </w:r>
          </w:p>
        </w:tc>
      </w:tr>
      <w:tr w:rsidR="00A720EB" w14:paraId="38F882C5" w14:textId="77777777">
        <w:trPr>
          <w:trHeight w:val="368"/>
        </w:trPr>
        <w:tc>
          <w:tcPr>
            <w:tcW w:w="3325" w:type="dxa"/>
          </w:tcPr>
          <w:p w14:paraId="027FE6E3"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7FC9484C" w14:textId="77777777" w:rsidR="00A720EB" w:rsidRDefault="0030286B">
            <w:pPr>
              <w:pStyle w:val="TableParagraph"/>
              <w:rPr>
                <w:sz w:val="21"/>
              </w:rPr>
            </w:pPr>
            <w:r>
              <w:rPr>
                <w:color w:val="B02045"/>
                <w:sz w:val="21"/>
              </w:rPr>
              <w:t>metrics-healthchecks</w:t>
            </w:r>
          </w:p>
        </w:tc>
        <w:tc>
          <w:tcPr>
            <w:tcW w:w="3325" w:type="dxa"/>
          </w:tcPr>
          <w:p w14:paraId="67E78C26" w14:textId="77777777" w:rsidR="00A720EB" w:rsidRDefault="0030286B">
            <w:pPr>
              <w:pStyle w:val="TableParagraph"/>
              <w:rPr>
                <w:sz w:val="21"/>
              </w:rPr>
            </w:pPr>
            <w:r>
              <w:rPr>
                <w:color w:val="B02045"/>
                <w:sz w:val="21"/>
              </w:rPr>
              <w:t>4.1.12.1</w:t>
            </w:r>
          </w:p>
        </w:tc>
      </w:tr>
      <w:tr w:rsidR="00A720EB" w14:paraId="3364DB22" w14:textId="77777777">
        <w:trPr>
          <w:trHeight w:val="368"/>
        </w:trPr>
        <w:tc>
          <w:tcPr>
            <w:tcW w:w="3325" w:type="dxa"/>
          </w:tcPr>
          <w:p w14:paraId="30BD87CC"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720F7AD8" w14:textId="77777777" w:rsidR="00A720EB" w:rsidRDefault="0030286B">
            <w:pPr>
              <w:pStyle w:val="TableParagraph"/>
              <w:spacing w:before="37"/>
              <w:rPr>
                <w:sz w:val="21"/>
              </w:rPr>
            </w:pPr>
            <w:r>
              <w:rPr>
                <w:color w:val="B02045"/>
                <w:sz w:val="21"/>
              </w:rPr>
              <w:t>metrics-httpasyncclient</w:t>
            </w:r>
          </w:p>
        </w:tc>
        <w:tc>
          <w:tcPr>
            <w:tcW w:w="3325" w:type="dxa"/>
          </w:tcPr>
          <w:p w14:paraId="56E89339" w14:textId="77777777" w:rsidR="00A720EB" w:rsidRDefault="0030286B">
            <w:pPr>
              <w:pStyle w:val="TableParagraph"/>
              <w:spacing w:before="37"/>
              <w:rPr>
                <w:sz w:val="21"/>
              </w:rPr>
            </w:pPr>
            <w:r>
              <w:rPr>
                <w:color w:val="B02045"/>
                <w:sz w:val="21"/>
              </w:rPr>
              <w:t>4.1.12.1</w:t>
            </w:r>
          </w:p>
        </w:tc>
      </w:tr>
      <w:tr w:rsidR="00A720EB" w14:paraId="5DB2CCBF" w14:textId="77777777">
        <w:trPr>
          <w:trHeight w:val="368"/>
        </w:trPr>
        <w:tc>
          <w:tcPr>
            <w:tcW w:w="3325" w:type="dxa"/>
          </w:tcPr>
          <w:p w14:paraId="3F3770A2"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4CE8C30E" w14:textId="77777777" w:rsidR="00A720EB" w:rsidRDefault="0030286B">
            <w:pPr>
              <w:pStyle w:val="TableParagraph"/>
              <w:rPr>
                <w:sz w:val="21"/>
              </w:rPr>
            </w:pPr>
            <w:r>
              <w:rPr>
                <w:color w:val="B02045"/>
                <w:sz w:val="21"/>
              </w:rPr>
              <w:t>metrics-httpclient</w:t>
            </w:r>
          </w:p>
        </w:tc>
        <w:tc>
          <w:tcPr>
            <w:tcW w:w="3325" w:type="dxa"/>
          </w:tcPr>
          <w:p w14:paraId="188FBF83" w14:textId="77777777" w:rsidR="00A720EB" w:rsidRDefault="0030286B">
            <w:pPr>
              <w:pStyle w:val="TableParagraph"/>
              <w:rPr>
                <w:sz w:val="21"/>
              </w:rPr>
            </w:pPr>
            <w:r>
              <w:rPr>
                <w:color w:val="B02045"/>
                <w:sz w:val="21"/>
              </w:rPr>
              <w:t>4.1.12.1</w:t>
            </w:r>
          </w:p>
        </w:tc>
      </w:tr>
      <w:tr w:rsidR="00A720EB" w14:paraId="4F539D6B" w14:textId="77777777">
        <w:trPr>
          <w:trHeight w:val="368"/>
        </w:trPr>
        <w:tc>
          <w:tcPr>
            <w:tcW w:w="3325" w:type="dxa"/>
          </w:tcPr>
          <w:p w14:paraId="2F659228"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66A4C90B" w14:textId="77777777" w:rsidR="00A720EB" w:rsidRDefault="0030286B">
            <w:pPr>
              <w:pStyle w:val="TableParagraph"/>
              <w:rPr>
                <w:sz w:val="21"/>
              </w:rPr>
            </w:pPr>
            <w:r>
              <w:rPr>
                <w:color w:val="B02045"/>
                <w:sz w:val="21"/>
              </w:rPr>
              <w:t>metrics-jcache</w:t>
            </w:r>
          </w:p>
        </w:tc>
        <w:tc>
          <w:tcPr>
            <w:tcW w:w="3325" w:type="dxa"/>
          </w:tcPr>
          <w:p w14:paraId="5AC193E5" w14:textId="77777777" w:rsidR="00A720EB" w:rsidRDefault="0030286B">
            <w:pPr>
              <w:pStyle w:val="TableParagraph"/>
              <w:rPr>
                <w:sz w:val="21"/>
              </w:rPr>
            </w:pPr>
            <w:r>
              <w:rPr>
                <w:color w:val="B02045"/>
                <w:sz w:val="21"/>
              </w:rPr>
              <w:t>4.1.12.1</w:t>
            </w:r>
          </w:p>
        </w:tc>
      </w:tr>
      <w:tr w:rsidR="00A720EB" w14:paraId="77CF9F50" w14:textId="77777777">
        <w:trPr>
          <w:trHeight w:val="368"/>
        </w:trPr>
        <w:tc>
          <w:tcPr>
            <w:tcW w:w="3325" w:type="dxa"/>
          </w:tcPr>
          <w:p w14:paraId="55CAFAEB"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6708FC89" w14:textId="77777777" w:rsidR="00A720EB" w:rsidRDefault="0030286B">
            <w:pPr>
              <w:pStyle w:val="TableParagraph"/>
              <w:spacing w:before="37"/>
              <w:rPr>
                <w:sz w:val="21"/>
              </w:rPr>
            </w:pPr>
            <w:r>
              <w:rPr>
                <w:color w:val="B02045"/>
                <w:sz w:val="21"/>
              </w:rPr>
              <w:t>metrics-jdbi</w:t>
            </w:r>
          </w:p>
        </w:tc>
        <w:tc>
          <w:tcPr>
            <w:tcW w:w="3325" w:type="dxa"/>
          </w:tcPr>
          <w:p w14:paraId="5ECCF493" w14:textId="77777777" w:rsidR="00A720EB" w:rsidRDefault="0030286B">
            <w:pPr>
              <w:pStyle w:val="TableParagraph"/>
              <w:spacing w:before="37"/>
              <w:rPr>
                <w:sz w:val="21"/>
              </w:rPr>
            </w:pPr>
            <w:r>
              <w:rPr>
                <w:color w:val="B02045"/>
                <w:sz w:val="21"/>
              </w:rPr>
              <w:t>4.1.12.1</w:t>
            </w:r>
          </w:p>
        </w:tc>
      </w:tr>
      <w:tr w:rsidR="00A720EB" w14:paraId="65508060" w14:textId="77777777">
        <w:trPr>
          <w:trHeight w:val="368"/>
        </w:trPr>
        <w:tc>
          <w:tcPr>
            <w:tcW w:w="3325" w:type="dxa"/>
          </w:tcPr>
          <w:p w14:paraId="731FC030"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241CE2A8" w14:textId="77777777" w:rsidR="00A720EB" w:rsidRDefault="0030286B">
            <w:pPr>
              <w:pStyle w:val="TableParagraph"/>
              <w:spacing w:before="37"/>
              <w:rPr>
                <w:sz w:val="21"/>
              </w:rPr>
            </w:pPr>
            <w:r>
              <w:rPr>
                <w:color w:val="B02045"/>
                <w:sz w:val="21"/>
              </w:rPr>
              <w:t>metrics-jdbi3</w:t>
            </w:r>
          </w:p>
        </w:tc>
        <w:tc>
          <w:tcPr>
            <w:tcW w:w="3325" w:type="dxa"/>
          </w:tcPr>
          <w:p w14:paraId="03300C32" w14:textId="77777777" w:rsidR="00A720EB" w:rsidRDefault="0030286B">
            <w:pPr>
              <w:pStyle w:val="TableParagraph"/>
              <w:spacing w:before="37"/>
              <w:rPr>
                <w:sz w:val="21"/>
              </w:rPr>
            </w:pPr>
            <w:r>
              <w:rPr>
                <w:color w:val="B02045"/>
                <w:sz w:val="21"/>
              </w:rPr>
              <w:t>4.1.12.1</w:t>
            </w:r>
          </w:p>
        </w:tc>
      </w:tr>
      <w:tr w:rsidR="00A720EB" w14:paraId="4FD101DC" w14:textId="77777777">
        <w:trPr>
          <w:trHeight w:val="368"/>
        </w:trPr>
        <w:tc>
          <w:tcPr>
            <w:tcW w:w="3325" w:type="dxa"/>
          </w:tcPr>
          <w:p w14:paraId="5C59D524"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7D52B6FE" w14:textId="77777777" w:rsidR="00A720EB" w:rsidRDefault="0030286B">
            <w:pPr>
              <w:pStyle w:val="TableParagraph"/>
              <w:spacing w:before="37"/>
              <w:rPr>
                <w:sz w:val="21"/>
              </w:rPr>
            </w:pPr>
            <w:r>
              <w:rPr>
                <w:color w:val="B02045"/>
                <w:sz w:val="21"/>
              </w:rPr>
              <w:t>metrics-jersey2</w:t>
            </w:r>
          </w:p>
        </w:tc>
        <w:tc>
          <w:tcPr>
            <w:tcW w:w="3325" w:type="dxa"/>
          </w:tcPr>
          <w:p w14:paraId="69432435" w14:textId="77777777" w:rsidR="00A720EB" w:rsidRDefault="0030286B">
            <w:pPr>
              <w:pStyle w:val="TableParagraph"/>
              <w:spacing w:before="37"/>
              <w:rPr>
                <w:sz w:val="21"/>
              </w:rPr>
            </w:pPr>
            <w:r>
              <w:rPr>
                <w:color w:val="B02045"/>
                <w:sz w:val="21"/>
              </w:rPr>
              <w:t>4.1.12.1</w:t>
            </w:r>
          </w:p>
        </w:tc>
      </w:tr>
      <w:tr w:rsidR="00A720EB" w14:paraId="06237483" w14:textId="77777777">
        <w:trPr>
          <w:trHeight w:val="368"/>
        </w:trPr>
        <w:tc>
          <w:tcPr>
            <w:tcW w:w="3325" w:type="dxa"/>
          </w:tcPr>
          <w:p w14:paraId="20413163"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00105BFD" w14:textId="77777777" w:rsidR="00A720EB" w:rsidRDefault="0030286B">
            <w:pPr>
              <w:pStyle w:val="TableParagraph"/>
              <w:rPr>
                <w:sz w:val="21"/>
              </w:rPr>
            </w:pPr>
            <w:r>
              <w:rPr>
                <w:color w:val="B02045"/>
                <w:sz w:val="21"/>
              </w:rPr>
              <w:t>metrics-jetty9</w:t>
            </w:r>
          </w:p>
        </w:tc>
        <w:tc>
          <w:tcPr>
            <w:tcW w:w="3325" w:type="dxa"/>
          </w:tcPr>
          <w:p w14:paraId="0EA5B528" w14:textId="77777777" w:rsidR="00A720EB" w:rsidRDefault="0030286B">
            <w:pPr>
              <w:pStyle w:val="TableParagraph"/>
              <w:rPr>
                <w:sz w:val="21"/>
              </w:rPr>
            </w:pPr>
            <w:r>
              <w:rPr>
                <w:color w:val="B02045"/>
                <w:sz w:val="21"/>
              </w:rPr>
              <w:t>4.1.12.1</w:t>
            </w:r>
          </w:p>
        </w:tc>
      </w:tr>
      <w:tr w:rsidR="00A720EB" w14:paraId="756FEDA5" w14:textId="77777777">
        <w:trPr>
          <w:trHeight w:val="368"/>
        </w:trPr>
        <w:tc>
          <w:tcPr>
            <w:tcW w:w="3325" w:type="dxa"/>
          </w:tcPr>
          <w:p w14:paraId="19397078"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4B9C79B0" w14:textId="77777777" w:rsidR="00A720EB" w:rsidRDefault="0030286B">
            <w:pPr>
              <w:pStyle w:val="TableParagraph"/>
              <w:rPr>
                <w:sz w:val="21"/>
              </w:rPr>
            </w:pPr>
            <w:r>
              <w:rPr>
                <w:color w:val="B02045"/>
                <w:sz w:val="21"/>
              </w:rPr>
              <w:t>metrics-jmx</w:t>
            </w:r>
          </w:p>
        </w:tc>
        <w:tc>
          <w:tcPr>
            <w:tcW w:w="3325" w:type="dxa"/>
          </w:tcPr>
          <w:p w14:paraId="4CF53144" w14:textId="77777777" w:rsidR="00A720EB" w:rsidRDefault="0030286B">
            <w:pPr>
              <w:pStyle w:val="TableParagraph"/>
              <w:rPr>
                <w:sz w:val="21"/>
              </w:rPr>
            </w:pPr>
            <w:r>
              <w:rPr>
                <w:color w:val="B02045"/>
                <w:sz w:val="21"/>
              </w:rPr>
              <w:t>4.1.12.1</w:t>
            </w:r>
          </w:p>
        </w:tc>
      </w:tr>
      <w:tr w:rsidR="00A720EB" w14:paraId="50DACBEC" w14:textId="77777777">
        <w:trPr>
          <w:trHeight w:val="368"/>
        </w:trPr>
        <w:tc>
          <w:tcPr>
            <w:tcW w:w="3325" w:type="dxa"/>
          </w:tcPr>
          <w:p w14:paraId="61FCBB04"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379F6DD5" w14:textId="77777777" w:rsidR="00A720EB" w:rsidRDefault="0030286B">
            <w:pPr>
              <w:pStyle w:val="TableParagraph"/>
              <w:spacing w:before="37"/>
              <w:rPr>
                <w:sz w:val="21"/>
              </w:rPr>
            </w:pPr>
            <w:r>
              <w:rPr>
                <w:color w:val="B02045"/>
                <w:sz w:val="21"/>
              </w:rPr>
              <w:t>metrics-json</w:t>
            </w:r>
          </w:p>
        </w:tc>
        <w:tc>
          <w:tcPr>
            <w:tcW w:w="3325" w:type="dxa"/>
          </w:tcPr>
          <w:p w14:paraId="7A455500" w14:textId="77777777" w:rsidR="00A720EB" w:rsidRDefault="0030286B">
            <w:pPr>
              <w:pStyle w:val="TableParagraph"/>
              <w:spacing w:before="37"/>
              <w:rPr>
                <w:sz w:val="21"/>
              </w:rPr>
            </w:pPr>
            <w:r>
              <w:rPr>
                <w:color w:val="B02045"/>
                <w:sz w:val="21"/>
              </w:rPr>
              <w:t>4.1.12.1</w:t>
            </w:r>
          </w:p>
        </w:tc>
      </w:tr>
      <w:tr w:rsidR="00A720EB" w14:paraId="7D05394C" w14:textId="77777777">
        <w:trPr>
          <w:trHeight w:val="368"/>
        </w:trPr>
        <w:tc>
          <w:tcPr>
            <w:tcW w:w="3325" w:type="dxa"/>
          </w:tcPr>
          <w:p w14:paraId="74CDFE5D"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1DA429A0" w14:textId="77777777" w:rsidR="00A720EB" w:rsidRDefault="0030286B">
            <w:pPr>
              <w:pStyle w:val="TableParagraph"/>
              <w:spacing w:before="37"/>
              <w:rPr>
                <w:sz w:val="21"/>
              </w:rPr>
            </w:pPr>
            <w:r>
              <w:rPr>
                <w:color w:val="B02045"/>
                <w:sz w:val="21"/>
              </w:rPr>
              <w:t>metrics-jvm</w:t>
            </w:r>
          </w:p>
        </w:tc>
        <w:tc>
          <w:tcPr>
            <w:tcW w:w="3325" w:type="dxa"/>
          </w:tcPr>
          <w:p w14:paraId="3DDDB212" w14:textId="77777777" w:rsidR="00A720EB" w:rsidRDefault="0030286B">
            <w:pPr>
              <w:pStyle w:val="TableParagraph"/>
              <w:spacing w:before="37"/>
              <w:rPr>
                <w:sz w:val="21"/>
              </w:rPr>
            </w:pPr>
            <w:r>
              <w:rPr>
                <w:color w:val="B02045"/>
                <w:sz w:val="21"/>
              </w:rPr>
              <w:t>4.1.12.1</w:t>
            </w:r>
          </w:p>
        </w:tc>
      </w:tr>
      <w:tr w:rsidR="00A720EB" w14:paraId="4FDDF42C" w14:textId="77777777">
        <w:trPr>
          <w:trHeight w:val="368"/>
        </w:trPr>
        <w:tc>
          <w:tcPr>
            <w:tcW w:w="3325" w:type="dxa"/>
          </w:tcPr>
          <w:p w14:paraId="4C7413DE"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1C2AFDD9" w14:textId="77777777" w:rsidR="00A720EB" w:rsidRDefault="0030286B">
            <w:pPr>
              <w:pStyle w:val="TableParagraph"/>
              <w:rPr>
                <w:sz w:val="21"/>
              </w:rPr>
            </w:pPr>
            <w:r>
              <w:rPr>
                <w:color w:val="B02045"/>
                <w:sz w:val="21"/>
              </w:rPr>
              <w:t>metrics-log4j2</w:t>
            </w:r>
          </w:p>
        </w:tc>
        <w:tc>
          <w:tcPr>
            <w:tcW w:w="3325" w:type="dxa"/>
          </w:tcPr>
          <w:p w14:paraId="38592B46" w14:textId="77777777" w:rsidR="00A720EB" w:rsidRDefault="0030286B">
            <w:pPr>
              <w:pStyle w:val="TableParagraph"/>
              <w:rPr>
                <w:sz w:val="21"/>
              </w:rPr>
            </w:pPr>
            <w:r>
              <w:rPr>
                <w:color w:val="B02045"/>
                <w:sz w:val="21"/>
              </w:rPr>
              <w:t>4.1.12.1</w:t>
            </w:r>
          </w:p>
        </w:tc>
      </w:tr>
      <w:tr w:rsidR="00A720EB" w14:paraId="4C2891B3" w14:textId="77777777">
        <w:trPr>
          <w:trHeight w:val="368"/>
        </w:trPr>
        <w:tc>
          <w:tcPr>
            <w:tcW w:w="3325" w:type="dxa"/>
          </w:tcPr>
          <w:p w14:paraId="10ED0A5D" w14:textId="77777777" w:rsidR="00A720EB" w:rsidRDefault="0030286B">
            <w:pPr>
              <w:pStyle w:val="TableParagraph"/>
              <w:rPr>
                <w:sz w:val="21"/>
              </w:rPr>
            </w:pPr>
            <w:proofErr w:type="gramStart"/>
            <w:r>
              <w:rPr>
                <w:color w:val="B02045"/>
                <w:sz w:val="21"/>
              </w:rPr>
              <w:t>io.dropwizard</w:t>
            </w:r>
            <w:proofErr w:type="gramEnd"/>
            <w:r>
              <w:rPr>
                <w:color w:val="B02045"/>
                <w:sz w:val="21"/>
              </w:rPr>
              <w:t>.metrics</w:t>
            </w:r>
          </w:p>
        </w:tc>
        <w:tc>
          <w:tcPr>
            <w:tcW w:w="3325" w:type="dxa"/>
          </w:tcPr>
          <w:p w14:paraId="70B3451C" w14:textId="77777777" w:rsidR="00A720EB" w:rsidRDefault="0030286B">
            <w:pPr>
              <w:pStyle w:val="TableParagraph"/>
              <w:rPr>
                <w:sz w:val="21"/>
              </w:rPr>
            </w:pPr>
            <w:r>
              <w:rPr>
                <w:color w:val="B02045"/>
                <w:sz w:val="21"/>
              </w:rPr>
              <w:t>metrics-logback</w:t>
            </w:r>
          </w:p>
        </w:tc>
        <w:tc>
          <w:tcPr>
            <w:tcW w:w="3325" w:type="dxa"/>
          </w:tcPr>
          <w:p w14:paraId="286F2D46" w14:textId="77777777" w:rsidR="00A720EB" w:rsidRDefault="0030286B">
            <w:pPr>
              <w:pStyle w:val="TableParagraph"/>
              <w:rPr>
                <w:sz w:val="21"/>
              </w:rPr>
            </w:pPr>
            <w:r>
              <w:rPr>
                <w:color w:val="B02045"/>
                <w:sz w:val="21"/>
              </w:rPr>
              <w:t>4.1.12.1</w:t>
            </w:r>
          </w:p>
        </w:tc>
      </w:tr>
      <w:tr w:rsidR="00A720EB" w14:paraId="3F40BB7B" w14:textId="77777777">
        <w:trPr>
          <w:trHeight w:val="368"/>
        </w:trPr>
        <w:tc>
          <w:tcPr>
            <w:tcW w:w="3325" w:type="dxa"/>
          </w:tcPr>
          <w:p w14:paraId="4B6A4D81"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482C20A9" w14:textId="77777777" w:rsidR="00A720EB" w:rsidRDefault="0030286B">
            <w:pPr>
              <w:pStyle w:val="TableParagraph"/>
              <w:spacing w:before="37"/>
              <w:rPr>
                <w:sz w:val="21"/>
              </w:rPr>
            </w:pPr>
            <w:r>
              <w:rPr>
                <w:color w:val="B02045"/>
                <w:sz w:val="21"/>
              </w:rPr>
              <w:t>metrics-servlet</w:t>
            </w:r>
          </w:p>
        </w:tc>
        <w:tc>
          <w:tcPr>
            <w:tcW w:w="3325" w:type="dxa"/>
          </w:tcPr>
          <w:p w14:paraId="5FEDC238" w14:textId="77777777" w:rsidR="00A720EB" w:rsidRDefault="0030286B">
            <w:pPr>
              <w:pStyle w:val="TableParagraph"/>
              <w:spacing w:before="37"/>
              <w:rPr>
                <w:sz w:val="21"/>
              </w:rPr>
            </w:pPr>
            <w:r>
              <w:rPr>
                <w:color w:val="B02045"/>
                <w:sz w:val="21"/>
              </w:rPr>
              <w:t>4.1.12.1</w:t>
            </w:r>
          </w:p>
        </w:tc>
      </w:tr>
      <w:tr w:rsidR="00A720EB" w14:paraId="774A9A4D" w14:textId="77777777">
        <w:trPr>
          <w:trHeight w:val="368"/>
        </w:trPr>
        <w:tc>
          <w:tcPr>
            <w:tcW w:w="3325" w:type="dxa"/>
          </w:tcPr>
          <w:p w14:paraId="31652F0F" w14:textId="77777777" w:rsidR="00A720EB" w:rsidRDefault="0030286B">
            <w:pPr>
              <w:pStyle w:val="TableParagraph"/>
              <w:spacing w:before="37"/>
              <w:rPr>
                <w:sz w:val="21"/>
              </w:rPr>
            </w:pPr>
            <w:proofErr w:type="gramStart"/>
            <w:r>
              <w:rPr>
                <w:color w:val="B02045"/>
                <w:sz w:val="21"/>
              </w:rPr>
              <w:t>io.dropwizard</w:t>
            </w:r>
            <w:proofErr w:type="gramEnd"/>
            <w:r>
              <w:rPr>
                <w:color w:val="B02045"/>
                <w:sz w:val="21"/>
              </w:rPr>
              <w:t>.metrics</w:t>
            </w:r>
          </w:p>
        </w:tc>
        <w:tc>
          <w:tcPr>
            <w:tcW w:w="3325" w:type="dxa"/>
          </w:tcPr>
          <w:p w14:paraId="11CB0FF8" w14:textId="77777777" w:rsidR="00A720EB" w:rsidRDefault="0030286B">
            <w:pPr>
              <w:pStyle w:val="TableParagraph"/>
              <w:spacing w:before="37"/>
              <w:rPr>
                <w:sz w:val="21"/>
              </w:rPr>
            </w:pPr>
            <w:r>
              <w:rPr>
                <w:color w:val="B02045"/>
                <w:sz w:val="21"/>
              </w:rPr>
              <w:t>metrics-servlets</w:t>
            </w:r>
          </w:p>
        </w:tc>
        <w:tc>
          <w:tcPr>
            <w:tcW w:w="3325" w:type="dxa"/>
          </w:tcPr>
          <w:p w14:paraId="36305571" w14:textId="77777777" w:rsidR="00A720EB" w:rsidRDefault="0030286B">
            <w:pPr>
              <w:pStyle w:val="TableParagraph"/>
              <w:spacing w:before="37"/>
              <w:rPr>
                <w:sz w:val="21"/>
              </w:rPr>
            </w:pPr>
            <w:r>
              <w:rPr>
                <w:color w:val="B02045"/>
                <w:sz w:val="21"/>
              </w:rPr>
              <w:t>4.1.12.1</w:t>
            </w:r>
          </w:p>
        </w:tc>
      </w:tr>
      <w:tr w:rsidR="00A720EB" w14:paraId="170194DF" w14:textId="77777777">
        <w:trPr>
          <w:trHeight w:val="368"/>
        </w:trPr>
        <w:tc>
          <w:tcPr>
            <w:tcW w:w="3325" w:type="dxa"/>
          </w:tcPr>
          <w:p w14:paraId="040E7C67" w14:textId="77777777" w:rsidR="00A720EB" w:rsidRDefault="0030286B">
            <w:pPr>
              <w:pStyle w:val="TableParagraph"/>
              <w:rPr>
                <w:sz w:val="21"/>
              </w:rPr>
            </w:pPr>
            <w:proofErr w:type="gramStart"/>
            <w:r>
              <w:rPr>
                <w:color w:val="B02045"/>
                <w:sz w:val="21"/>
              </w:rPr>
              <w:t>io.lettuce</w:t>
            </w:r>
            <w:proofErr w:type="gramEnd"/>
          </w:p>
        </w:tc>
        <w:tc>
          <w:tcPr>
            <w:tcW w:w="3325" w:type="dxa"/>
          </w:tcPr>
          <w:p w14:paraId="3AC73BC8" w14:textId="77777777" w:rsidR="00A720EB" w:rsidRDefault="0030286B">
            <w:pPr>
              <w:pStyle w:val="TableParagraph"/>
              <w:rPr>
                <w:sz w:val="21"/>
              </w:rPr>
            </w:pPr>
            <w:r>
              <w:rPr>
                <w:color w:val="B02045"/>
                <w:sz w:val="21"/>
              </w:rPr>
              <w:t>lettuce-core</w:t>
            </w:r>
          </w:p>
        </w:tc>
        <w:tc>
          <w:tcPr>
            <w:tcW w:w="3325" w:type="dxa"/>
          </w:tcPr>
          <w:p w14:paraId="084D429F"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4A4AC753" w14:textId="77777777">
        <w:trPr>
          <w:trHeight w:val="368"/>
        </w:trPr>
        <w:tc>
          <w:tcPr>
            <w:tcW w:w="3325" w:type="dxa"/>
          </w:tcPr>
          <w:p w14:paraId="32B8F0F3"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7C006E1E" w14:textId="77777777" w:rsidR="00A720EB" w:rsidRDefault="0030286B">
            <w:pPr>
              <w:pStyle w:val="TableParagraph"/>
              <w:spacing w:before="37"/>
              <w:rPr>
                <w:sz w:val="21"/>
              </w:rPr>
            </w:pPr>
            <w:r>
              <w:rPr>
                <w:color w:val="B02045"/>
                <w:sz w:val="21"/>
              </w:rPr>
              <w:t>micrometer-core</w:t>
            </w:r>
          </w:p>
        </w:tc>
        <w:tc>
          <w:tcPr>
            <w:tcW w:w="3325" w:type="dxa"/>
          </w:tcPr>
          <w:p w14:paraId="378D7EEB" w14:textId="77777777" w:rsidR="00A720EB" w:rsidRDefault="0030286B">
            <w:pPr>
              <w:pStyle w:val="TableParagraph"/>
              <w:spacing w:before="37"/>
              <w:rPr>
                <w:sz w:val="21"/>
              </w:rPr>
            </w:pPr>
            <w:r>
              <w:rPr>
                <w:color w:val="B02045"/>
                <w:sz w:val="21"/>
              </w:rPr>
              <w:t>1.5.5</w:t>
            </w:r>
          </w:p>
        </w:tc>
      </w:tr>
      <w:tr w:rsidR="00A720EB" w14:paraId="7892618E" w14:textId="77777777">
        <w:trPr>
          <w:trHeight w:val="368"/>
        </w:trPr>
        <w:tc>
          <w:tcPr>
            <w:tcW w:w="3325" w:type="dxa"/>
          </w:tcPr>
          <w:p w14:paraId="31CD9FB5"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3874B374" w14:textId="77777777" w:rsidR="00A720EB" w:rsidRDefault="0030286B">
            <w:pPr>
              <w:pStyle w:val="TableParagraph"/>
              <w:rPr>
                <w:sz w:val="21"/>
              </w:rPr>
            </w:pPr>
            <w:r>
              <w:rPr>
                <w:color w:val="B02045"/>
                <w:sz w:val="21"/>
              </w:rPr>
              <w:t>micrometer-jersey2</w:t>
            </w:r>
          </w:p>
        </w:tc>
        <w:tc>
          <w:tcPr>
            <w:tcW w:w="3325" w:type="dxa"/>
          </w:tcPr>
          <w:p w14:paraId="701534AA" w14:textId="77777777" w:rsidR="00A720EB" w:rsidRDefault="0030286B">
            <w:pPr>
              <w:pStyle w:val="TableParagraph"/>
              <w:rPr>
                <w:sz w:val="21"/>
              </w:rPr>
            </w:pPr>
            <w:r>
              <w:rPr>
                <w:color w:val="B02045"/>
                <w:sz w:val="21"/>
              </w:rPr>
              <w:t>1.5.5</w:t>
            </w:r>
          </w:p>
        </w:tc>
      </w:tr>
      <w:tr w:rsidR="00A720EB" w14:paraId="6D1C1A56" w14:textId="77777777">
        <w:trPr>
          <w:trHeight w:val="368"/>
        </w:trPr>
        <w:tc>
          <w:tcPr>
            <w:tcW w:w="3325" w:type="dxa"/>
          </w:tcPr>
          <w:p w14:paraId="22B571E9"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25DFABB9" w14:textId="77777777" w:rsidR="00A720EB" w:rsidRDefault="0030286B">
            <w:pPr>
              <w:pStyle w:val="TableParagraph"/>
              <w:spacing w:before="37"/>
              <w:rPr>
                <w:sz w:val="21"/>
              </w:rPr>
            </w:pPr>
            <w:r>
              <w:rPr>
                <w:color w:val="B02045"/>
                <w:sz w:val="21"/>
              </w:rPr>
              <w:t>micrometer-registry-appoptics</w:t>
            </w:r>
          </w:p>
        </w:tc>
        <w:tc>
          <w:tcPr>
            <w:tcW w:w="3325" w:type="dxa"/>
          </w:tcPr>
          <w:p w14:paraId="10CB94E7" w14:textId="77777777" w:rsidR="00A720EB" w:rsidRDefault="0030286B">
            <w:pPr>
              <w:pStyle w:val="TableParagraph"/>
              <w:spacing w:before="37"/>
              <w:rPr>
                <w:sz w:val="21"/>
              </w:rPr>
            </w:pPr>
            <w:r>
              <w:rPr>
                <w:color w:val="B02045"/>
                <w:sz w:val="21"/>
              </w:rPr>
              <w:t>1.5.5</w:t>
            </w:r>
          </w:p>
        </w:tc>
      </w:tr>
      <w:tr w:rsidR="00A720EB" w14:paraId="0D74EF83" w14:textId="77777777">
        <w:trPr>
          <w:trHeight w:val="368"/>
        </w:trPr>
        <w:tc>
          <w:tcPr>
            <w:tcW w:w="3325" w:type="dxa"/>
          </w:tcPr>
          <w:p w14:paraId="6A2B4CD3"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1A2F36F6" w14:textId="77777777" w:rsidR="00A720EB" w:rsidRDefault="0030286B">
            <w:pPr>
              <w:pStyle w:val="TableParagraph"/>
              <w:rPr>
                <w:sz w:val="21"/>
              </w:rPr>
            </w:pPr>
            <w:r>
              <w:rPr>
                <w:color w:val="B02045"/>
                <w:sz w:val="21"/>
              </w:rPr>
              <w:t>micrometer-registry-atlas</w:t>
            </w:r>
          </w:p>
        </w:tc>
        <w:tc>
          <w:tcPr>
            <w:tcW w:w="3325" w:type="dxa"/>
          </w:tcPr>
          <w:p w14:paraId="205C3BF5" w14:textId="77777777" w:rsidR="00A720EB" w:rsidRDefault="0030286B">
            <w:pPr>
              <w:pStyle w:val="TableParagraph"/>
              <w:rPr>
                <w:sz w:val="21"/>
              </w:rPr>
            </w:pPr>
            <w:r>
              <w:rPr>
                <w:color w:val="B02045"/>
                <w:sz w:val="21"/>
              </w:rPr>
              <w:t>1.5.5</w:t>
            </w:r>
          </w:p>
        </w:tc>
      </w:tr>
      <w:tr w:rsidR="00A720EB" w14:paraId="31D1AFC0" w14:textId="77777777">
        <w:trPr>
          <w:trHeight w:val="627"/>
        </w:trPr>
        <w:tc>
          <w:tcPr>
            <w:tcW w:w="3325" w:type="dxa"/>
          </w:tcPr>
          <w:p w14:paraId="5A152F55"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79C5B94D" w14:textId="77777777" w:rsidR="00A720EB" w:rsidRDefault="0030286B">
            <w:pPr>
              <w:pStyle w:val="TableParagraph"/>
              <w:spacing w:before="46" w:line="230" w:lineRule="auto"/>
              <w:ind w:right="505"/>
              <w:rPr>
                <w:sz w:val="21"/>
              </w:rPr>
            </w:pPr>
            <w:r>
              <w:rPr>
                <w:color w:val="B02045"/>
                <w:sz w:val="21"/>
              </w:rPr>
              <w:t>micrometer-registry-azure- monitor</w:t>
            </w:r>
          </w:p>
        </w:tc>
        <w:tc>
          <w:tcPr>
            <w:tcW w:w="3325" w:type="dxa"/>
          </w:tcPr>
          <w:p w14:paraId="3162AE9E" w14:textId="77777777" w:rsidR="00A720EB" w:rsidRDefault="0030286B">
            <w:pPr>
              <w:pStyle w:val="TableParagraph"/>
              <w:spacing w:before="37"/>
              <w:rPr>
                <w:sz w:val="21"/>
              </w:rPr>
            </w:pPr>
            <w:r>
              <w:rPr>
                <w:color w:val="B02045"/>
                <w:sz w:val="21"/>
              </w:rPr>
              <w:t>1.5.5</w:t>
            </w:r>
          </w:p>
        </w:tc>
      </w:tr>
      <w:tr w:rsidR="00A720EB" w14:paraId="04BBEA15" w14:textId="77777777">
        <w:trPr>
          <w:trHeight w:val="368"/>
        </w:trPr>
        <w:tc>
          <w:tcPr>
            <w:tcW w:w="3325" w:type="dxa"/>
          </w:tcPr>
          <w:p w14:paraId="5450361C"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2438B673" w14:textId="77777777" w:rsidR="00A720EB" w:rsidRDefault="0030286B">
            <w:pPr>
              <w:pStyle w:val="TableParagraph"/>
              <w:rPr>
                <w:sz w:val="21"/>
              </w:rPr>
            </w:pPr>
            <w:r>
              <w:rPr>
                <w:color w:val="B02045"/>
                <w:sz w:val="21"/>
              </w:rPr>
              <w:t>micrometer-registry-cloudwatch</w:t>
            </w:r>
          </w:p>
        </w:tc>
        <w:tc>
          <w:tcPr>
            <w:tcW w:w="3325" w:type="dxa"/>
          </w:tcPr>
          <w:p w14:paraId="2EBC314C" w14:textId="77777777" w:rsidR="00A720EB" w:rsidRDefault="0030286B">
            <w:pPr>
              <w:pStyle w:val="TableParagraph"/>
              <w:rPr>
                <w:sz w:val="21"/>
              </w:rPr>
            </w:pPr>
            <w:r>
              <w:rPr>
                <w:color w:val="B02045"/>
                <w:sz w:val="21"/>
              </w:rPr>
              <w:t>1.5.5</w:t>
            </w:r>
          </w:p>
        </w:tc>
      </w:tr>
      <w:tr w:rsidR="00A720EB" w14:paraId="4681AC2E" w14:textId="77777777">
        <w:trPr>
          <w:trHeight w:val="627"/>
        </w:trPr>
        <w:tc>
          <w:tcPr>
            <w:tcW w:w="3325" w:type="dxa"/>
          </w:tcPr>
          <w:p w14:paraId="380FE752"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5529F766" w14:textId="77777777" w:rsidR="00A720EB" w:rsidRDefault="0030286B">
            <w:pPr>
              <w:pStyle w:val="TableParagraph"/>
              <w:spacing w:before="46" w:line="230" w:lineRule="auto"/>
              <w:ind w:right="1135"/>
              <w:rPr>
                <w:sz w:val="21"/>
              </w:rPr>
            </w:pPr>
            <w:r>
              <w:rPr>
                <w:color w:val="B02045"/>
                <w:sz w:val="21"/>
              </w:rPr>
              <w:t>micrometer-registry- cloudwatch2</w:t>
            </w:r>
          </w:p>
        </w:tc>
        <w:tc>
          <w:tcPr>
            <w:tcW w:w="3325" w:type="dxa"/>
          </w:tcPr>
          <w:p w14:paraId="4604F040" w14:textId="77777777" w:rsidR="00A720EB" w:rsidRDefault="0030286B">
            <w:pPr>
              <w:pStyle w:val="TableParagraph"/>
              <w:rPr>
                <w:sz w:val="21"/>
              </w:rPr>
            </w:pPr>
            <w:r>
              <w:rPr>
                <w:color w:val="B02045"/>
                <w:sz w:val="21"/>
              </w:rPr>
              <w:t>1.5.5</w:t>
            </w:r>
          </w:p>
        </w:tc>
      </w:tr>
      <w:tr w:rsidR="00A720EB" w14:paraId="035875F6" w14:textId="77777777">
        <w:trPr>
          <w:trHeight w:val="368"/>
        </w:trPr>
        <w:tc>
          <w:tcPr>
            <w:tcW w:w="3325" w:type="dxa"/>
          </w:tcPr>
          <w:p w14:paraId="77B72DE2"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49683AC0" w14:textId="77777777" w:rsidR="00A720EB" w:rsidRDefault="0030286B">
            <w:pPr>
              <w:pStyle w:val="TableParagraph"/>
              <w:rPr>
                <w:sz w:val="21"/>
              </w:rPr>
            </w:pPr>
            <w:r>
              <w:rPr>
                <w:color w:val="B02045"/>
                <w:sz w:val="21"/>
              </w:rPr>
              <w:t>micrometer-registry-datadog</w:t>
            </w:r>
          </w:p>
        </w:tc>
        <w:tc>
          <w:tcPr>
            <w:tcW w:w="3325" w:type="dxa"/>
          </w:tcPr>
          <w:p w14:paraId="3EA2B722" w14:textId="77777777" w:rsidR="00A720EB" w:rsidRDefault="0030286B">
            <w:pPr>
              <w:pStyle w:val="TableParagraph"/>
              <w:rPr>
                <w:sz w:val="21"/>
              </w:rPr>
            </w:pPr>
            <w:r>
              <w:rPr>
                <w:color w:val="B02045"/>
                <w:sz w:val="21"/>
              </w:rPr>
              <w:t>1.5.5</w:t>
            </w:r>
          </w:p>
        </w:tc>
      </w:tr>
    </w:tbl>
    <w:p w14:paraId="73B21357"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02006F35" w14:textId="77777777">
        <w:trPr>
          <w:trHeight w:val="415"/>
        </w:trPr>
        <w:tc>
          <w:tcPr>
            <w:tcW w:w="3325" w:type="dxa"/>
            <w:tcBorders>
              <w:bottom w:val="single" w:sz="12" w:space="0" w:color="DDDDDD"/>
            </w:tcBorders>
          </w:tcPr>
          <w:p w14:paraId="119CDA8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49794D6E"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4D9C589D"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2D0C29D5" w14:textId="77777777">
        <w:trPr>
          <w:trHeight w:val="358"/>
        </w:trPr>
        <w:tc>
          <w:tcPr>
            <w:tcW w:w="3325" w:type="dxa"/>
            <w:tcBorders>
              <w:top w:val="single" w:sz="12" w:space="0" w:color="DDDDDD"/>
            </w:tcBorders>
          </w:tcPr>
          <w:p w14:paraId="65B6F481" w14:textId="77777777" w:rsidR="00A720EB" w:rsidRDefault="0030286B">
            <w:pPr>
              <w:pStyle w:val="TableParagraph"/>
              <w:spacing w:before="27"/>
              <w:rPr>
                <w:sz w:val="21"/>
              </w:rPr>
            </w:pPr>
            <w:proofErr w:type="gramStart"/>
            <w:r>
              <w:rPr>
                <w:color w:val="B02045"/>
                <w:sz w:val="21"/>
              </w:rPr>
              <w:t>io.micrometer</w:t>
            </w:r>
            <w:proofErr w:type="gramEnd"/>
          </w:p>
        </w:tc>
        <w:tc>
          <w:tcPr>
            <w:tcW w:w="3325" w:type="dxa"/>
            <w:tcBorders>
              <w:top w:val="single" w:sz="12" w:space="0" w:color="DDDDDD"/>
            </w:tcBorders>
          </w:tcPr>
          <w:p w14:paraId="36CEF82B" w14:textId="77777777" w:rsidR="00A720EB" w:rsidRDefault="0030286B">
            <w:pPr>
              <w:pStyle w:val="TableParagraph"/>
              <w:spacing w:before="27"/>
              <w:rPr>
                <w:sz w:val="21"/>
              </w:rPr>
            </w:pPr>
            <w:r>
              <w:rPr>
                <w:color w:val="B02045"/>
                <w:sz w:val="21"/>
              </w:rPr>
              <w:t>micrometer-registry-dynatrace</w:t>
            </w:r>
          </w:p>
        </w:tc>
        <w:tc>
          <w:tcPr>
            <w:tcW w:w="3325" w:type="dxa"/>
            <w:tcBorders>
              <w:top w:val="single" w:sz="12" w:space="0" w:color="DDDDDD"/>
            </w:tcBorders>
          </w:tcPr>
          <w:p w14:paraId="3D136B67" w14:textId="77777777" w:rsidR="00A720EB" w:rsidRDefault="0030286B">
            <w:pPr>
              <w:pStyle w:val="TableParagraph"/>
              <w:spacing w:before="27"/>
              <w:rPr>
                <w:sz w:val="21"/>
              </w:rPr>
            </w:pPr>
            <w:r>
              <w:rPr>
                <w:color w:val="B02045"/>
                <w:sz w:val="21"/>
              </w:rPr>
              <w:t>1.5.5</w:t>
            </w:r>
          </w:p>
        </w:tc>
      </w:tr>
      <w:tr w:rsidR="00A720EB" w14:paraId="2FE56555" w14:textId="77777777">
        <w:trPr>
          <w:trHeight w:val="368"/>
        </w:trPr>
        <w:tc>
          <w:tcPr>
            <w:tcW w:w="3325" w:type="dxa"/>
          </w:tcPr>
          <w:p w14:paraId="46AD9AEF"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0D1D9267" w14:textId="77777777" w:rsidR="00A720EB" w:rsidRDefault="0030286B">
            <w:pPr>
              <w:pStyle w:val="TableParagraph"/>
              <w:spacing w:before="37"/>
              <w:rPr>
                <w:sz w:val="21"/>
              </w:rPr>
            </w:pPr>
            <w:r>
              <w:rPr>
                <w:color w:val="B02045"/>
                <w:sz w:val="21"/>
              </w:rPr>
              <w:t>micrometer-registry-elastic</w:t>
            </w:r>
          </w:p>
        </w:tc>
        <w:tc>
          <w:tcPr>
            <w:tcW w:w="3325" w:type="dxa"/>
          </w:tcPr>
          <w:p w14:paraId="42862926" w14:textId="77777777" w:rsidR="00A720EB" w:rsidRDefault="0030286B">
            <w:pPr>
              <w:pStyle w:val="TableParagraph"/>
              <w:spacing w:before="37"/>
              <w:rPr>
                <w:sz w:val="21"/>
              </w:rPr>
            </w:pPr>
            <w:r>
              <w:rPr>
                <w:color w:val="B02045"/>
                <w:sz w:val="21"/>
              </w:rPr>
              <w:t>1.5.5</w:t>
            </w:r>
          </w:p>
        </w:tc>
      </w:tr>
      <w:tr w:rsidR="00A720EB" w14:paraId="01389FB1" w14:textId="77777777">
        <w:trPr>
          <w:trHeight w:val="368"/>
        </w:trPr>
        <w:tc>
          <w:tcPr>
            <w:tcW w:w="3325" w:type="dxa"/>
          </w:tcPr>
          <w:p w14:paraId="0E6D2F25"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0DB659F0" w14:textId="77777777" w:rsidR="00A720EB" w:rsidRDefault="0030286B">
            <w:pPr>
              <w:pStyle w:val="TableParagraph"/>
              <w:spacing w:before="37"/>
              <w:rPr>
                <w:sz w:val="21"/>
              </w:rPr>
            </w:pPr>
            <w:r>
              <w:rPr>
                <w:color w:val="B02045"/>
                <w:sz w:val="21"/>
              </w:rPr>
              <w:t>micrometer-registry-ganglia</w:t>
            </w:r>
          </w:p>
        </w:tc>
        <w:tc>
          <w:tcPr>
            <w:tcW w:w="3325" w:type="dxa"/>
          </w:tcPr>
          <w:p w14:paraId="27A50835" w14:textId="77777777" w:rsidR="00A720EB" w:rsidRDefault="0030286B">
            <w:pPr>
              <w:pStyle w:val="TableParagraph"/>
              <w:spacing w:before="37"/>
              <w:rPr>
                <w:sz w:val="21"/>
              </w:rPr>
            </w:pPr>
            <w:r>
              <w:rPr>
                <w:color w:val="B02045"/>
                <w:sz w:val="21"/>
              </w:rPr>
              <w:t>1.5.5</w:t>
            </w:r>
          </w:p>
        </w:tc>
      </w:tr>
      <w:tr w:rsidR="00A720EB" w14:paraId="6BADF4CE" w14:textId="77777777">
        <w:trPr>
          <w:trHeight w:val="368"/>
        </w:trPr>
        <w:tc>
          <w:tcPr>
            <w:tcW w:w="3325" w:type="dxa"/>
          </w:tcPr>
          <w:p w14:paraId="7452F2E2"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2D3CC10A" w14:textId="77777777" w:rsidR="00A720EB" w:rsidRDefault="0030286B">
            <w:pPr>
              <w:pStyle w:val="TableParagraph"/>
              <w:rPr>
                <w:sz w:val="21"/>
              </w:rPr>
            </w:pPr>
            <w:r>
              <w:rPr>
                <w:color w:val="B02045"/>
                <w:sz w:val="21"/>
              </w:rPr>
              <w:t>micrometer-registry-graphite</w:t>
            </w:r>
          </w:p>
        </w:tc>
        <w:tc>
          <w:tcPr>
            <w:tcW w:w="3325" w:type="dxa"/>
          </w:tcPr>
          <w:p w14:paraId="0EC66218" w14:textId="77777777" w:rsidR="00A720EB" w:rsidRDefault="0030286B">
            <w:pPr>
              <w:pStyle w:val="TableParagraph"/>
              <w:rPr>
                <w:sz w:val="21"/>
              </w:rPr>
            </w:pPr>
            <w:r>
              <w:rPr>
                <w:color w:val="B02045"/>
                <w:sz w:val="21"/>
              </w:rPr>
              <w:t>1.5.5</w:t>
            </w:r>
          </w:p>
        </w:tc>
      </w:tr>
      <w:tr w:rsidR="00A720EB" w14:paraId="0AF5D25E" w14:textId="77777777">
        <w:trPr>
          <w:trHeight w:val="368"/>
        </w:trPr>
        <w:tc>
          <w:tcPr>
            <w:tcW w:w="3325" w:type="dxa"/>
          </w:tcPr>
          <w:p w14:paraId="0B95649F"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7D41DCE2" w14:textId="77777777" w:rsidR="00A720EB" w:rsidRDefault="0030286B">
            <w:pPr>
              <w:pStyle w:val="TableParagraph"/>
              <w:rPr>
                <w:sz w:val="21"/>
              </w:rPr>
            </w:pPr>
            <w:r>
              <w:rPr>
                <w:color w:val="B02045"/>
                <w:sz w:val="21"/>
              </w:rPr>
              <w:t>micrometer-registry-humio</w:t>
            </w:r>
          </w:p>
        </w:tc>
        <w:tc>
          <w:tcPr>
            <w:tcW w:w="3325" w:type="dxa"/>
          </w:tcPr>
          <w:p w14:paraId="62C3C1FC" w14:textId="77777777" w:rsidR="00A720EB" w:rsidRDefault="0030286B">
            <w:pPr>
              <w:pStyle w:val="TableParagraph"/>
              <w:rPr>
                <w:sz w:val="21"/>
              </w:rPr>
            </w:pPr>
            <w:r>
              <w:rPr>
                <w:color w:val="B02045"/>
                <w:sz w:val="21"/>
              </w:rPr>
              <w:t>1.5.5</w:t>
            </w:r>
          </w:p>
        </w:tc>
      </w:tr>
      <w:tr w:rsidR="00A720EB" w14:paraId="7FDC8499" w14:textId="77777777">
        <w:trPr>
          <w:trHeight w:val="368"/>
        </w:trPr>
        <w:tc>
          <w:tcPr>
            <w:tcW w:w="3325" w:type="dxa"/>
          </w:tcPr>
          <w:p w14:paraId="13941041"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3240589E" w14:textId="77777777" w:rsidR="00A720EB" w:rsidRDefault="0030286B">
            <w:pPr>
              <w:pStyle w:val="TableParagraph"/>
              <w:rPr>
                <w:sz w:val="21"/>
              </w:rPr>
            </w:pPr>
            <w:r>
              <w:rPr>
                <w:color w:val="B02045"/>
                <w:sz w:val="21"/>
              </w:rPr>
              <w:t>micrometer-registry-influx</w:t>
            </w:r>
          </w:p>
        </w:tc>
        <w:tc>
          <w:tcPr>
            <w:tcW w:w="3325" w:type="dxa"/>
          </w:tcPr>
          <w:p w14:paraId="6994786B" w14:textId="77777777" w:rsidR="00A720EB" w:rsidRDefault="0030286B">
            <w:pPr>
              <w:pStyle w:val="TableParagraph"/>
              <w:rPr>
                <w:sz w:val="21"/>
              </w:rPr>
            </w:pPr>
            <w:r>
              <w:rPr>
                <w:color w:val="B02045"/>
                <w:sz w:val="21"/>
              </w:rPr>
              <w:t>1.5.5</w:t>
            </w:r>
          </w:p>
        </w:tc>
      </w:tr>
      <w:tr w:rsidR="00A720EB" w14:paraId="41EF97EC" w14:textId="77777777">
        <w:trPr>
          <w:trHeight w:val="368"/>
        </w:trPr>
        <w:tc>
          <w:tcPr>
            <w:tcW w:w="3325" w:type="dxa"/>
          </w:tcPr>
          <w:p w14:paraId="49D7D8B8"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78A1DD7D" w14:textId="77777777" w:rsidR="00A720EB" w:rsidRDefault="0030286B">
            <w:pPr>
              <w:pStyle w:val="TableParagraph"/>
              <w:rPr>
                <w:sz w:val="21"/>
              </w:rPr>
            </w:pPr>
            <w:r>
              <w:rPr>
                <w:color w:val="B02045"/>
                <w:sz w:val="21"/>
              </w:rPr>
              <w:t>micrometer-registry-jmx</w:t>
            </w:r>
          </w:p>
        </w:tc>
        <w:tc>
          <w:tcPr>
            <w:tcW w:w="3325" w:type="dxa"/>
          </w:tcPr>
          <w:p w14:paraId="74BAEBA9" w14:textId="77777777" w:rsidR="00A720EB" w:rsidRDefault="0030286B">
            <w:pPr>
              <w:pStyle w:val="TableParagraph"/>
              <w:rPr>
                <w:sz w:val="21"/>
              </w:rPr>
            </w:pPr>
            <w:r>
              <w:rPr>
                <w:color w:val="B02045"/>
                <w:sz w:val="21"/>
              </w:rPr>
              <w:t>1.5.5</w:t>
            </w:r>
          </w:p>
        </w:tc>
      </w:tr>
      <w:tr w:rsidR="00A720EB" w14:paraId="29217D86" w14:textId="77777777">
        <w:trPr>
          <w:trHeight w:val="368"/>
        </w:trPr>
        <w:tc>
          <w:tcPr>
            <w:tcW w:w="3325" w:type="dxa"/>
          </w:tcPr>
          <w:p w14:paraId="1FA4175F"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75215ACB" w14:textId="77777777" w:rsidR="00A720EB" w:rsidRDefault="0030286B">
            <w:pPr>
              <w:pStyle w:val="TableParagraph"/>
              <w:spacing w:before="37"/>
              <w:rPr>
                <w:sz w:val="21"/>
              </w:rPr>
            </w:pPr>
            <w:r>
              <w:rPr>
                <w:color w:val="B02045"/>
                <w:sz w:val="21"/>
              </w:rPr>
              <w:t>micrometer-registry-kairos</w:t>
            </w:r>
          </w:p>
        </w:tc>
        <w:tc>
          <w:tcPr>
            <w:tcW w:w="3325" w:type="dxa"/>
          </w:tcPr>
          <w:p w14:paraId="1BA5224C" w14:textId="77777777" w:rsidR="00A720EB" w:rsidRDefault="0030286B">
            <w:pPr>
              <w:pStyle w:val="TableParagraph"/>
              <w:spacing w:before="37"/>
              <w:rPr>
                <w:sz w:val="21"/>
              </w:rPr>
            </w:pPr>
            <w:r>
              <w:rPr>
                <w:color w:val="B02045"/>
                <w:sz w:val="21"/>
              </w:rPr>
              <w:t>1.5.5</w:t>
            </w:r>
          </w:p>
        </w:tc>
      </w:tr>
      <w:tr w:rsidR="00A720EB" w14:paraId="332D22EA" w14:textId="77777777">
        <w:trPr>
          <w:trHeight w:val="368"/>
        </w:trPr>
        <w:tc>
          <w:tcPr>
            <w:tcW w:w="3325" w:type="dxa"/>
          </w:tcPr>
          <w:p w14:paraId="04D95533"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20A63F00" w14:textId="77777777" w:rsidR="00A720EB" w:rsidRDefault="0030286B">
            <w:pPr>
              <w:pStyle w:val="TableParagraph"/>
              <w:spacing w:before="37"/>
              <w:rPr>
                <w:sz w:val="21"/>
              </w:rPr>
            </w:pPr>
            <w:r>
              <w:rPr>
                <w:color w:val="B02045"/>
                <w:sz w:val="21"/>
              </w:rPr>
              <w:t>micrometer-registry-new-relic</w:t>
            </w:r>
          </w:p>
        </w:tc>
        <w:tc>
          <w:tcPr>
            <w:tcW w:w="3325" w:type="dxa"/>
          </w:tcPr>
          <w:p w14:paraId="24CBA2B1" w14:textId="77777777" w:rsidR="00A720EB" w:rsidRDefault="0030286B">
            <w:pPr>
              <w:pStyle w:val="TableParagraph"/>
              <w:spacing w:before="37"/>
              <w:rPr>
                <w:sz w:val="21"/>
              </w:rPr>
            </w:pPr>
            <w:r>
              <w:rPr>
                <w:color w:val="B02045"/>
                <w:sz w:val="21"/>
              </w:rPr>
              <w:t>1.5.5</w:t>
            </w:r>
          </w:p>
        </w:tc>
      </w:tr>
      <w:tr w:rsidR="00A720EB" w14:paraId="4A6075D9" w14:textId="77777777">
        <w:trPr>
          <w:trHeight w:val="368"/>
        </w:trPr>
        <w:tc>
          <w:tcPr>
            <w:tcW w:w="3325" w:type="dxa"/>
          </w:tcPr>
          <w:p w14:paraId="65A130D7"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73DB8D08" w14:textId="77777777" w:rsidR="00A720EB" w:rsidRDefault="0030286B">
            <w:pPr>
              <w:pStyle w:val="TableParagraph"/>
              <w:spacing w:before="37"/>
              <w:rPr>
                <w:sz w:val="21"/>
              </w:rPr>
            </w:pPr>
            <w:r>
              <w:rPr>
                <w:color w:val="B02045"/>
                <w:sz w:val="21"/>
              </w:rPr>
              <w:t>micrometer-registry-opentsdb</w:t>
            </w:r>
          </w:p>
        </w:tc>
        <w:tc>
          <w:tcPr>
            <w:tcW w:w="3325" w:type="dxa"/>
          </w:tcPr>
          <w:p w14:paraId="48BE5F72" w14:textId="77777777" w:rsidR="00A720EB" w:rsidRDefault="0030286B">
            <w:pPr>
              <w:pStyle w:val="TableParagraph"/>
              <w:spacing w:before="37"/>
              <w:rPr>
                <w:sz w:val="21"/>
              </w:rPr>
            </w:pPr>
            <w:r>
              <w:rPr>
                <w:color w:val="B02045"/>
                <w:sz w:val="21"/>
              </w:rPr>
              <w:t>1.5.5</w:t>
            </w:r>
          </w:p>
        </w:tc>
      </w:tr>
      <w:tr w:rsidR="00A720EB" w14:paraId="65D4FE58" w14:textId="77777777">
        <w:trPr>
          <w:trHeight w:val="368"/>
        </w:trPr>
        <w:tc>
          <w:tcPr>
            <w:tcW w:w="3325" w:type="dxa"/>
          </w:tcPr>
          <w:p w14:paraId="7195F313" w14:textId="77777777" w:rsidR="00A720EB" w:rsidRDefault="0030286B">
            <w:pPr>
              <w:pStyle w:val="TableParagraph"/>
              <w:spacing w:before="37"/>
              <w:rPr>
                <w:sz w:val="21"/>
              </w:rPr>
            </w:pPr>
            <w:proofErr w:type="gramStart"/>
            <w:r>
              <w:rPr>
                <w:color w:val="B02045"/>
                <w:sz w:val="21"/>
              </w:rPr>
              <w:t>io.micrometer</w:t>
            </w:r>
            <w:proofErr w:type="gramEnd"/>
          </w:p>
        </w:tc>
        <w:tc>
          <w:tcPr>
            <w:tcW w:w="3325" w:type="dxa"/>
          </w:tcPr>
          <w:p w14:paraId="209B19AA" w14:textId="77777777" w:rsidR="00A720EB" w:rsidRDefault="0030286B">
            <w:pPr>
              <w:pStyle w:val="TableParagraph"/>
              <w:spacing w:before="37"/>
              <w:rPr>
                <w:sz w:val="21"/>
              </w:rPr>
            </w:pPr>
            <w:r>
              <w:rPr>
                <w:color w:val="B02045"/>
                <w:sz w:val="21"/>
              </w:rPr>
              <w:t>micrometer-registry-prometheus</w:t>
            </w:r>
          </w:p>
        </w:tc>
        <w:tc>
          <w:tcPr>
            <w:tcW w:w="3325" w:type="dxa"/>
          </w:tcPr>
          <w:p w14:paraId="793448AD" w14:textId="77777777" w:rsidR="00A720EB" w:rsidRDefault="0030286B">
            <w:pPr>
              <w:pStyle w:val="TableParagraph"/>
              <w:spacing w:before="37"/>
              <w:rPr>
                <w:sz w:val="21"/>
              </w:rPr>
            </w:pPr>
            <w:r>
              <w:rPr>
                <w:color w:val="B02045"/>
                <w:sz w:val="21"/>
              </w:rPr>
              <w:t>1.5.5</w:t>
            </w:r>
          </w:p>
        </w:tc>
      </w:tr>
      <w:tr w:rsidR="00A720EB" w14:paraId="0683D082" w14:textId="77777777">
        <w:trPr>
          <w:trHeight w:val="368"/>
        </w:trPr>
        <w:tc>
          <w:tcPr>
            <w:tcW w:w="3325" w:type="dxa"/>
          </w:tcPr>
          <w:p w14:paraId="372E6C95"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0B085837" w14:textId="77777777" w:rsidR="00A720EB" w:rsidRDefault="0030286B">
            <w:pPr>
              <w:pStyle w:val="TableParagraph"/>
              <w:rPr>
                <w:sz w:val="21"/>
              </w:rPr>
            </w:pPr>
            <w:r>
              <w:rPr>
                <w:color w:val="B02045"/>
                <w:sz w:val="21"/>
              </w:rPr>
              <w:t>micrometer-registry-signalfx</w:t>
            </w:r>
          </w:p>
        </w:tc>
        <w:tc>
          <w:tcPr>
            <w:tcW w:w="3325" w:type="dxa"/>
          </w:tcPr>
          <w:p w14:paraId="5A2CDF6A" w14:textId="77777777" w:rsidR="00A720EB" w:rsidRDefault="0030286B">
            <w:pPr>
              <w:pStyle w:val="TableParagraph"/>
              <w:rPr>
                <w:sz w:val="21"/>
              </w:rPr>
            </w:pPr>
            <w:r>
              <w:rPr>
                <w:color w:val="B02045"/>
                <w:sz w:val="21"/>
              </w:rPr>
              <w:t>1.5.5</w:t>
            </w:r>
          </w:p>
        </w:tc>
      </w:tr>
      <w:tr w:rsidR="00A720EB" w14:paraId="5160FCDB" w14:textId="77777777">
        <w:trPr>
          <w:trHeight w:val="627"/>
        </w:trPr>
        <w:tc>
          <w:tcPr>
            <w:tcW w:w="3325" w:type="dxa"/>
          </w:tcPr>
          <w:p w14:paraId="09E2CD64"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5CEE37B7" w14:textId="77777777" w:rsidR="00A720EB" w:rsidRDefault="0030286B">
            <w:pPr>
              <w:pStyle w:val="TableParagraph"/>
              <w:spacing w:before="46" w:line="230" w:lineRule="auto"/>
              <w:ind w:right="1135"/>
              <w:rPr>
                <w:sz w:val="21"/>
              </w:rPr>
            </w:pPr>
            <w:r>
              <w:rPr>
                <w:color w:val="B02045"/>
                <w:sz w:val="21"/>
              </w:rPr>
              <w:t>micrometer-registry- stackdriver</w:t>
            </w:r>
          </w:p>
        </w:tc>
        <w:tc>
          <w:tcPr>
            <w:tcW w:w="3325" w:type="dxa"/>
          </w:tcPr>
          <w:p w14:paraId="39DC3EC6" w14:textId="77777777" w:rsidR="00A720EB" w:rsidRDefault="0030286B">
            <w:pPr>
              <w:pStyle w:val="TableParagraph"/>
              <w:rPr>
                <w:sz w:val="21"/>
              </w:rPr>
            </w:pPr>
            <w:r>
              <w:rPr>
                <w:color w:val="B02045"/>
                <w:sz w:val="21"/>
              </w:rPr>
              <w:t>1.5.5</w:t>
            </w:r>
          </w:p>
        </w:tc>
      </w:tr>
      <w:tr w:rsidR="00A720EB" w14:paraId="4863C319" w14:textId="77777777">
        <w:trPr>
          <w:trHeight w:val="368"/>
        </w:trPr>
        <w:tc>
          <w:tcPr>
            <w:tcW w:w="3325" w:type="dxa"/>
          </w:tcPr>
          <w:p w14:paraId="10D14FFA"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48F5EB4F" w14:textId="77777777" w:rsidR="00A720EB" w:rsidRDefault="0030286B">
            <w:pPr>
              <w:pStyle w:val="TableParagraph"/>
              <w:rPr>
                <w:sz w:val="21"/>
              </w:rPr>
            </w:pPr>
            <w:r>
              <w:rPr>
                <w:color w:val="B02045"/>
                <w:sz w:val="21"/>
              </w:rPr>
              <w:t>micrometer-registry-statsd</w:t>
            </w:r>
          </w:p>
        </w:tc>
        <w:tc>
          <w:tcPr>
            <w:tcW w:w="3325" w:type="dxa"/>
          </w:tcPr>
          <w:p w14:paraId="1D51061A" w14:textId="77777777" w:rsidR="00A720EB" w:rsidRDefault="0030286B">
            <w:pPr>
              <w:pStyle w:val="TableParagraph"/>
              <w:rPr>
                <w:sz w:val="21"/>
              </w:rPr>
            </w:pPr>
            <w:r>
              <w:rPr>
                <w:color w:val="B02045"/>
                <w:sz w:val="21"/>
              </w:rPr>
              <w:t>1.5.5</w:t>
            </w:r>
          </w:p>
        </w:tc>
      </w:tr>
      <w:tr w:rsidR="00A720EB" w14:paraId="0047C18E" w14:textId="77777777">
        <w:trPr>
          <w:trHeight w:val="368"/>
        </w:trPr>
        <w:tc>
          <w:tcPr>
            <w:tcW w:w="3325" w:type="dxa"/>
          </w:tcPr>
          <w:p w14:paraId="36408401"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6414DFBF" w14:textId="77777777" w:rsidR="00A720EB" w:rsidRDefault="0030286B">
            <w:pPr>
              <w:pStyle w:val="TableParagraph"/>
              <w:rPr>
                <w:sz w:val="21"/>
              </w:rPr>
            </w:pPr>
            <w:r>
              <w:rPr>
                <w:color w:val="B02045"/>
                <w:sz w:val="21"/>
              </w:rPr>
              <w:t>micrometer-registry-wavefront</w:t>
            </w:r>
          </w:p>
        </w:tc>
        <w:tc>
          <w:tcPr>
            <w:tcW w:w="3325" w:type="dxa"/>
          </w:tcPr>
          <w:p w14:paraId="0FD883DF" w14:textId="77777777" w:rsidR="00A720EB" w:rsidRDefault="0030286B">
            <w:pPr>
              <w:pStyle w:val="TableParagraph"/>
              <w:rPr>
                <w:sz w:val="21"/>
              </w:rPr>
            </w:pPr>
            <w:r>
              <w:rPr>
                <w:color w:val="B02045"/>
                <w:sz w:val="21"/>
              </w:rPr>
              <w:t>1.5.5</w:t>
            </w:r>
          </w:p>
        </w:tc>
      </w:tr>
      <w:tr w:rsidR="00A720EB" w14:paraId="08541E54" w14:textId="77777777">
        <w:trPr>
          <w:trHeight w:val="368"/>
        </w:trPr>
        <w:tc>
          <w:tcPr>
            <w:tcW w:w="3325" w:type="dxa"/>
          </w:tcPr>
          <w:p w14:paraId="5BD91942" w14:textId="77777777" w:rsidR="00A720EB" w:rsidRDefault="0030286B">
            <w:pPr>
              <w:pStyle w:val="TableParagraph"/>
              <w:rPr>
                <w:sz w:val="21"/>
              </w:rPr>
            </w:pPr>
            <w:proofErr w:type="gramStart"/>
            <w:r>
              <w:rPr>
                <w:color w:val="B02045"/>
                <w:sz w:val="21"/>
              </w:rPr>
              <w:t>io.micrometer</w:t>
            </w:r>
            <w:proofErr w:type="gramEnd"/>
          </w:p>
        </w:tc>
        <w:tc>
          <w:tcPr>
            <w:tcW w:w="3325" w:type="dxa"/>
          </w:tcPr>
          <w:p w14:paraId="32AAED6B" w14:textId="77777777" w:rsidR="00A720EB" w:rsidRDefault="0030286B">
            <w:pPr>
              <w:pStyle w:val="TableParagraph"/>
              <w:rPr>
                <w:sz w:val="21"/>
              </w:rPr>
            </w:pPr>
            <w:r>
              <w:rPr>
                <w:color w:val="B02045"/>
                <w:sz w:val="21"/>
              </w:rPr>
              <w:t>micrometer-test</w:t>
            </w:r>
          </w:p>
        </w:tc>
        <w:tc>
          <w:tcPr>
            <w:tcW w:w="3325" w:type="dxa"/>
          </w:tcPr>
          <w:p w14:paraId="6262EE12" w14:textId="77777777" w:rsidR="00A720EB" w:rsidRDefault="0030286B">
            <w:pPr>
              <w:pStyle w:val="TableParagraph"/>
              <w:rPr>
                <w:sz w:val="21"/>
              </w:rPr>
            </w:pPr>
            <w:r>
              <w:rPr>
                <w:color w:val="B02045"/>
                <w:sz w:val="21"/>
              </w:rPr>
              <w:t>1.5.5</w:t>
            </w:r>
          </w:p>
        </w:tc>
      </w:tr>
      <w:tr w:rsidR="00A720EB" w14:paraId="76D91386" w14:textId="77777777">
        <w:trPr>
          <w:trHeight w:val="368"/>
        </w:trPr>
        <w:tc>
          <w:tcPr>
            <w:tcW w:w="3325" w:type="dxa"/>
          </w:tcPr>
          <w:p w14:paraId="1E1C44AD"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3D835140" w14:textId="77777777" w:rsidR="00A720EB" w:rsidRDefault="0030286B">
            <w:pPr>
              <w:pStyle w:val="TableParagraph"/>
              <w:spacing w:before="37"/>
              <w:rPr>
                <w:sz w:val="21"/>
              </w:rPr>
            </w:pPr>
            <w:r>
              <w:rPr>
                <w:color w:val="B02045"/>
                <w:sz w:val="21"/>
              </w:rPr>
              <w:t>netty-all</w:t>
            </w:r>
          </w:p>
        </w:tc>
        <w:tc>
          <w:tcPr>
            <w:tcW w:w="3325" w:type="dxa"/>
          </w:tcPr>
          <w:p w14:paraId="71D0EB20"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0D3C636A" w14:textId="77777777">
        <w:trPr>
          <w:trHeight w:val="368"/>
        </w:trPr>
        <w:tc>
          <w:tcPr>
            <w:tcW w:w="3325" w:type="dxa"/>
          </w:tcPr>
          <w:p w14:paraId="00CEE0E9"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1B970D68" w14:textId="77777777" w:rsidR="00A720EB" w:rsidRDefault="0030286B">
            <w:pPr>
              <w:pStyle w:val="TableParagraph"/>
              <w:spacing w:before="37"/>
              <w:rPr>
                <w:sz w:val="21"/>
              </w:rPr>
            </w:pPr>
            <w:r>
              <w:rPr>
                <w:color w:val="B02045"/>
                <w:sz w:val="21"/>
              </w:rPr>
              <w:t>netty-buffer</w:t>
            </w:r>
          </w:p>
        </w:tc>
        <w:tc>
          <w:tcPr>
            <w:tcW w:w="3325" w:type="dxa"/>
          </w:tcPr>
          <w:p w14:paraId="0CEA228E"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5421BBDB" w14:textId="77777777">
        <w:trPr>
          <w:trHeight w:val="368"/>
        </w:trPr>
        <w:tc>
          <w:tcPr>
            <w:tcW w:w="3325" w:type="dxa"/>
          </w:tcPr>
          <w:p w14:paraId="60BE8FB7"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099C5C81" w14:textId="77777777" w:rsidR="00A720EB" w:rsidRDefault="0030286B">
            <w:pPr>
              <w:pStyle w:val="TableParagraph"/>
              <w:spacing w:before="37"/>
              <w:rPr>
                <w:sz w:val="21"/>
              </w:rPr>
            </w:pPr>
            <w:r>
              <w:rPr>
                <w:color w:val="B02045"/>
                <w:sz w:val="21"/>
              </w:rPr>
              <w:t>netty-codec</w:t>
            </w:r>
          </w:p>
        </w:tc>
        <w:tc>
          <w:tcPr>
            <w:tcW w:w="3325" w:type="dxa"/>
          </w:tcPr>
          <w:p w14:paraId="4E9563C8"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0902CB3A" w14:textId="77777777">
        <w:trPr>
          <w:trHeight w:val="368"/>
        </w:trPr>
        <w:tc>
          <w:tcPr>
            <w:tcW w:w="3325" w:type="dxa"/>
          </w:tcPr>
          <w:p w14:paraId="2D30B659" w14:textId="77777777" w:rsidR="00A720EB" w:rsidRDefault="0030286B">
            <w:pPr>
              <w:pStyle w:val="TableParagraph"/>
              <w:rPr>
                <w:sz w:val="21"/>
              </w:rPr>
            </w:pPr>
            <w:proofErr w:type="gramStart"/>
            <w:r>
              <w:rPr>
                <w:color w:val="B02045"/>
                <w:sz w:val="21"/>
              </w:rPr>
              <w:t>io.netty</w:t>
            </w:r>
            <w:proofErr w:type="gramEnd"/>
          </w:p>
        </w:tc>
        <w:tc>
          <w:tcPr>
            <w:tcW w:w="3325" w:type="dxa"/>
          </w:tcPr>
          <w:p w14:paraId="40D03C7D" w14:textId="77777777" w:rsidR="00A720EB" w:rsidRDefault="0030286B">
            <w:pPr>
              <w:pStyle w:val="TableParagraph"/>
              <w:rPr>
                <w:sz w:val="21"/>
              </w:rPr>
            </w:pPr>
            <w:r>
              <w:rPr>
                <w:color w:val="B02045"/>
                <w:sz w:val="21"/>
              </w:rPr>
              <w:t>netty-codec-dns</w:t>
            </w:r>
          </w:p>
        </w:tc>
        <w:tc>
          <w:tcPr>
            <w:tcW w:w="3325" w:type="dxa"/>
          </w:tcPr>
          <w:p w14:paraId="0FAD5E2E"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75694616" w14:textId="77777777">
        <w:trPr>
          <w:trHeight w:val="368"/>
        </w:trPr>
        <w:tc>
          <w:tcPr>
            <w:tcW w:w="3325" w:type="dxa"/>
          </w:tcPr>
          <w:p w14:paraId="4B3B329B" w14:textId="77777777" w:rsidR="00A720EB" w:rsidRDefault="0030286B">
            <w:pPr>
              <w:pStyle w:val="TableParagraph"/>
              <w:rPr>
                <w:sz w:val="21"/>
              </w:rPr>
            </w:pPr>
            <w:proofErr w:type="gramStart"/>
            <w:r>
              <w:rPr>
                <w:color w:val="B02045"/>
                <w:sz w:val="21"/>
              </w:rPr>
              <w:t>io.netty</w:t>
            </w:r>
            <w:proofErr w:type="gramEnd"/>
          </w:p>
        </w:tc>
        <w:tc>
          <w:tcPr>
            <w:tcW w:w="3325" w:type="dxa"/>
          </w:tcPr>
          <w:p w14:paraId="3911498A" w14:textId="77777777" w:rsidR="00A720EB" w:rsidRDefault="0030286B">
            <w:pPr>
              <w:pStyle w:val="TableParagraph"/>
              <w:rPr>
                <w:sz w:val="21"/>
              </w:rPr>
            </w:pPr>
            <w:r>
              <w:rPr>
                <w:color w:val="B02045"/>
                <w:sz w:val="21"/>
              </w:rPr>
              <w:t>netty-codec-haproxy</w:t>
            </w:r>
          </w:p>
        </w:tc>
        <w:tc>
          <w:tcPr>
            <w:tcW w:w="3325" w:type="dxa"/>
          </w:tcPr>
          <w:p w14:paraId="673EF5D1"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67111195" w14:textId="77777777">
        <w:trPr>
          <w:trHeight w:val="368"/>
        </w:trPr>
        <w:tc>
          <w:tcPr>
            <w:tcW w:w="3325" w:type="dxa"/>
          </w:tcPr>
          <w:p w14:paraId="62B2C129"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7EA935CE" w14:textId="77777777" w:rsidR="00A720EB" w:rsidRDefault="0030286B">
            <w:pPr>
              <w:pStyle w:val="TableParagraph"/>
              <w:spacing w:before="37"/>
              <w:rPr>
                <w:sz w:val="21"/>
              </w:rPr>
            </w:pPr>
            <w:r>
              <w:rPr>
                <w:color w:val="B02045"/>
                <w:sz w:val="21"/>
              </w:rPr>
              <w:t>netty-codec-http</w:t>
            </w:r>
          </w:p>
        </w:tc>
        <w:tc>
          <w:tcPr>
            <w:tcW w:w="3325" w:type="dxa"/>
          </w:tcPr>
          <w:p w14:paraId="3C821FF7"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07026219" w14:textId="77777777">
        <w:trPr>
          <w:trHeight w:val="368"/>
        </w:trPr>
        <w:tc>
          <w:tcPr>
            <w:tcW w:w="3325" w:type="dxa"/>
          </w:tcPr>
          <w:p w14:paraId="14DC6C94"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673E2F5F" w14:textId="77777777" w:rsidR="00A720EB" w:rsidRDefault="0030286B">
            <w:pPr>
              <w:pStyle w:val="TableParagraph"/>
              <w:spacing w:before="37"/>
              <w:rPr>
                <w:sz w:val="21"/>
              </w:rPr>
            </w:pPr>
            <w:r>
              <w:rPr>
                <w:color w:val="B02045"/>
                <w:sz w:val="21"/>
              </w:rPr>
              <w:t>netty-codec-http2</w:t>
            </w:r>
          </w:p>
        </w:tc>
        <w:tc>
          <w:tcPr>
            <w:tcW w:w="3325" w:type="dxa"/>
          </w:tcPr>
          <w:p w14:paraId="57AC45E6"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2B79F425" w14:textId="77777777">
        <w:trPr>
          <w:trHeight w:val="368"/>
        </w:trPr>
        <w:tc>
          <w:tcPr>
            <w:tcW w:w="3325" w:type="dxa"/>
          </w:tcPr>
          <w:p w14:paraId="017A0EE2" w14:textId="77777777" w:rsidR="00A720EB" w:rsidRDefault="0030286B">
            <w:pPr>
              <w:pStyle w:val="TableParagraph"/>
              <w:rPr>
                <w:sz w:val="21"/>
              </w:rPr>
            </w:pPr>
            <w:proofErr w:type="gramStart"/>
            <w:r>
              <w:rPr>
                <w:color w:val="B02045"/>
                <w:sz w:val="21"/>
              </w:rPr>
              <w:t>io.netty</w:t>
            </w:r>
            <w:proofErr w:type="gramEnd"/>
          </w:p>
        </w:tc>
        <w:tc>
          <w:tcPr>
            <w:tcW w:w="3325" w:type="dxa"/>
          </w:tcPr>
          <w:p w14:paraId="4299B79D" w14:textId="77777777" w:rsidR="00A720EB" w:rsidRDefault="0030286B">
            <w:pPr>
              <w:pStyle w:val="TableParagraph"/>
              <w:rPr>
                <w:sz w:val="21"/>
              </w:rPr>
            </w:pPr>
            <w:r>
              <w:rPr>
                <w:color w:val="B02045"/>
                <w:sz w:val="21"/>
              </w:rPr>
              <w:t>netty-codec-memcache</w:t>
            </w:r>
          </w:p>
        </w:tc>
        <w:tc>
          <w:tcPr>
            <w:tcW w:w="3325" w:type="dxa"/>
          </w:tcPr>
          <w:p w14:paraId="1E25CEC4"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5E5A09AC" w14:textId="77777777">
        <w:trPr>
          <w:trHeight w:val="368"/>
        </w:trPr>
        <w:tc>
          <w:tcPr>
            <w:tcW w:w="3325" w:type="dxa"/>
          </w:tcPr>
          <w:p w14:paraId="0097F91A" w14:textId="77777777" w:rsidR="00A720EB" w:rsidRDefault="0030286B">
            <w:pPr>
              <w:pStyle w:val="TableParagraph"/>
              <w:rPr>
                <w:sz w:val="21"/>
              </w:rPr>
            </w:pPr>
            <w:proofErr w:type="gramStart"/>
            <w:r>
              <w:rPr>
                <w:color w:val="B02045"/>
                <w:sz w:val="21"/>
              </w:rPr>
              <w:t>io.netty</w:t>
            </w:r>
            <w:proofErr w:type="gramEnd"/>
          </w:p>
        </w:tc>
        <w:tc>
          <w:tcPr>
            <w:tcW w:w="3325" w:type="dxa"/>
          </w:tcPr>
          <w:p w14:paraId="613BFCC3" w14:textId="77777777" w:rsidR="00A720EB" w:rsidRDefault="0030286B">
            <w:pPr>
              <w:pStyle w:val="TableParagraph"/>
              <w:rPr>
                <w:sz w:val="21"/>
              </w:rPr>
            </w:pPr>
            <w:r>
              <w:rPr>
                <w:color w:val="B02045"/>
                <w:sz w:val="21"/>
              </w:rPr>
              <w:t>netty-codec-mqtt</w:t>
            </w:r>
          </w:p>
        </w:tc>
        <w:tc>
          <w:tcPr>
            <w:tcW w:w="3325" w:type="dxa"/>
          </w:tcPr>
          <w:p w14:paraId="555CA606"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1E2CF888" w14:textId="77777777">
        <w:trPr>
          <w:trHeight w:val="368"/>
        </w:trPr>
        <w:tc>
          <w:tcPr>
            <w:tcW w:w="3325" w:type="dxa"/>
          </w:tcPr>
          <w:p w14:paraId="3F31EEFD"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79AA4223" w14:textId="77777777" w:rsidR="00A720EB" w:rsidRDefault="0030286B">
            <w:pPr>
              <w:pStyle w:val="TableParagraph"/>
              <w:spacing w:before="37"/>
              <w:rPr>
                <w:sz w:val="21"/>
              </w:rPr>
            </w:pPr>
            <w:r>
              <w:rPr>
                <w:color w:val="B02045"/>
                <w:sz w:val="21"/>
              </w:rPr>
              <w:t>netty-codec-redis</w:t>
            </w:r>
          </w:p>
        </w:tc>
        <w:tc>
          <w:tcPr>
            <w:tcW w:w="3325" w:type="dxa"/>
          </w:tcPr>
          <w:p w14:paraId="13B83DF1"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43746C08" w14:textId="77777777">
        <w:trPr>
          <w:trHeight w:val="368"/>
        </w:trPr>
        <w:tc>
          <w:tcPr>
            <w:tcW w:w="3325" w:type="dxa"/>
          </w:tcPr>
          <w:p w14:paraId="3E4732CD"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4C74C18E" w14:textId="77777777" w:rsidR="00A720EB" w:rsidRDefault="0030286B">
            <w:pPr>
              <w:pStyle w:val="TableParagraph"/>
              <w:spacing w:before="37"/>
              <w:rPr>
                <w:sz w:val="21"/>
              </w:rPr>
            </w:pPr>
            <w:r>
              <w:rPr>
                <w:color w:val="B02045"/>
                <w:sz w:val="21"/>
              </w:rPr>
              <w:t>netty-codec-smtp</w:t>
            </w:r>
          </w:p>
        </w:tc>
        <w:tc>
          <w:tcPr>
            <w:tcW w:w="3325" w:type="dxa"/>
          </w:tcPr>
          <w:p w14:paraId="363251AF"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3976F6DF" w14:textId="77777777">
        <w:trPr>
          <w:trHeight w:val="368"/>
        </w:trPr>
        <w:tc>
          <w:tcPr>
            <w:tcW w:w="3325" w:type="dxa"/>
          </w:tcPr>
          <w:p w14:paraId="6461575B" w14:textId="77777777" w:rsidR="00A720EB" w:rsidRDefault="0030286B">
            <w:pPr>
              <w:pStyle w:val="TableParagraph"/>
              <w:rPr>
                <w:sz w:val="21"/>
              </w:rPr>
            </w:pPr>
            <w:proofErr w:type="gramStart"/>
            <w:r>
              <w:rPr>
                <w:color w:val="B02045"/>
                <w:sz w:val="21"/>
              </w:rPr>
              <w:t>io.netty</w:t>
            </w:r>
            <w:proofErr w:type="gramEnd"/>
          </w:p>
        </w:tc>
        <w:tc>
          <w:tcPr>
            <w:tcW w:w="3325" w:type="dxa"/>
          </w:tcPr>
          <w:p w14:paraId="05611FD8" w14:textId="77777777" w:rsidR="00A720EB" w:rsidRDefault="0030286B">
            <w:pPr>
              <w:pStyle w:val="TableParagraph"/>
              <w:rPr>
                <w:sz w:val="21"/>
              </w:rPr>
            </w:pPr>
            <w:r>
              <w:rPr>
                <w:color w:val="B02045"/>
                <w:sz w:val="21"/>
              </w:rPr>
              <w:t>netty-codec-socks</w:t>
            </w:r>
          </w:p>
        </w:tc>
        <w:tc>
          <w:tcPr>
            <w:tcW w:w="3325" w:type="dxa"/>
          </w:tcPr>
          <w:p w14:paraId="7A0F5684"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421B1E48" w14:textId="77777777">
        <w:trPr>
          <w:trHeight w:val="368"/>
        </w:trPr>
        <w:tc>
          <w:tcPr>
            <w:tcW w:w="3325" w:type="dxa"/>
          </w:tcPr>
          <w:p w14:paraId="23E998AA"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53926874" w14:textId="77777777" w:rsidR="00A720EB" w:rsidRDefault="0030286B">
            <w:pPr>
              <w:pStyle w:val="TableParagraph"/>
              <w:spacing w:before="37"/>
              <w:rPr>
                <w:sz w:val="21"/>
              </w:rPr>
            </w:pPr>
            <w:r>
              <w:rPr>
                <w:color w:val="B02045"/>
                <w:sz w:val="21"/>
              </w:rPr>
              <w:t>netty-codec-stomp</w:t>
            </w:r>
          </w:p>
        </w:tc>
        <w:tc>
          <w:tcPr>
            <w:tcW w:w="3325" w:type="dxa"/>
          </w:tcPr>
          <w:p w14:paraId="32BE1AE9"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5C07F1BF" w14:textId="77777777">
        <w:trPr>
          <w:trHeight w:val="368"/>
        </w:trPr>
        <w:tc>
          <w:tcPr>
            <w:tcW w:w="3325" w:type="dxa"/>
          </w:tcPr>
          <w:p w14:paraId="25658E7E" w14:textId="77777777" w:rsidR="00A720EB" w:rsidRDefault="0030286B">
            <w:pPr>
              <w:pStyle w:val="TableParagraph"/>
              <w:rPr>
                <w:sz w:val="21"/>
              </w:rPr>
            </w:pPr>
            <w:proofErr w:type="gramStart"/>
            <w:r>
              <w:rPr>
                <w:color w:val="B02045"/>
                <w:sz w:val="21"/>
              </w:rPr>
              <w:t>io.netty</w:t>
            </w:r>
            <w:proofErr w:type="gramEnd"/>
          </w:p>
        </w:tc>
        <w:tc>
          <w:tcPr>
            <w:tcW w:w="3325" w:type="dxa"/>
          </w:tcPr>
          <w:p w14:paraId="4418458D" w14:textId="77777777" w:rsidR="00A720EB" w:rsidRDefault="0030286B">
            <w:pPr>
              <w:pStyle w:val="TableParagraph"/>
              <w:rPr>
                <w:sz w:val="21"/>
              </w:rPr>
            </w:pPr>
            <w:r>
              <w:rPr>
                <w:color w:val="B02045"/>
                <w:sz w:val="21"/>
              </w:rPr>
              <w:t>netty-codec-xml</w:t>
            </w:r>
          </w:p>
        </w:tc>
        <w:tc>
          <w:tcPr>
            <w:tcW w:w="3325" w:type="dxa"/>
          </w:tcPr>
          <w:p w14:paraId="7230FA87"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2F06B7B6" w14:textId="77777777">
        <w:trPr>
          <w:trHeight w:val="368"/>
        </w:trPr>
        <w:tc>
          <w:tcPr>
            <w:tcW w:w="3325" w:type="dxa"/>
          </w:tcPr>
          <w:p w14:paraId="37D20B06"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0FFDA878" w14:textId="77777777" w:rsidR="00A720EB" w:rsidRDefault="0030286B">
            <w:pPr>
              <w:pStyle w:val="TableParagraph"/>
              <w:spacing w:before="37"/>
              <w:rPr>
                <w:sz w:val="21"/>
              </w:rPr>
            </w:pPr>
            <w:r>
              <w:rPr>
                <w:color w:val="B02045"/>
                <w:sz w:val="21"/>
              </w:rPr>
              <w:t>netty-common</w:t>
            </w:r>
          </w:p>
        </w:tc>
        <w:tc>
          <w:tcPr>
            <w:tcW w:w="3325" w:type="dxa"/>
          </w:tcPr>
          <w:p w14:paraId="1134BB6B"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6901D13D" w14:textId="77777777">
        <w:trPr>
          <w:trHeight w:val="368"/>
        </w:trPr>
        <w:tc>
          <w:tcPr>
            <w:tcW w:w="3325" w:type="dxa"/>
          </w:tcPr>
          <w:p w14:paraId="2FC291AB" w14:textId="77777777" w:rsidR="00A720EB" w:rsidRDefault="0030286B">
            <w:pPr>
              <w:pStyle w:val="TableParagraph"/>
              <w:rPr>
                <w:sz w:val="21"/>
              </w:rPr>
            </w:pPr>
            <w:proofErr w:type="gramStart"/>
            <w:r>
              <w:rPr>
                <w:color w:val="B02045"/>
                <w:sz w:val="21"/>
              </w:rPr>
              <w:t>io.netty</w:t>
            </w:r>
            <w:proofErr w:type="gramEnd"/>
          </w:p>
        </w:tc>
        <w:tc>
          <w:tcPr>
            <w:tcW w:w="3325" w:type="dxa"/>
          </w:tcPr>
          <w:p w14:paraId="565B0AB6" w14:textId="77777777" w:rsidR="00A720EB" w:rsidRDefault="0030286B">
            <w:pPr>
              <w:pStyle w:val="TableParagraph"/>
              <w:rPr>
                <w:sz w:val="21"/>
              </w:rPr>
            </w:pPr>
            <w:r>
              <w:rPr>
                <w:color w:val="B02045"/>
                <w:sz w:val="21"/>
              </w:rPr>
              <w:t>netty-dev-tools</w:t>
            </w:r>
          </w:p>
        </w:tc>
        <w:tc>
          <w:tcPr>
            <w:tcW w:w="3325" w:type="dxa"/>
          </w:tcPr>
          <w:p w14:paraId="7DB6CDCB"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2EA0BC1D" w14:textId="77777777">
        <w:trPr>
          <w:trHeight w:val="368"/>
        </w:trPr>
        <w:tc>
          <w:tcPr>
            <w:tcW w:w="3325" w:type="dxa"/>
          </w:tcPr>
          <w:p w14:paraId="05C511F7"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744EED6B" w14:textId="77777777" w:rsidR="00A720EB" w:rsidRDefault="0030286B">
            <w:pPr>
              <w:pStyle w:val="TableParagraph"/>
              <w:spacing w:before="37"/>
              <w:rPr>
                <w:sz w:val="21"/>
              </w:rPr>
            </w:pPr>
            <w:r>
              <w:rPr>
                <w:color w:val="B02045"/>
                <w:sz w:val="21"/>
              </w:rPr>
              <w:t>netty-example</w:t>
            </w:r>
          </w:p>
        </w:tc>
        <w:tc>
          <w:tcPr>
            <w:tcW w:w="3325" w:type="dxa"/>
          </w:tcPr>
          <w:p w14:paraId="12F72706"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16148BCB" w14:textId="77777777">
        <w:trPr>
          <w:trHeight w:val="368"/>
        </w:trPr>
        <w:tc>
          <w:tcPr>
            <w:tcW w:w="3325" w:type="dxa"/>
          </w:tcPr>
          <w:p w14:paraId="675D8172" w14:textId="77777777" w:rsidR="00A720EB" w:rsidRDefault="0030286B">
            <w:pPr>
              <w:pStyle w:val="TableParagraph"/>
              <w:rPr>
                <w:sz w:val="21"/>
              </w:rPr>
            </w:pPr>
            <w:proofErr w:type="gramStart"/>
            <w:r>
              <w:rPr>
                <w:color w:val="B02045"/>
                <w:sz w:val="21"/>
              </w:rPr>
              <w:t>io.netty</w:t>
            </w:r>
            <w:proofErr w:type="gramEnd"/>
          </w:p>
        </w:tc>
        <w:tc>
          <w:tcPr>
            <w:tcW w:w="3325" w:type="dxa"/>
          </w:tcPr>
          <w:p w14:paraId="093BD540" w14:textId="77777777" w:rsidR="00A720EB" w:rsidRDefault="0030286B">
            <w:pPr>
              <w:pStyle w:val="TableParagraph"/>
              <w:rPr>
                <w:sz w:val="21"/>
              </w:rPr>
            </w:pPr>
            <w:r>
              <w:rPr>
                <w:color w:val="B02045"/>
                <w:sz w:val="21"/>
              </w:rPr>
              <w:t>netty-handler</w:t>
            </w:r>
          </w:p>
        </w:tc>
        <w:tc>
          <w:tcPr>
            <w:tcW w:w="3325" w:type="dxa"/>
          </w:tcPr>
          <w:p w14:paraId="57709BC4"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441DDD21" w14:textId="77777777">
        <w:trPr>
          <w:trHeight w:val="368"/>
        </w:trPr>
        <w:tc>
          <w:tcPr>
            <w:tcW w:w="3325" w:type="dxa"/>
          </w:tcPr>
          <w:p w14:paraId="2D439934" w14:textId="77777777" w:rsidR="00A720EB" w:rsidRDefault="0030286B">
            <w:pPr>
              <w:pStyle w:val="TableParagraph"/>
              <w:rPr>
                <w:sz w:val="21"/>
              </w:rPr>
            </w:pPr>
            <w:proofErr w:type="gramStart"/>
            <w:r>
              <w:rPr>
                <w:color w:val="B02045"/>
                <w:sz w:val="21"/>
              </w:rPr>
              <w:t>io.netty</w:t>
            </w:r>
            <w:proofErr w:type="gramEnd"/>
          </w:p>
        </w:tc>
        <w:tc>
          <w:tcPr>
            <w:tcW w:w="3325" w:type="dxa"/>
          </w:tcPr>
          <w:p w14:paraId="15592B0C" w14:textId="77777777" w:rsidR="00A720EB" w:rsidRDefault="0030286B">
            <w:pPr>
              <w:pStyle w:val="TableParagraph"/>
              <w:rPr>
                <w:sz w:val="21"/>
              </w:rPr>
            </w:pPr>
            <w:r>
              <w:rPr>
                <w:color w:val="B02045"/>
                <w:sz w:val="21"/>
              </w:rPr>
              <w:t>netty-handler-proxy</w:t>
            </w:r>
          </w:p>
        </w:tc>
        <w:tc>
          <w:tcPr>
            <w:tcW w:w="3325" w:type="dxa"/>
          </w:tcPr>
          <w:p w14:paraId="18D525F5"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06B57D63" w14:textId="77777777">
        <w:trPr>
          <w:trHeight w:val="368"/>
        </w:trPr>
        <w:tc>
          <w:tcPr>
            <w:tcW w:w="3325" w:type="dxa"/>
          </w:tcPr>
          <w:p w14:paraId="48B90C83" w14:textId="77777777" w:rsidR="00A720EB" w:rsidRDefault="0030286B">
            <w:pPr>
              <w:pStyle w:val="TableParagraph"/>
              <w:rPr>
                <w:sz w:val="21"/>
              </w:rPr>
            </w:pPr>
            <w:proofErr w:type="gramStart"/>
            <w:r>
              <w:rPr>
                <w:color w:val="B02045"/>
                <w:sz w:val="21"/>
              </w:rPr>
              <w:t>io.netty</w:t>
            </w:r>
            <w:proofErr w:type="gramEnd"/>
          </w:p>
        </w:tc>
        <w:tc>
          <w:tcPr>
            <w:tcW w:w="3325" w:type="dxa"/>
          </w:tcPr>
          <w:p w14:paraId="7E21C90A" w14:textId="77777777" w:rsidR="00A720EB" w:rsidRDefault="0030286B">
            <w:pPr>
              <w:pStyle w:val="TableParagraph"/>
              <w:rPr>
                <w:sz w:val="21"/>
              </w:rPr>
            </w:pPr>
            <w:r>
              <w:rPr>
                <w:color w:val="B02045"/>
                <w:sz w:val="21"/>
              </w:rPr>
              <w:t>netty-resolver</w:t>
            </w:r>
          </w:p>
        </w:tc>
        <w:tc>
          <w:tcPr>
            <w:tcW w:w="3325" w:type="dxa"/>
          </w:tcPr>
          <w:p w14:paraId="712A8176"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51541303" w14:textId="77777777">
        <w:trPr>
          <w:trHeight w:val="368"/>
        </w:trPr>
        <w:tc>
          <w:tcPr>
            <w:tcW w:w="3325" w:type="dxa"/>
          </w:tcPr>
          <w:p w14:paraId="7B97F9A1" w14:textId="77777777" w:rsidR="00A720EB" w:rsidRDefault="0030286B">
            <w:pPr>
              <w:pStyle w:val="TableParagraph"/>
              <w:rPr>
                <w:sz w:val="21"/>
              </w:rPr>
            </w:pPr>
            <w:proofErr w:type="gramStart"/>
            <w:r>
              <w:rPr>
                <w:color w:val="B02045"/>
                <w:sz w:val="21"/>
              </w:rPr>
              <w:t>io.netty</w:t>
            </w:r>
            <w:proofErr w:type="gramEnd"/>
          </w:p>
        </w:tc>
        <w:tc>
          <w:tcPr>
            <w:tcW w:w="3325" w:type="dxa"/>
          </w:tcPr>
          <w:p w14:paraId="10509E50" w14:textId="77777777" w:rsidR="00A720EB" w:rsidRDefault="0030286B">
            <w:pPr>
              <w:pStyle w:val="TableParagraph"/>
              <w:rPr>
                <w:sz w:val="21"/>
              </w:rPr>
            </w:pPr>
            <w:r>
              <w:rPr>
                <w:color w:val="B02045"/>
                <w:sz w:val="21"/>
              </w:rPr>
              <w:t>netty-resolver-dns</w:t>
            </w:r>
          </w:p>
        </w:tc>
        <w:tc>
          <w:tcPr>
            <w:tcW w:w="3325" w:type="dxa"/>
          </w:tcPr>
          <w:p w14:paraId="7FD60A3F"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bl>
    <w:p w14:paraId="216A4B4F"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7BB3F120" w14:textId="77777777">
        <w:trPr>
          <w:trHeight w:val="415"/>
        </w:trPr>
        <w:tc>
          <w:tcPr>
            <w:tcW w:w="3325" w:type="dxa"/>
            <w:tcBorders>
              <w:bottom w:val="single" w:sz="12" w:space="0" w:color="DDDDDD"/>
            </w:tcBorders>
          </w:tcPr>
          <w:p w14:paraId="05D7DAC9"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44F116A1"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6FFDEE82"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102F0820" w14:textId="77777777">
        <w:trPr>
          <w:trHeight w:val="617"/>
        </w:trPr>
        <w:tc>
          <w:tcPr>
            <w:tcW w:w="3325" w:type="dxa"/>
            <w:tcBorders>
              <w:top w:val="single" w:sz="12" w:space="0" w:color="DDDDDD"/>
            </w:tcBorders>
          </w:tcPr>
          <w:p w14:paraId="41365B3A" w14:textId="77777777" w:rsidR="00A720EB" w:rsidRDefault="0030286B">
            <w:pPr>
              <w:pStyle w:val="TableParagraph"/>
              <w:spacing w:before="27"/>
              <w:rPr>
                <w:sz w:val="21"/>
              </w:rPr>
            </w:pPr>
            <w:proofErr w:type="gramStart"/>
            <w:r>
              <w:rPr>
                <w:color w:val="B02045"/>
                <w:sz w:val="21"/>
              </w:rPr>
              <w:t>io.netty</w:t>
            </w:r>
            <w:proofErr w:type="gramEnd"/>
          </w:p>
        </w:tc>
        <w:tc>
          <w:tcPr>
            <w:tcW w:w="3325" w:type="dxa"/>
            <w:tcBorders>
              <w:top w:val="single" w:sz="12" w:space="0" w:color="DDDDDD"/>
            </w:tcBorders>
          </w:tcPr>
          <w:p w14:paraId="5D568A9F" w14:textId="77777777" w:rsidR="00A720EB" w:rsidRDefault="0030286B">
            <w:pPr>
              <w:pStyle w:val="TableParagraph"/>
              <w:spacing w:before="36" w:line="230" w:lineRule="auto"/>
              <w:ind w:right="505"/>
              <w:rPr>
                <w:sz w:val="21"/>
              </w:rPr>
            </w:pPr>
            <w:r>
              <w:rPr>
                <w:color w:val="B02045"/>
                <w:sz w:val="21"/>
              </w:rPr>
              <w:t>netty-resolver-dns-native- macos</w:t>
            </w:r>
          </w:p>
        </w:tc>
        <w:tc>
          <w:tcPr>
            <w:tcW w:w="3325" w:type="dxa"/>
            <w:tcBorders>
              <w:top w:val="single" w:sz="12" w:space="0" w:color="DDDDDD"/>
            </w:tcBorders>
          </w:tcPr>
          <w:p w14:paraId="5C10EBB3" w14:textId="77777777" w:rsidR="00A720EB" w:rsidRDefault="0030286B">
            <w:pPr>
              <w:pStyle w:val="TableParagraph"/>
              <w:spacing w:before="27"/>
              <w:rPr>
                <w:sz w:val="21"/>
              </w:rPr>
            </w:pPr>
            <w:r>
              <w:rPr>
                <w:color w:val="B02045"/>
                <w:sz w:val="21"/>
              </w:rPr>
              <w:t>4.1.</w:t>
            </w:r>
            <w:proofErr w:type="gramStart"/>
            <w:r>
              <w:rPr>
                <w:color w:val="B02045"/>
                <w:sz w:val="21"/>
              </w:rPr>
              <w:t>52.Final</w:t>
            </w:r>
            <w:proofErr w:type="gramEnd"/>
          </w:p>
        </w:tc>
      </w:tr>
      <w:tr w:rsidR="00A720EB" w14:paraId="33DC2070" w14:textId="77777777">
        <w:trPr>
          <w:trHeight w:val="627"/>
        </w:trPr>
        <w:tc>
          <w:tcPr>
            <w:tcW w:w="3325" w:type="dxa"/>
          </w:tcPr>
          <w:p w14:paraId="77575BC9"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6D6915A5" w14:textId="77777777" w:rsidR="00A720EB" w:rsidRDefault="0030286B">
            <w:pPr>
              <w:pStyle w:val="TableParagraph"/>
              <w:spacing w:before="46" w:line="230" w:lineRule="auto"/>
              <w:ind w:right="610"/>
              <w:rPr>
                <w:sz w:val="21"/>
              </w:rPr>
            </w:pPr>
            <w:r>
              <w:rPr>
                <w:color w:val="B02045"/>
                <w:sz w:val="21"/>
              </w:rPr>
              <w:t>netty-tcnative-boringssl- static</w:t>
            </w:r>
          </w:p>
        </w:tc>
        <w:tc>
          <w:tcPr>
            <w:tcW w:w="3325" w:type="dxa"/>
          </w:tcPr>
          <w:p w14:paraId="73703CDF" w14:textId="77777777" w:rsidR="00A720EB" w:rsidRDefault="0030286B">
            <w:pPr>
              <w:pStyle w:val="TableParagraph"/>
              <w:spacing w:before="37"/>
              <w:rPr>
                <w:sz w:val="21"/>
              </w:rPr>
            </w:pPr>
            <w:r>
              <w:rPr>
                <w:color w:val="B02045"/>
                <w:sz w:val="21"/>
              </w:rPr>
              <w:t>2.0.</w:t>
            </w:r>
            <w:proofErr w:type="gramStart"/>
            <w:r>
              <w:rPr>
                <w:color w:val="B02045"/>
                <w:sz w:val="21"/>
              </w:rPr>
              <w:t>34.Final</w:t>
            </w:r>
            <w:proofErr w:type="gramEnd"/>
          </w:p>
        </w:tc>
      </w:tr>
      <w:tr w:rsidR="00A720EB" w14:paraId="600113B4" w14:textId="77777777">
        <w:trPr>
          <w:trHeight w:val="368"/>
        </w:trPr>
        <w:tc>
          <w:tcPr>
            <w:tcW w:w="3325" w:type="dxa"/>
          </w:tcPr>
          <w:p w14:paraId="1ED5320B" w14:textId="77777777" w:rsidR="00A720EB" w:rsidRDefault="0030286B">
            <w:pPr>
              <w:pStyle w:val="TableParagraph"/>
              <w:rPr>
                <w:sz w:val="21"/>
              </w:rPr>
            </w:pPr>
            <w:proofErr w:type="gramStart"/>
            <w:r>
              <w:rPr>
                <w:color w:val="B02045"/>
                <w:sz w:val="21"/>
              </w:rPr>
              <w:t>io.netty</w:t>
            </w:r>
            <w:proofErr w:type="gramEnd"/>
          </w:p>
        </w:tc>
        <w:tc>
          <w:tcPr>
            <w:tcW w:w="3325" w:type="dxa"/>
          </w:tcPr>
          <w:p w14:paraId="73EDA32A" w14:textId="77777777" w:rsidR="00A720EB" w:rsidRDefault="0030286B">
            <w:pPr>
              <w:pStyle w:val="TableParagraph"/>
              <w:rPr>
                <w:sz w:val="21"/>
              </w:rPr>
            </w:pPr>
            <w:r>
              <w:rPr>
                <w:color w:val="B02045"/>
                <w:sz w:val="21"/>
              </w:rPr>
              <w:t>netty-transport</w:t>
            </w:r>
          </w:p>
        </w:tc>
        <w:tc>
          <w:tcPr>
            <w:tcW w:w="3325" w:type="dxa"/>
          </w:tcPr>
          <w:p w14:paraId="7E9973EC"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1BEAD7F9" w14:textId="77777777">
        <w:trPr>
          <w:trHeight w:val="368"/>
        </w:trPr>
        <w:tc>
          <w:tcPr>
            <w:tcW w:w="3325" w:type="dxa"/>
          </w:tcPr>
          <w:p w14:paraId="245DBAAE" w14:textId="77777777" w:rsidR="00A720EB" w:rsidRDefault="0030286B">
            <w:pPr>
              <w:pStyle w:val="TableParagraph"/>
              <w:rPr>
                <w:sz w:val="21"/>
              </w:rPr>
            </w:pPr>
            <w:proofErr w:type="gramStart"/>
            <w:r>
              <w:rPr>
                <w:color w:val="B02045"/>
                <w:sz w:val="21"/>
              </w:rPr>
              <w:t>io.netty</w:t>
            </w:r>
            <w:proofErr w:type="gramEnd"/>
          </w:p>
        </w:tc>
        <w:tc>
          <w:tcPr>
            <w:tcW w:w="3325" w:type="dxa"/>
          </w:tcPr>
          <w:p w14:paraId="3ACF7A55" w14:textId="77777777" w:rsidR="00A720EB" w:rsidRDefault="0030286B">
            <w:pPr>
              <w:pStyle w:val="TableParagraph"/>
              <w:rPr>
                <w:sz w:val="21"/>
              </w:rPr>
            </w:pPr>
            <w:r>
              <w:rPr>
                <w:color w:val="B02045"/>
                <w:sz w:val="21"/>
              </w:rPr>
              <w:t>netty-transport-native-epoll</w:t>
            </w:r>
          </w:p>
        </w:tc>
        <w:tc>
          <w:tcPr>
            <w:tcW w:w="3325" w:type="dxa"/>
          </w:tcPr>
          <w:p w14:paraId="4494CF8B"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14F6B6CA" w14:textId="77777777">
        <w:trPr>
          <w:trHeight w:val="368"/>
        </w:trPr>
        <w:tc>
          <w:tcPr>
            <w:tcW w:w="3325" w:type="dxa"/>
          </w:tcPr>
          <w:p w14:paraId="1B6C2215" w14:textId="77777777" w:rsidR="00A720EB" w:rsidRDefault="0030286B">
            <w:pPr>
              <w:pStyle w:val="TableParagraph"/>
              <w:rPr>
                <w:sz w:val="21"/>
              </w:rPr>
            </w:pPr>
            <w:proofErr w:type="gramStart"/>
            <w:r>
              <w:rPr>
                <w:color w:val="B02045"/>
                <w:sz w:val="21"/>
              </w:rPr>
              <w:t>io.netty</w:t>
            </w:r>
            <w:proofErr w:type="gramEnd"/>
          </w:p>
        </w:tc>
        <w:tc>
          <w:tcPr>
            <w:tcW w:w="3325" w:type="dxa"/>
          </w:tcPr>
          <w:p w14:paraId="1E644311" w14:textId="77777777" w:rsidR="00A720EB" w:rsidRDefault="0030286B">
            <w:pPr>
              <w:pStyle w:val="TableParagraph"/>
              <w:rPr>
                <w:sz w:val="21"/>
              </w:rPr>
            </w:pPr>
            <w:r>
              <w:rPr>
                <w:color w:val="B02045"/>
                <w:sz w:val="21"/>
              </w:rPr>
              <w:t>netty-transport-native-kqueue</w:t>
            </w:r>
          </w:p>
        </w:tc>
        <w:tc>
          <w:tcPr>
            <w:tcW w:w="3325" w:type="dxa"/>
          </w:tcPr>
          <w:p w14:paraId="076DA8F0"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066CD6C9" w14:textId="77777777">
        <w:trPr>
          <w:trHeight w:val="627"/>
        </w:trPr>
        <w:tc>
          <w:tcPr>
            <w:tcW w:w="3325" w:type="dxa"/>
          </w:tcPr>
          <w:p w14:paraId="57CF0E51"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3D651656" w14:textId="77777777" w:rsidR="00A720EB" w:rsidRDefault="0030286B">
            <w:pPr>
              <w:pStyle w:val="TableParagraph"/>
              <w:spacing w:before="46" w:line="230" w:lineRule="auto"/>
              <w:ind w:right="295"/>
              <w:rPr>
                <w:sz w:val="21"/>
              </w:rPr>
            </w:pPr>
            <w:r>
              <w:rPr>
                <w:color w:val="B02045"/>
                <w:sz w:val="21"/>
              </w:rPr>
              <w:t>netty-transport-native-unix- common</w:t>
            </w:r>
          </w:p>
        </w:tc>
        <w:tc>
          <w:tcPr>
            <w:tcW w:w="3325" w:type="dxa"/>
          </w:tcPr>
          <w:p w14:paraId="6A16C412"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32FFF038" w14:textId="77777777">
        <w:trPr>
          <w:trHeight w:val="368"/>
        </w:trPr>
        <w:tc>
          <w:tcPr>
            <w:tcW w:w="3325" w:type="dxa"/>
          </w:tcPr>
          <w:p w14:paraId="1878943F"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64DBE357" w14:textId="77777777" w:rsidR="00A720EB" w:rsidRDefault="0030286B">
            <w:pPr>
              <w:pStyle w:val="TableParagraph"/>
              <w:spacing w:before="37"/>
              <w:rPr>
                <w:sz w:val="21"/>
              </w:rPr>
            </w:pPr>
            <w:r>
              <w:rPr>
                <w:color w:val="B02045"/>
                <w:sz w:val="21"/>
              </w:rPr>
              <w:t>netty-transport-rxtx</w:t>
            </w:r>
          </w:p>
        </w:tc>
        <w:tc>
          <w:tcPr>
            <w:tcW w:w="3325" w:type="dxa"/>
          </w:tcPr>
          <w:p w14:paraId="62AD721F"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4FFAFEFA" w14:textId="77777777">
        <w:trPr>
          <w:trHeight w:val="368"/>
        </w:trPr>
        <w:tc>
          <w:tcPr>
            <w:tcW w:w="3325" w:type="dxa"/>
          </w:tcPr>
          <w:p w14:paraId="1FAF6FD5" w14:textId="77777777" w:rsidR="00A720EB" w:rsidRDefault="0030286B">
            <w:pPr>
              <w:pStyle w:val="TableParagraph"/>
              <w:spacing w:before="37"/>
              <w:rPr>
                <w:sz w:val="21"/>
              </w:rPr>
            </w:pPr>
            <w:proofErr w:type="gramStart"/>
            <w:r>
              <w:rPr>
                <w:color w:val="B02045"/>
                <w:sz w:val="21"/>
              </w:rPr>
              <w:t>io.netty</w:t>
            </w:r>
            <w:proofErr w:type="gramEnd"/>
          </w:p>
        </w:tc>
        <w:tc>
          <w:tcPr>
            <w:tcW w:w="3325" w:type="dxa"/>
          </w:tcPr>
          <w:p w14:paraId="28620FE7" w14:textId="77777777" w:rsidR="00A720EB" w:rsidRDefault="0030286B">
            <w:pPr>
              <w:pStyle w:val="TableParagraph"/>
              <w:spacing w:before="37"/>
              <w:rPr>
                <w:sz w:val="21"/>
              </w:rPr>
            </w:pPr>
            <w:r>
              <w:rPr>
                <w:color w:val="B02045"/>
                <w:sz w:val="21"/>
              </w:rPr>
              <w:t>netty-transport-sctp</w:t>
            </w:r>
          </w:p>
        </w:tc>
        <w:tc>
          <w:tcPr>
            <w:tcW w:w="3325" w:type="dxa"/>
          </w:tcPr>
          <w:p w14:paraId="5508DC5F" w14:textId="77777777" w:rsidR="00A720EB" w:rsidRDefault="0030286B">
            <w:pPr>
              <w:pStyle w:val="TableParagraph"/>
              <w:spacing w:before="37"/>
              <w:rPr>
                <w:sz w:val="21"/>
              </w:rPr>
            </w:pPr>
            <w:r>
              <w:rPr>
                <w:color w:val="B02045"/>
                <w:sz w:val="21"/>
              </w:rPr>
              <w:t>4.1.</w:t>
            </w:r>
            <w:proofErr w:type="gramStart"/>
            <w:r>
              <w:rPr>
                <w:color w:val="B02045"/>
                <w:sz w:val="21"/>
              </w:rPr>
              <w:t>52.Final</w:t>
            </w:r>
            <w:proofErr w:type="gramEnd"/>
          </w:p>
        </w:tc>
      </w:tr>
      <w:tr w:rsidR="00A720EB" w14:paraId="282D9492" w14:textId="77777777">
        <w:trPr>
          <w:trHeight w:val="368"/>
        </w:trPr>
        <w:tc>
          <w:tcPr>
            <w:tcW w:w="3325" w:type="dxa"/>
          </w:tcPr>
          <w:p w14:paraId="6B14AE2F" w14:textId="77777777" w:rsidR="00A720EB" w:rsidRDefault="0030286B">
            <w:pPr>
              <w:pStyle w:val="TableParagraph"/>
              <w:rPr>
                <w:sz w:val="21"/>
              </w:rPr>
            </w:pPr>
            <w:proofErr w:type="gramStart"/>
            <w:r>
              <w:rPr>
                <w:color w:val="B02045"/>
                <w:sz w:val="21"/>
              </w:rPr>
              <w:t>io.netty</w:t>
            </w:r>
            <w:proofErr w:type="gramEnd"/>
          </w:p>
        </w:tc>
        <w:tc>
          <w:tcPr>
            <w:tcW w:w="3325" w:type="dxa"/>
          </w:tcPr>
          <w:p w14:paraId="136B3A76" w14:textId="77777777" w:rsidR="00A720EB" w:rsidRDefault="0030286B">
            <w:pPr>
              <w:pStyle w:val="TableParagraph"/>
              <w:rPr>
                <w:sz w:val="21"/>
              </w:rPr>
            </w:pPr>
            <w:r>
              <w:rPr>
                <w:color w:val="B02045"/>
                <w:sz w:val="21"/>
              </w:rPr>
              <w:t>netty-transport-udt</w:t>
            </w:r>
          </w:p>
        </w:tc>
        <w:tc>
          <w:tcPr>
            <w:tcW w:w="3325" w:type="dxa"/>
          </w:tcPr>
          <w:p w14:paraId="13AE7E3D" w14:textId="77777777" w:rsidR="00A720EB" w:rsidRDefault="0030286B">
            <w:pPr>
              <w:pStyle w:val="TableParagraph"/>
              <w:rPr>
                <w:sz w:val="21"/>
              </w:rPr>
            </w:pPr>
            <w:r>
              <w:rPr>
                <w:color w:val="B02045"/>
                <w:sz w:val="21"/>
              </w:rPr>
              <w:t>4.1.</w:t>
            </w:r>
            <w:proofErr w:type="gramStart"/>
            <w:r>
              <w:rPr>
                <w:color w:val="B02045"/>
                <w:sz w:val="21"/>
              </w:rPr>
              <w:t>52.Final</w:t>
            </w:r>
            <w:proofErr w:type="gramEnd"/>
          </w:p>
        </w:tc>
      </w:tr>
      <w:tr w:rsidR="00A720EB" w14:paraId="73D8CA1F" w14:textId="77777777">
        <w:trPr>
          <w:trHeight w:val="368"/>
        </w:trPr>
        <w:tc>
          <w:tcPr>
            <w:tcW w:w="3325" w:type="dxa"/>
          </w:tcPr>
          <w:p w14:paraId="77A97788" w14:textId="77777777" w:rsidR="00A720EB" w:rsidRDefault="0030286B">
            <w:pPr>
              <w:pStyle w:val="TableParagraph"/>
              <w:rPr>
                <w:sz w:val="21"/>
              </w:rPr>
            </w:pPr>
            <w:proofErr w:type="gramStart"/>
            <w:r>
              <w:rPr>
                <w:color w:val="B02045"/>
                <w:sz w:val="21"/>
              </w:rPr>
              <w:t>io.projectreactor</w:t>
            </w:r>
            <w:proofErr w:type="gramEnd"/>
          </w:p>
        </w:tc>
        <w:tc>
          <w:tcPr>
            <w:tcW w:w="3325" w:type="dxa"/>
          </w:tcPr>
          <w:p w14:paraId="3B5B9C16" w14:textId="77777777" w:rsidR="00A720EB" w:rsidRDefault="0030286B">
            <w:pPr>
              <w:pStyle w:val="TableParagraph"/>
              <w:rPr>
                <w:sz w:val="21"/>
              </w:rPr>
            </w:pPr>
            <w:r>
              <w:rPr>
                <w:color w:val="B02045"/>
                <w:sz w:val="21"/>
              </w:rPr>
              <w:t>reactor-core</w:t>
            </w:r>
          </w:p>
        </w:tc>
        <w:tc>
          <w:tcPr>
            <w:tcW w:w="3325" w:type="dxa"/>
          </w:tcPr>
          <w:p w14:paraId="447FBF40" w14:textId="77777777" w:rsidR="00A720EB" w:rsidRDefault="0030286B">
            <w:pPr>
              <w:pStyle w:val="TableParagraph"/>
              <w:rPr>
                <w:sz w:val="21"/>
              </w:rPr>
            </w:pPr>
            <w:r>
              <w:rPr>
                <w:color w:val="B02045"/>
                <w:sz w:val="21"/>
              </w:rPr>
              <w:t>3.3.</w:t>
            </w:r>
            <w:proofErr w:type="gramStart"/>
            <w:r>
              <w:rPr>
                <w:color w:val="B02045"/>
                <w:sz w:val="21"/>
              </w:rPr>
              <w:t>10.RELEASE</w:t>
            </w:r>
            <w:proofErr w:type="gramEnd"/>
          </w:p>
        </w:tc>
      </w:tr>
      <w:tr w:rsidR="00A720EB" w14:paraId="24C53C4B" w14:textId="77777777">
        <w:trPr>
          <w:trHeight w:val="368"/>
        </w:trPr>
        <w:tc>
          <w:tcPr>
            <w:tcW w:w="3325" w:type="dxa"/>
          </w:tcPr>
          <w:p w14:paraId="5ECEF93A" w14:textId="77777777" w:rsidR="00A720EB" w:rsidRDefault="0030286B">
            <w:pPr>
              <w:pStyle w:val="TableParagraph"/>
              <w:rPr>
                <w:sz w:val="21"/>
              </w:rPr>
            </w:pPr>
            <w:proofErr w:type="gramStart"/>
            <w:r>
              <w:rPr>
                <w:color w:val="B02045"/>
                <w:sz w:val="21"/>
              </w:rPr>
              <w:t>io.projectreactor</w:t>
            </w:r>
            <w:proofErr w:type="gramEnd"/>
          </w:p>
        </w:tc>
        <w:tc>
          <w:tcPr>
            <w:tcW w:w="3325" w:type="dxa"/>
          </w:tcPr>
          <w:p w14:paraId="453C0A8D" w14:textId="77777777" w:rsidR="00A720EB" w:rsidRDefault="0030286B">
            <w:pPr>
              <w:pStyle w:val="TableParagraph"/>
              <w:rPr>
                <w:sz w:val="21"/>
              </w:rPr>
            </w:pPr>
            <w:r>
              <w:rPr>
                <w:color w:val="B02045"/>
                <w:sz w:val="21"/>
              </w:rPr>
              <w:t>reactor-test</w:t>
            </w:r>
          </w:p>
        </w:tc>
        <w:tc>
          <w:tcPr>
            <w:tcW w:w="3325" w:type="dxa"/>
          </w:tcPr>
          <w:p w14:paraId="2B6D8CF4" w14:textId="77777777" w:rsidR="00A720EB" w:rsidRDefault="0030286B">
            <w:pPr>
              <w:pStyle w:val="TableParagraph"/>
              <w:rPr>
                <w:sz w:val="21"/>
              </w:rPr>
            </w:pPr>
            <w:r>
              <w:rPr>
                <w:color w:val="B02045"/>
                <w:sz w:val="21"/>
              </w:rPr>
              <w:t>3.3.</w:t>
            </w:r>
            <w:proofErr w:type="gramStart"/>
            <w:r>
              <w:rPr>
                <w:color w:val="B02045"/>
                <w:sz w:val="21"/>
              </w:rPr>
              <w:t>10.RELEASE</w:t>
            </w:r>
            <w:proofErr w:type="gramEnd"/>
          </w:p>
        </w:tc>
      </w:tr>
      <w:tr w:rsidR="00A720EB" w14:paraId="142BEBEF" w14:textId="77777777">
        <w:trPr>
          <w:trHeight w:val="368"/>
        </w:trPr>
        <w:tc>
          <w:tcPr>
            <w:tcW w:w="3325" w:type="dxa"/>
          </w:tcPr>
          <w:p w14:paraId="3DA6BFF2" w14:textId="77777777" w:rsidR="00A720EB" w:rsidRDefault="0030286B">
            <w:pPr>
              <w:pStyle w:val="TableParagraph"/>
              <w:rPr>
                <w:sz w:val="21"/>
              </w:rPr>
            </w:pPr>
            <w:proofErr w:type="gramStart"/>
            <w:r>
              <w:rPr>
                <w:color w:val="B02045"/>
                <w:sz w:val="21"/>
              </w:rPr>
              <w:t>io.projectreactor</w:t>
            </w:r>
            <w:proofErr w:type="gramEnd"/>
          </w:p>
        </w:tc>
        <w:tc>
          <w:tcPr>
            <w:tcW w:w="3325" w:type="dxa"/>
          </w:tcPr>
          <w:p w14:paraId="411E7151" w14:textId="77777777" w:rsidR="00A720EB" w:rsidRDefault="0030286B">
            <w:pPr>
              <w:pStyle w:val="TableParagraph"/>
              <w:rPr>
                <w:sz w:val="21"/>
              </w:rPr>
            </w:pPr>
            <w:r>
              <w:rPr>
                <w:color w:val="B02045"/>
                <w:sz w:val="21"/>
              </w:rPr>
              <w:t>reactor-tools</w:t>
            </w:r>
          </w:p>
        </w:tc>
        <w:tc>
          <w:tcPr>
            <w:tcW w:w="3325" w:type="dxa"/>
          </w:tcPr>
          <w:p w14:paraId="47EE186D" w14:textId="77777777" w:rsidR="00A720EB" w:rsidRDefault="0030286B">
            <w:pPr>
              <w:pStyle w:val="TableParagraph"/>
              <w:rPr>
                <w:sz w:val="21"/>
              </w:rPr>
            </w:pPr>
            <w:r>
              <w:rPr>
                <w:color w:val="B02045"/>
                <w:sz w:val="21"/>
              </w:rPr>
              <w:t>3.3.</w:t>
            </w:r>
            <w:proofErr w:type="gramStart"/>
            <w:r>
              <w:rPr>
                <w:color w:val="B02045"/>
                <w:sz w:val="21"/>
              </w:rPr>
              <w:t>10.RELEASE</w:t>
            </w:r>
            <w:proofErr w:type="gramEnd"/>
          </w:p>
        </w:tc>
      </w:tr>
      <w:tr w:rsidR="00A720EB" w14:paraId="75FFAB25" w14:textId="77777777">
        <w:trPr>
          <w:trHeight w:val="368"/>
        </w:trPr>
        <w:tc>
          <w:tcPr>
            <w:tcW w:w="3325" w:type="dxa"/>
          </w:tcPr>
          <w:p w14:paraId="7406FD99" w14:textId="77777777" w:rsidR="00A720EB" w:rsidRDefault="0030286B">
            <w:pPr>
              <w:pStyle w:val="TableParagraph"/>
              <w:rPr>
                <w:sz w:val="21"/>
              </w:rPr>
            </w:pPr>
            <w:proofErr w:type="gramStart"/>
            <w:r>
              <w:rPr>
                <w:color w:val="B02045"/>
                <w:sz w:val="21"/>
              </w:rPr>
              <w:t>io.projectreactor</w:t>
            </w:r>
            <w:proofErr w:type="gramEnd"/>
            <w:r>
              <w:rPr>
                <w:color w:val="B02045"/>
                <w:sz w:val="21"/>
              </w:rPr>
              <w:t>.addons</w:t>
            </w:r>
          </w:p>
        </w:tc>
        <w:tc>
          <w:tcPr>
            <w:tcW w:w="3325" w:type="dxa"/>
          </w:tcPr>
          <w:p w14:paraId="4B3BC540" w14:textId="77777777" w:rsidR="00A720EB" w:rsidRDefault="0030286B">
            <w:pPr>
              <w:pStyle w:val="TableParagraph"/>
              <w:rPr>
                <w:sz w:val="21"/>
              </w:rPr>
            </w:pPr>
            <w:r>
              <w:rPr>
                <w:color w:val="B02045"/>
                <w:sz w:val="21"/>
              </w:rPr>
              <w:t>reactor-adapter</w:t>
            </w:r>
          </w:p>
        </w:tc>
        <w:tc>
          <w:tcPr>
            <w:tcW w:w="3325" w:type="dxa"/>
          </w:tcPr>
          <w:p w14:paraId="4F0B0D07" w14:textId="77777777" w:rsidR="00A720EB" w:rsidRDefault="0030286B">
            <w:pPr>
              <w:pStyle w:val="TableParagraph"/>
              <w:rPr>
                <w:sz w:val="21"/>
              </w:rPr>
            </w:pPr>
            <w:r>
              <w:rPr>
                <w:color w:val="B02045"/>
                <w:sz w:val="21"/>
              </w:rPr>
              <w:t>3.3.</w:t>
            </w:r>
            <w:proofErr w:type="gramStart"/>
            <w:r>
              <w:rPr>
                <w:color w:val="B02045"/>
                <w:sz w:val="21"/>
              </w:rPr>
              <w:t>4.RELEASE</w:t>
            </w:r>
            <w:proofErr w:type="gramEnd"/>
          </w:p>
        </w:tc>
      </w:tr>
      <w:tr w:rsidR="00A720EB" w14:paraId="1B533A67" w14:textId="77777777">
        <w:trPr>
          <w:trHeight w:val="368"/>
        </w:trPr>
        <w:tc>
          <w:tcPr>
            <w:tcW w:w="3325" w:type="dxa"/>
          </w:tcPr>
          <w:p w14:paraId="6C558FF8" w14:textId="77777777" w:rsidR="00A720EB" w:rsidRDefault="0030286B">
            <w:pPr>
              <w:pStyle w:val="TableParagraph"/>
              <w:rPr>
                <w:sz w:val="21"/>
              </w:rPr>
            </w:pPr>
            <w:proofErr w:type="gramStart"/>
            <w:r>
              <w:rPr>
                <w:color w:val="B02045"/>
                <w:sz w:val="21"/>
              </w:rPr>
              <w:t>io.projectreactor</w:t>
            </w:r>
            <w:proofErr w:type="gramEnd"/>
            <w:r>
              <w:rPr>
                <w:color w:val="B02045"/>
                <w:sz w:val="21"/>
              </w:rPr>
              <w:t>.addons</w:t>
            </w:r>
          </w:p>
        </w:tc>
        <w:tc>
          <w:tcPr>
            <w:tcW w:w="3325" w:type="dxa"/>
          </w:tcPr>
          <w:p w14:paraId="2980FBBB" w14:textId="77777777" w:rsidR="00A720EB" w:rsidRDefault="0030286B">
            <w:pPr>
              <w:pStyle w:val="TableParagraph"/>
              <w:rPr>
                <w:sz w:val="21"/>
              </w:rPr>
            </w:pPr>
            <w:r>
              <w:rPr>
                <w:color w:val="B02045"/>
                <w:sz w:val="21"/>
              </w:rPr>
              <w:t>reactor-extra</w:t>
            </w:r>
          </w:p>
        </w:tc>
        <w:tc>
          <w:tcPr>
            <w:tcW w:w="3325" w:type="dxa"/>
          </w:tcPr>
          <w:p w14:paraId="5445F84B" w14:textId="77777777" w:rsidR="00A720EB" w:rsidRDefault="0030286B">
            <w:pPr>
              <w:pStyle w:val="TableParagraph"/>
              <w:rPr>
                <w:sz w:val="21"/>
              </w:rPr>
            </w:pPr>
            <w:r>
              <w:rPr>
                <w:color w:val="B02045"/>
                <w:sz w:val="21"/>
              </w:rPr>
              <w:t>3.3.</w:t>
            </w:r>
            <w:proofErr w:type="gramStart"/>
            <w:r>
              <w:rPr>
                <w:color w:val="B02045"/>
                <w:sz w:val="21"/>
              </w:rPr>
              <w:t>4.RELEASE</w:t>
            </w:r>
            <w:proofErr w:type="gramEnd"/>
          </w:p>
        </w:tc>
      </w:tr>
      <w:tr w:rsidR="00A720EB" w14:paraId="4DCEA260" w14:textId="77777777">
        <w:trPr>
          <w:trHeight w:val="368"/>
        </w:trPr>
        <w:tc>
          <w:tcPr>
            <w:tcW w:w="3325" w:type="dxa"/>
          </w:tcPr>
          <w:p w14:paraId="62F43D22" w14:textId="77777777" w:rsidR="00A720EB" w:rsidRDefault="0030286B">
            <w:pPr>
              <w:pStyle w:val="TableParagraph"/>
              <w:spacing w:before="37"/>
              <w:rPr>
                <w:sz w:val="21"/>
              </w:rPr>
            </w:pPr>
            <w:proofErr w:type="gramStart"/>
            <w:r>
              <w:rPr>
                <w:color w:val="B02045"/>
                <w:sz w:val="21"/>
              </w:rPr>
              <w:t>io.projectreactor</w:t>
            </w:r>
            <w:proofErr w:type="gramEnd"/>
            <w:r>
              <w:rPr>
                <w:color w:val="B02045"/>
                <w:sz w:val="21"/>
              </w:rPr>
              <w:t>.addons</w:t>
            </w:r>
          </w:p>
        </w:tc>
        <w:tc>
          <w:tcPr>
            <w:tcW w:w="3325" w:type="dxa"/>
          </w:tcPr>
          <w:p w14:paraId="4EDA38A3" w14:textId="77777777" w:rsidR="00A720EB" w:rsidRDefault="0030286B">
            <w:pPr>
              <w:pStyle w:val="TableParagraph"/>
              <w:spacing w:before="37"/>
              <w:rPr>
                <w:sz w:val="21"/>
              </w:rPr>
            </w:pPr>
            <w:r>
              <w:rPr>
                <w:color w:val="B02045"/>
                <w:sz w:val="21"/>
              </w:rPr>
              <w:t>reactor-pool</w:t>
            </w:r>
          </w:p>
        </w:tc>
        <w:tc>
          <w:tcPr>
            <w:tcW w:w="3325" w:type="dxa"/>
          </w:tcPr>
          <w:p w14:paraId="24BBA5A6" w14:textId="77777777" w:rsidR="00A720EB" w:rsidRDefault="0030286B">
            <w:pPr>
              <w:pStyle w:val="TableParagraph"/>
              <w:spacing w:before="37"/>
              <w:rPr>
                <w:sz w:val="21"/>
              </w:rPr>
            </w:pPr>
            <w:r>
              <w:rPr>
                <w:color w:val="B02045"/>
                <w:sz w:val="21"/>
              </w:rPr>
              <w:t>0.1.</w:t>
            </w:r>
            <w:proofErr w:type="gramStart"/>
            <w:r>
              <w:rPr>
                <w:color w:val="B02045"/>
                <w:sz w:val="21"/>
              </w:rPr>
              <w:t>6.RELEASE</w:t>
            </w:r>
            <w:proofErr w:type="gramEnd"/>
          </w:p>
        </w:tc>
      </w:tr>
      <w:tr w:rsidR="00A720EB" w14:paraId="34877CBC" w14:textId="77777777">
        <w:trPr>
          <w:trHeight w:val="368"/>
        </w:trPr>
        <w:tc>
          <w:tcPr>
            <w:tcW w:w="3325" w:type="dxa"/>
          </w:tcPr>
          <w:p w14:paraId="0B382B3F" w14:textId="77777777" w:rsidR="00A720EB" w:rsidRDefault="0030286B">
            <w:pPr>
              <w:pStyle w:val="TableParagraph"/>
              <w:spacing w:before="37"/>
              <w:rPr>
                <w:sz w:val="21"/>
              </w:rPr>
            </w:pPr>
            <w:proofErr w:type="gramStart"/>
            <w:r>
              <w:rPr>
                <w:color w:val="B02045"/>
                <w:sz w:val="21"/>
              </w:rPr>
              <w:t>io.projectreactor</w:t>
            </w:r>
            <w:proofErr w:type="gramEnd"/>
            <w:r>
              <w:rPr>
                <w:color w:val="B02045"/>
                <w:sz w:val="21"/>
              </w:rPr>
              <w:t>.kafka</w:t>
            </w:r>
          </w:p>
        </w:tc>
        <w:tc>
          <w:tcPr>
            <w:tcW w:w="3325" w:type="dxa"/>
          </w:tcPr>
          <w:p w14:paraId="04DFD8B9" w14:textId="77777777" w:rsidR="00A720EB" w:rsidRDefault="0030286B">
            <w:pPr>
              <w:pStyle w:val="TableParagraph"/>
              <w:spacing w:before="37"/>
              <w:rPr>
                <w:sz w:val="21"/>
              </w:rPr>
            </w:pPr>
            <w:r>
              <w:rPr>
                <w:color w:val="B02045"/>
                <w:sz w:val="21"/>
              </w:rPr>
              <w:t>reactor-kafka</w:t>
            </w:r>
          </w:p>
        </w:tc>
        <w:tc>
          <w:tcPr>
            <w:tcW w:w="3325" w:type="dxa"/>
          </w:tcPr>
          <w:p w14:paraId="1A89D39A" w14:textId="77777777" w:rsidR="00A720EB" w:rsidRDefault="0030286B">
            <w:pPr>
              <w:pStyle w:val="TableParagraph"/>
              <w:spacing w:before="37"/>
              <w:rPr>
                <w:sz w:val="21"/>
              </w:rPr>
            </w:pPr>
            <w:r>
              <w:rPr>
                <w:color w:val="B02045"/>
                <w:sz w:val="21"/>
              </w:rPr>
              <w:t>1.2.</w:t>
            </w:r>
            <w:proofErr w:type="gramStart"/>
            <w:r>
              <w:rPr>
                <w:color w:val="B02045"/>
                <w:sz w:val="21"/>
              </w:rPr>
              <w:t>2.RELEASE</w:t>
            </w:r>
            <w:proofErr w:type="gramEnd"/>
          </w:p>
        </w:tc>
      </w:tr>
      <w:tr w:rsidR="00A720EB" w14:paraId="15D3985A" w14:textId="77777777">
        <w:trPr>
          <w:trHeight w:val="368"/>
        </w:trPr>
        <w:tc>
          <w:tcPr>
            <w:tcW w:w="3325" w:type="dxa"/>
          </w:tcPr>
          <w:p w14:paraId="4CC8FE34" w14:textId="77777777" w:rsidR="00A720EB" w:rsidRDefault="0030286B">
            <w:pPr>
              <w:pStyle w:val="TableParagraph"/>
              <w:spacing w:before="37"/>
              <w:rPr>
                <w:sz w:val="21"/>
              </w:rPr>
            </w:pPr>
            <w:proofErr w:type="gramStart"/>
            <w:r>
              <w:rPr>
                <w:color w:val="B02045"/>
                <w:sz w:val="21"/>
              </w:rPr>
              <w:t>io.projectreactor</w:t>
            </w:r>
            <w:proofErr w:type="gramEnd"/>
            <w:r>
              <w:rPr>
                <w:color w:val="B02045"/>
                <w:sz w:val="21"/>
              </w:rPr>
              <w:t>.kotlin</w:t>
            </w:r>
          </w:p>
        </w:tc>
        <w:tc>
          <w:tcPr>
            <w:tcW w:w="3325" w:type="dxa"/>
          </w:tcPr>
          <w:p w14:paraId="55CCFCC9" w14:textId="77777777" w:rsidR="00A720EB" w:rsidRDefault="0030286B">
            <w:pPr>
              <w:pStyle w:val="TableParagraph"/>
              <w:spacing w:before="37"/>
              <w:rPr>
                <w:sz w:val="21"/>
              </w:rPr>
            </w:pPr>
            <w:r>
              <w:rPr>
                <w:color w:val="B02045"/>
                <w:sz w:val="21"/>
              </w:rPr>
              <w:t>reactor-kotlin-extensions</w:t>
            </w:r>
          </w:p>
        </w:tc>
        <w:tc>
          <w:tcPr>
            <w:tcW w:w="3325" w:type="dxa"/>
          </w:tcPr>
          <w:p w14:paraId="340A9A70" w14:textId="77777777" w:rsidR="00A720EB" w:rsidRDefault="0030286B">
            <w:pPr>
              <w:pStyle w:val="TableParagraph"/>
              <w:spacing w:before="37"/>
              <w:rPr>
                <w:sz w:val="21"/>
              </w:rPr>
            </w:pPr>
            <w:r>
              <w:rPr>
                <w:color w:val="B02045"/>
                <w:sz w:val="21"/>
              </w:rPr>
              <w:t>1.0.</w:t>
            </w:r>
            <w:proofErr w:type="gramStart"/>
            <w:r>
              <w:rPr>
                <w:color w:val="B02045"/>
                <w:sz w:val="21"/>
              </w:rPr>
              <w:t>1.RELEASE</w:t>
            </w:r>
            <w:proofErr w:type="gramEnd"/>
          </w:p>
        </w:tc>
      </w:tr>
      <w:tr w:rsidR="00A720EB" w14:paraId="613DC9BB" w14:textId="77777777">
        <w:trPr>
          <w:trHeight w:val="368"/>
        </w:trPr>
        <w:tc>
          <w:tcPr>
            <w:tcW w:w="3325" w:type="dxa"/>
          </w:tcPr>
          <w:p w14:paraId="71886A1E" w14:textId="77777777" w:rsidR="00A720EB" w:rsidRDefault="0030286B">
            <w:pPr>
              <w:pStyle w:val="TableParagraph"/>
              <w:rPr>
                <w:sz w:val="21"/>
              </w:rPr>
            </w:pPr>
            <w:proofErr w:type="gramStart"/>
            <w:r>
              <w:rPr>
                <w:color w:val="B02045"/>
                <w:sz w:val="21"/>
              </w:rPr>
              <w:t>io.projectreactor</w:t>
            </w:r>
            <w:proofErr w:type="gramEnd"/>
            <w:r>
              <w:rPr>
                <w:color w:val="B02045"/>
                <w:sz w:val="21"/>
              </w:rPr>
              <w:t>.netty</w:t>
            </w:r>
          </w:p>
        </w:tc>
        <w:tc>
          <w:tcPr>
            <w:tcW w:w="3325" w:type="dxa"/>
          </w:tcPr>
          <w:p w14:paraId="195BEE4C" w14:textId="77777777" w:rsidR="00A720EB" w:rsidRDefault="0030286B">
            <w:pPr>
              <w:pStyle w:val="TableParagraph"/>
              <w:rPr>
                <w:sz w:val="21"/>
              </w:rPr>
            </w:pPr>
            <w:r>
              <w:rPr>
                <w:color w:val="B02045"/>
                <w:sz w:val="21"/>
              </w:rPr>
              <w:t>reactor-netty</w:t>
            </w:r>
          </w:p>
        </w:tc>
        <w:tc>
          <w:tcPr>
            <w:tcW w:w="3325" w:type="dxa"/>
          </w:tcPr>
          <w:p w14:paraId="76D19493" w14:textId="77777777" w:rsidR="00A720EB" w:rsidRDefault="0030286B">
            <w:pPr>
              <w:pStyle w:val="TableParagraph"/>
              <w:rPr>
                <w:sz w:val="21"/>
              </w:rPr>
            </w:pPr>
            <w:r>
              <w:rPr>
                <w:color w:val="B02045"/>
                <w:sz w:val="21"/>
              </w:rPr>
              <w:t>0.9.</w:t>
            </w:r>
            <w:proofErr w:type="gramStart"/>
            <w:r>
              <w:rPr>
                <w:color w:val="B02045"/>
                <w:sz w:val="21"/>
              </w:rPr>
              <w:t>12.RELEASE</w:t>
            </w:r>
            <w:proofErr w:type="gramEnd"/>
          </w:p>
        </w:tc>
      </w:tr>
      <w:tr w:rsidR="00A720EB" w14:paraId="0A767D80" w14:textId="77777777">
        <w:trPr>
          <w:trHeight w:val="368"/>
        </w:trPr>
        <w:tc>
          <w:tcPr>
            <w:tcW w:w="3325" w:type="dxa"/>
          </w:tcPr>
          <w:p w14:paraId="1A70EE5E" w14:textId="77777777" w:rsidR="00A720EB" w:rsidRDefault="0030286B">
            <w:pPr>
              <w:pStyle w:val="TableParagraph"/>
              <w:rPr>
                <w:sz w:val="21"/>
              </w:rPr>
            </w:pPr>
            <w:proofErr w:type="gramStart"/>
            <w:r>
              <w:rPr>
                <w:color w:val="B02045"/>
                <w:sz w:val="21"/>
              </w:rPr>
              <w:t>io.projectreactor</w:t>
            </w:r>
            <w:proofErr w:type="gramEnd"/>
            <w:r>
              <w:rPr>
                <w:color w:val="B02045"/>
                <w:sz w:val="21"/>
              </w:rPr>
              <w:t>.rabbitmq</w:t>
            </w:r>
          </w:p>
        </w:tc>
        <w:tc>
          <w:tcPr>
            <w:tcW w:w="3325" w:type="dxa"/>
          </w:tcPr>
          <w:p w14:paraId="7975410B" w14:textId="77777777" w:rsidR="00A720EB" w:rsidRDefault="0030286B">
            <w:pPr>
              <w:pStyle w:val="TableParagraph"/>
              <w:rPr>
                <w:sz w:val="21"/>
              </w:rPr>
            </w:pPr>
            <w:r>
              <w:rPr>
                <w:color w:val="B02045"/>
                <w:sz w:val="21"/>
              </w:rPr>
              <w:t>reactor-rabbitmq</w:t>
            </w:r>
          </w:p>
        </w:tc>
        <w:tc>
          <w:tcPr>
            <w:tcW w:w="3325" w:type="dxa"/>
          </w:tcPr>
          <w:p w14:paraId="224D4C57" w14:textId="77777777" w:rsidR="00A720EB" w:rsidRDefault="0030286B">
            <w:pPr>
              <w:pStyle w:val="TableParagraph"/>
              <w:rPr>
                <w:sz w:val="21"/>
              </w:rPr>
            </w:pPr>
            <w:r>
              <w:rPr>
                <w:color w:val="B02045"/>
                <w:sz w:val="21"/>
              </w:rPr>
              <w:t>1.4.</w:t>
            </w:r>
            <w:proofErr w:type="gramStart"/>
            <w:r>
              <w:rPr>
                <w:color w:val="B02045"/>
                <w:sz w:val="21"/>
              </w:rPr>
              <w:t>4.RELEASE</w:t>
            </w:r>
            <w:proofErr w:type="gramEnd"/>
          </w:p>
        </w:tc>
      </w:tr>
      <w:tr w:rsidR="00A720EB" w14:paraId="0346390D" w14:textId="77777777">
        <w:trPr>
          <w:trHeight w:val="368"/>
        </w:trPr>
        <w:tc>
          <w:tcPr>
            <w:tcW w:w="3325" w:type="dxa"/>
          </w:tcPr>
          <w:p w14:paraId="7EB94D72" w14:textId="77777777" w:rsidR="00A720EB" w:rsidRDefault="0030286B">
            <w:pPr>
              <w:pStyle w:val="TableParagraph"/>
              <w:spacing w:before="37"/>
              <w:rPr>
                <w:sz w:val="21"/>
              </w:rPr>
            </w:pPr>
            <w:proofErr w:type="gramStart"/>
            <w:r>
              <w:rPr>
                <w:color w:val="B02045"/>
                <w:sz w:val="21"/>
              </w:rPr>
              <w:t>io.prometheus</w:t>
            </w:r>
            <w:proofErr w:type="gramEnd"/>
          </w:p>
        </w:tc>
        <w:tc>
          <w:tcPr>
            <w:tcW w:w="3325" w:type="dxa"/>
          </w:tcPr>
          <w:p w14:paraId="25DD063A" w14:textId="77777777" w:rsidR="00A720EB" w:rsidRDefault="0030286B">
            <w:pPr>
              <w:pStyle w:val="TableParagraph"/>
              <w:spacing w:before="37"/>
              <w:rPr>
                <w:sz w:val="21"/>
              </w:rPr>
            </w:pPr>
            <w:r>
              <w:rPr>
                <w:color w:val="B02045"/>
                <w:sz w:val="21"/>
              </w:rPr>
              <w:t>simpleclient_pushgateway</w:t>
            </w:r>
          </w:p>
        </w:tc>
        <w:tc>
          <w:tcPr>
            <w:tcW w:w="3325" w:type="dxa"/>
          </w:tcPr>
          <w:p w14:paraId="2B44A3A2" w14:textId="77777777" w:rsidR="00A720EB" w:rsidRDefault="0030286B">
            <w:pPr>
              <w:pStyle w:val="TableParagraph"/>
              <w:spacing w:before="37"/>
              <w:rPr>
                <w:sz w:val="21"/>
              </w:rPr>
            </w:pPr>
            <w:r>
              <w:rPr>
                <w:color w:val="B02045"/>
                <w:sz w:val="21"/>
              </w:rPr>
              <w:t>0.9.0</w:t>
            </w:r>
          </w:p>
        </w:tc>
      </w:tr>
      <w:tr w:rsidR="00A720EB" w14:paraId="6D247F94" w14:textId="77777777">
        <w:trPr>
          <w:trHeight w:val="368"/>
        </w:trPr>
        <w:tc>
          <w:tcPr>
            <w:tcW w:w="3325" w:type="dxa"/>
          </w:tcPr>
          <w:p w14:paraId="380747DE" w14:textId="77777777" w:rsidR="00A720EB" w:rsidRDefault="0030286B">
            <w:pPr>
              <w:pStyle w:val="TableParagraph"/>
              <w:spacing w:before="37"/>
              <w:rPr>
                <w:sz w:val="21"/>
              </w:rPr>
            </w:pPr>
            <w:proofErr w:type="gramStart"/>
            <w:r>
              <w:rPr>
                <w:color w:val="B02045"/>
                <w:sz w:val="21"/>
              </w:rPr>
              <w:t>io.r</w:t>
            </w:r>
            <w:proofErr w:type="gramEnd"/>
            <w:r>
              <w:rPr>
                <w:color w:val="B02045"/>
                <w:sz w:val="21"/>
              </w:rPr>
              <w:t>2dbc</w:t>
            </w:r>
          </w:p>
        </w:tc>
        <w:tc>
          <w:tcPr>
            <w:tcW w:w="3325" w:type="dxa"/>
          </w:tcPr>
          <w:p w14:paraId="0A5CE692" w14:textId="77777777" w:rsidR="00A720EB" w:rsidRDefault="0030286B">
            <w:pPr>
              <w:pStyle w:val="TableParagraph"/>
              <w:spacing w:before="37"/>
              <w:rPr>
                <w:sz w:val="21"/>
              </w:rPr>
            </w:pPr>
            <w:r>
              <w:rPr>
                <w:color w:val="B02045"/>
                <w:sz w:val="21"/>
              </w:rPr>
              <w:t>r2dbc-h2</w:t>
            </w:r>
          </w:p>
        </w:tc>
        <w:tc>
          <w:tcPr>
            <w:tcW w:w="3325" w:type="dxa"/>
          </w:tcPr>
          <w:p w14:paraId="29062E21" w14:textId="77777777" w:rsidR="00A720EB" w:rsidRDefault="0030286B">
            <w:pPr>
              <w:pStyle w:val="TableParagraph"/>
              <w:spacing w:before="37"/>
              <w:rPr>
                <w:sz w:val="21"/>
              </w:rPr>
            </w:pPr>
            <w:r>
              <w:rPr>
                <w:color w:val="B02045"/>
                <w:sz w:val="21"/>
              </w:rPr>
              <w:t>0.8.</w:t>
            </w:r>
            <w:proofErr w:type="gramStart"/>
            <w:r>
              <w:rPr>
                <w:color w:val="B02045"/>
                <w:sz w:val="21"/>
              </w:rPr>
              <w:t>4.RELEASE</w:t>
            </w:r>
            <w:proofErr w:type="gramEnd"/>
          </w:p>
        </w:tc>
      </w:tr>
      <w:tr w:rsidR="00A720EB" w14:paraId="29055BB5" w14:textId="77777777">
        <w:trPr>
          <w:trHeight w:val="368"/>
        </w:trPr>
        <w:tc>
          <w:tcPr>
            <w:tcW w:w="3325" w:type="dxa"/>
          </w:tcPr>
          <w:p w14:paraId="2C3F3792" w14:textId="77777777" w:rsidR="00A720EB" w:rsidRDefault="0030286B">
            <w:pPr>
              <w:pStyle w:val="TableParagraph"/>
              <w:rPr>
                <w:sz w:val="21"/>
              </w:rPr>
            </w:pPr>
            <w:proofErr w:type="gramStart"/>
            <w:r>
              <w:rPr>
                <w:color w:val="B02045"/>
                <w:sz w:val="21"/>
              </w:rPr>
              <w:t>io.r</w:t>
            </w:r>
            <w:proofErr w:type="gramEnd"/>
            <w:r>
              <w:rPr>
                <w:color w:val="B02045"/>
                <w:sz w:val="21"/>
              </w:rPr>
              <w:t>2dbc</w:t>
            </w:r>
          </w:p>
        </w:tc>
        <w:tc>
          <w:tcPr>
            <w:tcW w:w="3325" w:type="dxa"/>
          </w:tcPr>
          <w:p w14:paraId="1043979C" w14:textId="77777777" w:rsidR="00A720EB" w:rsidRDefault="0030286B">
            <w:pPr>
              <w:pStyle w:val="TableParagraph"/>
              <w:rPr>
                <w:sz w:val="21"/>
              </w:rPr>
            </w:pPr>
            <w:r>
              <w:rPr>
                <w:color w:val="B02045"/>
                <w:sz w:val="21"/>
              </w:rPr>
              <w:t>r2dbc-mssql</w:t>
            </w:r>
          </w:p>
        </w:tc>
        <w:tc>
          <w:tcPr>
            <w:tcW w:w="3325" w:type="dxa"/>
          </w:tcPr>
          <w:p w14:paraId="0C1BFEA9" w14:textId="77777777" w:rsidR="00A720EB" w:rsidRDefault="0030286B">
            <w:pPr>
              <w:pStyle w:val="TableParagraph"/>
              <w:rPr>
                <w:sz w:val="21"/>
              </w:rPr>
            </w:pPr>
            <w:r>
              <w:rPr>
                <w:color w:val="B02045"/>
                <w:sz w:val="21"/>
              </w:rPr>
              <w:t>0.8.</w:t>
            </w:r>
            <w:proofErr w:type="gramStart"/>
            <w:r>
              <w:rPr>
                <w:color w:val="B02045"/>
                <w:sz w:val="21"/>
              </w:rPr>
              <w:t>4.RELEASE</w:t>
            </w:r>
            <w:proofErr w:type="gramEnd"/>
          </w:p>
        </w:tc>
      </w:tr>
      <w:tr w:rsidR="00A720EB" w14:paraId="535C5CF7" w14:textId="77777777">
        <w:trPr>
          <w:trHeight w:val="368"/>
        </w:trPr>
        <w:tc>
          <w:tcPr>
            <w:tcW w:w="3325" w:type="dxa"/>
          </w:tcPr>
          <w:p w14:paraId="4D9BFF14" w14:textId="77777777" w:rsidR="00A720EB" w:rsidRDefault="0030286B">
            <w:pPr>
              <w:pStyle w:val="TableParagraph"/>
              <w:rPr>
                <w:sz w:val="21"/>
              </w:rPr>
            </w:pPr>
            <w:proofErr w:type="gramStart"/>
            <w:r>
              <w:rPr>
                <w:color w:val="B02045"/>
                <w:sz w:val="21"/>
              </w:rPr>
              <w:t>io.r</w:t>
            </w:r>
            <w:proofErr w:type="gramEnd"/>
            <w:r>
              <w:rPr>
                <w:color w:val="B02045"/>
                <w:sz w:val="21"/>
              </w:rPr>
              <w:t>2dbc</w:t>
            </w:r>
          </w:p>
        </w:tc>
        <w:tc>
          <w:tcPr>
            <w:tcW w:w="3325" w:type="dxa"/>
          </w:tcPr>
          <w:p w14:paraId="74957150" w14:textId="77777777" w:rsidR="00A720EB" w:rsidRDefault="0030286B">
            <w:pPr>
              <w:pStyle w:val="TableParagraph"/>
              <w:rPr>
                <w:sz w:val="21"/>
              </w:rPr>
            </w:pPr>
            <w:r>
              <w:rPr>
                <w:color w:val="B02045"/>
                <w:sz w:val="21"/>
              </w:rPr>
              <w:t>r2dbc-pool</w:t>
            </w:r>
          </w:p>
        </w:tc>
        <w:tc>
          <w:tcPr>
            <w:tcW w:w="3325" w:type="dxa"/>
          </w:tcPr>
          <w:p w14:paraId="2428FC1B" w14:textId="77777777" w:rsidR="00A720EB" w:rsidRDefault="0030286B">
            <w:pPr>
              <w:pStyle w:val="TableParagraph"/>
              <w:rPr>
                <w:sz w:val="21"/>
              </w:rPr>
            </w:pPr>
            <w:r>
              <w:rPr>
                <w:color w:val="B02045"/>
                <w:sz w:val="21"/>
              </w:rPr>
              <w:t>0.8.</w:t>
            </w:r>
            <w:proofErr w:type="gramStart"/>
            <w:r>
              <w:rPr>
                <w:color w:val="B02045"/>
                <w:sz w:val="21"/>
              </w:rPr>
              <w:t>4.RELEASE</w:t>
            </w:r>
            <w:proofErr w:type="gramEnd"/>
          </w:p>
        </w:tc>
      </w:tr>
      <w:tr w:rsidR="00A720EB" w14:paraId="52DEAF61" w14:textId="77777777">
        <w:trPr>
          <w:trHeight w:val="368"/>
        </w:trPr>
        <w:tc>
          <w:tcPr>
            <w:tcW w:w="3325" w:type="dxa"/>
          </w:tcPr>
          <w:p w14:paraId="196762AC" w14:textId="77777777" w:rsidR="00A720EB" w:rsidRDefault="0030286B">
            <w:pPr>
              <w:pStyle w:val="TableParagraph"/>
              <w:spacing w:before="37"/>
              <w:rPr>
                <w:sz w:val="21"/>
              </w:rPr>
            </w:pPr>
            <w:proofErr w:type="gramStart"/>
            <w:r>
              <w:rPr>
                <w:color w:val="B02045"/>
                <w:sz w:val="21"/>
              </w:rPr>
              <w:t>io.r</w:t>
            </w:r>
            <w:proofErr w:type="gramEnd"/>
            <w:r>
              <w:rPr>
                <w:color w:val="B02045"/>
                <w:sz w:val="21"/>
              </w:rPr>
              <w:t>2dbc</w:t>
            </w:r>
          </w:p>
        </w:tc>
        <w:tc>
          <w:tcPr>
            <w:tcW w:w="3325" w:type="dxa"/>
          </w:tcPr>
          <w:p w14:paraId="2E412C63" w14:textId="77777777" w:rsidR="00A720EB" w:rsidRDefault="0030286B">
            <w:pPr>
              <w:pStyle w:val="TableParagraph"/>
              <w:spacing w:before="37"/>
              <w:rPr>
                <w:sz w:val="21"/>
              </w:rPr>
            </w:pPr>
            <w:r>
              <w:rPr>
                <w:color w:val="B02045"/>
                <w:sz w:val="21"/>
              </w:rPr>
              <w:t>r2dbc-postgresql</w:t>
            </w:r>
          </w:p>
        </w:tc>
        <w:tc>
          <w:tcPr>
            <w:tcW w:w="3325" w:type="dxa"/>
          </w:tcPr>
          <w:p w14:paraId="1550ABE2" w14:textId="77777777" w:rsidR="00A720EB" w:rsidRDefault="0030286B">
            <w:pPr>
              <w:pStyle w:val="TableParagraph"/>
              <w:spacing w:before="37"/>
              <w:rPr>
                <w:sz w:val="21"/>
              </w:rPr>
            </w:pPr>
            <w:r>
              <w:rPr>
                <w:color w:val="B02045"/>
                <w:sz w:val="21"/>
              </w:rPr>
              <w:t>0.8.</w:t>
            </w:r>
            <w:proofErr w:type="gramStart"/>
            <w:r>
              <w:rPr>
                <w:color w:val="B02045"/>
                <w:sz w:val="21"/>
              </w:rPr>
              <w:t>5.RELEASE</w:t>
            </w:r>
            <w:proofErr w:type="gramEnd"/>
          </w:p>
        </w:tc>
      </w:tr>
      <w:tr w:rsidR="00A720EB" w14:paraId="33A08DA0" w14:textId="77777777">
        <w:trPr>
          <w:trHeight w:val="368"/>
        </w:trPr>
        <w:tc>
          <w:tcPr>
            <w:tcW w:w="3325" w:type="dxa"/>
          </w:tcPr>
          <w:p w14:paraId="43FAF182" w14:textId="77777777" w:rsidR="00A720EB" w:rsidRDefault="0030286B">
            <w:pPr>
              <w:pStyle w:val="TableParagraph"/>
              <w:spacing w:before="37"/>
              <w:rPr>
                <w:sz w:val="21"/>
              </w:rPr>
            </w:pPr>
            <w:proofErr w:type="gramStart"/>
            <w:r>
              <w:rPr>
                <w:color w:val="B02045"/>
                <w:sz w:val="21"/>
              </w:rPr>
              <w:t>io.r</w:t>
            </w:r>
            <w:proofErr w:type="gramEnd"/>
            <w:r>
              <w:rPr>
                <w:color w:val="B02045"/>
                <w:sz w:val="21"/>
              </w:rPr>
              <w:t>2dbc</w:t>
            </w:r>
          </w:p>
        </w:tc>
        <w:tc>
          <w:tcPr>
            <w:tcW w:w="3325" w:type="dxa"/>
          </w:tcPr>
          <w:p w14:paraId="0D0FD6D4" w14:textId="77777777" w:rsidR="00A720EB" w:rsidRDefault="0030286B">
            <w:pPr>
              <w:pStyle w:val="TableParagraph"/>
              <w:spacing w:before="37"/>
              <w:rPr>
                <w:sz w:val="21"/>
              </w:rPr>
            </w:pPr>
            <w:r>
              <w:rPr>
                <w:color w:val="B02045"/>
                <w:sz w:val="21"/>
              </w:rPr>
              <w:t>r2dbc-proxy</w:t>
            </w:r>
          </w:p>
        </w:tc>
        <w:tc>
          <w:tcPr>
            <w:tcW w:w="3325" w:type="dxa"/>
          </w:tcPr>
          <w:p w14:paraId="33B14B3F" w14:textId="77777777" w:rsidR="00A720EB" w:rsidRDefault="0030286B">
            <w:pPr>
              <w:pStyle w:val="TableParagraph"/>
              <w:spacing w:before="37"/>
              <w:rPr>
                <w:sz w:val="21"/>
              </w:rPr>
            </w:pPr>
            <w:r>
              <w:rPr>
                <w:color w:val="B02045"/>
                <w:sz w:val="21"/>
              </w:rPr>
              <w:t>0.8.</w:t>
            </w:r>
            <w:proofErr w:type="gramStart"/>
            <w:r>
              <w:rPr>
                <w:color w:val="B02045"/>
                <w:sz w:val="21"/>
              </w:rPr>
              <w:t>2.RELEASE</w:t>
            </w:r>
            <w:proofErr w:type="gramEnd"/>
          </w:p>
        </w:tc>
      </w:tr>
      <w:tr w:rsidR="00A720EB" w14:paraId="3ABA54BD" w14:textId="77777777">
        <w:trPr>
          <w:trHeight w:val="368"/>
        </w:trPr>
        <w:tc>
          <w:tcPr>
            <w:tcW w:w="3325" w:type="dxa"/>
          </w:tcPr>
          <w:p w14:paraId="3165EF85" w14:textId="77777777" w:rsidR="00A720EB" w:rsidRDefault="0030286B">
            <w:pPr>
              <w:pStyle w:val="TableParagraph"/>
              <w:rPr>
                <w:sz w:val="21"/>
              </w:rPr>
            </w:pPr>
            <w:proofErr w:type="gramStart"/>
            <w:r>
              <w:rPr>
                <w:color w:val="B02045"/>
                <w:sz w:val="21"/>
              </w:rPr>
              <w:t>io.r</w:t>
            </w:r>
            <w:proofErr w:type="gramEnd"/>
            <w:r>
              <w:rPr>
                <w:color w:val="B02045"/>
                <w:sz w:val="21"/>
              </w:rPr>
              <w:t>2dbc</w:t>
            </w:r>
          </w:p>
        </w:tc>
        <w:tc>
          <w:tcPr>
            <w:tcW w:w="3325" w:type="dxa"/>
          </w:tcPr>
          <w:p w14:paraId="2EA2843B" w14:textId="77777777" w:rsidR="00A720EB" w:rsidRDefault="0030286B">
            <w:pPr>
              <w:pStyle w:val="TableParagraph"/>
              <w:rPr>
                <w:sz w:val="21"/>
              </w:rPr>
            </w:pPr>
            <w:r>
              <w:rPr>
                <w:color w:val="B02045"/>
                <w:sz w:val="21"/>
              </w:rPr>
              <w:t>r2dbc-spi</w:t>
            </w:r>
          </w:p>
        </w:tc>
        <w:tc>
          <w:tcPr>
            <w:tcW w:w="3325" w:type="dxa"/>
          </w:tcPr>
          <w:p w14:paraId="2BB786C7" w14:textId="77777777" w:rsidR="00A720EB" w:rsidRDefault="0030286B">
            <w:pPr>
              <w:pStyle w:val="TableParagraph"/>
              <w:rPr>
                <w:sz w:val="21"/>
              </w:rPr>
            </w:pPr>
            <w:r>
              <w:rPr>
                <w:color w:val="B02045"/>
                <w:sz w:val="21"/>
              </w:rPr>
              <w:t>0.8.</w:t>
            </w:r>
            <w:proofErr w:type="gramStart"/>
            <w:r>
              <w:rPr>
                <w:color w:val="B02045"/>
                <w:sz w:val="21"/>
              </w:rPr>
              <w:t>2.RELEASE</w:t>
            </w:r>
            <w:proofErr w:type="gramEnd"/>
          </w:p>
        </w:tc>
      </w:tr>
      <w:tr w:rsidR="00A720EB" w14:paraId="34BEFFE4" w14:textId="77777777">
        <w:trPr>
          <w:trHeight w:val="368"/>
        </w:trPr>
        <w:tc>
          <w:tcPr>
            <w:tcW w:w="3325" w:type="dxa"/>
          </w:tcPr>
          <w:p w14:paraId="1951A556" w14:textId="77777777" w:rsidR="00A720EB" w:rsidRDefault="0030286B">
            <w:pPr>
              <w:pStyle w:val="TableParagraph"/>
              <w:spacing w:before="37"/>
              <w:rPr>
                <w:sz w:val="21"/>
              </w:rPr>
            </w:pPr>
            <w:proofErr w:type="gramStart"/>
            <w:r>
              <w:rPr>
                <w:color w:val="B02045"/>
                <w:sz w:val="21"/>
              </w:rPr>
              <w:t>io.reactivex</w:t>
            </w:r>
            <w:proofErr w:type="gramEnd"/>
          </w:p>
        </w:tc>
        <w:tc>
          <w:tcPr>
            <w:tcW w:w="3325" w:type="dxa"/>
          </w:tcPr>
          <w:p w14:paraId="6C40A370" w14:textId="77777777" w:rsidR="00A720EB" w:rsidRDefault="0030286B">
            <w:pPr>
              <w:pStyle w:val="TableParagraph"/>
              <w:spacing w:before="37"/>
              <w:rPr>
                <w:sz w:val="21"/>
              </w:rPr>
            </w:pPr>
            <w:r>
              <w:rPr>
                <w:color w:val="B02045"/>
                <w:sz w:val="21"/>
              </w:rPr>
              <w:t>rxjava</w:t>
            </w:r>
          </w:p>
        </w:tc>
        <w:tc>
          <w:tcPr>
            <w:tcW w:w="3325" w:type="dxa"/>
          </w:tcPr>
          <w:p w14:paraId="06CAFFAB" w14:textId="77777777" w:rsidR="00A720EB" w:rsidRDefault="0030286B">
            <w:pPr>
              <w:pStyle w:val="TableParagraph"/>
              <w:spacing w:before="37"/>
              <w:rPr>
                <w:sz w:val="21"/>
              </w:rPr>
            </w:pPr>
            <w:r>
              <w:rPr>
                <w:color w:val="B02045"/>
                <w:sz w:val="21"/>
              </w:rPr>
              <w:t>1.3.8</w:t>
            </w:r>
          </w:p>
        </w:tc>
      </w:tr>
      <w:tr w:rsidR="00A720EB" w14:paraId="32FB825D" w14:textId="77777777">
        <w:trPr>
          <w:trHeight w:val="368"/>
        </w:trPr>
        <w:tc>
          <w:tcPr>
            <w:tcW w:w="3325" w:type="dxa"/>
          </w:tcPr>
          <w:p w14:paraId="1E6B8D38" w14:textId="77777777" w:rsidR="00A720EB" w:rsidRDefault="0030286B">
            <w:pPr>
              <w:pStyle w:val="TableParagraph"/>
              <w:rPr>
                <w:sz w:val="21"/>
              </w:rPr>
            </w:pPr>
            <w:proofErr w:type="gramStart"/>
            <w:r>
              <w:rPr>
                <w:color w:val="B02045"/>
                <w:sz w:val="21"/>
              </w:rPr>
              <w:t>io.reactivex</w:t>
            </w:r>
            <w:proofErr w:type="gramEnd"/>
          </w:p>
        </w:tc>
        <w:tc>
          <w:tcPr>
            <w:tcW w:w="3325" w:type="dxa"/>
          </w:tcPr>
          <w:p w14:paraId="1F156A73" w14:textId="77777777" w:rsidR="00A720EB" w:rsidRDefault="0030286B">
            <w:pPr>
              <w:pStyle w:val="TableParagraph"/>
              <w:rPr>
                <w:sz w:val="21"/>
              </w:rPr>
            </w:pPr>
            <w:r>
              <w:rPr>
                <w:color w:val="B02045"/>
                <w:sz w:val="21"/>
              </w:rPr>
              <w:t>rxjava-reactive-streams</w:t>
            </w:r>
          </w:p>
        </w:tc>
        <w:tc>
          <w:tcPr>
            <w:tcW w:w="3325" w:type="dxa"/>
          </w:tcPr>
          <w:p w14:paraId="13A16DBC" w14:textId="77777777" w:rsidR="00A720EB" w:rsidRDefault="0030286B">
            <w:pPr>
              <w:pStyle w:val="TableParagraph"/>
              <w:rPr>
                <w:sz w:val="21"/>
              </w:rPr>
            </w:pPr>
            <w:r>
              <w:rPr>
                <w:color w:val="B02045"/>
                <w:sz w:val="21"/>
              </w:rPr>
              <w:t>1.2.1</w:t>
            </w:r>
          </w:p>
        </w:tc>
      </w:tr>
      <w:tr w:rsidR="00A720EB" w14:paraId="49682173" w14:textId="77777777">
        <w:trPr>
          <w:trHeight w:val="368"/>
        </w:trPr>
        <w:tc>
          <w:tcPr>
            <w:tcW w:w="3325" w:type="dxa"/>
          </w:tcPr>
          <w:p w14:paraId="75C5050B" w14:textId="77777777" w:rsidR="00A720EB" w:rsidRDefault="0030286B">
            <w:pPr>
              <w:pStyle w:val="TableParagraph"/>
              <w:spacing w:before="37"/>
              <w:rPr>
                <w:sz w:val="21"/>
              </w:rPr>
            </w:pPr>
            <w:proofErr w:type="gramStart"/>
            <w:r>
              <w:rPr>
                <w:color w:val="B02045"/>
                <w:sz w:val="21"/>
              </w:rPr>
              <w:t>io.reactivex</w:t>
            </w:r>
            <w:proofErr w:type="gramEnd"/>
            <w:r>
              <w:rPr>
                <w:color w:val="B02045"/>
                <w:sz w:val="21"/>
              </w:rPr>
              <w:t>.rxjava2</w:t>
            </w:r>
          </w:p>
        </w:tc>
        <w:tc>
          <w:tcPr>
            <w:tcW w:w="3325" w:type="dxa"/>
          </w:tcPr>
          <w:p w14:paraId="225F8057" w14:textId="77777777" w:rsidR="00A720EB" w:rsidRDefault="0030286B">
            <w:pPr>
              <w:pStyle w:val="TableParagraph"/>
              <w:spacing w:before="37"/>
              <w:rPr>
                <w:sz w:val="21"/>
              </w:rPr>
            </w:pPr>
            <w:r>
              <w:rPr>
                <w:color w:val="B02045"/>
                <w:sz w:val="21"/>
              </w:rPr>
              <w:t>rxjava</w:t>
            </w:r>
          </w:p>
        </w:tc>
        <w:tc>
          <w:tcPr>
            <w:tcW w:w="3325" w:type="dxa"/>
          </w:tcPr>
          <w:p w14:paraId="44CB617F" w14:textId="77777777" w:rsidR="00A720EB" w:rsidRDefault="0030286B">
            <w:pPr>
              <w:pStyle w:val="TableParagraph"/>
              <w:spacing w:before="37"/>
              <w:rPr>
                <w:sz w:val="21"/>
              </w:rPr>
            </w:pPr>
            <w:r>
              <w:rPr>
                <w:color w:val="B02045"/>
                <w:sz w:val="21"/>
              </w:rPr>
              <w:t>2.2.19</w:t>
            </w:r>
          </w:p>
        </w:tc>
      </w:tr>
      <w:tr w:rsidR="00A720EB" w14:paraId="19C7F1FB" w14:textId="77777777">
        <w:trPr>
          <w:trHeight w:val="368"/>
        </w:trPr>
        <w:tc>
          <w:tcPr>
            <w:tcW w:w="3325" w:type="dxa"/>
          </w:tcPr>
          <w:p w14:paraId="3AD80A3A" w14:textId="77777777" w:rsidR="00A720EB" w:rsidRDefault="0030286B">
            <w:pPr>
              <w:pStyle w:val="TableParagraph"/>
              <w:rPr>
                <w:sz w:val="21"/>
              </w:rPr>
            </w:pPr>
            <w:proofErr w:type="gramStart"/>
            <w:r>
              <w:rPr>
                <w:color w:val="B02045"/>
                <w:sz w:val="21"/>
              </w:rPr>
              <w:t>io.rest</w:t>
            </w:r>
            <w:proofErr w:type="gramEnd"/>
            <w:r>
              <w:rPr>
                <w:color w:val="B02045"/>
                <w:sz w:val="21"/>
              </w:rPr>
              <w:t>-assured</w:t>
            </w:r>
          </w:p>
        </w:tc>
        <w:tc>
          <w:tcPr>
            <w:tcW w:w="3325" w:type="dxa"/>
          </w:tcPr>
          <w:p w14:paraId="0D0D178F" w14:textId="77777777" w:rsidR="00A720EB" w:rsidRDefault="0030286B">
            <w:pPr>
              <w:pStyle w:val="TableParagraph"/>
              <w:rPr>
                <w:sz w:val="21"/>
              </w:rPr>
            </w:pPr>
            <w:r>
              <w:rPr>
                <w:color w:val="B02045"/>
                <w:sz w:val="21"/>
              </w:rPr>
              <w:t>json-path</w:t>
            </w:r>
          </w:p>
        </w:tc>
        <w:tc>
          <w:tcPr>
            <w:tcW w:w="3325" w:type="dxa"/>
          </w:tcPr>
          <w:p w14:paraId="4A4D7D2D" w14:textId="77777777" w:rsidR="00A720EB" w:rsidRDefault="0030286B">
            <w:pPr>
              <w:pStyle w:val="TableParagraph"/>
              <w:rPr>
                <w:sz w:val="21"/>
              </w:rPr>
            </w:pPr>
            <w:r>
              <w:rPr>
                <w:color w:val="B02045"/>
                <w:sz w:val="21"/>
              </w:rPr>
              <w:t>3.3.0</w:t>
            </w:r>
          </w:p>
        </w:tc>
      </w:tr>
      <w:tr w:rsidR="00A720EB" w14:paraId="218CCEFB" w14:textId="77777777">
        <w:trPr>
          <w:trHeight w:val="368"/>
        </w:trPr>
        <w:tc>
          <w:tcPr>
            <w:tcW w:w="3325" w:type="dxa"/>
          </w:tcPr>
          <w:p w14:paraId="269ADA5D" w14:textId="77777777" w:rsidR="00A720EB" w:rsidRDefault="0030286B">
            <w:pPr>
              <w:pStyle w:val="TableParagraph"/>
              <w:spacing w:before="37"/>
              <w:rPr>
                <w:sz w:val="21"/>
              </w:rPr>
            </w:pPr>
            <w:proofErr w:type="gramStart"/>
            <w:r>
              <w:rPr>
                <w:color w:val="B02045"/>
                <w:sz w:val="21"/>
              </w:rPr>
              <w:t>io.rest</w:t>
            </w:r>
            <w:proofErr w:type="gramEnd"/>
            <w:r>
              <w:rPr>
                <w:color w:val="B02045"/>
                <w:sz w:val="21"/>
              </w:rPr>
              <w:t>-assured</w:t>
            </w:r>
          </w:p>
        </w:tc>
        <w:tc>
          <w:tcPr>
            <w:tcW w:w="3325" w:type="dxa"/>
          </w:tcPr>
          <w:p w14:paraId="1DB7F3C2" w14:textId="77777777" w:rsidR="00A720EB" w:rsidRDefault="0030286B">
            <w:pPr>
              <w:pStyle w:val="TableParagraph"/>
              <w:spacing w:before="37"/>
              <w:rPr>
                <w:sz w:val="21"/>
              </w:rPr>
            </w:pPr>
            <w:r>
              <w:rPr>
                <w:color w:val="B02045"/>
                <w:sz w:val="21"/>
              </w:rPr>
              <w:t>json-schema-validator</w:t>
            </w:r>
          </w:p>
        </w:tc>
        <w:tc>
          <w:tcPr>
            <w:tcW w:w="3325" w:type="dxa"/>
          </w:tcPr>
          <w:p w14:paraId="350F2861" w14:textId="77777777" w:rsidR="00A720EB" w:rsidRDefault="0030286B">
            <w:pPr>
              <w:pStyle w:val="TableParagraph"/>
              <w:spacing w:before="37"/>
              <w:rPr>
                <w:sz w:val="21"/>
              </w:rPr>
            </w:pPr>
            <w:r>
              <w:rPr>
                <w:color w:val="B02045"/>
                <w:sz w:val="21"/>
              </w:rPr>
              <w:t>3.3.0</w:t>
            </w:r>
          </w:p>
        </w:tc>
      </w:tr>
      <w:tr w:rsidR="00A720EB" w14:paraId="4DD9CABA" w14:textId="77777777">
        <w:trPr>
          <w:trHeight w:val="368"/>
        </w:trPr>
        <w:tc>
          <w:tcPr>
            <w:tcW w:w="3325" w:type="dxa"/>
          </w:tcPr>
          <w:p w14:paraId="31ED4070" w14:textId="77777777" w:rsidR="00A720EB" w:rsidRDefault="0030286B">
            <w:pPr>
              <w:pStyle w:val="TableParagraph"/>
              <w:rPr>
                <w:sz w:val="21"/>
              </w:rPr>
            </w:pPr>
            <w:proofErr w:type="gramStart"/>
            <w:r>
              <w:rPr>
                <w:color w:val="B02045"/>
                <w:sz w:val="21"/>
              </w:rPr>
              <w:t>io.rest</w:t>
            </w:r>
            <w:proofErr w:type="gramEnd"/>
            <w:r>
              <w:rPr>
                <w:color w:val="B02045"/>
                <w:sz w:val="21"/>
              </w:rPr>
              <w:t>-assured</w:t>
            </w:r>
          </w:p>
        </w:tc>
        <w:tc>
          <w:tcPr>
            <w:tcW w:w="3325" w:type="dxa"/>
          </w:tcPr>
          <w:p w14:paraId="75CDC693" w14:textId="77777777" w:rsidR="00A720EB" w:rsidRDefault="0030286B">
            <w:pPr>
              <w:pStyle w:val="TableParagraph"/>
              <w:rPr>
                <w:sz w:val="21"/>
              </w:rPr>
            </w:pPr>
            <w:r>
              <w:rPr>
                <w:color w:val="B02045"/>
                <w:sz w:val="21"/>
              </w:rPr>
              <w:t>rest-assured</w:t>
            </w:r>
          </w:p>
        </w:tc>
        <w:tc>
          <w:tcPr>
            <w:tcW w:w="3325" w:type="dxa"/>
          </w:tcPr>
          <w:p w14:paraId="7247F6F3" w14:textId="77777777" w:rsidR="00A720EB" w:rsidRDefault="0030286B">
            <w:pPr>
              <w:pStyle w:val="TableParagraph"/>
              <w:rPr>
                <w:sz w:val="21"/>
              </w:rPr>
            </w:pPr>
            <w:r>
              <w:rPr>
                <w:color w:val="B02045"/>
                <w:sz w:val="21"/>
              </w:rPr>
              <w:t>3.3.0</w:t>
            </w:r>
          </w:p>
        </w:tc>
      </w:tr>
      <w:tr w:rsidR="00A720EB" w14:paraId="6DD00563" w14:textId="77777777">
        <w:trPr>
          <w:trHeight w:val="368"/>
        </w:trPr>
        <w:tc>
          <w:tcPr>
            <w:tcW w:w="3325" w:type="dxa"/>
          </w:tcPr>
          <w:p w14:paraId="3743248D" w14:textId="77777777" w:rsidR="00A720EB" w:rsidRDefault="0030286B">
            <w:pPr>
              <w:pStyle w:val="TableParagraph"/>
              <w:rPr>
                <w:sz w:val="21"/>
              </w:rPr>
            </w:pPr>
            <w:proofErr w:type="gramStart"/>
            <w:r>
              <w:rPr>
                <w:color w:val="B02045"/>
                <w:sz w:val="21"/>
              </w:rPr>
              <w:t>io.rest</w:t>
            </w:r>
            <w:proofErr w:type="gramEnd"/>
            <w:r>
              <w:rPr>
                <w:color w:val="B02045"/>
                <w:sz w:val="21"/>
              </w:rPr>
              <w:t>-assured</w:t>
            </w:r>
          </w:p>
        </w:tc>
        <w:tc>
          <w:tcPr>
            <w:tcW w:w="3325" w:type="dxa"/>
          </w:tcPr>
          <w:p w14:paraId="25DE0D0A" w14:textId="77777777" w:rsidR="00A720EB" w:rsidRDefault="0030286B">
            <w:pPr>
              <w:pStyle w:val="TableParagraph"/>
              <w:rPr>
                <w:sz w:val="21"/>
              </w:rPr>
            </w:pPr>
            <w:r>
              <w:rPr>
                <w:color w:val="B02045"/>
                <w:sz w:val="21"/>
              </w:rPr>
              <w:t>scala-support</w:t>
            </w:r>
          </w:p>
        </w:tc>
        <w:tc>
          <w:tcPr>
            <w:tcW w:w="3325" w:type="dxa"/>
          </w:tcPr>
          <w:p w14:paraId="52A70DFA" w14:textId="77777777" w:rsidR="00A720EB" w:rsidRDefault="0030286B">
            <w:pPr>
              <w:pStyle w:val="TableParagraph"/>
              <w:rPr>
                <w:sz w:val="21"/>
              </w:rPr>
            </w:pPr>
            <w:r>
              <w:rPr>
                <w:color w:val="B02045"/>
                <w:sz w:val="21"/>
              </w:rPr>
              <w:t>3.3.0</w:t>
            </w:r>
          </w:p>
        </w:tc>
      </w:tr>
      <w:tr w:rsidR="00A720EB" w14:paraId="5125A687" w14:textId="77777777">
        <w:trPr>
          <w:trHeight w:val="368"/>
        </w:trPr>
        <w:tc>
          <w:tcPr>
            <w:tcW w:w="3325" w:type="dxa"/>
          </w:tcPr>
          <w:p w14:paraId="606B9170" w14:textId="77777777" w:rsidR="00A720EB" w:rsidRDefault="0030286B">
            <w:pPr>
              <w:pStyle w:val="TableParagraph"/>
              <w:rPr>
                <w:sz w:val="21"/>
              </w:rPr>
            </w:pPr>
            <w:proofErr w:type="gramStart"/>
            <w:r>
              <w:rPr>
                <w:color w:val="B02045"/>
                <w:sz w:val="21"/>
              </w:rPr>
              <w:t>io.rest</w:t>
            </w:r>
            <w:proofErr w:type="gramEnd"/>
            <w:r>
              <w:rPr>
                <w:color w:val="B02045"/>
                <w:sz w:val="21"/>
              </w:rPr>
              <w:t>-assured</w:t>
            </w:r>
          </w:p>
        </w:tc>
        <w:tc>
          <w:tcPr>
            <w:tcW w:w="3325" w:type="dxa"/>
          </w:tcPr>
          <w:p w14:paraId="19B753E0" w14:textId="77777777" w:rsidR="00A720EB" w:rsidRDefault="0030286B">
            <w:pPr>
              <w:pStyle w:val="TableParagraph"/>
              <w:rPr>
                <w:sz w:val="21"/>
              </w:rPr>
            </w:pPr>
            <w:r>
              <w:rPr>
                <w:color w:val="B02045"/>
                <w:sz w:val="21"/>
              </w:rPr>
              <w:t>spring-mock-mvc</w:t>
            </w:r>
          </w:p>
        </w:tc>
        <w:tc>
          <w:tcPr>
            <w:tcW w:w="3325" w:type="dxa"/>
          </w:tcPr>
          <w:p w14:paraId="29197837" w14:textId="77777777" w:rsidR="00A720EB" w:rsidRDefault="0030286B">
            <w:pPr>
              <w:pStyle w:val="TableParagraph"/>
              <w:rPr>
                <w:sz w:val="21"/>
              </w:rPr>
            </w:pPr>
            <w:r>
              <w:rPr>
                <w:color w:val="B02045"/>
                <w:sz w:val="21"/>
              </w:rPr>
              <w:t>3.3.0</w:t>
            </w:r>
          </w:p>
        </w:tc>
      </w:tr>
      <w:tr w:rsidR="00A720EB" w14:paraId="672E0563" w14:textId="77777777">
        <w:trPr>
          <w:trHeight w:val="368"/>
        </w:trPr>
        <w:tc>
          <w:tcPr>
            <w:tcW w:w="3325" w:type="dxa"/>
          </w:tcPr>
          <w:p w14:paraId="2C726D00" w14:textId="77777777" w:rsidR="00A720EB" w:rsidRDefault="0030286B">
            <w:pPr>
              <w:pStyle w:val="TableParagraph"/>
              <w:rPr>
                <w:sz w:val="21"/>
              </w:rPr>
            </w:pPr>
            <w:proofErr w:type="gramStart"/>
            <w:r>
              <w:rPr>
                <w:color w:val="B02045"/>
                <w:sz w:val="21"/>
              </w:rPr>
              <w:t>io.rest</w:t>
            </w:r>
            <w:proofErr w:type="gramEnd"/>
            <w:r>
              <w:rPr>
                <w:color w:val="B02045"/>
                <w:sz w:val="21"/>
              </w:rPr>
              <w:t>-assured</w:t>
            </w:r>
          </w:p>
        </w:tc>
        <w:tc>
          <w:tcPr>
            <w:tcW w:w="3325" w:type="dxa"/>
          </w:tcPr>
          <w:p w14:paraId="3CCC5851" w14:textId="77777777" w:rsidR="00A720EB" w:rsidRDefault="0030286B">
            <w:pPr>
              <w:pStyle w:val="TableParagraph"/>
              <w:rPr>
                <w:sz w:val="21"/>
              </w:rPr>
            </w:pPr>
            <w:r>
              <w:rPr>
                <w:color w:val="B02045"/>
                <w:sz w:val="21"/>
              </w:rPr>
              <w:t>spring-web-test-client</w:t>
            </w:r>
          </w:p>
        </w:tc>
        <w:tc>
          <w:tcPr>
            <w:tcW w:w="3325" w:type="dxa"/>
          </w:tcPr>
          <w:p w14:paraId="0664E190" w14:textId="77777777" w:rsidR="00A720EB" w:rsidRDefault="0030286B">
            <w:pPr>
              <w:pStyle w:val="TableParagraph"/>
              <w:rPr>
                <w:sz w:val="21"/>
              </w:rPr>
            </w:pPr>
            <w:r>
              <w:rPr>
                <w:color w:val="B02045"/>
                <w:sz w:val="21"/>
              </w:rPr>
              <w:t>3.3.0</w:t>
            </w:r>
          </w:p>
        </w:tc>
      </w:tr>
      <w:tr w:rsidR="00A720EB" w14:paraId="041D1870" w14:textId="77777777">
        <w:trPr>
          <w:trHeight w:val="368"/>
        </w:trPr>
        <w:tc>
          <w:tcPr>
            <w:tcW w:w="3325" w:type="dxa"/>
          </w:tcPr>
          <w:p w14:paraId="6B918A05" w14:textId="77777777" w:rsidR="00A720EB" w:rsidRDefault="0030286B">
            <w:pPr>
              <w:pStyle w:val="TableParagraph"/>
              <w:rPr>
                <w:sz w:val="21"/>
              </w:rPr>
            </w:pPr>
            <w:proofErr w:type="gramStart"/>
            <w:r>
              <w:rPr>
                <w:color w:val="B02045"/>
                <w:sz w:val="21"/>
              </w:rPr>
              <w:t>io.rest</w:t>
            </w:r>
            <w:proofErr w:type="gramEnd"/>
            <w:r>
              <w:rPr>
                <w:color w:val="B02045"/>
                <w:sz w:val="21"/>
              </w:rPr>
              <w:t>-assured</w:t>
            </w:r>
          </w:p>
        </w:tc>
        <w:tc>
          <w:tcPr>
            <w:tcW w:w="3325" w:type="dxa"/>
          </w:tcPr>
          <w:p w14:paraId="4968C09A" w14:textId="77777777" w:rsidR="00A720EB" w:rsidRDefault="0030286B">
            <w:pPr>
              <w:pStyle w:val="TableParagraph"/>
              <w:rPr>
                <w:sz w:val="21"/>
              </w:rPr>
            </w:pPr>
            <w:r>
              <w:rPr>
                <w:color w:val="B02045"/>
                <w:sz w:val="21"/>
              </w:rPr>
              <w:t>xml-path</w:t>
            </w:r>
          </w:p>
        </w:tc>
        <w:tc>
          <w:tcPr>
            <w:tcW w:w="3325" w:type="dxa"/>
          </w:tcPr>
          <w:p w14:paraId="52B1A53E" w14:textId="77777777" w:rsidR="00A720EB" w:rsidRDefault="0030286B">
            <w:pPr>
              <w:pStyle w:val="TableParagraph"/>
              <w:rPr>
                <w:sz w:val="21"/>
              </w:rPr>
            </w:pPr>
            <w:r>
              <w:rPr>
                <w:color w:val="B02045"/>
                <w:sz w:val="21"/>
              </w:rPr>
              <w:t>3.3.0</w:t>
            </w:r>
          </w:p>
        </w:tc>
      </w:tr>
    </w:tbl>
    <w:p w14:paraId="6B3F3D27"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1F1F72EC" w14:textId="77777777">
        <w:trPr>
          <w:trHeight w:val="415"/>
        </w:trPr>
        <w:tc>
          <w:tcPr>
            <w:tcW w:w="3325" w:type="dxa"/>
            <w:tcBorders>
              <w:bottom w:val="single" w:sz="12" w:space="0" w:color="DDDDDD"/>
            </w:tcBorders>
          </w:tcPr>
          <w:p w14:paraId="7419F16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224F26E2"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51936891"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17837DCC" w14:textId="77777777">
        <w:trPr>
          <w:trHeight w:val="358"/>
        </w:trPr>
        <w:tc>
          <w:tcPr>
            <w:tcW w:w="3325" w:type="dxa"/>
            <w:tcBorders>
              <w:top w:val="single" w:sz="12" w:space="0" w:color="DDDDDD"/>
            </w:tcBorders>
          </w:tcPr>
          <w:p w14:paraId="14887EF6" w14:textId="77777777" w:rsidR="00A720EB" w:rsidRDefault="0030286B">
            <w:pPr>
              <w:pStyle w:val="TableParagraph"/>
              <w:spacing w:before="27"/>
              <w:rPr>
                <w:sz w:val="21"/>
              </w:rPr>
            </w:pPr>
            <w:proofErr w:type="gramStart"/>
            <w:r>
              <w:rPr>
                <w:color w:val="B02045"/>
                <w:sz w:val="21"/>
              </w:rPr>
              <w:t>io.rsocket</w:t>
            </w:r>
            <w:proofErr w:type="gramEnd"/>
          </w:p>
        </w:tc>
        <w:tc>
          <w:tcPr>
            <w:tcW w:w="3325" w:type="dxa"/>
            <w:tcBorders>
              <w:top w:val="single" w:sz="12" w:space="0" w:color="DDDDDD"/>
            </w:tcBorders>
          </w:tcPr>
          <w:p w14:paraId="537B51D2" w14:textId="77777777" w:rsidR="00A720EB" w:rsidRDefault="0030286B">
            <w:pPr>
              <w:pStyle w:val="TableParagraph"/>
              <w:spacing w:before="27"/>
              <w:rPr>
                <w:sz w:val="21"/>
              </w:rPr>
            </w:pPr>
            <w:r>
              <w:rPr>
                <w:color w:val="B02045"/>
                <w:sz w:val="21"/>
              </w:rPr>
              <w:t>rsocket-core</w:t>
            </w:r>
          </w:p>
        </w:tc>
        <w:tc>
          <w:tcPr>
            <w:tcW w:w="3325" w:type="dxa"/>
            <w:tcBorders>
              <w:top w:val="single" w:sz="12" w:space="0" w:color="DDDDDD"/>
            </w:tcBorders>
          </w:tcPr>
          <w:p w14:paraId="3CFED6CE" w14:textId="77777777" w:rsidR="00A720EB" w:rsidRDefault="0030286B">
            <w:pPr>
              <w:pStyle w:val="TableParagraph"/>
              <w:spacing w:before="27"/>
              <w:rPr>
                <w:sz w:val="21"/>
              </w:rPr>
            </w:pPr>
            <w:r>
              <w:rPr>
                <w:color w:val="B02045"/>
                <w:sz w:val="21"/>
              </w:rPr>
              <w:t>1.0.2</w:t>
            </w:r>
          </w:p>
        </w:tc>
      </w:tr>
      <w:tr w:rsidR="00A720EB" w14:paraId="1137B8FE" w14:textId="77777777">
        <w:trPr>
          <w:trHeight w:val="368"/>
        </w:trPr>
        <w:tc>
          <w:tcPr>
            <w:tcW w:w="3325" w:type="dxa"/>
          </w:tcPr>
          <w:p w14:paraId="2A7DB03C" w14:textId="77777777" w:rsidR="00A720EB" w:rsidRDefault="0030286B">
            <w:pPr>
              <w:pStyle w:val="TableParagraph"/>
              <w:spacing w:before="37"/>
              <w:rPr>
                <w:sz w:val="21"/>
              </w:rPr>
            </w:pPr>
            <w:proofErr w:type="gramStart"/>
            <w:r>
              <w:rPr>
                <w:color w:val="B02045"/>
                <w:sz w:val="21"/>
              </w:rPr>
              <w:t>io.rsocket</w:t>
            </w:r>
            <w:proofErr w:type="gramEnd"/>
          </w:p>
        </w:tc>
        <w:tc>
          <w:tcPr>
            <w:tcW w:w="3325" w:type="dxa"/>
          </w:tcPr>
          <w:p w14:paraId="32DEBF52" w14:textId="77777777" w:rsidR="00A720EB" w:rsidRDefault="0030286B">
            <w:pPr>
              <w:pStyle w:val="TableParagraph"/>
              <w:spacing w:before="37"/>
              <w:rPr>
                <w:sz w:val="21"/>
              </w:rPr>
            </w:pPr>
            <w:r>
              <w:rPr>
                <w:color w:val="B02045"/>
                <w:sz w:val="21"/>
              </w:rPr>
              <w:t>rsocket-load-balancer</w:t>
            </w:r>
          </w:p>
        </w:tc>
        <w:tc>
          <w:tcPr>
            <w:tcW w:w="3325" w:type="dxa"/>
          </w:tcPr>
          <w:p w14:paraId="265E783E" w14:textId="77777777" w:rsidR="00A720EB" w:rsidRDefault="0030286B">
            <w:pPr>
              <w:pStyle w:val="TableParagraph"/>
              <w:spacing w:before="37"/>
              <w:rPr>
                <w:sz w:val="21"/>
              </w:rPr>
            </w:pPr>
            <w:r>
              <w:rPr>
                <w:color w:val="B02045"/>
                <w:sz w:val="21"/>
              </w:rPr>
              <w:t>1.0.2</w:t>
            </w:r>
          </w:p>
        </w:tc>
      </w:tr>
      <w:tr w:rsidR="00A720EB" w14:paraId="6378A618" w14:textId="77777777">
        <w:trPr>
          <w:trHeight w:val="368"/>
        </w:trPr>
        <w:tc>
          <w:tcPr>
            <w:tcW w:w="3325" w:type="dxa"/>
          </w:tcPr>
          <w:p w14:paraId="21C0B347" w14:textId="77777777" w:rsidR="00A720EB" w:rsidRDefault="0030286B">
            <w:pPr>
              <w:pStyle w:val="TableParagraph"/>
              <w:spacing w:before="37"/>
              <w:rPr>
                <w:sz w:val="21"/>
              </w:rPr>
            </w:pPr>
            <w:proofErr w:type="gramStart"/>
            <w:r>
              <w:rPr>
                <w:color w:val="B02045"/>
                <w:sz w:val="21"/>
              </w:rPr>
              <w:t>io.rsocket</w:t>
            </w:r>
            <w:proofErr w:type="gramEnd"/>
          </w:p>
        </w:tc>
        <w:tc>
          <w:tcPr>
            <w:tcW w:w="3325" w:type="dxa"/>
          </w:tcPr>
          <w:p w14:paraId="78AA7DCF" w14:textId="77777777" w:rsidR="00A720EB" w:rsidRDefault="0030286B">
            <w:pPr>
              <w:pStyle w:val="TableParagraph"/>
              <w:spacing w:before="37"/>
              <w:rPr>
                <w:sz w:val="21"/>
              </w:rPr>
            </w:pPr>
            <w:r>
              <w:rPr>
                <w:color w:val="B02045"/>
                <w:sz w:val="21"/>
              </w:rPr>
              <w:t>rsocket-micrometer</w:t>
            </w:r>
          </w:p>
        </w:tc>
        <w:tc>
          <w:tcPr>
            <w:tcW w:w="3325" w:type="dxa"/>
          </w:tcPr>
          <w:p w14:paraId="3FA9784B" w14:textId="77777777" w:rsidR="00A720EB" w:rsidRDefault="0030286B">
            <w:pPr>
              <w:pStyle w:val="TableParagraph"/>
              <w:spacing w:before="37"/>
              <w:rPr>
                <w:sz w:val="21"/>
              </w:rPr>
            </w:pPr>
            <w:r>
              <w:rPr>
                <w:color w:val="B02045"/>
                <w:sz w:val="21"/>
              </w:rPr>
              <w:t>1.0.2</w:t>
            </w:r>
          </w:p>
        </w:tc>
      </w:tr>
      <w:tr w:rsidR="00A720EB" w14:paraId="46A82561" w14:textId="77777777">
        <w:trPr>
          <w:trHeight w:val="368"/>
        </w:trPr>
        <w:tc>
          <w:tcPr>
            <w:tcW w:w="3325" w:type="dxa"/>
          </w:tcPr>
          <w:p w14:paraId="2688C02F" w14:textId="77777777" w:rsidR="00A720EB" w:rsidRDefault="0030286B">
            <w:pPr>
              <w:pStyle w:val="TableParagraph"/>
              <w:rPr>
                <w:sz w:val="21"/>
              </w:rPr>
            </w:pPr>
            <w:proofErr w:type="gramStart"/>
            <w:r>
              <w:rPr>
                <w:color w:val="B02045"/>
                <w:sz w:val="21"/>
              </w:rPr>
              <w:t>io.rsocket</w:t>
            </w:r>
            <w:proofErr w:type="gramEnd"/>
          </w:p>
        </w:tc>
        <w:tc>
          <w:tcPr>
            <w:tcW w:w="3325" w:type="dxa"/>
          </w:tcPr>
          <w:p w14:paraId="6741A044" w14:textId="77777777" w:rsidR="00A720EB" w:rsidRDefault="0030286B">
            <w:pPr>
              <w:pStyle w:val="TableParagraph"/>
              <w:rPr>
                <w:sz w:val="21"/>
              </w:rPr>
            </w:pPr>
            <w:r>
              <w:rPr>
                <w:color w:val="B02045"/>
                <w:sz w:val="21"/>
              </w:rPr>
              <w:t>rsocket-test</w:t>
            </w:r>
          </w:p>
        </w:tc>
        <w:tc>
          <w:tcPr>
            <w:tcW w:w="3325" w:type="dxa"/>
          </w:tcPr>
          <w:p w14:paraId="5BAE3EB2" w14:textId="77777777" w:rsidR="00A720EB" w:rsidRDefault="0030286B">
            <w:pPr>
              <w:pStyle w:val="TableParagraph"/>
              <w:rPr>
                <w:sz w:val="21"/>
              </w:rPr>
            </w:pPr>
            <w:r>
              <w:rPr>
                <w:color w:val="B02045"/>
                <w:sz w:val="21"/>
              </w:rPr>
              <w:t>1.0.2</w:t>
            </w:r>
          </w:p>
        </w:tc>
      </w:tr>
      <w:tr w:rsidR="00A720EB" w14:paraId="6DC5B985" w14:textId="77777777">
        <w:trPr>
          <w:trHeight w:val="368"/>
        </w:trPr>
        <w:tc>
          <w:tcPr>
            <w:tcW w:w="3325" w:type="dxa"/>
          </w:tcPr>
          <w:p w14:paraId="3BAED799" w14:textId="77777777" w:rsidR="00A720EB" w:rsidRDefault="0030286B">
            <w:pPr>
              <w:pStyle w:val="TableParagraph"/>
              <w:rPr>
                <w:sz w:val="21"/>
              </w:rPr>
            </w:pPr>
            <w:proofErr w:type="gramStart"/>
            <w:r>
              <w:rPr>
                <w:color w:val="B02045"/>
                <w:sz w:val="21"/>
              </w:rPr>
              <w:t>io.rsocket</w:t>
            </w:r>
            <w:proofErr w:type="gramEnd"/>
          </w:p>
        </w:tc>
        <w:tc>
          <w:tcPr>
            <w:tcW w:w="3325" w:type="dxa"/>
          </w:tcPr>
          <w:p w14:paraId="3D91EEDC" w14:textId="77777777" w:rsidR="00A720EB" w:rsidRDefault="0030286B">
            <w:pPr>
              <w:pStyle w:val="TableParagraph"/>
              <w:rPr>
                <w:sz w:val="21"/>
              </w:rPr>
            </w:pPr>
            <w:r>
              <w:rPr>
                <w:color w:val="B02045"/>
                <w:sz w:val="21"/>
              </w:rPr>
              <w:t>rsocket-transport-local</w:t>
            </w:r>
          </w:p>
        </w:tc>
        <w:tc>
          <w:tcPr>
            <w:tcW w:w="3325" w:type="dxa"/>
          </w:tcPr>
          <w:p w14:paraId="22854571" w14:textId="77777777" w:rsidR="00A720EB" w:rsidRDefault="0030286B">
            <w:pPr>
              <w:pStyle w:val="TableParagraph"/>
              <w:rPr>
                <w:sz w:val="21"/>
              </w:rPr>
            </w:pPr>
            <w:r>
              <w:rPr>
                <w:color w:val="B02045"/>
                <w:sz w:val="21"/>
              </w:rPr>
              <w:t>1.0.2</w:t>
            </w:r>
          </w:p>
        </w:tc>
      </w:tr>
      <w:tr w:rsidR="00A720EB" w14:paraId="15275237" w14:textId="77777777">
        <w:trPr>
          <w:trHeight w:val="368"/>
        </w:trPr>
        <w:tc>
          <w:tcPr>
            <w:tcW w:w="3325" w:type="dxa"/>
          </w:tcPr>
          <w:p w14:paraId="556B095E" w14:textId="77777777" w:rsidR="00A720EB" w:rsidRDefault="0030286B">
            <w:pPr>
              <w:pStyle w:val="TableParagraph"/>
              <w:rPr>
                <w:sz w:val="21"/>
              </w:rPr>
            </w:pPr>
            <w:proofErr w:type="gramStart"/>
            <w:r>
              <w:rPr>
                <w:color w:val="B02045"/>
                <w:sz w:val="21"/>
              </w:rPr>
              <w:t>io.rsocket</w:t>
            </w:r>
            <w:proofErr w:type="gramEnd"/>
          </w:p>
        </w:tc>
        <w:tc>
          <w:tcPr>
            <w:tcW w:w="3325" w:type="dxa"/>
          </w:tcPr>
          <w:p w14:paraId="06534447" w14:textId="77777777" w:rsidR="00A720EB" w:rsidRDefault="0030286B">
            <w:pPr>
              <w:pStyle w:val="TableParagraph"/>
              <w:rPr>
                <w:sz w:val="21"/>
              </w:rPr>
            </w:pPr>
            <w:r>
              <w:rPr>
                <w:color w:val="B02045"/>
                <w:sz w:val="21"/>
              </w:rPr>
              <w:t>rsocket-transport-netty</w:t>
            </w:r>
          </w:p>
        </w:tc>
        <w:tc>
          <w:tcPr>
            <w:tcW w:w="3325" w:type="dxa"/>
          </w:tcPr>
          <w:p w14:paraId="436F0533" w14:textId="77777777" w:rsidR="00A720EB" w:rsidRDefault="0030286B">
            <w:pPr>
              <w:pStyle w:val="TableParagraph"/>
              <w:rPr>
                <w:sz w:val="21"/>
              </w:rPr>
            </w:pPr>
            <w:r>
              <w:rPr>
                <w:color w:val="B02045"/>
                <w:sz w:val="21"/>
              </w:rPr>
              <w:t>1.0.2</w:t>
            </w:r>
          </w:p>
        </w:tc>
      </w:tr>
      <w:tr w:rsidR="00A720EB" w14:paraId="1CFAE477" w14:textId="77777777">
        <w:trPr>
          <w:trHeight w:val="368"/>
        </w:trPr>
        <w:tc>
          <w:tcPr>
            <w:tcW w:w="3325" w:type="dxa"/>
          </w:tcPr>
          <w:p w14:paraId="2089D5E8" w14:textId="77777777" w:rsidR="00A720EB" w:rsidRDefault="0030286B">
            <w:pPr>
              <w:pStyle w:val="TableParagraph"/>
              <w:rPr>
                <w:sz w:val="21"/>
              </w:rPr>
            </w:pPr>
            <w:proofErr w:type="gramStart"/>
            <w:r>
              <w:rPr>
                <w:color w:val="B02045"/>
                <w:sz w:val="21"/>
              </w:rPr>
              <w:t>io.spring</w:t>
            </w:r>
            <w:proofErr w:type="gramEnd"/>
            <w:r>
              <w:rPr>
                <w:color w:val="B02045"/>
                <w:sz w:val="21"/>
              </w:rPr>
              <w:t>.gradle</w:t>
            </w:r>
          </w:p>
        </w:tc>
        <w:tc>
          <w:tcPr>
            <w:tcW w:w="3325" w:type="dxa"/>
          </w:tcPr>
          <w:p w14:paraId="62DFFB86" w14:textId="77777777" w:rsidR="00A720EB" w:rsidRDefault="0030286B">
            <w:pPr>
              <w:pStyle w:val="TableParagraph"/>
              <w:rPr>
                <w:sz w:val="21"/>
              </w:rPr>
            </w:pPr>
            <w:r>
              <w:rPr>
                <w:color w:val="B02045"/>
                <w:sz w:val="21"/>
              </w:rPr>
              <w:t>dependency-management-plugin</w:t>
            </w:r>
          </w:p>
        </w:tc>
        <w:tc>
          <w:tcPr>
            <w:tcW w:w="3325" w:type="dxa"/>
          </w:tcPr>
          <w:p w14:paraId="45C12024" w14:textId="77777777" w:rsidR="00A720EB" w:rsidRDefault="0030286B">
            <w:pPr>
              <w:pStyle w:val="TableParagraph"/>
              <w:rPr>
                <w:sz w:val="21"/>
              </w:rPr>
            </w:pPr>
            <w:r>
              <w:rPr>
                <w:color w:val="B02045"/>
                <w:sz w:val="21"/>
              </w:rPr>
              <w:t>1.0.</w:t>
            </w:r>
            <w:proofErr w:type="gramStart"/>
            <w:r>
              <w:rPr>
                <w:color w:val="B02045"/>
                <w:sz w:val="21"/>
              </w:rPr>
              <w:t>10.RELEASE</w:t>
            </w:r>
            <w:proofErr w:type="gramEnd"/>
          </w:p>
        </w:tc>
      </w:tr>
      <w:tr w:rsidR="00A720EB" w14:paraId="7E331ADB" w14:textId="77777777">
        <w:trPr>
          <w:trHeight w:val="368"/>
        </w:trPr>
        <w:tc>
          <w:tcPr>
            <w:tcW w:w="3325" w:type="dxa"/>
          </w:tcPr>
          <w:p w14:paraId="601B6579" w14:textId="77777777" w:rsidR="00A720EB" w:rsidRDefault="0030286B">
            <w:pPr>
              <w:pStyle w:val="TableParagraph"/>
              <w:spacing w:before="37"/>
              <w:rPr>
                <w:sz w:val="21"/>
              </w:rPr>
            </w:pPr>
            <w:proofErr w:type="gramStart"/>
            <w:r>
              <w:rPr>
                <w:color w:val="B02045"/>
                <w:sz w:val="21"/>
              </w:rPr>
              <w:t>io.undertow</w:t>
            </w:r>
            <w:proofErr w:type="gramEnd"/>
          </w:p>
        </w:tc>
        <w:tc>
          <w:tcPr>
            <w:tcW w:w="3325" w:type="dxa"/>
          </w:tcPr>
          <w:p w14:paraId="1610AE4C" w14:textId="77777777" w:rsidR="00A720EB" w:rsidRDefault="0030286B">
            <w:pPr>
              <w:pStyle w:val="TableParagraph"/>
              <w:spacing w:before="37"/>
              <w:rPr>
                <w:sz w:val="21"/>
              </w:rPr>
            </w:pPr>
            <w:r>
              <w:rPr>
                <w:color w:val="B02045"/>
                <w:sz w:val="21"/>
              </w:rPr>
              <w:t>undertow-core</w:t>
            </w:r>
          </w:p>
        </w:tc>
        <w:tc>
          <w:tcPr>
            <w:tcW w:w="3325" w:type="dxa"/>
          </w:tcPr>
          <w:p w14:paraId="18FB5D33" w14:textId="77777777" w:rsidR="00A720EB" w:rsidRDefault="0030286B">
            <w:pPr>
              <w:pStyle w:val="TableParagraph"/>
              <w:spacing w:before="37"/>
              <w:rPr>
                <w:sz w:val="21"/>
              </w:rPr>
            </w:pPr>
            <w:r>
              <w:rPr>
                <w:color w:val="B02045"/>
                <w:sz w:val="21"/>
              </w:rPr>
              <w:t>2.1.</w:t>
            </w:r>
            <w:proofErr w:type="gramStart"/>
            <w:r>
              <w:rPr>
                <w:color w:val="B02045"/>
                <w:sz w:val="21"/>
              </w:rPr>
              <w:t>4.Final</w:t>
            </w:r>
            <w:proofErr w:type="gramEnd"/>
          </w:p>
        </w:tc>
      </w:tr>
      <w:tr w:rsidR="00A720EB" w14:paraId="5374AB68" w14:textId="77777777">
        <w:trPr>
          <w:trHeight w:val="368"/>
        </w:trPr>
        <w:tc>
          <w:tcPr>
            <w:tcW w:w="3325" w:type="dxa"/>
          </w:tcPr>
          <w:p w14:paraId="099A3FA5" w14:textId="77777777" w:rsidR="00A720EB" w:rsidRDefault="0030286B">
            <w:pPr>
              <w:pStyle w:val="TableParagraph"/>
              <w:spacing w:before="37"/>
              <w:rPr>
                <w:sz w:val="21"/>
              </w:rPr>
            </w:pPr>
            <w:proofErr w:type="gramStart"/>
            <w:r>
              <w:rPr>
                <w:color w:val="B02045"/>
                <w:sz w:val="21"/>
              </w:rPr>
              <w:t>io.undertow</w:t>
            </w:r>
            <w:proofErr w:type="gramEnd"/>
          </w:p>
        </w:tc>
        <w:tc>
          <w:tcPr>
            <w:tcW w:w="3325" w:type="dxa"/>
          </w:tcPr>
          <w:p w14:paraId="7D88489F" w14:textId="77777777" w:rsidR="00A720EB" w:rsidRDefault="0030286B">
            <w:pPr>
              <w:pStyle w:val="TableParagraph"/>
              <w:spacing w:before="37"/>
              <w:rPr>
                <w:sz w:val="21"/>
              </w:rPr>
            </w:pPr>
            <w:r>
              <w:rPr>
                <w:color w:val="B02045"/>
                <w:sz w:val="21"/>
              </w:rPr>
              <w:t>undertow-servlet</w:t>
            </w:r>
          </w:p>
        </w:tc>
        <w:tc>
          <w:tcPr>
            <w:tcW w:w="3325" w:type="dxa"/>
          </w:tcPr>
          <w:p w14:paraId="7056F7FD" w14:textId="77777777" w:rsidR="00A720EB" w:rsidRDefault="0030286B">
            <w:pPr>
              <w:pStyle w:val="TableParagraph"/>
              <w:spacing w:before="37"/>
              <w:rPr>
                <w:sz w:val="21"/>
              </w:rPr>
            </w:pPr>
            <w:r>
              <w:rPr>
                <w:color w:val="B02045"/>
                <w:sz w:val="21"/>
              </w:rPr>
              <w:t>2.1.</w:t>
            </w:r>
            <w:proofErr w:type="gramStart"/>
            <w:r>
              <w:rPr>
                <w:color w:val="B02045"/>
                <w:sz w:val="21"/>
              </w:rPr>
              <w:t>4.Final</w:t>
            </w:r>
            <w:proofErr w:type="gramEnd"/>
          </w:p>
        </w:tc>
      </w:tr>
      <w:tr w:rsidR="00A720EB" w14:paraId="4B30C1A6" w14:textId="77777777">
        <w:trPr>
          <w:trHeight w:val="368"/>
        </w:trPr>
        <w:tc>
          <w:tcPr>
            <w:tcW w:w="3325" w:type="dxa"/>
          </w:tcPr>
          <w:p w14:paraId="3DE0906B" w14:textId="77777777" w:rsidR="00A720EB" w:rsidRDefault="0030286B">
            <w:pPr>
              <w:pStyle w:val="TableParagraph"/>
              <w:spacing w:before="37"/>
              <w:rPr>
                <w:sz w:val="21"/>
              </w:rPr>
            </w:pPr>
            <w:proofErr w:type="gramStart"/>
            <w:r>
              <w:rPr>
                <w:color w:val="B02045"/>
                <w:sz w:val="21"/>
              </w:rPr>
              <w:t>io.undertow</w:t>
            </w:r>
            <w:proofErr w:type="gramEnd"/>
          </w:p>
        </w:tc>
        <w:tc>
          <w:tcPr>
            <w:tcW w:w="3325" w:type="dxa"/>
          </w:tcPr>
          <w:p w14:paraId="6B113854" w14:textId="77777777" w:rsidR="00A720EB" w:rsidRDefault="0030286B">
            <w:pPr>
              <w:pStyle w:val="TableParagraph"/>
              <w:spacing w:before="37"/>
              <w:rPr>
                <w:sz w:val="21"/>
              </w:rPr>
            </w:pPr>
            <w:r>
              <w:rPr>
                <w:color w:val="B02045"/>
                <w:sz w:val="21"/>
              </w:rPr>
              <w:t>undertow-websockets-jsr</w:t>
            </w:r>
          </w:p>
        </w:tc>
        <w:tc>
          <w:tcPr>
            <w:tcW w:w="3325" w:type="dxa"/>
          </w:tcPr>
          <w:p w14:paraId="0EAAD818" w14:textId="77777777" w:rsidR="00A720EB" w:rsidRDefault="0030286B">
            <w:pPr>
              <w:pStyle w:val="TableParagraph"/>
              <w:spacing w:before="37"/>
              <w:rPr>
                <w:sz w:val="21"/>
              </w:rPr>
            </w:pPr>
            <w:r>
              <w:rPr>
                <w:color w:val="B02045"/>
                <w:sz w:val="21"/>
              </w:rPr>
              <w:t>2.1.</w:t>
            </w:r>
            <w:proofErr w:type="gramStart"/>
            <w:r>
              <w:rPr>
                <w:color w:val="B02045"/>
                <w:sz w:val="21"/>
              </w:rPr>
              <w:t>4.Final</w:t>
            </w:r>
            <w:proofErr w:type="gramEnd"/>
          </w:p>
        </w:tc>
      </w:tr>
      <w:tr w:rsidR="00A720EB" w14:paraId="0FF7FEFA" w14:textId="77777777">
        <w:trPr>
          <w:trHeight w:val="368"/>
        </w:trPr>
        <w:tc>
          <w:tcPr>
            <w:tcW w:w="3325" w:type="dxa"/>
          </w:tcPr>
          <w:p w14:paraId="2881C83C" w14:textId="77777777" w:rsidR="00A720EB" w:rsidRDefault="0030286B">
            <w:pPr>
              <w:pStyle w:val="TableParagraph"/>
              <w:spacing w:before="37"/>
              <w:rPr>
                <w:sz w:val="21"/>
              </w:rPr>
            </w:pPr>
            <w:proofErr w:type="gramStart"/>
            <w:r>
              <w:rPr>
                <w:color w:val="B02045"/>
                <w:sz w:val="21"/>
              </w:rPr>
              <w:t>jakarta.activation</w:t>
            </w:r>
            <w:proofErr w:type="gramEnd"/>
          </w:p>
        </w:tc>
        <w:tc>
          <w:tcPr>
            <w:tcW w:w="3325" w:type="dxa"/>
          </w:tcPr>
          <w:p w14:paraId="15EB71DA" w14:textId="77777777" w:rsidR="00A720EB" w:rsidRDefault="0030286B">
            <w:pPr>
              <w:pStyle w:val="TableParagraph"/>
              <w:spacing w:before="37"/>
              <w:rPr>
                <w:sz w:val="21"/>
              </w:rPr>
            </w:pPr>
            <w:proofErr w:type="gramStart"/>
            <w:r>
              <w:rPr>
                <w:color w:val="B02045"/>
                <w:sz w:val="21"/>
              </w:rPr>
              <w:t>jakarta.activation</w:t>
            </w:r>
            <w:proofErr w:type="gramEnd"/>
            <w:r>
              <w:rPr>
                <w:color w:val="B02045"/>
                <w:sz w:val="21"/>
              </w:rPr>
              <w:t>-api</w:t>
            </w:r>
          </w:p>
        </w:tc>
        <w:tc>
          <w:tcPr>
            <w:tcW w:w="3325" w:type="dxa"/>
          </w:tcPr>
          <w:p w14:paraId="047B79B0" w14:textId="77777777" w:rsidR="00A720EB" w:rsidRDefault="0030286B">
            <w:pPr>
              <w:pStyle w:val="TableParagraph"/>
              <w:spacing w:before="37"/>
              <w:rPr>
                <w:sz w:val="21"/>
              </w:rPr>
            </w:pPr>
            <w:r>
              <w:rPr>
                <w:color w:val="B02045"/>
                <w:sz w:val="21"/>
              </w:rPr>
              <w:t>1.2.2</w:t>
            </w:r>
          </w:p>
        </w:tc>
      </w:tr>
      <w:tr w:rsidR="00A720EB" w14:paraId="644BD2BE" w14:textId="77777777">
        <w:trPr>
          <w:trHeight w:val="368"/>
        </w:trPr>
        <w:tc>
          <w:tcPr>
            <w:tcW w:w="3325" w:type="dxa"/>
          </w:tcPr>
          <w:p w14:paraId="37FD6C7A" w14:textId="77777777" w:rsidR="00A720EB" w:rsidRDefault="0030286B">
            <w:pPr>
              <w:pStyle w:val="TableParagraph"/>
              <w:rPr>
                <w:sz w:val="21"/>
              </w:rPr>
            </w:pPr>
            <w:proofErr w:type="gramStart"/>
            <w:r>
              <w:rPr>
                <w:color w:val="B02045"/>
                <w:sz w:val="21"/>
              </w:rPr>
              <w:t>jakarta.annotation</w:t>
            </w:r>
            <w:proofErr w:type="gramEnd"/>
          </w:p>
        </w:tc>
        <w:tc>
          <w:tcPr>
            <w:tcW w:w="3325" w:type="dxa"/>
          </w:tcPr>
          <w:p w14:paraId="10374BE1" w14:textId="77777777" w:rsidR="00A720EB" w:rsidRDefault="0030286B">
            <w:pPr>
              <w:pStyle w:val="TableParagraph"/>
              <w:rPr>
                <w:sz w:val="21"/>
              </w:rPr>
            </w:pPr>
            <w:proofErr w:type="gramStart"/>
            <w:r>
              <w:rPr>
                <w:color w:val="B02045"/>
                <w:sz w:val="21"/>
              </w:rPr>
              <w:t>jakarta.annotation</w:t>
            </w:r>
            <w:proofErr w:type="gramEnd"/>
            <w:r>
              <w:rPr>
                <w:color w:val="B02045"/>
                <w:sz w:val="21"/>
              </w:rPr>
              <w:t>-api</w:t>
            </w:r>
          </w:p>
        </w:tc>
        <w:tc>
          <w:tcPr>
            <w:tcW w:w="3325" w:type="dxa"/>
          </w:tcPr>
          <w:p w14:paraId="3466BC1F" w14:textId="77777777" w:rsidR="00A720EB" w:rsidRDefault="0030286B">
            <w:pPr>
              <w:pStyle w:val="TableParagraph"/>
              <w:rPr>
                <w:sz w:val="21"/>
              </w:rPr>
            </w:pPr>
            <w:r>
              <w:rPr>
                <w:color w:val="B02045"/>
                <w:sz w:val="21"/>
              </w:rPr>
              <w:t>1.3.5</w:t>
            </w:r>
          </w:p>
        </w:tc>
      </w:tr>
      <w:tr w:rsidR="00A720EB" w14:paraId="05426491" w14:textId="77777777">
        <w:trPr>
          <w:trHeight w:val="368"/>
        </w:trPr>
        <w:tc>
          <w:tcPr>
            <w:tcW w:w="3325" w:type="dxa"/>
          </w:tcPr>
          <w:p w14:paraId="4BE0A8ED" w14:textId="77777777" w:rsidR="00A720EB" w:rsidRDefault="0030286B">
            <w:pPr>
              <w:pStyle w:val="TableParagraph"/>
              <w:rPr>
                <w:sz w:val="21"/>
              </w:rPr>
            </w:pPr>
            <w:r>
              <w:rPr>
                <w:color w:val="B02045"/>
                <w:sz w:val="21"/>
              </w:rPr>
              <w:t>jakarta.jms</w:t>
            </w:r>
          </w:p>
        </w:tc>
        <w:tc>
          <w:tcPr>
            <w:tcW w:w="3325" w:type="dxa"/>
          </w:tcPr>
          <w:p w14:paraId="04BD6724" w14:textId="77777777" w:rsidR="00A720EB" w:rsidRDefault="0030286B">
            <w:pPr>
              <w:pStyle w:val="TableParagraph"/>
              <w:rPr>
                <w:sz w:val="21"/>
              </w:rPr>
            </w:pPr>
            <w:r>
              <w:rPr>
                <w:color w:val="B02045"/>
                <w:sz w:val="21"/>
              </w:rPr>
              <w:t>jakarta.jms-api</w:t>
            </w:r>
          </w:p>
        </w:tc>
        <w:tc>
          <w:tcPr>
            <w:tcW w:w="3325" w:type="dxa"/>
          </w:tcPr>
          <w:p w14:paraId="712A77CA" w14:textId="77777777" w:rsidR="00A720EB" w:rsidRDefault="0030286B">
            <w:pPr>
              <w:pStyle w:val="TableParagraph"/>
              <w:rPr>
                <w:sz w:val="21"/>
              </w:rPr>
            </w:pPr>
            <w:r>
              <w:rPr>
                <w:color w:val="B02045"/>
                <w:sz w:val="21"/>
              </w:rPr>
              <w:t>2.0.3</w:t>
            </w:r>
          </w:p>
        </w:tc>
      </w:tr>
      <w:tr w:rsidR="00A720EB" w14:paraId="6F6D4F5B" w14:textId="77777777">
        <w:trPr>
          <w:trHeight w:val="368"/>
        </w:trPr>
        <w:tc>
          <w:tcPr>
            <w:tcW w:w="3325" w:type="dxa"/>
          </w:tcPr>
          <w:p w14:paraId="5F18BC9B" w14:textId="77777777" w:rsidR="00A720EB" w:rsidRDefault="0030286B">
            <w:pPr>
              <w:pStyle w:val="TableParagraph"/>
              <w:rPr>
                <w:sz w:val="21"/>
              </w:rPr>
            </w:pPr>
            <w:proofErr w:type="gramStart"/>
            <w:r>
              <w:rPr>
                <w:color w:val="B02045"/>
                <w:sz w:val="21"/>
              </w:rPr>
              <w:t>jakarta.json</w:t>
            </w:r>
            <w:proofErr w:type="gramEnd"/>
          </w:p>
        </w:tc>
        <w:tc>
          <w:tcPr>
            <w:tcW w:w="3325" w:type="dxa"/>
          </w:tcPr>
          <w:p w14:paraId="53086D69" w14:textId="77777777" w:rsidR="00A720EB" w:rsidRDefault="0030286B">
            <w:pPr>
              <w:pStyle w:val="TableParagraph"/>
              <w:rPr>
                <w:sz w:val="21"/>
              </w:rPr>
            </w:pPr>
            <w:proofErr w:type="gramStart"/>
            <w:r>
              <w:rPr>
                <w:color w:val="B02045"/>
                <w:sz w:val="21"/>
              </w:rPr>
              <w:t>jakarta.json</w:t>
            </w:r>
            <w:proofErr w:type="gramEnd"/>
            <w:r>
              <w:rPr>
                <w:color w:val="B02045"/>
                <w:sz w:val="21"/>
              </w:rPr>
              <w:t>-api</w:t>
            </w:r>
          </w:p>
        </w:tc>
        <w:tc>
          <w:tcPr>
            <w:tcW w:w="3325" w:type="dxa"/>
          </w:tcPr>
          <w:p w14:paraId="055A2C97" w14:textId="77777777" w:rsidR="00A720EB" w:rsidRDefault="0030286B">
            <w:pPr>
              <w:pStyle w:val="TableParagraph"/>
              <w:rPr>
                <w:sz w:val="21"/>
              </w:rPr>
            </w:pPr>
            <w:r>
              <w:rPr>
                <w:color w:val="B02045"/>
                <w:sz w:val="21"/>
              </w:rPr>
              <w:t>1.1.6</w:t>
            </w:r>
          </w:p>
        </w:tc>
      </w:tr>
      <w:tr w:rsidR="00A720EB" w14:paraId="5920912F" w14:textId="77777777">
        <w:trPr>
          <w:trHeight w:val="368"/>
        </w:trPr>
        <w:tc>
          <w:tcPr>
            <w:tcW w:w="3325" w:type="dxa"/>
          </w:tcPr>
          <w:p w14:paraId="4F8A403B" w14:textId="77777777" w:rsidR="00A720EB" w:rsidRDefault="0030286B">
            <w:pPr>
              <w:pStyle w:val="TableParagraph"/>
              <w:spacing w:before="37"/>
              <w:rPr>
                <w:sz w:val="21"/>
              </w:rPr>
            </w:pPr>
            <w:proofErr w:type="gramStart"/>
            <w:r>
              <w:rPr>
                <w:color w:val="B02045"/>
                <w:sz w:val="21"/>
              </w:rPr>
              <w:t>jakarta.json</w:t>
            </w:r>
            <w:proofErr w:type="gramEnd"/>
            <w:r>
              <w:rPr>
                <w:color w:val="B02045"/>
                <w:sz w:val="21"/>
              </w:rPr>
              <w:t>.bind</w:t>
            </w:r>
          </w:p>
        </w:tc>
        <w:tc>
          <w:tcPr>
            <w:tcW w:w="3325" w:type="dxa"/>
          </w:tcPr>
          <w:p w14:paraId="05CF001D" w14:textId="77777777" w:rsidR="00A720EB" w:rsidRDefault="0030286B">
            <w:pPr>
              <w:pStyle w:val="TableParagraph"/>
              <w:spacing w:before="37"/>
              <w:rPr>
                <w:sz w:val="21"/>
              </w:rPr>
            </w:pPr>
            <w:proofErr w:type="gramStart"/>
            <w:r>
              <w:rPr>
                <w:color w:val="B02045"/>
                <w:sz w:val="21"/>
              </w:rPr>
              <w:t>jakarta.json</w:t>
            </w:r>
            <w:proofErr w:type="gramEnd"/>
            <w:r>
              <w:rPr>
                <w:color w:val="B02045"/>
                <w:sz w:val="21"/>
              </w:rPr>
              <w:t>.bind-api</w:t>
            </w:r>
          </w:p>
        </w:tc>
        <w:tc>
          <w:tcPr>
            <w:tcW w:w="3325" w:type="dxa"/>
          </w:tcPr>
          <w:p w14:paraId="7144027E" w14:textId="77777777" w:rsidR="00A720EB" w:rsidRDefault="0030286B">
            <w:pPr>
              <w:pStyle w:val="TableParagraph"/>
              <w:spacing w:before="37"/>
              <w:rPr>
                <w:sz w:val="21"/>
              </w:rPr>
            </w:pPr>
            <w:r>
              <w:rPr>
                <w:color w:val="B02045"/>
                <w:sz w:val="21"/>
              </w:rPr>
              <w:t>1.0.2</w:t>
            </w:r>
          </w:p>
        </w:tc>
      </w:tr>
      <w:tr w:rsidR="00A720EB" w14:paraId="37C866DE" w14:textId="77777777">
        <w:trPr>
          <w:trHeight w:val="368"/>
        </w:trPr>
        <w:tc>
          <w:tcPr>
            <w:tcW w:w="3325" w:type="dxa"/>
          </w:tcPr>
          <w:p w14:paraId="516EAA30" w14:textId="77777777" w:rsidR="00A720EB" w:rsidRDefault="0030286B">
            <w:pPr>
              <w:pStyle w:val="TableParagraph"/>
              <w:rPr>
                <w:sz w:val="21"/>
              </w:rPr>
            </w:pPr>
            <w:proofErr w:type="gramStart"/>
            <w:r>
              <w:rPr>
                <w:color w:val="B02045"/>
                <w:sz w:val="21"/>
              </w:rPr>
              <w:t>jakarta.mail</w:t>
            </w:r>
            <w:proofErr w:type="gramEnd"/>
          </w:p>
        </w:tc>
        <w:tc>
          <w:tcPr>
            <w:tcW w:w="3325" w:type="dxa"/>
          </w:tcPr>
          <w:p w14:paraId="1D83E5C8" w14:textId="77777777" w:rsidR="00A720EB" w:rsidRDefault="0030286B">
            <w:pPr>
              <w:pStyle w:val="TableParagraph"/>
              <w:rPr>
                <w:sz w:val="21"/>
              </w:rPr>
            </w:pPr>
            <w:proofErr w:type="gramStart"/>
            <w:r>
              <w:rPr>
                <w:color w:val="B02045"/>
                <w:sz w:val="21"/>
              </w:rPr>
              <w:t>jakarta.mail</w:t>
            </w:r>
            <w:proofErr w:type="gramEnd"/>
            <w:r>
              <w:rPr>
                <w:color w:val="B02045"/>
                <w:sz w:val="21"/>
              </w:rPr>
              <w:t>-api</w:t>
            </w:r>
          </w:p>
        </w:tc>
        <w:tc>
          <w:tcPr>
            <w:tcW w:w="3325" w:type="dxa"/>
          </w:tcPr>
          <w:p w14:paraId="6812E42C" w14:textId="77777777" w:rsidR="00A720EB" w:rsidRDefault="0030286B">
            <w:pPr>
              <w:pStyle w:val="TableParagraph"/>
              <w:rPr>
                <w:sz w:val="21"/>
              </w:rPr>
            </w:pPr>
            <w:r>
              <w:rPr>
                <w:color w:val="B02045"/>
                <w:sz w:val="21"/>
              </w:rPr>
              <w:t>1.6.5</w:t>
            </w:r>
          </w:p>
        </w:tc>
      </w:tr>
      <w:tr w:rsidR="00A720EB" w14:paraId="15E036B1" w14:textId="77777777">
        <w:trPr>
          <w:trHeight w:val="368"/>
        </w:trPr>
        <w:tc>
          <w:tcPr>
            <w:tcW w:w="3325" w:type="dxa"/>
          </w:tcPr>
          <w:p w14:paraId="1E1F284B" w14:textId="77777777" w:rsidR="00A720EB" w:rsidRDefault="0030286B">
            <w:pPr>
              <w:pStyle w:val="TableParagraph"/>
              <w:rPr>
                <w:sz w:val="21"/>
              </w:rPr>
            </w:pPr>
            <w:proofErr w:type="gramStart"/>
            <w:r>
              <w:rPr>
                <w:color w:val="B02045"/>
                <w:sz w:val="21"/>
              </w:rPr>
              <w:t>jakarta.persistence</w:t>
            </w:r>
            <w:proofErr w:type="gramEnd"/>
          </w:p>
        </w:tc>
        <w:tc>
          <w:tcPr>
            <w:tcW w:w="3325" w:type="dxa"/>
          </w:tcPr>
          <w:p w14:paraId="2C599053" w14:textId="77777777" w:rsidR="00A720EB" w:rsidRDefault="0030286B">
            <w:pPr>
              <w:pStyle w:val="TableParagraph"/>
              <w:rPr>
                <w:sz w:val="21"/>
              </w:rPr>
            </w:pPr>
            <w:proofErr w:type="gramStart"/>
            <w:r>
              <w:rPr>
                <w:color w:val="B02045"/>
                <w:sz w:val="21"/>
              </w:rPr>
              <w:t>jakarta.persistence</w:t>
            </w:r>
            <w:proofErr w:type="gramEnd"/>
            <w:r>
              <w:rPr>
                <w:color w:val="B02045"/>
                <w:sz w:val="21"/>
              </w:rPr>
              <w:t>-api</w:t>
            </w:r>
          </w:p>
        </w:tc>
        <w:tc>
          <w:tcPr>
            <w:tcW w:w="3325" w:type="dxa"/>
          </w:tcPr>
          <w:p w14:paraId="03029A25" w14:textId="77777777" w:rsidR="00A720EB" w:rsidRDefault="0030286B">
            <w:pPr>
              <w:pStyle w:val="TableParagraph"/>
              <w:rPr>
                <w:sz w:val="21"/>
              </w:rPr>
            </w:pPr>
            <w:r>
              <w:rPr>
                <w:color w:val="B02045"/>
                <w:sz w:val="21"/>
              </w:rPr>
              <w:t>2.2.3</w:t>
            </w:r>
          </w:p>
        </w:tc>
      </w:tr>
      <w:tr w:rsidR="00A720EB" w14:paraId="07BC8F67" w14:textId="77777777">
        <w:trPr>
          <w:trHeight w:val="368"/>
        </w:trPr>
        <w:tc>
          <w:tcPr>
            <w:tcW w:w="3325" w:type="dxa"/>
          </w:tcPr>
          <w:p w14:paraId="559ECF16" w14:textId="77777777" w:rsidR="00A720EB" w:rsidRDefault="0030286B">
            <w:pPr>
              <w:pStyle w:val="TableParagraph"/>
              <w:spacing w:before="37"/>
              <w:rPr>
                <w:sz w:val="21"/>
              </w:rPr>
            </w:pPr>
            <w:proofErr w:type="gramStart"/>
            <w:r>
              <w:rPr>
                <w:color w:val="B02045"/>
                <w:sz w:val="21"/>
              </w:rPr>
              <w:t>jakarta.servlet</w:t>
            </w:r>
            <w:proofErr w:type="gramEnd"/>
          </w:p>
        </w:tc>
        <w:tc>
          <w:tcPr>
            <w:tcW w:w="3325" w:type="dxa"/>
          </w:tcPr>
          <w:p w14:paraId="487B64F8" w14:textId="77777777" w:rsidR="00A720EB" w:rsidRDefault="0030286B">
            <w:pPr>
              <w:pStyle w:val="TableParagraph"/>
              <w:spacing w:before="37"/>
              <w:rPr>
                <w:sz w:val="21"/>
              </w:rPr>
            </w:pPr>
            <w:proofErr w:type="gramStart"/>
            <w:r>
              <w:rPr>
                <w:color w:val="B02045"/>
                <w:sz w:val="21"/>
              </w:rPr>
              <w:t>jakarta.servlet</w:t>
            </w:r>
            <w:proofErr w:type="gramEnd"/>
            <w:r>
              <w:rPr>
                <w:color w:val="B02045"/>
                <w:sz w:val="21"/>
              </w:rPr>
              <w:t>-api</w:t>
            </w:r>
          </w:p>
        </w:tc>
        <w:tc>
          <w:tcPr>
            <w:tcW w:w="3325" w:type="dxa"/>
          </w:tcPr>
          <w:p w14:paraId="40DD601A" w14:textId="77777777" w:rsidR="00A720EB" w:rsidRDefault="0030286B">
            <w:pPr>
              <w:pStyle w:val="TableParagraph"/>
              <w:spacing w:before="37"/>
              <w:rPr>
                <w:sz w:val="21"/>
              </w:rPr>
            </w:pPr>
            <w:r>
              <w:rPr>
                <w:color w:val="B02045"/>
                <w:sz w:val="21"/>
              </w:rPr>
              <w:t>4.0.4</w:t>
            </w:r>
          </w:p>
        </w:tc>
      </w:tr>
      <w:tr w:rsidR="00A720EB" w14:paraId="3DD65E12" w14:textId="77777777">
        <w:trPr>
          <w:trHeight w:val="368"/>
        </w:trPr>
        <w:tc>
          <w:tcPr>
            <w:tcW w:w="3325" w:type="dxa"/>
          </w:tcPr>
          <w:p w14:paraId="67D6209B" w14:textId="77777777" w:rsidR="00A720EB" w:rsidRDefault="0030286B">
            <w:pPr>
              <w:pStyle w:val="TableParagraph"/>
              <w:spacing w:before="37"/>
              <w:rPr>
                <w:sz w:val="21"/>
              </w:rPr>
            </w:pPr>
            <w:proofErr w:type="gramStart"/>
            <w:r>
              <w:rPr>
                <w:color w:val="B02045"/>
                <w:sz w:val="21"/>
              </w:rPr>
              <w:t>jakarta.servlet.jsp.jstl</w:t>
            </w:r>
            <w:proofErr w:type="gramEnd"/>
          </w:p>
        </w:tc>
        <w:tc>
          <w:tcPr>
            <w:tcW w:w="3325" w:type="dxa"/>
          </w:tcPr>
          <w:p w14:paraId="1CADD15F" w14:textId="77777777" w:rsidR="00A720EB" w:rsidRDefault="0030286B">
            <w:pPr>
              <w:pStyle w:val="TableParagraph"/>
              <w:spacing w:before="37"/>
              <w:rPr>
                <w:sz w:val="21"/>
              </w:rPr>
            </w:pPr>
            <w:proofErr w:type="gramStart"/>
            <w:r>
              <w:rPr>
                <w:color w:val="B02045"/>
                <w:sz w:val="21"/>
              </w:rPr>
              <w:t>jakarta.servlet.jsp.jstl</w:t>
            </w:r>
            <w:proofErr w:type="gramEnd"/>
            <w:r>
              <w:rPr>
                <w:color w:val="B02045"/>
                <w:sz w:val="21"/>
              </w:rPr>
              <w:t>-api</w:t>
            </w:r>
          </w:p>
        </w:tc>
        <w:tc>
          <w:tcPr>
            <w:tcW w:w="3325" w:type="dxa"/>
          </w:tcPr>
          <w:p w14:paraId="5345F50A" w14:textId="77777777" w:rsidR="00A720EB" w:rsidRDefault="0030286B">
            <w:pPr>
              <w:pStyle w:val="TableParagraph"/>
              <w:spacing w:before="37"/>
              <w:rPr>
                <w:sz w:val="21"/>
              </w:rPr>
            </w:pPr>
            <w:r>
              <w:rPr>
                <w:color w:val="B02045"/>
                <w:sz w:val="21"/>
              </w:rPr>
              <w:t>1.2.7</w:t>
            </w:r>
          </w:p>
        </w:tc>
      </w:tr>
      <w:tr w:rsidR="00A720EB" w14:paraId="7C833C31" w14:textId="77777777">
        <w:trPr>
          <w:trHeight w:val="368"/>
        </w:trPr>
        <w:tc>
          <w:tcPr>
            <w:tcW w:w="3325" w:type="dxa"/>
          </w:tcPr>
          <w:p w14:paraId="63E39F6B" w14:textId="77777777" w:rsidR="00A720EB" w:rsidRDefault="0030286B">
            <w:pPr>
              <w:pStyle w:val="TableParagraph"/>
              <w:spacing w:before="37"/>
              <w:rPr>
                <w:sz w:val="21"/>
              </w:rPr>
            </w:pPr>
            <w:proofErr w:type="gramStart"/>
            <w:r>
              <w:rPr>
                <w:color w:val="B02045"/>
                <w:sz w:val="21"/>
              </w:rPr>
              <w:t>jakarta.transaction</w:t>
            </w:r>
            <w:proofErr w:type="gramEnd"/>
          </w:p>
        </w:tc>
        <w:tc>
          <w:tcPr>
            <w:tcW w:w="3325" w:type="dxa"/>
          </w:tcPr>
          <w:p w14:paraId="2E67C5A2" w14:textId="77777777" w:rsidR="00A720EB" w:rsidRDefault="0030286B">
            <w:pPr>
              <w:pStyle w:val="TableParagraph"/>
              <w:spacing w:before="37"/>
              <w:rPr>
                <w:sz w:val="21"/>
              </w:rPr>
            </w:pPr>
            <w:proofErr w:type="gramStart"/>
            <w:r>
              <w:rPr>
                <w:color w:val="B02045"/>
                <w:sz w:val="21"/>
              </w:rPr>
              <w:t>jakarta.transaction</w:t>
            </w:r>
            <w:proofErr w:type="gramEnd"/>
            <w:r>
              <w:rPr>
                <w:color w:val="B02045"/>
                <w:sz w:val="21"/>
              </w:rPr>
              <w:t>-api</w:t>
            </w:r>
          </w:p>
        </w:tc>
        <w:tc>
          <w:tcPr>
            <w:tcW w:w="3325" w:type="dxa"/>
          </w:tcPr>
          <w:p w14:paraId="5E1591B2" w14:textId="77777777" w:rsidR="00A720EB" w:rsidRDefault="0030286B">
            <w:pPr>
              <w:pStyle w:val="TableParagraph"/>
              <w:spacing w:before="37"/>
              <w:rPr>
                <w:sz w:val="21"/>
              </w:rPr>
            </w:pPr>
            <w:r>
              <w:rPr>
                <w:color w:val="B02045"/>
                <w:sz w:val="21"/>
              </w:rPr>
              <w:t>1.3.3</w:t>
            </w:r>
          </w:p>
        </w:tc>
      </w:tr>
      <w:tr w:rsidR="00A720EB" w14:paraId="3738AC9A" w14:textId="77777777">
        <w:trPr>
          <w:trHeight w:val="368"/>
        </w:trPr>
        <w:tc>
          <w:tcPr>
            <w:tcW w:w="3325" w:type="dxa"/>
          </w:tcPr>
          <w:p w14:paraId="51A91E88" w14:textId="77777777" w:rsidR="00A720EB" w:rsidRDefault="0030286B">
            <w:pPr>
              <w:pStyle w:val="TableParagraph"/>
              <w:rPr>
                <w:sz w:val="21"/>
              </w:rPr>
            </w:pPr>
            <w:proofErr w:type="gramStart"/>
            <w:r>
              <w:rPr>
                <w:color w:val="B02045"/>
                <w:sz w:val="21"/>
              </w:rPr>
              <w:t>jakarta.validation</w:t>
            </w:r>
            <w:proofErr w:type="gramEnd"/>
          </w:p>
        </w:tc>
        <w:tc>
          <w:tcPr>
            <w:tcW w:w="3325" w:type="dxa"/>
          </w:tcPr>
          <w:p w14:paraId="600535A0" w14:textId="77777777" w:rsidR="00A720EB" w:rsidRDefault="0030286B">
            <w:pPr>
              <w:pStyle w:val="TableParagraph"/>
              <w:rPr>
                <w:sz w:val="21"/>
              </w:rPr>
            </w:pPr>
            <w:proofErr w:type="gramStart"/>
            <w:r>
              <w:rPr>
                <w:color w:val="B02045"/>
                <w:sz w:val="21"/>
              </w:rPr>
              <w:t>jakarta.validation</w:t>
            </w:r>
            <w:proofErr w:type="gramEnd"/>
            <w:r>
              <w:rPr>
                <w:color w:val="B02045"/>
                <w:sz w:val="21"/>
              </w:rPr>
              <w:t>-api</w:t>
            </w:r>
          </w:p>
        </w:tc>
        <w:tc>
          <w:tcPr>
            <w:tcW w:w="3325" w:type="dxa"/>
          </w:tcPr>
          <w:p w14:paraId="42E71C62" w14:textId="77777777" w:rsidR="00A720EB" w:rsidRDefault="0030286B">
            <w:pPr>
              <w:pStyle w:val="TableParagraph"/>
              <w:rPr>
                <w:sz w:val="21"/>
              </w:rPr>
            </w:pPr>
            <w:r>
              <w:rPr>
                <w:color w:val="B02045"/>
                <w:sz w:val="21"/>
              </w:rPr>
              <w:t>2.0.2</w:t>
            </w:r>
          </w:p>
        </w:tc>
      </w:tr>
      <w:tr w:rsidR="00A720EB" w14:paraId="771DA168" w14:textId="77777777">
        <w:trPr>
          <w:trHeight w:val="368"/>
        </w:trPr>
        <w:tc>
          <w:tcPr>
            <w:tcW w:w="3325" w:type="dxa"/>
          </w:tcPr>
          <w:p w14:paraId="144250FC" w14:textId="77777777" w:rsidR="00A720EB" w:rsidRDefault="0030286B">
            <w:pPr>
              <w:pStyle w:val="TableParagraph"/>
              <w:rPr>
                <w:sz w:val="21"/>
              </w:rPr>
            </w:pPr>
            <w:proofErr w:type="gramStart"/>
            <w:r>
              <w:rPr>
                <w:color w:val="B02045"/>
                <w:sz w:val="21"/>
              </w:rPr>
              <w:t>jakarta.websocket</w:t>
            </w:r>
            <w:proofErr w:type="gramEnd"/>
          </w:p>
        </w:tc>
        <w:tc>
          <w:tcPr>
            <w:tcW w:w="3325" w:type="dxa"/>
          </w:tcPr>
          <w:p w14:paraId="4F29A07F" w14:textId="77777777" w:rsidR="00A720EB" w:rsidRDefault="0030286B">
            <w:pPr>
              <w:pStyle w:val="TableParagraph"/>
              <w:rPr>
                <w:sz w:val="21"/>
              </w:rPr>
            </w:pPr>
            <w:proofErr w:type="gramStart"/>
            <w:r>
              <w:rPr>
                <w:color w:val="B02045"/>
                <w:sz w:val="21"/>
              </w:rPr>
              <w:t>jakarta.websocket</w:t>
            </w:r>
            <w:proofErr w:type="gramEnd"/>
            <w:r>
              <w:rPr>
                <w:color w:val="B02045"/>
                <w:sz w:val="21"/>
              </w:rPr>
              <w:t>-api</w:t>
            </w:r>
          </w:p>
        </w:tc>
        <w:tc>
          <w:tcPr>
            <w:tcW w:w="3325" w:type="dxa"/>
          </w:tcPr>
          <w:p w14:paraId="0AFF16E2" w14:textId="77777777" w:rsidR="00A720EB" w:rsidRDefault="0030286B">
            <w:pPr>
              <w:pStyle w:val="TableParagraph"/>
              <w:rPr>
                <w:sz w:val="21"/>
              </w:rPr>
            </w:pPr>
            <w:r>
              <w:rPr>
                <w:color w:val="B02045"/>
                <w:sz w:val="21"/>
              </w:rPr>
              <w:t>1.1.2</w:t>
            </w:r>
          </w:p>
        </w:tc>
      </w:tr>
      <w:tr w:rsidR="00A720EB" w14:paraId="0A434C5A" w14:textId="77777777">
        <w:trPr>
          <w:trHeight w:val="368"/>
        </w:trPr>
        <w:tc>
          <w:tcPr>
            <w:tcW w:w="3325" w:type="dxa"/>
          </w:tcPr>
          <w:p w14:paraId="46C613A8" w14:textId="77777777" w:rsidR="00A720EB" w:rsidRDefault="0030286B">
            <w:pPr>
              <w:pStyle w:val="TableParagraph"/>
              <w:spacing w:before="37"/>
              <w:rPr>
                <w:sz w:val="21"/>
              </w:rPr>
            </w:pPr>
            <w:r>
              <w:rPr>
                <w:color w:val="B02045"/>
                <w:sz w:val="21"/>
              </w:rPr>
              <w:t>jakarta.ws.rs</w:t>
            </w:r>
          </w:p>
        </w:tc>
        <w:tc>
          <w:tcPr>
            <w:tcW w:w="3325" w:type="dxa"/>
          </w:tcPr>
          <w:p w14:paraId="37ECFE0E" w14:textId="77777777" w:rsidR="00A720EB" w:rsidRDefault="0030286B">
            <w:pPr>
              <w:pStyle w:val="TableParagraph"/>
              <w:spacing w:before="37"/>
              <w:rPr>
                <w:sz w:val="21"/>
              </w:rPr>
            </w:pPr>
            <w:r>
              <w:rPr>
                <w:color w:val="B02045"/>
                <w:sz w:val="21"/>
              </w:rPr>
              <w:t>jakarta.ws.rs-api</w:t>
            </w:r>
          </w:p>
        </w:tc>
        <w:tc>
          <w:tcPr>
            <w:tcW w:w="3325" w:type="dxa"/>
          </w:tcPr>
          <w:p w14:paraId="19DB39C0" w14:textId="77777777" w:rsidR="00A720EB" w:rsidRDefault="0030286B">
            <w:pPr>
              <w:pStyle w:val="TableParagraph"/>
              <w:spacing w:before="37"/>
              <w:rPr>
                <w:sz w:val="21"/>
              </w:rPr>
            </w:pPr>
            <w:r>
              <w:rPr>
                <w:color w:val="B02045"/>
                <w:sz w:val="21"/>
              </w:rPr>
              <w:t>2.1.6</w:t>
            </w:r>
          </w:p>
        </w:tc>
      </w:tr>
      <w:tr w:rsidR="00A720EB" w14:paraId="45989463" w14:textId="77777777">
        <w:trPr>
          <w:trHeight w:val="368"/>
        </w:trPr>
        <w:tc>
          <w:tcPr>
            <w:tcW w:w="3325" w:type="dxa"/>
          </w:tcPr>
          <w:p w14:paraId="52D4C4C1" w14:textId="77777777" w:rsidR="00A720EB" w:rsidRDefault="0030286B">
            <w:pPr>
              <w:pStyle w:val="TableParagraph"/>
              <w:spacing w:before="37"/>
              <w:rPr>
                <w:sz w:val="21"/>
              </w:rPr>
            </w:pPr>
            <w:proofErr w:type="gramStart"/>
            <w:r>
              <w:rPr>
                <w:color w:val="B02045"/>
                <w:sz w:val="21"/>
              </w:rPr>
              <w:t>jakarta.xml.bind</w:t>
            </w:r>
            <w:proofErr w:type="gramEnd"/>
          </w:p>
        </w:tc>
        <w:tc>
          <w:tcPr>
            <w:tcW w:w="3325" w:type="dxa"/>
          </w:tcPr>
          <w:p w14:paraId="478CF276" w14:textId="77777777" w:rsidR="00A720EB" w:rsidRDefault="0030286B">
            <w:pPr>
              <w:pStyle w:val="TableParagraph"/>
              <w:spacing w:before="37"/>
              <w:rPr>
                <w:sz w:val="21"/>
              </w:rPr>
            </w:pPr>
            <w:proofErr w:type="gramStart"/>
            <w:r>
              <w:rPr>
                <w:color w:val="B02045"/>
                <w:sz w:val="21"/>
              </w:rPr>
              <w:t>jakarta.xml.bind</w:t>
            </w:r>
            <w:proofErr w:type="gramEnd"/>
            <w:r>
              <w:rPr>
                <w:color w:val="B02045"/>
                <w:sz w:val="21"/>
              </w:rPr>
              <w:t>-api</w:t>
            </w:r>
          </w:p>
        </w:tc>
        <w:tc>
          <w:tcPr>
            <w:tcW w:w="3325" w:type="dxa"/>
          </w:tcPr>
          <w:p w14:paraId="053E6440" w14:textId="77777777" w:rsidR="00A720EB" w:rsidRDefault="0030286B">
            <w:pPr>
              <w:pStyle w:val="TableParagraph"/>
              <w:spacing w:before="37"/>
              <w:rPr>
                <w:sz w:val="21"/>
              </w:rPr>
            </w:pPr>
            <w:r>
              <w:rPr>
                <w:color w:val="B02045"/>
                <w:sz w:val="21"/>
              </w:rPr>
              <w:t>2.3.3</w:t>
            </w:r>
          </w:p>
        </w:tc>
      </w:tr>
      <w:tr w:rsidR="00A720EB" w14:paraId="6B56A1A0" w14:textId="77777777">
        <w:trPr>
          <w:trHeight w:val="368"/>
        </w:trPr>
        <w:tc>
          <w:tcPr>
            <w:tcW w:w="3325" w:type="dxa"/>
          </w:tcPr>
          <w:p w14:paraId="09816918" w14:textId="77777777" w:rsidR="00A720EB" w:rsidRDefault="0030286B">
            <w:pPr>
              <w:pStyle w:val="TableParagraph"/>
              <w:rPr>
                <w:sz w:val="21"/>
              </w:rPr>
            </w:pPr>
            <w:proofErr w:type="gramStart"/>
            <w:r>
              <w:rPr>
                <w:color w:val="B02045"/>
                <w:sz w:val="21"/>
              </w:rPr>
              <w:t>jakarta.xml.soap</w:t>
            </w:r>
            <w:proofErr w:type="gramEnd"/>
          </w:p>
        </w:tc>
        <w:tc>
          <w:tcPr>
            <w:tcW w:w="3325" w:type="dxa"/>
          </w:tcPr>
          <w:p w14:paraId="44A96A00" w14:textId="77777777" w:rsidR="00A720EB" w:rsidRDefault="0030286B">
            <w:pPr>
              <w:pStyle w:val="TableParagraph"/>
              <w:rPr>
                <w:sz w:val="21"/>
              </w:rPr>
            </w:pPr>
            <w:proofErr w:type="gramStart"/>
            <w:r>
              <w:rPr>
                <w:color w:val="B02045"/>
                <w:sz w:val="21"/>
              </w:rPr>
              <w:t>jakarta.xml.soap</w:t>
            </w:r>
            <w:proofErr w:type="gramEnd"/>
            <w:r>
              <w:rPr>
                <w:color w:val="B02045"/>
                <w:sz w:val="21"/>
              </w:rPr>
              <w:t>-api</w:t>
            </w:r>
          </w:p>
        </w:tc>
        <w:tc>
          <w:tcPr>
            <w:tcW w:w="3325" w:type="dxa"/>
          </w:tcPr>
          <w:p w14:paraId="32546941" w14:textId="77777777" w:rsidR="00A720EB" w:rsidRDefault="0030286B">
            <w:pPr>
              <w:pStyle w:val="TableParagraph"/>
              <w:rPr>
                <w:sz w:val="21"/>
              </w:rPr>
            </w:pPr>
            <w:r>
              <w:rPr>
                <w:color w:val="B02045"/>
                <w:sz w:val="21"/>
              </w:rPr>
              <w:t>1.4.2</w:t>
            </w:r>
          </w:p>
        </w:tc>
      </w:tr>
      <w:tr w:rsidR="00A720EB" w14:paraId="0B8C872D" w14:textId="77777777">
        <w:trPr>
          <w:trHeight w:val="368"/>
        </w:trPr>
        <w:tc>
          <w:tcPr>
            <w:tcW w:w="3325" w:type="dxa"/>
          </w:tcPr>
          <w:p w14:paraId="75836E1C" w14:textId="77777777" w:rsidR="00A720EB" w:rsidRDefault="0030286B">
            <w:pPr>
              <w:pStyle w:val="TableParagraph"/>
              <w:rPr>
                <w:sz w:val="21"/>
              </w:rPr>
            </w:pPr>
            <w:r>
              <w:rPr>
                <w:color w:val="B02045"/>
                <w:sz w:val="21"/>
              </w:rPr>
              <w:t>jakarta.xml.ws</w:t>
            </w:r>
          </w:p>
        </w:tc>
        <w:tc>
          <w:tcPr>
            <w:tcW w:w="3325" w:type="dxa"/>
          </w:tcPr>
          <w:p w14:paraId="4E241318" w14:textId="77777777" w:rsidR="00A720EB" w:rsidRDefault="0030286B">
            <w:pPr>
              <w:pStyle w:val="TableParagraph"/>
              <w:rPr>
                <w:sz w:val="21"/>
              </w:rPr>
            </w:pPr>
            <w:r>
              <w:rPr>
                <w:color w:val="B02045"/>
                <w:sz w:val="21"/>
              </w:rPr>
              <w:t>jakarta.xml.ws-api</w:t>
            </w:r>
          </w:p>
        </w:tc>
        <w:tc>
          <w:tcPr>
            <w:tcW w:w="3325" w:type="dxa"/>
          </w:tcPr>
          <w:p w14:paraId="58FD6159" w14:textId="77777777" w:rsidR="00A720EB" w:rsidRDefault="0030286B">
            <w:pPr>
              <w:pStyle w:val="TableParagraph"/>
              <w:rPr>
                <w:sz w:val="21"/>
              </w:rPr>
            </w:pPr>
            <w:r>
              <w:rPr>
                <w:color w:val="B02045"/>
                <w:sz w:val="21"/>
              </w:rPr>
              <w:t>2.3.3</w:t>
            </w:r>
          </w:p>
        </w:tc>
      </w:tr>
      <w:tr w:rsidR="00A720EB" w14:paraId="656A10A9" w14:textId="77777777">
        <w:trPr>
          <w:trHeight w:val="368"/>
        </w:trPr>
        <w:tc>
          <w:tcPr>
            <w:tcW w:w="3325" w:type="dxa"/>
          </w:tcPr>
          <w:p w14:paraId="292A75C8" w14:textId="77777777" w:rsidR="00A720EB" w:rsidRDefault="0030286B">
            <w:pPr>
              <w:pStyle w:val="TableParagraph"/>
              <w:spacing w:before="37"/>
              <w:rPr>
                <w:sz w:val="21"/>
              </w:rPr>
            </w:pPr>
            <w:proofErr w:type="gramStart"/>
            <w:r>
              <w:rPr>
                <w:color w:val="B02045"/>
                <w:sz w:val="21"/>
              </w:rPr>
              <w:t>javax.activation</w:t>
            </w:r>
            <w:proofErr w:type="gramEnd"/>
          </w:p>
        </w:tc>
        <w:tc>
          <w:tcPr>
            <w:tcW w:w="3325" w:type="dxa"/>
          </w:tcPr>
          <w:p w14:paraId="5CF5487B" w14:textId="77777777" w:rsidR="00A720EB" w:rsidRDefault="0030286B">
            <w:pPr>
              <w:pStyle w:val="TableParagraph"/>
              <w:spacing w:before="37"/>
              <w:rPr>
                <w:sz w:val="21"/>
              </w:rPr>
            </w:pPr>
            <w:proofErr w:type="gramStart"/>
            <w:r>
              <w:rPr>
                <w:color w:val="B02045"/>
                <w:sz w:val="21"/>
              </w:rPr>
              <w:t>javax.activation</w:t>
            </w:r>
            <w:proofErr w:type="gramEnd"/>
            <w:r>
              <w:rPr>
                <w:color w:val="B02045"/>
                <w:sz w:val="21"/>
              </w:rPr>
              <w:t>-api</w:t>
            </w:r>
          </w:p>
        </w:tc>
        <w:tc>
          <w:tcPr>
            <w:tcW w:w="3325" w:type="dxa"/>
          </w:tcPr>
          <w:p w14:paraId="48EA73D2" w14:textId="77777777" w:rsidR="00A720EB" w:rsidRDefault="0030286B">
            <w:pPr>
              <w:pStyle w:val="TableParagraph"/>
              <w:spacing w:before="37"/>
              <w:rPr>
                <w:sz w:val="21"/>
              </w:rPr>
            </w:pPr>
            <w:r>
              <w:rPr>
                <w:color w:val="B02045"/>
                <w:sz w:val="21"/>
              </w:rPr>
              <w:t>1.2.0</w:t>
            </w:r>
          </w:p>
        </w:tc>
      </w:tr>
      <w:tr w:rsidR="00A720EB" w14:paraId="7BB008F1" w14:textId="77777777">
        <w:trPr>
          <w:trHeight w:val="368"/>
        </w:trPr>
        <w:tc>
          <w:tcPr>
            <w:tcW w:w="3325" w:type="dxa"/>
          </w:tcPr>
          <w:p w14:paraId="310E0746" w14:textId="77777777" w:rsidR="00A720EB" w:rsidRDefault="0030286B">
            <w:pPr>
              <w:pStyle w:val="TableParagraph"/>
              <w:spacing w:before="37"/>
              <w:rPr>
                <w:sz w:val="21"/>
              </w:rPr>
            </w:pPr>
            <w:proofErr w:type="gramStart"/>
            <w:r>
              <w:rPr>
                <w:color w:val="B02045"/>
                <w:sz w:val="21"/>
              </w:rPr>
              <w:t>javax.annotation</w:t>
            </w:r>
            <w:proofErr w:type="gramEnd"/>
          </w:p>
        </w:tc>
        <w:tc>
          <w:tcPr>
            <w:tcW w:w="3325" w:type="dxa"/>
          </w:tcPr>
          <w:p w14:paraId="0239E725" w14:textId="77777777" w:rsidR="00A720EB" w:rsidRDefault="0030286B">
            <w:pPr>
              <w:pStyle w:val="TableParagraph"/>
              <w:spacing w:before="37"/>
              <w:rPr>
                <w:sz w:val="21"/>
              </w:rPr>
            </w:pPr>
            <w:proofErr w:type="gramStart"/>
            <w:r>
              <w:rPr>
                <w:color w:val="B02045"/>
                <w:sz w:val="21"/>
              </w:rPr>
              <w:t>javax.annotation</w:t>
            </w:r>
            <w:proofErr w:type="gramEnd"/>
            <w:r>
              <w:rPr>
                <w:color w:val="B02045"/>
                <w:sz w:val="21"/>
              </w:rPr>
              <w:t>-api</w:t>
            </w:r>
          </w:p>
        </w:tc>
        <w:tc>
          <w:tcPr>
            <w:tcW w:w="3325" w:type="dxa"/>
          </w:tcPr>
          <w:p w14:paraId="02651A56" w14:textId="77777777" w:rsidR="00A720EB" w:rsidRDefault="0030286B">
            <w:pPr>
              <w:pStyle w:val="TableParagraph"/>
              <w:spacing w:before="37"/>
              <w:rPr>
                <w:sz w:val="21"/>
              </w:rPr>
            </w:pPr>
            <w:r>
              <w:rPr>
                <w:color w:val="B02045"/>
                <w:sz w:val="21"/>
              </w:rPr>
              <w:t>1.3.2</w:t>
            </w:r>
          </w:p>
        </w:tc>
      </w:tr>
      <w:tr w:rsidR="00A720EB" w14:paraId="099F0431" w14:textId="77777777">
        <w:trPr>
          <w:trHeight w:val="368"/>
        </w:trPr>
        <w:tc>
          <w:tcPr>
            <w:tcW w:w="3325" w:type="dxa"/>
          </w:tcPr>
          <w:p w14:paraId="2B540321" w14:textId="77777777" w:rsidR="00A720EB" w:rsidRDefault="0030286B">
            <w:pPr>
              <w:pStyle w:val="TableParagraph"/>
              <w:rPr>
                <w:sz w:val="21"/>
              </w:rPr>
            </w:pPr>
            <w:proofErr w:type="gramStart"/>
            <w:r>
              <w:rPr>
                <w:color w:val="B02045"/>
                <w:sz w:val="21"/>
              </w:rPr>
              <w:t>javax.cache</w:t>
            </w:r>
            <w:proofErr w:type="gramEnd"/>
          </w:p>
        </w:tc>
        <w:tc>
          <w:tcPr>
            <w:tcW w:w="3325" w:type="dxa"/>
          </w:tcPr>
          <w:p w14:paraId="5108C574" w14:textId="77777777" w:rsidR="00A720EB" w:rsidRDefault="0030286B">
            <w:pPr>
              <w:pStyle w:val="TableParagraph"/>
              <w:rPr>
                <w:sz w:val="21"/>
              </w:rPr>
            </w:pPr>
            <w:r>
              <w:rPr>
                <w:color w:val="B02045"/>
                <w:sz w:val="21"/>
              </w:rPr>
              <w:t>cache-api</w:t>
            </w:r>
          </w:p>
        </w:tc>
        <w:tc>
          <w:tcPr>
            <w:tcW w:w="3325" w:type="dxa"/>
          </w:tcPr>
          <w:p w14:paraId="588BE362" w14:textId="77777777" w:rsidR="00A720EB" w:rsidRDefault="0030286B">
            <w:pPr>
              <w:pStyle w:val="TableParagraph"/>
              <w:rPr>
                <w:sz w:val="21"/>
              </w:rPr>
            </w:pPr>
            <w:r>
              <w:rPr>
                <w:color w:val="B02045"/>
                <w:sz w:val="21"/>
              </w:rPr>
              <w:t>1.1.1</w:t>
            </w:r>
          </w:p>
        </w:tc>
      </w:tr>
      <w:tr w:rsidR="00A720EB" w14:paraId="1E5B3267" w14:textId="77777777">
        <w:trPr>
          <w:trHeight w:val="368"/>
        </w:trPr>
        <w:tc>
          <w:tcPr>
            <w:tcW w:w="3325" w:type="dxa"/>
          </w:tcPr>
          <w:p w14:paraId="34707A42" w14:textId="77777777" w:rsidR="00A720EB" w:rsidRDefault="0030286B">
            <w:pPr>
              <w:pStyle w:val="TableParagraph"/>
              <w:spacing w:before="37"/>
              <w:rPr>
                <w:sz w:val="21"/>
              </w:rPr>
            </w:pPr>
            <w:r>
              <w:rPr>
                <w:color w:val="B02045"/>
                <w:sz w:val="21"/>
              </w:rPr>
              <w:t>javax.jms</w:t>
            </w:r>
          </w:p>
        </w:tc>
        <w:tc>
          <w:tcPr>
            <w:tcW w:w="3325" w:type="dxa"/>
          </w:tcPr>
          <w:p w14:paraId="5A0F0121" w14:textId="77777777" w:rsidR="00A720EB" w:rsidRDefault="0030286B">
            <w:pPr>
              <w:pStyle w:val="TableParagraph"/>
              <w:spacing w:before="37"/>
              <w:rPr>
                <w:sz w:val="21"/>
              </w:rPr>
            </w:pPr>
            <w:r>
              <w:rPr>
                <w:color w:val="B02045"/>
                <w:sz w:val="21"/>
              </w:rPr>
              <w:t>javax.jms-api</w:t>
            </w:r>
          </w:p>
        </w:tc>
        <w:tc>
          <w:tcPr>
            <w:tcW w:w="3325" w:type="dxa"/>
          </w:tcPr>
          <w:p w14:paraId="0CAB2FF3" w14:textId="77777777" w:rsidR="00A720EB" w:rsidRDefault="0030286B">
            <w:pPr>
              <w:pStyle w:val="TableParagraph"/>
              <w:spacing w:before="37"/>
              <w:rPr>
                <w:sz w:val="21"/>
              </w:rPr>
            </w:pPr>
            <w:r>
              <w:rPr>
                <w:color w:val="B02045"/>
                <w:sz w:val="21"/>
              </w:rPr>
              <w:t>2.0.1</w:t>
            </w:r>
          </w:p>
        </w:tc>
      </w:tr>
      <w:tr w:rsidR="00A720EB" w14:paraId="3BD74562" w14:textId="77777777">
        <w:trPr>
          <w:trHeight w:val="368"/>
        </w:trPr>
        <w:tc>
          <w:tcPr>
            <w:tcW w:w="3325" w:type="dxa"/>
          </w:tcPr>
          <w:p w14:paraId="2BA96AF1" w14:textId="77777777" w:rsidR="00A720EB" w:rsidRDefault="0030286B">
            <w:pPr>
              <w:pStyle w:val="TableParagraph"/>
              <w:rPr>
                <w:sz w:val="21"/>
              </w:rPr>
            </w:pPr>
            <w:proofErr w:type="gramStart"/>
            <w:r>
              <w:rPr>
                <w:color w:val="B02045"/>
                <w:sz w:val="21"/>
              </w:rPr>
              <w:t>javax.json</w:t>
            </w:r>
            <w:proofErr w:type="gramEnd"/>
          </w:p>
        </w:tc>
        <w:tc>
          <w:tcPr>
            <w:tcW w:w="3325" w:type="dxa"/>
          </w:tcPr>
          <w:p w14:paraId="1D786B02" w14:textId="77777777" w:rsidR="00A720EB" w:rsidRDefault="0030286B">
            <w:pPr>
              <w:pStyle w:val="TableParagraph"/>
              <w:rPr>
                <w:sz w:val="21"/>
              </w:rPr>
            </w:pPr>
            <w:proofErr w:type="gramStart"/>
            <w:r>
              <w:rPr>
                <w:color w:val="B02045"/>
                <w:sz w:val="21"/>
              </w:rPr>
              <w:t>javax.json</w:t>
            </w:r>
            <w:proofErr w:type="gramEnd"/>
            <w:r>
              <w:rPr>
                <w:color w:val="B02045"/>
                <w:sz w:val="21"/>
              </w:rPr>
              <w:t>-api</w:t>
            </w:r>
          </w:p>
        </w:tc>
        <w:tc>
          <w:tcPr>
            <w:tcW w:w="3325" w:type="dxa"/>
          </w:tcPr>
          <w:p w14:paraId="2FADDBD5" w14:textId="77777777" w:rsidR="00A720EB" w:rsidRDefault="0030286B">
            <w:pPr>
              <w:pStyle w:val="TableParagraph"/>
              <w:rPr>
                <w:sz w:val="21"/>
              </w:rPr>
            </w:pPr>
            <w:r>
              <w:rPr>
                <w:color w:val="B02045"/>
                <w:sz w:val="21"/>
              </w:rPr>
              <w:t>1.1.4</w:t>
            </w:r>
          </w:p>
        </w:tc>
      </w:tr>
      <w:tr w:rsidR="00A720EB" w14:paraId="609C0581" w14:textId="77777777">
        <w:trPr>
          <w:trHeight w:val="368"/>
        </w:trPr>
        <w:tc>
          <w:tcPr>
            <w:tcW w:w="3325" w:type="dxa"/>
          </w:tcPr>
          <w:p w14:paraId="4C8D939F" w14:textId="77777777" w:rsidR="00A720EB" w:rsidRDefault="0030286B">
            <w:pPr>
              <w:pStyle w:val="TableParagraph"/>
              <w:spacing w:before="37"/>
              <w:rPr>
                <w:sz w:val="21"/>
              </w:rPr>
            </w:pPr>
            <w:proofErr w:type="gramStart"/>
            <w:r>
              <w:rPr>
                <w:color w:val="B02045"/>
                <w:sz w:val="21"/>
              </w:rPr>
              <w:t>javax.json</w:t>
            </w:r>
            <w:proofErr w:type="gramEnd"/>
            <w:r>
              <w:rPr>
                <w:color w:val="B02045"/>
                <w:sz w:val="21"/>
              </w:rPr>
              <w:t>.bind</w:t>
            </w:r>
          </w:p>
        </w:tc>
        <w:tc>
          <w:tcPr>
            <w:tcW w:w="3325" w:type="dxa"/>
          </w:tcPr>
          <w:p w14:paraId="6E651E7D" w14:textId="77777777" w:rsidR="00A720EB" w:rsidRDefault="0030286B">
            <w:pPr>
              <w:pStyle w:val="TableParagraph"/>
              <w:spacing w:before="37"/>
              <w:rPr>
                <w:sz w:val="21"/>
              </w:rPr>
            </w:pPr>
            <w:proofErr w:type="gramStart"/>
            <w:r>
              <w:rPr>
                <w:color w:val="B02045"/>
                <w:sz w:val="21"/>
              </w:rPr>
              <w:t>javax.json</w:t>
            </w:r>
            <w:proofErr w:type="gramEnd"/>
            <w:r>
              <w:rPr>
                <w:color w:val="B02045"/>
                <w:sz w:val="21"/>
              </w:rPr>
              <w:t>.bind-api</w:t>
            </w:r>
          </w:p>
        </w:tc>
        <w:tc>
          <w:tcPr>
            <w:tcW w:w="3325" w:type="dxa"/>
          </w:tcPr>
          <w:p w14:paraId="384F988C" w14:textId="77777777" w:rsidR="00A720EB" w:rsidRDefault="0030286B">
            <w:pPr>
              <w:pStyle w:val="TableParagraph"/>
              <w:spacing w:before="37"/>
              <w:rPr>
                <w:sz w:val="21"/>
              </w:rPr>
            </w:pPr>
            <w:r>
              <w:rPr>
                <w:color w:val="B02045"/>
                <w:sz w:val="21"/>
              </w:rPr>
              <w:t>1.0</w:t>
            </w:r>
          </w:p>
        </w:tc>
      </w:tr>
      <w:tr w:rsidR="00A720EB" w14:paraId="0465EE6A" w14:textId="77777777">
        <w:trPr>
          <w:trHeight w:val="368"/>
        </w:trPr>
        <w:tc>
          <w:tcPr>
            <w:tcW w:w="3325" w:type="dxa"/>
          </w:tcPr>
          <w:p w14:paraId="5C8C0D1D" w14:textId="77777777" w:rsidR="00A720EB" w:rsidRDefault="0030286B">
            <w:pPr>
              <w:pStyle w:val="TableParagraph"/>
              <w:rPr>
                <w:sz w:val="21"/>
              </w:rPr>
            </w:pPr>
            <w:proofErr w:type="gramStart"/>
            <w:r>
              <w:rPr>
                <w:color w:val="B02045"/>
                <w:sz w:val="21"/>
              </w:rPr>
              <w:t>javax.mail</w:t>
            </w:r>
            <w:proofErr w:type="gramEnd"/>
          </w:p>
        </w:tc>
        <w:tc>
          <w:tcPr>
            <w:tcW w:w="3325" w:type="dxa"/>
          </w:tcPr>
          <w:p w14:paraId="03DFF6EB" w14:textId="77777777" w:rsidR="00A720EB" w:rsidRDefault="0030286B">
            <w:pPr>
              <w:pStyle w:val="TableParagraph"/>
              <w:rPr>
                <w:sz w:val="21"/>
              </w:rPr>
            </w:pPr>
            <w:proofErr w:type="gramStart"/>
            <w:r>
              <w:rPr>
                <w:color w:val="B02045"/>
                <w:sz w:val="21"/>
              </w:rPr>
              <w:t>javax.mail</w:t>
            </w:r>
            <w:proofErr w:type="gramEnd"/>
            <w:r>
              <w:rPr>
                <w:color w:val="B02045"/>
                <w:sz w:val="21"/>
              </w:rPr>
              <w:t>-api</w:t>
            </w:r>
          </w:p>
        </w:tc>
        <w:tc>
          <w:tcPr>
            <w:tcW w:w="3325" w:type="dxa"/>
          </w:tcPr>
          <w:p w14:paraId="42103FA1" w14:textId="77777777" w:rsidR="00A720EB" w:rsidRDefault="0030286B">
            <w:pPr>
              <w:pStyle w:val="TableParagraph"/>
              <w:rPr>
                <w:sz w:val="21"/>
              </w:rPr>
            </w:pPr>
            <w:r>
              <w:rPr>
                <w:color w:val="B02045"/>
                <w:sz w:val="21"/>
              </w:rPr>
              <w:t>1.6.2</w:t>
            </w:r>
          </w:p>
        </w:tc>
      </w:tr>
      <w:tr w:rsidR="00A720EB" w14:paraId="4F4A9C68" w14:textId="77777777">
        <w:trPr>
          <w:trHeight w:val="368"/>
        </w:trPr>
        <w:tc>
          <w:tcPr>
            <w:tcW w:w="3325" w:type="dxa"/>
          </w:tcPr>
          <w:p w14:paraId="557813B3" w14:textId="77777777" w:rsidR="00A720EB" w:rsidRDefault="0030286B">
            <w:pPr>
              <w:pStyle w:val="TableParagraph"/>
              <w:spacing w:before="37"/>
              <w:rPr>
                <w:sz w:val="21"/>
              </w:rPr>
            </w:pPr>
            <w:proofErr w:type="gramStart"/>
            <w:r>
              <w:rPr>
                <w:color w:val="B02045"/>
                <w:sz w:val="21"/>
              </w:rPr>
              <w:t>javax.money</w:t>
            </w:r>
            <w:proofErr w:type="gramEnd"/>
          </w:p>
        </w:tc>
        <w:tc>
          <w:tcPr>
            <w:tcW w:w="3325" w:type="dxa"/>
          </w:tcPr>
          <w:p w14:paraId="7A98A6E5" w14:textId="77777777" w:rsidR="00A720EB" w:rsidRDefault="0030286B">
            <w:pPr>
              <w:pStyle w:val="TableParagraph"/>
              <w:spacing w:before="37"/>
              <w:rPr>
                <w:sz w:val="21"/>
              </w:rPr>
            </w:pPr>
            <w:r>
              <w:rPr>
                <w:color w:val="B02045"/>
                <w:sz w:val="21"/>
              </w:rPr>
              <w:t>money-api</w:t>
            </w:r>
          </w:p>
        </w:tc>
        <w:tc>
          <w:tcPr>
            <w:tcW w:w="3325" w:type="dxa"/>
          </w:tcPr>
          <w:p w14:paraId="4D479C79" w14:textId="77777777" w:rsidR="00A720EB" w:rsidRDefault="0030286B">
            <w:pPr>
              <w:pStyle w:val="TableParagraph"/>
              <w:spacing w:before="37"/>
              <w:rPr>
                <w:sz w:val="21"/>
              </w:rPr>
            </w:pPr>
            <w:r>
              <w:rPr>
                <w:color w:val="B02045"/>
                <w:sz w:val="21"/>
              </w:rPr>
              <w:t>1.0.3</w:t>
            </w:r>
          </w:p>
        </w:tc>
      </w:tr>
      <w:tr w:rsidR="00A720EB" w14:paraId="75CD6006" w14:textId="77777777">
        <w:trPr>
          <w:trHeight w:val="368"/>
        </w:trPr>
        <w:tc>
          <w:tcPr>
            <w:tcW w:w="3325" w:type="dxa"/>
          </w:tcPr>
          <w:p w14:paraId="7C5F226F" w14:textId="77777777" w:rsidR="00A720EB" w:rsidRDefault="0030286B">
            <w:pPr>
              <w:pStyle w:val="TableParagraph"/>
              <w:rPr>
                <w:sz w:val="21"/>
              </w:rPr>
            </w:pPr>
            <w:proofErr w:type="gramStart"/>
            <w:r>
              <w:rPr>
                <w:color w:val="B02045"/>
                <w:sz w:val="21"/>
              </w:rPr>
              <w:t>javax.persistence</w:t>
            </w:r>
            <w:proofErr w:type="gramEnd"/>
          </w:p>
        </w:tc>
        <w:tc>
          <w:tcPr>
            <w:tcW w:w="3325" w:type="dxa"/>
          </w:tcPr>
          <w:p w14:paraId="68B908AA" w14:textId="77777777" w:rsidR="00A720EB" w:rsidRDefault="0030286B">
            <w:pPr>
              <w:pStyle w:val="TableParagraph"/>
              <w:rPr>
                <w:sz w:val="21"/>
              </w:rPr>
            </w:pPr>
            <w:proofErr w:type="gramStart"/>
            <w:r>
              <w:rPr>
                <w:color w:val="B02045"/>
                <w:sz w:val="21"/>
              </w:rPr>
              <w:t>javax.persistence</w:t>
            </w:r>
            <w:proofErr w:type="gramEnd"/>
            <w:r>
              <w:rPr>
                <w:color w:val="B02045"/>
                <w:sz w:val="21"/>
              </w:rPr>
              <w:t>-api</w:t>
            </w:r>
          </w:p>
        </w:tc>
        <w:tc>
          <w:tcPr>
            <w:tcW w:w="3325" w:type="dxa"/>
          </w:tcPr>
          <w:p w14:paraId="1D8E43D7" w14:textId="77777777" w:rsidR="00A720EB" w:rsidRDefault="0030286B">
            <w:pPr>
              <w:pStyle w:val="TableParagraph"/>
              <w:rPr>
                <w:sz w:val="21"/>
              </w:rPr>
            </w:pPr>
            <w:r>
              <w:rPr>
                <w:color w:val="B02045"/>
                <w:sz w:val="21"/>
              </w:rPr>
              <w:t>2.2</w:t>
            </w:r>
          </w:p>
        </w:tc>
      </w:tr>
      <w:tr w:rsidR="00A720EB" w14:paraId="1302A740" w14:textId="77777777">
        <w:trPr>
          <w:trHeight w:val="368"/>
        </w:trPr>
        <w:tc>
          <w:tcPr>
            <w:tcW w:w="3325" w:type="dxa"/>
          </w:tcPr>
          <w:p w14:paraId="62E9CCF9" w14:textId="77777777" w:rsidR="00A720EB" w:rsidRDefault="0030286B">
            <w:pPr>
              <w:pStyle w:val="TableParagraph"/>
              <w:rPr>
                <w:sz w:val="21"/>
              </w:rPr>
            </w:pPr>
            <w:proofErr w:type="gramStart"/>
            <w:r>
              <w:rPr>
                <w:color w:val="B02045"/>
                <w:sz w:val="21"/>
              </w:rPr>
              <w:t>javax.servlet</w:t>
            </w:r>
            <w:proofErr w:type="gramEnd"/>
          </w:p>
        </w:tc>
        <w:tc>
          <w:tcPr>
            <w:tcW w:w="3325" w:type="dxa"/>
          </w:tcPr>
          <w:p w14:paraId="3E6963F8" w14:textId="77777777" w:rsidR="00A720EB" w:rsidRDefault="0030286B">
            <w:pPr>
              <w:pStyle w:val="TableParagraph"/>
              <w:rPr>
                <w:sz w:val="21"/>
              </w:rPr>
            </w:pPr>
            <w:proofErr w:type="gramStart"/>
            <w:r>
              <w:rPr>
                <w:color w:val="B02045"/>
                <w:sz w:val="21"/>
              </w:rPr>
              <w:t>javax.servlet</w:t>
            </w:r>
            <w:proofErr w:type="gramEnd"/>
            <w:r>
              <w:rPr>
                <w:color w:val="B02045"/>
                <w:sz w:val="21"/>
              </w:rPr>
              <w:t>-api</w:t>
            </w:r>
          </w:p>
        </w:tc>
        <w:tc>
          <w:tcPr>
            <w:tcW w:w="3325" w:type="dxa"/>
          </w:tcPr>
          <w:p w14:paraId="6C2CF011" w14:textId="77777777" w:rsidR="00A720EB" w:rsidRDefault="0030286B">
            <w:pPr>
              <w:pStyle w:val="TableParagraph"/>
              <w:rPr>
                <w:sz w:val="21"/>
              </w:rPr>
            </w:pPr>
            <w:r>
              <w:rPr>
                <w:color w:val="B02045"/>
                <w:sz w:val="21"/>
              </w:rPr>
              <w:t>4.0.1</w:t>
            </w:r>
          </w:p>
        </w:tc>
      </w:tr>
      <w:tr w:rsidR="00A720EB" w14:paraId="4A1A3309" w14:textId="77777777">
        <w:trPr>
          <w:trHeight w:val="368"/>
        </w:trPr>
        <w:tc>
          <w:tcPr>
            <w:tcW w:w="3325" w:type="dxa"/>
          </w:tcPr>
          <w:p w14:paraId="67D70B74" w14:textId="77777777" w:rsidR="00A720EB" w:rsidRDefault="0030286B">
            <w:pPr>
              <w:pStyle w:val="TableParagraph"/>
              <w:rPr>
                <w:sz w:val="21"/>
              </w:rPr>
            </w:pPr>
            <w:proofErr w:type="gramStart"/>
            <w:r>
              <w:rPr>
                <w:color w:val="B02045"/>
                <w:sz w:val="21"/>
              </w:rPr>
              <w:t>javax.servlet</w:t>
            </w:r>
            <w:proofErr w:type="gramEnd"/>
          </w:p>
        </w:tc>
        <w:tc>
          <w:tcPr>
            <w:tcW w:w="3325" w:type="dxa"/>
          </w:tcPr>
          <w:p w14:paraId="3FDF4CBD" w14:textId="77777777" w:rsidR="00A720EB" w:rsidRDefault="0030286B">
            <w:pPr>
              <w:pStyle w:val="TableParagraph"/>
              <w:rPr>
                <w:sz w:val="21"/>
              </w:rPr>
            </w:pPr>
            <w:r>
              <w:rPr>
                <w:color w:val="B02045"/>
                <w:sz w:val="21"/>
              </w:rPr>
              <w:t>jstl</w:t>
            </w:r>
          </w:p>
        </w:tc>
        <w:tc>
          <w:tcPr>
            <w:tcW w:w="3325" w:type="dxa"/>
          </w:tcPr>
          <w:p w14:paraId="748FC234" w14:textId="77777777" w:rsidR="00A720EB" w:rsidRDefault="0030286B">
            <w:pPr>
              <w:pStyle w:val="TableParagraph"/>
              <w:rPr>
                <w:sz w:val="21"/>
              </w:rPr>
            </w:pPr>
            <w:r>
              <w:rPr>
                <w:color w:val="B02045"/>
                <w:sz w:val="21"/>
              </w:rPr>
              <w:t>1.2</w:t>
            </w:r>
          </w:p>
        </w:tc>
      </w:tr>
      <w:tr w:rsidR="00A720EB" w14:paraId="69C13FC4" w14:textId="77777777">
        <w:trPr>
          <w:trHeight w:val="368"/>
        </w:trPr>
        <w:tc>
          <w:tcPr>
            <w:tcW w:w="3325" w:type="dxa"/>
          </w:tcPr>
          <w:p w14:paraId="6A24BAB5" w14:textId="77777777" w:rsidR="00A720EB" w:rsidRDefault="0030286B">
            <w:pPr>
              <w:pStyle w:val="TableParagraph"/>
              <w:rPr>
                <w:sz w:val="21"/>
              </w:rPr>
            </w:pPr>
            <w:proofErr w:type="gramStart"/>
            <w:r>
              <w:rPr>
                <w:color w:val="B02045"/>
                <w:sz w:val="21"/>
              </w:rPr>
              <w:t>javax.transaction</w:t>
            </w:r>
            <w:proofErr w:type="gramEnd"/>
          </w:p>
        </w:tc>
        <w:tc>
          <w:tcPr>
            <w:tcW w:w="3325" w:type="dxa"/>
          </w:tcPr>
          <w:p w14:paraId="1E1B94D0" w14:textId="77777777" w:rsidR="00A720EB" w:rsidRDefault="0030286B">
            <w:pPr>
              <w:pStyle w:val="TableParagraph"/>
              <w:rPr>
                <w:sz w:val="21"/>
              </w:rPr>
            </w:pPr>
            <w:proofErr w:type="gramStart"/>
            <w:r>
              <w:rPr>
                <w:color w:val="B02045"/>
                <w:sz w:val="21"/>
              </w:rPr>
              <w:t>javax.transaction</w:t>
            </w:r>
            <w:proofErr w:type="gramEnd"/>
            <w:r>
              <w:rPr>
                <w:color w:val="B02045"/>
                <w:sz w:val="21"/>
              </w:rPr>
              <w:t>-api</w:t>
            </w:r>
          </w:p>
        </w:tc>
        <w:tc>
          <w:tcPr>
            <w:tcW w:w="3325" w:type="dxa"/>
          </w:tcPr>
          <w:p w14:paraId="2328A7FC" w14:textId="77777777" w:rsidR="00A720EB" w:rsidRDefault="0030286B">
            <w:pPr>
              <w:pStyle w:val="TableParagraph"/>
              <w:rPr>
                <w:sz w:val="21"/>
              </w:rPr>
            </w:pPr>
            <w:r>
              <w:rPr>
                <w:color w:val="B02045"/>
                <w:sz w:val="21"/>
              </w:rPr>
              <w:t>1.3</w:t>
            </w:r>
          </w:p>
        </w:tc>
      </w:tr>
    </w:tbl>
    <w:p w14:paraId="35B83E83"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06D17E4A" w14:textId="77777777">
        <w:trPr>
          <w:trHeight w:val="415"/>
        </w:trPr>
        <w:tc>
          <w:tcPr>
            <w:tcW w:w="3325" w:type="dxa"/>
            <w:tcBorders>
              <w:bottom w:val="single" w:sz="12" w:space="0" w:color="DDDDDD"/>
            </w:tcBorders>
          </w:tcPr>
          <w:p w14:paraId="7842E82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39D1F637"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46DF7D2A"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32A3DD40" w14:textId="77777777">
        <w:trPr>
          <w:trHeight w:val="358"/>
        </w:trPr>
        <w:tc>
          <w:tcPr>
            <w:tcW w:w="3325" w:type="dxa"/>
            <w:tcBorders>
              <w:top w:val="single" w:sz="12" w:space="0" w:color="DDDDDD"/>
            </w:tcBorders>
          </w:tcPr>
          <w:p w14:paraId="2DE6A20B" w14:textId="77777777" w:rsidR="00A720EB" w:rsidRDefault="0030286B">
            <w:pPr>
              <w:pStyle w:val="TableParagraph"/>
              <w:spacing w:before="27"/>
              <w:rPr>
                <w:sz w:val="21"/>
              </w:rPr>
            </w:pPr>
            <w:proofErr w:type="gramStart"/>
            <w:r>
              <w:rPr>
                <w:color w:val="B02045"/>
                <w:sz w:val="21"/>
              </w:rPr>
              <w:t>javax.validation</w:t>
            </w:r>
            <w:proofErr w:type="gramEnd"/>
          </w:p>
        </w:tc>
        <w:tc>
          <w:tcPr>
            <w:tcW w:w="3325" w:type="dxa"/>
            <w:tcBorders>
              <w:top w:val="single" w:sz="12" w:space="0" w:color="DDDDDD"/>
            </w:tcBorders>
          </w:tcPr>
          <w:p w14:paraId="03E34C94" w14:textId="77777777" w:rsidR="00A720EB" w:rsidRDefault="0030286B">
            <w:pPr>
              <w:pStyle w:val="TableParagraph"/>
              <w:spacing w:before="27"/>
              <w:rPr>
                <w:sz w:val="21"/>
              </w:rPr>
            </w:pPr>
            <w:r>
              <w:rPr>
                <w:color w:val="B02045"/>
                <w:sz w:val="21"/>
              </w:rPr>
              <w:t>validation-api</w:t>
            </w:r>
          </w:p>
        </w:tc>
        <w:tc>
          <w:tcPr>
            <w:tcW w:w="3325" w:type="dxa"/>
            <w:tcBorders>
              <w:top w:val="single" w:sz="12" w:space="0" w:color="DDDDDD"/>
            </w:tcBorders>
          </w:tcPr>
          <w:p w14:paraId="41FD6F4E" w14:textId="77777777" w:rsidR="00A720EB" w:rsidRDefault="0030286B">
            <w:pPr>
              <w:pStyle w:val="TableParagraph"/>
              <w:spacing w:before="27"/>
              <w:rPr>
                <w:sz w:val="21"/>
              </w:rPr>
            </w:pPr>
            <w:r>
              <w:rPr>
                <w:color w:val="B02045"/>
                <w:sz w:val="21"/>
              </w:rPr>
              <w:t>2.0.</w:t>
            </w:r>
            <w:proofErr w:type="gramStart"/>
            <w:r>
              <w:rPr>
                <w:color w:val="B02045"/>
                <w:sz w:val="21"/>
              </w:rPr>
              <w:t>1.Final</w:t>
            </w:r>
            <w:proofErr w:type="gramEnd"/>
          </w:p>
        </w:tc>
      </w:tr>
      <w:tr w:rsidR="00A720EB" w14:paraId="60D9D2CE" w14:textId="77777777">
        <w:trPr>
          <w:trHeight w:val="368"/>
        </w:trPr>
        <w:tc>
          <w:tcPr>
            <w:tcW w:w="3325" w:type="dxa"/>
          </w:tcPr>
          <w:p w14:paraId="536BB8E4" w14:textId="77777777" w:rsidR="00A720EB" w:rsidRDefault="0030286B">
            <w:pPr>
              <w:pStyle w:val="TableParagraph"/>
              <w:spacing w:before="37"/>
              <w:rPr>
                <w:sz w:val="21"/>
              </w:rPr>
            </w:pPr>
            <w:proofErr w:type="gramStart"/>
            <w:r>
              <w:rPr>
                <w:color w:val="B02045"/>
                <w:sz w:val="21"/>
              </w:rPr>
              <w:t>javax.websocket</w:t>
            </w:r>
            <w:proofErr w:type="gramEnd"/>
          </w:p>
        </w:tc>
        <w:tc>
          <w:tcPr>
            <w:tcW w:w="3325" w:type="dxa"/>
          </w:tcPr>
          <w:p w14:paraId="66A0D818" w14:textId="77777777" w:rsidR="00A720EB" w:rsidRDefault="0030286B">
            <w:pPr>
              <w:pStyle w:val="TableParagraph"/>
              <w:spacing w:before="37"/>
              <w:rPr>
                <w:sz w:val="21"/>
              </w:rPr>
            </w:pPr>
            <w:proofErr w:type="gramStart"/>
            <w:r>
              <w:rPr>
                <w:color w:val="B02045"/>
                <w:sz w:val="21"/>
              </w:rPr>
              <w:t>javax.websocket</w:t>
            </w:r>
            <w:proofErr w:type="gramEnd"/>
            <w:r>
              <w:rPr>
                <w:color w:val="B02045"/>
                <w:sz w:val="21"/>
              </w:rPr>
              <w:t>-api</w:t>
            </w:r>
          </w:p>
        </w:tc>
        <w:tc>
          <w:tcPr>
            <w:tcW w:w="3325" w:type="dxa"/>
          </w:tcPr>
          <w:p w14:paraId="438F05AF" w14:textId="77777777" w:rsidR="00A720EB" w:rsidRDefault="0030286B">
            <w:pPr>
              <w:pStyle w:val="TableParagraph"/>
              <w:spacing w:before="37"/>
              <w:rPr>
                <w:sz w:val="21"/>
              </w:rPr>
            </w:pPr>
            <w:r>
              <w:rPr>
                <w:color w:val="B02045"/>
                <w:sz w:val="21"/>
              </w:rPr>
              <w:t>1.1</w:t>
            </w:r>
          </w:p>
        </w:tc>
      </w:tr>
      <w:tr w:rsidR="00A720EB" w14:paraId="79B8BB85" w14:textId="77777777">
        <w:trPr>
          <w:trHeight w:val="368"/>
        </w:trPr>
        <w:tc>
          <w:tcPr>
            <w:tcW w:w="3325" w:type="dxa"/>
          </w:tcPr>
          <w:p w14:paraId="1F790693" w14:textId="77777777" w:rsidR="00A720EB" w:rsidRDefault="0030286B">
            <w:pPr>
              <w:pStyle w:val="TableParagraph"/>
              <w:spacing w:before="37"/>
              <w:rPr>
                <w:sz w:val="21"/>
              </w:rPr>
            </w:pPr>
            <w:proofErr w:type="gramStart"/>
            <w:r>
              <w:rPr>
                <w:color w:val="B02045"/>
                <w:sz w:val="21"/>
              </w:rPr>
              <w:t>javax.xml.bind</w:t>
            </w:r>
            <w:proofErr w:type="gramEnd"/>
          </w:p>
        </w:tc>
        <w:tc>
          <w:tcPr>
            <w:tcW w:w="3325" w:type="dxa"/>
          </w:tcPr>
          <w:p w14:paraId="00FDF1CC" w14:textId="77777777" w:rsidR="00A720EB" w:rsidRDefault="0030286B">
            <w:pPr>
              <w:pStyle w:val="TableParagraph"/>
              <w:spacing w:before="37"/>
              <w:rPr>
                <w:sz w:val="21"/>
              </w:rPr>
            </w:pPr>
            <w:r>
              <w:rPr>
                <w:color w:val="B02045"/>
                <w:sz w:val="21"/>
              </w:rPr>
              <w:t>jaxb-api</w:t>
            </w:r>
          </w:p>
        </w:tc>
        <w:tc>
          <w:tcPr>
            <w:tcW w:w="3325" w:type="dxa"/>
          </w:tcPr>
          <w:p w14:paraId="2931E206" w14:textId="77777777" w:rsidR="00A720EB" w:rsidRDefault="0030286B">
            <w:pPr>
              <w:pStyle w:val="TableParagraph"/>
              <w:spacing w:before="37"/>
              <w:rPr>
                <w:sz w:val="21"/>
              </w:rPr>
            </w:pPr>
            <w:r>
              <w:rPr>
                <w:color w:val="B02045"/>
                <w:sz w:val="21"/>
              </w:rPr>
              <w:t>2.3.1</w:t>
            </w:r>
          </w:p>
        </w:tc>
      </w:tr>
      <w:tr w:rsidR="00A720EB" w14:paraId="710B9E8E" w14:textId="77777777">
        <w:trPr>
          <w:trHeight w:val="368"/>
        </w:trPr>
        <w:tc>
          <w:tcPr>
            <w:tcW w:w="3325" w:type="dxa"/>
          </w:tcPr>
          <w:p w14:paraId="3EFEE3A0" w14:textId="77777777" w:rsidR="00A720EB" w:rsidRDefault="0030286B">
            <w:pPr>
              <w:pStyle w:val="TableParagraph"/>
              <w:rPr>
                <w:sz w:val="21"/>
              </w:rPr>
            </w:pPr>
            <w:r>
              <w:rPr>
                <w:color w:val="B02045"/>
                <w:sz w:val="21"/>
              </w:rPr>
              <w:t>javax.xml.ws</w:t>
            </w:r>
          </w:p>
        </w:tc>
        <w:tc>
          <w:tcPr>
            <w:tcW w:w="3325" w:type="dxa"/>
          </w:tcPr>
          <w:p w14:paraId="536F4E8F" w14:textId="77777777" w:rsidR="00A720EB" w:rsidRDefault="0030286B">
            <w:pPr>
              <w:pStyle w:val="TableParagraph"/>
              <w:rPr>
                <w:sz w:val="21"/>
              </w:rPr>
            </w:pPr>
            <w:r>
              <w:rPr>
                <w:color w:val="B02045"/>
                <w:sz w:val="21"/>
              </w:rPr>
              <w:t>jaxws-api</w:t>
            </w:r>
          </w:p>
        </w:tc>
        <w:tc>
          <w:tcPr>
            <w:tcW w:w="3325" w:type="dxa"/>
          </w:tcPr>
          <w:p w14:paraId="7025B131" w14:textId="77777777" w:rsidR="00A720EB" w:rsidRDefault="0030286B">
            <w:pPr>
              <w:pStyle w:val="TableParagraph"/>
              <w:rPr>
                <w:sz w:val="21"/>
              </w:rPr>
            </w:pPr>
            <w:r>
              <w:rPr>
                <w:color w:val="B02045"/>
                <w:sz w:val="21"/>
              </w:rPr>
              <w:t>2.3.1</w:t>
            </w:r>
          </w:p>
        </w:tc>
      </w:tr>
      <w:tr w:rsidR="00A720EB" w14:paraId="0A63CBE1" w14:textId="77777777">
        <w:trPr>
          <w:trHeight w:val="368"/>
        </w:trPr>
        <w:tc>
          <w:tcPr>
            <w:tcW w:w="3325" w:type="dxa"/>
          </w:tcPr>
          <w:p w14:paraId="65CEB43B" w14:textId="77777777" w:rsidR="00A720EB" w:rsidRDefault="0030286B">
            <w:pPr>
              <w:pStyle w:val="TableParagraph"/>
              <w:rPr>
                <w:sz w:val="21"/>
              </w:rPr>
            </w:pPr>
            <w:r>
              <w:rPr>
                <w:color w:val="B02045"/>
                <w:sz w:val="21"/>
              </w:rPr>
              <w:t>jaxen</w:t>
            </w:r>
          </w:p>
        </w:tc>
        <w:tc>
          <w:tcPr>
            <w:tcW w:w="3325" w:type="dxa"/>
          </w:tcPr>
          <w:p w14:paraId="45E52502" w14:textId="77777777" w:rsidR="00A720EB" w:rsidRDefault="0030286B">
            <w:pPr>
              <w:pStyle w:val="TableParagraph"/>
              <w:rPr>
                <w:sz w:val="21"/>
              </w:rPr>
            </w:pPr>
            <w:r>
              <w:rPr>
                <w:color w:val="B02045"/>
                <w:sz w:val="21"/>
              </w:rPr>
              <w:t>jaxen</w:t>
            </w:r>
          </w:p>
        </w:tc>
        <w:tc>
          <w:tcPr>
            <w:tcW w:w="3325" w:type="dxa"/>
          </w:tcPr>
          <w:p w14:paraId="02C994F2" w14:textId="77777777" w:rsidR="00A720EB" w:rsidRDefault="0030286B">
            <w:pPr>
              <w:pStyle w:val="TableParagraph"/>
              <w:rPr>
                <w:sz w:val="21"/>
              </w:rPr>
            </w:pPr>
            <w:r>
              <w:rPr>
                <w:color w:val="B02045"/>
                <w:sz w:val="21"/>
              </w:rPr>
              <w:t>1.2.0</w:t>
            </w:r>
          </w:p>
        </w:tc>
      </w:tr>
      <w:tr w:rsidR="00A720EB" w14:paraId="1D8727B3" w14:textId="77777777">
        <w:trPr>
          <w:trHeight w:val="368"/>
        </w:trPr>
        <w:tc>
          <w:tcPr>
            <w:tcW w:w="3325" w:type="dxa"/>
          </w:tcPr>
          <w:p w14:paraId="3191208D" w14:textId="77777777" w:rsidR="00A720EB" w:rsidRDefault="0030286B">
            <w:pPr>
              <w:pStyle w:val="TableParagraph"/>
              <w:rPr>
                <w:sz w:val="21"/>
              </w:rPr>
            </w:pPr>
            <w:r>
              <w:rPr>
                <w:color w:val="B02045"/>
                <w:sz w:val="21"/>
              </w:rPr>
              <w:t>junit</w:t>
            </w:r>
          </w:p>
        </w:tc>
        <w:tc>
          <w:tcPr>
            <w:tcW w:w="3325" w:type="dxa"/>
          </w:tcPr>
          <w:p w14:paraId="279A9955" w14:textId="77777777" w:rsidR="00A720EB" w:rsidRDefault="0030286B">
            <w:pPr>
              <w:pStyle w:val="TableParagraph"/>
              <w:rPr>
                <w:sz w:val="21"/>
              </w:rPr>
            </w:pPr>
            <w:r>
              <w:rPr>
                <w:color w:val="B02045"/>
                <w:sz w:val="21"/>
              </w:rPr>
              <w:t>junit</w:t>
            </w:r>
          </w:p>
        </w:tc>
        <w:tc>
          <w:tcPr>
            <w:tcW w:w="3325" w:type="dxa"/>
          </w:tcPr>
          <w:p w14:paraId="70F90D7B" w14:textId="77777777" w:rsidR="00A720EB" w:rsidRDefault="0030286B">
            <w:pPr>
              <w:pStyle w:val="TableParagraph"/>
              <w:rPr>
                <w:sz w:val="21"/>
              </w:rPr>
            </w:pPr>
            <w:r>
              <w:rPr>
                <w:color w:val="B02045"/>
                <w:sz w:val="21"/>
              </w:rPr>
              <w:t>4.12</w:t>
            </w:r>
          </w:p>
        </w:tc>
      </w:tr>
      <w:tr w:rsidR="00A720EB" w14:paraId="06F891FC" w14:textId="77777777">
        <w:trPr>
          <w:trHeight w:val="368"/>
        </w:trPr>
        <w:tc>
          <w:tcPr>
            <w:tcW w:w="3325" w:type="dxa"/>
          </w:tcPr>
          <w:p w14:paraId="650AD192" w14:textId="77777777" w:rsidR="00A720EB" w:rsidRDefault="0030286B">
            <w:pPr>
              <w:pStyle w:val="TableParagraph"/>
              <w:rPr>
                <w:sz w:val="21"/>
              </w:rPr>
            </w:pPr>
            <w:r>
              <w:rPr>
                <w:color w:val="B02045"/>
                <w:sz w:val="21"/>
              </w:rPr>
              <w:t>mysql</w:t>
            </w:r>
          </w:p>
        </w:tc>
        <w:tc>
          <w:tcPr>
            <w:tcW w:w="3325" w:type="dxa"/>
          </w:tcPr>
          <w:p w14:paraId="6B16BC2E" w14:textId="77777777" w:rsidR="00A720EB" w:rsidRDefault="0030286B">
            <w:pPr>
              <w:pStyle w:val="TableParagraph"/>
              <w:rPr>
                <w:sz w:val="21"/>
              </w:rPr>
            </w:pPr>
            <w:r>
              <w:rPr>
                <w:color w:val="B02045"/>
                <w:sz w:val="21"/>
              </w:rPr>
              <w:t>mysql-connector-java</w:t>
            </w:r>
          </w:p>
        </w:tc>
        <w:tc>
          <w:tcPr>
            <w:tcW w:w="3325" w:type="dxa"/>
          </w:tcPr>
          <w:p w14:paraId="623E315C" w14:textId="77777777" w:rsidR="00A720EB" w:rsidRDefault="0030286B">
            <w:pPr>
              <w:pStyle w:val="TableParagraph"/>
              <w:rPr>
                <w:sz w:val="21"/>
              </w:rPr>
            </w:pPr>
            <w:r>
              <w:rPr>
                <w:color w:val="B02045"/>
                <w:sz w:val="21"/>
              </w:rPr>
              <w:t>8.0.21</w:t>
            </w:r>
          </w:p>
        </w:tc>
      </w:tr>
      <w:tr w:rsidR="00A720EB" w14:paraId="5EED7E72" w14:textId="77777777">
        <w:trPr>
          <w:trHeight w:val="368"/>
        </w:trPr>
        <w:tc>
          <w:tcPr>
            <w:tcW w:w="3325" w:type="dxa"/>
          </w:tcPr>
          <w:p w14:paraId="090511D2" w14:textId="77777777" w:rsidR="00A720EB" w:rsidRDefault="0030286B">
            <w:pPr>
              <w:pStyle w:val="TableParagraph"/>
              <w:spacing w:before="37"/>
              <w:rPr>
                <w:sz w:val="21"/>
              </w:rPr>
            </w:pPr>
            <w:proofErr w:type="gramStart"/>
            <w:r>
              <w:rPr>
                <w:color w:val="B02045"/>
                <w:sz w:val="21"/>
              </w:rPr>
              <w:t>net.bytebuddy</w:t>
            </w:r>
            <w:proofErr w:type="gramEnd"/>
          </w:p>
        </w:tc>
        <w:tc>
          <w:tcPr>
            <w:tcW w:w="3325" w:type="dxa"/>
          </w:tcPr>
          <w:p w14:paraId="22894B48" w14:textId="77777777" w:rsidR="00A720EB" w:rsidRDefault="0030286B">
            <w:pPr>
              <w:pStyle w:val="TableParagraph"/>
              <w:spacing w:before="37"/>
              <w:rPr>
                <w:sz w:val="21"/>
              </w:rPr>
            </w:pPr>
            <w:r>
              <w:rPr>
                <w:color w:val="B02045"/>
                <w:sz w:val="21"/>
              </w:rPr>
              <w:t>byte-buddy</w:t>
            </w:r>
          </w:p>
        </w:tc>
        <w:tc>
          <w:tcPr>
            <w:tcW w:w="3325" w:type="dxa"/>
          </w:tcPr>
          <w:p w14:paraId="0819C028" w14:textId="77777777" w:rsidR="00A720EB" w:rsidRDefault="0030286B">
            <w:pPr>
              <w:pStyle w:val="TableParagraph"/>
              <w:spacing w:before="37"/>
              <w:rPr>
                <w:sz w:val="21"/>
              </w:rPr>
            </w:pPr>
            <w:r>
              <w:rPr>
                <w:color w:val="B02045"/>
                <w:sz w:val="21"/>
              </w:rPr>
              <w:t>1.10.14</w:t>
            </w:r>
          </w:p>
        </w:tc>
      </w:tr>
      <w:tr w:rsidR="00A720EB" w14:paraId="6698D795" w14:textId="77777777">
        <w:trPr>
          <w:trHeight w:val="368"/>
        </w:trPr>
        <w:tc>
          <w:tcPr>
            <w:tcW w:w="3325" w:type="dxa"/>
          </w:tcPr>
          <w:p w14:paraId="5818B2EE" w14:textId="77777777" w:rsidR="00A720EB" w:rsidRDefault="0030286B">
            <w:pPr>
              <w:pStyle w:val="TableParagraph"/>
              <w:spacing w:before="37"/>
              <w:rPr>
                <w:sz w:val="21"/>
              </w:rPr>
            </w:pPr>
            <w:proofErr w:type="gramStart"/>
            <w:r>
              <w:rPr>
                <w:color w:val="B02045"/>
                <w:sz w:val="21"/>
              </w:rPr>
              <w:t>net.bytebuddy</w:t>
            </w:r>
            <w:proofErr w:type="gramEnd"/>
          </w:p>
        </w:tc>
        <w:tc>
          <w:tcPr>
            <w:tcW w:w="3325" w:type="dxa"/>
          </w:tcPr>
          <w:p w14:paraId="4695344B" w14:textId="77777777" w:rsidR="00A720EB" w:rsidRDefault="0030286B">
            <w:pPr>
              <w:pStyle w:val="TableParagraph"/>
              <w:spacing w:before="37"/>
              <w:rPr>
                <w:sz w:val="21"/>
              </w:rPr>
            </w:pPr>
            <w:r>
              <w:rPr>
                <w:color w:val="B02045"/>
                <w:sz w:val="21"/>
              </w:rPr>
              <w:t>byte-buddy-agent</w:t>
            </w:r>
          </w:p>
        </w:tc>
        <w:tc>
          <w:tcPr>
            <w:tcW w:w="3325" w:type="dxa"/>
          </w:tcPr>
          <w:p w14:paraId="6504074C" w14:textId="77777777" w:rsidR="00A720EB" w:rsidRDefault="0030286B">
            <w:pPr>
              <w:pStyle w:val="TableParagraph"/>
              <w:spacing w:before="37"/>
              <w:rPr>
                <w:sz w:val="21"/>
              </w:rPr>
            </w:pPr>
            <w:r>
              <w:rPr>
                <w:color w:val="B02045"/>
                <w:sz w:val="21"/>
              </w:rPr>
              <w:t>1.10.14</w:t>
            </w:r>
          </w:p>
        </w:tc>
      </w:tr>
      <w:tr w:rsidR="00A720EB" w14:paraId="26802A20" w14:textId="77777777">
        <w:trPr>
          <w:trHeight w:val="368"/>
        </w:trPr>
        <w:tc>
          <w:tcPr>
            <w:tcW w:w="3325" w:type="dxa"/>
          </w:tcPr>
          <w:p w14:paraId="10935B54" w14:textId="77777777" w:rsidR="00A720EB" w:rsidRDefault="0030286B">
            <w:pPr>
              <w:pStyle w:val="TableParagraph"/>
              <w:spacing w:before="37"/>
              <w:rPr>
                <w:sz w:val="21"/>
              </w:rPr>
            </w:pPr>
            <w:proofErr w:type="gramStart"/>
            <w:r>
              <w:rPr>
                <w:color w:val="B02045"/>
                <w:sz w:val="21"/>
              </w:rPr>
              <w:t>net.minidev</w:t>
            </w:r>
            <w:proofErr w:type="gramEnd"/>
          </w:p>
        </w:tc>
        <w:tc>
          <w:tcPr>
            <w:tcW w:w="3325" w:type="dxa"/>
          </w:tcPr>
          <w:p w14:paraId="00236416" w14:textId="77777777" w:rsidR="00A720EB" w:rsidRDefault="0030286B">
            <w:pPr>
              <w:pStyle w:val="TableParagraph"/>
              <w:spacing w:before="37"/>
              <w:rPr>
                <w:sz w:val="21"/>
              </w:rPr>
            </w:pPr>
            <w:r>
              <w:rPr>
                <w:color w:val="B02045"/>
                <w:sz w:val="21"/>
              </w:rPr>
              <w:t>json-smart</w:t>
            </w:r>
          </w:p>
        </w:tc>
        <w:tc>
          <w:tcPr>
            <w:tcW w:w="3325" w:type="dxa"/>
          </w:tcPr>
          <w:p w14:paraId="68C346CE" w14:textId="77777777" w:rsidR="00A720EB" w:rsidRDefault="0030286B">
            <w:pPr>
              <w:pStyle w:val="TableParagraph"/>
              <w:spacing w:before="37"/>
              <w:rPr>
                <w:sz w:val="21"/>
              </w:rPr>
            </w:pPr>
            <w:r>
              <w:rPr>
                <w:color w:val="B02045"/>
                <w:sz w:val="21"/>
              </w:rPr>
              <w:t>2.3</w:t>
            </w:r>
          </w:p>
        </w:tc>
      </w:tr>
      <w:tr w:rsidR="00A720EB" w14:paraId="2CC656D8" w14:textId="77777777">
        <w:trPr>
          <w:trHeight w:val="368"/>
        </w:trPr>
        <w:tc>
          <w:tcPr>
            <w:tcW w:w="3325" w:type="dxa"/>
          </w:tcPr>
          <w:p w14:paraId="1DDCD4F6" w14:textId="77777777" w:rsidR="00A720EB" w:rsidRDefault="0030286B">
            <w:pPr>
              <w:pStyle w:val="TableParagraph"/>
              <w:spacing w:before="37"/>
              <w:rPr>
                <w:sz w:val="21"/>
              </w:rPr>
            </w:pPr>
            <w:proofErr w:type="gramStart"/>
            <w:r>
              <w:rPr>
                <w:color w:val="B02045"/>
                <w:sz w:val="21"/>
              </w:rPr>
              <w:t>net.sf.ehcache</w:t>
            </w:r>
            <w:proofErr w:type="gramEnd"/>
          </w:p>
        </w:tc>
        <w:tc>
          <w:tcPr>
            <w:tcW w:w="3325" w:type="dxa"/>
          </w:tcPr>
          <w:p w14:paraId="3BE291D9" w14:textId="77777777" w:rsidR="00A720EB" w:rsidRDefault="0030286B">
            <w:pPr>
              <w:pStyle w:val="TableParagraph"/>
              <w:spacing w:before="37"/>
              <w:rPr>
                <w:sz w:val="21"/>
              </w:rPr>
            </w:pPr>
            <w:r>
              <w:rPr>
                <w:color w:val="B02045"/>
                <w:sz w:val="21"/>
              </w:rPr>
              <w:t>ehcache</w:t>
            </w:r>
          </w:p>
        </w:tc>
        <w:tc>
          <w:tcPr>
            <w:tcW w:w="3325" w:type="dxa"/>
          </w:tcPr>
          <w:p w14:paraId="7E01F94F" w14:textId="77777777" w:rsidR="00A720EB" w:rsidRDefault="0030286B">
            <w:pPr>
              <w:pStyle w:val="TableParagraph"/>
              <w:spacing w:before="37"/>
              <w:rPr>
                <w:sz w:val="21"/>
              </w:rPr>
            </w:pPr>
            <w:r>
              <w:rPr>
                <w:color w:val="B02045"/>
                <w:sz w:val="21"/>
              </w:rPr>
              <w:t>2.10.6</w:t>
            </w:r>
          </w:p>
        </w:tc>
      </w:tr>
      <w:tr w:rsidR="00A720EB" w14:paraId="5A295B70" w14:textId="77777777">
        <w:trPr>
          <w:trHeight w:val="368"/>
        </w:trPr>
        <w:tc>
          <w:tcPr>
            <w:tcW w:w="3325" w:type="dxa"/>
          </w:tcPr>
          <w:p w14:paraId="4FFE5BC8" w14:textId="77777777" w:rsidR="00A720EB" w:rsidRDefault="0030286B">
            <w:pPr>
              <w:pStyle w:val="TableParagraph"/>
              <w:rPr>
                <w:sz w:val="21"/>
              </w:rPr>
            </w:pPr>
            <w:proofErr w:type="gramStart"/>
            <w:r>
              <w:rPr>
                <w:color w:val="B02045"/>
                <w:sz w:val="21"/>
              </w:rPr>
              <w:t>net.sourceforge</w:t>
            </w:r>
            <w:proofErr w:type="gramEnd"/>
            <w:r>
              <w:rPr>
                <w:color w:val="B02045"/>
                <w:sz w:val="21"/>
              </w:rPr>
              <w:t>.htmlunit</w:t>
            </w:r>
          </w:p>
        </w:tc>
        <w:tc>
          <w:tcPr>
            <w:tcW w:w="3325" w:type="dxa"/>
          </w:tcPr>
          <w:p w14:paraId="6C13F426" w14:textId="77777777" w:rsidR="00A720EB" w:rsidRDefault="0030286B">
            <w:pPr>
              <w:pStyle w:val="TableParagraph"/>
              <w:rPr>
                <w:sz w:val="21"/>
              </w:rPr>
            </w:pPr>
            <w:r>
              <w:rPr>
                <w:color w:val="B02045"/>
                <w:sz w:val="21"/>
              </w:rPr>
              <w:t>htmlunit</w:t>
            </w:r>
          </w:p>
        </w:tc>
        <w:tc>
          <w:tcPr>
            <w:tcW w:w="3325" w:type="dxa"/>
          </w:tcPr>
          <w:p w14:paraId="548A569B" w14:textId="77777777" w:rsidR="00A720EB" w:rsidRDefault="0030286B">
            <w:pPr>
              <w:pStyle w:val="TableParagraph"/>
              <w:rPr>
                <w:sz w:val="21"/>
              </w:rPr>
            </w:pPr>
            <w:r>
              <w:rPr>
                <w:color w:val="B02045"/>
                <w:sz w:val="21"/>
              </w:rPr>
              <w:t>2.40.0</w:t>
            </w:r>
          </w:p>
        </w:tc>
      </w:tr>
      <w:tr w:rsidR="00A720EB" w14:paraId="79C8DB58" w14:textId="77777777">
        <w:trPr>
          <w:trHeight w:val="368"/>
        </w:trPr>
        <w:tc>
          <w:tcPr>
            <w:tcW w:w="3325" w:type="dxa"/>
          </w:tcPr>
          <w:p w14:paraId="7FA5BD70" w14:textId="77777777" w:rsidR="00A720EB" w:rsidRDefault="0030286B">
            <w:pPr>
              <w:pStyle w:val="TableParagraph"/>
              <w:rPr>
                <w:sz w:val="21"/>
              </w:rPr>
            </w:pPr>
            <w:proofErr w:type="gramStart"/>
            <w:r>
              <w:rPr>
                <w:color w:val="B02045"/>
                <w:sz w:val="21"/>
              </w:rPr>
              <w:t>net.sourceforge</w:t>
            </w:r>
            <w:proofErr w:type="gramEnd"/>
            <w:r>
              <w:rPr>
                <w:color w:val="B02045"/>
                <w:sz w:val="21"/>
              </w:rPr>
              <w:t>.jtds</w:t>
            </w:r>
          </w:p>
        </w:tc>
        <w:tc>
          <w:tcPr>
            <w:tcW w:w="3325" w:type="dxa"/>
          </w:tcPr>
          <w:p w14:paraId="14616528" w14:textId="77777777" w:rsidR="00A720EB" w:rsidRDefault="0030286B">
            <w:pPr>
              <w:pStyle w:val="TableParagraph"/>
              <w:rPr>
                <w:sz w:val="21"/>
              </w:rPr>
            </w:pPr>
            <w:r>
              <w:rPr>
                <w:color w:val="B02045"/>
                <w:sz w:val="21"/>
              </w:rPr>
              <w:t>jtds</w:t>
            </w:r>
          </w:p>
        </w:tc>
        <w:tc>
          <w:tcPr>
            <w:tcW w:w="3325" w:type="dxa"/>
          </w:tcPr>
          <w:p w14:paraId="77725F8F" w14:textId="77777777" w:rsidR="00A720EB" w:rsidRDefault="0030286B">
            <w:pPr>
              <w:pStyle w:val="TableParagraph"/>
              <w:rPr>
                <w:sz w:val="21"/>
              </w:rPr>
            </w:pPr>
            <w:r>
              <w:rPr>
                <w:color w:val="B02045"/>
                <w:sz w:val="21"/>
              </w:rPr>
              <w:t>1.3.1</w:t>
            </w:r>
          </w:p>
        </w:tc>
      </w:tr>
      <w:tr w:rsidR="00A720EB" w14:paraId="2C397A0D" w14:textId="77777777">
        <w:trPr>
          <w:trHeight w:val="368"/>
        </w:trPr>
        <w:tc>
          <w:tcPr>
            <w:tcW w:w="3325" w:type="dxa"/>
          </w:tcPr>
          <w:p w14:paraId="2993BC7A" w14:textId="77777777" w:rsidR="00A720EB" w:rsidRDefault="0030286B">
            <w:pPr>
              <w:pStyle w:val="TableParagraph"/>
              <w:rPr>
                <w:sz w:val="21"/>
              </w:rPr>
            </w:pPr>
            <w:proofErr w:type="gramStart"/>
            <w:r>
              <w:rPr>
                <w:color w:val="B02045"/>
                <w:sz w:val="21"/>
              </w:rPr>
              <w:t>net.sourceforge</w:t>
            </w:r>
            <w:proofErr w:type="gramEnd"/>
            <w:r>
              <w:rPr>
                <w:color w:val="B02045"/>
                <w:sz w:val="21"/>
              </w:rPr>
              <w:t>.nekohtml</w:t>
            </w:r>
          </w:p>
        </w:tc>
        <w:tc>
          <w:tcPr>
            <w:tcW w:w="3325" w:type="dxa"/>
          </w:tcPr>
          <w:p w14:paraId="23B25164" w14:textId="77777777" w:rsidR="00A720EB" w:rsidRDefault="0030286B">
            <w:pPr>
              <w:pStyle w:val="TableParagraph"/>
              <w:rPr>
                <w:sz w:val="21"/>
              </w:rPr>
            </w:pPr>
            <w:r>
              <w:rPr>
                <w:color w:val="B02045"/>
                <w:sz w:val="21"/>
              </w:rPr>
              <w:t>nekohtml</w:t>
            </w:r>
          </w:p>
        </w:tc>
        <w:tc>
          <w:tcPr>
            <w:tcW w:w="3325" w:type="dxa"/>
          </w:tcPr>
          <w:p w14:paraId="0AE91E3B" w14:textId="77777777" w:rsidR="00A720EB" w:rsidRDefault="0030286B">
            <w:pPr>
              <w:pStyle w:val="TableParagraph"/>
              <w:rPr>
                <w:sz w:val="21"/>
              </w:rPr>
            </w:pPr>
            <w:r>
              <w:rPr>
                <w:color w:val="B02045"/>
                <w:sz w:val="21"/>
              </w:rPr>
              <w:t>1.9.22</w:t>
            </w:r>
          </w:p>
        </w:tc>
      </w:tr>
      <w:tr w:rsidR="00A720EB" w14:paraId="69EDDEF0" w14:textId="77777777">
        <w:trPr>
          <w:trHeight w:val="368"/>
        </w:trPr>
        <w:tc>
          <w:tcPr>
            <w:tcW w:w="3325" w:type="dxa"/>
          </w:tcPr>
          <w:p w14:paraId="340C1C8A" w14:textId="77777777" w:rsidR="00A720EB" w:rsidRDefault="0030286B">
            <w:pPr>
              <w:pStyle w:val="TableParagraph"/>
              <w:spacing w:before="37"/>
              <w:rPr>
                <w:sz w:val="21"/>
              </w:rPr>
            </w:pPr>
            <w:proofErr w:type="gramStart"/>
            <w:r>
              <w:rPr>
                <w:color w:val="B02045"/>
                <w:sz w:val="21"/>
              </w:rPr>
              <w:t>nz.net.ultraq</w:t>
            </w:r>
            <w:proofErr w:type="gramEnd"/>
            <w:r>
              <w:rPr>
                <w:color w:val="B02045"/>
                <w:sz w:val="21"/>
              </w:rPr>
              <w:t>.thymeleaf</w:t>
            </w:r>
          </w:p>
        </w:tc>
        <w:tc>
          <w:tcPr>
            <w:tcW w:w="3325" w:type="dxa"/>
          </w:tcPr>
          <w:p w14:paraId="4FAFAF7A" w14:textId="77777777" w:rsidR="00A720EB" w:rsidRDefault="0030286B">
            <w:pPr>
              <w:pStyle w:val="TableParagraph"/>
              <w:spacing w:before="37"/>
              <w:rPr>
                <w:sz w:val="21"/>
              </w:rPr>
            </w:pPr>
            <w:r>
              <w:rPr>
                <w:color w:val="B02045"/>
                <w:sz w:val="21"/>
              </w:rPr>
              <w:t>thymeleaf-layout-dialect</w:t>
            </w:r>
          </w:p>
        </w:tc>
        <w:tc>
          <w:tcPr>
            <w:tcW w:w="3325" w:type="dxa"/>
          </w:tcPr>
          <w:p w14:paraId="21EBB0E4" w14:textId="77777777" w:rsidR="00A720EB" w:rsidRDefault="0030286B">
            <w:pPr>
              <w:pStyle w:val="TableParagraph"/>
              <w:spacing w:before="37"/>
              <w:rPr>
                <w:sz w:val="21"/>
              </w:rPr>
            </w:pPr>
            <w:r>
              <w:rPr>
                <w:color w:val="B02045"/>
                <w:sz w:val="21"/>
              </w:rPr>
              <w:t>2.4.1</w:t>
            </w:r>
          </w:p>
        </w:tc>
      </w:tr>
      <w:tr w:rsidR="00A720EB" w14:paraId="49B5E24B" w14:textId="77777777">
        <w:trPr>
          <w:trHeight w:val="368"/>
        </w:trPr>
        <w:tc>
          <w:tcPr>
            <w:tcW w:w="3325" w:type="dxa"/>
          </w:tcPr>
          <w:p w14:paraId="658E7B4C"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261CF1D8" w14:textId="77777777" w:rsidR="00A720EB" w:rsidRDefault="0030286B">
            <w:pPr>
              <w:pStyle w:val="TableParagraph"/>
              <w:rPr>
                <w:sz w:val="21"/>
              </w:rPr>
            </w:pPr>
            <w:r>
              <w:rPr>
                <w:color w:val="B02045"/>
                <w:sz w:val="21"/>
              </w:rPr>
              <w:t>activemq-amqp</w:t>
            </w:r>
          </w:p>
        </w:tc>
        <w:tc>
          <w:tcPr>
            <w:tcW w:w="3325" w:type="dxa"/>
          </w:tcPr>
          <w:p w14:paraId="3F76C023" w14:textId="77777777" w:rsidR="00A720EB" w:rsidRDefault="0030286B">
            <w:pPr>
              <w:pStyle w:val="TableParagraph"/>
              <w:rPr>
                <w:sz w:val="21"/>
              </w:rPr>
            </w:pPr>
            <w:r>
              <w:rPr>
                <w:color w:val="B02045"/>
                <w:sz w:val="21"/>
              </w:rPr>
              <w:t>5.15.13</w:t>
            </w:r>
          </w:p>
        </w:tc>
      </w:tr>
      <w:tr w:rsidR="00A720EB" w14:paraId="7E589A98" w14:textId="77777777">
        <w:trPr>
          <w:trHeight w:val="368"/>
        </w:trPr>
        <w:tc>
          <w:tcPr>
            <w:tcW w:w="3325" w:type="dxa"/>
          </w:tcPr>
          <w:p w14:paraId="61B74072"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4E303027" w14:textId="77777777" w:rsidR="00A720EB" w:rsidRDefault="0030286B">
            <w:pPr>
              <w:pStyle w:val="TableParagraph"/>
              <w:rPr>
                <w:sz w:val="21"/>
              </w:rPr>
            </w:pPr>
            <w:r>
              <w:rPr>
                <w:color w:val="B02045"/>
                <w:sz w:val="21"/>
              </w:rPr>
              <w:t>activemq-blueprint</w:t>
            </w:r>
          </w:p>
        </w:tc>
        <w:tc>
          <w:tcPr>
            <w:tcW w:w="3325" w:type="dxa"/>
          </w:tcPr>
          <w:p w14:paraId="29B420BC" w14:textId="77777777" w:rsidR="00A720EB" w:rsidRDefault="0030286B">
            <w:pPr>
              <w:pStyle w:val="TableParagraph"/>
              <w:rPr>
                <w:sz w:val="21"/>
              </w:rPr>
            </w:pPr>
            <w:r>
              <w:rPr>
                <w:color w:val="B02045"/>
                <w:sz w:val="21"/>
              </w:rPr>
              <w:t>5.15.13</w:t>
            </w:r>
          </w:p>
        </w:tc>
      </w:tr>
      <w:tr w:rsidR="00A720EB" w14:paraId="12AA7773" w14:textId="77777777">
        <w:trPr>
          <w:trHeight w:val="368"/>
        </w:trPr>
        <w:tc>
          <w:tcPr>
            <w:tcW w:w="3325" w:type="dxa"/>
          </w:tcPr>
          <w:p w14:paraId="282FB24E"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48D82231" w14:textId="77777777" w:rsidR="00A720EB" w:rsidRDefault="0030286B">
            <w:pPr>
              <w:pStyle w:val="TableParagraph"/>
              <w:spacing w:before="37"/>
              <w:rPr>
                <w:sz w:val="21"/>
              </w:rPr>
            </w:pPr>
            <w:r>
              <w:rPr>
                <w:color w:val="B02045"/>
                <w:sz w:val="21"/>
              </w:rPr>
              <w:t>activemq-broker</w:t>
            </w:r>
          </w:p>
        </w:tc>
        <w:tc>
          <w:tcPr>
            <w:tcW w:w="3325" w:type="dxa"/>
          </w:tcPr>
          <w:p w14:paraId="26A4930F" w14:textId="77777777" w:rsidR="00A720EB" w:rsidRDefault="0030286B">
            <w:pPr>
              <w:pStyle w:val="TableParagraph"/>
              <w:spacing w:before="37"/>
              <w:rPr>
                <w:sz w:val="21"/>
              </w:rPr>
            </w:pPr>
            <w:r>
              <w:rPr>
                <w:color w:val="B02045"/>
                <w:sz w:val="21"/>
              </w:rPr>
              <w:t>5.15.13</w:t>
            </w:r>
          </w:p>
        </w:tc>
      </w:tr>
      <w:tr w:rsidR="00A720EB" w14:paraId="07418B93" w14:textId="77777777">
        <w:trPr>
          <w:trHeight w:val="368"/>
        </w:trPr>
        <w:tc>
          <w:tcPr>
            <w:tcW w:w="3325" w:type="dxa"/>
          </w:tcPr>
          <w:p w14:paraId="30B537D1"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332B19E1" w14:textId="77777777" w:rsidR="00A720EB" w:rsidRDefault="0030286B">
            <w:pPr>
              <w:pStyle w:val="TableParagraph"/>
              <w:spacing w:before="37"/>
              <w:rPr>
                <w:sz w:val="21"/>
              </w:rPr>
            </w:pPr>
            <w:r>
              <w:rPr>
                <w:color w:val="B02045"/>
                <w:sz w:val="21"/>
              </w:rPr>
              <w:t>activemq-camel</w:t>
            </w:r>
          </w:p>
        </w:tc>
        <w:tc>
          <w:tcPr>
            <w:tcW w:w="3325" w:type="dxa"/>
          </w:tcPr>
          <w:p w14:paraId="178C951F" w14:textId="77777777" w:rsidR="00A720EB" w:rsidRDefault="0030286B">
            <w:pPr>
              <w:pStyle w:val="TableParagraph"/>
              <w:spacing w:before="37"/>
              <w:rPr>
                <w:sz w:val="21"/>
              </w:rPr>
            </w:pPr>
            <w:r>
              <w:rPr>
                <w:color w:val="B02045"/>
                <w:sz w:val="21"/>
              </w:rPr>
              <w:t>5.15.13</w:t>
            </w:r>
          </w:p>
        </w:tc>
      </w:tr>
      <w:tr w:rsidR="00A720EB" w14:paraId="5C6ED6B0" w14:textId="77777777">
        <w:trPr>
          <w:trHeight w:val="368"/>
        </w:trPr>
        <w:tc>
          <w:tcPr>
            <w:tcW w:w="3325" w:type="dxa"/>
          </w:tcPr>
          <w:p w14:paraId="78943A8D"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69971D3E" w14:textId="77777777" w:rsidR="00A720EB" w:rsidRDefault="0030286B">
            <w:pPr>
              <w:pStyle w:val="TableParagraph"/>
              <w:spacing w:before="37"/>
              <w:rPr>
                <w:sz w:val="21"/>
              </w:rPr>
            </w:pPr>
            <w:r>
              <w:rPr>
                <w:color w:val="B02045"/>
                <w:sz w:val="21"/>
              </w:rPr>
              <w:t>activemq-client</w:t>
            </w:r>
          </w:p>
        </w:tc>
        <w:tc>
          <w:tcPr>
            <w:tcW w:w="3325" w:type="dxa"/>
          </w:tcPr>
          <w:p w14:paraId="6549D49F" w14:textId="77777777" w:rsidR="00A720EB" w:rsidRDefault="0030286B">
            <w:pPr>
              <w:pStyle w:val="TableParagraph"/>
              <w:spacing w:before="37"/>
              <w:rPr>
                <w:sz w:val="21"/>
              </w:rPr>
            </w:pPr>
            <w:r>
              <w:rPr>
                <w:color w:val="B02045"/>
                <w:sz w:val="21"/>
              </w:rPr>
              <w:t>5.15.13</w:t>
            </w:r>
          </w:p>
        </w:tc>
      </w:tr>
      <w:tr w:rsidR="00A720EB" w14:paraId="6168B313" w14:textId="77777777">
        <w:trPr>
          <w:trHeight w:val="368"/>
        </w:trPr>
        <w:tc>
          <w:tcPr>
            <w:tcW w:w="3325" w:type="dxa"/>
          </w:tcPr>
          <w:p w14:paraId="232F129A"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5FE970AA" w14:textId="77777777" w:rsidR="00A720EB" w:rsidRDefault="0030286B">
            <w:pPr>
              <w:pStyle w:val="TableParagraph"/>
              <w:rPr>
                <w:sz w:val="21"/>
              </w:rPr>
            </w:pPr>
            <w:r>
              <w:rPr>
                <w:color w:val="B02045"/>
                <w:sz w:val="21"/>
              </w:rPr>
              <w:t>activemq-console</w:t>
            </w:r>
          </w:p>
        </w:tc>
        <w:tc>
          <w:tcPr>
            <w:tcW w:w="3325" w:type="dxa"/>
          </w:tcPr>
          <w:p w14:paraId="199417FB" w14:textId="77777777" w:rsidR="00A720EB" w:rsidRDefault="0030286B">
            <w:pPr>
              <w:pStyle w:val="TableParagraph"/>
              <w:rPr>
                <w:sz w:val="21"/>
              </w:rPr>
            </w:pPr>
            <w:r>
              <w:rPr>
                <w:color w:val="B02045"/>
                <w:sz w:val="21"/>
              </w:rPr>
              <w:t>5.15.13</w:t>
            </w:r>
          </w:p>
        </w:tc>
      </w:tr>
      <w:tr w:rsidR="00A720EB" w14:paraId="75ACBC33" w14:textId="77777777">
        <w:trPr>
          <w:trHeight w:val="368"/>
        </w:trPr>
        <w:tc>
          <w:tcPr>
            <w:tcW w:w="3325" w:type="dxa"/>
          </w:tcPr>
          <w:p w14:paraId="08AAD744"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1D110CBE" w14:textId="77777777" w:rsidR="00A720EB" w:rsidRDefault="0030286B">
            <w:pPr>
              <w:pStyle w:val="TableParagraph"/>
              <w:rPr>
                <w:sz w:val="21"/>
              </w:rPr>
            </w:pPr>
            <w:r>
              <w:rPr>
                <w:color w:val="B02045"/>
                <w:sz w:val="21"/>
              </w:rPr>
              <w:t>activemq-http</w:t>
            </w:r>
          </w:p>
        </w:tc>
        <w:tc>
          <w:tcPr>
            <w:tcW w:w="3325" w:type="dxa"/>
          </w:tcPr>
          <w:p w14:paraId="3222A1FA" w14:textId="77777777" w:rsidR="00A720EB" w:rsidRDefault="0030286B">
            <w:pPr>
              <w:pStyle w:val="TableParagraph"/>
              <w:rPr>
                <w:sz w:val="21"/>
              </w:rPr>
            </w:pPr>
            <w:r>
              <w:rPr>
                <w:color w:val="B02045"/>
                <w:sz w:val="21"/>
              </w:rPr>
              <w:t>5.15.13</w:t>
            </w:r>
          </w:p>
        </w:tc>
      </w:tr>
      <w:tr w:rsidR="00A720EB" w14:paraId="00AC7976" w14:textId="77777777">
        <w:trPr>
          <w:trHeight w:val="368"/>
        </w:trPr>
        <w:tc>
          <w:tcPr>
            <w:tcW w:w="3325" w:type="dxa"/>
          </w:tcPr>
          <w:p w14:paraId="7EBCDC32"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2E586B1E" w14:textId="77777777" w:rsidR="00A720EB" w:rsidRDefault="0030286B">
            <w:pPr>
              <w:pStyle w:val="TableParagraph"/>
              <w:spacing w:before="37"/>
              <w:rPr>
                <w:sz w:val="21"/>
              </w:rPr>
            </w:pPr>
            <w:r>
              <w:rPr>
                <w:color w:val="B02045"/>
                <w:sz w:val="21"/>
              </w:rPr>
              <w:t>activemq-jaas</w:t>
            </w:r>
          </w:p>
        </w:tc>
        <w:tc>
          <w:tcPr>
            <w:tcW w:w="3325" w:type="dxa"/>
          </w:tcPr>
          <w:p w14:paraId="1112289B" w14:textId="77777777" w:rsidR="00A720EB" w:rsidRDefault="0030286B">
            <w:pPr>
              <w:pStyle w:val="TableParagraph"/>
              <w:spacing w:before="37"/>
              <w:rPr>
                <w:sz w:val="21"/>
              </w:rPr>
            </w:pPr>
            <w:r>
              <w:rPr>
                <w:color w:val="B02045"/>
                <w:sz w:val="21"/>
              </w:rPr>
              <w:t>5.15.13</w:t>
            </w:r>
          </w:p>
        </w:tc>
      </w:tr>
      <w:tr w:rsidR="00A720EB" w14:paraId="4CA83BF6" w14:textId="77777777">
        <w:trPr>
          <w:trHeight w:val="368"/>
        </w:trPr>
        <w:tc>
          <w:tcPr>
            <w:tcW w:w="3325" w:type="dxa"/>
          </w:tcPr>
          <w:p w14:paraId="73BC4B5A"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19A3B156" w14:textId="77777777" w:rsidR="00A720EB" w:rsidRDefault="0030286B">
            <w:pPr>
              <w:pStyle w:val="TableParagraph"/>
              <w:spacing w:before="37"/>
              <w:rPr>
                <w:sz w:val="21"/>
              </w:rPr>
            </w:pPr>
            <w:r>
              <w:rPr>
                <w:color w:val="B02045"/>
                <w:sz w:val="21"/>
              </w:rPr>
              <w:t>activemq-jdbc-store</w:t>
            </w:r>
          </w:p>
        </w:tc>
        <w:tc>
          <w:tcPr>
            <w:tcW w:w="3325" w:type="dxa"/>
          </w:tcPr>
          <w:p w14:paraId="37D6F600" w14:textId="77777777" w:rsidR="00A720EB" w:rsidRDefault="0030286B">
            <w:pPr>
              <w:pStyle w:val="TableParagraph"/>
              <w:spacing w:before="37"/>
              <w:rPr>
                <w:sz w:val="21"/>
              </w:rPr>
            </w:pPr>
            <w:r>
              <w:rPr>
                <w:color w:val="B02045"/>
                <w:sz w:val="21"/>
              </w:rPr>
              <w:t>5.15.13</w:t>
            </w:r>
          </w:p>
        </w:tc>
      </w:tr>
      <w:tr w:rsidR="00A720EB" w14:paraId="5F0FAB85" w14:textId="77777777">
        <w:trPr>
          <w:trHeight w:val="368"/>
        </w:trPr>
        <w:tc>
          <w:tcPr>
            <w:tcW w:w="3325" w:type="dxa"/>
          </w:tcPr>
          <w:p w14:paraId="6D111DA9"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44ABDFAB" w14:textId="77777777" w:rsidR="00A720EB" w:rsidRDefault="0030286B">
            <w:pPr>
              <w:pStyle w:val="TableParagraph"/>
              <w:rPr>
                <w:sz w:val="21"/>
              </w:rPr>
            </w:pPr>
            <w:r>
              <w:rPr>
                <w:color w:val="B02045"/>
                <w:sz w:val="21"/>
              </w:rPr>
              <w:t>activemq-jms-pool</w:t>
            </w:r>
          </w:p>
        </w:tc>
        <w:tc>
          <w:tcPr>
            <w:tcW w:w="3325" w:type="dxa"/>
          </w:tcPr>
          <w:p w14:paraId="10B085F4" w14:textId="77777777" w:rsidR="00A720EB" w:rsidRDefault="0030286B">
            <w:pPr>
              <w:pStyle w:val="TableParagraph"/>
              <w:rPr>
                <w:sz w:val="21"/>
              </w:rPr>
            </w:pPr>
            <w:r>
              <w:rPr>
                <w:color w:val="B02045"/>
                <w:sz w:val="21"/>
              </w:rPr>
              <w:t>5.15.13</w:t>
            </w:r>
          </w:p>
        </w:tc>
      </w:tr>
      <w:tr w:rsidR="00A720EB" w14:paraId="41A7A985" w14:textId="77777777">
        <w:trPr>
          <w:trHeight w:val="368"/>
        </w:trPr>
        <w:tc>
          <w:tcPr>
            <w:tcW w:w="3325" w:type="dxa"/>
          </w:tcPr>
          <w:p w14:paraId="7733EAE6"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1DC774BD" w14:textId="77777777" w:rsidR="00A720EB" w:rsidRDefault="0030286B">
            <w:pPr>
              <w:pStyle w:val="TableParagraph"/>
              <w:rPr>
                <w:sz w:val="21"/>
              </w:rPr>
            </w:pPr>
            <w:r>
              <w:rPr>
                <w:color w:val="B02045"/>
                <w:sz w:val="21"/>
              </w:rPr>
              <w:t>activemq-kahadb-store</w:t>
            </w:r>
          </w:p>
        </w:tc>
        <w:tc>
          <w:tcPr>
            <w:tcW w:w="3325" w:type="dxa"/>
          </w:tcPr>
          <w:p w14:paraId="07D641D1" w14:textId="77777777" w:rsidR="00A720EB" w:rsidRDefault="0030286B">
            <w:pPr>
              <w:pStyle w:val="TableParagraph"/>
              <w:rPr>
                <w:sz w:val="21"/>
              </w:rPr>
            </w:pPr>
            <w:r>
              <w:rPr>
                <w:color w:val="B02045"/>
                <w:sz w:val="21"/>
              </w:rPr>
              <w:t>5.15.13</w:t>
            </w:r>
          </w:p>
        </w:tc>
      </w:tr>
      <w:tr w:rsidR="00A720EB" w14:paraId="4A9741D8" w14:textId="77777777">
        <w:trPr>
          <w:trHeight w:val="368"/>
        </w:trPr>
        <w:tc>
          <w:tcPr>
            <w:tcW w:w="3325" w:type="dxa"/>
          </w:tcPr>
          <w:p w14:paraId="581F2ECD"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3F53665C" w14:textId="77777777" w:rsidR="00A720EB" w:rsidRDefault="0030286B">
            <w:pPr>
              <w:pStyle w:val="TableParagraph"/>
              <w:spacing w:before="37"/>
              <w:rPr>
                <w:sz w:val="21"/>
              </w:rPr>
            </w:pPr>
            <w:r>
              <w:rPr>
                <w:color w:val="B02045"/>
                <w:sz w:val="21"/>
              </w:rPr>
              <w:t>activemq-karaf</w:t>
            </w:r>
          </w:p>
        </w:tc>
        <w:tc>
          <w:tcPr>
            <w:tcW w:w="3325" w:type="dxa"/>
          </w:tcPr>
          <w:p w14:paraId="7D8AA2DF" w14:textId="77777777" w:rsidR="00A720EB" w:rsidRDefault="0030286B">
            <w:pPr>
              <w:pStyle w:val="TableParagraph"/>
              <w:spacing w:before="37"/>
              <w:rPr>
                <w:sz w:val="21"/>
              </w:rPr>
            </w:pPr>
            <w:r>
              <w:rPr>
                <w:color w:val="B02045"/>
                <w:sz w:val="21"/>
              </w:rPr>
              <w:t>5.15.13</w:t>
            </w:r>
          </w:p>
        </w:tc>
      </w:tr>
      <w:tr w:rsidR="00A720EB" w14:paraId="295FB667" w14:textId="77777777">
        <w:trPr>
          <w:trHeight w:val="368"/>
        </w:trPr>
        <w:tc>
          <w:tcPr>
            <w:tcW w:w="3325" w:type="dxa"/>
          </w:tcPr>
          <w:p w14:paraId="27C5C6A0"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6961A2B7" w14:textId="77777777" w:rsidR="00A720EB" w:rsidRDefault="0030286B">
            <w:pPr>
              <w:pStyle w:val="TableParagraph"/>
              <w:spacing w:before="37"/>
              <w:rPr>
                <w:sz w:val="21"/>
              </w:rPr>
            </w:pPr>
            <w:r>
              <w:rPr>
                <w:color w:val="B02045"/>
                <w:sz w:val="21"/>
              </w:rPr>
              <w:t>activemq-leveldb-store</w:t>
            </w:r>
          </w:p>
        </w:tc>
        <w:tc>
          <w:tcPr>
            <w:tcW w:w="3325" w:type="dxa"/>
          </w:tcPr>
          <w:p w14:paraId="61AC4854" w14:textId="77777777" w:rsidR="00A720EB" w:rsidRDefault="0030286B">
            <w:pPr>
              <w:pStyle w:val="TableParagraph"/>
              <w:spacing w:before="37"/>
              <w:rPr>
                <w:sz w:val="21"/>
              </w:rPr>
            </w:pPr>
            <w:r>
              <w:rPr>
                <w:color w:val="B02045"/>
                <w:sz w:val="21"/>
              </w:rPr>
              <w:t>5.15.13</w:t>
            </w:r>
          </w:p>
        </w:tc>
      </w:tr>
      <w:tr w:rsidR="00A720EB" w14:paraId="007DA8F6" w14:textId="77777777">
        <w:trPr>
          <w:trHeight w:val="368"/>
        </w:trPr>
        <w:tc>
          <w:tcPr>
            <w:tcW w:w="3325" w:type="dxa"/>
          </w:tcPr>
          <w:p w14:paraId="57E558DF"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148F397B" w14:textId="77777777" w:rsidR="00A720EB" w:rsidRDefault="0030286B">
            <w:pPr>
              <w:pStyle w:val="TableParagraph"/>
              <w:rPr>
                <w:sz w:val="21"/>
              </w:rPr>
            </w:pPr>
            <w:r>
              <w:rPr>
                <w:color w:val="B02045"/>
                <w:sz w:val="21"/>
              </w:rPr>
              <w:t>activemq-log4j-appender</w:t>
            </w:r>
          </w:p>
        </w:tc>
        <w:tc>
          <w:tcPr>
            <w:tcW w:w="3325" w:type="dxa"/>
          </w:tcPr>
          <w:p w14:paraId="559CEEB0" w14:textId="77777777" w:rsidR="00A720EB" w:rsidRDefault="0030286B">
            <w:pPr>
              <w:pStyle w:val="TableParagraph"/>
              <w:rPr>
                <w:sz w:val="21"/>
              </w:rPr>
            </w:pPr>
            <w:r>
              <w:rPr>
                <w:color w:val="B02045"/>
                <w:sz w:val="21"/>
              </w:rPr>
              <w:t>5.15.13</w:t>
            </w:r>
          </w:p>
        </w:tc>
      </w:tr>
      <w:tr w:rsidR="00A720EB" w14:paraId="4397FEAB" w14:textId="77777777">
        <w:trPr>
          <w:trHeight w:val="368"/>
        </w:trPr>
        <w:tc>
          <w:tcPr>
            <w:tcW w:w="3325" w:type="dxa"/>
          </w:tcPr>
          <w:p w14:paraId="6FC7A2BB"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58BAD712" w14:textId="77777777" w:rsidR="00A720EB" w:rsidRDefault="0030286B">
            <w:pPr>
              <w:pStyle w:val="TableParagraph"/>
              <w:spacing w:before="37"/>
              <w:rPr>
                <w:sz w:val="21"/>
              </w:rPr>
            </w:pPr>
            <w:r>
              <w:rPr>
                <w:color w:val="B02045"/>
                <w:sz w:val="21"/>
              </w:rPr>
              <w:t>activemq-mqtt</w:t>
            </w:r>
          </w:p>
        </w:tc>
        <w:tc>
          <w:tcPr>
            <w:tcW w:w="3325" w:type="dxa"/>
          </w:tcPr>
          <w:p w14:paraId="12D9AB94" w14:textId="77777777" w:rsidR="00A720EB" w:rsidRDefault="0030286B">
            <w:pPr>
              <w:pStyle w:val="TableParagraph"/>
              <w:spacing w:before="37"/>
              <w:rPr>
                <w:sz w:val="21"/>
              </w:rPr>
            </w:pPr>
            <w:r>
              <w:rPr>
                <w:color w:val="B02045"/>
                <w:sz w:val="21"/>
              </w:rPr>
              <w:t>5.15.13</w:t>
            </w:r>
          </w:p>
        </w:tc>
      </w:tr>
      <w:tr w:rsidR="00A720EB" w14:paraId="6313C8A4" w14:textId="77777777">
        <w:trPr>
          <w:trHeight w:val="368"/>
        </w:trPr>
        <w:tc>
          <w:tcPr>
            <w:tcW w:w="3325" w:type="dxa"/>
          </w:tcPr>
          <w:p w14:paraId="3911BEE9"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78D5D3D9" w14:textId="77777777" w:rsidR="00A720EB" w:rsidRDefault="0030286B">
            <w:pPr>
              <w:pStyle w:val="TableParagraph"/>
              <w:rPr>
                <w:sz w:val="21"/>
              </w:rPr>
            </w:pPr>
            <w:r>
              <w:rPr>
                <w:color w:val="B02045"/>
                <w:sz w:val="21"/>
              </w:rPr>
              <w:t>activemq-openwire-generator</w:t>
            </w:r>
          </w:p>
        </w:tc>
        <w:tc>
          <w:tcPr>
            <w:tcW w:w="3325" w:type="dxa"/>
          </w:tcPr>
          <w:p w14:paraId="3E2D188E" w14:textId="77777777" w:rsidR="00A720EB" w:rsidRDefault="0030286B">
            <w:pPr>
              <w:pStyle w:val="TableParagraph"/>
              <w:rPr>
                <w:sz w:val="21"/>
              </w:rPr>
            </w:pPr>
            <w:r>
              <w:rPr>
                <w:color w:val="B02045"/>
                <w:sz w:val="21"/>
              </w:rPr>
              <w:t>5.15.13</w:t>
            </w:r>
          </w:p>
        </w:tc>
      </w:tr>
      <w:tr w:rsidR="00A720EB" w14:paraId="4F673908" w14:textId="77777777">
        <w:trPr>
          <w:trHeight w:val="368"/>
        </w:trPr>
        <w:tc>
          <w:tcPr>
            <w:tcW w:w="3325" w:type="dxa"/>
          </w:tcPr>
          <w:p w14:paraId="0905193E"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23A614F3" w14:textId="77777777" w:rsidR="00A720EB" w:rsidRDefault="0030286B">
            <w:pPr>
              <w:pStyle w:val="TableParagraph"/>
              <w:spacing w:before="37"/>
              <w:rPr>
                <w:sz w:val="21"/>
              </w:rPr>
            </w:pPr>
            <w:r>
              <w:rPr>
                <w:color w:val="B02045"/>
                <w:sz w:val="21"/>
              </w:rPr>
              <w:t>activemq-openwire-legacy</w:t>
            </w:r>
          </w:p>
        </w:tc>
        <w:tc>
          <w:tcPr>
            <w:tcW w:w="3325" w:type="dxa"/>
          </w:tcPr>
          <w:p w14:paraId="357E754F" w14:textId="77777777" w:rsidR="00A720EB" w:rsidRDefault="0030286B">
            <w:pPr>
              <w:pStyle w:val="TableParagraph"/>
              <w:spacing w:before="37"/>
              <w:rPr>
                <w:sz w:val="21"/>
              </w:rPr>
            </w:pPr>
            <w:r>
              <w:rPr>
                <w:color w:val="B02045"/>
                <w:sz w:val="21"/>
              </w:rPr>
              <w:t>5.15.13</w:t>
            </w:r>
          </w:p>
        </w:tc>
      </w:tr>
      <w:tr w:rsidR="00A720EB" w14:paraId="75966742" w14:textId="77777777">
        <w:trPr>
          <w:trHeight w:val="368"/>
        </w:trPr>
        <w:tc>
          <w:tcPr>
            <w:tcW w:w="3325" w:type="dxa"/>
          </w:tcPr>
          <w:p w14:paraId="4603BFDF"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18E4B14B" w14:textId="77777777" w:rsidR="00A720EB" w:rsidRDefault="0030286B">
            <w:pPr>
              <w:pStyle w:val="TableParagraph"/>
              <w:rPr>
                <w:sz w:val="21"/>
              </w:rPr>
            </w:pPr>
            <w:r>
              <w:rPr>
                <w:color w:val="B02045"/>
                <w:sz w:val="21"/>
              </w:rPr>
              <w:t>activemq-osgi</w:t>
            </w:r>
          </w:p>
        </w:tc>
        <w:tc>
          <w:tcPr>
            <w:tcW w:w="3325" w:type="dxa"/>
          </w:tcPr>
          <w:p w14:paraId="18725793" w14:textId="77777777" w:rsidR="00A720EB" w:rsidRDefault="0030286B">
            <w:pPr>
              <w:pStyle w:val="TableParagraph"/>
              <w:rPr>
                <w:sz w:val="21"/>
              </w:rPr>
            </w:pPr>
            <w:r>
              <w:rPr>
                <w:color w:val="B02045"/>
                <w:sz w:val="21"/>
              </w:rPr>
              <w:t>5.15.13</w:t>
            </w:r>
          </w:p>
        </w:tc>
      </w:tr>
      <w:tr w:rsidR="00A720EB" w14:paraId="3F8DF3C7" w14:textId="77777777">
        <w:trPr>
          <w:trHeight w:val="368"/>
        </w:trPr>
        <w:tc>
          <w:tcPr>
            <w:tcW w:w="3325" w:type="dxa"/>
          </w:tcPr>
          <w:p w14:paraId="26044C69"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0DF40E52" w14:textId="77777777" w:rsidR="00A720EB" w:rsidRDefault="0030286B">
            <w:pPr>
              <w:pStyle w:val="TableParagraph"/>
              <w:spacing w:before="37"/>
              <w:rPr>
                <w:sz w:val="21"/>
              </w:rPr>
            </w:pPr>
            <w:r>
              <w:rPr>
                <w:color w:val="B02045"/>
                <w:sz w:val="21"/>
              </w:rPr>
              <w:t>activemq-partition</w:t>
            </w:r>
          </w:p>
        </w:tc>
        <w:tc>
          <w:tcPr>
            <w:tcW w:w="3325" w:type="dxa"/>
          </w:tcPr>
          <w:p w14:paraId="66D61FC7" w14:textId="77777777" w:rsidR="00A720EB" w:rsidRDefault="0030286B">
            <w:pPr>
              <w:pStyle w:val="TableParagraph"/>
              <w:spacing w:before="37"/>
              <w:rPr>
                <w:sz w:val="21"/>
              </w:rPr>
            </w:pPr>
            <w:r>
              <w:rPr>
                <w:color w:val="B02045"/>
                <w:sz w:val="21"/>
              </w:rPr>
              <w:t>5.15.13</w:t>
            </w:r>
          </w:p>
        </w:tc>
      </w:tr>
      <w:tr w:rsidR="00A720EB" w14:paraId="5E9F6055" w14:textId="77777777">
        <w:trPr>
          <w:trHeight w:val="368"/>
        </w:trPr>
        <w:tc>
          <w:tcPr>
            <w:tcW w:w="3325" w:type="dxa"/>
          </w:tcPr>
          <w:p w14:paraId="43CDF501"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4F3D0DCA" w14:textId="77777777" w:rsidR="00A720EB" w:rsidRDefault="0030286B">
            <w:pPr>
              <w:pStyle w:val="TableParagraph"/>
              <w:rPr>
                <w:sz w:val="21"/>
              </w:rPr>
            </w:pPr>
            <w:r>
              <w:rPr>
                <w:color w:val="B02045"/>
                <w:sz w:val="21"/>
              </w:rPr>
              <w:t>activemq-pool</w:t>
            </w:r>
          </w:p>
        </w:tc>
        <w:tc>
          <w:tcPr>
            <w:tcW w:w="3325" w:type="dxa"/>
          </w:tcPr>
          <w:p w14:paraId="7446E3D5" w14:textId="77777777" w:rsidR="00A720EB" w:rsidRDefault="0030286B">
            <w:pPr>
              <w:pStyle w:val="TableParagraph"/>
              <w:rPr>
                <w:sz w:val="21"/>
              </w:rPr>
            </w:pPr>
            <w:r>
              <w:rPr>
                <w:color w:val="B02045"/>
                <w:sz w:val="21"/>
              </w:rPr>
              <w:t>5.15.13</w:t>
            </w:r>
          </w:p>
        </w:tc>
      </w:tr>
      <w:tr w:rsidR="00A720EB" w14:paraId="52B0D079" w14:textId="77777777">
        <w:trPr>
          <w:trHeight w:val="368"/>
        </w:trPr>
        <w:tc>
          <w:tcPr>
            <w:tcW w:w="3325" w:type="dxa"/>
          </w:tcPr>
          <w:p w14:paraId="233F83C2"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56AE6C03" w14:textId="77777777" w:rsidR="00A720EB" w:rsidRDefault="0030286B">
            <w:pPr>
              <w:pStyle w:val="TableParagraph"/>
              <w:rPr>
                <w:sz w:val="21"/>
              </w:rPr>
            </w:pPr>
            <w:r>
              <w:rPr>
                <w:color w:val="B02045"/>
                <w:sz w:val="21"/>
              </w:rPr>
              <w:t>activemq-ra</w:t>
            </w:r>
          </w:p>
        </w:tc>
        <w:tc>
          <w:tcPr>
            <w:tcW w:w="3325" w:type="dxa"/>
          </w:tcPr>
          <w:p w14:paraId="7C729451" w14:textId="77777777" w:rsidR="00A720EB" w:rsidRDefault="0030286B">
            <w:pPr>
              <w:pStyle w:val="TableParagraph"/>
              <w:rPr>
                <w:sz w:val="21"/>
              </w:rPr>
            </w:pPr>
            <w:r>
              <w:rPr>
                <w:color w:val="B02045"/>
                <w:sz w:val="21"/>
              </w:rPr>
              <w:t>5.15.13</w:t>
            </w:r>
          </w:p>
        </w:tc>
      </w:tr>
      <w:tr w:rsidR="00A720EB" w14:paraId="3307DB87" w14:textId="77777777">
        <w:trPr>
          <w:trHeight w:val="368"/>
        </w:trPr>
        <w:tc>
          <w:tcPr>
            <w:tcW w:w="3325" w:type="dxa"/>
          </w:tcPr>
          <w:p w14:paraId="643AA545"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38E336D0" w14:textId="77777777" w:rsidR="00A720EB" w:rsidRDefault="0030286B">
            <w:pPr>
              <w:pStyle w:val="TableParagraph"/>
              <w:rPr>
                <w:sz w:val="21"/>
              </w:rPr>
            </w:pPr>
            <w:r>
              <w:rPr>
                <w:color w:val="B02045"/>
                <w:sz w:val="21"/>
              </w:rPr>
              <w:t>activemq-run</w:t>
            </w:r>
          </w:p>
        </w:tc>
        <w:tc>
          <w:tcPr>
            <w:tcW w:w="3325" w:type="dxa"/>
          </w:tcPr>
          <w:p w14:paraId="7FBA8EDE" w14:textId="77777777" w:rsidR="00A720EB" w:rsidRDefault="0030286B">
            <w:pPr>
              <w:pStyle w:val="TableParagraph"/>
              <w:rPr>
                <w:sz w:val="21"/>
              </w:rPr>
            </w:pPr>
            <w:r>
              <w:rPr>
                <w:color w:val="B02045"/>
                <w:sz w:val="21"/>
              </w:rPr>
              <w:t>5.15.13</w:t>
            </w:r>
          </w:p>
        </w:tc>
      </w:tr>
      <w:tr w:rsidR="00A720EB" w14:paraId="66B342FE" w14:textId="77777777">
        <w:trPr>
          <w:trHeight w:val="368"/>
        </w:trPr>
        <w:tc>
          <w:tcPr>
            <w:tcW w:w="3325" w:type="dxa"/>
          </w:tcPr>
          <w:p w14:paraId="4F7D8DB4"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1EB20D0E" w14:textId="77777777" w:rsidR="00A720EB" w:rsidRDefault="0030286B">
            <w:pPr>
              <w:pStyle w:val="TableParagraph"/>
              <w:rPr>
                <w:sz w:val="21"/>
              </w:rPr>
            </w:pPr>
            <w:r>
              <w:rPr>
                <w:color w:val="B02045"/>
                <w:sz w:val="21"/>
              </w:rPr>
              <w:t>activemq-runtime-config</w:t>
            </w:r>
          </w:p>
        </w:tc>
        <w:tc>
          <w:tcPr>
            <w:tcW w:w="3325" w:type="dxa"/>
          </w:tcPr>
          <w:p w14:paraId="2FABA3AF" w14:textId="77777777" w:rsidR="00A720EB" w:rsidRDefault="0030286B">
            <w:pPr>
              <w:pStyle w:val="TableParagraph"/>
              <w:rPr>
                <w:sz w:val="21"/>
              </w:rPr>
            </w:pPr>
            <w:r>
              <w:rPr>
                <w:color w:val="B02045"/>
                <w:sz w:val="21"/>
              </w:rPr>
              <w:t>5.15.13</w:t>
            </w:r>
          </w:p>
        </w:tc>
      </w:tr>
    </w:tbl>
    <w:p w14:paraId="061E02FD"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1A7DD167" w14:textId="77777777">
        <w:trPr>
          <w:trHeight w:val="415"/>
        </w:trPr>
        <w:tc>
          <w:tcPr>
            <w:tcW w:w="3325" w:type="dxa"/>
            <w:tcBorders>
              <w:bottom w:val="single" w:sz="12" w:space="0" w:color="DDDDDD"/>
            </w:tcBorders>
          </w:tcPr>
          <w:p w14:paraId="486548E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70AB7B98"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7DB16BB4"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0932D793" w14:textId="77777777">
        <w:trPr>
          <w:trHeight w:val="358"/>
        </w:trPr>
        <w:tc>
          <w:tcPr>
            <w:tcW w:w="3325" w:type="dxa"/>
            <w:tcBorders>
              <w:top w:val="single" w:sz="12" w:space="0" w:color="DDDDDD"/>
            </w:tcBorders>
          </w:tcPr>
          <w:p w14:paraId="67D71D61" w14:textId="77777777" w:rsidR="00A720EB" w:rsidRDefault="0030286B">
            <w:pPr>
              <w:pStyle w:val="TableParagraph"/>
              <w:spacing w:before="27"/>
              <w:rPr>
                <w:sz w:val="21"/>
              </w:rPr>
            </w:pPr>
            <w:proofErr w:type="gramStart"/>
            <w:r>
              <w:rPr>
                <w:color w:val="B02045"/>
                <w:sz w:val="21"/>
              </w:rPr>
              <w:t>org.apache</w:t>
            </w:r>
            <w:proofErr w:type="gramEnd"/>
            <w:r>
              <w:rPr>
                <w:color w:val="B02045"/>
                <w:sz w:val="21"/>
              </w:rPr>
              <w:t>.activemq</w:t>
            </w:r>
          </w:p>
        </w:tc>
        <w:tc>
          <w:tcPr>
            <w:tcW w:w="3325" w:type="dxa"/>
            <w:tcBorders>
              <w:top w:val="single" w:sz="12" w:space="0" w:color="DDDDDD"/>
            </w:tcBorders>
          </w:tcPr>
          <w:p w14:paraId="428EFE96" w14:textId="77777777" w:rsidR="00A720EB" w:rsidRDefault="0030286B">
            <w:pPr>
              <w:pStyle w:val="TableParagraph"/>
              <w:spacing w:before="27"/>
              <w:rPr>
                <w:sz w:val="21"/>
              </w:rPr>
            </w:pPr>
            <w:r>
              <w:rPr>
                <w:color w:val="B02045"/>
                <w:sz w:val="21"/>
              </w:rPr>
              <w:t>activemq-shiro</w:t>
            </w:r>
          </w:p>
        </w:tc>
        <w:tc>
          <w:tcPr>
            <w:tcW w:w="3325" w:type="dxa"/>
            <w:tcBorders>
              <w:top w:val="single" w:sz="12" w:space="0" w:color="DDDDDD"/>
            </w:tcBorders>
          </w:tcPr>
          <w:p w14:paraId="02C98CFF" w14:textId="77777777" w:rsidR="00A720EB" w:rsidRDefault="0030286B">
            <w:pPr>
              <w:pStyle w:val="TableParagraph"/>
              <w:spacing w:before="27"/>
              <w:rPr>
                <w:sz w:val="21"/>
              </w:rPr>
            </w:pPr>
            <w:r>
              <w:rPr>
                <w:color w:val="B02045"/>
                <w:sz w:val="21"/>
              </w:rPr>
              <w:t>5.15.13</w:t>
            </w:r>
          </w:p>
        </w:tc>
      </w:tr>
      <w:tr w:rsidR="00A720EB" w14:paraId="53ABB777" w14:textId="77777777">
        <w:trPr>
          <w:trHeight w:val="368"/>
        </w:trPr>
        <w:tc>
          <w:tcPr>
            <w:tcW w:w="3325" w:type="dxa"/>
          </w:tcPr>
          <w:p w14:paraId="7E84DA13"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49AEFA29" w14:textId="77777777" w:rsidR="00A720EB" w:rsidRDefault="0030286B">
            <w:pPr>
              <w:pStyle w:val="TableParagraph"/>
              <w:spacing w:before="37"/>
              <w:rPr>
                <w:sz w:val="21"/>
              </w:rPr>
            </w:pPr>
            <w:r>
              <w:rPr>
                <w:color w:val="B02045"/>
                <w:sz w:val="21"/>
              </w:rPr>
              <w:t>activemq-spring</w:t>
            </w:r>
          </w:p>
        </w:tc>
        <w:tc>
          <w:tcPr>
            <w:tcW w:w="3325" w:type="dxa"/>
          </w:tcPr>
          <w:p w14:paraId="58BFDDC5" w14:textId="77777777" w:rsidR="00A720EB" w:rsidRDefault="0030286B">
            <w:pPr>
              <w:pStyle w:val="TableParagraph"/>
              <w:spacing w:before="37"/>
              <w:rPr>
                <w:sz w:val="21"/>
              </w:rPr>
            </w:pPr>
            <w:r>
              <w:rPr>
                <w:color w:val="B02045"/>
                <w:sz w:val="21"/>
              </w:rPr>
              <w:t>5.15.13</w:t>
            </w:r>
          </w:p>
        </w:tc>
      </w:tr>
      <w:tr w:rsidR="00A720EB" w14:paraId="35897C84" w14:textId="77777777">
        <w:trPr>
          <w:trHeight w:val="368"/>
        </w:trPr>
        <w:tc>
          <w:tcPr>
            <w:tcW w:w="3325" w:type="dxa"/>
          </w:tcPr>
          <w:p w14:paraId="7DAA3575"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05D1B28F" w14:textId="77777777" w:rsidR="00A720EB" w:rsidRDefault="0030286B">
            <w:pPr>
              <w:pStyle w:val="TableParagraph"/>
              <w:spacing w:before="37"/>
              <w:rPr>
                <w:sz w:val="21"/>
              </w:rPr>
            </w:pPr>
            <w:r>
              <w:rPr>
                <w:color w:val="B02045"/>
                <w:sz w:val="21"/>
              </w:rPr>
              <w:t>activemq-stomp</w:t>
            </w:r>
          </w:p>
        </w:tc>
        <w:tc>
          <w:tcPr>
            <w:tcW w:w="3325" w:type="dxa"/>
          </w:tcPr>
          <w:p w14:paraId="58BBBE89" w14:textId="77777777" w:rsidR="00A720EB" w:rsidRDefault="0030286B">
            <w:pPr>
              <w:pStyle w:val="TableParagraph"/>
              <w:spacing w:before="37"/>
              <w:rPr>
                <w:sz w:val="21"/>
              </w:rPr>
            </w:pPr>
            <w:r>
              <w:rPr>
                <w:color w:val="B02045"/>
                <w:sz w:val="21"/>
              </w:rPr>
              <w:t>5.15.13</w:t>
            </w:r>
          </w:p>
        </w:tc>
      </w:tr>
      <w:tr w:rsidR="00A720EB" w14:paraId="38FC6102" w14:textId="77777777">
        <w:trPr>
          <w:trHeight w:val="368"/>
        </w:trPr>
        <w:tc>
          <w:tcPr>
            <w:tcW w:w="3325" w:type="dxa"/>
          </w:tcPr>
          <w:p w14:paraId="767A9942"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585679DA" w14:textId="77777777" w:rsidR="00A720EB" w:rsidRDefault="0030286B">
            <w:pPr>
              <w:pStyle w:val="TableParagraph"/>
              <w:rPr>
                <w:sz w:val="21"/>
              </w:rPr>
            </w:pPr>
            <w:r>
              <w:rPr>
                <w:color w:val="B02045"/>
                <w:sz w:val="21"/>
              </w:rPr>
              <w:t>activemq-web</w:t>
            </w:r>
          </w:p>
        </w:tc>
        <w:tc>
          <w:tcPr>
            <w:tcW w:w="3325" w:type="dxa"/>
          </w:tcPr>
          <w:p w14:paraId="088D8A39" w14:textId="77777777" w:rsidR="00A720EB" w:rsidRDefault="0030286B">
            <w:pPr>
              <w:pStyle w:val="TableParagraph"/>
              <w:rPr>
                <w:sz w:val="21"/>
              </w:rPr>
            </w:pPr>
            <w:r>
              <w:rPr>
                <w:color w:val="B02045"/>
                <w:sz w:val="21"/>
              </w:rPr>
              <w:t>5.15.13</w:t>
            </w:r>
          </w:p>
        </w:tc>
      </w:tr>
      <w:tr w:rsidR="00A720EB" w14:paraId="7F5AFF20" w14:textId="77777777">
        <w:trPr>
          <w:trHeight w:val="368"/>
        </w:trPr>
        <w:tc>
          <w:tcPr>
            <w:tcW w:w="3325" w:type="dxa"/>
          </w:tcPr>
          <w:p w14:paraId="45225B53"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52165193" w14:textId="77777777" w:rsidR="00A720EB" w:rsidRDefault="0030286B">
            <w:pPr>
              <w:pStyle w:val="TableParagraph"/>
              <w:rPr>
                <w:sz w:val="21"/>
              </w:rPr>
            </w:pPr>
            <w:r>
              <w:rPr>
                <w:color w:val="B02045"/>
                <w:sz w:val="21"/>
              </w:rPr>
              <w:t>artemis-amqp-protocol</w:t>
            </w:r>
          </w:p>
        </w:tc>
        <w:tc>
          <w:tcPr>
            <w:tcW w:w="3325" w:type="dxa"/>
          </w:tcPr>
          <w:p w14:paraId="3D4446C0" w14:textId="77777777" w:rsidR="00A720EB" w:rsidRDefault="0030286B">
            <w:pPr>
              <w:pStyle w:val="TableParagraph"/>
              <w:rPr>
                <w:sz w:val="21"/>
              </w:rPr>
            </w:pPr>
            <w:r>
              <w:rPr>
                <w:color w:val="B02045"/>
                <w:sz w:val="21"/>
              </w:rPr>
              <w:t>2.12.0</w:t>
            </w:r>
          </w:p>
        </w:tc>
      </w:tr>
      <w:tr w:rsidR="00A720EB" w14:paraId="518633A6" w14:textId="77777777">
        <w:trPr>
          <w:trHeight w:val="368"/>
        </w:trPr>
        <w:tc>
          <w:tcPr>
            <w:tcW w:w="3325" w:type="dxa"/>
          </w:tcPr>
          <w:p w14:paraId="60FA647C"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00EDDE9D" w14:textId="77777777" w:rsidR="00A720EB" w:rsidRDefault="0030286B">
            <w:pPr>
              <w:pStyle w:val="TableParagraph"/>
              <w:rPr>
                <w:sz w:val="21"/>
              </w:rPr>
            </w:pPr>
            <w:r>
              <w:rPr>
                <w:color w:val="B02045"/>
                <w:sz w:val="21"/>
              </w:rPr>
              <w:t>artemis-commons</w:t>
            </w:r>
          </w:p>
        </w:tc>
        <w:tc>
          <w:tcPr>
            <w:tcW w:w="3325" w:type="dxa"/>
          </w:tcPr>
          <w:p w14:paraId="4081E049" w14:textId="77777777" w:rsidR="00A720EB" w:rsidRDefault="0030286B">
            <w:pPr>
              <w:pStyle w:val="TableParagraph"/>
              <w:rPr>
                <w:sz w:val="21"/>
              </w:rPr>
            </w:pPr>
            <w:r>
              <w:rPr>
                <w:color w:val="B02045"/>
                <w:sz w:val="21"/>
              </w:rPr>
              <w:t>2.12.0</w:t>
            </w:r>
          </w:p>
        </w:tc>
      </w:tr>
      <w:tr w:rsidR="00A720EB" w14:paraId="71EC2895" w14:textId="77777777">
        <w:trPr>
          <w:trHeight w:val="368"/>
        </w:trPr>
        <w:tc>
          <w:tcPr>
            <w:tcW w:w="3325" w:type="dxa"/>
          </w:tcPr>
          <w:p w14:paraId="24785886"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37E8D1C4" w14:textId="77777777" w:rsidR="00A720EB" w:rsidRDefault="0030286B">
            <w:pPr>
              <w:pStyle w:val="TableParagraph"/>
              <w:rPr>
                <w:sz w:val="21"/>
              </w:rPr>
            </w:pPr>
            <w:r>
              <w:rPr>
                <w:color w:val="B02045"/>
                <w:sz w:val="21"/>
              </w:rPr>
              <w:t>artemis-core-client</w:t>
            </w:r>
          </w:p>
        </w:tc>
        <w:tc>
          <w:tcPr>
            <w:tcW w:w="3325" w:type="dxa"/>
          </w:tcPr>
          <w:p w14:paraId="79C411CF" w14:textId="77777777" w:rsidR="00A720EB" w:rsidRDefault="0030286B">
            <w:pPr>
              <w:pStyle w:val="TableParagraph"/>
              <w:rPr>
                <w:sz w:val="21"/>
              </w:rPr>
            </w:pPr>
            <w:r>
              <w:rPr>
                <w:color w:val="B02045"/>
                <w:sz w:val="21"/>
              </w:rPr>
              <w:t>2.12.0</w:t>
            </w:r>
          </w:p>
        </w:tc>
      </w:tr>
      <w:tr w:rsidR="00A720EB" w14:paraId="5CC91A57" w14:textId="77777777">
        <w:trPr>
          <w:trHeight w:val="368"/>
        </w:trPr>
        <w:tc>
          <w:tcPr>
            <w:tcW w:w="3325" w:type="dxa"/>
          </w:tcPr>
          <w:p w14:paraId="0BDDDC09"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594EFB24" w14:textId="77777777" w:rsidR="00A720EB" w:rsidRDefault="0030286B">
            <w:pPr>
              <w:pStyle w:val="TableParagraph"/>
              <w:spacing w:before="37"/>
              <w:rPr>
                <w:sz w:val="21"/>
              </w:rPr>
            </w:pPr>
            <w:r>
              <w:rPr>
                <w:color w:val="B02045"/>
                <w:sz w:val="21"/>
              </w:rPr>
              <w:t>artemis-jms-client</w:t>
            </w:r>
          </w:p>
        </w:tc>
        <w:tc>
          <w:tcPr>
            <w:tcW w:w="3325" w:type="dxa"/>
          </w:tcPr>
          <w:p w14:paraId="460584EC" w14:textId="77777777" w:rsidR="00A720EB" w:rsidRDefault="0030286B">
            <w:pPr>
              <w:pStyle w:val="TableParagraph"/>
              <w:spacing w:before="37"/>
              <w:rPr>
                <w:sz w:val="21"/>
              </w:rPr>
            </w:pPr>
            <w:r>
              <w:rPr>
                <w:color w:val="B02045"/>
                <w:sz w:val="21"/>
              </w:rPr>
              <w:t>2.12.0</w:t>
            </w:r>
          </w:p>
        </w:tc>
      </w:tr>
      <w:tr w:rsidR="00A720EB" w14:paraId="607787D7" w14:textId="77777777">
        <w:trPr>
          <w:trHeight w:val="368"/>
        </w:trPr>
        <w:tc>
          <w:tcPr>
            <w:tcW w:w="3325" w:type="dxa"/>
          </w:tcPr>
          <w:p w14:paraId="2A0455D2"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035D2771" w14:textId="77777777" w:rsidR="00A720EB" w:rsidRDefault="0030286B">
            <w:pPr>
              <w:pStyle w:val="TableParagraph"/>
              <w:spacing w:before="37"/>
              <w:rPr>
                <w:sz w:val="21"/>
              </w:rPr>
            </w:pPr>
            <w:r>
              <w:rPr>
                <w:color w:val="B02045"/>
                <w:sz w:val="21"/>
              </w:rPr>
              <w:t>artemis-jms-server</w:t>
            </w:r>
          </w:p>
        </w:tc>
        <w:tc>
          <w:tcPr>
            <w:tcW w:w="3325" w:type="dxa"/>
          </w:tcPr>
          <w:p w14:paraId="27BEDED6" w14:textId="77777777" w:rsidR="00A720EB" w:rsidRDefault="0030286B">
            <w:pPr>
              <w:pStyle w:val="TableParagraph"/>
              <w:spacing w:before="37"/>
              <w:rPr>
                <w:sz w:val="21"/>
              </w:rPr>
            </w:pPr>
            <w:r>
              <w:rPr>
                <w:color w:val="B02045"/>
                <w:sz w:val="21"/>
              </w:rPr>
              <w:t>2.12.0</w:t>
            </w:r>
          </w:p>
        </w:tc>
      </w:tr>
      <w:tr w:rsidR="00A720EB" w14:paraId="14F7BE60" w14:textId="77777777">
        <w:trPr>
          <w:trHeight w:val="368"/>
        </w:trPr>
        <w:tc>
          <w:tcPr>
            <w:tcW w:w="3325" w:type="dxa"/>
          </w:tcPr>
          <w:p w14:paraId="64A3239C"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619A1613" w14:textId="77777777" w:rsidR="00A720EB" w:rsidRDefault="0030286B">
            <w:pPr>
              <w:pStyle w:val="TableParagraph"/>
              <w:spacing w:before="37"/>
              <w:rPr>
                <w:sz w:val="21"/>
              </w:rPr>
            </w:pPr>
            <w:r>
              <w:rPr>
                <w:color w:val="B02045"/>
                <w:sz w:val="21"/>
              </w:rPr>
              <w:t>artemis-journal</w:t>
            </w:r>
          </w:p>
        </w:tc>
        <w:tc>
          <w:tcPr>
            <w:tcW w:w="3325" w:type="dxa"/>
          </w:tcPr>
          <w:p w14:paraId="6F4DC126" w14:textId="77777777" w:rsidR="00A720EB" w:rsidRDefault="0030286B">
            <w:pPr>
              <w:pStyle w:val="TableParagraph"/>
              <w:spacing w:before="37"/>
              <w:rPr>
                <w:sz w:val="21"/>
              </w:rPr>
            </w:pPr>
            <w:r>
              <w:rPr>
                <w:color w:val="B02045"/>
                <w:sz w:val="21"/>
              </w:rPr>
              <w:t>2.12.0</w:t>
            </w:r>
          </w:p>
        </w:tc>
      </w:tr>
      <w:tr w:rsidR="00A720EB" w14:paraId="47FFA99E" w14:textId="77777777">
        <w:trPr>
          <w:trHeight w:val="368"/>
        </w:trPr>
        <w:tc>
          <w:tcPr>
            <w:tcW w:w="3325" w:type="dxa"/>
          </w:tcPr>
          <w:p w14:paraId="7F4F2E2E"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.activemq</w:t>
            </w:r>
          </w:p>
        </w:tc>
        <w:tc>
          <w:tcPr>
            <w:tcW w:w="3325" w:type="dxa"/>
          </w:tcPr>
          <w:p w14:paraId="1BAB9B97" w14:textId="77777777" w:rsidR="00A720EB" w:rsidRDefault="0030286B">
            <w:pPr>
              <w:pStyle w:val="TableParagraph"/>
              <w:spacing w:before="37"/>
              <w:rPr>
                <w:sz w:val="21"/>
              </w:rPr>
            </w:pPr>
            <w:r>
              <w:rPr>
                <w:color w:val="B02045"/>
                <w:sz w:val="21"/>
              </w:rPr>
              <w:t>artemis-selector</w:t>
            </w:r>
          </w:p>
        </w:tc>
        <w:tc>
          <w:tcPr>
            <w:tcW w:w="3325" w:type="dxa"/>
          </w:tcPr>
          <w:p w14:paraId="217CB385" w14:textId="77777777" w:rsidR="00A720EB" w:rsidRDefault="0030286B">
            <w:pPr>
              <w:pStyle w:val="TableParagraph"/>
              <w:spacing w:before="37"/>
              <w:rPr>
                <w:sz w:val="21"/>
              </w:rPr>
            </w:pPr>
            <w:r>
              <w:rPr>
                <w:color w:val="B02045"/>
                <w:sz w:val="21"/>
              </w:rPr>
              <w:t>2.12.0</w:t>
            </w:r>
          </w:p>
        </w:tc>
      </w:tr>
      <w:tr w:rsidR="00A720EB" w14:paraId="14C00A7D" w14:textId="77777777">
        <w:trPr>
          <w:trHeight w:val="368"/>
        </w:trPr>
        <w:tc>
          <w:tcPr>
            <w:tcW w:w="3325" w:type="dxa"/>
          </w:tcPr>
          <w:p w14:paraId="361AE3FF"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40A9800F" w14:textId="77777777" w:rsidR="00A720EB" w:rsidRDefault="0030286B">
            <w:pPr>
              <w:pStyle w:val="TableParagraph"/>
              <w:rPr>
                <w:sz w:val="21"/>
              </w:rPr>
            </w:pPr>
            <w:r>
              <w:rPr>
                <w:color w:val="B02045"/>
                <w:sz w:val="21"/>
              </w:rPr>
              <w:t>artemis-server</w:t>
            </w:r>
          </w:p>
        </w:tc>
        <w:tc>
          <w:tcPr>
            <w:tcW w:w="3325" w:type="dxa"/>
          </w:tcPr>
          <w:p w14:paraId="41A291CC" w14:textId="77777777" w:rsidR="00A720EB" w:rsidRDefault="0030286B">
            <w:pPr>
              <w:pStyle w:val="TableParagraph"/>
              <w:rPr>
                <w:sz w:val="21"/>
              </w:rPr>
            </w:pPr>
            <w:r>
              <w:rPr>
                <w:color w:val="B02045"/>
                <w:sz w:val="21"/>
              </w:rPr>
              <w:t>2.12.0</w:t>
            </w:r>
          </w:p>
        </w:tc>
      </w:tr>
      <w:tr w:rsidR="00A720EB" w14:paraId="3BD013DE" w14:textId="77777777">
        <w:trPr>
          <w:trHeight w:val="368"/>
        </w:trPr>
        <w:tc>
          <w:tcPr>
            <w:tcW w:w="3325" w:type="dxa"/>
          </w:tcPr>
          <w:p w14:paraId="265F2CE9" w14:textId="77777777" w:rsidR="00A720EB" w:rsidRDefault="0030286B">
            <w:pPr>
              <w:pStyle w:val="TableParagraph"/>
              <w:rPr>
                <w:sz w:val="21"/>
              </w:rPr>
            </w:pPr>
            <w:proofErr w:type="gramStart"/>
            <w:r>
              <w:rPr>
                <w:color w:val="B02045"/>
                <w:sz w:val="21"/>
              </w:rPr>
              <w:t>org.apache</w:t>
            </w:r>
            <w:proofErr w:type="gramEnd"/>
            <w:r>
              <w:rPr>
                <w:color w:val="B02045"/>
                <w:sz w:val="21"/>
              </w:rPr>
              <w:t>.activemq</w:t>
            </w:r>
          </w:p>
        </w:tc>
        <w:tc>
          <w:tcPr>
            <w:tcW w:w="3325" w:type="dxa"/>
          </w:tcPr>
          <w:p w14:paraId="2C4AB5C5" w14:textId="77777777" w:rsidR="00A720EB" w:rsidRDefault="0030286B">
            <w:pPr>
              <w:pStyle w:val="TableParagraph"/>
              <w:rPr>
                <w:sz w:val="21"/>
              </w:rPr>
            </w:pPr>
            <w:r>
              <w:rPr>
                <w:color w:val="B02045"/>
                <w:sz w:val="21"/>
              </w:rPr>
              <w:t>artemis-service-extensions</w:t>
            </w:r>
          </w:p>
        </w:tc>
        <w:tc>
          <w:tcPr>
            <w:tcW w:w="3325" w:type="dxa"/>
          </w:tcPr>
          <w:p w14:paraId="492C1936" w14:textId="77777777" w:rsidR="00A720EB" w:rsidRDefault="0030286B">
            <w:pPr>
              <w:pStyle w:val="TableParagraph"/>
              <w:rPr>
                <w:sz w:val="21"/>
              </w:rPr>
            </w:pPr>
            <w:r>
              <w:rPr>
                <w:color w:val="B02045"/>
                <w:sz w:val="21"/>
              </w:rPr>
              <w:t>2.12.0</w:t>
            </w:r>
          </w:p>
        </w:tc>
      </w:tr>
      <w:tr w:rsidR="00A720EB" w14:paraId="4B593E44" w14:textId="77777777">
        <w:trPr>
          <w:trHeight w:val="368"/>
        </w:trPr>
        <w:tc>
          <w:tcPr>
            <w:tcW w:w="3325" w:type="dxa"/>
          </w:tcPr>
          <w:p w14:paraId="38971107" w14:textId="77777777" w:rsidR="00A720EB" w:rsidRDefault="0030286B">
            <w:pPr>
              <w:pStyle w:val="TableParagraph"/>
              <w:rPr>
                <w:sz w:val="21"/>
              </w:rPr>
            </w:pPr>
            <w:proofErr w:type="gramStart"/>
            <w:r>
              <w:rPr>
                <w:color w:val="B02045"/>
                <w:sz w:val="21"/>
              </w:rPr>
              <w:t>org.apache</w:t>
            </w:r>
            <w:proofErr w:type="gramEnd"/>
            <w:r>
              <w:rPr>
                <w:color w:val="B02045"/>
                <w:sz w:val="21"/>
              </w:rPr>
              <w:t>.commons</w:t>
            </w:r>
          </w:p>
        </w:tc>
        <w:tc>
          <w:tcPr>
            <w:tcW w:w="3325" w:type="dxa"/>
          </w:tcPr>
          <w:p w14:paraId="16750A2B" w14:textId="77777777" w:rsidR="00A720EB" w:rsidRDefault="0030286B">
            <w:pPr>
              <w:pStyle w:val="TableParagraph"/>
              <w:rPr>
                <w:sz w:val="21"/>
              </w:rPr>
            </w:pPr>
            <w:r>
              <w:rPr>
                <w:color w:val="B02045"/>
                <w:sz w:val="21"/>
              </w:rPr>
              <w:t>commons-dbcp2</w:t>
            </w:r>
          </w:p>
        </w:tc>
        <w:tc>
          <w:tcPr>
            <w:tcW w:w="3325" w:type="dxa"/>
          </w:tcPr>
          <w:p w14:paraId="2313D82F" w14:textId="77777777" w:rsidR="00A720EB" w:rsidRDefault="0030286B">
            <w:pPr>
              <w:pStyle w:val="TableParagraph"/>
              <w:rPr>
                <w:sz w:val="21"/>
              </w:rPr>
            </w:pPr>
            <w:r>
              <w:rPr>
                <w:color w:val="B02045"/>
                <w:sz w:val="21"/>
              </w:rPr>
              <w:t>2.7.0</w:t>
            </w:r>
          </w:p>
        </w:tc>
      </w:tr>
      <w:tr w:rsidR="00A720EB" w14:paraId="03F339D2" w14:textId="77777777">
        <w:trPr>
          <w:trHeight w:val="368"/>
        </w:trPr>
        <w:tc>
          <w:tcPr>
            <w:tcW w:w="3325" w:type="dxa"/>
          </w:tcPr>
          <w:p w14:paraId="39B6A393"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.commons</w:t>
            </w:r>
          </w:p>
        </w:tc>
        <w:tc>
          <w:tcPr>
            <w:tcW w:w="3325" w:type="dxa"/>
          </w:tcPr>
          <w:p w14:paraId="2EAE1552" w14:textId="77777777" w:rsidR="00A720EB" w:rsidRDefault="0030286B">
            <w:pPr>
              <w:pStyle w:val="TableParagraph"/>
              <w:spacing w:before="37"/>
              <w:rPr>
                <w:sz w:val="21"/>
              </w:rPr>
            </w:pPr>
            <w:r>
              <w:rPr>
                <w:color w:val="B02045"/>
                <w:sz w:val="21"/>
              </w:rPr>
              <w:t>commons-lang3</w:t>
            </w:r>
          </w:p>
        </w:tc>
        <w:tc>
          <w:tcPr>
            <w:tcW w:w="3325" w:type="dxa"/>
          </w:tcPr>
          <w:p w14:paraId="6774B93D" w14:textId="77777777" w:rsidR="00A720EB" w:rsidRDefault="0030286B">
            <w:pPr>
              <w:pStyle w:val="TableParagraph"/>
              <w:spacing w:before="37"/>
              <w:rPr>
                <w:sz w:val="21"/>
              </w:rPr>
            </w:pPr>
            <w:r>
              <w:rPr>
                <w:color w:val="B02045"/>
                <w:sz w:val="21"/>
              </w:rPr>
              <w:t>3.10</w:t>
            </w:r>
          </w:p>
        </w:tc>
      </w:tr>
      <w:tr w:rsidR="00A720EB" w14:paraId="6E928046" w14:textId="77777777">
        <w:trPr>
          <w:trHeight w:val="368"/>
        </w:trPr>
        <w:tc>
          <w:tcPr>
            <w:tcW w:w="3325" w:type="dxa"/>
          </w:tcPr>
          <w:p w14:paraId="24FDECE8" w14:textId="77777777" w:rsidR="00A720EB" w:rsidRDefault="0030286B">
            <w:pPr>
              <w:pStyle w:val="TableParagraph"/>
              <w:rPr>
                <w:sz w:val="21"/>
              </w:rPr>
            </w:pPr>
            <w:proofErr w:type="gramStart"/>
            <w:r>
              <w:rPr>
                <w:color w:val="B02045"/>
                <w:sz w:val="21"/>
              </w:rPr>
              <w:t>org.apache</w:t>
            </w:r>
            <w:proofErr w:type="gramEnd"/>
            <w:r>
              <w:rPr>
                <w:color w:val="B02045"/>
                <w:sz w:val="21"/>
              </w:rPr>
              <w:t>.commons</w:t>
            </w:r>
          </w:p>
        </w:tc>
        <w:tc>
          <w:tcPr>
            <w:tcW w:w="3325" w:type="dxa"/>
          </w:tcPr>
          <w:p w14:paraId="3C763BED" w14:textId="77777777" w:rsidR="00A720EB" w:rsidRDefault="0030286B">
            <w:pPr>
              <w:pStyle w:val="TableParagraph"/>
              <w:rPr>
                <w:sz w:val="21"/>
              </w:rPr>
            </w:pPr>
            <w:r>
              <w:rPr>
                <w:color w:val="B02045"/>
                <w:sz w:val="21"/>
              </w:rPr>
              <w:t>commons-pool2</w:t>
            </w:r>
          </w:p>
        </w:tc>
        <w:tc>
          <w:tcPr>
            <w:tcW w:w="3325" w:type="dxa"/>
          </w:tcPr>
          <w:p w14:paraId="1EE5BD0E" w14:textId="77777777" w:rsidR="00A720EB" w:rsidRDefault="0030286B">
            <w:pPr>
              <w:pStyle w:val="TableParagraph"/>
              <w:rPr>
                <w:sz w:val="21"/>
              </w:rPr>
            </w:pPr>
            <w:r>
              <w:rPr>
                <w:color w:val="B02045"/>
                <w:sz w:val="21"/>
              </w:rPr>
              <w:t>2.8.1</w:t>
            </w:r>
          </w:p>
        </w:tc>
      </w:tr>
      <w:tr w:rsidR="00A720EB" w14:paraId="6F51F0EA" w14:textId="77777777">
        <w:trPr>
          <w:trHeight w:val="368"/>
        </w:trPr>
        <w:tc>
          <w:tcPr>
            <w:tcW w:w="3325" w:type="dxa"/>
          </w:tcPr>
          <w:p w14:paraId="054FF47F" w14:textId="77777777" w:rsidR="00A720EB" w:rsidRDefault="0030286B">
            <w:pPr>
              <w:pStyle w:val="TableParagraph"/>
              <w:rPr>
                <w:sz w:val="21"/>
              </w:rPr>
            </w:pPr>
            <w:proofErr w:type="gramStart"/>
            <w:r>
              <w:rPr>
                <w:color w:val="B02045"/>
                <w:sz w:val="21"/>
              </w:rPr>
              <w:t>org.apache</w:t>
            </w:r>
            <w:proofErr w:type="gramEnd"/>
            <w:r>
              <w:rPr>
                <w:color w:val="B02045"/>
                <w:sz w:val="21"/>
              </w:rPr>
              <w:t>.derby</w:t>
            </w:r>
          </w:p>
        </w:tc>
        <w:tc>
          <w:tcPr>
            <w:tcW w:w="3325" w:type="dxa"/>
          </w:tcPr>
          <w:p w14:paraId="67635160" w14:textId="77777777" w:rsidR="00A720EB" w:rsidRDefault="0030286B">
            <w:pPr>
              <w:pStyle w:val="TableParagraph"/>
              <w:rPr>
                <w:sz w:val="21"/>
              </w:rPr>
            </w:pPr>
            <w:r>
              <w:rPr>
                <w:color w:val="B02045"/>
                <w:sz w:val="21"/>
              </w:rPr>
              <w:t>derby</w:t>
            </w:r>
          </w:p>
        </w:tc>
        <w:tc>
          <w:tcPr>
            <w:tcW w:w="3325" w:type="dxa"/>
          </w:tcPr>
          <w:p w14:paraId="6835B447" w14:textId="77777777" w:rsidR="00A720EB" w:rsidRDefault="0030286B">
            <w:pPr>
              <w:pStyle w:val="TableParagraph"/>
              <w:rPr>
                <w:sz w:val="21"/>
              </w:rPr>
            </w:pPr>
            <w:r>
              <w:rPr>
                <w:color w:val="B02045"/>
                <w:sz w:val="21"/>
              </w:rPr>
              <w:t>10.14.2.0</w:t>
            </w:r>
          </w:p>
        </w:tc>
      </w:tr>
      <w:tr w:rsidR="00A720EB" w14:paraId="4DEE2503" w14:textId="77777777">
        <w:trPr>
          <w:trHeight w:val="368"/>
        </w:trPr>
        <w:tc>
          <w:tcPr>
            <w:tcW w:w="3325" w:type="dxa"/>
          </w:tcPr>
          <w:p w14:paraId="35943B24"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.derby</w:t>
            </w:r>
          </w:p>
        </w:tc>
        <w:tc>
          <w:tcPr>
            <w:tcW w:w="3325" w:type="dxa"/>
          </w:tcPr>
          <w:p w14:paraId="12ADB0EB" w14:textId="77777777" w:rsidR="00A720EB" w:rsidRDefault="0030286B">
            <w:pPr>
              <w:pStyle w:val="TableParagraph"/>
              <w:spacing w:before="37"/>
              <w:rPr>
                <w:sz w:val="21"/>
              </w:rPr>
            </w:pPr>
            <w:r>
              <w:rPr>
                <w:color w:val="B02045"/>
                <w:sz w:val="21"/>
              </w:rPr>
              <w:t>derbyclient</w:t>
            </w:r>
          </w:p>
        </w:tc>
        <w:tc>
          <w:tcPr>
            <w:tcW w:w="3325" w:type="dxa"/>
          </w:tcPr>
          <w:p w14:paraId="2C68DCDF" w14:textId="77777777" w:rsidR="00A720EB" w:rsidRDefault="0030286B">
            <w:pPr>
              <w:pStyle w:val="TableParagraph"/>
              <w:spacing w:before="37"/>
              <w:rPr>
                <w:sz w:val="21"/>
              </w:rPr>
            </w:pPr>
            <w:r>
              <w:rPr>
                <w:color w:val="B02045"/>
                <w:sz w:val="21"/>
              </w:rPr>
              <w:t>10.14.2.0</w:t>
            </w:r>
          </w:p>
        </w:tc>
      </w:tr>
      <w:tr w:rsidR="00A720EB" w14:paraId="766CFA5F" w14:textId="77777777">
        <w:trPr>
          <w:trHeight w:val="368"/>
        </w:trPr>
        <w:tc>
          <w:tcPr>
            <w:tcW w:w="3325" w:type="dxa"/>
          </w:tcPr>
          <w:p w14:paraId="440EC14D"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.httpcomponents</w:t>
            </w:r>
          </w:p>
        </w:tc>
        <w:tc>
          <w:tcPr>
            <w:tcW w:w="3325" w:type="dxa"/>
          </w:tcPr>
          <w:p w14:paraId="051A7F51" w14:textId="77777777" w:rsidR="00A720EB" w:rsidRDefault="0030286B">
            <w:pPr>
              <w:pStyle w:val="TableParagraph"/>
              <w:spacing w:before="37"/>
              <w:rPr>
                <w:sz w:val="21"/>
              </w:rPr>
            </w:pPr>
            <w:r>
              <w:rPr>
                <w:color w:val="B02045"/>
                <w:sz w:val="21"/>
              </w:rPr>
              <w:t>fluent-hc</w:t>
            </w:r>
          </w:p>
        </w:tc>
        <w:tc>
          <w:tcPr>
            <w:tcW w:w="3325" w:type="dxa"/>
          </w:tcPr>
          <w:p w14:paraId="6492FFD2" w14:textId="77777777" w:rsidR="00A720EB" w:rsidRDefault="0030286B">
            <w:pPr>
              <w:pStyle w:val="TableParagraph"/>
              <w:spacing w:before="37"/>
              <w:rPr>
                <w:sz w:val="21"/>
              </w:rPr>
            </w:pPr>
            <w:r>
              <w:rPr>
                <w:color w:val="B02045"/>
                <w:sz w:val="21"/>
              </w:rPr>
              <w:t>4.5.12</w:t>
            </w:r>
          </w:p>
        </w:tc>
      </w:tr>
      <w:tr w:rsidR="00A720EB" w14:paraId="4283999E" w14:textId="77777777">
        <w:trPr>
          <w:trHeight w:val="368"/>
        </w:trPr>
        <w:tc>
          <w:tcPr>
            <w:tcW w:w="3325" w:type="dxa"/>
          </w:tcPr>
          <w:p w14:paraId="4DCDFB9B"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.httpcomponents</w:t>
            </w:r>
          </w:p>
        </w:tc>
        <w:tc>
          <w:tcPr>
            <w:tcW w:w="3325" w:type="dxa"/>
          </w:tcPr>
          <w:p w14:paraId="723A5521" w14:textId="77777777" w:rsidR="00A720EB" w:rsidRDefault="0030286B">
            <w:pPr>
              <w:pStyle w:val="TableParagraph"/>
              <w:spacing w:before="37"/>
              <w:rPr>
                <w:sz w:val="21"/>
              </w:rPr>
            </w:pPr>
            <w:r>
              <w:rPr>
                <w:color w:val="B02045"/>
                <w:sz w:val="21"/>
              </w:rPr>
              <w:t>httpasyncclient</w:t>
            </w:r>
          </w:p>
        </w:tc>
        <w:tc>
          <w:tcPr>
            <w:tcW w:w="3325" w:type="dxa"/>
          </w:tcPr>
          <w:p w14:paraId="42E0BB70" w14:textId="77777777" w:rsidR="00A720EB" w:rsidRDefault="0030286B">
            <w:pPr>
              <w:pStyle w:val="TableParagraph"/>
              <w:spacing w:before="37"/>
              <w:rPr>
                <w:sz w:val="21"/>
              </w:rPr>
            </w:pPr>
            <w:r>
              <w:rPr>
                <w:color w:val="B02045"/>
                <w:sz w:val="21"/>
              </w:rPr>
              <w:t>4.1.4</w:t>
            </w:r>
          </w:p>
        </w:tc>
      </w:tr>
      <w:tr w:rsidR="00A720EB" w14:paraId="45864AC4" w14:textId="77777777">
        <w:trPr>
          <w:trHeight w:val="368"/>
        </w:trPr>
        <w:tc>
          <w:tcPr>
            <w:tcW w:w="3325" w:type="dxa"/>
          </w:tcPr>
          <w:p w14:paraId="4DA92BBF" w14:textId="77777777" w:rsidR="00A720EB" w:rsidRDefault="0030286B">
            <w:pPr>
              <w:pStyle w:val="TableParagraph"/>
              <w:rPr>
                <w:sz w:val="21"/>
              </w:rPr>
            </w:pPr>
            <w:proofErr w:type="gramStart"/>
            <w:r>
              <w:rPr>
                <w:color w:val="B02045"/>
                <w:sz w:val="21"/>
              </w:rPr>
              <w:t>org.apache</w:t>
            </w:r>
            <w:proofErr w:type="gramEnd"/>
            <w:r>
              <w:rPr>
                <w:color w:val="B02045"/>
                <w:sz w:val="21"/>
              </w:rPr>
              <w:t>.httpcomponents</w:t>
            </w:r>
          </w:p>
        </w:tc>
        <w:tc>
          <w:tcPr>
            <w:tcW w:w="3325" w:type="dxa"/>
          </w:tcPr>
          <w:p w14:paraId="6E00270F" w14:textId="77777777" w:rsidR="00A720EB" w:rsidRDefault="0030286B">
            <w:pPr>
              <w:pStyle w:val="TableParagraph"/>
              <w:rPr>
                <w:sz w:val="21"/>
              </w:rPr>
            </w:pPr>
            <w:r>
              <w:rPr>
                <w:color w:val="B02045"/>
                <w:sz w:val="21"/>
              </w:rPr>
              <w:t>httpclient</w:t>
            </w:r>
          </w:p>
        </w:tc>
        <w:tc>
          <w:tcPr>
            <w:tcW w:w="3325" w:type="dxa"/>
          </w:tcPr>
          <w:p w14:paraId="16E76123" w14:textId="77777777" w:rsidR="00A720EB" w:rsidRDefault="0030286B">
            <w:pPr>
              <w:pStyle w:val="TableParagraph"/>
              <w:rPr>
                <w:sz w:val="21"/>
              </w:rPr>
            </w:pPr>
            <w:r>
              <w:rPr>
                <w:color w:val="B02045"/>
                <w:sz w:val="21"/>
              </w:rPr>
              <w:t>4.5.12</w:t>
            </w:r>
          </w:p>
        </w:tc>
      </w:tr>
      <w:tr w:rsidR="00A720EB" w14:paraId="7DB3247D" w14:textId="77777777">
        <w:trPr>
          <w:trHeight w:val="368"/>
        </w:trPr>
        <w:tc>
          <w:tcPr>
            <w:tcW w:w="3325" w:type="dxa"/>
          </w:tcPr>
          <w:p w14:paraId="4BEF0CE1" w14:textId="77777777" w:rsidR="00A720EB" w:rsidRDefault="0030286B">
            <w:pPr>
              <w:pStyle w:val="TableParagraph"/>
              <w:rPr>
                <w:sz w:val="21"/>
              </w:rPr>
            </w:pPr>
            <w:proofErr w:type="gramStart"/>
            <w:r>
              <w:rPr>
                <w:color w:val="B02045"/>
                <w:sz w:val="21"/>
              </w:rPr>
              <w:t>org.apache</w:t>
            </w:r>
            <w:proofErr w:type="gramEnd"/>
            <w:r>
              <w:rPr>
                <w:color w:val="B02045"/>
                <w:sz w:val="21"/>
              </w:rPr>
              <w:t>.httpcomponents</w:t>
            </w:r>
          </w:p>
        </w:tc>
        <w:tc>
          <w:tcPr>
            <w:tcW w:w="3325" w:type="dxa"/>
          </w:tcPr>
          <w:p w14:paraId="2CCDFF1D" w14:textId="77777777" w:rsidR="00A720EB" w:rsidRDefault="0030286B">
            <w:pPr>
              <w:pStyle w:val="TableParagraph"/>
              <w:rPr>
                <w:sz w:val="21"/>
              </w:rPr>
            </w:pPr>
            <w:r>
              <w:rPr>
                <w:color w:val="B02045"/>
                <w:sz w:val="21"/>
              </w:rPr>
              <w:t>httpclient-cache</w:t>
            </w:r>
          </w:p>
        </w:tc>
        <w:tc>
          <w:tcPr>
            <w:tcW w:w="3325" w:type="dxa"/>
          </w:tcPr>
          <w:p w14:paraId="75C0BA2C" w14:textId="77777777" w:rsidR="00A720EB" w:rsidRDefault="0030286B">
            <w:pPr>
              <w:pStyle w:val="TableParagraph"/>
              <w:rPr>
                <w:sz w:val="21"/>
              </w:rPr>
            </w:pPr>
            <w:r>
              <w:rPr>
                <w:color w:val="B02045"/>
                <w:sz w:val="21"/>
              </w:rPr>
              <w:t>4.5.12</w:t>
            </w:r>
          </w:p>
        </w:tc>
      </w:tr>
      <w:tr w:rsidR="00A720EB" w14:paraId="2D65DA16" w14:textId="77777777">
        <w:trPr>
          <w:trHeight w:val="368"/>
        </w:trPr>
        <w:tc>
          <w:tcPr>
            <w:tcW w:w="3325" w:type="dxa"/>
          </w:tcPr>
          <w:p w14:paraId="5C8BCF03"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.httpcomponents</w:t>
            </w:r>
          </w:p>
        </w:tc>
        <w:tc>
          <w:tcPr>
            <w:tcW w:w="3325" w:type="dxa"/>
          </w:tcPr>
          <w:p w14:paraId="7A918CD0" w14:textId="77777777" w:rsidR="00A720EB" w:rsidRDefault="0030286B">
            <w:pPr>
              <w:pStyle w:val="TableParagraph"/>
              <w:spacing w:before="37"/>
              <w:rPr>
                <w:sz w:val="21"/>
              </w:rPr>
            </w:pPr>
            <w:r>
              <w:rPr>
                <w:color w:val="B02045"/>
                <w:sz w:val="21"/>
              </w:rPr>
              <w:t>httpclient-osgi</w:t>
            </w:r>
          </w:p>
        </w:tc>
        <w:tc>
          <w:tcPr>
            <w:tcW w:w="3325" w:type="dxa"/>
          </w:tcPr>
          <w:p w14:paraId="3CD408E4" w14:textId="77777777" w:rsidR="00A720EB" w:rsidRDefault="0030286B">
            <w:pPr>
              <w:pStyle w:val="TableParagraph"/>
              <w:spacing w:before="37"/>
              <w:rPr>
                <w:sz w:val="21"/>
              </w:rPr>
            </w:pPr>
            <w:r>
              <w:rPr>
                <w:color w:val="B02045"/>
                <w:sz w:val="21"/>
              </w:rPr>
              <w:t>4.5.12</w:t>
            </w:r>
          </w:p>
        </w:tc>
      </w:tr>
      <w:tr w:rsidR="00A720EB" w14:paraId="39D2AFCB" w14:textId="77777777">
        <w:trPr>
          <w:trHeight w:val="368"/>
        </w:trPr>
        <w:tc>
          <w:tcPr>
            <w:tcW w:w="3325" w:type="dxa"/>
          </w:tcPr>
          <w:p w14:paraId="376C4DDE"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.httpcomponents</w:t>
            </w:r>
          </w:p>
        </w:tc>
        <w:tc>
          <w:tcPr>
            <w:tcW w:w="3325" w:type="dxa"/>
          </w:tcPr>
          <w:p w14:paraId="50F40940" w14:textId="77777777" w:rsidR="00A720EB" w:rsidRDefault="0030286B">
            <w:pPr>
              <w:pStyle w:val="TableParagraph"/>
              <w:spacing w:before="37"/>
              <w:rPr>
                <w:sz w:val="21"/>
              </w:rPr>
            </w:pPr>
            <w:r>
              <w:rPr>
                <w:color w:val="B02045"/>
                <w:sz w:val="21"/>
              </w:rPr>
              <w:t>httpclient-win</w:t>
            </w:r>
          </w:p>
        </w:tc>
        <w:tc>
          <w:tcPr>
            <w:tcW w:w="3325" w:type="dxa"/>
          </w:tcPr>
          <w:p w14:paraId="3D13C0A8" w14:textId="77777777" w:rsidR="00A720EB" w:rsidRDefault="0030286B">
            <w:pPr>
              <w:pStyle w:val="TableParagraph"/>
              <w:spacing w:before="37"/>
              <w:rPr>
                <w:sz w:val="21"/>
              </w:rPr>
            </w:pPr>
            <w:r>
              <w:rPr>
                <w:color w:val="B02045"/>
                <w:sz w:val="21"/>
              </w:rPr>
              <w:t>4.5.12</w:t>
            </w:r>
          </w:p>
        </w:tc>
      </w:tr>
      <w:tr w:rsidR="00A720EB" w14:paraId="5D49461B" w14:textId="77777777">
        <w:trPr>
          <w:trHeight w:val="368"/>
        </w:trPr>
        <w:tc>
          <w:tcPr>
            <w:tcW w:w="3325" w:type="dxa"/>
          </w:tcPr>
          <w:p w14:paraId="62AED284" w14:textId="77777777" w:rsidR="00A720EB" w:rsidRDefault="0030286B">
            <w:pPr>
              <w:pStyle w:val="TableParagraph"/>
              <w:rPr>
                <w:sz w:val="21"/>
              </w:rPr>
            </w:pPr>
            <w:proofErr w:type="gramStart"/>
            <w:r>
              <w:rPr>
                <w:color w:val="B02045"/>
                <w:sz w:val="21"/>
              </w:rPr>
              <w:t>org.apache</w:t>
            </w:r>
            <w:proofErr w:type="gramEnd"/>
            <w:r>
              <w:rPr>
                <w:color w:val="B02045"/>
                <w:sz w:val="21"/>
              </w:rPr>
              <w:t>.httpcomponents</w:t>
            </w:r>
          </w:p>
        </w:tc>
        <w:tc>
          <w:tcPr>
            <w:tcW w:w="3325" w:type="dxa"/>
          </w:tcPr>
          <w:p w14:paraId="67CEEEA3" w14:textId="77777777" w:rsidR="00A720EB" w:rsidRDefault="0030286B">
            <w:pPr>
              <w:pStyle w:val="TableParagraph"/>
              <w:rPr>
                <w:sz w:val="21"/>
              </w:rPr>
            </w:pPr>
            <w:r>
              <w:rPr>
                <w:color w:val="B02045"/>
                <w:sz w:val="21"/>
              </w:rPr>
              <w:t>httpcore</w:t>
            </w:r>
          </w:p>
        </w:tc>
        <w:tc>
          <w:tcPr>
            <w:tcW w:w="3325" w:type="dxa"/>
          </w:tcPr>
          <w:p w14:paraId="08A5D782" w14:textId="77777777" w:rsidR="00A720EB" w:rsidRDefault="0030286B">
            <w:pPr>
              <w:pStyle w:val="TableParagraph"/>
              <w:rPr>
                <w:sz w:val="21"/>
              </w:rPr>
            </w:pPr>
            <w:r>
              <w:rPr>
                <w:color w:val="B02045"/>
                <w:sz w:val="21"/>
              </w:rPr>
              <w:t>4.4.13</w:t>
            </w:r>
          </w:p>
        </w:tc>
      </w:tr>
      <w:tr w:rsidR="00A720EB" w14:paraId="782884F0" w14:textId="77777777">
        <w:trPr>
          <w:trHeight w:val="368"/>
        </w:trPr>
        <w:tc>
          <w:tcPr>
            <w:tcW w:w="3325" w:type="dxa"/>
          </w:tcPr>
          <w:p w14:paraId="5F135645" w14:textId="77777777" w:rsidR="00A720EB" w:rsidRDefault="0030286B">
            <w:pPr>
              <w:pStyle w:val="TableParagraph"/>
              <w:rPr>
                <w:sz w:val="21"/>
              </w:rPr>
            </w:pPr>
            <w:proofErr w:type="gramStart"/>
            <w:r>
              <w:rPr>
                <w:color w:val="B02045"/>
                <w:sz w:val="21"/>
              </w:rPr>
              <w:t>org.apache</w:t>
            </w:r>
            <w:proofErr w:type="gramEnd"/>
            <w:r>
              <w:rPr>
                <w:color w:val="B02045"/>
                <w:sz w:val="21"/>
              </w:rPr>
              <w:t>.httpcomponents</w:t>
            </w:r>
          </w:p>
        </w:tc>
        <w:tc>
          <w:tcPr>
            <w:tcW w:w="3325" w:type="dxa"/>
          </w:tcPr>
          <w:p w14:paraId="03E17474" w14:textId="77777777" w:rsidR="00A720EB" w:rsidRDefault="0030286B">
            <w:pPr>
              <w:pStyle w:val="TableParagraph"/>
              <w:rPr>
                <w:sz w:val="21"/>
              </w:rPr>
            </w:pPr>
            <w:r>
              <w:rPr>
                <w:color w:val="B02045"/>
                <w:sz w:val="21"/>
              </w:rPr>
              <w:t>httpcore-nio</w:t>
            </w:r>
          </w:p>
        </w:tc>
        <w:tc>
          <w:tcPr>
            <w:tcW w:w="3325" w:type="dxa"/>
          </w:tcPr>
          <w:p w14:paraId="7B3D4261" w14:textId="77777777" w:rsidR="00A720EB" w:rsidRDefault="0030286B">
            <w:pPr>
              <w:pStyle w:val="TableParagraph"/>
              <w:rPr>
                <w:sz w:val="21"/>
              </w:rPr>
            </w:pPr>
            <w:r>
              <w:rPr>
                <w:color w:val="B02045"/>
                <w:sz w:val="21"/>
              </w:rPr>
              <w:t>4.4.13</w:t>
            </w:r>
          </w:p>
        </w:tc>
      </w:tr>
      <w:tr w:rsidR="00A720EB" w14:paraId="3B0DA293" w14:textId="77777777">
        <w:trPr>
          <w:trHeight w:val="368"/>
        </w:trPr>
        <w:tc>
          <w:tcPr>
            <w:tcW w:w="3325" w:type="dxa"/>
          </w:tcPr>
          <w:p w14:paraId="4580D536"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.httpcomponents</w:t>
            </w:r>
          </w:p>
        </w:tc>
        <w:tc>
          <w:tcPr>
            <w:tcW w:w="3325" w:type="dxa"/>
          </w:tcPr>
          <w:p w14:paraId="7A80535A" w14:textId="77777777" w:rsidR="00A720EB" w:rsidRDefault="0030286B">
            <w:pPr>
              <w:pStyle w:val="TableParagraph"/>
              <w:spacing w:before="37"/>
              <w:rPr>
                <w:sz w:val="21"/>
              </w:rPr>
            </w:pPr>
            <w:r>
              <w:rPr>
                <w:color w:val="B02045"/>
                <w:sz w:val="21"/>
              </w:rPr>
              <w:t>httpmime</w:t>
            </w:r>
          </w:p>
        </w:tc>
        <w:tc>
          <w:tcPr>
            <w:tcW w:w="3325" w:type="dxa"/>
          </w:tcPr>
          <w:p w14:paraId="280AA2A0" w14:textId="77777777" w:rsidR="00A720EB" w:rsidRDefault="0030286B">
            <w:pPr>
              <w:pStyle w:val="TableParagraph"/>
              <w:spacing w:before="37"/>
              <w:rPr>
                <w:sz w:val="21"/>
              </w:rPr>
            </w:pPr>
            <w:r>
              <w:rPr>
                <w:color w:val="B02045"/>
                <w:sz w:val="21"/>
              </w:rPr>
              <w:t>4.5.12</w:t>
            </w:r>
          </w:p>
        </w:tc>
      </w:tr>
      <w:tr w:rsidR="00A720EB" w14:paraId="4A5DD643" w14:textId="77777777">
        <w:trPr>
          <w:trHeight w:val="368"/>
        </w:trPr>
        <w:tc>
          <w:tcPr>
            <w:tcW w:w="3325" w:type="dxa"/>
          </w:tcPr>
          <w:p w14:paraId="1522C210"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.johnzon</w:t>
            </w:r>
          </w:p>
        </w:tc>
        <w:tc>
          <w:tcPr>
            <w:tcW w:w="3325" w:type="dxa"/>
          </w:tcPr>
          <w:p w14:paraId="717B9F6D" w14:textId="77777777" w:rsidR="00A720EB" w:rsidRDefault="0030286B">
            <w:pPr>
              <w:pStyle w:val="TableParagraph"/>
              <w:spacing w:before="37"/>
              <w:rPr>
                <w:sz w:val="21"/>
              </w:rPr>
            </w:pPr>
            <w:r>
              <w:rPr>
                <w:color w:val="B02045"/>
                <w:sz w:val="21"/>
              </w:rPr>
              <w:t>johnzon-core</w:t>
            </w:r>
          </w:p>
        </w:tc>
        <w:tc>
          <w:tcPr>
            <w:tcW w:w="3325" w:type="dxa"/>
          </w:tcPr>
          <w:p w14:paraId="2E9FFA9B" w14:textId="77777777" w:rsidR="00A720EB" w:rsidRDefault="0030286B">
            <w:pPr>
              <w:pStyle w:val="TableParagraph"/>
              <w:spacing w:before="37"/>
              <w:rPr>
                <w:sz w:val="21"/>
              </w:rPr>
            </w:pPr>
            <w:r>
              <w:rPr>
                <w:color w:val="B02045"/>
                <w:sz w:val="21"/>
              </w:rPr>
              <w:t>1.2.8</w:t>
            </w:r>
          </w:p>
        </w:tc>
      </w:tr>
      <w:tr w:rsidR="00A720EB" w14:paraId="0924237F" w14:textId="77777777">
        <w:trPr>
          <w:trHeight w:val="368"/>
        </w:trPr>
        <w:tc>
          <w:tcPr>
            <w:tcW w:w="3325" w:type="dxa"/>
          </w:tcPr>
          <w:p w14:paraId="0CF1ACE6" w14:textId="77777777" w:rsidR="00A720EB" w:rsidRDefault="0030286B">
            <w:pPr>
              <w:pStyle w:val="TableParagraph"/>
              <w:rPr>
                <w:sz w:val="21"/>
              </w:rPr>
            </w:pPr>
            <w:proofErr w:type="gramStart"/>
            <w:r>
              <w:rPr>
                <w:color w:val="B02045"/>
                <w:sz w:val="21"/>
              </w:rPr>
              <w:t>org.apache</w:t>
            </w:r>
            <w:proofErr w:type="gramEnd"/>
            <w:r>
              <w:rPr>
                <w:color w:val="B02045"/>
                <w:sz w:val="21"/>
              </w:rPr>
              <w:t>.johnzon</w:t>
            </w:r>
          </w:p>
        </w:tc>
        <w:tc>
          <w:tcPr>
            <w:tcW w:w="3325" w:type="dxa"/>
          </w:tcPr>
          <w:p w14:paraId="2E829DE4" w14:textId="77777777" w:rsidR="00A720EB" w:rsidRDefault="0030286B">
            <w:pPr>
              <w:pStyle w:val="TableParagraph"/>
              <w:rPr>
                <w:sz w:val="21"/>
              </w:rPr>
            </w:pPr>
            <w:r>
              <w:rPr>
                <w:color w:val="B02045"/>
                <w:sz w:val="21"/>
              </w:rPr>
              <w:t>johnzon-jaxrs</w:t>
            </w:r>
          </w:p>
        </w:tc>
        <w:tc>
          <w:tcPr>
            <w:tcW w:w="3325" w:type="dxa"/>
          </w:tcPr>
          <w:p w14:paraId="63EFFF5B" w14:textId="77777777" w:rsidR="00A720EB" w:rsidRDefault="0030286B">
            <w:pPr>
              <w:pStyle w:val="TableParagraph"/>
              <w:rPr>
                <w:sz w:val="21"/>
              </w:rPr>
            </w:pPr>
            <w:r>
              <w:rPr>
                <w:color w:val="B02045"/>
                <w:sz w:val="21"/>
              </w:rPr>
              <w:t>1.2.8</w:t>
            </w:r>
          </w:p>
        </w:tc>
      </w:tr>
      <w:tr w:rsidR="00A720EB" w14:paraId="5D90452E" w14:textId="77777777">
        <w:trPr>
          <w:trHeight w:val="368"/>
        </w:trPr>
        <w:tc>
          <w:tcPr>
            <w:tcW w:w="3325" w:type="dxa"/>
          </w:tcPr>
          <w:p w14:paraId="4A728605"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.johnzon</w:t>
            </w:r>
          </w:p>
        </w:tc>
        <w:tc>
          <w:tcPr>
            <w:tcW w:w="3325" w:type="dxa"/>
          </w:tcPr>
          <w:p w14:paraId="268C4137" w14:textId="77777777" w:rsidR="00A720EB" w:rsidRDefault="0030286B">
            <w:pPr>
              <w:pStyle w:val="TableParagraph"/>
              <w:spacing w:before="37"/>
              <w:rPr>
                <w:sz w:val="21"/>
              </w:rPr>
            </w:pPr>
            <w:r>
              <w:rPr>
                <w:color w:val="B02045"/>
                <w:sz w:val="21"/>
              </w:rPr>
              <w:t>johnzon-jsonb</w:t>
            </w:r>
          </w:p>
        </w:tc>
        <w:tc>
          <w:tcPr>
            <w:tcW w:w="3325" w:type="dxa"/>
          </w:tcPr>
          <w:p w14:paraId="6DAE94D3" w14:textId="77777777" w:rsidR="00A720EB" w:rsidRDefault="0030286B">
            <w:pPr>
              <w:pStyle w:val="TableParagraph"/>
              <w:spacing w:before="37"/>
              <w:rPr>
                <w:sz w:val="21"/>
              </w:rPr>
            </w:pPr>
            <w:r>
              <w:rPr>
                <w:color w:val="B02045"/>
                <w:sz w:val="21"/>
              </w:rPr>
              <w:t>1.2.8</w:t>
            </w:r>
          </w:p>
        </w:tc>
      </w:tr>
      <w:tr w:rsidR="00A720EB" w14:paraId="2E5A6193" w14:textId="77777777">
        <w:trPr>
          <w:trHeight w:val="368"/>
        </w:trPr>
        <w:tc>
          <w:tcPr>
            <w:tcW w:w="3325" w:type="dxa"/>
          </w:tcPr>
          <w:p w14:paraId="02BAF086" w14:textId="77777777" w:rsidR="00A720EB" w:rsidRDefault="0030286B">
            <w:pPr>
              <w:pStyle w:val="TableParagraph"/>
              <w:rPr>
                <w:sz w:val="21"/>
              </w:rPr>
            </w:pPr>
            <w:proofErr w:type="gramStart"/>
            <w:r>
              <w:rPr>
                <w:color w:val="B02045"/>
                <w:sz w:val="21"/>
              </w:rPr>
              <w:t>org.apache</w:t>
            </w:r>
            <w:proofErr w:type="gramEnd"/>
            <w:r>
              <w:rPr>
                <w:color w:val="B02045"/>
                <w:sz w:val="21"/>
              </w:rPr>
              <w:t>.johnzon</w:t>
            </w:r>
          </w:p>
        </w:tc>
        <w:tc>
          <w:tcPr>
            <w:tcW w:w="3325" w:type="dxa"/>
          </w:tcPr>
          <w:p w14:paraId="58A9ECFD" w14:textId="77777777" w:rsidR="00A720EB" w:rsidRDefault="0030286B">
            <w:pPr>
              <w:pStyle w:val="TableParagraph"/>
              <w:rPr>
                <w:sz w:val="21"/>
              </w:rPr>
            </w:pPr>
            <w:r>
              <w:rPr>
                <w:color w:val="B02045"/>
                <w:sz w:val="21"/>
              </w:rPr>
              <w:t>johnzon-jsonb-extras</w:t>
            </w:r>
          </w:p>
        </w:tc>
        <w:tc>
          <w:tcPr>
            <w:tcW w:w="3325" w:type="dxa"/>
          </w:tcPr>
          <w:p w14:paraId="09F59B7B" w14:textId="77777777" w:rsidR="00A720EB" w:rsidRDefault="0030286B">
            <w:pPr>
              <w:pStyle w:val="TableParagraph"/>
              <w:rPr>
                <w:sz w:val="21"/>
              </w:rPr>
            </w:pPr>
            <w:r>
              <w:rPr>
                <w:color w:val="B02045"/>
                <w:sz w:val="21"/>
              </w:rPr>
              <w:t>1.2.8</w:t>
            </w:r>
          </w:p>
        </w:tc>
      </w:tr>
      <w:tr w:rsidR="00A720EB" w14:paraId="0AA3336C" w14:textId="77777777">
        <w:trPr>
          <w:trHeight w:val="368"/>
        </w:trPr>
        <w:tc>
          <w:tcPr>
            <w:tcW w:w="3325" w:type="dxa"/>
          </w:tcPr>
          <w:p w14:paraId="5C5E1E77"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.johnzon</w:t>
            </w:r>
          </w:p>
        </w:tc>
        <w:tc>
          <w:tcPr>
            <w:tcW w:w="3325" w:type="dxa"/>
          </w:tcPr>
          <w:p w14:paraId="21C3A1CF" w14:textId="77777777" w:rsidR="00A720EB" w:rsidRDefault="0030286B">
            <w:pPr>
              <w:pStyle w:val="TableParagraph"/>
              <w:spacing w:before="37"/>
              <w:rPr>
                <w:sz w:val="21"/>
              </w:rPr>
            </w:pPr>
            <w:r>
              <w:rPr>
                <w:color w:val="B02045"/>
                <w:sz w:val="21"/>
              </w:rPr>
              <w:t>johnzon-jsonschema</w:t>
            </w:r>
          </w:p>
        </w:tc>
        <w:tc>
          <w:tcPr>
            <w:tcW w:w="3325" w:type="dxa"/>
          </w:tcPr>
          <w:p w14:paraId="69234F39" w14:textId="77777777" w:rsidR="00A720EB" w:rsidRDefault="0030286B">
            <w:pPr>
              <w:pStyle w:val="TableParagraph"/>
              <w:spacing w:before="37"/>
              <w:rPr>
                <w:sz w:val="21"/>
              </w:rPr>
            </w:pPr>
            <w:r>
              <w:rPr>
                <w:color w:val="B02045"/>
                <w:sz w:val="21"/>
              </w:rPr>
              <w:t>1.2.8</w:t>
            </w:r>
          </w:p>
        </w:tc>
      </w:tr>
      <w:tr w:rsidR="00A720EB" w14:paraId="672CD142" w14:textId="77777777">
        <w:trPr>
          <w:trHeight w:val="368"/>
        </w:trPr>
        <w:tc>
          <w:tcPr>
            <w:tcW w:w="3325" w:type="dxa"/>
          </w:tcPr>
          <w:p w14:paraId="31F8776C" w14:textId="77777777" w:rsidR="00A720EB" w:rsidRDefault="0030286B">
            <w:pPr>
              <w:pStyle w:val="TableParagraph"/>
              <w:rPr>
                <w:sz w:val="21"/>
              </w:rPr>
            </w:pPr>
            <w:proofErr w:type="gramStart"/>
            <w:r>
              <w:rPr>
                <w:color w:val="B02045"/>
                <w:sz w:val="21"/>
              </w:rPr>
              <w:t>org.apache</w:t>
            </w:r>
            <w:proofErr w:type="gramEnd"/>
            <w:r>
              <w:rPr>
                <w:color w:val="B02045"/>
                <w:sz w:val="21"/>
              </w:rPr>
              <w:t>.johnzon</w:t>
            </w:r>
          </w:p>
        </w:tc>
        <w:tc>
          <w:tcPr>
            <w:tcW w:w="3325" w:type="dxa"/>
          </w:tcPr>
          <w:p w14:paraId="240A4520" w14:textId="77777777" w:rsidR="00A720EB" w:rsidRDefault="0030286B">
            <w:pPr>
              <w:pStyle w:val="TableParagraph"/>
              <w:rPr>
                <w:sz w:val="21"/>
              </w:rPr>
            </w:pPr>
            <w:r>
              <w:rPr>
                <w:color w:val="B02045"/>
                <w:sz w:val="21"/>
              </w:rPr>
              <w:t>johnzon-mapper</w:t>
            </w:r>
          </w:p>
        </w:tc>
        <w:tc>
          <w:tcPr>
            <w:tcW w:w="3325" w:type="dxa"/>
          </w:tcPr>
          <w:p w14:paraId="390A9CC4" w14:textId="77777777" w:rsidR="00A720EB" w:rsidRDefault="0030286B">
            <w:pPr>
              <w:pStyle w:val="TableParagraph"/>
              <w:rPr>
                <w:sz w:val="21"/>
              </w:rPr>
            </w:pPr>
            <w:r>
              <w:rPr>
                <w:color w:val="B02045"/>
                <w:sz w:val="21"/>
              </w:rPr>
              <w:t>1.2.8</w:t>
            </w:r>
          </w:p>
        </w:tc>
      </w:tr>
      <w:tr w:rsidR="00A720EB" w14:paraId="4524A043" w14:textId="77777777">
        <w:trPr>
          <w:trHeight w:val="368"/>
        </w:trPr>
        <w:tc>
          <w:tcPr>
            <w:tcW w:w="3325" w:type="dxa"/>
          </w:tcPr>
          <w:p w14:paraId="3D64CACF"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.johnzon</w:t>
            </w:r>
          </w:p>
        </w:tc>
        <w:tc>
          <w:tcPr>
            <w:tcW w:w="3325" w:type="dxa"/>
          </w:tcPr>
          <w:p w14:paraId="5EC54E60" w14:textId="77777777" w:rsidR="00A720EB" w:rsidRDefault="0030286B">
            <w:pPr>
              <w:pStyle w:val="TableParagraph"/>
              <w:spacing w:before="37"/>
              <w:rPr>
                <w:sz w:val="21"/>
              </w:rPr>
            </w:pPr>
            <w:r>
              <w:rPr>
                <w:color w:val="B02045"/>
                <w:sz w:val="21"/>
              </w:rPr>
              <w:t>johnzon-websocket</w:t>
            </w:r>
          </w:p>
        </w:tc>
        <w:tc>
          <w:tcPr>
            <w:tcW w:w="3325" w:type="dxa"/>
          </w:tcPr>
          <w:p w14:paraId="525C9749" w14:textId="77777777" w:rsidR="00A720EB" w:rsidRDefault="0030286B">
            <w:pPr>
              <w:pStyle w:val="TableParagraph"/>
              <w:spacing w:before="37"/>
              <w:rPr>
                <w:sz w:val="21"/>
              </w:rPr>
            </w:pPr>
            <w:r>
              <w:rPr>
                <w:color w:val="B02045"/>
                <w:sz w:val="21"/>
              </w:rPr>
              <w:t>1.2.8</w:t>
            </w:r>
          </w:p>
        </w:tc>
      </w:tr>
      <w:tr w:rsidR="00A720EB" w14:paraId="088E1DB8" w14:textId="77777777">
        <w:trPr>
          <w:trHeight w:val="368"/>
        </w:trPr>
        <w:tc>
          <w:tcPr>
            <w:tcW w:w="3325" w:type="dxa"/>
          </w:tcPr>
          <w:p w14:paraId="292514E4" w14:textId="77777777" w:rsidR="00A720EB" w:rsidRDefault="0030286B">
            <w:pPr>
              <w:pStyle w:val="TableParagraph"/>
              <w:rPr>
                <w:sz w:val="21"/>
              </w:rPr>
            </w:pPr>
            <w:proofErr w:type="gramStart"/>
            <w:r>
              <w:rPr>
                <w:color w:val="B02045"/>
                <w:sz w:val="21"/>
              </w:rPr>
              <w:t>org.apache</w:t>
            </w:r>
            <w:proofErr w:type="gramEnd"/>
            <w:r>
              <w:rPr>
                <w:color w:val="B02045"/>
                <w:sz w:val="21"/>
              </w:rPr>
              <w:t>.kafka</w:t>
            </w:r>
          </w:p>
        </w:tc>
        <w:tc>
          <w:tcPr>
            <w:tcW w:w="3325" w:type="dxa"/>
          </w:tcPr>
          <w:p w14:paraId="0E9F2D8C" w14:textId="77777777" w:rsidR="00A720EB" w:rsidRDefault="0030286B">
            <w:pPr>
              <w:pStyle w:val="TableParagraph"/>
              <w:rPr>
                <w:sz w:val="21"/>
              </w:rPr>
            </w:pPr>
            <w:r>
              <w:rPr>
                <w:color w:val="B02045"/>
                <w:sz w:val="21"/>
              </w:rPr>
              <w:t>connect-api</w:t>
            </w:r>
          </w:p>
        </w:tc>
        <w:tc>
          <w:tcPr>
            <w:tcW w:w="3325" w:type="dxa"/>
          </w:tcPr>
          <w:p w14:paraId="0BA3089D" w14:textId="77777777" w:rsidR="00A720EB" w:rsidRDefault="0030286B">
            <w:pPr>
              <w:pStyle w:val="TableParagraph"/>
              <w:rPr>
                <w:sz w:val="21"/>
              </w:rPr>
            </w:pPr>
            <w:r>
              <w:rPr>
                <w:color w:val="B02045"/>
                <w:sz w:val="21"/>
              </w:rPr>
              <w:t>2.5.1</w:t>
            </w:r>
          </w:p>
        </w:tc>
      </w:tr>
      <w:tr w:rsidR="00A720EB" w14:paraId="7DEB5907" w14:textId="77777777">
        <w:trPr>
          <w:trHeight w:val="368"/>
        </w:trPr>
        <w:tc>
          <w:tcPr>
            <w:tcW w:w="3325" w:type="dxa"/>
          </w:tcPr>
          <w:p w14:paraId="4F16D58A" w14:textId="77777777" w:rsidR="00A720EB" w:rsidRDefault="0030286B">
            <w:pPr>
              <w:pStyle w:val="TableParagraph"/>
              <w:rPr>
                <w:sz w:val="21"/>
              </w:rPr>
            </w:pPr>
            <w:proofErr w:type="gramStart"/>
            <w:r>
              <w:rPr>
                <w:color w:val="B02045"/>
                <w:sz w:val="21"/>
              </w:rPr>
              <w:t>org.apache</w:t>
            </w:r>
            <w:proofErr w:type="gramEnd"/>
            <w:r>
              <w:rPr>
                <w:color w:val="B02045"/>
                <w:sz w:val="21"/>
              </w:rPr>
              <w:t>.kafka</w:t>
            </w:r>
          </w:p>
        </w:tc>
        <w:tc>
          <w:tcPr>
            <w:tcW w:w="3325" w:type="dxa"/>
          </w:tcPr>
          <w:p w14:paraId="3A0AE3BA" w14:textId="77777777" w:rsidR="00A720EB" w:rsidRDefault="0030286B">
            <w:pPr>
              <w:pStyle w:val="TableParagraph"/>
              <w:rPr>
                <w:sz w:val="21"/>
              </w:rPr>
            </w:pPr>
            <w:r>
              <w:rPr>
                <w:color w:val="B02045"/>
                <w:sz w:val="21"/>
              </w:rPr>
              <w:t>connect-basic-auth-extension</w:t>
            </w:r>
          </w:p>
        </w:tc>
        <w:tc>
          <w:tcPr>
            <w:tcW w:w="3325" w:type="dxa"/>
          </w:tcPr>
          <w:p w14:paraId="4ECF332E" w14:textId="77777777" w:rsidR="00A720EB" w:rsidRDefault="0030286B">
            <w:pPr>
              <w:pStyle w:val="TableParagraph"/>
              <w:rPr>
                <w:sz w:val="21"/>
              </w:rPr>
            </w:pPr>
            <w:r>
              <w:rPr>
                <w:color w:val="B02045"/>
                <w:sz w:val="21"/>
              </w:rPr>
              <w:t>2.5.1</w:t>
            </w:r>
          </w:p>
        </w:tc>
      </w:tr>
      <w:tr w:rsidR="00A720EB" w14:paraId="5E6B6188" w14:textId="77777777">
        <w:trPr>
          <w:trHeight w:val="368"/>
        </w:trPr>
        <w:tc>
          <w:tcPr>
            <w:tcW w:w="3325" w:type="dxa"/>
          </w:tcPr>
          <w:p w14:paraId="48C36245" w14:textId="77777777" w:rsidR="00A720EB" w:rsidRDefault="0030286B">
            <w:pPr>
              <w:pStyle w:val="TableParagraph"/>
              <w:rPr>
                <w:sz w:val="21"/>
              </w:rPr>
            </w:pPr>
            <w:proofErr w:type="gramStart"/>
            <w:r>
              <w:rPr>
                <w:color w:val="B02045"/>
                <w:sz w:val="21"/>
              </w:rPr>
              <w:t>org.apache</w:t>
            </w:r>
            <w:proofErr w:type="gramEnd"/>
            <w:r>
              <w:rPr>
                <w:color w:val="B02045"/>
                <w:sz w:val="21"/>
              </w:rPr>
              <w:t>.kafka</w:t>
            </w:r>
          </w:p>
        </w:tc>
        <w:tc>
          <w:tcPr>
            <w:tcW w:w="3325" w:type="dxa"/>
          </w:tcPr>
          <w:p w14:paraId="0A9DCD4F" w14:textId="77777777" w:rsidR="00A720EB" w:rsidRDefault="0030286B">
            <w:pPr>
              <w:pStyle w:val="TableParagraph"/>
              <w:rPr>
                <w:sz w:val="21"/>
              </w:rPr>
            </w:pPr>
            <w:r>
              <w:rPr>
                <w:color w:val="B02045"/>
                <w:sz w:val="21"/>
              </w:rPr>
              <w:t>connect-file</w:t>
            </w:r>
          </w:p>
        </w:tc>
        <w:tc>
          <w:tcPr>
            <w:tcW w:w="3325" w:type="dxa"/>
          </w:tcPr>
          <w:p w14:paraId="62D9F3D0" w14:textId="77777777" w:rsidR="00A720EB" w:rsidRDefault="0030286B">
            <w:pPr>
              <w:pStyle w:val="TableParagraph"/>
              <w:rPr>
                <w:sz w:val="21"/>
              </w:rPr>
            </w:pPr>
            <w:r>
              <w:rPr>
                <w:color w:val="B02045"/>
                <w:sz w:val="21"/>
              </w:rPr>
              <w:t>2.5.1</w:t>
            </w:r>
          </w:p>
        </w:tc>
      </w:tr>
      <w:tr w:rsidR="00A720EB" w14:paraId="17385DD9" w14:textId="77777777">
        <w:trPr>
          <w:trHeight w:val="368"/>
        </w:trPr>
        <w:tc>
          <w:tcPr>
            <w:tcW w:w="3325" w:type="dxa"/>
          </w:tcPr>
          <w:p w14:paraId="5889789E" w14:textId="77777777" w:rsidR="00A720EB" w:rsidRDefault="0030286B">
            <w:pPr>
              <w:pStyle w:val="TableParagraph"/>
              <w:rPr>
                <w:sz w:val="21"/>
              </w:rPr>
            </w:pPr>
            <w:proofErr w:type="gramStart"/>
            <w:r>
              <w:rPr>
                <w:color w:val="B02045"/>
                <w:sz w:val="21"/>
              </w:rPr>
              <w:t>org.apache</w:t>
            </w:r>
            <w:proofErr w:type="gramEnd"/>
            <w:r>
              <w:rPr>
                <w:color w:val="B02045"/>
                <w:sz w:val="21"/>
              </w:rPr>
              <w:t>.kafka</w:t>
            </w:r>
          </w:p>
        </w:tc>
        <w:tc>
          <w:tcPr>
            <w:tcW w:w="3325" w:type="dxa"/>
          </w:tcPr>
          <w:p w14:paraId="2CE539EA" w14:textId="77777777" w:rsidR="00A720EB" w:rsidRDefault="0030286B">
            <w:pPr>
              <w:pStyle w:val="TableParagraph"/>
              <w:rPr>
                <w:sz w:val="21"/>
              </w:rPr>
            </w:pPr>
            <w:r>
              <w:rPr>
                <w:color w:val="B02045"/>
                <w:sz w:val="21"/>
              </w:rPr>
              <w:t>connect-json</w:t>
            </w:r>
          </w:p>
        </w:tc>
        <w:tc>
          <w:tcPr>
            <w:tcW w:w="3325" w:type="dxa"/>
          </w:tcPr>
          <w:p w14:paraId="70EB8ACA" w14:textId="77777777" w:rsidR="00A720EB" w:rsidRDefault="0030286B">
            <w:pPr>
              <w:pStyle w:val="TableParagraph"/>
              <w:rPr>
                <w:sz w:val="21"/>
              </w:rPr>
            </w:pPr>
            <w:r>
              <w:rPr>
                <w:color w:val="B02045"/>
                <w:sz w:val="21"/>
              </w:rPr>
              <w:t>2.5.1</w:t>
            </w:r>
          </w:p>
        </w:tc>
      </w:tr>
    </w:tbl>
    <w:p w14:paraId="6875080D"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094FC047" w14:textId="77777777">
        <w:trPr>
          <w:trHeight w:val="415"/>
        </w:trPr>
        <w:tc>
          <w:tcPr>
            <w:tcW w:w="3325" w:type="dxa"/>
            <w:tcBorders>
              <w:bottom w:val="single" w:sz="12" w:space="0" w:color="DDDDDD"/>
            </w:tcBorders>
          </w:tcPr>
          <w:p w14:paraId="6CC2B9BB"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055C2111"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3A6D2C78"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37414BD2" w14:textId="77777777">
        <w:trPr>
          <w:trHeight w:val="358"/>
        </w:trPr>
        <w:tc>
          <w:tcPr>
            <w:tcW w:w="3325" w:type="dxa"/>
            <w:tcBorders>
              <w:top w:val="single" w:sz="12" w:space="0" w:color="DDDDDD"/>
            </w:tcBorders>
          </w:tcPr>
          <w:p w14:paraId="53901E9C" w14:textId="77777777" w:rsidR="00A720EB" w:rsidRDefault="0030286B">
            <w:pPr>
              <w:pStyle w:val="TableParagraph"/>
              <w:spacing w:before="27"/>
              <w:rPr>
                <w:sz w:val="21"/>
              </w:rPr>
            </w:pPr>
            <w:proofErr w:type="gramStart"/>
            <w:r>
              <w:rPr>
                <w:color w:val="B02045"/>
                <w:sz w:val="21"/>
              </w:rPr>
              <w:t>org.apache</w:t>
            </w:r>
            <w:proofErr w:type="gramEnd"/>
            <w:r>
              <w:rPr>
                <w:color w:val="B02045"/>
                <w:sz w:val="21"/>
              </w:rPr>
              <w:t>.kafka</w:t>
            </w:r>
          </w:p>
        </w:tc>
        <w:tc>
          <w:tcPr>
            <w:tcW w:w="3325" w:type="dxa"/>
            <w:tcBorders>
              <w:top w:val="single" w:sz="12" w:space="0" w:color="DDDDDD"/>
            </w:tcBorders>
          </w:tcPr>
          <w:p w14:paraId="5AF33710" w14:textId="77777777" w:rsidR="00A720EB" w:rsidRDefault="0030286B">
            <w:pPr>
              <w:pStyle w:val="TableParagraph"/>
              <w:spacing w:before="27"/>
              <w:rPr>
                <w:sz w:val="21"/>
              </w:rPr>
            </w:pPr>
            <w:r>
              <w:rPr>
                <w:color w:val="B02045"/>
                <w:sz w:val="21"/>
              </w:rPr>
              <w:t>connect-runtime</w:t>
            </w:r>
          </w:p>
        </w:tc>
        <w:tc>
          <w:tcPr>
            <w:tcW w:w="3325" w:type="dxa"/>
            <w:tcBorders>
              <w:top w:val="single" w:sz="12" w:space="0" w:color="DDDDDD"/>
            </w:tcBorders>
          </w:tcPr>
          <w:p w14:paraId="3F944C56" w14:textId="77777777" w:rsidR="00A720EB" w:rsidRDefault="0030286B">
            <w:pPr>
              <w:pStyle w:val="TableParagraph"/>
              <w:spacing w:before="27"/>
              <w:rPr>
                <w:sz w:val="21"/>
              </w:rPr>
            </w:pPr>
            <w:r>
              <w:rPr>
                <w:color w:val="B02045"/>
                <w:sz w:val="21"/>
              </w:rPr>
              <w:t>2.5.1</w:t>
            </w:r>
          </w:p>
        </w:tc>
      </w:tr>
      <w:tr w:rsidR="00A720EB" w14:paraId="17709388" w14:textId="77777777">
        <w:trPr>
          <w:trHeight w:val="368"/>
        </w:trPr>
        <w:tc>
          <w:tcPr>
            <w:tcW w:w="3325" w:type="dxa"/>
          </w:tcPr>
          <w:p w14:paraId="5F068331"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.kafka</w:t>
            </w:r>
          </w:p>
        </w:tc>
        <w:tc>
          <w:tcPr>
            <w:tcW w:w="3325" w:type="dxa"/>
          </w:tcPr>
          <w:p w14:paraId="17E3C8B8" w14:textId="77777777" w:rsidR="00A720EB" w:rsidRDefault="0030286B">
            <w:pPr>
              <w:pStyle w:val="TableParagraph"/>
              <w:spacing w:before="37"/>
              <w:rPr>
                <w:sz w:val="21"/>
              </w:rPr>
            </w:pPr>
            <w:r>
              <w:rPr>
                <w:color w:val="B02045"/>
                <w:sz w:val="21"/>
              </w:rPr>
              <w:t>connect-transforms</w:t>
            </w:r>
          </w:p>
        </w:tc>
        <w:tc>
          <w:tcPr>
            <w:tcW w:w="3325" w:type="dxa"/>
          </w:tcPr>
          <w:p w14:paraId="1897ED20" w14:textId="77777777" w:rsidR="00A720EB" w:rsidRDefault="0030286B">
            <w:pPr>
              <w:pStyle w:val="TableParagraph"/>
              <w:spacing w:before="37"/>
              <w:rPr>
                <w:sz w:val="21"/>
              </w:rPr>
            </w:pPr>
            <w:r>
              <w:rPr>
                <w:color w:val="B02045"/>
                <w:sz w:val="21"/>
              </w:rPr>
              <w:t>2.5.1</w:t>
            </w:r>
          </w:p>
        </w:tc>
      </w:tr>
      <w:tr w:rsidR="00A720EB" w14:paraId="7C5FA06A" w14:textId="77777777">
        <w:trPr>
          <w:trHeight w:val="368"/>
        </w:trPr>
        <w:tc>
          <w:tcPr>
            <w:tcW w:w="3325" w:type="dxa"/>
          </w:tcPr>
          <w:p w14:paraId="54D89701"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.kafka</w:t>
            </w:r>
          </w:p>
        </w:tc>
        <w:tc>
          <w:tcPr>
            <w:tcW w:w="3325" w:type="dxa"/>
          </w:tcPr>
          <w:p w14:paraId="1425EFF6" w14:textId="77777777" w:rsidR="00A720EB" w:rsidRDefault="0030286B">
            <w:pPr>
              <w:pStyle w:val="TableParagraph"/>
              <w:spacing w:before="37"/>
              <w:rPr>
                <w:sz w:val="21"/>
              </w:rPr>
            </w:pPr>
            <w:r>
              <w:rPr>
                <w:color w:val="B02045"/>
                <w:sz w:val="21"/>
              </w:rPr>
              <w:t>kafka-clients</w:t>
            </w:r>
          </w:p>
        </w:tc>
        <w:tc>
          <w:tcPr>
            <w:tcW w:w="3325" w:type="dxa"/>
          </w:tcPr>
          <w:p w14:paraId="0E7367BE" w14:textId="77777777" w:rsidR="00A720EB" w:rsidRDefault="0030286B">
            <w:pPr>
              <w:pStyle w:val="TableParagraph"/>
              <w:spacing w:before="37"/>
              <w:rPr>
                <w:sz w:val="21"/>
              </w:rPr>
            </w:pPr>
            <w:r>
              <w:rPr>
                <w:color w:val="B02045"/>
                <w:sz w:val="21"/>
              </w:rPr>
              <w:t>2.5.1</w:t>
            </w:r>
          </w:p>
        </w:tc>
      </w:tr>
      <w:tr w:rsidR="00A720EB" w14:paraId="5360E4DE" w14:textId="77777777">
        <w:trPr>
          <w:trHeight w:val="368"/>
        </w:trPr>
        <w:tc>
          <w:tcPr>
            <w:tcW w:w="3325" w:type="dxa"/>
          </w:tcPr>
          <w:p w14:paraId="7B99EBC7" w14:textId="77777777" w:rsidR="00A720EB" w:rsidRDefault="0030286B">
            <w:pPr>
              <w:pStyle w:val="TableParagraph"/>
              <w:rPr>
                <w:sz w:val="21"/>
              </w:rPr>
            </w:pPr>
            <w:proofErr w:type="gramStart"/>
            <w:r>
              <w:rPr>
                <w:color w:val="B02045"/>
                <w:sz w:val="21"/>
              </w:rPr>
              <w:t>org.apache</w:t>
            </w:r>
            <w:proofErr w:type="gramEnd"/>
            <w:r>
              <w:rPr>
                <w:color w:val="B02045"/>
                <w:sz w:val="21"/>
              </w:rPr>
              <w:t>.kafka</w:t>
            </w:r>
          </w:p>
        </w:tc>
        <w:tc>
          <w:tcPr>
            <w:tcW w:w="3325" w:type="dxa"/>
          </w:tcPr>
          <w:p w14:paraId="5AF73970" w14:textId="77777777" w:rsidR="00A720EB" w:rsidRDefault="0030286B">
            <w:pPr>
              <w:pStyle w:val="TableParagraph"/>
              <w:rPr>
                <w:sz w:val="21"/>
              </w:rPr>
            </w:pPr>
            <w:r>
              <w:rPr>
                <w:color w:val="B02045"/>
                <w:sz w:val="21"/>
              </w:rPr>
              <w:t>kafka-log4j-appender</w:t>
            </w:r>
          </w:p>
        </w:tc>
        <w:tc>
          <w:tcPr>
            <w:tcW w:w="3325" w:type="dxa"/>
          </w:tcPr>
          <w:p w14:paraId="5963592C" w14:textId="77777777" w:rsidR="00A720EB" w:rsidRDefault="0030286B">
            <w:pPr>
              <w:pStyle w:val="TableParagraph"/>
              <w:rPr>
                <w:sz w:val="21"/>
              </w:rPr>
            </w:pPr>
            <w:r>
              <w:rPr>
                <w:color w:val="B02045"/>
                <w:sz w:val="21"/>
              </w:rPr>
              <w:t>2.5.1</w:t>
            </w:r>
          </w:p>
        </w:tc>
      </w:tr>
      <w:tr w:rsidR="00A720EB" w14:paraId="1026E101" w14:textId="77777777">
        <w:trPr>
          <w:trHeight w:val="368"/>
        </w:trPr>
        <w:tc>
          <w:tcPr>
            <w:tcW w:w="3325" w:type="dxa"/>
          </w:tcPr>
          <w:p w14:paraId="47390A77" w14:textId="77777777" w:rsidR="00A720EB" w:rsidRDefault="0030286B">
            <w:pPr>
              <w:pStyle w:val="TableParagraph"/>
              <w:rPr>
                <w:sz w:val="21"/>
              </w:rPr>
            </w:pPr>
            <w:proofErr w:type="gramStart"/>
            <w:r>
              <w:rPr>
                <w:color w:val="B02045"/>
                <w:sz w:val="21"/>
              </w:rPr>
              <w:t>org.apache</w:t>
            </w:r>
            <w:proofErr w:type="gramEnd"/>
            <w:r>
              <w:rPr>
                <w:color w:val="B02045"/>
                <w:sz w:val="21"/>
              </w:rPr>
              <w:t>.kafka</w:t>
            </w:r>
          </w:p>
        </w:tc>
        <w:tc>
          <w:tcPr>
            <w:tcW w:w="3325" w:type="dxa"/>
          </w:tcPr>
          <w:p w14:paraId="72534DB2" w14:textId="77777777" w:rsidR="00A720EB" w:rsidRDefault="0030286B">
            <w:pPr>
              <w:pStyle w:val="TableParagraph"/>
              <w:rPr>
                <w:sz w:val="21"/>
              </w:rPr>
            </w:pPr>
            <w:r>
              <w:rPr>
                <w:color w:val="B02045"/>
                <w:sz w:val="21"/>
              </w:rPr>
              <w:t>kafka-streams</w:t>
            </w:r>
          </w:p>
        </w:tc>
        <w:tc>
          <w:tcPr>
            <w:tcW w:w="3325" w:type="dxa"/>
          </w:tcPr>
          <w:p w14:paraId="00D89709" w14:textId="77777777" w:rsidR="00A720EB" w:rsidRDefault="0030286B">
            <w:pPr>
              <w:pStyle w:val="TableParagraph"/>
              <w:rPr>
                <w:sz w:val="21"/>
              </w:rPr>
            </w:pPr>
            <w:r>
              <w:rPr>
                <w:color w:val="B02045"/>
                <w:sz w:val="21"/>
              </w:rPr>
              <w:t>2.5.1</w:t>
            </w:r>
          </w:p>
        </w:tc>
      </w:tr>
      <w:tr w:rsidR="00A720EB" w14:paraId="01639194" w14:textId="77777777">
        <w:trPr>
          <w:trHeight w:val="368"/>
        </w:trPr>
        <w:tc>
          <w:tcPr>
            <w:tcW w:w="3325" w:type="dxa"/>
          </w:tcPr>
          <w:p w14:paraId="3E92A7B3" w14:textId="77777777" w:rsidR="00A720EB" w:rsidRDefault="0030286B">
            <w:pPr>
              <w:pStyle w:val="TableParagraph"/>
              <w:rPr>
                <w:sz w:val="21"/>
              </w:rPr>
            </w:pPr>
            <w:proofErr w:type="gramStart"/>
            <w:r>
              <w:rPr>
                <w:color w:val="B02045"/>
                <w:sz w:val="21"/>
              </w:rPr>
              <w:t>org.apache</w:t>
            </w:r>
            <w:proofErr w:type="gramEnd"/>
            <w:r>
              <w:rPr>
                <w:color w:val="B02045"/>
                <w:sz w:val="21"/>
              </w:rPr>
              <w:t>.kafka</w:t>
            </w:r>
          </w:p>
        </w:tc>
        <w:tc>
          <w:tcPr>
            <w:tcW w:w="3325" w:type="dxa"/>
          </w:tcPr>
          <w:p w14:paraId="1B38562F" w14:textId="77777777" w:rsidR="00A720EB" w:rsidRDefault="0030286B">
            <w:pPr>
              <w:pStyle w:val="TableParagraph"/>
              <w:rPr>
                <w:sz w:val="21"/>
              </w:rPr>
            </w:pPr>
            <w:r>
              <w:rPr>
                <w:color w:val="B02045"/>
                <w:sz w:val="21"/>
              </w:rPr>
              <w:t>kafka-streams-scala_2.12</w:t>
            </w:r>
          </w:p>
        </w:tc>
        <w:tc>
          <w:tcPr>
            <w:tcW w:w="3325" w:type="dxa"/>
          </w:tcPr>
          <w:p w14:paraId="5B4F0444" w14:textId="77777777" w:rsidR="00A720EB" w:rsidRDefault="0030286B">
            <w:pPr>
              <w:pStyle w:val="TableParagraph"/>
              <w:rPr>
                <w:sz w:val="21"/>
              </w:rPr>
            </w:pPr>
            <w:r>
              <w:rPr>
                <w:color w:val="B02045"/>
                <w:sz w:val="21"/>
              </w:rPr>
              <w:t>2.5.1</w:t>
            </w:r>
          </w:p>
        </w:tc>
      </w:tr>
      <w:tr w:rsidR="00A720EB" w14:paraId="7EA60730" w14:textId="77777777">
        <w:trPr>
          <w:trHeight w:val="368"/>
        </w:trPr>
        <w:tc>
          <w:tcPr>
            <w:tcW w:w="3325" w:type="dxa"/>
          </w:tcPr>
          <w:p w14:paraId="63D48B51" w14:textId="77777777" w:rsidR="00A720EB" w:rsidRDefault="0030286B">
            <w:pPr>
              <w:pStyle w:val="TableParagraph"/>
              <w:rPr>
                <w:sz w:val="21"/>
              </w:rPr>
            </w:pPr>
            <w:proofErr w:type="gramStart"/>
            <w:r>
              <w:rPr>
                <w:color w:val="B02045"/>
                <w:sz w:val="21"/>
              </w:rPr>
              <w:t>org.apache</w:t>
            </w:r>
            <w:proofErr w:type="gramEnd"/>
            <w:r>
              <w:rPr>
                <w:color w:val="B02045"/>
                <w:sz w:val="21"/>
              </w:rPr>
              <w:t>.kafka</w:t>
            </w:r>
          </w:p>
        </w:tc>
        <w:tc>
          <w:tcPr>
            <w:tcW w:w="3325" w:type="dxa"/>
          </w:tcPr>
          <w:p w14:paraId="6BF1973D" w14:textId="77777777" w:rsidR="00A720EB" w:rsidRDefault="0030286B">
            <w:pPr>
              <w:pStyle w:val="TableParagraph"/>
              <w:rPr>
                <w:sz w:val="21"/>
              </w:rPr>
            </w:pPr>
            <w:r>
              <w:rPr>
                <w:color w:val="B02045"/>
                <w:sz w:val="21"/>
              </w:rPr>
              <w:t>kafka-streams-scala_2.13</w:t>
            </w:r>
          </w:p>
        </w:tc>
        <w:tc>
          <w:tcPr>
            <w:tcW w:w="3325" w:type="dxa"/>
          </w:tcPr>
          <w:p w14:paraId="2E43EB48" w14:textId="77777777" w:rsidR="00A720EB" w:rsidRDefault="0030286B">
            <w:pPr>
              <w:pStyle w:val="TableParagraph"/>
              <w:rPr>
                <w:sz w:val="21"/>
              </w:rPr>
            </w:pPr>
            <w:r>
              <w:rPr>
                <w:color w:val="B02045"/>
                <w:sz w:val="21"/>
              </w:rPr>
              <w:t>2.5.1</w:t>
            </w:r>
          </w:p>
        </w:tc>
      </w:tr>
      <w:tr w:rsidR="00A720EB" w14:paraId="682D4A53" w14:textId="77777777">
        <w:trPr>
          <w:trHeight w:val="368"/>
        </w:trPr>
        <w:tc>
          <w:tcPr>
            <w:tcW w:w="3325" w:type="dxa"/>
          </w:tcPr>
          <w:p w14:paraId="426EBB11"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.kafka</w:t>
            </w:r>
          </w:p>
        </w:tc>
        <w:tc>
          <w:tcPr>
            <w:tcW w:w="3325" w:type="dxa"/>
          </w:tcPr>
          <w:p w14:paraId="2D0B541E" w14:textId="77777777" w:rsidR="00A720EB" w:rsidRDefault="0030286B">
            <w:pPr>
              <w:pStyle w:val="TableParagraph"/>
              <w:spacing w:before="37"/>
              <w:rPr>
                <w:sz w:val="21"/>
              </w:rPr>
            </w:pPr>
            <w:r>
              <w:rPr>
                <w:color w:val="B02045"/>
                <w:sz w:val="21"/>
              </w:rPr>
              <w:t>kafka-streams-test-utils</w:t>
            </w:r>
          </w:p>
        </w:tc>
        <w:tc>
          <w:tcPr>
            <w:tcW w:w="3325" w:type="dxa"/>
          </w:tcPr>
          <w:p w14:paraId="26A6CDAE" w14:textId="77777777" w:rsidR="00A720EB" w:rsidRDefault="0030286B">
            <w:pPr>
              <w:pStyle w:val="TableParagraph"/>
              <w:spacing w:before="37"/>
              <w:rPr>
                <w:sz w:val="21"/>
              </w:rPr>
            </w:pPr>
            <w:r>
              <w:rPr>
                <w:color w:val="B02045"/>
                <w:sz w:val="21"/>
              </w:rPr>
              <w:t>2.5.1</w:t>
            </w:r>
          </w:p>
        </w:tc>
      </w:tr>
      <w:tr w:rsidR="00A720EB" w14:paraId="5D1C93C8" w14:textId="77777777">
        <w:trPr>
          <w:trHeight w:val="368"/>
        </w:trPr>
        <w:tc>
          <w:tcPr>
            <w:tcW w:w="3325" w:type="dxa"/>
          </w:tcPr>
          <w:p w14:paraId="2C89423F"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.kafka</w:t>
            </w:r>
          </w:p>
        </w:tc>
        <w:tc>
          <w:tcPr>
            <w:tcW w:w="3325" w:type="dxa"/>
          </w:tcPr>
          <w:p w14:paraId="28BF3A8A" w14:textId="77777777" w:rsidR="00A720EB" w:rsidRDefault="0030286B">
            <w:pPr>
              <w:pStyle w:val="TableParagraph"/>
              <w:spacing w:before="37"/>
              <w:rPr>
                <w:sz w:val="21"/>
              </w:rPr>
            </w:pPr>
            <w:r>
              <w:rPr>
                <w:color w:val="B02045"/>
                <w:sz w:val="21"/>
              </w:rPr>
              <w:t>kafka-tools</w:t>
            </w:r>
          </w:p>
        </w:tc>
        <w:tc>
          <w:tcPr>
            <w:tcW w:w="3325" w:type="dxa"/>
          </w:tcPr>
          <w:p w14:paraId="4B3576D5" w14:textId="77777777" w:rsidR="00A720EB" w:rsidRDefault="0030286B">
            <w:pPr>
              <w:pStyle w:val="TableParagraph"/>
              <w:spacing w:before="37"/>
              <w:rPr>
                <w:sz w:val="21"/>
              </w:rPr>
            </w:pPr>
            <w:r>
              <w:rPr>
                <w:color w:val="B02045"/>
                <w:sz w:val="21"/>
              </w:rPr>
              <w:t>2.5.1</w:t>
            </w:r>
          </w:p>
        </w:tc>
      </w:tr>
      <w:tr w:rsidR="00A720EB" w14:paraId="17F3C968" w14:textId="77777777">
        <w:trPr>
          <w:trHeight w:val="368"/>
        </w:trPr>
        <w:tc>
          <w:tcPr>
            <w:tcW w:w="3325" w:type="dxa"/>
          </w:tcPr>
          <w:p w14:paraId="2C5E47A9"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.kafka</w:t>
            </w:r>
          </w:p>
        </w:tc>
        <w:tc>
          <w:tcPr>
            <w:tcW w:w="3325" w:type="dxa"/>
          </w:tcPr>
          <w:p w14:paraId="37EFD65E" w14:textId="77777777" w:rsidR="00A720EB" w:rsidRDefault="0030286B">
            <w:pPr>
              <w:pStyle w:val="TableParagraph"/>
              <w:spacing w:before="37"/>
              <w:rPr>
                <w:sz w:val="21"/>
              </w:rPr>
            </w:pPr>
            <w:r>
              <w:rPr>
                <w:color w:val="B02045"/>
                <w:sz w:val="21"/>
              </w:rPr>
              <w:t>kafka_2.12</w:t>
            </w:r>
          </w:p>
        </w:tc>
        <w:tc>
          <w:tcPr>
            <w:tcW w:w="3325" w:type="dxa"/>
          </w:tcPr>
          <w:p w14:paraId="06FFA1EE" w14:textId="77777777" w:rsidR="00A720EB" w:rsidRDefault="0030286B">
            <w:pPr>
              <w:pStyle w:val="TableParagraph"/>
              <w:spacing w:before="37"/>
              <w:rPr>
                <w:sz w:val="21"/>
              </w:rPr>
            </w:pPr>
            <w:r>
              <w:rPr>
                <w:color w:val="B02045"/>
                <w:sz w:val="21"/>
              </w:rPr>
              <w:t>2.5.1</w:t>
            </w:r>
          </w:p>
        </w:tc>
      </w:tr>
      <w:tr w:rsidR="00A720EB" w14:paraId="127EA02A" w14:textId="77777777">
        <w:trPr>
          <w:trHeight w:val="368"/>
        </w:trPr>
        <w:tc>
          <w:tcPr>
            <w:tcW w:w="3325" w:type="dxa"/>
          </w:tcPr>
          <w:p w14:paraId="7E82591E"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.kafka</w:t>
            </w:r>
          </w:p>
        </w:tc>
        <w:tc>
          <w:tcPr>
            <w:tcW w:w="3325" w:type="dxa"/>
          </w:tcPr>
          <w:p w14:paraId="69A1D8E5" w14:textId="77777777" w:rsidR="00A720EB" w:rsidRDefault="0030286B">
            <w:pPr>
              <w:pStyle w:val="TableParagraph"/>
              <w:spacing w:before="37"/>
              <w:rPr>
                <w:sz w:val="21"/>
              </w:rPr>
            </w:pPr>
            <w:r>
              <w:rPr>
                <w:color w:val="B02045"/>
                <w:sz w:val="21"/>
              </w:rPr>
              <w:t>kafka_2.13</w:t>
            </w:r>
          </w:p>
        </w:tc>
        <w:tc>
          <w:tcPr>
            <w:tcW w:w="3325" w:type="dxa"/>
          </w:tcPr>
          <w:p w14:paraId="010AB2EB" w14:textId="77777777" w:rsidR="00A720EB" w:rsidRDefault="0030286B">
            <w:pPr>
              <w:pStyle w:val="TableParagraph"/>
              <w:spacing w:before="37"/>
              <w:rPr>
                <w:sz w:val="21"/>
              </w:rPr>
            </w:pPr>
            <w:r>
              <w:rPr>
                <w:color w:val="B02045"/>
                <w:sz w:val="21"/>
              </w:rPr>
              <w:t>2.5.1</w:t>
            </w:r>
          </w:p>
        </w:tc>
      </w:tr>
      <w:tr w:rsidR="00A720EB" w14:paraId="0F46A9CC" w14:textId="77777777">
        <w:trPr>
          <w:trHeight w:val="368"/>
        </w:trPr>
        <w:tc>
          <w:tcPr>
            <w:tcW w:w="3325" w:type="dxa"/>
          </w:tcPr>
          <w:p w14:paraId="1ED326FB"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258B213F" w14:textId="77777777" w:rsidR="00A720EB" w:rsidRDefault="0030286B">
            <w:pPr>
              <w:pStyle w:val="TableParagraph"/>
              <w:rPr>
                <w:sz w:val="21"/>
              </w:rPr>
            </w:pPr>
            <w:r>
              <w:rPr>
                <w:color w:val="B02045"/>
                <w:sz w:val="21"/>
              </w:rPr>
              <w:t>log4j-1.2-api</w:t>
            </w:r>
          </w:p>
        </w:tc>
        <w:tc>
          <w:tcPr>
            <w:tcW w:w="3325" w:type="dxa"/>
          </w:tcPr>
          <w:p w14:paraId="6587369A" w14:textId="77777777" w:rsidR="00A720EB" w:rsidRDefault="0030286B">
            <w:pPr>
              <w:pStyle w:val="TableParagraph"/>
              <w:rPr>
                <w:sz w:val="21"/>
              </w:rPr>
            </w:pPr>
            <w:r>
              <w:rPr>
                <w:color w:val="B02045"/>
                <w:sz w:val="21"/>
              </w:rPr>
              <w:t>2.13.3</w:t>
            </w:r>
          </w:p>
        </w:tc>
      </w:tr>
      <w:tr w:rsidR="00A720EB" w14:paraId="4DC513FA" w14:textId="77777777">
        <w:trPr>
          <w:trHeight w:val="368"/>
        </w:trPr>
        <w:tc>
          <w:tcPr>
            <w:tcW w:w="3325" w:type="dxa"/>
          </w:tcPr>
          <w:p w14:paraId="24ECABDC"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2689EBF8" w14:textId="77777777" w:rsidR="00A720EB" w:rsidRDefault="0030286B">
            <w:pPr>
              <w:pStyle w:val="TableParagraph"/>
              <w:rPr>
                <w:sz w:val="21"/>
              </w:rPr>
            </w:pPr>
            <w:r>
              <w:rPr>
                <w:color w:val="B02045"/>
                <w:sz w:val="21"/>
              </w:rPr>
              <w:t>log4j-api</w:t>
            </w:r>
          </w:p>
        </w:tc>
        <w:tc>
          <w:tcPr>
            <w:tcW w:w="3325" w:type="dxa"/>
          </w:tcPr>
          <w:p w14:paraId="142E42CB" w14:textId="77777777" w:rsidR="00A720EB" w:rsidRDefault="0030286B">
            <w:pPr>
              <w:pStyle w:val="TableParagraph"/>
              <w:rPr>
                <w:sz w:val="21"/>
              </w:rPr>
            </w:pPr>
            <w:r>
              <w:rPr>
                <w:color w:val="B02045"/>
                <w:sz w:val="21"/>
              </w:rPr>
              <w:t>2.13.3</w:t>
            </w:r>
          </w:p>
        </w:tc>
      </w:tr>
      <w:tr w:rsidR="00A720EB" w14:paraId="3708F167" w14:textId="77777777">
        <w:trPr>
          <w:trHeight w:val="368"/>
        </w:trPr>
        <w:tc>
          <w:tcPr>
            <w:tcW w:w="3325" w:type="dxa"/>
          </w:tcPr>
          <w:p w14:paraId="1C9C3A6F"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307A7B48" w14:textId="77777777" w:rsidR="00A720EB" w:rsidRDefault="0030286B">
            <w:pPr>
              <w:pStyle w:val="TableParagraph"/>
              <w:rPr>
                <w:sz w:val="21"/>
              </w:rPr>
            </w:pPr>
            <w:r>
              <w:rPr>
                <w:color w:val="B02045"/>
                <w:sz w:val="21"/>
              </w:rPr>
              <w:t>log4j-appserver</w:t>
            </w:r>
          </w:p>
        </w:tc>
        <w:tc>
          <w:tcPr>
            <w:tcW w:w="3325" w:type="dxa"/>
          </w:tcPr>
          <w:p w14:paraId="65D85385" w14:textId="77777777" w:rsidR="00A720EB" w:rsidRDefault="0030286B">
            <w:pPr>
              <w:pStyle w:val="TableParagraph"/>
              <w:rPr>
                <w:sz w:val="21"/>
              </w:rPr>
            </w:pPr>
            <w:r>
              <w:rPr>
                <w:color w:val="B02045"/>
                <w:sz w:val="21"/>
              </w:rPr>
              <w:t>2.13.3</w:t>
            </w:r>
          </w:p>
        </w:tc>
      </w:tr>
      <w:tr w:rsidR="00A720EB" w14:paraId="26B4C34C" w14:textId="77777777">
        <w:trPr>
          <w:trHeight w:val="368"/>
        </w:trPr>
        <w:tc>
          <w:tcPr>
            <w:tcW w:w="3325" w:type="dxa"/>
          </w:tcPr>
          <w:p w14:paraId="6D21DF52"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47814400" w14:textId="77777777" w:rsidR="00A720EB" w:rsidRDefault="0030286B">
            <w:pPr>
              <w:pStyle w:val="TableParagraph"/>
              <w:spacing w:before="37"/>
              <w:rPr>
                <w:sz w:val="21"/>
              </w:rPr>
            </w:pPr>
            <w:r>
              <w:rPr>
                <w:color w:val="B02045"/>
                <w:sz w:val="21"/>
              </w:rPr>
              <w:t>log4j-cassandra</w:t>
            </w:r>
          </w:p>
        </w:tc>
        <w:tc>
          <w:tcPr>
            <w:tcW w:w="3325" w:type="dxa"/>
          </w:tcPr>
          <w:p w14:paraId="451A8D8A" w14:textId="77777777" w:rsidR="00A720EB" w:rsidRDefault="0030286B">
            <w:pPr>
              <w:pStyle w:val="TableParagraph"/>
              <w:spacing w:before="37"/>
              <w:rPr>
                <w:sz w:val="21"/>
              </w:rPr>
            </w:pPr>
            <w:r>
              <w:rPr>
                <w:color w:val="B02045"/>
                <w:sz w:val="21"/>
              </w:rPr>
              <w:t>2.13.3</w:t>
            </w:r>
          </w:p>
        </w:tc>
      </w:tr>
      <w:tr w:rsidR="00A720EB" w14:paraId="34A41D6C" w14:textId="77777777">
        <w:trPr>
          <w:trHeight w:val="368"/>
        </w:trPr>
        <w:tc>
          <w:tcPr>
            <w:tcW w:w="3325" w:type="dxa"/>
          </w:tcPr>
          <w:p w14:paraId="7FB4FE1E"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5D85B7FD" w14:textId="77777777" w:rsidR="00A720EB" w:rsidRDefault="0030286B">
            <w:pPr>
              <w:pStyle w:val="TableParagraph"/>
              <w:rPr>
                <w:sz w:val="21"/>
              </w:rPr>
            </w:pPr>
            <w:r>
              <w:rPr>
                <w:color w:val="B02045"/>
                <w:sz w:val="21"/>
              </w:rPr>
              <w:t>log4j-core</w:t>
            </w:r>
          </w:p>
        </w:tc>
        <w:tc>
          <w:tcPr>
            <w:tcW w:w="3325" w:type="dxa"/>
          </w:tcPr>
          <w:p w14:paraId="6DF03EBF" w14:textId="77777777" w:rsidR="00A720EB" w:rsidRDefault="0030286B">
            <w:pPr>
              <w:pStyle w:val="TableParagraph"/>
              <w:rPr>
                <w:sz w:val="21"/>
              </w:rPr>
            </w:pPr>
            <w:r>
              <w:rPr>
                <w:color w:val="B02045"/>
                <w:sz w:val="21"/>
              </w:rPr>
              <w:t>2.13.3</w:t>
            </w:r>
          </w:p>
        </w:tc>
      </w:tr>
      <w:tr w:rsidR="00A720EB" w14:paraId="7FF3AD28" w14:textId="77777777">
        <w:trPr>
          <w:trHeight w:val="368"/>
        </w:trPr>
        <w:tc>
          <w:tcPr>
            <w:tcW w:w="3325" w:type="dxa"/>
          </w:tcPr>
          <w:p w14:paraId="170991C7"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652A3517" w14:textId="77777777" w:rsidR="00A720EB" w:rsidRDefault="0030286B">
            <w:pPr>
              <w:pStyle w:val="TableParagraph"/>
              <w:rPr>
                <w:sz w:val="21"/>
              </w:rPr>
            </w:pPr>
            <w:r>
              <w:rPr>
                <w:color w:val="B02045"/>
                <w:sz w:val="21"/>
              </w:rPr>
              <w:t>log4j-couchdb</w:t>
            </w:r>
          </w:p>
        </w:tc>
        <w:tc>
          <w:tcPr>
            <w:tcW w:w="3325" w:type="dxa"/>
          </w:tcPr>
          <w:p w14:paraId="1F439D3B" w14:textId="77777777" w:rsidR="00A720EB" w:rsidRDefault="0030286B">
            <w:pPr>
              <w:pStyle w:val="TableParagraph"/>
              <w:rPr>
                <w:sz w:val="21"/>
              </w:rPr>
            </w:pPr>
            <w:r>
              <w:rPr>
                <w:color w:val="B02045"/>
                <w:sz w:val="21"/>
              </w:rPr>
              <w:t>2.13.3</w:t>
            </w:r>
          </w:p>
        </w:tc>
      </w:tr>
      <w:tr w:rsidR="00A720EB" w14:paraId="0854BC2B" w14:textId="77777777">
        <w:trPr>
          <w:trHeight w:val="368"/>
        </w:trPr>
        <w:tc>
          <w:tcPr>
            <w:tcW w:w="3325" w:type="dxa"/>
          </w:tcPr>
          <w:p w14:paraId="4246D7BC"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32CF190B" w14:textId="77777777" w:rsidR="00A720EB" w:rsidRDefault="0030286B">
            <w:pPr>
              <w:pStyle w:val="TableParagraph"/>
              <w:spacing w:before="37"/>
              <w:rPr>
                <w:sz w:val="21"/>
              </w:rPr>
            </w:pPr>
            <w:r>
              <w:rPr>
                <w:color w:val="B02045"/>
                <w:sz w:val="21"/>
              </w:rPr>
              <w:t>log4j-docker</w:t>
            </w:r>
          </w:p>
        </w:tc>
        <w:tc>
          <w:tcPr>
            <w:tcW w:w="3325" w:type="dxa"/>
          </w:tcPr>
          <w:p w14:paraId="4E009B5A" w14:textId="77777777" w:rsidR="00A720EB" w:rsidRDefault="0030286B">
            <w:pPr>
              <w:pStyle w:val="TableParagraph"/>
              <w:spacing w:before="37"/>
              <w:rPr>
                <w:sz w:val="21"/>
              </w:rPr>
            </w:pPr>
            <w:r>
              <w:rPr>
                <w:color w:val="B02045"/>
                <w:sz w:val="21"/>
              </w:rPr>
              <w:t>2.13.3</w:t>
            </w:r>
          </w:p>
        </w:tc>
      </w:tr>
      <w:tr w:rsidR="00A720EB" w14:paraId="1B67A3FC" w14:textId="77777777">
        <w:trPr>
          <w:trHeight w:val="368"/>
        </w:trPr>
        <w:tc>
          <w:tcPr>
            <w:tcW w:w="3325" w:type="dxa"/>
          </w:tcPr>
          <w:p w14:paraId="35C36363"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23C8956C" w14:textId="77777777" w:rsidR="00A720EB" w:rsidRDefault="0030286B">
            <w:pPr>
              <w:pStyle w:val="TableParagraph"/>
              <w:spacing w:before="37"/>
              <w:rPr>
                <w:sz w:val="21"/>
              </w:rPr>
            </w:pPr>
            <w:r>
              <w:rPr>
                <w:color w:val="B02045"/>
                <w:sz w:val="21"/>
              </w:rPr>
              <w:t>log4j-flume-ng</w:t>
            </w:r>
          </w:p>
        </w:tc>
        <w:tc>
          <w:tcPr>
            <w:tcW w:w="3325" w:type="dxa"/>
          </w:tcPr>
          <w:p w14:paraId="61191C82" w14:textId="77777777" w:rsidR="00A720EB" w:rsidRDefault="0030286B">
            <w:pPr>
              <w:pStyle w:val="TableParagraph"/>
              <w:spacing w:before="37"/>
              <w:rPr>
                <w:sz w:val="21"/>
              </w:rPr>
            </w:pPr>
            <w:r>
              <w:rPr>
                <w:color w:val="B02045"/>
                <w:sz w:val="21"/>
              </w:rPr>
              <w:t>2.13.3</w:t>
            </w:r>
          </w:p>
        </w:tc>
      </w:tr>
      <w:tr w:rsidR="00A720EB" w14:paraId="782D6E65" w14:textId="77777777">
        <w:trPr>
          <w:trHeight w:val="368"/>
        </w:trPr>
        <w:tc>
          <w:tcPr>
            <w:tcW w:w="3325" w:type="dxa"/>
          </w:tcPr>
          <w:p w14:paraId="720ABE94"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213E3146" w14:textId="77777777" w:rsidR="00A720EB" w:rsidRDefault="0030286B">
            <w:pPr>
              <w:pStyle w:val="TableParagraph"/>
              <w:spacing w:before="37"/>
              <w:rPr>
                <w:sz w:val="21"/>
              </w:rPr>
            </w:pPr>
            <w:r>
              <w:rPr>
                <w:color w:val="B02045"/>
                <w:sz w:val="21"/>
              </w:rPr>
              <w:t>log4j-iostreams</w:t>
            </w:r>
          </w:p>
        </w:tc>
        <w:tc>
          <w:tcPr>
            <w:tcW w:w="3325" w:type="dxa"/>
          </w:tcPr>
          <w:p w14:paraId="69F5077E" w14:textId="77777777" w:rsidR="00A720EB" w:rsidRDefault="0030286B">
            <w:pPr>
              <w:pStyle w:val="TableParagraph"/>
              <w:spacing w:before="37"/>
              <w:rPr>
                <w:sz w:val="21"/>
              </w:rPr>
            </w:pPr>
            <w:r>
              <w:rPr>
                <w:color w:val="B02045"/>
                <w:sz w:val="21"/>
              </w:rPr>
              <w:t>2.13.3</w:t>
            </w:r>
          </w:p>
        </w:tc>
      </w:tr>
      <w:tr w:rsidR="00A720EB" w14:paraId="7CB959B3" w14:textId="77777777">
        <w:trPr>
          <w:trHeight w:val="368"/>
        </w:trPr>
        <w:tc>
          <w:tcPr>
            <w:tcW w:w="3325" w:type="dxa"/>
          </w:tcPr>
          <w:p w14:paraId="01F1220A"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1AB38B2A" w14:textId="77777777" w:rsidR="00A720EB" w:rsidRDefault="0030286B">
            <w:pPr>
              <w:pStyle w:val="TableParagraph"/>
              <w:rPr>
                <w:sz w:val="21"/>
              </w:rPr>
            </w:pPr>
            <w:r>
              <w:rPr>
                <w:color w:val="B02045"/>
                <w:sz w:val="21"/>
              </w:rPr>
              <w:t>log4j-jcl</w:t>
            </w:r>
          </w:p>
        </w:tc>
        <w:tc>
          <w:tcPr>
            <w:tcW w:w="3325" w:type="dxa"/>
          </w:tcPr>
          <w:p w14:paraId="74EE8035" w14:textId="77777777" w:rsidR="00A720EB" w:rsidRDefault="0030286B">
            <w:pPr>
              <w:pStyle w:val="TableParagraph"/>
              <w:rPr>
                <w:sz w:val="21"/>
              </w:rPr>
            </w:pPr>
            <w:r>
              <w:rPr>
                <w:color w:val="B02045"/>
                <w:sz w:val="21"/>
              </w:rPr>
              <w:t>2.13.3</w:t>
            </w:r>
          </w:p>
        </w:tc>
      </w:tr>
      <w:tr w:rsidR="00A720EB" w14:paraId="31373C6A" w14:textId="77777777">
        <w:trPr>
          <w:trHeight w:val="368"/>
        </w:trPr>
        <w:tc>
          <w:tcPr>
            <w:tcW w:w="3325" w:type="dxa"/>
          </w:tcPr>
          <w:p w14:paraId="6DB33052"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0E51A337" w14:textId="77777777" w:rsidR="00A720EB" w:rsidRDefault="0030286B">
            <w:pPr>
              <w:pStyle w:val="TableParagraph"/>
              <w:rPr>
                <w:sz w:val="21"/>
              </w:rPr>
            </w:pPr>
            <w:r>
              <w:rPr>
                <w:color w:val="B02045"/>
                <w:sz w:val="21"/>
              </w:rPr>
              <w:t>log4j-jmx-gui</w:t>
            </w:r>
          </w:p>
        </w:tc>
        <w:tc>
          <w:tcPr>
            <w:tcW w:w="3325" w:type="dxa"/>
          </w:tcPr>
          <w:p w14:paraId="6CEF3E55" w14:textId="77777777" w:rsidR="00A720EB" w:rsidRDefault="0030286B">
            <w:pPr>
              <w:pStyle w:val="TableParagraph"/>
              <w:rPr>
                <w:sz w:val="21"/>
              </w:rPr>
            </w:pPr>
            <w:r>
              <w:rPr>
                <w:color w:val="B02045"/>
                <w:sz w:val="21"/>
              </w:rPr>
              <w:t>2.13.3</w:t>
            </w:r>
          </w:p>
        </w:tc>
      </w:tr>
      <w:tr w:rsidR="00A720EB" w14:paraId="283D4669" w14:textId="77777777">
        <w:trPr>
          <w:trHeight w:val="368"/>
        </w:trPr>
        <w:tc>
          <w:tcPr>
            <w:tcW w:w="3325" w:type="dxa"/>
          </w:tcPr>
          <w:p w14:paraId="2F1579F6"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65F4A8D5" w14:textId="77777777" w:rsidR="00A720EB" w:rsidRDefault="0030286B">
            <w:pPr>
              <w:pStyle w:val="TableParagraph"/>
              <w:spacing w:before="37"/>
              <w:rPr>
                <w:sz w:val="21"/>
              </w:rPr>
            </w:pPr>
            <w:r>
              <w:rPr>
                <w:color w:val="B02045"/>
                <w:sz w:val="21"/>
              </w:rPr>
              <w:t>log4j-jpa</w:t>
            </w:r>
          </w:p>
        </w:tc>
        <w:tc>
          <w:tcPr>
            <w:tcW w:w="3325" w:type="dxa"/>
          </w:tcPr>
          <w:p w14:paraId="75FDE4BE" w14:textId="77777777" w:rsidR="00A720EB" w:rsidRDefault="0030286B">
            <w:pPr>
              <w:pStyle w:val="TableParagraph"/>
              <w:spacing w:before="37"/>
              <w:rPr>
                <w:sz w:val="21"/>
              </w:rPr>
            </w:pPr>
            <w:r>
              <w:rPr>
                <w:color w:val="B02045"/>
                <w:sz w:val="21"/>
              </w:rPr>
              <w:t>2.13.3</w:t>
            </w:r>
          </w:p>
        </w:tc>
      </w:tr>
      <w:tr w:rsidR="00A720EB" w14:paraId="7D862278" w14:textId="77777777">
        <w:trPr>
          <w:trHeight w:val="368"/>
        </w:trPr>
        <w:tc>
          <w:tcPr>
            <w:tcW w:w="3325" w:type="dxa"/>
          </w:tcPr>
          <w:p w14:paraId="51C2E783"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3D385D5D" w14:textId="77777777" w:rsidR="00A720EB" w:rsidRDefault="0030286B">
            <w:pPr>
              <w:pStyle w:val="TableParagraph"/>
              <w:spacing w:before="37"/>
              <w:rPr>
                <w:sz w:val="21"/>
              </w:rPr>
            </w:pPr>
            <w:r>
              <w:rPr>
                <w:color w:val="B02045"/>
                <w:sz w:val="21"/>
              </w:rPr>
              <w:t>log4j-jpl</w:t>
            </w:r>
          </w:p>
        </w:tc>
        <w:tc>
          <w:tcPr>
            <w:tcW w:w="3325" w:type="dxa"/>
          </w:tcPr>
          <w:p w14:paraId="36628B48" w14:textId="77777777" w:rsidR="00A720EB" w:rsidRDefault="0030286B">
            <w:pPr>
              <w:pStyle w:val="TableParagraph"/>
              <w:spacing w:before="37"/>
              <w:rPr>
                <w:sz w:val="21"/>
              </w:rPr>
            </w:pPr>
            <w:r>
              <w:rPr>
                <w:color w:val="B02045"/>
                <w:sz w:val="21"/>
              </w:rPr>
              <w:t>2.13.3</w:t>
            </w:r>
          </w:p>
        </w:tc>
      </w:tr>
      <w:tr w:rsidR="00A720EB" w14:paraId="1A2C0057" w14:textId="77777777">
        <w:trPr>
          <w:trHeight w:val="368"/>
        </w:trPr>
        <w:tc>
          <w:tcPr>
            <w:tcW w:w="3325" w:type="dxa"/>
          </w:tcPr>
          <w:p w14:paraId="1DE54337"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7F5064ED" w14:textId="77777777" w:rsidR="00A720EB" w:rsidRDefault="0030286B">
            <w:pPr>
              <w:pStyle w:val="TableParagraph"/>
              <w:rPr>
                <w:sz w:val="21"/>
              </w:rPr>
            </w:pPr>
            <w:r>
              <w:rPr>
                <w:color w:val="B02045"/>
                <w:sz w:val="21"/>
              </w:rPr>
              <w:t>log4j-jul</w:t>
            </w:r>
          </w:p>
        </w:tc>
        <w:tc>
          <w:tcPr>
            <w:tcW w:w="3325" w:type="dxa"/>
          </w:tcPr>
          <w:p w14:paraId="4A3CD108" w14:textId="77777777" w:rsidR="00A720EB" w:rsidRDefault="0030286B">
            <w:pPr>
              <w:pStyle w:val="TableParagraph"/>
              <w:rPr>
                <w:sz w:val="21"/>
              </w:rPr>
            </w:pPr>
            <w:r>
              <w:rPr>
                <w:color w:val="B02045"/>
                <w:sz w:val="21"/>
              </w:rPr>
              <w:t>2.13.3</w:t>
            </w:r>
          </w:p>
        </w:tc>
      </w:tr>
      <w:tr w:rsidR="00A720EB" w14:paraId="7661151A" w14:textId="77777777">
        <w:trPr>
          <w:trHeight w:val="368"/>
        </w:trPr>
        <w:tc>
          <w:tcPr>
            <w:tcW w:w="3325" w:type="dxa"/>
          </w:tcPr>
          <w:p w14:paraId="2515DAAE"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52730D37" w14:textId="77777777" w:rsidR="00A720EB" w:rsidRDefault="0030286B">
            <w:pPr>
              <w:pStyle w:val="TableParagraph"/>
              <w:rPr>
                <w:sz w:val="21"/>
              </w:rPr>
            </w:pPr>
            <w:r>
              <w:rPr>
                <w:color w:val="B02045"/>
                <w:sz w:val="21"/>
              </w:rPr>
              <w:t>log4j-kubernetes</w:t>
            </w:r>
          </w:p>
        </w:tc>
        <w:tc>
          <w:tcPr>
            <w:tcW w:w="3325" w:type="dxa"/>
          </w:tcPr>
          <w:p w14:paraId="22CEE62D" w14:textId="77777777" w:rsidR="00A720EB" w:rsidRDefault="0030286B">
            <w:pPr>
              <w:pStyle w:val="TableParagraph"/>
              <w:rPr>
                <w:sz w:val="21"/>
              </w:rPr>
            </w:pPr>
            <w:r>
              <w:rPr>
                <w:color w:val="B02045"/>
                <w:sz w:val="21"/>
              </w:rPr>
              <w:t>2.13.3</w:t>
            </w:r>
          </w:p>
        </w:tc>
      </w:tr>
      <w:tr w:rsidR="00A720EB" w14:paraId="2F4ECF89" w14:textId="77777777">
        <w:trPr>
          <w:trHeight w:val="368"/>
        </w:trPr>
        <w:tc>
          <w:tcPr>
            <w:tcW w:w="3325" w:type="dxa"/>
          </w:tcPr>
          <w:p w14:paraId="05736E99"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3866A9A4" w14:textId="77777777" w:rsidR="00A720EB" w:rsidRDefault="0030286B">
            <w:pPr>
              <w:pStyle w:val="TableParagraph"/>
              <w:spacing w:before="37"/>
              <w:rPr>
                <w:sz w:val="21"/>
              </w:rPr>
            </w:pPr>
            <w:r>
              <w:rPr>
                <w:color w:val="B02045"/>
                <w:sz w:val="21"/>
              </w:rPr>
              <w:t>log4j-liquibase</w:t>
            </w:r>
          </w:p>
        </w:tc>
        <w:tc>
          <w:tcPr>
            <w:tcW w:w="3325" w:type="dxa"/>
          </w:tcPr>
          <w:p w14:paraId="5586CC0C" w14:textId="77777777" w:rsidR="00A720EB" w:rsidRDefault="0030286B">
            <w:pPr>
              <w:pStyle w:val="TableParagraph"/>
              <w:spacing w:before="37"/>
              <w:rPr>
                <w:sz w:val="21"/>
              </w:rPr>
            </w:pPr>
            <w:r>
              <w:rPr>
                <w:color w:val="B02045"/>
                <w:sz w:val="21"/>
              </w:rPr>
              <w:t>2.13.3</w:t>
            </w:r>
          </w:p>
        </w:tc>
      </w:tr>
      <w:tr w:rsidR="00A720EB" w14:paraId="337BFEE3" w14:textId="77777777">
        <w:trPr>
          <w:trHeight w:val="368"/>
        </w:trPr>
        <w:tc>
          <w:tcPr>
            <w:tcW w:w="3325" w:type="dxa"/>
          </w:tcPr>
          <w:p w14:paraId="7D7C992D"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300D4E75" w14:textId="77777777" w:rsidR="00A720EB" w:rsidRDefault="0030286B">
            <w:pPr>
              <w:pStyle w:val="TableParagraph"/>
              <w:spacing w:before="37"/>
              <w:rPr>
                <w:sz w:val="21"/>
              </w:rPr>
            </w:pPr>
            <w:r>
              <w:rPr>
                <w:color w:val="B02045"/>
                <w:sz w:val="21"/>
              </w:rPr>
              <w:t>log4j-mongodb2</w:t>
            </w:r>
          </w:p>
        </w:tc>
        <w:tc>
          <w:tcPr>
            <w:tcW w:w="3325" w:type="dxa"/>
          </w:tcPr>
          <w:p w14:paraId="0987A2C4" w14:textId="77777777" w:rsidR="00A720EB" w:rsidRDefault="0030286B">
            <w:pPr>
              <w:pStyle w:val="TableParagraph"/>
              <w:spacing w:before="37"/>
              <w:rPr>
                <w:sz w:val="21"/>
              </w:rPr>
            </w:pPr>
            <w:r>
              <w:rPr>
                <w:color w:val="B02045"/>
                <w:sz w:val="21"/>
              </w:rPr>
              <w:t>2.13.3</w:t>
            </w:r>
          </w:p>
        </w:tc>
      </w:tr>
      <w:tr w:rsidR="00A720EB" w14:paraId="0C26F96C" w14:textId="77777777">
        <w:trPr>
          <w:trHeight w:val="368"/>
        </w:trPr>
        <w:tc>
          <w:tcPr>
            <w:tcW w:w="3325" w:type="dxa"/>
          </w:tcPr>
          <w:p w14:paraId="36EE2175"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68865AEC" w14:textId="77777777" w:rsidR="00A720EB" w:rsidRDefault="0030286B">
            <w:pPr>
              <w:pStyle w:val="TableParagraph"/>
              <w:rPr>
                <w:sz w:val="21"/>
              </w:rPr>
            </w:pPr>
            <w:r>
              <w:rPr>
                <w:color w:val="B02045"/>
                <w:sz w:val="21"/>
              </w:rPr>
              <w:t>log4j-mongodb3</w:t>
            </w:r>
          </w:p>
        </w:tc>
        <w:tc>
          <w:tcPr>
            <w:tcW w:w="3325" w:type="dxa"/>
          </w:tcPr>
          <w:p w14:paraId="055AEC46" w14:textId="77777777" w:rsidR="00A720EB" w:rsidRDefault="0030286B">
            <w:pPr>
              <w:pStyle w:val="TableParagraph"/>
              <w:rPr>
                <w:sz w:val="21"/>
              </w:rPr>
            </w:pPr>
            <w:r>
              <w:rPr>
                <w:color w:val="B02045"/>
                <w:sz w:val="21"/>
              </w:rPr>
              <w:t>2.13.3</w:t>
            </w:r>
          </w:p>
        </w:tc>
      </w:tr>
      <w:tr w:rsidR="00A720EB" w14:paraId="59598EBA" w14:textId="77777777">
        <w:trPr>
          <w:trHeight w:val="368"/>
        </w:trPr>
        <w:tc>
          <w:tcPr>
            <w:tcW w:w="3325" w:type="dxa"/>
          </w:tcPr>
          <w:p w14:paraId="4E3B5C5B"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5652EAC5" w14:textId="77777777" w:rsidR="00A720EB" w:rsidRDefault="0030286B">
            <w:pPr>
              <w:pStyle w:val="TableParagraph"/>
              <w:spacing w:before="37"/>
              <w:rPr>
                <w:sz w:val="21"/>
              </w:rPr>
            </w:pPr>
            <w:r>
              <w:rPr>
                <w:color w:val="B02045"/>
                <w:sz w:val="21"/>
              </w:rPr>
              <w:t>log4j-slf4j-impl</w:t>
            </w:r>
          </w:p>
        </w:tc>
        <w:tc>
          <w:tcPr>
            <w:tcW w:w="3325" w:type="dxa"/>
          </w:tcPr>
          <w:p w14:paraId="46056DFE" w14:textId="77777777" w:rsidR="00A720EB" w:rsidRDefault="0030286B">
            <w:pPr>
              <w:pStyle w:val="TableParagraph"/>
              <w:spacing w:before="37"/>
              <w:rPr>
                <w:sz w:val="21"/>
              </w:rPr>
            </w:pPr>
            <w:r>
              <w:rPr>
                <w:color w:val="B02045"/>
                <w:sz w:val="21"/>
              </w:rPr>
              <w:t>2.13.3</w:t>
            </w:r>
          </w:p>
        </w:tc>
      </w:tr>
      <w:tr w:rsidR="00A720EB" w14:paraId="43AB6A91" w14:textId="77777777">
        <w:trPr>
          <w:trHeight w:val="368"/>
        </w:trPr>
        <w:tc>
          <w:tcPr>
            <w:tcW w:w="3325" w:type="dxa"/>
          </w:tcPr>
          <w:p w14:paraId="5BC54D29"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3B2E04B2" w14:textId="77777777" w:rsidR="00A720EB" w:rsidRDefault="0030286B">
            <w:pPr>
              <w:pStyle w:val="TableParagraph"/>
              <w:rPr>
                <w:sz w:val="21"/>
              </w:rPr>
            </w:pPr>
            <w:r>
              <w:rPr>
                <w:color w:val="B02045"/>
                <w:sz w:val="21"/>
              </w:rPr>
              <w:t>log4j-slf4j18-impl</w:t>
            </w:r>
          </w:p>
        </w:tc>
        <w:tc>
          <w:tcPr>
            <w:tcW w:w="3325" w:type="dxa"/>
          </w:tcPr>
          <w:p w14:paraId="6F770298" w14:textId="77777777" w:rsidR="00A720EB" w:rsidRDefault="0030286B">
            <w:pPr>
              <w:pStyle w:val="TableParagraph"/>
              <w:rPr>
                <w:sz w:val="21"/>
              </w:rPr>
            </w:pPr>
            <w:r>
              <w:rPr>
                <w:color w:val="B02045"/>
                <w:sz w:val="21"/>
              </w:rPr>
              <w:t>2.13.3</w:t>
            </w:r>
          </w:p>
        </w:tc>
      </w:tr>
      <w:tr w:rsidR="00A720EB" w14:paraId="04E374BC" w14:textId="77777777">
        <w:trPr>
          <w:trHeight w:val="627"/>
        </w:trPr>
        <w:tc>
          <w:tcPr>
            <w:tcW w:w="3325" w:type="dxa"/>
          </w:tcPr>
          <w:p w14:paraId="22242581"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5FBF7DC2" w14:textId="77777777" w:rsidR="00A720EB" w:rsidRDefault="0030286B">
            <w:pPr>
              <w:pStyle w:val="TableParagraph"/>
              <w:spacing w:before="46" w:line="230" w:lineRule="auto"/>
              <w:ind w:right="505"/>
              <w:rPr>
                <w:sz w:val="21"/>
              </w:rPr>
            </w:pPr>
            <w:r>
              <w:rPr>
                <w:color w:val="B02045"/>
                <w:sz w:val="21"/>
              </w:rPr>
              <w:t>log4j-spring-cloud-config- client</w:t>
            </w:r>
          </w:p>
        </w:tc>
        <w:tc>
          <w:tcPr>
            <w:tcW w:w="3325" w:type="dxa"/>
          </w:tcPr>
          <w:p w14:paraId="504868A5" w14:textId="77777777" w:rsidR="00A720EB" w:rsidRDefault="0030286B">
            <w:pPr>
              <w:pStyle w:val="TableParagraph"/>
              <w:spacing w:before="37"/>
              <w:rPr>
                <w:sz w:val="21"/>
              </w:rPr>
            </w:pPr>
            <w:r>
              <w:rPr>
                <w:color w:val="B02045"/>
                <w:sz w:val="21"/>
              </w:rPr>
              <w:t>2.13.3</w:t>
            </w:r>
          </w:p>
        </w:tc>
      </w:tr>
      <w:tr w:rsidR="00A720EB" w14:paraId="5417DADB" w14:textId="77777777">
        <w:trPr>
          <w:trHeight w:val="368"/>
        </w:trPr>
        <w:tc>
          <w:tcPr>
            <w:tcW w:w="3325" w:type="dxa"/>
          </w:tcPr>
          <w:p w14:paraId="25020E44"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.logging.log4j</w:t>
            </w:r>
          </w:p>
        </w:tc>
        <w:tc>
          <w:tcPr>
            <w:tcW w:w="3325" w:type="dxa"/>
          </w:tcPr>
          <w:p w14:paraId="5AEA027F" w14:textId="77777777" w:rsidR="00A720EB" w:rsidRDefault="0030286B">
            <w:pPr>
              <w:pStyle w:val="TableParagraph"/>
              <w:spacing w:before="37"/>
              <w:rPr>
                <w:sz w:val="21"/>
              </w:rPr>
            </w:pPr>
            <w:r>
              <w:rPr>
                <w:color w:val="B02045"/>
                <w:sz w:val="21"/>
              </w:rPr>
              <w:t>log4j-taglib</w:t>
            </w:r>
          </w:p>
        </w:tc>
        <w:tc>
          <w:tcPr>
            <w:tcW w:w="3325" w:type="dxa"/>
          </w:tcPr>
          <w:p w14:paraId="5E6E9A07" w14:textId="77777777" w:rsidR="00A720EB" w:rsidRDefault="0030286B">
            <w:pPr>
              <w:pStyle w:val="TableParagraph"/>
              <w:spacing w:before="37"/>
              <w:rPr>
                <w:sz w:val="21"/>
              </w:rPr>
            </w:pPr>
            <w:r>
              <w:rPr>
                <w:color w:val="B02045"/>
                <w:sz w:val="21"/>
              </w:rPr>
              <w:t>2.13.3</w:t>
            </w:r>
          </w:p>
        </w:tc>
      </w:tr>
      <w:tr w:rsidR="00A720EB" w14:paraId="27D727E2" w14:textId="77777777">
        <w:trPr>
          <w:trHeight w:val="368"/>
        </w:trPr>
        <w:tc>
          <w:tcPr>
            <w:tcW w:w="3325" w:type="dxa"/>
          </w:tcPr>
          <w:p w14:paraId="3233D502"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097F7237" w14:textId="77777777" w:rsidR="00A720EB" w:rsidRDefault="0030286B">
            <w:pPr>
              <w:pStyle w:val="TableParagraph"/>
              <w:rPr>
                <w:sz w:val="21"/>
              </w:rPr>
            </w:pPr>
            <w:r>
              <w:rPr>
                <w:color w:val="B02045"/>
                <w:sz w:val="21"/>
              </w:rPr>
              <w:t>log4j-to-slf4j</w:t>
            </w:r>
          </w:p>
        </w:tc>
        <w:tc>
          <w:tcPr>
            <w:tcW w:w="3325" w:type="dxa"/>
          </w:tcPr>
          <w:p w14:paraId="794D5C34" w14:textId="77777777" w:rsidR="00A720EB" w:rsidRDefault="0030286B">
            <w:pPr>
              <w:pStyle w:val="TableParagraph"/>
              <w:rPr>
                <w:sz w:val="21"/>
              </w:rPr>
            </w:pPr>
            <w:r>
              <w:rPr>
                <w:color w:val="B02045"/>
                <w:sz w:val="21"/>
              </w:rPr>
              <w:t>2.13.3</w:t>
            </w:r>
          </w:p>
        </w:tc>
      </w:tr>
      <w:tr w:rsidR="00A720EB" w14:paraId="2BA82963" w14:textId="77777777">
        <w:trPr>
          <w:trHeight w:val="368"/>
        </w:trPr>
        <w:tc>
          <w:tcPr>
            <w:tcW w:w="3325" w:type="dxa"/>
          </w:tcPr>
          <w:p w14:paraId="0421DFA6" w14:textId="77777777" w:rsidR="00A720EB" w:rsidRDefault="0030286B">
            <w:pPr>
              <w:pStyle w:val="TableParagraph"/>
              <w:rPr>
                <w:sz w:val="21"/>
              </w:rPr>
            </w:pPr>
            <w:proofErr w:type="gramStart"/>
            <w:r>
              <w:rPr>
                <w:color w:val="B02045"/>
                <w:sz w:val="21"/>
              </w:rPr>
              <w:t>org.apache</w:t>
            </w:r>
            <w:proofErr w:type="gramEnd"/>
            <w:r>
              <w:rPr>
                <w:color w:val="B02045"/>
                <w:sz w:val="21"/>
              </w:rPr>
              <w:t>.logging.log4j</w:t>
            </w:r>
          </w:p>
        </w:tc>
        <w:tc>
          <w:tcPr>
            <w:tcW w:w="3325" w:type="dxa"/>
          </w:tcPr>
          <w:p w14:paraId="228D8EEA" w14:textId="77777777" w:rsidR="00A720EB" w:rsidRDefault="0030286B">
            <w:pPr>
              <w:pStyle w:val="TableParagraph"/>
              <w:rPr>
                <w:sz w:val="21"/>
              </w:rPr>
            </w:pPr>
            <w:r>
              <w:rPr>
                <w:color w:val="B02045"/>
                <w:sz w:val="21"/>
              </w:rPr>
              <w:t>log4j-web</w:t>
            </w:r>
          </w:p>
        </w:tc>
        <w:tc>
          <w:tcPr>
            <w:tcW w:w="3325" w:type="dxa"/>
          </w:tcPr>
          <w:p w14:paraId="2BB075E9" w14:textId="77777777" w:rsidR="00A720EB" w:rsidRDefault="0030286B">
            <w:pPr>
              <w:pStyle w:val="TableParagraph"/>
              <w:rPr>
                <w:sz w:val="21"/>
              </w:rPr>
            </w:pPr>
            <w:r>
              <w:rPr>
                <w:color w:val="B02045"/>
                <w:sz w:val="21"/>
              </w:rPr>
              <w:t>2.13.3</w:t>
            </w:r>
          </w:p>
        </w:tc>
      </w:tr>
      <w:tr w:rsidR="00A720EB" w14:paraId="5094314D" w14:textId="77777777">
        <w:trPr>
          <w:trHeight w:val="368"/>
        </w:trPr>
        <w:tc>
          <w:tcPr>
            <w:tcW w:w="3325" w:type="dxa"/>
          </w:tcPr>
          <w:p w14:paraId="6D488837" w14:textId="77777777" w:rsidR="00A720EB" w:rsidRDefault="0030286B">
            <w:pPr>
              <w:pStyle w:val="TableParagraph"/>
              <w:rPr>
                <w:sz w:val="21"/>
              </w:rPr>
            </w:pPr>
            <w:proofErr w:type="gramStart"/>
            <w:r>
              <w:rPr>
                <w:color w:val="B02045"/>
                <w:sz w:val="21"/>
              </w:rPr>
              <w:t>org.apache</w:t>
            </w:r>
            <w:proofErr w:type="gramEnd"/>
            <w:r>
              <w:rPr>
                <w:color w:val="B02045"/>
                <w:sz w:val="21"/>
              </w:rPr>
              <w:t>.solr</w:t>
            </w:r>
          </w:p>
        </w:tc>
        <w:tc>
          <w:tcPr>
            <w:tcW w:w="3325" w:type="dxa"/>
          </w:tcPr>
          <w:p w14:paraId="129E8A3D" w14:textId="77777777" w:rsidR="00A720EB" w:rsidRDefault="0030286B">
            <w:pPr>
              <w:pStyle w:val="TableParagraph"/>
              <w:rPr>
                <w:sz w:val="21"/>
              </w:rPr>
            </w:pPr>
            <w:r>
              <w:rPr>
                <w:color w:val="B02045"/>
                <w:sz w:val="21"/>
              </w:rPr>
              <w:t>solr-analysis-extras</w:t>
            </w:r>
          </w:p>
        </w:tc>
        <w:tc>
          <w:tcPr>
            <w:tcW w:w="3325" w:type="dxa"/>
          </w:tcPr>
          <w:p w14:paraId="6729FB22" w14:textId="77777777" w:rsidR="00A720EB" w:rsidRDefault="0030286B">
            <w:pPr>
              <w:pStyle w:val="TableParagraph"/>
              <w:rPr>
                <w:sz w:val="21"/>
              </w:rPr>
            </w:pPr>
            <w:r>
              <w:rPr>
                <w:color w:val="B02045"/>
                <w:sz w:val="21"/>
              </w:rPr>
              <w:t>8.5.2</w:t>
            </w:r>
          </w:p>
        </w:tc>
      </w:tr>
      <w:tr w:rsidR="00A720EB" w14:paraId="6A52FF09" w14:textId="77777777">
        <w:trPr>
          <w:trHeight w:val="368"/>
        </w:trPr>
        <w:tc>
          <w:tcPr>
            <w:tcW w:w="3325" w:type="dxa"/>
          </w:tcPr>
          <w:p w14:paraId="60342AAA" w14:textId="77777777" w:rsidR="00A720EB" w:rsidRDefault="0030286B">
            <w:pPr>
              <w:pStyle w:val="TableParagraph"/>
              <w:rPr>
                <w:sz w:val="21"/>
              </w:rPr>
            </w:pPr>
            <w:proofErr w:type="gramStart"/>
            <w:r>
              <w:rPr>
                <w:color w:val="B02045"/>
                <w:sz w:val="21"/>
              </w:rPr>
              <w:t>org.apache</w:t>
            </w:r>
            <w:proofErr w:type="gramEnd"/>
            <w:r>
              <w:rPr>
                <w:color w:val="B02045"/>
                <w:sz w:val="21"/>
              </w:rPr>
              <w:t>.solr</w:t>
            </w:r>
          </w:p>
        </w:tc>
        <w:tc>
          <w:tcPr>
            <w:tcW w:w="3325" w:type="dxa"/>
          </w:tcPr>
          <w:p w14:paraId="4C55B7D7" w14:textId="77777777" w:rsidR="00A720EB" w:rsidRDefault="0030286B">
            <w:pPr>
              <w:pStyle w:val="TableParagraph"/>
              <w:rPr>
                <w:sz w:val="21"/>
              </w:rPr>
            </w:pPr>
            <w:r>
              <w:rPr>
                <w:color w:val="B02045"/>
                <w:sz w:val="21"/>
              </w:rPr>
              <w:t>solr-analytics</w:t>
            </w:r>
          </w:p>
        </w:tc>
        <w:tc>
          <w:tcPr>
            <w:tcW w:w="3325" w:type="dxa"/>
          </w:tcPr>
          <w:p w14:paraId="0F7A8528" w14:textId="77777777" w:rsidR="00A720EB" w:rsidRDefault="0030286B">
            <w:pPr>
              <w:pStyle w:val="TableParagraph"/>
              <w:rPr>
                <w:sz w:val="21"/>
              </w:rPr>
            </w:pPr>
            <w:r>
              <w:rPr>
                <w:color w:val="B02045"/>
                <w:sz w:val="21"/>
              </w:rPr>
              <w:t>8.5.2</w:t>
            </w:r>
          </w:p>
        </w:tc>
      </w:tr>
      <w:tr w:rsidR="00A720EB" w14:paraId="0642FAC7" w14:textId="77777777">
        <w:trPr>
          <w:trHeight w:val="368"/>
        </w:trPr>
        <w:tc>
          <w:tcPr>
            <w:tcW w:w="3325" w:type="dxa"/>
          </w:tcPr>
          <w:p w14:paraId="0D0EDC42" w14:textId="77777777" w:rsidR="00A720EB" w:rsidRDefault="0030286B">
            <w:pPr>
              <w:pStyle w:val="TableParagraph"/>
              <w:rPr>
                <w:sz w:val="21"/>
              </w:rPr>
            </w:pPr>
            <w:proofErr w:type="gramStart"/>
            <w:r>
              <w:rPr>
                <w:color w:val="B02045"/>
                <w:sz w:val="21"/>
              </w:rPr>
              <w:t>org.apache</w:t>
            </w:r>
            <w:proofErr w:type="gramEnd"/>
            <w:r>
              <w:rPr>
                <w:color w:val="B02045"/>
                <w:sz w:val="21"/>
              </w:rPr>
              <w:t>.solr</w:t>
            </w:r>
          </w:p>
        </w:tc>
        <w:tc>
          <w:tcPr>
            <w:tcW w:w="3325" w:type="dxa"/>
          </w:tcPr>
          <w:p w14:paraId="0E24773E" w14:textId="77777777" w:rsidR="00A720EB" w:rsidRDefault="0030286B">
            <w:pPr>
              <w:pStyle w:val="TableParagraph"/>
              <w:rPr>
                <w:sz w:val="21"/>
              </w:rPr>
            </w:pPr>
            <w:r>
              <w:rPr>
                <w:color w:val="B02045"/>
                <w:sz w:val="21"/>
              </w:rPr>
              <w:t>solr-cell</w:t>
            </w:r>
          </w:p>
        </w:tc>
        <w:tc>
          <w:tcPr>
            <w:tcW w:w="3325" w:type="dxa"/>
          </w:tcPr>
          <w:p w14:paraId="27FF3FE5" w14:textId="77777777" w:rsidR="00A720EB" w:rsidRDefault="0030286B">
            <w:pPr>
              <w:pStyle w:val="TableParagraph"/>
              <w:rPr>
                <w:sz w:val="21"/>
              </w:rPr>
            </w:pPr>
            <w:r>
              <w:rPr>
                <w:color w:val="B02045"/>
                <w:sz w:val="21"/>
              </w:rPr>
              <w:t>8.5.2</w:t>
            </w:r>
          </w:p>
        </w:tc>
      </w:tr>
    </w:tbl>
    <w:p w14:paraId="529B5BD0"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4A84A79B" w14:textId="77777777">
        <w:trPr>
          <w:trHeight w:val="415"/>
        </w:trPr>
        <w:tc>
          <w:tcPr>
            <w:tcW w:w="3325" w:type="dxa"/>
            <w:tcBorders>
              <w:bottom w:val="single" w:sz="12" w:space="0" w:color="DDDDDD"/>
            </w:tcBorders>
          </w:tcPr>
          <w:p w14:paraId="2D1E2B42"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796E3DA4"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153FC566"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03225725" w14:textId="77777777">
        <w:trPr>
          <w:trHeight w:val="358"/>
        </w:trPr>
        <w:tc>
          <w:tcPr>
            <w:tcW w:w="3325" w:type="dxa"/>
            <w:tcBorders>
              <w:top w:val="single" w:sz="12" w:space="0" w:color="DDDDDD"/>
            </w:tcBorders>
          </w:tcPr>
          <w:p w14:paraId="5E1EBF12" w14:textId="77777777" w:rsidR="00A720EB" w:rsidRDefault="0030286B">
            <w:pPr>
              <w:pStyle w:val="TableParagraph"/>
              <w:spacing w:before="27"/>
              <w:rPr>
                <w:sz w:val="21"/>
              </w:rPr>
            </w:pPr>
            <w:proofErr w:type="gramStart"/>
            <w:r>
              <w:rPr>
                <w:color w:val="B02045"/>
                <w:sz w:val="21"/>
              </w:rPr>
              <w:t>org.apache</w:t>
            </w:r>
            <w:proofErr w:type="gramEnd"/>
            <w:r>
              <w:rPr>
                <w:color w:val="B02045"/>
                <w:sz w:val="21"/>
              </w:rPr>
              <w:t>.solr</w:t>
            </w:r>
          </w:p>
        </w:tc>
        <w:tc>
          <w:tcPr>
            <w:tcW w:w="3325" w:type="dxa"/>
            <w:tcBorders>
              <w:top w:val="single" w:sz="12" w:space="0" w:color="DDDDDD"/>
            </w:tcBorders>
          </w:tcPr>
          <w:p w14:paraId="5C95069B" w14:textId="77777777" w:rsidR="00A720EB" w:rsidRDefault="0030286B">
            <w:pPr>
              <w:pStyle w:val="TableParagraph"/>
              <w:spacing w:before="27"/>
              <w:rPr>
                <w:sz w:val="21"/>
              </w:rPr>
            </w:pPr>
            <w:r>
              <w:rPr>
                <w:color w:val="B02045"/>
                <w:sz w:val="21"/>
              </w:rPr>
              <w:t>solr-clustering</w:t>
            </w:r>
          </w:p>
        </w:tc>
        <w:tc>
          <w:tcPr>
            <w:tcW w:w="3325" w:type="dxa"/>
            <w:tcBorders>
              <w:top w:val="single" w:sz="12" w:space="0" w:color="DDDDDD"/>
            </w:tcBorders>
          </w:tcPr>
          <w:p w14:paraId="5C2B45D1" w14:textId="77777777" w:rsidR="00A720EB" w:rsidRDefault="0030286B">
            <w:pPr>
              <w:pStyle w:val="TableParagraph"/>
              <w:spacing w:before="27"/>
              <w:rPr>
                <w:sz w:val="21"/>
              </w:rPr>
            </w:pPr>
            <w:r>
              <w:rPr>
                <w:color w:val="B02045"/>
                <w:sz w:val="21"/>
              </w:rPr>
              <w:t>8.5.2</w:t>
            </w:r>
          </w:p>
        </w:tc>
      </w:tr>
      <w:tr w:rsidR="00A720EB" w14:paraId="70D560E5" w14:textId="77777777">
        <w:trPr>
          <w:trHeight w:val="368"/>
        </w:trPr>
        <w:tc>
          <w:tcPr>
            <w:tcW w:w="3325" w:type="dxa"/>
          </w:tcPr>
          <w:p w14:paraId="5775CF5A"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.solr</w:t>
            </w:r>
          </w:p>
        </w:tc>
        <w:tc>
          <w:tcPr>
            <w:tcW w:w="3325" w:type="dxa"/>
          </w:tcPr>
          <w:p w14:paraId="5DA09047" w14:textId="77777777" w:rsidR="00A720EB" w:rsidRDefault="0030286B">
            <w:pPr>
              <w:pStyle w:val="TableParagraph"/>
              <w:spacing w:before="37"/>
              <w:rPr>
                <w:sz w:val="21"/>
              </w:rPr>
            </w:pPr>
            <w:r>
              <w:rPr>
                <w:color w:val="B02045"/>
                <w:sz w:val="21"/>
              </w:rPr>
              <w:t>solr-core</w:t>
            </w:r>
          </w:p>
        </w:tc>
        <w:tc>
          <w:tcPr>
            <w:tcW w:w="3325" w:type="dxa"/>
          </w:tcPr>
          <w:p w14:paraId="73CBE9CD" w14:textId="77777777" w:rsidR="00A720EB" w:rsidRDefault="0030286B">
            <w:pPr>
              <w:pStyle w:val="TableParagraph"/>
              <w:spacing w:before="37"/>
              <w:rPr>
                <w:sz w:val="21"/>
              </w:rPr>
            </w:pPr>
            <w:r>
              <w:rPr>
                <w:color w:val="B02045"/>
                <w:sz w:val="21"/>
              </w:rPr>
              <w:t>8.5.2</w:t>
            </w:r>
          </w:p>
        </w:tc>
      </w:tr>
      <w:tr w:rsidR="00A720EB" w14:paraId="6D399B19" w14:textId="77777777">
        <w:trPr>
          <w:trHeight w:val="368"/>
        </w:trPr>
        <w:tc>
          <w:tcPr>
            <w:tcW w:w="3325" w:type="dxa"/>
          </w:tcPr>
          <w:p w14:paraId="44F3221C"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.solr</w:t>
            </w:r>
          </w:p>
        </w:tc>
        <w:tc>
          <w:tcPr>
            <w:tcW w:w="3325" w:type="dxa"/>
          </w:tcPr>
          <w:p w14:paraId="3E705BD2" w14:textId="77777777" w:rsidR="00A720EB" w:rsidRDefault="0030286B">
            <w:pPr>
              <w:pStyle w:val="TableParagraph"/>
              <w:spacing w:before="37"/>
              <w:rPr>
                <w:sz w:val="21"/>
              </w:rPr>
            </w:pPr>
            <w:r>
              <w:rPr>
                <w:color w:val="B02045"/>
                <w:sz w:val="21"/>
              </w:rPr>
              <w:t>solr-dataimporthandler</w:t>
            </w:r>
          </w:p>
        </w:tc>
        <w:tc>
          <w:tcPr>
            <w:tcW w:w="3325" w:type="dxa"/>
          </w:tcPr>
          <w:p w14:paraId="777F6459" w14:textId="77777777" w:rsidR="00A720EB" w:rsidRDefault="0030286B">
            <w:pPr>
              <w:pStyle w:val="TableParagraph"/>
              <w:spacing w:before="37"/>
              <w:rPr>
                <w:sz w:val="21"/>
              </w:rPr>
            </w:pPr>
            <w:r>
              <w:rPr>
                <w:color w:val="B02045"/>
                <w:sz w:val="21"/>
              </w:rPr>
              <w:t>8.5.2</w:t>
            </w:r>
          </w:p>
        </w:tc>
      </w:tr>
      <w:tr w:rsidR="00A720EB" w14:paraId="09CB13A1" w14:textId="77777777">
        <w:trPr>
          <w:trHeight w:val="368"/>
        </w:trPr>
        <w:tc>
          <w:tcPr>
            <w:tcW w:w="3325" w:type="dxa"/>
          </w:tcPr>
          <w:p w14:paraId="55FFF628" w14:textId="77777777" w:rsidR="00A720EB" w:rsidRDefault="0030286B">
            <w:pPr>
              <w:pStyle w:val="TableParagraph"/>
              <w:rPr>
                <w:sz w:val="21"/>
              </w:rPr>
            </w:pPr>
            <w:proofErr w:type="gramStart"/>
            <w:r>
              <w:rPr>
                <w:color w:val="B02045"/>
                <w:sz w:val="21"/>
              </w:rPr>
              <w:t>org.apache</w:t>
            </w:r>
            <w:proofErr w:type="gramEnd"/>
            <w:r>
              <w:rPr>
                <w:color w:val="B02045"/>
                <w:sz w:val="21"/>
              </w:rPr>
              <w:t>.solr</w:t>
            </w:r>
          </w:p>
        </w:tc>
        <w:tc>
          <w:tcPr>
            <w:tcW w:w="3325" w:type="dxa"/>
          </w:tcPr>
          <w:p w14:paraId="579341E8" w14:textId="77777777" w:rsidR="00A720EB" w:rsidRDefault="0030286B">
            <w:pPr>
              <w:pStyle w:val="TableParagraph"/>
              <w:rPr>
                <w:sz w:val="21"/>
              </w:rPr>
            </w:pPr>
            <w:r>
              <w:rPr>
                <w:color w:val="B02045"/>
                <w:sz w:val="21"/>
              </w:rPr>
              <w:t>solr-dataimporthandler-extras</w:t>
            </w:r>
          </w:p>
        </w:tc>
        <w:tc>
          <w:tcPr>
            <w:tcW w:w="3325" w:type="dxa"/>
          </w:tcPr>
          <w:p w14:paraId="47545844" w14:textId="77777777" w:rsidR="00A720EB" w:rsidRDefault="0030286B">
            <w:pPr>
              <w:pStyle w:val="TableParagraph"/>
              <w:rPr>
                <w:sz w:val="21"/>
              </w:rPr>
            </w:pPr>
            <w:r>
              <w:rPr>
                <w:color w:val="B02045"/>
                <w:sz w:val="21"/>
              </w:rPr>
              <w:t>8.5.2</w:t>
            </w:r>
          </w:p>
        </w:tc>
      </w:tr>
      <w:tr w:rsidR="00A720EB" w14:paraId="53371F4F" w14:textId="77777777">
        <w:trPr>
          <w:trHeight w:val="368"/>
        </w:trPr>
        <w:tc>
          <w:tcPr>
            <w:tcW w:w="3325" w:type="dxa"/>
          </w:tcPr>
          <w:p w14:paraId="4EBCC2AE" w14:textId="77777777" w:rsidR="00A720EB" w:rsidRDefault="0030286B">
            <w:pPr>
              <w:pStyle w:val="TableParagraph"/>
              <w:rPr>
                <w:sz w:val="21"/>
              </w:rPr>
            </w:pPr>
            <w:proofErr w:type="gramStart"/>
            <w:r>
              <w:rPr>
                <w:color w:val="B02045"/>
                <w:sz w:val="21"/>
              </w:rPr>
              <w:t>org.apache</w:t>
            </w:r>
            <w:proofErr w:type="gramEnd"/>
            <w:r>
              <w:rPr>
                <w:color w:val="B02045"/>
                <w:sz w:val="21"/>
              </w:rPr>
              <w:t>.solr</w:t>
            </w:r>
          </w:p>
        </w:tc>
        <w:tc>
          <w:tcPr>
            <w:tcW w:w="3325" w:type="dxa"/>
          </w:tcPr>
          <w:p w14:paraId="3A857A15" w14:textId="77777777" w:rsidR="00A720EB" w:rsidRDefault="0030286B">
            <w:pPr>
              <w:pStyle w:val="TableParagraph"/>
              <w:rPr>
                <w:sz w:val="21"/>
              </w:rPr>
            </w:pPr>
            <w:r>
              <w:rPr>
                <w:color w:val="B02045"/>
                <w:sz w:val="21"/>
              </w:rPr>
              <w:t>solr-langid</w:t>
            </w:r>
          </w:p>
        </w:tc>
        <w:tc>
          <w:tcPr>
            <w:tcW w:w="3325" w:type="dxa"/>
          </w:tcPr>
          <w:p w14:paraId="2DA94E8C" w14:textId="77777777" w:rsidR="00A720EB" w:rsidRDefault="0030286B">
            <w:pPr>
              <w:pStyle w:val="TableParagraph"/>
              <w:rPr>
                <w:sz w:val="21"/>
              </w:rPr>
            </w:pPr>
            <w:r>
              <w:rPr>
                <w:color w:val="B02045"/>
                <w:sz w:val="21"/>
              </w:rPr>
              <w:t>8.5.2</w:t>
            </w:r>
          </w:p>
        </w:tc>
      </w:tr>
      <w:tr w:rsidR="00A720EB" w14:paraId="4AEC4FBF" w14:textId="77777777">
        <w:trPr>
          <w:trHeight w:val="368"/>
        </w:trPr>
        <w:tc>
          <w:tcPr>
            <w:tcW w:w="3325" w:type="dxa"/>
          </w:tcPr>
          <w:p w14:paraId="04B8FA5C" w14:textId="77777777" w:rsidR="00A720EB" w:rsidRDefault="0030286B">
            <w:pPr>
              <w:pStyle w:val="TableParagraph"/>
              <w:rPr>
                <w:sz w:val="21"/>
              </w:rPr>
            </w:pPr>
            <w:proofErr w:type="gramStart"/>
            <w:r>
              <w:rPr>
                <w:color w:val="B02045"/>
                <w:sz w:val="21"/>
              </w:rPr>
              <w:t>org.apache</w:t>
            </w:r>
            <w:proofErr w:type="gramEnd"/>
            <w:r>
              <w:rPr>
                <w:color w:val="B02045"/>
                <w:sz w:val="21"/>
              </w:rPr>
              <w:t>.solr</w:t>
            </w:r>
          </w:p>
        </w:tc>
        <w:tc>
          <w:tcPr>
            <w:tcW w:w="3325" w:type="dxa"/>
          </w:tcPr>
          <w:p w14:paraId="47695B09" w14:textId="77777777" w:rsidR="00A720EB" w:rsidRDefault="0030286B">
            <w:pPr>
              <w:pStyle w:val="TableParagraph"/>
              <w:rPr>
                <w:sz w:val="21"/>
              </w:rPr>
            </w:pPr>
            <w:r>
              <w:rPr>
                <w:color w:val="B02045"/>
                <w:sz w:val="21"/>
              </w:rPr>
              <w:t>solr-ltr</w:t>
            </w:r>
          </w:p>
        </w:tc>
        <w:tc>
          <w:tcPr>
            <w:tcW w:w="3325" w:type="dxa"/>
          </w:tcPr>
          <w:p w14:paraId="2FD64A47" w14:textId="77777777" w:rsidR="00A720EB" w:rsidRDefault="0030286B">
            <w:pPr>
              <w:pStyle w:val="TableParagraph"/>
              <w:rPr>
                <w:sz w:val="21"/>
              </w:rPr>
            </w:pPr>
            <w:r>
              <w:rPr>
                <w:color w:val="B02045"/>
                <w:sz w:val="21"/>
              </w:rPr>
              <w:t>8.5.2</w:t>
            </w:r>
          </w:p>
        </w:tc>
      </w:tr>
      <w:tr w:rsidR="00A720EB" w14:paraId="5DD635BA" w14:textId="77777777">
        <w:trPr>
          <w:trHeight w:val="368"/>
        </w:trPr>
        <w:tc>
          <w:tcPr>
            <w:tcW w:w="3325" w:type="dxa"/>
          </w:tcPr>
          <w:p w14:paraId="66BC36F0" w14:textId="77777777" w:rsidR="00A720EB" w:rsidRDefault="0030286B">
            <w:pPr>
              <w:pStyle w:val="TableParagraph"/>
              <w:rPr>
                <w:sz w:val="21"/>
              </w:rPr>
            </w:pPr>
            <w:proofErr w:type="gramStart"/>
            <w:r>
              <w:rPr>
                <w:color w:val="B02045"/>
                <w:sz w:val="21"/>
              </w:rPr>
              <w:t>org.apache</w:t>
            </w:r>
            <w:proofErr w:type="gramEnd"/>
            <w:r>
              <w:rPr>
                <w:color w:val="B02045"/>
                <w:sz w:val="21"/>
              </w:rPr>
              <w:t>.solr</w:t>
            </w:r>
          </w:p>
        </w:tc>
        <w:tc>
          <w:tcPr>
            <w:tcW w:w="3325" w:type="dxa"/>
          </w:tcPr>
          <w:p w14:paraId="5D948C3F" w14:textId="77777777" w:rsidR="00A720EB" w:rsidRDefault="0030286B">
            <w:pPr>
              <w:pStyle w:val="TableParagraph"/>
              <w:rPr>
                <w:sz w:val="21"/>
              </w:rPr>
            </w:pPr>
            <w:r>
              <w:rPr>
                <w:color w:val="B02045"/>
                <w:sz w:val="21"/>
              </w:rPr>
              <w:t>solr-solrj</w:t>
            </w:r>
          </w:p>
        </w:tc>
        <w:tc>
          <w:tcPr>
            <w:tcW w:w="3325" w:type="dxa"/>
          </w:tcPr>
          <w:p w14:paraId="26D53EC8" w14:textId="77777777" w:rsidR="00A720EB" w:rsidRDefault="0030286B">
            <w:pPr>
              <w:pStyle w:val="TableParagraph"/>
              <w:rPr>
                <w:sz w:val="21"/>
              </w:rPr>
            </w:pPr>
            <w:r>
              <w:rPr>
                <w:color w:val="B02045"/>
                <w:sz w:val="21"/>
              </w:rPr>
              <w:t>8.5.2</w:t>
            </w:r>
          </w:p>
        </w:tc>
      </w:tr>
      <w:tr w:rsidR="00A720EB" w14:paraId="2DCA2C0A" w14:textId="77777777">
        <w:trPr>
          <w:trHeight w:val="368"/>
        </w:trPr>
        <w:tc>
          <w:tcPr>
            <w:tcW w:w="3325" w:type="dxa"/>
          </w:tcPr>
          <w:p w14:paraId="7DD80DD0"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.solr</w:t>
            </w:r>
          </w:p>
        </w:tc>
        <w:tc>
          <w:tcPr>
            <w:tcW w:w="3325" w:type="dxa"/>
          </w:tcPr>
          <w:p w14:paraId="6496DE52" w14:textId="77777777" w:rsidR="00A720EB" w:rsidRDefault="0030286B">
            <w:pPr>
              <w:pStyle w:val="TableParagraph"/>
              <w:spacing w:before="37"/>
              <w:rPr>
                <w:sz w:val="21"/>
              </w:rPr>
            </w:pPr>
            <w:r>
              <w:rPr>
                <w:color w:val="B02045"/>
                <w:sz w:val="21"/>
              </w:rPr>
              <w:t>solr-test-framework</w:t>
            </w:r>
          </w:p>
        </w:tc>
        <w:tc>
          <w:tcPr>
            <w:tcW w:w="3325" w:type="dxa"/>
          </w:tcPr>
          <w:p w14:paraId="0ADBD013" w14:textId="77777777" w:rsidR="00A720EB" w:rsidRDefault="0030286B">
            <w:pPr>
              <w:pStyle w:val="TableParagraph"/>
              <w:spacing w:before="37"/>
              <w:rPr>
                <w:sz w:val="21"/>
              </w:rPr>
            </w:pPr>
            <w:r>
              <w:rPr>
                <w:color w:val="B02045"/>
                <w:sz w:val="21"/>
              </w:rPr>
              <w:t>8.5.2</w:t>
            </w:r>
          </w:p>
        </w:tc>
      </w:tr>
      <w:tr w:rsidR="00A720EB" w14:paraId="11B05503" w14:textId="77777777">
        <w:trPr>
          <w:trHeight w:val="368"/>
        </w:trPr>
        <w:tc>
          <w:tcPr>
            <w:tcW w:w="3325" w:type="dxa"/>
          </w:tcPr>
          <w:p w14:paraId="40084BE2"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.solr</w:t>
            </w:r>
          </w:p>
        </w:tc>
        <w:tc>
          <w:tcPr>
            <w:tcW w:w="3325" w:type="dxa"/>
          </w:tcPr>
          <w:p w14:paraId="1953E52F" w14:textId="77777777" w:rsidR="00A720EB" w:rsidRDefault="0030286B">
            <w:pPr>
              <w:pStyle w:val="TableParagraph"/>
              <w:spacing w:before="37"/>
              <w:rPr>
                <w:sz w:val="21"/>
              </w:rPr>
            </w:pPr>
            <w:r>
              <w:rPr>
                <w:color w:val="B02045"/>
                <w:sz w:val="21"/>
              </w:rPr>
              <w:t>solr-velocity</w:t>
            </w:r>
          </w:p>
        </w:tc>
        <w:tc>
          <w:tcPr>
            <w:tcW w:w="3325" w:type="dxa"/>
          </w:tcPr>
          <w:p w14:paraId="428C0BDF" w14:textId="77777777" w:rsidR="00A720EB" w:rsidRDefault="0030286B">
            <w:pPr>
              <w:pStyle w:val="TableParagraph"/>
              <w:spacing w:before="37"/>
              <w:rPr>
                <w:sz w:val="21"/>
              </w:rPr>
            </w:pPr>
            <w:r>
              <w:rPr>
                <w:color w:val="B02045"/>
                <w:sz w:val="21"/>
              </w:rPr>
              <w:t>8.5.2</w:t>
            </w:r>
          </w:p>
        </w:tc>
      </w:tr>
      <w:tr w:rsidR="00A720EB" w14:paraId="42A9112D" w14:textId="77777777">
        <w:trPr>
          <w:trHeight w:val="368"/>
        </w:trPr>
        <w:tc>
          <w:tcPr>
            <w:tcW w:w="3325" w:type="dxa"/>
          </w:tcPr>
          <w:p w14:paraId="34BA1641"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.tomcat</w:t>
            </w:r>
          </w:p>
        </w:tc>
        <w:tc>
          <w:tcPr>
            <w:tcW w:w="3325" w:type="dxa"/>
          </w:tcPr>
          <w:p w14:paraId="61F47DFF" w14:textId="77777777" w:rsidR="00A720EB" w:rsidRDefault="0030286B">
            <w:pPr>
              <w:pStyle w:val="TableParagraph"/>
              <w:spacing w:before="37"/>
              <w:rPr>
                <w:sz w:val="21"/>
              </w:rPr>
            </w:pPr>
            <w:r>
              <w:rPr>
                <w:color w:val="B02045"/>
                <w:sz w:val="21"/>
              </w:rPr>
              <w:t>tomcat-annotations-api</w:t>
            </w:r>
          </w:p>
        </w:tc>
        <w:tc>
          <w:tcPr>
            <w:tcW w:w="3325" w:type="dxa"/>
          </w:tcPr>
          <w:p w14:paraId="7B929D4A" w14:textId="77777777" w:rsidR="00A720EB" w:rsidRDefault="0030286B">
            <w:pPr>
              <w:pStyle w:val="TableParagraph"/>
              <w:spacing w:before="37"/>
              <w:rPr>
                <w:sz w:val="21"/>
              </w:rPr>
            </w:pPr>
            <w:r>
              <w:rPr>
                <w:color w:val="B02045"/>
                <w:sz w:val="21"/>
              </w:rPr>
              <w:t>9.0.38</w:t>
            </w:r>
          </w:p>
        </w:tc>
      </w:tr>
      <w:tr w:rsidR="00A720EB" w14:paraId="0F0EAFF9" w14:textId="77777777">
        <w:trPr>
          <w:trHeight w:val="368"/>
        </w:trPr>
        <w:tc>
          <w:tcPr>
            <w:tcW w:w="3325" w:type="dxa"/>
          </w:tcPr>
          <w:p w14:paraId="6B04B766"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.tomcat</w:t>
            </w:r>
          </w:p>
        </w:tc>
        <w:tc>
          <w:tcPr>
            <w:tcW w:w="3325" w:type="dxa"/>
          </w:tcPr>
          <w:p w14:paraId="2EFCABE8" w14:textId="77777777" w:rsidR="00A720EB" w:rsidRDefault="0030286B">
            <w:pPr>
              <w:pStyle w:val="TableParagraph"/>
              <w:spacing w:before="37"/>
              <w:rPr>
                <w:sz w:val="21"/>
              </w:rPr>
            </w:pPr>
            <w:r>
              <w:rPr>
                <w:color w:val="B02045"/>
                <w:sz w:val="21"/>
              </w:rPr>
              <w:t>tomcat-jdbc</w:t>
            </w:r>
          </w:p>
        </w:tc>
        <w:tc>
          <w:tcPr>
            <w:tcW w:w="3325" w:type="dxa"/>
          </w:tcPr>
          <w:p w14:paraId="2E5BB3D5" w14:textId="77777777" w:rsidR="00A720EB" w:rsidRDefault="0030286B">
            <w:pPr>
              <w:pStyle w:val="TableParagraph"/>
              <w:spacing w:before="37"/>
              <w:rPr>
                <w:sz w:val="21"/>
              </w:rPr>
            </w:pPr>
            <w:r>
              <w:rPr>
                <w:color w:val="B02045"/>
                <w:sz w:val="21"/>
              </w:rPr>
              <w:t>9.0.38</w:t>
            </w:r>
          </w:p>
        </w:tc>
      </w:tr>
      <w:tr w:rsidR="00A720EB" w14:paraId="7FB6664D" w14:textId="77777777">
        <w:trPr>
          <w:trHeight w:val="368"/>
        </w:trPr>
        <w:tc>
          <w:tcPr>
            <w:tcW w:w="3325" w:type="dxa"/>
          </w:tcPr>
          <w:p w14:paraId="4181A2C6" w14:textId="77777777" w:rsidR="00A720EB" w:rsidRDefault="0030286B">
            <w:pPr>
              <w:pStyle w:val="TableParagraph"/>
              <w:rPr>
                <w:sz w:val="21"/>
              </w:rPr>
            </w:pPr>
            <w:proofErr w:type="gramStart"/>
            <w:r>
              <w:rPr>
                <w:color w:val="B02045"/>
                <w:sz w:val="21"/>
              </w:rPr>
              <w:t>org.apache</w:t>
            </w:r>
            <w:proofErr w:type="gramEnd"/>
            <w:r>
              <w:rPr>
                <w:color w:val="B02045"/>
                <w:sz w:val="21"/>
              </w:rPr>
              <w:t>.tomcat</w:t>
            </w:r>
          </w:p>
        </w:tc>
        <w:tc>
          <w:tcPr>
            <w:tcW w:w="3325" w:type="dxa"/>
          </w:tcPr>
          <w:p w14:paraId="254E4C11" w14:textId="77777777" w:rsidR="00A720EB" w:rsidRDefault="0030286B">
            <w:pPr>
              <w:pStyle w:val="TableParagraph"/>
              <w:rPr>
                <w:sz w:val="21"/>
              </w:rPr>
            </w:pPr>
            <w:r>
              <w:rPr>
                <w:color w:val="B02045"/>
                <w:sz w:val="21"/>
              </w:rPr>
              <w:t>tomcat-jsp-api</w:t>
            </w:r>
          </w:p>
        </w:tc>
        <w:tc>
          <w:tcPr>
            <w:tcW w:w="3325" w:type="dxa"/>
          </w:tcPr>
          <w:p w14:paraId="47C8DC40" w14:textId="77777777" w:rsidR="00A720EB" w:rsidRDefault="0030286B">
            <w:pPr>
              <w:pStyle w:val="TableParagraph"/>
              <w:rPr>
                <w:sz w:val="21"/>
              </w:rPr>
            </w:pPr>
            <w:r>
              <w:rPr>
                <w:color w:val="B02045"/>
                <w:sz w:val="21"/>
              </w:rPr>
              <w:t>9.0.38</w:t>
            </w:r>
          </w:p>
        </w:tc>
      </w:tr>
      <w:tr w:rsidR="00A720EB" w14:paraId="379873C1" w14:textId="77777777">
        <w:trPr>
          <w:trHeight w:val="368"/>
        </w:trPr>
        <w:tc>
          <w:tcPr>
            <w:tcW w:w="3325" w:type="dxa"/>
          </w:tcPr>
          <w:p w14:paraId="137F9D20" w14:textId="77777777" w:rsidR="00A720EB" w:rsidRDefault="0030286B">
            <w:pPr>
              <w:pStyle w:val="TableParagraph"/>
              <w:rPr>
                <w:sz w:val="21"/>
              </w:rPr>
            </w:pPr>
            <w:proofErr w:type="gramStart"/>
            <w:r>
              <w:rPr>
                <w:color w:val="B02045"/>
                <w:sz w:val="21"/>
              </w:rPr>
              <w:t>org.apache</w:t>
            </w:r>
            <w:proofErr w:type="gramEnd"/>
            <w:r>
              <w:rPr>
                <w:color w:val="B02045"/>
                <w:sz w:val="21"/>
              </w:rPr>
              <w:t>.tomcat.embed</w:t>
            </w:r>
          </w:p>
        </w:tc>
        <w:tc>
          <w:tcPr>
            <w:tcW w:w="3325" w:type="dxa"/>
          </w:tcPr>
          <w:p w14:paraId="21BB7F90" w14:textId="77777777" w:rsidR="00A720EB" w:rsidRDefault="0030286B">
            <w:pPr>
              <w:pStyle w:val="TableParagraph"/>
              <w:rPr>
                <w:sz w:val="21"/>
              </w:rPr>
            </w:pPr>
            <w:r>
              <w:rPr>
                <w:color w:val="B02045"/>
                <w:sz w:val="21"/>
              </w:rPr>
              <w:t>tomcat-embed-core</w:t>
            </w:r>
          </w:p>
        </w:tc>
        <w:tc>
          <w:tcPr>
            <w:tcW w:w="3325" w:type="dxa"/>
          </w:tcPr>
          <w:p w14:paraId="31196DDD" w14:textId="77777777" w:rsidR="00A720EB" w:rsidRDefault="0030286B">
            <w:pPr>
              <w:pStyle w:val="TableParagraph"/>
              <w:rPr>
                <w:sz w:val="21"/>
              </w:rPr>
            </w:pPr>
            <w:r>
              <w:rPr>
                <w:color w:val="B02045"/>
                <w:sz w:val="21"/>
              </w:rPr>
              <w:t>9.0.38</w:t>
            </w:r>
          </w:p>
        </w:tc>
      </w:tr>
      <w:tr w:rsidR="00A720EB" w14:paraId="73FFC10B" w14:textId="77777777">
        <w:trPr>
          <w:trHeight w:val="368"/>
        </w:trPr>
        <w:tc>
          <w:tcPr>
            <w:tcW w:w="3325" w:type="dxa"/>
          </w:tcPr>
          <w:p w14:paraId="6E9D7CFD" w14:textId="77777777" w:rsidR="00A720EB" w:rsidRDefault="0030286B">
            <w:pPr>
              <w:pStyle w:val="TableParagraph"/>
              <w:rPr>
                <w:sz w:val="21"/>
              </w:rPr>
            </w:pPr>
            <w:proofErr w:type="gramStart"/>
            <w:r>
              <w:rPr>
                <w:color w:val="B02045"/>
                <w:sz w:val="21"/>
              </w:rPr>
              <w:t>org.apache</w:t>
            </w:r>
            <w:proofErr w:type="gramEnd"/>
            <w:r>
              <w:rPr>
                <w:color w:val="B02045"/>
                <w:sz w:val="21"/>
              </w:rPr>
              <w:t>.tomcat.embed</w:t>
            </w:r>
          </w:p>
        </w:tc>
        <w:tc>
          <w:tcPr>
            <w:tcW w:w="3325" w:type="dxa"/>
          </w:tcPr>
          <w:p w14:paraId="2AD0F9DC" w14:textId="77777777" w:rsidR="00A720EB" w:rsidRDefault="0030286B">
            <w:pPr>
              <w:pStyle w:val="TableParagraph"/>
              <w:rPr>
                <w:sz w:val="21"/>
              </w:rPr>
            </w:pPr>
            <w:r>
              <w:rPr>
                <w:color w:val="B02045"/>
                <w:sz w:val="21"/>
              </w:rPr>
              <w:t>tomcat-embed-el</w:t>
            </w:r>
          </w:p>
        </w:tc>
        <w:tc>
          <w:tcPr>
            <w:tcW w:w="3325" w:type="dxa"/>
          </w:tcPr>
          <w:p w14:paraId="2E0E41D1" w14:textId="77777777" w:rsidR="00A720EB" w:rsidRDefault="0030286B">
            <w:pPr>
              <w:pStyle w:val="TableParagraph"/>
              <w:rPr>
                <w:sz w:val="21"/>
              </w:rPr>
            </w:pPr>
            <w:r>
              <w:rPr>
                <w:color w:val="B02045"/>
                <w:sz w:val="21"/>
              </w:rPr>
              <w:t>9.0.38</w:t>
            </w:r>
          </w:p>
        </w:tc>
      </w:tr>
      <w:tr w:rsidR="00A720EB" w14:paraId="5BFDD599" w14:textId="77777777">
        <w:trPr>
          <w:trHeight w:val="368"/>
        </w:trPr>
        <w:tc>
          <w:tcPr>
            <w:tcW w:w="3325" w:type="dxa"/>
          </w:tcPr>
          <w:p w14:paraId="359DC632" w14:textId="77777777" w:rsidR="00A720EB" w:rsidRDefault="0030286B">
            <w:pPr>
              <w:pStyle w:val="TableParagraph"/>
              <w:spacing w:before="37"/>
              <w:rPr>
                <w:sz w:val="21"/>
              </w:rPr>
            </w:pPr>
            <w:proofErr w:type="gramStart"/>
            <w:r>
              <w:rPr>
                <w:color w:val="B02045"/>
                <w:sz w:val="21"/>
              </w:rPr>
              <w:t>org.apache</w:t>
            </w:r>
            <w:proofErr w:type="gramEnd"/>
            <w:r>
              <w:rPr>
                <w:color w:val="B02045"/>
                <w:sz w:val="21"/>
              </w:rPr>
              <w:t>.tomcat.embed</w:t>
            </w:r>
          </w:p>
        </w:tc>
        <w:tc>
          <w:tcPr>
            <w:tcW w:w="3325" w:type="dxa"/>
          </w:tcPr>
          <w:p w14:paraId="00C9481B" w14:textId="77777777" w:rsidR="00A720EB" w:rsidRDefault="0030286B">
            <w:pPr>
              <w:pStyle w:val="TableParagraph"/>
              <w:spacing w:before="37"/>
              <w:rPr>
                <w:sz w:val="21"/>
              </w:rPr>
            </w:pPr>
            <w:r>
              <w:rPr>
                <w:color w:val="B02045"/>
                <w:sz w:val="21"/>
              </w:rPr>
              <w:t>tomcat-embed-jasper</w:t>
            </w:r>
          </w:p>
        </w:tc>
        <w:tc>
          <w:tcPr>
            <w:tcW w:w="3325" w:type="dxa"/>
          </w:tcPr>
          <w:p w14:paraId="44DFE26A" w14:textId="77777777" w:rsidR="00A720EB" w:rsidRDefault="0030286B">
            <w:pPr>
              <w:pStyle w:val="TableParagraph"/>
              <w:spacing w:before="37"/>
              <w:rPr>
                <w:sz w:val="21"/>
              </w:rPr>
            </w:pPr>
            <w:r>
              <w:rPr>
                <w:color w:val="B02045"/>
                <w:sz w:val="21"/>
              </w:rPr>
              <w:t>9.0.38</w:t>
            </w:r>
          </w:p>
        </w:tc>
      </w:tr>
      <w:tr w:rsidR="00A720EB" w14:paraId="61C1A1B1" w14:textId="77777777">
        <w:trPr>
          <w:trHeight w:val="368"/>
        </w:trPr>
        <w:tc>
          <w:tcPr>
            <w:tcW w:w="3325" w:type="dxa"/>
          </w:tcPr>
          <w:p w14:paraId="33F832C3" w14:textId="77777777" w:rsidR="00A720EB" w:rsidRDefault="0030286B">
            <w:pPr>
              <w:pStyle w:val="TableParagraph"/>
              <w:rPr>
                <w:sz w:val="21"/>
              </w:rPr>
            </w:pPr>
            <w:proofErr w:type="gramStart"/>
            <w:r>
              <w:rPr>
                <w:color w:val="B02045"/>
                <w:sz w:val="21"/>
              </w:rPr>
              <w:t>org.apache</w:t>
            </w:r>
            <w:proofErr w:type="gramEnd"/>
            <w:r>
              <w:rPr>
                <w:color w:val="B02045"/>
                <w:sz w:val="21"/>
              </w:rPr>
              <w:t>.tomcat.embed</w:t>
            </w:r>
          </w:p>
        </w:tc>
        <w:tc>
          <w:tcPr>
            <w:tcW w:w="3325" w:type="dxa"/>
          </w:tcPr>
          <w:p w14:paraId="53C0370F" w14:textId="77777777" w:rsidR="00A720EB" w:rsidRDefault="0030286B">
            <w:pPr>
              <w:pStyle w:val="TableParagraph"/>
              <w:rPr>
                <w:sz w:val="21"/>
              </w:rPr>
            </w:pPr>
            <w:r>
              <w:rPr>
                <w:color w:val="B02045"/>
                <w:sz w:val="21"/>
              </w:rPr>
              <w:t>tomcat-embed-websocket</w:t>
            </w:r>
          </w:p>
        </w:tc>
        <w:tc>
          <w:tcPr>
            <w:tcW w:w="3325" w:type="dxa"/>
          </w:tcPr>
          <w:p w14:paraId="100D1A96" w14:textId="77777777" w:rsidR="00A720EB" w:rsidRDefault="0030286B">
            <w:pPr>
              <w:pStyle w:val="TableParagraph"/>
              <w:rPr>
                <w:sz w:val="21"/>
              </w:rPr>
            </w:pPr>
            <w:r>
              <w:rPr>
                <w:color w:val="B02045"/>
                <w:sz w:val="21"/>
              </w:rPr>
              <w:t>9.0.38</w:t>
            </w:r>
          </w:p>
        </w:tc>
      </w:tr>
      <w:tr w:rsidR="00A720EB" w14:paraId="2A3809A8" w14:textId="77777777">
        <w:trPr>
          <w:trHeight w:val="368"/>
        </w:trPr>
        <w:tc>
          <w:tcPr>
            <w:tcW w:w="3325" w:type="dxa"/>
          </w:tcPr>
          <w:p w14:paraId="5C64DBCA" w14:textId="77777777" w:rsidR="00A720EB" w:rsidRDefault="0030286B">
            <w:pPr>
              <w:pStyle w:val="TableParagraph"/>
              <w:rPr>
                <w:sz w:val="21"/>
              </w:rPr>
            </w:pPr>
            <w:proofErr w:type="gramStart"/>
            <w:r>
              <w:rPr>
                <w:color w:val="B02045"/>
                <w:sz w:val="21"/>
              </w:rPr>
              <w:t>org.aspectj</w:t>
            </w:r>
            <w:proofErr w:type="gramEnd"/>
          </w:p>
        </w:tc>
        <w:tc>
          <w:tcPr>
            <w:tcW w:w="3325" w:type="dxa"/>
          </w:tcPr>
          <w:p w14:paraId="2450C214" w14:textId="77777777" w:rsidR="00A720EB" w:rsidRDefault="0030286B">
            <w:pPr>
              <w:pStyle w:val="TableParagraph"/>
              <w:rPr>
                <w:sz w:val="21"/>
              </w:rPr>
            </w:pPr>
            <w:r>
              <w:rPr>
                <w:color w:val="B02045"/>
                <w:sz w:val="21"/>
              </w:rPr>
              <w:t>aspectjrt</w:t>
            </w:r>
          </w:p>
        </w:tc>
        <w:tc>
          <w:tcPr>
            <w:tcW w:w="3325" w:type="dxa"/>
          </w:tcPr>
          <w:p w14:paraId="4932501B" w14:textId="77777777" w:rsidR="00A720EB" w:rsidRDefault="0030286B">
            <w:pPr>
              <w:pStyle w:val="TableParagraph"/>
              <w:rPr>
                <w:sz w:val="21"/>
              </w:rPr>
            </w:pPr>
            <w:r>
              <w:rPr>
                <w:color w:val="B02045"/>
                <w:sz w:val="21"/>
              </w:rPr>
              <w:t>1.9.6</w:t>
            </w:r>
          </w:p>
        </w:tc>
      </w:tr>
      <w:tr w:rsidR="00A720EB" w14:paraId="1D5A44BF" w14:textId="77777777">
        <w:trPr>
          <w:trHeight w:val="368"/>
        </w:trPr>
        <w:tc>
          <w:tcPr>
            <w:tcW w:w="3325" w:type="dxa"/>
          </w:tcPr>
          <w:p w14:paraId="42D73072" w14:textId="77777777" w:rsidR="00A720EB" w:rsidRDefault="0030286B">
            <w:pPr>
              <w:pStyle w:val="TableParagraph"/>
              <w:spacing w:before="37"/>
              <w:rPr>
                <w:sz w:val="21"/>
              </w:rPr>
            </w:pPr>
            <w:proofErr w:type="gramStart"/>
            <w:r>
              <w:rPr>
                <w:color w:val="B02045"/>
                <w:sz w:val="21"/>
              </w:rPr>
              <w:t>org.aspectj</w:t>
            </w:r>
            <w:proofErr w:type="gramEnd"/>
          </w:p>
        </w:tc>
        <w:tc>
          <w:tcPr>
            <w:tcW w:w="3325" w:type="dxa"/>
          </w:tcPr>
          <w:p w14:paraId="546A6B04" w14:textId="77777777" w:rsidR="00A720EB" w:rsidRDefault="0030286B">
            <w:pPr>
              <w:pStyle w:val="TableParagraph"/>
              <w:spacing w:before="37"/>
              <w:rPr>
                <w:sz w:val="21"/>
              </w:rPr>
            </w:pPr>
            <w:r>
              <w:rPr>
                <w:color w:val="B02045"/>
                <w:sz w:val="21"/>
              </w:rPr>
              <w:t>aspectjtools</w:t>
            </w:r>
          </w:p>
        </w:tc>
        <w:tc>
          <w:tcPr>
            <w:tcW w:w="3325" w:type="dxa"/>
          </w:tcPr>
          <w:p w14:paraId="11985DFC" w14:textId="77777777" w:rsidR="00A720EB" w:rsidRDefault="0030286B">
            <w:pPr>
              <w:pStyle w:val="TableParagraph"/>
              <w:spacing w:before="37"/>
              <w:rPr>
                <w:sz w:val="21"/>
              </w:rPr>
            </w:pPr>
            <w:r>
              <w:rPr>
                <w:color w:val="B02045"/>
                <w:sz w:val="21"/>
              </w:rPr>
              <w:t>1.9.6</w:t>
            </w:r>
          </w:p>
        </w:tc>
      </w:tr>
      <w:tr w:rsidR="00A720EB" w14:paraId="1C19FDD8" w14:textId="77777777">
        <w:trPr>
          <w:trHeight w:val="368"/>
        </w:trPr>
        <w:tc>
          <w:tcPr>
            <w:tcW w:w="3325" w:type="dxa"/>
          </w:tcPr>
          <w:p w14:paraId="2B0C0FB5" w14:textId="77777777" w:rsidR="00A720EB" w:rsidRDefault="0030286B">
            <w:pPr>
              <w:pStyle w:val="TableParagraph"/>
              <w:spacing w:before="37"/>
              <w:rPr>
                <w:sz w:val="21"/>
              </w:rPr>
            </w:pPr>
            <w:proofErr w:type="gramStart"/>
            <w:r>
              <w:rPr>
                <w:color w:val="B02045"/>
                <w:sz w:val="21"/>
              </w:rPr>
              <w:t>org.aspectj</w:t>
            </w:r>
            <w:proofErr w:type="gramEnd"/>
          </w:p>
        </w:tc>
        <w:tc>
          <w:tcPr>
            <w:tcW w:w="3325" w:type="dxa"/>
          </w:tcPr>
          <w:p w14:paraId="08C34EB3" w14:textId="77777777" w:rsidR="00A720EB" w:rsidRDefault="0030286B">
            <w:pPr>
              <w:pStyle w:val="TableParagraph"/>
              <w:spacing w:before="37"/>
              <w:rPr>
                <w:sz w:val="21"/>
              </w:rPr>
            </w:pPr>
            <w:r>
              <w:rPr>
                <w:color w:val="B02045"/>
                <w:sz w:val="21"/>
              </w:rPr>
              <w:t>aspectjweaver</w:t>
            </w:r>
          </w:p>
        </w:tc>
        <w:tc>
          <w:tcPr>
            <w:tcW w:w="3325" w:type="dxa"/>
          </w:tcPr>
          <w:p w14:paraId="47AEE87E" w14:textId="77777777" w:rsidR="00A720EB" w:rsidRDefault="0030286B">
            <w:pPr>
              <w:pStyle w:val="TableParagraph"/>
              <w:spacing w:before="37"/>
              <w:rPr>
                <w:sz w:val="21"/>
              </w:rPr>
            </w:pPr>
            <w:r>
              <w:rPr>
                <w:color w:val="B02045"/>
                <w:sz w:val="21"/>
              </w:rPr>
              <w:t>1.9.6</w:t>
            </w:r>
          </w:p>
        </w:tc>
      </w:tr>
      <w:tr w:rsidR="00A720EB" w14:paraId="04C4A577" w14:textId="77777777">
        <w:trPr>
          <w:trHeight w:val="368"/>
        </w:trPr>
        <w:tc>
          <w:tcPr>
            <w:tcW w:w="3325" w:type="dxa"/>
          </w:tcPr>
          <w:p w14:paraId="2C2C19AB" w14:textId="77777777" w:rsidR="00A720EB" w:rsidRDefault="0030286B">
            <w:pPr>
              <w:pStyle w:val="TableParagraph"/>
              <w:spacing w:before="37"/>
              <w:rPr>
                <w:sz w:val="21"/>
              </w:rPr>
            </w:pPr>
            <w:proofErr w:type="gramStart"/>
            <w:r>
              <w:rPr>
                <w:color w:val="B02045"/>
                <w:sz w:val="21"/>
              </w:rPr>
              <w:t>org.assertj</w:t>
            </w:r>
            <w:proofErr w:type="gramEnd"/>
          </w:p>
        </w:tc>
        <w:tc>
          <w:tcPr>
            <w:tcW w:w="3325" w:type="dxa"/>
          </w:tcPr>
          <w:p w14:paraId="32E17290" w14:textId="77777777" w:rsidR="00A720EB" w:rsidRDefault="0030286B">
            <w:pPr>
              <w:pStyle w:val="TableParagraph"/>
              <w:spacing w:before="37"/>
              <w:rPr>
                <w:sz w:val="21"/>
              </w:rPr>
            </w:pPr>
            <w:r>
              <w:rPr>
                <w:color w:val="B02045"/>
                <w:sz w:val="21"/>
              </w:rPr>
              <w:t>assertj-core</w:t>
            </w:r>
          </w:p>
        </w:tc>
        <w:tc>
          <w:tcPr>
            <w:tcW w:w="3325" w:type="dxa"/>
          </w:tcPr>
          <w:p w14:paraId="0DF4D60F" w14:textId="77777777" w:rsidR="00A720EB" w:rsidRDefault="0030286B">
            <w:pPr>
              <w:pStyle w:val="TableParagraph"/>
              <w:spacing w:before="37"/>
              <w:rPr>
                <w:sz w:val="21"/>
              </w:rPr>
            </w:pPr>
            <w:r>
              <w:rPr>
                <w:color w:val="B02045"/>
                <w:sz w:val="21"/>
              </w:rPr>
              <w:t>3.16.1</w:t>
            </w:r>
          </w:p>
        </w:tc>
      </w:tr>
      <w:tr w:rsidR="00A720EB" w14:paraId="7E1763BA" w14:textId="77777777">
        <w:trPr>
          <w:trHeight w:val="368"/>
        </w:trPr>
        <w:tc>
          <w:tcPr>
            <w:tcW w:w="3325" w:type="dxa"/>
          </w:tcPr>
          <w:p w14:paraId="070C798F" w14:textId="77777777" w:rsidR="00A720EB" w:rsidRDefault="0030286B">
            <w:pPr>
              <w:pStyle w:val="TableParagraph"/>
              <w:rPr>
                <w:sz w:val="21"/>
              </w:rPr>
            </w:pPr>
            <w:proofErr w:type="gramStart"/>
            <w:r>
              <w:rPr>
                <w:color w:val="B02045"/>
                <w:sz w:val="21"/>
              </w:rPr>
              <w:t>org.awaitility</w:t>
            </w:r>
            <w:proofErr w:type="gramEnd"/>
          </w:p>
        </w:tc>
        <w:tc>
          <w:tcPr>
            <w:tcW w:w="3325" w:type="dxa"/>
          </w:tcPr>
          <w:p w14:paraId="04A026B0" w14:textId="77777777" w:rsidR="00A720EB" w:rsidRDefault="0030286B">
            <w:pPr>
              <w:pStyle w:val="TableParagraph"/>
              <w:rPr>
                <w:sz w:val="21"/>
              </w:rPr>
            </w:pPr>
            <w:r>
              <w:rPr>
                <w:color w:val="B02045"/>
                <w:sz w:val="21"/>
              </w:rPr>
              <w:t>awaitility</w:t>
            </w:r>
          </w:p>
        </w:tc>
        <w:tc>
          <w:tcPr>
            <w:tcW w:w="3325" w:type="dxa"/>
          </w:tcPr>
          <w:p w14:paraId="0EF8E936" w14:textId="77777777" w:rsidR="00A720EB" w:rsidRDefault="0030286B">
            <w:pPr>
              <w:pStyle w:val="TableParagraph"/>
              <w:rPr>
                <w:sz w:val="21"/>
              </w:rPr>
            </w:pPr>
            <w:r>
              <w:rPr>
                <w:color w:val="B02045"/>
                <w:sz w:val="21"/>
              </w:rPr>
              <w:t>4.0.3</w:t>
            </w:r>
          </w:p>
        </w:tc>
      </w:tr>
      <w:tr w:rsidR="00A720EB" w14:paraId="772C144B" w14:textId="77777777">
        <w:trPr>
          <w:trHeight w:val="368"/>
        </w:trPr>
        <w:tc>
          <w:tcPr>
            <w:tcW w:w="3325" w:type="dxa"/>
          </w:tcPr>
          <w:p w14:paraId="6259CFBA" w14:textId="77777777" w:rsidR="00A720EB" w:rsidRDefault="0030286B">
            <w:pPr>
              <w:pStyle w:val="TableParagraph"/>
              <w:rPr>
                <w:sz w:val="21"/>
              </w:rPr>
            </w:pPr>
            <w:proofErr w:type="gramStart"/>
            <w:r>
              <w:rPr>
                <w:color w:val="B02045"/>
                <w:sz w:val="21"/>
              </w:rPr>
              <w:t>org.awaitility</w:t>
            </w:r>
            <w:proofErr w:type="gramEnd"/>
          </w:p>
        </w:tc>
        <w:tc>
          <w:tcPr>
            <w:tcW w:w="3325" w:type="dxa"/>
          </w:tcPr>
          <w:p w14:paraId="2A8307D6" w14:textId="77777777" w:rsidR="00A720EB" w:rsidRDefault="0030286B">
            <w:pPr>
              <w:pStyle w:val="TableParagraph"/>
              <w:rPr>
                <w:sz w:val="21"/>
              </w:rPr>
            </w:pPr>
            <w:r>
              <w:rPr>
                <w:color w:val="B02045"/>
                <w:sz w:val="21"/>
              </w:rPr>
              <w:t>awaitility-groovy</w:t>
            </w:r>
          </w:p>
        </w:tc>
        <w:tc>
          <w:tcPr>
            <w:tcW w:w="3325" w:type="dxa"/>
          </w:tcPr>
          <w:p w14:paraId="7FD05A7B" w14:textId="77777777" w:rsidR="00A720EB" w:rsidRDefault="0030286B">
            <w:pPr>
              <w:pStyle w:val="TableParagraph"/>
              <w:rPr>
                <w:sz w:val="21"/>
              </w:rPr>
            </w:pPr>
            <w:r>
              <w:rPr>
                <w:color w:val="B02045"/>
                <w:sz w:val="21"/>
              </w:rPr>
              <w:t>4.0.3</w:t>
            </w:r>
          </w:p>
        </w:tc>
      </w:tr>
      <w:tr w:rsidR="00A720EB" w14:paraId="1A7EC0FF" w14:textId="77777777">
        <w:trPr>
          <w:trHeight w:val="368"/>
        </w:trPr>
        <w:tc>
          <w:tcPr>
            <w:tcW w:w="3325" w:type="dxa"/>
          </w:tcPr>
          <w:p w14:paraId="71138BF0" w14:textId="77777777" w:rsidR="00A720EB" w:rsidRDefault="0030286B">
            <w:pPr>
              <w:pStyle w:val="TableParagraph"/>
              <w:spacing w:before="37"/>
              <w:rPr>
                <w:sz w:val="21"/>
              </w:rPr>
            </w:pPr>
            <w:proofErr w:type="gramStart"/>
            <w:r>
              <w:rPr>
                <w:color w:val="B02045"/>
                <w:sz w:val="21"/>
              </w:rPr>
              <w:t>org.awaitility</w:t>
            </w:r>
            <w:proofErr w:type="gramEnd"/>
          </w:p>
        </w:tc>
        <w:tc>
          <w:tcPr>
            <w:tcW w:w="3325" w:type="dxa"/>
          </w:tcPr>
          <w:p w14:paraId="15EC586C" w14:textId="77777777" w:rsidR="00A720EB" w:rsidRDefault="0030286B">
            <w:pPr>
              <w:pStyle w:val="TableParagraph"/>
              <w:spacing w:before="37"/>
              <w:rPr>
                <w:sz w:val="21"/>
              </w:rPr>
            </w:pPr>
            <w:r>
              <w:rPr>
                <w:color w:val="B02045"/>
                <w:sz w:val="21"/>
              </w:rPr>
              <w:t>awaitility-kotlin</w:t>
            </w:r>
          </w:p>
        </w:tc>
        <w:tc>
          <w:tcPr>
            <w:tcW w:w="3325" w:type="dxa"/>
          </w:tcPr>
          <w:p w14:paraId="2708DFCF" w14:textId="77777777" w:rsidR="00A720EB" w:rsidRDefault="0030286B">
            <w:pPr>
              <w:pStyle w:val="TableParagraph"/>
              <w:spacing w:before="37"/>
              <w:rPr>
                <w:sz w:val="21"/>
              </w:rPr>
            </w:pPr>
            <w:r>
              <w:rPr>
                <w:color w:val="B02045"/>
                <w:sz w:val="21"/>
              </w:rPr>
              <w:t>4.0.3</w:t>
            </w:r>
          </w:p>
        </w:tc>
      </w:tr>
      <w:tr w:rsidR="00A720EB" w14:paraId="1A09DD23" w14:textId="77777777">
        <w:trPr>
          <w:trHeight w:val="368"/>
        </w:trPr>
        <w:tc>
          <w:tcPr>
            <w:tcW w:w="3325" w:type="dxa"/>
          </w:tcPr>
          <w:p w14:paraId="0BBEC457" w14:textId="77777777" w:rsidR="00A720EB" w:rsidRDefault="0030286B">
            <w:pPr>
              <w:pStyle w:val="TableParagraph"/>
              <w:spacing w:before="37"/>
              <w:rPr>
                <w:sz w:val="21"/>
              </w:rPr>
            </w:pPr>
            <w:proofErr w:type="gramStart"/>
            <w:r>
              <w:rPr>
                <w:color w:val="B02045"/>
                <w:sz w:val="21"/>
              </w:rPr>
              <w:t>org.awaitility</w:t>
            </w:r>
            <w:proofErr w:type="gramEnd"/>
          </w:p>
        </w:tc>
        <w:tc>
          <w:tcPr>
            <w:tcW w:w="3325" w:type="dxa"/>
          </w:tcPr>
          <w:p w14:paraId="307EFEF2" w14:textId="77777777" w:rsidR="00A720EB" w:rsidRDefault="0030286B">
            <w:pPr>
              <w:pStyle w:val="TableParagraph"/>
              <w:spacing w:before="37"/>
              <w:rPr>
                <w:sz w:val="21"/>
              </w:rPr>
            </w:pPr>
            <w:r>
              <w:rPr>
                <w:color w:val="B02045"/>
                <w:sz w:val="21"/>
              </w:rPr>
              <w:t>awaitility-scala</w:t>
            </w:r>
          </w:p>
        </w:tc>
        <w:tc>
          <w:tcPr>
            <w:tcW w:w="3325" w:type="dxa"/>
          </w:tcPr>
          <w:p w14:paraId="13074C61" w14:textId="77777777" w:rsidR="00A720EB" w:rsidRDefault="0030286B">
            <w:pPr>
              <w:pStyle w:val="TableParagraph"/>
              <w:spacing w:before="37"/>
              <w:rPr>
                <w:sz w:val="21"/>
              </w:rPr>
            </w:pPr>
            <w:r>
              <w:rPr>
                <w:color w:val="B02045"/>
                <w:sz w:val="21"/>
              </w:rPr>
              <w:t>4.0.3</w:t>
            </w:r>
          </w:p>
        </w:tc>
      </w:tr>
      <w:tr w:rsidR="00A720EB" w14:paraId="7A017FDE" w14:textId="77777777">
        <w:trPr>
          <w:trHeight w:val="368"/>
        </w:trPr>
        <w:tc>
          <w:tcPr>
            <w:tcW w:w="3325" w:type="dxa"/>
          </w:tcPr>
          <w:p w14:paraId="07754E87" w14:textId="77777777" w:rsidR="00A720EB" w:rsidRDefault="0030286B">
            <w:pPr>
              <w:pStyle w:val="TableParagraph"/>
              <w:rPr>
                <w:sz w:val="21"/>
              </w:rPr>
            </w:pPr>
            <w:r>
              <w:rPr>
                <w:color w:val="B02045"/>
                <w:sz w:val="21"/>
              </w:rPr>
              <w:t>org.codehaus.btm</w:t>
            </w:r>
          </w:p>
        </w:tc>
        <w:tc>
          <w:tcPr>
            <w:tcW w:w="3325" w:type="dxa"/>
          </w:tcPr>
          <w:p w14:paraId="3A52371B" w14:textId="77777777" w:rsidR="00A720EB" w:rsidRDefault="0030286B">
            <w:pPr>
              <w:pStyle w:val="TableParagraph"/>
              <w:rPr>
                <w:sz w:val="21"/>
              </w:rPr>
            </w:pPr>
            <w:r>
              <w:rPr>
                <w:color w:val="B02045"/>
                <w:sz w:val="21"/>
              </w:rPr>
              <w:t>btm</w:t>
            </w:r>
          </w:p>
        </w:tc>
        <w:tc>
          <w:tcPr>
            <w:tcW w:w="3325" w:type="dxa"/>
          </w:tcPr>
          <w:p w14:paraId="7F18EB22" w14:textId="77777777" w:rsidR="00A720EB" w:rsidRDefault="0030286B">
            <w:pPr>
              <w:pStyle w:val="TableParagraph"/>
              <w:rPr>
                <w:sz w:val="21"/>
              </w:rPr>
            </w:pPr>
            <w:r>
              <w:rPr>
                <w:color w:val="B02045"/>
                <w:sz w:val="21"/>
              </w:rPr>
              <w:t>2.1.4</w:t>
            </w:r>
          </w:p>
        </w:tc>
      </w:tr>
      <w:tr w:rsidR="00A720EB" w14:paraId="2FFD7809" w14:textId="77777777">
        <w:trPr>
          <w:trHeight w:val="368"/>
        </w:trPr>
        <w:tc>
          <w:tcPr>
            <w:tcW w:w="3325" w:type="dxa"/>
          </w:tcPr>
          <w:p w14:paraId="2693660E"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7FBEEB0B" w14:textId="77777777" w:rsidR="00A720EB" w:rsidRDefault="0030286B">
            <w:pPr>
              <w:pStyle w:val="TableParagraph"/>
              <w:rPr>
                <w:sz w:val="21"/>
              </w:rPr>
            </w:pPr>
            <w:r>
              <w:rPr>
                <w:color w:val="B02045"/>
                <w:sz w:val="21"/>
              </w:rPr>
              <w:t>groovy</w:t>
            </w:r>
          </w:p>
        </w:tc>
        <w:tc>
          <w:tcPr>
            <w:tcW w:w="3325" w:type="dxa"/>
          </w:tcPr>
          <w:p w14:paraId="5A4BFB88" w14:textId="77777777" w:rsidR="00A720EB" w:rsidRDefault="0030286B">
            <w:pPr>
              <w:pStyle w:val="TableParagraph"/>
              <w:rPr>
                <w:sz w:val="21"/>
              </w:rPr>
            </w:pPr>
            <w:r>
              <w:rPr>
                <w:color w:val="B02045"/>
                <w:sz w:val="21"/>
              </w:rPr>
              <w:t>2.5.13</w:t>
            </w:r>
          </w:p>
        </w:tc>
      </w:tr>
      <w:tr w:rsidR="00A720EB" w14:paraId="56F23107" w14:textId="77777777">
        <w:trPr>
          <w:trHeight w:val="368"/>
        </w:trPr>
        <w:tc>
          <w:tcPr>
            <w:tcW w:w="3325" w:type="dxa"/>
          </w:tcPr>
          <w:p w14:paraId="29F2ACC4"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5DDA9738" w14:textId="77777777" w:rsidR="00A720EB" w:rsidRDefault="0030286B">
            <w:pPr>
              <w:pStyle w:val="TableParagraph"/>
              <w:spacing w:before="37"/>
              <w:rPr>
                <w:sz w:val="21"/>
              </w:rPr>
            </w:pPr>
            <w:r>
              <w:rPr>
                <w:color w:val="B02045"/>
                <w:sz w:val="21"/>
              </w:rPr>
              <w:t>groovy-ant</w:t>
            </w:r>
          </w:p>
        </w:tc>
        <w:tc>
          <w:tcPr>
            <w:tcW w:w="3325" w:type="dxa"/>
          </w:tcPr>
          <w:p w14:paraId="25E82C24" w14:textId="77777777" w:rsidR="00A720EB" w:rsidRDefault="0030286B">
            <w:pPr>
              <w:pStyle w:val="TableParagraph"/>
              <w:spacing w:before="37"/>
              <w:rPr>
                <w:sz w:val="21"/>
              </w:rPr>
            </w:pPr>
            <w:r>
              <w:rPr>
                <w:color w:val="B02045"/>
                <w:sz w:val="21"/>
              </w:rPr>
              <w:t>2.5.13</w:t>
            </w:r>
          </w:p>
        </w:tc>
      </w:tr>
      <w:tr w:rsidR="00A720EB" w14:paraId="01BBE8DA" w14:textId="77777777">
        <w:trPr>
          <w:trHeight w:val="368"/>
        </w:trPr>
        <w:tc>
          <w:tcPr>
            <w:tcW w:w="3325" w:type="dxa"/>
          </w:tcPr>
          <w:p w14:paraId="244FAC1E"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1F8AB4D2" w14:textId="77777777" w:rsidR="00A720EB" w:rsidRDefault="0030286B">
            <w:pPr>
              <w:pStyle w:val="TableParagraph"/>
              <w:spacing w:before="37"/>
              <w:rPr>
                <w:sz w:val="21"/>
              </w:rPr>
            </w:pPr>
            <w:r>
              <w:rPr>
                <w:color w:val="B02045"/>
                <w:sz w:val="21"/>
              </w:rPr>
              <w:t>groovy-bsf</w:t>
            </w:r>
          </w:p>
        </w:tc>
        <w:tc>
          <w:tcPr>
            <w:tcW w:w="3325" w:type="dxa"/>
          </w:tcPr>
          <w:p w14:paraId="27479F6D" w14:textId="77777777" w:rsidR="00A720EB" w:rsidRDefault="0030286B">
            <w:pPr>
              <w:pStyle w:val="TableParagraph"/>
              <w:spacing w:before="37"/>
              <w:rPr>
                <w:sz w:val="21"/>
              </w:rPr>
            </w:pPr>
            <w:r>
              <w:rPr>
                <w:color w:val="B02045"/>
                <w:sz w:val="21"/>
              </w:rPr>
              <w:t>2.5.13</w:t>
            </w:r>
          </w:p>
        </w:tc>
      </w:tr>
      <w:tr w:rsidR="00A720EB" w14:paraId="62571533" w14:textId="77777777">
        <w:trPr>
          <w:trHeight w:val="368"/>
        </w:trPr>
        <w:tc>
          <w:tcPr>
            <w:tcW w:w="3325" w:type="dxa"/>
          </w:tcPr>
          <w:p w14:paraId="20E094EA"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62BDA4CF" w14:textId="77777777" w:rsidR="00A720EB" w:rsidRDefault="0030286B">
            <w:pPr>
              <w:pStyle w:val="TableParagraph"/>
              <w:rPr>
                <w:sz w:val="21"/>
              </w:rPr>
            </w:pPr>
            <w:r>
              <w:rPr>
                <w:color w:val="B02045"/>
                <w:sz w:val="21"/>
              </w:rPr>
              <w:t>groovy-cli-commons</w:t>
            </w:r>
          </w:p>
        </w:tc>
        <w:tc>
          <w:tcPr>
            <w:tcW w:w="3325" w:type="dxa"/>
          </w:tcPr>
          <w:p w14:paraId="206874D7" w14:textId="77777777" w:rsidR="00A720EB" w:rsidRDefault="0030286B">
            <w:pPr>
              <w:pStyle w:val="TableParagraph"/>
              <w:rPr>
                <w:sz w:val="21"/>
              </w:rPr>
            </w:pPr>
            <w:r>
              <w:rPr>
                <w:color w:val="B02045"/>
                <w:sz w:val="21"/>
              </w:rPr>
              <w:t>2.5.13</w:t>
            </w:r>
          </w:p>
        </w:tc>
      </w:tr>
      <w:tr w:rsidR="00A720EB" w14:paraId="16EC1305" w14:textId="77777777">
        <w:trPr>
          <w:trHeight w:val="368"/>
        </w:trPr>
        <w:tc>
          <w:tcPr>
            <w:tcW w:w="3325" w:type="dxa"/>
          </w:tcPr>
          <w:p w14:paraId="41D52F1A"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2A7CCFAA" w14:textId="77777777" w:rsidR="00A720EB" w:rsidRDefault="0030286B">
            <w:pPr>
              <w:pStyle w:val="TableParagraph"/>
              <w:spacing w:before="37"/>
              <w:rPr>
                <w:sz w:val="21"/>
              </w:rPr>
            </w:pPr>
            <w:r>
              <w:rPr>
                <w:color w:val="B02045"/>
                <w:sz w:val="21"/>
              </w:rPr>
              <w:t>groovy-cli-picocli</w:t>
            </w:r>
          </w:p>
        </w:tc>
        <w:tc>
          <w:tcPr>
            <w:tcW w:w="3325" w:type="dxa"/>
          </w:tcPr>
          <w:p w14:paraId="113770B9" w14:textId="77777777" w:rsidR="00A720EB" w:rsidRDefault="0030286B">
            <w:pPr>
              <w:pStyle w:val="TableParagraph"/>
              <w:spacing w:before="37"/>
              <w:rPr>
                <w:sz w:val="21"/>
              </w:rPr>
            </w:pPr>
            <w:r>
              <w:rPr>
                <w:color w:val="B02045"/>
                <w:sz w:val="21"/>
              </w:rPr>
              <w:t>2.5.13</w:t>
            </w:r>
          </w:p>
        </w:tc>
      </w:tr>
      <w:tr w:rsidR="00A720EB" w14:paraId="54F59BF8" w14:textId="77777777">
        <w:trPr>
          <w:trHeight w:val="368"/>
        </w:trPr>
        <w:tc>
          <w:tcPr>
            <w:tcW w:w="3325" w:type="dxa"/>
          </w:tcPr>
          <w:p w14:paraId="79A267ED"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6679E961" w14:textId="77777777" w:rsidR="00A720EB" w:rsidRDefault="0030286B">
            <w:pPr>
              <w:pStyle w:val="TableParagraph"/>
              <w:rPr>
                <w:sz w:val="21"/>
              </w:rPr>
            </w:pPr>
            <w:r>
              <w:rPr>
                <w:color w:val="B02045"/>
                <w:sz w:val="21"/>
              </w:rPr>
              <w:t>groovy-console</w:t>
            </w:r>
          </w:p>
        </w:tc>
        <w:tc>
          <w:tcPr>
            <w:tcW w:w="3325" w:type="dxa"/>
          </w:tcPr>
          <w:p w14:paraId="6DFB18DC" w14:textId="77777777" w:rsidR="00A720EB" w:rsidRDefault="0030286B">
            <w:pPr>
              <w:pStyle w:val="TableParagraph"/>
              <w:rPr>
                <w:sz w:val="21"/>
              </w:rPr>
            </w:pPr>
            <w:r>
              <w:rPr>
                <w:color w:val="B02045"/>
                <w:sz w:val="21"/>
              </w:rPr>
              <w:t>2.5.13</w:t>
            </w:r>
          </w:p>
        </w:tc>
      </w:tr>
      <w:tr w:rsidR="00A720EB" w14:paraId="7A620AB5" w14:textId="77777777">
        <w:trPr>
          <w:trHeight w:val="368"/>
        </w:trPr>
        <w:tc>
          <w:tcPr>
            <w:tcW w:w="3325" w:type="dxa"/>
          </w:tcPr>
          <w:p w14:paraId="6D6D503C"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15ABF128" w14:textId="77777777" w:rsidR="00A720EB" w:rsidRDefault="0030286B">
            <w:pPr>
              <w:pStyle w:val="TableParagraph"/>
              <w:spacing w:before="37"/>
              <w:rPr>
                <w:sz w:val="21"/>
              </w:rPr>
            </w:pPr>
            <w:r>
              <w:rPr>
                <w:color w:val="B02045"/>
                <w:sz w:val="21"/>
              </w:rPr>
              <w:t>groovy-datetime</w:t>
            </w:r>
          </w:p>
        </w:tc>
        <w:tc>
          <w:tcPr>
            <w:tcW w:w="3325" w:type="dxa"/>
          </w:tcPr>
          <w:p w14:paraId="004F399E" w14:textId="77777777" w:rsidR="00A720EB" w:rsidRDefault="0030286B">
            <w:pPr>
              <w:pStyle w:val="TableParagraph"/>
              <w:spacing w:before="37"/>
              <w:rPr>
                <w:sz w:val="21"/>
              </w:rPr>
            </w:pPr>
            <w:r>
              <w:rPr>
                <w:color w:val="B02045"/>
                <w:sz w:val="21"/>
              </w:rPr>
              <w:t>2.5.13</w:t>
            </w:r>
          </w:p>
        </w:tc>
      </w:tr>
      <w:tr w:rsidR="00A720EB" w14:paraId="74ADC57D" w14:textId="77777777">
        <w:trPr>
          <w:trHeight w:val="368"/>
        </w:trPr>
        <w:tc>
          <w:tcPr>
            <w:tcW w:w="3325" w:type="dxa"/>
          </w:tcPr>
          <w:p w14:paraId="1E41B752"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5A228680" w14:textId="77777777" w:rsidR="00A720EB" w:rsidRDefault="0030286B">
            <w:pPr>
              <w:pStyle w:val="TableParagraph"/>
              <w:rPr>
                <w:sz w:val="21"/>
              </w:rPr>
            </w:pPr>
            <w:r>
              <w:rPr>
                <w:color w:val="B02045"/>
                <w:sz w:val="21"/>
              </w:rPr>
              <w:t>groovy-dateutil</w:t>
            </w:r>
          </w:p>
        </w:tc>
        <w:tc>
          <w:tcPr>
            <w:tcW w:w="3325" w:type="dxa"/>
          </w:tcPr>
          <w:p w14:paraId="798EC1CD" w14:textId="77777777" w:rsidR="00A720EB" w:rsidRDefault="0030286B">
            <w:pPr>
              <w:pStyle w:val="TableParagraph"/>
              <w:rPr>
                <w:sz w:val="21"/>
              </w:rPr>
            </w:pPr>
            <w:r>
              <w:rPr>
                <w:color w:val="B02045"/>
                <w:sz w:val="21"/>
              </w:rPr>
              <w:t>2.5.13</w:t>
            </w:r>
          </w:p>
        </w:tc>
      </w:tr>
      <w:tr w:rsidR="00A720EB" w14:paraId="71355E53" w14:textId="77777777">
        <w:trPr>
          <w:trHeight w:val="368"/>
        </w:trPr>
        <w:tc>
          <w:tcPr>
            <w:tcW w:w="3325" w:type="dxa"/>
          </w:tcPr>
          <w:p w14:paraId="497E3B87"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0ABE9246" w14:textId="77777777" w:rsidR="00A720EB" w:rsidRDefault="0030286B">
            <w:pPr>
              <w:pStyle w:val="TableParagraph"/>
              <w:spacing w:before="37"/>
              <w:rPr>
                <w:sz w:val="21"/>
              </w:rPr>
            </w:pPr>
            <w:r>
              <w:rPr>
                <w:color w:val="B02045"/>
                <w:sz w:val="21"/>
              </w:rPr>
              <w:t>groovy-docgenerator</w:t>
            </w:r>
          </w:p>
        </w:tc>
        <w:tc>
          <w:tcPr>
            <w:tcW w:w="3325" w:type="dxa"/>
          </w:tcPr>
          <w:p w14:paraId="4BFE2DF1" w14:textId="77777777" w:rsidR="00A720EB" w:rsidRDefault="0030286B">
            <w:pPr>
              <w:pStyle w:val="TableParagraph"/>
              <w:spacing w:before="37"/>
              <w:rPr>
                <w:sz w:val="21"/>
              </w:rPr>
            </w:pPr>
            <w:r>
              <w:rPr>
                <w:color w:val="B02045"/>
                <w:sz w:val="21"/>
              </w:rPr>
              <w:t>2.5.13</w:t>
            </w:r>
          </w:p>
        </w:tc>
      </w:tr>
      <w:tr w:rsidR="00A720EB" w14:paraId="6F8FA6F8" w14:textId="77777777">
        <w:trPr>
          <w:trHeight w:val="368"/>
        </w:trPr>
        <w:tc>
          <w:tcPr>
            <w:tcW w:w="3325" w:type="dxa"/>
          </w:tcPr>
          <w:p w14:paraId="277085F2"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22CF6F0E" w14:textId="77777777" w:rsidR="00A720EB" w:rsidRDefault="0030286B">
            <w:pPr>
              <w:pStyle w:val="TableParagraph"/>
              <w:rPr>
                <w:sz w:val="21"/>
              </w:rPr>
            </w:pPr>
            <w:r>
              <w:rPr>
                <w:color w:val="B02045"/>
                <w:sz w:val="21"/>
              </w:rPr>
              <w:t>groovy-groovydoc</w:t>
            </w:r>
          </w:p>
        </w:tc>
        <w:tc>
          <w:tcPr>
            <w:tcW w:w="3325" w:type="dxa"/>
          </w:tcPr>
          <w:p w14:paraId="0AE43345" w14:textId="77777777" w:rsidR="00A720EB" w:rsidRDefault="0030286B">
            <w:pPr>
              <w:pStyle w:val="TableParagraph"/>
              <w:rPr>
                <w:sz w:val="21"/>
              </w:rPr>
            </w:pPr>
            <w:r>
              <w:rPr>
                <w:color w:val="B02045"/>
                <w:sz w:val="21"/>
              </w:rPr>
              <w:t>2.5.13</w:t>
            </w:r>
          </w:p>
        </w:tc>
      </w:tr>
      <w:tr w:rsidR="00A720EB" w14:paraId="5EAC89A8" w14:textId="77777777">
        <w:trPr>
          <w:trHeight w:val="368"/>
        </w:trPr>
        <w:tc>
          <w:tcPr>
            <w:tcW w:w="3325" w:type="dxa"/>
          </w:tcPr>
          <w:p w14:paraId="75056E2E"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6C60BEBD" w14:textId="77777777" w:rsidR="00A720EB" w:rsidRDefault="0030286B">
            <w:pPr>
              <w:pStyle w:val="TableParagraph"/>
              <w:rPr>
                <w:sz w:val="21"/>
              </w:rPr>
            </w:pPr>
            <w:r>
              <w:rPr>
                <w:color w:val="B02045"/>
                <w:sz w:val="21"/>
              </w:rPr>
              <w:t>groovy-groovysh</w:t>
            </w:r>
          </w:p>
        </w:tc>
        <w:tc>
          <w:tcPr>
            <w:tcW w:w="3325" w:type="dxa"/>
          </w:tcPr>
          <w:p w14:paraId="56824561" w14:textId="77777777" w:rsidR="00A720EB" w:rsidRDefault="0030286B">
            <w:pPr>
              <w:pStyle w:val="TableParagraph"/>
              <w:rPr>
                <w:sz w:val="21"/>
              </w:rPr>
            </w:pPr>
            <w:r>
              <w:rPr>
                <w:color w:val="B02045"/>
                <w:sz w:val="21"/>
              </w:rPr>
              <w:t>2.5.13</w:t>
            </w:r>
          </w:p>
        </w:tc>
      </w:tr>
      <w:tr w:rsidR="00A720EB" w14:paraId="2F45694C" w14:textId="77777777">
        <w:trPr>
          <w:trHeight w:val="368"/>
        </w:trPr>
        <w:tc>
          <w:tcPr>
            <w:tcW w:w="3325" w:type="dxa"/>
          </w:tcPr>
          <w:p w14:paraId="1C29CFB2"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0B119517" w14:textId="77777777" w:rsidR="00A720EB" w:rsidRDefault="0030286B">
            <w:pPr>
              <w:pStyle w:val="TableParagraph"/>
              <w:rPr>
                <w:sz w:val="21"/>
              </w:rPr>
            </w:pPr>
            <w:r>
              <w:rPr>
                <w:color w:val="B02045"/>
                <w:sz w:val="21"/>
              </w:rPr>
              <w:t>groovy-jaxb</w:t>
            </w:r>
          </w:p>
        </w:tc>
        <w:tc>
          <w:tcPr>
            <w:tcW w:w="3325" w:type="dxa"/>
          </w:tcPr>
          <w:p w14:paraId="3C915A63" w14:textId="77777777" w:rsidR="00A720EB" w:rsidRDefault="0030286B">
            <w:pPr>
              <w:pStyle w:val="TableParagraph"/>
              <w:rPr>
                <w:sz w:val="21"/>
              </w:rPr>
            </w:pPr>
            <w:r>
              <w:rPr>
                <w:color w:val="B02045"/>
                <w:sz w:val="21"/>
              </w:rPr>
              <w:t>2.5.13</w:t>
            </w:r>
          </w:p>
        </w:tc>
      </w:tr>
      <w:tr w:rsidR="00A720EB" w14:paraId="29E72AC7" w14:textId="77777777">
        <w:trPr>
          <w:trHeight w:val="368"/>
        </w:trPr>
        <w:tc>
          <w:tcPr>
            <w:tcW w:w="3325" w:type="dxa"/>
          </w:tcPr>
          <w:p w14:paraId="14E56094"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3EB6CAAF" w14:textId="77777777" w:rsidR="00A720EB" w:rsidRDefault="0030286B">
            <w:pPr>
              <w:pStyle w:val="TableParagraph"/>
              <w:rPr>
                <w:sz w:val="21"/>
              </w:rPr>
            </w:pPr>
            <w:r>
              <w:rPr>
                <w:color w:val="B02045"/>
                <w:sz w:val="21"/>
              </w:rPr>
              <w:t>groovy-jmx</w:t>
            </w:r>
          </w:p>
        </w:tc>
        <w:tc>
          <w:tcPr>
            <w:tcW w:w="3325" w:type="dxa"/>
          </w:tcPr>
          <w:p w14:paraId="058A68E7" w14:textId="77777777" w:rsidR="00A720EB" w:rsidRDefault="0030286B">
            <w:pPr>
              <w:pStyle w:val="TableParagraph"/>
              <w:rPr>
                <w:sz w:val="21"/>
              </w:rPr>
            </w:pPr>
            <w:r>
              <w:rPr>
                <w:color w:val="B02045"/>
                <w:sz w:val="21"/>
              </w:rPr>
              <w:t>2.5.13</w:t>
            </w:r>
          </w:p>
        </w:tc>
      </w:tr>
    </w:tbl>
    <w:p w14:paraId="2460EB5D"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634745CD" w14:textId="77777777">
        <w:trPr>
          <w:trHeight w:val="415"/>
        </w:trPr>
        <w:tc>
          <w:tcPr>
            <w:tcW w:w="3325" w:type="dxa"/>
            <w:tcBorders>
              <w:bottom w:val="single" w:sz="12" w:space="0" w:color="DDDDDD"/>
            </w:tcBorders>
          </w:tcPr>
          <w:p w14:paraId="353204CF"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5AEF519D"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2A1ADAC3"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7A520149" w14:textId="77777777">
        <w:trPr>
          <w:trHeight w:val="358"/>
        </w:trPr>
        <w:tc>
          <w:tcPr>
            <w:tcW w:w="3325" w:type="dxa"/>
            <w:tcBorders>
              <w:top w:val="single" w:sz="12" w:space="0" w:color="DDDDDD"/>
            </w:tcBorders>
          </w:tcPr>
          <w:p w14:paraId="404DB6F1" w14:textId="77777777" w:rsidR="00A720EB" w:rsidRDefault="0030286B">
            <w:pPr>
              <w:pStyle w:val="TableParagraph"/>
              <w:spacing w:before="27"/>
              <w:rPr>
                <w:sz w:val="21"/>
              </w:rPr>
            </w:pPr>
            <w:proofErr w:type="gramStart"/>
            <w:r>
              <w:rPr>
                <w:color w:val="B02045"/>
                <w:sz w:val="21"/>
              </w:rPr>
              <w:t>org.codehaus</w:t>
            </w:r>
            <w:proofErr w:type="gramEnd"/>
            <w:r>
              <w:rPr>
                <w:color w:val="B02045"/>
                <w:sz w:val="21"/>
              </w:rPr>
              <w:t>.groovy</w:t>
            </w:r>
          </w:p>
        </w:tc>
        <w:tc>
          <w:tcPr>
            <w:tcW w:w="3325" w:type="dxa"/>
            <w:tcBorders>
              <w:top w:val="single" w:sz="12" w:space="0" w:color="DDDDDD"/>
            </w:tcBorders>
          </w:tcPr>
          <w:p w14:paraId="007023DB" w14:textId="77777777" w:rsidR="00A720EB" w:rsidRDefault="0030286B">
            <w:pPr>
              <w:pStyle w:val="TableParagraph"/>
              <w:spacing w:before="27"/>
              <w:rPr>
                <w:sz w:val="21"/>
              </w:rPr>
            </w:pPr>
            <w:r>
              <w:rPr>
                <w:color w:val="B02045"/>
                <w:sz w:val="21"/>
              </w:rPr>
              <w:t>groovy-json</w:t>
            </w:r>
          </w:p>
        </w:tc>
        <w:tc>
          <w:tcPr>
            <w:tcW w:w="3325" w:type="dxa"/>
            <w:tcBorders>
              <w:top w:val="single" w:sz="12" w:space="0" w:color="DDDDDD"/>
            </w:tcBorders>
          </w:tcPr>
          <w:p w14:paraId="691C360A" w14:textId="77777777" w:rsidR="00A720EB" w:rsidRDefault="0030286B">
            <w:pPr>
              <w:pStyle w:val="TableParagraph"/>
              <w:spacing w:before="27"/>
              <w:rPr>
                <w:sz w:val="21"/>
              </w:rPr>
            </w:pPr>
            <w:r>
              <w:rPr>
                <w:color w:val="B02045"/>
                <w:sz w:val="21"/>
              </w:rPr>
              <w:t>2.5.13</w:t>
            </w:r>
          </w:p>
        </w:tc>
      </w:tr>
      <w:tr w:rsidR="00A720EB" w14:paraId="34E7FFA1" w14:textId="77777777">
        <w:trPr>
          <w:trHeight w:val="368"/>
        </w:trPr>
        <w:tc>
          <w:tcPr>
            <w:tcW w:w="3325" w:type="dxa"/>
          </w:tcPr>
          <w:p w14:paraId="37084927"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53EB2BEB" w14:textId="77777777" w:rsidR="00A720EB" w:rsidRDefault="0030286B">
            <w:pPr>
              <w:pStyle w:val="TableParagraph"/>
              <w:spacing w:before="37"/>
              <w:rPr>
                <w:sz w:val="21"/>
              </w:rPr>
            </w:pPr>
            <w:r>
              <w:rPr>
                <w:color w:val="B02045"/>
                <w:sz w:val="21"/>
              </w:rPr>
              <w:t>groovy-json-direct</w:t>
            </w:r>
          </w:p>
        </w:tc>
        <w:tc>
          <w:tcPr>
            <w:tcW w:w="3325" w:type="dxa"/>
          </w:tcPr>
          <w:p w14:paraId="0000AC8B" w14:textId="77777777" w:rsidR="00A720EB" w:rsidRDefault="0030286B">
            <w:pPr>
              <w:pStyle w:val="TableParagraph"/>
              <w:spacing w:before="37"/>
              <w:rPr>
                <w:sz w:val="21"/>
              </w:rPr>
            </w:pPr>
            <w:r>
              <w:rPr>
                <w:color w:val="B02045"/>
                <w:sz w:val="21"/>
              </w:rPr>
              <w:t>2.5.13</w:t>
            </w:r>
          </w:p>
        </w:tc>
      </w:tr>
      <w:tr w:rsidR="00A720EB" w14:paraId="41240C77" w14:textId="77777777">
        <w:trPr>
          <w:trHeight w:val="368"/>
        </w:trPr>
        <w:tc>
          <w:tcPr>
            <w:tcW w:w="3325" w:type="dxa"/>
          </w:tcPr>
          <w:p w14:paraId="434680A2"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02C19083" w14:textId="77777777" w:rsidR="00A720EB" w:rsidRDefault="0030286B">
            <w:pPr>
              <w:pStyle w:val="TableParagraph"/>
              <w:spacing w:before="37"/>
              <w:rPr>
                <w:sz w:val="21"/>
              </w:rPr>
            </w:pPr>
            <w:r>
              <w:rPr>
                <w:color w:val="B02045"/>
                <w:sz w:val="21"/>
              </w:rPr>
              <w:t>groovy-jsr223</w:t>
            </w:r>
          </w:p>
        </w:tc>
        <w:tc>
          <w:tcPr>
            <w:tcW w:w="3325" w:type="dxa"/>
          </w:tcPr>
          <w:p w14:paraId="56D193E8" w14:textId="77777777" w:rsidR="00A720EB" w:rsidRDefault="0030286B">
            <w:pPr>
              <w:pStyle w:val="TableParagraph"/>
              <w:spacing w:before="37"/>
              <w:rPr>
                <w:sz w:val="21"/>
              </w:rPr>
            </w:pPr>
            <w:r>
              <w:rPr>
                <w:color w:val="B02045"/>
                <w:sz w:val="21"/>
              </w:rPr>
              <w:t>2.5.13</w:t>
            </w:r>
          </w:p>
        </w:tc>
      </w:tr>
      <w:tr w:rsidR="00A720EB" w14:paraId="6642966A" w14:textId="77777777">
        <w:trPr>
          <w:trHeight w:val="368"/>
        </w:trPr>
        <w:tc>
          <w:tcPr>
            <w:tcW w:w="3325" w:type="dxa"/>
          </w:tcPr>
          <w:p w14:paraId="1EFF1244"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3A6C76CC" w14:textId="77777777" w:rsidR="00A720EB" w:rsidRDefault="0030286B">
            <w:pPr>
              <w:pStyle w:val="TableParagraph"/>
              <w:rPr>
                <w:sz w:val="21"/>
              </w:rPr>
            </w:pPr>
            <w:r>
              <w:rPr>
                <w:color w:val="B02045"/>
                <w:sz w:val="21"/>
              </w:rPr>
              <w:t>groovy-macro</w:t>
            </w:r>
          </w:p>
        </w:tc>
        <w:tc>
          <w:tcPr>
            <w:tcW w:w="3325" w:type="dxa"/>
          </w:tcPr>
          <w:p w14:paraId="6E163D82" w14:textId="77777777" w:rsidR="00A720EB" w:rsidRDefault="0030286B">
            <w:pPr>
              <w:pStyle w:val="TableParagraph"/>
              <w:rPr>
                <w:sz w:val="21"/>
              </w:rPr>
            </w:pPr>
            <w:r>
              <w:rPr>
                <w:color w:val="B02045"/>
                <w:sz w:val="21"/>
              </w:rPr>
              <w:t>2.5.13</w:t>
            </w:r>
          </w:p>
        </w:tc>
      </w:tr>
      <w:tr w:rsidR="00A720EB" w14:paraId="2A277C81" w14:textId="77777777">
        <w:trPr>
          <w:trHeight w:val="368"/>
        </w:trPr>
        <w:tc>
          <w:tcPr>
            <w:tcW w:w="3325" w:type="dxa"/>
          </w:tcPr>
          <w:p w14:paraId="239159D2"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1A2F83B1" w14:textId="77777777" w:rsidR="00A720EB" w:rsidRDefault="0030286B">
            <w:pPr>
              <w:pStyle w:val="TableParagraph"/>
              <w:rPr>
                <w:sz w:val="21"/>
              </w:rPr>
            </w:pPr>
            <w:r>
              <w:rPr>
                <w:color w:val="B02045"/>
                <w:sz w:val="21"/>
              </w:rPr>
              <w:t>groovy-nio</w:t>
            </w:r>
          </w:p>
        </w:tc>
        <w:tc>
          <w:tcPr>
            <w:tcW w:w="3325" w:type="dxa"/>
          </w:tcPr>
          <w:p w14:paraId="2BDBCBD5" w14:textId="77777777" w:rsidR="00A720EB" w:rsidRDefault="0030286B">
            <w:pPr>
              <w:pStyle w:val="TableParagraph"/>
              <w:rPr>
                <w:sz w:val="21"/>
              </w:rPr>
            </w:pPr>
            <w:r>
              <w:rPr>
                <w:color w:val="B02045"/>
                <w:sz w:val="21"/>
              </w:rPr>
              <w:t>2.5.13</w:t>
            </w:r>
          </w:p>
        </w:tc>
      </w:tr>
      <w:tr w:rsidR="00A720EB" w14:paraId="2913217D" w14:textId="77777777">
        <w:trPr>
          <w:trHeight w:val="368"/>
        </w:trPr>
        <w:tc>
          <w:tcPr>
            <w:tcW w:w="3325" w:type="dxa"/>
          </w:tcPr>
          <w:p w14:paraId="47E01756"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7AEC1A1A" w14:textId="77777777" w:rsidR="00A720EB" w:rsidRDefault="0030286B">
            <w:pPr>
              <w:pStyle w:val="TableParagraph"/>
              <w:rPr>
                <w:sz w:val="21"/>
              </w:rPr>
            </w:pPr>
            <w:r>
              <w:rPr>
                <w:color w:val="B02045"/>
                <w:sz w:val="21"/>
              </w:rPr>
              <w:t>groovy-servlet</w:t>
            </w:r>
          </w:p>
        </w:tc>
        <w:tc>
          <w:tcPr>
            <w:tcW w:w="3325" w:type="dxa"/>
          </w:tcPr>
          <w:p w14:paraId="4EB24BCF" w14:textId="77777777" w:rsidR="00A720EB" w:rsidRDefault="0030286B">
            <w:pPr>
              <w:pStyle w:val="TableParagraph"/>
              <w:rPr>
                <w:sz w:val="21"/>
              </w:rPr>
            </w:pPr>
            <w:r>
              <w:rPr>
                <w:color w:val="B02045"/>
                <w:sz w:val="21"/>
              </w:rPr>
              <w:t>2.5.13</w:t>
            </w:r>
          </w:p>
        </w:tc>
      </w:tr>
      <w:tr w:rsidR="00A720EB" w14:paraId="412C8DD6" w14:textId="77777777">
        <w:trPr>
          <w:trHeight w:val="368"/>
        </w:trPr>
        <w:tc>
          <w:tcPr>
            <w:tcW w:w="3325" w:type="dxa"/>
          </w:tcPr>
          <w:p w14:paraId="5DF8715B"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1F218BB3" w14:textId="77777777" w:rsidR="00A720EB" w:rsidRDefault="0030286B">
            <w:pPr>
              <w:pStyle w:val="TableParagraph"/>
              <w:rPr>
                <w:sz w:val="21"/>
              </w:rPr>
            </w:pPr>
            <w:r>
              <w:rPr>
                <w:color w:val="B02045"/>
                <w:sz w:val="21"/>
              </w:rPr>
              <w:t>groovy-sql</w:t>
            </w:r>
          </w:p>
        </w:tc>
        <w:tc>
          <w:tcPr>
            <w:tcW w:w="3325" w:type="dxa"/>
          </w:tcPr>
          <w:p w14:paraId="64F90B1F" w14:textId="77777777" w:rsidR="00A720EB" w:rsidRDefault="0030286B">
            <w:pPr>
              <w:pStyle w:val="TableParagraph"/>
              <w:rPr>
                <w:sz w:val="21"/>
              </w:rPr>
            </w:pPr>
            <w:r>
              <w:rPr>
                <w:color w:val="B02045"/>
                <w:sz w:val="21"/>
              </w:rPr>
              <w:t>2.5.13</w:t>
            </w:r>
          </w:p>
        </w:tc>
      </w:tr>
      <w:tr w:rsidR="00A720EB" w14:paraId="6C946369" w14:textId="77777777">
        <w:trPr>
          <w:trHeight w:val="368"/>
        </w:trPr>
        <w:tc>
          <w:tcPr>
            <w:tcW w:w="3325" w:type="dxa"/>
          </w:tcPr>
          <w:p w14:paraId="654A21F5"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68059E53" w14:textId="77777777" w:rsidR="00A720EB" w:rsidRDefault="0030286B">
            <w:pPr>
              <w:pStyle w:val="TableParagraph"/>
              <w:spacing w:before="37"/>
              <w:rPr>
                <w:sz w:val="21"/>
              </w:rPr>
            </w:pPr>
            <w:r>
              <w:rPr>
                <w:color w:val="B02045"/>
                <w:sz w:val="21"/>
              </w:rPr>
              <w:t>groovy-swing</w:t>
            </w:r>
          </w:p>
        </w:tc>
        <w:tc>
          <w:tcPr>
            <w:tcW w:w="3325" w:type="dxa"/>
          </w:tcPr>
          <w:p w14:paraId="3A97CCB1" w14:textId="77777777" w:rsidR="00A720EB" w:rsidRDefault="0030286B">
            <w:pPr>
              <w:pStyle w:val="TableParagraph"/>
              <w:spacing w:before="37"/>
              <w:rPr>
                <w:sz w:val="21"/>
              </w:rPr>
            </w:pPr>
            <w:r>
              <w:rPr>
                <w:color w:val="B02045"/>
                <w:sz w:val="21"/>
              </w:rPr>
              <w:t>2.5.13</w:t>
            </w:r>
          </w:p>
        </w:tc>
      </w:tr>
      <w:tr w:rsidR="00A720EB" w14:paraId="6EAA8451" w14:textId="77777777">
        <w:trPr>
          <w:trHeight w:val="368"/>
        </w:trPr>
        <w:tc>
          <w:tcPr>
            <w:tcW w:w="3325" w:type="dxa"/>
          </w:tcPr>
          <w:p w14:paraId="13B6AD6E"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62281938" w14:textId="77777777" w:rsidR="00A720EB" w:rsidRDefault="0030286B">
            <w:pPr>
              <w:pStyle w:val="TableParagraph"/>
              <w:spacing w:before="37"/>
              <w:rPr>
                <w:sz w:val="21"/>
              </w:rPr>
            </w:pPr>
            <w:r>
              <w:rPr>
                <w:color w:val="B02045"/>
                <w:sz w:val="21"/>
              </w:rPr>
              <w:t>groovy-templates</w:t>
            </w:r>
          </w:p>
        </w:tc>
        <w:tc>
          <w:tcPr>
            <w:tcW w:w="3325" w:type="dxa"/>
          </w:tcPr>
          <w:p w14:paraId="375C6564" w14:textId="77777777" w:rsidR="00A720EB" w:rsidRDefault="0030286B">
            <w:pPr>
              <w:pStyle w:val="TableParagraph"/>
              <w:spacing w:before="37"/>
              <w:rPr>
                <w:sz w:val="21"/>
              </w:rPr>
            </w:pPr>
            <w:r>
              <w:rPr>
                <w:color w:val="B02045"/>
                <w:sz w:val="21"/>
              </w:rPr>
              <w:t>2.5.13</w:t>
            </w:r>
          </w:p>
        </w:tc>
      </w:tr>
      <w:tr w:rsidR="00A720EB" w14:paraId="1CEEFDEF" w14:textId="77777777">
        <w:trPr>
          <w:trHeight w:val="368"/>
        </w:trPr>
        <w:tc>
          <w:tcPr>
            <w:tcW w:w="3325" w:type="dxa"/>
          </w:tcPr>
          <w:p w14:paraId="1EA31336"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7124B4CA" w14:textId="77777777" w:rsidR="00A720EB" w:rsidRDefault="0030286B">
            <w:pPr>
              <w:pStyle w:val="TableParagraph"/>
              <w:spacing w:before="37"/>
              <w:rPr>
                <w:sz w:val="21"/>
              </w:rPr>
            </w:pPr>
            <w:r>
              <w:rPr>
                <w:color w:val="B02045"/>
                <w:sz w:val="21"/>
              </w:rPr>
              <w:t>groovy-test</w:t>
            </w:r>
          </w:p>
        </w:tc>
        <w:tc>
          <w:tcPr>
            <w:tcW w:w="3325" w:type="dxa"/>
          </w:tcPr>
          <w:p w14:paraId="28388FBD" w14:textId="77777777" w:rsidR="00A720EB" w:rsidRDefault="0030286B">
            <w:pPr>
              <w:pStyle w:val="TableParagraph"/>
              <w:spacing w:before="37"/>
              <w:rPr>
                <w:sz w:val="21"/>
              </w:rPr>
            </w:pPr>
            <w:r>
              <w:rPr>
                <w:color w:val="B02045"/>
                <w:sz w:val="21"/>
              </w:rPr>
              <w:t>2.5.13</w:t>
            </w:r>
          </w:p>
        </w:tc>
      </w:tr>
      <w:tr w:rsidR="00A720EB" w14:paraId="0BC0A0E4" w14:textId="77777777">
        <w:trPr>
          <w:trHeight w:val="368"/>
        </w:trPr>
        <w:tc>
          <w:tcPr>
            <w:tcW w:w="3325" w:type="dxa"/>
          </w:tcPr>
          <w:p w14:paraId="17907D1D"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.groovy</w:t>
            </w:r>
          </w:p>
        </w:tc>
        <w:tc>
          <w:tcPr>
            <w:tcW w:w="3325" w:type="dxa"/>
          </w:tcPr>
          <w:p w14:paraId="1D1C795C" w14:textId="77777777" w:rsidR="00A720EB" w:rsidRDefault="0030286B">
            <w:pPr>
              <w:pStyle w:val="TableParagraph"/>
              <w:spacing w:before="37"/>
              <w:rPr>
                <w:sz w:val="21"/>
              </w:rPr>
            </w:pPr>
            <w:r>
              <w:rPr>
                <w:color w:val="B02045"/>
                <w:sz w:val="21"/>
              </w:rPr>
              <w:t>groovy-test-junit5</w:t>
            </w:r>
          </w:p>
        </w:tc>
        <w:tc>
          <w:tcPr>
            <w:tcW w:w="3325" w:type="dxa"/>
          </w:tcPr>
          <w:p w14:paraId="68687E42" w14:textId="77777777" w:rsidR="00A720EB" w:rsidRDefault="0030286B">
            <w:pPr>
              <w:pStyle w:val="TableParagraph"/>
              <w:spacing w:before="37"/>
              <w:rPr>
                <w:sz w:val="21"/>
              </w:rPr>
            </w:pPr>
            <w:r>
              <w:rPr>
                <w:color w:val="B02045"/>
                <w:sz w:val="21"/>
              </w:rPr>
              <w:t>2.5.13</w:t>
            </w:r>
          </w:p>
        </w:tc>
      </w:tr>
      <w:tr w:rsidR="00A720EB" w14:paraId="33F24E5E" w14:textId="77777777">
        <w:trPr>
          <w:trHeight w:val="368"/>
        </w:trPr>
        <w:tc>
          <w:tcPr>
            <w:tcW w:w="3325" w:type="dxa"/>
          </w:tcPr>
          <w:p w14:paraId="77E9086B"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41F4D68D" w14:textId="77777777" w:rsidR="00A720EB" w:rsidRDefault="0030286B">
            <w:pPr>
              <w:pStyle w:val="TableParagraph"/>
              <w:rPr>
                <w:sz w:val="21"/>
              </w:rPr>
            </w:pPr>
            <w:r>
              <w:rPr>
                <w:color w:val="B02045"/>
                <w:sz w:val="21"/>
              </w:rPr>
              <w:t>groovy-testng</w:t>
            </w:r>
          </w:p>
        </w:tc>
        <w:tc>
          <w:tcPr>
            <w:tcW w:w="3325" w:type="dxa"/>
          </w:tcPr>
          <w:p w14:paraId="68D7A56E" w14:textId="77777777" w:rsidR="00A720EB" w:rsidRDefault="0030286B">
            <w:pPr>
              <w:pStyle w:val="TableParagraph"/>
              <w:rPr>
                <w:sz w:val="21"/>
              </w:rPr>
            </w:pPr>
            <w:r>
              <w:rPr>
                <w:color w:val="B02045"/>
                <w:sz w:val="21"/>
              </w:rPr>
              <w:t>2.5.13</w:t>
            </w:r>
          </w:p>
        </w:tc>
      </w:tr>
      <w:tr w:rsidR="00A720EB" w14:paraId="19374F13" w14:textId="77777777">
        <w:trPr>
          <w:trHeight w:val="368"/>
        </w:trPr>
        <w:tc>
          <w:tcPr>
            <w:tcW w:w="3325" w:type="dxa"/>
          </w:tcPr>
          <w:p w14:paraId="71B54B14" w14:textId="77777777" w:rsidR="00A720EB" w:rsidRDefault="0030286B">
            <w:pPr>
              <w:pStyle w:val="TableParagraph"/>
              <w:rPr>
                <w:sz w:val="21"/>
              </w:rPr>
            </w:pPr>
            <w:proofErr w:type="gramStart"/>
            <w:r>
              <w:rPr>
                <w:color w:val="B02045"/>
                <w:sz w:val="21"/>
              </w:rPr>
              <w:t>org.codehaus</w:t>
            </w:r>
            <w:proofErr w:type="gramEnd"/>
            <w:r>
              <w:rPr>
                <w:color w:val="B02045"/>
                <w:sz w:val="21"/>
              </w:rPr>
              <w:t>.groovy</w:t>
            </w:r>
          </w:p>
        </w:tc>
        <w:tc>
          <w:tcPr>
            <w:tcW w:w="3325" w:type="dxa"/>
          </w:tcPr>
          <w:p w14:paraId="530E43C9" w14:textId="77777777" w:rsidR="00A720EB" w:rsidRDefault="0030286B">
            <w:pPr>
              <w:pStyle w:val="TableParagraph"/>
              <w:rPr>
                <w:sz w:val="21"/>
              </w:rPr>
            </w:pPr>
            <w:r>
              <w:rPr>
                <w:color w:val="B02045"/>
                <w:sz w:val="21"/>
              </w:rPr>
              <w:t>groovy-xml</w:t>
            </w:r>
          </w:p>
        </w:tc>
        <w:tc>
          <w:tcPr>
            <w:tcW w:w="3325" w:type="dxa"/>
          </w:tcPr>
          <w:p w14:paraId="654B6A3B" w14:textId="77777777" w:rsidR="00A720EB" w:rsidRDefault="0030286B">
            <w:pPr>
              <w:pStyle w:val="TableParagraph"/>
              <w:rPr>
                <w:sz w:val="21"/>
              </w:rPr>
            </w:pPr>
            <w:r>
              <w:rPr>
                <w:color w:val="B02045"/>
                <w:sz w:val="21"/>
              </w:rPr>
              <w:t>2.5.13</w:t>
            </w:r>
          </w:p>
        </w:tc>
      </w:tr>
      <w:tr w:rsidR="00A720EB" w14:paraId="22DE72BF" w14:textId="77777777">
        <w:trPr>
          <w:trHeight w:val="368"/>
        </w:trPr>
        <w:tc>
          <w:tcPr>
            <w:tcW w:w="3325" w:type="dxa"/>
          </w:tcPr>
          <w:p w14:paraId="79E1461E" w14:textId="77777777" w:rsidR="00A720EB" w:rsidRDefault="0030286B">
            <w:pPr>
              <w:pStyle w:val="TableParagraph"/>
              <w:rPr>
                <w:sz w:val="21"/>
              </w:rPr>
            </w:pPr>
            <w:proofErr w:type="gramStart"/>
            <w:r>
              <w:rPr>
                <w:color w:val="B02045"/>
                <w:sz w:val="21"/>
              </w:rPr>
              <w:t>org.codehaus</w:t>
            </w:r>
            <w:proofErr w:type="gramEnd"/>
            <w:r>
              <w:rPr>
                <w:color w:val="B02045"/>
                <w:sz w:val="21"/>
              </w:rPr>
              <w:t>.janino</w:t>
            </w:r>
          </w:p>
        </w:tc>
        <w:tc>
          <w:tcPr>
            <w:tcW w:w="3325" w:type="dxa"/>
          </w:tcPr>
          <w:p w14:paraId="524BF245" w14:textId="77777777" w:rsidR="00A720EB" w:rsidRDefault="0030286B">
            <w:pPr>
              <w:pStyle w:val="TableParagraph"/>
              <w:rPr>
                <w:sz w:val="21"/>
              </w:rPr>
            </w:pPr>
            <w:r>
              <w:rPr>
                <w:color w:val="B02045"/>
                <w:sz w:val="21"/>
              </w:rPr>
              <w:t>commons-compiler</w:t>
            </w:r>
          </w:p>
        </w:tc>
        <w:tc>
          <w:tcPr>
            <w:tcW w:w="3325" w:type="dxa"/>
          </w:tcPr>
          <w:p w14:paraId="469A2732" w14:textId="77777777" w:rsidR="00A720EB" w:rsidRDefault="0030286B">
            <w:pPr>
              <w:pStyle w:val="TableParagraph"/>
              <w:rPr>
                <w:sz w:val="21"/>
              </w:rPr>
            </w:pPr>
            <w:r>
              <w:rPr>
                <w:color w:val="B02045"/>
                <w:sz w:val="21"/>
              </w:rPr>
              <w:t>3.1.2</w:t>
            </w:r>
          </w:p>
        </w:tc>
      </w:tr>
      <w:tr w:rsidR="00A720EB" w14:paraId="78FC1A70" w14:textId="77777777">
        <w:trPr>
          <w:trHeight w:val="368"/>
        </w:trPr>
        <w:tc>
          <w:tcPr>
            <w:tcW w:w="3325" w:type="dxa"/>
          </w:tcPr>
          <w:p w14:paraId="4AE4CB19" w14:textId="77777777" w:rsidR="00A720EB" w:rsidRDefault="0030286B">
            <w:pPr>
              <w:pStyle w:val="TableParagraph"/>
              <w:spacing w:before="37"/>
              <w:rPr>
                <w:sz w:val="21"/>
              </w:rPr>
            </w:pPr>
            <w:proofErr w:type="gramStart"/>
            <w:r>
              <w:rPr>
                <w:color w:val="B02045"/>
                <w:sz w:val="21"/>
              </w:rPr>
              <w:t>org.codehaus</w:t>
            </w:r>
            <w:proofErr w:type="gramEnd"/>
            <w:r>
              <w:rPr>
                <w:color w:val="B02045"/>
                <w:sz w:val="21"/>
              </w:rPr>
              <w:t>.janino</w:t>
            </w:r>
          </w:p>
        </w:tc>
        <w:tc>
          <w:tcPr>
            <w:tcW w:w="3325" w:type="dxa"/>
          </w:tcPr>
          <w:p w14:paraId="46506363" w14:textId="77777777" w:rsidR="00A720EB" w:rsidRDefault="0030286B">
            <w:pPr>
              <w:pStyle w:val="TableParagraph"/>
              <w:spacing w:before="37"/>
              <w:rPr>
                <w:sz w:val="21"/>
              </w:rPr>
            </w:pPr>
            <w:r>
              <w:rPr>
                <w:color w:val="B02045"/>
                <w:sz w:val="21"/>
              </w:rPr>
              <w:t>commons-compiler-jdk</w:t>
            </w:r>
          </w:p>
        </w:tc>
        <w:tc>
          <w:tcPr>
            <w:tcW w:w="3325" w:type="dxa"/>
          </w:tcPr>
          <w:p w14:paraId="1501969F" w14:textId="77777777" w:rsidR="00A720EB" w:rsidRDefault="0030286B">
            <w:pPr>
              <w:pStyle w:val="TableParagraph"/>
              <w:spacing w:before="37"/>
              <w:rPr>
                <w:sz w:val="21"/>
              </w:rPr>
            </w:pPr>
            <w:r>
              <w:rPr>
                <w:color w:val="B02045"/>
                <w:sz w:val="21"/>
              </w:rPr>
              <w:t>3.1.2</w:t>
            </w:r>
          </w:p>
        </w:tc>
      </w:tr>
      <w:tr w:rsidR="00A720EB" w14:paraId="0C677FB0" w14:textId="77777777">
        <w:trPr>
          <w:trHeight w:val="368"/>
        </w:trPr>
        <w:tc>
          <w:tcPr>
            <w:tcW w:w="3325" w:type="dxa"/>
          </w:tcPr>
          <w:p w14:paraId="7A8F423B" w14:textId="77777777" w:rsidR="00A720EB" w:rsidRDefault="0030286B">
            <w:pPr>
              <w:pStyle w:val="TableParagraph"/>
              <w:rPr>
                <w:sz w:val="21"/>
              </w:rPr>
            </w:pPr>
            <w:proofErr w:type="gramStart"/>
            <w:r>
              <w:rPr>
                <w:color w:val="B02045"/>
                <w:sz w:val="21"/>
              </w:rPr>
              <w:t>org.codehaus</w:t>
            </w:r>
            <w:proofErr w:type="gramEnd"/>
            <w:r>
              <w:rPr>
                <w:color w:val="B02045"/>
                <w:sz w:val="21"/>
              </w:rPr>
              <w:t>.janino</w:t>
            </w:r>
          </w:p>
        </w:tc>
        <w:tc>
          <w:tcPr>
            <w:tcW w:w="3325" w:type="dxa"/>
          </w:tcPr>
          <w:p w14:paraId="64ECC1E6" w14:textId="77777777" w:rsidR="00A720EB" w:rsidRDefault="0030286B">
            <w:pPr>
              <w:pStyle w:val="TableParagraph"/>
              <w:rPr>
                <w:sz w:val="21"/>
              </w:rPr>
            </w:pPr>
            <w:r>
              <w:rPr>
                <w:color w:val="B02045"/>
                <w:sz w:val="21"/>
              </w:rPr>
              <w:t>janino</w:t>
            </w:r>
          </w:p>
        </w:tc>
        <w:tc>
          <w:tcPr>
            <w:tcW w:w="3325" w:type="dxa"/>
          </w:tcPr>
          <w:p w14:paraId="69D7871E" w14:textId="77777777" w:rsidR="00A720EB" w:rsidRDefault="0030286B">
            <w:pPr>
              <w:pStyle w:val="TableParagraph"/>
              <w:rPr>
                <w:sz w:val="21"/>
              </w:rPr>
            </w:pPr>
            <w:r>
              <w:rPr>
                <w:color w:val="B02045"/>
                <w:sz w:val="21"/>
              </w:rPr>
              <w:t>3.1.2</w:t>
            </w:r>
          </w:p>
        </w:tc>
      </w:tr>
      <w:tr w:rsidR="00A720EB" w14:paraId="105D5361" w14:textId="77777777">
        <w:trPr>
          <w:trHeight w:val="368"/>
        </w:trPr>
        <w:tc>
          <w:tcPr>
            <w:tcW w:w="3325" w:type="dxa"/>
          </w:tcPr>
          <w:p w14:paraId="799A4B17"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2F3FAE7D" w14:textId="77777777" w:rsidR="00A720EB" w:rsidRDefault="0030286B">
            <w:pPr>
              <w:pStyle w:val="TableParagraph"/>
              <w:rPr>
                <w:sz w:val="21"/>
              </w:rPr>
            </w:pPr>
            <w:r>
              <w:rPr>
                <w:color w:val="B02045"/>
                <w:sz w:val="21"/>
              </w:rPr>
              <w:t>apache-jsp</w:t>
            </w:r>
          </w:p>
        </w:tc>
        <w:tc>
          <w:tcPr>
            <w:tcW w:w="3325" w:type="dxa"/>
          </w:tcPr>
          <w:p w14:paraId="3915B213"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17144EB2" w14:textId="77777777">
        <w:trPr>
          <w:trHeight w:val="368"/>
        </w:trPr>
        <w:tc>
          <w:tcPr>
            <w:tcW w:w="3325" w:type="dxa"/>
          </w:tcPr>
          <w:p w14:paraId="675466DC"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2BFAEFB9" w14:textId="77777777" w:rsidR="00A720EB" w:rsidRDefault="0030286B">
            <w:pPr>
              <w:pStyle w:val="TableParagraph"/>
              <w:spacing w:before="37"/>
              <w:rPr>
                <w:sz w:val="21"/>
              </w:rPr>
            </w:pPr>
            <w:r>
              <w:rPr>
                <w:color w:val="B02045"/>
                <w:sz w:val="21"/>
              </w:rPr>
              <w:t>apache-jstl</w:t>
            </w:r>
          </w:p>
        </w:tc>
        <w:tc>
          <w:tcPr>
            <w:tcW w:w="3325" w:type="dxa"/>
          </w:tcPr>
          <w:p w14:paraId="54CB51F7"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59B43EB0" w14:textId="77777777">
        <w:trPr>
          <w:trHeight w:val="368"/>
        </w:trPr>
        <w:tc>
          <w:tcPr>
            <w:tcW w:w="3325" w:type="dxa"/>
          </w:tcPr>
          <w:p w14:paraId="011BAD9A"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1DDFA37F" w14:textId="77777777" w:rsidR="00A720EB" w:rsidRDefault="0030286B">
            <w:pPr>
              <w:pStyle w:val="TableParagraph"/>
              <w:spacing w:before="37"/>
              <w:rPr>
                <w:sz w:val="21"/>
              </w:rPr>
            </w:pPr>
            <w:r>
              <w:rPr>
                <w:color w:val="B02045"/>
                <w:sz w:val="21"/>
              </w:rPr>
              <w:t>infinispan-common</w:t>
            </w:r>
          </w:p>
        </w:tc>
        <w:tc>
          <w:tcPr>
            <w:tcW w:w="3325" w:type="dxa"/>
          </w:tcPr>
          <w:p w14:paraId="278FFB9B"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180A50F5" w14:textId="77777777">
        <w:trPr>
          <w:trHeight w:val="368"/>
        </w:trPr>
        <w:tc>
          <w:tcPr>
            <w:tcW w:w="3325" w:type="dxa"/>
          </w:tcPr>
          <w:p w14:paraId="72D5D22B"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0FECB742" w14:textId="77777777" w:rsidR="00A720EB" w:rsidRDefault="0030286B">
            <w:pPr>
              <w:pStyle w:val="TableParagraph"/>
              <w:spacing w:before="37"/>
              <w:rPr>
                <w:sz w:val="21"/>
              </w:rPr>
            </w:pPr>
            <w:r>
              <w:rPr>
                <w:color w:val="B02045"/>
                <w:sz w:val="21"/>
              </w:rPr>
              <w:t>infinispan-embedded-query</w:t>
            </w:r>
          </w:p>
        </w:tc>
        <w:tc>
          <w:tcPr>
            <w:tcW w:w="3325" w:type="dxa"/>
          </w:tcPr>
          <w:p w14:paraId="073F075E"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08068C52" w14:textId="77777777">
        <w:trPr>
          <w:trHeight w:val="368"/>
        </w:trPr>
        <w:tc>
          <w:tcPr>
            <w:tcW w:w="3325" w:type="dxa"/>
          </w:tcPr>
          <w:p w14:paraId="5ED07622"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7E50D9DA" w14:textId="77777777" w:rsidR="00A720EB" w:rsidRDefault="0030286B">
            <w:pPr>
              <w:pStyle w:val="TableParagraph"/>
              <w:rPr>
                <w:sz w:val="21"/>
              </w:rPr>
            </w:pPr>
            <w:r>
              <w:rPr>
                <w:color w:val="B02045"/>
                <w:sz w:val="21"/>
              </w:rPr>
              <w:t>infinispan-remote-query</w:t>
            </w:r>
          </w:p>
        </w:tc>
        <w:tc>
          <w:tcPr>
            <w:tcW w:w="3325" w:type="dxa"/>
          </w:tcPr>
          <w:p w14:paraId="7EC288C9"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6FBBE844" w14:textId="77777777">
        <w:trPr>
          <w:trHeight w:val="368"/>
        </w:trPr>
        <w:tc>
          <w:tcPr>
            <w:tcW w:w="3325" w:type="dxa"/>
          </w:tcPr>
          <w:p w14:paraId="7E41DEA8"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4007CE10" w14:textId="77777777" w:rsidR="00A720EB" w:rsidRDefault="0030286B">
            <w:pPr>
              <w:pStyle w:val="TableParagraph"/>
              <w:rPr>
                <w:sz w:val="21"/>
              </w:rPr>
            </w:pPr>
            <w:r>
              <w:rPr>
                <w:color w:val="B02045"/>
                <w:sz w:val="21"/>
              </w:rPr>
              <w:t>jetty-alpn-client</w:t>
            </w:r>
          </w:p>
        </w:tc>
        <w:tc>
          <w:tcPr>
            <w:tcW w:w="3325" w:type="dxa"/>
          </w:tcPr>
          <w:p w14:paraId="06791F8C"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28DE8E27" w14:textId="77777777">
        <w:trPr>
          <w:trHeight w:val="368"/>
        </w:trPr>
        <w:tc>
          <w:tcPr>
            <w:tcW w:w="3325" w:type="dxa"/>
          </w:tcPr>
          <w:p w14:paraId="16CA7191"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6F737AB3" w14:textId="77777777" w:rsidR="00A720EB" w:rsidRDefault="0030286B">
            <w:pPr>
              <w:pStyle w:val="TableParagraph"/>
              <w:spacing w:before="37"/>
              <w:rPr>
                <w:sz w:val="21"/>
              </w:rPr>
            </w:pPr>
            <w:r>
              <w:rPr>
                <w:color w:val="B02045"/>
                <w:sz w:val="21"/>
              </w:rPr>
              <w:t>jetty-alpn-conscrypt-client</w:t>
            </w:r>
          </w:p>
        </w:tc>
        <w:tc>
          <w:tcPr>
            <w:tcW w:w="3325" w:type="dxa"/>
          </w:tcPr>
          <w:p w14:paraId="3C37199E"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0EF31E00" w14:textId="77777777">
        <w:trPr>
          <w:trHeight w:val="368"/>
        </w:trPr>
        <w:tc>
          <w:tcPr>
            <w:tcW w:w="3325" w:type="dxa"/>
          </w:tcPr>
          <w:p w14:paraId="7D003A24"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0CC37E54" w14:textId="77777777" w:rsidR="00A720EB" w:rsidRDefault="0030286B">
            <w:pPr>
              <w:pStyle w:val="TableParagraph"/>
              <w:spacing w:before="37"/>
              <w:rPr>
                <w:sz w:val="21"/>
              </w:rPr>
            </w:pPr>
            <w:r>
              <w:rPr>
                <w:color w:val="B02045"/>
                <w:sz w:val="21"/>
              </w:rPr>
              <w:t>jetty-alpn-conscrypt-server</w:t>
            </w:r>
          </w:p>
        </w:tc>
        <w:tc>
          <w:tcPr>
            <w:tcW w:w="3325" w:type="dxa"/>
          </w:tcPr>
          <w:p w14:paraId="42D20ABF"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0E40FFC8" w14:textId="77777777">
        <w:trPr>
          <w:trHeight w:val="368"/>
        </w:trPr>
        <w:tc>
          <w:tcPr>
            <w:tcW w:w="3325" w:type="dxa"/>
          </w:tcPr>
          <w:p w14:paraId="1FD2ACF6"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70420D5D" w14:textId="77777777" w:rsidR="00A720EB" w:rsidRDefault="0030286B">
            <w:pPr>
              <w:pStyle w:val="TableParagraph"/>
              <w:rPr>
                <w:sz w:val="21"/>
              </w:rPr>
            </w:pPr>
            <w:r>
              <w:rPr>
                <w:color w:val="B02045"/>
                <w:sz w:val="21"/>
              </w:rPr>
              <w:t>jetty-alpn-java-client</w:t>
            </w:r>
          </w:p>
        </w:tc>
        <w:tc>
          <w:tcPr>
            <w:tcW w:w="3325" w:type="dxa"/>
          </w:tcPr>
          <w:p w14:paraId="3107AB3D"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7D22C1A8" w14:textId="77777777">
        <w:trPr>
          <w:trHeight w:val="368"/>
        </w:trPr>
        <w:tc>
          <w:tcPr>
            <w:tcW w:w="3325" w:type="dxa"/>
          </w:tcPr>
          <w:p w14:paraId="6EA14D1B"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3D180084" w14:textId="77777777" w:rsidR="00A720EB" w:rsidRDefault="0030286B">
            <w:pPr>
              <w:pStyle w:val="TableParagraph"/>
              <w:rPr>
                <w:sz w:val="21"/>
              </w:rPr>
            </w:pPr>
            <w:r>
              <w:rPr>
                <w:color w:val="B02045"/>
                <w:sz w:val="21"/>
              </w:rPr>
              <w:t>jetty-alpn-java-server</w:t>
            </w:r>
          </w:p>
        </w:tc>
        <w:tc>
          <w:tcPr>
            <w:tcW w:w="3325" w:type="dxa"/>
          </w:tcPr>
          <w:p w14:paraId="5CD89D98"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039C9912" w14:textId="77777777">
        <w:trPr>
          <w:trHeight w:val="368"/>
        </w:trPr>
        <w:tc>
          <w:tcPr>
            <w:tcW w:w="3325" w:type="dxa"/>
          </w:tcPr>
          <w:p w14:paraId="396C4A62"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0A6E714A" w14:textId="77777777" w:rsidR="00A720EB" w:rsidRDefault="0030286B">
            <w:pPr>
              <w:pStyle w:val="TableParagraph"/>
              <w:spacing w:before="37"/>
              <w:rPr>
                <w:sz w:val="21"/>
              </w:rPr>
            </w:pPr>
            <w:r>
              <w:rPr>
                <w:color w:val="B02045"/>
                <w:sz w:val="21"/>
              </w:rPr>
              <w:t>jetty-alpn-openjdk8-client</w:t>
            </w:r>
          </w:p>
        </w:tc>
        <w:tc>
          <w:tcPr>
            <w:tcW w:w="3325" w:type="dxa"/>
          </w:tcPr>
          <w:p w14:paraId="49FCD5A3"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45EEE254" w14:textId="77777777">
        <w:trPr>
          <w:trHeight w:val="368"/>
        </w:trPr>
        <w:tc>
          <w:tcPr>
            <w:tcW w:w="3325" w:type="dxa"/>
          </w:tcPr>
          <w:p w14:paraId="29A90CA0"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55561BBB" w14:textId="77777777" w:rsidR="00A720EB" w:rsidRDefault="0030286B">
            <w:pPr>
              <w:pStyle w:val="TableParagraph"/>
              <w:spacing w:before="37"/>
              <w:rPr>
                <w:sz w:val="21"/>
              </w:rPr>
            </w:pPr>
            <w:r>
              <w:rPr>
                <w:color w:val="B02045"/>
                <w:sz w:val="21"/>
              </w:rPr>
              <w:t>jetty-alpn-openjdk8-server</w:t>
            </w:r>
          </w:p>
        </w:tc>
        <w:tc>
          <w:tcPr>
            <w:tcW w:w="3325" w:type="dxa"/>
          </w:tcPr>
          <w:p w14:paraId="6372CB52"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77A99D88" w14:textId="77777777">
        <w:trPr>
          <w:trHeight w:val="368"/>
        </w:trPr>
        <w:tc>
          <w:tcPr>
            <w:tcW w:w="3325" w:type="dxa"/>
          </w:tcPr>
          <w:p w14:paraId="786D8CAD"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1DBAB2B9" w14:textId="77777777" w:rsidR="00A720EB" w:rsidRDefault="0030286B">
            <w:pPr>
              <w:pStyle w:val="TableParagraph"/>
              <w:rPr>
                <w:sz w:val="21"/>
              </w:rPr>
            </w:pPr>
            <w:r>
              <w:rPr>
                <w:color w:val="B02045"/>
                <w:sz w:val="21"/>
              </w:rPr>
              <w:t>jetty-alpn-server</w:t>
            </w:r>
          </w:p>
        </w:tc>
        <w:tc>
          <w:tcPr>
            <w:tcW w:w="3325" w:type="dxa"/>
          </w:tcPr>
          <w:p w14:paraId="1E673003"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16B13949" w14:textId="77777777">
        <w:trPr>
          <w:trHeight w:val="368"/>
        </w:trPr>
        <w:tc>
          <w:tcPr>
            <w:tcW w:w="3325" w:type="dxa"/>
          </w:tcPr>
          <w:p w14:paraId="410D5E52"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38E849A1" w14:textId="77777777" w:rsidR="00A720EB" w:rsidRDefault="0030286B">
            <w:pPr>
              <w:pStyle w:val="TableParagraph"/>
              <w:spacing w:before="37"/>
              <w:rPr>
                <w:sz w:val="21"/>
              </w:rPr>
            </w:pPr>
            <w:r>
              <w:rPr>
                <w:color w:val="B02045"/>
                <w:sz w:val="21"/>
              </w:rPr>
              <w:t>jetty-annotations</w:t>
            </w:r>
          </w:p>
        </w:tc>
        <w:tc>
          <w:tcPr>
            <w:tcW w:w="3325" w:type="dxa"/>
          </w:tcPr>
          <w:p w14:paraId="425D7729"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02FA08F9" w14:textId="77777777">
        <w:trPr>
          <w:trHeight w:val="368"/>
        </w:trPr>
        <w:tc>
          <w:tcPr>
            <w:tcW w:w="3325" w:type="dxa"/>
          </w:tcPr>
          <w:p w14:paraId="27EF73BF"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28383224" w14:textId="77777777" w:rsidR="00A720EB" w:rsidRDefault="0030286B">
            <w:pPr>
              <w:pStyle w:val="TableParagraph"/>
              <w:rPr>
                <w:sz w:val="21"/>
              </w:rPr>
            </w:pPr>
            <w:r>
              <w:rPr>
                <w:color w:val="B02045"/>
                <w:sz w:val="21"/>
              </w:rPr>
              <w:t>jetty-ant</w:t>
            </w:r>
          </w:p>
        </w:tc>
        <w:tc>
          <w:tcPr>
            <w:tcW w:w="3325" w:type="dxa"/>
          </w:tcPr>
          <w:p w14:paraId="0EE85B0F"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03D7C92C" w14:textId="77777777">
        <w:trPr>
          <w:trHeight w:val="368"/>
        </w:trPr>
        <w:tc>
          <w:tcPr>
            <w:tcW w:w="3325" w:type="dxa"/>
          </w:tcPr>
          <w:p w14:paraId="4D36E69D"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4E39EAAE" w14:textId="77777777" w:rsidR="00A720EB" w:rsidRDefault="0030286B">
            <w:pPr>
              <w:pStyle w:val="TableParagraph"/>
              <w:spacing w:before="37"/>
              <w:rPr>
                <w:sz w:val="21"/>
              </w:rPr>
            </w:pPr>
            <w:r>
              <w:rPr>
                <w:color w:val="B02045"/>
                <w:sz w:val="21"/>
              </w:rPr>
              <w:t>jetty-client</w:t>
            </w:r>
          </w:p>
        </w:tc>
        <w:tc>
          <w:tcPr>
            <w:tcW w:w="3325" w:type="dxa"/>
          </w:tcPr>
          <w:p w14:paraId="1EECF74B"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62098FBF" w14:textId="77777777">
        <w:trPr>
          <w:trHeight w:val="368"/>
        </w:trPr>
        <w:tc>
          <w:tcPr>
            <w:tcW w:w="3325" w:type="dxa"/>
          </w:tcPr>
          <w:p w14:paraId="084D570F"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1A118529" w14:textId="77777777" w:rsidR="00A720EB" w:rsidRDefault="0030286B">
            <w:pPr>
              <w:pStyle w:val="TableParagraph"/>
              <w:rPr>
                <w:sz w:val="21"/>
              </w:rPr>
            </w:pPr>
            <w:r>
              <w:rPr>
                <w:color w:val="B02045"/>
                <w:sz w:val="21"/>
              </w:rPr>
              <w:t>jetty-continuation</w:t>
            </w:r>
          </w:p>
        </w:tc>
        <w:tc>
          <w:tcPr>
            <w:tcW w:w="3325" w:type="dxa"/>
          </w:tcPr>
          <w:p w14:paraId="2D2E3DE7"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527FA251" w14:textId="77777777">
        <w:trPr>
          <w:trHeight w:val="368"/>
        </w:trPr>
        <w:tc>
          <w:tcPr>
            <w:tcW w:w="3325" w:type="dxa"/>
          </w:tcPr>
          <w:p w14:paraId="23DC8182"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5D611A03" w14:textId="77777777" w:rsidR="00A720EB" w:rsidRDefault="0030286B">
            <w:pPr>
              <w:pStyle w:val="TableParagraph"/>
              <w:spacing w:before="37"/>
              <w:rPr>
                <w:sz w:val="21"/>
              </w:rPr>
            </w:pPr>
            <w:r>
              <w:rPr>
                <w:color w:val="B02045"/>
                <w:sz w:val="21"/>
              </w:rPr>
              <w:t>jetty-deploy</w:t>
            </w:r>
          </w:p>
        </w:tc>
        <w:tc>
          <w:tcPr>
            <w:tcW w:w="3325" w:type="dxa"/>
          </w:tcPr>
          <w:p w14:paraId="712FD15C"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7CCECA52" w14:textId="77777777">
        <w:trPr>
          <w:trHeight w:val="368"/>
        </w:trPr>
        <w:tc>
          <w:tcPr>
            <w:tcW w:w="3325" w:type="dxa"/>
          </w:tcPr>
          <w:p w14:paraId="0582ECD9"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0AC4F822" w14:textId="77777777" w:rsidR="00A720EB" w:rsidRDefault="0030286B">
            <w:pPr>
              <w:pStyle w:val="TableParagraph"/>
              <w:rPr>
                <w:sz w:val="21"/>
              </w:rPr>
            </w:pPr>
            <w:r>
              <w:rPr>
                <w:color w:val="B02045"/>
                <w:sz w:val="21"/>
              </w:rPr>
              <w:t>jetty-distribution</w:t>
            </w:r>
          </w:p>
        </w:tc>
        <w:tc>
          <w:tcPr>
            <w:tcW w:w="3325" w:type="dxa"/>
          </w:tcPr>
          <w:p w14:paraId="416FE5C7"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1402C5BB" w14:textId="77777777">
        <w:trPr>
          <w:trHeight w:val="368"/>
        </w:trPr>
        <w:tc>
          <w:tcPr>
            <w:tcW w:w="3325" w:type="dxa"/>
          </w:tcPr>
          <w:p w14:paraId="2434B37C"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14D67417" w14:textId="77777777" w:rsidR="00A720EB" w:rsidRDefault="0030286B">
            <w:pPr>
              <w:pStyle w:val="TableParagraph"/>
              <w:rPr>
                <w:sz w:val="21"/>
              </w:rPr>
            </w:pPr>
            <w:r>
              <w:rPr>
                <w:color w:val="B02045"/>
                <w:sz w:val="21"/>
              </w:rPr>
              <w:t>jetty-hazelcast</w:t>
            </w:r>
          </w:p>
        </w:tc>
        <w:tc>
          <w:tcPr>
            <w:tcW w:w="3325" w:type="dxa"/>
          </w:tcPr>
          <w:p w14:paraId="02305A3F"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4BFAF424" w14:textId="77777777">
        <w:trPr>
          <w:trHeight w:val="368"/>
        </w:trPr>
        <w:tc>
          <w:tcPr>
            <w:tcW w:w="3325" w:type="dxa"/>
          </w:tcPr>
          <w:p w14:paraId="49685C2B"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43A4C82B" w14:textId="77777777" w:rsidR="00A720EB" w:rsidRDefault="0030286B">
            <w:pPr>
              <w:pStyle w:val="TableParagraph"/>
              <w:rPr>
                <w:sz w:val="21"/>
              </w:rPr>
            </w:pPr>
            <w:r>
              <w:rPr>
                <w:color w:val="B02045"/>
                <w:sz w:val="21"/>
              </w:rPr>
              <w:t>jetty-home</w:t>
            </w:r>
          </w:p>
        </w:tc>
        <w:tc>
          <w:tcPr>
            <w:tcW w:w="3325" w:type="dxa"/>
          </w:tcPr>
          <w:p w14:paraId="239FFEB4"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2B5FF4F5" w14:textId="77777777">
        <w:trPr>
          <w:trHeight w:val="368"/>
        </w:trPr>
        <w:tc>
          <w:tcPr>
            <w:tcW w:w="3325" w:type="dxa"/>
          </w:tcPr>
          <w:p w14:paraId="7574DE1E"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1F7A2B52" w14:textId="77777777" w:rsidR="00A720EB" w:rsidRDefault="0030286B">
            <w:pPr>
              <w:pStyle w:val="TableParagraph"/>
              <w:rPr>
                <w:sz w:val="21"/>
              </w:rPr>
            </w:pPr>
            <w:r>
              <w:rPr>
                <w:color w:val="B02045"/>
                <w:sz w:val="21"/>
              </w:rPr>
              <w:t>jetty-http</w:t>
            </w:r>
          </w:p>
        </w:tc>
        <w:tc>
          <w:tcPr>
            <w:tcW w:w="3325" w:type="dxa"/>
          </w:tcPr>
          <w:p w14:paraId="2CDCBD89"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bl>
    <w:p w14:paraId="1B4519B9"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23A6CF78" w14:textId="77777777">
        <w:trPr>
          <w:trHeight w:val="415"/>
        </w:trPr>
        <w:tc>
          <w:tcPr>
            <w:tcW w:w="3325" w:type="dxa"/>
            <w:tcBorders>
              <w:bottom w:val="single" w:sz="12" w:space="0" w:color="DDDDDD"/>
            </w:tcBorders>
          </w:tcPr>
          <w:p w14:paraId="44F882F5"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0CC4C60D"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73EE9A6A"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102E9DA9" w14:textId="77777777">
        <w:trPr>
          <w:trHeight w:val="358"/>
        </w:trPr>
        <w:tc>
          <w:tcPr>
            <w:tcW w:w="3325" w:type="dxa"/>
            <w:tcBorders>
              <w:top w:val="single" w:sz="12" w:space="0" w:color="DDDDDD"/>
            </w:tcBorders>
          </w:tcPr>
          <w:p w14:paraId="5171E4EB" w14:textId="77777777" w:rsidR="00A720EB" w:rsidRDefault="0030286B">
            <w:pPr>
              <w:pStyle w:val="TableParagraph"/>
              <w:spacing w:before="27"/>
              <w:rPr>
                <w:sz w:val="21"/>
              </w:rPr>
            </w:pPr>
            <w:proofErr w:type="gramStart"/>
            <w:r>
              <w:rPr>
                <w:color w:val="B02045"/>
                <w:sz w:val="21"/>
              </w:rPr>
              <w:t>org.eclipse</w:t>
            </w:r>
            <w:proofErr w:type="gramEnd"/>
            <w:r>
              <w:rPr>
                <w:color w:val="B02045"/>
                <w:sz w:val="21"/>
              </w:rPr>
              <w:t>.jetty</w:t>
            </w:r>
          </w:p>
        </w:tc>
        <w:tc>
          <w:tcPr>
            <w:tcW w:w="3325" w:type="dxa"/>
            <w:tcBorders>
              <w:top w:val="single" w:sz="12" w:space="0" w:color="DDDDDD"/>
            </w:tcBorders>
          </w:tcPr>
          <w:p w14:paraId="1967D94D" w14:textId="77777777" w:rsidR="00A720EB" w:rsidRDefault="0030286B">
            <w:pPr>
              <w:pStyle w:val="TableParagraph"/>
              <w:spacing w:before="27"/>
              <w:rPr>
                <w:sz w:val="21"/>
              </w:rPr>
            </w:pPr>
            <w:r>
              <w:rPr>
                <w:color w:val="B02045"/>
                <w:sz w:val="21"/>
              </w:rPr>
              <w:t>jetty-http-spi</w:t>
            </w:r>
          </w:p>
        </w:tc>
        <w:tc>
          <w:tcPr>
            <w:tcW w:w="3325" w:type="dxa"/>
            <w:tcBorders>
              <w:top w:val="single" w:sz="12" w:space="0" w:color="DDDDDD"/>
            </w:tcBorders>
          </w:tcPr>
          <w:p w14:paraId="40080EDA" w14:textId="77777777" w:rsidR="00A720EB" w:rsidRDefault="0030286B">
            <w:pPr>
              <w:pStyle w:val="TableParagraph"/>
              <w:spacing w:before="27"/>
              <w:rPr>
                <w:sz w:val="21"/>
              </w:rPr>
            </w:pPr>
            <w:r>
              <w:rPr>
                <w:color w:val="B02045"/>
                <w:sz w:val="21"/>
              </w:rPr>
              <w:t>9.4.</w:t>
            </w:r>
            <w:proofErr w:type="gramStart"/>
            <w:r>
              <w:rPr>
                <w:color w:val="B02045"/>
                <w:sz w:val="21"/>
              </w:rPr>
              <w:t>31.v</w:t>
            </w:r>
            <w:proofErr w:type="gramEnd"/>
            <w:r>
              <w:rPr>
                <w:color w:val="B02045"/>
                <w:sz w:val="21"/>
              </w:rPr>
              <w:t>20200723</w:t>
            </w:r>
          </w:p>
        </w:tc>
      </w:tr>
      <w:tr w:rsidR="00A720EB" w14:paraId="3C5EF1F6" w14:textId="77777777">
        <w:trPr>
          <w:trHeight w:val="368"/>
        </w:trPr>
        <w:tc>
          <w:tcPr>
            <w:tcW w:w="3325" w:type="dxa"/>
          </w:tcPr>
          <w:p w14:paraId="6763156A"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5F39661D" w14:textId="77777777" w:rsidR="00A720EB" w:rsidRDefault="0030286B">
            <w:pPr>
              <w:pStyle w:val="TableParagraph"/>
              <w:spacing w:before="37"/>
              <w:rPr>
                <w:sz w:val="21"/>
              </w:rPr>
            </w:pPr>
            <w:r>
              <w:rPr>
                <w:color w:val="B02045"/>
                <w:sz w:val="21"/>
              </w:rPr>
              <w:t>jetty-io</w:t>
            </w:r>
          </w:p>
        </w:tc>
        <w:tc>
          <w:tcPr>
            <w:tcW w:w="3325" w:type="dxa"/>
          </w:tcPr>
          <w:p w14:paraId="380F41E0"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3FFE4802" w14:textId="77777777">
        <w:trPr>
          <w:trHeight w:val="368"/>
        </w:trPr>
        <w:tc>
          <w:tcPr>
            <w:tcW w:w="3325" w:type="dxa"/>
          </w:tcPr>
          <w:p w14:paraId="21753E10"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29DAC188" w14:textId="77777777" w:rsidR="00A720EB" w:rsidRDefault="0030286B">
            <w:pPr>
              <w:pStyle w:val="TableParagraph"/>
              <w:spacing w:before="37"/>
              <w:rPr>
                <w:sz w:val="21"/>
              </w:rPr>
            </w:pPr>
            <w:r>
              <w:rPr>
                <w:color w:val="B02045"/>
                <w:sz w:val="21"/>
              </w:rPr>
              <w:t>jetty-jaas</w:t>
            </w:r>
          </w:p>
        </w:tc>
        <w:tc>
          <w:tcPr>
            <w:tcW w:w="3325" w:type="dxa"/>
          </w:tcPr>
          <w:p w14:paraId="483F5074"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5515BD0F" w14:textId="77777777">
        <w:trPr>
          <w:trHeight w:val="368"/>
        </w:trPr>
        <w:tc>
          <w:tcPr>
            <w:tcW w:w="3325" w:type="dxa"/>
          </w:tcPr>
          <w:p w14:paraId="191D54B6"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154797BF" w14:textId="77777777" w:rsidR="00A720EB" w:rsidRDefault="0030286B">
            <w:pPr>
              <w:pStyle w:val="TableParagraph"/>
              <w:rPr>
                <w:sz w:val="21"/>
              </w:rPr>
            </w:pPr>
            <w:r>
              <w:rPr>
                <w:color w:val="B02045"/>
                <w:sz w:val="21"/>
              </w:rPr>
              <w:t>jetty-jaspi</w:t>
            </w:r>
          </w:p>
        </w:tc>
        <w:tc>
          <w:tcPr>
            <w:tcW w:w="3325" w:type="dxa"/>
          </w:tcPr>
          <w:p w14:paraId="769534C1"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07B46267" w14:textId="77777777">
        <w:trPr>
          <w:trHeight w:val="368"/>
        </w:trPr>
        <w:tc>
          <w:tcPr>
            <w:tcW w:w="3325" w:type="dxa"/>
          </w:tcPr>
          <w:p w14:paraId="3E02C67C"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0B855B51" w14:textId="77777777" w:rsidR="00A720EB" w:rsidRDefault="0030286B">
            <w:pPr>
              <w:pStyle w:val="TableParagraph"/>
              <w:rPr>
                <w:sz w:val="21"/>
              </w:rPr>
            </w:pPr>
            <w:r>
              <w:rPr>
                <w:color w:val="B02045"/>
                <w:sz w:val="21"/>
              </w:rPr>
              <w:t>jetty-jmx</w:t>
            </w:r>
          </w:p>
        </w:tc>
        <w:tc>
          <w:tcPr>
            <w:tcW w:w="3325" w:type="dxa"/>
          </w:tcPr>
          <w:p w14:paraId="160CE4DB"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348CC73F" w14:textId="77777777">
        <w:trPr>
          <w:trHeight w:val="368"/>
        </w:trPr>
        <w:tc>
          <w:tcPr>
            <w:tcW w:w="3325" w:type="dxa"/>
          </w:tcPr>
          <w:p w14:paraId="2E2FCFC7"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7B42CE45" w14:textId="77777777" w:rsidR="00A720EB" w:rsidRDefault="0030286B">
            <w:pPr>
              <w:pStyle w:val="TableParagraph"/>
              <w:rPr>
                <w:sz w:val="21"/>
              </w:rPr>
            </w:pPr>
            <w:r>
              <w:rPr>
                <w:color w:val="B02045"/>
                <w:sz w:val="21"/>
              </w:rPr>
              <w:t>jetty-jndi</w:t>
            </w:r>
          </w:p>
        </w:tc>
        <w:tc>
          <w:tcPr>
            <w:tcW w:w="3325" w:type="dxa"/>
          </w:tcPr>
          <w:p w14:paraId="4CF02A1F"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68B4672E" w14:textId="77777777">
        <w:trPr>
          <w:trHeight w:val="368"/>
        </w:trPr>
        <w:tc>
          <w:tcPr>
            <w:tcW w:w="3325" w:type="dxa"/>
          </w:tcPr>
          <w:p w14:paraId="17C48984"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69DC4752" w14:textId="77777777" w:rsidR="00A720EB" w:rsidRDefault="0030286B">
            <w:pPr>
              <w:pStyle w:val="TableParagraph"/>
              <w:rPr>
                <w:sz w:val="21"/>
              </w:rPr>
            </w:pPr>
            <w:r>
              <w:rPr>
                <w:color w:val="B02045"/>
                <w:sz w:val="21"/>
              </w:rPr>
              <w:t>jetty-nosql</w:t>
            </w:r>
          </w:p>
        </w:tc>
        <w:tc>
          <w:tcPr>
            <w:tcW w:w="3325" w:type="dxa"/>
          </w:tcPr>
          <w:p w14:paraId="42A901BC"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534CA111" w14:textId="77777777">
        <w:trPr>
          <w:trHeight w:val="368"/>
        </w:trPr>
        <w:tc>
          <w:tcPr>
            <w:tcW w:w="3325" w:type="dxa"/>
          </w:tcPr>
          <w:p w14:paraId="6BE74067"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219E9074" w14:textId="77777777" w:rsidR="00A720EB" w:rsidRDefault="0030286B">
            <w:pPr>
              <w:pStyle w:val="TableParagraph"/>
              <w:spacing w:before="37"/>
              <w:rPr>
                <w:sz w:val="21"/>
              </w:rPr>
            </w:pPr>
            <w:r>
              <w:rPr>
                <w:color w:val="B02045"/>
                <w:sz w:val="21"/>
              </w:rPr>
              <w:t>jetty-openid</w:t>
            </w:r>
          </w:p>
        </w:tc>
        <w:tc>
          <w:tcPr>
            <w:tcW w:w="3325" w:type="dxa"/>
          </w:tcPr>
          <w:p w14:paraId="5B186E4F"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1B4C616E" w14:textId="77777777">
        <w:trPr>
          <w:trHeight w:val="368"/>
        </w:trPr>
        <w:tc>
          <w:tcPr>
            <w:tcW w:w="3325" w:type="dxa"/>
          </w:tcPr>
          <w:p w14:paraId="3DCBF73F"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54D8FF35" w14:textId="77777777" w:rsidR="00A720EB" w:rsidRDefault="0030286B">
            <w:pPr>
              <w:pStyle w:val="TableParagraph"/>
              <w:spacing w:before="37"/>
              <w:rPr>
                <w:sz w:val="21"/>
              </w:rPr>
            </w:pPr>
            <w:r>
              <w:rPr>
                <w:color w:val="B02045"/>
                <w:sz w:val="21"/>
              </w:rPr>
              <w:t>jetty-plus</w:t>
            </w:r>
          </w:p>
        </w:tc>
        <w:tc>
          <w:tcPr>
            <w:tcW w:w="3325" w:type="dxa"/>
          </w:tcPr>
          <w:p w14:paraId="23C36D7F"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27406A0C" w14:textId="77777777">
        <w:trPr>
          <w:trHeight w:val="368"/>
        </w:trPr>
        <w:tc>
          <w:tcPr>
            <w:tcW w:w="3325" w:type="dxa"/>
          </w:tcPr>
          <w:p w14:paraId="5C426697"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7A66A072" w14:textId="77777777" w:rsidR="00A720EB" w:rsidRDefault="0030286B">
            <w:pPr>
              <w:pStyle w:val="TableParagraph"/>
              <w:spacing w:before="37"/>
              <w:rPr>
                <w:sz w:val="21"/>
              </w:rPr>
            </w:pPr>
            <w:r>
              <w:rPr>
                <w:color w:val="B02045"/>
                <w:sz w:val="21"/>
              </w:rPr>
              <w:t>jetty-proxy</w:t>
            </w:r>
          </w:p>
        </w:tc>
        <w:tc>
          <w:tcPr>
            <w:tcW w:w="3325" w:type="dxa"/>
          </w:tcPr>
          <w:p w14:paraId="4E261D57"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3AB6A9D5" w14:textId="77777777">
        <w:trPr>
          <w:trHeight w:val="368"/>
        </w:trPr>
        <w:tc>
          <w:tcPr>
            <w:tcW w:w="3325" w:type="dxa"/>
          </w:tcPr>
          <w:p w14:paraId="6D312739"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11BA9FE2" w14:textId="77777777" w:rsidR="00A720EB" w:rsidRDefault="0030286B">
            <w:pPr>
              <w:pStyle w:val="TableParagraph"/>
              <w:spacing w:before="37"/>
              <w:rPr>
                <w:sz w:val="21"/>
              </w:rPr>
            </w:pPr>
            <w:r>
              <w:rPr>
                <w:color w:val="B02045"/>
                <w:sz w:val="21"/>
              </w:rPr>
              <w:t>jetty-quickstart</w:t>
            </w:r>
          </w:p>
        </w:tc>
        <w:tc>
          <w:tcPr>
            <w:tcW w:w="3325" w:type="dxa"/>
          </w:tcPr>
          <w:p w14:paraId="3F94636A"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377AB17F" w14:textId="77777777">
        <w:trPr>
          <w:trHeight w:val="368"/>
        </w:trPr>
        <w:tc>
          <w:tcPr>
            <w:tcW w:w="3325" w:type="dxa"/>
          </w:tcPr>
          <w:p w14:paraId="0C9E1F6F"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29288AA4" w14:textId="77777777" w:rsidR="00A720EB" w:rsidRDefault="0030286B">
            <w:pPr>
              <w:pStyle w:val="TableParagraph"/>
              <w:rPr>
                <w:sz w:val="21"/>
              </w:rPr>
            </w:pPr>
            <w:r>
              <w:rPr>
                <w:color w:val="B02045"/>
                <w:sz w:val="21"/>
              </w:rPr>
              <w:t>jetty-reactive-httpclient</w:t>
            </w:r>
          </w:p>
        </w:tc>
        <w:tc>
          <w:tcPr>
            <w:tcW w:w="3325" w:type="dxa"/>
          </w:tcPr>
          <w:p w14:paraId="135B7A97" w14:textId="77777777" w:rsidR="00A720EB" w:rsidRDefault="0030286B">
            <w:pPr>
              <w:pStyle w:val="TableParagraph"/>
              <w:rPr>
                <w:sz w:val="21"/>
              </w:rPr>
            </w:pPr>
            <w:r>
              <w:rPr>
                <w:color w:val="B02045"/>
                <w:sz w:val="21"/>
              </w:rPr>
              <w:t>1.1.4</w:t>
            </w:r>
          </w:p>
        </w:tc>
      </w:tr>
      <w:tr w:rsidR="00A720EB" w14:paraId="0D2566D1" w14:textId="77777777">
        <w:trPr>
          <w:trHeight w:val="368"/>
        </w:trPr>
        <w:tc>
          <w:tcPr>
            <w:tcW w:w="3325" w:type="dxa"/>
          </w:tcPr>
          <w:p w14:paraId="78F82947"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63548852" w14:textId="77777777" w:rsidR="00A720EB" w:rsidRDefault="0030286B">
            <w:pPr>
              <w:pStyle w:val="TableParagraph"/>
              <w:rPr>
                <w:sz w:val="21"/>
              </w:rPr>
            </w:pPr>
            <w:r>
              <w:rPr>
                <w:color w:val="B02045"/>
                <w:sz w:val="21"/>
              </w:rPr>
              <w:t>jetty-rewrite</w:t>
            </w:r>
          </w:p>
        </w:tc>
        <w:tc>
          <w:tcPr>
            <w:tcW w:w="3325" w:type="dxa"/>
          </w:tcPr>
          <w:p w14:paraId="3CFE919F"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2BF05D92" w14:textId="77777777">
        <w:trPr>
          <w:trHeight w:val="368"/>
        </w:trPr>
        <w:tc>
          <w:tcPr>
            <w:tcW w:w="3325" w:type="dxa"/>
          </w:tcPr>
          <w:p w14:paraId="6EE62289"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0DC7CDF8" w14:textId="77777777" w:rsidR="00A720EB" w:rsidRDefault="0030286B">
            <w:pPr>
              <w:pStyle w:val="TableParagraph"/>
              <w:rPr>
                <w:sz w:val="21"/>
              </w:rPr>
            </w:pPr>
            <w:r>
              <w:rPr>
                <w:color w:val="B02045"/>
                <w:sz w:val="21"/>
              </w:rPr>
              <w:t>jetty-security</w:t>
            </w:r>
          </w:p>
        </w:tc>
        <w:tc>
          <w:tcPr>
            <w:tcW w:w="3325" w:type="dxa"/>
          </w:tcPr>
          <w:p w14:paraId="453561A9"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5FAB0065" w14:textId="77777777">
        <w:trPr>
          <w:trHeight w:val="368"/>
        </w:trPr>
        <w:tc>
          <w:tcPr>
            <w:tcW w:w="3325" w:type="dxa"/>
          </w:tcPr>
          <w:p w14:paraId="3F428753"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764E5A75" w14:textId="77777777" w:rsidR="00A720EB" w:rsidRDefault="0030286B">
            <w:pPr>
              <w:pStyle w:val="TableParagraph"/>
              <w:spacing w:before="37"/>
              <w:rPr>
                <w:sz w:val="21"/>
              </w:rPr>
            </w:pPr>
            <w:r>
              <w:rPr>
                <w:color w:val="B02045"/>
                <w:sz w:val="21"/>
              </w:rPr>
              <w:t>jetty-server</w:t>
            </w:r>
          </w:p>
        </w:tc>
        <w:tc>
          <w:tcPr>
            <w:tcW w:w="3325" w:type="dxa"/>
          </w:tcPr>
          <w:p w14:paraId="36F13C81"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0E0957B3" w14:textId="77777777">
        <w:trPr>
          <w:trHeight w:val="368"/>
        </w:trPr>
        <w:tc>
          <w:tcPr>
            <w:tcW w:w="3325" w:type="dxa"/>
          </w:tcPr>
          <w:p w14:paraId="3E3B133C"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7B5DB7E4" w14:textId="77777777" w:rsidR="00A720EB" w:rsidRDefault="0030286B">
            <w:pPr>
              <w:pStyle w:val="TableParagraph"/>
              <w:rPr>
                <w:sz w:val="21"/>
              </w:rPr>
            </w:pPr>
            <w:r>
              <w:rPr>
                <w:color w:val="B02045"/>
                <w:sz w:val="21"/>
              </w:rPr>
              <w:t>jetty-servlet</w:t>
            </w:r>
          </w:p>
        </w:tc>
        <w:tc>
          <w:tcPr>
            <w:tcW w:w="3325" w:type="dxa"/>
          </w:tcPr>
          <w:p w14:paraId="55649086"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0C428844" w14:textId="77777777">
        <w:trPr>
          <w:trHeight w:val="368"/>
        </w:trPr>
        <w:tc>
          <w:tcPr>
            <w:tcW w:w="3325" w:type="dxa"/>
          </w:tcPr>
          <w:p w14:paraId="17761A8A"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28E4CF90" w14:textId="77777777" w:rsidR="00A720EB" w:rsidRDefault="0030286B">
            <w:pPr>
              <w:pStyle w:val="TableParagraph"/>
              <w:rPr>
                <w:sz w:val="21"/>
              </w:rPr>
            </w:pPr>
            <w:r>
              <w:rPr>
                <w:color w:val="B02045"/>
                <w:sz w:val="21"/>
              </w:rPr>
              <w:t>jetty-servlets</w:t>
            </w:r>
          </w:p>
        </w:tc>
        <w:tc>
          <w:tcPr>
            <w:tcW w:w="3325" w:type="dxa"/>
          </w:tcPr>
          <w:p w14:paraId="6CFBA053"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6317FA15" w14:textId="77777777">
        <w:trPr>
          <w:trHeight w:val="368"/>
        </w:trPr>
        <w:tc>
          <w:tcPr>
            <w:tcW w:w="3325" w:type="dxa"/>
          </w:tcPr>
          <w:p w14:paraId="6F7252C5"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0FDE4701" w14:textId="77777777" w:rsidR="00A720EB" w:rsidRDefault="0030286B">
            <w:pPr>
              <w:pStyle w:val="TableParagraph"/>
              <w:spacing w:before="37"/>
              <w:rPr>
                <w:sz w:val="21"/>
              </w:rPr>
            </w:pPr>
            <w:r>
              <w:rPr>
                <w:color w:val="B02045"/>
                <w:sz w:val="21"/>
              </w:rPr>
              <w:t>jetty-spring</w:t>
            </w:r>
          </w:p>
        </w:tc>
        <w:tc>
          <w:tcPr>
            <w:tcW w:w="3325" w:type="dxa"/>
          </w:tcPr>
          <w:p w14:paraId="5D56B985"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1702963A" w14:textId="77777777">
        <w:trPr>
          <w:trHeight w:val="368"/>
        </w:trPr>
        <w:tc>
          <w:tcPr>
            <w:tcW w:w="3325" w:type="dxa"/>
          </w:tcPr>
          <w:p w14:paraId="29E1DE82"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5921E3C3" w14:textId="77777777" w:rsidR="00A720EB" w:rsidRDefault="0030286B">
            <w:pPr>
              <w:pStyle w:val="TableParagraph"/>
              <w:spacing w:before="37"/>
              <w:rPr>
                <w:sz w:val="21"/>
              </w:rPr>
            </w:pPr>
            <w:r>
              <w:rPr>
                <w:color w:val="B02045"/>
                <w:sz w:val="21"/>
              </w:rPr>
              <w:t>jetty-unixsocket</w:t>
            </w:r>
          </w:p>
        </w:tc>
        <w:tc>
          <w:tcPr>
            <w:tcW w:w="3325" w:type="dxa"/>
          </w:tcPr>
          <w:p w14:paraId="042B9512"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71C1ECDE" w14:textId="77777777">
        <w:trPr>
          <w:trHeight w:val="368"/>
        </w:trPr>
        <w:tc>
          <w:tcPr>
            <w:tcW w:w="3325" w:type="dxa"/>
          </w:tcPr>
          <w:p w14:paraId="5949FBDF"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06507AD3" w14:textId="77777777" w:rsidR="00A720EB" w:rsidRDefault="0030286B">
            <w:pPr>
              <w:pStyle w:val="TableParagraph"/>
              <w:spacing w:before="37"/>
              <w:rPr>
                <w:sz w:val="21"/>
              </w:rPr>
            </w:pPr>
            <w:r>
              <w:rPr>
                <w:color w:val="B02045"/>
                <w:sz w:val="21"/>
              </w:rPr>
              <w:t>jetty-util</w:t>
            </w:r>
          </w:p>
        </w:tc>
        <w:tc>
          <w:tcPr>
            <w:tcW w:w="3325" w:type="dxa"/>
          </w:tcPr>
          <w:p w14:paraId="588497D7"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34E1B0CA" w14:textId="77777777">
        <w:trPr>
          <w:trHeight w:val="368"/>
        </w:trPr>
        <w:tc>
          <w:tcPr>
            <w:tcW w:w="3325" w:type="dxa"/>
          </w:tcPr>
          <w:p w14:paraId="37A8F1B7"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674DD710" w14:textId="77777777" w:rsidR="00A720EB" w:rsidRDefault="0030286B">
            <w:pPr>
              <w:pStyle w:val="TableParagraph"/>
              <w:rPr>
                <w:sz w:val="21"/>
              </w:rPr>
            </w:pPr>
            <w:r>
              <w:rPr>
                <w:color w:val="B02045"/>
                <w:sz w:val="21"/>
              </w:rPr>
              <w:t>jetty-util-ajax</w:t>
            </w:r>
          </w:p>
        </w:tc>
        <w:tc>
          <w:tcPr>
            <w:tcW w:w="3325" w:type="dxa"/>
          </w:tcPr>
          <w:p w14:paraId="30407BFF"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29C6D2FA" w14:textId="77777777">
        <w:trPr>
          <w:trHeight w:val="368"/>
        </w:trPr>
        <w:tc>
          <w:tcPr>
            <w:tcW w:w="3325" w:type="dxa"/>
          </w:tcPr>
          <w:p w14:paraId="51481657" w14:textId="77777777" w:rsidR="00A720EB" w:rsidRDefault="0030286B">
            <w:pPr>
              <w:pStyle w:val="TableParagraph"/>
              <w:rPr>
                <w:sz w:val="21"/>
              </w:rPr>
            </w:pPr>
            <w:proofErr w:type="gramStart"/>
            <w:r>
              <w:rPr>
                <w:color w:val="B02045"/>
                <w:sz w:val="21"/>
              </w:rPr>
              <w:t>org.eclipse</w:t>
            </w:r>
            <w:proofErr w:type="gramEnd"/>
            <w:r>
              <w:rPr>
                <w:color w:val="B02045"/>
                <w:sz w:val="21"/>
              </w:rPr>
              <w:t>.jetty</w:t>
            </w:r>
          </w:p>
        </w:tc>
        <w:tc>
          <w:tcPr>
            <w:tcW w:w="3325" w:type="dxa"/>
          </w:tcPr>
          <w:p w14:paraId="558DE318" w14:textId="77777777" w:rsidR="00A720EB" w:rsidRDefault="0030286B">
            <w:pPr>
              <w:pStyle w:val="TableParagraph"/>
              <w:rPr>
                <w:sz w:val="21"/>
              </w:rPr>
            </w:pPr>
            <w:r>
              <w:rPr>
                <w:color w:val="B02045"/>
                <w:sz w:val="21"/>
              </w:rPr>
              <w:t>jetty-webapp</w:t>
            </w:r>
          </w:p>
        </w:tc>
        <w:tc>
          <w:tcPr>
            <w:tcW w:w="3325" w:type="dxa"/>
          </w:tcPr>
          <w:p w14:paraId="3F4DE13E"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59DD2FC6" w14:textId="77777777">
        <w:trPr>
          <w:trHeight w:val="368"/>
        </w:trPr>
        <w:tc>
          <w:tcPr>
            <w:tcW w:w="3325" w:type="dxa"/>
          </w:tcPr>
          <w:p w14:paraId="4B98974A"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t>
            </w:r>
          </w:p>
        </w:tc>
        <w:tc>
          <w:tcPr>
            <w:tcW w:w="3325" w:type="dxa"/>
          </w:tcPr>
          <w:p w14:paraId="37F0BCE3" w14:textId="77777777" w:rsidR="00A720EB" w:rsidRDefault="0030286B">
            <w:pPr>
              <w:pStyle w:val="TableParagraph"/>
              <w:spacing w:before="37"/>
              <w:rPr>
                <w:sz w:val="21"/>
              </w:rPr>
            </w:pPr>
            <w:r>
              <w:rPr>
                <w:color w:val="B02045"/>
                <w:sz w:val="21"/>
              </w:rPr>
              <w:t>jetty-xml</w:t>
            </w:r>
          </w:p>
        </w:tc>
        <w:tc>
          <w:tcPr>
            <w:tcW w:w="3325" w:type="dxa"/>
          </w:tcPr>
          <w:p w14:paraId="298B237D"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58ED9EBA" w14:textId="77777777">
        <w:trPr>
          <w:trHeight w:val="368"/>
        </w:trPr>
        <w:tc>
          <w:tcPr>
            <w:tcW w:w="3325" w:type="dxa"/>
          </w:tcPr>
          <w:p w14:paraId="157EB612"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.jetty.fcgi</w:t>
            </w:r>
          </w:p>
        </w:tc>
        <w:tc>
          <w:tcPr>
            <w:tcW w:w="3325" w:type="dxa"/>
          </w:tcPr>
          <w:p w14:paraId="391B7CAC" w14:textId="77777777" w:rsidR="00A720EB" w:rsidRDefault="0030286B">
            <w:pPr>
              <w:pStyle w:val="TableParagraph"/>
              <w:spacing w:before="37"/>
              <w:rPr>
                <w:sz w:val="21"/>
              </w:rPr>
            </w:pPr>
            <w:r>
              <w:rPr>
                <w:color w:val="B02045"/>
                <w:sz w:val="21"/>
              </w:rPr>
              <w:t>fcgi-client</w:t>
            </w:r>
          </w:p>
        </w:tc>
        <w:tc>
          <w:tcPr>
            <w:tcW w:w="3325" w:type="dxa"/>
          </w:tcPr>
          <w:p w14:paraId="6E8AABCC"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4634EDB4" w14:textId="77777777">
        <w:trPr>
          <w:trHeight w:val="368"/>
        </w:trPr>
        <w:tc>
          <w:tcPr>
            <w:tcW w:w="3325" w:type="dxa"/>
          </w:tcPr>
          <w:p w14:paraId="2EEF3BE2" w14:textId="77777777" w:rsidR="00A720EB" w:rsidRDefault="0030286B">
            <w:pPr>
              <w:pStyle w:val="TableParagraph"/>
              <w:rPr>
                <w:sz w:val="21"/>
              </w:rPr>
            </w:pPr>
            <w:proofErr w:type="gramStart"/>
            <w:r>
              <w:rPr>
                <w:color w:val="B02045"/>
                <w:sz w:val="21"/>
              </w:rPr>
              <w:t>org.eclipse</w:t>
            </w:r>
            <w:proofErr w:type="gramEnd"/>
            <w:r>
              <w:rPr>
                <w:color w:val="B02045"/>
                <w:sz w:val="21"/>
              </w:rPr>
              <w:t>.jetty.fcgi</w:t>
            </w:r>
          </w:p>
        </w:tc>
        <w:tc>
          <w:tcPr>
            <w:tcW w:w="3325" w:type="dxa"/>
          </w:tcPr>
          <w:p w14:paraId="2AD91FAD" w14:textId="77777777" w:rsidR="00A720EB" w:rsidRDefault="0030286B">
            <w:pPr>
              <w:pStyle w:val="TableParagraph"/>
              <w:rPr>
                <w:sz w:val="21"/>
              </w:rPr>
            </w:pPr>
            <w:r>
              <w:rPr>
                <w:color w:val="B02045"/>
                <w:sz w:val="21"/>
              </w:rPr>
              <w:t>fcgi-server</w:t>
            </w:r>
          </w:p>
        </w:tc>
        <w:tc>
          <w:tcPr>
            <w:tcW w:w="3325" w:type="dxa"/>
          </w:tcPr>
          <w:p w14:paraId="66A0E9C4"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6F09968A" w14:textId="77777777">
        <w:trPr>
          <w:trHeight w:val="368"/>
        </w:trPr>
        <w:tc>
          <w:tcPr>
            <w:tcW w:w="3325" w:type="dxa"/>
          </w:tcPr>
          <w:p w14:paraId="778FE2A3" w14:textId="77777777" w:rsidR="00A720EB" w:rsidRDefault="0030286B">
            <w:pPr>
              <w:pStyle w:val="TableParagraph"/>
              <w:rPr>
                <w:sz w:val="21"/>
              </w:rPr>
            </w:pPr>
            <w:proofErr w:type="gramStart"/>
            <w:r>
              <w:rPr>
                <w:color w:val="B02045"/>
                <w:sz w:val="21"/>
              </w:rPr>
              <w:t>org.eclipse</w:t>
            </w:r>
            <w:proofErr w:type="gramEnd"/>
            <w:r>
              <w:rPr>
                <w:color w:val="B02045"/>
                <w:sz w:val="21"/>
              </w:rPr>
              <w:t>.jetty.gcloud</w:t>
            </w:r>
          </w:p>
        </w:tc>
        <w:tc>
          <w:tcPr>
            <w:tcW w:w="3325" w:type="dxa"/>
          </w:tcPr>
          <w:p w14:paraId="65F675A8" w14:textId="77777777" w:rsidR="00A720EB" w:rsidRDefault="0030286B">
            <w:pPr>
              <w:pStyle w:val="TableParagraph"/>
              <w:rPr>
                <w:sz w:val="21"/>
              </w:rPr>
            </w:pPr>
            <w:r>
              <w:rPr>
                <w:color w:val="B02045"/>
                <w:sz w:val="21"/>
              </w:rPr>
              <w:t>jetty-gcloud-session-manager</w:t>
            </w:r>
          </w:p>
        </w:tc>
        <w:tc>
          <w:tcPr>
            <w:tcW w:w="3325" w:type="dxa"/>
          </w:tcPr>
          <w:p w14:paraId="3B0CA458"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1A613CCB" w14:textId="77777777">
        <w:trPr>
          <w:trHeight w:val="368"/>
        </w:trPr>
        <w:tc>
          <w:tcPr>
            <w:tcW w:w="3325" w:type="dxa"/>
          </w:tcPr>
          <w:p w14:paraId="5DE10C6A"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.jetty.http2</w:t>
            </w:r>
          </w:p>
        </w:tc>
        <w:tc>
          <w:tcPr>
            <w:tcW w:w="3325" w:type="dxa"/>
          </w:tcPr>
          <w:p w14:paraId="1DA62816" w14:textId="77777777" w:rsidR="00A720EB" w:rsidRDefault="0030286B">
            <w:pPr>
              <w:pStyle w:val="TableParagraph"/>
              <w:spacing w:before="37"/>
              <w:rPr>
                <w:sz w:val="21"/>
              </w:rPr>
            </w:pPr>
            <w:r>
              <w:rPr>
                <w:color w:val="B02045"/>
                <w:sz w:val="21"/>
              </w:rPr>
              <w:t>http2-client</w:t>
            </w:r>
          </w:p>
        </w:tc>
        <w:tc>
          <w:tcPr>
            <w:tcW w:w="3325" w:type="dxa"/>
          </w:tcPr>
          <w:p w14:paraId="0A5C84D9"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0E165960" w14:textId="77777777">
        <w:trPr>
          <w:trHeight w:val="368"/>
        </w:trPr>
        <w:tc>
          <w:tcPr>
            <w:tcW w:w="3325" w:type="dxa"/>
          </w:tcPr>
          <w:p w14:paraId="1F6607EC"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.jetty.http2</w:t>
            </w:r>
          </w:p>
        </w:tc>
        <w:tc>
          <w:tcPr>
            <w:tcW w:w="3325" w:type="dxa"/>
          </w:tcPr>
          <w:p w14:paraId="284AA9D9" w14:textId="77777777" w:rsidR="00A720EB" w:rsidRDefault="0030286B">
            <w:pPr>
              <w:pStyle w:val="TableParagraph"/>
              <w:spacing w:before="37"/>
              <w:rPr>
                <w:sz w:val="21"/>
              </w:rPr>
            </w:pPr>
            <w:r>
              <w:rPr>
                <w:color w:val="B02045"/>
                <w:sz w:val="21"/>
              </w:rPr>
              <w:t>http2-common</w:t>
            </w:r>
          </w:p>
        </w:tc>
        <w:tc>
          <w:tcPr>
            <w:tcW w:w="3325" w:type="dxa"/>
          </w:tcPr>
          <w:p w14:paraId="5362BDC0"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6AD6C5A1" w14:textId="77777777">
        <w:trPr>
          <w:trHeight w:val="368"/>
        </w:trPr>
        <w:tc>
          <w:tcPr>
            <w:tcW w:w="3325" w:type="dxa"/>
          </w:tcPr>
          <w:p w14:paraId="0A6F7D90" w14:textId="77777777" w:rsidR="00A720EB" w:rsidRDefault="0030286B">
            <w:pPr>
              <w:pStyle w:val="TableParagraph"/>
              <w:rPr>
                <w:sz w:val="21"/>
              </w:rPr>
            </w:pPr>
            <w:proofErr w:type="gramStart"/>
            <w:r>
              <w:rPr>
                <w:color w:val="B02045"/>
                <w:sz w:val="21"/>
              </w:rPr>
              <w:t>org.eclipse</w:t>
            </w:r>
            <w:proofErr w:type="gramEnd"/>
            <w:r>
              <w:rPr>
                <w:color w:val="B02045"/>
                <w:sz w:val="21"/>
              </w:rPr>
              <w:t>.jetty.http2</w:t>
            </w:r>
          </w:p>
        </w:tc>
        <w:tc>
          <w:tcPr>
            <w:tcW w:w="3325" w:type="dxa"/>
          </w:tcPr>
          <w:p w14:paraId="7230ADF0" w14:textId="77777777" w:rsidR="00A720EB" w:rsidRDefault="0030286B">
            <w:pPr>
              <w:pStyle w:val="TableParagraph"/>
              <w:rPr>
                <w:sz w:val="21"/>
              </w:rPr>
            </w:pPr>
            <w:r>
              <w:rPr>
                <w:color w:val="B02045"/>
                <w:sz w:val="21"/>
              </w:rPr>
              <w:t>http2-hpack</w:t>
            </w:r>
          </w:p>
        </w:tc>
        <w:tc>
          <w:tcPr>
            <w:tcW w:w="3325" w:type="dxa"/>
          </w:tcPr>
          <w:p w14:paraId="508DCBF8"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4AA2B9E2" w14:textId="77777777">
        <w:trPr>
          <w:trHeight w:val="368"/>
        </w:trPr>
        <w:tc>
          <w:tcPr>
            <w:tcW w:w="3325" w:type="dxa"/>
          </w:tcPr>
          <w:p w14:paraId="4C6897D7"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.jetty.http2</w:t>
            </w:r>
          </w:p>
        </w:tc>
        <w:tc>
          <w:tcPr>
            <w:tcW w:w="3325" w:type="dxa"/>
          </w:tcPr>
          <w:p w14:paraId="6395F1BD" w14:textId="77777777" w:rsidR="00A720EB" w:rsidRDefault="0030286B">
            <w:pPr>
              <w:pStyle w:val="TableParagraph"/>
              <w:spacing w:before="37"/>
              <w:rPr>
                <w:sz w:val="21"/>
              </w:rPr>
            </w:pPr>
            <w:r>
              <w:rPr>
                <w:color w:val="B02045"/>
                <w:sz w:val="21"/>
              </w:rPr>
              <w:t>http2-http-client-transport</w:t>
            </w:r>
          </w:p>
        </w:tc>
        <w:tc>
          <w:tcPr>
            <w:tcW w:w="3325" w:type="dxa"/>
          </w:tcPr>
          <w:p w14:paraId="0A67C950"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6CE5D5C3" w14:textId="77777777">
        <w:trPr>
          <w:trHeight w:val="368"/>
        </w:trPr>
        <w:tc>
          <w:tcPr>
            <w:tcW w:w="3325" w:type="dxa"/>
          </w:tcPr>
          <w:p w14:paraId="5FC1F94D" w14:textId="77777777" w:rsidR="00A720EB" w:rsidRDefault="0030286B">
            <w:pPr>
              <w:pStyle w:val="TableParagraph"/>
              <w:rPr>
                <w:sz w:val="21"/>
              </w:rPr>
            </w:pPr>
            <w:proofErr w:type="gramStart"/>
            <w:r>
              <w:rPr>
                <w:color w:val="B02045"/>
                <w:sz w:val="21"/>
              </w:rPr>
              <w:t>org.eclipse</w:t>
            </w:r>
            <w:proofErr w:type="gramEnd"/>
            <w:r>
              <w:rPr>
                <w:color w:val="B02045"/>
                <w:sz w:val="21"/>
              </w:rPr>
              <w:t>.jetty.http2</w:t>
            </w:r>
          </w:p>
        </w:tc>
        <w:tc>
          <w:tcPr>
            <w:tcW w:w="3325" w:type="dxa"/>
          </w:tcPr>
          <w:p w14:paraId="2F85F5E3" w14:textId="77777777" w:rsidR="00A720EB" w:rsidRDefault="0030286B">
            <w:pPr>
              <w:pStyle w:val="TableParagraph"/>
              <w:rPr>
                <w:sz w:val="21"/>
              </w:rPr>
            </w:pPr>
            <w:r>
              <w:rPr>
                <w:color w:val="B02045"/>
                <w:sz w:val="21"/>
              </w:rPr>
              <w:t>http2-server</w:t>
            </w:r>
          </w:p>
        </w:tc>
        <w:tc>
          <w:tcPr>
            <w:tcW w:w="3325" w:type="dxa"/>
          </w:tcPr>
          <w:p w14:paraId="4136C30E"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7F91707C" w14:textId="77777777">
        <w:trPr>
          <w:trHeight w:val="368"/>
        </w:trPr>
        <w:tc>
          <w:tcPr>
            <w:tcW w:w="3325" w:type="dxa"/>
          </w:tcPr>
          <w:p w14:paraId="48468656"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.jetty.memcached</w:t>
            </w:r>
          </w:p>
        </w:tc>
        <w:tc>
          <w:tcPr>
            <w:tcW w:w="3325" w:type="dxa"/>
          </w:tcPr>
          <w:p w14:paraId="549C6BAE" w14:textId="77777777" w:rsidR="00A720EB" w:rsidRDefault="0030286B">
            <w:pPr>
              <w:pStyle w:val="TableParagraph"/>
              <w:spacing w:before="37"/>
              <w:rPr>
                <w:sz w:val="21"/>
              </w:rPr>
            </w:pPr>
            <w:r>
              <w:rPr>
                <w:color w:val="B02045"/>
                <w:sz w:val="21"/>
              </w:rPr>
              <w:t>jetty-memcached-sessions</w:t>
            </w:r>
          </w:p>
        </w:tc>
        <w:tc>
          <w:tcPr>
            <w:tcW w:w="3325" w:type="dxa"/>
          </w:tcPr>
          <w:p w14:paraId="0FDBD545"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3CA98E88" w14:textId="77777777">
        <w:trPr>
          <w:trHeight w:val="368"/>
        </w:trPr>
        <w:tc>
          <w:tcPr>
            <w:tcW w:w="3325" w:type="dxa"/>
          </w:tcPr>
          <w:p w14:paraId="09953CA3" w14:textId="77777777" w:rsidR="00A720EB" w:rsidRDefault="0030286B">
            <w:pPr>
              <w:pStyle w:val="TableParagraph"/>
              <w:rPr>
                <w:sz w:val="21"/>
              </w:rPr>
            </w:pPr>
            <w:proofErr w:type="gramStart"/>
            <w:r>
              <w:rPr>
                <w:color w:val="B02045"/>
                <w:sz w:val="21"/>
              </w:rPr>
              <w:t>org.eclipse</w:t>
            </w:r>
            <w:proofErr w:type="gramEnd"/>
            <w:r>
              <w:rPr>
                <w:color w:val="B02045"/>
                <w:sz w:val="21"/>
              </w:rPr>
              <w:t>.jetty.orbit</w:t>
            </w:r>
          </w:p>
        </w:tc>
        <w:tc>
          <w:tcPr>
            <w:tcW w:w="3325" w:type="dxa"/>
          </w:tcPr>
          <w:p w14:paraId="3D43E8CB" w14:textId="77777777" w:rsidR="00A720EB" w:rsidRDefault="0030286B">
            <w:pPr>
              <w:pStyle w:val="TableParagraph"/>
              <w:rPr>
                <w:sz w:val="21"/>
              </w:rPr>
            </w:pPr>
            <w:r>
              <w:rPr>
                <w:color w:val="B02045"/>
                <w:sz w:val="21"/>
              </w:rPr>
              <w:t>javax.servlet.jsp</w:t>
            </w:r>
          </w:p>
        </w:tc>
        <w:tc>
          <w:tcPr>
            <w:tcW w:w="3325" w:type="dxa"/>
          </w:tcPr>
          <w:p w14:paraId="71469AB2" w14:textId="77777777" w:rsidR="00A720EB" w:rsidRDefault="0030286B">
            <w:pPr>
              <w:pStyle w:val="TableParagraph"/>
              <w:rPr>
                <w:sz w:val="21"/>
              </w:rPr>
            </w:pPr>
            <w:r>
              <w:rPr>
                <w:color w:val="B02045"/>
                <w:sz w:val="21"/>
              </w:rPr>
              <w:t>2.2.</w:t>
            </w:r>
            <w:proofErr w:type="gramStart"/>
            <w:r>
              <w:rPr>
                <w:color w:val="B02045"/>
                <w:sz w:val="21"/>
              </w:rPr>
              <w:t>0.v</w:t>
            </w:r>
            <w:proofErr w:type="gramEnd"/>
            <w:r>
              <w:rPr>
                <w:color w:val="B02045"/>
                <w:sz w:val="21"/>
              </w:rPr>
              <w:t>201112011158</w:t>
            </w:r>
          </w:p>
        </w:tc>
      </w:tr>
      <w:tr w:rsidR="00A720EB" w14:paraId="5ECF3DB3" w14:textId="77777777">
        <w:trPr>
          <w:trHeight w:val="368"/>
        </w:trPr>
        <w:tc>
          <w:tcPr>
            <w:tcW w:w="3325" w:type="dxa"/>
          </w:tcPr>
          <w:p w14:paraId="4FCDD896"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.jetty.osgi</w:t>
            </w:r>
          </w:p>
        </w:tc>
        <w:tc>
          <w:tcPr>
            <w:tcW w:w="3325" w:type="dxa"/>
          </w:tcPr>
          <w:p w14:paraId="26FAE2E3" w14:textId="77777777" w:rsidR="00A720EB" w:rsidRDefault="0030286B">
            <w:pPr>
              <w:pStyle w:val="TableParagraph"/>
              <w:spacing w:before="37"/>
              <w:rPr>
                <w:sz w:val="21"/>
              </w:rPr>
            </w:pPr>
            <w:r>
              <w:rPr>
                <w:color w:val="B02045"/>
                <w:sz w:val="21"/>
              </w:rPr>
              <w:t>jetty-httpservice</w:t>
            </w:r>
          </w:p>
        </w:tc>
        <w:tc>
          <w:tcPr>
            <w:tcW w:w="3325" w:type="dxa"/>
          </w:tcPr>
          <w:p w14:paraId="01DEE3A1"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1A55F779" w14:textId="77777777">
        <w:trPr>
          <w:trHeight w:val="368"/>
        </w:trPr>
        <w:tc>
          <w:tcPr>
            <w:tcW w:w="3325" w:type="dxa"/>
          </w:tcPr>
          <w:p w14:paraId="4F7EEE4B" w14:textId="77777777" w:rsidR="00A720EB" w:rsidRDefault="0030286B">
            <w:pPr>
              <w:pStyle w:val="TableParagraph"/>
              <w:rPr>
                <w:sz w:val="21"/>
              </w:rPr>
            </w:pPr>
            <w:proofErr w:type="gramStart"/>
            <w:r>
              <w:rPr>
                <w:color w:val="B02045"/>
                <w:sz w:val="21"/>
              </w:rPr>
              <w:t>org.eclipse</w:t>
            </w:r>
            <w:proofErr w:type="gramEnd"/>
            <w:r>
              <w:rPr>
                <w:color w:val="B02045"/>
                <w:sz w:val="21"/>
              </w:rPr>
              <w:t>.jetty.osgi</w:t>
            </w:r>
          </w:p>
        </w:tc>
        <w:tc>
          <w:tcPr>
            <w:tcW w:w="3325" w:type="dxa"/>
          </w:tcPr>
          <w:p w14:paraId="5388A42A" w14:textId="77777777" w:rsidR="00A720EB" w:rsidRDefault="0030286B">
            <w:pPr>
              <w:pStyle w:val="TableParagraph"/>
              <w:rPr>
                <w:sz w:val="21"/>
              </w:rPr>
            </w:pPr>
            <w:r>
              <w:rPr>
                <w:color w:val="B02045"/>
                <w:sz w:val="21"/>
              </w:rPr>
              <w:t>jetty-osgi-boot</w:t>
            </w:r>
          </w:p>
        </w:tc>
        <w:tc>
          <w:tcPr>
            <w:tcW w:w="3325" w:type="dxa"/>
          </w:tcPr>
          <w:p w14:paraId="3C0EAED5"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3032BEEA" w14:textId="77777777">
        <w:trPr>
          <w:trHeight w:val="368"/>
        </w:trPr>
        <w:tc>
          <w:tcPr>
            <w:tcW w:w="3325" w:type="dxa"/>
          </w:tcPr>
          <w:p w14:paraId="6F03AB7B" w14:textId="77777777" w:rsidR="00A720EB" w:rsidRDefault="0030286B">
            <w:pPr>
              <w:pStyle w:val="TableParagraph"/>
              <w:rPr>
                <w:sz w:val="21"/>
              </w:rPr>
            </w:pPr>
            <w:proofErr w:type="gramStart"/>
            <w:r>
              <w:rPr>
                <w:color w:val="B02045"/>
                <w:sz w:val="21"/>
              </w:rPr>
              <w:t>org.eclipse</w:t>
            </w:r>
            <w:proofErr w:type="gramEnd"/>
            <w:r>
              <w:rPr>
                <w:color w:val="B02045"/>
                <w:sz w:val="21"/>
              </w:rPr>
              <w:t>.jetty.osgi</w:t>
            </w:r>
          </w:p>
        </w:tc>
        <w:tc>
          <w:tcPr>
            <w:tcW w:w="3325" w:type="dxa"/>
          </w:tcPr>
          <w:p w14:paraId="7AD6754E" w14:textId="77777777" w:rsidR="00A720EB" w:rsidRDefault="0030286B">
            <w:pPr>
              <w:pStyle w:val="TableParagraph"/>
              <w:rPr>
                <w:sz w:val="21"/>
              </w:rPr>
            </w:pPr>
            <w:r>
              <w:rPr>
                <w:color w:val="B02045"/>
                <w:sz w:val="21"/>
              </w:rPr>
              <w:t>jetty-osgi-boot-jsp</w:t>
            </w:r>
          </w:p>
        </w:tc>
        <w:tc>
          <w:tcPr>
            <w:tcW w:w="3325" w:type="dxa"/>
          </w:tcPr>
          <w:p w14:paraId="105F39A2"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356F3B07" w14:textId="77777777">
        <w:trPr>
          <w:trHeight w:val="368"/>
        </w:trPr>
        <w:tc>
          <w:tcPr>
            <w:tcW w:w="3325" w:type="dxa"/>
          </w:tcPr>
          <w:p w14:paraId="25D2E04A" w14:textId="77777777" w:rsidR="00A720EB" w:rsidRDefault="0030286B">
            <w:pPr>
              <w:pStyle w:val="TableParagraph"/>
              <w:rPr>
                <w:sz w:val="21"/>
              </w:rPr>
            </w:pPr>
            <w:proofErr w:type="gramStart"/>
            <w:r>
              <w:rPr>
                <w:color w:val="B02045"/>
                <w:sz w:val="21"/>
              </w:rPr>
              <w:t>org.eclipse</w:t>
            </w:r>
            <w:proofErr w:type="gramEnd"/>
            <w:r>
              <w:rPr>
                <w:color w:val="B02045"/>
                <w:sz w:val="21"/>
              </w:rPr>
              <w:t>.jetty.osgi</w:t>
            </w:r>
          </w:p>
        </w:tc>
        <w:tc>
          <w:tcPr>
            <w:tcW w:w="3325" w:type="dxa"/>
          </w:tcPr>
          <w:p w14:paraId="25F34316" w14:textId="77777777" w:rsidR="00A720EB" w:rsidRDefault="0030286B">
            <w:pPr>
              <w:pStyle w:val="TableParagraph"/>
              <w:rPr>
                <w:sz w:val="21"/>
              </w:rPr>
            </w:pPr>
            <w:r>
              <w:rPr>
                <w:color w:val="B02045"/>
                <w:sz w:val="21"/>
              </w:rPr>
              <w:t>jetty-osgi-boot-warurl</w:t>
            </w:r>
          </w:p>
        </w:tc>
        <w:tc>
          <w:tcPr>
            <w:tcW w:w="3325" w:type="dxa"/>
          </w:tcPr>
          <w:p w14:paraId="0061726C"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22580936" w14:textId="77777777">
        <w:trPr>
          <w:trHeight w:val="368"/>
        </w:trPr>
        <w:tc>
          <w:tcPr>
            <w:tcW w:w="3325" w:type="dxa"/>
          </w:tcPr>
          <w:p w14:paraId="07385251" w14:textId="77777777" w:rsidR="00A720EB" w:rsidRDefault="0030286B">
            <w:pPr>
              <w:pStyle w:val="TableParagraph"/>
              <w:rPr>
                <w:sz w:val="21"/>
              </w:rPr>
            </w:pPr>
            <w:proofErr w:type="gramStart"/>
            <w:r>
              <w:rPr>
                <w:color w:val="B02045"/>
                <w:sz w:val="21"/>
              </w:rPr>
              <w:t>org.eclipse</w:t>
            </w:r>
            <w:proofErr w:type="gramEnd"/>
            <w:r>
              <w:rPr>
                <w:color w:val="B02045"/>
                <w:sz w:val="21"/>
              </w:rPr>
              <w:t>.jetty.websocket</w:t>
            </w:r>
          </w:p>
        </w:tc>
        <w:tc>
          <w:tcPr>
            <w:tcW w:w="3325" w:type="dxa"/>
          </w:tcPr>
          <w:p w14:paraId="16BA95F7" w14:textId="77777777" w:rsidR="00A720EB" w:rsidRDefault="0030286B">
            <w:pPr>
              <w:pStyle w:val="TableParagraph"/>
              <w:rPr>
                <w:sz w:val="21"/>
              </w:rPr>
            </w:pPr>
            <w:r>
              <w:rPr>
                <w:color w:val="B02045"/>
                <w:sz w:val="21"/>
              </w:rPr>
              <w:t>javax-websocket-client-impl</w:t>
            </w:r>
          </w:p>
        </w:tc>
        <w:tc>
          <w:tcPr>
            <w:tcW w:w="3325" w:type="dxa"/>
          </w:tcPr>
          <w:p w14:paraId="0F17E27A"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bl>
    <w:p w14:paraId="26661A83"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72760A94" w14:textId="77777777">
        <w:trPr>
          <w:trHeight w:val="415"/>
        </w:trPr>
        <w:tc>
          <w:tcPr>
            <w:tcW w:w="3325" w:type="dxa"/>
            <w:tcBorders>
              <w:bottom w:val="single" w:sz="12" w:space="0" w:color="DDDDDD"/>
            </w:tcBorders>
          </w:tcPr>
          <w:p w14:paraId="3613C86A"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2FFC6685"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00F5D842"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313A0678" w14:textId="77777777">
        <w:trPr>
          <w:trHeight w:val="358"/>
        </w:trPr>
        <w:tc>
          <w:tcPr>
            <w:tcW w:w="3325" w:type="dxa"/>
            <w:tcBorders>
              <w:top w:val="single" w:sz="12" w:space="0" w:color="DDDDDD"/>
            </w:tcBorders>
          </w:tcPr>
          <w:p w14:paraId="3580CF39" w14:textId="77777777" w:rsidR="00A720EB" w:rsidRDefault="0030286B">
            <w:pPr>
              <w:pStyle w:val="TableParagraph"/>
              <w:spacing w:before="27"/>
              <w:rPr>
                <w:sz w:val="21"/>
              </w:rPr>
            </w:pPr>
            <w:proofErr w:type="gramStart"/>
            <w:r>
              <w:rPr>
                <w:color w:val="B02045"/>
                <w:sz w:val="21"/>
              </w:rPr>
              <w:t>org.eclipse</w:t>
            </w:r>
            <w:proofErr w:type="gramEnd"/>
            <w:r>
              <w:rPr>
                <w:color w:val="B02045"/>
                <w:sz w:val="21"/>
              </w:rPr>
              <w:t>.jetty.websocket</w:t>
            </w:r>
          </w:p>
        </w:tc>
        <w:tc>
          <w:tcPr>
            <w:tcW w:w="3325" w:type="dxa"/>
            <w:tcBorders>
              <w:top w:val="single" w:sz="12" w:space="0" w:color="DDDDDD"/>
            </w:tcBorders>
          </w:tcPr>
          <w:p w14:paraId="299A7BAD" w14:textId="77777777" w:rsidR="00A720EB" w:rsidRDefault="0030286B">
            <w:pPr>
              <w:pStyle w:val="TableParagraph"/>
              <w:spacing w:before="27"/>
              <w:rPr>
                <w:sz w:val="21"/>
              </w:rPr>
            </w:pPr>
            <w:r>
              <w:rPr>
                <w:color w:val="B02045"/>
                <w:sz w:val="21"/>
              </w:rPr>
              <w:t>javax-websocket-server-impl</w:t>
            </w:r>
          </w:p>
        </w:tc>
        <w:tc>
          <w:tcPr>
            <w:tcW w:w="3325" w:type="dxa"/>
            <w:tcBorders>
              <w:top w:val="single" w:sz="12" w:space="0" w:color="DDDDDD"/>
            </w:tcBorders>
          </w:tcPr>
          <w:p w14:paraId="268757A4" w14:textId="77777777" w:rsidR="00A720EB" w:rsidRDefault="0030286B">
            <w:pPr>
              <w:pStyle w:val="TableParagraph"/>
              <w:spacing w:before="27"/>
              <w:rPr>
                <w:sz w:val="21"/>
              </w:rPr>
            </w:pPr>
            <w:r>
              <w:rPr>
                <w:color w:val="B02045"/>
                <w:sz w:val="21"/>
              </w:rPr>
              <w:t>9.4.</w:t>
            </w:r>
            <w:proofErr w:type="gramStart"/>
            <w:r>
              <w:rPr>
                <w:color w:val="B02045"/>
                <w:sz w:val="21"/>
              </w:rPr>
              <w:t>31.v</w:t>
            </w:r>
            <w:proofErr w:type="gramEnd"/>
            <w:r>
              <w:rPr>
                <w:color w:val="B02045"/>
                <w:sz w:val="21"/>
              </w:rPr>
              <w:t>20200723</w:t>
            </w:r>
          </w:p>
        </w:tc>
      </w:tr>
      <w:tr w:rsidR="00A720EB" w14:paraId="48A25B76" w14:textId="77777777">
        <w:trPr>
          <w:trHeight w:val="368"/>
        </w:trPr>
        <w:tc>
          <w:tcPr>
            <w:tcW w:w="3325" w:type="dxa"/>
          </w:tcPr>
          <w:p w14:paraId="1A1705E8"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.jetty.websocket</w:t>
            </w:r>
          </w:p>
        </w:tc>
        <w:tc>
          <w:tcPr>
            <w:tcW w:w="3325" w:type="dxa"/>
          </w:tcPr>
          <w:p w14:paraId="004A66BC" w14:textId="77777777" w:rsidR="00A720EB" w:rsidRDefault="0030286B">
            <w:pPr>
              <w:pStyle w:val="TableParagraph"/>
              <w:spacing w:before="37"/>
              <w:rPr>
                <w:sz w:val="21"/>
              </w:rPr>
            </w:pPr>
            <w:r>
              <w:rPr>
                <w:color w:val="B02045"/>
                <w:sz w:val="21"/>
              </w:rPr>
              <w:t>websocket-api</w:t>
            </w:r>
          </w:p>
        </w:tc>
        <w:tc>
          <w:tcPr>
            <w:tcW w:w="3325" w:type="dxa"/>
          </w:tcPr>
          <w:p w14:paraId="4153D86B"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3CA427E8" w14:textId="77777777">
        <w:trPr>
          <w:trHeight w:val="368"/>
        </w:trPr>
        <w:tc>
          <w:tcPr>
            <w:tcW w:w="3325" w:type="dxa"/>
          </w:tcPr>
          <w:p w14:paraId="179B96E3" w14:textId="77777777" w:rsidR="00A720EB" w:rsidRDefault="0030286B">
            <w:pPr>
              <w:pStyle w:val="TableParagraph"/>
              <w:spacing w:before="37"/>
              <w:rPr>
                <w:sz w:val="21"/>
              </w:rPr>
            </w:pPr>
            <w:proofErr w:type="gramStart"/>
            <w:r>
              <w:rPr>
                <w:color w:val="B02045"/>
                <w:sz w:val="21"/>
              </w:rPr>
              <w:t>org.eclipse</w:t>
            </w:r>
            <w:proofErr w:type="gramEnd"/>
            <w:r>
              <w:rPr>
                <w:color w:val="B02045"/>
                <w:sz w:val="21"/>
              </w:rPr>
              <w:t>.jetty.websocket</w:t>
            </w:r>
          </w:p>
        </w:tc>
        <w:tc>
          <w:tcPr>
            <w:tcW w:w="3325" w:type="dxa"/>
          </w:tcPr>
          <w:p w14:paraId="46F82DD9" w14:textId="77777777" w:rsidR="00A720EB" w:rsidRDefault="0030286B">
            <w:pPr>
              <w:pStyle w:val="TableParagraph"/>
              <w:spacing w:before="37"/>
              <w:rPr>
                <w:sz w:val="21"/>
              </w:rPr>
            </w:pPr>
            <w:r>
              <w:rPr>
                <w:color w:val="B02045"/>
                <w:sz w:val="21"/>
              </w:rPr>
              <w:t>websocket-client</w:t>
            </w:r>
          </w:p>
        </w:tc>
        <w:tc>
          <w:tcPr>
            <w:tcW w:w="3325" w:type="dxa"/>
          </w:tcPr>
          <w:p w14:paraId="3A03BE31" w14:textId="77777777" w:rsidR="00A720EB" w:rsidRDefault="0030286B">
            <w:pPr>
              <w:pStyle w:val="TableParagraph"/>
              <w:spacing w:before="37"/>
              <w:rPr>
                <w:sz w:val="21"/>
              </w:rPr>
            </w:pPr>
            <w:r>
              <w:rPr>
                <w:color w:val="B02045"/>
                <w:sz w:val="21"/>
              </w:rPr>
              <w:t>9.4.</w:t>
            </w:r>
            <w:proofErr w:type="gramStart"/>
            <w:r>
              <w:rPr>
                <w:color w:val="B02045"/>
                <w:sz w:val="21"/>
              </w:rPr>
              <w:t>31.v</w:t>
            </w:r>
            <w:proofErr w:type="gramEnd"/>
            <w:r>
              <w:rPr>
                <w:color w:val="B02045"/>
                <w:sz w:val="21"/>
              </w:rPr>
              <w:t>20200723</w:t>
            </w:r>
          </w:p>
        </w:tc>
      </w:tr>
      <w:tr w:rsidR="00A720EB" w14:paraId="6B5817A3" w14:textId="77777777">
        <w:trPr>
          <w:trHeight w:val="368"/>
        </w:trPr>
        <w:tc>
          <w:tcPr>
            <w:tcW w:w="3325" w:type="dxa"/>
          </w:tcPr>
          <w:p w14:paraId="009BBB6A" w14:textId="77777777" w:rsidR="00A720EB" w:rsidRDefault="0030286B">
            <w:pPr>
              <w:pStyle w:val="TableParagraph"/>
              <w:rPr>
                <w:sz w:val="21"/>
              </w:rPr>
            </w:pPr>
            <w:proofErr w:type="gramStart"/>
            <w:r>
              <w:rPr>
                <w:color w:val="B02045"/>
                <w:sz w:val="21"/>
              </w:rPr>
              <w:t>org.eclipse</w:t>
            </w:r>
            <w:proofErr w:type="gramEnd"/>
            <w:r>
              <w:rPr>
                <w:color w:val="B02045"/>
                <w:sz w:val="21"/>
              </w:rPr>
              <w:t>.jetty.websocket</w:t>
            </w:r>
          </w:p>
        </w:tc>
        <w:tc>
          <w:tcPr>
            <w:tcW w:w="3325" w:type="dxa"/>
          </w:tcPr>
          <w:p w14:paraId="71717399" w14:textId="77777777" w:rsidR="00A720EB" w:rsidRDefault="0030286B">
            <w:pPr>
              <w:pStyle w:val="TableParagraph"/>
              <w:rPr>
                <w:sz w:val="21"/>
              </w:rPr>
            </w:pPr>
            <w:r>
              <w:rPr>
                <w:color w:val="B02045"/>
                <w:sz w:val="21"/>
              </w:rPr>
              <w:t>websocket-common</w:t>
            </w:r>
          </w:p>
        </w:tc>
        <w:tc>
          <w:tcPr>
            <w:tcW w:w="3325" w:type="dxa"/>
          </w:tcPr>
          <w:p w14:paraId="286CA73A"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316203C7" w14:textId="77777777">
        <w:trPr>
          <w:trHeight w:val="368"/>
        </w:trPr>
        <w:tc>
          <w:tcPr>
            <w:tcW w:w="3325" w:type="dxa"/>
          </w:tcPr>
          <w:p w14:paraId="2D8FB191" w14:textId="77777777" w:rsidR="00A720EB" w:rsidRDefault="0030286B">
            <w:pPr>
              <w:pStyle w:val="TableParagraph"/>
              <w:rPr>
                <w:sz w:val="21"/>
              </w:rPr>
            </w:pPr>
            <w:proofErr w:type="gramStart"/>
            <w:r>
              <w:rPr>
                <w:color w:val="B02045"/>
                <w:sz w:val="21"/>
              </w:rPr>
              <w:t>org.eclipse</w:t>
            </w:r>
            <w:proofErr w:type="gramEnd"/>
            <w:r>
              <w:rPr>
                <w:color w:val="B02045"/>
                <w:sz w:val="21"/>
              </w:rPr>
              <w:t>.jetty.websocket</w:t>
            </w:r>
          </w:p>
        </w:tc>
        <w:tc>
          <w:tcPr>
            <w:tcW w:w="3325" w:type="dxa"/>
          </w:tcPr>
          <w:p w14:paraId="7C9BCA22" w14:textId="77777777" w:rsidR="00A720EB" w:rsidRDefault="0030286B">
            <w:pPr>
              <w:pStyle w:val="TableParagraph"/>
              <w:rPr>
                <w:sz w:val="21"/>
              </w:rPr>
            </w:pPr>
            <w:r>
              <w:rPr>
                <w:color w:val="B02045"/>
                <w:sz w:val="21"/>
              </w:rPr>
              <w:t>websocket-server</w:t>
            </w:r>
          </w:p>
        </w:tc>
        <w:tc>
          <w:tcPr>
            <w:tcW w:w="3325" w:type="dxa"/>
          </w:tcPr>
          <w:p w14:paraId="7FA67EF9"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671F1CE2" w14:textId="77777777">
        <w:trPr>
          <w:trHeight w:val="368"/>
        </w:trPr>
        <w:tc>
          <w:tcPr>
            <w:tcW w:w="3325" w:type="dxa"/>
          </w:tcPr>
          <w:p w14:paraId="1837C3BC" w14:textId="77777777" w:rsidR="00A720EB" w:rsidRDefault="0030286B">
            <w:pPr>
              <w:pStyle w:val="TableParagraph"/>
              <w:rPr>
                <w:sz w:val="21"/>
              </w:rPr>
            </w:pPr>
            <w:proofErr w:type="gramStart"/>
            <w:r>
              <w:rPr>
                <w:color w:val="B02045"/>
                <w:sz w:val="21"/>
              </w:rPr>
              <w:t>org.eclipse</w:t>
            </w:r>
            <w:proofErr w:type="gramEnd"/>
            <w:r>
              <w:rPr>
                <w:color w:val="B02045"/>
                <w:sz w:val="21"/>
              </w:rPr>
              <w:t>.jetty.websocket</w:t>
            </w:r>
          </w:p>
        </w:tc>
        <w:tc>
          <w:tcPr>
            <w:tcW w:w="3325" w:type="dxa"/>
          </w:tcPr>
          <w:p w14:paraId="2E5CBFFD" w14:textId="77777777" w:rsidR="00A720EB" w:rsidRDefault="0030286B">
            <w:pPr>
              <w:pStyle w:val="TableParagraph"/>
              <w:rPr>
                <w:sz w:val="21"/>
              </w:rPr>
            </w:pPr>
            <w:r>
              <w:rPr>
                <w:color w:val="B02045"/>
                <w:sz w:val="21"/>
              </w:rPr>
              <w:t>websocket-servlet</w:t>
            </w:r>
          </w:p>
        </w:tc>
        <w:tc>
          <w:tcPr>
            <w:tcW w:w="3325" w:type="dxa"/>
          </w:tcPr>
          <w:p w14:paraId="373E2BB2" w14:textId="77777777" w:rsidR="00A720EB" w:rsidRDefault="0030286B">
            <w:pPr>
              <w:pStyle w:val="TableParagraph"/>
              <w:rPr>
                <w:sz w:val="21"/>
              </w:rPr>
            </w:pPr>
            <w:r>
              <w:rPr>
                <w:color w:val="B02045"/>
                <w:sz w:val="21"/>
              </w:rPr>
              <w:t>9.4.</w:t>
            </w:r>
            <w:proofErr w:type="gramStart"/>
            <w:r>
              <w:rPr>
                <w:color w:val="B02045"/>
                <w:sz w:val="21"/>
              </w:rPr>
              <w:t>31.v</w:t>
            </w:r>
            <w:proofErr w:type="gramEnd"/>
            <w:r>
              <w:rPr>
                <w:color w:val="B02045"/>
                <w:sz w:val="21"/>
              </w:rPr>
              <w:t>20200723</w:t>
            </w:r>
          </w:p>
        </w:tc>
      </w:tr>
      <w:tr w:rsidR="00A720EB" w14:paraId="67381494" w14:textId="77777777">
        <w:trPr>
          <w:trHeight w:val="368"/>
        </w:trPr>
        <w:tc>
          <w:tcPr>
            <w:tcW w:w="3325" w:type="dxa"/>
          </w:tcPr>
          <w:p w14:paraId="2FA40669" w14:textId="77777777" w:rsidR="00A720EB" w:rsidRDefault="0030286B">
            <w:pPr>
              <w:pStyle w:val="TableParagraph"/>
              <w:rPr>
                <w:sz w:val="21"/>
              </w:rPr>
            </w:pPr>
            <w:proofErr w:type="gramStart"/>
            <w:r>
              <w:rPr>
                <w:color w:val="B02045"/>
                <w:sz w:val="21"/>
              </w:rPr>
              <w:t>org.ehcache</w:t>
            </w:r>
            <w:proofErr w:type="gramEnd"/>
          </w:p>
        </w:tc>
        <w:tc>
          <w:tcPr>
            <w:tcW w:w="3325" w:type="dxa"/>
          </w:tcPr>
          <w:p w14:paraId="4296AABC" w14:textId="77777777" w:rsidR="00A720EB" w:rsidRDefault="0030286B">
            <w:pPr>
              <w:pStyle w:val="TableParagraph"/>
              <w:rPr>
                <w:sz w:val="21"/>
              </w:rPr>
            </w:pPr>
            <w:r>
              <w:rPr>
                <w:color w:val="B02045"/>
                <w:sz w:val="21"/>
              </w:rPr>
              <w:t>ehcache</w:t>
            </w:r>
          </w:p>
        </w:tc>
        <w:tc>
          <w:tcPr>
            <w:tcW w:w="3325" w:type="dxa"/>
          </w:tcPr>
          <w:p w14:paraId="2920B7CE" w14:textId="77777777" w:rsidR="00A720EB" w:rsidRDefault="0030286B">
            <w:pPr>
              <w:pStyle w:val="TableParagraph"/>
              <w:rPr>
                <w:sz w:val="21"/>
              </w:rPr>
            </w:pPr>
            <w:r>
              <w:rPr>
                <w:color w:val="B02045"/>
                <w:sz w:val="21"/>
              </w:rPr>
              <w:t>3.8.1</w:t>
            </w:r>
          </w:p>
        </w:tc>
      </w:tr>
      <w:tr w:rsidR="00A720EB" w14:paraId="4769B78B" w14:textId="77777777">
        <w:trPr>
          <w:trHeight w:val="368"/>
        </w:trPr>
        <w:tc>
          <w:tcPr>
            <w:tcW w:w="3325" w:type="dxa"/>
          </w:tcPr>
          <w:p w14:paraId="6D7A5B30" w14:textId="77777777" w:rsidR="00A720EB" w:rsidRDefault="0030286B">
            <w:pPr>
              <w:pStyle w:val="TableParagraph"/>
              <w:spacing w:before="37"/>
              <w:rPr>
                <w:sz w:val="21"/>
              </w:rPr>
            </w:pPr>
            <w:proofErr w:type="gramStart"/>
            <w:r>
              <w:rPr>
                <w:color w:val="B02045"/>
                <w:sz w:val="21"/>
              </w:rPr>
              <w:t>org.ehcache</w:t>
            </w:r>
            <w:proofErr w:type="gramEnd"/>
          </w:p>
        </w:tc>
        <w:tc>
          <w:tcPr>
            <w:tcW w:w="3325" w:type="dxa"/>
          </w:tcPr>
          <w:p w14:paraId="0A093016" w14:textId="77777777" w:rsidR="00A720EB" w:rsidRDefault="0030286B">
            <w:pPr>
              <w:pStyle w:val="TableParagraph"/>
              <w:spacing w:before="37"/>
              <w:rPr>
                <w:sz w:val="21"/>
              </w:rPr>
            </w:pPr>
            <w:r>
              <w:rPr>
                <w:color w:val="B02045"/>
                <w:sz w:val="21"/>
              </w:rPr>
              <w:t>ehcache-clustered</w:t>
            </w:r>
          </w:p>
        </w:tc>
        <w:tc>
          <w:tcPr>
            <w:tcW w:w="3325" w:type="dxa"/>
          </w:tcPr>
          <w:p w14:paraId="1D8661FC" w14:textId="77777777" w:rsidR="00A720EB" w:rsidRDefault="0030286B">
            <w:pPr>
              <w:pStyle w:val="TableParagraph"/>
              <w:spacing w:before="37"/>
              <w:rPr>
                <w:sz w:val="21"/>
              </w:rPr>
            </w:pPr>
            <w:r>
              <w:rPr>
                <w:color w:val="B02045"/>
                <w:sz w:val="21"/>
              </w:rPr>
              <w:t>3.8.1</w:t>
            </w:r>
          </w:p>
        </w:tc>
      </w:tr>
      <w:tr w:rsidR="00A720EB" w14:paraId="40563BF0" w14:textId="77777777">
        <w:trPr>
          <w:trHeight w:val="368"/>
        </w:trPr>
        <w:tc>
          <w:tcPr>
            <w:tcW w:w="3325" w:type="dxa"/>
          </w:tcPr>
          <w:p w14:paraId="3DB335C6" w14:textId="77777777" w:rsidR="00A720EB" w:rsidRDefault="0030286B">
            <w:pPr>
              <w:pStyle w:val="TableParagraph"/>
              <w:spacing w:before="37"/>
              <w:rPr>
                <w:sz w:val="21"/>
              </w:rPr>
            </w:pPr>
            <w:proofErr w:type="gramStart"/>
            <w:r>
              <w:rPr>
                <w:color w:val="B02045"/>
                <w:sz w:val="21"/>
              </w:rPr>
              <w:t>org.ehcache</w:t>
            </w:r>
            <w:proofErr w:type="gramEnd"/>
          </w:p>
        </w:tc>
        <w:tc>
          <w:tcPr>
            <w:tcW w:w="3325" w:type="dxa"/>
          </w:tcPr>
          <w:p w14:paraId="1F22C473" w14:textId="77777777" w:rsidR="00A720EB" w:rsidRDefault="0030286B">
            <w:pPr>
              <w:pStyle w:val="TableParagraph"/>
              <w:spacing w:before="37"/>
              <w:rPr>
                <w:sz w:val="21"/>
              </w:rPr>
            </w:pPr>
            <w:r>
              <w:rPr>
                <w:color w:val="B02045"/>
                <w:sz w:val="21"/>
              </w:rPr>
              <w:t>ehcache-transactions</w:t>
            </w:r>
          </w:p>
        </w:tc>
        <w:tc>
          <w:tcPr>
            <w:tcW w:w="3325" w:type="dxa"/>
          </w:tcPr>
          <w:p w14:paraId="13D72940" w14:textId="77777777" w:rsidR="00A720EB" w:rsidRDefault="0030286B">
            <w:pPr>
              <w:pStyle w:val="TableParagraph"/>
              <w:spacing w:before="37"/>
              <w:rPr>
                <w:sz w:val="21"/>
              </w:rPr>
            </w:pPr>
            <w:r>
              <w:rPr>
                <w:color w:val="B02045"/>
                <w:sz w:val="21"/>
              </w:rPr>
              <w:t>3.8.1</w:t>
            </w:r>
          </w:p>
        </w:tc>
      </w:tr>
      <w:tr w:rsidR="00A720EB" w14:paraId="508E3CC5" w14:textId="77777777">
        <w:trPr>
          <w:trHeight w:val="368"/>
        </w:trPr>
        <w:tc>
          <w:tcPr>
            <w:tcW w:w="3325" w:type="dxa"/>
          </w:tcPr>
          <w:p w14:paraId="47464F29" w14:textId="77777777" w:rsidR="00A720EB" w:rsidRDefault="0030286B">
            <w:pPr>
              <w:pStyle w:val="TableParagraph"/>
              <w:spacing w:before="37"/>
              <w:rPr>
                <w:sz w:val="21"/>
              </w:rPr>
            </w:pPr>
            <w:proofErr w:type="gramStart"/>
            <w:r>
              <w:rPr>
                <w:color w:val="B02045"/>
                <w:sz w:val="21"/>
              </w:rPr>
              <w:t>org.elasticsearch</w:t>
            </w:r>
            <w:proofErr w:type="gramEnd"/>
          </w:p>
        </w:tc>
        <w:tc>
          <w:tcPr>
            <w:tcW w:w="3325" w:type="dxa"/>
          </w:tcPr>
          <w:p w14:paraId="6F57C417" w14:textId="77777777" w:rsidR="00A720EB" w:rsidRDefault="0030286B">
            <w:pPr>
              <w:pStyle w:val="TableParagraph"/>
              <w:spacing w:before="37"/>
              <w:rPr>
                <w:sz w:val="21"/>
              </w:rPr>
            </w:pPr>
            <w:r>
              <w:rPr>
                <w:color w:val="B02045"/>
                <w:sz w:val="21"/>
              </w:rPr>
              <w:t>elasticsearch</w:t>
            </w:r>
          </w:p>
        </w:tc>
        <w:tc>
          <w:tcPr>
            <w:tcW w:w="3325" w:type="dxa"/>
          </w:tcPr>
          <w:p w14:paraId="150A8B49" w14:textId="77777777" w:rsidR="00A720EB" w:rsidRDefault="0030286B">
            <w:pPr>
              <w:pStyle w:val="TableParagraph"/>
              <w:spacing w:before="37"/>
              <w:rPr>
                <w:sz w:val="21"/>
              </w:rPr>
            </w:pPr>
            <w:r>
              <w:rPr>
                <w:color w:val="B02045"/>
                <w:sz w:val="21"/>
              </w:rPr>
              <w:t>7.6.2</w:t>
            </w:r>
          </w:p>
        </w:tc>
      </w:tr>
      <w:tr w:rsidR="00A720EB" w14:paraId="43F7C0B0" w14:textId="77777777">
        <w:trPr>
          <w:trHeight w:val="368"/>
        </w:trPr>
        <w:tc>
          <w:tcPr>
            <w:tcW w:w="3325" w:type="dxa"/>
          </w:tcPr>
          <w:p w14:paraId="7BBE35D1" w14:textId="77777777" w:rsidR="00A720EB" w:rsidRDefault="0030286B">
            <w:pPr>
              <w:pStyle w:val="TableParagraph"/>
              <w:spacing w:before="37"/>
              <w:rPr>
                <w:sz w:val="21"/>
              </w:rPr>
            </w:pPr>
            <w:proofErr w:type="gramStart"/>
            <w:r>
              <w:rPr>
                <w:color w:val="B02045"/>
                <w:sz w:val="21"/>
              </w:rPr>
              <w:t>org.elasticsearch</w:t>
            </w:r>
            <w:proofErr w:type="gramEnd"/>
            <w:r>
              <w:rPr>
                <w:color w:val="B02045"/>
                <w:sz w:val="21"/>
              </w:rPr>
              <w:t>.client</w:t>
            </w:r>
          </w:p>
        </w:tc>
        <w:tc>
          <w:tcPr>
            <w:tcW w:w="3325" w:type="dxa"/>
          </w:tcPr>
          <w:p w14:paraId="4B23947A" w14:textId="77777777" w:rsidR="00A720EB" w:rsidRDefault="0030286B">
            <w:pPr>
              <w:pStyle w:val="TableParagraph"/>
              <w:spacing w:before="37"/>
              <w:rPr>
                <w:sz w:val="21"/>
              </w:rPr>
            </w:pPr>
            <w:r>
              <w:rPr>
                <w:color w:val="B02045"/>
                <w:sz w:val="21"/>
              </w:rPr>
              <w:t>elasticsearch-rest-client</w:t>
            </w:r>
          </w:p>
        </w:tc>
        <w:tc>
          <w:tcPr>
            <w:tcW w:w="3325" w:type="dxa"/>
          </w:tcPr>
          <w:p w14:paraId="2F03E869" w14:textId="77777777" w:rsidR="00A720EB" w:rsidRDefault="0030286B">
            <w:pPr>
              <w:pStyle w:val="TableParagraph"/>
              <w:spacing w:before="37"/>
              <w:rPr>
                <w:sz w:val="21"/>
              </w:rPr>
            </w:pPr>
            <w:r>
              <w:rPr>
                <w:color w:val="B02045"/>
                <w:sz w:val="21"/>
              </w:rPr>
              <w:t>7.6.2</w:t>
            </w:r>
          </w:p>
        </w:tc>
      </w:tr>
      <w:tr w:rsidR="00A720EB" w14:paraId="15D7FC28" w14:textId="77777777">
        <w:trPr>
          <w:trHeight w:val="627"/>
        </w:trPr>
        <w:tc>
          <w:tcPr>
            <w:tcW w:w="3325" w:type="dxa"/>
          </w:tcPr>
          <w:p w14:paraId="12A7F0CA" w14:textId="77777777" w:rsidR="00A720EB" w:rsidRDefault="0030286B">
            <w:pPr>
              <w:pStyle w:val="TableParagraph"/>
              <w:rPr>
                <w:sz w:val="21"/>
              </w:rPr>
            </w:pPr>
            <w:proofErr w:type="gramStart"/>
            <w:r>
              <w:rPr>
                <w:color w:val="B02045"/>
                <w:sz w:val="21"/>
              </w:rPr>
              <w:t>org.elasticsearch</w:t>
            </w:r>
            <w:proofErr w:type="gramEnd"/>
            <w:r>
              <w:rPr>
                <w:color w:val="B02045"/>
                <w:sz w:val="21"/>
              </w:rPr>
              <w:t>.client</w:t>
            </w:r>
          </w:p>
        </w:tc>
        <w:tc>
          <w:tcPr>
            <w:tcW w:w="3325" w:type="dxa"/>
          </w:tcPr>
          <w:p w14:paraId="4FCD287C" w14:textId="77777777" w:rsidR="00A720EB" w:rsidRDefault="0030286B">
            <w:pPr>
              <w:pStyle w:val="TableParagraph"/>
              <w:spacing w:before="46" w:line="230" w:lineRule="auto"/>
              <w:ind w:right="85"/>
              <w:rPr>
                <w:sz w:val="21"/>
              </w:rPr>
            </w:pPr>
            <w:r>
              <w:rPr>
                <w:color w:val="B02045"/>
                <w:sz w:val="21"/>
              </w:rPr>
              <w:t>elasticsearch-rest-high-level- client</w:t>
            </w:r>
          </w:p>
        </w:tc>
        <w:tc>
          <w:tcPr>
            <w:tcW w:w="3325" w:type="dxa"/>
          </w:tcPr>
          <w:p w14:paraId="0C96F23E" w14:textId="77777777" w:rsidR="00A720EB" w:rsidRDefault="0030286B">
            <w:pPr>
              <w:pStyle w:val="TableParagraph"/>
              <w:rPr>
                <w:sz w:val="21"/>
              </w:rPr>
            </w:pPr>
            <w:r>
              <w:rPr>
                <w:color w:val="B02045"/>
                <w:sz w:val="21"/>
              </w:rPr>
              <w:t>7.6.2</w:t>
            </w:r>
          </w:p>
        </w:tc>
      </w:tr>
      <w:tr w:rsidR="00A720EB" w14:paraId="4AF304F5" w14:textId="77777777">
        <w:trPr>
          <w:trHeight w:val="368"/>
        </w:trPr>
        <w:tc>
          <w:tcPr>
            <w:tcW w:w="3325" w:type="dxa"/>
          </w:tcPr>
          <w:p w14:paraId="19F156E3" w14:textId="77777777" w:rsidR="00A720EB" w:rsidRDefault="0030286B">
            <w:pPr>
              <w:pStyle w:val="TableParagraph"/>
              <w:rPr>
                <w:sz w:val="21"/>
              </w:rPr>
            </w:pPr>
            <w:proofErr w:type="gramStart"/>
            <w:r>
              <w:rPr>
                <w:color w:val="B02045"/>
                <w:sz w:val="21"/>
              </w:rPr>
              <w:t>org.elasticsearch</w:t>
            </w:r>
            <w:proofErr w:type="gramEnd"/>
            <w:r>
              <w:rPr>
                <w:color w:val="B02045"/>
                <w:sz w:val="21"/>
              </w:rPr>
              <w:t>.client</w:t>
            </w:r>
          </w:p>
        </w:tc>
        <w:tc>
          <w:tcPr>
            <w:tcW w:w="3325" w:type="dxa"/>
          </w:tcPr>
          <w:p w14:paraId="5A9EF976" w14:textId="77777777" w:rsidR="00A720EB" w:rsidRDefault="0030286B">
            <w:pPr>
              <w:pStyle w:val="TableParagraph"/>
              <w:rPr>
                <w:sz w:val="21"/>
              </w:rPr>
            </w:pPr>
            <w:r>
              <w:rPr>
                <w:color w:val="B02045"/>
                <w:sz w:val="21"/>
              </w:rPr>
              <w:t>transport</w:t>
            </w:r>
          </w:p>
        </w:tc>
        <w:tc>
          <w:tcPr>
            <w:tcW w:w="3325" w:type="dxa"/>
          </w:tcPr>
          <w:p w14:paraId="1FD50A26" w14:textId="77777777" w:rsidR="00A720EB" w:rsidRDefault="0030286B">
            <w:pPr>
              <w:pStyle w:val="TableParagraph"/>
              <w:rPr>
                <w:sz w:val="21"/>
              </w:rPr>
            </w:pPr>
            <w:r>
              <w:rPr>
                <w:color w:val="B02045"/>
                <w:sz w:val="21"/>
              </w:rPr>
              <w:t>7.6.2</w:t>
            </w:r>
          </w:p>
        </w:tc>
      </w:tr>
      <w:tr w:rsidR="00A720EB" w14:paraId="30407890" w14:textId="77777777">
        <w:trPr>
          <w:trHeight w:val="627"/>
        </w:trPr>
        <w:tc>
          <w:tcPr>
            <w:tcW w:w="3325" w:type="dxa"/>
          </w:tcPr>
          <w:p w14:paraId="68120AD6" w14:textId="77777777" w:rsidR="00A720EB" w:rsidRDefault="0030286B">
            <w:pPr>
              <w:pStyle w:val="TableParagraph"/>
              <w:spacing w:line="264" w:lineRule="exact"/>
              <w:rPr>
                <w:sz w:val="21"/>
              </w:rPr>
            </w:pPr>
            <w:proofErr w:type="gramStart"/>
            <w:r>
              <w:rPr>
                <w:color w:val="B02045"/>
                <w:sz w:val="21"/>
              </w:rPr>
              <w:t>org.elasticsearch</w:t>
            </w:r>
            <w:proofErr w:type="gramEnd"/>
            <w:r>
              <w:rPr>
                <w:color w:val="B02045"/>
                <w:sz w:val="21"/>
              </w:rPr>
              <w:t>.distribution</w:t>
            </w:r>
          </w:p>
          <w:p w14:paraId="173699CC" w14:textId="77777777" w:rsidR="00A720EB" w:rsidRDefault="0030286B">
            <w:pPr>
              <w:pStyle w:val="TableParagraph"/>
              <w:spacing w:before="0" w:line="264" w:lineRule="exact"/>
              <w:rPr>
                <w:sz w:val="21"/>
              </w:rPr>
            </w:pPr>
            <w:proofErr w:type="gramStart"/>
            <w:r>
              <w:rPr>
                <w:color w:val="B02045"/>
                <w:sz w:val="21"/>
              </w:rPr>
              <w:t>.integ</w:t>
            </w:r>
            <w:proofErr w:type="gramEnd"/>
            <w:r>
              <w:rPr>
                <w:color w:val="B02045"/>
                <w:sz w:val="21"/>
              </w:rPr>
              <w:t>-test-zip</w:t>
            </w:r>
          </w:p>
        </w:tc>
        <w:tc>
          <w:tcPr>
            <w:tcW w:w="3325" w:type="dxa"/>
          </w:tcPr>
          <w:p w14:paraId="24B6E9B9" w14:textId="77777777" w:rsidR="00A720EB" w:rsidRDefault="0030286B">
            <w:pPr>
              <w:pStyle w:val="TableParagraph"/>
              <w:rPr>
                <w:sz w:val="21"/>
              </w:rPr>
            </w:pPr>
            <w:r>
              <w:rPr>
                <w:color w:val="B02045"/>
                <w:sz w:val="21"/>
              </w:rPr>
              <w:t>elasticsearch</w:t>
            </w:r>
          </w:p>
        </w:tc>
        <w:tc>
          <w:tcPr>
            <w:tcW w:w="3325" w:type="dxa"/>
          </w:tcPr>
          <w:p w14:paraId="1831240B" w14:textId="77777777" w:rsidR="00A720EB" w:rsidRDefault="0030286B">
            <w:pPr>
              <w:pStyle w:val="TableParagraph"/>
              <w:rPr>
                <w:sz w:val="21"/>
              </w:rPr>
            </w:pPr>
            <w:r>
              <w:rPr>
                <w:color w:val="B02045"/>
                <w:sz w:val="21"/>
              </w:rPr>
              <w:t>7.6.2</w:t>
            </w:r>
          </w:p>
        </w:tc>
      </w:tr>
      <w:tr w:rsidR="00A720EB" w14:paraId="0995E019" w14:textId="77777777">
        <w:trPr>
          <w:trHeight w:val="368"/>
        </w:trPr>
        <w:tc>
          <w:tcPr>
            <w:tcW w:w="3325" w:type="dxa"/>
          </w:tcPr>
          <w:p w14:paraId="345DF97D" w14:textId="77777777" w:rsidR="00A720EB" w:rsidRDefault="0030286B">
            <w:pPr>
              <w:pStyle w:val="TableParagraph"/>
              <w:rPr>
                <w:sz w:val="21"/>
              </w:rPr>
            </w:pPr>
            <w:proofErr w:type="gramStart"/>
            <w:r>
              <w:rPr>
                <w:color w:val="B02045"/>
                <w:sz w:val="21"/>
              </w:rPr>
              <w:t>org.elasticsearch</w:t>
            </w:r>
            <w:proofErr w:type="gramEnd"/>
            <w:r>
              <w:rPr>
                <w:color w:val="B02045"/>
                <w:sz w:val="21"/>
              </w:rPr>
              <w:t>.plugin</w:t>
            </w:r>
          </w:p>
        </w:tc>
        <w:tc>
          <w:tcPr>
            <w:tcW w:w="3325" w:type="dxa"/>
          </w:tcPr>
          <w:p w14:paraId="14390DB3" w14:textId="77777777" w:rsidR="00A720EB" w:rsidRDefault="0030286B">
            <w:pPr>
              <w:pStyle w:val="TableParagraph"/>
              <w:rPr>
                <w:sz w:val="21"/>
              </w:rPr>
            </w:pPr>
            <w:r>
              <w:rPr>
                <w:color w:val="B02045"/>
                <w:sz w:val="21"/>
              </w:rPr>
              <w:t>transport-netty4-client</w:t>
            </w:r>
          </w:p>
        </w:tc>
        <w:tc>
          <w:tcPr>
            <w:tcW w:w="3325" w:type="dxa"/>
          </w:tcPr>
          <w:p w14:paraId="6BCF44F8" w14:textId="77777777" w:rsidR="00A720EB" w:rsidRDefault="0030286B">
            <w:pPr>
              <w:pStyle w:val="TableParagraph"/>
              <w:rPr>
                <w:sz w:val="21"/>
              </w:rPr>
            </w:pPr>
            <w:r>
              <w:rPr>
                <w:color w:val="B02045"/>
                <w:sz w:val="21"/>
              </w:rPr>
              <w:t>7.6.2</w:t>
            </w:r>
          </w:p>
        </w:tc>
      </w:tr>
      <w:tr w:rsidR="00A720EB" w14:paraId="71FFDFCD" w14:textId="77777777">
        <w:trPr>
          <w:trHeight w:val="368"/>
        </w:trPr>
        <w:tc>
          <w:tcPr>
            <w:tcW w:w="3325" w:type="dxa"/>
          </w:tcPr>
          <w:p w14:paraId="55C2D840" w14:textId="77777777" w:rsidR="00A720EB" w:rsidRDefault="0030286B">
            <w:pPr>
              <w:pStyle w:val="TableParagraph"/>
              <w:spacing w:before="37"/>
              <w:rPr>
                <w:sz w:val="21"/>
              </w:rPr>
            </w:pPr>
            <w:proofErr w:type="gramStart"/>
            <w:r>
              <w:rPr>
                <w:color w:val="B02045"/>
                <w:sz w:val="21"/>
              </w:rPr>
              <w:t>org.firebirdsql</w:t>
            </w:r>
            <w:proofErr w:type="gramEnd"/>
            <w:r>
              <w:rPr>
                <w:color w:val="B02045"/>
                <w:sz w:val="21"/>
              </w:rPr>
              <w:t>.jdbc</w:t>
            </w:r>
          </w:p>
        </w:tc>
        <w:tc>
          <w:tcPr>
            <w:tcW w:w="3325" w:type="dxa"/>
          </w:tcPr>
          <w:p w14:paraId="2EEEFFCB" w14:textId="77777777" w:rsidR="00A720EB" w:rsidRDefault="0030286B">
            <w:pPr>
              <w:pStyle w:val="TableParagraph"/>
              <w:spacing w:before="37"/>
              <w:rPr>
                <w:sz w:val="21"/>
              </w:rPr>
            </w:pPr>
            <w:r>
              <w:rPr>
                <w:color w:val="B02045"/>
                <w:sz w:val="21"/>
              </w:rPr>
              <w:t>jaybird-jdk17</w:t>
            </w:r>
          </w:p>
        </w:tc>
        <w:tc>
          <w:tcPr>
            <w:tcW w:w="3325" w:type="dxa"/>
          </w:tcPr>
          <w:p w14:paraId="21D7E1D8" w14:textId="77777777" w:rsidR="00A720EB" w:rsidRDefault="0030286B">
            <w:pPr>
              <w:pStyle w:val="TableParagraph"/>
              <w:spacing w:before="37"/>
              <w:rPr>
                <w:sz w:val="21"/>
              </w:rPr>
            </w:pPr>
            <w:r>
              <w:rPr>
                <w:color w:val="B02045"/>
                <w:sz w:val="21"/>
              </w:rPr>
              <w:t>3.0.9</w:t>
            </w:r>
          </w:p>
        </w:tc>
      </w:tr>
      <w:tr w:rsidR="00A720EB" w14:paraId="67536291" w14:textId="77777777">
        <w:trPr>
          <w:trHeight w:val="368"/>
        </w:trPr>
        <w:tc>
          <w:tcPr>
            <w:tcW w:w="3325" w:type="dxa"/>
          </w:tcPr>
          <w:p w14:paraId="0039AE7E" w14:textId="77777777" w:rsidR="00A720EB" w:rsidRDefault="0030286B">
            <w:pPr>
              <w:pStyle w:val="TableParagraph"/>
              <w:spacing w:before="37"/>
              <w:rPr>
                <w:sz w:val="21"/>
              </w:rPr>
            </w:pPr>
            <w:proofErr w:type="gramStart"/>
            <w:r>
              <w:rPr>
                <w:color w:val="B02045"/>
                <w:sz w:val="21"/>
              </w:rPr>
              <w:t>org.firebirdsql</w:t>
            </w:r>
            <w:proofErr w:type="gramEnd"/>
            <w:r>
              <w:rPr>
                <w:color w:val="B02045"/>
                <w:sz w:val="21"/>
              </w:rPr>
              <w:t>.jdbc</w:t>
            </w:r>
          </w:p>
        </w:tc>
        <w:tc>
          <w:tcPr>
            <w:tcW w:w="3325" w:type="dxa"/>
          </w:tcPr>
          <w:p w14:paraId="3FE7C45B" w14:textId="77777777" w:rsidR="00A720EB" w:rsidRDefault="0030286B">
            <w:pPr>
              <w:pStyle w:val="TableParagraph"/>
              <w:spacing w:before="37"/>
              <w:rPr>
                <w:sz w:val="21"/>
              </w:rPr>
            </w:pPr>
            <w:r>
              <w:rPr>
                <w:color w:val="B02045"/>
                <w:sz w:val="21"/>
              </w:rPr>
              <w:t>jaybird-jdk18</w:t>
            </w:r>
          </w:p>
        </w:tc>
        <w:tc>
          <w:tcPr>
            <w:tcW w:w="3325" w:type="dxa"/>
          </w:tcPr>
          <w:p w14:paraId="3964B3D2" w14:textId="77777777" w:rsidR="00A720EB" w:rsidRDefault="0030286B">
            <w:pPr>
              <w:pStyle w:val="TableParagraph"/>
              <w:spacing w:before="37"/>
              <w:rPr>
                <w:sz w:val="21"/>
              </w:rPr>
            </w:pPr>
            <w:r>
              <w:rPr>
                <w:color w:val="B02045"/>
                <w:sz w:val="21"/>
              </w:rPr>
              <w:t>3.0.9</w:t>
            </w:r>
          </w:p>
        </w:tc>
      </w:tr>
      <w:tr w:rsidR="00A720EB" w14:paraId="14065A23" w14:textId="77777777">
        <w:trPr>
          <w:trHeight w:val="368"/>
        </w:trPr>
        <w:tc>
          <w:tcPr>
            <w:tcW w:w="3325" w:type="dxa"/>
          </w:tcPr>
          <w:p w14:paraId="04F9485E" w14:textId="77777777" w:rsidR="00A720EB" w:rsidRDefault="0030286B">
            <w:pPr>
              <w:pStyle w:val="TableParagraph"/>
              <w:spacing w:before="37"/>
              <w:rPr>
                <w:sz w:val="21"/>
              </w:rPr>
            </w:pPr>
            <w:proofErr w:type="gramStart"/>
            <w:r>
              <w:rPr>
                <w:color w:val="B02045"/>
                <w:sz w:val="21"/>
              </w:rPr>
              <w:t>org.flywaydb</w:t>
            </w:r>
            <w:proofErr w:type="gramEnd"/>
          </w:p>
        </w:tc>
        <w:tc>
          <w:tcPr>
            <w:tcW w:w="3325" w:type="dxa"/>
          </w:tcPr>
          <w:p w14:paraId="6A5A0301" w14:textId="77777777" w:rsidR="00A720EB" w:rsidRDefault="0030286B">
            <w:pPr>
              <w:pStyle w:val="TableParagraph"/>
              <w:spacing w:before="37"/>
              <w:rPr>
                <w:sz w:val="21"/>
              </w:rPr>
            </w:pPr>
            <w:r>
              <w:rPr>
                <w:color w:val="B02045"/>
                <w:sz w:val="21"/>
              </w:rPr>
              <w:t>flyway-core</w:t>
            </w:r>
          </w:p>
        </w:tc>
        <w:tc>
          <w:tcPr>
            <w:tcW w:w="3325" w:type="dxa"/>
          </w:tcPr>
          <w:p w14:paraId="1A323ACC" w14:textId="77777777" w:rsidR="00A720EB" w:rsidRDefault="0030286B">
            <w:pPr>
              <w:pStyle w:val="TableParagraph"/>
              <w:spacing w:before="37"/>
              <w:rPr>
                <w:sz w:val="21"/>
              </w:rPr>
            </w:pPr>
            <w:r>
              <w:rPr>
                <w:color w:val="B02045"/>
                <w:sz w:val="21"/>
              </w:rPr>
              <w:t>6.4.4</w:t>
            </w:r>
          </w:p>
        </w:tc>
      </w:tr>
      <w:tr w:rsidR="00A720EB" w14:paraId="35DBC4B5" w14:textId="77777777">
        <w:trPr>
          <w:trHeight w:val="368"/>
        </w:trPr>
        <w:tc>
          <w:tcPr>
            <w:tcW w:w="3325" w:type="dxa"/>
          </w:tcPr>
          <w:p w14:paraId="52BCA2C4" w14:textId="77777777" w:rsidR="00A720EB" w:rsidRDefault="0030286B">
            <w:pPr>
              <w:pStyle w:val="TableParagraph"/>
              <w:rPr>
                <w:sz w:val="21"/>
              </w:rPr>
            </w:pPr>
            <w:proofErr w:type="gramStart"/>
            <w:r>
              <w:rPr>
                <w:color w:val="B02045"/>
                <w:sz w:val="21"/>
              </w:rPr>
              <w:t>org.freemarker</w:t>
            </w:r>
            <w:proofErr w:type="gramEnd"/>
          </w:p>
        </w:tc>
        <w:tc>
          <w:tcPr>
            <w:tcW w:w="3325" w:type="dxa"/>
          </w:tcPr>
          <w:p w14:paraId="29BD1FEE" w14:textId="77777777" w:rsidR="00A720EB" w:rsidRDefault="0030286B">
            <w:pPr>
              <w:pStyle w:val="TableParagraph"/>
              <w:rPr>
                <w:sz w:val="21"/>
              </w:rPr>
            </w:pPr>
            <w:r>
              <w:rPr>
                <w:color w:val="B02045"/>
                <w:sz w:val="21"/>
              </w:rPr>
              <w:t>freemarker</w:t>
            </w:r>
          </w:p>
        </w:tc>
        <w:tc>
          <w:tcPr>
            <w:tcW w:w="3325" w:type="dxa"/>
          </w:tcPr>
          <w:p w14:paraId="577EC86C" w14:textId="77777777" w:rsidR="00A720EB" w:rsidRDefault="0030286B">
            <w:pPr>
              <w:pStyle w:val="TableParagraph"/>
              <w:rPr>
                <w:sz w:val="21"/>
              </w:rPr>
            </w:pPr>
            <w:r>
              <w:rPr>
                <w:color w:val="B02045"/>
                <w:sz w:val="21"/>
              </w:rPr>
              <w:t>2.3.30</w:t>
            </w:r>
          </w:p>
        </w:tc>
      </w:tr>
      <w:tr w:rsidR="00A720EB" w14:paraId="396AEEE3" w14:textId="77777777">
        <w:trPr>
          <w:trHeight w:val="368"/>
        </w:trPr>
        <w:tc>
          <w:tcPr>
            <w:tcW w:w="3325" w:type="dxa"/>
          </w:tcPr>
          <w:p w14:paraId="4B1615B1" w14:textId="77777777" w:rsidR="00A720EB" w:rsidRDefault="0030286B">
            <w:pPr>
              <w:pStyle w:val="TableParagraph"/>
              <w:rPr>
                <w:sz w:val="21"/>
              </w:rPr>
            </w:pPr>
            <w:proofErr w:type="gramStart"/>
            <w:r>
              <w:rPr>
                <w:color w:val="B02045"/>
                <w:sz w:val="21"/>
              </w:rPr>
              <w:t>org.glassfish</w:t>
            </w:r>
            <w:proofErr w:type="gramEnd"/>
          </w:p>
        </w:tc>
        <w:tc>
          <w:tcPr>
            <w:tcW w:w="3325" w:type="dxa"/>
          </w:tcPr>
          <w:p w14:paraId="294AFB26" w14:textId="77777777" w:rsidR="00A720EB" w:rsidRDefault="0030286B">
            <w:pPr>
              <w:pStyle w:val="TableParagraph"/>
              <w:rPr>
                <w:sz w:val="21"/>
              </w:rPr>
            </w:pPr>
            <w:proofErr w:type="gramStart"/>
            <w:r>
              <w:rPr>
                <w:color w:val="B02045"/>
                <w:sz w:val="21"/>
              </w:rPr>
              <w:t>jakarta.el</w:t>
            </w:r>
            <w:proofErr w:type="gramEnd"/>
          </w:p>
        </w:tc>
        <w:tc>
          <w:tcPr>
            <w:tcW w:w="3325" w:type="dxa"/>
          </w:tcPr>
          <w:p w14:paraId="3C919E19" w14:textId="77777777" w:rsidR="00A720EB" w:rsidRDefault="0030286B">
            <w:pPr>
              <w:pStyle w:val="TableParagraph"/>
              <w:rPr>
                <w:sz w:val="21"/>
              </w:rPr>
            </w:pPr>
            <w:r>
              <w:rPr>
                <w:color w:val="B02045"/>
                <w:sz w:val="21"/>
              </w:rPr>
              <w:t>3.0.3</w:t>
            </w:r>
          </w:p>
        </w:tc>
      </w:tr>
      <w:tr w:rsidR="00A720EB" w14:paraId="764B5867" w14:textId="77777777">
        <w:trPr>
          <w:trHeight w:val="368"/>
        </w:trPr>
        <w:tc>
          <w:tcPr>
            <w:tcW w:w="3325" w:type="dxa"/>
          </w:tcPr>
          <w:p w14:paraId="565B5115"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.jaxb</w:t>
            </w:r>
          </w:p>
        </w:tc>
        <w:tc>
          <w:tcPr>
            <w:tcW w:w="3325" w:type="dxa"/>
          </w:tcPr>
          <w:p w14:paraId="08426B93" w14:textId="77777777" w:rsidR="00A720EB" w:rsidRDefault="0030286B">
            <w:pPr>
              <w:pStyle w:val="TableParagraph"/>
              <w:spacing w:before="37"/>
              <w:rPr>
                <w:sz w:val="21"/>
              </w:rPr>
            </w:pPr>
            <w:r>
              <w:rPr>
                <w:color w:val="B02045"/>
                <w:sz w:val="21"/>
              </w:rPr>
              <w:t>codemodel</w:t>
            </w:r>
          </w:p>
        </w:tc>
        <w:tc>
          <w:tcPr>
            <w:tcW w:w="3325" w:type="dxa"/>
          </w:tcPr>
          <w:p w14:paraId="77258AD1" w14:textId="77777777" w:rsidR="00A720EB" w:rsidRDefault="0030286B">
            <w:pPr>
              <w:pStyle w:val="TableParagraph"/>
              <w:spacing w:before="37"/>
              <w:rPr>
                <w:sz w:val="21"/>
              </w:rPr>
            </w:pPr>
            <w:r>
              <w:rPr>
                <w:color w:val="B02045"/>
                <w:sz w:val="21"/>
              </w:rPr>
              <w:t>2.3.3</w:t>
            </w:r>
          </w:p>
        </w:tc>
      </w:tr>
      <w:tr w:rsidR="00A720EB" w14:paraId="1962D835" w14:textId="77777777">
        <w:trPr>
          <w:trHeight w:val="368"/>
        </w:trPr>
        <w:tc>
          <w:tcPr>
            <w:tcW w:w="3325" w:type="dxa"/>
          </w:tcPr>
          <w:p w14:paraId="438B5796"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.jaxb</w:t>
            </w:r>
          </w:p>
        </w:tc>
        <w:tc>
          <w:tcPr>
            <w:tcW w:w="3325" w:type="dxa"/>
          </w:tcPr>
          <w:p w14:paraId="53ABEC2F" w14:textId="77777777" w:rsidR="00A720EB" w:rsidRDefault="0030286B">
            <w:pPr>
              <w:pStyle w:val="TableParagraph"/>
              <w:spacing w:before="37"/>
              <w:rPr>
                <w:sz w:val="21"/>
              </w:rPr>
            </w:pPr>
            <w:r>
              <w:rPr>
                <w:color w:val="B02045"/>
                <w:sz w:val="21"/>
              </w:rPr>
              <w:t>codemodel-annotation-compiler</w:t>
            </w:r>
          </w:p>
        </w:tc>
        <w:tc>
          <w:tcPr>
            <w:tcW w:w="3325" w:type="dxa"/>
          </w:tcPr>
          <w:p w14:paraId="0590A6FC" w14:textId="77777777" w:rsidR="00A720EB" w:rsidRDefault="0030286B">
            <w:pPr>
              <w:pStyle w:val="TableParagraph"/>
              <w:spacing w:before="37"/>
              <w:rPr>
                <w:sz w:val="21"/>
              </w:rPr>
            </w:pPr>
            <w:r>
              <w:rPr>
                <w:color w:val="B02045"/>
                <w:sz w:val="21"/>
              </w:rPr>
              <w:t>2.3.3</w:t>
            </w:r>
          </w:p>
        </w:tc>
      </w:tr>
      <w:tr w:rsidR="00A720EB" w14:paraId="6BD3FEB6" w14:textId="77777777">
        <w:trPr>
          <w:trHeight w:val="368"/>
        </w:trPr>
        <w:tc>
          <w:tcPr>
            <w:tcW w:w="3325" w:type="dxa"/>
          </w:tcPr>
          <w:p w14:paraId="000D27C0" w14:textId="77777777" w:rsidR="00A720EB" w:rsidRDefault="0030286B">
            <w:pPr>
              <w:pStyle w:val="TableParagraph"/>
              <w:rPr>
                <w:sz w:val="21"/>
              </w:rPr>
            </w:pPr>
            <w:proofErr w:type="gramStart"/>
            <w:r>
              <w:rPr>
                <w:color w:val="B02045"/>
                <w:sz w:val="21"/>
              </w:rPr>
              <w:t>org.glassfish</w:t>
            </w:r>
            <w:proofErr w:type="gramEnd"/>
            <w:r>
              <w:rPr>
                <w:color w:val="B02045"/>
                <w:sz w:val="21"/>
              </w:rPr>
              <w:t>.jaxb</w:t>
            </w:r>
          </w:p>
        </w:tc>
        <w:tc>
          <w:tcPr>
            <w:tcW w:w="3325" w:type="dxa"/>
          </w:tcPr>
          <w:p w14:paraId="13BA9099" w14:textId="77777777" w:rsidR="00A720EB" w:rsidRDefault="0030286B">
            <w:pPr>
              <w:pStyle w:val="TableParagraph"/>
              <w:rPr>
                <w:sz w:val="21"/>
              </w:rPr>
            </w:pPr>
            <w:r>
              <w:rPr>
                <w:color w:val="B02045"/>
                <w:sz w:val="21"/>
              </w:rPr>
              <w:t>jaxb-jxc</w:t>
            </w:r>
          </w:p>
        </w:tc>
        <w:tc>
          <w:tcPr>
            <w:tcW w:w="3325" w:type="dxa"/>
          </w:tcPr>
          <w:p w14:paraId="7749F8A0" w14:textId="77777777" w:rsidR="00A720EB" w:rsidRDefault="0030286B">
            <w:pPr>
              <w:pStyle w:val="TableParagraph"/>
              <w:rPr>
                <w:sz w:val="21"/>
              </w:rPr>
            </w:pPr>
            <w:r>
              <w:rPr>
                <w:color w:val="B02045"/>
                <w:sz w:val="21"/>
              </w:rPr>
              <w:t>2.3.3</w:t>
            </w:r>
          </w:p>
        </w:tc>
      </w:tr>
      <w:tr w:rsidR="00A720EB" w14:paraId="1D6ED2B0" w14:textId="77777777">
        <w:trPr>
          <w:trHeight w:val="368"/>
        </w:trPr>
        <w:tc>
          <w:tcPr>
            <w:tcW w:w="3325" w:type="dxa"/>
          </w:tcPr>
          <w:p w14:paraId="3EDF8C2C" w14:textId="77777777" w:rsidR="00A720EB" w:rsidRDefault="0030286B">
            <w:pPr>
              <w:pStyle w:val="TableParagraph"/>
              <w:rPr>
                <w:sz w:val="21"/>
              </w:rPr>
            </w:pPr>
            <w:proofErr w:type="gramStart"/>
            <w:r>
              <w:rPr>
                <w:color w:val="B02045"/>
                <w:sz w:val="21"/>
              </w:rPr>
              <w:t>org.glassfish</w:t>
            </w:r>
            <w:proofErr w:type="gramEnd"/>
            <w:r>
              <w:rPr>
                <w:color w:val="B02045"/>
                <w:sz w:val="21"/>
              </w:rPr>
              <w:t>.jaxb</w:t>
            </w:r>
          </w:p>
        </w:tc>
        <w:tc>
          <w:tcPr>
            <w:tcW w:w="3325" w:type="dxa"/>
          </w:tcPr>
          <w:p w14:paraId="211137CC" w14:textId="77777777" w:rsidR="00A720EB" w:rsidRDefault="0030286B">
            <w:pPr>
              <w:pStyle w:val="TableParagraph"/>
              <w:rPr>
                <w:sz w:val="21"/>
              </w:rPr>
            </w:pPr>
            <w:r>
              <w:rPr>
                <w:color w:val="B02045"/>
                <w:sz w:val="21"/>
              </w:rPr>
              <w:t>jaxb-runtime</w:t>
            </w:r>
          </w:p>
        </w:tc>
        <w:tc>
          <w:tcPr>
            <w:tcW w:w="3325" w:type="dxa"/>
          </w:tcPr>
          <w:p w14:paraId="2C964F59" w14:textId="77777777" w:rsidR="00A720EB" w:rsidRDefault="0030286B">
            <w:pPr>
              <w:pStyle w:val="TableParagraph"/>
              <w:rPr>
                <w:sz w:val="21"/>
              </w:rPr>
            </w:pPr>
            <w:r>
              <w:rPr>
                <w:color w:val="B02045"/>
                <w:sz w:val="21"/>
              </w:rPr>
              <w:t>2.3.3</w:t>
            </w:r>
          </w:p>
        </w:tc>
      </w:tr>
      <w:tr w:rsidR="00A720EB" w14:paraId="2E896471" w14:textId="77777777">
        <w:trPr>
          <w:trHeight w:val="368"/>
        </w:trPr>
        <w:tc>
          <w:tcPr>
            <w:tcW w:w="3325" w:type="dxa"/>
          </w:tcPr>
          <w:p w14:paraId="3F957D1C"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.jaxb</w:t>
            </w:r>
          </w:p>
        </w:tc>
        <w:tc>
          <w:tcPr>
            <w:tcW w:w="3325" w:type="dxa"/>
          </w:tcPr>
          <w:p w14:paraId="64ED6679" w14:textId="77777777" w:rsidR="00A720EB" w:rsidRDefault="0030286B">
            <w:pPr>
              <w:pStyle w:val="TableParagraph"/>
              <w:spacing w:before="37"/>
              <w:rPr>
                <w:sz w:val="21"/>
              </w:rPr>
            </w:pPr>
            <w:r>
              <w:rPr>
                <w:color w:val="B02045"/>
                <w:sz w:val="21"/>
              </w:rPr>
              <w:t>jaxb-xjc</w:t>
            </w:r>
          </w:p>
        </w:tc>
        <w:tc>
          <w:tcPr>
            <w:tcW w:w="3325" w:type="dxa"/>
          </w:tcPr>
          <w:p w14:paraId="02811EDB" w14:textId="77777777" w:rsidR="00A720EB" w:rsidRDefault="0030286B">
            <w:pPr>
              <w:pStyle w:val="TableParagraph"/>
              <w:spacing w:before="37"/>
              <w:rPr>
                <w:sz w:val="21"/>
              </w:rPr>
            </w:pPr>
            <w:r>
              <w:rPr>
                <w:color w:val="B02045"/>
                <w:sz w:val="21"/>
              </w:rPr>
              <w:t>2.3.3</w:t>
            </w:r>
          </w:p>
        </w:tc>
      </w:tr>
      <w:tr w:rsidR="00A720EB" w14:paraId="1D5C4416" w14:textId="77777777">
        <w:trPr>
          <w:trHeight w:val="368"/>
        </w:trPr>
        <w:tc>
          <w:tcPr>
            <w:tcW w:w="3325" w:type="dxa"/>
          </w:tcPr>
          <w:p w14:paraId="67DF1553"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.jaxb</w:t>
            </w:r>
          </w:p>
        </w:tc>
        <w:tc>
          <w:tcPr>
            <w:tcW w:w="3325" w:type="dxa"/>
          </w:tcPr>
          <w:p w14:paraId="7441EC90" w14:textId="77777777" w:rsidR="00A720EB" w:rsidRDefault="0030286B">
            <w:pPr>
              <w:pStyle w:val="TableParagraph"/>
              <w:spacing w:before="37"/>
              <w:rPr>
                <w:sz w:val="21"/>
              </w:rPr>
            </w:pPr>
            <w:r>
              <w:rPr>
                <w:color w:val="B02045"/>
                <w:sz w:val="21"/>
              </w:rPr>
              <w:t>txw2</w:t>
            </w:r>
          </w:p>
        </w:tc>
        <w:tc>
          <w:tcPr>
            <w:tcW w:w="3325" w:type="dxa"/>
          </w:tcPr>
          <w:p w14:paraId="201D413B" w14:textId="77777777" w:rsidR="00A720EB" w:rsidRDefault="0030286B">
            <w:pPr>
              <w:pStyle w:val="TableParagraph"/>
              <w:spacing w:before="37"/>
              <w:rPr>
                <w:sz w:val="21"/>
              </w:rPr>
            </w:pPr>
            <w:r>
              <w:rPr>
                <w:color w:val="B02045"/>
                <w:sz w:val="21"/>
              </w:rPr>
              <w:t>2.3.3</w:t>
            </w:r>
          </w:p>
        </w:tc>
      </w:tr>
      <w:tr w:rsidR="00A720EB" w14:paraId="327ED589" w14:textId="77777777">
        <w:trPr>
          <w:trHeight w:val="368"/>
        </w:trPr>
        <w:tc>
          <w:tcPr>
            <w:tcW w:w="3325" w:type="dxa"/>
          </w:tcPr>
          <w:p w14:paraId="77ACB6B0" w14:textId="77777777" w:rsidR="00A720EB" w:rsidRDefault="0030286B">
            <w:pPr>
              <w:pStyle w:val="TableParagraph"/>
              <w:rPr>
                <w:sz w:val="21"/>
              </w:rPr>
            </w:pPr>
            <w:proofErr w:type="gramStart"/>
            <w:r>
              <w:rPr>
                <w:color w:val="B02045"/>
                <w:sz w:val="21"/>
              </w:rPr>
              <w:t>org.glassfish</w:t>
            </w:r>
            <w:proofErr w:type="gramEnd"/>
            <w:r>
              <w:rPr>
                <w:color w:val="B02045"/>
                <w:sz w:val="21"/>
              </w:rPr>
              <w:t>.jaxb</w:t>
            </w:r>
          </w:p>
        </w:tc>
        <w:tc>
          <w:tcPr>
            <w:tcW w:w="3325" w:type="dxa"/>
          </w:tcPr>
          <w:p w14:paraId="37E96EB5" w14:textId="77777777" w:rsidR="00A720EB" w:rsidRDefault="0030286B">
            <w:pPr>
              <w:pStyle w:val="TableParagraph"/>
              <w:rPr>
                <w:sz w:val="21"/>
              </w:rPr>
            </w:pPr>
            <w:r>
              <w:rPr>
                <w:color w:val="B02045"/>
                <w:sz w:val="21"/>
              </w:rPr>
              <w:t>txwc2</w:t>
            </w:r>
          </w:p>
        </w:tc>
        <w:tc>
          <w:tcPr>
            <w:tcW w:w="3325" w:type="dxa"/>
          </w:tcPr>
          <w:p w14:paraId="1148D778" w14:textId="77777777" w:rsidR="00A720EB" w:rsidRDefault="0030286B">
            <w:pPr>
              <w:pStyle w:val="TableParagraph"/>
              <w:rPr>
                <w:sz w:val="21"/>
              </w:rPr>
            </w:pPr>
            <w:r>
              <w:rPr>
                <w:color w:val="B02045"/>
                <w:sz w:val="21"/>
              </w:rPr>
              <w:t>2.3.3</w:t>
            </w:r>
          </w:p>
        </w:tc>
      </w:tr>
      <w:tr w:rsidR="00A720EB" w14:paraId="4E853CD9" w14:textId="77777777">
        <w:trPr>
          <w:trHeight w:val="368"/>
        </w:trPr>
        <w:tc>
          <w:tcPr>
            <w:tcW w:w="3325" w:type="dxa"/>
          </w:tcPr>
          <w:p w14:paraId="46D2B26D"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.jaxb</w:t>
            </w:r>
          </w:p>
        </w:tc>
        <w:tc>
          <w:tcPr>
            <w:tcW w:w="3325" w:type="dxa"/>
          </w:tcPr>
          <w:p w14:paraId="1C13C848" w14:textId="77777777" w:rsidR="00A720EB" w:rsidRDefault="0030286B">
            <w:pPr>
              <w:pStyle w:val="TableParagraph"/>
              <w:spacing w:before="37"/>
              <w:rPr>
                <w:sz w:val="21"/>
              </w:rPr>
            </w:pPr>
            <w:r>
              <w:rPr>
                <w:color w:val="B02045"/>
                <w:sz w:val="21"/>
              </w:rPr>
              <w:t>xsom</w:t>
            </w:r>
          </w:p>
        </w:tc>
        <w:tc>
          <w:tcPr>
            <w:tcW w:w="3325" w:type="dxa"/>
          </w:tcPr>
          <w:p w14:paraId="3DF72CFA" w14:textId="77777777" w:rsidR="00A720EB" w:rsidRDefault="0030286B">
            <w:pPr>
              <w:pStyle w:val="TableParagraph"/>
              <w:spacing w:before="37"/>
              <w:rPr>
                <w:sz w:val="21"/>
              </w:rPr>
            </w:pPr>
            <w:r>
              <w:rPr>
                <w:color w:val="B02045"/>
                <w:sz w:val="21"/>
              </w:rPr>
              <w:t>2.3.3</w:t>
            </w:r>
          </w:p>
        </w:tc>
      </w:tr>
      <w:tr w:rsidR="00A720EB" w14:paraId="280E60D1" w14:textId="77777777">
        <w:trPr>
          <w:trHeight w:val="368"/>
        </w:trPr>
        <w:tc>
          <w:tcPr>
            <w:tcW w:w="3325" w:type="dxa"/>
          </w:tcPr>
          <w:p w14:paraId="687C3C5A" w14:textId="77777777" w:rsidR="00A720EB" w:rsidRDefault="0030286B">
            <w:pPr>
              <w:pStyle w:val="TableParagraph"/>
              <w:rPr>
                <w:sz w:val="21"/>
              </w:rPr>
            </w:pPr>
            <w:proofErr w:type="gramStart"/>
            <w:r>
              <w:rPr>
                <w:color w:val="B02045"/>
                <w:sz w:val="21"/>
              </w:rPr>
              <w:t>org.glassfish</w:t>
            </w:r>
            <w:proofErr w:type="gramEnd"/>
            <w:r>
              <w:rPr>
                <w:color w:val="B02045"/>
                <w:sz w:val="21"/>
              </w:rPr>
              <w:t>.jersey.bundles</w:t>
            </w:r>
          </w:p>
        </w:tc>
        <w:tc>
          <w:tcPr>
            <w:tcW w:w="3325" w:type="dxa"/>
          </w:tcPr>
          <w:p w14:paraId="01243BA4" w14:textId="77777777" w:rsidR="00A720EB" w:rsidRDefault="0030286B">
            <w:pPr>
              <w:pStyle w:val="TableParagraph"/>
              <w:rPr>
                <w:sz w:val="21"/>
              </w:rPr>
            </w:pPr>
            <w:r>
              <w:rPr>
                <w:color w:val="B02045"/>
                <w:sz w:val="21"/>
              </w:rPr>
              <w:t>jaxrs-ri</w:t>
            </w:r>
          </w:p>
        </w:tc>
        <w:tc>
          <w:tcPr>
            <w:tcW w:w="3325" w:type="dxa"/>
          </w:tcPr>
          <w:p w14:paraId="6610A81D" w14:textId="77777777" w:rsidR="00A720EB" w:rsidRDefault="0030286B">
            <w:pPr>
              <w:pStyle w:val="TableParagraph"/>
              <w:rPr>
                <w:sz w:val="21"/>
              </w:rPr>
            </w:pPr>
            <w:r>
              <w:rPr>
                <w:color w:val="B02045"/>
                <w:sz w:val="21"/>
              </w:rPr>
              <w:t>2.30.1</w:t>
            </w:r>
          </w:p>
        </w:tc>
      </w:tr>
      <w:tr w:rsidR="00A720EB" w14:paraId="4A5A1A64" w14:textId="77777777">
        <w:trPr>
          <w:trHeight w:val="627"/>
        </w:trPr>
        <w:tc>
          <w:tcPr>
            <w:tcW w:w="3325" w:type="dxa"/>
          </w:tcPr>
          <w:p w14:paraId="4AA4EFAB"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.jersey.connector s</w:t>
            </w:r>
          </w:p>
        </w:tc>
        <w:tc>
          <w:tcPr>
            <w:tcW w:w="3325" w:type="dxa"/>
          </w:tcPr>
          <w:p w14:paraId="348B4060" w14:textId="77777777" w:rsidR="00A720EB" w:rsidRDefault="0030286B">
            <w:pPr>
              <w:pStyle w:val="TableParagraph"/>
              <w:spacing w:before="37"/>
              <w:rPr>
                <w:sz w:val="21"/>
              </w:rPr>
            </w:pPr>
            <w:r>
              <w:rPr>
                <w:color w:val="B02045"/>
                <w:sz w:val="21"/>
              </w:rPr>
              <w:t>jersey-apache-connector</w:t>
            </w:r>
          </w:p>
        </w:tc>
        <w:tc>
          <w:tcPr>
            <w:tcW w:w="3325" w:type="dxa"/>
          </w:tcPr>
          <w:p w14:paraId="5D3160C4" w14:textId="77777777" w:rsidR="00A720EB" w:rsidRDefault="0030286B">
            <w:pPr>
              <w:pStyle w:val="TableParagraph"/>
              <w:spacing w:before="37"/>
              <w:rPr>
                <w:sz w:val="21"/>
              </w:rPr>
            </w:pPr>
            <w:r>
              <w:rPr>
                <w:color w:val="B02045"/>
                <w:sz w:val="21"/>
              </w:rPr>
              <w:t>2.30.1</w:t>
            </w:r>
          </w:p>
        </w:tc>
      </w:tr>
      <w:tr w:rsidR="00A720EB" w14:paraId="3A283231" w14:textId="77777777">
        <w:trPr>
          <w:trHeight w:val="627"/>
        </w:trPr>
        <w:tc>
          <w:tcPr>
            <w:tcW w:w="3325" w:type="dxa"/>
          </w:tcPr>
          <w:p w14:paraId="7DB34A56"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.jersey.connector s</w:t>
            </w:r>
          </w:p>
        </w:tc>
        <w:tc>
          <w:tcPr>
            <w:tcW w:w="3325" w:type="dxa"/>
          </w:tcPr>
          <w:p w14:paraId="6237C78A" w14:textId="77777777" w:rsidR="00A720EB" w:rsidRDefault="0030286B">
            <w:pPr>
              <w:pStyle w:val="TableParagraph"/>
              <w:spacing w:before="37"/>
              <w:rPr>
                <w:sz w:val="21"/>
              </w:rPr>
            </w:pPr>
            <w:r>
              <w:rPr>
                <w:color w:val="B02045"/>
                <w:sz w:val="21"/>
              </w:rPr>
              <w:t>jersey-grizzly-connector</w:t>
            </w:r>
          </w:p>
        </w:tc>
        <w:tc>
          <w:tcPr>
            <w:tcW w:w="3325" w:type="dxa"/>
          </w:tcPr>
          <w:p w14:paraId="10EEF48B" w14:textId="77777777" w:rsidR="00A720EB" w:rsidRDefault="0030286B">
            <w:pPr>
              <w:pStyle w:val="TableParagraph"/>
              <w:spacing w:before="37"/>
              <w:rPr>
                <w:sz w:val="21"/>
              </w:rPr>
            </w:pPr>
            <w:r>
              <w:rPr>
                <w:color w:val="B02045"/>
                <w:sz w:val="21"/>
              </w:rPr>
              <w:t>2.30.1</w:t>
            </w:r>
          </w:p>
        </w:tc>
      </w:tr>
      <w:tr w:rsidR="00A720EB" w14:paraId="3E97379C" w14:textId="77777777">
        <w:trPr>
          <w:trHeight w:val="627"/>
        </w:trPr>
        <w:tc>
          <w:tcPr>
            <w:tcW w:w="3325" w:type="dxa"/>
          </w:tcPr>
          <w:p w14:paraId="331A5665"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.jersey.connector s</w:t>
            </w:r>
          </w:p>
        </w:tc>
        <w:tc>
          <w:tcPr>
            <w:tcW w:w="3325" w:type="dxa"/>
          </w:tcPr>
          <w:p w14:paraId="14713D4E" w14:textId="77777777" w:rsidR="00A720EB" w:rsidRDefault="0030286B">
            <w:pPr>
              <w:pStyle w:val="TableParagraph"/>
              <w:spacing w:before="37"/>
              <w:rPr>
                <w:sz w:val="21"/>
              </w:rPr>
            </w:pPr>
            <w:r>
              <w:rPr>
                <w:color w:val="B02045"/>
                <w:sz w:val="21"/>
              </w:rPr>
              <w:t>jersey-jdk-connector</w:t>
            </w:r>
          </w:p>
        </w:tc>
        <w:tc>
          <w:tcPr>
            <w:tcW w:w="3325" w:type="dxa"/>
          </w:tcPr>
          <w:p w14:paraId="5749A04B" w14:textId="77777777" w:rsidR="00A720EB" w:rsidRDefault="0030286B">
            <w:pPr>
              <w:pStyle w:val="TableParagraph"/>
              <w:spacing w:before="37"/>
              <w:rPr>
                <w:sz w:val="21"/>
              </w:rPr>
            </w:pPr>
            <w:r>
              <w:rPr>
                <w:color w:val="B02045"/>
                <w:sz w:val="21"/>
              </w:rPr>
              <w:t>2.30.1</w:t>
            </w:r>
          </w:p>
        </w:tc>
      </w:tr>
      <w:tr w:rsidR="00A720EB" w14:paraId="3D18053E" w14:textId="77777777">
        <w:trPr>
          <w:trHeight w:val="627"/>
        </w:trPr>
        <w:tc>
          <w:tcPr>
            <w:tcW w:w="3325" w:type="dxa"/>
          </w:tcPr>
          <w:p w14:paraId="4A3D37C2"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.jersey.connector s</w:t>
            </w:r>
          </w:p>
        </w:tc>
        <w:tc>
          <w:tcPr>
            <w:tcW w:w="3325" w:type="dxa"/>
          </w:tcPr>
          <w:p w14:paraId="2990F062" w14:textId="77777777" w:rsidR="00A720EB" w:rsidRDefault="0030286B">
            <w:pPr>
              <w:pStyle w:val="TableParagraph"/>
              <w:rPr>
                <w:sz w:val="21"/>
              </w:rPr>
            </w:pPr>
            <w:r>
              <w:rPr>
                <w:color w:val="B02045"/>
                <w:sz w:val="21"/>
              </w:rPr>
              <w:t>jersey-jetty-connector</w:t>
            </w:r>
          </w:p>
        </w:tc>
        <w:tc>
          <w:tcPr>
            <w:tcW w:w="3325" w:type="dxa"/>
          </w:tcPr>
          <w:p w14:paraId="3862B073" w14:textId="77777777" w:rsidR="00A720EB" w:rsidRDefault="0030286B">
            <w:pPr>
              <w:pStyle w:val="TableParagraph"/>
              <w:rPr>
                <w:sz w:val="21"/>
              </w:rPr>
            </w:pPr>
            <w:r>
              <w:rPr>
                <w:color w:val="B02045"/>
                <w:sz w:val="21"/>
              </w:rPr>
              <w:t>2.30.1</w:t>
            </w:r>
          </w:p>
        </w:tc>
      </w:tr>
      <w:tr w:rsidR="00A720EB" w14:paraId="5CCF41D8" w14:textId="77777777">
        <w:trPr>
          <w:trHeight w:val="627"/>
        </w:trPr>
        <w:tc>
          <w:tcPr>
            <w:tcW w:w="3325" w:type="dxa"/>
          </w:tcPr>
          <w:p w14:paraId="5D8DF0B7"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.jersey.connector s</w:t>
            </w:r>
          </w:p>
        </w:tc>
        <w:tc>
          <w:tcPr>
            <w:tcW w:w="3325" w:type="dxa"/>
          </w:tcPr>
          <w:p w14:paraId="29588A7A" w14:textId="77777777" w:rsidR="00A720EB" w:rsidRDefault="0030286B">
            <w:pPr>
              <w:pStyle w:val="TableParagraph"/>
              <w:rPr>
                <w:sz w:val="21"/>
              </w:rPr>
            </w:pPr>
            <w:r>
              <w:rPr>
                <w:color w:val="B02045"/>
                <w:sz w:val="21"/>
              </w:rPr>
              <w:t>jersey-netty-connector</w:t>
            </w:r>
          </w:p>
        </w:tc>
        <w:tc>
          <w:tcPr>
            <w:tcW w:w="3325" w:type="dxa"/>
          </w:tcPr>
          <w:p w14:paraId="44C536AC" w14:textId="77777777" w:rsidR="00A720EB" w:rsidRDefault="0030286B">
            <w:pPr>
              <w:pStyle w:val="TableParagraph"/>
              <w:rPr>
                <w:sz w:val="21"/>
              </w:rPr>
            </w:pPr>
            <w:r>
              <w:rPr>
                <w:color w:val="B02045"/>
                <w:sz w:val="21"/>
              </w:rPr>
              <w:t>2.30.1</w:t>
            </w:r>
          </w:p>
        </w:tc>
      </w:tr>
    </w:tbl>
    <w:p w14:paraId="161DE1C0"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352DE499" w14:textId="77777777">
        <w:trPr>
          <w:trHeight w:val="415"/>
        </w:trPr>
        <w:tc>
          <w:tcPr>
            <w:tcW w:w="3325" w:type="dxa"/>
            <w:tcBorders>
              <w:bottom w:val="single" w:sz="12" w:space="0" w:color="DDDDDD"/>
            </w:tcBorders>
          </w:tcPr>
          <w:p w14:paraId="136A33E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6C5604C0"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3B011FCE"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15BE444A" w14:textId="77777777">
        <w:trPr>
          <w:trHeight w:val="617"/>
        </w:trPr>
        <w:tc>
          <w:tcPr>
            <w:tcW w:w="3325" w:type="dxa"/>
            <w:tcBorders>
              <w:top w:val="single" w:sz="12" w:space="0" w:color="DDDDDD"/>
            </w:tcBorders>
          </w:tcPr>
          <w:p w14:paraId="3CA7955A" w14:textId="77777777" w:rsidR="00A720EB" w:rsidRDefault="0030286B">
            <w:pPr>
              <w:pStyle w:val="TableParagraph"/>
              <w:spacing w:before="3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Borders>
              <w:top w:val="single" w:sz="12" w:space="0" w:color="DDDDDD"/>
            </w:tcBorders>
          </w:tcPr>
          <w:p w14:paraId="04197A63" w14:textId="77777777" w:rsidR="00A720EB" w:rsidRDefault="0030286B">
            <w:pPr>
              <w:pStyle w:val="TableParagraph"/>
              <w:spacing w:before="27"/>
              <w:rPr>
                <w:sz w:val="21"/>
              </w:rPr>
            </w:pPr>
            <w:r>
              <w:rPr>
                <w:color w:val="B02045"/>
                <w:sz w:val="21"/>
              </w:rPr>
              <w:t>jersey-container-grizzly2-http</w:t>
            </w:r>
          </w:p>
        </w:tc>
        <w:tc>
          <w:tcPr>
            <w:tcW w:w="3325" w:type="dxa"/>
            <w:tcBorders>
              <w:top w:val="single" w:sz="12" w:space="0" w:color="DDDDDD"/>
            </w:tcBorders>
          </w:tcPr>
          <w:p w14:paraId="6078CF86" w14:textId="77777777" w:rsidR="00A720EB" w:rsidRDefault="0030286B">
            <w:pPr>
              <w:pStyle w:val="TableParagraph"/>
              <w:spacing w:before="27"/>
              <w:rPr>
                <w:sz w:val="21"/>
              </w:rPr>
            </w:pPr>
            <w:r>
              <w:rPr>
                <w:color w:val="B02045"/>
                <w:sz w:val="21"/>
              </w:rPr>
              <w:t>2.30.1</w:t>
            </w:r>
          </w:p>
        </w:tc>
      </w:tr>
      <w:tr w:rsidR="00A720EB" w14:paraId="4EB08A7E" w14:textId="77777777">
        <w:trPr>
          <w:trHeight w:val="627"/>
        </w:trPr>
        <w:tc>
          <w:tcPr>
            <w:tcW w:w="3325" w:type="dxa"/>
          </w:tcPr>
          <w:p w14:paraId="3F4E80FB"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Pr>
          <w:p w14:paraId="41B6FC91" w14:textId="77777777" w:rsidR="00A720EB" w:rsidRDefault="0030286B">
            <w:pPr>
              <w:pStyle w:val="TableParagraph"/>
              <w:spacing w:before="46" w:line="230" w:lineRule="auto"/>
              <w:ind w:right="505"/>
              <w:rPr>
                <w:sz w:val="21"/>
              </w:rPr>
            </w:pPr>
            <w:r>
              <w:rPr>
                <w:color w:val="B02045"/>
                <w:sz w:val="21"/>
              </w:rPr>
              <w:t>jersey-container-grizzly2- servlet</w:t>
            </w:r>
          </w:p>
        </w:tc>
        <w:tc>
          <w:tcPr>
            <w:tcW w:w="3325" w:type="dxa"/>
          </w:tcPr>
          <w:p w14:paraId="24042949" w14:textId="77777777" w:rsidR="00A720EB" w:rsidRDefault="0030286B">
            <w:pPr>
              <w:pStyle w:val="TableParagraph"/>
              <w:spacing w:before="37"/>
              <w:rPr>
                <w:sz w:val="21"/>
              </w:rPr>
            </w:pPr>
            <w:r>
              <w:rPr>
                <w:color w:val="B02045"/>
                <w:sz w:val="21"/>
              </w:rPr>
              <w:t>2.30.1</w:t>
            </w:r>
          </w:p>
        </w:tc>
      </w:tr>
      <w:tr w:rsidR="00A720EB" w14:paraId="71839342" w14:textId="77777777">
        <w:trPr>
          <w:trHeight w:val="627"/>
        </w:trPr>
        <w:tc>
          <w:tcPr>
            <w:tcW w:w="3325" w:type="dxa"/>
          </w:tcPr>
          <w:p w14:paraId="65BDEDB8"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Pr>
          <w:p w14:paraId="4255A5E7" w14:textId="77777777" w:rsidR="00A720EB" w:rsidRDefault="0030286B">
            <w:pPr>
              <w:pStyle w:val="TableParagraph"/>
              <w:rPr>
                <w:sz w:val="21"/>
              </w:rPr>
            </w:pPr>
            <w:r>
              <w:rPr>
                <w:color w:val="B02045"/>
                <w:sz w:val="21"/>
              </w:rPr>
              <w:t>jersey-container-jdk-http</w:t>
            </w:r>
          </w:p>
        </w:tc>
        <w:tc>
          <w:tcPr>
            <w:tcW w:w="3325" w:type="dxa"/>
          </w:tcPr>
          <w:p w14:paraId="6ACA64A2" w14:textId="77777777" w:rsidR="00A720EB" w:rsidRDefault="0030286B">
            <w:pPr>
              <w:pStyle w:val="TableParagraph"/>
              <w:rPr>
                <w:sz w:val="21"/>
              </w:rPr>
            </w:pPr>
            <w:r>
              <w:rPr>
                <w:color w:val="B02045"/>
                <w:sz w:val="21"/>
              </w:rPr>
              <w:t>2.30.1</w:t>
            </w:r>
          </w:p>
        </w:tc>
      </w:tr>
      <w:tr w:rsidR="00A720EB" w14:paraId="3923C2D9" w14:textId="77777777">
        <w:trPr>
          <w:trHeight w:val="627"/>
        </w:trPr>
        <w:tc>
          <w:tcPr>
            <w:tcW w:w="3325" w:type="dxa"/>
          </w:tcPr>
          <w:p w14:paraId="5FB54748"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Pr>
          <w:p w14:paraId="487C7C2F" w14:textId="77777777" w:rsidR="00A720EB" w:rsidRDefault="0030286B">
            <w:pPr>
              <w:pStyle w:val="TableParagraph"/>
              <w:rPr>
                <w:sz w:val="21"/>
              </w:rPr>
            </w:pPr>
            <w:r>
              <w:rPr>
                <w:color w:val="B02045"/>
                <w:sz w:val="21"/>
              </w:rPr>
              <w:t>jersey-container-jetty-http</w:t>
            </w:r>
          </w:p>
        </w:tc>
        <w:tc>
          <w:tcPr>
            <w:tcW w:w="3325" w:type="dxa"/>
          </w:tcPr>
          <w:p w14:paraId="6AB4E78C" w14:textId="77777777" w:rsidR="00A720EB" w:rsidRDefault="0030286B">
            <w:pPr>
              <w:pStyle w:val="TableParagraph"/>
              <w:rPr>
                <w:sz w:val="21"/>
              </w:rPr>
            </w:pPr>
            <w:r>
              <w:rPr>
                <w:color w:val="B02045"/>
                <w:sz w:val="21"/>
              </w:rPr>
              <w:t>2.30.1</w:t>
            </w:r>
          </w:p>
        </w:tc>
      </w:tr>
      <w:tr w:rsidR="00A720EB" w14:paraId="56E82A55" w14:textId="77777777">
        <w:trPr>
          <w:trHeight w:val="627"/>
        </w:trPr>
        <w:tc>
          <w:tcPr>
            <w:tcW w:w="3325" w:type="dxa"/>
          </w:tcPr>
          <w:p w14:paraId="2BF6C245"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Pr>
          <w:p w14:paraId="348796D3" w14:textId="77777777" w:rsidR="00A720EB" w:rsidRDefault="0030286B">
            <w:pPr>
              <w:pStyle w:val="TableParagraph"/>
              <w:spacing w:before="37"/>
              <w:rPr>
                <w:sz w:val="21"/>
              </w:rPr>
            </w:pPr>
            <w:r>
              <w:rPr>
                <w:color w:val="B02045"/>
                <w:sz w:val="21"/>
              </w:rPr>
              <w:t>jersey-container-jetty-servlet</w:t>
            </w:r>
          </w:p>
        </w:tc>
        <w:tc>
          <w:tcPr>
            <w:tcW w:w="3325" w:type="dxa"/>
          </w:tcPr>
          <w:p w14:paraId="50B1FA9D" w14:textId="77777777" w:rsidR="00A720EB" w:rsidRDefault="0030286B">
            <w:pPr>
              <w:pStyle w:val="TableParagraph"/>
              <w:spacing w:before="37"/>
              <w:rPr>
                <w:sz w:val="21"/>
              </w:rPr>
            </w:pPr>
            <w:r>
              <w:rPr>
                <w:color w:val="B02045"/>
                <w:sz w:val="21"/>
              </w:rPr>
              <w:t>2.30.1</w:t>
            </w:r>
          </w:p>
        </w:tc>
      </w:tr>
      <w:tr w:rsidR="00A720EB" w14:paraId="58BE0F82" w14:textId="77777777">
        <w:trPr>
          <w:trHeight w:val="627"/>
        </w:trPr>
        <w:tc>
          <w:tcPr>
            <w:tcW w:w="3325" w:type="dxa"/>
          </w:tcPr>
          <w:p w14:paraId="23ACDBCB"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Pr>
          <w:p w14:paraId="3978B737" w14:textId="77777777" w:rsidR="00A720EB" w:rsidRDefault="0030286B">
            <w:pPr>
              <w:pStyle w:val="TableParagraph"/>
              <w:spacing w:before="37"/>
              <w:rPr>
                <w:sz w:val="21"/>
              </w:rPr>
            </w:pPr>
            <w:r>
              <w:rPr>
                <w:color w:val="B02045"/>
                <w:sz w:val="21"/>
              </w:rPr>
              <w:t>jersey-container-netty-http</w:t>
            </w:r>
          </w:p>
        </w:tc>
        <w:tc>
          <w:tcPr>
            <w:tcW w:w="3325" w:type="dxa"/>
          </w:tcPr>
          <w:p w14:paraId="671982DC" w14:textId="77777777" w:rsidR="00A720EB" w:rsidRDefault="0030286B">
            <w:pPr>
              <w:pStyle w:val="TableParagraph"/>
              <w:spacing w:before="37"/>
              <w:rPr>
                <w:sz w:val="21"/>
              </w:rPr>
            </w:pPr>
            <w:r>
              <w:rPr>
                <w:color w:val="B02045"/>
                <w:sz w:val="21"/>
              </w:rPr>
              <w:t>2.30.1</w:t>
            </w:r>
          </w:p>
        </w:tc>
      </w:tr>
      <w:tr w:rsidR="00A720EB" w14:paraId="77816E7E" w14:textId="77777777">
        <w:trPr>
          <w:trHeight w:val="627"/>
        </w:trPr>
        <w:tc>
          <w:tcPr>
            <w:tcW w:w="3325" w:type="dxa"/>
          </w:tcPr>
          <w:p w14:paraId="0E65C30C"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Pr>
          <w:p w14:paraId="70F86E83" w14:textId="77777777" w:rsidR="00A720EB" w:rsidRDefault="0030286B">
            <w:pPr>
              <w:pStyle w:val="TableParagraph"/>
              <w:rPr>
                <w:sz w:val="21"/>
              </w:rPr>
            </w:pPr>
            <w:r>
              <w:rPr>
                <w:color w:val="B02045"/>
                <w:sz w:val="21"/>
              </w:rPr>
              <w:t>jersey-container-servlet</w:t>
            </w:r>
          </w:p>
        </w:tc>
        <w:tc>
          <w:tcPr>
            <w:tcW w:w="3325" w:type="dxa"/>
          </w:tcPr>
          <w:p w14:paraId="05B4788D" w14:textId="77777777" w:rsidR="00A720EB" w:rsidRDefault="0030286B">
            <w:pPr>
              <w:pStyle w:val="TableParagraph"/>
              <w:rPr>
                <w:sz w:val="21"/>
              </w:rPr>
            </w:pPr>
            <w:r>
              <w:rPr>
                <w:color w:val="B02045"/>
                <w:sz w:val="21"/>
              </w:rPr>
              <w:t>2.30.1</w:t>
            </w:r>
          </w:p>
        </w:tc>
      </w:tr>
      <w:tr w:rsidR="00A720EB" w14:paraId="773B1678" w14:textId="77777777">
        <w:trPr>
          <w:trHeight w:val="627"/>
        </w:trPr>
        <w:tc>
          <w:tcPr>
            <w:tcW w:w="3325" w:type="dxa"/>
          </w:tcPr>
          <w:p w14:paraId="3B78DD99"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Pr>
          <w:p w14:paraId="26D9F9F2" w14:textId="77777777" w:rsidR="00A720EB" w:rsidRDefault="0030286B">
            <w:pPr>
              <w:pStyle w:val="TableParagraph"/>
              <w:rPr>
                <w:sz w:val="21"/>
              </w:rPr>
            </w:pPr>
            <w:r>
              <w:rPr>
                <w:color w:val="B02045"/>
                <w:sz w:val="21"/>
              </w:rPr>
              <w:t>jersey-container-servlet-core</w:t>
            </w:r>
          </w:p>
        </w:tc>
        <w:tc>
          <w:tcPr>
            <w:tcW w:w="3325" w:type="dxa"/>
          </w:tcPr>
          <w:p w14:paraId="135677B5" w14:textId="77777777" w:rsidR="00A720EB" w:rsidRDefault="0030286B">
            <w:pPr>
              <w:pStyle w:val="TableParagraph"/>
              <w:rPr>
                <w:sz w:val="21"/>
              </w:rPr>
            </w:pPr>
            <w:r>
              <w:rPr>
                <w:color w:val="B02045"/>
                <w:sz w:val="21"/>
              </w:rPr>
              <w:t>2.30.1</w:t>
            </w:r>
          </w:p>
        </w:tc>
      </w:tr>
      <w:tr w:rsidR="00A720EB" w14:paraId="00413476" w14:textId="77777777">
        <w:trPr>
          <w:trHeight w:val="627"/>
        </w:trPr>
        <w:tc>
          <w:tcPr>
            <w:tcW w:w="3325" w:type="dxa"/>
          </w:tcPr>
          <w:p w14:paraId="30D9F0E1"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w:t>
            </w:r>
          </w:p>
        </w:tc>
        <w:tc>
          <w:tcPr>
            <w:tcW w:w="3325" w:type="dxa"/>
          </w:tcPr>
          <w:p w14:paraId="33FAC82C" w14:textId="77777777" w:rsidR="00A720EB" w:rsidRDefault="0030286B">
            <w:pPr>
              <w:pStyle w:val="TableParagraph"/>
              <w:spacing w:before="37"/>
              <w:rPr>
                <w:sz w:val="21"/>
              </w:rPr>
            </w:pPr>
            <w:r>
              <w:rPr>
                <w:color w:val="B02045"/>
                <w:sz w:val="21"/>
              </w:rPr>
              <w:t>jersey-container-simple-http</w:t>
            </w:r>
          </w:p>
        </w:tc>
        <w:tc>
          <w:tcPr>
            <w:tcW w:w="3325" w:type="dxa"/>
          </w:tcPr>
          <w:p w14:paraId="36DE110F" w14:textId="77777777" w:rsidR="00A720EB" w:rsidRDefault="0030286B">
            <w:pPr>
              <w:pStyle w:val="TableParagraph"/>
              <w:spacing w:before="37"/>
              <w:rPr>
                <w:sz w:val="21"/>
              </w:rPr>
            </w:pPr>
            <w:r>
              <w:rPr>
                <w:color w:val="B02045"/>
                <w:sz w:val="21"/>
              </w:rPr>
              <w:t>2.30.1</w:t>
            </w:r>
          </w:p>
        </w:tc>
      </w:tr>
      <w:tr w:rsidR="00A720EB" w14:paraId="4FC62476" w14:textId="77777777">
        <w:trPr>
          <w:trHeight w:val="627"/>
        </w:trPr>
        <w:tc>
          <w:tcPr>
            <w:tcW w:w="3325" w:type="dxa"/>
          </w:tcPr>
          <w:p w14:paraId="60863555" w14:textId="77777777" w:rsidR="00A720EB" w:rsidRDefault="0030286B">
            <w:pPr>
              <w:pStyle w:val="TableParagraph"/>
              <w:spacing w:before="46" w:line="230" w:lineRule="auto"/>
              <w:ind w:right="85"/>
              <w:rPr>
                <w:sz w:val="21"/>
              </w:rPr>
            </w:pPr>
            <w:proofErr w:type="gramStart"/>
            <w:r>
              <w:rPr>
                <w:color w:val="B02045"/>
                <w:sz w:val="21"/>
              </w:rPr>
              <w:t>org.glassfish</w:t>
            </w:r>
            <w:proofErr w:type="gramEnd"/>
            <w:r>
              <w:rPr>
                <w:color w:val="B02045"/>
                <w:sz w:val="21"/>
              </w:rPr>
              <w:t>.jersey.container s.glassfish</w:t>
            </w:r>
          </w:p>
        </w:tc>
        <w:tc>
          <w:tcPr>
            <w:tcW w:w="3325" w:type="dxa"/>
          </w:tcPr>
          <w:p w14:paraId="17B8ED00" w14:textId="77777777" w:rsidR="00A720EB" w:rsidRDefault="0030286B">
            <w:pPr>
              <w:pStyle w:val="TableParagraph"/>
              <w:spacing w:before="37"/>
              <w:rPr>
                <w:sz w:val="21"/>
              </w:rPr>
            </w:pPr>
            <w:r>
              <w:rPr>
                <w:color w:val="B02045"/>
                <w:sz w:val="21"/>
              </w:rPr>
              <w:t>jersey-gf-ejb</w:t>
            </w:r>
          </w:p>
        </w:tc>
        <w:tc>
          <w:tcPr>
            <w:tcW w:w="3325" w:type="dxa"/>
          </w:tcPr>
          <w:p w14:paraId="2C68E92D" w14:textId="77777777" w:rsidR="00A720EB" w:rsidRDefault="0030286B">
            <w:pPr>
              <w:pStyle w:val="TableParagraph"/>
              <w:spacing w:before="37"/>
              <w:rPr>
                <w:sz w:val="21"/>
              </w:rPr>
            </w:pPr>
            <w:r>
              <w:rPr>
                <w:color w:val="B02045"/>
                <w:sz w:val="21"/>
              </w:rPr>
              <w:t>2.30.1</w:t>
            </w:r>
          </w:p>
        </w:tc>
      </w:tr>
      <w:tr w:rsidR="00A720EB" w14:paraId="3677D2FD" w14:textId="77777777">
        <w:trPr>
          <w:trHeight w:val="368"/>
        </w:trPr>
        <w:tc>
          <w:tcPr>
            <w:tcW w:w="3325" w:type="dxa"/>
          </w:tcPr>
          <w:p w14:paraId="7F7196C9" w14:textId="77777777" w:rsidR="00A720EB" w:rsidRDefault="0030286B">
            <w:pPr>
              <w:pStyle w:val="TableParagraph"/>
              <w:rPr>
                <w:sz w:val="21"/>
              </w:rPr>
            </w:pPr>
            <w:proofErr w:type="gramStart"/>
            <w:r>
              <w:rPr>
                <w:color w:val="B02045"/>
                <w:sz w:val="21"/>
              </w:rPr>
              <w:t>org.glassfish</w:t>
            </w:r>
            <w:proofErr w:type="gramEnd"/>
            <w:r>
              <w:rPr>
                <w:color w:val="B02045"/>
                <w:sz w:val="21"/>
              </w:rPr>
              <w:t>.jersey.core</w:t>
            </w:r>
          </w:p>
        </w:tc>
        <w:tc>
          <w:tcPr>
            <w:tcW w:w="3325" w:type="dxa"/>
          </w:tcPr>
          <w:p w14:paraId="43B287A5" w14:textId="77777777" w:rsidR="00A720EB" w:rsidRDefault="0030286B">
            <w:pPr>
              <w:pStyle w:val="TableParagraph"/>
              <w:rPr>
                <w:sz w:val="21"/>
              </w:rPr>
            </w:pPr>
            <w:r>
              <w:rPr>
                <w:color w:val="B02045"/>
                <w:sz w:val="21"/>
              </w:rPr>
              <w:t>jersey-client</w:t>
            </w:r>
          </w:p>
        </w:tc>
        <w:tc>
          <w:tcPr>
            <w:tcW w:w="3325" w:type="dxa"/>
          </w:tcPr>
          <w:p w14:paraId="330A8AB3" w14:textId="77777777" w:rsidR="00A720EB" w:rsidRDefault="0030286B">
            <w:pPr>
              <w:pStyle w:val="TableParagraph"/>
              <w:rPr>
                <w:sz w:val="21"/>
              </w:rPr>
            </w:pPr>
            <w:r>
              <w:rPr>
                <w:color w:val="B02045"/>
                <w:sz w:val="21"/>
              </w:rPr>
              <w:t>2.30.1</w:t>
            </w:r>
          </w:p>
        </w:tc>
      </w:tr>
      <w:tr w:rsidR="00A720EB" w14:paraId="53ADC94F" w14:textId="77777777">
        <w:trPr>
          <w:trHeight w:val="368"/>
        </w:trPr>
        <w:tc>
          <w:tcPr>
            <w:tcW w:w="3325" w:type="dxa"/>
          </w:tcPr>
          <w:p w14:paraId="2DE60535" w14:textId="77777777" w:rsidR="00A720EB" w:rsidRDefault="0030286B">
            <w:pPr>
              <w:pStyle w:val="TableParagraph"/>
              <w:rPr>
                <w:sz w:val="21"/>
              </w:rPr>
            </w:pPr>
            <w:proofErr w:type="gramStart"/>
            <w:r>
              <w:rPr>
                <w:color w:val="B02045"/>
                <w:sz w:val="21"/>
              </w:rPr>
              <w:t>org.glassfish</w:t>
            </w:r>
            <w:proofErr w:type="gramEnd"/>
            <w:r>
              <w:rPr>
                <w:color w:val="B02045"/>
                <w:sz w:val="21"/>
              </w:rPr>
              <w:t>.jersey.core</w:t>
            </w:r>
          </w:p>
        </w:tc>
        <w:tc>
          <w:tcPr>
            <w:tcW w:w="3325" w:type="dxa"/>
          </w:tcPr>
          <w:p w14:paraId="6C629F2A" w14:textId="77777777" w:rsidR="00A720EB" w:rsidRDefault="0030286B">
            <w:pPr>
              <w:pStyle w:val="TableParagraph"/>
              <w:rPr>
                <w:sz w:val="21"/>
              </w:rPr>
            </w:pPr>
            <w:r>
              <w:rPr>
                <w:color w:val="B02045"/>
                <w:sz w:val="21"/>
              </w:rPr>
              <w:t>jersey-common</w:t>
            </w:r>
          </w:p>
        </w:tc>
        <w:tc>
          <w:tcPr>
            <w:tcW w:w="3325" w:type="dxa"/>
          </w:tcPr>
          <w:p w14:paraId="1E80F117" w14:textId="77777777" w:rsidR="00A720EB" w:rsidRDefault="0030286B">
            <w:pPr>
              <w:pStyle w:val="TableParagraph"/>
              <w:rPr>
                <w:sz w:val="21"/>
              </w:rPr>
            </w:pPr>
            <w:r>
              <w:rPr>
                <w:color w:val="B02045"/>
                <w:sz w:val="21"/>
              </w:rPr>
              <w:t>2.30.1</w:t>
            </w:r>
          </w:p>
        </w:tc>
      </w:tr>
      <w:tr w:rsidR="00A720EB" w14:paraId="55B3644A" w14:textId="77777777">
        <w:trPr>
          <w:trHeight w:val="368"/>
        </w:trPr>
        <w:tc>
          <w:tcPr>
            <w:tcW w:w="3325" w:type="dxa"/>
          </w:tcPr>
          <w:p w14:paraId="4D10C041"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.jersey.core</w:t>
            </w:r>
          </w:p>
        </w:tc>
        <w:tc>
          <w:tcPr>
            <w:tcW w:w="3325" w:type="dxa"/>
          </w:tcPr>
          <w:p w14:paraId="16AC4E50" w14:textId="77777777" w:rsidR="00A720EB" w:rsidRDefault="0030286B">
            <w:pPr>
              <w:pStyle w:val="TableParagraph"/>
              <w:spacing w:before="37"/>
              <w:rPr>
                <w:sz w:val="21"/>
              </w:rPr>
            </w:pPr>
            <w:r>
              <w:rPr>
                <w:color w:val="B02045"/>
                <w:sz w:val="21"/>
              </w:rPr>
              <w:t>jersey-server</w:t>
            </w:r>
          </w:p>
        </w:tc>
        <w:tc>
          <w:tcPr>
            <w:tcW w:w="3325" w:type="dxa"/>
          </w:tcPr>
          <w:p w14:paraId="6B451E97" w14:textId="77777777" w:rsidR="00A720EB" w:rsidRDefault="0030286B">
            <w:pPr>
              <w:pStyle w:val="TableParagraph"/>
              <w:spacing w:before="37"/>
              <w:rPr>
                <w:sz w:val="21"/>
              </w:rPr>
            </w:pPr>
            <w:r>
              <w:rPr>
                <w:color w:val="B02045"/>
                <w:sz w:val="21"/>
              </w:rPr>
              <w:t>2.30.1</w:t>
            </w:r>
          </w:p>
        </w:tc>
      </w:tr>
      <w:tr w:rsidR="00A720EB" w14:paraId="24628FEF" w14:textId="77777777">
        <w:trPr>
          <w:trHeight w:val="368"/>
        </w:trPr>
        <w:tc>
          <w:tcPr>
            <w:tcW w:w="3325" w:type="dxa"/>
          </w:tcPr>
          <w:p w14:paraId="5E1B5834" w14:textId="77777777" w:rsidR="00A720EB" w:rsidRDefault="0030286B">
            <w:pPr>
              <w:pStyle w:val="TableParagraph"/>
              <w:spacing w:before="37"/>
              <w:rPr>
                <w:sz w:val="21"/>
              </w:rPr>
            </w:pPr>
            <w:r>
              <w:rPr>
                <w:color w:val="B02045"/>
                <w:sz w:val="21"/>
              </w:rPr>
              <w:t>org.glassfish.jersey.ext</w:t>
            </w:r>
          </w:p>
        </w:tc>
        <w:tc>
          <w:tcPr>
            <w:tcW w:w="3325" w:type="dxa"/>
          </w:tcPr>
          <w:p w14:paraId="5A139D41" w14:textId="77777777" w:rsidR="00A720EB" w:rsidRDefault="0030286B">
            <w:pPr>
              <w:pStyle w:val="TableParagraph"/>
              <w:spacing w:before="37"/>
              <w:rPr>
                <w:sz w:val="21"/>
              </w:rPr>
            </w:pPr>
            <w:r>
              <w:rPr>
                <w:color w:val="B02045"/>
                <w:sz w:val="21"/>
              </w:rPr>
              <w:t>jersey-bean-validation</w:t>
            </w:r>
          </w:p>
        </w:tc>
        <w:tc>
          <w:tcPr>
            <w:tcW w:w="3325" w:type="dxa"/>
          </w:tcPr>
          <w:p w14:paraId="3D84A2B3" w14:textId="77777777" w:rsidR="00A720EB" w:rsidRDefault="0030286B">
            <w:pPr>
              <w:pStyle w:val="TableParagraph"/>
              <w:spacing w:before="37"/>
              <w:rPr>
                <w:sz w:val="21"/>
              </w:rPr>
            </w:pPr>
            <w:r>
              <w:rPr>
                <w:color w:val="B02045"/>
                <w:sz w:val="21"/>
              </w:rPr>
              <w:t>2.30.1</w:t>
            </w:r>
          </w:p>
        </w:tc>
      </w:tr>
      <w:tr w:rsidR="00A720EB" w14:paraId="35D34755" w14:textId="77777777">
        <w:trPr>
          <w:trHeight w:val="368"/>
        </w:trPr>
        <w:tc>
          <w:tcPr>
            <w:tcW w:w="3325" w:type="dxa"/>
          </w:tcPr>
          <w:p w14:paraId="743894AB" w14:textId="77777777" w:rsidR="00A720EB" w:rsidRDefault="0030286B">
            <w:pPr>
              <w:pStyle w:val="TableParagraph"/>
              <w:rPr>
                <w:sz w:val="21"/>
              </w:rPr>
            </w:pPr>
            <w:r>
              <w:rPr>
                <w:color w:val="B02045"/>
                <w:sz w:val="21"/>
              </w:rPr>
              <w:t>org.glassfish.jersey.ext</w:t>
            </w:r>
          </w:p>
        </w:tc>
        <w:tc>
          <w:tcPr>
            <w:tcW w:w="3325" w:type="dxa"/>
          </w:tcPr>
          <w:p w14:paraId="39AC63F3" w14:textId="77777777" w:rsidR="00A720EB" w:rsidRDefault="0030286B">
            <w:pPr>
              <w:pStyle w:val="TableParagraph"/>
              <w:rPr>
                <w:sz w:val="21"/>
              </w:rPr>
            </w:pPr>
            <w:r>
              <w:rPr>
                <w:color w:val="B02045"/>
                <w:sz w:val="21"/>
              </w:rPr>
              <w:t>jersey-declarative-linking</w:t>
            </w:r>
          </w:p>
        </w:tc>
        <w:tc>
          <w:tcPr>
            <w:tcW w:w="3325" w:type="dxa"/>
          </w:tcPr>
          <w:p w14:paraId="2583369F" w14:textId="77777777" w:rsidR="00A720EB" w:rsidRDefault="0030286B">
            <w:pPr>
              <w:pStyle w:val="TableParagraph"/>
              <w:rPr>
                <w:sz w:val="21"/>
              </w:rPr>
            </w:pPr>
            <w:r>
              <w:rPr>
                <w:color w:val="B02045"/>
                <w:sz w:val="21"/>
              </w:rPr>
              <w:t>2.30.1</w:t>
            </w:r>
          </w:p>
        </w:tc>
      </w:tr>
      <w:tr w:rsidR="00A720EB" w14:paraId="4BB00977" w14:textId="77777777">
        <w:trPr>
          <w:trHeight w:val="368"/>
        </w:trPr>
        <w:tc>
          <w:tcPr>
            <w:tcW w:w="3325" w:type="dxa"/>
          </w:tcPr>
          <w:p w14:paraId="05644BFE" w14:textId="77777777" w:rsidR="00A720EB" w:rsidRDefault="0030286B">
            <w:pPr>
              <w:pStyle w:val="TableParagraph"/>
              <w:rPr>
                <w:sz w:val="21"/>
              </w:rPr>
            </w:pPr>
            <w:r>
              <w:rPr>
                <w:color w:val="B02045"/>
                <w:sz w:val="21"/>
              </w:rPr>
              <w:t>org.glassfish.jersey.ext</w:t>
            </w:r>
          </w:p>
        </w:tc>
        <w:tc>
          <w:tcPr>
            <w:tcW w:w="3325" w:type="dxa"/>
          </w:tcPr>
          <w:p w14:paraId="73C40704" w14:textId="77777777" w:rsidR="00A720EB" w:rsidRDefault="0030286B">
            <w:pPr>
              <w:pStyle w:val="TableParagraph"/>
              <w:rPr>
                <w:sz w:val="21"/>
              </w:rPr>
            </w:pPr>
            <w:r>
              <w:rPr>
                <w:color w:val="B02045"/>
                <w:sz w:val="21"/>
              </w:rPr>
              <w:t>jersey-entity-filtering</w:t>
            </w:r>
          </w:p>
        </w:tc>
        <w:tc>
          <w:tcPr>
            <w:tcW w:w="3325" w:type="dxa"/>
          </w:tcPr>
          <w:p w14:paraId="424E2A0D" w14:textId="77777777" w:rsidR="00A720EB" w:rsidRDefault="0030286B">
            <w:pPr>
              <w:pStyle w:val="TableParagraph"/>
              <w:rPr>
                <w:sz w:val="21"/>
              </w:rPr>
            </w:pPr>
            <w:r>
              <w:rPr>
                <w:color w:val="B02045"/>
                <w:sz w:val="21"/>
              </w:rPr>
              <w:t>2.30.1</w:t>
            </w:r>
          </w:p>
        </w:tc>
      </w:tr>
      <w:tr w:rsidR="00A720EB" w14:paraId="1832ED2C" w14:textId="77777777">
        <w:trPr>
          <w:trHeight w:val="368"/>
        </w:trPr>
        <w:tc>
          <w:tcPr>
            <w:tcW w:w="3325" w:type="dxa"/>
          </w:tcPr>
          <w:p w14:paraId="3B6804C7" w14:textId="77777777" w:rsidR="00A720EB" w:rsidRDefault="0030286B">
            <w:pPr>
              <w:pStyle w:val="TableParagraph"/>
              <w:spacing w:before="37"/>
              <w:rPr>
                <w:sz w:val="21"/>
              </w:rPr>
            </w:pPr>
            <w:r>
              <w:rPr>
                <w:color w:val="B02045"/>
                <w:sz w:val="21"/>
              </w:rPr>
              <w:t>org.glassfish.jersey.ext</w:t>
            </w:r>
          </w:p>
        </w:tc>
        <w:tc>
          <w:tcPr>
            <w:tcW w:w="3325" w:type="dxa"/>
          </w:tcPr>
          <w:p w14:paraId="208C2B60" w14:textId="77777777" w:rsidR="00A720EB" w:rsidRDefault="0030286B">
            <w:pPr>
              <w:pStyle w:val="TableParagraph"/>
              <w:spacing w:before="37"/>
              <w:rPr>
                <w:sz w:val="21"/>
              </w:rPr>
            </w:pPr>
            <w:r>
              <w:rPr>
                <w:color w:val="B02045"/>
                <w:sz w:val="21"/>
              </w:rPr>
              <w:t>jersey-metainf-services</w:t>
            </w:r>
          </w:p>
        </w:tc>
        <w:tc>
          <w:tcPr>
            <w:tcW w:w="3325" w:type="dxa"/>
          </w:tcPr>
          <w:p w14:paraId="3C68B6A0" w14:textId="77777777" w:rsidR="00A720EB" w:rsidRDefault="0030286B">
            <w:pPr>
              <w:pStyle w:val="TableParagraph"/>
              <w:spacing w:before="37"/>
              <w:rPr>
                <w:sz w:val="21"/>
              </w:rPr>
            </w:pPr>
            <w:r>
              <w:rPr>
                <w:color w:val="B02045"/>
                <w:sz w:val="21"/>
              </w:rPr>
              <w:t>2.30.1</w:t>
            </w:r>
          </w:p>
        </w:tc>
      </w:tr>
      <w:tr w:rsidR="00A720EB" w14:paraId="1B73429C" w14:textId="77777777">
        <w:trPr>
          <w:trHeight w:val="368"/>
        </w:trPr>
        <w:tc>
          <w:tcPr>
            <w:tcW w:w="3325" w:type="dxa"/>
          </w:tcPr>
          <w:p w14:paraId="74C16AAD" w14:textId="77777777" w:rsidR="00A720EB" w:rsidRDefault="0030286B">
            <w:pPr>
              <w:pStyle w:val="TableParagraph"/>
              <w:spacing w:before="37"/>
              <w:rPr>
                <w:sz w:val="21"/>
              </w:rPr>
            </w:pPr>
            <w:r>
              <w:rPr>
                <w:color w:val="B02045"/>
                <w:sz w:val="21"/>
              </w:rPr>
              <w:t>org.glassfish.jersey.ext</w:t>
            </w:r>
          </w:p>
        </w:tc>
        <w:tc>
          <w:tcPr>
            <w:tcW w:w="3325" w:type="dxa"/>
          </w:tcPr>
          <w:p w14:paraId="3B2669CE" w14:textId="77777777" w:rsidR="00A720EB" w:rsidRDefault="0030286B">
            <w:pPr>
              <w:pStyle w:val="TableParagraph"/>
              <w:spacing w:before="37"/>
              <w:rPr>
                <w:sz w:val="21"/>
              </w:rPr>
            </w:pPr>
            <w:r>
              <w:rPr>
                <w:color w:val="B02045"/>
                <w:sz w:val="21"/>
              </w:rPr>
              <w:t>jersey-mvc</w:t>
            </w:r>
          </w:p>
        </w:tc>
        <w:tc>
          <w:tcPr>
            <w:tcW w:w="3325" w:type="dxa"/>
          </w:tcPr>
          <w:p w14:paraId="4BB5E086" w14:textId="77777777" w:rsidR="00A720EB" w:rsidRDefault="0030286B">
            <w:pPr>
              <w:pStyle w:val="TableParagraph"/>
              <w:spacing w:before="37"/>
              <w:rPr>
                <w:sz w:val="21"/>
              </w:rPr>
            </w:pPr>
            <w:r>
              <w:rPr>
                <w:color w:val="B02045"/>
                <w:sz w:val="21"/>
              </w:rPr>
              <w:t>2.30.1</w:t>
            </w:r>
          </w:p>
        </w:tc>
      </w:tr>
      <w:tr w:rsidR="00A720EB" w14:paraId="5B49289C" w14:textId="77777777">
        <w:trPr>
          <w:trHeight w:val="368"/>
        </w:trPr>
        <w:tc>
          <w:tcPr>
            <w:tcW w:w="3325" w:type="dxa"/>
          </w:tcPr>
          <w:p w14:paraId="2FCF0A8D" w14:textId="77777777" w:rsidR="00A720EB" w:rsidRDefault="0030286B">
            <w:pPr>
              <w:pStyle w:val="TableParagraph"/>
              <w:rPr>
                <w:sz w:val="21"/>
              </w:rPr>
            </w:pPr>
            <w:r>
              <w:rPr>
                <w:color w:val="B02045"/>
                <w:sz w:val="21"/>
              </w:rPr>
              <w:t>org.glassfish.jersey.ext</w:t>
            </w:r>
          </w:p>
        </w:tc>
        <w:tc>
          <w:tcPr>
            <w:tcW w:w="3325" w:type="dxa"/>
          </w:tcPr>
          <w:p w14:paraId="34D49FAF" w14:textId="77777777" w:rsidR="00A720EB" w:rsidRDefault="0030286B">
            <w:pPr>
              <w:pStyle w:val="TableParagraph"/>
              <w:rPr>
                <w:sz w:val="21"/>
              </w:rPr>
            </w:pPr>
            <w:r>
              <w:rPr>
                <w:color w:val="B02045"/>
                <w:sz w:val="21"/>
              </w:rPr>
              <w:t>jersey-mvc-bean-validation</w:t>
            </w:r>
          </w:p>
        </w:tc>
        <w:tc>
          <w:tcPr>
            <w:tcW w:w="3325" w:type="dxa"/>
          </w:tcPr>
          <w:p w14:paraId="5BFEDBF5" w14:textId="77777777" w:rsidR="00A720EB" w:rsidRDefault="0030286B">
            <w:pPr>
              <w:pStyle w:val="TableParagraph"/>
              <w:rPr>
                <w:sz w:val="21"/>
              </w:rPr>
            </w:pPr>
            <w:r>
              <w:rPr>
                <w:color w:val="B02045"/>
                <w:sz w:val="21"/>
              </w:rPr>
              <w:t>2.30.1</w:t>
            </w:r>
          </w:p>
        </w:tc>
      </w:tr>
      <w:tr w:rsidR="00A720EB" w14:paraId="4159A437" w14:textId="77777777">
        <w:trPr>
          <w:trHeight w:val="368"/>
        </w:trPr>
        <w:tc>
          <w:tcPr>
            <w:tcW w:w="3325" w:type="dxa"/>
          </w:tcPr>
          <w:p w14:paraId="20A7C403" w14:textId="77777777" w:rsidR="00A720EB" w:rsidRDefault="0030286B">
            <w:pPr>
              <w:pStyle w:val="TableParagraph"/>
              <w:rPr>
                <w:sz w:val="21"/>
              </w:rPr>
            </w:pPr>
            <w:r>
              <w:rPr>
                <w:color w:val="B02045"/>
                <w:sz w:val="21"/>
              </w:rPr>
              <w:t>org.glassfish.jersey.ext</w:t>
            </w:r>
          </w:p>
        </w:tc>
        <w:tc>
          <w:tcPr>
            <w:tcW w:w="3325" w:type="dxa"/>
          </w:tcPr>
          <w:p w14:paraId="5F176AAC" w14:textId="77777777" w:rsidR="00A720EB" w:rsidRDefault="0030286B">
            <w:pPr>
              <w:pStyle w:val="TableParagraph"/>
              <w:rPr>
                <w:sz w:val="21"/>
              </w:rPr>
            </w:pPr>
            <w:r>
              <w:rPr>
                <w:color w:val="B02045"/>
                <w:sz w:val="21"/>
              </w:rPr>
              <w:t>jersey-mvc-freemarker</w:t>
            </w:r>
          </w:p>
        </w:tc>
        <w:tc>
          <w:tcPr>
            <w:tcW w:w="3325" w:type="dxa"/>
          </w:tcPr>
          <w:p w14:paraId="2064428B" w14:textId="77777777" w:rsidR="00A720EB" w:rsidRDefault="0030286B">
            <w:pPr>
              <w:pStyle w:val="TableParagraph"/>
              <w:rPr>
                <w:sz w:val="21"/>
              </w:rPr>
            </w:pPr>
            <w:r>
              <w:rPr>
                <w:color w:val="B02045"/>
                <w:sz w:val="21"/>
              </w:rPr>
              <w:t>2.30.1</w:t>
            </w:r>
          </w:p>
        </w:tc>
      </w:tr>
      <w:tr w:rsidR="00A720EB" w14:paraId="667311B0" w14:textId="77777777">
        <w:trPr>
          <w:trHeight w:val="368"/>
        </w:trPr>
        <w:tc>
          <w:tcPr>
            <w:tcW w:w="3325" w:type="dxa"/>
          </w:tcPr>
          <w:p w14:paraId="26FDA407" w14:textId="77777777" w:rsidR="00A720EB" w:rsidRDefault="0030286B">
            <w:pPr>
              <w:pStyle w:val="TableParagraph"/>
              <w:spacing w:before="37"/>
              <w:rPr>
                <w:sz w:val="21"/>
              </w:rPr>
            </w:pPr>
            <w:r>
              <w:rPr>
                <w:color w:val="B02045"/>
                <w:sz w:val="21"/>
              </w:rPr>
              <w:t>org.glassfish.jersey.ext</w:t>
            </w:r>
          </w:p>
        </w:tc>
        <w:tc>
          <w:tcPr>
            <w:tcW w:w="3325" w:type="dxa"/>
          </w:tcPr>
          <w:p w14:paraId="6B8A7669" w14:textId="77777777" w:rsidR="00A720EB" w:rsidRDefault="0030286B">
            <w:pPr>
              <w:pStyle w:val="TableParagraph"/>
              <w:spacing w:before="37"/>
              <w:rPr>
                <w:sz w:val="21"/>
              </w:rPr>
            </w:pPr>
            <w:r>
              <w:rPr>
                <w:color w:val="B02045"/>
                <w:sz w:val="21"/>
              </w:rPr>
              <w:t>jersey-mvc-jsp</w:t>
            </w:r>
          </w:p>
        </w:tc>
        <w:tc>
          <w:tcPr>
            <w:tcW w:w="3325" w:type="dxa"/>
          </w:tcPr>
          <w:p w14:paraId="39ED7A21" w14:textId="77777777" w:rsidR="00A720EB" w:rsidRDefault="0030286B">
            <w:pPr>
              <w:pStyle w:val="TableParagraph"/>
              <w:spacing w:before="37"/>
              <w:rPr>
                <w:sz w:val="21"/>
              </w:rPr>
            </w:pPr>
            <w:r>
              <w:rPr>
                <w:color w:val="B02045"/>
                <w:sz w:val="21"/>
              </w:rPr>
              <w:t>2.30.1</w:t>
            </w:r>
          </w:p>
        </w:tc>
      </w:tr>
      <w:tr w:rsidR="00A720EB" w14:paraId="6807AAFF" w14:textId="77777777">
        <w:trPr>
          <w:trHeight w:val="368"/>
        </w:trPr>
        <w:tc>
          <w:tcPr>
            <w:tcW w:w="3325" w:type="dxa"/>
          </w:tcPr>
          <w:p w14:paraId="677A74A3" w14:textId="77777777" w:rsidR="00A720EB" w:rsidRDefault="0030286B">
            <w:pPr>
              <w:pStyle w:val="TableParagraph"/>
              <w:spacing w:before="37"/>
              <w:rPr>
                <w:sz w:val="21"/>
              </w:rPr>
            </w:pPr>
            <w:r>
              <w:rPr>
                <w:color w:val="B02045"/>
                <w:sz w:val="21"/>
              </w:rPr>
              <w:t>org.glassfish.jersey.ext</w:t>
            </w:r>
          </w:p>
        </w:tc>
        <w:tc>
          <w:tcPr>
            <w:tcW w:w="3325" w:type="dxa"/>
          </w:tcPr>
          <w:p w14:paraId="5FD97A0A" w14:textId="77777777" w:rsidR="00A720EB" w:rsidRDefault="0030286B">
            <w:pPr>
              <w:pStyle w:val="TableParagraph"/>
              <w:spacing w:before="37"/>
              <w:rPr>
                <w:sz w:val="21"/>
              </w:rPr>
            </w:pPr>
            <w:r>
              <w:rPr>
                <w:color w:val="B02045"/>
                <w:sz w:val="21"/>
              </w:rPr>
              <w:t>jersey-mvc-mustache</w:t>
            </w:r>
          </w:p>
        </w:tc>
        <w:tc>
          <w:tcPr>
            <w:tcW w:w="3325" w:type="dxa"/>
          </w:tcPr>
          <w:p w14:paraId="352BAFE5" w14:textId="77777777" w:rsidR="00A720EB" w:rsidRDefault="0030286B">
            <w:pPr>
              <w:pStyle w:val="TableParagraph"/>
              <w:spacing w:before="37"/>
              <w:rPr>
                <w:sz w:val="21"/>
              </w:rPr>
            </w:pPr>
            <w:r>
              <w:rPr>
                <w:color w:val="B02045"/>
                <w:sz w:val="21"/>
              </w:rPr>
              <w:t>2.30.1</w:t>
            </w:r>
          </w:p>
        </w:tc>
      </w:tr>
      <w:tr w:rsidR="00A720EB" w14:paraId="1D85FB82" w14:textId="77777777">
        <w:trPr>
          <w:trHeight w:val="368"/>
        </w:trPr>
        <w:tc>
          <w:tcPr>
            <w:tcW w:w="3325" w:type="dxa"/>
          </w:tcPr>
          <w:p w14:paraId="0937EB6E" w14:textId="77777777" w:rsidR="00A720EB" w:rsidRDefault="0030286B">
            <w:pPr>
              <w:pStyle w:val="TableParagraph"/>
              <w:rPr>
                <w:sz w:val="21"/>
              </w:rPr>
            </w:pPr>
            <w:r>
              <w:rPr>
                <w:color w:val="B02045"/>
                <w:sz w:val="21"/>
              </w:rPr>
              <w:t>org.glassfish.jersey.ext</w:t>
            </w:r>
          </w:p>
        </w:tc>
        <w:tc>
          <w:tcPr>
            <w:tcW w:w="3325" w:type="dxa"/>
          </w:tcPr>
          <w:p w14:paraId="414F98ED" w14:textId="77777777" w:rsidR="00A720EB" w:rsidRDefault="0030286B">
            <w:pPr>
              <w:pStyle w:val="TableParagraph"/>
              <w:rPr>
                <w:sz w:val="21"/>
              </w:rPr>
            </w:pPr>
            <w:r>
              <w:rPr>
                <w:color w:val="B02045"/>
                <w:sz w:val="21"/>
              </w:rPr>
              <w:t>jersey-proxy-client</w:t>
            </w:r>
          </w:p>
        </w:tc>
        <w:tc>
          <w:tcPr>
            <w:tcW w:w="3325" w:type="dxa"/>
          </w:tcPr>
          <w:p w14:paraId="25AA9E41" w14:textId="77777777" w:rsidR="00A720EB" w:rsidRDefault="0030286B">
            <w:pPr>
              <w:pStyle w:val="TableParagraph"/>
              <w:rPr>
                <w:sz w:val="21"/>
              </w:rPr>
            </w:pPr>
            <w:r>
              <w:rPr>
                <w:color w:val="B02045"/>
                <w:sz w:val="21"/>
              </w:rPr>
              <w:t>2.30.1</w:t>
            </w:r>
          </w:p>
        </w:tc>
      </w:tr>
      <w:tr w:rsidR="00A720EB" w14:paraId="3FDC06CF" w14:textId="77777777">
        <w:trPr>
          <w:trHeight w:val="368"/>
        </w:trPr>
        <w:tc>
          <w:tcPr>
            <w:tcW w:w="3325" w:type="dxa"/>
          </w:tcPr>
          <w:p w14:paraId="380E602D" w14:textId="77777777" w:rsidR="00A720EB" w:rsidRDefault="0030286B">
            <w:pPr>
              <w:pStyle w:val="TableParagraph"/>
              <w:spacing w:before="37"/>
              <w:rPr>
                <w:sz w:val="21"/>
              </w:rPr>
            </w:pPr>
            <w:r>
              <w:rPr>
                <w:color w:val="B02045"/>
                <w:sz w:val="21"/>
              </w:rPr>
              <w:t>org.glassfish.jersey.ext</w:t>
            </w:r>
          </w:p>
        </w:tc>
        <w:tc>
          <w:tcPr>
            <w:tcW w:w="3325" w:type="dxa"/>
          </w:tcPr>
          <w:p w14:paraId="1A8C6FCC" w14:textId="77777777" w:rsidR="00A720EB" w:rsidRDefault="0030286B">
            <w:pPr>
              <w:pStyle w:val="TableParagraph"/>
              <w:spacing w:before="37"/>
              <w:rPr>
                <w:sz w:val="21"/>
              </w:rPr>
            </w:pPr>
            <w:r>
              <w:rPr>
                <w:color w:val="B02045"/>
                <w:sz w:val="21"/>
              </w:rPr>
              <w:t>jersey-servlet-portability</w:t>
            </w:r>
          </w:p>
        </w:tc>
        <w:tc>
          <w:tcPr>
            <w:tcW w:w="3325" w:type="dxa"/>
          </w:tcPr>
          <w:p w14:paraId="18A9A999" w14:textId="77777777" w:rsidR="00A720EB" w:rsidRDefault="0030286B">
            <w:pPr>
              <w:pStyle w:val="TableParagraph"/>
              <w:spacing w:before="37"/>
              <w:rPr>
                <w:sz w:val="21"/>
              </w:rPr>
            </w:pPr>
            <w:r>
              <w:rPr>
                <w:color w:val="B02045"/>
                <w:sz w:val="21"/>
              </w:rPr>
              <w:t>2.30.1</w:t>
            </w:r>
          </w:p>
        </w:tc>
      </w:tr>
      <w:tr w:rsidR="00A720EB" w14:paraId="3D109381" w14:textId="77777777">
        <w:trPr>
          <w:trHeight w:val="368"/>
        </w:trPr>
        <w:tc>
          <w:tcPr>
            <w:tcW w:w="3325" w:type="dxa"/>
          </w:tcPr>
          <w:p w14:paraId="76FDFDD3" w14:textId="77777777" w:rsidR="00A720EB" w:rsidRDefault="0030286B">
            <w:pPr>
              <w:pStyle w:val="TableParagraph"/>
              <w:rPr>
                <w:sz w:val="21"/>
              </w:rPr>
            </w:pPr>
            <w:r>
              <w:rPr>
                <w:color w:val="B02045"/>
                <w:sz w:val="21"/>
              </w:rPr>
              <w:t>org.glassfish.jersey.ext</w:t>
            </w:r>
          </w:p>
        </w:tc>
        <w:tc>
          <w:tcPr>
            <w:tcW w:w="3325" w:type="dxa"/>
          </w:tcPr>
          <w:p w14:paraId="08FF8490" w14:textId="77777777" w:rsidR="00A720EB" w:rsidRDefault="0030286B">
            <w:pPr>
              <w:pStyle w:val="TableParagraph"/>
              <w:rPr>
                <w:sz w:val="21"/>
              </w:rPr>
            </w:pPr>
            <w:r>
              <w:rPr>
                <w:color w:val="B02045"/>
                <w:sz w:val="21"/>
              </w:rPr>
              <w:t>jersey-spring4</w:t>
            </w:r>
          </w:p>
        </w:tc>
        <w:tc>
          <w:tcPr>
            <w:tcW w:w="3325" w:type="dxa"/>
          </w:tcPr>
          <w:p w14:paraId="4D8D33FF" w14:textId="77777777" w:rsidR="00A720EB" w:rsidRDefault="0030286B">
            <w:pPr>
              <w:pStyle w:val="TableParagraph"/>
              <w:rPr>
                <w:sz w:val="21"/>
              </w:rPr>
            </w:pPr>
            <w:r>
              <w:rPr>
                <w:color w:val="B02045"/>
                <w:sz w:val="21"/>
              </w:rPr>
              <w:t>2.30.1</w:t>
            </w:r>
          </w:p>
        </w:tc>
      </w:tr>
      <w:tr w:rsidR="00A720EB" w14:paraId="64C578BE" w14:textId="77777777">
        <w:trPr>
          <w:trHeight w:val="368"/>
        </w:trPr>
        <w:tc>
          <w:tcPr>
            <w:tcW w:w="3325" w:type="dxa"/>
          </w:tcPr>
          <w:p w14:paraId="3FF79BD9" w14:textId="77777777" w:rsidR="00A720EB" w:rsidRDefault="0030286B">
            <w:pPr>
              <w:pStyle w:val="TableParagraph"/>
              <w:spacing w:before="37"/>
              <w:rPr>
                <w:sz w:val="21"/>
              </w:rPr>
            </w:pPr>
            <w:r>
              <w:rPr>
                <w:color w:val="B02045"/>
                <w:sz w:val="21"/>
              </w:rPr>
              <w:t>org.glassfish.jersey.ext</w:t>
            </w:r>
          </w:p>
        </w:tc>
        <w:tc>
          <w:tcPr>
            <w:tcW w:w="3325" w:type="dxa"/>
          </w:tcPr>
          <w:p w14:paraId="1922A176" w14:textId="77777777" w:rsidR="00A720EB" w:rsidRDefault="0030286B">
            <w:pPr>
              <w:pStyle w:val="TableParagraph"/>
              <w:spacing w:before="37"/>
              <w:rPr>
                <w:sz w:val="21"/>
              </w:rPr>
            </w:pPr>
            <w:r>
              <w:rPr>
                <w:color w:val="B02045"/>
                <w:sz w:val="21"/>
              </w:rPr>
              <w:t>jersey-spring5</w:t>
            </w:r>
          </w:p>
        </w:tc>
        <w:tc>
          <w:tcPr>
            <w:tcW w:w="3325" w:type="dxa"/>
          </w:tcPr>
          <w:p w14:paraId="6098E63C" w14:textId="77777777" w:rsidR="00A720EB" w:rsidRDefault="0030286B">
            <w:pPr>
              <w:pStyle w:val="TableParagraph"/>
              <w:spacing w:before="37"/>
              <w:rPr>
                <w:sz w:val="21"/>
              </w:rPr>
            </w:pPr>
            <w:r>
              <w:rPr>
                <w:color w:val="B02045"/>
                <w:sz w:val="21"/>
              </w:rPr>
              <w:t>2.30.1</w:t>
            </w:r>
          </w:p>
        </w:tc>
      </w:tr>
      <w:tr w:rsidR="00A720EB" w14:paraId="397764DE" w14:textId="77777777">
        <w:trPr>
          <w:trHeight w:val="368"/>
        </w:trPr>
        <w:tc>
          <w:tcPr>
            <w:tcW w:w="3325" w:type="dxa"/>
          </w:tcPr>
          <w:p w14:paraId="06B5EEEA" w14:textId="77777777" w:rsidR="00A720EB" w:rsidRDefault="0030286B">
            <w:pPr>
              <w:pStyle w:val="TableParagraph"/>
              <w:rPr>
                <w:sz w:val="21"/>
              </w:rPr>
            </w:pPr>
            <w:r>
              <w:rPr>
                <w:color w:val="B02045"/>
                <w:sz w:val="21"/>
              </w:rPr>
              <w:t>org.glassfish.jersey.ext</w:t>
            </w:r>
          </w:p>
        </w:tc>
        <w:tc>
          <w:tcPr>
            <w:tcW w:w="3325" w:type="dxa"/>
          </w:tcPr>
          <w:p w14:paraId="0C9B2AFA" w14:textId="77777777" w:rsidR="00A720EB" w:rsidRDefault="0030286B">
            <w:pPr>
              <w:pStyle w:val="TableParagraph"/>
              <w:rPr>
                <w:sz w:val="21"/>
              </w:rPr>
            </w:pPr>
            <w:r>
              <w:rPr>
                <w:color w:val="B02045"/>
                <w:sz w:val="21"/>
              </w:rPr>
              <w:t>jersey-wadl-doclet</w:t>
            </w:r>
          </w:p>
        </w:tc>
        <w:tc>
          <w:tcPr>
            <w:tcW w:w="3325" w:type="dxa"/>
          </w:tcPr>
          <w:p w14:paraId="37CC737D" w14:textId="77777777" w:rsidR="00A720EB" w:rsidRDefault="0030286B">
            <w:pPr>
              <w:pStyle w:val="TableParagraph"/>
              <w:rPr>
                <w:sz w:val="21"/>
              </w:rPr>
            </w:pPr>
            <w:r>
              <w:rPr>
                <w:color w:val="B02045"/>
                <w:sz w:val="21"/>
              </w:rPr>
              <w:t>2.30.1</w:t>
            </w:r>
          </w:p>
        </w:tc>
      </w:tr>
      <w:tr w:rsidR="00A720EB" w14:paraId="33251E62" w14:textId="77777777">
        <w:trPr>
          <w:trHeight w:val="368"/>
        </w:trPr>
        <w:tc>
          <w:tcPr>
            <w:tcW w:w="3325" w:type="dxa"/>
          </w:tcPr>
          <w:p w14:paraId="3465660D" w14:textId="77777777" w:rsidR="00A720EB" w:rsidRDefault="0030286B">
            <w:pPr>
              <w:pStyle w:val="TableParagraph"/>
              <w:spacing w:before="37"/>
              <w:rPr>
                <w:sz w:val="21"/>
              </w:rPr>
            </w:pPr>
            <w:r>
              <w:rPr>
                <w:color w:val="B02045"/>
                <w:sz w:val="21"/>
              </w:rPr>
              <w:t>org.glassfish.jersey.ext.cdi</w:t>
            </w:r>
          </w:p>
        </w:tc>
        <w:tc>
          <w:tcPr>
            <w:tcW w:w="3325" w:type="dxa"/>
          </w:tcPr>
          <w:p w14:paraId="3108CC8D" w14:textId="77777777" w:rsidR="00A720EB" w:rsidRDefault="0030286B">
            <w:pPr>
              <w:pStyle w:val="TableParagraph"/>
              <w:spacing w:before="37"/>
              <w:rPr>
                <w:sz w:val="21"/>
              </w:rPr>
            </w:pPr>
            <w:r>
              <w:rPr>
                <w:color w:val="B02045"/>
                <w:sz w:val="21"/>
              </w:rPr>
              <w:t>jersey-cdi1x</w:t>
            </w:r>
          </w:p>
        </w:tc>
        <w:tc>
          <w:tcPr>
            <w:tcW w:w="3325" w:type="dxa"/>
          </w:tcPr>
          <w:p w14:paraId="399C102B" w14:textId="77777777" w:rsidR="00A720EB" w:rsidRDefault="0030286B">
            <w:pPr>
              <w:pStyle w:val="TableParagraph"/>
              <w:spacing w:before="37"/>
              <w:rPr>
                <w:sz w:val="21"/>
              </w:rPr>
            </w:pPr>
            <w:r>
              <w:rPr>
                <w:color w:val="B02045"/>
                <w:sz w:val="21"/>
              </w:rPr>
              <w:t>2.30.1</w:t>
            </w:r>
          </w:p>
        </w:tc>
      </w:tr>
      <w:tr w:rsidR="00A720EB" w14:paraId="0BED0381" w14:textId="77777777">
        <w:trPr>
          <w:trHeight w:val="627"/>
        </w:trPr>
        <w:tc>
          <w:tcPr>
            <w:tcW w:w="3325" w:type="dxa"/>
          </w:tcPr>
          <w:p w14:paraId="320B6A7F" w14:textId="77777777" w:rsidR="00A720EB" w:rsidRDefault="0030286B">
            <w:pPr>
              <w:pStyle w:val="TableParagraph"/>
              <w:rPr>
                <w:sz w:val="21"/>
              </w:rPr>
            </w:pPr>
            <w:r>
              <w:rPr>
                <w:color w:val="B02045"/>
                <w:sz w:val="21"/>
              </w:rPr>
              <w:t>org.glassfish.jersey.ext.cdi</w:t>
            </w:r>
          </w:p>
        </w:tc>
        <w:tc>
          <w:tcPr>
            <w:tcW w:w="3325" w:type="dxa"/>
          </w:tcPr>
          <w:p w14:paraId="7B015C41" w14:textId="77777777" w:rsidR="00A720EB" w:rsidRDefault="0030286B">
            <w:pPr>
              <w:pStyle w:val="TableParagraph"/>
              <w:spacing w:before="46" w:line="230" w:lineRule="auto"/>
              <w:ind w:right="295"/>
              <w:rPr>
                <w:sz w:val="21"/>
              </w:rPr>
            </w:pPr>
            <w:r>
              <w:rPr>
                <w:color w:val="B02045"/>
                <w:sz w:val="21"/>
              </w:rPr>
              <w:t>jersey-cdi1x-ban-custom-hk2- binding</w:t>
            </w:r>
          </w:p>
        </w:tc>
        <w:tc>
          <w:tcPr>
            <w:tcW w:w="3325" w:type="dxa"/>
          </w:tcPr>
          <w:p w14:paraId="7E3D2CCF" w14:textId="77777777" w:rsidR="00A720EB" w:rsidRDefault="0030286B">
            <w:pPr>
              <w:pStyle w:val="TableParagraph"/>
              <w:rPr>
                <w:sz w:val="21"/>
              </w:rPr>
            </w:pPr>
            <w:r>
              <w:rPr>
                <w:color w:val="B02045"/>
                <w:sz w:val="21"/>
              </w:rPr>
              <w:t>2.30.1</w:t>
            </w:r>
          </w:p>
        </w:tc>
      </w:tr>
      <w:tr w:rsidR="00A720EB" w14:paraId="7DA6C352" w14:textId="77777777">
        <w:trPr>
          <w:trHeight w:val="368"/>
        </w:trPr>
        <w:tc>
          <w:tcPr>
            <w:tcW w:w="3325" w:type="dxa"/>
          </w:tcPr>
          <w:p w14:paraId="1EAC1A8C" w14:textId="77777777" w:rsidR="00A720EB" w:rsidRDefault="0030286B">
            <w:pPr>
              <w:pStyle w:val="TableParagraph"/>
              <w:rPr>
                <w:sz w:val="21"/>
              </w:rPr>
            </w:pPr>
            <w:r>
              <w:rPr>
                <w:color w:val="B02045"/>
                <w:sz w:val="21"/>
              </w:rPr>
              <w:t>org.glassfish.jersey.ext.cdi</w:t>
            </w:r>
          </w:p>
        </w:tc>
        <w:tc>
          <w:tcPr>
            <w:tcW w:w="3325" w:type="dxa"/>
          </w:tcPr>
          <w:p w14:paraId="4B83268E" w14:textId="77777777" w:rsidR="00A720EB" w:rsidRDefault="0030286B">
            <w:pPr>
              <w:pStyle w:val="TableParagraph"/>
              <w:rPr>
                <w:sz w:val="21"/>
              </w:rPr>
            </w:pPr>
            <w:r>
              <w:rPr>
                <w:color w:val="B02045"/>
                <w:sz w:val="21"/>
              </w:rPr>
              <w:t>jersey-cdi1x-servlet</w:t>
            </w:r>
          </w:p>
        </w:tc>
        <w:tc>
          <w:tcPr>
            <w:tcW w:w="3325" w:type="dxa"/>
          </w:tcPr>
          <w:p w14:paraId="016AEA2F" w14:textId="77777777" w:rsidR="00A720EB" w:rsidRDefault="0030286B">
            <w:pPr>
              <w:pStyle w:val="TableParagraph"/>
              <w:rPr>
                <w:sz w:val="21"/>
              </w:rPr>
            </w:pPr>
            <w:r>
              <w:rPr>
                <w:color w:val="B02045"/>
                <w:sz w:val="21"/>
              </w:rPr>
              <w:t>2.30.1</w:t>
            </w:r>
          </w:p>
        </w:tc>
      </w:tr>
      <w:tr w:rsidR="00A720EB" w14:paraId="16F1860F" w14:textId="77777777">
        <w:trPr>
          <w:trHeight w:val="368"/>
        </w:trPr>
        <w:tc>
          <w:tcPr>
            <w:tcW w:w="3325" w:type="dxa"/>
          </w:tcPr>
          <w:p w14:paraId="01A00E1D" w14:textId="77777777" w:rsidR="00A720EB" w:rsidRDefault="0030286B">
            <w:pPr>
              <w:pStyle w:val="TableParagraph"/>
              <w:rPr>
                <w:sz w:val="21"/>
              </w:rPr>
            </w:pPr>
            <w:r>
              <w:rPr>
                <w:color w:val="B02045"/>
                <w:sz w:val="21"/>
              </w:rPr>
              <w:t>org.glassfish.jersey.ext.cdi</w:t>
            </w:r>
          </w:p>
        </w:tc>
        <w:tc>
          <w:tcPr>
            <w:tcW w:w="3325" w:type="dxa"/>
          </w:tcPr>
          <w:p w14:paraId="744A2E25" w14:textId="77777777" w:rsidR="00A720EB" w:rsidRDefault="0030286B">
            <w:pPr>
              <w:pStyle w:val="TableParagraph"/>
              <w:rPr>
                <w:sz w:val="21"/>
              </w:rPr>
            </w:pPr>
            <w:r>
              <w:rPr>
                <w:color w:val="B02045"/>
                <w:sz w:val="21"/>
              </w:rPr>
              <w:t>jersey-cdi1x-transaction</w:t>
            </w:r>
          </w:p>
        </w:tc>
        <w:tc>
          <w:tcPr>
            <w:tcW w:w="3325" w:type="dxa"/>
          </w:tcPr>
          <w:p w14:paraId="5CD949D0" w14:textId="77777777" w:rsidR="00A720EB" w:rsidRDefault="0030286B">
            <w:pPr>
              <w:pStyle w:val="TableParagraph"/>
              <w:rPr>
                <w:sz w:val="21"/>
              </w:rPr>
            </w:pPr>
            <w:r>
              <w:rPr>
                <w:color w:val="B02045"/>
                <w:sz w:val="21"/>
              </w:rPr>
              <w:t>2.30.1</w:t>
            </w:r>
          </w:p>
        </w:tc>
      </w:tr>
    </w:tbl>
    <w:p w14:paraId="4AB0AA97"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4E795187" w14:textId="77777777">
        <w:trPr>
          <w:trHeight w:val="415"/>
        </w:trPr>
        <w:tc>
          <w:tcPr>
            <w:tcW w:w="3325" w:type="dxa"/>
            <w:tcBorders>
              <w:bottom w:val="single" w:sz="12" w:space="0" w:color="DDDDDD"/>
            </w:tcBorders>
          </w:tcPr>
          <w:p w14:paraId="768D4515"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24A03BDA"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3224F289"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6BE94348" w14:textId="77777777">
        <w:trPr>
          <w:trHeight w:val="358"/>
        </w:trPr>
        <w:tc>
          <w:tcPr>
            <w:tcW w:w="3325" w:type="dxa"/>
            <w:tcBorders>
              <w:top w:val="single" w:sz="12" w:space="0" w:color="DDDDDD"/>
            </w:tcBorders>
          </w:tcPr>
          <w:p w14:paraId="1F398721" w14:textId="77777777" w:rsidR="00A720EB" w:rsidRDefault="0030286B">
            <w:pPr>
              <w:pStyle w:val="TableParagraph"/>
              <w:spacing w:before="27"/>
              <w:rPr>
                <w:sz w:val="21"/>
              </w:rPr>
            </w:pPr>
            <w:r>
              <w:rPr>
                <w:color w:val="B02045"/>
                <w:sz w:val="21"/>
              </w:rPr>
              <w:t>org.glassfish.jersey.ext.cdi</w:t>
            </w:r>
          </w:p>
        </w:tc>
        <w:tc>
          <w:tcPr>
            <w:tcW w:w="3325" w:type="dxa"/>
            <w:tcBorders>
              <w:top w:val="single" w:sz="12" w:space="0" w:color="DDDDDD"/>
            </w:tcBorders>
          </w:tcPr>
          <w:p w14:paraId="7D01C3B8" w14:textId="77777777" w:rsidR="00A720EB" w:rsidRDefault="0030286B">
            <w:pPr>
              <w:pStyle w:val="TableParagraph"/>
              <w:spacing w:before="27"/>
              <w:rPr>
                <w:sz w:val="21"/>
              </w:rPr>
            </w:pPr>
            <w:r>
              <w:rPr>
                <w:color w:val="B02045"/>
                <w:sz w:val="21"/>
              </w:rPr>
              <w:t>jersey-cdi1x-validation</w:t>
            </w:r>
          </w:p>
        </w:tc>
        <w:tc>
          <w:tcPr>
            <w:tcW w:w="3325" w:type="dxa"/>
            <w:tcBorders>
              <w:top w:val="single" w:sz="12" w:space="0" w:color="DDDDDD"/>
            </w:tcBorders>
          </w:tcPr>
          <w:p w14:paraId="47BE55AA" w14:textId="77777777" w:rsidR="00A720EB" w:rsidRDefault="0030286B">
            <w:pPr>
              <w:pStyle w:val="TableParagraph"/>
              <w:spacing w:before="27"/>
              <w:rPr>
                <w:sz w:val="21"/>
              </w:rPr>
            </w:pPr>
            <w:r>
              <w:rPr>
                <w:color w:val="B02045"/>
                <w:sz w:val="21"/>
              </w:rPr>
              <w:t>2.30.1</w:t>
            </w:r>
          </w:p>
        </w:tc>
      </w:tr>
      <w:tr w:rsidR="00A720EB" w14:paraId="35366696" w14:textId="77777777">
        <w:trPr>
          <w:trHeight w:val="368"/>
        </w:trPr>
        <w:tc>
          <w:tcPr>
            <w:tcW w:w="3325" w:type="dxa"/>
          </w:tcPr>
          <w:p w14:paraId="6EC709E7" w14:textId="77777777" w:rsidR="00A720EB" w:rsidRDefault="0030286B">
            <w:pPr>
              <w:pStyle w:val="TableParagraph"/>
              <w:spacing w:before="37"/>
              <w:rPr>
                <w:sz w:val="21"/>
              </w:rPr>
            </w:pPr>
            <w:r>
              <w:rPr>
                <w:color w:val="B02045"/>
                <w:sz w:val="21"/>
              </w:rPr>
              <w:t>org.glassfish.jersey.ext.cdi</w:t>
            </w:r>
          </w:p>
        </w:tc>
        <w:tc>
          <w:tcPr>
            <w:tcW w:w="3325" w:type="dxa"/>
          </w:tcPr>
          <w:p w14:paraId="64D3E0B8" w14:textId="77777777" w:rsidR="00A720EB" w:rsidRDefault="0030286B">
            <w:pPr>
              <w:pStyle w:val="TableParagraph"/>
              <w:spacing w:before="37"/>
              <w:rPr>
                <w:sz w:val="21"/>
              </w:rPr>
            </w:pPr>
            <w:r>
              <w:rPr>
                <w:color w:val="B02045"/>
                <w:sz w:val="21"/>
              </w:rPr>
              <w:t>jersey-weld2-se</w:t>
            </w:r>
          </w:p>
        </w:tc>
        <w:tc>
          <w:tcPr>
            <w:tcW w:w="3325" w:type="dxa"/>
          </w:tcPr>
          <w:p w14:paraId="2F60F226" w14:textId="77777777" w:rsidR="00A720EB" w:rsidRDefault="0030286B">
            <w:pPr>
              <w:pStyle w:val="TableParagraph"/>
              <w:spacing w:before="37"/>
              <w:rPr>
                <w:sz w:val="21"/>
              </w:rPr>
            </w:pPr>
            <w:r>
              <w:rPr>
                <w:color w:val="B02045"/>
                <w:sz w:val="21"/>
              </w:rPr>
              <w:t>2.30.1</w:t>
            </w:r>
          </w:p>
        </w:tc>
      </w:tr>
      <w:tr w:rsidR="00A720EB" w14:paraId="45F6BB3D" w14:textId="77777777">
        <w:trPr>
          <w:trHeight w:val="627"/>
        </w:trPr>
        <w:tc>
          <w:tcPr>
            <w:tcW w:w="3325" w:type="dxa"/>
          </w:tcPr>
          <w:p w14:paraId="030A469D" w14:textId="77777777" w:rsidR="00A720EB" w:rsidRDefault="0030286B">
            <w:pPr>
              <w:pStyle w:val="TableParagraph"/>
              <w:spacing w:before="46" w:line="230" w:lineRule="auto"/>
              <w:ind w:right="85"/>
              <w:rPr>
                <w:sz w:val="21"/>
              </w:rPr>
            </w:pPr>
            <w:proofErr w:type="gramStart"/>
            <w:r>
              <w:rPr>
                <w:color w:val="B02045"/>
                <w:sz w:val="21"/>
              </w:rPr>
              <w:t>org.glassfish.jersey.ext.micro</w:t>
            </w:r>
            <w:proofErr w:type="gramEnd"/>
            <w:r>
              <w:rPr>
                <w:color w:val="B02045"/>
                <w:sz w:val="21"/>
              </w:rPr>
              <w:t xml:space="preserve"> profile</w:t>
            </w:r>
          </w:p>
        </w:tc>
        <w:tc>
          <w:tcPr>
            <w:tcW w:w="3325" w:type="dxa"/>
          </w:tcPr>
          <w:p w14:paraId="3C439867" w14:textId="77777777" w:rsidR="00A720EB" w:rsidRDefault="0030286B">
            <w:pPr>
              <w:pStyle w:val="TableParagraph"/>
              <w:spacing w:before="37"/>
              <w:rPr>
                <w:sz w:val="21"/>
              </w:rPr>
            </w:pPr>
            <w:r>
              <w:rPr>
                <w:color w:val="B02045"/>
                <w:sz w:val="21"/>
              </w:rPr>
              <w:t>jersey-mp-config</w:t>
            </w:r>
          </w:p>
        </w:tc>
        <w:tc>
          <w:tcPr>
            <w:tcW w:w="3325" w:type="dxa"/>
          </w:tcPr>
          <w:p w14:paraId="083A7713" w14:textId="77777777" w:rsidR="00A720EB" w:rsidRDefault="0030286B">
            <w:pPr>
              <w:pStyle w:val="TableParagraph"/>
              <w:spacing w:before="37"/>
              <w:rPr>
                <w:sz w:val="21"/>
              </w:rPr>
            </w:pPr>
            <w:r>
              <w:rPr>
                <w:color w:val="B02045"/>
                <w:sz w:val="21"/>
              </w:rPr>
              <w:t>2.30.1</w:t>
            </w:r>
          </w:p>
        </w:tc>
      </w:tr>
      <w:tr w:rsidR="00A720EB" w14:paraId="0BDCD21E" w14:textId="77777777">
        <w:trPr>
          <w:trHeight w:val="627"/>
        </w:trPr>
        <w:tc>
          <w:tcPr>
            <w:tcW w:w="3325" w:type="dxa"/>
          </w:tcPr>
          <w:p w14:paraId="2579FADD" w14:textId="77777777" w:rsidR="00A720EB" w:rsidRDefault="0030286B">
            <w:pPr>
              <w:pStyle w:val="TableParagraph"/>
              <w:spacing w:before="46" w:line="230" w:lineRule="auto"/>
              <w:ind w:right="85"/>
              <w:rPr>
                <w:sz w:val="21"/>
              </w:rPr>
            </w:pPr>
            <w:proofErr w:type="gramStart"/>
            <w:r>
              <w:rPr>
                <w:color w:val="B02045"/>
                <w:sz w:val="21"/>
              </w:rPr>
              <w:t>org.glassfish.jersey.ext.micro</w:t>
            </w:r>
            <w:proofErr w:type="gramEnd"/>
            <w:r>
              <w:rPr>
                <w:color w:val="B02045"/>
                <w:sz w:val="21"/>
              </w:rPr>
              <w:t xml:space="preserve"> profile</w:t>
            </w:r>
          </w:p>
        </w:tc>
        <w:tc>
          <w:tcPr>
            <w:tcW w:w="3325" w:type="dxa"/>
          </w:tcPr>
          <w:p w14:paraId="5399B2BF" w14:textId="77777777" w:rsidR="00A720EB" w:rsidRDefault="0030286B">
            <w:pPr>
              <w:pStyle w:val="TableParagraph"/>
              <w:rPr>
                <w:sz w:val="21"/>
              </w:rPr>
            </w:pPr>
            <w:r>
              <w:rPr>
                <w:color w:val="B02045"/>
                <w:sz w:val="21"/>
              </w:rPr>
              <w:t>jersey-mp-rest-client</w:t>
            </w:r>
          </w:p>
        </w:tc>
        <w:tc>
          <w:tcPr>
            <w:tcW w:w="3325" w:type="dxa"/>
          </w:tcPr>
          <w:p w14:paraId="4A6B27A5" w14:textId="77777777" w:rsidR="00A720EB" w:rsidRDefault="0030286B">
            <w:pPr>
              <w:pStyle w:val="TableParagraph"/>
              <w:rPr>
                <w:sz w:val="21"/>
              </w:rPr>
            </w:pPr>
            <w:r>
              <w:rPr>
                <w:color w:val="B02045"/>
                <w:sz w:val="21"/>
              </w:rPr>
              <w:t>2.30.1</w:t>
            </w:r>
          </w:p>
        </w:tc>
      </w:tr>
      <w:tr w:rsidR="00A720EB" w14:paraId="4B67952E" w14:textId="77777777">
        <w:trPr>
          <w:trHeight w:val="368"/>
        </w:trPr>
        <w:tc>
          <w:tcPr>
            <w:tcW w:w="3325" w:type="dxa"/>
          </w:tcPr>
          <w:p w14:paraId="31756EF7" w14:textId="77777777" w:rsidR="00A720EB" w:rsidRDefault="0030286B">
            <w:pPr>
              <w:pStyle w:val="TableParagraph"/>
              <w:rPr>
                <w:sz w:val="21"/>
              </w:rPr>
            </w:pPr>
            <w:proofErr w:type="gramStart"/>
            <w:r>
              <w:rPr>
                <w:color w:val="B02045"/>
                <w:sz w:val="21"/>
              </w:rPr>
              <w:t>org.glassfish.jersey.ext.rx</w:t>
            </w:r>
            <w:proofErr w:type="gramEnd"/>
          </w:p>
        </w:tc>
        <w:tc>
          <w:tcPr>
            <w:tcW w:w="3325" w:type="dxa"/>
          </w:tcPr>
          <w:p w14:paraId="012EB7B3" w14:textId="77777777" w:rsidR="00A720EB" w:rsidRDefault="0030286B">
            <w:pPr>
              <w:pStyle w:val="TableParagraph"/>
              <w:rPr>
                <w:sz w:val="21"/>
              </w:rPr>
            </w:pPr>
            <w:r>
              <w:rPr>
                <w:color w:val="B02045"/>
                <w:sz w:val="21"/>
              </w:rPr>
              <w:t>jersey-rx-client-guava</w:t>
            </w:r>
          </w:p>
        </w:tc>
        <w:tc>
          <w:tcPr>
            <w:tcW w:w="3325" w:type="dxa"/>
          </w:tcPr>
          <w:p w14:paraId="784A09D1" w14:textId="77777777" w:rsidR="00A720EB" w:rsidRDefault="0030286B">
            <w:pPr>
              <w:pStyle w:val="TableParagraph"/>
              <w:rPr>
                <w:sz w:val="21"/>
              </w:rPr>
            </w:pPr>
            <w:r>
              <w:rPr>
                <w:color w:val="B02045"/>
                <w:sz w:val="21"/>
              </w:rPr>
              <w:t>2.30.1</w:t>
            </w:r>
          </w:p>
        </w:tc>
      </w:tr>
      <w:tr w:rsidR="00A720EB" w14:paraId="3D33A77A" w14:textId="77777777">
        <w:trPr>
          <w:trHeight w:val="368"/>
        </w:trPr>
        <w:tc>
          <w:tcPr>
            <w:tcW w:w="3325" w:type="dxa"/>
          </w:tcPr>
          <w:p w14:paraId="5FD2EDA3" w14:textId="77777777" w:rsidR="00A720EB" w:rsidRDefault="0030286B">
            <w:pPr>
              <w:pStyle w:val="TableParagraph"/>
              <w:spacing w:before="37"/>
              <w:rPr>
                <w:sz w:val="21"/>
              </w:rPr>
            </w:pPr>
            <w:proofErr w:type="gramStart"/>
            <w:r>
              <w:rPr>
                <w:color w:val="B02045"/>
                <w:sz w:val="21"/>
              </w:rPr>
              <w:t>org.glassfish.jersey.ext.rx</w:t>
            </w:r>
            <w:proofErr w:type="gramEnd"/>
          </w:p>
        </w:tc>
        <w:tc>
          <w:tcPr>
            <w:tcW w:w="3325" w:type="dxa"/>
          </w:tcPr>
          <w:p w14:paraId="39F35D95" w14:textId="77777777" w:rsidR="00A720EB" w:rsidRDefault="0030286B">
            <w:pPr>
              <w:pStyle w:val="TableParagraph"/>
              <w:spacing w:before="37"/>
              <w:rPr>
                <w:sz w:val="21"/>
              </w:rPr>
            </w:pPr>
            <w:r>
              <w:rPr>
                <w:color w:val="B02045"/>
                <w:sz w:val="21"/>
              </w:rPr>
              <w:t>jersey-rx-client-rxjava</w:t>
            </w:r>
          </w:p>
        </w:tc>
        <w:tc>
          <w:tcPr>
            <w:tcW w:w="3325" w:type="dxa"/>
          </w:tcPr>
          <w:p w14:paraId="4859EF06" w14:textId="77777777" w:rsidR="00A720EB" w:rsidRDefault="0030286B">
            <w:pPr>
              <w:pStyle w:val="TableParagraph"/>
              <w:spacing w:before="37"/>
              <w:rPr>
                <w:sz w:val="21"/>
              </w:rPr>
            </w:pPr>
            <w:r>
              <w:rPr>
                <w:color w:val="B02045"/>
                <w:sz w:val="21"/>
              </w:rPr>
              <w:t>2.30.1</w:t>
            </w:r>
          </w:p>
        </w:tc>
      </w:tr>
      <w:tr w:rsidR="00A720EB" w14:paraId="443C1B85" w14:textId="77777777">
        <w:trPr>
          <w:trHeight w:val="368"/>
        </w:trPr>
        <w:tc>
          <w:tcPr>
            <w:tcW w:w="3325" w:type="dxa"/>
          </w:tcPr>
          <w:p w14:paraId="01ACB530" w14:textId="77777777" w:rsidR="00A720EB" w:rsidRDefault="0030286B">
            <w:pPr>
              <w:pStyle w:val="TableParagraph"/>
              <w:spacing w:before="37"/>
              <w:rPr>
                <w:sz w:val="21"/>
              </w:rPr>
            </w:pPr>
            <w:proofErr w:type="gramStart"/>
            <w:r>
              <w:rPr>
                <w:color w:val="B02045"/>
                <w:sz w:val="21"/>
              </w:rPr>
              <w:t>org.glassfish.jersey.ext.rx</w:t>
            </w:r>
            <w:proofErr w:type="gramEnd"/>
          </w:p>
        </w:tc>
        <w:tc>
          <w:tcPr>
            <w:tcW w:w="3325" w:type="dxa"/>
          </w:tcPr>
          <w:p w14:paraId="59AF98F3" w14:textId="77777777" w:rsidR="00A720EB" w:rsidRDefault="0030286B">
            <w:pPr>
              <w:pStyle w:val="TableParagraph"/>
              <w:spacing w:before="37"/>
              <w:rPr>
                <w:sz w:val="21"/>
              </w:rPr>
            </w:pPr>
            <w:r>
              <w:rPr>
                <w:color w:val="B02045"/>
                <w:sz w:val="21"/>
              </w:rPr>
              <w:t>jersey-rx-client-rxjava2</w:t>
            </w:r>
          </w:p>
        </w:tc>
        <w:tc>
          <w:tcPr>
            <w:tcW w:w="3325" w:type="dxa"/>
          </w:tcPr>
          <w:p w14:paraId="408B8A0E" w14:textId="77777777" w:rsidR="00A720EB" w:rsidRDefault="0030286B">
            <w:pPr>
              <w:pStyle w:val="TableParagraph"/>
              <w:spacing w:before="37"/>
              <w:rPr>
                <w:sz w:val="21"/>
              </w:rPr>
            </w:pPr>
            <w:r>
              <w:rPr>
                <w:color w:val="B02045"/>
                <w:sz w:val="21"/>
              </w:rPr>
              <w:t>2.30.1</w:t>
            </w:r>
          </w:p>
        </w:tc>
      </w:tr>
      <w:tr w:rsidR="00A720EB" w14:paraId="1536C7A9" w14:textId="77777777">
        <w:trPr>
          <w:trHeight w:val="368"/>
        </w:trPr>
        <w:tc>
          <w:tcPr>
            <w:tcW w:w="3325" w:type="dxa"/>
          </w:tcPr>
          <w:p w14:paraId="50F88E63"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.jersey.inject</w:t>
            </w:r>
          </w:p>
        </w:tc>
        <w:tc>
          <w:tcPr>
            <w:tcW w:w="3325" w:type="dxa"/>
          </w:tcPr>
          <w:p w14:paraId="6A7B5A55" w14:textId="77777777" w:rsidR="00A720EB" w:rsidRDefault="0030286B">
            <w:pPr>
              <w:pStyle w:val="TableParagraph"/>
              <w:spacing w:before="37"/>
              <w:rPr>
                <w:sz w:val="21"/>
              </w:rPr>
            </w:pPr>
            <w:r>
              <w:rPr>
                <w:color w:val="B02045"/>
                <w:sz w:val="21"/>
              </w:rPr>
              <w:t>jersey-cdi2-se</w:t>
            </w:r>
          </w:p>
        </w:tc>
        <w:tc>
          <w:tcPr>
            <w:tcW w:w="3325" w:type="dxa"/>
          </w:tcPr>
          <w:p w14:paraId="19455E13" w14:textId="77777777" w:rsidR="00A720EB" w:rsidRDefault="0030286B">
            <w:pPr>
              <w:pStyle w:val="TableParagraph"/>
              <w:spacing w:before="37"/>
              <w:rPr>
                <w:sz w:val="21"/>
              </w:rPr>
            </w:pPr>
            <w:r>
              <w:rPr>
                <w:color w:val="B02045"/>
                <w:sz w:val="21"/>
              </w:rPr>
              <w:t>2.30.1</w:t>
            </w:r>
          </w:p>
        </w:tc>
      </w:tr>
      <w:tr w:rsidR="00A720EB" w14:paraId="62D2C38E" w14:textId="77777777">
        <w:trPr>
          <w:trHeight w:val="368"/>
        </w:trPr>
        <w:tc>
          <w:tcPr>
            <w:tcW w:w="3325" w:type="dxa"/>
          </w:tcPr>
          <w:p w14:paraId="7196602E"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.jersey.inject</w:t>
            </w:r>
          </w:p>
        </w:tc>
        <w:tc>
          <w:tcPr>
            <w:tcW w:w="3325" w:type="dxa"/>
          </w:tcPr>
          <w:p w14:paraId="30F4B0FC" w14:textId="77777777" w:rsidR="00A720EB" w:rsidRDefault="0030286B">
            <w:pPr>
              <w:pStyle w:val="TableParagraph"/>
              <w:spacing w:before="37"/>
              <w:rPr>
                <w:sz w:val="21"/>
              </w:rPr>
            </w:pPr>
            <w:r>
              <w:rPr>
                <w:color w:val="B02045"/>
                <w:sz w:val="21"/>
              </w:rPr>
              <w:t>jersey-hk2</w:t>
            </w:r>
          </w:p>
        </w:tc>
        <w:tc>
          <w:tcPr>
            <w:tcW w:w="3325" w:type="dxa"/>
          </w:tcPr>
          <w:p w14:paraId="36367928" w14:textId="77777777" w:rsidR="00A720EB" w:rsidRDefault="0030286B">
            <w:pPr>
              <w:pStyle w:val="TableParagraph"/>
              <w:spacing w:before="37"/>
              <w:rPr>
                <w:sz w:val="21"/>
              </w:rPr>
            </w:pPr>
            <w:r>
              <w:rPr>
                <w:color w:val="B02045"/>
                <w:sz w:val="21"/>
              </w:rPr>
              <w:t>2.30.1</w:t>
            </w:r>
          </w:p>
        </w:tc>
      </w:tr>
      <w:tr w:rsidR="00A720EB" w14:paraId="7E20FCEA" w14:textId="77777777">
        <w:trPr>
          <w:trHeight w:val="368"/>
        </w:trPr>
        <w:tc>
          <w:tcPr>
            <w:tcW w:w="3325" w:type="dxa"/>
          </w:tcPr>
          <w:p w14:paraId="4AA4F820" w14:textId="77777777" w:rsidR="00A720EB" w:rsidRDefault="0030286B">
            <w:pPr>
              <w:pStyle w:val="TableParagraph"/>
              <w:rPr>
                <w:sz w:val="21"/>
              </w:rPr>
            </w:pPr>
            <w:proofErr w:type="gramStart"/>
            <w:r>
              <w:rPr>
                <w:color w:val="B02045"/>
                <w:sz w:val="21"/>
              </w:rPr>
              <w:t>org.glassfish</w:t>
            </w:r>
            <w:proofErr w:type="gramEnd"/>
            <w:r>
              <w:rPr>
                <w:color w:val="B02045"/>
                <w:sz w:val="21"/>
              </w:rPr>
              <w:t>.jersey.media</w:t>
            </w:r>
          </w:p>
        </w:tc>
        <w:tc>
          <w:tcPr>
            <w:tcW w:w="3325" w:type="dxa"/>
          </w:tcPr>
          <w:p w14:paraId="35CFBFCA" w14:textId="77777777" w:rsidR="00A720EB" w:rsidRDefault="0030286B">
            <w:pPr>
              <w:pStyle w:val="TableParagraph"/>
              <w:rPr>
                <w:sz w:val="21"/>
              </w:rPr>
            </w:pPr>
            <w:r>
              <w:rPr>
                <w:color w:val="B02045"/>
                <w:sz w:val="21"/>
              </w:rPr>
              <w:t>jersey-media-jaxb</w:t>
            </w:r>
          </w:p>
        </w:tc>
        <w:tc>
          <w:tcPr>
            <w:tcW w:w="3325" w:type="dxa"/>
          </w:tcPr>
          <w:p w14:paraId="7DFD6BE4" w14:textId="77777777" w:rsidR="00A720EB" w:rsidRDefault="0030286B">
            <w:pPr>
              <w:pStyle w:val="TableParagraph"/>
              <w:rPr>
                <w:sz w:val="21"/>
              </w:rPr>
            </w:pPr>
            <w:r>
              <w:rPr>
                <w:color w:val="B02045"/>
                <w:sz w:val="21"/>
              </w:rPr>
              <w:t>2.30.1</w:t>
            </w:r>
          </w:p>
        </w:tc>
      </w:tr>
      <w:tr w:rsidR="00A720EB" w14:paraId="4FA9E78B" w14:textId="77777777">
        <w:trPr>
          <w:trHeight w:val="368"/>
        </w:trPr>
        <w:tc>
          <w:tcPr>
            <w:tcW w:w="3325" w:type="dxa"/>
          </w:tcPr>
          <w:p w14:paraId="52939D36" w14:textId="77777777" w:rsidR="00A720EB" w:rsidRDefault="0030286B">
            <w:pPr>
              <w:pStyle w:val="TableParagraph"/>
              <w:rPr>
                <w:sz w:val="21"/>
              </w:rPr>
            </w:pPr>
            <w:proofErr w:type="gramStart"/>
            <w:r>
              <w:rPr>
                <w:color w:val="B02045"/>
                <w:sz w:val="21"/>
              </w:rPr>
              <w:t>org.glassfish</w:t>
            </w:r>
            <w:proofErr w:type="gramEnd"/>
            <w:r>
              <w:rPr>
                <w:color w:val="B02045"/>
                <w:sz w:val="21"/>
              </w:rPr>
              <w:t>.jersey.media</w:t>
            </w:r>
          </w:p>
        </w:tc>
        <w:tc>
          <w:tcPr>
            <w:tcW w:w="3325" w:type="dxa"/>
          </w:tcPr>
          <w:p w14:paraId="0402F25E" w14:textId="77777777" w:rsidR="00A720EB" w:rsidRDefault="0030286B">
            <w:pPr>
              <w:pStyle w:val="TableParagraph"/>
              <w:rPr>
                <w:sz w:val="21"/>
              </w:rPr>
            </w:pPr>
            <w:r>
              <w:rPr>
                <w:color w:val="B02045"/>
                <w:sz w:val="21"/>
              </w:rPr>
              <w:t>jersey-media-json-binding</w:t>
            </w:r>
          </w:p>
        </w:tc>
        <w:tc>
          <w:tcPr>
            <w:tcW w:w="3325" w:type="dxa"/>
          </w:tcPr>
          <w:p w14:paraId="0018BA26" w14:textId="77777777" w:rsidR="00A720EB" w:rsidRDefault="0030286B">
            <w:pPr>
              <w:pStyle w:val="TableParagraph"/>
              <w:rPr>
                <w:sz w:val="21"/>
              </w:rPr>
            </w:pPr>
            <w:r>
              <w:rPr>
                <w:color w:val="B02045"/>
                <w:sz w:val="21"/>
              </w:rPr>
              <w:t>2.30.1</w:t>
            </w:r>
          </w:p>
        </w:tc>
      </w:tr>
      <w:tr w:rsidR="00A720EB" w14:paraId="4FB3C517" w14:textId="77777777">
        <w:trPr>
          <w:trHeight w:val="368"/>
        </w:trPr>
        <w:tc>
          <w:tcPr>
            <w:tcW w:w="3325" w:type="dxa"/>
          </w:tcPr>
          <w:p w14:paraId="4424B1FD" w14:textId="77777777" w:rsidR="00A720EB" w:rsidRDefault="0030286B">
            <w:pPr>
              <w:pStyle w:val="TableParagraph"/>
              <w:rPr>
                <w:sz w:val="21"/>
              </w:rPr>
            </w:pPr>
            <w:proofErr w:type="gramStart"/>
            <w:r>
              <w:rPr>
                <w:color w:val="B02045"/>
                <w:sz w:val="21"/>
              </w:rPr>
              <w:t>org.glassfish</w:t>
            </w:r>
            <w:proofErr w:type="gramEnd"/>
            <w:r>
              <w:rPr>
                <w:color w:val="B02045"/>
                <w:sz w:val="21"/>
              </w:rPr>
              <w:t>.jersey.media</w:t>
            </w:r>
          </w:p>
        </w:tc>
        <w:tc>
          <w:tcPr>
            <w:tcW w:w="3325" w:type="dxa"/>
          </w:tcPr>
          <w:p w14:paraId="4ECD0D01" w14:textId="77777777" w:rsidR="00A720EB" w:rsidRDefault="0030286B">
            <w:pPr>
              <w:pStyle w:val="TableParagraph"/>
              <w:rPr>
                <w:sz w:val="21"/>
              </w:rPr>
            </w:pPr>
            <w:r>
              <w:rPr>
                <w:color w:val="B02045"/>
                <w:sz w:val="21"/>
              </w:rPr>
              <w:t>jersey-media-json-jackson</w:t>
            </w:r>
          </w:p>
        </w:tc>
        <w:tc>
          <w:tcPr>
            <w:tcW w:w="3325" w:type="dxa"/>
          </w:tcPr>
          <w:p w14:paraId="2B78ADE4" w14:textId="77777777" w:rsidR="00A720EB" w:rsidRDefault="0030286B">
            <w:pPr>
              <w:pStyle w:val="TableParagraph"/>
              <w:rPr>
                <w:sz w:val="21"/>
              </w:rPr>
            </w:pPr>
            <w:r>
              <w:rPr>
                <w:color w:val="B02045"/>
                <w:sz w:val="21"/>
              </w:rPr>
              <w:t>2.30.1</w:t>
            </w:r>
          </w:p>
        </w:tc>
      </w:tr>
      <w:tr w:rsidR="00A720EB" w14:paraId="25282346" w14:textId="77777777">
        <w:trPr>
          <w:trHeight w:val="368"/>
        </w:trPr>
        <w:tc>
          <w:tcPr>
            <w:tcW w:w="3325" w:type="dxa"/>
          </w:tcPr>
          <w:p w14:paraId="3E9CE536" w14:textId="77777777" w:rsidR="00A720EB" w:rsidRDefault="0030286B">
            <w:pPr>
              <w:pStyle w:val="TableParagraph"/>
              <w:rPr>
                <w:sz w:val="21"/>
              </w:rPr>
            </w:pPr>
            <w:proofErr w:type="gramStart"/>
            <w:r>
              <w:rPr>
                <w:color w:val="B02045"/>
                <w:sz w:val="21"/>
              </w:rPr>
              <w:t>org.glassfish</w:t>
            </w:r>
            <w:proofErr w:type="gramEnd"/>
            <w:r>
              <w:rPr>
                <w:color w:val="B02045"/>
                <w:sz w:val="21"/>
              </w:rPr>
              <w:t>.jersey.media</w:t>
            </w:r>
          </w:p>
        </w:tc>
        <w:tc>
          <w:tcPr>
            <w:tcW w:w="3325" w:type="dxa"/>
          </w:tcPr>
          <w:p w14:paraId="24122B00" w14:textId="77777777" w:rsidR="00A720EB" w:rsidRDefault="0030286B">
            <w:pPr>
              <w:pStyle w:val="TableParagraph"/>
              <w:rPr>
                <w:sz w:val="21"/>
              </w:rPr>
            </w:pPr>
            <w:r>
              <w:rPr>
                <w:color w:val="B02045"/>
                <w:sz w:val="21"/>
              </w:rPr>
              <w:t>jersey-media-json-jackson1</w:t>
            </w:r>
          </w:p>
        </w:tc>
        <w:tc>
          <w:tcPr>
            <w:tcW w:w="3325" w:type="dxa"/>
          </w:tcPr>
          <w:p w14:paraId="6808656E" w14:textId="77777777" w:rsidR="00A720EB" w:rsidRDefault="0030286B">
            <w:pPr>
              <w:pStyle w:val="TableParagraph"/>
              <w:rPr>
                <w:sz w:val="21"/>
              </w:rPr>
            </w:pPr>
            <w:r>
              <w:rPr>
                <w:color w:val="B02045"/>
                <w:sz w:val="21"/>
              </w:rPr>
              <w:t>2.30.1</w:t>
            </w:r>
          </w:p>
        </w:tc>
      </w:tr>
      <w:tr w:rsidR="00A720EB" w14:paraId="5F9E0747" w14:textId="77777777">
        <w:trPr>
          <w:trHeight w:val="368"/>
        </w:trPr>
        <w:tc>
          <w:tcPr>
            <w:tcW w:w="3325" w:type="dxa"/>
          </w:tcPr>
          <w:p w14:paraId="0FDE0701" w14:textId="77777777" w:rsidR="00A720EB" w:rsidRDefault="0030286B">
            <w:pPr>
              <w:pStyle w:val="TableParagraph"/>
              <w:rPr>
                <w:sz w:val="21"/>
              </w:rPr>
            </w:pPr>
            <w:proofErr w:type="gramStart"/>
            <w:r>
              <w:rPr>
                <w:color w:val="B02045"/>
                <w:sz w:val="21"/>
              </w:rPr>
              <w:t>org.glassfish</w:t>
            </w:r>
            <w:proofErr w:type="gramEnd"/>
            <w:r>
              <w:rPr>
                <w:color w:val="B02045"/>
                <w:sz w:val="21"/>
              </w:rPr>
              <w:t>.jersey.media</w:t>
            </w:r>
          </w:p>
        </w:tc>
        <w:tc>
          <w:tcPr>
            <w:tcW w:w="3325" w:type="dxa"/>
          </w:tcPr>
          <w:p w14:paraId="53BF6B48" w14:textId="77777777" w:rsidR="00A720EB" w:rsidRDefault="0030286B">
            <w:pPr>
              <w:pStyle w:val="TableParagraph"/>
              <w:rPr>
                <w:sz w:val="21"/>
              </w:rPr>
            </w:pPr>
            <w:r>
              <w:rPr>
                <w:color w:val="B02045"/>
                <w:sz w:val="21"/>
              </w:rPr>
              <w:t>jersey-media-json-jettison</w:t>
            </w:r>
          </w:p>
        </w:tc>
        <w:tc>
          <w:tcPr>
            <w:tcW w:w="3325" w:type="dxa"/>
          </w:tcPr>
          <w:p w14:paraId="718392A7" w14:textId="77777777" w:rsidR="00A720EB" w:rsidRDefault="0030286B">
            <w:pPr>
              <w:pStyle w:val="TableParagraph"/>
              <w:rPr>
                <w:sz w:val="21"/>
              </w:rPr>
            </w:pPr>
            <w:r>
              <w:rPr>
                <w:color w:val="B02045"/>
                <w:sz w:val="21"/>
              </w:rPr>
              <w:t>2.30.1</w:t>
            </w:r>
          </w:p>
        </w:tc>
      </w:tr>
      <w:tr w:rsidR="00A720EB" w14:paraId="6F6A6EBA" w14:textId="77777777">
        <w:trPr>
          <w:trHeight w:val="368"/>
        </w:trPr>
        <w:tc>
          <w:tcPr>
            <w:tcW w:w="3325" w:type="dxa"/>
          </w:tcPr>
          <w:p w14:paraId="4C8A1D50" w14:textId="77777777" w:rsidR="00A720EB" w:rsidRDefault="0030286B">
            <w:pPr>
              <w:pStyle w:val="TableParagraph"/>
              <w:rPr>
                <w:sz w:val="21"/>
              </w:rPr>
            </w:pPr>
            <w:proofErr w:type="gramStart"/>
            <w:r>
              <w:rPr>
                <w:color w:val="B02045"/>
                <w:sz w:val="21"/>
              </w:rPr>
              <w:t>org.glassfish</w:t>
            </w:r>
            <w:proofErr w:type="gramEnd"/>
            <w:r>
              <w:rPr>
                <w:color w:val="B02045"/>
                <w:sz w:val="21"/>
              </w:rPr>
              <w:t>.jersey.media</w:t>
            </w:r>
          </w:p>
        </w:tc>
        <w:tc>
          <w:tcPr>
            <w:tcW w:w="3325" w:type="dxa"/>
          </w:tcPr>
          <w:p w14:paraId="69935CD4" w14:textId="77777777" w:rsidR="00A720EB" w:rsidRDefault="0030286B">
            <w:pPr>
              <w:pStyle w:val="TableParagraph"/>
              <w:rPr>
                <w:sz w:val="21"/>
              </w:rPr>
            </w:pPr>
            <w:r>
              <w:rPr>
                <w:color w:val="B02045"/>
                <w:sz w:val="21"/>
              </w:rPr>
              <w:t>jersey-media-json-processing</w:t>
            </w:r>
          </w:p>
        </w:tc>
        <w:tc>
          <w:tcPr>
            <w:tcW w:w="3325" w:type="dxa"/>
          </w:tcPr>
          <w:p w14:paraId="555D17E4" w14:textId="77777777" w:rsidR="00A720EB" w:rsidRDefault="0030286B">
            <w:pPr>
              <w:pStyle w:val="TableParagraph"/>
              <w:rPr>
                <w:sz w:val="21"/>
              </w:rPr>
            </w:pPr>
            <w:r>
              <w:rPr>
                <w:color w:val="B02045"/>
                <w:sz w:val="21"/>
              </w:rPr>
              <w:t>2.30.1</w:t>
            </w:r>
          </w:p>
        </w:tc>
      </w:tr>
      <w:tr w:rsidR="00A720EB" w14:paraId="5819B95C" w14:textId="77777777">
        <w:trPr>
          <w:trHeight w:val="368"/>
        </w:trPr>
        <w:tc>
          <w:tcPr>
            <w:tcW w:w="3325" w:type="dxa"/>
          </w:tcPr>
          <w:p w14:paraId="6126BACC"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.jersey.media</w:t>
            </w:r>
          </w:p>
        </w:tc>
        <w:tc>
          <w:tcPr>
            <w:tcW w:w="3325" w:type="dxa"/>
          </w:tcPr>
          <w:p w14:paraId="25D90D3C" w14:textId="77777777" w:rsidR="00A720EB" w:rsidRDefault="0030286B">
            <w:pPr>
              <w:pStyle w:val="TableParagraph"/>
              <w:spacing w:before="37"/>
              <w:rPr>
                <w:sz w:val="21"/>
              </w:rPr>
            </w:pPr>
            <w:r>
              <w:rPr>
                <w:color w:val="B02045"/>
                <w:sz w:val="21"/>
              </w:rPr>
              <w:t>jersey-media-kryo</w:t>
            </w:r>
          </w:p>
        </w:tc>
        <w:tc>
          <w:tcPr>
            <w:tcW w:w="3325" w:type="dxa"/>
          </w:tcPr>
          <w:p w14:paraId="12DD8A92" w14:textId="77777777" w:rsidR="00A720EB" w:rsidRDefault="0030286B">
            <w:pPr>
              <w:pStyle w:val="TableParagraph"/>
              <w:spacing w:before="37"/>
              <w:rPr>
                <w:sz w:val="21"/>
              </w:rPr>
            </w:pPr>
            <w:r>
              <w:rPr>
                <w:color w:val="B02045"/>
                <w:sz w:val="21"/>
              </w:rPr>
              <w:t>2.30.1</w:t>
            </w:r>
          </w:p>
        </w:tc>
      </w:tr>
      <w:tr w:rsidR="00A720EB" w14:paraId="5424445B" w14:textId="77777777">
        <w:trPr>
          <w:trHeight w:val="368"/>
        </w:trPr>
        <w:tc>
          <w:tcPr>
            <w:tcW w:w="3325" w:type="dxa"/>
          </w:tcPr>
          <w:p w14:paraId="6DE8F2B5"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.jersey.media</w:t>
            </w:r>
          </w:p>
        </w:tc>
        <w:tc>
          <w:tcPr>
            <w:tcW w:w="3325" w:type="dxa"/>
          </w:tcPr>
          <w:p w14:paraId="1CB4065D" w14:textId="77777777" w:rsidR="00A720EB" w:rsidRDefault="0030286B">
            <w:pPr>
              <w:pStyle w:val="TableParagraph"/>
              <w:spacing w:before="37"/>
              <w:rPr>
                <w:sz w:val="21"/>
              </w:rPr>
            </w:pPr>
            <w:r>
              <w:rPr>
                <w:color w:val="B02045"/>
                <w:sz w:val="21"/>
              </w:rPr>
              <w:t>jersey-media-moxy</w:t>
            </w:r>
          </w:p>
        </w:tc>
        <w:tc>
          <w:tcPr>
            <w:tcW w:w="3325" w:type="dxa"/>
          </w:tcPr>
          <w:p w14:paraId="4164D3F5" w14:textId="77777777" w:rsidR="00A720EB" w:rsidRDefault="0030286B">
            <w:pPr>
              <w:pStyle w:val="TableParagraph"/>
              <w:spacing w:before="37"/>
              <w:rPr>
                <w:sz w:val="21"/>
              </w:rPr>
            </w:pPr>
            <w:r>
              <w:rPr>
                <w:color w:val="B02045"/>
                <w:sz w:val="21"/>
              </w:rPr>
              <w:t>2.30.1</w:t>
            </w:r>
          </w:p>
        </w:tc>
      </w:tr>
      <w:tr w:rsidR="00A720EB" w14:paraId="5E4A4CBD" w14:textId="77777777">
        <w:trPr>
          <w:trHeight w:val="368"/>
        </w:trPr>
        <w:tc>
          <w:tcPr>
            <w:tcW w:w="3325" w:type="dxa"/>
          </w:tcPr>
          <w:p w14:paraId="0E5F358C"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.jersey.media</w:t>
            </w:r>
          </w:p>
        </w:tc>
        <w:tc>
          <w:tcPr>
            <w:tcW w:w="3325" w:type="dxa"/>
          </w:tcPr>
          <w:p w14:paraId="7595F135" w14:textId="77777777" w:rsidR="00A720EB" w:rsidRDefault="0030286B">
            <w:pPr>
              <w:pStyle w:val="TableParagraph"/>
              <w:spacing w:before="37"/>
              <w:rPr>
                <w:sz w:val="21"/>
              </w:rPr>
            </w:pPr>
            <w:r>
              <w:rPr>
                <w:color w:val="B02045"/>
                <w:sz w:val="21"/>
              </w:rPr>
              <w:t>jersey-media-multipart</w:t>
            </w:r>
          </w:p>
        </w:tc>
        <w:tc>
          <w:tcPr>
            <w:tcW w:w="3325" w:type="dxa"/>
          </w:tcPr>
          <w:p w14:paraId="145364AF" w14:textId="77777777" w:rsidR="00A720EB" w:rsidRDefault="0030286B">
            <w:pPr>
              <w:pStyle w:val="TableParagraph"/>
              <w:spacing w:before="37"/>
              <w:rPr>
                <w:sz w:val="21"/>
              </w:rPr>
            </w:pPr>
            <w:r>
              <w:rPr>
                <w:color w:val="B02045"/>
                <w:sz w:val="21"/>
              </w:rPr>
              <w:t>2.30.1</w:t>
            </w:r>
          </w:p>
        </w:tc>
      </w:tr>
      <w:tr w:rsidR="00A720EB" w14:paraId="6542E2DF" w14:textId="77777777">
        <w:trPr>
          <w:trHeight w:val="368"/>
        </w:trPr>
        <w:tc>
          <w:tcPr>
            <w:tcW w:w="3325" w:type="dxa"/>
          </w:tcPr>
          <w:p w14:paraId="636ECD38" w14:textId="77777777" w:rsidR="00A720EB" w:rsidRDefault="0030286B">
            <w:pPr>
              <w:pStyle w:val="TableParagraph"/>
              <w:rPr>
                <w:sz w:val="21"/>
              </w:rPr>
            </w:pPr>
            <w:proofErr w:type="gramStart"/>
            <w:r>
              <w:rPr>
                <w:color w:val="B02045"/>
                <w:sz w:val="21"/>
              </w:rPr>
              <w:t>org.glassfish</w:t>
            </w:r>
            <w:proofErr w:type="gramEnd"/>
            <w:r>
              <w:rPr>
                <w:color w:val="B02045"/>
                <w:sz w:val="21"/>
              </w:rPr>
              <w:t>.jersey.media</w:t>
            </w:r>
          </w:p>
        </w:tc>
        <w:tc>
          <w:tcPr>
            <w:tcW w:w="3325" w:type="dxa"/>
          </w:tcPr>
          <w:p w14:paraId="2CC3C007" w14:textId="77777777" w:rsidR="00A720EB" w:rsidRDefault="0030286B">
            <w:pPr>
              <w:pStyle w:val="TableParagraph"/>
              <w:rPr>
                <w:sz w:val="21"/>
              </w:rPr>
            </w:pPr>
            <w:r>
              <w:rPr>
                <w:color w:val="B02045"/>
                <w:sz w:val="21"/>
              </w:rPr>
              <w:t>jersey-media-sse</w:t>
            </w:r>
          </w:p>
        </w:tc>
        <w:tc>
          <w:tcPr>
            <w:tcW w:w="3325" w:type="dxa"/>
          </w:tcPr>
          <w:p w14:paraId="6CAA887C" w14:textId="77777777" w:rsidR="00A720EB" w:rsidRDefault="0030286B">
            <w:pPr>
              <w:pStyle w:val="TableParagraph"/>
              <w:rPr>
                <w:sz w:val="21"/>
              </w:rPr>
            </w:pPr>
            <w:r>
              <w:rPr>
                <w:color w:val="B02045"/>
                <w:sz w:val="21"/>
              </w:rPr>
              <w:t>2.30.1</w:t>
            </w:r>
          </w:p>
        </w:tc>
      </w:tr>
      <w:tr w:rsidR="00A720EB" w14:paraId="6E0DFE43" w14:textId="77777777">
        <w:trPr>
          <w:trHeight w:val="368"/>
        </w:trPr>
        <w:tc>
          <w:tcPr>
            <w:tcW w:w="3325" w:type="dxa"/>
          </w:tcPr>
          <w:p w14:paraId="52067F85" w14:textId="77777777" w:rsidR="00A720EB" w:rsidRDefault="0030286B">
            <w:pPr>
              <w:pStyle w:val="TableParagraph"/>
              <w:rPr>
                <w:sz w:val="21"/>
              </w:rPr>
            </w:pPr>
            <w:proofErr w:type="gramStart"/>
            <w:r>
              <w:rPr>
                <w:color w:val="B02045"/>
                <w:sz w:val="21"/>
              </w:rPr>
              <w:t>org.glassfish</w:t>
            </w:r>
            <w:proofErr w:type="gramEnd"/>
            <w:r>
              <w:rPr>
                <w:color w:val="B02045"/>
                <w:sz w:val="21"/>
              </w:rPr>
              <w:t>.jersey.security</w:t>
            </w:r>
          </w:p>
        </w:tc>
        <w:tc>
          <w:tcPr>
            <w:tcW w:w="3325" w:type="dxa"/>
          </w:tcPr>
          <w:p w14:paraId="5E56EA7B" w14:textId="77777777" w:rsidR="00A720EB" w:rsidRDefault="0030286B">
            <w:pPr>
              <w:pStyle w:val="TableParagraph"/>
              <w:rPr>
                <w:sz w:val="21"/>
              </w:rPr>
            </w:pPr>
            <w:r>
              <w:rPr>
                <w:color w:val="B02045"/>
                <w:sz w:val="21"/>
              </w:rPr>
              <w:t>oauth1-client</w:t>
            </w:r>
          </w:p>
        </w:tc>
        <w:tc>
          <w:tcPr>
            <w:tcW w:w="3325" w:type="dxa"/>
          </w:tcPr>
          <w:p w14:paraId="476E505E" w14:textId="77777777" w:rsidR="00A720EB" w:rsidRDefault="0030286B">
            <w:pPr>
              <w:pStyle w:val="TableParagraph"/>
              <w:rPr>
                <w:sz w:val="21"/>
              </w:rPr>
            </w:pPr>
            <w:r>
              <w:rPr>
                <w:color w:val="B02045"/>
                <w:sz w:val="21"/>
              </w:rPr>
              <w:t>2.30.1</w:t>
            </w:r>
          </w:p>
        </w:tc>
      </w:tr>
      <w:tr w:rsidR="00A720EB" w14:paraId="27B427A7" w14:textId="77777777">
        <w:trPr>
          <w:trHeight w:val="368"/>
        </w:trPr>
        <w:tc>
          <w:tcPr>
            <w:tcW w:w="3325" w:type="dxa"/>
          </w:tcPr>
          <w:p w14:paraId="29E0418F"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.jersey.security</w:t>
            </w:r>
          </w:p>
        </w:tc>
        <w:tc>
          <w:tcPr>
            <w:tcW w:w="3325" w:type="dxa"/>
          </w:tcPr>
          <w:p w14:paraId="1B3FD01C" w14:textId="77777777" w:rsidR="00A720EB" w:rsidRDefault="0030286B">
            <w:pPr>
              <w:pStyle w:val="TableParagraph"/>
              <w:spacing w:before="37"/>
              <w:rPr>
                <w:sz w:val="21"/>
              </w:rPr>
            </w:pPr>
            <w:r>
              <w:rPr>
                <w:color w:val="B02045"/>
                <w:sz w:val="21"/>
              </w:rPr>
              <w:t>oauth1-server</w:t>
            </w:r>
          </w:p>
        </w:tc>
        <w:tc>
          <w:tcPr>
            <w:tcW w:w="3325" w:type="dxa"/>
          </w:tcPr>
          <w:p w14:paraId="7A1F8EBF" w14:textId="77777777" w:rsidR="00A720EB" w:rsidRDefault="0030286B">
            <w:pPr>
              <w:pStyle w:val="TableParagraph"/>
              <w:spacing w:before="37"/>
              <w:rPr>
                <w:sz w:val="21"/>
              </w:rPr>
            </w:pPr>
            <w:r>
              <w:rPr>
                <w:color w:val="B02045"/>
                <w:sz w:val="21"/>
              </w:rPr>
              <w:t>2.30.1</w:t>
            </w:r>
          </w:p>
        </w:tc>
      </w:tr>
      <w:tr w:rsidR="00A720EB" w14:paraId="64D3A58B" w14:textId="77777777">
        <w:trPr>
          <w:trHeight w:val="368"/>
        </w:trPr>
        <w:tc>
          <w:tcPr>
            <w:tcW w:w="3325" w:type="dxa"/>
          </w:tcPr>
          <w:p w14:paraId="45620BA8" w14:textId="77777777" w:rsidR="00A720EB" w:rsidRDefault="0030286B">
            <w:pPr>
              <w:pStyle w:val="TableParagraph"/>
              <w:spacing w:before="37"/>
              <w:rPr>
                <w:sz w:val="21"/>
              </w:rPr>
            </w:pPr>
            <w:proofErr w:type="gramStart"/>
            <w:r>
              <w:rPr>
                <w:color w:val="B02045"/>
                <w:sz w:val="21"/>
              </w:rPr>
              <w:t>org.glassfish</w:t>
            </w:r>
            <w:proofErr w:type="gramEnd"/>
            <w:r>
              <w:rPr>
                <w:color w:val="B02045"/>
                <w:sz w:val="21"/>
              </w:rPr>
              <w:t>.jersey.security</w:t>
            </w:r>
          </w:p>
        </w:tc>
        <w:tc>
          <w:tcPr>
            <w:tcW w:w="3325" w:type="dxa"/>
          </w:tcPr>
          <w:p w14:paraId="5D660BA3" w14:textId="77777777" w:rsidR="00A720EB" w:rsidRDefault="0030286B">
            <w:pPr>
              <w:pStyle w:val="TableParagraph"/>
              <w:spacing w:before="37"/>
              <w:rPr>
                <w:sz w:val="21"/>
              </w:rPr>
            </w:pPr>
            <w:r>
              <w:rPr>
                <w:color w:val="B02045"/>
                <w:sz w:val="21"/>
              </w:rPr>
              <w:t>oauth1-signature</w:t>
            </w:r>
          </w:p>
        </w:tc>
        <w:tc>
          <w:tcPr>
            <w:tcW w:w="3325" w:type="dxa"/>
          </w:tcPr>
          <w:p w14:paraId="2ED963BA" w14:textId="77777777" w:rsidR="00A720EB" w:rsidRDefault="0030286B">
            <w:pPr>
              <w:pStyle w:val="TableParagraph"/>
              <w:spacing w:before="37"/>
              <w:rPr>
                <w:sz w:val="21"/>
              </w:rPr>
            </w:pPr>
            <w:r>
              <w:rPr>
                <w:color w:val="B02045"/>
                <w:sz w:val="21"/>
              </w:rPr>
              <w:t>2.30.1</w:t>
            </w:r>
          </w:p>
        </w:tc>
      </w:tr>
      <w:tr w:rsidR="00A720EB" w14:paraId="75A796FD" w14:textId="77777777">
        <w:trPr>
          <w:trHeight w:val="368"/>
        </w:trPr>
        <w:tc>
          <w:tcPr>
            <w:tcW w:w="3325" w:type="dxa"/>
          </w:tcPr>
          <w:p w14:paraId="2682B092" w14:textId="77777777" w:rsidR="00A720EB" w:rsidRDefault="0030286B">
            <w:pPr>
              <w:pStyle w:val="TableParagraph"/>
              <w:rPr>
                <w:sz w:val="21"/>
              </w:rPr>
            </w:pPr>
            <w:proofErr w:type="gramStart"/>
            <w:r>
              <w:rPr>
                <w:color w:val="B02045"/>
                <w:sz w:val="21"/>
              </w:rPr>
              <w:t>org.glassfish</w:t>
            </w:r>
            <w:proofErr w:type="gramEnd"/>
            <w:r>
              <w:rPr>
                <w:color w:val="B02045"/>
                <w:sz w:val="21"/>
              </w:rPr>
              <w:t>.jersey.security</w:t>
            </w:r>
          </w:p>
        </w:tc>
        <w:tc>
          <w:tcPr>
            <w:tcW w:w="3325" w:type="dxa"/>
          </w:tcPr>
          <w:p w14:paraId="7EBC9A2A" w14:textId="77777777" w:rsidR="00A720EB" w:rsidRDefault="0030286B">
            <w:pPr>
              <w:pStyle w:val="TableParagraph"/>
              <w:rPr>
                <w:sz w:val="21"/>
              </w:rPr>
            </w:pPr>
            <w:r>
              <w:rPr>
                <w:color w:val="B02045"/>
                <w:sz w:val="21"/>
              </w:rPr>
              <w:t>oauth2-client</w:t>
            </w:r>
          </w:p>
        </w:tc>
        <w:tc>
          <w:tcPr>
            <w:tcW w:w="3325" w:type="dxa"/>
          </w:tcPr>
          <w:p w14:paraId="24734840" w14:textId="77777777" w:rsidR="00A720EB" w:rsidRDefault="0030286B">
            <w:pPr>
              <w:pStyle w:val="TableParagraph"/>
              <w:rPr>
                <w:sz w:val="21"/>
              </w:rPr>
            </w:pPr>
            <w:r>
              <w:rPr>
                <w:color w:val="B02045"/>
                <w:sz w:val="21"/>
              </w:rPr>
              <w:t>2.30.1</w:t>
            </w:r>
          </w:p>
        </w:tc>
      </w:tr>
      <w:tr w:rsidR="00A720EB" w14:paraId="1615D0ED" w14:textId="77777777">
        <w:trPr>
          <w:trHeight w:val="627"/>
        </w:trPr>
        <w:tc>
          <w:tcPr>
            <w:tcW w:w="3325" w:type="dxa"/>
          </w:tcPr>
          <w:p w14:paraId="39585CA6" w14:textId="77777777" w:rsidR="00A720EB" w:rsidRDefault="0030286B">
            <w:pPr>
              <w:pStyle w:val="TableParagraph"/>
              <w:spacing w:before="46" w:line="230" w:lineRule="auto"/>
              <w:ind w:right="505"/>
              <w:rPr>
                <w:sz w:val="21"/>
              </w:rPr>
            </w:pPr>
            <w:proofErr w:type="gramStart"/>
            <w:r>
              <w:rPr>
                <w:color w:val="B02045"/>
                <w:sz w:val="21"/>
              </w:rPr>
              <w:t>org.glassfish</w:t>
            </w:r>
            <w:proofErr w:type="gramEnd"/>
            <w:r>
              <w:rPr>
                <w:color w:val="B02045"/>
                <w:sz w:val="21"/>
              </w:rPr>
              <w:t>.jersey.test- framework</w:t>
            </w:r>
          </w:p>
        </w:tc>
        <w:tc>
          <w:tcPr>
            <w:tcW w:w="3325" w:type="dxa"/>
          </w:tcPr>
          <w:p w14:paraId="0DE72626" w14:textId="77777777" w:rsidR="00A720EB" w:rsidRDefault="0030286B">
            <w:pPr>
              <w:pStyle w:val="TableParagraph"/>
              <w:rPr>
                <w:sz w:val="21"/>
              </w:rPr>
            </w:pPr>
            <w:r>
              <w:rPr>
                <w:color w:val="B02045"/>
                <w:sz w:val="21"/>
              </w:rPr>
              <w:t>jersey-test-framework-core</w:t>
            </w:r>
          </w:p>
        </w:tc>
        <w:tc>
          <w:tcPr>
            <w:tcW w:w="3325" w:type="dxa"/>
          </w:tcPr>
          <w:p w14:paraId="77AF2B1C" w14:textId="77777777" w:rsidR="00A720EB" w:rsidRDefault="0030286B">
            <w:pPr>
              <w:pStyle w:val="TableParagraph"/>
              <w:rPr>
                <w:sz w:val="21"/>
              </w:rPr>
            </w:pPr>
            <w:r>
              <w:rPr>
                <w:color w:val="B02045"/>
                <w:sz w:val="21"/>
              </w:rPr>
              <w:t>2.30.1</w:t>
            </w:r>
          </w:p>
        </w:tc>
      </w:tr>
      <w:tr w:rsidR="00A720EB" w14:paraId="26E92210" w14:textId="77777777">
        <w:trPr>
          <w:trHeight w:val="627"/>
        </w:trPr>
        <w:tc>
          <w:tcPr>
            <w:tcW w:w="3325" w:type="dxa"/>
          </w:tcPr>
          <w:p w14:paraId="5DFCE265" w14:textId="77777777" w:rsidR="00A720EB" w:rsidRDefault="0030286B">
            <w:pPr>
              <w:pStyle w:val="TableParagraph"/>
              <w:spacing w:before="46" w:line="230" w:lineRule="auto"/>
              <w:ind w:right="505"/>
              <w:rPr>
                <w:sz w:val="21"/>
              </w:rPr>
            </w:pPr>
            <w:proofErr w:type="gramStart"/>
            <w:r>
              <w:rPr>
                <w:color w:val="B02045"/>
                <w:sz w:val="21"/>
              </w:rPr>
              <w:t>org.glassfish</w:t>
            </w:r>
            <w:proofErr w:type="gramEnd"/>
            <w:r>
              <w:rPr>
                <w:color w:val="B02045"/>
                <w:sz w:val="21"/>
              </w:rPr>
              <w:t>.jersey.test- framework</w:t>
            </w:r>
          </w:p>
        </w:tc>
        <w:tc>
          <w:tcPr>
            <w:tcW w:w="3325" w:type="dxa"/>
          </w:tcPr>
          <w:p w14:paraId="498635C6" w14:textId="77777777" w:rsidR="00A720EB" w:rsidRDefault="0030286B">
            <w:pPr>
              <w:pStyle w:val="TableParagraph"/>
              <w:spacing w:before="37"/>
              <w:rPr>
                <w:sz w:val="21"/>
              </w:rPr>
            </w:pPr>
            <w:r>
              <w:rPr>
                <w:color w:val="B02045"/>
                <w:sz w:val="21"/>
              </w:rPr>
              <w:t>jersey-test-framework-util</w:t>
            </w:r>
          </w:p>
        </w:tc>
        <w:tc>
          <w:tcPr>
            <w:tcW w:w="3325" w:type="dxa"/>
          </w:tcPr>
          <w:p w14:paraId="3CC9DB26" w14:textId="77777777" w:rsidR="00A720EB" w:rsidRDefault="0030286B">
            <w:pPr>
              <w:pStyle w:val="TableParagraph"/>
              <w:spacing w:before="37"/>
              <w:rPr>
                <w:sz w:val="21"/>
              </w:rPr>
            </w:pPr>
            <w:r>
              <w:rPr>
                <w:color w:val="B02045"/>
                <w:sz w:val="21"/>
              </w:rPr>
              <w:t>2.30.1</w:t>
            </w:r>
          </w:p>
        </w:tc>
      </w:tr>
      <w:tr w:rsidR="00A720EB" w14:paraId="5DAEBBEF" w14:textId="77777777">
        <w:trPr>
          <w:trHeight w:val="627"/>
        </w:trPr>
        <w:tc>
          <w:tcPr>
            <w:tcW w:w="3325" w:type="dxa"/>
          </w:tcPr>
          <w:p w14:paraId="58CC90CF" w14:textId="77777777" w:rsidR="00A720EB" w:rsidRDefault="0030286B">
            <w:pPr>
              <w:pStyle w:val="TableParagraph"/>
              <w:spacing w:before="46" w:line="230" w:lineRule="auto"/>
              <w:ind w:right="505"/>
              <w:rPr>
                <w:sz w:val="21"/>
              </w:rPr>
            </w:pPr>
            <w:proofErr w:type="gramStart"/>
            <w:r>
              <w:rPr>
                <w:color w:val="B02045"/>
                <w:sz w:val="21"/>
              </w:rPr>
              <w:t>org.glassfish</w:t>
            </w:r>
            <w:proofErr w:type="gramEnd"/>
            <w:r>
              <w:rPr>
                <w:color w:val="B02045"/>
                <w:sz w:val="21"/>
              </w:rPr>
              <w:t>.jersey.test- framework.providers</w:t>
            </w:r>
          </w:p>
        </w:tc>
        <w:tc>
          <w:tcPr>
            <w:tcW w:w="3325" w:type="dxa"/>
          </w:tcPr>
          <w:p w14:paraId="3ADC3C9A" w14:textId="77777777" w:rsidR="00A720EB" w:rsidRDefault="0030286B">
            <w:pPr>
              <w:pStyle w:val="TableParagraph"/>
              <w:spacing w:before="46" w:line="230" w:lineRule="auto"/>
              <w:ind w:right="942"/>
              <w:rPr>
                <w:sz w:val="21"/>
              </w:rPr>
            </w:pPr>
            <w:r>
              <w:rPr>
                <w:color w:val="B02045"/>
                <w:sz w:val="21"/>
              </w:rPr>
              <w:t>jersey-test-framework- provider-bundle</w:t>
            </w:r>
          </w:p>
        </w:tc>
        <w:tc>
          <w:tcPr>
            <w:tcW w:w="3325" w:type="dxa"/>
          </w:tcPr>
          <w:p w14:paraId="2E0DACE6" w14:textId="77777777" w:rsidR="00A720EB" w:rsidRDefault="0030286B">
            <w:pPr>
              <w:pStyle w:val="TableParagraph"/>
              <w:spacing w:before="37"/>
              <w:rPr>
                <w:sz w:val="21"/>
              </w:rPr>
            </w:pPr>
            <w:r>
              <w:rPr>
                <w:color w:val="B02045"/>
                <w:sz w:val="21"/>
              </w:rPr>
              <w:t>2.30.1</w:t>
            </w:r>
          </w:p>
        </w:tc>
      </w:tr>
      <w:tr w:rsidR="00A720EB" w14:paraId="3F699C2E" w14:textId="77777777">
        <w:trPr>
          <w:trHeight w:val="627"/>
        </w:trPr>
        <w:tc>
          <w:tcPr>
            <w:tcW w:w="3325" w:type="dxa"/>
          </w:tcPr>
          <w:p w14:paraId="136CAB80" w14:textId="77777777" w:rsidR="00A720EB" w:rsidRDefault="0030286B">
            <w:pPr>
              <w:pStyle w:val="TableParagraph"/>
              <w:spacing w:before="46" w:line="230" w:lineRule="auto"/>
              <w:ind w:right="505"/>
              <w:rPr>
                <w:sz w:val="21"/>
              </w:rPr>
            </w:pPr>
            <w:proofErr w:type="gramStart"/>
            <w:r>
              <w:rPr>
                <w:color w:val="B02045"/>
                <w:sz w:val="21"/>
              </w:rPr>
              <w:t>org.glassfish</w:t>
            </w:r>
            <w:proofErr w:type="gramEnd"/>
            <w:r>
              <w:rPr>
                <w:color w:val="B02045"/>
                <w:sz w:val="21"/>
              </w:rPr>
              <w:t>.jersey.test- framework.providers</w:t>
            </w:r>
          </w:p>
        </w:tc>
        <w:tc>
          <w:tcPr>
            <w:tcW w:w="3325" w:type="dxa"/>
          </w:tcPr>
          <w:p w14:paraId="4AFC01A6" w14:textId="77777777" w:rsidR="00A720EB" w:rsidRDefault="0030286B">
            <w:pPr>
              <w:pStyle w:val="TableParagraph"/>
              <w:spacing w:before="46" w:line="230" w:lineRule="auto"/>
              <w:ind w:right="942"/>
              <w:rPr>
                <w:sz w:val="21"/>
              </w:rPr>
            </w:pPr>
            <w:r>
              <w:rPr>
                <w:color w:val="B02045"/>
                <w:sz w:val="21"/>
              </w:rPr>
              <w:t>jersey-test-framework- provider-external</w:t>
            </w:r>
          </w:p>
        </w:tc>
        <w:tc>
          <w:tcPr>
            <w:tcW w:w="3325" w:type="dxa"/>
          </w:tcPr>
          <w:p w14:paraId="40D82754" w14:textId="77777777" w:rsidR="00A720EB" w:rsidRDefault="0030286B">
            <w:pPr>
              <w:pStyle w:val="TableParagraph"/>
              <w:spacing w:before="37"/>
              <w:rPr>
                <w:sz w:val="21"/>
              </w:rPr>
            </w:pPr>
            <w:r>
              <w:rPr>
                <w:color w:val="B02045"/>
                <w:sz w:val="21"/>
              </w:rPr>
              <w:t>2.30.1</w:t>
            </w:r>
          </w:p>
        </w:tc>
      </w:tr>
      <w:tr w:rsidR="00A720EB" w14:paraId="4CD7020D" w14:textId="77777777">
        <w:trPr>
          <w:trHeight w:val="627"/>
        </w:trPr>
        <w:tc>
          <w:tcPr>
            <w:tcW w:w="3325" w:type="dxa"/>
          </w:tcPr>
          <w:p w14:paraId="5199624F" w14:textId="77777777" w:rsidR="00A720EB" w:rsidRDefault="0030286B">
            <w:pPr>
              <w:pStyle w:val="TableParagraph"/>
              <w:spacing w:before="46" w:line="230" w:lineRule="auto"/>
              <w:ind w:right="505"/>
              <w:rPr>
                <w:sz w:val="21"/>
              </w:rPr>
            </w:pPr>
            <w:proofErr w:type="gramStart"/>
            <w:r>
              <w:rPr>
                <w:color w:val="B02045"/>
                <w:sz w:val="21"/>
              </w:rPr>
              <w:t>org.glassfish</w:t>
            </w:r>
            <w:proofErr w:type="gramEnd"/>
            <w:r>
              <w:rPr>
                <w:color w:val="B02045"/>
                <w:sz w:val="21"/>
              </w:rPr>
              <w:t>.jersey.test- framework.providers</w:t>
            </w:r>
          </w:p>
        </w:tc>
        <w:tc>
          <w:tcPr>
            <w:tcW w:w="3325" w:type="dxa"/>
          </w:tcPr>
          <w:p w14:paraId="045D4320" w14:textId="77777777" w:rsidR="00A720EB" w:rsidRDefault="0030286B">
            <w:pPr>
              <w:pStyle w:val="TableParagraph"/>
              <w:spacing w:before="46" w:line="230" w:lineRule="auto"/>
              <w:ind w:right="942"/>
              <w:rPr>
                <w:sz w:val="21"/>
              </w:rPr>
            </w:pPr>
            <w:r>
              <w:rPr>
                <w:color w:val="B02045"/>
                <w:sz w:val="21"/>
              </w:rPr>
              <w:t>jersey-test-framework- provider-grizzly2</w:t>
            </w:r>
          </w:p>
        </w:tc>
        <w:tc>
          <w:tcPr>
            <w:tcW w:w="3325" w:type="dxa"/>
          </w:tcPr>
          <w:p w14:paraId="08E4CE9D" w14:textId="77777777" w:rsidR="00A720EB" w:rsidRDefault="0030286B">
            <w:pPr>
              <w:pStyle w:val="TableParagraph"/>
              <w:spacing w:before="37"/>
              <w:rPr>
                <w:sz w:val="21"/>
              </w:rPr>
            </w:pPr>
            <w:r>
              <w:rPr>
                <w:color w:val="B02045"/>
                <w:sz w:val="21"/>
              </w:rPr>
              <w:t>2.30.1</w:t>
            </w:r>
          </w:p>
        </w:tc>
      </w:tr>
      <w:tr w:rsidR="00A720EB" w14:paraId="7E2B206D" w14:textId="77777777">
        <w:trPr>
          <w:trHeight w:val="627"/>
        </w:trPr>
        <w:tc>
          <w:tcPr>
            <w:tcW w:w="3325" w:type="dxa"/>
          </w:tcPr>
          <w:p w14:paraId="6F767C38" w14:textId="77777777" w:rsidR="00A720EB" w:rsidRDefault="0030286B">
            <w:pPr>
              <w:pStyle w:val="TableParagraph"/>
              <w:spacing w:before="46" w:line="230" w:lineRule="auto"/>
              <w:ind w:right="505"/>
              <w:rPr>
                <w:sz w:val="21"/>
              </w:rPr>
            </w:pPr>
            <w:proofErr w:type="gramStart"/>
            <w:r>
              <w:rPr>
                <w:color w:val="B02045"/>
                <w:sz w:val="21"/>
              </w:rPr>
              <w:t>org.glassfish</w:t>
            </w:r>
            <w:proofErr w:type="gramEnd"/>
            <w:r>
              <w:rPr>
                <w:color w:val="B02045"/>
                <w:sz w:val="21"/>
              </w:rPr>
              <w:t>.jersey.test- framework.providers</w:t>
            </w:r>
          </w:p>
        </w:tc>
        <w:tc>
          <w:tcPr>
            <w:tcW w:w="3325" w:type="dxa"/>
          </w:tcPr>
          <w:p w14:paraId="2F8865D5" w14:textId="77777777" w:rsidR="00A720EB" w:rsidRDefault="0030286B">
            <w:pPr>
              <w:pStyle w:val="TableParagraph"/>
              <w:spacing w:before="46" w:line="230" w:lineRule="auto"/>
              <w:ind w:right="942"/>
              <w:rPr>
                <w:sz w:val="21"/>
              </w:rPr>
            </w:pPr>
            <w:r>
              <w:rPr>
                <w:color w:val="B02045"/>
                <w:sz w:val="21"/>
              </w:rPr>
              <w:t>jersey-test-framework- provider-inmemory</w:t>
            </w:r>
          </w:p>
        </w:tc>
        <w:tc>
          <w:tcPr>
            <w:tcW w:w="3325" w:type="dxa"/>
          </w:tcPr>
          <w:p w14:paraId="1EB76F07" w14:textId="77777777" w:rsidR="00A720EB" w:rsidRDefault="0030286B">
            <w:pPr>
              <w:pStyle w:val="TableParagraph"/>
              <w:spacing w:before="37"/>
              <w:rPr>
                <w:sz w:val="21"/>
              </w:rPr>
            </w:pPr>
            <w:r>
              <w:rPr>
                <w:color w:val="B02045"/>
                <w:sz w:val="21"/>
              </w:rPr>
              <w:t>2.30.1</w:t>
            </w:r>
          </w:p>
        </w:tc>
      </w:tr>
      <w:tr w:rsidR="00A720EB" w14:paraId="6202D9B8" w14:textId="77777777">
        <w:trPr>
          <w:trHeight w:val="627"/>
        </w:trPr>
        <w:tc>
          <w:tcPr>
            <w:tcW w:w="3325" w:type="dxa"/>
          </w:tcPr>
          <w:p w14:paraId="57880156" w14:textId="77777777" w:rsidR="00A720EB" w:rsidRDefault="0030286B">
            <w:pPr>
              <w:pStyle w:val="TableParagraph"/>
              <w:spacing w:before="46" w:line="230" w:lineRule="auto"/>
              <w:ind w:right="505"/>
              <w:rPr>
                <w:sz w:val="21"/>
              </w:rPr>
            </w:pPr>
            <w:proofErr w:type="gramStart"/>
            <w:r>
              <w:rPr>
                <w:color w:val="B02045"/>
                <w:sz w:val="21"/>
              </w:rPr>
              <w:t>org.glassfish</w:t>
            </w:r>
            <w:proofErr w:type="gramEnd"/>
            <w:r>
              <w:rPr>
                <w:color w:val="B02045"/>
                <w:sz w:val="21"/>
              </w:rPr>
              <w:t>.jersey.test- framework.providers</w:t>
            </w:r>
          </w:p>
        </w:tc>
        <w:tc>
          <w:tcPr>
            <w:tcW w:w="3325" w:type="dxa"/>
          </w:tcPr>
          <w:p w14:paraId="17A8374E" w14:textId="77777777" w:rsidR="00A720EB" w:rsidRDefault="0030286B">
            <w:pPr>
              <w:pStyle w:val="TableParagraph"/>
              <w:spacing w:before="46" w:line="230" w:lineRule="auto"/>
              <w:ind w:right="942"/>
              <w:rPr>
                <w:sz w:val="21"/>
              </w:rPr>
            </w:pPr>
            <w:r>
              <w:rPr>
                <w:color w:val="B02045"/>
                <w:sz w:val="21"/>
              </w:rPr>
              <w:t>jersey-test-framework- provider-jdk-http</w:t>
            </w:r>
          </w:p>
        </w:tc>
        <w:tc>
          <w:tcPr>
            <w:tcW w:w="3325" w:type="dxa"/>
          </w:tcPr>
          <w:p w14:paraId="2B5E76DE" w14:textId="77777777" w:rsidR="00A720EB" w:rsidRDefault="0030286B">
            <w:pPr>
              <w:pStyle w:val="TableParagraph"/>
              <w:rPr>
                <w:sz w:val="21"/>
              </w:rPr>
            </w:pPr>
            <w:r>
              <w:rPr>
                <w:color w:val="B02045"/>
                <w:sz w:val="21"/>
              </w:rPr>
              <w:t>2.30.1</w:t>
            </w:r>
          </w:p>
        </w:tc>
      </w:tr>
      <w:tr w:rsidR="00A720EB" w14:paraId="5AF46089" w14:textId="77777777">
        <w:trPr>
          <w:trHeight w:val="627"/>
        </w:trPr>
        <w:tc>
          <w:tcPr>
            <w:tcW w:w="3325" w:type="dxa"/>
          </w:tcPr>
          <w:p w14:paraId="22675517" w14:textId="77777777" w:rsidR="00A720EB" w:rsidRDefault="0030286B">
            <w:pPr>
              <w:pStyle w:val="TableParagraph"/>
              <w:spacing w:before="46" w:line="230" w:lineRule="auto"/>
              <w:ind w:right="505"/>
              <w:rPr>
                <w:sz w:val="21"/>
              </w:rPr>
            </w:pPr>
            <w:proofErr w:type="gramStart"/>
            <w:r>
              <w:rPr>
                <w:color w:val="B02045"/>
                <w:sz w:val="21"/>
              </w:rPr>
              <w:lastRenderedPageBreak/>
              <w:t>org.glassfish</w:t>
            </w:r>
            <w:proofErr w:type="gramEnd"/>
            <w:r>
              <w:rPr>
                <w:color w:val="B02045"/>
                <w:sz w:val="21"/>
              </w:rPr>
              <w:t>.jersey.test- framework.providers</w:t>
            </w:r>
          </w:p>
        </w:tc>
        <w:tc>
          <w:tcPr>
            <w:tcW w:w="3325" w:type="dxa"/>
          </w:tcPr>
          <w:p w14:paraId="713826BF" w14:textId="77777777" w:rsidR="00A720EB" w:rsidRDefault="0030286B">
            <w:pPr>
              <w:pStyle w:val="TableParagraph"/>
              <w:spacing w:before="46" w:line="230" w:lineRule="auto"/>
              <w:ind w:right="942"/>
              <w:rPr>
                <w:sz w:val="21"/>
              </w:rPr>
            </w:pPr>
            <w:r>
              <w:rPr>
                <w:color w:val="B02045"/>
                <w:sz w:val="21"/>
              </w:rPr>
              <w:t>jersey-test-framework- provider-jetty</w:t>
            </w:r>
          </w:p>
        </w:tc>
        <w:tc>
          <w:tcPr>
            <w:tcW w:w="3325" w:type="dxa"/>
          </w:tcPr>
          <w:p w14:paraId="123373F6" w14:textId="77777777" w:rsidR="00A720EB" w:rsidRDefault="0030286B">
            <w:pPr>
              <w:pStyle w:val="TableParagraph"/>
              <w:rPr>
                <w:sz w:val="21"/>
              </w:rPr>
            </w:pPr>
            <w:r>
              <w:rPr>
                <w:color w:val="B02045"/>
                <w:sz w:val="21"/>
              </w:rPr>
              <w:t>2.30.1</w:t>
            </w:r>
          </w:p>
        </w:tc>
      </w:tr>
    </w:tbl>
    <w:p w14:paraId="6C283C23"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4B80A303" w14:textId="77777777">
        <w:trPr>
          <w:trHeight w:val="415"/>
        </w:trPr>
        <w:tc>
          <w:tcPr>
            <w:tcW w:w="3325" w:type="dxa"/>
            <w:tcBorders>
              <w:bottom w:val="single" w:sz="12" w:space="0" w:color="DDDDDD"/>
            </w:tcBorders>
          </w:tcPr>
          <w:p w14:paraId="5E97F8C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07300A6B"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590C64B7"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268AE073" w14:textId="77777777">
        <w:trPr>
          <w:trHeight w:val="617"/>
        </w:trPr>
        <w:tc>
          <w:tcPr>
            <w:tcW w:w="3325" w:type="dxa"/>
            <w:tcBorders>
              <w:top w:val="single" w:sz="12" w:space="0" w:color="DDDDDD"/>
            </w:tcBorders>
          </w:tcPr>
          <w:p w14:paraId="20FA7E76" w14:textId="77777777" w:rsidR="00A720EB" w:rsidRDefault="0030286B">
            <w:pPr>
              <w:pStyle w:val="TableParagraph"/>
              <w:spacing w:before="36" w:line="230" w:lineRule="auto"/>
              <w:ind w:right="505"/>
              <w:rPr>
                <w:sz w:val="21"/>
              </w:rPr>
            </w:pPr>
            <w:proofErr w:type="gramStart"/>
            <w:r>
              <w:rPr>
                <w:color w:val="B02045"/>
                <w:sz w:val="21"/>
              </w:rPr>
              <w:t>org.glassfish</w:t>
            </w:r>
            <w:proofErr w:type="gramEnd"/>
            <w:r>
              <w:rPr>
                <w:color w:val="B02045"/>
                <w:sz w:val="21"/>
              </w:rPr>
              <w:t>.jersey.test- framework.providers</w:t>
            </w:r>
          </w:p>
        </w:tc>
        <w:tc>
          <w:tcPr>
            <w:tcW w:w="3325" w:type="dxa"/>
            <w:tcBorders>
              <w:top w:val="single" w:sz="12" w:space="0" w:color="DDDDDD"/>
            </w:tcBorders>
          </w:tcPr>
          <w:p w14:paraId="44D23C93" w14:textId="77777777" w:rsidR="00A720EB" w:rsidRDefault="0030286B">
            <w:pPr>
              <w:pStyle w:val="TableParagraph"/>
              <w:spacing w:before="36" w:line="230" w:lineRule="auto"/>
              <w:ind w:right="942"/>
              <w:rPr>
                <w:sz w:val="21"/>
              </w:rPr>
            </w:pPr>
            <w:r>
              <w:rPr>
                <w:color w:val="B02045"/>
                <w:sz w:val="21"/>
              </w:rPr>
              <w:t>jersey-test-framework- provider-simple</w:t>
            </w:r>
          </w:p>
        </w:tc>
        <w:tc>
          <w:tcPr>
            <w:tcW w:w="3325" w:type="dxa"/>
            <w:tcBorders>
              <w:top w:val="single" w:sz="12" w:space="0" w:color="DDDDDD"/>
            </w:tcBorders>
          </w:tcPr>
          <w:p w14:paraId="506AA6B9" w14:textId="77777777" w:rsidR="00A720EB" w:rsidRDefault="0030286B">
            <w:pPr>
              <w:pStyle w:val="TableParagraph"/>
              <w:spacing w:before="27"/>
              <w:rPr>
                <w:sz w:val="21"/>
              </w:rPr>
            </w:pPr>
            <w:r>
              <w:rPr>
                <w:color w:val="B02045"/>
                <w:sz w:val="21"/>
              </w:rPr>
              <w:t>2.30.1</w:t>
            </w:r>
          </w:p>
        </w:tc>
      </w:tr>
      <w:tr w:rsidR="00A720EB" w14:paraId="0ABB228C" w14:textId="77777777">
        <w:trPr>
          <w:trHeight w:val="368"/>
        </w:trPr>
        <w:tc>
          <w:tcPr>
            <w:tcW w:w="3325" w:type="dxa"/>
          </w:tcPr>
          <w:p w14:paraId="38D15C11" w14:textId="77777777" w:rsidR="00A720EB" w:rsidRDefault="0030286B">
            <w:pPr>
              <w:pStyle w:val="TableParagraph"/>
              <w:spacing w:before="37"/>
              <w:rPr>
                <w:sz w:val="21"/>
              </w:rPr>
            </w:pPr>
            <w:proofErr w:type="gramStart"/>
            <w:r>
              <w:rPr>
                <w:color w:val="B02045"/>
                <w:sz w:val="21"/>
              </w:rPr>
              <w:t>org.hamcrest</w:t>
            </w:r>
            <w:proofErr w:type="gramEnd"/>
          </w:p>
        </w:tc>
        <w:tc>
          <w:tcPr>
            <w:tcW w:w="3325" w:type="dxa"/>
          </w:tcPr>
          <w:p w14:paraId="52C5CC2B" w14:textId="77777777" w:rsidR="00A720EB" w:rsidRDefault="0030286B">
            <w:pPr>
              <w:pStyle w:val="TableParagraph"/>
              <w:spacing w:before="37"/>
              <w:rPr>
                <w:sz w:val="21"/>
              </w:rPr>
            </w:pPr>
            <w:r>
              <w:rPr>
                <w:color w:val="B02045"/>
                <w:sz w:val="21"/>
              </w:rPr>
              <w:t>hamcrest</w:t>
            </w:r>
          </w:p>
        </w:tc>
        <w:tc>
          <w:tcPr>
            <w:tcW w:w="3325" w:type="dxa"/>
          </w:tcPr>
          <w:p w14:paraId="09367F37" w14:textId="77777777" w:rsidR="00A720EB" w:rsidRDefault="0030286B">
            <w:pPr>
              <w:pStyle w:val="TableParagraph"/>
              <w:spacing w:before="37"/>
              <w:rPr>
                <w:sz w:val="21"/>
              </w:rPr>
            </w:pPr>
            <w:r>
              <w:rPr>
                <w:color w:val="B02045"/>
                <w:sz w:val="21"/>
              </w:rPr>
              <w:t>2.2</w:t>
            </w:r>
          </w:p>
        </w:tc>
      </w:tr>
      <w:tr w:rsidR="00A720EB" w14:paraId="47893E97" w14:textId="77777777">
        <w:trPr>
          <w:trHeight w:val="368"/>
        </w:trPr>
        <w:tc>
          <w:tcPr>
            <w:tcW w:w="3325" w:type="dxa"/>
          </w:tcPr>
          <w:p w14:paraId="482905DD" w14:textId="77777777" w:rsidR="00A720EB" w:rsidRDefault="0030286B">
            <w:pPr>
              <w:pStyle w:val="TableParagraph"/>
              <w:rPr>
                <w:sz w:val="21"/>
              </w:rPr>
            </w:pPr>
            <w:proofErr w:type="gramStart"/>
            <w:r>
              <w:rPr>
                <w:color w:val="B02045"/>
                <w:sz w:val="21"/>
              </w:rPr>
              <w:t>org.hamcrest</w:t>
            </w:r>
            <w:proofErr w:type="gramEnd"/>
          </w:p>
        </w:tc>
        <w:tc>
          <w:tcPr>
            <w:tcW w:w="3325" w:type="dxa"/>
          </w:tcPr>
          <w:p w14:paraId="68D2C12E" w14:textId="77777777" w:rsidR="00A720EB" w:rsidRDefault="0030286B">
            <w:pPr>
              <w:pStyle w:val="TableParagraph"/>
              <w:rPr>
                <w:sz w:val="21"/>
              </w:rPr>
            </w:pPr>
            <w:r>
              <w:rPr>
                <w:color w:val="B02045"/>
                <w:sz w:val="21"/>
              </w:rPr>
              <w:t>hamcrest-core</w:t>
            </w:r>
          </w:p>
        </w:tc>
        <w:tc>
          <w:tcPr>
            <w:tcW w:w="3325" w:type="dxa"/>
          </w:tcPr>
          <w:p w14:paraId="7849F001" w14:textId="77777777" w:rsidR="00A720EB" w:rsidRDefault="0030286B">
            <w:pPr>
              <w:pStyle w:val="TableParagraph"/>
              <w:rPr>
                <w:sz w:val="21"/>
              </w:rPr>
            </w:pPr>
            <w:r>
              <w:rPr>
                <w:color w:val="B02045"/>
                <w:sz w:val="21"/>
              </w:rPr>
              <w:t>2.2</w:t>
            </w:r>
          </w:p>
        </w:tc>
      </w:tr>
      <w:tr w:rsidR="00A720EB" w14:paraId="362D2C05" w14:textId="77777777">
        <w:trPr>
          <w:trHeight w:val="368"/>
        </w:trPr>
        <w:tc>
          <w:tcPr>
            <w:tcW w:w="3325" w:type="dxa"/>
          </w:tcPr>
          <w:p w14:paraId="7732F3CE" w14:textId="77777777" w:rsidR="00A720EB" w:rsidRDefault="0030286B">
            <w:pPr>
              <w:pStyle w:val="TableParagraph"/>
              <w:rPr>
                <w:sz w:val="21"/>
              </w:rPr>
            </w:pPr>
            <w:proofErr w:type="gramStart"/>
            <w:r>
              <w:rPr>
                <w:color w:val="B02045"/>
                <w:sz w:val="21"/>
              </w:rPr>
              <w:t>org.hamcrest</w:t>
            </w:r>
            <w:proofErr w:type="gramEnd"/>
          </w:p>
        </w:tc>
        <w:tc>
          <w:tcPr>
            <w:tcW w:w="3325" w:type="dxa"/>
          </w:tcPr>
          <w:p w14:paraId="78C01494" w14:textId="77777777" w:rsidR="00A720EB" w:rsidRDefault="0030286B">
            <w:pPr>
              <w:pStyle w:val="TableParagraph"/>
              <w:rPr>
                <w:sz w:val="21"/>
              </w:rPr>
            </w:pPr>
            <w:r>
              <w:rPr>
                <w:color w:val="B02045"/>
                <w:sz w:val="21"/>
              </w:rPr>
              <w:t>hamcrest-library</w:t>
            </w:r>
          </w:p>
        </w:tc>
        <w:tc>
          <w:tcPr>
            <w:tcW w:w="3325" w:type="dxa"/>
          </w:tcPr>
          <w:p w14:paraId="7BE25D96" w14:textId="77777777" w:rsidR="00A720EB" w:rsidRDefault="0030286B">
            <w:pPr>
              <w:pStyle w:val="TableParagraph"/>
              <w:rPr>
                <w:sz w:val="21"/>
              </w:rPr>
            </w:pPr>
            <w:r>
              <w:rPr>
                <w:color w:val="B02045"/>
                <w:sz w:val="21"/>
              </w:rPr>
              <w:t>2.2</w:t>
            </w:r>
          </w:p>
        </w:tc>
      </w:tr>
      <w:tr w:rsidR="00A720EB" w14:paraId="658D685C" w14:textId="77777777">
        <w:trPr>
          <w:trHeight w:val="368"/>
        </w:trPr>
        <w:tc>
          <w:tcPr>
            <w:tcW w:w="3325" w:type="dxa"/>
          </w:tcPr>
          <w:p w14:paraId="7DFE7E46" w14:textId="77777777" w:rsidR="00A720EB" w:rsidRDefault="0030286B">
            <w:pPr>
              <w:pStyle w:val="TableParagraph"/>
              <w:rPr>
                <w:sz w:val="21"/>
              </w:rPr>
            </w:pPr>
            <w:proofErr w:type="gramStart"/>
            <w:r>
              <w:rPr>
                <w:color w:val="B02045"/>
                <w:sz w:val="21"/>
              </w:rPr>
              <w:t>org.hibernate</w:t>
            </w:r>
            <w:proofErr w:type="gramEnd"/>
          </w:p>
        </w:tc>
        <w:tc>
          <w:tcPr>
            <w:tcW w:w="3325" w:type="dxa"/>
          </w:tcPr>
          <w:p w14:paraId="273F480E" w14:textId="77777777" w:rsidR="00A720EB" w:rsidRDefault="0030286B">
            <w:pPr>
              <w:pStyle w:val="TableParagraph"/>
              <w:rPr>
                <w:sz w:val="21"/>
              </w:rPr>
            </w:pPr>
            <w:r>
              <w:rPr>
                <w:color w:val="B02045"/>
                <w:sz w:val="21"/>
              </w:rPr>
              <w:t>hibernate-c3p0</w:t>
            </w:r>
          </w:p>
        </w:tc>
        <w:tc>
          <w:tcPr>
            <w:tcW w:w="3325" w:type="dxa"/>
          </w:tcPr>
          <w:p w14:paraId="41BC080B" w14:textId="77777777" w:rsidR="00A720EB" w:rsidRDefault="0030286B">
            <w:pPr>
              <w:pStyle w:val="TableParagraph"/>
              <w:rPr>
                <w:sz w:val="21"/>
              </w:rPr>
            </w:pPr>
            <w:r>
              <w:rPr>
                <w:color w:val="B02045"/>
                <w:sz w:val="21"/>
              </w:rPr>
              <w:t>5.4.</w:t>
            </w:r>
            <w:proofErr w:type="gramStart"/>
            <w:r>
              <w:rPr>
                <w:color w:val="B02045"/>
                <w:sz w:val="21"/>
              </w:rPr>
              <w:t>21.Final</w:t>
            </w:r>
            <w:proofErr w:type="gramEnd"/>
          </w:p>
        </w:tc>
      </w:tr>
      <w:tr w:rsidR="00A720EB" w14:paraId="11B311FF" w14:textId="77777777">
        <w:trPr>
          <w:trHeight w:val="368"/>
        </w:trPr>
        <w:tc>
          <w:tcPr>
            <w:tcW w:w="3325" w:type="dxa"/>
          </w:tcPr>
          <w:p w14:paraId="7CE96D81" w14:textId="77777777" w:rsidR="00A720EB" w:rsidRDefault="0030286B">
            <w:pPr>
              <w:pStyle w:val="TableParagraph"/>
              <w:rPr>
                <w:sz w:val="21"/>
              </w:rPr>
            </w:pPr>
            <w:proofErr w:type="gramStart"/>
            <w:r>
              <w:rPr>
                <w:color w:val="B02045"/>
                <w:sz w:val="21"/>
              </w:rPr>
              <w:t>org.hibernate</w:t>
            </w:r>
            <w:proofErr w:type="gramEnd"/>
          </w:p>
        </w:tc>
        <w:tc>
          <w:tcPr>
            <w:tcW w:w="3325" w:type="dxa"/>
          </w:tcPr>
          <w:p w14:paraId="221AF722" w14:textId="77777777" w:rsidR="00A720EB" w:rsidRDefault="0030286B">
            <w:pPr>
              <w:pStyle w:val="TableParagraph"/>
              <w:rPr>
                <w:sz w:val="21"/>
              </w:rPr>
            </w:pPr>
            <w:r>
              <w:rPr>
                <w:color w:val="B02045"/>
                <w:sz w:val="21"/>
              </w:rPr>
              <w:t>hibernate-core</w:t>
            </w:r>
          </w:p>
        </w:tc>
        <w:tc>
          <w:tcPr>
            <w:tcW w:w="3325" w:type="dxa"/>
          </w:tcPr>
          <w:p w14:paraId="7F87A432" w14:textId="77777777" w:rsidR="00A720EB" w:rsidRDefault="0030286B">
            <w:pPr>
              <w:pStyle w:val="TableParagraph"/>
              <w:rPr>
                <w:sz w:val="21"/>
              </w:rPr>
            </w:pPr>
            <w:r>
              <w:rPr>
                <w:color w:val="B02045"/>
                <w:sz w:val="21"/>
              </w:rPr>
              <w:t>5.4.</w:t>
            </w:r>
            <w:proofErr w:type="gramStart"/>
            <w:r>
              <w:rPr>
                <w:color w:val="B02045"/>
                <w:sz w:val="21"/>
              </w:rPr>
              <w:t>21.Final</w:t>
            </w:r>
            <w:proofErr w:type="gramEnd"/>
          </w:p>
        </w:tc>
      </w:tr>
      <w:tr w:rsidR="00A720EB" w14:paraId="501E8B00" w14:textId="77777777">
        <w:trPr>
          <w:trHeight w:val="368"/>
        </w:trPr>
        <w:tc>
          <w:tcPr>
            <w:tcW w:w="3325" w:type="dxa"/>
          </w:tcPr>
          <w:p w14:paraId="1DC6129F" w14:textId="77777777" w:rsidR="00A720EB" w:rsidRDefault="0030286B">
            <w:pPr>
              <w:pStyle w:val="TableParagraph"/>
              <w:spacing w:before="37"/>
              <w:rPr>
                <w:sz w:val="21"/>
              </w:rPr>
            </w:pPr>
            <w:proofErr w:type="gramStart"/>
            <w:r>
              <w:rPr>
                <w:color w:val="B02045"/>
                <w:sz w:val="21"/>
              </w:rPr>
              <w:t>org.hibernate</w:t>
            </w:r>
            <w:proofErr w:type="gramEnd"/>
          </w:p>
        </w:tc>
        <w:tc>
          <w:tcPr>
            <w:tcW w:w="3325" w:type="dxa"/>
          </w:tcPr>
          <w:p w14:paraId="52C50CF7" w14:textId="77777777" w:rsidR="00A720EB" w:rsidRDefault="0030286B">
            <w:pPr>
              <w:pStyle w:val="TableParagraph"/>
              <w:spacing w:before="37"/>
              <w:rPr>
                <w:sz w:val="21"/>
              </w:rPr>
            </w:pPr>
            <w:r>
              <w:rPr>
                <w:color w:val="B02045"/>
                <w:sz w:val="21"/>
              </w:rPr>
              <w:t>hibernate-ehcache</w:t>
            </w:r>
          </w:p>
        </w:tc>
        <w:tc>
          <w:tcPr>
            <w:tcW w:w="3325" w:type="dxa"/>
          </w:tcPr>
          <w:p w14:paraId="6C8F4A34" w14:textId="77777777" w:rsidR="00A720EB" w:rsidRDefault="0030286B">
            <w:pPr>
              <w:pStyle w:val="TableParagraph"/>
              <w:spacing w:before="37"/>
              <w:rPr>
                <w:sz w:val="21"/>
              </w:rPr>
            </w:pPr>
            <w:r>
              <w:rPr>
                <w:color w:val="B02045"/>
                <w:sz w:val="21"/>
              </w:rPr>
              <w:t>5.4.</w:t>
            </w:r>
            <w:proofErr w:type="gramStart"/>
            <w:r>
              <w:rPr>
                <w:color w:val="B02045"/>
                <w:sz w:val="21"/>
              </w:rPr>
              <w:t>21.Final</w:t>
            </w:r>
            <w:proofErr w:type="gramEnd"/>
          </w:p>
        </w:tc>
      </w:tr>
      <w:tr w:rsidR="00A720EB" w14:paraId="08257E67" w14:textId="77777777">
        <w:trPr>
          <w:trHeight w:val="368"/>
        </w:trPr>
        <w:tc>
          <w:tcPr>
            <w:tcW w:w="3325" w:type="dxa"/>
          </w:tcPr>
          <w:p w14:paraId="3EC75E3C" w14:textId="77777777" w:rsidR="00A720EB" w:rsidRDefault="0030286B">
            <w:pPr>
              <w:pStyle w:val="TableParagraph"/>
              <w:spacing w:before="37"/>
              <w:rPr>
                <w:sz w:val="21"/>
              </w:rPr>
            </w:pPr>
            <w:proofErr w:type="gramStart"/>
            <w:r>
              <w:rPr>
                <w:color w:val="B02045"/>
                <w:sz w:val="21"/>
              </w:rPr>
              <w:t>org.hibernate</w:t>
            </w:r>
            <w:proofErr w:type="gramEnd"/>
          </w:p>
        </w:tc>
        <w:tc>
          <w:tcPr>
            <w:tcW w:w="3325" w:type="dxa"/>
          </w:tcPr>
          <w:p w14:paraId="0176F878" w14:textId="77777777" w:rsidR="00A720EB" w:rsidRDefault="0030286B">
            <w:pPr>
              <w:pStyle w:val="TableParagraph"/>
              <w:spacing w:before="37"/>
              <w:rPr>
                <w:sz w:val="21"/>
              </w:rPr>
            </w:pPr>
            <w:r>
              <w:rPr>
                <w:color w:val="B02045"/>
                <w:sz w:val="21"/>
              </w:rPr>
              <w:t>hibernate-entitymanager</w:t>
            </w:r>
          </w:p>
        </w:tc>
        <w:tc>
          <w:tcPr>
            <w:tcW w:w="3325" w:type="dxa"/>
          </w:tcPr>
          <w:p w14:paraId="4C26D0CF" w14:textId="77777777" w:rsidR="00A720EB" w:rsidRDefault="0030286B">
            <w:pPr>
              <w:pStyle w:val="TableParagraph"/>
              <w:spacing w:before="37"/>
              <w:rPr>
                <w:sz w:val="21"/>
              </w:rPr>
            </w:pPr>
            <w:r>
              <w:rPr>
                <w:color w:val="B02045"/>
                <w:sz w:val="21"/>
              </w:rPr>
              <w:t>5.4.</w:t>
            </w:r>
            <w:proofErr w:type="gramStart"/>
            <w:r>
              <w:rPr>
                <w:color w:val="B02045"/>
                <w:sz w:val="21"/>
              </w:rPr>
              <w:t>21.Final</w:t>
            </w:r>
            <w:proofErr w:type="gramEnd"/>
          </w:p>
        </w:tc>
      </w:tr>
      <w:tr w:rsidR="00A720EB" w14:paraId="74396187" w14:textId="77777777">
        <w:trPr>
          <w:trHeight w:val="368"/>
        </w:trPr>
        <w:tc>
          <w:tcPr>
            <w:tcW w:w="3325" w:type="dxa"/>
          </w:tcPr>
          <w:p w14:paraId="216EF542" w14:textId="77777777" w:rsidR="00A720EB" w:rsidRDefault="0030286B">
            <w:pPr>
              <w:pStyle w:val="TableParagraph"/>
              <w:spacing w:before="37"/>
              <w:rPr>
                <w:sz w:val="21"/>
              </w:rPr>
            </w:pPr>
            <w:proofErr w:type="gramStart"/>
            <w:r>
              <w:rPr>
                <w:color w:val="B02045"/>
                <w:sz w:val="21"/>
              </w:rPr>
              <w:t>org.hibernate</w:t>
            </w:r>
            <w:proofErr w:type="gramEnd"/>
          </w:p>
        </w:tc>
        <w:tc>
          <w:tcPr>
            <w:tcW w:w="3325" w:type="dxa"/>
          </w:tcPr>
          <w:p w14:paraId="38C3B586" w14:textId="77777777" w:rsidR="00A720EB" w:rsidRDefault="0030286B">
            <w:pPr>
              <w:pStyle w:val="TableParagraph"/>
              <w:spacing w:before="37"/>
              <w:rPr>
                <w:sz w:val="21"/>
              </w:rPr>
            </w:pPr>
            <w:r>
              <w:rPr>
                <w:color w:val="B02045"/>
                <w:sz w:val="21"/>
              </w:rPr>
              <w:t>hibernate-envers</w:t>
            </w:r>
          </w:p>
        </w:tc>
        <w:tc>
          <w:tcPr>
            <w:tcW w:w="3325" w:type="dxa"/>
          </w:tcPr>
          <w:p w14:paraId="4717B9A2" w14:textId="77777777" w:rsidR="00A720EB" w:rsidRDefault="0030286B">
            <w:pPr>
              <w:pStyle w:val="TableParagraph"/>
              <w:spacing w:before="37"/>
              <w:rPr>
                <w:sz w:val="21"/>
              </w:rPr>
            </w:pPr>
            <w:r>
              <w:rPr>
                <w:color w:val="B02045"/>
                <w:sz w:val="21"/>
              </w:rPr>
              <w:t>5.4.</w:t>
            </w:r>
            <w:proofErr w:type="gramStart"/>
            <w:r>
              <w:rPr>
                <w:color w:val="B02045"/>
                <w:sz w:val="21"/>
              </w:rPr>
              <w:t>21.Final</w:t>
            </w:r>
            <w:proofErr w:type="gramEnd"/>
          </w:p>
        </w:tc>
      </w:tr>
      <w:tr w:rsidR="00A720EB" w14:paraId="52826781" w14:textId="77777777">
        <w:trPr>
          <w:trHeight w:val="368"/>
        </w:trPr>
        <w:tc>
          <w:tcPr>
            <w:tcW w:w="3325" w:type="dxa"/>
          </w:tcPr>
          <w:p w14:paraId="585F648A" w14:textId="77777777" w:rsidR="00A720EB" w:rsidRDefault="0030286B">
            <w:pPr>
              <w:pStyle w:val="TableParagraph"/>
              <w:spacing w:before="37"/>
              <w:rPr>
                <w:sz w:val="21"/>
              </w:rPr>
            </w:pPr>
            <w:proofErr w:type="gramStart"/>
            <w:r>
              <w:rPr>
                <w:color w:val="B02045"/>
                <w:sz w:val="21"/>
              </w:rPr>
              <w:t>org.hibernate</w:t>
            </w:r>
            <w:proofErr w:type="gramEnd"/>
          </w:p>
        </w:tc>
        <w:tc>
          <w:tcPr>
            <w:tcW w:w="3325" w:type="dxa"/>
          </w:tcPr>
          <w:p w14:paraId="5EA0DC92" w14:textId="77777777" w:rsidR="00A720EB" w:rsidRDefault="0030286B">
            <w:pPr>
              <w:pStyle w:val="TableParagraph"/>
              <w:spacing w:before="37"/>
              <w:rPr>
                <w:sz w:val="21"/>
              </w:rPr>
            </w:pPr>
            <w:r>
              <w:rPr>
                <w:color w:val="B02045"/>
                <w:sz w:val="21"/>
              </w:rPr>
              <w:t>hibernate-hikaricp</w:t>
            </w:r>
          </w:p>
        </w:tc>
        <w:tc>
          <w:tcPr>
            <w:tcW w:w="3325" w:type="dxa"/>
          </w:tcPr>
          <w:p w14:paraId="5C3AB018" w14:textId="77777777" w:rsidR="00A720EB" w:rsidRDefault="0030286B">
            <w:pPr>
              <w:pStyle w:val="TableParagraph"/>
              <w:spacing w:before="37"/>
              <w:rPr>
                <w:sz w:val="21"/>
              </w:rPr>
            </w:pPr>
            <w:r>
              <w:rPr>
                <w:color w:val="B02045"/>
                <w:sz w:val="21"/>
              </w:rPr>
              <w:t>5.4.</w:t>
            </w:r>
            <w:proofErr w:type="gramStart"/>
            <w:r>
              <w:rPr>
                <w:color w:val="B02045"/>
                <w:sz w:val="21"/>
              </w:rPr>
              <w:t>21.Final</w:t>
            </w:r>
            <w:proofErr w:type="gramEnd"/>
          </w:p>
        </w:tc>
      </w:tr>
      <w:tr w:rsidR="00A720EB" w14:paraId="2948B4AC" w14:textId="77777777">
        <w:trPr>
          <w:trHeight w:val="368"/>
        </w:trPr>
        <w:tc>
          <w:tcPr>
            <w:tcW w:w="3325" w:type="dxa"/>
          </w:tcPr>
          <w:p w14:paraId="6FC99115" w14:textId="77777777" w:rsidR="00A720EB" w:rsidRDefault="0030286B">
            <w:pPr>
              <w:pStyle w:val="TableParagraph"/>
              <w:rPr>
                <w:sz w:val="21"/>
              </w:rPr>
            </w:pPr>
            <w:proofErr w:type="gramStart"/>
            <w:r>
              <w:rPr>
                <w:color w:val="B02045"/>
                <w:sz w:val="21"/>
              </w:rPr>
              <w:t>org.hibernate</w:t>
            </w:r>
            <w:proofErr w:type="gramEnd"/>
          </w:p>
        </w:tc>
        <w:tc>
          <w:tcPr>
            <w:tcW w:w="3325" w:type="dxa"/>
          </w:tcPr>
          <w:p w14:paraId="22CFCEF0" w14:textId="77777777" w:rsidR="00A720EB" w:rsidRDefault="0030286B">
            <w:pPr>
              <w:pStyle w:val="TableParagraph"/>
              <w:rPr>
                <w:sz w:val="21"/>
              </w:rPr>
            </w:pPr>
            <w:r>
              <w:rPr>
                <w:color w:val="B02045"/>
                <w:sz w:val="21"/>
              </w:rPr>
              <w:t>hibernate-java8</w:t>
            </w:r>
          </w:p>
        </w:tc>
        <w:tc>
          <w:tcPr>
            <w:tcW w:w="3325" w:type="dxa"/>
          </w:tcPr>
          <w:p w14:paraId="19428DDA" w14:textId="77777777" w:rsidR="00A720EB" w:rsidRDefault="0030286B">
            <w:pPr>
              <w:pStyle w:val="TableParagraph"/>
              <w:rPr>
                <w:sz w:val="21"/>
              </w:rPr>
            </w:pPr>
            <w:r>
              <w:rPr>
                <w:color w:val="B02045"/>
                <w:sz w:val="21"/>
              </w:rPr>
              <w:t>5.4.</w:t>
            </w:r>
            <w:proofErr w:type="gramStart"/>
            <w:r>
              <w:rPr>
                <w:color w:val="B02045"/>
                <w:sz w:val="21"/>
              </w:rPr>
              <w:t>21.Final</w:t>
            </w:r>
            <w:proofErr w:type="gramEnd"/>
          </w:p>
        </w:tc>
      </w:tr>
      <w:tr w:rsidR="00A720EB" w14:paraId="7A43E9EB" w14:textId="77777777">
        <w:trPr>
          <w:trHeight w:val="368"/>
        </w:trPr>
        <w:tc>
          <w:tcPr>
            <w:tcW w:w="3325" w:type="dxa"/>
          </w:tcPr>
          <w:p w14:paraId="6547E11B" w14:textId="77777777" w:rsidR="00A720EB" w:rsidRDefault="0030286B">
            <w:pPr>
              <w:pStyle w:val="TableParagraph"/>
              <w:rPr>
                <w:sz w:val="21"/>
              </w:rPr>
            </w:pPr>
            <w:proofErr w:type="gramStart"/>
            <w:r>
              <w:rPr>
                <w:color w:val="B02045"/>
                <w:sz w:val="21"/>
              </w:rPr>
              <w:t>org.hibernate</w:t>
            </w:r>
            <w:proofErr w:type="gramEnd"/>
          </w:p>
        </w:tc>
        <w:tc>
          <w:tcPr>
            <w:tcW w:w="3325" w:type="dxa"/>
          </w:tcPr>
          <w:p w14:paraId="1193B29C" w14:textId="77777777" w:rsidR="00A720EB" w:rsidRDefault="0030286B">
            <w:pPr>
              <w:pStyle w:val="TableParagraph"/>
              <w:rPr>
                <w:sz w:val="21"/>
              </w:rPr>
            </w:pPr>
            <w:r>
              <w:rPr>
                <w:color w:val="B02045"/>
                <w:sz w:val="21"/>
              </w:rPr>
              <w:t>hibernate-jcache</w:t>
            </w:r>
          </w:p>
        </w:tc>
        <w:tc>
          <w:tcPr>
            <w:tcW w:w="3325" w:type="dxa"/>
          </w:tcPr>
          <w:p w14:paraId="6A37D06E" w14:textId="77777777" w:rsidR="00A720EB" w:rsidRDefault="0030286B">
            <w:pPr>
              <w:pStyle w:val="TableParagraph"/>
              <w:rPr>
                <w:sz w:val="21"/>
              </w:rPr>
            </w:pPr>
            <w:r>
              <w:rPr>
                <w:color w:val="B02045"/>
                <w:sz w:val="21"/>
              </w:rPr>
              <w:t>5.4.</w:t>
            </w:r>
            <w:proofErr w:type="gramStart"/>
            <w:r>
              <w:rPr>
                <w:color w:val="B02045"/>
                <w:sz w:val="21"/>
              </w:rPr>
              <w:t>21.Final</w:t>
            </w:r>
            <w:proofErr w:type="gramEnd"/>
          </w:p>
        </w:tc>
      </w:tr>
      <w:tr w:rsidR="00A720EB" w14:paraId="762D153E" w14:textId="77777777">
        <w:trPr>
          <w:trHeight w:val="368"/>
        </w:trPr>
        <w:tc>
          <w:tcPr>
            <w:tcW w:w="3325" w:type="dxa"/>
          </w:tcPr>
          <w:p w14:paraId="1A71D409" w14:textId="77777777" w:rsidR="00A720EB" w:rsidRDefault="0030286B">
            <w:pPr>
              <w:pStyle w:val="TableParagraph"/>
              <w:rPr>
                <w:sz w:val="21"/>
              </w:rPr>
            </w:pPr>
            <w:proofErr w:type="gramStart"/>
            <w:r>
              <w:rPr>
                <w:color w:val="B02045"/>
                <w:sz w:val="21"/>
              </w:rPr>
              <w:t>org.hibernate</w:t>
            </w:r>
            <w:proofErr w:type="gramEnd"/>
          </w:p>
        </w:tc>
        <w:tc>
          <w:tcPr>
            <w:tcW w:w="3325" w:type="dxa"/>
          </w:tcPr>
          <w:p w14:paraId="1BE013E5" w14:textId="77777777" w:rsidR="00A720EB" w:rsidRDefault="0030286B">
            <w:pPr>
              <w:pStyle w:val="TableParagraph"/>
              <w:rPr>
                <w:sz w:val="21"/>
              </w:rPr>
            </w:pPr>
            <w:r>
              <w:rPr>
                <w:color w:val="B02045"/>
                <w:sz w:val="21"/>
              </w:rPr>
              <w:t>hibernate-jpamodelgen</w:t>
            </w:r>
          </w:p>
        </w:tc>
        <w:tc>
          <w:tcPr>
            <w:tcW w:w="3325" w:type="dxa"/>
          </w:tcPr>
          <w:p w14:paraId="7E67FBA0" w14:textId="77777777" w:rsidR="00A720EB" w:rsidRDefault="0030286B">
            <w:pPr>
              <w:pStyle w:val="TableParagraph"/>
              <w:rPr>
                <w:sz w:val="21"/>
              </w:rPr>
            </w:pPr>
            <w:r>
              <w:rPr>
                <w:color w:val="B02045"/>
                <w:sz w:val="21"/>
              </w:rPr>
              <w:t>5.4.</w:t>
            </w:r>
            <w:proofErr w:type="gramStart"/>
            <w:r>
              <w:rPr>
                <w:color w:val="B02045"/>
                <w:sz w:val="21"/>
              </w:rPr>
              <w:t>21.Final</w:t>
            </w:r>
            <w:proofErr w:type="gramEnd"/>
          </w:p>
        </w:tc>
      </w:tr>
      <w:tr w:rsidR="00A720EB" w14:paraId="7C851BA0" w14:textId="77777777">
        <w:trPr>
          <w:trHeight w:val="368"/>
        </w:trPr>
        <w:tc>
          <w:tcPr>
            <w:tcW w:w="3325" w:type="dxa"/>
          </w:tcPr>
          <w:p w14:paraId="3A94EFEC" w14:textId="77777777" w:rsidR="00A720EB" w:rsidRDefault="0030286B">
            <w:pPr>
              <w:pStyle w:val="TableParagraph"/>
              <w:rPr>
                <w:sz w:val="21"/>
              </w:rPr>
            </w:pPr>
            <w:proofErr w:type="gramStart"/>
            <w:r>
              <w:rPr>
                <w:color w:val="B02045"/>
                <w:sz w:val="21"/>
              </w:rPr>
              <w:t>org.hibernate</w:t>
            </w:r>
            <w:proofErr w:type="gramEnd"/>
          </w:p>
        </w:tc>
        <w:tc>
          <w:tcPr>
            <w:tcW w:w="3325" w:type="dxa"/>
          </w:tcPr>
          <w:p w14:paraId="7EC50912" w14:textId="77777777" w:rsidR="00A720EB" w:rsidRDefault="0030286B">
            <w:pPr>
              <w:pStyle w:val="TableParagraph"/>
              <w:rPr>
                <w:sz w:val="21"/>
              </w:rPr>
            </w:pPr>
            <w:r>
              <w:rPr>
                <w:color w:val="B02045"/>
                <w:sz w:val="21"/>
              </w:rPr>
              <w:t>hibernate-proxool</w:t>
            </w:r>
          </w:p>
        </w:tc>
        <w:tc>
          <w:tcPr>
            <w:tcW w:w="3325" w:type="dxa"/>
          </w:tcPr>
          <w:p w14:paraId="67F9FDA9" w14:textId="77777777" w:rsidR="00A720EB" w:rsidRDefault="0030286B">
            <w:pPr>
              <w:pStyle w:val="TableParagraph"/>
              <w:rPr>
                <w:sz w:val="21"/>
              </w:rPr>
            </w:pPr>
            <w:r>
              <w:rPr>
                <w:color w:val="B02045"/>
                <w:sz w:val="21"/>
              </w:rPr>
              <w:t>5.4.</w:t>
            </w:r>
            <w:proofErr w:type="gramStart"/>
            <w:r>
              <w:rPr>
                <w:color w:val="B02045"/>
                <w:sz w:val="21"/>
              </w:rPr>
              <w:t>21.Final</w:t>
            </w:r>
            <w:proofErr w:type="gramEnd"/>
          </w:p>
        </w:tc>
      </w:tr>
      <w:tr w:rsidR="00A720EB" w14:paraId="14370009" w14:textId="77777777">
        <w:trPr>
          <w:trHeight w:val="368"/>
        </w:trPr>
        <w:tc>
          <w:tcPr>
            <w:tcW w:w="3325" w:type="dxa"/>
          </w:tcPr>
          <w:p w14:paraId="1981C429" w14:textId="77777777" w:rsidR="00A720EB" w:rsidRDefault="0030286B">
            <w:pPr>
              <w:pStyle w:val="TableParagraph"/>
              <w:rPr>
                <w:sz w:val="21"/>
              </w:rPr>
            </w:pPr>
            <w:proofErr w:type="gramStart"/>
            <w:r>
              <w:rPr>
                <w:color w:val="B02045"/>
                <w:sz w:val="21"/>
              </w:rPr>
              <w:t>org.hibernate</w:t>
            </w:r>
            <w:proofErr w:type="gramEnd"/>
          </w:p>
        </w:tc>
        <w:tc>
          <w:tcPr>
            <w:tcW w:w="3325" w:type="dxa"/>
          </w:tcPr>
          <w:p w14:paraId="224F1643" w14:textId="77777777" w:rsidR="00A720EB" w:rsidRDefault="0030286B">
            <w:pPr>
              <w:pStyle w:val="TableParagraph"/>
              <w:rPr>
                <w:sz w:val="21"/>
              </w:rPr>
            </w:pPr>
            <w:r>
              <w:rPr>
                <w:color w:val="B02045"/>
                <w:sz w:val="21"/>
              </w:rPr>
              <w:t>hibernate-spatial</w:t>
            </w:r>
          </w:p>
        </w:tc>
        <w:tc>
          <w:tcPr>
            <w:tcW w:w="3325" w:type="dxa"/>
          </w:tcPr>
          <w:p w14:paraId="4F15D91D" w14:textId="77777777" w:rsidR="00A720EB" w:rsidRDefault="0030286B">
            <w:pPr>
              <w:pStyle w:val="TableParagraph"/>
              <w:rPr>
                <w:sz w:val="21"/>
              </w:rPr>
            </w:pPr>
            <w:r>
              <w:rPr>
                <w:color w:val="B02045"/>
                <w:sz w:val="21"/>
              </w:rPr>
              <w:t>5.4.</w:t>
            </w:r>
            <w:proofErr w:type="gramStart"/>
            <w:r>
              <w:rPr>
                <w:color w:val="B02045"/>
                <w:sz w:val="21"/>
              </w:rPr>
              <w:t>21.Final</w:t>
            </w:r>
            <w:proofErr w:type="gramEnd"/>
          </w:p>
        </w:tc>
      </w:tr>
      <w:tr w:rsidR="00A720EB" w14:paraId="57A6820F" w14:textId="77777777">
        <w:trPr>
          <w:trHeight w:val="368"/>
        </w:trPr>
        <w:tc>
          <w:tcPr>
            <w:tcW w:w="3325" w:type="dxa"/>
          </w:tcPr>
          <w:p w14:paraId="1D090C39" w14:textId="77777777" w:rsidR="00A720EB" w:rsidRDefault="0030286B">
            <w:pPr>
              <w:pStyle w:val="TableParagraph"/>
              <w:rPr>
                <w:sz w:val="21"/>
              </w:rPr>
            </w:pPr>
            <w:proofErr w:type="gramStart"/>
            <w:r>
              <w:rPr>
                <w:color w:val="B02045"/>
                <w:sz w:val="21"/>
              </w:rPr>
              <w:t>org.hibernate</w:t>
            </w:r>
            <w:proofErr w:type="gramEnd"/>
          </w:p>
        </w:tc>
        <w:tc>
          <w:tcPr>
            <w:tcW w:w="3325" w:type="dxa"/>
          </w:tcPr>
          <w:p w14:paraId="7F26ADF6" w14:textId="77777777" w:rsidR="00A720EB" w:rsidRDefault="0030286B">
            <w:pPr>
              <w:pStyle w:val="TableParagraph"/>
              <w:rPr>
                <w:sz w:val="21"/>
              </w:rPr>
            </w:pPr>
            <w:r>
              <w:rPr>
                <w:color w:val="B02045"/>
                <w:sz w:val="21"/>
              </w:rPr>
              <w:t>hibernate-testing</w:t>
            </w:r>
          </w:p>
        </w:tc>
        <w:tc>
          <w:tcPr>
            <w:tcW w:w="3325" w:type="dxa"/>
          </w:tcPr>
          <w:p w14:paraId="09ECAC9C" w14:textId="77777777" w:rsidR="00A720EB" w:rsidRDefault="0030286B">
            <w:pPr>
              <w:pStyle w:val="TableParagraph"/>
              <w:rPr>
                <w:sz w:val="21"/>
              </w:rPr>
            </w:pPr>
            <w:r>
              <w:rPr>
                <w:color w:val="B02045"/>
                <w:sz w:val="21"/>
              </w:rPr>
              <w:t>5.4.</w:t>
            </w:r>
            <w:proofErr w:type="gramStart"/>
            <w:r>
              <w:rPr>
                <w:color w:val="B02045"/>
                <w:sz w:val="21"/>
              </w:rPr>
              <w:t>21.Final</w:t>
            </w:r>
            <w:proofErr w:type="gramEnd"/>
          </w:p>
        </w:tc>
      </w:tr>
      <w:tr w:rsidR="00A720EB" w14:paraId="7CF11E59" w14:textId="77777777">
        <w:trPr>
          <w:trHeight w:val="368"/>
        </w:trPr>
        <w:tc>
          <w:tcPr>
            <w:tcW w:w="3325" w:type="dxa"/>
          </w:tcPr>
          <w:p w14:paraId="29D86BCB" w14:textId="77777777" w:rsidR="00A720EB" w:rsidRDefault="0030286B">
            <w:pPr>
              <w:pStyle w:val="TableParagraph"/>
              <w:spacing w:before="37"/>
              <w:rPr>
                <w:sz w:val="21"/>
              </w:rPr>
            </w:pPr>
            <w:proofErr w:type="gramStart"/>
            <w:r>
              <w:rPr>
                <w:color w:val="B02045"/>
                <w:sz w:val="21"/>
              </w:rPr>
              <w:t>org.hibernate</w:t>
            </w:r>
            <w:proofErr w:type="gramEnd"/>
          </w:p>
        </w:tc>
        <w:tc>
          <w:tcPr>
            <w:tcW w:w="3325" w:type="dxa"/>
          </w:tcPr>
          <w:p w14:paraId="6EAC0543" w14:textId="77777777" w:rsidR="00A720EB" w:rsidRDefault="0030286B">
            <w:pPr>
              <w:pStyle w:val="TableParagraph"/>
              <w:spacing w:before="37"/>
              <w:rPr>
                <w:sz w:val="21"/>
              </w:rPr>
            </w:pPr>
            <w:r>
              <w:rPr>
                <w:color w:val="B02045"/>
                <w:sz w:val="21"/>
              </w:rPr>
              <w:t>hibernate-vibur</w:t>
            </w:r>
          </w:p>
        </w:tc>
        <w:tc>
          <w:tcPr>
            <w:tcW w:w="3325" w:type="dxa"/>
          </w:tcPr>
          <w:p w14:paraId="5852D639" w14:textId="77777777" w:rsidR="00A720EB" w:rsidRDefault="0030286B">
            <w:pPr>
              <w:pStyle w:val="TableParagraph"/>
              <w:spacing w:before="37"/>
              <w:rPr>
                <w:sz w:val="21"/>
              </w:rPr>
            </w:pPr>
            <w:r>
              <w:rPr>
                <w:color w:val="B02045"/>
                <w:sz w:val="21"/>
              </w:rPr>
              <w:t>5.4.</w:t>
            </w:r>
            <w:proofErr w:type="gramStart"/>
            <w:r>
              <w:rPr>
                <w:color w:val="B02045"/>
                <w:sz w:val="21"/>
              </w:rPr>
              <w:t>21.Final</w:t>
            </w:r>
            <w:proofErr w:type="gramEnd"/>
          </w:p>
        </w:tc>
      </w:tr>
      <w:tr w:rsidR="00A720EB" w14:paraId="46F58E1D" w14:textId="77777777">
        <w:trPr>
          <w:trHeight w:val="368"/>
        </w:trPr>
        <w:tc>
          <w:tcPr>
            <w:tcW w:w="3325" w:type="dxa"/>
          </w:tcPr>
          <w:p w14:paraId="49262DC6" w14:textId="77777777" w:rsidR="00A720EB" w:rsidRDefault="0030286B">
            <w:pPr>
              <w:pStyle w:val="TableParagraph"/>
              <w:spacing w:before="37"/>
              <w:rPr>
                <w:sz w:val="21"/>
              </w:rPr>
            </w:pPr>
            <w:proofErr w:type="gramStart"/>
            <w:r>
              <w:rPr>
                <w:color w:val="B02045"/>
                <w:sz w:val="21"/>
              </w:rPr>
              <w:t>org.hibernate</w:t>
            </w:r>
            <w:proofErr w:type="gramEnd"/>
            <w:r>
              <w:rPr>
                <w:color w:val="B02045"/>
                <w:sz w:val="21"/>
              </w:rPr>
              <w:t>.validator</w:t>
            </w:r>
          </w:p>
        </w:tc>
        <w:tc>
          <w:tcPr>
            <w:tcW w:w="3325" w:type="dxa"/>
          </w:tcPr>
          <w:p w14:paraId="58B6DF11" w14:textId="77777777" w:rsidR="00A720EB" w:rsidRDefault="0030286B">
            <w:pPr>
              <w:pStyle w:val="TableParagraph"/>
              <w:spacing w:before="37"/>
              <w:rPr>
                <w:sz w:val="21"/>
              </w:rPr>
            </w:pPr>
            <w:r>
              <w:rPr>
                <w:color w:val="B02045"/>
                <w:sz w:val="21"/>
              </w:rPr>
              <w:t>hibernate-validator</w:t>
            </w:r>
          </w:p>
        </w:tc>
        <w:tc>
          <w:tcPr>
            <w:tcW w:w="3325" w:type="dxa"/>
          </w:tcPr>
          <w:p w14:paraId="7A987CB8" w14:textId="77777777" w:rsidR="00A720EB" w:rsidRDefault="0030286B">
            <w:pPr>
              <w:pStyle w:val="TableParagraph"/>
              <w:spacing w:before="37"/>
              <w:rPr>
                <w:sz w:val="21"/>
              </w:rPr>
            </w:pPr>
            <w:r>
              <w:rPr>
                <w:color w:val="B02045"/>
                <w:sz w:val="21"/>
              </w:rPr>
              <w:t>6.1.</w:t>
            </w:r>
            <w:proofErr w:type="gramStart"/>
            <w:r>
              <w:rPr>
                <w:color w:val="B02045"/>
                <w:sz w:val="21"/>
              </w:rPr>
              <w:t>5.Final</w:t>
            </w:r>
            <w:proofErr w:type="gramEnd"/>
          </w:p>
        </w:tc>
      </w:tr>
      <w:tr w:rsidR="00A720EB" w14:paraId="12A72A62" w14:textId="77777777">
        <w:trPr>
          <w:trHeight w:val="627"/>
        </w:trPr>
        <w:tc>
          <w:tcPr>
            <w:tcW w:w="3325" w:type="dxa"/>
          </w:tcPr>
          <w:p w14:paraId="5559BE55" w14:textId="77777777" w:rsidR="00A720EB" w:rsidRDefault="0030286B">
            <w:pPr>
              <w:pStyle w:val="TableParagraph"/>
              <w:spacing w:before="37"/>
              <w:rPr>
                <w:sz w:val="21"/>
              </w:rPr>
            </w:pPr>
            <w:proofErr w:type="gramStart"/>
            <w:r>
              <w:rPr>
                <w:color w:val="B02045"/>
                <w:sz w:val="21"/>
              </w:rPr>
              <w:t>org.hibernate</w:t>
            </w:r>
            <w:proofErr w:type="gramEnd"/>
            <w:r>
              <w:rPr>
                <w:color w:val="B02045"/>
                <w:sz w:val="21"/>
              </w:rPr>
              <w:t>.validator</w:t>
            </w:r>
          </w:p>
        </w:tc>
        <w:tc>
          <w:tcPr>
            <w:tcW w:w="3325" w:type="dxa"/>
          </w:tcPr>
          <w:p w14:paraId="6EE7ADE0" w14:textId="77777777" w:rsidR="00A720EB" w:rsidRDefault="0030286B">
            <w:pPr>
              <w:pStyle w:val="TableParagraph"/>
              <w:spacing w:before="46" w:line="230" w:lineRule="auto"/>
              <w:ind w:right="1152"/>
              <w:rPr>
                <w:sz w:val="21"/>
              </w:rPr>
            </w:pPr>
            <w:r>
              <w:rPr>
                <w:color w:val="B02045"/>
                <w:sz w:val="21"/>
              </w:rPr>
              <w:t>hibernate-validator- annotation-processor</w:t>
            </w:r>
          </w:p>
        </w:tc>
        <w:tc>
          <w:tcPr>
            <w:tcW w:w="3325" w:type="dxa"/>
          </w:tcPr>
          <w:p w14:paraId="490652E6" w14:textId="77777777" w:rsidR="00A720EB" w:rsidRDefault="0030286B">
            <w:pPr>
              <w:pStyle w:val="TableParagraph"/>
              <w:spacing w:before="37"/>
              <w:rPr>
                <w:sz w:val="21"/>
              </w:rPr>
            </w:pPr>
            <w:r>
              <w:rPr>
                <w:color w:val="B02045"/>
                <w:sz w:val="21"/>
              </w:rPr>
              <w:t>6.1.</w:t>
            </w:r>
            <w:proofErr w:type="gramStart"/>
            <w:r>
              <w:rPr>
                <w:color w:val="B02045"/>
                <w:sz w:val="21"/>
              </w:rPr>
              <w:t>5.Final</w:t>
            </w:r>
            <w:proofErr w:type="gramEnd"/>
          </w:p>
        </w:tc>
      </w:tr>
      <w:tr w:rsidR="00A720EB" w14:paraId="5B8F90F4" w14:textId="77777777">
        <w:trPr>
          <w:trHeight w:val="368"/>
        </w:trPr>
        <w:tc>
          <w:tcPr>
            <w:tcW w:w="3325" w:type="dxa"/>
          </w:tcPr>
          <w:p w14:paraId="3211A980" w14:textId="77777777" w:rsidR="00A720EB" w:rsidRDefault="0030286B">
            <w:pPr>
              <w:pStyle w:val="TableParagraph"/>
              <w:rPr>
                <w:sz w:val="21"/>
              </w:rPr>
            </w:pPr>
            <w:proofErr w:type="gramStart"/>
            <w:r>
              <w:rPr>
                <w:color w:val="B02045"/>
                <w:sz w:val="21"/>
              </w:rPr>
              <w:t>org.hsqldb</w:t>
            </w:r>
            <w:proofErr w:type="gramEnd"/>
          </w:p>
        </w:tc>
        <w:tc>
          <w:tcPr>
            <w:tcW w:w="3325" w:type="dxa"/>
          </w:tcPr>
          <w:p w14:paraId="6AA05A4E" w14:textId="77777777" w:rsidR="00A720EB" w:rsidRDefault="0030286B">
            <w:pPr>
              <w:pStyle w:val="TableParagraph"/>
              <w:rPr>
                <w:sz w:val="21"/>
              </w:rPr>
            </w:pPr>
            <w:r>
              <w:rPr>
                <w:color w:val="B02045"/>
                <w:sz w:val="21"/>
              </w:rPr>
              <w:t>hsqldb</w:t>
            </w:r>
          </w:p>
        </w:tc>
        <w:tc>
          <w:tcPr>
            <w:tcW w:w="3325" w:type="dxa"/>
          </w:tcPr>
          <w:p w14:paraId="24B55521" w14:textId="77777777" w:rsidR="00A720EB" w:rsidRDefault="0030286B">
            <w:pPr>
              <w:pStyle w:val="TableParagraph"/>
              <w:rPr>
                <w:sz w:val="21"/>
              </w:rPr>
            </w:pPr>
            <w:r>
              <w:rPr>
                <w:color w:val="B02045"/>
                <w:sz w:val="21"/>
              </w:rPr>
              <w:t>2.5.1</w:t>
            </w:r>
          </w:p>
        </w:tc>
      </w:tr>
      <w:tr w:rsidR="00A720EB" w14:paraId="71F0BE82" w14:textId="77777777">
        <w:trPr>
          <w:trHeight w:val="368"/>
        </w:trPr>
        <w:tc>
          <w:tcPr>
            <w:tcW w:w="3325" w:type="dxa"/>
          </w:tcPr>
          <w:p w14:paraId="2DB8C2CC"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2415E401" w14:textId="77777777" w:rsidR="00A720EB" w:rsidRDefault="0030286B">
            <w:pPr>
              <w:pStyle w:val="TableParagraph"/>
              <w:spacing w:before="37"/>
              <w:rPr>
                <w:sz w:val="21"/>
              </w:rPr>
            </w:pPr>
            <w:r>
              <w:rPr>
                <w:color w:val="B02045"/>
                <w:sz w:val="21"/>
              </w:rPr>
              <w:t>infinispan-api</w:t>
            </w:r>
          </w:p>
        </w:tc>
        <w:tc>
          <w:tcPr>
            <w:tcW w:w="3325" w:type="dxa"/>
          </w:tcPr>
          <w:p w14:paraId="76D8B04F"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0982230F" w14:textId="77777777">
        <w:trPr>
          <w:trHeight w:val="368"/>
        </w:trPr>
        <w:tc>
          <w:tcPr>
            <w:tcW w:w="3325" w:type="dxa"/>
          </w:tcPr>
          <w:p w14:paraId="3BC96C26"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3946CF70" w14:textId="77777777" w:rsidR="00A720EB" w:rsidRDefault="0030286B">
            <w:pPr>
              <w:pStyle w:val="TableParagraph"/>
              <w:spacing w:before="37"/>
              <w:rPr>
                <w:sz w:val="21"/>
              </w:rPr>
            </w:pPr>
            <w:r>
              <w:rPr>
                <w:color w:val="B02045"/>
                <w:sz w:val="21"/>
              </w:rPr>
              <w:t>infinispan-cachestore-jdbc</w:t>
            </w:r>
          </w:p>
        </w:tc>
        <w:tc>
          <w:tcPr>
            <w:tcW w:w="3325" w:type="dxa"/>
          </w:tcPr>
          <w:p w14:paraId="6C90C929"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7E65F79F" w14:textId="77777777">
        <w:trPr>
          <w:trHeight w:val="368"/>
        </w:trPr>
        <w:tc>
          <w:tcPr>
            <w:tcW w:w="3325" w:type="dxa"/>
          </w:tcPr>
          <w:p w14:paraId="60879EFC"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4DEB0DA7" w14:textId="77777777" w:rsidR="00A720EB" w:rsidRDefault="0030286B">
            <w:pPr>
              <w:pStyle w:val="TableParagraph"/>
              <w:rPr>
                <w:sz w:val="21"/>
              </w:rPr>
            </w:pPr>
            <w:r>
              <w:rPr>
                <w:color w:val="B02045"/>
                <w:sz w:val="21"/>
              </w:rPr>
              <w:t>infinispan-cachestore-jpa</w:t>
            </w:r>
          </w:p>
        </w:tc>
        <w:tc>
          <w:tcPr>
            <w:tcW w:w="3325" w:type="dxa"/>
          </w:tcPr>
          <w:p w14:paraId="4D778CEB"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2D570BF7" w14:textId="77777777">
        <w:trPr>
          <w:trHeight w:val="368"/>
        </w:trPr>
        <w:tc>
          <w:tcPr>
            <w:tcW w:w="3325" w:type="dxa"/>
          </w:tcPr>
          <w:p w14:paraId="28D99051"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3D822926" w14:textId="77777777" w:rsidR="00A720EB" w:rsidRDefault="0030286B">
            <w:pPr>
              <w:pStyle w:val="TableParagraph"/>
              <w:rPr>
                <w:sz w:val="21"/>
              </w:rPr>
            </w:pPr>
            <w:r>
              <w:rPr>
                <w:color w:val="B02045"/>
                <w:sz w:val="21"/>
              </w:rPr>
              <w:t>infinispan-cachestore-remote</w:t>
            </w:r>
          </w:p>
        </w:tc>
        <w:tc>
          <w:tcPr>
            <w:tcW w:w="3325" w:type="dxa"/>
          </w:tcPr>
          <w:p w14:paraId="457179B6"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2398E963" w14:textId="77777777">
        <w:trPr>
          <w:trHeight w:val="368"/>
        </w:trPr>
        <w:tc>
          <w:tcPr>
            <w:tcW w:w="3325" w:type="dxa"/>
          </w:tcPr>
          <w:p w14:paraId="7F72DC31"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74763F5B" w14:textId="77777777" w:rsidR="00A720EB" w:rsidRDefault="0030286B">
            <w:pPr>
              <w:pStyle w:val="TableParagraph"/>
              <w:spacing w:before="37"/>
              <w:rPr>
                <w:sz w:val="21"/>
              </w:rPr>
            </w:pPr>
            <w:r>
              <w:rPr>
                <w:color w:val="B02045"/>
                <w:sz w:val="21"/>
              </w:rPr>
              <w:t>infinispan-cachestore-rest</w:t>
            </w:r>
          </w:p>
        </w:tc>
        <w:tc>
          <w:tcPr>
            <w:tcW w:w="3325" w:type="dxa"/>
          </w:tcPr>
          <w:p w14:paraId="77697420"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46725D3F" w14:textId="77777777">
        <w:trPr>
          <w:trHeight w:val="368"/>
        </w:trPr>
        <w:tc>
          <w:tcPr>
            <w:tcW w:w="3325" w:type="dxa"/>
          </w:tcPr>
          <w:p w14:paraId="3C3E34E3"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397FAB9A" w14:textId="77777777" w:rsidR="00A720EB" w:rsidRDefault="0030286B">
            <w:pPr>
              <w:pStyle w:val="TableParagraph"/>
              <w:spacing w:before="37"/>
              <w:rPr>
                <w:sz w:val="21"/>
              </w:rPr>
            </w:pPr>
            <w:r>
              <w:rPr>
                <w:color w:val="B02045"/>
                <w:sz w:val="21"/>
              </w:rPr>
              <w:t>infinispan-cachestore-rocksdb</w:t>
            </w:r>
          </w:p>
        </w:tc>
        <w:tc>
          <w:tcPr>
            <w:tcW w:w="3325" w:type="dxa"/>
          </w:tcPr>
          <w:p w14:paraId="71E70331"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0ABB9379" w14:textId="77777777">
        <w:trPr>
          <w:trHeight w:val="368"/>
        </w:trPr>
        <w:tc>
          <w:tcPr>
            <w:tcW w:w="3325" w:type="dxa"/>
          </w:tcPr>
          <w:p w14:paraId="2C7009D6"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61362950" w14:textId="77777777" w:rsidR="00A720EB" w:rsidRDefault="0030286B">
            <w:pPr>
              <w:pStyle w:val="TableParagraph"/>
              <w:rPr>
                <w:sz w:val="21"/>
              </w:rPr>
            </w:pPr>
            <w:r>
              <w:rPr>
                <w:color w:val="B02045"/>
                <w:sz w:val="21"/>
              </w:rPr>
              <w:t>infinispan-cdi-common</w:t>
            </w:r>
          </w:p>
        </w:tc>
        <w:tc>
          <w:tcPr>
            <w:tcW w:w="3325" w:type="dxa"/>
          </w:tcPr>
          <w:p w14:paraId="75DBC258"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082307D1" w14:textId="77777777">
        <w:trPr>
          <w:trHeight w:val="368"/>
        </w:trPr>
        <w:tc>
          <w:tcPr>
            <w:tcW w:w="3325" w:type="dxa"/>
          </w:tcPr>
          <w:p w14:paraId="591532D7"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1D4C508D" w14:textId="77777777" w:rsidR="00A720EB" w:rsidRDefault="0030286B">
            <w:pPr>
              <w:pStyle w:val="TableParagraph"/>
              <w:spacing w:before="37"/>
              <w:rPr>
                <w:sz w:val="21"/>
              </w:rPr>
            </w:pPr>
            <w:r>
              <w:rPr>
                <w:color w:val="B02045"/>
                <w:sz w:val="21"/>
              </w:rPr>
              <w:t>infinispan-cdi-embedded</w:t>
            </w:r>
          </w:p>
        </w:tc>
        <w:tc>
          <w:tcPr>
            <w:tcW w:w="3325" w:type="dxa"/>
          </w:tcPr>
          <w:p w14:paraId="13BB0106"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2CFDED6E" w14:textId="77777777">
        <w:trPr>
          <w:trHeight w:val="368"/>
        </w:trPr>
        <w:tc>
          <w:tcPr>
            <w:tcW w:w="3325" w:type="dxa"/>
          </w:tcPr>
          <w:p w14:paraId="42EF9F16"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7DB6F7BD" w14:textId="77777777" w:rsidR="00A720EB" w:rsidRDefault="0030286B">
            <w:pPr>
              <w:pStyle w:val="TableParagraph"/>
              <w:rPr>
                <w:sz w:val="21"/>
              </w:rPr>
            </w:pPr>
            <w:r>
              <w:rPr>
                <w:color w:val="B02045"/>
                <w:sz w:val="21"/>
              </w:rPr>
              <w:t>infinispan-cdi-remote</w:t>
            </w:r>
          </w:p>
        </w:tc>
        <w:tc>
          <w:tcPr>
            <w:tcW w:w="3325" w:type="dxa"/>
          </w:tcPr>
          <w:p w14:paraId="6F4B0B50"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79945B6D" w14:textId="77777777">
        <w:trPr>
          <w:trHeight w:val="368"/>
        </w:trPr>
        <w:tc>
          <w:tcPr>
            <w:tcW w:w="3325" w:type="dxa"/>
          </w:tcPr>
          <w:p w14:paraId="248A680F"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6CC6CBC8" w14:textId="77777777" w:rsidR="00A720EB" w:rsidRDefault="0030286B">
            <w:pPr>
              <w:pStyle w:val="TableParagraph"/>
              <w:spacing w:before="37"/>
              <w:rPr>
                <w:sz w:val="21"/>
              </w:rPr>
            </w:pPr>
            <w:r>
              <w:rPr>
                <w:color w:val="B02045"/>
                <w:sz w:val="21"/>
              </w:rPr>
              <w:t>infinispan-client-hotrod</w:t>
            </w:r>
          </w:p>
        </w:tc>
        <w:tc>
          <w:tcPr>
            <w:tcW w:w="3325" w:type="dxa"/>
          </w:tcPr>
          <w:p w14:paraId="2184AAAC"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4CA7674B" w14:textId="77777777">
        <w:trPr>
          <w:trHeight w:val="368"/>
        </w:trPr>
        <w:tc>
          <w:tcPr>
            <w:tcW w:w="3325" w:type="dxa"/>
          </w:tcPr>
          <w:p w14:paraId="4B8467B9"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318BF940" w14:textId="77777777" w:rsidR="00A720EB" w:rsidRDefault="0030286B">
            <w:pPr>
              <w:pStyle w:val="TableParagraph"/>
              <w:rPr>
                <w:sz w:val="21"/>
              </w:rPr>
            </w:pPr>
            <w:r>
              <w:rPr>
                <w:color w:val="B02045"/>
                <w:sz w:val="21"/>
              </w:rPr>
              <w:t>infinispan-client-rest</w:t>
            </w:r>
          </w:p>
        </w:tc>
        <w:tc>
          <w:tcPr>
            <w:tcW w:w="3325" w:type="dxa"/>
          </w:tcPr>
          <w:p w14:paraId="61E5EC4E"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07F48D89" w14:textId="77777777">
        <w:trPr>
          <w:trHeight w:val="368"/>
        </w:trPr>
        <w:tc>
          <w:tcPr>
            <w:tcW w:w="3325" w:type="dxa"/>
          </w:tcPr>
          <w:p w14:paraId="4D3284DB"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261FB2E2" w14:textId="77777777" w:rsidR="00A720EB" w:rsidRDefault="0030286B">
            <w:pPr>
              <w:pStyle w:val="TableParagraph"/>
              <w:spacing w:before="37"/>
              <w:rPr>
                <w:sz w:val="21"/>
              </w:rPr>
            </w:pPr>
            <w:r>
              <w:rPr>
                <w:color w:val="B02045"/>
                <w:sz w:val="21"/>
              </w:rPr>
              <w:t>infinispan-clustered-counter</w:t>
            </w:r>
          </w:p>
        </w:tc>
        <w:tc>
          <w:tcPr>
            <w:tcW w:w="3325" w:type="dxa"/>
          </w:tcPr>
          <w:p w14:paraId="291E3C1B"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2F7DA15E" w14:textId="77777777">
        <w:trPr>
          <w:trHeight w:val="368"/>
        </w:trPr>
        <w:tc>
          <w:tcPr>
            <w:tcW w:w="3325" w:type="dxa"/>
          </w:tcPr>
          <w:p w14:paraId="4BE67D50"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646236E9" w14:textId="77777777" w:rsidR="00A720EB" w:rsidRDefault="0030286B">
            <w:pPr>
              <w:pStyle w:val="TableParagraph"/>
              <w:rPr>
                <w:sz w:val="21"/>
              </w:rPr>
            </w:pPr>
            <w:r>
              <w:rPr>
                <w:color w:val="B02045"/>
                <w:sz w:val="21"/>
              </w:rPr>
              <w:t>infinispan-clustered-lock</w:t>
            </w:r>
          </w:p>
        </w:tc>
        <w:tc>
          <w:tcPr>
            <w:tcW w:w="3325" w:type="dxa"/>
          </w:tcPr>
          <w:p w14:paraId="26E1621C"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629FEEC5" w14:textId="77777777">
        <w:trPr>
          <w:trHeight w:val="368"/>
        </w:trPr>
        <w:tc>
          <w:tcPr>
            <w:tcW w:w="3325" w:type="dxa"/>
          </w:tcPr>
          <w:p w14:paraId="01A45AC9"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193B7703" w14:textId="77777777" w:rsidR="00A720EB" w:rsidRDefault="0030286B">
            <w:pPr>
              <w:pStyle w:val="TableParagraph"/>
              <w:rPr>
                <w:sz w:val="21"/>
              </w:rPr>
            </w:pPr>
            <w:r>
              <w:rPr>
                <w:color w:val="B02045"/>
                <w:sz w:val="21"/>
              </w:rPr>
              <w:t>infinispan-commons</w:t>
            </w:r>
          </w:p>
        </w:tc>
        <w:tc>
          <w:tcPr>
            <w:tcW w:w="3325" w:type="dxa"/>
          </w:tcPr>
          <w:p w14:paraId="19516517"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3FFBFB0B" w14:textId="77777777">
        <w:trPr>
          <w:trHeight w:val="627"/>
        </w:trPr>
        <w:tc>
          <w:tcPr>
            <w:tcW w:w="3325" w:type="dxa"/>
          </w:tcPr>
          <w:p w14:paraId="2C97E1BC"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59BBA324" w14:textId="77777777" w:rsidR="00A720EB" w:rsidRDefault="0030286B">
            <w:pPr>
              <w:pStyle w:val="TableParagraph"/>
              <w:spacing w:before="46" w:line="230" w:lineRule="auto"/>
              <w:ind w:right="1030"/>
              <w:rPr>
                <w:sz w:val="21"/>
              </w:rPr>
            </w:pPr>
            <w:r>
              <w:rPr>
                <w:color w:val="B02045"/>
                <w:sz w:val="21"/>
              </w:rPr>
              <w:t>infinispan-component- annotations</w:t>
            </w:r>
          </w:p>
        </w:tc>
        <w:tc>
          <w:tcPr>
            <w:tcW w:w="3325" w:type="dxa"/>
          </w:tcPr>
          <w:p w14:paraId="0E6E7E9D"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774804B5" w14:textId="77777777">
        <w:trPr>
          <w:trHeight w:val="368"/>
        </w:trPr>
        <w:tc>
          <w:tcPr>
            <w:tcW w:w="3325" w:type="dxa"/>
          </w:tcPr>
          <w:p w14:paraId="40DA9CB4"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1DBA78B7" w14:textId="77777777" w:rsidR="00A720EB" w:rsidRDefault="0030286B">
            <w:pPr>
              <w:pStyle w:val="TableParagraph"/>
              <w:rPr>
                <w:sz w:val="21"/>
              </w:rPr>
            </w:pPr>
            <w:r>
              <w:rPr>
                <w:color w:val="B02045"/>
                <w:sz w:val="21"/>
              </w:rPr>
              <w:t>infinispan-core</w:t>
            </w:r>
          </w:p>
        </w:tc>
        <w:tc>
          <w:tcPr>
            <w:tcW w:w="3325" w:type="dxa"/>
          </w:tcPr>
          <w:p w14:paraId="15B5B75C"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bl>
    <w:p w14:paraId="20E98E1D"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68F85E23" w14:textId="77777777">
        <w:trPr>
          <w:trHeight w:val="415"/>
        </w:trPr>
        <w:tc>
          <w:tcPr>
            <w:tcW w:w="3325" w:type="dxa"/>
            <w:tcBorders>
              <w:bottom w:val="single" w:sz="12" w:space="0" w:color="DDDDDD"/>
            </w:tcBorders>
          </w:tcPr>
          <w:p w14:paraId="3AFDB9D7"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32CF35A3"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52498176"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2FB63233" w14:textId="77777777">
        <w:trPr>
          <w:trHeight w:val="358"/>
        </w:trPr>
        <w:tc>
          <w:tcPr>
            <w:tcW w:w="3325" w:type="dxa"/>
            <w:tcBorders>
              <w:top w:val="single" w:sz="12" w:space="0" w:color="DDDDDD"/>
            </w:tcBorders>
          </w:tcPr>
          <w:p w14:paraId="1B404F7D" w14:textId="77777777" w:rsidR="00A720EB" w:rsidRDefault="0030286B">
            <w:pPr>
              <w:pStyle w:val="TableParagraph"/>
              <w:spacing w:before="27"/>
              <w:rPr>
                <w:sz w:val="21"/>
              </w:rPr>
            </w:pPr>
            <w:proofErr w:type="gramStart"/>
            <w:r>
              <w:rPr>
                <w:color w:val="B02045"/>
                <w:sz w:val="21"/>
              </w:rPr>
              <w:t>org.infinispan</w:t>
            </w:r>
            <w:proofErr w:type="gramEnd"/>
          </w:p>
        </w:tc>
        <w:tc>
          <w:tcPr>
            <w:tcW w:w="3325" w:type="dxa"/>
            <w:tcBorders>
              <w:top w:val="single" w:sz="12" w:space="0" w:color="DDDDDD"/>
            </w:tcBorders>
          </w:tcPr>
          <w:p w14:paraId="0D364209" w14:textId="77777777" w:rsidR="00A720EB" w:rsidRDefault="0030286B">
            <w:pPr>
              <w:pStyle w:val="TableParagraph"/>
              <w:spacing w:before="27"/>
              <w:rPr>
                <w:sz w:val="21"/>
              </w:rPr>
            </w:pPr>
            <w:r>
              <w:rPr>
                <w:color w:val="B02045"/>
                <w:sz w:val="21"/>
              </w:rPr>
              <w:t>infinispan-directory-provider</w:t>
            </w:r>
          </w:p>
        </w:tc>
        <w:tc>
          <w:tcPr>
            <w:tcW w:w="3325" w:type="dxa"/>
            <w:tcBorders>
              <w:top w:val="single" w:sz="12" w:space="0" w:color="DDDDDD"/>
            </w:tcBorders>
          </w:tcPr>
          <w:p w14:paraId="758FFBA7" w14:textId="77777777" w:rsidR="00A720EB" w:rsidRDefault="0030286B">
            <w:pPr>
              <w:pStyle w:val="TableParagraph"/>
              <w:spacing w:before="27"/>
              <w:rPr>
                <w:sz w:val="21"/>
              </w:rPr>
            </w:pPr>
            <w:r>
              <w:rPr>
                <w:color w:val="B02045"/>
                <w:sz w:val="21"/>
              </w:rPr>
              <w:t>10.1.</w:t>
            </w:r>
            <w:proofErr w:type="gramStart"/>
            <w:r>
              <w:rPr>
                <w:color w:val="B02045"/>
                <w:sz w:val="21"/>
              </w:rPr>
              <w:t>8.Final</w:t>
            </w:r>
            <w:proofErr w:type="gramEnd"/>
          </w:p>
        </w:tc>
      </w:tr>
      <w:tr w:rsidR="00A720EB" w14:paraId="38F829D3" w14:textId="77777777">
        <w:trPr>
          <w:trHeight w:val="368"/>
        </w:trPr>
        <w:tc>
          <w:tcPr>
            <w:tcW w:w="3325" w:type="dxa"/>
          </w:tcPr>
          <w:p w14:paraId="7BB0A42B"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4296F710" w14:textId="77777777" w:rsidR="00A720EB" w:rsidRDefault="0030286B">
            <w:pPr>
              <w:pStyle w:val="TableParagraph"/>
              <w:spacing w:before="37"/>
              <w:rPr>
                <w:sz w:val="21"/>
              </w:rPr>
            </w:pPr>
            <w:r>
              <w:rPr>
                <w:color w:val="B02045"/>
                <w:sz w:val="21"/>
              </w:rPr>
              <w:t>infinispan-hibernate-cache-v53</w:t>
            </w:r>
          </w:p>
        </w:tc>
        <w:tc>
          <w:tcPr>
            <w:tcW w:w="3325" w:type="dxa"/>
          </w:tcPr>
          <w:p w14:paraId="3490FAF4"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65C1B13C" w14:textId="77777777">
        <w:trPr>
          <w:trHeight w:val="368"/>
        </w:trPr>
        <w:tc>
          <w:tcPr>
            <w:tcW w:w="3325" w:type="dxa"/>
          </w:tcPr>
          <w:p w14:paraId="23694C8F"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19AAD9AD" w14:textId="77777777" w:rsidR="00A720EB" w:rsidRDefault="0030286B">
            <w:pPr>
              <w:pStyle w:val="TableParagraph"/>
              <w:spacing w:before="37"/>
              <w:rPr>
                <w:sz w:val="21"/>
              </w:rPr>
            </w:pPr>
            <w:r>
              <w:rPr>
                <w:color w:val="B02045"/>
                <w:sz w:val="21"/>
              </w:rPr>
              <w:t>infinispan-jboss-marshalling</w:t>
            </w:r>
          </w:p>
        </w:tc>
        <w:tc>
          <w:tcPr>
            <w:tcW w:w="3325" w:type="dxa"/>
          </w:tcPr>
          <w:p w14:paraId="4A6D7F83"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6E98121E" w14:textId="77777777">
        <w:trPr>
          <w:trHeight w:val="368"/>
        </w:trPr>
        <w:tc>
          <w:tcPr>
            <w:tcW w:w="3325" w:type="dxa"/>
          </w:tcPr>
          <w:p w14:paraId="52B9332C"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25ECF9CD" w14:textId="77777777" w:rsidR="00A720EB" w:rsidRDefault="0030286B">
            <w:pPr>
              <w:pStyle w:val="TableParagraph"/>
              <w:rPr>
                <w:sz w:val="21"/>
              </w:rPr>
            </w:pPr>
            <w:r>
              <w:rPr>
                <w:color w:val="B02045"/>
                <w:sz w:val="21"/>
              </w:rPr>
              <w:t>infinispan-jcache</w:t>
            </w:r>
          </w:p>
        </w:tc>
        <w:tc>
          <w:tcPr>
            <w:tcW w:w="3325" w:type="dxa"/>
          </w:tcPr>
          <w:p w14:paraId="0F37E6A5"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0215F0C1" w14:textId="77777777">
        <w:trPr>
          <w:trHeight w:val="368"/>
        </w:trPr>
        <w:tc>
          <w:tcPr>
            <w:tcW w:w="3325" w:type="dxa"/>
          </w:tcPr>
          <w:p w14:paraId="5AFC025B"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10F347D6" w14:textId="77777777" w:rsidR="00A720EB" w:rsidRDefault="0030286B">
            <w:pPr>
              <w:pStyle w:val="TableParagraph"/>
              <w:rPr>
                <w:sz w:val="21"/>
              </w:rPr>
            </w:pPr>
            <w:r>
              <w:rPr>
                <w:color w:val="B02045"/>
                <w:sz w:val="21"/>
              </w:rPr>
              <w:t>infinispan-jcache-commons</w:t>
            </w:r>
          </w:p>
        </w:tc>
        <w:tc>
          <w:tcPr>
            <w:tcW w:w="3325" w:type="dxa"/>
          </w:tcPr>
          <w:p w14:paraId="601789FF"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69705FE9" w14:textId="77777777">
        <w:trPr>
          <w:trHeight w:val="368"/>
        </w:trPr>
        <w:tc>
          <w:tcPr>
            <w:tcW w:w="3325" w:type="dxa"/>
          </w:tcPr>
          <w:p w14:paraId="1EC1CBEB"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0BB8CBDF" w14:textId="77777777" w:rsidR="00A720EB" w:rsidRDefault="0030286B">
            <w:pPr>
              <w:pStyle w:val="TableParagraph"/>
              <w:rPr>
                <w:sz w:val="21"/>
              </w:rPr>
            </w:pPr>
            <w:r>
              <w:rPr>
                <w:color w:val="B02045"/>
                <w:sz w:val="21"/>
              </w:rPr>
              <w:t>infinispan-jcache-remote</w:t>
            </w:r>
          </w:p>
        </w:tc>
        <w:tc>
          <w:tcPr>
            <w:tcW w:w="3325" w:type="dxa"/>
          </w:tcPr>
          <w:p w14:paraId="4B71D7CB"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1E07F0D7" w14:textId="77777777">
        <w:trPr>
          <w:trHeight w:val="627"/>
        </w:trPr>
        <w:tc>
          <w:tcPr>
            <w:tcW w:w="3325" w:type="dxa"/>
          </w:tcPr>
          <w:p w14:paraId="171C4D55"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33CF67A2" w14:textId="77777777" w:rsidR="00A720EB" w:rsidRDefault="0030286B">
            <w:pPr>
              <w:pStyle w:val="TableParagraph"/>
              <w:spacing w:before="46" w:line="230" w:lineRule="auto"/>
              <w:ind w:right="400"/>
              <w:rPr>
                <w:sz w:val="21"/>
              </w:rPr>
            </w:pPr>
            <w:r>
              <w:rPr>
                <w:color w:val="B02045"/>
                <w:sz w:val="21"/>
              </w:rPr>
              <w:t>infinispan-key-value-store- client</w:t>
            </w:r>
          </w:p>
        </w:tc>
        <w:tc>
          <w:tcPr>
            <w:tcW w:w="3325" w:type="dxa"/>
          </w:tcPr>
          <w:p w14:paraId="36C77CB5"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7217FE94" w14:textId="77777777">
        <w:trPr>
          <w:trHeight w:val="368"/>
        </w:trPr>
        <w:tc>
          <w:tcPr>
            <w:tcW w:w="3325" w:type="dxa"/>
          </w:tcPr>
          <w:p w14:paraId="31AF2DB7"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28799581" w14:textId="77777777" w:rsidR="00A720EB" w:rsidRDefault="0030286B">
            <w:pPr>
              <w:pStyle w:val="TableParagraph"/>
              <w:spacing w:before="37"/>
              <w:rPr>
                <w:sz w:val="21"/>
              </w:rPr>
            </w:pPr>
            <w:r>
              <w:rPr>
                <w:color w:val="B02045"/>
                <w:sz w:val="21"/>
              </w:rPr>
              <w:t>infinispan-lucene-directory</w:t>
            </w:r>
          </w:p>
        </w:tc>
        <w:tc>
          <w:tcPr>
            <w:tcW w:w="3325" w:type="dxa"/>
          </w:tcPr>
          <w:p w14:paraId="5B694F67"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01684CEA" w14:textId="77777777">
        <w:trPr>
          <w:trHeight w:val="368"/>
        </w:trPr>
        <w:tc>
          <w:tcPr>
            <w:tcW w:w="3325" w:type="dxa"/>
          </w:tcPr>
          <w:p w14:paraId="1D8E5DA4"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79AB2960" w14:textId="77777777" w:rsidR="00A720EB" w:rsidRDefault="0030286B">
            <w:pPr>
              <w:pStyle w:val="TableParagraph"/>
              <w:spacing w:before="37"/>
              <w:rPr>
                <w:sz w:val="21"/>
              </w:rPr>
            </w:pPr>
            <w:r>
              <w:rPr>
                <w:color w:val="B02045"/>
                <w:sz w:val="21"/>
              </w:rPr>
              <w:t>infinispan-objectfilter</w:t>
            </w:r>
          </w:p>
        </w:tc>
        <w:tc>
          <w:tcPr>
            <w:tcW w:w="3325" w:type="dxa"/>
          </w:tcPr>
          <w:p w14:paraId="365F4F0C"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0CF7E9EF" w14:textId="77777777">
        <w:trPr>
          <w:trHeight w:val="368"/>
        </w:trPr>
        <w:tc>
          <w:tcPr>
            <w:tcW w:w="3325" w:type="dxa"/>
          </w:tcPr>
          <w:p w14:paraId="195B6069"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618E66D9" w14:textId="77777777" w:rsidR="00A720EB" w:rsidRDefault="0030286B">
            <w:pPr>
              <w:pStyle w:val="TableParagraph"/>
              <w:spacing w:before="37"/>
              <w:rPr>
                <w:sz w:val="21"/>
              </w:rPr>
            </w:pPr>
            <w:r>
              <w:rPr>
                <w:color w:val="B02045"/>
                <w:sz w:val="21"/>
              </w:rPr>
              <w:t>infinispan-osgi</w:t>
            </w:r>
          </w:p>
        </w:tc>
        <w:tc>
          <w:tcPr>
            <w:tcW w:w="3325" w:type="dxa"/>
          </w:tcPr>
          <w:p w14:paraId="2F0C7BD8"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5626611C" w14:textId="77777777">
        <w:trPr>
          <w:trHeight w:val="627"/>
        </w:trPr>
        <w:tc>
          <w:tcPr>
            <w:tcW w:w="3325" w:type="dxa"/>
          </w:tcPr>
          <w:p w14:paraId="1DD62ED9"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3CCFF713" w14:textId="77777777" w:rsidR="00A720EB" w:rsidRDefault="0030286B">
            <w:pPr>
              <w:pStyle w:val="TableParagraph"/>
              <w:spacing w:before="46" w:line="230" w:lineRule="auto"/>
              <w:ind w:right="295"/>
              <w:rPr>
                <w:sz w:val="21"/>
              </w:rPr>
            </w:pPr>
            <w:r>
              <w:rPr>
                <w:color w:val="B02045"/>
                <w:sz w:val="21"/>
              </w:rPr>
              <w:t>infinispan-persistence-soft- index</w:t>
            </w:r>
          </w:p>
        </w:tc>
        <w:tc>
          <w:tcPr>
            <w:tcW w:w="3325" w:type="dxa"/>
          </w:tcPr>
          <w:p w14:paraId="11466F3E"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11485009" w14:textId="77777777">
        <w:trPr>
          <w:trHeight w:val="368"/>
        </w:trPr>
        <w:tc>
          <w:tcPr>
            <w:tcW w:w="3325" w:type="dxa"/>
          </w:tcPr>
          <w:p w14:paraId="196842DF"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4FDA145E" w14:textId="77777777" w:rsidR="00A720EB" w:rsidRDefault="0030286B">
            <w:pPr>
              <w:pStyle w:val="TableParagraph"/>
              <w:rPr>
                <w:sz w:val="21"/>
              </w:rPr>
            </w:pPr>
            <w:r>
              <w:rPr>
                <w:color w:val="B02045"/>
                <w:sz w:val="21"/>
              </w:rPr>
              <w:t>infinispan-query</w:t>
            </w:r>
          </w:p>
        </w:tc>
        <w:tc>
          <w:tcPr>
            <w:tcW w:w="3325" w:type="dxa"/>
          </w:tcPr>
          <w:p w14:paraId="7C4C2C31"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1619545E" w14:textId="77777777">
        <w:trPr>
          <w:trHeight w:val="368"/>
        </w:trPr>
        <w:tc>
          <w:tcPr>
            <w:tcW w:w="3325" w:type="dxa"/>
          </w:tcPr>
          <w:p w14:paraId="1E33230B"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2AD41232" w14:textId="77777777" w:rsidR="00A720EB" w:rsidRDefault="0030286B">
            <w:pPr>
              <w:pStyle w:val="TableParagraph"/>
              <w:rPr>
                <w:sz w:val="21"/>
              </w:rPr>
            </w:pPr>
            <w:r>
              <w:rPr>
                <w:color w:val="B02045"/>
                <w:sz w:val="21"/>
              </w:rPr>
              <w:t>infinispan-query-core</w:t>
            </w:r>
          </w:p>
        </w:tc>
        <w:tc>
          <w:tcPr>
            <w:tcW w:w="3325" w:type="dxa"/>
          </w:tcPr>
          <w:p w14:paraId="24CAE0A8"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31A5379E" w14:textId="77777777">
        <w:trPr>
          <w:trHeight w:val="368"/>
        </w:trPr>
        <w:tc>
          <w:tcPr>
            <w:tcW w:w="3325" w:type="dxa"/>
          </w:tcPr>
          <w:p w14:paraId="64C64AA0"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2629C9F9" w14:textId="77777777" w:rsidR="00A720EB" w:rsidRDefault="0030286B">
            <w:pPr>
              <w:pStyle w:val="TableParagraph"/>
              <w:rPr>
                <w:sz w:val="21"/>
              </w:rPr>
            </w:pPr>
            <w:r>
              <w:rPr>
                <w:color w:val="B02045"/>
                <w:sz w:val="21"/>
              </w:rPr>
              <w:t>infinispan-query-dsl</w:t>
            </w:r>
          </w:p>
        </w:tc>
        <w:tc>
          <w:tcPr>
            <w:tcW w:w="3325" w:type="dxa"/>
          </w:tcPr>
          <w:p w14:paraId="2C3613E0"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05B5E69C" w14:textId="77777777">
        <w:trPr>
          <w:trHeight w:val="368"/>
        </w:trPr>
        <w:tc>
          <w:tcPr>
            <w:tcW w:w="3325" w:type="dxa"/>
          </w:tcPr>
          <w:p w14:paraId="2A536791"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5CB8DDDF" w14:textId="77777777" w:rsidR="00A720EB" w:rsidRDefault="0030286B">
            <w:pPr>
              <w:pStyle w:val="TableParagraph"/>
              <w:rPr>
                <w:sz w:val="21"/>
              </w:rPr>
            </w:pPr>
            <w:r>
              <w:rPr>
                <w:color w:val="B02045"/>
                <w:sz w:val="21"/>
              </w:rPr>
              <w:t>infinispan-remote-query-client</w:t>
            </w:r>
          </w:p>
        </w:tc>
        <w:tc>
          <w:tcPr>
            <w:tcW w:w="3325" w:type="dxa"/>
          </w:tcPr>
          <w:p w14:paraId="3B2496B1"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19AE36CA" w14:textId="77777777">
        <w:trPr>
          <w:trHeight w:val="368"/>
        </w:trPr>
        <w:tc>
          <w:tcPr>
            <w:tcW w:w="3325" w:type="dxa"/>
          </w:tcPr>
          <w:p w14:paraId="2E5CAE23"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349148C9" w14:textId="77777777" w:rsidR="00A720EB" w:rsidRDefault="0030286B">
            <w:pPr>
              <w:pStyle w:val="TableParagraph"/>
              <w:spacing w:before="37"/>
              <w:rPr>
                <w:sz w:val="21"/>
              </w:rPr>
            </w:pPr>
            <w:r>
              <w:rPr>
                <w:color w:val="B02045"/>
                <w:sz w:val="21"/>
              </w:rPr>
              <w:t>infinispan-remote-query-server</w:t>
            </w:r>
          </w:p>
        </w:tc>
        <w:tc>
          <w:tcPr>
            <w:tcW w:w="3325" w:type="dxa"/>
          </w:tcPr>
          <w:p w14:paraId="44A21937"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505F484B" w14:textId="77777777">
        <w:trPr>
          <w:trHeight w:val="368"/>
        </w:trPr>
        <w:tc>
          <w:tcPr>
            <w:tcW w:w="3325" w:type="dxa"/>
          </w:tcPr>
          <w:p w14:paraId="4B7894C3"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6BEFCB36" w14:textId="77777777" w:rsidR="00A720EB" w:rsidRDefault="0030286B">
            <w:pPr>
              <w:pStyle w:val="TableParagraph"/>
              <w:spacing w:before="37"/>
              <w:rPr>
                <w:sz w:val="21"/>
              </w:rPr>
            </w:pPr>
            <w:r>
              <w:rPr>
                <w:color w:val="B02045"/>
                <w:sz w:val="21"/>
              </w:rPr>
              <w:t>infinispan-scripting</w:t>
            </w:r>
          </w:p>
        </w:tc>
        <w:tc>
          <w:tcPr>
            <w:tcW w:w="3325" w:type="dxa"/>
          </w:tcPr>
          <w:p w14:paraId="6953D6AB"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3C4F3ED9" w14:textId="77777777">
        <w:trPr>
          <w:trHeight w:val="368"/>
        </w:trPr>
        <w:tc>
          <w:tcPr>
            <w:tcW w:w="3325" w:type="dxa"/>
          </w:tcPr>
          <w:p w14:paraId="72654DD8"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33684730" w14:textId="77777777" w:rsidR="00A720EB" w:rsidRDefault="0030286B">
            <w:pPr>
              <w:pStyle w:val="TableParagraph"/>
              <w:spacing w:before="37"/>
              <w:rPr>
                <w:sz w:val="21"/>
              </w:rPr>
            </w:pPr>
            <w:r>
              <w:rPr>
                <w:color w:val="B02045"/>
                <w:sz w:val="21"/>
              </w:rPr>
              <w:t>infinispan-server-core</w:t>
            </w:r>
          </w:p>
        </w:tc>
        <w:tc>
          <w:tcPr>
            <w:tcW w:w="3325" w:type="dxa"/>
          </w:tcPr>
          <w:p w14:paraId="427FCFAF"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172C78F9" w14:textId="77777777">
        <w:trPr>
          <w:trHeight w:val="368"/>
        </w:trPr>
        <w:tc>
          <w:tcPr>
            <w:tcW w:w="3325" w:type="dxa"/>
          </w:tcPr>
          <w:p w14:paraId="472ACF3E"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505D5125" w14:textId="77777777" w:rsidR="00A720EB" w:rsidRDefault="0030286B">
            <w:pPr>
              <w:pStyle w:val="TableParagraph"/>
              <w:rPr>
                <w:sz w:val="21"/>
              </w:rPr>
            </w:pPr>
            <w:r>
              <w:rPr>
                <w:color w:val="B02045"/>
                <w:sz w:val="21"/>
              </w:rPr>
              <w:t>infinispan-server-hotrod</w:t>
            </w:r>
          </w:p>
        </w:tc>
        <w:tc>
          <w:tcPr>
            <w:tcW w:w="3325" w:type="dxa"/>
          </w:tcPr>
          <w:p w14:paraId="26FEC731"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7382D394" w14:textId="77777777">
        <w:trPr>
          <w:trHeight w:val="368"/>
        </w:trPr>
        <w:tc>
          <w:tcPr>
            <w:tcW w:w="3325" w:type="dxa"/>
          </w:tcPr>
          <w:p w14:paraId="20299797"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76A938FE" w14:textId="77777777" w:rsidR="00A720EB" w:rsidRDefault="0030286B">
            <w:pPr>
              <w:pStyle w:val="TableParagraph"/>
              <w:rPr>
                <w:sz w:val="21"/>
              </w:rPr>
            </w:pPr>
            <w:r>
              <w:rPr>
                <w:color w:val="B02045"/>
                <w:sz w:val="21"/>
              </w:rPr>
              <w:t>infinispan-server-memcached</w:t>
            </w:r>
          </w:p>
        </w:tc>
        <w:tc>
          <w:tcPr>
            <w:tcW w:w="3325" w:type="dxa"/>
          </w:tcPr>
          <w:p w14:paraId="54FC70DE"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749C167D" w14:textId="77777777">
        <w:trPr>
          <w:trHeight w:val="368"/>
        </w:trPr>
        <w:tc>
          <w:tcPr>
            <w:tcW w:w="3325" w:type="dxa"/>
          </w:tcPr>
          <w:p w14:paraId="7CFBDA49"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64F216BB" w14:textId="77777777" w:rsidR="00A720EB" w:rsidRDefault="0030286B">
            <w:pPr>
              <w:pStyle w:val="TableParagraph"/>
              <w:spacing w:before="37"/>
              <w:rPr>
                <w:sz w:val="21"/>
              </w:rPr>
            </w:pPr>
            <w:r>
              <w:rPr>
                <w:color w:val="B02045"/>
                <w:sz w:val="21"/>
              </w:rPr>
              <w:t>infinispan-server-rest</w:t>
            </w:r>
          </w:p>
        </w:tc>
        <w:tc>
          <w:tcPr>
            <w:tcW w:w="3325" w:type="dxa"/>
          </w:tcPr>
          <w:p w14:paraId="365EF9A6"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03805066" w14:textId="77777777">
        <w:trPr>
          <w:trHeight w:val="368"/>
        </w:trPr>
        <w:tc>
          <w:tcPr>
            <w:tcW w:w="3325" w:type="dxa"/>
          </w:tcPr>
          <w:p w14:paraId="2317BAAA"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6060CBF8" w14:textId="77777777" w:rsidR="00A720EB" w:rsidRDefault="0030286B">
            <w:pPr>
              <w:pStyle w:val="TableParagraph"/>
              <w:spacing w:before="37"/>
              <w:rPr>
                <w:sz w:val="21"/>
              </w:rPr>
            </w:pPr>
            <w:r>
              <w:rPr>
                <w:color w:val="B02045"/>
                <w:sz w:val="21"/>
              </w:rPr>
              <w:t>infinispan-server-router</w:t>
            </w:r>
          </w:p>
        </w:tc>
        <w:tc>
          <w:tcPr>
            <w:tcW w:w="3325" w:type="dxa"/>
          </w:tcPr>
          <w:p w14:paraId="7C7DDC7B"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19EC1F4F" w14:textId="77777777">
        <w:trPr>
          <w:trHeight w:val="368"/>
        </w:trPr>
        <w:tc>
          <w:tcPr>
            <w:tcW w:w="3325" w:type="dxa"/>
          </w:tcPr>
          <w:p w14:paraId="6C991A51"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48937748" w14:textId="77777777" w:rsidR="00A720EB" w:rsidRDefault="0030286B">
            <w:pPr>
              <w:pStyle w:val="TableParagraph"/>
              <w:rPr>
                <w:sz w:val="21"/>
              </w:rPr>
            </w:pPr>
            <w:r>
              <w:rPr>
                <w:color w:val="B02045"/>
                <w:sz w:val="21"/>
              </w:rPr>
              <w:t>infinispan-spring5-common</w:t>
            </w:r>
          </w:p>
        </w:tc>
        <w:tc>
          <w:tcPr>
            <w:tcW w:w="3325" w:type="dxa"/>
          </w:tcPr>
          <w:p w14:paraId="5C53E7B0"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0D6CFC3B" w14:textId="77777777">
        <w:trPr>
          <w:trHeight w:val="368"/>
        </w:trPr>
        <w:tc>
          <w:tcPr>
            <w:tcW w:w="3325" w:type="dxa"/>
          </w:tcPr>
          <w:p w14:paraId="1279E169"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68C92619" w14:textId="77777777" w:rsidR="00A720EB" w:rsidRDefault="0030286B">
            <w:pPr>
              <w:pStyle w:val="TableParagraph"/>
              <w:rPr>
                <w:sz w:val="21"/>
              </w:rPr>
            </w:pPr>
            <w:r>
              <w:rPr>
                <w:color w:val="B02045"/>
                <w:sz w:val="21"/>
              </w:rPr>
              <w:t>infinispan-spring5-embedded</w:t>
            </w:r>
          </w:p>
        </w:tc>
        <w:tc>
          <w:tcPr>
            <w:tcW w:w="3325" w:type="dxa"/>
          </w:tcPr>
          <w:p w14:paraId="07C78CB0"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6A474655" w14:textId="77777777">
        <w:trPr>
          <w:trHeight w:val="368"/>
        </w:trPr>
        <w:tc>
          <w:tcPr>
            <w:tcW w:w="3325" w:type="dxa"/>
          </w:tcPr>
          <w:p w14:paraId="29151111"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283C8468" w14:textId="77777777" w:rsidR="00A720EB" w:rsidRDefault="0030286B">
            <w:pPr>
              <w:pStyle w:val="TableParagraph"/>
              <w:spacing w:before="37"/>
              <w:rPr>
                <w:sz w:val="21"/>
              </w:rPr>
            </w:pPr>
            <w:r>
              <w:rPr>
                <w:color w:val="B02045"/>
                <w:sz w:val="21"/>
              </w:rPr>
              <w:t>infinispan-spring5-remote</w:t>
            </w:r>
          </w:p>
        </w:tc>
        <w:tc>
          <w:tcPr>
            <w:tcW w:w="3325" w:type="dxa"/>
          </w:tcPr>
          <w:p w14:paraId="34B04B58"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21764585" w14:textId="77777777">
        <w:trPr>
          <w:trHeight w:val="368"/>
        </w:trPr>
        <w:tc>
          <w:tcPr>
            <w:tcW w:w="3325" w:type="dxa"/>
          </w:tcPr>
          <w:p w14:paraId="4B622323"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0EEAE403" w14:textId="77777777" w:rsidR="00A720EB" w:rsidRDefault="0030286B">
            <w:pPr>
              <w:pStyle w:val="TableParagraph"/>
              <w:spacing w:before="37"/>
              <w:rPr>
                <w:sz w:val="21"/>
              </w:rPr>
            </w:pPr>
            <w:r>
              <w:rPr>
                <w:color w:val="B02045"/>
                <w:sz w:val="21"/>
              </w:rPr>
              <w:t>infinispan-tasks</w:t>
            </w:r>
          </w:p>
        </w:tc>
        <w:tc>
          <w:tcPr>
            <w:tcW w:w="3325" w:type="dxa"/>
          </w:tcPr>
          <w:p w14:paraId="643A08F3"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274B9748" w14:textId="77777777">
        <w:trPr>
          <w:trHeight w:val="368"/>
        </w:trPr>
        <w:tc>
          <w:tcPr>
            <w:tcW w:w="3325" w:type="dxa"/>
          </w:tcPr>
          <w:p w14:paraId="5155C0BA" w14:textId="77777777" w:rsidR="00A720EB" w:rsidRDefault="0030286B">
            <w:pPr>
              <w:pStyle w:val="TableParagraph"/>
              <w:rPr>
                <w:sz w:val="21"/>
              </w:rPr>
            </w:pPr>
            <w:proofErr w:type="gramStart"/>
            <w:r>
              <w:rPr>
                <w:color w:val="B02045"/>
                <w:sz w:val="21"/>
              </w:rPr>
              <w:t>org.infinispan</w:t>
            </w:r>
            <w:proofErr w:type="gramEnd"/>
          </w:p>
        </w:tc>
        <w:tc>
          <w:tcPr>
            <w:tcW w:w="3325" w:type="dxa"/>
          </w:tcPr>
          <w:p w14:paraId="61CF8F5D" w14:textId="77777777" w:rsidR="00A720EB" w:rsidRDefault="0030286B">
            <w:pPr>
              <w:pStyle w:val="TableParagraph"/>
              <w:rPr>
                <w:sz w:val="21"/>
              </w:rPr>
            </w:pPr>
            <w:r>
              <w:rPr>
                <w:color w:val="B02045"/>
                <w:sz w:val="21"/>
              </w:rPr>
              <w:t>infinispan-tasks-api</w:t>
            </w:r>
          </w:p>
        </w:tc>
        <w:tc>
          <w:tcPr>
            <w:tcW w:w="3325" w:type="dxa"/>
          </w:tcPr>
          <w:p w14:paraId="72BBBCEC" w14:textId="77777777" w:rsidR="00A720EB" w:rsidRDefault="0030286B">
            <w:pPr>
              <w:pStyle w:val="TableParagraph"/>
              <w:rPr>
                <w:sz w:val="21"/>
              </w:rPr>
            </w:pPr>
            <w:r>
              <w:rPr>
                <w:color w:val="B02045"/>
                <w:sz w:val="21"/>
              </w:rPr>
              <w:t>10.1.</w:t>
            </w:r>
            <w:proofErr w:type="gramStart"/>
            <w:r>
              <w:rPr>
                <w:color w:val="B02045"/>
                <w:sz w:val="21"/>
              </w:rPr>
              <w:t>8.Final</w:t>
            </w:r>
            <w:proofErr w:type="gramEnd"/>
          </w:p>
        </w:tc>
      </w:tr>
      <w:tr w:rsidR="00A720EB" w14:paraId="70A0C129" w14:textId="77777777">
        <w:trPr>
          <w:trHeight w:val="368"/>
        </w:trPr>
        <w:tc>
          <w:tcPr>
            <w:tcW w:w="3325" w:type="dxa"/>
          </w:tcPr>
          <w:p w14:paraId="19F76E37" w14:textId="77777777" w:rsidR="00A720EB" w:rsidRDefault="0030286B">
            <w:pPr>
              <w:pStyle w:val="TableParagraph"/>
              <w:spacing w:before="37"/>
              <w:rPr>
                <w:sz w:val="21"/>
              </w:rPr>
            </w:pPr>
            <w:proofErr w:type="gramStart"/>
            <w:r>
              <w:rPr>
                <w:color w:val="B02045"/>
                <w:sz w:val="21"/>
              </w:rPr>
              <w:t>org.infinispan</w:t>
            </w:r>
            <w:proofErr w:type="gramEnd"/>
          </w:p>
        </w:tc>
        <w:tc>
          <w:tcPr>
            <w:tcW w:w="3325" w:type="dxa"/>
          </w:tcPr>
          <w:p w14:paraId="444BEB47" w14:textId="77777777" w:rsidR="00A720EB" w:rsidRDefault="0030286B">
            <w:pPr>
              <w:pStyle w:val="TableParagraph"/>
              <w:spacing w:before="37"/>
              <w:rPr>
                <w:sz w:val="21"/>
              </w:rPr>
            </w:pPr>
            <w:r>
              <w:rPr>
                <w:color w:val="B02045"/>
                <w:sz w:val="21"/>
              </w:rPr>
              <w:t>infinispan-tools</w:t>
            </w:r>
          </w:p>
        </w:tc>
        <w:tc>
          <w:tcPr>
            <w:tcW w:w="3325" w:type="dxa"/>
          </w:tcPr>
          <w:p w14:paraId="2F8DDE95" w14:textId="77777777" w:rsidR="00A720EB" w:rsidRDefault="0030286B">
            <w:pPr>
              <w:pStyle w:val="TableParagraph"/>
              <w:spacing w:before="37"/>
              <w:rPr>
                <w:sz w:val="21"/>
              </w:rPr>
            </w:pPr>
            <w:r>
              <w:rPr>
                <w:color w:val="B02045"/>
                <w:sz w:val="21"/>
              </w:rPr>
              <w:t>10.1.</w:t>
            </w:r>
            <w:proofErr w:type="gramStart"/>
            <w:r>
              <w:rPr>
                <w:color w:val="B02045"/>
                <w:sz w:val="21"/>
              </w:rPr>
              <w:t>8.Final</w:t>
            </w:r>
            <w:proofErr w:type="gramEnd"/>
          </w:p>
        </w:tc>
      </w:tr>
      <w:tr w:rsidR="00A720EB" w14:paraId="727D6470" w14:textId="77777777">
        <w:trPr>
          <w:trHeight w:val="368"/>
        </w:trPr>
        <w:tc>
          <w:tcPr>
            <w:tcW w:w="3325" w:type="dxa"/>
          </w:tcPr>
          <w:p w14:paraId="621F233A" w14:textId="77777777" w:rsidR="00A720EB" w:rsidRDefault="0030286B">
            <w:pPr>
              <w:pStyle w:val="TableParagraph"/>
              <w:rPr>
                <w:sz w:val="21"/>
              </w:rPr>
            </w:pPr>
            <w:proofErr w:type="gramStart"/>
            <w:r>
              <w:rPr>
                <w:color w:val="B02045"/>
                <w:sz w:val="21"/>
              </w:rPr>
              <w:t>org.influxdb</w:t>
            </w:r>
            <w:proofErr w:type="gramEnd"/>
          </w:p>
        </w:tc>
        <w:tc>
          <w:tcPr>
            <w:tcW w:w="3325" w:type="dxa"/>
          </w:tcPr>
          <w:p w14:paraId="5F97401C" w14:textId="77777777" w:rsidR="00A720EB" w:rsidRDefault="0030286B">
            <w:pPr>
              <w:pStyle w:val="TableParagraph"/>
              <w:rPr>
                <w:sz w:val="21"/>
              </w:rPr>
            </w:pPr>
            <w:r>
              <w:rPr>
                <w:color w:val="B02045"/>
                <w:sz w:val="21"/>
              </w:rPr>
              <w:t>influxdb-java</w:t>
            </w:r>
          </w:p>
        </w:tc>
        <w:tc>
          <w:tcPr>
            <w:tcW w:w="3325" w:type="dxa"/>
          </w:tcPr>
          <w:p w14:paraId="48835C6C" w14:textId="77777777" w:rsidR="00A720EB" w:rsidRDefault="0030286B">
            <w:pPr>
              <w:pStyle w:val="TableParagraph"/>
              <w:rPr>
                <w:sz w:val="21"/>
              </w:rPr>
            </w:pPr>
            <w:r>
              <w:rPr>
                <w:color w:val="B02045"/>
                <w:sz w:val="21"/>
              </w:rPr>
              <w:t>2.18</w:t>
            </w:r>
          </w:p>
        </w:tc>
      </w:tr>
      <w:tr w:rsidR="00A720EB" w14:paraId="4740C471" w14:textId="77777777">
        <w:trPr>
          <w:trHeight w:val="368"/>
        </w:trPr>
        <w:tc>
          <w:tcPr>
            <w:tcW w:w="3325" w:type="dxa"/>
          </w:tcPr>
          <w:p w14:paraId="4F830849" w14:textId="77777777" w:rsidR="00A720EB" w:rsidRDefault="0030286B">
            <w:pPr>
              <w:pStyle w:val="TableParagraph"/>
              <w:spacing w:before="37"/>
              <w:rPr>
                <w:sz w:val="21"/>
              </w:rPr>
            </w:pPr>
            <w:proofErr w:type="gramStart"/>
            <w:r>
              <w:rPr>
                <w:color w:val="B02045"/>
                <w:sz w:val="21"/>
              </w:rPr>
              <w:t>org.jboss</w:t>
            </w:r>
            <w:proofErr w:type="gramEnd"/>
          </w:p>
        </w:tc>
        <w:tc>
          <w:tcPr>
            <w:tcW w:w="3325" w:type="dxa"/>
          </w:tcPr>
          <w:p w14:paraId="70E1AC10" w14:textId="77777777" w:rsidR="00A720EB" w:rsidRDefault="0030286B">
            <w:pPr>
              <w:pStyle w:val="TableParagraph"/>
              <w:spacing w:before="37"/>
              <w:rPr>
                <w:sz w:val="21"/>
              </w:rPr>
            </w:pPr>
            <w:r>
              <w:rPr>
                <w:color w:val="B02045"/>
                <w:sz w:val="21"/>
              </w:rPr>
              <w:t>jboss-transaction-spi</w:t>
            </w:r>
          </w:p>
        </w:tc>
        <w:tc>
          <w:tcPr>
            <w:tcW w:w="3325" w:type="dxa"/>
          </w:tcPr>
          <w:p w14:paraId="1C92CFF6" w14:textId="77777777" w:rsidR="00A720EB" w:rsidRDefault="0030286B">
            <w:pPr>
              <w:pStyle w:val="TableParagraph"/>
              <w:spacing w:before="37"/>
              <w:rPr>
                <w:sz w:val="21"/>
              </w:rPr>
            </w:pPr>
            <w:r>
              <w:rPr>
                <w:color w:val="B02045"/>
                <w:sz w:val="21"/>
              </w:rPr>
              <w:t>7.6.</w:t>
            </w:r>
            <w:proofErr w:type="gramStart"/>
            <w:r>
              <w:rPr>
                <w:color w:val="B02045"/>
                <w:sz w:val="21"/>
              </w:rPr>
              <w:t>0.Final</w:t>
            </w:r>
            <w:proofErr w:type="gramEnd"/>
          </w:p>
        </w:tc>
      </w:tr>
      <w:tr w:rsidR="00A720EB" w14:paraId="3706D4FF" w14:textId="77777777">
        <w:trPr>
          <w:trHeight w:val="368"/>
        </w:trPr>
        <w:tc>
          <w:tcPr>
            <w:tcW w:w="3325" w:type="dxa"/>
          </w:tcPr>
          <w:p w14:paraId="1ABD061C" w14:textId="77777777" w:rsidR="00A720EB" w:rsidRDefault="0030286B">
            <w:pPr>
              <w:pStyle w:val="TableParagraph"/>
              <w:rPr>
                <w:sz w:val="21"/>
              </w:rPr>
            </w:pPr>
            <w:proofErr w:type="gramStart"/>
            <w:r>
              <w:rPr>
                <w:color w:val="B02045"/>
                <w:sz w:val="21"/>
              </w:rPr>
              <w:t>org.jboss</w:t>
            </w:r>
            <w:proofErr w:type="gramEnd"/>
            <w:r>
              <w:rPr>
                <w:color w:val="B02045"/>
                <w:sz w:val="21"/>
              </w:rPr>
              <w:t>.logging</w:t>
            </w:r>
          </w:p>
        </w:tc>
        <w:tc>
          <w:tcPr>
            <w:tcW w:w="3325" w:type="dxa"/>
          </w:tcPr>
          <w:p w14:paraId="60A01897" w14:textId="77777777" w:rsidR="00A720EB" w:rsidRDefault="0030286B">
            <w:pPr>
              <w:pStyle w:val="TableParagraph"/>
              <w:rPr>
                <w:sz w:val="21"/>
              </w:rPr>
            </w:pPr>
            <w:r>
              <w:rPr>
                <w:color w:val="B02045"/>
                <w:sz w:val="21"/>
              </w:rPr>
              <w:t>jboss-logging</w:t>
            </w:r>
          </w:p>
        </w:tc>
        <w:tc>
          <w:tcPr>
            <w:tcW w:w="3325" w:type="dxa"/>
          </w:tcPr>
          <w:p w14:paraId="78DC5070" w14:textId="77777777" w:rsidR="00A720EB" w:rsidRDefault="0030286B">
            <w:pPr>
              <w:pStyle w:val="TableParagraph"/>
              <w:rPr>
                <w:sz w:val="21"/>
              </w:rPr>
            </w:pPr>
            <w:r>
              <w:rPr>
                <w:color w:val="B02045"/>
                <w:sz w:val="21"/>
              </w:rPr>
              <w:t>3.4.</w:t>
            </w:r>
            <w:proofErr w:type="gramStart"/>
            <w:r>
              <w:rPr>
                <w:color w:val="B02045"/>
                <w:sz w:val="21"/>
              </w:rPr>
              <w:t>1.Final</w:t>
            </w:r>
            <w:proofErr w:type="gramEnd"/>
          </w:p>
        </w:tc>
      </w:tr>
      <w:tr w:rsidR="00A720EB" w14:paraId="674FADED" w14:textId="77777777">
        <w:trPr>
          <w:trHeight w:val="368"/>
        </w:trPr>
        <w:tc>
          <w:tcPr>
            <w:tcW w:w="3325" w:type="dxa"/>
          </w:tcPr>
          <w:p w14:paraId="1C25FB4D" w14:textId="77777777" w:rsidR="00A720EB" w:rsidRDefault="0030286B">
            <w:pPr>
              <w:pStyle w:val="TableParagraph"/>
              <w:spacing w:before="37"/>
              <w:rPr>
                <w:sz w:val="21"/>
              </w:rPr>
            </w:pPr>
            <w:proofErr w:type="gramStart"/>
            <w:r>
              <w:rPr>
                <w:color w:val="B02045"/>
                <w:sz w:val="21"/>
              </w:rPr>
              <w:t>org.jdom</w:t>
            </w:r>
            <w:proofErr w:type="gramEnd"/>
          </w:p>
        </w:tc>
        <w:tc>
          <w:tcPr>
            <w:tcW w:w="3325" w:type="dxa"/>
          </w:tcPr>
          <w:p w14:paraId="78268971" w14:textId="77777777" w:rsidR="00A720EB" w:rsidRDefault="0030286B">
            <w:pPr>
              <w:pStyle w:val="TableParagraph"/>
              <w:spacing w:before="37"/>
              <w:rPr>
                <w:sz w:val="21"/>
              </w:rPr>
            </w:pPr>
            <w:r>
              <w:rPr>
                <w:color w:val="B02045"/>
                <w:sz w:val="21"/>
              </w:rPr>
              <w:t>jdom2</w:t>
            </w:r>
          </w:p>
        </w:tc>
        <w:tc>
          <w:tcPr>
            <w:tcW w:w="3325" w:type="dxa"/>
          </w:tcPr>
          <w:p w14:paraId="7973B766" w14:textId="77777777" w:rsidR="00A720EB" w:rsidRDefault="0030286B">
            <w:pPr>
              <w:pStyle w:val="TableParagraph"/>
              <w:spacing w:before="37"/>
              <w:rPr>
                <w:sz w:val="21"/>
              </w:rPr>
            </w:pPr>
            <w:r>
              <w:rPr>
                <w:color w:val="B02045"/>
                <w:sz w:val="21"/>
              </w:rPr>
              <w:t>2.0.6</w:t>
            </w:r>
          </w:p>
        </w:tc>
      </w:tr>
      <w:tr w:rsidR="00A720EB" w14:paraId="35BBB2D3" w14:textId="77777777">
        <w:trPr>
          <w:trHeight w:val="368"/>
        </w:trPr>
        <w:tc>
          <w:tcPr>
            <w:tcW w:w="3325" w:type="dxa"/>
          </w:tcPr>
          <w:p w14:paraId="76D05042"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30A3FB26" w14:textId="77777777" w:rsidR="00A720EB" w:rsidRDefault="0030286B">
            <w:pPr>
              <w:pStyle w:val="TableParagraph"/>
              <w:rPr>
                <w:sz w:val="21"/>
              </w:rPr>
            </w:pPr>
            <w:r>
              <w:rPr>
                <w:color w:val="B02045"/>
                <w:sz w:val="21"/>
              </w:rPr>
              <w:t>kotlin-compiler</w:t>
            </w:r>
          </w:p>
        </w:tc>
        <w:tc>
          <w:tcPr>
            <w:tcW w:w="3325" w:type="dxa"/>
          </w:tcPr>
          <w:p w14:paraId="1DE6AE5C" w14:textId="77777777" w:rsidR="00A720EB" w:rsidRDefault="0030286B">
            <w:pPr>
              <w:pStyle w:val="TableParagraph"/>
              <w:rPr>
                <w:sz w:val="21"/>
              </w:rPr>
            </w:pPr>
            <w:r>
              <w:rPr>
                <w:color w:val="B02045"/>
                <w:sz w:val="21"/>
              </w:rPr>
              <w:t>1.3.72</w:t>
            </w:r>
          </w:p>
        </w:tc>
      </w:tr>
      <w:tr w:rsidR="00A720EB" w14:paraId="5CAB0F1A" w14:textId="77777777">
        <w:trPr>
          <w:trHeight w:val="368"/>
        </w:trPr>
        <w:tc>
          <w:tcPr>
            <w:tcW w:w="3325" w:type="dxa"/>
          </w:tcPr>
          <w:p w14:paraId="7CC8135A"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229B6792" w14:textId="77777777" w:rsidR="00A720EB" w:rsidRDefault="0030286B">
            <w:pPr>
              <w:pStyle w:val="TableParagraph"/>
              <w:rPr>
                <w:sz w:val="21"/>
              </w:rPr>
            </w:pPr>
            <w:r>
              <w:rPr>
                <w:color w:val="B02045"/>
                <w:sz w:val="21"/>
              </w:rPr>
              <w:t>kotlin-compiler-embeddable</w:t>
            </w:r>
          </w:p>
        </w:tc>
        <w:tc>
          <w:tcPr>
            <w:tcW w:w="3325" w:type="dxa"/>
          </w:tcPr>
          <w:p w14:paraId="3EE119E4" w14:textId="77777777" w:rsidR="00A720EB" w:rsidRDefault="0030286B">
            <w:pPr>
              <w:pStyle w:val="TableParagraph"/>
              <w:rPr>
                <w:sz w:val="21"/>
              </w:rPr>
            </w:pPr>
            <w:r>
              <w:rPr>
                <w:color w:val="B02045"/>
                <w:sz w:val="21"/>
              </w:rPr>
              <w:t>1.3.72</w:t>
            </w:r>
          </w:p>
        </w:tc>
      </w:tr>
      <w:tr w:rsidR="00A720EB" w14:paraId="0BA17147" w14:textId="77777777">
        <w:trPr>
          <w:trHeight w:val="368"/>
        </w:trPr>
        <w:tc>
          <w:tcPr>
            <w:tcW w:w="3325" w:type="dxa"/>
          </w:tcPr>
          <w:p w14:paraId="296F3908"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2AEBA08E" w14:textId="77777777" w:rsidR="00A720EB" w:rsidRDefault="0030286B">
            <w:pPr>
              <w:pStyle w:val="TableParagraph"/>
              <w:rPr>
                <w:sz w:val="21"/>
              </w:rPr>
            </w:pPr>
            <w:r>
              <w:rPr>
                <w:color w:val="B02045"/>
                <w:sz w:val="21"/>
              </w:rPr>
              <w:t>kotlin-daemon-client</w:t>
            </w:r>
          </w:p>
        </w:tc>
        <w:tc>
          <w:tcPr>
            <w:tcW w:w="3325" w:type="dxa"/>
          </w:tcPr>
          <w:p w14:paraId="2C7B275A" w14:textId="77777777" w:rsidR="00A720EB" w:rsidRDefault="0030286B">
            <w:pPr>
              <w:pStyle w:val="TableParagraph"/>
              <w:rPr>
                <w:sz w:val="21"/>
              </w:rPr>
            </w:pPr>
            <w:r>
              <w:rPr>
                <w:color w:val="B02045"/>
                <w:sz w:val="21"/>
              </w:rPr>
              <w:t>1.3.72</w:t>
            </w:r>
          </w:p>
        </w:tc>
      </w:tr>
      <w:tr w:rsidR="00A720EB" w14:paraId="49969F79" w14:textId="77777777">
        <w:trPr>
          <w:trHeight w:val="368"/>
        </w:trPr>
        <w:tc>
          <w:tcPr>
            <w:tcW w:w="3325" w:type="dxa"/>
          </w:tcPr>
          <w:p w14:paraId="4B837281"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0CCCA42B" w14:textId="77777777" w:rsidR="00A720EB" w:rsidRDefault="0030286B">
            <w:pPr>
              <w:pStyle w:val="TableParagraph"/>
              <w:rPr>
                <w:sz w:val="21"/>
              </w:rPr>
            </w:pPr>
            <w:r>
              <w:rPr>
                <w:color w:val="B02045"/>
                <w:sz w:val="21"/>
              </w:rPr>
              <w:t>kotlin-main-kts</w:t>
            </w:r>
          </w:p>
        </w:tc>
        <w:tc>
          <w:tcPr>
            <w:tcW w:w="3325" w:type="dxa"/>
          </w:tcPr>
          <w:p w14:paraId="21C2CF47" w14:textId="77777777" w:rsidR="00A720EB" w:rsidRDefault="0030286B">
            <w:pPr>
              <w:pStyle w:val="TableParagraph"/>
              <w:rPr>
                <w:sz w:val="21"/>
              </w:rPr>
            </w:pPr>
            <w:r>
              <w:rPr>
                <w:color w:val="B02045"/>
                <w:sz w:val="21"/>
              </w:rPr>
              <w:t>1.3.72</w:t>
            </w:r>
          </w:p>
        </w:tc>
      </w:tr>
      <w:tr w:rsidR="00A720EB" w14:paraId="7CCB0974" w14:textId="77777777">
        <w:trPr>
          <w:trHeight w:val="368"/>
        </w:trPr>
        <w:tc>
          <w:tcPr>
            <w:tcW w:w="3325" w:type="dxa"/>
          </w:tcPr>
          <w:p w14:paraId="3270C624"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2B6E1D1C" w14:textId="77777777" w:rsidR="00A720EB" w:rsidRDefault="0030286B">
            <w:pPr>
              <w:pStyle w:val="TableParagraph"/>
              <w:rPr>
                <w:sz w:val="21"/>
              </w:rPr>
            </w:pPr>
            <w:r>
              <w:rPr>
                <w:color w:val="B02045"/>
                <w:sz w:val="21"/>
              </w:rPr>
              <w:t>kotlin-osgi-bundle</w:t>
            </w:r>
          </w:p>
        </w:tc>
        <w:tc>
          <w:tcPr>
            <w:tcW w:w="3325" w:type="dxa"/>
          </w:tcPr>
          <w:p w14:paraId="3A5F8055" w14:textId="77777777" w:rsidR="00A720EB" w:rsidRDefault="0030286B">
            <w:pPr>
              <w:pStyle w:val="TableParagraph"/>
              <w:rPr>
                <w:sz w:val="21"/>
              </w:rPr>
            </w:pPr>
            <w:r>
              <w:rPr>
                <w:color w:val="B02045"/>
                <w:sz w:val="21"/>
              </w:rPr>
              <w:t>1.3.72</w:t>
            </w:r>
          </w:p>
        </w:tc>
      </w:tr>
    </w:tbl>
    <w:p w14:paraId="14369969"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27B72B1E" w14:textId="77777777">
        <w:trPr>
          <w:trHeight w:val="415"/>
        </w:trPr>
        <w:tc>
          <w:tcPr>
            <w:tcW w:w="3325" w:type="dxa"/>
            <w:tcBorders>
              <w:bottom w:val="single" w:sz="12" w:space="0" w:color="DDDDDD"/>
            </w:tcBorders>
          </w:tcPr>
          <w:p w14:paraId="0DA804C6"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01CBD92E"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04576480"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60A6FAD1" w14:textId="77777777">
        <w:trPr>
          <w:trHeight w:val="358"/>
        </w:trPr>
        <w:tc>
          <w:tcPr>
            <w:tcW w:w="3325" w:type="dxa"/>
            <w:tcBorders>
              <w:top w:val="single" w:sz="12" w:space="0" w:color="DDDDDD"/>
            </w:tcBorders>
          </w:tcPr>
          <w:p w14:paraId="38FDD33D" w14:textId="77777777" w:rsidR="00A720EB" w:rsidRDefault="0030286B">
            <w:pPr>
              <w:pStyle w:val="TableParagraph"/>
              <w:spacing w:before="27"/>
              <w:rPr>
                <w:sz w:val="21"/>
              </w:rPr>
            </w:pPr>
            <w:proofErr w:type="gramStart"/>
            <w:r>
              <w:rPr>
                <w:color w:val="B02045"/>
                <w:sz w:val="21"/>
              </w:rPr>
              <w:t>org.jetbrains</w:t>
            </w:r>
            <w:proofErr w:type="gramEnd"/>
            <w:r>
              <w:rPr>
                <w:color w:val="B02045"/>
                <w:sz w:val="21"/>
              </w:rPr>
              <w:t>.kotlin</w:t>
            </w:r>
          </w:p>
        </w:tc>
        <w:tc>
          <w:tcPr>
            <w:tcW w:w="3325" w:type="dxa"/>
            <w:tcBorders>
              <w:top w:val="single" w:sz="12" w:space="0" w:color="DDDDDD"/>
            </w:tcBorders>
          </w:tcPr>
          <w:p w14:paraId="7C9DA256" w14:textId="77777777" w:rsidR="00A720EB" w:rsidRDefault="0030286B">
            <w:pPr>
              <w:pStyle w:val="TableParagraph"/>
              <w:spacing w:before="27"/>
              <w:rPr>
                <w:sz w:val="21"/>
              </w:rPr>
            </w:pPr>
            <w:r>
              <w:rPr>
                <w:color w:val="B02045"/>
                <w:sz w:val="21"/>
              </w:rPr>
              <w:t>kotlin-reflect</w:t>
            </w:r>
          </w:p>
        </w:tc>
        <w:tc>
          <w:tcPr>
            <w:tcW w:w="3325" w:type="dxa"/>
            <w:tcBorders>
              <w:top w:val="single" w:sz="12" w:space="0" w:color="DDDDDD"/>
            </w:tcBorders>
          </w:tcPr>
          <w:p w14:paraId="4669B73A" w14:textId="77777777" w:rsidR="00A720EB" w:rsidRDefault="0030286B">
            <w:pPr>
              <w:pStyle w:val="TableParagraph"/>
              <w:spacing w:before="27"/>
              <w:rPr>
                <w:sz w:val="21"/>
              </w:rPr>
            </w:pPr>
            <w:r>
              <w:rPr>
                <w:color w:val="B02045"/>
                <w:sz w:val="21"/>
              </w:rPr>
              <w:t>1.3.72</w:t>
            </w:r>
          </w:p>
        </w:tc>
      </w:tr>
      <w:tr w:rsidR="00A720EB" w14:paraId="70B469C5" w14:textId="77777777">
        <w:trPr>
          <w:trHeight w:val="368"/>
        </w:trPr>
        <w:tc>
          <w:tcPr>
            <w:tcW w:w="3325" w:type="dxa"/>
          </w:tcPr>
          <w:p w14:paraId="00F12076"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w:t>
            </w:r>
          </w:p>
        </w:tc>
        <w:tc>
          <w:tcPr>
            <w:tcW w:w="3325" w:type="dxa"/>
          </w:tcPr>
          <w:p w14:paraId="3D76FDFF" w14:textId="77777777" w:rsidR="00A720EB" w:rsidRDefault="0030286B">
            <w:pPr>
              <w:pStyle w:val="TableParagraph"/>
              <w:spacing w:before="37"/>
              <w:rPr>
                <w:sz w:val="21"/>
              </w:rPr>
            </w:pPr>
            <w:r>
              <w:rPr>
                <w:color w:val="B02045"/>
                <w:sz w:val="21"/>
              </w:rPr>
              <w:t>kotlin-script-runtime</w:t>
            </w:r>
          </w:p>
        </w:tc>
        <w:tc>
          <w:tcPr>
            <w:tcW w:w="3325" w:type="dxa"/>
          </w:tcPr>
          <w:p w14:paraId="18FB0325" w14:textId="77777777" w:rsidR="00A720EB" w:rsidRDefault="0030286B">
            <w:pPr>
              <w:pStyle w:val="TableParagraph"/>
              <w:spacing w:before="37"/>
              <w:rPr>
                <w:sz w:val="21"/>
              </w:rPr>
            </w:pPr>
            <w:r>
              <w:rPr>
                <w:color w:val="B02045"/>
                <w:sz w:val="21"/>
              </w:rPr>
              <w:t>1.3.72</w:t>
            </w:r>
          </w:p>
        </w:tc>
      </w:tr>
      <w:tr w:rsidR="00A720EB" w14:paraId="37C55B3B" w14:textId="77777777">
        <w:trPr>
          <w:trHeight w:val="368"/>
        </w:trPr>
        <w:tc>
          <w:tcPr>
            <w:tcW w:w="3325" w:type="dxa"/>
          </w:tcPr>
          <w:p w14:paraId="544AA7C5"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w:t>
            </w:r>
          </w:p>
        </w:tc>
        <w:tc>
          <w:tcPr>
            <w:tcW w:w="3325" w:type="dxa"/>
          </w:tcPr>
          <w:p w14:paraId="4F131E7C" w14:textId="77777777" w:rsidR="00A720EB" w:rsidRDefault="0030286B">
            <w:pPr>
              <w:pStyle w:val="TableParagraph"/>
              <w:spacing w:before="37"/>
              <w:rPr>
                <w:sz w:val="21"/>
              </w:rPr>
            </w:pPr>
            <w:r>
              <w:rPr>
                <w:color w:val="B02045"/>
                <w:sz w:val="21"/>
              </w:rPr>
              <w:t>kotlin-script-util</w:t>
            </w:r>
          </w:p>
        </w:tc>
        <w:tc>
          <w:tcPr>
            <w:tcW w:w="3325" w:type="dxa"/>
          </w:tcPr>
          <w:p w14:paraId="2B8566CC" w14:textId="77777777" w:rsidR="00A720EB" w:rsidRDefault="0030286B">
            <w:pPr>
              <w:pStyle w:val="TableParagraph"/>
              <w:spacing w:before="37"/>
              <w:rPr>
                <w:sz w:val="21"/>
              </w:rPr>
            </w:pPr>
            <w:r>
              <w:rPr>
                <w:color w:val="B02045"/>
                <w:sz w:val="21"/>
              </w:rPr>
              <w:t>1.3.72</w:t>
            </w:r>
          </w:p>
        </w:tc>
      </w:tr>
      <w:tr w:rsidR="00A720EB" w14:paraId="7EE4B5CB" w14:textId="77777777">
        <w:trPr>
          <w:trHeight w:val="368"/>
        </w:trPr>
        <w:tc>
          <w:tcPr>
            <w:tcW w:w="3325" w:type="dxa"/>
          </w:tcPr>
          <w:p w14:paraId="2949A5F9"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09711C80" w14:textId="77777777" w:rsidR="00A720EB" w:rsidRDefault="0030286B">
            <w:pPr>
              <w:pStyle w:val="TableParagraph"/>
              <w:rPr>
                <w:sz w:val="21"/>
              </w:rPr>
            </w:pPr>
            <w:r>
              <w:rPr>
                <w:color w:val="B02045"/>
                <w:sz w:val="21"/>
              </w:rPr>
              <w:t>kotlin-scripting-common</w:t>
            </w:r>
          </w:p>
        </w:tc>
        <w:tc>
          <w:tcPr>
            <w:tcW w:w="3325" w:type="dxa"/>
          </w:tcPr>
          <w:p w14:paraId="535F0236" w14:textId="77777777" w:rsidR="00A720EB" w:rsidRDefault="0030286B">
            <w:pPr>
              <w:pStyle w:val="TableParagraph"/>
              <w:rPr>
                <w:sz w:val="21"/>
              </w:rPr>
            </w:pPr>
            <w:r>
              <w:rPr>
                <w:color w:val="B02045"/>
                <w:sz w:val="21"/>
              </w:rPr>
              <w:t>1.3.72</w:t>
            </w:r>
          </w:p>
        </w:tc>
      </w:tr>
      <w:tr w:rsidR="00A720EB" w14:paraId="6DD47549" w14:textId="77777777">
        <w:trPr>
          <w:trHeight w:val="368"/>
        </w:trPr>
        <w:tc>
          <w:tcPr>
            <w:tcW w:w="3325" w:type="dxa"/>
          </w:tcPr>
          <w:p w14:paraId="271F2755"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7134A1A5" w14:textId="77777777" w:rsidR="00A720EB" w:rsidRDefault="0030286B">
            <w:pPr>
              <w:pStyle w:val="TableParagraph"/>
              <w:rPr>
                <w:sz w:val="21"/>
              </w:rPr>
            </w:pPr>
            <w:r>
              <w:rPr>
                <w:color w:val="B02045"/>
                <w:sz w:val="21"/>
              </w:rPr>
              <w:t>kotlin-scripting-jvm</w:t>
            </w:r>
          </w:p>
        </w:tc>
        <w:tc>
          <w:tcPr>
            <w:tcW w:w="3325" w:type="dxa"/>
          </w:tcPr>
          <w:p w14:paraId="0B2A38DF" w14:textId="77777777" w:rsidR="00A720EB" w:rsidRDefault="0030286B">
            <w:pPr>
              <w:pStyle w:val="TableParagraph"/>
              <w:rPr>
                <w:sz w:val="21"/>
              </w:rPr>
            </w:pPr>
            <w:r>
              <w:rPr>
                <w:color w:val="B02045"/>
                <w:sz w:val="21"/>
              </w:rPr>
              <w:t>1.3.72</w:t>
            </w:r>
          </w:p>
        </w:tc>
      </w:tr>
      <w:tr w:rsidR="00A720EB" w14:paraId="7F14B39F" w14:textId="77777777">
        <w:trPr>
          <w:trHeight w:val="368"/>
        </w:trPr>
        <w:tc>
          <w:tcPr>
            <w:tcW w:w="3325" w:type="dxa"/>
          </w:tcPr>
          <w:p w14:paraId="0AA46D28"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60FC3FEA" w14:textId="77777777" w:rsidR="00A720EB" w:rsidRDefault="0030286B">
            <w:pPr>
              <w:pStyle w:val="TableParagraph"/>
              <w:rPr>
                <w:sz w:val="21"/>
              </w:rPr>
            </w:pPr>
            <w:r>
              <w:rPr>
                <w:color w:val="B02045"/>
                <w:sz w:val="21"/>
              </w:rPr>
              <w:t>kotlin-scripting-jvm-host</w:t>
            </w:r>
          </w:p>
        </w:tc>
        <w:tc>
          <w:tcPr>
            <w:tcW w:w="3325" w:type="dxa"/>
          </w:tcPr>
          <w:p w14:paraId="482CF08A" w14:textId="77777777" w:rsidR="00A720EB" w:rsidRDefault="0030286B">
            <w:pPr>
              <w:pStyle w:val="TableParagraph"/>
              <w:rPr>
                <w:sz w:val="21"/>
              </w:rPr>
            </w:pPr>
            <w:r>
              <w:rPr>
                <w:color w:val="B02045"/>
                <w:sz w:val="21"/>
              </w:rPr>
              <w:t>1.3.72</w:t>
            </w:r>
          </w:p>
        </w:tc>
      </w:tr>
      <w:tr w:rsidR="00A720EB" w14:paraId="0972E496" w14:textId="77777777">
        <w:trPr>
          <w:trHeight w:val="368"/>
        </w:trPr>
        <w:tc>
          <w:tcPr>
            <w:tcW w:w="3325" w:type="dxa"/>
          </w:tcPr>
          <w:p w14:paraId="583BE4A1"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0CBED6B9" w14:textId="77777777" w:rsidR="00A720EB" w:rsidRDefault="0030286B">
            <w:pPr>
              <w:pStyle w:val="TableParagraph"/>
              <w:rPr>
                <w:sz w:val="21"/>
              </w:rPr>
            </w:pPr>
            <w:r>
              <w:rPr>
                <w:color w:val="B02045"/>
                <w:sz w:val="21"/>
              </w:rPr>
              <w:t>kotlin-stdlib</w:t>
            </w:r>
          </w:p>
        </w:tc>
        <w:tc>
          <w:tcPr>
            <w:tcW w:w="3325" w:type="dxa"/>
          </w:tcPr>
          <w:p w14:paraId="10402FB5" w14:textId="77777777" w:rsidR="00A720EB" w:rsidRDefault="0030286B">
            <w:pPr>
              <w:pStyle w:val="TableParagraph"/>
              <w:rPr>
                <w:sz w:val="21"/>
              </w:rPr>
            </w:pPr>
            <w:r>
              <w:rPr>
                <w:color w:val="B02045"/>
                <w:sz w:val="21"/>
              </w:rPr>
              <w:t>1.3.72</w:t>
            </w:r>
          </w:p>
        </w:tc>
      </w:tr>
      <w:tr w:rsidR="00A720EB" w14:paraId="6CD17FBF" w14:textId="77777777">
        <w:trPr>
          <w:trHeight w:val="368"/>
        </w:trPr>
        <w:tc>
          <w:tcPr>
            <w:tcW w:w="3325" w:type="dxa"/>
          </w:tcPr>
          <w:p w14:paraId="17B7F9F4"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w:t>
            </w:r>
          </w:p>
        </w:tc>
        <w:tc>
          <w:tcPr>
            <w:tcW w:w="3325" w:type="dxa"/>
          </w:tcPr>
          <w:p w14:paraId="07FCC69B" w14:textId="77777777" w:rsidR="00A720EB" w:rsidRDefault="0030286B">
            <w:pPr>
              <w:pStyle w:val="TableParagraph"/>
              <w:spacing w:before="37"/>
              <w:rPr>
                <w:sz w:val="21"/>
              </w:rPr>
            </w:pPr>
            <w:r>
              <w:rPr>
                <w:color w:val="B02045"/>
                <w:sz w:val="21"/>
              </w:rPr>
              <w:t>kotlin-stdlib-common</w:t>
            </w:r>
          </w:p>
        </w:tc>
        <w:tc>
          <w:tcPr>
            <w:tcW w:w="3325" w:type="dxa"/>
          </w:tcPr>
          <w:p w14:paraId="075BEE4C" w14:textId="77777777" w:rsidR="00A720EB" w:rsidRDefault="0030286B">
            <w:pPr>
              <w:pStyle w:val="TableParagraph"/>
              <w:spacing w:before="37"/>
              <w:rPr>
                <w:sz w:val="21"/>
              </w:rPr>
            </w:pPr>
            <w:r>
              <w:rPr>
                <w:color w:val="B02045"/>
                <w:sz w:val="21"/>
              </w:rPr>
              <w:t>1.3.72</w:t>
            </w:r>
          </w:p>
        </w:tc>
      </w:tr>
      <w:tr w:rsidR="00A720EB" w14:paraId="69169820" w14:textId="77777777">
        <w:trPr>
          <w:trHeight w:val="368"/>
        </w:trPr>
        <w:tc>
          <w:tcPr>
            <w:tcW w:w="3325" w:type="dxa"/>
          </w:tcPr>
          <w:p w14:paraId="3C1EADAF"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w:t>
            </w:r>
          </w:p>
        </w:tc>
        <w:tc>
          <w:tcPr>
            <w:tcW w:w="3325" w:type="dxa"/>
          </w:tcPr>
          <w:p w14:paraId="7FF9F09B" w14:textId="77777777" w:rsidR="00A720EB" w:rsidRDefault="0030286B">
            <w:pPr>
              <w:pStyle w:val="TableParagraph"/>
              <w:spacing w:before="37"/>
              <w:rPr>
                <w:sz w:val="21"/>
              </w:rPr>
            </w:pPr>
            <w:r>
              <w:rPr>
                <w:color w:val="B02045"/>
                <w:sz w:val="21"/>
              </w:rPr>
              <w:t>kotlin-stdlib-jdk7</w:t>
            </w:r>
          </w:p>
        </w:tc>
        <w:tc>
          <w:tcPr>
            <w:tcW w:w="3325" w:type="dxa"/>
          </w:tcPr>
          <w:p w14:paraId="329068F0" w14:textId="77777777" w:rsidR="00A720EB" w:rsidRDefault="0030286B">
            <w:pPr>
              <w:pStyle w:val="TableParagraph"/>
              <w:spacing w:before="37"/>
              <w:rPr>
                <w:sz w:val="21"/>
              </w:rPr>
            </w:pPr>
            <w:r>
              <w:rPr>
                <w:color w:val="B02045"/>
                <w:sz w:val="21"/>
              </w:rPr>
              <w:t>1.3.72</w:t>
            </w:r>
          </w:p>
        </w:tc>
      </w:tr>
      <w:tr w:rsidR="00A720EB" w14:paraId="002EF5FD" w14:textId="77777777">
        <w:trPr>
          <w:trHeight w:val="368"/>
        </w:trPr>
        <w:tc>
          <w:tcPr>
            <w:tcW w:w="3325" w:type="dxa"/>
          </w:tcPr>
          <w:p w14:paraId="22D6F4C5"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w:t>
            </w:r>
          </w:p>
        </w:tc>
        <w:tc>
          <w:tcPr>
            <w:tcW w:w="3325" w:type="dxa"/>
          </w:tcPr>
          <w:p w14:paraId="2B78E7AF" w14:textId="77777777" w:rsidR="00A720EB" w:rsidRDefault="0030286B">
            <w:pPr>
              <w:pStyle w:val="TableParagraph"/>
              <w:spacing w:before="37"/>
              <w:rPr>
                <w:sz w:val="21"/>
              </w:rPr>
            </w:pPr>
            <w:r>
              <w:rPr>
                <w:color w:val="B02045"/>
                <w:sz w:val="21"/>
              </w:rPr>
              <w:t>kotlin-stdlib-jdk8</w:t>
            </w:r>
          </w:p>
        </w:tc>
        <w:tc>
          <w:tcPr>
            <w:tcW w:w="3325" w:type="dxa"/>
          </w:tcPr>
          <w:p w14:paraId="585CEE4D" w14:textId="77777777" w:rsidR="00A720EB" w:rsidRDefault="0030286B">
            <w:pPr>
              <w:pStyle w:val="TableParagraph"/>
              <w:spacing w:before="37"/>
              <w:rPr>
                <w:sz w:val="21"/>
              </w:rPr>
            </w:pPr>
            <w:r>
              <w:rPr>
                <w:color w:val="B02045"/>
                <w:sz w:val="21"/>
              </w:rPr>
              <w:t>1.3.72</w:t>
            </w:r>
          </w:p>
        </w:tc>
      </w:tr>
      <w:tr w:rsidR="00A720EB" w14:paraId="009B0B6D" w14:textId="77777777">
        <w:trPr>
          <w:trHeight w:val="368"/>
        </w:trPr>
        <w:tc>
          <w:tcPr>
            <w:tcW w:w="3325" w:type="dxa"/>
          </w:tcPr>
          <w:p w14:paraId="249FA19C"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w:t>
            </w:r>
          </w:p>
        </w:tc>
        <w:tc>
          <w:tcPr>
            <w:tcW w:w="3325" w:type="dxa"/>
          </w:tcPr>
          <w:p w14:paraId="1B07A814" w14:textId="77777777" w:rsidR="00A720EB" w:rsidRDefault="0030286B">
            <w:pPr>
              <w:pStyle w:val="TableParagraph"/>
              <w:spacing w:before="37"/>
              <w:rPr>
                <w:sz w:val="21"/>
              </w:rPr>
            </w:pPr>
            <w:r>
              <w:rPr>
                <w:color w:val="B02045"/>
                <w:sz w:val="21"/>
              </w:rPr>
              <w:t>kotlin-stdlib-js</w:t>
            </w:r>
          </w:p>
        </w:tc>
        <w:tc>
          <w:tcPr>
            <w:tcW w:w="3325" w:type="dxa"/>
          </w:tcPr>
          <w:p w14:paraId="0FC7D74B" w14:textId="77777777" w:rsidR="00A720EB" w:rsidRDefault="0030286B">
            <w:pPr>
              <w:pStyle w:val="TableParagraph"/>
              <w:spacing w:before="37"/>
              <w:rPr>
                <w:sz w:val="21"/>
              </w:rPr>
            </w:pPr>
            <w:r>
              <w:rPr>
                <w:color w:val="B02045"/>
                <w:sz w:val="21"/>
              </w:rPr>
              <w:t>1.3.72</w:t>
            </w:r>
          </w:p>
        </w:tc>
      </w:tr>
      <w:tr w:rsidR="00A720EB" w14:paraId="1374BE79" w14:textId="77777777">
        <w:trPr>
          <w:trHeight w:val="368"/>
        </w:trPr>
        <w:tc>
          <w:tcPr>
            <w:tcW w:w="3325" w:type="dxa"/>
          </w:tcPr>
          <w:p w14:paraId="57120A65"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6A25AE90" w14:textId="77777777" w:rsidR="00A720EB" w:rsidRDefault="0030286B">
            <w:pPr>
              <w:pStyle w:val="TableParagraph"/>
              <w:rPr>
                <w:sz w:val="21"/>
              </w:rPr>
            </w:pPr>
            <w:r>
              <w:rPr>
                <w:color w:val="B02045"/>
                <w:sz w:val="21"/>
              </w:rPr>
              <w:t>kotlin-test</w:t>
            </w:r>
          </w:p>
        </w:tc>
        <w:tc>
          <w:tcPr>
            <w:tcW w:w="3325" w:type="dxa"/>
          </w:tcPr>
          <w:p w14:paraId="42A6C8DE" w14:textId="77777777" w:rsidR="00A720EB" w:rsidRDefault="0030286B">
            <w:pPr>
              <w:pStyle w:val="TableParagraph"/>
              <w:rPr>
                <w:sz w:val="21"/>
              </w:rPr>
            </w:pPr>
            <w:r>
              <w:rPr>
                <w:color w:val="B02045"/>
                <w:sz w:val="21"/>
              </w:rPr>
              <w:t>1.3.72</w:t>
            </w:r>
          </w:p>
        </w:tc>
      </w:tr>
      <w:tr w:rsidR="00A720EB" w14:paraId="7F6CACBA" w14:textId="77777777">
        <w:trPr>
          <w:trHeight w:val="368"/>
        </w:trPr>
        <w:tc>
          <w:tcPr>
            <w:tcW w:w="3325" w:type="dxa"/>
          </w:tcPr>
          <w:p w14:paraId="00BBE8ED"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43E36BB8" w14:textId="77777777" w:rsidR="00A720EB" w:rsidRDefault="0030286B">
            <w:pPr>
              <w:pStyle w:val="TableParagraph"/>
              <w:rPr>
                <w:sz w:val="21"/>
              </w:rPr>
            </w:pPr>
            <w:r>
              <w:rPr>
                <w:color w:val="B02045"/>
                <w:sz w:val="21"/>
              </w:rPr>
              <w:t>kotlin-test-annotations-common</w:t>
            </w:r>
          </w:p>
        </w:tc>
        <w:tc>
          <w:tcPr>
            <w:tcW w:w="3325" w:type="dxa"/>
          </w:tcPr>
          <w:p w14:paraId="06A83E5A" w14:textId="77777777" w:rsidR="00A720EB" w:rsidRDefault="0030286B">
            <w:pPr>
              <w:pStyle w:val="TableParagraph"/>
              <w:rPr>
                <w:sz w:val="21"/>
              </w:rPr>
            </w:pPr>
            <w:r>
              <w:rPr>
                <w:color w:val="B02045"/>
                <w:sz w:val="21"/>
              </w:rPr>
              <w:t>1.3.72</w:t>
            </w:r>
          </w:p>
        </w:tc>
      </w:tr>
      <w:tr w:rsidR="00A720EB" w14:paraId="1DB6BC21" w14:textId="77777777">
        <w:trPr>
          <w:trHeight w:val="368"/>
        </w:trPr>
        <w:tc>
          <w:tcPr>
            <w:tcW w:w="3325" w:type="dxa"/>
          </w:tcPr>
          <w:p w14:paraId="072B57F4"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24D9F333" w14:textId="77777777" w:rsidR="00A720EB" w:rsidRDefault="0030286B">
            <w:pPr>
              <w:pStyle w:val="TableParagraph"/>
              <w:rPr>
                <w:sz w:val="21"/>
              </w:rPr>
            </w:pPr>
            <w:r>
              <w:rPr>
                <w:color w:val="B02045"/>
                <w:sz w:val="21"/>
              </w:rPr>
              <w:t>kotlin-test-common</w:t>
            </w:r>
          </w:p>
        </w:tc>
        <w:tc>
          <w:tcPr>
            <w:tcW w:w="3325" w:type="dxa"/>
          </w:tcPr>
          <w:p w14:paraId="5853B0E9" w14:textId="77777777" w:rsidR="00A720EB" w:rsidRDefault="0030286B">
            <w:pPr>
              <w:pStyle w:val="TableParagraph"/>
              <w:rPr>
                <w:sz w:val="21"/>
              </w:rPr>
            </w:pPr>
            <w:r>
              <w:rPr>
                <w:color w:val="B02045"/>
                <w:sz w:val="21"/>
              </w:rPr>
              <w:t>1.3.72</w:t>
            </w:r>
          </w:p>
        </w:tc>
      </w:tr>
      <w:tr w:rsidR="00A720EB" w14:paraId="76B15B91" w14:textId="77777777">
        <w:trPr>
          <w:trHeight w:val="368"/>
        </w:trPr>
        <w:tc>
          <w:tcPr>
            <w:tcW w:w="3325" w:type="dxa"/>
          </w:tcPr>
          <w:p w14:paraId="065BFD88"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w:t>
            </w:r>
          </w:p>
        </w:tc>
        <w:tc>
          <w:tcPr>
            <w:tcW w:w="3325" w:type="dxa"/>
          </w:tcPr>
          <w:p w14:paraId="1219FF15" w14:textId="77777777" w:rsidR="00A720EB" w:rsidRDefault="0030286B">
            <w:pPr>
              <w:pStyle w:val="TableParagraph"/>
              <w:spacing w:before="37"/>
              <w:rPr>
                <w:sz w:val="21"/>
              </w:rPr>
            </w:pPr>
            <w:r>
              <w:rPr>
                <w:color w:val="B02045"/>
                <w:sz w:val="21"/>
              </w:rPr>
              <w:t>kotlin-test-js</w:t>
            </w:r>
          </w:p>
        </w:tc>
        <w:tc>
          <w:tcPr>
            <w:tcW w:w="3325" w:type="dxa"/>
          </w:tcPr>
          <w:p w14:paraId="0A5B96B5" w14:textId="77777777" w:rsidR="00A720EB" w:rsidRDefault="0030286B">
            <w:pPr>
              <w:pStyle w:val="TableParagraph"/>
              <w:spacing w:before="37"/>
              <w:rPr>
                <w:sz w:val="21"/>
              </w:rPr>
            </w:pPr>
            <w:r>
              <w:rPr>
                <w:color w:val="B02045"/>
                <w:sz w:val="21"/>
              </w:rPr>
              <w:t>1.3.72</w:t>
            </w:r>
          </w:p>
        </w:tc>
      </w:tr>
      <w:tr w:rsidR="00A720EB" w14:paraId="3E5A75CA" w14:textId="77777777">
        <w:trPr>
          <w:trHeight w:val="368"/>
        </w:trPr>
        <w:tc>
          <w:tcPr>
            <w:tcW w:w="3325" w:type="dxa"/>
          </w:tcPr>
          <w:p w14:paraId="0D12C443"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23FFF81D" w14:textId="77777777" w:rsidR="00A720EB" w:rsidRDefault="0030286B">
            <w:pPr>
              <w:pStyle w:val="TableParagraph"/>
              <w:rPr>
                <w:sz w:val="21"/>
              </w:rPr>
            </w:pPr>
            <w:r>
              <w:rPr>
                <w:color w:val="B02045"/>
                <w:sz w:val="21"/>
              </w:rPr>
              <w:t>kotlin-test-junit</w:t>
            </w:r>
          </w:p>
        </w:tc>
        <w:tc>
          <w:tcPr>
            <w:tcW w:w="3325" w:type="dxa"/>
          </w:tcPr>
          <w:p w14:paraId="2DDE25BC" w14:textId="77777777" w:rsidR="00A720EB" w:rsidRDefault="0030286B">
            <w:pPr>
              <w:pStyle w:val="TableParagraph"/>
              <w:rPr>
                <w:sz w:val="21"/>
              </w:rPr>
            </w:pPr>
            <w:r>
              <w:rPr>
                <w:color w:val="B02045"/>
                <w:sz w:val="21"/>
              </w:rPr>
              <w:t>1.3.72</w:t>
            </w:r>
          </w:p>
        </w:tc>
      </w:tr>
      <w:tr w:rsidR="00A720EB" w14:paraId="34AF82A2" w14:textId="77777777">
        <w:trPr>
          <w:trHeight w:val="368"/>
        </w:trPr>
        <w:tc>
          <w:tcPr>
            <w:tcW w:w="3325" w:type="dxa"/>
          </w:tcPr>
          <w:p w14:paraId="2F658DB7" w14:textId="77777777" w:rsidR="00A720EB" w:rsidRDefault="0030286B">
            <w:pPr>
              <w:pStyle w:val="TableParagraph"/>
              <w:rPr>
                <w:sz w:val="21"/>
              </w:rPr>
            </w:pPr>
            <w:proofErr w:type="gramStart"/>
            <w:r>
              <w:rPr>
                <w:color w:val="B02045"/>
                <w:sz w:val="21"/>
              </w:rPr>
              <w:t>org.jetbrains</w:t>
            </w:r>
            <w:proofErr w:type="gramEnd"/>
            <w:r>
              <w:rPr>
                <w:color w:val="B02045"/>
                <w:sz w:val="21"/>
              </w:rPr>
              <w:t>.kotlin</w:t>
            </w:r>
          </w:p>
        </w:tc>
        <w:tc>
          <w:tcPr>
            <w:tcW w:w="3325" w:type="dxa"/>
          </w:tcPr>
          <w:p w14:paraId="65FA7C52" w14:textId="77777777" w:rsidR="00A720EB" w:rsidRDefault="0030286B">
            <w:pPr>
              <w:pStyle w:val="TableParagraph"/>
              <w:rPr>
                <w:sz w:val="21"/>
              </w:rPr>
            </w:pPr>
            <w:r>
              <w:rPr>
                <w:color w:val="B02045"/>
                <w:sz w:val="21"/>
              </w:rPr>
              <w:t>kotlin-test-junit5</w:t>
            </w:r>
          </w:p>
        </w:tc>
        <w:tc>
          <w:tcPr>
            <w:tcW w:w="3325" w:type="dxa"/>
          </w:tcPr>
          <w:p w14:paraId="558043A2" w14:textId="77777777" w:rsidR="00A720EB" w:rsidRDefault="0030286B">
            <w:pPr>
              <w:pStyle w:val="TableParagraph"/>
              <w:rPr>
                <w:sz w:val="21"/>
              </w:rPr>
            </w:pPr>
            <w:r>
              <w:rPr>
                <w:color w:val="B02045"/>
                <w:sz w:val="21"/>
              </w:rPr>
              <w:t>1.3.72</w:t>
            </w:r>
          </w:p>
        </w:tc>
      </w:tr>
      <w:tr w:rsidR="00A720EB" w14:paraId="6B181113" w14:textId="77777777">
        <w:trPr>
          <w:trHeight w:val="368"/>
        </w:trPr>
        <w:tc>
          <w:tcPr>
            <w:tcW w:w="3325" w:type="dxa"/>
          </w:tcPr>
          <w:p w14:paraId="4C334017"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w:t>
            </w:r>
          </w:p>
        </w:tc>
        <w:tc>
          <w:tcPr>
            <w:tcW w:w="3325" w:type="dxa"/>
          </w:tcPr>
          <w:p w14:paraId="652E97E2" w14:textId="77777777" w:rsidR="00A720EB" w:rsidRDefault="0030286B">
            <w:pPr>
              <w:pStyle w:val="TableParagraph"/>
              <w:spacing w:before="37"/>
              <w:rPr>
                <w:sz w:val="21"/>
              </w:rPr>
            </w:pPr>
            <w:r>
              <w:rPr>
                <w:color w:val="B02045"/>
                <w:sz w:val="21"/>
              </w:rPr>
              <w:t>kotlin-test-testng</w:t>
            </w:r>
          </w:p>
        </w:tc>
        <w:tc>
          <w:tcPr>
            <w:tcW w:w="3325" w:type="dxa"/>
          </w:tcPr>
          <w:p w14:paraId="478597A9" w14:textId="77777777" w:rsidR="00A720EB" w:rsidRDefault="0030286B">
            <w:pPr>
              <w:pStyle w:val="TableParagraph"/>
              <w:spacing w:before="37"/>
              <w:rPr>
                <w:sz w:val="21"/>
              </w:rPr>
            </w:pPr>
            <w:r>
              <w:rPr>
                <w:color w:val="B02045"/>
                <w:sz w:val="21"/>
              </w:rPr>
              <w:t>1.3.72</w:t>
            </w:r>
          </w:p>
        </w:tc>
      </w:tr>
      <w:tr w:rsidR="00A720EB" w14:paraId="0DE6713A" w14:textId="77777777">
        <w:trPr>
          <w:trHeight w:val="368"/>
        </w:trPr>
        <w:tc>
          <w:tcPr>
            <w:tcW w:w="3325" w:type="dxa"/>
          </w:tcPr>
          <w:p w14:paraId="1553E836"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.kotlinx</w:t>
            </w:r>
          </w:p>
        </w:tc>
        <w:tc>
          <w:tcPr>
            <w:tcW w:w="3325" w:type="dxa"/>
          </w:tcPr>
          <w:p w14:paraId="4F001F15" w14:textId="77777777" w:rsidR="00A720EB" w:rsidRDefault="0030286B">
            <w:pPr>
              <w:pStyle w:val="TableParagraph"/>
              <w:spacing w:before="37"/>
              <w:rPr>
                <w:sz w:val="21"/>
              </w:rPr>
            </w:pPr>
            <w:r>
              <w:rPr>
                <w:color w:val="B02045"/>
                <w:sz w:val="21"/>
              </w:rPr>
              <w:t>kotlinx-coroutines-android</w:t>
            </w:r>
          </w:p>
        </w:tc>
        <w:tc>
          <w:tcPr>
            <w:tcW w:w="3325" w:type="dxa"/>
          </w:tcPr>
          <w:p w14:paraId="52B53CB3" w14:textId="77777777" w:rsidR="00A720EB" w:rsidRDefault="0030286B">
            <w:pPr>
              <w:pStyle w:val="TableParagraph"/>
              <w:spacing w:before="37"/>
              <w:rPr>
                <w:sz w:val="21"/>
              </w:rPr>
            </w:pPr>
            <w:r>
              <w:rPr>
                <w:color w:val="B02045"/>
                <w:sz w:val="21"/>
              </w:rPr>
              <w:t>1.3.8</w:t>
            </w:r>
          </w:p>
        </w:tc>
      </w:tr>
      <w:tr w:rsidR="00A720EB" w14:paraId="6AC87E73" w14:textId="77777777">
        <w:trPr>
          <w:trHeight w:val="368"/>
        </w:trPr>
        <w:tc>
          <w:tcPr>
            <w:tcW w:w="3325" w:type="dxa"/>
          </w:tcPr>
          <w:p w14:paraId="5C927B83"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.kotlinx</w:t>
            </w:r>
          </w:p>
        </w:tc>
        <w:tc>
          <w:tcPr>
            <w:tcW w:w="3325" w:type="dxa"/>
          </w:tcPr>
          <w:p w14:paraId="7A992854" w14:textId="77777777" w:rsidR="00A720EB" w:rsidRDefault="0030286B">
            <w:pPr>
              <w:pStyle w:val="TableParagraph"/>
              <w:spacing w:before="37"/>
              <w:rPr>
                <w:sz w:val="21"/>
              </w:rPr>
            </w:pPr>
            <w:r>
              <w:rPr>
                <w:color w:val="B02045"/>
                <w:sz w:val="21"/>
              </w:rPr>
              <w:t>kotlinx-coroutines-core</w:t>
            </w:r>
          </w:p>
        </w:tc>
        <w:tc>
          <w:tcPr>
            <w:tcW w:w="3325" w:type="dxa"/>
          </w:tcPr>
          <w:p w14:paraId="60AD1341" w14:textId="77777777" w:rsidR="00A720EB" w:rsidRDefault="0030286B">
            <w:pPr>
              <w:pStyle w:val="TableParagraph"/>
              <w:spacing w:before="37"/>
              <w:rPr>
                <w:sz w:val="21"/>
              </w:rPr>
            </w:pPr>
            <w:r>
              <w:rPr>
                <w:color w:val="B02045"/>
                <w:sz w:val="21"/>
              </w:rPr>
              <w:t>1.3.8</w:t>
            </w:r>
          </w:p>
        </w:tc>
      </w:tr>
      <w:tr w:rsidR="00A720EB" w14:paraId="3DF10B2F" w14:textId="77777777">
        <w:trPr>
          <w:trHeight w:val="368"/>
        </w:trPr>
        <w:tc>
          <w:tcPr>
            <w:tcW w:w="3325" w:type="dxa"/>
          </w:tcPr>
          <w:p w14:paraId="28A7F9D0"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4F277A1A" w14:textId="77777777" w:rsidR="00A720EB" w:rsidRDefault="0030286B">
            <w:pPr>
              <w:pStyle w:val="TableParagraph"/>
              <w:rPr>
                <w:sz w:val="21"/>
              </w:rPr>
            </w:pPr>
            <w:r>
              <w:rPr>
                <w:color w:val="B02045"/>
                <w:sz w:val="21"/>
              </w:rPr>
              <w:t>kotlinx-coroutines-core-common</w:t>
            </w:r>
          </w:p>
        </w:tc>
        <w:tc>
          <w:tcPr>
            <w:tcW w:w="3325" w:type="dxa"/>
          </w:tcPr>
          <w:p w14:paraId="3884139C" w14:textId="77777777" w:rsidR="00A720EB" w:rsidRDefault="0030286B">
            <w:pPr>
              <w:pStyle w:val="TableParagraph"/>
              <w:rPr>
                <w:sz w:val="21"/>
              </w:rPr>
            </w:pPr>
            <w:r>
              <w:rPr>
                <w:color w:val="B02045"/>
                <w:sz w:val="21"/>
              </w:rPr>
              <w:t>1.3.8</w:t>
            </w:r>
          </w:p>
        </w:tc>
      </w:tr>
      <w:tr w:rsidR="00A720EB" w14:paraId="3951ABB0" w14:textId="77777777">
        <w:trPr>
          <w:trHeight w:val="368"/>
        </w:trPr>
        <w:tc>
          <w:tcPr>
            <w:tcW w:w="3325" w:type="dxa"/>
          </w:tcPr>
          <w:p w14:paraId="6346D6CD"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2FAB5050" w14:textId="77777777" w:rsidR="00A720EB" w:rsidRDefault="0030286B">
            <w:pPr>
              <w:pStyle w:val="TableParagraph"/>
              <w:rPr>
                <w:sz w:val="21"/>
              </w:rPr>
            </w:pPr>
            <w:r>
              <w:rPr>
                <w:color w:val="B02045"/>
                <w:sz w:val="21"/>
              </w:rPr>
              <w:t>kotlinx-coroutines-core-js</w:t>
            </w:r>
          </w:p>
        </w:tc>
        <w:tc>
          <w:tcPr>
            <w:tcW w:w="3325" w:type="dxa"/>
          </w:tcPr>
          <w:p w14:paraId="5A34DEBC" w14:textId="77777777" w:rsidR="00A720EB" w:rsidRDefault="0030286B">
            <w:pPr>
              <w:pStyle w:val="TableParagraph"/>
              <w:rPr>
                <w:sz w:val="21"/>
              </w:rPr>
            </w:pPr>
            <w:r>
              <w:rPr>
                <w:color w:val="B02045"/>
                <w:sz w:val="21"/>
              </w:rPr>
              <w:t>1.3.8</w:t>
            </w:r>
          </w:p>
        </w:tc>
      </w:tr>
      <w:tr w:rsidR="00A720EB" w14:paraId="7E5EE00E" w14:textId="77777777">
        <w:trPr>
          <w:trHeight w:val="368"/>
        </w:trPr>
        <w:tc>
          <w:tcPr>
            <w:tcW w:w="3325" w:type="dxa"/>
          </w:tcPr>
          <w:p w14:paraId="0D344D2B"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.kotlinx</w:t>
            </w:r>
          </w:p>
        </w:tc>
        <w:tc>
          <w:tcPr>
            <w:tcW w:w="3325" w:type="dxa"/>
          </w:tcPr>
          <w:p w14:paraId="2A811003" w14:textId="77777777" w:rsidR="00A720EB" w:rsidRDefault="0030286B">
            <w:pPr>
              <w:pStyle w:val="TableParagraph"/>
              <w:spacing w:before="37"/>
              <w:rPr>
                <w:sz w:val="21"/>
              </w:rPr>
            </w:pPr>
            <w:r>
              <w:rPr>
                <w:color w:val="B02045"/>
                <w:sz w:val="21"/>
              </w:rPr>
              <w:t>kotlinx-coroutines-core-native</w:t>
            </w:r>
          </w:p>
        </w:tc>
        <w:tc>
          <w:tcPr>
            <w:tcW w:w="3325" w:type="dxa"/>
          </w:tcPr>
          <w:p w14:paraId="34500F11" w14:textId="77777777" w:rsidR="00A720EB" w:rsidRDefault="0030286B">
            <w:pPr>
              <w:pStyle w:val="TableParagraph"/>
              <w:spacing w:before="37"/>
              <w:rPr>
                <w:sz w:val="21"/>
              </w:rPr>
            </w:pPr>
            <w:r>
              <w:rPr>
                <w:color w:val="B02045"/>
                <w:sz w:val="21"/>
              </w:rPr>
              <w:t>1.3.8</w:t>
            </w:r>
          </w:p>
        </w:tc>
      </w:tr>
      <w:tr w:rsidR="00A720EB" w14:paraId="66A32BA6" w14:textId="77777777">
        <w:trPr>
          <w:trHeight w:val="368"/>
        </w:trPr>
        <w:tc>
          <w:tcPr>
            <w:tcW w:w="3325" w:type="dxa"/>
          </w:tcPr>
          <w:p w14:paraId="18C673F9"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.kotlinx</w:t>
            </w:r>
          </w:p>
        </w:tc>
        <w:tc>
          <w:tcPr>
            <w:tcW w:w="3325" w:type="dxa"/>
          </w:tcPr>
          <w:p w14:paraId="105BC6BD" w14:textId="77777777" w:rsidR="00A720EB" w:rsidRDefault="0030286B">
            <w:pPr>
              <w:pStyle w:val="TableParagraph"/>
              <w:spacing w:before="37"/>
              <w:rPr>
                <w:sz w:val="21"/>
              </w:rPr>
            </w:pPr>
            <w:r>
              <w:rPr>
                <w:color w:val="B02045"/>
                <w:sz w:val="21"/>
              </w:rPr>
              <w:t>kotlinx-coroutines-debug</w:t>
            </w:r>
          </w:p>
        </w:tc>
        <w:tc>
          <w:tcPr>
            <w:tcW w:w="3325" w:type="dxa"/>
          </w:tcPr>
          <w:p w14:paraId="2BE40BBD" w14:textId="77777777" w:rsidR="00A720EB" w:rsidRDefault="0030286B">
            <w:pPr>
              <w:pStyle w:val="TableParagraph"/>
              <w:spacing w:before="37"/>
              <w:rPr>
                <w:sz w:val="21"/>
              </w:rPr>
            </w:pPr>
            <w:r>
              <w:rPr>
                <w:color w:val="B02045"/>
                <w:sz w:val="21"/>
              </w:rPr>
              <w:t>1.3.8</w:t>
            </w:r>
          </w:p>
        </w:tc>
      </w:tr>
      <w:tr w:rsidR="00A720EB" w14:paraId="4F4D00EF" w14:textId="77777777">
        <w:trPr>
          <w:trHeight w:val="368"/>
        </w:trPr>
        <w:tc>
          <w:tcPr>
            <w:tcW w:w="3325" w:type="dxa"/>
          </w:tcPr>
          <w:p w14:paraId="1CCE5EEA"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341C0828" w14:textId="77777777" w:rsidR="00A720EB" w:rsidRDefault="0030286B">
            <w:pPr>
              <w:pStyle w:val="TableParagraph"/>
              <w:rPr>
                <w:sz w:val="21"/>
              </w:rPr>
            </w:pPr>
            <w:r>
              <w:rPr>
                <w:color w:val="B02045"/>
                <w:sz w:val="21"/>
              </w:rPr>
              <w:t>kotlinx-coroutines-guava</w:t>
            </w:r>
          </w:p>
        </w:tc>
        <w:tc>
          <w:tcPr>
            <w:tcW w:w="3325" w:type="dxa"/>
          </w:tcPr>
          <w:p w14:paraId="3271B582" w14:textId="77777777" w:rsidR="00A720EB" w:rsidRDefault="0030286B">
            <w:pPr>
              <w:pStyle w:val="TableParagraph"/>
              <w:rPr>
                <w:sz w:val="21"/>
              </w:rPr>
            </w:pPr>
            <w:r>
              <w:rPr>
                <w:color w:val="B02045"/>
                <w:sz w:val="21"/>
              </w:rPr>
              <w:t>1.3.8</w:t>
            </w:r>
          </w:p>
        </w:tc>
      </w:tr>
      <w:tr w:rsidR="00A720EB" w14:paraId="7796EB84" w14:textId="77777777">
        <w:trPr>
          <w:trHeight w:val="368"/>
        </w:trPr>
        <w:tc>
          <w:tcPr>
            <w:tcW w:w="3325" w:type="dxa"/>
          </w:tcPr>
          <w:p w14:paraId="5829C051"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54C3C80E" w14:textId="77777777" w:rsidR="00A720EB" w:rsidRDefault="0030286B">
            <w:pPr>
              <w:pStyle w:val="TableParagraph"/>
              <w:rPr>
                <w:sz w:val="21"/>
              </w:rPr>
            </w:pPr>
            <w:r>
              <w:rPr>
                <w:color w:val="B02045"/>
                <w:sz w:val="21"/>
              </w:rPr>
              <w:t>kotlinx-coroutines-javafx</w:t>
            </w:r>
          </w:p>
        </w:tc>
        <w:tc>
          <w:tcPr>
            <w:tcW w:w="3325" w:type="dxa"/>
          </w:tcPr>
          <w:p w14:paraId="75DE98C0" w14:textId="77777777" w:rsidR="00A720EB" w:rsidRDefault="0030286B">
            <w:pPr>
              <w:pStyle w:val="TableParagraph"/>
              <w:rPr>
                <w:sz w:val="21"/>
              </w:rPr>
            </w:pPr>
            <w:r>
              <w:rPr>
                <w:color w:val="B02045"/>
                <w:sz w:val="21"/>
              </w:rPr>
              <w:t>1.3.8</w:t>
            </w:r>
          </w:p>
        </w:tc>
      </w:tr>
      <w:tr w:rsidR="00A720EB" w14:paraId="2E4D742B" w14:textId="77777777">
        <w:trPr>
          <w:trHeight w:val="368"/>
        </w:trPr>
        <w:tc>
          <w:tcPr>
            <w:tcW w:w="3325" w:type="dxa"/>
          </w:tcPr>
          <w:p w14:paraId="73D62B33"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.kotlinx</w:t>
            </w:r>
          </w:p>
        </w:tc>
        <w:tc>
          <w:tcPr>
            <w:tcW w:w="3325" w:type="dxa"/>
          </w:tcPr>
          <w:p w14:paraId="7A44344B" w14:textId="77777777" w:rsidR="00A720EB" w:rsidRDefault="0030286B">
            <w:pPr>
              <w:pStyle w:val="TableParagraph"/>
              <w:spacing w:before="37"/>
              <w:rPr>
                <w:sz w:val="21"/>
              </w:rPr>
            </w:pPr>
            <w:r>
              <w:rPr>
                <w:color w:val="B02045"/>
                <w:sz w:val="21"/>
              </w:rPr>
              <w:t>kotlinx-coroutines-jdk8</w:t>
            </w:r>
          </w:p>
        </w:tc>
        <w:tc>
          <w:tcPr>
            <w:tcW w:w="3325" w:type="dxa"/>
          </w:tcPr>
          <w:p w14:paraId="25970953" w14:textId="77777777" w:rsidR="00A720EB" w:rsidRDefault="0030286B">
            <w:pPr>
              <w:pStyle w:val="TableParagraph"/>
              <w:spacing w:before="37"/>
              <w:rPr>
                <w:sz w:val="21"/>
              </w:rPr>
            </w:pPr>
            <w:r>
              <w:rPr>
                <w:color w:val="B02045"/>
                <w:sz w:val="21"/>
              </w:rPr>
              <w:t>1.3.8</w:t>
            </w:r>
          </w:p>
        </w:tc>
      </w:tr>
      <w:tr w:rsidR="00A720EB" w14:paraId="0C03EFD7" w14:textId="77777777">
        <w:trPr>
          <w:trHeight w:val="368"/>
        </w:trPr>
        <w:tc>
          <w:tcPr>
            <w:tcW w:w="3325" w:type="dxa"/>
          </w:tcPr>
          <w:p w14:paraId="6C6E663E"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.kotlinx</w:t>
            </w:r>
          </w:p>
        </w:tc>
        <w:tc>
          <w:tcPr>
            <w:tcW w:w="3325" w:type="dxa"/>
          </w:tcPr>
          <w:p w14:paraId="62554372" w14:textId="77777777" w:rsidR="00A720EB" w:rsidRDefault="0030286B">
            <w:pPr>
              <w:pStyle w:val="TableParagraph"/>
              <w:spacing w:before="37"/>
              <w:rPr>
                <w:sz w:val="21"/>
              </w:rPr>
            </w:pPr>
            <w:r>
              <w:rPr>
                <w:color w:val="B02045"/>
                <w:sz w:val="21"/>
              </w:rPr>
              <w:t>kotlinx-coroutines-jdk9</w:t>
            </w:r>
          </w:p>
        </w:tc>
        <w:tc>
          <w:tcPr>
            <w:tcW w:w="3325" w:type="dxa"/>
          </w:tcPr>
          <w:p w14:paraId="7C094E0B" w14:textId="77777777" w:rsidR="00A720EB" w:rsidRDefault="0030286B">
            <w:pPr>
              <w:pStyle w:val="TableParagraph"/>
              <w:spacing w:before="37"/>
              <w:rPr>
                <w:sz w:val="21"/>
              </w:rPr>
            </w:pPr>
            <w:r>
              <w:rPr>
                <w:color w:val="B02045"/>
                <w:sz w:val="21"/>
              </w:rPr>
              <w:t>1.3.8</w:t>
            </w:r>
          </w:p>
        </w:tc>
      </w:tr>
      <w:tr w:rsidR="00A720EB" w14:paraId="32DB89DB" w14:textId="77777777">
        <w:trPr>
          <w:trHeight w:val="627"/>
        </w:trPr>
        <w:tc>
          <w:tcPr>
            <w:tcW w:w="3325" w:type="dxa"/>
          </w:tcPr>
          <w:p w14:paraId="0E14B7B1"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4BD7B7B3" w14:textId="77777777" w:rsidR="00A720EB" w:rsidRDefault="0030286B">
            <w:pPr>
              <w:pStyle w:val="TableParagraph"/>
              <w:spacing w:before="46" w:line="230" w:lineRule="auto"/>
              <w:ind w:right="715"/>
              <w:rPr>
                <w:sz w:val="21"/>
              </w:rPr>
            </w:pPr>
            <w:r>
              <w:rPr>
                <w:color w:val="B02045"/>
                <w:sz w:val="21"/>
              </w:rPr>
              <w:t>kotlinx-coroutines-play- services</w:t>
            </w:r>
          </w:p>
        </w:tc>
        <w:tc>
          <w:tcPr>
            <w:tcW w:w="3325" w:type="dxa"/>
          </w:tcPr>
          <w:p w14:paraId="2DAF22EC" w14:textId="77777777" w:rsidR="00A720EB" w:rsidRDefault="0030286B">
            <w:pPr>
              <w:pStyle w:val="TableParagraph"/>
              <w:rPr>
                <w:sz w:val="21"/>
              </w:rPr>
            </w:pPr>
            <w:r>
              <w:rPr>
                <w:color w:val="B02045"/>
                <w:sz w:val="21"/>
              </w:rPr>
              <w:t>1.3.8</w:t>
            </w:r>
          </w:p>
        </w:tc>
      </w:tr>
      <w:tr w:rsidR="00A720EB" w14:paraId="1651A5C8" w14:textId="77777777">
        <w:trPr>
          <w:trHeight w:val="368"/>
        </w:trPr>
        <w:tc>
          <w:tcPr>
            <w:tcW w:w="3325" w:type="dxa"/>
          </w:tcPr>
          <w:p w14:paraId="2B447365"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7C0BC58D" w14:textId="77777777" w:rsidR="00A720EB" w:rsidRDefault="0030286B">
            <w:pPr>
              <w:pStyle w:val="TableParagraph"/>
              <w:rPr>
                <w:sz w:val="21"/>
              </w:rPr>
            </w:pPr>
            <w:r>
              <w:rPr>
                <w:color w:val="B02045"/>
                <w:sz w:val="21"/>
              </w:rPr>
              <w:t>kotlinx-coroutines-reactive</w:t>
            </w:r>
          </w:p>
        </w:tc>
        <w:tc>
          <w:tcPr>
            <w:tcW w:w="3325" w:type="dxa"/>
          </w:tcPr>
          <w:p w14:paraId="6AA6A696" w14:textId="77777777" w:rsidR="00A720EB" w:rsidRDefault="0030286B">
            <w:pPr>
              <w:pStyle w:val="TableParagraph"/>
              <w:rPr>
                <w:sz w:val="21"/>
              </w:rPr>
            </w:pPr>
            <w:r>
              <w:rPr>
                <w:color w:val="B02045"/>
                <w:sz w:val="21"/>
              </w:rPr>
              <w:t>1.3.8</w:t>
            </w:r>
          </w:p>
        </w:tc>
      </w:tr>
      <w:tr w:rsidR="00A720EB" w14:paraId="4F50BC11" w14:textId="77777777">
        <w:trPr>
          <w:trHeight w:val="368"/>
        </w:trPr>
        <w:tc>
          <w:tcPr>
            <w:tcW w:w="3325" w:type="dxa"/>
          </w:tcPr>
          <w:p w14:paraId="5551A29A"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.kotlinx</w:t>
            </w:r>
          </w:p>
        </w:tc>
        <w:tc>
          <w:tcPr>
            <w:tcW w:w="3325" w:type="dxa"/>
          </w:tcPr>
          <w:p w14:paraId="37D7C995" w14:textId="77777777" w:rsidR="00A720EB" w:rsidRDefault="0030286B">
            <w:pPr>
              <w:pStyle w:val="TableParagraph"/>
              <w:spacing w:before="37"/>
              <w:rPr>
                <w:sz w:val="21"/>
              </w:rPr>
            </w:pPr>
            <w:r>
              <w:rPr>
                <w:color w:val="B02045"/>
                <w:sz w:val="21"/>
              </w:rPr>
              <w:t>kotlinx-coroutines-reactor</w:t>
            </w:r>
          </w:p>
        </w:tc>
        <w:tc>
          <w:tcPr>
            <w:tcW w:w="3325" w:type="dxa"/>
          </w:tcPr>
          <w:p w14:paraId="6C5D3896" w14:textId="77777777" w:rsidR="00A720EB" w:rsidRDefault="0030286B">
            <w:pPr>
              <w:pStyle w:val="TableParagraph"/>
              <w:spacing w:before="37"/>
              <w:rPr>
                <w:sz w:val="21"/>
              </w:rPr>
            </w:pPr>
            <w:r>
              <w:rPr>
                <w:color w:val="B02045"/>
                <w:sz w:val="21"/>
              </w:rPr>
              <w:t>1.3.8</w:t>
            </w:r>
          </w:p>
        </w:tc>
      </w:tr>
      <w:tr w:rsidR="00A720EB" w14:paraId="76E42EC8" w14:textId="77777777">
        <w:trPr>
          <w:trHeight w:val="368"/>
        </w:trPr>
        <w:tc>
          <w:tcPr>
            <w:tcW w:w="3325" w:type="dxa"/>
          </w:tcPr>
          <w:p w14:paraId="674BAF77"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5D975985" w14:textId="77777777" w:rsidR="00A720EB" w:rsidRDefault="0030286B">
            <w:pPr>
              <w:pStyle w:val="TableParagraph"/>
              <w:rPr>
                <w:sz w:val="21"/>
              </w:rPr>
            </w:pPr>
            <w:r>
              <w:rPr>
                <w:color w:val="B02045"/>
                <w:sz w:val="21"/>
              </w:rPr>
              <w:t>kotlinx-coroutines-rx2</w:t>
            </w:r>
          </w:p>
        </w:tc>
        <w:tc>
          <w:tcPr>
            <w:tcW w:w="3325" w:type="dxa"/>
          </w:tcPr>
          <w:p w14:paraId="125235BC" w14:textId="77777777" w:rsidR="00A720EB" w:rsidRDefault="0030286B">
            <w:pPr>
              <w:pStyle w:val="TableParagraph"/>
              <w:rPr>
                <w:sz w:val="21"/>
              </w:rPr>
            </w:pPr>
            <w:r>
              <w:rPr>
                <w:color w:val="B02045"/>
                <w:sz w:val="21"/>
              </w:rPr>
              <w:t>1.3.8</w:t>
            </w:r>
          </w:p>
        </w:tc>
      </w:tr>
      <w:tr w:rsidR="00A720EB" w14:paraId="4B46763D" w14:textId="77777777">
        <w:trPr>
          <w:trHeight w:val="368"/>
        </w:trPr>
        <w:tc>
          <w:tcPr>
            <w:tcW w:w="3325" w:type="dxa"/>
          </w:tcPr>
          <w:p w14:paraId="2AE3A56B" w14:textId="77777777" w:rsidR="00A720EB" w:rsidRDefault="0030286B">
            <w:pPr>
              <w:pStyle w:val="TableParagraph"/>
              <w:spacing w:before="37"/>
              <w:rPr>
                <w:sz w:val="21"/>
              </w:rPr>
            </w:pPr>
            <w:proofErr w:type="gramStart"/>
            <w:r>
              <w:rPr>
                <w:color w:val="B02045"/>
                <w:sz w:val="21"/>
              </w:rPr>
              <w:t>org.jetbrains</w:t>
            </w:r>
            <w:proofErr w:type="gramEnd"/>
            <w:r>
              <w:rPr>
                <w:color w:val="B02045"/>
                <w:sz w:val="21"/>
              </w:rPr>
              <w:t>.kotlinx</w:t>
            </w:r>
          </w:p>
        </w:tc>
        <w:tc>
          <w:tcPr>
            <w:tcW w:w="3325" w:type="dxa"/>
          </w:tcPr>
          <w:p w14:paraId="7A4DCFF6" w14:textId="77777777" w:rsidR="00A720EB" w:rsidRDefault="0030286B">
            <w:pPr>
              <w:pStyle w:val="TableParagraph"/>
              <w:spacing w:before="37"/>
              <w:rPr>
                <w:sz w:val="21"/>
              </w:rPr>
            </w:pPr>
            <w:r>
              <w:rPr>
                <w:color w:val="B02045"/>
                <w:sz w:val="21"/>
              </w:rPr>
              <w:t>kotlinx-coroutines-rx3</w:t>
            </w:r>
          </w:p>
        </w:tc>
        <w:tc>
          <w:tcPr>
            <w:tcW w:w="3325" w:type="dxa"/>
          </w:tcPr>
          <w:p w14:paraId="16300542" w14:textId="77777777" w:rsidR="00A720EB" w:rsidRDefault="0030286B">
            <w:pPr>
              <w:pStyle w:val="TableParagraph"/>
              <w:spacing w:before="37"/>
              <w:rPr>
                <w:sz w:val="21"/>
              </w:rPr>
            </w:pPr>
            <w:r>
              <w:rPr>
                <w:color w:val="B02045"/>
                <w:sz w:val="21"/>
              </w:rPr>
              <w:t>1.3.8</w:t>
            </w:r>
          </w:p>
        </w:tc>
      </w:tr>
      <w:tr w:rsidR="00A720EB" w14:paraId="54F10D4C" w14:textId="77777777">
        <w:trPr>
          <w:trHeight w:val="368"/>
        </w:trPr>
        <w:tc>
          <w:tcPr>
            <w:tcW w:w="3325" w:type="dxa"/>
          </w:tcPr>
          <w:p w14:paraId="6932E404"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60624FD5" w14:textId="77777777" w:rsidR="00A720EB" w:rsidRDefault="0030286B">
            <w:pPr>
              <w:pStyle w:val="TableParagraph"/>
              <w:rPr>
                <w:sz w:val="21"/>
              </w:rPr>
            </w:pPr>
            <w:r>
              <w:rPr>
                <w:color w:val="B02045"/>
                <w:sz w:val="21"/>
              </w:rPr>
              <w:t>kotlinx-coroutines-slf4j</w:t>
            </w:r>
          </w:p>
        </w:tc>
        <w:tc>
          <w:tcPr>
            <w:tcW w:w="3325" w:type="dxa"/>
          </w:tcPr>
          <w:p w14:paraId="369D8B2D" w14:textId="77777777" w:rsidR="00A720EB" w:rsidRDefault="0030286B">
            <w:pPr>
              <w:pStyle w:val="TableParagraph"/>
              <w:rPr>
                <w:sz w:val="21"/>
              </w:rPr>
            </w:pPr>
            <w:r>
              <w:rPr>
                <w:color w:val="B02045"/>
                <w:sz w:val="21"/>
              </w:rPr>
              <w:t>1.3.8</w:t>
            </w:r>
          </w:p>
        </w:tc>
      </w:tr>
      <w:tr w:rsidR="00A720EB" w14:paraId="0C8D802E" w14:textId="77777777">
        <w:trPr>
          <w:trHeight w:val="368"/>
        </w:trPr>
        <w:tc>
          <w:tcPr>
            <w:tcW w:w="3325" w:type="dxa"/>
          </w:tcPr>
          <w:p w14:paraId="3E97EF2E"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65BF97FE" w14:textId="77777777" w:rsidR="00A720EB" w:rsidRDefault="0030286B">
            <w:pPr>
              <w:pStyle w:val="TableParagraph"/>
              <w:rPr>
                <w:sz w:val="21"/>
              </w:rPr>
            </w:pPr>
            <w:r>
              <w:rPr>
                <w:color w:val="B02045"/>
                <w:sz w:val="21"/>
              </w:rPr>
              <w:t>kotlinx-coroutines-swing</w:t>
            </w:r>
          </w:p>
        </w:tc>
        <w:tc>
          <w:tcPr>
            <w:tcW w:w="3325" w:type="dxa"/>
          </w:tcPr>
          <w:p w14:paraId="0236D4C7" w14:textId="77777777" w:rsidR="00A720EB" w:rsidRDefault="0030286B">
            <w:pPr>
              <w:pStyle w:val="TableParagraph"/>
              <w:rPr>
                <w:sz w:val="21"/>
              </w:rPr>
            </w:pPr>
            <w:r>
              <w:rPr>
                <w:color w:val="B02045"/>
                <w:sz w:val="21"/>
              </w:rPr>
              <w:t>1.3.8</w:t>
            </w:r>
          </w:p>
        </w:tc>
      </w:tr>
      <w:tr w:rsidR="00A720EB" w14:paraId="45ACE77B" w14:textId="77777777">
        <w:trPr>
          <w:trHeight w:val="368"/>
        </w:trPr>
        <w:tc>
          <w:tcPr>
            <w:tcW w:w="3325" w:type="dxa"/>
          </w:tcPr>
          <w:p w14:paraId="2B7B2CCC" w14:textId="77777777" w:rsidR="00A720EB" w:rsidRDefault="0030286B">
            <w:pPr>
              <w:pStyle w:val="TableParagraph"/>
              <w:rPr>
                <w:sz w:val="21"/>
              </w:rPr>
            </w:pPr>
            <w:proofErr w:type="gramStart"/>
            <w:r>
              <w:rPr>
                <w:color w:val="B02045"/>
                <w:sz w:val="21"/>
              </w:rPr>
              <w:t>org.jetbrains</w:t>
            </w:r>
            <w:proofErr w:type="gramEnd"/>
            <w:r>
              <w:rPr>
                <w:color w:val="B02045"/>
                <w:sz w:val="21"/>
              </w:rPr>
              <w:t>.kotlinx</w:t>
            </w:r>
          </w:p>
        </w:tc>
        <w:tc>
          <w:tcPr>
            <w:tcW w:w="3325" w:type="dxa"/>
          </w:tcPr>
          <w:p w14:paraId="2F724E8A" w14:textId="77777777" w:rsidR="00A720EB" w:rsidRDefault="0030286B">
            <w:pPr>
              <w:pStyle w:val="TableParagraph"/>
              <w:rPr>
                <w:sz w:val="21"/>
              </w:rPr>
            </w:pPr>
            <w:r>
              <w:rPr>
                <w:color w:val="B02045"/>
                <w:sz w:val="21"/>
              </w:rPr>
              <w:t>kotlinx-coroutines-test</w:t>
            </w:r>
          </w:p>
        </w:tc>
        <w:tc>
          <w:tcPr>
            <w:tcW w:w="3325" w:type="dxa"/>
          </w:tcPr>
          <w:p w14:paraId="4F3BD6D1" w14:textId="77777777" w:rsidR="00A720EB" w:rsidRDefault="0030286B">
            <w:pPr>
              <w:pStyle w:val="TableParagraph"/>
              <w:rPr>
                <w:sz w:val="21"/>
              </w:rPr>
            </w:pPr>
            <w:r>
              <w:rPr>
                <w:color w:val="B02045"/>
                <w:sz w:val="21"/>
              </w:rPr>
              <w:t>1.3.8</w:t>
            </w:r>
          </w:p>
        </w:tc>
      </w:tr>
      <w:tr w:rsidR="00A720EB" w14:paraId="06898310" w14:textId="77777777">
        <w:trPr>
          <w:trHeight w:val="368"/>
        </w:trPr>
        <w:tc>
          <w:tcPr>
            <w:tcW w:w="3325" w:type="dxa"/>
          </w:tcPr>
          <w:p w14:paraId="153929DC" w14:textId="77777777" w:rsidR="00A720EB" w:rsidRDefault="0030286B">
            <w:pPr>
              <w:pStyle w:val="TableParagraph"/>
              <w:rPr>
                <w:sz w:val="21"/>
              </w:rPr>
            </w:pPr>
            <w:proofErr w:type="gramStart"/>
            <w:r>
              <w:rPr>
                <w:color w:val="B02045"/>
                <w:sz w:val="21"/>
              </w:rPr>
              <w:t>org.jolokia</w:t>
            </w:r>
            <w:proofErr w:type="gramEnd"/>
          </w:p>
        </w:tc>
        <w:tc>
          <w:tcPr>
            <w:tcW w:w="3325" w:type="dxa"/>
          </w:tcPr>
          <w:p w14:paraId="4D079E09" w14:textId="77777777" w:rsidR="00A720EB" w:rsidRDefault="0030286B">
            <w:pPr>
              <w:pStyle w:val="TableParagraph"/>
              <w:rPr>
                <w:sz w:val="21"/>
              </w:rPr>
            </w:pPr>
            <w:r>
              <w:rPr>
                <w:color w:val="B02045"/>
                <w:sz w:val="21"/>
              </w:rPr>
              <w:t>jolokia-core</w:t>
            </w:r>
          </w:p>
        </w:tc>
        <w:tc>
          <w:tcPr>
            <w:tcW w:w="3325" w:type="dxa"/>
          </w:tcPr>
          <w:p w14:paraId="38469331" w14:textId="77777777" w:rsidR="00A720EB" w:rsidRDefault="0030286B">
            <w:pPr>
              <w:pStyle w:val="TableParagraph"/>
              <w:rPr>
                <w:sz w:val="21"/>
              </w:rPr>
            </w:pPr>
            <w:r>
              <w:rPr>
                <w:color w:val="B02045"/>
                <w:sz w:val="21"/>
              </w:rPr>
              <w:t>1.6.2</w:t>
            </w:r>
          </w:p>
        </w:tc>
      </w:tr>
      <w:tr w:rsidR="00A720EB" w14:paraId="24A19E52" w14:textId="77777777">
        <w:trPr>
          <w:trHeight w:val="368"/>
        </w:trPr>
        <w:tc>
          <w:tcPr>
            <w:tcW w:w="3325" w:type="dxa"/>
          </w:tcPr>
          <w:p w14:paraId="6475C27E" w14:textId="77777777" w:rsidR="00A720EB" w:rsidRDefault="0030286B">
            <w:pPr>
              <w:pStyle w:val="TableParagraph"/>
              <w:rPr>
                <w:sz w:val="21"/>
              </w:rPr>
            </w:pPr>
            <w:proofErr w:type="gramStart"/>
            <w:r>
              <w:rPr>
                <w:color w:val="B02045"/>
                <w:sz w:val="21"/>
              </w:rPr>
              <w:t>org.jooq</w:t>
            </w:r>
            <w:proofErr w:type="gramEnd"/>
          </w:p>
        </w:tc>
        <w:tc>
          <w:tcPr>
            <w:tcW w:w="3325" w:type="dxa"/>
          </w:tcPr>
          <w:p w14:paraId="14B35922" w14:textId="77777777" w:rsidR="00A720EB" w:rsidRDefault="0030286B">
            <w:pPr>
              <w:pStyle w:val="TableParagraph"/>
              <w:rPr>
                <w:sz w:val="21"/>
              </w:rPr>
            </w:pPr>
            <w:r>
              <w:rPr>
                <w:color w:val="B02045"/>
                <w:sz w:val="21"/>
              </w:rPr>
              <w:t>jooq</w:t>
            </w:r>
          </w:p>
        </w:tc>
        <w:tc>
          <w:tcPr>
            <w:tcW w:w="3325" w:type="dxa"/>
          </w:tcPr>
          <w:p w14:paraId="3F6F1C68" w14:textId="77777777" w:rsidR="00A720EB" w:rsidRDefault="0030286B">
            <w:pPr>
              <w:pStyle w:val="TableParagraph"/>
              <w:rPr>
                <w:sz w:val="21"/>
              </w:rPr>
            </w:pPr>
            <w:r>
              <w:rPr>
                <w:color w:val="B02045"/>
                <w:sz w:val="21"/>
              </w:rPr>
              <w:t>3.13.4</w:t>
            </w:r>
          </w:p>
        </w:tc>
      </w:tr>
    </w:tbl>
    <w:p w14:paraId="67436FC7"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48B533E9" w14:textId="77777777">
        <w:trPr>
          <w:trHeight w:val="415"/>
        </w:trPr>
        <w:tc>
          <w:tcPr>
            <w:tcW w:w="3325" w:type="dxa"/>
            <w:tcBorders>
              <w:bottom w:val="single" w:sz="12" w:space="0" w:color="DDDDDD"/>
            </w:tcBorders>
          </w:tcPr>
          <w:p w14:paraId="212403C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7DB1C500"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27DF9DCB"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650C51CB" w14:textId="77777777">
        <w:trPr>
          <w:trHeight w:val="358"/>
        </w:trPr>
        <w:tc>
          <w:tcPr>
            <w:tcW w:w="3325" w:type="dxa"/>
            <w:tcBorders>
              <w:top w:val="single" w:sz="12" w:space="0" w:color="DDDDDD"/>
            </w:tcBorders>
          </w:tcPr>
          <w:p w14:paraId="6A955034" w14:textId="77777777" w:rsidR="00A720EB" w:rsidRDefault="0030286B">
            <w:pPr>
              <w:pStyle w:val="TableParagraph"/>
              <w:spacing w:before="27"/>
              <w:rPr>
                <w:sz w:val="21"/>
              </w:rPr>
            </w:pPr>
            <w:proofErr w:type="gramStart"/>
            <w:r>
              <w:rPr>
                <w:color w:val="B02045"/>
                <w:sz w:val="21"/>
              </w:rPr>
              <w:t>org.jooq</w:t>
            </w:r>
            <w:proofErr w:type="gramEnd"/>
          </w:p>
        </w:tc>
        <w:tc>
          <w:tcPr>
            <w:tcW w:w="3325" w:type="dxa"/>
            <w:tcBorders>
              <w:top w:val="single" w:sz="12" w:space="0" w:color="DDDDDD"/>
            </w:tcBorders>
          </w:tcPr>
          <w:p w14:paraId="7D32BD91" w14:textId="77777777" w:rsidR="00A720EB" w:rsidRDefault="0030286B">
            <w:pPr>
              <w:pStyle w:val="TableParagraph"/>
              <w:spacing w:before="27"/>
              <w:rPr>
                <w:sz w:val="21"/>
              </w:rPr>
            </w:pPr>
            <w:r>
              <w:rPr>
                <w:color w:val="B02045"/>
                <w:sz w:val="21"/>
              </w:rPr>
              <w:t>jooq-codegen</w:t>
            </w:r>
          </w:p>
        </w:tc>
        <w:tc>
          <w:tcPr>
            <w:tcW w:w="3325" w:type="dxa"/>
            <w:tcBorders>
              <w:top w:val="single" w:sz="12" w:space="0" w:color="DDDDDD"/>
            </w:tcBorders>
          </w:tcPr>
          <w:p w14:paraId="1E9F6C59" w14:textId="77777777" w:rsidR="00A720EB" w:rsidRDefault="0030286B">
            <w:pPr>
              <w:pStyle w:val="TableParagraph"/>
              <w:spacing w:before="27"/>
              <w:rPr>
                <w:sz w:val="21"/>
              </w:rPr>
            </w:pPr>
            <w:r>
              <w:rPr>
                <w:color w:val="B02045"/>
                <w:sz w:val="21"/>
              </w:rPr>
              <w:t>3.13.4</w:t>
            </w:r>
          </w:p>
        </w:tc>
      </w:tr>
      <w:tr w:rsidR="00A720EB" w14:paraId="3D5630BC" w14:textId="77777777">
        <w:trPr>
          <w:trHeight w:val="368"/>
        </w:trPr>
        <w:tc>
          <w:tcPr>
            <w:tcW w:w="3325" w:type="dxa"/>
          </w:tcPr>
          <w:p w14:paraId="24AAD32E" w14:textId="77777777" w:rsidR="00A720EB" w:rsidRDefault="0030286B">
            <w:pPr>
              <w:pStyle w:val="TableParagraph"/>
              <w:spacing w:before="37"/>
              <w:rPr>
                <w:sz w:val="21"/>
              </w:rPr>
            </w:pPr>
            <w:proofErr w:type="gramStart"/>
            <w:r>
              <w:rPr>
                <w:color w:val="B02045"/>
                <w:sz w:val="21"/>
              </w:rPr>
              <w:t>org.jooq</w:t>
            </w:r>
            <w:proofErr w:type="gramEnd"/>
          </w:p>
        </w:tc>
        <w:tc>
          <w:tcPr>
            <w:tcW w:w="3325" w:type="dxa"/>
          </w:tcPr>
          <w:p w14:paraId="48745DE8" w14:textId="77777777" w:rsidR="00A720EB" w:rsidRDefault="0030286B">
            <w:pPr>
              <w:pStyle w:val="TableParagraph"/>
              <w:spacing w:before="37"/>
              <w:rPr>
                <w:sz w:val="21"/>
              </w:rPr>
            </w:pPr>
            <w:r>
              <w:rPr>
                <w:color w:val="B02045"/>
                <w:sz w:val="21"/>
              </w:rPr>
              <w:t>jooq-meta</w:t>
            </w:r>
          </w:p>
        </w:tc>
        <w:tc>
          <w:tcPr>
            <w:tcW w:w="3325" w:type="dxa"/>
          </w:tcPr>
          <w:p w14:paraId="33437116" w14:textId="77777777" w:rsidR="00A720EB" w:rsidRDefault="0030286B">
            <w:pPr>
              <w:pStyle w:val="TableParagraph"/>
              <w:spacing w:before="37"/>
              <w:rPr>
                <w:sz w:val="21"/>
              </w:rPr>
            </w:pPr>
            <w:r>
              <w:rPr>
                <w:color w:val="B02045"/>
                <w:sz w:val="21"/>
              </w:rPr>
              <w:t>3.13.4</w:t>
            </w:r>
          </w:p>
        </w:tc>
      </w:tr>
      <w:tr w:rsidR="00A720EB" w14:paraId="65AFF342" w14:textId="77777777">
        <w:trPr>
          <w:trHeight w:val="368"/>
        </w:trPr>
        <w:tc>
          <w:tcPr>
            <w:tcW w:w="3325" w:type="dxa"/>
          </w:tcPr>
          <w:p w14:paraId="2E986AAC" w14:textId="77777777" w:rsidR="00A720EB" w:rsidRDefault="0030286B">
            <w:pPr>
              <w:pStyle w:val="TableParagraph"/>
              <w:spacing w:before="37"/>
              <w:rPr>
                <w:sz w:val="21"/>
              </w:rPr>
            </w:pPr>
            <w:proofErr w:type="gramStart"/>
            <w:r>
              <w:rPr>
                <w:color w:val="B02045"/>
                <w:sz w:val="21"/>
              </w:rPr>
              <w:t>org.junit</w:t>
            </w:r>
            <w:proofErr w:type="gramEnd"/>
            <w:r>
              <w:rPr>
                <w:color w:val="B02045"/>
                <w:sz w:val="21"/>
              </w:rPr>
              <w:t>.jupiter</w:t>
            </w:r>
          </w:p>
        </w:tc>
        <w:tc>
          <w:tcPr>
            <w:tcW w:w="3325" w:type="dxa"/>
          </w:tcPr>
          <w:p w14:paraId="2841222D" w14:textId="77777777" w:rsidR="00A720EB" w:rsidRDefault="0030286B">
            <w:pPr>
              <w:pStyle w:val="TableParagraph"/>
              <w:spacing w:before="37"/>
              <w:rPr>
                <w:sz w:val="21"/>
              </w:rPr>
            </w:pPr>
            <w:r>
              <w:rPr>
                <w:color w:val="B02045"/>
                <w:sz w:val="21"/>
              </w:rPr>
              <w:t>junit-jupiter</w:t>
            </w:r>
          </w:p>
        </w:tc>
        <w:tc>
          <w:tcPr>
            <w:tcW w:w="3325" w:type="dxa"/>
          </w:tcPr>
          <w:p w14:paraId="65C8DC15" w14:textId="77777777" w:rsidR="00A720EB" w:rsidRDefault="0030286B">
            <w:pPr>
              <w:pStyle w:val="TableParagraph"/>
              <w:spacing w:before="37"/>
              <w:rPr>
                <w:sz w:val="21"/>
              </w:rPr>
            </w:pPr>
            <w:r>
              <w:rPr>
                <w:color w:val="B02045"/>
                <w:sz w:val="21"/>
              </w:rPr>
              <w:t>5.6.2</w:t>
            </w:r>
          </w:p>
        </w:tc>
      </w:tr>
      <w:tr w:rsidR="00A720EB" w14:paraId="0908520C" w14:textId="77777777">
        <w:trPr>
          <w:trHeight w:val="368"/>
        </w:trPr>
        <w:tc>
          <w:tcPr>
            <w:tcW w:w="3325" w:type="dxa"/>
          </w:tcPr>
          <w:p w14:paraId="2A141ED1" w14:textId="77777777" w:rsidR="00A720EB" w:rsidRDefault="0030286B">
            <w:pPr>
              <w:pStyle w:val="TableParagraph"/>
              <w:rPr>
                <w:sz w:val="21"/>
              </w:rPr>
            </w:pPr>
            <w:proofErr w:type="gramStart"/>
            <w:r>
              <w:rPr>
                <w:color w:val="B02045"/>
                <w:sz w:val="21"/>
              </w:rPr>
              <w:t>org.junit</w:t>
            </w:r>
            <w:proofErr w:type="gramEnd"/>
            <w:r>
              <w:rPr>
                <w:color w:val="B02045"/>
                <w:sz w:val="21"/>
              </w:rPr>
              <w:t>.jupiter</w:t>
            </w:r>
          </w:p>
        </w:tc>
        <w:tc>
          <w:tcPr>
            <w:tcW w:w="3325" w:type="dxa"/>
          </w:tcPr>
          <w:p w14:paraId="60EF0AB8" w14:textId="77777777" w:rsidR="00A720EB" w:rsidRDefault="0030286B">
            <w:pPr>
              <w:pStyle w:val="TableParagraph"/>
              <w:rPr>
                <w:sz w:val="21"/>
              </w:rPr>
            </w:pPr>
            <w:r>
              <w:rPr>
                <w:color w:val="B02045"/>
                <w:sz w:val="21"/>
              </w:rPr>
              <w:t>junit-jupiter-api</w:t>
            </w:r>
          </w:p>
        </w:tc>
        <w:tc>
          <w:tcPr>
            <w:tcW w:w="3325" w:type="dxa"/>
          </w:tcPr>
          <w:p w14:paraId="4D7B2A08" w14:textId="77777777" w:rsidR="00A720EB" w:rsidRDefault="0030286B">
            <w:pPr>
              <w:pStyle w:val="TableParagraph"/>
              <w:rPr>
                <w:sz w:val="21"/>
              </w:rPr>
            </w:pPr>
            <w:r>
              <w:rPr>
                <w:color w:val="B02045"/>
                <w:sz w:val="21"/>
              </w:rPr>
              <w:t>5.6.2</w:t>
            </w:r>
          </w:p>
        </w:tc>
      </w:tr>
      <w:tr w:rsidR="00A720EB" w14:paraId="1AD075DF" w14:textId="77777777">
        <w:trPr>
          <w:trHeight w:val="368"/>
        </w:trPr>
        <w:tc>
          <w:tcPr>
            <w:tcW w:w="3325" w:type="dxa"/>
          </w:tcPr>
          <w:p w14:paraId="1F40415F" w14:textId="77777777" w:rsidR="00A720EB" w:rsidRDefault="0030286B">
            <w:pPr>
              <w:pStyle w:val="TableParagraph"/>
              <w:rPr>
                <w:sz w:val="21"/>
              </w:rPr>
            </w:pPr>
            <w:proofErr w:type="gramStart"/>
            <w:r>
              <w:rPr>
                <w:color w:val="B02045"/>
                <w:sz w:val="21"/>
              </w:rPr>
              <w:t>org.junit</w:t>
            </w:r>
            <w:proofErr w:type="gramEnd"/>
            <w:r>
              <w:rPr>
                <w:color w:val="B02045"/>
                <w:sz w:val="21"/>
              </w:rPr>
              <w:t>.jupiter</w:t>
            </w:r>
          </w:p>
        </w:tc>
        <w:tc>
          <w:tcPr>
            <w:tcW w:w="3325" w:type="dxa"/>
          </w:tcPr>
          <w:p w14:paraId="7F189706" w14:textId="77777777" w:rsidR="00A720EB" w:rsidRDefault="0030286B">
            <w:pPr>
              <w:pStyle w:val="TableParagraph"/>
              <w:rPr>
                <w:sz w:val="21"/>
              </w:rPr>
            </w:pPr>
            <w:r>
              <w:rPr>
                <w:color w:val="B02045"/>
                <w:sz w:val="21"/>
              </w:rPr>
              <w:t>junit-jupiter-engine</w:t>
            </w:r>
          </w:p>
        </w:tc>
        <w:tc>
          <w:tcPr>
            <w:tcW w:w="3325" w:type="dxa"/>
          </w:tcPr>
          <w:p w14:paraId="6D66C640" w14:textId="77777777" w:rsidR="00A720EB" w:rsidRDefault="0030286B">
            <w:pPr>
              <w:pStyle w:val="TableParagraph"/>
              <w:rPr>
                <w:sz w:val="21"/>
              </w:rPr>
            </w:pPr>
            <w:r>
              <w:rPr>
                <w:color w:val="B02045"/>
                <w:sz w:val="21"/>
              </w:rPr>
              <w:t>5.6.2</w:t>
            </w:r>
          </w:p>
        </w:tc>
      </w:tr>
      <w:tr w:rsidR="00A720EB" w14:paraId="536041DA" w14:textId="77777777">
        <w:trPr>
          <w:trHeight w:val="368"/>
        </w:trPr>
        <w:tc>
          <w:tcPr>
            <w:tcW w:w="3325" w:type="dxa"/>
          </w:tcPr>
          <w:p w14:paraId="4A469FC9" w14:textId="77777777" w:rsidR="00A720EB" w:rsidRDefault="0030286B">
            <w:pPr>
              <w:pStyle w:val="TableParagraph"/>
              <w:rPr>
                <w:sz w:val="21"/>
              </w:rPr>
            </w:pPr>
            <w:proofErr w:type="gramStart"/>
            <w:r>
              <w:rPr>
                <w:color w:val="B02045"/>
                <w:sz w:val="21"/>
              </w:rPr>
              <w:t>org.junit</w:t>
            </w:r>
            <w:proofErr w:type="gramEnd"/>
            <w:r>
              <w:rPr>
                <w:color w:val="B02045"/>
                <w:sz w:val="21"/>
              </w:rPr>
              <w:t>.jupiter</w:t>
            </w:r>
          </w:p>
        </w:tc>
        <w:tc>
          <w:tcPr>
            <w:tcW w:w="3325" w:type="dxa"/>
          </w:tcPr>
          <w:p w14:paraId="126CCF91" w14:textId="77777777" w:rsidR="00A720EB" w:rsidRDefault="0030286B">
            <w:pPr>
              <w:pStyle w:val="TableParagraph"/>
              <w:rPr>
                <w:sz w:val="21"/>
              </w:rPr>
            </w:pPr>
            <w:r>
              <w:rPr>
                <w:color w:val="B02045"/>
                <w:sz w:val="21"/>
              </w:rPr>
              <w:t>junit-jupiter-migrationsupport</w:t>
            </w:r>
          </w:p>
        </w:tc>
        <w:tc>
          <w:tcPr>
            <w:tcW w:w="3325" w:type="dxa"/>
          </w:tcPr>
          <w:p w14:paraId="7363B694" w14:textId="77777777" w:rsidR="00A720EB" w:rsidRDefault="0030286B">
            <w:pPr>
              <w:pStyle w:val="TableParagraph"/>
              <w:rPr>
                <w:sz w:val="21"/>
              </w:rPr>
            </w:pPr>
            <w:r>
              <w:rPr>
                <w:color w:val="B02045"/>
                <w:sz w:val="21"/>
              </w:rPr>
              <w:t>5.6.2</w:t>
            </w:r>
          </w:p>
        </w:tc>
      </w:tr>
      <w:tr w:rsidR="00A720EB" w14:paraId="2CB1895B" w14:textId="77777777">
        <w:trPr>
          <w:trHeight w:val="368"/>
        </w:trPr>
        <w:tc>
          <w:tcPr>
            <w:tcW w:w="3325" w:type="dxa"/>
          </w:tcPr>
          <w:p w14:paraId="2ECB2C3A" w14:textId="77777777" w:rsidR="00A720EB" w:rsidRDefault="0030286B">
            <w:pPr>
              <w:pStyle w:val="TableParagraph"/>
              <w:rPr>
                <w:sz w:val="21"/>
              </w:rPr>
            </w:pPr>
            <w:proofErr w:type="gramStart"/>
            <w:r>
              <w:rPr>
                <w:color w:val="B02045"/>
                <w:sz w:val="21"/>
              </w:rPr>
              <w:t>org.junit</w:t>
            </w:r>
            <w:proofErr w:type="gramEnd"/>
            <w:r>
              <w:rPr>
                <w:color w:val="B02045"/>
                <w:sz w:val="21"/>
              </w:rPr>
              <w:t>.jupiter</w:t>
            </w:r>
          </w:p>
        </w:tc>
        <w:tc>
          <w:tcPr>
            <w:tcW w:w="3325" w:type="dxa"/>
          </w:tcPr>
          <w:p w14:paraId="436C735A" w14:textId="77777777" w:rsidR="00A720EB" w:rsidRDefault="0030286B">
            <w:pPr>
              <w:pStyle w:val="TableParagraph"/>
              <w:rPr>
                <w:sz w:val="21"/>
              </w:rPr>
            </w:pPr>
            <w:r>
              <w:rPr>
                <w:color w:val="B02045"/>
                <w:sz w:val="21"/>
              </w:rPr>
              <w:t>junit-jupiter-params</w:t>
            </w:r>
          </w:p>
        </w:tc>
        <w:tc>
          <w:tcPr>
            <w:tcW w:w="3325" w:type="dxa"/>
          </w:tcPr>
          <w:p w14:paraId="32922C12" w14:textId="77777777" w:rsidR="00A720EB" w:rsidRDefault="0030286B">
            <w:pPr>
              <w:pStyle w:val="TableParagraph"/>
              <w:rPr>
                <w:sz w:val="21"/>
              </w:rPr>
            </w:pPr>
            <w:r>
              <w:rPr>
                <w:color w:val="B02045"/>
                <w:sz w:val="21"/>
              </w:rPr>
              <w:t>5.6.2</w:t>
            </w:r>
          </w:p>
        </w:tc>
      </w:tr>
      <w:tr w:rsidR="00A720EB" w14:paraId="35EE9CB0" w14:textId="77777777">
        <w:trPr>
          <w:trHeight w:val="368"/>
        </w:trPr>
        <w:tc>
          <w:tcPr>
            <w:tcW w:w="3325" w:type="dxa"/>
          </w:tcPr>
          <w:p w14:paraId="31EF213B" w14:textId="77777777" w:rsidR="00A720EB" w:rsidRDefault="0030286B">
            <w:pPr>
              <w:pStyle w:val="TableParagraph"/>
              <w:spacing w:before="37"/>
              <w:rPr>
                <w:sz w:val="21"/>
              </w:rPr>
            </w:pPr>
            <w:proofErr w:type="gramStart"/>
            <w:r>
              <w:rPr>
                <w:color w:val="B02045"/>
                <w:sz w:val="21"/>
              </w:rPr>
              <w:t>org.junit</w:t>
            </w:r>
            <w:proofErr w:type="gramEnd"/>
            <w:r>
              <w:rPr>
                <w:color w:val="B02045"/>
                <w:sz w:val="21"/>
              </w:rPr>
              <w:t>.platform</w:t>
            </w:r>
          </w:p>
        </w:tc>
        <w:tc>
          <w:tcPr>
            <w:tcW w:w="3325" w:type="dxa"/>
          </w:tcPr>
          <w:p w14:paraId="3DDA9E9D" w14:textId="77777777" w:rsidR="00A720EB" w:rsidRDefault="0030286B">
            <w:pPr>
              <w:pStyle w:val="TableParagraph"/>
              <w:spacing w:before="37"/>
              <w:rPr>
                <w:sz w:val="21"/>
              </w:rPr>
            </w:pPr>
            <w:r>
              <w:rPr>
                <w:color w:val="B02045"/>
                <w:sz w:val="21"/>
              </w:rPr>
              <w:t>junit-platform-commons</w:t>
            </w:r>
          </w:p>
        </w:tc>
        <w:tc>
          <w:tcPr>
            <w:tcW w:w="3325" w:type="dxa"/>
          </w:tcPr>
          <w:p w14:paraId="0703C022" w14:textId="77777777" w:rsidR="00A720EB" w:rsidRDefault="0030286B">
            <w:pPr>
              <w:pStyle w:val="TableParagraph"/>
              <w:spacing w:before="37"/>
              <w:rPr>
                <w:sz w:val="21"/>
              </w:rPr>
            </w:pPr>
            <w:r>
              <w:rPr>
                <w:color w:val="B02045"/>
                <w:sz w:val="21"/>
              </w:rPr>
              <w:t>1.6.2</w:t>
            </w:r>
          </w:p>
        </w:tc>
      </w:tr>
      <w:tr w:rsidR="00A720EB" w14:paraId="3A340CCD" w14:textId="77777777">
        <w:trPr>
          <w:trHeight w:val="368"/>
        </w:trPr>
        <w:tc>
          <w:tcPr>
            <w:tcW w:w="3325" w:type="dxa"/>
          </w:tcPr>
          <w:p w14:paraId="1DFDD897" w14:textId="77777777" w:rsidR="00A720EB" w:rsidRDefault="0030286B">
            <w:pPr>
              <w:pStyle w:val="TableParagraph"/>
              <w:spacing w:before="37"/>
              <w:rPr>
                <w:sz w:val="21"/>
              </w:rPr>
            </w:pPr>
            <w:proofErr w:type="gramStart"/>
            <w:r>
              <w:rPr>
                <w:color w:val="B02045"/>
                <w:sz w:val="21"/>
              </w:rPr>
              <w:t>org.junit</w:t>
            </w:r>
            <w:proofErr w:type="gramEnd"/>
            <w:r>
              <w:rPr>
                <w:color w:val="B02045"/>
                <w:sz w:val="21"/>
              </w:rPr>
              <w:t>.platform</w:t>
            </w:r>
          </w:p>
        </w:tc>
        <w:tc>
          <w:tcPr>
            <w:tcW w:w="3325" w:type="dxa"/>
          </w:tcPr>
          <w:p w14:paraId="2E6AEBBA" w14:textId="77777777" w:rsidR="00A720EB" w:rsidRDefault="0030286B">
            <w:pPr>
              <w:pStyle w:val="TableParagraph"/>
              <w:spacing w:before="37"/>
              <w:rPr>
                <w:sz w:val="21"/>
              </w:rPr>
            </w:pPr>
            <w:r>
              <w:rPr>
                <w:color w:val="B02045"/>
                <w:sz w:val="21"/>
              </w:rPr>
              <w:t>junit-platform-console</w:t>
            </w:r>
          </w:p>
        </w:tc>
        <w:tc>
          <w:tcPr>
            <w:tcW w:w="3325" w:type="dxa"/>
          </w:tcPr>
          <w:p w14:paraId="56E2145D" w14:textId="77777777" w:rsidR="00A720EB" w:rsidRDefault="0030286B">
            <w:pPr>
              <w:pStyle w:val="TableParagraph"/>
              <w:spacing w:before="37"/>
              <w:rPr>
                <w:sz w:val="21"/>
              </w:rPr>
            </w:pPr>
            <w:r>
              <w:rPr>
                <w:color w:val="B02045"/>
                <w:sz w:val="21"/>
              </w:rPr>
              <w:t>1.6.2</w:t>
            </w:r>
          </w:p>
        </w:tc>
      </w:tr>
      <w:tr w:rsidR="00A720EB" w14:paraId="516B4D01" w14:textId="77777777">
        <w:trPr>
          <w:trHeight w:val="368"/>
        </w:trPr>
        <w:tc>
          <w:tcPr>
            <w:tcW w:w="3325" w:type="dxa"/>
          </w:tcPr>
          <w:p w14:paraId="79DBE637" w14:textId="77777777" w:rsidR="00A720EB" w:rsidRDefault="0030286B">
            <w:pPr>
              <w:pStyle w:val="TableParagraph"/>
              <w:spacing w:before="37"/>
              <w:rPr>
                <w:sz w:val="21"/>
              </w:rPr>
            </w:pPr>
            <w:proofErr w:type="gramStart"/>
            <w:r>
              <w:rPr>
                <w:color w:val="B02045"/>
                <w:sz w:val="21"/>
              </w:rPr>
              <w:t>org.junit</w:t>
            </w:r>
            <w:proofErr w:type="gramEnd"/>
            <w:r>
              <w:rPr>
                <w:color w:val="B02045"/>
                <w:sz w:val="21"/>
              </w:rPr>
              <w:t>.platform</w:t>
            </w:r>
          </w:p>
        </w:tc>
        <w:tc>
          <w:tcPr>
            <w:tcW w:w="3325" w:type="dxa"/>
          </w:tcPr>
          <w:p w14:paraId="041BD2B5" w14:textId="77777777" w:rsidR="00A720EB" w:rsidRDefault="0030286B">
            <w:pPr>
              <w:pStyle w:val="TableParagraph"/>
              <w:spacing w:before="37"/>
              <w:rPr>
                <w:sz w:val="21"/>
              </w:rPr>
            </w:pPr>
            <w:r>
              <w:rPr>
                <w:color w:val="B02045"/>
                <w:sz w:val="21"/>
              </w:rPr>
              <w:t>junit-platform-engine</w:t>
            </w:r>
          </w:p>
        </w:tc>
        <w:tc>
          <w:tcPr>
            <w:tcW w:w="3325" w:type="dxa"/>
          </w:tcPr>
          <w:p w14:paraId="3A6F0DA5" w14:textId="77777777" w:rsidR="00A720EB" w:rsidRDefault="0030286B">
            <w:pPr>
              <w:pStyle w:val="TableParagraph"/>
              <w:spacing w:before="37"/>
              <w:rPr>
                <w:sz w:val="21"/>
              </w:rPr>
            </w:pPr>
            <w:r>
              <w:rPr>
                <w:color w:val="B02045"/>
                <w:sz w:val="21"/>
              </w:rPr>
              <w:t>1.6.2</w:t>
            </w:r>
          </w:p>
        </w:tc>
      </w:tr>
      <w:tr w:rsidR="00A720EB" w14:paraId="15B4FC2A" w14:textId="77777777">
        <w:trPr>
          <w:trHeight w:val="368"/>
        </w:trPr>
        <w:tc>
          <w:tcPr>
            <w:tcW w:w="3325" w:type="dxa"/>
          </w:tcPr>
          <w:p w14:paraId="1C7605F1" w14:textId="77777777" w:rsidR="00A720EB" w:rsidRDefault="0030286B">
            <w:pPr>
              <w:pStyle w:val="TableParagraph"/>
              <w:spacing w:before="37"/>
              <w:rPr>
                <w:sz w:val="21"/>
              </w:rPr>
            </w:pPr>
            <w:proofErr w:type="gramStart"/>
            <w:r>
              <w:rPr>
                <w:color w:val="B02045"/>
                <w:sz w:val="21"/>
              </w:rPr>
              <w:t>org.junit</w:t>
            </w:r>
            <w:proofErr w:type="gramEnd"/>
            <w:r>
              <w:rPr>
                <w:color w:val="B02045"/>
                <w:sz w:val="21"/>
              </w:rPr>
              <w:t>.platform</w:t>
            </w:r>
          </w:p>
        </w:tc>
        <w:tc>
          <w:tcPr>
            <w:tcW w:w="3325" w:type="dxa"/>
          </w:tcPr>
          <w:p w14:paraId="76CEBB93" w14:textId="77777777" w:rsidR="00A720EB" w:rsidRDefault="0030286B">
            <w:pPr>
              <w:pStyle w:val="TableParagraph"/>
              <w:spacing w:before="37"/>
              <w:rPr>
                <w:sz w:val="21"/>
              </w:rPr>
            </w:pPr>
            <w:r>
              <w:rPr>
                <w:color w:val="B02045"/>
                <w:sz w:val="21"/>
              </w:rPr>
              <w:t>junit-platform-launcher</w:t>
            </w:r>
          </w:p>
        </w:tc>
        <w:tc>
          <w:tcPr>
            <w:tcW w:w="3325" w:type="dxa"/>
          </w:tcPr>
          <w:p w14:paraId="73FEEC1D" w14:textId="77777777" w:rsidR="00A720EB" w:rsidRDefault="0030286B">
            <w:pPr>
              <w:pStyle w:val="TableParagraph"/>
              <w:spacing w:before="37"/>
              <w:rPr>
                <w:sz w:val="21"/>
              </w:rPr>
            </w:pPr>
            <w:r>
              <w:rPr>
                <w:color w:val="B02045"/>
                <w:sz w:val="21"/>
              </w:rPr>
              <w:t>1.6.2</w:t>
            </w:r>
          </w:p>
        </w:tc>
      </w:tr>
      <w:tr w:rsidR="00A720EB" w14:paraId="67DAA73E" w14:textId="77777777">
        <w:trPr>
          <w:trHeight w:val="368"/>
        </w:trPr>
        <w:tc>
          <w:tcPr>
            <w:tcW w:w="3325" w:type="dxa"/>
          </w:tcPr>
          <w:p w14:paraId="5B3A92D3" w14:textId="77777777" w:rsidR="00A720EB" w:rsidRDefault="0030286B">
            <w:pPr>
              <w:pStyle w:val="TableParagraph"/>
              <w:rPr>
                <w:sz w:val="21"/>
              </w:rPr>
            </w:pPr>
            <w:proofErr w:type="gramStart"/>
            <w:r>
              <w:rPr>
                <w:color w:val="B02045"/>
                <w:sz w:val="21"/>
              </w:rPr>
              <w:t>org.junit</w:t>
            </w:r>
            <w:proofErr w:type="gramEnd"/>
            <w:r>
              <w:rPr>
                <w:color w:val="B02045"/>
                <w:sz w:val="21"/>
              </w:rPr>
              <w:t>.platform</w:t>
            </w:r>
          </w:p>
        </w:tc>
        <w:tc>
          <w:tcPr>
            <w:tcW w:w="3325" w:type="dxa"/>
          </w:tcPr>
          <w:p w14:paraId="711F9200" w14:textId="77777777" w:rsidR="00A720EB" w:rsidRDefault="0030286B">
            <w:pPr>
              <w:pStyle w:val="TableParagraph"/>
              <w:rPr>
                <w:sz w:val="21"/>
              </w:rPr>
            </w:pPr>
            <w:r>
              <w:rPr>
                <w:color w:val="B02045"/>
                <w:sz w:val="21"/>
              </w:rPr>
              <w:t>junit-platform-reporting</w:t>
            </w:r>
          </w:p>
        </w:tc>
        <w:tc>
          <w:tcPr>
            <w:tcW w:w="3325" w:type="dxa"/>
          </w:tcPr>
          <w:p w14:paraId="6330F2AC" w14:textId="77777777" w:rsidR="00A720EB" w:rsidRDefault="0030286B">
            <w:pPr>
              <w:pStyle w:val="TableParagraph"/>
              <w:rPr>
                <w:sz w:val="21"/>
              </w:rPr>
            </w:pPr>
            <w:r>
              <w:rPr>
                <w:color w:val="B02045"/>
                <w:sz w:val="21"/>
              </w:rPr>
              <w:t>1.6.2</w:t>
            </w:r>
          </w:p>
        </w:tc>
      </w:tr>
      <w:tr w:rsidR="00A720EB" w14:paraId="11CB5DE5" w14:textId="77777777">
        <w:trPr>
          <w:trHeight w:val="368"/>
        </w:trPr>
        <w:tc>
          <w:tcPr>
            <w:tcW w:w="3325" w:type="dxa"/>
          </w:tcPr>
          <w:p w14:paraId="4A4EF1E7" w14:textId="77777777" w:rsidR="00A720EB" w:rsidRDefault="0030286B">
            <w:pPr>
              <w:pStyle w:val="TableParagraph"/>
              <w:rPr>
                <w:sz w:val="21"/>
              </w:rPr>
            </w:pPr>
            <w:proofErr w:type="gramStart"/>
            <w:r>
              <w:rPr>
                <w:color w:val="B02045"/>
                <w:sz w:val="21"/>
              </w:rPr>
              <w:t>org.junit</w:t>
            </w:r>
            <w:proofErr w:type="gramEnd"/>
            <w:r>
              <w:rPr>
                <w:color w:val="B02045"/>
                <w:sz w:val="21"/>
              </w:rPr>
              <w:t>.platform</w:t>
            </w:r>
          </w:p>
        </w:tc>
        <w:tc>
          <w:tcPr>
            <w:tcW w:w="3325" w:type="dxa"/>
          </w:tcPr>
          <w:p w14:paraId="51A318D6" w14:textId="77777777" w:rsidR="00A720EB" w:rsidRDefault="0030286B">
            <w:pPr>
              <w:pStyle w:val="TableParagraph"/>
              <w:rPr>
                <w:sz w:val="21"/>
              </w:rPr>
            </w:pPr>
            <w:r>
              <w:rPr>
                <w:color w:val="B02045"/>
                <w:sz w:val="21"/>
              </w:rPr>
              <w:t>junit-platform-runner</w:t>
            </w:r>
          </w:p>
        </w:tc>
        <w:tc>
          <w:tcPr>
            <w:tcW w:w="3325" w:type="dxa"/>
          </w:tcPr>
          <w:p w14:paraId="78FCB57C" w14:textId="77777777" w:rsidR="00A720EB" w:rsidRDefault="0030286B">
            <w:pPr>
              <w:pStyle w:val="TableParagraph"/>
              <w:rPr>
                <w:sz w:val="21"/>
              </w:rPr>
            </w:pPr>
            <w:r>
              <w:rPr>
                <w:color w:val="B02045"/>
                <w:sz w:val="21"/>
              </w:rPr>
              <w:t>1.6.2</w:t>
            </w:r>
          </w:p>
        </w:tc>
      </w:tr>
      <w:tr w:rsidR="00A720EB" w14:paraId="066B98DE" w14:textId="77777777">
        <w:trPr>
          <w:trHeight w:val="368"/>
        </w:trPr>
        <w:tc>
          <w:tcPr>
            <w:tcW w:w="3325" w:type="dxa"/>
          </w:tcPr>
          <w:p w14:paraId="41DDD9CE" w14:textId="77777777" w:rsidR="00A720EB" w:rsidRDefault="0030286B">
            <w:pPr>
              <w:pStyle w:val="TableParagraph"/>
              <w:rPr>
                <w:sz w:val="21"/>
              </w:rPr>
            </w:pPr>
            <w:proofErr w:type="gramStart"/>
            <w:r>
              <w:rPr>
                <w:color w:val="B02045"/>
                <w:sz w:val="21"/>
              </w:rPr>
              <w:t>org.junit</w:t>
            </w:r>
            <w:proofErr w:type="gramEnd"/>
            <w:r>
              <w:rPr>
                <w:color w:val="B02045"/>
                <w:sz w:val="21"/>
              </w:rPr>
              <w:t>.platform</w:t>
            </w:r>
          </w:p>
        </w:tc>
        <w:tc>
          <w:tcPr>
            <w:tcW w:w="3325" w:type="dxa"/>
          </w:tcPr>
          <w:p w14:paraId="76F995D7" w14:textId="77777777" w:rsidR="00A720EB" w:rsidRDefault="0030286B">
            <w:pPr>
              <w:pStyle w:val="TableParagraph"/>
              <w:rPr>
                <w:sz w:val="21"/>
              </w:rPr>
            </w:pPr>
            <w:r>
              <w:rPr>
                <w:color w:val="B02045"/>
                <w:sz w:val="21"/>
              </w:rPr>
              <w:t>junit-platform-suite-api</w:t>
            </w:r>
          </w:p>
        </w:tc>
        <w:tc>
          <w:tcPr>
            <w:tcW w:w="3325" w:type="dxa"/>
          </w:tcPr>
          <w:p w14:paraId="5FF6496C" w14:textId="77777777" w:rsidR="00A720EB" w:rsidRDefault="0030286B">
            <w:pPr>
              <w:pStyle w:val="TableParagraph"/>
              <w:rPr>
                <w:sz w:val="21"/>
              </w:rPr>
            </w:pPr>
            <w:r>
              <w:rPr>
                <w:color w:val="B02045"/>
                <w:sz w:val="21"/>
              </w:rPr>
              <w:t>1.6.2</w:t>
            </w:r>
          </w:p>
        </w:tc>
      </w:tr>
      <w:tr w:rsidR="00A720EB" w14:paraId="72A61658" w14:textId="77777777">
        <w:trPr>
          <w:trHeight w:val="368"/>
        </w:trPr>
        <w:tc>
          <w:tcPr>
            <w:tcW w:w="3325" w:type="dxa"/>
          </w:tcPr>
          <w:p w14:paraId="68D42DF3" w14:textId="77777777" w:rsidR="00A720EB" w:rsidRDefault="0030286B">
            <w:pPr>
              <w:pStyle w:val="TableParagraph"/>
              <w:spacing w:before="37"/>
              <w:rPr>
                <w:sz w:val="21"/>
              </w:rPr>
            </w:pPr>
            <w:proofErr w:type="gramStart"/>
            <w:r>
              <w:rPr>
                <w:color w:val="B02045"/>
                <w:sz w:val="21"/>
              </w:rPr>
              <w:t>org.junit</w:t>
            </w:r>
            <w:proofErr w:type="gramEnd"/>
            <w:r>
              <w:rPr>
                <w:color w:val="B02045"/>
                <w:sz w:val="21"/>
              </w:rPr>
              <w:t>.platform</w:t>
            </w:r>
          </w:p>
        </w:tc>
        <w:tc>
          <w:tcPr>
            <w:tcW w:w="3325" w:type="dxa"/>
          </w:tcPr>
          <w:p w14:paraId="2EF3B10C" w14:textId="77777777" w:rsidR="00A720EB" w:rsidRDefault="0030286B">
            <w:pPr>
              <w:pStyle w:val="TableParagraph"/>
              <w:spacing w:before="37"/>
              <w:rPr>
                <w:sz w:val="21"/>
              </w:rPr>
            </w:pPr>
            <w:r>
              <w:rPr>
                <w:color w:val="B02045"/>
                <w:sz w:val="21"/>
              </w:rPr>
              <w:t>junit-platform-testkit</w:t>
            </w:r>
          </w:p>
        </w:tc>
        <w:tc>
          <w:tcPr>
            <w:tcW w:w="3325" w:type="dxa"/>
          </w:tcPr>
          <w:p w14:paraId="55DBF72B" w14:textId="77777777" w:rsidR="00A720EB" w:rsidRDefault="0030286B">
            <w:pPr>
              <w:pStyle w:val="TableParagraph"/>
              <w:spacing w:before="37"/>
              <w:rPr>
                <w:sz w:val="21"/>
              </w:rPr>
            </w:pPr>
            <w:r>
              <w:rPr>
                <w:color w:val="B02045"/>
                <w:sz w:val="21"/>
              </w:rPr>
              <w:t>1.6.2</w:t>
            </w:r>
          </w:p>
        </w:tc>
      </w:tr>
      <w:tr w:rsidR="00A720EB" w14:paraId="79F83D0A" w14:textId="77777777">
        <w:trPr>
          <w:trHeight w:val="368"/>
        </w:trPr>
        <w:tc>
          <w:tcPr>
            <w:tcW w:w="3325" w:type="dxa"/>
          </w:tcPr>
          <w:p w14:paraId="68B4131F" w14:textId="77777777" w:rsidR="00A720EB" w:rsidRDefault="0030286B">
            <w:pPr>
              <w:pStyle w:val="TableParagraph"/>
              <w:rPr>
                <w:sz w:val="21"/>
              </w:rPr>
            </w:pPr>
            <w:proofErr w:type="gramStart"/>
            <w:r>
              <w:rPr>
                <w:color w:val="B02045"/>
                <w:sz w:val="21"/>
              </w:rPr>
              <w:t>org.junit</w:t>
            </w:r>
            <w:proofErr w:type="gramEnd"/>
            <w:r>
              <w:rPr>
                <w:color w:val="B02045"/>
                <w:sz w:val="21"/>
              </w:rPr>
              <w:t>.vintage</w:t>
            </w:r>
          </w:p>
        </w:tc>
        <w:tc>
          <w:tcPr>
            <w:tcW w:w="3325" w:type="dxa"/>
          </w:tcPr>
          <w:p w14:paraId="5F4E6E7E" w14:textId="77777777" w:rsidR="00A720EB" w:rsidRDefault="0030286B">
            <w:pPr>
              <w:pStyle w:val="TableParagraph"/>
              <w:rPr>
                <w:sz w:val="21"/>
              </w:rPr>
            </w:pPr>
            <w:r>
              <w:rPr>
                <w:color w:val="B02045"/>
                <w:sz w:val="21"/>
              </w:rPr>
              <w:t>junit-vintage-engine</w:t>
            </w:r>
          </w:p>
        </w:tc>
        <w:tc>
          <w:tcPr>
            <w:tcW w:w="3325" w:type="dxa"/>
          </w:tcPr>
          <w:p w14:paraId="5EF1B6A2" w14:textId="77777777" w:rsidR="00A720EB" w:rsidRDefault="0030286B">
            <w:pPr>
              <w:pStyle w:val="TableParagraph"/>
              <w:rPr>
                <w:sz w:val="21"/>
              </w:rPr>
            </w:pPr>
            <w:r>
              <w:rPr>
                <w:color w:val="B02045"/>
                <w:sz w:val="21"/>
              </w:rPr>
              <w:t>5.6.2</w:t>
            </w:r>
          </w:p>
        </w:tc>
      </w:tr>
      <w:tr w:rsidR="00A720EB" w14:paraId="4A063215" w14:textId="77777777">
        <w:trPr>
          <w:trHeight w:val="368"/>
        </w:trPr>
        <w:tc>
          <w:tcPr>
            <w:tcW w:w="3325" w:type="dxa"/>
          </w:tcPr>
          <w:p w14:paraId="434AA0D1" w14:textId="77777777" w:rsidR="00A720EB" w:rsidRDefault="0030286B">
            <w:pPr>
              <w:pStyle w:val="TableParagraph"/>
              <w:rPr>
                <w:sz w:val="21"/>
              </w:rPr>
            </w:pPr>
            <w:proofErr w:type="gramStart"/>
            <w:r>
              <w:rPr>
                <w:color w:val="B02045"/>
                <w:sz w:val="21"/>
              </w:rPr>
              <w:t>org.jvnet</w:t>
            </w:r>
            <w:proofErr w:type="gramEnd"/>
            <w:r>
              <w:rPr>
                <w:color w:val="B02045"/>
                <w:sz w:val="21"/>
              </w:rPr>
              <w:t>.mimepull</w:t>
            </w:r>
          </w:p>
        </w:tc>
        <w:tc>
          <w:tcPr>
            <w:tcW w:w="3325" w:type="dxa"/>
          </w:tcPr>
          <w:p w14:paraId="21085941" w14:textId="77777777" w:rsidR="00A720EB" w:rsidRDefault="0030286B">
            <w:pPr>
              <w:pStyle w:val="TableParagraph"/>
              <w:rPr>
                <w:sz w:val="21"/>
              </w:rPr>
            </w:pPr>
            <w:r>
              <w:rPr>
                <w:color w:val="B02045"/>
                <w:sz w:val="21"/>
              </w:rPr>
              <w:t>mimepull</w:t>
            </w:r>
          </w:p>
        </w:tc>
        <w:tc>
          <w:tcPr>
            <w:tcW w:w="3325" w:type="dxa"/>
          </w:tcPr>
          <w:p w14:paraId="5854D898" w14:textId="77777777" w:rsidR="00A720EB" w:rsidRDefault="0030286B">
            <w:pPr>
              <w:pStyle w:val="TableParagraph"/>
              <w:rPr>
                <w:sz w:val="21"/>
              </w:rPr>
            </w:pPr>
            <w:r>
              <w:rPr>
                <w:color w:val="B02045"/>
                <w:sz w:val="21"/>
              </w:rPr>
              <w:t>1.9.13</w:t>
            </w:r>
          </w:p>
        </w:tc>
      </w:tr>
      <w:tr w:rsidR="00A720EB" w14:paraId="3A9CCA30" w14:textId="77777777">
        <w:trPr>
          <w:trHeight w:val="368"/>
        </w:trPr>
        <w:tc>
          <w:tcPr>
            <w:tcW w:w="3325" w:type="dxa"/>
          </w:tcPr>
          <w:p w14:paraId="6ABC3AED" w14:textId="77777777" w:rsidR="00A720EB" w:rsidRDefault="0030286B">
            <w:pPr>
              <w:pStyle w:val="TableParagraph"/>
              <w:spacing w:before="37"/>
              <w:rPr>
                <w:sz w:val="21"/>
              </w:rPr>
            </w:pPr>
            <w:proofErr w:type="gramStart"/>
            <w:r>
              <w:rPr>
                <w:color w:val="B02045"/>
                <w:sz w:val="21"/>
              </w:rPr>
              <w:t>org.liquibase</w:t>
            </w:r>
            <w:proofErr w:type="gramEnd"/>
          </w:p>
        </w:tc>
        <w:tc>
          <w:tcPr>
            <w:tcW w:w="3325" w:type="dxa"/>
          </w:tcPr>
          <w:p w14:paraId="522D7422" w14:textId="77777777" w:rsidR="00A720EB" w:rsidRDefault="0030286B">
            <w:pPr>
              <w:pStyle w:val="TableParagraph"/>
              <w:spacing w:before="37"/>
              <w:rPr>
                <w:sz w:val="21"/>
              </w:rPr>
            </w:pPr>
            <w:r>
              <w:rPr>
                <w:color w:val="B02045"/>
                <w:sz w:val="21"/>
              </w:rPr>
              <w:t>liquibase-core</w:t>
            </w:r>
          </w:p>
        </w:tc>
        <w:tc>
          <w:tcPr>
            <w:tcW w:w="3325" w:type="dxa"/>
          </w:tcPr>
          <w:p w14:paraId="34CD149E" w14:textId="77777777" w:rsidR="00A720EB" w:rsidRDefault="0030286B">
            <w:pPr>
              <w:pStyle w:val="TableParagraph"/>
              <w:spacing w:before="37"/>
              <w:rPr>
                <w:sz w:val="21"/>
              </w:rPr>
            </w:pPr>
            <w:r>
              <w:rPr>
                <w:color w:val="B02045"/>
                <w:sz w:val="21"/>
              </w:rPr>
              <w:t>3.8.9</w:t>
            </w:r>
          </w:p>
        </w:tc>
      </w:tr>
      <w:tr w:rsidR="00A720EB" w14:paraId="716FFF54" w14:textId="77777777">
        <w:trPr>
          <w:trHeight w:val="368"/>
        </w:trPr>
        <w:tc>
          <w:tcPr>
            <w:tcW w:w="3325" w:type="dxa"/>
          </w:tcPr>
          <w:p w14:paraId="2C0576A5" w14:textId="77777777" w:rsidR="00A720EB" w:rsidRDefault="0030286B">
            <w:pPr>
              <w:pStyle w:val="TableParagraph"/>
              <w:spacing w:before="37"/>
              <w:rPr>
                <w:sz w:val="21"/>
              </w:rPr>
            </w:pPr>
            <w:proofErr w:type="gramStart"/>
            <w:r>
              <w:rPr>
                <w:color w:val="B02045"/>
                <w:sz w:val="21"/>
              </w:rPr>
              <w:t>org.mariadb</w:t>
            </w:r>
            <w:proofErr w:type="gramEnd"/>
          </w:p>
        </w:tc>
        <w:tc>
          <w:tcPr>
            <w:tcW w:w="3325" w:type="dxa"/>
          </w:tcPr>
          <w:p w14:paraId="68A55E4C" w14:textId="77777777" w:rsidR="00A720EB" w:rsidRDefault="0030286B">
            <w:pPr>
              <w:pStyle w:val="TableParagraph"/>
              <w:spacing w:before="37"/>
              <w:rPr>
                <w:sz w:val="21"/>
              </w:rPr>
            </w:pPr>
            <w:r>
              <w:rPr>
                <w:color w:val="B02045"/>
                <w:sz w:val="21"/>
              </w:rPr>
              <w:t>r2dbc-mariadb</w:t>
            </w:r>
          </w:p>
        </w:tc>
        <w:tc>
          <w:tcPr>
            <w:tcW w:w="3325" w:type="dxa"/>
          </w:tcPr>
          <w:p w14:paraId="2B1F78F4" w14:textId="77777777" w:rsidR="00A720EB" w:rsidRDefault="0030286B">
            <w:pPr>
              <w:pStyle w:val="TableParagraph"/>
              <w:spacing w:before="37"/>
              <w:rPr>
                <w:sz w:val="21"/>
              </w:rPr>
            </w:pPr>
            <w:r>
              <w:rPr>
                <w:color w:val="B02045"/>
                <w:sz w:val="21"/>
              </w:rPr>
              <w:t>0.8.3-beta1</w:t>
            </w:r>
          </w:p>
        </w:tc>
      </w:tr>
      <w:tr w:rsidR="00A720EB" w14:paraId="4C455C7D" w14:textId="77777777">
        <w:trPr>
          <w:trHeight w:val="368"/>
        </w:trPr>
        <w:tc>
          <w:tcPr>
            <w:tcW w:w="3325" w:type="dxa"/>
          </w:tcPr>
          <w:p w14:paraId="70A33FC9" w14:textId="77777777" w:rsidR="00A720EB" w:rsidRDefault="0030286B">
            <w:pPr>
              <w:pStyle w:val="TableParagraph"/>
              <w:spacing w:before="37"/>
              <w:rPr>
                <w:sz w:val="21"/>
              </w:rPr>
            </w:pPr>
            <w:proofErr w:type="gramStart"/>
            <w:r>
              <w:rPr>
                <w:color w:val="B02045"/>
                <w:sz w:val="21"/>
              </w:rPr>
              <w:t>org.mariadb</w:t>
            </w:r>
            <w:proofErr w:type="gramEnd"/>
            <w:r>
              <w:rPr>
                <w:color w:val="B02045"/>
                <w:sz w:val="21"/>
              </w:rPr>
              <w:t>.jdbc</w:t>
            </w:r>
          </w:p>
        </w:tc>
        <w:tc>
          <w:tcPr>
            <w:tcW w:w="3325" w:type="dxa"/>
          </w:tcPr>
          <w:p w14:paraId="41D2EF0A" w14:textId="77777777" w:rsidR="00A720EB" w:rsidRDefault="0030286B">
            <w:pPr>
              <w:pStyle w:val="TableParagraph"/>
              <w:spacing w:before="37"/>
              <w:rPr>
                <w:sz w:val="21"/>
              </w:rPr>
            </w:pPr>
            <w:r>
              <w:rPr>
                <w:color w:val="B02045"/>
                <w:sz w:val="21"/>
              </w:rPr>
              <w:t>mariadb-java-client</w:t>
            </w:r>
          </w:p>
        </w:tc>
        <w:tc>
          <w:tcPr>
            <w:tcW w:w="3325" w:type="dxa"/>
          </w:tcPr>
          <w:p w14:paraId="5429378F" w14:textId="77777777" w:rsidR="00A720EB" w:rsidRDefault="0030286B">
            <w:pPr>
              <w:pStyle w:val="TableParagraph"/>
              <w:spacing w:before="37"/>
              <w:rPr>
                <w:sz w:val="21"/>
              </w:rPr>
            </w:pPr>
            <w:r>
              <w:rPr>
                <w:color w:val="B02045"/>
                <w:sz w:val="21"/>
              </w:rPr>
              <w:t>2.6.2</w:t>
            </w:r>
          </w:p>
        </w:tc>
      </w:tr>
      <w:tr w:rsidR="00A720EB" w14:paraId="527FAB2D" w14:textId="77777777">
        <w:trPr>
          <w:trHeight w:val="368"/>
        </w:trPr>
        <w:tc>
          <w:tcPr>
            <w:tcW w:w="3325" w:type="dxa"/>
          </w:tcPr>
          <w:p w14:paraId="1BFA04B3" w14:textId="77777777" w:rsidR="00A720EB" w:rsidRDefault="0030286B">
            <w:pPr>
              <w:pStyle w:val="TableParagraph"/>
              <w:rPr>
                <w:sz w:val="21"/>
              </w:rPr>
            </w:pPr>
            <w:proofErr w:type="gramStart"/>
            <w:r>
              <w:rPr>
                <w:color w:val="B02045"/>
                <w:sz w:val="21"/>
              </w:rPr>
              <w:t>org.messaginghub</w:t>
            </w:r>
            <w:proofErr w:type="gramEnd"/>
          </w:p>
        </w:tc>
        <w:tc>
          <w:tcPr>
            <w:tcW w:w="3325" w:type="dxa"/>
          </w:tcPr>
          <w:p w14:paraId="6192FFF9" w14:textId="77777777" w:rsidR="00A720EB" w:rsidRDefault="0030286B">
            <w:pPr>
              <w:pStyle w:val="TableParagraph"/>
              <w:rPr>
                <w:sz w:val="21"/>
              </w:rPr>
            </w:pPr>
            <w:r>
              <w:rPr>
                <w:color w:val="B02045"/>
                <w:sz w:val="21"/>
              </w:rPr>
              <w:t>pooled-jms</w:t>
            </w:r>
          </w:p>
        </w:tc>
        <w:tc>
          <w:tcPr>
            <w:tcW w:w="3325" w:type="dxa"/>
          </w:tcPr>
          <w:p w14:paraId="5F72CF18" w14:textId="77777777" w:rsidR="00A720EB" w:rsidRDefault="0030286B">
            <w:pPr>
              <w:pStyle w:val="TableParagraph"/>
              <w:rPr>
                <w:sz w:val="21"/>
              </w:rPr>
            </w:pPr>
            <w:r>
              <w:rPr>
                <w:color w:val="B02045"/>
                <w:sz w:val="21"/>
              </w:rPr>
              <w:t>1.1.2</w:t>
            </w:r>
          </w:p>
        </w:tc>
      </w:tr>
      <w:tr w:rsidR="00A720EB" w14:paraId="28A61A32" w14:textId="77777777">
        <w:trPr>
          <w:trHeight w:val="368"/>
        </w:trPr>
        <w:tc>
          <w:tcPr>
            <w:tcW w:w="3325" w:type="dxa"/>
          </w:tcPr>
          <w:p w14:paraId="06D6C6ED" w14:textId="77777777" w:rsidR="00A720EB" w:rsidRDefault="0030286B">
            <w:pPr>
              <w:pStyle w:val="TableParagraph"/>
              <w:rPr>
                <w:sz w:val="21"/>
              </w:rPr>
            </w:pPr>
            <w:proofErr w:type="gramStart"/>
            <w:r>
              <w:rPr>
                <w:color w:val="B02045"/>
                <w:sz w:val="21"/>
              </w:rPr>
              <w:t>org.mockito</w:t>
            </w:r>
            <w:proofErr w:type="gramEnd"/>
          </w:p>
        </w:tc>
        <w:tc>
          <w:tcPr>
            <w:tcW w:w="3325" w:type="dxa"/>
          </w:tcPr>
          <w:p w14:paraId="789A22F3" w14:textId="77777777" w:rsidR="00A720EB" w:rsidRDefault="0030286B">
            <w:pPr>
              <w:pStyle w:val="TableParagraph"/>
              <w:rPr>
                <w:sz w:val="21"/>
              </w:rPr>
            </w:pPr>
            <w:r>
              <w:rPr>
                <w:color w:val="B02045"/>
                <w:sz w:val="21"/>
              </w:rPr>
              <w:t>mockito-core</w:t>
            </w:r>
          </w:p>
        </w:tc>
        <w:tc>
          <w:tcPr>
            <w:tcW w:w="3325" w:type="dxa"/>
          </w:tcPr>
          <w:p w14:paraId="4C3BAE9A" w14:textId="77777777" w:rsidR="00A720EB" w:rsidRDefault="0030286B">
            <w:pPr>
              <w:pStyle w:val="TableParagraph"/>
              <w:rPr>
                <w:sz w:val="21"/>
              </w:rPr>
            </w:pPr>
            <w:r>
              <w:rPr>
                <w:color w:val="B02045"/>
                <w:sz w:val="21"/>
              </w:rPr>
              <w:t>3.3.3</w:t>
            </w:r>
          </w:p>
        </w:tc>
      </w:tr>
      <w:tr w:rsidR="00A720EB" w14:paraId="0D91B591" w14:textId="77777777">
        <w:trPr>
          <w:trHeight w:val="368"/>
        </w:trPr>
        <w:tc>
          <w:tcPr>
            <w:tcW w:w="3325" w:type="dxa"/>
          </w:tcPr>
          <w:p w14:paraId="0747B840" w14:textId="77777777" w:rsidR="00A720EB" w:rsidRDefault="0030286B">
            <w:pPr>
              <w:pStyle w:val="TableParagraph"/>
              <w:spacing w:before="37"/>
              <w:rPr>
                <w:sz w:val="21"/>
              </w:rPr>
            </w:pPr>
            <w:proofErr w:type="gramStart"/>
            <w:r>
              <w:rPr>
                <w:color w:val="B02045"/>
                <w:sz w:val="21"/>
              </w:rPr>
              <w:t>org.mockito</w:t>
            </w:r>
            <w:proofErr w:type="gramEnd"/>
          </w:p>
        </w:tc>
        <w:tc>
          <w:tcPr>
            <w:tcW w:w="3325" w:type="dxa"/>
          </w:tcPr>
          <w:p w14:paraId="657418AF" w14:textId="77777777" w:rsidR="00A720EB" w:rsidRDefault="0030286B">
            <w:pPr>
              <w:pStyle w:val="TableParagraph"/>
              <w:spacing w:before="37"/>
              <w:rPr>
                <w:sz w:val="21"/>
              </w:rPr>
            </w:pPr>
            <w:r>
              <w:rPr>
                <w:color w:val="B02045"/>
                <w:sz w:val="21"/>
              </w:rPr>
              <w:t>mockito-inline</w:t>
            </w:r>
          </w:p>
        </w:tc>
        <w:tc>
          <w:tcPr>
            <w:tcW w:w="3325" w:type="dxa"/>
          </w:tcPr>
          <w:p w14:paraId="31E3DC93" w14:textId="77777777" w:rsidR="00A720EB" w:rsidRDefault="0030286B">
            <w:pPr>
              <w:pStyle w:val="TableParagraph"/>
              <w:spacing w:before="37"/>
              <w:rPr>
                <w:sz w:val="21"/>
              </w:rPr>
            </w:pPr>
            <w:r>
              <w:rPr>
                <w:color w:val="B02045"/>
                <w:sz w:val="21"/>
              </w:rPr>
              <w:t>3.3.3</w:t>
            </w:r>
          </w:p>
        </w:tc>
      </w:tr>
      <w:tr w:rsidR="00A720EB" w14:paraId="4626F7B6" w14:textId="77777777">
        <w:trPr>
          <w:trHeight w:val="368"/>
        </w:trPr>
        <w:tc>
          <w:tcPr>
            <w:tcW w:w="3325" w:type="dxa"/>
          </w:tcPr>
          <w:p w14:paraId="29EF3E10" w14:textId="77777777" w:rsidR="00A720EB" w:rsidRDefault="0030286B">
            <w:pPr>
              <w:pStyle w:val="TableParagraph"/>
              <w:spacing w:before="37"/>
              <w:rPr>
                <w:sz w:val="21"/>
              </w:rPr>
            </w:pPr>
            <w:proofErr w:type="gramStart"/>
            <w:r>
              <w:rPr>
                <w:color w:val="B02045"/>
                <w:sz w:val="21"/>
              </w:rPr>
              <w:t>org.mockito</w:t>
            </w:r>
            <w:proofErr w:type="gramEnd"/>
          </w:p>
        </w:tc>
        <w:tc>
          <w:tcPr>
            <w:tcW w:w="3325" w:type="dxa"/>
          </w:tcPr>
          <w:p w14:paraId="5A2CC31A" w14:textId="77777777" w:rsidR="00A720EB" w:rsidRDefault="0030286B">
            <w:pPr>
              <w:pStyle w:val="TableParagraph"/>
              <w:spacing w:before="37"/>
              <w:rPr>
                <w:sz w:val="21"/>
              </w:rPr>
            </w:pPr>
            <w:r>
              <w:rPr>
                <w:color w:val="B02045"/>
                <w:sz w:val="21"/>
              </w:rPr>
              <w:t>mockito-junit-jupiter</w:t>
            </w:r>
          </w:p>
        </w:tc>
        <w:tc>
          <w:tcPr>
            <w:tcW w:w="3325" w:type="dxa"/>
          </w:tcPr>
          <w:p w14:paraId="0245ADBE" w14:textId="77777777" w:rsidR="00A720EB" w:rsidRDefault="0030286B">
            <w:pPr>
              <w:pStyle w:val="TableParagraph"/>
              <w:spacing w:before="37"/>
              <w:rPr>
                <w:sz w:val="21"/>
              </w:rPr>
            </w:pPr>
            <w:r>
              <w:rPr>
                <w:color w:val="B02045"/>
                <w:sz w:val="21"/>
              </w:rPr>
              <w:t>3.3.3</w:t>
            </w:r>
          </w:p>
        </w:tc>
      </w:tr>
      <w:tr w:rsidR="00A720EB" w14:paraId="043C7CBD" w14:textId="77777777">
        <w:trPr>
          <w:trHeight w:val="368"/>
        </w:trPr>
        <w:tc>
          <w:tcPr>
            <w:tcW w:w="3325" w:type="dxa"/>
          </w:tcPr>
          <w:p w14:paraId="5FF9E8F8" w14:textId="77777777" w:rsidR="00A720EB" w:rsidRDefault="0030286B">
            <w:pPr>
              <w:pStyle w:val="TableParagraph"/>
              <w:rPr>
                <w:sz w:val="21"/>
              </w:rPr>
            </w:pPr>
            <w:proofErr w:type="gramStart"/>
            <w:r>
              <w:rPr>
                <w:color w:val="B02045"/>
                <w:sz w:val="21"/>
              </w:rPr>
              <w:t>org.mongodb</w:t>
            </w:r>
            <w:proofErr w:type="gramEnd"/>
          </w:p>
        </w:tc>
        <w:tc>
          <w:tcPr>
            <w:tcW w:w="3325" w:type="dxa"/>
          </w:tcPr>
          <w:p w14:paraId="116B597F" w14:textId="77777777" w:rsidR="00A720EB" w:rsidRDefault="0030286B">
            <w:pPr>
              <w:pStyle w:val="TableParagraph"/>
              <w:rPr>
                <w:sz w:val="21"/>
              </w:rPr>
            </w:pPr>
            <w:r>
              <w:rPr>
                <w:color w:val="B02045"/>
                <w:sz w:val="21"/>
              </w:rPr>
              <w:t>bson</w:t>
            </w:r>
          </w:p>
        </w:tc>
        <w:tc>
          <w:tcPr>
            <w:tcW w:w="3325" w:type="dxa"/>
          </w:tcPr>
          <w:p w14:paraId="5E552A16" w14:textId="77777777" w:rsidR="00A720EB" w:rsidRDefault="0030286B">
            <w:pPr>
              <w:pStyle w:val="TableParagraph"/>
              <w:rPr>
                <w:sz w:val="21"/>
              </w:rPr>
            </w:pPr>
            <w:r>
              <w:rPr>
                <w:color w:val="B02045"/>
                <w:sz w:val="21"/>
              </w:rPr>
              <w:t>4.0.5</w:t>
            </w:r>
          </w:p>
        </w:tc>
      </w:tr>
      <w:tr w:rsidR="00A720EB" w14:paraId="79D67E8A" w14:textId="77777777">
        <w:trPr>
          <w:trHeight w:val="368"/>
        </w:trPr>
        <w:tc>
          <w:tcPr>
            <w:tcW w:w="3325" w:type="dxa"/>
          </w:tcPr>
          <w:p w14:paraId="1F8A23F9" w14:textId="77777777" w:rsidR="00A720EB" w:rsidRDefault="0030286B">
            <w:pPr>
              <w:pStyle w:val="TableParagraph"/>
              <w:rPr>
                <w:sz w:val="21"/>
              </w:rPr>
            </w:pPr>
            <w:proofErr w:type="gramStart"/>
            <w:r>
              <w:rPr>
                <w:color w:val="B02045"/>
                <w:sz w:val="21"/>
              </w:rPr>
              <w:t>org.mongodb</w:t>
            </w:r>
            <w:proofErr w:type="gramEnd"/>
          </w:p>
        </w:tc>
        <w:tc>
          <w:tcPr>
            <w:tcW w:w="3325" w:type="dxa"/>
          </w:tcPr>
          <w:p w14:paraId="1192BB9C" w14:textId="77777777" w:rsidR="00A720EB" w:rsidRDefault="0030286B">
            <w:pPr>
              <w:pStyle w:val="TableParagraph"/>
              <w:rPr>
                <w:sz w:val="21"/>
              </w:rPr>
            </w:pPr>
            <w:r>
              <w:rPr>
                <w:color w:val="B02045"/>
                <w:sz w:val="21"/>
              </w:rPr>
              <w:t>mongodb-driver-core</w:t>
            </w:r>
          </w:p>
        </w:tc>
        <w:tc>
          <w:tcPr>
            <w:tcW w:w="3325" w:type="dxa"/>
          </w:tcPr>
          <w:p w14:paraId="45341355" w14:textId="77777777" w:rsidR="00A720EB" w:rsidRDefault="0030286B">
            <w:pPr>
              <w:pStyle w:val="TableParagraph"/>
              <w:rPr>
                <w:sz w:val="21"/>
              </w:rPr>
            </w:pPr>
            <w:r>
              <w:rPr>
                <w:color w:val="B02045"/>
                <w:sz w:val="21"/>
              </w:rPr>
              <w:t>4.0.5</w:t>
            </w:r>
          </w:p>
        </w:tc>
      </w:tr>
      <w:tr w:rsidR="00A720EB" w14:paraId="6F35A4DD" w14:textId="77777777">
        <w:trPr>
          <w:trHeight w:val="368"/>
        </w:trPr>
        <w:tc>
          <w:tcPr>
            <w:tcW w:w="3325" w:type="dxa"/>
          </w:tcPr>
          <w:p w14:paraId="34C16C18" w14:textId="77777777" w:rsidR="00A720EB" w:rsidRDefault="0030286B">
            <w:pPr>
              <w:pStyle w:val="TableParagraph"/>
              <w:spacing w:before="37"/>
              <w:rPr>
                <w:sz w:val="21"/>
              </w:rPr>
            </w:pPr>
            <w:proofErr w:type="gramStart"/>
            <w:r>
              <w:rPr>
                <w:color w:val="B02045"/>
                <w:sz w:val="21"/>
              </w:rPr>
              <w:t>org.mongodb</w:t>
            </w:r>
            <w:proofErr w:type="gramEnd"/>
          </w:p>
        </w:tc>
        <w:tc>
          <w:tcPr>
            <w:tcW w:w="3325" w:type="dxa"/>
          </w:tcPr>
          <w:p w14:paraId="7B5CA736" w14:textId="77777777" w:rsidR="00A720EB" w:rsidRDefault="0030286B">
            <w:pPr>
              <w:pStyle w:val="TableParagraph"/>
              <w:spacing w:before="37"/>
              <w:rPr>
                <w:sz w:val="21"/>
              </w:rPr>
            </w:pPr>
            <w:r>
              <w:rPr>
                <w:color w:val="B02045"/>
                <w:sz w:val="21"/>
              </w:rPr>
              <w:t>mongodb-driver-legacy</w:t>
            </w:r>
          </w:p>
        </w:tc>
        <w:tc>
          <w:tcPr>
            <w:tcW w:w="3325" w:type="dxa"/>
          </w:tcPr>
          <w:p w14:paraId="2C87C24C" w14:textId="77777777" w:rsidR="00A720EB" w:rsidRDefault="0030286B">
            <w:pPr>
              <w:pStyle w:val="TableParagraph"/>
              <w:spacing w:before="37"/>
              <w:rPr>
                <w:sz w:val="21"/>
              </w:rPr>
            </w:pPr>
            <w:r>
              <w:rPr>
                <w:color w:val="B02045"/>
                <w:sz w:val="21"/>
              </w:rPr>
              <w:t>4.0.5</w:t>
            </w:r>
          </w:p>
        </w:tc>
      </w:tr>
      <w:tr w:rsidR="00A720EB" w14:paraId="689D68B9" w14:textId="77777777">
        <w:trPr>
          <w:trHeight w:val="368"/>
        </w:trPr>
        <w:tc>
          <w:tcPr>
            <w:tcW w:w="3325" w:type="dxa"/>
          </w:tcPr>
          <w:p w14:paraId="7802A885" w14:textId="77777777" w:rsidR="00A720EB" w:rsidRDefault="0030286B">
            <w:pPr>
              <w:pStyle w:val="TableParagraph"/>
              <w:spacing w:before="37"/>
              <w:rPr>
                <w:sz w:val="21"/>
              </w:rPr>
            </w:pPr>
            <w:proofErr w:type="gramStart"/>
            <w:r>
              <w:rPr>
                <w:color w:val="B02045"/>
                <w:sz w:val="21"/>
              </w:rPr>
              <w:t>org.mongodb</w:t>
            </w:r>
            <w:proofErr w:type="gramEnd"/>
          </w:p>
        </w:tc>
        <w:tc>
          <w:tcPr>
            <w:tcW w:w="3325" w:type="dxa"/>
          </w:tcPr>
          <w:p w14:paraId="1907E86F" w14:textId="77777777" w:rsidR="00A720EB" w:rsidRDefault="0030286B">
            <w:pPr>
              <w:pStyle w:val="TableParagraph"/>
              <w:spacing w:before="37"/>
              <w:rPr>
                <w:sz w:val="21"/>
              </w:rPr>
            </w:pPr>
            <w:r>
              <w:rPr>
                <w:color w:val="B02045"/>
                <w:sz w:val="21"/>
              </w:rPr>
              <w:t>mongodb-driver-reactivestreams</w:t>
            </w:r>
          </w:p>
        </w:tc>
        <w:tc>
          <w:tcPr>
            <w:tcW w:w="3325" w:type="dxa"/>
          </w:tcPr>
          <w:p w14:paraId="5F6CB660" w14:textId="77777777" w:rsidR="00A720EB" w:rsidRDefault="0030286B">
            <w:pPr>
              <w:pStyle w:val="TableParagraph"/>
              <w:spacing w:before="37"/>
              <w:rPr>
                <w:sz w:val="21"/>
              </w:rPr>
            </w:pPr>
            <w:r>
              <w:rPr>
                <w:color w:val="B02045"/>
                <w:sz w:val="21"/>
              </w:rPr>
              <w:t>4.0.5</w:t>
            </w:r>
          </w:p>
        </w:tc>
      </w:tr>
      <w:tr w:rsidR="00A720EB" w14:paraId="0A28512E" w14:textId="77777777">
        <w:trPr>
          <w:trHeight w:val="368"/>
        </w:trPr>
        <w:tc>
          <w:tcPr>
            <w:tcW w:w="3325" w:type="dxa"/>
          </w:tcPr>
          <w:p w14:paraId="79C777F7" w14:textId="77777777" w:rsidR="00A720EB" w:rsidRDefault="0030286B">
            <w:pPr>
              <w:pStyle w:val="TableParagraph"/>
              <w:rPr>
                <w:sz w:val="21"/>
              </w:rPr>
            </w:pPr>
            <w:proofErr w:type="gramStart"/>
            <w:r>
              <w:rPr>
                <w:color w:val="B02045"/>
                <w:sz w:val="21"/>
              </w:rPr>
              <w:t>org.mongodb</w:t>
            </w:r>
            <w:proofErr w:type="gramEnd"/>
          </w:p>
        </w:tc>
        <w:tc>
          <w:tcPr>
            <w:tcW w:w="3325" w:type="dxa"/>
          </w:tcPr>
          <w:p w14:paraId="74523B1C" w14:textId="77777777" w:rsidR="00A720EB" w:rsidRDefault="0030286B">
            <w:pPr>
              <w:pStyle w:val="TableParagraph"/>
              <w:rPr>
                <w:sz w:val="21"/>
              </w:rPr>
            </w:pPr>
            <w:r>
              <w:rPr>
                <w:color w:val="B02045"/>
                <w:sz w:val="21"/>
              </w:rPr>
              <w:t>mongodb-driver-sync</w:t>
            </w:r>
          </w:p>
        </w:tc>
        <w:tc>
          <w:tcPr>
            <w:tcW w:w="3325" w:type="dxa"/>
          </w:tcPr>
          <w:p w14:paraId="11B28F18" w14:textId="77777777" w:rsidR="00A720EB" w:rsidRDefault="0030286B">
            <w:pPr>
              <w:pStyle w:val="TableParagraph"/>
              <w:rPr>
                <w:sz w:val="21"/>
              </w:rPr>
            </w:pPr>
            <w:r>
              <w:rPr>
                <w:color w:val="B02045"/>
                <w:sz w:val="21"/>
              </w:rPr>
              <w:t>4.0.5</w:t>
            </w:r>
          </w:p>
        </w:tc>
      </w:tr>
      <w:tr w:rsidR="00A720EB" w14:paraId="02A6ED15" w14:textId="77777777">
        <w:trPr>
          <w:trHeight w:val="368"/>
        </w:trPr>
        <w:tc>
          <w:tcPr>
            <w:tcW w:w="3325" w:type="dxa"/>
          </w:tcPr>
          <w:p w14:paraId="47BF13CC" w14:textId="77777777" w:rsidR="00A720EB" w:rsidRDefault="0030286B">
            <w:pPr>
              <w:pStyle w:val="TableParagraph"/>
              <w:spacing w:before="37"/>
              <w:rPr>
                <w:sz w:val="21"/>
              </w:rPr>
            </w:pPr>
            <w:proofErr w:type="gramStart"/>
            <w:r>
              <w:rPr>
                <w:color w:val="B02045"/>
                <w:sz w:val="21"/>
              </w:rPr>
              <w:t>org.mortbay</w:t>
            </w:r>
            <w:proofErr w:type="gramEnd"/>
            <w:r>
              <w:rPr>
                <w:color w:val="B02045"/>
                <w:sz w:val="21"/>
              </w:rPr>
              <w:t>.jasper</w:t>
            </w:r>
          </w:p>
        </w:tc>
        <w:tc>
          <w:tcPr>
            <w:tcW w:w="3325" w:type="dxa"/>
          </w:tcPr>
          <w:p w14:paraId="08675AE5" w14:textId="77777777" w:rsidR="00A720EB" w:rsidRDefault="0030286B">
            <w:pPr>
              <w:pStyle w:val="TableParagraph"/>
              <w:spacing w:before="37"/>
              <w:rPr>
                <w:sz w:val="21"/>
              </w:rPr>
            </w:pPr>
            <w:r>
              <w:rPr>
                <w:color w:val="B02045"/>
                <w:sz w:val="21"/>
              </w:rPr>
              <w:t>apache-el</w:t>
            </w:r>
          </w:p>
        </w:tc>
        <w:tc>
          <w:tcPr>
            <w:tcW w:w="3325" w:type="dxa"/>
          </w:tcPr>
          <w:p w14:paraId="0016B83F" w14:textId="77777777" w:rsidR="00A720EB" w:rsidRDefault="0030286B">
            <w:pPr>
              <w:pStyle w:val="TableParagraph"/>
              <w:spacing w:before="37"/>
              <w:rPr>
                <w:sz w:val="21"/>
              </w:rPr>
            </w:pPr>
            <w:r>
              <w:rPr>
                <w:color w:val="B02045"/>
                <w:sz w:val="21"/>
              </w:rPr>
              <w:t>8.5.54</w:t>
            </w:r>
          </w:p>
        </w:tc>
      </w:tr>
      <w:tr w:rsidR="00A720EB" w14:paraId="25C64D08" w14:textId="77777777">
        <w:trPr>
          <w:trHeight w:val="368"/>
        </w:trPr>
        <w:tc>
          <w:tcPr>
            <w:tcW w:w="3325" w:type="dxa"/>
          </w:tcPr>
          <w:p w14:paraId="58E1E7D7" w14:textId="77777777" w:rsidR="00A720EB" w:rsidRDefault="0030286B">
            <w:pPr>
              <w:pStyle w:val="TableParagraph"/>
              <w:rPr>
                <w:sz w:val="21"/>
              </w:rPr>
            </w:pPr>
            <w:proofErr w:type="gramStart"/>
            <w:r>
              <w:rPr>
                <w:color w:val="B02045"/>
                <w:sz w:val="21"/>
              </w:rPr>
              <w:t>org.neo</w:t>
            </w:r>
            <w:proofErr w:type="gramEnd"/>
            <w:r>
              <w:rPr>
                <w:color w:val="B02045"/>
                <w:sz w:val="21"/>
              </w:rPr>
              <w:t>4j</w:t>
            </w:r>
          </w:p>
        </w:tc>
        <w:tc>
          <w:tcPr>
            <w:tcW w:w="3325" w:type="dxa"/>
          </w:tcPr>
          <w:p w14:paraId="6D8806DA" w14:textId="77777777" w:rsidR="00A720EB" w:rsidRDefault="0030286B">
            <w:pPr>
              <w:pStyle w:val="TableParagraph"/>
              <w:rPr>
                <w:sz w:val="21"/>
              </w:rPr>
            </w:pPr>
            <w:r>
              <w:rPr>
                <w:color w:val="B02045"/>
                <w:sz w:val="21"/>
              </w:rPr>
              <w:t>neo4j-ogm-api</w:t>
            </w:r>
          </w:p>
        </w:tc>
        <w:tc>
          <w:tcPr>
            <w:tcW w:w="3325" w:type="dxa"/>
          </w:tcPr>
          <w:p w14:paraId="167BC877" w14:textId="77777777" w:rsidR="00A720EB" w:rsidRDefault="0030286B">
            <w:pPr>
              <w:pStyle w:val="TableParagraph"/>
              <w:rPr>
                <w:sz w:val="21"/>
              </w:rPr>
            </w:pPr>
            <w:r>
              <w:rPr>
                <w:color w:val="B02045"/>
                <w:sz w:val="21"/>
              </w:rPr>
              <w:t>3.2.16</w:t>
            </w:r>
          </w:p>
        </w:tc>
      </w:tr>
      <w:tr w:rsidR="00A720EB" w14:paraId="6758E6F2" w14:textId="77777777">
        <w:trPr>
          <w:trHeight w:val="368"/>
        </w:trPr>
        <w:tc>
          <w:tcPr>
            <w:tcW w:w="3325" w:type="dxa"/>
          </w:tcPr>
          <w:p w14:paraId="4385F08A" w14:textId="77777777" w:rsidR="00A720EB" w:rsidRDefault="0030286B">
            <w:pPr>
              <w:pStyle w:val="TableParagraph"/>
              <w:spacing w:before="37"/>
              <w:rPr>
                <w:sz w:val="21"/>
              </w:rPr>
            </w:pPr>
            <w:proofErr w:type="gramStart"/>
            <w:r>
              <w:rPr>
                <w:color w:val="B02045"/>
                <w:sz w:val="21"/>
              </w:rPr>
              <w:t>org.neo</w:t>
            </w:r>
            <w:proofErr w:type="gramEnd"/>
            <w:r>
              <w:rPr>
                <w:color w:val="B02045"/>
                <w:sz w:val="21"/>
              </w:rPr>
              <w:t>4j</w:t>
            </w:r>
          </w:p>
        </w:tc>
        <w:tc>
          <w:tcPr>
            <w:tcW w:w="3325" w:type="dxa"/>
          </w:tcPr>
          <w:p w14:paraId="0469C6A9" w14:textId="77777777" w:rsidR="00A720EB" w:rsidRDefault="0030286B">
            <w:pPr>
              <w:pStyle w:val="TableParagraph"/>
              <w:spacing w:before="37"/>
              <w:rPr>
                <w:sz w:val="21"/>
              </w:rPr>
            </w:pPr>
            <w:r>
              <w:rPr>
                <w:color w:val="B02045"/>
                <w:sz w:val="21"/>
              </w:rPr>
              <w:t>neo4j-ogm-bolt-driver</w:t>
            </w:r>
          </w:p>
        </w:tc>
        <w:tc>
          <w:tcPr>
            <w:tcW w:w="3325" w:type="dxa"/>
          </w:tcPr>
          <w:p w14:paraId="68F703C7" w14:textId="77777777" w:rsidR="00A720EB" w:rsidRDefault="0030286B">
            <w:pPr>
              <w:pStyle w:val="TableParagraph"/>
              <w:spacing w:before="37"/>
              <w:rPr>
                <w:sz w:val="21"/>
              </w:rPr>
            </w:pPr>
            <w:r>
              <w:rPr>
                <w:color w:val="B02045"/>
                <w:sz w:val="21"/>
              </w:rPr>
              <w:t>3.2.16</w:t>
            </w:r>
          </w:p>
        </w:tc>
      </w:tr>
      <w:tr w:rsidR="00A720EB" w14:paraId="3BE06DD6" w14:textId="77777777">
        <w:trPr>
          <w:trHeight w:val="368"/>
        </w:trPr>
        <w:tc>
          <w:tcPr>
            <w:tcW w:w="3325" w:type="dxa"/>
          </w:tcPr>
          <w:p w14:paraId="58A0C334" w14:textId="77777777" w:rsidR="00A720EB" w:rsidRDefault="0030286B">
            <w:pPr>
              <w:pStyle w:val="TableParagraph"/>
              <w:rPr>
                <w:sz w:val="21"/>
              </w:rPr>
            </w:pPr>
            <w:proofErr w:type="gramStart"/>
            <w:r>
              <w:rPr>
                <w:color w:val="B02045"/>
                <w:sz w:val="21"/>
              </w:rPr>
              <w:t>org.neo</w:t>
            </w:r>
            <w:proofErr w:type="gramEnd"/>
            <w:r>
              <w:rPr>
                <w:color w:val="B02045"/>
                <w:sz w:val="21"/>
              </w:rPr>
              <w:t>4j</w:t>
            </w:r>
          </w:p>
        </w:tc>
        <w:tc>
          <w:tcPr>
            <w:tcW w:w="3325" w:type="dxa"/>
          </w:tcPr>
          <w:p w14:paraId="2A6D944F" w14:textId="77777777" w:rsidR="00A720EB" w:rsidRDefault="0030286B">
            <w:pPr>
              <w:pStyle w:val="TableParagraph"/>
              <w:rPr>
                <w:sz w:val="21"/>
              </w:rPr>
            </w:pPr>
            <w:r>
              <w:rPr>
                <w:color w:val="B02045"/>
                <w:sz w:val="21"/>
              </w:rPr>
              <w:t>neo4j-ogm-bolt-native-types</w:t>
            </w:r>
          </w:p>
        </w:tc>
        <w:tc>
          <w:tcPr>
            <w:tcW w:w="3325" w:type="dxa"/>
          </w:tcPr>
          <w:p w14:paraId="48DF5C30" w14:textId="77777777" w:rsidR="00A720EB" w:rsidRDefault="0030286B">
            <w:pPr>
              <w:pStyle w:val="TableParagraph"/>
              <w:rPr>
                <w:sz w:val="21"/>
              </w:rPr>
            </w:pPr>
            <w:r>
              <w:rPr>
                <w:color w:val="B02045"/>
                <w:sz w:val="21"/>
              </w:rPr>
              <w:t>3.2.16</w:t>
            </w:r>
          </w:p>
        </w:tc>
      </w:tr>
      <w:tr w:rsidR="00A720EB" w14:paraId="43C9402B" w14:textId="77777777">
        <w:trPr>
          <w:trHeight w:val="368"/>
        </w:trPr>
        <w:tc>
          <w:tcPr>
            <w:tcW w:w="3325" w:type="dxa"/>
          </w:tcPr>
          <w:p w14:paraId="2BE280C3" w14:textId="77777777" w:rsidR="00A720EB" w:rsidRDefault="0030286B">
            <w:pPr>
              <w:pStyle w:val="TableParagraph"/>
              <w:spacing w:before="37"/>
              <w:rPr>
                <w:sz w:val="21"/>
              </w:rPr>
            </w:pPr>
            <w:proofErr w:type="gramStart"/>
            <w:r>
              <w:rPr>
                <w:color w:val="B02045"/>
                <w:sz w:val="21"/>
              </w:rPr>
              <w:t>org.neo</w:t>
            </w:r>
            <w:proofErr w:type="gramEnd"/>
            <w:r>
              <w:rPr>
                <w:color w:val="B02045"/>
                <w:sz w:val="21"/>
              </w:rPr>
              <w:t>4j</w:t>
            </w:r>
          </w:p>
        </w:tc>
        <w:tc>
          <w:tcPr>
            <w:tcW w:w="3325" w:type="dxa"/>
          </w:tcPr>
          <w:p w14:paraId="2B728066" w14:textId="77777777" w:rsidR="00A720EB" w:rsidRDefault="0030286B">
            <w:pPr>
              <w:pStyle w:val="TableParagraph"/>
              <w:spacing w:before="37"/>
              <w:rPr>
                <w:sz w:val="21"/>
              </w:rPr>
            </w:pPr>
            <w:r>
              <w:rPr>
                <w:color w:val="B02045"/>
                <w:sz w:val="21"/>
              </w:rPr>
              <w:t>neo4j-ogm-core</w:t>
            </w:r>
          </w:p>
        </w:tc>
        <w:tc>
          <w:tcPr>
            <w:tcW w:w="3325" w:type="dxa"/>
          </w:tcPr>
          <w:p w14:paraId="62B48E70" w14:textId="77777777" w:rsidR="00A720EB" w:rsidRDefault="0030286B">
            <w:pPr>
              <w:pStyle w:val="TableParagraph"/>
              <w:spacing w:before="37"/>
              <w:rPr>
                <w:sz w:val="21"/>
              </w:rPr>
            </w:pPr>
            <w:r>
              <w:rPr>
                <w:color w:val="B02045"/>
                <w:sz w:val="21"/>
              </w:rPr>
              <w:t>3.2.16</w:t>
            </w:r>
          </w:p>
        </w:tc>
      </w:tr>
      <w:tr w:rsidR="00A720EB" w14:paraId="0DCF958E" w14:textId="77777777">
        <w:trPr>
          <w:trHeight w:val="368"/>
        </w:trPr>
        <w:tc>
          <w:tcPr>
            <w:tcW w:w="3325" w:type="dxa"/>
          </w:tcPr>
          <w:p w14:paraId="1AAF9787" w14:textId="77777777" w:rsidR="00A720EB" w:rsidRDefault="0030286B">
            <w:pPr>
              <w:pStyle w:val="TableParagraph"/>
              <w:rPr>
                <w:sz w:val="21"/>
              </w:rPr>
            </w:pPr>
            <w:proofErr w:type="gramStart"/>
            <w:r>
              <w:rPr>
                <w:color w:val="B02045"/>
                <w:sz w:val="21"/>
              </w:rPr>
              <w:t>org.neo</w:t>
            </w:r>
            <w:proofErr w:type="gramEnd"/>
            <w:r>
              <w:rPr>
                <w:color w:val="B02045"/>
                <w:sz w:val="21"/>
              </w:rPr>
              <w:t>4j</w:t>
            </w:r>
          </w:p>
        </w:tc>
        <w:tc>
          <w:tcPr>
            <w:tcW w:w="3325" w:type="dxa"/>
          </w:tcPr>
          <w:p w14:paraId="5D54CAB7" w14:textId="77777777" w:rsidR="00A720EB" w:rsidRDefault="0030286B">
            <w:pPr>
              <w:pStyle w:val="TableParagraph"/>
              <w:rPr>
                <w:sz w:val="21"/>
              </w:rPr>
            </w:pPr>
            <w:r>
              <w:rPr>
                <w:color w:val="B02045"/>
                <w:sz w:val="21"/>
              </w:rPr>
              <w:t>neo4j-ogm-embedded-driver</w:t>
            </w:r>
          </w:p>
        </w:tc>
        <w:tc>
          <w:tcPr>
            <w:tcW w:w="3325" w:type="dxa"/>
          </w:tcPr>
          <w:p w14:paraId="18F1C2EC" w14:textId="77777777" w:rsidR="00A720EB" w:rsidRDefault="0030286B">
            <w:pPr>
              <w:pStyle w:val="TableParagraph"/>
              <w:rPr>
                <w:sz w:val="21"/>
              </w:rPr>
            </w:pPr>
            <w:r>
              <w:rPr>
                <w:color w:val="B02045"/>
                <w:sz w:val="21"/>
              </w:rPr>
              <w:t>3.2.16</w:t>
            </w:r>
          </w:p>
        </w:tc>
      </w:tr>
      <w:tr w:rsidR="00A720EB" w14:paraId="0C3EA894" w14:textId="77777777">
        <w:trPr>
          <w:trHeight w:val="627"/>
        </w:trPr>
        <w:tc>
          <w:tcPr>
            <w:tcW w:w="3325" w:type="dxa"/>
          </w:tcPr>
          <w:p w14:paraId="6FA91671" w14:textId="77777777" w:rsidR="00A720EB" w:rsidRDefault="0030286B">
            <w:pPr>
              <w:pStyle w:val="TableParagraph"/>
              <w:rPr>
                <w:sz w:val="21"/>
              </w:rPr>
            </w:pPr>
            <w:proofErr w:type="gramStart"/>
            <w:r>
              <w:rPr>
                <w:color w:val="B02045"/>
                <w:sz w:val="21"/>
              </w:rPr>
              <w:t>org.neo</w:t>
            </w:r>
            <w:proofErr w:type="gramEnd"/>
            <w:r>
              <w:rPr>
                <w:color w:val="B02045"/>
                <w:sz w:val="21"/>
              </w:rPr>
              <w:t>4j</w:t>
            </w:r>
          </w:p>
        </w:tc>
        <w:tc>
          <w:tcPr>
            <w:tcW w:w="3325" w:type="dxa"/>
          </w:tcPr>
          <w:p w14:paraId="44CECD2F" w14:textId="77777777" w:rsidR="00A720EB" w:rsidRDefault="0030286B">
            <w:pPr>
              <w:pStyle w:val="TableParagraph"/>
              <w:spacing w:before="46" w:line="230" w:lineRule="auto"/>
              <w:ind w:right="505"/>
              <w:rPr>
                <w:sz w:val="21"/>
              </w:rPr>
            </w:pPr>
            <w:r>
              <w:rPr>
                <w:color w:val="B02045"/>
                <w:sz w:val="21"/>
              </w:rPr>
              <w:t>neo4j-ogm-embedded-native- types</w:t>
            </w:r>
          </w:p>
        </w:tc>
        <w:tc>
          <w:tcPr>
            <w:tcW w:w="3325" w:type="dxa"/>
          </w:tcPr>
          <w:p w14:paraId="4CA25FB6" w14:textId="77777777" w:rsidR="00A720EB" w:rsidRDefault="0030286B">
            <w:pPr>
              <w:pStyle w:val="TableParagraph"/>
              <w:rPr>
                <w:sz w:val="21"/>
              </w:rPr>
            </w:pPr>
            <w:r>
              <w:rPr>
                <w:color w:val="B02045"/>
                <w:sz w:val="21"/>
              </w:rPr>
              <w:t>3.2.16</w:t>
            </w:r>
          </w:p>
        </w:tc>
      </w:tr>
      <w:tr w:rsidR="00A720EB" w14:paraId="15470465" w14:textId="77777777">
        <w:trPr>
          <w:trHeight w:val="368"/>
        </w:trPr>
        <w:tc>
          <w:tcPr>
            <w:tcW w:w="3325" w:type="dxa"/>
          </w:tcPr>
          <w:p w14:paraId="5AD5F8FA" w14:textId="77777777" w:rsidR="00A720EB" w:rsidRDefault="0030286B">
            <w:pPr>
              <w:pStyle w:val="TableParagraph"/>
              <w:rPr>
                <w:sz w:val="21"/>
              </w:rPr>
            </w:pPr>
            <w:proofErr w:type="gramStart"/>
            <w:r>
              <w:rPr>
                <w:color w:val="B02045"/>
                <w:sz w:val="21"/>
              </w:rPr>
              <w:t>org.neo</w:t>
            </w:r>
            <w:proofErr w:type="gramEnd"/>
            <w:r>
              <w:rPr>
                <w:color w:val="B02045"/>
                <w:sz w:val="21"/>
              </w:rPr>
              <w:t>4j</w:t>
            </w:r>
          </w:p>
        </w:tc>
        <w:tc>
          <w:tcPr>
            <w:tcW w:w="3325" w:type="dxa"/>
          </w:tcPr>
          <w:p w14:paraId="5DBD6609" w14:textId="77777777" w:rsidR="00A720EB" w:rsidRDefault="0030286B">
            <w:pPr>
              <w:pStyle w:val="TableParagraph"/>
              <w:rPr>
                <w:sz w:val="21"/>
              </w:rPr>
            </w:pPr>
            <w:r>
              <w:rPr>
                <w:color w:val="B02045"/>
                <w:sz w:val="21"/>
              </w:rPr>
              <w:t>neo4j-ogm-http-driver</w:t>
            </w:r>
          </w:p>
        </w:tc>
        <w:tc>
          <w:tcPr>
            <w:tcW w:w="3325" w:type="dxa"/>
          </w:tcPr>
          <w:p w14:paraId="46005198" w14:textId="77777777" w:rsidR="00A720EB" w:rsidRDefault="0030286B">
            <w:pPr>
              <w:pStyle w:val="TableParagraph"/>
              <w:rPr>
                <w:sz w:val="21"/>
              </w:rPr>
            </w:pPr>
            <w:r>
              <w:rPr>
                <w:color w:val="B02045"/>
                <w:sz w:val="21"/>
              </w:rPr>
              <w:t>3.2.16</w:t>
            </w:r>
          </w:p>
        </w:tc>
      </w:tr>
      <w:tr w:rsidR="00A720EB" w14:paraId="70524B57" w14:textId="77777777">
        <w:trPr>
          <w:trHeight w:val="368"/>
        </w:trPr>
        <w:tc>
          <w:tcPr>
            <w:tcW w:w="3325" w:type="dxa"/>
          </w:tcPr>
          <w:p w14:paraId="608057CD" w14:textId="77777777" w:rsidR="00A720EB" w:rsidRDefault="0030286B">
            <w:pPr>
              <w:pStyle w:val="TableParagraph"/>
              <w:rPr>
                <w:sz w:val="21"/>
              </w:rPr>
            </w:pPr>
            <w:proofErr w:type="gramStart"/>
            <w:r>
              <w:rPr>
                <w:color w:val="B02045"/>
                <w:sz w:val="21"/>
              </w:rPr>
              <w:t>org.postgresql</w:t>
            </w:r>
            <w:proofErr w:type="gramEnd"/>
          </w:p>
        </w:tc>
        <w:tc>
          <w:tcPr>
            <w:tcW w:w="3325" w:type="dxa"/>
          </w:tcPr>
          <w:p w14:paraId="36B54DC2" w14:textId="77777777" w:rsidR="00A720EB" w:rsidRDefault="0030286B">
            <w:pPr>
              <w:pStyle w:val="TableParagraph"/>
              <w:rPr>
                <w:sz w:val="21"/>
              </w:rPr>
            </w:pPr>
            <w:r>
              <w:rPr>
                <w:color w:val="B02045"/>
                <w:sz w:val="21"/>
              </w:rPr>
              <w:t>postgresql</w:t>
            </w:r>
          </w:p>
        </w:tc>
        <w:tc>
          <w:tcPr>
            <w:tcW w:w="3325" w:type="dxa"/>
          </w:tcPr>
          <w:p w14:paraId="6474CFBC" w14:textId="77777777" w:rsidR="00A720EB" w:rsidRDefault="0030286B">
            <w:pPr>
              <w:pStyle w:val="TableParagraph"/>
              <w:rPr>
                <w:sz w:val="21"/>
              </w:rPr>
            </w:pPr>
            <w:r>
              <w:rPr>
                <w:color w:val="B02045"/>
                <w:sz w:val="21"/>
              </w:rPr>
              <w:t>42.2.16</w:t>
            </w:r>
          </w:p>
        </w:tc>
      </w:tr>
    </w:tbl>
    <w:p w14:paraId="202145F6"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309860E0" w14:textId="77777777">
        <w:trPr>
          <w:trHeight w:val="415"/>
        </w:trPr>
        <w:tc>
          <w:tcPr>
            <w:tcW w:w="3325" w:type="dxa"/>
            <w:tcBorders>
              <w:bottom w:val="single" w:sz="12" w:space="0" w:color="DDDDDD"/>
            </w:tcBorders>
          </w:tcPr>
          <w:p w14:paraId="3785C3D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21B7B26E"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1F44E1D5"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46A4C737" w14:textId="77777777">
        <w:trPr>
          <w:trHeight w:val="358"/>
        </w:trPr>
        <w:tc>
          <w:tcPr>
            <w:tcW w:w="3325" w:type="dxa"/>
            <w:tcBorders>
              <w:top w:val="single" w:sz="12" w:space="0" w:color="DDDDDD"/>
            </w:tcBorders>
          </w:tcPr>
          <w:p w14:paraId="60C94990" w14:textId="77777777" w:rsidR="00A720EB" w:rsidRDefault="0030286B">
            <w:pPr>
              <w:pStyle w:val="TableParagraph"/>
              <w:spacing w:before="27"/>
              <w:rPr>
                <w:sz w:val="21"/>
              </w:rPr>
            </w:pPr>
            <w:proofErr w:type="gramStart"/>
            <w:r>
              <w:rPr>
                <w:color w:val="B02045"/>
                <w:sz w:val="21"/>
              </w:rPr>
              <w:t>org.projectlombok</w:t>
            </w:r>
            <w:proofErr w:type="gramEnd"/>
          </w:p>
        </w:tc>
        <w:tc>
          <w:tcPr>
            <w:tcW w:w="3325" w:type="dxa"/>
            <w:tcBorders>
              <w:top w:val="single" w:sz="12" w:space="0" w:color="DDDDDD"/>
            </w:tcBorders>
          </w:tcPr>
          <w:p w14:paraId="25181180" w14:textId="77777777" w:rsidR="00A720EB" w:rsidRDefault="0030286B">
            <w:pPr>
              <w:pStyle w:val="TableParagraph"/>
              <w:spacing w:before="27"/>
              <w:rPr>
                <w:sz w:val="21"/>
              </w:rPr>
            </w:pPr>
            <w:r>
              <w:rPr>
                <w:color w:val="B02045"/>
                <w:sz w:val="21"/>
              </w:rPr>
              <w:t>lombok</w:t>
            </w:r>
          </w:p>
        </w:tc>
        <w:tc>
          <w:tcPr>
            <w:tcW w:w="3325" w:type="dxa"/>
            <w:tcBorders>
              <w:top w:val="single" w:sz="12" w:space="0" w:color="DDDDDD"/>
            </w:tcBorders>
          </w:tcPr>
          <w:p w14:paraId="27641C77" w14:textId="77777777" w:rsidR="00A720EB" w:rsidRDefault="0030286B">
            <w:pPr>
              <w:pStyle w:val="TableParagraph"/>
              <w:spacing w:before="27"/>
              <w:rPr>
                <w:sz w:val="21"/>
              </w:rPr>
            </w:pPr>
            <w:r>
              <w:rPr>
                <w:color w:val="B02045"/>
                <w:sz w:val="21"/>
              </w:rPr>
              <w:t>1.18.12</w:t>
            </w:r>
          </w:p>
        </w:tc>
      </w:tr>
      <w:tr w:rsidR="00A720EB" w14:paraId="5FD0759C" w14:textId="77777777">
        <w:trPr>
          <w:trHeight w:val="368"/>
        </w:trPr>
        <w:tc>
          <w:tcPr>
            <w:tcW w:w="3325" w:type="dxa"/>
          </w:tcPr>
          <w:p w14:paraId="3A7B557C" w14:textId="77777777" w:rsidR="00A720EB" w:rsidRDefault="0030286B">
            <w:pPr>
              <w:pStyle w:val="TableParagraph"/>
              <w:spacing w:before="37"/>
              <w:rPr>
                <w:sz w:val="21"/>
              </w:rPr>
            </w:pPr>
            <w:proofErr w:type="gramStart"/>
            <w:r>
              <w:rPr>
                <w:color w:val="B02045"/>
                <w:sz w:val="21"/>
              </w:rPr>
              <w:t>org.quartz</w:t>
            </w:r>
            <w:proofErr w:type="gramEnd"/>
            <w:r>
              <w:rPr>
                <w:color w:val="B02045"/>
                <w:sz w:val="21"/>
              </w:rPr>
              <w:t>-scheduler</w:t>
            </w:r>
          </w:p>
        </w:tc>
        <w:tc>
          <w:tcPr>
            <w:tcW w:w="3325" w:type="dxa"/>
          </w:tcPr>
          <w:p w14:paraId="288B3AFC" w14:textId="77777777" w:rsidR="00A720EB" w:rsidRDefault="0030286B">
            <w:pPr>
              <w:pStyle w:val="TableParagraph"/>
              <w:spacing w:before="37"/>
              <w:rPr>
                <w:sz w:val="21"/>
              </w:rPr>
            </w:pPr>
            <w:r>
              <w:rPr>
                <w:color w:val="B02045"/>
                <w:sz w:val="21"/>
              </w:rPr>
              <w:t>quartz</w:t>
            </w:r>
          </w:p>
        </w:tc>
        <w:tc>
          <w:tcPr>
            <w:tcW w:w="3325" w:type="dxa"/>
          </w:tcPr>
          <w:p w14:paraId="00628D39" w14:textId="77777777" w:rsidR="00A720EB" w:rsidRDefault="0030286B">
            <w:pPr>
              <w:pStyle w:val="TableParagraph"/>
              <w:spacing w:before="37"/>
              <w:rPr>
                <w:sz w:val="21"/>
              </w:rPr>
            </w:pPr>
            <w:r>
              <w:rPr>
                <w:color w:val="B02045"/>
                <w:sz w:val="21"/>
              </w:rPr>
              <w:t>2.3.2</w:t>
            </w:r>
          </w:p>
        </w:tc>
      </w:tr>
      <w:tr w:rsidR="00A720EB" w14:paraId="48774554" w14:textId="77777777">
        <w:trPr>
          <w:trHeight w:val="368"/>
        </w:trPr>
        <w:tc>
          <w:tcPr>
            <w:tcW w:w="3325" w:type="dxa"/>
          </w:tcPr>
          <w:p w14:paraId="5B3CBA76" w14:textId="77777777" w:rsidR="00A720EB" w:rsidRDefault="0030286B">
            <w:pPr>
              <w:pStyle w:val="TableParagraph"/>
              <w:spacing w:before="37"/>
              <w:rPr>
                <w:sz w:val="21"/>
              </w:rPr>
            </w:pPr>
            <w:proofErr w:type="gramStart"/>
            <w:r>
              <w:rPr>
                <w:color w:val="B02045"/>
                <w:sz w:val="21"/>
              </w:rPr>
              <w:t>org.quartz</w:t>
            </w:r>
            <w:proofErr w:type="gramEnd"/>
            <w:r>
              <w:rPr>
                <w:color w:val="B02045"/>
                <w:sz w:val="21"/>
              </w:rPr>
              <w:t>-scheduler</w:t>
            </w:r>
          </w:p>
        </w:tc>
        <w:tc>
          <w:tcPr>
            <w:tcW w:w="3325" w:type="dxa"/>
          </w:tcPr>
          <w:p w14:paraId="43CA3275" w14:textId="77777777" w:rsidR="00A720EB" w:rsidRDefault="0030286B">
            <w:pPr>
              <w:pStyle w:val="TableParagraph"/>
              <w:spacing w:before="37"/>
              <w:rPr>
                <w:sz w:val="21"/>
              </w:rPr>
            </w:pPr>
            <w:r>
              <w:rPr>
                <w:color w:val="B02045"/>
                <w:sz w:val="21"/>
              </w:rPr>
              <w:t>quartz-jobs</w:t>
            </w:r>
          </w:p>
        </w:tc>
        <w:tc>
          <w:tcPr>
            <w:tcW w:w="3325" w:type="dxa"/>
          </w:tcPr>
          <w:p w14:paraId="3EFE9A6E" w14:textId="77777777" w:rsidR="00A720EB" w:rsidRDefault="0030286B">
            <w:pPr>
              <w:pStyle w:val="TableParagraph"/>
              <w:spacing w:before="37"/>
              <w:rPr>
                <w:sz w:val="21"/>
              </w:rPr>
            </w:pPr>
            <w:r>
              <w:rPr>
                <w:color w:val="B02045"/>
                <w:sz w:val="21"/>
              </w:rPr>
              <w:t>2.3.2</w:t>
            </w:r>
          </w:p>
        </w:tc>
      </w:tr>
      <w:tr w:rsidR="00A720EB" w14:paraId="04FDA4E3" w14:textId="77777777">
        <w:trPr>
          <w:trHeight w:val="368"/>
        </w:trPr>
        <w:tc>
          <w:tcPr>
            <w:tcW w:w="3325" w:type="dxa"/>
          </w:tcPr>
          <w:p w14:paraId="22AB796A" w14:textId="77777777" w:rsidR="00A720EB" w:rsidRDefault="0030286B">
            <w:pPr>
              <w:pStyle w:val="TableParagraph"/>
              <w:rPr>
                <w:sz w:val="21"/>
              </w:rPr>
            </w:pPr>
            <w:proofErr w:type="gramStart"/>
            <w:r>
              <w:rPr>
                <w:color w:val="B02045"/>
                <w:sz w:val="21"/>
              </w:rPr>
              <w:t>org.reactivestreams</w:t>
            </w:r>
            <w:proofErr w:type="gramEnd"/>
          </w:p>
        </w:tc>
        <w:tc>
          <w:tcPr>
            <w:tcW w:w="3325" w:type="dxa"/>
          </w:tcPr>
          <w:p w14:paraId="275D9F71" w14:textId="77777777" w:rsidR="00A720EB" w:rsidRDefault="0030286B">
            <w:pPr>
              <w:pStyle w:val="TableParagraph"/>
              <w:rPr>
                <w:sz w:val="21"/>
              </w:rPr>
            </w:pPr>
            <w:r>
              <w:rPr>
                <w:color w:val="B02045"/>
                <w:sz w:val="21"/>
              </w:rPr>
              <w:t>reactive-streams</w:t>
            </w:r>
          </w:p>
        </w:tc>
        <w:tc>
          <w:tcPr>
            <w:tcW w:w="3325" w:type="dxa"/>
          </w:tcPr>
          <w:p w14:paraId="4DBA73EA" w14:textId="77777777" w:rsidR="00A720EB" w:rsidRDefault="0030286B">
            <w:pPr>
              <w:pStyle w:val="TableParagraph"/>
              <w:rPr>
                <w:sz w:val="21"/>
              </w:rPr>
            </w:pPr>
            <w:r>
              <w:rPr>
                <w:color w:val="B02045"/>
                <w:sz w:val="21"/>
              </w:rPr>
              <w:t>1.0.3</w:t>
            </w:r>
          </w:p>
        </w:tc>
      </w:tr>
      <w:tr w:rsidR="00A720EB" w14:paraId="4AEF4519" w14:textId="77777777">
        <w:trPr>
          <w:trHeight w:val="368"/>
        </w:trPr>
        <w:tc>
          <w:tcPr>
            <w:tcW w:w="3325" w:type="dxa"/>
          </w:tcPr>
          <w:p w14:paraId="11AB59E1" w14:textId="77777777" w:rsidR="00A720EB" w:rsidRDefault="0030286B">
            <w:pPr>
              <w:pStyle w:val="TableParagraph"/>
              <w:rPr>
                <w:sz w:val="21"/>
              </w:rPr>
            </w:pPr>
            <w:proofErr w:type="gramStart"/>
            <w:r>
              <w:rPr>
                <w:color w:val="B02045"/>
                <w:sz w:val="21"/>
              </w:rPr>
              <w:t>org.seleniumhq</w:t>
            </w:r>
            <w:proofErr w:type="gramEnd"/>
            <w:r>
              <w:rPr>
                <w:color w:val="B02045"/>
                <w:sz w:val="21"/>
              </w:rPr>
              <w:t>.selenium</w:t>
            </w:r>
          </w:p>
        </w:tc>
        <w:tc>
          <w:tcPr>
            <w:tcW w:w="3325" w:type="dxa"/>
          </w:tcPr>
          <w:p w14:paraId="75A3D62A" w14:textId="77777777" w:rsidR="00A720EB" w:rsidRDefault="0030286B">
            <w:pPr>
              <w:pStyle w:val="TableParagraph"/>
              <w:rPr>
                <w:sz w:val="21"/>
              </w:rPr>
            </w:pPr>
            <w:r>
              <w:rPr>
                <w:color w:val="B02045"/>
                <w:sz w:val="21"/>
              </w:rPr>
              <w:t>htmlunit-driver</w:t>
            </w:r>
          </w:p>
        </w:tc>
        <w:tc>
          <w:tcPr>
            <w:tcW w:w="3325" w:type="dxa"/>
          </w:tcPr>
          <w:p w14:paraId="295C09C3" w14:textId="77777777" w:rsidR="00A720EB" w:rsidRDefault="0030286B">
            <w:pPr>
              <w:pStyle w:val="TableParagraph"/>
              <w:rPr>
                <w:sz w:val="21"/>
              </w:rPr>
            </w:pPr>
            <w:r>
              <w:rPr>
                <w:color w:val="B02045"/>
                <w:sz w:val="21"/>
              </w:rPr>
              <w:t>2.40.0</w:t>
            </w:r>
          </w:p>
        </w:tc>
      </w:tr>
      <w:tr w:rsidR="00A720EB" w14:paraId="4AF1423E" w14:textId="77777777">
        <w:trPr>
          <w:trHeight w:val="368"/>
        </w:trPr>
        <w:tc>
          <w:tcPr>
            <w:tcW w:w="3325" w:type="dxa"/>
          </w:tcPr>
          <w:p w14:paraId="583A9FF4" w14:textId="77777777" w:rsidR="00A720EB" w:rsidRDefault="0030286B">
            <w:pPr>
              <w:pStyle w:val="TableParagraph"/>
              <w:rPr>
                <w:sz w:val="21"/>
              </w:rPr>
            </w:pPr>
            <w:proofErr w:type="gramStart"/>
            <w:r>
              <w:rPr>
                <w:color w:val="B02045"/>
                <w:sz w:val="21"/>
              </w:rPr>
              <w:t>org.seleniumhq</w:t>
            </w:r>
            <w:proofErr w:type="gramEnd"/>
            <w:r>
              <w:rPr>
                <w:color w:val="B02045"/>
                <w:sz w:val="21"/>
              </w:rPr>
              <w:t>.selenium</w:t>
            </w:r>
          </w:p>
        </w:tc>
        <w:tc>
          <w:tcPr>
            <w:tcW w:w="3325" w:type="dxa"/>
          </w:tcPr>
          <w:p w14:paraId="5C17459B" w14:textId="77777777" w:rsidR="00A720EB" w:rsidRDefault="0030286B">
            <w:pPr>
              <w:pStyle w:val="TableParagraph"/>
              <w:rPr>
                <w:sz w:val="21"/>
              </w:rPr>
            </w:pPr>
            <w:r>
              <w:rPr>
                <w:color w:val="B02045"/>
                <w:sz w:val="21"/>
              </w:rPr>
              <w:t>selenium-api</w:t>
            </w:r>
          </w:p>
        </w:tc>
        <w:tc>
          <w:tcPr>
            <w:tcW w:w="3325" w:type="dxa"/>
          </w:tcPr>
          <w:p w14:paraId="03D62FB7" w14:textId="77777777" w:rsidR="00A720EB" w:rsidRDefault="0030286B">
            <w:pPr>
              <w:pStyle w:val="TableParagraph"/>
              <w:rPr>
                <w:sz w:val="21"/>
              </w:rPr>
            </w:pPr>
            <w:r>
              <w:rPr>
                <w:color w:val="B02045"/>
                <w:sz w:val="21"/>
              </w:rPr>
              <w:t>3.141.59</w:t>
            </w:r>
          </w:p>
        </w:tc>
      </w:tr>
      <w:tr w:rsidR="00A720EB" w14:paraId="740B1AFD" w14:textId="77777777">
        <w:trPr>
          <w:trHeight w:val="368"/>
        </w:trPr>
        <w:tc>
          <w:tcPr>
            <w:tcW w:w="3325" w:type="dxa"/>
          </w:tcPr>
          <w:p w14:paraId="2487184C" w14:textId="77777777" w:rsidR="00A720EB" w:rsidRDefault="0030286B">
            <w:pPr>
              <w:pStyle w:val="TableParagraph"/>
              <w:rPr>
                <w:sz w:val="21"/>
              </w:rPr>
            </w:pPr>
            <w:proofErr w:type="gramStart"/>
            <w:r>
              <w:rPr>
                <w:color w:val="B02045"/>
                <w:sz w:val="21"/>
              </w:rPr>
              <w:t>org.seleniumhq</w:t>
            </w:r>
            <w:proofErr w:type="gramEnd"/>
            <w:r>
              <w:rPr>
                <w:color w:val="B02045"/>
                <w:sz w:val="21"/>
              </w:rPr>
              <w:t>.selenium</w:t>
            </w:r>
          </w:p>
        </w:tc>
        <w:tc>
          <w:tcPr>
            <w:tcW w:w="3325" w:type="dxa"/>
          </w:tcPr>
          <w:p w14:paraId="6DBBD1EE" w14:textId="77777777" w:rsidR="00A720EB" w:rsidRDefault="0030286B">
            <w:pPr>
              <w:pStyle w:val="TableParagraph"/>
              <w:rPr>
                <w:sz w:val="21"/>
              </w:rPr>
            </w:pPr>
            <w:r>
              <w:rPr>
                <w:color w:val="B02045"/>
                <w:sz w:val="21"/>
              </w:rPr>
              <w:t>selenium-chrome-driver</w:t>
            </w:r>
          </w:p>
        </w:tc>
        <w:tc>
          <w:tcPr>
            <w:tcW w:w="3325" w:type="dxa"/>
          </w:tcPr>
          <w:p w14:paraId="59718BC0" w14:textId="77777777" w:rsidR="00A720EB" w:rsidRDefault="0030286B">
            <w:pPr>
              <w:pStyle w:val="TableParagraph"/>
              <w:rPr>
                <w:sz w:val="21"/>
              </w:rPr>
            </w:pPr>
            <w:r>
              <w:rPr>
                <w:color w:val="B02045"/>
                <w:sz w:val="21"/>
              </w:rPr>
              <w:t>3.141.59</w:t>
            </w:r>
          </w:p>
        </w:tc>
      </w:tr>
      <w:tr w:rsidR="00A720EB" w14:paraId="3B7B7B0C" w14:textId="77777777">
        <w:trPr>
          <w:trHeight w:val="368"/>
        </w:trPr>
        <w:tc>
          <w:tcPr>
            <w:tcW w:w="3325" w:type="dxa"/>
          </w:tcPr>
          <w:p w14:paraId="69175EBC" w14:textId="77777777" w:rsidR="00A720EB" w:rsidRDefault="0030286B">
            <w:pPr>
              <w:pStyle w:val="TableParagraph"/>
              <w:spacing w:before="37"/>
              <w:rPr>
                <w:sz w:val="21"/>
              </w:rPr>
            </w:pPr>
            <w:proofErr w:type="gramStart"/>
            <w:r>
              <w:rPr>
                <w:color w:val="B02045"/>
                <w:sz w:val="21"/>
              </w:rPr>
              <w:t>org.seleniumhq</w:t>
            </w:r>
            <w:proofErr w:type="gramEnd"/>
            <w:r>
              <w:rPr>
                <w:color w:val="B02045"/>
                <w:sz w:val="21"/>
              </w:rPr>
              <w:t>.selenium</w:t>
            </w:r>
          </w:p>
        </w:tc>
        <w:tc>
          <w:tcPr>
            <w:tcW w:w="3325" w:type="dxa"/>
          </w:tcPr>
          <w:p w14:paraId="409A31D5" w14:textId="77777777" w:rsidR="00A720EB" w:rsidRDefault="0030286B">
            <w:pPr>
              <w:pStyle w:val="TableParagraph"/>
              <w:spacing w:before="37"/>
              <w:rPr>
                <w:sz w:val="21"/>
              </w:rPr>
            </w:pPr>
            <w:r>
              <w:rPr>
                <w:color w:val="B02045"/>
                <w:sz w:val="21"/>
              </w:rPr>
              <w:t>selenium-edge-driver</w:t>
            </w:r>
          </w:p>
        </w:tc>
        <w:tc>
          <w:tcPr>
            <w:tcW w:w="3325" w:type="dxa"/>
          </w:tcPr>
          <w:p w14:paraId="7676828E" w14:textId="77777777" w:rsidR="00A720EB" w:rsidRDefault="0030286B">
            <w:pPr>
              <w:pStyle w:val="TableParagraph"/>
              <w:spacing w:before="37"/>
              <w:rPr>
                <w:sz w:val="21"/>
              </w:rPr>
            </w:pPr>
            <w:r>
              <w:rPr>
                <w:color w:val="B02045"/>
                <w:sz w:val="21"/>
              </w:rPr>
              <w:t>3.141.59</w:t>
            </w:r>
          </w:p>
        </w:tc>
      </w:tr>
      <w:tr w:rsidR="00A720EB" w14:paraId="1E62239B" w14:textId="77777777">
        <w:trPr>
          <w:trHeight w:val="368"/>
        </w:trPr>
        <w:tc>
          <w:tcPr>
            <w:tcW w:w="3325" w:type="dxa"/>
          </w:tcPr>
          <w:p w14:paraId="0B2C3FC6" w14:textId="77777777" w:rsidR="00A720EB" w:rsidRDefault="0030286B">
            <w:pPr>
              <w:pStyle w:val="TableParagraph"/>
              <w:spacing w:before="37"/>
              <w:rPr>
                <w:sz w:val="21"/>
              </w:rPr>
            </w:pPr>
            <w:proofErr w:type="gramStart"/>
            <w:r>
              <w:rPr>
                <w:color w:val="B02045"/>
                <w:sz w:val="21"/>
              </w:rPr>
              <w:t>org.seleniumhq</w:t>
            </w:r>
            <w:proofErr w:type="gramEnd"/>
            <w:r>
              <w:rPr>
                <w:color w:val="B02045"/>
                <w:sz w:val="21"/>
              </w:rPr>
              <w:t>.selenium</w:t>
            </w:r>
          </w:p>
        </w:tc>
        <w:tc>
          <w:tcPr>
            <w:tcW w:w="3325" w:type="dxa"/>
          </w:tcPr>
          <w:p w14:paraId="3B973C30" w14:textId="77777777" w:rsidR="00A720EB" w:rsidRDefault="0030286B">
            <w:pPr>
              <w:pStyle w:val="TableParagraph"/>
              <w:spacing w:before="37"/>
              <w:rPr>
                <w:sz w:val="21"/>
              </w:rPr>
            </w:pPr>
            <w:r>
              <w:rPr>
                <w:color w:val="B02045"/>
                <w:sz w:val="21"/>
              </w:rPr>
              <w:t>selenium-firefox-driver</w:t>
            </w:r>
          </w:p>
        </w:tc>
        <w:tc>
          <w:tcPr>
            <w:tcW w:w="3325" w:type="dxa"/>
          </w:tcPr>
          <w:p w14:paraId="33ECCC30" w14:textId="77777777" w:rsidR="00A720EB" w:rsidRDefault="0030286B">
            <w:pPr>
              <w:pStyle w:val="TableParagraph"/>
              <w:spacing w:before="37"/>
              <w:rPr>
                <w:sz w:val="21"/>
              </w:rPr>
            </w:pPr>
            <w:r>
              <w:rPr>
                <w:color w:val="B02045"/>
                <w:sz w:val="21"/>
              </w:rPr>
              <w:t>3.141.59</w:t>
            </w:r>
          </w:p>
        </w:tc>
      </w:tr>
      <w:tr w:rsidR="00A720EB" w14:paraId="5BDAB795" w14:textId="77777777">
        <w:trPr>
          <w:trHeight w:val="368"/>
        </w:trPr>
        <w:tc>
          <w:tcPr>
            <w:tcW w:w="3325" w:type="dxa"/>
          </w:tcPr>
          <w:p w14:paraId="35FCC6CD" w14:textId="77777777" w:rsidR="00A720EB" w:rsidRDefault="0030286B">
            <w:pPr>
              <w:pStyle w:val="TableParagraph"/>
              <w:spacing w:before="37"/>
              <w:rPr>
                <w:sz w:val="21"/>
              </w:rPr>
            </w:pPr>
            <w:proofErr w:type="gramStart"/>
            <w:r>
              <w:rPr>
                <w:color w:val="B02045"/>
                <w:sz w:val="21"/>
              </w:rPr>
              <w:t>org.seleniumhq</w:t>
            </w:r>
            <w:proofErr w:type="gramEnd"/>
            <w:r>
              <w:rPr>
                <w:color w:val="B02045"/>
                <w:sz w:val="21"/>
              </w:rPr>
              <w:t>.selenium</w:t>
            </w:r>
          </w:p>
        </w:tc>
        <w:tc>
          <w:tcPr>
            <w:tcW w:w="3325" w:type="dxa"/>
          </w:tcPr>
          <w:p w14:paraId="3D6389FA" w14:textId="77777777" w:rsidR="00A720EB" w:rsidRDefault="0030286B">
            <w:pPr>
              <w:pStyle w:val="TableParagraph"/>
              <w:spacing w:before="37"/>
              <w:rPr>
                <w:sz w:val="21"/>
              </w:rPr>
            </w:pPr>
            <w:r>
              <w:rPr>
                <w:color w:val="B02045"/>
                <w:sz w:val="21"/>
              </w:rPr>
              <w:t>selenium-ie-driver</w:t>
            </w:r>
          </w:p>
        </w:tc>
        <w:tc>
          <w:tcPr>
            <w:tcW w:w="3325" w:type="dxa"/>
          </w:tcPr>
          <w:p w14:paraId="2EB11E0D" w14:textId="77777777" w:rsidR="00A720EB" w:rsidRDefault="0030286B">
            <w:pPr>
              <w:pStyle w:val="TableParagraph"/>
              <w:spacing w:before="37"/>
              <w:rPr>
                <w:sz w:val="21"/>
              </w:rPr>
            </w:pPr>
            <w:r>
              <w:rPr>
                <w:color w:val="B02045"/>
                <w:sz w:val="21"/>
              </w:rPr>
              <w:t>3.141.59</w:t>
            </w:r>
          </w:p>
        </w:tc>
      </w:tr>
      <w:tr w:rsidR="00A720EB" w14:paraId="71D063FB" w14:textId="77777777">
        <w:trPr>
          <w:trHeight w:val="368"/>
        </w:trPr>
        <w:tc>
          <w:tcPr>
            <w:tcW w:w="3325" w:type="dxa"/>
          </w:tcPr>
          <w:p w14:paraId="70C1A751" w14:textId="77777777" w:rsidR="00A720EB" w:rsidRDefault="0030286B">
            <w:pPr>
              <w:pStyle w:val="TableParagraph"/>
              <w:spacing w:before="37"/>
              <w:rPr>
                <w:sz w:val="21"/>
              </w:rPr>
            </w:pPr>
            <w:proofErr w:type="gramStart"/>
            <w:r>
              <w:rPr>
                <w:color w:val="B02045"/>
                <w:sz w:val="21"/>
              </w:rPr>
              <w:t>org.seleniumhq</w:t>
            </w:r>
            <w:proofErr w:type="gramEnd"/>
            <w:r>
              <w:rPr>
                <w:color w:val="B02045"/>
                <w:sz w:val="21"/>
              </w:rPr>
              <w:t>.selenium</w:t>
            </w:r>
          </w:p>
        </w:tc>
        <w:tc>
          <w:tcPr>
            <w:tcW w:w="3325" w:type="dxa"/>
          </w:tcPr>
          <w:p w14:paraId="503CC69C" w14:textId="77777777" w:rsidR="00A720EB" w:rsidRDefault="0030286B">
            <w:pPr>
              <w:pStyle w:val="TableParagraph"/>
              <w:spacing w:before="37"/>
              <w:rPr>
                <w:sz w:val="21"/>
              </w:rPr>
            </w:pPr>
            <w:r>
              <w:rPr>
                <w:color w:val="B02045"/>
                <w:sz w:val="21"/>
              </w:rPr>
              <w:t>selenium-java</w:t>
            </w:r>
          </w:p>
        </w:tc>
        <w:tc>
          <w:tcPr>
            <w:tcW w:w="3325" w:type="dxa"/>
          </w:tcPr>
          <w:p w14:paraId="469C35FF" w14:textId="77777777" w:rsidR="00A720EB" w:rsidRDefault="0030286B">
            <w:pPr>
              <w:pStyle w:val="TableParagraph"/>
              <w:spacing w:before="37"/>
              <w:rPr>
                <w:sz w:val="21"/>
              </w:rPr>
            </w:pPr>
            <w:r>
              <w:rPr>
                <w:color w:val="B02045"/>
                <w:sz w:val="21"/>
              </w:rPr>
              <w:t>3.141.59</w:t>
            </w:r>
          </w:p>
        </w:tc>
      </w:tr>
      <w:tr w:rsidR="00A720EB" w14:paraId="0BE51F56" w14:textId="77777777">
        <w:trPr>
          <w:trHeight w:val="368"/>
        </w:trPr>
        <w:tc>
          <w:tcPr>
            <w:tcW w:w="3325" w:type="dxa"/>
          </w:tcPr>
          <w:p w14:paraId="6298870C" w14:textId="77777777" w:rsidR="00A720EB" w:rsidRDefault="0030286B">
            <w:pPr>
              <w:pStyle w:val="TableParagraph"/>
              <w:rPr>
                <w:sz w:val="21"/>
              </w:rPr>
            </w:pPr>
            <w:proofErr w:type="gramStart"/>
            <w:r>
              <w:rPr>
                <w:color w:val="B02045"/>
                <w:sz w:val="21"/>
              </w:rPr>
              <w:t>org.seleniumhq</w:t>
            </w:r>
            <w:proofErr w:type="gramEnd"/>
            <w:r>
              <w:rPr>
                <w:color w:val="B02045"/>
                <w:sz w:val="21"/>
              </w:rPr>
              <w:t>.selenium</w:t>
            </w:r>
          </w:p>
        </w:tc>
        <w:tc>
          <w:tcPr>
            <w:tcW w:w="3325" w:type="dxa"/>
          </w:tcPr>
          <w:p w14:paraId="1081C2BC" w14:textId="77777777" w:rsidR="00A720EB" w:rsidRDefault="0030286B">
            <w:pPr>
              <w:pStyle w:val="TableParagraph"/>
              <w:rPr>
                <w:sz w:val="21"/>
              </w:rPr>
            </w:pPr>
            <w:r>
              <w:rPr>
                <w:color w:val="B02045"/>
                <w:sz w:val="21"/>
              </w:rPr>
              <w:t>selenium-opera-driver</w:t>
            </w:r>
          </w:p>
        </w:tc>
        <w:tc>
          <w:tcPr>
            <w:tcW w:w="3325" w:type="dxa"/>
          </w:tcPr>
          <w:p w14:paraId="5D1864EF" w14:textId="77777777" w:rsidR="00A720EB" w:rsidRDefault="0030286B">
            <w:pPr>
              <w:pStyle w:val="TableParagraph"/>
              <w:rPr>
                <w:sz w:val="21"/>
              </w:rPr>
            </w:pPr>
            <w:r>
              <w:rPr>
                <w:color w:val="B02045"/>
                <w:sz w:val="21"/>
              </w:rPr>
              <w:t>3.141.59</w:t>
            </w:r>
          </w:p>
        </w:tc>
      </w:tr>
      <w:tr w:rsidR="00A720EB" w14:paraId="5CF04A3D" w14:textId="77777777">
        <w:trPr>
          <w:trHeight w:val="368"/>
        </w:trPr>
        <w:tc>
          <w:tcPr>
            <w:tcW w:w="3325" w:type="dxa"/>
          </w:tcPr>
          <w:p w14:paraId="6FEFD90A" w14:textId="77777777" w:rsidR="00A720EB" w:rsidRDefault="0030286B">
            <w:pPr>
              <w:pStyle w:val="TableParagraph"/>
              <w:rPr>
                <w:sz w:val="21"/>
              </w:rPr>
            </w:pPr>
            <w:proofErr w:type="gramStart"/>
            <w:r>
              <w:rPr>
                <w:color w:val="B02045"/>
                <w:sz w:val="21"/>
              </w:rPr>
              <w:t>org.seleniumhq</w:t>
            </w:r>
            <w:proofErr w:type="gramEnd"/>
            <w:r>
              <w:rPr>
                <w:color w:val="B02045"/>
                <w:sz w:val="21"/>
              </w:rPr>
              <w:t>.selenium</w:t>
            </w:r>
          </w:p>
        </w:tc>
        <w:tc>
          <w:tcPr>
            <w:tcW w:w="3325" w:type="dxa"/>
          </w:tcPr>
          <w:p w14:paraId="5F665AAE" w14:textId="77777777" w:rsidR="00A720EB" w:rsidRDefault="0030286B">
            <w:pPr>
              <w:pStyle w:val="TableParagraph"/>
              <w:rPr>
                <w:sz w:val="21"/>
              </w:rPr>
            </w:pPr>
            <w:r>
              <w:rPr>
                <w:color w:val="B02045"/>
                <w:sz w:val="21"/>
              </w:rPr>
              <w:t>selenium-remote-driver</w:t>
            </w:r>
          </w:p>
        </w:tc>
        <w:tc>
          <w:tcPr>
            <w:tcW w:w="3325" w:type="dxa"/>
          </w:tcPr>
          <w:p w14:paraId="74B19D66" w14:textId="77777777" w:rsidR="00A720EB" w:rsidRDefault="0030286B">
            <w:pPr>
              <w:pStyle w:val="TableParagraph"/>
              <w:rPr>
                <w:sz w:val="21"/>
              </w:rPr>
            </w:pPr>
            <w:r>
              <w:rPr>
                <w:color w:val="B02045"/>
                <w:sz w:val="21"/>
              </w:rPr>
              <w:t>3.141.59</w:t>
            </w:r>
          </w:p>
        </w:tc>
      </w:tr>
      <w:tr w:rsidR="00A720EB" w14:paraId="05A6001A" w14:textId="77777777">
        <w:trPr>
          <w:trHeight w:val="368"/>
        </w:trPr>
        <w:tc>
          <w:tcPr>
            <w:tcW w:w="3325" w:type="dxa"/>
          </w:tcPr>
          <w:p w14:paraId="095CED7D" w14:textId="77777777" w:rsidR="00A720EB" w:rsidRDefault="0030286B">
            <w:pPr>
              <w:pStyle w:val="TableParagraph"/>
              <w:rPr>
                <w:sz w:val="21"/>
              </w:rPr>
            </w:pPr>
            <w:proofErr w:type="gramStart"/>
            <w:r>
              <w:rPr>
                <w:color w:val="B02045"/>
                <w:sz w:val="21"/>
              </w:rPr>
              <w:t>org.seleniumhq</w:t>
            </w:r>
            <w:proofErr w:type="gramEnd"/>
            <w:r>
              <w:rPr>
                <w:color w:val="B02045"/>
                <w:sz w:val="21"/>
              </w:rPr>
              <w:t>.selenium</w:t>
            </w:r>
          </w:p>
        </w:tc>
        <w:tc>
          <w:tcPr>
            <w:tcW w:w="3325" w:type="dxa"/>
          </w:tcPr>
          <w:p w14:paraId="4D0F9A65" w14:textId="77777777" w:rsidR="00A720EB" w:rsidRDefault="0030286B">
            <w:pPr>
              <w:pStyle w:val="TableParagraph"/>
              <w:rPr>
                <w:sz w:val="21"/>
              </w:rPr>
            </w:pPr>
            <w:r>
              <w:rPr>
                <w:color w:val="B02045"/>
                <w:sz w:val="21"/>
              </w:rPr>
              <w:t>selenium-safari-driver</w:t>
            </w:r>
          </w:p>
        </w:tc>
        <w:tc>
          <w:tcPr>
            <w:tcW w:w="3325" w:type="dxa"/>
          </w:tcPr>
          <w:p w14:paraId="6AA2E131" w14:textId="77777777" w:rsidR="00A720EB" w:rsidRDefault="0030286B">
            <w:pPr>
              <w:pStyle w:val="TableParagraph"/>
              <w:rPr>
                <w:sz w:val="21"/>
              </w:rPr>
            </w:pPr>
            <w:r>
              <w:rPr>
                <w:color w:val="B02045"/>
                <w:sz w:val="21"/>
              </w:rPr>
              <w:t>3.141.59</w:t>
            </w:r>
          </w:p>
        </w:tc>
      </w:tr>
      <w:tr w:rsidR="00A720EB" w14:paraId="0EB42391" w14:textId="77777777">
        <w:trPr>
          <w:trHeight w:val="368"/>
        </w:trPr>
        <w:tc>
          <w:tcPr>
            <w:tcW w:w="3325" w:type="dxa"/>
          </w:tcPr>
          <w:p w14:paraId="4C5E9D1E" w14:textId="77777777" w:rsidR="00A720EB" w:rsidRDefault="0030286B">
            <w:pPr>
              <w:pStyle w:val="TableParagraph"/>
              <w:spacing w:before="37"/>
              <w:rPr>
                <w:sz w:val="21"/>
              </w:rPr>
            </w:pPr>
            <w:proofErr w:type="gramStart"/>
            <w:r>
              <w:rPr>
                <w:color w:val="B02045"/>
                <w:sz w:val="21"/>
              </w:rPr>
              <w:t>org.seleniumhq</w:t>
            </w:r>
            <w:proofErr w:type="gramEnd"/>
            <w:r>
              <w:rPr>
                <w:color w:val="B02045"/>
                <w:sz w:val="21"/>
              </w:rPr>
              <w:t>.selenium</w:t>
            </w:r>
          </w:p>
        </w:tc>
        <w:tc>
          <w:tcPr>
            <w:tcW w:w="3325" w:type="dxa"/>
          </w:tcPr>
          <w:p w14:paraId="64BE6029" w14:textId="77777777" w:rsidR="00A720EB" w:rsidRDefault="0030286B">
            <w:pPr>
              <w:pStyle w:val="TableParagraph"/>
              <w:spacing w:before="37"/>
              <w:rPr>
                <w:sz w:val="21"/>
              </w:rPr>
            </w:pPr>
            <w:r>
              <w:rPr>
                <w:color w:val="B02045"/>
                <w:sz w:val="21"/>
              </w:rPr>
              <w:t>selenium-support</w:t>
            </w:r>
          </w:p>
        </w:tc>
        <w:tc>
          <w:tcPr>
            <w:tcW w:w="3325" w:type="dxa"/>
          </w:tcPr>
          <w:p w14:paraId="767C040B" w14:textId="77777777" w:rsidR="00A720EB" w:rsidRDefault="0030286B">
            <w:pPr>
              <w:pStyle w:val="TableParagraph"/>
              <w:spacing w:before="37"/>
              <w:rPr>
                <w:sz w:val="21"/>
              </w:rPr>
            </w:pPr>
            <w:r>
              <w:rPr>
                <w:color w:val="B02045"/>
                <w:sz w:val="21"/>
              </w:rPr>
              <w:t>3.141.59</w:t>
            </w:r>
          </w:p>
        </w:tc>
      </w:tr>
      <w:tr w:rsidR="00A720EB" w14:paraId="7C516075" w14:textId="77777777">
        <w:trPr>
          <w:trHeight w:val="368"/>
        </w:trPr>
        <w:tc>
          <w:tcPr>
            <w:tcW w:w="3325" w:type="dxa"/>
          </w:tcPr>
          <w:p w14:paraId="2FC53809" w14:textId="77777777" w:rsidR="00A720EB" w:rsidRDefault="0030286B">
            <w:pPr>
              <w:pStyle w:val="TableParagraph"/>
              <w:rPr>
                <w:sz w:val="21"/>
              </w:rPr>
            </w:pPr>
            <w:proofErr w:type="gramStart"/>
            <w:r>
              <w:rPr>
                <w:color w:val="B02045"/>
                <w:sz w:val="21"/>
              </w:rPr>
              <w:t>org.skyscreamer</w:t>
            </w:r>
            <w:proofErr w:type="gramEnd"/>
          </w:p>
        </w:tc>
        <w:tc>
          <w:tcPr>
            <w:tcW w:w="3325" w:type="dxa"/>
          </w:tcPr>
          <w:p w14:paraId="3C037A40" w14:textId="77777777" w:rsidR="00A720EB" w:rsidRDefault="0030286B">
            <w:pPr>
              <w:pStyle w:val="TableParagraph"/>
              <w:rPr>
                <w:sz w:val="21"/>
              </w:rPr>
            </w:pPr>
            <w:r>
              <w:rPr>
                <w:color w:val="B02045"/>
                <w:sz w:val="21"/>
              </w:rPr>
              <w:t>jsonassert</w:t>
            </w:r>
          </w:p>
        </w:tc>
        <w:tc>
          <w:tcPr>
            <w:tcW w:w="3325" w:type="dxa"/>
          </w:tcPr>
          <w:p w14:paraId="6C75BFF1" w14:textId="77777777" w:rsidR="00A720EB" w:rsidRDefault="0030286B">
            <w:pPr>
              <w:pStyle w:val="TableParagraph"/>
              <w:rPr>
                <w:sz w:val="21"/>
              </w:rPr>
            </w:pPr>
            <w:r>
              <w:rPr>
                <w:color w:val="B02045"/>
                <w:sz w:val="21"/>
              </w:rPr>
              <w:t>1.5.0</w:t>
            </w:r>
          </w:p>
        </w:tc>
      </w:tr>
      <w:tr w:rsidR="00A720EB" w14:paraId="3FC7E51E" w14:textId="77777777">
        <w:trPr>
          <w:trHeight w:val="368"/>
        </w:trPr>
        <w:tc>
          <w:tcPr>
            <w:tcW w:w="3325" w:type="dxa"/>
          </w:tcPr>
          <w:p w14:paraId="58EE5586" w14:textId="77777777" w:rsidR="00A720EB" w:rsidRDefault="0030286B">
            <w:pPr>
              <w:pStyle w:val="TableParagraph"/>
              <w:rPr>
                <w:sz w:val="21"/>
              </w:rPr>
            </w:pPr>
            <w:proofErr w:type="gramStart"/>
            <w:r>
              <w:rPr>
                <w:color w:val="B02045"/>
                <w:sz w:val="21"/>
              </w:rPr>
              <w:t>org.slf</w:t>
            </w:r>
            <w:proofErr w:type="gramEnd"/>
            <w:r>
              <w:rPr>
                <w:color w:val="B02045"/>
                <w:sz w:val="21"/>
              </w:rPr>
              <w:t>4j</w:t>
            </w:r>
          </w:p>
        </w:tc>
        <w:tc>
          <w:tcPr>
            <w:tcW w:w="3325" w:type="dxa"/>
          </w:tcPr>
          <w:p w14:paraId="4A53DA9C" w14:textId="77777777" w:rsidR="00A720EB" w:rsidRDefault="0030286B">
            <w:pPr>
              <w:pStyle w:val="TableParagraph"/>
              <w:rPr>
                <w:sz w:val="21"/>
              </w:rPr>
            </w:pPr>
            <w:r>
              <w:rPr>
                <w:color w:val="B02045"/>
                <w:sz w:val="21"/>
              </w:rPr>
              <w:t>jcl-over-slf4j</w:t>
            </w:r>
          </w:p>
        </w:tc>
        <w:tc>
          <w:tcPr>
            <w:tcW w:w="3325" w:type="dxa"/>
          </w:tcPr>
          <w:p w14:paraId="0DF65FDA" w14:textId="77777777" w:rsidR="00A720EB" w:rsidRDefault="0030286B">
            <w:pPr>
              <w:pStyle w:val="TableParagraph"/>
              <w:rPr>
                <w:sz w:val="21"/>
              </w:rPr>
            </w:pPr>
            <w:r>
              <w:rPr>
                <w:color w:val="B02045"/>
                <w:sz w:val="21"/>
              </w:rPr>
              <w:t>1.7.30</w:t>
            </w:r>
          </w:p>
        </w:tc>
      </w:tr>
      <w:tr w:rsidR="00A720EB" w14:paraId="7AB952F6" w14:textId="77777777">
        <w:trPr>
          <w:trHeight w:val="368"/>
        </w:trPr>
        <w:tc>
          <w:tcPr>
            <w:tcW w:w="3325" w:type="dxa"/>
          </w:tcPr>
          <w:p w14:paraId="72AD8F34" w14:textId="77777777" w:rsidR="00A720EB" w:rsidRDefault="0030286B">
            <w:pPr>
              <w:pStyle w:val="TableParagraph"/>
              <w:spacing w:before="37"/>
              <w:rPr>
                <w:sz w:val="21"/>
              </w:rPr>
            </w:pPr>
            <w:proofErr w:type="gramStart"/>
            <w:r>
              <w:rPr>
                <w:color w:val="B02045"/>
                <w:sz w:val="21"/>
              </w:rPr>
              <w:t>org.slf</w:t>
            </w:r>
            <w:proofErr w:type="gramEnd"/>
            <w:r>
              <w:rPr>
                <w:color w:val="B02045"/>
                <w:sz w:val="21"/>
              </w:rPr>
              <w:t>4j</w:t>
            </w:r>
          </w:p>
        </w:tc>
        <w:tc>
          <w:tcPr>
            <w:tcW w:w="3325" w:type="dxa"/>
          </w:tcPr>
          <w:p w14:paraId="075BBFE5" w14:textId="77777777" w:rsidR="00A720EB" w:rsidRDefault="0030286B">
            <w:pPr>
              <w:pStyle w:val="TableParagraph"/>
              <w:spacing w:before="37"/>
              <w:rPr>
                <w:sz w:val="21"/>
              </w:rPr>
            </w:pPr>
            <w:r>
              <w:rPr>
                <w:color w:val="B02045"/>
                <w:sz w:val="21"/>
              </w:rPr>
              <w:t>jul-to-slf4j</w:t>
            </w:r>
          </w:p>
        </w:tc>
        <w:tc>
          <w:tcPr>
            <w:tcW w:w="3325" w:type="dxa"/>
          </w:tcPr>
          <w:p w14:paraId="65DD6D5C" w14:textId="77777777" w:rsidR="00A720EB" w:rsidRDefault="0030286B">
            <w:pPr>
              <w:pStyle w:val="TableParagraph"/>
              <w:spacing w:before="37"/>
              <w:rPr>
                <w:sz w:val="21"/>
              </w:rPr>
            </w:pPr>
            <w:r>
              <w:rPr>
                <w:color w:val="B02045"/>
                <w:sz w:val="21"/>
              </w:rPr>
              <w:t>1.7.30</w:t>
            </w:r>
          </w:p>
        </w:tc>
      </w:tr>
      <w:tr w:rsidR="00A720EB" w14:paraId="1152C919" w14:textId="77777777">
        <w:trPr>
          <w:trHeight w:val="368"/>
        </w:trPr>
        <w:tc>
          <w:tcPr>
            <w:tcW w:w="3325" w:type="dxa"/>
          </w:tcPr>
          <w:p w14:paraId="32B0A0D4" w14:textId="77777777" w:rsidR="00A720EB" w:rsidRDefault="0030286B">
            <w:pPr>
              <w:pStyle w:val="TableParagraph"/>
              <w:spacing w:before="37"/>
              <w:rPr>
                <w:sz w:val="21"/>
              </w:rPr>
            </w:pPr>
            <w:proofErr w:type="gramStart"/>
            <w:r>
              <w:rPr>
                <w:color w:val="B02045"/>
                <w:sz w:val="21"/>
              </w:rPr>
              <w:t>org.slf</w:t>
            </w:r>
            <w:proofErr w:type="gramEnd"/>
            <w:r>
              <w:rPr>
                <w:color w:val="B02045"/>
                <w:sz w:val="21"/>
              </w:rPr>
              <w:t>4j</w:t>
            </w:r>
          </w:p>
        </w:tc>
        <w:tc>
          <w:tcPr>
            <w:tcW w:w="3325" w:type="dxa"/>
          </w:tcPr>
          <w:p w14:paraId="3D16A96D" w14:textId="77777777" w:rsidR="00A720EB" w:rsidRDefault="0030286B">
            <w:pPr>
              <w:pStyle w:val="TableParagraph"/>
              <w:spacing w:before="37"/>
              <w:rPr>
                <w:sz w:val="21"/>
              </w:rPr>
            </w:pPr>
            <w:r>
              <w:rPr>
                <w:color w:val="B02045"/>
                <w:sz w:val="21"/>
              </w:rPr>
              <w:t>log4j-over-slf4j</w:t>
            </w:r>
          </w:p>
        </w:tc>
        <w:tc>
          <w:tcPr>
            <w:tcW w:w="3325" w:type="dxa"/>
          </w:tcPr>
          <w:p w14:paraId="296E8E38" w14:textId="77777777" w:rsidR="00A720EB" w:rsidRDefault="0030286B">
            <w:pPr>
              <w:pStyle w:val="TableParagraph"/>
              <w:spacing w:before="37"/>
              <w:rPr>
                <w:sz w:val="21"/>
              </w:rPr>
            </w:pPr>
            <w:r>
              <w:rPr>
                <w:color w:val="B02045"/>
                <w:sz w:val="21"/>
              </w:rPr>
              <w:t>1.7.30</w:t>
            </w:r>
          </w:p>
        </w:tc>
      </w:tr>
      <w:tr w:rsidR="00A720EB" w14:paraId="48B5EF75" w14:textId="77777777">
        <w:trPr>
          <w:trHeight w:val="368"/>
        </w:trPr>
        <w:tc>
          <w:tcPr>
            <w:tcW w:w="3325" w:type="dxa"/>
          </w:tcPr>
          <w:p w14:paraId="2FF973E3" w14:textId="77777777" w:rsidR="00A720EB" w:rsidRDefault="0030286B">
            <w:pPr>
              <w:pStyle w:val="TableParagraph"/>
              <w:spacing w:before="37"/>
              <w:rPr>
                <w:sz w:val="21"/>
              </w:rPr>
            </w:pPr>
            <w:proofErr w:type="gramStart"/>
            <w:r>
              <w:rPr>
                <w:color w:val="B02045"/>
                <w:sz w:val="21"/>
              </w:rPr>
              <w:t>org.slf</w:t>
            </w:r>
            <w:proofErr w:type="gramEnd"/>
            <w:r>
              <w:rPr>
                <w:color w:val="B02045"/>
                <w:sz w:val="21"/>
              </w:rPr>
              <w:t>4j</w:t>
            </w:r>
          </w:p>
        </w:tc>
        <w:tc>
          <w:tcPr>
            <w:tcW w:w="3325" w:type="dxa"/>
          </w:tcPr>
          <w:p w14:paraId="0FDFA0F6" w14:textId="77777777" w:rsidR="00A720EB" w:rsidRDefault="0030286B">
            <w:pPr>
              <w:pStyle w:val="TableParagraph"/>
              <w:spacing w:before="37"/>
              <w:rPr>
                <w:sz w:val="21"/>
              </w:rPr>
            </w:pPr>
            <w:r>
              <w:rPr>
                <w:color w:val="B02045"/>
                <w:sz w:val="21"/>
              </w:rPr>
              <w:t>slf4j-api</w:t>
            </w:r>
          </w:p>
        </w:tc>
        <w:tc>
          <w:tcPr>
            <w:tcW w:w="3325" w:type="dxa"/>
          </w:tcPr>
          <w:p w14:paraId="112EBA83" w14:textId="77777777" w:rsidR="00A720EB" w:rsidRDefault="0030286B">
            <w:pPr>
              <w:pStyle w:val="TableParagraph"/>
              <w:spacing w:before="37"/>
              <w:rPr>
                <w:sz w:val="21"/>
              </w:rPr>
            </w:pPr>
            <w:r>
              <w:rPr>
                <w:color w:val="B02045"/>
                <w:sz w:val="21"/>
              </w:rPr>
              <w:t>1.7.30</w:t>
            </w:r>
          </w:p>
        </w:tc>
      </w:tr>
      <w:tr w:rsidR="00A720EB" w14:paraId="15CC03E8" w14:textId="77777777">
        <w:trPr>
          <w:trHeight w:val="368"/>
        </w:trPr>
        <w:tc>
          <w:tcPr>
            <w:tcW w:w="3325" w:type="dxa"/>
          </w:tcPr>
          <w:p w14:paraId="06B03A5E" w14:textId="77777777" w:rsidR="00A720EB" w:rsidRDefault="0030286B">
            <w:pPr>
              <w:pStyle w:val="TableParagraph"/>
              <w:rPr>
                <w:sz w:val="21"/>
              </w:rPr>
            </w:pPr>
            <w:proofErr w:type="gramStart"/>
            <w:r>
              <w:rPr>
                <w:color w:val="B02045"/>
                <w:sz w:val="21"/>
              </w:rPr>
              <w:t>org.slf</w:t>
            </w:r>
            <w:proofErr w:type="gramEnd"/>
            <w:r>
              <w:rPr>
                <w:color w:val="B02045"/>
                <w:sz w:val="21"/>
              </w:rPr>
              <w:t>4j</w:t>
            </w:r>
          </w:p>
        </w:tc>
        <w:tc>
          <w:tcPr>
            <w:tcW w:w="3325" w:type="dxa"/>
          </w:tcPr>
          <w:p w14:paraId="31BBD9FA" w14:textId="77777777" w:rsidR="00A720EB" w:rsidRDefault="0030286B">
            <w:pPr>
              <w:pStyle w:val="TableParagraph"/>
              <w:rPr>
                <w:sz w:val="21"/>
              </w:rPr>
            </w:pPr>
            <w:r>
              <w:rPr>
                <w:color w:val="B02045"/>
                <w:sz w:val="21"/>
              </w:rPr>
              <w:t>slf4j-ext</w:t>
            </w:r>
          </w:p>
        </w:tc>
        <w:tc>
          <w:tcPr>
            <w:tcW w:w="3325" w:type="dxa"/>
          </w:tcPr>
          <w:p w14:paraId="0EA61DA5" w14:textId="77777777" w:rsidR="00A720EB" w:rsidRDefault="0030286B">
            <w:pPr>
              <w:pStyle w:val="TableParagraph"/>
              <w:rPr>
                <w:sz w:val="21"/>
              </w:rPr>
            </w:pPr>
            <w:r>
              <w:rPr>
                <w:color w:val="B02045"/>
                <w:sz w:val="21"/>
              </w:rPr>
              <w:t>1.7.30</w:t>
            </w:r>
          </w:p>
        </w:tc>
      </w:tr>
      <w:tr w:rsidR="00A720EB" w14:paraId="2FF4F77A" w14:textId="77777777">
        <w:trPr>
          <w:trHeight w:val="368"/>
        </w:trPr>
        <w:tc>
          <w:tcPr>
            <w:tcW w:w="3325" w:type="dxa"/>
          </w:tcPr>
          <w:p w14:paraId="4EBEA144" w14:textId="77777777" w:rsidR="00A720EB" w:rsidRDefault="0030286B">
            <w:pPr>
              <w:pStyle w:val="TableParagraph"/>
              <w:rPr>
                <w:sz w:val="21"/>
              </w:rPr>
            </w:pPr>
            <w:proofErr w:type="gramStart"/>
            <w:r>
              <w:rPr>
                <w:color w:val="B02045"/>
                <w:sz w:val="21"/>
              </w:rPr>
              <w:t>org.slf</w:t>
            </w:r>
            <w:proofErr w:type="gramEnd"/>
            <w:r>
              <w:rPr>
                <w:color w:val="B02045"/>
                <w:sz w:val="21"/>
              </w:rPr>
              <w:t>4j</w:t>
            </w:r>
          </w:p>
        </w:tc>
        <w:tc>
          <w:tcPr>
            <w:tcW w:w="3325" w:type="dxa"/>
          </w:tcPr>
          <w:p w14:paraId="023D7A36" w14:textId="77777777" w:rsidR="00A720EB" w:rsidRDefault="0030286B">
            <w:pPr>
              <w:pStyle w:val="TableParagraph"/>
              <w:rPr>
                <w:sz w:val="21"/>
              </w:rPr>
            </w:pPr>
            <w:r>
              <w:rPr>
                <w:color w:val="B02045"/>
                <w:sz w:val="21"/>
              </w:rPr>
              <w:t>slf4j-jcl</w:t>
            </w:r>
          </w:p>
        </w:tc>
        <w:tc>
          <w:tcPr>
            <w:tcW w:w="3325" w:type="dxa"/>
          </w:tcPr>
          <w:p w14:paraId="0B860831" w14:textId="77777777" w:rsidR="00A720EB" w:rsidRDefault="0030286B">
            <w:pPr>
              <w:pStyle w:val="TableParagraph"/>
              <w:rPr>
                <w:sz w:val="21"/>
              </w:rPr>
            </w:pPr>
            <w:r>
              <w:rPr>
                <w:color w:val="B02045"/>
                <w:sz w:val="21"/>
              </w:rPr>
              <w:t>1.7.30</w:t>
            </w:r>
          </w:p>
        </w:tc>
      </w:tr>
      <w:tr w:rsidR="00A720EB" w14:paraId="2EA47AB9" w14:textId="77777777">
        <w:trPr>
          <w:trHeight w:val="368"/>
        </w:trPr>
        <w:tc>
          <w:tcPr>
            <w:tcW w:w="3325" w:type="dxa"/>
          </w:tcPr>
          <w:p w14:paraId="63C6CC37" w14:textId="77777777" w:rsidR="00A720EB" w:rsidRDefault="0030286B">
            <w:pPr>
              <w:pStyle w:val="TableParagraph"/>
              <w:spacing w:before="37"/>
              <w:rPr>
                <w:sz w:val="21"/>
              </w:rPr>
            </w:pPr>
            <w:proofErr w:type="gramStart"/>
            <w:r>
              <w:rPr>
                <w:color w:val="B02045"/>
                <w:sz w:val="21"/>
              </w:rPr>
              <w:t>org.slf</w:t>
            </w:r>
            <w:proofErr w:type="gramEnd"/>
            <w:r>
              <w:rPr>
                <w:color w:val="B02045"/>
                <w:sz w:val="21"/>
              </w:rPr>
              <w:t>4j</w:t>
            </w:r>
          </w:p>
        </w:tc>
        <w:tc>
          <w:tcPr>
            <w:tcW w:w="3325" w:type="dxa"/>
          </w:tcPr>
          <w:p w14:paraId="5C9540D1" w14:textId="77777777" w:rsidR="00A720EB" w:rsidRDefault="0030286B">
            <w:pPr>
              <w:pStyle w:val="TableParagraph"/>
              <w:spacing w:before="37"/>
              <w:rPr>
                <w:sz w:val="21"/>
              </w:rPr>
            </w:pPr>
            <w:r>
              <w:rPr>
                <w:color w:val="B02045"/>
                <w:sz w:val="21"/>
              </w:rPr>
              <w:t>slf4j-jdk14</w:t>
            </w:r>
          </w:p>
        </w:tc>
        <w:tc>
          <w:tcPr>
            <w:tcW w:w="3325" w:type="dxa"/>
          </w:tcPr>
          <w:p w14:paraId="64E48A8F" w14:textId="77777777" w:rsidR="00A720EB" w:rsidRDefault="0030286B">
            <w:pPr>
              <w:pStyle w:val="TableParagraph"/>
              <w:spacing w:before="37"/>
              <w:rPr>
                <w:sz w:val="21"/>
              </w:rPr>
            </w:pPr>
            <w:r>
              <w:rPr>
                <w:color w:val="B02045"/>
                <w:sz w:val="21"/>
              </w:rPr>
              <w:t>1.7.30</w:t>
            </w:r>
          </w:p>
        </w:tc>
      </w:tr>
      <w:tr w:rsidR="00A720EB" w14:paraId="435FF3E0" w14:textId="77777777">
        <w:trPr>
          <w:trHeight w:val="368"/>
        </w:trPr>
        <w:tc>
          <w:tcPr>
            <w:tcW w:w="3325" w:type="dxa"/>
          </w:tcPr>
          <w:p w14:paraId="7704DED3" w14:textId="77777777" w:rsidR="00A720EB" w:rsidRDefault="0030286B">
            <w:pPr>
              <w:pStyle w:val="TableParagraph"/>
              <w:spacing w:before="37"/>
              <w:rPr>
                <w:sz w:val="21"/>
              </w:rPr>
            </w:pPr>
            <w:proofErr w:type="gramStart"/>
            <w:r>
              <w:rPr>
                <w:color w:val="B02045"/>
                <w:sz w:val="21"/>
              </w:rPr>
              <w:t>org.slf</w:t>
            </w:r>
            <w:proofErr w:type="gramEnd"/>
            <w:r>
              <w:rPr>
                <w:color w:val="B02045"/>
                <w:sz w:val="21"/>
              </w:rPr>
              <w:t>4j</w:t>
            </w:r>
          </w:p>
        </w:tc>
        <w:tc>
          <w:tcPr>
            <w:tcW w:w="3325" w:type="dxa"/>
          </w:tcPr>
          <w:p w14:paraId="10E539C5" w14:textId="77777777" w:rsidR="00A720EB" w:rsidRDefault="0030286B">
            <w:pPr>
              <w:pStyle w:val="TableParagraph"/>
              <w:spacing w:before="37"/>
              <w:rPr>
                <w:sz w:val="21"/>
              </w:rPr>
            </w:pPr>
            <w:r>
              <w:rPr>
                <w:color w:val="B02045"/>
                <w:sz w:val="21"/>
              </w:rPr>
              <w:t>slf4j-log4j12</w:t>
            </w:r>
          </w:p>
        </w:tc>
        <w:tc>
          <w:tcPr>
            <w:tcW w:w="3325" w:type="dxa"/>
          </w:tcPr>
          <w:p w14:paraId="44E5EA72" w14:textId="77777777" w:rsidR="00A720EB" w:rsidRDefault="0030286B">
            <w:pPr>
              <w:pStyle w:val="TableParagraph"/>
              <w:spacing w:before="37"/>
              <w:rPr>
                <w:sz w:val="21"/>
              </w:rPr>
            </w:pPr>
            <w:r>
              <w:rPr>
                <w:color w:val="B02045"/>
                <w:sz w:val="21"/>
              </w:rPr>
              <w:t>1.7.30</w:t>
            </w:r>
          </w:p>
        </w:tc>
      </w:tr>
      <w:tr w:rsidR="00A720EB" w14:paraId="0456DDAF" w14:textId="77777777">
        <w:trPr>
          <w:trHeight w:val="368"/>
        </w:trPr>
        <w:tc>
          <w:tcPr>
            <w:tcW w:w="3325" w:type="dxa"/>
          </w:tcPr>
          <w:p w14:paraId="531BB7C2" w14:textId="77777777" w:rsidR="00A720EB" w:rsidRDefault="0030286B">
            <w:pPr>
              <w:pStyle w:val="TableParagraph"/>
              <w:rPr>
                <w:sz w:val="21"/>
              </w:rPr>
            </w:pPr>
            <w:proofErr w:type="gramStart"/>
            <w:r>
              <w:rPr>
                <w:color w:val="B02045"/>
                <w:sz w:val="21"/>
              </w:rPr>
              <w:t>org.slf</w:t>
            </w:r>
            <w:proofErr w:type="gramEnd"/>
            <w:r>
              <w:rPr>
                <w:color w:val="B02045"/>
                <w:sz w:val="21"/>
              </w:rPr>
              <w:t>4j</w:t>
            </w:r>
          </w:p>
        </w:tc>
        <w:tc>
          <w:tcPr>
            <w:tcW w:w="3325" w:type="dxa"/>
          </w:tcPr>
          <w:p w14:paraId="69657014" w14:textId="77777777" w:rsidR="00A720EB" w:rsidRDefault="0030286B">
            <w:pPr>
              <w:pStyle w:val="TableParagraph"/>
              <w:rPr>
                <w:sz w:val="21"/>
              </w:rPr>
            </w:pPr>
            <w:r>
              <w:rPr>
                <w:color w:val="B02045"/>
                <w:sz w:val="21"/>
              </w:rPr>
              <w:t>slf4j-nop</w:t>
            </w:r>
          </w:p>
        </w:tc>
        <w:tc>
          <w:tcPr>
            <w:tcW w:w="3325" w:type="dxa"/>
          </w:tcPr>
          <w:p w14:paraId="7389B0F7" w14:textId="77777777" w:rsidR="00A720EB" w:rsidRDefault="0030286B">
            <w:pPr>
              <w:pStyle w:val="TableParagraph"/>
              <w:rPr>
                <w:sz w:val="21"/>
              </w:rPr>
            </w:pPr>
            <w:r>
              <w:rPr>
                <w:color w:val="B02045"/>
                <w:sz w:val="21"/>
              </w:rPr>
              <w:t>1.7.30</w:t>
            </w:r>
          </w:p>
        </w:tc>
      </w:tr>
      <w:tr w:rsidR="00A720EB" w14:paraId="5AD561A2" w14:textId="77777777">
        <w:trPr>
          <w:trHeight w:val="368"/>
        </w:trPr>
        <w:tc>
          <w:tcPr>
            <w:tcW w:w="3325" w:type="dxa"/>
          </w:tcPr>
          <w:p w14:paraId="1383300F" w14:textId="77777777" w:rsidR="00A720EB" w:rsidRDefault="0030286B">
            <w:pPr>
              <w:pStyle w:val="TableParagraph"/>
              <w:rPr>
                <w:sz w:val="21"/>
              </w:rPr>
            </w:pPr>
            <w:proofErr w:type="gramStart"/>
            <w:r>
              <w:rPr>
                <w:color w:val="B02045"/>
                <w:sz w:val="21"/>
              </w:rPr>
              <w:t>org.slf</w:t>
            </w:r>
            <w:proofErr w:type="gramEnd"/>
            <w:r>
              <w:rPr>
                <w:color w:val="B02045"/>
                <w:sz w:val="21"/>
              </w:rPr>
              <w:t>4j</w:t>
            </w:r>
          </w:p>
        </w:tc>
        <w:tc>
          <w:tcPr>
            <w:tcW w:w="3325" w:type="dxa"/>
          </w:tcPr>
          <w:p w14:paraId="2AD76CBE" w14:textId="77777777" w:rsidR="00A720EB" w:rsidRDefault="0030286B">
            <w:pPr>
              <w:pStyle w:val="TableParagraph"/>
              <w:rPr>
                <w:sz w:val="21"/>
              </w:rPr>
            </w:pPr>
            <w:r>
              <w:rPr>
                <w:color w:val="B02045"/>
                <w:sz w:val="21"/>
              </w:rPr>
              <w:t>slf4j-simple</w:t>
            </w:r>
          </w:p>
        </w:tc>
        <w:tc>
          <w:tcPr>
            <w:tcW w:w="3325" w:type="dxa"/>
          </w:tcPr>
          <w:p w14:paraId="25737ED4" w14:textId="77777777" w:rsidR="00A720EB" w:rsidRDefault="0030286B">
            <w:pPr>
              <w:pStyle w:val="TableParagraph"/>
              <w:rPr>
                <w:sz w:val="21"/>
              </w:rPr>
            </w:pPr>
            <w:r>
              <w:rPr>
                <w:color w:val="B02045"/>
                <w:sz w:val="21"/>
              </w:rPr>
              <w:t>1.7.30</w:t>
            </w:r>
          </w:p>
        </w:tc>
      </w:tr>
      <w:tr w:rsidR="00A720EB" w14:paraId="17FB95A0" w14:textId="77777777">
        <w:trPr>
          <w:trHeight w:val="368"/>
        </w:trPr>
        <w:tc>
          <w:tcPr>
            <w:tcW w:w="3325" w:type="dxa"/>
          </w:tcPr>
          <w:p w14:paraId="470F5CCB"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3367A287" w14:textId="77777777" w:rsidR="00A720EB" w:rsidRDefault="0030286B">
            <w:pPr>
              <w:pStyle w:val="TableParagraph"/>
              <w:spacing w:before="37"/>
              <w:rPr>
                <w:sz w:val="21"/>
              </w:rPr>
            </w:pPr>
            <w:r>
              <w:rPr>
                <w:color w:val="B02045"/>
                <w:sz w:val="21"/>
              </w:rPr>
              <w:t>spring-aop</w:t>
            </w:r>
          </w:p>
        </w:tc>
        <w:tc>
          <w:tcPr>
            <w:tcW w:w="3325" w:type="dxa"/>
          </w:tcPr>
          <w:p w14:paraId="29D2D329"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18E060DA" w14:textId="77777777">
        <w:trPr>
          <w:trHeight w:val="368"/>
        </w:trPr>
        <w:tc>
          <w:tcPr>
            <w:tcW w:w="3325" w:type="dxa"/>
          </w:tcPr>
          <w:p w14:paraId="29A7EAC7"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29E68AFE" w14:textId="77777777" w:rsidR="00A720EB" w:rsidRDefault="0030286B">
            <w:pPr>
              <w:pStyle w:val="TableParagraph"/>
              <w:spacing w:before="37"/>
              <w:rPr>
                <w:sz w:val="21"/>
              </w:rPr>
            </w:pPr>
            <w:r>
              <w:rPr>
                <w:color w:val="B02045"/>
                <w:sz w:val="21"/>
              </w:rPr>
              <w:t>spring-aspects</w:t>
            </w:r>
          </w:p>
        </w:tc>
        <w:tc>
          <w:tcPr>
            <w:tcW w:w="3325" w:type="dxa"/>
          </w:tcPr>
          <w:p w14:paraId="0C6EFCAE"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438160DE" w14:textId="77777777">
        <w:trPr>
          <w:trHeight w:val="368"/>
        </w:trPr>
        <w:tc>
          <w:tcPr>
            <w:tcW w:w="3325" w:type="dxa"/>
          </w:tcPr>
          <w:p w14:paraId="72F0432A"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064D9667" w14:textId="77777777" w:rsidR="00A720EB" w:rsidRDefault="0030286B">
            <w:pPr>
              <w:pStyle w:val="TableParagraph"/>
              <w:rPr>
                <w:sz w:val="21"/>
              </w:rPr>
            </w:pPr>
            <w:r>
              <w:rPr>
                <w:color w:val="B02045"/>
                <w:sz w:val="21"/>
              </w:rPr>
              <w:t>spring-beans</w:t>
            </w:r>
          </w:p>
        </w:tc>
        <w:tc>
          <w:tcPr>
            <w:tcW w:w="3325" w:type="dxa"/>
          </w:tcPr>
          <w:p w14:paraId="698F8F82"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757572C9" w14:textId="77777777">
        <w:trPr>
          <w:trHeight w:val="368"/>
        </w:trPr>
        <w:tc>
          <w:tcPr>
            <w:tcW w:w="3325" w:type="dxa"/>
          </w:tcPr>
          <w:p w14:paraId="556DFB0A"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77449907" w14:textId="77777777" w:rsidR="00A720EB" w:rsidRDefault="0030286B">
            <w:pPr>
              <w:pStyle w:val="TableParagraph"/>
              <w:spacing w:before="37"/>
              <w:rPr>
                <w:sz w:val="21"/>
              </w:rPr>
            </w:pPr>
            <w:r>
              <w:rPr>
                <w:color w:val="B02045"/>
                <w:sz w:val="21"/>
              </w:rPr>
              <w:t>spring-context</w:t>
            </w:r>
          </w:p>
        </w:tc>
        <w:tc>
          <w:tcPr>
            <w:tcW w:w="3325" w:type="dxa"/>
          </w:tcPr>
          <w:p w14:paraId="1DAF9F0D"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775B3958" w14:textId="77777777">
        <w:trPr>
          <w:trHeight w:val="368"/>
        </w:trPr>
        <w:tc>
          <w:tcPr>
            <w:tcW w:w="3325" w:type="dxa"/>
          </w:tcPr>
          <w:p w14:paraId="35C18AA5"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5CF0BF12" w14:textId="77777777" w:rsidR="00A720EB" w:rsidRDefault="0030286B">
            <w:pPr>
              <w:pStyle w:val="TableParagraph"/>
              <w:rPr>
                <w:sz w:val="21"/>
              </w:rPr>
            </w:pPr>
            <w:r>
              <w:rPr>
                <w:color w:val="B02045"/>
                <w:sz w:val="21"/>
              </w:rPr>
              <w:t>spring-context-indexer</w:t>
            </w:r>
          </w:p>
        </w:tc>
        <w:tc>
          <w:tcPr>
            <w:tcW w:w="3325" w:type="dxa"/>
          </w:tcPr>
          <w:p w14:paraId="1ADEFB4B"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41FC7302" w14:textId="77777777">
        <w:trPr>
          <w:trHeight w:val="368"/>
        </w:trPr>
        <w:tc>
          <w:tcPr>
            <w:tcW w:w="3325" w:type="dxa"/>
          </w:tcPr>
          <w:p w14:paraId="01B3E1A7"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6CE480BB" w14:textId="77777777" w:rsidR="00A720EB" w:rsidRDefault="0030286B">
            <w:pPr>
              <w:pStyle w:val="TableParagraph"/>
              <w:spacing w:before="37"/>
              <w:rPr>
                <w:sz w:val="21"/>
              </w:rPr>
            </w:pPr>
            <w:r>
              <w:rPr>
                <w:color w:val="B02045"/>
                <w:sz w:val="21"/>
              </w:rPr>
              <w:t>spring-context-support</w:t>
            </w:r>
          </w:p>
        </w:tc>
        <w:tc>
          <w:tcPr>
            <w:tcW w:w="3325" w:type="dxa"/>
          </w:tcPr>
          <w:p w14:paraId="152B8791"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550CEC47" w14:textId="77777777">
        <w:trPr>
          <w:trHeight w:val="368"/>
        </w:trPr>
        <w:tc>
          <w:tcPr>
            <w:tcW w:w="3325" w:type="dxa"/>
          </w:tcPr>
          <w:p w14:paraId="0CD4E973"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5F0C8C75" w14:textId="77777777" w:rsidR="00A720EB" w:rsidRDefault="0030286B">
            <w:pPr>
              <w:pStyle w:val="TableParagraph"/>
              <w:rPr>
                <w:sz w:val="21"/>
              </w:rPr>
            </w:pPr>
            <w:r>
              <w:rPr>
                <w:color w:val="B02045"/>
                <w:sz w:val="21"/>
              </w:rPr>
              <w:t>spring-core</w:t>
            </w:r>
          </w:p>
        </w:tc>
        <w:tc>
          <w:tcPr>
            <w:tcW w:w="3325" w:type="dxa"/>
          </w:tcPr>
          <w:p w14:paraId="7F7560BB"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012592BD" w14:textId="77777777">
        <w:trPr>
          <w:trHeight w:val="368"/>
        </w:trPr>
        <w:tc>
          <w:tcPr>
            <w:tcW w:w="3325" w:type="dxa"/>
          </w:tcPr>
          <w:p w14:paraId="6BD153DB"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588AE042" w14:textId="77777777" w:rsidR="00A720EB" w:rsidRDefault="0030286B">
            <w:pPr>
              <w:pStyle w:val="TableParagraph"/>
              <w:spacing w:before="37"/>
              <w:rPr>
                <w:sz w:val="21"/>
              </w:rPr>
            </w:pPr>
            <w:r>
              <w:rPr>
                <w:color w:val="B02045"/>
                <w:sz w:val="21"/>
              </w:rPr>
              <w:t>spring-expression</w:t>
            </w:r>
          </w:p>
        </w:tc>
        <w:tc>
          <w:tcPr>
            <w:tcW w:w="3325" w:type="dxa"/>
          </w:tcPr>
          <w:p w14:paraId="62CA2CCD"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270A8CEE" w14:textId="77777777">
        <w:trPr>
          <w:trHeight w:val="368"/>
        </w:trPr>
        <w:tc>
          <w:tcPr>
            <w:tcW w:w="3325" w:type="dxa"/>
          </w:tcPr>
          <w:p w14:paraId="197AFD1B"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1E4CC13D" w14:textId="77777777" w:rsidR="00A720EB" w:rsidRDefault="0030286B">
            <w:pPr>
              <w:pStyle w:val="TableParagraph"/>
              <w:rPr>
                <w:sz w:val="21"/>
              </w:rPr>
            </w:pPr>
            <w:r>
              <w:rPr>
                <w:color w:val="B02045"/>
                <w:sz w:val="21"/>
              </w:rPr>
              <w:t>spring-instrument</w:t>
            </w:r>
          </w:p>
        </w:tc>
        <w:tc>
          <w:tcPr>
            <w:tcW w:w="3325" w:type="dxa"/>
          </w:tcPr>
          <w:p w14:paraId="019E0AA2"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267F572A" w14:textId="77777777">
        <w:trPr>
          <w:trHeight w:val="368"/>
        </w:trPr>
        <w:tc>
          <w:tcPr>
            <w:tcW w:w="3325" w:type="dxa"/>
          </w:tcPr>
          <w:p w14:paraId="5ACD5EC4"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13B959CD" w14:textId="77777777" w:rsidR="00A720EB" w:rsidRDefault="0030286B">
            <w:pPr>
              <w:pStyle w:val="TableParagraph"/>
              <w:rPr>
                <w:sz w:val="21"/>
              </w:rPr>
            </w:pPr>
            <w:r>
              <w:rPr>
                <w:color w:val="B02045"/>
                <w:sz w:val="21"/>
              </w:rPr>
              <w:t>spring-jcl</w:t>
            </w:r>
          </w:p>
        </w:tc>
        <w:tc>
          <w:tcPr>
            <w:tcW w:w="3325" w:type="dxa"/>
          </w:tcPr>
          <w:p w14:paraId="48B6C3B8"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33339574" w14:textId="77777777">
        <w:trPr>
          <w:trHeight w:val="368"/>
        </w:trPr>
        <w:tc>
          <w:tcPr>
            <w:tcW w:w="3325" w:type="dxa"/>
          </w:tcPr>
          <w:p w14:paraId="7E3FC09E"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6ECD6FD9" w14:textId="77777777" w:rsidR="00A720EB" w:rsidRDefault="0030286B">
            <w:pPr>
              <w:pStyle w:val="TableParagraph"/>
              <w:rPr>
                <w:sz w:val="21"/>
              </w:rPr>
            </w:pPr>
            <w:r>
              <w:rPr>
                <w:color w:val="B02045"/>
                <w:sz w:val="21"/>
              </w:rPr>
              <w:t>spring-jdbc</w:t>
            </w:r>
          </w:p>
        </w:tc>
        <w:tc>
          <w:tcPr>
            <w:tcW w:w="3325" w:type="dxa"/>
          </w:tcPr>
          <w:p w14:paraId="5A48BAD0"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4B677B32" w14:textId="77777777">
        <w:trPr>
          <w:trHeight w:val="368"/>
        </w:trPr>
        <w:tc>
          <w:tcPr>
            <w:tcW w:w="3325" w:type="dxa"/>
          </w:tcPr>
          <w:p w14:paraId="5CF95F73"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65CFB696" w14:textId="77777777" w:rsidR="00A720EB" w:rsidRDefault="0030286B">
            <w:pPr>
              <w:pStyle w:val="TableParagraph"/>
              <w:rPr>
                <w:sz w:val="21"/>
              </w:rPr>
            </w:pPr>
            <w:r>
              <w:rPr>
                <w:color w:val="B02045"/>
                <w:sz w:val="21"/>
              </w:rPr>
              <w:t>spring-jms</w:t>
            </w:r>
          </w:p>
        </w:tc>
        <w:tc>
          <w:tcPr>
            <w:tcW w:w="3325" w:type="dxa"/>
          </w:tcPr>
          <w:p w14:paraId="6C9C8356"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bl>
    <w:p w14:paraId="5BEDF7DE"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302F7D21" w14:textId="77777777">
        <w:trPr>
          <w:trHeight w:val="415"/>
        </w:trPr>
        <w:tc>
          <w:tcPr>
            <w:tcW w:w="3325" w:type="dxa"/>
            <w:tcBorders>
              <w:bottom w:val="single" w:sz="12" w:space="0" w:color="DDDDDD"/>
            </w:tcBorders>
          </w:tcPr>
          <w:p w14:paraId="534ADD28"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7A133BBE"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4EE7DDA9"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76F35FA0" w14:textId="77777777">
        <w:trPr>
          <w:trHeight w:val="358"/>
        </w:trPr>
        <w:tc>
          <w:tcPr>
            <w:tcW w:w="3325" w:type="dxa"/>
            <w:tcBorders>
              <w:top w:val="single" w:sz="12" w:space="0" w:color="DDDDDD"/>
            </w:tcBorders>
          </w:tcPr>
          <w:p w14:paraId="28E02193" w14:textId="77777777" w:rsidR="00A720EB" w:rsidRDefault="0030286B">
            <w:pPr>
              <w:pStyle w:val="TableParagraph"/>
              <w:spacing w:before="27"/>
              <w:rPr>
                <w:sz w:val="21"/>
              </w:rPr>
            </w:pPr>
            <w:proofErr w:type="gramStart"/>
            <w:r>
              <w:rPr>
                <w:color w:val="B02045"/>
                <w:sz w:val="21"/>
              </w:rPr>
              <w:t>org.springframework</w:t>
            </w:r>
            <w:proofErr w:type="gramEnd"/>
          </w:p>
        </w:tc>
        <w:tc>
          <w:tcPr>
            <w:tcW w:w="3325" w:type="dxa"/>
            <w:tcBorders>
              <w:top w:val="single" w:sz="12" w:space="0" w:color="DDDDDD"/>
            </w:tcBorders>
          </w:tcPr>
          <w:p w14:paraId="3974BBED" w14:textId="77777777" w:rsidR="00A720EB" w:rsidRDefault="0030286B">
            <w:pPr>
              <w:pStyle w:val="TableParagraph"/>
              <w:spacing w:before="27"/>
              <w:rPr>
                <w:sz w:val="21"/>
              </w:rPr>
            </w:pPr>
            <w:r>
              <w:rPr>
                <w:color w:val="B02045"/>
                <w:sz w:val="21"/>
              </w:rPr>
              <w:t>spring-messaging</w:t>
            </w:r>
          </w:p>
        </w:tc>
        <w:tc>
          <w:tcPr>
            <w:tcW w:w="3325" w:type="dxa"/>
            <w:tcBorders>
              <w:top w:val="single" w:sz="12" w:space="0" w:color="DDDDDD"/>
            </w:tcBorders>
          </w:tcPr>
          <w:p w14:paraId="4E5A3D6D" w14:textId="77777777" w:rsidR="00A720EB" w:rsidRDefault="0030286B">
            <w:pPr>
              <w:pStyle w:val="TableParagraph"/>
              <w:spacing w:before="27"/>
              <w:rPr>
                <w:sz w:val="21"/>
              </w:rPr>
            </w:pPr>
            <w:r>
              <w:rPr>
                <w:color w:val="B02045"/>
                <w:sz w:val="21"/>
              </w:rPr>
              <w:t>5.2.</w:t>
            </w:r>
            <w:proofErr w:type="gramStart"/>
            <w:r>
              <w:rPr>
                <w:color w:val="B02045"/>
                <w:sz w:val="21"/>
              </w:rPr>
              <w:t>9.RELEASE</w:t>
            </w:r>
            <w:proofErr w:type="gramEnd"/>
          </w:p>
        </w:tc>
      </w:tr>
      <w:tr w:rsidR="00A720EB" w14:paraId="44750936" w14:textId="77777777">
        <w:trPr>
          <w:trHeight w:val="368"/>
        </w:trPr>
        <w:tc>
          <w:tcPr>
            <w:tcW w:w="3325" w:type="dxa"/>
          </w:tcPr>
          <w:p w14:paraId="71A885F1"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69276276" w14:textId="77777777" w:rsidR="00A720EB" w:rsidRDefault="0030286B">
            <w:pPr>
              <w:pStyle w:val="TableParagraph"/>
              <w:spacing w:before="37"/>
              <w:rPr>
                <w:sz w:val="21"/>
              </w:rPr>
            </w:pPr>
            <w:r>
              <w:rPr>
                <w:color w:val="B02045"/>
                <w:sz w:val="21"/>
              </w:rPr>
              <w:t>spring-orm</w:t>
            </w:r>
          </w:p>
        </w:tc>
        <w:tc>
          <w:tcPr>
            <w:tcW w:w="3325" w:type="dxa"/>
          </w:tcPr>
          <w:p w14:paraId="26F94912"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4009D2BE" w14:textId="77777777">
        <w:trPr>
          <w:trHeight w:val="368"/>
        </w:trPr>
        <w:tc>
          <w:tcPr>
            <w:tcW w:w="3325" w:type="dxa"/>
          </w:tcPr>
          <w:p w14:paraId="58EF3601"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6BF7B8F3" w14:textId="77777777" w:rsidR="00A720EB" w:rsidRDefault="0030286B">
            <w:pPr>
              <w:pStyle w:val="TableParagraph"/>
              <w:spacing w:before="37"/>
              <w:rPr>
                <w:sz w:val="21"/>
              </w:rPr>
            </w:pPr>
            <w:r>
              <w:rPr>
                <w:color w:val="B02045"/>
                <w:sz w:val="21"/>
              </w:rPr>
              <w:t>spring-oxm</w:t>
            </w:r>
          </w:p>
        </w:tc>
        <w:tc>
          <w:tcPr>
            <w:tcW w:w="3325" w:type="dxa"/>
          </w:tcPr>
          <w:p w14:paraId="197F3465"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332089D6" w14:textId="77777777">
        <w:trPr>
          <w:trHeight w:val="368"/>
        </w:trPr>
        <w:tc>
          <w:tcPr>
            <w:tcW w:w="3325" w:type="dxa"/>
          </w:tcPr>
          <w:p w14:paraId="53E6AAE0"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533623C6" w14:textId="77777777" w:rsidR="00A720EB" w:rsidRDefault="0030286B">
            <w:pPr>
              <w:pStyle w:val="TableParagraph"/>
              <w:rPr>
                <w:sz w:val="21"/>
              </w:rPr>
            </w:pPr>
            <w:r>
              <w:rPr>
                <w:color w:val="B02045"/>
                <w:sz w:val="21"/>
              </w:rPr>
              <w:t>spring-test</w:t>
            </w:r>
          </w:p>
        </w:tc>
        <w:tc>
          <w:tcPr>
            <w:tcW w:w="3325" w:type="dxa"/>
          </w:tcPr>
          <w:p w14:paraId="5F0738F2"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0E36A628" w14:textId="77777777">
        <w:trPr>
          <w:trHeight w:val="368"/>
        </w:trPr>
        <w:tc>
          <w:tcPr>
            <w:tcW w:w="3325" w:type="dxa"/>
          </w:tcPr>
          <w:p w14:paraId="02549C21"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02F6591C" w14:textId="77777777" w:rsidR="00A720EB" w:rsidRDefault="0030286B">
            <w:pPr>
              <w:pStyle w:val="TableParagraph"/>
              <w:rPr>
                <w:sz w:val="21"/>
              </w:rPr>
            </w:pPr>
            <w:r>
              <w:rPr>
                <w:color w:val="B02045"/>
                <w:sz w:val="21"/>
              </w:rPr>
              <w:t>spring-tx</w:t>
            </w:r>
          </w:p>
        </w:tc>
        <w:tc>
          <w:tcPr>
            <w:tcW w:w="3325" w:type="dxa"/>
          </w:tcPr>
          <w:p w14:paraId="3FC546B7"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53032667" w14:textId="77777777">
        <w:trPr>
          <w:trHeight w:val="368"/>
        </w:trPr>
        <w:tc>
          <w:tcPr>
            <w:tcW w:w="3325" w:type="dxa"/>
          </w:tcPr>
          <w:p w14:paraId="619109E5"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14358D55" w14:textId="77777777" w:rsidR="00A720EB" w:rsidRDefault="0030286B">
            <w:pPr>
              <w:pStyle w:val="TableParagraph"/>
              <w:rPr>
                <w:sz w:val="21"/>
              </w:rPr>
            </w:pPr>
            <w:r>
              <w:rPr>
                <w:color w:val="B02045"/>
                <w:sz w:val="21"/>
              </w:rPr>
              <w:t>spring-web</w:t>
            </w:r>
          </w:p>
        </w:tc>
        <w:tc>
          <w:tcPr>
            <w:tcW w:w="3325" w:type="dxa"/>
          </w:tcPr>
          <w:p w14:paraId="657BA202"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20EAF56C" w14:textId="77777777">
        <w:trPr>
          <w:trHeight w:val="368"/>
        </w:trPr>
        <w:tc>
          <w:tcPr>
            <w:tcW w:w="3325" w:type="dxa"/>
          </w:tcPr>
          <w:p w14:paraId="3AE52B0A" w14:textId="77777777" w:rsidR="00A720EB" w:rsidRDefault="0030286B">
            <w:pPr>
              <w:pStyle w:val="TableParagraph"/>
              <w:rPr>
                <w:sz w:val="21"/>
              </w:rPr>
            </w:pPr>
            <w:proofErr w:type="gramStart"/>
            <w:r>
              <w:rPr>
                <w:color w:val="B02045"/>
                <w:sz w:val="21"/>
              </w:rPr>
              <w:t>org.springframework</w:t>
            </w:r>
            <w:proofErr w:type="gramEnd"/>
          </w:p>
        </w:tc>
        <w:tc>
          <w:tcPr>
            <w:tcW w:w="3325" w:type="dxa"/>
          </w:tcPr>
          <w:p w14:paraId="04B0EE83" w14:textId="77777777" w:rsidR="00A720EB" w:rsidRDefault="0030286B">
            <w:pPr>
              <w:pStyle w:val="TableParagraph"/>
              <w:rPr>
                <w:sz w:val="21"/>
              </w:rPr>
            </w:pPr>
            <w:r>
              <w:rPr>
                <w:color w:val="B02045"/>
                <w:sz w:val="21"/>
              </w:rPr>
              <w:t>spring-webflux</w:t>
            </w:r>
          </w:p>
        </w:tc>
        <w:tc>
          <w:tcPr>
            <w:tcW w:w="3325" w:type="dxa"/>
          </w:tcPr>
          <w:p w14:paraId="12BABCD5" w14:textId="77777777" w:rsidR="00A720EB" w:rsidRDefault="0030286B">
            <w:pPr>
              <w:pStyle w:val="TableParagraph"/>
              <w:rPr>
                <w:sz w:val="21"/>
              </w:rPr>
            </w:pPr>
            <w:r>
              <w:rPr>
                <w:color w:val="B02045"/>
                <w:sz w:val="21"/>
              </w:rPr>
              <w:t>5.2.</w:t>
            </w:r>
            <w:proofErr w:type="gramStart"/>
            <w:r>
              <w:rPr>
                <w:color w:val="B02045"/>
                <w:sz w:val="21"/>
              </w:rPr>
              <w:t>9.RELEASE</w:t>
            </w:r>
            <w:proofErr w:type="gramEnd"/>
          </w:p>
        </w:tc>
      </w:tr>
      <w:tr w:rsidR="00A720EB" w14:paraId="7C188742" w14:textId="77777777">
        <w:trPr>
          <w:trHeight w:val="368"/>
        </w:trPr>
        <w:tc>
          <w:tcPr>
            <w:tcW w:w="3325" w:type="dxa"/>
          </w:tcPr>
          <w:p w14:paraId="70D5F2FE"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5AD7F468" w14:textId="77777777" w:rsidR="00A720EB" w:rsidRDefault="0030286B">
            <w:pPr>
              <w:pStyle w:val="TableParagraph"/>
              <w:spacing w:before="37"/>
              <w:rPr>
                <w:sz w:val="21"/>
              </w:rPr>
            </w:pPr>
            <w:r>
              <w:rPr>
                <w:color w:val="B02045"/>
                <w:sz w:val="21"/>
              </w:rPr>
              <w:t>spring-webmvc</w:t>
            </w:r>
          </w:p>
        </w:tc>
        <w:tc>
          <w:tcPr>
            <w:tcW w:w="3325" w:type="dxa"/>
          </w:tcPr>
          <w:p w14:paraId="29C8169E"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6D51C15A" w14:textId="77777777">
        <w:trPr>
          <w:trHeight w:val="368"/>
        </w:trPr>
        <w:tc>
          <w:tcPr>
            <w:tcW w:w="3325" w:type="dxa"/>
          </w:tcPr>
          <w:p w14:paraId="5409E357" w14:textId="77777777" w:rsidR="00A720EB" w:rsidRDefault="0030286B">
            <w:pPr>
              <w:pStyle w:val="TableParagraph"/>
              <w:spacing w:before="37"/>
              <w:rPr>
                <w:sz w:val="21"/>
              </w:rPr>
            </w:pPr>
            <w:proofErr w:type="gramStart"/>
            <w:r>
              <w:rPr>
                <w:color w:val="B02045"/>
                <w:sz w:val="21"/>
              </w:rPr>
              <w:t>org.springframework</w:t>
            </w:r>
            <w:proofErr w:type="gramEnd"/>
          </w:p>
        </w:tc>
        <w:tc>
          <w:tcPr>
            <w:tcW w:w="3325" w:type="dxa"/>
          </w:tcPr>
          <w:p w14:paraId="1A635DE5" w14:textId="77777777" w:rsidR="00A720EB" w:rsidRDefault="0030286B">
            <w:pPr>
              <w:pStyle w:val="TableParagraph"/>
              <w:spacing w:before="37"/>
              <w:rPr>
                <w:sz w:val="21"/>
              </w:rPr>
            </w:pPr>
            <w:r>
              <w:rPr>
                <w:color w:val="B02045"/>
                <w:sz w:val="21"/>
              </w:rPr>
              <w:t>spring-websocket</w:t>
            </w:r>
          </w:p>
        </w:tc>
        <w:tc>
          <w:tcPr>
            <w:tcW w:w="3325" w:type="dxa"/>
          </w:tcPr>
          <w:p w14:paraId="7115D322" w14:textId="77777777" w:rsidR="00A720EB" w:rsidRDefault="0030286B">
            <w:pPr>
              <w:pStyle w:val="TableParagraph"/>
              <w:spacing w:before="37"/>
              <w:rPr>
                <w:sz w:val="21"/>
              </w:rPr>
            </w:pPr>
            <w:r>
              <w:rPr>
                <w:color w:val="B02045"/>
                <w:sz w:val="21"/>
              </w:rPr>
              <w:t>5.2.</w:t>
            </w:r>
            <w:proofErr w:type="gramStart"/>
            <w:r>
              <w:rPr>
                <w:color w:val="B02045"/>
                <w:sz w:val="21"/>
              </w:rPr>
              <w:t>9.RELEASE</w:t>
            </w:r>
            <w:proofErr w:type="gramEnd"/>
          </w:p>
        </w:tc>
      </w:tr>
      <w:tr w:rsidR="00A720EB" w14:paraId="5D8D9E72" w14:textId="77777777">
        <w:trPr>
          <w:trHeight w:val="368"/>
        </w:trPr>
        <w:tc>
          <w:tcPr>
            <w:tcW w:w="3325" w:type="dxa"/>
          </w:tcPr>
          <w:p w14:paraId="7473793A"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.amqp</w:t>
            </w:r>
          </w:p>
        </w:tc>
        <w:tc>
          <w:tcPr>
            <w:tcW w:w="3325" w:type="dxa"/>
          </w:tcPr>
          <w:p w14:paraId="0CFE96B1" w14:textId="77777777" w:rsidR="00A720EB" w:rsidRDefault="0030286B">
            <w:pPr>
              <w:pStyle w:val="TableParagraph"/>
              <w:spacing w:before="37"/>
              <w:rPr>
                <w:sz w:val="21"/>
              </w:rPr>
            </w:pPr>
            <w:r>
              <w:rPr>
                <w:color w:val="B02045"/>
                <w:sz w:val="21"/>
              </w:rPr>
              <w:t>spring-amqp</w:t>
            </w:r>
          </w:p>
        </w:tc>
        <w:tc>
          <w:tcPr>
            <w:tcW w:w="3325" w:type="dxa"/>
          </w:tcPr>
          <w:p w14:paraId="1DE7B814" w14:textId="77777777" w:rsidR="00A720EB" w:rsidRDefault="0030286B">
            <w:pPr>
              <w:pStyle w:val="TableParagraph"/>
              <w:spacing w:before="37"/>
              <w:rPr>
                <w:sz w:val="21"/>
              </w:rPr>
            </w:pPr>
            <w:r>
              <w:rPr>
                <w:color w:val="B02045"/>
                <w:sz w:val="21"/>
              </w:rPr>
              <w:t>2.2.</w:t>
            </w:r>
            <w:proofErr w:type="gramStart"/>
            <w:r>
              <w:rPr>
                <w:color w:val="B02045"/>
                <w:sz w:val="21"/>
              </w:rPr>
              <w:t>11.RELEASE</w:t>
            </w:r>
            <w:proofErr w:type="gramEnd"/>
          </w:p>
        </w:tc>
      </w:tr>
      <w:tr w:rsidR="00A720EB" w14:paraId="49B247DC" w14:textId="77777777">
        <w:trPr>
          <w:trHeight w:val="368"/>
        </w:trPr>
        <w:tc>
          <w:tcPr>
            <w:tcW w:w="3325" w:type="dxa"/>
          </w:tcPr>
          <w:p w14:paraId="1D046AAF"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.amqp</w:t>
            </w:r>
          </w:p>
        </w:tc>
        <w:tc>
          <w:tcPr>
            <w:tcW w:w="3325" w:type="dxa"/>
          </w:tcPr>
          <w:p w14:paraId="4D7D8B4C" w14:textId="77777777" w:rsidR="00A720EB" w:rsidRDefault="0030286B">
            <w:pPr>
              <w:pStyle w:val="TableParagraph"/>
              <w:spacing w:before="37"/>
              <w:rPr>
                <w:sz w:val="21"/>
              </w:rPr>
            </w:pPr>
            <w:r>
              <w:rPr>
                <w:color w:val="B02045"/>
                <w:sz w:val="21"/>
              </w:rPr>
              <w:t>spring-rabbit</w:t>
            </w:r>
          </w:p>
        </w:tc>
        <w:tc>
          <w:tcPr>
            <w:tcW w:w="3325" w:type="dxa"/>
          </w:tcPr>
          <w:p w14:paraId="6455C6A3" w14:textId="77777777" w:rsidR="00A720EB" w:rsidRDefault="0030286B">
            <w:pPr>
              <w:pStyle w:val="TableParagraph"/>
              <w:spacing w:before="37"/>
              <w:rPr>
                <w:sz w:val="21"/>
              </w:rPr>
            </w:pPr>
            <w:r>
              <w:rPr>
                <w:color w:val="B02045"/>
                <w:sz w:val="21"/>
              </w:rPr>
              <w:t>2.2.</w:t>
            </w:r>
            <w:proofErr w:type="gramStart"/>
            <w:r>
              <w:rPr>
                <w:color w:val="B02045"/>
                <w:sz w:val="21"/>
              </w:rPr>
              <w:t>11.RELEASE</w:t>
            </w:r>
            <w:proofErr w:type="gramEnd"/>
          </w:p>
        </w:tc>
      </w:tr>
      <w:tr w:rsidR="00A720EB" w14:paraId="769D6ABE" w14:textId="77777777">
        <w:trPr>
          <w:trHeight w:val="368"/>
        </w:trPr>
        <w:tc>
          <w:tcPr>
            <w:tcW w:w="3325" w:type="dxa"/>
          </w:tcPr>
          <w:p w14:paraId="577BAB4C" w14:textId="77777777" w:rsidR="00A720EB" w:rsidRDefault="0030286B">
            <w:pPr>
              <w:pStyle w:val="TableParagraph"/>
              <w:rPr>
                <w:sz w:val="21"/>
              </w:rPr>
            </w:pPr>
            <w:proofErr w:type="gramStart"/>
            <w:r>
              <w:rPr>
                <w:color w:val="B02045"/>
                <w:sz w:val="21"/>
              </w:rPr>
              <w:t>org.springframework</w:t>
            </w:r>
            <w:proofErr w:type="gramEnd"/>
            <w:r>
              <w:rPr>
                <w:color w:val="B02045"/>
                <w:sz w:val="21"/>
              </w:rPr>
              <w:t>.amqp</w:t>
            </w:r>
          </w:p>
        </w:tc>
        <w:tc>
          <w:tcPr>
            <w:tcW w:w="3325" w:type="dxa"/>
          </w:tcPr>
          <w:p w14:paraId="3E675D6C" w14:textId="77777777" w:rsidR="00A720EB" w:rsidRDefault="0030286B">
            <w:pPr>
              <w:pStyle w:val="TableParagraph"/>
              <w:rPr>
                <w:sz w:val="21"/>
              </w:rPr>
            </w:pPr>
            <w:r>
              <w:rPr>
                <w:color w:val="B02045"/>
                <w:sz w:val="21"/>
              </w:rPr>
              <w:t>spring-rabbit-junit</w:t>
            </w:r>
          </w:p>
        </w:tc>
        <w:tc>
          <w:tcPr>
            <w:tcW w:w="3325" w:type="dxa"/>
          </w:tcPr>
          <w:p w14:paraId="1E77D7C5" w14:textId="77777777" w:rsidR="00A720EB" w:rsidRDefault="0030286B">
            <w:pPr>
              <w:pStyle w:val="TableParagraph"/>
              <w:rPr>
                <w:sz w:val="21"/>
              </w:rPr>
            </w:pPr>
            <w:r>
              <w:rPr>
                <w:color w:val="B02045"/>
                <w:sz w:val="21"/>
              </w:rPr>
              <w:t>2.2.</w:t>
            </w:r>
            <w:proofErr w:type="gramStart"/>
            <w:r>
              <w:rPr>
                <w:color w:val="B02045"/>
                <w:sz w:val="21"/>
              </w:rPr>
              <w:t>11.RELEASE</w:t>
            </w:r>
            <w:proofErr w:type="gramEnd"/>
          </w:p>
        </w:tc>
      </w:tr>
      <w:tr w:rsidR="00A720EB" w14:paraId="191BAB61" w14:textId="77777777">
        <w:trPr>
          <w:trHeight w:val="368"/>
        </w:trPr>
        <w:tc>
          <w:tcPr>
            <w:tcW w:w="3325" w:type="dxa"/>
          </w:tcPr>
          <w:p w14:paraId="1014F47C" w14:textId="77777777" w:rsidR="00A720EB" w:rsidRDefault="0030286B">
            <w:pPr>
              <w:pStyle w:val="TableParagraph"/>
              <w:rPr>
                <w:sz w:val="21"/>
              </w:rPr>
            </w:pPr>
            <w:proofErr w:type="gramStart"/>
            <w:r>
              <w:rPr>
                <w:color w:val="B02045"/>
                <w:sz w:val="21"/>
              </w:rPr>
              <w:t>org.springframework</w:t>
            </w:r>
            <w:proofErr w:type="gramEnd"/>
            <w:r>
              <w:rPr>
                <w:color w:val="B02045"/>
                <w:sz w:val="21"/>
              </w:rPr>
              <w:t>.amqp</w:t>
            </w:r>
          </w:p>
        </w:tc>
        <w:tc>
          <w:tcPr>
            <w:tcW w:w="3325" w:type="dxa"/>
          </w:tcPr>
          <w:p w14:paraId="0EF3FD76" w14:textId="77777777" w:rsidR="00A720EB" w:rsidRDefault="0030286B">
            <w:pPr>
              <w:pStyle w:val="TableParagraph"/>
              <w:rPr>
                <w:sz w:val="21"/>
              </w:rPr>
            </w:pPr>
            <w:r>
              <w:rPr>
                <w:color w:val="B02045"/>
                <w:sz w:val="21"/>
              </w:rPr>
              <w:t>spring-rabbit-test</w:t>
            </w:r>
          </w:p>
        </w:tc>
        <w:tc>
          <w:tcPr>
            <w:tcW w:w="3325" w:type="dxa"/>
          </w:tcPr>
          <w:p w14:paraId="414F4520" w14:textId="77777777" w:rsidR="00A720EB" w:rsidRDefault="0030286B">
            <w:pPr>
              <w:pStyle w:val="TableParagraph"/>
              <w:rPr>
                <w:sz w:val="21"/>
              </w:rPr>
            </w:pPr>
            <w:r>
              <w:rPr>
                <w:color w:val="B02045"/>
                <w:sz w:val="21"/>
              </w:rPr>
              <w:t>2.2.</w:t>
            </w:r>
            <w:proofErr w:type="gramStart"/>
            <w:r>
              <w:rPr>
                <w:color w:val="B02045"/>
                <w:sz w:val="21"/>
              </w:rPr>
              <w:t>11.RELEASE</w:t>
            </w:r>
            <w:proofErr w:type="gramEnd"/>
          </w:p>
        </w:tc>
      </w:tr>
      <w:tr w:rsidR="00A720EB" w14:paraId="23C1A43E" w14:textId="77777777">
        <w:trPr>
          <w:trHeight w:val="368"/>
        </w:trPr>
        <w:tc>
          <w:tcPr>
            <w:tcW w:w="3325" w:type="dxa"/>
          </w:tcPr>
          <w:p w14:paraId="558A580B" w14:textId="77777777" w:rsidR="00A720EB" w:rsidRDefault="0030286B">
            <w:pPr>
              <w:pStyle w:val="TableParagraph"/>
              <w:rPr>
                <w:sz w:val="21"/>
              </w:rPr>
            </w:pPr>
            <w:proofErr w:type="gramStart"/>
            <w:r>
              <w:rPr>
                <w:color w:val="B02045"/>
                <w:sz w:val="21"/>
              </w:rPr>
              <w:t>org.springframework</w:t>
            </w:r>
            <w:proofErr w:type="gramEnd"/>
            <w:r>
              <w:rPr>
                <w:color w:val="B02045"/>
                <w:sz w:val="21"/>
              </w:rPr>
              <w:t>.batch</w:t>
            </w:r>
          </w:p>
        </w:tc>
        <w:tc>
          <w:tcPr>
            <w:tcW w:w="3325" w:type="dxa"/>
          </w:tcPr>
          <w:p w14:paraId="3760737D" w14:textId="77777777" w:rsidR="00A720EB" w:rsidRDefault="0030286B">
            <w:pPr>
              <w:pStyle w:val="TableParagraph"/>
              <w:rPr>
                <w:sz w:val="21"/>
              </w:rPr>
            </w:pPr>
            <w:r>
              <w:rPr>
                <w:color w:val="B02045"/>
                <w:sz w:val="21"/>
              </w:rPr>
              <w:t>spring-batch-core</w:t>
            </w:r>
          </w:p>
        </w:tc>
        <w:tc>
          <w:tcPr>
            <w:tcW w:w="3325" w:type="dxa"/>
          </w:tcPr>
          <w:p w14:paraId="0A3B65EB" w14:textId="77777777" w:rsidR="00A720EB" w:rsidRDefault="0030286B">
            <w:pPr>
              <w:pStyle w:val="TableParagraph"/>
              <w:rPr>
                <w:sz w:val="21"/>
              </w:rPr>
            </w:pPr>
            <w:r>
              <w:rPr>
                <w:color w:val="B02045"/>
                <w:sz w:val="21"/>
              </w:rPr>
              <w:t>4.2.</w:t>
            </w:r>
            <w:proofErr w:type="gramStart"/>
            <w:r>
              <w:rPr>
                <w:color w:val="B02045"/>
                <w:sz w:val="21"/>
              </w:rPr>
              <w:t>4.RELEASE</w:t>
            </w:r>
            <w:proofErr w:type="gramEnd"/>
          </w:p>
        </w:tc>
      </w:tr>
      <w:tr w:rsidR="00A720EB" w14:paraId="5D17132F" w14:textId="77777777">
        <w:trPr>
          <w:trHeight w:val="368"/>
        </w:trPr>
        <w:tc>
          <w:tcPr>
            <w:tcW w:w="3325" w:type="dxa"/>
          </w:tcPr>
          <w:p w14:paraId="56C69705"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.batch</w:t>
            </w:r>
          </w:p>
        </w:tc>
        <w:tc>
          <w:tcPr>
            <w:tcW w:w="3325" w:type="dxa"/>
          </w:tcPr>
          <w:p w14:paraId="1B9C7302" w14:textId="77777777" w:rsidR="00A720EB" w:rsidRDefault="0030286B">
            <w:pPr>
              <w:pStyle w:val="TableParagraph"/>
              <w:spacing w:before="37"/>
              <w:rPr>
                <w:sz w:val="21"/>
              </w:rPr>
            </w:pPr>
            <w:r>
              <w:rPr>
                <w:color w:val="B02045"/>
                <w:sz w:val="21"/>
              </w:rPr>
              <w:t>spring-batch-infrastructure</w:t>
            </w:r>
          </w:p>
        </w:tc>
        <w:tc>
          <w:tcPr>
            <w:tcW w:w="3325" w:type="dxa"/>
          </w:tcPr>
          <w:p w14:paraId="5BF4E58C" w14:textId="77777777" w:rsidR="00A720EB" w:rsidRDefault="0030286B">
            <w:pPr>
              <w:pStyle w:val="TableParagraph"/>
              <w:spacing w:before="37"/>
              <w:rPr>
                <w:sz w:val="21"/>
              </w:rPr>
            </w:pPr>
            <w:r>
              <w:rPr>
                <w:color w:val="B02045"/>
                <w:sz w:val="21"/>
              </w:rPr>
              <w:t>4.2.</w:t>
            </w:r>
            <w:proofErr w:type="gramStart"/>
            <w:r>
              <w:rPr>
                <w:color w:val="B02045"/>
                <w:sz w:val="21"/>
              </w:rPr>
              <w:t>4.RELEASE</w:t>
            </w:r>
            <w:proofErr w:type="gramEnd"/>
          </w:p>
        </w:tc>
      </w:tr>
      <w:tr w:rsidR="00A720EB" w14:paraId="64626940" w14:textId="77777777">
        <w:trPr>
          <w:trHeight w:val="368"/>
        </w:trPr>
        <w:tc>
          <w:tcPr>
            <w:tcW w:w="3325" w:type="dxa"/>
          </w:tcPr>
          <w:p w14:paraId="5947DE6B" w14:textId="77777777" w:rsidR="00A720EB" w:rsidRDefault="0030286B">
            <w:pPr>
              <w:pStyle w:val="TableParagraph"/>
              <w:rPr>
                <w:sz w:val="21"/>
              </w:rPr>
            </w:pPr>
            <w:proofErr w:type="gramStart"/>
            <w:r>
              <w:rPr>
                <w:color w:val="B02045"/>
                <w:sz w:val="21"/>
              </w:rPr>
              <w:t>org.springframework</w:t>
            </w:r>
            <w:proofErr w:type="gramEnd"/>
            <w:r>
              <w:rPr>
                <w:color w:val="B02045"/>
                <w:sz w:val="21"/>
              </w:rPr>
              <w:t>.batch</w:t>
            </w:r>
          </w:p>
        </w:tc>
        <w:tc>
          <w:tcPr>
            <w:tcW w:w="3325" w:type="dxa"/>
          </w:tcPr>
          <w:p w14:paraId="352CA1BD" w14:textId="77777777" w:rsidR="00A720EB" w:rsidRDefault="0030286B">
            <w:pPr>
              <w:pStyle w:val="TableParagraph"/>
              <w:rPr>
                <w:sz w:val="21"/>
              </w:rPr>
            </w:pPr>
            <w:r>
              <w:rPr>
                <w:color w:val="B02045"/>
                <w:sz w:val="21"/>
              </w:rPr>
              <w:t>spring-batch-integration</w:t>
            </w:r>
          </w:p>
        </w:tc>
        <w:tc>
          <w:tcPr>
            <w:tcW w:w="3325" w:type="dxa"/>
          </w:tcPr>
          <w:p w14:paraId="0C459499" w14:textId="77777777" w:rsidR="00A720EB" w:rsidRDefault="0030286B">
            <w:pPr>
              <w:pStyle w:val="TableParagraph"/>
              <w:rPr>
                <w:sz w:val="21"/>
              </w:rPr>
            </w:pPr>
            <w:r>
              <w:rPr>
                <w:color w:val="B02045"/>
                <w:sz w:val="21"/>
              </w:rPr>
              <w:t>4.2.</w:t>
            </w:r>
            <w:proofErr w:type="gramStart"/>
            <w:r>
              <w:rPr>
                <w:color w:val="B02045"/>
                <w:sz w:val="21"/>
              </w:rPr>
              <w:t>4.RELEASE</w:t>
            </w:r>
            <w:proofErr w:type="gramEnd"/>
          </w:p>
        </w:tc>
      </w:tr>
      <w:tr w:rsidR="00A720EB" w14:paraId="2FE0F59C" w14:textId="77777777">
        <w:trPr>
          <w:trHeight w:val="368"/>
        </w:trPr>
        <w:tc>
          <w:tcPr>
            <w:tcW w:w="3325" w:type="dxa"/>
          </w:tcPr>
          <w:p w14:paraId="2E6CBAE1" w14:textId="77777777" w:rsidR="00A720EB" w:rsidRDefault="0030286B">
            <w:pPr>
              <w:pStyle w:val="TableParagraph"/>
              <w:rPr>
                <w:sz w:val="21"/>
              </w:rPr>
            </w:pPr>
            <w:proofErr w:type="gramStart"/>
            <w:r>
              <w:rPr>
                <w:color w:val="B02045"/>
                <w:sz w:val="21"/>
              </w:rPr>
              <w:t>org.springframework</w:t>
            </w:r>
            <w:proofErr w:type="gramEnd"/>
            <w:r>
              <w:rPr>
                <w:color w:val="B02045"/>
                <w:sz w:val="21"/>
              </w:rPr>
              <w:t>.batch</w:t>
            </w:r>
          </w:p>
        </w:tc>
        <w:tc>
          <w:tcPr>
            <w:tcW w:w="3325" w:type="dxa"/>
          </w:tcPr>
          <w:p w14:paraId="1C4A2288" w14:textId="77777777" w:rsidR="00A720EB" w:rsidRDefault="0030286B">
            <w:pPr>
              <w:pStyle w:val="TableParagraph"/>
              <w:rPr>
                <w:sz w:val="21"/>
              </w:rPr>
            </w:pPr>
            <w:r>
              <w:rPr>
                <w:color w:val="B02045"/>
                <w:sz w:val="21"/>
              </w:rPr>
              <w:t>spring-batch-test</w:t>
            </w:r>
          </w:p>
        </w:tc>
        <w:tc>
          <w:tcPr>
            <w:tcW w:w="3325" w:type="dxa"/>
          </w:tcPr>
          <w:p w14:paraId="631B783F" w14:textId="77777777" w:rsidR="00A720EB" w:rsidRDefault="0030286B">
            <w:pPr>
              <w:pStyle w:val="TableParagraph"/>
              <w:rPr>
                <w:sz w:val="21"/>
              </w:rPr>
            </w:pPr>
            <w:r>
              <w:rPr>
                <w:color w:val="B02045"/>
                <w:sz w:val="21"/>
              </w:rPr>
              <w:t>4.2.</w:t>
            </w:r>
            <w:proofErr w:type="gramStart"/>
            <w:r>
              <w:rPr>
                <w:color w:val="B02045"/>
                <w:sz w:val="21"/>
              </w:rPr>
              <w:t>4.RELEASE</w:t>
            </w:r>
            <w:proofErr w:type="gramEnd"/>
          </w:p>
        </w:tc>
      </w:tr>
      <w:tr w:rsidR="00A720EB" w14:paraId="5CBA3F89" w14:textId="77777777">
        <w:trPr>
          <w:trHeight w:val="368"/>
        </w:trPr>
        <w:tc>
          <w:tcPr>
            <w:tcW w:w="3325" w:type="dxa"/>
          </w:tcPr>
          <w:p w14:paraId="643B2AA6"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4CE01F5C" w14:textId="77777777" w:rsidR="00A720EB" w:rsidRDefault="0030286B">
            <w:pPr>
              <w:pStyle w:val="TableParagraph"/>
              <w:spacing w:before="37"/>
              <w:rPr>
                <w:sz w:val="21"/>
              </w:rPr>
            </w:pPr>
            <w:r>
              <w:rPr>
                <w:color w:val="B02045"/>
                <w:sz w:val="21"/>
              </w:rPr>
              <w:t>spring-boot</w:t>
            </w:r>
          </w:p>
        </w:tc>
        <w:tc>
          <w:tcPr>
            <w:tcW w:w="3325" w:type="dxa"/>
          </w:tcPr>
          <w:p w14:paraId="4D1FEC54"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1DE56054" w14:textId="77777777">
        <w:trPr>
          <w:trHeight w:val="368"/>
        </w:trPr>
        <w:tc>
          <w:tcPr>
            <w:tcW w:w="3325" w:type="dxa"/>
          </w:tcPr>
          <w:p w14:paraId="70244F9F"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3C0F7355" w14:textId="77777777" w:rsidR="00A720EB" w:rsidRDefault="0030286B">
            <w:pPr>
              <w:pStyle w:val="TableParagraph"/>
              <w:spacing w:before="37"/>
              <w:rPr>
                <w:sz w:val="21"/>
              </w:rPr>
            </w:pPr>
            <w:r>
              <w:rPr>
                <w:color w:val="B02045"/>
                <w:sz w:val="21"/>
              </w:rPr>
              <w:t>spring-boot-actuator</w:t>
            </w:r>
          </w:p>
        </w:tc>
        <w:tc>
          <w:tcPr>
            <w:tcW w:w="3325" w:type="dxa"/>
          </w:tcPr>
          <w:p w14:paraId="37C8655D"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6A7C80CE" w14:textId="77777777">
        <w:trPr>
          <w:trHeight w:val="627"/>
        </w:trPr>
        <w:tc>
          <w:tcPr>
            <w:tcW w:w="3325" w:type="dxa"/>
          </w:tcPr>
          <w:p w14:paraId="03AD2B32"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255EC4E1" w14:textId="77777777" w:rsidR="00A720EB" w:rsidRDefault="0030286B">
            <w:pPr>
              <w:pStyle w:val="TableParagraph"/>
              <w:spacing w:before="46" w:line="230" w:lineRule="auto"/>
              <w:ind w:right="1030"/>
              <w:rPr>
                <w:sz w:val="21"/>
              </w:rPr>
            </w:pPr>
            <w:r>
              <w:rPr>
                <w:color w:val="B02045"/>
                <w:sz w:val="21"/>
              </w:rPr>
              <w:t>spring-boot-actuator- autoconfigure</w:t>
            </w:r>
          </w:p>
        </w:tc>
        <w:tc>
          <w:tcPr>
            <w:tcW w:w="3325" w:type="dxa"/>
          </w:tcPr>
          <w:p w14:paraId="3FB3A98E"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7514D015" w14:textId="77777777">
        <w:trPr>
          <w:trHeight w:val="368"/>
        </w:trPr>
        <w:tc>
          <w:tcPr>
            <w:tcW w:w="3325" w:type="dxa"/>
          </w:tcPr>
          <w:p w14:paraId="45663EF8"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7E8A8BA7" w14:textId="77777777" w:rsidR="00A720EB" w:rsidRDefault="0030286B">
            <w:pPr>
              <w:pStyle w:val="TableParagraph"/>
              <w:rPr>
                <w:sz w:val="21"/>
              </w:rPr>
            </w:pPr>
            <w:r>
              <w:rPr>
                <w:color w:val="B02045"/>
                <w:sz w:val="21"/>
              </w:rPr>
              <w:t>spring-boot-autoconfigure</w:t>
            </w:r>
          </w:p>
        </w:tc>
        <w:tc>
          <w:tcPr>
            <w:tcW w:w="3325" w:type="dxa"/>
          </w:tcPr>
          <w:p w14:paraId="241C8486"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4A15CB82" w14:textId="77777777">
        <w:trPr>
          <w:trHeight w:val="627"/>
        </w:trPr>
        <w:tc>
          <w:tcPr>
            <w:tcW w:w="3325" w:type="dxa"/>
          </w:tcPr>
          <w:p w14:paraId="3A7FB9CE"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5107D732" w14:textId="77777777" w:rsidR="00A720EB" w:rsidRDefault="0030286B">
            <w:pPr>
              <w:pStyle w:val="TableParagraph"/>
              <w:spacing w:before="46" w:line="230" w:lineRule="auto"/>
              <w:ind w:right="505"/>
              <w:rPr>
                <w:sz w:val="21"/>
              </w:rPr>
            </w:pPr>
            <w:r>
              <w:rPr>
                <w:color w:val="B02045"/>
                <w:sz w:val="21"/>
              </w:rPr>
              <w:t>spring-boot-autoconfigure- processor</w:t>
            </w:r>
          </w:p>
        </w:tc>
        <w:tc>
          <w:tcPr>
            <w:tcW w:w="3325" w:type="dxa"/>
          </w:tcPr>
          <w:p w14:paraId="34D77E51"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21459FF4" w14:textId="77777777">
        <w:trPr>
          <w:trHeight w:val="368"/>
        </w:trPr>
        <w:tc>
          <w:tcPr>
            <w:tcW w:w="3325" w:type="dxa"/>
          </w:tcPr>
          <w:p w14:paraId="412D0B26"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7811913C" w14:textId="77777777" w:rsidR="00A720EB" w:rsidRDefault="0030286B">
            <w:pPr>
              <w:pStyle w:val="TableParagraph"/>
              <w:rPr>
                <w:sz w:val="21"/>
              </w:rPr>
            </w:pPr>
            <w:r>
              <w:rPr>
                <w:color w:val="B02045"/>
                <w:sz w:val="21"/>
              </w:rPr>
              <w:t>spring-boot-buildpack-platform</w:t>
            </w:r>
          </w:p>
        </w:tc>
        <w:tc>
          <w:tcPr>
            <w:tcW w:w="3325" w:type="dxa"/>
          </w:tcPr>
          <w:p w14:paraId="54FDA23B"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064C5EB1" w14:textId="77777777">
        <w:trPr>
          <w:trHeight w:val="627"/>
        </w:trPr>
        <w:tc>
          <w:tcPr>
            <w:tcW w:w="3325" w:type="dxa"/>
          </w:tcPr>
          <w:p w14:paraId="07162A69"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7865BEA8" w14:textId="77777777" w:rsidR="00A720EB" w:rsidRDefault="0030286B">
            <w:pPr>
              <w:pStyle w:val="TableParagraph"/>
              <w:spacing w:before="46" w:line="230" w:lineRule="auto"/>
              <w:ind w:right="505"/>
              <w:rPr>
                <w:sz w:val="21"/>
              </w:rPr>
            </w:pPr>
            <w:r>
              <w:rPr>
                <w:color w:val="B02045"/>
                <w:sz w:val="21"/>
              </w:rPr>
              <w:t>spring-boot-configuration- metadata</w:t>
            </w:r>
          </w:p>
        </w:tc>
        <w:tc>
          <w:tcPr>
            <w:tcW w:w="3325" w:type="dxa"/>
          </w:tcPr>
          <w:p w14:paraId="72501BEE"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35147BDA" w14:textId="77777777">
        <w:trPr>
          <w:trHeight w:val="627"/>
        </w:trPr>
        <w:tc>
          <w:tcPr>
            <w:tcW w:w="3325" w:type="dxa"/>
          </w:tcPr>
          <w:p w14:paraId="3AD96F10"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42868C95" w14:textId="77777777" w:rsidR="00A720EB" w:rsidRDefault="0030286B">
            <w:pPr>
              <w:pStyle w:val="TableParagraph"/>
              <w:spacing w:before="46" w:line="230" w:lineRule="auto"/>
              <w:ind w:right="505"/>
              <w:rPr>
                <w:sz w:val="21"/>
              </w:rPr>
            </w:pPr>
            <w:r>
              <w:rPr>
                <w:color w:val="B02045"/>
                <w:sz w:val="21"/>
              </w:rPr>
              <w:t>spring-boot-configuration- processor</w:t>
            </w:r>
          </w:p>
        </w:tc>
        <w:tc>
          <w:tcPr>
            <w:tcW w:w="3325" w:type="dxa"/>
          </w:tcPr>
          <w:p w14:paraId="3ECC0CD1"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5556FDC9" w14:textId="77777777">
        <w:trPr>
          <w:trHeight w:val="368"/>
        </w:trPr>
        <w:tc>
          <w:tcPr>
            <w:tcW w:w="3325" w:type="dxa"/>
          </w:tcPr>
          <w:p w14:paraId="6DE0306F"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4CAF1526" w14:textId="77777777" w:rsidR="00A720EB" w:rsidRDefault="0030286B">
            <w:pPr>
              <w:pStyle w:val="TableParagraph"/>
              <w:spacing w:before="37"/>
              <w:rPr>
                <w:sz w:val="21"/>
              </w:rPr>
            </w:pPr>
            <w:r>
              <w:rPr>
                <w:color w:val="B02045"/>
                <w:sz w:val="21"/>
              </w:rPr>
              <w:t>spring-boot-devtools</w:t>
            </w:r>
          </w:p>
        </w:tc>
        <w:tc>
          <w:tcPr>
            <w:tcW w:w="3325" w:type="dxa"/>
          </w:tcPr>
          <w:p w14:paraId="73CB3256"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0757F30F" w14:textId="77777777">
        <w:trPr>
          <w:trHeight w:val="368"/>
        </w:trPr>
        <w:tc>
          <w:tcPr>
            <w:tcW w:w="3325" w:type="dxa"/>
          </w:tcPr>
          <w:p w14:paraId="0552DB45"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56B291F9" w14:textId="77777777" w:rsidR="00A720EB" w:rsidRDefault="0030286B">
            <w:pPr>
              <w:pStyle w:val="TableParagraph"/>
              <w:rPr>
                <w:sz w:val="21"/>
              </w:rPr>
            </w:pPr>
            <w:r>
              <w:rPr>
                <w:color w:val="B02045"/>
                <w:sz w:val="21"/>
              </w:rPr>
              <w:t>spring-boot-jarmode-layertools</w:t>
            </w:r>
          </w:p>
        </w:tc>
        <w:tc>
          <w:tcPr>
            <w:tcW w:w="3325" w:type="dxa"/>
          </w:tcPr>
          <w:p w14:paraId="1B96E83B"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3A0C2738" w14:textId="77777777">
        <w:trPr>
          <w:trHeight w:val="368"/>
        </w:trPr>
        <w:tc>
          <w:tcPr>
            <w:tcW w:w="3325" w:type="dxa"/>
          </w:tcPr>
          <w:p w14:paraId="54142ED6"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25559DE9" w14:textId="77777777" w:rsidR="00A720EB" w:rsidRDefault="0030286B">
            <w:pPr>
              <w:pStyle w:val="TableParagraph"/>
              <w:spacing w:before="37"/>
              <w:rPr>
                <w:sz w:val="21"/>
              </w:rPr>
            </w:pPr>
            <w:r>
              <w:rPr>
                <w:color w:val="B02045"/>
                <w:sz w:val="21"/>
              </w:rPr>
              <w:t>spring-boot-loader</w:t>
            </w:r>
          </w:p>
        </w:tc>
        <w:tc>
          <w:tcPr>
            <w:tcW w:w="3325" w:type="dxa"/>
          </w:tcPr>
          <w:p w14:paraId="6097C923"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03EED7F9" w14:textId="77777777">
        <w:trPr>
          <w:trHeight w:val="368"/>
        </w:trPr>
        <w:tc>
          <w:tcPr>
            <w:tcW w:w="3325" w:type="dxa"/>
          </w:tcPr>
          <w:p w14:paraId="7F497192"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3F96F343" w14:textId="77777777" w:rsidR="00A720EB" w:rsidRDefault="0030286B">
            <w:pPr>
              <w:pStyle w:val="TableParagraph"/>
              <w:rPr>
                <w:sz w:val="21"/>
              </w:rPr>
            </w:pPr>
            <w:r>
              <w:rPr>
                <w:color w:val="B02045"/>
                <w:sz w:val="21"/>
              </w:rPr>
              <w:t>spring-boot-loader-tools</w:t>
            </w:r>
          </w:p>
        </w:tc>
        <w:tc>
          <w:tcPr>
            <w:tcW w:w="3325" w:type="dxa"/>
          </w:tcPr>
          <w:p w14:paraId="1CFF29AF"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78937C75" w14:textId="77777777">
        <w:trPr>
          <w:trHeight w:val="627"/>
        </w:trPr>
        <w:tc>
          <w:tcPr>
            <w:tcW w:w="3325" w:type="dxa"/>
          </w:tcPr>
          <w:p w14:paraId="7CE0242D"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3DD8BF72" w14:textId="77777777" w:rsidR="00A720EB" w:rsidRDefault="0030286B">
            <w:pPr>
              <w:pStyle w:val="TableParagraph"/>
              <w:spacing w:before="46" w:line="230" w:lineRule="auto"/>
              <w:ind w:right="820"/>
              <w:rPr>
                <w:sz w:val="21"/>
              </w:rPr>
            </w:pPr>
            <w:r>
              <w:rPr>
                <w:color w:val="B02045"/>
                <w:sz w:val="21"/>
              </w:rPr>
              <w:t>spring-boot-properties- migrator</w:t>
            </w:r>
          </w:p>
        </w:tc>
        <w:tc>
          <w:tcPr>
            <w:tcW w:w="3325" w:type="dxa"/>
          </w:tcPr>
          <w:p w14:paraId="3F353DDF"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74EE2A84" w14:textId="77777777">
        <w:trPr>
          <w:trHeight w:val="368"/>
        </w:trPr>
        <w:tc>
          <w:tcPr>
            <w:tcW w:w="3325" w:type="dxa"/>
          </w:tcPr>
          <w:p w14:paraId="4D1A9CA6"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10F867CC" w14:textId="77777777" w:rsidR="00A720EB" w:rsidRDefault="0030286B">
            <w:pPr>
              <w:pStyle w:val="TableParagraph"/>
              <w:spacing w:before="37"/>
              <w:rPr>
                <w:sz w:val="21"/>
              </w:rPr>
            </w:pPr>
            <w:r>
              <w:rPr>
                <w:color w:val="B02045"/>
                <w:sz w:val="21"/>
              </w:rPr>
              <w:t>spring-boot-starter</w:t>
            </w:r>
          </w:p>
        </w:tc>
        <w:tc>
          <w:tcPr>
            <w:tcW w:w="3325" w:type="dxa"/>
          </w:tcPr>
          <w:p w14:paraId="24B2A845"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24A448E9" w14:textId="77777777">
        <w:trPr>
          <w:trHeight w:val="368"/>
        </w:trPr>
        <w:tc>
          <w:tcPr>
            <w:tcW w:w="3325" w:type="dxa"/>
          </w:tcPr>
          <w:p w14:paraId="6FE206C8"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4D2B182C" w14:textId="77777777" w:rsidR="00A720EB" w:rsidRDefault="0030286B">
            <w:pPr>
              <w:pStyle w:val="TableParagraph"/>
              <w:rPr>
                <w:sz w:val="21"/>
              </w:rPr>
            </w:pPr>
            <w:r>
              <w:rPr>
                <w:color w:val="B02045"/>
                <w:sz w:val="21"/>
              </w:rPr>
              <w:t>spring-boot-starter-activemq</w:t>
            </w:r>
          </w:p>
        </w:tc>
        <w:tc>
          <w:tcPr>
            <w:tcW w:w="3325" w:type="dxa"/>
          </w:tcPr>
          <w:p w14:paraId="094B3105"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516BB85D" w14:textId="77777777">
        <w:trPr>
          <w:trHeight w:val="368"/>
        </w:trPr>
        <w:tc>
          <w:tcPr>
            <w:tcW w:w="3325" w:type="dxa"/>
          </w:tcPr>
          <w:p w14:paraId="4D8DE00C"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56D8F830" w14:textId="77777777" w:rsidR="00A720EB" w:rsidRDefault="0030286B">
            <w:pPr>
              <w:pStyle w:val="TableParagraph"/>
              <w:rPr>
                <w:sz w:val="21"/>
              </w:rPr>
            </w:pPr>
            <w:r>
              <w:rPr>
                <w:color w:val="B02045"/>
                <w:sz w:val="21"/>
              </w:rPr>
              <w:t>spring-boot-starter-actuator</w:t>
            </w:r>
          </w:p>
        </w:tc>
        <w:tc>
          <w:tcPr>
            <w:tcW w:w="3325" w:type="dxa"/>
          </w:tcPr>
          <w:p w14:paraId="5CB61C62"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7064B657" w14:textId="77777777">
        <w:trPr>
          <w:trHeight w:val="368"/>
        </w:trPr>
        <w:tc>
          <w:tcPr>
            <w:tcW w:w="3325" w:type="dxa"/>
          </w:tcPr>
          <w:p w14:paraId="2C8C9CAE"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29639156" w14:textId="77777777" w:rsidR="00A720EB" w:rsidRDefault="0030286B">
            <w:pPr>
              <w:pStyle w:val="TableParagraph"/>
              <w:rPr>
                <w:sz w:val="21"/>
              </w:rPr>
            </w:pPr>
            <w:r>
              <w:rPr>
                <w:color w:val="B02045"/>
                <w:sz w:val="21"/>
              </w:rPr>
              <w:t>spring-boot-starter-amqp</w:t>
            </w:r>
          </w:p>
        </w:tc>
        <w:tc>
          <w:tcPr>
            <w:tcW w:w="3325" w:type="dxa"/>
          </w:tcPr>
          <w:p w14:paraId="6BCB46B6"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722E44E6" w14:textId="77777777">
        <w:trPr>
          <w:trHeight w:val="368"/>
        </w:trPr>
        <w:tc>
          <w:tcPr>
            <w:tcW w:w="3325" w:type="dxa"/>
          </w:tcPr>
          <w:p w14:paraId="62B41C1E"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32A7961F" w14:textId="77777777" w:rsidR="00A720EB" w:rsidRDefault="0030286B">
            <w:pPr>
              <w:pStyle w:val="TableParagraph"/>
              <w:rPr>
                <w:sz w:val="21"/>
              </w:rPr>
            </w:pPr>
            <w:r>
              <w:rPr>
                <w:color w:val="B02045"/>
                <w:sz w:val="21"/>
              </w:rPr>
              <w:t>spring-boot-starter-aop</w:t>
            </w:r>
          </w:p>
        </w:tc>
        <w:tc>
          <w:tcPr>
            <w:tcW w:w="3325" w:type="dxa"/>
          </w:tcPr>
          <w:p w14:paraId="6236FA54"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bl>
    <w:p w14:paraId="74162A55"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4B9F83F6" w14:textId="77777777">
        <w:trPr>
          <w:trHeight w:val="415"/>
        </w:trPr>
        <w:tc>
          <w:tcPr>
            <w:tcW w:w="3325" w:type="dxa"/>
            <w:tcBorders>
              <w:bottom w:val="single" w:sz="12" w:space="0" w:color="DDDDDD"/>
            </w:tcBorders>
          </w:tcPr>
          <w:p w14:paraId="1162E59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1A0F4659"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570A9268"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0589AB6F" w14:textId="77777777">
        <w:trPr>
          <w:trHeight w:val="358"/>
        </w:trPr>
        <w:tc>
          <w:tcPr>
            <w:tcW w:w="3325" w:type="dxa"/>
            <w:tcBorders>
              <w:top w:val="single" w:sz="12" w:space="0" w:color="DDDDDD"/>
            </w:tcBorders>
          </w:tcPr>
          <w:p w14:paraId="41964896"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.boot</w:t>
            </w:r>
          </w:p>
        </w:tc>
        <w:tc>
          <w:tcPr>
            <w:tcW w:w="3325" w:type="dxa"/>
            <w:tcBorders>
              <w:top w:val="single" w:sz="12" w:space="0" w:color="DDDDDD"/>
            </w:tcBorders>
          </w:tcPr>
          <w:p w14:paraId="3D6B82A0" w14:textId="77777777" w:rsidR="00A720EB" w:rsidRDefault="0030286B">
            <w:pPr>
              <w:pStyle w:val="TableParagraph"/>
              <w:spacing w:before="27"/>
              <w:rPr>
                <w:sz w:val="21"/>
              </w:rPr>
            </w:pPr>
            <w:r>
              <w:rPr>
                <w:color w:val="B02045"/>
                <w:sz w:val="21"/>
              </w:rPr>
              <w:t>spring-boot-starter-artemis</w:t>
            </w:r>
          </w:p>
        </w:tc>
        <w:tc>
          <w:tcPr>
            <w:tcW w:w="3325" w:type="dxa"/>
            <w:tcBorders>
              <w:top w:val="single" w:sz="12" w:space="0" w:color="DDDDDD"/>
            </w:tcBorders>
          </w:tcPr>
          <w:p w14:paraId="607F0FB0" w14:textId="77777777" w:rsidR="00A720EB" w:rsidRDefault="0030286B">
            <w:pPr>
              <w:pStyle w:val="TableParagraph"/>
              <w:spacing w:before="27"/>
              <w:rPr>
                <w:sz w:val="21"/>
              </w:rPr>
            </w:pPr>
            <w:r>
              <w:rPr>
                <w:color w:val="B02045"/>
                <w:sz w:val="21"/>
              </w:rPr>
              <w:t>2.3.</w:t>
            </w:r>
            <w:proofErr w:type="gramStart"/>
            <w:r>
              <w:rPr>
                <w:color w:val="B02045"/>
                <w:sz w:val="21"/>
              </w:rPr>
              <w:t>4.RELEASE</w:t>
            </w:r>
            <w:proofErr w:type="gramEnd"/>
          </w:p>
        </w:tc>
      </w:tr>
      <w:tr w:rsidR="00A720EB" w14:paraId="374F4986" w14:textId="77777777">
        <w:trPr>
          <w:trHeight w:val="368"/>
        </w:trPr>
        <w:tc>
          <w:tcPr>
            <w:tcW w:w="3325" w:type="dxa"/>
          </w:tcPr>
          <w:p w14:paraId="0D82624C"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5E01AE16" w14:textId="77777777" w:rsidR="00A720EB" w:rsidRDefault="0030286B">
            <w:pPr>
              <w:pStyle w:val="TableParagraph"/>
              <w:spacing w:before="37"/>
              <w:rPr>
                <w:sz w:val="21"/>
              </w:rPr>
            </w:pPr>
            <w:r>
              <w:rPr>
                <w:color w:val="B02045"/>
                <w:sz w:val="21"/>
              </w:rPr>
              <w:t>spring-boot-starter-batch</w:t>
            </w:r>
          </w:p>
        </w:tc>
        <w:tc>
          <w:tcPr>
            <w:tcW w:w="3325" w:type="dxa"/>
          </w:tcPr>
          <w:p w14:paraId="01806FD7"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6F24767C" w14:textId="77777777">
        <w:trPr>
          <w:trHeight w:val="368"/>
        </w:trPr>
        <w:tc>
          <w:tcPr>
            <w:tcW w:w="3325" w:type="dxa"/>
          </w:tcPr>
          <w:p w14:paraId="77C458EB"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4294205D" w14:textId="77777777" w:rsidR="00A720EB" w:rsidRDefault="0030286B">
            <w:pPr>
              <w:pStyle w:val="TableParagraph"/>
              <w:spacing w:before="37"/>
              <w:rPr>
                <w:sz w:val="21"/>
              </w:rPr>
            </w:pPr>
            <w:r>
              <w:rPr>
                <w:color w:val="B02045"/>
                <w:sz w:val="21"/>
              </w:rPr>
              <w:t>spring-boot-starter-cache</w:t>
            </w:r>
          </w:p>
        </w:tc>
        <w:tc>
          <w:tcPr>
            <w:tcW w:w="3325" w:type="dxa"/>
          </w:tcPr>
          <w:p w14:paraId="47AA6654"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43242823" w14:textId="77777777">
        <w:trPr>
          <w:trHeight w:val="627"/>
        </w:trPr>
        <w:tc>
          <w:tcPr>
            <w:tcW w:w="3325" w:type="dxa"/>
          </w:tcPr>
          <w:p w14:paraId="64E2684F"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5CC882E0" w14:textId="77777777" w:rsidR="00A720EB" w:rsidRDefault="0030286B">
            <w:pPr>
              <w:pStyle w:val="TableParagraph"/>
              <w:spacing w:before="46" w:line="230" w:lineRule="auto"/>
              <w:ind w:right="610"/>
              <w:rPr>
                <w:sz w:val="21"/>
              </w:rPr>
            </w:pPr>
            <w:r>
              <w:rPr>
                <w:color w:val="B02045"/>
                <w:sz w:val="21"/>
              </w:rPr>
              <w:t>spring-boot-starter-data- cassandra</w:t>
            </w:r>
          </w:p>
        </w:tc>
        <w:tc>
          <w:tcPr>
            <w:tcW w:w="3325" w:type="dxa"/>
          </w:tcPr>
          <w:p w14:paraId="1351C5F6"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0E38830A" w14:textId="77777777">
        <w:trPr>
          <w:trHeight w:val="627"/>
        </w:trPr>
        <w:tc>
          <w:tcPr>
            <w:tcW w:w="3325" w:type="dxa"/>
          </w:tcPr>
          <w:p w14:paraId="5D24A247"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61725648" w14:textId="77777777" w:rsidR="00A720EB" w:rsidRDefault="0030286B">
            <w:pPr>
              <w:pStyle w:val="TableParagraph"/>
              <w:spacing w:before="46" w:line="230" w:lineRule="auto"/>
              <w:ind w:right="627"/>
              <w:rPr>
                <w:sz w:val="21"/>
              </w:rPr>
            </w:pPr>
            <w:r>
              <w:rPr>
                <w:color w:val="B02045"/>
                <w:sz w:val="21"/>
              </w:rPr>
              <w:t>spring-boot-starter-data- cassandra-reactive</w:t>
            </w:r>
          </w:p>
        </w:tc>
        <w:tc>
          <w:tcPr>
            <w:tcW w:w="3325" w:type="dxa"/>
          </w:tcPr>
          <w:p w14:paraId="7A64F5D9"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1232047E" w14:textId="77777777">
        <w:trPr>
          <w:trHeight w:val="627"/>
        </w:trPr>
        <w:tc>
          <w:tcPr>
            <w:tcW w:w="3325" w:type="dxa"/>
          </w:tcPr>
          <w:p w14:paraId="2907DE31"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2DE3C330" w14:textId="77777777" w:rsidR="00A720EB" w:rsidRDefault="0030286B">
            <w:pPr>
              <w:pStyle w:val="TableParagraph"/>
              <w:spacing w:before="46" w:line="230" w:lineRule="auto"/>
              <w:ind w:right="610"/>
              <w:rPr>
                <w:sz w:val="21"/>
              </w:rPr>
            </w:pPr>
            <w:r>
              <w:rPr>
                <w:color w:val="B02045"/>
                <w:sz w:val="21"/>
              </w:rPr>
              <w:t>spring-boot-starter-data- couchbase</w:t>
            </w:r>
          </w:p>
        </w:tc>
        <w:tc>
          <w:tcPr>
            <w:tcW w:w="3325" w:type="dxa"/>
          </w:tcPr>
          <w:p w14:paraId="15C3C38F"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3D5B6D18" w14:textId="77777777">
        <w:trPr>
          <w:trHeight w:val="627"/>
        </w:trPr>
        <w:tc>
          <w:tcPr>
            <w:tcW w:w="3325" w:type="dxa"/>
          </w:tcPr>
          <w:p w14:paraId="23E30A73"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5814ABDA" w14:textId="77777777" w:rsidR="00A720EB" w:rsidRDefault="0030286B">
            <w:pPr>
              <w:pStyle w:val="TableParagraph"/>
              <w:spacing w:before="46" w:line="230" w:lineRule="auto"/>
              <w:ind w:right="627"/>
              <w:rPr>
                <w:sz w:val="21"/>
              </w:rPr>
            </w:pPr>
            <w:r>
              <w:rPr>
                <w:color w:val="B02045"/>
                <w:sz w:val="21"/>
              </w:rPr>
              <w:t>spring-boot-starter-data- couchbase-reactive</w:t>
            </w:r>
          </w:p>
        </w:tc>
        <w:tc>
          <w:tcPr>
            <w:tcW w:w="3325" w:type="dxa"/>
          </w:tcPr>
          <w:p w14:paraId="2C11AE60"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6C6B3E2A" w14:textId="77777777">
        <w:trPr>
          <w:trHeight w:val="627"/>
        </w:trPr>
        <w:tc>
          <w:tcPr>
            <w:tcW w:w="3325" w:type="dxa"/>
          </w:tcPr>
          <w:p w14:paraId="777511D9"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613AB3C2" w14:textId="77777777" w:rsidR="00A720EB" w:rsidRDefault="0030286B">
            <w:pPr>
              <w:pStyle w:val="TableParagraph"/>
              <w:spacing w:before="46" w:line="230" w:lineRule="auto"/>
              <w:ind w:right="610"/>
              <w:rPr>
                <w:sz w:val="21"/>
              </w:rPr>
            </w:pPr>
            <w:r>
              <w:rPr>
                <w:color w:val="B02045"/>
                <w:sz w:val="21"/>
              </w:rPr>
              <w:t>spring-boot-starter-data- elasticsearch</w:t>
            </w:r>
          </w:p>
        </w:tc>
        <w:tc>
          <w:tcPr>
            <w:tcW w:w="3325" w:type="dxa"/>
          </w:tcPr>
          <w:p w14:paraId="240EF21E"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13D2EE62" w14:textId="77777777">
        <w:trPr>
          <w:trHeight w:val="368"/>
        </w:trPr>
        <w:tc>
          <w:tcPr>
            <w:tcW w:w="3325" w:type="dxa"/>
          </w:tcPr>
          <w:p w14:paraId="693CC638"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5B8D4103" w14:textId="77777777" w:rsidR="00A720EB" w:rsidRDefault="0030286B">
            <w:pPr>
              <w:pStyle w:val="TableParagraph"/>
              <w:rPr>
                <w:sz w:val="21"/>
              </w:rPr>
            </w:pPr>
            <w:r>
              <w:rPr>
                <w:color w:val="B02045"/>
                <w:sz w:val="21"/>
              </w:rPr>
              <w:t>spring-boot-starter-data-jdbc</w:t>
            </w:r>
          </w:p>
        </w:tc>
        <w:tc>
          <w:tcPr>
            <w:tcW w:w="3325" w:type="dxa"/>
          </w:tcPr>
          <w:p w14:paraId="5503F4CB"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617633C6" w14:textId="77777777">
        <w:trPr>
          <w:trHeight w:val="368"/>
        </w:trPr>
        <w:tc>
          <w:tcPr>
            <w:tcW w:w="3325" w:type="dxa"/>
          </w:tcPr>
          <w:p w14:paraId="1E0FE8E4"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63662AA6" w14:textId="77777777" w:rsidR="00A720EB" w:rsidRDefault="0030286B">
            <w:pPr>
              <w:pStyle w:val="TableParagraph"/>
              <w:rPr>
                <w:sz w:val="21"/>
              </w:rPr>
            </w:pPr>
            <w:r>
              <w:rPr>
                <w:color w:val="B02045"/>
                <w:sz w:val="21"/>
              </w:rPr>
              <w:t>spring-boot-starter-data-jpa</w:t>
            </w:r>
          </w:p>
        </w:tc>
        <w:tc>
          <w:tcPr>
            <w:tcW w:w="3325" w:type="dxa"/>
          </w:tcPr>
          <w:p w14:paraId="617F0881"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5125AED2" w14:textId="77777777">
        <w:trPr>
          <w:trHeight w:val="368"/>
        </w:trPr>
        <w:tc>
          <w:tcPr>
            <w:tcW w:w="3325" w:type="dxa"/>
          </w:tcPr>
          <w:p w14:paraId="0EAD16E3"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2153C1C8" w14:textId="77777777" w:rsidR="00A720EB" w:rsidRDefault="0030286B">
            <w:pPr>
              <w:pStyle w:val="TableParagraph"/>
              <w:spacing w:before="37"/>
              <w:rPr>
                <w:sz w:val="21"/>
              </w:rPr>
            </w:pPr>
            <w:r>
              <w:rPr>
                <w:color w:val="B02045"/>
                <w:sz w:val="21"/>
              </w:rPr>
              <w:t>spring-boot-starter-data-ldap</w:t>
            </w:r>
          </w:p>
        </w:tc>
        <w:tc>
          <w:tcPr>
            <w:tcW w:w="3325" w:type="dxa"/>
          </w:tcPr>
          <w:p w14:paraId="253DDBCB"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79D7352F" w14:textId="77777777">
        <w:trPr>
          <w:trHeight w:val="627"/>
        </w:trPr>
        <w:tc>
          <w:tcPr>
            <w:tcW w:w="3325" w:type="dxa"/>
          </w:tcPr>
          <w:p w14:paraId="2DB09159"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69C4BBC0" w14:textId="77777777" w:rsidR="00A720EB" w:rsidRDefault="0030286B">
            <w:pPr>
              <w:pStyle w:val="TableParagraph"/>
              <w:spacing w:before="46" w:line="230" w:lineRule="auto"/>
              <w:ind w:right="610"/>
              <w:rPr>
                <w:sz w:val="21"/>
              </w:rPr>
            </w:pPr>
            <w:r>
              <w:rPr>
                <w:color w:val="B02045"/>
                <w:sz w:val="21"/>
              </w:rPr>
              <w:t>spring-boot-starter-data- mongodb</w:t>
            </w:r>
          </w:p>
        </w:tc>
        <w:tc>
          <w:tcPr>
            <w:tcW w:w="3325" w:type="dxa"/>
          </w:tcPr>
          <w:p w14:paraId="3B63AC56"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5A027096" w14:textId="77777777">
        <w:trPr>
          <w:trHeight w:val="627"/>
        </w:trPr>
        <w:tc>
          <w:tcPr>
            <w:tcW w:w="3325" w:type="dxa"/>
          </w:tcPr>
          <w:p w14:paraId="50203306"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7E525D32" w14:textId="77777777" w:rsidR="00A720EB" w:rsidRDefault="0030286B">
            <w:pPr>
              <w:pStyle w:val="TableParagraph"/>
              <w:spacing w:before="46" w:line="230" w:lineRule="auto"/>
              <w:ind w:right="627"/>
              <w:rPr>
                <w:sz w:val="21"/>
              </w:rPr>
            </w:pPr>
            <w:r>
              <w:rPr>
                <w:color w:val="B02045"/>
                <w:sz w:val="21"/>
              </w:rPr>
              <w:t>spring-boot-starter-data- mongodb-reactive</w:t>
            </w:r>
          </w:p>
        </w:tc>
        <w:tc>
          <w:tcPr>
            <w:tcW w:w="3325" w:type="dxa"/>
          </w:tcPr>
          <w:p w14:paraId="38CE3635"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1A68E432" w14:textId="77777777">
        <w:trPr>
          <w:trHeight w:val="368"/>
        </w:trPr>
        <w:tc>
          <w:tcPr>
            <w:tcW w:w="3325" w:type="dxa"/>
          </w:tcPr>
          <w:p w14:paraId="2AA60276"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3DB925C9" w14:textId="77777777" w:rsidR="00A720EB" w:rsidRDefault="0030286B">
            <w:pPr>
              <w:pStyle w:val="TableParagraph"/>
              <w:rPr>
                <w:sz w:val="21"/>
              </w:rPr>
            </w:pPr>
            <w:r>
              <w:rPr>
                <w:color w:val="B02045"/>
                <w:sz w:val="21"/>
              </w:rPr>
              <w:t>spring-boot-starter-data-neo4j</w:t>
            </w:r>
          </w:p>
        </w:tc>
        <w:tc>
          <w:tcPr>
            <w:tcW w:w="3325" w:type="dxa"/>
          </w:tcPr>
          <w:p w14:paraId="02EB5D59"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464DDCBC" w14:textId="77777777">
        <w:trPr>
          <w:trHeight w:val="368"/>
        </w:trPr>
        <w:tc>
          <w:tcPr>
            <w:tcW w:w="3325" w:type="dxa"/>
          </w:tcPr>
          <w:p w14:paraId="450702DF"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3905F20A" w14:textId="77777777" w:rsidR="00A720EB" w:rsidRDefault="0030286B">
            <w:pPr>
              <w:pStyle w:val="TableParagraph"/>
              <w:rPr>
                <w:sz w:val="21"/>
              </w:rPr>
            </w:pPr>
            <w:r>
              <w:rPr>
                <w:color w:val="B02045"/>
                <w:sz w:val="21"/>
              </w:rPr>
              <w:t>spring-boot-starter-data-r2dbc</w:t>
            </w:r>
          </w:p>
        </w:tc>
        <w:tc>
          <w:tcPr>
            <w:tcW w:w="3325" w:type="dxa"/>
          </w:tcPr>
          <w:p w14:paraId="342338FC"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04DFB120" w14:textId="77777777">
        <w:trPr>
          <w:trHeight w:val="368"/>
        </w:trPr>
        <w:tc>
          <w:tcPr>
            <w:tcW w:w="3325" w:type="dxa"/>
          </w:tcPr>
          <w:p w14:paraId="3419F330"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62933893" w14:textId="77777777" w:rsidR="00A720EB" w:rsidRDefault="0030286B">
            <w:pPr>
              <w:pStyle w:val="TableParagraph"/>
              <w:spacing w:before="37"/>
              <w:rPr>
                <w:sz w:val="21"/>
              </w:rPr>
            </w:pPr>
            <w:r>
              <w:rPr>
                <w:color w:val="B02045"/>
                <w:sz w:val="21"/>
              </w:rPr>
              <w:t>spring-boot-starter-data-redis</w:t>
            </w:r>
          </w:p>
        </w:tc>
        <w:tc>
          <w:tcPr>
            <w:tcW w:w="3325" w:type="dxa"/>
          </w:tcPr>
          <w:p w14:paraId="44EE4BD3"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69254C33" w14:textId="77777777">
        <w:trPr>
          <w:trHeight w:val="627"/>
        </w:trPr>
        <w:tc>
          <w:tcPr>
            <w:tcW w:w="3325" w:type="dxa"/>
          </w:tcPr>
          <w:p w14:paraId="149AD971"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13947C1A" w14:textId="77777777" w:rsidR="00A720EB" w:rsidRDefault="0030286B">
            <w:pPr>
              <w:pStyle w:val="TableParagraph"/>
              <w:spacing w:before="46" w:line="230" w:lineRule="auto"/>
              <w:ind w:right="627"/>
              <w:rPr>
                <w:sz w:val="21"/>
              </w:rPr>
            </w:pPr>
            <w:r>
              <w:rPr>
                <w:color w:val="B02045"/>
                <w:sz w:val="21"/>
              </w:rPr>
              <w:t>spring-boot-starter-data- redis-reactive</w:t>
            </w:r>
          </w:p>
        </w:tc>
        <w:tc>
          <w:tcPr>
            <w:tcW w:w="3325" w:type="dxa"/>
          </w:tcPr>
          <w:p w14:paraId="42699FD3"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37852DDA" w14:textId="77777777">
        <w:trPr>
          <w:trHeight w:val="368"/>
        </w:trPr>
        <w:tc>
          <w:tcPr>
            <w:tcW w:w="3325" w:type="dxa"/>
          </w:tcPr>
          <w:p w14:paraId="56E9259B"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4954866C" w14:textId="77777777" w:rsidR="00A720EB" w:rsidRDefault="0030286B">
            <w:pPr>
              <w:pStyle w:val="TableParagraph"/>
              <w:rPr>
                <w:sz w:val="21"/>
              </w:rPr>
            </w:pPr>
            <w:r>
              <w:rPr>
                <w:color w:val="B02045"/>
                <w:sz w:val="21"/>
              </w:rPr>
              <w:t>spring-boot-starter-data-rest</w:t>
            </w:r>
          </w:p>
        </w:tc>
        <w:tc>
          <w:tcPr>
            <w:tcW w:w="3325" w:type="dxa"/>
          </w:tcPr>
          <w:p w14:paraId="4AB5B247"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2261AB96" w14:textId="77777777">
        <w:trPr>
          <w:trHeight w:val="368"/>
        </w:trPr>
        <w:tc>
          <w:tcPr>
            <w:tcW w:w="3325" w:type="dxa"/>
          </w:tcPr>
          <w:p w14:paraId="0B3CD8CB"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385599FF" w14:textId="77777777" w:rsidR="00A720EB" w:rsidRDefault="0030286B">
            <w:pPr>
              <w:pStyle w:val="TableParagraph"/>
              <w:spacing w:before="37"/>
              <w:rPr>
                <w:sz w:val="21"/>
              </w:rPr>
            </w:pPr>
            <w:r>
              <w:rPr>
                <w:color w:val="B02045"/>
                <w:sz w:val="21"/>
              </w:rPr>
              <w:t>spring-boot-starter-data-solr</w:t>
            </w:r>
          </w:p>
        </w:tc>
        <w:tc>
          <w:tcPr>
            <w:tcW w:w="3325" w:type="dxa"/>
          </w:tcPr>
          <w:p w14:paraId="47019298"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7DA9E286" w14:textId="77777777">
        <w:trPr>
          <w:trHeight w:val="368"/>
        </w:trPr>
        <w:tc>
          <w:tcPr>
            <w:tcW w:w="3325" w:type="dxa"/>
          </w:tcPr>
          <w:p w14:paraId="18004F38"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5EEBD3E2" w14:textId="77777777" w:rsidR="00A720EB" w:rsidRDefault="0030286B">
            <w:pPr>
              <w:pStyle w:val="TableParagraph"/>
              <w:spacing w:before="37"/>
              <w:rPr>
                <w:sz w:val="21"/>
              </w:rPr>
            </w:pPr>
            <w:r>
              <w:rPr>
                <w:color w:val="B02045"/>
                <w:sz w:val="21"/>
              </w:rPr>
              <w:t>spring-boot-starter-freemarker</w:t>
            </w:r>
          </w:p>
        </w:tc>
        <w:tc>
          <w:tcPr>
            <w:tcW w:w="3325" w:type="dxa"/>
          </w:tcPr>
          <w:p w14:paraId="182C7C51"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57D69334" w14:textId="77777777">
        <w:trPr>
          <w:trHeight w:val="627"/>
        </w:trPr>
        <w:tc>
          <w:tcPr>
            <w:tcW w:w="3325" w:type="dxa"/>
          </w:tcPr>
          <w:p w14:paraId="79642A3C"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12B52DDF" w14:textId="77777777" w:rsidR="00A720EB" w:rsidRDefault="0030286B">
            <w:pPr>
              <w:pStyle w:val="TableParagraph"/>
              <w:spacing w:before="46" w:line="230" w:lineRule="auto"/>
              <w:ind w:right="400"/>
              <w:rPr>
                <w:sz w:val="21"/>
              </w:rPr>
            </w:pPr>
            <w:r>
              <w:rPr>
                <w:color w:val="B02045"/>
                <w:sz w:val="21"/>
              </w:rPr>
              <w:t>spring-boot-starter-groovy- templates</w:t>
            </w:r>
          </w:p>
        </w:tc>
        <w:tc>
          <w:tcPr>
            <w:tcW w:w="3325" w:type="dxa"/>
          </w:tcPr>
          <w:p w14:paraId="4BAD710B"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724EE5C5" w14:textId="77777777">
        <w:trPr>
          <w:trHeight w:val="368"/>
        </w:trPr>
        <w:tc>
          <w:tcPr>
            <w:tcW w:w="3325" w:type="dxa"/>
          </w:tcPr>
          <w:p w14:paraId="5DDA146B"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124E479B" w14:textId="77777777" w:rsidR="00A720EB" w:rsidRDefault="0030286B">
            <w:pPr>
              <w:pStyle w:val="TableParagraph"/>
              <w:spacing w:before="37"/>
              <w:rPr>
                <w:sz w:val="21"/>
              </w:rPr>
            </w:pPr>
            <w:r>
              <w:rPr>
                <w:color w:val="B02045"/>
                <w:sz w:val="21"/>
              </w:rPr>
              <w:t>spring-boot-starter-hateoas</w:t>
            </w:r>
          </w:p>
        </w:tc>
        <w:tc>
          <w:tcPr>
            <w:tcW w:w="3325" w:type="dxa"/>
          </w:tcPr>
          <w:p w14:paraId="601DCD03"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18529DB8" w14:textId="77777777">
        <w:trPr>
          <w:trHeight w:val="627"/>
        </w:trPr>
        <w:tc>
          <w:tcPr>
            <w:tcW w:w="3325" w:type="dxa"/>
          </w:tcPr>
          <w:p w14:paraId="57D1B62B"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2346765A" w14:textId="77777777" w:rsidR="00A720EB" w:rsidRDefault="0030286B">
            <w:pPr>
              <w:pStyle w:val="TableParagraph"/>
              <w:spacing w:before="46" w:line="230" w:lineRule="auto"/>
              <w:ind w:right="1135"/>
              <w:rPr>
                <w:sz w:val="21"/>
              </w:rPr>
            </w:pPr>
            <w:r>
              <w:rPr>
                <w:color w:val="B02045"/>
                <w:sz w:val="21"/>
              </w:rPr>
              <w:t>spring-boot-starter- integration</w:t>
            </w:r>
          </w:p>
        </w:tc>
        <w:tc>
          <w:tcPr>
            <w:tcW w:w="3325" w:type="dxa"/>
          </w:tcPr>
          <w:p w14:paraId="61370F4B"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57A24F56" w14:textId="77777777">
        <w:trPr>
          <w:trHeight w:val="368"/>
        </w:trPr>
        <w:tc>
          <w:tcPr>
            <w:tcW w:w="3325" w:type="dxa"/>
          </w:tcPr>
          <w:p w14:paraId="34795DC8"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2F0F9581" w14:textId="77777777" w:rsidR="00A720EB" w:rsidRDefault="0030286B">
            <w:pPr>
              <w:pStyle w:val="TableParagraph"/>
              <w:spacing w:before="37"/>
              <w:rPr>
                <w:sz w:val="21"/>
              </w:rPr>
            </w:pPr>
            <w:r>
              <w:rPr>
                <w:color w:val="B02045"/>
                <w:sz w:val="21"/>
              </w:rPr>
              <w:t>spring-boot-starter-jdbc</w:t>
            </w:r>
          </w:p>
        </w:tc>
        <w:tc>
          <w:tcPr>
            <w:tcW w:w="3325" w:type="dxa"/>
          </w:tcPr>
          <w:p w14:paraId="03E73329"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792F5B4A" w14:textId="77777777">
        <w:trPr>
          <w:trHeight w:val="368"/>
        </w:trPr>
        <w:tc>
          <w:tcPr>
            <w:tcW w:w="3325" w:type="dxa"/>
          </w:tcPr>
          <w:p w14:paraId="08CA6CDD"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58BF0CDC" w14:textId="77777777" w:rsidR="00A720EB" w:rsidRDefault="0030286B">
            <w:pPr>
              <w:pStyle w:val="TableParagraph"/>
              <w:rPr>
                <w:sz w:val="21"/>
              </w:rPr>
            </w:pPr>
            <w:r>
              <w:rPr>
                <w:color w:val="B02045"/>
                <w:sz w:val="21"/>
              </w:rPr>
              <w:t>spring-boot-starter-jersey</w:t>
            </w:r>
          </w:p>
        </w:tc>
        <w:tc>
          <w:tcPr>
            <w:tcW w:w="3325" w:type="dxa"/>
          </w:tcPr>
          <w:p w14:paraId="345D4511"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56FFCE6F" w14:textId="77777777">
        <w:trPr>
          <w:trHeight w:val="368"/>
        </w:trPr>
        <w:tc>
          <w:tcPr>
            <w:tcW w:w="3325" w:type="dxa"/>
          </w:tcPr>
          <w:p w14:paraId="28CE15FA"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052DE779" w14:textId="77777777" w:rsidR="00A720EB" w:rsidRDefault="0030286B">
            <w:pPr>
              <w:pStyle w:val="TableParagraph"/>
              <w:spacing w:before="37"/>
              <w:rPr>
                <w:sz w:val="21"/>
              </w:rPr>
            </w:pPr>
            <w:r>
              <w:rPr>
                <w:color w:val="B02045"/>
                <w:sz w:val="21"/>
              </w:rPr>
              <w:t>spring-boot-starter-jetty</w:t>
            </w:r>
          </w:p>
        </w:tc>
        <w:tc>
          <w:tcPr>
            <w:tcW w:w="3325" w:type="dxa"/>
          </w:tcPr>
          <w:p w14:paraId="4D15C3A7"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576FDCBE" w14:textId="77777777">
        <w:trPr>
          <w:trHeight w:val="368"/>
        </w:trPr>
        <w:tc>
          <w:tcPr>
            <w:tcW w:w="3325" w:type="dxa"/>
          </w:tcPr>
          <w:p w14:paraId="2E9F6053"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333F2E7D" w14:textId="77777777" w:rsidR="00A720EB" w:rsidRDefault="0030286B">
            <w:pPr>
              <w:pStyle w:val="TableParagraph"/>
              <w:rPr>
                <w:sz w:val="21"/>
              </w:rPr>
            </w:pPr>
            <w:r>
              <w:rPr>
                <w:color w:val="B02045"/>
                <w:sz w:val="21"/>
              </w:rPr>
              <w:t>spring-boot-starter-jooq</w:t>
            </w:r>
          </w:p>
        </w:tc>
        <w:tc>
          <w:tcPr>
            <w:tcW w:w="3325" w:type="dxa"/>
          </w:tcPr>
          <w:p w14:paraId="19E73F30"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10F26B44" w14:textId="77777777">
        <w:trPr>
          <w:trHeight w:val="368"/>
        </w:trPr>
        <w:tc>
          <w:tcPr>
            <w:tcW w:w="3325" w:type="dxa"/>
          </w:tcPr>
          <w:p w14:paraId="797449B9"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7D3D4334" w14:textId="77777777" w:rsidR="00A720EB" w:rsidRDefault="0030286B">
            <w:pPr>
              <w:pStyle w:val="TableParagraph"/>
              <w:spacing w:before="37"/>
              <w:rPr>
                <w:sz w:val="21"/>
              </w:rPr>
            </w:pPr>
            <w:r>
              <w:rPr>
                <w:color w:val="B02045"/>
                <w:sz w:val="21"/>
              </w:rPr>
              <w:t>spring-boot-starter-json</w:t>
            </w:r>
          </w:p>
        </w:tc>
        <w:tc>
          <w:tcPr>
            <w:tcW w:w="3325" w:type="dxa"/>
          </w:tcPr>
          <w:p w14:paraId="32480B9E"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564794A9" w14:textId="77777777">
        <w:trPr>
          <w:trHeight w:val="627"/>
        </w:trPr>
        <w:tc>
          <w:tcPr>
            <w:tcW w:w="3325" w:type="dxa"/>
          </w:tcPr>
          <w:p w14:paraId="3F09D264"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76D91320" w14:textId="77777777" w:rsidR="00A720EB" w:rsidRDefault="0030286B">
            <w:pPr>
              <w:pStyle w:val="TableParagraph"/>
              <w:spacing w:before="46" w:line="230" w:lineRule="auto"/>
              <w:ind w:right="715"/>
              <w:rPr>
                <w:sz w:val="21"/>
              </w:rPr>
            </w:pPr>
            <w:r>
              <w:rPr>
                <w:color w:val="B02045"/>
                <w:sz w:val="21"/>
              </w:rPr>
              <w:t>spring-boot-starter-jta- atomikos</w:t>
            </w:r>
          </w:p>
        </w:tc>
        <w:tc>
          <w:tcPr>
            <w:tcW w:w="3325" w:type="dxa"/>
          </w:tcPr>
          <w:p w14:paraId="00BFB9CD"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6B7BCAD7" w14:textId="77777777">
        <w:trPr>
          <w:trHeight w:val="627"/>
        </w:trPr>
        <w:tc>
          <w:tcPr>
            <w:tcW w:w="3325" w:type="dxa"/>
          </w:tcPr>
          <w:p w14:paraId="131EF12A" w14:textId="77777777" w:rsidR="00A720EB" w:rsidRDefault="0030286B">
            <w:pPr>
              <w:pStyle w:val="TableParagraph"/>
              <w:rPr>
                <w:sz w:val="21"/>
              </w:rPr>
            </w:pPr>
            <w:proofErr w:type="gramStart"/>
            <w:r>
              <w:rPr>
                <w:color w:val="B02045"/>
                <w:sz w:val="21"/>
              </w:rPr>
              <w:lastRenderedPageBreak/>
              <w:t>org.springframework</w:t>
            </w:r>
            <w:proofErr w:type="gramEnd"/>
            <w:r>
              <w:rPr>
                <w:color w:val="B02045"/>
                <w:sz w:val="21"/>
              </w:rPr>
              <w:t>.boot</w:t>
            </w:r>
          </w:p>
        </w:tc>
        <w:tc>
          <w:tcPr>
            <w:tcW w:w="3325" w:type="dxa"/>
          </w:tcPr>
          <w:p w14:paraId="25168810" w14:textId="77777777" w:rsidR="00A720EB" w:rsidRDefault="0030286B">
            <w:pPr>
              <w:pStyle w:val="TableParagraph"/>
              <w:spacing w:before="46" w:line="230" w:lineRule="auto"/>
              <w:ind w:right="715"/>
              <w:rPr>
                <w:sz w:val="21"/>
              </w:rPr>
            </w:pPr>
            <w:r>
              <w:rPr>
                <w:color w:val="B02045"/>
                <w:sz w:val="21"/>
              </w:rPr>
              <w:t>spring-boot-starter-jta- bitronix</w:t>
            </w:r>
          </w:p>
        </w:tc>
        <w:tc>
          <w:tcPr>
            <w:tcW w:w="3325" w:type="dxa"/>
          </w:tcPr>
          <w:p w14:paraId="6C6EA34E"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bl>
    <w:p w14:paraId="07217C57"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7934DECC" w14:textId="77777777">
        <w:trPr>
          <w:trHeight w:val="415"/>
        </w:trPr>
        <w:tc>
          <w:tcPr>
            <w:tcW w:w="3325" w:type="dxa"/>
            <w:tcBorders>
              <w:bottom w:val="single" w:sz="12" w:space="0" w:color="DDDDDD"/>
            </w:tcBorders>
          </w:tcPr>
          <w:p w14:paraId="2AABCE2E"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1C117382"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64890FED"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23085FAA" w14:textId="77777777">
        <w:trPr>
          <w:trHeight w:val="358"/>
        </w:trPr>
        <w:tc>
          <w:tcPr>
            <w:tcW w:w="3325" w:type="dxa"/>
            <w:tcBorders>
              <w:top w:val="single" w:sz="12" w:space="0" w:color="DDDDDD"/>
            </w:tcBorders>
          </w:tcPr>
          <w:p w14:paraId="7C5420EE"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.boot</w:t>
            </w:r>
          </w:p>
        </w:tc>
        <w:tc>
          <w:tcPr>
            <w:tcW w:w="3325" w:type="dxa"/>
            <w:tcBorders>
              <w:top w:val="single" w:sz="12" w:space="0" w:color="DDDDDD"/>
            </w:tcBorders>
          </w:tcPr>
          <w:p w14:paraId="42804F29" w14:textId="77777777" w:rsidR="00A720EB" w:rsidRDefault="0030286B">
            <w:pPr>
              <w:pStyle w:val="TableParagraph"/>
              <w:spacing w:before="27"/>
              <w:rPr>
                <w:sz w:val="21"/>
              </w:rPr>
            </w:pPr>
            <w:r>
              <w:rPr>
                <w:color w:val="B02045"/>
                <w:sz w:val="21"/>
              </w:rPr>
              <w:t>spring-boot-starter-log4j2</w:t>
            </w:r>
          </w:p>
        </w:tc>
        <w:tc>
          <w:tcPr>
            <w:tcW w:w="3325" w:type="dxa"/>
            <w:tcBorders>
              <w:top w:val="single" w:sz="12" w:space="0" w:color="DDDDDD"/>
            </w:tcBorders>
          </w:tcPr>
          <w:p w14:paraId="4F69A5BF" w14:textId="77777777" w:rsidR="00A720EB" w:rsidRDefault="0030286B">
            <w:pPr>
              <w:pStyle w:val="TableParagraph"/>
              <w:spacing w:before="27"/>
              <w:rPr>
                <w:sz w:val="21"/>
              </w:rPr>
            </w:pPr>
            <w:r>
              <w:rPr>
                <w:color w:val="B02045"/>
                <w:sz w:val="21"/>
              </w:rPr>
              <w:t>2.3.</w:t>
            </w:r>
            <w:proofErr w:type="gramStart"/>
            <w:r>
              <w:rPr>
                <w:color w:val="B02045"/>
                <w:sz w:val="21"/>
              </w:rPr>
              <w:t>4.RELEASE</w:t>
            </w:r>
            <w:proofErr w:type="gramEnd"/>
          </w:p>
        </w:tc>
      </w:tr>
      <w:tr w:rsidR="00A720EB" w14:paraId="4A99BF05" w14:textId="77777777">
        <w:trPr>
          <w:trHeight w:val="368"/>
        </w:trPr>
        <w:tc>
          <w:tcPr>
            <w:tcW w:w="3325" w:type="dxa"/>
          </w:tcPr>
          <w:p w14:paraId="134AB6FB"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345A73D5" w14:textId="77777777" w:rsidR="00A720EB" w:rsidRDefault="0030286B">
            <w:pPr>
              <w:pStyle w:val="TableParagraph"/>
              <w:spacing w:before="37"/>
              <w:rPr>
                <w:sz w:val="21"/>
              </w:rPr>
            </w:pPr>
            <w:r>
              <w:rPr>
                <w:color w:val="B02045"/>
                <w:sz w:val="21"/>
              </w:rPr>
              <w:t>spring-boot-starter-logging</w:t>
            </w:r>
          </w:p>
        </w:tc>
        <w:tc>
          <w:tcPr>
            <w:tcW w:w="3325" w:type="dxa"/>
          </w:tcPr>
          <w:p w14:paraId="0D1A7225"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18F5F169" w14:textId="77777777">
        <w:trPr>
          <w:trHeight w:val="368"/>
        </w:trPr>
        <w:tc>
          <w:tcPr>
            <w:tcW w:w="3325" w:type="dxa"/>
          </w:tcPr>
          <w:p w14:paraId="07420AE5"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0BA8B222" w14:textId="77777777" w:rsidR="00A720EB" w:rsidRDefault="0030286B">
            <w:pPr>
              <w:pStyle w:val="TableParagraph"/>
              <w:spacing w:before="37"/>
              <w:rPr>
                <w:sz w:val="21"/>
              </w:rPr>
            </w:pPr>
            <w:r>
              <w:rPr>
                <w:color w:val="B02045"/>
                <w:sz w:val="21"/>
              </w:rPr>
              <w:t>spring-boot-starter-mail</w:t>
            </w:r>
          </w:p>
        </w:tc>
        <w:tc>
          <w:tcPr>
            <w:tcW w:w="3325" w:type="dxa"/>
          </w:tcPr>
          <w:p w14:paraId="61C68C01"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40F41694" w14:textId="77777777">
        <w:trPr>
          <w:trHeight w:val="368"/>
        </w:trPr>
        <w:tc>
          <w:tcPr>
            <w:tcW w:w="3325" w:type="dxa"/>
          </w:tcPr>
          <w:p w14:paraId="2E3B03F7"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2913E4C3" w14:textId="77777777" w:rsidR="00A720EB" w:rsidRDefault="0030286B">
            <w:pPr>
              <w:pStyle w:val="TableParagraph"/>
              <w:rPr>
                <w:sz w:val="21"/>
              </w:rPr>
            </w:pPr>
            <w:r>
              <w:rPr>
                <w:color w:val="B02045"/>
                <w:sz w:val="21"/>
              </w:rPr>
              <w:t>spring-boot-starter-mustache</w:t>
            </w:r>
          </w:p>
        </w:tc>
        <w:tc>
          <w:tcPr>
            <w:tcW w:w="3325" w:type="dxa"/>
          </w:tcPr>
          <w:p w14:paraId="7B3BD1FF"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61DA8A0F" w14:textId="77777777">
        <w:trPr>
          <w:trHeight w:val="627"/>
        </w:trPr>
        <w:tc>
          <w:tcPr>
            <w:tcW w:w="3325" w:type="dxa"/>
          </w:tcPr>
          <w:p w14:paraId="6F12F7D1"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45B9F4C7" w14:textId="77777777" w:rsidR="00A720EB" w:rsidRDefault="0030286B">
            <w:pPr>
              <w:pStyle w:val="TableParagraph"/>
              <w:spacing w:before="46" w:line="230" w:lineRule="auto"/>
              <w:ind w:right="400"/>
              <w:rPr>
                <w:sz w:val="21"/>
              </w:rPr>
            </w:pPr>
            <w:r>
              <w:rPr>
                <w:color w:val="B02045"/>
                <w:sz w:val="21"/>
              </w:rPr>
              <w:t>spring-boot-starter-oauth2- client</w:t>
            </w:r>
          </w:p>
        </w:tc>
        <w:tc>
          <w:tcPr>
            <w:tcW w:w="3325" w:type="dxa"/>
          </w:tcPr>
          <w:p w14:paraId="09F046D8"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1342B416" w14:textId="77777777">
        <w:trPr>
          <w:trHeight w:val="627"/>
        </w:trPr>
        <w:tc>
          <w:tcPr>
            <w:tcW w:w="3325" w:type="dxa"/>
          </w:tcPr>
          <w:p w14:paraId="17EF4721"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5188831F" w14:textId="77777777" w:rsidR="00A720EB" w:rsidRDefault="0030286B">
            <w:pPr>
              <w:pStyle w:val="TableParagraph"/>
              <w:spacing w:before="46" w:line="230" w:lineRule="auto"/>
              <w:ind w:right="417"/>
              <w:rPr>
                <w:sz w:val="21"/>
              </w:rPr>
            </w:pPr>
            <w:r>
              <w:rPr>
                <w:color w:val="B02045"/>
                <w:sz w:val="21"/>
              </w:rPr>
              <w:t>spring-boot-starter-oauth2- resource-server</w:t>
            </w:r>
          </w:p>
        </w:tc>
        <w:tc>
          <w:tcPr>
            <w:tcW w:w="3325" w:type="dxa"/>
          </w:tcPr>
          <w:p w14:paraId="7D1B16B2"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7D214658" w14:textId="77777777">
        <w:trPr>
          <w:trHeight w:val="368"/>
        </w:trPr>
        <w:tc>
          <w:tcPr>
            <w:tcW w:w="3325" w:type="dxa"/>
          </w:tcPr>
          <w:p w14:paraId="01036891"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7ACF3B78" w14:textId="77777777" w:rsidR="00A720EB" w:rsidRDefault="0030286B">
            <w:pPr>
              <w:pStyle w:val="TableParagraph"/>
              <w:spacing w:before="37"/>
              <w:rPr>
                <w:sz w:val="21"/>
              </w:rPr>
            </w:pPr>
            <w:r>
              <w:rPr>
                <w:color w:val="B02045"/>
                <w:sz w:val="21"/>
              </w:rPr>
              <w:t>spring-boot-starter-quartz</w:t>
            </w:r>
          </w:p>
        </w:tc>
        <w:tc>
          <w:tcPr>
            <w:tcW w:w="3325" w:type="dxa"/>
          </w:tcPr>
          <w:p w14:paraId="7B295EA8"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540878C6" w14:textId="77777777">
        <w:trPr>
          <w:trHeight w:val="627"/>
        </w:trPr>
        <w:tc>
          <w:tcPr>
            <w:tcW w:w="3325" w:type="dxa"/>
          </w:tcPr>
          <w:p w14:paraId="00948CCB"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5DE9EDBC" w14:textId="77777777" w:rsidR="00A720EB" w:rsidRDefault="0030286B">
            <w:pPr>
              <w:pStyle w:val="TableParagraph"/>
              <w:spacing w:before="46" w:line="230" w:lineRule="auto"/>
              <w:ind w:right="295"/>
              <w:rPr>
                <w:sz w:val="21"/>
              </w:rPr>
            </w:pPr>
            <w:r>
              <w:rPr>
                <w:color w:val="B02045"/>
                <w:sz w:val="21"/>
              </w:rPr>
              <w:t>spring-boot-starter-reactor- netty</w:t>
            </w:r>
          </w:p>
        </w:tc>
        <w:tc>
          <w:tcPr>
            <w:tcW w:w="3325" w:type="dxa"/>
          </w:tcPr>
          <w:p w14:paraId="725222A8"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568A1CDF" w14:textId="77777777">
        <w:trPr>
          <w:trHeight w:val="368"/>
        </w:trPr>
        <w:tc>
          <w:tcPr>
            <w:tcW w:w="3325" w:type="dxa"/>
          </w:tcPr>
          <w:p w14:paraId="640E1394"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0B11F1D5" w14:textId="77777777" w:rsidR="00A720EB" w:rsidRDefault="0030286B">
            <w:pPr>
              <w:pStyle w:val="TableParagraph"/>
              <w:rPr>
                <w:sz w:val="21"/>
              </w:rPr>
            </w:pPr>
            <w:r>
              <w:rPr>
                <w:color w:val="B02045"/>
                <w:sz w:val="21"/>
              </w:rPr>
              <w:t>spring-boot-starter-rsocket</w:t>
            </w:r>
          </w:p>
        </w:tc>
        <w:tc>
          <w:tcPr>
            <w:tcW w:w="3325" w:type="dxa"/>
          </w:tcPr>
          <w:p w14:paraId="4A771C6B"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79748C05" w14:textId="77777777">
        <w:trPr>
          <w:trHeight w:val="368"/>
        </w:trPr>
        <w:tc>
          <w:tcPr>
            <w:tcW w:w="3325" w:type="dxa"/>
          </w:tcPr>
          <w:p w14:paraId="0B82755A"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26DCA51C" w14:textId="77777777" w:rsidR="00A720EB" w:rsidRDefault="0030286B">
            <w:pPr>
              <w:pStyle w:val="TableParagraph"/>
              <w:rPr>
                <w:sz w:val="21"/>
              </w:rPr>
            </w:pPr>
            <w:r>
              <w:rPr>
                <w:color w:val="B02045"/>
                <w:sz w:val="21"/>
              </w:rPr>
              <w:t>spring-boot-starter-security</w:t>
            </w:r>
          </w:p>
        </w:tc>
        <w:tc>
          <w:tcPr>
            <w:tcW w:w="3325" w:type="dxa"/>
          </w:tcPr>
          <w:p w14:paraId="79B6EB79"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6969A690" w14:textId="77777777">
        <w:trPr>
          <w:trHeight w:val="368"/>
        </w:trPr>
        <w:tc>
          <w:tcPr>
            <w:tcW w:w="3325" w:type="dxa"/>
          </w:tcPr>
          <w:p w14:paraId="072CA0D1"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56223549" w14:textId="77777777" w:rsidR="00A720EB" w:rsidRDefault="0030286B">
            <w:pPr>
              <w:pStyle w:val="TableParagraph"/>
              <w:rPr>
                <w:sz w:val="21"/>
              </w:rPr>
            </w:pPr>
            <w:r>
              <w:rPr>
                <w:color w:val="B02045"/>
                <w:sz w:val="21"/>
              </w:rPr>
              <w:t>spring-boot-starter-test</w:t>
            </w:r>
          </w:p>
        </w:tc>
        <w:tc>
          <w:tcPr>
            <w:tcW w:w="3325" w:type="dxa"/>
          </w:tcPr>
          <w:p w14:paraId="796316AB"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468AD040" w14:textId="77777777">
        <w:trPr>
          <w:trHeight w:val="368"/>
        </w:trPr>
        <w:tc>
          <w:tcPr>
            <w:tcW w:w="3325" w:type="dxa"/>
          </w:tcPr>
          <w:p w14:paraId="1527D9AD"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34D682E3" w14:textId="77777777" w:rsidR="00A720EB" w:rsidRDefault="0030286B">
            <w:pPr>
              <w:pStyle w:val="TableParagraph"/>
              <w:rPr>
                <w:sz w:val="21"/>
              </w:rPr>
            </w:pPr>
            <w:r>
              <w:rPr>
                <w:color w:val="B02045"/>
                <w:sz w:val="21"/>
              </w:rPr>
              <w:t>spring-boot-starter-thymeleaf</w:t>
            </w:r>
          </w:p>
        </w:tc>
        <w:tc>
          <w:tcPr>
            <w:tcW w:w="3325" w:type="dxa"/>
          </w:tcPr>
          <w:p w14:paraId="24680B6B"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31E2C94F" w14:textId="77777777">
        <w:trPr>
          <w:trHeight w:val="368"/>
        </w:trPr>
        <w:tc>
          <w:tcPr>
            <w:tcW w:w="3325" w:type="dxa"/>
          </w:tcPr>
          <w:p w14:paraId="566412EC"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5836C23F" w14:textId="77777777" w:rsidR="00A720EB" w:rsidRDefault="0030286B">
            <w:pPr>
              <w:pStyle w:val="TableParagraph"/>
              <w:rPr>
                <w:sz w:val="21"/>
              </w:rPr>
            </w:pPr>
            <w:r>
              <w:rPr>
                <w:color w:val="B02045"/>
                <w:sz w:val="21"/>
              </w:rPr>
              <w:t>spring-boot-starter-tomcat</w:t>
            </w:r>
          </w:p>
        </w:tc>
        <w:tc>
          <w:tcPr>
            <w:tcW w:w="3325" w:type="dxa"/>
          </w:tcPr>
          <w:p w14:paraId="47C6D4E9"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4F8D20FE" w14:textId="77777777">
        <w:trPr>
          <w:trHeight w:val="368"/>
        </w:trPr>
        <w:tc>
          <w:tcPr>
            <w:tcW w:w="3325" w:type="dxa"/>
          </w:tcPr>
          <w:p w14:paraId="6451AD4B"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2C720F08" w14:textId="77777777" w:rsidR="00A720EB" w:rsidRDefault="0030286B">
            <w:pPr>
              <w:pStyle w:val="TableParagraph"/>
              <w:rPr>
                <w:sz w:val="21"/>
              </w:rPr>
            </w:pPr>
            <w:r>
              <w:rPr>
                <w:color w:val="B02045"/>
                <w:sz w:val="21"/>
              </w:rPr>
              <w:t>spring-boot-starter-undertow</w:t>
            </w:r>
          </w:p>
        </w:tc>
        <w:tc>
          <w:tcPr>
            <w:tcW w:w="3325" w:type="dxa"/>
          </w:tcPr>
          <w:p w14:paraId="2EB77841"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69ED5A2F" w14:textId="77777777">
        <w:trPr>
          <w:trHeight w:val="368"/>
        </w:trPr>
        <w:tc>
          <w:tcPr>
            <w:tcW w:w="3325" w:type="dxa"/>
          </w:tcPr>
          <w:p w14:paraId="74377FC5"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102D9E0F" w14:textId="77777777" w:rsidR="00A720EB" w:rsidRDefault="0030286B">
            <w:pPr>
              <w:pStyle w:val="TableParagraph"/>
              <w:spacing w:before="37"/>
              <w:rPr>
                <w:sz w:val="21"/>
              </w:rPr>
            </w:pPr>
            <w:r>
              <w:rPr>
                <w:color w:val="B02045"/>
                <w:sz w:val="21"/>
              </w:rPr>
              <w:t>spring-boot-starter-validation</w:t>
            </w:r>
          </w:p>
        </w:tc>
        <w:tc>
          <w:tcPr>
            <w:tcW w:w="3325" w:type="dxa"/>
          </w:tcPr>
          <w:p w14:paraId="411551BB"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432A3D79" w14:textId="77777777">
        <w:trPr>
          <w:trHeight w:val="368"/>
        </w:trPr>
        <w:tc>
          <w:tcPr>
            <w:tcW w:w="3325" w:type="dxa"/>
          </w:tcPr>
          <w:p w14:paraId="51A9A274"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73CA0CC3" w14:textId="77777777" w:rsidR="00A720EB" w:rsidRDefault="0030286B">
            <w:pPr>
              <w:pStyle w:val="TableParagraph"/>
              <w:spacing w:before="37"/>
              <w:rPr>
                <w:sz w:val="21"/>
              </w:rPr>
            </w:pPr>
            <w:r>
              <w:rPr>
                <w:color w:val="B02045"/>
                <w:sz w:val="21"/>
              </w:rPr>
              <w:t>spring-boot-starter-web</w:t>
            </w:r>
          </w:p>
        </w:tc>
        <w:tc>
          <w:tcPr>
            <w:tcW w:w="3325" w:type="dxa"/>
          </w:tcPr>
          <w:p w14:paraId="29587FC4"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7F7AA220" w14:textId="77777777">
        <w:trPr>
          <w:trHeight w:val="627"/>
        </w:trPr>
        <w:tc>
          <w:tcPr>
            <w:tcW w:w="3325" w:type="dxa"/>
          </w:tcPr>
          <w:p w14:paraId="4685186F"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7B072D1E" w14:textId="77777777" w:rsidR="00A720EB" w:rsidRDefault="0030286B">
            <w:pPr>
              <w:pStyle w:val="TableParagraph"/>
              <w:spacing w:before="46" w:line="230" w:lineRule="auto"/>
              <w:ind w:right="715"/>
              <w:rPr>
                <w:sz w:val="21"/>
              </w:rPr>
            </w:pPr>
            <w:r>
              <w:rPr>
                <w:color w:val="B02045"/>
                <w:sz w:val="21"/>
              </w:rPr>
              <w:t>spring-boot-starter-web- services</w:t>
            </w:r>
          </w:p>
        </w:tc>
        <w:tc>
          <w:tcPr>
            <w:tcW w:w="3325" w:type="dxa"/>
          </w:tcPr>
          <w:p w14:paraId="5D5ACD16"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46A9859C" w14:textId="77777777">
        <w:trPr>
          <w:trHeight w:val="368"/>
        </w:trPr>
        <w:tc>
          <w:tcPr>
            <w:tcW w:w="3325" w:type="dxa"/>
          </w:tcPr>
          <w:p w14:paraId="1EAA9D5D"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1263B674" w14:textId="77777777" w:rsidR="00A720EB" w:rsidRDefault="0030286B">
            <w:pPr>
              <w:pStyle w:val="TableParagraph"/>
              <w:rPr>
                <w:sz w:val="21"/>
              </w:rPr>
            </w:pPr>
            <w:r>
              <w:rPr>
                <w:color w:val="B02045"/>
                <w:sz w:val="21"/>
              </w:rPr>
              <w:t>spring-boot-starter-webflux</w:t>
            </w:r>
          </w:p>
        </w:tc>
        <w:tc>
          <w:tcPr>
            <w:tcW w:w="3325" w:type="dxa"/>
          </w:tcPr>
          <w:p w14:paraId="165B466D"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395D3FAB" w14:textId="77777777">
        <w:trPr>
          <w:trHeight w:val="368"/>
        </w:trPr>
        <w:tc>
          <w:tcPr>
            <w:tcW w:w="3325" w:type="dxa"/>
          </w:tcPr>
          <w:p w14:paraId="70778C7B"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35555095" w14:textId="77777777" w:rsidR="00A720EB" w:rsidRDefault="0030286B">
            <w:pPr>
              <w:pStyle w:val="TableParagraph"/>
              <w:spacing w:before="37"/>
              <w:rPr>
                <w:sz w:val="21"/>
              </w:rPr>
            </w:pPr>
            <w:r>
              <w:rPr>
                <w:color w:val="B02045"/>
                <w:sz w:val="21"/>
              </w:rPr>
              <w:t>spring-boot-starter-websocket</w:t>
            </w:r>
          </w:p>
        </w:tc>
        <w:tc>
          <w:tcPr>
            <w:tcW w:w="3325" w:type="dxa"/>
          </w:tcPr>
          <w:p w14:paraId="25012E63"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4C7E170F" w14:textId="77777777">
        <w:trPr>
          <w:trHeight w:val="368"/>
        </w:trPr>
        <w:tc>
          <w:tcPr>
            <w:tcW w:w="3325" w:type="dxa"/>
          </w:tcPr>
          <w:p w14:paraId="49604356"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.boot</w:t>
            </w:r>
          </w:p>
        </w:tc>
        <w:tc>
          <w:tcPr>
            <w:tcW w:w="3325" w:type="dxa"/>
          </w:tcPr>
          <w:p w14:paraId="0D040746" w14:textId="77777777" w:rsidR="00A720EB" w:rsidRDefault="0030286B">
            <w:pPr>
              <w:pStyle w:val="TableParagraph"/>
              <w:spacing w:before="37"/>
              <w:rPr>
                <w:sz w:val="21"/>
              </w:rPr>
            </w:pPr>
            <w:r>
              <w:rPr>
                <w:color w:val="B02045"/>
                <w:sz w:val="21"/>
              </w:rPr>
              <w:t>spring-boot-test</w:t>
            </w:r>
          </w:p>
        </w:tc>
        <w:tc>
          <w:tcPr>
            <w:tcW w:w="3325" w:type="dxa"/>
          </w:tcPr>
          <w:p w14:paraId="6E97B16A"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3C2F545D" w14:textId="77777777">
        <w:trPr>
          <w:trHeight w:val="368"/>
        </w:trPr>
        <w:tc>
          <w:tcPr>
            <w:tcW w:w="3325" w:type="dxa"/>
          </w:tcPr>
          <w:p w14:paraId="1C47757D" w14:textId="77777777" w:rsidR="00A720EB" w:rsidRDefault="0030286B">
            <w:pPr>
              <w:pStyle w:val="TableParagraph"/>
              <w:rPr>
                <w:sz w:val="21"/>
              </w:rPr>
            </w:pPr>
            <w:proofErr w:type="gramStart"/>
            <w:r>
              <w:rPr>
                <w:color w:val="B02045"/>
                <w:sz w:val="21"/>
              </w:rPr>
              <w:t>org.springframework</w:t>
            </w:r>
            <w:proofErr w:type="gramEnd"/>
            <w:r>
              <w:rPr>
                <w:color w:val="B02045"/>
                <w:sz w:val="21"/>
              </w:rPr>
              <w:t>.boot</w:t>
            </w:r>
          </w:p>
        </w:tc>
        <w:tc>
          <w:tcPr>
            <w:tcW w:w="3325" w:type="dxa"/>
          </w:tcPr>
          <w:p w14:paraId="7C730A7B" w14:textId="77777777" w:rsidR="00A720EB" w:rsidRDefault="0030286B">
            <w:pPr>
              <w:pStyle w:val="TableParagraph"/>
              <w:rPr>
                <w:sz w:val="21"/>
              </w:rPr>
            </w:pPr>
            <w:r>
              <w:rPr>
                <w:color w:val="B02045"/>
                <w:sz w:val="21"/>
              </w:rPr>
              <w:t>spring-boot-test-autoconfigure</w:t>
            </w:r>
          </w:p>
        </w:tc>
        <w:tc>
          <w:tcPr>
            <w:tcW w:w="3325" w:type="dxa"/>
          </w:tcPr>
          <w:p w14:paraId="64661B39"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6F4E137C" w14:textId="77777777">
        <w:trPr>
          <w:trHeight w:val="368"/>
        </w:trPr>
        <w:tc>
          <w:tcPr>
            <w:tcW w:w="3325" w:type="dxa"/>
          </w:tcPr>
          <w:p w14:paraId="7EC45AE2"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4DDF8DE8" w14:textId="77777777" w:rsidR="00A720EB" w:rsidRDefault="0030286B">
            <w:pPr>
              <w:pStyle w:val="TableParagraph"/>
              <w:rPr>
                <w:sz w:val="21"/>
              </w:rPr>
            </w:pPr>
            <w:r>
              <w:rPr>
                <w:color w:val="B02045"/>
                <w:sz w:val="21"/>
              </w:rPr>
              <w:t>spring-data-cassandra</w:t>
            </w:r>
          </w:p>
        </w:tc>
        <w:tc>
          <w:tcPr>
            <w:tcW w:w="3325" w:type="dxa"/>
          </w:tcPr>
          <w:p w14:paraId="1453D639" w14:textId="77777777" w:rsidR="00A720EB" w:rsidRDefault="0030286B">
            <w:pPr>
              <w:pStyle w:val="TableParagraph"/>
              <w:rPr>
                <w:sz w:val="21"/>
              </w:rPr>
            </w:pPr>
            <w:r>
              <w:rPr>
                <w:color w:val="B02045"/>
                <w:sz w:val="21"/>
              </w:rPr>
              <w:t>3.0.</w:t>
            </w:r>
            <w:proofErr w:type="gramStart"/>
            <w:r>
              <w:rPr>
                <w:color w:val="B02045"/>
                <w:sz w:val="21"/>
              </w:rPr>
              <w:t>4.RELEASE</w:t>
            </w:r>
            <w:proofErr w:type="gramEnd"/>
          </w:p>
        </w:tc>
      </w:tr>
      <w:tr w:rsidR="00A720EB" w14:paraId="608227B7" w14:textId="77777777">
        <w:trPr>
          <w:trHeight w:val="368"/>
        </w:trPr>
        <w:tc>
          <w:tcPr>
            <w:tcW w:w="3325" w:type="dxa"/>
          </w:tcPr>
          <w:p w14:paraId="214E6087"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.data</w:t>
            </w:r>
          </w:p>
        </w:tc>
        <w:tc>
          <w:tcPr>
            <w:tcW w:w="3325" w:type="dxa"/>
          </w:tcPr>
          <w:p w14:paraId="56D9E4D9" w14:textId="77777777" w:rsidR="00A720EB" w:rsidRDefault="0030286B">
            <w:pPr>
              <w:pStyle w:val="TableParagraph"/>
              <w:spacing w:before="37"/>
              <w:rPr>
                <w:sz w:val="21"/>
              </w:rPr>
            </w:pPr>
            <w:r>
              <w:rPr>
                <w:color w:val="B02045"/>
                <w:sz w:val="21"/>
              </w:rPr>
              <w:t>spring-data-commons</w:t>
            </w:r>
          </w:p>
        </w:tc>
        <w:tc>
          <w:tcPr>
            <w:tcW w:w="3325" w:type="dxa"/>
          </w:tcPr>
          <w:p w14:paraId="002D2F74"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60F73C37" w14:textId="77777777">
        <w:trPr>
          <w:trHeight w:val="368"/>
        </w:trPr>
        <w:tc>
          <w:tcPr>
            <w:tcW w:w="3325" w:type="dxa"/>
          </w:tcPr>
          <w:p w14:paraId="7C3A889F"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.data</w:t>
            </w:r>
          </w:p>
        </w:tc>
        <w:tc>
          <w:tcPr>
            <w:tcW w:w="3325" w:type="dxa"/>
          </w:tcPr>
          <w:p w14:paraId="6C982EA0" w14:textId="77777777" w:rsidR="00A720EB" w:rsidRDefault="0030286B">
            <w:pPr>
              <w:pStyle w:val="TableParagraph"/>
              <w:spacing w:before="37"/>
              <w:rPr>
                <w:sz w:val="21"/>
              </w:rPr>
            </w:pPr>
            <w:r>
              <w:rPr>
                <w:color w:val="B02045"/>
                <w:sz w:val="21"/>
              </w:rPr>
              <w:t>spring-data-couchbase</w:t>
            </w:r>
          </w:p>
        </w:tc>
        <w:tc>
          <w:tcPr>
            <w:tcW w:w="3325" w:type="dxa"/>
          </w:tcPr>
          <w:p w14:paraId="25419B80" w14:textId="77777777" w:rsidR="00A720EB" w:rsidRDefault="0030286B">
            <w:pPr>
              <w:pStyle w:val="TableParagraph"/>
              <w:spacing w:before="37"/>
              <w:rPr>
                <w:sz w:val="21"/>
              </w:rPr>
            </w:pPr>
            <w:r>
              <w:rPr>
                <w:color w:val="B02045"/>
                <w:sz w:val="21"/>
              </w:rPr>
              <w:t>4.0.</w:t>
            </w:r>
            <w:proofErr w:type="gramStart"/>
            <w:r>
              <w:rPr>
                <w:color w:val="B02045"/>
                <w:sz w:val="21"/>
              </w:rPr>
              <w:t>4.RELEASE</w:t>
            </w:r>
            <w:proofErr w:type="gramEnd"/>
          </w:p>
        </w:tc>
      </w:tr>
      <w:tr w:rsidR="00A720EB" w14:paraId="2D561227" w14:textId="77777777">
        <w:trPr>
          <w:trHeight w:val="368"/>
        </w:trPr>
        <w:tc>
          <w:tcPr>
            <w:tcW w:w="3325" w:type="dxa"/>
          </w:tcPr>
          <w:p w14:paraId="07CDE519"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00DA9EC4" w14:textId="77777777" w:rsidR="00A720EB" w:rsidRDefault="0030286B">
            <w:pPr>
              <w:pStyle w:val="TableParagraph"/>
              <w:rPr>
                <w:sz w:val="21"/>
              </w:rPr>
            </w:pPr>
            <w:r>
              <w:rPr>
                <w:color w:val="B02045"/>
                <w:sz w:val="21"/>
              </w:rPr>
              <w:t>spring-data-elasticsearch</w:t>
            </w:r>
          </w:p>
        </w:tc>
        <w:tc>
          <w:tcPr>
            <w:tcW w:w="3325" w:type="dxa"/>
          </w:tcPr>
          <w:p w14:paraId="5E097EE5" w14:textId="77777777" w:rsidR="00A720EB" w:rsidRDefault="0030286B">
            <w:pPr>
              <w:pStyle w:val="TableParagraph"/>
              <w:rPr>
                <w:sz w:val="21"/>
              </w:rPr>
            </w:pPr>
            <w:r>
              <w:rPr>
                <w:color w:val="B02045"/>
                <w:sz w:val="21"/>
              </w:rPr>
              <w:t>4.0.</w:t>
            </w:r>
            <w:proofErr w:type="gramStart"/>
            <w:r>
              <w:rPr>
                <w:color w:val="B02045"/>
                <w:sz w:val="21"/>
              </w:rPr>
              <w:t>4.RELEASE</w:t>
            </w:r>
            <w:proofErr w:type="gramEnd"/>
          </w:p>
        </w:tc>
      </w:tr>
      <w:tr w:rsidR="00A720EB" w14:paraId="06C8165A" w14:textId="77777777">
        <w:trPr>
          <w:trHeight w:val="368"/>
        </w:trPr>
        <w:tc>
          <w:tcPr>
            <w:tcW w:w="3325" w:type="dxa"/>
          </w:tcPr>
          <w:p w14:paraId="5A0323E1"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.data</w:t>
            </w:r>
          </w:p>
        </w:tc>
        <w:tc>
          <w:tcPr>
            <w:tcW w:w="3325" w:type="dxa"/>
          </w:tcPr>
          <w:p w14:paraId="4584540B" w14:textId="77777777" w:rsidR="00A720EB" w:rsidRDefault="0030286B">
            <w:pPr>
              <w:pStyle w:val="TableParagraph"/>
              <w:spacing w:before="37"/>
              <w:rPr>
                <w:sz w:val="21"/>
              </w:rPr>
            </w:pPr>
            <w:r>
              <w:rPr>
                <w:color w:val="B02045"/>
                <w:sz w:val="21"/>
              </w:rPr>
              <w:t>spring-data-envers</w:t>
            </w:r>
          </w:p>
        </w:tc>
        <w:tc>
          <w:tcPr>
            <w:tcW w:w="3325" w:type="dxa"/>
          </w:tcPr>
          <w:p w14:paraId="0098F3A8"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4438449D" w14:textId="77777777">
        <w:trPr>
          <w:trHeight w:val="368"/>
        </w:trPr>
        <w:tc>
          <w:tcPr>
            <w:tcW w:w="3325" w:type="dxa"/>
          </w:tcPr>
          <w:p w14:paraId="450E3584"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4D27DE7C" w14:textId="77777777" w:rsidR="00A720EB" w:rsidRDefault="0030286B">
            <w:pPr>
              <w:pStyle w:val="TableParagraph"/>
              <w:rPr>
                <w:sz w:val="21"/>
              </w:rPr>
            </w:pPr>
            <w:r>
              <w:rPr>
                <w:color w:val="B02045"/>
                <w:sz w:val="21"/>
              </w:rPr>
              <w:t>spring-data-gemfire</w:t>
            </w:r>
          </w:p>
        </w:tc>
        <w:tc>
          <w:tcPr>
            <w:tcW w:w="3325" w:type="dxa"/>
          </w:tcPr>
          <w:p w14:paraId="0D8F0ED2"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6B17D3BC" w14:textId="77777777">
        <w:trPr>
          <w:trHeight w:val="368"/>
        </w:trPr>
        <w:tc>
          <w:tcPr>
            <w:tcW w:w="3325" w:type="dxa"/>
          </w:tcPr>
          <w:p w14:paraId="3DAD08F6"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.data</w:t>
            </w:r>
          </w:p>
        </w:tc>
        <w:tc>
          <w:tcPr>
            <w:tcW w:w="3325" w:type="dxa"/>
          </w:tcPr>
          <w:p w14:paraId="323D9B9C" w14:textId="77777777" w:rsidR="00A720EB" w:rsidRDefault="0030286B">
            <w:pPr>
              <w:pStyle w:val="TableParagraph"/>
              <w:spacing w:before="37"/>
              <w:rPr>
                <w:sz w:val="21"/>
              </w:rPr>
            </w:pPr>
            <w:r>
              <w:rPr>
                <w:color w:val="B02045"/>
                <w:sz w:val="21"/>
              </w:rPr>
              <w:t>spring-data-geode</w:t>
            </w:r>
          </w:p>
        </w:tc>
        <w:tc>
          <w:tcPr>
            <w:tcW w:w="3325" w:type="dxa"/>
          </w:tcPr>
          <w:p w14:paraId="00878C23"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5A33502B" w14:textId="77777777">
        <w:trPr>
          <w:trHeight w:val="368"/>
        </w:trPr>
        <w:tc>
          <w:tcPr>
            <w:tcW w:w="3325" w:type="dxa"/>
          </w:tcPr>
          <w:p w14:paraId="0C22B5E8"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2AA945CC" w14:textId="77777777" w:rsidR="00A720EB" w:rsidRDefault="0030286B">
            <w:pPr>
              <w:pStyle w:val="TableParagraph"/>
              <w:rPr>
                <w:sz w:val="21"/>
              </w:rPr>
            </w:pPr>
            <w:r>
              <w:rPr>
                <w:color w:val="B02045"/>
                <w:sz w:val="21"/>
              </w:rPr>
              <w:t>spring-data-jdbc</w:t>
            </w:r>
          </w:p>
        </w:tc>
        <w:tc>
          <w:tcPr>
            <w:tcW w:w="3325" w:type="dxa"/>
          </w:tcPr>
          <w:p w14:paraId="3AE765A5" w14:textId="77777777" w:rsidR="00A720EB" w:rsidRDefault="0030286B">
            <w:pPr>
              <w:pStyle w:val="TableParagraph"/>
              <w:rPr>
                <w:sz w:val="21"/>
              </w:rPr>
            </w:pPr>
            <w:r>
              <w:rPr>
                <w:color w:val="B02045"/>
                <w:sz w:val="21"/>
              </w:rPr>
              <w:t>2.0.</w:t>
            </w:r>
            <w:proofErr w:type="gramStart"/>
            <w:r>
              <w:rPr>
                <w:color w:val="B02045"/>
                <w:sz w:val="21"/>
              </w:rPr>
              <w:t>4.RELEASE</w:t>
            </w:r>
            <w:proofErr w:type="gramEnd"/>
          </w:p>
        </w:tc>
      </w:tr>
      <w:tr w:rsidR="00A720EB" w14:paraId="115EADF1" w14:textId="77777777">
        <w:trPr>
          <w:trHeight w:val="368"/>
        </w:trPr>
        <w:tc>
          <w:tcPr>
            <w:tcW w:w="3325" w:type="dxa"/>
          </w:tcPr>
          <w:p w14:paraId="7D976AAB"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.data</w:t>
            </w:r>
          </w:p>
        </w:tc>
        <w:tc>
          <w:tcPr>
            <w:tcW w:w="3325" w:type="dxa"/>
          </w:tcPr>
          <w:p w14:paraId="34E41549" w14:textId="77777777" w:rsidR="00A720EB" w:rsidRDefault="0030286B">
            <w:pPr>
              <w:pStyle w:val="TableParagraph"/>
              <w:spacing w:before="37"/>
              <w:rPr>
                <w:sz w:val="21"/>
              </w:rPr>
            </w:pPr>
            <w:r>
              <w:rPr>
                <w:color w:val="B02045"/>
                <w:sz w:val="21"/>
              </w:rPr>
              <w:t>spring-data-jpa</w:t>
            </w:r>
          </w:p>
        </w:tc>
        <w:tc>
          <w:tcPr>
            <w:tcW w:w="3325" w:type="dxa"/>
          </w:tcPr>
          <w:p w14:paraId="2D117267"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4B6E3A1F" w14:textId="77777777">
        <w:trPr>
          <w:trHeight w:val="368"/>
        </w:trPr>
        <w:tc>
          <w:tcPr>
            <w:tcW w:w="3325" w:type="dxa"/>
          </w:tcPr>
          <w:p w14:paraId="7843A5D4"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563DA775" w14:textId="77777777" w:rsidR="00A720EB" w:rsidRDefault="0030286B">
            <w:pPr>
              <w:pStyle w:val="TableParagraph"/>
              <w:rPr>
                <w:sz w:val="21"/>
              </w:rPr>
            </w:pPr>
            <w:r>
              <w:rPr>
                <w:color w:val="B02045"/>
                <w:sz w:val="21"/>
              </w:rPr>
              <w:t>spring-data-keyvalue</w:t>
            </w:r>
          </w:p>
        </w:tc>
        <w:tc>
          <w:tcPr>
            <w:tcW w:w="3325" w:type="dxa"/>
          </w:tcPr>
          <w:p w14:paraId="164E0DA5"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r w:rsidR="00A720EB" w14:paraId="60D3FB2C" w14:textId="77777777">
        <w:trPr>
          <w:trHeight w:val="368"/>
        </w:trPr>
        <w:tc>
          <w:tcPr>
            <w:tcW w:w="3325" w:type="dxa"/>
          </w:tcPr>
          <w:p w14:paraId="5EB8A687"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.data</w:t>
            </w:r>
          </w:p>
        </w:tc>
        <w:tc>
          <w:tcPr>
            <w:tcW w:w="3325" w:type="dxa"/>
          </w:tcPr>
          <w:p w14:paraId="6CD97F21" w14:textId="77777777" w:rsidR="00A720EB" w:rsidRDefault="0030286B">
            <w:pPr>
              <w:pStyle w:val="TableParagraph"/>
              <w:spacing w:before="37"/>
              <w:rPr>
                <w:sz w:val="21"/>
              </w:rPr>
            </w:pPr>
            <w:r>
              <w:rPr>
                <w:color w:val="B02045"/>
                <w:sz w:val="21"/>
              </w:rPr>
              <w:t>spring-data-ldap</w:t>
            </w:r>
          </w:p>
        </w:tc>
        <w:tc>
          <w:tcPr>
            <w:tcW w:w="3325" w:type="dxa"/>
          </w:tcPr>
          <w:p w14:paraId="6EEEF904" w14:textId="77777777" w:rsidR="00A720EB" w:rsidRDefault="0030286B">
            <w:pPr>
              <w:pStyle w:val="TableParagraph"/>
              <w:spacing w:before="37"/>
              <w:rPr>
                <w:sz w:val="21"/>
              </w:rPr>
            </w:pPr>
            <w:r>
              <w:rPr>
                <w:color w:val="B02045"/>
                <w:sz w:val="21"/>
              </w:rPr>
              <w:t>2.3.</w:t>
            </w:r>
            <w:proofErr w:type="gramStart"/>
            <w:r>
              <w:rPr>
                <w:color w:val="B02045"/>
                <w:sz w:val="21"/>
              </w:rPr>
              <w:t>4.RELEASE</w:t>
            </w:r>
            <w:proofErr w:type="gramEnd"/>
          </w:p>
        </w:tc>
      </w:tr>
      <w:tr w:rsidR="00A720EB" w14:paraId="304B721F" w14:textId="77777777">
        <w:trPr>
          <w:trHeight w:val="368"/>
        </w:trPr>
        <w:tc>
          <w:tcPr>
            <w:tcW w:w="3325" w:type="dxa"/>
          </w:tcPr>
          <w:p w14:paraId="3F57B667"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22FD6B15" w14:textId="77777777" w:rsidR="00A720EB" w:rsidRDefault="0030286B">
            <w:pPr>
              <w:pStyle w:val="TableParagraph"/>
              <w:rPr>
                <w:sz w:val="21"/>
              </w:rPr>
            </w:pPr>
            <w:r>
              <w:rPr>
                <w:color w:val="B02045"/>
                <w:sz w:val="21"/>
              </w:rPr>
              <w:t>spring-data-mongodb</w:t>
            </w:r>
          </w:p>
        </w:tc>
        <w:tc>
          <w:tcPr>
            <w:tcW w:w="3325" w:type="dxa"/>
          </w:tcPr>
          <w:p w14:paraId="6F01BA0D" w14:textId="77777777" w:rsidR="00A720EB" w:rsidRDefault="0030286B">
            <w:pPr>
              <w:pStyle w:val="TableParagraph"/>
              <w:rPr>
                <w:sz w:val="21"/>
              </w:rPr>
            </w:pPr>
            <w:r>
              <w:rPr>
                <w:color w:val="B02045"/>
                <w:sz w:val="21"/>
              </w:rPr>
              <w:t>3.0.</w:t>
            </w:r>
            <w:proofErr w:type="gramStart"/>
            <w:r>
              <w:rPr>
                <w:color w:val="B02045"/>
                <w:sz w:val="21"/>
              </w:rPr>
              <w:t>4.RELEASE</w:t>
            </w:r>
            <w:proofErr w:type="gramEnd"/>
          </w:p>
        </w:tc>
      </w:tr>
      <w:tr w:rsidR="00A720EB" w14:paraId="3CE40592" w14:textId="77777777">
        <w:trPr>
          <w:trHeight w:val="368"/>
        </w:trPr>
        <w:tc>
          <w:tcPr>
            <w:tcW w:w="3325" w:type="dxa"/>
          </w:tcPr>
          <w:p w14:paraId="5965CA3B"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310C1167" w14:textId="77777777" w:rsidR="00A720EB" w:rsidRDefault="0030286B">
            <w:pPr>
              <w:pStyle w:val="TableParagraph"/>
              <w:rPr>
                <w:sz w:val="21"/>
              </w:rPr>
            </w:pPr>
            <w:r>
              <w:rPr>
                <w:color w:val="B02045"/>
                <w:sz w:val="21"/>
              </w:rPr>
              <w:t>spring-data-neo4j</w:t>
            </w:r>
          </w:p>
        </w:tc>
        <w:tc>
          <w:tcPr>
            <w:tcW w:w="3325" w:type="dxa"/>
          </w:tcPr>
          <w:p w14:paraId="37045956"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0C01064C" w14:textId="77777777">
        <w:trPr>
          <w:trHeight w:val="368"/>
        </w:trPr>
        <w:tc>
          <w:tcPr>
            <w:tcW w:w="3325" w:type="dxa"/>
          </w:tcPr>
          <w:p w14:paraId="12B676E7"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7CFC2C9E" w14:textId="77777777" w:rsidR="00A720EB" w:rsidRDefault="0030286B">
            <w:pPr>
              <w:pStyle w:val="TableParagraph"/>
              <w:rPr>
                <w:sz w:val="21"/>
              </w:rPr>
            </w:pPr>
            <w:r>
              <w:rPr>
                <w:color w:val="B02045"/>
                <w:sz w:val="21"/>
              </w:rPr>
              <w:t>spring-data-r2dbc</w:t>
            </w:r>
          </w:p>
        </w:tc>
        <w:tc>
          <w:tcPr>
            <w:tcW w:w="3325" w:type="dxa"/>
          </w:tcPr>
          <w:p w14:paraId="7148AC25" w14:textId="77777777" w:rsidR="00A720EB" w:rsidRDefault="0030286B">
            <w:pPr>
              <w:pStyle w:val="TableParagraph"/>
              <w:rPr>
                <w:sz w:val="21"/>
              </w:rPr>
            </w:pPr>
            <w:r>
              <w:rPr>
                <w:color w:val="B02045"/>
                <w:sz w:val="21"/>
              </w:rPr>
              <w:t>1.1.</w:t>
            </w:r>
            <w:proofErr w:type="gramStart"/>
            <w:r>
              <w:rPr>
                <w:color w:val="B02045"/>
                <w:sz w:val="21"/>
              </w:rPr>
              <w:t>4.RELEASE</w:t>
            </w:r>
            <w:proofErr w:type="gramEnd"/>
          </w:p>
        </w:tc>
      </w:tr>
      <w:tr w:rsidR="00A720EB" w14:paraId="225C1AF8" w14:textId="77777777">
        <w:trPr>
          <w:trHeight w:val="368"/>
        </w:trPr>
        <w:tc>
          <w:tcPr>
            <w:tcW w:w="3325" w:type="dxa"/>
          </w:tcPr>
          <w:p w14:paraId="1E5B5905"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3172CC44" w14:textId="77777777" w:rsidR="00A720EB" w:rsidRDefault="0030286B">
            <w:pPr>
              <w:pStyle w:val="TableParagraph"/>
              <w:rPr>
                <w:sz w:val="21"/>
              </w:rPr>
            </w:pPr>
            <w:r>
              <w:rPr>
                <w:color w:val="B02045"/>
                <w:sz w:val="21"/>
              </w:rPr>
              <w:t>spring-data-redis</w:t>
            </w:r>
          </w:p>
        </w:tc>
        <w:tc>
          <w:tcPr>
            <w:tcW w:w="3325" w:type="dxa"/>
          </w:tcPr>
          <w:p w14:paraId="1C131011" w14:textId="77777777" w:rsidR="00A720EB" w:rsidRDefault="0030286B">
            <w:pPr>
              <w:pStyle w:val="TableParagraph"/>
              <w:rPr>
                <w:sz w:val="21"/>
              </w:rPr>
            </w:pPr>
            <w:r>
              <w:rPr>
                <w:color w:val="B02045"/>
                <w:sz w:val="21"/>
              </w:rPr>
              <w:t>2.3.</w:t>
            </w:r>
            <w:proofErr w:type="gramStart"/>
            <w:r>
              <w:rPr>
                <w:color w:val="B02045"/>
                <w:sz w:val="21"/>
              </w:rPr>
              <w:t>4.RELEASE</w:t>
            </w:r>
            <w:proofErr w:type="gramEnd"/>
          </w:p>
        </w:tc>
      </w:tr>
    </w:tbl>
    <w:p w14:paraId="428357D0"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06E88D7D" w14:textId="77777777">
        <w:trPr>
          <w:trHeight w:val="415"/>
        </w:trPr>
        <w:tc>
          <w:tcPr>
            <w:tcW w:w="3325" w:type="dxa"/>
            <w:tcBorders>
              <w:bottom w:val="single" w:sz="12" w:space="0" w:color="DDDDDD"/>
            </w:tcBorders>
          </w:tcPr>
          <w:p w14:paraId="43CC977C"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1ADC507B"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11084FC2"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5D6FBD27" w14:textId="77777777">
        <w:trPr>
          <w:trHeight w:val="358"/>
        </w:trPr>
        <w:tc>
          <w:tcPr>
            <w:tcW w:w="3325" w:type="dxa"/>
            <w:tcBorders>
              <w:top w:val="single" w:sz="12" w:space="0" w:color="DDDDDD"/>
            </w:tcBorders>
          </w:tcPr>
          <w:p w14:paraId="228896E1"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.data</w:t>
            </w:r>
          </w:p>
        </w:tc>
        <w:tc>
          <w:tcPr>
            <w:tcW w:w="3325" w:type="dxa"/>
            <w:tcBorders>
              <w:top w:val="single" w:sz="12" w:space="0" w:color="DDDDDD"/>
            </w:tcBorders>
          </w:tcPr>
          <w:p w14:paraId="6D10FE7E" w14:textId="77777777" w:rsidR="00A720EB" w:rsidRDefault="0030286B">
            <w:pPr>
              <w:pStyle w:val="TableParagraph"/>
              <w:spacing w:before="27"/>
              <w:rPr>
                <w:sz w:val="21"/>
              </w:rPr>
            </w:pPr>
            <w:r>
              <w:rPr>
                <w:color w:val="B02045"/>
                <w:sz w:val="21"/>
              </w:rPr>
              <w:t>spring-data-relational</w:t>
            </w:r>
          </w:p>
        </w:tc>
        <w:tc>
          <w:tcPr>
            <w:tcW w:w="3325" w:type="dxa"/>
            <w:tcBorders>
              <w:top w:val="single" w:sz="12" w:space="0" w:color="DDDDDD"/>
            </w:tcBorders>
          </w:tcPr>
          <w:p w14:paraId="40000FED" w14:textId="77777777" w:rsidR="00A720EB" w:rsidRDefault="0030286B">
            <w:pPr>
              <w:pStyle w:val="TableParagraph"/>
              <w:spacing w:before="27"/>
              <w:rPr>
                <w:sz w:val="21"/>
              </w:rPr>
            </w:pPr>
            <w:r>
              <w:rPr>
                <w:color w:val="B02045"/>
                <w:sz w:val="21"/>
              </w:rPr>
              <w:t>2.0.</w:t>
            </w:r>
            <w:proofErr w:type="gramStart"/>
            <w:r>
              <w:rPr>
                <w:color w:val="B02045"/>
                <w:sz w:val="21"/>
              </w:rPr>
              <w:t>4.RELEASE</w:t>
            </w:r>
            <w:proofErr w:type="gramEnd"/>
          </w:p>
        </w:tc>
      </w:tr>
      <w:tr w:rsidR="00A720EB" w14:paraId="25D05939" w14:textId="77777777">
        <w:trPr>
          <w:trHeight w:val="368"/>
        </w:trPr>
        <w:tc>
          <w:tcPr>
            <w:tcW w:w="3325" w:type="dxa"/>
          </w:tcPr>
          <w:p w14:paraId="22B87B01"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.data</w:t>
            </w:r>
          </w:p>
        </w:tc>
        <w:tc>
          <w:tcPr>
            <w:tcW w:w="3325" w:type="dxa"/>
          </w:tcPr>
          <w:p w14:paraId="1A53962E" w14:textId="77777777" w:rsidR="00A720EB" w:rsidRDefault="0030286B">
            <w:pPr>
              <w:pStyle w:val="TableParagraph"/>
              <w:spacing w:before="37"/>
              <w:rPr>
                <w:sz w:val="21"/>
              </w:rPr>
            </w:pPr>
            <w:r>
              <w:rPr>
                <w:color w:val="B02045"/>
                <w:sz w:val="21"/>
              </w:rPr>
              <w:t>spring-data-rest-core</w:t>
            </w:r>
          </w:p>
        </w:tc>
        <w:tc>
          <w:tcPr>
            <w:tcW w:w="3325" w:type="dxa"/>
          </w:tcPr>
          <w:p w14:paraId="13B51AC3" w14:textId="77777777" w:rsidR="00A720EB" w:rsidRDefault="0030286B">
            <w:pPr>
              <w:pStyle w:val="TableParagraph"/>
              <w:spacing w:before="37"/>
              <w:rPr>
                <w:sz w:val="21"/>
              </w:rPr>
            </w:pPr>
            <w:r>
              <w:rPr>
                <w:color w:val="B02045"/>
                <w:sz w:val="21"/>
              </w:rPr>
              <w:t>3.3.</w:t>
            </w:r>
            <w:proofErr w:type="gramStart"/>
            <w:r>
              <w:rPr>
                <w:color w:val="B02045"/>
                <w:sz w:val="21"/>
              </w:rPr>
              <w:t>4.RELEASE</w:t>
            </w:r>
            <w:proofErr w:type="gramEnd"/>
          </w:p>
        </w:tc>
      </w:tr>
      <w:tr w:rsidR="00A720EB" w14:paraId="1D4AB0BD" w14:textId="77777777">
        <w:trPr>
          <w:trHeight w:val="368"/>
        </w:trPr>
        <w:tc>
          <w:tcPr>
            <w:tcW w:w="3325" w:type="dxa"/>
          </w:tcPr>
          <w:p w14:paraId="44FBA3E4"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.data</w:t>
            </w:r>
          </w:p>
        </w:tc>
        <w:tc>
          <w:tcPr>
            <w:tcW w:w="3325" w:type="dxa"/>
          </w:tcPr>
          <w:p w14:paraId="04CB46E9" w14:textId="77777777" w:rsidR="00A720EB" w:rsidRDefault="0030286B">
            <w:pPr>
              <w:pStyle w:val="TableParagraph"/>
              <w:spacing w:before="37"/>
              <w:rPr>
                <w:sz w:val="21"/>
              </w:rPr>
            </w:pPr>
            <w:r>
              <w:rPr>
                <w:color w:val="B02045"/>
                <w:sz w:val="21"/>
              </w:rPr>
              <w:t>spring-data-rest-hal-browser</w:t>
            </w:r>
          </w:p>
        </w:tc>
        <w:tc>
          <w:tcPr>
            <w:tcW w:w="3325" w:type="dxa"/>
          </w:tcPr>
          <w:p w14:paraId="056C0D66" w14:textId="77777777" w:rsidR="00A720EB" w:rsidRDefault="0030286B">
            <w:pPr>
              <w:pStyle w:val="TableParagraph"/>
              <w:spacing w:before="37"/>
              <w:rPr>
                <w:sz w:val="21"/>
              </w:rPr>
            </w:pPr>
            <w:r>
              <w:rPr>
                <w:color w:val="B02045"/>
                <w:sz w:val="21"/>
              </w:rPr>
              <w:t>3.3.</w:t>
            </w:r>
            <w:proofErr w:type="gramStart"/>
            <w:r>
              <w:rPr>
                <w:color w:val="B02045"/>
                <w:sz w:val="21"/>
              </w:rPr>
              <w:t>4.RELEASE</w:t>
            </w:r>
            <w:proofErr w:type="gramEnd"/>
          </w:p>
        </w:tc>
      </w:tr>
      <w:tr w:rsidR="00A720EB" w14:paraId="2626631E" w14:textId="77777777">
        <w:trPr>
          <w:trHeight w:val="368"/>
        </w:trPr>
        <w:tc>
          <w:tcPr>
            <w:tcW w:w="3325" w:type="dxa"/>
          </w:tcPr>
          <w:p w14:paraId="556AFC5B"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046003A8" w14:textId="77777777" w:rsidR="00A720EB" w:rsidRDefault="0030286B">
            <w:pPr>
              <w:pStyle w:val="TableParagraph"/>
              <w:rPr>
                <w:sz w:val="21"/>
              </w:rPr>
            </w:pPr>
            <w:r>
              <w:rPr>
                <w:color w:val="B02045"/>
                <w:sz w:val="21"/>
              </w:rPr>
              <w:t>spring-data-rest-hal-explorer</w:t>
            </w:r>
          </w:p>
        </w:tc>
        <w:tc>
          <w:tcPr>
            <w:tcW w:w="3325" w:type="dxa"/>
          </w:tcPr>
          <w:p w14:paraId="7278FA47" w14:textId="77777777" w:rsidR="00A720EB" w:rsidRDefault="0030286B">
            <w:pPr>
              <w:pStyle w:val="TableParagraph"/>
              <w:rPr>
                <w:sz w:val="21"/>
              </w:rPr>
            </w:pPr>
            <w:r>
              <w:rPr>
                <w:color w:val="B02045"/>
                <w:sz w:val="21"/>
              </w:rPr>
              <w:t>3.3.</w:t>
            </w:r>
            <w:proofErr w:type="gramStart"/>
            <w:r>
              <w:rPr>
                <w:color w:val="B02045"/>
                <w:sz w:val="21"/>
              </w:rPr>
              <w:t>4.RELEASE</w:t>
            </w:r>
            <w:proofErr w:type="gramEnd"/>
          </w:p>
        </w:tc>
      </w:tr>
      <w:tr w:rsidR="00A720EB" w14:paraId="638C8C18" w14:textId="77777777">
        <w:trPr>
          <w:trHeight w:val="368"/>
        </w:trPr>
        <w:tc>
          <w:tcPr>
            <w:tcW w:w="3325" w:type="dxa"/>
          </w:tcPr>
          <w:p w14:paraId="29B529FA"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26181884" w14:textId="77777777" w:rsidR="00A720EB" w:rsidRDefault="0030286B">
            <w:pPr>
              <w:pStyle w:val="TableParagraph"/>
              <w:rPr>
                <w:sz w:val="21"/>
              </w:rPr>
            </w:pPr>
            <w:r>
              <w:rPr>
                <w:color w:val="B02045"/>
                <w:sz w:val="21"/>
              </w:rPr>
              <w:t>spring-data-rest-webmvc</w:t>
            </w:r>
          </w:p>
        </w:tc>
        <w:tc>
          <w:tcPr>
            <w:tcW w:w="3325" w:type="dxa"/>
          </w:tcPr>
          <w:p w14:paraId="05713861" w14:textId="77777777" w:rsidR="00A720EB" w:rsidRDefault="0030286B">
            <w:pPr>
              <w:pStyle w:val="TableParagraph"/>
              <w:rPr>
                <w:sz w:val="21"/>
              </w:rPr>
            </w:pPr>
            <w:r>
              <w:rPr>
                <w:color w:val="B02045"/>
                <w:sz w:val="21"/>
              </w:rPr>
              <w:t>3.3.</w:t>
            </w:r>
            <w:proofErr w:type="gramStart"/>
            <w:r>
              <w:rPr>
                <w:color w:val="B02045"/>
                <w:sz w:val="21"/>
              </w:rPr>
              <w:t>4.RELEASE</w:t>
            </w:r>
            <w:proofErr w:type="gramEnd"/>
          </w:p>
        </w:tc>
      </w:tr>
      <w:tr w:rsidR="00A720EB" w14:paraId="160E99AB" w14:textId="77777777">
        <w:trPr>
          <w:trHeight w:val="368"/>
        </w:trPr>
        <w:tc>
          <w:tcPr>
            <w:tcW w:w="3325" w:type="dxa"/>
          </w:tcPr>
          <w:p w14:paraId="21E77107" w14:textId="77777777" w:rsidR="00A720EB" w:rsidRDefault="0030286B">
            <w:pPr>
              <w:pStyle w:val="TableParagraph"/>
              <w:rPr>
                <w:sz w:val="21"/>
              </w:rPr>
            </w:pPr>
            <w:proofErr w:type="gramStart"/>
            <w:r>
              <w:rPr>
                <w:color w:val="B02045"/>
                <w:sz w:val="21"/>
              </w:rPr>
              <w:t>org.springframework</w:t>
            </w:r>
            <w:proofErr w:type="gramEnd"/>
            <w:r>
              <w:rPr>
                <w:color w:val="B02045"/>
                <w:sz w:val="21"/>
              </w:rPr>
              <w:t>.data</w:t>
            </w:r>
          </w:p>
        </w:tc>
        <w:tc>
          <w:tcPr>
            <w:tcW w:w="3325" w:type="dxa"/>
          </w:tcPr>
          <w:p w14:paraId="46E7DA22" w14:textId="77777777" w:rsidR="00A720EB" w:rsidRDefault="0030286B">
            <w:pPr>
              <w:pStyle w:val="TableParagraph"/>
              <w:rPr>
                <w:sz w:val="21"/>
              </w:rPr>
            </w:pPr>
            <w:r>
              <w:rPr>
                <w:color w:val="B02045"/>
                <w:sz w:val="21"/>
              </w:rPr>
              <w:t>spring-data-solr</w:t>
            </w:r>
          </w:p>
        </w:tc>
        <w:tc>
          <w:tcPr>
            <w:tcW w:w="3325" w:type="dxa"/>
          </w:tcPr>
          <w:p w14:paraId="47A813DB" w14:textId="77777777" w:rsidR="00A720EB" w:rsidRDefault="0030286B">
            <w:pPr>
              <w:pStyle w:val="TableParagraph"/>
              <w:rPr>
                <w:sz w:val="21"/>
              </w:rPr>
            </w:pPr>
            <w:r>
              <w:rPr>
                <w:color w:val="B02045"/>
                <w:sz w:val="21"/>
              </w:rPr>
              <w:t>4.2.</w:t>
            </w:r>
            <w:proofErr w:type="gramStart"/>
            <w:r>
              <w:rPr>
                <w:color w:val="B02045"/>
                <w:sz w:val="21"/>
              </w:rPr>
              <w:t>4.RELEASE</w:t>
            </w:r>
            <w:proofErr w:type="gramEnd"/>
          </w:p>
        </w:tc>
      </w:tr>
      <w:tr w:rsidR="00A720EB" w14:paraId="11D278C4" w14:textId="77777777">
        <w:trPr>
          <w:trHeight w:val="368"/>
        </w:trPr>
        <w:tc>
          <w:tcPr>
            <w:tcW w:w="3325" w:type="dxa"/>
          </w:tcPr>
          <w:p w14:paraId="4929F82F" w14:textId="77777777" w:rsidR="00A720EB" w:rsidRDefault="0030286B">
            <w:pPr>
              <w:pStyle w:val="TableParagraph"/>
              <w:rPr>
                <w:sz w:val="21"/>
              </w:rPr>
            </w:pPr>
            <w:proofErr w:type="gramStart"/>
            <w:r>
              <w:rPr>
                <w:color w:val="B02045"/>
                <w:sz w:val="21"/>
              </w:rPr>
              <w:t>org.springframework</w:t>
            </w:r>
            <w:proofErr w:type="gramEnd"/>
            <w:r>
              <w:rPr>
                <w:color w:val="B02045"/>
                <w:sz w:val="21"/>
              </w:rPr>
              <w:t>.hateoas</w:t>
            </w:r>
          </w:p>
        </w:tc>
        <w:tc>
          <w:tcPr>
            <w:tcW w:w="3325" w:type="dxa"/>
          </w:tcPr>
          <w:p w14:paraId="6A22EC5A" w14:textId="77777777" w:rsidR="00A720EB" w:rsidRDefault="0030286B">
            <w:pPr>
              <w:pStyle w:val="TableParagraph"/>
              <w:rPr>
                <w:sz w:val="21"/>
              </w:rPr>
            </w:pPr>
            <w:r>
              <w:rPr>
                <w:color w:val="B02045"/>
                <w:sz w:val="21"/>
              </w:rPr>
              <w:t>spring-hateoas</w:t>
            </w:r>
          </w:p>
        </w:tc>
        <w:tc>
          <w:tcPr>
            <w:tcW w:w="3325" w:type="dxa"/>
          </w:tcPr>
          <w:p w14:paraId="58D22B42" w14:textId="77777777" w:rsidR="00A720EB" w:rsidRDefault="0030286B">
            <w:pPr>
              <w:pStyle w:val="TableParagraph"/>
              <w:rPr>
                <w:sz w:val="21"/>
              </w:rPr>
            </w:pPr>
            <w:r>
              <w:rPr>
                <w:color w:val="B02045"/>
                <w:sz w:val="21"/>
              </w:rPr>
              <w:t>1.1.</w:t>
            </w:r>
            <w:proofErr w:type="gramStart"/>
            <w:r>
              <w:rPr>
                <w:color w:val="B02045"/>
                <w:sz w:val="21"/>
              </w:rPr>
              <w:t>2.RELEASE</w:t>
            </w:r>
            <w:proofErr w:type="gramEnd"/>
          </w:p>
        </w:tc>
      </w:tr>
      <w:tr w:rsidR="00A720EB" w14:paraId="1363F8F7" w14:textId="77777777">
        <w:trPr>
          <w:trHeight w:val="627"/>
        </w:trPr>
        <w:tc>
          <w:tcPr>
            <w:tcW w:w="3325" w:type="dxa"/>
          </w:tcPr>
          <w:p w14:paraId="526FBF5C"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240D0331" w14:textId="77777777" w:rsidR="00A720EB" w:rsidRDefault="0030286B">
            <w:pPr>
              <w:pStyle w:val="TableParagraph"/>
              <w:spacing w:before="37"/>
              <w:rPr>
                <w:sz w:val="21"/>
              </w:rPr>
            </w:pPr>
            <w:r>
              <w:rPr>
                <w:color w:val="B02045"/>
                <w:sz w:val="21"/>
              </w:rPr>
              <w:t>spring-integration-amqp</w:t>
            </w:r>
          </w:p>
        </w:tc>
        <w:tc>
          <w:tcPr>
            <w:tcW w:w="3325" w:type="dxa"/>
          </w:tcPr>
          <w:p w14:paraId="22402F51"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34B10E46" w14:textId="77777777">
        <w:trPr>
          <w:trHeight w:val="627"/>
        </w:trPr>
        <w:tc>
          <w:tcPr>
            <w:tcW w:w="3325" w:type="dxa"/>
          </w:tcPr>
          <w:p w14:paraId="7D52DA98"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6E98E244" w14:textId="77777777" w:rsidR="00A720EB" w:rsidRDefault="0030286B">
            <w:pPr>
              <w:pStyle w:val="TableParagraph"/>
              <w:spacing w:before="37"/>
              <w:rPr>
                <w:sz w:val="21"/>
              </w:rPr>
            </w:pPr>
            <w:r>
              <w:rPr>
                <w:color w:val="B02045"/>
                <w:sz w:val="21"/>
              </w:rPr>
              <w:t>spring-integration-core</w:t>
            </w:r>
          </w:p>
        </w:tc>
        <w:tc>
          <w:tcPr>
            <w:tcW w:w="3325" w:type="dxa"/>
          </w:tcPr>
          <w:p w14:paraId="7A2D3E04"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7334E186" w14:textId="77777777">
        <w:trPr>
          <w:trHeight w:val="627"/>
        </w:trPr>
        <w:tc>
          <w:tcPr>
            <w:tcW w:w="3325" w:type="dxa"/>
          </w:tcPr>
          <w:p w14:paraId="077D5FC9"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6FD05904" w14:textId="77777777" w:rsidR="00A720EB" w:rsidRDefault="0030286B">
            <w:pPr>
              <w:pStyle w:val="TableParagraph"/>
              <w:rPr>
                <w:sz w:val="21"/>
              </w:rPr>
            </w:pPr>
            <w:r>
              <w:rPr>
                <w:color w:val="B02045"/>
                <w:sz w:val="21"/>
              </w:rPr>
              <w:t>spring-integration-event</w:t>
            </w:r>
          </w:p>
        </w:tc>
        <w:tc>
          <w:tcPr>
            <w:tcW w:w="3325" w:type="dxa"/>
          </w:tcPr>
          <w:p w14:paraId="26F3D4BB"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1B0DB047" w14:textId="77777777">
        <w:trPr>
          <w:trHeight w:val="627"/>
        </w:trPr>
        <w:tc>
          <w:tcPr>
            <w:tcW w:w="3325" w:type="dxa"/>
          </w:tcPr>
          <w:p w14:paraId="4EBCB87B"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38FE289E" w14:textId="77777777" w:rsidR="00A720EB" w:rsidRDefault="0030286B">
            <w:pPr>
              <w:pStyle w:val="TableParagraph"/>
              <w:rPr>
                <w:sz w:val="21"/>
              </w:rPr>
            </w:pPr>
            <w:r>
              <w:rPr>
                <w:color w:val="B02045"/>
                <w:sz w:val="21"/>
              </w:rPr>
              <w:t>spring-integration-feed</w:t>
            </w:r>
          </w:p>
        </w:tc>
        <w:tc>
          <w:tcPr>
            <w:tcW w:w="3325" w:type="dxa"/>
          </w:tcPr>
          <w:p w14:paraId="0968F863"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517305E2" w14:textId="77777777">
        <w:trPr>
          <w:trHeight w:val="627"/>
        </w:trPr>
        <w:tc>
          <w:tcPr>
            <w:tcW w:w="3325" w:type="dxa"/>
          </w:tcPr>
          <w:p w14:paraId="7730641D"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167DA1F3" w14:textId="77777777" w:rsidR="00A720EB" w:rsidRDefault="0030286B">
            <w:pPr>
              <w:pStyle w:val="TableParagraph"/>
              <w:rPr>
                <w:sz w:val="21"/>
              </w:rPr>
            </w:pPr>
            <w:r>
              <w:rPr>
                <w:color w:val="B02045"/>
                <w:sz w:val="21"/>
              </w:rPr>
              <w:t>spring-integration-file</w:t>
            </w:r>
          </w:p>
        </w:tc>
        <w:tc>
          <w:tcPr>
            <w:tcW w:w="3325" w:type="dxa"/>
          </w:tcPr>
          <w:p w14:paraId="6CBAB307"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67F643C5" w14:textId="77777777">
        <w:trPr>
          <w:trHeight w:val="627"/>
        </w:trPr>
        <w:tc>
          <w:tcPr>
            <w:tcW w:w="3325" w:type="dxa"/>
          </w:tcPr>
          <w:p w14:paraId="44B59022"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04674AD0" w14:textId="77777777" w:rsidR="00A720EB" w:rsidRDefault="0030286B">
            <w:pPr>
              <w:pStyle w:val="TableParagraph"/>
              <w:spacing w:before="37"/>
              <w:rPr>
                <w:sz w:val="21"/>
              </w:rPr>
            </w:pPr>
            <w:r>
              <w:rPr>
                <w:color w:val="B02045"/>
                <w:sz w:val="21"/>
              </w:rPr>
              <w:t>spring-integration-ftp</w:t>
            </w:r>
          </w:p>
        </w:tc>
        <w:tc>
          <w:tcPr>
            <w:tcW w:w="3325" w:type="dxa"/>
          </w:tcPr>
          <w:p w14:paraId="09ADB49B"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397D6089" w14:textId="77777777">
        <w:trPr>
          <w:trHeight w:val="627"/>
        </w:trPr>
        <w:tc>
          <w:tcPr>
            <w:tcW w:w="3325" w:type="dxa"/>
          </w:tcPr>
          <w:p w14:paraId="6D92D5DF"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3523CF23" w14:textId="77777777" w:rsidR="00A720EB" w:rsidRDefault="0030286B">
            <w:pPr>
              <w:pStyle w:val="TableParagraph"/>
              <w:spacing w:before="37"/>
              <w:rPr>
                <w:sz w:val="21"/>
              </w:rPr>
            </w:pPr>
            <w:r>
              <w:rPr>
                <w:color w:val="B02045"/>
                <w:sz w:val="21"/>
              </w:rPr>
              <w:t>spring-integration-gemfire</w:t>
            </w:r>
          </w:p>
        </w:tc>
        <w:tc>
          <w:tcPr>
            <w:tcW w:w="3325" w:type="dxa"/>
          </w:tcPr>
          <w:p w14:paraId="39CE46C2"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2FC77574" w14:textId="77777777">
        <w:trPr>
          <w:trHeight w:val="627"/>
        </w:trPr>
        <w:tc>
          <w:tcPr>
            <w:tcW w:w="3325" w:type="dxa"/>
          </w:tcPr>
          <w:p w14:paraId="19ED3C5E"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3D319866" w14:textId="77777777" w:rsidR="00A720EB" w:rsidRDefault="0030286B">
            <w:pPr>
              <w:pStyle w:val="TableParagraph"/>
              <w:rPr>
                <w:sz w:val="21"/>
              </w:rPr>
            </w:pPr>
            <w:r>
              <w:rPr>
                <w:color w:val="B02045"/>
                <w:sz w:val="21"/>
              </w:rPr>
              <w:t>spring-integration-groovy</w:t>
            </w:r>
          </w:p>
        </w:tc>
        <w:tc>
          <w:tcPr>
            <w:tcW w:w="3325" w:type="dxa"/>
          </w:tcPr>
          <w:p w14:paraId="32B04803"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755C6A96" w14:textId="77777777">
        <w:trPr>
          <w:trHeight w:val="627"/>
        </w:trPr>
        <w:tc>
          <w:tcPr>
            <w:tcW w:w="3325" w:type="dxa"/>
          </w:tcPr>
          <w:p w14:paraId="11F1BF3B"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0241F6FB" w14:textId="77777777" w:rsidR="00A720EB" w:rsidRDefault="0030286B">
            <w:pPr>
              <w:pStyle w:val="TableParagraph"/>
              <w:spacing w:before="37"/>
              <w:rPr>
                <w:sz w:val="21"/>
              </w:rPr>
            </w:pPr>
            <w:r>
              <w:rPr>
                <w:color w:val="B02045"/>
                <w:sz w:val="21"/>
              </w:rPr>
              <w:t>spring-integration-http</w:t>
            </w:r>
          </w:p>
        </w:tc>
        <w:tc>
          <w:tcPr>
            <w:tcW w:w="3325" w:type="dxa"/>
          </w:tcPr>
          <w:p w14:paraId="37ACA5AB"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5CF374CF" w14:textId="77777777">
        <w:trPr>
          <w:trHeight w:val="627"/>
        </w:trPr>
        <w:tc>
          <w:tcPr>
            <w:tcW w:w="3325" w:type="dxa"/>
          </w:tcPr>
          <w:p w14:paraId="7571E8B0"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2DF88CDE" w14:textId="77777777" w:rsidR="00A720EB" w:rsidRDefault="0030286B">
            <w:pPr>
              <w:pStyle w:val="TableParagraph"/>
              <w:rPr>
                <w:sz w:val="21"/>
              </w:rPr>
            </w:pPr>
            <w:r>
              <w:rPr>
                <w:color w:val="B02045"/>
                <w:sz w:val="21"/>
              </w:rPr>
              <w:t>spring-integration-ip</w:t>
            </w:r>
          </w:p>
        </w:tc>
        <w:tc>
          <w:tcPr>
            <w:tcW w:w="3325" w:type="dxa"/>
          </w:tcPr>
          <w:p w14:paraId="3340EDE7"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0351D574" w14:textId="77777777">
        <w:trPr>
          <w:trHeight w:val="627"/>
        </w:trPr>
        <w:tc>
          <w:tcPr>
            <w:tcW w:w="3325" w:type="dxa"/>
          </w:tcPr>
          <w:p w14:paraId="02D50464"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411625FA" w14:textId="77777777" w:rsidR="00A720EB" w:rsidRDefault="0030286B">
            <w:pPr>
              <w:pStyle w:val="TableParagraph"/>
              <w:spacing w:before="37"/>
              <w:rPr>
                <w:sz w:val="21"/>
              </w:rPr>
            </w:pPr>
            <w:r>
              <w:rPr>
                <w:color w:val="B02045"/>
                <w:sz w:val="21"/>
              </w:rPr>
              <w:t>spring-integration-jdbc</w:t>
            </w:r>
          </w:p>
        </w:tc>
        <w:tc>
          <w:tcPr>
            <w:tcW w:w="3325" w:type="dxa"/>
          </w:tcPr>
          <w:p w14:paraId="09BBC3C3"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2DC86A6C" w14:textId="77777777">
        <w:trPr>
          <w:trHeight w:val="627"/>
        </w:trPr>
        <w:tc>
          <w:tcPr>
            <w:tcW w:w="3325" w:type="dxa"/>
          </w:tcPr>
          <w:p w14:paraId="75766CCC"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5B38CE03" w14:textId="77777777" w:rsidR="00A720EB" w:rsidRDefault="0030286B">
            <w:pPr>
              <w:pStyle w:val="TableParagraph"/>
              <w:rPr>
                <w:sz w:val="21"/>
              </w:rPr>
            </w:pPr>
            <w:r>
              <w:rPr>
                <w:color w:val="B02045"/>
                <w:sz w:val="21"/>
              </w:rPr>
              <w:t>spring-integration-jms</w:t>
            </w:r>
          </w:p>
        </w:tc>
        <w:tc>
          <w:tcPr>
            <w:tcW w:w="3325" w:type="dxa"/>
          </w:tcPr>
          <w:p w14:paraId="2D443C42"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11E52976" w14:textId="77777777">
        <w:trPr>
          <w:trHeight w:val="627"/>
        </w:trPr>
        <w:tc>
          <w:tcPr>
            <w:tcW w:w="3325" w:type="dxa"/>
          </w:tcPr>
          <w:p w14:paraId="7CA77EC8"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40B7BEC9" w14:textId="77777777" w:rsidR="00A720EB" w:rsidRDefault="0030286B">
            <w:pPr>
              <w:pStyle w:val="TableParagraph"/>
              <w:spacing w:before="37"/>
              <w:rPr>
                <w:sz w:val="21"/>
              </w:rPr>
            </w:pPr>
            <w:r>
              <w:rPr>
                <w:color w:val="B02045"/>
                <w:sz w:val="21"/>
              </w:rPr>
              <w:t>spring-integration-jmx</w:t>
            </w:r>
          </w:p>
        </w:tc>
        <w:tc>
          <w:tcPr>
            <w:tcW w:w="3325" w:type="dxa"/>
          </w:tcPr>
          <w:p w14:paraId="641EEFDF"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56DB3163" w14:textId="77777777">
        <w:trPr>
          <w:trHeight w:val="627"/>
        </w:trPr>
        <w:tc>
          <w:tcPr>
            <w:tcW w:w="3325" w:type="dxa"/>
          </w:tcPr>
          <w:p w14:paraId="1F74597A"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4D996D58" w14:textId="77777777" w:rsidR="00A720EB" w:rsidRDefault="0030286B">
            <w:pPr>
              <w:pStyle w:val="TableParagraph"/>
              <w:spacing w:before="37"/>
              <w:rPr>
                <w:sz w:val="21"/>
              </w:rPr>
            </w:pPr>
            <w:r>
              <w:rPr>
                <w:color w:val="B02045"/>
                <w:sz w:val="21"/>
              </w:rPr>
              <w:t>spring-integration-jpa</w:t>
            </w:r>
          </w:p>
        </w:tc>
        <w:tc>
          <w:tcPr>
            <w:tcW w:w="3325" w:type="dxa"/>
          </w:tcPr>
          <w:p w14:paraId="1204A283"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094FA705" w14:textId="77777777">
        <w:trPr>
          <w:trHeight w:val="627"/>
        </w:trPr>
        <w:tc>
          <w:tcPr>
            <w:tcW w:w="3325" w:type="dxa"/>
          </w:tcPr>
          <w:p w14:paraId="32028CD7"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26E1E0D5" w14:textId="77777777" w:rsidR="00A720EB" w:rsidRDefault="0030286B">
            <w:pPr>
              <w:pStyle w:val="TableParagraph"/>
              <w:spacing w:before="37"/>
              <w:rPr>
                <w:sz w:val="21"/>
              </w:rPr>
            </w:pPr>
            <w:r>
              <w:rPr>
                <w:color w:val="B02045"/>
                <w:sz w:val="21"/>
              </w:rPr>
              <w:t>spring-integration-mail</w:t>
            </w:r>
          </w:p>
        </w:tc>
        <w:tc>
          <w:tcPr>
            <w:tcW w:w="3325" w:type="dxa"/>
          </w:tcPr>
          <w:p w14:paraId="427B2538"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5CC289D9" w14:textId="77777777">
        <w:trPr>
          <w:trHeight w:val="627"/>
        </w:trPr>
        <w:tc>
          <w:tcPr>
            <w:tcW w:w="3325" w:type="dxa"/>
          </w:tcPr>
          <w:p w14:paraId="4FC71DD8"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24D0B5B2" w14:textId="77777777" w:rsidR="00A720EB" w:rsidRDefault="0030286B">
            <w:pPr>
              <w:pStyle w:val="TableParagraph"/>
              <w:spacing w:before="37"/>
              <w:rPr>
                <w:sz w:val="21"/>
              </w:rPr>
            </w:pPr>
            <w:r>
              <w:rPr>
                <w:color w:val="B02045"/>
                <w:sz w:val="21"/>
              </w:rPr>
              <w:t>spring-integration-mongodb</w:t>
            </w:r>
          </w:p>
        </w:tc>
        <w:tc>
          <w:tcPr>
            <w:tcW w:w="3325" w:type="dxa"/>
          </w:tcPr>
          <w:p w14:paraId="75D7396A"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4459616D" w14:textId="77777777">
        <w:trPr>
          <w:trHeight w:val="627"/>
        </w:trPr>
        <w:tc>
          <w:tcPr>
            <w:tcW w:w="3325" w:type="dxa"/>
          </w:tcPr>
          <w:p w14:paraId="2E2F2ADE"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628C42BD" w14:textId="77777777" w:rsidR="00A720EB" w:rsidRDefault="0030286B">
            <w:pPr>
              <w:pStyle w:val="TableParagraph"/>
              <w:spacing w:before="37"/>
              <w:rPr>
                <w:sz w:val="21"/>
              </w:rPr>
            </w:pPr>
            <w:r>
              <w:rPr>
                <w:color w:val="B02045"/>
                <w:sz w:val="21"/>
              </w:rPr>
              <w:t>spring-integration-mqtt</w:t>
            </w:r>
          </w:p>
        </w:tc>
        <w:tc>
          <w:tcPr>
            <w:tcW w:w="3325" w:type="dxa"/>
          </w:tcPr>
          <w:p w14:paraId="39E9406D"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37B10722" w14:textId="77777777">
        <w:trPr>
          <w:trHeight w:val="627"/>
        </w:trPr>
        <w:tc>
          <w:tcPr>
            <w:tcW w:w="3325" w:type="dxa"/>
          </w:tcPr>
          <w:p w14:paraId="33FB658B"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4E736242" w14:textId="77777777" w:rsidR="00A720EB" w:rsidRDefault="0030286B">
            <w:pPr>
              <w:pStyle w:val="TableParagraph"/>
              <w:rPr>
                <w:sz w:val="21"/>
              </w:rPr>
            </w:pPr>
            <w:r>
              <w:rPr>
                <w:color w:val="B02045"/>
                <w:sz w:val="21"/>
              </w:rPr>
              <w:t>spring-integration-redis</w:t>
            </w:r>
          </w:p>
        </w:tc>
        <w:tc>
          <w:tcPr>
            <w:tcW w:w="3325" w:type="dxa"/>
          </w:tcPr>
          <w:p w14:paraId="3B8D52DF"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bl>
    <w:p w14:paraId="1D6B8031"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4435E176" w14:textId="77777777">
        <w:trPr>
          <w:trHeight w:val="415"/>
        </w:trPr>
        <w:tc>
          <w:tcPr>
            <w:tcW w:w="3325" w:type="dxa"/>
            <w:tcBorders>
              <w:bottom w:val="single" w:sz="12" w:space="0" w:color="DDDDDD"/>
            </w:tcBorders>
          </w:tcPr>
          <w:p w14:paraId="40218D4D"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623690F9"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62647DAB"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63D2C027" w14:textId="77777777">
        <w:trPr>
          <w:trHeight w:val="617"/>
        </w:trPr>
        <w:tc>
          <w:tcPr>
            <w:tcW w:w="3325" w:type="dxa"/>
            <w:tcBorders>
              <w:top w:val="single" w:sz="12" w:space="0" w:color="DDDDDD"/>
            </w:tcBorders>
          </w:tcPr>
          <w:p w14:paraId="62174BA0" w14:textId="77777777" w:rsidR="00A720EB" w:rsidRDefault="0030286B">
            <w:pPr>
              <w:pStyle w:val="TableParagraph"/>
              <w:spacing w:before="3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Borders>
              <w:top w:val="single" w:sz="12" w:space="0" w:color="DDDDDD"/>
            </w:tcBorders>
          </w:tcPr>
          <w:p w14:paraId="32BD1836" w14:textId="77777777" w:rsidR="00A720EB" w:rsidRDefault="0030286B">
            <w:pPr>
              <w:pStyle w:val="TableParagraph"/>
              <w:spacing w:before="27"/>
              <w:rPr>
                <w:sz w:val="21"/>
              </w:rPr>
            </w:pPr>
            <w:r>
              <w:rPr>
                <w:color w:val="B02045"/>
                <w:sz w:val="21"/>
              </w:rPr>
              <w:t>spring-integration-rmi</w:t>
            </w:r>
          </w:p>
        </w:tc>
        <w:tc>
          <w:tcPr>
            <w:tcW w:w="3325" w:type="dxa"/>
            <w:tcBorders>
              <w:top w:val="single" w:sz="12" w:space="0" w:color="DDDDDD"/>
            </w:tcBorders>
          </w:tcPr>
          <w:p w14:paraId="1B56965A" w14:textId="77777777" w:rsidR="00A720EB" w:rsidRDefault="0030286B">
            <w:pPr>
              <w:pStyle w:val="TableParagraph"/>
              <w:spacing w:before="27"/>
              <w:rPr>
                <w:sz w:val="21"/>
              </w:rPr>
            </w:pPr>
            <w:r>
              <w:rPr>
                <w:color w:val="B02045"/>
                <w:sz w:val="21"/>
              </w:rPr>
              <w:t>5.3.</w:t>
            </w:r>
            <w:proofErr w:type="gramStart"/>
            <w:r>
              <w:rPr>
                <w:color w:val="B02045"/>
                <w:sz w:val="21"/>
              </w:rPr>
              <w:t>2.RELEASE</w:t>
            </w:r>
            <w:proofErr w:type="gramEnd"/>
          </w:p>
        </w:tc>
      </w:tr>
      <w:tr w:rsidR="00A720EB" w14:paraId="15B21D2E" w14:textId="77777777">
        <w:trPr>
          <w:trHeight w:val="627"/>
        </w:trPr>
        <w:tc>
          <w:tcPr>
            <w:tcW w:w="3325" w:type="dxa"/>
          </w:tcPr>
          <w:p w14:paraId="2722809F"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71AD0F2D" w14:textId="77777777" w:rsidR="00A720EB" w:rsidRDefault="0030286B">
            <w:pPr>
              <w:pStyle w:val="TableParagraph"/>
              <w:spacing w:before="37"/>
              <w:rPr>
                <w:sz w:val="21"/>
              </w:rPr>
            </w:pPr>
            <w:r>
              <w:rPr>
                <w:color w:val="B02045"/>
                <w:sz w:val="21"/>
              </w:rPr>
              <w:t>spring-integration-rsocket</w:t>
            </w:r>
          </w:p>
        </w:tc>
        <w:tc>
          <w:tcPr>
            <w:tcW w:w="3325" w:type="dxa"/>
          </w:tcPr>
          <w:p w14:paraId="172C3320"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30E5BD72" w14:textId="77777777">
        <w:trPr>
          <w:trHeight w:val="627"/>
        </w:trPr>
        <w:tc>
          <w:tcPr>
            <w:tcW w:w="3325" w:type="dxa"/>
          </w:tcPr>
          <w:p w14:paraId="6D163D48"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0939EF9E" w14:textId="77777777" w:rsidR="00A720EB" w:rsidRDefault="0030286B">
            <w:pPr>
              <w:pStyle w:val="TableParagraph"/>
              <w:rPr>
                <w:sz w:val="21"/>
              </w:rPr>
            </w:pPr>
            <w:r>
              <w:rPr>
                <w:color w:val="B02045"/>
                <w:sz w:val="21"/>
              </w:rPr>
              <w:t>spring-integration-scripting</w:t>
            </w:r>
          </w:p>
        </w:tc>
        <w:tc>
          <w:tcPr>
            <w:tcW w:w="3325" w:type="dxa"/>
          </w:tcPr>
          <w:p w14:paraId="0EAA28A3"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2561073B" w14:textId="77777777">
        <w:trPr>
          <w:trHeight w:val="627"/>
        </w:trPr>
        <w:tc>
          <w:tcPr>
            <w:tcW w:w="3325" w:type="dxa"/>
          </w:tcPr>
          <w:p w14:paraId="78A19C25"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6AF0408F" w14:textId="77777777" w:rsidR="00A720EB" w:rsidRDefault="0030286B">
            <w:pPr>
              <w:pStyle w:val="TableParagraph"/>
              <w:rPr>
                <w:sz w:val="21"/>
              </w:rPr>
            </w:pPr>
            <w:r>
              <w:rPr>
                <w:color w:val="B02045"/>
                <w:sz w:val="21"/>
              </w:rPr>
              <w:t>spring-integration-security</w:t>
            </w:r>
          </w:p>
        </w:tc>
        <w:tc>
          <w:tcPr>
            <w:tcW w:w="3325" w:type="dxa"/>
          </w:tcPr>
          <w:p w14:paraId="1DE99760"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7D4A36EB" w14:textId="77777777">
        <w:trPr>
          <w:trHeight w:val="627"/>
        </w:trPr>
        <w:tc>
          <w:tcPr>
            <w:tcW w:w="3325" w:type="dxa"/>
          </w:tcPr>
          <w:p w14:paraId="165F359B"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5D98469C" w14:textId="77777777" w:rsidR="00A720EB" w:rsidRDefault="0030286B">
            <w:pPr>
              <w:pStyle w:val="TableParagraph"/>
              <w:spacing w:before="37"/>
              <w:rPr>
                <w:sz w:val="21"/>
              </w:rPr>
            </w:pPr>
            <w:r>
              <w:rPr>
                <w:color w:val="B02045"/>
                <w:sz w:val="21"/>
              </w:rPr>
              <w:t>spring-integration-sftp</w:t>
            </w:r>
          </w:p>
        </w:tc>
        <w:tc>
          <w:tcPr>
            <w:tcW w:w="3325" w:type="dxa"/>
          </w:tcPr>
          <w:p w14:paraId="35D9BD91"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30736EC6" w14:textId="77777777">
        <w:trPr>
          <w:trHeight w:val="627"/>
        </w:trPr>
        <w:tc>
          <w:tcPr>
            <w:tcW w:w="3325" w:type="dxa"/>
          </w:tcPr>
          <w:p w14:paraId="2329CE02"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15D0E74A" w14:textId="77777777" w:rsidR="00A720EB" w:rsidRDefault="0030286B">
            <w:pPr>
              <w:pStyle w:val="TableParagraph"/>
              <w:spacing w:before="37"/>
              <w:rPr>
                <w:sz w:val="21"/>
              </w:rPr>
            </w:pPr>
            <w:r>
              <w:rPr>
                <w:color w:val="B02045"/>
                <w:sz w:val="21"/>
              </w:rPr>
              <w:t>spring-integration-stomp</w:t>
            </w:r>
          </w:p>
        </w:tc>
        <w:tc>
          <w:tcPr>
            <w:tcW w:w="3325" w:type="dxa"/>
          </w:tcPr>
          <w:p w14:paraId="0A45BD14"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52C1568A" w14:textId="77777777">
        <w:trPr>
          <w:trHeight w:val="627"/>
        </w:trPr>
        <w:tc>
          <w:tcPr>
            <w:tcW w:w="3325" w:type="dxa"/>
          </w:tcPr>
          <w:p w14:paraId="576D78D8"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1DC1EB49" w14:textId="77777777" w:rsidR="00A720EB" w:rsidRDefault="0030286B">
            <w:pPr>
              <w:pStyle w:val="TableParagraph"/>
              <w:rPr>
                <w:sz w:val="21"/>
              </w:rPr>
            </w:pPr>
            <w:r>
              <w:rPr>
                <w:color w:val="B02045"/>
                <w:sz w:val="21"/>
              </w:rPr>
              <w:t>spring-integration-stream</w:t>
            </w:r>
          </w:p>
        </w:tc>
        <w:tc>
          <w:tcPr>
            <w:tcW w:w="3325" w:type="dxa"/>
          </w:tcPr>
          <w:p w14:paraId="336C09D1"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4F39C790" w14:textId="77777777">
        <w:trPr>
          <w:trHeight w:val="627"/>
        </w:trPr>
        <w:tc>
          <w:tcPr>
            <w:tcW w:w="3325" w:type="dxa"/>
          </w:tcPr>
          <w:p w14:paraId="5E21CE23"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51EE0508" w14:textId="77777777" w:rsidR="00A720EB" w:rsidRDefault="0030286B">
            <w:pPr>
              <w:pStyle w:val="TableParagraph"/>
              <w:rPr>
                <w:sz w:val="21"/>
              </w:rPr>
            </w:pPr>
            <w:r>
              <w:rPr>
                <w:color w:val="B02045"/>
                <w:sz w:val="21"/>
              </w:rPr>
              <w:t>spring-integration-syslog</w:t>
            </w:r>
          </w:p>
        </w:tc>
        <w:tc>
          <w:tcPr>
            <w:tcW w:w="3325" w:type="dxa"/>
          </w:tcPr>
          <w:p w14:paraId="3343E876"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51FCC265" w14:textId="77777777">
        <w:trPr>
          <w:trHeight w:val="627"/>
        </w:trPr>
        <w:tc>
          <w:tcPr>
            <w:tcW w:w="3325" w:type="dxa"/>
          </w:tcPr>
          <w:p w14:paraId="76A9D133"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6BCB9553" w14:textId="77777777" w:rsidR="00A720EB" w:rsidRDefault="0030286B">
            <w:pPr>
              <w:pStyle w:val="TableParagraph"/>
              <w:spacing w:before="37"/>
              <w:rPr>
                <w:sz w:val="21"/>
              </w:rPr>
            </w:pPr>
            <w:r>
              <w:rPr>
                <w:color w:val="B02045"/>
                <w:sz w:val="21"/>
              </w:rPr>
              <w:t>spring-integration-test</w:t>
            </w:r>
          </w:p>
        </w:tc>
        <w:tc>
          <w:tcPr>
            <w:tcW w:w="3325" w:type="dxa"/>
          </w:tcPr>
          <w:p w14:paraId="7C2C7E78"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397AA566" w14:textId="77777777">
        <w:trPr>
          <w:trHeight w:val="627"/>
        </w:trPr>
        <w:tc>
          <w:tcPr>
            <w:tcW w:w="3325" w:type="dxa"/>
          </w:tcPr>
          <w:p w14:paraId="68BA7FD2"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55C6810A" w14:textId="77777777" w:rsidR="00A720EB" w:rsidRDefault="0030286B">
            <w:pPr>
              <w:pStyle w:val="TableParagraph"/>
              <w:spacing w:before="46" w:line="230" w:lineRule="auto"/>
              <w:ind w:right="715"/>
              <w:rPr>
                <w:sz w:val="21"/>
              </w:rPr>
            </w:pPr>
            <w:r>
              <w:rPr>
                <w:color w:val="B02045"/>
                <w:sz w:val="21"/>
              </w:rPr>
              <w:t>spring-integration-test- support</w:t>
            </w:r>
          </w:p>
        </w:tc>
        <w:tc>
          <w:tcPr>
            <w:tcW w:w="3325" w:type="dxa"/>
          </w:tcPr>
          <w:p w14:paraId="3B515019"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6367A11A" w14:textId="77777777">
        <w:trPr>
          <w:trHeight w:val="627"/>
        </w:trPr>
        <w:tc>
          <w:tcPr>
            <w:tcW w:w="3325" w:type="dxa"/>
          </w:tcPr>
          <w:p w14:paraId="31281D7C"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6AFFF94F" w14:textId="77777777" w:rsidR="00A720EB" w:rsidRDefault="0030286B">
            <w:pPr>
              <w:pStyle w:val="TableParagraph"/>
              <w:rPr>
                <w:sz w:val="21"/>
              </w:rPr>
            </w:pPr>
            <w:r>
              <w:rPr>
                <w:color w:val="B02045"/>
                <w:sz w:val="21"/>
              </w:rPr>
              <w:t>spring-integration-webflux</w:t>
            </w:r>
          </w:p>
        </w:tc>
        <w:tc>
          <w:tcPr>
            <w:tcW w:w="3325" w:type="dxa"/>
          </w:tcPr>
          <w:p w14:paraId="790C2EAD"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71A117EB" w14:textId="77777777">
        <w:trPr>
          <w:trHeight w:val="627"/>
        </w:trPr>
        <w:tc>
          <w:tcPr>
            <w:tcW w:w="3325" w:type="dxa"/>
          </w:tcPr>
          <w:p w14:paraId="199C3ED6"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1A2349CC" w14:textId="77777777" w:rsidR="00A720EB" w:rsidRDefault="0030286B">
            <w:pPr>
              <w:pStyle w:val="TableParagraph"/>
              <w:spacing w:before="37"/>
              <w:rPr>
                <w:sz w:val="21"/>
              </w:rPr>
            </w:pPr>
            <w:r>
              <w:rPr>
                <w:color w:val="B02045"/>
                <w:sz w:val="21"/>
              </w:rPr>
              <w:t>spring-integration-websocket</w:t>
            </w:r>
          </w:p>
        </w:tc>
        <w:tc>
          <w:tcPr>
            <w:tcW w:w="3325" w:type="dxa"/>
          </w:tcPr>
          <w:p w14:paraId="56D2D779"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663707AB" w14:textId="77777777">
        <w:trPr>
          <w:trHeight w:val="627"/>
        </w:trPr>
        <w:tc>
          <w:tcPr>
            <w:tcW w:w="3325" w:type="dxa"/>
          </w:tcPr>
          <w:p w14:paraId="4C1F7FD7"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6F78437A" w14:textId="77777777" w:rsidR="00A720EB" w:rsidRDefault="0030286B">
            <w:pPr>
              <w:pStyle w:val="TableParagraph"/>
              <w:rPr>
                <w:sz w:val="21"/>
              </w:rPr>
            </w:pPr>
            <w:r>
              <w:rPr>
                <w:color w:val="B02045"/>
                <w:sz w:val="21"/>
              </w:rPr>
              <w:t>spring-integration-ws</w:t>
            </w:r>
          </w:p>
        </w:tc>
        <w:tc>
          <w:tcPr>
            <w:tcW w:w="3325" w:type="dxa"/>
          </w:tcPr>
          <w:p w14:paraId="73C1A07E"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5C54C20B" w14:textId="77777777">
        <w:trPr>
          <w:trHeight w:val="627"/>
        </w:trPr>
        <w:tc>
          <w:tcPr>
            <w:tcW w:w="3325" w:type="dxa"/>
          </w:tcPr>
          <w:p w14:paraId="682E1BBC"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4BEAFBB9" w14:textId="77777777" w:rsidR="00A720EB" w:rsidRDefault="0030286B">
            <w:pPr>
              <w:pStyle w:val="TableParagraph"/>
              <w:spacing w:before="37"/>
              <w:rPr>
                <w:sz w:val="21"/>
              </w:rPr>
            </w:pPr>
            <w:r>
              <w:rPr>
                <w:color w:val="B02045"/>
                <w:sz w:val="21"/>
              </w:rPr>
              <w:t>spring-integration-xml</w:t>
            </w:r>
          </w:p>
        </w:tc>
        <w:tc>
          <w:tcPr>
            <w:tcW w:w="3325" w:type="dxa"/>
          </w:tcPr>
          <w:p w14:paraId="10C7CEC9"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1CDBD836" w14:textId="77777777">
        <w:trPr>
          <w:trHeight w:val="627"/>
        </w:trPr>
        <w:tc>
          <w:tcPr>
            <w:tcW w:w="3325" w:type="dxa"/>
          </w:tcPr>
          <w:p w14:paraId="3AA515B6"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6A3EA84D" w14:textId="77777777" w:rsidR="00A720EB" w:rsidRDefault="0030286B">
            <w:pPr>
              <w:pStyle w:val="TableParagraph"/>
              <w:rPr>
                <w:sz w:val="21"/>
              </w:rPr>
            </w:pPr>
            <w:r>
              <w:rPr>
                <w:color w:val="B02045"/>
                <w:sz w:val="21"/>
              </w:rPr>
              <w:t>spring-integration-xmpp</w:t>
            </w:r>
          </w:p>
        </w:tc>
        <w:tc>
          <w:tcPr>
            <w:tcW w:w="3325" w:type="dxa"/>
          </w:tcPr>
          <w:p w14:paraId="00CB933A" w14:textId="77777777" w:rsidR="00A720EB" w:rsidRDefault="0030286B">
            <w:pPr>
              <w:pStyle w:val="TableParagraph"/>
              <w:rPr>
                <w:sz w:val="21"/>
              </w:rPr>
            </w:pPr>
            <w:r>
              <w:rPr>
                <w:color w:val="B02045"/>
                <w:sz w:val="21"/>
              </w:rPr>
              <w:t>5.3.</w:t>
            </w:r>
            <w:proofErr w:type="gramStart"/>
            <w:r>
              <w:rPr>
                <w:color w:val="B02045"/>
                <w:sz w:val="21"/>
              </w:rPr>
              <w:t>2.RELEASE</w:t>
            </w:r>
            <w:proofErr w:type="gramEnd"/>
          </w:p>
        </w:tc>
      </w:tr>
      <w:tr w:rsidR="00A720EB" w14:paraId="75900BA2" w14:textId="77777777">
        <w:trPr>
          <w:trHeight w:val="627"/>
        </w:trPr>
        <w:tc>
          <w:tcPr>
            <w:tcW w:w="3325" w:type="dxa"/>
          </w:tcPr>
          <w:p w14:paraId="390255AD" w14:textId="77777777" w:rsidR="00A720EB" w:rsidRDefault="0030286B">
            <w:pPr>
              <w:pStyle w:val="TableParagraph"/>
              <w:spacing w:before="46" w:line="230" w:lineRule="auto"/>
              <w:ind w:right="85"/>
              <w:rPr>
                <w:sz w:val="21"/>
              </w:rPr>
            </w:pPr>
            <w:proofErr w:type="gramStart"/>
            <w:r>
              <w:rPr>
                <w:color w:val="B02045"/>
                <w:sz w:val="21"/>
              </w:rPr>
              <w:t>org.springframework</w:t>
            </w:r>
            <w:proofErr w:type="gramEnd"/>
            <w:r>
              <w:rPr>
                <w:color w:val="B02045"/>
                <w:sz w:val="21"/>
              </w:rPr>
              <w:t>.integratio n</w:t>
            </w:r>
          </w:p>
        </w:tc>
        <w:tc>
          <w:tcPr>
            <w:tcW w:w="3325" w:type="dxa"/>
          </w:tcPr>
          <w:p w14:paraId="299DACD2" w14:textId="77777777" w:rsidR="00A720EB" w:rsidRDefault="0030286B">
            <w:pPr>
              <w:pStyle w:val="TableParagraph"/>
              <w:spacing w:before="37"/>
              <w:rPr>
                <w:sz w:val="21"/>
              </w:rPr>
            </w:pPr>
            <w:r>
              <w:rPr>
                <w:color w:val="B02045"/>
                <w:sz w:val="21"/>
              </w:rPr>
              <w:t>spring-integration-zookeeper</w:t>
            </w:r>
          </w:p>
        </w:tc>
        <w:tc>
          <w:tcPr>
            <w:tcW w:w="3325" w:type="dxa"/>
          </w:tcPr>
          <w:p w14:paraId="20FBC3B7" w14:textId="77777777" w:rsidR="00A720EB" w:rsidRDefault="0030286B">
            <w:pPr>
              <w:pStyle w:val="TableParagraph"/>
              <w:spacing w:before="37"/>
              <w:rPr>
                <w:sz w:val="21"/>
              </w:rPr>
            </w:pPr>
            <w:r>
              <w:rPr>
                <w:color w:val="B02045"/>
                <w:sz w:val="21"/>
              </w:rPr>
              <w:t>5.3.</w:t>
            </w:r>
            <w:proofErr w:type="gramStart"/>
            <w:r>
              <w:rPr>
                <w:color w:val="B02045"/>
                <w:sz w:val="21"/>
              </w:rPr>
              <w:t>2.RELEASE</w:t>
            </w:r>
            <w:proofErr w:type="gramEnd"/>
          </w:p>
        </w:tc>
      </w:tr>
      <w:tr w:rsidR="00A720EB" w14:paraId="5A4E8557" w14:textId="77777777">
        <w:trPr>
          <w:trHeight w:val="368"/>
        </w:trPr>
        <w:tc>
          <w:tcPr>
            <w:tcW w:w="3325" w:type="dxa"/>
          </w:tcPr>
          <w:p w14:paraId="321B42FC" w14:textId="77777777" w:rsidR="00A720EB" w:rsidRDefault="0030286B">
            <w:pPr>
              <w:pStyle w:val="TableParagraph"/>
              <w:rPr>
                <w:sz w:val="21"/>
              </w:rPr>
            </w:pPr>
            <w:proofErr w:type="gramStart"/>
            <w:r>
              <w:rPr>
                <w:color w:val="B02045"/>
                <w:sz w:val="21"/>
              </w:rPr>
              <w:t>org.springframework</w:t>
            </w:r>
            <w:proofErr w:type="gramEnd"/>
            <w:r>
              <w:rPr>
                <w:color w:val="B02045"/>
                <w:sz w:val="21"/>
              </w:rPr>
              <w:t>.kafka</w:t>
            </w:r>
          </w:p>
        </w:tc>
        <w:tc>
          <w:tcPr>
            <w:tcW w:w="3325" w:type="dxa"/>
          </w:tcPr>
          <w:p w14:paraId="5AE57E35" w14:textId="77777777" w:rsidR="00A720EB" w:rsidRDefault="0030286B">
            <w:pPr>
              <w:pStyle w:val="TableParagraph"/>
              <w:rPr>
                <w:sz w:val="21"/>
              </w:rPr>
            </w:pPr>
            <w:r>
              <w:rPr>
                <w:color w:val="B02045"/>
                <w:sz w:val="21"/>
              </w:rPr>
              <w:t>spring-kafka</w:t>
            </w:r>
          </w:p>
        </w:tc>
        <w:tc>
          <w:tcPr>
            <w:tcW w:w="3325" w:type="dxa"/>
          </w:tcPr>
          <w:p w14:paraId="3127AE17" w14:textId="77777777" w:rsidR="00A720EB" w:rsidRDefault="0030286B">
            <w:pPr>
              <w:pStyle w:val="TableParagraph"/>
              <w:rPr>
                <w:sz w:val="21"/>
              </w:rPr>
            </w:pPr>
            <w:r>
              <w:rPr>
                <w:color w:val="B02045"/>
                <w:sz w:val="21"/>
              </w:rPr>
              <w:t>2.5.</w:t>
            </w:r>
            <w:proofErr w:type="gramStart"/>
            <w:r>
              <w:rPr>
                <w:color w:val="B02045"/>
                <w:sz w:val="21"/>
              </w:rPr>
              <w:t>6.RELEASE</w:t>
            </w:r>
            <w:proofErr w:type="gramEnd"/>
          </w:p>
        </w:tc>
      </w:tr>
      <w:tr w:rsidR="00A720EB" w14:paraId="16720D05" w14:textId="77777777">
        <w:trPr>
          <w:trHeight w:val="368"/>
        </w:trPr>
        <w:tc>
          <w:tcPr>
            <w:tcW w:w="3325" w:type="dxa"/>
          </w:tcPr>
          <w:p w14:paraId="115E4468"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.kafka</w:t>
            </w:r>
          </w:p>
        </w:tc>
        <w:tc>
          <w:tcPr>
            <w:tcW w:w="3325" w:type="dxa"/>
          </w:tcPr>
          <w:p w14:paraId="68730F8A" w14:textId="77777777" w:rsidR="00A720EB" w:rsidRDefault="0030286B">
            <w:pPr>
              <w:pStyle w:val="TableParagraph"/>
              <w:spacing w:before="37"/>
              <w:rPr>
                <w:sz w:val="21"/>
              </w:rPr>
            </w:pPr>
            <w:r>
              <w:rPr>
                <w:color w:val="B02045"/>
                <w:sz w:val="21"/>
              </w:rPr>
              <w:t>spring-kafka-test</w:t>
            </w:r>
          </w:p>
        </w:tc>
        <w:tc>
          <w:tcPr>
            <w:tcW w:w="3325" w:type="dxa"/>
          </w:tcPr>
          <w:p w14:paraId="2127FF18" w14:textId="77777777" w:rsidR="00A720EB" w:rsidRDefault="0030286B">
            <w:pPr>
              <w:pStyle w:val="TableParagraph"/>
              <w:spacing w:before="37"/>
              <w:rPr>
                <w:sz w:val="21"/>
              </w:rPr>
            </w:pPr>
            <w:r>
              <w:rPr>
                <w:color w:val="B02045"/>
                <w:sz w:val="21"/>
              </w:rPr>
              <w:t>2.5.</w:t>
            </w:r>
            <w:proofErr w:type="gramStart"/>
            <w:r>
              <w:rPr>
                <w:color w:val="B02045"/>
                <w:sz w:val="21"/>
              </w:rPr>
              <w:t>6.RELEASE</w:t>
            </w:r>
            <w:proofErr w:type="gramEnd"/>
          </w:p>
        </w:tc>
      </w:tr>
      <w:tr w:rsidR="00A720EB" w14:paraId="47E48987" w14:textId="77777777">
        <w:trPr>
          <w:trHeight w:val="368"/>
        </w:trPr>
        <w:tc>
          <w:tcPr>
            <w:tcW w:w="3325" w:type="dxa"/>
          </w:tcPr>
          <w:p w14:paraId="306A2F5E" w14:textId="77777777" w:rsidR="00A720EB" w:rsidRDefault="0030286B">
            <w:pPr>
              <w:pStyle w:val="TableParagraph"/>
              <w:rPr>
                <w:sz w:val="21"/>
              </w:rPr>
            </w:pPr>
            <w:proofErr w:type="gramStart"/>
            <w:r>
              <w:rPr>
                <w:color w:val="B02045"/>
                <w:sz w:val="21"/>
              </w:rPr>
              <w:t>org.springframework</w:t>
            </w:r>
            <w:proofErr w:type="gramEnd"/>
            <w:r>
              <w:rPr>
                <w:color w:val="B02045"/>
                <w:sz w:val="21"/>
              </w:rPr>
              <w:t>.ldap</w:t>
            </w:r>
          </w:p>
        </w:tc>
        <w:tc>
          <w:tcPr>
            <w:tcW w:w="3325" w:type="dxa"/>
          </w:tcPr>
          <w:p w14:paraId="74A7E59D" w14:textId="77777777" w:rsidR="00A720EB" w:rsidRDefault="0030286B">
            <w:pPr>
              <w:pStyle w:val="TableParagraph"/>
              <w:rPr>
                <w:sz w:val="21"/>
              </w:rPr>
            </w:pPr>
            <w:r>
              <w:rPr>
                <w:color w:val="B02045"/>
                <w:sz w:val="21"/>
              </w:rPr>
              <w:t>spring-ldap-core</w:t>
            </w:r>
          </w:p>
        </w:tc>
        <w:tc>
          <w:tcPr>
            <w:tcW w:w="3325" w:type="dxa"/>
          </w:tcPr>
          <w:p w14:paraId="6820A847" w14:textId="77777777" w:rsidR="00A720EB" w:rsidRDefault="0030286B">
            <w:pPr>
              <w:pStyle w:val="TableParagraph"/>
              <w:rPr>
                <w:sz w:val="21"/>
              </w:rPr>
            </w:pPr>
            <w:r>
              <w:rPr>
                <w:color w:val="B02045"/>
                <w:sz w:val="21"/>
              </w:rPr>
              <w:t>2.3.</w:t>
            </w:r>
            <w:proofErr w:type="gramStart"/>
            <w:r>
              <w:rPr>
                <w:color w:val="B02045"/>
                <w:sz w:val="21"/>
              </w:rPr>
              <w:t>3.RELEASE</w:t>
            </w:r>
            <w:proofErr w:type="gramEnd"/>
          </w:p>
        </w:tc>
      </w:tr>
      <w:tr w:rsidR="00A720EB" w14:paraId="51955525" w14:textId="77777777">
        <w:trPr>
          <w:trHeight w:val="368"/>
        </w:trPr>
        <w:tc>
          <w:tcPr>
            <w:tcW w:w="3325" w:type="dxa"/>
          </w:tcPr>
          <w:p w14:paraId="257CE2CD"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.ldap</w:t>
            </w:r>
          </w:p>
        </w:tc>
        <w:tc>
          <w:tcPr>
            <w:tcW w:w="3325" w:type="dxa"/>
          </w:tcPr>
          <w:p w14:paraId="43159562" w14:textId="77777777" w:rsidR="00A720EB" w:rsidRDefault="0030286B">
            <w:pPr>
              <w:pStyle w:val="TableParagraph"/>
              <w:spacing w:before="37"/>
              <w:rPr>
                <w:sz w:val="21"/>
              </w:rPr>
            </w:pPr>
            <w:r>
              <w:rPr>
                <w:color w:val="B02045"/>
                <w:sz w:val="21"/>
              </w:rPr>
              <w:t>spring-ldap-core-tiger</w:t>
            </w:r>
          </w:p>
        </w:tc>
        <w:tc>
          <w:tcPr>
            <w:tcW w:w="3325" w:type="dxa"/>
          </w:tcPr>
          <w:p w14:paraId="2E10B24F" w14:textId="77777777" w:rsidR="00A720EB" w:rsidRDefault="0030286B">
            <w:pPr>
              <w:pStyle w:val="TableParagraph"/>
              <w:spacing w:before="37"/>
              <w:rPr>
                <w:sz w:val="21"/>
              </w:rPr>
            </w:pPr>
            <w:r>
              <w:rPr>
                <w:color w:val="B02045"/>
                <w:sz w:val="21"/>
              </w:rPr>
              <w:t>2.3.</w:t>
            </w:r>
            <w:proofErr w:type="gramStart"/>
            <w:r>
              <w:rPr>
                <w:color w:val="B02045"/>
                <w:sz w:val="21"/>
              </w:rPr>
              <w:t>3.RELEASE</w:t>
            </w:r>
            <w:proofErr w:type="gramEnd"/>
          </w:p>
        </w:tc>
      </w:tr>
      <w:tr w:rsidR="00A720EB" w14:paraId="7BB42CCA" w14:textId="77777777">
        <w:trPr>
          <w:trHeight w:val="368"/>
        </w:trPr>
        <w:tc>
          <w:tcPr>
            <w:tcW w:w="3325" w:type="dxa"/>
          </w:tcPr>
          <w:p w14:paraId="68F03B1D" w14:textId="77777777" w:rsidR="00A720EB" w:rsidRDefault="0030286B">
            <w:pPr>
              <w:pStyle w:val="TableParagraph"/>
              <w:rPr>
                <w:sz w:val="21"/>
              </w:rPr>
            </w:pPr>
            <w:proofErr w:type="gramStart"/>
            <w:r>
              <w:rPr>
                <w:color w:val="B02045"/>
                <w:sz w:val="21"/>
              </w:rPr>
              <w:t>org.springframework</w:t>
            </w:r>
            <w:proofErr w:type="gramEnd"/>
            <w:r>
              <w:rPr>
                <w:color w:val="B02045"/>
                <w:sz w:val="21"/>
              </w:rPr>
              <w:t>.ldap</w:t>
            </w:r>
          </w:p>
        </w:tc>
        <w:tc>
          <w:tcPr>
            <w:tcW w:w="3325" w:type="dxa"/>
          </w:tcPr>
          <w:p w14:paraId="6318BD19" w14:textId="77777777" w:rsidR="00A720EB" w:rsidRDefault="0030286B">
            <w:pPr>
              <w:pStyle w:val="TableParagraph"/>
              <w:rPr>
                <w:sz w:val="21"/>
              </w:rPr>
            </w:pPr>
            <w:r>
              <w:rPr>
                <w:color w:val="B02045"/>
                <w:sz w:val="21"/>
              </w:rPr>
              <w:t>spring-ldap-ldif-batch</w:t>
            </w:r>
          </w:p>
        </w:tc>
        <w:tc>
          <w:tcPr>
            <w:tcW w:w="3325" w:type="dxa"/>
          </w:tcPr>
          <w:p w14:paraId="471B41B2" w14:textId="77777777" w:rsidR="00A720EB" w:rsidRDefault="0030286B">
            <w:pPr>
              <w:pStyle w:val="TableParagraph"/>
              <w:rPr>
                <w:sz w:val="21"/>
              </w:rPr>
            </w:pPr>
            <w:r>
              <w:rPr>
                <w:color w:val="B02045"/>
                <w:sz w:val="21"/>
              </w:rPr>
              <w:t>2.3.</w:t>
            </w:r>
            <w:proofErr w:type="gramStart"/>
            <w:r>
              <w:rPr>
                <w:color w:val="B02045"/>
                <w:sz w:val="21"/>
              </w:rPr>
              <w:t>3.RELEASE</w:t>
            </w:r>
            <w:proofErr w:type="gramEnd"/>
          </w:p>
        </w:tc>
      </w:tr>
      <w:tr w:rsidR="00A720EB" w14:paraId="73C3578C" w14:textId="77777777">
        <w:trPr>
          <w:trHeight w:val="368"/>
        </w:trPr>
        <w:tc>
          <w:tcPr>
            <w:tcW w:w="3325" w:type="dxa"/>
          </w:tcPr>
          <w:p w14:paraId="4A274D80"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.ldap</w:t>
            </w:r>
          </w:p>
        </w:tc>
        <w:tc>
          <w:tcPr>
            <w:tcW w:w="3325" w:type="dxa"/>
          </w:tcPr>
          <w:p w14:paraId="60D4F4C0" w14:textId="77777777" w:rsidR="00A720EB" w:rsidRDefault="0030286B">
            <w:pPr>
              <w:pStyle w:val="TableParagraph"/>
              <w:spacing w:before="37"/>
              <w:rPr>
                <w:sz w:val="21"/>
              </w:rPr>
            </w:pPr>
            <w:r>
              <w:rPr>
                <w:color w:val="B02045"/>
                <w:sz w:val="21"/>
              </w:rPr>
              <w:t>spring-ldap-ldif-core</w:t>
            </w:r>
          </w:p>
        </w:tc>
        <w:tc>
          <w:tcPr>
            <w:tcW w:w="3325" w:type="dxa"/>
          </w:tcPr>
          <w:p w14:paraId="64BE4E01" w14:textId="77777777" w:rsidR="00A720EB" w:rsidRDefault="0030286B">
            <w:pPr>
              <w:pStyle w:val="TableParagraph"/>
              <w:spacing w:before="37"/>
              <w:rPr>
                <w:sz w:val="21"/>
              </w:rPr>
            </w:pPr>
            <w:r>
              <w:rPr>
                <w:color w:val="B02045"/>
                <w:sz w:val="21"/>
              </w:rPr>
              <w:t>2.3.</w:t>
            </w:r>
            <w:proofErr w:type="gramStart"/>
            <w:r>
              <w:rPr>
                <w:color w:val="B02045"/>
                <w:sz w:val="21"/>
              </w:rPr>
              <w:t>3.RELEASE</w:t>
            </w:r>
            <w:proofErr w:type="gramEnd"/>
          </w:p>
        </w:tc>
      </w:tr>
      <w:tr w:rsidR="00A720EB" w14:paraId="724BBFCA" w14:textId="77777777">
        <w:trPr>
          <w:trHeight w:val="368"/>
        </w:trPr>
        <w:tc>
          <w:tcPr>
            <w:tcW w:w="3325" w:type="dxa"/>
          </w:tcPr>
          <w:p w14:paraId="2802983D" w14:textId="77777777" w:rsidR="00A720EB" w:rsidRDefault="0030286B">
            <w:pPr>
              <w:pStyle w:val="TableParagraph"/>
              <w:rPr>
                <w:sz w:val="21"/>
              </w:rPr>
            </w:pPr>
            <w:proofErr w:type="gramStart"/>
            <w:r>
              <w:rPr>
                <w:color w:val="B02045"/>
                <w:sz w:val="21"/>
              </w:rPr>
              <w:t>org.springframework</w:t>
            </w:r>
            <w:proofErr w:type="gramEnd"/>
            <w:r>
              <w:rPr>
                <w:color w:val="B02045"/>
                <w:sz w:val="21"/>
              </w:rPr>
              <w:t>.ldap</w:t>
            </w:r>
          </w:p>
        </w:tc>
        <w:tc>
          <w:tcPr>
            <w:tcW w:w="3325" w:type="dxa"/>
          </w:tcPr>
          <w:p w14:paraId="069711BD" w14:textId="77777777" w:rsidR="00A720EB" w:rsidRDefault="0030286B">
            <w:pPr>
              <w:pStyle w:val="TableParagraph"/>
              <w:rPr>
                <w:sz w:val="21"/>
              </w:rPr>
            </w:pPr>
            <w:r>
              <w:rPr>
                <w:color w:val="B02045"/>
                <w:sz w:val="21"/>
              </w:rPr>
              <w:t>spring-ldap-odm</w:t>
            </w:r>
          </w:p>
        </w:tc>
        <w:tc>
          <w:tcPr>
            <w:tcW w:w="3325" w:type="dxa"/>
          </w:tcPr>
          <w:p w14:paraId="6C902E43" w14:textId="77777777" w:rsidR="00A720EB" w:rsidRDefault="0030286B">
            <w:pPr>
              <w:pStyle w:val="TableParagraph"/>
              <w:rPr>
                <w:sz w:val="21"/>
              </w:rPr>
            </w:pPr>
            <w:r>
              <w:rPr>
                <w:color w:val="B02045"/>
                <w:sz w:val="21"/>
              </w:rPr>
              <w:t>2.3.</w:t>
            </w:r>
            <w:proofErr w:type="gramStart"/>
            <w:r>
              <w:rPr>
                <w:color w:val="B02045"/>
                <w:sz w:val="21"/>
              </w:rPr>
              <w:t>3.RELEASE</w:t>
            </w:r>
            <w:proofErr w:type="gramEnd"/>
          </w:p>
        </w:tc>
      </w:tr>
      <w:tr w:rsidR="00A720EB" w14:paraId="78CEBD94" w14:textId="77777777">
        <w:trPr>
          <w:trHeight w:val="368"/>
        </w:trPr>
        <w:tc>
          <w:tcPr>
            <w:tcW w:w="3325" w:type="dxa"/>
          </w:tcPr>
          <w:p w14:paraId="5F09A789"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.ldap</w:t>
            </w:r>
          </w:p>
        </w:tc>
        <w:tc>
          <w:tcPr>
            <w:tcW w:w="3325" w:type="dxa"/>
          </w:tcPr>
          <w:p w14:paraId="106D160E" w14:textId="77777777" w:rsidR="00A720EB" w:rsidRDefault="0030286B">
            <w:pPr>
              <w:pStyle w:val="TableParagraph"/>
              <w:spacing w:before="37"/>
              <w:rPr>
                <w:sz w:val="21"/>
              </w:rPr>
            </w:pPr>
            <w:r>
              <w:rPr>
                <w:color w:val="B02045"/>
                <w:sz w:val="21"/>
              </w:rPr>
              <w:t>spring-ldap-test</w:t>
            </w:r>
          </w:p>
        </w:tc>
        <w:tc>
          <w:tcPr>
            <w:tcW w:w="3325" w:type="dxa"/>
          </w:tcPr>
          <w:p w14:paraId="43F3BE0C" w14:textId="77777777" w:rsidR="00A720EB" w:rsidRDefault="0030286B">
            <w:pPr>
              <w:pStyle w:val="TableParagraph"/>
              <w:spacing w:before="37"/>
              <w:rPr>
                <w:sz w:val="21"/>
              </w:rPr>
            </w:pPr>
            <w:r>
              <w:rPr>
                <w:color w:val="B02045"/>
                <w:sz w:val="21"/>
              </w:rPr>
              <w:t>2.3.</w:t>
            </w:r>
            <w:proofErr w:type="gramStart"/>
            <w:r>
              <w:rPr>
                <w:color w:val="B02045"/>
                <w:sz w:val="21"/>
              </w:rPr>
              <w:t>3.RELEASE</w:t>
            </w:r>
            <w:proofErr w:type="gramEnd"/>
          </w:p>
        </w:tc>
      </w:tr>
      <w:tr w:rsidR="00A720EB" w14:paraId="2E876AB9" w14:textId="77777777">
        <w:trPr>
          <w:trHeight w:val="368"/>
        </w:trPr>
        <w:tc>
          <w:tcPr>
            <w:tcW w:w="3325" w:type="dxa"/>
          </w:tcPr>
          <w:p w14:paraId="2E4BD432" w14:textId="77777777" w:rsidR="00A720EB" w:rsidRDefault="0030286B">
            <w:pPr>
              <w:pStyle w:val="TableParagraph"/>
              <w:rPr>
                <w:sz w:val="21"/>
              </w:rPr>
            </w:pPr>
            <w:proofErr w:type="gramStart"/>
            <w:r>
              <w:rPr>
                <w:color w:val="B02045"/>
                <w:sz w:val="21"/>
              </w:rPr>
              <w:t>org.springframework</w:t>
            </w:r>
            <w:proofErr w:type="gramEnd"/>
            <w:r>
              <w:rPr>
                <w:color w:val="B02045"/>
                <w:sz w:val="21"/>
              </w:rPr>
              <w:t>.restdocs</w:t>
            </w:r>
          </w:p>
        </w:tc>
        <w:tc>
          <w:tcPr>
            <w:tcW w:w="3325" w:type="dxa"/>
          </w:tcPr>
          <w:p w14:paraId="2E185EB4" w14:textId="77777777" w:rsidR="00A720EB" w:rsidRDefault="0030286B">
            <w:pPr>
              <w:pStyle w:val="TableParagraph"/>
              <w:rPr>
                <w:sz w:val="21"/>
              </w:rPr>
            </w:pPr>
            <w:r>
              <w:rPr>
                <w:color w:val="B02045"/>
                <w:sz w:val="21"/>
              </w:rPr>
              <w:t>spring-restdocs-asciidoctor</w:t>
            </w:r>
          </w:p>
        </w:tc>
        <w:tc>
          <w:tcPr>
            <w:tcW w:w="3325" w:type="dxa"/>
          </w:tcPr>
          <w:p w14:paraId="77F5DF60" w14:textId="77777777" w:rsidR="00A720EB" w:rsidRDefault="0030286B">
            <w:pPr>
              <w:pStyle w:val="TableParagraph"/>
              <w:rPr>
                <w:sz w:val="21"/>
              </w:rPr>
            </w:pPr>
            <w:r>
              <w:rPr>
                <w:color w:val="B02045"/>
                <w:sz w:val="21"/>
              </w:rPr>
              <w:t>2.0.</w:t>
            </w:r>
            <w:proofErr w:type="gramStart"/>
            <w:r>
              <w:rPr>
                <w:color w:val="B02045"/>
                <w:sz w:val="21"/>
              </w:rPr>
              <w:t>5.RELEASE</w:t>
            </w:r>
            <w:proofErr w:type="gramEnd"/>
          </w:p>
        </w:tc>
      </w:tr>
      <w:tr w:rsidR="00A720EB" w14:paraId="61B12A1B" w14:textId="77777777">
        <w:trPr>
          <w:trHeight w:val="368"/>
        </w:trPr>
        <w:tc>
          <w:tcPr>
            <w:tcW w:w="3325" w:type="dxa"/>
          </w:tcPr>
          <w:p w14:paraId="1C1616FF" w14:textId="77777777" w:rsidR="00A720EB" w:rsidRDefault="0030286B">
            <w:pPr>
              <w:pStyle w:val="TableParagraph"/>
              <w:rPr>
                <w:sz w:val="21"/>
              </w:rPr>
            </w:pPr>
            <w:proofErr w:type="gramStart"/>
            <w:r>
              <w:rPr>
                <w:color w:val="B02045"/>
                <w:sz w:val="21"/>
              </w:rPr>
              <w:t>org.springframework</w:t>
            </w:r>
            <w:proofErr w:type="gramEnd"/>
            <w:r>
              <w:rPr>
                <w:color w:val="B02045"/>
                <w:sz w:val="21"/>
              </w:rPr>
              <w:t>.restdocs</w:t>
            </w:r>
          </w:p>
        </w:tc>
        <w:tc>
          <w:tcPr>
            <w:tcW w:w="3325" w:type="dxa"/>
          </w:tcPr>
          <w:p w14:paraId="167CFBAC" w14:textId="77777777" w:rsidR="00A720EB" w:rsidRDefault="0030286B">
            <w:pPr>
              <w:pStyle w:val="TableParagraph"/>
              <w:rPr>
                <w:sz w:val="21"/>
              </w:rPr>
            </w:pPr>
            <w:r>
              <w:rPr>
                <w:color w:val="B02045"/>
                <w:sz w:val="21"/>
              </w:rPr>
              <w:t>spring-restdocs-core</w:t>
            </w:r>
          </w:p>
        </w:tc>
        <w:tc>
          <w:tcPr>
            <w:tcW w:w="3325" w:type="dxa"/>
          </w:tcPr>
          <w:p w14:paraId="53CFB074" w14:textId="77777777" w:rsidR="00A720EB" w:rsidRDefault="0030286B">
            <w:pPr>
              <w:pStyle w:val="TableParagraph"/>
              <w:rPr>
                <w:sz w:val="21"/>
              </w:rPr>
            </w:pPr>
            <w:r>
              <w:rPr>
                <w:color w:val="B02045"/>
                <w:sz w:val="21"/>
              </w:rPr>
              <w:t>2.0.</w:t>
            </w:r>
            <w:proofErr w:type="gramStart"/>
            <w:r>
              <w:rPr>
                <w:color w:val="B02045"/>
                <w:sz w:val="21"/>
              </w:rPr>
              <w:t>5.RELEASE</w:t>
            </w:r>
            <w:proofErr w:type="gramEnd"/>
          </w:p>
        </w:tc>
      </w:tr>
      <w:tr w:rsidR="00A720EB" w14:paraId="09D62B65" w14:textId="77777777">
        <w:trPr>
          <w:trHeight w:val="368"/>
        </w:trPr>
        <w:tc>
          <w:tcPr>
            <w:tcW w:w="3325" w:type="dxa"/>
          </w:tcPr>
          <w:p w14:paraId="64A93116" w14:textId="77777777" w:rsidR="00A720EB" w:rsidRDefault="0030286B">
            <w:pPr>
              <w:pStyle w:val="TableParagraph"/>
              <w:rPr>
                <w:sz w:val="21"/>
              </w:rPr>
            </w:pPr>
            <w:proofErr w:type="gramStart"/>
            <w:r>
              <w:rPr>
                <w:color w:val="B02045"/>
                <w:sz w:val="21"/>
              </w:rPr>
              <w:t>org.springframework</w:t>
            </w:r>
            <w:proofErr w:type="gramEnd"/>
            <w:r>
              <w:rPr>
                <w:color w:val="B02045"/>
                <w:sz w:val="21"/>
              </w:rPr>
              <w:t>.restdocs</w:t>
            </w:r>
          </w:p>
        </w:tc>
        <w:tc>
          <w:tcPr>
            <w:tcW w:w="3325" w:type="dxa"/>
          </w:tcPr>
          <w:p w14:paraId="49CD0CAE" w14:textId="77777777" w:rsidR="00A720EB" w:rsidRDefault="0030286B">
            <w:pPr>
              <w:pStyle w:val="TableParagraph"/>
              <w:rPr>
                <w:sz w:val="21"/>
              </w:rPr>
            </w:pPr>
            <w:r>
              <w:rPr>
                <w:color w:val="B02045"/>
                <w:sz w:val="21"/>
              </w:rPr>
              <w:t>spring-restdocs-mockmvc</w:t>
            </w:r>
          </w:p>
        </w:tc>
        <w:tc>
          <w:tcPr>
            <w:tcW w:w="3325" w:type="dxa"/>
          </w:tcPr>
          <w:p w14:paraId="5A6C5A6F" w14:textId="77777777" w:rsidR="00A720EB" w:rsidRDefault="0030286B">
            <w:pPr>
              <w:pStyle w:val="TableParagraph"/>
              <w:rPr>
                <w:sz w:val="21"/>
              </w:rPr>
            </w:pPr>
            <w:r>
              <w:rPr>
                <w:color w:val="B02045"/>
                <w:sz w:val="21"/>
              </w:rPr>
              <w:t>2.0.</w:t>
            </w:r>
            <w:proofErr w:type="gramStart"/>
            <w:r>
              <w:rPr>
                <w:color w:val="B02045"/>
                <w:sz w:val="21"/>
              </w:rPr>
              <w:t>5.RELEASE</w:t>
            </w:r>
            <w:proofErr w:type="gramEnd"/>
          </w:p>
        </w:tc>
      </w:tr>
    </w:tbl>
    <w:p w14:paraId="784B77B6"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564FF55A" w14:textId="77777777">
        <w:trPr>
          <w:trHeight w:val="415"/>
        </w:trPr>
        <w:tc>
          <w:tcPr>
            <w:tcW w:w="3325" w:type="dxa"/>
            <w:tcBorders>
              <w:bottom w:val="single" w:sz="12" w:space="0" w:color="DDDDDD"/>
            </w:tcBorders>
          </w:tcPr>
          <w:p w14:paraId="023C7FE6"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66035AEB"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29C3C457"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608787F3" w14:textId="77777777">
        <w:trPr>
          <w:trHeight w:val="358"/>
        </w:trPr>
        <w:tc>
          <w:tcPr>
            <w:tcW w:w="3325" w:type="dxa"/>
            <w:tcBorders>
              <w:top w:val="single" w:sz="12" w:space="0" w:color="DDDDDD"/>
            </w:tcBorders>
          </w:tcPr>
          <w:p w14:paraId="54845CEE" w14:textId="77777777" w:rsidR="00A720EB" w:rsidRDefault="0030286B">
            <w:pPr>
              <w:pStyle w:val="TableParagraph"/>
              <w:spacing w:before="27"/>
              <w:rPr>
                <w:sz w:val="21"/>
              </w:rPr>
            </w:pPr>
            <w:proofErr w:type="gramStart"/>
            <w:r>
              <w:rPr>
                <w:color w:val="B02045"/>
                <w:sz w:val="21"/>
              </w:rPr>
              <w:t>org.springframework</w:t>
            </w:r>
            <w:proofErr w:type="gramEnd"/>
            <w:r>
              <w:rPr>
                <w:color w:val="B02045"/>
                <w:sz w:val="21"/>
              </w:rPr>
              <w:t>.restdocs</w:t>
            </w:r>
          </w:p>
        </w:tc>
        <w:tc>
          <w:tcPr>
            <w:tcW w:w="3325" w:type="dxa"/>
            <w:tcBorders>
              <w:top w:val="single" w:sz="12" w:space="0" w:color="DDDDDD"/>
            </w:tcBorders>
          </w:tcPr>
          <w:p w14:paraId="74EDEB21" w14:textId="77777777" w:rsidR="00A720EB" w:rsidRDefault="0030286B">
            <w:pPr>
              <w:pStyle w:val="TableParagraph"/>
              <w:spacing w:before="27"/>
              <w:rPr>
                <w:sz w:val="21"/>
              </w:rPr>
            </w:pPr>
            <w:r>
              <w:rPr>
                <w:color w:val="B02045"/>
                <w:sz w:val="21"/>
              </w:rPr>
              <w:t>spring-restdocs-restassured</w:t>
            </w:r>
          </w:p>
        </w:tc>
        <w:tc>
          <w:tcPr>
            <w:tcW w:w="3325" w:type="dxa"/>
            <w:tcBorders>
              <w:top w:val="single" w:sz="12" w:space="0" w:color="DDDDDD"/>
            </w:tcBorders>
          </w:tcPr>
          <w:p w14:paraId="66623491" w14:textId="77777777" w:rsidR="00A720EB" w:rsidRDefault="0030286B">
            <w:pPr>
              <w:pStyle w:val="TableParagraph"/>
              <w:spacing w:before="27"/>
              <w:rPr>
                <w:sz w:val="21"/>
              </w:rPr>
            </w:pPr>
            <w:r>
              <w:rPr>
                <w:color w:val="B02045"/>
                <w:sz w:val="21"/>
              </w:rPr>
              <w:t>2.0.</w:t>
            </w:r>
            <w:proofErr w:type="gramStart"/>
            <w:r>
              <w:rPr>
                <w:color w:val="B02045"/>
                <w:sz w:val="21"/>
              </w:rPr>
              <w:t>5.RELEASE</w:t>
            </w:r>
            <w:proofErr w:type="gramEnd"/>
          </w:p>
        </w:tc>
      </w:tr>
      <w:tr w:rsidR="00A720EB" w14:paraId="78581C79" w14:textId="77777777">
        <w:trPr>
          <w:trHeight w:val="368"/>
        </w:trPr>
        <w:tc>
          <w:tcPr>
            <w:tcW w:w="3325" w:type="dxa"/>
          </w:tcPr>
          <w:p w14:paraId="4A7756FC"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.restdocs</w:t>
            </w:r>
          </w:p>
        </w:tc>
        <w:tc>
          <w:tcPr>
            <w:tcW w:w="3325" w:type="dxa"/>
          </w:tcPr>
          <w:p w14:paraId="5F50D5FD" w14:textId="77777777" w:rsidR="00A720EB" w:rsidRDefault="0030286B">
            <w:pPr>
              <w:pStyle w:val="TableParagraph"/>
              <w:spacing w:before="37"/>
              <w:rPr>
                <w:sz w:val="21"/>
              </w:rPr>
            </w:pPr>
            <w:r>
              <w:rPr>
                <w:color w:val="B02045"/>
                <w:sz w:val="21"/>
              </w:rPr>
              <w:t>spring-restdocs-webtestclient</w:t>
            </w:r>
          </w:p>
        </w:tc>
        <w:tc>
          <w:tcPr>
            <w:tcW w:w="3325" w:type="dxa"/>
          </w:tcPr>
          <w:p w14:paraId="3B2E3FF3" w14:textId="77777777" w:rsidR="00A720EB" w:rsidRDefault="0030286B">
            <w:pPr>
              <w:pStyle w:val="TableParagraph"/>
              <w:spacing w:before="37"/>
              <w:rPr>
                <w:sz w:val="21"/>
              </w:rPr>
            </w:pPr>
            <w:r>
              <w:rPr>
                <w:color w:val="B02045"/>
                <w:sz w:val="21"/>
              </w:rPr>
              <w:t>2.0.</w:t>
            </w:r>
            <w:proofErr w:type="gramStart"/>
            <w:r>
              <w:rPr>
                <w:color w:val="B02045"/>
                <w:sz w:val="21"/>
              </w:rPr>
              <w:t>5.RELEASE</w:t>
            </w:r>
            <w:proofErr w:type="gramEnd"/>
          </w:p>
        </w:tc>
      </w:tr>
      <w:tr w:rsidR="00A720EB" w14:paraId="6D91D9CB" w14:textId="77777777">
        <w:trPr>
          <w:trHeight w:val="368"/>
        </w:trPr>
        <w:tc>
          <w:tcPr>
            <w:tcW w:w="3325" w:type="dxa"/>
          </w:tcPr>
          <w:p w14:paraId="67494DEF"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.retry</w:t>
            </w:r>
          </w:p>
        </w:tc>
        <w:tc>
          <w:tcPr>
            <w:tcW w:w="3325" w:type="dxa"/>
          </w:tcPr>
          <w:p w14:paraId="023FACF5" w14:textId="77777777" w:rsidR="00A720EB" w:rsidRDefault="0030286B">
            <w:pPr>
              <w:pStyle w:val="TableParagraph"/>
              <w:spacing w:before="37"/>
              <w:rPr>
                <w:sz w:val="21"/>
              </w:rPr>
            </w:pPr>
            <w:r>
              <w:rPr>
                <w:color w:val="B02045"/>
                <w:sz w:val="21"/>
              </w:rPr>
              <w:t>spring-retry</w:t>
            </w:r>
          </w:p>
        </w:tc>
        <w:tc>
          <w:tcPr>
            <w:tcW w:w="3325" w:type="dxa"/>
          </w:tcPr>
          <w:p w14:paraId="5FDAF264" w14:textId="77777777" w:rsidR="00A720EB" w:rsidRDefault="0030286B">
            <w:pPr>
              <w:pStyle w:val="TableParagraph"/>
              <w:spacing w:before="37"/>
              <w:rPr>
                <w:sz w:val="21"/>
              </w:rPr>
            </w:pPr>
            <w:r>
              <w:rPr>
                <w:color w:val="B02045"/>
                <w:sz w:val="21"/>
              </w:rPr>
              <w:t>1.2.</w:t>
            </w:r>
            <w:proofErr w:type="gramStart"/>
            <w:r>
              <w:rPr>
                <w:color w:val="B02045"/>
                <w:sz w:val="21"/>
              </w:rPr>
              <w:t>5.RELEASE</w:t>
            </w:r>
            <w:proofErr w:type="gramEnd"/>
          </w:p>
        </w:tc>
      </w:tr>
      <w:tr w:rsidR="00A720EB" w14:paraId="192DCF24" w14:textId="77777777">
        <w:trPr>
          <w:trHeight w:val="368"/>
        </w:trPr>
        <w:tc>
          <w:tcPr>
            <w:tcW w:w="3325" w:type="dxa"/>
          </w:tcPr>
          <w:p w14:paraId="0F5D2E12"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04BD1C9E" w14:textId="77777777" w:rsidR="00A720EB" w:rsidRDefault="0030286B">
            <w:pPr>
              <w:pStyle w:val="TableParagraph"/>
              <w:rPr>
                <w:sz w:val="21"/>
              </w:rPr>
            </w:pPr>
            <w:r>
              <w:rPr>
                <w:color w:val="B02045"/>
                <w:sz w:val="21"/>
              </w:rPr>
              <w:t>spring-security-acl</w:t>
            </w:r>
          </w:p>
        </w:tc>
        <w:tc>
          <w:tcPr>
            <w:tcW w:w="3325" w:type="dxa"/>
          </w:tcPr>
          <w:p w14:paraId="65FF9617"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5FC805DF" w14:textId="77777777">
        <w:trPr>
          <w:trHeight w:val="368"/>
        </w:trPr>
        <w:tc>
          <w:tcPr>
            <w:tcW w:w="3325" w:type="dxa"/>
          </w:tcPr>
          <w:p w14:paraId="0D70694E"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2C8484EB" w14:textId="77777777" w:rsidR="00A720EB" w:rsidRDefault="0030286B">
            <w:pPr>
              <w:pStyle w:val="TableParagraph"/>
              <w:rPr>
                <w:sz w:val="21"/>
              </w:rPr>
            </w:pPr>
            <w:r>
              <w:rPr>
                <w:color w:val="B02045"/>
                <w:sz w:val="21"/>
              </w:rPr>
              <w:t>spring-security-aspects</w:t>
            </w:r>
          </w:p>
        </w:tc>
        <w:tc>
          <w:tcPr>
            <w:tcW w:w="3325" w:type="dxa"/>
          </w:tcPr>
          <w:p w14:paraId="72EBEBF5"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0B12ACCF" w14:textId="77777777">
        <w:trPr>
          <w:trHeight w:val="368"/>
        </w:trPr>
        <w:tc>
          <w:tcPr>
            <w:tcW w:w="3325" w:type="dxa"/>
          </w:tcPr>
          <w:p w14:paraId="17961D32"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74EAD131" w14:textId="77777777" w:rsidR="00A720EB" w:rsidRDefault="0030286B">
            <w:pPr>
              <w:pStyle w:val="TableParagraph"/>
              <w:rPr>
                <w:sz w:val="21"/>
              </w:rPr>
            </w:pPr>
            <w:r>
              <w:rPr>
                <w:color w:val="B02045"/>
                <w:sz w:val="21"/>
              </w:rPr>
              <w:t>spring-security-cas</w:t>
            </w:r>
          </w:p>
        </w:tc>
        <w:tc>
          <w:tcPr>
            <w:tcW w:w="3325" w:type="dxa"/>
          </w:tcPr>
          <w:p w14:paraId="6F683052"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36EB9853" w14:textId="77777777">
        <w:trPr>
          <w:trHeight w:val="368"/>
        </w:trPr>
        <w:tc>
          <w:tcPr>
            <w:tcW w:w="3325" w:type="dxa"/>
          </w:tcPr>
          <w:p w14:paraId="667C2DC8"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44F52E6B" w14:textId="77777777" w:rsidR="00A720EB" w:rsidRDefault="0030286B">
            <w:pPr>
              <w:pStyle w:val="TableParagraph"/>
              <w:rPr>
                <w:sz w:val="21"/>
              </w:rPr>
            </w:pPr>
            <w:r>
              <w:rPr>
                <w:color w:val="B02045"/>
                <w:sz w:val="21"/>
              </w:rPr>
              <w:t>spring-security-config</w:t>
            </w:r>
          </w:p>
        </w:tc>
        <w:tc>
          <w:tcPr>
            <w:tcW w:w="3325" w:type="dxa"/>
          </w:tcPr>
          <w:p w14:paraId="0D0293C5"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283FBDAC" w14:textId="77777777">
        <w:trPr>
          <w:trHeight w:val="368"/>
        </w:trPr>
        <w:tc>
          <w:tcPr>
            <w:tcW w:w="3325" w:type="dxa"/>
          </w:tcPr>
          <w:p w14:paraId="073F84FE"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2ADDB9C6" w14:textId="77777777" w:rsidR="00A720EB" w:rsidRDefault="0030286B">
            <w:pPr>
              <w:pStyle w:val="TableParagraph"/>
              <w:spacing w:before="37"/>
              <w:rPr>
                <w:sz w:val="21"/>
              </w:rPr>
            </w:pPr>
            <w:r>
              <w:rPr>
                <w:color w:val="B02045"/>
                <w:sz w:val="21"/>
              </w:rPr>
              <w:t>spring-security-core</w:t>
            </w:r>
          </w:p>
        </w:tc>
        <w:tc>
          <w:tcPr>
            <w:tcW w:w="3325" w:type="dxa"/>
          </w:tcPr>
          <w:p w14:paraId="172CAEEF"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72B63E2A" w14:textId="77777777">
        <w:trPr>
          <w:trHeight w:val="368"/>
        </w:trPr>
        <w:tc>
          <w:tcPr>
            <w:tcW w:w="3325" w:type="dxa"/>
          </w:tcPr>
          <w:p w14:paraId="305C47D3"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5F3C4969" w14:textId="77777777" w:rsidR="00A720EB" w:rsidRDefault="0030286B">
            <w:pPr>
              <w:pStyle w:val="TableParagraph"/>
              <w:spacing w:before="37"/>
              <w:rPr>
                <w:sz w:val="21"/>
              </w:rPr>
            </w:pPr>
            <w:r>
              <w:rPr>
                <w:color w:val="B02045"/>
                <w:sz w:val="21"/>
              </w:rPr>
              <w:t>spring-security-crypto</w:t>
            </w:r>
          </w:p>
        </w:tc>
        <w:tc>
          <w:tcPr>
            <w:tcW w:w="3325" w:type="dxa"/>
          </w:tcPr>
          <w:p w14:paraId="26D9203B"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51AFB5A4" w14:textId="77777777">
        <w:trPr>
          <w:trHeight w:val="368"/>
        </w:trPr>
        <w:tc>
          <w:tcPr>
            <w:tcW w:w="3325" w:type="dxa"/>
          </w:tcPr>
          <w:p w14:paraId="547BBD14"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2A1190CB" w14:textId="77777777" w:rsidR="00A720EB" w:rsidRDefault="0030286B">
            <w:pPr>
              <w:pStyle w:val="TableParagraph"/>
              <w:spacing w:before="37"/>
              <w:rPr>
                <w:sz w:val="21"/>
              </w:rPr>
            </w:pPr>
            <w:r>
              <w:rPr>
                <w:color w:val="B02045"/>
                <w:sz w:val="21"/>
              </w:rPr>
              <w:t>spring-security-data</w:t>
            </w:r>
          </w:p>
        </w:tc>
        <w:tc>
          <w:tcPr>
            <w:tcW w:w="3325" w:type="dxa"/>
          </w:tcPr>
          <w:p w14:paraId="7EEC7E21"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5C751B6F" w14:textId="77777777">
        <w:trPr>
          <w:trHeight w:val="368"/>
        </w:trPr>
        <w:tc>
          <w:tcPr>
            <w:tcW w:w="3325" w:type="dxa"/>
          </w:tcPr>
          <w:p w14:paraId="5CD845F1"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700027EF" w14:textId="77777777" w:rsidR="00A720EB" w:rsidRDefault="0030286B">
            <w:pPr>
              <w:pStyle w:val="TableParagraph"/>
              <w:spacing w:before="37"/>
              <w:rPr>
                <w:sz w:val="21"/>
              </w:rPr>
            </w:pPr>
            <w:r>
              <w:rPr>
                <w:color w:val="B02045"/>
                <w:sz w:val="21"/>
              </w:rPr>
              <w:t>spring-security-ldap</w:t>
            </w:r>
          </w:p>
        </w:tc>
        <w:tc>
          <w:tcPr>
            <w:tcW w:w="3325" w:type="dxa"/>
          </w:tcPr>
          <w:p w14:paraId="5108DF8E"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1E59F269" w14:textId="77777777">
        <w:trPr>
          <w:trHeight w:val="368"/>
        </w:trPr>
        <w:tc>
          <w:tcPr>
            <w:tcW w:w="3325" w:type="dxa"/>
          </w:tcPr>
          <w:p w14:paraId="13AA4ACB"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0703FC95" w14:textId="77777777" w:rsidR="00A720EB" w:rsidRDefault="0030286B">
            <w:pPr>
              <w:pStyle w:val="TableParagraph"/>
              <w:rPr>
                <w:sz w:val="21"/>
              </w:rPr>
            </w:pPr>
            <w:r>
              <w:rPr>
                <w:color w:val="B02045"/>
                <w:sz w:val="21"/>
              </w:rPr>
              <w:t>spring-security-messaging</w:t>
            </w:r>
          </w:p>
        </w:tc>
        <w:tc>
          <w:tcPr>
            <w:tcW w:w="3325" w:type="dxa"/>
          </w:tcPr>
          <w:p w14:paraId="3EFD8166"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5BCECD2E" w14:textId="77777777">
        <w:trPr>
          <w:trHeight w:val="368"/>
        </w:trPr>
        <w:tc>
          <w:tcPr>
            <w:tcW w:w="3325" w:type="dxa"/>
          </w:tcPr>
          <w:p w14:paraId="7BB55D23"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77C3145A" w14:textId="77777777" w:rsidR="00A720EB" w:rsidRDefault="0030286B">
            <w:pPr>
              <w:pStyle w:val="TableParagraph"/>
              <w:rPr>
                <w:sz w:val="21"/>
              </w:rPr>
            </w:pPr>
            <w:r>
              <w:rPr>
                <w:color w:val="B02045"/>
                <w:sz w:val="21"/>
              </w:rPr>
              <w:t>spring-security-oauth2-client</w:t>
            </w:r>
          </w:p>
        </w:tc>
        <w:tc>
          <w:tcPr>
            <w:tcW w:w="3325" w:type="dxa"/>
          </w:tcPr>
          <w:p w14:paraId="11F0BEA7"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53E0721C" w14:textId="77777777">
        <w:trPr>
          <w:trHeight w:val="368"/>
        </w:trPr>
        <w:tc>
          <w:tcPr>
            <w:tcW w:w="3325" w:type="dxa"/>
          </w:tcPr>
          <w:p w14:paraId="27A2469D"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177BB3E7" w14:textId="77777777" w:rsidR="00A720EB" w:rsidRDefault="0030286B">
            <w:pPr>
              <w:pStyle w:val="TableParagraph"/>
              <w:rPr>
                <w:sz w:val="21"/>
              </w:rPr>
            </w:pPr>
            <w:r>
              <w:rPr>
                <w:color w:val="B02045"/>
                <w:sz w:val="21"/>
              </w:rPr>
              <w:t>spring-security-oauth2-core</w:t>
            </w:r>
          </w:p>
        </w:tc>
        <w:tc>
          <w:tcPr>
            <w:tcW w:w="3325" w:type="dxa"/>
          </w:tcPr>
          <w:p w14:paraId="7FB1679A"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777E54B7" w14:textId="77777777">
        <w:trPr>
          <w:trHeight w:val="368"/>
        </w:trPr>
        <w:tc>
          <w:tcPr>
            <w:tcW w:w="3325" w:type="dxa"/>
          </w:tcPr>
          <w:p w14:paraId="64867D0D"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1678569C" w14:textId="77777777" w:rsidR="00A720EB" w:rsidRDefault="0030286B">
            <w:pPr>
              <w:pStyle w:val="TableParagraph"/>
              <w:spacing w:before="37"/>
              <w:rPr>
                <w:sz w:val="21"/>
              </w:rPr>
            </w:pPr>
            <w:r>
              <w:rPr>
                <w:color w:val="B02045"/>
                <w:sz w:val="21"/>
              </w:rPr>
              <w:t>spring-security-oauth2-jose</w:t>
            </w:r>
          </w:p>
        </w:tc>
        <w:tc>
          <w:tcPr>
            <w:tcW w:w="3325" w:type="dxa"/>
          </w:tcPr>
          <w:p w14:paraId="219F4DF4"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11EAB151" w14:textId="77777777">
        <w:trPr>
          <w:trHeight w:val="627"/>
        </w:trPr>
        <w:tc>
          <w:tcPr>
            <w:tcW w:w="3325" w:type="dxa"/>
          </w:tcPr>
          <w:p w14:paraId="4484F0D5"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3B17FB10" w14:textId="77777777" w:rsidR="00A720EB" w:rsidRDefault="0030286B">
            <w:pPr>
              <w:pStyle w:val="TableParagraph"/>
              <w:spacing w:before="46" w:line="230" w:lineRule="auto"/>
              <w:ind w:right="837"/>
              <w:rPr>
                <w:sz w:val="21"/>
              </w:rPr>
            </w:pPr>
            <w:r>
              <w:rPr>
                <w:color w:val="B02045"/>
                <w:sz w:val="21"/>
              </w:rPr>
              <w:t>spring-security-oauth2- resource-server</w:t>
            </w:r>
          </w:p>
        </w:tc>
        <w:tc>
          <w:tcPr>
            <w:tcW w:w="3325" w:type="dxa"/>
          </w:tcPr>
          <w:p w14:paraId="22076CEE"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6ED4E6A1" w14:textId="77777777">
        <w:trPr>
          <w:trHeight w:val="368"/>
        </w:trPr>
        <w:tc>
          <w:tcPr>
            <w:tcW w:w="3325" w:type="dxa"/>
          </w:tcPr>
          <w:p w14:paraId="73A13582"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0A8EA834" w14:textId="77777777" w:rsidR="00A720EB" w:rsidRDefault="0030286B">
            <w:pPr>
              <w:pStyle w:val="TableParagraph"/>
              <w:spacing w:before="37"/>
              <w:rPr>
                <w:sz w:val="21"/>
              </w:rPr>
            </w:pPr>
            <w:r>
              <w:rPr>
                <w:color w:val="B02045"/>
                <w:sz w:val="21"/>
              </w:rPr>
              <w:t>spring-security-openid</w:t>
            </w:r>
          </w:p>
        </w:tc>
        <w:tc>
          <w:tcPr>
            <w:tcW w:w="3325" w:type="dxa"/>
          </w:tcPr>
          <w:p w14:paraId="1DD77CA1"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20CFB1F4" w14:textId="77777777">
        <w:trPr>
          <w:trHeight w:val="368"/>
        </w:trPr>
        <w:tc>
          <w:tcPr>
            <w:tcW w:w="3325" w:type="dxa"/>
          </w:tcPr>
          <w:p w14:paraId="78A0ACE4"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47159127" w14:textId="77777777" w:rsidR="00A720EB" w:rsidRDefault="0030286B">
            <w:pPr>
              <w:pStyle w:val="TableParagraph"/>
              <w:spacing w:before="37"/>
              <w:rPr>
                <w:sz w:val="21"/>
              </w:rPr>
            </w:pPr>
            <w:r>
              <w:rPr>
                <w:color w:val="B02045"/>
                <w:sz w:val="21"/>
              </w:rPr>
              <w:t>spring-security-remoting</w:t>
            </w:r>
          </w:p>
        </w:tc>
        <w:tc>
          <w:tcPr>
            <w:tcW w:w="3325" w:type="dxa"/>
          </w:tcPr>
          <w:p w14:paraId="216E556B"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4089EDE8" w14:textId="77777777">
        <w:trPr>
          <w:trHeight w:val="368"/>
        </w:trPr>
        <w:tc>
          <w:tcPr>
            <w:tcW w:w="3325" w:type="dxa"/>
          </w:tcPr>
          <w:p w14:paraId="5AEAAD70"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780C8CAF" w14:textId="77777777" w:rsidR="00A720EB" w:rsidRDefault="0030286B">
            <w:pPr>
              <w:pStyle w:val="TableParagraph"/>
              <w:spacing w:before="37"/>
              <w:rPr>
                <w:sz w:val="21"/>
              </w:rPr>
            </w:pPr>
            <w:r>
              <w:rPr>
                <w:color w:val="B02045"/>
                <w:sz w:val="21"/>
              </w:rPr>
              <w:t>spring-security-rsocket</w:t>
            </w:r>
          </w:p>
        </w:tc>
        <w:tc>
          <w:tcPr>
            <w:tcW w:w="3325" w:type="dxa"/>
          </w:tcPr>
          <w:p w14:paraId="147DFE1A"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6ABC832B" w14:textId="77777777">
        <w:trPr>
          <w:trHeight w:val="627"/>
        </w:trPr>
        <w:tc>
          <w:tcPr>
            <w:tcW w:w="3325" w:type="dxa"/>
          </w:tcPr>
          <w:p w14:paraId="0678BB8B"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60BF8A4D" w14:textId="77777777" w:rsidR="00A720EB" w:rsidRDefault="0030286B">
            <w:pPr>
              <w:pStyle w:val="TableParagraph"/>
              <w:spacing w:before="46" w:line="230" w:lineRule="auto"/>
              <w:ind w:right="85"/>
              <w:rPr>
                <w:sz w:val="21"/>
              </w:rPr>
            </w:pPr>
            <w:r>
              <w:rPr>
                <w:color w:val="B02045"/>
                <w:sz w:val="21"/>
              </w:rPr>
              <w:t>spring-security-saml2-service- provider</w:t>
            </w:r>
          </w:p>
        </w:tc>
        <w:tc>
          <w:tcPr>
            <w:tcW w:w="3325" w:type="dxa"/>
          </w:tcPr>
          <w:p w14:paraId="2F299EC4"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75769E69" w14:textId="77777777">
        <w:trPr>
          <w:trHeight w:val="368"/>
        </w:trPr>
        <w:tc>
          <w:tcPr>
            <w:tcW w:w="3325" w:type="dxa"/>
          </w:tcPr>
          <w:p w14:paraId="5D00EAC7"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073BAC30" w14:textId="77777777" w:rsidR="00A720EB" w:rsidRDefault="0030286B">
            <w:pPr>
              <w:pStyle w:val="TableParagraph"/>
              <w:spacing w:before="37"/>
              <w:rPr>
                <w:sz w:val="21"/>
              </w:rPr>
            </w:pPr>
            <w:r>
              <w:rPr>
                <w:color w:val="B02045"/>
                <w:sz w:val="21"/>
              </w:rPr>
              <w:t>spring-security-taglibs</w:t>
            </w:r>
          </w:p>
        </w:tc>
        <w:tc>
          <w:tcPr>
            <w:tcW w:w="3325" w:type="dxa"/>
          </w:tcPr>
          <w:p w14:paraId="17496364"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4A3DF955" w14:textId="77777777">
        <w:trPr>
          <w:trHeight w:val="368"/>
        </w:trPr>
        <w:tc>
          <w:tcPr>
            <w:tcW w:w="3325" w:type="dxa"/>
          </w:tcPr>
          <w:p w14:paraId="62A80CFE"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.security</w:t>
            </w:r>
          </w:p>
        </w:tc>
        <w:tc>
          <w:tcPr>
            <w:tcW w:w="3325" w:type="dxa"/>
          </w:tcPr>
          <w:p w14:paraId="64074702" w14:textId="77777777" w:rsidR="00A720EB" w:rsidRDefault="0030286B">
            <w:pPr>
              <w:pStyle w:val="TableParagraph"/>
              <w:spacing w:before="37"/>
              <w:rPr>
                <w:sz w:val="21"/>
              </w:rPr>
            </w:pPr>
            <w:r>
              <w:rPr>
                <w:color w:val="B02045"/>
                <w:sz w:val="21"/>
              </w:rPr>
              <w:t>spring-security-test</w:t>
            </w:r>
          </w:p>
        </w:tc>
        <w:tc>
          <w:tcPr>
            <w:tcW w:w="3325" w:type="dxa"/>
          </w:tcPr>
          <w:p w14:paraId="063C16A9" w14:textId="77777777" w:rsidR="00A720EB" w:rsidRDefault="0030286B">
            <w:pPr>
              <w:pStyle w:val="TableParagraph"/>
              <w:spacing w:before="37"/>
              <w:rPr>
                <w:sz w:val="21"/>
              </w:rPr>
            </w:pPr>
            <w:r>
              <w:rPr>
                <w:color w:val="B02045"/>
                <w:sz w:val="21"/>
              </w:rPr>
              <w:t>5.3.</w:t>
            </w:r>
            <w:proofErr w:type="gramStart"/>
            <w:r>
              <w:rPr>
                <w:color w:val="B02045"/>
                <w:sz w:val="21"/>
              </w:rPr>
              <w:t>4.RELEASE</w:t>
            </w:r>
            <w:proofErr w:type="gramEnd"/>
          </w:p>
        </w:tc>
      </w:tr>
      <w:tr w:rsidR="00A720EB" w14:paraId="278A72EF" w14:textId="77777777">
        <w:trPr>
          <w:trHeight w:val="368"/>
        </w:trPr>
        <w:tc>
          <w:tcPr>
            <w:tcW w:w="3325" w:type="dxa"/>
          </w:tcPr>
          <w:p w14:paraId="4693049A" w14:textId="77777777" w:rsidR="00A720EB" w:rsidRDefault="0030286B">
            <w:pPr>
              <w:pStyle w:val="TableParagraph"/>
              <w:rPr>
                <w:sz w:val="21"/>
              </w:rPr>
            </w:pPr>
            <w:proofErr w:type="gramStart"/>
            <w:r>
              <w:rPr>
                <w:color w:val="B02045"/>
                <w:sz w:val="21"/>
              </w:rPr>
              <w:t>org.springframework</w:t>
            </w:r>
            <w:proofErr w:type="gramEnd"/>
            <w:r>
              <w:rPr>
                <w:color w:val="B02045"/>
                <w:sz w:val="21"/>
              </w:rPr>
              <w:t>.security</w:t>
            </w:r>
          </w:p>
        </w:tc>
        <w:tc>
          <w:tcPr>
            <w:tcW w:w="3325" w:type="dxa"/>
          </w:tcPr>
          <w:p w14:paraId="11244FCE" w14:textId="77777777" w:rsidR="00A720EB" w:rsidRDefault="0030286B">
            <w:pPr>
              <w:pStyle w:val="TableParagraph"/>
              <w:rPr>
                <w:sz w:val="21"/>
              </w:rPr>
            </w:pPr>
            <w:r>
              <w:rPr>
                <w:color w:val="B02045"/>
                <w:sz w:val="21"/>
              </w:rPr>
              <w:t>spring-security-web</w:t>
            </w:r>
          </w:p>
        </w:tc>
        <w:tc>
          <w:tcPr>
            <w:tcW w:w="3325" w:type="dxa"/>
          </w:tcPr>
          <w:p w14:paraId="39164CBB" w14:textId="77777777" w:rsidR="00A720EB" w:rsidRDefault="0030286B">
            <w:pPr>
              <w:pStyle w:val="TableParagraph"/>
              <w:rPr>
                <w:sz w:val="21"/>
              </w:rPr>
            </w:pPr>
            <w:r>
              <w:rPr>
                <w:color w:val="B02045"/>
                <w:sz w:val="21"/>
              </w:rPr>
              <w:t>5.3.</w:t>
            </w:r>
            <w:proofErr w:type="gramStart"/>
            <w:r>
              <w:rPr>
                <w:color w:val="B02045"/>
                <w:sz w:val="21"/>
              </w:rPr>
              <w:t>4.RELEASE</w:t>
            </w:r>
            <w:proofErr w:type="gramEnd"/>
          </w:p>
        </w:tc>
      </w:tr>
      <w:tr w:rsidR="00A720EB" w14:paraId="7DCCBFCD" w14:textId="77777777">
        <w:trPr>
          <w:trHeight w:val="368"/>
        </w:trPr>
        <w:tc>
          <w:tcPr>
            <w:tcW w:w="3325" w:type="dxa"/>
          </w:tcPr>
          <w:p w14:paraId="0567FBDE" w14:textId="77777777" w:rsidR="00A720EB" w:rsidRDefault="0030286B">
            <w:pPr>
              <w:pStyle w:val="TableParagraph"/>
              <w:rPr>
                <w:sz w:val="21"/>
              </w:rPr>
            </w:pPr>
            <w:proofErr w:type="gramStart"/>
            <w:r>
              <w:rPr>
                <w:color w:val="B02045"/>
                <w:sz w:val="21"/>
              </w:rPr>
              <w:t>org.springframework</w:t>
            </w:r>
            <w:proofErr w:type="gramEnd"/>
            <w:r>
              <w:rPr>
                <w:color w:val="B02045"/>
                <w:sz w:val="21"/>
              </w:rPr>
              <w:t>.session</w:t>
            </w:r>
          </w:p>
        </w:tc>
        <w:tc>
          <w:tcPr>
            <w:tcW w:w="3325" w:type="dxa"/>
          </w:tcPr>
          <w:p w14:paraId="01361A3E" w14:textId="77777777" w:rsidR="00A720EB" w:rsidRDefault="0030286B">
            <w:pPr>
              <w:pStyle w:val="TableParagraph"/>
              <w:rPr>
                <w:sz w:val="21"/>
              </w:rPr>
            </w:pPr>
            <w:r>
              <w:rPr>
                <w:color w:val="B02045"/>
                <w:sz w:val="21"/>
              </w:rPr>
              <w:t>spring-session-core</w:t>
            </w:r>
          </w:p>
        </w:tc>
        <w:tc>
          <w:tcPr>
            <w:tcW w:w="3325" w:type="dxa"/>
          </w:tcPr>
          <w:p w14:paraId="13995E8B" w14:textId="77777777" w:rsidR="00A720EB" w:rsidRDefault="0030286B">
            <w:pPr>
              <w:pStyle w:val="TableParagraph"/>
              <w:rPr>
                <w:sz w:val="21"/>
              </w:rPr>
            </w:pPr>
            <w:r>
              <w:rPr>
                <w:color w:val="B02045"/>
                <w:sz w:val="21"/>
              </w:rPr>
              <w:t>2.3.</w:t>
            </w:r>
            <w:proofErr w:type="gramStart"/>
            <w:r>
              <w:rPr>
                <w:color w:val="B02045"/>
                <w:sz w:val="21"/>
              </w:rPr>
              <w:t>1.RELEASE</w:t>
            </w:r>
            <w:proofErr w:type="gramEnd"/>
          </w:p>
        </w:tc>
      </w:tr>
      <w:tr w:rsidR="00A720EB" w14:paraId="5CFB0BDF" w14:textId="77777777">
        <w:trPr>
          <w:trHeight w:val="368"/>
        </w:trPr>
        <w:tc>
          <w:tcPr>
            <w:tcW w:w="3325" w:type="dxa"/>
          </w:tcPr>
          <w:p w14:paraId="32E727DA"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.session</w:t>
            </w:r>
          </w:p>
        </w:tc>
        <w:tc>
          <w:tcPr>
            <w:tcW w:w="3325" w:type="dxa"/>
          </w:tcPr>
          <w:p w14:paraId="68F0A88A" w14:textId="77777777" w:rsidR="00A720EB" w:rsidRDefault="0030286B">
            <w:pPr>
              <w:pStyle w:val="TableParagraph"/>
              <w:spacing w:before="37"/>
              <w:rPr>
                <w:sz w:val="21"/>
              </w:rPr>
            </w:pPr>
            <w:r>
              <w:rPr>
                <w:color w:val="B02045"/>
                <w:sz w:val="21"/>
              </w:rPr>
              <w:t>spring-session-data-geode</w:t>
            </w:r>
          </w:p>
        </w:tc>
        <w:tc>
          <w:tcPr>
            <w:tcW w:w="3325" w:type="dxa"/>
          </w:tcPr>
          <w:p w14:paraId="737EA7DF" w14:textId="77777777" w:rsidR="00A720EB" w:rsidRDefault="0030286B">
            <w:pPr>
              <w:pStyle w:val="TableParagraph"/>
              <w:spacing w:before="37"/>
              <w:rPr>
                <w:sz w:val="21"/>
              </w:rPr>
            </w:pPr>
            <w:r>
              <w:rPr>
                <w:color w:val="B02045"/>
                <w:sz w:val="21"/>
              </w:rPr>
              <w:t>2.3.</w:t>
            </w:r>
            <w:proofErr w:type="gramStart"/>
            <w:r>
              <w:rPr>
                <w:color w:val="B02045"/>
                <w:sz w:val="21"/>
              </w:rPr>
              <w:t>1.RELEASE</w:t>
            </w:r>
            <w:proofErr w:type="gramEnd"/>
          </w:p>
        </w:tc>
      </w:tr>
      <w:tr w:rsidR="00A720EB" w14:paraId="0A39C9E3" w14:textId="77777777">
        <w:trPr>
          <w:trHeight w:val="368"/>
        </w:trPr>
        <w:tc>
          <w:tcPr>
            <w:tcW w:w="3325" w:type="dxa"/>
          </w:tcPr>
          <w:p w14:paraId="26035F93"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.session</w:t>
            </w:r>
          </w:p>
        </w:tc>
        <w:tc>
          <w:tcPr>
            <w:tcW w:w="3325" w:type="dxa"/>
          </w:tcPr>
          <w:p w14:paraId="6A766404" w14:textId="77777777" w:rsidR="00A720EB" w:rsidRDefault="0030286B">
            <w:pPr>
              <w:pStyle w:val="TableParagraph"/>
              <w:spacing w:before="37"/>
              <w:rPr>
                <w:sz w:val="21"/>
              </w:rPr>
            </w:pPr>
            <w:r>
              <w:rPr>
                <w:color w:val="B02045"/>
                <w:sz w:val="21"/>
              </w:rPr>
              <w:t>spring-session-data-mongodb</w:t>
            </w:r>
          </w:p>
        </w:tc>
        <w:tc>
          <w:tcPr>
            <w:tcW w:w="3325" w:type="dxa"/>
          </w:tcPr>
          <w:p w14:paraId="5AE7D095" w14:textId="77777777" w:rsidR="00A720EB" w:rsidRDefault="0030286B">
            <w:pPr>
              <w:pStyle w:val="TableParagraph"/>
              <w:spacing w:before="37"/>
              <w:rPr>
                <w:sz w:val="21"/>
              </w:rPr>
            </w:pPr>
            <w:r>
              <w:rPr>
                <w:color w:val="B02045"/>
                <w:sz w:val="21"/>
              </w:rPr>
              <w:t>2.3.</w:t>
            </w:r>
            <w:proofErr w:type="gramStart"/>
            <w:r>
              <w:rPr>
                <w:color w:val="B02045"/>
                <w:sz w:val="21"/>
              </w:rPr>
              <w:t>0.RELEASE</w:t>
            </w:r>
            <w:proofErr w:type="gramEnd"/>
          </w:p>
        </w:tc>
      </w:tr>
      <w:tr w:rsidR="00A720EB" w14:paraId="4DCCF1D6" w14:textId="77777777">
        <w:trPr>
          <w:trHeight w:val="368"/>
        </w:trPr>
        <w:tc>
          <w:tcPr>
            <w:tcW w:w="3325" w:type="dxa"/>
          </w:tcPr>
          <w:p w14:paraId="6602B033" w14:textId="77777777" w:rsidR="00A720EB" w:rsidRDefault="0030286B">
            <w:pPr>
              <w:pStyle w:val="TableParagraph"/>
              <w:rPr>
                <w:sz w:val="21"/>
              </w:rPr>
            </w:pPr>
            <w:proofErr w:type="gramStart"/>
            <w:r>
              <w:rPr>
                <w:color w:val="B02045"/>
                <w:sz w:val="21"/>
              </w:rPr>
              <w:t>org.springframework</w:t>
            </w:r>
            <w:proofErr w:type="gramEnd"/>
            <w:r>
              <w:rPr>
                <w:color w:val="B02045"/>
                <w:sz w:val="21"/>
              </w:rPr>
              <w:t>.session</w:t>
            </w:r>
          </w:p>
        </w:tc>
        <w:tc>
          <w:tcPr>
            <w:tcW w:w="3325" w:type="dxa"/>
          </w:tcPr>
          <w:p w14:paraId="102E9136" w14:textId="77777777" w:rsidR="00A720EB" w:rsidRDefault="0030286B">
            <w:pPr>
              <w:pStyle w:val="TableParagraph"/>
              <w:rPr>
                <w:sz w:val="21"/>
              </w:rPr>
            </w:pPr>
            <w:r>
              <w:rPr>
                <w:color w:val="B02045"/>
                <w:sz w:val="21"/>
              </w:rPr>
              <w:t>spring-session-data-redis</w:t>
            </w:r>
          </w:p>
        </w:tc>
        <w:tc>
          <w:tcPr>
            <w:tcW w:w="3325" w:type="dxa"/>
          </w:tcPr>
          <w:p w14:paraId="658581AF" w14:textId="77777777" w:rsidR="00A720EB" w:rsidRDefault="0030286B">
            <w:pPr>
              <w:pStyle w:val="TableParagraph"/>
              <w:rPr>
                <w:sz w:val="21"/>
              </w:rPr>
            </w:pPr>
            <w:r>
              <w:rPr>
                <w:color w:val="B02045"/>
                <w:sz w:val="21"/>
              </w:rPr>
              <w:t>2.3.</w:t>
            </w:r>
            <w:proofErr w:type="gramStart"/>
            <w:r>
              <w:rPr>
                <w:color w:val="B02045"/>
                <w:sz w:val="21"/>
              </w:rPr>
              <w:t>1.RELEASE</w:t>
            </w:r>
            <w:proofErr w:type="gramEnd"/>
          </w:p>
        </w:tc>
      </w:tr>
      <w:tr w:rsidR="00A720EB" w14:paraId="498F373F" w14:textId="77777777">
        <w:trPr>
          <w:trHeight w:val="368"/>
        </w:trPr>
        <w:tc>
          <w:tcPr>
            <w:tcW w:w="3325" w:type="dxa"/>
          </w:tcPr>
          <w:p w14:paraId="4A6681B9" w14:textId="77777777" w:rsidR="00A720EB" w:rsidRDefault="0030286B">
            <w:pPr>
              <w:pStyle w:val="TableParagraph"/>
              <w:spacing w:before="37"/>
              <w:rPr>
                <w:sz w:val="21"/>
              </w:rPr>
            </w:pPr>
            <w:proofErr w:type="gramStart"/>
            <w:r>
              <w:rPr>
                <w:color w:val="B02045"/>
                <w:sz w:val="21"/>
              </w:rPr>
              <w:t>org.springframework</w:t>
            </w:r>
            <w:proofErr w:type="gramEnd"/>
            <w:r>
              <w:rPr>
                <w:color w:val="B02045"/>
                <w:sz w:val="21"/>
              </w:rPr>
              <w:t>.session</w:t>
            </w:r>
          </w:p>
        </w:tc>
        <w:tc>
          <w:tcPr>
            <w:tcW w:w="3325" w:type="dxa"/>
          </w:tcPr>
          <w:p w14:paraId="598B6E06" w14:textId="77777777" w:rsidR="00A720EB" w:rsidRDefault="0030286B">
            <w:pPr>
              <w:pStyle w:val="TableParagraph"/>
              <w:spacing w:before="37"/>
              <w:rPr>
                <w:sz w:val="21"/>
              </w:rPr>
            </w:pPr>
            <w:r>
              <w:rPr>
                <w:color w:val="B02045"/>
                <w:sz w:val="21"/>
              </w:rPr>
              <w:t>spring-session-hazelcast</w:t>
            </w:r>
          </w:p>
        </w:tc>
        <w:tc>
          <w:tcPr>
            <w:tcW w:w="3325" w:type="dxa"/>
          </w:tcPr>
          <w:p w14:paraId="5508B186" w14:textId="77777777" w:rsidR="00A720EB" w:rsidRDefault="0030286B">
            <w:pPr>
              <w:pStyle w:val="TableParagraph"/>
              <w:spacing w:before="37"/>
              <w:rPr>
                <w:sz w:val="21"/>
              </w:rPr>
            </w:pPr>
            <w:r>
              <w:rPr>
                <w:color w:val="B02045"/>
                <w:sz w:val="21"/>
              </w:rPr>
              <w:t>2.3.</w:t>
            </w:r>
            <w:proofErr w:type="gramStart"/>
            <w:r>
              <w:rPr>
                <w:color w:val="B02045"/>
                <w:sz w:val="21"/>
              </w:rPr>
              <w:t>1.RELEASE</w:t>
            </w:r>
            <w:proofErr w:type="gramEnd"/>
          </w:p>
        </w:tc>
      </w:tr>
      <w:tr w:rsidR="00A720EB" w14:paraId="00867540" w14:textId="77777777">
        <w:trPr>
          <w:trHeight w:val="368"/>
        </w:trPr>
        <w:tc>
          <w:tcPr>
            <w:tcW w:w="3325" w:type="dxa"/>
          </w:tcPr>
          <w:p w14:paraId="1647565D" w14:textId="77777777" w:rsidR="00A720EB" w:rsidRDefault="0030286B">
            <w:pPr>
              <w:pStyle w:val="TableParagraph"/>
              <w:rPr>
                <w:sz w:val="21"/>
              </w:rPr>
            </w:pPr>
            <w:proofErr w:type="gramStart"/>
            <w:r>
              <w:rPr>
                <w:color w:val="B02045"/>
                <w:sz w:val="21"/>
              </w:rPr>
              <w:t>org.springframework</w:t>
            </w:r>
            <w:proofErr w:type="gramEnd"/>
            <w:r>
              <w:rPr>
                <w:color w:val="B02045"/>
                <w:sz w:val="21"/>
              </w:rPr>
              <w:t>.session</w:t>
            </w:r>
          </w:p>
        </w:tc>
        <w:tc>
          <w:tcPr>
            <w:tcW w:w="3325" w:type="dxa"/>
          </w:tcPr>
          <w:p w14:paraId="49C8E588" w14:textId="77777777" w:rsidR="00A720EB" w:rsidRDefault="0030286B">
            <w:pPr>
              <w:pStyle w:val="TableParagraph"/>
              <w:rPr>
                <w:sz w:val="21"/>
              </w:rPr>
            </w:pPr>
            <w:r>
              <w:rPr>
                <w:color w:val="B02045"/>
                <w:sz w:val="21"/>
              </w:rPr>
              <w:t>spring-session-jdbc</w:t>
            </w:r>
          </w:p>
        </w:tc>
        <w:tc>
          <w:tcPr>
            <w:tcW w:w="3325" w:type="dxa"/>
          </w:tcPr>
          <w:p w14:paraId="3B1A71A4" w14:textId="77777777" w:rsidR="00A720EB" w:rsidRDefault="0030286B">
            <w:pPr>
              <w:pStyle w:val="TableParagraph"/>
              <w:rPr>
                <w:sz w:val="21"/>
              </w:rPr>
            </w:pPr>
            <w:r>
              <w:rPr>
                <w:color w:val="B02045"/>
                <w:sz w:val="21"/>
              </w:rPr>
              <w:t>2.3.</w:t>
            </w:r>
            <w:proofErr w:type="gramStart"/>
            <w:r>
              <w:rPr>
                <w:color w:val="B02045"/>
                <w:sz w:val="21"/>
              </w:rPr>
              <w:t>1.RELEASE</w:t>
            </w:r>
            <w:proofErr w:type="gramEnd"/>
          </w:p>
        </w:tc>
      </w:tr>
      <w:tr w:rsidR="00A720EB" w14:paraId="6C9D0CCE" w14:textId="77777777">
        <w:trPr>
          <w:trHeight w:val="368"/>
        </w:trPr>
        <w:tc>
          <w:tcPr>
            <w:tcW w:w="3325" w:type="dxa"/>
          </w:tcPr>
          <w:p w14:paraId="414CD577" w14:textId="77777777" w:rsidR="00A720EB" w:rsidRDefault="0030286B">
            <w:pPr>
              <w:pStyle w:val="TableParagraph"/>
              <w:spacing w:before="37"/>
              <w:rPr>
                <w:sz w:val="21"/>
              </w:rPr>
            </w:pPr>
            <w:r>
              <w:rPr>
                <w:color w:val="B02045"/>
                <w:sz w:val="21"/>
              </w:rPr>
              <w:t>org.springframework.ws</w:t>
            </w:r>
          </w:p>
        </w:tc>
        <w:tc>
          <w:tcPr>
            <w:tcW w:w="3325" w:type="dxa"/>
          </w:tcPr>
          <w:p w14:paraId="3BA61F6E" w14:textId="77777777" w:rsidR="00A720EB" w:rsidRDefault="0030286B">
            <w:pPr>
              <w:pStyle w:val="TableParagraph"/>
              <w:spacing w:before="37"/>
              <w:rPr>
                <w:sz w:val="21"/>
              </w:rPr>
            </w:pPr>
            <w:r>
              <w:rPr>
                <w:color w:val="B02045"/>
                <w:sz w:val="21"/>
              </w:rPr>
              <w:t>spring-ws-core</w:t>
            </w:r>
          </w:p>
        </w:tc>
        <w:tc>
          <w:tcPr>
            <w:tcW w:w="3325" w:type="dxa"/>
          </w:tcPr>
          <w:p w14:paraId="6F10A529" w14:textId="77777777" w:rsidR="00A720EB" w:rsidRDefault="0030286B">
            <w:pPr>
              <w:pStyle w:val="TableParagraph"/>
              <w:spacing w:before="37"/>
              <w:rPr>
                <w:sz w:val="21"/>
              </w:rPr>
            </w:pPr>
            <w:r>
              <w:rPr>
                <w:color w:val="B02045"/>
                <w:sz w:val="21"/>
              </w:rPr>
              <w:t>3.0.</w:t>
            </w:r>
            <w:proofErr w:type="gramStart"/>
            <w:r>
              <w:rPr>
                <w:color w:val="B02045"/>
                <w:sz w:val="21"/>
              </w:rPr>
              <w:t>10.RELEASE</w:t>
            </w:r>
            <w:proofErr w:type="gramEnd"/>
          </w:p>
        </w:tc>
      </w:tr>
      <w:tr w:rsidR="00A720EB" w14:paraId="63C1D072" w14:textId="77777777">
        <w:trPr>
          <w:trHeight w:val="368"/>
        </w:trPr>
        <w:tc>
          <w:tcPr>
            <w:tcW w:w="3325" w:type="dxa"/>
          </w:tcPr>
          <w:p w14:paraId="60011EDD" w14:textId="77777777" w:rsidR="00A720EB" w:rsidRDefault="0030286B">
            <w:pPr>
              <w:pStyle w:val="TableParagraph"/>
              <w:rPr>
                <w:sz w:val="21"/>
              </w:rPr>
            </w:pPr>
            <w:r>
              <w:rPr>
                <w:color w:val="B02045"/>
                <w:sz w:val="21"/>
              </w:rPr>
              <w:t>org.springframework.ws</w:t>
            </w:r>
          </w:p>
        </w:tc>
        <w:tc>
          <w:tcPr>
            <w:tcW w:w="3325" w:type="dxa"/>
          </w:tcPr>
          <w:p w14:paraId="2609F102" w14:textId="77777777" w:rsidR="00A720EB" w:rsidRDefault="0030286B">
            <w:pPr>
              <w:pStyle w:val="TableParagraph"/>
              <w:rPr>
                <w:sz w:val="21"/>
              </w:rPr>
            </w:pPr>
            <w:r>
              <w:rPr>
                <w:color w:val="B02045"/>
                <w:sz w:val="21"/>
              </w:rPr>
              <w:t>spring-ws-security</w:t>
            </w:r>
          </w:p>
        </w:tc>
        <w:tc>
          <w:tcPr>
            <w:tcW w:w="3325" w:type="dxa"/>
          </w:tcPr>
          <w:p w14:paraId="666FA2B4" w14:textId="77777777" w:rsidR="00A720EB" w:rsidRDefault="0030286B">
            <w:pPr>
              <w:pStyle w:val="TableParagraph"/>
              <w:rPr>
                <w:sz w:val="21"/>
              </w:rPr>
            </w:pPr>
            <w:r>
              <w:rPr>
                <w:color w:val="B02045"/>
                <w:sz w:val="21"/>
              </w:rPr>
              <w:t>3.0.</w:t>
            </w:r>
            <w:proofErr w:type="gramStart"/>
            <w:r>
              <w:rPr>
                <w:color w:val="B02045"/>
                <w:sz w:val="21"/>
              </w:rPr>
              <w:t>10.RELEASE</w:t>
            </w:r>
            <w:proofErr w:type="gramEnd"/>
          </w:p>
        </w:tc>
      </w:tr>
      <w:tr w:rsidR="00A720EB" w14:paraId="7650E04B" w14:textId="77777777">
        <w:trPr>
          <w:trHeight w:val="368"/>
        </w:trPr>
        <w:tc>
          <w:tcPr>
            <w:tcW w:w="3325" w:type="dxa"/>
          </w:tcPr>
          <w:p w14:paraId="1D668553" w14:textId="77777777" w:rsidR="00A720EB" w:rsidRDefault="0030286B">
            <w:pPr>
              <w:pStyle w:val="TableParagraph"/>
              <w:spacing w:before="37"/>
              <w:rPr>
                <w:sz w:val="21"/>
              </w:rPr>
            </w:pPr>
            <w:r>
              <w:rPr>
                <w:color w:val="B02045"/>
                <w:sz w:val="21"/>
              </w:rPr>
              <w:t>org.springframework.ws</w:t>
            </w:r>
          </w:p>
        </w:tc>
        <w:tc>
          <w:tcPr>
            <w:tcW w:w="3325" w:type="dxa"/>
          </w:tcPr>
          <w:p w14:paraId="011587D0" w14:textId="77777777" w:rsidR="00A720EB" w:rsidRDefault="0030286B">
            <w:pPr>
              <w:pStyle w:val="TableParagraph"/>
              <w:spacing w:before="37"/>
              <w:rPr>
                <w:sz w:val="21"/>
              </w:rPr>
            </w:pPr>
            <w:r>
              <w:rPr>
                <w:color w:val="B02045"/>
                <w:sz w:val="21"/>
              </w:rPr>
              <w:t>spring-ws-support</w:t>
            </w:r>
          </w:p>
        </w:tc>
        <w:tc>
          <w:tcPr>
            <w:tcW w:w="3325" w:type="dxa"/>
          </w:tcPr>
          <w:p w14:paraId="3207F50E" w14:textId="77777777" w:rsidR="00A720EB" w:rsidRDefault="0030286B">
            <w:pPr>
              <w:pStyle w:val="TableParagraph"/>
              <w:spacing w:before="37"/>
              <w:rPr>
                <w:sz w:val="21"/>
              </w:rPr>
            </w:pPr>
            <w:r>
              <w:rPr>
                <w:color w:val="B02045"/>
                <w:sz w:val="21"/>
              </w:rPr>
              <w:t>3.0.</w:t>
            </w:r>
            <w:proofErr w:type="gramStart"/>
            <w:r>
              <w:rPr>
                <w:color w:val="B02045"/>
                <w:sz w:val="21"/>
              </w:rPr>
              <w:t>10.RELEASE</w:t>
            </w:r>
            <w:proofErr w:type="gramEnd"/>
          </w:p>
        </w:tc>
      </w:tr>
      <w:tr w:rsidR="00A720EB" w14:paraId="1F78AF95" w14:textId="77777777">
        <w:trPr>
          <w:trHeight w:val="368"/>
        </w:trPr>
        <w:tc>
          <w:tcPr>
            <w:tcW w:w="3325" w:type="dxa"/>
          </w:tcPr>
          <w:p w14:paraId="17B98A28" w14:textId="77777777" w:rsidR="00A720EB" w:rsidRDefault="0030286B">
            <w:pPr>
              <w:pStyle w:val="TableParagraph"/>
              <w:rPr>
                <w:sz w:val="21"/>
              </w:rPr>
            </w:pPr>
            <w:r>
              <w:rPr>
                <w:color w:val="B02045"/>
                <w:sz w:val="21"/>
              </w:rPr>
              <w:t>org.springframework.ws</w:t>
            </w:r>
          </w:p>
        </w:tc>
        <w:tc>
          <w:tcPr>
            <w:tcW w:w="3325" w:type="dxa"/>
          </w:tcPr>
          <w:p w14:paraId="43F5E7CA" w14:textId="77777777" w:rsidR="00A720EB" w:rsidRDefault="0030286B">
            <w:pPr>
              <w:pStyle w:val="TableParagraph"/>
              <w:rPr>
                <w:sz w:val="21"/>
              </w:rPr>
            </w:pPr>
            <w:r>
              <w:rPr>
                <w:color w:val="B02045"/>
                <w:sz w:val="21"/>
              </w:rPr>
              <w:t>spring-ws-test</w:t>
            </w:r>
          </w:p>
        </w:tc>
        <w:tc>
          <w:tcPr>
            <w:tcW w:w="3325" w:type="dxa"/>
          </w:tcPr>
          <w:p w14:paraId="4BCA0042" w14:textId="77777777" w:rsidR="00A720EB" w:rsidRDefault="0030286B">
            <w:pPr>
              <w:pStyle w:val="TableParagraph"/>
              <w:rPr>
                <w:sz w:val="21"/>
              </w:rPr>
            </w:pPr>
            <w:r>
              <w:rPr>
                <w:color w:val="B02045"/>
                <w:sz w:val="21"/>
              </w:rPr>
              <w:t>3.0.</w:t>
            </w:r>
            <w:proofErr w:type="gramStart"/>
            <w:r>
              <w:rPr>
                <w:color w:val="B02045"/>
                <w:sz w:val="21"/>
              </w:rPr>
              <w:t>10.RELEASE</w:t>
            </w:r>
            <w:proofErr w:type="gramEnd"/>
          </w:p>
        </w:tc>
      </w:tr>
      <w:tr w:rsidR="00A720EB" w14:paraId="35896517" w14:textId="77777777">
        <w:trPr>
          <w:trHeight w:val="368"/>
        </w:trPr>
        <w:tc>
          <w:tcPr>
            <w:tcW w:w="3325" w:type="dxa"/>
          </w:tcPr>
          <w:p w14:paraId="73F4A52B" w14:textId="77777777" w:rsidR="00A720EB" w:rsidRDefault="0030286B">
            <w:pPr>
              <w:pStyle w:val="TableParagraph"/>
              <w:rPr>
                <w:sz w:val="21"/>
              </w:rPr>
            </w:pPr>
            <w:r>
              <w:rPr>
                <w:color w:val="B02045"/>
                <w:sz w:val="21"/>
              </w:rPr>
              <w:t>org.springframework.ws</w:t>
            </w:r>
          </w:p>
        </w:tc>
        <w:tc>
          <w:tcPr>
            <w:tcW w:w="3325" w:type="dxa"/>
          </w:tcPr>
          <w:p w14:paraId="0B714BC0" w14:textId="77777777" w:rsidR="00A720EB" w:rsidRDefault="0030286B">
            <w:pPr>
              <w:pStyle w:val="TableParagraph"/>
              <w:rPr>
                <w:sz w:val="21"/>
              </w:rPr>
            </w:pPr>
            <w:r>
              <w:rPr>
                <w:color w:val="B02045"/>
                <w:sz w:val="21"/>
              </w:rPr>
              <w:t>spring-xml</w:t>
            </w:r>
          </w:p>
        </w:tc>
        <w:tc>
          <w:tcPr>
            <w:tcW w:w="3325" w:type="dxa"/>
          </w:tcPr>
          <w:p w14:paraId="1473B23C" w14:textId="77777777" w:rsidR="00A720EB" w:rsidRDefault="0030286B">
            <w:pPr>
              <w:pStyle w:val="TableParagraph"/>
              <w:rPr>
                <w:sz w:val="21"/>
              </w:rPr>
            </w:pPr>
            <w:r>
              <w:rPr>
                <w:color w:val="B02045"/>
                <w:sz w:val="21"/>
              </w:rPr>
              <w:t>3.0.</w:t>
            </w:r>
            <w:proofErr w:type="gramStart"/>
            <w:r>
              <w:rPr>
                <w:color w:val="B02045"/>
                <w:sz w:val="21"/>
              </w:rPr>
              <w:t>10.RELEASE</w:t>
            </w:r>
            <w:proofErr w:type="gramEnd"/>
          </w:p>
        </w:tc>
      </w:tr>
      <w:tr w:rsidR="00A720EB" w14:paraId="193F3230" w14:textId="77777777">
        <w:trPr>
          <w:trHeight w:val="368"/>
        </w:trPr>
        <w:tc>
          <w:tcPr>
            <w:tcW w:w="3325" w:type="dxa"/>
          </w:tcPr>
          <w:p w14:paraId="72F7ED28" w14:textId="77777777" w:rsidR="00A720EB" w:rsidRDefault="0030286B">
            <w:pPr>
              <w:pStyle w:val="TableParagraph"/>
              <w:rPr>
                <w:sz w:val="21"/>
              </w:rPr>
            </w:pPr>
            <w:proofErr w:type="gramStart"/>
            <w:r>
              <w:rPr>
                <w:color w:val="B02045"/>
                <w:sz w:val="21"/>
              </w:rPr>
              <w:t>org.synchronoss</w:t>
            </w:r>
            <w:proofErr w:type="gramEnd"/>
            <w:r>
              <w:rPr>
                <w:color w:val="B02045"/>
                <w:sz w:val="21"/>
              </w:rPr>
              <w:t>.cloud</w:t>
            </w:r>
          </w:p>
        </w:tc>
        <w:tc>
          <w:tcPr>
            <w:tcW w:w="3325" w:type="dxa"/>
          </w:tcPr>
          <w:p w14:paraId="2C521483" w14:textId="77777777" w:rsidR="00A720EB" w:rsidRDefault="0030286B">
            <w:pPr>
              <w:pStyle w:val="TableParagraph"/>
              <w:rPr>
                <w:sz w:val="21"/>
              </w:rPr>
            </w:pPr>
            <w:r>
              <w:rPr>
                <w:color w:val="B02045"/>
                <w:sz w:val="21"/>
              </w:rPr>
              <w:t>nio-multipart-parser</w:t>
            </w:r>
          </w:p>
        </w:tc>
        <w:tc>
          <w:tcPr>
            <w:tcW w:w="3325" w:type="dxa"/>
          </w:tcPr>
          <w:p w14:paraId="63E9BE87" w14:textId="77777777" w:rsidR="00A720EB" w:rsidRDefault="0030286B">
            <w:pPr>
              <w:pStyle w:val="TableParagraph"/>
              <w:rPr>
                <w:sz w:val="21"/>
              </w:rPr>
            </w:pPr>
            <w:r>
              <w:rPr>
                <w:color w:val="B02045"/>
                <w:sz w:val="21"/>
              </w:rPr>
              <w:t>1.1.0</w:t>
            </w:r>
          </w:p>
        </w:tc>
      </w:tr>
      <w:tr w:rsidR="00A720EB" w14:paraId="2B4FD2F7" w14:textId="77777777">
        <w:trPr>
          <w:trHeight w:val="368"/>
        </w:trPr>
        <w:tc>
          <w:tcPr>
            <w:tcW w:w="3325" w:type="dxa"/>
          </w:tcPr>
          <w:p w14:paraId="2875198E" w14:textId="77777777" w:rsidR="00A720EB" w:rsidRDefault="0030286B">
            <w:pPr>
              <w:pStyle w:val="TableParagraph"/>
              <w:rPr>
                <w:sz w:val="21"/>
              </w:rPr>
            </w:pPr>
            <w:proofErr w:type="gramStart"/>
            <w:r>
              <w:rPr>
                <w:color w:val="B02045"/>
                <w:sz w:val="21"/>
              </w:rPr>
              <w:t>org.thymeleaf</w:t>
            </w:r>
            <w:proofErr w:type="gramEnd"/>
          </w:p>
        </w:tc>
        <w:tc>
          <w:tcPr>
            <w:tcW w:w="3325" w:type="dxa"/>
          </w:tcPr>
          <w:p w14:paraId="2F622651" w14:textId="77777777" w:rsidR="00A720EB" w:rsidRDefault="0030286B">
            <w:pPr>
              <w:pStyle w:val="TableParagraph"/>
              <w:rPr>
                <w:sz w:val="21"/>
              </w:rPr>
            </w:pPr>
            <w:r>
              <w:rPr>
                <w:color w:val="B02045"/>
                <w:sz w:val="21"/>
              </w:rPr>
              <w:t>thymeleaf</w:t>
            </w:r>
          </w:p>
        </w:tc>
        <w:tc>
          <w:tcPr>
            <w:tcW w:w="3325" w:type="dxa"/>
          </w:tcPr>
          <w:p w14:paraId="6364C113" w14:textId="77777777" w:rsidR="00A720EB" w:rsidRDefault="0030286B">
            <w:pPr>
              <w:pStyle w:val="TableParagraph"/>
              <w:rPr>
                <w:sz w:val="21"/>
              </w:rPr>
            </w:pPr>
            <w:r>
              <w:rPr>
                <w:color w:val="B02045"/>
                <w:sz w:val="21"/>
              </w:rPr>
              <w:t>3.0.</w:t>
            </w:r>
            <w:proofErr w:type="gramStart"/>
            <w:r>
              <w:rPr>
                <w:color w:val="B02045"/>
                <w:sz w:val="21"/>
              </w:rPr>
              <w:t>11.RELEASE</w:t>
            </w:r>
            <w:proofErr w:type="gramEnd"/>
          </w:p>
        </w:tc>
      </w:tr>
      <w:tr w:rsidR="00A720EB" w14:paraId="5CD687C1" w14:textId="77777777">
        <w:trPr>
          <w:trHeight w:val="368"/>
        </w:trPr>
        <w:tc>
          <w:tcPr>
            <w:tcW w:w="3325" w:type="dxa"/>
          </w:tcPr>
          <w:p w14:paraId="305D1823" w14:textId="77777777" w:rsidR="00A720EB" w:rsidRDefault="0030286B">
            <w:pPr>
              <w:pStyle w:val="TableParagraph"/>
              <w:rPr>
                <w:sz w:val="21"/>
              </w:rPr>
            </w:pPr>
            <w:proofErr w:type="gramStart"/>
            <w:r>
              <w:rPr>
                <w:color w:val="B02045"/>
                <w:sz w:val="21"/>
              </w:rPr>
              <w:t>org.thymeleaf</w:t>
            </w:r>
            <w:proofErr w:type="gramEnd"/>
          </w:p>
        </w:tc>
        <w:tc>
          <w:tcPr>
            <w:tcW w:w="3325" w:type="dxa"/>
          </w:tcPr>
          <w:p w14:paraId="7E73B859" w14:textId="77777777" w:rsidR="00A720EB" w:rsidRDefault="0030286B">
            <w:pPr>
              <w:pStyle w:val="TableParagraph"/>
              <w:rPr>
                <w:sz w:val="21"/>
              </w:rPr>
            </w:pPr>
            <w:r>
              <w:rPr>
                <w:color w:val="B02045"/>
                <w:sz w:val="21"/>
              </w:rPr>
              <w:t>thymeleaf-spring5</w:t>
            </w:r>
          </w:p>
        </w:tc>
        <w:tc>
          <w:tcPr>
            <w:tcW w:w="3325" w:type="dxa"/>
          </w:tcPr>
          <w:p w14:paraId="38743308" w14:textId="77777777" w:rsidR="00A720EB" w:rsidRDefault="0030286B">
            <w:pPr>
              <w:pStyle w:val="TableParagraph"/>
              <w:rPr>
                <w:sz w:val="21"/>
              </w:rPr>
            </w:pPr>
            <w:r>
              <w:rPr>
                <w:color w:val="B02045"/>
                <w:sz w:val="21"/>
              </w:rPr>
              <w:t>3.0.</w:t>
            </w:r>
            <w:proofErr w:type="gramStart"/>
            <w:r>
              <w:rPr>
                <w:color w:val="B02045"/>
                <w:sz w:val="21"/>
              </w:rPr>
              <w:t>11.RELEASE</w:t>
            </w:r>
            <w:proofErr w:type="gramEnd"/>
          </w:p>
        </w:tc>
      </w:tr>
    </w:tbl>
    <w:p w14:paraId="2D22ECC1"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3325"/>
        <w:gridCol w:w="3325"/>
        <w:gridCol w:w="3325"/>
      </w:tblGrid>
      <w:tr w:rsidR="00A720EB" w14:paraId="0F6B2FE0" w14:textId="77777777">
        <w:trPr>
          <w:trHeight w:val="415"/>
        </w:trPr>
        <w:tc>
          <w:tcPr>
            <w:tcW w:w="3325" w:type="dxa"/>
            <w:tcBorders>
              <w:bottom w:val="single" w:sz="12" w:space="0" w:color="DDDDDD"/>
            </w:tcBorders>
          </w:tcPr>
          <w:p w14:paraId="2FE16255" w14:textId="77777777" w:rsidR="00A720EB" w:rsidRDefault="0030286B">
            <w:pPr>
              <w:pStyle w:val="TableParagraph"/>
              <w:spacing w:before="71"/>
              <w:rPr>
                <w:rFonts w:ascii="Palatino Linotype"/>
                <w:b/>
                <w:sz w:val="21"/>
              </w:rPr>
            </w:pPr>
            <w:r>
              <w:rPr>
                <w:rFonts w:ascii="Palatino Linotype"/>
                <w:b/>
                <w:color w:val="333333"/>
                <w:w w:val="105"/>
                <w:sz w:val="21"/>
              </w:rPr>
              <w:lastRenderedPageBreak/>
              <w:t>Group ID</w:t>
            </w:r>
          </w:p>
        </w:tc>
        <w:tc>
          <w:tcPr>
            <w:tcW w:w="3325" w:type="dxa"/>
            <w:tcBorders>
              <w:bottom w:val="single" w:sz="12" w:space="0" w:color="DDDDDD"/>
            </w:tcBorders>
          </w:tcPr>
          <w:p w14:paraId="748635E3" w14:textId="77777777" w:rsidR="00A720EB" w:rsidRDefault="0030286B">
            <w:pPr>
              <w:pStyle w:val="TableParagraph"/>
              <w:spacing w:before="71"/>
              <w:rPr>
                <w:rFonts w:ascii="Palatino Linotype"/>
                <w:b/>
                <w:sz w:val="21"/>
              </w:rPr>
            </w:pPr>
            <w:r>
              <w:rPr>
                <w:rFonts w:ascii="Palatino Linotype"/>
                <w:b/>
                <w:color w:val="333333"/>
                <w:w w:val="110"/>
                <w:sz w:val="21"/>
              </w:rPr>
              <w:t>Artifact ID</w:t>
            </w:r>
          </w:p>
        </w:tc>
        <w:tc>
          <w:tcPr>
            <w:tcW w:w="3325" w:type="dxa"/>
            <w:tcBorders>
              <w:bottom w:val="single" w:sz="12" w:space="0" w:color="DDDDDD"/>
            </w:tcBorders>
          </w:tcPr>
          <w:p w14:paraId="5BCE2B97" w14:textId="77777777" w:rsidR="00A720EB" w:rsidRDefault="0030286B">
            <w:pPr>
              <w:pStyle w:val="TableParagraph"/>
              <w:spacing w:before="71"/>
              <w:rPr>
                <w:rFonts w:ascii="Palatino Linotype"/>
                <w:b/>
                <w:sz w:val="21"/>
              </w:rPr>
            </w:pPr>
            <w:r>
              <w:rPr>
                <w:rFonts w:ascii="Palatino Linotype"/>
                <w:b/>
                <w:color w:val="333333"/>
                <w:w w:val="110"/>
                <w:sz w:val="21"/>
              </w:rPr>
              <w:t>Version</w:t>
            </w:r>
          </w:p>
        </w:tc>
      </w:tr>
      <w:tr w:rsidR="00A720EB" w14:paraId="3753EC3E" w14:textId="77777777">
        <w:trPr>
          <w:trHeight w:val="358"/>
        </w:trPr>
        <w:tc>
          <w:tcPr>
            <w:tcW w:w="3325" w:type="dxa"/>
            <w:tcBorders>
              <w:top w:val="single" w:sz="12" w:space="0" w:color="DDDDDD"/>
            </w:tcBorders>
          </w:tcPr>
          <w:p w14:paraId="1E186D0F" w14:textId="77777777" w:rsidR="00A720EB" w:rsidRDefault="0030286B">
            <w:pPr>
              <w:pStyle w:val="TableParagraph"/>
              <w:spacing w:before="27"/>
              <w:rPr>
                <w:sz w:val="21"/>
              </w:rPr>
            </w:pPr>
            <w:proofErr w:type="gramStart"/>
            <w:r>
              <w:rPr>
                <w:color w:val="B02045"/>
                <w:sz w:val="21"/>
              </w:rPr>
              <w:t>org.thymeleaf</w:t>
            </w:r>
            <w:proofErr w:type="gramEnd"/>
            <w:r>
              <w:rPr>
                <w:color w:val="B02045"/>
                <w:sz w:val="21"/>
              </w:rPr>
              <w:t>.extras</w:t>
            </w:r>
          </w:p>
        </w:tc>
        <w:tc>
          <w:tcPr>
            <w:tcW w:w="3325" w:type="dxa"/>
            <w:tcBorders>
              <w:top w:val="single" w:sz="12" w:space="0" w:color="DDDDDD"/>
            </w:tcBorders>
          </w:tcPr>
          <w:p w14:paraId="2A1C9345" w14:textId="77777777" w:rsidR="00A720EB" w:rsidRDefault="0030286B">
            <w:pPr>
              <w:pStyle w:val="TableParagraph"/>
              <w:spacing w:before="27"/>
              <w:rPr>
                <w:sz w:val="21"/>
              </w:rPr>
            </w:pPr>
            <w:r>
              <w:rPr>
                <w:color w:val="B02045"/>
                <w:sz w:val="21"/>
              </w:rPr>
              <w:t>thymeleaf-extras-java8time</w:t>
            </w:r>
          </w:p>
        </w:tc>
        <w:tc>
          <w:tcPr>
            <w:tcW w:w="3325" w:type="dxa"/>
            <w:tcBorders>
              <w:top w:val="single" w:sz="12" w:space="0" w:color="DDDDDD"/>
            </w:tcBorders>
          </w:tcPr>
          <w:p w14:paraId="254A8819" w14:textId="77777777" w:rsidR="00A720EB" w:rsidRDefault="0030286B">
            <w:pPr>
              <w:pStyle w:val="TableParagraph"/>
              <w:spacing w:before="27"/>
              <w:rPr>
                <w:sz w:val="21"/>
              </w:rPr>
            </w:pPr>
            <w:r>
              <w:rPr>
                <w:color w:val="B02045"/>
                <w:sz w:val="21"/>
              </w:rPr>
              <w:t>3.0.</w:t>
            </w:r>
            <w:proofErr w:type="gramStart"/>
            <w:r>
              <w:rPr>
                <w:color w:val="B02045"/>
                <w:sz w:val="21"/>
              </w:rPr>
              <w:t>4.RELEASE</w:t>
            </w:r>
            <w:proofErr w:type="gramEnd"/>
          </w:p>
        </w:tc>
      </w:tr>
      <w:tr w:rsidR="00A720EB" w14:paraId="265FD187" w14:textId="77777777">
        <w:trPr>
          <w:trHeight w:val="627"/>
        </w:trPr>
        <w:tc>
          <w:tcPr>
            <w:tcW w:w="3325" w:type="dxa"/>
          </w:tcPr>
          <w:p w14:paraId="299AD31A" w14:textId="77777777" w:rsidR="00A720EB" w:rsidRDefault="0030286B">
            <w:pPr>
              <w:pStyle w:val="TableParagraph"/>
              <w:spacing w:before="37"/>
              <w:rPr>
                <w:sz w:val="21"/>
              </w:rPr>
            </w:pPr>
            <w:proofErr w:type="gramStart"/>
            <w:r>
              <w:rPr>
                <w:color w:val="B02045"/>
                <w:sz w:val="21"/>
              </w:rPr>
              <w:t>org.thymeleaf</w:t>
            </w:r>
            <w:proofErr w:type="gramEnd"/>
            <w:r>
              <w:rPr>
                <w:color w:val="B02045"/>
                <w:sz w:val="21"/>
              </w:rPr>
              <w:t>.extras</w:t>
            </w:r>
          </w:p>
        </w:tc>
        <w:tc>
          <w:tcPr>
            <w:tcW w:w="3325" w:type="dxa"/>
          </w:tcPr>
          <w:p w14:paraId="33A15859" w14:textId="77777777" w:rsidR="00A720EB" w:rsidRDefault="0030286B">
            <w:pPr>
              <w:pStyle w:val="TableParagraph"/>
              <w:spacing w:before="46" w:line="230" w:lineRule="auto"/>
              <w:ind w:right="1450"/>
              <w:rPr>
                <w:sz w:val="21"/>
              </w:rPr>
            </w:pPr>
            <w:r>
              <w:rPr>
                <w:color w:val="B02045"/>
                <w:sz w:val="21"/>
              </w:rPr>
              <w:t>thymeleaf-extras- springsecurity5</w:t>
            </w:r>
          </w:p>
        </w:tc>
        <w:tc>
          <w:tcPr>
            <w:tcW w:w="3325" w:type="dxa"/>
          </w:tcPr>
          <w:p w14:paraId="4FC7283F" w14:textId="77777777" w:rsidR="00A720EB" w:rsidRDefault="0030286B">
            <w:pPr>
              <w:pStyle w:val="TableParagraph"/>
              <w:spacing w:before="37"/>
              <w:rPr>
                <w:sz w:val="21"/>
              </w:rPr>
            </w:pPr>
            <w:r>
              <w:rPr>
                <w:color w:val="B02045"/>
                <w:sz w:val="21"/>
              </w:rPr>
              <w:t>3.0.</w:t>
            </w:r>
            <w:proofErr w:type="gramStart"/>
            <w:r>
              <w:rPr>
                <w:color w:val="B02045"/>
                <w:sz w:val="21"/>
              </w:rPr>
              <w:t>4.RELEASE</w:t>
            </w:r>
            <w:proofErr w:type="gramEnd"/>
          </w:p>
        </w:tc>
      </w:tr>
      <w:tr w:rsidR="00A720EB" w14:paraId="3C8AB8A5" w14:textId="77777777">
        <w:trPr>
          <w:trHeight w:val="368"/>
        </w:trPr>
        <w:tc>
          <w:tcPr>
            <w:tcW w:w="3325" w:type="dxa"/>
          </w:tcPr>
          <w:p w14:paraId="44F5FD50" w14:textId="77777777" w:rsidR="00A720EB" w:rsidRDefault="0030286B">
            <w:pPr>
              <w:pStyle w:val="TableParagraph"/>
              <w:rPr>
                <w:sz w:val="21"/>
              </w:rPr>
            </w:pPr>
            <w:proofErr w:type="gramStart"/>
            <w:r>
              <w:rPr>
                <w:color w:val="B02045"/>
                <w:sz w:val="21"/>
              </w:rPr>
              <w:t>org.webjars</w:t>
            </w:r>
            <w:proofErr w:type="gramEnd"/>
          </w:p>
        </w:tc>
        <w:tc>
          <w:tcPr>
            <w:tcW w:w="3325" w:type="dxa"/>
          </w:tcPr>
          <w:p w14:paraId="2C03B4AA" w14:textId="77777777" w:rsidR="00A720EB" w:rsidRDefault="0030286B">
            <w:pPr>
              <w:pStyle w:val="TableParagraph"/>
              <w:rPr>
                <w:sz w:val="21"/>
              </w:rPr>
            </w:pPr>
            <w:r>
              <w:rPr>
                <w:color w:val="B02045"/>
                <w:sz w:val="21"/>
              </w:rPr>
              <w:t>hal-browser</w:t>
            </w:r>
          </w:p>
        </w:tc>
        <w:tc>
          <w:tcPr>
            <w:tcW w:w="3325" w:type="dxa"/>
          </w:tcPr>
          <w:p w14:paraId="2536A5FE" w14:textId="77777777" w:rsidR="00A720EB" w:rsidRDefault="0030286B">
            <w:pPr>
              <w:pStyle w:val="TableParagraph"/>
              <w:rPr>
                <w:sz w:val="21"/>
              </w:rPr>
            </w:pPr>
            <w:r>
              <w:rPr>
                <w:color w:val="B02045"/>
                <w:sz w:val="21"/>
              </w:rPr>
              <w:t>3325375</w:t>
            </w:r>
          </w:p>
        </w:tc>
      </w:tr>
      <w:tr w:rsidR="00A720EB" w14:paraId="2CF6DEA3" w14:textId="77777777">
        <w:trPr>
          <w:trHeight w:val="368"/>
        </w:trPr>
        <w:tc>
          <w:tcPr>
            <w:tcW w:w="3325" w:type="dxa"/>
          </w:tcPr>
          <w:p w14:paraId="30DA74B3" w14:textId="77777777" w:rsidR="00A720EB" w:rsidRDefault="0030286B">
            <w:pPr>
              <w:pStyle w:val="TableParagraph"/>
              <w:rPr>
                <w:sz w:val="21"/>
              </w:rPr>
            </w:pPr>
            <w:proofErr w:type="gramStart"/>
            <w:r>
              <w:rPr>
                <w:color w:val="B02045"/>
                <w:sz w:val="21"/>
              </w:rPr>
              <w:t>org.webjars</w:t>
            </w:r>
            <w:proofErr w:type="gramEnd"/>
          </w:p>
        </w:tc>
        <w:tc>
          <w:tcPr>
            <w:tcW w:w="3325" w:type="dxa"/>
          </w:tcPr>
          <w:p w14:paraId="47BBB9F0" w14:textId="77777777" w:rsidR="00A720EB" w:rsidRDefault="0030286B">
            <w:pPr>
              <w:pStyle w:val="TableParagraph"/>
              <w:rPr>
                <w:sz w:val="21"/>
              </w:rPr>
            </w:pPr>
            <w:r>
              <w:rPr>
                <w:color w:val="B02045"/>
                <w:sz w:val="21"/>
              </w:rPr>
              <w:t>webjars-locator-core</w:t>
            </w:r>
          </w:p>
        </w:tc>
        <w:tc>
          <w:tcPr>
            <w:tcW w:w="3325" w:type="dxa"/>
          </w:tcPr>
          <w:p w14:paraId="07D90DE6" w14:textId="77777777" w:rsidR="00A720EB" w:rsidRDefault="0030286B">
            <w:pPr>
              <w:pStyle w:val="TableParagraph"/>
              <w:rPr>
                <w:sz w:val="21"/>
              </w:rPr>
            </w:pPr>
            <w:r>
              <w:rPr>
                <w:color w:val="B02045"/>
                <w:sz w:val="21"/>
              </w:rPr>
              <w:t>0.45</w:t>
            </w:r>
          </w:p>
        </w:tc>
      </w:tr>
      <w:tr w:rsidR="00A720EB" w14:paraId="13671EAA" w14:textId="77777777">
        <w:trPr>
          <w:trHeight w:val="368"/>
        </w:trPr>
        <w:tc>
          <w:tcPr>
            <w:tcW w:w="3325" w:type="dxa"/>
          </w:tcPr>
          <w:p w14:paraId="15C7E1E4" w14:textId="77777777" w:rsidR="00A720EB" w:rsidRDefault="0030286B">
            <w:pPr>
              <w:pStyle w:val="TableParagraph"/>
              <w:rPr>
                <w:sz w:val="21"/>
              </w:rPr>
            </w:pPr>
            <w:proofErr w:type="gramStart"/>
            <w:r>
              <w:rPr>
                <w:color w:val="B02045"/>
                <w:sz w:val="21"/>
              </w:rPr>
              <w:t>org.xerial</w:t>
            </w:r>
            <w:proofErr w:type="gramEnd"/>
          </w:p>
        </w:tc>
        <w:tc>
          <w:tcPr>
            <w:tcW w:w="3325" w:type="dxa"/>
          </w:tcPr>
          <w:p w14:paraId="3031B707" w14:textId="77777777" w:rsidR="00A720EB" w:rsidRDefault="0030286B">
            <w:pPr>
              <w:pStyle w:val="TableParagraph"/>
              <w:rPr>
                <w:sz w:val="21"/>
              </w:rPr>
            </w:pPr>
            <w:r>
              <w:rPr>
                <w:color w:val="B02045"/>
                <w:sz w:val="21"/>
              </w:rPr>
              <w:t>sqlite-jdbc</w:t>
            </w:r>
          </w:p>
        </w:tc>
        <w:tc>
          <w:tcPr>
            <w:tcW w:w="3325" w:type="dxa"/>
          </w:tcPr>
          <w:p w14:paraId="7E476127" w14:textId="77777777" w:rsidR="00A720EB" w:rsidRDefault="0030286B">
            <w:pPr>
              <w:pStyle w:val="TableParagraph"/>
              <w:rPr>
                <w:sz w:val="21"/>
              </w:rPr>
            </w:pPr>
            <w:r>
              <w:rPr>
                <w:color w:val="B02045"/>
                <w:sz w:val="21"/>
              </w:rPr>
              <w:t>3.31.1</w:t>
            </w:r>
          </w:p>
        </w:tc>
      </w:tr>
      <w:tr w:rsidR="00A720EB" w14:paraId="6DB05BF4" w14:textId="77777777">
        <w:trPr>
          <w:trHeight w:val="368"/>
        </w:trPr>
        <w:tc>
          <w:tcPr>
            <w:tcW w:w="3325" w:type="dxa"/>
          </w:tcPr>
          <w:p w14:paraId="76101F38" w14:textId="77777777" w:rsidR="00A720EB" w:rsidRDefault="0030286B">
            <w:pPr>
              <w:pStyle w:val="TableParagraph"/>
              <w:rPr>
                <w:sz w:val="21"/>
              </w:rPr>
            </w:pPr>
            <w:proofErr w:type="gramStart"/>
            <w:r>
              <w:rPr>
                <w:color w:val="B02045"/>
                <w:sz w:val="21"/>
              </w:rPr>
              <w:t>org.xmlunit</w:t>
            </w:r>
            <w:proofErr w:type="gramEnd"/>
          </w:p>
        </w:tc>
        <w:tc>
          <w:tcPr>
            <w:tcW w:w="3325" w:type="dxa"/>
          </w:tcPr>
          <w:p w14:paraId="638AA1C6" w14:textId="77777777" w:rsidR="00A720EB" w:rsidRDefault="0030286B">
            <w:pPr>
              <w:pStyle w:val="TableParagraph"/>
              <w:rPr>
                <w:sz w:val="21"/>
              </w:rPr>
            </w:pPr>
            <w:r>
              <w:rPr>
                <w:color w:val="B02045"/>
                <w:sz w:val="21"/>
              </w:rPr>
              <w:t>xmlunit-assertj</w:t>
            </w:r>
          </w:p>
        </w:tc>
        <w:tc>
          <w:tcPr>
            <w:tcW w:w="3325" w:type="dxa"/>
          </w:tcPr>
          <w:p w14:paraId="586D21A3" w14:textId="77777777" w:rsidR="00A720EB" w:rsidRDefault="0030286B">
            <w:pPr>
              <w:pStyle w:val="TableParagraph"/>
              <w:rPr>
                <w:sz w:val="21"/>
              </w:rPr>
            </w:pPr>
            <w:r>
              <w:rPr>
                <w:color w:val="B02045"/>
                <w:sz w:val="21"/>
              </w:rPr>
              <w:t>2.7.0</w:t>
            </w:r>
          </w:p>
        </w:tc>
      </w:tr>
      <w:tr w:rsidR="00A720EB" w14:paraId="221048BB" w14:textId="77777777">
        <w:trPr>
          <w:trHeight w:val="368"/>
        </w:trPr>
        <w:tc>
          <w:tcPr>
            <w:tcW w:w="3325" w:type="dxa"/>
          </w:tcPr>
          <w:p w14:paraId="21C49581" w14:textId="77777777" w:rsidR="00A720EB" w:rsidRDefault="0030286B">
            <w:pPr>
              <w:pStyle w:val="TableParagraph"/>
              <w:spacing w:before="37"/>
              <w:rPr>
                <w:sz w:val="21"/>
              </w:rPr>
            </w:pPr>
            <w:proofErr w:type="gramStart"/>
            <w:r>
              <w:rPr>
                <w:color w:val="B02045"/>
                <w:sz w:val="21"/>
              </w:rPr>
              <w:t>org.xmlunit</w:t>
            </w:r>
            <w:proofErr w:type="gramEnd"/>
          </w:p>
        </w:tc>
        <w:tc>
          <w:tcPr>
            <w:tcW w:w="3325" w:type="dxa"/>
          </w:tcPr>
          <w:p w14:paraId="0DA84511" w14:textId="77777777" w:rsidR="00A720EB" w:rsidRDefault="0030286B">
            <w:pPr>
              <w:pStyle w:val="TableParagraph"/>
              <w:spacing w:before="37"/>
              <w:rPr>
                <w:sz w:val="21"/>
              </w:rPr>
            </w:pPr>
            <w:r>
              <w:rPr>
                <w:color w:val="B02045"/>
                <w:sz w:val="21"/>
              </w:rPr>
              <w:t>xmlunit-core</w:t>
            </w:r>
          </w:p>
        </w:tc>
        <w:tc>
          <w:tcPr>
            <w:tcW w:w="3325" w:type="dxa"/>
          </w:tcPr>
          <w:p w14:paraId="0B6E506E" w14:textId="77777777" w:rsidR="00A720EB" w:rsidRDefault="0030286B">
            <w:pPr>
              <w:pStyle w:val="TableParagraph"/>
              <w:spacing w:before="37"/>
              <w:rPr>
                <w:sz w:val="21"/>
              </w:rPr>
            </w:pPr>
            <w:r>
              <w:rPr>
                <w:color w:val="B02045"/>
                <w:sz w:val="21"/>
              </w:rPr>
              <w:t>2.7.0</w:t>
            </w:r>
          </w:p>
        </w:tc>
      </w:tr>
      <w:tr w:rsidR="00A720EB" w14:paraId="55067AE4" w14:textId="77777777">
        <w:trPr>
          <w:trHeight w:val="368"/>
        </w:trPr>
        <w:tc>
          <w:tcPr>
            <w:tcW w:w="3325" w:type="dxa"/>
          </w:tcPr>
          <w:p w14:paraId="65C2ED52" w14:textId="77777777" w:rsidR="00A720EB" w:rsidRDefault="0030286B">
            <w:pPr>
              <w:pStyle w:val="TableParagraph"/>
              <w:spacing w:before="37"/>
              <w:rPr>
                <w:sz w:val="21"/>
              </w:rPr>
            </w:pPr>
            <w:proofErr w:type="gramStart"/>
            <w:r>
              <w:rPr>
                <w:color w:val="B02045"/>
                <w:sz w:val="21"/>
              </w:rPr>
              <w:t>org.xmlunit</w:t>
            </w:r>
            <w:proofErr w:type="gramEnd"/>
          </w:p>
        </w:tc>
        <w:tc>
          <w:tcPr>
            <w:tcW w:w="3325" w:type="dxa"/>
          </w:tcPr>
          <w:p w14:paraId="02175642" w14:textId="77777777" w:rsidR="00A720EB" w:rsidRDefault="0030286B">
            <w:pPr>
              <w:pStyle w:val="TableParagraph"/>
              <w:spacing w:before="37"/>
              <w:rPr>
                <w:sz w:val="21"/>
              </w:rPr>
            </w:pPr>
            <w:r>
              <w:rPr>
                <w:color w:val="B02045"/>
                <w:sz w:val="21"/>
              </w:rPr>
              <w:t>xmlunit-legacy</w:t>
            </w:r>
          </w:p>
        </w:tc>
        <w:tc>
          <w:tcPr>
            <w:tcW w:w="3325" w:type="dxa"/>
          </w:tcPr>
          <w:p w14:paraId="5454D1EE" w14:textId="77777777" w:rsidR="00A720EB" w:rsidRDefault="0030286B">
            <w:pPr>
              <w:pStyle w:val="TableParagraph"/>
              <w:spacing w:before="37"/>
              <w:rPr>
                <w:sz w:val="21"/>
              </w:rPr>
            </w:pPr>
            <w:r>
              <w:rPr>
                <w:color w:val="B02045"/>
                <w:sz w:val="21"/>
              </w:rPr>
              <w:t>2.7.0</w:t>
            </w:r>
          </w:p>
        </w:tc>
      </w:tr>
      <w:tr w:rsidR="00A720EB" w14:paraId="6F3CA70A" w14:textId="77777777">
        <w:trPr>
          <w:trHeight w:val="368"/>
        </w:trPr>
        <w:tc>
          <w:tcPr>
            <w:tcW w:w="3325" w:type="dxa"/>
          </w:tcPr>
          <w:p w14:paraId="74A56F17" w14:textId="77777777" w:rsidR="00A720EB" w:rsidRDefault="0030286B">
            <w:pPr>
              <w:pStyle w:val="TableParagraph"/>
              <w:spacing w:before="37"/>
              <w:rPr>
                <w:sz w:val="21"/>
              </w:rPr>
            </w:pPr>
            <w:proofErr w:type="gramStart"/>
            <w:r>
              <w:rPr>
                <w:color w:val="B02045"/>
                <w:sz w:val="21"/>
              </w:rPr>
              <w:t>org.xmlunit</w:t>
            </w:r>
            <w:proofErr w:type="gramEnd"/>
          </w:p>
        </w:tc>
        <w:tc>
          <w:tcPr>
            <w:tcW w:w="3325" w:type="dxa"/>
          </w:tcPr>
          <w:p w14:paraId="09A3C5A3" w14:textId="77777777" w:rsidR="00A720EB" w:rsidRDefault="0030286B">
            <w:pPr>
              <w:pStyle w:val="TableParagraph"/>
              <w:spacing w:before="37"/>
              <w:rPr>
                <w:sz w:val="21"/>
              </w:rPr>
            </w:pPr>
            <w:r>
              <w:rPr>
                <w:color w:val="B02045"/>
                <w:sz w:val="21"/>
              </w:rPr>
              <w:t>xmlunit-matchers</w:t>
            </w:r>
          </w:p>
        </w:tc>
        <w:tc>
          <w:tcPr>
            <w:tcW w:w="3325" w:type="dxa"/>
          </w:tcPr>
          <w:p w14:paraId="6AE1B07D" w14:textId="77777777" w:rsidR="00A720EB" w:rsidRDefault="0030286B">
            <w:pPr>
              <w:pStyle w:val="TableParagraph"/>
              <w:spacing w:before="37"/>
              <w:rPr>
                <w:sz w:val="21"/>
              </w:rPr>
            </w:pPr>
            <w:r>
              <w:rPr>
                <w:color w:val="B02045"/>
                <w:sz w:val="21"/>
              </w:rPr>
              <w:t>2.7.0</w:t>
            </w:r>
          </w:p>
        </w:tc>
      </w:tr>
      <w:tr w:rsidR="00A720EB" w14:paraId="34944DA9" w14:textId="77777777">
        <w:trPr>
          <w:trHeight w:val="368"/>
        </w:trPr>
        <w:tc>
          <w:tcPr>
            <w:tcW w:w="3325" w:type="dxa"/>
          </w:tcPr>
          <w:p w14:paraId="04E11FC0" w14:textId="77777777" w:rsidR="00A720EB" w:rsidRDefault="0030286B">
            <w:pPr>
              <w:pStyle w:val="TableParagraph"/>
              <w:spacing w:before="37"/>
              <w:rPr>
                <w:sz w:val="21"/>
              </w:rPr>
            </w:pPr>
            <w:proofErr w:type="gramStart"/>
            <w:r>
              <w:rPr>
                <w:color w:val="B02045"/>
                <w:sz w:val="21"/>
              </w:rPr>
              <w:t>org.xmlunit</w:t>
            </w:r>
            <w:proofErr w:type="gramEnd"/>
          </w:p>
        </w:tc>
        <w:tc>
          <w:tcPr>
            <w:tcW w:w="3325" w:type="dxa"/>
          </w:tcPr>
          <w:p w14:paraId="4B8BB8A1" w14:textId="77777777" w:rsidR="00A720EB" w:rsidRDefault="0030286B">
            <w:pPr>
              <w:pStyle w:val="TableParagraph"/>
              <w:spacing w:before="37"/>
              <w:rPr>
                <w:sz w:val="21"/>
              </w:rPr>
            </w:pPr>
            <w:r>
              <w:rPr>
                <w:color w:val="B02045"/>
                <w:sz w:val="21"/>
              </w:rPr>
              <w:t>xmlunit-placeholders</w:t>
            </w:r>
          </w:p>
        </w:tc>
        <w:tc>
          <w:tcPr>
            <w:tcW w:w="3325" w:type="dxa"/>
          </w:tcPr>
          <w:p w14:paraId="4A36D4F3" w14:textId="77777777" w:rsidR="00A720EB" w:rsidRDefault="0030286B">
            <w:pPr>
              <w:pStyle w:val="TableParagraph"/>
              <w:spacing w:before="37"/>
              <w:rPr>
                <w:sz w:val="21"/>
              </w:rPr>
            </w:pPr>
            <w:r>
              <w:rPr>
                <w:color w:val="B02045"/>
                <w:sz w:val="21"/>
              </w:rPr>
              <w:t>2.7.0</w:t>
            </w:r>
          </w:p>
        </w:tc>
      </w:tr>
      <w:tr w:rsidR="00A720EB" w14:paraId="03A58280" w14:textId="77777777">
        <w:trPr>
          <w:trHeight w:val="368"/>
        </w:trPr>
        <w:tc>
          <w:tcPr>
            <w:tcW w:w="3325" w:type="dxa"/>
          </w:tcPr>
          <w:p w14:paraId="38742F00" w14:textId="77777777" w:rsidR="00A720EB" w:rsidRDefault="0030286B">
            <w:pPr>
              <w:pStyle w:val="TableParagraph"/>
              <w:rPr>
                <w:sz w:val="21"/>
              </w:rPr>
            </w:pPr>
            <w:proofErr w:type="gramStart"/>
            <w:r>
              <w:rPr>
                <w:color w:val="B02045"/>
                <w:sz w:val="21"/>
              </w:rPr>
              <w:t>org.yaml</w:t>
            </w:r>
            <w:proofErr w:type="gramEnd"/>
          </w:p>
        </w:tc>
        <w:tc>
          <w:tcPr>
            <w:tcW w:w="3325" w:type="dxa"/>
          </w:tcPr>
          <w:p w14:paraId="5C3BEE56" w14:textId="77777777" w:rsidR="00A720EB" w:rsidRDefault="0030286B">
            <w:pPr>
              <w:pStyle w:val="TableParagraph"/>
              <w:rPr>
                <w:sz w:val="21"/>
              </w:rPr>
            </w:pPr>
            <w:r>
              <w:rPr>
                <w:color w:val="B02045"/>
                <w:sz w:val="21"/>
              </w:rPr>
              <w:t>snakeyaml</w:t>
            </w:r>
          </w:p>
        </w:tc>
        <w:tc>
          <w:tcPr>
            <w:tcW w:w="3325" w:type="dxa"/>
          </w:tcPr>
          <w:p w14:paraId="02334332" w14:textId="77777777" w:rsidR="00A720EB" w:rsidRDefault="0030286B">
            <w:pPr>
              <w:pStyle w:val="TableParagraph"/>
              <w:rPr>
                <w:sz w:val="21"/>
              </w:rPr>
            </w:pPr>
            <w:r>
              <w:rPr>
                <w:color w:val="B02045"/>
                <w:sz w:val="21"/>
              </w:rPr>
              <w:t>1.26</w:t>
            </w:r>
          </w:p>
        </w:tc>
      </w:tr>
      <w:tr w:rsidR="00A720EB" w14:paraId="0C1AB752" w14:textId="77777777">
        <w:trPr>
          <w:trHeight w:val="368"/>
        </w:trPr>
        <w:tc>
          <w:tcPr>
            <w:tcW w:w="3325" w:type="dxa"/>
          </w:tcPr>
          <w:p w14:paraId="7F8C17DA" w14:textId="77777777" w:rsidR="00A720EB" w:rsidRDefault="0030286B">
            <w:pPr>
              <w:pStyle w:val="TableParagraph"/>
              <w:rPr>
                <w:sz w:val="21"/>
              </w:rPr>
            </w:pPr>
            <w:proofErr w:type="gramStart"/>
            <w:r>
              <w:rPr>
                <w:color w:val="B02045"/>
                <w:sz w:val="21"/>
              </w:rPr>
              <w:t>redis.clients</w:t>
            </w:r>
            <w:proofErr w:type="gramEnd"/>
          </w:p>
        </w:tc>
        <w:tc>
          <w:tcPr>
            <w:tcW w:w="3325" w:type="dxa"/>
          </w:tcPr>
          <w:p w14:paraId="3C7C1599" w14:textId="77777777" w:rsidR="00A720EB" w:rsidRDefault="0030286B">
            <w:pPr>
              <w:pStyle w:val="TableParagraph"/>
              <w:rPr>
                <w:sz w:val="21"/>
              </w:rPr>
            </w:pPr>
            <w:r>
              <w:rPr>
                <w:color w:val="B02045"/>
                <w:sz w:val="21"/>
              </w:rPr>
              <w:t>jedis</w:t>
            </w:r>
          </w:p>
        </w:tc>
        <w:tc>
          <w:tcPr>
            <w:tcW w:w="3325" w:type="dxa"/>
          </w:tcPr>
          <w:p w14:paraId="7F55729C" w14:textId="77777777" w:rsidR="00A720EB" w:rsidRDefault="0030286B">
            <w:pPr>
              <w:pStyle w:val="TableParagraph"/>
              <w:rPr>
                <w:sz w:val="21"/>
              </w:rPr>
            </w:pPr>
            <w:r>
              <w:rPr>
                <w:color w:val="B02045"/>
                <w:sz w:val="21"/>
              </w:rPr>
              <w:t>3.3.0</w:t>
            </w:r>
          </w:p>
        </w:tc>
      </w:tr>
      <w:tr w:rsidR="00A720EB" w14:paraId="5A76DC7C" w14:textId="77777777">
        <w:trPr>
          <w:trHeight w:val="368"/>
        </w:trPr>
        <w:tc>
          <w:tcPr>
            <w:tcW w:w="3325" w:type="dxa"/>
          </w:tcPr>
          <w:p w14:paraId="77F786F3" w14:textId="77777777" w:rsidR="00A720EB" w:rsidRDefault="0030286B">
            <w:pPr>
              <w:pStyle w:val="TableParagraph"/>
              <w:rPr>
                <w:sz w:val="21"/>
              </w:rPr>
            </w:pPr>
            <w:r>
              <w:rPr>
                <w:color w:val="B02045"/>
                <w:sz w:val="21"/>
              </w:rPr>
              <w:t>wsdl4j</w:t>
            </w:r>
          </w:p>
        </w:tc>
        <w:tc>
          <w:tcPr>
            <w:tcW w:w="3325" w:type="dxa"/>
          </w:tcPr>
          <w:p w14:paraId="6E010106" w14:textId="77777777" w:rsidR="00A720EB" w:rsidRDefault="0030286B">
            <w:pPr>
              <w:pStyle w:val="TableParagraph"/>
              <w:rPr>
                <w:sz w:val="21"/>
              </w:rPr>
            </w:pPr>
            <w:r>
              <w:rPr>
                <w:color w:val="B02045"/>
                <w:sz w:val="21"/>
              </w:rPr>
              <w:t>wsdl4j</w:t>
            </w:r>
          </w:p>
        </w:tc>
        <w:tc>
          <w:tcPr>
            <w:tcW w:w="3325" w:type="dxa"/>
          </w:tcPr>
          <w:p w14:paraId="379140FC" w14:textId="77777777" w:rsidR="00A720EB" w:rsidRDefault="0030286B">
            <w:pPr>
              <w:pStyle w:val="TableParagraph"/>
              <w:rPr>
                <w:sz w:val="21"/>
              </w:rPr>
            </w:pPr>
            <w:r>
              <w:rPr>
                <w:color w:val="B02045"/>
                <w:sz w:val="21"/>
              </w:rPr>
              <w:t>1.6.3</w:t>
            </w:r>
          </w:p>
        </w:tc>
      </w:tr>
    </w:tbl>
    <w:p w14:paraId="1CF57231" w14:textId="77777777" w:rsidR="00A720EB" w:rsidRDefault="00A720EB">
      <w:pPr>
        <w:pStyle w:val="a3"/>
        <w:spacing w:before="5"/>
        <w:rPr>
          <w:sz w:val="19"/>
        </w:rPr>
      </w:pPr>
    </w:p>
    <w:p w14:paraId="0F2A7FEB" w14:textId="77777777" w:rsidR="00A720EB" w:rsidRDefault="0030286B">
      <w:pPr>
        <w:pStyle w:val="3"/>
        <w:numPr>
          <w:ilvl w:val="2"/>
          <w:numId w:val="2"/>
        </w:numPr>
        <w:tabs>
          <w:tab w:val="left" w:pos="1019"/>
        </w:tabs>
        <w:spacing w:before="105"/>
        <w:ind w:hanging="895"/>
      </w:pPr>
      <w:bookmarkStart w:id="1107" w:name="10.F.2._Version_Properties"/>
      <w:bookmarkStart w:id="1108" w:name="_Toc54424063"/>
      <w:bookmarkEnd w:id="1107"/>
      <w:r>
        <w:rPr>
          <w:color w:val="333333"/>
          <w:spacing w:val="-3"/>
          <w:w w:val="110"/>
        </w:rPr>
        <w:t>Version</w:t>
      </w:r>
      <w:r>
        <w:rPr>
          <w:color w:val="333333"/>
          <w:spacing w:val="-6"/>
          <w:w w:val="110"/>
        </w:rPr>
        <w:t xml:space="preserve"> </w:t>
      </w:r>
      <w:r>
        <w:rPr>
          <w:color w:val="333333"/>
          <w:w w:val="110"/>
        </w:rPr>
        <w:t>Properties</w:t>
      </w:r>
      <w:bookmarkEnd w:id="1108"/>
    </w:p>
    <w:p w14:paraId="6C7A2419" w14:textId="77777777" w:rsidR="00A720EB" w:rsidRDefault="0030286B">
      <w:pPr>
        <w:pStyle w:val="a3"/>
        <w:spacing w:before="254" w:line="297" w:lineRule="auto"/>
        <w:ind w:left="124"/>
      </w:pPr>
      <w:r>
        <w:rPr>
          <w:color w:val="333333"/>
          <w:w w:val="110"/>
        </w:rPr>
        <w:t xml:space="preserve">The following table provides all properties that can be used to override the versions managed </w:t>
      </w:r>
      <w:r>
        <w:rPr>
          <w:color w:val="333333"/>
          <w:spacing w:val="-3"/>
          <w:w w:val="110"/>
        </w:rPr>
        <w:t xml:space="preserve">by </w:t>
      </w:r>
      <w:r>
        <w:rPr>
          <w:color w:val="333333"/>
          <w:w w:val="110"/>
        </w:rPr>
        <w:t xml:space="preserve">Spring Boot. Browse the </w:t>
      </w:r>
      <w:hyperlink r:id="rId1136">
        <w:r>
          <w:rPr>
            <w:rFonts w:ascii="MS Gothic"/>
            <w:color w:val="B02045"/>
            <w:w w:val="110"/>
          </w:rPr>
          <w:t>spring-boot-dependencies</w:t>
        </w:r>
        <w:r>
          <w:rPr>
            <w:rFonts w:ascii="MS Gothic"/>
            <w:color w:val="B02045"/>
            <w:spacing w:val="-77"/>
            <w:w w:val="110"/>
          </w:rPr>
          <w:t xml:space="preserve"> </w:t>
        </w:r>
      </w:hyperlink>
      <w:hyperlink r:id="rId1137">
        <w:r>
          <w:rPr>
            <w:color w:val="418BCA"/>
            <w:w w:val="110"/>
          </w:rPr>
          <w:t xml:space="preserve">build.gradle </w:t>
        </w:r>
      </w:hyperlink>
      <w:r>
        <w:rPr>
          <w:color w:val="333333"/>
          <w:w w:val="110"/>
        </w:rPr>
        <w:t>for a complete list of dependencies.</w:t>
      </w:r>
    </w:p>
    <w:p w14:paraId="24C7C919" w14:textId="77777777" w:rsidR="00A720EB" w:rsidRDefault="00A720EB">
      <w:pPr>
        <w:pStyle w:val="a3"/>
        <w:spacing w:before="11"/>
        <w:rPr>
          <w:sz w:val="15"/>
        </w:r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6A0C3257" w14:textId="77777777">
        <w:trPr>
          <w:trHeight w:val="415"/>
        </w:trPr>
        <w:tc>
          <w:tcPr>
            <w:tcW w:w="4988" w:type="dxa"/>
            <w:tcBorders>
              <w:bottom w:val="single" w:sz="12" w:space="0" w:color="DDDDDD"/>
            </w:tcBorders>
          </w:tcPr>
          <w:p w14:paraId="1F7A7ADB" w14:textId="77777777" w:rsidR="00A720EB" w:rsidRDefault="0030286B">
            <w:pPr>
              <w:pStyle w:val="TableParagraph"/>
              <w:spacing w:before="74"/>
              <w:rPr>
                <w:rFonts w:ascii="Palatino Linotype"/>
                <w:b/>
                <w:sz w:val="21"/>
              </w:rPr>
            </w:pPr>
            <w:r>
              <w:rPr>
                <w:rFonts w:ascii="Palatino Linotype"/>
                <w:b/>
                <w:color w:val="333333"/>
                <w:w w:val="115"/>
                <w:sz w:val="21"/>
              </w:rPr>
              <w:t>Library</w:t>
            </w:r>
          </w:p>
        </w:tc>
        <w:tc>
          <w:tcPr>
            <w:tcW w:w="4988" w:type="dxa"/>
            <w:tcBorders>
              <w:bottom w:val="single" w:sz="12" w:space="0" w:color="DDDDDD"/>
            </w:tcBorders>
          </w:tcPr>
          <w:p w14:paraId="38C7F4EE" w14:textId="77777777" w:rsidR="00A720EB" w:rsidRDefault="0030286B">
            <w:pPr>
              <w:pStyle w:val="TableParagraph"/>
              <w:spacing w:before="74"/>
              <w:rPr>
                <w:rFonts w:ascii="Palatino Linotype"/>
                <w:b/>
                <w:sz w:val="21"/>
              </w:rPr>
            </w:pPr>
            <w:r>
              <w:rPr>
                <w:rFonts w:ascii="Palatino Linotype"/>
                <w:b/>
                <w:color w:val="333333"/>
                <w:w w:val="110"/>
                <w:sz w:val="21"/>
              </w:rPr>
              <w:t>Version Property</w:t>
            </w:r>
          </w:p>
        </w:tc>
      </w:tr>
      <w:tr w:rsidR="00A720EB" w14:paraId="754F2859" w14:textId="77777777">
        <w:trPr>
          <w:trHeight w:val="358"/>
        </w:trPr>
        <w:tc>
          <w:tcPr>
            <w:tcW w:w="4988" w:type="dxa"/>
            <w:tcBorders>
              <w:top w:val="single" w:sz="12" w:space="0" w:color="DDDDDD"/>
            </w:tcBorders>
          </w:tcPr>
          <w:p w14:paraId="70F41250" w14:textId="77777777" w:rsidR="00A720EB" w:rsidRDefault="0030286B">
            <w:pPr>
              <w:pStyle w:val="TableParagraph"/>
              <w:spacing w:before="30"/>
              <w:rPr>
                <w:sz w:val="21"/>
              </w:rPr>
            </w:pPr>
            <w:r>
              <w:rPr>
                <w:color w:val="B02045"/>
                <w:sz w:val="21"/>
              </w:rPr>
              <w:t>ActiveMQ</w:t>
            </w:r>
          </w:p>
        </w:tc>
        <w:tc>
          <w:tcPr>
            <w:tcW w:w="4988" w:type="dxa"/>
            <w:tcBorders>
              <w:top w:val="single" w:sz="12" w:space="0" w:color="DDDDDD"/>
            </w:tcBorders>
          </w:tcPr>
          <w:p w14:paraId="5E6F77AE" w14:textId="77777777" w:rsidR="00A720EB" w:rsidRDefault="0030286B">
            <w:pPr>
              <w:pStyle w:val="TableParagraph"/>
              <w:spacing w:before="30"/>
              <w:rPr>
                <w:sz w:val="21"/>
              </w:rPr>
            </w:pPr>
            <w:proofErr w:type="gramStart"/>
            <w:r>
              <w:rPr>
                <w:color w:val="B02045"/>
                <w:sz w:val="21"/>
              </w:rPr>
              <w:t>activemq.version</w:t>
            </w:r>
            <w:proofErr w:type="gramEnd"/>
          </w:p>
        </w:tc>
      </w:tr>
      <w:tr w:rsidR="00A720EB" w14:paraId="23F12C7C" w14:textId="77777777">
        <w:trPr>
          <w:trHeight w:val="368"/>
        </w:trPr>
        <w:tc>
          <w:tcPr>
            <w:tcW w:w="4988" w:type="dxa"/>
          </w:tcPr>
          <w:p w14:paraId="78CBCBE0" w14:textId="77777777" w:rsidR="00A720EB" w:rsidRDefault="0030286B">
            <w:pPr>
              <w:pStyle w:val="TableParagraph"/>
              <w:spacing w:before="40"/>
              <w:rPr>
                <w:sz w:val="21"/>
              </w:rPr>
            </w:pPr>
            <w:r>
              <w:rPr>
                <w:color w:val="B02045"/>
                <w:sz w:val="21"/>
              </w:rPr>
              <w:t>ANTLR2</w:t>
            </w:r>
          </w:p>
        </w:tc>
        <w:tc>
          <w:tcPr>
            <w:tcW w:w="4988" w:type="dxa"/>
          </w:tcPr>
          <w:p w14:paraId="3D593FCB" w14:textId="77777777" w:rsidR="00A720EB" w:rsidRDefault="0030286B">
            <w:pPr>
              <w:pStyle w:val="TableParagraph"/>
              <w:spacing w:before="40"/>
              <w:rPr>
                <w:sz w:val="21"/>
              </w:rPr>
            </w:pPr>
            <w:r>
              <w:rPr>
                <w:color w:val="B02045"/>
                <w:sz w:val="21"/>
              </w:rPr>
              <w:t>antlr2.version</w:t>
            </w:r>
          </w:p>
        </w:tc>
      </w:tr>
      <w:tr w:rsidR="00A720EB" w14:paraId="18BA8127" w14:textId="77777777">
        <w:trPr>
          <w:trHeight w:val="368"/>
        </w:trPr>
        <w:tc>
          <w:tcPr>
            <w:tcW w:w="4988" w:type="dxa"/>
          </w:tcPr>
          <w:p w14:paraId="76444D70" w14:textId="77777777" w:rsidR="00A720EB" w:rsidRDefault="0030286B">
            <w:pPr>
              <w:pStyle w:val="TableParagraph"/>
              <w:spacing w:before="40"/>
              <w:rPr>
                <w:sz w:val="21"/>
              </w:rPr>
            </w:pPr>
            <w:r>
              <w:rPr>
                <w:color w:val="B02045"/>
                <w:sz w:val="21"/>
              </w:rPr>
              <w:t>AppEngine SDK</w:t>
            </w:r>
          </w:p>
        </w:tc>
        <w:tc>
          <w:tcPr>
            <w:tcW w:w="4988" w:type="dxa"/>
          </w:tcPr>
          <w:p w14:paraId="355BAAF6" w14:textId="77777777" w:rsidR="00A720EB" w:rsidRDefault="0030286B">
            <w:pPr>
              <w:pStyle w:val="TableParagraph"/>
              <w:spacing w:before="40"/>
              <w:rPr>
                <w:sz w:val="21"/>
              </w:rPr>
            </w:pPr>
            <w:r>
              <w:rPr>
                <w:color w:val="B02045"/>
                <w:sz w:val="21"/>
              </w:rPr>
              <w:t>appengine-</w:t>
            </w:r>
            <w:proofErr w:type="gramStart"/>
            <w:r>
              <w:rPr>
                <w:color w:val="B02045"/>
                <w:sz w:val="21"/>
              </w:rPr>
              <w:t>sdk.version</w:t>
            </w:r>
            <w:proofErr w:type="gramEnd"/>
          </w:p>
        </w:tc>
      </w:tr>
      <w:tr w:rsidR="00A720EB" w14:paraId="40CB3721" w14:textId="77777777">
        <w:trPr>
          <w:trHeight w:val="368"/>
        </w:trPr>
        <w:tc>
          <w:tcPr>
            <w:tcW w:w="4988" w:type="dxa"/>
          </w:tcPr>
          <w:p w14:paraId="45F96A38" w14:textId="77777777" w:rsidR="00A720EB" w:rsidRDefault="0030286B">
            <w:pPr>
              <w:pStyle w:val="TableParagraph"/>
              <w:spacing w:before="40"/>
              <w:rPr>
                <w:sz w:val="21"/>
              </w:rPr>
            </w:pPr>
            <w:r>
              <w:rPr>
                <w:color w:val="B02045"/>
                <w:sz w:val="21"/>
              </w:rPr>
              <w:t>Artemis</w:t>
            </w:r>
          </w:p>
        </w:tc>
        <w:tc>
          <w:tcPr>
            <w:tcW w:w="4988" w:type="dxa"/>
          </w:tcPr>
          <w:p w14:paraId="0C6CB0E7" w14:textId="77777777" w:rsidR="00A720EB" w:rsidRDefault="0030286B">
            <w:pPr>
              <w:pStyle w:val="TableParagraph"/>
              <w:spacing w:before="40"/>
              <w:rPr>
                <w:sz w:val="21"/>
              </w:rPr>
            </w:pPr>
            <w:proofErr w:type="gramStart"/>
            <w:r>
              <w:rPr>
                <w:color w:val="B02045"/>
                <w:sz w:val="21"/>
              </w:rPr>
              <w:t>artemis.version</w:t>
            </w:r>
            <w:proofErr w:type="gramEnd"/>
          </w:p>
        </w:tc>
      </w:tr>
      <w:tr w:rsidR="00A720EB" w14:paraId="43A47ECB" w14:textId="77777777">
        <w:trPr>
          <w:trHeight w:val="368"/>
        </w:trPr>
        <w:tc>
          <w:tcPr>
            <w:tcW w:w="4988" w:type="dxa"/>
          </w:tcPr>
          <w:p w14:paraId="4F0EC315" w14:textId="77777777" w:rsidR="00A720EB" w:rsidRDefault="0030286B">
            <w:pPr>
              <w:pStyle w:val="TableParagraph"/>
              <w:spacing w:before="40"/>
              <w:rPr>
                <w:sz w:val="21"/>
              </w:rPr>
            </w:pPr>
            <w:r>
              <w:rPr>
                <w:color w:val="B02045"/>
                <w:sz w:val="21"/>
              </w:rPr>
              <w:t>AspectJ</w:t>
            </w:r>
          </w:p>
        </w:tc>
        <w:tc>
          <w:tcPr>
            <w:tcW w:w="4988" w:type="dxa"/>
          </w:tcPr>
          <w:p w14:paraId="045ECB28" w14:textId="77777777" w:rsidR="00A720EB" w:rsidRDefault="0030286B">
            <w:pPr>
              <w:pStyle w:val="TableParagraph"/>
              <w:spacing w:before="40"/>
              <w:rPr>
                <w:sz w:val="21"/>
              </w:rPr>
            </w:pPr>
            <w:proofErr w:type="gramStart"/>
            <w:r>
              <w:rPr>
                <w:color w:val="B02045"/>
                <w:sz w:val="21"/>
              </w:rPr>
              <w:t>aspectj.version</w:t>
            </w:r>
            <w:proofErr w:type="gramEnd"/>
          </w:p>
        </w:tc>
      </w:tr>
      <w:tr w:rsidR="00A720EB" w14:paraId="3C2CA5F3" w14:textId="77777777">
        <w:trPr>
          <w:trHeight w:val="368"/>
        </w:trPr>
        <w:tc>
          <w:tcPr>
            <w:tcW w:w="4988" w:type="dxa"/>
          </w:tcPr>
          <w:p w14:paraId="18A1139B" w14:textId="77777777" w:rsidR="00A720EB" w:rsidRDefault="0030286B">
            <w:pPr>
              <w:pStyle w:val="TableParagraph"/>
              <w:spacing w:before="40"/>
              <w:rPr>
                <w:sz w:val="21"/>
              </w:rPr>
            </w:pPr>
            <w:r>
              <w:rPr>
                <w:color w:val="B02045"/>
                <w:sz w:val="21"/>
              </w:rPr>
              <w:t>AssertJ</w:t>
            </w:r>
          </w:p>
        </w:tc>
        <w:tc>
          <w:tcPr>
            <w:tcW w:w="4988" w:type="dxa"/>
          </w:tcPr>
          <w:p w14:paraId="7679DD53" w14:textId="77777777" w:rsidR="00A720EB" w:rsidRDefault="0030286B">
            <w:pPr>
              <w:pStyle w:val="TableParagraph"/>
              <w:spacing w:before="40"/>
              <w:rPr>
                <w:sz w:val="21"/>
              </w:rPr>
            </w:pPr>
            <w:proofErr w:type="gramStart"/>
            <w:r>
              <w:rPr>
                <w:color w:val="B02045"/>
                <w:sz w:val="21"/>
              </w:rPr>
              <w:t>assertj.version</w:t>
            </w:r>
            <w:proofErr w:type="gramEnd"/>
          </w:p>
        </w:tc>
      </w:tr>
      <w:tr w:rsidR="00A720EB" w14:paraId="27A7CDDD" w14:textId="77777777">
        <w:trPr>
          <w:trHeight w:val="368"/>
        </w:trPr>
        <w:tc>
          <w:tcPr>
            <w:tcW w:w="4988" w:type="dxa"/>
          </w:tcPr>
          <w:p w14:paraId="17E72B3B" w14:textId="77777777" w:rsidR="00A720EB" w:rsidRDefault="0030286B">
            <w:pPr>
              <w:pStyle w:val="TableParagraph"/>
              <w:spacing w:before="40"/>
              <w:rPr>
                <w:sz w:val="21"/>
              </w:rPr>
            </w:pPr>
            <w:r>
              <w:rPr>
                <w:color w:val="B02045"/>
                <w:sz w:val="21"/>
              </w:rPr>
              <w:t>Atomikos</w:t>
            </w:r>
          </w:p>
        </w:tc>
        <w:tc>
          <w:tcPr>
            <w:tcW w:w="4988" w:type="dxa"/>
          </w:tcPr>
          <w:p w14:paraId="1A7222A5" w14:textId="77777777" w:rsidR="00A720EB" w:rsidRDefault="0030286B">
            <w:pPr>
              <w:pStyle w:val="TableParagraph"/>
              <w:spacing w:before="40"/>
              <w:rPr>
                <w:sz w:val="21"/>
              </w:rPr>
            </w:pPr>
            <w:proofErr w:type="gramStart"/>
            <w:r>
              <w:rPr>
                <w:color w:val="B02045"/>
                <w:sz w:val="21"/>
              </w:rPr>
              <w:t>atomikos.version</w:t>
            </w:r>
            <w:proofErr w:type="gramEnd"/>
          </w:p>
        </w:tc>
      </w:tr>
      <w:tr w:rsidR="00A720EB" w14:paraId="2D13AA34" w14:textId="77777777">
        <w:trPr>
          <w:trHeight w:val="368"/>
        </w:trPr>
        <w:tc>
          <w:tcPr>
            <w:tcW w:w="4988" w:type="dxa"/>
          </w:tcPr>
          <w:p w14:paraId="6B915A6B" w14:textId="77777777" w:rsidR="00A720EB" w:rsidRDefault="0030286B">
            <w:pPr>
              <w:pStyle w:val="TableParagraph"/>
              <w:spacing w:before="40"/>
              <w:rPr>
                <w:sz w:val="21"/>
              </w:rPr>
            </w:pPr>
            <w:r>
              <w:rPr>
                <w:color w:val="B02045"/>
                <w:sz w:val="21"/>
              </w:rPr>
              <w:t>Awaitility</w:t>
            </w:r>
          </w:p>
        </w:tc>
        <w:tc>
          <w:tcPr>
            <w:tcW w:w="4988" w:type="dxa"/>
          </w:tcPr>
          <w:p w14:paraId="4246B17C" w14:textId="77777777" w:rsidR="00A720EB" w:rsidRDefault="0030286B">
            <w:pPr>
              <w:pStyle w:val="TableParagraph"/>
              <w:spacing w:before="40"/>
              <w:rPr>
                <w:sz w:val="21"/>
              </w:rPr>
            </w:pPr>
            <w:proofErr w:type="gramStart"/>
            <w:r>
              <w:rPr>
                <w:color w:val="B02045"/>
                <w:sz w:val="21"/>
              </w:rPr>
              <w:t>awaitility.version</w:t>
            </w:r>
            <w:proofErr w:type="gramEnd"/>
          </w:p>
        </w:tc>
      </w:tr>
      <w:tr w:rsidR="00A720EB" w14:paraId="18184F2F" w14:textId="77777777">
        <w:trPr>
          <w:trHeight w:val="368"/>
        </w:trPr>
        <w:tc>
          <w:tcPr>
            <w:tcW w:w="4988" w:type="dxa"/>
          </w:tcPr>
          <w:p w14:paraId="667563A8" w14:textId="77777777" w:rsidR="00A720EB" w:rsidRDefault="0030286B">
            <w:pPr>
              <w:pStyle w:val="TableParagraph"/>
              <w:spacing w:before="40"/>
              <w:rPr>
                <w:sz w:val="21"/>
              </w:rPr>
            </w:pPr>
            <w:r>
              <w:rPr>
                <w:color w:val="B02045"/>
                <w:sz w:val="21"/>
              </w:rPr>
              <w:t>Bitronix</w:t>
            </w:r>
          </w:p>
        </w:tc>
        <w:tc>
          <w:tcPr>
            <w:tcW w:w="4988" w:type="dxa"/>
          </w:tcPr>
          <w:p w14:paraId="407D0AE8" w14:textId="77777777" w:rsidR="00A720EB" w:rsidRDefault="0030286B">
            <w:pPr>
              <w:pStyle w:val="TableParagraph"/>
              <w:spacing w:before="40"/>
              <w:rPr>
                <w:sz w:val="21"/>
              </w:rPr>
            </w:pPr>
            <w:proofErr w:type="gramStart"/>
            <w:r>
              <w:rPr>
                <w:color w:val="B02045"/>
                <w:sz w:val="21"/>
              </w:rPr>
              <w:t>bitronix.version</w:t>
            </w:r>
            <w:proofErr w:type="gramEnd"/>
          </w:p>
        </w:tc>
      </w:tr>
      <w:tr w:rsidR="00A720EB" w14:paraId="2536AD1D" w14:textId="77777777">
        <w:trPr>
          <w:trHeight w:val="368"/>
        </w:trPr>
        <w:tc>
          <w:tcPr>
            <w:tcW w:w="4988" w:type="dxa"/>
          </w:tcPr>
          <w:p w14:paraId="77A27CF0" w14:textId="77777777" w:rsidR="00A720EB" w:rsidRDefault="0030286B">
            <w:pPr>
              <w:pStyle w:val="TableParagraph"/>
              <w:spacing w:before="40"/>
              <w:rPr>
                <w:sz w:val="21"/>
              </w:rPr>
            </w:pPr>
            <w:r>
              <w:rPr>
                <w:color w:val="B02045"/>
                <w:sz w:val="21"/>
              </w:rPr>
              <w:t>Build Helper Maven Plugin</w:t>
            </w:r>
          </w:p>
        </w:tc>
        <w:tc>
          <w:tcPr>
            <w:tcW w:w="4988" w:type="dxa"/>
          </w:tcPr>
          <w:p w14:paraId="2F9FEC3D" w14:textId="77777777" w:rsidR="00A720EB" w:rsidRDefault="0030286B">
            <w:pPr>
              <w:pStyle w:val="TableParagraph"/>
              <w:spacing w:before="40"/>
              <w:rPr>
                <w:sz w:val="21"/>
              </w:rPr>
            </w:pPr>
            <w:r>
              <w:rPr>
                <w:color w:val="B02045"/>
                <w:sz w:val="21"/>
              </w:rPr>
              <w:t>build-helper-maven-</w:t>
            </w:r>
            <w:proofErr w:type="gramStart"/>
            <w:r>
              <w:rPr>
                <w:color w:val="B02045"/>
                <w:sz w:val="21"/>
              </w:rPr>
              <w:t>plugin.version</w:t>
            </w:r>
            <w:proofErr w:type="gramEnd"/>
          </w:p>
        </w:tc>
      </w:tr>
      <w:tr w:rsidR="00A720EB" w14:paraId="6848FAB9" w14:textId="77777777">
        <w:trPr>
          <w:trHeight w:val="368"/>
        </w:trPr>
        <w:tc>
          <w:tcPr>
            <w:tcW w:w="4988" w:type="dxa"/>
          </w:tcPr>
          <w:p w14:paraId="3D9BF9EB" w14:textId="77777777" w:rsidR="00A720EB" w:rsidRDefault="0030286B">
            <w:pPr>
              <w:pStyle w:val="TableParagraph"/>
              <w:spacing w:before="40"/>
              <w:rPr>
                <w:sz w:val="21"/>
              </w:rPr>
            </w:pPr>
            <w:r>
              <w:rPr>
                <w:color w:val="B02045"/>
                <w:sz w:val="21"/>
              </w:rPr>
              <w:t>Byte Buddy</w:t>
            </w:r>
          </w:p>
        </w:tc>
        <w:tc>
          <w:tcPr>
            <w:tcW w:w="4988" w:type="dxa"/>
          </w:tcPr>
          <w:p w14:paraId="23CF71AF" w14:textId="77777777" w:rsidR="00A720EB" w:rsidRDefault="0030286B">
            <w:pPr>
              <w:pStyle w:val="TableParagraph"/>
              <w:spacing w:before="40"/>
              <w:rPr>
                <w:sz w:val="21"/>
              </w:rPr>
            </w:pPr>
            <w:r>
              <w:rPr>
                <w:color w:val="B02045"/>
                <w:sz w:val="21"/>
              </w:rPr>
              <w:t>byte-</w:t>
            </w:r>
            <w:proofErr w:type="gramStart"/>
            <w:r>
              <w:rPr>
                <w:color w:val="B02045"/>
                <w:sz w:val="21"/>
              </w:rPr>
              <w:t>buddy.version</w:t>
            </w:r>
            <w:proofErr w:type="gramEnd"/>
          </w:p>
        </w:tc>
      </w:tr>
      <w:tr w:rsidR="00A720EB" w14:paraId="355A17AE" w14:textId="77777777">
        <w:trPr>
          <w:trHeight w:val="368"/>
        </w:trPr>
        <w:tc>
          <w:tcPr>
            <w:tcW w:w="4988" w:type="dxa"/>
          </w:tcPr>
          <w:p w14:paraId="52C7753B" w14:textId="77777777" w:rsidR="00A720EB" w:rsidRDefault="0030286B">
            <w:pPr>
              <w:pStyle w:val="TableParagraph"/>
              <w:spacing w:before="40"/>
              <w:rPr>
                <w:sz w:val="21"/>
              </w:rPr>
            </w:pPr>
            <w:r>
              <w:rPr>
                <w:color w:val="B02045"/>
                <w:sz w:val="21"/>
              </w:rPr>
              <w:t>Caffeine</w:t>
            </w:r>
          </w:p>
        </w:tc>
        <w:tc>
          <w:tcPr>
            <w:tcW w:w="4988" w:type="dxa"/>
          </w:tcPr>
          <w:p w14:paraId="48E93319" w14:textId="77777777" w:rsidR="00A720EB" w:rsidRDefault="0030286B">
            <w:pPr>
              <w:pStyle w:val="TableParagraph"/>
              <w:spacing w:before="40"/>
              <w:rPr>
                <w:sz w:val="21"/>
              </w:rPr>
            </w:pPr>
            <w:proofErr w:type="gramStart"/>
            <w:r>
              <w:rPr>
                <w:color w:val="B02045"/>
                <w:sz w:val="21"/>
              </w:rPr>
              <w:t>caffeine.version</w:t>
            </w:r>
            <w:proofErr w:type="gramEnd"/>
          </w:p>
        </w:tc>
      </w:tr>
      <w:tr w:rsidR="00A720EB" w14:paraId="3E99C4E8" w14:textId="77777777">
        <w:trPr>
          <w:trHeight w:val="368"/>
        </w:trPr>
        <w:tc>
          <w:tcPr>
            <w:tcW w:w="4988" w:type="dxa"/>
          </w:tcPr>
          <w:p w14:paraId="5C4B40A1" w14:textId="77777777" w:rsidR="00A720EB" w:rsidRDefault="0030286B">
            <w:pPr>
              <w:pStyle w:val="TableParagraph"/>
              <w:spacing w:before="40"/>
              <w:rPr>
                <w:sz w:val="21"/>
              </w:rPr>
            </w:pPr>
            <w:r>
              <w:rPr>
                <w:color w:val="B02045"/>
                <w:sz w:val="21"/>
              </w:rPr>
              <w:t>Cassandra Driver</w:t>
            </w:r>
          </w:p>
        </w:tc>
        <w:tc>
          <w:tcPr>
            <w:tcW w:w="4988" w:type="dxa"/>
          </w:tcPr>
          <w:p w14:paraId="4DFB5932" w14:textId="77777777" w:rsidR="00A720EB" w:rsidRDefault="0030286B">
            <w:pPr>
              <w:pStyle w:val="TableParagraph"/>
              <w:spacing w:before="40"/>
              <w:rPr>
                <w:sz w:val="21"/>
              </w:rPr>
            </w:pPr>
            <w:r>
              <w:rPr>
                <w:color w:val="B02045"/>
                <w:sz w:val="21"/>
              </w:rPr>
              <w:t>cassandra-</w:t>
            </w:r>
            <w:proofErr w:type="gramStart"/>
            <w:r>
              <w:rPr>
                <w:color w:val="B02045"/>
                <w:sz w:val="21"/>
              </w:rPr>
              <w:t>driver.version</w:t>
            </w:r>
            <w:proofErr w:type="gramEnd"/>
          </w:p>
        </w:tc>
      </w:tr>
      <w:tr w:rsidR="00A720EB" w14:paraId="5E41554D" w14:textId="77777777">
        <w:trPr>
          <w:trHeight w:val="368"/>
        </w:trPr>
        <w:tc>
          <w:tcPr>
            <w:tcW w:w="4988" w:type="dxa"/>
          </w:tcPr>
          <w:p w14:paraId="2C23C7C8" w14:textId="77777777" w:rsidR="00A720EB" w:rsidRDefault="0030286B">
            <w:pPr>
              <w:pStyle w:val="TableParagraph"/>
              <w:spacing w:before="40"/>
              <w:rPr>
                <w:sz w:val="21"/>
              </w:rPr>
            </w:pPr>
            <w:r>
              <w:rPr>
                <w:color w:val="B02045"/>
                <w:sz w:val="21"/>
              </w:rPr>
              <w:t>Classmate</w:t>
            </w:r>
          </w:p>
        </w:tc>
        <w:tc>
          <w:tcPr>
            <w:tcW w:w="4988" w:type="dxa"/>
          </w:tcPr>
          <w:p w14:paraId="73B412C7" w14:textId="77777777" w:rsidR="00A720EB" w:rsidRDefault="0030286B">
            <w:pPr>
              <w:pStyle w:val="TableParagraph"/>
              <w:spacing w:before="40"/>
              <w:rPr>
                <w:sz w:val="21"/>
              </w:rPr>
            </w:pPr>
            <w:proofErr w:type="gramStart"/>
            <w:r>
              <w:rPr>
                <w:color w:val="B02045"/>
                <w:sz w:val="21"/>
              </w:rPr>
              <w:t>classmate.version</w:t>
            </w:r>
            <w:proofErr w:type="gramEnd"/>
          </w:p>
        </w:tc>
      </w:tr>
      <w:tr w:rsidR="00A720EB" w14:paraId="200C9882" w14:textId="77777777">
        <w:trPr>
          <w:trHeight w:val="368"/>
        </w:trPr>
        <w:tc>
          <w:tcPr>
            <w:tcW w:w="4988" w:type="dxa"/>
          </w:tcPr>
          <w:p w14:paraId="0B72524D" w14:textId="77777777" w:rsidR="00A720EB" w:rsidRDefault="0030286B">
            <w:pPr>
              <w:pStyle w:val="TableParagraph"/>
              <w:spacing w:before="40"/>
              <w:rPr>
                <w:sz w:val="21"/>
              </w:rPr>
            </w:pPr>
            <w:r>
              <w:rPr>
                <w:color w:val="B02045"/>
                <w:sz w:val="21"/>
              </w:rPr>
              <w:t>Commons Codec</w:t>
            </w:r>
          </w:p>
        </w:tc>
        <w:tc>
          <w:tcPr>
            <w:tcW w:w="4988" w:type="dxa"/>
          </w:tcPr>
          <w:p w14:paraId="3BCC19F5" w14:textId="77777777" w:rsidR="00A720EB" w:rsidRDefault="0030286B">
            <w:pPr>
              <w:pStyle w:val="TableParagraph"/>
              <w:spacing w:before="40"/>
              <w:rPr>
                <w:sz w:val="21"/>
              </w:rPr>
            </w:pPr>
            <w:r>
              <w:rPr>
                <w:color w:val="B02045"/>
                <w:sz w:val="21"/>
              </w:rPr>
              <w:t>commons-</w:t>
            </w:r>
            <w:proofErr w:type="gramStart"/>
            <w:r>
              <w:rPr>
                <w:color w:val="B02045"/>
                <w:sz w:val="21"/>
              </w:rPr>
              <w:t>codec.version</w:t>
            </w:r>
            <w:proofErr w:type="gramEnd"/>
          </w:p>
        </w:tc>
      </w:tr>
      <w:tr w:rsidR="00A720EB" w14:paraId="5DF574BA" w14:textId="77777777">
        <w:trPr>
          <w:trHeight w:val="368"/>
        </w:trPr>
        <w:tc>
          <w:tcPr>
            <w:tcW w:w="4988" w:type="dxa"/>
          </w:tcPr>
          <w:p w14:paraId="1E43782A" w14:textId="77777777" w:rsidR="00A720EB" w:rsidRDefault="0030286B">
            <w:pPr>
              <w:pStyle w:val="TableParagraph"/>
              <w:spacing w:before="40"/>
              <w:rPr>
                <w:sz w:val="21"/>
              </w:rPr>
            </w:pPr>
            <w:r>
              <w:rPr>
                <w:color w:val="B02045"/>
                <w:sz w:val="21"/>
              </w:rPr>
              <w:t>Commons DBCP2</w:t>
            </w:r>
          </w:p>
        </w:tc>
        <w:tc>
          <w:tcPr>
            <w:tcW w:w="4988" w:type="dxa"/>
          </w:tcPr>
          <w:p w14:paraId="1D659AEF" w14:textId="77777777" w:rsidR="00A720EB" w:rsidRDefault="0030286B">
            <w:pPr>
              <w:pStyle w:val="TableParagraph"/>
              <w:spacing w:before="40"/>
              <w:rPr>
                <w:sz w:val="21"/>
              </w:rPr>
            </w:pPr>
            <w:r>
              <w:rPr>
                <w:color w:val="B02045"/>
                <w:sz w:val="21"/>
              </w:rPr>
              <w:t>commons-dbcp2.version</w:t>
            </w:r>
          </w:p>
        </w:tc>
      </w:tr>
      <w:tr w:rsidR="00A720EB" w14:paraId="48991ED9" w14:textId="77777777">
        <w:trPr>
          <w:trHeight w:val="368"/>
        </w:trPr>
        <w:tc>
          <w:tcPr>
            <w:tcW w:w="4988" w:type="dxa"/>
          </w:tcPr>
          <w:p w14:paraId="2C8BDC5D" w14:textId="77777777" w:rsidR="00A720EB" w:rsidRDefault="0030286B">
            <w:pPr>
              <w:pStyle w:val="TableParagraph"/>
              <w:spacing w:before="40"/>
              <w:rPr>
                <w:sz w:val="21"/>
              </w:rPr>
            </w:pPr>
            <w:r>
              <w:rPr>
                <w:color w:val="B02045"/>
                <w:sz w:val="21"/>
              </w:rPr>
              <w:t>Commons Lang3</w:t>
            </w:r>
          </w:p>
        </w:tc>
        <w:tc>
          <w:tcPr>
            <w:tcW w:w="4988" w:type="dxa"/>
          </w:tcPr>
          <w:p w14:paraId="0C9198A1" w14:textId="77777777" w:rsidR="00A720EB" w:rsidRDefault="0030286B">
            <w:pPr>
              <w:pStyle w:val="TableParagraph"/>
              <w:spacing w:before="40"/>
              <w:rPr>
                <w:sz w:val="21"/>
              </w:rPr>
            </w:pPr>
            <w:r>
              <w:rPr>
                <w:color w:val="B02045"/>
                <w:sz w:val="21"/>
              </w:rPr>
              <w:t>commons-lang3.version</w:t>
            </w:r>
          </w:p>
        </w:tc>
      </w:tr>
      <w:tr w:rsidR="00A720EB" w14:paraId="02376287" w14:textId="77777777">
        <w:trPr>
          <w:trHeight w:val="368"/>
        </w:trPr>
        <w:tc>
          <w:tcPr>
            <w:tcW w:w="4988" w:type="dxa"/>
          </w:tcPr>
          <w:p w14:paraId="354133D0" w14:textId="77777777" w:rsidR="00A720EB" w:rsidRDefault="0030286B">
            <w:pPr>
              <w:pStyle w:val="TableParagraph"/>
              <w:spacing w:before="40"/>
              <w:rPr>
                <w:sz w:val="21"/>
              </w:rPr>
            </w:pPr>
            <w:r>
              <w:rPr>
                <w:color w:val="B02045"/>
                <w:sz w:val="21"/>
              </w:rPr>
              <w:t>Commons Pool</w:t>
            </w:r>
          </w:p>
        </w:tc>
        <w:tc>
          <w:tcPr>
            <w:tcW w:w="4988" w:type="dxa"/>
          </w:tcPr>
          <w:p w14:paraId="216D8942" w14:textId="77777777" w:rsidR="00A720EB" w:rsidRDefault="0030286B">
            <w:pPr>
              <w:pStyle w:val="TableParagraph"/>
              <w:spacing w:before="40"/>
              <w:rPr>
                <w:sz w:val="21"/>
              </w:rPr>
            </w:pPr>
            <w:r>
              <w:rPr>
                <w:color w:val="B02045"/>
                <w:sz w:val="21"/>
              </w:rPr>
              <w:t>commons-</w:t>
            </w:r>
            <w:proofErr w:type="gramStart"/>
            <w:r>
              <w:rPr>
                <w:color w:val="B02045"/>
                <w:sz w:val="21"/>
              </w:rPr>
              <w:t>pool.version</w:t>
            </w:r>
            <w:proofErr w:type="gramEnd"/>
          </w:p>
        </w:tc>
      </w:tr>
      <w:tr w:rsidR="00A720EB" w14:paraId="503E214B" w14:textId="77777777">
        <w:trPr>
          <w:trHeight w:val="368"/>
        </w:trPr>
        <w:tc>
          <w:tcPr>
            <w:tcW w:w="4988" w:type="dxa"/>
          </w:tcPr>
          <w:p w14:paraId="21CB7557" w14:textId="77777777" w:rsidR="00A720EB" w:rsidRDefault="0030286B">
            <w:pPr>
              <w:pStyle w:val="TableParagraph"/>
              <w:spacing w:before="40"/>
              <w:rPr>
                <w:sz w:val="21"/>
              </w:rPr>
            </w:pPr>
            <w:r>
              <w:rPr>
                <w:color w:val="B02045"/>
                <w:sz w:val="21"/>
              </w:rPr>
              <w:t>Commons Pool2</w:t>
            </w:r>
          </w:p>
        </w:tc>
        <w:tc>
          <w:tcPr>
            <w:tcW w:w="4988" w:type="dxa"/>
          </w:tcPr>
          <w:p w14:paraId="1561491A" w14:textId="77777777" w:rsidR="00A720EB" w:rsidRDefault="0030286B">
            <w:pPr>
              <w:pStyle w:val="TableParagraph"/>
              <w:spacing w:before="40"/>
              <w:rPr>
                <w:sz w:val="21"/>
              </w:rPr>
            </w:pPr>
            <w:r>
              <w:rPr>
                <w:color w:val="B02045"/>
                <w:sz w:val="21"/>
              </w:rPr>
              <w:t>commons-pool2.version</w:t>
            </w:r>
          </w:p>
        </w:tc>
      </w:tr>
    </w:tbl>
    <w:p w14:paraId="7A901295"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1EE04BB8" w14:textId="77777777">
        <w:trPr>
          <w:trHeight w:val="415"/>
        </w:trPr>
        <w:tc>
          <w:tcPr>
            <w:tcW w:w="4988" w:type="dxa"/>
            <w:tcBorders>
              <w:bottom w:val="single" w:sz="12" w:space="0" w:color="DDDDDD"/>
            </w:tcBorders>
          </w:tcPr>
          <w:p w14:paraId="0425E441" w14:textId="77777777" w:rsidR="00A720EB" w:rsidRDefault="0030286B">
            <w:pPr>
              <w:pStyle w:val="TableParagraph"/>
              <w:spacing w:before="71"/>
              <w:rPr>
                <w:rFonts w:ascii="Palatino Linotype"/>
                <w:b/>
                <w:sz w:val="21"/>
              </w:rPr>
            </w:pPr>
            <w:r>
              <w:rPr>
                <w:rFonts w:ascii="Palatino Linotype"/>
                <w:b/>
                <w:color w:val="333333"/>
                <w:w w:val="115"/>
                <w:sz w:val="21"/>
              </w:rPr>
              <w:lastRenderedPageBreak/>
              <w:t>Library</w:t>
            </w:r>
          </w:p>
        </w:tc>
        <w:tc>
          <w:tcPr>
            <w:tcW w:w="4988" w:type="dxa"/>
            <w:tcBorders>
              <w:bottom w:val="single" w:sz="12" w:space="0" w:color="DDDDDD"/>
            </w:tcBorders>
          </w:tcPr>
          <w:p w14:paraId="3CB24A7C" w14:textId="77777777" w:rsidR="00A720EB" w:rsidRDefault="0030286B">
            <w:pPr>
              <w:pStyle w:val="TableParagraph"/>
              <w:spacing w:before="71"/>
              <w:rPr>
                <w:rFonts w:ascii="Palatino Linotype"/>
                <w:b/>
                <w:sz w:val="21"/>
              </w:rPr>
            </w:pPr>
            <w:r>
              <w:rPr>
                <w:rFonts w:ascii="Palatino Linotype"/>
                <w:b/>
                <w:color w:val="333333"/>
                <w:w w:val="110"/>
                <w:sz w:val="21"/>
              </w:rPr>
              <w:t>Version Property</w:t>
            </w:r>
          </w:p>
        </w:tc>
      </w:tr>
      <w:tr w:rsidR="00A720EB" w14:paraId="1B478A0C" w14:textId="77777777">
        <w:trPr>
          <w:trHeight w:val="358"/>
        </w:trPr>
        <w:tc>
          <w:tcPr>
            <w:tcW w:w="4988" w:type="dxa"/>
            <w:tcBorders>
              <w:top w:val="single" w:sz="12" w:space="0" w:color="DDDDDD"/>
            </w:tcBorders>
          </w:tcPr>
          <w:p w14:paraId="1DC58F10" w14:textId="77777777" w:rsidR="00A720EB" w:rsidRDefault="0030286B">
            <w:pPr>
              <w:pStyle w:val="TableParagraph"/>
              <w:spacing w:before="27"/>
              <w:rPr>
                <w:sz w:val="21"/>
              </w:rPr>
            </w:pPr>
            <w:r>
              <w:rPr>
                <w:color w:val="B02045"/>
                <w:sz w:val="21"/>
              </w:rPr>
              <w:t>Couchbase Client</w:t>
            </w:r>
          </w:p>
        </w:tc>
        <w:tc>
          <w:tcPr>
            <w:tcW w:w="4988" w:type="dxa"/>
            <w:tcBorders>
              <w:top w:val="single" w:sz="12" w:space="0" w:color="DDDDDD"/>
            </w:tcBorders>
          </w:tcPr>
          <w:p w14:paraId="3F0E1BA6" w14:textId="77777777" w:rsidR="00A720EB" w:rsidRDefault="0030286B">
            <w:pPr>
              <w:pStyle w:val="TableParagraph"/>
              <w:spacing w:before="27"/>
              <w:rPr>
                <w:sz w:val="21"/>
              </w:rPr>
            </w:pPr>
            <w:r>
              <w:rPr>
                <w:color w:val="B02045"/>
                <w:sz w:val="21"/>
              </w:rPr>
              <w:t>couchbase-</w:t>
            </w:r>
            <w:proofErr w:type="gramStart"/>
            <w:r>
              <w:rPr>
                <w:color w:val="B02045"/>
                <w:sz w:val="21"/>
              </w:rPr>
              <w:t>client.version</w:t>
            </w:r>
            <w:proofErr w:type="gramEnd"/>
          </w:p>
        </w:tc>
      </w:tr>
      <w:tr w:rsidR="00A720EB" w14:paraId="2ECA93C2" w14:textId="77777777">
        <w:trPr>
          <w:trHeight w:val="368"/>
        </w:trPr>
        <w:tc>
          <w:tcPr>
            <w:tcW w:w="4988" w:type="dxa"/>
          </w:tcPr>
          <w:p w14:paraId="2287A090" w14:textId="77777777" w:rsidR="00A720EB" w:rsidRDefault="0030286B">
            <w:pPr>
              <w:pStyle w:val="TableParagraph"/>
              <w:spacing w:before="37"/>
              <w:rPr>
                <w:sz w:val="21"/>
              </w:rPr>
            </w:pPr>
            <w:r>
              <w:rPr>
                <w:color w:val="B02045"/>
                <w:sz w:val="21"/>
              </w:rPr>
              <w:t>DB2 JDBC</w:t>
            </w:r>
          </w:p>
        </w:tc>
        <w:tc>
          <w:tcPr>
            <w:tcW w:w="4988" w:type="dxa"/>
          </w:tcPr>
          <w:p w14:paraId="4827829D" w14:textId="77777777" w:rsidR="00A720EB" w:rsidRDefault="0030286B">
            <w:pPr>
              <w:pStyle w:val="TableParagraph"/>
              <w:spacing w:before="37"/>
              <w:rPr>
                <w:sz w:val="21"/>
              </w:rPr>
            </w:pPr>
            <w:r>
              <w:rPr>
                <w:color w:val="B02045"/>
                <w:sz w:val="21"/>
              </w:rPr>
              <w:t>db2-</w:t>
            </w:r>
            <w:proofErr w:type="gramStart"/>
            <w:r>
              <w:rPr>
                <w:color w:val="B02045"/>
                <w:sz w:val="21"/>
              </w:rPr>
              <w:t>jdbc.version</w:t>
            </w:r>
            <w:proofErr w:type="gramEnd"/>
          </w:p>
        </w:tc>
      </w:tr>
      <w:tr w:rsidR="00A720EB" w14:paraId="766F7EB6" w14:textId="77777777">
        <w:trPr>
          <w:trHeight w:val="368"/>
        </w:trPr>
        <w:tc>
          <w:tcPr>
            <w:tcW w:w="4988" w:type="dxa"/>
          </w:tcPr>
          <w:p w14:paraId="2C934156" w14:textId="77777777" w:rsidR="00A720EB" w:rsidRDefault="0030286B">
            <w:pPr>
              <w:pStyle w:val="TableParagraph"/>
              <w:spacing w:before="37"/>
              <w:rPr>
                <w:sz w:val="21"/>
              </w:rPr>
            </w:pPr>
            <w:r>
              <w:rPr>
                <w:color w:val="B02045"/>
                <w:sz w:val="21"/>
              </w:rPr>
              <w:t>Dependency Management Plugin</w:t>
            </w:r>
          </w:p>
        </w:tc>
        <w:tc>
          <w:tcPr>
            <w:tcW w:w="4988" w:type="dxa"/>
          </w:tcPr>
          <w:p w14:paraId="283E3B23" w14:textId="77777777" w:rsidR="00A720EB" w:rsidRDefault="0030286B">
            <w:pPr>
              <w:pStyle w:val="TableParagraph"/>
              <w:spacing w:before="37"/>
              <w:rPr>
                <w:sz w:val="21"/>
              </w:rPr>
            </w:pPr>
            <w:r>
              <w:rPr>
                <w:color w:val="B02045"/>
                <w:sz w:val="21"/>
              </w:rPr>
              <w:t>dependency-management-</w:t>
            </w:r>
            <w:proofErr w:type="gramStart"/>
            <w:r>
              <w:rPr>
                <w:color w:val="B02045"/>
                <w:sz w:val="21"/>
              </w:rPr>
              <w:t>plugin.version</w:t>
            </w:r>
            <w:proofErr w:type="gramEnd"/>
          </w:p>
        </w:tc>
      </w:tr>
      <w:tr w:rsidR="00A720EB" w14:paraId="251ED973" w14:textId="77777777">
        <w:trPr>
          <w:trHeight w:val="368"/>
        </w:trPr>
        <w:tc>
          <w:tcPr>
            <w:tcW w:w="4988" w:type="dxa"/>
          </w:tcPr>
          <w:p w14:paraId="2E5CF385" w14:textId="77777777" w:rsidR="00A720EB" w:rsidRDefault="0030286B">
            <w:pPr>
              <w:pStyle w:val="TableParagraph"/>
              <w:rPr>
                <w:sz w:val="21"/>
              </w:rPr>
            </w:pPr>
            <w:r>
              <w:rPr>
                <w:color w:val="B02045"/>
                <w:sz w:val="21"/>
              </w:rPr>
              <w:t>Derby</w:t>
            </w:r>
          </w:p>
        </w:tc>
        <w:tc>
          <w:tcPr>
            <w:tcW w:w="4988" w:type="dxa"/>
          </w:tcPr>
          <w:p w14:paraId="3EF70245" w14:textId="77777777" w:rsidR="00A720EB" w:rsidRDefault="0030286B">
            <w:pPr>
              <w:pStyle w:val="TableParagraph"/>
              <w:rPr>
                <w:sz w:val="21"/>
              </w:rPr>
            </w:pPr>
            <w:proofErr w:type="gramStart"/>
            <w:r>
              <w:rPr>
                <w:color w:val="B02045"/>
                <w:sz w:val="21"/>
              </w:rPr>
              <w:t>derby.version</w:t>
            </w:r>
            <w:proofErr w:type="gramEnd"/>
          </w:p>
        </w:tc>
      </w:tr>
      <w:tr w:rsidR="00A720EB" w14:paraId="341012E3" w14:textId="77777777">
        <w:trPr>
          <w:trHeight w:val="368"/>
        </w:trPr>
        <w:tc>
          <w:tcPr>
            <w:tcW w:w="4988" w:type="dxa"/>
          </w:tcPr>
          <w:p w14:paraId="2B88D616" w14:textId="77777777" w:rsidR="00A720EB" w:rsidRDefault="0030286B">
            <w:pPr>
              <w:pStyle w:val="TableParagraph"/>
              <w:rPr>
                <w:sz w:val="21"/>
              </w:rPr>
            </w:pPr>
            <w:r>
              <w:rPr>
                <w:color w:val="B02045"/>
                <w:sz w:val="21"/>
              </w:rPr>
              <w:t>Dropwizard Metrics</w:t>
            </w:r>
          </w:p>
        </w:tc>
        <w:tc>
          <w:tcPr>
            <w:tcW w:w="4988" w:type="dxa"/>
          </w:tcPr>
          <w:p w14:paraId="3B89E482" w14:textId="77777777" w:rsidR="00A720EB" w:rsidRDefault="0030286B">
            <w:pPr>
              <w:pStyle w:val="TableParagraph"/>
              <w:rPr>
                <w:sz w:val="21"/>
              </w:rPr>
            </w:pPr>
            <w:r>
              <w:rPr>
                <w:color w:val="B02045"/>
                <w:sz w:val="21"/>
              </w:rPr>
              <w:t>dropwizard-</w:t>
            </w:r>
            <w:proofErr w:type="gramStart"/>
            <w:r>
              <w:rPr>
                <w:color w:val="B02045"/>
                <w:sz w:val="21"/>
              </w:rPr>
              <w:t>metrics.version</w:t>
            </w:r>
            <w:proofErr w:type="gramEnd"/>
          </w:p>
        </w:tc>
      </w:tr>
      <w:tr w:rsidR="00A720EB" w14:paraId="4F5994EA" w14:textId="77777777">
        <w:trPr>
          <w:trHeight w:val="368"/>
        </w:trPr>
        <w:tc>
          <w:tcPr>
            <w:tcW w:w="4988" w:type="dxa"/>
          </w:tcPr>
          <w:p w14:paraId="67B16920" w14:textId="77777777" w:rsidR="00A720EB" w:rsidRDefault="0030286B">
            <w:pPr>
              <w:pStyle w:val="TableParagraph"/>
              <w:rPr>
                <w:sz w:val="21"/>
              </w:rPr>
            </w:pPr>
            <w:r>
              <w:rPr>
                <w:color w:val="B02045"/>
                <w:sz w:val="21"/>
              </w:rPr>
              <w:t>Ehcache</w:t>
            </w:r>
          </w:p>
        </w:tc>
        <w:tc>
          <w:tcPr>
            <w:tcW w:w="4988" w:type="dxa"/>
          </w:tcPr>
          <w:p w14:paraId="1C1AE896" w14:textId="77777777" w:rsidR="00A720EB" w:rsidRDefault="0030286B">
            <w:pPr>
              <w:pStyle w:val="TableParagraph"/>
              <w:rPr>
                <w:sz w:val="21"/>
              </w:rPr>
            </w:pPr>
            <w:proofErr w:type="gramStart"/>
            <w:r>
              <w:rPr>
                <w:color w:val="B02045"/>
                <w:sz w:val="21"/>
              </w:rPr>
              <w:t>ehcache.version</w:t>
            </w:r>
            <w:proofErr w:type="gramEnd"/>
          </w:p>
        </w:tc>
      </w:tr>
      <w:tr w:rsidR="00A720EB" w14:paraId="749BAD2F" w14:textId="77777777">
        <w:trPr>
          <w:trHeight w:val="368"/>
        </w:trPr>
        <w:tc>
          <w:tcPr>
            <w:tcW w:w="4988" w:type="dxa"/>
          </w:tcPr>
          <w:p w14:paraId="3AB2A75B" w14:textId="77777777" w:rsidR="00A720EB" w:rsidRDefault="0030286B">
            <w:pPr>
              <w:pStyle w:val="TableParagraph"/>
              <w:rPr>
                <w:sz w:val="21"/>
              </w:rPr>
            </w:pPr>
            <w:r>
              <w:rPr>
                <w:color w:val="B02045"/>
                <w:sz w:val="21"/>
              </w:rPr>
              <w:t>Ehcache3</w:t>
            </w:r>
          </w:p>
        </w:tc>
        <w:tc>
          <w:tcPr>
            <w:tcW w:w="4988" w:type="dxa"/>
          </w:tcPr>
          <w:p w14:paraId="72CB196F" w14:textId="77777777" w:rsidR="00A720EB" w:rsidRDefault="0030286B">
            <w:pPr>
              <w:pStyle w:val="TableParagraph"/>
              <w:rPr>
                <w:sz w:val="21"/>
              </w:rPr>
            </w:pPr>
            <w:r>
              <w:rPr>
                <w:color w:val="B02045"/>
                <w:sz w:val="21"/>
              </w:rPr>
              <w:t>ehcache3.version</w:t>
            </w:r>
          </w:p>
        </w:tc>
      </w:tr>
      <w:tr w:rsidR="00A720EB" w14:paraId="04045705" w14:textId="77777777">
        <w:trPr>
          <w:trHeight w:val="368"/>
        </w:trPr>
        <w:tc>
          <w:tcPr>
            <w:tcW w:w="4988" w:type="dxa"/>
          </w:tcPr>
          <w:p w14:paraId="134FD9A4" w14:textId="77777777" w:rsidR="00A720EB" w:rsidRDefault="0030286B">
            <w:pPr>
              <w:pStyle w:val="TableParagraph"/>
              <w:spacing w:before="37"/>
              <w:rPr>
                <w:sz w:val="21"/>
              </w:rPr>
            </w:pPr>
            <w:r>
              <w:rPr>
                <w:color w:val="B02045"/>
                <w:sz w:val="21"/>
              </w:rPr>
              <w:t>Elasticsearch</w:t>
            </w:r>
          </w:p>
        </w:tc>
        <w:tc>
          <w:tcPr>
            <w:tcW w:w="4988" w:type="dxa"/>
          </w:tcPr>
          <w:p w14:paraId="795D1BE7" w14:textId="77777777" w:rsidR="00A720EB" w:rsidRDefault="0030286B">
            <w:pPr>
              <w:pStyle w:val="TableParagraph"/>
              <w:spacing w:before="37"/>
              <w:rPr>
                <w:sz w:val="21"/>
              </w:rPr>
            </w:pPr>
            <w:proofErr w:type="gramStart"/>
            <w:r>
              <w:rPr>
                <w:color w:val="B02045"/>
                <w:sz w:val="21"/>
              </w:rPr>
              <w:t>elasticsearch.version</w:t>
            </w:r>
            <w:proofErr w:type="gramEnd"/>
          </w:p>
        </w:tc>
      </w:tr>
      <w:tr w:rsidR="00A720EB" w14:paraId="77202963" w14:textId="77777777">
        <w:trPr>
          <w:trHeight w:val="368"/>
        </w:trPr>
        <w:tc>
          <w:tcPr>
            <w:tcW w:w="4988" w:type="dxa"/>
          </w:tcPr>
          <w:p w14:paraId="358B1616" w14:textId="77777777" w:rsidR="00A720EB" w:rsidRDefault="0030286B">
            <w:pPr>
              <w:pStyle w:val="TableParagraph"/>
              <w:spacing w:before="37"/>
              <w:rPr>
                <w:sz w:val="21"/>
              </w:rPr>
            </w:pPr>
            <w:r>
              <w:rPr>
                <w:color w:val="B02045"/>
                <w:sz w:val="21"/>
              </w:rPr>
              <w:t>Embedded Mongo</w:t>
            </w:r>
          </w:p>
        </w:tc>
        <w:tc>
          <w:tcPr>
            <w:tcW w:w="4988" w:type="dxa"/>
          </w:tcPr>
          <w:p w14:paraId="33DB1778" w14:textId="77777777" w:rsidR="00A720EB" w:rsidRDefault="0030286B">
            <w:pPr>
              <w:pStyle w:val="TableParagraph"/>
              <w:spacing w:before="37"/>
              <w:rPr>
                <w:sz w:val="21"/>
              </w:rPr>
            </w:pPr>
            <w:r>
              <w:rPr>
                <w:color w:val="B02045"/>
                <w:sz w:val="21"/>
              </w:rPr>
              <w:t>embedded-</w:t>
            </w:r>
            <w:proofErr w:type="gramStart"/>
            <w:r>
              <w:rPr>
                <w:color w:val="B02045"/>
                <w:sz w:val="21"/>
              </w:rPr>
              <w:t>mongo.version</w:t>
            </w:r>
            <w:proofErr w:type="gramEnd"/>
          </w:p>
        </w:tc>
      </w:tr>
      <w:tr w:rsidR="00A720EB" w14:paraId="391C72B5" w14:textId="77777777">
        <w:trPr>
          <w:trHeight w:val="368"/>
        </w:trPr>
        <w:tc>
          <w:tcPr>
            <w:tcW w:w="4988" w:type="dxa"/>
          </w:tcPr>
          <w:p w14:paraId="27E0B028" w14:textId="77777777" w:rsidR="00A720EB" w:rsidRDefault="0030286B">
            <w:pPr>
              <w:pStyle w:val="TableParagraph"/>
              <w:spacing w:before="37"/>
              <w:rPr>
                <w:sz w:val="21"/>
              </w:rPr>
            </w:pPr>
            <w:r>
              <w:rPr>
                <w:color w:val="B02045"/>
                <w:sz w:val="21"/>
              </w:rPr>
              <w:t>Exec Maven Plugin</w:t>
            </w:r>
          </w:p>
        </w:tc>
        <w:tc>
          <w:tcPr>
            <w:tcW w:w="4988" w:type="dxa"/>
          </w:tcPr>
          <w:p w14:paraId="71D2A54D" w14:textId="77777777" w:rsidR="00A720EB" w:rsidRDefault="0030286B">
            <w:pPr>
              <w:pStyle w:val="TableParagraph"/>
              <w:spacing w:before="37"/>
              <w:rPr>
                <w:sz w:val="21"/>
              </w:rPr>
            </w:pPr>
            <w:r>
              <w:rPr>
                <w:color w:val="B02045"/>
                <w:sz w:val="21"/>
              </w:rPr>
              <w:t>exec-maven-</w:t>
            </w:r>
            <w:proofErr w:type="gramStart"/>
            <w:r>
              <w:rPr>
                <w:color w:val="B02045"/>
                <w:sz w:val="21"/>
              </w:rPr>
              <w:t>plugin.version</w:t>
            </w:r>
            <w:proofErr w:type="gramEnd"/>
          </w:p>
        </w:tc>
      </w:tr>
      <w:tr w:rsidR="00A720EB" w14:paraId="3DEB3859" w14:textId="77777777">
        <w:trPr>
          <w:trHeight w:val="368"/>
        </w:trPr>
        <w:tc>
          <w:tcPr>
            <w:tcW w:w="4988" w:type="dxa"/>
          </w:tcPr>
          <w:p w14:paraId="13696DC9" w14:textId="77777777" w:rsidR="00A720EB" w:rsidRDefault="0030286B">
            <w:pPr>
              <w:pStyle w:val="TableParagraph"/>
              <w:spacing w:before="37"/>
              <w:rPr>
                <w:sz w:val="21"/>
              </w:rPr>
            </w:pPr>
            <w:r>
              <w:rPr>
                <w:color w:val="B02045"/>
                <w:sz w:val="21"/>
              </w:rPr>
              <w:t>Flatten Maven Plugin</w:t>
            </w:r>
          </w:p>
        </w:tc>
        <w:tc>
          <w:tcPr>
            <w:tcW w:w="4988" w:type="dxa"/>
          </w:tcPr>
          <w:p w14:paraId="4EA57E4D" w14:textId="77777777" w:rsidR="00A720EB" w:rsidRDefault="0030286B">
            <w:pPr>
              <w:pStyle w:val="TableParagraph"/>
              <w:spacing w:before="37"/>
              <w:rPr>
                <w:sz w:val="21"/>
              </w:rPr>
            </w:pPr>
            <w:r>
              <w:rPr>
                <w:color w:val="B02045"/>
                <w:sz w:val="21"/>
              </w:rPr>
              <w:t>flatten-maven-</w:t>
            </w:r>
            <w:proofErr w:type="gramStart"/>
            <w:r>
              <w:rPr>
                <w:color w:val="B02045"/>
                <w:sz w:val="21"/>
              </w:rPr>
              <w:t>plugin.version</w:t>
            </w:r>
            <w:proofErr w:type="gramEnd"/>
          </w:p>
        </w:tc>
      </w:tr>
      <w:tr w:rsidR="00A720EB" w14:paraId="7AB453FF" w14:textId="77777777">
        <w:trPr>
          <w:trHeight w:val="368"/>
        </w:trPr>
        <w:tc>
          <w:tcPr>
            <w:tcW w:w="4988" w:type="dxa"/>
          </w:tcPr>
          <w:p w14:paraId="03DD8926" w14:textId="77777777" w:rsidR="00A720EB" w:rsidRDefault="0030286B">
            <w:pPr>
              <w:pStyle w:val="TableParagraph"/>
              <w:rPr>
                <w:sz w:val="21"/>
              </w:rPr>
            </w:pPr>
            <w:r>
              <w:rPr>
                <w:color w:val="B02045"/>
                <w:sz w:val="21"/>
              </w:rPr>
              <w:t>Flyway</w:t>
            </w:r>
          </w:p>
        </w:tc>
        <w:tc>
          <w:tcPr>
            <w:tcW w:w="4988" w:type="dxa"/>
          </w:tcPr>
          <w:p w14:paraId="64E32FF9" w14:textId="77777777" w:rsidR="00A720EB" w:rsidRDefault="0030286B">
            <w:pPr>
              <w:pStyle w:val="TableParagraph"/>
              <w:rPr>
                <w:sz w:val="21"/>
              </w:rPr>
            </w:pPr>
            <w:proofErr w:type="gramStart"/>
            <w:r>
              <w:rPr>
                <w:color w:val="B02045"/>
                <w:sz w:val="21"/>
              </w:rPr>
              <w:t>flyway.version</w:t>
            </w:r>
            <w:proofErr w:type="gramEnd"/>
          </w:p>
        </w:tc>
      </w:tr>
      <w:tr w:rsidR="00A720EB" w14:paraId="088F9B79" w14:textId="77777777">
        <w:trPr>
          <w:trHeight w:val="368"/>
        </w:trPr>
        <w:tc>
          <w:tcPr>
            <w:tcW w:w="4988" w:type="dxa"/>
          </w:tcPr>
          <w:p w14:paraId="73075718" w14:textId="77777777" w:rsidR="00A720EB" w:rsidRDefault="0030286B">
            <w:pPr>
              <w:pStyle w:val="TableParagraph"/>
              <w:rPr>
                <w:sz w:val="21"/>
              </w:rPr>
            </w:pPr>
            <w:r>
              <w:rPr>
                <w:color w:val="B02045"/>
                <w:sz w:val="21"/>
              </w:rPr>
              <w:t>FreeMarker</w:t>
            </w:r>
          </w:p>
        </w:tc>
        <w:tc>
          <w:tcPr>
            <w:tcW w:w="4988" w:type="dxa"/>
          </w:tcPr>
          <w:p w14:paraId="7BA51E7D" w14:textId="77777777" w:rsidR="00A720EB" w:rsidRDefault="0030286B">
            <w:pPr>
              <w:pStyle w:val="TableParagraph"/>
              <w:rPr>
                <w:sz w:val="21"/>
              </w:rPr>
            </w:pPr>
            <w:proofErr w:type="gramStart"/>
            <w:r>
              <w:rPr>
                <w:color w:val="B02045"/>
                <w:sz w:val="21"/>
              </w:rPr>
              <w:t>freemarker.version</w:t>
            </w:r>
            <w:proofErr w:type="gramEnd"/>
          </w:p>
        </w:tc>
      </w:tr>
      <w:tr w:rsidR="00A720EB" w14:paraId="2779C4EF" w14:textId="77777777">
        <w:trPr>
          <w:trHeight w:val="368"/>
        </w:trPr>
        <w:tc>
          <w:tcPr>
            <w:tcW w:w="4988" w:type="dxa"/>
          </w:tcPr>
          <w:p w14:paraId="084C2064" w14:textId="77777777" w:rsidR="00A720EB" w:rsidRDefault="0030286B">
            <w:pPr>
              <w:pStyle w:val="TableParagraph"/>
              <w:rPr>
                <w:sz w:val="21"/>
              </w:rPr>
            </w:pPr>
            <w:r>
              <w:rPr>
                <w:color w:val="B02045"/>
                <w:sz w:val="21"/>
              </w:rPr>
              <w:t>Git Commit ID Plugin</w:t>
            </w:r>
          </w:p>
        </w:tc>
        <w:tc>
          <w:tcPr>
            <w:tcW w:w="4988" w:type="dxa"/>
          </w:tcPr>
          <w:p w14:paraId="6B834EFA" w14:textId="77777777" w:rsidR="00A720EB" w:rsidRDefault="0030286B">
            <w:pPr>
              <w:pStyle w:val="TableParagraph"/>
              <w:rPr>
                <w:sz w:val="21"/>
              </w:rPr>
            </w:pPr>
            <w:r>
              <w:rPr>
                <w:color w:val="B02045"/>
                <w:sz w:val="21"/>
              </w:rPr>
              <w:t>git-commit-id-</w:t>
            </w:r>
            <w:proofErr w:type="gramStart"/>
            <w:r>
              <w:rPr>
                <w:color w:val="B02045"/>
                <w:sz w:val="21"/>
              </w:rPr>
              <w:t>plugin.version</w:t>
            </w:r>
            <w:proofErr w:type="gramEnd"/>
          </w:p>
        </w:tc>
      </w:tr>
      <w:tr w:rsidR="00A720EB" w14:paraId="11C180B6" w14:textId="77777777">
        <w:trPr>
          <w:trHeight w:val="368"/>
        </w:trPr>
        <w:tc>
          <w:tcPr>
            <w:tcW w:w="4988" w:type="dxa"/>
          </w:tcPr>
          <w:p w14:paraId="0584BEE6" w14:textId="77777777" w:rsidR="00A720EB" w:rsidRDefault="0030286B">
            <w:pPr>
              <w:pStyle w:val="TableParagraph"/>
              <w:spacing w:before="37"/>
              <w:rPr>
                <w:sz w:val="21"/>
              </w:rPr>
            </w:pPr>
            <w:r>
              <w:rPr>
                <w:color w:val="B02045"/>
                <w:sz w:val="21"/>
              </w:rPr>
              <w:t>Glassfish EL</w:t>
            </w:r>
          </w:p>
        </w:tc>
        <w:tc>
          <w:tcPr>
            <w:tcW w:w="4988" w:type="dxa"/>
          </w:tcPr>
          <w:p w14:paraId="509C2843" w14:textId="77777777" w:rsidR="00A720EB" w:rsidRDefault="0030286B">
            <w:pPr>
              <w:pStyle w:val="TableParagraph"/>
              <w:spacing w:before="37"/>
              <w:rPr>
                <w:sz w:val="21"/>
              </w:rPr>
            </w:pPr>
            <w:r>
              <w:rPr>
                <w:color w:val="B02045"/>
                <w:sz w:val="21"/>
              </w:rPr>
              <w:t>glassfish-</w:t>
            </w:r>
            <w:proofErr w:type="gramStart"/>
            <w:r>
              <w:rPr>
                <w:color w:val="B02045"/>
                <w:sz w:val="21"/>
              </w:rPr>
              <w:t>el.version</w:t>
            </w:r>
            <w:proofErr w:type="gramEnd"/>
          </w:p>
        </w:tc>
      </w:tr>
      <w:tr w:rsidR="00A720EB" w14:paraId="2510200F" w14:textId="77777777">
        <w:trPr>
          <w:trHeight w:val="368"/>
        </w:trPr>
        <w:tc>
          <w:tcPr>
            <w:tcW w:w="4988" w:type="dxa"/>
          </w:tcPr>
          <w:p w14:paraId="47738EF3" w14:textId="77777777" w:rsidR="00A720EB" w:rsidRDefault="0030286B">
            <w:pPr>
              <w:pStyle w:val="TableParagraph"/>
              <w:rPr>
                <w:sz w:val="21"/>
              </w:rPr>
            </w:pPr>
            <w:r>
              <w:rPr>
                <w:color w:val="B02045"/>
                <w:sz w:val="21"/>
              </w:rPr>
              <w:t>Glassfish JAXB</w:t>
            </w:r>
          </w:p>
        </w:tc>
        <w:tc>
          <w:tcPr>
            <w:tcW w:w="4988" w:type="dxa"/>
          </w:tcPr>
          <w:p w14:paraId="373FC909" w14:textId="77777777" w:rsidR="00A720EB" w:rsidRDefault="0030286B">
            <w:pPr>
              <w:pStyle w:val="TableParagraph"/>
              <w:rPr>
                <w:sz w:val="21"/>
              </w:rPr>
            </w:pPr>
            <w:r>
              <w:rPr>
                <w:color w:val="B02045"/>
                <w:sz w:val="21"/>
              </w:rPr>
              <w:t>glassfish-</w:t>
            </w:r>
            <w:proofErr w:type="gramStart"/>
            <w:r>
              <w:rPr>
                <w:color w:val="B02045"/>
                <w:sz w:val="21"/>
              </w:rPr>
              <w:t>jaxb.version</w:t>
            </w:r>
            <w:proofErr w:type="gramEnd"/>
          </w:p>
        </w:tc>
      </w:tr>
      <w:tr w:rsidR="00A720EB" w14:paraId="27B7A310" w14:textId="77777777">
        <w:trPr>
          <w:trHeight w:val="368"/>
        </w:trPr>
        <w:tc>
          <w:tcPr>
            <w:tcW w:w="4988" w:type="dxa"/>
          </w:tcPr>
          <w:p w14:paraId="76AAA55B" w14:textId="77777777" w:rsidR="00A720EB" w:rsidRDefault="0030286B">
            <w:pPr>
              <w:pStyle w:val="TableParagraph"/>
              <w:rPr>
                <w:sz w:val="21"/>
              </w:rPr>
            </w:pPr>
            <w:r>
              <w:rPr>
                <w:color w:val="B02045"/>
                <w:sz w:val="21"/>
              </w:rPr>
              <w:t>Groovy</w:t>
            </w:r>
          </w:p>
        </w:tc>
        <w:tc>
          <w:tcPr>
            <w:tcW w:w="4988" w:type="dxa"/>
          </w:tcPr>
          <w:p w14:paraId="0B967FF5" w14:textId="77777777" w:rsidR="00A720EB" w:rsidRDefault="0030286B">
            <w:pPr>
              <w:pStyle w:val="TableParagraph"/>
              <w:rPr>
                <w:sz w:val="21"/>
              </w:rPr>
            </w:pPr>
            <w:proofErr w:type="gramStart"/>
            <w:r>
              <w:rPr>
                <w:color w:val="B02045"/>
                <w:sz w:val="21"/>
              </w:rPr>
              <w:t>groovy.version</w:t>
            </w:r>
            <w:proofErr w:type="gramEnd"/>
          </w:p>
        </w:tc>
      </w:tr>
      <w:tr w:rsidR="00A720EB" w14:paraId="19865167" w14:textId="77777777">
        <w:trPr>
          <w:trHeight w:val="368"/>
        </w:trPr>
        <w:tc>
          <w:tcPr>
            <w:tcW w:w="4988" w:type="dxa"/>
          </w:tcPr>
          <w:p w14:paraId="4AF7541C" w14:textId="77777777" w:rsidR="00A720EB" w:rsidRDefault="0030286B">
            <w:pPr>
              <w:pStyle w:val="TableParagraph"/>
              <w:spacing w:before="37"/>
              <w:rPr>
                <w:sz w:val="21"/>
              </w:rPr>
            </w:pPr>
            <w:r>
              <w:rPr>
                <w:color w:val="B02045"/>
                <w:sz w:val="21"/>
              </w:rPr>
              <w:t>Gson</w:t>
            </w:r>
          </w:p>
        </w:tc>
        <w:tc>
          <w:tcPr>
            <w:tcW w:w="4988" w:type="dxa"/>
          </w:tcPr>
          <w:p w14:paraId="0D6291F6" w14:textId="77777777" w:rsidR="00A720EB" w:rsidRDefault="0030286B">
            <w:pPr>
              <w:pStyle w:val="TableParagraph"/>
              <w:spacing w:before="37"/>
              <w:rPr>
                <w:sz w:val="21"/>
              </w:rPr>
            </w:pPr>
            <w:proofErr w:type="gramStart"/>
            <w:r>
              <w:rPr>
                <w:color w:val="B02045"/>
                <w:sz w:val="21"/>
              </w:rPr>
              <w:t>gson.version</w:t>
            </w:r>
            <w:proofErr w:type="gramEnd"/>
          </w:p>
        </w:tc>
      </w:tr>
      <w:tr w:rsidR="00A720EB" w14:paraId="2BF2F5BE" w14:textId="77777777">
        <w:trPr>
          <w:trHeight w:val="368"/>
        </w:trPr>
        <w:tc>
          <w:tcPr>
            <w:tcW w:w="4988" w:type="dxa"/>
          </w:tcPr>
          <w:p w14:paraId="50ED9763" w14:textId="77777777" w:rsidR="00A720EB" w:rsidRDefault="0030286B">
            <w:pPr>
              <w:pStyle w:val="TableParagraph"/>
              <w:spacing w:before="37"/>
              <w:rPr>
                <w:sz w:val="21"/>
              </w:rPr>
            </w:pPr>
            <w:r>
              <w:rPr>
                <w:color w:val="B02045"/>
                <w:sz w:val="21"/>
              </w:rPr>
              <w:t>H2</w:t>
            </w:r>
          </w:p>
        </w:tc>
        <w:tc>
          <w:tcPr>
            <w:tcW w:w="4988" w:type="dxa"/>
          </w:tcPr>
          <w:p w14:paraId="45D588EE" w14:textId="77777777" w:rsidR="00A720EB" w:rsidRDefault="0030286B">
            <w:pPr>
              <w:pStyle w:val="TableParagraph"/>
              <w:spacing w:before="37"/>
              <w:rPr>
                <w:sz w:val="21"/>
              </w:rPr>
            </w:pPr>
            <w:r>
              <w:rPr>
                <w:color w:val="B02045"/>
                <w:sz w:val="21"/>
              </w:rPr>
              <w:t>h</w:t>
            </w:r>
            <w:proofErr w:type="gramStart"/>
            <w:r>
              <w:rPr>
                <w:color w:val="B02045"/>
                <w:sz w:val="21"/>
              </w:rPr>
              <w:t>2.version</w:t>
            </w:r>
            <w:proofErr w:type="gramEnd"/>
          </w:p>
        </w:tc>
      </w:tr>
      <w:tr w:rsidR="00A720EB" w14:paraId="798E7AA6" w14:textId="77777777">
        <w:trPr>
          <w:trHeight w:val="368"/>
        </w:trPr>
        <w:tc>
          <w:tcPr>
            <w:tcW w:w="4988" w:type="dxa"/>
          </w:tcPr>
          <w:p w14:paraId="22CA475A" w14:textId="77777777" w:rsidR="00A720EB" w:rsidRDefault="0030286B">
            <w:pPr>
              <w:pStyle w:val="TableParagraph"/>
              <w:spacing w:before="37"/>
              <w:rPr>
                <w:sz w:val="21"/>
              </w:rPr>
            </w:pPr>
            <w:r>
              <w:rPr>
                <w:color w:val="B02045"/>
                <w:sz w:val="21"/>
              </w:rPr>
              <w:t>Hamcrest</w:t>
            </w:r>
          </w:p>
        </w:tc>
        <w:tc>
          <w:tcPr>
            <w:tcW w:w="4988" w:type="dxa"/>
          </w:tcPr>
          <w:p w14:paraId="45200C8E" w14:textId="77777777" w:rsidR="00A720EB" w:rsidRDefault="0030286B">
            <w:pPr>
              <w:pStyle w:val="TableParagraph"/>
              <w:spacing w:before="37"/>
              <w:rPr>
                <w:sz w:val="21"/>
              </w:rPr>
            </w:pPr>
            <w:proofErr w:type="gramStart"/>
            <w:r>
              <w:rPr>
                <w:color w:val="B02045"/>
                <w:sz w:val="21"/>
              </w:rPr>
              <w:t>hamcrest.version</w:t>
            </w:r>
            <w:proofErr w:type="gramEnd"/>
          </w:p>
        </w:tc>
      </w:tr>
      <w:tr w:rsidR="00A720EB" w14:paraId="0AC51F1A" w14:textId="77777777">
        <w:trPr>
          <w:trHeight w:val="368"/>
        </w:trPr>
        <w:tc>
          <w:tcPr>
            <w:tcW w:w="4988" w:type="dxa"/>
          </w:tcPr>
          <w:p w14:paraId="6A04350D" w14:textId="77777777" w:rsidR="00A720EB" w:rsidRDefault="0030286B">
            <w:pPr>
              <w:pStyle w:val="TableParagraph"/>
              <w:rPr>
                <w:sz w:val="21"/>
              </w:rPr>
            </w:pPr>
            <w:r>
              <w:rPr>
                <w:color w:val="B02045"/>
                <w:sz w:val="21"/>
              </w:rPr>
              <w:t>Hazelcast</w:t>
            </w:r>
          </w:p>
        </w:tc>
        <w:tc>
          <w:tcPr>
            <w:tcW w:w="4988" w:type="dxa"/>
          </w:tcPr>
          <w:p w14:paraId="3E743294" w14:textId="77777777" w:rsidR="00A720EB" w:rsidRDefault="0030286B">
            <w:pPr>
              <w:pStyle w:val="TableParagraph"/>
              <w:rPr>
                <w:sz w:val="21"/>
              </w:rPr>
            </w:pPr>
            <w:proofErr w:type="gramStart"/>
            <w:r>
              <w:rPr>
                <w:color w:val="B02045"/>
                <w:sz w:val="21"/>
              </w:rPr>
              <w:t>hazelcast.version</w:t>
            </w:r>
            <w:proofErr w:type="gramEnd"/>
          </w:p>
        </w:tc>
      </w:tr>
      <w:tr w:rsidR="00A720EB" w14:paraId="12E7E98C" w14:textId="77777777">
        <w:trPr>
          <w:trHeight w:val="368"/>
        </w:trPr>
        <w:tc>
          <w:tcPr>
            <w:tcW w:w="4988" w:type="dxa"/>
          </w:tcPr>
          <w:p w14:paraId="4746D8EC" w14:textId="77777777" w:rsidR="00A720EB" w:rsidRDefault="0030286B">
            <w:pPr>
              <w:pStyle w:val="TableParagraph"/>
              <w:rPr>
                <w:sz w:val="21"/>
              </w:rPr>
            </w:pPr>
            <w:r>
              <w:rPr>
                <w:color w:val="B02045"/>
                <w:sz w:val="21"/>
              </w:rPr>
              <w:t>Hazelcast Hibernate5</w:t>
            </w:r>
          </w:p>
        </w:tc>
        <w:tc>
          <w:tcPr>
            <w:tcW w:w="4988" w:type="dxa"/>
          </w:tcPr>
          <w:p w14:paraId="03FCC395" w14:textId="77777777" w:rsidR="00A720EB" w:rsidRDefault="0030286B">
            <w:pPr>
              <w:pStyle w:val="TableParagraph"/>
              <w:rPr>
                <w:sz w:val="21"/>
              </w:rPr>
            </w:pPr>
            <w:r>
              <w:rPr>
                <w:color w:val="B02045"/>
                <w:sz w:val="21"/>
              </w:rPr>
              <w:t>hazelcast-hibernate5.version</w:t>
            </w:r>
          </w:p>
        </w:tc>
      </w:tr>
      <w:tr w:rsidR="00A720EB" w14:paraId="79E46A3A" w14:textId="77777777">
        <w:trPr>
          <w:trHeight w:val="368"/>
        </w:trPr>
        <w:tc>
          <w:tcPr>
            <w:tcW w:w="4988" w:type="dxa"/>
          </w:tcPr>
          <w:p w14:paraId="65F75F19" w14:textId="77777777" w:rsidR="00A720EB" w:rsidRDefault="0030286B">
            <w:pPr>
              <w:pStyle w:val="TableParagraph"/>
              <w:spacing w:before="37"/>
              <w:rPr>
                <w:sz w:val="21"/>
              </w:rPr>
            </w:pPr>
            <w:r>
              <w:rPr>
                <w:color w:val="B02045"/>
                <w:sz w:val="21"/>
              </w:rPr>
              <w:t>Hibernate</w:t>
            </w:r>
          </w:p>
        </w:tc>
        <w:tc>
          <w:tcPr>
            <w:tcW w:w="4988" w:type="dxa"/>
          </w:tcPr>
          <w:p w14:paraId="5E08279C" w14:textId="77777777" w:rsidR="00A720EB" w:rsidRDefault="0030286B">
            <w:pPr>
              <w:pStyle w:val="TableParagraph"/>
              <w:spacing w:before="37"/>
              <w:rPr>
                <w:sz w:val="21"/>
              </w:rPr>
            </w:pPr>
            <w:proofErr w:type="gramStart"/>
            <w:r>
              <w:rPr>
                <w:color w:val="B02045"/>
                <w:sz w:val="21"/>
              </w:rPr>
              <w:t>hibernate.version</w:t>
            </w:r>
            <w:proofErr w:type="gramEnd"/>
          </w:p>
        </w:tc>
      </w:tr>
      <w:tr w:rsidR="00A720EB" w14:paraId="45B52BCE" w14:textId="77777777">
        <w:trPr>
          <w:trHeight w:val="368"/>
        </w:trPr>
        <w:tc>
          <w:tcPr>
            <w:tcW w:w="4988" w:type="dxa"/>
          </w:tcPr>
          <w:p w14:paraId="4ACC3C1D" w14:textId="77777777" w:rsidR="00A720EB" w:rsidRDefault="0030286B">
            <w:pPr>
              <w:pStyle w:val="TableParagraph"/>
              <w:spacing w:before="37"/>
              <w:rPr>
                <w:sz w:val="21"/>
              </w:rPr>
            </w:pPr>
            <w:r>
              <w:rPr>
                <w:color w:val="B02045"/>
                <w:sz w:val="21"/>
              </w:rPr>
              <w:t>Hibernate Validator</w:t>
            </w:r>
          </w:p>
        </w:tc>
        <w:tc>
          <w:tcPr>
            <w:tcW w:w="4988" w:type="dxa"/>
          </w:tcPr>
          <w:p w14:paraId="182B06EB" w14:textId="77777777" w:rsidR="00A720EB" w:rsidRDefault="0030286B">
            <w:pPr>
              <w:pStyle w:val="TableParagraph"/>
              <w:spacing w:before="37"/>
              <w:rPr>
                <w:sz w:val="21"/>
              </w:rPr>
            </w:pPr>
            <w:r>
              <w:rPr>
                <w:color w:val="B02045"/>
                <w:sz w:val="21"/>
              </w:rPr>
              <w:t>hibernate-</w:t>
            </w:r>
            <w:proofErr w:type="gramStart"/>
            <w:r>
              <w:rPr>
                <w:color w:val="B02045"/>
                <w:sz w:val="21"/>
              </w:rPr>
              <w:t>validator.version</w:t>
            </w:r>
            <w:proofErr w:type="gramEnd"/>
          </w:p>
        </w:tc>
      </w:tr>
      <w:tr w:rsidR="00A720EB" w14:paraId="17668324" w14:textId="77777777">
        <w:trPr>
          <w:trHeight w:val="368"/>
        </w:trPr>
        <w:tc>
          <w:tcPr>
            <w:tcW w:w="4988" w:type="dxa"/>
          </w:tcPr>
          <w:p w14:paraId="525E4DC9" w14:textId="77777777" w:rsidR="00A720EB" w:rsidRDefault="0030286B">
            <w:pPr>
              <w:pStyle w:val="TableParagraph"/>
              <w:rPr>
                <w:sz w:val="21"/>
              </w:rPr>
            </w:pPr>
            <w:r>
              <w:rPr>
                <w:color w:val="B02045"/>
                <w:sz w:val="21"/>
              </w:rPr>
              <w:t>HikariCP</w:t>
            </w:r>
          </w:p>
        </w:tc>
        <w:tc>
          <w:tcPr>
            <w:tcW w:w="4988" w:type="dxa"/>
          </w:tcPr>
          <w:p w14:paraId="06DAEA98" w14:textId="77777777" w:rsidR="00A720EB" w:rsidRDefault="0030286B">
            <w:pPr>
              <w:pStyle w:val="TableParagraph"/>
              <w:rPr>
                <w:sz w:val="21"/>
              </w:rPr>
            </w:pPr>
            <w:proofErr w:type="gramStart"/>
            <w:r>
              <w:rPr>
                <w:color w:val="B02045"/>
                <w:sz w:val="21"/>
              </w:rPr>
              <w:t>hikaricp.version</w:t>
            </w:r>
            <w:proofErr w:type="gramEnd"/>
          </w:p>
        </w:tc>
      </w:tr>
      <w:tr w:rsidR="00A720EB" w14:paraId="16F1AC84" w14:textId="77777777">
        <w:trPr>
          <w:trHeight w:val="368"/>
        </w:trPr>
        <w:tc>
          <w:tcPr>
            <w:tcW w:w="4988" w:type="dxa"/>
          </w:tcPr>
          <w:p w14:paraId="52C1BF37" w14:textId="77777777" w:rsidR="00A720EB" w:rsidRDefault="0030286B">
            <w:pPr>
              <w:pStyle w:val="TableParagraph"/>
              <w:rPr>
                <w:sz w:val="21"/>
              </w:rPr>
            </w:pPr>
            <w:r>
              <w:rPr>
                <w:color w:val="B02045"/>
                <w:sz w:val="21"/>
              </w:rPr>
              <w:t>HSQLDB</w:t>
            </w:r>
          </w:p>
        </w:tc>
        <w:tc>
          <w:tcPr>
            <w:tcW w:w="4988" w:type="dxa"/>
          </w:tcPr>
          <w:p w14:paraId="6DD1713A" w14:textId="77777777" w:rsidR="00A720EB" w:rsidRDefault="0030286B">
            <w:pPr>
              <w:pStyle w:val="TableParagraph"/>
              <w:rPr>
                <w:sz w:val="21"/>
              </w:rPr>
            </w:pPr>
            <w:proofErr w:type="gramStart"/>
            <w:r>
              <w:rPr>
                <w:color w:val="B02045"/>
                <w:sz w:val="21"/>
              </w:rPr>
              <w:t>hsqldb.version</w:t>
            </w:r>
            <w:proofErr w:type="gramEnd"/>
          </w:p>
        </w:tc>
      </w:tr>
      <w:tr w:rsidR="00A720EB" w14:paraId="102536B2" w14:textId="77777777">
        <w:trPr>
          <w:trHeight w:val="368"/>
        </w:trPr>
        <w:tc>
          <w:tcPr>
            <w:tcW w:w="4988" w:type="dxa"/>
          </w:tcPr>
          <w:p w14:paraId="507413E7" w14:textId="77777777" w:rsidR="00A720EB" w:rsidRDefault="0030286B">
            <w:pPr>
              <w:pStyle w:val="TableParagraph"/>
              <w:spacing w:before="37"/>
              <w:rPr>
                <w:sz w:val="21"/>
              </w:rPr>
            </w:pPr>
            <w:r>
              <w:rPr>
                <w:color w:val="B02045"/>
                <w:sz w:val="21"/>
              </w:rPr>
              <w:t>HtmlUnit</w:t>
            </w:r>
          </w:p>
        </w:tc>
        <w:tc>
          <w:tcPr>
            <w:tcW w:w="4988" w:type="dxa"/>
          </w:tcPr>
          <w:p w14:paraId="102C577E" w14:textId="77777777" w:rsidR="00A720EB" w:rsidRDefault="0030286B">
            <w:pPr>
              <w:pStyle w:val="TableParagraph"/>
              <w:spacing w:before="37"/>
              <w:rPr>
                <w:sz w:val="21"/>
              </w:rPr>
            </w:pPr>
            <w:proofErr w:type="gramStart"/>
            <w:r>
              <w:rPr>
                <w:color w:val="B02045"/>
                <w:sz w:val="21"/>
              </w:rPr>
              <w:t>htmlunit.version</w:t>
            </w:r>
            <w:proofErr w:type="gramEnd"/>
          </w:p>
        </w:tc>
      </w:tr>
      <w:tr w:rsidR="00A720EB" w14:paraId="14FC1E5E" w14:textId="77777777">
        <w:trPr>
          <w:trHeight w:val="368"/>
        </w:trPr>
        <w:tc>
          <w:tcPr>
            <w:tcW w:w="4988" w:type="dxa"/>
          </w:tcPr>
          <w:p w14:paraId="7EB00DCC" w14:textId="77777777" w:rsidR="00A720EB" w:rsidRDefault="0030286B">
            <w:pPr>
              <w:pStyle w:val="TableParagraph"/>
              <w:spacing w:before="37"/>
              <w:rPr>
                <w:sz w:val="21"/>
              </w:rPr>
            </w:pPr>
            <w:r>
              <w:rPr>
                <w:color w:val="B02045"/>
                <w:sz w:val="21"/>
              </w:rPr>
              <w:t>HttpAsyncClient</w:t>
            </w:r>
          </w:p>
        </w:tc>
        <w:tc>
          <w:tcPr>
            <w:tcW w:w="4988" w:type="dxa"/>
          </w:tcPr>
          <w:p w14:paraId="430E41B9" w14:textId="77777777" w:rsidR="00A720EB" w:rsidRDefault="0030286B">
            <w:pPr>
              <w:pStyle w:val="TableParagraph"/>
              <w:spacing w:before="37"/>
              <w:rPr>
                <w:sz w:val="21"/>
              </w:rPr>
            </w:pPr>
            <w:proofErr w:type="gramStart"/>
            <w:r>
              <w:rPr>
                <w:color w:val="B02045"/>
                <w:sz w:val="21"/>
              </w:rPr>
              <w:t>httpasyncclient.version</w:t>
            </w:r>
            <w:proofErr w:type="gramEnd"/>
          </w:p>
        </w:tc>
      </w:tr>
      <w:tr w:rsidR="00A720EB" w14:paraId="642D9BFB" w14:textId="77777777">
        <w:trPr>
          <w:trHeight w:val="368"/>
        </w:trPr>
        <w:tc>
          <w:tcPr>
            <w:tcW w:w="4988" w:type="dxa"/>
          </w:tcPr>
          <w:p w14:paraId="2725AC8E" w14:textId="77777777" w:rsidR="00A720EB" w:rsidRDefault="0030286B">
            <w:pPr>
              <w:pStyle w:val="TableParagraph"/>
              <w:rPr>
                <w:sz w:val="21"/>
              </w:rPr>
            </w:pPr>
            <w:r>
              <w:rPr>
                <w:color w:val="B02045"/>
                <w:sz w:val="21"/>
              </w:rPr>
              <w:t>HttpClient</w:t>
            </w:r>
          </w:p>
        </w:tc>
        <w:tc>
          <w:tcPr>
            <w:tcW w:w="4988" w:type="dxa"/>
          </w:tcPr>
          <w:p w14:paraId="6B598419" w14:textId="77777777" w:rsidR="00A720EB" w:rsidRDefault="0030286B">
            <w:pPr>
              <w:pStyle w:val="TableParagraph"/>
              <w:rPr>
                <w:sz w:val="21"/>
              </w:rPr>
            </w:pPr>
            <w:proofErr w:type="gramStart"/>
            <w:r>
              <w:rPr>
                <w:color w:val="B02045"/>
                <w:sz w:val="21"/>
              </w:rPr>
              <w:t>httpclient.version</w:t>
            </w:r>
            <w:proofErr w:type="gramEnd"/>
          </w:p>
        </w:tc>
      </w:tr>
      <w:tr w:rsidR="00A720EB" w14:paraId="2E9854F8" w14:textId="77777777">
        <w:trPr>
          <w:trHeight w:val="368"/>
        </w:trPr>
        <w:tc>
          <w:tcPr>
            <w:tcW w:w="4988" w:type="dxa"/>
          </w:tcPr>
          <w:p w14:paraId="44C5D169" w14:textId="77777777" w:rsidR="00A720EB" w:rsidRDefault="0030286B">
            <w:pPr>
              <w:pStyle w:val="TableParagraph"/>
              <w:spacing w:before="37"/>
              <w:rPr>
                <w:sz w:val="21"/>
              </w:rPr>
            </w:pPr>
            <w:r>
              <w:rPr>
                <w:color w:val="B02045"/>
                <w:sz w:val="21"/>
              </w:rPr>
              <w:t>HttpCore</w:t>
            </w:r>
          </w:p>
        </w:tc>
        <w:tc>
          <w:tcPr>
            <w:tcW w:w="4988" w:type="dxa"/>
          </w:tcPr>
          <w:p w14:paraId="73FF9231" w14:textId="77777777" w:rsidR="00A720EB" w:rsidRDefault="0030286B">
            <w:pPr>
              <w:pStyle w:val="TableParagraph"/>
              <w:spacing w:before="37"/>
              <w:rPr>
                <w:sz w:val="21"/>
              </w:rPr>
            </w:pPr>
            <w:proofErr w:type="gramStart"/>
            <w:r>
              <w:rPr>
                <w:color w:val="B02045"/>
                <w:sz w:val="21"/>
              </w:rPr>
              <w:t>httpcore.version</w:t>
            </w:r>
            <w:proofErr w:type="gramEnd"/>
          </w:p>
        </w:tc>
      </w:tr>
      <w:tr w:rsidR="00A720EB" w14:paraId="4EF2D43A" w14:textId="77777777">
        <w:trPr>
          <w:trHeight w:val="368"/>
        </w:trPr>
        <w:tc>
          <w:tcPr>
            <w:tcW w:w="4988" w:type="dxa"/>
          </w:tcPr>
          <w:p w14:paraId="2500689D" w14:textId="77777777" w:rsidR="00A720EB" w:rsidRDefault="0030286B">
            <w:pPr>
              <w:pStyle w:val="TableParagraph"/>
              <w:rPr>
                <w:sz w:val="21"/>
              </w:rPr>
            </w:pPr>
            <w:r>
              <w:rPr>
                <w:color w:val="B02045"/>
                <w:sz w:val="21"/>
              </w:rPr>
              <w:t>Infinispan</w:t>
            </w:r>
          </w:p>
        </w:tc>
        <w:tc>
          <w:tcPr>
            <w:tcW w:w="4988" w:type="dxa"/>
          </w:tcPr>
          <w:p w14:paraId="1BBA238F" w14:textId="77777777" w:rsidR="00A720EB" w:rsidRDefault="0030286B">
            <w:pPr>
              <w:pStyle w:val="TableParagraph"/>
              <w:rPr>
                <w:sz w:val="21"/>
              </w:rPr>
            </w:pPr>
            <w:proofErr w:type="gramStart"/>
            <w:r>
              <w:rPr>
                <w:color w:val="B02045"/>
                <w:sz w:val="21"/>
              </w:rPr>
              <w:t>infinispan.version</w:t>
            </w:r>
            <w:proofErr w:type="gramEnd"/>
          </w:p>
        </w:tc>
      </w:tr>
      <w:tr w:rsidR="00A720EB" w14:paraId="5F26125F" w14:textId="77777777">
        <w:trPr>
          <w:trHeight w:val="368"/>
        </w:trPr>
        <w:tc>
          <w:tcPr>
            <w:tcW w:w="4988" w:type="dxa"/>
          </w:tcPr>
          <w:p w14:paraId="54C4A683" w14:textId="77777777" w:rsidR="00A720EB" w:rsidRDefault="0030286B">
            <w:pPr>
              <w:pStyle w:val="TableParagraph"/>
              <w:spacing w:before="37"/>
              <w:rPr>
                <w:sz w:val="21"/>
              </w:rPr>
            </w:pPr>
            <w:r>
              <w:rPr>
                <w:color w:val="B02045"/>
                <w:sz w:val="21"/>
              </w:rPr>
              <w:t>InfluxDB Java</w:t>
            </w:r>
          </w:p>
        </w:tc>
        <w:tc>
          <w:tcPr>
            <w:tcW w:w="4988" w:type="dxa"/>
          </w:tcPr>
          <w:p w14:paraId="1734C995" w14:textId="77777777" w:rsidR="00A720EB" w:rsidRDefault="0030286B">
            <w:pPr>
              <w:pStyle w:val="TableParagraph"/>
              <w:spacing w:before="37"/>
              <w:rPr>
                <w:sz w:val="21"/>
              </w:rPr>
            </w:pPr>
            <w:r>
              <w:rPr>
                <w:color w:val="B02045"/>
                <w:sz w:val="21"/>
              </w:rPr>
              <w:t>influxdb-</w:t>
            </w:r>
            <w:proofErr w:type="gramStart"/>
            <w:r>
              <w:rPr>
                <w:color w:val="B02045"/>
                <w:sz w:val="21"/>
              </w:rPr>
              <w:t>java.version</w:t>
            </w:r>
            <w:proofErr w:type="gramEnd"/>
          </w:p>
        </w:tc>
      </w:tr>
      <w:tr w:rsidR="00A720EB" w14:paraId="1179B23E" w14:textId="77777777">
        <w:trPr>
          <w:trHeight w:val="368"/>
        </w:trPr>
        <w:tc>
          <w:tcPr>
            <w:tcW w:w="4988" w:type="dxa"/>
          </w:tcPr>
          <w:p w14:paraId="529BBE06" w14:textId="77777777" w:rsidR="00A720EB" w:rsidRDefault="0030286B">
            <w:pPr>
              <w:pStyle w:val="TableParagraph"/>
              <w:rPr>
                <w:sz w:val="21"/>
              </w:rPr>
            </w:pPr>
            <w:r>
              <w:rPr>
                <w:color w:val="B02045"/>
                <w:sz w:val="21"/>
              </w:rPr>
              <w:t>Jackson Bom</w:t>
            </w:r>
          </w:p>
        </w:tc>
        <w:tc>
          <w:tcPr>
            <w:tcW w:w="4988" w:type="dxa"/>
          </w:tcPr>
          <w:p w14:paraId="3BD5BB28" w14:textId="77777777" w:rsidR="00A720EB" w:rsidRDefault="0030286B">
            <w:pPr>
              <w:pStyle w:val="TableParagraph"/>
              <w:rPr>
                <w:sz w:val="21"/>
              </w:rPr>
            </w:pPr>
            <w:r>
              <w:rPr>
                <w:color w:val="B02045"/>
                <w:sz w:val="21"/>
              </w:rPr>
              <w:t>jackson-</w:t>
            </w:r>
            <w:proofErr w:type="gramStart"/>
            <w:r>
              <w:rPr>
                <w:color w:val="B02045"/>
                <w:sz w:val="21"/>
              </w:rPr>
              <w:t>bom.version</w:t>
            </w:r>
            <w:proofErr w:type="gramEnd"/>
          </w:p>
        </w:tc>
      </w:tr>
      <w:tr w:rsidR="00A720EB" w14:paraId="768CFF46" w14:textId="77777777">
        <w:trPr>
          <w:trHeight w:val="368"/>
        </w:trPr>
        <w:tc>
          <w:tcPr>
            <w:tcW w:w="4988" w:type="dxa"/>
          </w:tcPr>
          <w:p w14:paraId="04B7BDA8" w14:textId="77777777" w:rsidR="00A720EB" w:rsidRDefault="0030286B">
            <w:pPr>
              <w:pStyle w:val="TableParagraph"/>
              <w:spacing w:before="37"/>
              <w:rPr>
                <w:sz w:val="21"/>
              </w:rPr>
            </w:pPr>
            <w:r>
              <w:rPr>
                <w:color w:val="B02045"/>
                <w:sz w:val="21"/>
              </w:rPr>
              <w:t>Jakarta Activation</w:t>
            </w:r>
          </w:p>
        </w:tc>
        <w:tc>
          <w:tcPr>
            <w:tcW w:w="4988" w:type="dxa"/>
          </w:tcPr>
          <w:p w14:paraId="17F3944D" w14:textId="77777777" w:rsidR="00A720EB" w:rsidRDefault="0030286B">
            <w:pPr>
              <w:pStyle w:val="TableParagraph"/>
              <w:spacing w:before="37"/>
              <w:rPr>
                <w:sz w:val="21"/>
              </w:rPr>
            </w:pPr>
            <w:r>
              <w:rPr>
                <w:color w:val="B02045"/>
                <w:sz w:val="21"/>
              </w:rPr>
              <w:t>jakarta-</w:t>
            </w:r>
            <w:proofErr w:type="gramStart"/>
            <w:r>
              <w:rPr>
                <w:color w:val="B02045"/>
                <w:sz w:val="21"/>
              </w:rPr>
              <w:t>activation.version</w:t>
            </w:r>
            <w:proofErr w:type="gramEnd"/>
          </w:p>
        </w:tc>
      </w:tr>
      <w:tr w:rsidR="00A720EB" w14:paraId="0636E4D7" w14:textId="77777777">
        <w:trPr>
          <w:trHeight w:val="368"/>
        </w:trPr>
        <w:tc>
          <w:tcPr>
            <w:tcW w:w="4988" w:type="dxa"/>
          </w:tcPr>
          <w:p w14:paraId="1A2A0E34" w14:textId="77777777" w:rsidR="00A720EB" w:rsidRDefault="0030286B">
            <w:pPr>
              <w:pStyle w:val="TableParagraph"/>
              <w:rPr>
                <w:sz w:val="21"/>
              </w:rPr>
            </w:pPr>
            <w:r>
              <w:rPr>
                <w:color w:val="B02045"/>
                <w:sz w:val="21"/>
              </w:rPr>
              <w:t>Jakarta Annotation</w:t>
            </w:r>
          </w:p>
        </w:tc>
        <w:tc>
          <w:tcPr>
            <w:tcW w:w="4988" w:type="dxa"/>
          </w:tcPr>
          <w:p w14:paraId="5A6F9869" w14:textId="77777777" w:rsidR="00A720EB" w:rsidRDefault="0030286B">
            <w:pPr>
              <w:pStyle w:val="TableParagraph"/>
              <w:rPr>
                <w:sz w:val="21"/>
              </w:rPr>
            </w:pPr>
            <w:r>
              <w:rPr>
                <w:color w:val="B02045"/>
                <w:sz w:val="21"/>
              </w:rPr>
              <w:t>jakarta-</w:t>
            </w:r>
            <w:proofErr w:type="gramStart"/>
            <w:r>
              <w:rPr>
                <w:color w:val="B02045"/>
                <w:sz w:val="21"/>
              </w:rPr>
              <w:t>annotation.version</w:t>
            </w:r>
            <w:proofErr w:type="gramEnd"/>
          </w:p>
        </w:tc>
      </w:tr>
      <w:tr w:rsidR="00A720EB" w14:paraId="4ACBAF5E" w14:textId="77777777">
        <w:trPr>
          <w:trHeight w:val="368"/>
        </w:trPr>
        <w:tc>
          <w:tcPr>
            <w:tcW w:w="4988" w:type="dxa"/>
          </w:tcPr>
          <w:p w14:paraId="02F5C6C7" w14:textId="77777777" w:rsidR="00A720EB" w:rsidRDefault="0030286B">
            <w:pPr>
              <w:pStyle w:val="TableParagraph"/>
              <w:rPr>
                <w:sz w:val="21"/>
              </w:rPr>
            </w:pPr>
            <w:r>
              <w:rPr>
                <w:color w:val="B02045"/>
                <w:sz w:val="21"/>
              </w:rPr>
              <w:t>Jakarta JMS</w:t>
            </w:r>
          </w:p>
        </w:tc>
        <w:tc>
          <w:tcPr>
            <w:tcW w:w="4988" w:type="dxa"/>
          </w:tcPr>
          <w:p w14:paraId="29D77C63" w14:textId="77777777" w:rsidR="00A720EB" w:rsidRDefault="0030286B">
            <w:pPr>
              <w:pStyle w:val="TableParagraph"/>
              <w:rPr>
                <w:sz w:val="21"/>
              </w:rPr>
            </w:pPr>
            <w:r>
              <w:rPr>
                <w:color w:val="B02045"/>
                <w:sz w:val="21"/>
              </w:rPr>
              <w:t>jakarta-</w:t>
            </w:r>
            <w:proofErr w:type="gramStart"/>
            <w:r>
              <w:rPr>
                <w:color w:val="B02045"/>
                <w:sz w:val="21"/>
              </w:rPr>
              <w:t>jms.version</w:t>
            </w:r>
            <w:proofErr w:type="gramEnd"/>
          </w:p>
        </w:tc>
      </w:tr>
      <w:tr w:rsidR="00A720EB" w14:paraId="049FD167" w14:textId="77777777">
        <w:trPr>
          <w:trHeight w:val="368"/>
        </w:trPr>
        <w:tc>
          <w:tcPr>
            <w:tcW w:w="4988" w:type="dxa"/>
          </w:tcPr>
          <w:p w14:paraId="03138BFC" w14:textId="77777777" w:rsidR="00A720EB" w:rsidRDefault="0030286B">
            <w:pPr>
              <w:pStyle w:val="TableParagraph"/>
              <w:rPr>
                <w:sz w:val="21"/>
              </w:rPr>
            </w:pPr>
            <w:r>
              <w:rPr>
                <w:color w:val="B02045"/>
                <w:sz w:val="21"/>
              </w:rPr>
              <w:t>Jakarta Json</w:t>
            </w:r>
          </w:p>
        </w:tc>
        <w:tc>
          <w:tcPr>
            <w:tcW w:w="4988" w:type="dxa"/>
          </w:tcPr>
          <w:p w14:paraId="1FEDE611" w14:textId="77777777" w:rsidR="00A720EB" w:rsidRDefault="0030286B">
            <w:pPr>
              <w:pStyle w:val="TableParagraph"/>
              <w:rPr>
                <w:sz w:val="21"/>
              </w:rPr>
            </w:pPr>
            <w:r>
              <w:rPr>
                <w:color w:val="B02045"/>
                <w:sz w:val="21"/>
              </w:rPr>
              <w:t>jakarta-</w:t>
            </w:r>
            <w:proofErr w:type="gramStart"/>
            <w:r>
              <w:rPr>
                <w:color w:val="B02045"/>
                <w:sz w:val="21"/>
              </w:rPr>
              <w:t>json.version</w:t>
            </w:r>
            <w:proofErr w:type="gramEnd"/>
          </w:p>
        </w:tc>
      </w:tr>
      <w:tr w:rsidR="00A720EB" w14:paraId="7DF45E6F" w14:textId="77777777">
        <w:trPr>
          <w:trHeight w:val="368"/>
        </w:trPr>
        <w:tc>
          <w:tcPr>
            <w:tcW w:w="4988" w:type="dxa"/>
          </w:tcPr>
          <w:p w14:paraId="023121E1" w14:textId="77777777" w:rsidR="00A720EB" w:rsidRDefault="0030286B">
            <w:pPr>
              <w:pStyle w:val="TableParagraph"/>
              <w:rPr>
                <w:sz w:val="21"/>
              </w:rPr>
            </w:pPr>
            <w:r>
              <w:rPr>
                <w:color w:val="B02045"/>
                <w:sz w:val="21"/>
              </w:rPr>
              <w:t>Jakarta Json Bind</w:t>
            </w:r>
          </w:p>
        </w:tc>
        <w:tc>
          <w:tcPr>
            <w:tcW w:w="4988" w:type="dxa"/>
          </w:tcPr>
          <w:p w14:paraId="31ED76D4" w14:textId="77777777" w:rsidR="00A720EB" w:rsidRDefault="0030286B">
            <w:pPr>
              <w:pStyle w:val="TableParagraph"/>
              <w:rPr>
                <w:sz w:val="21"/>
              </w:rPr>
            </w:pPr>
            <w:r>
              <w:rPr>
                <w:color w:val="B02045"/>
                <w:sz w:val="21"/>
              </w:rPr>
              <w:t>jakarta-json-</w:t>
            </w:r>
            <w:proofErr w:type="gramStart"/>
            <w:r>
              <w:rPr>
                <w:color w:val="B02045"/>
                <w:sz w:val="21"/>
              </w:rPr>
              <w:t>bind.version</w:t>
            </w:r>
            <w:proofErr w:type="gramEnd"/>
          </w:p>
        </w:tc>
      </w:tr>
    </w:tbl>
    <w:p w14:paraId="22D7BABE"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43BF62D2" w14:textId="77777777">
        <w:trPr>
          <w:trHeight w:val="415"/>
        </w:trPr>
        <w:tc>
          <w:tcPr>
            <w:tcW w:w="4988" w:type="dxa"/>
            <w:tcBorders>
              <w:bottom w:val="single" w:sz="12" w:space="0" w:color="DDDDDD"/>
            </w:tcBorders>
          </w:tcPr>
          <w:p w14:paraId="4923CC96" w14:textId="77777777" w:rsidR="00A720EB" w:rsidRDefault="0030286B">
            <w:pPr>
              <w:pStyle w:val="TableParagraph"/>
              <w:spacing w:before="71"/>
              <w:rPr>
                <w:rFonts w:ascii="Palatino Linotype"/>
                <w:b/>
                <w:sz w:val="21"/>
              </w:rPr>
            </w:pPr>
            <w:r>
              <w:rPr>
                <w:rFonts w:ascii="Palatino Linotype"/>
                <w:b/>
                <w:color w:val="333333"/>
                <w:w w:val="115"/>
                <w:sz w:val="21"/>
              </w:rPr>
              <w:lastRenderedPageBreak/>
              <w:t>Library</w:t>
            </w:r>
          </w:p>
        </w:tc>
        <w:tc>
          <w:tcPr>
            <w:tcW w:w="4988" w:type="dxa"/>
            <w:tcBorders>
              <w:bottom w:val="single" w:sz="12" w:space="0" w:color="DDDDDD"/>
            </w:tcBorders>
          </w:tcPr>
          <w:p w14:paraId="7D6C6DDB" w14:textId="77777777" w:rsidR="00A720EB" w:rsidRDefault="0030286B">
            <w:pPr>
              <w:pStyle w:val="TableParagraph"/>
              <w:spacing w:before="71"/>
              <w:rPr>
                <w:rFonts w:ascii="Palatino Linotype"/>
                <w:b/>
                <w:sz w:val="21"/>
              </w:rPr>
            </w:pPr>
            <w:r>
              <w:rPr>
                <w:rFonts w:ascii="Palatino Linotype"/>
                <w:b/>
                <w:color w:val="333333"/>
                <w:w w:val="110"/>
                <w:sz w:val="21"/>
              </w:rPr>
              <w:t>Version Property</w:t>
            </w:r>
          </w:p>
        </w:tc>
      </w:tr>
      <w:tr w:rsidR="00A720EB" w14:paraId="67B8DDCE" w14:textId="77777777">
        <w:trPr>
          <w:trHeight w:val="358"/>
        </w:trPr>
        <w:tc>
          <w:tcPr>
            <w:tcW w:w="4988" w:type="dxa"/>
            <w:tcBorders>
              <w:top w:val="single" w:sz="12" w:space="0" w:color="DDDDDD"/>
            </w:tcBorders>
          </w:tcPr>
          <w:p w14:paraId="203EDA4C" w14:textId="77777777" w:rsidR="00A720EB" w:rsidRDefault="0030286B">
            <w:pPr>
              <w:pStyle w:val="TableParagraph"/>
              <w:spacing w:before="27"/>
              <w:rPr>
                <w:sz w:val="21"/>
              </w:rPr>
            </w:pPr>
            <w:r>
              <w:rPr>
                <w:color w:val="B02045"/>
                <w:sz w:val="21"/>
              </w:rPr>
              <w:t>Jakarta Mail</w:t>
            </w:r>
          </w:p>
        </w:tc>
        <w:tc>
          <w:tcPr>
            <w:tcW w:w="4988" w:type="dxa"/>
            <w:tcBorders>
              <w:top w:val="single" w:sz="12" w:space="0" w:color="DDDDDD"/>
            </w:tcBorders>
          </w:tcPr>
          <w:p w14:paraId="26495E71" w14:textId="77777777" w:rsidR="00A720EB" w:rsidRDefault="0030286B">
            <w:pPr>
              <w:pStyle w:val="TableParagraph"/>
              <w:spacing w:before="27"/>
              <w:rPr>
                <w:sz w:val="21"/>
              </w:rPr>
            </w:pPr>
            <w:r>
              <w:rPr>
                <w:color w:val="B02045"/>
                <w:sz w:val="21"/>
              </w:rPr>
              <w:t>jakarta-</w:t>
            </w:r>
            <w:proofErr w:type="gramStart"/>
            <w:r>
              <w:rPr>
                <w:color w:val="B02045"/>
                <w:sz w:val="21"/>
              </w:rPr>
              <w:t>mail.version</w:t>
            </w:r>
            <w:proofErr w:type="gramEnd"/>
          </w:p>
        </w:tc>
      </w:tr>
      <w:tr w:rsidR="00A720EB" w14:paraId="7D6097D2" w14:textId="77777777">
        <w:trPr>
          <w:trHeight w:val="368"/>
        </w:trPr>
        <w:tc>
          <w:tcPr>
            <w:tcW w:w="4988" w:type="dxa"/>
          </w:tcPr>
          <w:p w14:paraId="3A220FFD" w14:textId="77777777" w:rsidR="00A720EB" w:rsidRDefault="0030286B">
            <w:pPr>
              <w:pStyle w:val="TableParagraph"/>
              <w:spacing w:before="37"/>
              <w:rPr>
                <w:sz w:val="21"/>
              </w:rPr>
            </w:pPr>
            <w:r>
              <w:rPr>
                <w:color w:val="B02045"/>
                <w:sz w:val="21"/>
              </w:rPr>
              <w:t>Jakarta Persistence</w:t>
            </w:r>
          </w:p>
        </w:tc>
        <w:tc>
          <w:tcPr>
            <w:tcW w:w="4988" w:type="dxa"/>
          </w:tcPr>
          <w:p w14:paraId="47CC22D1" w14:textId="77777777" w:rsidR="00A720EB" w:rsidRDefault="0030286B">
            <w:pPr>
              <w:pStyle w:val="TableParagraph"/>
              <w:spacing w:before="37"/>
              <w:rPr>
                <w:sz w:val="21"/>
              </w:rPr>
            </w:pPr>
            <w:r>
              <w:rPr>
                <w:color w:val="B02045"/>
                <w:sz w:val="21"/>
              </w:rPr>
              <w:t>jakarta-</w:t>
            </w:r>
            <w:proofErr w:type="gramStart"/>
            <w:r>
              <w:rPr>
                <w:color w:val="B02045"/>
                <w:sz w:val="21"/>
              </w:rPr>
              <w:t>persistence.version</w:t>
            </w:r>
            <w:proofErr w:type="gramEnd"/>
          </w:p>
        </w:tc>
      </w:tr>
      <w:tr w:rsidR="00A720EB" w14:paraId="3CF7593E" w14:textId="77777777">
        <w:trPr>
          <w:trHeight w:val="368"/>
        </w:trPr>
        <w:tc>
          <w:tcPr>
            <w:tcW w:w="4988" w:type="dxa"/>
          </w:tcPr>
          <w:p w14:paraId="7DAD42B4" w14:textId="77777777" w:rsidR="00A720EB" w:rsidRDefault="0030286B">
            <w:pPr>
              <w:pStyle w:val="TableParagraph"/>
              <w:spacing w:before="37"/>
              <w:rPr>
                <w:sz w:val="21"/>
              </w:rPr>
            </w:pPr>
            <w:r>
              <w:rPr>
                <w:color w:val="B02045"/>
                <w:sz w:val="21"/>
              </w:rPr>
              <w:t>Jakarta Servlet</w:t>
            </w:r>
          </w:p>
        </w:tc>
        <w:tc>
          <w:tcPr>
            <w:tcW w:w="4988" w:type="dxa"/>
          </w:tcPr>
          <w:p w14:paraId="7AE4F77C" w14:textId="77777777" w:rsidR="00A720EB" w:rsidRDefault="0030286B">
            <w:pPr>
              <w:pStyle w:val="TableParagraph"/>
              <w:spacing w:before="37"/>
              <w:rPr>
                <w:sz w:val="21"/>
              </w:rPr>
            </w:pPr>
            <w:r>
              <w:rPr>
                <w:color w:val="B02045"/>
                <w:sz w:val="21"/>
              </w:rPr>
              <w:t>jakarta-</w:t>
            </w:r>
            <w:proofErr w:type="gramStart"/>
            <w:r>
              <w:rPr>
                <w:color w:val="B02045"/>
                <w:sz w:val="21"/>
              </w:rPr>
              <w:t>servlet.version</w:t>
            </w:r>
            <w:proofErr w:type="gramEnd"/>
          </w:p>
        </w:tc>
      </w:tr>
      <w:tr w:rsidR="00A720EB" w14:paraId="5C7FCF39" w14:textId="77777777">
        <w:trPr>
          <w:trHeight w:val="368"/>
        </w:trPr>
        <w:tc>
          <w:tcPr>
            <w:tcW w:w="4988" w:type="dxa"/>
          </w:tcPr>
          <w:p w14:paraId="78276979" w14:textId="77777777" w:rsidR="00A720EB" w:rsidRDefault="0030286B">
            <w:pPr>
              <w:pStyle w:val="TableParagraph"/>
              <w:rPr>
                <w:sz w:val="21"/>
              </w:rPr>
            </w:pPr>
            <w:r>
              <w:rPr>
                <w:color w:val="B02045"/>
                <w:sz w:val="21"/>
              </w:rPr>
              <w:t>Jakarta Servlet JSP JSTL</w:t>
            </w:r>
          </w:p>
        </w:tc>
        <w:tc>
          <w:tcPr>
            <w:tcW w:w="4988" w:type="dxa"/>
          </w:tcPr>
          <w:p w14:paraId="1B0651E0" w14:textId="77777777" w:rsidR="00A720EB" w:rsidRDefault="0030286B">
            <w:pPr>
              <w:pStyle w:val="TableParagraph"/>
              <w:rPr>
                <w:sz w:val="21"/>
              </w:rPr>
            </w:pPr>
            <w:r>
              <w:rPr>
                <w:color w:val="B02045"/>
                <w:sz w:val="21"/>
              </w:rPr>
              <w:t>jakarta-servlet-jsp-</w:t>
            </w:r>
            <w:proofErr w:type="gramStart"/>
            <w:r>
              <w:rPr>
                <w:color w:val="B02045"/>
                <w:sz w:val="21"/>
              </w:rPr>
              <w:t>jstl.version</w:t>
            </w:r>
            <w:proofErr w:type="gramEnd"/>
          </w:p>
        </w:tc>
      </w:tr>
      <w:tr w:rsidR="00A720EB" w14:paraId="4326D458" w14:textId="77777777">
        <w:trPr>
          <w:trHeight w:val="368"/>
        </w:trPr>
        <w:tc>
          <w:tcPr>
            <w:tcW w:w="4988" w:type="dxa"/>
          </w:tcPr>
          <w:p w14:paraId="2E3D972C" w14:textId="77777777" w:rsidR="00A720EB" w:rsidRDefault="0030286B">
            <w:pPr>
              <w:pStyle w:val="TableParagraph"/>
              <w:rPr>
                <w:sz w:val="21"/>
              </w:rPr>
            </w:pPr>
            <w:r>
              <w:rPr>
                <w:color w:val="B02045"/>
                <w:sz w:val="21"/>
              </w:rPr>
              <w:t>Jakarta Transaction</w:t>
            </w:r>
          </w:p>
        </w:tc>
        <w:tc>
          <w:tcPr>
            <w:tcW w:w="4988" w:type="dxa"/>
          </w:tcPr>
          <w:p w14:paraId="0BDD482E" w14:textId="77777777" w:rsidR="00A720EB" w:rsidRDefault="0030286B">
            <w:pPr>
              <w:pStyle w:val="TableParagraph"/>
              <w:rPr>
                <w:sz w:val="21"/>
              </w:rPr>
            </w:pPr>
            <w:r>
              <w:rPr>
                <w:color w:val="B02045"/>
                <w:sz w:val="21"/>
              </w:rPr>
              <w:t>jakarta-</w:t>
            </w:r>
            <w:proofErr w:type="gramStart"/>
            <w:r>
              <w:rPr>
                <w:color w:val="B02045"/>
                <w:sz w:val="21"/>
              </w:rPr>
              <w:t>transaction.version</w:t>
            </w:r>
            <w:proofErr w:type="gramEnd"/>
          </w:p>
        </w:tc>
      </w:tr>
      <w:tr w:rsidR="00A720EB" w14:paraId="0AD4C316" w14:textId="77777777">
        <w:trPr>
          <w:trHeight w:val="368"/>
        </w:trPr>
        <w:tc>
          <w:tcPr>
            <w:tcW w:w="4988" w:type="dxa"/>
          </w:tcPr>
          <w:p w14:paraId="43AD0052" w14:textId="77777777" w:rsidR="00A720EB" w:rsidRDefault="0030286B">
            <w:pPr>
              <w:pStyle w:val="TableParagraph"/>
              <w:rPr>
                <w:sz w:val="21"/>
              </w:rPr>
            </w:pPr>
            <w:r>
              <w:rPr>
                <w:color w:val="B02045"/>
                <w:sz w:val="21"/>
              </w:rPr>
              <w:t>Jakarta Validation</w:t>
            </w:r>
          </w:p>
        </w:tc>
        <w:tc>
          <w:tcPr>
            <w:tcW w:w="4988" w:type="dxa"/>
          </w:tcPr>
          <w:p w14:paraId="5EF22726" w14:textId="77777777" w:rsidR="00A720EB" w:rsidRDefault="0030286B">
            <w:pPr>
              <w:pStyle w:val="TableParagraph"/>
              <w:rPr>
                <w:sz w:val="21"/>
              </w:rPr>
            </w:pPr>
            <w:r>
              <w:rPr>
                <w:color w:val="B02045"/>
                <w:sz w:val="21"/>
              </w:rPr>
              <w:t>jakarta-</w:t>
            </w:r>
            <w:proofErr w:type="gramStart"/>
            <w:r>
              <w:rPr>
                <w:color w:val="B02045"/>
                <w:sz w:val="21"/>
              </w:rPr>
              <w:t>validation.version</w:t>
            </w:r>
            <w:proofErr w:type="gramEnd"/>
          </w:p>
        </w:tc>
      </w:tr>
      <w:tr w:rsidR="00A720EB" w14:paraId="2480B67C" w14:textId="77777777">
        <w:trPr>
          <w:trHeight w:val="368"/>
        </w:trPr>
        <w:tc>
          <w:tcPr>
            <w:tcW w:w="4988" w:type="dxa"/>
          </w:tcPr>
          <w:p w14:paraId="1F4CD426" w14:textId="77777777" w:rsidR="00A720EB" w:rsidRDefault="0030286B">
            <w:pPr>
              <w:pStyle w:val="TableParagraph"/>
              <w:rPr>
                <w:sz w:val="21"/>
              </w:rPr>
            </w:pPr>
            <w:r>
              <w:rPr>
                <w:color w:val="B02045"/>
                <w:sz w:val="21"/>
              </w:rPr>
              <w:t>Jakarta WebSocket</w:t>
            </w:r>
          </w:p>
        </w:tc>
        <w:tc>
          <w:tcPr>
            <w:tcW w:w="4988" w:type="dxa"/>
          </w:tcPr>
          <w:p w14:paraId="61736F46" w14:textId="77777777" w:rsidR="00A720EB" w:rsidRDefault="0030286B">
            <w:pPr>
              <w:pStyle w:val="TableParagraph"/>
              <w:rPr>
                <w:sz w:val="21"/>
              </w:rPr>
            </w:pPr>
            <w:r>
              <w:rPr>
                <w:color w:val="B02045"/>
                <w:sz w:val="21"/>
              </w:rPr>
              <w:t>jakarta-</w:t>
            </w:r>
            <w:proofErr w:type="gramStart"/>
            <w:r>
              <w:rPr>
                <w:color w:val="B02045"/>
                <w:sz w:val="21"/>
              </w:rPr>
              <w:t>websocket.version</w:t>
            </w:r>
            <w:proofErr w:type="gramEnd"/>
          </w:p>
        </w:tc>
      </w:tr>
      <w:tr w:rsidR="00A720EB" w14:paraId="3E2C8800" w14:textId="77777777">
        <w:trPr>
          <w:trHeight w:val="368"/>
        </w:trPr>
        <w:tc>
          <w:tcPr>
            <w:tcW w:w="4988" w:type="dxa"/>
          </w:tcPr>
          <w:p w14:paraId="78E575A8" w14:textId="77777777" w:rsidR="00A720EB" w:rsidRDefault="0030286B">
            <w:pPr>
              <w:pStyle w:val="TableParagraph"/>
              <w:spacing w:before="37"/>
              <w:rPr>
                <w:sz w:val="21"/>
              </w:rPr>
            </w:pPr>
            <w:r>
              <w:rPr>
                <w:color w:val="B02045"/>
                <w:sz w:val="21"/>
              </w:rPr>
              <w:t>Jakarta WS RS</w:t>
            </w:r>
          </w:p>
        </w:tc>
        <w:tc>
          <w:tcPr>
            <w:tcW w:w="4988" w:type="dxa"/>
          </w:tcPr>
          <w:p w14:paraId="15DF9A3B" w14:textId="77777777" w:rsidR="00A720EB" w:rsidRDefault="0030286B">
            <w:pPr>
              <w:pStyle w:val="TableParagraph"/>
              <w:spacing w:before="37"/>
              <w:rPr>
                <w:sz w:val="21"/>
              </w:rPr>
            </w:pPr>
            <w:r>
              <w:rPr>
                <w:color w:val="B02045"/>
                <w:sz w:val="21"/>
              </w:rPr>
              <w:t>jakarta-ws-</w:t>
            </w:r>
            <w:proofErr w:type="gramStart"/>
            <w:r>
              <w:rPr>
                <w:color w:val="B02045"/>
                <w:sz w:val="21"/>
              </w:rPr>
              <w:t>rs.version</w:t>
            </w:r>
            <w:proofErr w:type="gramEnd"/>
          </w:p>
        </w:tc>
      </w:tr>
      <w:tr w:rsidR="00A720EB" w14:paraId="16CB122A" w14:textId="77777777">
        <w:trPr>
          <w:trHeight w:val="368"/>
        </w:trPr>
        <w:tc>
          <w:tcPr>
            <w:tcW w:w="4988" w:type="dxa"/>
          </w:tcPr>
          <w:p w14:paraId="4D6A352D" w14:textId="77777777" w:rsidR="00A720EB" w:rsidRDefault="0030286B">
            <w:pPr>
              <w:pStyle w:val="TableParagraph"/>
              <w:spacing w:before="37"/>
              <w:rPr>
                <w:sz w:val="21"/>
              </w:rPr>
            </w:pPr>
            <w:r>
              <w:rPr>
                <w:color w:val="B02045"/>
                <w:sz w:val="21"/>
              </w:rPr>
              <w:t>Jakarta XML Bind</w:t>
            </w:r>
          </w:p>
        </w:tc>
        <w:tc>
          <w:tcPr>
            <w:tcW w:w="4988" w:type="dxa"/>
          </w:tcPr>
          <w:p w14:paraId="7E86DCA1" w14:textId="77777777" w:rsidR="00A720EB" w:rsidRDefault="0030286B">
            <w:pPr>
              <w:pStyle w:val="TableParagraph"/>
              <w:spacing w:before="37"/>
              <w:rPr>
                <w:sz w:val="21"/>
              </w:rPr>
            </w:pPr>
            <w:r>
              <w:rPr>
                <w:color w:val="B02045"/>
                <w:sz w:val="21"/>
              </w:rPr>
              <w:t>jakarta-xml-</w:t>
            </w:r>
            <w:proofErr w:type="gramStart"/>
            <w:r>
              <w:rPr>
                <w:color w:val="B02045"/>
                <w:sz w:val="21"/>
              </w:rPr>
              <w:t>bind.version</w:t>
            </w:r>
            <w:proofErr w:type="gramEnd"/>
          </w:p>
        </w:tc>
      </w:tr>
      <w:tr w:rsidR="00A720EB" w14:paraId="1CB4A1DD" w14:textId="77777777">
        <w:trPr>
          <w:trHeight w:val="368"/>
        </w:trPr>
        <w:tc>
          <w:tcPr>
            <w:tcW w:w="4988" w:type="dxa"/>
          </w:tcPr>
          <w:p w14:paraId="07848A89" w14:textId="77777777" w:rsidR="00A720EB" w:rsidRDefault="0030286B">
            <w:pPr>
              <w:pStyle w:val="TableParagraph"/>
              <w:spacing w:before="37"/>
              <w:rPr>
                <w:sz w:val="21"/>
              </w:rPr>
            </w:pPr>
            <w:r>
              <w:rPr>
                <w:color w:val="B02045"/>
                <w:sz w:val="21"/>
              </w:rPr>
              <w:t>Jakarta XML SOAP</w:t>
            </w:r>
          </w:p>
        </w:tc>
        <w:tc>
          <w:tcPr>
            <w:tcW w:w="4988" w:type="dxa"/>
          </w:tcPr>
          <w:p w14:paraId="02C362DE" w14:textId="77777777" w:rsidR="00A720EB" w:rsidRDefault="0030286B">
            <w:pPr>
              <w:pStyle w:val="TableParagraph"/>
              <w:spacing w:before="37"/>
              <w:rPr>
                <w:sz w:val="21"/>
              </w:rPr>
            </w:pPr>
            <w:r>
              <w:rPr>
                <w:color w:val="B02045"/>
                <w:sz w:val="21"/>
              </w:rPr>
              <w:t>jakarta-xml-</w:t>
            </w:r>
            <w:proofErr w:type="gramStart"/>
            <w:r>
              <w:rPr>
                <w:color w:val="B02045"/>
                <w:sz w:val="21"/>
              </w:rPr>
              <w:t>soap.version</w:t>
            </w:r>
            <w:proofErr w:type="gramEnd"/>
          </w:p>
        </w:tc>
      </w:tr>
      <w:tr w:rsidR="00A720EB" w14:paraId="2049591B" w14:textId="77777777">
        <w:trPr>
          <w:trHeight w:val="368"/>
        </w:trPr>
        <w:tc>
          <w:tcPr>
            <w:tcW w:w="4988" w:type="dxa"/>
          </w:tcPr>
          <w:p w14:paraId="58B24C24" w14:textId="77777777" w:rsidR="00A720EB" w:rsidRDefault="0030286B">
            <w:pPr>
              <w:pStyle w:val="TableParagraph"/>
              <w:spacing w:before="37"/>
              <w:rPr>
                <w:sz w:val="21"/>
              </w:rPr>
            </w:pPr>
            <w:r>
              <w:rPr>
                <w:color w:val="B02045"/>
                <w:sz w:val="21"/>
              </w:rPr>
              <w:t>Jakarta XML WS</w:t>
            </w:r>
          </w:p>
        </w:tc>
        <w:tc>
          <w:tcPr>
            <w:tcW w:w="4988" w:type="dxa"/>
          </w:tcPr>
          <w:p w14:paraId="4B1FDC0A" w14:textId="77777777" w:rsidR="00A720EB" w:rsidRDefault="0030286B">
            <w:pPr>
              <w:pStyle w:val="TableParagraph"/>
              <w:spacing w:before="37"/>
              <w:rPr>
                <w:sz w:val="21"/>
              </w:rPr>
            </w:pPr>
            <w:r>
              <w:rPr>
                <w:color w:val="B02045"/>
                <w:sz w:val="21"/>
              </w:rPr>
              <w:t>jakarta-xml-</w:t>
            </w:r>
            <w:proofErr w:type="gramStart"/>
            <w:r>
              <w:rPr>
                <w:color w:val="B02045"/>
                <w:sz w:val="21"/>
              </w:rPr>
              <w:t>ws.version</w:t>
            </w:r>
            <w:proofErr w:type="gramEnd"/>
          </w:p>
        </w:tc>
      </w:tr>
      <w:tr w:rsidR="00A720EB" w14:paraId="04B73418" w14:textId="77777777">
        <w:trPr>
          <w:trHeight w:val="368"/>
        </w:trPr>
        <w:tc>
          <w:tcPr>
            <w:tcW w:w="4988" w:type="dxa"/>
          </w:tcPr>
          <w:p w14:paraId="38EC22BF" w14:textId="77777777" w:rsidR="00A720EB" w:rsidRDefault="0030286B">
            <w:pPr>
              <w:pStyle w:val="TableParagraph"/>
              <w:rPr>
                <w:sz w:val="21"/>
              </w:rPr>
            </w:pPr>
            <w:r>
              <w:rPr>
                <w:color w:val="B02045"/>
                <w:sz w:val="21"/>
              </w:rPr>
              <w:t>Janino</w:t>
            </w:r>
          </w:p>
        </w:tc>
        <w:tc>
          <w:tcPr>
            <w:tcW w:w="4988" w:type="dxa"/>
          </w:tcPr>
          <w:p w14:paraId="55FDCD3B" w14:textId="77777777" w:rsidR="00A720EB" w:rsidRDefault="0030286B">
            <w:pPr>
              <w:pStyle w:val="TableParagraph"/>
              <w:rPr>
                <w:sz w:val="21"/>
              </w:rPr>
            </w:pPr>
            <w:proofErr w:type="gramStart"/>
            <w:r>
              <w:rPr>
                <w:color w:val="B02045"/>
                <w:sz w:val="21"/>
              </w:rPr>
              <w:t>janino.version</w:t>
            </w:r>
            <w:proofErr w:type="gramEnd"/>
          </w:p>
        </w:tc>
      </w:tr>
      <w:tr w:rsidR="00A720EB" w14:paraId="5686C987" w14:textId="77777777">
        <w:trPr>
          <w:trHeight w:val="368"/>
        </w:trPr>
        <w:tc>
          <w:tcPr>
            <w:tcW w:w="4988" w:type="dxa"/>
          </w:tcPr>
          <w:p w14:paraId="0356202A" w14:textId="77777777" w:rsidR="00A720EB" w:rsidRDefault="0030286B">
            <w:pPr>
              <w:pStyle w:val="TableParagraph"/>
              <w:rPr>
                <w:sz w:val="21"/>
              </w:rPr>
            </w:pPr>
            <w:r>
              <w:rPr>
                <w:color w:val="B02045"/>
                <w:sz w:val="21"/>
              </w:rPr>
              <w:t>Javax Activation</w:t>
            </w:r>
          </w:p>
        </w:tc>
        <w:tc>
          <w:tcPr>
            <w:tcW w:w="4988" w:type="dxa"/>
          </w:tcPr>
          <w:p w14:paraId="1A1C9B84" w14:textId="77777777" w:rsidR="00A720EB" w:rsidRDefault="0030286B">
            <w:pPr>
              <w:pStyle w:val="TableParagraph"/>
              <w:rPr>
                <w:sz w:val="21"/>
              </w:rPr>
            </w:pPr>
            <w:r>
              <w:rPr>
                <w:color w:val="B02045"/>
                <w:sz w:val="21"/>
              </w:rPr>
              <w:t>javax-</w:t>
            </w:r>
            <w:proofErr w:type="gramStart"/>
            <w:r>
              <w:rPr>
                <w:color w:val="B02045"/>
                <w:sz w:val="21"/>
              </w:rPr>
              <w:t>activation.version</w:t>
            </w:r>
            <w:proofErr w:type="gramEnd"/>
          </w:p>
        </w:tc>
      </w:tr>
      <w:tr w:rsidR="00A720EB" w14:paraId="2E0B5D51" w14:textId="77777777">
        <w:trPr>
          <w:trHeight w:val="368"/>
        </w:trPr>
        <w:tc>
          <w:tcPr>
            <w:tcW w:w="4988" w:type="dxa"/>
          </w:tcPr>
          <w:p w14:paraId="0BEE3130" w14:textId="77777777" w:rsidR="00A720EB" w:rsidRDefault="0030286B">
            <w:pPr>
              <w:pStyle w:val="TableParagraph"/>
              <w:rPr>
                <w:sz w:val="21"/>
              </w:rPr>
            </w:pPr>
            <w:r>
              <w:rPr>
                <w:color w:val="B02045"/>
                <w:sz w:val="21"/>
              </w:rPr>
              <w:t>Javax Annotation</w:t>
            </w:r>
          </w:p>
        </w:tc>
        <w:tc>
          <w:tcPr>
            <w:tcW w:w="4988" w:type="dxa"/>
          </w:tcPr>
          <w:p w14:paraId="4BE1BC8D" w14:textId="77777777" w:rsidR="00A720EB" w:rsidRDefault="0030286B">
            <w:pPr>
              <w:pStyle w:val="TableParagraph"/>
              <w:rPr>
                <w:sz w:val="21"/>
              </w:rPr>
            </w:pPr>
            <w:r>
              <w:rPr>
                <w:color w:val="B02045"/>
                <w:sz w:val="21"/>
              </w:rPr>
              <w:t>javax-</w:t>
            </w:r>
            <w:proofErr w:type="gramStart"/>
            <w:r>
              <w:rPr>
                <w:color w:val="B02045"/>
                <w:sz w:val="21"/>
              </w:rPr>
              <w:t>annotation.version</w:t>
            </w:r>
            <w:proofErr w:type="gramEnd"/>
          </w:p>
        </w:tc>
      </w:tr>
      <w:tr w:rsidR="00A720EB" w14:paraId="31A32B23" w14:textId="77777777">
        <w:trPr>
          <w:trHeight w:val="368"/>
        </w:trPr>
        <w:tc>
          <w:tcPr>
            <w:tcW w:w="4988" w:type="dxa"/>
          </w:tcPr>
          <w:p w14:paraId="0507BC14" w14:textId="77777777" w:rsidR="00A720EB" w:rsidRDefault="0030286B">
            <w:pPr>
              <w:pStyle w:val="TableParagraph"/>
              <w:spacing w:before="37"/>
              <w:rPr>
                <w:sz w:val="21"/>
              </w:rPr>
            </w:pPr>
            <w:r>
              <w:rPr>
                <w:color w:val="B02045"/>
                <w:sz w:val="21"/>
              </w:rPr>
              <w:t>Javax Cache</w:t>
            </w:r>
          </w:p>
        </w:tc>
        <w:tc>
          <w:tcPr>
            <w:tcW w:w="4988" w:type="dxa"/>
          </w:tcPr>
          <w:p w14:paraId="14C701F7" w14:textId="77777777" w:rsidR="00A720EB" w:rsidRDefault="0030286B">
            <w:pPr>
              <w:pStyle w:val="TableParagraph"/>
              <w:spacing w:before="37"/>
              <w:rPr>
                <w:sz w:val="21"/>
              </w:rPr>
            </w:pPr>
            <w:r>
              <w:rPr>
                <w:color w:val="B02045"/>
                <w:sz w:val="21"/>
              </w:rPr>
              <w:t>javax-</w:t>
            </w:r>
            <w:proofErr w:type="gramStart"/>
            <w:r>
              <w:rPr>
                <w:color w:val="B02045"/>
                <w:sz w:val="21"/>
              </w:rPr>
              <w:t>cache.version</w:t>
            </w:r>
            <w:proofErr w:type="gramEnd"/>
          </w:p>
        </w:tc>
      </w:tr>
      <w:tr w:rsidR="00A720EB" w14:paraId="4B0CE6AE" w14:textId="77777777">
        <w:trPr>
          <w:trHeight w:val="368"/>
        </w:trPr>
        <w:tc>
          <w:tcPr>
            <w:tcW w:w="4988" w:type="dxa"/>
          </w:tcPr>
          <w:p w14:paraId="5BBA9F5A" w14:textId="77777777" w:rsidR="00A720EB" w:rsidRDefault="0030286B">
            <w:pPr>
              <w:pStyle w:val="TableParagraph"/>
              <w:rPr>
                <w:sz w:val="21"/>
              </w:rPr>
            </w:pPr>
            <w:r>
              <w:rPr>
                <w:color w:val="B02045"/>
                <w:sz w:val="21"/>
              </w:rPr>
              <w:t>Javax JAXB</w:t>
            </w:r>
          </w:p>
        </w:tc>
        <w:tc>
          <w:tcPr>
            <w:tcW w:w="4988" w:type="dxa"/>
          </w:tcPr>
          <w:p w14:paraId="21801E08" w14:textId="77777777" w:rsidR="00A720EB" w:rsidRDefault="0030286B">
            <w:pPr>
              <w:pStyle w:val="TableParagraph"/>
              <w:rPr>
                <w:sz w:val="21"/>
              </w:rPr>
            </w:pPr>
            <w:r>
              <w:rPr>
                <w:color w:val="B02045"/>
                <w:sz w:val="21"/>
              </w:rPr>
              <w:t>javax-</w:t>
            </w:r>
            <w:proofErr w:type="gramStart"/>
            <w:r>
              <w:rPr>
                <w:color w:val="B02045"/>
                <w:sz w:val="21"/>
              </w:rPr>
              <w:t>jaxb.version</w:t>
            </w:r>
            <w:proofErr w:type="gramEnd"/>
          </w:p>
        </w:tc>
      </w:tr>
      <w:tr w:rsidR="00A720EB" w14:paraId="5F81C0AF" w14:textId="77777777">
        <w:trPr>
          <w:trHeight w:val="368"/>
        </w:trPr>
        <w:tc>
          <w:tcPr>
            <w:tcW w:w="4988" w:type="dxa"/>
          </w:tcPr>
          <w:p w14:paraId="48FA8FE1" w14:textId="77777777" w:rsidR="00A720EB" w:rsidRDefault="0030286B">
            <w:pPr>
              <w:pStyle w:val="TableParagraph"/>
              <w:rPr>
                <w:sz w:val="21"/>
              </w:rPr>
            </w:pPr>
            <w:r>
              <w:rPr>
                <w:color w:val="B02045"/>
                <w:sz w:val="21"/>
              </w:rPr>
              <w:t>Javax JAXWS</w:t>
            </w:r>
          </w:p>
        </w:tc>
        <w:tc>
          <w:tcPr>
            <w:tcW w:w="4988" w:type="dxa"/>
          </w:tcPr>
          <w:p w14:paraId="4F6E8F71" w14:textId="77777777" w:rsidR="00A720EB" w:rsidRDefault="0030286B">
            <w:pPr>
              <w:pStyle w:val="TableParagraph"/>
              <w:rPr>
                <w:sz w:val="21"/>
              </w:rPr>
            </w:pPr>
            <w:r>
              <w:rPr>
                <w:color w:val="B02045"/>
                <w:sz w:val="21"/>
              </w:rPr>
              <w:t>javax-</w:t>
            </w:r>
            <w:proofErr w:type="gramStart"/>
            <w:r>
              <w:rPr>
                <w:color w:val="B02045"/>
                <w:sz w:val="21"/>
              </w:rPr>
              <w:t>jaxws.version</w:t>
            </w:r>
            <w:proofErr w:type="gramEnd"/>
          </w:p>
        </w:tc>
      </w:tr>
      <w:tr w:rsidR="00A720EB" w14:paraId="6E801407" w14:textId="77777777">
        <w:trPr>
          <w:trHeight w:val="368"/>
        </w:trPr>
        <w:tc>
          <w:tcPr>
            <w:tcW w:w="4988" w:type="dxa"/>
          </w:tcPr>
          <w:p w14:paraId="0FC9E33A" w14:textId="77777777" w:rsidR="00A720EB" w:rsidRDefault="0030286B">
            <w:pPr>
              <w:pStyle w:val="TableParagraph"/>
              <w:spacing w:before="37"/>
              <w:rPr>
                <w:sz w:val="21"/>
              </w:rPr>
            </w:pPr>
            <w:r>
              <w:rPr>
                <w:color w:val="B02045"/>
                <w:sz w:val="21"/>
              </w:rPr>
              <w:t>Javax JMS</w:t>
            </w:r>
          </w:p>
        </w:tc>
        <w:tc>
          <w:tcPr>
            <w:tcW w:w="4988" w:type="dxa"/>
          </w:tcPr>
          <w:p w14:paraId="4F1EDFE4" w14:textId="77777777" w:rsidR="00A720EB" w:rsidRDefault="0030286B">
            <w:pPr>
              <w:pStyle w:val="TableParagraph"/>
              <w:spacing w:before="37"/>
              <w:rPr>
                <w:sz w:val="21"/>
              </w:rPr>
            </w:pPr>
            <w:r>
              <w:rPr>
                <w:color w:val="B02045"/>
                <w:sz w:val="21"/>
              </w:rPr>
              <w:t>javax-</w:t>
            </w:r>
            <w:proofErr w:type="gramStart"/>
            <w:r>
              <w:rPr>
                <w:color w:val="B02045"/>
                <w:sz w:val="21"/>
              </w:rPr>
              <w:t>jms.version</w:t>
            </w:r>
            <w:proofErr w:type="gramEnd"/>
          </w:p>
        </w:tc>
      </w:tr>
      <w:tr w:rsidR="00A720EB" w14:paraId="7ACE8B44" w14:textId="77777777">
        <w:trPr>
          <w:trHeight w:val="368"/>
        </w:trPr>
        <w:tc>
          <w:tcPr>
            <w:tcW w:w="4988" w:type="dxa"/>
          </w:tcPr>
          <w:p w14:paraId="428D4774" w14:textId="77777777" w:rsidR="00A720EB" w:rsidRDefault="0030286B">
            <w:pPr>
              <w:pStyle w:val="TableParagraph"/>
              <w:spacing w:before="37"/>
              <w:rPr>
                <w:sz w:val="21"/>
              </w:rPr>
            </w:pPr>
            <w:r>
              <w:rPr>
                <w:color w:val="B02045"/>
                <w:sz w:val="21"/>
              </w:rPr>
              <w:t>Javax Json</w:t>
            </w:r>
          </w:p>
        </w:tc>
        <w:tc>
          <w:tcPr>
            <w:tcW w:w="4988" w:type="dxa"/>
          </w:tcPr>
          <w:p w14:paraId="40FB112C" w14:textId="77777777" w:rsidR="00A720EB" w:rsidRDefault="0030286B">
            <w:pPr>
              <w:pStyle w:val="TableParagraph"/>
              <w:spacing w:before="37"/>
              <w:rPr>
                <w:sz w:val="21"/>
              </w:rPr>
            </w:pPr>
            <w:r>
              <w:rPr>
                <w:color w:val="B02045"/>
                <w:sz w:val="21"/>
              </w:rPr>
              <w:t>javax-</w:t>
            </w:r>
            <w:proofErr w:type="gramStart"/>
            <w:r>
              <w:rPr>
                <w:color w:val="B02045"/>
                <w:sz w:val="21"/>
              </w:rPr>
              <w:t>json.version</w:t>
            </w:r>
            <w:proofErr w:type="gramEnd"/>
          </w:p>
        </w:tc>
      </w:tr>
      <w:tr w:rsidR="00A720EB" w14:paraId="176948AC" w14:textId="77777777">
        <w:trPr>
          <w:trHeight w:val="368"/>
        </w:trPr>
        <w:tc>
          <w:tcPr>
            <w:tcW w:w="4988" w:type="dxa"/>
          </w:tcPr>
          <w:p w14:paraId="60C19814" w14:textId="77777777" w:rsidR="00A720EB" w:rsidRDefault="0030286B">
            <w:pPr>
              <w:pStyle w:val="TableParagraph"/>
              <w:spacing w:before="37"/>
              <w:rPr>
                <w:sz w:val="21"/>
              </w:rPr>
            </w:pPr>
            <w:r>
              <w:rPr>
                <w:color w:val="B02045"/>
                <w:sz w:val="21"/>
              </w:rPr>
              <w:t>Javax JsonB</w:t>
            </w:r>
          </w:p>
        </w:tc>
        <w:tc>
          <w:tcPr>
            <w:tcW w:w="4988" w:type="dxa"/>
          </w:tcPr>
          <w:p w14:paraId="7DF41226" w14:textId="77777777" w:rsidR="00A720EB" w:rsidRDefault="0030286B">
            <w:pPr>
              <w:pStyle w:val="TableParagraph"/>
              <w:spacing w:before="37"/>
              <w:rPr>
                <w:sz w:val="21"/>
              </w:rPr>
            </w:pPr>
            <w:r>
              <w:rPr>
                <w:color w:val="B02045"/>
                <w:sz w:val="21"/>
              </w:rPr>
              <w:t>javax-</w:t>
            </w:r>
            <w:proofErr w:type="gramStart"/>
            <w:r>
              <w:rPr>
                <w:color w:val="B02045"/>
                <w:sz w:val="21"/>
              </w:rPr>
              <w:t>jsonb.version</w:t>
            </w:r>
            <w:proofErr w:type="gramEnd"/>
          </w:p>
        </w:tc>
      </w:tr>
      <w:tr w:rsidR="00A720EB" w14:paraId="3D23E9E8" w14:textId="77777777">
        <w:trPr>
          <w:trHeight w:val="368"/>
        </w:trPr>
        <w:tc>
          <w:tcPr>
            <w:tcW w:w="4988" w:type="dxa"/>
          </w:tcPr>
          <w:p w14:paraId="3D15B48B" w14:textId="77777777" w:rsidR="00A720EB" w:rsidRDefault="0030286B">
            <w:pPr>
              <w:pStyle w:val="TableParagraph"/>
              <w:rPr>
                <w:sz w:val="21"/>
              </w:rPr>
            </w:pPr>
            <w:r>
              <w:rPr>
                <w:color w:val="B02045"/>
                <w:sz w:val="21"/>
              </w:rPr>
              <w:t>Javax Mail</w:t>
            </w:r>
          </w:p>
        </w:tc>
        <w:tc>
          <w:tcPr>
            <w:tcW w:w="4988" w:type="dxa"/>
          </w:tcPr>
          <w:p w14:paraId="04BC0BF8" w14:textId="77777777" w:rsidR="00A720EB" w:rsidRDefault="0030286B">
            <w:pPr>
              <w:pStyle w:val="TableParagraph"/>
              <w:rPr>
                <w:sz w:val="21"/>
              </w:rPr>
            </w:pPr>
            <w:r>
              <w:rPr>
                <w:color w:val="B02045"/>
                <w:sz w:val="21"/>
              </w:rPr>
              <w:t>javax-</w:t>
            </w:r>
            <w:proofErr w:type="gramStart"/>
            <w:r>
              <w:rPr>
                <w:color w:val="B02045"/>
                <w:sz w:val="21"/>
              </w:rPr>
              <w:t>mail.version</w:t>
            </w:r>
            <w:proofErr w:type="gramEnd"/>
          </w:p>
        </w:tc>
      </w:tr>
      <w:tr w:rsidR="00A720EB" w14:paraId="7B985E8A" w14:textId="77777777">
        <w:trPr>
          <w:trHeight w:val="368"/>
        </w:trPr>
        <w:tc>
          <w:tcPr>
            <w:tcW w:w="4988" w:type="dxa"/>
          </w:tcPr>
          <w:p w14:paraId="25D147B1" w14:textId="77777777" w:rsidR="00A720EB" w:rsidRDefault="0030286B">
            <w:pPr>
              <w:pStyle w:val="TableParagraph"/>
              <w:rPr>
                <w:sz w:val="21"/>
              </w:rPr>
            </w:pPr>
            <w:r>
              <w:rPr>
                <w:color w:val="B02045"/>
                <w:sz w:val="21"/>
              </w:rPr>
              <w:t>Javax Money</w:t>
            </w:r>
          </w:p>
        </w:tc>
        <w:tc>
          <w:tcPr>
            <w:tcW w:w="4988" w:type="dxa"/>
          </w:tcPr>
          <w:p w14:paraId="68B8260B" w14:textId="77777777" w:rsidR="00A720EB" w:rsidRDefault="0030286B">
            <w:pPr>
              <w:pStyle w:val="TableParagraph"/>
              <w:rPr>
                <w:sz w:val="21"/>
              </w:rPr>
            </w:pPr>
            <w:r>
              <w:rPr>
                <w:color w:val="B02045"/>
                <w:sz w:val="21"/>
              </w:rPr>
              <w:t>javax-</w:t>
            </w:r>
            <w:proofErr w:type="gramStart"/>
            <w:r>
              <w:rPr>
                <w:color w:val="B02045"/>
                <w:sz w:val="21"/>
              </w:rPr>
              <w:t>money.version</w:t>
            </w:r>
            <w:proofErr w:type="gramEnd"/>
          </w:p>
        </w:tc>
      </w:tr>
      <w:tr w:rsidR="00A720EB" w14:paraId="4BD4ADDE" w14:textId="77777777">
        <w:trPr>
          <w:trHeight w:val="368"/>
        </w:trPr>
        <w:tc>
          <w:tcPr>
            <w:tcW w:w="4988" w:type="dxa"/>
          </w:tcPr>
          <w:p w14:paraId="1F6FDF94" w14:textId="77777777" w:rsidR="00A720EB" w:rsidRDefault="0030286B">
            <w:pPr>
              <w:pStyle w:val="TableParagraph"/>
              <w:spacing w:before="37"/>
              <w:rPr>
                <w:sz w:val="21"/>
              </w:rPr>
            </w:pPr>
            <w:r>
              <w:rPr>
                <w:color w:val="B02045"/>
                <w:sz w:val="21"/>
              </w:rPr>
              <w:t>Javax Persistence</w:t>
            </w:r>
          </w:p>
        </w:tc>
        <w:tc>
          <w:tcPr>
            <w:tcW w:w="4988" w:type="dxa"/>
          </w:tcPr>
          <w:p w14:paraId="21E0E598" w14:textId="77777777" w:rsidR="00A720EB" w:rsidRDefault="0030286B">
            <w:pPr>
              <w:pStyle w:val="TableParagraph"/>
              <w:spacing w:before="37"/>
              <w:rPr>
                <w:sz w:val="21"/>
              </w:rPr>
            </w:pPr>
            <w:r>
              <w:rPr>
                <w:color w:val="B02045"/>
                <w:sz w:val="21"/>
              </w:rPr>
              <w:t>javax-</w:t>
            </w:r>
            <w:proofErr w:type="gramStart"/>
            <w:r>
              <w:rPr>
                <w:color w:val="B02045"/>
                <w:sz w:val="21"/>
              </w:rPr>
              <w:t>persistence.version</w:t>
            </w:r>
            <w:proofErr w:type="gramEnd"/>
          </w:p>
        </w:tc>
      </w:tr>
      <w:tr w:rsidR="00A720EB" w14:paraId="32D2BBF5" w14:textId="77777777">
        <w:trPr>
          <w:trHeight w:val="368"/>
        </w:trPr>
        <w:tc>
          <w:tcPr>
            <w:tcW w:w="4988" w:type="dxa"/>
          </w:tcPr>
          <w:p w14:paraId="391EF996" w14:textId="77777777" w:rsidR="00A720EB" w:rsidRDefault="0030286B">
            <w:pPr>
              <w:pStyle w:val="TableParagraph"/>
              <w:spacing w:before="37"/>
              <w:rPr>
                <w:sz w:val="21"/>
              </w:rPr>
            </w:pPr>
            <w:r>
              <w:rPr>
                <w:color w:val="B02045"/>
                <w:sz w:val="21"/>
              </w:rPr>
              <w:t>Javax Transaction</w:t>
            </w:r>
          </w:p>
        </w:tc>
        <w:tc>
          <w:tcPr>
            <w:tcW w:w="4988" w:type="dxa"/>
          </w:tcPr>
          <w:p w14:paraId="7459C475" w14:textId="77777777" w:rsidR="00A720EB" w:rsidRDefault="0030286B">
            <w:pPr>
              <w:pStyle w:val="TableParagraph"/>
              <w:spacing w:before="37"/>
              <w:rPr>
                <w:sz w:val="21"/>
              </w:rPr>
            </w:pPr>
            <w:r>
              <w:rPr>
                <w:color w:val="B02045"/>
                <w:sz w:val="21"/>
              </w:rPr>
              <w:t>javax-</w:t>
            </w:r>
            <w:proofErr w:type="gramStart"/>
            <w:r>
              <w:rPr>
                <w:color w:val="B02045"/>
                <w:sz w:val="21"/>
              </w:rPr>
              <w:t>transaction.version</w:t>
            </w:r>
            <w:proofErr w:type="gramEnd"/>
          </w:p>
        </w:tc>
      </w:tr>
      <w:tr w:rsidR="00A720EB" w14:paraId="4A329AFF" w14:textId="77777777">
        <w:trPr>
          <w:trHeight w:val="368"/>
        </w:trPr>
        <w:tc>
          <w:tcPr>
            <w:tcW w:w="4988" w:type="dxa"/>
          </w:tcPr>
          <w:p w14:paraId="59817ECB" w14:textId="77777777" w:rsidR="00A720EB" w:rsidRDefault="0030286B">
            <w:pPr>
              <w:pStyle w:val="TableParagraph"/>
              <w:rPr>
                <w:sz w:val="21"/>
              </w:rPr>
            </w:pPr>
            <w:r>
              <w:rPr>
                <w:color w:val="B02045"/>
                <w:sz w:val="21"/>
              </w:rPr>
              <w:t>Javax Validation</w:t>
            </w:r>
          </w:p>
        </w:tc>
        <w:tc>
          <w:tcPr>
            <w:tcW w:w="4988" w:type="dxa"/>
          </w:tcPr>
          <w:p w14:paraId="57EA14F3" w14:textId="77777777" w:rsidR="00A720EB" w:rsidRDefault="0030286B">
            <w:pPr>
              <w:pStyle w:val="TableParagraph"/>
              <w:rPr>
                <w:sz w:val="21"/>
              </w:rPr>
            </w:pPr>
            <w:r>
              <w:rPr>
                <w:color w:val="B02045"/>
                <w:sz w:val="21"/>
              </w:rPr>
              <w:t>javax-</w:t>
            </w:r>
            <w:proofErr w:type="gramStart"/>
            <w:r>
              <w:rPr>
                <w:color w:val="B02045"/>
                <w:sz w:val="21"/>
              </w:rPr>
              <w:t>validation.version</w:t>
            </w:r>
            <w:proofErr w:type="gramEnd"/>
          </w:p>
        </w:tc>
      </w:tr>
      <w:tr w:rsidR="00A720EB" w14:paraId="1B5A4749" w14:textId="77777777">
        <w:trPr>
          <w:trHeight w:val="368"/>
        </w:trPr>
        <w:tc>
          <w:tcPr>
            <w:tcW w:w="4988" w:type="dxa"/>
          </w:tcPr>
          <w:p w14:paraId="127117FC" w14:textId="77777777" w:rsidR="00A720EB" w:rsidRDefault="0030286B">
            <w:pPr>
              <w:pStyle w:val="TableParagraph"/>
              <w:rPr>
                <w:sz w:val="21"/>
              </w:rPr>
            </w:pPr>
            <w:r>
              <w:rPr>
                <w:color w:val="B02045"/>
                <w:sz w:val="21"/>
              </w:rPr>
              <w:t>Javax WebSocket</w:t>
            </w:r>
          </w:p>
        </w:tc>
        <w:tc>
          <w:tcPr>
            <w:tcW w:w="4988" w:type="dxa"/>
          </w:tcPr>
          <w:p w14:paraId="17B1CEE1" w14:textId="77777777" w:rsidR="00A720EB" w:rsidRDefault="0030286B">
            <w:pPr>
              <w:pStyle w:val="TableParagraph"/>
              <w:rPr>
                <w:sz w:val="21"/>
              </w:rPr>
            </w:pPr>
            <w:r>
              <w:rPr>
                <w:color w:val="B02045"/>
                <w:sz w:val="21"/>
              </w:rPr>
              <w:t>javax-</w:t>
            </w:r>
            <w:proofErr w:type="gramStart"/>
            <w:r>
              <w:rPr>
                <w:color w:val="B02045"/>
                <w:sz w:val="21"/>
              </w:rPr>
              <w:t>websocket.version</w:t>
            </w:r>
            <w:proofErr w:type="gramEnd"/>
          </w:p>
        </w:tc>
      </w:tr>
      <w:tr w:rsidR="00A720EB" w14:paraId="415DDA40" w14:textId="77777777">
        <w:trPr>
          <w:trHeight w:val="368"/>
        </w:trPr>
        <w:tc>
          <w:tcPr>
            <w:tcW w:w="4988" w:type="dxa"/>
          </w:tcPr>
          <w:p w14:paraId="716D822D" w14:textId="77777777" w:rsidR="00A720EB" w:rsidRDefault="0030286B">
            <w:pPr>
              <w:pStyle w:val="TableParagraph"/>
              <w:spacing w:before="37"/>
              <w:rPr>
                <w:sz w:val="21"/>
              </w:rPr>
            </w:pPr>
            <w:r>
              <w:rPr>
                <w:color w:val="B02045"/>
                <w:sz w:val="21"/>
              </w:rPr>
              <w:t>Jaxen</w:t>
            </w:r>
          </w:p>
        </w:tc>
        <w:tc>
          <w:tcPr>
            <w:tcW w:w="4988" w:type="dxa"/>
          </w:tcPr>
          <w:p w14:paraId="1127DD34" w14:textId="77777777" w:rsidR="00A720EB" w:rsidRDefault="0030286B">
            <w:pPr>
              <w:pStyle w:val="TableParagraph"/>
              <w:spacing w:before="37"/>
              <w:rPr>
                <w:sz w:val="21"/>
              </w:rPr>
            </w:pPr>
            <w:proofErr w:type="gramStart"/>
            <w:r>
              <w:rPr>
                <w:color w:val="B02045"/>
                <w:sz w:val="21"/>
              </w:rPr>
              <w:t>jaxen.version</w:t>
            </w:r>
            <w:proofErr w:type="gramEnd"/>
          </w:p>
        </w:tc>
      </w:tr>
      <w:tr w:rsidR="00A720EB" w14:paraId="5A5C8388" w14:textId="77777777">
        <w:trPr>
          <w:trHeight w:val="368"/>
        </w:trPr>
        <w:tc>
          <w:tcPr>
            <w:tcW w:w="4988" w:type="dxa"/>
          </w:tcPr>
          <w:p w14:paraId="488A923B" w14:textId="77777777" w:rsidR="00A720EB" w:rsidRDefault="0030286B">
            <w:pPr>
              <w:pStyle w:val="TableParagraph"/>
              <w:spacing w:before="37"/>
              <w:rPr>
                <w:sz w:val="21"/>
              </w:rPr>
            </w:pPr>
            <w:r>
              <w:rPr>
                <w:color w:val="B02045"/>
                <w:sz w:val="21"/>
              </w:rPr>
              <w:t>Jaybird</w:t>
            </w:r>
          </w:p>
        </w:tc>
        <w:tc>
          <w:tcPr>
            <w:tcW w:w="4988" w:type="dxa"/>
          </w:tcPr>
          <w:p w14:paraId="0718B821" w14:textId="77777777" w:rsidR="00A720EB" w:rsidRDefault="0030286B">
            <w:pPr>
              <w:pStyle w:val="TableParagraph"/>
              <w:spacing w:before="37"/>
              <w:rPr>
                <w:sz w:val="21"/>
              </w:rPr>
            </w:pPr>
            <w:proofErr w:type="gramStart"/>
            <w:r>
              <w:rPr>
                <w:color w:val="B02045"/>
                <w:sz w:val="21"/>
              </w:rPr>
              <w:t>jaybird.version</w:t>
            </w:r>
            <w:proofErr w:type="gramEnd"/>
          </w:p>
        </w:tc>
      </w:tr>
      <w:tr w:rsidR="00A720EB" w14:paraId="643B0759" w14:textId="77777777">
        <w:trPr>
          <w:trHeight w:val="368"/>
        </w:trPr>
        <w:tc>
          <w:tcPr>
            <w:tcW w:w="4988" w:type="dxa"/>
          </w:tcPr>
          <w:p w14:paraId="2A2EE56E" w14:textId="77777777" w:rsidR="00A720EB" w:rsidRDefault="0030286B">
            <w:pPr>
              <w:pStyle w:val="TableParagraph"/>
              <w:rPr>
                <w:sz w:val="21"/>
              </w:rPr>
            </w:pPr>
            <w:r>
              <w:rPr>
                <w:color w:val="B02045"/>
                <w:sz w:val="21"/>
              </w:rPr>
              <w:t>JBoss Logging</w:t>
            </w:r>
          </w:p>
        </w:tc>
        <w:tc>
          <w:tcPr>
            <w:tcW w:w="4988" w:type="dxa"/>
          </w:tcPr>
          <w:p w14:paraId="64246B73" w14:textId="77777777" w:rsidR="00A720EB" w:rsidRDefault="0030286B">
            <w:pPr>
              <w:pStyle w:val="TableParagraph"/>
              <w:rPr>
                <w:sz w:val="21"/>
              </w:rPr>
            </w:pPr>
            <w:r>
              <w:rPr>
                <w:color w:val="B02045"/>
                <w:sz w:val="21"/>
              </w:rPr>
              <w:t>jboss-</w:t>
            </w:r>
            <w:proofErr w:type="gramStart"/>
            <w:r>
              <w:rPr>
                <w:color w:val="B02045"/>
                <w:sz w:val="21"/>
              </w:rPr>
              <w:t>logging.version</w:t>
            </w:r>
            <w:proofErr w:type="gramEnd"/>
          </w:p>
        </w:tc>
      </w:tr>
      <w:tr w:rsidR="00A720EB" w14:paraId="192FC561" w14:textId="77777777">
        <w:trPr>
          <w:trHeight w:val="368"/>
        </w:trPr>
        <w:tc>
          <w:tcPr>
            <w:tcW w:w="4988" w:type="dxa"/>
          </w:tcPr>
          <w:p w14:paraId="4795C2BD" w14:textId="77777777" w:rsidR="00A720EB" w:rsidRDefault="0030286B">
            <w:pPr>
              <w:pStyle w:val="TableParagraph"/>
              <w:spacing w:before="37"/>
              <w:rPr>
                <w:sz w:val="21"/>
              </w:rPr>
            </w:pPr>
            <w:r>
              <w:rPr>
                <w:color w:val="B02045"/>
                <w:sz w:val="21"/>
              </w:rPr>
              <w:t>JBoss Transaction SPI</w:t>
            </w:r>
          </w:p>
        </w:tc>
        <w:tc>
          <w:tcPr>
            <w:tcW w:w="4988" w:type="dxa"/>
          </w:tcPr>
          <w:p w14:paraId="575CAB98" w14:textId="77777777" w:rsidR="00A720EB" w:rsidRDefault="0030286B">
            <w:pPr>
              <w:pStyle w:val="TableParagraph"/>
              <w:spacing w:before="37"/>
              <w:rPr>
                <w:sz w:val="21"/>
              </w:rPr>
            </w:pPr>
            <w:r>
              <w:rPr>
                <w:color w:val="B02045"/>
                <w:sz w:val="21"/>
              </w:rPr>
              <w:t>jboss-transaction-</w:t>
            </w:r>
            <w:proofErr w:type="gramStart"/>
            <w:r>
              <w:rPr>
                <w:color w:val="B02045"/>
                <w:sz w:val="21"/>
              </w:rPr>
              <w:t>spi.version</w:t>
            </w:r>
            <w:proofErr w:type="gramEnd"/>
          </w:p>
        </w:tc>
      </w:tr>
      <w:tr w:rsidR="00A720EB" w14:paraId="0CAEF24B" w14:textId="77777777">
        <w:trPr>
          <w:trHeight w:val="368"/>
        </w:trPr>
        <w:tc>
          <w:tcPr>
            <w:tcW w:w="4988" w:type="dxa"/>
          </w:tcPr>
          <w:p w14:paraId="58B3E7F0" w14:textId="77777777" w:rsidR="00A720EB" w:rsidRDefault="0030286B">
            <w:pPr>
              <w:pStyle w:val="TableParagraph"/>
              <w:rPr>
                <w:sz w:val="21"/>
              </w:rPr>
            </w:pPr>
            <w:r>
              <w:rPr>
                <w:color w:val="B02045"/>
                <w:sz w:val="21"/>
              </w:rPr>
              <w:t>JDOM2</w:t>
            </w:r>
          </w:p>
        </w:tc>
        <w:tc>
          <w:tcPr>
            <w:tcW w:w="4988" w:type="dxa"/>
          </w:tcPr>
          <w:p w14:paraId="08D5C9E4" w14:textId="77777777" w:rsidR="00A720EB" w:rsidRDefault="0030286B">
            <w:pPr>
              <w:pStyle w:val="TableParagraph"/>
              <w:rPr>
                <w:sz w:val="21"/>
              </w:rPr>
            </w:pPr>
            <w:r>
              <w:rPr>
                <w:color w:val="B02045"/>
                <w:sz w:val="21"/>
              </w:rPr>
              <w:t>jdom2.version</w:t>
            </w:r>
          </w:p>
        </w:tc>
      </w:tr>
      <w:tr w:rsidR="00A720EB" w14:paraId="4C1544AD" w14:textId="77777777">
        <w:trPr>
          <w:trHeight w:val="368"/>
        </w:trPr>
        <w:tc>
          <w:tcPr>
            <w:tcW w:w="4988" w:type="dxa"/>
          </w:tcPr>
          <w:p w14:paraId="2E91DF25" w14:textId="77777777" w:rsidR="00A720EB" w:rsidRDefault="0030286B">
            <w:pPr>
              <w:pStyle w:val="TableParagraph"/>
              <w:spacing w:before="37"/>
              <w:rPr>
                <w:sz w:val="21"/>
              </w:rPr>
            </w:pPr>
            <w:r>
              <w:rPr>
                <w:color w:val="B02045"/>
                <w:sz w:val="21"/>
              </w:rPr>
              <w:t>Jedis</w:t>
            </w:r>
          </w:p>
        </w:tc>
        <w:tc>
          <w:tcPr>
            <w:tcW w:w="4988" w:type="dxa"/>
          </w:tcPr>
          <w:p w14:paraId="2D2A5540" w14:textId="77777777" w:rsidR="00A720EB" w:rsidRDefault="0030286B">
            <w:pPr>
              <w:pStyle w:val="TableParagraph"/>
              <w:spacing w:before="37"/>
              <w:rPr>
                <w:sz w:val="21"/>
              </w:rPr>
            </w:pPr>
            <w:proofErr w:type="gramStart"/>
            <w:r>
              <w:rPr>
                <w:color w:val="B02045"/>
                <w:sz w:val="21"/>
              </w:rPr>
              <w:t>jedis.version</w:t>
            </w:r>
            <w:proofErr w:type="gramEnd"/>
          </w:p>
        </w:tc>
      </w:tr>
      <w:tr w:rsidR="00A720EB" w14:paraId="6952B9C1" w14:textId="77777777">
        <w:trPr>
          <w:trHeight w:val="368"/>
        </w:trPr>
        <w:tc>
          <w:tcPr>
            <w:tcW w:w="4988" w:type="dxa"/>
          </w:tcPr>
          <w:p w14:paraId="66F8852D" w14:textId="77777777" w:rsidR="00A720EB" w:rsidRDefault="0030286B">
            <w:pPr>
              <w:pStyle w:val="TableParagraph"/>
              <w:rPr>
                <w:sz w:val="21"/>
              </w:rPr>
            </w:pPr>
            <w:r>
              <w:rPr>
                <w:color w:val="B02045"/>
                <w:sz w:val="21"/>
              </w:rPr>
              <w:t>Jersey</w:t>
            </w:r>
          </w:p>
        </w:tc>
        <w:tc>
          <w:tcPr>
            <w:tcW w:w="4988" w:type="dxa"/>
          </w:tcPr>
          <w:p w14:paraId="6719F180" w14:textId="77777777" w:rsidR="00A720EB" w:rsidRDefault="0030286B">
            <w:pPr>
              <w:pStyle w:val="TableParagraph"/>
              <w:rPr>
                <w:sz w:val="21"/>
              </w:rPr>
            </w:pPr>
            <w:proofErr w:type="gramStart"/>
            <w:r>
              <w:rPr>
                <w:color w:val="B02045"/>
                <w:sz w:val="21"/>
              </w:rPr>
              <w:t>jersey.version</w:t>
            </w:r>
            <w:proofErr w:type="gramEnd"/>
          </w:p>
        </w:tc>
      </w:tr>
      <w:tr w:rsidR="00A720EB" w14:paraId="570B60D8" w14:textId="77777777">
        <w:trPr>
          <w:trHeight w:val="368"/>
        </w:trPr>
        <w:tc>
          <w:tcPr>
            <w:tcW w:w="4988" w:type="dxa"/>
          </w:tcPr>
          <w:p w14:paraId="25ACFD6D" w14:textId="77777777" w:rsidR="00A720EB" w:rsidRDefault="0030286B">
            <w:pPr>
              <w:pStyle w:val="TableParagraph"/>
              <w:spacing w:before="37"/>
              <w:rPr>
                <w:sz w:val="21"/>
              </w:rPr>
            </w:pPr>
            <w:r>
              <w:rPr>
                <w:color w:val="B02045"/>
                <w:sz w:val="21"/>
              </w:rPr>
              <w:t>Jetty</w:t>
            </w:r>
          </w:p>
        </w:tc>
        <w:tc>
          <w:tcPr>
            <w:tcW w:w="4988" w:type="dxa"/>
          </w:tcPr>
          <w:p w14:paraId="7883100B" w14:textId="77777777" w:rsidR="00A720EB" w:rsidRDefault="0030286B">
            <w:pPr>
              <w:pStyle w:val="TableParagraph"/>
              <w:spacing w:before="37"/>
              <w:rPr>
                <w:sz w:val="21"/>
              </w:rPr>
            </w:pPr>
            <w:proofErr w:type="gramStart"/>
            <w:r>
              <w:rPr>
                <w:color w:val="B02045"/>
                <w:sz w:val="21"/>
              </w:rPr>
              <w:t>jetty.version</w:t>
            </w:r>
            <w:proofErr w:type="gramEnd"/>
          </w:p>
        </w:tc>
      </w:tr>
      <w:tr w:rsidR="00A720EB" w14:paraId="7E5EEC96" w14:textId="77777777">
        <w:trPr>
          <w:trHeight w:val="368"/>
        </w:trPr>
        <w:tc>
          <w:tcPr>
            <w:tcW w:w="4988" w:type="dxa"/>
          </w:tcPr>
          <w:p w14:paraId="6A8F1934" w14:textId="77777777" w:rsidR="00A720EB" w:rsidRDefault="0030286B">
            <w:pPr>
              <w:pStyle w:val="TableParagraph"/>
              <w:rPr>
                <w:sz w:val="21"/>
              </w:rPr>
            </w:pPr>
            <w:r>
              <w:rPr>
                <w:color w:val="B02045"/>
                <w:sz w:val="21"/>
              </w:rPr>
              <w:t>Jetty EL</w:t>
            </w:r>
          </w:p>
        </w:tc>
        <w:tc>
          <w:tcPr>
            <w:tcW w:w="4988" w:type="dxa"/>
          </w:tcPr>
          <w:p w14:paraId="0EC6DED3" w14:textId="77777777" w:rsidR="00A720EB" w:rsidRDefault="0030286B">
            <w:pPr>
              <w:pStyle w:val="TableParagraph"/>
              <w:rPr>
                <w:sz w:val="21"/>
              </w:rPr>
            </w:pPr>
            <w:r>
              <w:rPr>
                <w:color w:val="B02045"/>
                <w:sz w:val="21"/>
              </w:rPr>
              <w:t>jetty-</w:t>
            </w:r>
            <w:proofErr w:type="gramStart"/>
            <w:r>
              <w:rPr>
                <w:color w:val="B02045"/>
                <w:sz w:val="21"/>
              </w:rPr>
              <w:t>el.version</w:t>
            </w:r>
            <w:proofErr w:type="gramEnd"/>
          </w:p>
        </w:tc>
      </w:tr>
      <w:tr w:rsidR="00A720EB" w14:paraId="132C9D06" w14:textId="77777777">
        <w:trPr>
          <w:trHeight w:val="368"/>
        </w:trPr>
        <w:tc>
          <w:tcPr>
            <w:tcW w:w="4988" w:type="dxa"/>
          </w:tcPr>
          <w:p w14:paraId="1AA72F94" w14:textId="77777777" w:rsidR="00A720EB" w:rsidRDefault="0030286B">
            <w:pPr>
              <w:pStyle w:val="TableParagraph"/>
              <w:rPr>
                <w:sz w:val="21"/>
              </w:rPr>
            </w:pPr>
            <w:r>
              <w:rPr>
                <w:color w:val="B02045"/>
                <w:sz w:val="21"/>
              </w:rPr>
              <w:t>Jetty JSP</w:t>
            </w:r>
          </w:p>
        </w:tc>
        <w:tc>
          <w:tcPr>
            <w:tcW w:w="4988" w:type="dxa"/>
          </w:tcPr>
          <w:p w14:paraId="1AD908A0" w14:textId="77777777" w:rsidR="00A720EB" w:rsidRDefault="0030286B">
            <w:pPr>
              <w:pStyle w:val="TableParagraph"/>
              <w:rPr>
                <w:sz w:val="21"/>
              </w:rPr>
            </w:pPr>
            <w:r>
              <w:rPr>
                <w:color w:val="B02045"/>
                <w:sz w:val="21"/>
              </w:rPr>
              <w:t>jetty-</w:t>
            </w:r>
            <w:proofErr w:type="gramStart"/>
            <w:r>
              <w:rPr>
                <w:color w:val="B02045"/>
                <w:sz w:val="21"/>
              </w:rPr>
              <w:t>jsp.version</w:t>
            </w:r>
            <w:proofErr w:type="gramEnd"/>
          </w:p>
        </w:tc>
      </w:tr>
      <w:tr w:rsidR="00A720EB" w14:paraId="575D7BAE" w14:textId="77777777">
        <w:trPr>
          <w:trHeight w:val="368"/>
        </w:trPr>
        <w:tc>
          <w:tcPr>
            <w:tcW w:w="4988" w:type="dxa"/>
          </w:tcPr>
          <w:p w14:paraId="319099D1" w14:textId="77777777" w:rsidR="00A720EB" w:rsidRDefault="0030286B">
            <w:pPr>
              <w:pStyle w:val="TableParagraph"/>
              <w:rPr>
                <w:sz w:val="21"/>
              </w:rPr>
            </w:pPr>
            <w:r>
              <w:rPr>
                <w:color w:val="B02045"/>
                <w:sz w:val="21"/>
              </w:rPr>
              <w:t>Jetty Reactive HTTPClient</w:t>
            </w:r>
          </w:p>
        </w:tc>
        <w:tc>
          <w:tcPr>
            <w:tcW w:w="4988" w:type="dxa"/>
          </w:tcPr>
          <w:p w14:paraId="1369A7F7" w14:textId="77777777" w:rsidR="00A720EB" w:rsidRDefault="0030286B">
            <w:pPr>
              <w:pStyle w:val="TableParagraph"/>
              <w:rPr>
                <w:sz w:val="21"/>
              </w:rPr>
            </w:pPr>
            <w:r>
              <w:rPr>
                <w:color w:val="B02045"/>
                <w:sz w:val="21"/>
              </w:rPr>
              <w:t>jetty-reactive-</w:t>
            </w:r>
            <w:proofErr w:type="gramStart"/>
            <w:r>
              <w:rPr>
                <w:color w:val="B02045"/>
                <w:sz w:val="21"/>
              </w:rPr>
              <w:t>httpclient.version</w:t>
            </w:r>
            <w:proofErr w:type="gramEnd"/>
          </w:p>
        </w:tc>
      </w:tr>
      <w:tr w:rsidR="00A720EB" w14:paraId="4EC31393" w14:textId="77777777">
        <w:trPr>
          <w:trHeight w:val="368"/>
        </w:trPr>
        <w:tc>
          <w:tcPr>
            <w:tcW w:w="4988" w:type="dxa"/>
          </w:tcPr>
          <w:p w14:paraId="385EB0F5" w14:textId="77777777" w:rsidR="00A720EB" w:rsidRDefault="0030286B">
            <w:pPr>
              <w:pStyle w:val="TableParagraph"/>
              <w:rPr>
                <w:sz w:val="21"/>
              </w:rPr>
            </w:pPr>
            <w:r>
              <w:rPr>
                <w:color w:val="B02045"/>
                <w:sz w:val="21"/>
              </w:rPr>
              <w:t>JMustache</w:t>
            </w:r>
          </w:p>
        </w:tc>
        <w:tc>
          <w:tcPr>
            <w:tcW w:w="4988" w:type="dxa"/>
          </w:tcPr>
          <w:p w14:paraId="23B76C51" w14:textId="77777777" w:rsidR="00A720EB" w:rsidRDefault="0030286B">
            <w:pPr>
              <w:pStyle w:val="TableParagraph"/>
              <w:rPr>
                <w:sz w:val="21"/>
              </w:rPr>
            </w:pPr>
            <w:proofErr w:type="gramStart"/>
            <w:r>
              <w:rPr>
                <w:color w:val="B02045"/>
                <w:sz w:val="21"/>
              </w:rPr>
              <w:t>jmustache.version</w:t>
            </w:r>
            <w:proofErr w:type="gramEnd"/>
          </w:p>
        </w:tc>
      </w:tr>
    </w:tbl>
    <w:p w14:paraId="2CD2D86D"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1E39409C" w14:textId="77777777">
        <w:trPr>
          <w:trHeight w:val="415"/>
        </w:trPr>
        <w:tc>
          <w:tcPr>
            <w:tcW w:w="4988" w:type="dxa"/>
            <w:tcBorders>
              <w:bottom w:val="single" w:sz="12" w:space="0" w:color="DDDDDD"/>
            </w:tcBorders>
          </w:tcPr>
          <w:p w14:paraId="2FC5A843" w14:textId="77777777" w:rsidR="00A720EB" w:rsidRDefault="0030286B">
            <w:pPr>
              <w:pStyle w:val="TableParagraph"/>
              <w:spacing w:before="71"/>
              <w:rPr>
                <w:rFonts w:ascii="Palatino Linotype"/>
                <w:b/>
                <w:sz w:val="21"/>
              </w:rPr>
            </w:pPr>
            <w:r>
              <w:rPr>
                <w:rFonts w:ascii="Palatino Linotype"/>
                <w:b/>
                <w:color w:val="333333"/>
                <w:w w:val="115"/>
                <w:sz w:val="21"/>
              </w:rPr>
              <w:lastRenderedPageBreak/>
              <w:t>Library</w:t>
            </w:r>
          </w:p>
        </w:tc>
        <w:tc>
          <w:tcPr>
            <w:tcW w:w="4988" w:type="dxa"/>
            <w:tcBorders>
              <w:bottom w:val="single" w:sz="12" w:space="0" w:color="DDDDDD"/>
            </w:tcBorders>
          </w:tcPr>
          <w:p w14:paraId="4CD4E3F0" w14:textId="77777777" w:rsidR="00A720EB" w:rsidRDefault="0030286B">
            <w:pPr>
              <w:pStyle w:val="TableParagraph"/>
              <w:spacing w:before="71"/>
              <w:rPr>
                <w:rFonts w:ascii="Palatino Linotype"/>
                <w:b/>
                <w:sz w:val="21"/>
              </w:rPr>
            </w:pPr>
            <w:r>
              <w:rPr>
                <w:rFonts w:ascii="Palatino Linotype"/>
                <w:b/>
                <w:color w:val="333333"/>
                <w:w w:val="110"/>
                <w:sz w:val="21"/>
              </w:rPr>
              <w:t>Version Property</w:t>
            </w:r>
          </w:p>
        </w:tc>
      </w:tr>
      <w:tr w:rsidR="00A720EB" w14:paraId="18D317AA" w14:textId="77777777">
        <w:trPr>
          <w:trHeight w:val="358"/>
        </w:trPr>
        <w:tc>
          <w:tcPr>
            <w:tcW w:w="4988" w:type="dxa"/>
            <w:tcBorders>
              <w:top w:val="single" w:sz="12" w:space="0" w:color="DDDDDD"/>
            </w:tcBorders>
          </w:tcPr>
          <w:p w14:paraId="15707305" w14:textId="77777777" w:rsidR="00A720EB" w:rsidRDefault="0030286B">
            <w:pPr>
              <w:pStyle w:val="TableParagraph"/>
              <w:spacing w:before="27"/>
              <w:rPr>
                <w:sz w:val="21"/>
              </w:rPr>
            </w:pPr>
            <w:r>
              <w:rPr>
                <w:color w:val="B02045"/>
                <w:sz w:val="21"/>
              </w:rPr>
              <w:t>Johnzon</w:t>
            </w:r>
          </w:p>
        </w:tc>
        <w:tc>
          <w:tcPr>
            <w:tcW w:w="4988" w:type="dxa"/>
            <w:tcBorders>
              <w:top w:val="single" w:sz="12" w:space="0" w:color="DDDDDD"/>
            </w:tcBorders>
          </w:tcPr>
          <w:p w14:paraId="15F95232" w14:textId="77777777" w:rsidR="00A720EB" w:rsidRDefault="0030286B">
            <w:pPr>
              <w:pStyle w:val="TableParagraph"/>
              <w:spacing w:before="27"/>
              <w:rPr>
                <w:sz w:val="21"/>
              </w:rPr>
            </w:pPr>
            <w:proofErr w:type="gramStart"/>
            <w:r>
              <w:rPr>
                <w:color w:val="B02045"/>
                <w:sz w:val="21"/>
              </w:rPr>
              <w:t>johnzon.version</w:t>
            </w:r>
            <w:proofErr w:type="gramEnd"/>
          </w:p>
        </w:tc>
      </w:tr>
      <w:tr w:rsidR="00A720EB" w14:paraId="108D71B7" w14:textId="77777777">
        <w:trPr>
          <w:trHeight w:val="368"/>
        </w:trPr>
        <w:tc>
          <w:tcPr>
            <w:tcW w:w="4988" w:type="dxa"/>
          </w:tcPr>
          <w:p w14:paraId="753FA3E1" w14:textId="77777777" w:rsidR="00A720EB" w:rsidRDefault="0030286B">
            <w:pPr>
              <w:pStyle w:val="TableParagraph"/>
              <w:spacing w:before="37"/>
              <w:rPr>
                <w:sz w:val="21"/>
              </w:rPr>
            </w:pPr>
            <w:r>
              <w:rPr>
                <w:color w:val="B02045"/>
                <w:sz w:val="21"/>
              </w:rPr>
              <w:t>Jolokia</w:t>
            </w:r>
          </w:p>
        </w:tc>
        <w:tc>
          <w:tcPr>
            <w:tcW w:w="4988" w:type="dxa"/>
          </w:tcPr>
          <w:p w14:paraId="257EE7C0" w14:textId="77777777" w:rsidR="00A720EB" w:rsidRDefault="0030286B">
            <w:pPr>
              <w:pStyle w:val="TableParagraph"/>
              <w:spacing w:before="37"/>
              <w:rPr>
                <w:sz w:val="21"/>
              </w:rPr>
            </w:pPr>
            <w:proofErr w:type="gramStart"/>
            <w:r>
              <w:rPr>
                <w:color w:val="B02045"/>
                <w:sz w:val="21"/>
              </w:rPr>
              <w:t>jolokia.version</w:t>
            </w:r>
            <w:proofErr w:type="gramEnd"/>
          </w:p>
        </w:tc>
      </w:tr>
      <w:tr w:rsidR="00A720EB" w14:paraId="44B3E53B" w14:textId="77777777">
        <w:trPr>
          <w:trHeight w:val="368"/>
        </w:trPr>
        <w:tc>
          <w:tcPr>
            <w:tcW w:w="4988" w:type="dxa"/>
          </w:tcPr>
          <w:p w14:paraId="1D503F77" w14:textId="77777777" w:rsidR="00A720EB" w:rsidRDefault="0030286B">
            <w:pPr>
              <w:pStyle w:val="TableParagraph"/>
              <w:spacing w:before="37"/>
              <w:rPr>
                <w:sz w:val="21"/>
              </w:rPr>
            </w:pPr>
            <w:r>
              <w:rPr>
                <w:color w:val="B02045"/>
                <w:sz w:val="21"/>
              </w:rPr>
              <w:t>jOOQ</w:t>
            </w:r>
          </w:p>
        </w:tc>
        <w:tc>
          <w:tcPr>
            <w:tcW w:w="4988" w:type="dxa"/>
          </w:tcPr>
          <w:p w14:paraId="2A9F84BC" w14:textId="77777777" w:rsidR="00A720EB" w:rsidRDefault="0030286B">
            <w:pPr>
              <w:pStyle w:val="TableParagraph"/>
              <w:spacing w:before="37"/>
              <w:rPr>
                <w:sz w:val="21"/>
              </w:rPr>
            </w:pPr>
            <w:proofErr w:type="gramStart"/>
            <w:r>
              <w:rPr>
                <w:color w:val="B02045"/>
                <w:sz w:val="21"/>
              </w:rPr>
              <w:t>jooq.version</w:t>
            </w:r>
            <w:proofErr w:type="gramEnd"/>
          </w:p>
        </w:tc>
      </w:tr>
      <w:tr w:rsidR="00A720EB" w14:paraId="7FCA0DB5" w14:textId="77777777">
        <w:trPr>
          <w:trHeight w:val="368"/>
        </w:trPr>
        <w:tc>
          <w:tcPr>
            <w:tcW w:w="4988" w:type="dxa"/>
          </w:tcPr>
          <w:p w14:paraId="446DE678" w14:textId="77777777" w:rsidR="00A720EB" w:rsidRDefault="0030286B">
            <w:pPr>
              <w:pStyle w:val="TableParagraph"/>
              <w:rPr>
                <w:sz w:val="21"/>
              </w:rPr>
            </w:pPr>
            <w:r>
              <w:rPr>
                <w:color w:val="B02045"/>
                <w:sz w:val="21"/>
              </w:rPr>
              <w:t>Json Path</w:t>
            </w:r>
          </w:p>
        </w:tc>
        <w:tc>
          <w:tcPr>
            <w:tcW w:w="4988" w:type="dxa"/>
          </w:tcPr>
          <w:p w14:paraId="472F61DC" w14:textId="77777777" w:rsidR="00A720EB" w:rsidRDefault="0030286B">
            <w:pPr>
              <w:pStyle w:val="TableParagraph"/>
              <w:rPr>
                <w:sz w:val="21"/>
              </w:rPr>
            </w:pPr>
            <w:r>
              <w:rPr>
                <w:color w:val="B02045"/>
                <w:sz w:val="21"/>
              </w:rPr>
              <w:t>json-</w:t>
            </w:r>
            <w:proofErr w:type="gramStart"/>
            <w:r>
              <w:rPr>
                <w:color w:val="B02045"/>
                <w:sz w:val="21"/>
              </w:rPr>
              <w:t>path.version</w:t>
            </w:r>
            <w:proofErr w:type="gramEnd"/>
          </w:p>
        </w:tc>
      </w:tr>
      <w:tr w:rsidR="00A720EB" w14:paraId="51347A92" w14:textId="77777777">
        <w:trPr>
          <w:trHeight w:val="368"/>
        </w:trPr>
        <w:tc>
          <w:tcPr>
            <w:tcW w:w="4988" w:type="dxa"/>
          </w:tcPr>
          <w:p w14:paraId="057CE253" w14:textId="77777777" w:rsidR="00A720EB" w:rsidRDefault="0030286B">
            <w:pPr>
              <w:pStyle w:val="TableParagraph"/>
              <w:rPr>
                <w:sz w:val="21"/>
              </w:rPr>
            </w:pPr>
            <w:r>
              <w:rPr>
                <w:color w:val="B02045"/>
                <w:sz w:val="21"/>
              </w:rPr>
              <w:t>Json-smart</w:t>
            </w:r>
          </w:p>
        </w:tc>
        <w:tc>
          <w:tcPr>
            <w:tcW w:w="4988" w:type="dxa"/>
          </w:tcPr>
          <w:p w14:paraId="23035083" w14:textId="77777777" w:rsidR="00A720EB" w:rsidRDefault="0030286B">
            <w:pPr>
              <w:pStyle w:val="TableParagraph"/>
              <w:rPr>
                <w:sz w:val="21"/>
              </w:rPr>
            </w:pPr>
            <w:r>
              <w:rPr>
                <w:color w:val="B02045"/>
                <w:sz w:val="21"/>
              </w:rPr>
              <w:t>json-</w:t>
            </w:r>
            <w:proofErr w:type="gramStart"/>
            <w:r>
              <w:rPr>
                <w:color w:val="B02045"/>
                <w:sz w:val="21"/>
              </w:rPr>
              <w:t>smart.version</w:t>
            </w:r>
            <w:proofErr w:type="gramEnd"/>
          </w:p>
        </w:tc>
      </w:tr>
      <w:tr w:rsidR="00A720EB" w14:paraId="26B96721" w14:textId="77777777">
        <w:trPr>
          <w:trHeight w:val="368"/>
        </w:trPr>
        <w:tc>
          <w:tcPr>
            <w:tcW w:w="4988" w:type="dxa"/>
          </w:tcPr>
          <w:p w14:paraId="654F09BB" w14:textId="77777777" w:rsidR="00A720EB" w:rsidRDefault="0030286B">
            <w:pPr>
              <w:pStyle w:val="TableParagraph"/>
              <w:rPr>
                <w:sz w:val="21"/>
              </w:rPr>
            </w:pPr>
            <w:r>
              <w:rPr>
                <w:color w:val="B02045"/>
                <w:sz w:val="21"/>
              </w:rPr>
              <w:t>JsonAssert</w:t>
            </w:r>
          </w:p>
        </w:tc>
        <w:tc>
          <w:tcPr>
            <w:tcW w:w="4988" w:type="dxa"/>
          </w:tcPr>
          <w:p w14:paraId="24352AD8" w14:textId="77777777" w:rsidR="00A720EB" w:rsidRDefault="0030286B">
            <w:pPr>
              <w:pStyle w:val="TableParagraph"/>
              <w:rPr>
                <w:sz w:val="21"/>
              </w:rPr>
            </w:pPr>
            <w:proofErr w:type="gramStart"/>
            <w:r>
              <w:rPr>
                <w:color w:val="B02045"/>
                <w:sz w:val="21"/>
              </w:rPr>
              <w:t>jsonassert.version</w:t>
            </w:r>
            <w:proofErr w:type="gramEnd"/>
          </w:p>
        </w:tc>
      </w:tr>
      <w:tr w:rsidR="00A720EB" w14:paraId="3627233C" w14:textId="77777777">
        <w:trPr>
          <w:trHeight w:val="368"/>
        </w:trPr>
        <w:tc>
          <w:tcPr>
            <w:tcW w:w="4988" w:type="dxa"/>
          </w:tcPr>
          <w:p w14:paraId="31B61B7B" w14:textId="77777777" w:rsidR="00A720EB" w:rsidRDefault="0030286B">
            <w:pPr>
              <w:pStyle w:val="TableParagraph"/>
              <w:rPr>
                <w:sz w:val="21"/>
              </w:rPr>
            </w:pPr>
            <w:r>
              <w:rPr>
                <w:color w:val="B02045"/>
                <w:sz w:val="21"/>
              </w:rPr>
              <w:t>JSTL</w:t>
            </w:r>
          </w:p>
        </w:tc>
        <w:tc>
          <w:tcPr>
            <w:tcW w:w="4988" w:type="dxa"/>
          </w:tcPr>
          <w:p w14:paraId="324903E4" w14:textId="77777777" w:rsidR="00A720EB" w:rsidRDefault="0030286B">
            <w:pPr>
              <w:pStyle w:val="TableParagraph"/>
              <w:rPr>
                <w:sz w:val="21"/>
              </w:rPr>
            </w:pPr>
            <w:proofErr w:type="gramStart"/>
            <w:r>
              <w:rPr>
                <w:color w:val="B02045"/>
                <w:sz w:val="21"/>
              </w:rPr>
              <w:t>jstl.version</w:t>
            </w:r>
            <w:proofErr w:type="gramEnd"/>
          </w:p>
        </w:tc>
      </w:tr>
      <w:tr w:rsidR="00A720EB" w14:paraId="119B026C" w14:textId="77777777">
        <w:trPr>
          <w:trHeight w:val="368"/>
        </w:trPr>
        <w:tc>
          <w:tcPr>
            <w:tcW w:w="4988" w:type="dxa"/>
          </w:tcPr>
          <w:p w14:paraId="167F93BC" w14:textId="77777777" w:rsidR="00A720EB" w:rsidRDefault="0030286B">
            <w:pPr>
              <w:pStyle w:val="TableParagraph"/>
              <w:spacing w:before="37"/>
              <w:rPr>
                <w:sz w:val="21"/>
              </w:rPr>
            </w:pPr>
            <w:r>
              <w:rPr>
                <w:color w:val="B02045"/>
                <w:sz w:val="21"/>
              </w:rPr>
              <w:t>JTDS</w:t>
            </w:r>
          </w:p>
        </w:tc>
        <w:tc>
          <w:tcPr>
            <w:tcW w:w="4988" w:type="dxa"/>
          </w:tcPr>
          <w:p w14:paraId="37534C18" w14:textId="77777777" w:rsidR="00A720EB" w:rsidRDefault="0030286B">
            <w:pPr>
              <w:pStyle w:val="TableParagraph"/>
              <w:spacing w:before="37"/>
              <w:rPr>
                <w:sz w:val="21"/>
              </w:rPr>
            </w:pPr>
            <w:proofErr w:type="gramStart"/>
            <w:r>
              <w:rPr>
                <w:color w:val="B02045"/>
                <w:sz w:val="21"/>
              </w:rPr>
              <w:t>jtds.version</w:t>
            </w:r>
            <w:proofErr w:type="gramEnd"/>
          </w:p>
        </w:tc>
      </w:tr>
      <w:tr w:rsidR="00A720EB" w14:paraId="6F267B8B" w14:textId="77777777">
        <w:trPr>
          <w:trHeight w:val="368"/>
        </w:trPr>
        <w:tc>
          <w:tcPr>
            <w:tcW w:w="4988" w:type="dxa"/>
          </w:tcPr>
          <w:p w14:paraId="02B8AA93" w14:textId="77777777" w:rsidR="00A720EB" w:rsidRDefault="0030286B">
            <w:pPr>
              <w:pStyle w:val="TableParagraph"/>
              <w:spacing w:before="37"/>
              <w:rPr>
                <w:sz w:val="21"/>
              </w:rPr>
            </w:pPr>
            <w:r>
              <w:rPr>
                <w:color w:val="B02045"/>
                <w:sz w:val="21"/>
              </w:rPr>
              <w:t>JUnit</w:t>
            </w:r>
          </w:p>
        </w:tc>
        <w:tc>
          <w:tcPr>
            <w:tcW w:w="4988" w:type="dxa"/>
          </w:tcPr>
          <w:p w14:paraId="01748BDE" w14:textId="77777777" w:rsidR="00A720EB" w:rsidRDefault="0030286B">
            <w:pPr>
              <w:pStyle w:val="TableParagraph"/>
              <w:spacing w:before="37"/>
              <w:rPr>
                <w:sz w:val="21"/>
              </w:rPr>
            </w:pPr>
            <w:proofErr w:type="gramStart"/>
            <w:r>
              <w:rPr>
                <w:color w:val="B02045"/>
                <w:sz w:val="21"/>
              </w:rPr>
              <w:t>junit.version</w:t>
            </w:r>
            <w:proofErr w:type="gramEnd"/>
          </w:p>
        </w:tc>
      </w:tr>
      <w:tr w:rsidR="00A720EB" w14:paraId="36CC2AB0" w14:textId="77777777">
        <w:trPr>
          <w:trHeight w:val="368"/>
        </w:trPr>
        <w:tc>
          <w:tcPr>
            <w:tcW w:w="4988" w:type="dxa"/>
          </w:tcPr>
          <w:p w14:paraId="325E87AA" w14:textId="77777777" w:rsidR="00A720EB" w:rsidRDefault="0030286B">
            <w:pPr>
              <w:pStyle w:val="TableParagraph"/>
              <w:spacing w:before="37"/>
              <w:rPr>
                <w:sz w:val="21"/>
              </w:rPr>
            </w:pPr>
            <w:r>
              <w:rPr>
                <w:color w:val="B02045"/>
                <w:sz w:val="21"/>
              </w:rPr>
              <w:t>JUnit Jupiter</w:t>
            </w:r>
          </w:p>
        </w:tc>
        <w:tc>
          <w:tcPr>
            <w:tcW w:w="4988" w:type="dxa"/>
          </w:tcPr>
          <w:p w14:paraId="6F875B73" w14:textId="77777777" w:rsidR="00A720EB" w:rsidRDefault="0030286B">
            <w:pPr>
              <w:pStyle w:val="TableParagraph"/>
              <w:spacing w:before="37"/>
              <w:rPr>
                <w:sz w:val="21"/>
              </w:rPr>
            </w:pPr>
            <w:r>
              <w:rPr>
                <w:color w:val="B02045"/>
                <w:sz w:val="21"/>
              </w:rPr>
              <w:t>junit-</w:t>
            </w:r>
            <w:proofErr w:type="gramStart"/>
            <w:r>
              <w:rPr>
                <w:color w:val="B02045"/>
                <w:sz w:val="21"/>
              </w:rPr>
              <w:t>jupiter.version</w:t>
            </w:r>
            <w:proofErr w:type="gramEnd"/>
          </w:p>
        </w:tc>
      </w:tr>
      <w:tr w:rsidR="00A720EB" w14:paraId="0624C31D" w14:textId="77777777">
        <w:trPr>
          <w:trHeight w:val="368"/>
        </w:trPr>
        <w:tc>
          <w:tcPr>
            <w:tcW w:w="4988" w:type="dxa"/>
          </w:tcPr>
          <w:p w14:paraId="518E6898" w14:textId="77777777" w:rsidR="00A720EB" w:rsidRDefault="0030286B">
            <w:pPr>
              <w:pStyle w:val="TableParagraph"/>
              <w:spacing w:before="37"/>
              <w:rPr>
                <w:sz w:val="21"/>
              </w:rPr>
            </w:pPr>
            <w:r>
              <w:rPr>
                <w:color w:val="B02045"/>
                <w:sz w:val="21"/>
              </w:rPr>
              <w:t>Kafka</w:t>
            </w:r>
          </w:p>
        </w:tc>
        <w:tc>
          <w:tcPr>
            <w:tcW w:w="4988" w:type="dxa"/>
          </w:tcPr>
          <w:p w14:paraId="5F4F7412" w14:textId="77777777" w:rsidR="00A720EB" w:rsidRDefault="0030286B">
            <w:pPr>
              <w:pStyle w:val="TableParagraph"/>
              <w:spacing w:before="37"/>
              <w:rPr>
                <w:sz w:val="21"/>
              </w:rPr>
            </w:pPr>
            <w:proofErr w:type="gramStart"/>
            <w:r>
              <w:rPr>
                <w:color w:val="B02045"/>
                <w:sz w:val="21"/>
              </w:rPr>
              <w:t>kafka.version</w:t>
            </w:r>
            <w:proofErr w:type="gramEnd"/>
          </w:p>
        </w:tc>
      </w:tr>
      <w:tr w:rsidR="00A720EB" w14:paraId="4329C830" w14:textId="77777777">
        <w:trPr>
          <w:trHeight w:val="368"/>
        </w:trPr>
        <w:tc>
          <w:tcPr>
            <w:tcW w:w="4988" w:type="dxa"/>
          </w:tcPr>
          <w:p w14:paraId="4B5DEA94" w14:textId="77777777" w:rsidR="00A720EB" w:rsidRDefault="0030286B">
            <w:pPr>
              <w:pStyle w:val="TableParagraph"/>
              <w:rPr>
                <w:sz w:val="21"/>
              </w:rPr>
            </w:pPr>
            <w:r>
              <w:rPr>
                <w:color w:val="B02045"/>
                <w:sz w:val="21"/>
              </w:rPr>
              <w:t>Kotlin</w:t>
            </w:r>
          </w:p>
        </w:tc>
        <w:tc>
          <w:tcPr>
            <w:tcW w:w="4988" w:type="dxa"/>
          </w:tcPr>
          <w:p w14:paraId="6CFD0EB3" w14:textId="77777777" w:rsidR="00A720EB" w:rsidRDefault="0030286B">
            <w:pPr>
              <w:pStyle w:val="TableParagraph"/>
              <w:rPr>
                <w:sz w:val="21"/>
              </w:rPr>
            </w:pPr>
            <w:proofErr w:type="gramStart"/>
            <w:r>
              <w:rPr>
                <w:color w:val="B02045"/>
                <w:sz w:val="21"/>
              </w:rPr>
              <w:t>kotlin.version</w:t>
            </w:r>
            <w:proofErr w:type="gramEnd"/>
          </w:p>
        </w:tc>
      </w:tr>
      <w:tr w:rsidR="00A720EB" w14:paraId="11EC8C1E" w14:textId="77777777">
        <w:trPr>
          <w:trHeight w:val="368"/>
        </w:trPr>
        <w:tc>
          <w:tcPr>
            <w:tcW w:w="4988" w:type="dxa"/>
          </w:tcPr>
          <w:p w14:paraId="34F1A74A" w14:textId="77777777" w:rsidR="00A720EB" w:rsidRDefault="0030286B">
            <w:pPr>
              <w:pStyle w:val="TableParagraph"/>
              <w:rPr>
                <w:sz w:val="21"/>
              </w:rPr>
            </w:pPr>
            <w:r>
              <w:rPr>
                <w:color w:val="B02045"/>
                <w:sz w:val="21"/>
              </w:rPr>
              <w:t>Kotlin Coroutines</w:t>
            </w:r>
          </w:p>
        </w:tc>
        <w:tc>
          <w:tcPr>
            <w:tcW w:w="4988" w:type="dxa"/>
          </w:tcPr>
          <w:p w14:paraId="35AB9128" w14:textId="77777777" w:rsidR="00A720EB" w:rsidRDefault="0030286B">
            <w:pPr>
              <w:pStyle w:val="TableParagraph"/>
              <w:rPr>
                <w:sz w:val="21"/>
              </w:rPr>
            </w:pPr>
            <w:r>
              <w:rPr>
                <w:color w:val="B02045"/>
                <w:sz w:val="21"/>
              </w:rPr>
              <w:t>kotlin-</w:t>
            </w:r>
            <w:proofErr w:type="gramStart"/>
            <w:r>
              <w:rPr>
                <w:color w:val="B02045"/>
                <w:sz w:val="21"/>
              </w:rPr>
              <w:t>coroutines.version</w:t>
            </w:r>
            <w:proofErr w:type="gramEnd"/>
          </w:p>
        </w:tc>
      </w:tr>
      <w:tr w:rsidR="00A720EB" w14:paraId="021F40B5" w14:textId="77777777">
        <w:trPr>
          <w:trHeight w:val="368"/>
        </w:trPr>
        <w:tc>
          <w:tcPr>
            <w:tcW w:w="4988" w:type="dxa"/>
          </w:tcPr>
          <w:p w14:paraId="3AC8138B" w14:textId="77777777" w:rsidR="00A720EB" w:rsidRDefault="0030286B">
            <w:pPr>
              <w:pStyle w:val="TableParagraph"/>
              <w:rPr>
                <w:sz w:val="21"/>
              </w:rPr>
            </w:pPr>
            <w:r>
              <w:rPr>
                <w:color w:val="B02045"/>
                <w:sz w:val="21"/>
              </w:rPr>
              <w:t>Lettuce</w:t>
            </w:r>
          </w:p>
        </w:tc>
        <w:tc>
          <w:tcPr>
            <w:tcW w:w="4988" w:type="dxa"/>
          </w:tcPr>
          <w:p w14:paraId="28A2A1A0" w14:textId="77777777" w:rsidR="00A720EB" w:rsidRDefault="0030286B">
            <w:pPr>
              <w:pStyle w:val="TableParagraph"/>
              <w:rPr>
                <w:sz w:val="21"/>
              </w:rPr>
            </w:pPr>
            <w:proofErr w:type="gramStart"/>
            <w:r>
              <w:rPr>
                <w:color w:val="B02045"/>
                <w:sz w:val="21"/>
              </w:rPr>
              <w:t>lettuce.version</w:t>
            </w:r>
            <w:proofErr w:type="gramEnd"/>
          </w:p>
        </w:tc>
      </w:tr>
      <w:tr w:rsidR="00A720EB" w14:paraId="5BEFE36B" w14:textId="77777777">
        <w:trPr>
          <w:trHeight w:val="368"/>
        </w:trPr>
        <w:tc>
          <w:tcPr>
            <w:tcW w:w="4988" w:type="dxa"/>
          </w:tcPr>
          <w:p w14:paraId="04022178" w14:textId="77777777" w:rsidR="00A720EB" w:rsidRDefault="0030286B">
            <w:pPr>
              <w:pStyle w:val="TableParagraph"/>
              <w:spacing w:before="37"/>
              <w:rPr>
                <w:sz w:val="21"/>
              </w:rPr>
            </w:pPr>
            <w:r>
              <w:rPr>
                <w:color w:val="B02045"/>
                <w:sz w:val="21"/>
              </w:rPr>
              <w:t>Liquibase</w:t>
            </w:r>
          </w:p>
        </w:tc>
        <w:tc>
          <w:tcPr>
            <w:tcW w:w="4988" w:type="dxa"/>
          </w:tcPr>
          <w:p w14:paraId="60CAB789" w14:textId="77777777" w:rsidR="00A720EB" w:rsidRDefault="0030286B">
            <w:pPr>
              <w:pStyle w:val="TableParagraph"/>
              <w:spacing w:before="37"/>
              <w:rPr>
                <w:sz w:val="21"/>
              </w:rPr>
            </w:pPr>
            <w:proofErr w:type="gramStart"/>
            <w:r>
              <w:rPr>
                <w:color w:val="B02045"/>
                <w:sz w:val="21"/>
              </w:rPr>
              <w:t>liquibase.version</w:t>
            </w:r>
            <w:proofErr w:type="gramEnd"/>
          </w:p>
        </w:tc>
      </w:tr>
      <w:tr w:rsidR="00A720EB" w14:paraId="5D26FB5D" w14:textId="77777777">
        <w:trPr>
          <w:trHeight w:val="368"/>
        </w:trPr>
        <w:tc>
          <w:tcPr>
            <w:tcW w:w="4988" w:type="dxa"/>
          </w:tcPr>
          <w:p w14:paraId="1CF45691" w14:textId="77777777" w:rsidR="00A720EB" w:rsidRDefault="0030286B">
            <w:pPr>
              <w:pStyle w:val="TableParagraph"/>
              <w:rPr>
                <w:sz w:val="21"/>
              </w:rPr>
            </w:pPr>
            <w:r>
              <w:rPr>
                <w:color w:val="B02045"/>
                <w:sz w:val="21"/>
              </w:rPr>
              <w:t>Log4j2</w:t>
            </w:r>
          </w:p>
        </w:tc>
        <w:tc>
          <w:tcPr>
            <w:tcW w:w="4988" w:type="dxa"/>
          </w:tcPr>
          <w:p w14:paraId="64A9B238" w14:textId="77777777" w:rsidR="00A720EB" w:rsidRDefault="0030286B">
            <w:pPr>
              <w:pStyle w:val="TableParagraph"/>
              <w:rPr>
                <w:sz w:val="21"/>
              </w:rPr>
            </w:pPr>
            <w:r>
              <w:rPr>
                <w:color w:val="B02045"/>
                <w:sz w:val="21"/>
              </w:rPr>
              <w:t>log4j2.version</w:t>
            </w:r>
          </w:p>
        </w:tc>
      </w:tr>
      <w:tr w:rsidR="00A720EB" w14:paraId="6C61B06D" w14:textId="77777777">
        <w:trPr>
          <w:trHeight w:val="368"/>
        </w:trPr>
        <w:tc>
          <w:tcPr>
            <w:tcW w:w="4988" w:type="dxa"/>
          </w:tcPr>
          <w:p w14:paraId="3B8603A4" w14:textId="77777777" w:rsidR="00A720EB" w:rsidRDefault="0030286B">
            <w:pPr>
              <w:pStyle w:val="TableParagraph"/>
              <w:rPr>
                <w:sz w:val="21"/>
              </w:rPr>
            </w:pPr>
            <w:r>
              <w:rPr>
                <w:color w:val="B02045"/>
                <w:sz w:val="21"/>
              </w:rPr>
              <w:t>Logback</w:t>
            </w:r>
          </w:p>
        </w:tc>
        <w:tc>
          <w:tcPr>
            <w:tcW w:w="4988" w:type="dxa"/>
          </w:tcPr>
          <w:p w14:paraId="1F4670CA" w14:textId="77777777" w:rsidR="00A720EB" w:rsidRDefault="0030286B">
            <w:pPr>
              <w:pStyle w:val="TableParagraph"/>
              <w:rPr>
                <w:sz w:val="21"/>
              </w:rPr>
            </w:pPr>
            <w:proofErr w:type="gramStart"/>
            <w:r>
              <w:rPr>
                <w:color w:val="B02045"/>
                <w:sz w:val="21"/>
              </w:rPr>
              <w:t>logback.version</w:t>
            </w:r>
            <w:proofErr w:type="gramEnd"/>
          </w:p>
        </w:tc>
      </w:tr>
      <w:tr w:rsidR="00A720EB" w14:paraId="0A73EC53" w14:textId="77777777">
        <w:trPr>
          <w:trHeight w:val="368"/>
        </w:trPr>
        <w:tc>
          <w:tcPr>
            <w:tcW w:w="4988" w:type="dxa"/>
          </w:tcPr>
          <w:p w14:paraId="7ABA2487" w14:textId="77777777" w:rsidR="00A720EB" w:rsidRDefault="0030286B">
            <w:pPr>
              <w:pStyle w:val="TableParagraph"/>
              <w:spacing w:before="37"/>
              <w:rPr>
                <w:sz w:val="21"/>
              </w:rPr>
            </w:pPr>
            <w:r>
              <w:rPr>
                <w:color w:val="B02045"/>
                <w:sz w:val="21"/>
              </w:rPr>
              <w:t>Lombok</w:t>
            </w:r>
          </w:p>
        </w:tc>
        <w:tc>
          <w:tcPr>
            <w:tcW w:w="4988" w:type="dxa"/>
          </w:tcPr>
          <w:p w14:paraId="521854A4" w14:textId="77777777" w:rsidR="00A720EB" w:rsidRDefault="0030286B">
            <w:pPr>
              <w:pStyle w:val="TableParagraph"/>
              <w:spacing w:before="37"/>
              <w:rPr>
                <w:sz w:val="21"/>
              </w:rPr>
            </w:pPr>
            <w:proofErr w:type="gramStart"/>
            <w:r>
              <w:rPr>
                <w:color w:val="B02045"/>
                <w:sz w:val="21"/>
              </w:rPr>
              <w:t>lombok.version</w:t>
            </w:r>
            <w:proofErr w:type="gramEnd"/>
          </w:p>
        </w:tc>
      </w:tr>
      <w:tr w:rsidR="00A720EB" w14:paraId="3DF83CE7" w14:textId="77777777">
        <w:trPr>
          <w:trHeight w:val="368"/>
        </w:trPr>
        <w:tc>
          <w:tcPr>
            <w:tcW w:w="4988" w:type="dxa"/>
          </w:tcPr>
          <w:p w14:paraId="1C3DF057" w14:textId="77777777" w:rsidR="00A720EB" w:rsidRDefault="0030286B">
            <w:pPr>
              <w:pStyle w:val="TableParagraph"/>
              <w:spacing w:before="37"/>
              <w:rPr>
                <w:sz w:val="21"/>
              </w:rPr>
            </w:pPr>
            <w:r>
              <w:rPr>
                <w:color w:val="B02045"/>
                <w:sz w:val="21"/>
              </w:rPr>
              <w:t>MariaDB</w:t>
            </w:r>
          </w:p>
        </w:tc>
        <w:tc>
          <w:tcPr>
            <w:tcW w:w="4988" w:type="dxa"/>
          </w:tcPr>
          <w:p w14:paraId="0F39F853" w14:textId="77777777" w:rsidR="00A720EB" w:rsidRDefault="0030286B">
            <w:pPr>
              <w:pStyle w:val="TableParagraph"/>
              <w:spacing w:before="37"/>
              <w:rPr>
                <w:sz w:val="21"/>
              </w:rPr>
            </w:pPr>
            <w:proofErr w:type="gramStart"/>
            <w:r>
              <w:rPr>
                <w:color w:val="B02045"/>
                <w:sz w:val="21"/>
              </w:rPr>
              <w:t>mariadb.version</w:t>
            </w:r>
            <w:proofErr w:type="gramEnd"/>
          </w:p>
        </w:tc>
      </w:tr>
      <w:tr w:rsidR="00A720EB" w14:paraId="64608157" w14:textId="77777777">
        <w:trPr>
          <w:trHeight w:val="368"/>
        </w:trPr>
        <w:tc>
          <w:tcPr>
            <w:tcW w:w="4988" w:type="dxa"/>
          </w:tcPr>
          <w:p w14:paraId="77453EF5" w14:textId="77777777" w:rsidR="00A720EB" w:rsidRDefault="0030286B">
            <w:pPr>
              <w:pStyle w:val="TableParagraph"/>
              <w:spacing w:before="37"/>
              <w:rPr>
                <w:sz w:val="21"/>
              </w:rPr>
            </w:pPr>
            <w:r>
              <w:rPr>
                <w:color w:val="B02045"/>
                <w:sz w:val="21"/>
              </w:rPr>
              <w:t>Maven AntRun Plugin</w:t>
            </w:r>
          </w:p>
        </w:tc>
        <w:tc>
          <w:tcPr>
            <w:tcW w:w="4988" w:type="dxa"/>
          </w:tcPr>
          <w:p w14:paraId="368D436D" w14:textId="77777777" w:rsidR="00A720EB" w:rsidRDefault="0030286B">
            <w:pPr>
              <w:pStyle w:val="TableParagraph"/>
              <w:spacing w:before="37"/>
              <w:rPr>
                <w:sz w:val="21"/>
              </w:rPr>
            </w:pPr>
            <w:r>
              <w:rPr>
                <w:color w:val="B02045"/>
                <w:sz w:val="21"/>
              </w:rPr>
              <w:t>maven-antrun-</w:t>
            </w:r>
            <w:proofErr w:type="gramStart"/>
            <w:r>
              <w:rPr>
                <w:color w:val="B02045"/>
                <w:sz w:val="21"/>
              </w:rPr>
              <w:t>plugin.version</w:t>
            </w:r>
            <w:proofErr w:type="gramEnd"/>
          </w:p>
        </w:tc>
      </w:tr>
      <w:tr w:rsidR="00A720EB" w14:paraId="63220DFF" w14:textId="77777777">
        <w:trPr>
          <w:trHeight w:val="368"/>
        </w:trPr>
        <w:tc>
          <w:tcPr>
            <w:tcW w:w="4988" w:type="dxa"/>
          </w:tcPr>
          <w:p w14:paraId="654ED127" w14:textId="77777777" w:rsidR="00A720EB" w:rsidRDefault="0030286B">
            <w:pPr>
              <w:pStyle w:val="TableParagraph"/>
              <w:rPr>
                <w:sz w:val="21"/>
              </w:rPr>
            </w:pPr>
            <w:r>
              <w:rPr>
                <w:color w:val="B02045"/>
                <w:sz w:val="21"/>
              </w:rPr>
              <w:t>Maven Assembly Plugin</w:t>
            </w:r>
          </w:p>
        </w:tc>
        <w:tc>
          <w:tcPr>
            <w:tcW w:w="4988" w:type="dxa"/>
          </w:tcPr>
          <w:p w14:paraId="1BBAAA40" w14:textId="77777777" w:rsidR="00A720EB" w:rsidRDefault="0030286B">
            <w:pPr>
              <w:pStyle w:val="TableParagraph"/>
              <w:rPr>
                <w:sz w:val="21"/>
              </w:rPr>
            </w:pPr>
            <w:r>
              <w:rPr>
                <w:color w:val="B02045"/>
                <w:sz w:val="21"/>
              </w:rPr>
              <w:t>maven-assembly-</w:t>
            </w:r>
            <w:proofErr w:type="gramStart"/>
            <w:r>
              <w:rPr>
                <w:color w:val="B02045"/>
                <w:sz w:val="21"/>
              </w:rPr>
              <w:t>plugin.version</w:t>
            </w:r>
            <w:proofErr w:type="gramEnd"/>
          </w:p>
        </w:tc>
      </w:tr>
      <w:tr w:rsidR="00A720EB" w14:paraId="4D281EAE" w14:textId="77777777">
        <w:trPr>
          <w:trHeight w:val="368"/>
        </w:trPr>
        <w:tc>
          <w:tcPr>
            <w:tcW w:w="4988" w:type="dxa"/>
          </w:tcPr>
          <w:p w14:paraId="2C7FEB0C" w14:textId="77777777" w:rsidR="00A720EB" w:rsidRDefault="0030286B">
            <w:pPr>
              <w:pStyle w:val="TableParagraph"/>
              <w:rPr>
                <w:sz w:val="21"/>
              </w:rPr>
            </w:pPr>
            <w:r>
              <w:rPr>
                <w:color w:val="B02045"/>
                <w:sz w:val="21"/>
              </w:rPr>
              <w:t>Maven Clean Plugin</w:t>
            </w:r>
          </w:p>
        </w:tc>
        <w:tc>
          <w:tcPr>
            <w:tcW w:w="4988" w:type="dxa"/>
          </w:tcPr>
          <w:p w14:paraId="4268E50E" w14:textId="77777777" w:rsidR="00A720EB" w:rsidRDefault="0030286B">
            <w:pPr>
              <w:pStyle w:val="TableParagraph"/>
              <w:rPr>
                <w:sz w:val="21"/>
              </w:rPr>
            </w:pPr>
            <w:r>
              <w:rPr>
                <w:color w:val="B02045"/>
                <w:sz w:val="21"/>
              </w:rPr>
              <w:t>maven-clean-</w:t>
            </w:r>
            <w:proofErr w:type="gramStart"/>
            <w:r>
              <w:rPr>
                <w:color w:val="B02045"/>
                <w:sz w:val="21"/>
              </w:rPr>
              <w:t>plugin.version</w:t>
            </w:r>
            <w:proofErr w:type="gramEnd"/>
          </w:p>
        </w:tc>
      </w:tr>
      <w:tr w:rsidR="00A720EB" w14:paraId="0580290A" w14:textId="77777777">
        <w:trPr>
          <w:trHeight w:val="368"/>
        </w:trPr>
        <w:tc>
          <w:tcPr>
            <w:tcW w:w="4988" w:type="dxa"/>
          </w:tcPr>
          <w:p w14:paraId="172DD5D3" w14:textId="77777777" w:rsidR="00A720EB" w:rsidRDefault="0030286B">
            <w:pPr>
              <w:pStyle w:val="TableParagraph"/>
              <w:spacing w:before="37"/>
              <w:rPr>
                <w:sz w:val="21"/>
              </w:rPr>
            </w:pPr>
            <w:r>
              <w:rPr>
                <w:color w:val="B02045"/>
                <w:sz w:val="21"/>
              </w:rPr>
              <w:t>Maven Compiler Plugin</w:t>
            </w:r>
          </w:p>
        </w:tc>
        <w:tc>
          <w:tcPr>
            <w:tcW w:w="4988" w:type="dxa"/>
          </w:tcPr>
          <w:p w14:paraId="5470C69C" w14:textId="77777777" w:rsidR="00A720EB" w:rsidRDefault="0030286B">
            <w:pPr>
              <w:pStyle w:val="TableParagraph"/>
              <w:spacing w:before="37"/>
              <w:rPr>
                <w:sz w:val="21"/>
              </w:rPr>
            </w:pPr>
            <w:r>
              <w:rPr>
                <w:color w:val="B02045"/>
                <w:sz w:val="21"/>
              </w:rPr>
              <w:t>maven-compiler-</w:t>
            </w:r>
            <w:proofErr w:type="gramStart"/>
            <w:r>
              <w:rPr>
                <w:color w:val="B02045"/>
                <w:sz w:val="21"/>
              </w:rPr>
              <w:t>plugin.version</w:t>
            </w:r>
            <w:proofErr w:type="gramEnd"/>
          </w:p>
        </w:tc>
      </w:tr>
      <w:tr w:rsidR="00A720EB" w14:paraId="30638F94" w14:textId="77777777">
        <w:trPr>
          <w:trHeight w:val="368"/>
        </w:trPr>
        <w:tc>
          <w:tcPr>
            <w:tcW w:w="4988" w:type="dxa"/>
          </w:tcPr>
          <w:p w14:paraId="20B31A5C" w14:textId="77777777" w:rsidR="00A720EB" w:rsidRDefault="0030286B">
            <w:pPr>
              <w:pStyle w:val="TableParagraph"/>
              <w:spacing w:before="37"/>
              <w:rPr>
                <w:sz w:val="21"/>
              </w:rPr>
            </w:pPr>
            <w:r>
              <w:rPr>
                <w:color w:val="B02045"/>
                <w:sz w:val="21"/>
              </w:rPr>
              <w:t>Maven Dependency Plugin</w:t>
            </w:r>
          </w:p>
        </w:tc>
        <w:tc>
          <w:tcPr>
            <w:tcW w:w="4988" w:type="dxa"/>
          </w:tcPr>
          <w:p w14:paraId="1206F7F8" w14:textId="77777777" w:rsidR="00A720EB" w:rsidRDefault="0030286B">
            <w:pPr>
              <w:pStyle w:val="TableParagraph"/>
              <w:spacing w:before="37"/>
              <w:rPr>
                <w:sz w:val="21"/>
              </w:rPr>
            </w:pPr>
            <w:r>
              <w:rPr>
                <w:color w:val="B02045"/>
                <w:sz w:val="21"/>
              </w:rPr>
              <w:t>maven-dependency-</w:t>
            </w:r>
            <w:proofErr w:type="gramStart"/>
            <w:r>
              <w:rPr>
                <w:color w:val="B02045"/>
                <w:sz w:val="21"/>
              </w:rPr>
              <w:t>plugin.version</w:t>
            </w:r>
            <w:proofErr w:type="gramEnd"/>
          </w:p>
        </w:tc>
      </w:tr>
      <w:tr w:rsidR="00A720EB" w14:paraId="23E1AE32" w14:textId="77777777">
        <w:trPr>
          <w:trHeight w:val="368"/>
        </w:trPr>
        <w:tc>
          <w:tcPr>
            <w:tcW w:w="4988" w:type="dxa"/>
          </w:tcPr>
          <w:p w14:paraId="7687FA3A" w14:textId="77777777" w:rsidR="00A720EB" w:rsidRDefault="0030286B">
            <w:pPr>
              <w:pStyle w:val="TableParagraph"/>
              <w:rPr>
                <w:sz w:val="21"/>
              </w:rPr>
            </w:pPr>
            <w:r>
              <w:rPr>
                <w:color w:val="B02045"/>
                <w:sz w:val="21"/>
              </w:rPr>
              <w:t>Maven Deploy Plugin</w:t>
            </w:r>
          </w:p>
        </w:tc>
        <w:tc>
          <w:tcPr>
            <w:tcW w:w="4988" w:type="dxa"/>
          </w:tcPr>
          <w:p w14:paraId="59977EA0" w14:textId="77777777" w:rsidR="00A720EB" w:rsidRDefault="0030286B">
            <w:pPr>
              <w:pStyle w:val="TableParagraph"/>
              <w:rPr>
                <w:sz w:val="21"/>
              </w:rPr>
            </w:pPr>
            <w:r>
              <w:rPr>
                <w:color w:val="B02045"/>
                <w:sz w:val="21"/>
              </w:rPr>
              <w:t>maven-deploy-</w:t>
            </w:r>
            <w:proofErr w:type="gramStart"/>
            <w:r>
              <w:rPr>
                <w:color w:val="B02045"/>
                <w:sz w:val="21"/>
              </w:rPr>
              <w:t>plugin.version</w:t>
            </w:r>
            <w:proofErr w:type="gramEnd"/>
          </w:p>
        </w:tc>
      </w:tr>
      <w:tr w:rsidR="00A720EB" w14:paraId="3EEFCC2C" w14:textId="77777777">
        <w:trPr>
          <w:trHeight w:val="368"/>
        </w:trPr>
        <w:tc>
          <w:tcPr>
            <w:tcW w:w="4988" w:type="dxa"/>
          </w:tcPr>
          <w:p w14:paraId="23E4877D" w14:textId="77777777" w:rsidR="00A720EB" w:rsidRDefault="0030286B">
            <w:pPr>
              <w:pStyle w:val="TableParagraph"/>
              <w:rPr>
                <w:sz w:val="21"/>
              </w:rPr>
            </w:pPr>
            <w:r>
              <w:rPr>
                <w:color w:val="B02045"/>
                <w:sz w:val="21"/>
              </w:rPr>
              <w:t>Maven Enforcer Plugin</w:t>
            </w:r>
          </w:p>
        </w:tc>
        <w:tc>
          <w:tcPr>
            <w:tcW w:w="4988" w:type="dxa"/>
          </w:tcPr>
          <w:p w14:paraId="112E794A" w14:textId="77777777" w:rsidR="00A720EB" w:rsidRDefault="0030286B">
            <w:pPr>
              <w:pStyle w:val="TableParagraph"/>
              <w:rPr>
                <w:sz w:val="21"/>
              </w:rPr>
            </w:pPr>
            <w:r>
              <w:rPr>
                <w:color w:val="B02045"/>
                <w:sz w:val="21"/>
              </w:rPr>
              <w:t>maven-enforcer-</w:t>
            </w:r>
            <w:proofErr w:type="gramStart"/>
            <w:r>
              <w:rPr>
                <w:color w:val="B02045"/>
                <w:sz w:val="21"/>
              </w:rPr>
              <w:t>plugin.version</w:t>
            </w:r>
            <w:proofErr w:type="gramEnd"/>
          </w:p>
        </w:tc>
      </w:tr>
      <w:tr w:rsidR="00A720EB" w14:paraId="1B296B13" w14:textId="77777777">
        <w:trPr>
          <w:trHeight w:val="368"/>
        </w:trPr>
        <w:tc>
          <w:tcPr>
            <w:tcW w:w="4988" w:type="dxa"/>
          </w:tcPr>
          <w:p w14:paraId="107887FB" w14:textId="77777777" w:rsidR="00A720EB" w:rsidRDefault="0030286B">
            <w:pPr>
              <w:pStyle w:val="TableParagraph"/>
              <w:spacing w:before="37"/>
              <w:rPr>
                <w:sz w:val="21"/>
              </w:rPr>
            </w:pPr>
            <w:r>
              <w:rPr>
                <w:color w:val="B02045"/>
                <w:sz w:val="21"/>
              </w:rPr>
              <w:t>Maven Failsafe Plugin</w:t>
            </w:r>
          </w:p>
        </w:tc>
        <w:tc>
          <w:tcPr>
            <w:tcW w:w="4988" w:type="dxa"/>
          </w:tcPr>
          <w:p w14:paraId="7B057369" w14:textId="77777777" w:rsidR="00A720EB" w:rsidRDefault="0030286B">
            <w:pPr>
              <w:pStyle w:val="TableParagraph"/>
              <w:spacing w:before="37"/>
              <w:rPr>
                <w:sz w:val="21"/>
              </w:rPr>
            </w:pPr>
            <w:r>
              <w:rPr>
                <w:color w:val="B02045"/>
                <w:sz w:val="21"/>
              </w:rPr>
              <w:t>maven-failsafe-</w:t>
            </w:r>
            <w:proofErr w:type="gramStart"/>
            <w:r>
              <w:rPr>
                <w:color w:val="B02045"/>
                <w:sz w:val="21"/>
              </w:rPr>
              <w:t>plugin.version</w:t>
            </w:r>
            <w:proofErr w:type="gramEnd"/>
          </w:p>
        </w:tc>
      </w:tr>
      <w:tr w:rsidR="00A720EB" w14:paraId="7CA63C88" w14:textId="77777777">
        <w:trPr>
          <w:trHeight w:val="368"/>
        </w:trPr>
        <w:tc>
          <w:tcPr>
            <w:tcW w:w="4988" w:type="dxa"/>
          </w:tcPr>
          <w:p w14:paraId="1EFD68FC" w14:textId="77777777" w:rsidR="00A720EB" w:rsidRDefault="0030286B">
            <w:pPr>
              <w:pStyle w:val="TableParagraph"/>
              <w:spacing w:before="37"/>
              <w:rPr>
                <w:sz w:val="21"/>
              </w:rPr>
            </w:pPr>
            <w:r>
              <w:rPr>
                <w:color w:val="B02045"/>
                <w:sz w:val="21"/>
              </w:rPr>
              <w:t>Maven Help Plugin</w:t>
            </w:r>
          </w:p>
        </w:tc>
        <w:tc>
          <w:tcPr>
            <w:tcW w:w="4988" w:type="dxa"/>
          </w:tcPr>
          <w:p w14:paraId="7AB13E0C" w14:textId="77777777" w:rsidR="00A720EB" w:rsidRDefault="0030286B">
            <w:pPr>
              <w:pStyle w:val="TableParagraph"/>
              <w:spacing w:before="37"/>
              <w:rPr>
                <w:sz w:val="21"/>
              </w:rPr>
            </w:pPr>
            <w:r>
              <w:rPr>
                <w:color w:val="B02045"/>
                <w:sz w:val="21"/>
              </w:rPr>
              <w:t>maven-help-</w:t>
            </w:r>
            <w:proofErr w:type="gramStart"/>
            <w:r>
              <w:rPr>
                <w:color w:val="B02045"/>
                <w:sz w:val="21"/>
              </w:rPr>
              <w:t>plugin.version</w:t>
            </w:r>
            <w:proofErr w:type="gramEnd"/>
          </w:p>
        </w:tc>
      </w:tr>
      <w:tr w:rsidR="00A720EB" w14:paraId="27428690" w14:textId="77777777">
        <w:trPr>
          <w:trHeight w:val="368"/>
        </w:trPr>
        <w:tc>
          <w:tcPr>
            <w:tcW w:w="4988" w:type="dxa"/>
          </w:tcPr>
          <w:p w14:paraId="106D1616" w14:textId="77777777" w:rsidR="00A720EB" w:rsidRDefault="0030286B">
            <w:pPr>
              <w:pStyle w:val="TableParagraph"/>
              <w:rPr>
                <w:sz w:val="21"/>
              </w:rPr>
            </w:pPr>
            <w:r>
              <w:rPr>
                <w:color w:val="B02045"/>
                <w:sz w:val="21"/>
              </w:rPr>
              <w:t>Maven Install Plugin</w:t>
            </w:r>
          </w:p>
        </w:tc>
        <w:tc>
          <w:tcPr>
            <w:tcW w:w="4988" w:type="dxa"/>
          </w:tcPr>
          <w:p w14:paraId="43F4F407" w14:textId="77777777" w:rsidR="00A720EB" w:rsidRDefault="0030286B">
            <w:pPr>
              <w:pStyle w:val="TableParagraph"/>
              <w:rPr>
                <w:sz w:val="21"/>
              </w:rPr>
            </w:pPr>
            <w:r>
              <w:rPr>
                <w:color w:val="B02045"/>
                <w:sz w:val="21"/>
              </w:rPr>
              <w:t>maven-install-</w:t>
            </w:r>
            <w:proofErr w:type="gramStart"/>
            <w:r>
              <w:rPr>
                <w:color w:val="B02045"/>
                <w:sz w:val="21"/>
              </w:rPr>
              <w:t>plugin.version</w:t>
            </w:r>
            <w:proofErr w:type="gramEnd"/>
          </w:p>
        </w:tc>
      </w:tr>
      <w:tr w:rsidR="00A720EB" w14:paraId="1528852D" w14:textId="77777777">
        <w:trPr>
          <w:trHeight w:val="368"/>
        </w:trPr>
        <w:tc>
          <w:tcPr>
            <w:tcW w:w="4988" w:type="dxa"/>
          </w:tcPr>
          <w:p w14:paraId="3E3109DF" w14:textId="77777777" w:rsidR="00A720EB" w:rsidRDefault="0030286B">
            <w:pPr>
              <w:pStyle w:val="TableParagraph"/>
              <w:spacing w:before="37"/>
              <w:rPr>
                <w:sz w:val="21"/>
              </w:rPr>
            </w:pPr>
            <w:r>
              <w:rPr>
                <w:color w:val="B02045"/>
                <w:sz w:val="21"/>
              </w:rPr>
              <w:t>Maven Invoker Plugin</w:t>
            </w:r>
          </w:p>
        </w:tc>
        <w:tc>
          <w:tcPr>
            <w:tcW w:w="4988" w:type="dxa"/>
          </w:tcPr>
          <w:p w14:paraId="7A547564" w14:textId="77777777" w:rsidR="00A720EB" w:rsidRDefault="0030286B">
            <w:pPr>
              <w:pStyle w:val="TableParagraph"/>
              <w:spacing w:before="37"/>
              <w:rPr>
                <w:sz w:val="21"/>
              </w:rPr>
            </w:pPr>
            <w:r>
              <w:rPr>
                <w:color w:val="B02045"/>
                <w:sz w:val="21"/>
              </w:rPr>
              <w:t>maven-invoker-</w:t>
            </w:r>
            <w:proofErr w:type="gramStart"/>
            <w:r>
              <w:rPr>
                <w:color w:val="B02045"/>
                <w:sz w:val="21"/>
              </w:rPr>
              <w:t>plugin.version</w:t>
            </w:r>
            <w:proofErr w:type="gramEnd"/>
          </w:p>
        </w:tc>
      </w:tr>
      <w:tr w:rsidR="00A720EB" w14:paraId="77D04DD3" w14:textId="77777777">
        <w:trPr>
          <w:trHeight w:val="368"/>
        </w:trPr>
        <w:tc>
          <w:tcPr>
            <w:tcW w:w="4988" w:type="dxa"/>
          </w:tcPr>
          <w:p w14:paraId="4E89CEF6" w14:textId="77777777" w:rsidR="00A720EB" w:rsidRDefault="0030286B">
            <w:pPr>
              <w:pStyle w:val="TableParagraph"/>
              <w:rPr>
                <w:sz w:val="21"/>
              </w:rPr>
            </w:pPr>
            <w:r>
              <w:rPr>
                <w:color w:val="B02045"/>
                <w:sz w:val="21"/>
              </w:rPr>
              <w:t>Maven Jar Plugin</w:t>
            </w:r>
          </w:p>
        </w:tc>
        <w:tc>
          <w:tcPr>
            <w:tcW w:w="4988" w:type="dxa"/>
          </w:tcPr>
          <w:p w14:paraId="17D59560" w14:textId="77777777" w:rsidR="00A720EB" w:rsidRDefault="0030286B">
            <w:pPr>
              <w:pStyle w:val="TableParagraph"/>
              <w:rPr>
                <w:sz w:val="21"/>
              </w:rPr>
            </w:pPr>
            <w:r>
              <w:rPr>
                <w:color w:val="B02045"/>
                <w:sz w:val="21"/>
              </w:rPr>
              <w:t>maven-jar-</w:t>
            </w:r>
            <w:proofErr w:type="gramStart"/>
            <w:r>
              <w:rPr>
                <w:color w:val="B02045"/>
                <w:sz w:val="21"/>
              </w:rPr>
              <w:t>plugin.version</w:t>
            </w:r>
            <w:proofErr w:type="gramEnd"/>
          </w:p>
        </w:tc>
      </w:tr>
      <w:tr w:rsidR="00A720EB" w14:paraId="0D1E5CEF" w14:textId="77777777">
        <w:trPr>
          <w:trHeight w:val="368"/>
        </w:trPr>
        <w:tc>
          <w:tcPr>
            <w:tcW w:w="4988" w:type="dxa"/>
          </w:tcPr>
          <w:p w14:paraId="0D46A293" w14:textId="77777777" w:rsidR="00A720EB" w:rsidRDefault="0030286B">
            <w:pPr>
              <w:pStyle w:val="TableParagraph"/>
              <w:spacing w:before="37"/>
              <w:rPr>
                <w:sz w:val="21"/>
              </w:rPr>
            </w:pPr>
            <w:r>
              <w:rPr>
                <w:color w:val="B02045"/>
                <w:sz w:val="21"/>
              </w:rPr>
              <w:t>Maven Javadoc Plugin</w:t>
            </w:r>
          </w:p>
        </w:tc>
        <w:tc>
          <w:tcPr>
            <w:tcW w:w="4988" w:type="dxa"/>
          </w:tcPr>
          <w:p w14:paraId="69D78BE2" w14:textId="77777777" w:rsidR="00A720EB" w:rsidRDefault="0030286B">
            <w:pPr>
              <w:pStyle w:val="TableParagraph"/>
              <w:spacing w:before="37"/>
              <w:rPr>
                <w:sz w:val="21"/>
              </w:rPr>
            </w:pPr>
            <w:r>
              <w:rPr>
                <w:color w:val="B02045"/>
                <w:sz w:val="21"/>
              </w:rPr>
              <w:t>maven-javadoc-</w:t>
            </w:r>
            <w:proofErr w:type="gramStart"/>
            <w:r>
              <w:rPr>
                <w:color w:val="B02045"/>
                <w:sz w:val="21"/>
              </w:rPr>
              <w:t>plugin.version</w:t>
            </w:r>
            <w:proofErr w:type="gramEnd"/>
          </w:p>
        </w:tc>
      </w:tr>
      <w:tr w:rsidR="00A720EB" w14:paraId="4F766D1C" w14:textId="77777777">
        <w:trPr>
          <w:trHeight w:val="368"/>
        </w:trPr>
        <w:tc>
          <w:tcPr>
            <w:tcW w:w="4988" w:type="dxa"/>
          </w:tcPr>
          <w:p w14:paraId="60DFEBA7" w14:textId="77777777" w:rsidR="00A720EB" w:rsidRDefault="0030286B">
            <w:pPr>
              <w:pStyle w:val="TableParagraph"/>
              <w:rPr>
                <w:sz w:val="21"/>
              </w:rPr>
            </w:pPr>
            <w:r>
              <w:rPr>
                <w:color w:val="B02045"/>
                <w:sz w:val="21"/>
              </w:rPr>
              <w:t>Maven Resources Plugin</w:t>
            </w:r>
          </w:p>
        </w:tc>
        <w:tc>
          <w:tcPr>
            <w:tcW w:w="4988" w:type="dxa"/>
          </w:tcPr>
          <w:p w14:paraId="096053AB" w14:textId="77777777" w:rsidR="00A720EB" w:rsidRDefault="0030286B">
            <w:pPr>
              <w:pStyle w:val="TableParagraph"/>
              <w:rPr>
                <w:sz w:val="21"/>
              </w:rPr>
            </w:pPr>
            <w:r>
              <w:rPr>
                <w:color w:val="B02045"/>
                <w:sz w:val="21"/>
              </w:rPr>
              <w:t>maven-resources-</w:t>
            </w:r>
            <w:proofErr w:type="gramStart"/>
            <w:r>
              <w:rPr>
                <w:color w:val="B02045"/>
                <w:sz w:val="21"/>
              </w:rPr>
              <w:t>plugin.version</w:t>
            </w:r>
            <w:proofErr w:type="gramEnd"/>
          </w:p>
        </w:tc>
      </w:tr>
      <w:tr w:rsidR="00A720EB" w14:paraId="59B7C417" w14:textId="77777777">
        <w:trPr>
          <w:trHeight w:val="368"/>
        </w:trPr>
        <w:tc>
          <w:tcPr>
            <w:tcW w:w="4988" w:type="dxa"/>
          </w:tcPr>
          <w:p w14:paraId="0D44A889" w14:textId="77777777" w:rsidR="00A720EB" w:rsidRDefault="0030286B">
            <w:pPr>
              <w:pStyle w:val="TableParagraph"/>
              <w:spacing w:before="37"/>
              <w:rPr>
                <w:sz w:val="21"/>
              </w:rPr>
            </w:pPr>
            <w:r>
              <w:rPr>
                <w:color w:val="B02045"/>
                <w:sz w:val="21"/>
              </w:rPr>
              <w:t>Maven Shade Plugin</w:t>
            </w:r>
          </w:p>
        </w:tc>
        <w:tc>
          <w:tcPr>
            <w:tcW w:w="4988" w:type="dxa"/>
          </w:tcPr>
          <w:p w14:paraId="1E024FB0" w14:textId="77777777" w:rsidR="00A720EB" w:rsidRDefault="0030286B">
            <w:pPr>
              <w:pStyle w:val="TableParagraph"/>
              <w:spacing w:before="37"/>
              <w:rPr>
                <w:sz w:val="21"/>
              </w:rPr>
            </w:pPr>
            <w:r>
              <w:rPr>
                <w:color w:val="B02045"/>
                <w:sz w:val="21"/>
              </w:rPr>
              <w:t>maven-shade-</w:t>
            </w:r>
            <w:proofErr w:type="gramStart"/>
            <w:r>
              <w:rPr>
                <w:color w:val="B02045"/>
                <w:sz w:val="21"/>
              </w:rPr>
              <w:t>plugin.version</w:t>
            </w:r>
            <w:proofErr w:type="gramEnd"/>
          </w:p>
        </w:tc>
      </w:tr>
      <w:tr w:rsidR="00A720EB" w14:paraId="44E73589" w14:textId="77777777">
        <w:trPr>
          <w:trHeight w:val="368"/>
        </w:trPr>
        <w:tc>
          <w:tcPr>
            <w:tcW w:w="4988" w:type="dxa"/>
          </w:tcPr>
          <w:p w14:paraId="79EA862F" w14:textId="77777777" w:rsidR="00A720EB" w:rsidRDefault="0030286B">
            <w:pPr>
              <w:pStyle w:val="TableParagraph"/>
              <w:rPr>
                <w:sz w:val="21"/>
              </w:rPr>
            </w:pPr>
            <w:r>
              <w:rPr>
                <w:color w:val="B02045"/>
                <w:sz w:val="21"/>
              </w:rPr>
              <w:t>Maven Source Plugin</w:t>
            </w:r>
          </w:p>
        </w:tc>
        <w:tc>
          <w:tcPr>
            <w:tcW w:w="4988" w:type="dxa"/>
          </w:tcPr>
          <w:p w14:paraId="352AC57E" w14:textId="77777777" w:rsidR="00A720EB" w:rsidRDefault="0030286B">
            <w:pPr>
              <w:pStyle w:val="TableParagraph"/>
              <w:rPr>
                <w:sz w:val="21"/>
              </w:rPr>
            </w:pPr>
            <w:r>
              <w:rPr>
                <w:color w:val="B02045"/>
                <w:sz w:val="21"/>
              </w:rPr>
              <w:t>maven-source-</w:t>
            </w:r>
            <w:proofErr w:type="gramStart"/>
            <w:r>
              <w:rPr>
                <w:color w:val="B02045"/>
                <w:sz w:val="21"/>
              </w:rPr>
              <w:t>plugin.version</w:t>
            </w:r>
            <w:proofErr w:type="gramEnd"/>
          </w:p>
        </w:tc>
      </w:tr>
      <w:tr w:rsidR="00A720EB" w14:paraId="6C22E449" w14:textId="77777777">
        <w:trPr>
          <w:trHeight w:val="368"/>
        </w:trPr>
        <w:tc>
          <w:tcPr>
            <w:tcW w:w="4988" w:type="dxa"/>
          </w:tcPr>
          <w:p w14:paraId="74FD9C89" w14:textId="77777777" w:rsidR="00A720EB" w:rsidRDefault="0030286B">
            <w:pPr>
              <w:pStyle w:val="TableParagraph"/>
              <w:rPr>
                <w:sz w:val="21"/>
              </w:rPr>
            </w:pPr>
            <w:r>
              <w:rPr>
                <w:color w:val="B02045"/>
                <w:sz w:val="21"/>
              </w:rPr>
              <w:t>Maven Surefire Plugin</w:t>
            </w:r>
          </w:p>
        </w:tc>
        <w:tc>
          <w:tcPr>
            <w:tcW w:w="4988" w:type="dxa"/>
          </w:tcPr>
          <w:p w14:paraId="406B36D2" w14:textId="77777777" w:rsidR="00A720EB" w:rsidRDefault="0030286B">
            <w:pPr>
              <w:pStyle w:val="TableParagraph"/>
              <w:rPr>
                <w:sz w:val="21"/>
              </w:rPr>
            </w:pPr>
            <w:r>
              <w:rPr>
                <w:color w:val="B02045"/>
                <w:sz w:val="21"/>
              </w:rPr>
              <w:t>maven-surefire-</w:t>
            </w:r>
            <w:proofErr w:type="gramStart"/>
            <w:r>
              <w:rPr>
                <w:color w:val="B02045"/>
                <w:sz w:val="21"/>
              </w:rPr>
              <w:t>plugin.version</w:t>
            </w:r>
            <w:proofErr w:type="gramEnd"/>
          </w:p>
        </w:tc>
      </w:tr>
      <w:tr w:rsidR="00A720EB" w14:paraId="2C8F3436" w14:textId="77777777">
        <w:trPr>
          <w:trHeight w:val="368"/>
        </w:trPr>
        <w:tc>
          <w:tcPr>
            <w:tcW w:w="4988" w:type="dxa"/>
          </w:tcPr>
          <w:p w14:paraId="119CC819" w14:textId="77777777" w:rsidR="00A720EB" w:rsidRDefault="0030286B">
            <w:pPr>
              <w:pStyle w:val="TableParagraph"/>
              <w:rPr>
                <w:sz w:val="21"/>
              </w:rPr>
            </w:pPr>
            <w:r>
              <w:rPr>
                <w:color w:val="B02045"/>
                <w:sz w:val="21"/>
              </w:rPr>
              <w:t>Maven War Plugin</w:t>
            </w:r>
          </w:p>
        </w:tc>
        <w:tc>
          <w:tcPr>
            <w:tcW w:w="4988" w:type="dxa"/>
          </w:tcPr>
          <w:p w14:paraId="46B5190F" w14:textId="77777777" w:rsidR="00A720EB" w:rsidRDefault="0030286B">
            <w:pPr>
              <w:pStyle w:val="TableParagraph"/>
              <w:rPr>
                <w:sz w:val="21"/>
              </w:rPr>
            </w:pPr>
            <w:r>
              <w:rPr>
                <w:color w:val="B02045"/>
                <w:sz w:val="21"/>
              </w:rPr>
              <w:t>maven-war-</w:t>
            </w:r>
            <w:proofErr w:type="gramStart"/>
            <w:r>
              <w:rPr>
                <w:color w:val="B02045"/>
                <w:sz w:val="21"/>
              </w:rPr>
              <w:t>plugin.version</w:t>
            </w:r>
            <w:proofErr w:type="gramEnd"/>
          </w:p>
        </w:tc>
      </w:tr>
      <w:tr w:rsidR="00A720EB" w14:paraId="34ADB311" w14:textId="77777777">
        <w:trPr>
          <w:trHeight w:val="368"/>
        </w:trPr>
        <w:tc>
          <w:tcPr>
            <w:tcW w:w="4988" w:type="dxa"/>
          </w:tcPr>
          <w:p w14:paraId="0CD2B457" w14:textId="77777777" w:rsidR="00A720EB" w:rsidRDefault="0030286B">
            <w:pPr>
              <w:pStyle w:val="TableParagraph"/>
              <w:rPr>
                <w:sz w:val="21"/>
              </w:rPr>
            </w:pPr>
            <w:r>
              <w:rPr>
                <w:color w:val="B02045"/>
                <w:sz w:val="21"/>
              </w:rPr>
              <w:t>Micrometer</w:t>
            </w:r>
          </w:p>
        </w:tc>
        <w:tc>
          <w:tcPr>
            <w:tcW w:w="4988" w:type="dxa"/>
          </w:tcPr>
          <w:p w14:paraId="0A5D3457" w14:textId="77777777" w:rsidR="00A720EB" w:rsidRDefault="0030286B">
            <w:pPr>
              <w:pStyle w:val="TableParagraph"/>
              <w:rPr>
                <w:sz w:val="21"/>
              </w:rPr>
            </w:pPr>
            <w:proofErr w:type="gramStart"/>
            <w:r>
              <w:rPr>
                <w:color w:val="B02045"/>
                <w:sz w:val="21"/>
              </w:rPr>
              <w:t>micrometer.version</w:t>
            </w:r>
            <w:proofErr w:type="gramEnd"/>
          </w:p>
        </w:tc>
      </w:tr>
    </w:tbl>
    <w:p w14:paraId="06BB5544"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59CE2C66" w14:textId="77777777">
        <w:trPr>
          <w:trHeight w:val="415"/>
        </w:trPr>
        <w:tc>
          <w:tcPr>
            <w:tcW w:w="4988" w:type="dxa"/>
            <w:tcBorders>
              <w:bottom w:val="single" w:sz="12" w:space="0" w:color="DDDDDD"/>
            </w:tcBorders>
          </w:tcPr>
          <w:p w14:paraId="5BC2CD1F" w14:textId="77777777" w:rsidR="00A720EB" w:rsidRDefault="0030286B">
            <w:pPr>
              <w:pStyle w:val="TableParagraph"/>
              <w:spacing w:before="71"/>
              <w:rPr>
                <w:rFonts w:ascii="Palatino Linotype"/>
                <w:b/>
                <w:sz w:val="21"/>
              </w:rPr>
            </w:pPr>
            <w:r>
              <w:rPr>
                <w:rFonts w:ascii="Palatino Linotype"/>
                <w:b/>
                <w:color w:val="333333"/>
                <w:w w:val="115"/>
                <w:sz w:val="21"/>
              </w:rPr>
              <w:lastRenderedPageBreak/>
              <w:t>Library</w:t>
            </w:r>
          </w:p>
        </w:tc>
        <w:tc>
          <w:tcPr>
            <w:tcW w:w="4988" w:type="dxa"/>
            <w:tcBorders>
              <w:bottom w:val="single" w:sz="12" w:space="0" w:color="DDDDDD"/>
            </w:tcBorders>
          </w:tcPr>
          <w:p w14:paraId="5B43F9AC" w14:textId="77777777" w:rsidR="00A720EB" w:rsidRDefault="0030286B">
            <w:pPr>
              <w:pStyle w:val="TableParagraph"/>
              <w:spacing w:before="71"/>
              <w:rPr>
                <w:rFonts w:ascii="Palatino Linotype"/>
                <w:b/>
                <w:sz w:val="21"/>
              </w:rPr>
            </w:pPr>
            <w:r>
              <w:rPr>
                <w:rFonts w:ascii="Palatino Linotype"/>
                <w:b/>
                <w:color w:val="333333"/>
                <w:w w:val="110"/>
                <w:sz w:val="21"/>
              </w:rPr>
              <w:t>Version Property</w:t>
            </w:r>
          </w:p>
        </w:tc>
      </w:tr>
      <w:tr w:rsidR="00A720EB" w14:paraId="0715FCAD" w14:textId="77777777">
        <w:trPr>
          <w:trHeight w:val="358"/>
        </w:trPr>
        <w:tc>
          <w:tcPr>
            <w:tcW w:w="4988" w:type="dxa"/>
            <w:tcBorders>
              <w:top w:val="single" w:sz="12" w:space="0" w:color="DDDDDD"/>
            </w:tcBorders>
          </w:tcPr>
          <w:p w14:paraId="558A3AFE" w14:textId="77777777" w:rsidR="00A720EB" w:rsidRDefault="0030286B">
            <w:pPr>
              <w:pStyle w:val="TableParagraph"/>
              <w:spacing w:before="27"/>
              <w:rPr>
                <w:sz w:val="21"/>
              </w:rPr>
            </w:pPr>
            <w:r>
              <w:rPr>
                <w:color w:val="B02045"/>
                <w:sz w:val="21"/>
              </w:rPr>
              <w:t>MIMEPull</w:t>
            </w:r>
          </w:p>
        </w:tc>
        <w:tc>
          <w:tcPr>
            <w:tcW w:w="4988" w:type="dxa"/>
            <w:tcBorders>
              <w:top w:val="single" w:sz="12" w:space="0" w:color="DDDDDD"/>
            </w:tcBorders>
          </w:tcPr>
          <w:p w14:paraId="3305F85E" w14:textId="77777777" w:rsidR="00A720EB" w:rsidRDefault="0030286B">
            <w:pPr>
              <w:pStyle w:val="TableParagraph"/>
              <w:spacing w:before="27"/>
              <w:rPr>
                <w:sz w:val="21"/>
              </w:rPr>
            </w:pPr>
            <w:proofErr w:type="gramStart"/>
            <w:r>
              <w:rPr>
                <w:color w:val="B02045"/>
                <w:sz w:val="21"/>
              </w:rPr>
              <w:t>mimepull.version</w:t>
            </w:r>
            <w:proofErr w:type="gramEnd"/>
          </w:p>
        </w:tc>
      </w:tr>
      <w:tr w:rsidR="00A720EB" w14:paraId="2F5CBD13" w14:textId="77777777">
        <w:trPr>
          <w:trHeight w:val="368"/>
        </w:trPr>
        <w:tc>
          <w:tcPr>
            <w:tcW w:w="4988" w:type="dxa"/>
          </w:tcPr>
          <w:p w14:paraId="718B3A1C" w14:textId="77777777" w:rsidR="00A720EB" w:rsidRDefault="0030286B">
            <w:pPr>
              <w:pStyle w:val="TableParagraph"/>
              <w:spacing w:before="37"/>
              <w:rPr>
                <w:sz w:val="21"/>
              </w:rPr>
            </w:pPr>
            <w:r>
              <w:rPr>
                <w:color w:val="B02045"/>
                <w:sz w:val="21"/>
              </w:rPr>
              <w:t>Mockito</w:t>
            </w:r>
          </w:p>
        </w:tc>
        <w:tc>
          <w:tcPr>
            <w:tcW w:w="4988" w:type="dxa"/>
          </w:tcPr>
          <w:p w14:paraId="05412608" w14:textId="77777777" w:rsidR="00A720EB" w:rsidRDefault="0030286B">
            <w:pPr>
              <w:pStyle w:val="TableParagraph"/>
              <w:spacing w:before="37"/>
              <w:rPr>
                <w:sz w:val="21"/>
              </w:rPr>
            </w:pPr>
            <w:proofErr w:type="gramStart"/>
            <w:r>
              <w:rPr>
                <w:color w:val="B02045"/>
                <w:sz w:val="21"/>
              </w:rPr>
              <w:t>mockito.version</w:t>
            </w:r>
            <w:proofErr w:type="gramEnd"/>
          </w:p>
        </w:tc>
      </w:tr>
      <w:tr w:rsidR="00A720EB" w14:paraId="7343A908" w14:textId="77777777">
        <w:trPr>
          <w:trHeight w:val="368"/>
        </w:trPr>
        <w:tc>
          <w:tcPr>
            <w:tcW w:w="4988" w:type="dxa"/>
          </w:tcPr>
          <w:p w14:paraId="13CE5646" w14:textId="77777777" w:rsidR="00A720EB" w:rsidRDefault="0030286B">
            <w:pPr>
              <w:pStyle w:val="TableParagraph"/>
              <w:spacing w:before="37"/>
              <w:rPr>
                <w:sz w:val="21"/>
              </w:rPr>
            </w:pPr>
            <w:r>
              <w:rPr>
                <w:color w:val="B02045"/>
                <w:sz w:val="21"/>
              </w:rPr>
              <w:t>MongoDB</w:t>
            </w:r>
          </w:p>
        </w:tc>
        <w:tc>
          <w:tcPr>
            <w:tcW w:w="4988" w:type="dxa"/>
          </w:tcPr>
          <w:p w14:paraId="6DD08322" w14:textId="77777777" w:rsidR="00A720EB" w:rsidRDefault="0030286B">
            <w:pPr>
              <w:pStyle w:val="TableParagraph"/>
              <w:spacing w:before="37"/>
              <w:rPr>
                <w:sz w:val="21"/>
              </w:rPr>
            </w:pPr>
            <w:proofErr w:type="gramStart"/>
            <w:r>
              <w:rPr>
                <w:color w:val="B02045"/>
                <w:sz w:val="21"/>
              </w:rPr>
              <w:t>mongodb.version</w:t>
            </w:r>
            <w:proofErr w:type="gramEnd"/>
          </w:p>
        </w:tc>
      </w:tr>
      <w:tr w:rsidR="00A720EB" w14:paraId="32C4379B" w14:textId="77777777">
        <w:trPr>
          <w:trHeight w:val="368"/>
        </w:trPr>
        <w:tc>
          <w:tcPr>
            <w:tcW w:w="4988" w:type="dxa"/>
          </w:tcPr>
          <w:p w14:paraId="05B89783" w14:textId="77777777" w:rsidR="00A720EB" w:rsidRDefault="0030286B">
            <w:pPr>
              <w:pStyle w:val="TableParagraph"/>
              <w:rPr>
                <w:sz w:val="21"/>
              </w:rPr>
            </w:pPr>
            <w:r>
              <w:rPr>
                <w:color w:val="B02045"/>
                <w:sz w:val="21"/>
              </w:rPr>
              <w:t>MSSQL JDBC</w:t>
            </w:r>
          </w:p>
        </w:tc>
        <w:tc>
          <w:tcPr>
            <w:tcW w:w="4988" w:type="dxa"/>
          </w:tcPr>
          <w:p w14:paraId="15993CF5" w14:textId="77777777" w:rsidR="00A720EB" w:rsidRDefault="0030286B">
            <w:pPr>
              <w:pStyle w:val="TableParagraph"/>
              <w:rPr>
                <w:sz w:val="21"/>
              </w:rPr>
            </w:pPr>
            <w:r>
              <w:rPr>
                <w:color w:val="B02045"/>
                <w:sz w:val="21"/>
              </w:rPr>
              <w:t>mssql-</w:t>
            </w:r>
            <w:proofErr w:type="gramStart"/>
            <w:r>
              <w:rPr>
                <w:color w:val="B02045"/>
                <w:sz w:val="21"/>
              </w:rPr>
              <w:t>jdbc.version</w:t>
            </w:r>
            <w:proofErr w:type="gramEnd"/>
          </w:p>
        </w:tc>
      </w:tr>
      <w:tr w:rsidR="00A720EB" w14:paraId="7B6C170A" w14:textId="77777777">
        <w:trPr>
          <w:trHeight w:val="368"/>
        </w:trPr>
        <w:tc>
          <w:tcPr>
            <w:tcW w:w="4988" w:type="dxa"/>
          </w:tcPr>
          <w:p w14:paraId="2C95FC6B" w14:textId="77777777" w:rsidR="00A720EB" w:rsidRDefault="0030286B">
            <w:pPr>
              <w:pStyle w:val="TableParagraph"/>
              <w:rPr>
                <w:sz w:val="21"/>
              </w:rPr>
            </w:pPr>
            <w:r>
              <w:rPr>
                <w:color w:val="B02045"/>
                <w:sz w:val="21"/>
              </w:rPr>
              <w:t>MySQL</w:t>
            </w:r>
          </w:p>
        </w:tc>
        <w:tc>
          <w:tcPr>
            <w:tcW w:w="4988" w:type="dxa"/>
          </w:tcPr>
          <w:p w14:paraId="110156D0" w14:textId="77777777" w:rsidR="00A720EB" w:rsidRDefault="0030286B">
            <w:pPr>
              <w:pStyle w:val="TableParagraph"/>
              <w:rPr>
                <w:sz w:val="21"/>
              </w:rPr>
            </w:pPr>
            <w:proofErr w:type="gramStart"/>
            <w:r>
              <w:rPr>
                <w:color w:val="B02045"/>
                <w:sz w:val="21"/>
              </w:rPr>
              <w:t>mysql.version</w:t>
            </w:r>
            <w:proofErr w:type="gramEnd"/>
          </w:p>
        </w:tc>
      </w:tr>
      <w:tr w:rsidR="00A720EB" w14:paraId="15644C65" w14:textId="77777777">
        <w:trPr>
          <w:trHeight w:val="368"/>
        </w:trPr>
        <w:tc>
          <w:tcPr>
            <w:tcW w:w="4988" w:type="dxa"/>
          </w:tcPr>
          <w:p w14:paraId="7CBCE4A6" w14:textId="77777777" w:rsidR="00A720EB" w:rsidRDefault="0030286B">
            <w:pPr>
              <w:pStyle w:val="TableParagraph"/>
              <w:rPr>
                <w:sz w:val="21"/>
              </w:rPr>
            </w:pPr>
            <w:r>
              <w:rPr>
                <w:color w:val="B02045"/>
                <w:sz w:val="21"/>
              </w:rPr>
              <w:t>NekoHTML</w:t>
            </w:r>
          </w:p>
        </w:tc>
        <w:tc>
          <w:tcPr>
            <w:tcW w:w="4988" w:type="dxa"/>
          </w:tcPr>
          <w:p w14:paraId="759CA49F" w14:textId="77777777" w:rsidR="00A720EB" w:rsidRDefault="0030286B">
            <w:pPr>
              <w:pStyle w:val="TableParagraph"/>
              <w:rPr>
                <w:sz w:val="21"/>
              </w:rPr>
            </w:pPr>
            <w:proofErr w:type="gramStart"/>
            <w:r>
              <w:rPr>
                <w:color w:val="B02045"/>
                <w:sz w:val="21"/>
              </w:rPr>
              <w:t>nekohtml.version</w:t>
            </w:r>
            <w:proofErr w:type="gramEnd"/>
          </w:p>
        </w:tc>
      </w:tr>
      <w:tr w:rsidR="00A720EB" w14:paraId="27845AB3" w14:textId="77777777">
        <w:trPr>
          <w:trHeight w:val="368"/>
        </w:trPr>
        <w:tc>
          <w:tcPr>
            <w:tcW w:w="4988" w:type="dxa"/>
          </w:tcPr>
          <w:p w14:paraId="43D37012" w14:textId="77777777" w:rsidR="00A720EB" w:rsidRDefault="0030286B">
            <w:pPr>
              <w:pStyle w:val="TableParagraph"/>
              <w:rPr>
                <w:sz w:val="21"/>
              </w:rPr>
            </w:pPr>
            <w:r>
              <w:rPr>
                <w:color w:val="B02045"/>
                <w:sz w:val="21"/>
              </w:rPr>
              <w:t>Neo4j OGM</w:t>
            </w:r>
          </w:p>
        </w:tc>
        <w:tc>
          <w:tcPr>
            <w:tcW w:w="4988" w:type="dxa"/>
          </w:tcPr>
          <w:p w14:paraId="217F30EB" w14:textId="77777777" w:rsidR="00A720EB" w:rsidRDefault="0030286B">
            <w:pPr>
              <w:pStyle w:val="TableParagraph"/>
              <w:rPr>
                <w:sz w:val="21"/>
              </w:rPr>
            </w:pPr>
            <w:r>
              <w:rPr>
                <w:color w:val="B02045"/>
                <w:sz w:val="21"/>
              </w:rPr>
              <w:t>neo4j-</w:t>
            </w:r>
            <w:proofErr w:type="gramStart"/>
            <w:r>
              <w:rPr>
                <w:color w:val="B02045"/>
                <w:sz w:val="21"/>
              </w:rPr>
              <w:t>ogm.version</w:t>
            </w:r>
            <w:proofErr w:type="gramEnd"/>
          </w:p>
        </w:tc>
      </w:tr>
      <w:tr w:rsidR="00A720EB" w14:paraId="08FEE970" w14:textId="77777777">
        <w:trPr>
          <w:trHeight w:val="368"/>
        </w:trPr>
        <w:tc>
          <w:tcPr>
            <w:tcW w:w="4988" w:type="dxa"/>
          </w:tcPr>
          <w:p w14:paraId="1B9848C4" w14:textId="77777777" w:rsidR="00A720EB" w:rsidRDefault="0030286B">
            <w:pPr>
              <w:pStyle w:val="TableParagraph"/>
              <w:spacing w:before="37"/>
              <w:rPr>
                <w:sz w:val="21"/>
              </w:rPr>
            </w:pPr>
            <w:r>
              <w:rPr>
                <w:color w:val="B02045"/>
                <w:sz w:val="21"/>
              </w:rPr>
              <w:t>Netty</w:t>
            </w:r>
          </w:p>
        </w:tc>
        <w:tc>
          <w:tcPr>
            <w:tcW w:w="4988" w:type="dxa"/>
          </w:tcPr>
          <w:p w14:paraId="3C2C4279" w14:textId="77777777" w:rsidR="00A720EB" w:rsidRDefault="0030286B">
            <w:pPr>
              <w:pStyle w:val="TableParagraph"/>
              <w:spacing w:before="37"/>
              <w:rPr>
                <w:sz w:val="21"/>
              </w:rPr>
            </w:pPr>
            <w:proofErr w:type="gramStart"/>
            <w:r>
              <w:rPr>
                <w:color w:val="B02045"/>
                <w:sz w:val="21"/>
              </w:rPr>
              <w:t>netty.version</w:t>
            </w:r>
            <w:proofErr w:type="gramEnd"/>
          </w:p>
        </w:tc>
      </w:tr>
      <w:tr w:rsidR="00A720EB" w14:paraId="3A23B721" w14:textId="77777777">
        <w:trPr>
          <w:trHeight w:val="368"/>
        </w:trPr>
        <w:tc>
          <w:tcPr>
            <w:tcW w:w="4988" w:type="dxa"/>
          </w:tcPr>
          <w:p w14:paraId="364E1A1F" w14:textId="77777777" w:rsidR="00A720EB" w:rsidRDefault="0030286B">
            <w:pPr>
              <w:pStyle w:val="TableParagraph"/>
              <w:spacing w:before="37"/>
              <w:rPr>
                <w:sz w:val="21"/>
              </w:rPr>
            </w:pPr>
            <w:r>
              <w:rPr>
                <w:color w:val="B02045"/>
                <w:sz w:val="21"/>
              </w:rPr>
              <w:t>Netty tcNative</w:t>
            </w:r>
          </w:p>
        </w:tc>
        <w:tc>
          <w:tcPr>
            <w:tcW w:w="4988" w:type="dxa"/>
          </w:tcPr>
          <w:p w14:paraId="6D4CE615" w14:textId="77777777" w:rsidR="00A720EB" w:rsidRDefault="0030286B">
            <w:pPr>
              <w:pStyle w:val="TableParagraph"/>
              <w:spacing w:before="37"/>
              <w:rPr>
                <w:sz w:val="21"/>
              </w:rPr>
            </w:pPr>
            <w:r>
              <w:rPr>
                <w:color w:val="B02045"/>
                <w:sz w:val="21"/>
              </w:rPr>
              <w:t>netty-</w:t>
            </w:r>
            <w:proofErr w:type="gramStart"/>
            <w:r>
              <w:rPr>
                <w:color w:val="B02045"/>
                <w:sz w:val="21"/>
              </w:rPr>
              <w:t>tcnative.version</w:t>
            </w:r>
            <w:proofErr w:type="gramEnd"/>
          </w:p>
        </w:tc>
      </w:tr>
      <w:tr w:rsidR="00A720EB" w14:paraId="11515993" w14:textId="77777777">
        <w:trPr>
          <w:trHeight w:val="368"/>
        </w:trPr>
        <w:tc>
          <w:tcPr>
            <w:tcW w:w="4988" w:type="dxa"/>
          </w:tcPr>
          <w:p w14:paraId="07353E70" w14:textId="77777777" w:rsidR="00A720EB" w:rsidRDefault="0030286B">
            <w:pPr>
              <w:pStyle w:val="TableParagraph"/>
              <w:spacing w:before="37"/>
              <w:rPr>
                <w:sz w:val="21"/>
              </w:rPr>
            </w:pPr>
            <w:r>
              <w:rPr>
                <w:color w:val="B02045"/>
                <w:sz w:val="21"/>
              </w:rPr>
              <w:t>Nimbus JOSE JWT</w:t>
            </w:r>
          </w:p>
        </w:tc>
        <w:tc>
          <w:tcPr>
            <w:tcW w:w="4988" w:type="dxa"/>
          </w:tcPr>
          <w:p w14:paraId="20A9132D" w14:textId="77777777" w:rsidR="00A720EB" w:rsidRDefault="0030286B">
            <w:pPr>
              <w:pStyle w:val="TableParagraph"/>
              <w:spacing w:before="37"/>
              <w:rPr>
                <w:sz w:val="21"/>
              </w:rPr>
            </w:pPr>
            <w:r>
              <w:rPr>
                <w:color w:val="B02045"/>
                <w:sz w:val="21"/>
              </w:rPr>
              <w:t>nimbus-jose-</w:t>
            </w:r>
            <w:proofErr w:type="gramStart"/>
            <w:r>
              <w:rPr>
                <w:color w:val="B02045"/>
                <w:sz w:val="21"/>
              </w:rPr>
              <w:t>jwt.version</w:t>
            </w:r>
            <w:proofErr w:type="gramEnd"/>
          </w:p>
        </w:tc>
      </w:tr>
      <w:tr w:rsidR="00A720EB" w14:paraId="750CF1D2" w14:textId="77777777">
        <w:trPr>
          <w:trHeight w:val="368"/>
        </w:trPr>
        <w:tc>
          <w:tcPr>
            <w:tcW w:w="4988" w:type="dxa"/>
          </w:tcPr>
          <w:p w14:paraId="78E62707" w14:textId="77777777" w:rsidR="00A720EB" w:rsidRDefault="0030286B">
            <w:pPr>
              <w:pStyle w:val="TableParagraph"/>
              <w:spacing w:before="37"/>
              <w:rPr>
                <w:sz w:val="21"/>
              </w:rPr>
            </w:pPr>
            <w:r>
              <w:rPr>
                <w:color w:val="B02045"/>
                <w:sz w:val="21"/>
              </w:rPr>
              <w:t>NIO Multipart Parser</w:t>
            </w:r>
          </w:p>
        </w:tc>
        <w:tc>
          <w:tcPr>
            <w:tcW w:w="4988" w:type="dxa"/>
          </w:tcPr>
          <w:p w14:paraId="30743473" w14:textId="77777777" w:rsidR="00A720EB" w:rsidRDefault="0030286B">
            <w:pPr>
              <w:pStyle w:val="TableParagraph"/>
              <w:spacing w:before="37"/>
              <w:rPr>
                <w:sz w:val="21"/>
              </w:rPr>
            </w:pPr>
            <w:r>
              <w:rPr>
                <w:color w:val="B02045"/>
                <w:sz w:val="21"/>
              </w:rPr>
              <w:t>nio-multipart-</w:t>
            </w:r>
            <w:proofErr w:type="gramStart"/>
            <w:r>
              <w:rPr>
                <w:color w:val="B02045"/>
                <w:sz w:val="21"/>
              </w:rPr>
              <w:t>parser.version</w:t>
            </w:r>
            <w:proofErr w:type="gramEnd"/>
          </w:p>
        </w:tc>
      </w:tr>
      <w:tr w:rsidR="00A720EB" w14:paraId="10B0B658" w14:textId="77777777">
        <w:trPr>
          <w:trHeight w:val="368"/>
        </w:trPr>
        <w:tc>
          <w:tcPr>
            <w:tcW w:w="4988" w:type="dxa"/>
          </w:tcPr>
          <w:p w14:paraId="0CA60186" w14:textId="77777777" w:rsidR="00A720EB" w:rsidRDefault="0030286B">
            <w:pPr>
              <w:pStyle w:val="TableParagraph"/>
              <w:rPr>
                <w:sz w:val="21"/>
              </w:rPr>
            </w:pPr>
            <w:r>
              <w:rPr>
                <w:color w:val="B02045"/>
                <w:sz w:val="21"/>
              </w:rPr>
              <w:t>OAuth2 OIDC SDK</w:t>
            </w:r>
          </w:p>
        </w:tc>
        <w:tc>
          <w:tcPr>
            <w:tcW w:w="4988" w:type="dxa"/>
          </w:tcPr>
          <w:p w14:paraId="57952B73" w14:textId="77777777" w:rsidR="00A720EB" w:rsidRDefault="0030286B">
            <w:pPr>
              <w:pStyle w:val="TableParagraph"/>
              <w:rPr>
                <w:sz w:val="21"/>
              </w:rPr>
            </w:pPr>
            <w:r>
              <w:rPr>
                <w:color w:val="B02045"/>
                <w:sz w:val="21"/>
              </w:rPr>
              <w:t>oauth2-oidc-</w:t>
            </w:r>
            <w:proofErr w:type="gramStart"/>
            <w:r>
              <w:rPr>
                <w:color w:val="B02045"/>
                <w:sz w:val="21"/>
              </w:rPr>
              <w:t>sdk.version</w:t>
            </w:r>
            <w:proofErr w:type="gramEnd"/>
          </w:p>
        </w:tc>
      </w:tr>
      <w:tr w:rsidR="00A720EB" w14:paraId="48D16759" w14:textId="77777777">
        <w:trPr>
          <w:trHeight w:val="368"/>
        </w:trPr>
        <w:tc>
          <w:tcPr>
            <w:tcW w:w="4988" w:type="dxa"/>
          </w:tcPr>
          <w:p w14:paraId="66500018" w14:textId="77777777" w:rsidR="00A720EB" w:rsidRDefault="0030286B">
            <w:pPr>
              <w:pStyle w:val="TableParagraph"/>
              <w:rPr>
                <w:sz w:val="21"/>
              </w:rPr>
            </w:pPr>
            <w:r>
              <w:rPr>
                <w:color w:val="B02045"/>
                <w:sz w:val="21"/>
              </w:rPr>
              <w:t>OJDBC</w:t>
            </w:r>
          </w:p>
        </w:tc>
        <w:tc>
          <w:tcPr>
            <w:tcW w:w="4988" w:type="dxa"/>
          </w:tcPr>
          <w:p w14:paraId="2620866A" w14:textId="77777777" w:rsidR="00A720EB" w:rsidRDefault="0030286B">
            <w:pPr>
              <w:pStyle w:val="TableParagraph"/>
              <w:rPr>
                <w:sz w:val="21"/>
              </w:rPr>
            </w:pPr>
            <w:proofErr w:type="gramStart"/>
            <w:r>
              <w:rPr>
                <w:color w:val="B02045"/>
                <w:sz w:val="21"/>
              </w:rPr>
              <w:t>ojdbc.version</w:t>
            </w:r>
            <w:proofErr w:type="gramEnd"/>
          </w:p>
        </w:tc>
      </w:tr>
      <w:tr w:rsidR="00A720EB" w14:paraId="2CC84F3B" w14:textId="77777777">
        <w:trPr>
          <w:trHeight w:val="368"/>
        </w:trPr>
        <w:tc>
          <w:tcPr>
            <w:tcW w:w="4988" w:type="dxa"/>
          </w:tcPr>
          <w:p w14:paraId="2476AF2E" w14:textId="77777777" w:rsidR="00A720EB" w:rsidRDefault="0030286B">
            <w:pPr>
              <w:pStyle w:val="TableParagraph"/>
              <w:rPr>
                <w:sz w:val="21"/>
              </w:rPr>
            </w:pPr>
            <w:r>
              <w:rPr>
                <w:color w:val="B02045"/>
                <w:sz w:val="21"/>
              </w:rPr>
              <w:t>OkHttp3</w:t>
            </w:r>
          </w:p>
        </w:tc>
        <w:tc>
          <w:tcPr>
            <w:tcW w:w="4988" w:type="dxa"/>
          </w:tcPr>
          <w:p w14:paraId="782B3620" w14:textId="77777777" w:rsidR="00A720EB" w:rsidRDefault="0030286B">
            <w:pPr>
              <w:pStyle w:val="TableParagraph"/>
              <w:rPr>
                <w:sz w:val="21"/>
              </w:rPr>
            </w:pPr>
            <w:r>
              <w:rPr>
                <w:color w:val="B02045"/>
                <w:sz w:val="21"/>
              </w:rPr>
              <w:t>okhttp3.version</w:t>
            </w:r>
          </w:p>
        </w:tc>
      </w:tr>
      <w:tr w:rsidR="00A720EB" w14:paraId="5FADB4C2" w14:textId="77777777">
        <w:trPr>
          <w:trHeight w:val="368"/>
        </w:trPr>
        <w:tc>
          <w:tcPr>
            <w:tcW w:w="4988" w:type="dxa"/>
          </w:tcPr>
          <w:p w14:paraId="1B94499A" w14:textId="77777777" w:rsidR="00A720EB" w:rsidRDefault="0030286B">
            <w:pPr>
              <w:pStyle w:val="TableParagraph"/>
              <w:spacing w:before="37"/>
              <w:rPr>
                <w:sz w:val="21"/>
              </w:rPr>
            </w:pPr>
            <w:r>
              <w:rPr>
                <w:color w:val="B02045"/>
                <w:sz w:val="21"/>
              </w:rPr>
              <w:t>Oracle Database</w:t>
            </w:r>
          </w:p>
        </w:tc>
        <w:tc>
          <w:tcPr>
            <w:tcW w:w="4988" w:type="dxa"/>
          </w:tcPr>
          <w:p w14:paraId="22D85125" w14:textId="77777777" w:rsidR="00A720EB" w:rsidRDefault="0030286B">
            <w:pPr>
              <w:pStyle w:val="TableParagraph"/>
              <w:spacing w:before="37"/>
              <w:rPr>
                <w:sz w:val="21"/>
              </w:rPr>
            </w:pPr>
            <w:r>
              <w:rPr>
                <w:color w:val="B02045"/>
                <w:sz w:val="21"/>
              </w:rPr>
              <w:t>oracle-</w:t>
            </w:r>
            <w:proofErr w:type="gramStart"/>
            <w:r>
              <w:rPr>
                <w:color w:val="B02045"/>
                <w:sz w:val="21"/>
              </w:rPr>
              <w:t>database.version</w:t>
            </w:r>
            <w:proofErr w:type="gramEnd"/>
          </w:p>
        </w:tc>
      </w:tr>
      <w:tr w:rsidR="00A720EB" w14:paraId="1EBF271E" w14:textId="77777777">
        <w:trPr>
          <w:trHeight w:val="368"/>
        </w:trPr>
        <w:tc>
          <w:tcPr>
            <w:tcW w:w="4988" w:type="dxa"/>
          </w:tcPr>
          <w:p w14:paraId="25FC58C9" w14:textId="77777777" w:rsidR="00A720EB" w:rsidRDefault="0030286B">
            <w:pPr>
              <w:pStyle w:val="TableParagraph"/>
              <w:rPr>
                <w:sz w:val="21"/>
              </w:rPr>
            </w:pPr>
            <w:r>
              <w:rPr>
                <w:color w:val="B02045"/>
                <w:sz w:val="21"/>
              </w:rPr>
              <w:t>Pooled JMS</w:t>
            </w:r>
          </w:p>
        </w:tc>
        <w:tc>
          <w:tcPr>
            <w:tcW w:w="4988" w:type="dxa"/>
          </w:tcPr>
          <w:p w14:paraId="5CE6D67B" w14:textId="77777777" w:rsidR="00A720EB" w:rsidRDefault="0030286B">
            <w:pPr>
              <w:pStyle w:val="TableParagraph"/>
              <w:rPr>
                <w:sz w:val="21"/>
              </w:rPr>
            </w:pPr>
            <w:r>
              <w:rPr>
                <w:color w:val="B02045"/>
                <w:sz w:val="21"/>
              </w:rPr>
              <w:t>pooled-</w:t>
            </w:r>
            <w:proofErr w:type="gramStart"/>
            <w:r>
              <w:rPr>
                <w:color w:val="B02045"/>
                <w:sz w:val="21"/>
              </w:rPr>
              <w:t>jms.version</w:t>
            </w:r>
            <w:proofErr w:type="gramEnd"/>
          </w:p>
        </w:tc>
      </w:tr>
      <w:tr w:rsidR="00A720EB" w14:paraId="701F546B" w14:textId="77777777">
        <w:trPr>
          <w:trHeight w:val="368"/>
        </w:trPr>
        <w:tc>
          <w:tcPr>
            <w:tcW w:w="4988" w:type="dxa"/>
          </w:tcPr>
          <w:p w14:paraId="264C7C19" w14:textId="77777777" w:rsidR="00A720EB" w:rsidRDefault="0030286B">
            <w:pPr>
              <w:pStyle w:val="TableParagraph"/>
              <w:rPr>
                <w:sz w:val="21"/>
              </w:rPr>
            </w:pPr>
            <w:r>
              <w:rPr>
                <w:color w:val="B02045"/>
                <w:sz w:val="21"/>
              </w:rPr>
              <w:t>Postgresql</w:t>
            </w:r>
          </w:p>
        </w:tc>
        <w:tc>
          <w:tcPr>
            <w:tcW w:w="4988" w:type="dxa"/>
          </w:tcPr>
          <w:p w14:paraId="5F418886" w14:textId="77777777" w:rsidR="00A720EB" w:rsidRDefault="0030286B">
            <w:pPr>
              <w:pStyle w:val="TableParagraph"/>
              <w:rPr>
                <w:sz w:val="21"/>
              </w:rPr>
            </w:pPr>
            <w:proofErr w:type="gramStart"/>
            <w:r>
              <w:rPr>
                <w:color w:val="B02045"/>
                <w:sz w:val="21"/>
              </w:rPr>
              <w:t>postgresql.version</w:t>
            </w:r>
            <w:proofErr w:type="gramEnd"/>
          </w:p>
        </w:tc>
      </w:tr>
      <w:tr w:rsidR="00A720EB" w14:paraId="31ADCE56" w14:textId="77777777">
        <w:trPr>
          <w:trHeight w:val="368"/>
        </w:trPr>
        <w:tc>
          <w:tcPr>
            <w:tcW w:w="4988" w:type="dxa"/>
          </w:tcPr>
          <w:p w14:paraId="7CF6819B" w14:textId="77777777" w:rsidR="00A720EB" w:rsidRDefault="0030286B">
            <w:pPr>
              <w:pStyle w:val="TableParagraph"/>
              <w:spacing w:before="37"/>
              <w:rPr>
                <w:sz w:val="21"/>
              </w:rPr>
            </w:pPr>
            <w:r>
              <w:rPr>
                <w:color w:val="B02045"/>
                <w:sz w:val="21"/>
              </w:rPr>
              <w:t>Prometheus PushGateway</w:t>
            </w:r>
          </w:p>
        </w:tc>
        <w:tc>
          <w:tcPr>
            <w:tcW w:w="4988" w:type="dxa"/>
          </w:tcPr>
          <w:p w14:paraId="17D71784" w14:textId="77777777" w:rsidR="00A720EB" w:rsidRDefault="0030286B">
            <w:pPr>
              <w:pStyle w:val="TableParagraph"/>
              <w:spacing w:before="37"/>
              <w:rPr>
                <w:sz w:val="21"/>
              </w:rPr>
            </w:pPr>
            <w:r>
              <w:rPr>
                <w:color w:val="B02045"/>
                <w:sz w:val="21"/>
              </w:rPr>
              <w:t>prometheus-</w:t>
            </w:r>
            <w:proofErr w:type="gramStart"/>
            <w:r>
              <w:rPr>
                <w:color w:val="B02045"/>
                <w:sz w:val="21"/>
              </w:rPr>
              <w:t>pushgateway.version</w:t>
            </w:r>
            <w:proofErr w:type="gramEnd"/>
          </w:p>
        </w:tc>
      </w:tr>
      <w:tr w:rsidR="00A720EB" w14:paraId="1E9085ED" w14:textId="77777777">
        <w:trPr>
          <w:trHeight w:val="368"/>
        </w:trPr>
        <w:tc>
          <w:tcPr>
            <w:tcW w:w="4988" w:type="dxa"/>
          </w:tcPr>
          <w:p w14:paraId="73D19999" w14:textId="77777777" w:rsidR="00A720EB" w:rsidRDefault="0030286B">
            <w:pPr>
              <w:pStyle w:val="TableParagraph"/>
              <w:spacing w:before="37"/>
              <w:rPr>
                <w:sz w:val="21"/>
              </w:rPr>
            </w:pPr>
            <w:r>
              <w:rPr>
                <w:color w:val="B02045"/>
                <w:sz w:val="21"/>
              </w:rPr>
              <w:t>Quartz</w:t>
            </w:r>
          </w:p>
        </w:tc>
        <w:tc>
          <w:tcPr>
            <w:tcW w:w="4988" w:type="dxa"/>
          </w:tcPr>
          <w:p w14:paraId="4AFE730D" w14:textId="77777777" w:rsidR="00A720EB" w:rsidRDefault="0030286B">
            <w:pPr>
              <w:pStyle w:val="TableParagraph"/>
              <w:spacing w:before="37"/>
              <w:rPr>
                <w:sz w:val="21"/>
              </w:rPr>
            </w:pPr>
            <w:proofErr w:type="gramStart"/>
            <w:r>
              <w:rPr>
                <w:color w:val="B02045"/>
                <w:sz w:val="21"/>
              </w:rPr>
              <w:t>quartz.version</w:t>
            </w:r>
            <w:proofErr w:type="gramEnd"/>
          </w:p>
        </w:tc>
      </w:tr>
      <w:tr w:rsidR="00A720EB" w14:paraId="69B79882" w14:textId="77777777">
        <w:trPr>
          <w:trHeight w:val="368"/>
        </w:trPr>
        <w:tc>
          <w:tcPr>
            <w:tcW w:w="4988" w:type="dxa"/>
          </w:tcPr>
          <w:p w14:paraId="296EA486" w14:textId="77777777" w:rsidR="00A720EB" w:rsidRDefault="0030286B">
            <w:pPr>
              <w:pStyle w:val="TableParagraph"/>
              <w:spacing w:before="37"/>
              <w:rPr>
                <w:sz w:val="21"/>
              </w:rPr>
            </w:pPr>
            <w:r>
              <w:rPr>
                <w:color w:val="B02045"/>
                <w:sz w:val="21"/>
              </w:rPr>
              <w:t>QueryDSL</w:t>
            </w:r>
          </w:p>
        </w:tc>
        <w:tc>
          <w:tcPr>
            <w:tcW w:w="4988" w:type="dxa"/>
          </w:tcPr>
          <w:p w14:paraId="14AA70D7" w14:textId="77777777" w:rsidR="00A720EB" w:rsidRDefault="0030286B">
            <w:pPr>
              <w:pStyle w:val="TableParagraph"/>
              <w:spacing w:before="37"/>
              <w:rPr>
                <w:sz w:val="21"/>
              </w:rPr>
            </w:pPr>
            <w:proofErr w:type="gramStart"/>
            <w:r>
              <w:rPr>
                <w:color w:val="B02045"/>
                <w:sz w:val="21"/>
              </w:rPr>
              <w:t>querydsl.version</w:t>
            </w:r>
            <w:proofErr w:type="gramEnd"/>
          </w:p>
        </w:tc>
      </w:tr>
      <w:tr w:rsidR="00A720EB" w14:paraId="08E5D533" w14:textId="77777777">
        <w:trPr>
          <w:trHeight w:val="368"/>
        </w:trPr>
        <w:tc>
          <w:tcPr>
            <w:tcW w:w="4988" w:type="dxa"/>
          </w:tcPr>
          <w:p w14:paraId="43629A1A" w14:textId="77777777" w:rsidR="00A720EB" w:rsidRDefault="0030286B">
            <w:pPr>
              <w:pStyle w:val="TableParagraph"/>
              <w:rPr>
                <w:sz w:val="21"/>
              </w:rPr>
            </w:pPr>
            <w:r>
              <w:rPr>
                <w:color w:val="B02045"/>
                <w:sz w:val="21"/>
              </w:rPr>
              <w:t>R2DBC Bom</w:t>
            </w:r>
          </w:p>
        </w:tc>
        <w:tc>
          <w:tcPr>
            <w:tcW w:w="4988" w:type="dxa"/>
          </w:tcPr>
          <w:p w14:paraId="38BEC058" w14:textId="77777777" w:rsidR="00A720EB" w:rsidRDefault="0030286B">
            <w:pPr>
              <w:pStyle w:val="TableParagraph"/>
              <w:rPr>
                <w:sz w:val="21"/>
              </w:rPr>
            </w:pPr>
            <w:r>
              <w:rPr>
                <w:color w:val="B02045"/>
                <w:sz w:val="21"/>
              </w:rPr>
              <w:t>r2dbc-</w:t>
            </w:r>
            <w:proofErr w:type="gramStart"/>
            <w:r>
              <w:rPr>
                <w:color w:val="B02045"/>
                <w:sz w:val="21"/>
              </w:rPr>
              <w:t>bom.version</w:t>
            </w:r>
            <w:proofErr w:type="gramEnd"/>
          </w:p>
        </w:tc>
      </w:tr>
      <w:tr w:rsidR="00A720EB" w14:paraId="0740838B" w14:textId="77777777">
        <w:trPr>
          <w:trHeight w:val="368"/>
        </w:trPr>
        <w:tc>
          <w:tcPr>
            <w:tcW w:w="4988" w:type="dxa"/>
          </w:tcPr>
          <w:p w14:paraId="7430C836" w14:textId="77777777" w:rsidR="00A720EB" w:rsidRDefault="0030286B">
            <w:pPr>
              <w:pStyle w:val="TableParagraph"/>
              <w:rPr>
                <w:sz w:val="21"/>
              </w:rPr>
            </w:pPr>
            <w:r>
              <w:rPr>
                <w:color w:val="B02045"/>
                <w:sz w:val="21"/>
              </w:rPr>
              <w:t>Rabbit AMQP Client</w:t>
            </w:r>
          </w:p>
        </w:tc>
        <w:tc>
          <w:tcPr>
            <w:tcW w:w="4988" w:type="dxa"/>
          </w:tcPr>
          <w:p w14:paraId="0E7DB2C9" w14:textId="77777777" w:rsidR="00A720EB" w:rsidRDefault="0030286B">
            <w:pPr>
              <w:pStyle w:val="TableParagraph"/>
              <w:rPr>
                <w:sz w:val="21"/>
              </w:rPr>
            </w:pPr>
            <w:r>
              <w:rPr>
                <w:color w:val="B02045"/>
                <w:sz w:val="21"/>
              </w:rPr>
              <w:t>rabbit-amqp-</w:t>
            </w:r>
            <w:proofErr w:type="gramStart"/>
            <w:r>
              <w:rPr>
                <w:color w:val="B02045"/>
                <w:sz w:val="21"/>
              </w:rPr>
              <w:t>client.version</w:t>
            </w:r>
            <w:proofErr w:type="gramEnd"/>
          </w:p>
        </w:tc>
      </w:tr>
      <w:tr w:rsidR="00A720EB" w14:paraId="22655525" w14:textId="77777777">
        <w:trPr>
          <w:trHeight w:val="368"/>
        </w:trPr>
        <w:tc>
          <w:tcPr>
            <w:tcW w:w="4988" w:type="dxa"/>
          </w:tcPr>
          <w:p w14:paraId="510319A7" w14:textId="77777777" w:rsidR="00A720EB" w:rsidRDefault="0030286B">
            <w:pPr>
              <w:pStyle w:val="TableParagraph"/>
              <w:spacing w:before="37"/>
              <w:rPr>
                <w:sz w:val="21"/>
              </w:rPr>
            </w:pPr>
            <w:r>
              <w:rPr>
                <w:color w:val="B02045"/>
                <w:sz w:val="21"/>
              </w:rPr>
              <w:t>Reactive Streams</w:t>
            </w:r>
          </w:p>
        </w:tc>
        <w:tc>
          <w:tcPr>
            <w:tcW w:w="4988" w:type="dxa"/>
          </w:tcPr>
          <w:p w14:paraId="7EFBF14F" w14:textId="77777777" w:rsidR="00A720EB" w:rsidRDefault="0030286B">
            <w:pPr>
              <w:pStyle w:val="TableParagraph"/>
              <w:spacing w:before="37"/>
              <w:rPr>
                <w:sz w:val="21"/>
              </w:rPr>
            </w:pPr>
            <w:r>
              <w:rPr>
                <w:color w:val="B02045"/>
                <w:sz w:val="21"/>
              </w:rPr>
              <w:t>reactive-</w:t>
            </w:r>
            <w:proofErr w:type="gramStart"/>
            <w:r>
              <w:rPr>
                <w:color w:val="B02045"/>
                <w:sz w:val="21"/>
              </w:rPr>
              <w:t>streams.version</w:t>
            </w:r>
            <w:proofErr w:type="gramEnd"/>
          </w:p>
        </w:tc>
      </w:tr>
      <w:tr w:rsidR="00A720EB" w14:paraId="366CC2F3" w14:textId="77777777">
        <w:trPr>
          <w:trHeight w:val="368"/>
        </w:trPr>
        <w:tc>
          <w:tcPr>
            <w:tcW w:w="4988" w:type="dxa"/>
          </w:tcPr>
          <w:p w14:paraId="24802038" w14:textId="77777777" w:rsidR="00A720EB" w:rsidRDefault="0030286B">
            <w:pPr>
              <w:pStyle w:val="TableParagraph"/>
              <w:spacing w:before="37"/>
              <w:rPr>
                <w:sz w:val="21"/>
              </w:rPr>
            </w:pPr>
            <w:r>
              <w:rPr>
                <w:color w:val="B02045"/>
                <w:sz w:val="21"/>
              </w:rPr>
              <w:t>Reactor Bom</w:t>
            </w:r>
          </w:p>
        </w:tc>
        <w:tc>
          <w:tcPr>
            <w:tcW w:w="4988" w:type="dxa"/>
          </w:tcPr>
          <w:p w14:paraId="6260CB86" w14:textId="77777777" w:rsidR="00A720EB" w:rsidRDefault="0030286B">
            <w:pPr>
              <w:pStyle w:val="TableParagraph"/>
              <w:spacing w:before="37"/>
              <w:rPr>
                <w:sz w:val="21"/>
              </w:rPr>
            </w:pPr>
            <w:r>
              <w:rPr>
                <w:color w:val="B02045"/>
                <w:sz w:val="21"/>
              </w:rPr>
              <w:t>reactor-</w:t>
            </w:r>
            <w:proofErr w:type="gramStart"/>
            <w:r>
              <w:rPr>
                <w:color w:val="B02045"/>
                <w:sz w:val="21"/>
              </w:rPr>
              <w:t>bom.version</w:t>
            </w:r>
            <w:proofErr w:type="gramEnd"/>
          </w:p>
        </w:tc>
      </w:tr>
      <w:tr w:rsidR="00A720EB" w14:paraId="3DBD2131" w14:textId="77777777">
        <w:trPr>
          <w:trHeight w:val="368"/>
        </w:trPr>
        <w:tc>
          <w:tcPr>
            <w:tcW w:w="4988" w:type="dxa"/>
          </w:tcPr>
          <w:p w14:paraId="057FB401" w14:textId="77777777" w:rsidR="00A720EB" w:rsidRDefault="0030286B">
            <w:pPr>
              <w:pStyle w:val="TableParagraph"/>
              <w:rPr>
                <w:sz w:val="21"/>
              </w:rPr>
            </w:pPr>
            <w:r>
              <w:rPr>
                <w:color w:val="B02045"/>
                <w:sz w:val="21"/>
              </w:rPr>
              <w:t>REST Assured</w:t>
            </w:r>
          </w:p>
        </w:tc>
        <w:tc>
          <w:tcPr>
            <w:tcW w:w="4988" w:type="dxa"/>
          </w:tcPr>
          <w:p w14:paraId="0F294808" w14:textId="77777777" w:rsidR="00A720EB" w:rsidRDefault="0030286B">
            <w:pPr>
              <w:pStyle w:val="TableParagraph"/>
              <w:rPr>
                <w:sz w:val="21"/>
              </w:rPr>
            </w:pPr>
            <w:r>
              <w:rPr>
                <w:color w:val="B02045"/>
                <w:sz w:val="21"/>
              </w:rPr>
              <w:t>rest-</w:t>
            </w:r>
            <w:proofErr w:type="gramStart"/>
            <w:r>
              <w:rPr>
                <w:color w:val="B02045"/>
                <w:sz w:val="21"/>
              </w:rPr>
              <w:t>assured.version</w:t>
            </w:r>
            <w:proofErr w:type="gramEnd"/>
          </w:p>
        </w:tc>
      </w:tr>
      <w:tr w:rsidR="00A720EB" w14:paraId="6CB3B668" w14:textId="77777777">
        <w:trPr>
          <w:trHeight w:val="368"/>
        </w:trPr>
        <w:tc>
          <w:tcPr>
            <w:tcW w:w="4988" w:type="dxa"/>
          </w:tcPr>
          <w:p w14:paraId="1BAF16D1" w14:textId="77777777" w:rsidR="00A720EB" w:rsidRDefault="0030286B">
            <w:pPr>
              <w:pStyle w:val="TableParagraph"/>
              <w:rPr>
                <w:sz w:val="21"/>
              </w:rPr>
            </w:pPr>
            <w:r>
              <w:rPr>
                <w:color w:val="B02045"/>
                <w:sz w:val="21"/>
              </w:rPr>
              <w:t>RSocket</w:t>
            </w:r>
          </w:p>
        </w:tc>
        <w:tc>
          <w:tcPr>
            <w:tcW w:w="4988" w:type="dxa"/>
          </w:tcPr>
          <w:p w14:paraId="270B0461" w14:textId="77777777" w:rsidR="00A720EB" w:rsidRDefault="0030286B">
            <w:pPr>
              <w:pStyle w:val="TableParagraph"/>
              <w:rPr>
                <w:sz w:val="21"/>
              </w:rPr>
            </w:pPr>
            <w:proofErr w:type="gramStart"/>
            <w:r>
              <w:rPr>
                <w:color w:val="B02045"/>
                <w:sz w:val="21"/>
              </w:rPr>
              <w:t>rsocket.version</w:t>
            </w:r>
            <w:proofErr w:type="gramEnd"/>
          </w:p>
        </w:tc>
      </w:tr>
      <w:tr w:rsidR="00A720EB" w14:paraId="0D413654" w14:textId="77777777">
        <w:trPr>
          <w:trHeight w:val="368"/>
        </w:trPr>
        <w:tc>
          <w:tcPr>
            <w:tcW w:w="4988" w:type="dxa"/>
          </w:tcPr>
          <w:p w14:paraId="4569A453" w14:textId="77777777" w:rsidR="00A720EB" w:rsidRDefault="0030286B">
            <w:pPr>
              <w:pStyle w:val="TableParagraph"/>
              <w:spacing w:before="37"/>
              <w:rPr>
                <w:sz w:val="21"/>
              </w:rPr>
            </w:pPr>
            <w:r>
              <w:rPr>
                <w:color w:val="B02045"/>
                <w:sz w:val="21"/>
              </w:rPr>
              <w:t>RxJava</w:t>
            </w:r>
          </w:p>
        </w:tc>
        <w:tc>
          <w:tcPr>
            <w:tcW w:w="4988" w:type="dxa"/>
          </w:tcPr>
          <w:p w14:paraId="00D1D767" w14:textId="77777777" w:rsidR="00A720EB" w:rsidRDefault="0030286B">
            <w:pPr>
              <w:pStyle w:val="TableParagraph"/>
              <w:spacing w:before="37"/>
              <w:rPr>
                <w:sz w:val="21"/>
              </w:rPr>
            </w:pPr>
            <w:proofErr w:type="gramStart"/>
            <w:r>
              <w:rPr>
                <w:color w:val="B02045"/>
                <w:sz w:val="21"/>
              </w:rPr>
              <w:t>rxjava.version</w:t>
            </w:r>
            <w:proofErr w:type="gramEnd"/>
          </w:p>
        </w:tc>
      </w:tr>
      <w:tr w:rsidR="00A720EB" w14:paraId="052AF0BF" w14:textId="77777777">
        <w:trPr>
          <w:trHeight w:val="368"/>
        </w:trPr>
        <w:tc>
          <w:tcPr>
            <w:tcW w:w="4988" w:type="dxa"/>
          </w:tcPr>
          <w:p w14:paraId="19CDF8EE" w14:textId="77777777" w:rsidR="00A720EB" w:rsidRDefault="0030286B">
            <w:pPr>
              <w:pStyle w:val="TableParagraph"/>
              <w:spacing w:before="37"/>
              <w:rPr>
                <w:sz w:val="21"/>
              </w:rPr>
            </w:pPr>
            <w:r>
              <w:rPr>
                <w:color w:val="B02045"/>
                <w:sz w:val="21"/>
              </w:rPr>
              <w:t>RxJava Adapter</w:t>
            </w:r>
          </w:p>
        </w:tc>
        <w:tc>
          <w:tcPr>
            <w:tcW w:w="4988" w:type="dxa"/>
          </w:tcPr>
          <w:p w14:paraId="0DD37B39" w14:textId="77777777" w:rsidR="00A720EB" w:rsidRDefault="0030286B">
            <w:pPr>
              <w:pStyle w:val="TableParagraph"/>
              <w:spacing w:before="37"/>
              <w:rPr>
                <w:sz w:val="21"/>
              </w:rPr>
            </w:pPr>
            <w:r>
              <w:rPr>
                <w:color w:val="B02045"/>
                <w:sz w:val="21"/>
              </w:rPr>
              <w:t>rxjava-</w:t>
            </w:r>
            <w:proofErr w:type="gramStart"/>
            <w:r>
              <w:rPr>
                <w:color w:val="B02045"/>
                <w:sz w:val="21"/>
              </w:rPr>
              <w:t>adapter.version</w:t>
            </w:r>
            <w:proofErr w:type="gramEnd"/>
          </w:p>
        </w:tc>
      </w:tr>
      <w:tr w:rsidR="00A720EB" w14:paraId="07B67731" w14:textId="77777777">
        <w:trPr>
          <w:trHeight w:val="368"/>
        </w:trPr>
        <w:tc>
          <w:tcPr>
            <w:tcW w:w="4988" w:type="dxa"/>
          </w:tcPr>
          <w:p w14:paraId="5B627F9A" w14:textId="77777777" w:rsidR="00A720EB" w:rsidRDefault="0030286B">
            <w:pPr>
              <w:pStyle w:val="TableParagraph"/>
              <w:rPr>
                <w:sz w:val="21"/>
              </w:rPr>
            </w:pPr>
            <w:r>
              <w:rPr>
                <w:color w:val="B02045"/>
                <w:sz w:val="21"/>
              </w:rPr>
              <w:t>RxJava2</w:t>
            </w:r>
          </w:p>
        </w:tc>
        <w:tc>
          <w:tcPr>
            <w:tcW w:w="4988" w:type="dxa"/>
          </w:tcPr>
          <w:p w14:paraId="6CC61F95" w14:textId="77777777" w:rsidR="00A720EB" w:rsidRDefault="0030286B">
            <w:pPr>
              <w:pStyle w:val="TableParagraph"/>
              <w:rPr>
                <w:sz w:val="21"/>
              </w:rPr>
            </w:pPr>
            <w:r>
              <w:rPr>
                <w:color w:val="B02045"/>
                <w:sz w:val="21"/>
              </w:rPr>
              <w:t>rxjava2.version</w:t>
            </w:r>
          </w:p>
        </w:tc>
      </w:tr>
      <w:tr w:rsidR="00A720EB" w14:paraId="2FB20535" w14:textId="77777777">
        <w:trPr>
          <w:trHeight w:val="368"/>
        </w:trPr>
        <w:tc>
          <w:tcPr>
            <w:tcW w:w="4988" w:type="dxa"/>
          </w:tcPr>
          <w:p w14:paraId="7E07412E" w14:textId="77777777" w:rsidR="00A720EB" w:rsidRDefault="0030286B">
            <w:pPr>
              <w:pStyle w:val="TableParagraph"/>
              <w:spacing w:before="37"/>
              <w:rPr>
                <w:sz w:val="21"/>
              </w:rPr>
            </w:pPr>
            <w:r>
              <w:rPr>
                <w:color w:val="B02045"/>
                <w:sz w:val="21"/>
              </w:rPr>
              <w:t>SAAJ Impl</w:t>
            </w:r>
          </w:p>
        </w:tc>
        <w:tc>
          <w:tcPr>
            <w:tcW w:w="4988" w:type="dxa"/>
          </w:tcPr>
          <w:p w14:paraId="775C6C42" w14:textId="77777777" w:rsidR="00A720EB" w:rsidRDefault="0030286B">
            <w:pPr>
              <w:pStyle w:val="TableParagraph"/>
              <w:spacing w:before="37"/>
              <w:rPr>
                <w:sz w:val="21"/>
              </w:rPr>
            </w:pPr>
            <w:r>
              <w:rPr>
                <w:color w:val="B02045"/>
                <w:sz w:val="21"/>
              </w:rPr>
              <w:t>saaj-</w:t>
            </w:r>
            <w:proofErr w:type="gramStart"/>
            <w:r>
              <w:rPr>
                <w:color w:val="B02045"/>
                <w:sz w:val="21"/>
              </w:rPr>
              <w:t>impl.version</w:t>
            </w:r>
            <w:proofErr w:type="gramEnd"/>
          </w:p>
        </w:tc>
      </w:tr>
      <w:tr w:rsidR="00A720EB" w14:paraId="66AB6D64" w14:textId="77777777">
        <w:trPr>
          <w:trHeight w:val="368"/>
        </w:trPr>
        <w:tc>
          <w:tcPr>
            <w:tcW w:w="4988" w:type="dxa"/>
          </w:tcPr>
          <w:p w14:paraId="5B7E8503" w14:textId="77777777" w:rsidR="00A720EB" w:rsidRDefault="0030286B">
            <w:pPr>
              <w:pStyle w:val="TableParagraph"/>
              <w:rPr>
                <w:sz w:val="21"/>
              </w:rPr>
            </w:pPr>
            <w:r>
              <w:rPr>
                <w:color w:val="B02045"/>
                <w:sz w:val="21"/>
              </w:rPr>
              <w:t>Selenium</w:t>
            </w:r>
          </w:p>
        </w:tc>
        <w:tc>
          <w:tcPr>
            <w:tcW w:w="4988" w:type="dxa"/>
          </w:tcPr>
          <w:p w14:paraId="1FC1BE3A" w14:textId="77777777" w:rsidR="00A720EB" w:rsidRDefault="0030286B">
            <w:pPr>
              <w:pStyle w:val="TableParagraph"/>
              <w:rPr>
                <w:sz w:val="21"/>
              </w:rPr>
            </w:pPr>
            <w:proofErr w:type="gramStart"/>
            <w:r>
              <w:rPr>
                <w:color w:val="B02045"/>
                <w:sz w:val="21"/>
              </w:rPr>
              <w:t>selenium.version</w:t>
            </w:r>
            <w:proofErr w:type="gramEnd"/>
          </w:p>
        </w:tc>
      </w:tr>
      <w:tr w:rsidR="00A720EB" w14:paraId="217B980B" w14:textId="77777777">
        <w:trPr>
          <w:trHeight w:val="368"/>
        </w:trPr>
        <w:tc>
          <w:tcPr>
            <w:tcW w:w="4988" w:type="dxa"/>
          </w:tcPr>
          <w:p w14:paraId="5990899E" w14:textId="77777777" w:rsidR="00A720EB" w:rsidRDefault="0030286B">
            <w:pPr>
              <w:pStyle w:val="TableParagraph"/>
              <w:spacing w:before="37"/>
              <w:rPr>
                <w:sz w:val="21"/>
              </w:rPr>
            </w:pPr>
            <w:r>
              <w:rPr>
                <w:color w:val="B02045"/>
                <w:sz w:val="21"/>
              </w:rPr>
              <w:t>Selenium HtmlUnit</w:t>
            </w:r>
          </w:p>
        </w:tc>
        <w:tc>
          <w:tcPr>
            <w:tcW w:w="4988" w:type="dxa"/>
          </w:tcPr>
          <w:p w14:paraId="18FC48A5" w14:textId="77777777" w:rsidR="00A720EB" w:rsidRDefault="0030286B">
            <w:pPr>
              <w:pStyle w:val="TableParagraph"/>
              <w:spacing w:before="37"/>
              <w:rPr>
                <w:sz w:val="21"/>
              </w:rPr>
            </w:pPr>
            <w:r>
              <w:rPr>
                <w:color w:val="B02045"/>
                <w:sz w:val="21"/>
              </w:rPr>
              <w:t>selenium-</w:t>
            </w:r>
            <w:proofErr w:type="gramStart"/>
            <w:r>
              <w:rPr>
                <w:color w:val="B02045"/>
                <w:sz w:val="21"/>
              </w:rPr>
              <w:t>htmlunit.version</w:t>
            </w:r>
            <w:proofErr w:type="gramEnd"/>
          </w:p>
        </w:tc>
      </w:tr>
      <w:tr w:rsidR="00A720EB" w14:paraId="28F2B5CA" w14:textId="77777777">
        <w:trPr>
          <w:trHeight w:val="368"/>
        </w:trPr>
        <w:tc>
          <w:tcPr>
            <w:tcW w:w="4988" w:type="dxa"/>
          </w:tcPr>
          <w:p w14:paraId="1D849705" w14:textId="77777777" w:rsidR="00A720EB" w:rsidRDefault="0030286B">
            <w:pPr>
              <w:pStyle w:val="TableParagraph"/>
              <w:rPr>
                <w:sz w:val="21"/>
              </w:rPr>
            </w:pPr>
            <w:r>
              <w:rPr>
                <w:color w:val="B02045"/>
                <w:sz w:val="21"/>
              </w:rPr>
              <w:t>SendGrid</w:t>
            </w:r>
          </w:p>
        </w:tc>
        <w:tc>
          <w:tcPr>
            <w:tcW w:w="4988" w:type="dxa"/>
          </w:tcPr>
          <w:p w14:paraId="02A25710" w14:textId="77777777" w:rsidR="00A720EB" w:rsidRDefault="0030286B">
            <w:pPr>
              <w:pStyle w:val="TableParagraph"/>
              <w:rPr>
                <w:sz w:val="21"/>
              </w:rPr>
            </w:pPr>
            <w:proofErr w:type="gramStart"/>
            <w:r>
              <w:rPr>
                <w:color w:val="B02045"/>
                <w:sz w:val="21"/>
              </w:rPr>
              <w:t>sendgrid.version</w:t>
            </w:r>
            <w:proofErr w:type="gramEnd"/>
          </w:p>
        </w:tc>
      </w:tr>
      <w:tr w:rsidR="00A720EB" w14:paraId="162B4D67" w14:textId="77777777">
        <w:trPr>
          <w:trHeight w:val="368"/>
        </w:trPr>
        <w:tc>
          <w:tcPr>
            <w:tcW w:w="4988" w:type="dxa"/>
          </w:tcPr>
          <w:p w14:paraId="0234C9F9" w14:textId="77777777" w:rsidR="00A720EB" w:rsidRDefault="0030286B">
            <w:pPr>
              <w:pStyle w:val="TableParagraph"/>
              <w:spacing w:before="37"/>
              <w:rPr>
                <w:sz w:val="21"/>
              </w:rPr>
            </w:pPr>
            <w:r>
              <w:rPr>
                <w:color w:val="B02045"/>
                <w:sz w:val="21"/>
              </w:rPr>
              <w:t>Servlet API</w:t>
            </w:r>
          </w:p>
        </w:tc>
        <w:tc>
          <w:tcPr>
            <w:tcW w:w="4988" w:type="dxa"/>
          </w:tcPr>
          <w:p w14:paraId="3E3519CB" w14:textId="77777777" w:rsidR="00A720EB" w:rsidRDefault="0030286B">
            <w:pPr>
              <w:pStyle w:val="TableParagraph"/>
              <w:spacing w:before="37"/>
              <w:rPr>
                <w:sz w:val="21"/>
              </w:rPr>
            </w:pPr>
            <w:r>
              <w:rPr>
                <w:color w:val="B02045"/>
                <w:sz w:val="21"/>
              </w:rPr>
              <w:t>servlet-</w:t>
            </w:r>
            <w:proofErr w:type="gramStart"/>
            <w:r>
              <w:rPr>
                <w:color w:val="B02045"/>
                <w:sz w:val="21"/>
              </w:rPr>
              <w:t>api.version</w:t>
            </w:r>
            <w:proofErr w:type="gramEnd"/>
          </w:p>
        </w:tc>
      </w:tr>
      <w:tr w:rsidR="00A720EB" w14:paraId="4F670947" w14:textId="77777777">
        <w:trPr>
          <w:trHeight w:val="368"/>
        </w:trPr>
        <w:tc>
          <w:tcPr>
            <w:tcW w:w="4988" w:type="dxa"/>
          </w:tcPr>
          <w:p w14:paraId="16452BEE" w14:textId="77777777" w:rsidR="00A720EB" w:rsidRDefault="0030286B">
            <w:pPr>
              <w:pStyle w:val="TableParagraph"/>
              <w:rPr>
                <w:sz w:val="21"/>
              </w:rPr>
            </w:pPr>
            <w:r>
              <w:rPr>
                <w:color w:val="B02045"/>
                <w:sz w:val="21"/>
              </w:rPr>
              <w:t>SLF4J</w:t>
            </w:r>
          </w:p>
        </w:tc>
        <w:tc>
          <w:tcPr>
            <w:tcW w:w="4988" w:type="dxa"/>
          </w:tcPr>
          <w:p w14:paraId="76B3162F" w14:textId="77777777" w:rsidR="00A720EB" w:rsidRDefault="0030286B">
            <w:pPr>
              <w:pStyle w:val="TableParagraph"/>
              <w:rPr>
                <w:sz w:val="21"/>
              </w:rPr>
            </w:pPr>
            <w:r>
              <w:rPr>
                <w:color w:val="B02045"/>
                <w:sz w:val="21"/>
              </w:rPr>
              <w:t>slf4j.version</w:t>
            </w:r>
          </w:p>
        </w:tc>
      </w:tr>
      <w:tr w:rsidR="00A720EB" w14:paraId="4A3B4BE1" w14:textId="77777777">
        <w:trPr>
          <w:trHeight w:val="368"/>
        </w:trPr>
        <w:tc>
          <w:tcPr>
            <w:tcW w:w="4988" w:type="dxa"/>
          </w:tcPr>
          <w:p w14:paraId="3EDBBA8A" w14:textId="77777777" w:rsidR="00A720EB" w:rsidRDefault="0030286B">
            <w:pPr>
              <w:pStyle w:val="TableParagraph"/>
              <w:rPr>
                <w:sz w:val="21"/>
              </w:rPr>
            </w:pPr>
            <w:r>
              <w:rPr>
                <w:color w:val="B02045"/>
                <w:sz w:val="21"/>
              </w:rPr>
              <w:t>SnakeYAML</w:t>
            </w:r>
          </w:p>
        </w:tc>
        <w:tc>
          <w:tcPr>
            <w:tcW w:w="4988" w:type="dxa"/>
          </w:tcPr>
          <w:p w14:paraId="0E90207E" w14:textId="77777777" w:rsidR="00A720EB" w:rsidRDefault="0030286B">
            <w:pPr>
              <w:pStyle w:val="TableParagraph"/>
              <w:rPr>
                <w:sz w:val="21"/>
              </w:rPr>
            </w:pPr>
            <w:proofErr w:type="gramStart"/>
            <w:r>
              <w:rPr>
                <w:color w:val="B02045"/>
                <w:sz w:val="21"/>
              </w:rPr>
              <w:t>snakeyaml.version</w:t>
            </w:r>
            <w:proofErr w:type="gramEnd"/>
          </w:p>
        </w:tc>
      </w:tr>
      <w:tr w:rsidR="00A720EB" w14:paraId="52B5E316" w14:textId="77777777">
        <w:trPr>
          <w:trHeight w:val="368"/>
        </w:trPr>
        <w:tc>
          <w:tcPr>
            <w:tcW w:w="4988" w:type="dxa"/>
          </w:tcPr>
          <w:p w14:paraId="5FDAC2DD" w14:textId="77777777" w:rsidR="00A720EB" w:rsidRDefault="0030286B">
            <w:pPr>
              <w:pStyle w:val="TableParagraph"/>
              <w:rPr>
                <w:sz w:val="21"/>
              </w:rPr>
            </w:pPr>
            <w:r>
              <w:rPr>
                <w:color w:val="B02045"/>
                <w:sz w:val="21"/>
              </w:rPr>
              <w:t>Solr</w:t>
            </w:r>
          </w:p>
        </w:tc>
        <w:tc>
          <w:tcPr>
            <w:tcW w:w="4988" w:type="dxa"/>
          </w:tcPr>
          <w:p w14:paraId="6672871A" w14:textId="77777777" w:rsidR="00A720EB" w:rsidRDefault="0030286B">
            <w:pPr>
              <w:pStyle w:val="TableParagraph"/>
              <w:rPr>
                <w:sz w:val="21"/>
              </w:rPr>
            </w:pPr>
            <w:proofErr w:type="gramStart"/>
            <w:r>
              <w:rPr>
                <w:color w:val="B02045"/>
                <w:sz w:val="21"/>
              </w:rPr>
              <w:t>solr.version</w:t>
            </w:r>
            <w:proofErr w:type="gramEnd"/>
          </w:p>
        </w:tc>
      </w:tr>
      <w:tr w:rsidR="00A720EB" w14:paraId="6399EA24" w14:textId="77777777">
        <w:trPr>
          <w:trHeight w:val="368"/>
        </w:trPr>
        <w:tc>
          <w:tcPr>
            <w:tcW w:w="4988" w:type="dxa"/>
          </w:tcPr>
          <w:p w14:paraId="26D59963" w14:textId="77777777" w:rsidR="00A720EB" w:rsidRDefault="0030286B">
            <w:pPr>
              <w:pStyle w:val="TableParagraph"/>
              <w:rPr>
                <w:sz w:val="21"/>
              </w:rPr>
            </w:pPr>
            <w:r>
              <w:rPr>
                <w:color w:val="B02045"/>
                <w:sz w:val="21"/>
              </w:rPr>
              <w:t>Spring AMQP</w:t>
            </w:r>
          </w:p>
        </w:tc>
        <w:tc>
          <w:tcPr>
            <w:tcW w:w="4988" w:type="dxa"/>
          </w:tcPr>
          <w:p w14:paraId="6B6A2EFF" w14:textId="77777777" w:rsidR="00A720EB" w:rsidRDefault="0030286B">
            <w:pPr>
              <w:pStyle w:val="TableParagraph"/>
              <w:rPr>
                <w:sz w:val="21"/>
              </w:rPr>
            </w:pPr>
            <w:r>
              <w:rPr>
                <w:color w:val="B02045"/>
                <w:sz w:val="21"/>
              </w:rPr>
              <w:t>spring-</w:t>
            </w:r>
            <w:proofErr w:type="gramStart"/>
            <w:r>
              <w:rPr>
                <w:color w:val="B02045"/>
                <w:sz w:val="21"/>
              </w:rPr>
              <w:t>amqp.version</w:t>
            </w:r>
            <w:proofErr w:type="gramEnd"/>
          </w:p>
        </w:tc>
      </w:tr>
    </w:tbl>
    <w:p w14:paraId="22B84A83" w14:textId="77777777" w:rsidR="00A720EB" w:rsidRDefault="00A720EB">
      <w:pPr>
        <w:rPr>
          <w:sz w:val="21"/>
        </w:rPr>
        <w:sectPr w:rsidR="00A720EB">
          <w:pgSz w:w="11910" w:h="16840"/>
          <w:pgMar w:top="700" w:right="840" w:bottom="380" w:left="840" w:header="0" w:footer="323" w:gutter="0"/>
          <w:cols w:space="720"/>
        </w:sectPr>
      </w:pPr>
    </w:p>
    <w:tbl>
      <w:tblPr>
        <w:tblStyle w:val="40"/>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1E0" w:firstRow="1" w:lastRow="1" w:firstColumn="1" w:lastColumn="1" w:noHBand="0" w:noVBand="0"/>
      </w:tblPr>
      <w:tblGrid>
        <w:gridCol w:w="4988"/>
        <w:gridCol w:w="4988"/>
      </w:tblGrid>
      <w:tr w:rsidR="00A720EB" w14:paraId="22573225" w14:textId="77777777">
        <w:trPr>
          <w:trHeight w:val="415"/>
        </w:trPr>
        <w:tc>
          <w:tcPr>
            <w:tcW w:w="4988" w:type="dxa"/>
            <w:tcBorders>
              <w:bottom w:val="single" w:sz="12" w:space="0" w:color="DDDDDD"/>
            </w:tcBorders>
          </w:tcPr>
          <w:p w14:paraId="130F387E" w14:textId="77777777" w:rsidR="00A720EB" w:rsidRDefault="0030286B">
            <w:pPr>
              <w:pStyle w:val="TableParagraph"/>
              <w:spacing w:before="71"/>
              <w:rPr>
                <w:rFonts w:ascii="Palatino Linotype"/>
                <w:b/>
                <w:sz w:val="21"/>
              </w:rPr>
            </w:pPr>
            <w:r>
              <w:rPr>
                <w:rFonts w:ascii="Palatino Linotype"/>
                <w:b/>
                <w:color w:val="333333"/>
                <w:w w:val="115"/>
                <w:sz w:val="21"/>
              </w:rPr>
              <w:lastRenderedPageBreak/>
              <w:t>Library</w:t>
            </w:r>
          </w:p>
        </w:tc>
        <w:tc>
          <w:tcPr>
            <w:tcW w:w="4988" w:type="dxa"/>
            <w:tcBorders>
              <w:bottom w:val="single" w:sz="12" w:space="0" w:color="DDDDDD"/>
            </w:tcBorders>
          </w:tcPr>
          <w:p w14:paraId="49F6F664" w14:textId="77777777" w:rsidR="00A720EB" w:rsidRDefault="0030286B">
            <w:pPr>
              <w:pStyle w:val="TableParagraph"/>
              <w:spacing w:before="71"/>
              <w:rPr>
                <w:rFonts w:ascii="Palatino Linotype"/>
                <w:b/>
                <w:sz w:val="21"/>
              </w:rPr>
            </w:pPr>
            <w:r>
              <w:rPr>
                <w:rFonts w:ascii="Palatino Linotype"/>
                <w:b/>
                <w:color w:val="333333"/>
                <w:w w:val="110"/>
                <w:sz w:val="21"/>
              </w:rPr>
              <w:t>Version Property</w:t>
            </w:r>
          </w:p>
        </w:tc>
      </w:tr>
      <w:tr w:rsidR="00A720EB" w14:paraId="4D0762F7" w14:textId="77777777">
        <w:trPr>
          <w:trHeight w:val="358"/>
        </w:trPr>
        <w:tc>
          <w:tcPr>
            <w:tcW w:w="4988" w:type="dxa"/>
            <w:tcBorders>
              <w:top w:val="single" w:sz="12" w:space="0" w:color="DDDDDD"/>
            </w:tcBorders>
          </w:tcPr>
          <w:p w14:paraId="062B8ACA" w14:textId="77777777" w:rsidR="00A720EB" w:rsidRDefault="0030286B">
            <w:pPr>
              <w:pStyle w:val="TableParagraph"/>
              <w:spacing w:before="27"/>
              <w:rPr>
                <w:sz w:val="21"/>
              </w:rPr>
            </w:pPr>
            <w:r>
              <w:rPr>
                <w:color w:val="B02045"/>
                <w:sz w:val="21"/>
              </w:rPr>
              <w:t>Spring Batch</w:t>
            </w:r>
          </w:p>
        </w:tc>
        <w:tc>
          <w:tcPr>
            <w:tcW w:w="4988" w:type="dxa"/>
            <w:tcBorders>
              <w:top w:val="single" w:sz="12" w:space="0" w:color="DDDDDD"/>
            </w:tcBorders>
          </w:tcPr>
          <w:p w14:paraId="4F781696" w14:textId="77777777" w:rsidR="00A720EB" w:rsidRDefault="0030286B">
            <w:pPr>
              <w:pStyle w:val="TableParagraph"/>
              <w:spacing w:before="27"/>
              <w:rPr>
                <w:sz w:val="21"/>
              </w:rPr>
            </w:pPr>
            <w:r>
              <w:rPr>
                <w:color w:val="B02045"/>
                <w:sz w:val="21"/>
              </w:rPr>
              <w:t>spring-</w:t>
            </w:r>
            <w:proofErr w:type="gramStart"/>
            <w:r>
              <w:rPr>
                <w:color w:val="B02045"/>
                <w:sz w:val="21"/>
              </w:rPr>
              <w:t>batch.version</w:t>
            </w:r>
            <w:proofErr w:type="gramEnd"/>
          </w:p>
        </w:tc>
      </w:tr>
      <w:tr w:rsidR="00A720EB" w14:paraId="43E0CC46" w14:textId="77777777">
        <w:trPr>
          <w:trHeight w:val="368"/>
        </w:trPr>
        <w:tc>
          <w:tcPr>
            <w:tcW w:w="4988" w:type="dxa"/>
          </w:tcPr>
          <w:p w14:paraId="2F6C7BD7" w14:textId="77777777" w:rsidR="00A720EB" w:rsidRDefault="0030286B">
            <w:pPr>
              <w:pStyle w:val="TableParagraph"/>
              <w:spacing w:before="37"/>
              <w:rPr>
                <w:sz w:val="21"/>
              </w:rPr>
            </w:pPr>
            <w:r>
              <w:rPr>
                <w:color w:val="B02045"/>
                <w:sz w:val="21"/>
              </w:rPr>
              <w:t>Spring Data Releasetrain</w:t>
            </w:r>
          </w:p>
        </w:tc>
        <w:tc>
          <w:tcPr>
            <w:tcW w:w="4988" w:type="dxa"/>
          </w:tcPr>
          <w:p w14:paraId="6FD7C656" w14:textId="77777777" w:rsidR="00A720EB" w:rsidRDefault="0030286B">
            <w:pPr>
              <w:pStyle w:val="TableParagraph"/>
              <w:spacing w:before="37"/>
              <w:rPr>
                <w:sz w:val="21"/>
              </w:rPr>
            </w:pPr>
            <w:r>
              <w:rPr>
                <w:color w:val="B02045"/>
                <w:sz w:val="21"/>
              </w:rPr>
              <w:t>spring-data-</w:t>
            </w:r>
            <w:proofErr w:type="gramStart"/>
            <w:r>
              <w:rPr>
                <w:color w:val="B02045"/>
                <w:sz w:val="21"/>
              </w:rPr>
              <w:t>releasetrain.version</w:t>
            </w:r>
            <w:proofErr w:type="gramEnd"/>
          </w:p>
        </w:tc>
      </w:tr>
      <w:tr w:rsidR="00A720EB" w14:paraId="3F23989E" w14:textId="77777777">
        <w:trPr>
          <w:trHeight w:val="368"/>
        </w:trPr>
        <w:tc>
          <w:tcPr>
            <w:tcW w:w="4988" w:type="dxa"/>
          </w:tcPr>
          <w:p w14:paraId="22097D29" w14:textId="77777777" w:rsidR="00A720EB" w:rsidRDefault="0030286B">
            <w:pPr>
              <w:pStyle w:val="TableParagraph"/>
              <w:spacing w:before="37"/>
              <w:rPr>
                <w:sz w:val="21"/>
              </w:rPr>
            </w:pPr>
            <w:r>
              <w:rPr>
                <w:color w:val="B02045"/>
                <w:sz w:val="21"/>
              </w:rPr>
              <w:t>Spring Framework</w:t>
            </w:r>
          </w:p>
        </w:tc>
        <w:tc>
          <w:tcPr>
            <w:tcW w:w="4988" w:type="dxa"/>
          </w:tcPr>
          <w:p w14:paraId="61135EAA" w14:textId="77777777" w:rsidR="00A720EB" w:rsidRDefault="0030286B">
            <w:pPr>
              <w:pStyle w:val="TableParagraph"/>
              <w:spacing w:before="37"/>
              <w:rPr>
                <w:sz w:val="21"/>
              </w:rPr>
            </w:pPr>
            <w:r>
              <w:rPr>
                <w:color w:val="B02045"/>
                <w:sz w:val="21"/>
              </w:rPr>
              <w:t>spring-</w:t>
            </w:r>
            <w:proofErr w:type="gramStart"/>
            <w:r>
              <w:rPr>
                <w:color w:val="B02045"/>
                <w:sz w:val="21"/>
              </w:rPr>
              <w:t>framework.version</w:t>
            </w:r>
            <w:proofErr w:type="gramEnd"/>
          </w:p>
        </w:tc>
      </w:tr>
      <w:tr w:rsidR="00A720EB" w14:paraId="0362D78A" w14:textId="77777777">
        <w:trPr>
          <w:trHeight w:val="368"/>
        </w:trPr>
        <w:tc>
          <w:tcPr>
            <w:tcW w:w="4988" w:type="dxa"/>
          </w:tcPr>
          <w:p w14:paraId="53A2BEB6" w14:textId="77777777" w:rsidR="00A720EB" w:rsidRDefault="0030286B">
            <w:pPr>
              <w:pStyle w:val="TableParagraph"/>
              <w:rPr>
                <w:sz w:val="21"/>
              </w:rPr>
            </w:pPr>
            <w:r>
              <w:rPr>
                <w:color w:val="B02045"/>
                <w:sz w:val="21"/>
              </w:rPr>
              <w:t>Spring HATEOAS</w:t>
            </w:r>
          </w:p>
        </w:tc>
        <w:tc>
          <w:tcPr>
            <w:tcW w:w="4988" w:type="dxa"/>
          </w:tcPr>
          <w:p w14:paraId="257B39BD" w14:textId="77777777" w:rsidR="00A720EB" w:rsidRDefault="0030286B">
            <w:pPr>
              <w:pStyle w:val="TableParagraph"/>
              <w:rPr>
                <w:sz w:val="21"/>
              </w:rPr>
            </w:pPr>
            <w:r>
              <w:rPr>
                <w:color w:val="B02045"/>
                <w:sz w:val="21"/>
              </w:rPr>
              <w:t>spring-</w:t>
            </w:r>
            <w:proofErr w:type="gramStart"/>
            <w:r>
              <w:rPr>
                <w:color w:val="B02045"/>
                <w:sz w:val="21"/>
              </w:rPr>
              <w:t>hateoas.version</w:t>
            </w:r>
            <w:proofErr w:type="gramEnd"/>
          </w:p>
        </w:tc>
      </w:tr>
      <w:tr w:rsidR="00A720EB" w14:paraId="4D21F822" w14:textId="77777777">
        <w:trPr>
          <w:trHeight w:val="368"/>
        </w:trPr>
        <w:tc>
          <w:tcPr>
            <w:tcW w:w="4988" w:type="dxa"/>
          </w:tcPr>
          <w:p w14:paraId="01F36E60" w14:textId="77777777" w:rsidR="00A720EB" w:rsidRDefault="0030286B">
            <w:pPr>
              <w:pStyle w:val="TableParagraph"/>
              <w:rPr>
                <w:sz w:val="21"/>
              </w:rPr>
            </w:pPr>
            <w:r>
              <w:rPr>
                <w:color w:val="B02045"/>
                <w:sz w:val="21"/>
              </w:rPr>
              <w:t>Spring Integration</w:t>
            </w:r>
          </w:p>
        </w:tc>
        <w:tc>
          <w:tcPr>
            <w:tcW w:w="4988" w:type="dxa"/>
          </w:tcPr>
          <w:p w14:paraId="72DE16EA" w14:textId="77777777" w:rsidR="00A720EB" w:rsidRDefault="0030286B">
            <w:pPr>
              <w:pStyle w:val="TableParagraph"/>
              <w:rPr>
                <w:sz w:val="21"/>
              </w:rPr>
            </w:pPr>
            <w:r>
              <w:rPr>
                <w:color w:val="B02045"/>
                <w:sz w:val="21"/>
              </w:rPr>
              <w:t>spring-</w:t>
            </w:r>
            <w:proofErr w:type="gramStart"/>
            <w:r>
              <w:rPr>
                <w:color w:val="B02045"/>
                <w:sz w:val="21"/>
              </w:rPr>
              <w:t>integration.version</w:t>
            </w:r>
            <w:proofErr w:type="gramEnd"/>
          </w:p>
        </w:tc>
      </w:tr>
      <w:tr w:rsidR="00A720EB" w14:paraId="4BDC35A3" w14:textId="77777777">
        <w:trPr>
          <w:trHeight w:val="368"/>
        </w:trPr>
        <w:tc>
          <w:tcPr>
            <w:tcW w:w="4988" w:type="dxa"/>
          </w:tcPr>
          <w:p w14:paraId="2B391B20" w14:textId="77777777" w:rsidR="00A720EB" w:rsidRDefault="0030286B">
            <w:pPr>
              <w:pStyle w:val="TableParagraph"/>
              <w:rPr>
                <w:sz w:val="21"/>
              </w:rPr>
            </w:pPr>
            <w:r>
              <w:rPr>
                <w:color w:val="B02045"/>
                <w:sz w:val="21"/>
              </w:rPr>
              <w:t>Spring Kafka</w:t>
            </w:r>
          </w:p>
        </w:tc>
        <w:tc>
          <w:tcPr>
            <w:tcW w:w="4988" w:type="dxa"/>
          </w:tcPr>
          <w:p w14:paraId="48D26E3F" w14:textId="77777777" w:rsidR="00A720EB" w:rsidRDefault="0030286B">
            <w:pPr>
              <w:pStyle w:val="TableParagraph"/>
              <w:rPr>
                <w:sz w:val="21"/>
              </w:rPr>
            </w:pPr>
            <w:r>
              <w:rPr>
                <w:color w:val="B02045"/>
                <w:sz w:val="21"/>
              </w:rPr>
              <w:t>spring-</w:t>
            </w:r>
            <w:proofErr w:type="gramStart"/>
            <w:r>
              <w:rPr>
                <w:color w:val="B02045"/>
                <w:sz w:val="21"/>
              </w:rPr>
              <w:t>kafka.version</w:t>
            </w:r>
            <w:proofErr w:type="gramEnd"/>
          </w:p>
        </w:tc>
      </w:tr>
      <w:tr w:rsidR="00A720EB" w14:paraId="0D3B713A" w14:textId="77777777">
        <w:trPr>
          <w:trHeight w:val="368"/>
        </w:trPr>
        <w:tc>
          <w:tcPr>
            <w:tcW w:w="4988" w:type="dxa"/>
          </w:tcPr>
          <w:p w14:paraId="5A028462" w14:textId="77777777" w:rsidR="00A720EB" w:rsidRDefault="0030286B">
            <w:pPr>
              <w:pStyle w:val="TableParagraph"/>
              <w:rPr>
                <w:sz w:val="21"/>
              </w:rPr>
            </w:pPr>
            <w:r>
              <w:rPr>
                <w:color w:val="B02045"/>
                <w:sz w:val="21"/>
              </w:rPr>
              <w:t>Spring LDAP</w:t>
            </w:r>
          </w:p>
        </w:tc>
        <w:tc>
          <w:tcPr>
            <w:tcW w:w="4988" w:type="dxa"/>
          </w:tcPr>
          <w:p w14:paraId="2D9D7919" w14:textId="77777777" w:rsidR="00A720EB" w:rsidRDefault="0030286B">
            <w:pPr>
              <w:pStyle w:val="TableParagraph"/>
              <w:rPr>
                <w:sz w:val="21"/>
              </w:rPr>
            </w:pPr>
            <w:r>
              <w:rPr>
                <w:color w:val="B02045"/>
                <w:sz w:val="21"/>
              </w:rPr>
              <w:t>spring-</w:t>
            </w:r>
            <w:proofErr w:type="gramStart"/>
            <w:r>
              <w:rPr>
                <w:color w:val="B02045"/>
                <w:sz w:val="21"/>
              </w:rPr>
              <w:t>ldap.version</w:t>
            </w:r>
            <w:proofErr w:type="gramEnd"/>
          </w:p>
        </w:tc>
      </w:tr>
      <w:tr w:rsidR="00A720EB" w14:paraId="398F638D" w14:textId="77777777">
        <w:trPr>
          <w:trHeight w:val="368"/>
        </w:trPr>
        <w:tc>
          <w:tcPr>
            <w:tcW w:w="4988" w:type="dxa"/>
          </w:tcPr>
          <w:p w14:paraId="3C7379F0" w14:textId="77777777" w:rsidR="00A720EB" w:rsidRDefault="0030286B">
            <w:pPr>
              <w:pStyle w:val="TableParagraph"/>
              <w:spacing w:before="37"/>
              <w:rPr>
                <w:sz w:val="21"/>
              </w:rPr>
            </w:pPr>
            <w:r>
              <w:rPr>
                <w:color w:val="B02045"/>
                <w:sz w:val="21"/>
              </w:rPr>
              <w:t>Spring RESTDocs</w:t>
            </w:r>
          </w:p>
        </w:tc>
        <w:tc>
          <w:tcPr>
            <w:tcW w:w="4988" w:type="dxa"/>
          </w:tcPr>
          <w:p w14:paraId="3519CB0C" w14:textId="77777777" w:rsidR="00A720EB" w:rsidRDefault="0030286B">
            <w:pPr>
              <w:pStyle w:val="TableParagraph"/>
              <w:spacing w:before="37"/>
              <w:rPr>
                <w:sz w:val="21"/>
              </w:rPr>
            </w:pPr>
            <w:r>
              <w:rPr>
                <w:color w:val="B02045"/>
                <w:sz w:val="21"/>
              </w:rPr>
              <w:t>spring-</w:t>
            </w:r>
            <w:proofErr w:type="gramStart"/>
            <w:r>
              <w:rPr>
                <w:color w:val="B02045"/>
                <w:sz w:val="21"/>
              </w:rPr>
              <w:t>restdocs.version</w:t>
            </w:r>
            <w:proofErr w:type="gramEnd"/>
          </w:p>
        </w:tc>
      </w:tr>
      <w:tr w:rsidR="00A720EB" w14:paraId="01842924" w14:textId="77777777">
        <w:trPr>
          <w:trHeight w:val="368"/>
        </w:trPr>
        <w:tc>
          <w:tcPr>
            <w:tcW w:w="4988" w:type="dxa"/>
          </w:tcPr>
          <w:p w14:paraId="4CEAEA0B" w14:textId="77777777" w:rsidR="00A720EB" w:rsidRDefault="0030286B">
            <w:pPr>
              <w:pStyle w:val="TableParagraph"/>
              <w:spacing w:before="37"/>
              <w:rPr>
                <w:sz w:val="21"/>
              </w:rPr>
            </w:pPr>
            <w:r>
              <w:rPr>
                <w:color w:val="B02045"/>
                <w:sz w:val="21"/>
              </w:rPr>
              <w:t>Spring Retry</w:t>
            </w:r>
          </w:p>
        </w:tc>
        <w:tc>
          <w:tcPr>
            <w:tcW w:w="4988" w:type="dxa"/>
          </w:tcPr>
          <w:p w14:paraId="6B218F52" w14:textId="77777777" w:rsidR="00A720EB" w:rsidRDefault="0030286B">
            <w:pPr>
              <w:pStyle w:val="TableParagraph"/>
              <w:spacing w:before="37"/>
              <w:rPr>
                <w:sz w:val="21"/>
              </w:rPr>
            </w:pPr>
            <w:r>
              <w:rPr>
                <w:color w:val="B02045"/>
                <w:sz w:val="21"/>
              </w:rPr>
              <w:t>spring-</w:t>
            </w:r>
            <w:proofErr w:type="gramStart"/>
            <w:r>
              <w:rPr>
                <w:color w:val="B02045"/>
                <w:sz w:val="21"/>
              </w:rPr>
              <w:t>retry.version</w:t>
            </w:r>
            <w:proofErr w:type="gramEnd"/>
          </w:p>
        </w:tc>
      </w:tr>
      <w:tr w:rsidR="00A720EB" w14:paraId="4D50B613" w14:textId="77777777">
        <w:trPr>
          <w:trHeight w:val="368"/>
        </w:trPr>
        <w:tc>
          <w:tcPr>
            <w:tcW w:w="4988" w:type="dxa"/>
          </w:tcPr>
          <w:p w14:paraId="462AF05E" w14:textId="77777777" w:rsidR="00A720EB" w:rsidRDefault="0030286B">
            <w:pPr>
              <w:pStyle w:val="TableParagraph"/>
              <w:spacing w:before="37"/>
              <w:rPr>
                <w:sz w:val="21"/>
              </w:rPr>
            </w:pPr>
            <w:r>
              <w:rPr>
                <w:color w:val="B02045"/>
                <w:sz w:val="21"/>
              </w:rPr>
              <w:t>Spring Security</w:t>
            </w:r>
          </w:p>
        </w:tc>
        <w:tc>
          <w:tcPr>
            <w:tcW w:w="4988" w:type="dxa"/>
          </w:tcPr>
          <w:p w14:paraId="78541904" w14:textId="77777777" w:rsidR="00A720EB" w:rsidRDefault="0030286B">
            <w:pPr>
              <w:pStyle w:val="TableParagraph"/>
              <w:spacing w:before="37"/>
              <w:rPr>
                <w:sz w:val="21"/>
              </w:rPr>
            </w:pPr>
            <w:r>
              <w:rPr>
                <w:color w:val="B02045"/>
                <w:sz w:val="21"/>
              </w:rPr>
              <w:t>spring-</w:t>
            </w:r>
            <w:proofErr w:type="gramStart"/>
            <w:r>
              <w:rPr>
                <w:color w:val="B02045"/>
                <w:sz w:val="21"/>
              </w:rPr>
              <w:t>security.version</w:t>
            </w:r>
            <w:proofErr w:type="gramEnd"/>
          </w:p>
        </w:tc>
      </w:tr>
      <w:tr w:rsidR="00A720EB" w14:paraId="58BBBCBC" w14:textId="77777777">
        <w:trPr>
          <w:trHeight w:val="368"/>
        </w:trPr>
        <w:tc>
          <w:tcPr>
            <w:tcW w:w="4988" w:type="dxa"/>
          </w:tcPr>
          <w:p w14:paraId="2C65C80D" w14:textId="77777777" w:rsidR="00A720EB" w:rsidRDefault="0030286B">
            <w:pPr>
              <w:pStyle w:val="TableParagraph"/>
              <w:spacing w:before="37"/>
              <w:rPr>
                <w:sz w:val="21"/>
              </w:rPr>
            </w:pPr>
            <w:r>
              <w:rPr>
                <w:color w:val="B02045"/>
                <w:sz w:val="21"/>
              </w:rPr>
              <w:t>Spring Session Bom</w:t>
            </w:r>
          </w:p>
        </w:tc>
        <w:tc>
          <w:tcPr>
            <w:tcW w:w="4988" w:type="dxa"/>
          </w:tcPr>
          <w:p w14:paraId="57B869B2" w14:textId="77777777" w:rsidR="00A720EB" w:rsidRDefault="0030286B">
            <w:pPr>
              <w:pStyle w:val="TableParagraph"/>
              <w:spacing w:before="37"/>
              <w:rPr>
                <w:sz w:val="21"/>
              </w:rPr>
            </w:pPr>
            <w:r>
              <w:rPr>
                <w:color w:val="B02045"/>
                <w:sz w:val="21"/>
              </w:rPr>
              <w:t>spring-session-</w:t>
            </w:r>
            <w:proofErr w:type="gramStart"/>
            <w:r>
              <w:rPr>
                <w:color w:val="B02045"/>
                <w:sz w:val="21"/>
              </w:rPr>
              <w:t>bom.version</w:t>
            </w:r>
            <w:proofErr w:type="gramEnd"/>
          </w:p>
        </w:tc>
      </w:tr>
      <w:tr w:rsidR="00A720EB" w14:paraId="0DB76BC2" w14:textId="77777777">
        <w:trPr>
          <w:trHeight w:val="368"/>
        </w:trPr>
        <w:tc>
          <w:tcPr>
            <w:tcW w:w="4988" w:type="dxa"/>
          </w:tcPr>
          <w:p w14:paraId="354467CB" w14:textId="77777777" w:rsidR="00A720EB" w:rsidRDefault="0030286B">
            <w:pPr>
              <w:pStyle w:val="TableParagraph"/>
              <w:rPr>
                <w:sz w:val="21"/>
              </w:rPr>
            </w:pPr>
            <w:r>
              <w:rPr>
                <w:color w:val="B02045"/>
                <w:sz w:val="21"/>
              </w:rPr>
              <w:t>Spring WS</w:t>
            </w:r>
          </w:p>
        </w:tc>
        <w:tc>
          <w:tcPr>
            <w:tcW w:w="4988" w:type="dxa"/>
          </w:tcPr>
          <w:p w14:paraId="1C4E9504" w14:textId="77777777" w:rsidR="00A720EB" w:rsidRDefault="0030286B">
            <w:pPr>
              <w:pStyle w:val="TableParagraph"/>
              <w:rPr>
                <w:sz w:val="21"/>
              </w:rPr>
            </w:pPr>
            <w:r>
              <w:rPr>
                <w:color w:val="B02045"/>
                <w:sz w:val="21"/>
              </w:rPr>
              <w:t>spring-</w:t>
            </w:r>
            <w:proofErr w:type="gramStart"/>
            <w:r>
              <w:rPr>
                <w:color w:val="B02045"/>
                <w:sz w:val="21"/>
              </w:rPr>
              <w:t>ws.version</w:t>
            </w:r>
            <w:proofErr w:type="gramEnd"/>
          </w:p>
        </w:tc>
      </w:tr>
      <w:tr w:rsidR="00A720EB" w14:paraId="4C293B5E" w14:textId="77777777">
        <w:trPr>
          <w:trHeight w:val="368"/>
        </w:trPr>
        <w:tc>
          <w:tcPr>
            <w:tcW w:w="4988" w:type="dxa"/>
          </w:tcPr>
          <w:p w14:paraId="50ADB8E2" w14:textId="77777777" w:rsidR="00A720EB" w:rsidRDefault="0030286B">
            <w:pPr>
              <w:pStyle w:val="TableParagraph"/>
              <w:rPr>
                <w:sz w:val="21"/>
              </w:rPr>
            </w:pPr>
            <w:r>
              <w:rPr>
                <w:color w:val="B02045"/>
                <w:sz w:val="21"/>
              </w:rPr>
              <w:t>SQLite JDBC</w:t>
            </w:r>
          </w:p>
        </w:tc>
        <w:tc>
          <w:tcPr>
            <w:tcW w:w="4988" w:type="dxa"/>
          </w:tcPr>
          <w:p w14:paraId="339A93EA" w14:textId="77777777" w:rsidR="00A720EB" w:rsidRDefault="0030286B">
            <w:pPr>
              <w:pStyle w:val="TableParagraph"/>
              <w:rPr>
                <w:sz w:val="21"/>
              </w:rPr>
            </w:pPr>
            <w:r>
              <w:rPr>
                <w:color w:val="B02045"/>
                <w:sz w:val="21"/>
              </w:rPr>
              <w:t>sqlite-</w:t>
            </w:r>
            <w:proofErr w:type="gramStart"/>
            <w:r>
              <w:rPr>
                <w:color w:val="B02045"/>
                <w:sz w:val="21"/>
              </w:rPr>
              <w:t>jdbc.version</w:t>
            </w:r>
            <w:proofErr w:type="gramEnd"/>
          </w:p>
        </w:tc>
      </w:tr>
      <w:tr w:rsidR="00A720EB" w14:paraId="5F5A6002" w14:textId="77777777">
        <w:trPr>
          <w:trHeight w:val="368"/>
        </w:trPr>
        <w:tc>
          <w:tcPr>
            <w:tcW w:w="4988" w:type="dxa"/>
          </w:tcPr>
          <w:p w14:paraId="64D76A4D" w14:textId="77777777" w:rsidR="00A720EB" w:rsidRDefault="0030286B">
            <w:pPr>
              <w:pStyle w:val="TableParagraph"/>
              <w:rPr>
                <w:sz w:val="21"/>
              </w:rPr>
            </w:pPr>
            <w:r>
              <w:rPr>
                <w:color w:val="B02045"/>
                <w:sz w:val="21"/>
              </w:rPr>
              <w:t>Sun Mail</w:t>
            </w:r>
          </w:p>
        </w:tc>
        <w:tc>
          <w:tcPr>
            <w:tcW w:w="4988" w:type="dxa"/>
          </w:tcPr>
          <w:p w14:paraId="3715EE0E" w14:textId="77777777" w:rsidR="00A720EB" w:rsidRDefault="0030286B">
            <w:pPr>
              <w:pStyle w:val="TableParagraph"/>
              <w:rPr>
                <w:sz w:val="21"/>
              </w:rPr>
            </w:pPr>
            <w:r>
              <w:rPr>
                <w:color w:val="B02045"/>
                <w:sz w:val="21"/>
              </w:rPr>
              <w:t>sun-</w:t>
            </w:r>
            <w:proofErr w:type="gramStart"/>
            <w:r>
              <w:rPr>
                <w:color w:val="B02045"/>
                <w:sz w:val="21"/>
              </w:rPr>
              <w:t>mail.version</w:t>
            </w:r>
            <w:proofErr w:type="gramEnd"/>
          </w:p>
        </w:tc>
      </w:tr>
      <w:tr w:rsidR="00A720EB" w14:paraId="63C82819" w14:textId="77777777">
        <w:trPr>
          <w:trHeight w:val="368"/>
        </w:trPr>
        <w:tc>
          <w:tcPr>
            <w:tcW w:w="4988" w:type="dxa"/>
          </w:tcPr>
          <w:p w14:paraId="29220D29" w14:textId="77777777" w:rsidR="00A720EB" w:rsidRDefault="0030286B">
            <w:pPr>
              <w:pStyle w:val="TableParagraph"/>
              <w:spacing w:before="37"/>
              <w:rPr>
                <w:sz w:val="21"/>
              </w:rPr>
            </w:pPr>
            <w:r>
              <w:rPr>
                <w:color w:val="B02045"/>
                <w:sz w:val="21"/>
              </w:rPr>
              <w:t>Thymeleaf</w:t>
            </w:r>
          </w:p>
        </w:tc>
        <w:tc>
          <w:tcPr>
            <w:tcW w:w="4988" w:type="dxa"/>
          </w:tcPr>
          <w:p w14:paraId="1A5FAEF8" w14:textId="77777777" w:rsidR="00A720EB" w:rsidRDefault="0030286B">
            <w:pPr>
              <w:pStyle w:val="TableParagraph"/>
              <w:spacing w:before="37"/>
              <w:rPr>
                <w:sz w:val="21"/>
              </w:rPr>
            </w:pPr>
            <w:proofErr w:type="gramStart"/>
            <w:r>
              <w:rPr>
                <w:color w:val="B02045"/>
                <w:sz w:val="21"/>
              </w:rPr>
              <w:t>thymeleaf.version</w:t>
            </w:r>
            <w:proofErr w:type="gramEnd"/>
          </w:p>
        </w:tc>
      </w:tr>
      <w:tr w:rsidR="00A720EB" w14:paraId="19638503" w14:textId="77777777">
        <w:trPr>
          <w:trHeight w:val="368"/>
        </w:trPr>
        <w:tc>
          <w:tcPr>
            <w:tcW w:w="4988" w:type="dxa"/>
          </w:tcPr>
          <w:p w14:paraId="10B73647" w14:textId="77777777" w:rsidR="00A720EB" w:rsidRDefault="0030286B">
            <w:pPr>
              <w:pStyle w:val="TableParagraph"/>
              <w:rPr>
                <w:sz w:val="21"/>
              </w:rPr>
            </w:pPr>
            <w:r>
              <w:rPr>
                <w:color w:val="B02045"/>
                <w:sz w:val="21"/>
              </w:rPr>
              <w:t>Thymeleaf Extras Data Attribute</w:t>
            </w:r>
          </w:p>
        </w:tc>
        <w:tc>
          <w:tcPr>
            <w:tcW w:w="4988" w:type="dxa"/>
          </w:tcPr>
          <w:p w14:paraId="5FAA0A8C" w14:textId="77777777" w:rsidR="00A720EB" w:rsidRDefault="0030286B">
            <w:pPr>
              <w:pStyle w:val="TableParagraph"/>
              <w:rPr>
                <w:sz w:val="21"/>
              </w:rPr>
            </w:pPr>
            <w:r>
              <w:rPr>
                <w:color w:val="B02045"/>
                <w:sz w:val="21"/>
              </w:rPr>
              <w:t>thymeleaf-extras-data-</w:t>
            </w:r>
            <w:proofErr w:type="gramStart"/>
            <w:r>
              <w:rPr>
                <w:color w:val="B02045"/>
                <w:sz w:val="21"/>
              </w:rPr>
              <w:t>attribute.version</w:t>
            </w:r>
            <w:proofErr w:type="gramEnd"/>
          </w:p>
        </w:tc>
      </w:tr>
      <w:tr w:rsidR="00A720EB" w14:paraId="39533BD3" w14:textId="77777777">
        <w:trPr>
          <w:trHeight w:val="368"/>
        </w:trPr>
        <w:tc>
          <w:tcPr>
            <w:tcW w:w="4988" w:type="dxa"/>
          </w:tcPr>
          <w:p w14:paraId="19F28A00" w14:textId="77777777" w:rsidR="00A720EB" w:rsidRDefault="0030286B">
            <w:pPr>
              <w:pStyle w:val="TableParagraph"/>
              <w:rPr>
                <w:sz w:val="21"/>
              </w:rPr>
            </w:pPr>
            <w:r>
              <w:rPr>
                <w:color w:val="B02045"/>
                <w:sz w:val="21"/>
              </w:rPr>
              <w:t>Thymeleaf Extras Java8Time</w:t>
            </w:r>
          </w:p>
        </w:tc>
        <w:tc>
          <w:tcPr>
            <w:tcW w:w="4988" w:type="dxa"/>
          </w:tcPr>
          <w:p w14:paraId="08A4E78A" w14:textId="77777777" w:rsidR="00A720EB" w:rsidRDefault="0030286B">
            <w:pPr>
              <w:pStyle w:val="TableParagraph"/>
              <w:rPr>
                <w:sz w:val="21"/>
              </w:rPr>
            </w:pPr>
            <w:r>
              <w:rPr>
                <w:color w:val="B02045"/>
                <w:sz w:val="21"/>
              </w:rPr>
              <w:t>thymeleaf-extras-java8time.version</w:t>
            </w:r>
          </w:p>
        </w:tc>
      </w:tr>
      <w:tr w:rsidR="00A720EB" w14:paraId="1A756D3B" w14:textId="77777777">
        <w:trPr>
          <w:trHeight w:val="368"/>
        </w:trPr>
        <w:tc>
          <w:tcPr>
            <w:tcW w:w="4988" w:type="dxa"/>
          </w:tcPr>
          <w:p w14:paraId="492AEB50" w14:textId="77777777" w:rsidR="00A720EB" w:rsidRDefault="0030286B">
            <w:pPr>
              <w:pStyle w:val="TableParagraph"/>
              <w:spacing w:before="37"/>
              <w:rPr>
                <w:sz w:val="21"/>
              </w:rPr>
            </w:pPr>
            <w:r>
              <w:rPr>
                <w:color w:val="B02045"/>
                <w:sz w:val="21"/>
              </w:rPr>
              <w:t>Thymeleaf Extras SpringSecurity</w:t>
            </w:r>
          </w:p>
        </w:tc>
        <w:tc>
          <w:tcPr>
            <w:tcW w:w="4988" w:type="dxa"/>
          </w:tcPr>
          <w:p w14:paraId="0E9237DA" w14:textId="77777777" w:rsidR="00A720EB" w:rsidRDefault="0030286B">
            <w:pPr>
              <w:pStyle w:val="TableParagraph"/>
              <w:spacing w:before="37"/>
              <w:rPr>
                <w:sz w:val="21"/>
              </w:rPr>
            </w:pPr>
            <w:r>
              <w:rPr>
                <w:color w:val="B02045"/>
                <w:sz w:val="21"/>
              </w:rPr>
              <w:t>thymeleaf-extras-</w:t>
            </w:r>
            <w:proofErr w:type="gramStart"/>
            <w:r>
              <w:rPr>
                <w:color w:val="B02045"/>
                <w:sz w:val="21"/>
              </w:rPr>
              <w:t>springsecurity.version</w:t>
            </w:r>
            <w:proofErr w:type="gramEnd"/>
          </w:p>
        </w:tc>
      </w:tr>
      <w:tr w:rsidR="00A720EB" w14:paraId="5E1820E1" w14:textId="77777777">
        <w:trPr>
          <w:trHeight w:val="368"/>
        </w:trPr>
        <w:tc>
          <w:tcPr>
            <w:tcW w:w="4988" w:type="dxa"/>
          </w:tcPr>
          <w:p w14:paraId="25EC2B67" w14:textId="77777777" w:rsidR="00A720EB" w:rsidRDefault="0030286B">
            <w:pPr>
              <w:pStyle w:val="TableParagraph"/>
              <w:spacing w:before="37"/>
              <w:rPr>
                <w:sz w:val="21"/>
              </w:rPr>
            </w:pPr>
            <w:r>
              <w:rPr>
                <w:color w:val="B02045"/>
                <w:sz w:val="21"/>
              </w:rPr>
              <w:t>Thymeleaf Layout Dialect</w:t>
            </w:r>
          </w:p>
        </w:tc>
        <w:tc>
          <w:tcPr>
            <w:tcW w:w="4988" w:type="dxa"/>
          </w:tcPr>
          <w:p w14:paraId="7049E662" w14:textId="77777777" w:rsidR="00A720EB" w:rsidRDefault="0030286B">
            <w:pPr>
              <w:pStyle w:val="TableParagraph"/>
              <w:spacing w:before="37"/>
              <w:rPr>
                <w:sz w:val="21"/>
              </w:rPr>
            </w:pPr>
            <w:r>
              <w:rPr>
                <w:color w:val="B02045"/>
                <w:sz w:val="21"/>
              </w:rPr>
              <w:t>thymeleaf-layout-</w:t>
            </w:r>
            <w:proofErr w:type="gramStart"/>
            <w:r>
              <w:rPr>
                <w:color w:val="B02045"/>
                <w:sz w:val="21"/>
              </w:rPr>
              <w:t>dialect.version</w:t>
            </w:r>
            <w:proofErr w:type="gramEnd"/>
          </w:p>
        </w:tc>
      </w:tr>
      <w:tr w:rsidR="00A720EB" w14:paraId="2AEEDC3F" w14:textId="77777777">
        <w:trPr>
          <w:trHeight w:val="368"/>
        </w:trPr>
        <w:tc>
          <w:tcPr>
            <w:tcW w:w="4988" w:type="dxa"/>
          </w:tcPr>
          <w:p w14:paraId="5EB24B80" w14:textId="77777777" w:rsidR="00A720EB" w:rsidRDefault="0030286B">
            <w:pPr>
              <w:pStyle w:val="TableParagraph"/>
              <w:spacing w:before="37"/>
              <w:rPr>
                <w:sz w:val="21"/>
              </w:rPr>
            </w:pPr>
            <w:r>
              <w:rPr>
                <w:color w:val="B02045"/>
                <w:sz w:val="21"/>
              </w:rPr>
              <w:t>Tomcat</w:t>
            </w:r>
          </w:p>
        </w:tc>
        <w:tc>
          <w:tcPr>
            <w:tcW w:w="4988" w:type="dxa"/>
          </w:tcPr>
          <w:p w14:paraId="79075FB0" w14:textId="77777777" w:rsidR="00A720EB" w:rsidRDefault="0030286B">
            <w:pPr>
              <w:pStyle w:val="TableParagraph"/>
              <w:spacing w:before="37"/>
              <w:rPr>
                <w:sz w:val="21"/>
              </w:rPr>
            </w:pPr>
            <w:proofErr w:type="gramStart"/>
            <w:r>
              <w:rPr>
                <w:color w:val="B02045"/>
                <w:sz w:val="21"/>
              </w:rPr>
              <w:t>tomcat.version</w:t>
            </w:r>
            <w:proofErr w:type="gramEnd"/>
          </w:p>
        </w:tc>
      </w:tr>
      <w:tr w:rsidR="00A720EB" w14:paraId="73D16289" w14:textId="77777777">
        <w:trPr>
          <w:trHeight w:val="368"/>
        </w:trPr>
        <w:tc>
          <w:tcPr>
            <w:tcW w:w="4988" w:type="dxa"/>
          </w:tcPr>
          <w:p w14:paraId="288439BA" w14:textId="77777777" w:rsidR="00A720EB" w:rsidRDefault="0030286B">
            <w:pPr>
              <w:pStyle w:val="TableParagraph"/>
              <w:rPr>
                <w:sz w:val="21"/>
              </w:rPr>
            </w:pPr>
            <w:r>
              <w:rPr>
                <w:color w:val="B02045"/>
                <w:sz w:val="21"/>
              </w:rPr>
              <w:t>UnboundID LDAPSDK</w:t>
            </w:r>
          </w:p>
        </w:tc>
        <w:tc>
          <w:tcPr>
            <w:tcW w:w="4988" w:type="dxa"/>
          </w:tcPr>
          <w:p w14:paraId="73A74A11" w14:textId="77777777" w:rsidR="00A720EB" w:rsidRDefault="0030286B">
            <w:pPr>
              <w:pStyle w:val="TableParagraph"/>
              <w:rPr>
                <w:sz w:val="21"/>
              </w:rPr>
            </w:pPr>
            <w:r>
              <w:rPr>
                <w:color w:val="B02045"/>
                <w:sz w:val="21"/>
              </w:rPr>
              <w:t>unboundid-</w:t>
            </w:r>
            <w:proofErr w:type="gramStart"/>
            <w:r>
              <w:rPr>
                <w:color w:val="B02045"/>
                <w:sz w:val="21"/>
              </w:rPr>
              <w:t>ldapsdk.version</w:t>
            </w:r>
            <w:proofErr w:type="gramEnd"/>
          </w:p>
        </w:tc>
      </w:tr>
      <w:tr w:rsidR="00A720EB" w14:paraId="22A2F539" w14:textId="77777777">
        <w:trPr>
          <w:trHeight w:val="368"/>
        </w:trPr>
        <w:tc>
          <w:tcPr>
            <w:tcW w:w="4988" w:type="dxa"/>
          </w:tcPr>
          <w:p w14:paraId="42BE256B" w14:textId="77777777" w:rsidR="00A720EB" w:rsidRDefault="0030286B">
            <w:pPr>
              <w:pStyle w:val="TableParagraph"/>
              <w:rPr>
                <w:sz w:val="21"/>
              </w:rPr>
            </w:pPr>
            <w:r>
              <w:rPr>
                <w:color w:val="B02045"/>
                <w:sz w:val="21"/>
              </w:rPr>
              <w:t>Undertow</w:t>
            </w:r>
          </w:p>
        </w:tc>
        <w:tc>
          <w:tcPr>
            <w:tcW w:w="4988" w:type="dxa"/>
          </w:tcPr>
          <w:p w14:paraId="13AE5942" w14:textId="77777777" w:rsidR="00A720EB" w:rsidRDefault="0030286B">
            <w:pPr>
              <w:pStyle w:val="TableParagraph"/>
              <w:rPr>
                <w:sz w:val="21"/>
              </w:rPr>
            </w:pPr>
            <w:proofErr w:type="gramStart"/>
            <w:r>
              <w:rPr>
                <w:color w:val="B02045"/>
                <w:sz w:val="21"/>
              </w:rPr>
              <w:t>undertow.version</w:t>
            </w:r>
            <w:proofErr w:type="gramEnd"/>
          </w:p>
        </w:tc>
      </w:tr>
      <w:tr w:rsidR="00A720EB" w14:paraId="21932197" w14:textId="77777777">
        <w:trPr>
          <w:trHeight w:val="368"/>
        </w:trPr>
        <w:tc>
          <w:tcPr>
            <w:tcW w:w="4988" w:type="dxa"/>
          </w:tcPr>
          <w:p w14:paraId="60A640AE" w14:textId="77777777" w:rsidR="00A720EB" w:rsidRDefault="0030286B">
            <w:pPr>
              <w:pStyle w:val="TableParagraph"/>
              <w:spacing w:before="37"/>
              <w:rPr>
                <w:sz w:val="21"/>
              </w:rPr>
            </w:pPr>
            <w:r>
              <w:rPr>
                <w:color w:val="B02045"/>
                <w:sz w:val="21"/>
              </w:rPr>
              <w:t>Versions Maven Plugin</w:t>
            </w:r>
          </w:p>
        </w:tc>
        <w:tc>
          <w:tcPr>
            <w:tcW w:w="4988" w:type="dxa"/>
          </w:tcPr>
          <w:p w14:paraId="650C3D28" w14:textId="77777777" w:rsidR="00A720EB" w:rsidRDefault="0030286B">
            <w:pPr>
              <w:pStyle w:val="TableParagraph"/>
              <w:spacing w:before="37"/>
              <w:rPr>
                <w:sz w:val="21"/>
              </w:rPr>
            </w:pPr>
            <w:r>
              <w:rPr>
                <w:color w:val="B02045"/>
                <w:sz w:val="21"/>
              </w:rPr>
              <w:t>versions-maven-</w:t>
            </w:r>
            <w:proofErr w:type="gramStart"/>
            <w:r>
              <w:rPr>
                <w:color w:val="B02045"/>
                <w:sz w:val="21"/>
              </w:rPr>
              <w:t>plugin.version</w:t>
            </w:r>
            <w:proofErr w:type="gramEnd"/>
          </w:p>
        </w:tc>
      </w:tr>
      <w:tr w:rsidR="00A720EB" w14:paraId="769A31A4" w14:textId="77777777">
        <w:trPr>
          <w:trHeight w:val="368"/>
        </w:trPr>
        <w:tc>
          <w:tcPr>
            <w:tcW w:w="4988" w:type="dxa"/>
          </w:tcPr>
          <w:p w14:paraId="247C7393" w14:textId="77777777" w:rsidR="00A720EB" w:rsidRDefault="0030286B">
            <w:pPr>
              <w:pStyle w:val="TableParagraph"/>
              <w:spacing w:before="37"/>
              <w:rPr>
                <w:sz w:val="21"/>
              </w:rPr>
            </w:pPr>
            <w:r>
              <w:rPr>
                <w:color w:val="B02045"/>
                <w:sz w:val="21"/>
              </w:rPr>
              <w:t>WebJars HAL Browser</w:t>
            </w:r>
          </w:p>
        </w:tc>
        <w:tc>
          <w:tcPr>
            <w:tcW w:w="4988" w:type="dxa"/>
          </w:tcPr>
          <w:p w14:paraId="556AA073" w14:textId="77777777" w:rsidR="00A720EB" w:rsidRDefault="0030286B">
            <w:pPr>
              <w:pStyle w:val="TableParagraph"/>
              <w:spacing w:before="37"/>
              <w:rPr>
                <w:sz w:val="21"/>
              </w:rPr>
            </w:pPr>
            <w:r>
              <w:rPr>
                <w:color w:val="B02045"/>
                <w:sz w:val="21"/>
              </w:rPr>
              <w:t>webjars-hal-</w:t>
            </w:r>
            <w:proofErr w:type="gramStart"/>
            <w:r>
              <w:rPr>
                <w:color w:val="B02045"/>
                <w:sz w:val="21"/>
              </w:rPr>
              <w:t>browser.version</w:t>
            </w:r>
            <w:proofErr w:type="gramEnd"/>
          </w:p>
        </w:tc>
      </w:tr>
      <w:tr w:rsidR="00A720EB" w14:paraId="0B83FCD0" w14:textId="77777777">
        <w:trPr>
          <w:trHeight w:val="368"/>
        </w:trPr>
        <w:tc>
          <w:tcPr>
            <w:tcW w:w="4988" w:type="dxa"/>
          </w:tcPr>
          <w:p w14:paraId="146F66ED" w14:textId="77777777" w:rsidR="00A720EB" w:rsidRDefault="0030286B">
            <w:pPr>
              <w:pStyle w:val="TableParagraph"/>
              <w:rPr>
                <w:sz w:val="21"/>
              </w:rPr>
            </w:pPr>
            <w:r>
              <w:rPr>
                <w:color w:val="B02045"/>
                <w:sz w:val="21"/>
              </w:rPr>
              <w:t>WebJars Locator Core</w:t>
            </w:r>
          </w:p>
        </w:tc>
        <w:tc>
          <w:tcPr>
            <w:tcW w:w="4988" w:type="dxa"/>
          </w:tcPr>
          <w:p w14:paraId="10CC5FCD" w14:textId="77777777" w:rsidR="00A720EB" w:rsidRDefault="0030286B">
            <w:pPr>
              <w:pStyle w:val="TableParagraph"/>
              <w:rPr>
                <w:sz w:val="21"/>
              </w:rPr>
            </w:pPr>
            <w:r>
              <w:rPr>
                <w:color w:val="B02045"/>
                <w:sz w:val="21"/>
              </w:rPr>
              <w:t>webjars-locator-</w:t>
            </w:r>
            <w:proofErr w:type="gramStart"/>
            <w:r>
              <w:rPr>
                <w:color w:val="B02045"/>
                <w:sz w:val="21"/>
              </w:rPr>
              <w:t>core.version</w:t>
            </w:r>
            <w:proofErr w:type="gramEnd"/>
          </w:p>
        </w:tc>
      </w:tr>
      <w:tr w:rsidR="00A720EB" w14:paraId="5ADDB3DB" w14:textId="77777777">
        <w:trPr>
          <w:trHeight w:val="368"/>
        </w:trPr>
        <w:tc>
          <w:tcPr>
            <w:tcW w:w="4988" w:type="dxa"/>
          </w:tcPr>
          <w:p w14:paraId="61867A06" w14:textId="77777777" w:rsidR="00A720EB" w:rsidRDefault="0030286B">
            <w:pPr>
              <w:pStyle w:val="TableParagraph"/>
              <w:rPr>
                <w:sz w:val="21"/>
              </w:rPr>
            </w:pPr>
            <w:r>
              <w:rPr>
                <w:color w:val="B02045"/>
                <w:sz w:val="21"/>
              </w:rPr>
              <w:t>WSDL4j</w:t>
            </w:r>
          </w:p>
        </w:tc>
        <w:tc>
          <w:tcPr>
            <w:tcW w:w="4988" w:type="dxa"/>
          </w:tcPr>
          <w:p w14:paraId="7F041670" w14:textId="77777777" w:rsidR="00A720EB" w:rsidRDefault="0030286B">
            <w:pPr>
              <w:pStyle w:val="TableParagraph"/>
              <w:rPr>
                <w:sz w:val="21"/>
              </w:rPr>
            </w:pPr>
            <w:r>
              <w:rPr>
                <w:color w:val="B02045"/>
                <w:sz w:val="21"/>
              </w:rPr>
              <w:t>wsdl4j.version</w:t>
            </w:r>
          </w:p>
        </w:tc>
      </w:tr>
      <w:tr w:rsidR="00A720EB" w14:paraId="265F1471" w14:textId="77777777">
        <w:trPr>
          <w:trHeight w:val="368"/>
        </w:trPr>
        <w:tc>
          <w:tcPr>
            <w:tcW w:w="4988" w:type="dxa"/>
          </w:tcPr>
          <w:p w14:paraId="0649CB6D" w14:textId="77777777" w:rsidR="00A720EB" w:rsidRDefault="0030286B">
            <w:pPr>
              <w:pStyle w:val="TableParagraph"/>
              <w:spacing w:before="37"/>
              <w:rPr>
                <w:sz w:val="21"/>
              </w:rPr>
            </w:pPr>
            <w:r>
              <w:rPr>
                <w:color w:val="B02045"/>
                <w:sz w:val="21"/>
              </w:rPr>
              <w:t>XML Maven Plugin</w:t>
            </w:r>
          </w:p>
        </w:tc>
        <w:tc>
          <w:tcPr>
            <w:tcW w:w="4988" w:type="dxa"/>
          </w:tcPr>
          <w:p w14:paraId="580DD988" w14:textId="77777777" w:rsidR="00A720EB" w:rsidRDefault="0030286B">
            <w:pPr>
              <w:pStyle w:val="TableParagraph"/>
              <w:spacing w:before="37"/>
              <w:rPr>
                <w:sz w:val="21"/>
              </w:rPr>
            </w:pPr>
            <w:r>
              <w:rPr>
                <w:color w:val="B02045"/>
                <w:sz w:val="21"/>
              </w:rPr>
              <w:t>xml-maven-</w:t>
            </w:r>
            <w:proofErr w:type="gramStart"/>
            <w:r>
              <w:rPr>
                <w:color w:val="B02045"/>
                <w:sz w:val="21"/>
              </w:rPr>
              <w:t>plugin.version</w:t>
            </w:r>
            <w:proofErr w:type="gramEnd"/>
          </w:p>
        </w:tc>
      </w:tr>
      <w:tr w:rsidR="00A720EB" w14:paraId="6B58502F" w14:textId="77777777">
        <w:trPr>
          <w:trHeight w:val="368"/>
        </w:trPr>
        <w:tc>
          <w:tcPr>
            <w:tcW w:w="4988" w:type="dxa"/>
          </w:tcPr>
          <w:p w14:paraId="28A00B51" w14:textId="77777777" w:rsidR="00A720EB" w:rsidRDefault="0030286B">
            <w:pPr>
              <w:pStyle w:val="TableParagraph"/>
              <w:spacing w:before="37"/>
              <w:rPr>
                <w:sz w:val="21"/>
              </w:rPr>
            </w:pPr>
            <w:r>
              <w:rPr>
                <w:color w:val="B02045"/>
                <w:sz w:val="21"/>
              </w:rPr>
              <w:t>XmlUnit2</w:t>
            </w:r>
          </w:p>
        </w:tc>
        <w:tc>
          <w:tcPr>
            <w:tcW w:w="4988" w:type="dxa"/>
          </w:tcPr>
          <w:p w14:paraId="1EDEFB38" w14:textId="77777777" w:rsidR="00A720EB" w:rsidRDefault="0030286B">
            <w:pPr>
              <w:pStyle w:val="TableParagraph"/>
              <w:spacing w:before="37"/>
              <w:rPr>
                <w:sz w:val="21"/>
              </w:rPr>
            </w:pPr>
            <w:r>
              <w:rPr>
                <w:color w:val="B02045"/>
                <w:sz w:val="21"/>
              </w:rPr>
              <w:t>xmlunit2.version</w:t>
            </w:r>
          </w:p>
        </w:tc>
      </w:tr>
    </w:tbl>
    <w:p w14:paraId="360907CC" w14:textId="77777777" w:rsidR="0030286B" w:rsidRDefault="0030286B"/>
    <w:sectPr w:rsidR="0030286B">
      <w:pgSz w:w="11910" w:h="16840"/>
      <w:pgMar w:top="700" w:right="840" w:bottom="380" w:left="840" w:header="0" w:footer="32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郭 鹏飞" w:date="2020-10-24T09:47:00Z" w:initials="郭">
    <w:p w14:paraId="38CD292C" w14:textId="56D397E0" w:rsidR="00711A16" w:rsidRDefault="00711A16">
      <w:pPr>
        <w:pStyle w:val="ab"/>
      </w:pPr>
      <w:r>
        <w:rPr>
          <w:rStyle w:val="aa"/>
        </w:rPr>
        <w:annotationRef/>
      </w:r>
      <w:r>
        <w:rPr>
          <w:rFonts w:ascii="宋体" w:eastAsia="宋体" w:hAnsi="宋体" w:cs="宋体" w:hint="eastAsia"/>
          <w:lang w:eastAsia="zh-CN"/>
        </w:rPr>
        <w:t>就是文章的概述和超链接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CD29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E76CF" w16cex:dateUtc="2020-10-24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CD292C" w16cid:durableId="233E76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FE3B4" w14:textId="77777777" w:rsidR="00B40570" w:rsidRDefault="00B40570">
      <w:r>
        <w:separator/>
      </w:r>
    </w:p>
  </w:endnote>
  <w:endnote w:type="continuationSeparator" w:id="0">
    <w:p w14:paraId="524F8F5B" w14:textId="77777777" w:rsidR="00B40570" w:rsidRDefault="00B40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UI Gothic">
    <w:altName w:val="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34E92" w14:textId="77777777" w:rsidR="00711A16" w:rsidRDefault="00711A16">
    <w:pPr>
      <w:pStyle w:val="a3"/>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564EA" w14:textId="77777777" w:rsidR="00711A16" w:rsidRDefault="00711A16">
    <w:pPr>
      <w:pStyle w:val="a3"/>
      <w:spacing w:line="14" w:lineRule="auto"/>
      <w:rPr>
        <w:sz w:val="20"/>
      </w:rPr>
    </w:pPr>
    <w:r>
      <w:pict w14:anchorId="59DFD65D">
        <v:line id="_x0000_s2050" style="position:absolute;z-index:-41797632;mso-position-horizontal-relative:page;mso-position-vertical-relative:page" from="48.25pt,811.9pt" to="547.05pt,811.9pt" strokecolor="#ddd" strokeweight=".25pt">
          <w10:wrap anchorx="page" anchory="page"/>
        </v:line>
      </w:pict>
    </w:r>
    <w:r>
      <w:pict w14:anchorId="7B2FA0CC">
        <v:shapetype id="_x0000_t202" coordsize="21600,21600" o:spt="202" path="m,l,21600r21600,l21600,xe">
          <v:stroke joinstyle="miter"/>
          <v:path gradientshapeok="t" o:connecttype="rect"/>
        </v:shapetype>
        <v:shape id="_x0000_s2049" type="#_x0000_t202" style="position:absolute;margin-left:46.25pt;margin-top:817pt;width:21.1pt;height:14.3pt;z-index:-41797120;mso-position-horizontal-relative:page;mso-position-vertical-relative:page" filled="f" stroked="f">
          <v:textbox inset="0,0,0,0">
            <w:txbxContent>
              <w:p w14:paraId="4CEB92E1"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484</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1BE8F" w14:textId="77777777" w:rsidR="00711A16" w:rsidRDefault="00711A16">
    <w:pPr>
      <w:pStyle w:val="a3"/>
      <w:spacing w:line="14" w:lineRule="auto"/>
      <w:rPr>
        <w:sz w:val="20"/>
      </w:rPr>
    </w:pPr>
    <w:r>
      <w:pict w14:anchorId="6D38AB57">
        <v:line id="_x0000_s2052" style="position:absolute;z-index:-41798656;mso-position-horizontal-relative:page;mso-position-vertical-relative:page" from="48.25pt,811.9pt" to="547.05pt,811.9pt" strokecolor="#ddd" strokeweight=".25pt">
          <w10:wrap anchorx="page" anchory="page"/>
        </v:line>
      </w:pict>
    </w:r>
    <w:r>
      <w:pict w14:anchorId="321224EA">
        <v:shapetype id="_x0000_t202" coordsize="21600,21600" o:spt="202" path="m,l,21600r21600,l21600,xe">
          <v:stroke joinstyle="miter"/>
          <v:path gradientshapeok="t" o:connecttype="rect"/>
        </v:shapetype>
        <v:shape id="_x0000_s2051" type="#_x0000_t202" style="position:absolute;margin-left:527.95pt;margin-top:817pt;width:21.1pt;height:14.3pt;z-index:-41798144;mso-position-horizontal-relative:page;mso-position-vertical-relative:page" filled="f" stroked="f">
          <v:textbox inset="0,0,0,0">
            <w:txbxContent>
              <w:p w14:paraId="4992689C"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483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F49F8" w14:textId="77777777" w:rsidR="00711A16" w:rsidRDefault="00711A16">
    <w:pPr>
      <w:pStyle w:val="a3"/>
      <w:spacing w:line="14" w:lineRule="auto"/>
      <w:rPr>
        <w:sz w:val="20"/>
      </w:rPr>
    </w:pPr>
    <w:r>
      <w:pict w14:anchorId="4370E69B">
        <v:line id="_x0000_s2064" style="position:absolute;z-index:-41804800;mso-position-horizontal-relative:page;mso-position-vertical-relative:page" from="48.25pt,811.9pt" to="547.05pt,811.9pt" strokecolor="#ddd" strokeweight=".25pt">
          <w10:wrap anchorx="page" anchory="page"/>
        </v:line>
      </w:pict>
    </w:r>
    <w:r>
      <w:pict w14:anchorId="5D4BB015">
        <v:shapetype id="_x0000_t202" coordsize="21600,21600" o:spt="202" path="m,l,21600r21600,l21600,xe">
          <v:stroke joinstyle="miter"/>
          <v:path gradientshapeok="t" o:connecttype="rect"/>
        </v:shapetype>
        <v:shape id="_x0000_s2063" type="#_x0000_t202" style="position:absolute;margin-left:46.25pt;margin-top:817pt;width:21.1pt;height:14.3pt;z-index:-41804288;mso-position-horizontal-relative:page;mso-position-vertical-relative:page" filled="f" stroked="f">
          <v:textbox inset="0,0,0,0">
            <w:txbxContent>
              <w:p w14:paraId="0C10B8DB"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100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E5A38" w14:textId="77777777" w:rsidR="00711A16" w:rsidRDefault="00711A16">
    <w:pPr>
      <w:pStyle w:val="a3"/>
      <w:spacing w:line="14" w:lineRule="auto"/>
      <w:rPr>
        <w:sz w:val="20"/>
      </w:rPr>
    </w:pPr>
    <w:r>
      <w:pict w14:anchorId="3BAF056C">
        <v:line id="_x0000_s2066" style="position:absolute;z-index:-41805824;mso-position-horizontal-relative:page;mso-position-vertical-relative:page" from="48.25pt,811.9pt" to="547.05pt,811.9pt" strokecolor="#ddd" strokeweight=".25pt">
          <w10:wrap anchorx="page" anchory="page"/>
        </v:line>
      </w:pict>
    </w:r>
    <w:r>
      <w:pict w14:anchorId="446FDA60">
        <v:shapetype id="_x0000_t202" coordsize="21600,21600" o:spt="202" path="m,l,21600r21600,l21600,xe">
          <v:stroke joinstyle="miter"/>
          <v:path gradientshapeok="t" o:connecttype="rect"/>
        </v:shapetype>
        <v:shape id="_x0000_s2065" type="#_x0000_t202" style="position:absolute;margin-left:527.95pt;margin-top:817pt;width:21.1pt;height:14.3pt;z-index:-41805312;mso-position-horizontal-relative:page;mso-position-vertical-relative:page" filled="f" stroked="f">
          <v:textbox inset="0,0,0,0">
            <w:txbxContent>
              <w:p w14:paraId="28C18627"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101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10573" w14:textId="77777777" w:rsidR="00711A16" w:rsidRDefault="00711A16">
    <w:pPr>
      <w:pStyle w:val="a3"/>
      <w:spacing w:line="14" w:lineRule="auto"/>
      <w:rPr>
        <w:sz w:val="12"/>
      </w:rPr>
    </w:pPr>
    <w:r>
      <w:pict w14:anchorId="12195C0F">
        <v:shapetype id="_x0000_t202" coordsize="21600,21600" o:spt="202" path="m,l,21600r21600,l21600,xe">
          <v:stroke joinstyle="miter"/>
          <v:path gradientshapeok="t" o:connecttype="rect"/>
        </v:shapetype>
        <v:shape id="_x0000_s2062" type="#_x0000_t202" style="position:absolute;margin-left:46.25pt;margin-top:817pt;width:21.1pt;height:14.3pt;z-index:-41803776;mso-position-horizontal-relative:page;mso-position-vertical-relative:page" filled="f" stroked="f">
          <v:textbox inset="0,0,0,0">
            <w:txbxContent>
              <w:p w14:paraId="586D0FFD"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384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6CDCA" w14:textId="77777777" w:rsidR="00711A16" w:rsidRDefault="00711A16">
    <w:pPr>
      <w:pStyle w:val="a3"/>
      <w:spacing w:line="14" w:lineRule="auto"/>
      <w:rPr>
        <w:sz w:val="20"/>
      </w:rPr>
    </w:pPr>
    <w:r>
      <w:pict w14:anchorId="71ED745A">
        <v:line id="_x0000_s2061" style="position:absolute;z-index:-41803264;mso-position-horizontal-relative:page;mso-position-vertical-relative:page" from="48.25pt,811.9pt" to="547.05pt,811.9pt" strokecolor="#ddd" strokeweight=".25pt">
          <w10:wrap anchorx="page" anchory="page"/>
        </v:line>
      </w:pict>
    </w:r>
    <w:r>
      <w:pict w14:anchorId="3D9596C8">
        <v:shapetype id="_x0000_t202" coordsize="21600,21600" o:spt="202" path="m,l,21600r21600,l21600,xe">
          <v:stroke joinstyle="miter"/>
          <v:path gradientshapeok="t" o:connecttype="rect"/>
        </v:shapetype>
        <v:shape id="_x0000_s2060" type="#_x0000_t202" style="position:absolute;margin-left:527.95pt;margin-top:817pt;width:21.1pt;height:14.3pt;z-index:-41802752;mso-position-horizontal-relative:page;mso-position-vertical-relative:page" filled="f" stroked="f">
          <v:textbox inset="0,0,0,0">
            <w:txbxContent>
              <w:p w14:paraId="28F82D26"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383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DE963" w14:textId="77777777" w:rsidR="00711A16" w:rsidRDefault="00711A16">
    <w:pPr>
      <w:pStyle w:val="a3"/>
      <w:spacing w:line="14" w:lineRule="auto"/>
      <w:rPr>
        <w:sz w:val="17"/>
      </w:rPr>
    </w:pPr>
    <w:r>
      <w:pict w14:anchorId="2EC65AB0">
        <v:line id="_x0000_s2059" style="position:absolute;z-index:-41802240;mso-position-horizontal-relative:page;mso-position-vertical-relative:page" from="48.25pt,811.9pt" to="547.05pt,811.9pt" strokecolor="#ddd" strokeweight=".25pt">
          <w10:wrap anchorx="page" anchory="page"/>
        </v:line>
      </w:pict>
    </w:r>
    <w:r>
      <w:pict w14:anchorId="0A91D839">
        <v:shapetype id="_x0000_t202" coordsize="21600,21600" o:spt="202" path="m,l,21600r21600,l21600,xe">
          <v:stroke joinstyle="miter"/>
          <v:path gradientshapeok="t" o:connecttype="rect"/>
        </v:shapetype>
        <v:shape id="_x0000_s2058" type="#_x0000_t202" style="position:absolute;margin-left:46.25pt;margin-top:817pt;width:21.1pt;height:14.3pt;z-index:-41801728;mso-position-horizontal-relative:page;mso-position-vertical-relative:page" filled="f" stroked="f">
          <v:textbox inset="0,0,0,0">
            <w:txbxContent>
              <w:p w14:paraId="23851A12"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430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35DF2" w14:textId="77777777" w:rsidR="00711A16" w:rsidRDefault="00711A16">
    <w:pPr>
      <w:pStyle w:val="a3"/>
      <w:spacing w:line="14" w:lineRule="auto"/>
      <w:rPr>
        <w:sz w:val="20"/>
      </w:rPr>
    </w:pPr>
    <w:r>
      <w:pict w14:anchorId="1820C4B9">
        <v:line id="_x0000_s2057" style="position:absolute;z-index:-41801216;mso-position-horizontal-relative:page;mso-position-vertical-relative:page" from="48.25pt,811.9pt" to="547.05pt,811.9pt" strokecolor="#ddd" strokeweight=".25pt">
          <w10:wrap anchorx="page" anchory="page"/>
        </v:line>
      </w:pict>
    </w:r>
    <w:r>
      <w:pict w14:anchorId="3C27A1A8">
        <v:shapetype id="_x0000_t202" coordsize="21600,21600" o:spt="202" path="m,l,21600r21600,l21600,xe">
          <v:stroke joinstyle="miter"/>
          <v:path gradientshapeok="t" o:connecttype="rect"/>
        </v:shapetype>
        <v:shape id="_x0000_s2056" type="#_x0000_t202" style="position:absolute;margin-left:527.95pt;margin-top:817pt;width:21.1pt;height:14.3pt;z-index:-41800704;mso-position-horizontal-relative:page;mso-position-vertical-relative:page" filled="f" stroked="f">
          <v:textbox inset="0,0,0,0">
            <w:txbxContent>
              <w:p w14:paraId="499BFF2C"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389</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1F4D3" w14:textId="77777777" w:rsidR="00711A16" w:rsidRDefault="00711A16">
    <w:pPr>
      <w:pStyle w:val="a3"/>
      <w:spacing w:line="14" w:lineRule="auto"/>
      <w:rPr>
        <w:sz w:val="20"/>
      </w:rPr>
    </w:pPr>
    <w:r>
      <w:pict w14:anchorId="57718990">
        <v:line id="_x0000_s2054" style="position:absolute;z-index:-41799680;mso-position-horizontal-relative:page;mso-position-vertical-relative:page" from="48.25pt,811.9pt" to="547.05pt,811.9pt" strokecolor="#ddd" strokeweight=".25pt">
          <w10:wrap anchorx="page" anchory="page"/>
        </v:line>
      </w:pict>
    </w:r>
    <w:r>
      <w:pict w14:anchorId="39B749DB">
        <v:shapetype id="_x0000_t202" coordsize="21600,21600" o:spt="202" path="m,l,21600r21600,l21600,xe">
          <v:stroke joinstyle="miter"/>
          <v:path gradientshapeok="t" o:connecttype="rect"/>
        </v:shapetype>
        <v:shape id="_x0000_s2053" type="#_x0000_t202" style="position:absolute;margin-left:46.25pt;margin-top:817pt;width:21.1pt;height:14.3pt;z-index:-41799168;mso-position-horizontal-relative:page;mso-position-vertical-relative:page" filled="f" stroked="f">
          <v:textbox inset="0,0,0,0">
            <w:txbxContent>
              <w:p w14:paraId="526C9433"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482</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FAB8C" w14:textId="77777777" w:rsidR="00711A16" w:rsidRDefault="00711A16">
    <w:pPr>
      <w:pStyle w:val="a3"/>
      <w:spacing w:line="14" w:lineRule="auto"/>
      <w:rPr>
        <w:sz w:val="20"/>
      </w:rPr>
    </w:pPr>
    <w:r>
      <w:pict w14:anchorId="479929A7">
        <v:shapetype id="_x0000_t202" coordsize="21600,21600" o:spt="202" path="m,l,21600r21600,l21600,xe">
          <v:stroke joinstyle="miter"/>
          <v:path gradientshapeok="t" o:connecttype="rect"/>
        </v:shapetype>
        <v:shape id="_x0000_s2055" type="#_x0000_t202" style="position:absolute;margin-left:527.95pt;margin-top:817pt;width:21.1pt;height:14.3pt;z-index:-41800192;mso-position-horizontal-relative:page;mso-position-vertical-relative:page" filled="f" stroked="f">
          <v:textbox inset="0,0,0,0">
            <w:txbxContent>
              <w:p w14:paraId="0C78AC0D" w14:textId="77777777" w:rsidR="00711A16" w:rsidRDefault="00711A16">
                <w:pPr>
                  <w:spacing w:before="41"/>
                  <w:ind w:left="60"/>
                  <w:rPr>
                    <w:sz w:val="18"/>
                  </w:rPr>
                </w:pPr>
                <w:r>
                  <w:fldChar w:fldCharType="begin"/>
                </w:r>
                <w:r>
                  <w:rPr>
                    <w:color w:val="333333"/>
                    <w:sz w:val="18"/>
                  </w:rPr>
                  <w:instrText xml:space="preserve"> PAGE </w:instrText>
                </w:r>
                <w:r>
                  <w:fldChar w:fldCharType="separate"/>
                </w:r>
                <w:r>
                  <w:t>481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7874A" w14:textId="77777777" w:rsidR="00B40570" w:rsidRDefault="00B40570">
      <w:r>
        <w:separator/>
      </w:r>
    </w:p>
  </w:footnote>
  <w:footnote w:type="continuationSeparator" w:id="0">
    <w:p w14:paraId="5FBF6C2B" w14:textId="77777777" w:rsidR="00B40570" w:rsidRDefault="00B405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1510B"/>
    <w:multiLevelType w:val="hybridMultilevel"/>
    <w:tmpl w:val="8CECC0EE"/>
    <w:lvl w:ilvl="0" w:tplc="003A0DDE">
      <w:start w:val="6"/>
      <w:numFmt w:val="decimal"/>
      <w:lvlText w:val="%1"/>
      <w:lvlJc w:val="left"/>
      <w:pPr>
        <w:ind w:left="831" w:hanging="708"/>
      </w:pPr>
      <w:rPr>
        <w:rFonts w:hint="default"/>
        <w:lang w:val="en-US" w:eastAsia="en-US" w:bidi="ar-SA"/>
      </w:rPr>
    </w:lvl>
    <w:lvl w:ilvl="1" w:tplc="7B12D35E">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639250B0">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CAF245D8">
      <w:numFmt w:val="bullet"/>
      <w:lvlText w:val="•"/>
      <w:lvlJc w:val="left"/>
      <w:pPr>
        <w:ind w:left="484" w:hanging="188"/>
      </w:pPr>
      <w:rPr>
        <w:rFonts w:ascii="Cambria" w:eastAsia="Cambria" w:hAnsi="Cambria" w:cs="Cambria" w:hint="default"/>
        <w:color w:val="333333"/>
        <w:w w:val="81"/>
        <w:sz w:val="21"/>
        <w:szCs w:val="21"/>
        <w:lang w:val="en-US" w:eastAsia="en-US" w:bidi="ar-SA"/>
      </w:rPr>
    </w:lvl>
    <w:lvl w:ilvl="4" w:tplc="C2BE75C4">
      <w:numFmt w:val="bullet"/>
      <w:lvlText w:val="•"/>
      <w:lvlJc w:val="left"/>
      <w:pPr>
        <w:ind w:left="2197" w:hanging="188"/>
      </w:pPr>
      <w:rPr>
        <w:rFonts w:hint="default"/>
        <w:lang w:val="en-US" w:eastAsia="en-US" w:bidi="ar-SA"/>
      </w:rPr>
    </w:lvl>
    <w:lvl w:ilvl="5" w:tplc="3E5E115A">
      <w:numFmt w:val="bullet"/>
      <w:lvlText w:val="•"/>
      <w:lvlJc w:val="left"/>
      <w:pPr>
        <w:ind w:left="3535" w:hanging="188"/>
      </w:pPr>
      <w:rPr>
        <w:rFonts w:hint="default"/>
        <w:lang w:val="en-US" w:eastAsia="en-US" w:bidi="ar-SA"/>
      </w:rPr>
    </w:lvl>
    <w:lvl w:ilvl="6" w:tplc="092C483E">
      <w:numFmt w:val="bullet"/>
      <w:lvlText w:val="•"/>
      <w:lvlJc w:val="left"/>
      <w:pPr>
        <w:ind w:left="4873" w:hanging="188"/>
      </w:pPr>
      <w:rPr>
        <w:rFonts w:hint="default"/>
        <w:lang w:val="en-US" w:eastAsia="en-US" w:bidi="ar-SA"/>
      </w:rPr>
    </w:lvl>
    <w:lvl w:ilvl="7" w:tplc="D27EDE72">
      <w:numFmt w:val="bullet"/>
      <w:lvlText w:val="•"/>
      <w:lvlJc w:val="left"/>
      <w:pPr>
        <w:ind w:left="6211" w:hanging="188"/>
      </w:pPr>
      <w:rPr>
        <w:rFonts w:hint="default"/>
        <w:lang w:val="en-US" w:eastAsia="en-US" w:bidi="ar-SA"/>
      </w:rPr>
    </w:lvl>
    <w:lvl w:ilvl="8" w:tplc="3A8677A4">
      <w:numFmt w:val="bullet"/>
      <w:lvlText w:val="•"/>
      <w:lvlJc w:val="left"/>
      <w:pPr>
        <w:ind w:left="7549" w:hanging="188"/>
      </w:pPr>
      <w:rPr>
        <w:rFonts w:hint="default"/>
        <w:lang w:val="en-US" w:eastAsia="en-US" w:bidi="ar-SA"/>
      </w:rPr>
    </w:lvl>
  </w:abstractNum>
  <w:abstractNum w:abstractNumId="1" w15:restartNumberingAfterBreak="0">
    <w:nsid w:val="060A6C74"/>
    <w:multiLevelType w:val="hybridMultilevel"/>
    <w:tmpl w:val="EDF68436"/>
    <w:lvl w:ilvl="0" w:tplc="78F6E278">
      <w:start w:val="10"/>
      <w:numFmt w:val="decimal"/>
      <w:lvlText w:val="%1"/>
      <w:lvlJc w:val="left"/>
      <w:pPr>
        <w:ind w:left="1305" w:hanging="702"/>
      </w:pPr>
      <w:rPr>
        <w:rFonts w:hint="default"/>
        <w:lang w:val="en-US" w:eastAsia="en-US" w:bidi="ar-SA"/>
      </w:rPr>
    </w:lvl>
    <w:lvl w:ilvl="1" w:tplc="B43AB4FA">
      <w:start w:val="2"/>
      <w:numFmt w:val="upperLetter"/>
      <w:lvlText w:val="%1.%2"/>
      <w:lvlJc w:val="left"/>
      <w:pPr>
        <w:ind w:left="1305" w:hanging="702"/>
      </w:pPr>
      <w:rPr>
        <w:rFonts w:hint="default"/>
        <w:lang w:val="en-US" w:eastAsia="en-US" w:bidi="ar-SA"/>
      </w:rPr>
    </w:lvl>
    <w:lvl w:ilvl="2" w:tplc="90B29918">
      <w:start w:val="1"/>
      <w:numFmt w:val="decimal"/>
      <w:lvlText w:val="%1.%2.%3."/>
      <w:lvlJc w:val="left"/>
      <w:pPr>
        <w:ind w:left="1305" w:hanging="702"/>
      </w:pPr>
      <w:rPr>
        <w:rFonts w:ascii="Cambria" w:eastAsia="Cambria" w:hAnsi="Cambria" w:cs="Cambria" w:hint="default"/>
        <w:color w:val="333333"/>
        <w:spacing w:val="-1"/>
        <w:w w:val="106"/>
        <w:sz w:val="21"/>
        <w:szCs w:val="21"/>
        <w:lang w:val="en-US" w:eastAsia="en-US" w:bidi="ar-SA"/>
      </w:rPr>
    </w:lvl>
    <w:lvl w:ilvl="3" w:tplc="B30682BE">
      <w:numFmt w:val="bullet"/>
      <w:lvlText w:val="•"/>
      <w:lvlJc w:val="left"/>
      <w:pPr>
        <w:ind w:left="3977" w:hanging="702"/>
      </w:pPr>
      <w:rPr>
        <w:rFonts w:hint="default"/>
        <w:lang w:val="en-US" w:eastAsia="en-US" w:bidi="ar-SA"/>
      </w:rPr>
    </w:lvl>
    <w:lvl w:ilvl="4" w:tplc="585ACB50">
      <w:numFmt w:val="bullet"/>
      <w:lvlText w:val="•"/>
      <w:lvlJc w:val="left"/>
      <w:pPr>
        <w:ind w:left="4870" w:hanging="702"/>
      </w:pPr>
      <w:rPr>
        <w:rFonts w:hint="default"/>
        <w:lang w:val="en-US" w:eastAsia="en-US" w:bidi="ar-SA"/>
      </w:rPr>
    </w:lvl>
    <w:lvl w:ilvl="5" w:tplc="79425A5C">
      <w:numFmt w:val="bullet"/>
      <w:lvlText w:val="•"/>
      <w:lvlJc w:val="left"/>
      <w:pPr>
        <w:ind w:left="5762" w:hanging="702"/>
      </w:pPr>
      <w:rPr>
        <w:rFonts w:hint="default"/>
        <w:lang w:val="en-US" w:eastAsia="en-US" w:bidi="ar-SA"/>
      </w:rPr>
    </w:lvl>
    <w:lvl w:ilvl="6" w:tplc="E21AAEB0">
      <w:numFmt w:val="bullet"/>
      <w:lvlText w:val="•"/>
      <w:lvlJc w:val="left"/>
      <w:pPr>
        <w:ind w:left="6655" w:hanging="702"/>
      </w:pPr>
      <w:rPr>
        <w:rFonts w:hint="default"/>
        <w:lang w:val="en-US" w:eastAsia="en-US" w:bidi="ar-SA"/>
      </w:rPr>
    </w:lvl>
    <w:lvl w:ilvl="7" w:tplc="1A94276A">
      <w:numFmt w:val="bullet"/>
      <w:lvlText w:val="•"/>
      <w:lvlJc w:val="left"/>
      <w:pPr>
        <w:ind w:left="7547" w:hanging="702"/>
      </w:pPr>
      <w:rPr>
        <w:rFonts w:hint="default"/>
        <w:lang w:val="en-US" w:eastAsia="en-US" w:bidi="ar-SA"/>
      </w:rPr>
    </w:lvl>
    <w:lvl w:ilvl="8" w:tplc="5E44C26E">
      <w:numFmt w:val="bullet"/>
      <w:lvlText w:val="•"/>
      <w:lvlJc w:val="left"/>
      <w:pPr>
        <w:ind w:left="8440" w:hanging="702"/>
      </w:pPr>
      <w:rPr>
        <w:rFonts w:hint="default"/>
        <w:lang w:val="en-US" w:eastAsia="en-US" w:bidi="ar-SA"/>
      </w:rPr>
    </w:lvl>
  </w:abstractNum>
  <w:abstractNum w:abstractNumId="2" w15:restartNumberingAfterBreak="0">
    <w:nsid w:val="07450001"/>
    <w:multiLevelType w:val="hybridMultilevel"/>
    <w:tmpl w:val="CAEE8DC4"/>
    <w:lvl w:ilvl="0" w:tplc="0E624BD6">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CF7656E6">
      <w:numFmt w:val="bullet"/>
      <w:lvlText w:val="•"/>
      <w:lvlJc w:val="left"/>
      <w:pPr>
        <w:ind w:left="1454" w:hanging="188"/>
      </w:pPr>
      <w:rPr>
        <w:rFonts w:hint="default"/>
        <w:lang w:val="en-US" w:eastAsia="en-US" w:bidi="ar-SA"/>
      </w:rPr>
    </w:lvl>
    <w:lvl w:ilvl="2" w:tplc="17709BD0">
      <w:numFmt w:val="bullet"/>
      <w:lvlText w:val="•"/>
      <w:lvlJc w:val="left"/>
      <w:pPr>
        <w:ind w:left="2429" w:hanging="188"/>
      </w:pPr>
      <w:rPr>
        <w:rFonts w:hint="default"/>
        <w:lang w:val="en-US" w:eastAsia="en-US" w:bidi="ar-SA"/>
      </w:rPr>
    </w:lvl>
    <w:lvl w:ilvl="3" w:tplc="F5B00DD8">
      <w:numFmt w:val="bullet"/>
      <w:lvlText w:val="•"/>
      <w:lvlJc w:val="left"/>
      <w:pPr>
        <w:ind w:left="3403" w:hanging="188"/>
      </w:pPr>
      <w:rPr>
        <w:rFonts w:hint="default"/>
        <w:lang w:val="en-US" w:eastAsia="en-US" w:bidi="ar-SA"/>
      </w:rPr>
    </w:lvl>
    <w:lvl w:ilvl="4" w:tplc="88C432B2">
      <w:numFmt w:val="bullet"/>
      <w:lvlText w:val="•"/>
      <w:lvlJc w:val="left"/>
      <w:pPr>
        <w:ind w:left="4378" w:hanging="188"/>
      </w:pPr>
      <w:rPr>
        <w:rFonts w:hint="default"/>
        <w:lang w:val="en-US" w:eastAsia="en-US" w:bidi="ar-SA"/>
      </w:rPr>
    </w:lvl>
    <w:lvl w:ilvl="5" w:tplc="5CF457B8">
      <w:numFmt w:val="bullet"/>
      <w:lvlText w:val="•"/>
      <w:lvlJc w:val="left"/>
      <w:pPr>
        <w:ind w:left="5352" w:hanging="188"/>
      </w:pPr>
      <w:rPr>
        <w:rFonts w:hint="default"/>
        <w:lang w:val="en-US" w:eastAsia="en-US" w:bidi="ar-SA"/>
      </w:rPr>
    </w:lvl>
    <w:lvl w:ilvl="6" w:tplc="83CA4340">
      <w:numFmt w:val="bullet"/>
      <w:lvlText w:val="•"/>
      <w:lvlJc w:val="left"/>
      <w:pPr>
        <w:ind w:left="6327" w:hanging="188"/>
      </w:pPr>
      <w:rPr>
        <w:rFonts w:hint="default"/>
        <w:lang w:val="en-US" w:eastAsia="en-US" w:bidi="ar-SA"/>
      </w:rPr>
    </w:lvl>
    <w:lvl w:ilvl="7" w:tplc="3FE24086">
      <w:numFmt w:val="bullet"/>
      <w:lvlText w:val="•"/>
      <w:lvlJc w:val="left"/>
      <w:pPr>
        <w:ind w:left="7301" w:hanging="188"/>
      </w:pPr>
      <w:rPr>
        <w:rFonts w:hint="default"/>
        <w:lang w:val="en-US" w:eastAsia="en-US" w:bidi="ar-SA"/>
      </w:rPr>
    </w:lvl>
    <w:lvl w:ilvl="8" w:tplc="A240F396">
      <w:numFmt w:val="bullet"/>
      <w:lvlText w:val="•"/>
      <w:lvlJc w:val="left"/>
      <w:pPr>
        <w:ind w:left="8276" w:hanging="188"/>
      </w:pPr>
      <w:rPr>
        <w:rFonts w:hint="default"/>
        <w:lang w:val="en-US" w:eastAsia="en-US" w:bidi="ar-SA"/>
      </w:rPr>
    </w:lvl>
  </w:abstractNum>
  <w:abstractNum w:abstractNumId="3" w15:restartNumberingAfterBreak="0">
    <w:nsid w:val="0C537D97"/>
    <w:multiLevelType w:val="hybridMultilevel"/>
    <w:tmpl w:val="A6BCF116"/>
    <w:lvl w:ilvl="0" w:tplc="98CAEEDC">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2924D106">
      <w:numFmt w:val="bullet"/>
      <w:lvlText w:val="•"/>
      <w:lvlJc w:val="left"/>
      <w:pPr>
        <w:ind w:left="1454" w:hanging="188"/>
      </w:pPr>
      <w:rPr>
        <w:rFonts w:hint="default"/>
        <w:lang w:val="en-US" w:eastAsia="en-US" w:bidi="ar-SA"/>
      </w:rPr>
    </w:lvl>
    <w:lvl w:ilvl="2" w:tplc="643CABBE">
      <w:numFmt w:val="bullet"/>
      <w:lvlText w:val="•"/>
      <w:lvlJc w:val="left"/>
      <w:pPr>
        <w:ind w:left="2429" w:hanging="188"/>
      </w:pPr>
      <w:rPr>
        <w:rFonts w:hint="default"/>
        <w:lang w:val="en-US" w:eastAsia="en-US" w:bidi="ar-SA"/>
      </w:rPr>
    </w:lvl>
    <w:lvl w:ilvl="3" w:tplc="12B62902">
      <w:numFmt w:val="bullet"/>
      <w:lvlText w:val="•"/>
      <w:lvlJc w:val="left"/>
      <w:pPr>
        <w:ind w:left="3403" w:hanging="188"/>
      </w:pPr>
      <w:rPr>
        <w:rFonts w:hint="default"/>
        <w:lang w:val="en-US" w:eastAsia="en-US" w:bidi="ar-SA"/>
      </w:rPr>
    </w:lvl>
    <w:lvl w:ilvl="4" w:tplc="7694AF18">
      <w:numFmt w:val="bullet"/>
      <w:lvlText w:val="•"/>
      <w:lvlJc w:val="left"/>
      <w:pPr>
        <w:ind w:left="4378" w:hanging="188"/>
      </w:pPr>
      <w:rPr>
        <w:rFonts w:hint="default"/>
        <w:lang w:val="en-US" w:eastAsia="en-US" w:bidi="ar-SA"/>
      </w:rPr>
    </w:lvl>
    <w:lvl w:ilvl="5" w:tplc="B6520344">
      <w:numFmt w:val="bullet"/>
      <w:lvlText w:val="•"/>
      <w:lvlJc w:val="left"/>
      <w:pPr>
        <w:ind w:left="5352" w:hanging="188"/>
      </w:pPr>
      <w:rPr>
        <w:rFonts w:hint="default"/>
        <w:lang w:val="en-US" w:eastAsia="en-US" w:bidi="ar-SA"/>
      </w:rPr>
    </w:lvl>
    <w:lvl w:ilvl="6" w:tplc="980A3B04">
      <w:numFmt w:val="bullet"/>
      <w:lvlText w:val="•"/>
      <w:lvlJc w:val="left"/>
      <w:pPr>
        <w:ind w:left="6327" w:hanging="188"/>
      </w:pPr>
      <w:rPr>
        <w:rFonts w:hint="default"/>
        <w:lang w:val="en-US" w:eastAsia="en-US" w:bidi="ar-SA"/>
      </w:rPr>
    </w:lvl>
    <w:lvl w:ilvl="7" w:tplc="937A54C6">
      <w:numFmt w:val="bullet"/>
      <w:lvlText w:val="•"/>
      <w:lvlJc w:val="left"/>
      <w:pPr>
        <w:ind w:left="7301" w:hanging="188"/>
      </w:pPr>
      <w:rPr>
        <w:rFonts w:hint="default"/>
        <w:lang w:val="en-US" w:eastAsia="en-US" w:bidi="ar-SA"/>
      </w:rPr>
    </w:lvl>
    <w:lvl w:ilvl="8" w:tplc="C8E6AE10">
      <w:numFmt w:val="bullet"/>
      <w:lvlText w:val="•"/>
      <w:lvlJc w:val="left"/>
      <w:pPr>
        <w:ind w:left="8276" w:hanging="188"/>
      </w:pPr>
      <w:rPr>
        <w:rFonts w:hint="default"/>
        <w:lang w:val="en-US" w:eastAsia="en-US" w:bidi="ar-SA"/>
      </w:rPr>
    </w:lvl>
  </w:abstractNum>
  <w:abstractNum w:abstractNumId="4" w15:restartNumberingAfterBreak="0">
    <w:nsid w:val="0C6479C5"/>
    <w:multiLevelType w:val="hybridMultilevel"/>
    <w:tmpl w:val="B25C071A"/>
    <w:lvl w:ilvl="0" w:tplc="B55AD820">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D74C036C">
      <w:numFmt w:val="bullet"/>
      <w:lvlText w:val="•"/>
      <w:lvlJc w:val="left"/>
      <w:pPr>
        <w:ind w:left="1454" w:hanging="188"/>
      </w:pPr>
      <w:rPr>
        <w:rFonts w:hint="default"/>
        <w:lang w:val="en-US" w:eastAsia="en-US" w:bidi="ar-SA"/>
      </w:rPr>
    </w:lvl>
    <w:lvl w:ilvl="2" w:tplc="C6D8D1E8">
      <w:numFmt w:val="bullet"/>
      <w:lvlText w:val="•"/>
      <w:lvlJc w:val="left"/>
      <w:pPr>
        <w:ind w:left="2429" w:hanging="188"/>
      </w:pPr>
      <w:rPr>
        <w:rFonts w:hint="default"/>
        <w:lang w:val="en-US" w:eastAsia="en-US" w:bidi="ar-SA"/>
      </w:rPr>
    </w:lvl>
    <w:lvl w:ilvl="3" w:tplc="34ECCC4A">
      <w:numFmt w:val="bullet"/>
      <w:lvlText w:val="•"/>
      <w:lvlJc w:val="left"/>
      <w:pPr>
        <w:ind w:left="3403" w:hanging="188"/>
      </w:pPr>
      <w:rPr>
        <w:rFonts w:hint="default"/>
        <w:lang w:val="en-US" w:eastAsia="en-US" w:bidi="ar-SA"/>
      </w:rPr>
    </w:lvl>
    <w:lvl w:ilvl="4" w:tplc="E2881A8C">
      <w:numFmt w:val="bullet"/>
      <w:lvlText w:val="•"/>
      <w:lvlJc w:val="left"/>
      <w:pPr>
        <w:ind w:left="4378" w:hanging="188"/>
      </w:pPr>
      <w:rPr>
        <w:rFonts w:hint="default"/>
        <w:lang w:val="en-US" w:eastAsia="en-US" w:bidi="ar-SA"/>
      </w:rPr>
    </w:lvl>
    <w:lvl w:ilvl="5" w:tplc="BD0626B2">
      <w:numFmt w:val="bullet"/>
      <w:lvlText w:val="•"/>
      <w:lvlJc w:val="left"/>
      <w:pPr>
        <w:ind w:left="5352" w:hanging="188"/>
      </w:pPr>
      <w:rPr>
        <w:rFonts w:hint="default"/>
        <w:lang w:val="en-US" w:eastAsia="en-US" w:bidi="ar-SA"/>
      </w:rPr>
    </w:lvl>
    <w:lvl w:ilvl="6" w:tplc="C406A61E">
      <w:numFmt w:val="bullet"/>
      <w:lvlText w:val="•"/>
      <w:lvlJc w:val="left"/>
      <w:pPr>
        <w:ind w:left="6327" w:hanging="188"/>
      </w:pPr>
      <w:rPr>
        <w:rFonts w:hint="default"/>
        <w:lang w:val="en-US" w:eastAsia="en-US" w:bidi="ar-SA"/>
      </w:rPr>
    </w:lvl>
    <w:lvl w:ilvl="7" w:tplc="7E006C20">
      <w:numFmt w:val="bullet"/>
      <w:lvlText w:val="•"/>
      <w:lvlJc w:val="left"/>
      <w:pPr>
        <w:ind w:left="7301" w:hanging="188"/>
      </w:pPr>
      <w:rPr>
        <w:rFonts w:hint="default"/>
        <w:lang w:val="en-US" w:eastAsia="en-US" w:bidi="ar-SA"/>
      </w:rPr>
    </w:lvl>
    <w:lvl w:ilvl="8" w:tplc="9F588894">
      <w:numFmt w:val="bullet"/>
      <w:lvlText w:val="•"/>
      <w:lvlJc w:val="left"/>
      <w:pPr>
        <w:ind w:left="8276" w:hanging="188"/>
      </w:pPr>
      <w:rPr>
        <w:rFonts w:hint="default"/>
        <w:lang w:val="en-US" w:eastAsia="en-US" w:bidi="ar-SA"/>
      </w:rPr>
    </w:lvl>
  </w:abstractNum>
  <w:abstractNum w:abstractNumId="5" w15:restartNumberingAfterBreak="0">
    <w:nsid w:val="0D9C3F31"/>
    <w:multiLevelType w:val="hybridMultilevel"/>
    <w:tmpl w:val="D2F0025A"/>
    <w:lvl w:ilvl="0" w:tplc="B2B07F40">
      <w:numFmt w:val="bullet"/>
      <w:lvlText w:val="-"/>
      <w:lvlJc w:val="left"/>
      <w:pPr>
        <w:ind w:left="860" w:hanging="220"/>
      </w:pPr>
      <w:rPr>
        <w:rFonts w:ascii="MS Gothic" w:eastAsia="MS Gothic" w:hAnsi="MS Gothic" w:cs="MS Gothic" w:hint="default"/>
        <w:color w:val="333333"/>
        <w:w w:val="100"/>
        <w:sz w:val="22"/>
        <w:szCs w:val="22"/>
        <w:lang w:val="en-US" w:eastAsia="en-US" w:bidi="ar-SA"/>
      </w:rPr>
    </w:lvl>
    <w:lvl w:ilvl="1" w:tplc="1B726054">
      <w:numFmt w:val="bullet"/>
      <w:lvlText w:val="•"/>
      <w:lvlJc w:val="left"/>
      <w:pPr>
        <w:ind w:left="1767" w:hanging="220"/>
      </w:pPr>
      <w:rPr>
        <w:rFonts w:hint="default"/>
        <w:lang w:val="en-US" w:eastAsia="en-US" w:bidi="ar-SA"/>
      </w:rPr>
    </w:lvl>
    <w:lvl w:ilvl="2" w:tplc="08D89CB6">
      <w:numFmt w:val="bullet"/>
      <w:lvlText w:val="•"/>
      <w:lvlJc w:val="left"/>
      <w:pPr>
        <w:ind w:left="2675" w:hanging="220"/>
      </w:pPr>
      <w:rPr>
        <w:rFonts w:hint="default"/>
        <w:lang w:val="en-US" w:eastAsia="en-US" w:bidi="ar-SA"/>
      </w:rPr>
    </w:lvl>
    <w:lvl w:ilvl="3" w:tplc="7616BF52">
      <w:numFmt w:val="bullet"/>
      <w:lvlText w:val="•"/>
      <w:lvlJc w:val="left"/>
      <w:pPr>
        <w:ind w:left="3583" w:hanging="220"/>
      </w:pPr>
      <w:rPr>
        <w:rFonts w:hint="default"/>
        <w:lang w:val="en-US" w:eastAsia="en-US" w:bidi="ar-SA"/>
      </w:rPr>
    </w:lvl>
    <w:lvl w:ilvl="4" w:tplc="673E5376">
      <w:numFmt w:val="bullet"/>
      <w:lvlText w:val="•"/>
      <w:lvlJc w:val="left"/>
      <w:pPr>
        <w:ind w:left="4491" w:hanging="220"/>
      </w:pPr>
      <w:rPr>
        <w:rFonts w:hint="default"/>
        <w:lang w:val="en-US" w:eastAsia="en-US" w:bidi="ar-SA"/>
      </w:rPr>
    </w:lvl>
    <w:lvl w:ilvl="5" w:tplc="6748B66E">
      <w:numFmt w:val="bullet"/>
      <w:lvlText w:val="•"/>
      <w:lvlJc w:val="left"/>
      <w:pPr>
        <w:ind w:left="5398" w:hanging="220"/>
      </w:pPr>
      <w:rPr>
        <w:rFonts w:hint="default"/>
        <w:lang w:val="en-US" w:eastAsia="en-US" w:bidi="ar-SA"/>
      </w:rPr>
    </w:lvl>
    <w:lvl w:ilvl="6" w:tplc="2F14612E">
      <w:numFmt w:val="bullet"/>
      <w:lvlText w:val="•"/>
      <w:lvlJc w:val="left"/>
      <w:pPr>
        <w:ind w:left="6306" w:hanging="220"/>
      </w:pPr>
      <w:rPr>
        <w:rFonts w:hint="default"/>
        <w:lang w:val="en-US" w:eastAsia="en-US" w:bidi="ar-SA"/>
      </w:rPr>
    </w:lvl>
    <w:lvl w:ilvl="7" w:tplc="A47E0BE8">
      <w:numFmt w:val="bullet"/>
      <w:lvlText w:val="•"/>
      <w:lvlJc w:val="left"/>
      <w:pPr>
        <w:ind w:left="7214" w:hanging="220"/>
      </w:pPr>
      <w:rPr>
        <w:rFonts w:hint="default"/>
        <w:lang w:val="en-US" w:eastAsia="en-US" w:bidi="ar-SA"/>
      </w:rPr>
    </w:lvl>
    <w:lvl w:ilvl="8" w:tplc="FDDED32C">
      <w:numFmt w:val="bullet"/>
      <w:lvlText w:val="•"/>
      <w:lvlJc w:val="left"/>
      <w:pPr>
        <w:ind w:left="8122" w:hanging="220"/>
      </w:pPr>
      <w:rPr>
        <w:rFonts w:hint="default"/>
        <w:lang w:val="en-US" w:eastAsia="en-US" w:bidi="ar-SA"/>
      </w:rPr>
    </w:lvl>
  </w:abstractNum>
  <w:abstractNum w:abstractNumId="6" w15:restartNumberingAfterBreak="0">
    <w:nsid w:val="0ED1188A"/>
    <w:multiLevelType w:val="hybridMultilevel"/>
    <w:tmpl w:val="3DB6CE28"/>
    <w:lvl w:ilvl="0" w:tplc="7688999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089A5F30">
      <w:numFmt w:val="bullet"/>
      <w:lvlText w:val="•"/>
      <w:lvlJc w:val="left"/>
      <w:pPr>
        <w:ind w:left="1454" w:hanging="188"/>
      </w:pPr>
      <w:rPr>
        <w:rFonts w:hint="default"/>
        <w:lang w:val="en-US" w:eastAsia="en-US" w:bidi="ar-SA"/>
      </w:rPr>
    </w:lvl>
    <w:lvl w:ilvl="2" w:tplc="4FA25934">
      <w:numFmt w:val="bullet"/>
      <w:lvlText w:val="•"/>
      <w:lvlJc w:val="left"/>
      <w:pPr>
        <w:ind w:left="2429" w:hanging="188"/>
      </w:pPr>
      <w:rPr>
        <w:rFonts w:hint="default"/>
        <w:lang w:val="en-US" w:eastAsia="en-US" w:bidi="ar-SA"/>
      </w:rPr>
    </w:lvl>
    <w:lvl w:ilvl="3" w:tplc="9D5EC876">
      <w:numFmt w:val="bullet"/>
      <w:lvlText w:val="•"/>
      <w:lvlJc w:val="left"/>
      <w:pPr>
        <w:ind w:left="3403" w:hanging="188"/>
      </w:pPr>
      <w:rPr>
        <w:rFonts w:hint="default"/>
        <w:lang w:val="en-US" w:eastAsia="en-US" w:bidi="ar-SA"/>
      </w:rPr>
    </w:lvl>
    <w:lvl w:ilvl="4" w:tplc="0F9A03B8">
      <w:numFmt w:val="bullet"/>
      <w:lvlText w:val="•"/>
      <w:lvlJc w:val="left"/>
      <w:pPr>
        <w:ind w:left="4378" w:hanging="188"/>
      </w:pPr>
      <w:rPr>
        <w:rFonts w:hint="default"/>
        <w:lang w:val="en-US" w:eastAsia="en-US" w:bidi="ar-SA"/>
      </w:rPr>
    </w:lvl>
    <w:lvl w:ilvl="5" w:tplc="1BD03D20">
      <w:numFmt w:val="bullet"/>
      <w:lvlText w:val="•"/>
      <w:lvlJc w:val="left"/>
      <w:pPr>
        <w:ind w:left="5352" w:hanging="188"/>
      </w:pPr>
      <w:rPr>
        <w:rFonts w:hint="default"/>
        <w:lang w:val="en-US" w:eastAsia="en-US" w:bidi="ar-SA"/>
      </w:rPr>
    </w:lvl>
    <w:lvl w:ilvl="6" w:tplc="702E252A">
      <w:numFmt w:val="bullet"/>
      <w:lvlText w:val="•"/>
      <w:lvlJc w:val="left"/>
      <w:pPr>
        <w:ind w:left="6327" w:hanging="188"/>
      </w:pPr>
      <w:rPr>
        <w:rFonts w:hint="default"/>
        <w:lang w:val="en-US" w:eastAsia="en-US" w:bidi="ar-SA"/>
      </w:rPr>
    </w:lvl>
    <w:lvl w:ilvl="7" w:tplc="2A8246DC">
      <w:numFmt w:val="bullet"/>
      <w:lvlText w:val="•"/>
      <w:lvlJc w:val="left"/>
      <w:pPr>
        <w:ind w:left="7301" w:hanging="188"/>
      </w:pPr>
      <w:rPr>
        <w:rFonts w:hint="default"/>
        <w:lang w:val="en-US" w:eastAsia="en-US" w:bidi="ar-SA"/>
      </w:rPr>
    </w:lvl>
    <w:lvl w:ilvl="8" w:tplc="E926E5F6">
      <w:numFmt w:val="bullet"/>
      <w:lvlText w:val="•"/>
      <w:lvlJc w:val="left"/>
      <w:pPr>
        <w:ind w:left="8276" w:hanging="188"/>
      </w:pPr>
      <w:rPr>
        <w:rFonts w:hint="default"/>
        <w:lang w:val="en-US" w:eastAsia="en-US" w:bidi="ar-SA"/>
      </w:rPr>
    </w:lvl>
  </w:abstractNum>
  <w:abstractNum w:abstractNumId="7" w15:restartNumberingAfterBreak="0">
    <w:nsid w:val="11D83E2E"/>
    <w:multiLevelType w:val="hybridMultilevel"/>
    <w:tmpl w:val="7396E464"/>
    <w:lvl w:ilvl="0" w:tplc="55A886DC">
      <w:numFmt w:val="bullet"/>
      <w:lvlText w:val="*"/>
      <w:lvlJc w:val="left"/>
      <w:pPr>
        <w:ind w:left="530" w:hanging="220"/>
      </w:pPr>
      <w:rPr>
        <w:rFonts w:ascii="MS Gothic" w:eastAsia="MS Gothic" w:hAnsi="MS Gothic" w:cs="MS Gothic" w:hint="default"/>
        <w:color w:val="333333"/>
        <w:w w:val="100"/>
        <w:sz w:val="22"/>
        <w:szCs w:val="22"/>
        <w:lang w:val="en-US" w:eastAsia="en-US" w:bidi="ar-SA"/>
      </w:rPr>
    </w:lvl>
    <w:lvl w:ilvl="1" w:tplc="0F4AF842">
      <w:numFmt w:val="bullet"/>
      <w:lvlText w:val="•"/>
      <w:lvlJc w:val="left"/>
      <w:pPr>
        <w:ind w:left="1479" w:hanging="220"/>
      </w:pPr>
      <w:rPr>
        <w:rFonts w:hint="default"/>
        <w:lang w:val="en-US" w:eastAsia="en-US" w:bidi="ar-SA"/>
      </w:rPr>
    </w:lvl>
    <w:lvl w:ilvl="2" w:tplc="7E121310">
      <w:numFmt w:val="bullet"/>
      <w:lvlText w:val="•"/>
      <w:lvlJc w:val="left"/>
      <w:pPr>
        <w:ind w:left="2419" w:hanging="220"/>
      </w:pPr>
      <w:rPr>
        <w:rFonts w:hint="default"/>
        <w:lang w:val="en-US" w:eastAsia="en-US" w:bidi="ar-SA"/>
      </w:rPr>
    </w:lvl>
    <w:lvl w:ilvl="3" w:tplc="CD804FFE">
      <w:numFmt w:val="bullet"/>
      <w:lvlText w:val="•"/>
      <w:lvlJc w:val="left"/>
      <w:pPr>
        <w:ind w:left="3359" w:hanging="220"/>
      </w:pPr>
      <w:rPr>
        <w:rFonts w:hint="default"/>
        <w:lang w:val="en-US" w:eastAsia="en-US" w:bidi="ar-SA"/>
      </w:rPr>
    </w:lvl>
    <w:lvl w:ilvl="4" w:tplc="4CC814A6">
      <w:numFmt w:val="bullet"/>
      <w:lvlText w:val="•"/>
      <w:lvlJc w:val="left"/>
      <w:pPr>
        <w:ind w:left="4299" w:hanging="220"/>
      </w:pPr>
      <w:rPr>
        <w:rFonts w:hint="default"/>
        <w:lang w:val="en-US" w:eastAsia="en-US" w:bidi="ar-SA"/>
      </w:rPr>
    </w:lvl>
    <w:lvl w:ilvl="5" w:tplc="620CE76C">
      <w:numFmt w:val="bullet"/>
      <w:lvlText w:val="•"/>
      <w:lvlJc w:val="left"/>
      <w:pPr>
        <w:ind w:left="5238" w:hanging="220"/>
      </w:pPr>
      <w:rPr>
        <w:rFonts w:hint="default"/>
        <w:lang w:val="en-US" w:eastAsia="en-US" w:bidi="ar-SA"/>
      </w:rPr>
    </w:lvl>
    <w:lvl w:ilvl="6" w:tplc="C59098D6">
      <w:numFmt w:val="bullet"/>
      <w:lvlText w:val="•"/>
      <w:lvlJc w:val="left"/>
      <w:pPr>
        <w:ind w:left="6178" w:hanging="220"/>
      </w:pPr>
      <w:rPr>
        <w:rFonts w:hint="default"/>
        <w:lang w:val="en-US" w:eastAsia="en-US" w:bidi="ar-SA"/>
      </w:rPr>
    </w:lvl>
    <w:lvl w:ilvl="7" w:tplc="D01C6DCC">
      <w:numFmt w:val="bullet"/>
      <w:lvlText w:val="•"/>
      <w:lvlJc w:val="left"/>
      <w:pPr>
        <w:ind w:left="7118" w:hanging="220"/>
      </w:pPr>
      <w:rPr>
        <w:rFonts w:hint="default"/>
        <w:lang w:val="en-US" w:eastAsia="en-US" w:bidi="ar-SA"/>
      </w:rPr>
    </w:lvl>
    <w:lvl w:ilvl="8" w:tplc="BEA8E4E2">
      <w:numFmt w:val="bullet"/>
      <w:lvlText w:val="•"/>
      <w:lvlJc w:val="left"/>
      <w:pPr>
        <w:ind w:left="8058" w:hanging="220"/>
      </w:pPr>
      <w:rPr>
        <w:rFonts w:hint="default"/>
        <w:lang w:val="en-US" w:eastAsia="en-US" w:bidi="ar-SA"/>
      </w:rPr>
    </w:lvl>
  </w:abstractNum>
  <w:abstractNum w:abstractNumId="8" w15:restartNumberingAfterBreak="0">
    <w:nsid w:val="122721E0"/>
    <w:multiLevelType w:val="hybridMultilevel"/>
    <w:tmpl w:val="751E5A96"/>
    <w:lvl w:ilvl="0" w:tplc="B5029434">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3A60E8EA">
      <w:numFmt w:val="bullet"/>
      <w:lvlText w:val="•"/>
      <w:lvlJc w:val="left"/>
      <w:pPr>
        <w:ind w:left="1454" w:hanging="188"/>
      </w:pPr>
      <w:rPr>
        <w:rFonts w:hint="default"/>
        <w:lang w:val="en-US" w:eastAsia="en-US" w:bidi="ar-SA"/>
      </w:rPr>
    </w:lvl>
    <w:lvl w:ilvl="2" w:tplc="E68C382C">
      <w:numFmt w:val="bullet"/>
      <w:lvlText w:val="•"/>
      <w:lvlJc w:val="left"/>
      <w:pPr>
        <w:ind w:left="2429" w:hanging="188"/>
      </w:pPr>
      <w:rPr>
        <w:rFonts w:hint="default"/>
        <w:lang w:val="en-US" w:eastAsia="en-US" w:bidi="ar-SA"/>
      </w:rPr>
    </w:lvl>
    <w:lvl w:ilvl="3" w:tplc="3CDC22F4">
      <w:numFmt w:val="bullet"/>
      <w:lvlText w:val="•"/>
      <w:lvlJc w:val="left"/>
      <w:pPr>
        <w:ind w:left="3403" w:hanging="188"/>
      </w:pPr>
      <w:rPr>
        <w:rFonts w:hint="default"/>
        <w:lang w:val="en-US" w:eastAsia="en-US" w:bidi="ar-SA"/>
      </w:rPr>
    </w:lvl>
    <w:lvl w:ilvl="4" w:tplc="2D764E40">
      <w:numFmt w:val="bullet"/>
      <w:lvlText w:val="•"/>
      <w:lvlJc w:val="left"/>
      <w:pPr>
        <w:ind w:left="4378" w:hanging="188"/>
      </w:pPr>
      <w:rPr>
        <w:rFonts w:hint="default"/>
        <w:lang w:val="en-US" w:eastAsia="en-US" w:bidi="ar-SA"/>
      </w:rPr>
    </w:lvl>
    <w:lvl w:ilvl="5" w:tplc="62BA1650">
      <w:numFmt w:val="bullet"/>
      <w:lvlText w:val="•"/>
      <w:lvlJc w:val="left"/>
      <w:pPr>
        <w:ind w:left="5352" w:hanging="188"/>
      </w:pPr>
      <w:rPr>
        <w:rFonts w:hint="default"/>
        <w:lang w:val="en-US" w:eastAsia="en-US" w:bidi="ar-SA"/>
      </w:rPr>
    </w:lvl>
    <w:lvl w:ilvl="6" w:tplc="46A22E56">
      <w:numFmt w:val="bullet"/>
      <w:lvlText w:val="•"/>
      <w:lvlJc w:val="left"/>
      <w:pPr>
        <w:ind w:left="6327" w:hanging="188"/>
      </w:pPr>
      <w:rPr>
        <w:rFonts w:hint="default"/>
        <w:lang w:val="en-US" w:eastAsia="en-US" w:bidi="ar-SA"/>
      </w:rPr>
    </w:lvl>
    <w:lvl w:ilvl="7" w:tplc="20CEEA4E">
      <w:numFmt w:val="bullet"/>
      <w:lvlText w:val="•"/>
      <w:lvlJc w:val="left"/>
      <w:pPr>
        <w:ind w:left="7301" w:hanging="188"/>
      </w:pPr>
      <w:rPr>
        <w:rFonts w:hint="default"/>
        <w:lang w:val="en-US" w:eastAsia="en-US" w:bidi="ar-SA"/>
      </w:rPr>
    </w:lvl>
    <w:lvl w:ilvl="8" w:tplc="4532F560">
      <w:numFmt w:val="bullet"/>
      <w:lvlText w:val="•"/>
      <w:lvlJc w:val="left"/>
      <w:pPr>
        <w:ind w:left="8276" w:hanging="188"/>
      </w:pPr>
      <w:rPr>
        <w:rFonts w:hint="default"/>
        <w:lang w:val="en-US" w:eastAsia="en-US" w:bidi="ar-SA"/>
      </w:rPr>
    </w:lvl>
  </w:abstractNum>
  <w:abstractNum w:abstractNumId="9" w15:restartNumberingAfterBreak="0">
    <w:nsid w:val="132E0FED"/>
    <w:multiLevelType w:val="hybridMultilevel"/>
    <w:tmpl w:val="4008D522"/>
    <w:lvl w:ilvl="0" w:tplc="293065B0">
      <w:start w:val="10"/>
      <w:numFmt w:val="decimal"/>
      <w:lvlText w:val="%1"/>
      <w:lvlJc w:val="left"/>
      <w:pPr>
        <w:ind w:left="1030" w:hanging="907"/>
      </w:pPr>
      <w:rPr>
        <w:rFonts w:hint="default"/>
        <w:lang w:val="en-US" w:eastAsia="en-US" w:bidi="ar-SA"/>
      </w:rPr>
    </w:lvl>
    <w:lvl w:ilvl="1" w:tplc="74266B58">
      <w:start w:val="3"/>
      <w:numFmt w:val="upperLetter"/>
      <w:lvlText w:val="%1.%2"/>
      <w:lvlJc w:val="left"/>
      <w:pPr>
        <w:ind w:left="1030" w:hanging="907"/>
      </w:pPr>
      <w:rPr>
        <w:rFonts w:hint="default"/>
        <w:lang w:val="en-US" w:eastAsia="en-US" w:bidi="ar-SA"/>
      </w:rPr>
    </w:lvl>
    <w:lvl w:ilvl="2" w:tplc="AA40D874">
      <w:start w:val="1"/>
      <w:numFmt w:val="decimal"/>
      <w:lvlText w:val="%1.%2.%3."/>
      <w:lvlJc w:val="left"/>
      <w:pPr>
        <w:ind w:left="1030" w:hanging="907"/>
      </w:pPr>
      <w:rPr>
        <w:rFonts w:ascii="Palatino Linotype" w:eastAsia="Palatino Linotype" w:hAnsi="Palatino Linotype" w:cs="Palatino Linotype" w:hint="default"/>
        <w:b/>
        <w:bCs/>
        <w:color w:val="333333"/>
        <w:spacing w:val="-1"/>
        <w:w w:val="108"/>
        <w:sz w:val="26"/>
        <w:szCs w:val="26"/>
        <w:lang w:val="en-US" w:eastAsia="en-US" w:bidi="ar-SA"/>
      </w:rPr>
    </w:lvl>
    <w:lvl w:ilvl="3" w:tplc="64DCB76C">
      <w:numFmt w:val="bullet"/>
      <w:lvlText w:val="•"/>
      <w:lvlJc w:val="left"/>
      <w:pPr>
        <w:ind w:left="3795" w:hanging="907"/>
      </w:pPr>
      <w:rPr>
        <w:rFonts w:hint="default"/>
        <w:lang w:val="en-US" w:eastAsia="en-US" w:bidi="ar-SA"/>
      </w:rPr>
    </w:lvl>
    <w:lvl w:ilvl="4" w:tplc="4C3E56BA">
      <w:numFmt w:val="bullet"/>
      <w:lvlText w:val="•"/>
      <w:lvlJc w:val="left"/>
      <w:pPr>
        <w:ind w:left="4714" w:hanging="907"/>
      </w:pPr>
      <w:rPr>
        <w:rFonts w:hint="default"/>
        <w:lang w:val="en-US" w:eastAsia="en-US" w:bidi="ar-SA"/>
      </w:rPr>
    </w:lvl>
    <w:lvl w:ilvl="5" w:tplc="B24C7DC8">
      <w:numFmt w:val="bullet"/>
      <w:lvlText w:val="•"/>
      <w:lvlJc w:val="left"/>
      <w:pPr>
        <w:ind w:left="5632" w:hanging="907"/>
      </w:pPr>
      <w:rPr>
        <w:rFonts w:hint="default"/>
        <w:lang w:val="en-US" w:eastAsia="en-US" w:bidi="ar-SA"/>
      </w:rPr>
    </w:lvl>
    <w:lvl w:ilvl="6" w:tplc="F1FCFA7A">
      <w:numFmt w:val="bullet"/>
      <w:lvlText w:val="•"/>
      <w:lvlJc w:val="left"/>
      <w:pPr>
        <w:ind w:left="6551" w:hanging="907"/>
      </w:pPr>
      <w:rPr>
        <w:rFonts w:hint="default"/>
        <w:lang w:val="en-US" w:eastAsia="en-US" w:bidi="ar-SA"/>
      </w:rPr>
    </w:lvl>
    <w:lvl w:ilvl="7" w:tplc="B8ECEADA">
      <w:numFmt w:val="bullet"/>
      <w:lvlText w:val="•"/>
      <w:lvlJc w:val="left"/>
      <w:pPr>
        <w:ind w:left="7469" w:hanging="907"/>
      </w:pPr>
      <w:rPr>
        <w:rFonts w:hint="default"/>
        <w:lang w:val="en-US" w:eastAsia="en-US" w:bidi="ar-SA"/>
      </w:rPr>
    </w:lvl>
    <w:lvl w:ilvl="8" w:tplc="4A4833E8">
      <w:numFmt w:val="bullet"/>
      <w:lvlText w:val="•"/>
      <w:lvlJc w:val="left"/>
      <w:pPr>
        <w:ind w:left="8388" w:hanging="907"/>
      </w:pPr>
      <w:rPr>
        <w:rFonts w:hint="default"/>
        <w:lang w:val="en-US" w:eastAsia="en-US" w:bidi="ar-SA"/>
      </w:rPr>
    </w:lvl>
  </w:abstractNum>
  <w:abstractNum w:abstractNumId="10" w15:restartNumberingAfterBreak="0">
    <w:nsid w:val="13F438B4"/>
    <w:multiLevelType w:val="hybridMultilevel"/>
    <w:tmpl w:val="4384A5E2"/>
    <w:lvl w:ilvl="0" w:tplc="434E55DA">
      <w:start w:val="9"/>
      <w:numFmt w:val="decimal"/>
      <w:lvlText w:val="%1"/>
      <w:lvlJc w:val="left"/>
      <w:pPr>
        <w:ind w:left="831" w:hanging="708"/>
      </w:pPr>
      <w:rPr>
        <w:rFonts w:hint="default"/>
        <w:lang w:val="en-US" w:eastAsia="en-US" w:bidi="ar-SA"/>
      </w:rPr>
    </w:lvl>
    <w:lvl w:ilvl="1" w:tplc="0F28B304">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545A70EE">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C686C064">
      <w:numFmt w:val="bullet"/>
      <w:lvlText w:val="•"/>
      <w:lvlJc w:val="left"/>
      <w:pPr>
        <w:ind w:left="484" w:hanging="188"/>
      </w:pPr>
      <w:rPr>
        <w:rFonts w:ascii="Cambria" w:eastAsia="Cambria" w:hAnsi="Cambria" w:cs="Cambria" w:hint="default"/>
        <w:color w:val="333333"/>
        <w:w w:val="81"/>
        <w:sz w:val="21"/>
        <w:szCs w:val="21"/>
        <w:lang w:val="en-US" w:eastAsia="en-US" w:bidi="ar-SA"/>
      </w:rPr>
    </w:lvl>
    <w:lvl w:ilvl="4" w:tplc="515EFE52">
      <w:numFmt w:val="bullet"/>
      <w:lvlText w:val="•"/>
      <w:lvlJc w:val="left"/>
      <w:pPr>
        <w:ind w:left="2317" w:hanging="188"/>
      </w:pPr>
      <w:rPr>
        <w:rFonts w:hint="default"/>
        <w:lang w:val="en-US" w:eastAsia="en-US" w:bidi="ar-SA"/>
      </w:rPr>
    </w:lvl>
    <w:lvl w:ilvl="5" w:tplc="439E9B28">
      <w:numFmt w:val="bullet"/>
      <w:lvlText w:val="•"/>
      <w:lvlJc w:val="left"/>
      <w:pPr>
        <w:ind w:left="3635" w:hanging="188"/>
      </w:pPr>
      <w:rPr>
        <w:rFonts w:hint="default"/>
        <w:lang w:val="en-US" w:eastAsia="en-US" w:bidi="ar-SA"/>
      </w:rPr>
    </w:lvl>
    <w:lvl w:ilvl="6" w:tplc="B34E3C2C">
      <w:numFmt w:val="bullet"/>
      <w:lvlText w:val="•"/>
      <w:lvlJc w:val="left"/>
      <w:pPr>
        <w:ind w:left="4953" w:hanging="188"/>
      </w:pPr>
      <w:rPr>
        <w:rFonts w:hint="default"/>
        <w:lang w:val="en-US" w:eastAsia="en-US" w:bidi="ar-SA"/>
      </w:rPr>
    </w:lvl>
    <w:lvl w:ilvl="7" w:tplc="E27097B4">
      <w:numFmt w:val="bullet"/>
      <w:lvlText w:val="•"/>
      <w:lvlJc w:val="left"/>
      <w:pPr>
        <w:ind w:left="6271" w:hanging="188"/>
      </w:pPr>
      <w:rPr>
        <w:rFonts w:hint="default"/>
        <w:lang w:val="en-US" w:eastAsia="en-US" w:bidi="ar-SA"/>
      </w:rPr>
    </w:lvl>
    <w:lvl w:ilvl="8" w:tplc="65CCB3EA">
      <w:numFmt w:val="bullet"/>
      <w:lvlText w:val="•"/>
      <w:lvlJc w:val="left"/>
      <w:pPr>
        <w:ind w:left="7589" w:hanging="188"/>
      </w:pPr>
      <w:rPr>
        <w:rFonts w:hint="default"/>
        <w:lang w:val="en-US" w:eastAsia="en-US" w:bidi="ar-SA"/>
      </w:rPr>
    </w:lvl>
  </w:abstractNum>
  <w:abstractNum w:abstractNumId="11" w15:restartNumberingAfterBreak="0">
    <w:nsid w:val="142B582B"/>
    <w:multiLevelType w:val="hybridMultilevel"/>
    <w:tmpl w:val="716A78F8"/>
    <w:lvl w:ilvl="0" w:tplc="61FC65AC">
      <w:start w:val="10"/>
      <w:numFmt w:val="decimal"/>
      <w:lvlText w:val="%1"/>
      <w:lvlJc w:val="left"/>
      <w:pPr>
        <w:ind w:left="1031" w:hanging="908"/>
      </w:pPr>
      <w:rPr>
        <w:rFonts w:hint="default"/>
        <w:lang w:val="en-US" w:eastAsia="en-US" w:bidi="ar-SA"/>
      </w:rPr>
    </w:lvl>
    <w:lvl w:ilvl="1" w:tplc="0BC00C66">
      <w:start w:val="2"/>
      <w:numFmt w:val="upperLetter"/>
      <w:lvlText w:val="%1.%2"/>
      <w:lvlJc w:val="left"/>
      <w:pPr>
        <w:ind w:left="1031" w:hanging="908"/>
      </w:pPr>
      <w:rPr>
        <w:rFonts w:hint="default"/>
        <w:lang w:val="en-US" w:eastAsia="en-US" w:bidi="ar-SA"/>
      </w:rPr>
    </w:lvl>
    <w:lvl w:ilvl="2" w:tplc="21DA1300">
      <w:start w:val="1"/>
      <w:numFmt w:val="decimal"/>
      <w:lvlText w:val="%1.%2.%3."/>
      <w:lvlJc w:val="left"/>
      <w:pPr>
        <w:ind w:left="1031" w:hanging="908"/>
      </w:pPr>
      <w:rPr>
        <w:rFonts w:ascii="Palatino Linotype" w:eastAsia="Palatino Linotype" w:hAnsi="Palatino Linotype" w:cs="Palatino Linotype" w:hint="default"/>
        <w:b/>
        <w:bCs/>
        <w:color w:val="333333"/>
        <w:spacing w:val="-1"/>
        <w:w w:val="111"/>
        <w:sz w:val="26"/>
        <w:szCs w:val="26"/>
        <w:lang w:val="en-US" w:eastAsia="en-US" w:bidi="ar-SA"/>
      </w:rPr>
    </w:lvl>
    <w:lvl w:ilvl="3" w:tplc="5838C990">
      <w:numFmt w:val="bullet"/>
      <w:lvlText w:val="•"/>
      <w:lvlJc w:val="left"/>
      <w:pPr>
        <w:ind w:left="484" w:hanging="188"/>
      </w:pPr>
      <w:rPr>
        <w:rFonts w:ascii="Cambria" w:eastAsia="Cambria" w:hAnsi="Cambria" w:cs="Cambria" w:hint="default"/>
        <w:color w:val="333333"/>
        <w:w w:val="81"/>
        <w:sz w:val="21"/>
        <w:szCs w:val="21"/>
        <w:lang w:val="en-US" w:eastAsia="en-US" w:bidi="ar-SA"/>
      </w:rPr>
    </w:lvl>
    <w:lvl w:ilvl="4" w:tplc="3A264B98">
      <w:numFmt w:val="bullet"/>
      <w:lvlText w:val="•"/>
      <w:lvlJc w:val="left"/>
      <w:pPr>
        <w:ind w:left="4101" w:hanging="188"/>
      </w:pPr>
      <w:rPr>
        <w:rFonts w:hint="default"/>
        <w:lang w:val="en-US" w:eastAsia="en-US" w:bidi="ar-SA"/>
      </w:rPr>
    </w:lvl>
    <w:lvl w:ilvl="5" w:tplc="6A84D1E0">
      <w:numFmt w:val="bullet"/>
      <w:lvlText w:val="•"/>
      <w:lvlJc w:val="left"/>
      <w:pPr>
        <w:ind w:left="5122" w:hanging="188"/>
      </w:pPr>
      <w:rPr>
        <w:rFonts w:hint="default"/>
        <w:lang w:val="en-US" w:eastAsia="en-US" w:bidi="ar-SA"/>
      </w:rPr>
    </w:lvl>
    <w:lvl w:ilvl="6" w:tplc="07DCE9F8">
      <w:numFmt w:val="bullet"/>
      <w:lvlText w:val="•"/>
      <w:lvlJc w:val="left"/>
      <w:pPr>
        <w:ind w:left="6143" w:hanging="188"/>
      </w:pPr>
      <w:rPr>
        <w:rFonts w:hint="default"/>
        <w:lang w:val="en-US" w:eastAsia="en-US" w:bidi="ar-SA"/>
      </w:rPr>
    </w:lvl>
    <w:lvl w:ilvl="7" w:tplc="92402A22">
      <w:numFmt w:val="bullet"/>
      <w:lvlText w:val="•"/>
      <w:lvlJc w:val="left"/>
      <w:pPr>
        <w:ind w:left="7163" w:hanging="188"/>
      </w:pPr>
      <w:rPr>
        <w:rFonts w:hint="default"/>
        <w:lang w:val="en-US" w:eastAsia="en-US" w:bidi="ar-SA"/>
      </w:rPr>
    </w:lvl>
    <w:lvl w:ilvl="8" w:tplc="B92A2D50">
      <w:numFmt w:val="bullet"/>
      <w:lvlText w:val="•"/>
      <w:lvlJc w:val="left"/>
      <w:pPr>
        <w:ind w:left="8184" w:hanging="188"/>
      </w:pPr>
      <w:rPr>
        <w:rFonts w:hint="default"/>
        <w:lang w:val="en-US" w:eastAsia="en-US" w:bidi="ar-SA"/>
      </w:rPr>
    </w:lvl>
  </w:abstractNum>
  <w:abstractNum w:abstractNumId="12" w15:restartNumberingAfterBreak="0">
    <w:nsid w:val="18826401"/>
    <w:multiLevelType w:val="hybridMultilevel"/>
    <w:tmpl w:val="72443238"/>
    <w:lvl w:ilvl="0" w:tplc="017432FC">
      <w:start w:val="1"/>
      <w:numFmt w:val="decimal"/>
      <w:lvlText w:val="%1."/>
      <w:lvlJc w:val="left"/>
      <w:pPr>
        <w:ind w:left="484" w:hanging="272"/>
      </w:pPr>
      <w:rPr>
        <w:rFonts w:ascii="Cambria" w:eastAsia="Cambria" w:hAnsi="Cambria" w:cs="Cambria" w:hint="default"/>
        <w:color w:val="333333"/>
        <w:spacing w:val="-11"/>
        <w:w w:val="106"/>
        <w:sz w:val="21"/>
        <w:szCs w:val="21"/>
        <w:lang w:val="en-US" w:eastAsia="en-US" w:bidi="ar-SA"/>
      </w:rPr>
    </w:lvl>
    <w:lvl w:ilvl="1" w:tplc="4DF40280">
      <w:numFmt w:val="bullet"/>
      <w:lvlText w:val="•"/>
      <w:lvlJc w:val="left"/>
      <w:pPr>
        <w:ind w:left="1454" w:hanging="272"/>
      </w:pPr>
      <w:rPr>
        <w:rFonts w:hint="default"/>
        <w:lang w:val="en-US" w:eastAsia="en-US" w:bidi="ar-SA"/>
      </w:rPr>
    </w:lvl>
    <w:lvl w:ilvl="2" w:tplc="330A567A">
      <w:numFmt w:val="bullet"/>
      <w:lvlText w:val="•"/>
      <w:lvlJc w:val="left"/>
      <w:pPr>
        <w:ind w:left="2429" w:hanging="272"/>
      </w:pPr>
      <w:rPr>
        <w:rFonts w:hint="default"/>
        <w:lang w:val="en-US" w:eastAsia="en-US" w:bidi="ar-SA"/>
      </w:rPr>
    </w:lvl>
    <w:lvl w:ilvl="3" w:tplc="0A7A5E8C">
      <w:numFmt w:val="bullet"/>
      <w:lvlText w:val="•"/>
      <w:lvlJc w:val="left"/>
      <w:pPr>
        <w:ind w:left="3403" w:hanging="272"/>
      </w:pPr>
      <w:rPr>
        <w:rFonts w:hint="default"/>
        <w:lang w:val="en-US" w:eastAsia="en-US" w:bidi="ar-SA"/>
      </w:rPr>
    </w:lvl>
    <w:lvl w:ilvl="4" w:tplc="80DAA8B2">
      <w:numFmt w:val="bullet"/>
      <w:lvlText w:val="•"/>
      <w:lvlJc w:val="left"/>
      <w:pPr>
        <w:ind w:left="4378" w:hanging="272"/>
      </w:pPr>
      <w:rPr>
        <w:rFonts w:hint="default"/>
        <w:lang w:val="en-US" w:eastAsia="en-US" w:bidi="ar-SA"/>
      </w:rPr>
    </w:lvl>
    <w:lvl w:ilvl="5" w:tplc="21FC268E">
      <w:numFmt w:val="bullet"/>
      <w:lvlText w:val="•"/>
      <w:lvlJc w:val="left"/>
      <w:pPr>
        <w:ind w:left="5352" w:hanging="272"/>
      </w:pPr>
      <w:rPr>
        <w:rFonts w:hint="default"/>
        <w:lang w:val="en-US" w:eastAsia="en-US" w:bidi="ar-SA"/>
      </w:rPr>
    </w:lvl>
    <w:lvl w:ilvl="6" w:tplc="6E3A22CC">
      <w:numFmt w:val="bullet"/>
      <w:lvlText w:val="•"/>
      <w:lvlJc w:val="left"/>
      <w:pPr>
        <w:ind w:left="6327" w:hanging="272"/>
      </w:pPr>
      <w:rPr>
        <w:rFonts w:hint="default"/>
        <w:lang w:val="en-US" w:eastAsia="en-US" w:bidi="ar-SA"/>
      </w:rPr>
    </w:lvl>
    <w:lvl w:ilvl="7" w:tplc="4288B34C">
      <w:numFmt w:val="bullet"/>
      <w:lvlText w:val="•"/>
      <w:lvlJc w:val="left"/>
      <w:pPr>
        <w:ind w:left="7301" w:hanging="272"/>
      </w:pPr>
      <w:rPr>
        <w:rFonts w:hint="default"/>
        <w:lang w:val="en-US" w:eastAsia="en-US" w:bidi="ar-SA"/>
      </w:rPr>
    </w:lvl>
    <w:lvl w:ilvl="8" w:tplc="F9B4F582">
      <w:numFmt w:val="bullet"/>
      <w:lvlText w:val="•"/>
      <w:lvlJc w:val="left"/>
      <w:pPr>
        <w:ind w:left="8276" w:hanging="272"/>
      </w:pPr>
      <w:rPr>
        <w:rFonts w:hint="default"/>
        <w:lang w:val="en-US" w:eastAsia="en-US" w:bidi="ar-SA"/>
      </w:rPr>
    </w:lvl>
  </w:abstractNum>
  <w:abstractNum w:abstractNumId="13" w15:restartNumberingAfterBreak="0">
    <w:nsid w:val="19E759E4"/>
    <w:multiLevelType w:val="hybridMultilevel"/>
    <w:tmpl w:val="809C5564"/>
    <w:lvl w:ilvl="0" w:tplc="6EF40F54">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507C1D44">
      <w:numFmt w:val="bullet"/>
      <w:lvlText w:val="•"/>
      <w:lvlJc w:val="left"/>
      <w:pPr>
        <w:ind w:left="1454" w:hanging="188"/>
      </w:pPr>
      <w:rPr>
        <w:rFonts w:hint="default"/>
        <w:lang w:val="en-US" w:eastAsia="en-US" w:bidi="ar-SA"/>
      </w:rPr>
    </w:lvl>
    <w:lvl w:ilvl="2" w:tplc="38CEA642">
      <w:numFmt w:val="bullet"/>
      <w:lvlText w:val="•"/>
      <w:lvlJc w:val="left"/>
      <w:pPr>
        <w:ind w:left="2429" w:hanging="188"/>
      </w:pPr>
      <w:rPr>
        <w:rFonts w:hint="default"/>
        <w:lang w:val="en-US" w:eastAsia="en-US" w:bidi="ar-SA"/>
      </w:rPr>
    </w:lvl>
    <w:lvl w:ilvl="3" w:tplc="E4960F64">
      <w:numFmt w:val="bullet"/>
      <w:lvlText w:val="•"/>
      <w:lvlJc w:val="left"/>
      <w:pPr>
        <w:ind w:left="3403" w:hanging="188"/>
      </w:pPr>
      <w:rPr>
        <w:rFonts w:hint="default"/>
        <w:lang w:val="en-US" w:eastAsia="en-US" w:bidi="ar-SA"/>
      </w:rPr>
    </w:lvl>
    <w:lvl w:ilvl="4" w:tplc="F6384FB8">
      <w:numFmt w:val="bullet"/>
      <w:lvlText w:val="•"/>
      <w:lvlJc w:val="left"/>
      <w:pPr>
        <w:ind w:left="4378" w:hanging="188"/>
      </w:pPr>
      <w:rPr>
        <w:rFonts w:hint="default"/>
        <w:lang w:val="en-US" w:eastAsia="en-US" w:bidi="ar-SA"/>
      </w:rPr>
    </w:lvl>
    <w:lvl w:ilvl="5" w:tplc="AC6C5890">
      <w:numFmt w:val="bullet"/>
      <w:lvlText w:val="•"/>
      <w:lvlJc w:val="left"/>
      <w:pPr>
        <w:ind w:left="5352" w:hanging="188"/>
      </w:pPr>
      <w:rPr>
        <w:rFonts w:hint="default"/>
        <w:lang w:val="en-US" w:eastAsia="en-US" w:bidi="ar-SA"/>
      </w:rPr>
    </w:lvl>
    <w:lvl w:ilvl="6" w:tplc="1916DA1A">
      <w:numFmt w:val="bullet"/>
      <w:lvlText w:val="•"/>
      <w:lvlJc w:val="left"/>
      <w:pPr>
        <w:ind w:left="6327" w:hanging="188"/>
      </w:pPr>
      <w:rPr>
        <w:rFonts w:hint="default"/>
        <w:lang w:val="en-US" w:eastAsia="en-US" w:bidi="ar-SA"/>
      </w:rPr>
    </w:lvl>
    <w:lvl w:ilvl="7" w:tplc="CD26C138">
      <w:numFmt w:val="bullet"/>
      <w:lvlText w:val="•"/>
      <w:lvlJc w:val="left"/>
      <w:pPr>
        <w:ind w:left="7301" w:hanging="188"/>
      </w:pPr>
      <w:rPr>
        <w:rFonts w:hint="default"/>
        <w:lang w:val="en-US" w:eastAsia="en-US" w:bidi="ar-SA"/>
      </w:rPr>
    </w:lvl>
    <w:lvl w:ilvl="8" w:tplc="187EEB72">
      <w:numFmt w:val="bullet"/>
      <w:lvlText w:val="•"/>
      <w:lvlJc w:val="left"/>
      <w:pPr>
        <w:ind w:left="8276" w:hanging="188"/>
      </w:pPr>
      <w:rPr>
        <w:rFonts w:hint="default"/>
        <w:lang w:val="en-US" w:eastAsia="en-US" w:bidi="ar-SA"/>
      </w:rPr>
    </w:lvl>
  </w:abstractNum>
  <w:abstractNum w:abstractNumId="14" w15:restartNumberingAfterBreak="0">
    <w:nsid w:val="1D4C2DC5"/>
    <w:multiLevelType w:val="hybridMultilevel"/>
    <w:tmpl w:val="4D8A3EBE"/>
    <w:lvl w:ilvl="0" w:tplc="6FC45368">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2D020C94">
      <w:numFmt w:val="bullet"/>
      <w:lvlText w:val="•"/>
      <w:lvlJc w:val="left"/>
      <w:pPr>
        <w:ind w:left="1454" w:hanging="188"/>
      </w:pPr>
      <w:rPr>
        <w:rFonts w:hint="default"/>
        <w:lang w:val="en-US" w:eastAsia="en-US" w:bidi="ar-SA"/>
      </w:rPr>
    </w:lvl>
    <w:lvl w:ilvl="2" w:tplc="F8522846">
      <w:numFmt w:val="bullet"/>
      <w:lvlText w:val="•"/>
      <w:lvlJc w:val="left"/>
      <w:pPr>
        <w:ind w:left="2429" w:hanging="188"/>
      </w:pPr>
      <w:rPr>
        <w:rFonts w:hint="default"/>
        <w:lang w:val="en-US" w:eastAsia="en-US" w:bidi="ar-SA"/>
      </w:rPr>
    </w:lvl>
    <w:lvl w:ilvl="3" w:tplc="710E98C2">
      <w:numFmt w:val="bullet"/>
      <w:lvlText w:val="•"/>
      <w:lvlJc w:val="left"/>
      <w:pPr>
        <w:ind w:left="3403" w:hanging="188"/>
      </w:pPr>
      <w:rPr>
        <w:rFonts w:hint="default"/>
        <w:lang w:val="en-US" w:eastAsia="en-US" w:bidi="ar-SA"/>
      </w:rPr>
    </w:lvl>
    <w:lvl w:ilvl="4" w:tplc="F04C1CCA">
      <w:numFmt w:val="bullet"/>
      <w:lvlText w:val="•"/>
      <w:lvlJc w:val="left"/>
      <w:pPr>
        <w:ind w:left="4378" w:hanging="188"/>
      </w:pPr>
      <w:rPr>
        <w:rFonts w:hint="default"/>
        <w:lang w:val="en-US" w:eastAsia="en-US" w:bidi="ar-SA"/>
      </w:rPr>
    </w:lvl>
    <w:lvl w:ilvl="5" w:tplc="E1DA0CD0">
      <w:numFmt w:val="bullet"/>
      <w:lvlText w:val="•"/>
      <w:lvlJc w:val="left"/>
      <w:pPr>
        <w:ind w:left="5352" w:hanging="188"/>
      </w:pPr>
      <w:rPr>
        <w:rFonts w:hint="default"/>
        <w:lang w:val="en-US" w:eastAsia="en-US" w:bidi="ar-SA"/>
      </w:rPr>
    </w:lvl>
    <w:lvl w:ilvl="6" w:tplc="F490E722">
      <w:numFmt w:val="bullet"/>
      <w:lvlText w:val="•"/>
      <w:lvlJc w:val="left"/>
      <w:pPr>
        <w:ind w:left="6327" w:hanging="188"/>
      </w:pPr>
      <w:rPr>
        <w:rFonts w:hint="default"/>
        <w:lang w:val="en-US" w:eastAsia="en-US" w:bidi="ar-SA"/>
      </w:rPr>
    </w:lvl>
    <w:lvl w:ilvl="7" w:tplc="9F561ED8">
      <w:numFmt w:val="bullet"/>
      <w:lvlText w:val="•"/>
      <w:lvlJc w:val="left"/>
      <w:pPr>
        <w:ind w:left="7301" w:hanging="188"/>
      </w:pPr>
      <w:rPr>
        <w:rFonts w:hint="default"/>
        <w:lang w:val="en-US" w:eastAsia="en-US" w:bidi="ar-SA"/>
      </w:rPr>
    </w:lvl>
    <w:lvl w:ilvl="8" w:tplc="C08C59CA">
      <w:numFmt w:val="bullet"/>
      <w:lvlText w:val="•"/>
      <w:lvlJc w:val="left"/>
      <w:pPr>
        <w:ind w:left="8276" w:hanging="188"/>
      </w:pPr>
      <w:rPr>
        <w:rFonts w:hint="default"/>
        <w:lang w:val="en-US" w:eastAsia="en-US" w:bidi="ar-SA"/>
      </w:rPr>
    </w:lvl>
  </w:abstractNum>
  <w:abstractNum w:abstractNumId="15" w15:restartNumberingAfterBreak="0">
    <w:nsid w:val="1E5437AE"/>
    <w:multiLevelType w:val="hybridMultilevel"/>
    <w:tmpl w:val="6CB85944"/>
    <w:lvl w:ilvl="0" w:tplc="89502238">
      <w:start w:val="1"/>
      <w:numFmt w:val="decimal"/>
      <w:lvlText w:val="%1"/>
      <w:lvlJc w:val="left"/>
      <w:pPr>
        <w:ind w:left="831" w:hanging="708"/>
      </w:pPr>
      <w:rPr>
        <w:rFonts w:hint="default"/>
        <w:lang w:val="en-US" w:eastAsia="en-US" w:bidi="ar-SA"/>
      </w:rPr>
    </w:lvl>
    <w:lvl w:ilvl="1" w:tplc="21820022">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69CEA18A">
      <w:numFmt w:val="bullet"/>
      <w:lvlText w:val="•"/>
      <w:lvlJc w:val="left"/>
      <w:pPr>
        <w:ind w:left="484" w:hanging="188"/>
      </w:pPr>
      <w:rPr>
        <w:rFonts w:ascii="Cambria" w:eastAsia="Cambria" w:hAnsi="Cambria" w:cs="Cambria" w:hint="default"/>
        <w:color w:val="333333"/>
        <w:w w:val="81"/>
        <w:sz w:val="21"/>
        <w:szCs w:val="21"/>
        <w:lang w:val="en-US" w:eastAsia="en-US" w:bidi="ar-SA"/>
      </w:rPr>
    </w:lvl>
    <w:lvl w:ilvl="3" w:tplc="D0481610">
      <w:numFmt w:val="bullet"/>
      <w:lvlText w:val="•"/>
      <w:lvlJc w:val="left"/>
      <w:pPr>
        <w:ind w:left="2925" w:hanging="188"/>
      </w:pPr>
      <w:rPr>
        <w:rFonts w:hint="default"/>
        <w:lang w:val="en-US" w:eastAsia="en-US" w:bidi="ar-SA"/>
      </w:rPr>
    </w:lvl>
    <w:lvl w:ilvl="4" w:tplc="A7C0015C">
      <w:numFmt w:val="bullet"/>
      <w:lvlText w:val="•"/>
      <w:lvlJc w:val="left"/>
      <w:pPr>
        <w:ind w:left="3968" w:hanging="188"/>
      </w:pPr>
      <w:rPr>
        <w:rFonts w:hint="default"/>
        <w:lang w:val="en-US" w:eastAsia="en-US" w:bidi="ar-SA"/>
      </w:rPr>
    </w:lvl>
    <w:lvl w:ilvl="5" w:tplc="8020C73E">
      <w:numFmt w:val="bullet"/>
      <w:lvlText w:val="•"/>
      <w:lvlJc w:val="left"/>
      <w:pPr>
        <w:ind w:left="5011" w:hanging="188"/>
      </w:pPr>
      <w:rPr>
        <w:rFonts w:hint="default"/>
        <w:lang w:val="en-US" w:eastAsia="en-US" w:bidi="ar-SA"/>
      </w:rPr>
    </w:lvl>
    <w:lvl w:ilvl="6" w:tplc="1D34A9EA">
      <w:numFmt w:val="bullet"/>
      <w:lvlText w:val="•"/>
      <w:lvlJc w:val="left"/>
      <w:pPr>
        <w:ind w:left="6054" w:hanging="188"/>
      </w:pPr>
      <w:rPr>
        <w:rFonts w:hint="default"/>
        <w:lang w:val="en-US" w:eastAsia="en-US" w:bidi="ar-SA"/>
      </w:rPr>
    </w:lvl>
    <w:lvl w:ilvl="7" w:tplc="FCC807F2">
      <w:numFmt w:val="bullet"/>
      <w:lvlText w:val="•"/>
      <w:lvlJc w:val="left"/>
      <w:pPr>
        <w:ind w:left="7097" w:hanging="188"/>
      </w:pPr>
      <w:rPr>
        <w:rFonts w:hint="default"/>
        <w:lang w:val="en-US" w:eastAsia="en-US" w:bidi="ar-SA"/>
      </w:rPr>
    </w:lvl>
    <w:lvl w:ilvl="8" w:tplc="51A457B2">
      <w:numFmt w:val="bullet"/>
      <w:lvlText w:val="•"/>
      <w:lvlJc w:val="left"/>
      <w:pPr>
        <w:ind w:left="8139" w:hanging="188"/>
      </w:pPr>
      <w:rPr>
        <w:rFonts w:hint="default"/>
        <w:lang w:val="en-US" w:eastAsia="en-US" w:bidi="ar-SA"/>
      </w:rPr>
    </w:lvl>
  </w:abstractNum>
  <w:abstractNum w:abstractNumId="16" w15:restartNumberingAfterBreak="0">
    <w:nsid w:val="1FBC2F33"/>
    <w:multiLevelType w:val="hybridMultilevel"/>
    <w:tmpl w:val="A1E2EA7A"/>
    <w:lvl w:ilvl="0" w:tplc="DA4670EC">
      <w:start w:val="10"/>
      <w:numFmt w:val="decimal"/>
      <w:lvlText w:val="Chapter %1 ."/>
      <w:lvlJc w:val="left"/>
      <w:pPr>
        <w:ind w:left="544" w:hanging="420"/>
      </w:pPr>
      <w:rPr>
        <w:rFonts w:hint="default"/>
        <w:lang w:val="en-US" w:eastAsia="en-US" w:bidi="ar-SA"/>
      </w:rPr>
    </w:lvl>
    <w:lvl w:ilvl="1" w:tplc="04090019" w:tentative="1">
      <w:start w:val="1"/>
      <w:numFmt w:val="lowerLetter"/>
      <w:lvlText w:val="%2)"/>
      <w:lvlJc w:val="left"/>
      <w:pPr>
        <w:ind w:left="964" w:hanging="420"/>
      </w:pPr>
    </w:lvl>
    <w:lvl w:ilvl="2" w:tplc="0409001B" w:tentative="1">
      <w:start w:val="1"/>
      <w:numFmt w:val="lowerRoman"/>
      <w:lvlText w:val="%3."/>
      <w:lvlJc w:val="right"/>
      <w:pPr>
        <w:ind w:left="1384" w:hanging="420"/>
      </w:pPr>
    </w:lvl>
    <w:lvl w:ilvl="3" w:tplc="0409000F" w:tentative="1">
      <w:start w:val="1"/>
      <w:numFmt w:val="decimal"/>
      <w:lvlText w:val="%4."/>
      <w:lvlJc w:val="left"/>
      <w:pPr>
        <w:ind w:left="1804" w:hanging="420"/>
      </w:pPr>
    </w:lvl>
    <w:lvl w:ilvl="4" w:tplc="04090019" w:tentative="1">
      <w:start w:val="1"/>
      <w:numFmt w:val="lowerLetter"/>
      <w:lvlText w:val="%5)"/>
      <w:lvlJc w:val="left"/>
      <w:pPr>
        <w:ind w:left="2224" w:hanging="420"/>
      </w:pPr>
    </w:lvl>
    <w:lvl w:ilvl="5" w:tplc="0409001B" w:tentative="1">
      <w:start w:val="1"/>
      <w:numFmt w:val="lowerRoman"/>
      <w:lvlText w:val="%6."/>
      <w:lvlJc w:val="right"/>
      <w:pPr>
        <w:ind w:left="2644" w:hanging="420"/>
      </w:pPr>
    </w:lvl>
    <w:lvl w:ilvl="6" w:tplc="0409000F" w:tentative="1">
      <w:start w:val="1"/>
      <w:numFmt w:val="decimal"/>
      <w:lvlText w:val="%7."/>
      <w:lvlJc w:val="left"/>
      <w:pPr>
        <w:ind w:left="3064" w:hanging="420"/>
      </w:pPr>
    </w:lvl>
    <w:lvl w:ilvl="7" w:tplc="04090019" w:tentative="1">
      <w:start w:val="1"/>
      <w:numFmt w:val="lowerLetter"/>
      <w:lvlText w:val="%8)"/>
      <w:lvlJc w:val="left"/>
      <w:pPr>
        <w:ind w:left="3484" w:hanging="420"/>
      </w:pPr>
    </w:lvl>
    <w:lvl w:ilvl="8" w:tplc="0409001B" w:tentative="1">
      <w:start w:val="1"/>
      <w:numFmt w:val="lowerRoman"/>
      <w:lvlText w:val="%9."/>
      <w:lvlJc w:val="right"/>
      <w:pPr>
        <w:ind w:left="3904" w:hanging="420"/>
      </w:pPr>
    </w:lvl>
  </w:abstractNum>
  <w:abstractNum w:abstractNumId="17" w15:restartNumberingAfterBreak="0">
    <w:nsid w:val="1FD854FB"/>
    <w:multiLevelType w:val="hybridMultilevel"/>
    <w:tmpl w:val="CABACA80"/>
    <w:lvl w:ilvl="0" w:tplc="095679E6">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0F48A00A">
      <w:numFmt w:val="bullet"/>
      <w:lvlText w:val="•"/>
      <w:lvlJc w:val="left"/>
      <w:pPr>
        <w:ind w:left="1454" w:hanging="188"/>
      </w:pPr>
      <w:rPr>
        <w:rFonts w:hint="default"/>
        <w:lang w:val="en-US" w:eastAsia="en-US" w:bidi="ar-SA"/>
      </w:rPr>
    </w:lvl>
    <w:lvl w:ilvl="2" w:tplc="21CE24D8">
      <w:numFmt w:val="bullet"/>
      <w:lvlText w:val="•"/>
      <w:lvlJc w:val="left"/>
      <w:pPr>
        <w:ind w:left="2429" w:hanging="188"/>
      </w:pPr>
      <w:rPr>
        <w:rFonts w:hint="default"/>
        <w:lang w:val="en-US" w:eastAsia="en-US" w:bidi="ar-SA"/>
      </w:rPr>
    </w:lvl>
    <w:lvl w:ilvl="3" w:tplc="D2768FC4">
      <w:numFmt w:val="bullet"/>
      <w:lvlText w:val="•"/>
      <w:lvlJc w:val="left"/>
      <w:pPr>
        <w:ind w:left="3403" w:hanging="188"/>
      </w:pPr>
      <w:rPr>
        <w:rFonts w:hint="default"/>
        <w:lang w:val="en-US" w:eastAsia="en-US" w:bidi="ar-SA"/>
      </w:rPr>
    </w:lvl>
    <w:lvl w:ilvl="4" w:tplc="C3A2C2E6">
      <w:numFmt w:val="bullet"/>
      <w:lvlText w:val="•"/>
      <w:lvlJc w:val="left"/>
      <w:pPr>
        <w:ind w:left="4378" w:hanging="188"/>
      </w:pPr>
      <w:rPr>
        <w:rFonts w:hint="default"/>
        <w:lang w:val="en-US" w:eastAsia="en-US" w:bidi="ar-SA"/>
      </w:rPr>
    </w:lvl>
    <w:lvl w:ilvl="5" w:tplc="63C6F7CA">
      <w:numFmt w:val="bullet"/>
      <w:lvlText w:val="•"/>
      <w:lvlJc w:val="left"/>
      <w:pPr>
        <w:ind w:left="5352" w:hanging="188"/>
      </w:pPr>
      <w:rPr>
        <w:rFonts w:hint="default"/>
        <w:lang w:val="en-US" w:eastAsia="en-US" w:bidi="ar-SA"/>
      </w:rPr>
    </w:lvl>
    <w:lvl w:ilvl="6" w:tplc="841CC59A">
      <w:numFmt w:val="bullet"/>
      <w:lvlText w:val="•"/>
      <w:lvlJc w:val="left"/>
      <w:pPr>
        <w:ind w:left="6327" w:hanging="188"/>
      </w:pPr>
      <w:rPr>
        <w:rFonts w:hint="default"/>
        <w:lang w:val="en-US" w:eastAsia="en-US" w:bidi="ar-SA"/>
      </w:rPr>
    </w:lvl>
    <w:lvl w:ilvl="7" w:tplc="31A846D0">
      <w:numFmt w:val="bullet"/>
      <w:lvlText w:val="•"/>
      <w:lvlJc w:val="left"/>
      <w:pPr>
        <w:ind w:left="7301" w:hanging="188"/>
      </w:pPr>
      <w:rPr>
        <w:rFonts w:hint="default"/>
        <w:lang w:val="en-US" w:eastAsia="en-US" w:bidi="ar-SA"/>
      </w:rPr>
    </w:lvl>
    <w:lvl w:ilvl="8" w:tplc="1060A99E">
      <w:numFmt w:val="bullet"/>
      <w:lvlText w:val="•"/>
      <w:lvlJc w:val="left"/>
      <w:pPr>
        <w:ind w:left="8276" w:hanging="188"/>
      </w:pPr>
      <w:rPr>
        <w:rFonts w:hint="default"/>
        <w:lang w:val="en-US" w:eastAsia="en-US" w:bidi="ar-SA"/>
      </w:rPr>
    </w:lvl>
  </w:abstractNum>
  <w:abstractNum w:abstractNumId="18" w15:restartNumberingAfterBreak="0">
    <w:nsid w:val="20A7536E"/>
    <w:multiLevelType w:val="hybridMultilevel"/>
    <w:tmpl w:val="E79870E2"/>
    <w:lvl w:ilvl="0" w:tplc="1F369D96">
      <w:start w:val="3"/>
      <w:numFmt w:val="decimal"/>
      <w:lvlText w:val="%1"/>
      <w:lvlJc w:val="left"/>
      <w:pPr>
        <w:ind w:left="831" w:hanging="708"/>
      </w:pPr>
      <w:rPr>
        <w:rFonts w:hint="default"/>
        <w:lang w:val="en-US" w:eastAsia="en-US" w:bidi="ar-SA"/>
      </w:rPr>
    </w:lvl>
    <w:lvl w:ilvl="1" w:tplc="EF960E5E">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7FF8CD2E">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F4A4FE34">
      <w:numFmt w:val="bullet"/>
      <w:lvlText w:val="•"/>
      <w:lvlJc w:val="left"/>
      <w:pPr>
        <w:ind w:left="484" w:hanging="188"/>
      </w:pPr>
      <w:rPr>
        <w:rFonts w:ascii="Cambria" w:eastAsia="Cambria" w:hAnsi="Cambria" w:cs="Cambria" w:hint="default"/>
        <w:color w:val="333333"/>
        <w:w w:val="81"/>
        <w:sz w:val="21"/>
        <w:szCs w:val="21"/>
        <w:lang w:val="en-US" w:eastAsia="en-US" w:bidi="ar-SA"/>
      </w:rPr>
    </w:lvl>
    <w:lvl w:ilvl="4" w:tplc="9D5AFD98">
      <w:numFmt w:val="bullet"/>
      <w:lvlText w:val="•"/>
      <w:lvlJc w:val="left"/>
      <w:pPr>
        <w:ind w:left="3201" w:hanging="188"/>
      </w:pPr>
      <w:rPr>
        <w:rFonts w:hint="default"/>
        <w:lang w:val="en-US" w:eastAsia="en-US" w:bidi="ar-SA"/>
      </w:rPr>
    </w:lvl>
    <w:lvl w:ilvl="5" w:tplc="57EA19B8">
      <w:numFmt w:val="bullet"/>
      <w:lvlText w:val="•"/>
      <w:lvlJc w:val="left"/>
      <w:pPr>
        <w:ind w:left="4372" w:hanging="188"/>
      </w:pPr>
      <w:rPr>
        <w:rFonts w:hint="default"/>
        <w:lang w:val="en-US" w:eastAsia="en-US" w:bidi="ar-SA"/>
      </w:rPr>
    </w:lvl>
    <w:lvl w:ilvl="6" w:tplc="2BDAB7F6">
      <w:numFmt w:val="bullet"/>
      <w:lvlText w:val="•"/>
      <w:lvlJc w:val="left"/>
      <w:pPr>
        <w:ind w:left="5542" w:hanging="188"/>
      </w:pPr>
      <w:rPr>
        <w:rFonts w:hint="default"/>
        <w:lang w:val="en-US" w:eastAsia="en-US" w:bidi="ar-SA"/>
      </w:rPr>
    </w:lvl>
    <w:lvl w:ilvl="7" w:tplc="D076F470">
      <w:numFmt w:val="bullet"/>
      <w:lvlText w:val="•"/>
      <w:lvlJc w:val="left"/>
      <w:pPr>
        <w:ind w:left="6713" w:hanging="188"/>
      </w:pPr>
      <w:rPr>
        <w:rFonts w:hint="default"/>
        <w:lang w:val="en-US" w:eastAsia="en-US" w:bidi="ar-SA"/>
      </w:rPr>
    </w:lvl>
    <w:lvl w:ilvl="8" w:tplc="FA146BD6">
      <w:numFmt w:val="bullet"/>
      <w:lvlText w:val="•"/>
      <w:lvlJc w:val="left"/>
      <w:pPr>
        <w:ind w:left="7884" w:hanging="188"/>
      </w:pPr>
      <w:rPr>
        <w:rFonts w:hint="default"/>
        <w:lang w:val="en-US" w:eastAsia="en-US" w:bidi="ar-SA"/>
      </w:rPr>
    </w:lvl>
  </w:abstractNum>
  <w:abstractNum w:abstractNumId="19" w15:restartNumberingAfterBreak="0">
    <w:nsid w:val="21AF6B8E"/>
    <w:multiLevelType w:val="hybridMultilevel"/>
    <w:tmpl w:val="CAA0D37E"/>
    <w:lvl w:ilvl="0" w:tplc="1F267642">
      <w:numFmt w:val="bullet"/>
      <w:lvlText w:val="&gt;"/>
      <w:lvlJc w:val="left"/>
      <w:pPr>
        <w:ind w:left="420" w:hanging="220"/>
      </w:pPr>
      <w:rPr>
        <w:rFonts w:ascii="MS Gothic" w:eastAsia="MS Gothic" w:hAnsi="MS Gothic" w:cs="MS Gothic" w:hint="default"/>
        <w:color w:val="333333"/>
        <w:w w:val="100"/>
        <w:sz w:val="22"/>
        <w:szCs w:val="22"/>
        <w:lang w:val="en-US" w:eastAsia="en-US" w:bidi="ar-SA"/>
      </w:rPr>
    </w:lvl>
    <w:lvl w:ilvl="1" w:tplc="264C959A">
      <w:numFmt w:val="bullet"/>
      <w:lvlText w:val="•"/>
      <w:lvlJc w:val="left"/>
      <w:pPr>
        <w:ind w:left="1371" w:hanging="220"/>
      </w:pPr>
      <w:rPr>
        <w:rFonts w:hint="default"/>
        <w:lang w:val="en-US" w:eastAsia="en-US" w:bidi="ar-SA"/>
      </w:rPr>
    </w:lvl>
    <w:lvl w:ilvl="2" w:tplc="DB9805E0">
      <w:numFmt w:val="bullet"/>
      <w:lvlText w:val="•"/>
      <w:lvlJc w:val="left"/>
      <w:pPr>
        <w:ind w:left="2323" w:hanging="220"/>
      </w:pPr>
      <w:rPr>
        <w:rFonts w:hint="default"/>
        <w:lang w:val="en-US" w:eastAsia="en-US" w:bidi="ar-SA"/>
      </w:rPr>
    </w:lvl>
    <w:lvl w:ilvl="3" w:tplc="D6FC1364">
      <w:numFmt w:val="bullet"/>
      <w:lvlText w:val="•"/>
      <w:lvlJc w:val="left"/>
      <w:pPr>
        <w:ind w:left="3275" w:hanging="220"/>
      </w:pPr>
      <w:rPr>
        <w:rFonts w:hint="default"/>
        <w:lang w:val="en-US" w:eastAsia="en-US" w:bidi="ar-SA"/>
      </w:rPr>
    </w:lvl>
    <w:lvl w:ilvl="4" w:tplc="21E845F6">
      <w:numFmt w:val="bullet"/>
      <w:lvlText w:val="•"/>
      <w:lvlJc w:val="left"/>
      <w:pPr>
        <w:ind w:left="4227" w:hanging="220"/>
      </w:pPr>
      <w:rPr>
        <w:rFonts w:hint="default"/>
        <w:lang w:val="en-US" w:eastAsia="en-US" w:bidi="ar-SA"/>
      </w:rPr>
    </w:lvl>
    <w:lvl w:ilvl="5" w:tplc="5596BD78">
      <w:numFmt w:val="bullet"/>
      <w:lvlText w:val="•"/>
      <w:lvlJc w:val="left"/>
      <w:pPr>
        <w:ind w:left="5178" w:hanging="220"/>
      </w:pPr>
      <w:rPr>
        <w:rFonts w:hint="default"/>
        <w:lang w:val="en-US" w:eastAsia="en-US" w:bidi="ar-SA"/>
      </w:rPr>
    </w:lvl>
    <w:lvl w:ilvl="6" w:tplc="51161FCC">
      <w:numFmt w:val="bullet"/>
      <w:lvlText w:val="•"/>
      <w:lvlJc w:val="left"/>
      <w:pPr>
        <w:ind w:left="6130" w:hanging="220"/>
      </w:pPr>
      <w:rPr>
        <w:rFonts w:hint="default"/>
        <w:lang w:val="en-US" w:eastAsia="en-US" w:bidi="ar-SA"/>
      </w:rPr>
    </w:lvl>
    <w:lvl w:ilvl="7" w:tplc="475E6640">
      <w:numFmt w:val="bullet"/>
      <w:lvlText w:val="•"/>
      <w:lvlJc w:val="left"/>
      <w:pPr>
        <w:ind w:left="7082" w:hanging="220"/>
      </w:pPr>
      <w:rPr>
        <w:rFonts w:hint="default"/>
        <w:lang w:val="en-US" w:eastAsia="en-US" w:bidi="ar-SA"/>
      </w:rPr>
    </w:lvl>
    <w:lvl w:ilvl="8" w:tplc="FBB4AADA">
      <w:numFmt w:val="bullet"/>
      <w:lvlText w:val="•"/>
      <w:lvlJc w:val="left"/>
      <w:pPr>
        <w:ind w:left="8034" w:hanging="220"/>
      </w:pPr>
      <w:rPr>
        <w:rFonts w:hint="default"/>
        <w:lang w:val="en-US" w:eastAsia="en-US" w:bidi="ar-SA"/>
      </w:rPr>
    </w:lvl>
  </w:abstractNum>
  <w:abstractNum w:abstractNumId="20" w15:restartNumberingAfterBreak="0">
    <w:nsid w:val="2404716B"/>
    <w:multiLevelType w:val="hybridMultilevel"/>
    <w:tmpl w:val="E7A073B4"/>
    <w:lvl w:ilvl="0" w:tplc="641E2F5E">
      <w:start w:val="2"/>
      <w:numFmt w:val="decimal"/>
      <w:lvlText w:val="%1"/>
      <w:lvlJc w:val="left"/>
      <w:pPr>
        <w:ind w:left="857" w:hanging="733"/>
      </w:pPr>
      <w:rPr>
        <w:rFonts w:hint="default"/>
        <w:lang w:val="en-US" w:eastAsia="en-US" w:bidi="ar-SA"/>
      </w:rPr>
    </w:lvl>
    <w:lvl w:ilvl="1" w:tplc="78D4E39E">
      <w:start w:val="4"/>
      <w:numFmt w:val="decimal"/>
      <w:lvlText w:val="%1.%2"/>
      <w:lvlJc w:val="left"/>
      <w:pPr>
        <w:ind w:left="857" w:hanging="733"/>
      </w:pPr>
      <w:rPr>
        <w:rFonts w:hint="default"/>
        <w:lang w:val="en-US" w:eastAsia="en-US" w:bidi="ar-SA"/>
      </w:rPr>
    </w:lvl>
    <w:lvl w:ilvl="2" w:tplc="C560AAB0">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BFBC25DA">
      <w:numFmt w:val="bullet"/>
      <w:lvlText w:val="•"/>
      <w:lvlJc w:val="left"/>
      <w:pPr>
        <w:ind w:left="3669" w:hanging="733"/>
      </w:pPr>
      <w:rPr>
        <w:rFonts w:hint="default"/>
        <w:lang w:val="en-US" w:eastAsia="en-US" w:bidi="ar-SA"/>
      </w:rPr>
    </w:lvl>
    <w:lvl w:ilvl="4" w:tplc="86A2681E">
      <w:numFmt w:val="bullet"/>
      <w:lvlText w:val="•"/>
      <w:lvlJc w:val="left"/>
      <w:pPr>
        <w:ind w:left="4606" w:hanging="733"/>
      </w:pPr>
      <w:rPr>
        <w:rFonts w:hint="default"/>
        <w:lang w:val="en-US" w:eastAsia="en-US" w:bidi="ar-SA"/>
      </w:rPr>
    </w:lvl>
    <w:lvl w:ilvl="5" w:tplc="C38444FE">
      <w:numFmt w:val="bullet"/>
      <w:lvlText w:val="•"/>
      <w:lvlJc w:val="left"/>
      <w:pPr>
        <w:ind w:left="5542" w:hanging="733"/>
      </w:pPr>
      <w:rPr>
        <w:rFonts w:hint="default"/>
        <w:lang w:val="en-US" w:eastAsia="en-US" w:bidi="ar-SA"/>
      </w:rPr>
    </w:lvl>
    <w:lvl w:ilvl="6" w:tplc="5186E526">
      <w:numFmt w:val="bullet"/>
      <w:lvlText w:val="•"/>
      <w:lvlJc w:val="left"/>
      <w:pPr>
        <w:ind w:left="6479" w:hanging="733"/>
      </w:pPr>
      <w:rPr>
        <w:rFonts w:hint="default"/>
        <w:lang w:val="en-US" w:eastAsia="en-US" w:bidi="ar-SA"/>
      </w:rPr>
    </w:lvl>
    <w:lvl w:ilvl="7" w:tplc="9E583FA0">
      <w:numFmt w:val="bullet"/>
      <w:lvlText w:val="•"/>
      <w:lvlJc w:val="left"/>
      <w:pPr>
        <w:ind w:left="7415" w:hanging="733"/>
      </w:pPr>
      <w:rPr>
        <w:rFonts w:hint="default"/>
        <w:lang w:val="en-US" w:eastAsia="en-US" w:bidi="ar-SA"/>
      </w:rPr>
    </w:lvl>
    <w:lvl w:ilvl="8" w:tplc="3106FC22">
      <w:numFmt w:val="bullet"/>
      <w:lvlText w:val="•"/>
      <w:lvlJc w:val="left"/>
      <w:pPr>
        <w:ind w:left="8352" w:hanging="733"/>
      </w:pPr>
      <w:rPr>
        <w:rFonts w:hint="default"/>
        <w:lang w:val="en-US" w:eastAsia="en-US" w:bidi="ar-SA"/>
      </w:rPr>
    </w:lvl>
  </w:abstractNum>
  <w:abstractNum w:abstractNumId="21" w15:restartNumberingAfterBreak="0">
    <w:nsid w:val="271A3935"/>
    <w:multiLevelType w:val="hybridMultilevel"/>
    <w:tmpl w:val="C1B61206"/>
    <w:lvl w:ilvl="0" w:tplc="E232470C">
      <w:numFmt w:val="bullet"/>
      <w:lvlText w:val="-"/>
      <w:lvlJc w:val="left"/>
      <w:pPr>
        <w:ind w:left="1190" w:hanging="220"/>
      </w:pPr>
      <w:rPr>
        <w:rFonts w:ascii="MS Gothic" w:eastAsia="MS Gothic" w:hAnsi="MS Gothic" w:cs="MS Gothic" w:hint="default"/>
        <w:color w:val="333333"/>
        <w:w w:val="100"/>
        <w:sz w:val="22"/>
        <w:szCs w:val="22"/>
        <w:lang w:val="en-US" w:eastAsia="en-US" w:bidi="ar-SA"/>
      </w:rPr>
    </w:lvl>
    <w:lvl w:ilvl="1" w:tplc="060EA980">
      <w:numFmt w:val="bullet"/>
      <w:lvlText w:val="•"/>
      <w:lvlJc w:val="left"/>
      <w:pPr>
        <w:ind w:left="2073" w:hanging="220"/>
      </w:pPr>
      <w:rPr>
        <w:rFonts w:hint="default"/>
        <w:lang w:val="en-US" w:eastAsia="en-US" w:bidi="ar-SA"/>
      </w:rPr>
    </w:lvl>
    <w:lvl w:ilvl="2" w:tplc="3D20679C">
      <w:numFmt w:val="bullet"/>
      <w:lvlText w:val="•"/>
      <w:lvlJc w:val="left"/>
      <w:pPr>
        <w:ind w:left="2947" w:hanging="220"/>
      </w:pPr>
      <w:rPr>
        <w:rFonts w:hint="default"/>
        <w:lang w:val="en-US" w:eastAsia="en-US" w:bidi="ar-SA"/>
      </w:rPr>
    </w:lvl>
    <w:lvl w:ilvl="3" w:tplc="3E687D68">
      <w:numFmt w:val="bullet"/>
      <w:lvlText w:val="•"/>
      <w:lvlJc w:val="left"/>
      <w:pPr>
        <w:ind w:left="3821" w:hanging="220"/>
      </w:pPr>
      <w:rPr>
        <w:rFonts w:hint="default"/>
        <w:lang w:val="en-US" w:eastAsia="en-US" w:bidi="ar-SA"/>
      </w:rPr>
    </w:lvl>
    <w:lvl w:ilvl="4" w:tplc="72F25300">
      <w:numFmt w:val="bullet"/>
      <w:lvlText w:val="•"/>
      <w:lvlJc w:val="left"/>
      <w:pPr>
        <w:ind w:left="4695" w:hanging="220"/>
      </w:pPr>
      <w:rPr>
        <w:rFonts w:hint="default"/>
        <w:lang w:val="en-US" w:eastAsia="en-US" w:bidi="ar-SA"/>
      </w:rPr>
    </w:lvl>
    <w:lvl w:ilvl="5" w:tplc="B7F4BAEA">
      <w:numFmt w:val="bullet"/>
      <w:lvlText w:val="•"/>
      <w:lvlJc w:val="left"/>
      <w:pPr>
        <w:ind w:left="5568" w:hanging="220"/>
      </w:pPr>
      <w:rPr>
        <w:rFonts w:hint="default"/>
        <w:lang w:val="en-US" w:eastAsia="en-US" w:bidi="ar-SA"/>
      </w:rPr>
    </w:lvl>
    <w:lvl w:ilvl="6" w:tplc="457654F2">
      <w:numFmt w:val="bullet"/>
      <w:lvlText w:val="•"/>
      <w:lvlJc w:val="left"/>
      <w:pPr>
        <w:ind w:left="6442" w:hanging="220"/>
      </w:pPr>
      <w:rPr>
        <w:rFonts w:hint="default"/>
        <w:lang w:val="en-US" w:eastAsia="en-US" w:bidi="ar-SA"/>
      </w:rPr>
    </w:lvl>
    <w:lvl w:ilvl="7" w:tplc="26143FB4">
      <w:numFmt w:val="bullet"/>
      <w:lvlText w:val="•"/>
      <w:lvlJc w:val="left"/>
      <w:pPr>
        <w:ind w:left="7316" w:hanging="220"/>
      </w:pPr>
      <w:rPr>
        <w:rFonts w:hint="default"/>
        <w:lang w:val="en-US" w:eastAsia="en-US" w:bidi="ar-SA"/>
      </w:rPr>
    </w:lvl>
    <w:lvl w:ilvl="8" w:tplc="5D68D376">
      <w:numFmt w:val="bullet"/>
      <w:lvlText w:val="•"/>
      <w:lvlJc w:val="left"/>
      <w:pPr>
        <w:ind w:left="8190" w:hanging="220"/>
      </w:pPr>
      <w:rPr>
        <w:rFonts w:hint="default"/>
        <w:lang w:val="en-US" w:eastAsia="en-US" w:bidi="ar-SA"/>
      </w:rPr>
    </w:lvl>
  </w:abstractNum>
  <w:abstractNum w:abstractNumId="22" w15:restartNumberingAfterBreak="0">
    <w:nsid w:val="276B7CC3"/>
    <w:multiLevelType w:val="hybridMultilevel"/>
    <w:tmpl w:val="136686E4"/>
    <w:lvl w:ilvl="0" w:tplc="7C22B94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A6BAD1FA">
      <w:numFmt w:val="bullet"/>
      <w:lvlText w:val="•"/>
      <w:lvlJc w:val="left"/>
      <w:pPr>
        <w:ind w:left="1454" w:hanging="188"/>
      </w:pPr>
      <w:rPr>
        <w:rFonts w:hint="default"/>
        <w:lang w:val="en-US" w:eastAsia="en-US" w:bidi="ar-SA"/>
      </w:rPr>
    </w:lvl>
    <w:lvl w:ilvl="2" w:tplc="11FC2D1A">
      <w:numFmt w:val="bullet"/>
      <w:lvlText w:val="•"/>
      <w:lvlJc w:val="left"/>
      <w:pPr>
        <w:ind w:left="2429" w:hanging="188"/>
      </w:pPr>
      <w:rPr>
        <w:rFonts w:hint="default"/>
        <w:lang w:val="en-US" w:eastAsia="en-US" w:bidi="ar-SA"/>
      </w:rPr>
    </w:lvl>
    <w:lvl w:ilvl="3" w:tplc="9AA42200">
      <w:numFmt w:val="bullet"/>
      <w:lvlText w:val="•"/>
      <w:lvlJc w:val="left"/>
      <w:pPr>
        <w:ind w:left="3403" w:hanging="188"/>
      </w:pPr>
      <w:rPr>
        <w:rFonts w:hint="default"/>
        <w:lang w:val="en-US" w:eastAsia="en-US" w:bidi="ar-SA"/>
      </w:rPr>
    </w:lvl>
    <w:lvl w:ilvl="4" w:tplc="A1F81E6C">
      <w:numFmt w:val="bullet"/>
      <w:lvlText w:val="•"/>
      <w:lvlJc w:val="left"/>
      <w:pPr>
        <w:ind w:left="4378" w:hanging="188"/>
      </w:pPr>
      <w:rPr>
        <w:rFonts w:hint="default"/>
        <w:lang w:val="en-US" w:eastAsia="en-US" w:bidi="ar-SA"/>
      </w:rPr>
    </w:lvl>
    <w:lvl w:ilvl="5" w:tplc="6B7E5AF4">
      <w:numFmt w:val="bullet"/>
      <w:lvlText w:val="•"/>
      <w:lvlJc w:val="left"/>
      <w:pPr>
        <w:ind w:left="5352" w:hanging="188"/>
      </w:pPr>
      <w:rPr>
        <w:rFonts w:hint="default"/>
        <w:lang w:val="en-US" w:eastAsia="en-US" w:bidi="ar-SA"/>
      </w:rPr>
    </w:lvl>
    <w:lvl w:ilvl="6" w:tplc="A2261C88">
      <w:numFmt w:val="bullet"/>
      <w:lvlText w:val="•"/>
      <w:lvlJc w:val="left"/>
      <w:pPr>
        <w:ind w:left="6327" w:hanging="188"/>
      </w:pPr>
      <w:rPr>
        <w:rFonts w:hint="default"/>
        <w:lang w:val="en-US" w:eastAsia="en-US" w:bidi="ar-SA"/>
      </w:rPr>
    </w:lvl>
    <w:lvl w:ilvl="7" w:tplc="0A640BDE">
      <w:numFmt w:val="bullet"/>
      <w:lvlText w:val="•"/>
      <w:lvlJc w:val="left"/>
      <w:pPr>
        <w:ind w:left="7301" w:hanging="188"/>
      </w:pPr>
      <w:rPr>
        <w:rFonts w:hint="default"/>
        <w:lang w:val="en-US" w:eastAsia="en-US" w:bidi="ar-SA"/>
      </w:rPr>
    </w:lvl>
    <w:lvl w:ilvl="8" w:tplc="8FA09312">
      <w:numFmt w:val="bullet"/>
      <w:lvlText w:val="•"/>
      <w:lvlJc w:val="left"/>
      <w:pPr>
        <w:ind w:left="8276" w:hanging="188"/>
      </w:pPr>
      <w:rPr>
        <w:rFonts w:hint="default"/>
        <w:lang w:val="en-US" w:eastAsia="en-US" w:bidi="ar-SA"/>
      </w:rPr>
    </w:lvl>
  </w:abstractNum>
  <w:abstractNum w:abstractNumId="23" w15:restartNumberingAfterBreak="0">
    <w:nsid w:val="286019EF"/>
    <w:multiLevelType w:val="hybridMultilevel"/>
    <w:tmpl w:val="22A43304"/>
    <w:lvl w:ilvl="0" w:tplc="960A67F8">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04B871CE">
      <w:numFmt w:val="bullet"/>
      <w:lvlText w:val="•"/>
      <w:lvlJc w:val="left"/>
      <w:pPr>
        <w:ind w:left="1454" w:hanging="188"/>
      </w:pPr>
      <w:rPr>
        <w:rFonts w:hint="default"/>
        <w:lang w:val="en-US" w:eastAsia="en-US" w:bidi="ar-SA"/>
      </w:rPr>
    </w:lvl>
    <w:lvl w:ilvl="2" w:tplc="8EE20678">
      <w:numFmt w:val="bullet"/>
      <w:lvlText w:val="•"/>
      <w:lvlJc w:val="left"/>
      <w:pPr>
        <w:ind w:left="2429" w:hanging="188"/>
      </w:pPr>
      <w:rPr>
        <w:rFonts w:hint="default"/>
        <w:lang w:val="en-US" w:eastAsia="en-US" w:bidi="ar-SA"/>
      </w:rPr>
    </w:lvl>
    <w:lvl w:ilvl="3" w:tplc="A29E3872">
      <w:numFmt w:val="bullet"/>
      <w:lvlText w:val="•"/>
      <w:lvlJc w:val="left"/>
      <w:pPr>
        <w:ind w:left="3403" w:hanging="188"/>
      </w:pPr>
      <w:rPr>
        <w:rFonts w:hint="default"/>
        <w:lang w:val="en-US" w:eastAsia="en-US" w:bidi="ar-SA"/>
      </w:rPr>
    </w:lvl>
    <w:lvl w:ilvl="4" w:tplc="F79CA410">
      <w:numFmt w:val="bullet"/>
      <w:lvlText w:val="•"/>
      <w:lvlJc w:val="left"/>
      <w:pPr>
        <w:ind w:left="4378" w:hanging="188"/>
      </w:pPr>
      <w:rPr>
        <w:rFonts w:hint="default"/>
        <w:lang w:val="en-US" w:eastAsia="en-US" w:bidi="ar-SA"/>
      </w:rPr>
    </w:lvl>
    <w:lvl w:ilvl="5" w:tplc="61A2F084">
      <w:numFmt w:val="bullet"/>
      <w:lvlText w:val="•"/>
      <w:lvlJc w:val="left"/>
      <w:pPr>
        <w:ind w:left="5352" w:hanging="188"/>
      </w:pPr>
      <w:rPr>
        <w:rFonts w:hint="default"/>
        <w:lang w:val="en-US" w:eastAsia="en-US" w:bidi="ar-SA"/>
      </w:rPr>
    </w:lvl>
    <w:lvl w:ilvl="6" w:tplc="865E3F48">
      <w:numFmt w:val="bullet"/>
      <w:lvlText w:val="•"/>
      <w:lvlJc w:val="left"/>
      <w:pPr>
        <w:ind w:left="6327" w:hanging="188"/>
      </w:pPr>
      <w:rPr>
        <w:rFonts w:hint="default"/>
        <w:lang w:val="en-US" w:eastAsia="en-US" w:bidi="ar-SA"/>
      </w:rPr>
    </w:lvl>
    <w:lvl w:ilvl="7" w:tplc="3C2E3110">
      <w:numFmt w:val="bullet"/>
      <w:lvlText w:val="•"/>
      <w:lvlJc w:val="left"/>
      <w:pPr>
        <w:ind w:left="7301" w:hanging="188"/>
      </w:pPr>
      <w:rPr>
        <w:rFonts w:hint="default"/>
        <w:lang w:val="en-US" w:eastAsia="en-US" w:bidi="ar-SA"/>
      </w:rPr>
    </w:lvl>
    <w:lvl w:ilvl="8" w:tplc="92401686">
      <w:numFmt w:val="bullet"/>
      <w:lvlText w:val="•"/>
      <w:lvlJc w:val="left"/>
      <w:pPr>
        <w:ind w:left="8276" w:hanging="188"/>
      </w:pPr>
      <w:rPr>
        <w:rFonts w:hint="default"/>
        <w:lang w:val="en-US" w:eastAsia="en-US" w:bidi="ar-SA"/>
      </w:rPr>
    </w:lvl>
  </w:abstractNum>
  <w:abstractNum w:abstractNumId="24" w15:restartNumberingAfterBreak="0">
    <w:nsid w:val="2B5F09FC"/>
    <w:multiLevelType w:val="hybridMultilevel"/>
    <w:tmpl w:val="66264D92"/>
    <w:lvl w:ilvl="0" w:tplc="6FD48330">
      <w:start w:val="2"/>
      <w:numFmt w:val="decimal"/>
      <w:lvlText w:val="%1"/>
      <w:lvlJc w:val="left"/>
      <w:pPr>
        <w:ind w:left="831" w:hanging="708"/>
      </w:pPr>
      <w:rPr>
        <w:rFonts w:hint="default"/>
        <w:lang w:val="en-US" w:eastAsia="en-US" w:bidi="ar-SA"/>
      </w:rPr>
    </w:lvl>
    <w:lvl w:ilvl="1" w:tplc="58EE39DA">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EF289ADC">
      <w:numFmt w:val="bullet"/>
      <w:lvlText w:val="•"/>
      <w:lvlJc w:val="left"/>
      <w:pPr>
        <w:ind w:left="484" w:hanging="188"/>
      </w:pPr>
      <w:rPr>
        <w:rFonts w:ascii="Cambria" w:eastAsia="Cambria" w:hAnsi="Cambria" w:cs="Cambria" w:hint="default"/>
        <w:color w:val="333333"/>
        <w:w w:val="81"/>
        <w:sz w:val="21"/>
        <w:szCs w:val="21"/>
        <w:lang w:val="en-US" w:eastAsia="en-US" w:bidi="ar-SA"/>
      </w:rPr>
    </w:lvl>
    <w:lvl w:ilvl="3" w:tplc="72E2DD7C">
      <w:numFmt w:val="bullet"/>
      <w:lvlText w:val="•"/>
      <w:lvlJc w:val="left"/>
      <w:pPr>
        <w:ind w:left="2925" w:hanging="188"/>
      </w:pPr>
      <w:rPr>
        <w:rFonts w:hint="default"/>
        <w:lang w:val="en-US" w:eastAsia="en-US" w:bidi="ar-SA"/>
      </w:rPr>
    </w:lvl>
    <w:lvl w:ilvl="4" w:tplc="8C0E8F08">
      <w:numFmt w:val="bullet"/>
      <w:lvlText w:val="•"/>
      <w:lvlJc w:val="left"/>
      <w:pPr>
        <w:ind w:left="3968" w:hanging="188"/>
      </w:pPr>
      <w:rPr>
        <w:rFonts w:hint="default"/>
        <w:lang w:val="en-US" w:eastAsia="en-US" w:bidi="ar-SA"/>
      </w:rPr>
    </w:lvl>
    <w:lvl w:ilvl="5" w:tplc="D2382FE4">
      <w:numFmt w:val="bullet"/>
      <w:lvlText w:val="•"/>
      <w:lvlJc w:val="left"/>
      <w:pPr>
        <w:ind w:left="5011" w:hanging="188"/>
      </w:pPr>
      <w:rPr>
        <w:rFonts w:hint="default"/>
        <w:lang w:val="en-US" w:eastAsia="en-US" w:bidi="ar-SA"/>
      </w:rPr>
    </w:lvl>
    <w:lvl w:ilvl="6" w:tplc="ADE2567C">
      <w:numFmt w:val="bullet"/>
      <w:lvlText w:val="•"/>
      <w:lvlJc w:val="left"/>
      <w:pPr>
        <w:ind w:left="6054" w:hanging="188"/>
      </w:pPr>
      <w:rPr>
        <w:rFonts w:hint="default"/>
        <w:lang w:val="en-US" w:eastAsia="en-US" w:bidi="ar-SA"/>
      </w:rPr>
    </w:lvl>
    <w:lvl w:ilvl="7" w:tplc="2A9C2CF2">
      <w:numFmt w:val="bullet"/>
      <w:lvlText w:val="•"/>
      <w:lvlJc w:val="left"/>
      <w:pPr>
        <w:ind w:left="7097" w:hanging="188"/>
      </w:pPr>
      <w:rPr>
        <w:rFonts w:hint="default"/>
        <w:lang w:val="en-US" w:eastAsia="en-US" w:bidi="ar-SA"/>
      </w:rPr>
    </w:lvl>
    <w:lvl w:ilvl="8" w:tplc="A85EA924">
      <w:numFmt w:val="bullet"/>
      <w:lvlText w:val="•"/>
      <w:lvlJc w:val="left"/>
      <w:pPr>
        <w:ind w:left="8139" w:hanging="188"/>
      </w:pPr>
      <w:rPr>
        <w:rFonts w:hint="default"/>
        <w:lang w:val="en-US" w:eastAsia="en-US" w:bidi="ar-SA"/>
      </w:rPr>
    </w:lvl>
  </w:abstractNum>
  <w:abstractNum w:abstractNumId="25" w15:restartNumberingAfterBreak="0">
    <w:nsid w:val="2BDE1C55"/>
    <w:multiLevelType w:val="hybridMultilevel"/>
    <w:tmpl w:val="48F2C83C"/>
    <w:lvl w:ilvl="0" w:tplc="1DF4A0E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B0A4FCE4">
      <w:numFmt w:val="bullet"/>
      <w:lvlText w:val="•"/>
      <w:lvlJc w:val="left"/>
      <w:pPr>
        <w:ind w:left="1454" w:hanging="188"/>
      </w:pPr>
      <w:rPr>
        <w:rFonts w:hint="default"/>
        <w:lang w:val="en-US" w:eastAsia="en-US" w:bidi="ar-SA"/>
      </w:rPr>
    </w:lvl>
    <w:lvl w:ilvl="2" w:tplc="5262DD2E">
      <w:numFmt w:val="bullet"/>
      <w:lvlText w:val="•"/>
      <w:lvlJc w:val="left"/>
      <w:pPr>
        <w:ind w:left="2429" w:hanging="188"/>
      </w:pPr>
      <w:rPr>
        <w:rFonts w:hint="default"/>
        <w:lang w:val="en-US" w:eastAsia="en-US" w:bidi="ar-SA"/>
      </w:rPr>
    </w:lvl>
    <w:lvl w:ilvl="3" w:tplc="D24A1268">
      <w:numFmt w:val="bullet"/>
      <w:lvlText w:val="•"/>
      <w:lvlJc w:val="left"/>
      <w:pPr>
        <w:ind w:left="3403" w:hanging="188"/>
      </w:pPr>
      <w:rPr>
        <w:rFonts w:hint="default"/>
        <w:lang w:val="en-US" w:eastAsia="en-US" w:bidi="ar-SA"/>
      </w:rPr>
    </w:lvl>
    <w:lvl w:ilvl="4" w:tplc="88AE0D12">
      <w:numFmt w:val="bullet"/>
      <w:lvlText w:val="•"/>
      <w:lvlJc w:val="left"/>
      <w:pPr>
        <w:ind w:left="4378" w:hanging="188"/>
      </w:pPr>
      <w:rPr>
        <w:rFonts w:hint="default"/>
        <w:lang w:val="en-US" w:eastAsia="en-US" w:bidi="ar-SA"/>
      </w:rPr>
    </w:lvl>
    <w:lvl w:ilvl="5" w:tplc="DB56083C">
      <w:numFmt w:val="bullet"/>
      <w:lvlText w:val="•"/>
      <w:lvlJc w:val="left"/>
      <w:pPr>
        <w:ind w:left="5352" w:hanging="188"/>
      </w:pPr>
      <w:rPr>
        <w:rFonts w:hint="default"/>
        <w:lang w:val="en-US" w:eastAsia="en-US" w:bidi="ar-SA"/>
      </w:rPr>
    </w:lvl>
    <w:lvl w:ilvl="6" w:tplc="3728603A">
      <w:numFmt w:val="bullet"/>
      <w:lvlText w:val="•"/>
      <w:lvlJc w:val="left"/>
      <w:pPr>
        <w:ind w:left="6327" w:hanging="188"/>
      </w:pPr>
      <w:rPr>
        <w:rFonts w:hint="default"/>
        <w:lang w:val="en-US" w:eastAsia="en-US" w:bidi="ar-SA"/>
      </w:rPr>
    </w:lvl>
    <w:lvl w:ilvl="7" w:tplc="EF369F02">
      <w:numFmt w:val="bullet"/>
      <w:lvlText w:val="•"/>
      <w:lvlJc w:val="left"/>
      <w:pPr>
        <w:ind w:left="7301" w:hanging="188"/>
      </w:pPr>
      <w:rPr>
        <w:rFonts w:hint="default"/>
        <w:lang w:val="en-US" w:eastAsia="en-US" w:bidi="ar-SA"/>
      </w:rPr>
    </w:lvl>
    <w:lvl w:ilvl="8" w:tplc="82E29340">
      <w:numFmt w:val="bullet"/>
      <w:lvlText w:val="•"/>
      <w:lvlJc w:val="left"/>
      <w:pPr>
        <w:ind w:left="8276" w:hanging="188"/>
      </w:pPr>
      <w:rPr>
        <w:rFonts w:hint="default"/>
        <w:lang w:val="en-US" w:eastAsia="en-US" w:bidi="ar-SA"/>
      </w:rPr>
    </w:lvl>
  </w:abstractNum>
  <w:abstractNum w:abstractNumId="26" w15:restartNumberingAfterBreak="0">
    <w:nsid w:val="2D857815"/>
    <w:multiLevelType w:val="hybridMultilevel"/>
    <w:tmpl w:val="436034A6"/>
    <w:lvl w:ilvl="0" w:tplc="3152904C">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1F72A2F4">
      <w:numFmt w:val="bullet"/>
      <w:lvlText w:val="•"/>
      <w:lvlJc w:val="left"/>
      <w:pPr>
        <w:ind w:left="1454" w:hanging="188"/>
      </w:pPr>
      <w:rPr>
        <w:rFonts w:hint="default"/>
        <w:lang w:val="en-US" w:eastAsia="en-US" w:bidi="ar-SA"/>
      </w:rPr>
    </w:lvl>
    <w:lvl w:ilvl="2" w:tplc="F7984E52">
      <w:numFmt w:val="bullet"/>
      <w:lvlText w:val="•"/>
      <w:lvlJc w:val="left"/>
      <w:pPr>
        <w:ind w:left="2429" w:hanging="188"/>
      </w:pPr>
      <w:rPr>
        <w:rFonts w:hint="default"/>
        <w:lang w:val="en-US" w:eastAsia="en-US" w:bidi="ar-SA"/>
      </w:rPr>
    </w:lvl>
    <w:lvl w:ilvl="3" w:tplc="FA36B43C">
      <w:numFmt w:val="bullet"/>
      <w:lvlText w:val="•"/>
      <w:lvlJc w:val="left"/>
      <w:pPr>
        <w:ind w:left="3403" w:hanging="188"/>
      </w:pPr>
      <w:rPr>
        <w:rFonts w:hint="default"/>
        <w:lang w:val="en-US" w:eastAsia="en-US" w:bidi="ar-SA"/>
      </w:rPr>
    </w:lvl>
    <w:lvl w:ilvl="4" w:tplc="DA9C2DBE">
      <w:numFmt w:val="bullet"/>
      <w:lvlText w:val="•"/>
      <w:lvlJc w:val="left"/>
      <w:pPr>
        <w:ind w:left="4378" w:hanging="188"/>
      </w:pPr>
      <w:rPr>
        <w:rFonts w:hint="default"/>
        <w:lang w:val="en-US" w:eastAsia="en-US" w:bidi="ar-SA"/>
      </w:rPr>
    </w:lvl>
    <w:lvl w:ilvl="5" w:tplc="33A83684">
      <w:numFmt w:val="bullet"/>
      <w:lvlText w:val="•"/>
      <w:lvlJc w:val="left"/>
      <w:pPr>
        <w:ind w:left="5352" w:hanging="188"/>
      </w:pPr>
      <w:rPr>
        <w:rFonts w:hint="default"/>
        <w:lang w:val="en-US" w:eastAsia="en-US" w:bidi="ar-SA"/>
      </w:rPr>
    </w:lvl>
    <w:lvl w:ilvl="6" w:tplc="CDD02C28">
      <w:numFmt w:val="bullet"/>
      <w:lvlText w:val="•"/>
      <w:lvlJc w:val="left"/>
      <w:pPr>
        <w:ind w:left="6327" w:hanging="188"/>
      </w:pPr>
      <w:rPr>
        <w:rFonts w:hint="default"/>
        <w:lang w:val="en-US" w:eastAsia="en-US" w:bidi="ar-SA"/>
      </w:rPr>
    </w:lvl>
    <w:lvl w:ilvl="7" w:tplc="63AE8BAC">
      <w:numFmt w:val="bullet"/>
      <w:lvlText w:val="•"/>
      <w:lvlJc w:val="left"/>
      <w:pPr>
        <w:ind w:left="7301" w:hanging="188"/>
      </w:pPr>
      <w:rPr>
        <w:rFonts w:hint="default"/>
        <w:lang w:val="en-US" w:eastAsia="en-US" w:bidi="ar-SA"/>
      </w:rPr>
    </w:lvl>
    <w:lvl w:ilvl="8" w:tplc="B6348FA2">
      <w:numFmt w:val="bullet"/>
      <w:lvlText w:val="•"/>
      <w:lvlJc w:val="left"/>
      <w:pPr>
        <w:ind w:left="8276" w:hanging="188"/>
      </w:pPr>
      <w:rPr>
        <w:rFonts w:hint="default"/>
        <w:lang w:val="en-US" w:eastAsia="en-US" w:bidi="ar-SA"/>
      </w:rPr>
    </w:lvl>
  </w:abstractNum>
  <w:abstractNum w:abstractNumId="27" w15:restartNumberingAfterBreak="0">
    <w:nsid w:val="2E134CAE"/>
    <w:multiLevelType w:val="hybridMultilevel"/>
    <w:tmpl w:val="F7C49F78"/>
    <w:lvl w:ilvl="0" w:tplc="38DA8B54">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A678DF10">
      <w:numFmt w:val="bullet"/>
      <w:lvlText w:val="•"/>
      <w:lvlJc w:val="left"/>
      <w:pPr>
        <w:ind w:left="1454" w:hanging="188"/>
      </w:pPr>
      <w:rPr>
        <w:rFonts w:hint="default"/>
        <w:lang w:val="en-US" w:eastAsia="en-US" w:bidi="ar-SA"/>
      </w:rPr>
    </w:lvl>
    <w:lvl w:ilvl="2" w:tplc="1B08827E">
      <w:numFmt w:val="bullet"/>
      <w:lvlText w:val="•"/>
      <w:lvlJc w:val="left"/>
      <w:pPr>
        <w:ind w:left="2429" w:hanging="188"/>
      </w:pPr>
      <w:rPr>
        <w:rFonts w:hint="default"/>
        <w:lang w:val="en-US" w:eastAsia="en-US" w:bidi="ar-SA"/>
      </w:rPr>
    </w:lvl>
    <w:lvl w:ilvl="3" w:tplc="7C10F680">
      <w:numFmt w:val="bullet"/>
      <w:lvlText w:val="•"/>
      <w:lvlJc w:val="left"/>
      <w:pPr>
        <w:ind w:left="3403" w:hanging="188"/>
      </w:pPr>
      <w:rPr>
        <w:rFonts w:hint="default"/>
        <w:lang w:val="en-US" w:eastAsia="en-US" w:bidi="ar-SA"/>
      </w:rPr>
    </w:lvl>
    <w:lvl w:ilvl="4" w:tplc="16A062D6">
      <w:numFmt w:val="bullet"/>
      <w:lvlText w:val="•"/>
      <w:lvlJc w:val="left"/>
      <w:pPr>
        <w:ind w:left="4378" w:hanging="188"/>
      </w:pPr>
      <w:rPr>
        <w:rFonts w:hint="default"/>
        <w:lang w:val="en-US" w:eastAsia="en-US" w:bidi="ar-SA"/>
      </w:rPr>
    </w:lvl>
    <w:lvl w:ilvl="5" w:tplc="19706140">
      <w:numFmt w:val="bullet"/>
      <w:lvlText w:val="•"/>
      <w:lvlJc w:val="left"/>
      <w:pPr>
        <w:ind w:left="5352" w:hanging="188"/>
      </w:pPr>
      <w:rPr>
        <w:rFonts w:hint="default"/>
        <w:lang w:val="en-US" w:eastAsia="en-US" w:bidi="ar-SA"/>
      </w:rPr>
    </w:lvl>
    <w:lvl w:ilvl="6" w:tplc="48B01B66">
      <w:numFmt w:val="bullet"/>
      <w:lvlText w:val="•"/>
      <w:lvlJc w:val="left"/>
      <w:pPr>
        <w:ind w:left="6327" w:hanging="188"/>
      </w:pPr>
      <w:rPr>
        <w:rFonts w:hint="default"/>
        <w:lang w:val="en-US" w:eastAsia="en-US" w:bidi="ar-SA"/>
      </w:rPr>
    </w:lvl>
    <w:lvl w:ilvl="7" w:tplc="81A29826">
      <w:numFmt w:val="bullet"/>
      <w:lvlText w:val="•"/>
      <w:lvlJc w:val="left"/>
      <w:pPr>
        <w:ind w:left="7301" w:hanging="188"/>
      </w:pPr>
      <w:rPr>
        <w:rFonts w:hint="default"/>
        <w:lang w:val="en-US" w:eastAsia="en-US" w:bidi="ar-SA"/>
      </w:rPr>
    </w:lvl>
    <w:lvl w:ilvl="8" w:tplc="803A9128">
      <w:numFmt w:val="bullet"/>
      <w:lvlText w:val="•"/>
      <w:lvlJc w:val="left"/>
      <w:pPr>
        <w:ind w:left="8276" w:hanging="188"/>
      </w:pPr>
      <w:rPr>
        <w:rFonts w:hint="default"/>
        <w:lang w:val="en-US" w:eastAsia="en-US" w:bidi="ar-SA"/>
      </w:rPr>
    </w:lvl>
  </w:abstractNum>
  <w:abstractNum w:abstractNumId="28" w15:restartNumberingAfterBreak="0">
    <w:nsid w:val="2EDC60E1"/>
    <w:multiLevelType w:val="hybridMultilevel"/>
    <w:tmpl w:val="A734E8FE"/>
    <w:lvl w:ilvl="0" w:tplc="EEA4A938">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7E04F8E8">
      <w:numFmt w:val="bullet"/>
      <w:lvlText w:val="•"/>
      <w:lvlJc w:val="left"/>
      <w:pPr>
        <w:ind w:left="1454" w:hanging="188"/>
      </w:pPr>
      <w:rPr>
        <w:rFonts w:hint="default"/>
        <w:lang w:val="en-US" w:eastAsia="en-US" w:bidi="ar-SA"/>
      </w:rPr>
    </w:lvl>
    <w:lvl w:ilvl="2" w:tplc="613A4922">
      <w:numFmt w:val="bullet"/>
      <w:lvlText w:val="•"/>
      <w:lvlJc w:val="left"/>
      <w:pPr>
        <w:ind w:left="2429" w:hanging="188"/>
      </w:pPr>
      <w:rPr>
        <w:rFonts w:hint="default"/>
        <w:lang w:val="en-US" w:eastAsia="en-US" w:bidi="ar-SA"/>
      </w:rPr>
    </w:lvl>
    <w:lvl w:ilvl="3" w:tplc="E976E4C8">
      <w:numFmt w:val="bullet"/>
      <w:lvlText w:val="•"/>
      <w:lvlJc w:val="left"/>
      <w:pPr>
        <w:ind w:left="3403" w:hanging="188"/>
      </w:pPr>
      <w:rPr>
        <w:rFonts w:hint="default"/>
        <w:lang w:val="en-US" w:eastAsia="en-US" w:bidi="ar-SA"/>
      </w:rPr>
    </w:lvl>
    <w:lvl w:ilvl="4" w:tplc="8E1418D0">
      <w:numFmt w:val="bullet"/>
      <w:lvlText w:val="•"/>
      <w:lvlJc w:val="left"/>
      <w:pPr>
        <w:ind w:left="4378" w:hanging="188"/>
      </w:pPr>
      <w:rPr>
        <w:rFonts w:hint="default"/>
        <w:lang w:val="en-US" w:eastAsia="en-US" w:bidi="ar-SA"/>
      </w:rPr>
    </w:lvl>
    <w:lvl w:ilvl="5" w:tplc="28BC35C0">
      <w:numFmt w:val="bullet"/>
      <w:lvlText w:val="•"/>
      <w:lvlJc w:val="left"/>
      <w:pPr>
        <w:ind w:left="5352" w:hanging="188"/>
      </w:pPr>
      <w:rPr>
        <w:rFonts w:hint="default"/>
        <w:lang w:val="en-US" w:eastAsia="en-US" w:bidi="ar-SA"/>
      </w:rPr>
    </w:lvl>
    <w:lvl w:ilvl="6" w:tplc="6AB62CBC">
      <w:numFmt w:val="bullet"/>
      <w:lvlText w:val="•"/>
      <w:lvlJc w:val="left"/>
      <w:pPr>
        <w:ind w:left="6327" w:hanging="188"/>
      </w:pPr>
      <w:rPr>
        <w:rFonts w:hint="default"/>
        <w:lang w:val="en-US" w:eastAsia="en-US" w:bidi="ar-SA"/>
      </w:rPr>
    </w:lvl>
    <w:lvl w:ilvl="7" w:tplc="9F8439A4">
      <w:numFmt w:val="bullet"/>
      <w:lvlText w:val="•"/>
      <w:lvlJc w:val="left"/>
      <w:pPr>
        <w:ind w:left="7301" w:hanging="188"/>
      </w:pPr>
      <w:rPr>
        <w:rFonts w:hint="default"/>
        <w:lang w:val="en-US" w:eastAsia="en-US" w:bidi="ar-SA"/>
      </w:rPr>
    </w:lvl>
    <w:lvl w:ilvl="8" w:tplc="99DAC412">
      <w:numFmt w:val="bullet"/>
      <w:lvlText w:val="•"/>
      <w:lvlJc w:val="left"/>
      <w:pPr>
        <w:ind w:left="8276" w:hanging="188"/>
      </w:pPr>
      <w:rPr>
        <w:rFonts w:hint="default"/>
        <w:lang w:val="en-US" w:eastAsia="en-US" w:bidi="ar-SA"/>
      </w:rPr>
    </w:lvl>
  </w:abstractNum>
  <w:abstractNum w:abstractNumId="29" w15:restartNumberingAfterBreak="0">
    <w:nsid w:val="302839B7"/>
    <w:multiLevelType w:val="hybridMultilevel"/>
    <w:tmpl w:val="CCC09F52"/>
    <w:lvl w:ilvl="0" w:tplc="95A0C3C0">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15AE3694">
      <w:numFmt w:val="bullet"/>
      <w:lvlText w:val="•"/>
      <w:lvlJc w:val="left"/>
      <w:pPr>
        <w:ind w:left="1454" w:hanging="188"/>
      </w:pPr>
      <w:rPr>
        <w:rFonts w:hint="default"/>
        <w:lang w:val="en-US" w:eastAsia="en-US" w:bidi="ar-SA"/>
      </w:rPr>
    </w:lvl>
    <w:lvl w:ilvl="2" w:tplc="308825F4">
      <w:numFmt w:val="bullet"/>
      <w:lvlText w:val="•"/>
      <w:lvlJc w:val="left"/>
      <w:pPr>
        <w:ind w:left="2429" w:hanging="188"/>
      </w:pPr>
      <w:rPr>
        <w:rFonts w:hint="default"/>
        <w:lang w:val="en-US" w:eastAsia="en-US" w:bidi="ar-SA"/>
      </w:rPr>
    </w:lvl>
    <w:lvl w:ilvl="3" w:tplc="45C633BC">
      <w:numFmt w:val="bullet"/>
      <w:lvlText w:val="•"/>
      <w:lvlJc w:val="left"/>
      <w:pPr>
        <w:ind w:left="3403" w:hanging="188"/>
      </w:pPr>
      <w:rPr>
        <w:rFonts w:hint="default"/>
        <w:lang w:val="en-US" w:eastAsia="en-US" w:bidi="ar-SA"/>
      </w:rPr>
    </w:lvl>
    <w:lvl w:ilvl="4" w:tplc="1ADCB792">
      <w:numFmt w:val="bullet"/>
      <w:lvlText w:val="•"/>
      <w:lvlJc w:val="left"/>
      <w:pPr>
        <w:ind w:left="4378" w:hanging="188"/>
      </w:pPr>
      <w:rPr>
        <w:rFonts w:hint="default"/>
        <w:lang w:val="en-US" w:eastAsia="en-US" w:bidi="ar-SA"/>
      </w:rPr>
    </w:lvl>
    <w:lvl w:ilvl="5" w:tplc="D99E0D46">
      <w:numFmt w:val="bullet"/>
      <w:lvlText w:val="•"/>
      <w:lvlJc w:val="left"/>
      <w:pPr>
        <w:ind w:left="5352" w:hanging="188"/>
      </w:pPr>
      <w:rPr>
        <w:rFonts w:hint="default"/>
        <w:lang w:val="en-US" w:eastAsia="en-US" w:bidi="ar-SA"/>
      </w:rPr>
    </w:lvl>
    <w:lvl w:ilvl="6" w:tplc="8F0660C0">
      <w:numFmt w:val="bullet"/>
      <w:lvlText w:val="•"/>
      <w:lvlJc w:val="left"/>
      <w:pPr>
        <w:ind w:left="6327" w:hanging="188"/>
      </w:pPr>
      <w:rPr>
        <w:rFonts w:hint="default"/>
        <w:lang w:val="en-US" w:eastAsia="en-US" w:bidi="ar-SA"/>
      </w:rPr>
    </w:lvl>
    <w:lvl w:ilvl="7" w:tplc="29667C42">
      <w:numFmt w:val="bullet"/>
      <w:lvlText w:val="•"/>
      <w:lvlJc w:val="left"/>
      <w:pPr>
        <w:ind w:left="7301" w:hanging="188"/>
      </w:pPr>
      <w:rPr>
        <w:rFonts w:hint="default"/>
        <w:lang w:val="en-US" w:eastAsia="en-US" w:bidi="ar-SA"/>
      </w:rPr>
    </w:lvl>
    <w:lvl w:ilvl="8" w:tplc="79C86984">
      <w:numFmt w:val="bullet"/>
      <w:lvlText w:val="•"/>
      <w:lvlJc w:val="left"/>
      <w:pPr>
        <w:ind w:left="8276" w:hanging="188"/>
      </w:pPr>
      <w:rPr>
        <w:rFonts w:hint="default"/>
        <w:lang w:val="en-US" w:eastAsia="en-US" w:bidi="ar-SA"/>
      </w:rPr>
    </w:lvl>
  </w:abstractNum>
  <w:abstractNum w:abstractNumId="30" w15:restartNumberingAfterBreak="0">
    <w:nsid w:val="33D1173C"/>
    <w:multiLevelType w:val="hybridMultilevel"/>
    <w:tmpl w:val="2D767E00"/>
    <w:lvl w:ilvl="0" w:tplc="3844DBB4">
      <w:numFmt w:val="bullet"/>
      <w:lvlText w:val="-"/>
      <w:lvlJc w:val="left"/>
      <w:pPr>
        <w:ind w:left="860" w:hanging="220"/>
      </w:pPr>
      <w:rPr>
        <w:rFonts w:ascii="MS Gothic" w:eastAsia="MS Gothic" w:hAnsi="MS Gothic" w:cs="MS Gothic" w:hint="default"/>
        <w:color w:val="333333"/>
        <w:w w:val="100"/>
        <w:sz w:val="22"/>
        <w:szCs w:val="22"/>
        <w:lang w:val="en-US" w:eastAsia="en-US" w:bidi="ar-SA"/>
      </w:rPr>
    </w:lvl>
    <w:lvl w:ilvl="1" w:tplc="37260E66">
      <w:numFmt w:val="bullet"/>
      <w:lvlText w:val="•"/>
      <w:lvlJc w:val="left"/>
      <w:pPr>
        <w:ind w:left="1767" w:hanging="220"/>
      </w:pPr>
      <w:rPr>
        <w:rFonts w:hint="default"/>
        <w:lang w:val="en-US" w:eastAsia="en-US" w:bidi="ar-SA"/>
      </w:rPr>
    </w:lvl>
    <w:lvl w:ilvl="2" w:tplc="C42ED062">
      <w:numFmt w:val="bullet"/>
      <w:lvlText w:val="•"/>
      <w:lvlJc w:val="left"/>
      <w:pPr>
        <w:ind w:left="2675" w:hanging="220"/>
      </w:pPr>
      <w:rPr>
        <w:rFonts w:hint="default"/>
        <w:lang w:val="en-US" w:eastAsia="en-US" w:bidi="ar-SA"/>
      </w:rPr>
    </w:lvl>
    <w:lvl w:ilvl="3" w:tplc="D9FC2C98">
      <w:numFmt w:val="bullet"/>
      <w:lvlText w:val="•"/>
      <w:lvlJc w:val="left"/>
      <w:pPr>
        <w:ind w:left="3583" w:hanging="220"/>
      </w:pPr>
      <w:rPr>
        <w:rFonts w:hint="default"/>
        <w:lang w:val="en-US" w:eastAsia="en-US" w:bidi="ar-SA"/>
      </w:rPr>
    </w:lvl>
    <w:lvl w:ilvl="4" w:tplc="32C04A7C">
      <w:numFmt w:val="bullet"/>
      <w:lvlText w:val="•"/>
      <w:lvlJc w:val="left"/>
      <w:pPr>
        <w:ind w:left="4491" w:hanging="220"/>
      </w:pPr>
      <w:rPr>
        <w:rFonts w:hint="default"/>
        <w:lang w:val="en-US" w:eastAsia="en-US" w:bidi="ar-SA"/>
      </w:rPr>
    </w:lvl>
    <w:lvl w:ilvl="5" w:tplc="E676E688">
      <w:numFmt w:val="bullet"/>
      <w:lvlText w:val="•"/>
      <w:lvlJc w:val="left"/>
      <w:pPr>
        <w:ind w:left="5398" w:hanging="220"/>
      </w:pPr>
      <w:rPr>
        <w:rFonts w:hint="default"/>
        <w:lang w:val="en-US" w:eastAsia="en-US" w:bidi="ar-SA"/>
      </w:rPr>
    </w:lvl>
    <w:lvl w:ilvl="6" w:tplc="A1221AD4">
      <w:numFmt w:val="bullet"/>
      <w:lvlText w:val="•"/>
      <w:lvlJc w:val="left"/>
      <w:pPr>
        <w:ind w:left="6306" w:hanging="220"/>
      </w:pPr>
      <w:rPr>
        <w:rFonts w:hint="default"/>
        <w:lang w:val="en-US" w:eastAsia="en-US" w:bidi="ar-SA"/>
      </w:rPr>
    </w:lvl>
    <w:lvl w:ilvl="7" w:tplc="A11AD84A">
      <w:numFmt w:val="bullet"/>
      <w:lvlText w:val="•"/>
      <w:lvlJc w:val="left"/>
      <w:pPr>
        <w:ind w:left="7214" w:hanging="220"/>
      </w:pPr>
      <w:rPr>
        <w:rFonts w:hint="default"/>
        <w:lang w:val="en-US" w:eastAsia="en-US" w:bidi="ar-SA"/>
      </w:rPr>
    </w:lvl>
    <w:lvl w:ilvl="8" w:tplc="3A705012">
      <w:numFmt w:val="bullet"/>
      <w:lvlText w:val="•"/>
      <w:lvlJc w:val="left"/>
      <w:pPr>
        <w:ind w:left="8122" w:hanging="220"/>
      </w:pPr>
      <w:rPr>
        <w:rFonts w:hint="default"/>
        <w:lang w:val="en-US" w:eastAsia="en-US" w:bidi="ar-SA"/>
      </w:rPr>
    </w:lvl>
  </w:abstractNum>
  <w:abstractNum w:abstractNumId="31" w15:restartNumberingAfterBreak="0">
    <w:nsid w:val="34C772E5"/>
    <w:multiLevelType w:val="hybridMultilevel"/>
    <w:tmpl w:val="F486486C"/>
    <w:lvl w:ilvl="0" w:tplc="B8F2A378">
      <w:start w:val="1"/>
      <w:numFmt w:val="decimal"/>
      <w:lvlText w:val="%1."/>
      <w:lvlJc w:val="left"/>
      <w:pPr>
        <w:ind w:left="349" w:hanging="225"/>
      </w:pPr>
      <w:rPr>
        <w:rFonts w:ascii="Cambria" w:eastAsia="Cambria" w:hAnsi="Cambria" w:cs="Cambria" w:hint="default"/>
        <w:color w:val="333333"/>
        <w:spacing w:val="-1"/>
        <w:w w:val="106"/>
        <w:sz w:val="21"/>
        <w:szCs w:val="21"/>
        <w:lang w:val="en-US" w:eastAsia="en-US" w:bidi="ar-SA"/>
      </w:rPr>
    </w:lvl>
    <w:lvl w:ilvl="1" w:tplc="CA7A1EA4">
      <w:start w:val="1"/>
      <w:numFmt w:val="decimal"/>
      <w:lvlText w:val="%1.%2."/>
      <w:lvlJc w:val="left"/>
      <w:pPr>
        <w:ind w:left="758" w:hanging="395"/>
      </w:pPr>
      <w:rPr>
        <w:rFonts w:ascii="Cambria" w:eastAsia="Cambria" w:hAnsi="Cambria" w:cs="Cambria" w:hint="default"/>
        <w:color w:val="333333"/>
        <w:spacing w:val="-1"/>
        <w:w w:val="106"/>
        <w:sz w:val="21"/>
        <w:szCs w:val="21"/>
        <w:lang w:val="en-US" w:eastAsia="en-US" w:bidi="ar-SA"/>
      </w:rPr>
    </w:lvl>
    <w:lvl w:ilvl="2" w:tplc="CECE5B02">
      <w:start w:val="1"/>
      <w:numFmt w:val="decimal"/>
      <w:lvlText w:val="%1.%2.%3."/>
      <w:lvlJc w:val="left"/>
      <w:pPr>
        <w:ind w:left="1168" w:hanging="564"/>
      </w:pPr>
      <w:rPr>
        <w:rFonts w:ascii="Cambria" w:eastAsia="Cambria" w:hAnsi="Cambria" w:cs="Cambria" w:hint="default"/>
        <w:color w:val="333333"/>
        <w:spacing w:val="-1"/>
        <w:w w:val="106"/>
        <w:sz w:val="21"/>
        <w:szCs w:val="21"/>
        <w:lang w:val="en-US" w:eastAsia="en-US" w:bidi="ar-SA"/>
      </w:rPr>
    </w:lvl>
    <w:lvl w:ilvl="3" w:tplc="EFE82AE0">
      <w:numFmt w:val="bullet"/>
      <w:lvlText w:val="•"/>
      <w:lvlJc w:val="left"/>
      <w:pPr>
        <w:ind w:left="1280" w:hanging="564"/>
      </w:pPr>
      <w:rPr>
        <w:rFonts w:hint="default"/>
        <w:lang w:val="en-US" w:eastAsia="en-US" w:bidi="ar-SA"/>
      </w:rPr>
    </w:lvl>
    <w:lvl w:ilvl="4" w:tplc="2256BBA8">
      <w:numFmt w:val="bullet"/>
      <w:lvlText w:val="•"/>
      <w:lvlJc w:val="left"/>
      <w:pPr>
        <w:ind w:left="2557" w:hanging="564"/>
      </w:pPr>
      <w:rPr>
        <w:rFonts w:hint="default"/>
        <w:lang w:val="en-US" w:eastAsia="en-US" w:bidi="ar-SA"/>
      </w:rPr>
    </w:lvl>
    <w:lvl w:ilvl="5" w:tplc="94CCD336">
      <w:numFmt w:val="bullet"/>
      <w:lvlText w:val="•"/>
      <w:lvlJc w:val="left"/>
      <w:pPr>
        <w:ind w:left="3835" w:hanging="564"/>
      </w:pPr>
      <w:rPr>
        <w:rFonts w:hint="default"/>
        <w:lang w:val="en-US" w:eastAsia="en-US" w:bidi="ar-SA"/>
      </w:rPr>
    </w:lvl>
    <w:lvl w:ilvl="6" w:tplc="35BE2444">
      <w:numFmt w:val="bullet"/>
      <w:lvlText w:val="•"/>
      <w:lvlJc w:val="left"/>
      <w:pPr>
        <w:ind w:left="5113" w:hanging="564"/>
      </w:pPr>
      <w:rPr>
        <w:rFonts w:hint="default"/>
        <w:lang w:val="en-US" w:eastAsia="en-US" w:bidi="ar-SA"/>
      </w:rPr>
    </w:lvl>
    <w:lvl w:ilvl="7" w:tplc="9FB0D4F4">
      <w:numFmt w:val="bullet"/>
      <w:lvlText w:val="•"/>
      <w:lvlJc w:val="left"/>
      <w:pPr>
        <w:ind w:left="6391" w:hanging="564"/>
      </w:pPr>
      <w:rPr>
        <w:rFonts w:hint="default"/>
        <w:lang w:val="en-US" w:eastAsia="en-US" w:bidi="ar-SA"/>
      </w:rPr>
    </w:lvl>
    <w:lvl w:ilvl="8" w:tplc="496E671A">
      <w:numFmt w:val="bullet"/>
      <w:lvlText w:val="•"/>
      <w:lvlJc w:val="left"/>
      <w:pPr>
        <w:ind w:left="7669" w:hanging="564"/>
      </w:pPr>
      <w:rPr>
        <w:rFonts w:hint="default"/>
        <w:lang w:val="en-US" w:eastAsia="en-US" w:bidi="ar-SA"/>
      </w:rPr>
    </w:lvl>
  </w:abstractNum>
  <w:abstractNum w:abstractNumId="32" w15:restartNumberingAfterBreak="0">
    <w:nsid w:val="359E3D66"/>
    <w:multiLevelType w:val="hybridMultilevel"/>
    <w:tmpl w:val="65CA54D4"/>
    <w:lvl w:ilvl="0" w:tplc="D960B45E">
      <w:start w:val="10"/>
      <w:numFmt w:val="decimal"/>
      <w:lvlText w:val="%1"/>
      <w:lvlJc w:val="left"/>
      <w:pPr>
        <w:ind w:left="1299" w:hanging="695"/>
      </w:pPr>
      <w:rPr>
        <w:rFonts w:hint="default"/>
        <w:lang w:val="en-US" w:eastAsia="en-US" w:bidi="ar-SA"/>
      </w:rPr>
    </w:lvl>
    <w:lvl w:ilvl="1" w:tplc="050E4F34">
      <w:start w:val="5"/>
      <w:numFmt w:val="upperLetter"/>
      <w:lvlText w:val="%1.%2"/>
      <w:lvlJc w:val="left"/>
      <w:pPr>
        <w:ind w:left="1299" w:hanging="695"/>
      </w:pPr>
      <w:rPr>
        <w:rFonts w:hint="default"/>
        <w:lang w:val="en-US" w:eastAsia="en-US" w:bidi="ar-SA"/>
      </w:rPr>
    </w:lvl>
    <w:lvl w:ilvl="2" w:tplc="F730A3E8">
      <w:start w:val="1"/>
      <w:numFmt w:val="decimal"/>
      <w:lvlText w:val="%1.%2.%3."/>
      <w:lvlJc w:val="left"/>
      <w:pPr>
        <w:ind w:left="1299" w:hanging="695"/>
      </w:pPr>
      <w:rPr>
        <w:rFonts w:ascii="Cambria" w:eastAsia="Cambria" w:hAnsi="Cambria" w:cs="Cambria" w:hint="default"/>
        <w:color w:val="333333"/>
        <w:spacing w:val="-1"/>
        <w:w w:val="106"/>
        <w:sz w:val="21"/>
        <w:szCs w:val="21"/>
        <w:lang w:val="en-US" w:eastAsia="en-US" w:bidi="ar-SA"/>
      </w:rPr>
    </w:lvl>
    <w:lvl w:ilvl="3" w:tplc="91CCA9F8">
      <w:numFmt w:val="bullet"/>
      <w:lvlText w:val="•"/>
      <w:lvlJc w:val="left"/>
      <w:pPr>
        <w:ind w:left="3977" w:hanging="695"/>
      </w:pPr>
      <w:rPr>
        <w:rFonts w:hint="default"/>
        <w:lang w:val="en-US" w:eastAsia="en-US" w:bidi="ar-SA"/>
      </w:rPr>
    </w:lvl>
    <w:lvl w:ilvl="4" w:tplc="31F611EE">
      <w:numFmt w:val="bullet"/>
      <w:lvlText w:val="•"/>
      <w:lvlJc w:val="left"/>
      <w:pPr>
        <w:ind w:left="4870" w:hanging="695"/>
      </w:pPr>
      <w:rPr>
        <w:rFonts w:hint="default"/>
        <w:lang w:val="en-US" w:eastAsia="en-US" w:bidi="ar-SA"/>
      </w:rPr>
    </w:lvl>
    <w:lvl w:ilvl="5" w:tplc="2F94991A">
      <w:numFmt w:val="bullet"/>
      <w:lvlText w:val="•"/>
      <w:lvlJc w:val="left"/>
      <w:pPr>
        <w:ind w:left="5762" w:hanging="695"/>
      </w:pPr>
      <w:rPr>
        <w:rFonts w:hint="default"/>
        <w:lang w:val="en-US" w:eastAsia="en-US" w:bidi="ar-SA"/>
      </w:rPr>
    </w:lvl>
    <w:lvl w:ilvl="6" w:tplc="F272A448">
      <w:numFmt w:val="bullet"/>
      <w:lvlText w:val="•"/>
      <w:lvlJc w:val="left"/>
      <w:pPr>
        <w:ind w:left="6655" w:hanging="695"/>
      </w:pPr>
      <w:rPr>
        <w:rFonts w:hint="default"/>
        <w:lang w:val="en-US" w:eastAsia="en-US" w:bidi="ar-SA"/>
      </w:rPr>
    </w:lvl>
    <w:lvl w:ilvl="7" w:tplc="E8B02526">
      <w:numFmt w:val="bullet"/>
      <w:lvlText w:val="•"/>
      <w:lvlJc w:val="left"/>
      <w:pPr>
        <w:ind w:left="7547" w:hanging="695"/>
      </w:pPr>
      <w:rPr>
        <w:rFonts w:hint="default"/>
        <w:lang w:val="en-US" w:eastAsia="en-US" w:bidi="ar-SA"/>
      </w:rPr>
    </w:lvl>
    <w:lvl w:ilvl="8" w:tplc="8D36B118">
      <w:numFmt w:val="bullet"/>
      <w:lvlText w:val="•"/>
      <w:lvlJc w:val="left"/>
      <w:pPr>
        <w:ind w:left="8440" w:hanging="695"/>
      </w:pPr>
      <w:rPr>
        <w:rFonts w:hint="default"/>
        <w:lang w:val="en-US" w:eastAsia="en-US" w:bidi="ar-SA"/>
      </w:rPr>
    </w:lvl>
  </w:abstractNum>
  <w:abstractNum w:abstractNumId="33" w15:restartNumberingAfterBreak="0">
    <w:nsid w:val="35A36AC2"/>
    <w:multiLevelType w:val="hybridMultilevel"/>
    <w:tmpl w:val="D578E092"/>
    <w:lvl w:ilvl="0" w:tplc="DCC86F88">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1B04D7D6">
      <w:numFmt w:val="bullet"/>
      <w:lvlText w:val="•"/>
      <w:lvlJc w:val="left"/>
      <w:pPr>
        <w:ind w:left="1454" w:hanging="188"/>
      </w:pPr>
      <w:rPr>
        <w:rFonts w:hint="default"/>
        <w:lang w:val="en-US" w:eastAsia="en-US" w:bidi="ar-SA"/>
      </w:rPr>
    </w:lvl>
    <w:lvl w:ilvl="2" w:tplc="B8B6923E">
      <w:numFmt w:val="bullet"/>
      <w:lvlText w:val="•"/>
      <w:lvlJc w:val="left"/>
      <w:pPr>
        <w:ind w:left="2429" w:hanging="188"/>
      </w:pPr>
      <w:rPr>
        <w:rFonts w:hint="default"/>
        <w:lang w:val="en-US" w:eastAsia="en-US" w:bidi="ar-SA"/>
      </w:rPr>
    </w:lvl>
    <w:lvl w:ilvl="3" w:tplc="DB6E83AC">
      <w:numFmt w:val="bullet"/>
      <w:lvlText w:val="•"/>
      <w:lvlJc w:val="left"/>
      <w:pPr>
        <w:ind w:left="3403" w:hanging="188"/>
      </w:pPr>
      <w:rPr>
        <w:rFonts w:hint="default"/>
        <w:lang w:val="en-US" w:eastAsia="en-US" w:bidi="ar-SA"/>
      </w:rPr>
    </w:lvl>
    <w:lvl w:ilvl="4" w:tplc="BB763DD6">
      <w:numFmt w:val="bullet"/>
      <w:lvlText w:val="•"/>
      <w:lvlJc w:val="left"/>
      <w:pPr>
        <w:ind w:left="4378" w:hanging="188"/>
      </w:pPr>
      <w:rPr>
        <w:rFonts w:hint="default"/>
        <w:lang w:val="en-US" w:eastAsia="en-US" w:bidi="ar-SA"/>
      </w:rPr>
    </w:lvl>
    <w:lvl w:ilvl="5" w:tplc="AA783ECC">
      <w:numFmt w:val="bullet"/>
      <w:lvlText w:val="•"/>
      <w:lvlJc w:val="left"/>
      <w:pPr>
        <w:ind w:left="5352" w:hanging="188"/>
      </w:pPr>
      <w:rPr>
        <w:rFonts w:hint="default"/>
        <w:lang w:val="en-US" w:eastAsia="en-US" w:bidi="ar-SA"/>
      </w:rPr>
    </w:lvl>
    <w:lvl w:ilvl="6" w:tplc="865CE5A8">
      <w:numFmt w:val="bullet"/>
      <w:lvlText w:val="•"/>
      <w:lvlJc w:val="left"/>
      <w:pPr>
        <w:ind w:left="6327" w:hanging="188"/>
      </w:pPr>
      <w:rPr>
        <w:rFonts w:hint="default"/>
        <w:lang w:val="en-US" w:eastAsia="en-US" w:bidi="ar-SA"/>
      </w:rPr>
    </w:lvl>
    <w:lvl w:ilvl="7" w:tplc="EA2E91DC">
      <w:numFmt w:val="bullet"/>
      <w:lvlText w:val="•"/>
      <w:lvlJc w:val="left"/>
      <w:pPr>
        <w:ind w:left="7301" w:hanging="188"/>
      </w:pPr>
      <w:rPr>
        <w:rFonts w:hint="default"/>
        <w:lang w:val="en-US" w:eastAsia="en-US" w:bidi="ar-SA"/>
      </w:rPr>
    </w:lvl>
    <w:lvl w:ilvl="8" w:tplc="30C43138">
      <w:numFmt w:val="bullet"/>
      <w:lvlText w:val="•"/>
      <w:lvlJc w:val="left"/>
      <w:pPr>
        <w:ind w:left="8276" w:hanging="188"/>
      </w:pPr>
      <w:rPr>
        <w:rFonts w:hint="default"/>
        <w:lang w:val="en-US" w:eastAsia="en-US" w:bidi="ar-SA"/>
      </w:rPr>
    </w:lvl>
  </w:abstractNum>
  <w:abstractNum w:abstractNumId="34" w15:restartNumberingAfterBreak="0">
    <w:nsid w:val="371C5F36"/>
    <w:multiLevelType w:val="hybridMultilevel"/>
    <w:tmpl w:val="D676F702"/>
    <w:lvl w:ilvl="0" w:tplc="A7469E90">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9CE0E00C">
      <w:numFmt w:val="bullet"/>
      <w:lvlText w:val="•"/>
      <w:lvlJc w:val="left"/>
      <w:pPr>
        <w:ind w:left="1924" w:hanging="188"/>
      </w:pPr>
      <w:rPr>
        <w:rFonts w:ascii="Cambria" w:eastAsia="Cambria" w:hAnsi="Cambria" w:cs="Cambria" w:hint="default"/>
        <w:color w:val="333333"/>
        <w:w w:val="81"/>
        <w:sz w:val="21"/>
        <w:szCs w:val="21"/>
        <w:lang w:val="en-US" w:eastAsia="en-US" w:bidi="ar-SA"/>
      </w:rPr>
    </w:lvl>
    <w:lvl w:ilvl="2" w:tplc="C660F6D8">
      <w:numFmt w:val="bullet"/>
      <w:lvlText w:val="•"/>
      <w:lvlJc w:val="left"/>
      <w:pPr>
        <w:ind w:left="2842" w:hanging="188"/>
      </w:pPr>
      <w:rPr>
        <w:rFonts w:hint="default"/>
        <w:lang w:val="en-US" w:eastAsia="en-US" w:bidi="ar-SA"/>
      </w:rPr>
    </w:lvl>
    <w:lvl w:ilvl="3" w:tplc="4FF2789A">
      <w:numFmt w:val="bullet"/>
      <w:lvlText w:val="•"/>
      <w:lvlJc w:val="left"/>
      <w:pPr>
        <w:ind w:left="3765" w:hanging="188"/>
      </w:pPr>
      <w:rPr>
        <w:rFonts w:hint="default"/>
        <w:lang w:val="en-US" w:eastAsia="en-US" w:bidi="ar-SA"/>
      </w:rPr>
    </w:lvl>
    <w:lvl w:ilvl="4" w:tplc="50AC3C1E">
      <w:numFmt w:val="bullet"/>
      <w:lvlText w:val="•"/>
      <w:lvlJc w:val="left"/>
      <w:pPr>
        <w:ind w:left="4688" w:hanging="188"/>
      </w:pPr>
      <w:rPr>
        <w:rFonts w:hint="default"/>
        <w:lang w:val="en-US" w:eastAsia="en-US" w:bidi="ar-SA"/>
      </w:rPr>
    </w:lvl>
    <w:lvl w:ilvl="5" w:tplc="AD1A3AC2">
      <w:numFmt w:val="bullet"/>
      <w:lvlText w:val="•"/>
      <w:lvlJc w:val="left"/>
      <w:pPr>
        <w:ind w:left="5611" w:hanging="188"/>
      </w:pPr>
      <w:rPr>
        <w:rFonts w:hint="default"/>
        <w:lang w:val="en-US" w:eastAsia="en-US" w:bidi="ar-SA"/>
      </w:rPr>
    </w:lvl>
    <w:lvl w:ilvl="6" w:tplc="8D94E568">
      <w:numFmt w:val="bullet"/>
      <w:lvlText w:val="•"/>
      <w:lvlJc w:val="left"/>
      <w:pPr>
        <w:ind w:left="6534" w:hanging="188"/>
      </w:pPr>
      <w:rPr>
        <w:rFonts w:hint="default"/>
        <w:lang w:val="en-US" w:eastAsia="en-US" w:bidi="ar-SA"/>
      </w:rPr>
    </w:lvl>
    <w:lvl w:ilvl="7" w:tplc="614402CA">
      <w:numFmt w:val="bullet"/>
      <w:lvlText w:val="•"/>
      <w:lvlJc w:val="left"/>
      <w:pPr>
        <w:ind w:left="7457" w:hanging="188"/>
      </w:pPr>
      <w:rPr>
        <w:rFonts w:hint="default"/>
        <w:lang w:val="en-US" w:eastAsia="en-US" w:bidi="ar-SA"/>
      </w:rPr>
    </w:lvl>
    <w:lvl w:ilvl="8" w:tplc="5EB47E7E">
      <w:numFmt w:val="bullet"/>
      <w:lvlText w:val="•"/>
      <w:lvlJc w:val="left"/>
      <w:pPr>
        <w:ind w:left="8379" w:hanging="188"/>
      </w:pPr>
      <w:rPr>
        <w:rFonts w:hint="default"/>
        <w:lang w:val="en-US" w:eastAsia="en-US" w:bidi="ar-SA"/>
      </w:rPr>
    </w:lvl>
  </w:abstractNum>
  <w:abstractNum w:abstractNumId="35" w15:restartNumberingAfterBreak="0">
    <w:nsid w:val="38170889"/>
    <w:multiLevelType w:val="hybridMultilevel"/>
    <w:tmpl w:val="6452F7B6"/>
    <w:lvl w:ilvl="0" w:tplc="A52AA82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BDB68634">
      <w:numFmt w:val="bullet"/>
      <w:lvlText w:val="•"/>
      <w:lvlJc w:val="left"/>
      <w:pPr>
        <w:ind w:left="1454" w:hanging="188"/>
      </w:pPr>
      <w:rPr>
        <w:rFonts w:hint="default"/>
        <w:lang w:val="en-US" w:eastAsia="en-US" w:bidi="ar-SA"/>
      </w:rPr>
    </w:lvl>
    <w:lvl w:ilvl="2" w:tplc="DB2EEC02">
      <w:numFmt w:val="bullet"/>
      <w:lvlText w:val="•"/>
      <w:lvlJc w:val="left"/>
      <w:pPr>
        <w:ind w:left="2429" w:hanging="188"/>
      </w:pPr>
      <w:rPr>
        <w:rFonts w:hint="default"/>
        <w:lang w:val="en-US" w:eastAsia="en-US" w:bidi="ar-SA"/>
      </w:rPr>
    </w:lvl>
    <w:lvl w:ilvl="3" w:tplc="A030FF90">
      <w:numFmt w:val="bullet"/>
      <w:lvlText w:val="•"/>
      <w:lvlJc w:val="left"/>
      <w:pPr>
        <w:ind w:left="3403" w:hanging="188"/>
      </w:pPr>
      <w:rPr>
        <w:rFonts w:hint="default"/>
        <w:lang w:val="en-US" w:eastAsia="en-US" w:bidi="ar-SA"/>
      </w:rPr>
    </w:lvl>
    <w:lvl w:ilvl="4" w:tplc="E50C7CC4">
      <w:numFmt w:val="bullet"/>
      <w:lvlText w:val="•"/>
      <w:lvlJc w:val="left"/>
      <w:pPr>
        <w:ind w:left="4378" w:hanging="188"/>
      </w:pPr>
      <w:rPr>
        <w:rFonts w:hint="default"/>
        <w:lang w:val="en-US" w:eastAsia="en-US" w:bidi="ar-SA"/>
      </w:rPr>
    </w:lvl>
    <w:lvl w:ilvl="5" w:tplc="E81E4A2E">
      <w:numFmt w:val="bullet"/>
      <w:lvlText w:val="•"/>
      <w:lvlJc w:val="left"/>
      <w:pPr>
        <w:ind w:left="5352" w:hanging="188"/>
      </w:pPr>
      <w:rPr>
        <w:rFonts w:hint="default"/>
        <w:lang w:val="en-US" w:eastAsia="en-US" w:bidi="ar-SA"/>
      </w:rPr>
    </w:lvl>
    <w:lvl w:ilvl="6" w:tplc="4614EEBC">
      <w:numFmt w:val="bullet"/>
      <w:lvlText w:val="•"/>
      <w:lvlJc w:val="left"/>
      <w:pPr>
        <w:ind w:left="6327" w:hanging="188"/>
      </w:pPr>
      <w:rPr>
        <w:rFonts w:hint="default"/>
        <w:lang w:val="en-US" w:eastAsia="en-US" w:bidi="ar-SA"/>
      </w:rPr>
    </w:lvl>
    <w:lvl w:ilvl="7" w:tplc="4E06B878">
      <w:numFmt w:val="bullet"/>
      <w:lvlText w:val="•"/>
      <w:lvlJc w:val="left"/>
      <w:pPr>
        <w:ind w:left="7301" w:hanging="188"/>
      </w:pPr>
      <w:rPr>
        <w:rFonts w:hint="default"/>
        <w:lang w:val="en-US" w:eastAsia="en-US" w:bidi="ar-SA"/>
      </w:rPr>
    </w:lvl>
    <w:lvl w:ilvl="8" w:tplc="65A836D2">
      <w:numFmt w:val="bullet"/>
      <w:lvlText w:val="•"/>
      <w:lvlJc w:val="left"/>
      <w:pPr>
        <w:ind w:left="8276" w:hanging="188"/>
      </w:pPr>
      <w:rPr>
        <w:rFonts w:hint="default"/>
        <w:lang w:val="en-US" w:eastAsia="en-US" w:bidi="ar-SA"/>
      </w:rPr>
    </w:lvl>
  </w:abstractNum>
  <w:abstractNum w:abstractNumId="36" w15:restartNumberingAfterBreak="0">
    <w:nsid w:val="38AD0A9A"/>
    <w:multiLevelType w:val="hybridMultilevel"/>
    <w:tmpl w:val="EF566C3C"/>
    <w:lvl w:ilvl="0" w:tplc="B3929E76">
      <w:numFmt w:val="decimal"/>
      <w:lvlText w:val="%1"/>
      <w:lvlJc w:val="left"/>
      <w:pPr>
        <w:ind w:left="784" w:hanging="220"/>
      </w:pPr>
      <w:rPr>
        <w:rFonts w:ascii="MS Gothic" w:eastAsia="MS Gothic" w:hAnsi="MS Gothic" w:cs="MS Gothic" w:hint="default"/>
        <w:color w:val="333333"/>
        <w:w w:val="100"/>
        <w:sz w:val="22"/>
        <w:szCs w:val="22"/>
        <w:lang w:val="en-US" w:eastAsia="en-US" w:bidi="ar-SA"/>
      </w:rPr>
    </w:lvl>
    <w:lvl w:ilvl="1" w:tplc="A38EEFE8">
      <w:numFmt w:val="bullet"/>
      <w:lvlText w:val="•"/>
      <w:lvlJc w:val="left"/>
      <w:pPr>
        <w:ind w:left="1724" w:hanging="220"/>
      </w:pPr>
      <w:rPr>
        <w:rFonts w:hint="default"/>
        <w:lang w:val="en-US" w:eastAsia="en-US" w:bidi="ar-SA"/>
      </w:rPr>
    </w:lvl>
    <w:lvl w:ilvl="2" w:tplc="17C89E72">
      <w:numFmt w:val="bullet"/>
      <w:lvlText w:val="•"/>
      <w:lvlJc w:val="left"/>
      <w:pPr>
        <w:ind w:left="2669" w:hanging="220"/>
      </w:pPr>
      <w:rPr>
        <w:rFonts w:hint="default"/>
        <w:lang w:val="en-US" w:eastAsia="en-US" w:bidi="ar-SA"/>
      </w:rPr>
    </w:lvl>
    <w:lvl w:ilvl="3" w:tplc="FDCAD496">
      <w:numFmt w:val="bullet"/>
      <w:lvlText w:val="•"/>
      <w:lvlJc w:val="left"/>
      <w:pPr>
        <w:ind w:left="3613" w:hanging="220"/>
      </w:pPr>
      <w:rPr>
        <w:rFonts w:hint="default"/>
        <w:lang w:val="en-US" w:eastAsia="en-US" w:bidi="ar-SA"/>
      </w:rPr>
    </w:lvl>
    <w:lvl w:ilvl="4" w:tplc="4080EA56">
      <w:numFmt w:val="bullet"/>
      <w:lvlText w:val="•"/>
      <w:lvlJc w:val="left"/>
      <w:pPr>
        <w:ind w:left="4558" w:hanging="220"/>
      </w:pPr>
      <w:rPr>
        <w:rFonts w:hint="default"/>
        <w:lang w:val="en-US" w:eastAsia="en-US" w:bidi="ar-SA"/>
      </w:rPr>
    </w:lvl>
    <w:lvl w:ilvl="5" w:tplc="7518AE88">
      <w:numFmt w:val="bullet"/>
      <w:lvlText w:val="•"/>
      <w:lvlJc w:val="left"/>
      <w:pPr>
        <w:ind w:left="5502" w:hanging="220"/>
      </w:pPr>
      <w:rPr>
        <w:rFonts w:hint="default"/>
        <w:lang w:val="en-US" w:eastAsia="en-US" w:bidi="ar-SA"/>
      </w:rPr>
    </w:lvl>
    <w:lvl w:ilvl="6" w:tplc="2D46438E">
      <w:numFmt w:val="bullet"/>
      <w:lvlText w:val="•"/>
      <w:lvlJc w:val="left"/>
      <w:pPr>
        <w:ind w:left="6447" w:hanging="220"/>
      </w:pPr>
      <w:rPr>
        <w:rFonts w:hint="default"/>
        <w:lang w:val="en-US" w:eastAsia="en-US" w:bidi="ar-SA"/>
      </w:rPr>
    </w:lvl>
    <w:lvl w:ilvl="7" w:tplc="348AF03E">
      <w:numFmt w:val="bullet"/>
      <w:lvlText w:val="•"/>
      <w:lvlJc w:val="left"/>
      <w:pPr>
        <w:ind w:left="7391" w:hanging="220"/>
      </w:pPr>
      <w:rPr>
        <w:rFonts w:hint="default"/>
        <w:lang w:val="en-US" w:eastAsia="en-US" w:bidi="ar-SA"/>
      </w:rPr>
    </w:lvl>
    <w:lvl w:ilvl="8" w:tplc="184A2830">
      <w:numFmt w:val="bullet"/>
      <w:lvlText w:val="•"/>
      <w:lvlJc w:val="left"/>
      <w:pPr>
        <w:ind w:left="8336" w:hanging="220"/>
      </w:pPr>
      <w:rPr>
        <w:rFonts w:hint="default"/>
        <w:lang w:val="en-US" w:eastAsia="en-US" w:bidi="ar-SA"/>
      </w:rPr>
    </w:lvl>
  </w:abstractNum>
  <w:abstractNum w:abstractNumId="37" w15:restartNumberingAfterBreak="0">
    <w:nsid w:val="38E84AB1"/>
    <w:multiLevelType w:val="hybridMultilevel"/>
    <w:tmpl w:val="76CE60E2"/>
    <w:lvl w:ilvl="0" w:tplc="5A722450">
      <w:start w:val="10"/>
      <w:numFmt w:val="decimal"/>
      <w:lvlText w:val="%1"/>
      <w:lvlJc w:val="left"/>
      <w:pPr>
        <w:ind w:left="1297" w:hanging="693"/>
      </w:pPr>
      <w:rPr>
        <w:rFonts w:hint="default"/>
        <w:lang w:val="en-US" w:eastAsia="en-US" w:bidi="ar-SA"/>
      </w:rPr>
    </w:lvl>
    <w:lvl w:ilvl="1" w:tplc="8B64E414">
      <w:start w:val="3"/>
      <w:numFmt w:val="upperLetter"/>
      <w:lvlText w:val="%1.%2"/>
      <w:lvlJc w:val="left"/>
      <w:pPr>
        <w:ind w:left="1297" w:hanging="693"/>
      </w:pPr>
      <w:rPr>
        <w:rFonts w:hint="default"/>
        <w:lang w:val="en-US" w:eastAsia="en-US" w:bidi="ar-SA"/>
      </w:rPr>
    </w:lvl>
    <w:lvl w:ilvl="2" w:tplc="716A8700">
      <w:start w:val="1"/>
      <w:numFmt w:val="decimal"/>
      <w:lvlText w:val="%1.%2.%3."/>
      <w:lvlJc w:val="left"/>
      <w:pPr>
        <w:ind w:left="1297" w:hanging="693"/>
      </w:pPr>
      <w:rPr>
        <w:rFonts w:ascii="Cambria" w:eastAsia="Cambria" w:hAnsi="Cambria" w:cs="Cambria" w:hint="default"/>
        <w:color w:val="333333"/>
        <w:spacing w:val="-1"/>
        <w:w w:val="107"/>
        <w:sz w:val="21"/>
        <w:szCs w:val="21"/>
        <w:lang w:val="en-US" w:eastAsia="en-US" w:bidi="ar-SA"/>
      </w:rPr>
    </w:lvl>
    <w:lvl w:ilvl="3" w:tplc="A9F0F1F0">
      <w:numFmt w:val="bullet"/>
      <w:lvlText w:val="•"/>
      <w:lvlJc w:val="left"/>
      <w:pPr>
        <w:ind w:left="3977" w:hanging="693"/>
      </w:pPr>
      <w:rPr>
        <w:rFonts w:hint="default"/>
        <w:lang w:val="en-US" w:eastAsia="en-US" w:bidi="ar-SA"/>
      </w:rPr>
    </w:lvl>
    <w:lvl w:ilvl="4" w:tplc="16BC6DA2">
      <w:numFmt w:val="bullet"/>
      <w:lvlText w:val="•"/>
      <w:lvlJc w:val="left"/>
      <w:pPr>
        <w:ind w:left="4870" w:hanging="693"/>
      </w:pPr>
      <w:rPr>
        <w:rFonts w:hint="default"/>
        <w:lang w:val="en-US" w:eastAsia="en-US" w:bidi="ar-SA"/>
      </w:rPr>
    </w:lvl>
    <w:lvl w:ilvl="5" w:tplc="74EE5C08">
      <w:numFmt w:val="bullet"/>
      <w:lvlText w:val="•"/>
      <w:lvlJc w:val="left"/>
      <w:pPr>
        <w:ind w:left="5762" w:hanging="693"/>
      </w:pPr>
      <w:rPr>
        <w:rFonts w:hint="default"/>
        <w:lang w:val="en-US" w:eastAsia="en-US" w:bidi="ar-SA"/>
      </w:rPr>
    </w:lvl>
    <w:lvl w:ilvl="6" w:tplc="15D841E6">
      <w:numFmt w:val="bullet"/>
      <w:lvlText w:val="•"/>
      <w:lvlJc w:val="left"/>
      <w:pPr>
        <w:ind w:left="6655" w:hanging="693"/>
      </w:pPr>
      <w:rPr>
        <w:rFonts w:hint="default"/>
        <w:lang w:val="en-US" w:eastAsia="en-US" w:bidi="ar-SA"/>
      </w:rPr>
    </w:lvl>
    <w:lvl w:ilvl="7" w:tplc="A4D28C56">
      <w:numFmt w:val="bullet"/>
      <w:lvlText w:val="•"/>
      <w:lvlJc w:val="left"/>
      <w:pPr>
        <w:ind w:left="7547" w:hanging="693"/>
      </w:pPr>
      <w:rPr>
        <w:rFonts w:hint="default"/>
        <w:lang w:val="en-US" w:eastAsia="en-US" w:bidi="ar-SA"/>
      </w:rPr>
    </w:lvl>
    <w:lvl w:ilvl="8" w:tplc="3782C58C">
      <w:numFmt w:val="bullet"/>
      <w:lvlText w:val="•"/>
      <w:lvlJc w:val="left"/>
      <w:pPr>
        <w:ind w:left="8440" w:hanging="693"/>
      </w:pPr>
      <w:rPr>
        <w:rFonts w:hint="default"/>
        <w:lang w:val="en-US" w:eastAsia="en-US" w:bidi="ar-SA"/>
      </w:rPr>
    </w:lvl>
  </w:abstractNum>
  <w:abstractNum w:abstractNumId="38" w15:restartNumberingAfterBreak="0">
    <w:nsid w:val="3A77278C"/>
    <w:multiLevelType w:val="hybridMultilevel"/>
    <w:tmpl w:val="B86A34D6"/>
    <w:lvl w:ilvl="0" w:tplc="748CAA20">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33B2B7F0">
      <w:numFmt w:val="bullet"/>
      <w:lvlText w:val="•"/>
      <w:lvlJc w:val="left"/>
      <w:pPr>
        <w:ind w:left="1454" w:hanging="188"/>
      </w:pPr>
      <w:rPr>
        <w:rFonts w:hint="default"/>
        <w:lang w:val="en-US" w:eastAsia="en-US" w:bidi="ar-SA"/>
      </w:rPr>
    </w:lvl>
    <w:lvl w:ilvl="2" w:tplc="1C787F76">
      <w:numFmt w:val="bullet"/>
      <w:lvlText w:val="•"/>
      <w:lvlJc w:val="left"/>
      <w:pPr>
        <w:ind w:left="2429" w:hanging="188"/>
      </w:pPr>
      <w:rPr>
        <w:rFonts w:hint="default"/>
        <w:lang w:val="en-US" w:eastAsia="en-US" w:bidi="ar-SA"/>
      </w:rPr>
    </w:lvl>
    <w:lvl w:ilvl="3" w:tplc="50FE8D7C">
      <w:numFmt w:val="bullet"/>
      <w:lvlText w:val="•"/>
      <w:lvlJc w:val="left"/>
      <w:pPr>
        <w:ind w:left="3403" w:hanging="188"/>
      </w:pPr>
      <w:rPr>
        <w:rFonts w:hint="default"/>
        <w:lang w:val="en-US" w:eastAsia="en-US" w:bidi="ar-SA"/>
      </w:rPr>
    </w:lvl>
    <w:lvl w:ilvl="4" w:tplc="33B4E636">
      <w:numFmt w:val="bullet"/>
      <w:lvlText w:val="•"/>
      <w:lvlJc w:val="left"/>
      <w:pPr>
        <w:ind w:left="4378" w:hanging="188"/>
      </w:pPr>
      <w:rPr>
        <w:rFonts w:hint="default"/>
        <w:lang w:val="en-US" w:eastAsia="en-US" w:bidi="ar-SA"/>
      </w:rPr>
    </w:lvl>
    <w:lvl w:ilvl="5" w:tplc="3DFA2468">
      <w:numFmt w:val="bullet"/>
      <w:lvlText w:val="•"/>
      <w:lvlJc w:val="left"/>
      <w:pPr>
        <w:ind w:left="5352" w:hanging="188"/>
      </w:pPr>
      <w:rPr>
        <w:rFonts w:hint="default"/>
        <w:lang w:val="en-US" w:eastAsia="en-US" w:bidi="ar-SA"/>
      </w:rPr>
    </w:lvl>
    <w:lvl w:ilvl="6" w:tplc="1032B834">
      <w:numFmt w:val="bullet"/>
      <w:lvlText w:val="•"/>
      <w:lvlJc w:val="left"/>
      <w:pPr>
        <w:ind w:left="6327" w:hanging="188"/>
      </w:pPr>
      <w:rPr>
        <w:rFonts w:hint="default"/>
        <w:lang w:val="en-US" w:eastAsia="en-US" w:bidi="ar-SA"/>
      </w:rPr>
    </w:lvl>
    <w:lvl w:ilvl="7" w:tplc="26D06502">
      <w:numFmt w:val="bullet"/>
      <w:lvlText w:val="•"/>
      <w:lvlJc w:val="left"/>
      <w:pPr>
        <w:ind w:left="7301" w:hanging="188"/>
      </w:pPr>
      <w:rPr>
        <w:rFonts w:hint="default"/>
        <w:lang w:val="en-US" w:eastAsia="en-US" w:bidi="ar-SA"/>
      </w:rPr>
    </w:lvl>
    <w:lvl w:ilvl="8" w:tplc="65943360">
      <w:numFmt w:val="bullet"/>
      <w:lvlText w:val="•"/>
      <w:lvlJc w:val="left"/>
      <w:pPr>
        <w:ind w:left="8276" w:hanging="188"/>
      </w:pPr>
      <w:rPr>
        <w:rFonts w:hint="default"/>
        <w:lang w:val="en-US" w:eastAsia="en-US" w:bidi="ar-SA"/>
      </w:rPr>
    </w:lvl>
  </w:abstractNum>
  <w:abstractNum w:abstractNumId="39" w15:restartNumberingAfterBreak="0">
    <w:nsid w:val="3BD511C7"/>
    <w:multiLevelType w:val="hybridMultilevel"/>
    <w:tmpl w:val="498CE97E"/>
    <w:lvl w:ilvl="0" w:tplc="955A4D0E">
      <w:start w:val="1"/>
      <w:numFmt w:val="decimal"/>
      <w:lvlText w:val="Chapter %1."/>
      <w:lvlJc w:val="left"/>
      <w:pPr>
        <w:ind w:left="668" w:hanging="420"/>
      </w:pPr>
      <w:rPr>
        <w:rFonts w:hint="default"/>
      </w:rPr>
    </w:lvl>
    <w:lvl w:ilvl="1" w:tplc="04090019" w:tentative="1">
      <w:start w:val="1"/>
      <w:numFmt w:val="lowerLetter"/>
      <w:lvlText w:val="%2)"/>
      <w:lvlJc w:val="left"/>
      <w:pPr>
        <w:ind w:left="964" w:hanging="420"/>
      </w:pPr>
    </w:lvl>
    <w:lvl w:ilvl="2" w:tplc="0409001B" w:tentative="1">
      <w:start w:val="1"/>
      <w:numFmt w:val="lowerRoman"/>
      <w:lvlText w:val="%3."/>
      <w:lvlJc w:val="right"/>
      <w:pPr>
        <w:ind w:left="1384" w:hanging="420"/>
      </w:pPr>
    </w:lvl>
    <w:lvl w:ilvl="3" w:tplc="0409000F" w:tentative="1">
      <w:start w:val="1"/>
      <w:numFmt w:val="decimal"/>
      <w:lvlText w:val="%4."/>
      <w:lvlJc w:val="left"/>
      <w:pPr>
        <w:ind w:left="1804" w:hanging="420"/>
      </w:pPr>
    </w:lvl>
    <w:lvl w:ilvl="4" w:tplc="04090019" w:tentative="1">
      <w:start w:val="1"/>
      <w:numFmt w:val="lowerLetter"/>
      <w:lvlText w:val="%5)"/>
      <w:lvlJc w:val="left"/>
      <w:pPr>
        <w:ind w:left="2224" w:hanging="420"/>
      </w:pPr>
    </w:lvl>
    <w:lvl w:ilvl="5" w:tplc="0409001B" w:tentative="1">
      <w:start w:val="1"/>
      <w:numFmt w:val="lowerRoman"/>
      <w:lvlText w:val="%6."/>
      <w:lvlJc w:val="right"/>
      <w:pPr>
        <w:ind w:left="2644" w:hanging="420"/>
      </w:pPr>
    </w:lvl>
    <w:lvl w:ilvl="6" w:tplc="0409000F" w:tentative="1">
      <w:start w:val="1"/>
      <w:numFmt w:val="decimal"/>
      <w:lvlText w:val="%7."/>
      <w:lvlJc w:val="left"/>
      <w:pPr>
        <w:ind w:left="3064" w:hanging="420"/>
      </w:pPr>
    </w:lvl>
    <w:lvl w:ilvl="7" w:tplc="04090019" w:tentative="1">
      <w:start w:val="1"/>
      <w:numFmt w:val="lowerLetter"/>
      <w:lvlText w:val="%8)"/>
      <w:lvlJc w:val="left"/>
      <w:pPr>
        <w:ind w:left="3484" w:hanging="420"/>
      </w:pPr>
    </w:lvl>
    <w:lvl w:ilvl="8" w:tplc="0409001B" w:tentative="1">
      <w:start w:val="1"/>
      <w:numFmt w:val="lowerRoman"/>
      <w:lvlText w:val="%9."/>
      <w:lvlJc w:val="right"/>
      <w:pPr>
        <w:ind w:left="3904" w:hanging="420"/>
      </w:pPr>
    </w:lvl>
  </w:abstractNum>
  <w:abstractNum w:abstractNumId="40" w15:restartNumberingAfterBreak="0">
    <w:nsid w:val="3CEF579C"/>
    <w:multiLevelType w:val="hybridMultilevel"/>
    <w:tmpl w:val="A2B8E534"/>
    <w:lvl w:ilvl="0" w:tplc="8E8E5F94">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3872D9EA">
      <w:numFmt w:val="bullet"/>
      <w:lvlText w:val="•"/>
      <w:lvlJc w:val="left"/>
      <w:pPr>
        <w:ind w:left="1454" w:hanging="188"/>
      </w:pPr>
      <w:rPr>
        <w:rFonts w:hint="default"/>
        <w:lang w:val="en-US" w:eastAsia="en-US" w:bidi="ar-SA"/>
      </w:rPr>
    </w:lvl>
    <w:lvl w:ilvl="2" w:tplc="891ECAF2">
      <w:numFmt w:val="bullet"/>
      <w:lvlText w:val="•"/>
      <w:lvlJc w:val="left"/>
      <w:pPr>
        <w:ind w:left="2429" w:hanging="188"/>
      </w:pPr>
      <w:rPr>
        <w:rFonts w:hint="default"/>
        <w:lang w:val="en-US" w:eastAsia="en-US" w:bidi="ar-SA"/>
      </w:rPr>
    </w:lvl>
    <w:lvl w:ilvl="3" w:tplc="572000EA">
      <w:numFmt w:val="bullet"/>
      <w:lvlText w:val="•"/>
      <w:lvlJc w:val="left"/>
      <w:pPr>
        <w:ind w:left="3403" w:hanging="188"/>
      </w:pPr>
      <w:rPr>
        <w:rFonts w:hint="default"/>
        <w:lang w:val="en-US" w:eastAsia="en-US" w:bidi="ar-SA"/>
      </w:rPr>
    </w:lvl>
    <w:lvl w:ilvl="4" w:tplc="5A46C6C8">
      <w:numFmt w:val="bullet"/>
      <w:lvlText w:val="•"/>
      <w:lvlJc w:val="left"/>
      <w:pPr>
        <w:ind w:left="4378" w:hanging="188"/>
      </w:pPr>
      <w:rPr>
        <w:rFonts w:hint="default"/>
        <w:lang w:val="en-US" w:eastAsia="en-US" w:bidi="ar-SA"/>
      </w:rPr>
    </w:lvl>
    <w:lvl w:ilvl="5" w:tplc="8ABCD0A8">
      <w:numFmt w:val="bullet"/>
      <w:lvlText w:val="•"/>
      <w:lvlJc w:val="left"/>
      <w:pPr>
        <w:ind w:left="5352" w:hanging="188"/>
      </w:pPr>
      <w:rPr>
        <w:rFonts w:hint="default"/>
        <w:lang w:val="en-US" w:eastAsia="en-US" w:bidi="ar-SA"/>
      </w:rPr>
    </w:lvl>
    <w:lvl w:ilvl="6" w:tplc="3FBED158">
      <w:numFmt w:val="bullet"/>
      <w:lvlText w:val="•"/>
      <w:lvlJc w:val="left"/>
      <w:pPr>
        <w:ind w:left="6327" w:hanging="188"/>
      </w:pPr>
      <w:rPr>
        <w:rFonts w:hint="default"/>
        <w:lang w:val="en-US" w:eastAsia="en-US" w:bidi="ar-SA"/>
      </w:rPr>
    </w:lvl>
    <w:lvl w:ilvl="7" w:tplc="CC52FC40">
      <w:numFmt w:val="bullet"/>
      <w:lvlText w:val="•"/>
      <w:lvlJc w:val="left"/>
      <w:pPr>
        <w:ind w:left="7301" w:hanging="188"/>
      </w:pPr>
      <w:rPr>
        <w:rFonts w:hint="default"/>
        <w:lang w:val="en-US" w:eastAsia="en-US" w:bidi="ar-SA"/>
      </w:rPr>
    </w:lvl>
    <w:lvl w:ilvl="8" w:tplc="B914B008">
      <w:numFmt w:val="bullet"/>
      <w:lvlText w:val="•"/>
      <w:lvlJc w:val="left"/>
      <w:pPr>
        <w:ind w:left="8276" w:hanging="188"/>
      </w:pPr>
      <w:rPr>
        <w:rFonts w:hint="default"/>
        <w:lang w:val="en-US" w:eastAsia="en-US" w:bidi="ar-SA"/>
      </w:rPr>
    </w:lvl>
  </w:abstractNum>
  <w:abstractNum w:abstractNumId="41" w15:restartNumberingAfterBreak="0">
    <w:nsid w:val="3D5E7589"/>
    <w:multiLevelType w:val="hybridMultilevel"/>
    <w:tmpl w:val="C3F07B4E"/>
    <w:lvl w:ilvl="0" w:tplc="F368943E">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95A45E88">
      <w:numFmt w:val="bullet"/>
      <w:lvlText w:val="•"/>
      <w:lvlJc w:val="left"/>
      <w:pPr>
        <w:ind w:left="1454" w:hanging="188"/>
      </w:pPr>
      <w:rPr>
        <w:rFonts w:hint="default"/>
        <w:lang w:val="en-US" w:eastAsia="en-US" w:bidi="ar-SA"/>
      </w:rPr>
    </w:lvl>
    <w:lvl w:ilvl="2" w:tplc="F2124750">
      <w:numFmt w:val="bullet"/>
      <w:lvlText w:val="•"/>
      <w:lvlJc w:val="left"/>
      <w:pPr>
        <w:ind w:left="2429" w:hanging="188"/>
      </w:pPr>
      <w:rPr>
        <w:rFonts w:hint="default"/>
        <w:lang w:val="en-US" w:eastAsia="en-US" w:bidi="ar-SA"/>
      </w:rPr>
    </w:lvl>
    <w:lvl w:ilvl="3" w:tplc="23E434C0">
      <w:numFmt w:val="bullet"/>
      <w:lvlText w:val="•"/>
      <w:lvlJc w:val="left"/>
      <w:pPr>
        <w:ind w:left="3403" w:hanging="188"/>
      </w:pPr>
      <w:rPr>
        <w:rFonts w:hint="default"/>
        <w:lang w:val="en-US" w:eastAsia="en-US" w:bidi="ar-SA"/>
      </w:rPr>
    </w:lvl>
    <w:lvl w:ilvl="4" w:tplc="106C57BE">
      <w:numFmt w:val="bullet"/>
      <w:lvlText w:val="•"/>
      <w:lvlJc w:val="left"/>
      <w:pPr>
        <w:ind w:left="4378" w:hanging="188"/>
      </w:pPr>
      <w:rPr>
        <w:rFonts w:hint="default"/>
        <w:lang w:val="en-US" w:eastAsia="en-US" w:bidi="ar-SA"/>
      </w:rPr>
    </w:lvl>
    <w:lvl w:ilvl="5" w:tplc="764E214E">
      <w:numFmt w:val="bullet"/>
      <w:lvlText w:val="•"/>
      <w:lvlJc w:val="left"/>
      <w:pPr>
        <w:ind w:left="5352" w:hanging="188"/>
      </w:pPr>
      <w:rPr>
        <w:rFonts w:hint="default"/>
        <w:lang w:val="en-US" w:eastAsia="en-US" w:bidi="ar-SA"/>
      </w:rPr>
    </w:lvl>
    <w:lvl w:ilvl="6" w:tplc="31B4284A">
      <w:numFmt w:val="bullet"/>
      <w:lvlText w:val="•"/>
      <w:lvlJc w:val="left"/>
      <w:pPr>
        <w:ind w:left="6327" w:hanging="188"/>
      </w:pPr>
      <w:rPr>
        <w:rFonts w:hint="default"/>
        <w:lang w:val="en-US" w:eastAsia="en-US" w:bidi="ar-SA"/>
      </w:rPr>
    </w:lvl>
    <w:lvl w:ilvl="7" w:tplc="F0546B50">
      <w:numFmt w:val="bullet"/>
      <w:lvlText w:val="•"/>
      <w:lvlJc w:val="left"/>
      <w:pPr>
        <w:ind w:left="7301" w:hanging="188"/>
      </w:pPr>
      <w:rPr>
        <w:rFonts w:hint="default"/>
        <w:lang w:val="en-US" w:eastAsia="en-US" w:bidi="ar-SA"/>
      </w:rPr>
    </w:lvl>
    <w:lvl w:ilvl="8" w:tplc="43300BDE">
      <w:numFmt w:val="bullet"/>
      <w:lvlText w:val="•"/>
      <w:lvlJc w:val="left"/>
      <w:pPr>
        <w:ind w:left="8276" w:hanging="188"/>
      </w:pPr>
      <w:rPr>
        <w:rFonts w:hint="default"/>
        <w:lang w:val="en-US" w:eastAsia="en-US" w:bidi="ar-SA"/>
      </w:rPr>
    </w:lvl>
  </w:abstractNum>
  <w:abstractNum w:abstractNumId="42" w15:restartNumberingAfterBreak="0">
    <w:nsid w:val="3EB56451"/>
    <w:multiLevelType w:val="hybridMultilevel"/>
    <w:tmpl w:val="A95A5042"/>
    <w:lvl w:ilvl="0" w:tplc="824E58D2">
      <w:start w:val="10"/>
      <w:numFmt w:val="decimal"/>
      <w:lvlText w:val="%1"/>
      <w:lvlJc w:val="left"/>
      <w:pPr>
        <w:ind w:left="1316" w:hanging="712"/>
      </w:pPr>
      <w:rPr>
        <w:rFonts w:hint="default"/>
        <w:lang w:val="en-US" w:eastAsia="en-US" w:bidi="ar-SA"/>
      </w:rPr>
    </w:lvl>
    <w:lvl w:ilvl="1" w:tplc="DA800E14">
      <w:start w:val="1"/>
      <w:numFmt w:val="upperLetter"/>
      <w:lvlText w:val="%1.%2"/>
      <w:lvlJc w:val="left"/>
      <w:pPr>
        <w:ind w:left="1316" w:hanging="712"/>
      </w:pPr>
      <w:rPr>
        <w:rFonts w:hint="default"/>
        <w:lang w:val="en-US" w:eastAsia="en-US" w:bidi="ar-SA"/>
      </w:rPr>
    </w:lvl>
    <w:lvl w:ilvl="2" w:tplc="61569756">
      <w:start w:val="1"/>
      <w:numFmt w:val="decimal"/>
      <w:lvlText w:val="%1.%2.%3."/>
      <w:lvlJc w:val="left"/>
      <w:pPr>
        <w:ind w:left="1316" w:hanging="712"/>
      </w:pPr>
      <w:rPr>
        <w:rFonts w:ascii="Cambria" w:eastAsia="Cambria" w:hAnsi="Cambria" w:cs="Cambria" w:hint="default"/>
        <w:color w:val="333333"/>
        <w:spacing w:val="-1"/>
        <w:w w:val="108"/>
        <w:sz w:val="21"/>
        <w:szCs w:val="21"/>
        <w:lang w:val="en-US" w:eastAsia="en-US" w:bidi="ar-SA"/>
      </w:rPr>
    </w:lvl>
    <w:lvl w:ilvl="3" w:tplc="4CB673E2">
      <w:numFmt w:val="bullet"/>
      <w:lvlText w:val="•"/>
      <w:lvlJc w:val="left"/>
      <w:pPr>
        <w:ind w:left="3991" w:hanging="712"/>
      </w:pPr>
      <w:rPr>
        <w:rFonts w:hint="default"/>
        <w:lang w:val="en-US" w:eastAsia="en-US" w:bidi="ar-SA"/>
      </w:rPr>
    </w:lvl>
    <w:lvl w:ilvl="4" w:tplc="2D1E3796">
      <w:numFmt w:val="bullet"/>
      <w:lvlText w:val="•"/>
      <w:lvlJc w:val="left"/>
      <w:pPr>
        <w:ind w:left="4882" w:hanging="712"/>
      </w:pPr>
      <w:rPr>
        <w:rFonts w:hint="default"/>
        <w:lang w:val="en-US" w:eastAsia="en-US" w:bidi="ar-SA"/>
      </w:rPr>
    </w:lvl>
    <w:lvl w:ilvl="5" w:tplc="DAE07BFA">
      <w:numFmt w:val="bullet"/>
      <w:lvlText w:val="•"/>
      <w:lvlJc w:val="left"/>
      <w:pPr>
        <w:ind w:left="5772" w:hanging="712"/>
      </w:pPr>
      <w:rPr>
        <w:rFonts w:hint="default"/>
        <w:lang w:val="en-US" w:eastAsia="en-US" w:bidi="ar-SA"/>
      </w:rPr>
    </w:lvl>
    <w:lvl w:ilvl="6" w:tplc="91E44750">
      <w:numFmt w:val="bullet"/>
      <w:lvlText w:val="•"/>
      <w:lvlJc w:val="left"/>
      <w:pPr>
        <w:ind w:left="6663" w:hanging="712"/>
      </w:pPr>
      <w:rPr>
        <w:rFonts w:hint="default"/>
        <w:lang w:val="en-US" w:eastAsia="en-US" w:bidi="ar-SA"/>
      </w:rPr>
    </w:lvl>
    <w:lvl w:ilvl="7" w:tplc="2FC01D2E">
      <w:numFmt w:val="bullet"/>
      <w:lvlText w:val="•"/>
      <w:lvlJc w:val="left"/>
      <w:pPr>
        <w:ind w:left="7553" w:hanging="712"/>
      </w:pPr>
      <w:rPr>
        <w:rFonts w:hint="default"/>
        <w:lang w:val="en-US" w:eastAsia="en-US" w:bidi="ar-SA"/>
      </w:rPr>
    </w:lvl>
    <w:lvl w:ilvl="8" w:tplc="D58A89CC">
      <w:numFmt w:val="bullet"/>
      <w:lvlText w:val="•"/>
      <w:lvlJc w:val="left"/>
      <w:pPr>
        <w:ind w:left="8444" w:hanging="712"/>
      </w:pPr>
      <w:rPr>
        <w:rFonts w:hint="default"/>
        <w:lang w:val="en-US" w:eastAsia="en-US" w:bidi="ar-SA"/>
      </w:rPr>
    </w:lvl>
  </w:abstractNum>
  <w:abstractNum w:abstractNumId="43" w15:restartNumberingAfterBreak="0">
    <w:nsid w:val="44757E2E"/>
    <w:multiLevelType w:val="hybridMultilevel"/>
    <w:tmpl w:val="DA42A820"/>
    <w:lvl w:ilvl="0" w:tplc="8378FE36">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F19C74EC">
      <w:numFmt w:val="bullet"/>
      <w:lvlText w:val="◦"/>
      <w:lvlJc w:val="left"/>
      <w:pPr>
        <w:ind w:left="844" w:hanging="186"/>
      </w:pPr>
      <w:rPr>
        <w:rFonts w:ascii="Cambria" w:eastAsia="Cambria" w:hAnsi="Cambria" w:cs="Cambria" w:hint="default"/>
        <w:color w:val="333333"/>
        <w:w w:val="42"/>
        <w:sz w:val="21"/>
        <w:szCs w:val="21"/>
        <w:lang w:val="en-US" w:eastAsia="en-US" w:bidi="ar-SA"/>
      </w:rPr>
    </w:lvl>
    <w:lvl w:ilvl="2" w:tplc="E02ECAC2">
      <w:numFmt w:val="bullet"/>
      <w:lvlText w:val="•"/>
      <w:lvlJc w:val="left"/>
      <w:pPr>
        <w:ind w:left="1882" w:hanging="186"/>
      </w:pPr>
      <w:rPr>
        <w:rFonts w:hint="default"/>
        <w:lang w:val="en-US" w:eastAsia="en-US" w:bidi="ar-SA"/>
      </w:rPr>
    </w:lvl>
    <w:lvl w:ilvl="3" w:tplc="1F8A3A28">
      <w:numFmt w:val="bullet"/>
      <w:lvlText w:val="•"/>
      <w:lvlJc w:val="left"/>
      <w:pPr>
        <w:ind w:left="2925" w:hanging="186"/>
      </w:pPr>
      <w:rPr>
        <w:rFonts w:hint="default"/>
        <w:lang w:val="en-US" w:eastAsia="en-US" w:bidi="ar-SA"/>
      </w:rPr>
    </w:lvl>
    <w:lvl w:ilvl="4" w:tplc="84DEB9B6">
      <w:numFmt w:val="bullet"/>
      <w:lvlText w:val="•"/>
      <w:lvlJc w:val="left"/>
      <w:pPr>
        <w:ind w:left="3968" w:hanging="186"/>
      </w:pPr>
      <w:rPr>
        <w:rFonts w:hint="default"/>
        <w:lang w:val="en-US" w:eastAsia="en-US" w:bidi="ar-SA"/>
      </w:rPr>
    </w:lvl>
    <w:lvl w:ilvl="5" w:tplc="F6187A90">
      <w:numFmt w:val="bullet"/>
      <w:lvlText w:val="•"/>
      <w:lvlJc w:val="left"/>
      <w:pPr>
        <w:ind w:left="5011" w:hanging="186"/>
      </w:pPr>
      <w:rPr>
        <w:rFonts w:hint="default"/>
        <w:lang w:val="en-US" w:eastAsia="en-US" w:bidi="ar-SA"/>
      </w:rPr>
    </w:lvl>
    <w:lvl w:ilvl="6" w:tplc="41F264DC">
      <w:numFmt w:val="bullet"/>
      <w:lvlText w:val="•"/>
      <w:lvlJc w:val="left"/>
      <w:pPr>
        <w:ind w:left="6054" w:hanging="186"/>
      </w:pPr>
      <w:rPr>
        <w:rFonts w:hint="default"/>
        <w:lang w:val="en-US" w:eastAsia="en-US" w:bidi="ar-SA"/>
      </w:rPr>
    </w:lvl>
    <w:lvl w:ilvl="7" w:tplc="B6345846">
      <w:numFmt w:val="bullet"/>
      <w:lvlText w:val="•"/>
      <w:lvlJc w:val="left"/>
      <w:pPr>
        <w:ind w:left="7097" w:hanging="186"/>
      </w:pPr>
      <w:rPr>
        <w:rFonts w:hint="default"/>
        <w:lang w:val="en-US" w:eastAsia="en-US" w:bidi="ar-SA"/>
      </w:rPr>
    </w:lvl>
    <w:lvl w:ilvl="8" w:tplc="DD82631C">
      <w:numFmt w:val="bullet"/>
      <w:lvlText w:val="•"/>
      <w:lvlJc w:val="left"/>
      <w:pPr>
        <w:ind w:left="8139" w:hanging="186"/>
      </w:pPr>
      <w:rPr>
        <w:rFonts w:hint="default"/>
        <w:lang w:val="en-US" w:eastAsia="en-US" w:bidi="ar-SA"/>
      </w:rPr>
    </w:lvl>
  </w:abstractNum>
  <w:abstractNum w:abstractNumId="44" w15:restartNumberingAfterBreak="0">
    <w:nsid w:val="44D01DA1"/>
    <w:multiLevelType w:val="hybridMultilevel"/>
    <w:tmpl w:val="A456FE16"/>
    <w:lvl w:ilvl="0" w:tplc="521696A8">
      <w:numFmt w:val="bullet"/>
      <w:lvlText w:val="*"/>
      <w:lvlJc w:val="left"/>
      <w:pPr>
        <w:ind w:left="420" w:hanging="220"/>
      </w:pPr>
      <w:rPr>
        <w:rFonts w:ascii="MS Gothic" w:eastAsia="MS Gothic" w:hAnsi="MS Gothic" w:cs="MS Gothic" w:hint="default"/>
        <w:color w:val="333333"/>
        <w:w w:val="100"/>
        <w:sz w:val="22"/>
        <w:szCs w:val="22"/>
        <w:lang w:val="en-US" w:eastAsia="en-US" w:bidi="ar-SA"/>
      </w:rPr>
    </w:lvl>
    <w:lvl w:ilvl="1" w:tplc="4EE04370">
      <w:numFmt w:val="bullet"/>
      <w:lvlText w:val="•"/>
      <w:lvlJc w:val="left"/>
      <w:pPr>
        <w:ind w:left="1371" w:hanging="220"/>
      </w:pPr>
      <w:rPr>
        <w:rFonts w:hint="default"/>
        <w:lang w:val="en-US" w:eastAsia="en-US" w:bidi="ar-SA"/>
      </w:rPr>
    </w:lvl>
    <w:lvl w:ilvl="2" w:tplc="821AA2A0">
      <w:numFmt w:val="bullet"/>
      <w:lvlText w:val="•"/>
      <w:lvlJc w:val="left"/>
      <w:pPr>
        <w:ind w:left="2323" w:hanging="220"/>
      </w:pPr>
      <w:rPr>
        <w:rFonts w:hint="default"/>
        <w:lang w:val="en-US" w:eastAsia="en-US" w:bidi="ar-SA"/>
      </w:rPr>
    </w:lvl>
    <w:lvl w:ilvl="3" w:tplc="3CBEA5D4">
      <w:numFmt w:val="bullet"/>
      <w:lvlText w:val="•"/>
      <w:lvlJc w:val="left"/>
      <w:pPr>
        <w:ind w:left="3275" w:hanging="220"/>
      </w:pPr>
      <w:rPr>
        <w:rFonts w:hint="default"/>
        <w:lang w:val="en-US" w:eastAsia="en-US" w:bidi="ar-SA"/>
      </w:rPr>
    </w:lvl>
    <w:lvl w:ilvl="4" w:tplc="2500D0BE">
      <w:numFmt w:val="bullet"/>
      <w:lvlText w:val="•"/>
      <w:lvlJc w:val="left"/>
      <w:pPr>
        <w:ind w:left="4227" w:hanging="220"/>
      </w:pPr>
      <w:rPr>
        <w:rFonts w:hint="default"/>
        <w:lang w:val="en-US" w:eastAsia="en-US" w:bidi="ar-SA"/>
      </w:rPr>
    </w:lvl>
    <w:lvl w:ilvl="5" w:tplc="7EBC6BAA">
      <w:numFmt w:val="bullet"/>
      <w:lvlText w:val="•"/>
      <w:lvlJc w:val="left"/>
      <w:pPr>
        <w:ind w:left="5178" w:hanging="220"/>
      </w:pPr>
      <w:rPr>
        <w:rFonts w:hint="default"/>
        <w:lang w:val="en-US" w:eastAsia="en-US" w:bidi="ar-SA"/>
      </w:rPr>
    </w:lvl>
    <w:lvl w:ilvl="6" w:tplc="D57ED540">
      <w:numFmt w:val="bullet"/>
      <w:lvlText w:val="•"/>
      <w:lvlJc w:val="left"/>
      <w:pPr>
        <w:ind w:left="6130" w:hanging="220"/>
      </w:pPr>
      <w:rPr>
        <w:rFonts w:hint="default"/>
        <w:lang w:val="en-US" w:eastAsia="en-US" w:bidi="ar-SA"/>
      </w:rPr>
    </w:lvl>
    <w:lvl w:ilvl="7" w:tplc="9C862DB2">
      <w:numFmt w:val="bullet"/>
      <w:lvlText w:val="•"/>
      <w:lvlJc w:val="left"/>
      <w:pPr>
        <w:ind w:left="7082" w:hanging="220"/>
      </w:pPr>
      <w:rPr>
        <w:rFonts w:hint="default"/>
        <w:lang w:val="en-US" w:eastAsia="en-US" w:bidi="ar-SA"/>
      </w:rPr>
    </w:lvl>
    <w:lvl w:ilvl="8" w:tplc="76923020">
      <w:numFmt w:val="bullet"/>
      <w:lvlText w:val="•"/>
      <w:lvlJc w:val="left"/>
      <w:pPr>
        <w:ind w:left="8034" w:hanging="220"/>
      </w:pPr>
      <w:rPr>
        <w:rFonts w:hint="default"/>
        <w:lang w:val="en-US" w:eastAsia="en-US" w:bidi="ar-SA"/>
      </w:rPr>
    </w:lvl>
  </w:abstractNum>
  <w:abstractNum w:abstractNumId="45" w15:restartNumberingAfterBreak="0">
    <w:nsid w:val="45102AB8"/>
    <w:multiLevelType w:val="hybridMultilevel"/>
    <w:tmpl w:val="1FF66C6A"/>
    <w:lvl w:ilvl="0" w:tplc="7E503114">
      <w:start w:val="1"/>
      <w:numFmt w:val="decimal"/>
      <w:lvlText w:val="%1."/>
      <w:lvlJc w:val="left"/>
      <w:pPr>
        <w:ind w:left="484" w:hanging="272"/>
      </w:pPr>
      <w:rPr>
        <w:rFonts w:ascii="Cambria" w:eastAsia="Cambria" w:hAnsi="Cambria" w:cs="Cambria" w:hint="default"/>
        <w:color w:val="333333"/>
        <w:spacing w:val="-11"/>
        <w:w w:val="106"/>
        <w:sz w:val="21"/>
        <w:szCs w:val="21"/>
        <w:lang w:val="en-US" w:eastAsia="en-US" w:bidi="ar-SA"/>
      </w:rPr>
    </w:lvl>
    <w:lvl w:ilvl="1" w:tplc="281C3868">
      <w:numFmt w:val="bullet"/>
      <w:lvlText w:val="•"/>
      <w:lvlJc w:val="left"/>
      <w:pPr>
        <w:ind w:left="1454" w:hanging="272"/>
      </w:pPr>
      <w:rPr>
        <w:rFonts w:hint="default"/>
        <w:lang w:val="en-US" w:eastAsia="en-US" w:bidi="ar-SA"/>
      </w:rPr>
    </w:lvl>
    <w:lvl w:ilvl="2" w:tplc="6D48D0A2">
      <w:numFmt w:val="bullet"/>
      <w:lvlText w:val="•"/>
      <w:lvlJc w:val="left"/>
      <w:pPr>
        <w:ind w:left="2429" w:hanging="272"/>
      </w:pPr>
      <w:rPr>
        <w:rFonts w:hint="default"/>
        <w:lang w:val="en-US" w:eastAsia="en-US" w:bidi="ar-SA"/>
      </w:rPr>
    </w:lvl>
    <w:lvl w:ilvl="3" w:tplc="8ADA2D8E">
      <w:numFmt w:val="bullet"/>
      <w:lvlText w:val="•"/>
      <w:lvlJc w:val="left"/>
      <w:pPr>
        <w:ind w:left="3403" w:hanging="272"/>
      </w:pPr>
      <w:rPr>
        <w:rFonts w:hint="default"/>
        <w:lang w:val="en-US" w:eastAsia="en-US" w:bidi="ar-SA"/>
      </w:rPr>
    </w:lvl>
    <w:lvl w:ilvl="4" w:tplc="233AB996">
      <w:numFmt w:val="bullet"/>
      <w:lvlText w:val="•"/>
      <w:lvlJc w:val="left"/>
      <w:pPr>
        <w:ind w:left="4378" w:hanging="272"/>
      </w:pPr>
      <w:rPr>
        <w:rFonts w:hint="default"/>
        <w:lang w:val="en-US" w:eastAsia="en-US" w:bidi="ar-SA"/>
      </w:rPr>
    </w:lvl>
    <w:lvl w:ilvl="5" w:tplc="2C2CFA9C">
      <w:numFmt w:val="bullet"/>
      <w:lvlText w:val="•"/>
      <w:lvlJc w:val="left"/>
      <w:pPr>
        <w:ind w:left="5352" w:hanging="272"/>
      </w:pPr>
      <w:rPr>
        <w:rFonts w:hint="default"/>
        <w:lang w:val="en-US" w:eastAsia="en-US" w:bidi="ar-SA"/>
      </w:rPr>
    </w:lvl>
    <w:lvl w:ilvl="6" w:tplc="BF6C3256">
      <w:numFmt w:val="bullet"/>
      <w:lvlText w:val="•"/>
      <w:lvlJc w:val="left"/>
      <w:pPr>
        <w:ind w:left="6327" w:hanging="272"/>
      </w:pPr>
      <w:rPr>
        <w:rFonts w:hint="default"/>
        <w:lang w:val="en-US" w:eastAsia="en-US" w:bidi="ar-SA"/>
      </w:rPr>
    </w:lvl>
    <w:lvl w:ilvl="7" w:tplc="53CE5D8A">
      <w:numFmt w:val="bullet"/>
      <w:lvlText w:val="•"/>
      <w:lvlJc w:val="left"/>
      <w:pPr>
        <w:ind w:left="7301" w:hanging="272"/>
      </w:pPr>
      <w:rPr>
        <w:rFonts w:hint="default"/>
        <w:lang w:val="en-US" w:eastAsia="en-US" w:bidi="ar-SA"/>
      </w:rPr>
    </w:lvl>
    <w:lvl w:ilvl="8" w:tplc="11B8FD58">
      <w:numFmt w:val="bullet"/>
      <w:lvlText w:val="•"/>
      <w:lvlJc w:val="left"/>
      <w:pPr>
        <w:ind w:left="8276" w:hanging="272"/>
      </w:pPr>
      <w:rPr>
        <w:rFonts w:hint="default"/>
        <w:lang w:val="en-US" w:eastAsia="en-US" w:bidi="ar-SA"/>
      </w:rPr>
    </w:lvl>
  </w:abstractNum>
  <w:abstractNum w:abstractNumId="46" w15:restartNumberingAfterBreak="0">
    <w:nsid w:val="46916640"/>
    <w:multiLevelType w:val="hybridMultilevel"/>
    <w:tmpl w:val="FC807ED4"/>
    <w:lvl w:ilvl="0" w:tplc="28F6CDEA">
      <w:start w:val="4"/>
      <w:numFmt w:val="decimal"/>
      <w:lvlText w:val="%1"/>
      <w:lvlJc w:val="left"/>
      <w:pPr>
        <w:ind w:left="831" w:hanging="708"/>
      </w:pPr>
      <w:rPr>
        <w:rFonts w:hint="default"/>
        <w:lang w:val="en-US" w:eastAsia="en-US" w:bidi="ar-SA"/>
      </w:rPr>
    </w:lvl>
    <w:lvl w:ilvl="1" w:tplc="36E2F0A8">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11CC1E04">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E61EC154">
      <w:start w:val="1"/>
      <w:numFmt w:val="decimal"/>
      <w:lvlText w:val="%4."/>
      <w:lvlJc w:val="left"/>
      <w:pPr>
        <w:ind w:left="484" w:hanging="272"/>
      </w:pPr>
      <w:rPr>
        <w:rFonts w:ascii="Cambria" w:eastAsia="Cambria" w:hAnsi="Cambria" w:cs="Cambria" w:hint="default"/>
        <w:color w:val="333333"/>
        <w:spacing w:val="-11"/>
        <w:w w:val="106"/>
        <w:sz w:val="21"/>
        <w:szCs w:val="21"/>
        <w:lang w:val="en-US" w:eastAsia="en-US" w:bidi="ar-SA"/>
      </w:rPr>
    </w:lvl>
    <w:lvl w:ilvl="4" w:tplc="650E5F78">
      <w:numFmt w:val="bullet"/>
      <w:lvlText w:val="•"/>
      <w:lvlJc w:val="left"/>
      <w:pPr>
        <w:ind w:left="2317" w:hanging="272"/>
      </w:pPr>
      <w:rPr>
        <w:rFonts w:hint="default"/>
        <w:lang w:val="en-US" w:eastAsia="en-US" w:bidi="ar-SA"/>
      </w:rPr>
    </w:lvl>
    <w:lvl w:ilvl="5" w:tplc="00E82364">
      <w:numFmt w:val="bullet"/>
      <w:lvlText w:val="•"/>
      <w:lvlJc w:val="left"/>
      <w:pPr>
        <w:ind w:left="3635" w:hanging="272"/>
      </w:pPr>
      <w:rPr>
        <w:rFonts w:hint="default"/>
        <w:lang w:val="en-US" w:eastAsia="en-US" w:bidi="ar-SA"/>
      </w:rPr>
    </w:lvl>
    <w:lvl w:ilvl="6" w:tplc="17EC10CA">
      <w:numFmt w:val="bullet"/>
      <w:lvlText w:val="•"/>
      <w:lvlJc w:val="left"/>
      <w:pPr>
        <w:ind w:left="4953" w:hanging="272"/>
      </w:pPr>
      <w:rPr>
        <w:rFonts w:hint="default"/>
        <w:lang w:val="en-US" w:eastAsia="en-US" w:bidi="ar-SA"/>
      </w:rPr>
    </w:lvl>
    <w:lvl w:ilvl="7" w:tplc="5E58C1CC">
      <w:numFmt w:val="bullet"/>
      <w:lvlText w:val="•"/>
      <w:lvlJc w:val="left"/>
      <w:pPr>
        <w:ind w:left="6271" w:hanging="272"/>
      </w:pPr>
      <w:rPr>
        <w:rFonts w:hint="default"/>
        <w:lang w:val="en-US" w:eastAsia="en-US" w:bidi="ar-SA"/>
      </w:rPr>
    </w:lvl>
    <w:lvl w:ilvl="8" w:tplc="51B024D2">
      <w:numFmt w:val="bullet"/>
      <w:lvlText w:val="•"/>
      <w:lvlJc w:val="left"/>
      <w:pPr>
        <w:ind w:left="7589" w:hanging="272"/>
      </w:pPr>
      <w:rPr>
        <w:rFonts w:hint="default"/>
        <w:lang w:val="en-US" w:eastAsia="en-US" w:bidi="ar-SA"/>
      </w:rPr>
    </w:lvl>
  </w:abstractNum>
  <w:abstractNum w:abstractNumId="47" w15:restartNumberingAfterBreak="0">
    <w:nsid w:val="48866F21"/>
    <w:multiLevelType w:val="hybridMultilevel"/>
    <w:tmpl w:val="4EE4E222"/>
    <w:lvl w:ilvl="0" w:tplc="D772A8A2">
      <w:start w:val="10"/>
      <w:numFmt w:val="decimal"/>
      <w:lvlText w:val="%1"/>
      <w:lvlJc w:val="left"/>
      <w:pPr>
        <w:ind w:left="1026" w:hanging="903"/>
      </w:pPr>
      <w:rPr>
        <w:rFonts w:hint="default"/>
        <w:lang w:val="en-US" w:eastAsia="en-US" w:bidi="ar-SA"/>
      </w:rPr>
    </w:lvl>
    <w:lvl w:ilvl="1" w:tplc="D464BAF8">
      <w:start w:val="5"/>
      <w:numFmt w:val="upperLetter"/>
      <w:lvlText w:val="%1.%2"/>
      <w:lvlJc w:val="left"/>
      <w:pPr>
        <w:ind w:left="1026" w:hanging="903"/>
      </w:pPr>
      <w:rPr>
        <w:rFonts w:hint="default"/>
        <w:lang w:val="en-US" w:eastAsia="en-US" w:bidi="ar-SA"/>
      </w:rPr>
    </w:lvl>
    <w:lvl w:ilvl="2" w:tplc="4F168C5E">
      <w:start w:val="1"/>
      <w:numFmt w:val="decimal"/>
      <w:lvlText w:val="%1.%2.%3."/>
      <w:lvlJc w:val="left"/>
      <w:pPr>
        <w:ind w:left="1026" w:hanging="903"/>
      </w:pPr>
      <w:rPr>
        <w:rFonts w:ascii="Palatino Linotype" w:eastAsia="Palatino Linotype" w:hAnsi="Palatino Linotype" w:cs="Palatino Linotype" w:hint="default"/>
        <w:b/>
        <w:bCs/>
        <w:color w:val="333333"/>
        <w:spacing w:val="-1"/>
        <w:w w:val="112"/>
        <w:sz w:val="26"/>
        <w:szCs w:val="26"/>
        <w:lang w:val="en-US" w:eastAsia="en-US" w:bidi="ar-SA"/>
      </w:rPr>
    </w:lvl>
    <w:lvl w:ilvl="3" w:tplc="66CAD538">
      <w:numFmt w:val="bullet"/>
      <w:lvlText w:val="•"/>
      <w:lvlJc w:val="left"/>
      <w:pPr>
        <w:ind w:left="484" w:hanging="188"/>
      </w:pPr>
      <w:rPr>
        <w:rFonts w:ascii="Cambria" w:eastAsia="Cambria" w:hAnsi="Cambria" w:cs="Cambria" w:hint="default"/>
        <w:color w:val="333333"/>
        <w:w w:val="81"/>
        <w:sz w:val="21"/>
        <w:szCs w:val="21"/>
        <w:lang w:val="en-US" w:eastAsia="en-US" w:bidi="ar-SA"/>
      </w:rPr>
    </w:lvl>
    <w:lvl w:ilvl="4" w:tplc="6072850E">
      <w:numFmt w:val="bullet"/>
      <w:lvlText w:val="•"/>
      <w:lvlJc w:val="left"/>
      <w:pPr>
        <w:ind w:left="4088" w:hanging="188"/>
      </w:pPr>
      <w:rPr>
        <w:rFonts w:hint="default"/>
        <w:lang w:val="en-US" w:eastAsia="en-US" w:bidi="ar-SA"/>
      </w:rPr>
    </w:lvl>
    <w:lvl w:ilvl="5" w:tplc="D4705D52">
      <w:numFmt w:val="bullet"/>
      <w:lvlText w:val="•"/>
      <w:lvlJc w:val="left"/>
      <w:pPr>
        <w:ind w:left="5111" w:hanging="188"/>
      </w:pPr>
      <w:rPr>
        <w:rFonts w:hint="default"/>
        <w:lang w:val="en-US" w:eastAsia="en-US" w:bidi="ar-SA"/>
      </w:rPr>
    </w:lvl>
    <w:lvl w:ilvl="6" w:tplc="786C3D62">
      <w:numFmt w:val="bullet"/>
      <w:lvlText w:val="•"/>
      <w:lvlJc w:val="left"/>
      <w:pPr>
        <w:ind w:left="6134" w:hanging="188"/>
      </w:pPr>
      <w:rPr>
        <w:rFonts w:hint="default"/>
        <w:lang w:val="en-US" w:eastAsia="en-US" w:bidi="ar-SA"/>
      </w:rPr>
    </w:lvl>
    <w:lvl w:ilvl="7" w:tplc="327E8C86">
      <w:numFmt w:val="bullet"/>
      <w:lvlText w:val="•"/>
      <w:lvlJc w:val="left"/>
      <w:pPr>
        <w:ind w:left="7157" w:hanging="188"/>
      </w:pPr>
      <w:rPr>
        <w:rFonts w:hint="default"/>
        <w:lang w:val="en-US" w:eastAsia="en-US" w:bidi="ar-SA"/>
      </w:rPr>
    </w:lvl>
    <w:lvl w:ilvl="8" w:tplc="7EECC2EA">
      <w:numFmt w:val="bullet"/>
      <w:lvlText w:val="•"/>
      <w:lvlJc w:val="left"/>
      <w:pPr>
        <w:ind w:left="8179" w:hanging="188"/>
      </w:pPr>
      <w:rPr>
        <w:rFonts w:hint="default"/>
        <w:lang w:val="en-US" w:eastAsia="en-US" w:bidi="ar-SA"/>
      </w:rPr>
    </w:lvl>
  </w:abstractNum>
  <w:abstractNum w:abstractNumId="48" w15:restartNumberingAfterBreak="0">
    <w:nsid w:val="4BAE22FB"/>
    <w:multiLevelType w:val="hybridMultilevel"/>
    <w:tmpl w:val="6C1E2010"/>
    <w:lvl w:ilvl="0" w:tplc="681C548C">
      <w:numFmt w:val="bullet"/>
      <w:lvlText w:val="-"/>
      <w:lvlJc w:val="left"/>
      <w:pPr>
        <w:ind w:left="640" w:hanging="220"/>
      </w:pPr>
      <w:rPr>
        <w:rFonts w:ascii="MS Gothic" w:eastAsia="MS Gothic" w:hAnsi="MS Gothic" w:cs="MS Gothic" w:hint="default"/>
        <w:color w:val="333333"/>
        <w:w w:val="100"/>
        <w:sz w:val="22"/>
        <w:szCs w:val="22"/>
        <w:lang w:val="en-US" w:eastAsia="en-US" w:bidi="ar-SA"/>
      </w:rPr>
    </w:lvl>
    <w:lvl w:ilvl="1" w:tplc="EBE8D2A0">
      <w:numFmt w:val="bullet"/>
      <w:lvlText w:val="•"/>
      <w:lvlJc w:val="left"/>
      <w:pPr>
        <w:ind w:left="1401" w:hanging="220"/>
      </w:pPr>
      <w:rPr>
        <w:rFonts w:hint="default"/>
        <w:lang w:val="en-US" w:eastAsia="en-US" w:bidi="ar-SA"/>
      </w:rPr>
    </w:lvl>
    <w:lvl w:ilvl="2" w:tplc="F3D62112">
      <w:numFmt w:val="bullet"/>
      <w:lvlText w:val="•"/>
      <w:lvlJc w:val="left"/>
      <w:pPr>
        <w:ind w:left="2163" w:hanging="220"/>
      </w:pPr>
      <w:rPr>
        <w:rFonts w:hint="default"/>
        <w:lang w:val="en-US" w:eastAsia="en-US" w:bidi="ar-SA"/>
      </w:rPr>
    </w:lvl>
    <w:lvl w:ilvl="3" w:tplc="1DAA742C">
      <w:numFmt w:val="bullet"/>
      <w:lvlText w:val="•"/>
      <w:lvlJc w:val="left"/>
      <w:pPr>
        <w:ind w:left="2925" w:hanging="220"/>
      </w:pPr>
      <w:rPr>
        <w:rFonts w:hint="default"/>
        <w:lang w:val="en-US" w:eastAsia="en-US" w:bidi="ar-SA"/>
      </w:rPr>
    </w:lvl>
    <w:lvl w:ilvl="4" w:tplc="4B8C93EE">
      <w:numFmt w:val="bullet"/>
      <w:lvlText w:val="•"/>
      <w:lvlJc w:val="left"/>
      <w:pPr>
        <w:ind w:left="3687" w:hanging="220"/>
      </w:pPr>
      <w:rPr>
        <w:rFonts w:hint="default"/>
        <w:lang w:val="en-US" w:eastAsia="en-US" w:bidi="ar-SA"/>
      </w:rPr>
    </w:lvl>
    <w:lvl w:ilvl="5" w:tplc="A22E6558">
      <w:numFmt w:val="bullet"/>
      <w:lvlText w:val="•"/>
      <w:lvlJc w:val="left"/>
      <w:pPr>
        <w:ind w:left="4448" w:hanging="220"/>
      </w:pPr>
      <w:rPr>
        <w:rFonts w:hint="default"/>
        <w:lang w:val="en-US" w:eastAsia="en-US" w:bidi="ar-SA"/>
      </w:rPr>
    </w:lvl>
    <w:lvl w:ilvl="6" w:tplc="51802CA6">
      <w:numFmt w:val="bullet"/>
      <w:lvlText w:val="•"/>
      <w:lvlJc w:val="left"/>
      <w:pPr>
        <w:ind w:left="5210" w:hanging="220"/>
      </w:pPr>
      <w:rPr>
        <w:rFonts w:hint="default"/>
        <w:lang w:val="en-US" w:eastAsia="en-US" w:bidi="ar-SA"/>
      </w:rPr>
    </w:lvl>
    <w:lvl w:ilvl="7" w:tplc="667633FC">
      <w:numFmt w:val="bullet"/>
      <w:lvlText w:val="•"/>
      <w:lvlJc w:val="left"/>
      <w:pPr>
        <w:ind w:left="5972" w:hanging="220"/>
      </w:pPr>
      <w:rPr>
        <w:rFonts w:hint="default"/>
        <w:lang w:val="en-US" w:eastAsia="en-US" w:bidi="ar-SA"/>
      </w:rPr>
    </w:lvl>
    <w:lvl w:ilvl="8" w:tplc="DA243F9C">
      <w:numFmt w:val="bullet"/>
      <w:lvlText w:val="•"/>
      <w:lvlJc w:val="left"/>
      <w:pPr>
        <w:ind w:left="6734" w:hanging="220"/>
      </w:pPr>
      <w:rPr>
        <w:rFonts w:hint="default"/>
        <w:lang w:val="en-US" w:eastAsia="en-US" w:bidi="ar-SA"/>
      </w:rPr>
    </w:lvl>
  </w:abstractNum>
  <w:abstractNum w:abstractNumId="49" w15:restartNumberingAfterBreak="0">
    <w:nsid w:val="4D307CB1"/>
    <w:multiLevelType w:val="hybridMultilevel"/>
    <w:tmpl w:val="EA1253E2"/>
    <w:lvl w:ilvl="0" w:tplc="7EBC5EF2">
      <w:start w:val="10"/>
      <w:numFmt w:val="decimal"/>
      <w:lvlText w:val="%1"/>
      <w:lvlJc w:val="left"/>
      <w:pPr>
        <w:ind w:left="1018" w:hanging="894"/>
      </w:pPr>
      <w:rPr>
        <w:rFonts w:hint="default"/>
        <w:lang w:val="en-US" w:eastAsia="en-US" w:bidi="ar-SA"/>
      </w:rPr>
    </w:lvl>
    <w:lvl w:ilvl="1" w:tplc="E3B0985E">
      <w:start w:val="6"/>
      <w:numFmt w:val="upperLetter"/>
      <w:lvlText w:val="%1.%2"/>
      <w:lvlJc w:val="left"/>
      <w:pPr>
        <w:ind w:left="1018" w:hanging="894"/>
      </w:pPr>
      <w:rPr>
        <w:rFonts w:hint="default"/>
        <w:lang w:val="en-US" w:eastAsia="en-US" w:bidi="ar-SA"/>
      </w:rPr>
    </w:lvl>
    <w:lvl w:ilvl="2" w:tplc="B6A8F0A0">
      <w:start w:val="1"/>
      <w:numFmt w:val="decimal"/>
      <w:lvlText w:val="%1.%2.%3."/>
      <w:lvlJc w:val="left"/>
      <w:pPr>
        <w:ind w:left="1018" w:hanging="894"/>
      </w:pPr>
      <w:rPr>
        <w:rFonts w:ascii="Palatino Linotype" w:eastAsia="Palatino Linotype" w:hAnsi="Palatino Linotype" w:cs="Palatino Linotype" w:hint="default"/>
        <w:b/>
        <w:bCs/>
        <w:color w:val="333333"/>
        <w:spacing w:val="-1"/>
        <w:w w:val="113"/>
        <w:sz w:val="26"/>
        <w:szCs w:val="26"/>
        <w:lang w:val="en-US" w:eastAsia="en-US" w:bidi="ar-SA"/>
      </w:rPr>
    </w:lvl>
    <w:lvl w:ilvl="3" w:tplc="D1FC59B0">
      <w:numFmt w:val="bullet"/>
      <w:lvlText w:val="•"/>
      <w:lvlJc w:val="left"/>
      <w:pPr>
        <w:ind w:left="3781" w:hanging="894"/>
      </w:pPr>
      <w:rPr>
        <w:rFonts w:hint="default"/>
        <w:lang w:val="en-US" w:eastAsia="en-US" w:bidi="ar-SA"/>
      </w:rPr>
    </w:lvl>
    <w:lvl w:ilvl="4" w:tplc="3C2A6110">
      <w:numFmt w:val="bullet"/>
      <w:lvlText w:val="•"/>
      <w:lvlJc w:val="left"/>
      <w:pPr>
        <w:ind w:left="4702" w:hanging="894"/>
      </w:pPr>
      <w:rPr>
        <w:rFonts w:hint="default"/>
        <w:lang w:val="en-US" w:eastAsia="en-US" w:bidi="ar-SA"/>
      </w:rPr>
    </w:lvl>
    <w:lvl w:ilvl="5" w:tplc="16FE7E62">
      <w:numFmt w:val="bullet"/>
      <w:lvlText w:val="•"/>
      <w:lvlJc w:val="left"/>
      <w:pPr>
        <w:ind w:left="5622" w:hanging="894"/>
      </w:pPr>
      <w:rPr>
        <w:rFonts w:hint="default"/>
        <w:lang w:val="en-US" w:eastAsia="en-US" w:bidi="ar-SA"/>
      </w:rPr>
    </w:lvl>
    <w:lvl w:ilvl="6" w:tplc="DF6A7676">
      <w:numFmt w:val="bullet"/>
      <w:lvlText w:val="•"/>
      <w:lvlJc w:val="left"/>
      <w:pPr>
        <w:ind w:left="6543" w:hanging="894"/>
      </w:pPr>
      <w:rPr>
        <w:rFonts w:hint="default"/>
        <w:lang w:val="en-US" w:eastAsia="en-US" w:bidi="ar-SA"/>
      </w:rPr>
    </w:lvl>
    <w:lvl w:ilvl="7" w:tplc="15E8A6BA">
      <w:numFmt w:val="bullet"/>
      <w:lvlText w:val="•"/>
      <w:lvlJc w:val="left"/>
      <w:pPr>
        <w:ind w:left="7463" w:hanging="894"/>
      </w:pPr>
      <w:rPr>
        <w:rFonts w:hint="default"/>
        <w:lang w:val="en-US" w:eastAsia="en-US" w:bidi="ar-SA"/>
      </w:rPr>
    </w:lvl>
    <w:lvl w:ilvl="8" w:tplc="98B4D2DC">
      <w:numFmt w:val="bullet"/>
      <w:lvlText w:val="•"/>
      <w:lvlJc w:val="left"/>
      <w:pPr>
        <w:ind w:left="8384" w:hanging="894"/>
      </w:pPr>
      <w:rPr>
        <w:rFonts w:hint="default"/>
        <w:lang w:val="en-US" w:eastAsia="en-US" w:bidi="ar-SA"/>
      </w:rPr>
    </w:lvl>
  </w:abstractNum>
  <w:abstractNum w:abstractNumId="50" w15:restartNumberingAfterBreak="0">
    <w:nsid w:val="4D67301C"/>
    <w:multiLevelType w:val="hybridMultilevel"/>
    <w:tmpl w:val="E1484D18"/>
    <w:lvl w:ilvl="0" w:tplc="12AE0398">
      <w:numFmt w:val="bullet"/>
      <w:lvlText w:val="*"/>
      <w:lvlJc w:val="left"/>
      <w:pPr>
        <w:ind w:left="860" w:hanging="220"/>
      </w:pPr>
      <w:rPr>
        <w:rFonts w:ascii="MS Gothic" w:eastAsia="MS Gothic" w:hAnsi="MS Gothic" w:cs="MS Gothic" w:hint="default"/>
        <w:color w:val="333333"/>
        <w:w w:val="100"/>
        <w:sz w:val="22"/>
        <w:szCs w:val="22"/>
        <w:lang w:val="en-US" w:eastAsia="en-US" w:bidi="ar-SA"/>
      </w:rPr>
    </w:lvl>
    <w:lvl w:ilvl="1" w:tplc="3DB6FDDE">
      <w:numFmt w:val="bullet"/>
      <w:lvlText w:val="•"/>
      <w:lvlJc w:val="left"/>
      <w:pPr>
        <w:ind w:left="980" w:hanging="220"/>
      </w:pPr>
      <w:rPr>
        <w:rFonts w:hint="default"/>
        <w:lang w:val="en-US" w:eastAsia="en-US" w:bidi="ar-SA"/>
      </w:rPr>
    </w:lvl>
    <w:lvl w:ilvl="2" w:tplc="DA4E685E">
      <w:numFmt w:val="bullet"/>
      <w:lvlText w:val="•"/>
      <w:lvlJc w:val="left"/>
      <w:pPr>
        <w:ind w:left="1975" w:hanging="220"/>
      </w:pPr>
      <w:rPr>
        <w:rFonts w:hint="default"/>
        <w:lang w:val="en-US" w:eastAsia="en-US" w:bidi="ar-SA"/>
      </w:rPr>
    </w:lvl>
    <w:lvl w:ilvl="3" w:tplc="37A643F0">
      <w:numFmt w:val="bullet"/>
      <w:lvlText w:val="•"/>
      <w:lvlJc w:val="left"/>
      <w:pPr>
        <w:ind w:left="2970" w:hanging="220"/>
      </w:pPr>
      <w:rPr>
        <w:rFonts w:hint="default"/>
        <w:lang w:val="en-US" w:eastAsia="en-US" w:bidi="ar-SA"/>
      </w:rPr>
    </w:lvl>
    <w:lvl w:ilvl="4" w:tplc="D054E5E6">
      <w:numFmt w:val="bullet"/>
      <w:lvlText w:val="•"/>
      <w:lvlJc w:val="left"/>
      <w:pPr>
        <w:ind w:left="3965" w:hanging="220"/>
      </w:pPr>
      <w:rPr>
        <w:rFonts w:hint="default"/>
        <w:lang w:val="en-US" w:eastAsia="en-US" w:bidi="ar-SA"/>
      </w:rPr>
    </w:lvl>
    <w:lvl w:ilvl="5" w:tplc="37D09976">
      <w:numFmt w:val="bullet"/>
      <w:lvlText w:val="•"/>
      <w:lvlJc w:val="left"/>
      <w:pPr>
        <w:ind w:left="4961" w:hanging="220"/>
      </w:pPr>
      <w:rPr>
        <w:rFonts w:hint="default"/>
        <w:lang w:val="en-US" w:eastAsia="en-US" w:bidi="ar-SA"/>
      </w:rPr>
    </w:lvl>
    <w:lvl w:ilvl="6" w:tplc="AEAA1E02">
      <w:numFmt w:val="bullet"/>
      <w:lvlText w:val="•"/>
      <w:lvlJc w:val="left"/>
      <w:pPr>
        <w:ind w:left="5956" w:hanging="220"/>
      </w:pPr>
      <w:rPr>
        <w:rFonts w:hint="default"/>
        <w:lang w:val="en-US" w:eastAsia="en-US" w:bidi="ar-SA"/>
      </w:rPr>
    </w:lvl>
    <w:lvl w:ilvl="7" w:tplc="7348329A">
      <w:numFmt w:val="bullet"/>
      <w:lvlText w:val="•"/>
      <w:lvlJc w:val="left"/>
      <w:pPr>
        <w:ind w:left="6951" w:hanging="220"/>
      </w:pPr>
      <w:rPr>
        <w:rFonts w:hint="default"/>
        <w:lang w:val="en-US" w:eastAsia="en-US" w:bidi="ar-SA"/>
      </w:rPr>
    </w:lvl>
    <w:lvl w:ilvl="8" w:tplc="CF707566">
      <w:numFmt w:val="bullet"/>
      <w:lvlText w:val="•"/>
      <w:lvlJc w:val="left"/>
      <w:pPr>
        <w:ind w:left="7947" w:hanging="220"/>
      </w:pPr>
      <w:rPr>
        <w:rFonts w:hint="default"/>
        <w:lang w:val="en-US" w:eastAsia="en-US" w:bidi="ar-SA"/>
      </w:rPr>
    </w:lvl>
  </w:abstractNum>
  <w:abstractNum w:abstractNumId="51" w15:restartNumberingAfterBreak="0">
    <w:nsid w:val="4F250C08"/>
    <w:multiLevelType w:val="hybridMultilevel"/>
    <w:tmpl w:val="5D7008B4"/>
    <w:lvl w:ilvl="0" w:tplc="4A7490FA">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31643226">
      <w:numFmt w:val="bullet"/>
      <w:lvlText w:val="•"/>
      <w:lvlJc w:val="left"/>
      <w:pPr>
        <w:ind w:left="1454" w:hanging="188"/>
      </w:pPr>
      <w:rPr>
        <w:rFonts w:hint="default"/>
        <w:lang w:val="en-US" w:eastAsia="en-US" w:bidi="ar-SA"/>
      </w:rPr>
    </w:lvl>
    <w:lvl w:ilvl="2" w:tplc="46A22F3C">
      <w:numFmt w:val="bullet"/>
      <w:lvlText w:val="•"/>
      <w:lvlJc w:val="left"/>
      <w:pPr>
        <w:ind w:left="2429" w:hanging="188"/>
      </w:pPr>
      <w:rPr>
        <w:rFonts w:hint="default"/>
        <w:lang w:val="en-US" w:eastAsia="en-US" w:bidi="ar-SA"/>
      </w:rPr>
    </w:lvl>
    <w:lvl w:ilvl="3" w:tplc="9A16BA78">
      <w:numFmt w:val="bullet"/>
      <w:lvlText w:val="•"/>
      <w:lvlJc w:val="left"/>
      <w:pPr>
        <w:ind w:left="3403" w:hanging="188"/>
      </w:pPr>
      <w:rPr>
        <w:rFonts w:hint="default"/>
        <w:lang w:val="en-US" w:eastAsia="en-US" w:bidi="ar-SA"/>
      </w:rPr>
    </w:lvl>
    <w:lvl w:ilvl="4" w:tplc="1A8024CC">
      <w:numFmt w:val="bullet"/>
      <w:lvlText w:val="•"/>
      <w:lvlJc w:val="left"/>
      <w:pPr>
        <w:ind w:left="4378" w:hanging="188"/>
      </w:pPr>
      <w:rPr>
        <w:rFonts w:hint="default"/>
        <w:lang w:val="en-US" w:eastAsia="en-US" w:bidi="ar-SA"/>
      </w:rPr>
    </w:lvl>
    <w:lvl w:ilvl="5" w:tplc="07EC6CE2">
      <w:numFmt w:val="bullet"/>
      <w:lvlText w:val="•"/>
      <w:lvlJc w:val="left"/>
      <w:pPr>
        <w:ind w:left="5352" w:hanging="188"/>
      </w:pPr>
      <w:rPr>
        <w:rFonts w:hint="default"/>
        <w:lang w:val="en-US" w:eastAsia="en-US" w:bidi="ar-SA"/>
      </w:rPr>
    </w:lvl>
    <w:lvl w:ilvl="6" w:tplc="96442F1A">
      <w:numFmt w:val="bullet"/>
      <w:lvlText w:val="•"/>
      <w:lvlJc w:val="left"/>
      <w:pPr>
        <w:ind w:left="6327" w:hanging="188"/>
      </w:pPr>
      <w:rPr>
        <w:rFonts w:hint="default"/>
        <w:lang w:val="en-US" w:eastAsia="en-US" w:bidi="ar-SA"/>
      </w:rPr>
    </w:lvl>
    <w:lvl w:ilvl="7" w:tplc="789C83A4">
      <w:numFmt w:val="bullet"/>
      <w:lvlText w:val="•"/>
      <w:lvlJc w:val="left"/>
      <w:pPr>
        <w:ind w:left="7301" w:hanging="188"/>
      </w:pPr>
      <w:rPr>
        <w:rFonts w:hint="default"/>
        <w:lang w:val="en-US" w:eastAsia="en-US" w:bidi="ar-SA"/>
      </w:rPr>
    </w:lvl>
    <w:lvl w:ilvl="8" w:tplc="9B9AE004">
      <w:numFmt w:val="bullet"/>
      <w:lvlText w:val="•"/>
      <w:lvlJc w:val="left"/>
      <w:pPr>
        <w:ind w:left="8276" w:hanging="188"/>
      </w:pPr>
      <w:rPr>
        <w:rFonts w:hint="default"/>
        <w:lang w:val="en-US" w:eastAsia="en-US" w:bidi="ar-SA"/>
      </w:rPr>
    </w:lvl>
  </w:abstractNum>
  <w:abstractNum w:abstractNumId="52" w15:restartNumberingAfterBreak="0">
    <w:nsid w:val="503B3E34"/>
    <w:multiLevelType w:val="hybridMultilevel"/>
    <w:tmpl w:val="2FF2B2A2"/>
    <w:lvl w:ilvl="0" w:tplc="8E5028B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8174C278">
      <w:numFmt w:val="bullet"/>
      <w:lvlText w:val="•"/>
      <w:lvlJc w:val="left"/>
      <w:pPr>
        <w:ind w:left="1454" w:hanging="188"/>
      </w:pPr>
      <w:rPr>
        <w:rFonts w:hint="default"/>
        <w:lang w:val="en-US" w:eastAsia="en-US" w:bidi="ar-SA"/>
      </w:rPr>
    </w:lvl>
    <w:lvl w:ilvl="2" w:tplc="FEF0DECE">
      <w:numFmt w:val="bullet"/>
      <w:lvlText w:val="•"/>
      <w:lvlJc w:val="left"/>
      <w:pPr>
        <w:ind w:left="2429" w:hanging="188"/>
      </w:pPr>
      <w:rPr>
        <w:rFonts w:hint="default"/>
        <w:lang w:val="en-US" w:eastAsia="en-US" w:bidi="ar-SA"/>
      </w:rPr>
    </w:lvl>
    <w:lvl w:ilvl="3" w:tplc="04E6558E">
      <w:numFmt w:val="bullet"/>
      <w:lvlText w:val="•"/>
      <w:lvlJc w:val="left"/>
      <w:pPr>
        <w:ind w:left="3403" w:hanging="188"/>
      </w:pPr>
      <w:rPr>
        <w:rFonts w:hint="default"/>
        <w:lang w:val="en-US" w:eastAsia="en-US" w:bidi="ar-SA"/>
      </w:rPr>
    </w:lvl>
    <w:lvl w:ilvl="4" w:tplc="810E5698">
      <w:numFmt w:val="bullet"/>
      <w:lvlText w:val="•"/>
      <w:lvlJc w:val="left"/>
      <w:pPr>
        <w:ind w:left="4378" w:hanging="188"/>
      </w:pPr>
      <w:rPr>
        <w:rFonts w:hint="default"/>
        <w:lang w:val="en-US" w:eastAsia="en-US" w:bidi="ar-SA"/>
      </w:rPr>
    </w:lvl>
    <w:lvl w:ilvl="5" w:tplc="98F09966">
      <w:numFmt w:val="bullet"/>
      <w:lvlText w:val="•"/>
      <w:lvlJc w:val="left"/>
      <w:pPr>
        <w:ind w:left="5352" w:hanging="188"/>
      </w:pPr>
      <w:rPr>
        <w:rFonts w:hint="default"/>
        <w:lang w:val="en-US" w:eastAsia="en-US" w:bidi="ar-SA"/>
      </w:rPr>
    </w:lvl>
    <w:lvl w:ilvl="6" w:tplc="5480076A">
      <w:numFmt w:val="bullet"/>
      <w:lvlText w:val="•"/>
      <w:lvlJc w:val="left"/>
      <w:pPr>
        <w:ind w:left="6327" w:hanging="188"/>
      </w:pPr>
      <w:rPr>
        <w:rFonts w:hint="default"/>
        <w:lang w:val="en-US" w:eastAsia="en-US" w:bidi="ar-SA"/>
      </w:rPr>
    </w:lvl>
    <w:lvl w:ilvl="7" w:tplc="C02A8F9A">
      <w:numFmt w:val="bullet"/>
      <w:lvlText w:val="•"/>
      <w:lvlJc w:val="left"/>
      <w:pPr>
        <w:ind w:left="7301" w:hanging="188"/>
      </w:pPr>
      <w:rPr>
        <w:rFonts w:hint="default"/>
        <w:lang w:val="en-US" w:eastAsia="en-US" w:bidi="ar-SA"/>
      </w:rPr>
    </w:lvl>
    <w:lvl w:ilvl="8" w:tplc="7D780996">
      <w:numFmt w:val="bullet"/>
      <w:lvlText w:val="•"/>
      <w:lvlJc w:val="left"/>
      <w:pPr>
        <w:ind w:left="8276" w:hanging="188"/>
      </w:pPr>
      <w:rPr>
        <w:rFonts w:hint="default"/>
        <w:lang w:val="en-US" w:eastAsia="en-US" w:bidi="ar-SA"/>
      </w:rPr>
    </w:lvl>
  </w:abstractNum>
  <w:abstractNum w:abstractNumId="53" w15:restartNumberingAfterBreak="0">
    <w:nsid w:val="50896A74"/>
    <w:multiLevelType w:val="hybridMultilevel"/>
    <w:tmpl w:val="3FDAF55E"/>
    <w:lvl w:ilvl="0" w:tplc="E0663B4C">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28D28342">
      <w:numFmt w:val="bullet"/>
      <w:lvlText w:val="•"/>
      <w:lvlJc w:val="left"/>
      <w:pPr>
        <w:ind w:left="1454" w:hanging="188"/>
      </w:pPr>
      <w:rPr>
        <w:rFonts w:hint="default"/>
        <w:lang w:val="en-US" w:eastAsia="en-US" w:bidi="ar-SA"/>
      </w:rPr>
    </w:lvl>
    <w:lvl w:ilvl="2" w:tplc="0116FB7A">
      <w:numFmt w:val="bullet"/>
      <w:lvlText w:val="•"/>
      <w:lvlJc w:val="left"/>
      <w:pPr>
        <w:ind w:left="2429" w:hanging="188"/>
      </w:pPr>
      <w:rPr>
        <w:rFonts w:hint="default"/>
        <w:lang w:val="en-US" w:eastAsia="en-US" w:bidi="ar-SA"/>
      </w:rPr>
    </w:lvl>
    <w:lvl w:ilvl="3" w:tplc="37FE5AAA">
      <w:numFmt w:val="bullet"/>
      <w:lvlText w:val="•"/>
      <w:lvlJc w:val="left"/>
      <w:pPr>
        <w:ind w:left="3403" w:hanging="188"/>
      </w:pPr>
      <w:rPr>
        <w:rFonts w:hint="default"/>
        <w:lang w:val="en-US" w:eastAsia="en-US" w:bidi="ar-SA"/>
      </w:rPr>
    </w:lvl>
    <w:lvl w:ilvl="4" w:tplc="90AEFA2C">
      <w:numFmt w:val="bullet"/>
      <w:lvlText w:val="•"/>
      <w:lvlJc w:val="left"/>
      <w:pPr>
        <w:ind w:left="4378" w:hanging="188"/>
      </w:pPr>
      <w:rPr>
        <w:rFonts w:hint="default"/>
        <w:lang w:val="en-US" w:eastAsia="en-US" w:bidi="ar-SA"/>
      </w:rPr>
    </w:lvl>
    <w:lvl w:ilvl="5" w:tplc="334C669E">
      <w:numFmt w:val="bullet"/>
      <w:lvlText w:val="•"/>
      <w:lvlJc w:val="left"/>
      <w:pPr>
        <w:ind w:left="5352" w:hanging="188"/>
      </w:pPr>
      <w:rPr>
        <w:rFonts w:hint="default"/>
        <w:lang w:val="en-US" w:eastAsia="en-US" w:bidi="ar-SA"/>
      </w:rPr>
    </w:lvl>
    <w:lvl w:ilvl="6" w:tplc="5052F198">
      <w:numFmt w:val="bullet"/>
      <w:lvlText w:val="•"/>
      <w:lvlJc w:val="left"/>
      <w:pPr>
        <w:ind w:left="6327" w:hanging="188"/>
      </w:pPr>
      <w:rPr>
        <w:rFonts w:hint="default"/>
        <w:lang w:val="en-US" w:eastAsia="en-US" w:bidi="ar-SA"/>
      </w:rPr>
    </w:lvl>
    <w:lvl w:ilvl="7" w:tplc="07BC0022">
      <w:numFmt w:val="bullet"/>
      <w:lvlText w:val="•"/>
      <w:lvlJc w:val="left"/>
      <w:pPr>
        <w:ind w:left="7301" w:hanging="188"/>
      </w:pPr>
      <w:rPr>
        <w:rFonts w:hint="default"/>
        <w:lang w:val="en-US" w:eastAsia="en-US" w:bidi="ar-SA"/>
      </w:rPr>
    </w:lvl>
    <w:lvl w:ilvl="8" w:tplc="5B0089AA">
      <w:numFmt w:val="bullet"/>
      <w:lvlText w:val="•"/>
      <w:lvlJc w:val="left"/>
      <w:pPr>
        <w:ind w:left="8276" w:hanging="188"/>
      </w:pPr>
      <w:rPr>
        <w:rFonts w:hint="default"/>
        <w:lang w:val="en-US" w:eastAsia="en-US" w:bidi="ar-SA"/>
      </w:rPr>
    </w:lvl>
  </w:abstractNum>
  <w:abstractNum w:abstractNumId="54" w15:restartNumberingAfterBreak="0">
    <w:nsid w:val="50AC0DCA"/>
    <w:multiLevelType w:val="hybridMultilevel"/>
    <w:tmpl w:val="731EC272"/>
    <w:lvl w:ilvl="0" w:tplc="34306DF0">
      <w:start w:val="8"/>
      <w:numFmt w:val="decimal"/>
      <w:lvlText w:val="%1"/>
      <w:lvlJc w:val="left"/>
      <w:pPr>
        <w:ind w:left="857" w:hanging="733"/>
      </w:pPr>
      <w:rPr>
        <w:rFonts w:hint="default"/>
        <w:lang w:val="en-US" w:eastAsia="en-US" w:bidi="ar-SA"/>
      </w:rPr>
    </w:lvl>
    <w:lvl w:ilvl="1" w:tplc="1DB28F60">
      <w:start w:val="4"/>
      <w:numFmt w:val="decimal"/>
      <w:lvlText w:val="%1.%2"/>
      <w:lvlJc w:val="left"/>
      <w:pPr>
        <w:ind w:left="857" w:hanging="733"/>
      </w:pPr>
      <w:rPr>
        <w:rFonts w:hint="default"/>
        <w:lang w:val="en-US" w:eastAsia="en-US" w:bidi="ar-SA"/>
      </w:rPr>
    </w:lvl>
    <w:lvl w:ilvl="2" w:tplc="CF30F1EE">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C67C2C84">
      <w:numFmt w:val="bullet"/>
      <w:lvlText w:val="•"/>
      <w:lvlJc w:val="left"/>
      <w:pPr>
        <w:ind w:left="3669" w:hanging="733"/>
      </w:pPr>
      <w:rPr>
        <w:rFonts w:hint="default"/>
        <w:lang w:val="en-US" w:eastAsia="en-US" w:bidi="ar-SA"/>
      </w:rPr>
    </w:lvl>
    <w:lvl w:ilvl="4" w:tplc="32C2C43A">
      <w:numFmt w:val="bullet"/>
      <w:lvlText w:val="•"/>
      <w:lvlJc w:val="left"/>
      <w:pPr>
        <w:ind w:left="4606" w:hanging="733"/>
      </w:pPr>
      <w:rPr>
        <w:rFonts w:hint="default"/>
        <w:lang w:val="en-US" w:eastAsia="en-US" w:bidi="ar-SA"/>
      </w:rPr>
    </w:lvl>
    <w:lvl w:ilvl="5" w:tplc="97FE5560">
      <w:numFmt w:val="bullet"/>
      <w:lvlText w:val="•"/>
      <w:lvlJc w:val="left"/>
      <w:pPr>
        <w:ind w:left="5542" w:hanging="733"/>
      </w:pPr>
      <w:rPr>
        <w:rFonts w:hint="default"/>
        <w:lang w:val="en-US" w:eastAsia="en-US" w:bidi="ar-SA"/>
      </w:rPr>
    </w:lvl>
    <w:lvl w:ilvl="6" w:tplc="CDA84FA2">
      <w:numFmt w:val="bullet"/>
      <w:lvlText w:val="•"/>
      <w:lvlJc w:val="left"/>
      <w:pPr>
        <w:ind w:left="6479" w:hanging="733"/>
      </w:pPr>
      <w:rPr>
        <w:rFonts w:hint="default"/>
        <w:lang w:val="en-US" w:eastAsia="en-US" w:bidi="ar-SA"/>
      </w:rPr>
    </w:lvl>
    <w:lvl w:ilvl="7" w:tplc="569AA518">
      <w:numFmt w:val="bullet"/>
      <w:lvlText w:val="•"/>
      <w:lvlJc w:val="left"/>
      <w:pPr>
        <w:ind w:left="7415" w:hanging="733"/>
      </w:pPr>
      <w:rPr>
        <w:rFonts w:hint="default"/>
        <w:lang w:val="en-US" w:eastAsia="en-US" w:bidi="ar-SA"/>
      </w:rPr>
    </w:lvl>
    <w:lvl w:ilvl="8" w:tplc="FFEA5712">
      <w:numFmt w:val="bullet"/>
      <w:lvlText w:val="•"/>
      <w:lvlJc w:val="left"/>
      <w:pPr>
        <w:ind w:left="8352" w:hanging="733"/>
      </w:pPr>
      <w:rPr>
        <w:rFonts w:hint="default"/>
        <w:lang w:val="en-US" w:eastAsia="en-US" w:bidi="ar-SA"/>
      </w:rPr>
    </w:lvl>
  </w:abstractNum>
  <w:abstractNum w:abstractNumId="55" w15:restartNumberingAfterBreak="0">
    <w:nsid w:val="52CD46DB"/>
    <w:multiLevelType w:val="hybridMultilevel"/>
    <w:tmpl w:val="11DC7982"/>
    <w:lvl w:ilvl="0" w:tplc="E59419AE">
      <w:numFmt w:val="bullet"/>
      <w:lvlText w:val="-"/>
      <w:lvlJc w:val="left"/>
      <w:pPr>
        <w:ind w:left="420" w:hanging="220"/>
      </w:pPr>
      <w:rPr>
        <w:rFonts w:ascii="MS Gothic" w:eastAsia="MS Gothic" w:hAnsi="MS Gothic" w:cs="MS Gothic" w:hint="default"/>
        <w:color w:val="333333"/>
        <w:w w:val="100"/>
        <w:sz w:val="22"/>
        <w:szCs w:val="22"/>
        <w:lang w:val="en-US" w:eastAsia="en-US" w:bidi="ar-SA"/>
      </w:rPr>
    </w:lvl>
    <w:lvl w:ilvl="1" w:tplc="822422D2">
      <w:numFmt w:val="bullet"/>
      <w:lvlText w:val="•"/>
      <w:lvlJc w:val="left"/>
      <w:pPr>
        <w:ind w:left="1371" w:hanging="220"/>
      </w:pPr>
      <w:rPr>
        <w:rFonts w:hint="default"/>
        <w:lang w:val="en-US" w:eastAsia="en-US" w:bidi="ar-SA"/>
      </w:rPr>
    </w:lvl>
    <w:lvl w:ilvl="2" w:tplc="2B0CC91A">
      <w:numFmt w:val="bullet"/>
      <w:lvlText w:val="•"/>
      <w:lvlJc w:val="left"/>
      <w:pPr>
        <w:ind w:left="2323" w:hanging="220"/>
      </w:pPr>
      <w:rPr>
        <w:rFonts w:hint="default"/>
        <w:lang w:val="en-US" w:eastAsia="en-US" w:bidi="ar-SA"/>
      </w:rPr>
    </w:lvl>
    <w:lvl w:ilvl="3" w:tplc="69E01D6C">
      <w:numFmt w:val="bullet"/>
      <w:lvlText w:val="•"/>
      <w:lvlJc w:val="left"/>
      <w:pPr>
        <w:ind w:left="3275" w:hanging="220"/>
      </w:pPr>
      <w:rPr>
        <w:rFonts w:hint="default"/>
        <w:lang w:val="en-US" w:eastAsia="en-US" w:bidi="ar-SA"/>
      </w:rPr>
    </w:lvl>
    <w:lvl w:ilvl="4" w:tplc="2D383D4A">
      <w:numFmt w:val="bullet"/>
      <w:lvlText w:val="•"/>
      <w:lvlJc w:val="left"/>
      <w:pPr>
        <w:ind w:left="4227" w:hanging="220"/>
      </w:pPr>
      <w:rPr>
        <w:rFonts w:hint="default"/>
        <w:lang w:val="en-US" w:eastAsia="en-US" w:bidi="ar-SA"/>
      </w:rPr>
    </w:lvl>
    <w:lvl w:ilvl="5" w:tplc="A906DFC8">
      <w:numFmt w:val="bullet"/>
      <w:lvlText w:val="•"/>
      <w:lvlJc w:val="left"/>
      <w:pPr>
        <w:ind w:left="5178" w:hanging="220"/>
      </w:pPr>
      <w:rPr>
        <w:rFonts w:hint="default"/>
        <w:lang w:val="en-US" w:eastAsia="en-US" w:bidi="ar-SA"/>
      </w:rPr>
    </w:lvl>
    <w:lvl w:ilvl="6" w:tplc="A96629BE">
      <w:numFmt w:val="bullet"/>
      <w:lvlText w:val="•"/>
      <w:lvlJc w:val="left"/>
      <w:pPr>
        <w:ind w:left="6130" w:hanging="220"/>
      </w:pPr>
      <w:rPr>
        <w:rFonts w:hint="default"/>
        <w:lang w:val="en-US" w:eastAsia="en-US" w:bidi="ar-SA"/>
      </w:rPr>
    </w:lvl>
    <w:lvl w:ilvl="7" w:tplc="D996C790">
      <w:numFmt w:val="bullet"/>
      <w:lvlText w:val="•"/>
      <w:lvlJc w:val="left"/>
      <w:pPr>
        <w:ind w:left="7082" w:hanging="220"/>
      </w:pPr>
      <w:rPr>
        <w:rFonts w:hint="default"/>
        <w:lang w:val="en-US" w:eastAsia="en-US" w:bidi="ar-SA"/>
      </w:rPr>
    </w:lvl>
    <w:lvl w:ilvl="8" w:tplc="6FE4159E">
      <w:numFmt w:val="bullet"/>
      <w:lvlText w:val="•"/>
      <w:lvlJc w:val="left"/>
      <w:pPr>
        <w:ind w:left="8034" w:hanging="220"/>
      </w:pPr>
      <w:rPr>
        <w:rFonts w:hint="default"/>
        <w:lang w:val="en-US" w:eastAsia="en-US" w:bidi="ar-SA"/>
      </w:rPr>
    </w:lvl>
  </w:abstractNum>
  <w:abstractNum w:abstractNumId="56" w15:restartNumberingAfterBreak="0">
    <w:nsid w:val="55642141"/>
    <w:multiLevelType w:val="hybridMultilevel"/>
    <w:tmpl w:val="DC6006F8"/>
    <w:lvl w:ilvl="0" w:tplc="B5B22176">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00E227AC">
      <w:numFmt w:val="bullet"/>
      <w:lvlText w:val="•"/>
      <w:lvlJc w:val="left"/>
      <w:pPr>
        <w:ind w:left="1454" w:hanging="188"/>
      </w:pPr>
      <w:rPr>
        <w:rFonts w:hint="default"/>
        <w:lang w:val="en-US" w:eastAsia="en-US" w:bidi="ar-SA"/>
      </w:rPr>
    </w:lvl>
    <w:lvl w:ilvl="2" w:tplc="4726CD8E">
      <w:numFmt w:val="bullet"/>
      <w:lvlText w:val="•"/>
      <w:lvlJc w:val="left"/>
      <w:pPr>
        <w:ind w:left="2429" w:hanging="188"/>
      </w:pPr>
      <w:rPr>
        <w:rFonts w:hint="default"/>
        <w:lang w:val="en-US" w:eastAsia="en-US" w:bidi="ar-SA"/>
      </w:rPr>
    </w:lvl>
    <w:lvl w:ilvl="3" w:tplc="7FCADF64">
      <w:numFmt w:val="bullet"/>
      <w:lvlText w:val="•"/>
      <w:lvlJc w:val="left"/>
      <w:pPr>
        <w:ind w:left="3403" w:hanging="188"/>
      </w:pPr>
      <w:rPr>
        <w:rFonts w:hint="default"/>
        <w:lang w:val="en-US" w:eastAsia="en-US" w:bidi="ar-SA"/>
      </w:rPr>
    </w:lvl>
    <w:lvl w:ilvl="4" w:tplc="934A1846">
      <w:numFmt w:val="bullet"/>
      <w:lvlText w:val="•"/>
      <w:lvlJc w:val="left"/>
      <w:pPr>
        <w:ind w:left="4378" w:hanging="188"/>
      </w:pPr>
      <w:rPr>
        <w:rFonts w:hint="default"/>
        <w:lang w:val="en-US" w:eastAsia="en-US" w:bidi="ar-SA"/>
      </w:rPr>
    </w:lvl>
    <w:lvl w:ilvl="5" w:tplc="A504F79E">
      <w:numFmt w:val="bullet"/>
      <w:lvlText w:val="•"/>
      <w:lvlJc w:val="left"/>
      <w:pPr>
        <w:ind w:left="5352" w:hanging="188"/>
      </w:pPr>
      <w:rPr>
        <w:rFonts w:hint="default"/>
        <w:lang w:val="en-US" w:eastAsia="en-US" w:bidi="ar-SA"/>
      </w:rPr>
    </w:lvl>
    <w:lvl w:ilvl="6" w:tplc="F4D8B3BA">
      <w:numFmt w:val="bullet"/>
      <w:lvlText w:val="•"/>
      <w:lvlJc w:val="left"/>
      <w:pPr>
        <w:ind w:left="6327" w:hanging="188"/>
      </w:pPr>
      <w:rPr>
        <w:rFonts w:hint="default"/>
        <w:lang w:val="en-US" w:eastAsia="en-US" w:bidi="ar-SA"/>
      </w:rPr>
    </w:lvl>
    <w:lvl w:ilvl="7" w:tplc="910E419A">
      <w:numFmt w:val="bullet"/>
      <w:lvlText w:val="•"/>
      <w:lvlJc w:val="left"/>
      <w:pPr>
        <w:ind w:left="7301" w:hanging="188"/>
      </w:pPr>
      <w:rPr>
        <w:rFonts w:hint="default"/>
        <w:lang w:val="en-US" w:eastAsia="en-US" w:bidi="ar-SA"/>
      </w:rPr>
    </w:lvl>
    <w:lvl w:ilvl="8" w:tplc="2C0628FE">
      <w:numFmt w:val="bullet"/>
      <w:lvlText w:val="•"/>
      <w:lvlJc w:val="left"/>
      <w:pPr>
        <w:ind w:left="8276" w:hanging="188"/>
      </w:pPr>
      <w:rPr>
        <w:rFonts w:hint="default"/>
        <w:lang w:val="en-US" w:eastAsia="en-US" w:bidi="ar-SA"/>
      </w:rPr>
    </w:lvl>
  </w:abstractNum>
  <w:abstractNum w:abstractNumId="57" w15:restartNumberingAfterBreak="0">
    <w:nsid w:val="559610F4"/>
    <w:multiLevelType w:val="hybridMultilevel"/>
    <w:tmpl w:val="08E45D3A"/>
    <w:lvl w:ilvl="0" w:tplc="15E08A2A">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DAD22364">
      <w:numFmt w:val="bullet"/>
      <w:lvlText w:val="•"/>
      <w:lvlJc w:val="left"/>
      <w:pPr>
        <w:ind w:left="1454" w:hanging="188"/>
      </w:pPr>
      <w:rPr>
        <w:rFonts w:hint="default"/>
        <w:lang w:val="en-US" w:eastAsia="en-US" w:bidi="ar-SA"/>
      </w:rPr>
    </w:lvl>
    <w:lvl w:ilvl="2" w:tplc="2DB270D2">
      <w:numFmt w:val="bullet"/>
      <w:lvlText w:val="•"/>
      <w:lvlJc w:val="left"/>
      <w:pPr>
        <w:ind w:left="2429" w:hanging="188"/>
      </w:pPr>
      <w:rPr>
        <w:rFonts w:hint="default"/>
        <w:lang w:val="en-US" w:eastAsia="en-US" w:bidi="ar-SA"/>
      </w:rPr>
    </w:lvl>
    <w:lvl w:ilvl="3" w:tplc="A524BEF8">
      <w:numFmt w:val="bullet"/>
      <w:lvlText w:val="•"/>
      <w:lvlJc w:val="left"/>
      <w:pPr>
        <w:ind w:left="3403" w:hanging="188"/>
      </w:pPr>
      <w:rPr>
        <w:rFonts w:hint="default"/>
        <w:lang w:val="en-US" w:eastAsia="en-US" w:bidi="ar-SA"/>
      </w:rPr>
    </w:lvl>
    <w:lvl w:ilvl="4" w:tplc="A7EA43BA">
      <w:numFmt w:val="bullet"/>
      <w:lvlText w:val="•"/>
      <w:lvlJc w:val="left"/>
      <w:pPr>
        <w:ind w:left="4378" w:hanging="188"/>
      </w:pPr>
      <w:rPr>
        <w:rFonts w:hint="default"/>
        <w:lang w:val="en-US" w:eastAsia="en-US" w:bidi="ar-SA"/>
      </w:rPr>
    </w:lvl>
    <w:lvl w:ilvl="5" w:tplc="8F842920">
      <w:numFmt w:val="bullet"/>
      <w:lvlText w:val="•"/>
      <w:lvlJc w:val="left"/>
      <w:pPr>
        <w:ind w:left="5352" w:hanging="188"/>
      </w:pPr>
      <w:rPr>
        <w:rFonts w:hint="default"/>
        <w:lang w:val="en-US" w:eastAsia="en-US" w:bidi="ar-SA"/>
      </w:rPr>
    </w:lvl>
    <w:lvl w:ilvl="6" w:tplc="2CB8FA40">
      <w:numFmt w:val="bullet"/>
      <w:lvlText w:val="•"/>
      <w:lvlJc w:val="left"/>
      <w:pPr>
        <w:ind w:left="6327" w:hanging="188"/>
      </w:pPr>
      <w:rPr>
        <w:rFonts w:hint="default"/>
        <w:lang w:val="en-US" w:eastAsia="en-US" w:bidi="ar-SA"/>
      </w:rPr>
    </w:lvl>
    <w:lvl w:ilvl="7" w:tplc="1040C254">
      <w:numFmt w:val="bullet"/>
      <w:lvlText w:val="•"/>
      <w:lvlJc w:val="left"/>
      <w:pPr>
        <w:ind w:left="7301" w:hanging="188"/>
      </w:pPr>
      <w:rPr>
        <w:rFonts w:hint="default"/>
        <w:lang w:val="en-US" w:eastAsia="en-US" w:bidi="ar-SA"/>
      </w:rPr>
    </w:lvl>
    <w:lvl w:ilvl="8" w:tplc="B3C65DC0">
      <w:numFmt w:val="bullet"/>
      <w:lvlText w:val="•"/>
      <w:lvlJc w:val="left"/>
      <w:pPr>
        <w:ind w:left="8276" w:hanging="188"/>
      </w:pPr>
      <w:rPr>
        <w:rFonts w:hint="default"/>
        <w:lang w:val="en-US" w:eastAsia="en-US" w:bidi="ar-SA"/>
      </w:rPr>
    </w:lvl>
  </w:abstractNum>
  <w:abstractNum w:abstractNumId="58" w15:restartNumberingAfterBreak="0">
    <w:nsid w:val="56501164"/>
    <w:multiLevelType w:val="hybridMultilevel"/>
    <w:tmpl w:val="C576BA80"/>
    <w:lvl w:ilvl="0" w:tplc="36DAD490">
      <w:numFmt w:val="bullet"/>
      <w:lvlText w:val="-"/>
      <w:lvlJc w:val="left"/>
      <w:pPr>
        <w:ind w:left="420" w:hanging="220"/>
      </w:pPr>
      <w:rPr>
        <w:rFonts w:ascii="MS Gothic" w:eastAsia="MS Gothic" w:hAnsi="MS Gothic" w:cs="MS Gothic" w:hint="default"/>
        <w:color w:val="333333"/>
        <w:w w:val="100"/>
        <w:sz w:val="22"/>
        <w:szCs w:val="22"/>
        <w:lang w:val="en-US" w:eastAsia="en-US" w:bidi="ar-SA"/>
      </w:rPr>
    </w:lvl>
    <w:lvl w:ilvl="1" w:tplc="49DE221A">
      <w:numFmt w:val="bullet"/>
      <w:lvlText w:val="-"/>
      <w:lvlJc w:val="left"/>
      <w:pPr>
        <w:ind w:left="640" w:hanging="220"/>
      </w:pPr>
      <w:rPr>
        <w:rFonts w:ascii="MS Gothic" w:eastAsia="MS Gothic" w:hAnsi="MS Gothic" w:cs="MS Gothic" w:hint="default"/>
        <w:color w:val="333333"/>
        <w:w w:val="100"/>
        <w:sz w:val="22"/>
        <w:szCs w:val="22"/>
        <w:lang w:val="en-US" w:eastAsia="en-US" w:bidi="ar-SA"/>
      </w:rPr>
    </w:lvl>
    <w:lvl w:ilvl="2" w:tplc="BB8223B6">
      <w:numFmt w:val="bullet"/>
      <w:lvlText w:val="•"/>
      <w:lvlJc w:val="left"/>
      <w:pPr>
        <w:ind w:left="1673" w:hanging="220"/>
      </w:pPr>
      <w:rPr>
        <w:rFonts w:hint="default"/>
        <w:lang w:val="en-US" w:eastAsia="en-US" w:bidi="ar-SA"/>
      </w:rPr>
    </w:lvl>
    <w:lvl w:ilvl="3" w:tplc="4F8C0D2E">
      <w:numFmt w:val="bullet"/>
      <w:lvlText w:val="•"/>
      <w:lvlJc w:val="left"/>
      <w:pPr>
        <w:ind w:left="2706" w:hanging="220"/>
      </w:pPr>
      <w:rPr>
        <w:rFonts w:hint="default"/>
        <w:lang w:val="en-US" w:eastAsia="en-US" w:bidi="ar-SA"/>
      </w:rPr>
    </w:lvl>
    <w:lvl w:ilvl="4" w:tplc="1EBA44A6">
      <w:numFmt w:val="bullet"/>
      <w:lvlText w:val="•"/>
      <w:lvlJc w:val="left"/>
      <w:pPr>
        <w:ind w:left="3739" w:hanging="220"/>
      </w:pPr>
      <w:rPr>
        <w:rFonts w:hint="default"/>
        <w:lang w:val="en-US" w:eastAsia="en-US" w:bidi="ar-SA"/>
      </w:rPr>
    </w:lvl>
    <w:lvl w:ilvl="5" w:tplc="0F9C3C50">
      <w:numFmt w:val="bullet"/>
      <w:lvlText w:val="•"/>
      <w:lvlJc w:val="left"/>
      <w:pPr>
        <w:ind w:left="4772" w:hanging="220"/>
      </w:pPr>
      <w:rPr>
        <w:rFonts w:hint="default"/>
        <w:lang w:val="en-US" w:eastAsia="en-US" w:bidi="ar-SA"/>
      </w:rPr>
    </w:lvl>
    <w:lvl w:ilvl="6" w:tplc="41189552">
      <w:numFmt w:val="bullet"/>
      <w:lvlText w:val="•"/>
      <w:lvlJc w:val="left"/>
      <w:pPr>
        <w:ind w:left="5805" w:hanging="220"/>
      </w:pPr>
      <w:rPr>
        <w:rFonts w:hint="default"/>
        <w:lang w:val="en-US" w:eastAsia="en-US" w:bidi="ar-SA"/>
      </w:rPr>
    </w:lvl>
    <w:lvl w:ilvl="7" w:tplc="EDF8C732">
      <w:numFmt w:val="bullet"/>
      <w:lvlText w:val="•"/>
      <w:lvlJc w:val="left"/>
      <w:pPr>
        <w:ind w:left="6838" w:hanging="220"/>
      </w:pPr>
      <w:rPr>
        <w:rFonts w:hint="default"/>
        <w:lang w:val="en-US" w:eastAsia="en-US" w:bidi="ar-SA"/>
      </w:rPr>
    </w:lvl>
    <w:lvl w:ilvl="8" w:tplc="4740E776">
      <w:numFmt w:val="bullet"/>
      <w:lvlText w:val="•"/>
      <w:lvlJc w:val="left"/>
      <w:pPr>
        <w:ind w:left="7871" w:hanging="220"/>
      </w:pPr>
      <w:rPr>
        <w:rFonts w:hint="default"/>
        <w:lang w:val="en-US" w:eastAsia="en-US" w:bidi="ar-SA"/>
      </w:rPr>
    </w:lvl>
  </w:abstractNum>
  <w:abstractNum w:abstractNumId="59" w15:restartNumberingAfterBreak="0">
    <w:nsid w:val="582A13BE"/>
    <w:multiLevelType w:val="hybridMultilevel"/>
    <w:tmpl w:val="121E4FC8"/>
    <w:lvl w:ilvl="0" w:tplc="02246DD6">
      <w:start w:val="1"/>
      <w:numFmt w:val="decimal"/>
      <w:lvlText w:val="%1."/>
      <w:lvlJc w:val="left"/>
      <w:pPr>
        <w:ind w:left="484" w:hanging="272"/>
      </w:pPr>
      <w:rPr>
        <w:rFonts w:ascii="Cambria" w:eastAsia="Cambria" w:hAnsi="Cambria" w:cs="Cambria" w:hint="default"/>
        <w:color w:val="333333"/>
        <w:spacing w:val="-11"/>
        <w:w w:val="106"/>
        <w:sz w:val="21"/>
        <w:szCs w:val="21"/>
        <w:lang w:val="en-US" w:eastAsia="en-US" w:bidi="ar-SA"/>
      </w:rPr>
    </w:lvl>
    <w:lvl w:ilvl="1" w:tplc="1ECCDC76">
      <w:numFmt w:val="bullet"/>
      <w:lvlText w:val="•"/>
      <w:lvlJc w:val="left"/>
      <w:pPr>
        <w:ind w:left="1454" w:hanging="272"/>
      </w:pPr>
      <w:rPr>
        <w:rFonts w:hint="default"/>
        <w:lang w:val="en-US" w:eastAsia="en-US" w:bidi="ar-SA"/>
      </w:rPr>
    </w:lvl>
    <w:lvl w:ilvl="2" w:tplc="2EE458BA">
      <w:numFmt w:val="bullet"/>
      <w:lvlText w:val="•"/>
      <w:lvlJc w:val="left"/>
      <w:pPr>
        <w:ind w:left="2429" w:hanging="272"/>
      </w:pPr>
      <w:rPr>
        <w:rFonts w:hint="default"/>
        <w:lang w:val="en-US" w:eastAsia="en-US" w:bidi="ar-SA"/>
      </w:rPr>
    </w:lvl>
    <w:lvl w:ilvl="3" w:tplc="6172A6E0">
      <w:numFmt w:val="bullet"/>
      <w:lvlText w:val="•"/>
      <w:lvlJc w:val="left"/>
      <w:pPr>
        <w:ind w:left="3403" w:hanging="272"/>
      </w:pPr>
      <w:rPr>
        <w:rFonts w:hint="default"/>
        <w:lang w:val="en-US" w:eastAsia="en-US" w:bidi="ar-SA"/>
      </w:rPr>
    </w:lvl>
    <w:lvl w:ilvl="4" w:tplc="4BB84EE4">
      <w:numFmt w:val="bullet"/>
      <w:lvlText w:val="•"/>
      <w:lvlJc w:val="left"/>
      <w:pPr>
        <w:ind w:left="4378" w:hanging="272"/>
      </w:pPr>
      <w:rPr>
        <w:rFonts w:hint="default"/>
        <w:lang w:val="en-US" w:eastAsia="en-US" w:bidi="ar-SA"/>
      </w:rPr>
    </w:lvl>
    <w:lvl w:ilvl="5" w:tplc="F4CA68F6">
      <w:numFmt w:val="bullet"/>
      <w:lvlText w:val="•"/>
      <w:lvlJc w:val="left"/>
      <w:pPr>
        <w:ind w:left="5352" w:hanging="272"/>
      </w:pPr>
      <w:rPr>
        <w:rFonts w:hint="default"/>
        <w:lang w:val="en-US" w:eastAsia="en-US" w:bidi="ar-SA"/>
      </w:rPr>
    </w:lvl>
    <w:lvl w:ilvl="6" w:tplc="0DA4BC18">
      <w:numFmt w:val="bullet"/>
      <w:lvlText w:val="•"/>
      <w:lvlJc w:val="left"/>
      <w:pPr>
        <w:ind w:left="6327" w:hanging="272"/>
      </w:pPr>
      <w:rPr>
        <w:rFonts w:hint="default"/>
        <w:lang w:val="en-US" w:eastAsia="en-US" w:bidi="ar-SA"/>
      </w:rPr>
    </w:lvl>
    <w:lvl w:ilvl="7" w:tplc="9F7CC114">
      <w:numFmt w:val="bullet"/>
      <w:lvlText w:val="•"/>
      <w:lvlJc w:val="left"/>
      <w:pPr>
        <w:ind w:left="7301" w:hanging="272"/>
      </w:pPr>
      <w:rPr>
        <w:rFonts w:hint="default"/>
        <w:lang w:val="en-US" w:eastAsia="en-US" w:bidi="ar-SA"/>
      </w:rPr>
    </w:lvl>
    <w:lvl w:ilvl="8" w:tplc="92DA6030">
      <w:numFmt w:val="bullet"/>
      <w:lvlText w:val="•"/>
      <w:lvlJc w:val="left"/>
      <w:pPr>
        <w:ind w:left="8276" w:hanging="272"/>
      </w:pPr>
      <w:rPr>
        <w:rFonts w:hint="default"/>
        <w:lang w:val="en-US" w:eastAsia="en-US" w:bidi="ar-SA"/>
      </w:rPr>
    </w:lvl>
  </w:abstractNum>
  <w:abstractNum w:abstractNumId="60" w15:restartNumberingAfterBreak="0">
    <w:nsid w:val="5866049B"/>
    <w:multiLevelType w:val="hybridMultilevel"/>
    <w:tmpl w:val="D6225764"/>
    <w:lvl w:ilvl="0" w:tplc="156C52C8">
      <w:start w:val="8"/>
      <w:numFmt w:val="decimal"/>
      <w:lvlText w:val="%1"/>
      <w:lvlJc w:val="left"/>
      <w:pPr>
        <w:ind w:left="831" w:hanging="708"/>
      </w:pPr>
      <w:rPr>
        <w:rFonts w:hint="default"/>
        <w:lang w:val="en-US" w:eastAsia="en-US" w:bidi="ar-SA"/>
      </w:rPr>
    </w:lvl>
    <w:lvl w:ilvl="1" w:tplc="4CDC022A">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3C26115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3" w:tplc="F4AE6F18">
      <w:numFmt w:val="bullet"/>
      <w:lvlText w:val="•"/>
      <w:lvlJc w:val="left"/>
      <w:pPr>
        <w:ind w:left="2925" w:hanging="188"/>
      </w:pPr>
      <w:rPr>
        <w:rFonts w:hint="default"/>
        <w:lang w:val="en-US" w:eastAsia="en-US" w:bidi="ar-SA"/>
      </w:rPr>
    </w:lvl>
    <w:lvl w:ilvl="4" w:tplc="88386350">
      <w:numFmt w:val="bullet"/>
      <w:lvlText w:val="•"/>
      <w:lvlJc w:val="left"/>
      <w:pPr>
        <w:ind w:left="3968" w:hanging="188"/>
      </w:pPr>
      <w:rPr>
        <w:rFonts w:hint="default"/>
        <w:lang w:val="en-US" w:eastAsia="en-US" w:bidi="ar-SA"/>
      </w:rPr>
    </w:lvl>
    <w:lvl w:ilvl="5" w:tplc="8EE6854E">
      <w:numFmt w:val="bullet"/>
      <w:lvlText w:val="•"/>
      <w:lvlJc w:val="left"/>
      <w:pPr>
        <w:ind w:left="5011" w:hanging="188"/>
      </w:pPr>
      <w:rPr>
        <w:rFonts w:hint="default"/>
        <w:lang w:val="en-US" w:eastAsia="en-US" w:bidi="ar-SA"/>
      </w:rPr>
    </w:lvl>
    <w:lvl w:ilvl="6" w:tplc="A3047BDC">
      <w:numFmt w:val="bullet"/>
      <w:lvlText w:val="•"/>
      <w:lvlJc w:val="left"/>
      <w:pPr>
        <w:ind w:left="6054" w:hanging="188"/>
      </w:pPr>
      <w:rPr>
        <w:rFonts w:hint="default"/>
        <w:lang w:val="en-US" w:eastAsia="en-US" w:bidi="ar-SA"/>
      </w:rPr>
    </w:lvl>
    <w:lvl w:ilvl="7" w:tplc="2B28064E">
      <w:numFmt w:val="bullet"/>
      <w:lvlText w:val="•"/>
      <w:lvlJc w:val="left"/>
      <w:pPr>
        <w:ind w:left="7097" w:hanging="188"/>
      </w:pPr>
      <w:rPr>
        <w:rFonts w:hint="default"/>
        <w:lang w:val="en-US" w:eastAsia="en-US" w:bidi="ar-SA"/>
      </w:rPr>
    </w:lvl>
    <w:lvl w:ilvl="8" w:tplc="3E28CD54">
      <w:numFmt w:val="bullet"/>
      <w:lvlText w:val="•"/>
      <w:lvlJc w:val="left"/>
      <w:pPr>
        <w:ind w:left="8139" w:hanging="188"/>
      </w:pPr>
      <w:rPr>
        <w:rFonts w:hint="default"/>
        <w:lang w:val="en-US" w:eastAsia="en-US" w:bidi="ar-SA"/>
      </w:rPr>
    </w:lvl>
  </w:abstractNum>
  <w:abstractNum w:abstractNumId="61" w15:restartNumberingAfterBreak="0">
    <w:nsid w:val="586F694C"/>
    <w:multiLevelType w:val="hybridMultilevel"/>
    <w:tmpl w:val="B8FC31A2"/>
    <w:lvl w:ilvl="0" w:tplc="5920824E">
      <w:start w:val="7"/>
      <w:numFmt w:val="decimal"/>
      <w:lvlText w:val="%1"/>
      <w:lvlJc w:val="left"/>
      <w:pPr>
        <w:ind w:left="831" w:hanging="708"/>
      </w:pPr>
      <w:rPr>
        <w:rFonts w:hint="default"/>
        <w:lang w:val="en-US" w:eastAsia="en-US" w:bidi="ar-SA"/>
      </w:rPr>
    </w:lvl>
    <w:lvl w:ilvl="1" w:tplc="59F0E944">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8FD0885E">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F22AE4CC">
      <w:numFmt w:val="bullet"/>
      <w:lvlText w:val="•"/>
      <w:lvlJc w:val="left"/>
      <w:pPr>
        <w:ind w:left="2941" w:hanging="733"/>
      </w:pPr>
      <w:rPr>
        <w:rFonts w:hint="default"/>
        <w:lang w:val="en-US" w:eastAsia="en-US" w:bidi="ar-SA"/>
      </w:rPr>
    </w:lvl>
    <w:lvl w:ilvl="4" w:tplc="E86402D8">
      <w:numFmt w:val="bullet"/>
      <w:lvlText w:val="•"/>
      <w:lvlJc w:val="left"/>
      <w:pPr>
        <w:ind w:left="3981" w:hanging="733"/>
      </w:pPr>
      <w:rPr>
        <w:rFonts w:hint="default"/>
        <w:lang w:val="en-US" w:eastAsia="en-US" w:bidi="ar-SA"/>
      </w:rPr>
    </w:lvl>
    <w:lvl w:ilvl="5" w:tplc="7DAEE7F0">
      <w:numFmt w:val="bullet"/>
      <w:lvlText w:val="•"/>
      <w:lvlJc w:val="left"/>
      <w:pPr>
        <w:ind w:left="5022" w:hanging="733"/>
      </w:pPr>
      <w:rPr>
        <w:rFonts w:hint="default"/>
        <w:lang w:val="en-US" w:eastAsia="en-US" w:bidi="ar-SA"/>
      </w:rPr>
    </w:lvl>
    <w:lvl w:ilvl="6" w:tplc="AA68DBA6">
      <w:numFmt w:val="bullet"/>
      <w:lvlText w:val="•"/>
      <w:lvlJc w:val="left"/>
      <w:pPr>
        <w:ind w:left="6063" w:hanging="733"/>
      </w:pPr>
      <w:rPr>
        <w:rFonts w:hint="default"/>
        <w:lang w:val="en-US" w:eastAsia="en-US" w:bidi="ar-SA"/>
      </w:rPr>
    </w:lvl>
    <w:lvl w:ilvl="7" w:tplc="147E8690">
      <w:numFmt w:val="bullet"/>
      <w:lvlText w:val="•"/>
      <w:lvlJc w:val="left"/>
      <w:pPr>
        <w:ind w:left="7103" w:hanging="733"/>
      </w:pPr>
      <w:rPr>
        <w:rFonts w:hint="default"/>
        <w:lang w:val="en-US" w:eastAsia="en-US" w:bidi="ar-SA"/>
      </w:rPr>
    </w:lvl>
    <w:lvl w:ilvl="8" w:tplc="E0081164">
      <w:numFmt w:val="bullet"/>
      <w:lvlText w:val="•"/>
      <w:lvlJc w:val="left"/>
      <w:pPr>
        <w:ind w:left="8144" w:hanging="733"/>
      </w:pPr>
      <w:rPr>
        <w:rFonts w:hint="default"/>
        <w:lang w:val="en-US" w:eastAsia="en-US" w:bidi="ar-SA"/>
      </w:rPr>
    </w:lvl>
  </w:abstractNum>
  <w:abstractNum w:abstractNumId="62" w15:restartNumberingAfterBreak="0">
    <w:nsid w:val="593E665A"/>
    <w:multiLevelType w:val="hybridMultilevel"/>
    <w:tmpl w:val="D1345782"/>
    <w:lvl w:ilvl="0" w:tplc="6F2ED078">
      <w:start w:val="2"/>
      <w:numFmt w:val="decimal"/>
      <w:lvlText w:val="%1"/>
      <w:lvlJc w:val="left"/>
      <w:pPr>
        <w:ind w:left="857" w:hanging="733"/>
      </w:pPr>
      <w:rPr>
        <w:rFonts w:hint="default"/>
        <w:lang w:val="en-US" w:eastAsia="en-US" w:bidi="ar-SA"/>
      </w:rPr>
    </w:lvl>
    <w:lvl w:ilvl="1" w:tplc="16587E22">
      <w:start w:val="3"/>
      <w:numFmt w:val="decimal"/>
      <w:lvlText w:val="%1.%2"/>
      <w:lvlJc w:val="left"/>
      <w:pPr>
        <w:ind w:left="857" w:hanging="733"/>
      </w:pPr>
      <w:rPr>
        <w:rFonts w:hint="default"/>
        <w:lang w:val="en-US" w:eastAsia="en-US" w:bidi="ar-SA"/>
      </w:rPr>
    </w:lvl>
    <w:lvl w:ilvl="2" w:tplc="60925582">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DE7852A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4" w:tplc="8DACA96A">
      <w:numFmt w:val="bullet"/>
      <w:lvlText w:val="•"/>
      <w:lvlJc w:val="left"/>
      <w:pPr>
        <w:ind w:left="3981" w:hanging="188"/>
      </w:pPr>
      <w:rPr>
        <w:rFonts w:hint="default"/>
        <w:lang w:val="en-US" w:eastAsia="en-US" w:bidi="ar-SA"/>
      </w:rPr>
    </w:lvl>
    <w:lvl w:ilvl="5" w:tplc="F454CD7C">
      <w:numFmt w:val="bullet"/>
      <w:lvlText w:val="•"/>
      <w:lvlJc w:val="left"/>
      <w:pPr>
        <w:ind w:left="5022" w:hanging="188"/>
      </w:pPr>
      <w:rPr>
        <w:rFonts w:hint="default"/>
        <w:lang w:val="en-US" w:eastAsia="en-US" w:bidi="ar-SA"/>
      </w:rPr>
    </w:lvl>
    <w:lvl w:ilvl="6" w:tplc="A7CA7A26">
      <w:numFmt w:val="bullet"/>
      <w:lvlText w:val="•"/>
      <w:lvlJc w:val="left"/>
      <w:pPr>
        <w:ind w:left="6063" w:hanging="188"/>
      </w:pPr>
      <w:rPr>
        <w:rFonts w:hint="default"/>
        <w:lang w:val="en-US" w:eastAsia="en-US" w:bidi="ar-SA"/>
      </w:rPr>
    </w:lvl>
    <w:lvl w:ilvl="7" w:tplc="7DEAD850">
      <w:numFmt w:val="bullet"/>
      <w:lvlText w:val="•"/>
      <w:lvlJc w:val="left"/>
      <w:pPr>
        <w:ind w:left="7103" w:hanging="188"/>
      </w:pPr>
      <w:rPr>
        <w:rFonts w:hint="default"/>
        <w:lang w:val="en-US" w:eastAsia="en-US" w:bidi="ar-SA"/>
      </w:rPr>
    </w:lvl>
    <w:lvl w:ilvl="8" w:tplc="04DCC83C">
      <w:numFmt w:val="bullet"/>
      <w:lvlText w:val="•"/>
      <w:lvlJc w:val="left"/>
      <w:pPr>
        <w:ind w:left="8144" w:hanging="188"/>
      </w:pPr>
      <w:rPr>
        <w:rFonts w:hint="default"/>
        <w:lang w:val="en-US" w:eastAsia="en-US" w:bidi="ar-SA"/>
      </w:rPr>
    </w:lvl>
  </w:abstractNum>
  <w:abstractNum w:abstractNumId="63" w15:restartNumberingAfterBreak="0">
    <w:nsid w:val="5D024FDF"/>
    <w:multiLevelType w:val="hybridMultilevel"/>
    <w:tmpl w:val="CBD41DA2"/>
    <w:lvl w:ilvl="0" w:tplc="18D2A67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0464EB50">
      <w:numFmt w:val="bullet"/>
      <w:lvlText w:val="•"/>
      <w:lvlJc w:val="left"/>
      <w:pPr>
        <w:ind w:left="1454" w:hanging="188"/>
      </w:pPr>
      <w:rPr>
        <w:rFonts w:hint="default"/>
        <w:lang w:val="en-US" w:eastAsia="en-US" w:bidi="ar-SA"/>
      </w:rPr>
    </w:lvl>
    <w:lvl w:ilvl="2" w:tplc="1460001C">
      <w:numFmt w:val="bullet"/>
      <w:lvlText w:val="•"/>
      <w:lvlJc w:val="left"/>
      <w:pPr>
        <w:ind w:left="2429" w:hanging="188"/>
      </w:pPr>
      <w:rPr>
        <w:rFonts w:hint="default"/>
        <w:lang w:val="en-US" w:eastAsia="en-US" w:bidi="ar-SA"/>
      </w:rPr>
    </w:lvl>
    <w:lvl w:ilvl="3" w:tplc="A1B04E22">
      <w:numFmt w:val="bullet"/>
      <w:lvlText w:val="•"/>
      <w:lvlJc w:val="left"/>
      <w:pPr>
        <w:ind w:left="3403" w:hanging="188"/>
      </w:pPr>
      <w:rPr>
        <w:rFonts w:hint="default"/>
        <w:lang w:val="en-US" w:eastAsia="en-US" w:bidi="ar-SA"/>
      </w:rPr>
    </w:lvl>
    <w:lvl w:ilvl="4" w:tplc="E34469C4">
      <w:numFmt w:val="bullet"/>
      <w:lvlText w:val="•"/>
      <w:lvlJc w:val="left"/>
      <w:pPr>
        <w:ind w:left="4378" w:hanging="188"/>
      </w:pPr>
      <w:rPr>
        <w:rFonts w:hint="default"/>
        <w:lang w:val="en-US" w:eastAsia="en-US" w:bidi="ar-SA"/>
      </w:rPr>
    </w:lvl>
    <w:lvl w:ilvl="5" w:tplc="20DE6F1E">
      <w:numFmt w:val="bullet"/>
      <w:lvlText w:val="•"/>
      <w:lvlJc w:val="left"/>
      <w:pPr>
        <w:ind w:left="5352" w:hanging="188"/>
      </w:pPr>
      <w:rPr>
        <w:rFonts w:hint="default"/>
        <w:lang w:val="en-US" w:eastAsia="en-US" w:bidi="ar-SA"/>
      </w:rPr>
    </w:lvl>
    <w:lvl w:ilvl="6" w:tplc="6F70BC3A">
      <w:numFmt w:val="bullet"/>
      <w:lvlText w:val="•"/>
      <w:lvlJc w:val="left"/>
      <w:pPr>
        <w:ind w:left="6327" w:hanging="188"/>
      </w:pPr>
      <w:rPr>
        <w:rFonts w:hint="default"/>
        <w:lang w:val="en-US" w:eastAsia="en-US" w:bidi="ar-SA"/>
      </w:rPr>
    </w:lvl>
    <w:lvl w:ilvl="7" w:tplc="962A6324">
      <w:numFmt w:val="bullet"/>
      <w:lvlText w:val="•"/>
      <w:lvlJc w:val="left"/>
      <w:pPr>
        <w:ind w:left="7301" w:hanging="188"/>
      </w:pPr>
      <w:rPr>
        <w:rFonts w:hint="default"/>
        <w:lang w:val="en-US" w:eastAsia="en-US" w:bidi="ar-SA"/>
      </w:rPr>
    </w:lvl>
    <w:lvl w:ilvl="8" w:tplc="F47CEAFA">
      <w:numFmt w:val="bullet"/>
      <w:lvlText w:val="•"/>
      <w:lvlJc w:val="left"/>
      <w:pPr>
        <w:ind w:left="8276" w:hanging="188"/>
      </w:pPr>
      <w:rPr>
        <w:rFonts w:hint="default"/>
        <w:lang w:val="en-US" w:eastAsia="en-US" w:bidi="ar-SA"/>
      </w:rPr>
    </w:lvl>
  </w:abstractNum>
  <w:abstractNum w:abstractNumId="64" w15:restartNumberingAfterBreak="0">
    <w:nsid w:val="5D304C17"/>
    <w:multiLevelType w:val="hybridMultilevel"/>
    <w:tmpl w:val="9B5CC2FE"/>
    <w:lvl w:ilvl="0" w:tplc="35627A82">
      <w:start w:val="1"/>
      <w:numFmt w:val="decimal"/>
      <w:lvlText w:val="%1."/>
      <w:lvlJc w:val="left"/>
      <w:pPr>
        <w:ind w:left="484" w:hanging="272"/>
      </w:pPr>
      <w:rPr>
        <w:rFonts w:ascii="Cambria" w:eastAsia="Cambria" w:hAnsi="Cambria" w:cs="Cambria" w:hint="default"/>
        <w:color w:val="333333"/>
        <w:spacing w:val="-11"/>
        <w:w w:val="106"/>
        <w:sz w:val="21"/>
        <w:szCs w:val="21"/>
        <w:lang w:val="en-US" w:eastAsia="en-US" w:bidi="ar-SA"/>
      </w:rPr>
    </w:lvl>
    <w:lvl w:ilvl="1" w:tplc="6C7C2D2A">
      <w:numFmt w:val="bullet"/>
      <w:lvlText w:val="•"/>
      <w:lvlJc w:val="left"/>
      <w:pPr>
        <w:ind w:left="1454" w:hanging="272"/>
      </w:pPr>
      <w:rPr>
        <w:rFonts w:hint="default"/>
        <w:lang w:val="en-US" w:eastAsia="en-US" w:bidi="ar-SA"/>
      </w:rPr>
    </w:lvl>
    <w:lvl w:ilvl="2" w:tplc="FF9CC648">
      <w:numFmt w:val="bullet"/>
      <w:lvlText w:val="•"/>
      <w:lvlJc w:val="left"/>
      <w:pPr>
        <w:ind w:left="2429" w:hanging="272"/>
      </w:pPr>
      <w:rPr>
        <w:rFonts w:hint="default"/>
        <w:lang w:val="en-US" w:eastAsia="en-US" w:bidi="ar-SA"/>
      </w:rPr>
    </w:lvl>
    <w:lvl w:ilvl="3" w:tplc="508ED0E4">
      <w:numFmt w:val="bullet"/>
      <w:lvlText w:val="•"/>
      <w:lvlJc w:val="left"/>
      <w:pPr>
        <w:ind w:left="3403" w:hanging="272"/>
      </w:pPr>
      <w:rPr>
        <w:rFonts w:hint="default"/>
        <w:lang w:val="en-US" w:eastAsia="en-US" w:bidi="ar-SA"/>
      </w:rPr>
    </w:lvl>
    <w:lvl w:ilvl="4" w:tplc="6DD0675A">
      <w:numFmt w:val="bullet"/>
      <w:lvlText w:val="•"/>
      <w:lvlJc w:val="left"/>
      <w:pPr>
        <w:ind w:left="4378" w:hanging="272"/>
      </w:pPr>
      <w:rPr>
        <w:rFonts w:hint="default"/>
        <w:lang w:val="en-US" w:eastAsia="en-US" w:bidi="ar-SA"/>
      </w:rPr>
    </w:lvl>
    <w:lvl w:ilvl="5" w:tplc="61845B18">
      <w:numFmt w:val="bullet"/>
      <w:lvlText w:val="•"/>
      <w:lvlJc w:val="left"/>
      <w:pPr>
        <w:ind w:left="5352" w:hanging="272"/>
      </w:pPr>
      <w:rPr>
        <w:rFonts w:hint="default"/>
        <w:lang w:val="en-US" w:eastAsia="en-US" w:bidi="ar-SA"/>
      </w:rPr>
    </w:lvl>
    <w:lvl w:ilvl="6" w:tplc="0178BEF4">
      <w:numFmt w:val="bullet"/>
      <w:lvlText w:val="•"/>
      <w:lvlJc w:val="left"/>
      <w:pPr>
        <w:ind w:left="6327" w:hanging="272"/>
      </w:pPr>
      <w:rPr>
        <w:rFonts w:hint="default"/>
        <w:lang w:val="en-US" w:eastAsia="en-US" w:bidi="ar-SA"/>
      </w:rPr>
    </w:lvl>
    <w:lvl w:ilvl="7" w:tplc="1E1C5C6A">
      <w:numFmt w:val="bullet"/>
      <w:lvlText w:val="•"/>
      <w:lvlJc w:val="left"/>
      <w:pPr>
        <w:ind w:left="7301" w:hanging="272"/>
      </w:pPr>
      <w:rPr>
        <w:rFonts w:hint="default"/>
        <w:lang w:val="en-US" w:eastAsia="en-US" w:bidi="ar-SA"/>
      </w:rPr>
    </w:lvl>
    <w:lvl w:ilvl="8" w:tplc="D8DCFF78">
      <w:numFmt w:val="bullet"/>
      <w:lvlText w:val="•"/>
      <w:lvlJc w:val="left"/>
      <w:pPr>
        <w:ind w:left="8276" w:hanging="272"/>
      </w:pPr>
      <w:rPr>
        <w:rFonts w:hint="default"/>
        <w:lang w:val="en-US" w:eastAsia="en-US" w:bidi="ar-SA"/>
      </w:rPr>
    </w:lvl>
  </w:abstractNum>
  <w:abstractNum w:abstractNumId="65" w15:restartNumberingAfterBreak="0">
    <w:nsid w:val="5DE026CD"/>
    <w:multiLevelType w:val="hybridMultilevel"/>
    <w:tmpl w:val="70A856B8"/>
    <w:lvl w:ilvl="0" w:tplc="3F1682F8">
      <w:start w:val="10"/>
      <w:numFmt w:val="decimal"/>
      <w:lvlText w:val="%1"/>
      <w:lvlJc w:val="left"/>
      <w:pPr>
        <w:ind w:left="1292" w:hanging="688"/>
      </w:pPr>
      <w:rPr>
        <w:rFonts w:hint="default"/>
        <w:lang w:val="en-US" w:eastAsia="en-US" w:bidi="ar-SA"/>
      </w:rPr>
    </w:lvl>
    <w:lvl w:ilvl="1" w:tplc="CF00E35E">
      <w:start w:val="6"/>
      <w:numFmt w:val="upperLetter"/>
      <w:lvlText w:val="%1.%2"/>
      <w:lvlJc w:val="left"/>
      <w:pPr>
        <w:ind w:left="1292" w:hanging="688"/>
      </w:pPr>
      <w:rPr>
        <w:rFonts w:hint="default"/>
        <w:lang w:val="en-US" w:eastAsia="en-US" w:bidi="ar-SA"/>
      </w:rPr>
    </w:lvl>
    <w:lvl w:ilvl="2" w:tplc="2B967ADC">
      <w:start w:val="1"/>
      <w:numFmt w:val="decimal"/>
      <w:lvlText w:val="%1.%2.%3."/>
      <w:lvlJc w:val="left"/>
      <w:pPr>
        <w:ind w:left="1292" w:hanging="688"/>
      </w:pPr>
      <w:rPr>
        <w:rFonts w:ascii="Cambria" w:eastAsia="Cambria" w:hAnsi="Cambria" w:cs="Cambria" w:hint="default"/>
        <w:color w:val="333333"/>
        <w:spacing w:val="-1"/>
        <w:w w:val="107"/>
        <w:sz w:val="21"/>
        <w:szCs w:val="21"/>
        <w:lang w:val="en-US" w:eastAsia="en-US" w:bidi="ar-SA"/>
      </w:rPr>
    </w:lvl>
    <w:lvl w:ilvl="3" w:tplc="DDCA463E">
      <w:numFmt w:val="bullet"/>
      <w:lvlText w:val="•"/>
      <w:lvlJc w:val="left"/>
      <w:pPr>
        <w:ind w:left="3977" w:hanging="688"/>
      </w:pPr>
      <w:rPr>
        <w:rFonts w:hint="default"/>
        <w:lang w:val="en-US" w:eastAsia="en-US" w:bidi="ar-SA"/>
      </w:rPr>
    </w:lvl>
    <w:lvl w:ilvl="4" w:tplc="2242B8C4">
      <w:numFmt w:val="bullet"/>
      <w:lvlText w:val="•"/>
      <w:lvlJc w:val="left"/>
      <w:pPr>
        <w:ind w:left="4870" w:hanging="688"/>
      </w:pPr>
      <w:rPr>
        <w:rFonts w:hint="default"/>
        <w:lang w:val="en-US" w:eastAsia="en-US" w:bidi="ar-SA"/>
      </w:rPr>
    </w:lvl>
    <w:lvl w:ilvl="5" w:tplc="B74C912E">
      <w:numFmt w:val="bullet"/>
      <w:lvlText w:val="•"/>
      <w:lvlJc w:val="left"/>
      <w:pPr>
        <w:ind w:left="5762" w:hanging="688"/>
      </w:pPr>
      <w:rPr>
        <w:rFonts w:hint="default"/>
        <w:lang w:val="en-US" w:eastAsia="en-US" w:bidi="ar-SA"/>
      </w:rPr>
    </w:lvl>
    <w:lvl w:ilvl="6" w:tplc="FA88CC6C">
      <w:numFmt w:val="bullet"/>
      <w:lvlText w:val="•"/>
      <w:lvlJc w:val="left"/>
      <w:pPr>
        <w:ind w:left="6655" w:hanging="688"/>
      </w:pPr>
      <w:rPr>
        <w:rFonts w:hint="default"/>
        <w:lang w:val="en-US" w:eastAsia="en-US" w:bidi="ar-SA"/>
      </w:rPr>
    </w:lvl>
    <w:lvl w:ilvl="7" w:tplc="05C0146E">
      <w:numFmt w:val="bullet"/>
      <w:lvlText w:val="•"/>
      <w:lvlJc w:val="left"/>
      <w:pPr>
        <w:ind w:left="7547" w:hanging="688"/>
      </w:pPr>
      <w:rPr>
        <w:rFonts w:hint="default"/>
        <w:lang w:val="en-US" w:eastAsia="en-US" w:bidi="ar-SA"/>
      </w:rPr>
    </w:lvl>
    <w:lvl w:ilvl="8" w:tplc="FE581DCC">
      <w:numFmt w:val="bullet"/>
      <w:lvlText w:val="•"/>
      <w:lvlJc w:val="left"/>
      <w:pPr>
        <w:ind w:left="8440" w:hanging="688"/>
      </w:pPr>
      <w:rPr>
        <w:rFonts w:hint="default"/>
        <w:lang w:val="en-US" w:eastAsia="en-US" w:bidi="ar-SA"/>
      </w:rPr>
    </w:lvl>
  </w:abstractNum>
  <w:abstractNum w:abstractNumId="66" w15:restartNumberingAfterBreak="0">
    <w:nsid w:val="617B66E2"/>
    <w:multiLevelType w:val="hybridMultilevel"/>
    <w:tmpl w:val="639004CE"/>
    <w:lvl w:ilvl="0" w:tplc="B3E4BB3C">
      <w:start w:val="1"/>
      <w:numFmt w:val="decimal"/>
      <w:lvlText w:val="%1."/>
      <w:lvlJc w:val="left"/>
      <w:pPr>
        <w:ind w:left="484" w:hanging="272"/>
      </w:pPr>
      <w:rPr>
        <w:rFonts w:ascii="Cambria" w:eastAsia="Cambria" w:hAnsi="Cambria" w:cs="Cambria" w:hint="default"/>
        <w:color w:val="333333"/>
        <w:spacing w:val="-11"/>
        <w:w w:val="106"/>
        <w:sz w:val="21"/>
        <w:szCs w:val="21"/>
        <w:lang w:val="en-US" w:eastAsia="en-US" w:bidi="ar-SA"/>
      </w:rPr>
    </w:lvl>
    <w:lvl w:ilvl="1" w:tplc="803AAF4A">
      <w:numFmt w:val="bullet"/>
      <w:lvlText w:val="•"/>
      <w:lvlJc w:val="left"/>
      <w:pPr>
        <w:ind w:left="1454" w:hanging="272"/>
      </w:pPr>
      <w:rPr>
        <w:rFonts w:hint="default"/>
        <w:lang w:val="en-US" w:eastAsia="en-US" w:bidi="ar-SA"/>
      </w:rPr>
    </w:lvl>
    <w:lvl w:ilvl="2" w:tplc="5CAEE6CA">
      <w:numFmt w:val="bullet"/>
      <w:lvlText w:val="•"/>
      <w:lvlJc w:val="left"/>
      <w:pPr>
        <w:ind w:left="2429" w:hanging="272"/>
      </w:pPr>
      <w:rPr>
        <w:rFonts w:hint="default"/>
        <w:lang w:val="en-US" w:eastAsia="en-US" w:bidi="ar-SA"/>
      </w:rPr>
    </w:lvl>
    <w:lvl w:ilvl="3" w:tplc="573E392E">
      <w:numFmt w:val="bullet"/>
      <w:lvlText w:val="•"/>
      <w:lvlJc w:val="left"/>
      <w:pPr>
        <w:ind w:left="3403" w:hanging="272"/>
      </w:pPr>
      <w:rPr>
        <w:rFonts w:hint="default"/>
        <w:lang w:val="en-US" w:eastAsia="en-US" w:bidi="ar-SA"/>
      </w:rPr>
    </w:lvl>
    <w:lvl w:ilvl="4" w:tplc="1BE20698">
      <w:numFmt w:val="bullet"/>
      <w:lvlText w:val="•"/>
      <w:lvlJc w:val="left"/>
      <w:pPr>
        <w:ind w:left="4378" w:hanging="272"/>
      </w:pPr>
      <w:rPr>
        <w:rFonts w:hint="default"/>
        <w:lang w:val="en-US" w:eastAsia="en-US" w:bidi="ar-SA"/>
      </w:rPr>
    </w:lvl>
    <w:lvl w:ilvl="5" w:tplc="4BF2FBC2">
      <w:numFmt w:val="bullet"/>
      <w:lvlText w:val="•"/>
      <w:lvlJc w:val="left"/>
      <w:pPr>
        <w:ind w:left="5352" w:hanging="272"/>
      </w:pPr>
      <w:rPr>
        <w:rFonts w:hint="default"/>
        <w:lang w:val="en-US" w:eastAsia="en-US" w:bidi="ar-SA"/>
      </w:rPr>
    </w:lvl>
    <w:lvl w:ilvl="6" w:tplc="FC4A28B6">
      <w:numFmt w:val="bullet"/>
      <w:lvlText w:val="•"/>
      <w:lvlJc w:val="left"/>
      <w:pPr>
        <w:ind w:left="6327" w:hanging="272"/>
      </w:pPr>
      <w:rPr>
        <w:rFonts w:hint="default"/>
        <w:lang w:val="en-US" w:eastAsia="en-US" w:bidi="ar-SA"/>
      </w:rPr>
    </w:lvl>
    <w:lvl w:ilvl="7" w:tplc="579EDAEC">
      <w:numFmt w:val="bullet"/>
      <w:lvlText w:val="•"/>
      <w:lvlJc w:val="left"/>
      <w:pPr>
        <w:ind w:left="7301" w:hanging="272"/>
      </w:pPr>
      <w:rPr>
        <w:rFonts w:hint="default"/>
        <w:lang w:val="en-US" w:eastAsia="en-US" w:bidi="ar-SA"/>
      </w:rPr>
    </w:lvl>
    <w:lvl w:ilvl="8" w:tplc="28521AE6">
      <w:numFmt w:val="bullet"/>
      <w:lvlText w:val="•"/>
      <w:lvlJc w:val="left"/>
      <w:pPr>
        <w:ind w:left="8276" w:hanging="272"/>
      </w:pPr>
      <w:rPr>
        <w:rFonts w:hint="default"/>
        <w:lang w:val="en-US" w:eastAsia="en-US" w:bidi="ar-SA"/>
      </w:rPr>
    </w:lvl>
  </w:abstractNum>
  <w:abstractNum w:abstractNumId="67" w15:restartNumberingAfterBreak="0">
    <w:nsid w:val="622D1783"/>
    <w:multiLevelType w:val="hybridMultilevel"/>
    <w:tmpl w:val="4EAEDEF6"/>
    <w:lvl w:ilvl="0" w:tplc="4216976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F222B322">
      <w:numFmt w:val="bullet"/>
      <w:lvlText w:val="•"/>
      <w:lvlJc w:val="left"/>
      <w:pPr>
        <w:ind w:left="1454" w:hanging="188"/>
      </w:pPr>
      <w:rPr>
        <w:rFonts w:hint="default"/>
        <w:lang w:val="en-US" w:eastAsia="en-US" w:bidi="ar-SA"/>
      </w:rPr>
    </w:lvl>
    <w:lvl w:ilvl="2" w:tplc="AA46CDCA">
      <w:numFmt w:val="bullet"/>
      <w:lvlText w:val="•"/>
      <w:lvlJc w:val="left"/>
      <w:pPr>
        <w:ind w:left="2429" w:hanging="188"/>
      </w:pPr>
      <w:rPr>
        <w:rFonts w:hint="default"/>
        <w:lang w:val="en-US" w:eastAsia="en-US" w:bidi="ar-SA"/>
      </w:rPr>
    </w:lvl>
    <w:lvl w:ilvl="3" w:tplc="7A72E2F4">
      <w:numFmt w:val="bullet"/>
      <w:lvlText w:val="•"/>
      <w:lvlJc w:val="left"/>
      <w:pPr>
        <w:ind w:left="3403" w:hanging="188"/>
      </w:pPr>
      <w:rPr>
        <w:rFonts w:hint="default"/>
        <w:lang w:val="en-US" w:eastAsia="en-US" w:bidi="ar-SA"/>
      </w:rPr>
    </w:lvl>
    <w:lvl w:ilvl="4" w:tplc="4CD63CD2">
      <w:numFmt w:val="bullet"/>
      <w:lvlText w:val="•"/>
      <w:lvlJc w:val="left"/>
      <w:pPr>
        <w:ind w:left="4378" w:hanging="188"/>
      </w:pPr>
      <w:rPr>
        <w:rFonts w:hint="default"/>
        <w:lang w:val="en-US" w:eastAsia="en-US" w:bidi="ar-SA"/>
      </w:rPr>
    </w:lvl>
    <w:lvl w:ilvl="5" w:tplc="A002D524">
      <w:numFmt w:val="bullet"/>
      <w:lvlText w:val="•"/>
      <w:lvlJc w:val="left"/>
      <w:pPr>
        <w:ind w:left="5352" w:hanging="188"/>
      </w:pPr>
      <w:rPr>
        <w:rFonts w:hint="default"/>
        <w:lang w:val="en-US" w:eastAsia="en-US" w:bidi="ar-SA"/>
      </w:rPr>
    </w:lvl>
    <w:lvl w:ilvl="6" w:tplc="7DB6481C">
      <w:numFmt w:val="bullet"/>
      <w:lvlText w:val="•"/>
      <w:lvlJc w:val="left"/>
      <w:pPr>
        <w:ind w:left="6327" w:hanging="188"/>
      </w:pPr>
      <w:rPr>
        <w:rFonts w:hint="default"/>
        <w:lang w:val="en-US" w:eastAsia="en-US" w:bidi="ar-SA"/>
      </w:rPr>
    </w:lvl>
    <w:lvl w:ilvl="7" w:tplc="DDD241C6">
      <w:numFmt w:val="bullet"/>
      <w:lvlText w:val="•"/>
      <w:lvlJc w:val="left"/>
      <w:pPr>
        <w:ind w:left="7301" w:hanging="188"/>
      </w:pPr>
      <w:rPr>
        <w:rFonts w:hint="default"/>
        <w:lang w:val="en-US" w:eastAsia="en-US" w:bidi="ar-SA"/>
      </w:rPr>
    </w:lvl>
    <w:lvl w:ilvl="8" w:tplc="D244008A">
      <w:numFmt w:val="bullet"/>
      <w:lvlText w:val="•"/>
      <w:lvlJc w:val="left"/>
      <w:pPr>
        <w:ind w:left="8276" w:hanging="188"/>
      </w:pPr>
      <w:rPr>
        <w:rFonts w:hint="default"/>
        <w:lang w:val="en-US" w:eastAsia="en-US" w:bidi="ar-SA"/>
      </w:rPr>
    </w:lvl>
  </w:abstractNum>
  <w:abstractNum w:abstractNumId="68" w15:restartNumberingAfterBreak="0">
    <w:nsid w:val="62A51739"/>
    <w:multiLevelType w:val="hybridMultilevel"/>
    <w:tmpl w:val="1A62A688"/>
    <w:lvl w:ilvl="0" w:tplc="61E4FF82">
      <w:start w:val="4"/>
      <w:numFmt w:val="decimal"/>
      <w:lvlText w:val="%1"/>
      <w:lvlJc w:val="left"/>
      <w:pPr>
        <w:ind w:left="1286" w:hanging="682"/>
      </w:pPr>
      <w:rPr>
        <w:rFonts w:hint="default"/>
        <w:lang w:val="en-US" w:eastAsia="en-US" w:bidi="ar-SA"/>
      </w:rPr>
    </w:lvl>
    <w:lvl w:ilvl="1" w:tplc="B204DF1A">
      <w:start w:val="12"/>
      <w:numFmt w:val="decimal"/>
      <w:lvlText w:val="%1.%2"/>
      <w:lvlJc w:val="left"/>
      <w:pPr>
        <w:ind w:left="1286" w:hanging="682"/>
      </w:pPr>
      <w:rPr>
        <w:rFonts w:hint="default"/>
        <w:lang w:val="en-US" w:eastAsia="en-US" w:bidi="ar-SA"/>
      </w:rPr>
    </w:lvl>
    <w:lvl w:ilvl="2" w:tplc="83ACD4DA">
      <w:start w:val="4"/>
      <w:numFmt w:val="decimal"/>
      <w:lvlText w:val="%1.%2.%3."/>
      <w:lvlJc w:val="left"/>
      <w:pPr>
        <w:ind w:left="1286" w:hanging="682"/>
      </w:pPr>
      <w:rPr>
        <w:rFonts w:ascii="Cambria" w:eastAsia="Cambria" w:hAnsi="Cambria" w:cs="Cambria" w:hint="default"/>
        <w:color w:val="333333"/>
        <w:spacing w:val="-1"/>
        <w:w w:val="105"/>
        <w:sz w:val="21"/>
        <w:szCs w:val="21"/>
        <w:lang w:val="en-US" w:eastAsia="en-US" w:bidi="ar-SA"/>
      </w:rPr>
    </w:lvl>
    <w:lvl w:ilvl="3" w:tplc="575CC72C">
      <w:numFmt w:val="bullet"/>
      <w:lvlText w:val="•"/>
      <w:lvlJc w:val="left"/>
      <w:pPr>
        <w:ind w:left="3963" w:hanging="682"/>
      </w:pPr>
      <w:rPr>
        <w:rFonts w:hint="default"/>
        <w:lang w:val="en-US" w:eastAsia="en-US" w:bidi="ar-SA"/>
      </w:rPr>
    </w:lvl>
    <w:lvl w:ilvl="4" w:tplc="7548B8EC">
      <w:numFmt w:val="bullet"/>
      <w:lvlText w:val="•"/>
      <w:lvlJc w:val="left"/>
      <w:pPr>
        <w:ind w:left="4858" w:hanging="682"/>
      </w:pPr>
      <w:rPr>
        <w:rFonts w:hint="default"/>
        <w:lang w:val="en-US" w:eastAsia="en-US" w:bidi="ar-SA"/>
      </w:rPr>
    </w:lvl>
    <w:lvl w:ilvl="5" w:tplc="A6827840">
      <w:numFmt w:val="bullet"/>
      <w:lvlText w:val="•"/>
      <w:lvlJc w:val="left"/>
      <w:pPr>
        <w:ind w:left="5752" w:hanging="682"/>
      </w:pPr>
      <w:rPr>
        <w:rFonts w:hint="default"/>
        <w:lang w:val="en-US" w:eastAsia="en-US" w:bidi="ar-SA"/>
      </w:rPr>
    </w:lvl>
    <w:lvl w:ilvl="6" w:tplc="C8864D06">
      <w:numFmt w:val="bullet"/>
      <w:lvlText w:val="•"/>
      <w:lvlJc w:val="left"/>
      <w:pPr>
        <w:ind w:left="6647" w:hanging="682"/>
      </w:pPr>
      <w:rPr>
        <w:rFonts w:hint="default"/>
        <w:lang w:val="en-US" w:eastAsia="en-US" w:bidi="ar-SA"/>
      </w:rPr>
    </w:lvl>
    <w:lvl w:ilvl="7" w:tplc="6F48A8E4">
      <w:numFmt w:val="bullet"/>
      <w:lvlText w:val="•"/>
      <w:lvlJc w:val="left"/>
      <w:pPr>
        <w:ind w:left="7541" w:hanging="682"/>
      </w:pPr>
      <w:rPr>
        <w:rFonts w:hint="default"/>
        <w:lang w:val="en-US" w:eastAsia="en-US" w:bidi="ar-SA"/>
      </w:rPr>
    </w:lvl>
    <w:lvl w:ilvl="8" w:tplc="D02470B6">
      <w:numFmt w:val="bullet"/>
      <w:lvlText w:val="•"/>
      <w:lvlJc w:val="left"/>
      <w:pPr>
        <w:ind w:left="8436" w:hanging="682"/>
      </w:pPr>
      <w:rPr>
        <w:rFonts w:hint="default"/>
        <w:lang w:val="en-US" w:eastAsia="en-US" w:bidi="ar-SA"/>
      </w:rPr>
    </w:lvl>
  </w:abstractNum>
  <w:abstractNum w:abstractNumId="69" w15:restartNumberingAfterBreak="0">
    <w:nsid w:val="632D74F2"/>
    <w:multiLevelType w:val="hybridMultilevel"/>
    <w:tmpl w:val="577C9568"/>
    <w:lvl w:ilvl="0" w:tplc="272899A6">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E3AE4EAC">
      <w:numFmt w:val="bullet"/>
      <w:lvlText w:val="•"/>
      <w:lvlJc w:val="left"/>
      <w:pPr>
        <w:ind w:left="1454" w:hanging="188"/>
      </w:pPr>
      <w:rPr>
        <w:rFonts w:hint="default"/>
        <w:lang w:val="en-US" w:eastAsia="en-US" w:bidi="ar-SA"/>
      </w:rPr>
    </w:lvl>
    <w:lvl w:ilvl="2" w:tplc="746CEA66">
      <w:numFmt w:val="bullet"/>
      <w:lvlText w:val="•"/>
      <w:lvlJc w:val="left"/>
      <w:pPr>
        <w:ind w:left="2429" w:hanging="188"/>
      </w:pPr>
      <w:rPr>
        <w:rFonts w:hint="default"/>
        <w:lang w:val="en-US" w:eastAsia="en-US" w:bidi="ar-SA"/>
      </w:rPr>
    </w:lvl>
    <w:lvl w:ilvl="3" w:tplc="D8E2FF28">
      <w:numFmt w:val="bullet"/>
      <w:lvlText w:val="•"/>
      <w:lvlJc w:val="left"/>
      <w:pPr>
        <w:ind w:left="3403" w:hanging="188"/>
      </w:pPr>
      <w:rPr>
        <w:rFonts w:hint="default"/>
        <w:lang w:val="en-US" w:eastAsia="en-US" w:bidi="ar-SA"/>
      </w:rPr>
    </w:lvl>
    <w:lvl w:ilvl="4" w:tplc="50844F2A">
      <w:numFmt w:val="bullet"/>
      <w:lvlText w:val="•"/>
      <w:lvlJc w:val="left"/>
      <w:pPr>
        <w:ind w:left="4378" w:hanging="188"/>
      </w:pPr>
      <w:rPr>
        <w:rFonts w:hint="default"/>
        <w:lang w:val="en-US" w:eastAsia="en-US" w:bidi="ar-SA"/>
      </w:rPr>
    </w:lvl>
    <w:lvl w:ilvl="5" w:tplc="60503416">
      <w:numFmt w:val="bullet"/>
      <w:lvlText w:val="•"/>
      <w:lvlJc w:val="left"/>
      <w:pPr>
        <w:ind w:left="5352" w:hanging="188"/>
      </w:pPr>
      <w:rPr>
        <w:rFonts w:hint="default"/>
        <w:lang w:val="en-US" w:eastAsia="en-US" w:bidi="ar-SA"/>
      </w:rPr>
    </w:lvl>
    <w:lvl w:ilvl="6" w:tplc="7CECD9C0">
      <w:numFmt w:val="bullet"/>
      <w:lvlText w:val="•"/>
      <w:lvlJc w:val="left"/>
      <w:pPr>
        <w:ind w:left="6327" w:hanging="188"/>
      </w:pPr>
      <w:rPr>
        <w:rFonts w:hint="default"/>
        <w:lang w:val="en-US" w:eastAsia="en-US" w:bidi="ar-SA"/>
      </w:rPr>
    </w:lvl>
    <w:lvl w:ilvl="7" w:tplc="49CEDA44">
      <w:numFmt w:val="bullet"/>
      <w:lvlText w:val="•"/>
      <w:lvlJc w:val="left"/>
      <w:pPr>
        <w:ind w:left="7301" w:hanging="188"/>
      </w:pPr>
      <w:rPr>
        <w:rFonts w:hint="default"/>
        <w:lang w:val="en-US" w:eastAsia="en-US" w:bidi="ar-SA"/>
      </w:rPr>
    </w:lvl>
    <w:lvl w:ilvl="8" w:tplc="19C85FD6">
      <w:numFmt w:val="bullet"/>
      <w:lvlText w:val="•"/>
      <w:lvlJc w:val="left"/>
      <w:pPr>
        <w:ind w:left="8276" w:hanging="188"/>
      </w:pPr>
      <w:rPr>
        <w:rFonts w:hint="default"/>
        <w:lang w:val="en-US" w:eastAsia="en-US" w:bidi="ar-SA"/>
      </w:rPr>
    </w:lvl>
  </w:abstractNum>
  <w:abstractNum w:abstractNumId="70" w15:restartNumberingAfterBreak="0">
    <w:nsid w:val="63BD19E6"/>
    <w:multiLevelType w:val="hybridMultilevel"/>
    <w:tmpl w:val="8D04344E"/>
    <w:lvl w:ilvl="0" w:tplc="E97A9D74">
      <w:start w:val="1"/>
      <w:numFmt w:val="decimal"/>
      <w:lvlText w:val="%1."/>
      <w:lvlJc w:val="left"/>
      <w:pPr>
        <w:ind w:left="484" w:hanging="272"/>
        <w:jc w:val="right"/>
      </w:pPr>
      <w:rPr>
        <w:rFonts w:ascii="Cambria" w:eastAsia="Cambria" w:hAnsi="Cambria" w:cs="Cambria" w:hint="default"/>
        <w:color w:val="333333"/>
        <w:spacing w:val="-11"/>
        <w:w w:val="106"/>
        <w:sz w:val="21"/>
        <w:szCs w:val="21"/>
        <w:lang w:val="en-US" w:eastAsia="en-US" w:bidi="ar-SA"/>
      </w:rPr>
    </w:lvl>
    <w:lvl w:ilvl="1" w:tplc="09D45080">
      <w:numFmt w:val="bullet"/>
      <w:lvlText w:val="•"/>
      <w:lvlJc w:val="left"/>
      <w:pPr>
        <w:ind w:left="1454" w:hanging="272"/>
      </w:pPr>
      <w:rPr>
        <w:rFonts w:hint="default"/>
        <w:lang w:val="en-US" w:eastAsia="en-US" w:bidi="ar-SA"/>
      </w:rPr>
    </w:lvl>
    <w:lvl w:ilvl="2" w:tplc="B56C68E2">
      <w:numFmt w:val="bullet"/>
      <w:lvlText w:val="•"/>
      <w:lvlJc w:val="left"/>
      <w:pPr>
        <w:ind w:left="2429" w:hanging="272"/>
      </w:pPr>
      <w:rPr>
        <w:rFonts w:hint="default"/>
        <w:lang w:val="en-US" w:eastAsia="en-US" w:bidi="ar-SA"/>
      </w:rPr>
    </w:lvl>
    <w:lvl w:ilvl="3" w:tplc="18408DB4">
      <w:numFmt w:val="bullet"/>
      <w:lvlText w:val="•"/>
      <w:lvlJc w:val="left"/>
      <w:pPr>
        <w:ind w:left="3403" w:hanging="272"/>
      </w:pPr>
      <w:rPr>
        <w:rFonts w:hint="default"/>
        <w:lang w:val="en-US" w:eastAsia="en-US" w:bidi="ar-SA"/>
      </w:rPr>
    </w:lvl>
    <w:lvl w:ilvl="4" w:tplc="D5CCAADA">
      <w:numFmt w:val="bullet"/>
      <w:lvlText w:val="•"/>
      <w:lvlJc w:val="left"/>
      <w:pPr>
        <w:ind w:left="4378" w:hanging="272"/>
      </w:pPr>
      <w:rPr>
        <w:rFonts w:hint="default"/>
        <w:lang w:val="en-US" w:eastAsia="en-US" w:bidi="ar-SA"/>
      </w:rPr>
    </w:lvl>
    <w:lvl w:ilvl="5" w:tplc="F38A7936">
      <w:numFmt w:val="bullet"/>
      <w:lvlText w:val="•"/>
      <w:lvlJc w:val="left"/>
      <w:pPr>
        <w:ind w:left="5352" w:hanging="272"/>
      </w:pPr>
      <w:rPr>
        <w:rFonts w:hint="default"/>
        <w:lang w:val="en-US" w:eastAsia="en-US" w:bidi="ar-SA"/>
      </w:rPr>
    </w:lvl>
    <w:lvl w:ilvl="6" w:tplc="7568BB44">
      <w:numFmt w:val="bullet"/>
      <w:lvlText w:val="•"/>
      <w:lvlJc w:val="left"/>
      <w:pPr>
        <w:ind w:left="6327" w:hanging="272"/>
      </w:pPr>
      <w:rPr>
        <w:rFonts w:hint="default"/>
        <w:lang w:val="en-US" w:eastAsia="en-US" w:bidi="ar-SA"/>
      </w:rPr>
    </w:lvl>
    <w:lvl w:ilvl="7" w:tplc="98B4BF54">
      <w:numFmt w:val="bullet"/>
      <w:lvlText w:val="•"/>
      <w:lvlJc w:val="left"/>
      <w:pPr>
        <w:ind w:left="7301" w:hanging="272"/>
      </w:pPr>
      <w:rPr>
        <w:rFonts w:hint="default"/>
        <w:lang w:val="en-US" w:eastAsia="en-US" w:bidi="ar-SA"/>
      </w:rPr>
    </w:lvl>
    <w:lvl w:ilvl="8" w:tplc="B130EAD4">
      <w:numFmt w:val="bullet"/>
      <w:lvlText w:val="•"/>
      <w:lvlJc w:val="left"/>
      <w:pPr>
        <w:ind w:left="8276" w:hanging="272"/>
      </w:pPr>
      <w:rPr>
        <w:rFonts w:hint="default"/>
        <w:lang w:val="en-US" w:eastAsia="en-US" w:bidi="ar-SA"/>
      </w:rPr>
    </w:lvl>
  </w:abstractNum>
  <w:abstractNum w:abstractNumId="71" w15:restartNumberingAfterBreak="0">
    <w:nsid w:val="63EC2175"/>
    <w:multiLevelType w:val="hybridMultilevel"/>
    <w:tmpl w:val="90244782"/>
    <w:lvl w:ilvl="0" w:tplc="ABAC971A">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5A7A7D6E">
      <w:numFmt w:val="bullet"/>
      <w:lvlText w:val="•"/>
      <w:lvlJc w:val="left"/>
      <w:pPr>
        <w:ind w:left="1454" w:hanging="188"/>
      </w:pPr>
      <w:rPr>
        <w:rFonts w:hint="default"/>
        <w:lang w:val="en-US" w:eastAsia="en-US" w:bidi="ar-SA"/>
      </w:rPr>
    </w:lvl>
    <w:lvl w:ilvl="2" w:tplc="88549F8E">
      <w:numFmt w:val="bullet"/>
      <w:lvlText w:val="•"/>
      <w:lvlJc w:val="left"/>
      <w:pPr>
        <w:ind w:left="2429" w:hanging="188"/>
      </w:pPr>
      <w:rPr>
        <w:rFonts w:hint="default"/>
        <w:lang w:val="en-US" w:eastAsia="en-US" w:bidi="ar-SA"/>
      </w:rPr>
    </w:lvl>
    <w:lvl w:ilvl="3" w:tplc="888CCE76">
      <w:numFmt w:val="bullet"/>
      <w:lvlText w:val="•"/>
      <w:lvlJc w:val="left"/>
      <w:pPr>
        <w:ind w:left="3403" w:hanging="188"/>
      </w:pPr>
      <w:rPr>
        <w:rFonts w:hint="default"/>
        <w:lang w:val="en-US" w:eastAsia="en-US" w:bidi="ar-SA"/>
      </w:rPr>
    </w:lvl>
    <w:lvl w:ilvl="4" w:tplc="0430ECC8">
      <w:numFmt w:val="bullet"/>
      <w:lvlText w:val="•"/>
      <w:lvlJc w:val="left"/>
      <w:pPr>
        <w:ind w:left="4378" w:hanging="188"/>
      </w:pPr>
      <w:rPr>
        <w:rFonts w:hint="default"/>
        <w:lang w:val="en-US" w:eastAsia="en-US" w:bidi="ar-SA"/>
      </w:rPr>
    </w:lvl>
    <w:lvl w:ilvl="5" w:tplc="4692CA3E">
      <w:numFmt w:val="bullet"/>
      <w:lvlText w:val="•"/>
      <w:lvlJc w:val="left"/>
      <w:pPr>
        <w:ind w:left="5352" w:hanging="188"/>
      </w:pPr>
      <w:rPr>
        <w:rFonts w:hint="default"/>
        <w:lang w:val="en-US" w:eastAsia="en-US" w:bidi="ar-SA"/>
      </w:rPr>
    </w:lvl>
    <w:lvl w:ilvl="6" w:tplc="2F7034CC">
      <w:numFmt w:val="bullet"/>
      <w:lvlText w:val="•"/>
      <w:lvlJc w:val="left"/>
      <w:pPr>
        <w:ind w:left="6327" w:hanging="188"/>
      </w:pPr>
      <w:rPr>
        <w:rFonts w:hint="default"/>
        <w:lang w:val="en-US" w:eastAsia="en-US" w:bidi="ar-SA"/>
      </w:rPr>
    </w:lvl>
    <w:lvl w:ilvl="7" w:tplc="CFD497B8">
      <w:numFmt w:val="bullet"/>
      <w:lvlText w:val="•"/>
      <w:lvlJc w:val="left"/>
      <w:pPr>
        <w:ind w:left="7301" w:hanging="188"/>
      </w:pPr>
      <w:rPr>
        <w:rFonts w:hint="default"/>
        <w:lang w:val="en-US" w:eastAsia="en-US" w:bidi="ar-SA"/>
      </w:rPr>
    </w:lvl>
    <w:lvl w:ilvl="8" w:tplc="E1482CD4">
      <w:numFmt w:val="bullet"/>
      <w:lvlText w:val="•"/>
      <w:lvlJc w:val="left"/>
      <w:pPr>
        <w:ind w:left="8276" w:hanging="188"/>
      </w:pPr>
      <w:rPr>
        <w:rFonts w:hint="default"/>
        <w:lang w:val="en-US" w:eastAsia="en-US" w:bidi="ar-SA"/>
      </w:rPr>
    </w:lvl>
  </w:abstractNum>
  <w:abstractNum w:abstractNumId="72" w15:restartNumberingAfterBreak="0">
    <w:nsid w:val="65786F8F"/>
    <w:multiLevelType w:val="hybridMultilevel"/>
    <w:tmpl w:val="FB2A23F4"/>
    <w:lvl w:ilvl="0" w:tplc="9AF8BBFA">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EB4C56BC">
      <w:numFmt w:val="bullet"/>
      <w:lvlText w:val="•"/>
      <w:lvlJc w:val="left"/>
      <w:pPr>
        <w:ind w:left="1454" w:hanging="188"/>
      </w:pPr>
      <w:rPr>
        <w:rFonts w:hint="default"/>
        <w:lang w:val="en-US" w:eastAsia="en-US" w:bidi="ar-SA"/>
      </w:rPr>
    </w:lvl>
    <w:lvl w:ilvl="2" w:tplc="E44E48E8">
      <w:numFmt w:val="bullet"/>
      <w:lvlText w:val="•"/>
      <w:lvlJc w:val="left"/>
      <w:pPr>
        <w:ind w:left="2429" w:hanging="188"/>
      </w:pPr>
      <w:rPr>
        <w:rFonts w:hint="default"/>
        <w:lang w:val="en-US" w:eastAsia="en-US" w:bidi="ar-SA"/>
      </w:rPr>
    </w:lvl>
    <w:lvl w:ilvl="3" w:tplc="73701F1E">
      <w:numFmt w:val="bullet"/>
      <w:lvlText w:val="•"/>
      <w:lvlJc w:val="left"/>
      <w:pPr>
        <w:ind w:left="3403" w:hanging="188"/>
      </w:pPr>
      <w:rPr>
        <w:rFonts w:hint="default"/>
        <w:lang w:val="en-US" w:eastAsia="en-US" w:bidi="ar-SA"/>
      </w:rPr>
    </w:lvl>
    <w:lvl w:ilvl="4" w:tplc="3D30E8D4">
      <w:numFmt w:val="bullet"/>
      <w:lvlText w:val="•"/>
      <w:lvlJc w:val="left"/>
      <w:pPr>
        <w:ind w:left="4378" w:hanging="188"/>
      </w:pPr>
      <w:rPr>
        <w:rFonts w:hint="default"/>
        <w:lang w:val="en-US" w:eastAsia="en-US" w:bidi="ar-SA"/>
      </w:rPr>
    </w:lvl>
    <w:lvl w:ilvl="5" w:tplc="B34879AE">
      <w:numFmt w:val="bullet"/>
      <w:lvlText w:val="•"/>
      <w:lvlJc w:val="left"/>
      <w:pPr>
        <w:ind w:left="5352" w:hanging="188"/>
      </w:pPr>
      <w:rPr>
        <w:rFonts w:hint="default"/>
        <w:lang w:val="en-US" w:eastAsia="en-US" w:bidi="ar-SA"/>
      </w:rPr>
    </w:lvl>
    <w:lvl w:ilvl="6" w:tplc="853A6572">
      <w:numFmt w:val="bullet"/>
      <w:lvlText w:val="•"/>
      <w:lvlJc w:val="left"/>
      <w:pPr>
        <w:ind w:left="6327" w:hanging="188"/>
      </w:pPr>
      <w:rPr>
        <w:rFonts w:hint="default"/>
        <w:lang w:val="en-US" w:eastAsia="en-US" w:bidi="ar-SA"/>
      </w:rPr>
    </w:lvl>
    <w:lvl w:ilvl="7" w:tplc="3E7A6340">
      <w:numFmt w:val="bullet"/>
      <w:lvlText w:val="•"/>
      <w:lvlJc w:val="left"/>
      <w:pPr>
        <w:ind w:left="7301" w:hanging="188"/>
      </w:pPr>
      <w:rPr>
        <w:rFonts w:hint="default"/>
        <w:lang w:val="en-US" w:eastAsia="en-US" w:bidi="ar-SA"/>
      </w:rPr>
    </w:lvl>
    <w:lvl w:ilvl="8" w:tplc="FFE45B90">
      <w:numFmt w:val="bullet"/>
      <w:lvlText w:val="•"/>
      <w:lvlJc w:val="left"/>
      <w:pPr>
        <w:ind w:left="8276" w:hanging="188"/>
      </w:pPr>
      <w:rPr>
        <w:rFonts w:hint="default"/>
        <w:lang w:val="en-US" w:eastAsia="en-US" w:bidi="ar-SA"/>
      </w:rPr>
    </w:lvl>
  </w:abstractNum>
  <w:abstractNum w:abstractNumId="73" w15:restartNumberingAfterBreak="0">
    <w:nsid w:val="689D1C20"/>
    <w:multiLevelType w:val="hybridMultilevel"/>
    <w:tmpl w:val="46F229C4"/>
    <w:lvl w:ilvl="0" w:tplc="C56445A0">
      <w:start w:val="10"/>
      <w:numFmt w:val="decimal"/>
      <w:lvlText w:val="%1"/>
      <w:lvlJc w:val="left"/>
      <w:pPr>
        <w:ind w:left="1052" w:hanging="929"/>
      </w:pPr>
      <w:rPr>
        <w:rFonts w:hint="default"/>
        <w:lang w:val="en-US" w:eastAsia="en-US" w:bidi="ar-SA"/>
      </w:rPr>
    </w:lvl>
    <w:lvl w:ilvl="1" w:tplc="68F84F14">
      <w:start w:val="1"/>
      <w:numFmt w:val="upperLetter"/>
      <w:lvlText w:val="%1.%2"/>
      <w:lvlJc w:val="left"/>
      <w:pPr>
        <w:ind w:left="1052" w:hanging="929"/>
      </w:pPr>
      <w:rPr>
        <w:rFonts w:hint="default"/>
        <w:lang w:val="en-US" w:eastAsia="en-US" w:bidi="ar-SA"/>
      </w:rPr>
    </w:lvl>
    <w:lvl w:ilvl="2" w:tplc="1FFC5632">
      <w:start w:val="1"/>
      <w:numFmt w:val="decimal"/>
      <w:lvlText w:val="%1.%2.%3."/>
      <w:lvlJc w:val="left"/>
      <w:pPr>
        <w:ind w:left="1052" w:hanging="929"/>
      </w:pPr>
      <w:rPr>
        <w:rFonts w:ascii="Palatino Linotype" w:eastAsia="Palatino Linotype" w:hAnsi="Palatino Linotype" w:cs="Palatino Linotype" w:hint="default"/>
        <w:b/>
        <w:bCs/>
        <w:color w:val="333333"/>
        <w:spacing w:val="-1"/>
        <w:w w:val="109"/>
        <w:sz w:val="26"/>
        <w:szCs w:val="26"/>
        <w:lang w:val="en-US" w:eastAsia="en-US" w:bidi="ar-SA"/>
      </w:rPr>
    </w:lvl>
    <w:lvl w:ilvl="3" w:tplc="1CA674A2">
      <w:numFmt w:val="bullet"/>
      <w:lvlText w:val="•"/>
      <w:lvlJc w:val="left"/>
      <w:pPr>
        <w:ind w:left="3809" w:hanging="929"/>
      </w:pPr>
      <w:rPr>
        <w:rFonts w:hint="default"/>
        <w:lang w:val="en-US" w:eastAsia="en-US" w:bidi="ar-SA"/>
      </w:rPr>
    </w:lvl>
    <w:lvl w:ilvl="4" w:tplc="CDB4F000">
      <w:numFmt w:val="bullet"/>
      <w:lvlText w:val="•"/>
      <w:lvlJc w:val="left"/>
      <w:pPr>
        <w:ind w:left="4726" w:hanging="929"/>
      </w:pPr>
      <w:rPr>
        <w:rFonts w:hint="default"/>
        <w:lang w:val="en-US" w:eastAsia="en-US" w:bidi="ar-SA"/>
      </w:rPr>
    </w:lvl>
    <w:lvl w:ilvl="5" w:tplc="F62A6C46">
      <w:numFmt w:val="bullet"/>
      <w:lvlText w:val="•"/>
      <w:lvlJc w:val="left"/>
      <w:pPr>
        <w:ind w:left="5642" w:hanging="929"/>
      </w:pPr>
      <w:rPr>
        <w:rFonts w:hint="default"/>
        <w:lang w:val="en-US" w:eastAsia="en-US" w:bidi="ar-SA"/>
      </w:rPr>
    </w:lvl>
    <w:lvl w:ilvl="6" w:tplc="4CBAEA5E">
      <w:numFmt w:val="bullet"/>
      <w:lvlText w:val="•"/>
      <w:lvlJc w:val="left"/>
      <w:pPr>
        <w:ind w:left="6559" w:hanging="929"/>
      </w:pPr>
      <w:rPr>
        <w:rFonts w:hint="default"/>
        <w:lang w:val="en-US" w:eastAsia="en-US" w:bidi="ar-SA"/>
      </w:rPr>
    </w:lvl>
    <w:lvl w:ilvl="7" w:tplc="BCA83204">
      <w:numFmt w:val="bullet"/>
      <w:lvlText w:val="•"/>
      <w:lvlJc w:val="left"/>
      <w:pPr>
        <w:ind w:left="7475" w:hanging="929"/>
      </w:pPr>
      <w:rPr>
        <w:rFonts w:hint="default"/>
        <w:lang w:val="en-US" w:eastAsia="en-US" w:bidi="ar-SA"/>
      </w:rPr>
    </w:lvl>
    <w:lvl w:ilvl="8" w:tplc="5202882A">
      <w:numFmt w:val="bullet"/>
      <w:lvlText w:val="•"/>
      <w:lvlJc w:val="left"/>
      <w:pPr>
        <w:ind w:left="8392" w:hanging="929"/>
      </w:pPr>
      <w:rPr>
        <w:rFonts w:hint="default"/>
        <w:lang w:val="en-US" w:eastAsia="en-US" w:bidi="ar-SA"/>
      </w:rPr>
    </w:lvl>
  </w:abstractNum>
  <w:abstractNum w:abstractNumId="74" w15:restartNumberingAfterBreak="0">
    <w:nsid w:val="69A70625"/>
    <w:multiLevelType w:val="hybridMultilevel"/>
    <w:tmpl w:val="E0EEC64C"/>
    <w:lvl w:ilvl="0" w:tplc="E7C032D0">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9E5A62DE">
      <w:numFmt w:val="bullet"/>
      <w:lvlText w:val="•"/>
      <w:lvlJc w:val="left"/>
      <w:pPr>
        <w:ind w:left="1454" w:hanging="188"/>
      </w:pPr>
      <w:rPr>
        <w:rFonts w:hint="default"/>
        <w:lang w:val="en-US" w:eastAsia="en-US" w:bidi="ar-SA"/>
      </w:rPr>
    </w:lvl>
    <w:lvl w:ilvl="2" w:tplc="572A6F60">
      <w:numFmt w:val="bullet"/>
      <w:lvlText w:val="•"/>
      <w:lvlJc w:val="left"/>
      <w:pPr>
        <w:ind w:left="2429" w:hanging="188"/>
      </w:pPr>
      <w:rPr>
        <w:rFonts w:hint="default"/>
        <w:lang w:val="en-US" w:eastAsia="en-US" w:bidi="ar-SA"/>
      </w:rPr>
    </w:lvl>
    <w:lvl w:ilvl="3" w:tplc="50681970">
      <w:numFmt w:val="bullet"/>
      <w:lvlText w:val="•"/>
      <w:lvlJc w:val="left"/>
      <w:pPr>
        <w:ind w:left="3403" w:hanging="188"/>
      </w:pPr>
      <w:rPr>
        <w:rFonts w:hint="default"/>
        <w:lang w:val="en-US" w:eastAsia="en-US" w:bidi="ar-SA"/>
      </w:rPr>
    </w:lvl>
    <w:lvl w:ilvl="4" w:tplc="3E9EC246">
      <w:numFmt w:val="bullet"/>
      <w:lvlText w:val="•"/>
      <w:lvlJc w:val="left"/>
      <w:pPr>
        <w:ind w:left="4378" w:hanging="188"/>
      </w:pPr>
      <w:rPr>
        <w:rFonts w:hint="default"/>
        <w:lang w:val="en-US" w:eastAsia="en-US" w:bidi="ar-SA"/>
      </w:rPr>
    </w:lvl>
    <w:lvl w:ilvl="5" w:tplc="9D7E6C64">
      <w:numFmt w:val="bullet"/>
      <w:lvlText w:val="•"/>
      <w:lvlJc w:val="left"/>
      <w:pPr>
        <w:ind w:left="5352" w:hanging="188"/>
      </w:pPr>
      <w:rPr>
        <w:rFonts w:hint="default"/>
        <w:lang w:val="en-US" w:eastAsia="en-US" w:bidi="ar-SA"/>
      </w:rPr>
    </w:lvl>
    <w:lvl w:ilvl="6" w:tplc="C8946AEE">
      <w:numFmt w:val="bullet"/>
      <w:lvlText w:val="•"/>
      <w:lvlJc w:val="left"/>
      <w:pPr>
        <w:ind w:left="6327" w:hanging="188"/>
      </w:pPr>
      <w:rPr>
        <w:rFonts w:hint="default"/>
        <w:lang w:val="en-US" w:eastAsia="en-US" w:bidi="ar-SA"/>
      </w:rPr>
    </w:lvl>
    <w:lvl w:ilvl="7" w:tplc="86305106">
      <w:numFmt w:val="bullet"/>
      <w:lvlText w:val="•"/>
      <w:lvlJc w:val="left"/>
      <w:pPr>
        <w:ind w:left="7301" w:hanging="188"/>
      </w:pPr>
      <w:rPr>
        <w:rFonts w:hint="default"/>
        <w:lang w:val="en-US" w:eastAsia="en-US" w:bidi="ar-SA"/>
      </w:rPr>
    </w:lvl>
    <w:lvl w:ilvl="8" w:tplc="C1BE2B34">
      <w:numFmt w:val="bullet"/>
      <w:lvlText w:val="•"/>
      <w:lvlJc w:val="left"/>
      <w:pPr>
        <w:ind w:left="8276" w:hanging="188"/>
      </w:pPr>
      <w:rPr>
        <w:rFonts w:hint="default"/>
        <w:lang w:val="en-US" w:eastAsia="en-US" w:bidi="ar-SA"/>
      </w:rPr>
    </w:lvl>
  </w:abstractNum>
  <w:abstractNum w:abstractNumId="75" w15:restartNumberingAfterBreak="0">
    <w:nsid w:val="6A4237DA"/>
    <w:multiLevelType w:val="hybridMultilevel"/>
    <w:tmpl w:val="DD5CB9A2"/>
    <w:lvl w:ilvl="0" w:tplc="F65EFFB2">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0452281C">
      <w:numFmt w:val="bullet"/>
      <w:lvlText w:val="•"/>
      <w:lvlJc w:val="left"/>
      <w:pPr>
        <w:ind w:left="1454" w:hanging="188"/>
      </w:pPr>
      <w:rPr>
        <w:rFonts w:hint="default"/>
        <w:lang w:val="en-US" w:eastAsia="en-US" w:bidi="ar-SA"/>
      </w:rPr>
    </w:lvl>
    <w:lvl w:ilvl="2" w:tplc="4014B00A">
      <w:numFmt w:val="bullet"/>
      <w:lvlText w:val="•"/>
      <w:lvlJc w:val="left"/>
      <w:pPr>
        <w:ind w:left="2429" w:hanging="188"/>
      </w:pPr>
      <w:rPr>
        <w:rFonts w:hint="default"/>
        <w:lang w:val="en-US" w:eastAsia="en-US" w:bidi="ar-SA"/>
      </w:rPr>
    </w:lvl>
    <w:lvl w:ilvl="3" w:tplc="162C045E">
      <w:numFmt w:val="bullet"/>
      <w:lvlText w:val="•"/>
      <w:lvlJc w:val="left"/>
      <w:pPr>
        <w:ind w:left="3403" w:hanging="188"/>
      </w:pPr>
      <w:rPr>
        <w:rFonts w:hint="default"/>
        <w:lang w:val="en-US" w:eastAsia="en-US" w:bidi="ar-SA"/>
      </w:rPr>
    </w:lvl>
    <w:lvl w:ilvl="4" w:tplc="FF505C54">
      <w:numFmt w:val="bullet"/>
      <w:lvlText w:val="•"/>
      <w:lvlJc w:val="left"/>
      <w:pPr>
        <w:ind w:left="4378" w:hanging="188"/>
      </w:pPr>
      <w:rPr>
        <w:rFonts w:hint="default"/>
        <w:lang w:val="en-US" w:eastAsia="en-US" w:bidi="ar-SA"/>
      </w:rPr>
    </w:lvl>
    <w:lvl w:ilvl="5" w:tplc="8DD0CC0E">
      <w:numFmt w:val="bullet"/>
      <w:lvlText w:val="•"/>
      <w:lvlJc w:val="left"/>
      <w:pPr>
        <w:ind w:left="5352" w:hanging="188"/>
      </w:pPr>
      <w:rPr>
        <w:rFonts w:hint="default"/>
        <w:lang w:val="en-US" w:eastAsia="en-US" w:bidi="ar-SA"/>
      </w:rPr>
    </w:lvl>
    <w:lvl w:ilvl="6" w:tplc="E0002560">
      <w:numFmt w:val="bullet"/>
      <w:lvlText w:val="•"/>
      <w:lvlJc w:val="left"/>
      <w:pPr>
        <w:ind w:left="6327" w:hanging="188"/>
      </w:pPr>
      <w:rPr>
        <w:rFonts w:hint="default"/>
        <w:lang w:val="en-US" w:eastAsia="en-US" w:bidi="ar-SA"/>
      </w:rPr>
    </w:lvl>
    <w:lvl w:ilvl="7" w:tplc="5B2067BC">
      <w:numFmt w:val="bullet"/>
      <w:lvlText w:val="•"/>
      <w:lvlJc w:val="left"/>
      <w:pPr>
        <w:ind w:left="7301" w:hanging="188"/>
      </w:pPr>
      <w:rPr>
        <w:rFonts w:hint="default"/>
        <w:lang w:val="en-US" w:eastAsia="en-US" w:bidi="ar-SA"/>
      </w:rPr>
    </w:lvl>
    <w:lvl w:ilvl="8" w:tplc="2CB2ECE4">
      <w:numFmt w:val="bullet"/>
      <w:lvlText w:val="•"/>
      <w:lvlJc w:val="left"/>
      <w:pPr>
        <w:ind w:left="8276" w:hanging="188"/>
      </w:pPr>
      <w:rPr>
        <w:rFonts w:hint="default"/>
        <w:lang w:val="en-US" w:eastAsia="en-US" w:bidi="ar-SA"/>
      </w:rPr>
    </w:lvl>
  </w:abstractNum>
  <w:abstractNum w:abstractNumId="76" w15:restartNumberingAfterBreak="0">
    <w:nsid w:val="6CC33BD6"/>
    <w:multiLevelType w:val="hybridMultilevel"/>
    <w:tmpl w:val="755A8288"/>
    <w:lvl w:ilvl="0" w:tplc="1474215E">
      <w:start w:val="1"/>
      <w:numFmt w:val="decimal"/>
      <w:lvlText w:val="%1."/>
      <w:lvlJc w:val="left"/>
      <w:pPr>
        <w:ind w:left="484" w:hanging="272"/>
      </w:pPr>
      <w:rPr>
        <w:rFonts w:ascii="Cambria" w:eastAsia="Cambria" w:hAnsi="Cambria" w:cs="Cambria" w:hint="default"/>
        <w:color w:val="333333"/>
        <w:spacing w:val="-11"/>
        <w:w w:val="106"/>
        <w:sz w:val="21"/>
        <w:szCs w:val="21"/>
        <w:lang w:val="en-US" w:eastAsia="en-US" w:bidi="ar-SA"/>
      </w:rPr>
    </w:lvl>
    <w:lvl w:ilvl="1" w:tplc="6FE8AE2A">
      <w:numFmt w:val="bullet"/>
      <w:lvlText w:val="•"/>
      <w:lvlJc w:val="left"/>
      <w:pPr>
        <w:ind w:left="1454" w:hanging="272"/>
      </w:pPr>
      <w:rPr>
        <w:rFonts w:hint="default"/>
        <w:lang w:val="en-US" w:eastAsia="en-US" w:bidi="ar-SA"/>
      </w:rPr>
    </w:lvl>
    <w:lvl w:ilvl="2" w:tplc="276EF6E4">
      <w:numFmt w:val="bullet"/>
      <w:lvlText w:val="•"/>
      <w:lvlJc w:val="left"/>
      <w:pPr>
        <w:ind w:left="2429" w:hanging="272"/>
      </w:pPr>
      <w:rPr>
        <w:rFonts w:hint="default"/>
        <w:lang w:val="en-US" w:eastAsia="en-US" w:bidi="ar-SA"/>
      </w:rPr>
    </w:lvl>
    <w:lvl w:ilvl="3" w:tplc="3BE6329A">
      <w:numFmt w:val="bullet"/>
      <w:lvlText w:val="•"/>
      <w:lvlJc w:val="left"/>
      <w:pPr>
        <w:ind w:left="3403" w:hanging="272"/>
      </w:pPr>
      <w:rPr>
        <w:rFonts w:hint="default"/>
        <w:lang w:val="en-US" w:eastAsia="en-US" w:bidi="ar-SA"/>
      </w:rPr>
    </w:lvl>
    <w:lvl w:ilvl="4" w:tplc="B520156E">
      <w:numFmt w:val="bullet"/>
      <w:lvlText w:val="•"/>
      <w:lvlJc w:val="left"/>
      <w:pPr>
        <w:ind w:left="4378" w:hanging="272"/>
      </w:pPr>
      <w:rPr>
        <w:rFonts w:hint="default"/>
        <w:lang w:val="en-US" w:eastAsia="en-US" w:bidi="ar-SA"/>
      </w:rPr>
    </w:lvl>
    <w:lvl w:ilvl="5" w:tplc="59B03DB0">
      <w:numFmt w:val="bullet"/>
      <w:lvlText w:val="•"/>
      <w:lvlJc w:val="left"/>
      <w:pPr>
        <w:ind w:left="5352" w:hanging="272"/>
      </w:pPr>
      <w:rPr>
        <w:rFonts w:hint="default"/>
        <w:lang w:val="en-US" w:eastAsia="en-US" w:bidi="ar-SA"/>
      </w:rPr>
    </w:lvl>
    <w:lvl w:ilvl="6" w:tplc="F7622A16">
      <w:numFmt w:val="bullet"/>
      <w:lvlText w:val="•"/>
      <w:lvlJc w:val="left"/>
      <w:pPr>
        <w:ind w:left="6327" w:hanging="272"/>
      </w:pPr>
      <w:rPr>
        <w:rFonts w:hint="default"/>
        <w:lang w:val="en-US" w:eastAsia="en-US" w:bidi="ar-SA"/>
      </w:rPr>
    </w:lvl>
    <w:lvl w:ilvl="7" w:tplc="12467548">
      <w:numFmt w:val="bullet"/>
      <w:lvlText w:val="•"/>
      <w:lvlJc w:val="left"/>
      <w:pPr>
        <w:ind w:left="7301" w:hanging="272"/>
      </w:pPr>
      <w:rPr>
        <w:rFonts w:hint="default"/>
        <w:lang w:val="en-US" w:eastAsia="en-US" w:bidi="ar-SA"/>
      </w:rPr>
    </w:lvl>
    <w:lvl w:ilvl="8" w:tplc="E6CA6978">
      <w:numFmt w:val="bullet"/>
      <w:lvlText w:val="•"/>
      <w:lvlJc w:val="left"/>
      <w:pPr>
        <w:ind w:left="8276" w:hanging="272"/>
      </w:pPr>
      <w:rPr>
        <w:rFonts w:hint="default"/>
        <w:lang w:val="en-US" w:eastAsia="en-US" w:bidi="ar-SA"/>
      </w:rPr>
    </w:lvl>
  </w:abstractNum>
  <w:abstractNum w:abstractNumId="77" w15:restartNumberingAfterBreak="0">
    <w:nsid w:val="6DB7507C"/>
    <w:multiLevelType w:val="hybridMultilevel"/>
    <w:tmpl w:val="C1BAB5EC"/>
    <w:lvl w:ilvl="0" w:tplc="B59CD1B6">
      <w:numFmt w:val="bullet"/>
      <w:lvlText w:val="-"/>
      <w:lvlJc w:val="left"/>
      <w:pPr>
        <w:ind w:left="640" w:hanging="220"/>
      </w:pPr>
      <w:rPr>
        <w:rFonts w:ascii="MS Gothic" w:eastAsia="MS Gothic" w:hAnsi="MS Gothic" w:cs="MS Gothic" w:hint="default"/>
        <w:color w:val="333333"/>
        <w:w w:val="100"/>
        <w:sz w:val="22"/>
        <w:szCs w:val="22"/>
        <w:lang w:val="en-US" w:eastAsia="en-US" w:bidi="ar-SA"/>
      </w:rPr>
    </w:lvl>
    <w:lvl w:ilvl="1" w:tplc="B34E4C48">
      <w:numFmt w:val="bullet"/>
      <w:lvlText w:val="•"/>
      <w:lvlJc w:val="left"/>
      <w:pPr>
        <w:ind w:left="1569" w:hanging="220"/>
      </w:pPr>
      <w:rPr>
        <w:rFonts w:hint="default"/>
        <w:lang w:val="en-US" w:eastAsia="en-US" w:bidi="ar-SA"/>
      </w:rPr>
    </w:lvl>
    <w:lvl w:ilvl="2" w:tplc="CB7CF11E">
      <w:numFmt w:val="bullet"/>
      <w:lvlText w:val="•"/>
      <w:lvlJc w:val="left"/>
      <w:pPr>
        <w:ind w:left="2499" w:hanging="220"/>
      </w:pPr>
      <w:rPr>
        <w:rFonts w:hint="default"/>
        <w:lang w:val="en-US" w:eastAsia="en-US" w:bidi="ar-SA"/>
      </w:rPr>
    </w:lvl>
    <w:lvl w:ilvl="3" w:tplc="9A96F906">
      <w:numFmt w:val="bullet"/>
      <w:lvlText w:val="•"/>
      <w:lvlJc w:val="left"/>
      <w:pPr>
        <w:ind w:left="3429" w:hanging="220"/>
      </w:pPr>
      <w:rPr>
        <w:rFonts w:hint="default"/>
        <w:lang w:val="en-US" w:eastAsia="en-US" w:bidi="ar-SA"/>
      </w:rPr>
    </w:lvl>
    <w:lvl w:ilvl="4" w:tplc="1FD0C8BE">
      <w:numFmt w:val="bullet"/>
      <w:lvlText w:val="•"/>
      <w:lvlJc w:val="left"/>
      <w:pPr>
        <w:ind w:left="4359" w:hanging="220"/>
      </w:pPr>
      <w:rPr>
        <w:rFonts w:hint="default"/>
        <w:lang w:val="en-US" w:eastAsia="en-US" w:bidi="ar-SA"/>
      </w:rPr>
    </w:lvl>
    <w:lvl w:ilvl="5" w:tplc="ACDC1FFE">
      <w:numFmt w:val="bullet"/>
      <w:lvlText w:val="•"/>
      <w:lvlJc w:val="left"/>
      <w:pPr>
        <w:ind w:left="5288" w:hanging="220"/>
      </w:pPr>
      <w:rPr>
        <w:rFonts w:hint="default"/>
        <w:lang w:val="en-US" w:eastAsia="en-US" w:bidi="ar-SA"/>
      </w:rPr>
    </w:lvl>
    <w:lvl w:ilvl="6" w:tplc="D6F64B4E">
      <w:numFmt w:val="bullet"/>
      <w:lvlText w:val="•"/>
      <w:lvlJc w:val="left"/>
      <w:pPr>
        <w:ind w:left="6218" w:hanging="220"/>
      </w:pPr>
      <w:rPr>
        <w:rFonts w:hint="default"/>
        <w:lang w:val="en-US" w:eastAsia="en-US" w:bidi="ar-SA"/>
      </w:rPr>
    </w:lvl>
    <w:lvl w:ilvl="7" w:tplc="6986CAA6">
      <w:numFmt w:val="bullet"/>
      <w:lvlText w:val="•"/>
      <w:lvlJc w:val="left"/>
      <w:pPr>
        <w:ind w:left="7148" w:hanging="220"/>
      </w:pPr>
      <w:rPr>
        <w:rFonts w:hint="default"/>
        <w:lang w:val="en-US" w:eastAsia="en-US" w:bidi="ar-SA"/>
      </w:rPr>
    </w:lvl>
    <w:lvl w:ilvl="8" w:tplc="C69E189C">
      <w:numFmt w:val="bullet"/>
      <w:lvlText w:val="•"/>
      <w:lvlJc w:val="left"/>
      <w:pPr>
        <w:ind w:left="8078" w:hanging="220"/>
      </w:pPr>
      <w:rPr>
        <w:rFonts w:hint="default"/>
        <w:lang w:val="en-US" w:eastAsia="en-US" w:bidi="ar-SA"/>
      </w:rPr>
    </w:lvl>
  </w:abstractNum>
  <w:abstractNum w:abstractNumId="78" w15:restartNumberingAfterBreak="0">
    <w:nsid w:val="6DDE3D1A"/>
    <w:multiLevelType w:val="hybridMultilevel"/>
    <w:tmpl w:val="7FBE11A0"/>
    <w:lvl w:ilvl="0" w:tplc="91A283A0">
      <w:numFmt w:val="bullet"/>
      <w:lvlText w:val="*"/>
      <w:lvlJc w:val="left"/>
      <w:pPr>
        <w:ind w:left="970" w:hanging="220"/>
      </w:pPr>
      <w:rPr>
        <w:rFonts w:ascii="MS Gothic" w:eastAsia="MS Gothic" w:hAnsi="MS Gothic" w:cs="MS Gothic" w:hint="default"/>
        <w:color w:val="333333"/>
        <w:w w:val="100"/>
        <w:sz w:val="22"/>
        <w:szCs w:val="22"/>
        <w:lang w:val="en-US" w:eastAsia="en-US" w:bidi="ar-SA"/>
      </w:rPr>
    </w:lvl>
    <w:lvl w:ilvl="1" w:tplc="30406F4A">
      <w:numFmt w:val="bullet"/>
      <w:lvlText w:val="•"/>
      <w:lvlJc w:val="left"/>
      <w:pPr>
        <w:ind w:left="1875" w:hanging="220"/>
      </w:pPr>
      <w:rPr>
        <w:rFonts w:hint="default"/>
        <w:lang w:val="en-US" w:eastAsia="en-US" w:bidi="ar-SA"/>
      </w:rPr>
    </w:lvl>
    <w:lvl w:ilvl="2" w:tplc="0E066802">
      <w:numFmt w:val="bullet"/>
      <w:lvlText w:val="•"/>
      <w:lvlJc w:val="left"/>
      <w:pPr>
        <w:ind w:left="2771" w:hanging="220"/>
      </w:pPr>
      <w:rPr>
        <w:rFonts w:hint="default"/>
        <w:lang w:val="en-US" w:eastAsia="en-US" w:bidi="ar-SA"/>
      </w:rPr>
    </w:lvl>
    <w:lvl w:ilvl="3" w:tplc="98520A58">
      <w:numFmt w:val="bullet"/>
      <w:lvlText w:val="•"/>
      <w:lvlJc w:val="left"/>
      <w:pPr>
        <w:ind w:left="3667" w:hanging="220"/>
      </w:pPr>
      <w:rPr>
        <w:rFonts w:hint="default"/>
        <w:lang w:val="en-US" w:eastAsia="en-US" w:bidi="ar-SA"/>
      </w:rPr>
    </w:lvl>
    <w:lvl w:ilvl="4" w:tplc="36E69AA8">
      <w:numFmt w:val="bullet"/>
      <w:lvlText w:val="•"/>
      <w:lvlJc w:val="left"/>
      <w:pPr>
        <w:ind w:left="4563" w:hanging="220"/>
      </w:pPr>
      <w:rPr>
        <w:rFonts w:hint="default"/>
        <w:lang w:val="en-US" w:eastAsia="en-US" w:bidi="ar-SA"/>
      </w:rPr>
    </w:lvl>
    <w:lvl w:ilvl="5" w:tplc="9F865E50">
      <w:numFmt w:val="bullet"/>
      <w:lvlText w:val="•"/>
      <w:lvlJc w:val="left"/>
      <w:pPr>
        <w:ind w:left="5458" w:hanging="220"/>
      </w:pPr>
      <w:rPr>
        <w:rFonts w:hint="default"/>
        <w:lang w:val="en-US" w:eastAsia="en-US" w:bidi="ar-SA"/>
      </w:rPr>
    </w:lvl>
    <w:lvl w:ilvl="6" w:tplc="75D83E74">
      <w:numFmt w:val="bullet"/>
      <w:lvlText w:val="•"/>
      <w:lvlJc w:val="left"/>
      <w:pPr>
        <w:ind w:left="6354" w:hanging="220"/>
      </w:pPr>
      <w:rPr>
        <w:rFonts w:hint="default"/>
        <w:lang w:val="en-US" w:eastAsia="en-US" w:bidi="ar-SA"/>
      </w:rPr>
    </w:lvl>
    <w:lvl w:ilvl="7" w:tplc="5CB63106">
      <w:numFmt w:val="bullet"/>
      <w:lvlText w:val="•"/>
      <w:lvlJc w:val="left"/>
      <w:pPr>
        <w:ind w:left="7250" w:hanging="220"/>
      </w:pPr>
      <w:rPr>
        <w:rFonts w:hint="default"/>
        <w:lang w:val="en-US" w:eastAsia="en-US" w:bidi="ar-SA"/>
      </w:rPr>
    </w:lvl>
    <w:lvl w:ilvl="8" w:tplc="2F961870">
      <w:numFmt w:val="bullet"/>
      <w:lvlText w:val="•"/>
      <w:lvlJc w:val="left"/>
      <w:pPr>
        <w:ind w:left="8146" w:hanging="220"/>
      </w:pPr>
      <w:rPr>
        <w:rFonts w:hint="default"/>
        <w:lang w:val="en-US" w:eastAsia="en-US" w:bidi="ar-SA"/>
      </w:rPr>
    </w:lvl>
  </w:abstractNum>
  <w:abstractNum w:abstractNumId="79" w15:restartNumberingAfterBreak="0">
    <w:nsid w:val="6FAA2924"/>
    <w:multiLevelType w:val="hybridMultilevel"/>
    <w:tmpl w:val="E61C8370"/>
    <w:lvl w:ilvl="0" w:tplc="F6C0AA3C">
      <w:numFmt w:val="bullet"/>
      <w:lvlText w:val="-"/>
      <w:lvlJc w:val="left"/>
      <w:pPr>
        <w:ind w:left="1520" w:hanging="220"/>
      </w:pPr>
      <w:rPr>
        <w:rFonts w:ascii="MS Gothic" w:eastAsia="MS Gothic" w:hAnsi="MS Gothic" w:cs="MS Gothic" w:hint="default"/>
        <w:color w:val="333333"/>
        <w:w w:val="100"/>
        <w:sz w:val="22"/>
        <w:szCs w:val="22"/>
        <w:lang w:val="en-US" w:eastAsia="en-US" w:bidi="ar-SA"/>
      </w:rPr>
    </w:lvl>
    <w:lvl w:ilvl="1" w:tplc="40D45122">
      <w:numFmt w:val="bullet"/>
      <w:lvlText w:val="•"/>
      <w:lvlJc w:val="left"/>
      <w:pPr>
        <w:ind w:left="2361" w:hanging="220"/>
      </w:pPr>
      <w:rPr>
        <w:rFonts w:hint="default"/>
        <w:lang w:val="en-US" w:eastAsia="en-US" w:bidi="ar-SA"/>
      </w:rPr>
    </w:lvl>
    <w:lvl w:ilvl="2" w:tplc="0F92AFCA">
      <w:numFmt w:val="bullet"/>
      <w:lvlText w:val="•"/>
      <w:lvlJc w:val="left"/>
      <w:pPr>
        <w:ind w:left="3203" w:hanging="220"/>
      </w:pPr>
      <w:rPr>
        <w:rFonts w:hint="default"/>
        <w:lang w:val="en-US" w:eastAsia="en-US" w:bidi="ar-SA"/>
      </w:rPr>
    </w:lvl>
    <w:lvl w:ilvl="3" w:tplc="460CC9F2">
      <w:numFmt w:val="bullet"/>
      <w:lvlText w:val="•"/>
      <w:lvlJc w:val="left"/>
      <w:pPr>
        <w:ind w:left="4045" w:hanging="220"/>
      </w:pPr>
      <w:rPr>
        <w:rFonts w:hint="default"/>
        <w:lang w:val="en-US" w:eastAsia="en-US" w:bidi="ar-SA"/>
      </w:rPr>
    </w:lvl>
    <w:lvl w:ilvl="4" w:tplc="BE02C3EE">
      <w:numFmt w:val="bullet"/>
      <w:lvlText w:val="•"/>
      <w:lvlJc w:val="left"/>
      <w:pPr>
        <w:ind w:left="4887" w:hanging="220"/>
      </w:pPr>
      <w:rPr>
        <w:rFonts w:hint="default"/>
        <w:lang w:val="en-US" w:eastAsia="en-US" w:bidi="ar-SA"/>
      </w:rPr>
    </w:lvl>
    <w:lvl w:ilvl="5" w:tplc="F7763168">
      <w:numFmt w:val="bullet"/>
      <w:lvlText w:val="•"/>
      <w:lvlJc w:val="left"/>
      <w:pPr>
        <w:ind w:left="5728" w:hanging="220"/>
      </w:pPr>
      <w:rPr>
        <w:rFonts w:hint="default"/>
        <w:lang w:val="en-US" w:eastAsia="en-US" w:bidi="ar-SA"/>
      </w:rPr>
    </w:lvl>
    <w:lvl w:ilvl="6" w:tplc="B9849C92">
      <w:numFmt w:val="bullet"/>
      <w:lvlText w:val="•"/>
      <w:lvlJc w:val="left"/>
      <w:pPr>
        <w:ind w:left="6570" w:hanging="220"/>
      </w:pPr>
      <w:rPr>
        <w:rFonts w:hint="default"/>
        <w:lang w:val="en-US" w:eastAsia="en-US" w:bidi="ar-SA"/>
      </w:rPr>
    </w:lvl>
    <w:lvl w:ilvl="7" w:tplc="238E49E0">
      <w:numFmt w:val="bullet"/>
      <w:lvlText w:val="•"/>
      <w:lvlJc w:val="left"/>
      <w:pPr>
        <w:ind w:left="7412" w:hanging="220"/>
      </w:pPr>
      <w:rPr>
        <w:rFonts w:hint="default"/>
        <w:lang w:val="en-US" w:eastAsia="en-US" w:bidi="ar-SA"/>
      </w:rPr>
    </w:lvl>
    <w:lvl w:ilvl="8" w:tplc="8FD44076">
      <w:numFmt w:val="bullet"/>
      <w:lvlText w:val="•"/>
      <w:lvlJc w:val="left"/>
      <w:pPr>
        <w:ind w:left="8254" w:hanging="220"/>
      </w:pPr>
      <w:rPr>
        <w:rFonts w:hint="default"/>
        <w:lang w:val="en-US" w:eastAsia="en-US" w:bidi="ar-SA"/>
      </w:rPr>
    </w:lvl>
  </w:abstractNum>
  <w:abstractNum w:abstractNumId="80" w15:restartNumberingAfterBreak="0">
    <w:nsid w:val="70A829EB"/>
    <w:multiLevelType w:val="hybridMultilevel"/>
    <w:tmpl w:val="905A4E6C"/>
    <w:lvl w:ilvl="0" w:tplc="EAB81A84">
      <w:start w:val="8"/>
      <w:numFmt w:val="decimal"/>
      <w:lvlText w:val="%1"/>
      <w:lvlJc w:val="left"/>
      <w:pPr>
        <w:ind w:left="857" w:hanging="733"/>
      </w:pPr>
      <w:rPr>
        <w:rFonts w:hint="default"/>
        <w:lang w:val="en-US" w:eastAsia="en-US" w:bidi="ar-SA"/>
      </w:rPr>
    </w:lvl>
    <w:lvl w:ilvl="1" w:tplc="B5F40690">
      <w:start w:val="3"/>
      <w:numFmt w:val="decimal"/>
      <w:lvlText w:val="%1.%2"/>
      <w:lvlJc w:val="left"/>
      <w:pPr>
        <w:ind w:left="857" w:hanging="733"/>
      </w:pPr>
      <w:rPr>
        <w:rFonts w:hint="default"/>
        <w:lang w:val="en-US" w:eastAsia="en-US" w:bidi="ar-SA"/>
      </w:rPr>
    </w:lvl>
    <w:lvl w:ilvl="2" w:tplc="0DE200D4">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07E2BEEA">
      <w:numFmt w:val="bullet"/>
      <w:lvlText w:val="•"/>
      <w:lvlJc w:val="left"/>
      <w:pPr>
        <w:ind w:left="484" w:hanging="188"/>
      </w:pPr>
      <w:rPr>
        <w:rFonts w:ascii="Cambria" w:eastAsia="Cambria" w:hAnsi="Cambria" w:cs="Cambria" w:hint="default"/>
        <w:color w:val="333333"/>
        <w:w w:val="81"/>
        <w:sz w:val="21"/>
        <w:szCs w:val="21"/>
        <w:lang w:val="en-US" w:eastAsia="en-US" w:bidi="ar-SA"/>
      </w:rPr>
    </w:lvl>
    <w:lvl w:ilvl="4" w:tplc="B7A4A670">
      <w:numFmt w:val="bullet"/>
      <w:lvlText w:val="•"/>
      <w:lvlJc w:val="left"/>
      <w:pPr>
        <w:ind w:left="3981" w:hanging="188"/>
      </w:pPr>
      <w:rPr>
        <w:rFonts w:hint="default"/>
        <w:lang w:val="en-US" w:eastAsia="en-US" w:bidi="ar-SA"/>
      </w:rPr>
    </w:lvl>
    <w:lvl w:ilvl="5" w:tplc="C102EC14">
      <w:numFmt w:val="bullet"/>
      <w:lvlText w:val="•"/>
      <w:lvlJc w:val="left"/>
      <w:pPr>
        <w:ind w:left="5022" w:hanging="188"/>
      </w:pPr>
      <w:rPr>
        <w:rFonts w:hint="default"/>
        <w:lang w:val="en-US" w:eastAsia="en-US" w:bidi="ar-SA"/>
      </w:rPr>
    </w:lvl>
    <w:lvl w:ilvl="6" w:tplc="63C4AED4">
      <w:numFmt w:val="bullet"/>
      <w:lvlText w:val="•"/>
      <w:lvlJc w:val="left"/>
      <w:pPr>
        <w:ind w:left="6063" w:hanging="188"/>
      </w:pPr>
      <w:rPr>
        <w:rFonts w:hint="default"/>
        <w:lang w:val="en-US" w:eastAsia="en-US" w:bidi="ar-SA"/>
      </w:rPr>
    </w:lvl>
    <w:lvl w:ilvl="7" w:tplc="97B0B4B6">
      <w:numFmt w:val="bullet"/>
      <w:lvlText w:val="•"/>
      <w:lvlJc w:val="left"/>
      <w:pPr>
        <w:ind w:left="7103" w:hanging="188"/>
      </w:pPr>
      <w:rPr>
        <w:rFonts w:hint="default"/>
        <w:lang w:val="en-US" w:eastAsia="en-US" w:bidi="ar-SA"/>
      </w:rPr>
    </w:lvl>
    <w:lvl w:ilvl="8" w:tplc="23306DEE">
      <w:numFmt w:val="bullet"/>
      <w:lvlText w:val="•"/>
      <w:lvlJc w:val="left"/>
      <w:pPr>
        <w:ind w:left="8144" w:hanging="188"/>
      </w:pPr>
      <w:rPr>
        <w:rFonts w:hint="default"/>
        <w:lang w:val="en-US" w:eastAsia="en-US" w:bidi="ar-SA"/>
      </w:rPr>
    </w:lvl>
  </w:abstractNum>
  <w:abstractNum w:abstractNumId="81" w15:restartNumberingAfterBreak="0">
    <w:nsid w:val="713125BB"/>
    <w:multiLevelType w:val="hybridMultilevel"/>
    <w:tmpl w:val="5296B14C"/>
    <w:lvl w:ilvl="0" w:tplc="4FACD2AE">
      <w:start w:val="4"/>
      <w:numFmt w:val="decimal"/>
      <w:lvlText w:val="%1"/>
      <w:lvlJc w:val="left"/>
      <w:pPr>
        <w:ind w:left="1286" w:hanging="682"/>
      </w:pPr>
      <w:rPr>
        <w:rFonts w:hint="default"/>
        <w:lang w:val="en-US" w:eastAsia="en-US" w:bidi="ar-SA"/>
      </w:rPr>
    </w:lvl>
    <w:lvl w:ilvl="1" w:tplc="D2B2977A">
      <w:start w:val="14"/>
      <w:numFmt w:val="decimal"/>
      <w:lvlText w:val="%1.%2"/>
      <w:lvlJc w:val="left"/>
      <w:pPr>
        <w:ind w:left="1286" w:hanging="682"/>
      </w:pPr>
      <w:rPr>
        <w:rFonts w:hint="default"/>
        <w:lang w:val="en-US" w:eastAsia="en-US" w:bidi="ar-SA"/>
      </w:rPr>
    </w:lvl>
    <w:lvl w:ilvl="2" w:tplc="90104344">
      <w:start w:val="2"/>
      <w:numFmt w:val="decimal"/>
      <w:lvlText w:val="%1.%2.%3."/>
      <w:lvlJc w:val="left"/>
      <w:pPr>
        <w:ind w:left="1286" w:hanging="682"/>
      </w:pPr>
      <w:rPr>
        <w:rFonts w:ascii="Cambria" w:eastAsia="Cambria" w:hAnsi="Cambria" w:cs="Cambria" w:hint="default"/>
        <w:color w:val="333333"/>
        <w:spacing w:val="-1"/>
        <w:w w:val="105"/>
        <w:sz w:val="21"/>
        <w:szCs w:val="21"/>
        <w:lang w:val="en-US" w:eastAsia="en-US" w:bidi="ar-SA"/>
      </w:rPr>
    </w:lvl>
    <w:lvl w:ilvl="3" w:tplc="D3C8538E">
      <w:numFmt w:val="bullet"/>
      <w:lvlText w:val="•"/>
      <w:lvlJc w:val="left"/>
      <w:pPr>
        <w:ind w:left="3963" w:hanging="682"/>
      </w:pPr>
      <w:rPr>
        <w:rFonts w:hint="default"/>
        <w:lang w:val="en-US" w:eastAsia="en-US" w:bidi="ar-SA"/>
      </w:rPr>
    </w:lvl>
    <w:lvl w:ilvl="4" w:tplc="CF80FB2E">
      <w:numFmt w:val="bullet"/>
      <w:lvlText w:val="•"/>
      <w:lvlJc w:val="left"/>
      <w:pPr>
        <w:ind w:left="4858" w:hanging="682"/>
      </w:pPr>
      <w:rPr>
        <w:rFonts w:hint="default"/>
        <w:lang w:val="en-US" w:eastAsia="en-US" w:bidi="ar-SA"/>
      </w:rPr>
    </w:lvl>
    <w:lvl w:ilvl="5" w:tplc="C9CC45D6">
      <w:numFmt w:val="bullet"/>
      <w:lvlText w:val="•"/>
      <w:lvlJc w:val="left"/>
      <w:pPr>
        <w:ind w:left="5752" w:hanging="682"/>
      </w:pPr>
      <w:rPr>
        <w:rFonts w:hint="default"/>
        <w:lang w:val="en-US" w:eastAsia="en-US" w:bidi="ar-SA"/>
      </w:rPr>
    </w:lvl>
    <w:lvl w:ilvl="6" w:tplc="B0A081B0">
      <w:numFmt w:val="bullet"/>
      <w:lvlText w:val="•"/>
      <w:lvlJc w:val="left"/>
      <w:pPr>
        <w:ind w:left="6647" w:hanging="682"/>
      </w:pPr>
      <w:rPr>
        <w:rFonts w:hint="default"/>
        <w:lang w:val="en-US" w:eastAsia="en-US" w:bidi="ar-SA"/>
      </w:rPr>
    </w:lvl>
    <w:lvl w:ilvl="7" w:tplc="AD7E5140">
      <w:numFmt w:val="bullet"/>
      <w:lvlText w:val="•"/>
      <w:lvlJc w:val="left"/>
      <w:pPr>
        <w:ind w:left="7541" w:hanging="682"/>
      </w:pPr>
      <w:rPr>
        <w:rFonts w:hint="default"/>
        <w:lang w:val="en-US" w:eastAsia="en-US" w:bidi="ar-SA"/>
      </w:rPr>
    </w:lvl>
    <w:lvl w:ilvl="8" w:tplc="8126F626">
      <w:numFmt w:val="bullet"/>
      <w:lvlText w:val="•"/>
      <w:lvlJc w:val="left"/>
      <w:pPr>
        <w:ind w:left="8436" w:hanging="682"/>
      </w:pPr>
      <w:rPr>
        <w:rFonts w:hint="default"/>
        <w:lang w:val="en-US" w:eastAsia="en-US" w:bidi="ar-SA"/>
      </w:rPr>
    </w:lvl>
  </w:abstractNum>
  <w:abstractNum w:abstractNumId="82" w15:restartNumberingAfterBreak="0">
    <w:nsid w:val="71604D69"/>
    <w:multiLevelType w:val="hybridMultilevel"/>
    <w:tmpl w:val="DDBACB7A"/>
    <w:lvl w:ilvl="0" w:tplc="809EC676">
      <w:numFmt w:val="bullet"/>
      <w:lvlText w:val="-"/>
      <w:lvlJc w:val="left"/>
      <w:pPr>
        <w:ind w:left="420" w:hanging="220"/>
      </w:pPr>
      <w:rPr>
        <w:rFonts w:ascii="MS Gothic" w:eastAsia="MS Gothic" w:hAnsi="MS Gothic" w:cs="MS Gothic" w:hint="default"/>
        <w:color w:val="333333"/>
        <w:w w:val="100"/>
        <w:sz w:val="22"/>
        <w:szCs w:val="22"/>
        <w:lang w:val="en-US" w:eastAsia="en-US" w:bidi="ar-SA"/>
      </w:rPr>
    </w:lvl>
    <w:lvl w:ilvl="1" w:tplc="276EE8F6">
      <w:numFmt w:val="bullet"/>
      <w:lvlText w:val="-"/>
      <w:lvlJc w:val="left"/>
      <w:pPr>
        <w:ind w:left="640" w:hanging="220"/>
      </w:pPr>
      <w:rPr>
        <w:rFonts w:ascii="MS Gothic" w:eastAsia="MS Gothic" w:hAnsi="MS Gothic" w:cs="MS Gothic" w:hint="default"/>
        <w:color w:val="333333"/>
        <w:w w:val="100"/>
        <w:sz w:val="22"/>
        <w:szCs w:val="22"/>
        <w:lang w:val="en-US" w:eastAsia="en-US" w:bidi="ar-SA"/>
      </w:rPr>
    </w:lvl>
    <w:lvl w:ilvl="2" w:tplc="C3C84EAA">
      <w:numFmt w:val="bullet"/>
      <w:lvlText w:val="•"/>
      <w:lvlJc w:val="left"/>
      <w:pPr>
        <w:ind w:left="1673" w:hanging="220"/>
      </w:pPr>
      <w:rPr>
        <w:rFonts w:hint="default"/>
        <w:lang w:val="en-US" w:eastAsia="en-US" w:bidi="ar-SA"/>
      </w:rPr>
    </w:lvl>
    <w:lvl w:ilvl="3" w:tplc="5150E74A">
      <w:numFmt w:val="bullet"/>
      <w:lvlText w:val="•"/>
      <w:lvlJc w:val="left"/>
      <w:pPr>
        <w:ind w:left="2706" w:hanging="220"/>
      </w:pPr>
      <w:rPr>
        <w:rFonts w:hint="default"/>
        <w:lang w:val="en-US" w:eastAsia="en-US" w:bidi="ar-SA"/>
      </w:rPr>
    </w:lvl>
    <w:lvl w:ilvl="4" w:tplc="82C8C642">
      <w:numFmt w:val="bullet"/>
      <w:lvlText w:val="•"/>
      <w:lvlJc w:val="left"/>
      <w:pPr>
        <w:ind w:left="3739" w:hanging="220"/>
      </w:pPr>
      <w:rPr>
        <w:rFonts w:hint="default"/>
        <w:lang w:val="en-US" w:eastAsia="en-US" w:bidi="ar-SA"/>
      </w:rPr>
    </w:lvl>
    <w:lvl w:ilvl="5" w:tplc="648A9D90">
      <w:numFmt w:val="bullet"/>
      <w:lvlText w:val="•"/>
      <w:lvlJc w:val="left"/>
      <w:pPr>
        <w:ind w:left="4772" w:hanging="220"/>
      </w:pPr>
      <w:rPr>
        <w:rFonts w:hint="default"/>
        <w:lang w:val="en-US" w:eastAsia="en-US" w:bidi="ar-SA"/>
      </w:rPr>
    </w:lvl>
    <w:lvl w:ilvl="6" w:tplc="37701C94">
      <w:numFmt w:val="bullet"/>
      <w:lvlText w:val="•"/>
      <w:lvlJc w:val="left"/>
      <w:pPr>
        <w:ind w:left="5805" w:hanging="220"/>
      </w:pPr>
      <w:rPr>
        <w:rFonts w:hint="default"/>
        <w:lang w:val="en-US" w:eastAsia="en-US" w:bidi="ar-SA"/>
      </w:rPr>
    </w:lvl>
    <w:lvl w:ilvl="7" w:tplc="CC40548C">
      <w:numFmt w:val="bullet"/>
      <w:lvlText w:val="•"/>
      <w:lvlJc w:val="left"/>
      <w:pPr>
        <w:ind w:left="6838" w:hanging="220"/>
      </w:pPr>
      <w:rPr>
        <w:rFonts w:hint="default"/>
        <w:lang w:val="en-US" w:eastAsia="en-US" w:bidi="ar-SA"/>
      </w:rPr>
    </w:lvl>
    <w:lvl w:ilvl="8" w:tplc="E3A6D4D0">
      <w:numFmt w:val="bullet"/>
      <w:lvlText w:val="•"/>
      <w:lvlJc w:val="left"/>
      <w:pPr>
        <w:ind w:left="7871" w:hanging="220"/>
      </w:pPr>
      <w:rPr>
        <w:rFonts w:hint="default"/>
        <w:lang w:val="en-US" w:eastAsia="en-US" w:bidi="ar-SA"/>
      </w:rPr>
    </w:lvl>
  </w:abstractNum>
  <w:abstractNum w:abstractNumId="83" w15:restartNumberingAfterBreak="0">
    <w:nsid w:val="749C5DC3"/>
    <w:multiLevelType w:val="hybridMultilevel"/>
    <w:tmpl w:val="A426E6D0"/>
    <w:lvl w:ilvl="0" w:tplc="51FCB3D4">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735616AC">
      <w:numFmt w:val="bullet"/>
      <w:lvlText w:val="•"/>
      <w:lvlJc w:val="left"/>
      <w:pPr>
        <w:ind w:left="1454" w:hanging="188"/>
      </w:pPr>
      <w:rPr>
        <w:rFonts w:hint="default"/>
        <w:lang w:val="en-US" w:eastAsia="en-US" w:bidi="ar-SA"/>
      </w:rPr>
    </w:lvl>
    <w:lvl w:ilvl="2" w:tplc="2BCED53E">
      <w:numFmt w:val="bullet"/>
      <w:lvlText w:val="•"/>
      <w:lvlJc w:val="left"/>
      <w:pPr>
        <w:ind w:left="2429" w:hanging="188"/>
      </w:pPr>
      <w:rPr>
        <w:rFonts w:hint="default"/>
        <w:lang w:val="en-US" w:eastAsia="en-US" w:bidi="ar-SA"/>
      </w:rPr>
    </w:lvl>
    <w:lvl w:ilvl="3" w:tplc="3F120C4A">
      <w:numFmt w:val="bullet"/>
      <w:lvlText w:val="•"/>
      <w:lvlJc w:val="left"/>
      <w:pPr>
        <w:ind w:left="3403" w:hanging="188"/>
      </w:pPr>
      <w:rPr>
        <w:rFonts w:hint="default"/>
        <w:lang w:val="en-US" w:eastAsia="en-US" w:bidi="ar-SA"/>
      </w:rPr>
    </w:lvl>
    <w:lvl w:ilvl="4" w:tplc="C7F0DC6A">
      <w:numFmt w:val="bullet"/>
      <w:lvlText w:val="•"/>
      <w:lvlJc w:val="left"/>
      <w:pPr>
        <w:ind w:left="4378" w:hanging="188"/>
      </w:pPr>
      <w:rPr>
        <w:rFonts w:hint="default"/>
        <w:lang w:val="en-US" w:eastAsia="en-US" w:bidi="ar-SA"/>
      </w:rPr>
    </w:lvl>
    <w:lvl w:ilvl="5" w:tplc="7EBC8906">
      <w:numFmt w:val="bullet"/>
      <w:lvlText w:val="•"/>
      <w:lvlJc w:val="left"/>
      <w:pPr>
        <w:ind w:left="5352" w:hanging="188"/>
      </w:pPr>
      <w:rPr>
        <w:rFonts w:hint="default"/>
        <w:lang w:val="en-US" w:eastAsia="en-US" w:bidi="ar-SA"/>
      </w:rPr>
    </w:lvl>
    <w:lvl w:ilvl="6" w:tplc="323E0544">
      <w:numFmt w:val="bullet"/>
      <w:lvlText w:val="•"/>
      <w:lvlJc w:val="left"/>
      <w:pPr>
        <w:ind w:left="6327" w:hanging="188"/>
      </w:pPr>
      <w:rPr>
        <w:rFonts w:hint="default"/>
        <w:lang w:val="en-US" w:eastAsia="en-US" w:bidi="ar-SA"/>
      </w:rPr>
    </w:lvl>
    <w:lvl w:ilvl="7" w:tplc="47DE6C66">
      <w:numFmt w:val="bullet"/>
      <w:lvlText w:val="•"/>
      <w:lvlJc w:val="left"/>
      <w:pPr>
        <w:ind w:left="7301" w:hanging="188"/>
      </w:pPr>
      <w:rPr>
        <w:rFonts w:hint="default"/>
        <w:lang w:val="en-US" w:eastAsia="en-US" w:bidi="ar-SA"/>
      </w:rPr>
    </w:lvl>
    <w:lvl w:ilvl="8" w:tplc="05BA0F0E">
      <w:numFmt w:val="bullet"/>
      <w:lvlText w:val="•"/>
      <w:lvlJc w:val="left"/>
      <w:pPr>
        <w:ind w:left="8276" w:hanging="188"/>
      </w:pPr>
      <w:rPr>
        <w:rFonts w:hint="default"/>
        <w:lang w:val="en-US" w:eastAsia="en-US" w:bidi="ar-SA"/>
      </w:rPr>
    </w:lvl>
  </w:abstractNum>
  <w:abstractNum w:abstractNumId="84" w15:restartNumberingAfterBreak="0">
    <w:nsid w:val="75D12C21"/>
    <w:multiLevelType w:val="hybridMultilevel"/>
    <w:tmpl w:val="5358CD00"/>
    <w:lvl w:ilvl="0" w:tplc="3244DB06">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1B1ED1FA">
      <w:numFmt w:val="bullet"/>
      <w:lvlText w:val="•"/>
      <w:lvlJc w:val="left"/>
      <w:pPr>
        <w:ind w:left="1454" w:hanging="188"/>
      </w:pPr>
      <w:rPr>
        <w:rFonts w:hint="default"/>
        <w:lang w:val="en-US" w:eastAsia="en-US" w:bidi="ar-SA"/>
      </w:rPr>
    </w:lvl>
    <w:lvl w:ilvl="2" w:tplc="F8BC0612">
      <w:numFmt w:val="bullet"/>
      <w:lvlText w:val="•"/>
      <w:lvlJc w:val="left"/>
      <w:pPr>
        <w:ind w:left="2429" w:hanging="188"/>
      </w:pPr>
      <w:rPr>
        <w:rFonts w:hint="default"/>
        <w:lang w:val="en-US" w:eastAsia="en-US" w:bidi="ar-SA"/>
      </w:rPr>
    </w:lvl>
    <w:lvl w:ilvl="3" w:tplc="5CF6C758">
      <w:numFmt w:val="bullet"/>
      <w:lvlText w:val="•"/>
      <w:lvlJc w:val="left"/>
      <w:pPr>
        <w:ind w:left="3403" w:hanging="188"/>
      </w:pPr>
      <w:rPr>
        <w:rFonts w:hint="default"/>
        <w:lang w:val="en-US" w:eastAsia="en-US" w:bidi="ar-SA"/>
      </w:rPr>
    </w:lvl>
    <w:lvl w:ilvl="4" w:tplc="028E3E6C">
      <w:numFmt w:val="bullet"/>
      <w:lvlText w:val="•"/>
      <w:lvlJc w:val="left"/>
      <w:pPr>
        <w:ind w:left="4378" w:hanging="188"/>
      </w:pPr>
      <w:rPr>
        <w:rFonts w:hint="default"/>
        <w:lang w:val="en-US" w:eastAsia="en-US" w:bidi="ar-SA"/>
      </w:rPr>
    </w:lvl>
    <w:lvl w:ilvl="5" w:tplc="0E4244BC">
      <w:numFmt w:val="bullet"/>
      <w:lvlText w:val="•"/>
      <w:lvlJc w:val="left"/>
      <w:pPr>
        <w:ind w:left="5352" w:hanging="188"/>
      </w:pPr>
      <w:rPr>
        <w:rFonts w:hint="default"/>
        <w:lang w:val="en-US" w:eastAsia="en-US" w:bidi="ar-SA"/>
      </w:rPr>
    </w:lvl>
    <w:lvl w:ilvl="6" w:tplc="59103580">
      <w:numFmt w:val="bullet"/>
      <w:lvlText w:val="•"/>
      <w:lvlJc w:val="left"/>
      <w:pPr>
        <w:ind w:left="6327" w:hanging="188"/>
      </w:pPr>
      <w:rPr>
        <w:rFonts w:hint="default"/>
        <w:lang w:val="en-US" w:eastAsia="en-US" w:bidi="ar-SA"/>
      </w:rPr>
    </w:lvl>
    <w:lvl w:ilvl="7" w:tplc="E5FED47E">
      <w:numFmt w:val="bullet"/>
      <w:lvlText w:val="•"/>
      <w:lvlJc w:val="left"/>
      <w:pPr>
        <w:ind w:left="7301" w:hanging="188"/>
      </w:pPr>
      <w:rPr>
        <w:rFonts w:hint="default"/>
        <w:lang w:val="en-US" w:eastAsia="en-US" w:bidi="ar-SA"/>
      </w:rPr>
    </w:lvl>
    <w:lvl w:ilvl="8" w:tplc="A620AA10">
      <w:numFmt w:val="bullet"/>
      <w:lvlText w:val="•"/>
      <w:lvlJc w:val="left"/>
      <w:pPr>
        <w:ind w:left="8276" w:hanging="188"/>
      </w:pPr>
      <w:rPr>
        <w:rFonts w:hint="default"/>
        <w:lang w:val="en-US" w:eastAsia="en-US" w:bidi="ar-SA"/>
      </w:rPr>
    </w:lvl>
  </w:abstractNum>
  <w:abstractNum w:abstractNumId="85" w15:restartNumberingAfterBreak="0">
    <w:nsid w:val="79DD56A5"/>
    <w:multiLevelType w:val="hybridMultilevel"/>
    <w:tmpl w:val="59F690A0"/>
    <w:lvl w:ilvl="0" w:tplc="D96A4330">
      <w:numFmt w:val="bullet"/>
      <w:lvlText w:val="&gt;"/>
      <w:lvlJc w:val="left"/>
      <w:pPr>
        <w:ind w:left="420" w:hanging="220"/>
      </w:pPr>
      <w:rPr>
        <w:rFonts w:ascii="MS Gothic" w:eastAsia="MS Gothic" w:hAnsi="MS Gothic" w:cs="MS Gothic" w:hint="default"/>
        <w:color w:val="333333"/>
        <w:w w:val="100"/>
        <w:sz w:val="22"/>
        <w:szCs w:val="22"/>
        <w:lang w:val="en-US" w:eastAsia="en-US" w:bidi="ar-SA"/>
      </w:rPr>
    </w:lvl>
    <w:lvl w:ilvl="1" w:tplc="095A0B26">
      <w:numFmt w:val="bullet"/>
      <w:lvlText w:val="•"/>
      <w:lvlJc w:val="left"/>
      <w:pPr>
        <w:ind w:left="1371" w:hanging="220"/>
      </w:pPr>
      <w:rPr>
        <w:rFonts w:hint="default"/>
        <w:lang w:val="en-US" w:eastAsia="en-US" w:bidi="ar-SA"/>
      </w:rPr>
    </w:lvl>
    <w:lvl w:ilvl="2" w:tplc="EA742984">
      <w:numFmt w:val="bullet"/>
      <w:lvlText w:val="•"/>
      <w:lvlJc w:val="left"/>
      <w:pPr>
        <w:ind w:left="2323" w:hanging="220"/>
      </w:pPr>
      <w:rPr>
        <w:rFonts w:hint="default"/>
        <w:lang w:val="en-US" w:eastAsia="en-US" w:bidi="ar-SA"/>
      </w:rPr>
    </w:lvl>
    <w:lvl w:ilvl="3" w:tplc="0C522B04">
      <w:numFmt w:val="bullet"/>
      <w:lvlText w:val="•"/>
      <w:lvlJc w:val="left"/>
      <w:pPr>
        <w:ind w:left="3275" w:hanging="220"/>
      </w:pPr>
      <w:rPr>
        <w:rFonts w:hint="default"/>
        <w:lang w:val="en-US" w:eastAsia="en-US" w:bidi="ar-SA"/>
      </w:rPr>
    </w:lvl>
    <w:lvl w:ilvl="4" w:tplc="9E8CD29C">
      <w:numFmt w:val="bullet"/>
      <w:lvlText w:val="•"/>
      <w:lvlJc w:val="left"/>
      <w:pPr>
        <w:ind w:left="4227" w:hanging="220"/>
      </w:pPr>
      <w:rPr>
        <w:rFonts w:hint="default"/>
        <w:lang w:val="en-US" w:eastAsia="en-US" w:bidi="ar-SA"/>
      </w:rPr>
    </w:lvl>
    <w:lvl w:ilvl="5" w:tplc="65A00982">
      <w:numFmt w:val="bullet"/>
      <w:lvlText w:val="•"/>
      <w:lvlJc w:val="left"/>
      <w:pPr>
        <w:ind w:left="5178" w:hanging="220"/>
      </w:pPr>
      <w:rPr>
        <w:rFonts w:hint="default"/>
        <w:lang w:val="en-US" w:eastAsia="en-US" w:bidi="ar-SA"/>
      </w:rPr>
    </w:lvl>
    <w:lvl w:ilvl="6" w:tplc="0252725E">
      <w:numFmt w:val="bullet"/>
      <w:lvlText w:val="•"/>
      <w:lvlJc w:val="left"/>
      <w:pPr>
        <w:ind w:left="6130" w:hanging="220"/>
      </w:pPr>
      <w:rPr>
        <w:rFonts w:hint="default"/>
        <w:lang w:val="en-US" w:eastAsia="en-US" w:bidi="ar-SA"/>
      </w:rPr>
    </w:lvl>
    <w:lvl w:ilvl="7" w:tplc="EB247338">
      <w:numFmt w:val="bullet"/>
      <w:lvlText w:val="•"/>
      <w:lvlJc w:val="left"/>
      <w:pPr>
        <w:ind w:left="7082" w:hanging="220"/>
      </w:pPr>
      <w:rPr>
        <w:rFonts w:hint="default"/>
        <w:lang w:val="en-US" w:eastAsia="en-US" w:bidi="ar-SA"/>
      </w:rPr>
    </w:lvl>
    <w:lvl w:ilvl="8" w:tplc="D068BD6C">
      <w:numFmt w:val="bullet"/>
      <w:lvlText w:val="•"/>
      <w:lvlJc w:val="left"/>
      <w:pPr>
        <w:ind w:left="8034" w:hanging="220"/>
      </w:pPr>
      <w:rPr>
        <w:rFonts w:hint="default"/>
        <w:lang w:val="en-US" w:eastAsia="en-US" w:bidi="ar-SA"/>
      </w:rPr>
    </w:lvl>
  </w:abstractNum>
  <w:abstractNum w:abstractNumId="86" w15:restartNumberingAfterBreak="0">
    <w:nsid w:val="7E34559D"/>
    <w:multiLevelType w:val="hybridMultilevel"/>
    <w:tmpl w:val="66727884"/>
    <w:lvl w:ilvl="0" w:tplc="BA80769A">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5EEABD5E">
      <w:numFmt w:val="bullet"/>
      <w:lvlText w:val="•"/>
      <w:lvlJc w:val="left"/>
      <w:pPr>
        <w:ind w:left="1454" w:hanging="188"/>
      </w:pPr>
      <w:rPr>
        <w:rFonts w:hint="default"/>
        <w:lang w:val="en-US" w:eastAsia="en-US" w:bidi="ar-SA"/>
      </w:rPr>
    </w:lvl>
    <w:lvl w:ilvl="2" w:tplc="733C34BA">
      <w:numFmt w:val="bullet"/>
      <w:lvlText w:val="•"/>
      <w:lvlJc w:val="left"/>
      <w:pPr>
        <w:ind w:left="2429" w:hanging="188"/>
      </w:pPr>
      <w:rPr>
        <w:rFonts w:hint="default"/>
        <w:lang w:val="en-US" w:eastAsia="en-US" w:bidi="ar-SA"/>
      </w:rPr>
    </w:lvl>
    <w:lvl w:ilvl="3" w:tplc="52C6DF20">
      <w:numFmt w:val="bullet"/>
      <w:lvlText w:val="•"/>
      <w:lvlJc w:val="left"/>
      <w:pPr>
        <w:ind w:left="3403" w:hanging="188"/>
      </w:pPr>
      <w:rPr>
        <w:rFonts w:hint="default"/>
        <w:lang w:val="en-US" w:eastAsia="en-US" w:bidi="ar-SA"/>
      </w:rPr>
    </w:lvl>
    <w:lvl w:ilvl="4" w:tplc="76CA8C50">
      <w:numFmt w:val="bullet"/>
      <w:lvlText w:val="•"/>
      <w:lvlJc w:val="left"/>
      <w:pPr>
        <w:ind w:left="4378" w:hanging="188"/>
      </w:pPr>
      <w:rPr>
        <w:rFonts w:hint="default"/>
        <w:lang w:val="en-US" w:eastAsia="en-US" w:bidi="ar-SA"/>
      </w:rPr>
    </w:lvl>
    <w:lvl w:ilvl="5" w:tplc="43F43894">
      <w:numFmt w:val="bullet"/>
      <w:lvlText w:val="•"/>
      <w:lvlJc w:val="left"/>
      <w:pPr>
        <w:ind w:left="5352" w:hanging="188"/>
      </w:pPr>
      <w:rPr>
        <w:rFonts w:hint="default"/>
        <w:lang w:val="en-US" w:eastAsia="en-US" w:bidi="ar-SA"/>
      </w:rPr>
    </w:lvl>
    <w:lvl w:ilvl="6" w:tplc="D578F20C">
      <w:numFmt w:val="bullet"/>
      <w:lvlText w:val="•"/>
      <w:lvlJc w:val="left"/>
      <w:pPr>
        <w:ind w:left="6327" w:hanging="188"/>
      </w:pPr>
      <w:rPr>
        <w:rFonts w:hint="default"/>
        <w:lang w:val="en-US" w:eastAsia="en-US" w:bidi="ar-SA"/>
      </w:rPr>
    </w:lvl>
    <w:lvl w:ilvl="7" w:tplc="39A60CE4">
      <w:numFmt w:val="bullet"/>
      <w:lvlText w:val="•"/>
      <w:lvlJc w:val="left"/>
      <w:pPr>
        <w:ind w:left="7301" w:hanging="188"/>
      </w:pPr>
      <w:rPr>
        <w:rFonts w:hint="default"/>
        <w:lang w:val="en-US" w:eastAsia="en-US" w:bidi="ar-SA"/>
      </w:rPr>
    </w:lvl>
    <w:lvl w:ilvl="8" w:tplc="F12A8C8E">
      <w:numFmt w:val="bullet"/>
      <w:lvlText w:val="•"/>
      <w:lvlJc w:val="left"/>
      <w:pPr>
        <w:ind w:left="8276" w:hanging="188"/>
      </w:pPr>
      <w:rPr>
        <w:rFonts w:hint="default"/>
        <w:lang w:val="en-US" w:eastAsia="en-US" w:bidi="ar-SA"/>
      </w:rPr>
    </w:lvl>
  </w:abstractNum>
  <w:abstractNum w:abstractNumId="87" w15:restartNumberingAfterBreak="0">
    <w:nsid w:val="7E5B3496"/>
    <w:multiLevelType w:val="hybridMultilevel"/>
    <w:tmpl w:val="42007BBE"/>
    <w:lvl w:ilvl="0" w:tplc="A1D4BB7A">
      <w:start w:val="5"/>
      <w:numFmt w:val="decimal"/>
      <w:lvlText w:val="%1"/>
      <w:lvlJc w:val="left"/>
      <w:pPr>
        <w:ind w:left="831" w:hanging="708"/>
      </w:pPr>
      <w:rPr>
        <w:rFonts w:hint="default"/>
        <w:lang w:val="en-US" w:eastAsia="en-US" w:bidi="ar-SA"/>
      </w:rPr>
    </w:lvl>
    <w:lvl w:ilvl="1" w:tplc="E9DA189A">
      <w:start w:val="1"/>
      <w:numFmt w:val="decimal"/>
      <w:lvlText w:val="%1.%2."/>
      <w:lvlJc w:val="left"/>
      <w:pPr>
        <w:ind w:left="831" w:hanging="708"/>
      </w:pPr>
      <w:rPr>
        <w:rFonts w:ascii="Palatino Linotype" w:eastAsia="Palatino Linotype" w:hAnsi="Palatino Linotype" w:cs="Palatino Linotype" w:hint="default"/>
        <w:b/>
        <w:bCs/>
        <w:color w:val="333333"/>
        <w:spacing w:val="-1"/>
        <w:w w:val="113"/>
        <w:sz w:val="36"/>
        <w:szCs w:val="36"/>
        <w:lang w:val="en-US" w:eastAsia="en-US" w:bidi="ar-SA"/>
      </w:rPr>
    </w:lvl>
    <w:lvl w:ilvl="2" w:tplc="0D1C6FE0">
      <w:start w:val="1"/>
      <w:numFmt w:val="decimal"/>
      <w:lvlText w:val="%1.%2.%3."/>
      <w:lvlJc w:val="left"/>
      <w:pPr>
        <w:ind w:left="857" w:hanging="733"/>
      </w:pPr>
      <w:rPr>
        <w:rFonts w:ascii="Palatino Linotype" w:eastAsia="Palatino Linotype" w:hAnsi="Palatino Linotype" w:cs="Palatino Linotype" w:hint="default"/>
        <w:b/>
        <w:bCs/>
        <w:color w:val="333333"/>
        <w:spacing w:val="-1"/>
        <w:w w:val="113"/>
        <w:sz w:val="26"/>
        <w:szCs w:val="26"/>
        <w:lang w:val="en-US" w:eastAsia="en-US" w:bidi="ar-SA"/>
      </w:rPr>
    </w:lvl>
    <w:lvl w:ilvl="3" w:tplc="80E8D608">
      <w:numFmt w:val="bullet"/>
      <w:lvlText w:val="•"/>
      <w:lvlJc w:val="left"/>
      <w:pPr>
        <w:ind w:left="484" w:hanging="188"/>
      </w:pPr>
      <w:rPr>
        <w:rFonts w:ascii="Cambria" w:eastAsia="Cambria" w:hAnsi="Cambria" w:cs="Cambria" w:hint="default"/>
        <w:color w:val="333333"/>
        <w:w w:val="81"/>
        <w:sz w:val="21"/>
        <w:szCs w:val="21"/>
        <w:lang w:val="en-US" w:eastAsia="en-US" w:bidi="ar-SA"/>
      </w:rPr>
    </w:lvl>
    <w:lvl w:ilvl="4" w:tplc="88F0C5E8">
      <w:numFmt w:val="bullet"/>
      <w:lvlText w:val="◦"/>
      <w:lvlJc w:val="left"/>
      <w:pPr>
        <w:ind w:left="844" w:hanging="186"/>
      </w:pPr>
      <w:rPr>
        <w:rFonts w:ascii="Cambria" w:eastAsia="Cambria" w:hAnsi="Cambria" w:cs="Cambria" w:hint="default"/>
        <w:color w:val="333333"/>
        <w:w w:val="42"/>
        <w:sz w:val="21"/>
        <w:szCs w:val="21"/>
        <w:lang w:val="en-US" w:eastAsia="en-US" w:bidi="ar-SA"/>
      </w:rPr>
    </w:lvl>
    <w:lvl w:ilvl="5" w:tplc="E4FE7896">
      <w:numFmt w:val="bullet"/>
      <w:lvlText w:val="•"/>
      <w:lvlJc w:val="left"/>
      <w:pPr>
        <w:ind w:left="3635" w:hanging="186"/>
      </w:pPr>
      <w:rPr>
        <w:rFonts w:hint="default"/>
        <w:lang w:val="en-US" w:eastAsia="en-US" w:bidi="ar-SA"/>
      </w:rPr>
    </w:lvl>
    <w:lvl w:ilvl="6" w:tplc="B7FE3A8E">
      <w:numFmt w:val="bullet"/>
      <w:lvlText w:val="•"/>
      <w:lvlJc w:val="left"/>
      <w:pPr>
        <w:ind w:left="4953" w:hanging="186"/>
      </w:pPr>
      <w:rPr>
        <w:rFonts w:hint="default"/>
        <w:lang w:val="en-US" w:eastAsia="en-US" w:bidi="ar-SA"/>
      </w:rPr>
    </w:lvl>
    <w:lvl w:ilvl="7" w:tplc="C30E6CAE">
      <w:numFmt w:val="bullet"/>
      <w:lvlText w:val="•"/>
      <w:lvlJc w:val="left"/>
      <w:pPr>
        <w:ind w:left="6271" w:hanging="186"/>
      </w:pPr>
      <w:rPr>
        <w:rFonts w:hint="default"/>
        <w:lang w:val="en-US" w:eastAsia="en-US" w:bidi="ar-SA"/>
      </w:rPr>
    </w:lvl>
    <w:lvl w:ilvl="8" w:tplc="DA4C257E">
      <w:numFmt w:val="bullet"/>
      <w:lvlText w:val="•"/>
      <w:lvlJc w:val="left"/>
      <w:pPr>
        <w:ind w:left="7589" w:hanging="186"/>
      </w:pPr>
      <w:rPr>
        <w:rFonts w:hint="default"/>
        <w:lang w:val="en-US" w:eastAsia="en-US" w:bidi="ar-SA"/>
      </w:rPr>
    </w:lvl>
  </w:abstractNum>
  <w:abstractNum w:abstractNumId="88" w15:restartNumberingAfterBreak="0">
    <w:nsid w:val="7E68386F"/>
    <w:multiLevelType w:val="hybridMultilevel"/>
    <w:tmpl w:val="6200F6D4"/>
    <w:lvl w:ilvl="0" w:tplc="CC66DF1A">
      <w:numFmt w:val="bullet"/>
      <w:lvlText w:val="•"/>
      <w:lvlJc w:val="left"/>
      <w:pPr>
        <w:ind w:left="484" w:hanging="188"/>
      </w:pPr>
      <w:rPr>
        <w:rFonts w:ascii="Cambria" w:eastAsia="Cambria" w:hAnsi="Cambria" w:cs="Cambria" w:hint="default"/>
        <w:color w:val="333333"/>
        <w:w w:val="81"/>
        <w:sz w:val="21"/>
        <w:szCs w:val="21"/>
        <w:lang w:val="en-US" w:eastAsia="en-US" w:bidi="ar-SA"/>
      </w:rPr>
    </w:lvl>
    <w:lvl w:ilvl="1" w:tplc="6EECDC2E">
      <w:numFmt w:val="bullet"/>
      <w:lvlText w:val="•"/>
      <w:lvlJc w:val="left"/>
      <w:pPr>
        <w:ind w:left="1454" w:hanging="188"/>
      </w:pPr>
      <w:rPr>
        <w:rFonts w:hint="default"/>
        <w:lang w:val="en-US" w:eastAsia="en-US" w:bidi="ar-SA"/>
      </w:rPr>
    </w:lvl>
    <w:lvl w:ilvl="2" w:tplc="8138BA14">
      <w:numFmt w:val="bullet"/>
      <w:lvlText w:val="•"/>
      <w:lvlJc w:val="left"/>
      <w:pPr>
        <w:ind w:left="2429" w:hanging="188"/>
      </w:pPr>
      <w:rPr>
        <w:rFonts w:hint="default"/>
        <w:lang w:val="en-US" w:eastAsia="en-US" w:bidi="ar-SA"/>
      </w:rPr>
    </w:lvl>
    <w:lvl w:ilvl="3" w:tplc="082E33F8">
      <w:numFmt w:val="bullet"/>
      <w:lvlText w:val="•"/>
      <w:lvlJc w:val="left"/>
      <w:pPr>
        <w:ind w:left="3403" w:hanging="188"/>
      </w:pPr>
      <w:rPr>
        <w:rFonts w:hint="default"/>
        <w:lang w:val="en-US" w:eastAsia="en-US" w:bidi="ar-SA"/>
      </w:rPr>
    </w:lvl>
    <w:lvl w:ilvl="4" w:tplc="22A44EE0">
      <w:numFmt w:val="bullet"/>
      <w:lvlText w:val="•"/>
      <w:lvlJc w:val="left"/>
      <w:pPr>
        <w:ind w:left="4378" w:hanging="188"/>
      </w:pPr>
      <w:rPr>
        <w:rFonts w:hint="default"/>
        <w:lang w:val="en-US" w:eastAsia="en-US" w:bidi="ar-SA"/>
      </w:rPr>
    </w:lvl>
    <w:lvl w:ilvl="5" w:tplc="3D86B60C">
      <w:numFmt w:val="bullet"/>
      <w:lvlText w:val="•"/>
      <w:lvlJc w:val="left"/>
      <w:pPr>
        <w:ind w:left="5352" w:hanging="188"/>
      </w:pPr>
      <w:rPr>
        <w:rFonts w:hint="default"/>
        <w:lang w:val="en-US" w:eastAsia="en-US" w:bidi="ar-SA"/>
      </w:rPr>
    </w:lvl>
    <w:lvl w:ilvl="6" w:tplc="5742140A">
      <w:numFmt w:val="bullet"/>
      <w:lvlText w:val="•"/>
      <w:lvlJc w:val="left"/>
      <w:pPr>
        <w:ind w:left="6327" w:hanging="188"/>
      </w:pPr>
      <w:rPr>
        <w:rFonts w:hint="default"/>
        <w:lang w:val="en-US" w:eastAsia="en-US" w:bidi="ar-SA"/>
      </w:rPr>
    </w:lvl>
    <w:lvl w:ilvl="7" w:tplc="31026E3C">
      <w:numFmt w:val="bullet"/>
      <w:lvlText w:val="•"/>
      <w:lvlJc w:val="left"/>
      <w:pPr>
        <w:ind w:left="7301" w:hanging="188"/>
      </w:pPr>
      <w:rPr>
        <w:rFonts w:hint="default"/>
        <w:lang w:val="en-US" w:eastAsia="en-US" w:bidi="ar-SA"/>
      </w:rPr>
    </w:lvl>
    <w:lvl w:ilvl="8" w:tplc="5AC255DC">
      <w:numFmt w:val="bullet"/>
      <w:lvlText w:val="•"/>
      <w:lvlJc w:val="left"/>
      <w:pPr>
        <w:ind w:left="8276" w:hanging="188"/>
      </w:pPr>
      <w:rPr>
        <w:rFonts w:hint="default"/>
        <w:lang w:val="en-US" w:eastAsia="en-US" w:bidi="ar-SA"/>
      </w:rPr>
    </w:lvl>
  </w:abstractNum>
  <w:num w:numId="1">
    <w:abstractNumId w:val="35"/>
  </w:num>
  <w:num w:numId="2">
    <w:abstractNumId w:val="49"/>
  </w:num>
  <w:num w:numId="3">
    <w:abstractNumId w:val="82"/>
  </w:num>
  <w:num w:numId="4">
    <w:abstractNumId w:val="55"/>
  </w:num>
  <w:num w:numId="5">
    <w:abstractNumId w:val="47"/>
  </w:num>
  <w:num w:numId="6">
    <w:abstractNumId w:val="9"/>
  </w:num>
  <w:num w:numId="7">
    <w:abstractNumId w:val="50"/>
  </w:num>
  <w:num w:numId="8">
    <w:abstractNumId w:val="11"/>
  </w:num>
  <w:num w:numId="9">
    <w:abstractNumId w:val="73"/>
  </w:num>
  <w:num w:numId="10">
    <w:abstractNumId w:val="12"/>
  </w:num>
  <w:num w:numId="11">
    <w:abstractNumId w:val="7"/>
  </w:num>
  <w:num w:numId="12">
    <w:abstractNumId w:val="14"/>
  </w:num>
  <w:num w:numId="13">
    <w:abstractNumId w:val="10"/>
  </w:num>
  <w:num w:numId="14">
    <w:abstractNumId w:val="54"/>
  </w:num>
  <w:num w:numId="15">
    <w:abstractNumId w:val="80"/>
  </w:num>
  <w:num w:numId="16">
    <w:abstractNumId w:val="60"/>
  </w:num>
  <w:num w:numId="17">
    <w:abstractNumId w:val="43"/>
  </w:num>
  <w:num w:numId="18">
    <w:abstractNumId w:val="61"/>
  </w:num>
  <w:num w:numId="19">
    <w:abstractNumId w:val="36"/>
  </w:num>
  <w:num w:numId="20">
    <w:abstractNumId w:val="0"/>
  </w:num>
  <w:num w:numId="21">
    <w:abstractNumId w:val="25"/>
  </w:num>
  <w:num w:numId="22">
    <w:abstractNumId w:val="40"/>
  </w:num>
  <w:num w:numId="23">
    <w:abstractNumId w:val="69"/>
  </w:num>
  <w:num w:numId="24">
    <w:abstractNumId w:val="87"/>
  </w:num>
  <w:num w:numId="25">
    <w:abstractNumId w:val="58"/>
  </w:num>
  <w:num w:numId="26">
    <w:abstractNumId w:val="6"/>
  </w:num>
  <w:num w:numId="27">
    <w:abstractNumId w:val="56"/>
  </w:num>
  <w:num w:numId="28">
    <w:abstractNumId w:val="78"/>
  </w:num>
  <w:num w:numId="29">
    <w:abstractNumId w:val="71"/>
  </w:num>
  <w:num w:numId="30">
    <w:abstractNumId w:val="4"/>
  </w:num>
  <w:num w:numId="31">
    <w:abstractNumId w:val="8"/>
  </w:num>
  <w:num w:numId="32">
    <w:abstractNumId w:val="88"/>
  </w:num>
  <w:num w:numId="33">
    <w:abstractNumId w:val="29"/>
  </w:num>
  <w:num w:numId="34">
    <w:abstractNumId w:val="26"/>
  </w:num>
  <w:num w:numId="35">
    <w:abstractNumId w:val="72"/>
  </w:num>
  <w:num w:numId="36">
    <w:abstractNumId w:val="86"/>
  </w:num>
  <w:num w:numId="37">
    <w:abstractNumId w:val="51"/>
  </w:num>
  <w:num w:numId="38">
    <w:abstractNumId w:val="64"/>
  </w:num>
  <w:num w:numId="39">
    <w:abstractNumId w:val="22"/>
  </w:num>
  <w:num w:numId="40">
    <w:abstractNumId w:val="48"/>
  </w:num>
  <w:num w:numId="41">
    <w:abstractNumId w:val="53"/>
  </w:num>
  <w:num w:numId="42">
    <w:abstractNumId w:val="75"/>
  </w:num>
  <w:num w:numId="43">
    <w:abstractNumId w:val="57"/>
  </w:num>
  <w:num w:numId="44">
    <w:abstractNumId w:val="84"/>
  </w:num>
  <w:num w:numId="45">
    <w:abstractNumId w:val="52"/>
  </w:num>
  <w:num w:numId="46">
    <w:abstractNumId w:val="13"/>
  </w:num>
  <w:num w:numId="47">
    <w:abstractNumId w:val="2"/>
  </w:num>
  <w:num w:numId="48">
    <w:abstractNumId w:val="33"/>
  </w:num>
  <w:num w:numId="49">
    <w:abstractNumId w:val="63"/>
  </w:num>
  <w:num w:numId="50">
    <w:abstractNumId w:val="3"/>
  </w:num>
  <w:num w:numId="51">
    <w:abstractNumId w:val="23"/>
  </w:num>
  <w:num w:numId="52">
    <w:abstractNumId w:val="38"/>
  </w:num>
  <w:num w:numId="53">
    <w:abstractNumId w:val="17"/>
  </w:num>
  <w:num w:numId="54">
    <w:abstractNumId w:val="67"/>
  </w:num>
  <w:num w:numId="55">
    <w:abstractNumId w:val="83"/>
  </w:num>
  <w:num w:numId="56">
    <w:abstractNumId w:val="77"/>
  </w:num>
  <w:num w:numId="57">
    <w:abstractNumId w:val="30"/>
  </w:num>
  <w:num w:numId="58">
    <w:abstractNumId w:val="5"/>
  </w:num>
  <w:num w:numId="59">
    <w:abstractNumId w:val="79"/>
  </w:num>
  <w:num w:numId="60">
    <w:abstractNumId w:val="34"/>
  </w:num>
  <w:num w:numId="61">
    <w:abstractNumId w:val="21"/>
  </w:num>
  <w:num w:numId="62">
    <w:abstractNumId w:val="76"/>
  </w:num>
  <w:num w:numId="63">
    <w:abstractNumId w:val="59"/>
  </w:num>
  <w:num w:numId="64">
    <w:abstractNumId w:val="45"/>
  </w:num>
  <w:num w:numId="65">
    <w:abstractNumId w:val="70"/>
  </w:num>
  <w:num w:numId="66">
    <w:abstractNumId w:val="28"/>
  </w:num>
  <w:num w:numId="67">
    <w:abstractNumId w:val="41"/>
  </w:num>
  <w:num w:numId="68">
    <w:abstractNumId w:val="46"/>
  </w:num>
  <w:num w:numId="69">
    <w:abstractNumId w:val="74"/>
  </w:num>
  <w:num w:numId="70">
    <w:abstractNumId w:val="66"/>
  </w:num>
  <w:num w:numId="71">
    <w:abstractNumId w:val="27"/>
  </w:num>
  <w:num w:numId="72">
    <w:abstractNumId w:val="18"/>
  </w:num>
  <w:num w:numId="73">
    <w:abstractNumId w:val="20"/>
  </w:num>
  <w:num w:numId="74">
    <w:abstractNumId w:val="19"/>
  </w:num>
  <w:num w:numId="75">
    <w:abstractNumId w:val="85"/>
  </w:num>
  <w:num w:numId="76">
    <w:abstractNumId w:val="44"/>
  </w:num>
  <w:num w:numId="77">
    <w:abstractNumId w:val="62"/>
  </w:num>
  <w:num w:numId="78">
    <w:abstractNumId w:val="24"/>
  </w:num>
  <w:num w:numId="79">
    <w:abstractNumId w:val="15"/>
  </w:num>
  <w:num w:numId="80">
    <w:abstractNumId w:val="65"/>
  </w:num>
  <w:num w:numId="81">
    <w:abstractNumId w:val="32"/>
  </w:num>
  <w:num w:numId="82">
    <w:abstractNumId w:val="37"/>
  </w:num>
  <w:num w:numId="83">
    <w:abstractNumId w:val="1"/>
  </w:num>
  <w:num w:numId="84">
    <w:abstractNumId w:val="42"/>
  </w:num>
  <w:num w:numId="85">
    <w:abstractNumId w:val="81"/>
  </w:num>
  <w:num w:numId="86">
    <w:abstractNumId w:val="68"/>
  </w:num>
  <w:num w:numId="87">
    <w:abstractNumId w:val="31"/>
  </w:num>
  <w:num w:numId="88">
    <w:abstractNumId w:val="16"/>
  </w:num>
  <w:num w:numId="89">
    <w:abstractNumId w:val="3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郭 鹏飞">
    <w15:presenceInfo w15:providerId="Windows Live" w15:userId="8118a5017fa7ca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proofState w:grammar="clean"/>
  <w:defaultTabStop w:val="720"/>
  <w:evenAndOddHeaders/>
  <w:drawingGridHorizontalSpacing w:val="110"/>
  <w:displayHorizontalDrawingGridEvery w:val="2"/>
  <w:characterSpacingControl w:val="doNotCompress"/>
  <w:hdrShapeDefaults>
    <o:shapedefaults v:ext="edit" spidmax="5014"/>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720EB"/>
    <w:rsid w:val="00005BE8"/>
    <w:rsid w:val="00016FAE"/>
    <w:rsid w:val="00065B77"/>
    <w:rsid w:val="0013421A"/>
    <w:rsid w:val="001A5553"/>
    <w:rsid w:val="001C6941"/>
    <w:rsid w:val="002518B9"/>
    <w:rsid w:val="0027674C"/>
    <w:rsid w:val="00296E9F"/>
    <w:rsid w:val="002C0BDA"/>
    <w:rsid w:val="0030286B"/>
    <w:rsid w:val="0032366C"/>
    <w:rsid w:val="00350798"/>
    <w:rsid w:val="003849F7"/>
    <w:rsid w:val="0039743F"/>
    <w:rsid w:val="003C2149"/>
    <w:rsid w:val="003F130B"/>
    <w:rsid w:val="00424A0E"/>
    <w:rsid w:val="0046773D"/>
    <w:rsid w:val="004963CA"/>
    <w:rsid w:val="004D069C"/>
    <w:rsid w:val="004D6DFC"/>
    <w:rsid w:val="004F7836"/>
    <w:rsid w:val="00644352"/>
    <w:rsid w:val="00674C8D"/>
    <w:rsid w:val="006D16D8"/>
    <w:rsid w:val="00711A16"/>
    <w:rsid w:val="00723CB4"/>
    <w:rsid w:val="007B7F5E"/>
    <w:rsid w:val="007F1B99"/>
    <w:rsid w:val="008400B3"/>
    <w:rsid w:val="00900DC4"/>
    <w:rsid w:val="009A10FD"/>
    <w:rsid w:val="00A304BC"/>
    <w:rsid w:val="00A720EB"/>
    <w:rsid w:val="00AA68CA"/>
    <w:rsid w:val="00AC0560"/>
    <w:rsid w:val="00B17E77"/>
    <w:rsid w:val="00B2554B"/>
    <w:rsid w:val="00B25882"/>
    <w:rsid w:val="00B40570"/>
    <w:rsid w:val="00B86611"/>
    <w:rsid w:val="00B90707"/>
    <w:rsid w:val="00BB1F4A"/>
    <w:rsid w:val="00BC16E2"/>
    <w:rsid w:val="00BD3847"/>
    <w:rsid w:val="00C323C1"/>
    <w:rsid w:val="00CE34D9"/>
    <w:rsid w:val="00D26666"/>
    <w:rsid w:val="00D72310"/>
    <w:rsid w:val="00DC565C"/>
    <w:rsid w:val="00DF3D55"/>
    <w:rsid w:val="00E10349"/>
    <w:rsid w:val="00E35E96"/>
    <w:rsid w:val="00E47563"/>
    <w:rsid w:val="00EB2BC6"/>
    <w:rsid w:val="00EF0B6C"/>
    <w:rsid w:val="00F07C88"/>
    <w:rsid w:val="00F12BA8"/>
    <w:rsid w:val="00F2104C"/>
    <w:rsid w:val="00F60DFC"/>
    <w:rsid w:val="00F722CD"/>
    <w:rsid w:val="00F8381B"/>
    <w:rsid w:val="00F95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014"/>
    <o:shapelayout v:ext="edit">
      <o:idmap v:ext="edit" data="1,3,4"/>
    </o:shapelayout>
  </w:shapeDefaults>
  <w:decimalSymbol w:val="."/>
  <w:listSeparator w:val=","/>
  <w14:docId w14:val="7E31CD31"/>
  <w15:docId w15:val="{7AF1395C-CD3B-4DB6-93E9-F351A0CCC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mbria" w:eastAsia="Cambria" w:hAnsi="Cambria" w:cs="Cambria"/>
    </w:rPr>
  </w:style>
  <w:style w:type="paragraph" w:styleId="1">
    <w:name w:val="heading 1"/>
    <w:basedOn w:val="a"/>
    <w:uiPriority w:val="9"/>
    <w:qFormat/>
    <w:pPr>
      <w:spacing w:before="90"/>
      <w:ind w:left="124"/>
      <w:jc w:val="both"/>
      <w:outlineLvl w:val="0"/>
    </w:pPr>
    <w:rPr>
      <w:rFonts w:ascii="Palatino Linotype" w:eastAsia="Palatino Linotype" w:hAnsi="Palatino Linotype" w:cs="Palatino Linotype"/>
      <w:b/>
      <w:bCs/>
      <w:sz w:val="44"/>
      <w:szCs w:val="44"/>
    </w:rPr>
  </w:style>
  <w:style w:type="paragraph" w:styleId="2">
    <w:name w:val="heading 2"/>
    <w:basedOn w:val="a"/>
    <w:uiPriority w:val="9"/>
    <w:unhideWhenUsed/>
    <w:qFormat/>
    <w:pPr>
      <w:ind w:left="831" w:hanging="708"/>
      <w:outlineLvl w:val="1"/>
    </w:pPr>
    <w:rPr>
      <w:rFonts w:ascii="Palatino Linotype" w:eastAsia="Palatino Linotype" w:hAnsi="Palatino Linotype" w:cs="Palatino Linotype"/>
      <w:b/>
      <w:bCs/>
      <w:sz w:val="36"/>
      <w:szCs w:val="36"/>
    </w:rPr>
  </w:style>
  <w:style w:type="paragraph" w:styleId="3">
    <w:name w:val="heading 3"/>
    <w:basedOn w:val="a"/>
    <w:uiPriority w:val="9"/>
    <w:unhideWhenUsed/>
    <w:qFormat/>
    <w:pPr>
      <w:ind w:left="857" w:hanging="734"/>
      <w:outlineLvl w:val="2"/>
    </w:pPr>
    <w:rPr>
      <w:rFonts w:ascii="Palatino Linotype" w:eastAsia="Palatino Linotype" w:hAnsi="Palatino Linotype" w:cs="Palatino Linotype"/>
      <w:b/>
      <w:bCs/>
      <w:sz w:val="26"/>
      <w:szCs w:val="26"/>
    </w:rPr>
  </w:style>
  <w:style w:type="paragraph" w:styleId="4">
    <w:name w:val="heading 4"/>
    <w:basedOn w:val="a"/>
    <w:link w:val="40"/>
    <w:uiPriority w:val="9"/>
    <w:unhideWhenUsed/>
    <w:qFormat/>
    <w:pPr>
      <w:ind w:left="124"/>
      <w:jc w:val="both"/>
      <w:outlineLvl w:val="3"/>
    </w:pPr>
    <w:rPr>
      <w:rFonts w:ascii="Palatino Linotype" w:eastAsia="Palatino Linotype" w:hAnsi="Palatino Linotype" w:cs="Palatino Linotype"/>
      <w:b/>
      <w:b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27674C"/>
    <w:rPr>
      <w:rFonts w:ascii="Palatino Linotype" w:eastAsia="Palatino Linotype" w:hAnsi="Palatino Linotype" w:cs="Palatino Linotype"/>
      <w:b/>
      <w:bCs/>
      <w:sz w:val="21"/>
      <w:szCs w:val="21"/>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124"/>
      <w:ind w:left="349" w:hanging="226"/>
    </w:pPr>
    <w:rPr>
      <w:sz w:val="21"/>
      <w:szCs w:val="21"/>
    </w:rPr>
  </w:style>
  <w:style w:type="paragraph" w:styleId="TOC2">
    <w:name w:val="toc 2"/>
    <w:basedOn w:val="a"/>
    <w:uiPriority w:val="39"/>
    <w:qFormat/>
    <w:pPr>
      <w:spacing w:before="123"/>
      <w:ind w:left="758" w:hanging="395"/>
    </w:pPr>
    <w:rPr>
      <w:sz w:val="21"/>
      <w:szCs w:val="21"/>
    </w:rPr>
  </w:style>
  <w:style w:type="paragraph" w:styleId="TOC3">
    <w:name w:val="toc 3"/>
    <w:basedOn w:val="a"/>
    <w:uiPriority w:val="39"/>
    <w:qFormat/>
    <w:pPr>
      <w:spacing w:before="123"/>
      <w:ind w:left="1168" w:hanging="565"/>
    </w:pPr>
    <w:rPr>
      <w:sz w:val="21"/>
      <w:szCs w:val="21"/>
    </w:rPr>
  </w:style>
  <w:style w:type="paragraph" w:styleId="TOC4">
    <w:name w:val="toc 4"/>
    <w:basedOn w:val="a"/>
    <w:uiPriority w:val="39"/>
    <w:qFormat/>
    <w:pPr>
      <w:spacing w:before="123"/>
      <w:ind w:left="844"/>
    </w:pPr>
    <w:rPr>
      <w:sz w:val="21"/>
      <w:szCs w:val="21"/>
    </w:rPr>
  </w:style>
  <w:style w:type="paragraph" w:styleId="a3">
    <w:name w:val="Body Text"/>
    <w:basedOn w:val="a"/>
    <w:link w:val="a4"/>
    <w:uiPriority w:val="1"/>
    <w:qFormat/>
    <w:rPr>
      <w:sz w:val="21"/>
      <w:szCs w:val="21"/>
    </w:rPr>
  </w:style>
  <w:style w:type="character" w:customStyle="1" w:styleId="a4">
    <w:name w:val="正文文本 字符"/>
    <w:basedOn w:val="a0"/>
    <w:link w:val="a3"/>
    <w:uiPriority w:val="1"/>
    <w:rsid w:val="007B7F5E"/>
    <w:rPr>
      <w:rFonts w:ascii="Cambria" w:eastAsia="Cambria" w:hAnsi="Cambria" w:cs="Cambria"/>
      <w:sz w:val="21"/>
      <w:szCs w:val="21"/>
    </w:rPr>
  </w:style>
  <w:style w:type="paragraph" w:styleId="a5">
    <w:name w:val="Title"/>
    <w:basedOn w:val="a"/>
    <w:uiPriority w:val="10"/>
    <w:qFormat/>
    <w:pPr>
      <w:spacing w:before="164"/>
      <w:ind w:left="273"/>
    </w:pPr>
    <w:rPr>
      <w:sz w:val="54"/>
      <w:szCs w:val="54"/>
    </w:rPr>
  </w:style>
  <w:style w:type="paragraph" w:styleId="a6">
    <w:name w:val="List Paragraph"/>
    <w:basedOn w:val="a"/>
    <w:uiPriority w:val="1"/>
    <w:qFormat/>
    <w:pPr>
      <w:ind w:left="484" w:hanging="188"/>
    </w:pPr>
  </w:style>
  <w:style w:type="paragraph" w:customStyle="1" w:styleId="TableParagraph">
    <w:name w:val="Table Paragraph"/>
    <w:basedOn w:val="a"/>
    <w:uiPriority w:val="1"/>
    <w:qFormat/>
    <w:pPr>
      <w:spacing w:before="38"/>
      <w:ind w:left="60"/>
    </w:pPr>
    <w:rPr>
      <w:rFonts w:ascii="MS Gothic" w:eastAsia="MS Gothic" w:hAnsi="MS Gothic" w:cs="MS Gothic"/>
    </w:rPr>
  </w:style>
  <w:style w:type="paragraph" w:customStyle="1" w:styleId="machinetrans-lang-zh-cn">
    <w:name w:val="machinetrans-lang-zh-cn"/>
    <w:basedOn w:val="a"/>
    <w:rsid w:val="007B7F5E"/>
    <w:pPr>
      <w:widowControl/>
      <w:autoSpaceDE/>
      <w:autoSpaceDN/>
      <w:spacing w:before="100" w:beforeAutospacing="1" w:after="100" w:afterAutospacing="1"/>
    </w:pPr>
    <w:rPr>
      <w:rFonts w:ascii="宋体" w:eastAsia="宋体" w:hAnsi="宋体" w:cs="宋体"/>
      <w:sz w:val="24"/>
      <w:szCs w:val="24"/>
      <w:lang w:eastAsia="zh-CN"/>
    </w:rPr>
  </w:style>
  <w:style w:type="paragraph" w:customStyle="1" w:styleId="10">
    <w:name w:val="样式1"/>
    <w:basedOn w:val="a3"/>
    <w:link w:val="11"/>
    <w:qFormat/>
    <w:rsid w:val="0027674C"/>
    <w:pPr>
      <w:spacing w:before="254"/>
      <w:ind w:left="124"/>
    </w:pPr>
    <w:rPr>
      <w:rFonts w:ascii="宋体" w:eastAsia="宋体" w:hAnsi="宋体" w:cs="宋体"/>
      <w:color w:val="E36C0A" w:themeColor="accent6" w:themeShade="BF"/>
      <w:w w:val="110"/>
      <w:sz w:val="18"/>
      <w:szCs w:val="18"/>
      <w:lang w:eastAsia="zh-CN"/>
    </w:rPr>
  </w:style>
  <w:style w:type="character" w:customStyle="1" w:styleId="11">
    <w:name w:val="样式1 字符"/>
    <w:basedOn w:val="a4"/>
    <w:link w:val="10"/>
    <w:rsid w:val="0027674C"/>
    <w:rPr>
      <w:rFonts w:ascii="宋体" w:eastAsia="宋体" w:hAnsi="宋体" w:cs="宋体"/>
      <w:color w:val="E36C0A" w:themeColor="accent6" w:themeShade="BF"/>
      <w:w w:val="110"/>
      <w:sz w:val="18"/>
      <w:szCs w:val="18"/>
      <w:lang w:eastAsia="zh-CN"/>
    </w:rPr>
  </w:style>
  <w:style w:type="paragraph" w:customStyle="1" w:styleId="a7">
    <w:name w:val="啊标题"/>
    <w:basedOn w:val="4"/>
    <w:link w:val="a8"/>
    <w:qFormat/>
    <w:rsid w:val="0027674C"/>
    <w:pPr>
      <w:spacing w:before="86"/>
    </w:pPr>
    <w:rPr>
      <w:color w:val="E36C0A" w:themeColor="accent6" w:themeShade="BF"/>
      <w:w w:val="110"/>
    </w:rPr>
  </w:style>
  <w:style w:type="character" w:customStyle="1" w:styleId="a8">
    <w:name w:val="啊标题 字符"/>
    <w:basedOn w:val="40"/>
    <w:link w:val="a7"/>
    <w:rsid w:val="0027674C"/>
    <w:rPr>
      <w:rFonts w:ascii="Palatino Linotype" w:eastAsia="Palatino Linotype" w:hAnsi="Palatino Linotype" w:cs="Palatino Linotype"/>
      <w:b/>
      <w:bCs/>
      <w:color w:val="E36C0A" w:themeColor="accent6" w:themeShade="BF"/>
      <w:w w:val="110"/>
      <w:sz w:val="21"/>
      <w:szCs w:val="21"/>
    </w:rPr>
  </w:style>
  <w:style w:type="paragraph" w:styleId="TOC">
    <w:name w:val="TOC Heading"/>
    <w:basedOn w:val="1"/>
    <w:next w:val="a"/>
    <w:uiPriority w:val="39"/>
    <w:unhideWhenUsed/>
    <w:qFormat/>
    <w:rsid w:val="00E1034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eastAsia="zh-CN"/>
    </w:rPr>
  </w:style>
  <w:style w:type="character" w:styleId="a9">
    <w:name w:val="Hyperlink"/>
    <w:basedOn w:val="a0"/>
    <w:uiPriority w:val="99"/>
    <w:unhideWhenUsed/>
    <w:rsid w:val="00E10349"/>
    <w:rPr>
      <w:color w:val="0000FF" w:themeColor="hyperlink"/>
      <w:u w:val="single"/>
    </w:rPr>
  </w:style>
  <w:style w:type="character" w:styleId="aa">
    <w:name w:val="annotation reference"/>
    <w:basedOn w:val="a0"/>
    <w:uiPriority w:val="99"/>
    <w:semiHidden/>
    <w:unhideWhenUsed/>
    <w:rsid w:val="00DC565C"/>
    <w:rPr>
      <w:sz w:val="21"/>
      <w:szCs w:val="21"/>
    </w:rPr>
  </w:style>
  <w:style w:type="paragraph" w:styleId="ab">
    <w:name w:val="annotation text"/>
    <w:basedOn w:val="a"/>
    <w:link w:val="ac"/>
    <w:uiPriority w:val="99"/>
    <w:semiHidden/>
    <w:unhideWhenUsed/>
    <w:rsid w:val="00DC565C"/>
  </w:style>
  <w:style w:type="character" w:customStyle="1" w:styleId="ac">
    <w:name w:val="批注文字 字符"/>
    <w:basedOn w:val="a0"/>
    <w:link w:val="ab"/>
    <w:uiPriority w:val="99"/>
    <w:semiHidden/>
    <w:rsid w:val="00DC565C"/>
    <w:rPr>
      <w:rFonts w:ascii="Cambria" w:eastAsia="Cambria" w:hAnsi="Cambria" w:cs="Cambria"/>
    </w:rPr>
  </w:style>
  <w:style w:type="paragraph" w:styleId="ad">
    <w:name w:val="annotation subject"/>
    <w:basedOn w:val="ab"/>
    <w:next w:val="ab"/>
    <w:link w:val="ae"/>
    <w:uiPriority w:val="99"/>
    <w:semiHidden/>
    <w:unhideWhenUsed/>
    <w:rsid w:val="00DC565C"/>
    <w:rPr>
      <w:b/>
      <w:bCs/>
    </w:rPr>
  </w:style>
  <w:style w:type="character" w:customStyle="1" w:styleId="ae">
    <w:name w:val="批注主题 字符"/>
    <w:basedOn w:val="ac"/>
    <w:link w:val="ad"/>
    <w:uiPriority w:val="99"/>
    <w:semiHidden/>
    <w:rsid w:val="00DC565C"/>
    <w:rPr>
      <w:rFonts w:ascii="Cambria" w:eastAsia="Cambria" w:hAnsi="Cambria" w:cs="Cambria"/>
      <w:b/>
      <w:bCs/>
    </w:rPr>
  </w:style>
  <w:style w:type="paragraph" w:styleId="af">
    <w:name w:val="Balloon Text"/>
    <w:basedOn w:val="a"/>
    <w:link w:val="af0"/>
    <w:uiPriority w:val="99"/>
    <w:semiHidden/>
    <w:unhideWhenUsed/>
    <w:rsid w:val="00DC565C"/>
    <w:rPr>
      <w:sz w:val="18"/>
      <w:szCs w:val="18"/>
    </w:rPr>
  </w:style>
  <w:style w:type="character" w:customStyle="1" w:styleId="af0">
    <w:name w:val="批注框文本 字符"/>
    <w:basedOn w:val="a0"/>
    <w:link w:val="af"/>
    <w:uiPriority w:val="99"/>
    <w:semiHidden/>
    <w:rsid w:val="00DC565C"/>
    <w:rPr>
      <w:rFonts w:ascii="Cambria" w:eastAsia="Cambria" w:hAnsi="Cambria" w:cs="Cambr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38573">
      <w:bodyDiv w:val="1"/>
      <w:marLeft w:val="0"/>
      <w:marRight w:val="0"/>
      <w:marTop w:val="0"/>
      <w:marBottom w:val="0"/>
      <w:divBdr>
        <w:top w:val="none" w:sz="0" w:space="0" w:color="auto"/>
        <w:left w:val="none" w:sz="0" w:space="0" w:color="auto"/>
        <w:bottom w:val="none" w:sz="0" w:space="0" w:color="auto"/>
        <w:right w:val="none" w:sz="0" w:space="0" w:color="auto"/>
      </w:divBdr>
      <w:divsChild>
        <w:div w:id="743333851">
          <w:marLeft w:val="0"/>
          <w:marRight w:val="0"/>
          <w:marTop w:val="0"/>
          <w:marBottom w:val="0"/>
          <w:divBdr>
            <w:top w:val="none" w:sz="0" w:space="0" w:color="auto"/>
            <w:left w:val="none" w:sz="0" w:space="0" w:color="auto"/>
            <w:bottom w:val="none" w:sz="0" w:space="0" w:color="auto"/>
            <w:right w:val="none" w:sz="0" w:space="0" w:color="auto"/>
          </w:divBdr>
          <w:divsChild>
            <w:div w:id="831482205">
              <w:marLeft w:val="0"/>
              <w:marRight w:val="0"/>
              <w:marTop w:val="0"/>
              <w:marBottom w:val="0"/>
              <w:divBdr>
                <w:top w:val="none" w:sz="0" w:space="0" w:color="auto"/>
                <w:left w:val="none" w:sz="0" w:space="0" w:color="auto"/>
                <w:bottom w:val="none" w:sz="0" w:space="0" w:color="auto"/>
                <w:right w:val="none" w:sz="0" w:space="0" w:color="auto"/>
              </w:divBdr>
              <w:divsChild>
                <w:div w:id="848256955">
                  <w:marLeft w:val="0"/>
                  <w:marRight w:val="0"/>
                  <w:marTop w:val="0"/>
                  <w:marBottom w:val="0"/>
                  <w:divBdr>
                    <w:top w:val="none" w:sz="0" w:space="0" w:color="auto"/>
                    <w:left w:val="none" w:sz="0" w:space="0" w:color="auto"/>
                    <w:bottom w:val="none" w:sz="0" w:space="0" w:color="auto"/>
                    <w:right w:val="none" w:sz="0" w:space="0" w:color="auto"/>
                  </w:divBdr>
                  <w:divsChild>
                    <w:div w:id="2042319936">
                      <w:marLeft w:val="0"/>
                      <w:marRight w:val="0"/>
                      <w:marTop w:val="0"/>
                      <w:marBottom w:val="0"/>
                      <w:divBdr>
                        <w:top w:val="none" w:sz="0" w:space="0" w:color="auto"/>
                        <w:left w:val="none" w:sz="0" w:space="0" w:color="auto"/>
                        <w:bottom w:val="none" w:sz="0" w:space="0" w:color="auto"/>
                        <w:right w:val="none" w:sz="0" w:space="0" w:color="auto"/>
                      </w:divBdr>
                      <w:divsChild>
                        <w:div w:id="843394014">
                          <w:marLeft w:val="0"/>
                          <w:marRight w:val="0"/>
                          <w:marTop w:val="0"/>
                          <w:marBottom w:val="0"/>
                          <w:divBdr>
                            <w:top w:val="none" w:sz="0" w:space="0" w:color="auto"/>
                            <w:left w:val="none" w:sz="0" w:space="0" w:color="auto"/>
                            <w:bottom w:val="none" w:sz="0" w:space="0" w:color="auto"/>
                            <w:right w:val="none" w:sz="0" w:space="0" w:color="auto"/>
                          </w:divBdr>
                          <w:divsChild>
                            <w:div w:id="411583681">
                              <w:marLeft w:val="0"/>
                              <w:marRight w:val="0"/>
                              <w:marTop w:val="0"/>
                              <w:marBottom w:val="0"/>
                              <w:divBdr>
                                <w:top w:val="none" w:sz="0" w:space="0" w:color="auto"/>
                                <w:left w:val="none" w:sz="0" w:space="0" w:color="auto"/>
                                <w:bottom w:val="none" w:sz="0" w:space="0" w:color="auto"/>
                                <w:right w:val="none" w:sz="0" w:space="0" w:color="auto"/>
                              </w:divBdr>
                              <w:divsChild>
                                <w:div w:id="13997423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557133">
      <w:bodyDiv w:val="1"/>
      <w:marLeft w:val="0"/>
      <w:marRight w:val="0"/>
      <w:marTop w:val="0"/>
      <w:marBottom w:val="0"/>
      <w:divBdr>
        <w:top w:val="none" w:sz="0" w:space="0" w:color="auto"/>
        <w:left w:val="none" w:sz="0" w:space="0" w:color="auto"/>
        <w:bottom w:val="none" w:sz="0" w:space="0" w:color="auto"/>
        <w:right w:val="none" w:sz="0" w:space="0" w:color="auto"/>
      </w:divBdr>
      <w:divsChild>
        <w:div w:id="2125342219">
          <w:marLeft w:val="0"/>
          <w:marRight w:val="0"/>
          <w:marTop w:val="0"/>
          <w:marBottom w:val="0"/>
          <w:divBdr>
            <w:top w:val="none" w:sz="0" w:space="0" w:color="auto"/>
            <w:left w:val="none" w:sz="0" w:space="0" w:color="auto"/>
            <w:bottom w:val="none" w:sz="0" w:space="0" w:color="auto"/>
            <w:right w:val="none" w:sz="0" w:space="0" w:color="auto"/>
          </w:divBdr>
          <w:divsChild>
            <w:div w:id="995113654">
              <w:marLeft w:val="0"/>
              <w:marRight w:val="0"/>
              <w:marTop w:val="0"/>
              <w:marBottom w:val="0"/>
              <w:divBdr>
                <w:top w:val="none" w:sz="0" w:space="0" w:color="auto"/>
                <w:left w:val="none" w:sz="0" w:space="0" w:color="auto"/>
                <w:bottom w:val="none" w:sz="0" w:space="0" w:color="auto"/>
                <w:right w:val="none" w:sz="0" w:space="0" w:color="auto"/>
              </w:divBdr>
              <w:divsChild>
                <w:div w:id="652297559">
                  <w:marLeft w:val="0"/>
                  <w:marRight w:val="0"/>
                  <w:marTop w:val="0"/>
                  <w:marBottom w:val="0"/>
                  <w:divBdr>
                    <w:top w:val="none" w:sz="0" w:space="0" w:color="auto"/>
                    <w:left w:val="none" w:sz="0" w:space="0" w:color="auto"/>
                    <w:bottom w:val="none" w:sz="0" w:space="0" w:color="auto"/>
                    <w:right w:val="none" w:sz="0" w:space="0" w:color="auto"/>
                  </w:divBdr>
                  <w:divsChild>
                    <w:div w:id="1426078114">
                      <w:marLeft w:val="0"/>
                      <w:marRight w:val="0"/>
                      <w:marTop w:val="0"/>
                      <w:marBottom w:val="0"/>
                      <w:divBdr>
                        <w:top w:val="none" w:sz="0" w:space="0" w:color="auto"/>
                        <w:left w:val="none" w:sz="0" w:space="0" w:color="auto"/>
                        <w:bottom w:val="none" w:sz="0" w:space="0" w:color="auto"/>
                        <w:right w:val="none" w:sz="0" w:space="0" w:color="auto"/>
                      </w:divBdr>
                      <w:divsChild>
                        <w:div w:id="1695765058">
                          <w:marLeft w:val="0"/>
                          <w:marRight w:val="0"/>
                          <w:marTop w:val="0"/>
                          <w:marBottom w:val="0"/>
                          <w:divBdr>
                            <w:top w:val="none" w:sz="0" w:space="0" w:color="auto"/>
                            <w:left w:val="none" w:sz="0" w:space="0" w:color="auto"/>
                            <w:bottom w:val="none" w:sz="0" w:space="0" w:color="auto"/>
                            <w:right w:val="none" w:sz="0" w:space="0" w:color="auto"/>
                          </w:divBdr>
                          <w:divsChild>
                            <w:div w:id="332147354">
                              <w:marLeft w:val="0"/>
                              <w:marRight w:val="0"/>
                              <w:marTop w:val="0"/>
                              <w:marBottom w:val="0"/>
                              <w:divBdr>
                                <w:top w:val="none" w:sz="0" w:space="0" w:color="auto"/>
                                <w:left w:val="none" w:sz="0" w:space="0" w:color="auto"/>
                                <w:bottom w:val="none" w:sz="0" w:space="0" w:color="auto"/>
                                <w:right w:val="none" w:sz="0" w:space="0" w:color="auto"/>
                              </w:divBdr>
                              <w:divsChild>
                                <w:div w:id="110449257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875578">
      <w:bodyDiv w:val="1"/>
      <w:marLeft w:val="0"/>
      <w:marRight w:val="0"/>
      <w:marTop w:val="0"/>
      <w:marBottom w:val="0"/>
      <w:divBdr>
        <w:top w:val="none" w:sz="0" w:space="0" w:color="auto"/>
        <w:left w:val="none" w:sz="0" w:space="0" w:color="auto"/>
        <w:bottom w:val="none" w:sz="0" w:space="0" w:color="auto"/>
        <w:right w:val="none" w:sz="0" w:space="0" w:color="auto"/>
      </w:divBdr>
    </w:div>
    <w:div w:id="295140658">
      <w:bodyDiv w:val="1"/>
      <w:marLeft w:val="0"/>
      <w:marRight w:val="0"/>
      <w:marTop w:val="0"/>
      <w:marBottom w:val="0"/>
      <w:divBdr>
        <w:top w:val="none" w:sz="0" w:space="0" w:color="auto"/>
        <w:left w:val="none" w:sz="0" w:space="0" w:color="auto"/>
        <w:bottom w:val="none" w:sz="0" w:space="0" w:color="auto"/>
        <w:right w:val="none" w:sz="0" w:space="0" w:color="auto"/>
      </w:divBdr>
      <w:divsChild>
        <w:div w:id="598954784">
          <w:marLeft w:val="0"/>
          <w:marRight w:val="0"/>
          <w:marTop w:val="0"/>
          <w:marBottom w:val="0"/>
          <w:divBdr>
            <w:top w:val="none" w:sz="0" w:space="0" w:color="auto"/>
            <w:left w:val="none" w:sz="0" w:space="0" w:color="auto"/>
            <w:bottom w:val="none" w:sz="0" w:space="0" w:color="auto"/>
            <w:right w:val="none" w:sz="0" w:space="0" w:color="auto"/>
          </w:divBdr>
          <w:divsChild>
            <w:div w:id="259264687">
              <w:marLeft w:val="0"/>
              <w:marRight w:val="0"/>
              <w:marTop w:val="0"/>
              <w:marBottom w:val="0"/>
              <w:divBdr>
                <w:top w:val="none" w:sz="0" w:space="0" w:color="auto"/>
                <w:left w:val="none" w:sz="0" w:space="0" w:color="auto"/>
                <w:bottom w:val="none" w:sz="0" w:space="0" w:color="auto"/>
                <w:right w:val="none" w:sz="0" w:space="0" w:color="auto"/>
              </w:divBdr>
              <w:divsChild>
                <w:div w:id="1264067193">
                  <w:marLeft w:val="0"/>
                  <w:marRight w:val="0"/>
                  <w:marTop w:val="0"/>
                  <w:marBottom w:val="0"/>
                  <w:divBdr>
                    <w:top w:val="none" w:sz="0" w:space="0" w:color="auto"/>
                    <w:left w:val="none" w:sz="0" w:space="0" w:color="auto"/>
                    <w:bottom w:val="none" w:sz="0" w:space="0" w:color="auto"/>
                    <w:right w:val="none" w:sz="0" w:space="0" w:color="auto"/>
                  </w:divBdr>
                  <w:divsChild>
                    <w:div w:id="1821774424">
                      <w:marLeft w:val="0"/>
                      <w:marRight w:val="0"/>
                      <w:marTop w:val="0"/>
                      <w:marBottom w:val="0"/>
                      <w:divBdr>
                        <w:top w:val="none" w:sz="0" w:space="0" w:color="auto"/>
                        <w:left w:val="none" w:sz="0" w:space="0" w:color="auto"/>
                        <w:bottom w:val="none" w:sz="0" w:space="0" w:color="auto"/>
                        <w:right w:val="none" w:sz="0" w:space="0" w:color="auto"/>
                      </w:divBdr>
                      <w:divsChild>
                        <w:div w:id="1967662322">
                          <w:marLeft w:val="0"/>
                          <w:marRight w:val="0"/>
                          <w:marTop w:val="0"/>
                          <w:marBottom w:val="0"/>
                          <w:divBdr>
                            <w:top w:val="none" w:sz="0" w:space="0" w:color="auto"/>
                            <w:left w:val="none" w:sz="0" w:space="0" w:color="auto"/>
                            <w:bottom w:val="none" w:sz="0" w:space="0" w:color="auto"/>
                            <w:right w:val="none" w:sz="0" w:space="0" w:color="auto"/>
                          </w:divBdr>
                          <w:divsChild>
                            <w:div w:id="1172647982">
                              <w:marLeft w:val="0"/>
                              <w:marRight w:val="0"/>
                              <w:marTop w:val="0"/>
                              <w:marBottom w:val="0"/>
                              <w:divBdr>
                                <w:top w:val="none" w:sz="0" w:space="0" w:color="auto"/>
                                <w:left w:val="none" w:sz="0" w:space="0" w:color="auto"/>
                                <w:bottom w:val="none" w:sz="0" w:space="0" w:color="auto"/>
                                <w:right w:val="none" w:sz="0" w:space="0" w:color="auto"/>
                              </w:divBdr>
                              <w:divsChild>
                                <w:div w:id="13413951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494639">
      <w:bodyDiv w:val="1"/>
      <w:marLeft w:val="0"/>
      <w:marRight w:val="0"/>
      <w:marTop w:val="0"/>
      <w:marBottom w:val="0"/>
      <w:divBdr>
        <w:top w:val="none" w:sz="0" w:space="0" w:color="auto"/>
        <w:left w:val="none" w:sz="0" w:space="0" w:color="auto"/>
        <w:bottom w:val="none" w:sz="0" w:space="0" w:color="auto"/>
        <w:right w:val="none" w:sz="0" w:space="0" w:color="auto"/>
      </w:divBdr>
    </w:div>
    <w:div w:id="746414699">
      <w:bodyDiv w:val="1"/>
      <w:marLeft w:val="0"/>
      <w:marRight w:val="0"/>
      <w:marTop w:val="0"/>
      <w:marBottom w:val="0"/>
      <w:divBdr>
        <w:top w:val="none" w:sz="0" w:space="0" w:color="auto"/>
        <w:left w:val="none" w:sz="0" w:space="0" w:color="auto"/>
        <w:bottom w:val="none" w:sz="0" w:space="0" w:color="auto"/>
        <w:right w:val="none" w:sz="0" w:space="0" w:color="auto"/>
      </w:divBdr>
      <w:divsChild>
        <w:div w:id="1308629665">
          <w:marLeft w:val="0"/>
          <w:marRight w:val="0"/>
          <w:marTop w:val="0"/>
          <w:marBottom w:val="0"/>
          <w:divBdr>
            <w:top w:val="none" w:sz="0" w:space="0" w:color="auto"/>
            <w:left w:val="none" w:sz="0" w:space="0" w:color="auto"/>
            <w:bottom w:val="none" w:sz="0" w:space="0" w:color="auto"/>
            <w:right w:val="none" w:sz="0" w:space="0" w:color="auto"/>
          </w:divBdr>
          <w:divsChild>
            <w:div w:id="733167442">
              <w:marLeft w:val="0"/>
              <w:marRight w:val="0"/>
              <w:marTop w:val="0"/>
              <w:marBottom w:val="0"/>
              <w:divBdr>
                <w:top w:val="none" w:sz="0" w:space="0" w:color="auto"/>
                <w:left w:val="none" w:sz="0" w:space="0" w:color="auto"/>
                <w:bottom w:val="none" w:sz="0" w:space="0" w:color="auto"/>
                <w:right w:val="none" w:sz="0" w:space="0" w:color="auto"/>
              </w:divBdr>
              <w:divsChild>
                <w:div w:id="973831738">
                  <w:marLeft w:val="0"/>
                  <w:marRight w:val="0"/>
                  <w:marTop w:val="0"/>
                  <w:marBottom w:val="0"/>
                  <w:divBdr>
                    <w:top w:val="none" w:sz="0" w:space="0" w:color="auto"/>
                    <w:left w:val="none" w:sz="0" w:space="0" w:color="auto"/>
                    <w:bottom w:val="none" w:sz="0" w:space="0" w:color="auto"/>
                    <w:right w:val="none" w:sz="0" w:space="0" w:color="auto"/>
                  </w:divBdr>
                  <w:divsChild>
                    <w:div w:id="1358192935">
                      <w:marLeft w:val="0"/>
                      <w:marRight w:val="0"/>
                      <w:marTop w:val="0"/>
                      <w:marBottom w:val="0"/>
                      <w:divBdr>
                        <w:top w:val="none" w:sz="0" w:space="0" w:color="auto"/>
                        <w:left w:val="none" w:sz="0" w:space="0" w:color="auto"/>
                        <w:bottom w:val="none" w:sz="0" w:space="0" w:color="auto"/>
                        <w:right w:val="none" w:sz="0" w:space="0" w:color="auto"/>
                      </w:divBdr>
                      <w:divsChild>
                        <w:div w:id="956644478">
                          <w:marLeft w:val="0"/>
                          <w:marRight w:val="0"/>
                          <w:marTop w:val="0"/>
                          <w:marBottom w:val="0"/>
                          <w:divBdr>
                            <w:top w:val="none" w:sz="0" w:space="0" w:color="auto"/>
                            <w:left w:val="none" w:sz="0" w:space="0" w:color="auto"/>
                            <w:bottom w:val="none" w:sz="0" w:space="0" w:color="auto"/>
                            <w:right w:val="none" w:sz="0" w:space="0" w:color="auto"/>
                          </w:divBdr>
                          <w:divsChild>
                            <w:div w:id="740518697">
                              <w:marLeft w:val="0"/>
                              <w:marRight w:val="0"/>
                              <w:marTop w:val="0"/>
                              <w:marBottom w:val="0"/>
                              <w:divBdr>
                                <w:top w:val="none" w:sz="0" w:space="0" w:color="auto"/>
                                <w:left w:val="none" w:sz="0" w:space="0" w:color="auto"/>
                                <w:bottom w:val="none" w:sz="0" w:space="0" w:color="auto"/>
                                <w:right w:val="none" w:sz="0" w:space="0" w:color="auto"/>
                              </w:divBdr>
                              <w:divsChild>
                                <w:div w:id="14732535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202211">
      <w:bodyDiv w:val="1"/>
      <w:marLeft w:val="0"/>
      <w:marRight w:val="0"/>
      <w:marTop w:val="0"/>
      <w:marBottom w:val="0"/>
      <w:divBdr>
        <w:top w:val="none" w:sz="0" w:space="0" w:color="auto"/>
        <w:left w:val="none" w:sz="0" w:space="0" w:color="auto"/>
        <w:bottom w:val="none" w:sz="0" w:space="0" w:color="auto"/>
        <w:right w:val="none" w:sz="0" w:space="0" w:color="auto"/>
      </w:divBdr>
      <w:divsChild>
        <w:div w:id="32120291">
          <w:marLeft w:val="0"/>
          <w:marRight w:val="0"/>
          <w:marTop w:val="0"/>
          <w:marBottom w:val="0"/>
          <w:divBdr>
            <w:top w:val="none" w:sz="0" w:space="0" w:color="auto"/>
            <w:left w:val="none" w:sz="0" w:space="0" w:color="auto"/>
            <w:bottom w:val="none" w:sz="0" w:space="0" w:color="auto"/>
            <w:right w:val="none" w:sz="0" w:space="0" w:color="auto"/>
          </w:divBdr>
          <w:divsChild>
            <w:div w:id="777876425">
              <w:marLeft w:val="0"/>
              <w:marRight w:val="0"/>
              <w:marTop w:val="0"/>
              <w:marBottom w:val="0"/>
              <w:divBdr>
                <w:top w:val="none" w:sz="0" w:space="0" w:color="auto"/>
                <w:left w:val="none" w:sz="0" w:space="0" w:color="auto"/>
                <w:bottom w:val="none" w:sz="0" w:space="0" w:color="auto"/>
                <w:right w:val="none" w:sz="0" w:space="0" w:color="auto"/>
              </w:divBdr>
              <w:divsChild>
                <w:div w:id="1968654719">
                  <w:marLeft w:val="0"/>
                  <w:marRight w:val="0"/>
                  <w:marTop w:val="0"/>
                  <w:marBottom w:val="0"/>
                  <w:divBdr>
                    <w:top w:val="none" w:sz="0" w:space="0" w:color="auto"/>
                    <w:left w:val="none" w:sz="0" w:space="0" w:color="auto"/>
                    <w:bottom w:val="none" w:sz="0" w:space="0" w:color="auto"/>
                    <w:right w:val="none" w:sz="0" w:space="0" w:color="auto"/>
                  </w:divBdr>
                  <w:divsChild>
                    <w:div w:id="1218082444">
                      <w:marLeft w:val="0"/>
                      <w:marRight w:val="0"/>
                      <w:marTop w:val="0"/>
                      <w:marBottom w:val="0"/>
                      <w:divBdr>
                        <w:top w:val="none" w:sz="0" w:space="0" w:color="auto"/>
                        <w:left w:val="none" w:sz="0" w:space="0" w:color="auto"/>
                        <w:bottom w:val="none" w:sz="0" w:space="0" w:color="auto"/>
                        <w:right w:val="none" w:sz="0" w:space="0" w:color="auto"/>
                      </w:divBdr>
                      <w:divsChild>
                        <w:div w:id="906308433">
                          <w:marLeft w:val="0"/>
                          <w:marRight w:val="0"/>
                          <w:marTop w:val="0"/>
                          <w:marBottom w:val="0"/>
                          <w:divBdr>
                            <w:top w:val="none" w:sz="0" w:space="0" w:color="auto"/>
                            <w:left w:val="none" w:sz="0" w:space="0" w:color="auto"/>
                            <w:bottom w:val="none" w:sz="0" w:space="0" w:color="auto"/>
                            <w:right w:val="none" w:sz="0" w:space="0" w:color="auto"/>
                          </w:divBdr>
                          <w:divsChild>
                            <w:div w:id="1292900181">
                              <w:marLeft w:val="0"/>
                              <w:marRight w:val="0"/>
                              <w:marTop w:val="0"/>
                              <w:marBottom w:val="0"/>
                              <w:divBdr>
                                <w:top w:val="none" w:sz="0" w:space="0" w:color="auto"/>
                                <w:left w:val="none" w:sz="0" w:space="0" w:color="auto"/>
                                <w:bottom w:val="none" w:sz="0" w:space="0" w:color="auto"/>
                                <w:right w:val="none" w:sz="0" w:space="0" w:color="auto"/>
                              </w:divBdr>
                              <w:divsChild>
                                <w:div w:id="7909743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172118">
      <w:bodyDiv w:val="1"/>
      <w:marLeft w:val="0"/>
      <w:marRight w:val="0"/>
      <w:marTop w:val="0"/>
      <w:marBottom w:val="0"/>
      <w:divBdr>
        <w:top w:val="none" w:sz="0" w:space="0" w:color="auto"/>
        <w:left w:val="none" w:sz="0" w:space="0" w:color="auto"/>
        <w:bottom w:val="none" w:sz="0" w:space="0" w:color="auto"/>
        <w:right w:val="none" w:sz="0" w:space="0" w:color="auto"/>
      </w:divBdr>
      <w:divsChild>
        <w:div w:id="627471029">
          <w:marLeft w:val="0"/>
          <w:marRight w:val="0"/>
          <w:marTop w:val="0"/>
          <w:marBottom w:val="0"/>
          <w:divBdr>
            <w:top w:val="none" w:sz="0" w:space="0" w:color="auto"/>
            <w:left w:val="none" w:sz="0" w:space="0" w:color="auto"/>
            <w:bottom w:val="none" w:sz="0" w:space="0" w:color="auto"/>
            <w:right w:val="none" w:sz="0" w:space="0" w:color="auto"/>
          </w:divBdr>
          <w:divsChild>
            <w:div w:id="397871833">
              <w:marLeft w:val="0"/>
              <w:marRight w:val="0"/>
              <w:marTop w:val="0"/>
              <w:marBottom w:val="0"/>
              <w:divBdr>
                <w:top w:val="none" w:sz="0" w:space="0" w:color="auto"/>
                <w:left w:val="none" w:sz="0" w:space="0" w:color="auto"/>
                <w:bottom w:val="none" w:sz="0" w:space="0" w:color="auto"/>
                <w:right w:val="none" w:sz="0" w:space="0" w:color="auto"/>
              </w:divBdr>
              <w:divsChild>
                <w:div w:id="720984007">
                  <w:marLeft w:val="0"/>
                  <w:marRight w:val="0"/>
                  <w:marTop w:val="0"/>
                  <w:marBottom w:val="0"/>
                  <w:divBdr>
                    <w:top w:val="none" w:sz="0" w:space="0" w:color="auto"/>
                    <w:left w:val="none" w:sz="0" w:space="0" w:color="auto"/>
                    <w:bottom w:val="none" w:sz="0" w:space="0" w:color="auto"/>
                    <w:right w:val="none" w:sz="0" w:space="0" w:color="auto"/>
                  </w:divBdr>
                  <w:divsChild>
                    <w:div w:id="1529949468">
                      <w:marLeft w:val="0"/>
                      <w:marRight w:val="0"/>
                      <w:marTop w:val="0"/>
                      <w:marBottom w:val="0"/>
                      <w:divBdr>
                        <w:top w:val="none" w:sz="0" w:space="0" w:color="auto"/>
                        <w:left w:val="none" w:sz="0" w:space="0" w:color="auto"/>
                        <w:bottom w:val="none" w:sz="0" w:space="0" w:color="auto"/>
                        <w:right w:val="none" w:sz="0" w:space="0" w:color="auto"/>
                      </w:divBdr>
                      <w:divsChild>
                        <w:div w:id="927931039">
                          <w:marLeft w:val="0"/>
                          <w:marRight w:val="0"/>
                          <w:marTop w:val="0"/>
                          <w:marBottom w:val="0"/>
                          <w:divBdr>
                            <w:top w:val="none" w:sz="0" w:space="0" w:color="auto"/>
                            <w:left w:val="none" w:sz="0" w:space="0" w:color="auto"/>
                            <w:bottom w:val="none" w:sz="0" w:space="0" w:color="auto"/>
                            <w:right w:val="none" w:sz="0" w:space="0" w:color="auto"/>
                          </w:divBdr>
                          <w:divsChild>
                            <w:div w:id="1833985309">
                              <w:marLeft w:val="0"/>
                              <w:marRight w:val="0"/>
                              <w:marTop w:val="0"/>
                              <w:marBottom w:val="0"/>
                              <w:divBdr>
                                <w:top w:val="none" w:sz="0" w:space="0" w:color="auto"/>
                                <w:left w:val="none" w:sz="0" w:space="0" w:color="auto"/>
                                <w:bottom w:val="none" w:sz="0" w:space="0" w:color="auto"/>
                                <w:right w:val="none" w:sz="0" w:space="0" w:color="auto"/>
                              </w:divBdr>
                              <w:divsChild>
                                <w:div w:id="3413255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472631">
      <w:bodyDiv w:val="1"/>
      <w:marLeft w:val="0"/>
      <w:marRight w:val="0"/>
      <w:marTop w:val="0"/>
      <w:marBottom w:val="0"/>
      <w:divBdr>
        <w:top w:val="none" w:sz="0" w:space="0" w:color="auto"/>
        <w:left w:val="none" w:sz="0" w:space="0" w:color="auto"/>
        <w:bottom w:val="none" w:sz="0" w:space="0" w:color="auto"/>
        <w:right w:val="none" w:sz="0" w:space="0" w:color="auto"/>
      </w:divBdr>
    </w:div>
    <w:div w:id="992830481">
      <w:bodyDiv w:val="1"/>
      <w:marLeft w:val="0"/>
      <w:marRight w:val="0"/>
      <w:marTop w:val="0"/>
      <w:marBottom w:val="0"/>
      <w:divBdr>
        <w:top w:val="none" w:sz="0" w:space="0" w:color="auto"/>
        <w:left w:val="none" w:sz="0" w:space="0" w:color="auto"/>
        <w:bottom w:val="none" w:sz="0" w:space="0" w:color="auto"/>
        <w:right w:val="none" w:sz="0" w:space="0" w:color="auto"/>
      </w:divBdr>
    </w:div>
    <w:div w:id="1058095545">
      <w:bodyDiv w:val="1"/>
      <w:marLeft w:val="0"/>
      <w:marRight w:val="0"/>
      <w:marTop w:val="0"/>
      <w:marBottom w:val="0"/>
      <w:divBdr>
        <w:top w:val="none" w:sz="0" w:space="0" w:color="auto"/>
        <w:left w:val="none" w:sz="0" w:space="0" w:color="auto"/>
        <w:bottom w:val="none" w:sz="0" w:space="0" w:color="auto"/>
        <w:right w:val="none" w:sz="0" w:space="0" w:color="auto"/>
      </w:divBdr>
      <w:divsChild>
        <w:div w:id="777024365">
          <w:marLeft w:val="0"/>
          <w:marRight w:val="0"/>
          <w:marTop w:val="0"/>
          <w:marBottom w:val="0"/>
          <w:divBdr>
            <w:top w:val="none" w:sz="0" w:space="0" w:color="auto"/>
            <w:left w:val="none" w:sz="0" w:space="0" w:color="auto"/>
            <w:bottom w:val="none" w:sz="0" w:space="0" w:color="auto"/>
            <w:right w:val="none" w:sz="0" w:space="0" w:color="auto"/>
          </w:divBdr>
          <w:divsChild>
            <w:div w:id="1710567662">
              <w:marLeft w:val="0"/>
              <w:marRight w:val="0"/>
              <w:marTop w:val="0"/>
              <w:marBottom w:val="0"/>
              <w:divBdr>
                <w:top w:val="none" w:sz="0" w:space="0" w:color="auto"/>
                <w:left w:val="none" w:sz="0" w:space="0" w:color="auto"/>
                <w:bottom w:val="none" w:sz="0" w:space="0" w:color="auto"/>
                <w:right w:val="none" w:sz="0" w:space="0" w:color="auto"/>
              </w:divBdr>
              <w:divsChild>
                <w:div w:id="1954632883">
                  <w:marLeft w:val="0"/>
                  <w:marRight w:val="0"/>
                  <w:marTop w:val="0"/>
                  <w:marBottom w:val="0"/>
                  <w:divBdr>
                    <w:top w:val="none" w:sz="0" w:space="0" w:color="auto"/>
                    <w:left w:val="none" w:sz="0" w:space="0" w:color="auto"/>
                    <w:bottom w:val="none" w:sz="0" w:space="0" w:color="auto"/>
                    <w:right w:val="none" w:sz="0" w:space="0" w:color="auto"/>
                  </w:divBdr>
                  <w:divsChild>
                    <w:div w:id="1129906482">
                      <w:marLeft w:val="0"/>
                      <w:marRight w:val="0"/>
                      <w:marTop w:val="0"/>
                      <w:marBottom w:val="0"/>
                      <w:divBdr>
                        <w:top w:val="none" w:sz="0" w:space="0" w:color="auto"/>
                        <w:left w:val="none" w:sz="0" w:space="0" w:color="auto"/>
                        <w:bottom w:val="none" w:sz="0" w:space="0" w:color="auto"/>
                        <w:right w:val="none" w:sz="0" w:space="0" w:color="auto"/>
                      </w:divBdr>
                      <w:divsChild>
                        <w:div w:id="1982614785">
                          <w:marLeft w:val="0"/>
                          <w:marRight w:val="0"/>
                          <w:marTop w:val="0"/>
                          <w:marBottom w:val="0"/>
                          <w:divBdr>
                            <w:top w:val="none" w:sz="0" w:space="0" w:color="auto"/>
                            <w:left w:val="none" w:sz="0" w:space="0" w:color="auto"/>
                            <w:bottom w:val="none" w:sz="0" w:space="0" w:color="auto"/>
                            <w:right w:val="none" w:sz="0" w:space="0" w:color="auto"/>
                          </w:divBdr>
                          <w:divsChild>
                            <w:div w:id="1460105600">
                              <w:marLeft w:val="0"/>
                              <w:marRight w:val="0"/>
                              <w:marTop w:val="0"/>
                              <w:marBottom w:val="0"/>
                              <w:divBdr>
                                <w:top w:val="none" w:sz="0" w:space="0" w:color="auto"/>
                                <w:left w:val="none" w:sz="0" w:space="0" w:color="auto"/>
                                <w:bottom w:val="none" w:sz="0" w:space="0" w:color="auto"/>
                                <w:right w:val="none" w:sz="0" w:space="0" w:color="auto"/>
                              </w:divBdr>
                              <w:divsChild>
                                <w:div w:id="17973354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883067">
      <w:bodyDiv w:val="1"/>
      <w:marLeft w:val="0"/>
      <w:marRight w:val="0"/>
      <w:marTop w:val="0"/>
      <w:marBottom w:val="0"/>
      <w:divBdr>
        <w:top w:val="none" w:sz="0" w:space="0" w:color="auto"/>
        <w:left w:val="none" w:sz="0" w:space="0" w:color="auto"/>
        <w:bottom w:val="none" w:sz="0" w:space="0" w:color="auto"/>
        <w:right w:val="none" w:sz="0" w:space="0" w:color="auto"/>
      </w:divBdr>
      <w:divsChild>
        <w:div w:id="134153468">
          <w:marLeft w:val="0"/>
          <w:marRight w:val="0"/>
          <w:marTop w:val="0"/>
          <w:marBottom w:val="0"/>
          <w:divBdr>
            <w:top w:val="none" w:sz="0" w:space="0" w:color="auto"/>
            <w:left w:val="none" w:sz="0" w:space="0" w:color="auto"/>
            <w:bottom w:val="none" w:sz="0" w:space="0" w:color="auto"/>
            <w:right w:val="none" w:sz="0" w:space="0" w:color="auto"/>
          </w:divBdr>
          <w:divsChild>
            <w:div w:id="409431401">
              <w:marLeft w:val="0"/>
              <w:marRight w:val="0"/>
              <w:marTop w:val="0"/>
              <w:marBottom w:val="0"/>
              <w:divBdr>
                <w:top w:val="none" w:sz="0" w:space="0" w:color="auto"/>
                <w:left w:val="none" w:sz="0" w:space="0" w:color="auto"/>
                <w:bottom w:val="none" w:sz="0" w:space="0" w:color="auto"/>
                <w:right w:val="none" w:sz="0" w:space="0" w:color="auto"/>
              </w:divBdr>
              <w:divsChild>
                <w:div w:id="1575554937">
                  <w:marLeft w:val="0"/>
                  <w:marRight w:val="0"/>
                  <w:marTop w:val="0"/>
                  <w:marBottom w:val="0"/>
                  <w:divBdr>
                    <w:top w:val="none" w:sz="0" w:space="0" w:color="auto"/>
                    <w:left w:val="none" w:sz="0" w:space="0" w:color="auto"/>
                    <w:bottom w:val="none" w:sz="0" w:space="0" w:color="auto"/>
                    <w:right w:val="none" w:sz="0" w:space="0" w:color="auto"/>
                  </w:divBdr>
                  <w:divsChild>
                    <w:div w:id="108860073">
                      <w:marLeft w:val="0"/>
                      <w:marRight w:val="0"/>
                      <w:marTop w:val="0"/>
                      <w:marBottom w:val="0"/>
                      <w:divBdr>
                        <w:top w:val="none" w:sz="0" w:space="0" w:color="auto"/>
                        <w:left w:val="none" w:sz="0" w:space="0" w:color="auto"/>
                        <w:bottom w:val="none" w:sz="0" w:space="0" w:color="auto"/>
                        <w:right w:val="none" w:sz="0" w:space="0" w:color="auto"/>
                      </w:divBdr>
                      <w:divsChild>
                        <w:div w:id="112482744">
                          <w:marLeft w:val="0"/>
                          <w:marRight w:val="0"/>
                          <w:marTop w:val="0"/>
                          <w:marBottom w:val="0"/>
                          <w:divBdr>
                            <w:top w:val="none" w:sz="0" w:space="0" w:color="auto"/>
                            <w:left w:val="none" w:sz="0" w:space="0" w:color="auto"/>
                            <w:bottom w:val="none" w:sz="0" w:space="0" w:color="auto"/>
                            <w:right w:val="none" w:sz="0" w:space="0" w:color="auto"/>
                          </w:divBdr>
                          <w:divsChild>
                            <w:div w:id="2097047326">
                              <w:marLeft w:val="0"/>
                              <w:marRight w:val="0"/>
                              <w:marTop w:val="0"/>
                              <w:marBottom w:val="0"/>
                              <w:divBdr>
                                <w:top w:val="none" w:sz="0" w:space="0" w:color="auto"/>
                                <w:left w:val="none" w:sz="0" w:space="0" w:color="auto"/>
                                <w:bottom w:val="none" w:sz="0" w:space="0" w:color="auto"/>
                                <w:right w:val="none" w:sz="0" w:space="0" w:color="auto"/>
                              </w:divBdr>
                              <w:divsChild>
                                <w:div w:id="17852255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608422">
      <w:bodyDiv w:val="1"/>
      <w:marLeft w:val="0"/>
      <w:marRight w:val="0"/>
      <w:marTop w:val="0"/>
      <w:marBottom w:val="0"/>
      <w:divBdr>
        <w:top w:val="none" w:sz="0" w:space="0" w:color="auto"/>
        <w:left w:val="none" w:sz="0" w:space="0" w:color="auto"/>
        <w:bottom w:val="none" w:sz="0" w:space="0" w:color="auto"/>
        <w:right w:val="none" w:sz="0" w:space="0" w:color="auto"/>
      </w:divBdr>
    </w:div>
    <w:div w:id="1374967266">
      <w:bodyDiv w:val="1"/>
      <w:marLeft w:val="0"/>
      <w:marRight w:val="0"/>
      <w:marTop w:val="0"/>
      <w:marBottom w:val="0"/>
      <w:divBdr>
        <w:top w:val="none" w:sz="0" w:space="0" w:color="auto"/>
        <w:left w:val="none" w:sz="0" w:space="0" w:color="auto"/>
        <w:bottom w:val="none" w:sz="0" w:space="0" w:color="auto"/>
        <w:right w:val="none" w:sz="0" w:space="0" w:color="auto"/>
      </w:divBdr>
      <w:divsChild>
        <w:div w:id="577910246">
          <w:marLeft w:val="0"/>
          <w:marRight w:val="0"/>
          <w:marTop w:val="0"/>
          <w:marBottom w:val="0"/>
          <w:divBdr>
            <w:top w:val="none" w:sz="0" w:space="0" w:color="auto"/>
            <w:left w:val="none" w:sz="0" w:space="0" w:color="auto"/>
            <w:bottom w:val="none" w:sz="0" w:space="0" w:color="auto"/>
            <w:right w:val="none" w:sz="0" w:space="0" w:color="auto"/>
          </w:divBdr>
          <w:divsChild>
            <w:div w:id="1068726284">
              <w:marLeft w:val="0"/>
              <w:marRight w:val="0"/>
              <w:marTop w:val="0"/>
              <w:marBottom w:val="0"/>
              <w:divBdr>
                <w:top w:val="none" w:sz="0" w:space="0" w:color="auto"/>
                <w:left w:val="none" w:sz="0" w:space="0" w:color="auto"/>
                <w:bottom w:val="none" w:sz="0" w:space="0" w:color="auto"/>
                <w:right w:val="none" w:sz="0" w:space="0" w:color="auto"/>
              </w:divBdr>
              <w:divsChild>
                <w:div w:id="483279575">
                  <w:marLeft w:val="0"/>
                  <w:marRight w:val="0"/>
                  <w:marTop w:val="0"/>
                  <w:marBottom w:val="0"/>
                  <w:divBdr>
                    <w:top w:val="none" w:sz="0" w:space="0" w:color="auto"/>
                    <w:left w:val="none" w:sz="0" w:space="0" w:color="auto"/>
                    <w:bottom w:val="none" w:sz="0" w:space="0" w:color="auto"/>
                    <w:right w:val="none" w:sz="0" w:space="0" w:color="auto"/>
                  </w:divBdr>
                  <w:divsChild>
                    <w:div w:id="2070684358">
                      <w:marLeft w:val="0"/>
                      <w:marRight w:val="0"/>
                      <w:marTop w:val="0"/>
                      <w:marBottom w:val="0"/>
                      <w:divBdr>
                        <w:top w:val="none" w:sz="0" w:space="0" w:color="auto"/>
                        <w:left w:val="none" w:sz="0" w:space="0" w:color="auto"/>
                        <w:bottom w:val="none" w:sz="0" w:space="0" w:color="auto"/>
                        <w:right w:val="none" w:sz="0" w:space="0" w:color="auto"/>
                      </w:divBdr>
                      <w:divsChild>
                        <w:div w:id="1222793175">
                          <w:marLeft w:val="0"/>
                          <w:marRight w:val="0"/>
                          <w:marTop w:val="0"/>
                          <w:marBottom w:val="0"/>
                          <w:divBdr>
                            <w:top w:val="none" w:sz="0" w:space="0" w:color="auto"/>
                            <w:left w:val="none" w:sz="0" w:space="0" w:color="auto"/>
                            <w:bottom w:val="none" w:sz="0" w:space="0" w:color="auto"/>
                            <w:right w:val="none" w:sz="0" w:space="0" w:color="auto"/>
                          </w:divBdr>
                          <w:divsChild>
                            <w:div w:id="377122128">
                              <w:marLeft w:val="0"/>
                              <w:marRight w:val="0"/>
                              <w:marTop w:val="0"/>
                              <w:marBottom w:val="0"/>
                              <w:divBdr>
                                <w:top w:val="none" w:sz="0" w:space="0" w:color="auto"/>
                                <w:left w:val="none" w:sz="0" w:space="0" w:color="auto"/>
                                <w:bottom w:val="none" w:sz="0" w:space="0" w:color="auto"/>
                                <w:right w:val="none" w:sz="0" w:space="0" w:color="auto"/>
                              </w:divBdr>
                              <w:divsChild>
                                <w:div w:id="7742079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539617">
      <w:bodyDiv w:val="1"/>
      <w:marLeft w:val="0"/>
      <w:marRight w:val="0"/>
      <w:marTop w:val="0"/>
      <w:marBottom w:val="0"/>
      <w:divBdr>
        <w:top w:val="none" w:sz="0" w:space="0" w:color="auto"/>
        <w:left w:val="none" w:sz="0" w:space="0" w:color="auto"/>
        <w:bottom w:val="none" w:sz="0" w:space="0" w:color="auto"/>
        <w:right w:val="none" w:sz="0" w:space="0" w:color="auto"/>
      </w:divBdr>
      <w:divsChild>
        <w:div w:id="1465541971">
          <w:marLeft w:val="0"/>
          <w:marRight w:val="0"/>
          <w:marTop w:val="0"/>
          <w:marBottom w:val="0"/>
          <w:divBdr>
            <w:top w:val="none" w:sz="0" w:space="0" w:color="auto"/>
            <w:left w:val="none" w:sz="0" w:space="0" w:color="auto"/>
            <w:bottom w:val="none" w:sz="0" w:space="0" w:color="auto"/>
            <w:right w:val="none" w:sz="0" w:space="0" w:color="auto"/>
          </w:divBdr>
          <w:divsChild>
            <w:div w:id="236672839">
              <w:marLeft w:val="0"/>
              <w:marRight w:val="0"/>
              <w:marTop w:val="0"/>
              <w:marBottom w:val="0"/>
              <w:divBdr>
                <w:top w:val="none" w:sz="0" w:space="0" w:color="auto"/>
                <w:left w:val="none" w:sz="0" w:space="0" w:color="auto"/>
                <w:bottom w:val="none" w:sz="0" w:space="0" w:color="auto"/>
                <w:right w:val="none" w:sz="0" w:space="0" w:color="auto"/>
              </w:divBdr>
              <w:divsChild>
                <w:div w:id="495457632">
                  <w:marLeft w:val="0"/>
                  <w:marRight w:val="0"/>
                  <w:marTop w:val="0"/>
                  <w:marBottom w:val="0"/>
                  <w:divBdr>
                    <w:top w:val="none" w:sz="0" w:space="0" w:color="auto"/>
                    <w:left w:val="none" w:sz="0" w:space="0" w:color="auto"/>
                    <w:bottom w:val="none" w:sz="0" w:space="0" w:color="auto"/>
                    <w:right w:val="none" w:sz="0" w:space="0" w:color="auto"/>
                  </w:divBdr>
                  <w:divsChild>
                    <w:div w:id="1343168812">
                      <w:marLeft w:val="0"/>
                      <w:marRight w:val="0"/>
                      <w:marTop w:val="0"/>
                      <w:marBottom w:val="0"/>
                      <w:divBdr>
                        <w:top w:val="none" w:sz="0" w:space="0" w:color="auto"/>
                        <w:left w:val="none" w:sz="0" w:space="0" w:color="auto"/>
                        <w:bottom w:val="none" w:sz="0" w:space="0" w:color="auto"/>
                        <w:right w:val="none" w:sz="0" w:space="0" w:color="auto"/>
                      </w:divBdr>
                      <w:divsChild>
                        <w:div w:id="923565944">
                          <w:marLeft w:val="0"/>
                          <w:marRight w:val="0"/>
                          <w:marTop w:val="0"/>
                          <w:marBottom w:val="0"/>
                          <w:divBdr>
                            <w:top w:val="none" w:sz="0" w:space="0" w:color="auto"/>
                            <w:left w:val="none" w:sz="0" w:space="0" w:color="auto"/>
                            <w:bottom w:val="none" w:sz="0" w:space="0" w:color="auto"/>
                            <w:right w:val="none" w:sz="0" w:space="0" w:color="auto"/>
                          </w:divBdr>
                          <w:divsChild>
                            <w:div w:id="1085959541">
                              <w:marLeft w:val="0"/>
                              <w:marRight w:val="0"/>
                              <w:marTop w:val="0"/>
                              <w:marBottom w:val="0"/>
                              <w:divBdr>
                                <w:top w:val="none" w:sz="0" w:space="0" w:color="auto"/>
                                <w:left w:val="none" w:sz="0" w:space="0" w:color="auto"/>
                                <w:bottom w:val="none" w:sz="0" w:space="0" w:color="auto"/>
                                <w:right w:val="none" w:sz="0" w:space="0" w:color="auto"/>
                              </w:divBdr>
                              <w:divsChild>
                                <w:div w:id="10067156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910755">
      <w:bodyDiv w:val="1"/>
      <w:marLeft w:val="0"/>
      <w:marRight w:val="0"/>
      <w:marTop w:val="0"/>
      <w:marBottom w:val="0"/>
      <w:divBdr>
        <w:top w:val="none" w:sz="0" w:space="0" w:color="auto"/>
        <w:left w:val="none" w:sz="0" w:space="0" w:color="auto"/>
        <w:bottom w:val="none" w:sz="0" w:space="0" w:color="auto"/>
        <w:right w:val="none" w:sz="0" w:space="0" w:color="auto"/>
      </w:divBdr>
      <w:divsChild>
        <w:div w:id="1814178791">
          <w:marLeft w:val="0"/>
          <w:marRight w:val="0"/>
          <w:marTop w:val="0"/>
          <w:marBottom w:val="0"/>
          <w:divBdr>
            <w:top w:val="none" w:sz="0" w:space="0" w:color="auto"/>
            <w:left w:val="none" w:sz="0" w:space="0" w:color="auto"/>
            <w:bottom w:val="none" w:sz="0" w:space="0" w:color="auto"/>
            <w:right w:val="none" w:sz="0" w:space="0" w:color="auto"/>
          </w:divBdr>
          <w:divsChild>
            <w:div w:id="1843275748">
              <w:marLeft w:val="0"/>
              <w:marRight w:val="0"/>
              <w:marTop w:val="0"/>
              <w:marBottom w:val="0"/>
              <w:divBdr>
                <w:top w:val="none" w:sz="0" w:space="0" w:color="auto"/>
                <w:left w:val="none" w:sz="0" w:space="0" w:color="auto"/>
                <w:bottom w:val="none" w:sz="0" w:space="0" w:color="auto"/>
                <w:right w:val="none" w:sz="0" w:space="0" w:color="auto"/>
              </w:divBdr>
              <w:divsChild>
                <w:div w:id="547258183">
                  <w:marLeft w:val="0"/>
                  <w:marRight w:val="0"/>
                  <w:marTop w:val="0"/>
                  <w:marBottom w:val="0"/>
                  <w:divBdr>
                    <w:top w:val="none" w:sz="0" w:space="0" w:color="auto"/>
                    <w:left w:val="none" w:sz="0" w:space="0" w:color="auto"/>
                    <w:bottom w:val="none" w:sz="0" w:space="0" w:color="auto"/>
                    <w:right w:val="none" w:sz="0" w:space="0" w:color="auto"/>
                  </w:divBdr>
                  <w:divsChild>
                    <w:div w:id="898982860">
                      <w:marLeft w:val="0"/>
                      <w:marRight w:val="0"/>
                      <w:marTop w:val="0"/>
                      <w:marBottom w:val="0"/>
                      <w:divBdr>
                        <w:top w:val="none" w:sz="0" w:space="0" w:color="auto"/>
                        <w:left w:val="none" w:sz="0" w:space="0" w:color="auto"/>
                        <w:bottom w:val="none" w:sz="0" w:space="0" w:color="auto"/>
                        <w:right w:val="none" w:sz="0" w:space="0" w:color="auto"/>
                      </w:divBdr>
                      <w:divsChild>
                        <w:div w:id="1194534766">
                          <w:marLeft w:val="0"/>
                          <w:marRight w:val="0"/>
                          <w:marTop w:val="0"/>
                          <w:marBottom w:val="0"/>
                          <w:divBdr>
                            <w:top w:val="none" w:sz="0" w:space="0" w:color="auto"/>
                            <w:left w:val="none" w:sz="0" w:space="0" w:color="auto"/>
                            <w:bottom w:val="none" w:sz="0" w:space="0" w:color="auto"/>
                            <w:right w:val="none" w:sz="0" w:space="0" w:color="auto"/>
                          </w:divBdr>
                          <w:divsChild>
                            <w:div w:id="1949315054">
                              <w:marLeft w:val="0"/>
                              <w:marRight w:val="0"/>
                              <w:marTop w:val="0"/>
                              <w:marBottom w:val="0"/>
                              <w:divBdr>
                                <w:top w:val="none" w:sz="0" w:space="0" w:color="auto"/>
                                <w:left w:val="none" w:sz="0" w:space="0" w:color="auto"/>
                                <w:bottom w:val="none" w:sz="0" w:space="0" w:color="auto"/>
                                <w:right w:val="none" w:sz="0" w:space="0" w:color="auto"/>
                              </w:divBdr>
                              <w:divsChild>
                                <w:div w:id="289633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410100">
      <w:bodyDiv w:val="1"/>
      <w:marLeft w:val="0"/>
      <w:marRight w:val="0"/>
      <w:marTop w:val="0"/>
      <w:marBottom w:val="0"/>
      <w:divBdr>
        <w:top w:val="none" w:sz="0" w:space="0" w:color="auto"/>
        <w:left w:val="none" w:sz="0" w:space="0" w:color="auto"/>
        <w:bottom w:val="none" w:sz="0" w:space="0" w:color="auto"/>
        <w:right w:val="none" w:sz="0" w:space="0" w:color="auto"/>
      </w:divBdr>
      <w:divsChild>
        <w:div w:id="1862039085">
          <w:marLeft w:val="0"/>
          <w:marRight w:val="0"/>
          <w:marTop w:val="0"/>
          <w:marBottom w:val="0"/>
          <w:divBdr>
            <w:top w:val="none" w:sz="0" w:space="0" w:color="auto"/>
            <w:left w:val="none" w:sz="0" w:space="0" w:color="auto"/>
            <w:bottom w:val="none" w:sz="0" w:space="0" w:color="auto"/>
            <w:right w:val="none" w:sz="0" w:space="0" w:color="auto"/>
          </w:divBdr>
          <w:divsChild>
            <w:div w:id="2028482129">
              <w:marLeft w:val="0"/>
              <w:marRight w:val="0"/>
              <w:marTop w:val="0"/>
              <w:marBottom w:val="0"/>
              <w:divBdr>
                <w:top w:val="none" w:sz="0" w:space="0" w:color="auto"/>
                <w:left w:val="none" w:sz="0" w:space="0" w:color="auto"/>
                <w:bottom w:val="none" w:sz="0" w:space="0" w:color="auto"/>
                <w:right w:val="none" w:sz="0" w:space="0" w:color="auto"/>
              </w:divBdr>
              <w:divsChild>
                <w:div w:id="1613128037">
                  <w:marLeft w:val="0"/>
                  <w:marRight w:val="0"/>
                  <w:marTop w:val="0"/>
                  <w:marBottom w:val="0"/>
                  <w:divBdr>
                    <w:top w:val="none" w:sz="0" w:space="0" w:color="auto"/>
                    <w:left w:val="none" w:sz="0" w:space="0" w:color="auto"/>
                    <w:bottom w:val="none" w:sz="0" w:space="0" w:color="auto"/>
                    <w:right w:val="none" w:sz="0" w:space="0" w:color="auto"/>
                  </w:divBdr>
                  <w:divsChild>
                    <w:div w:id="865681735">
                      <w:marLeft w:val="0"/>
                      <w:marRight w:val="0"/>
                      <w:marTop w:val="0"/>
                      <w:marBottom w:val="0"/>
                      <w:divBdr>
                        <w:top w:val="none" w:sz="0" w:space="0" w:color="auto"/>
                        <w:left w:val="none" w:sz="0" w:space="0" w:color="auto"/>
                        <w:bottom w:val="none" w:sz="0" w:space="0" w:color="auto"/>
                        <w:right w:val="none" w:sz="0" w:space="0" w:color="auto"/>
                      </w:divBdr>
                      <w:divsChild>
                        <w:div w:id="78139849">
                          <w:marLeft w:val="0"/>
                          <w:marRight w:val="0"/>
                          <w:marTop w:val="0"/>
                          <w:marBottom w:val="0"/>
                          <w:divBdr>
                            <w:top w:val="none" w:sz="0" w:space="0" w:color="auto"/>
                            <w:left w:val="none" w:sz="0" w:space="0" w:color="auto"/>
                            <w:bottom w:val="none" w:sz="0" w:space="0" w:color="auto"/>
                            <w:right w:val="none" w:sz="0" w:space="0" w:color="auto"/>
                          </w:divBdr>
                          <w:divsChild>
                            <w:div w:id="267588242">
                              <w:marLeft w:val="0"/>
                              <w:marRight w:val="0"/>
                              <w:marTop w:val="0"/>
                              <w:marBottom w:val="0"/>
                              <w:divBdr>
                                <w:top w:val="none" w:sz="0" w:space="0" w:color="auto"/>
                                <w:left w:val="none" w:sz="0" w:space="0" w:color="auto"/>
                                <w:bottom w:val="none" w:sz="0" w:space="0" w:color="auto"/>
                                <w:right w:val="none" w:sz="0" w:space="0" w:color="auto"/>
                              </w:divBdr>
                              <w:divsChild>
                                <w:div w:id="19819552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6047878">
      <w:bodyDiv w:val="1"/>
      <w:marLeft w:val="0"/>
      <w:marRight w:val="0"/>
      <w:marTop w:val="0"/>
      <w:marBottom w:val="0"/>
      <w:divBdr>
        <w:top w:val="none" w:sz="0" w:space="0" w:color="auto"/>
        <w:left w:val="none" w:sz="0" w:space="0" w:color="auto"/>
        <w:bottom w:val="none" w:sz="0" w:space="0" w:color="auto"/>
        <w:right w:val="none" w:sz="0" w:space="0" w:color="auto"/>
      </w:divBdr>
      <w:divsChild>
        <w:div w:id="1811284434">
          <w:marLeft w:val="0"/>
          <w:marRight w:val="0"/>
          <w:marTop w:val="0"/>
          <w:marBottom w:val="0"/>
          <w:divBdr>
            <w:top w:val="none" w:sz="0" w:space="0" w:color="auto"/>
            <w:left w:val="none" w:sz="0" w:space="0" w:color="auto"/>
            <w:bottom w:val="none" w:sz="0" w:space="0" w:color="auto"/>
            <w:right w:val="none" w:sz="0" w:space="0" w:color="auto"/>
          </w:divBdr>
          <w:divsChild>
            <w:div w:id="554973628">
              <w:marLeft w:val="0"/>
              <w:marRight w:val="0"/>
              <w:marTop w:val="0"/>
              <w:marBottom w:val="0"/>
              <w:divBdr>
                <w:top w:val="none" w:sz="0" w:space="0" w:color="auto"/>
                <w:left w:val="none" w:sz="0" w:space="0" w:color="auto"/>
                <w:bottom w:val="none" w:sz="0" w:space="0" w:color="auto"/>
                <w:right w:val="none" w:sz="0" w:space="0" w:color="auto"/>
              </w:divBdr>
              <w:divsChild>
                <w:div w:id="455758084">
                  <w:marLeft w:val="0"/>
                  <w:marRight w:val="0"/>
                  <w:marTop w:val="0"/>
                  <w:marBottom w:val="0"/>
                  <w:divBdr>
                    <w:top w:val="none" w:sz="0" w:space="0" w:color="auto"/>
                    <w:left w:val="none" w:sz="0" w:space="0" w:color="auto"/>
                    <w:bottom w:val="none" w:sz="0" w:space="0" w:color="auto"/>
                    <w:right w:val="none" w:sz="0" w:space="0" w:color="auto"/>
                  </w:divBdr>
                  <w:divsChild>
                    <w:div w:id="1740782984">
                      <w:marLeft w:val="0"/>
                      <w:marRight w:val="0"/>
                      <w:marTop w:val="0"/>
                      <w:marBottom w:val="0"/>
                      <w:divBdr>
                        <w:top w:val="none" w:sz="0" w:space="0" w:color="auto"/>
                        <w:left w:val="none" w:sz="0" w:space="0" w:color="auto"/>
                        <w:bottom w:val="none" w:sz="0" w:space="0" w:color="auto"/>
                        <w:right w:val="none" w:sz="0" w:space="0" w:color="auto"/>
                      </w:divBdr>
                      <w:divsChild>
                        <w:div w:id="619721544">
                          <w:marLeft w:val="0"/>
                          <w:marRight w:val="0"/>
                          <w:marTop w:val="0"/>
                          <w:marBottom w:val="0"/>
                          <w:divBdr>
                            <w:top w:val="none" w:sz="0" w:space="0" w:color="auto"/>
                            <w:left w:val="none" w:sz="0" w:space="0" w:color="auto"/>
                            <w:bottom w:val="none" w:sz="0" w:space="0" w:color="auto"/>
                            <w:right w:val="none" w:sz="0" w:space="0" w:color="auto"/>
                          </w:divBdr>
                          <w:divsChild>
                            <w:div w:id="1726949333">
                              <w:marLeft w:val="0"/>
                              <w:marRight w:val="0"/>
                              <w:marTop w:val="0"/>
                              <w:marBottom w:val="0"/>
                              <w:divBdr>
                                <w:top w:val="none" w:sz="0" w:space="0" w:color="auto"/>
                                <w:left w:val="none" w:sz="0" w:space="0" w:color="auto"/>
                                <w:bottom w:val="none" w:sz="0" w:space="0" w:color="auto"/>
                                <w:right w:val="none" w:sz="0" w:space="0" w:color="auto"/>
                              </w:divBdr>
                              <w:divsChild>
                                <w:div w:id="187095226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273322">
      <w:bodyDiv w:val="1"/>
      <w:marLeft w:val="0"/>
      <w:marRight w:val="0"/>
      <w:marTop w:val="0"/>
      <w:marBottom w:val="0"/>
      <w:divBdr>
        <w:top w:val="none" w:sz="0" w:space="0" w:color="auto"/>
        <w:left w:val="none" w:sz="0" w:space="0" w:color="auto"/>
        <w:bottom w:val="none" w:sz="0" w:space="0" w:color="auto"/>
        <w:right w:val="none" w:sz="0" w:space="0" w:color="auto"/>
      </w:divBdr>
      <w:divsChild>
        <w:div w:id="1364401803">
          <w:marLeft w:val="0"/>
          <w:marRight w:val="0"/>
          <w:marTop w:val="0"/>
          <w:marBottom w:val="0"/>
          <w:divBdr>
            <w:top w:val="none" w:sz="0" w:space="0" w:color="auto"/>
            <w:left w:val="none" w:sz="0" w:space="0" w:color="auto"/>
            <w:bottom w:val="none" w:sz="0" w:space="0" w:color="auto"/>
            <w:right w:val="none" w:sz="0" w:space="0" w:color="auto"/>
          </w:divBdr>
          <w:divsChild>
            <w:div w:id="1231387629">
              <w:marLeft w:val="0"/>
              <w:marRight w:val="0"/>
              <w:marTop w:val="0"/>
              <w:marBottom w:val="0"/>
              <w:divBdr>
                <w:top w:val="none" w:sz="0" w:space="0" w:color="auto"/>
                <w:left w:val="none" w:sz="0" w:space="0" w:color="auto"/>
                <w:bottom w:val="none" w:sz="0" w:space="0" w:color="auto"/>
                <w:right w:val="none" w:sz="0" w:space="0" w:color="auto"/>
              </w:divBdr>
              <w:divsChild>
                <w:div w:id="2007051789">
                  <w:marLeft w:val="0"/>
                  <w:marRight w:val="0"/>
                  <w:marTop w:val="0"/>
                  <w:marBottom w:val="0"/>
                  <w:divBdr>
                    <w:top w:val="none" w:sz="0" w:space="0" w:color="auto"/>
                    <w:left w:val="none" w:sz="0" w:space="0" w:color="auto"/>
                    <w:bottom w:val="none" w:sz="0" w:space="0" w:color="auto"/>
                    <w:right w:val="none" w:sz="0" w:space="0" w:color="auto"/>
                  </w:divBdr>
                  <w:divsChild>
                    <w:div w:id="549147380">
                      <w:marLeft w:val="0"/>
                      <w:marRight w:val="0"/>
                      <w:marTop w:val="0"/>
                      <w:marBottom w:val="0"/>
                      <w:divBdr>
                        <w:top w:val="none" w:sz="0" w:space="0" w:color="auto"/>
                        <w:left w:val="none" w:sz="0" w:space="0" w:color="auto"/>
                        <w:bottom w:val="none" w:sz="0" w:space="0" w:color="auto"/>
                        <w:right w:val="none" w:sz="0" w:space="0" w:color="auto"/>
                      </w:divBdr>
                      <w:divsChild>
                        <w:div w:id="268510398">
                          <w:marLeft w:val="0"/>
                          <w:marRight w:val="0"/>
                          <w:marTop w:val="0"/>
                          <w:marBottom w:val="0"/>
                          <w:divBdr>
                            <w:top w:val="none" w:sz="0" w:space="0" w:color="auto"/>
                            <w:left w:val="none" w:sz="0" w:space="0" w:color="auto"/>
                            <w:bottom w:val="none" w:sz="0" w:space="0" w:color="auto"/>
                            <w:right w:val="none" w:sz="0" w:space="0" w:color="auto"/>
                          </w:divBdr>
                          <w:divsChild>
                            <w:div w:id="480466033">
                              <w:marLeft w:val="0"/>
                              <w:marRight w:val="0"/>
                              <w:marTop w:val="0"/>
                              <w:marBottom w:val="0"/>
                              <w:divBdr>
                                <w:top w:val="none" w:sz="0" w:space="0" w:color="auto"/>
                                <w:left w:val="none" w:sz="0" w:space="0" w:color="auto"/>
                                <w:bottom w:val="none" w:sz="0" w:space="0" w:color="auto"/>
                                <w:right w:val="none" w:sz="0" w:space="0" w:color="auto"/>
                              </w:divBdr>
                              <w:divsChild>
                                <w:div w:id="1396876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827901">
      <w:bodyDiv w:val="1"/>
      <w:marLeft w:val="0"/>
      <w:marRight w:val="0"/>
      <w:marTop w:val="0"/>
      <w:marBottom w:val="0"/>
      <w:divBdr>
        <w:top w:val="none" w:sz="0" w:space="0" w:color="auto"/>
        <w:left w:val="none" w:sz="0" w:space="0" w:color="auto"/>
        <w:bottom w:val="none" w:sz="0" w:space="0" w:color="auto"/>
        <w:right w:val="none" w:sz="0" w:space="0" w:color="auto"/>
      </w:divBdr>
      <w:divsChild>
        <w:div w:id="799569037">
          <w:marLeft w:val="0"/>
          <w:marRight w:val="0"/>
          <w:marTop w:val="0"/>
          <w:marBottom w:val="0"/>
          <w:divBdr>
            <w:top w:val="none" w:sz="0" w:space="0" w:color="auto"/>
            <w:left w:val="none" w:sz="0" w:space="0" w:color="auto"/>
            <w:bottom w:val="none" w:sz="0" w:space="0" w:color="auto"/>
            <w:right w:val="none" w:sz="0" w:space="0" w:color="auto"/>
          </w:divBdr>
          <w:divsChild>
            <w:div w:id="2049180843">
              <w:marLeft w:val="0"/>
              <w:marRight w:val="0"/>
              <w:marTop w:val="0"/>
              <w:marBottom w:val="0"/>
              <w:divBdr>
                <w:top w:val="none" w:sz="0" w:space="0" w:color="auto"/>
                <w:left w:val="none" w:sz="0" w:space="0" w:color="auto"/>
                <w:bottom w:val="none" w:sz="0" w:space="0" w:color="auto"/>
                <w:right w:val="none" w:sz="0" w:space="0" w:color="auto"/>
              </w:divBdr>
              <w:divsChild>
                <w:div w:id="89551763">
                  <w:marLeft w:val="0"/>
                  <w:marRight w:val="0"/>
                  <w:marTop w:val="0"/>
                  <w:marBottom w:val="0"/>
                  <w:divBdr>
                    <w:top w:val="none" w:sz="0" w:space="0" w:color="auto"/>
                    <w:left w:val="none" w:sz="0" w:space="0" w:color="auto"/>
                    <w:bottom w:val="none" w:sz="0" w:space="0" w:color="auto"/>
                    <w:right w:val="none" w:sz="0" w:space="0" w:color="auto"/>
                  </w:divBdr>
                  <w:divsChild>
                    <w:div w:id="810443206">
                      <w:marLeft w:val="0"/>
                      <w:marRight w:val="0"/>
                      <w:marTop w:val="0"/>
                      <w:marBottom w:val="0"/>
                      <w:divBdr>
                        <w:top w:val="none" w:sz="0" w:space="0" w:color="auto"/>
                        <w:left w:val="none" w:sz="0" w:space="0" w:color="auto"/>
                        <w:bottom w:val="none" w:sz="0" w:space="0" w:color="auto"/>
                        <w:right w:val="none" w:sz="0" w:space="0" w:color="auto"/>
                      </w:divBdr>
                      <w:divsChild>
                        <w:div w:id="75637997">
                          <w:marLeft w:val="0"/>
                          <w:marRight w:val="0"/>
                          <w:marTop w:val="0"/>
                          <w:marBottom w:val="0"/>
                          <w:divBdr>
                            <w:top w:val="none" w:sz="0" w:space="0" w:color="auto"/>
                            <w:left w:val="none" w:sz="0" w:space="0" w:color="auto"/>
                            <w:bottom w:val="none" w:sz="0" w:space="0" w:color="auto"/>
                            <w:right w:val="none" w:sz="0" w:space="0" w:color="auto"/>
                          </w:divBdr>
                          <w:divsChild>
                            <w:div w:id="1369911573">
                              <w:marLeft w:val="0"/>
                              <w:marRight w:val="0"/>
                              <w:marTop w:val="0"/>
                              <w:marBottom w:val="0"/>
                              <w:divBdr>
                                <w:top w:val="none" w:sz="0" w:space="0" w:color="auto"/>
                                <w:left w:val="none" w:sz="0" w:space="0" w:color="auto"/>
                                <w:bottom w:val="none" w:sz="0" w:space="0" w:color="auto"/>
                                <w:right w:val="none" w:sz="0" w:space="0" w:color="auto"/>
                              </w:divBdr>
                              <w:divsChild>
                                <w:div w:id="14348614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436418">
      <w:bodyDiv w:val="1"/>
      <w:marLeft w:val="0"/>
      <w:marRight w:val="0"/>
      <w:marTop w:val="0"/>
      <w:marBottom w:val="0"/>
      <w:divBdr>
        <w:top w:val="none" w:sz="0" w:space="0" w:color="auto"/>
        <w:left w:val="none" w:sz="0" w:space="0" w:color="auto"/>
        <w:bottom w:val="none" w:sz="0" w:space="0" w:color="auto"/>
        <w:right w:val="none" w:sz="0" w:space="0" w:color="auto"/>
      </w:divBdr>
    </w:div>
    <w:div w:id="1754622413">
      <w:bodyDiv w:val="1"/>
      <w:marLeft w:val="0"/>
      <w:marRight w:val="0"/>
      <w:marTop w:val="0"/>
      <w:marBottom w:val="0"/>
      <w:divBdr>
        <w:top w:val="none" w:sz="0" w:space="0" w:color="auto"/>
        <w:left w:val="none" w:sz="0" w:space="0" w:color="auto"/>
        <w:bottom w:val="none" w:sz="0" w:space="0" w:color="auto"/>
        <w:right w:val="none" w:sz="0" w:space="0" w:color="auto"/>
      </w:divBdr>
      <w:divsChild>
        <w:div w:id="491337014">
          <w:marLeft w:val="0"/>
          <w:marRight w:val="0"/>
          <w:marTop w:val="0"/>
          <w:marBottom w:val="0"/>
          <w:divBdr>
            <w:top w:val="none" w:sz="0" w:space="0" w:color="auto"/>
            <w:left w:val="none" w:sz="0" w:space="0" w:color="auto"/>
            <w:bottom w:val="none" w:sz="0" w:space="0" w:color="auto"/>
            <w:right w:val="none" w:sz="0" w:space="0" w:color="auto"/>
          </w:divBdr>
          <w:divsChild>
            <w:div w:id="1500077210">
              <w:marLeft w:val="0"/>
              <w:marRight w:val="0"/>
              <w:marTop w:val="0"/>
              <w:marBottom w:val="0"/>
              <w:divBdr>
                <w:top w:val="none" w:sz="0" w:space="0" w:color="auto"/>
                <w:left w:val="none" w:sz="0" w:space="0" w:color="auto"/>
                <w:bottom w:val="none" w:sz="0" w:space="0" w:color="auto"/>
                <w:right w:val="none" w:sz="0" w:space="0" w:color="auto"/>
              </w:divBdr>
              <w:divsChild>
                <w:div w:id="868373886">
                  <w:marLeft w:val="0"/>
                  <w:marRight w:val="0"/>
                  <w:marTop w:val="0"/>
                  <w:marBottom w:val="0"/>
                  <w:divBdr>
                    <w:top w:val="none" w:sz="0" w:space="0" w:color="auto"/>
                    <w:left w:val="none" w:sz="0" w:space="0" w:color="auto"/>
                    <w:bottom w:val="none" w:sz="0" w:space="0" w:color="auto"/>
                    <w:right w:val="none" w:sz="0" w:space="0" w:color="auto"/>
                  </w:divBdr>
                  <w:divsChild>
                    <w:div w:id="1352881162">
                      <w:marLeft w:val="0"/>
                      <w:marRight w:val="0"/>
                      <w:marTop w:val="0"/>
                      <w:marBottom w:val="0"/>
                      <w:divBdr>
                        <w:top w:val="none" w:sz="0" w:space="0" w:color="auto"/>
                        <w:left w:val="none" w:sz="0" w:space="0" w:color="auto"/>
                        <w:bottom w:val="none" w:sz="0" w:space="0" w:color="auto"/>
                        <w:right w:val="none" w:sz="0" w:space="0" w:color="auto"/>
                      </w:divBdr>
                      <w:divsChild>
                        <w:div w:id="1861771810">
                          <w:marLeft w:val="0"/>
                          <w:marRight w:val="0"/>
                          <w:marTop w:val="0"/>
                          <w:marBottom w:val="0"/>
                          <w:divBdr>
                            <w:top w:val="none" w:sz="0" w:space="0" w:color="auto"/>
                            <w:left w:val="none" w:sz="0" w:space="0" w:color="auto"/>
                            <w:bottom w:val="none" w:sz="0" w:space="0" w:color="auto"/>
                            <w:right w:val="none" w:sz="0" w:space="0" w:color="auto"/>
                          </w:divBdr>
                          <w:divsChild>
                            <w:div w:id="1045368999">
                              <w:marLeft w:val="0"/>
                              <w:marRight w:val="0"/>
                              <w:marTop w:val="0"/>
                              <w:marBottom w:val="0"/>
                              <w:divBdr>
                                <w:top w:val="none" w:sz="0" w:space="0" w:color="auto"/>
                                <w:left w:val="none" w:sz="0" w:space="0" w:color="auto"/>
                                <w:bottom w:val="none" w:sz="0" w:space="0" w:color="auto"/>
                                <w:right w:val="none" w:sz="0" w:space="0" w:color="auto"/>
                              </w:divBdr>
                              <w:divsChild>
                                <w:div w:id="3605197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210239">
      <w:bodyDiv w:val="1"/>
      <w:marLeft w:val="0"/>
      <w:marRight w:val="0"/>
      <w:marTop w:val="0"/>
      <w:marBottom w:val="0"/>
      <w:divBdr>
        <w:top w:val="none" w:sz="0" w:space="0" w:color="auto"/>
        <w:left w:val="none" w:sz="0" w:space="0" w:color="auto"/>
        <w:bottom w:val="none" w:sz="0" w:space="0" w:color="auto"/>
        <w:right w:val="none" w:sz="0" w:space="0" w:color="auto"/>
      </w:divBdr>
      <w:divsChild>
        <w:div w:id="2082633949">
          <w:marLeft w:val="0"/>
          <w:marRight w:val="0"/>
          <w:marTop w:val="0"/>
          <w:marBottom w:val="0"/>
          <w:divBdr>
            <w:top w:val="none" w:sz="0" w:space="0" w:color="auto"/>
            <w:left w:val="none" w:sz="0" w:space="0" w:color="auto"/>
            <w:bottom w:val="none" w:sz="0" w:space="0" w:color="auto"/>
            <w:right w:val="none" w:sz="0" w:space="0" w:color="auto"/>
          </w:divBdr>
          <w:divsChild>
            <w:div w:id="1938901644">
              <w:marLeft w:val="0"/>
              <w:marRight w:val="0"/>
              <w:marTop w:val="0"/>
              <w:marBottom w:val="0"/>
              <w:divBdr>
                <w:top w:val="none" w:sz="0" w:space="0" w:color="auto"/>
                <w:left w:val="none" w:sz="0" w:space="0" w:color="auto"/>
                <w:bottom w:val="none" w:sz="0" w:space="0" w:color="auto"/>
                <w:right w:val="none" w:sz="0" w:space="0" w:color="auto"/>
              </w:divBdr>
              <w:divsChild>
                <w:div w:id="1987473666">
                  <w:marLeft w:val="0"/>
                  <w:marRight w:val="0"/>
                  <w:marTop w:val="0"/>
                  <w:marBottom w:val="0"/>
                  <w:divBdr>
                    <w:top w:val="none" w:sz="0" w:space="0" w:color="auto"/>
                    <w:left w:val="none" w:sz="0" w:space="0" w:color="auto"/>
                    <w:bottom w:val="none" w:sz="0" w:space="0" w:color="auto"/>
                    <w:right w:val="none" w:sz="0" w:space="0" w:color="auto"/>
                  </w:divBdr>
                  <w:divsChild>
                    <w:div w:id="855266940">
                      <w:marLeft w:val="0"/>
                      <w:marRight w:val="0"/>
                      <w:marTop w:val="0"/>
                      <w:marBottom w:val="0"/>
                      <w:divBdr>
                        <w:top w:val="none" w:sz="0" w:space="0" w:color="auto"/>
                        <w:left w:val="none" w:sz="0" w:space="0" w:color="auto"/>
                        <w:bottom w:val="none" w:sz="0" w:space="0" w:color="auto"/>
                        <w:right w:val="none" w:sz="0" w:space="0" w:color="auto"/>
                      </w:divBdr>
                      <w:divsChild>
                        <w:div w:id="1807233726">
                          <w:marLeft w:val="0"/>
                          <w:marRight w:val="0"/>
                          <w:marTop w:val="0"/>
                          <w:marBottom w:val="0"/>
                          <w:divBdr>
                            <w:top w:val="none" w:sz="0" w:space="0" w:color="auto"/>
                            <w:left w:val="none" w:sz="0" w:space="0" w:color="auto"/>
                            <w:bottom w:val="none" w:sz="0" w:space="0" w:color="auto"/>
                            <w:right w:val="none" w:sz="0" w:space="0" w:color="auto"/>
                          </w:divBdr>
                          <w:divsChild>
                            <w:div w:id="708069397">
                              <w:marLeft w:val="0"/>
                              <w:marRight w:val="0"/>
                              <w:marTop w:val="0"/>
                              <w:marBottom w:val="0"/>
                              <w:divBdr>
                                <w:top w:val="none" w:sz="0" w:space="0" w:color="auto"/>
                                <w:left w:val="none" w:sz="0" w:space="0" w:color="auto"/>
                                <w:bottom w:val="none" w:sz="0" w:space="0" w:color="auto"/>
                                <w:right w:val="none" w:sz="0" w:space="0" w:color="auto"/>
                              </w:divBdr>
                              <w:divsChild>
                                <w:div w:id="17437484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378128">
      <w:bodyDiv w:val="1"/>
      <w:marLeft w:val="0"/>
      <w:marRight w:val="0"/>
      <w:marTop w:val="0"/>
      <w:marBottom w:val="0"/>
      <w:divBdr>
        <w:top w:val="none" w:sz="0" w:space="0" w:color="auto"/>
        <w:left w:val="none" w:sz="0" w:space="0" w:color="auto"/>
        <w:bottom w:val="none" w:sz="0" w:space="0" w:color="auto"/>
        <w:right w:val="none" w:sz="0" w:space="0" w:color="auto"/>
      </w:divBdr>
    </w:div>
    <w:div w:id="2055348291">
      <w:bodyDiv w:val="1"/>
      <w:marLeft w:val="0"/>
      <w:marRight w:val="0"/>
      <w:marTop w:val="0"/>
      <w:marBottom w:val="0"/>
      <w:divBdr>
        <w:top w:val="none" w:sz="0" w:space="0" w:color="auto"/>
        <w:left w:val="none" w:sz="0" w:space="0" w:color="auto"/>
        <w:bottom w:val="none" w:sz="0" w:space="0" w:color="auto"/>
        <w:right w:val="none" w:sz="0" w:space="0" w:color="auto"/>
      </w:divBdr>
      <w:divsChild>
        <w:div w:id="1986422961">
          <w:marLeft w:val="0"/>
          <w:marRight w:val="0"/>
          <w:marTop w:val="0"/>
          <w:marBottom w:val="0"/>
          <w:divBdr>
            <w:top w:val="none" w:sz="0" w:space="0" w:color="auto"/>
            <w:left w:val="none" w:sz="0" w:space="0" w:color="auto"/>
            <w:bottom w:val="none" w:sz="0" w:space="0" w:color="auto"/>
            <w:right w:val="none" w:sz="0" w:space="0" w:color="auto"/>
          </w:divBdr>
          <w:divsChild>
            <w:div w:id="699665855">
              <w:marLeft w:val="0"/>
              <w:marRight w:val="0"/>
              <w:marTop w:val="0"/>
              <w:marBottom w:val="0"/>
              <w:divBdr>
                <w:top w:val="none" w:sz="0" w:space="0" w:color="auto"/>
                <w:left w:val="none" w:sz="0" w:space="0" w:color="auto"/>
                <w:bottom w:val="none" w:sz="0" w:space="0" w:color="auto"/>
                <w:right w:val="none" w:sz="0" w:space="0" w:color="auto"/>
              </w:divBdr>
              <w:divsChild>
                <w:div w:id="1712208">
                  <w:marLeft w:val="0"/>
                  <w:marRight w:val="0"/>
                  <w:marTop w:val="0"/>
                  <w:marBottom w:val="0"/>
                  <w:divBdr>
                    <w:top w:val="none" w:sz="0" w:space="0" w:color="auto"/>
                    <w:left w:val="none" w:sz="0" w:space="0" w:color="auto"/>
                    <w:bottom w:val="none" w:sz="0" w:space="0" w:color="auto"/>
                    <w:right w:val="none" w:sz="0" w:space="0" w:color="auto"/>
                  </w:divBdr>
                  <w:divsChild>
                    <w:div w:id="1212768950">
                      <w:marLeft w:val="0"/>
                      <w:marRight w:val="0"/>
                      <w:marTop w:val="0"/>
                      <w:marBottom w:val="0"/>
                      <w:divBdr>
                        <w:top w:val="none" w:sz="0" w:space="0" w:color="auto"/>
                        <w:left w:val="none" w:sz="0" w:space="0" w:color="auto"/>
                        <w:bottom w:val="none" w:sz="0" w:space="0" w:color="auto"/>
                        <w:right w:val="none" w:sz="0" w:space="0" w:color="auto"/>
                      </w:divBdr>
                      <w:divsChild>
                        <w:div w:id="1080755272">
                          <w:marLeft w:val="0"/>
                          <w:marRight w:val="0"/>
                          <w:marTop w:val="0"/>
                          <w:marBottom w:val="0"/>
                          <w:divBdr>
                            <w:top w:val="none" w:sz="0" w:space="0" w:color="auto"/>
                            <w:left w:val="none" w:sz="0" w:space="0" w:color="auto"/>
                            <w:bottom w:val="none" w:sz="0" w:space="0" w:color="auto"/>
                            <w:right w:val="none" w:sz="0" w:space="0" w:color="auto"/>
                          </w:divBdr>
                          <w:divsChild>
                            <w:div w:id="208034290">
                              <w:marLeft w:val="0"/>
                              <w:marRight w:val="0"/>
                              <w:marTop w:val="0"/>
                              <w:marBottom w:val="0"/>
                              <w:divBdr>
                                <w:top w:val="none" w:sz="0" w:space="0" w:color="auto"/>
                                <w:left w:val="none" w:sz="0" w:space="0" w:color="auto"/>
                                <w:bottom w:val="none" w:sz="0" w:space="0" w:color="auto"/>
                                <w:right w:val="none" w:sz="0" w:space="0" w:color="auto"/>
                              </w:divBdr>
                              <w:divsChild>
                                <w:div w:id="8332564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96400">
      <w:bodyDiv w:val="1"/>
      <w:marLeft w:val="0"/>
      <w:marRight w:val="0"/>
      <w:marTop w:val="0"/>
      <w:marBottom w:val="0"/>
      <w:divBdr>
        <w:top w:val="none" w:sz="0" w:space="0" w:color="auto"/>
        <w:left w:val="none" w:sz="0" w:space="0" w:color="auto"/>
        <w:bottom w:val="none" w:sz="0" w:space="0" w:color="auto"/>
        <w:right w:val="none" w:sz="0" w:space="0" w:color="auto"/>
      </w:divBdr>
      <w:divsChild>
        <w:div w:id="983463250">
          <w:marLeft w:val="0"/>
          <w:marRight w:val="0"/>
          <w:marTop w:val="0"/>
          <w:marBottom w:val="0"/>
          <w:divBdr>
            <w:top w:val="none" w:sz="0" w:space="0" w:color="auto"/>
            <w:left w:val="none" w:sz="0" w:space="0" w:color="auto"/>
            <w:bottom w:val="none" w:sz="0" w:space="0" w:color="auto"/>
            <w:right w:val="none" w:sz="0" w:space="0" w:color="auto"/>
          </w:divBdr>
          <w:divsChild>
            <w:div w:id="1713918553">
              <w:marLeft w:val="0"/>
              <w:marRight w:val="0"/>
              <w:marTop w:val="0"/>
              <w:marBottom w:val="0"/>
              <w:divBdr>
                <w:top w:val="none" w:sz="0" w:space="0" w:color="auto"/>
                <w:left w:val="none" w:sz="0" w:space="0" w:color="auto"/>
                <w:bottom w:val="none" w:sz="0" w:space="0" w:color="auto"/>
                <w:right w:val="none" w:sz="0" w:space="0" w:color="auto"/>
              </w:divBdr>
              <w:divsChild>
                <w:div w:id="707488454">
                  <w:marLeft w:val="0"/>
                  <w:marRight w:val="0"/>
                  <w:marTop w:val="0"/>
                  <w:marBottom w:val="0"/>
                  <w:divBdr>
                    <w:top w:val="none" w:sz="0" w:space="0" w:color="auto"/>
                    <w:left w:val="none" w:sz="0" w:space="0" w:color="auto"/>
                    <w:bottom w:val="none" w:sz="0" w:space="0" w:color="auto"/>
                    <w:right w:val="none" w:sz="0" w:space="0" w:color="auto"/>
                  </w:divBdr>
                  <w:divsChild>
                    <w:div w:id="887840822">
                      <w:marLeft w:val="0"/>
                      <w:marRight w:val="0"/>
                      <w:marTop w:val="0"/>
                      <w:marBottom w:val="0"/>
                      <w:divBdr>
                        <w:top w:val="none" w:sz="0" w:space="0" w:color="auto"/>
                        <w:left w:val="none" w:sz="0" w:space="0" w:color="auto"/>
                        <w:bottom w:val="none" w:sz="0" w:space="0" w:color="auto"/>
                        <w:right w:val="none" w:sz="0" w:space="0" w:color="auto"/>
                      </w:divBdr>
                      <w:divsChild>
                        <w:div w:id="294528764">
                          <w:marLeft w:val="0"/>
                          <w:marRight w:val="0"/>
                          <w:marTop w:val="0"/>
                          <w:marBottom w:val="0"/>
                          <w:divBdr>
                            <w:top w:val="none" w:sz="0" w:space="0" w:color="auto"/>
                            <w:left w:val="none" w:sz="0" w:space="0" w:color="auto"/>
                            <w:bottom w:val="none" w:sz="0" w:space="0" w:color="auto"/>
                            <w:right w:val="none" w:sz="0" w:space="0" w:color="auto"/>
                          </w:divBdr>
                          <w:divsChild>
                            <w:div w:id="1805925444">
                              <w:marLeft w:val="0"/>
                              <w:marRight w:val="0"/>
                              <w:marTop w:val="0"/>
                              <w:marBottom w:val="0"/>
                              <w:divBdr>
                                <w:top w:val="none" w:sz="0" w:space="0" w:color="auto"/>
                                <w:left w:val="none" w:sz="0" w:space="0" w:color="auto"/>
                                <w:bottom w:val="none" w:sz="0" w:space="0" w:color="auto"/>
                                <w:right w:val="none" w:sz="0" w:space="0" w:color="auto"/>
                              </w:divBdr>
                              <w:divsChild>
                                <w:div w:id="15853834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pring-projects/spring-boot/tree/v2.3.4.RELEASE/spring-boot-project/spring-boot/src/main/resources/org/springframework/boot/logging/log4j2/log4j2.xml" TargetMode="External"/><Relationship Id="rId671" Type="http://schemas.openxmlformats.org/officeDocument/2006/relationships/hyperlink" Target="http://java.sun.com/xml/ns/javaee" TargetMode="External"/><Relationship Id="rId769" Type="http://schemas.openxmlformats.org/officeDocument/2006/relationships/hyperlink" Target="https://github.com/spring-projects/spring-boot/tree/v2.3.4.RELEASE/spring-boot-project/spring-boot-autoconfigure/src/main/java/org/springframework/boot/autoconfigure/integration/IntegrationAutoConfiguration.java" TargetMode="External"/><Relationship Id="rId976" Type="http://schemas.openxmlformats.org/officeDocument/2006/relationships/hyperlink" Target="https://docs.spring.io/spring-boot/docs/2.3.4.RELEASE/api/org/springframework/boot/actuate/autoconfigure/jdbc/DataSourceHealthContributorAutoConfiguration.html" TargetMode="External"/><Relationship Id="rId21" Type="http://schemas.openxmlformats.org/officeDocument/2006/relationships/hyperlink" Target="https://stackoverflow.com/" TargetMode="External"/><Relationship Id="rId324" Type="http://schemas.openxmlformats.org/officeDocument/2006/relationships/hyperlink" Target="https://site.mockito.org/" TargetMode="External"/><Relationship Id="rId531" Type="http://schemas.openxmlformats.org/officeDocument/2006/relationships/hyperlink" Target="https://docs.cloudfoundry.org/cf-cli/getting-started.html" TargetMode="External"/><Relationship Id="rId629" Type="http://schemas.openxmlformats.org/officeDocument/2006/relationships/hyperlink" Target="https://docs.jboss.org/hibernate/orm/5.4/userguide/html_single/Hibernate_User_Guide.html" TargetMode="External"/><Relationship Id="rId170" Type="http://schemas.openxmlformats.org/officeDocument/2006/relationships/hyperlink" Target="https://docs.spring.io/spring-boot/docs/2.3.4.RELEASE/api/org/springframework/boot/web/servlet/server/ConfigurableServletWebServerFactory.html" TargetMode="External"/><Relationship Id="rId836" Type="http://schemas.openxmlformats.org/officeDocument/2006/relationships/hyperlink" Target="https://docs.spring.io/spring-boot/docs/2.3.4.RELEASE/api/org/springframework/boot/autoconfigure/dao/PersistenceExceptionTranslationAutoConfiguration.html" TargetMode="External"/><Relationship Id="rId1021" Type="http://schemas.openxmlformats.org/officeDocument/2006/relationships/hyperlink" Target="https://github.com/spring-projects/spring-boot/tree/v2.3.4.RELEASE/spring-boot-project/spring-boot-actuator-autoconfigure/src/main/java/org/springframework/boot/actuate/autoconfigure/metrics/export/influx/InfluxMetricsExportAutoConfiguration.java" TargetMode="External"/><Relationship Id="rId1119" Type="http://schemas.openxmlformats.org/officeDocument/2006/relationships/hyperlink" Target="https://github.com/spring-projects/spring-boot/tree/v2.3.4.RELEASE/spring-boot-project/spring-boot-actuator-autoconfigure/src/main/java/org/springframework/boot/actuate/autoconfigure/metrics/export/wavefront/WavefrontMetricsExportAutoConfiguration.java" TargetMode="External"/><Relationship Id="rId268" Type="http://schemas.openxmlformats.org/officeDocument/2006/relationships/hyperlink" Target="https://docs.spring.io/spring/docs/5.2.9.RELEASE/spring-framework-reference/integration.html" TargetMode="External"/><Relationship Id="rId475" Type="http://schemas.openxmlformats.org/officeDocument/2006/relationships/hyperlink" Target="https://docs.spring.io/spring-boot/docs/2.3.4.RELEASE/actuator-api/html" TargetMode="External"/><Relationship Id="rId682" Type="http://schemas.openxmlformats.org/officeDocument/2006/relationships/hyperlink" Target="mailto:chema-@@platform@@.sql" TargetMode="External"/><Relationship Id="rId903" Type="http://schemas.openxmlformats.org/officeDocument/2006/relationships/hyperlink" Target="https://github.com/spring-projects/spring-boot/tree/v2.3.4.RELEASE/spring-boot-project/spring-boot-autoconfigure/src/main/java/org/springframework/boot/autoconfigure/admin/SpringApplicationAdminJmxAutoConfiguration.java" TargetMode="External"/><Relationship Id="rId32" Type="http://schemas.openxmlformats.org/officeDocument/2006/relationships/hyperlink" Target="https://chocolatey.org/" TargetMode="External"/><Relationship Id="rId128" Type="http://schemas.openxmlformats.org/officeDocument/2006/relationships/hyperlink" Target="https://github.com/spring-projects/spring-boot/tree/v2.3.4.RELEASE/spring-boot-project/spring-boot/src/main/java/org/springframework/boot/jackson/JsonObjectSerializer.java" TargetMode="External"/><Relationship Id="rId335" Type="http://schemas.openxmlformats.org/officeDocument/2006/relationships/hyperlink" Target="https://docs.spring.io/spring/docs/5.2.9.RELEASE/spring-framework-reference/testing.html" TargetMode="External"/><Relationship Id="rId542" Type="http://schemas.openxmlformats.org/officeDocument/2006/relationships/hyperlink" Target="https://blog.openshift.com/openshift-commons-briefing-96-cloud-native-applications-spring-rhoar/" TargetMode="External"/><Relationship Id="rId987" Type="http://schemas.openxmlformats.org/officeDocument/2006/relationships/hyperlink" Target="https://github.com/spring-projects/spring-boot/tree/v2.3.4.RELEASE/spring-boot-project/spring-boot-actuator-autoconfigure/src/main/java/org/springframework/boot/actuate/autoconfigure/elasticsearch/ElasticSearchReactiveHealthContributorAutoConfiguration.java" TargetMode="External"/><Relationship Id="rId181" Type="http://schemas.openxmlformats.org/officeDocument/2006/relationships/hyperlink" Target="https://docs.spring.io/spring-security-oauth2-boot/" TargetMode="External"/><Relationship Id="rId402" Type="http://schemas.openxmlformats.org/officeDocument/2006/relationships/hyperlink" Target="https://github.com/sdeleuze/spring-boot-kotlin-demo" TargetMode="External"/><Relationship Id="rId847" Type="http://schemas.openxmlformats.org/officeDocument/2006/relationships/hyperlink" Target="https://github.com/spring-projects/spring-boot/tree/v2.3.4.RELEASE/spring-boot-project/spring-boot-autoconfigure/src/main/java/org/springframework/boot/autoconfigure/data/r2dbc/R2dbcRepositoriesAutoConfiguration.java" TargetMode="External"/><Relationship Id="rId1032" Type="http://schemas.openxmlformats.org/officeDocument/2006/relationships/hyperlink" Target="https://docs.spring.io/spring-boot/docs/2.3.4.RELEASE/api/org/springframework/boot/actuate/autoconfigure/metrics/web/jetty/JettyMetricsAutoConfiguration.html" TargetMode="External"/><Relationship Id="rId279" Type="http://schemas.openxmlformats.org/officeDocument/2006/relationships/hyperlink" Target="https://activemq.apache.org/components/artemis/" TargetMode="External"/><Relationship Id="rId486" Type="http://schemas.openxmlformats.org/officeDocument/2006/relationships/hyperlink" Target="https://github.com/Netflix/atlas" TargetMode="External"/><Relationship Id="rId693" Type="http://schemas.openxmlformats.org/officeDocument/2006/relationships/hyperlink" Target="https://github.com/spring-projects/spring-boot/tree/v2.3.4.RELEASE/spring-boot-project/spring-boot-autoconfigure/src/main/java/org/springframework/boot/autoconfigure/cache/CacheAutoConfiguration.java" TargetMode="External"/><Relationship Id="rId707" Type="http://schemas.openxmlformats.org/officeDocument/2006/relationships/hyperlink" Target="https://github.com/spring-projects/spring-boot/tree/v2.3.4.RELEASE/spring-boot-project/spring-boot-autoconfigure/src/main/java/org/springframework/boot/autoconfigure/http/codec/CodecsAutoConfiguration.java" TargetMode="External"/><Relationship Id="rId914" Type="http://schemas.openxmlformats.org/officeDocument/2006/relationships/hyperlink" Target="https://docs.spring.io/spring-boot/docs/2.3.4.RELEASE/api/org/springframework/boot/autoconfigure/transaction/TransactionAutoConfiguration.html" TargetMode="External"/><Relationship Id="rId43" Type="http://schemas.openxmlformats.org/officeDocument/2006/relationships/hyperlink" Target="https://raw.githubusercontent.com/spring-projects/spring-boot/v2.3.4.RELEASE/spring-boot-project/spring-boot-cli/src/main/content/INSTALL.txt" TargetMode="External"/><Relationship Id="rId139" Type="http://schemas.openxmlformats.org/officeDocument/2006/relationships/hyperlink" Target="https://freemarker.apache.org/docs/" TargetMode="External"/><Relationship Id="rId346" Type="http://schemas.openxmlformats.org/officeDocument/2006/relationships/hyperlink" Target="http://spockframework.org/spock/docs/1.2/modules.html" TargetMode="External"/><Relationship Id="rId553" Type="http://schemas.openxmlformats.org/officeDocument/2006/relationships/hyperlink" Target="https://boxfuse.com/docs/payloads/springboot.html" TargetMode="External"/><Relationship Id="rId760" Type="http://schemas.openxmlformats.org/officeDocument/2006/relationships/hyperlink" Target="https://docs.spring.io/spring-boot/docs/2.3.4.RELEASE/api/org/springframework/boot/autoconfigure/web/servlet/HttpEncodingAutoConfiguration.html" TargetMode="External"/><Relationship Id="rId998" Type="http://schemas.openxmlformats.org/officeDocument/2006/relationships/hyperlink" Target="https://docs.spring.io/spring-boot/docs/2.3.4.RELEASE/api/org/springframework/boot/actuate/autoconfigure/metrics/export/ganglia/GangliaMetricsExportAutoConfiguration.html" TargetMode="External"/><Relationship Id="rId192" Type="http://schemas.openxmlformats.org/officeDocument/2006/relationships/hyperlink" Target="https://spring.io/projects/spring-data" TargetMode="External"/><Relationship Id="rId206" Type="http://schemas.openxmlformats.org/officeDocument/2006/relationships/hyperlink" Target="https://www.h2database.com/html/quickstart.html" TargetMode="External"/><Relationship Id="rId413" Type="http://schemas.openxmlformats.org/officeDocument/2006/relationships/hyperlink" Target="https://github.com/spring-projects/spring-boot/tree/v2.3.4.RELEASE" TargetMode="External"/><Relationship Id="rId858" Type="http://schemas.openxmlformats.org/officeDocument/2006/relationships/hyperlink" Target="https://docs.spring.io/spring-boot/docs/2.3.4.RELEASE/api/org/springframework/boot/autoconfigure/rsocket/RSocketServerAutoConfiguration.html" TargetMode="External"/><Relationship Id="rId1043" Type="http://schemas.openxmlformats.org/officeDocument/2006/relationships/hyperlink" Target="https://github.com/spring-projects/spring-boot/tree/v2.3.4.RELEASE/spring-boot-project/spring-boot-actuator-autoconfigure/src/main/java/org/springframework/boot/actuate/autoconfigure/metrics/KafkaMetricsAutoConfiguration.java" TargetMode="External"/><Relationship Id="rId497" Type="http://schemas.openxmlformats.org/officeDocument/2006/relationships/hyperlink" Target="https://micrometer.io/docs/registry/humio" TargetMode="External"/><Relationship Id="rId620" Type="http://schemas.openxmlformats.org/officeDocument/2006/relationships/hyperlink" Target="https://logging.apache.org/log4j/2.x/" TargetMode="External"/><Relationship Id="rId718" Type="http://schemas.openxmlformats.org/officeDocument/2006/relationships/hyperlink" Target="https://docs.spring.io/spring-boot/docs/2.3.4.RELEASE/api/org/springframework/boot/autoconfigure/data/couchbase/CouchbaseReactiveRepositoriesAutoConfiguration.html" TargetMode="External"/><Relationship Id="rId925" Type="http://schemas.openxmlformats.org/officeDocument/2006/relationships/hyperlink" Target="https://github.com/spring-projects/spring-boot/tree/v2.3.4.RELEASE/spring-boot-project/spring-boot-autoconfigure/src/main/java/org/springframework/boot/autoconfigure/webservices/client/WebServiceTemplateAutoConfiguration.java" TargetMode="External"/><Relationship Id="rId357" Type="http://schemas.openxmlformats.org/officeDocument/2006/relationships/hyperlink" Target="https://docs.spring.io/spring/docs/5.2.9.RELEASE/spring-framework-reference/core.html" TargetMode="External"/><Relationship Id="rId1110" Type="http://schemas.openxmlformats.org/officeDocument/2006/relationships/hyperlink" Target="https://docs.spring.io/spring-boot/docs/2.3.4.RELEASE/api/org/springframework/boot/actuate/autoconfigure/metrics/export/stackdriver/StackdriverMetricsExportAutoConfiguration.html" TargetMode="External"/><Relationship Id="rId54" Type="http://schemas.openxmlformats.org/officeDocument/2006/relationships/hyperlink" Target="https://spring.io/" TargetMode="External"/><Relationship Id="rId217" Type="http://schemas.openxmlformats.org/officeDocument/2006/relationships/hyperlink" Target="https://spring.io/projects/spring-data-neo4j" TargetMode="External"/><Relationship Id="rId564" Type="http://schemas.openxmlformats.org/officeDocument/2006/relationships/hyperlink" Target="https://www.cloudfoundry.org/" TargetMode="External"/><Relationship Id="rId771" Type="http://schemas.openxmlformats.org/officeDocument/2006/relationships/hyperlink" Target="https://github.com/spring-projects/spring-boot/tree/v2.3.4.RELEASE/spring-boot-project/spring-boot-autoconfigure/src/main/java/org/springframework/boot/autoconfigure/jackson/JacksonAutoConfiguration.java" TargetMode="External"/><Relationship Id="rId869" Type="http://schemas.openxmlformats.org/officeDocument/2006/relationships/hyperlink" Target="https://github.com/spring-projects/spring-boot/tree/v2.3.4.RELEASE/spring-boot-project/spring-boot-autoconfigure/src/main/java/org/springframework/boot/autoconfigure/security/oauth2/resource/reactive/ReactiveOAuth2ResourceServerAutoConfiguration.java" TargetMode="External"/><Relationship Id="rId424" Type="http://schemas.openxmlformats.org/officeDocument/2006/relationships/hyperlink" Target="https://github.com/spring-projects/spring-boot/tree/v2.3.4.RELEASE/spring-boot-project/spring-boot-actuator/src/main/java/org/springframework/boot/actuate/cassandra/CassandraHealthIndicator.java" TargetMode="External"/><Relationship Id="rId631" Type="http://schemas.openxmlformats.org/officeDocument/2006/relationships/hyperlink" Target="https://docs.spring.io/spring-data/rest/docs/3.3.4.RELEASE/api/org/springframework/data/rest/core/config/RepositoryRestConfiguration.html" TargetMode="External"/><Relationship Id="rId729" Type="http://schemas.openxmlformats.org/officeDocument/2006/relationships/hyperlink" Target="https://github.com/spring-projects/spring-boot/tree/v2.3.4.RELEASE/spring-boot-project/spring-boot-autoconfigure/src/main/java/org/springframework/boot/autoconfigure/data/elasticsearch/ElasticsearchRepositoriesAutoConfiguration.java" TargetMode="External"/><Relationship Id="rId1054" Type="http://schemas.openxmlformats.org/officeDocument/2006/relationships/hyperlink" Target="https://docs.spring.io/spring-boot/docs/2.3.4.RELEASE/api/org/springframework/boot/actuate/autoconfigure/logging/LogFileWebEndpointAutoConfiguration.html" TargetMode="External"/><Relationship Id="rId270" Type="http://schemas.openxmlformats.org/officeDocument/2006/relationships/hyperlink" Target="https://jcp.org/en/jsr/detail?id=107" TargetMode="External"/><Relationship Id="rId936" Type="http://schemas.openxmlformats.org/officeDocument/2006/relationships/hyperlink" Target="https://docs.spring.io/spring-boot/docs/2.3.4.RELEASE/api/org/springframework/boot/autoconfigure/jdbc/XADataSourceAutoConfiguration.html" TargetMode="External"/><Relationship Id="rId1121" Type="http://schemas.openxmlformats.org/officeDocument/2006/relationships/hyperlink" Target="https://github.com/spring-projects/spring-boot/tree/v2.3.4.RELEASE/spring-boot-project/spring-boot-actuator-autoconfigure/src/main/java/org/springframework/boot/actuate/autoconfigure/endpoint/web/WebEndpointAutoConfiguration.java" TargetMode="External"/><Relationship Id="rId65" Type="http://schemas.openxmlformats.org/officeDocument/2006/relationships/hyperlink" Target="https://spring.io/guides/" TargetMode="External"/><Relationship Id="rId130" Type="http://schemas.openxmlformats.org/officeDocument/2006/relationships/hyperlink" Target="https://docs.spring.io/spring-boot/docs/2.3.4.RELEASE/api/org/springframework/boot/jackson/JsonObjectSerializer.html" TargetMode="External"/><Relationship Id="rId368" Type="http://schemas.openxmlformats.org/officeDocument/2006/relationships/hyperlink" Target="https://kotlinlang.org/docs/reference/compiler-plugins.html" TargetMode="External"/><Relationship Id="rId575" Type="http://schemas.openxmlformats.org/officeDocument/2006/relationships/hyperlink" Target="https://docs.spring.io/spring-boot/docs/2.3.4.RELEASE/maven-plugin/reference/pdf/spring-boot-maven-plugin-reference.pdf" TargetMode="External"/><Relationship Id="rId782" Type="http://schemas.openxmlformats.org/officeDocument/2006/relationships/hyperlink" Target="https://docs.spring.io/spring-boot/docs/2.3.4.RELEASE/api/org/springframework/boot/autoconfigure/jmx/JmxAutoConfiguration.html" TargetMode="External"/><Relationship Id="rId228" Type="http://schemas.openxmlformats.org/officeDocument/2006/relationships/hyperlink" Target="https://github.com/lettuce-io/lettuce-core/" TargetMode="External"/><Relationship Id="rId435" Type="http://schemas.openxmlformats.org/officeDocument/2006/relationships/hyperlink" Target="https://github.com/spring-projects/spring-boot/tree/v2.3.4.RELEASE/spring-boot-project/spring-boot-actuator/src/main/java/org/springframework/boot/actuate/mongo/MongoHealthIndicator.java" TargetMode="External"/><Relationship Id="rId642" Type="http://schemas.openxmlformats.org/officeDocument/2006/relationships/hyperlink" Target="https://docs.spring.io/spring-batch/docs/4.2.4.RELEASE/api/org/springframework/batch/core/configuration/annotation/EnableBatchProcessing.html" TargetMode="External"/><Relationship Id="rId1065" Type="http://schemas.openxmlformats.org/officeDocument/2006/relationships/hyperlink" Target="https://github.com/spring-projects/spring-boot/tree/v2.3.4.RELEASE/spring-boot-project/spring-boot-actuator-autoconfigure/src/main/java/org/springframework/boot/actuate/autoconfigure/web/mappings/MappingsEndpointAutoConfiguration.java" TargetMode="External"/><Relationship Id="rId281" Type="http://schemas.openxmlformats.org/officeDocument/2006/relationships/hyperlink" Target="https://docs.spring.io/spring/docs/5.2.9.RELEASE/javadoc-api/org/springframework/jms/core/JmsMessagingTemplate.html" TargetMode="External"/><Relationship Id="rId502" Type="http://schemas.openxmlformats.org/officeDocument/2006/relationships/hyperlink" Target="https://micrometer.io/docs/registry/jmx" TargetMode="External"/><Relationship Id="rId947" Type="http://schemas.openxmlformats.org/officeDocument/2006/relationships/hyperlink" Target="https://github.com/spring-projects/spring-boot/tree/v2.3.4.RELEASE/spring-boot-project/spring-boot-actuator-autoconfigure/src/main/java/org/springframework/boot/actuate/autoconfigure/availability/AvailabilityProbesAutoConfiguration.java" TargetMode="External"/><Relationship Id="rId1132" Type="http://schemas.openxmlformats.org/officeDocument/2006/relationships/hyperlink" Target="https://maven.apache.org/plugins/maven-shade-plugin/" TargetMode="External"/><Relationship Id="rId76" Type="http://schemas.openxmlformats.org/officeDocument/2006/relationships/hyperlink" Target="https://docs.gradle.org/current/userguide/userguide.html" TargetMode="External"/><Relationship Id="rId141" Type="http://schemas.openxmlformats.org/officeDocument/2006/relationships/hyperlink" Target="https://www.thymeleaf.org/" TargetMode="External"/><Relationship Id="rId379" Type="http://schemas.openxmlformats.org/officeDocument/2006/relationships/hyperlink" Target="https://start.spring.io/" TargetMode="External"/><Relationship Id="rId586" Type="http://schemas.openxmlformats.org/officeDocument/2006/relationships/hyperlink" Target="https://github.com/spring-projects/spring-boot/tree/v2.3.4.RELEASE" TargetMode="External"/><Relationship Id="rId793" Type="http://schemas.openxmlformats.org/officeDocument/2006/relationships/hyperlink" Target="https://github.com/spring-projects/spring-boot/tree/v2.3.4.RELEASE/spring-boot-project/spring-boot-autoconfigure/src/main/java/org/springframework/boot/autoconfigure/transaction/jta/JtaAutoConfiguration.java" TargetMode="External"/><Relationship Id="rId807" Type="http://schemas.openxmlformats.org/officeDocument/2006/relationships/hyperlink" Target="https://github.com/spring-projects/spring-boot/tree/v2.3.4.RELEASE/spring-boot-project/spring-boot-autoconfigure/src/main/java/org/springframework/boot/autoconfigure/mail/MailSenderValidatorAutoConfiguration.java" TargetMode="External"/><Relationship Id="rId7" Type="http://schemas.openxmlformats.org/officeDocument/2006/relationships/endnotes" Target="endnotes.xml"/><Relationship Id="rId239" Type="http://schemas.openxmlformats.org/officeDocument/2006/relationships/hyperlink" Target="https://neo4j.com/" TargetMode="External"/><Relationship Id="rId446" Type="http://schemas.openxmlformats.org/officeDocument/2006/relationships/hyperlink" Target="https://github.com/spring-projects/spring-boot/tree/v2.3.4.RELEASE/spring-boot-project/spring-boot-actuator/src/main/java/org/springframework/boot/actuate/health/StatusAggregator.java" TargetMode="External"/><Relationship Id="rId653" Type="http://schemas.openxmlformats.org/officeDocument/2006/relationships/hyperlink" Target="https://github.com/spring-projects/spring-boot/tree/v2.3.4.RELEASE/spring-boot-project/spring-boot-autoconfigure/src/main/java/org/springframework/boot/autoconfigure/thymeleaf/ThymeleafAutoConfiguration.java" TargetMode="External"/><Relationship Id="rId1076" Type="http://schemas.openxmlformats.org/officeDocument/2006/relationships/hyperlink" Target="https://docs.spring.io/spring-boot/docs/2.3.4.RELEASE/api/org/springframework/boot/actuate/autoconfigure/neo4j/Neo4jHealthContributorAutoConfiguration.html" TargetMode="External"/><Relationship Id="rId292" Type="http://schemas.openxmlformats.org/officeDocument/2006/relationships/hyperlink" Target="https://docs.spring.io/spring-kafka/docs/2.5.6.RELEASE/reference/html/" TargetMode="External"/><Relationship Id="rId306" Type="http://schemas.openxmlformats.org/officeDocument/2006/relationships/hyperlink" Target="https://github.com/spring-projects/spring-boot/tree/v2.3.4.RELEASE/spring-boot-project/spring-boot/src/main/java/org/springframework/boot/jms/XAConnectionFactoryWrapper.java" TargetMode="External"/><Relationship Id="rId860" Type="http://schemas.openxmlformats.org/officeDocument/2006/relationships/hyperlink" Target="https://docs.spring.io/spring-boot/docs/2.3.4.RELEASE/api/org/springframework/boot/autoconfigure/rsocket/RSocketStrategiesAutoConfiguration.html" TargetMode="External"/><Relationship Id="rId958" Type="http://schemas.openxmlformats.org/officeDocument/2006/relationships/hyperlink" Target="https://docs.spring.io/spring-boot/docs/2.3.4.RELEASE/api/org/springframework/boot/actuate/autoconfigure/cassandra/CassandraReactiveHealthContributorAutoConfiguration.html" TargetMode="External"/><Relationship Id="rId87" Type="http://schemas.openxmlformats.org/officeDocument/2006/relationships/hyperlink" Target="http://livereload.com/extensions/" TargetMode="External"/><Relationship Id="rId513" Type="http://schemas.openxmlformats.org/officeDocument/2006/relationships/hyperlink" Target="https://cloud.google.com/stackdriver/" TargetMode="External"/><Relationship Id="rId597" Type="http://schemas.openxmlformats.org/officeDocument/2006/relationships/hyperlink" Target="https://github.com/spring-projects/spring-boot/tree/v2.3.4.RELEASE/spring-boot-project/spring-boot/src/main/java/org/springframework/boot/web/server/Ssl.java" TargetMode="External"/><Relationship Id="rId720" Type="http://schemas.openxmlformats.org/officeDocument/2006/relationships/hyperlink" Target="https://docs.spring.io/spring-boot/docs/2.3.4.RELEASE/api/org/springframework/boot/autoconfigure/data/couchbase/CouchbaseRepositoriesAutoConfiguration.html" TargetMode="External"/><Relationship Id="rId818" Type="http://schemas.openxmlformats.org/officeDocument/2006/relationships/hyperlink" Target="https://docs.spring.io/spring-boot/docs/2.3.4.RELEASE/api/org/springframework/boot/autoconfigure/data/mongo/MongoReactiveDataAutoConfiguration.html" TargetMode="External"/><Relationship Id="rId152" Type="http://schemas.openxmlformats.org/officeDocument/2006/relationships/hyperlink" Target="https://docs.spring.io/spring/docs/5.2.9.RELEASE/spring-framework-reference/web.html" TargetMode="External"/><Relationship Id="rId457" Type="http://schemas.openxmlformats.org/officeDocument/2006/relationships/hyperlink" Target="https://github.com/spring-projects/spring-boot/tree/v2.3.4.RELEASE/spring-boot-project/spring-boot-actuator/src/main/java/org/springframework/boot/actuate/mongo/MongoReactiveHealthIndicator.java" TargetMode="External"/><Relationship Id="rId1003" Type="http://schemas.openxmlformats.org/officeDocument/2006/relationships/hyperlink" Target="https://github.com/spring-projects/spring-boot/tree/v2.3.4.RELEASE/spring-boot-project/spring-boot-actuator-autoconfigure/src/main/java/org/springframework/boot/actuate/autoconfigure/health/HealthContributorAutoConfiguration.java" TargetMode="External"/><Relationship Id="rId1087" Type="http://schemas.openxmlformats.org/officeDocument/2006/relationships/hyperlink" Target="https://github.com/spring-projects/spring-boot/tree/v2.3.4.RELEASE/spring-boot-project/spring-boot-actuator-autoconfigure/src/main/java/org/springframework/boot/actuate/autoconfigure/web/reactive/ReactiveManagementContextAutoConfiguration.java" TargetMode="External"/><Relationship Id="rId664" Type="http://schemas.openxmlformats.org/officeDocument/2006/relationships/hyperlink" Target="https://docs.spring.io/spring-boot/docs/2.3.4.RELEASE/maven-plugin/reference/html/" TargetMode="External"/><Relationship Id="rId871" Type="http://schemas.openxmlformats.org/officeDocument/2006/relationships/hyperlink" Target="https://github.com/spring-projects/spring-boot/tree/v2.3.4.RELEASE/spring-boot-project/spring-boot-autoconfigure/src/main/java/org/springframework/boot/autoconfigure/security/reactive/ReactiveSecurityAutoConfiguration.java" TargetMode="External"/><Relationship Id="rId969" Type="http://schemas.openxmlformats.org/officeDocument/2006/relationships/hyperlink" Target="https://github.com/spring-projects/spring-boot/tree/v2.3.4.RELEASE/spring-boot-project/spring-boot-actuator-autoconfigure/src/main/java/org/springframework/boot/actuate/autoconfigure/metrics/r2dbc/ConnectionPoolMetricsAutoConfiguration.java" TargetMode="External"/><Relationship Id="rId14" Type="http://schemas.microsoft.com/office/2018/08/relationships/commentsExtensible" Target="commentsExtensible.xml"/><Relationship Id="rId317" Type="http://schemas.openxmlformats.org/officeDocument/2006/relationships/hyperlink" Target="https://spring.io/projects/spring-session" TargetMode="External"/><Relationship Id="rId524" Type="http://schemas.openxmlformats.org/officeDocument/2006/relationships/hyperlink" Target="https://docs.cloudfoundry.org/cf-cli/install-go-cli.html" TargetMode="External"/><Relationship Id="rId731" Type="http://schemas.openxmlformats.org/officeDocument/2006/relationships/hyperlink" Target="https://github.com/spring-projects/spring-boot/tree/v2.3.4.RELEASE/spring-boot-project/spring-boot-autoconfigure/src/main/java/org/springframework/boot/autoconfigure/elasticsearch/ElasticsearchRestClientAutoConfiguration.java" TargetMode="External"/><Relationship Id="rId98" Type="http://schemas.openxmlformats.org/officeDocument/2006/relationships/hyperlink" Target="https://docs.spring.io/spring-boot/docs/2.3.4.RELEASE/api/org/springframework/boot/test/context/SpringBootTest.html" TargetMode="External"/><Relationship Id="rId163" Type="http://schemas.openxmlformats.org/officeDocument/2006/relationships/hyperlink" Target="https://jersey.github.io/" TargetMode="External"/><Relationship Id="rId370" Type="http://schemas.openxmlformats.org/officeDocument/2006/relationships/hyperlink" Target="https://start.spring.io/" TargetMode="External"/><Relationship Id="rId829" Type="http://schemas.openxmlformats.org/officeDocument/2006/relationships/hyperlink" Target="https://github.com/spring-projects/spring-boot/tree/v2.3.4.RELEASE/spring-boot-project/spring-boot-autoconfigure/src/main/java/org/springframework/boot/autoconfigure/data/neo4j/Neo4jRepositoriesAutoConfiguration.java" TargetMode="External"/><Relationship Id="rId1014" Type="http://schemas.openxmlformats.org/officeDocument/2006/relationships/hyperlink" Target="https://docs.spring.io/spring-boot/docs/2.3.4.RELEASE/api/org/springframework/boot/actuate/autoconfigure/trace/http/HttpTraceAutoConfiguration.html" TargetMode="External"/><Relationship Id="rId230" Type="http://schemas.openxmlformats.org/officeDocument/2006/relationships/hyperlink" Target="https://github.com/spring-projects/spring-data-redis" TargetMode="External"/><Relationship Id="rId468" Type="http://schemas.openxmlformats.org/officeDocument/2006/relationships/hyperlink" Target="https://github.com/spring-projects/spring-boot/tree/v2.3.4.RELEASE/spring-boot-project/spring-boot-actuator/src/main/java/org/springframework/boot/actuate/info/GitInfoContributor.java" TargetMode="External"/><Relationship Id="rId675" Type="http://schemas.openxmlformats.org/officeDocument/2006/relationships/hyperlink" Target="https://www.testcontainers.org/" TargetMode="External"/><Relationship Id="rId882" Type="http://schemas.openxmlformats.org/officeDocument/2006/relationships/hyperlink" Target="https://docs.spring.io/spring-boot/docs/2.3.4.RELEASE/api/org/springframework/boot/autoconfigure/data/redis/RedisRepositoriesAutoConfiguration.html" TargetMode="External"/><Relationship Id="rId1098" Type="http://schemas.openxmlformats.org/officeDocument/2006/relationships/hyperlink" Target="https://docs.spring.io/spring-boot/docs/2.3.4.RELEASE/api/org/springframework/boot/actuate/autoconfigure/web/servlet/ServletManagementContextAutoConfiguration.html" TargetMode="External"/><Relationship Id="rId25" Type="http://schemas.openxmlformats.org/officeDocument/2006/relationships/hyperlink" Target="https://github.com/spring-projects/spring-boot/tree/v2.3.4.RELEASE" TargetMode="External"/><Relationship Id="rId328" Type="http://schemas.openxmlformats.org/officeDocument/2006/relationships/hyperlink" Target="https://docs.spring.io/spring/docs/5.2.9.RELEASE/spring-framework-reference/testing.html" TargetMode="External"/><Relationship Id="rId535" Type="http://schemas.openxmlformats.org/officeDocument/2006/relationships/hyperlink" Target="https://github.com/pivotal-cf/java-cfenv/" TargetMode="External"/><Relationship Id="rId742" Type="http://schemas.openxmlformats.org/officeDocument/2006/relationships/hyperlink" Target="https://docs.spring.io/spring-boot/docs/2.3.4.RELEASE/api/org/springframework/boot/autoconfigure/web/reactive/error/ErrorWebFluxAutoConfiguration.html" TargetMode="External"/><Relationship Id="rId174" Type="http://schemas.openxmlformats.org/officeDocument/2006/relationships/hyperlink" Target="https://cbor.io/" TargetMode="External"/><Relationship Id="rId381" Type="http://schemas.openxmlformats.org/officeDocument/2006/relationships/hyperlink" Target="https://kotlinlang.org/docs/reference/kapt.html" TargetMode="External"/><Relationship Id="rId602" Type="http://schemas.openxmlformats.org/officeDocument/2006/relationships/hyperlink" Target="https://tomcat.apache.org/tomcat-9.0-doc/config/valve.html" TargetMode="External"/><Relationship Id="rId1025" Type="http://schemas.openxmlformats.org/officeDocument/2006/relationships/hyperlink" Target="https://github.com/spring-projects/spring-boot/tree/v2.3.4.RELEASE/spring-boot-project/spring-boot-actuator-autoconfigure/src/main/java/org/springframework/boot/actuate/autoconfigure/info/InfoEndpointAutoConfiguration.java" TargetMode="External"/><Relationship Id="rId241" Type="http://schemas.openxmlformats.org/officeDocument/2006/relationships/hyperlink" Target="https://neo4j.com/docs/ogm-manual/current/reference/" TargetMode="External"/><Relationship Id="rId479" Type="http://schemas.openxmlformats.org/officeDocument/2006/relationships/hyperlink" Target="https://micrometer.io/docs" TargetMode="External"/><Relationship Id="rId686" Type="http://schemas.openxmlformats.org/officeDocument/2006/relationships/hyperlink" Target="https://docs.spring.io/spring-boot/docs/2.3.4.RELEASE/api/org/springframework/boot/autoconfigure/aop/AopAutoConfiguration.html" TargetMode="External"/><Relationship Id="rId893" Type="http://schemas.openxmlformats.org/officeDocument/2006/relationships/hyperlink" Target="https://github.com/spring-projects/spring-boot/tree/v2.3.4.RELEASE/spring-boot-project/spring-boot-autoconfigure/src/main/java/org/springframework/boot/autoconfigure/sendgrid/SendGridAutoConfiguration.java" TargetMode="External"/><Relationship Id="rId907" Type="http://schemas.openxmlformats.org/officeDocument/2006/relationships/hyperlink" Target="https://github.com/spring-projects/spring-boot/tree/v2.3.4.RELEASE/spring-boot-project/spring-boot-autoconfigure/src/main/java/org/springframework/boot/autoconfigure/task/TaskExecutionAutoConfiguration.java" TargetMode="External"/><Relationship Id="rId36" Type="http://schemas.openxmlformats.org/officeDocument/2006/relationships/hyperlink" Target="https://docs.gradle.org/current/userguide/gradle_wrapper.html" TargetMode="External"/><Relationship Id="rId339" Type="http://schemas.openxmlformats.org/officeDocument/2006/relationships/hyperlink" Target="https://docs.spring.io/spring/docs/5.2.9.RELEASE/spring-framework-reference/testing.html" TargetMode="External"/><Relationship Id="rId546" Type="http://schemas.openxmlformats.org/officeDocument/2006/relationships/hyperlink" Target="https://boxfuse.com/" TargetMode="External"/><Relationship Id="rId753" Type="http://schemas.openxmlformats.org/officeDocument/2006/relationships/hyperlink" Target="https://github.com/spring-projects/spring-boot/tree/v2.3.4.RELEASE/spring-boot-project/spring-boot-autoconfigure/src/main/java/org/springframework/boot/autoconfigure/hazelcast/HazelcastAutoConfiguration.java" TargetMode="External"/><Relationship Id="rId101" Type="http://schemas.openxmlformats.org/officeDocument/2006/relationships/hyperlink" Target="https://cloud.spring.io/spring-cloud-vault/" TargetMode="External"/><Relationship Id="rId185" Type="http://schemas.openxmlformats.org/officeDocument/2006/relationships/hyperlink" Target="https://www.h2database.com/" TargetMode="External"/><Relationship Id="rId406" Type="http://schemas.openxmlformats.org/officeDocument/2006/relationships/hyperlink" Target="https://github.com/sdeleuze/spring-kotlin-deepdive" TargetMode="External"/><Relationship Id="rId960" Type="http://schemas.openxmlformats.org/officeDocument/2006/relationships/hyperlink" Target="https://docs.spring.io/spring-boot/docs/2.3.4.RELEASE/api/org/springframework/boot/actuate/autoconfigure/cloudfoundry/servlet/CloudFoundryActuatorAutoConfiguration.html" TargetMode="External"/><Relationship Id="rId1036" Type="http://schemas.openxmlformats.org/officeDocument/2006/relationships/hyperlink" Target="https://docs.spring.io/spring-boot/docs/2.3.4.RELEASE/api/org/springframework/boot/actuate/autoconfigure/endpoint/jmx/JmxEndpointAutoConfiguration.html" TargetMode="External"/><Relationship Id="rId392" Type="http://schemas.openxmlformats.org/officeDocument/2006/relationships/hyperlink" Target="https://stackoverflow.com/questions/tagged/spring%2Bkotlin" TargetMode="External"/><Relationship Id="rId613" Type="http://schemas.openxmlformats.org/officeDocument/2006/relationships/hyperlink" Target="https://github.com/spring-projects/spring-boot/tree/v2.3.4.RELEASE/spring-boot-project/spring-boot-autoconfigure/src/main/java/org/springframework/boot/autoconfigure/thymeleaf/ThymeleafAutoConfiguration.java" TargetMode="External"/><Relationship Id="rId697" Type="http://schemas.openxmlformats.org/officeDocument/2006/relationships/hyperlink" Target="https://github.com/spring-projects/spring-boot/tree/v2.3.4.RELEASE/spring-boot-project/spring-boot-autoconfigure/src/main/java/org/springframework/boot/autoconfigure/data/cassandra/CassandraDataAutoConfiguration.java" TargetMode="External"/><Relationship Id="rId820" Type="http://schemas.openxmlformats.org/officeDocument/2006/relationships/hyperlink" Target="https://docs.spring.io/spring-boot/docs/2.3.4.RELEASE/api/org/springframework/boot/autoconfigure/data/mongo/MongoReactiveRepositoriesAutoConfiguration.html" TargetMode="External"/><Relationship Id="rId918" Type="http://schemas.openxmlformats.org/officeDocument/2006/relationships/hyperlink" Target="https://docs.spring.io/spring-boot/docs/2.3.4.RELEASE/api/org/springframework/boot/autoconfigure/validation/ValidationAutoConfiguration.html" TargetMode="External"/><Relationship Id="rId252" Type="http://schemas.openxmlformats.org/officeDocument/2006/relationships/hyperlink" Target="https://github.com/spring-projects/spring-data-cassandra" TargetMode="External"/><Relationship Id="rId1103" Type="http://schemas.openxmlformats.org/officeDocument/2006/relationships/hyperlink" Target="https://github.com/spring-projects/spring-boot/tree/v2.3.4.RELEASE/spring-boot-project/spring-boot-actuator-autoconfigure/src/main/java/org/springframework/boot/actuate/autoconfigure/metrics/export/signalfx/SignalFxMetricsExportAutoConfiguration.java" TargetMode="External"/><Relationship Id="rId47" Type="http://schemas.openxmlformats.org/officeDocument/2006/relationships/hyperlink" Target="https://en.wikipedia.org/wiki/Bash_%28Unix_shell%29" TargetMode="External"/><Relationship Id="rId112" Type="http://schemas.openxmlformats.org/officeDocument/2006/relationships/hyperlink" Target="https://docs.oracle.com/javase/8/docs/api/java/util/logging/package-summary.html" TargetMode="External"/><Relationship Id="rId557" Type="http://schemas.openxmlformats.org/officeDocument/2006/relationships/hyperlink" Target="https://www.freedesktop.org/software/systemd/man/systemd.service.html" TargetMode="External"/><Relationship Id="rId764" Type="http://schemas.openxmlformats.org/officeDocument/2006/relationships/hyperlink" Target="https://docs.spring.io/spring-boot/docs/2.3.4.RELEASE/api/org/springframework/boot/autoconfigure/http/HttpMessageConvertersAutoConfiguration.html" TargetMode="External"/><Relationship Id="rId971" Type="http://schemas.openxmlformats.org/officeDocument/2006/relationships/hyperlink" Target="https://github.com/spring-projects/spring-boot/tree/v2.3.4.RELEASE/spring-boot-project/spring-boot-actuator-autoconfigure/src/main/java/org/springframework/boot/actuate/autoconfigure/couchbase/CouchbaseHealthContributorAutoConfiguration.java" TargetMode="External"/><Relationship Id="rId196" Type="http://schemas.openxmlformats.org/officeDocument/2006/relationships/hyperlink" Target="https://hibernate.org/orm/documentation/" TargetMode="External"/><Relationship Id="rId417" Type="http://schemas.openxmlformats.org/officeDocument/2006/relationships/hyperlink" Target="https://docs.spring.io/spring-boot/docs/2.3.4.RELEASE/actuator-api/html" TargetMode="External"/><Relationship Id="rId624" Type="http://schemas.openxmlformats.org/officeDocument/2006/relationships/hyperlink" Target="https://docs.jboss.org/hibernate/orm/5.4/userguide/html_single/Hibernate_User_Guide.html" TargetMode="External"/><Relationship Id="rId831" Type="http://schemas.openxmlformats.org/officeDocument/2006/relationships/hyperlink" Target="https://github.com/spring-projects/spring-boot/tree/v2.3.4.RELEASE/spring-boot-project/spring-boot-autoconfigure/src/main/java/org/springframework/boot/autoconfigure/security/oauth2/client/servlet/OAuth2ClientAutoConfiguration.java" TargetMode="External"/><Relationship Id="rId1047" Type="http://schemas.openxmlformats.org/officeDocument/2006/relationships/hyperlink" Target="https://github.com/spring-projects/spring-boot/tree/v2.3.4.RELEASE/spring-boot-project/spring-boot-actuator-autoconfigure/src/main/java/org/springframework/boot/actuate/autoconfigure/ldap/LdapHealthContributorAutoConfiguration.java" TargetMode="External"/><Relationship Id="rId263" Type="http://schemas.openxmlformats.org/officeDocument/2006/relationships/hyperlink" Target="https://ldap.com/unboundid-ldap-sdk-for-java/" TargetMode="External"/><Relationship Id="rId470" Type="http://schemas.openxmlformats.org/officeDocument/2006/relationships/hyperlink" Target="https://github.com/spring-projects/spring-boot/tree/v2.3.4.RELEASE/spring-boot-project/spring-boot-actuator/src/main/java/org/springframework/boot/actuate/info/BuildInfoContributor.java" TargetMode="External"/><Relationship Id="rId929" Type="http://schemas.openxmlformats.org/officeDocument/2006/relationships/hyperlink" Target="https://github.com/spring-projects/spring-boot/tree/v2.3.4.RELEASE/spring-boot-project/spring-boot-autoconfigure/src/main/java/org/springframework/boot/autoconfigure/websocket/servlet/WebSocketMessagingAutoConfiguration.java" TargetMode="External"/><Relationship Id="rId1114" Type="http://schemas.openxmlformats.org/officeDocument/2006/relationships/hyperlink" Target="https://docs.spring.io/spring-boot/docs/2.3.4.RELEASE/api/org/springframework/boot/actuate/autoconfigure/metrics/SystemMetricsAutoConfiguration.html" TargetMode="External"/><Relationship Id="rId58" Type="http://schemas.openxmlformats.org/officeDocument/2006/relationships/hyperlink" Target="https://docs.spring.io/initializr/docs/current/reference/html/" TargetMode="External"/><Relationship Id="rId123" Type="http://schemas.openxmlformats.org/officeDocument/2006/relationships/hyperlink" Target="https://docs.spring.io/spring/docs/5.2.9.RELEASE/spring-framework-reference/web.html" TargetMode="External"/><Relationship Id="rId330" Type="http://schemas.openxmlformats.org/officeDocument/2006/relationships/hyperlink" Target="https://docs.spring.io/spring/docs/5.2.9.RELEASE/spring-framework-reference/testing.html" TargetMode="External"/><Relationship Id="rId568" Type="http://schemas.openxmlformats.org/officeDocument/2006/relationships/hyperlink" Target="https://github.com/spring-projects/spring-boot/tree/v2.3.4.RELEASE/spring-boot-project/spring-boot-cli/src/main/java/org/springframework/boot/cli/compiler/CompilerAutoConfiguration.java" TargetMode="External"/><Relationship Id="rId775" Type="http://schemas.openxmlformats.org/officeDocument/2006/relationships/hyperlink" Target="https://github.com/spring-projects/spring-boot/tree/v2.3.4.RELEASE/spring-boot-project/spring-boot-autoconfigure/src/main/java/org/springframework/boot/autoconfigure/jdbc/JdbcTemplateAutoConfiguration.java" TargetMode="External"/><Relationship Id="rId982" Type="http://schemas.openxmlformats.org/officeDocument/2006/relationships/hyperlink" Target="https://docs.spring.io/spring-boot/docs/2.3.4.RELEASE/api/org/springframework/boot/actuate/autoconfigure/system/DiskSpaceHealthContributorAutoConfiguration.html" TargetMode="External"/><Relationship Id="rId428" Type="http://schemas.openxmlformats.org/officeDocument/2006/relationships/hyperlink" Target="https://github.com/spring-projects/spring-boot/tree/v2.3.4.RELEASE/spring-boot-project/spring-boot-actuator/src/main/java/org/springframework/boot/actuate/elasticsearch/ElasticsearchRestHealthIndicator.java" TargetMode="External"/><Relationship Id="rId635" Type="http://schemas.openxmlformats.org/officeDocument/2006/relationships/hyperlink" Target="https://www.liquibase.org/" TargetMode="External"/><Relationship Id="rId842" Type="http://schemas.openxmlformats.org/officeDocument/2006/relationships/hyperlink" Target="https://docs.spring.io/spring-boot/docs/2.3.4.RELEASE/api/org/springframework/boot/autoconfigure/quartz/QuartzAutoConfiguration.html" TargetMode="External"/><Relationship Id="rId1058" Type="http://schemas.openxmlformats.org/officeDocument/2006/relationships/hyperlink" Target="https://docs.spring.io/spring-boot/docs/2.3.4.RELEASE/api/org/springframework/boot/actuate/autoconfigure/logging/LoggersEndpointAutoConfiguration.html" TargetMode="External"/><Relationship Id="rId274" Type="http://schemas.openxmlformats.org/officeDocument/2006/relationships/hyperlink" Target="https://redis.io/" TargetMode="External"/><Relationship Id="rId481" Type="http://schemas.openxmlformats.org/officeDocument/2006/relationships/hyperlink" Target="https://micrometer.io/docs/concepts" TargetMode="External"/><Relationship Id="rId702" Type="http://schemas.openxmlformats.org/officeDocument/2006/relationships/hyperlink" Target="https://docs.spring.io/spring-boot/docs/2.3.4.RELEASE/api/org/springframework/boot/autoconfigure/data/cassandra/CassandraReactiveRepositoriesAutoConfiguration.html" TargetMode="External"/><Relationship Id="rId1125" Type="http://schemas.openxmlformats.org/officeDocument/2006/relationships/hyperlink" Target="https://github.com/spring-projects/spring-boot/tree/v2.3.4.RELEASE/spring-boot-project/spring-boot-actuator-autoconfigure/src/main/java/org/springframework/boot/actuate/autoconfigure/metrics/web/servlet/WebMvcMetricsAutoConfiguration.java" TargetMode="External"/><Relationship Id="rId69" Type="http://schemas.openxmlformats.org/officeDocument/2006/relationships/hyperlink" Target="https://docs.spring.io/spring-boot/docs/2.3.4.RELEASE/gradle-plugin/reference/html/" TargetMode="External"/><Relationship Id="rId134" Type="http://schemas.openxmlformats.org/officeDocument/2006/relationships/hyperlink" Target="https://docs.spring.io/spring/docs/5.2.9.RELEASE/javadoc-api/org/springframework/web/servlet/resource/ResourceUrlProvider.html" TargetMode="External"/><Relationship Id="rId579" Type="http://schemas.openxmlformats.org/officeDocument/2006/relationships/hyperlink" Target="https://docs.spring.io/spring-boot/docs/2.3.4.RELEASE/gradle-plugin/api/" TargetMode="External"/><Relationship Id="rId786" Type="http://schemas.openxmlformats.org/officeDocument/2006/relationships/hyperlink" Target="https://docs.spring.io/spring-boot/docs/2.3.4.RELEASE/api/org/springframework/boot/autoconfigure/jdbc/JndiDataSourceAutoConfiguration.html" TargetMode="External"/><Relationship Id="rId993" Type="http://schemas.openxmlformats.org/officeDocument/2006/relationships/hyperlink" Target="https://github.com/spring-projects/spring-boot/tree/v2.3.4.RELEASE/spring-boot-project/spring-boot-actuator-autoconfigure/src/main/java/org/springframework/boot/actuate/autoconfigure/env/EnvironmentEndpointAutoConfiguration.java" TargetMode="External"/><Relationship Id="rId341" Type="http://schemas.openxmlformats.org/officeDocument/2006/relationships/hyperlink" Target="https://docs.spring.io/spring/docs/5.2.9.RELEASE/spring-framework-reference/testing.html" TargetMode="External"/><Relationship Id="rId439" Type="http://schemas.openxmlformats.org/officeDocument/2006/relationships/hyperlink" Target="https://github.com/spring-projects/spring-boot/tree/v2.3.4.RELEASE/spring-boot-project/spring-boot-actuator/src/main/java/org/springframework/boot/actuate/redis/RedisHealthIndicator.java" TargetMode="External"/><Relationship Id="rId646" Type="http://schemas.openxmlformats.org/officeDocument/2006/relationships/hyperlink" Target="https://docs.spring.io/spring-batch/docs/4.2.4.RELEASE/api/org/springframework/batch/core/configuration/annotation/EnableBatchProcessing.html" TargetMode="External"/><Relationship Id="rId1069" Type="http://schemas.openxmlformats.org/officeDocument/2006/relationships/hyperlink" Target="https://github.com/spring-projects/spring-boot/tree/v2.3.4.RELEASE/spring-boot-project/spring-boot-actuator-autoconfigure/src/main/java/org/springframework/boot/actuate/autoconfigure/metrics/MetricsEndpointAutoConfiguration.java" TargetMode="External"/><Relationship Id="rId201" Type="http://schemas.openxmlformats.org/officeDocument/2006/relationships/hyperlink" Target="https://docs.spring.io/spring-data/jdbc/docs/2.0.4.RELEASE/reference/html/" TargetMode="External"/><Relationship Id="rId285" Type="http://schemas.openxmlformats.org/officeDocument/2006/relationships/hyperlink" Target="https://github.com/spring-projects/spring-boot/tree/v2.3.4.RELEASE/spring-boot-project/spring-boot-autoconfigure/src/main/java/org/springframework/boot/autoconfigure/amqp/RabbitProperties.java" TargetMode="External"/><Relationship Id="rId506" Type="http://schemas.openxmlformats.org/officeDocument/2006/relationships/hyperlink" Target="https://newrelic.com/" TargetMode="External"/><Relationship Id="rId853" Type="http://schemas.openxmlformats.org/officeDocument/2006/relationships/hyperlink" Target="https://github.com/spring-projects/spring-boot/tree/v2.3.4.RELEASE/spring-boot-project/spring-boot-autoconfigure/src/main/java/org/springframework/boot/autoconfigure/rsocket/RSocketRequesterAutoConfiguration.java" TargetMode="External"/><Relationship Id="rId1136" Type="http://schemas.openxmlformats.org/officeDocument/2006/relationships/hyperlink" Target="https://github.com/spring-projects/spring-boot/tree/v2.3.4.RELEASE/spring-boot-project/spring-boot-dependencies/build.gradle" TargetMode="External"/><Relationship Id="rId492" Type="http://schemas.openxmlformats.org/officeDocument/2006/relationships/hyperlink" Target="http://ganglia.sourceforge.net/" TargetMode="External"/><Relationship Id="rId713" Type="http://schemas.openxmlformats.org/officeDocument/2006/relationships/hyperlink" Target="https://github.com/spring-projects/spring-boot/tree/v2.3.4.RELEASE/spring-boot-project/spring-boot-autoconfigure/src/main/java/org/springframework/boot/autoconfigure/data/couchbase/CouchbaseDataAutoConfiguration.java" TargetMode="External"/><Relationship Id="rId797" Type="http://schemas.openxmlformats.org/officeDocument/2006/relationships/hyperlink" Target="https://github.com/spring-projects/spring-boot/tree/v2.3.4.RELEASE/spring-boot-project/spring-boot-autoconfigure/src/main/java/org/springframework/boot/autoconfigure/ldap/LdapAutoConfiguration.java" TargetMode="External"/><Relationship Id="rId920" Type="http://schemas.openxmlformats.org/officeDocument/2006/relationships/hyperlink" Target="https://docs.spring.io/spring-boot/docs/2.3.4.RELEASE/api/org/springframework/boot/autoconfigure/web/reactive/function/client/WebClientAutoConfiguration.html" TargetMode="External"/><Relationship Id="rId145" Type="http://schemas.openxmlformats.org/officeDocument/2006/relationships/hyperlink" Target="https://docs.spring.io/spring/docs/5.2.9.RELEASE/spring-framework-reference/web.html" TargetMode="External"/><Relationship Id="rId352" Type="http://schemas.openxmlformats.org/officeDocument/2006/relationships/hyperlink" Target="https://github.com/spring-projects/spring-boot/tree/v2.3.4.RELEASE/spring-boot-project/spring-boot-autoconfigure/src/main/java/org/springframework/boot/autoconfigure" TargetMode="External"/><Relationship Id="rId212" Type="http://schemas.openxmlformats.org/officeDocument/2006/relationships/hyperlink" Target="https://docs.spring.io/spring-data/r2dbc/docs/1.1.4.RELEASE/api/org/springframework/data/r2dbc/repository/Query.html" TargetMode="External"/><Relationship Id="rId657" Type="http://schemas.openxmlformats.org/officeDocument/2006/relationships/hyperlink" Target="https://docs.spring.io/spring-boot/docs/2.3.4.RELEASE/maven-plugin/reference/html/" TargetMode="External"/><Relationship Id="rId864" Type="http://schemas.openxmlformats.org/officeDocument/2006/relationships/hyperlink" Target="https://docs.spring.io/spring-boot/docs/2.3.4.RELEASE/api/org/springframework/boot/autoconfigure/data/elasticsearch/ReactiveElasticsearchRepositoriesAutoConfiguration.html" TargetMode="External"/><Relationship Id="rId296" Type="http://schemas.openxmlformats.org/officeDocument/2006/relationships/hyperlink" Target="https://docs.spring.io/spring/docs/5.2.9.RELEASE/spring-framework-reference/web-reactive.html" TargetMode="External"/><Relationship Id="rId517" Type="http://schemas.openxmlformats.org/officeDocument/2006/relationships/hyperlink" Target="https://www.wavefront.com/" TargetMode="External"/><Relationship Id="rId724" Type="http://schemas.openxmlformats.org/officeDocument/2006/relationships/hyperlink" Target="https://docs.spring.io/spring-boot/docs/2.3.4.RELEASE/api/org/springframework/boot/autoconfigure/jdbc/DataSourceTransactionManagerAutoConfiguration.html" TargetMode="External"/><Relationship Id="rId931" Type="http://schemas.openxmlformats.org/officeDocument/2006/relationships/hyperlink" Target="https://github.com/spring-projects/spring-boot/tree/v2.3.4.RELEASE/spring-boot-project/spring-boot-autoconfigure/src/main/java/org/springframework/boot/autoconfigure/websocket/reactive/WebSocketReactiveAutoConfiguration.java" TargetMode="External"/><Relationship Id="rId60" Type="http://schemas.openxmlformats.org/officeDocument/2006/relationships/hyperlink" Target="http://www.w3.org/2001/XMLSchema-instance" TargetMode="External"/><Relationship Id="rId156" Type="http://schemas.openxmlformats.org/officeDocument/2006/relationships/hyperlink" Target="https://docs.spring.io/spring/docs/5.2.9.RELEASE/spring-framework-reference/web-reactive.html" TargetMode="External"/><Relationship Id="rId363" Type="http://schemas.openxmlformats.org/officeDocument/2006/relationships/hyperlink" Target="https://start.spring.io/" TargetMode="External"/><Relationship Id="rId570" Type="http://schemas.openxmlformats.org/officeDocument/2006/relationships/hyperlink" Target="https://grails.org/" TargetMode="External"/><Relationship Id="rId1007" Type="http://schemas.openxmlformats.org/officeDocument/2006/relationships/hyperlink" Target="https://github.com/spring-projects/spring-boot/tree/v2.3.4.RELEASE/spring-boot-project/spring-boot-actuator-autoconfigure/src/main/java/org/springframework/boot/actuate/autoconfigure/management/HeapDumpWebEndpointAutoConfiguration.java" TargetMode="External"/><Relationship Id="rId223" Type="http://schemas.openxmlformats.org/officeDocument/2006/relationships/hyperlink" Target="https://spring.io/projects/spring-data-cassandra" TargetMode="External"/><Relationship Id="rId430" Type="http://schemas.openxmlformats.org/officeDocument/2006/relationships/hyperlink" Target="https://github.com/spring-projects/spring-boot/tree/v2.3.4.RELEASE/spring-boot-project/spring-boot-actuator/src/main/java/org/springframework/boot/actuate/hazelcast/HazelcastHealthIndicator.java" TargetMode="External"/><Relationship Id="rId668" Type="http://schemas.openxmlformats.org/officeDocument/2006/relationships/hyperlink" Target="https://stackoverflow.com/questions/tagged/spring-boot" TargetMode="External"/><Relationship Id="rId875" Type="http://schemas.openxmlformats.org/officeDocument/2006/relationships/hyperlink" Target="https://github.com/spring-projects/spring-boot/tree/v2.3.4.RELEASE/spring-boot-project/spring-boot-autoconfigure/src/main/java/org/springframework/boot/autoconfigure/web/reactive/ReactiveWebServerFactoryAutoConfiguration.java" TargetMode="External"/><Relationship Id="rId1060" Type="http://schemas.openxmlformats.org/officeDocument/2006/relationships/hyperlink" Target="https://docs.spring.io/spring-boot/docs/2.3.4.RELEASE/api/org/springframework/boot/actuate/autoconfigure/mail/MailHealthContributorAutoConfiguration.html" TargetMode="External"/><Relationship Id="rId18" Type="http://schemas.openxmlformats.org/officeDocument/2006/relationships/hyperlink" Target="https://docs.spring.io/spring-boot/docs/current/reference/" TargetMode="External"/><Relationship Id="rId528" Type="http://schemas.openxmlformats.org/officeDocument/2006/relationships/hyperlink" Target="https://docs.cloudfoundry.org/cf-cli/getting-started.html" TargetMode="External"/><Relationship Id="rId735" Type="http://schemas.openxmlformats.org/officeDocument/2006/relationships/hyperlink" Target="https://github.com/spring-projects/spring-boot/tree/v2.3.4.RELEASE/spring-boot-project/spring-boot-autoconfigure/src/main/java/org/springframework/boot/autoconfigure/mongo/embedded/EmbeddedMongoAutoConfiguration.java" TargetMode="External"/><Relationship Id="rId942" Type="http://schemas.openxmlformats.org/officeDocument/2006/relationships/hyperlink" Target="https://docs.spring.io/spring-boot/docs/2.3.4.RELEASE/api/org/springframework/boot/actuate/autoconfigure/audit/AuditAutoConfiguration.html" TargetMode="External"/><Relationship Id="rId167" Type="http://schemas.openxmlformats.org/officeDocument/2006/relationships/hyperlink" Target="https://github.com/undertow-io/undertow" TargetMode="External"/><Relationship Id="rId374" Type="http://schemas.openxmlformats.org/officeDocument/2006/relationships/hyperlink" Target="https://kotlinlang.org/docs/reference/java-interop.html" TargetMode="External"/><Relationship Id="rId581" Type="http://schemas.openxmlformats.org/officeDocument/2006/relationships/hyperlink" Target="https://ant.apache.org/manual/Types/resources.html" TargetMode="External"/><Relationship Id="rId1018" Type="http://schemas.openxmlformats.org/officeDocument/2006/relationships/hyperlink" Target="https://docs.spring.io/spring-boot/docs/2.3.4.RELEASE/api/org/springframework/boot/actuate/autoconfigure/metrics/export/humio/HumioMetricsExportAutoConfiguration.html" TargetMode="External"/><Relationship Id="rId71" Type="http://schemas.openxmlformats.org/officeDocument/2006/relationships/hyperlink" Target="https://docs.spring.io/spring-boot/docs/2.3.4.RELEASE/gradle-plugin/api/" TargetMode="External"/><Relationship Id="rId234" Type="http://schemas.openxmlformats.org/officeDocument/2006/relationships/hyperlink" Target="https://docs.spring.io/spring-data/mongodb/docs/3.0.4.RELEASE/api/org/springframework/data/mongodb/core/MongoTemplate.html" TargetMode="External"/><Relationship Id="rId679" Type="http://schemas.openxmlformats.org/officeDocument/2006/relationships/footer" Target="footer6.xml"/><Relationship Id="rId802" Type="http://schemas.openxmlformats.org/officeDocument/2006/relationships/hyperlink" Target="https://docs.spring.io/spring-boot/docs/2.3.4.RELEASE/api/org/springframework/boot/autoconfigure/context/LifecycleAutoConfiguration.html" TargetMode="External"/><Relationship Id="rId886" Type="http://schemas.openxmlformats.org/officeDocument/2006/relationships/hyperlink" Target="https://docs.spring.io/spring-boot/docs/2.3.4.RELEASE/api/org/springframework/boot/autoconfigure/web/client/RestTemplateAutoConfiguration.html" TargetMode="External"/><Relationship Id="rId2" Type="http://schemas.openxmlformats.org/officeDocument/2006/relationships/numbering" Target="numbering.xml"/><Relationship Id="rId29" Type="http://schemas.openxmlformats.org/officeDocument/2006/relationships/hyperlink" Target="https://www.java.com/" TargetMode="External"/><Relationship Id="rId441" Type="http://schemas.openxmlformats.org/officeDocument/2006/relationships/hyperlink" Target="https://github.com/spring-projects/spring-boot/tree/v2.3.4.RELEASE/spring-boot-project/spring-boot-actuator/src/main/java/org/springframework/boot/actuate/availability/LivenessStateHealthIndicator.java" TargetMode="External"/><Relationship Id="rId539" Type="http://schemas.openxmlformats.org/officeDocument/2006/relationships/hyperlink" Target="https://blog.openshift.com/using-openshift-enterprise-grade-spring-boot-deployments/" TargetMode="External"/><Relationship Id="rId746" Type="http://schemas.openxmlformats.org/officeDocument/2006/relationships/hyperlink" Target="https://docs.spring.io/spring-boot/docs/2.3.4.RELEASE/api/org/springframework/boot/autoconfigure/freemarker/FreeMarkerAutoConfiguration.html" TargetMode="External"/><Relationship Id="rId1071" Type="http://schemas.openxmlformats.org/officeDocument/2006/relationships/hyperlink" Target="https://github.com/spring-projects/spring-boot/tree/v2.3.4.RELEASE/spring-boot-project/spring-boot-actuator-autoconfigure/src/main/java/org/springframework/boot/actuate/autoconfigure/mongo/MongoHealthContributorAutoConfiguration.java" TargetMode="External"/><Relationship Id="rId178" Type="http://schemas.openxmlformats.org/officeDocument/2006/relationships/hyperlink" Target="https://oauth.net/2/" TargetMode="External"/><Relationship Id="rId301" Type="http://schemas.openxmlformats.org/officeDocument/2006/relationships/hyperlink" Target="https://github.com/bitronix/btm" TargetMode="External"/><Relationship Id="rId953" Type="http://schemas.openxmlformats.org/officeDocument/2006/relationships/hyperlink" Target="https://github.com/spring-projects/spring-boot/tree/v2.3.4.RELEASE/spring-boot-project/spring-boot-actuator-autoconfigure/src/main/java/org/springframework/boot/actuate/autoconfigure/cache/CachesEndpointAutoConfiguration.java" TargetMode="External"/><Relationship Id="rId1029" Type="http://schemas.openxmlformats.org/officeDocument/2006/relationships/hyperlink" Target="https://github.com/spring-projects/spring-boot/tree/v2.3.4.RELEASE/spring-boot-project/spring-boot-actuator-autoconfigure/src/main/java/org/springframework/boot/actuate/autoconfigure/metrics/jersey/JerseyServerMetricsAutoConfiguration.java" TargetMode="External"/><Relationship Id="rId82" Type="http://schemas.openxmlformats.org/officeDocument/2006/relationships/hyperlink" Target="https://jrebel.com/software/jrebel/" TargetMode="External"/><Relationship Id="rId385" Type="http://schemas.openxmlformats.org/officeDocument/2006/relationships/hyperlink" Target="https://mockk.io/" TargetMode="External"/><Relationship Id="rId592" Type="http://schemas.openxmlformats.org/officeDocument/2006/relationships/hyperlink" Target="mailto:app.java.version%3D@java.version@" TargetMode="External"/><Relationship Id="rId606" Type="http://schemas.openxmlformats.org/officeDocument/2006/relationships/hyperlink" Target="https://github.com/spring-projects/spring-boot/tree/v2.3.4.RELEASE/spring-boot-project/spring-boot-autoconfigure/src/main/java/org/springframework/boot/autoconfigure/web/servlet/WebMvcAutoConfiguration.java" TargetMode="External"/><Relationship Id="rId813" Type="http://schemas.openxmlformats.org/officeDocument/2006/relationships/hyperlink" Target="https://github.com/spring-projects/spring-boot/tree/v2.3.4.RELEASE/spring-boot-project/spring-boot-autoconfigure/src/main/java/org/springframework/boot/autoconfigure/data/mongo/MongoDataAutoConfiguration.java" TargetMode="External"/><Relationship Id="rId245" Type="http://schemas.openxmlformats.org/officeDocument/2006/relationships/hyperlink" Target="https://docs.spring.io/spring-data/solr/docs/4.2.4.RELEASE/reference/html/" TargetMode="External"/><Relationship Id="rId452" Type="http://schemas.openxmlformats.org/officeDocument/2006/relationships/hyperlink" Target="https://github.com/spring-projects/spring-boot/tree/v2.3.4.RELEASE/spring-boot-project/spring-boot-actuator/src/main/java/org/springframework/boot/actuate/cassandra/CassandraReactiveHealthIndicator.java" TargetMode="External"/><Relationship Id="rId897" Type="http://schemas.openxmlformats.org/officeDocument/2006/relationships/hyperlink" Target="https://github.com/spring-projects/spring-boot/tree/v2.3.4.RELEASE/spring-boot-project/spring-boot-autoconfigure/src/main/java/org/springframework/boot/autoconfigure/session/SessionAutoConfiguration.java" TargetMode="External"/><Relationship Id="rId1082" Type="http://schemas.openxmlformats.org/officeDocument/2006/relationships/hyperlink" Target="https://docs.spring.io/spring-boot/docs/2.3.4.RELEASE/api/org/springframework/boot/actuate/autoconfigure/amqp/RabbitHealthContributorAutoConfiguration.html" TargetMode="External"/><Relationship Id="rId105" Type="http://schemas.openxmlformats.org/officeDocument/2006/relationships/hyperlink" Target="https://docs.spring.io/spring/docs/5.2.9.RELEASE/spring-framework-reference/core.html" TargetMode="External"/><Relationship Id="rId312" Type="http://schemas.openxmlformats.org/officeDocument/2006/relationships/hyperlink" Target="https://docs.hazelcast.org/docs/latest/manual/html-single/" TargetMode="External"/><Relationship Id="rId757" Type="http://schemas.openxmlformats.org/officeDocument/2006/relationships/hyperlink" Target="https://github.com/spring-projects/spring-boot/tree/v2.3.4.RELEASE/spring-boot-project/spring-boot-autoconfigure/src/main/java/org/springframework/boot/autoconfigure/orm/jpa/HibernateJpaAutoConfiguration.java" TargetMode="External"/><Relationship Id="rId964" Type="http://schemas.openxmlformats.org/officeDocument/2006/relationships/hyperlink" Target="https://docs.spring.io/spring-boot/docs/2.3.4.RELEASE/api/org/springframework/boot/actuate/autoconfigure/condition/ConditionsReportEndpointAutoConfiguration.html" TargetMode="External"/><Relationship Id="rId93" Type="http://schemas.openxmlformats.org/officeDocument/2006/relationships/hyperlink" Target="https://docs.spring.io/spring-boot/docs/2.3.4.RELEASE/api/org/springframework/boot/builder/SpringApplicationBuilder.html" TargetMode="External"/><Relationship Id="rId189" Type="http://schemas.openxmlformats.org/officeDocument/2006/relationships/hyperlink" Target="https://commons.apache.org/proper/commons-dbcp/" TargetMode="External"/><Relationship Id="rId396" Type="http://schemas.openxmlformats.org/officeDocument/2006/relationships/hyperlink" Target="https://kotlin.link/" TargetMode="External"/><Relationship Id="rId617" Type="http://schemas.openxmlformats.org/officeDocument/2006/relationships/hyperlink" Target="https://docs.spring.io/spring-security/site/docs/5.3.4.RELEASE/reference/html5/" TargetMode="External"/><Relationship Id="rId824" Type="http://schemas.openxmlformats.org/officeDocument/2006/relationships/hyperlink" Target="https://docs.spring.io/spring-boot/docs/2.3.4.RELEASE/api/org/springframework/boot/autoconfigure/web/servlet/MultipartAutoConfiguration.html" TargetMode="External"/><Relationship Id="rId256" Type="http://schemas.openxmlformats.org/officeDocument/2006/relationships/hyperlink" Target="https://github.com/spring-projects/spring-data-couchbase" TargetMode="External"/><Relationship Id="rId463" Type="http://schemas.openxmlformats.org/officeDocument/2006/relationships/hyperlink" Target="https://kubernetes.io/docs/concepts/services-networking/ingress/" TargetMode="External"/><Relationship Id="rId670" Type="http://schemas.openxmlformats.org/officeDocument/2006/relationships/hyperlink" Target="http://www.w3.org/2001/XMLSchema-instance" TargetMode="External"/><Relationship Id="rId1093" Type="http://schemas.openxmlformats.org/officeDocument/2006/relationships/hyperlink" Target="https://github.com/spring-projects/spring-boot/tree/v2.3.4.RELEASE/spring-boot-project/spring-boot-actuator-autoconfigure/src/main/java/org/springframework/boot/actuate/autoconfigure/redis/RedisReactiveHealthContributorAutoConfiguration.java" TargetMode="External"/><Relationship Id="rId1107" Type="http://schemas.openxmlformats.org/officeDocument/2006/relationships/hyperlink" Target="https://github.com/spring-projects/spring-boot/tree/v2.3.4.RELEASE/spring-boot-project/spring-boot-actuator-autoconfigure/src/main/java/org/springframework/boot/actuate/autoconfigure/solr/SolrHealthContributorAutoConfiguration.java" TargetMode="External"/><Relationship Id="rId116" Type="http://schemas.openxmlformats.org/officeDocument/2006/relationships/hyperlink" Target="https://github.com/spring-projects/spring-boot/tree/v2.3.4.RELEASE/spring-boot-project/spring-boot/src/main/resources/org/springframework/boot/logging/logback/defaults.xml" TargetMode="External"/><Relationship Id="rId323" Type="http://schemas.openxmlformats.org/officeDocument/2006/relationships/hyperlink" Target="https://github.com/hamcrest/JavaHamcrest" TargetMode="External"/><Relationship Id="rId530" Type="http://schemas.openxmlformats.org/officeDocument/2006/relationships/hyperlink" Target="https://docs.cloudfoundry.org/cf-cli/getting-started.html" TargetMode="External"/><Relationship Id="rId768" Type="http://schemas.openxmlformats.org/officeDocument/2006/relationships/hyperlink" Target="https://docs.spring.io/spring-boot/docs/2.3.4.RELEASE/api/org/springframework/boot/autoconfigure/influx/InfluxDbAutoConfiguration.html" TargetMode="External"/><Relationship Id="rId975" Type="http://schemas.openxmlformats.org/officeDocument/2006/relationships/hyperlink" Target="https://github.com/spring-projects/spring-boot/tree/v2.3.4.RELEASE/spring-boot-project/spring-boot-actuator-autoconfigure/src/main/java/org/springframework/boot/actuate/autoconfigure/jdbc/DataSourceHealthContributorAutoConfiguration.java" TargetMode="External"/><Relationship Id="rId20" Type="http://schemas.openxmlformats.org/officeDocument/2006/relationships/hyperlink" Target="https://spring.io/guides" TargetMode="External"/><Relationship Id="rId628" Type="http://schemas.openxmlformats.org/officeDocument/2006/relationships/hyperlink" Target="https://docs.jboss.org/hibernate/orm/5.4/userguide/html_single/Hibernate_User_Guide.html" TargetMode="External"/><Relationship Id="rId835" Type="http://schemas.openxmlformats.org/officeDocument/2006/relationships/hyperlink" Target="https://github.com/spring-projects/spring-boot/tree/v2.3.4.RELEASE/spring-boot-project/spring-boot-autoconfigure/src/main/java/org/springframework/boot/autoconfigure/dao/PersistenceExceptionTranslationAutoConfiguration.java" TargetMode="External"/><Relationship Id="rId267" Type="http://schemas.openxmlformats.org/officeDocument/2006/relationships/hyperlink" Target="https://docs.spring.io/spring/docs/5.2.9.RELEASE/spring-framework-reference/integration.html" TargetMode="External"/><Relationship Id="rId474" Type="http://schemas.openxmlformats.org/officeDocument/2006/relationships/hyperlink" Target="https://github.com/spring-projects/spring-boot/tree/v2.3.4.RELEASE/spring-boot-project/spring-boot-actuator/src/main/java/org/springframework/boot/actuate/info/InfoContributor.java" TargetMode="External"/><Relationship Id="rId1020" Type="http://schemas.openxmlformats.org/officeDocument/2006/relationships/hyperlink" Target="https://docs.spring.io/spring-boot/docs/2.3.4.RELEASE/api/org/springframework/boot/actuate/autoconfigure/influx/InfluxDbHealthContributorAutoConfiguration.html" TargetMode="External"/><Relationship Id="rId1118" Type="http://schemas.openxmlformats.org/officeDocument/2006/relationships/hyperlink" Target="https://docs.spring.io/spring-boot/docs/2.3.4.RELEASE/api/org/springframework/boot/actuate/autoconfigure/metrics/web/tomcat/TomcatMetricsAutoConfiguration.html" TargetMode="External"/><Relationship Id="rId127" Type="http://schemas.openxmlformats.org/officeDocument/2006/relationships/hyperlink" Target="https://github.com/FasterXML/jackson-docs/wiki/JacksonHowToCustomSerializers" TargetMode="External"/><Relationship Id="rId681" Type="http://schemas.openxmlformats.org/officeDocument/2006/relationships/hyperlink" Target="mailto:ema-@@platform@@.sql" TargetMode="External"/><Relationship Id="rId779" Type="http://schemas.openxmlformats.org/officeDocument/2006/relationships/hyperlink" Target="https://github.com/spring-projects/spring-boot/tree/v2.3.4.RELEASE/spring-boot-project/spring-boot-autoconfigure/src/main/java/org/springframework/boot/autoconfigure/jms/JmsAutoConfiguration.java" TargetMode="External"/><Relationship Id="rId902" Type="http://schemas.openxmlformats.org/officeDocument/2006/relationships/hyperlink" Target="https://docs.spring.io/spring-boot/docs/2.3.4.RELEASE/api/org/springframework/boot/autoconfigure/data/solr/SolrRepositoriesAutoConfiguration.html" TargetMode="External"/><Relationship Id="rId986" Type="http://schemas.openxmlformats.org/officeDocument/2006/relationships/hyperlink" Target="https://docs.spring.io/spring-boot/docs/2.3.4.RELEASE/api/org/springframework/boot/actuate/autoconfigure/metrics/export/elastic/ElasticMetricsExportAutoConfiguration.html" TargetMode="External"/><Relationship Id="rId31" Type="http://schemas.openxmlformats.org/officeDocument/2006/relationships/image" Target="media/image2.png"/><Relationship Id="rId73" Type="http://schemas.openxmlformats.org/officeDocument/2006/relationships/image" Target="media/image4.png"/><Relationship Id="rId169" Type="http://schemas.openxmlformats.org/officeDocument/2006/relationships/hyperlink" Target="https://github.com/spring-projects/spring-boot/tree/v2.3.4.RELEASE/spring-boot-project/spring-boot-autoconfigure/src/main/java/org/springframework/boot/autoconfigure/web/ServerProperties.java" TargetMode="External"/><Relationship Id="rId334" Type="http://schemas.openxmlformats.org/officeDocument/2006/relationships/hyperlink" Target="https://docs.spring.io/spring/docs/5.2.9.RELEASE/spring-framework-reference/web-reactive.html" TargetMode="External"/><Relationship Id="rId376" Type="http://schemas.openxmlformats.org/officeDocument/2006/relationships/hyperlink" Target="https://jira.spring.io/browse/SPR-15942" TargetMode="External"/><Relationship Id="rId541" Type="http://schemas.openxmlformats.org/officeDocument/2006/relationships/hyperlink" Target="https://blog.openshift.com/using-spring-boot-on-openshift/" TargetMode="External"/><Relationship Id="rId583" Type="http://schemas.openxmlformats.org/officeDocument/2006/relationships/hyperlink" Target="https://asm.ow2.io/" TargetMode="External"/><Relationship Id="rId639" Type="http://schemas.openxmlformats.org/officeDocument/2006/relationships/hyperlink" Target="https://flywaydb.org/documentation/callbacks.html" TargetMode="External"/><Relationship Id="rId790" Type="http://schemas.openxmlformats.org/officeDocument/2006/relationships/hyperlink" Target="https://docs.spring.io/spring-boot/docs/2.3.4.RELEASE/api/org/springframework/boot/autoconfigure/data/jpa/JpaRepositoriesAutoConfiguration.html" TargetMode="External"/><Relationship Id="rId804" Type="http://schemas.openxmlformats.org/officeDocument/2006/relationships/hyperlink" Target="https://docs.spring.io/spring-boot/docs/2.3.4.RELEASE/api/org/springframework/boot/autoconfigure/liquibase/LiquibaseAutoConfiguration.html" TargetMode="External"/><Relationship Id="rId4" Type="http://schemas.openxmlformats.org/officeDocument/2006/relationships/settings" Target="settings.xml"/><Relationship Id="rId180" Type="http://schemas.openxmlformats.org/officeDocument/2006/relationships/hyperlink" Target="https://spring.io/projects/spring-security-oauth" TargetMode="External"/><Relationship Id="rId236" Type="http://schemas.openxmlformats.org/officeDocument/2006/relationships/hyperlink" Target="https://docs.spring.io/spring-data/mongodb/docs/3.0.4.RELEASE/api/org/springframework/data/mongodb/core/MongoOperations.html" TargetMode="External"/><Relationship Id="rId278" Type="http://schemas.openxmlformats.org/officeDocument/2006/relationships/hyperlink" Target="https://github.com/spring-projects/spring-boot/tree/v2.3.4.RELEASE/spring-boot-project/spring-boot-autoconfigure/src/main/java/org/springframework/boot/autoconfigure/jms/activemq/ActiveMQProperties.java" TargetMode="External"/><Relationship Id="rId401" Type="http://schemas.openxmlformats.org/officeDocument/2006/relationships/hyperlink" Target="https://spring.io/blog/2017/08/01/spring-framework-5-kotlin-apis-the-functional-way" TargetMode="External"/><Relationship Id="rId443" Type="http://schemas.openxmlformats.org/officeDocument/2006/relationships/hyperlink" Target="https://github.com/spring-projects/spring-boot/tree/v2.3.4.RELEASE/spring-boot-project/spring-boot-actuator/src/main/java/org/springframework/boot/actuate/availability/ReadinessStateHealthIndicator.java" TargetMode="External"/><Relationship Id="rId650" Type="http://schemas.openxmlformats.org/officeDocument/2006/relationships/hyperlink" Target="http://user1/" TargetMode="External"/><Relationship Id="rId846" Type="http://schemas.openxmlformats.org/officeDocument/2006/relationships/hyperlink" Target="https://docs.spring.io/spring-boot/docs/2.3.4.RELEASE/api/org/springframework/boot/autoconfigure/data/r2dbc/R2dbcDataAutoConfiguration.html" TargetMode="External"/><Relationship Id="rId888" Type="http://schemas.openxmlformats.org/officeDocument/2006/relationships/hyperlink" Target="https://docs.spring.io/spring-boot/docs/2.3.4.RELEASE/api/org/springframework/boot/autoconfigure/security/saml2/Saml2RelyingPartyAutoConfiguration.html" TargetMode="External"/><Relationship Id="rId1031" Type="http://schemas.openxmlformats.org/officeDocument/2006/relationships/hyperlink" Target="https://github.com/spring-projects/spring-boot/tree/v2.3.4.RELEASE/spring-boot-project/spring-boot-actuator-autoconfigure/src/main/java/org/springframework/boot/actuate/autoconfigure/metrics/web/jetty/JettyMetricsAutoConfiguration.java" TargetMode="External"/><Relationship Id="rId1073" Type="http://schemas.openxmlformats.org/officeDocument/2006/relationships/hyperlink" Target="https://github.com/spring-projects/spring-boot/tree/v2.3.4.RELEASE/spring-boot-project/spring-boot-actuator-autoconfigure/src/main/java/org/springframework/boot/actuate/autoconfigure/mongo/MongoReactiveHealthContributorAutoConfiguration.java" TargetMode="External"/><Relationship Id="rId1129" Type="http://schemas.openxmlformats.org/officeDocument/2006/relationships/footer" Target="footer10.xml"/><Relationship Id="rId303" Type="http://schemas.openxmlformats.org/officeDocument/2006/relationships/hyperlink" Target="https://docs.spring.io/spring-boot/docs/2.3.4.RELEASE/api/org/springframework/boot/jta/atomikos/AtomikosProperties.html" TargetMode="External"/><Relationship Id="rId485" Type="http://schemas.openxmlformats.org/officeDocument/2006/relationships/hyperlink" Target="https://github.com/Netflix/atlas" TargetMode="External"/><Relationship Id="rId692" Type="http://schemas.openxmlformats.org/officeDocument/2006/relationships/hyperlink" Target="https://docs.spring.io/spring-boot/docs/2.3.4.RELEASE/api/org/springframework/boot/autoconfigure/batch/BatchAutoConfiguration.html" TargetMode="External"/><Relationship Id="rId706" Type="http://schemas.openxmlformats.org/officeDocument/2006/relationships/hyperlink" Target="https://docs.spring.io/spring-boot/docs/2.3.4.RELEASE/api/org/springframework/boot/autoconfigure/web/reactive/function/client/ClientHttpConnectorAutoConfiguration.html" TargetMode="External"/><Relationship Id="rId748" Type="http://schemas.openxmlformats.org/officeDocument/2006/relationships/hyperlink" Target="https://docs.spring.io/spring-boot/docs/2.3.4.RELEASE/api/org/springframework/boot/autoconfigure/groovy/template/GroovyTemplateAutoConfiguration.html" TargetMode="External"/><Relationship Id="rId913" Type="http://schemas.openxmlformats.org/officeDocument/2006/relationships/hyperlink" Target="https://github.com/spring-projects/spring-boot/tree/v2.3.4.RELEASE/spring-boot-project/spring-boot-autoconfigure/src/main/java/org/springframework/boot/autoconfigure/transaction/TransactionAutoConfiguration.java" TargetMode="External"/><Relationship Id="rId955" Type="http://schemas.openxmlformats.org/officeDocument/2006/relationships/hyperlink" Target="https://github.com/spring-projects/spring-boot/tree/v2.3.4.RELEASE/spring-boot-project/spring-boot-actuator-autoconfigure/src/main/java/org/springframework/boot/actuate/autoconfigure/cassandra/CassandraHealthContributorAutoConfiguration.java" TargetMode="External"/><Relationship Id="rId1140" Type="http://schemas.openxmlformats.org/officeDocument/2006/relationships/theme" Target="theme/theme1.xml"/><Relationship Id="rId42" Type="http://schemas.openxmlformats.org/officeDocument/2006/relationships/hyperlink" Target="https://repo.spring.io/snapshot/org/springframework/boot/spring-boot-cli/" TargetMode="External"/><Relationship Id="rId84" Type="http://schemas.openxmlformats.org/officeDocument/2006/relationships/hyperlink" Target="https://spring.io/tools" TargetMode="External"/><Relationship Id="rId138" Type="http://schemas.openxmlformats.org/officeDocument/2006/relationships/hyperlink" Target="https://docs.spring.io/spring/docs/5.2.9.RELEASE/spring-framework-reference/web.html" TargetMode="External"/><Relationship Id="rId345" Type="http://schemas.openxmlformats.org/officeDocument/2006/relationships/hyperlink" Target="http://spockframework.org/spock/docs/1.2/modules.html" TargetMode="External"/><Relationship Id="rId387" Type="http://schemas.openxmlformats.org/officeDocument/2006/relationships/hyperlink" Target="https://kotlinlang.org/docs/reference/" TargetMode="External"/><Relationship Id="rId510" Type="http://schemas.openxmlformats.org/officeDocument/2006/relationships/hyperlink" Target="https://github.com/prometheus/pushgateway" TargetMode="External"/><Relationship Id="rId552" Type="http://schemas.openxmlformats.org/officeDocument/2006/relationships/hyperlink" Target="https://boxfuse.com/blog/spring-boot-ec2.html" TargetMode="External"/><Relationship Id="rId594" Type="http://schemas.openxmlformats.org/officeDocument/2006/relationships/hyperlink" Target="https://github.com/spring-projects/spring-boot/tree/v2.3.4.RELEASE/spring-boot-project/spring-boot/src/main/java/org/springframework/boot/context/config/ConfigFileApplicationListener.java" TargetMode="External"/><Relationship Id="rId608" Type="http://schemas.openxmlformats.org/officeDocument/2006/relationships/hyperlink" Target="https://github.com/spring-projects/spring-boot/tree/v2.3.4.RELEASE/spring-boot-project/spring-boot-autoconfigure/src/main/java/org/springframework/boot/autoconfigure/web/servlet/MultipartAutoConfiguration.java" TargetMode="External"/><Relationship Id="rId815" Type="http://schemas.openxmlformats.org/officeDocument/2006/relationships/hyperlink" Target="https://github.com/spring-projects/spring-boot/tree/v2.3.4.RELEASE/spring-boot-project/spring-boot-autoconfigure/src/main/java/org/springframework/boot/autoconfigure/mongo/MongoReactiveAutoConfiguration.java" TargetMode="External"/><Relationship Id="rId997" Type="http://schemas.openxmlformats.org/officeDocument/2006/relationships/hyperlink" Target="https://github.com/spring-projects/spring-boot/tree/v2.3.4.RELEASE/spring-boot-project/spring-boot-actuator-autoconfigure/src/main/java/org/springframework/boot/actuate/autoconfigure/metrics/export/ganglia/GangliaMetricsExportAutoConfiguration.java" TargetMode="External"/><Relationship Id="rId191" Type="http://schemas.openxmlformats.org/officeDocument/2006/relationships/hyperlink" Target="https://tomcat.apache.org/tomcat-9.0-doc/jdbc-pool.html" TargetMode="External"/><Relationship Id="rId205" Type="http://schemas.openxmlformats.org/officeDocument/2006/relationships/hyperlink" Target="https://www.h2database.com/" TargetMode="External"/><Relationship Id="rId247" Type="http://schemas.openxmlformats.org/officeDocument/2006/relationships/hyperlink" Target="https://www.elastic.co/guide/en/elasticsearch/client/java-rest/current/index.html" TargetMode="External"/><Relationship Id="rId412" Type="http://schemas.openxmlformats.org/officeDocument/2006/relationships/hyperlink" Target="https://docs.spring.io/spring-boot/docs/2.3.4.RELEASE/api/" TargetMode="External"/><Relationship Id="rId857" Type="http://schemas.openxmlformats.org/officeDocument/2006/relationships/hyperlink" Target="https://github.com/spring-projects/spring-boot/tree/v2.3.4.RELEASE/spring-boot-project/spring-boot-autoconfigure/src/main/java/org/springframework/boot/autoconfigure/rsocket/RSocketServerAutoConfiguration.java" TargetMode="External"/><Relationship Id="rId899" Type="http://schemas.openxmlformats.org/officeDocument/2006/relationships/hyperlink" Target="https://github.com/spring-projects/spring-boot/tree/v2.3.4.RELEASE/spring-boot-project/spring-boot-autoconfigure/src/main/java/org/springframework/boot/autoconfigure/solr/SolrAutoConfiguration.java" TargetMode="External"/><Relationship Id="rId1000" Type="http://schemas.openxmlformats.org/officeDocument/2006/relationships/hyperlink" Target="https://docs.spring.io/spring-boot/docs/2.3.4.RELEASE/api/org/springframework/boot/actuate/autoconfigure/metrics/export/graphite/GraphiteMetricsExportAutoConfiguration.html" TargetMode="External"/><Relationship Id="rId1042" Type="http://schemas.openxmlformats.org/officeDocument/2006/relationships/hyperlink" Target="https://docs.spring.io/spring-boot/docs/2.3.4.RELEASE/api/org/springframework/boot/actuate/autoconfigure/metrics/JvmMetricsAutoConfiguration.html" TargetMode="External"/><Relationship Id="rId1084" Type="http://schemas.openxmlformats.org/officeDocument/2006/relationships/hyperlink" Target="https://docs.spring.io/spring-boot/docs/2.3.4.RELEASE/api/org/springframework/boot/actuate/autoconfigure/metrics/amqp/RabbitMetricsAutoConfiguration.html" TargetMode="External"/><Relationship Id="rId107" Type="http://schemas.openxmlformats.org/officeDocument/2006/relationships/hyperlink" Target="https://docs.oracle.com/javase/8/docs/api/java/time/Duration.html" TargetMode="External"/><Relationship Id="rId289" Type="http://schemas.openxmlformats.org/officeDocument/2006/relationships/hyperlink" Target="https://docs.spring.io/spring-amqp/docs/2.2.11.RELEASE/api/org/springframework/amqp/rabbit/annotation/EnableRabbit.html" TargetMode="External"/><Relationship Id="rId454" Type="http://schemas.openxmlformats.org/officeDocument/2006/relationships/hyperlink" Target="https://github.com/spring-projects/spring-boot/tree/v2.3.4.RELEASE/spring-boot-project/spring-boot-actuator/src/main/java/org/springframework/boot/actuate/couchbase/CouchbaseReactiveHealthIndicator.java" TargetMode="External"/><Relationship Id="rId496" Type="http://schemas.openxmlformats.org/officeDocument/2006/relationships/hyperlink" Target="https://cloud.humio.com/" TargetMode="External"/><Relationship Id="rId661" Type="http://schemas.openxmlformats.org/officeDocument/2006/relationships/hyperlink" Target="https://docs.spring.io/spring-boot/docs/2.3.4.RELEASE/gradle-plugin/reference/html/" TargetMode="External"/><Relationship Id="rId717" Type="http://schemas.openxmlformats.org/officeDocument/2006/relationships/hyperlink" Target="https://github.com/spring-projects/spring-boot/tree/v2.3.4.RELEASE/spring-boot-project/spring-boot-autoconfigure/src/main/java/org/springframework/boot/autoconfigure/data/couchbase/CouchbaseReactiveRepositoriesAutoConfiguration.java" TargetMode="External"/><Relationship Id="rId759" Type="http://schemas.openxmlformats.org/officeDocument/2006/relationships/hyperlink" Target="https://github.com/spring-projects/spring-boot/tree/v2.3.4.RELEASE/spring-boot-project/spring-boot-autoconfigure/src/main/java/org/springframework/boot/autoconfigure/web/servlet/HttpEncodingAutoConfiguration.java" TargetMode="External"/><Relationship Id="rId924" Type="http://schemas.openxmlformats.org/officeDocument/2006/relationships/hyperlink" Target="https://docs.spring.io/spring-boot/docs/2.3.4.RELEASE/api/org/springframework/boot/autoconfigure/web/servlet/WebMvcAutoConfiguration.html" TargetMode="External"/><Relationship Id="rId966" Type="http://schemas.openxmlformats.org/officeDocument/2006/relationships/hyperlink" Target="https://docs.spring.io/spring-boot/docs/2.3.4.RELEASE/api/org/springframework/boot/actuate/autoconfigure/context/properties/ConfigurationPropertiesReportEndpointAutoConfiguration.html" TargetMode="External"/><Relationship Id="rId11" Type="http://schemas.openxmlformats.org/officeDocument/2006/relationships/comments" Target="comments.xml"/><Relationship Id="rId53" Type="http://schemas.openxmlformats.org/officeDocument/2006/relationships/image" Target="media/image3.png"/><Relationship Id="rId149" Type="http://schemas.openxmlformats.org/officeDocument/2006/relationships/hyperlink" Target="https://docs.spring.io/spring/docs/5.2.9.RELEASE/spring-framework-reference/web.html" TargetMode="External"/><Relationship Id="rId314" Type="http://schemas.openxmlformats.org/officeDocument/2006/relationships/hyperlink" Target="https://spring.io/projects/spring-integration" TargetMode="External"/><Relationship Id="rId356" Type="http://schemas.openxmlformats.org/officeDocument/2006/relationships/hyperlink" Target="https://asm.ow2.io/" TargetMode="External"/><Relationship Id="rId398" Type="http://schemas.openxmlformats.org/officeDocument/2006/relationships/hyperlink" Target="https://spring.io/blog/2016/02/15/developing-spring-boot-applications-with-kotlin" TargetMode="External"/><Relationship Id="rId521" Type="http://schemas.openxmlformats.org/officeDocument/2006/relationships/hyperlink" Target="https://micrometer.io/docs/concepts" TargetMode="External"/><Relationship Id="rId563" Type="http://schemas.openxmlformats.org/officeDocument/2006/relationships/hyperlink" Target="https://github.com/snicoll-scratches/spring-boot-daemon" TargetMode="External"/><Relationship Id="rId619" Type="http://schemas.openxmlformats.org/officeDocument/2006/relationships/hyperlink" Target="https://logback.qos.ch/manual/configuration.html" TargetMode="External"/><Relationship Id="rId770" Type="http://schemas.openxmlformats.org/officeDocument/2006/relationships/hyperlink" Target="https://docs.spring.io/spring-boot/docs/2.3.4.RELEASE/api/org/springframework/boot/autoconfigure/integration/IntegrationAutoConfiguration.html" TargetMode="External"/><Relationship Id="rId95" Type="http://schemas.openxmlformats.org/officeDocument/2006/relationships/hyperlink" Target="https://docs.spring.io/spring/docs/5.2.9.RELEASE/javadoc-api/org/springframework/context/event/ContextRefreshedEvent.html" TargetMode="External"/><Relationship Id="rId160" Type="http://schemas.openxmlformats.org/officeDocument/2006/relationships/hyperlink" Target="https://freemarker.apache.org/docs/" TargetMode="External"/><Relationship Id="rId216" Type="http://schemas.openxmlformats.org/officeDocument/2006/relationships/hyperlink" Target="https://spring.io/projects/spring-data-mongodb" TargetMode="External"/><Relationship Id="rId423" Type="http://schemas.openxmlformats.org/officeDocument/2006/relationships/hyperlink" Target="https://github.com/spring-projects/spring-boot/tree/v2.3.4.RELEASE/spring-boot-project/spring-boot-actuator/src/main/java/org/springframework/boot/actuate/health/HealthContributor.java" TargetMode="External"/><Relationship Id="rId826" Type="http://schemas.openxmlformats.org/officeDocument/2006/relationships/hyperlink" Target="https://docs.spring.io/spring-boot/docs/2.3.4.RELEASE/api/org/springframework/boot/autoconfigure/mustache/MustacheAutoConfiguration.html" TargetMode="External"/><Relationship Id="rId868" Type="http://schemas.openxmlformats.org/officeDocument/2006/relationships/hyperlink" Target="https://docs.spring.io/spring-boot/docs/2.3.4.RELEASE/api/org/springframework/boot/autoconfigure/security/oauth2/client/reactive/ReactiveOAuth2ClientAutoConfiguration.html" TargetMode="External"/><Relationship Id="rId1011" Type="http://schemas.openxmlformats.org/officeDocument/2006/relationships/hyperlink" Target="https://github.com/spring-projects/spring-boot/tree/v2.3.4.RELEASE/spring-boot-project/spring-boot-actuator-autoconfigure/src/main/java/org/springframework/boot/actuate/autoconfigure/metrics/web/client/HttpClientMetricsAutoConfiguration.java" TargetMode="External"/><Relationship Id="rId1053" Type="http://schemas.openxmlformats.org/officeDocument/2006/relationships/hyperlink" Target="https://github.com/spring-projects/spring-boot/tree/v2.3.4.RELEASE/spring-boot-project/spring-boot-actuator-autoconfigure/src/main/java/org/springframework/boot/actuate/autoconfigure/logging/LogFileWebEndpointAutoConfiguration.java" TargetMode="External"/><Relationship Id="rId1109" Type="http://schemas.openxmlformats.org/officeDocument/2006/relationships/hyperlink" Target="https://github.com/spring-projects/spring-boot/tree/v2.3.4.RELEASE/spring-boot-project/spring-boot-actuator-autoconfigure/src/main/java/org/springframework/boot/actuate/autoconfigure/metrics/export/stackdriver/StackdriverMetricsExportAutoConfiguration.java" TargetMode="External"/><Relationship Id="rId258" Type="http://schemas.openxmlformats.org/officeDocument/2006/relationships/hyperlink" Target="https://docs.spring.io/spring-data/couchbase/docs/4.0.4.RELEASE/reference/html/" TargetMode="External"/><Relationship Id="rId465" Type="http://schemas.openxmlformats.org/officeDocument/2006/relationships/hyperlink" Target="https://github.com/spring-projects/spring-boot/tree/v2.3.4.RELEASE/spring-boot-project/spring-boot-actuator/src/main/java/org/springframework/boot/actuate/info/InfoContributor.java" TargetMode="External"/><Relationship Id="rId630" Type="http://schemas.openxmlformats.org/officeDocument/2006/relationships/hyperlink" Target="https://github.com/spring-projects/spring-boot/tree/v2.3.4.RELEASE/spring-boot-project/spring-boot-autoconfigure/src/main/java/org/springframework/boot/autoconfigure/orm/jpa/JpaBaseConfiguration.java" TargetMode="External"/><Relationship Id="rId672" Type="http://schemas.openxmlformats.org/officeDocument/2006/relationships/hyperlink" Target="http://xmlns.oracle.com/weblogic/weblogic-web-app" TargetMode="External"/><Relationship Id="rId728" Type="http://schemas.openxmlformats.org/officeDocument/2006/relationships/hyperlink" Target="https://docs.spring.io/spring-boot/docs/2.3.4.RELEASE/api/org/springframework/boot/autoconfigure/data/elasticsearch/ElasticsearchDataAutoConfiguration.html" TargetMode="External"/><Relationship Id="rId935" Type="http://schemas.openxmlformats.org/officeDocument/2006/relationships/hyperlink" Target="https://github.com/spring-projects/spring-boot/tree/v2.3.4.RELEASE/spring-boot-project/spring-boot-autoconfigure/src/main/java/org/springframework/boot/autoconfigure/jdbc/XADataSourceAutoConfiguration.java" TargetMode="External"/><Relationship Id="rId1095" Type="http://schemas.openxmlformats.org/officeDocument/2006/relationships/hyperlink" Target="https://github.com/spring-projects/spring-boot/tree/v2.3.4.RELEASE/spring-boot-project/spring-boot-actuator-autoconfigure/src/main/java/org/springframework/boot/actuate/autoconfigure/scheduling/ScheduledTasksEndpointAutoConfiguration.java" TargetMode="External"/><Relationship Id="rId22" Type="http://schemas.openxmlformats.org/officeDocument/2006/relationships/hyperlink" Target="https://stackoverflow.com/tags/spring-boot" TargetMode="External"/><Relationship Id="rId64" Type="http://schemas.openxmlformats.org/officeDocument/2006/relationships/hyperlink" Target="https://spring.io/" TargetMode="External"/><Relationship Id="rId118" Type="http://schemas.openxmlformats.org/officeDocument/2006/relationships/hyperlink" Target="https://github.com/spring-projects/spring-boot/tree/v2.3.4.RELEASE/spring-boot-project/spring-boot/src/main/resources/org/springframework/boot/logging/java/logging-file.properties" TargetMode="External"/><Relationship Id="rId325" Type="http://schemas.openxmlformats.org/officeDocument/2006/relationships/hyperlink" Target="https://github.com/skyscreamer/JSONassert" TargetMode="External"/><Relationship Id="rId367" Type="http://schemas.openxmlformats.org/officeDocument/2006/relationships/hyperlink" Target="https://discuss.kotlinlang.org/t/classes-final-by-default/166" TargetMode="External"/><Relationship Id="rId532" Type="http://schemas.openxmlformats.org/officeDocument/2006/relationships/hyperlink" Target="https://docs.cloudfoundry.org/cf-cli/getting-started.html" TargetMode="External"/><Relationship Id="rId574" Type="http://schemas.openxmlformats.org/officeDocument/2006/relationships/hyperlink" Target="https://docs.spring.io/spring-boot/docs/2.3.4.RELEASE/maven-plugin/reference/html/" TargetMode="External"/><Relationship Id="rId977" Type="http://schemas.openxmlformats.org/officeDocument/2006/relationships/hyperlink" Target="https://github.com/spring-projects/spring-boot/tree/v2.3.4.RELEASE/spring-boot-project/spring-boot-actuator-autoconfigure/src/main/java/org/springframework/boot/actuate/autoconfigure/metrics/jdbc/DataSourcePoolMetricsAutoConfiguration.java" TargetMode="External"/><Relationship Id="rId1120" Type="http://schemas.openxmlformats.org/officeDocument/2006/relationships/hyperlink" Target="https://docs.spring.io/spring-boot/docs/2.3.4.RELEASE/api/org/springframework/boot/actuate/autoconfigure/metrics/export/wavefront/WavefrontMetricsExportAutoConfiguration.html" TargetMode="External"/><Relationship Id="rId171" Type="http://schemas.openxmlformats.org/officeDocument/2006/relationships/image" Target="media/image6.png"/><Relationship Id="rId227" Type="http://schemas.openxmlformats.org/officeDocument/2006/relationships/hyperlink" Target="https://redis.io/" TargetMode="External"/><Relationship Id="rId781" Type="http://schemas.openxmlformats.org/officeDocument/2006/relationships/hyperlink" Target="https://github.com/spring-projects/spring-boot/tree/v2.3.4.RELEASE/spring-boot-project/spring-boot-autoconfigure/src/main/java/org/springframework/boot/autoconfigure/jmx/JmxAutoConfiguration.java" TargetMode="External"/><Relationship Id="rId837" Type="http://schemas.openxmlformats.org/officeDocument/2006/relationships/hyperlink" Target="https://github.com/spring-projects/spring-boot/tree/v2.3.4.RELEASE/spring-boot-project/spring-boot-autoconfigure/src/main/java/org/springframework/boot/autoconfigure/info/ProjectInfoAutoConfiguration.java" TargetMode="External"/><Relationship Id="rId879" Type="http://schemas.openxmlformats.org/officeDocument/2006/relationships/hyperlink" Target="https://github.com/spring-projects/spring-boot/tree/v2.3.4.RELEASE/spring-boot-project/spring-boot-autoconfigure/src/main/java/org/springframework/boot/autoconfigure/data/redis/RedisReactiveAutoConfiguration.java" TargetMode="External"/><Relationship Id="rId1022" Type="http://schemas.openxmlformats.org/officeDocument/2006/relationships/hyperlink" Target="https://docs.spring.io/spring-boot/docs/2.3.4.RELEASE/api/org/springframework/boot/actuate/autoconfigure/metrics/export/influx/InfluxMetricsExportAutoConfiguration.html" TargetMode="External"/><Relationship Id="rId269" Type="http://schemas.openxmlformats.org/officeDocument/2006/relationships/hyperlink" Target="https://docs.spring.io/spring/docs/5.2.9.RELEASE/javadoc-api/org/springframework/cache/annotation/CachingConfigurer.html" TargetMode="External"/><Relationship Id="rId434" Type="http://schemas.openxmlformats.org/officeDocument/2006/relationships/hyperlink" Target="https://github.com/spring-projects/spring-boot/tree/v2.3.4.RELEASE/spring-boot-project/spring-boot-actuator/src/main/java/org/springframework/boot/actuate/mail/MailHealthIndicator.java" TargetMode="External"/><Relationship Id="rId476" Type="http://schemas.openxmlformats.org/officeDocument/2006/relationships/hyperlink" Target="https://docs.spring.io/spring-boot/docs/2.3.4.RELEASE/actuator-api/pdf/spring-boot-actuator-web-api.pdf" TargetMode="External"/><Relationship Id="rId641" Type="http://schemas.openxmlformats.org/officeDocument/2006/relationships/hyperlink" Target="https://docs.spring.io/spring-batch/docs/4.2.4.RELEASE/api/org/springframework/batch/core/configuration/annotation/EnableBatchProcessing.html" TargetMode="External"/><Relationship Id="rId683" Type="http://schemas.openxmlformats.org/officeDocument/2006/relationships/hyperlink" Target="https://github.com/spring-projects/spring-boot/tree/v2.3.4.RELEASE/spring-boot-project/spring-boot-autoconfigure/src/main/java/org/springframework/boot/autoconfigure/jms/activemq/ActiveMQAutoConfiguration.java" TargetMode="External"/><Relationship Id="rId739" Type="http://schemas.openxmlformats.org/officeDocument/2006/relationships/hyperlink" Target="https://github.com/spring-projects/spring-boot/tree/v2.3.4.RELEASE/spring-boot-project/spring-boot-autoconfigure/src/main/java/org/springframework/boot/autoconfigure/web/servlet/error/ErrorMvcAutoConfiguration.java" TargetMode="External"/><Relationship Id="rId890" Type="http://schemas.openxmlformats.org/officeDocument/2006/relationships/hyperlink" Target="https://docs.spring.io/spring-boot/docs/2.3.4.RELEASE/api/org/springframework/boot/autoconfigure/security/servlet/SecurityAutoConfiguration.html" TargetMode="External"/><Relationship Id="rId904" Type="http://schemas.openxmlformats.org/officeDocument/2006/relationships/hyperlink" Target="https://docs.spring.io/spring-boot/docs/2.3.4.RELEASE/api/org/springframework/boot/autoconfigure/admin/SpringApplicationAdminJmxAutoConfiguration.html" TargetMode="External"/><Relationship Id="rId1064" Type="http://schemas.openxmlformats.org/officeDocument/2006/relationships/hyperlink" Target="https://docs.spring.io/spring-boot/docs/2.3.4.RELEASE/api/org/springframework/boot/actuate/autoconfigure/security/servlet/ManagementWebSecurityAutoConfiguration.html" TargetMode="External"/><Relationship Id="rId33" Type="http://schemas.openxmlformats.org/officeDocument/2006/relationships/hyperlink" Target="https://docs.spring.io/spring-boot/docs/2.3.4.RELEASE/maven-plugin/reference/html/" TargetMode="External"/><Relationship Id="rId129" Type="http://schemas.openxmlformats.org/officeDocument/2006/relationships/hyperlink" Target="https://github.com/spring-projects/spring-boot/tree/v2.3.4.RELEASE/spring-boot-project/spring-boot/src/main/java/org/springframework/boot/jackson/JsonObjectDeserializer.java" TargetMode="External"/><Relationship Id="rId280" Type="http://schemas.openxmlformats.org/officeDocument/2006/relationships/hyperlink" Target="https://github.com/spring-projects/spring-boot/tree/v2.3.4.RELEASE/spring-boot-project/spring-boot-autoconfigure/src/main/java/org/springframework/boot/autoconfigure/jms/artemis/ArtemisProperties.java" TargetMode="External"/><Relationship Id="rId336" Type="http://schemas.openxmlformats.org/officeDocument/2006/relationships/hyperlink" Target="https://docs.spring.io/spring/docs/5.2.9.RELEASE/spring-framework-reference/testing.html" TargetMode="External"/><Relationship Id="rId501" Type="http://schemas.openxmlformats.org/officeDocument/2006/relationships/hyperlink" Target="https://micrometer.io/docs/registry/jmx" TargetMode="External"/><Relationship Id="rId543" Type="http://schemas.openxmlformats.org/officeDocument/2006/relationships/hyperlink" Target="https://docs.aws.amazon.com/elasticbeanstalk/latest/dg/create_deploy_Java.html" TargetMode="External"/><Relationship Id="rId946" Type="http://schemas.openxmlformats.org/officeDocument/2006/relationships/hyperlink" Target="https://docs.spring.io/spring-boot/docs/2.3.4.RELEASE/api/org/springframework/boot/actuate/autoconfigure/availability/AvailabilityHealthContributorAutoConfiguration.html" TargetMode="External"/><Relationship Id="rId988" Type="http://schemas.openxmlformats.org/officeDocument/2006/relationships/hyperlink" Target="https://docs.spring.io/spring-boot/docs/2.3.4.RELEASE/api/org/springframework/boot/actuate/autoconfigure/elasticsearch/ElasticSearchReactiveHealthContributorAutoConfiguration.html" TargetMode="External"/><Relationship Id="rId1131" Type="http://schemas.openxmlformats.org/officeDocument/2006/relationships/hyperlink" Target="file://localhost/opt/app" TargetMode="External"/><Relationship Id="rId75" Type="http://schemas.openxmlformats.org/officeDocument/2006/relationships/hyperlink" Target="https://maven.apache.org/plugins/maven-idea-plugin/" TargetMode="External"/><Relationship Id="rId140" Type="http://schemas.openxmlformats.org/officeDocument/2006/relationships/hyperlink" Target="https://docs.groovy-lang.org/docs/next/html/documentation/template-engines.html" TargetMode="External"/><Relationship Id="rId182" Type="http://schemas.openxmlformats.org/officeDocument/2006/relationships/hyperlink" Target="https://docs.spring.io/spring-security/site/docs/5.3.4.RELEASE/reference/html5/" TargetMode="External"/><Relationship Id="rId378" Type="http://schemas.openxmlformats.org/officeDocument/2006/relationships/hyperlink" Target="https://kotlinlang.org/docs/reference/extensions.html" TargetMode="External"/><Relationship Id="rId403" Type="http://schemas.openxmlformats.org/officeDocument/2006/relationships/hyperlink" Target="https://github.com/mixitconf/mixit" TargetMode="External"/><Relationship Id="rId585" Type="http://schemas.openxmlformats.org/officeDocument/2006/relationships/hyperlink" Target="https://stackoverflow.com/tags/spring-boot" TargetMode="External"/><Relationship Id="rId750" Type="http://schemas.openxmlformats.org/officeDocument/2006/relationships/hyperlink" Target="https://docs.spring.io/spring-boot/docs/2.3.4.RELEASE/api/org/springframework/boot/autoconfigure/gson/GsonAutoConfiguration.html" TargetMode="External"/><Relationship Id="rId792" Type="http://schemas.openxmlformats.org/officeDocument/2006/relationships/hyperlink" Target="https://docs.spring.io/spring-boot/docs/2.3.4.RELEASE/api/org/springframework/boot/autoconfigure/jsonb/JsonbAutoConfiguration.html" TargetMode="External"/><Relationship Id="rId806" Type="http://schemas.openxmlformats.org/officeDocument/2006/relationships/hyperlink" Target="https://docs.spring.io/spring-boot/docs/2.3.4.RELEASE/api/org/springframework/boot/autoconfigure/mail/MailSenderAutoConfiguration.html" TargetMode="External"/><Relationship Id="rId848" Type="http://schemas.openxmlformats.org/officeDocument/2006/relationships/hyperlink" Target="https://docs.spring.io/spring-boot/docs/2.3.4.RELEASE/api/org/springframework/boot/autoconfigure/data/r2dbc/R2dbcRepositoriesAutoConfiguration.html" TargetMode="External"/><Relationship Id="rId1033" Type="http://schemas.openxmlformats.org/officeDocument/2006/relationships/hyperlink" Target="https://github.com/spring-projects/spring-boot/tree/v2.3.4.RELEASE/spring-boot-project/spring-boot-actuator-autoconfigure/src/main/java/org/springframework/boot/actuate/autoconfigure/jms/JmsHealthContributorAutoConfiguration.java" TargetMode="External"/><Relationship Id="rId6" Type="http://schemas.openxmlformats.org/officeDocument/2006/relationships/footnotes" Target="footnotes.xml"/><Relationship Id="rId238" Type="http://schemas.openxmlformats.org/officeDocument/2006/relationships/hyperlink" Target="https://github.com/flapdoodle-oss/de.flapdoodle.embed.mongo" TargetMode="External"/><Relationship Id="rId445" Type="http://schemas.openxmlformats.org/officeDocument/2006/relationships/hyperlink" Target="https://github.com/spring-projects/spring-boot/tree/v2.3.4.RELEASE/spring-boot-project/spring-boot-actuator/src/main/java/org/springframework/boot/actuate/health/Status.java" TargetMode="External"/><Relationship Id="rId487" Type="http://schemas.openxmlformats.org/officeDocument/2006/relationships/hyperlink" Target="https://www.datadoghq.com/" TargetMode="External"/><Relationship Id="rId610" Type="http://schemas.openxmlformats.org/officeDocument/2006/relationships/hyperlink" Target="https://spring.io/blog/2013/06/03/content-negotiation-using-views" TargetMode="External"/><Relationship Id="rId652" Type="http://schemas.openxmlformats.org/officeDocument/2006/relationships/hyperlink" Target="https://docs.spring.io/spring-security/site/docs/5.3.4.RELEASE/reference/html5/" TargetMode="External"/><Relationship Id="rId694" Type="http://schemas.openxmlformats.org/officeDocument/2006/relationships/hyperlink" Target="https://docs.spring.io/spring-boot/docs/2.3.4.RELEASE/api/org/springframework/boot/autoconfigure/cache/CacheAutoConfiguration.html" TargetMode="External"/><Relationship Id="rId708" Type="http://schemas.openxmlformats.org/officeDocument/2006/relationships/hyperlink" Target="https://docs.spring.io/spring-boot/docs/2.3.4.RELEASE/api/org/springframework/boot/autoconfigure/http/codec/CodecsAutoConfiguration.html" TargetMode="External"/><Relationship Id="rId915" Type="http://schemas.openxmlformats.org/officeDocument/2006/relationships/hyperlink" Target="https://github.com/spring-projects/spring-boot/tree/v2.3.4.RELEASE/spring-boot-project/spring-boot-autoconfigure/src/main/java/org/springframework/boot/autoconfigure/security/servlet/UserDetailsServiceAutoConfiguration.java" TargetMode="External"/><Relationship Id="rId1075" Type="http://schemas.openxmlformats.org/officeDocument/2006/relationships/hyperlink" Target="https://github.com/spring-projects/spring-boot/tree/v2.3.4.RELEASE/spring-boot-project/spring-boot-actuator-autoconfigure/src/main/java/org/springframework/boot/actuate/autoconfigure/neo4j/Neo4jHealthContributorAutoConfiguration.java" TargetMode="External"/><Relationship Id="rId291" Type="http://schemas.openxmlformats.org/officeDocument/2006/relationships/hyperlink" Target="https://github.com/spring-projects/spring-boot/tree/v2.3.4.RELEASE/spring-boot-project/spring-boot-autoconfigure/src/main/java/org/springframework/boot/autoconfigure/kafka/KafkaProperties.java" TargetMode="External"/><Relationship Id="rId305" Type="http://schemas.openxmlformats.org/officeDocument/2006/relationships/hyperlink" Target="https://github.com/bitronix/btm/wiki/Transaction-manager-configuration" TargetMode="External"/><Relationship Id="rId347" Type="http://schemas.openxmlformats.org/officeDocument/2006/relationships/hyperlink" Target="https://docs.spring.io/spring/docs/5.2.9.RELEASE/spring-framework-reference/web.html" TargetMode="External"/><Relationship Id="rId512" Type="http://schemas.openxmlformats.org/officeDocument/2006/relationships/hyperlink" Target="https://www.signalfx.com/" TargetMode="External"/><Relationship Id="rId957" Type="http://schemas.openxmlformats.org/officeDocument/2006/relationships/hyperlink" Target="https://github.com/spring-projects/spring-boot/tree/v2.3.4.RELEASE/spring-boot-project/spring-boot-actuator-autoconfigure/src/main/java/org/springframework/boot/actuate/autoconfigure/cassandra/CassandraReactiveHealthContributorAutoConfiguration.java" TargetMode="External"/><Relationship Id="rId999" Type="http://schemas.openxmlformats.org/officeDocument/2006/relationships/hyperlink" Target="https://github.com/spring-projects/spring-boot/tree/v2.3.4.RELEASE/spring-boot-project/spring-boot-actuator-autoconfigure/src/main/java/org/springframework/boot/actuate/autoconfigure/metrics/export/graphite/GraphiteMetricsExportAutoConfiguration.java" TargetMode="External"/><Relationship Id="rId1100" Type="http://schemas.openxmlformats.org/officeDocument/2006/relationships/hyperlink" Target="https://docs.spring.io/spring-boot/docs/2.3.4.RELEASE/api/org/springframework/boot/actuate/autoconfigure/session/SessionsEndpointAutoConfiguration.html" TargetMode="External"/><Relationship Id="rId44" Type="http://schemas.openxmlformats.org/officeDocument/2006/relationships/hyperlink" Target="https://sdkman.io/" TargetMode="External"/><Relationship Id="rId86" Type="http://schemas.openxmlformats.org/officeDocument/2006/relationships/hyperlink" Target="https://www.jetbrains.com/help/idea/spring-boot.html" TargetMode="External"/><Relationship Id="rId151" Type="http://schemas.openxmlformats.org/officeDocument/2006/relationships/hyperlink" Target="https://docs.spring.io/spring/docs/5.2.9.RELEASE/javadoc-api/org/springframework/web/bind/annotation/CrossOrigin.html" TargetMode="External"/><Relationship Id="rId389" Type="http://schemas.openxmlformats.org/officeDocument/2006/relationships/hyperlink" Target="https://stackoverflow.com/questions/tagged/spring%2Bkotlin" TargetMode="External"/><Relationship Id="rId554" Type="http://schemas.openxmlformats.org/officeDocument/2006/relationships/hyperlink" Target="https://boxfuse.com/docs/payloads/springboot.html" TargetMode="External"/><Relationship Id="rId596" Type="http://schemas.openxmlformats.org/officeDocument/2006/relationships/hyperlink" Target="https://github.com/spring-projects/spring-boot/tree/v2.3.4.RELEASE/spring-boot-project/spring-boot-autoconfigure/src/main/java/org/springframework/boot/autoconfigure/web/ServerProperties.java" TargetMode="External"/><Relationship Id="rId761" Type="http://schemas.openxmlformats.org/officeDocument/2006/relationships/hyperlink" Target="https://github.com/spring-projects/spring-boot/tree/v2.3.4.RELEASE/spring-boot-project/spring-boot-autoconfigure/src/main/java/org/springframework/boot/autoconfigure/web/reactive/HttpHandlerAutoConfiguration.java" TargetMode="External"/><Relationship Id="rId817" Type="http://schemas.openxmlformats.org/officeDocument/2006/relationships/hyperlink" Target="https://github.com/spring-projects/spring-boot/tree/v2.3.4.RELEASE/spring-boot-project/spring-boot-autoconfigure/src/main/java/org/springframework/boot/autoconfigure/data/mongo/MongoReactiveDataAutoConfiguration.java" TargetMode="External"/><Relationship Id="rId859" Type="http://schemas.openxmlformats.org/officeDocument/2006/relationships/hyperlink" Target="https://github.com/spring-projects/spring-boot/tree/v2.3.4.RELEASE/spring-boot-project/spring-boot-autoconfigure/src/main/java/org/springframework/boot/autoconfigure/rsocket/RSocketStrategiesAutoConfiguration.java" TargetMode="External"/><Relationship Id="rId1002" Type="http://schemas.openxmlformats.org/officeDocument/2006/relationships/hyperlink" Target="https://docs.spring.io/spring-boot/docs/2.3.4.RELEASE/api/org/springframework/boot/actuate/autoconfigure/hazelcast/HazelcastHealthContributorAutoConfiguration.html" TargetMode="External"/><Relationship Id="rId193" Type="http://schemas.openxmlformats.org/officeDocument/2006/relationships/hyperlink" Target="https://spring.io/guides/gs/accessing-data-jpa/" TargetMode="External"/><Relationship Id="rId207" Type="http://schemas.openxmlformats.org/officeDocument/2006/relationships/hyperlink" Target="https://www.jooq.org/" TargetMode="External"/><Relationship Id="rId249" Type="http://schemas.openxmlformats.org/officeDocument/2006/relationships/hyperlink" Target="https://docs.spring.io/spring-data/elasticsearch/docs/current/reference/html/" TargetMode="External"/><Relationship Id="rId414" Type="http://schemas.openxmlformats.org/officeDocument/2006/relationships/hyperlink" Target="https://github.com/spring-projects/spring-boot/tree/v2.3.4.RELEASE/spring-boot-project/spring-boot-actuator" TargetMode="External"/><Relationship Id="rId456" Type="http://schemas.openxmlformats.org/officeDocument/2006/relationships/hyperlink" Target="https://github.com/spring-projects/spring-boot/tree/v2.3.4.RELEASE/spring-boot-project/spring-boot-actuator/src/main/java/org/springframework/boot/actuate/elasticsearch/ElasticsearchReactiveHealthIndicator.java" TargetMode="External"/><Relationship Id="rId498" Type="http://schemas.openxmlformats.org/officeDocument/2006/relationships/hyperlink" Target="https://micrometer.io/docs/registry/influx" TargetMode="External"/><Relationship Id="rId621" Type="http://schemas.openxmlformats.org/officeDocument/2006/relationships/hyperlink" Target="https://logging.apache.org/log4j/2.0/log4j-jul/index.html" TargetMode="External"/><Relationship Id="rId663" Type="http://schemas.openxmlformats.org/officeDocument/2006/relationships/hyperlink" Target="https://docs.spring.io/spring-boot/docs/2.3.4.RELEASE/maven-plugin/reference/html/" TargetMode="External"/><Relationship Id="rId870" Type="http://schemas.openxmlformats.org/officeDocument/2006/relationships/hyperlink" Target="https://docs.spring.io/spring-boot/docs/2.3.4.RELEASE/api/org/springframework/boot/autoconfigure/security/oauth2/resource/reactive/ReactiveOAuth2ResourceServerAutoConfiguration.html" TargetMode="External"/><Relationship Id="rId1044" Type="http://schemas.openxmlformats.org/officeDocument/2006/relationships/hyperlink" Target="https://docs.spring.io/spring-boot/docs/2.3.4.RELEASE/api/org/springframework/boot/actuate/autoconfigure/metrics/KafkaMetricsAutoConfiguration.html" TargetMode="External"/><Relationship Id="rId1086" Type="http://schemas.openxmlformats.org/officeDocument/2006/relationships/hyperlink" Target="https://docs.spring.io/spring-boot/docs/2.3.4.RELEASE/api/org/springframework/boot/actuate/autoconfigure/cloudfoundry/reactive/ReactiveCloudFoundryActuatorAutoConfiguration.html" TargetMode="External"/><Relationship Id="rId13" Type="http://schemas.microsoft.com/office/2016/09/relationships/commentsIds" Target="commentsIds.xml"/><Relationship Id="rId109" Type="http://schemas.openxmlformats.org/officeDocument/2006/relationships/hyperlink" Target="https://docs.oracle.com/javase/8/docs/api/java/time/Period.html" TargetMode="External"/><Relationship Id="rId260" Type="http://schemas.openxmlformats.org/officeDocument/2006/relationships/hyperlink" Target="https://ldap.com/unboundid-ldap-sdk-for-java/" TargetMode="External"/><Relationship Id="rId316" Type="http://schemas.openxmlformats.org/officeDocument/2006/relationships/hyperlink" Target="https://github.com/spring-projects/spring-boot/tree/v2.3.4.RELEASE/spring-boot-project/spring-boot-autoconfigure/src/main/java/org/springframework/boot/autoconfigure/integration/IntegrationProperties.java" TargetMode="External"/><Relationship Id="rId523" Type="http://schemas.openxmlformats.org/officeDocument/2006/relationships/hyperlink" Target="https://github.com/cloudfoundry/java-buildpack" TargetMode="External"/><Relationship Id="rId719" Type="http://schemas.openxmlformats.org/officeDocument/2006/relationships/hyperlink" Target="https://github.com/spring-projects/spring-boot/tree/v2.3.4.RELEASE/spring-boot-project/spring-boot-autoconfigure/src/main/java/org/springframework/boot/autoconfigure/data/couchbase/CouchbaseRepositoriesAutoConfiguration.java" TargetMode="External"/><Relationship Id="rId926" Type="http://schemas.openxmlformats.org/officeDocument/2006/relationships/hyperlink" Target="https://docs.spring.io/spring-boot/docs/2.3.4.RELEASE/api/org/springframework/boot/autoconfigure/webservices/client/WebServiceTemplateAutoConfiguration.html" TargetMode="External"/><Relationship Id="rId968" Type="http://schemas.openxmlformats.org/officeDocument/2006/relationships/hyperlink" Target="https://docs.spring.io/spring-boot/docs/2.3.4.RELEASE/api/org/springframework/boot/actuate/autoconfigure/r2dbc/ConnectionFactoryHealthContributorAutoConfiguration.html" TargetMode="External"/><Relationship Id="rId1111" Type="http://schemas.openxmlformats.org/officeDocument/2006/relationships/hyperlink" Target="https://github.com/spring-projects/spring-boot/tree/v2.3.4.RELEASE/spring-boot-project/spring-boot-actuator-autoconfigure/src/main/java/org/springframework/boot/actuate/autoconfigure/metrics/export/statsd/StatsdMetricsExportAutoConfiguration.java" TargetMode="External"/><Relationship Id="rId55" Type="http://schemas.openxmlformats.org/officeDocument/2006/relationships/hyperlink" Target="https://spring.io/guides" TargetMode="External"/><Relationship Id="rId97" Type="http://schemas.openxmlformats.org/officeDocument/2006/relationships/hyperlink" Target="https://docs.spring.io/spring/docs/5.2.9.RELEASE/javadoc-api/org/springframework/test/context/TestPropertySource.html" TargetMode="External"/><Relationship Id="rId120" Type="http://schemas.openxmlformats.org/officeDocument/2006/relationships/hyperlink" Target="https://docs.spring.io/spring/docs/5.2.9.RELEASE/spring-framework-reference/core.html" TargetMode="External"/><Relationship Id="rId358" Type="http://schemas.openxmlformats.org/officeDocument/2006/relationships/hyperlink" Target="https://kotlinlang.org/" TargetMode="External"/><Relationship Id="rId565" Type="http://schemas.openxmlformats.org/officeDocument/2006/relationships/hyperlink" Target="https://www.heroku.com/" TargetMode="External"/><Relationship Id="rId730" Type="http://schemas.openxmlformats.org/officeDocument/2006/relationships/hyperlink" Target="https://docs.spring.io/spring-boot/docs/2.3.4.RELEASE/api/org/springframework/boot/autoconfigure/data/elasticsearch/ElasticsearchRepositoriesAutoConfiguration.html" TargetMode="External"/><Relationship Id="rId772" Type="http://schemas.openxmlformats.org/officeDocument/2006/relationships/hyperlink" Target="https://docs.spring.io/spring-boot/docs/2.3.4.RELEASE/api/org/springframework/boot/autoconfigure/jackson/JacksonAutoConfiguration.html" TargetMode="External"/><Relationship Id="rId828" Type="http://schemas.openxmlformats.org/officeDocument/2006/relationships/hyperlink" Target="https://docs.spring.io/spring-boot/docs/2.3.4.RELEASE/api/org/springframework/boot/autoconfigure/data/neo4j/Neo4jDataAutoConfiguration.html" TargetMode="External"/><Relationship Id="rId1013" Type="http://schemas.openxmlformats.org/officeDocument/2006/relationships/hyperlink" Target="https://github.com/spring-projects/spring-boot/tree/v2.3.4.RELEASE/spring-boot-project/spring-boot-actuator-autoconfigure/src/main/java/org/springframework/boot/actuate/autoconfigure/trace/http/HttpTraceAutoConfiguration.java" TargetMode="External"/><Relationship Id="rId162" Type="http://schemas.openxmlformats.org/officeDocument/2006/relationships/hyperlink" Target="https://mustache.github.io/" TargetMode="External"/><Relationship Id="rId218" Type="http://schemas.openxmlformats.org/officeDocument/2006/relationships/hyperlink" Target="https://spring.io/projects/spring-data-elasticsearch" TargetMode="External"/><Relationship Id="rId425" Type="http://schemas.openxmlformats.org/officeDocument/2006/relationships/hyperlink" Target="https://github.com/spring-projects/spring-boot/tree/v2.3.4.RELEASE/spring-boot-project/spring-boot-actuator/src/main/java/org/springframework/boot/actuate/couchbase/CouchbaseHealthIndicator.java" TargetMode="External"/><Relationship Id="rId467" Type="http://schemas.openxmlformats.org/officeDocument/2006/relationships/hyperlink" Target="https://github.com/spring-projects/spring-boot/tree/v2.3.4.RELEASE/spring-boot-project/spring-boot-actuator/src/main/java/org/springframework/boot/actuate/info/EnvironmentInfoContributor.java" TargetMode="External"/><Relationship Id="rId632" Type="http://schemas.openxmlformats.org/officeDocument/2006/relationships/hyperlink" Target="https://docs.spring.io/spring-data/rest/docs/3.3.4.RELEASE/api/org/springframework/data/rest/webmvc/config/RepositoryRestConfigurer.html" TargetMode="External"/><Relationship Id="rId1055" Type="http://schemas.openxmlformats.org/officeDocument/2006/relationships/hyperlink" Target="https://github.com/spring-projects/spring-boot/tree/v2.3.4.RELEASE/spring-boot-project/spring-boot-actuator-autoconfigure/src/main/java/org/springframework/boot/actuate/autoconfigure/metrics/LogbackMetricsAutoConfiguration.java" TargetMode="External"/><Relationship Id="rId1097" Type="http://schemas.openxmlformats.org/officeDocument/2006/relationships/hyperlink" Target="https://github.com/spring-projects/spring-boot/tree/v2.3.4.RELEASE/spring-boot-project/spring-boot-actuator-autoconfigure/src/main/java/org/springframework/boot/actuate/autoconfigure/web/servlet/ServletManagementContextAutoConfiguration.java" TargetMode="External"/><Relationship Id="rId271" Type="http://schemas.openxmlformats.org/officeDocument/2006/relationships/hyperlink" Target="https://www.ehcache.org/" TargetMode="External"/><Relationship Id="rId674" Type="http://schemas.openxmlformats.org/officeDocument/2006/relationships/hyperlink" Target="https://github.com/xetorthio/jedis/" TargetMode="External"/><Relationship Id="rId881" Type="http://schemas.openxmlformats.org/officeDocument/2006/relationships/hyperlink" Target="https://github.com/spring-projects/spring-boot/tree/v2.3.4.RELEASE/spring-boot-project/spring-boot-autoconfigure/src/main/java/org/springframework/boot/autoconfigure/data/redis/RedisRepositoriesAutoConfiguration.java" TargetMode="External"/><Relationship Id="rId937" Type="http://schemas.openxmlformats.org/officeDocument/2006/relationships/hyperlink" Target="https://github.com/spring-projects/spring-boot/tree/v2.3.4.RELEASE/spring-boot-project/spring-boot-actuator-autoconfigure/src/main/java/org/springframework/boot/actuate/autoconfigure/metrics/export/appoptics/AppOpticsMetricsExportAutoConfiguration.java" TargetMode="External"/><Relationship Id="rId979" Type="http://schemas.openxmlformats.org/officeDocument/2006/relationships/hyperlink" Target="https://github.com/spring-projects/spring-boot/tree/v2.3.4.RELEASE/spring-boot-project/spring-boot-actuator-autoconfigure/src/main/java/org/springframework/boot/actuate/autoconfigure/metrics/export/datadog/DatadogMetricsExportAutoConfiguration.java" TargetMode="External"/><Relationship Id="rId1122" Type="http://schemas.openxmlformats.org/officeDocument/2006/relationships/hyperlink" Target="https://docs.spring.io/spring-boot/docs/2.3.4.RELEASE/api/org/springframework/boot/actuate/autoconfigure/endpoint/web/WebEndpointAutoConfiguration.html" TargetMode="External"/><Relationship Id="rId24" Type="http://schemas.openxmlformats.org/officeDocument/2006/relationships/image" Target="media/image1.png"/><Relationship Id="rId66" Type="http://schemas.openxmlformats.org/officeDocument/2006/relationships/hyperlink" Target="https://docs.spring.io/spring-boot/docs/2.3.4.RELEASE/maven-plugin/reference/html/" TargetMode="External"/><Relationship Id="rId131" Type="http://schemas.openxmlformats.org/officeDocument/2006/relationships/hyperlink" Target="https://docs.spring.io/spring-boot/docs/2.3.4.RELEASE/api/org/springframework/boot/jackson/JsonObjectDeserializer.html" TargetMode="External"/><Relationship Id="rId327" Type="http://schemas.openxmlformats.org/officeDocument/2006/relationships/hyperlink" Target="https://docs.spring.io/spring/docs/5.2.9.RELEASE/spring-framework-reference/testing.html" TargetMode="External"/><Relationship Id="rId369" Type="http://schemas.openxmlformats.org/officeDocument/2006/relationships/hyperlink" Target="https://github.com/FasterXML/jackson-module-kotlin" TargetMode="External"/><Relationship Id="rId534" Type="http://schemas.openxmlformats.org/officeDocument/2006/relationships/hyperlink" Target="https://docs.spring.io/spring-boot/docs/2.3.4.RELEASE/api/org/springframework/boot/cloud/CloudFoundryVcapEnvironmentPostProcessor.html" TargetMode="External"/><Relationship Id="rId576" Type="http://schemas.openxmlformats.org/officeDocument/2006/relationships/hyperlink" Target="https://docs.spring.io/spring-boot/docs/2.3.4.RELEASE/maven-plugin/api/" TargetMode="External"/><Relationship Id="rId741" Type="http://schemas.openxmlformats.org/officeDocument/2006/relationships/hyperlink" Target="https://github.com/spring-projects/spring-boot/tree/v2.3.4.RELEASE/spring-boot-project/spring-boot-autoconfigure/src/main/java/org/springframework/boot/autoconfigure/web/reactive/error/ErrorWebFluxAutoConfiguration.java" TargetMode="External"/><Relationship Id="rId783" Type="http://schemas.openxmlformats.org/officeDocument/2006/relationships/hyperlink" Target="https://github.com/spring-projects/spring-boot/tree/v2.3.4.RELEASE/spring-boot-project/spring-boot-autoconfigure/src/main/java/org/springframework/boot/autoconfigure/jms/JndiConnectionFactoryAutoConfiguration.java" TargetMode="External"/><Relationship Id="rId839" Type="http://schemas.openxmlformats.org/officeDocument/2006/relationships/hyperlink" Target="https://github.com/spring-projects/spring-boot/tree/v2.3.4.RELEASE/spring-boot-project/spring-boot-autoconfigure/src/main/java/org/springframework/boot/autoconfigure/context/PropertyPlaceholderAutoConfiguration.java" TargetMode="External"/><Relationship Id="rId990" Type="http://schemas.openxmlformats.org/officeDocument/2006/relationships/hyperlink" Target="https://docs.spring.io/spring-boot/docs/2.3.4.RELEASE/api/org/springframework/boot/actuate/autoconfigure/elasticsearch/ElasticSearchRestHealthContributorAutoConfiguration.html" TargetMode="External"/><Relationship Id="rId173" Type="http://schemas.openxmlformats.org/officeDocument/2006/relationships/hyperlink" Target="https://docs.spring.io/spring/docs/5.2.9.RELEASE/spring-framework-reference/web-reactive.html" TargetMode="External"/><Relationship Id="rId229" Type="http://schemas.openxmlformats.org/officeDocument/2006/relationships/hyperlink" Target="https://github.com/xetorthio/jedis/" TargetMode="External"/><Relationship Id="rId380" Type="http://schemas.openxmlformats.org/officeDocument/2006/relationships/hyperlink" Target="https://kotlinlang.org/docs/reference/kapt.html" TargetMode="External"/><Relationship Id="rId436" Type="http://schemas.openxmlformats.org/officeDocument/2006/relationships/hyperlink" Target="https://github.com/spring-projects/spring-boot/tree/v2.3.4.RELEASE/spring-boot-project/spring-boot-actuator/src/main/java/org/springframework/boot/actuate/neo4j/Neo4jHealthIndicator.java" TargetMode="External"/><Relationship Id="rId601" Type="http://schemas.openxmlformats.org/officeDocument/2006/relationships/hyperlink" Target="https://docs.spring.io/spring-boot/docs/2.3.4.RELEASE/api/org/springframework/boot/web/server/WebServerFactoryCustomizer.html" TargetMode="External"/><Relationship Id="rId643" Type="http://schemas.openxmlformats.org/officeDocument/2006/relationships/hyperlink" Target="https://spring.io/projects/spring-batch" TargetMode="External"/><Relationship Id="rId1024" Type="http://schemas.openxmlformats.org/officeDocument/2006/relationships/hyperlink" Target="https://docs.spring.io/spring-boot/docs/2.3.4.RELEASE/api/org/springframework/boot/actuate/autoconfigure/info/InfoContributorAutoConfiguration.html" TargetMode="External"/><Relationship Id="rId1066" Type="http://schemas.openxmlformats.org/officeDocument/2006/relationships/hyperlink" Target="https://docs.spring.io/spring-boot/docs/2.3.4.RELEASE/api/org/springframework/boot/actuate/autoconfigure/web/mappings/MappingsEndpointAutoConfiguration.html" TargetMode="External"/><Relationship Id="rId240" Type="http://schemas.openxmlformats.org/officeDocument/2006/relationships/hyperlink" Target="https://neo4j.com/docs/ogm-manual/current/reference/" TargetMode="External"/><Relationship Id="rId478" Type="http://schemas.openxmlformats.org/officeDocument/2006/relationships/hyperlink" Target="https://micrometer.io/docs" TargetMode="External"/><Relationship Id="rId685" Type="http://schemas.openxmlformats.org/officeDocument/2006/relationships/hyperlink" Target="https://github.com/spring-projects/spring-boot/tree/v2.3.4.RELEASE/spring-boot-project/spring-boot-autoconfigure/src/main/java/org/springframework/boot/autoconfigure/aop/AopAutoConfiguration.java" TargetMode="External"/><Relationship Id="rId850" Type="http://schemas.openxmlformats.org/officeDocument/2006/relationships/hyperlink" Target="https://docs.spring.io/spring-boot/docs/2.3.4.RELEASE/api/org/springframework/boot/autoconfigure/data/r2dbc/R2dbcTransactionManagerAutoConfiguration.html" TargetMode="External"/><Relationship Id="rId892" Type="http://schemas.openxmlformats.org/officeDocument/2006/relationships/hyperlink" Target="https://docs.spring.io/spring-boot/docs/2.3.4.RELEASE/api/org/springframework/boot/autoconfigure/security/servlet/SecurityFilterAutoConfiguration.html" TargetMode="External"/><Relationship Id="rId906" Type="http://schemas.openxmlformats.org/officeDocument/2006/relationships/hyperlink" Target="https://docs.spring.io/spring-boot/docs/2.3.4.RELEASE/api/org/springframework/boot/autoconfigure/data/web/SpringDataWebAutoConfiguration.html" TargetMode="External"/><Relationship Id="rId948" Type="http://schemas.openxmlformats.org/officeDocument/2006/relationships/hyperlink" Target="https://docs.spring.io/spring-boot/docs/2.3.4.RELEASE/api/org/springframework/boot/actuate/autoconfigure/availability/AvailabilityProbesAutoConfiguration.html" TargetMode="External"/><Relationship Id="rId1133" Type="http://schemas.openxmlformats.org/officeDocument/2006/relationships/hyperlink" Target="http://www.jdotsoft.com/JarClassLoader.php" TargetMode="External"/><Relationship Id="rId35" Type="http://schemas.openxmlformats.org/officeDocument/2006/relationships/hyperlink" Target="https://gradle.org/" TargetMode="External"/><Relationship Id="rId77" Type="http://schemas.openxmlformats.org/officeDocument/2006/relationships/hyperlink" Target="https://www.jrebel.com/products/jrebel" TargetMode="External"/><Relationship Id="rId100" Type="http://schemas.openxmlformats.org/officeDocument/2006/relationships/image" Target="media/image5.png"/><Relationship Id="rId282" Type="http://schemas.openxmlformats.org/officeDocument/2006/relationships/hyperlink" Target="https://docs.spring.io/spring/docs/5.2.9.RELEASE/javadoc-api/org/springframework/jms/annotation/EnableJms.html" TargetMode="External"/><Relationship Id="rId338" Type="http://schemas.openxmlformats.org/officeDocument/2006/relationships/hyperlink" Target="https://github.com/spring-projects/spring-boot/tree/v2.3.4.RELEASE/spring-boot-project/spring-boot-test-autoconfigure/src/main/java/org/springframework/boot/test/autoconfigure/orm/jpa/TestEntityManager.java" TargetMode="External"/><Relationship Id="rId503" Type="http://schemas.openxmlformats.org/officeDocument/2006/relationships/hyperlink" Target="https://micrometer.io/docs/registry/kairos" TargetMode="External"/><Relationship Id="rId545" Type="http://schemas.openxmlformats.org/officeDocument/2006/relationships/hyperlink" Target="https://exampledriven.wordpress.com/2017/01/09/spring-boot-aws-elastic-beanstalk-example/" TargetMode="External"/><Relationship Id="rId587" Type="http://schemas.openxmlformats.org/officeDocument/2006/relationships/hyperlink" Target="https://github.com/spring-projects/spring-boot/tree/v2.3.4.RELEASE" TargetMode="External"/><Relationship Id="rId710" Type="http://schemas.openxmlformats.org/officeDocument/2006/relationships/hyperlink" Target="https://docs.spring.io/spring-boot/docs/2.3.4.RELEASE/api/org/springframework/boot/autoconfigure/context/ConfigurationPropertiesAutoConfiguration.html" TargetMode="External"/><Relationship Id="rId752" Type="http://schemas.openxmlformats.org/officeDocument/2006/relationships/hyperlink" Target="https://docs.spring.io/spring-boot/docs/2.3.4.RELEASE/api/org/springframework/boot/autoconfigure/h2/H2ConsoleAutoConfiguration.html" TargetMode="External"/><Relationship Id="rId808" Type="http://schemas.openxmlformats.org/officeDocument/2006/relationships/hyperlink" Target="https://docs.spring.io/spring-boot/docs/2.3.4.RELEASE/api/org/springframework/boot/autoconfigure/mail/MailSenderValidatorAutoConfiguration.html" TargetMode="External"/><Relationship Id="rId8" Type="http://schemas.openxmlformats.org/officeDocument/2006/relationships/footer" Target="footer1.xml"/><Relationship Id="rId142" Type="http://schemas.openxmlformats.org/officeDocument/2006/relationships/hyperlink" Target="https://mustache.github.io/" TargetMode="External"/><Relationship Id="rId184" Type="http://schemas.openxmlformats.org/officeDocument/2006/relationships/hyperlink" Target="https://spring.io/projects/spring-data" TargetMode="External"/><Relationship Id="rId391" Type="http://schemas.openxmlformats.org/officeDocument/2006/relationships/hyperlink" Target="https://stackoverflow.com/questions/tagged/spring%2Bkotlin" TargetMode="External"/><Relationship Id="rId405" Type="http://schemas.openxmlformats.org/officeDocument/2006/relationships/hyperlink" Target="https://github.com/spring-petclinic/spring-petclinic-kotlin" TargetMode="External"/><Relationship Id="rId447" Type="http://schemas.openxmlformats.org/officeDocument/2006/relationships/hyperlink" Target="https://github.com/spring-projects/spring-boot/tree/v2.3.4.RELEASE/spring-boot-project/spring-boot-actuator/src/main/java/org/springframework/boot/actuate/health/ReactiveHealthContributorRegistry.java" TargetMode="External"/><Relationship Id="rId612" Type="http://schemas.openxmlformats.org/officeDocument/2006/relationships/hyperlink" Target="https://github.com/spring-projects/spring-boot/tree/v2.3.4.RELEASE/spring-boot-project/spring-boot-autoconfigure/src/main/java/org/springframework/boot/autoconfigure/web/servlet/WebMvcAutoConfiguration.java" TargetMode="External"/><Relationship Id="rId794" Type="http://schemas.openxmlformats.org/officeDocument/2006/relationships/hyperlink" Target="https://docs.spring.io/spring-boot/docs/2.3.4.RELEASE/api/org/springframework/boot/autoconfigure/transaction/jta/JtaAutoConfiguration.html" TargetMode="External"/><Relationship Id="rId1035" Type="http://schemas.openxmlformats.org/officeDocument/2006/relationships/hyperlink" Target="https://github.com/spring-projects/spring-boot/tree/v2.3.4.RELEASE/spring-boot-project/spring-boot-actuator-autoconfigure/src/main/java/org/springframework/boot/actuate/autoconfigure/endpoint/jmx/JmxEndpointAutoConfiguration.java" TargetMode="External"/><Relationship Id="rId1077" Type="http://schemas.openxmlformats.org/officeDocument/2006/relationships/hyperlink" Target="https://github.com/spring-projects/spring-boot/tree/v2.3.4.RELEASE/spring-boot-project/spring-boot-actuator-autoconfigure/src/main/java/org/springframework/boot/actuate/autoconfigure/metrics/export/newrelic/NewRelicMetricsExportAutoConfiguration.java" TargetMode="External"/><Relationship Id="rId251" Type="http://schemas.openxmlformats.org/officeDocument/2006/relationships/hyperlink" Target="https://cassandra.apache.org/" TargetMode="External"/><Relationship Id="rId489" Type="http://schemas.openxmlformats.org/officeDocument/2006/relationships/hyperlink" Target="https://micrometer.io/docs/registry/dynatrace" TargetMode="External"/><Relationship Id="rId654" Type="http://schemas.openxmlformats.org/officeDocument/2006/relationships/hyperlink" Target="https://github.com/spring-projects/spring-boot/tree/v2.3.4.RELEASE/spring-boot-project/spring-boot-autoconfigure/src/main/java/org/springframework/boot/autoconfigure/freemarker/FreeMarkerAutoConfiguration.java" TargetMode="External"/><Relationship Id="rId696" Type="http://schemas.openxmlformats.org/officeDocument/2006/relationships/hyperlink" Target="https://docs.spring.io/spring-boot/docs/2.3.4.RELEASE/api/org/springframework/boot/autoconfigure/cassandra/CassandraAutoConfiguration.html" TargetMode="External"/><Relationship Id="rId861" Type="http://schemas.openxmlformats.org/officeDocument/2006/relationships/hyperlink" Target="https://github.com/spring-projects/spring-boot/tree/v2.3.4.RELEASE/spring-boot-project/spring-boot-autoconfigure/src/main/java/org/springframework/boot/autoconfigure/amqp/RabbitAutoConfiguration.java" TargetMode="External"/><Relationship Id="rId917" Type="http://schemas.openxmlformats.org/officeDocument/2006/relationships/hyperlink" Target="https://github.com/spring-projects/spring-boot/tree/v2.3.4.RELEASE/spring-boot-project/spring-boot-autoconfigure/src/main/java/org/springframework/boot/autoconfigure/validation/ValidationAutoConfiguration.java" TargetMode="External"/><Relationship Id="rId959" Type="http://schemas.openxmlformats.org/officeDocument/2006/relationships/hyperlink" Target="https://github.com/spring-projects/spring-boot/tree/v2.3.4.RELEASE/spring-boot-project/spring-boot-actuator-autoconfigure/src/main/java/org/springframework/boot/actuate/autoconfigure/cloudfoundry/servlet/CloudFoundryActuatorAutoConfiguration.java" TargetMode="External"/><Relationship Id="rId1102" Type="http://schemas.openxmlformats.org/officeDocument/2006/relationships/hyperlink" Target="https://docs.spring.io/spring-boot/docs/2.3.4.RELEASE/api/org/springframework/boot/actuate/autoconfigure/context/ShutdownEndpointAutoConfiguration.html" TargetMode="External"/><Relationship Id="rId46" Type="http://schemas.openxmlformats.org/officeDocument/2006/relationships/hyperlink" Target="https://www.macports.org/" TargetMode="External"/><Relationship Id="rId293" Type="http://schemas.openxmlformats.org/officeDocument/2006/relationships/hyperlink" Target="https://docs.spring.io/spring/docs/5.2.9.RELEASE/javadoc-api/org/springframework/web/client/RestTemplate.html" TargetMode="External"/><Relationship Id="rId307" Type="http://schemas.openxmlformats.org/officeDocument/2006/relationships/hyperlink" Target="https://github.com/spring-projects/spring-boot/tree/v2.3.4.RELEASE/spring-boot-project/spring-boot/src/main/java/org/springframework/boot/jdbc/XADataSourceWrapper.java" TargetMode="External"/><Relationship Id="rId349" Type="http://schemas.openxmlformats.org/officeDocument/2006/relationships/hyperlink" Target="https://docs.spring.io/spring-ws/docs/3.0.10.RELEASE/reference/" TargetMode="External"/><Relationship Id="rId514" Type="http://schemas.openxmlformats.org/officeDocument/2006/relationships/hyperlink" Target="https://micrometer.io/docs/registry/stackdriver" TargetMode="External"/><Relationship Id="rId556" Type="http://schemas.openxmlformats.org/officeDocument/2006/relationships/hyperlink" Target="https://github.com/GoogleCloudPlatform/java-docs-samples/tree/master/appengine-java8/springboot-helloworld/README.md" TargetMode="External"/><Relationship Id="rId721" Type="http://schemas.openxmlformats.org/officeDocument/2006/relationships/hyperlink" Target="https://github.com/spring-projects/spring-boot/tree/v2.3.4.RELEASE/spring-boot-project/spring-boot-autoconfigure/src/main/java/org/springframework/boot/autoconfigure/jdbc/DataSourceAutoConfiguration.java" TargetMode="External"/><Relationship Id="rId763" Type="http://schemas.openxmlformats.org/officeDocument/2006/relationships/hyperlink" Target="https://github.com/spring-projects/spring-boot/tree/v2.3.4.RELEASE/spring-boot-project/spring-boot-autoconfigure/src/main/java/org/springframework/boot/autoconfigure/http/HttpMessageConvertersAutoConfiguration.java" TargetMode="External"/><Relationship Id="rId88" Type="http://schemas.openxmlformats.org/officeDocument/2006/relationships/hyperlink" Target="https://github.com/spring-projects/spring-boot/tree/v2.3.4.RELEASE/spring-boot-project/spring-boot-devtools/src/main/java/org/springframework/boot/devtools/filewatch/FileSystemWatcher.java" TargetMode="External"/><Relationship Id="rId111" Type="http://schemas.openxmlformats.org/officeDocument/2006/relationships/hyperlink" Target="https://commons.apache.org/logging" TargetMode="External"/><Relationship Id="rId153" Type="http://schemas.openxmlformats.org/officeDocument/2006/relationships/hyperlink" Target="https://www.reactive-streams.org/" TargetMode="External"/><Relationship Id="rId195" Type="http://schemas.openxmlformats.org/officeDocument/2006/relationships/hyperlink" Target="https://spring.io/projects/spring-data-jpa" TargetMode="External"/><Relationship Id="rId209" Type="http://schemas.openxmlformats.org/officeDocument/2006/relationships/hyperlink" Target="https://www.jooq.org/doc/3.13.4/manual-single-page/" TargetMode="External"/><Relationship Id="rId360" Type="http://schemas.openxmlformats.org/officeDocument/2006/relationships/hyperlink" Target="https://docs.spring.io/spring/docs/5.2.9.RELEASE/spring-framework-reference/languages.html" TargetMode="External"/><Relationship Id="rId416" Type="http://schemas.openxmlformats.org/officeDocument/2006/relationships/hyperlink" Target="https://docs.spring.io/spring-boot/docs/2.3.4.RELEASE/actuator-api/pdf/spring-boot-actuator-web-api.pdf" TargetMode="External"/><Relationship Id="rId598" Type="http://schemas.openxmlformats.org/officeDocument/2006/relationships/hyperlink" Target="https://www.conscrypt.org/" TargetMode="External"/><Relationship Id="rId819" Type="http://schemas.openxmlformats.org/officeDocument/2006/relationships/hyperlink" Target="https://github.com/spring-projects/spring-boot/tree/v2.3.4.RELEASE/spring-boot-project/spring-boot-autoconfigure/src/main/java/org/springframework/boot/autoconfigure/data/mongo/MongoReactiveRepositoriesAutoConfiguration.java" TargetMode="External"/><Relationship Id="rId970" Type="http://schemas.openxmlformats.org/officeDocument/2006/relationships/hyperlink" Target="https://docs.spring.io/spring-boot/docs/2.3.4.RELEASE/api/org/springframework/boot/actuate/autoconfigure/metrics/r2dbc/ConnectionPoolMetricsAutoConfiguration.html" TargetMode="External"/><Relationship Id="rId1004" Type="http://schemas.openxmlformats.org/officeDocument/2006/relationships/hyperlink" Target="https://docs.spring.io/spring-boot/docs/2.3.4.RELEASE/api/org/springframework/boot/actuate/autoconfigure/health/HealthContributorAutoConfiguration.html" TargetMode="External"/><Relationship Id="rId1046" Type="http://schemas.openxmlformats.org/officeDocument/2006/relationships/hyperlink" Target="https://docs.spring.io/spring-boot/docs/2.3.4.RELEASE/api/org/springframework/boot/actuate/autoconfigure/metrics/export/kairos/KairosMetricsExportAutoConfiguration.html" TargetMode="External"/><Relationship Id="rId220" Type="http://schemas.openxmlformats.org/officeDocument/2006/relationships/hyperlink" Target="https://spring.io/projects/spring-data-redis" TargetMode="External"/><Relationship Id="rId458" Type="http://schemas.openxmlformats.org/officeDocument/2006/relationships/hyperlink" Target="https://github.com/spring-projects/spring-boot/tree/v2.3.4.RELEASE/spring-boot-project/spring-boot-actuator/src/main/java/org/springframework/boot/actuate/mongo/MongoReactiveHealthIndicator.java" TargetMode="External"/><Relationship Id="rId623" Type="http://schemas.openxmlformats.org/officeDocument/2006/relationships/hyperlink" Target="https://spring.io/projects/spring-data" TargetMode="External"/><Relationship Id="rId665" Type="http://schemas.openxmlformats.org/officeDocument/2006/relationships/hyperlink" Target="https://spring.io/guides/gs/convert-jar-to-war/" TargetMode="External"/><Relationship Id="rId830" Type="http://schemas.openxmlformats.org/officeDocument/2006/relationships/hyperlink" Target="https://docs.spring.io/spring-boot/docs/2.3.4.RELEASE/api/org/springframework/boot/autoconfigure/data/neo4j/Neo4jRepositoriesAutoConfiguration.html" TargetMode="External"/><Relationship Id="rId872" Type="http://schemas.openxmlformats.org/officeDocument/2006/relationships/hyperlink" Target="https://docs.spring.io/spring-boot/docs/2.3.4.RELEASE/api/org/springframework/boot/autoconfigure/security/reactive/ReactiveSecurityAutoConfiguration.html" TargetMode="External"/><Relationship Id="rId928" Type="http://schemas.openxmlformats.org/officeDocument/2006/relationships/hyperlink" Target="https://docs.spring.io/spring-boot/docs/2.3.4.RELEASE/api/org/springframework/boot/autoconfigure/webservices/WebServicesAutoConfiguration.html" TargetMode="External"/><Relationship Id="rId1088" Type="http://schemas.openxmlformats.org/officeDocument/2006/relationships/hyperlink" Target="https://docs.spring.io/spring-boot/docs/2.3.4.RELEASE/api/org/springframework/boot/actuate/autoconfigure/web/reactive/ReactiveManagementContextAutoConfiguration.html" TargetMode="External"/><Relationship Id="rId15" Type="http://schemas.openxmlformats.org/officeDocument/2006/relationships/hyperlink" Target="https://docs.spring.io/spring-boot/docs/2.3.4.RELEASE/reference/html/" TargetMode="External"/><Relationship Id="rId57" Type="http://schemas.openxmlformats.org/officeDocument/2006/relationships/hyperlink" Target="https://docs.spring.io/initializr/docs/current/reference/html/" TargetMode="External"/><Relationship Id="rId262" Type="http://schemas.openxmlformats.org/officeDocument/2006/relationships/hyperlink" Target="https://docs.spring.io/spring-data/ldap/docs/1.0.x/reference/html/" TargetMode="External"/><Relationship Id="rId318" Type="http://schemas.openxmlformats.org/officeDocument/2006/relationships/hyperlink" Target="https://github.com/spring-projects/spring-boot/tree/v2.3.4.RELEASE/spring-boot-project/spring-boot-autoconfigure/src/main/java/org/springframework/boot/autoconfigure/session/StoreType.java" TargetMode="External"/><Relationship Id="rId525" Type="http://schemas.openxmlformats.org/officeDocument/2006/relationships/hyperlink" Target="https://docs.cloudfoundry.org/cf-cli/install-go-cli.html" TargetMode="External"/><Relationship Id="rId567" Type="http://schemas.openxmlformats.org/officeDocument/2006/relationships/hyperlink" Target="https://boxfuse.com/" TargetMode="External"/><Relationship Id="rId732" Type="http://schemas.openxmlformats.org/officeDocument/2006/relationships/hyperlink" Target="https://docs.spring.io/spring-boot/docs/2.3.4.RELEASE/api/org/springframework/boot/autoconfigure/elasticsearch/ElasticsearchRestClientAutoConfiguration.html" TargetMode="External"/><Relationship Id="rId1113" Type="http://schemas.openxmlformats.org/officeDocument/2006/relationships/hyperlink" Target="https://github.com/spring-projects/spring-boot/tree/v2.3.4.RELEASE/spring-boot-project/spring-boot-actuator-autoconfigure/src/main/java/org/springframework/boot/actuate/autoconfigure/metrics/SystemMetricsAutoConfiguration.java" TargetMode="External"/><Relationship Id="rId99" Type="http://schemas.openxmlformats.org/officeDocument/2006/relationships/hyperlink" Target="https://docs.spring.io/spring/docs/5.2.9.RELEASE/javadoc-api/org/springframework/context/annotation/PropertySource.html" TargetMode="External"/><Relationship Id="rId122" Type="http://schemas.openxmlformats.org/officeDocument/2006/relationships/hyperlink" Target="https://docs.spring.io/spring/docs/5.2.9.RELEASE/spring-framework-reference/web.html" TargetMode="External"/><Relationship Id="rId164" Type="http://schemas.openxmlformats.org/officeDocument/2006/relationships/hyperlink" Target="https://cxf.apache.org/" TargetMode="External"/><Relationship Id="rId371" Type="http://schemas.openxmlformats.org/officeDocument/2006/relationships/hyperlink" Target="https://kotlinlang.org/docs/reference/null-safety.html" TargetMode="External"/><Relationship Id="rId774" Type="http://schemas.openxmlformats.org/officeDocument/2006/relationships/hyperlink" Target="https://docs.spring.io/spring-boot/docs/2.3.4.RELEASE/api/org/springframework/boot/autoconfigure/data/jdbc/JdbcRepositoriesAutoConfiguration.html" TargetMode="External"/><Relationship Id="rId981" Type="http://schemas.openxmlformats.org/officeDocument/2006/relationships/hyperlink" Target="https://github.com/spring-projects/spring-boot/tree/v2.3.4.RELEASE/spring-boot-project/spring-boot-actuator-autoconfigure/src/main/java/org/springframework/boot/actuate/autoconfigure/system/DiskSpaceHealthContributorAutoConfiguration.java" TargetMode="External"/><Relationship Id="rId1015" Type="http://schemas.openxmlformats.org/officeDocument/2006/relationships/hyperlink" Target="https://github.com/spring-projects/spring-boot/tree/v2.3.4.RELEASE/spring-boot-project/spring-boot-actuator-autoconfigure/src/main/java/org/springframework/boot/actuate/autoconfigure/trace/http/HttpTraceEndpointAutoConfiguration.java" TargetMode="External"/><Relationship Id="rId1057" Type="http://schemas.openxmlformats.org/officeDocument/2006/relationships/hyperlink" Target="https://github.com/spring-projects/spring-boot/tree/v2.3.4.RELEASE/spring-boot-project/spring-boot-actuator-autoconfigure/src/main/java/org/springframework/boot/actuate/autoconfigure/logging/LoggersEndpointAutoConfiguration.java" TargetMode="External"/><Relationship Id="rId427" Type="http://schemas.openxmlformats.org/officeDocument/2006/relationships/hyperlink" Target="https://github.com/spring-projects/spring-boot/tree/v2.3.4.RELEASE/spring-boot-project/spring-boot-actuator/src/main/java/org/springframework/boot/actuate/system/DiskSpaceHealthIndicator.java" TargetMode="External"/><Relationship Id="rId469" Type="http://schemas.openxmlformats.org/officeDocument/2006/relationships/hyperlink" Target="https://github.com/spring-projects/spring-boot/tree/v2.3.4.RELEASE/spring-boot-project/spring-boot-actuator/src/main/java/org/springframework/boot/actuate/info/BuildInfoContributor.java" TargetMode="External"/><Relationship Id="rId634" Type="http://schemas.openxmlformats.org/officeDocument/2006/relationships/hyperlink" Target="https://flywaydb.org/" TargetMode="External"/><Relationship Id="rId676" Type="http://schemas.openxmlformats.org/officeDocument/2006/relationships/hyperlink" Target="mailto:s_@@platform@@.sql" TargetMode="External"/><Relationship Id="rId841" Type="http://schemas.openxmlformats.org/officeDocument/2006/relationships/hyperlink" Target="https://github.com/spring-projects/spring-boot/tree/v2.3.4.RELEASE/spring-boot-project/spring-boot-autoconfigure/src/main/java/org/springframework/boot/autoconfigure/quartz/QuartzAutoConfiguration.java" TargetMode="External"/><Relationship Id="rId883" Type="http://schemas.openxmlformats.org/officeDocument/2006/relationships/hyperlink" Target="https://github.com/spring-projects/spring-boot/tree/v2.3.4.RELEASE/spring-boot-project/spring-boot-autoconfigure/src/main/java/org/springframework/boot/autoconfigure/data/rest/RepositoryRestMvcAutoConfiguration.java" TargetMode="External"/><Relationship Id="rId1099" Type="http://schemas.openxmlformats.org/officeDocument/2006/relationships/hyperlink" Target="https://github.com/spring-projects/spring-boot/tree/v2.3.4.RELEASE/spring-boot-project/spring-boot-actuator-autoconfigure/src/main/java/org/springframework/boot/actuate/autoconfigure/session/SessionsEndpointAutoConfiguration.java" TargetMode="External"/><Relationship Id="rId26" Type="http://schemas.openxmlformats.org/officeDocument/2006/relationships/hyperlink" Target="https://www.java.com/" TargetMode="External"/><Relationship Id="rId231" Type="http://schemas.openxmlformats.org/officeDocument/2006/relationships/hyperlink" Target="https://github.com/lettuce-io/lettuce-core/" TargetMode="External"/><Relationship Id="rId273" Type="http://schemas.openxmlformats.org/officeDocument/2006/relationships/hyperlink" Target="https://github.com/infinispan/infinispan-spring-boot" TargetMode="External"/><Relationship Id="rId329" Type="http://schemas.openxmlformats.org/officeDocument/2006/relationships/hyperlink" Target="https://docs.spring.io/spring-boot/docs/2.3.4.RELEASE/api/org/springframework/boot/context/TypeExcludeFilter.html" TargetMode="External"/><Relationship Id="rId480" Type="http://schemas.openxmlformats.org/officeDocument/2006/relationships/hyperlink" Target="https://micrometer.io/docs" TargetMode="External"/><Relationship Id="rId536" Type="http://schemas.openxmlformats.org/officeDocument/2006/relationships/hyperlink" Target="https://devcenter.heroku.com/articles/deploying-spring-boot-apps-to-heroku" TargetMode="External"/><Relationship Id="rId701" Type="http://schemas.openxmlformats.org/officeDocument/2006/relationships/hyperlink" Target="https://github.com/spring-projects/spring-boot/tree/v2.3.4.RELEASE/spring-boot-project/spring-boot-autoconfigure/src/main/java/org/springframework/boot/autoconfigure/data/cassandra/CassandraReactiveRepositoriesAutoConfiguration.java" TargetMode="External"/><Relationship Id="rId939" Type="http://schemas.openxmlformats.org/officeDocument/2006/relationships/hyperlink" Target="https://github.com/spring-projects/spring-boot/tree/v2.3.4.RELEASE/spring-boot-project/spring-boot-actuator-autoconfigure/src/main/java/org/springframework/boot/actuate/autoconfigure/metrics/export/atlas/AtlasMetricsExportAutoConfiguration.java" TargetMode="External"/><Relationship Id="rId1124" Type="http://schemas.openxmlformats.org/officeDocument/2006/relationships/hyperlink" Target="https://docs.spring.io/spring-boot/docs/2.3.4.RELEASE/api/org/springframework/boot/actuate/autoconfigure/metrics/web/reactive/WebFluxMetricsAutoConfiguration.html" TargetMode="External"/><Relationship Id="rId68" Type="http://schemas.openxmlformats.org/officeDocument/2006/relationships/hyperlink" Target="https://docs.spring.io/spring-boot/docs/2.3.4.RELEASE/maven-plugin/api/" TargetMode="External"/><Relationship Id="rId133" Type="http://schemas.openxmlformats.org/officeDocument/2006/relationships/hyperlink" Target="https://www.webjars.org/" TargetMode="External"/><Relationship Id="rId175" Type="http://schemas.openxmlformats.org/officeDocument/2006/relationships/hyperlink" Target="https://spring.io/projects/spring-security" TargetMode="External"/><Relationship Id="rId340" Type="http://schemas.openxmlformats.org/officeDocument/2006/relationships/hyperlink" Target="https://docs.spring.io/spring/docs/5.2.9.RELEASE/spring-framework-reference/testing.html" TargetMode="External"/><Relationship Id="rId578" Type="http://schemas.openxmlformats.org/officeDocument/2006/relationships/hyperlink" Target="https://docs.spring.io/spring-boot/docs/2.3.4.RELEASE/gradle-plugin/reference/pdf/spring-boot-gradle-plugin-reference.pdf" TargetMode="External"/><Relationship Id="rId743" Type="http://schemas.openxmlformats.org/officeDocument/2006/relationships/hyperlink" Target="https://github.com/spring-projects/spring-boot/tree/v2.3.4.RELEASE/spring-boot-project/spring-boot-autoconfigure/src/main/java/org/springframework/boot/autoconfigure/flyway/FlywayAutoConfiguration.java" TargetMode="External"/><Relationship Id="rId785" Type="http://schemas.openxmlformats.org/officeDocument/2006/relationships/hyperlink" Target="https://github.com/spring-projects/spring-boot/tree/v2.3.4.RELEASE/spring-boot-project/spring-boot-autoconfigure/src/main/java/org/springframework/boot/autoconfigure/jdbc/JndiDataSourceAutoConfiguration.java" TargetMode="External"/><Relationship Id="rId950" Type="http://schemas.openxmlformats.org/officeDocument/2006/relationships/hyperlink" Target="https://docs.spring.io/spring-boot/docs/2.3.4.RELEASE/api/org/springframework/boot/actuate/autoconfigure/beans/BeansEndpointAutoConfiguration.html" TargetMode="External"/><Relationship Id="rId992" Type="http://schemas.openxmlformats.org/officeDocument/2006/relationships/hyperlink" Target="https://docs.spring.io/spring-boot/docs/2.3.4.RELEASE/api/org/springframework/boot/actuate/autoconfigure/endpoint/EndpointAutoConfiguration.html" TargetMode="External"/><Relationship Id="rId1026" Type="http://schemas.openxmlformats.org/officeDocument/2006/relationships/hyperlink" Target="https://docs.spring.io/spring-boot/docs/2.3.4.RELEASE/api/org/springframework/boot/actuate/autoconfigure/info/InfoEndpointAutoConfiguration.html" TargetMode="External"/><Relationship Id="rId200" Type="http://schemas.openxmlformats.org/officeDocument/2006/relationships/hyperlink" Target="https://docs.spring.io/spring-data/commons/docs/2.3.4.RELEASE/api/org/springframework/data/repository/CrudRepository.html" TargetMode="External"/><Relationship Id="rId382" Type="http://schemas.openxmlformats.org/officeDocument/2006/relationships/hyperlink" Target="https://kotlinlang.org/docs/reference/kapt.html" TargetMode="External"/><Relationship Id="rId438" Type="http://schemas.openxmlformats.org/officeDocument/2006/relationships/hyperlink" Target="https://github.com/spring-projects/spring-boot/tree/v2.3.4.RELEASE/spring-boot-project/spring-boot-actuator/src/main/java/org/springframework/boot/actuate/amqp/RabbitHealthIndicator.java" TargetMode="External"/><Relationship Id="rId603" Type="http://schemas.openxmlformats.org/officeDocument/2006/relationships/hyperlink" Target="https://www.eclipse.org/jetty/documentation/9.4.31.v20200723/configuring-jetty-request-logs.html" TargetMode="External"/><Relationship Id="rId645" Type="http://schemas.openxmlformats.org/officeDocument/2006/relationships/hyperlink" Target="https://github.com/spring-projects/spring-boot/tree/v2.3.4.RELEASE/spring-boot-project/spring-boot-autoconfigure/src/main/java/org/springframework/boot/autoconfigure/batch/BatchAutoConfiguration.java" TargetMode="External"/><Relationship Id="rId687" Type="http://schemas.openxmlformats.org/officeDocument/2006/relationships/hyperlink" Target="https://github.com/spring-projects/spring-boot/tree/v2.3.4.RELEASE/spring-boot-project/spring-boot-autoconfigure/src/main/java/org/springframework/boot/autoconfigure/availability/ApplicationAvailabilityAutoConfiguration.java" TargetMode="External"/><Relationship Id="rId810" Type="http://schemas.openxmlformats.org/officeDocument/2006/relationships/hyperlink" Target="https://docs.spring.io/spring-boot/docs/2.3.4.RELEASE/api/org/springframework/boot/autoconfigure/context/MessageSourceAutoConfiguration.html" TargetMode="External"/><Relationship Id="rId852" Type="http://schemas.openxmlformats.org/officeDocument/2006/relationships/hyperlink" Target="https://docs.spring.io/spring-boot/docs/2.3.4.RELEASE/api/org/springframework/boot/autoconfigure/rsocket/RSocketMessagingAutoConfiguration.html" TargetMode="External"/><Relationship Id="rId908" Type="http://schemas.openxmlformats.org/officeDocument/2006/relationships/hyperlink" Target="https://docs.spring.io/spring-boot/docs/2.3.4.RELEASE/api/org/springframework/boot/autoconfigure/task/TaskExecutionAutoConfiguration.html" TargetMode="External"/><Relationship Id="rId1068" Type="http://schemas.openxmlformats.org/officeDocument/2006/relationships/hyperlink" Target="https://docs.spring.io/spring-boot/docs/2.3.4.RELEASE/api/org/springframework/boot/actuate/autoconfigure/metrics/MetricsAutoConfiguration.html" TargetMode="External"/><Relationship Id="rId242" Type="http://schemas.openxmlformats.org/officeDocument/2006/relationships/hyperlink" Target="https://docs.spring.io/spring-data/neo4j/docs/5.3.4.RELEASE/reference/html/" TargetMode="External"/><Relationship Id="rId284" Type="http://schemas.openxmlformats.org/officeDocument/2006/relationships/hyperlink" Target="https://www.rabbitmq.com/" TargetMode="External"/><Relationship Id="rId491" Type="http://schemas.openxmlformats.org/officeDocument/2006/relationships/hyperlink" Target="https://micrometer.io/docs/registry/ganglia" TargetMode="External"/><Relationship Id="rId505" Type="http://schemas.openxmlformats.org/officeDocument/2006/relationships/hyperlink" Target="https://micrometer.io/docs/registry/new-relic" TargetMode="External"/><Relationship Id="rId712" Type="http://schemas.openxmlformats.org/officeDocument/2006/relationships/hyperlink" Target="https://docs.spring.io/spring-boot/docs/2.3.4.RELEASE/api/org/springframework/boot/autoconfigure/couchbase/CouchbaseAutoConfiguration.html" TargetMode="External"/><Relationship Id="rId894" Type="http://schemas.openxmlformats.org/officeDocument/2006/relationships/hyperlink" Target="https://docs.spring.io/spring-boot/docs/2.3.4.RELEASE/api/org/springframework/boot/autoconfigure/sendgrid/SendGridAutoConfiguration.html" TargetMode="External"/><Relationship Id="rId1135" Type="http://schemas.openxmlformats.org/officeDocument/2006/relationships/hyperlink" Target="https://imperceptiblethoughts.com/shadow/" TargetMode="External"/><Relationship Id="rId37" Type="http://schemas.openxmlformats.org/officeDocument/2006/relationships/hyperlink" Target="https://docs.spring.io/spring-boot/docs/2.3.4.RELEASE/gradle-plugin/reference/html/" TargetMode="External"/><Relationship Id="rId79" Type="http://schemas.openxmlformats.org/officeDocument/2006/relationships/hyperlink" Target="https://docs.spring.io/spring-boot/docs/2.3.4.RELEASE/gradle-plugin/reference/html/" TargetMode="External"/><Relationship Id="rId102" Type="http://schemas.openxmlformats.org/officeDocument/2006/relationships/hyperlink" Target="https://www.vaultproject.io/" TargetMode="External"/><Relationship Id="rId144" Type="http://schemas.openxmlformats.org/officeDocument/2006/relationships/hyperlink" Target="https://docs.spring.io/spring/docs/5.2.9.RELEASE/spring-framework-reference/web.html" TargetMode="External"/><Relationship Id="rId547" Type="http://schemas.openxmlformats.org/officeDocument/2006/relationships/hyperlink" Target="https://console.boxfuse.com/" TargetMode="External"/><Relationship Id="rId589" Type="http://schemas.openxmlformats.org/officeDocument/2006/relationships/hyperlink" Target="https://docs.spring.io/spring-boot/docs/2.3.4.RELEASE/api/org/springframework/boot/diagnostics/FailureAnalysis.html" TargetMode="External"/><Relationship Id="rId754" Type="http://schemas.openxmlformats.org/officeDocument/2006/relationships/hyperlink" Target="https://docs.spring.io/spring-boot/docs/2.3.4.RELEASE/api/org/springframework/boot/autoconfigure/hazelcast/HazelcastAutoConfiguration.html" TargetMode="External"/><Relationship Id="rId796" Type="http://schemas.openxmlformats.org/officeDocument/2006/relationships/hyperlink" Target="https://docs.spring.io/spring-boot/docs/2.3.4.RELEASE/api/org/springframework/boot/autoconfigure/kafka/KafkaAutoConfiguration.html" TargetMode="External"/><Relationship Id="rId961" Type="http://schemas.openxmlformats.org/officeDocument/2006/relationships/hyperlink" Target="https://github.com/spring-projects/spring-boot/tree/v2.3.4.RELEASE/spring-boot-project/spring-boot-actuator-autoconfigure/src/main/java/org/springframework/boot/actuate/autoconfigure/metrics/CompositeMeterRegistryAutoConfiguration.java" TargetMode="External"/><Relationship Id="rId90" Type="http://schemas.openxmlformats.org/officeDocument/2006/relationships/hyperlink" Target="https://docs.spring.io/spring-boot/docs/2.3.4.RELEASE/api/org/springframework/boot/SpringApplication.html" TargetMode="External"/><Relationship Id="rId186" Type="http://schemas.openxmlformats.org/officeDocument/2006/relationships/hyperlink" Target="http://hsqldb.org/" TargetMode="External"/><Relationship Id="rId351" Type="http://schemas.openxmlformats.org/officeDocument/2006/relationships/hyperlink" Target="https://github.com/snicoll-demos/spring-boot-master-auto-configuration" TargetMode="External"/><Relationship Id="rId393" Type="http://schemas.openxmlformats.org/officeDocument/2006/relationships/hyperlink" Target="https://stackoverflow.com/questions/tagged/spring%2Bkotlin" TargetMode="External"/><Relationship Id="rId407" Type="http://schemas.openxmlformats.org/officeDocument/2006/relationships/hyperlink" Target="https://github.com/sdeleuze/spring-boot-coroutines-demo" TargetMode="External"/><Relationship Id="rId449" Type="http://schemas.openxmlformats.org/officeDocument/2006/relationships/hyperlink" Target="https://github.com/spring-projects/spring-boot/tree/v2.3.4.RELEASE/spring-boot-project/spring-boot-actuator/src/main/java/org/springframework/boot/actuate/health/ReactiveHealthContributor.java" TargetMode="External"/><Relationship Id="rId614" Type="http://schemas.openxmlformats.org/officeDocument/2006/relationships/hyperlink" Target="https://github.com/spring-projects/spring-boot/tree/v2.3.4.RELEASE/spring-boot-project/spring-boot-autoconfigure/src/main/java/org/springframework/boot/autoconfigure/freemarker/FreeMarkerAutoConfiguration.java" TargetMode="External"/><Relationship Id="rId656" Type="http://schemas.openxmlformats.org/officeDocument/2006/relationships/hyperlink" Target="https://www.jrebel.com/products/jrebel" TargetMode="External"/><Relationship Id="rId821" Type="http://schemas.openxmlformats.org/officeDocument/2006/relationships/hyperlink" Target="https://github.com/spring-projects/spring-boot/tree/v2.3.4.RELEASE/spring-boot-project/spring-boot-autoconfigure/src/main/java/org/springframework/boot/autoconfigure/data/mongo/MongoRepositoriesAutoConfiguration.java" TargetMode="External"/><Relationship Id="rId863" Type="http://schemas.openxmlformats.org/officeDocument/2006/relationships/hyperlink" Target="https://github.com/spring-projects/spring-boot/tree/v2.3.4.RELEASE/spring-boot-project/spring-boot-autoconfigure/src/main/java/org/springframework/boot/autoconfigure/data/elasticsearch/ReactiveElasticsearchRepositoriesAutoConfiguration.java" TargetMode="External"/><Relationship Id="rId1037" Type="http://schemas.openxmlformats.org/officeDocument/2006/relationships/hyperlink" Target="https://github.com/spring-projects/spring-boot/tree/v2.3.4.RELEASE/spring-boot-project/spring-boot-actuator-autoconfigure/src/main/java/org/springframework/boot/actuate/autoconfigure/metrics/export/jmx/JmxMetricsExportAutoConfiguration.java" TargetMode="External"/><Relationship Id="rId1079" Type="http://schemas.openxmlformats.org/officeDocument/2006/relationships/hyperlink" Target="https://github.com/spring-projects/spring-boot/tree/v2.3.4.RELEASE/spring-boot-project/spring-boot-actuator-autoconfigure/src/main/java/org/springframework/boot/actuate/autoconfigure/metrics/export/prometheus/PrometheusMetricsExportAutoConfiguration.java" TargetMode="External"/><Relationship Id="rId211" Type="http://schemas.openxmlformats.org/officeDocument/2006/relationships/hyperlink" Target="https://spring.io/projects/spring-data-r2dbc" TargetMode="External"/><Relationship Id="rId253" Type="http://schemas.openxmlformats.org/officeDocument/2006/relationships/hyperlink" Target="https://docs.spring.io/spring-data/cassandra/docs/" TargetMode="External"/><Relationship Id="rId295" Type="http://schemas.openxmlformats.org/officeDocument/2006/relationships/hyperlink" Target="https://docs.spring.io/spring/docs/5.2.9.RELEASE/spring-framework-reference/web-reactive.html" TargetMode="External"/><Relationship Id="rId309" Type="http://schemas.openxmlformats.org/officeDocument/2006/relationships/hyperlink" Target="https://github.com/spring-projects/spring-boot/tree/v2.3.4.RELEASE/spring-boot-project/spring-boot/src/main/java/org/springframework/boot/jta/atomikos/AtomikosXADataSourceWrapper.java" TargetMode="External"/><Relationship Id="rId460" Type="http://schemas.openxmlformats.org/officeDocument/2006/relationships/hyperlink" Target="https://github.com/spring-projects/spring-boot/tree/v2.3.4.RELEASE/spring-boot-project/spring-boot-actuator/src/main/java/org/springframework/boot/actuate/redis/RedisReactiveHealthIndicator.java" TargetMode="External"/><Relationship Id="rId516" Type="http://schemas.openxmlformats.org/officeDocument/2006/relationships/hyperlink" Target="https://micrometer.io/docs/registry/wavefront" TargetMode="External"/><Relationship Id="rId698" Type="http://schemas.openxmlformats.org/officeDocument/2006/relationships/hyperlink" Target="https://docs.spring.io/spring-boot/docs/2.3.4.RELEASE/api/org/springframework/boot/autoconfigure/data/cassandra/CassandraDataAutoConfiguration.html" TargetMode="External"/><Relationship Id="rId919" Type="http://schemas.openxmlformats.org/officeDocument/2006/relationships/hyperlink" Target="https://github.com/spring-projects/spring-boot/tree/v2.3.4.RELEASE/spring-boot-project/spring-boot-autoconfigure/src/main/java/org/springframework/boot/autoconfigure/web/reactive/function/client/WebClientAutoConfiguration.java" TargetMode="External"/><Relationship Id="rId1090" Type="http://schemas.openxmlformats.org/officeDocument/2006/relationships/hyperlink" Target="https://docs.spring.io/spring-boot/docs/2.3.4.RELEASE/api/org/springframework/boot/actuate/autoconfigure/security/reactive/ReactiveManagementWebSecurityAutoConfiguration.html" TargetMode="External"/><Relationship Id="rId1104" Type="http://schemas.openxmlformats.org/officeDocument/2006/relationships/hyperlink" Target="https://docs.spring.io/spring-boot/docs/2.3.4.RELEASE/api/org/springframework/boot/actuate/autoconfigure/metrics/export/signalfx/SignalFxMetricsExportAutoConfiguration.html" TargetMode="External"/><Relationship Id="rId48" Type="http://schemas.openxmlformats.org/officeDocument/2006/relationships/hyperlink" Target="https://en.wikipedia.org/wiki/Z_shell" TargetMode="External"/><Relationship Id="rId113" Type="http://schemas.openxmlformats.org/officeDocument/2006/relationships/hyperlink" Target="https://logging.apache.org/log4j/2.x/" TargetMode="External"/><Relationship Id="rId320" Type="http://schemas.openxmlformats.org/officeDocument/2006/relationships/hyperlink" Target="https://junit.org/junit5/" TargetMode="External"/><Relationship Id="rId558" Type="http://schemas.openxmlformats.org/officeDocument/2006/relationships/hyperlink" Target="https://docs.spring.io/spring-boot/docs/2.3.4.RELEASE/gradle-plugin/reference/html/" TargetMode="External"/><Relationship Id="rId723" Type="http://schemas.openxmlformats.org/officeDocument/2006/relationships/hyperlink" Target="https://github.com/spring-projects/spring-boot/tree/v2.3.4.RELEASE/spring-boot-project/spring-boot-autoconfigure/src/main/java/org/springframework/boot/autoconfigure/jdbc/DataSourceTransactionManagerAutoConfiguration.java" TargetMode="External"/><Relationship Id="rId765" Type="http://schemas.openxmlformats.org/officeDocument/2006/relationships/hyperlink" Target="https://github.com/spring-projects/spring-boot/tree/v2.3.4.RELEASE/spring-boot-project/spring-boot-autoconfigure/src/main/java/org/springframework/boot/autoconfigure/hateoas/HypermediaAutoConfiguration.java" TargetMode="External"/><Relationship Id="rId930" Type="http://schemas.openxmlformats.org/officeDocument/2006/relationships/hyperlink" Target="https://docs.spring.io/spring-boot/docs/2.3.4.RELEASE/api/org/springframework/boot/autoconfigure/websocket/servlet/WebSocketMessagingAutoConfiguration.html" TargetMode="External"/><Relationship Id="rId972" Type="http://schemas.openxmlformats.org/officeDocument/2006/relationships/hyperlink" Target="https://docs.spring.io/spring-boot/docs/2.3.4.RELEASE/api/org/springframework/boot/actuate/autoconfigure/couchbase/CouchbaseHealthContributorAutoConfiguration.html" TargetMode="External"/><Relationship Id="rId1006" Type="http://schemas.openxmlformats.org/officeDocument/2006/relationships/hyperlink" Target="https://docs.spring.io/spring-boot/docs/2.3.4.RELEASE/api/org/springframework/boot/actuate/autoconfigure/health/HealthEndpointAutoConfiguration.html" TargetMode="External"/><Relationship Id="rId155" Type="http://schemas.openxmlformats.org/officeDocument/2006/relationships/hyperlink" Target="https://docs.spring.io/spring/docs/5.2.9.RELEASE/spring-framework-reference/web-reactive.html" TargetMode="External"/><Relationship Id="rId197" Type="http://schemas.openxmlformats.org/officeDocument/2006/relationships/hyperlink" Target="https://spring.io/projects/spring-data-jpa" TargetMode="External"/><Relationship Id="rId362" Type="http://schemas.openxmlformats.org/officeDocument/2006/relationships/hyperlink" Target="https://spring.io/guides/tutorials/spring-boot-kotlin/" TargetMode="External"/><Relationship Id="rId418" Type="http://schemas.openxmlformats.org/officeDocument/2006/relationships/hyperlink" Target="https://docs.spring.io/spring-boot/docs/2.3.4.RELEASE/actuator-api/pdf/spring-boot-actuator-web-api.pdf" TargetMode="External"/><Relationship Id="rId625" Type="http://schemas.openxmlformats.org/officeDocument/2006/relationships/hyperlink" Target="https://github.com/spring-projects/spring-boot/tree/v2.3.4.RELEASE/spring-boot-project/spring-boot-autoconfigure/src/main/java/org/springframework/boot/autoconfigure/orm/jpa/HibernateJpaAutoConfiguration.java" TargetMode="External"/><Relationship Id="rId832" Type="http://schemas.openxmlformats.org/officeDocument/2006/relationships/hyperlink" Target="https://docs.spring.io/spring-boot/docs/2.3.4.RELEASE/api/org/springframework/boot/autoconfigure/security/oauth2/client/servlet/OAuth2ClientAutoConfiguration.html" TargetMode="External"/><Relationship Id="rId1048" Type="http://schemas.openxmlformats.org/officeDocument/2006/relationships/hyperlink" Target="https://docs.spring.io/spring-boot/docs/2.3.4.RELEASE/api/org/springframework/boot/actuate/autoconfigure/ldap/LdapHealthContributorAutoConfiguration.html" TargetMode="External"/><Relationship Id="rId222" Type="http://schemas.openxmlformats.org/officeDocument/2006/relationships/hyperlink" Target="https://spring.io/projects/spring-data-geode" TargetMode="External"/><Relationship Id="rId264" Type="http://schemas.openxmlformats.org/officeDocument/2006/relationships/hyperlink" Target="https://www.influxdata.com/" TargetMode="External"/><Relationship Id="rId471" Type="http://schemas.openxmlformats.org/officeDocument/2006/relationships/hyperlink" Target="mailto:info.app.encoding%3D@project.build.sourceEncoding@" TargetMode="External"/><Relationship Id="rId667" Type="http://schemas.openxmlformats.org/officeDocument/2006/relationships/hyperlink" Target="https://stackoverflow.com/questions/tagged/spring-boot" TargetMode="External"/><Relationship Id="rId874" Type="http://schemas.openxmlformats.org/officeDocument/2006/relationships/hyperlink" Target="https://docs.spring.io/spring-boot/docs/2.3.4.RELEASE/api/org/springframework/boot/autoconfigure/security/reactive/ReactiveUserDetailsServiceAutoConfiguration.html" TargetMode="External"/><Relationship Id="rId1115" Type="http://schemas.openxmlformats.org/officeDocument/2006/relationships/hyperlink" Target="https://github.com/spring-projects/spring-boot/tree/v2.3.4.RELEASE/spring-boot-project/spring-boot-actuator-autoconfigure/src/main/java/org/springframework/boot/actuate/autoconfigure/management/ThreadDumpEndpointAutoConfiguration.java" TargetMode="External"/><Relationship Id="rId17" Type="http://schemas.openxmlformats.org/officeDocument/2006/relationships/hyperlink" Target="https://docs.spring.io/spring-boot/docs/2.3.4.RELEASE/reference/pdf/spring-boot-reference.pdf" TargetMode="External"/><Relationship Id="rId59" Type="http://schemas.openxmlformats.org/officeDocument/2006/relationships/hyperlink" Target="http://maven.apache.org/POM/4.0.0" TargetMode="External"/><Relationship Id="rId124" Type="http://schemas.openxmlformats.org/officeDocument/2006/relationships/hyperlink" Target="https://spring.io/guides" TargetMode="External"/><Relationship Id="rId527" Type="http://schemas.openxmlformats.org/officeDocument/2006/relationships/hyperlink" Target="https://docs.cloudfoundry.org/cf-cli/install-go-cli.html" TargetMode="External"/><Relationship Id="rId569" Type="http://schemas.openxmlformats.org/officeDocument/2006/relationships/hyperlink" Target="https://start.spring.io/" TargetMode="External"/><Relationship Id="rId734" Type="http://schemas.openxmlformats.org/officeDocument/2006/relationships/hyperlink" Target="https://docs.spring.io/spring-boot/docs/2.3.4.RELEASE/api/org/springframework/boot/autoconfigure/ldap/embedded/EmbeddedLdapAutoConfiguration.html" TargetMode="External"/><Relationship Id="rId776" Type="http://schemas.openxmlformats.org/officeDocument/2006/relationships/hyperlink" Target="https://docs.spring.io/spring-boot/docs/2.3.4.RELEASE/api/org/springframework/boot/autoconfigure/jdbc/JdbcTemplateAutoConfiguration.html" TargetMode="External"/><Relationship Id="rId941" Type="http://schemas.openxmlformats.org/officeDocument/2006/relationships/hyperlink" Target="https://github.com/spring-projects/spring-boot/tree/v2.3.4.RELEASE/spring-boot-project/spring-boot-actuator-autoconfigure/src/main/java/org/springframework/boot/actuate/autoconfigure/audit/AuditAutoConfiguration.java" TargetMode="External"/><Relationship Id="rId983" Type="http://schemas.openxmlformats.org/officeDocument/2006/relationships/hyperlink" Target="https://github.com/spring-projects/spring-boot/tree/v2.3.4.RELEASE/spring-boot-project/spring-boot-actuator-autoconfigure/src/main/java/org/springframework/boot/actuate/autoconfigure/metrics/export/dynatrace/DynatraceMetricsExportAutoConfiguration.java" TargetMode="External"/><Relationship Id="rId70" Type="http://schemas.openxmlformats.org/officeDocument/2006/relationships/hyperlink" Target="https://docs.spring.io/spring-boot/docs/2.3.4.RELEASE/gradle-plugin/reference/pdf/spring-boot-gradle-plugin-reference.pdf" TargetMode="External"/><Relationship Id="rId166" Type="http://schemas.openxmlformats.org/officeDocument/2006/relationships/hyperlink" Target="https://www.eclipse.org/jetty/" TargetMode="External"/><Relationship Id="rId331" Type="http://schemas.openxmlformats.org/officeDocument/2006/relationships/hyperlink" Target="https://docs.spring.io/spring/docs/5.2.9.RELEASE/spring-framework-reference/testing.html" TargetMode="External"/><Relationship Id="rId373" Type="http://schemas.openxmlformats.org/officeDocument/2006/relationships/hyperlink" Target="https://www.baeldung.com/kotlin-null-safety" TargetMode="External"/><Relationship Id="rId429" Type="http://schemas.openxmlformats.org/officeDocument/2006/relationships/hyperlink" Target="https://github.com/spring-projects/spring-boot/tree/v2.3.4.RELEASE/spring-boot-project/spring-boot-actuator/src/main/java/org/springframework/boot/actuate/elasticsearch/ElasticsearchRestHealthIndicator.java" TargetMode="External"/><Relationship Id="rId580" Type="http://schemas.openxmlformats.org/officeDocument/2006/relationships/hyperlink" Target="https://ant.apache.org/manual/Types/resources.html" TargetMode="External"/><Relationship Id="rId636" Type="http://schemas.openxmlformats.org/officeDocument/2006/relationships/hyperlink" Target="https://github.com/spring-projects/spring-boot/tree/v2.3.4.RELEASE/spring-boot-project/spring-boot/src/main/java/org/springframework/boot/jdbc/DatabaseDriver.java" TargetMode="External"/><Relationship Id="rId801" Type="http://schemas.openxmlformats.org/officeDocument/2006/relationships/hyperlink" Target="https://github.com/spring-projects/spring-boot/tree/v2.3.4.RELEASE/spring-boot-project/spring-boot-autoconfigure/src/main/java/org/springframework/boot/autoconfigure/context/LifecycleAutoConfiguration.java" TargetMode="External"/><Relationship Id="rId1017" Type="http://schemas.openxmlformats.org/officeDocument/2006/relationships/hyperlink" Target="https://github.com/spring-projects/spring-boot/tree/v2.3.4.RELEASE/spring-boot-project/spring-boot-actuator-autoconfigure/src/main/java/org/springframework/boot/actuate/autoconfigure/metrics/export/humio/HumioMetricsExportAutoConfiguration.java" TargetMode="External"/><Relationship Id="rId1059" Type="http://schemas.openxmlformats.org/officeDocument/2006/relationships/hyperlink" Target="https://github.com/spring-projects/spring-boot/tree/v2.3.4.RELEASE/spring-boot-project/spring-boot-actuator-autoconfigure/src/main/java/org/springframework/boot/actuate/autoconfigure/mail/MailHealthContributorAutoConfiguration.java" TargetMode="External"/><Relationship Id="rId1" Type="http://schemas.openxmlformats.org/officeDocument/2006/relationships/customXml" Target="../customXml/item1.xml"/><Relationship Id="rId233" Type="http://schemas.openxmlformats.org/officeDocument/2006/relationships/hyperlink" Target="https://spring.io/projects/spring-data-mongodb" TargetMode="External"/><Relationship Id="rId440" Type="http://schemas.openxmlformats.org/officeDocument/2006/relationships/hyperlink" Target="https://github.com/spring-projects/spring-boot/tree/v2.3.4.RELEASE/spring-boot-project/spring-boot-actuator/src/main/java/org/springframework/boot/actuate/solr/SolrHealthIndicator.java" TargetMode="External"/><Relationship Id="rId678" Type="http://schemas.openxmlformats.org/officeDocument/2006/relationships/footer" Target="footer5.xml"/><Relationship Id="rId843" Type="http://schemas.openxmlformats.org/officeDocument/2006/relationships/hyperlink" Target="https://github.com/spring-projects/spring-boot/tree/v2.3.4.RELEASE/spring-boot-project/spring-boot-autoconfigure/src/main/java/org/springframework/boot/autoconfigure/r2dbc/R2dbcAutoConfiguration.java" TargetMode="External"/><Relationship Id="rId885" Type="http://schemas.openxmlformats.org/officeDocument/2006/relationships/hyperlink" Target="https://github.com/spring-projects/spring-boot/tree/v2.3.4.RELEASE/spring-boot-project/spring-boot-autoconfigure/src/main/java/org/springframework/boot/autoconfigure/web/client/RestTemplateAutoConfiguration.java" TargetMode="External"/><Relationship Id="rId1070" Type="http://schemas.openxmlformats.org/officeDocument/2006/relationships/hyperlink" Target="https://docs.spring.io/spring-boot/docs/2.3.4.RELEASE/api/org/springframework/boot/actuate/autoconfigure/metrics/MetricsEndpointAutoConfiguration.html" TargetMode="External"/><Relationship Id="rId1126" Type="http://schemas.openxmlformats.org/officeDocument/2006/relationships/hyperlink" Target="https://docs.spring.io/spring-boot/docs/2.3.4.RELEASE/api/org/springframework/boot/actuate/autoconfigure/metrics/web/servlet/WebMvcMetricsAutoConfiguration.html" TargetMode="External"/><Relationship Id="rId28" Type="http://schemas.openxmlformats.org/officeDocument/2006/relationships/hyperlink" Target="https://docs.spring.io/spring/docs/5.2.9.RELEASE/spring-framework-reference/" TargetMode="External"/><Relationship Id="rId275" Type="http://schemas.openxmlformats.org/officeDocument/2006/relationships/hyperlink" Target="https://github.com/ben-manes/caffeine" TargetMode="External"/><Relationship Id="rId300" Type="http://schemas.openxmlformats.org/officeDocument/2006/relationships/hyperlink" Target="https://www.atomikos.com/" TargetMode="External"/><Relationship Id="rId482" Type="http://schemas.openxmlformats.org/officeDocument/2006/relationships/hyperlink" Target="https://api.appoptics.com/v1/measurements" TargetMode="External"/><Relationship Id="rId538" Type="http://schemas.openxmlformats.org/officeDocument/2006/relationships/hyperlink" Target="https://www.openshift.com/" TargetMode="External"/><Relationship Id="rId703" Type="http://schemas.openxmlformats.org/officeDocument/2006/relationships/hyperlink" Target="https://github.com/spring-projects/spring-boot/tree/v2.3.4.RELEASE/spring-boot-project/spring-boot-autoconfigure/src/main/java/org/springframework/boot/autoconfigure/data/cassandra/CassandraRepositoriesAutoConfiguration.java" TargetMode="External"/><Relationship Id="rId745" Type="http://schemas.openxmlformats.org/officeDocument/2006/relationships/hyperlink" Target="https://github.com/spring-projects/spring-boot/tree/v2.3.4.RELEASE/spring-boot-project/spring-boot-autoconfigure/src/main/java/org/springframework/boot/autoconfigure/freemarker/FreeMarkerAutoConfiguration.java" TargetMode="External"/><Relationship Id="rId910" Type="http://schemas.openxmlformats.org/officeDocument/2006/relationships/hyperlink" Target="https://docs.spring.io/spring-boot/docs/2.3.4.RELEASE/api/org/springframework/boot/autoconfigure/task/TaskSchedulingAutoConfiguration.html" TargetMode="External"/><Relationship Id="rId952" Type="http://schemas.openxmlformats.org/officeDocument/2006/relationships/hyperlink" Target="https://docs.spring.io/spring-boot/docs/2.3.4.RELEASE/api/org/springframework/boot/actuate/autoconfigure/metrics/cache/CacheMetricsAutoConfiguration.html" TargetMode="External"/><Relationship Id="rId81" Type="http://schemas.openxmlformats.org/officeDocument/2006/relationships/hyperlink" Target="https://github.com/spring-projects/spring-boot/tree/v2.3.4.RELEASE/spring-boot-project/spring-boot-devtools/src/main/java/org/springframework/boot/devtools/env/DevToolsPropertyDefaultsPostProcessor.java" TargetMode="External"/><Relationship Id="rId135" Type="http://schemas.openxmlformats.org/officeDocument/2006/relationships/hyperlink" Target="https://github.com/spring-projects/spring-boot/tree/v2.3.4.RELEASE/spring-boot-project/spring-boot-autoconfigure/src/main/java/org/springframework/boot/autoconfigure/web/ResourceProperties.java" TargetMode="External"/><Relationship Id="rId177" Type="http://schemas.openxmlformats.org/officeDocument/2006/relationships/hyperlink" Target="https://docs.spring.io/spring-boot/docs/2.3.4.RELEASE/api/org/springframework/boot/autoconfigure/security/SecurityProperties.User.html" TargetMode="External"/><Relationship Id="rId342" Type="http://schemas.openxmlformats.org/officeDocument/2006/relationships/hyperlink" Target="https://docs.spring.io/spring/docs/5.2.9.RELEASE/spring-framework-reference/testing.html" TargetMode="External"/><Relationship Id="rId384" Type="http://schemas.openxmlformats.org/officeDocument/2006/relationships/hyperlink" Target="https://junit.org/junit5/docs/current/user-guide/" TargetMode="External"/><Relationship Id="rId591" Type="http://schemas.openxmlformats.org/officeDocument/2006/relationships/hyperlink" Target="mailto:app.encoding%3D@project.build.sourceEncoding@" TargetMode="External"/><Relationship Id="rId605" Type="http://schemas.openxmlformats.org/officeDocument/2006/relationships/hyperlink" Target="https://docs.spring.io/spring/docs/5.2.9.RELEASE/spring-framework-reference/web.html" TargetMode="External"/><Relationship Id="rId787" Type="http://schemas.openxmlformats.org/officeDocument/2006/relationships/hyperlink" Target="https://github.com/spring-projects/spring-boot/tree/v2.3.4.RELEASE/spring-boot-project/spring-boot-autoconfigure/src/main/java/org/springframework/boot/autoconfigure/jooq/JooqAutoConfiguration.java" TargetMode="External"/><Relationship Id="rId812" Type="http://schemas.openxmlformats.org/officeDocument/2006/relationships/hyperlink" Target="https://docs.spring.io/spring-boot/docs/2.3.4.RELEASE/api/org/springframework/boot/autoconfigure/mongo/MongoAutoConfiguration.html" TargetMode="External"/><Relationship Id="rId994" Type="http://schemas.openxmlformats.org/officeDocument/2006/relationships/hyperlink" Target="https://docs.spring.io/spring-boot/docs/2.3.4.RELEASE/api/org/springframework/boot/actuate/autoconfigure/env/EnvironmentEndpointAutoConfiguration.html" TargetMode="External"/><Relationship Id="rId1028" Type="http://schemas.openxmlformats.org/officeDocument/2006/relationships/hyperlink" Target="https://docs.spring.io/spring-boot/docs/2.3.4.RELEASE/api/org/springframework/boot/actuate/autoconfigure/integration/IntegrationGraphEndpointAutoConfiguration.html" TargetMode="External"/><Relationship Id="rId202" Type="http://schemas.openxmlformats.org/officeDocument/2006/relationships/hyperlink" Target="https://docs.spring.io/spring/docs/5.2.9.RELEASE/javadoc-api/org/springframework/orm/jpa/support/OpenEntityManagerInViewInterceptor.html" TargetMode="External"/><Relationship Id="rId244" Type="http://schemas.openxmlformats.org/officeDocument/2006/relationships/hyperlink" Target="https://github.com/spring-projects/spring-data-solr" TargetMode="External"/><Relationship Id="rId647" Type="http://schemas.openxmlformats.org/officeDocument/2006/relationships/hyperlink" Target="https://docs.spring.io/spring-batch/docs/4.2.4.RELEASE/reference/html/job.html" TargetMode="External"/><Relationship Id="rId689" Type="http://schemas.openxmlformats.org/officeDocument/2006/relationships/hyperlink" Target="https://github.com/spring-projects/spring-boot/tree/v2.3.4.RELEASE/spring-boot-project/spring-boot-autoconfigure/src/main/java/org/springframework/boot/autoconfigure/jms/artemis/ArtemisAutoConfiguration.java" TargetMode="External"/><Relationship Id="rId854" Type="http://schemas.openxmlformats.org/officeDocument/2006/relationships/hyperlink" Target="https://docs.spring.io/spring-boot/docs/2.3.4.RELEASE/api/org/springframework/boot/autoconfigure/rsocket/RSocketRequesterAutoConfiguration.html" TargetMode="External"/><Relationship Id="rId896" Type="http://schemas.openxmlformats.org/officeDocument/2006/relationships/hyperlink" Target="https://docs.spring.io/spring-boot/docs/2.3.4.RELEASE/api/org/springframework/boot/autoconfigure/web/servlet/ServletWebServerFactoryAutoConfiguration.html" TargetMode="External"/><Relationship Id="rId1081" Type="http://schemas.openxmlformats.org/officeDocument/2006/relationships/hyperlink" Target="https://github.com/spring-projects/spring-boot/tree/v2.3.4.RELEASE/spring-boot-project/spring-boot-actuator-autoconfigure/src/main/java/org/springframework/boot/actuate/autoconfigure/amqp/RabbitHealthContributorAutoConfiguration.java" TargetMode="External"/><Relationship Id="rId39" Type="http://schemas.openxmlformats.org/officeDocument/2006/relationships/hyperlink" Target="https://groovy-lang.org/" TargetMode="External"/><Relationship Id="rId286" Type="http://schemas.openxmlformats.org/officeDocument/2006/relationships/hyperlink" Target="https://spring.io/blog/2010/06/14/understanding-amqp-the-protocol-used-by-rabbitmq/" TargetMode="External"/><Relationship Id="rId451" Type="http://schemas.openxmlformats.org/officeDocument/2006/relationships/hyperlink" Target="https://github.com/spring-projects/spring-boot/tree/v2.3.4.RELEASE/spring-boot-project/spring-boot-actuator/src/main/java/org/springframework/boot/actuate/cassandra/CassandraReactiveHealthIndicator.java" TargetMode="External"/><Relationship Id="rId493" Type="http://schemas.openxmlformats.org/officeDocument/2006/relationships/hyperlink" Target="https://micrometer.io/docs/registry/graphite" TargetMode="External"/><Relationship Id="rId507" Type="http://schemas.openxmlformats.org/officeDocument/2006/relationships/hyperlink" Target="https://micrometer.io/docs/registry/prometheus" TargetMode="External"/><Relationship Id="rId549" Type="http://schemas.openxmlformats.org/officeDocument/2006/relationships/hyperlink" Target="https://boxfuse.com/docs/commandline/run.html" TargetMode="External"/><Relationship Id="rId714" Type="http://schemas.openxmlformats.org/officeDocument/2006/relationships/hyperlink" Target="https://docs.spring.io/spring-boot/docs/2.3.4.RELEASE/api/org/springframework/boot/autoconfigure/data/couchbase/CouchbaseDataAutoConfiguration.html" TargetMode="External"/><Relationship Id="rId756" Type="http://schemas.openxmlformats.org/officeDocument/2006/relationships/hyperlink" Target="https://docs.spring.io/spring-boot/docs/2.3.4.RELEASE/api/org/springframework/boot/autoconfigure/hazelcast/HazelcastJpaDependencyAutoConfiguration.html" TargetMode="External"/><Relationship Id="rId921" Type="http://schemas.openxmlformats.org/officeDocument/2006/relationships/hyperlink" Target="https://github.com/spring-projects/spring-boot/tree/v2.3.4.RELEASE/spring-boot-project/spring-boot-autoconfigure/src/main/java/org/springframework/boot/autoconfigure/web/reactive/WebFluxAutoConfiguration.java" TargetMode="External"/><Relationship Id="rId1137" Type="http://schemas.openxmlformats.org/officeDocument/2006/relationships/hyperlink" Target="https://github.com/spring-projects/spring-boot/tree/v2.3.4.RELEASE/spring-boot-project/spring-boot-dependencies/build.gradle" TargetMode="External"/><Relationship Id="rId50" Type="http://schemas.openxmlformats.org/officeDocument/2006/relationships/hyperlink" Target="https://github.com/spring-projects/spring-boot/wiki/Spring-Boot-2.0-Migration-Guide" TargetMode="External"/><Relationship Id="rId104" Type="http://schemas.openxmlformats.org/officeDocument/2006/relationships/hyperlink" Target="https://bitbucket.org/asomov/snakeyaml" TargetMode="External"/><Relationship Id="rId146" Type="http://schemas.openxmlformats.org/officeDocument/2006/relationships/hyperlink" Target="https://en.wikipedia.org/wiki/Cross-origin_resource_sharing" TargetMode="External"/><Relationship Id="rId188" Type="http://schemas.openxmlformats.org/officeDocument/2006/relationships/hyperlink" Target="https://github.com/brettwooldridge/HikariCP" TargetMode="External"/><Relationship Id="rId311" Type="http://schemas.openxmlformats.org/officeDocument/2006/relationships/hyperlink" Target="https://docs.hazelcast.org/docs/latest/manual/html-single/" TargetMode="External"/><Relationship Id="rId353" Type="http://schemas.openxmlformats.org/officeDocument/2006/relationships/hyperlink" Target="https://github.com/spring-projects/spring-boot/tree/v2.3.4.RELEASE/spring-boot-project/spring-boot-autoconfigure/src/main/resources/META-INF/spring.factories" TargetMode="External"/><Relationship Id="rId395" Type="http://schemas.openxmlformats.org/officeDocument/2006/relationships/hyperlink" Target="https://blog.jetbrains.com/kotlin/" TargetMode="External"/><Relationship Id="rId409" Type="http://schemas.openxmlformats.org/officeDocument/2006/relationships/hyperlink" Target="https://docs.spring.io/spring-boot/docs/2.3.4.RELEASE/gradle-plugin/reference/html/" TargetMode="External"/><Relationship Id="rId560" Type="http://schemas.openxmlformats.org/officeDocument/2006/relationships/hyperlink" Target="https://docs.spring.io/spring-boot/docs/2.3.4.RELEASE/gradle-plugin/reference/html/" TargetMode="External"/><Relationship Id="rId798" Type="http://schemas.openxmlformats.org/officeDocument/2006/relationships/hyperlink" Target="https://docs.spring.io/spring-boot/docs/2.3.4.RELEASE/api/org/springframework/boot/autoconfigure/ldap/LdapAutoConfiguration.html" TargetMode="External"/><Relationship Id="rId963" Type="http://schemas.openxmlformats.org/officeDocument/2006/relationships/hyperlink" Target="https://github.com/spring-projects/spring-boot/tree/v2.3.4.RELEASE/spring-boot-project/spring-boot-actuator-autoconfigure/src/main/java/org/springframework/boot/actuate/autoconfigure/condition/ConditionsReportEndpointAutoConfiguration.java" TargetMode="External"/><Relationship Id="rId1039" Type="http://schemas.openxmlformats.org/officeDocument/2006/relationships/hyperlink" Target="https://github.com/spring-projects/spring-boot/tree/v2.3.4.RELEASE/spring-boot-project/spring-boot-actuator-autoconfigure/src/main/java/org/springframework/boot/actuate/autoconfigure/jolokia/JolokiaEndpointAutoConfiguration.java" TargetMode="External"/><Relationship Id="rId92" Type="http://schemas.openxmlformats.org/officeDocument/2006/relationships/hyperlink" Target="https://docs.spring.io/spring-boot/docs/2.3.4.RELEASE/api/org/springframework/boot/builder/SpringApplicationBuilder.html" TargetMode="External"/><Relationship Id="rId213" Type="http://schemas.openxmlformats.org/officeDocument/2006/relationships/hyperlink" Target="https://docs.spring.io/spring-data/commons/docs/2.3.4.RELEASE/api/org/springframework/data/repository/Repository.html" TargetMode="External"/><Relationship Id="rId420" Type="http://schemas.openxmlformats.org/officeDocument/2006/relationships/hyperlink" Target="https://www.w3.org/TR/cors/" TargetMode="External"/><Relationship Id="rId616" Type="http://schemas.openxmlformats.org/officeDocument/2006/relationships/hyperlink" Target="https://docs.spring.io/spring-security/site/docs/5.3.4.RELEASE/reference/html5/" TargetMode="External"/><Relationship Id="rId658" Type="http://schemas.openxmlformats.org/officeDocument/2006/relationships/hyperlink" Target="https://docs.spring.io/spring-boot/docs/2.3.4.RELEASE/gradle-plugin/reference/html/" TargetMode="External"/><Relationship Id="rId823" Type="http://schemas.openxmlformats.org/officeDocument/2006/relationships/hyperlink" Target="https://github.com/spring-projects/spring-boot/tree/v2.3.4.RELEASE/spring-boot-project/spring-boot-autoconfigure/src/main/java/org/springframework/boot/autoconfigure/web/servlet/MultipartAutoConfiguration.java" TargetMode="External"/><Relationship Id="rId865" Type="http://schemas.openxmlformats.org/officeDocument/2006/relationships/hyperlink" Target="https://github.com/spring-projects/spring-boot/tree/v2.3.4.RELEASE/spring-boot-project/spring-boot-autoconfigure/src/main/java/org/springframework/boot/autoconfigure/data/elasticsearch/ReactiveElasticsearchRestClientAutoConfiguration.java" TargetMode="External"/><Relationship Id="rId1050" Type="http://schemas.openxmlformats.org/officeDocument/2006/relationships/hyperlink" Target="https://docs.spring.io/spring-boot/docs/2.3.4.RELEASE/api/org/springframework/boot/actuate/autoconfigure/liquibase/LiquibaseEndpointAutoConfiguration.html" TargetMode="External"/><Relationship Id="rId255" Type="http://schemas.openxmlformats.org/officeDocument/2006/relationships/hyperlink" Target="https://www.couchbase.com/" TargetMode="External"/><Relationship Id="rId297" Type="http://schemas.openxmlformats.org/officeDocument/2006/relationships/hyperlink" Target="https://docs.spring.io/spring/docs/5.2.9.RELEASE/spring-framework-reference/web-reactive.html" TargetMode="External"/><Relationship Id="rId462" Type="http://schemas.openxmlformats.org/officeDocument/2006/relationships/hyperlink" Target="https://kubernetes.io/docs/tasks/configure-pod-container/configure-liveness-readiness-startup-probes/" TargetMode="External"/><Relationship Id="rId518" Type="http://schemas.openxmlformats.org/officeDocument/2006/relationships/hyperlink" Target="https://docs.wavefront.com/proxies_installing.html" TargetMode="External"/><Relationship Id="rId725" Type="http://schemas.openxmlformats.org/officeDocument/2006/relationships/hyperlink" Target="https://github.com/spring-projects/spring-boot/tree/v2.3.4.RELEASE/spring-boot-project/spring-boot-autoconfigure/src/main/java/org/springframework/boot/autoconfigure/web/servlet/DispatcherServletAutoConfiguration.java" TargetMode="External"/><Relationship Id="rId932" Type="http://schemas.openxmlformats.org/officeDocument/2006/relationships/hyperlink" Target="https://docs.spring.io/spring-boot/docs/2.3.4.RELEASE/api/org/springframework/boot/autoconfigure/websocket/reactive/WebSocketReactiveAutoConfiguration.html" TargetMode="External"/><Relationship Id="rId1092" Type="http://schemas.openxmlformats.org/officeDocument/2006/relationships/hyperlink" Target="https://docs.spring.io/spring-boot/docs/2.3.4.RELEASE/api/org/springframework/boot/actuate/autoconfigure/redis/RedisHealthContributorAutoConfiguration.html" TargetMode="External"/><Relationship Id="rId1106" Type="http://schemas.openxmlformats.org/officeDocument/2006/relationships/hyperlink" Target="https://docs.spring.io/spring-boot/docs/2.3.4.RELEASE/api/org/springframework/boot/actuate/autoconfigure/metrics/export/simple/SimpleMetricsExportAutoConfiguration.html" TargetMode="External"/><Relationship Id="rId115" Type="http://schemas.openxmlformats.org/officeDocument/2006/relationships/hyperlink" Target="https://docs.spring.io/spring-boot/docs/2.3.4.RELEASE/api/org/springframework/boot/ansi/AnsiOutput.Enabled.html" TargetMode="External"/><Relationship Id="rId157" Type="http://schemas.openxmlformats.org/officeDocument/2006/relationships/hyperlink" Target="https://docs.spring.io/spring/docs/5.2.9.RELEASE/spring-framework-reference/web-reactive.html" TargetMode="External"/><Relationship Id="rId322" Type="http://schemas.openxmlformats.org/officeDocument/2006/relationships/hyperlink" Target="https://assertj.github.io/doc/" TargetMode="External"/><Relationship Id="rId364" Type="http://schemas.openxmlformats.org/officeDocument/2006/relationships/hyperlink" Target="https://slack.kotlinlang.org/" TargetMode="External"/><Relationship Id="rId767" Type="http://schemas.openxmlformats.org/officeDocument/2006/relationships/hyperlink" Target="https://github.com/spring-projects/spring-boot/tree/v2.3.4.RELEASE/spring-boot-project/spring-boot-autoconfigure/src/main/java/org/springframework/boot/autoconfigure/influx/InfluxDbAutoConfiguration.java" TargetMode="External"/><Relationship Id="rId974" Type="http://schemas.openxmlformats.org/officeDocument/2006/relationships/hyperlink" Target="https://docs.spring.io/spring-boot/docs/2.3.4.RELEASE/api/org/springframework/boot/actuate/autoconfigure/couchbase/CouchbaseReactiveHealthContributorAutoConfiguration.html" TargetMode="External"/><Relationship Id="rId1008" Type="http://schemas.openxmlformats.org/officeDocument/2006/relationships/hyperlink" Target="https://docs.spring.io/spring-boot/docs/2.3.4.RELEASE/api/org/springframework/boot/actuate/autoconfigure/management/HeapDumpWebEndpointAutoConfiguration.html" TargetMode="External"/><Relationship Id="rId61" Type="http://schemas.openxmlformats.org/officeDocument/2006/relationships/hyperlink" Target="http://maven.apache.org/POM/4.0.0" TargetMode="External"/><Relationship Id="rId199" Type="http://schemas.openxmlformats.org/officeDocument/2006/relationships/hyperlink" Target="https://docs.spring.io/spring-data/commons/docs/2.3.4.RELEASE/api/org/springframework/data/repository/Repository.html" TargetMode="External"/><Relationship Id="rId571" Type="http://schemas.openxmlformats.org/officeDocument/2006/relationships/hyperlink" Target="https://maven.apache.org/settings.html" TargetMode="External"/><Relationship Id="rId627" Type="http://schemas.openxmlformats.org/officeDocument/2006/relationships/hyperlink" Target="https://docs.jboss.org/hibernate/orm/5.4/userguide/html_single/Hibernate_User_Guide.html" TargetMode="External"/><Relationship Id="rId669" Type="http://schemas.openxmlformats.org/officeDocument/2006/relationships/hyperlink" Target="http://xmlns.oracle.com/weblogic/weblogic-web-app" TargetMode="External"/><Relationship Id="rId834" Type="http://schemas.openxmlformats.org/officeDocument/2006/relationships/hyperlink" Target="https://docs.spring.io/spring-boot/docs/2.3.4.RELEASE/api/org/springframework/boot/autoconfigure/security/oauth2/resource/servlet/OAuth2ResourceServerAutoConfiguration.html" TargetMode="External"/><Relationship Id="rId876" Type="http://schemas.openxmlformats.org/officeDocument/2006/relationships/hyperlink" Target="https://docs.spring.io/spring-boot/docs/2.3.4.RELEASE/api/org/springframework/boot/autoconfigure/web/reactive/ReactiveWebServerFactoryAutoConfiguration.html" TargetMode="External"/><Relationship Id="rId19" Type="http://schemas.openxmlformats.org/officeDocument/2006/relationships/hyperlink" Target="https://spring.io/" TargetMode="External"/><Relationship Id="rId224" Type="http://schemas.openxmlformats.org/officeDocument/2006/relationships/hyperlink" Target="https://spring.io/projects/spring-data-couchbase" TargetMode="External"/><Relationship Id="rId266" Type="http://schemas.openxmlformats.org/officeDocument/2006/relationships/image" Target="media/image7.png"/><Relationship Id="rId431" Type="http://schemas.openxmlformats.org/officeDocument/2006/relationships/hyperlink" Target="https://github.com/spring-projects/spring-boot/tree/v2.3.4.RELEASE/spring-boot-project/spring-boot-actuator/src/main/java/org/springframework/boot/actuate/influx/InfluxDbHealthIndicator.java" TargetMode="External"/><Relationship Id="rId473" Type="http://schemas.openxmlformats.org/officeDocument/2006/relationships/hyperlink" Target="mailto:info.app.java.target%3D@java.version@" TargetMode="External"/><Relationship Id="rId529" Type="http://schemas.openxmlformats.org/officeDocument/2006/relationships/hyperlink" Target="https://docs.cloudfoundry.org/cf-cli/getting-started.html" TargetMode="External"/><Relationship Id="rId680" Type="http://schemas.openxmlformats.org/officeDocument/2006/relationships/footer" Target="footer7.xml"/><Relationship Id="rId736" Type="http://schemas.openxmlformats.org/officeDocument/2006/relationships/hyperlink" Target="https://docs.spring.io/spring-boot/docs/2.3.4.RELEASE/api/org/springframework/boot/autoconfigure/mongo/embedded/EmbeddedMongoAutoConfiguration.html" TargetMode="External"/><Relationship Id="rId901" Type="http://schemas.openxmlformats.org/officeDocument/2006/relationships/hyperlink" Target="https://github.com/spring-projects/spring-boot/tree/v2.3.4.RELEASE/spring-boot-project/spring-boot-autoconfigure/src/main/java/org/springframework/boot/autoconfigure/data/solr/SolrRepositoriesAutoConfiguration.java" TargetMode="External"/><Relationship Id="rId1061" Type="http://schemas.openxmlformats.org/officeDocument/2006/relationships/hyperlink" Target="https://github.com/spring-projects/spring-boot/tree/v2.3.4.RELEASE/spring-boot-project/spring-boot-actuator-autoconfigure/src/main/java/org/springframework/boot/actuate/autoconfigure/web/server/ManagementContextAutoConfiguration.java" TargetMode="External"/><Relationship Id="rId1117" Type="http://schemas.openxmlformats.org/officeDocument/2006/relationships/hyperlink" Target="https://github.com/spring-projects/spring-boot/tree/v2.3.4.RELEASE/spring-boot-project/spring-boot-actuator-autoconfigure/src/main/java/org/springframework/boot/actuate/autoconfigure/metrics/web/tomcat/TomcatMetricsAutoConfiguration.java" TargetMode="External"/><Relationship Id="rId30" Type="http://schemas.openxmlformats.org/officeDocument/2006/relationships/hyperlink" Target="https://maven.apache.org/" TargetMode="External"/><Relationship Id="rId126" Type="http://schemas.openxmlformats.org/officeDocument/2006/relationships/hyperlink" Target="https://github.com/FasterXML/jackson-docs/wiki/JacksonHowToCustomSerializers" TargetMode="External"/><Relationship Id="rId168" Type="http://schemas.openxmlformats.org/officeDocument/2006/relationships/hyperlink" Target="https://docs.spring.io/spring-boot/docs/2.3.4.RELEASE/api/org/springframework/boot/web/servlet/DelegatingFilterProxyRegistrationBean.html" TargetMode="External"/><Relationship Id="rId333" Type="http://schemas.openxmlformats.org/officeDocument/2006/relationships/hyperlink" Target="https://docs.spring.io/spring-boot/docs/2.3.4.RELEASE/api/org/springframework/boot/test/mock/mockito/SpyBean.html" TargetMode="External"/><Relationship Id="rId540" Type="http://schemas.openxmlformats.org/officeDocument/2006/relationships/hyperlink" Target="https://access.redhat.com/documentation/en-us/reference_architectures/2017/html-single/spring_boot_microservices_on_red_hat_openshift_container_platform_3/" TargetMode="External"/><Relationship Id="rId778" Type="http://schemas.openxmlformats.org/officeDocument/2006/relationships/hyperlink" Target="https://docs.spring.io/spring-boot/docs/2.3.4.RELEASE/api/org/springframework/boot/autoconfigure/jersey/JerseyAutoConfiguration.html" TargetMode="External"/><Relationship Id="rId943" Type="http://schemas.openxmlformats.org/officeDocument/2006/relationships/hyperlink" Target="https://github.com/spring-projects/spring-boot/tree/v2.3.4.RELEASE/spring-boot-project/spring-boot-actuator-autoconfigure/src/main/java/org/springframework/boot/actuate/autoconfigure/audit/AuditEventsEndpointAutoConfiguration.java" TargetMode="External"/><Relationship Id="rId985" Type="http://schemas.openxmlformats.org/officeDocument/2006/relationships/hyperlink" Target="https://github.com/spring-projects/spring-boot/tree/v2.3.4.RELEASE/spring-boot-project/spring-boot-actuator-autoconfigure/src/main/java/org/springframework/boot/actuate/autoconfigure/metrics/export/elastic/ElasticMetricsExportAutoConfiguration.java" TargetMode="External"/><Relationship Id="rId1019" Type="http://schemas.openxmlformats.org/officeDocument/2006/relationships/hyperlink" Target="https://github.com/spring-projects/spring-boot/tree/v2.3.4.RELEASE/spring-boot-project/spring-boot-actuator-autoconfigure/src/main/java/org/springframework/boot/actuate/autoconfigure/influx/InfluxDbHealthContributorAutoConfiguration.java" TargetMode="External"/><Relationship Id="rId72" Type="http://schemas.openxmlformats.org/officeDocument/2006/relationships/hyperlink" Target="https://github.com/spring-projects/spring-boot/tree/master/spring-boot-project/spring-boot-starters/README.adoc" TargetMode="External"/><Relationship Id="rId375" Type="http://schemas.openxmlformats.org/officeDocument/2006/relationships/hyperlink" Target="https://kotlinlang.org/docs/reference/java-interop.html" TargetMode="External"/><Relationship Id="rId582" Type="http://schemas.openxmlformats.org/officeDocument/2006/relationships/hyperlink" Target="https://ant.apache.org/manual/Types/resources.html" TargetMode="External"/><Relationship Id="rId638" Type="http://schemas.openxmlformats.org/officeDocument/2006/relationships/hyperlink" Target="https://github.com/spring-projects/spring-boot/tree/v2.3.4.RELEASE/spring-boot-project/spring-boot-autoconfigure/src/main/java/org/springframework/boot/autoconfigure/flyway/FlywayMigrationStrategy.java" TargetMode="External"/><Relationship Id="rId803" Type="http://schemas.openxmlformats.org/officeDocument/2006/relationships/hyperlink" Target="https://github.com/spring-projects/spring-boot/tree/v2.3.4.RELEASE/spring-boot-project/spring-boot-autoconfigure/src/main/java/org/springframework/boot/autoconfigure/liquibase/LiquibaseAutoConfiguration.java" TargetMode="External"/><Relationship Id="rId845" Type="http://schemas.openxmlformats.org/officeDocument/2006/relationships/hyperlink" Target="https://github.com/spring-projects/spring-boot/tree/v2.3.4.RELEASE/spring-boot-project/spring-boot-autoconfigure/src/main/java/org/springframework/boot/autoconfigure/data/r2dbc/R2dbcDataAutoConfiguration.java" TargetMode="External"/><Relationship Id="rId1030" Type="http://schemas.openxmlformats.org/officeDocument/2006/relationships/hyperlink" Target="https://docs.spring.io/spring-boot/docs/2.3.4.RELEASE/api/org/springframework/boot/actuate/autoconfigure/metrics/jersey/JerseyServerMetricsAutoConfiguration.html" TargetMode="External"/><Relationship Id="rId3" Type="http://schemas.openxmlformats.org/officeDocument/2006/relationships/styles" Target="styles.xml"/><Relationship Id="rId235" Type="http://schemas.openxmlformats.org/officeDocument/2006/relationships/hyperlink" Target="https://docs.spring.io/spring-data/mongodb/docs/3.0.4.RELEASE/api/org/springframework/data/mongodb/core/MongoOperations.html" TargetMode="External"/><Relationship Id="rId277" Type="http://schemas.openxmlformats.org/officeDocument/2006/relationships/hyperlink" Target="https://activemq.apache.org/" TargetMode="External"/><Relationship Id="rId400" Type="http://schemas.openxmlformats.org/officeDocument/2006/relationships/hyperlink" Target="https://spring.io/blog/2017/01/04/introducing-kotlin-support-in-spring-framework-5-0" TargetMode="External"/><Relationship Id="rId442" Type="http://schemas.openxmlformats.org/officeDocument/2006/relationships/hyperlink" Target="https://github.com/spring-projects/spring-boot/tree/v2.3.4.RELEASE/spring-boot-project/spring-boot-actuator/src/main/java/org/springframework/boot/actuate/availability/ReadinessStateHealthIndicator.java" TargetMode="External"/><Relationship Id="rId484" Type="http://schemas.openxmlformats.org/officeDocument/2006/relationships/hyperlink" Target="https://micrometer.io/docs/registry/atlas" TargetMode="External"/><Relationship Id="rId705" Type="http://schemas.openxmlformats.org/officeDocument/2006/relationships/hyperlink" Target="https://github.com/spring-projects/spring-boot/tree/v2.3.4.RELEASE/spring-boot-project/spring-boot-autoconfigure/src/main/java/org/springframework/boot/autoconfigure/web/reactive/function/client/ClientHttpConnectorAutoConfiguration.java" TargetMode="External"/><Relationship Id="rId887" Type="http://schemas.openxmlformats.org/officeDocument/2006/relationships/hyperlink" Target="https://github.com/spring-projects/spring-boot/tree/v2.3.4.RELEASE/spring-boot-project/spring-boot-autoconfigure/src/main/java/org/springframework/boot/autoconfigure/security/saml2/Saml2RelyingPartyAutoConfiguration.java" TargetMode="External"/><Relationship Id="rId1072" Type="http://schemas.openxmlformats.org/officeDocument/2006/relationships/hyperlink" Target="https://docs.spring.io/spring-boot/docs/2.3.4.RELEASE/api/org/springframework/boot/actuate/autoconfigure/mongo/MongoHealthContributorAutoConfiguration.html" TargetMode="External"/><Relationship Id="rId1128" Type="http://schemas.openxmlformats.org/officeDocument/2006/relationships/footer" Target="footer9.xml"/><Relationship Id="rId137" Type="http://schemas.openxmlformats.org/officeDocument/2006/relationships/hyperlink" Target="https://docs.spring.io/spring/docs/5.2.9.RELEASE/spring-framework-reference/web.html" TargetMode="External"/><Relationship Id="rId302" Type="http://schemas.openxmlformats.org/officeDocument/2006/relationships/hyperlink" Target="https://www.atomikos.com/" TargetMode="External"/><Relationship Id="rId344" Type="http://schemas.openxmlformats.org/officeDocument/2006/relationships/hyperlink" Target="https://spring.io/projects/spring-restdocs" TargetMode="External"/><Relationship Id="rId691" Type="http://schemas.openxmlformats.org/officeDocument/2006/relationships/hyperlink" Target="https://github.com/spring-projects/spring-boot/tree/v2.3.4.RELEASE/spring-boot-project/spring-boot-autoconfigure/src/main/java/org/springframework/boot/autoconfigure/batch/BatchAutoConfiguration.java" TargetMode="External"/><Relationship Id="rId747" Type="http://schemas.openxmlformats.org/officeDocument/2006/relationships/hyperlink" Target="https://github.com/spring-projects/spring-boot/tree/v2.3.4.RELEASE/spring-boot-project/spring-boot-autoconfigure/src/main/java/org/springframework/boot/autoconfigure/groovy/template/GroovyTemplateAutoConfiguration.java" TargetMode="External"/><Relationship Id="rId789" Type="http://schemas.openxmlformats.org/officeDocument/2006/relationships/hyperlink" Target="https://github.com/spring-projects/spring-boot/tree/v2.3.4.RELEASE/spring-boot-project/spring-boot-autoconfigure/src/main/java/org/springframework/boot/autoconfigure/data/jpa/JpaRepositoriesAutoConfiguration.java" TargetMode="External"/><Relationship Id="rId912" Type="http://schemas.openxmlformats.org/officeDocument/2006/relationships/hyperlink" Target="https://docs.spring.io/spring-boot/docs/2.3.4.RELEASE/api/org/springframework/boot/autoconfigure/thymeleaf/ThymeleafAutoConfiguration.html" TargetMode="External"/><Relationship Id="rId954" Type="http://schemas.openxmlformats.org/officeDocument/2006/relationships/hyperlink" Target="https://docs.spring.io/spring-boot/docs/2.3.4.RELEASE/api/org/springframework/boot/actuate/autoconfigure/cache/CachesEndpointAutoConfiguration.html" TargetMode="External"/><Relationship Id="rId996" Type="http://schemas.openxmlformats.org/officeDocument/2006/relationships/hyperlink" Target="https://docs.spring.io/spring-boot/docs/2.3.4.RELEASE/api/org/springframework/boot/actuate/autoconfigure/flyway/FlywayEndpointAutoConfiguration.html" TargetMode="External"/><Relationship Id="rId41" Type="http://schemas.openxmlformats.org/officeDocument/2006/relationships/hyperlink" Target="https://repo.spring.io/release/org/springframework/boot/spring-boot-cli/2.3.4.RELEASE/spring-boot-cli-2.3.4.RELEASE-bin.tar.gz" TargetMode="External"/><Relationship Id="rId83" Type="http://schemas.openxmlformats.org/officeDocument/2006/relationships/hyperlink" Target="https://spring.io/tools" TargetMode="External"/><Relationship Id="rId179" Type="http://schemas.openxmlformats.org/officeDocument/2006/relationships/hyperlink" Target="https://openid.net/specs/openid-connect-discovery-1_0.html" TargetMode="External"/><Relationship Id="rId386" Type="http://schemas.openxmlformats.org/officeDocument/2006/relationships/hyperlink" Target="https://github.com/Ninja-Squad/springmockk" TargetMode="External"/><Relationship Id="rId551" Type="http://schemas.openxmlformats.org/officeDocument/2006/relationships/hyperlink" Target="https://boxfuse.com/docs/payloads/springboot.html" TargetMode="External"/><Relationship Id="rId593" Type="http://schemas.openxmlformats.org/officeDocument/2006/relationships/hyperlink" Target="https://docs.spring.io/spring-boot/docs/2.3.4.RELEASE/maven-plugin/reference/html/" TargetMode="External"/><Relationship Id="rId607" Type="http://schemas.openxmlformats.org/officeDocument/2006/relationships/hyperlink" Target="https://github.com/spring-projects/spring-boot/tree/v2.3.4.RELEASE/spring-boot-project/spring-boot-autoconfigure/src/main/java/org/springframework/boot/autoconfigure/web/servlet/WebMvcAutoConfiguration.java" TargetMode="External"/><Relationship Id="rId649" Type="http://schemas.openxmlformats.org/officeDocument/2006/relationships/hyperlink" Target="https://github.com/spring-projects/spring-boot/tree/v2.3.4.RELEASE/spring-boot-project/spring-boot-autoconfigure/src/main/java/org/springframework/boot/autoconfigure/web/servlet/error/ErrorMvcAutoConfiguration.java" TargetMode="External"/><Relationship Id="rId814" Type="http://schemas.openxmlformats.org/officeDocument/2006/relationships/hyperlink" Target="https://docs.spring.io/spring-boot/docs/2.3.4.RELEASE/api/org/springframework/boot/autoconfigure/data/mongo/MongoDataAutoConfiguration.html" TargetMode="External"/><Relationship Id="rId856" Type="http://schemas.openxmlformats.org/officeDocument/2006/relationships/hyperlink" Target="https://docs.spring.io/spring-boot/docs/2.3.4.RELEASE/api/org/springframework/boot/autoconfigure/security/rsocket/RSocketSecurityAutoConfiguration.html" TargetMode="External"/><Relationship Id="rId190" Type="http://schemas.openxmlformats.org/officeDocument/2006/relationships/hyperlink" Target="https://github.com/spring-projects/spring-boot/tree/v2.3.4.RELEASE/spring-boot-project/spring-boot-autoconfigure/src/main/java/org/springframework/boot/autoconfigure/jdbc/DataSourceProperties.java" TargetMode="External"/><Relationship Id="rId204" Type="http://schemas.openxmlformats.org/officeDocument/2006/relationships/hyperlink" Target="https://docs.spring.io/spring-data/jdbc/docs/2.0.4.RELEASE/reference/html/" TargetMode="External"/><Relationship Id="rId246" Type="http://schemas.openxmlformats.org/officeDocument/2006/relationships/hyperlink" Target="https://www.elastic.co/products/elasticsearch" TargetMode="External"/><Relationship Id="rId288" Type="http://schemas.openxmlformats.org/officeDocument/2006/relationships/hyperlink" Target="https://docs.spring.io/spring-amqp/docs/2.2.11.RELEASE/api/org/springframework/amqp/rabbit/annotation/EnableRabbit.html" TargetMode="External"/><Relationship Id="rId411" Type="http://schemas.openxmlformats.org/officeDocument/2006/relationships/hyperlink" Target="https://docs.spring.io/spring-boot/docs/2.3.4.RELEASE/gradle-plugin/reference/html/" TargetMode="External"/><Relationship Id="rId453" Type="http://schemas.openxmlformats.org/officeDocument/2006/relationships/hyperlink" Target="https://github.com/spring-projects/spring-boot/tree/v2.3.4.RELEASE/spring-boot-project/spring-boot-actuator/src/main/java/org/springframework/boot/actuate/couchbase/CouchbaseReactiveHealthIndicator.java" TargetMode="External"/><Relationship Id="rId509" Type="http://schemas.openxmlformats.org/officeDocument/2006/relationships/hyperlink" Target="https://github.com/prometheus/pushgateway" TargetMode="External"/><Relationship Id="rId660" Type="http://schemas.openxmlformats.org/officeDocument/2006/relationships/hyperlink" Target="https://docs.spring.io/spring-boot/docs/2.3.4.RELEASE/maven-plugin/reference/html/" TargetMode="External"/><Relationship Id="rId898" Type="http://schemas.openxmlformats.org/officeDocument/2006/relationships/hyperlink" Target="https://docs.spring.io/spring-boot/docs/2.3.4.RELEASE/api/org/springframework/boot/autoconfigure/session/SessionAutoConfiguration.html" TargetMode="External"/><Relationship Id="rId1041" Type="http://schemas.openxmlformats.org/officeDocument/2006/relationships/hyperlink" Target="https://github.com/spring-projects/spring-boot/tree/v2.3.4.RELEASE/spring-boot-project/spring-boot-actuator-autoconfigure/src/main/java/org/springframework/boot/actuate/autoconfigure/metrics/JvmMetricsAutoConfiguration.java" TargetMode="External"/><Relationship Id="rId1083" Type="http://schemas.openxmlformats.org/officeDocument/2006/relationships/hyperlink" Target="https://github.com/spring-projects/spring-boot/tree/v2.3.4.RELEASE/spring-boot-project/spring-boot-actuator-autoconfigure/src/main/java/org/springframework/boot/actuate/autoconfigure/metrics/amqp/RabbitMetricsAutoConfiguration.java" TargetMode="External"/><Relationship Id="rId1139" Type="http://schemas.microsoft.com/office/2011/relationships/people" Target="people.xml"/><Relationship Id="rId106" Type="http://schemas.openxmlformats.org/officeDocument/2006/relationships/hyperlink" Target="https://docs.oracle.com/javase/8/docs/api/java/time/Duration.html" TargetMode="External"/><Relationship Id="rId313" Type="http://schemas.openxmlformats.org/officeDocument/2006/relationships/hyperlink" Target="https://www.quartz-scheduler.org/" TargetMode="External"/><Relationship Id="rId495" Type="http://schemas.openxmlformats.org/officeDocument/2006/relationships/hyperlink" Target="https://micrometer.io/docs/registry/graphite" TargetMode="External"/><Relationship Id="rId716" Type="http://schemas.openxmlformats.org/officeDocument/2006/relationships/hyperlink" Target="https://docs.spring.io/spring-boot/docs/2.3.4.RELEASE/api/org/springframework/boot/autoconfigure/data/couchbase/CouchbaseReactiveDataAutoConfiguration.html" TargetMode="External"/><Relationship Id="rId758" Type="http://schemas.openxmlformats.org/officeDocument/2006/relationships/hyperlink" Target="https://docs.spring.io/spring-boot/docs/2.3.4.RELEASE/api/org/springframework/boot/autoconfigure/orm/jpa/HibernateJpaAutoConfiguration.html" TargetMode="External"/><Relationship Id="rId923" Type="http://schemas.openxmlformats.org/officeDocument/2006/relationships/hyperlink" Target="https://github.com/spring-projects/spring-boot/tree/v2.3.4.RELEASE/spring-boot-project/spring-boot-autoconfigure/src/main/java/org/springframework/boot/autoconfigure/web/servlet/WebMvcAutoConfiguration.java" TargetMode="External"/><Relationship Id="rId965" Type="http://schemas.openxmlformats.org/officeDocument/2006/relationships/hyperlink" Target="https://github.com/spring-projects/spring-boot/tree/v2.3.4.RELEASE/spring-boot-project/spring-boot-actuator-autoconfigure/src/main/java/org/springframework/boot/actuate/autoconfigure/context/properties/ConfigurationPropertiesReportEndpointAutoConfiguration.java" TargetMode="External"/><Relationship Id="rId10" Type="http://schemas.openxmlformats.org/officeDocument/2006/relationships/footer" Target="footer3.xml"/><Relationship Id="rId52" Type="http://schemas.openxmlformats.org/officeDocument/2006/relationships/hyperlink" Target="https://github.com/spring-projects/spring-boot/wiki" TargetMode="External"/><Relationship Id="rId94" Type="http://schemas.openxmlformats.org/officeDocument/2006/relationships/hyperlink" Target="https://kubernetes.io/docs/tasks/configure-pod-container/configure-liveness-readiness-startup-probes/" TargetMode="External"/><Relationship Id="rId148" Type="http://schemas.openxmlformats.org/officeDocument/2006/relationships/hyperlink" Target="https://caniuse.com/" TargetMode="External"/><Relationship Id="rId355" Type="http://schemas.openxmlformats.org/officeDocument/2006/relationships/hyperlink" Target="https://github.com/spring-projects/spring-boot/tree/v2.3.4.RELEASE/spring-boot-project/spring-boot-autoconfigure/src/main/java/org/springframework/boot/autoconfigure/AutoConfigureBefore.java" TargetMode="External"/><Relationship Id="rId397" Type="http://schemas.openxmlformats.org/officeDocument/2006/relationships/hyperlink" Target="https://spring.io/guides/tutorials/spring-boot-kotlin/" TargetMode="External"/><Relationship Id="rId520" Type="http://schemas.openxmlformats.org/officeDocument/2006/relationships/hyperlink" Target="https://docs.spring.io/spring-kafka/docs/2.5.6.RELEASE/reference/html/" TargetMode="External"/><Relationship Id="rId562" Type="http://schemas.openxmlformats.org/officeDocument/2006/relationships/hyperlink" Target="https://github.com/kohsuke/winsw" TargetMode="External"/><Relationship Id="rId618" Type="http://schemas.openxmlformats.org/officeDocument/2006/relationships/hyperlink" Target="https://logback.qos.ch/" TargetMode="External"/><Relationship Id="rId825" Type="http://schemas.openxmlformats.org/officeDocument/2006/relationships/hyperlink" Target="https://github.com/spring-projects/spring-boot/tree/v2.3.4.RELEASE/spring-boot-project/spring-boot-autoconfigure/src/main/java/org/springframework/boot/autoconfigure/mustache/MustacheAutoConfiguration.java" TargetMode="External"/><Relationship Id="rId215" Type="http://schemas.openxmlformats.org/officeDocument/2006/relationships/hyperlink" Target="https://docs.spring.io/spring-data/r2dbc/docs/1.1.4.RELEASE/reference/html/" TargetMode="External"/><Relationship Id="rId257" Type="http://schemas.openxmlformats.org/officeDocument/2006/relationships/hyperlink" Target="https://github.com/couchbaselabs/sdk-rfcs/blob/master/rfc/0011-connection-string.md" TargetMode="External"/><Relationship Id="rId422" Type="http://schemas.openxmlformats.org/officeDocument/2006/relationships/hyperlink" Target="https://github.com/spring-projects/spring-boot/tree/v2.3.4.RELEASE/spring-boot-project/spring-boot-actuator/src/main/java/org/springframework/boot/actuate/health/HealthContributorRegistry.java" TargetMode="External"/><Relationship Id="rId464" Type="http://schemas.openxmlformats.org/officeDocument/2006/relationships/hyperlink" Target="https://kubernetes.io/docs/tasks/run-application/horizontal-pod-autoscale/" TargetMode="External"/><Relationship Id="rId867" Type="http://schemas.openxmlformats.org/officeDocument/2006/relationships/hyperlink" Target="https://github.com/spring-projects/spring-boot/tree/v2.3.4.RELEASE/spring-boot-project/spring-boot-autoconfigure/src/main/java/org/springframework/boot/autoconfigure/security/oauth2/client/reactive/ReactiveOAuth2ClientAutoConfiguration.java" TargetMode="External"/><Relationship Id="rId1010" Type="http://schemas.openxmlformats.org/officeDocument/2006/relationships/hyperlink" Target="https://docs.spring.io/spring-boot/docs/2.3.4.RELEASE/api/org/springframework/boot/actuate/autoconfigure/metrics/orm/jpa/HibernateMetricsAutoConfiguration.html" TargetMode="External"/><Relationship Id="rId1052" Type="http://schemas.openxmlformats.org/officeDocument/2006/relationships/hyperlink" Target="https://docs.spring.io/spring-boot/docs/2.3.4.RELEASE/api/org/springframework/boot/actuate/autoconfigure/metrics/Log4J2MetricsAutoConfiguration.html" TargetMode="External"/><Relationship Id="rId1094" Type="http://schemas.openxmlformats.org/officeDocument/2006/relationships/hyperlink" Target="https://docs.spring.io/spring-boot/docs/2.3.4.RELEASE/api/org/springframework/boot/actuate/autoconfigure/redis/RedisReactiveHealthContributorAutoConfiguration.html" TargetMode="External"/><Relationship Id="rId1108" Type="http://schemas.openxmlformats.org/officeDocument/2006/relationships/hyperlink" Target="https://docs.spring.io/spring-boot/docs/2.3.4.RELEASE/api/org/springframework/boot/actuate/autoconfigure/solr/SolrHealthContributorAutoConfiguration.html" TargetMode="External"/><Relationship Id="rId299" Type="http://schemas.openxmlformats.org/officeDocument/2006/relationships/hyperlink" Target="https://github.com/spring-projects/spring-boot/tree/v2.3.4.RELEASE/spring-boot-project/spring-boot-autoconfigure/src/main/java/org/springframework/boot/autoconfigure/mail/MailProperties.java" TargetMode="External"/><Relationship Id="rId727" Type="http://schemas.openxmlformats.org/officeDocument/2006/relationships/hyperlink" Target="https://github.com/spring-projects/spring-boot/tree/v2.3.4.RELEASE/spring-boot-project/spring-boot-autoconfigure/src/main/java/org/springframework/boot/autoconfigure/data/elasticsearch/ElasticsearchDataAutoConfiguration.java" TargetMode="External"/><Relationship Id="rId934" Type="http://schemas.openxmlformats.org/officeDocument/2006/relationships/hyperlink" Target="https://docs.spring.io/spring-boot/docs/2.3.4.RELEASE/api/org/springframework/boot/autoconfigure/websocket/servlet/WebSocketServletAutoConfiguration.html" TargetMode="External"/><Relationship Id="rId63" Type="http://schemas.openxmlformats.org/officeDocument/2006/relationships/hyperlink" Target="https://docs.spring.io/spring-boot/docs/2.3.4.RELEASE/maven-plugin/reference/html/" TargetMode="External"/><Relationship Id="rId159" Type="http://schemas.openxmlformats.org/officeDocument/2006/relationships/hyperlink" Target="https://www.webjars.org/" TargetMode="External"/><Relationship Id="rId366" Type="http://schemas.openxmlformats.org/officeDocument/2006/relationships/hyperlink" Target="https://stackoverflow.com/questions/tagged/spring%2Bkotlin" TargetMode="External"/><Relationship Id="rId573" Type="http://schemas.openxmlformats.org/officeDocument/2006/relationships/hyperlink" Target="https://github.com/spring-projects/spring-boot/tree/v2.3.4.RELEASE/spring-boot-project/spring-boot-cli/src/main/java/org/springframework/boot/cli" TargetMode="External"/><Relationship Id="rId780" Type="http://schemas.openxmlformats.org/officeDocument/2006/relationships/hyperlink" Target="https://docs.spring.io/spring-boot/docs/2.3.4.RELEASE/api/org/springframework/boot/autoconfigure/jms/JmsAutoConfiguration.html" TargetMode="External"/><Relationship Id="rId226" Type="http://schemas.openxmlformats.org/officeDocument/2006/relationships/hyperlink" Target="https://spring.io/projects/spring-data" TargetMode="External"/><Relationship Id="rId433" Type="http://schemas.openxmlformats.org/officeDocument/2006/relationships/hyperlink" Target="https://github.com/spring-projects/spring-boot/tree/v2.3.4.RELEASE/spring-boot-project/spring-boot-actuator/src/main/java/org/springframework/boot/actuate/ldap/LdapHealthIndicator.java" TargetMode="External"/><Relationship Id="rId878" Type="http://schemas.openxmlformats.org/officeDocument/2006/relationships/hyperlink" Target="https://docs.spring.io/spring-boot/docs/2.3.4.RELEASE/api/org/springframework/boot/autoconfigure/data/redis/RedisAutoConfiguration.html" TargetMode="External"/><Relationship Id="rId1063" Type="http://schemas.openxmlformats.org/officeDocument/2006/relationships/hyperlink" Target="https://github.com/spring-projects/spring-boot/tree/v2.3.4.RELEASE/spring-boot-project/spring-boot-actuator-autoconfigure/src/main/java/org/springframework/boot/actuate/autoconfigure/security/servlet/ManagementWebSecurityAutoConfiguration.java" TargetMode="External"/><Relationship Id="rId640" Type="http://schemas.openxmlformats.org/officeDocument/2006/relationships/hyperlink" Target="https://github.com/spring-projects/spring-boot/tree/v2.3.4.RELEASE/spring-boot-project/spring-boot-autoconfigure/src/main/java/org/springframework/boot/autoconfigure/liquibase/LiquibaseProperties.java" TargetMode="External"/><Relationship Id="rId738" Type="http://schemas.openxmlformats.org/officeDocument/2006/relationships/hyperlink" Target="https://docs.spring.io/spring-boot/docs/2.3.4.RELEASE/api/org/springframework/boot/autoconfigure/web/embedded/EmbeddedWebServerFactoryCustomizerAutoConfiguration.html" TargetMode="External"/><Relationship Id="rId945" Type="http://schemas.openxmlformats.org/officeDocument/2006/relationships/hyperlink" Target="https://github.com/spring-projects/spring-boot/tree/v2.3.4.RELEASE/spring-boot-project/spring-boot-actuator-autoconfigure/src/main/java/org/springframework/boot/actuate/autoconfigure/availability/AvailabilityHealthContributorAutoConfiguration.java" TargetMode="External"/><Relationship Id="rId74" Type="http://schemas.openxmlformats.org/officeDocument/2006/relationships/hyperlink" Target="https://maven.apache.org/plugins/maven-eclipse-plugin/" TargetMode="External"/><Relationship Id="rId377" Type="http://schemas.openxmlformats.org/officeDocument/2006/relationships/hyperlink" Target="https://github.com/spring-projects/spring-boot/issues/10712" TargetMode="External"/><Relationship Id="rId500" Type="http://schemas.openxmlformats.org/officeDocument/2006/relationships/hyperlink" Target="https://www.influxdata.com/" TargetMode="External"/><Relationship Id="rId584" Type="http://schemas.openxmlformats.org/officeDocument/2006/relationships/hyperlink" Target="https://github.com/spring-projects/spring-boot/tree/v2.3.4.RELEASE/spring-boot-project/spring-boot-tools" TargetMode="External"/><Relationship Id="rId805" Type="http://schemas.openxmlformats.org/officeDocument/2006/relationships/hyperlink" Target="https://github.com/spring-projects/spring-boot/tree/v2.3.4.RELEASE/spring-boot-project/spring-boot-autoconfigure/src/main/java/org/springframework/boot/autoconfigure/mail/MailSenderAutoConfiguration.java" TargetMode="External"/><Relationship Id="rId1130" Type="http://schemas.openxmlformats.org/officeDocument/2006/relationships/footer" Target="footer11.xml"/><Relationship Id="rId5" Type="http://schemas.openxmlformats.org/officeDocument/2006/relationships/webSettings" Target="webSettings.xml"/><Relationship Id="rId237" Type="http://schemas.openxmlformats.org/officeDocument/2006/relationships/hyperlink" Target="https://spring.io/projects/spring-data-mongodb" TargetMode="External"/><Relationship Id="rId791" Type="http://schemas.openxmlformats.org/officeDocument/2006/relationships/hyperlink" Target="https://github.com/spring-projects/spring-boot/tree/v2.3.4.RELEASE/spring-boot-project/spring-boot-autoconfigure/src/main/java/org/springframework/boot/autoconfigure/jsonb/JsonbAutoConfiguration.java" TargetMode="External"/><Relationship Id="rId889" Type="http://schemas.openxmlformats.org/officeDocument/2006/relationships/hyperlink" Target="https://github.com/spring-projects/spring-boot/tree/v2.3.4.RELEASE/spring-boot-project/spring-boot-autoconfigure/src/main/java/org/springframework/boot/autoconfigure/security/servlet/SecurityAutoConfiguration.java" TargetMode="External"/><Relationship Id="rId1074" Type="http://schemas.openxmlformats.org/officeDocument/2006/relationships/hyperlink" Target="https://docs.spring.io/spring-boot/docs/2.3.4.RELEASE/api/org/springframework/boot/actuate/autoconfigure/mongo/MongoReactiveHealthContributorAutoConfiguration.html" TargetMode="External"/><Relationship Id="rId444" Type="http://schemas.openxmlformats.org/officeDocument/2006/relationships/hyperlink" Target="https://github.com/spring-projects/spring-boot/tree/v2.3.4.RELEASE/spring-boot-project/spring-boot-actuator/src/main/java/org/springframework/boot/actuate/health/HealthIndicator.java" TargetMode="External"/><Relationship Id="rId651" Type="http://schemas.openxmlformats.org/officeDocument/2006/relationships/hyperlink" Target="https://spring.io/projects/spring-security" TargetMode="External"/><Relationship Id="rId749" Type="http://schemas.openxmlformats.org/officeDocument/2006/relationships/hyperlink" Target="https://github.com/spring-projects/spring-boot/tree/v2.3.4.RELEASE/spring-boot-project/spring-boot-autoconfigure/src/main/java/org/springframework/boot/autoconfigure/gson/GsonAutoConfiguration.java" TargetMode="External"/><Relationship Id="rId290" Type="http://schemas.openxmlformats.org/officeDocument/2006/relationships/hyperlink" Target="https://kafka.apache.org/" TargetMode="External"/><Relationship Id="rId304" Type="http://schemas.openxmlformats.org/officeDocument/2006/relationships/hyperlink" Target="https://docs.spring.io/spring-boot/docs/2.3.4.RELEASE/api/org/springframework/boot/jta/atomikos/AtomikosProperties.html" TargetMode="External"/><Relationship Id="rId388" Type="http://schemas.openxmlformats.org/officeDocument/2006/relationships/hyperlink" Target="https://kotlinlang.slack.com/" TargetMode="External"/><Relationship Id="rId511" Type="http://schemas.openxmlformats.org/officeDocument/2006/relationships/hyperlink" Target="https://micrometer.io/docs/registry/signalFx" TargetMode="External"/><Relationship Id="rId609" Type="http://schemas.openxmlformats.org/officeDocument/2006/relationships/hyperlink" Target="https://spring.io/blog/2013/06/03/content-negotiation-using-views" TargetMode="External"/><Relationship Id="rId956" Type="http://schemas.openxmlformats.org/officeDocument/2006/relationships/hyperlink" Target="https://docs.spring.io/spring-boot/docs/2.3.4.RELEASE/api/org/springframework/boot/actuate/autoconfigure/cassandra/CassandraHealthContributorAutoConfiguration.html" TargetMode="External"/><Relationship Id="rId85" Type="http://schemas.openxmlformats.org/officeDocument/2006/relationships/hyperlink" Target="https://www.jetbrains.com/idea/" TargetMode="External"/><Relationship Id="rId150" Type="http://schemas.openxmlformats.org/officeDocument/2006/relationships/hyperlink" Target="https://docs.spring.io/spring/docs/5.2.9.RELEASE/spring-framework-reference/web.html" TargetMode="External"/><Relationship Id="rId595" Type="http://schemas.openxmlformats.org/officeDocument/2006/relationships/hyperlink" Target="https://maven.apache.org/plugins/maven-resources-plugin/resources-mojo.html" TargetMode="External"/><Relationship Id="rId816" Type="http://schemas.openxmlformats.org/officeDocument/2006/relationships/hyperlink" Target="https://docs.spring.io/spring-boot/docs/2.3.4.RELEASE/api/org/springframework/boot/autoconfigure/mongo/MongoReactiveAutoConfiguration.html" TargetMode="External"/><Relationship Id="rId1001" Type="http://schemas.openxmlformats.org/officeDocument/2006/relationships/hyperlink" Target="https://github.com/spring-projects/spring-boot/tree/v2.3.4.RELEASE/spring-boot-project/spring-boot-actuator-autoconfigure/src/main/java/org/springframework/boot/actuate/autoconfigure/hazelcast/HazelcastHealthContributorAutoConfiguration.java" TargetMode="External"/><Relationship Id="rId248" Type="http://schemas.openxmlformats.org/officeDocument/2006/relationships/hyperlink" Target="https://spring.io/projects/spring-data-elasticsearch" TargetMode="External"/><Relationship Id="rId455" Type="http://schemas.openxmlformats.org/officeDocument/2006/relationships/hyperlink" Target="https://github.com/spring-projects/spring-boot/tree/v2.3.4.RELEASE/spring-boot-project/spring-boot-actuator/src/main/java/org/springframework/boot/actuate/elasticsearch/ElasticsearchReactiveHealthIndicator.java" TargetMode="External"/><Relationship Id="rId662" Type="http://schemas.openxmlformats.org/officeDocument/2006/relationships/hyperlink" Target="https://docs.spring.io/spring-boot/docs/2.3.4.RELEASE/maven-plugin/reference/html/" TargetMode="External"/><Relationship Id="rId1085" Type="http://schemas.openxmlformats.org/officeDocument/2006/relationships/hyperlink" Target="https://github.com/spring-projects/spring-boot/tree/v2.3.4.RELEASE/spring-boot-project/spring-boot-actuator-autoconfigure/src/main/java/org/springframework/boot/actuate/autoconfigure/cloudfoundry/reactive/ReactiveCloudFoundryActuatorAutoConfiguration.java" TargetMode="External"/><Relationship Id="rId12" Type="http://schemas.microsoft.com/office/2011/relationships/commentsExtended" Target="commentsExtended.xml"/><Relationship Id="rId108" Type="http://schemas.openxmlformats.org/officeDocument/2006/relationships/hyperlink" Target="https://docs.oracle.com/javase/8/docs/api/java/time/Period.html" TargetMode="External"/><Relationship Id="rId315" Type="http://schemas.openxmlformats.org/officeDocument/2006/relationships/hyperlink" Target="https://github.com/spring-projects/spring-boot/tree/v2.3.4.RELEASE/spring-boot-project/spring-boot-autoconfigure/src/main/java/org/springframework/boot/autoconfigure/integration/IntegrationAutoConfiguration.java" TargetMode="External"/><Relationship Id="rId522" Type="http://schemas.openxmlformats.org/officeDocument/2006/relationships/hyperlink" Target="https://graphiteapp.org/" TargetMode="External"/><Relationship Id="rId967" Type="http://schemas.openxmlformats.org/officeDocument/2006/relationships/hyperlink" Target="https://github.com/spring-projects/spring-boot/tree/v2.3.4.RELEASE/spring-boot-project/spring-boot-actuator-autoconfigure/src/main/java/org/springframework/boot/actuate/autoconfigure/r2dbc/ConnectionFactoryHealthContributorAutoConfiguration.java" TargetMode="External"/><Relationship Id="rId96" Type="http://schemas.openxmlformats.org/officeDocument/2006/relationships/hyperlink" Target="https://github.com/spring-projects/spring-boot/tree/v2.3.4.RELEASE/spring-boot-project/spring-boot/src/main/java/org/springframework/boot/admin/SpringApplicationAdminMXBean.java" TargetMode="External"/><Relationship Id="rId161" Type="http://schemas.openxmlformats.org/officeDocument/2006/relationships/hyperlink" Target="https://www.thymeleaf.org/" TargetMode="External"/><Relationship Id="rId399" Type="http://schemas.openxmlformats.org/officeDocument/2006/relationships/hyperlink" Target="https://spring.io/blog/2016/03/20/a-geospatial-messenger-with-kotlin-spring-boot-and-postgresql" TargetMode="External"/><Relationship Id="rId827" Type="http://schemas.openxmlformats.org/officeDocument/2006/relationships/hyperlink" Target="https://github.com/spring-projects/spring-boot/tree/v2.3.4.RELEASE/spring-boot-project/spring-boot-autoconfigure/src/main/java/org/springframework/boot/autoconfigure/data/neo4j/Neo4jDataAutoConfiguration.java" TargetMode="External"/><Relationship Id="rId1012" Type="http://schemas.openxmlformats.org/officeDocument/2006/relationships/hyperlink" Target="https://docs.spring.io/spring-boot/docs/2.3.4.RELEASE/api/org/springframework/boot/actuate/autoconfigure/metrics/web/client/HttpClientMetricsAutoConfiguration.html" TargetMode="External"/><Relationship Id="rId259" Type="http://schemas.openxmlformats.org/officeDocument/2006/relationships/hyperlink" Target="https://en.wikipedia.org/wiki/Lightweight_Directory_Access_Protocol" TargetMode="External"/><Relationship Id="rId466" Type="http://schemas.openxmlformats.org/officeDocument/2006/relationships/hyperlink" Target="https://github.com/spring-projects/spring-boot/tree/v2.3.4.RELEASE/spring-boot-project/spring-boot-actuator/src/main/java/org/springframework/boot/actuate/info/EnvironmentInfoContributor.java" TargetMode="External"/><Relationship Id="rId673" Type="http://schemas.openxmlformats.org/officeDocument/2006/relationships/hyperlink" Target="https://github.com/lettuce-io/lettuce-core/" TargetMode="External"/><Relationship Id="rId880" Type="http://schemas.openxmlformats.org/officeDocument/2006/relationships/hyperlink" Target="https://docs.spring.io/spring-boot/docs/2.3.4.RELEASE/api/org/springframework/boot/autoconfigure/data/redis/RedisReactiveAutoConfiguration.html" TargetMode="External"/><Relationship Id="rId1096" Type="http://schemas.openxmlformats.org/officeDocument/2006/relationships/hyperlink" Target="https://docs.spring.io/spring-boot/docs/2.3.4.RELEASE/api/org/springframework/boot/actuate/autoconfigure/scheduling/ScheduledTasksEndpointAutoConfiguration.html" TargetMode="External"/><Relationship Id="rId23" Type="http://schemas.openxmlformats.org/officeDocument/2006/relationships/hyperlink" Target="https://github.com/spring-projects/spring-boot/issues" TargetMode="External"/><Relationship Id="rId119" Type="http://schemas.openxmlformats.org/officeDocument/2006/relationships/hyperlink" Target="https://logback.qos.ch/manual/configuration.html" TargetMode="External"/><Relationship Id="rId326" Type="http://schemas.openxmlformats.org/officeDocument/2006/relationships/hyperlink" Target="https://github.com/jayway/JsonPath" TargetMode="External"/><Relationship Id="rId533" Type="http://schemas.openxmlformats.org/officeDocument/2006/relationships/hyperlink" Target="https://docs.cloudfoundry.org/devguide/deploy-apps/manifest.html" TargetMode="External"/><Relationship Id="rId978" Type="http://schemas.openxmlformats.org/officeDocument/2006/relationships/hyperlink" Target="https://docs.spring.io/spring-boot/docs/2.3.4.RELEASE/api/org/springframework/boot/actuate/autoconfigure/metrics/jdbc/DataSourcePoolMetricsAutoConfiguration.html" TargetMode="External"/><Relationship Id="rId740" Type="http://schemas.openxmlformats.org/officeDocument/2006/relationships/hyperlink" Target="https://docs.spring.io/spring-boot/docs/2.3.4.RELEASE/api/org/springframework/boot/autoconfigure/web/servlet/error/ErrorMvcAutoConfiguration.html" TargetMode="External"/><Relationship Id="rId838" Type="http://schemas.openxmlformats.org/officeDocument/2006/relationships/hyperlink" Target="https://docs.spring.io/spring-boot/docs/2.3.4.RELEASE/api/org/springframework/boot/autoconfigure/info/ProjectInfoAutoConfiguration.html" TargetMode="External"/><Relationship Id="rId1023" Type="http://schemas.openxmlformats.org/officeDocument/2006/relationships/hyperlink" Target="https://github.com/spring-projects/spring-boot/tree/v2.3.4.RELEASE/spring-boot-project/spring-boot-actuator-autoconfigure/src/main/java/org/springframework/boot/actuate/autoconfigure/info/InfoContributorAutoConfiguration.java" TargetMode="External"/><Relationship Id="rId172" Type="http://schemas.openxmlformats.org/officeDocument/2006/relationships/hyperlink" Target="https://rsocket.io/" TargetMode="External"/><Relationship Id="rId477" Type="http://schemas.openxmlformats.org/officeDocument/2006/relationships/hyperlink" Target="https://micrometer.io/" TargetMode="External"/><Relationship Id="rId600" Type="http://schemas.openxmlformats.org/officeDocument/2006/relationships/hyperlink" Target="https://netty.io/wiki/forked-tomcat-native.html" TargetMode="External"/><Relationship Id="rId684" Type="http://schemas.openxmlformats.org/officeDocument/2006/relationships/hyperlink" Target="https://docs.spring.io/spring-boot/docs/2.3.4.RELEASE/api/org/springframework/boot/autoconfigure/jms/activemq/ActiveMQAutoConfiguration.html" TargetMode="External"/><Relationship Id="rId337" Type="http://schemas.openxmlformats.org/officeDocument/2006/relationships/hyperlink" Target="https://docs.spring.io/spring/docs/5.2.9.RELEASE/spring-framework-reference/testing.html" TargetMode="External"/><Relationship Id="rId891" Type="http://schemas.openxmlformats.org/officeDocument/2006/relationships/hyperlink" Target="https://github.com/spring-projects/spring-boot/tree/v2.3.4.RELEASE/spring-boot-project/spring-boot-autoconfigure/src/main/java/org/springframework/boot/autoconfigure/security/servlet/SecurityFilterAutoConfiguration.java" TargetMode="External"/><Relationship Id="rId905" Type="http://schemas.openxmlformats.org/officeDocument/2006/relationships/hyperlink" Target="https://github.com/spring-projects/spring-boot/tree/v2.3.4.RELEASE/spring-boot-project/spring-boot-autoconfigure/src/main/java/org/springframework/boot/autoconfigure/data/web/SpringDataWebAutoConfiguration.java" TargetMode="External"/><Relationship Id="rId989" Type="http://schemas.openxmlformats.org/officeDocument/2006/relationships/hyperlink" Target="https://github.com/spring-projects/spring-boot/tree/v2.3.4.RELEASE/spring-boot-project/spring-boot-actuator-autoconfigure/src/main/java/org/springframework/boot/actuate/autoconfigure/elasticsearch/ElasticSearchRestHealthContributorAutoConfiguration.java" TargetMode="External"/><Relationship Id="rId34" Type="http://schemas.openxmlformats.org/officeDocument/2006/relationships/hyperlink" Target="https://docs.spring.io/spring-boot/docs/2.3.4.RELEASE/maven-plugin/reference/html/" TargetMode="External"/><Relationship Id="rId544" Type="http://schemas.openxmlformats.org/officeDocument/2006/relationships/hyperlink" Target="https://docs.aws.amazon.com/elasticbeanstalk/latest/dg/environments-create-wizard.html" TargetMode="External"/><Relationship Id="rId751" Type="http://schemas.openxmlformats.org/officeDocument/2006/relationships/hyperlink" Target="https://github.com/spring-projects/spring-boot/tree/v2.3.4.RELEASE/spring-boot-project/spring-boot-autoconfigure/src/main/java/org/springframework/boot/autoconfigure/h2/H2ConsoleAutoConfiguration.java" TargetMode="External"/><Relationship Id="rId849" Type="http://schemas.openxmlformats.org/officeDocument/2006/relationships/hyperlink" Target="https://github.com/spring-projects/spring-boot/tree/v2.3.4.RELEASE/spring-boot-project/spring-boot-autoconfigure/src/main/java/org/springframework/boot/autoconfigure/data/r2dbc/R2dbcTransactionManagerAutoConfiguration.java" TargetMode="External"/><Relationship Id="rId183" Type="http://schemas.openxmlformats.org/officeDocument/2006/relationships/hyperlink" Target="https://spring.io/projects/spring-framework" TargetMode="External"/><Relationship Id="rId390" Type="http://schemas.openxmlformats.org/officeDocument/2006/relationships/hyperlink" Target="https://stackoverflow.com/questions/tagged/spring%2Bkotlin" TargetMode="External"/><Relationship Id="rId404" Type="http://schemas.openxmlformats.org/officeDocument/2006/relationships/hyperlink" Target="https://github.com/sdeleuze/spring-kotlin-fullstack" TargetMode="External"/><Relationship Id="rId611" Type="http://schemas.openxmlformats.org/officeDocument/2006/relationships/hyperlink" Target="https://spring.io/blog/2013/06/03/content-negotiation-using-views" TargetMode="External"/><Relationship Id="rId1034" Type="http://schemas.openxmlformats.org/officeDocument/2006/relationships/hyperlink" Target="https://docs.spring.io/spring-boot/docs/2.3.4.RELEASE/api/org/springframework/boot/actuate/autoconfigure/jms/JmsHealthContributorAutoConfiguration.html" TargetMode="External"/><Relationship Id="rId250" Type="http://schemas.openxmlformats.org/officeDocument/2006/relationships/hyperlink" Target="https://docs.spring.io/spring-data/elasticsearch/docs/current/reference/html/" TargetMode="External"/><Relationship Id="rId488" Type="http://schemas.openxmlformats.org/officeDocument/2006/relationships/hyperlink" Target="https://micrometer.io/docs/registry/datadog" TargetMode="External"/><Relationship Id="rId695" Type="http://schemas.openxmlformats.org/officeDocument/2006/relationships/hyperlink" Target="https://github.com/spring-projects/spring-boot/tree/v2.3.4.RELEASE/spring-boot-project/spring-boot-autoconfigure/src/main/java/org/springframework/boot/autoconfigure/cassandra/CassandraAutoConfiguration.java" TargetMode="External"/><Relationship Id="rId709" Type="http://schemas.openxmlformats.org/officeDocument/2006/relationships/hyperlink" Target="https://github.com/spring-projects/spring-boot/tree/v2.3.4.RELEASE/spring-boot-project/spring-boot-autoconfigure/src/main/java/org/springframework/boot/autoconfigure/context/ConfigurationPropertiesAutoConfiguration.java" TargetMode="External"/><Relationship Id="rId916" Type="http://schemas.openxmlformats.org/officeDocument/2006/relationships/hyperlink" Target="https://docs.spring.io/spring-boot/docs/2.3.4.RELEASE/api/org/springframework/boot/autoconfigure/security/servlet/UserDetailsServiceAutoConfiguration.html" TargetMode="External"/><Relationship Id="rId1101" Type="http://schemas.openxmlformats.org/officeDocument/2006/relationships/hyperlink" Target="https://github.com/spring-projects/spring-boot/tree/v2.3.4.RELEASE/spring-boot-project/spring-boot-actuator-autoconfigure/src/main/java/org/springframework/boot/actuate/autoconfigure/context/ShutdownEndpointAutoConfiguration.java" TargetMode="External"/><Relationship Id="rId45" Type="http://schemas.openxmlformats.org/officeDocument/2006/relationships/hyperlink" Target="https://brew.sh/" TargetMode="External"/><Relationship Id="rId110" Type="http://schemas.openxmlformats.org/officeDocument/2006/relationships/hyperlink" Target="https://docs.spring.io/spring-boot/docs/2.3.4.RELEASE/api/org/springframework/boot/SpringApplication.html" TargetMode="External"/><Relationship Id="rId348" Type="http://schemas.openxmlformats.org/officeDocument/2006/relationships/hyperlink" Target="https://docs.spring.io/spring/docs/5.2.9.RELEASE/spring-framework-reference/web-reactive.html" TargetMode="External"/><Relationship Id="rId555" Type="http://schemas.openxmlformats.org/officeDocument/2006/relationships/hyperlink" Target="https://cloud.google.com/sdk/install" TargetMode="External"/><Relationship Id="rId762" Type="http://schemas.openxmlformats.org/officeDocument/2006/relationships/hyperlink" Target="https://docs.spring.io/spring-boot/docs/2.3.4.RELEASE/api/org/springframework/boot/autoconfigure/web/reactive/HttpHandlerAutoConfiguration.html" TargetMode="External"/><Relationship Id="rId194" Type="http://schemas.openxmlformats.org/officeDocument/2006/relationships/hyperlink" Target="https://spring.io/" TargetMode="External"/><Relationship Id="rId208" Type="http://schemas.openxmlformats.org/officeDocument/2006/relationships/hyperlink" Target="https://www.datageekery.com/" TargetMode="External"/><Relationship Id="rId415" Type="http://schemas.openxmlformats.org/officeDocument/2006/relationships/hyperlink" Target="https://docs.spring.io/spring-boot/docs/2.3.4.RELEASE/actuator-api/html/" TargetMode="External"/><Relationship Id="rId622" Type="http://schemas.openxmlformats.org/officeDocument/2006/relationships/hyperlink" Target="https://github.com/spring-projects/spring-boot/tree/v2.3.4.RELEASE/spring-boot-project/spring-boot-autoconfigure/src/main/java/org/springframework/boot/autoconfigure/jdbc/DataSourceAutoConfiguration.java" TargetMode="External"/><Relationship Id="rId1045" Type="http://schemas.openxmlformats.org/officeDocument/2006/relationships/hyperlink" Target="https://github.com/spring-projects/spring-boot/tree/v2.3.4.RELEASE/spring-boot-project/spring-boot-actuator-autoconfigure/src/main/java/org/springframework/boot/actuate/autoconfigure/metrics/export/kairos/KairosMetricsExportAutoConfiguration.java" TargetMode="External"/><Relationship Id="rId261" Type="http://schemas.openxmlformats.org/officeDocument/2006/relationships/hyperlink" Target="https://github.com/spring-projects/spring-data-ldap" TargetMode="External"/><Relationship Id="rId499" Type="http://schemas.openxmlformats.org/officeDocument/2006/relationships/hyperlink" Target="https://www.influxdata.com/" TargetMode="External"/><Relationship Id="rId927" Type="http://schemas.openxmlformats.org/officeDocument/2006/relationships/hyperlink" Target="https://github.com/spring-projects/spring-boot/tree/v2.3.4.RELEASE/spring-boot-project/spring-boot-autoconfigure/src/main/java/org/springframework/boot/autoconfigure/webservices/WebServicesAutoConfiguration.java" TargetMode="External"/><Relationship Id="rId1112" Type="http://schemas.openxmlformats.org/officeDocument/2006/relationships/hyperlink" Target="https://docs.spring.io/spring-boot/docs/2.3.4.RELEASE/api/org/springframework/boot/actuate/autoconfigure/metrics/export/statsd/StatsdMetricsExportAutoConfiguration.html" TargetMode="External"/><Relationship Id="rId56" Type="http://schemas.openxmlformats.org/officeDocument/2006/relationships/hyperlink" Target="https://start.spring.io/" TargetMode="External"/><Relationship Id="rId359" Type="http://schemas.openxmlformats.org/officeDocument/2006/relationships/hyperlink" Target="https://kotlinlang.org/docs/reference/java-interop.html" TargetMode="External"/><Relationship Id="rId566" Type="http://schemas.openxmlformats.org/officeDocument/2006/relationships/hyperlink" Target="https://www.openshift.com/" TargetMode="External"/><Relationship Id="rId773" Type="http://schemas.openxmlformats.org/officeDocument/2006/relationships/hyperlink" Target="https://github.com/spring-projects/spring-boot/tree/v2.3.4.RELEASE/spring-boot-project/spring-boot-autoconfigure/src/main/java/org/springframework/boot/autoconfigure/data/jdbc/JdbcRepositoriesAutoConfiguration.java" TargetMode="External"/><Relationship Id="rId121" Type="http://schemas.openxmlformats.org/officeDocument/2006/relationships/hyperlink" Target="https://github.com/spring-projects/spring-boot/tree/v2.3.4.RELEASE/spring-boot-project/spring-boot-autoconfigure/src/main/java/org/springframework/boot/autoconfigure/context/MessageSourceProperties.java" TargetMode="External"/><Relationship Id="rId219" Type="http://schemas.openxmlformats.org/officeDocument/2006/relationships/hyperlink" Target="https://spring.io/projects/spring-data-solr" TargetMode="External"/><Relationship Id="rId426" Type="http://schemas.openxmlformats.org/officeDocument/2006/relationships/hyperlink" Target="https://github.com/spring-projects/spring-boot/tree/v2.3.4.RELEASE/spring-boot-project/spring-boot-actuator/src/main/java/org/springframework/boot/actuate/jdbc/DataSourceHealthIndicator.java" TargetMode="External"/><Relationship Id="rId633" Type="http://schemas.openxmlformats.org/officeDocument/2006/relationships/hyperlink" Target="https://github.com/spring-projects/spring-boot/tree/v2.3.4.RELEASE/spring-boot-project/spring-boot-autoconfigure/src/main/java/org/springframework/boot/autoconfigure/jooq/JooqAutoConfiguration.java" TargetMode="External"/><Relationship Id="rId980" Type="http://schemas.openxmlformats.org/officeDocument/2006/relationships/hyperlink" Target="https://docs.spring.io/spring-boot/docs/2.3.4.RELEASE/api/org/springframework/boot/actuate/autoconfigure/metrics/export/datadog/DatadogMetricsExportAutoConfiguration.html" TargetMode="External"/><Relationship Id="rId1056" Type="http://schemas.openxmlformats.org/officeDocument/2006/relationships/hyperlink" Target="https://docs.spring.io/spring-boot/docs/2.3.4.RELEASE/api/org/springframework/boot/actuate/autoconfigure/metrics/LogbackMetricsAutoConfiguration.html" TargetMode="External"/><Relationship Id="rId840" Type="http://schemas.openxmlformats.org/officeDocument/2006/relationships/hyperlink" Target="https://docs.spring.io/spring-boot/docs/2.3.4.RELEASE/api/org/springframework/boot/autoconfigure/context/PropertyPlaceholderAutoConfiguration.html" TargetMode="External"/><Relationship Id="rId938" Type="http://schemas.openxmlformats.org/officeDocument/2006/relationships/hyperlink" Target="https://docs.spring.io/spring-boot/docs/2.3.4.RELEASE/api/org/springframework/boot/actuate/autoconfigure/metrics/export/appoptics/AppOpticsMetricsExportAutoConfiguration.html" TargetMode="External"/><Relationship Id="rId67" Type="http://schemas.openxmlformats.org/officeDocument/2006/relationships/hyperlink" Target="https://docs.spring.io/spring-boot/docs/2.3.4.RELEASE/maven-plugin/reference/pdf/spring-boot-maven-plugin-reference.pdf" TargetMode="External"/><Relationship Id="rId272" Type="http://schemas.openxmlformats.org/officeDocument/2006/relationships/hyperlink" Target="https://infinispan.org/" TargetMode="External"/><Relationship Id="rId577" Type="http://schemas.openxmlformats.org/officeDocument/2006/relationships/hyperlink" Target="https://docs.spring.io/spring-boot/docs/2.3.4.RELEASE/gradle-plugin/reference/html/" TargetMode="External"/><Relationship Id="rId700" Type="http://schemas.openxmlformats.org/officeDocument/2006/relationships/hyperlink" Target="https://docs.spring.io/spring-boot/docs/2.3.4.RELEASE/api/org/springframework/boot/autoconfigure/data/cassandra/CassandraReactiveDataAutoConfiguration.html" TargetMode="External"/><Relationship Id="rId1123" Type="http://schemas.openxmlformats.org/officeDocument/2006/relationships/hyperlink" Target="https://github.com/spring-projects/spring-boot/tree/v2.3.4.RELEASE/spring-boot-project/spring-boot-actuator-autoconfigure/src/main/java/org/springframework/boot/actuate/autoconfigure/metrics/web/reactive/WebFluxMetricsAutoConfiguration.java" TargetMode="External"/><Relationship Id="rId132" Type="http://schemas.openxmlformats.org/officeDocument/2006/relationships/hyperlink" Target="https://docs.spring.io/spring/docs/5.2.9.RELEASE/javadoc-api/org/springframework/validation/DefaultMessageCodesResolver.Format.html" TargetMode="External"/><Relationship Id="rId784" Type="http://schemas.openxmlformats.org/officeDocument/2006/relationships/hyperlink" Target="https://docs.spring.io/spring-boot/docs/2.3.4.RELEASE/api/org/springframework/boot/autoconfigure/jms/JndiConnectionFactoryAutoConfiguration.html" TargetMode="External"/><Relationship Id="rId991" Type="http://schemas.openxmlformats.org/officeDocument/2006/relationships/hyperlink" Target="https://github.com/spring-projects/spring-boot/tree/v2.3.4.RELEASE/spring-boot-project/spring-boot-actuator-autoconfigure/src/main/java/org/springframework/boot/actuate/autoconfigure/endpoint/EndpointAutoConfiguration.java" TargetMode="External"/><Relationship Id="rId1067" Type="http://schemas.openxmlformats.org/officeDocument/2006/relationships/hyperlink" Target="https://github.com/spring-projects/spring-boot/tree/v2.3.4.RELEASE/spring-boot-project/spring-boot-actuator-autoconfigure/src/main/java/org/springframework/boot/actuate/autoconfigure/metrics/MetricsAutoConfiguration.java" TargetMode="External"/><Relationship Id="rId437" Type="http://schemas.openxmlformats.org/officeDocument/2006/relationships/hyperlink" Target="https://github.com/spring-projects/spring-boot/tree/v2.3.4.RELEASE/spring-boot-project/spring-boot-actuator/src/main/java/org/springframework/boot/actuate/health/PingHealthIndicator.java" TargetMode="External"/><Relationship Id="rId644" Type="http://schemas.openxmlformats.org/officeDocument/2006/relationships/hyperlink" Target="https://github.com/spring-projects/spring-boot/tree/v2.3.4.RELEASE/spring-boot-project/spring-boot-autoconfigure/src/main/java/org/springframework/boot/autoconfigure/batch/JobLauncherApplicationRunner.java" TargetMode="External"/><Relationship Id="rId851" Type="http://schemas.openxmlformats.org/officeDocument/2006/relationships/hyperlink" Target="https://github.com/spring-projects/spring-boot/tree/v2.3.4.RELEASE/spring-boot-project/spring-boot-autoconfigure/src/main/java/org/springframework/boot/autoconfigure/rsocket/RSocketMessagingAutoConfiguration.java" TargetMode="External"/><Relationship Id="rId283" Type="http://schemas.openxmlformats.org/officeDocument/2006/relationships/hyperlink" Target="https://docs.spring.io/spring/docs/5.2.9.RELEASE/javadoc-api/org/springframework/jms/annotation/EnableJms.html" TargetMode="External"/><Relationship Id="rId490" Type="http://schemas.openxmlformats.org/officeDocument/2006/relationships/hyperlink" Target="https://micrometer.io/docs/registry/elastic" TargetMode="External"/><Relationship Id="rId504" Type="http://schemas.openxmlformats.org/officeDocument/2006/relationships/hyperlink" Target="https://kairosdb.github.io/" TargetMode="External"/><Relationship Id="rId711" Type="http://schemas.openxmlformats.org/officeDocument/2006/relationships/hyperlink" Target="https://github.com/spring-projects/spring-boot/tree/v2.3.4.RELEASE/spring-boot-project/spring-boot-autoconfigure/src/main/java/org/springframework/boot/autoconfigure/couchbase/CouchbaseAutoConfiguration.java" TargetMode="External"/><Relationship Id="rId949" Type="http://schemas.openxmlformats.org/officeDocument/2006/relationships/hyperlink" Target="https://github.com/spring-projects/spring-boot/tree/v2.3.4.RELEASE/spring-boot-project/spring-boot-actuator-autoconfigure/src/main/java/org/springframework/boot/actuate/autoconfigure/beans/BeansEndpointAutoConfiguration.java" TargetMode="External"/><Relationship Id="rId1134" Type="http://schemas.openxmlformats.org/officeDocument/2006/relationships/hyperlink" Target="https://sourceforge.net/projects/one-jar/" TargetMode="External"/><Relationship Id="rId78" Type="http://schemas.openxmlformats.org/officeDocument/2006/relationships/hyperlink" Target="https://docs.spring.io/spring-boot/docs/2.3.4.RELEASE/gradle-plugin/reference/html/" TargetMode="External"/><Relationship Id="rId143" Type="http://schemas.openxmlformats.org/officeDocument/2006/relationships/hyperlink" Target="https://docs.spring.io/spring/docs/5.2.9.RELEASE/spring-framework-reference/web.html" TargetMode="External"/><Relationship Id="rId350" Type="http://schemas.openxmlformats.org/officeDocument/2006/relationships/hyperlink" Target="https://docs.spring.io/spring-ws/docs/3.0.10.RELEASE/reference/" TargetMode="External"/><Relationship Id="rId588" Type="http://schemas.openxmlformats.org/officeDocument/2006/relationships/hyperlink" Target="https://docs.spring.io/spring-boot/docs/2.3.4.RELEASE/api/org/springframework/boot/diagnostics/FailureAnalyzer.html" TargetMode="External"/><Relationship Id="rId795" Type="http://schemas.openxmlformats.org/officeDocument/2006/relationships/hyperlink" Target="https://github.com/spring-projects/spring-boot/tree/v2.3.4.RELEASE/spring-boot-project/spring-boot-autoconfigure/src/main/java/org/springframework/boot/autoconfigure/kafka/KafkaAutoConfiguration.java" TargetMode="External"/><Relationship Id="rId809" Type="http://schemas.openxmlformats.org/officeDocument/2006/relationships/hyperlink" Target="https://github.com/spring-projects/spring-boot/tree/v2.3.4.RELEASE/spring-boot-project/spring-boot-autoconfigure/src/main/java/org/springframework/boot/autoconfigure/context/MessageSourceAutoConfiguration.java" TargetMode="External"/><Relationship Id="rId9" Type="http://schemas.openxmlformats.org/officeDocument/2006/relationships/footer" Target="footer2.xml"/><Relationship Id="rId210" Type="http://schemas.openxmlformats.org/officeDocument/2006/relationships/hyperlink" Target="https://r2dbc.io/" TargetMode="External"/><Relationship Id="rId448" Type="http://schemas.openxmlformats.org/officeDocument/2006/relationships/hyperlink" Target="https://github.com/spring-projects/spring-boot/tree/v2.3.4.RELEASE/spring-boot-project/spring-boot-actuator/src/main/java/org/springframework/boot/actuate/health/HealthContributor.java" TargetMode="External"/><Relationship Id="rId655" Type="http://schemas.openxmlformats.org/officeDocument/2006/relationships/hyperlink" Target="https://github.com/spring-projects/spring-boot/tree/v2.3.4.RELEASE/spring-boot-project/spring-boot-autoconfigure/src/main/java/org/springframework/boot/autoconfigure/groovy/template/GroovyTemplateAutoConfiguration.java" TargetMode="External"/><Relationship Id="rId862" Type="http://schemas.openxmlformats.org/officeDocument/2006/relationships/hyperlink" Target="https://docs.spring.io/spring-boot/docs/2.3.4.RELEASE/api/org/springframework/boot/autoconfigure/amqp/RabbitAutoConfiguration.html" TargetMode="External"/><Relationship Id="rId1078" Type="http://schemas.openxmlformats.org/officeDocument/2006/relationships/hyperlink" Target="https://docs.spring.io/spring-boot/docs/2.3.4.RELEASE/api/org/springframework/boot/actuate/autoconfigure/metrics/export/newrelic/NewRelicMetricsExportAutoConfiguration.html" TargetMode="External"/><Relationship Id="rId294" Type="http://schemas.openxmlformats.org/officeDocument/2006/relationships/hyperlink" Target="https://docs.spring.io/spring/docs/5.2.9.RELEASE/spring-framework-reference/web-reactive.html" TargetMode="External"/><Relationship Id="rId308" Type="http://schemas.openxmlformats.org/officeDocument/2006/relationships/hyperlink" Target="https://github.com/spring-projects/spring-boot/tree/v2.3.4.RELEASE/spring-boot-project/spring-boot/src/main/java/org/springframework/boot/jta/atomikos/AtomikosXAConnectionFactoryWrapper.java" TargetMode="External"/><Relationship Id="rId515" Type="http://schemas.openxmlformats.org/officeDocument/2006/relationships/hyperlink" Target="https://micrometer.io/docs/registry/statsD" TargetMode="External"/><Relationship Id="rId722" Type="http://schemas.openxmlformats.org/officeDocument/2006/relationships/hyperlink" Target="https://docs.spring.io/spring-boot/docs/2.3.4.RELEASE/api/org/springframework/boot/autoconfigure/jdbc/DataSourceAutoConfiguration.html" TargetMode="External"/><Relationship Id="rId89" Type="http://schemas.openxmlformats.org/officeDocument/2006/relationships/hyperlink" Target="https://github.com/spring-projects/spring-boot/tree/v2.3.4.RELEASE/spring-boot-project/spring-boot/src/main/java/org/springframework/boot/ansi/AnsiPropertySource.java" TargetMode="External"/><Relationship Id="rId154" Type="http://schemas.openxmlformats.org/officeDocument/2006/relationships/hyperlink" Target="https://projectreactor.io/" TargetMode="External"/><Relationship Id="rId361" Type="http://schemas.openxmlformats.org/officeDocument/2006/relationships/hyperlink" Target="https://docs.spring.io/spring/docs/5.2.9.RELEASE/spring-framework-reference/languages.html" TargetMode="External"/><Relationship Id="rId599" Type="http://schemas.openxmlformats.org/officeDocument/2006/relationships/hyperlink" Target="https://tomcat.apache.org/tomcat-9.0-doc/apr.html" TargetMode="External"/><Relationship Id="rId1005" Type="http://schemas.openxmlformats.org/officeDocument/2006/relationships/hyperlink" Target="https://github.com/spring-projects/spring-boot/tree/v2.3.4.RELEASE/spring-boot-project/spring-boot-actuator-autoconfigure/src/main/java/org/springframework/boot/actuate/autoconfigure/health/HealthEndpointAutoConfiguration.java" TargetMode="External"/><Relationship Id="rId459" Type="http://schemas.openxmlformats.org/officeDocument/2006/relationships/hyperlink" Target="https://github.com/spring-projects/spring-boot/tree/v2.3.4.RELEASE/spring-boot-project/spring-boot-actuator/src/main/java/org/springframework/boot/actuate/redis/RedisReactiveHealthIndicator.java" TargetMode="External"/><Relationship Id="rId666" Type="http://schemas.openxmlformats.org/officeDocument/2006/relationships/hyperlink" Target="https://spring.io/guides/gs/convert-jar-to-war/" TargetMode="External"/><Relationship Id="rId873" Type="http://schemas.openxmlformats.org/officeDocument/2006/relationships/hyperlink" Target="https://github.com/spring-projects/spring-boot/tree/v2.3.4.RELEASE/spring-boot-project/spring-boot-autoconfigure/src/main/java/org/springframework/boot/autoconfigure/security/reactive/ReactiveUserDetailsServiceAutoConfiguration.java" TargetMode="External"/><Relationship Id="rId1089" Type="http://schemas.openxmlformats.org/officeDocument/2006/relationships/hyperlink" Target="https://github.com/spring-projects/spring-boot/tree/v2.3.4.RELEASE/spring-boot-project/spring-boot-actuator-autoconfigure/src/main/java/org/springframework/boot/actuate/autoconfigure/security/reactive/ReactiveManagementWebSecurityAutoConfiguration.java" TargetMode="External"/><Relationship Id="rId16" Type="http://schemas.openxmlformats.org/officeDocument/2006/relationships/hyperlink" Target="https://docs.spring.io/spring-boot/docs/2.3.4.RELEASE/reference/htmlsingle/" TargetMode="External"/><Relationship Id="rId221" Type="http://schemas.openxmlformats.org/officeDocument/2006/relationships/hyperlink" Target="https://spring.io/projects/spring-data-gemfire" TargetMode="External"/><Relationship Id="rId319" Type="http://schemas.openxmlformats.org/officeDocument/2006/relationships/hyperlink" Target="https://github.com/spring-projects/spring-boot/tree/v2.3.4.RELEASE/spring-boot-project/spring-boot-autoconfigure/src/main/java/org/springframework/boot/autoconfigure/jmx/JmxAutoConfiguration.java" TargetMode="External"/><Relationship Id="rId526" Type="http://schemas.openxmlformats.org/officeDocument/2006/relationships/hyperlink" Target="https://docs.cloudfoundry.org/cf-cli/install-go-cli.html" TargetMode="External"/><Relationship Id="rId733" Type="http://schemas.openxmlformats.org/officeDocument/2006/relationships/hyperlink" Target="https://github.com/spring-projects/spring-boot/tree/v2.3.4.RELEASE/spring-boot-project/spring-boot-autoconfigure/src/main/java/org/springframework/boot/autoconfigure/ldap/embedded/EmbeddedLdapAutoConfiguration.java" TargetMode="External"/><Relationship Id="rId940" Type="http://schemas.openxmlformats.org/officeDocument/2006/relationships/hyperlink" Target="https://docs.spring.io/spring-boot/docs/2.3.4.RELEASE/api/org/springframework/boot/actuate/autoconfigure/metrics/export/atlas/AtlasMetricsExportAutoConfiguration.html" TargetMode="External"/><Relationship Id="rId1016" Type="http://schemas.openxmlformats.org/officeDocument/2006/relationships/hyperlink" Target="https://docs.spring.io/spring-boot/docs/2.3.4.RELEASE/api/org/springframework/boot/actuate/autoconfigure/trace/http/HttpTraceEndpointAutoConfiguration.html" TargetMode="External"/><Relationship Id="rId165" Type="http://schemas.openxmlformats.org/officeDocument/2006/relationships/hyperlink" Target="https://tomcat.apache.org/" TargetMode="External"/><Relationship Id="rId372" Type="http://schemas.openxmlformats.org/officeDocument/2006/relationships/hyperlink" Target="https://www.baeldung.com/kotlin-null-safety" TargetMode="External"/><Relationship Id="rId677" Type="http://schemas.openxmlformats.org/officeDocument/2006/relationships/footer" Target="footer4.xml"/><Relationship Id="rId800" Type="http://schemas.openxmlformats.org/officeDocument/2006/relationships/hyperlink" Target="https://docs.spring.io/spring-boot/docs/2.3.4.RELEASE/api/org/springframework/boot/autoconfigure/data/ldap/LdapRepositoriesAutoConfiguration.html" TargetMode="External"/><Relationship Id="rId232" Type="http://schemas.openxmlformats.org/officeDocument/2006/relationships/hyperlink" Target="https://www.mongodb.com/" TargetMode="External"/><Relationship Id="rId884" Type="http://schemas.openxmlformats.org/officeDocument/2006/relationships/hyperlink" Target="https://docs.spring.io/spring-boot/docs/2.3.4.RELEASE/api/org/springframework/boot/autoconfigure/data/rest/RepositoryRestMvcAutoConfiguration.html" TargetMode="External"/><Relationship Id="rId27" Type="http://schemas.openxmlformats.org/officeDocument/2006/relationships/hyperlink" Target="https://docs.spring.io/spring/docs/5.2.9.RELEASE/spring-framework-reference/" TargetMode="External"/><Relationship Id="rId537" Type="http://schemas.openxmlformats.org/officeDocument/2006/relationships/hyperlink" Target="https://devcenter.heroku.com/articles/deploying-spring-boot-apps-to-heroku" TargetMode="External"/><Relationship Id="rId744" Type="http://schemas.openxmlformats.org/officeDocument/2006/relationships/hyperlink" Target="https://docs.spring.io/spring-boot/docs/2.3.4.RELEASE/api/org/springframework/boot/autoconfigure/flyway/FlywayAutoConfiguration.html" TargetMode="External"/><Relationship Id="rId951" Type="http://schemas.openxmlformats.org/officeDocument/2006/relationships/hyperlink" Target="https://github.com/spring-projects/spring-boot/tree/v2.3.4.RELEASE/spring-boot-project/spring-boot-actuator-autoconfigure/src/main/java/org/springframework/boot/actuate/autoconfigure/metrics/cache/CacheMetricsAutoConfiguration.java" TargetMode="External"/><Relationship Id="rId80" Type="http://schemas.openxmlformats.org/officeDocument/2006/relationships/hyperlink" Target="https://docs.spring.io/spring-boot/docs/2.3.4.RELEASE/gradle-plugin/reference/html/" TargetMode="External"/><Relationship Id="rId176" Type="http://schemas.openxmlformats.org/officeDocument/2006/relationships/hyperlink" Target="https://docs.spring.io/spring-security/site/docs/5.3.4.RELEASE/reference/html5/" TargetMode="External"/><Relationship Id="rId383" Type="http://schemas.openxmlformats.org/officeDocument/2006/relationships/hyperlink" Target="https://junit.org/junit5/docs/current/user-guide/" TargetMode="External"/><Relationship Id="rId590" Type="http://schemas.openxmlformats.org/officeDocument/2006/relationships/hyperlink" Target="https://github.com/spring-projects/spring-boot/tree/v2.3.4.RELEASE/spring-boot-project/spring-boot-autoconfigure/src/main/java/org/springframework/boot/autoconfigure/web/ServerProperties.java" TargetMode="External"/><Relationship Id="rId604" Type="http://schemas.openxmlformats.org/officeDocument/2006/relationships/hyperlink" Target="https://tools.ietf.org/html/rfc7239" TargetMode="External"/><Relationship Id="rId811" Type="http://schemas.openxmlformats.org/officeDocument/2006/relationships/hyperlink" Target="https://github.com/spring-projects/spring-boot/tree/v2.3.4.RELEASE/spring-boot-project/spring-boot-autoconfigure/src/main/java/org/springframework/boot/autoconfigure/mongo/MongoAutoConfiguration.java" TargetMode="External"/><Relationship Id="rId1027" Type="http://schemas.openxmlformats.org/officeDocument/2006/relationships/hyperlink" Target="https://github.com/spring-projects/spring-boot/tree/v2.3.4.RELEASE/spring-boot-project/spring-boot-actuator-autoconfigure/src/main/java/org/springframework/boot/actuate/autoconfigure/integration/IntegrationGraphEndpointAutoConfiguration.java" TargetMode="External"/><Relationship Id="rId243" Type="http://schemas.openxmlformats.org/officeDocument/2006/relationships/hyperlink" Target="https://lucene.apache.org/solr/" TargetMode="External"/><Relationship Id="rId450" Type="http://schemas.openxmlformats.org/officeDocument/2006/relationships/hyperlink" Target="https://github.com/spring-projects/spring-boot/tree/v2.3.4.RELEASE/spring-boot-project/spring-boot-actuator/src/main/java/org/springframework/boot/actuate/health/ReactiveHealthIndicator.java" TargetMode="External"/><Relationship Id="rId688" Type="http://schemas.openxmlformats.org/officeDocument/2006/relationships/hyperlink" Target="https://docs.spring.io/spring-boot/docs/2.3.4.RELEASE/api/org/springframework/boot/autoconfigure/availability/ApplicationAvailabilityAutoConfiguration.html" TargetMode="External"/><Relationship Id="rId895" Type="http://schemas.openxmlformats.org/officeDocument/2006/relationships/hyperlink" Target="https://github.com/spring-projects/spring-boot/tree/v2.3.4.RELEASE/spring-boot-project/spring-boot-autoconfigure/src/main/java/org/springframework/boot/autoconfigure/web/servlet/ServletWebServerFactoryAutoConfiguration.java" TargetMode="External"/><Relationship Id="rId909" Type="http://schemas.openxmlformats.org/officeDocument/2006/relationships/hyperlink" Target="https://github.com/spring-projects/spring-boot/tree/v2.3.4.RELEASE/spring-boot-project/spring-boot-autoconfigure/src/main/java/org/springframework/boot/autoconfigure/task/TaskSchedulingAutoConfiguration.java" TargetMode="External"/><Relationship Id="rId1080" Type="http://schemas.openxmlformats.org/officeDocument/2006/relationships/hyperlink" Target="https://docs.spring.io/spring-boot/docs/2.3.4.RELEASE/api/org/springframework/boot/actuate/autoconfigure/metrics/export/prometheus/PrometheusMetricsExportAutoConfiguration.html" TargetMode="External"/><Relationship Id="rId38" Type="http://schemas.openxmlformats.org/officeDocument/2006/relationships/hyperlink" Target="https://docs.spring.io/spring-boot/docs/2.3.4.RELEASE/gradle-plugin/reference/html/" TargetMode="External"/><Relationship Id="rId103" Type="http://schemas.openxmlformats.org/officeDocument/2006/relationships/hyperlink" Target="https://yaml.org/" TargetMode="External"/><Relationship Id="rId310" Type="http://schemas.openxmlformats.org/officeDocument/2006/relationships/hyperlink" Target="https://hazelcast.com/" TargetMode="External"/><Relationship Id="rId548" Type="http://schemas.openxmlformats.org/officeDocument/2006/relationships/hyperlink" Target="https://boxfuse.com/docs/commandline/run.html" TargetMode="External"/><Relationship Id="rId755" Type="http://schemas.openxmlformats.org/officeDocument/2006/relationships/hyperlink" Target="https://github.com/spring-projects/spring-boot/tree/v2.3.4.RELEASE/spring-boot-project/spring-boot-autoconfigure/src/main/java/org/springframework/boot/autoconfigure/hazelcast/HazelcastJpaDependencyAutoConfiguration.java" TargetMode="External"/><Relationship Id="rId962" Type="http://schemas.openxmlformats.org/officeDocument/2006/relationships/hyperlink" Target="https://docs.spring.io/spring-boot/docs/2.3.4.RELEASE/api/org/springframework/boot/actuate/autoconfigure/metrics/CompositeMeterRegistryAutoConfiguration.html" TargetMode="External"/><Relationship Id="rId91" Type="http://schemas.openxmlformats.org/officeDocument/2006/relationships/hyperlink" Target="https://docs.spring.io/spring-boot/docs/2.3.4.RELEASE/api/org/springframework/boot/SpringApplication.html" TargetMode="External"/><Relationship Id="rId187" Type="http://schemas.openxmlformats.org/officeDocument/2006/relationships/hyperlink" Target="https://db.apache.org/derby/" TargetMode="External"/><Relationship Id="rId394" Type="http://schemas.openxmlformats.org/officeDocument/2006/relationships/hyperlink" Target="https://try.kotlinlang.org/" TargetMode="External"/><Relationship Id="rId408" Type="http://schemas.openxmlformats.org/officeDocument/2006/relationships/hyperlink" Target="https://docs.spring.io/spring-boot/docs/2.3.4.RELEASE/maven-plugin/reference/html/" TargetMode="External"/><Relationship Id="rId615" Type="http://schemas.openxmlformats.org/officeDocument/2006/relationships/hyperlink" Target="https://github.com/spring-projects/spring-boot/tree/v2.3.4.RELEASE/spring-boot-project/spring-boot-autoconfigure/src/main/java/org/springframework/boot/autoconfigure/groovy/template/GroovyTemplateAutoConfiguration.java" TargetMode="External"/><Relationship Id="rId822" Type="http://schemas.openxmlformats.org/officeDocument/2006/relationships/hyperlink" Target="https://docs.spring.io/spring-boot/docs/2.3.4.RELEASE/api/org/springframework/boot/autoconfigure/data/mongo/MongoRepositoriesAutoConfiguration.html" TargetMode="External"/><Relationship Id="rId1038" Type="http://schemas.openxmlformats.org/officeDocument/2006/relationships/hyperlink" Target="https://docs.spring.io/spring-boot/docs/2.3.4.RELEASE/api/org/springframework/boot/actuate/autoconfigure/metrics/export/jmx/JmxMetricsExportAutoConfiguration.html" TargetMode="External"/><Relationship Id="rId254" Type="http://schemas.openxmlformats.org/officeDocument/2006/relationships/hyperlink" Target="https://docs.spring.io/spring-data/cassandra/docs/" TargetMode="External"/><Relationship Id="rId699" Type="http://schemas.openxmlformats.org/officeDocument/2006/relationships/hyperlink" Target="https://github.com/spring-projects/spring-boot/tree/v2.3.4.RELEASE/spring-boot-project/spring-boot-autoconfigure/src/main/java/org/springframework/boot/autoconfigure/data/cassandra/CassandraReactiveDataAutoConfiguration.java" TargetMode="External"/><Relationship Id="rId1091" Type="http://schemas.openxmlformats.org/officeDocument/2006/relationships/hyperlink" Target="https://github.com/spring-projects/spring-boot/tree/v2.3.4.RELEASE/spring-boot-project/spring-boot-actuator-autoconfigure/src/main/java/org/springframework/boot/actuate/autoconfigure/redis/RedisHealthContributorAutoConfiguration.java" TargetMode="External"/><Relationship Id="rId1105" Type="http://schemas.openxmlformats.org/officeDocument/2006/relationships/hyperlink" Target="https://github.com/spring-projects/spring-boot/tree/v2.3.4.RELEASE/spring-boot-project/spring-boot-actuator-autoconfigure/src/main/java/org/springframework/boot/actuate/autoconfigure/metrics/export/simple/SimpleMetricsExportAutoConfiguration.java" TargetMode="External"/><Relationship Id="rId49" Type="http://schemas.openxmlformats.org/officeDocument/2006/relationships/hyperlink" Target="https://scoop.sh/" TargetMode="External"/><Relationship Id="rId114" Type="http://schemas.openxmlformats.org/officeDocument/2006/relationships/hyperlink" Target="https://logback.qos.ch/" TargetMode="External"/><Relationship Id="rId461" Type="http://schemas.openxmlformats.org/officeDocument/2006/relationships/hyperlink" Target="https://kubernetes.io/docs/concepts/workloads/pods/pod-lifecycle/" TargetMode="External"/><Relationship Id="rId559" Type="http://schemas.openxmlformats.org/officeDocument/2006/relationships/hyperlink" Target="https://docs.spring.io/spring-boot/docs/2.3.4.RELEASE/gradle-plugin/reference/html/" TargetMode="External"/><Relationship Id="rId766" Type="http://schemas.openxmlformats.org/officeDocument/2006/relationships/hyperlink" Target="https://docs.spring.io/spring-boot/docs/2.3.4.RELEASE/api/org/springframework/boot/autoconfigure/hateoas/HypermediaAutoConfiguration.html" TargetMode="External"/><Relationship Id="rId198" Type="http://schemas.openxmlformats.org/officeDocument/2006/relationships/hyperlink" Target="https://docs.spring.io/spring-data/jpa/docs/2.3.4.RELEASE/api/org/springframework/data/jpa/repository/Query.html" TargetMode="External"/><Relationship Id="rId321" Type="http://schemas.openxmlformats.org/officeDocument/2006/relationships/hyperlink" Target="https://docs.spring.io/spring/docs/5.2.9.RELEASE/spring-framework-reference/testing.html" TargetMode="External"/><Relationship Id="rId419" Type="http://schemas.openxmlformats.org/officeDocument/2006/relationships/hyperlink" Target="https://en.wikipedia.org/wiki/Cross-origin_resource_sharing" TargetMode="External"/><Relationship Id="rId626" Type="http://schemas.openxmlformats.org/officeDocument/2006/relationships/hyperlink" Target="https://github.com/spring-projects/spring-boot/tree/v2.3.4.RELEASE/spring-boot-project/spring-boot-autoconfigure/src/main/java/org/springframework/boot/autoconfigure/orm/jpa/JpaBaseConfiguration.java" TargetMode="External"/><Relationship Id="rId973" Type="http://schemas.openxmlformats.org/officeDocument/2006/relationships/hyperlink" Target="https://github.com/spring-projects/spring-boot/tree/v2.3.4.RELEASE/spring-boot-project/spring-boot-actuator-autoconfigure/src/main/java/org/springframework/boot/actuate/autoconfigure/couchbase/CouchbaseReactiveHealthContributorAutoConfiguration.java" TargetMode="External"/><Relationship Id="rId1049" Type="http://schemas.openxmlformats.org/officeDocument/2006/relationships/hyperlink" Target="https://github.com/spring-projects/spring-boot/tree/v2.3.4.RELEASE/spring-boot-project/spring-boot-actuator-autoconfigure/src/main/java/org/springframework/boot/actuate/autoconfigure/liquibase/LiquibaseEndpointAutoConfiguration.java" TargetMode="External"/><Relationship Id="rId833" Type="http://schemas.openxmlformats.org/officeDocument/2006/relationships/hyperlink" Target="https://github.com/spring-projects/spring-boot/tree/v2.3.4.RELEASE/spring-boot-project/spring-boot-autoconfigure/src/main/java/org/springframework/boot/autoconfigure/security/oauth2/resource/servlet/OAuth2ResourceServerAutoConfiguration.java" TargetMode="External"/><Relationship Id="rId1116" Type="http://schemas.openxmlformats.org/officeDocument/2006/relationships/hyperlink" Target="https://docs.spring.io/spring-boot/docs/2.3.4.RELEASE/api/org/springframework/boot/actuate/autoconfigure/management/ThreadDumpEndpointAutoConfiguration.html" TargetMode="External"/><Relationship Id="rId265" Type="http://schemas.openxmlformats.org/officeDocument/2006/relationships/hyperlink" Target="https://docs.spring.io/spring/docs/5.2.9.RELEASE/spring-framework-reference/integration.html" TargetMode="External"/><Relationship Id="rId472" Type="http://schemas.openxmlformats.org/officeDocument/2006/relationships/hyperlink" Target="mailto:info.app.java.source%3D@java.version@" TargetMode="External"/><Relationship Id="rId900" Type="http://schemas.openxmlformats.org/officeDocument/2006/relationships/hyperlink" Target="https://docs.spring.io/spring-boot/docs/2.3.4.RELEASE/api/org/springframework/boot/autoconfigure/solr/SolrAutoConfiguration.html" TargetMode="External"/><Relationship Id="rId125" Type="http://schemas.openxmlformats.org/officeDocument/2006/relationships/hyperlink" Target="https://docs.spring.io/spring/docs/5.2.9.RELEASE/spring-framework-reference/web.html" TargetMode="External"/><Relationship Id="rId332" Type="http://schemas.openxmlformats.org/officeDocument/2006/relationships/hyperlink" Target="https://docs.spring.io/spring/docs/5.2.9.RELEASE/spring-framework-reference/testing.html" TargetMode="External"/><Relationship Id="rId777" Type="http://schemas.openxmlformats.org/officeDocument/2006/relationships/hyperlink" Target="https://github.com/spring-projects/spring-boot/tree/v2.3.4.RELEASE/spring-boot-project/spring-boot-autoconfigure/src/main/java/org/springframework/boot/autoconfigure/jersey/JerseyAutoConfiguration.java" TargetMode="External"/><Relationship Id="rId984" Type="http://schemas.openxmlformats.org/officeDocument/2006/relationships/hyperlink" Target="https://docs.spring.io/spring-boot/docs/2.3.4.RELEASE/api/org/springframework/boot/actuate/autoconfigure/metrics/export/dynatrace/DynatraceMetricsExportAutoConfiguration.html" TargetMode="External"/><Relationship Id="rId637" Type="http://schemas.openxmlformats.org/officeDocument/2006/relationships/hyperlink" Target="https://github.com/spring-projects/spring-boot/tree/v2.3.4.RELEASE/spring-boot-project/spring-boot-autoconfigure/src/main/java/org/springframework/boot/autoconfigure/flyway/FlywayProperties.java" TargetMode="External"/><Relationship Id="rId844" Type="http://schemas.openxmlformats.org/officeDocument/2006/relationships/hyperlink" Target="https://docs.spring.io/spring-boot/docs/2.3.4.RELEASE/api/org/springframework/boot/autoconfigure/r2dbc/R2dbcAutoConfiguration.html" TargetMode="External"/><Relationship Id="rId276" Type="http://schemas.openxmlformats.org/officeDocument/2006/relationships/hyperlink" Target="https://docs.spring.io/spring/docs/5.2.9.RELEASE/spring-framework-reference/integration.html" TargetMode="External"/><Relationship Id="rId483" Type="http://schemas.openxmlformats.org/officeDocument/2006/relationships/hyperlink" Target="https://micrometer.io/docs/registry/appOptics" TargetMode="External"/><Relationship Id="rId690" Type="http://schemas.openxmlformats.org/officeDocument/2006/relationships/hyperlink" Target="https://docs.spring.io/spring-boot/docs/2.3.4.RELEASE/api/org/springframework/boot/autoconfigure/jms/artemis/ArtemisAutoConfiguration.html" TargetMode="External"/><Relationship Id="rId704" Type="http://schemas.openxmlformats.org/officeDocument/2006/relationships/hyperlink" Target="https://docs.spring.io/spring-boot/docs/2.3.4.RELEASE/api/org/springframework/boot/autoconfigure/data/cassandra/CassandraRepositoriesAutoConfiguration.html" TargetMode="External"/><Relationship Id="rId911" Type="http://schemas.openxmlformats.org/officeDocument/2006/relationships/hyperlink" Target="https://github.com/spring-projects/spring-boot/tree/v2.3.4.RELEASE/spring-boot-project/spring-boot-autoconfigure/src/main/java/org/springframework/boot/autoconfigure/thymeleaf/ThymeleafAutoConfiguration.java" TargetMode="External"/><Relationship Id="rId1127" Type="http://schemas.openxmlformats.org/officeDocument/2006/relationships/footer" Target="footer8.xml"/><Relationship Id="rId40" Type="http://schemas.openxmlformats.org/officeDocument/2006/relationships/hyperlink" Target="https://repo.spring.io/release/org/springframework/boot/spring-boot-cli/2.3.4.RELEASE/spring-boot-cli-2.3.4.RELEASE-bin.zip" TargetMode="External"/><Relationship Id="rId136" Type="http://schemas.openxmlformats.org/officeDocument/2006/relationships/hyperlink" Target="https://spring.io/blog/2014/07/24/spring-framework-4-1-handling-static-web-resources" TargetMode="External"/><Relationship Id="rId343" Type="http://schemas.openxmlformats.org/officeDocument/2006/relationships/hyperlink" Target="https://docs.spring.io/spring/docs/5.2.9.RELEASE/spring-framework-reference/testing.html" TargetMode="External"/><Relationship Id="rId550" Type="http://schemas.openxmlformats.org/officeDocument/2006/relationships/hyperlink" Target="https://boxfuse.com/docs/commandline/" TargetMode="External"/><Relationship Id="rId788" Type="http://schemas.openxmlformats.org/officeDocument/2006/relationships/hyperlink" Target="https://docs.spring.io/spring-boot/docs/2.3.4.RELEASE/api/org/springframework/boot/autoconfigure/jooq/JooqAutoConfiguration.html" TargetMode="External"/><Relationship Id="rId995" Type="http://schemas.openxmlformats.org/officeDocument/2006/relationships/hyperlink" Target="https://github.com/spring-projects/spring-boot/tree/v2.3.4.RELEASE/spring-boot-project/spring-boot-actuator-autoconfigure/src/main/java/org/springframework/boot/actuate/autoconfigure/flyway/FlywayEndpointAutoConfiguration.java" TargetMode="External"/><Relationship Id="rId203" Type="http://schemas.openxmlformats.org/officeDocument/2006/relationships/hyperlink" Target="https://docs.spring.io/spring-data/jdbc/docs/2.0.4.RELEASE/reference/html/" TargetMode="External"/><Relationship Id="rId648" Type="http://schemas.openxmlformats.org/officeDocument/2006/relationships/hyperlink" Target="https://github.com/spring-projects/spring-boot/tree/v2.3.4.RELEASE/spring-boot-project/spring-boot-actuator-autoconfigure/src/main/java/org/springframework/boot/actuate/autoconfigure/web/server/ManagementServerProperties.java" TargetMode="External"/><Relationship Id="rId855" Type="http://schemas.openxmlformats.org/officeDocument/2006/relationships/hyperlink" Target="https://github.com/spring-projects/spring-boot/tree/v2.3.4.RELEASE/spring-boot-project/spring-boot-autoconfigure/src/main/java/org/springframework/boot/autoconfigure/security/rsocket/RSocketSecurityAutoConfiguration.java" TargetMode="External"/><Relationship Id="rId1040" Type="http://schemas.openxmlformats.org/officeDocument/2006/relationships/hyperlink" Target="https://docs.spring.io/spring-boot/docs/2.3.4.RELEASE/api/org/springframework/boot/actuate/autoconfigure/jolokia/JolokiaEndpointAutoConfiguration.html" TargetMode="External"/><Relationship Id="rId287" Type="http://schemas.openxmlformats.org/officeDocument/2006/relationships/hyperlink" Target="https://docs.spring.io/spring-amqp/docs/2.2.11.RELEASE/api/org/springframework/amqp/rabbit/core/RabbitMessagingTemplate.html" TargetMode="External"/><Relationship Id="rId410" Type="http://schemas.openxmlformats.org/officeDocument/2006/relationships/hyperlink" Target="https://docs.spring.io/spring-boot/docs/2.3.4.RELEASE/maven-plugin/reference/html/" TargetMode="External"/><Relationship Id="rId494" Type="http://schemas.openxmlformats.org/officeDocument/2006/relationships/hyperlink" Target="https://graphiteapp.org/" TargetMode="External"/><Relationship Id="rId508" Type="http://schemas.openxmlformats.org/officeDocument/2006/relationships/hyperlink" Target="https://prometheus.io/" TargetMode="External"/><Relationship Id="rId715" Type="http://schemas.openxmlformats.org/officeDocument/2006/relationships/hyperlink" Target="https://github.com/spring-projects/spring-boot/tree/v2.3.4.RELEASE/spring-boot-project/spring-boot-autoconfigure/src/main/java/org/springframework/boot/autoconfigure/data/couchbase/CouchbaseReactiveDataAutoConfiguration.java" TargetMode="External"/><Relationship Id="rId922" Type="http://schemas.openxmlformats.org/officeDocument/2006/relationships/hyperlink" Target="https://docs.spring.io/spring-boot/docs/2.3.4.RELEASE/api/org/springframework/boot/autoconfigure/web/reactive/WebFluxAutoConfiguration.html" TargetMode="External"/><Relationship Id="rId1138" Type="http://schemas.openxmlformats.org/officeDocument/2006/relationships/fontTable" Target="fontTable.xml"/><Relationship Id="rId147" Type="http://schemas.openxmlformats.org/officeDocument/2006/relationships/hyperlink" Target="https://www.w3.org/TR/cors/" TargetMode="External"/><Relationship Id="rId354" Type="http://schemas.openxmlformats.org/officeDocument/2006/relationships/hyperlink" Target="https://github.com/spring-projects/spring-boot/tree/v2.3.4.RELEASE/spring-boot-project/spring-boot-autoconfigure/src/main/java/org/springframework/boot/autoconfigure/AutoConfigureAfter.java" TargetMode="External"/><Relationship Id="rId799" Type="http://schemas.openxmlformats.org/officeDocument/2006/relationships/hyperlink" Target="https://github.com/spring-projects/spring-boot/tree/v2.3.4.RELEASE/spring-boot-project/spring-boot-autoconfigure/src/main/java/org/springframework/boot/autoconfigure/data/ldap/LdapRepositoriesAutoConfiguration.java" TargetMode="External"/><Relationship Id="rId51" Type="http://schemas.openxmlformats.org/officeDocument/2006/relationships/hyperlink" Target="https://github.com/spring-projects/spring-boot/wiki/Spring-Boot-2.0-Migration-Guide" TargetMode="External"/><Relationship Id="rId561" Type="http://schemas.openxmlformats.org/officeDocument/2006/relationships/hyperlink" Target="https://www.freedesktop.org/software/systemd/man/systemd.service.html" TargetMode="External"/><Relationship Id="rId659" Type="http://schemas.openxmlformats.org/officeDocument/2006/relationships/hyperlink" Target="https://plugins.gradle.org/plugin/com.gorylenko.gradle-git-properties" TargetMode="External"/><Relationship Id="rId866" Type="http://schemas.openxmlformats.org/officeDocument/2006/relationships/hyperlink" Target="https://docs.spring.io/spring-boot/docs/2.3.4.RELEASE/api/org/springframework/boot/autoconfigure/data/elasticsearch/ReactiveElasticsearchRestClientAutoConfiguration.html" TargetMode="External"/><Relationship Id="rId214" Type="http://schemas.openxmlformats.org/officeDocument/2006/relationships/hyperlink" Target="https://docs.spring.io/spring-data/commons/docs/2.3.4.RELEASE/api/org/springframework/data/repository/CrudRepository.html" TargetMode="External"/><Relationship Id="rId298" Type="http://schemas.openxmlformats.org/officeDocument/2006/relationships/hyperlink" Target="https://docs.spring.io/spring/docs/5.2.9.RELEASE/spring-framework-reference/integration.html" TargetMode="External"/><Relationship Id="rId421" Type="http://schemas.openxmlformats.org/officeDocument/2006/relationships/hyperlink" Target="https://github.com/spring-projects/spring-boot/tree/v2.3.4.RELEASE/spring-boot-project/spring-boot-actuator-autoconfigure/src/main/java/org/springframework/boot/actuate/autoconfigure/endpoint/web/CorsEndpointProperties.java" TargetMode="External"/><Relationship Id="rId519" Type="http://schemas.openxmlformats.org/officeDocument/2006/relationships/hyperlink" Target="https://docs.spring.io/spring-integration/docs/5.3.2.RELEASE/reference/html/system-management.html" TargetMode="External"/><Relationship Id="rId1051" Type="http://schemas.openxmlformats.org/officeDocument/2006/relationships/hyperlink" Target="https://github.com/spring-projects/spring-boot/tree/v2.3.4.RELEASE/spring-boot-project/spring-boot-actuator-autoconfigure/src/main/java/org/springframework/boot/actuate/autoconfigure/metrics/Log4J2MetricsAutoConfiguration.java" TargetMode="External"/><Relationship Id="rId158" Type="http://schemas.openxmlformats.org/officeDocument/2006/relationships/hyperlink" Target="https://docs.spring.io/spring/docs/5.2.9.RELEASE/spring-framework-reference/web-reactive.html" TargetMode="External"/><Relationship Id="rId726" Type="http://schemas.openxmlformats.org/officeDocument/2006/relationships/hyperlink" Target="https://docs.spring.io/spring-boot/docs/2.3.4.RELEASE/api/org/springframework/boot/autoconfigure/web/servlet/DispatcherServletAutoConfiguration.html" TargetMode="External"/><Relationship Id="rId933" Type="http://schemas.openxmlformats.org/officeDocument/2006/relationships/hyperlink" Target="https://github.com/spring-projects/spring-boot/tree/v2.3.4.RELEASE/spring-boot-project/spring-boot-autoconfigure/src/main/java/org/springframework/boot/autoconfigure/websocket/servlet/WebSocketServletAutoConfiguration.java" TargetMode="External"/><Relationship Id="rId1009" Type="http://schemas.openxmlformats.org/officeDocument/2006/relationships/hyperlink" Target="https://github.com/spring-projects/spring-boot/tree/v2.3.4.RELEASE/spring-boot-project/spring-boot-actuator-autoconfigure/src/main/java/org/springframework/boot/actuate/autoconfigure/metrics/orm/jpa/HibernateMetricsAutoConfiguration.java" TargetMode="External"/><Relationship Id="rId62" Type="http://schemas.openxmlformats.org/officeDocument/2006/relationships/hyperlink" Target="https://docs.spring.io/spring/docs/5.2.9.RELEASE/spring-framework-reference/web.html" TargetMode="External"/><Relationship Id="rId365" Type="http://schemas.openxmlformats.org/officeDocument/2006/relationships/hyperlink" Target="https://slack.kotlinlang.org/" TargetMode="External"/><Relationship Id="rId572" Type="http://schemas.openxmlformats.org/officeDocument/2006/relationships/hyperlink" Target="https://github.com/spring-projects/spring-boot/tree/v2.3.4.RELEASE/spring-boot-project/spring-boot-cli/samples" TargetMode="External"/><Relationship Id="rId225" Type="http://schemas.openxmlformats.org/officeDocument/2006/relationships/hyperlink" Target="https://spring.io/projects/spring-data-ldap" TargetMode="External"/><Relationship Id="rId432" Type="http://schemas.openxmlformats.org/officeDocument/2006/relationships/hyperlink" Target="https://github.com/spring-projects/spring-boot/tree/v2.3.4.RELEASE/spring-boot-project/spring-boot-actuator/src/main/java/org/springframework/boot/actuate/jms/JmsHealthIndicator.java" TargetMode="External"/><Relationship Id="rId877" Type="http://schemas.openxmlformats.org/officeDocument/2006/relationships/hyperlink" Target="https://github.com/spring-projects/spring-boot/tree/v2.3.4.RELEASE/spring-boot-project/spring-boot-autoconfigure/src/main/java/org/springframework/boot/autoconfigure/data/redis/RedisAutoConfiguration.java" TargetMode="External"/><Relationship Id="rId1062" Type="http://schemas.openxmlformats.org/officeDocument/2006/relationships/hyperlink" Target="https://docs.spring.io/spring-boot/docs/2.3.4.RELEASE/api/org/springframework/boot/actuate/autoconfigure/web/server/ManagementContextAutoConfiguration.html" TargetMode="External"/><Relationship Id="rId737" Type="http://schemas.openxmlformats.org/officeDocument/2006/relationships/hyperlink" Target="https://github.com/spring-projects/spring-boot/tree/v2.3.4.RELEASE/spring-boot-project/spring-boot-autoconfigure/src/main/java/org/springframework/boot/autoconfigure/web/embedded/EmbeddedWebServerFactoryCustomizerAutoConfiguration.java" TargetMode="External"/><Relationship Id="rId944" Type="http://schemas.openxmlformats.org/officeDocument/2006/relationships/hyperlink" Target="https://docs.spring.io/spring-boot/docs/2.3.4.RELEASE/api/org/springframework/boot/actuate/autoconfigure/audit/AuditEventsEndpointAutoConfigur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36583-272C-4278-9206-EC47BFD3F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611</Pages>
  <Words>159875</Words>
  <Characters>911288</Characters>
  <Application>Microsoft Office Word</Application>
  <DocSecurity>0</DocSecurity>
  <Lines>7594</Lines>
  <Paragraphs>2138</Paragraphs>
  <ScaleCrop>false</ScaleCrop>
  <Company/>
  <LinksUpToDate>false</LinksUpToDate>
  <CharactersWithSpaces>1069025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Boot Reference Documentation</dc:title>
  <dc:creator>Phillip Webb, Dave Syer, Josh Long, Stéphane Nicoll, Rob Winch, Andy Wilkinson, Marcel Overdijk, Christian Dupuis, Sébastien Deleuze, Michael Simons, Vedran Pavić, Jay Bryant, Madhura Bhave, Eddú Meléndez, Scott Frederick</dc:creator>
  <cp:lastModifiedBy>郭 鹏飞</cp:lastModifiedBy>
  <cp:revision>40</cp:revision>
  <dcterms:created xsi:type="dcterms:W3CDTF">2020-10-22T02:29:00Z</dcterms:created>
  <dcterms:modified xsi:type="dcterms:W3CDTF">2020-10-24T02:30:00Z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2020-09-17T00:00:00Z</vt:filetime>
  </property>
  <property fmtid="{D5CDD505-2E9C-101B-9397-08002B2CF9AE}" pid="3" name="Creator">
    <vt:lpwstr>Asciidoctor PDF 1.5.0.rc.2, based on Prawn 2.2.2</vt:lpwstr>
  </property>
  <property fmtid="{D5CDD505-2E9C-101B-9397-08002B2CF9AE}" pid="4" name="LastSaved">
    <vt:filetime>2020-10-22T00:00:00Z</vt:filetime>
  </property>
</Properties>
</file>